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2C403A" w14:textId="77777777" w:rsidR="000D07EA" w:rsidRDefault="00BE7C89">
      <w:pPr>
        <w:pStyle w:val="Heading3"/>
        <w:jc w:val="center"/>
      </w:pPr>
      <w:r>
        <w:t>Optus Digital Mobile Service</w:t>
      </w:r>
    </w:p>
    <w:p w14:paraId="5BA8C404" w14:textId="77777777" w:rsidR="000D07EA" w:rsidRDefault="00BE7C89">
      <w:pPr>
        <w:pStyle w:val="Heading3"/>
        <w:jc w:val="center"/>
        <w:rPr>
          <w:i/>
        </w:rPr>
      </w:pPr>
      <w:r>
        <w:rPr>
          <w:i/>
        </w:rPr>
        <w:t>Standard Pricing Table</w:t>
      </w:r>
    </w:p>
    <w:p w14:paraId="7474AA36" w14:textId="77777777" w:rsidR="000D07EA" w:rsidRDefault="00BE7C89">
      <w:pPr>
        <w:pStyle w:val="Heading3"/>
        <w:jc w:val="center"/>
      </w:pPr>
      <w:r>
        <w:t xml:space="preserve">Section 5 - </w:t>
      </w:r>
      <w:r>
        <w:rPr>
          <w:i/>
        </w:rPr>
        <w:t xml:space="preserve">Pricing </w:t>
      </w:r>
      <w:r w:rsidR="00802AD5">
        <w:rPr>
          <w:i/>
        </w:rPr>
        <w:t>P</w:t>
      </w:r>
      <w:r>
        <w:rPr>
          <w:i/>
        </w:rPr>
        <w:t>lans</w:t>
      </w:r>
      <w:r>
        <w:t xml:space="preserve"> Only Available as a Special Offer to Small or Medium Enterprise Customers</w:t>
      </w:r>
    </w:p>
    <w:p w14:paraId="3AB2D4E0" w14:textId="77777777" w:rsidR="000D07EA" w:rsidRDefault="00BE7C89">
      <w:pPr>
        <w:pStyle w:val="BodyText"/>
      </w:pPr>
      <w:r>
        <w:t>Click on the section that you are interested in.</w:t>
      </w:r>
    </w:p>
    <w:p w14:paraId="799D6791" w14:textId="77777777" w:rsidR="00286264" w:rsidRDefault="00BE7C89">
      <w:pPr>
        <w:pStyle w:val="TOC1"/>
        <w:rPr>
          <w:rFonts w:asciiTheme="minorHAnsi" w:eastAsiaTheme="minorEastAsia" w:hAnsiTheme="minorHAnsi" w:cstheme="minorBidi"/>
          <w:b w:val="0"/>
          <w:noProof/>
          <w:sz w:val="22"/>
          <w:szCs w:val="22"/>
          <w:lang w:val="en-AU" w:eastAsia="en-AU"/>
        </w:rPr>
      </w:pPr>
      <w:r>
        <w:rPr>
          <w:szCs w:val="20"/>
        </w:rPr>
        <w:fldChar w:fldCharType="begin"/>
      </w:r>
      <w:r>
        <w:rPr>
          <w:szCs w:val="20"/>
        </w:rPr>
        <w:instrText xml:space="preserve"> TOC \h \z \u \t "Heading 4,1" </w:instrText>
      </w:r>
      <w:r>
        <w:rPr>
          <w:szCs w:val="20"/>
        </w:rPr>
        <w:fldChar w:fldCharType="separate"/>
      </w:r>
      <w:hyperlink w:anchor="_Toc62644600" w:history="1">
        <w:r w:rsidR="00286264" w:rsidRPr="00B1774E">
          <w:rPr>
            <w:rStyle w:val="Hyperlink"/>
            <w:noProof/>
          </w:rPr>
          <w:t>1.</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About this Section</w:t>
        </w:r>
        <w:r w:rsidR="00286264">
          <w:rPr>
            <w:noProof/>
            <w:webHidden/>
          </w:rPr>
          <w:tab/>
        </w:r>
        <w:r w:rsidR="00286264">
          <w:rPr>
            <w:noProof/>
            <w:webHidden/>
          </w:rPr>
          <w:fldChar w:fldCharType="begin"/>
        </w:r>
        <w:r w:rsidR="00286264">
          <w:rPr>
            <w:noProof/>
            <w:webHidden/>
          </w:rPr>
          <w:instrText xml:space="preserve"> PAGEREF _Toc62644600 \h </w:instrText>
        </w:r>
        <w:r w:rsidR="00286264">
          <w:rPr>
            <w:noProof/>
            <w:webHidden/>
          </w:rPr>
        </w:r>
        <w:r w:rsidR="00286264">
          <w:rPr>
            <w:noProof/>
            <w:webHidden/>
          </w:rPr>
          <w:fldChar w:fldCharType="separate"/>
        </w:r>
        <w:r w:rsidR="00286264">
          <w:rPr>
            <w:noProof/>
            <w:webHidden/>
          </w:rPr>
          <w:t>6</w:t>
        </w:r>
        <w:r w:rsidR="00286264">
          <w:rPr>
            <w:noProof/>
            <w:webHidden/>
          </w:rPr>
          <w:fldChar w:fldCharType="end"/>
        </w:r>
      </w:hyperlink>
    </w:p>
    <w:p w14:paraId="269B2FD8"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01" w:history="1">
        <w:r w:rsidR="00286264" w:rsidRPr="00B1774E">
          <w:rPr>
            <w:rStyle w:val="Hyperlink"/>
            <w:noProof/>
          </w:rPr>
          <w:t>2.</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Advance Business Plus &amp; Business Plus Plans (33, 44, 55, 77, 99, 150, 250, 400)</w:t>
        </w:r>
        <w:r w:rsidR="00286264">
          <w:rPr>
            <w:noProof/>
            <w:webHidden/>
          </w:rPr>
          <w:tab/>
        </w:r>
        <w:r w:rsidR="00286264">
          <w:rPr>
            <w:noProof/>
            <w:webHidden/>
          </w:rPr>
          <w:fldChar w:fldCharType="begin"/>
        </w:r>
        <w:r w:rsidR="00286264">
          <w:rPr>
            <w:noProof/>
            <w:webHidden/>
          </w:rPr>
          <w:instrText xml:space="preserve"> PAGEREF _Toc62644601 \h </w:instrText>
        </w:r>
        <w:r w:rsidR="00286264">
          <w:rPr>
            <w:noProof/>
            <w:webHidden/>
          </w:rPr>
        </w:r>
        <w:r w:rsidR="00286264">
          <w:rPr>
            <w:noProof/>
            <w:webHidden/>
          </w:rPr>
          <w:fldChar w:fldCharType="separate"/>
        </w:r>
        <w:r w:rsidR="00286264">
          <w:rPr>
            <w:noProof/>
            <w:webHidden/>
          </w:rPr>
          <w:t>6</w:t>
        </w:r>
        <w:r w:rsidR="00286264">
          <w:rPr>
            <w:noProof/>
            <w:webHidden/>
          </w:rPr>
          <w:fldChar w:fldCharType="end"/>
        </w:r>
      </w:hyperlink>
    </w:p>
    <w:p w14:paraId="2A874936"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02" w:history="1">
        <w:r w:rsidR="00286264" w:rsidRPr="00B1774E">
          <w:rPr>
            <w:rStyle w:val="Hyperlink"/>
            <w:noProof/>
            <w:lang w:val="en-AU"/>
          </w:rPr>
          <w:t>3.</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Optus Corporate 79 Cap and Optus Corporate 179 Cap Plans</w:t>
        </w:r>
        <w:r w:rsidR="00286264">
          <w:rPr>
            <w:noProof/>
            <w:webHidden/>
          </w:rPr>
          <w:tab/>
        </w:r>
        <w:r w:rsidR="00286264">
          <w:rPr>
            <w:noProof/>
            <w:webHidden/>
          </w:rPr>
          <w:fldChar w:fldCharType="begin"/>
        </w:r>
        <w:r w:rsidR="00286264">
          <w:rPr>
            <w:noProof/>
            <w:webHidden/>
          </w:rPr>
          <w:instrText xml:space="preserve"> PAGEREF _Toc62644602 \h </w:instrText>
        </w:r>
        <w:r w:rsidR="00286264">
          <w:rPr>
            <w:noProof/>
            <w:webHidden/>
          </w:rPr>
        </w:r>
        <w:r w:rsidR="00286264">
          <w:rPr>
            <w:noProof/>
            <w:webHidden/>
          </w:rPr>
          <w:fldChar w:fldCharType="separate"/>
        </w:r>
        <w:r w:rsidR="00286264">
          <w:rPr>
            <w:noProof/>
            <w:webHidden/>
          </w:rPr>
          <w:t>6</w:t>
        </w:r>
        <w:r w:rsidR="00286264">
          <w:rPr>
            <w:noProof/>
            <w:webHidden/>
          </w:rPr>
          <w:fldChar w:fldCharType="end"/>
        </w:r>
      </w:hyperlink>
    </w:p>
    <w:p w14:paraId="23106AFF"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03" w:history="1">
        <w:r w:rsidR="00286264" w:rsidRPr="00B1774E">
          <w:rPr>
            <w:rStyle w:val="Hyperlink"/>
            <w:noProof/>
          </w:rPr>
          <w:t>4.</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Optus FleetExtra Plans</w:t>
        </w:r>
        <w:r w:rsidR="00286264">
          <w:rPr>
            <w:noProof/>
            <w:webHidden/>
          </w:rPr>
          <w:tab/>
        </w:r>
        <w:r w:rsidR="00286264">
          <w:rPr>
            <w:noProof/>
            <w:webHidden/>
          </w:rPr>
          <w:fldChar w:fldCharType="begin"/>
        </w:r>
        <w:r w:rsidR="00286264">
          <w:rPr>
            <w:noProof/>
            <w:webHidden/>
          </w:rPr>
          <w:instrText xml:space="preserve"> PAGEREF _Toc62644603 \h </w:instrText>
        </w:r>
        <w:r w:rsidR="00286264">
          <w:rPr>
            <w:noProof/>
            <w:webHidden/>
          </w:rPr>
        </w:r>
        <w:r w:rsidR="00286264">
          <w:rPr>
            <w:noProof/>
            <w:webHidden/>
          </w:rPr>
          <w:fldChar w:fldCharType="separate"/>
        </w:r>
        <w:r w:rsidR="00286264">
          <w:rPr>
            <w:noProof/>
            <w:webHidden/>
          </w:rPr>
          <w:t>8</w:t>
        </w:r>
        <w:r w:rsidR="00286264">
          <w:rPr>
            <w:noProof/>
            <w:webHidden/>
          </w:rPr>
          <w:fldChar w:fldCharType="end"/>
        </w:r>
      </w:hyperlink>
    </w:p>
    <w:p w14:paraId="47E56BF6"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04" w:history="1">
        <w:r w:rsidR="00286264" w:rsidRPr="00B1774E">
          <w:rPr>
            <w:rStyle w:val="Hyperlink"/>
            <w:noProof/>
          </w:rPr>
          <w:t>5.</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Optus OneFleet Plans</w:t>
        </w:r>
        <w:r w:rsidR="00286264">
          <w:rPr>
            <w:noProof/>
            <w:webHidden/>
          </w:rPr>
          <w:tab/>
        </w:r>
        <w:r w:rsidR="00286264">
          <w:rPr>
            <w:noProof/>
            <w:webHidden/>
          </w:rPr>
          <w:fldChar w:fldCharType="begin"/>
        </w:r>
        <w:r w:rsidR="00286264">
          <w:rPr>
            <w:noProof/>
            <w:webHidden/>
          </w:rPr>
          <w:instrText xml:space="preserve"> PAGEREF _Toc62644604 \h </w:instrText>
        </w:r>
        <w:r w:rsidR="00286264">
          <w:rPr>
            <w:noProof/>
            <w:webHidden/>
          </w:rPr>
        </w:r>
        <w:r w:rsidR="00286264">
          <w:rPr>
            <w:noProof/>
            <w:webHidden/>
          </w:rPr>
          <w:fldChar w:fldCharType="separate"/>
        </w:r>
        <w:r w:rsidR="00286264">
          <w:rPr>
            <w:noProof/>
            <w:webHidden/>
          </w:rPr>
          <w:t>11</w:t>
        </w:r>
        <w:r w:rsidR="00286264">
          <w:rPr>
            <w:noProof/>
            <w:webHidden/>
          </w:rPr>
          <w:fldChar w:fldCharType="end"/>
        </w:r>
      </w:hyperlink>
    </w:p>
    <w:p w14:paraId="476BA677"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05" w:history="1">
        <w:r w:rsidR="00286264" w:rsidRPr="00B1774E">
          <w:rPr>
            <w:rStyle w:val="Hyperlink"/>
            <w:noProof/>
          </w:rPr>
          <w:t>6.</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SMS MO ON-Net Plan</w:t>
        </w:r>
        <w:r w:rsidR="00286264">
          <w:rPr>
            <w:noProof/>
            <w:webHidden/>
          </w:rPr>
          <w:tab/>
        </w:r>
        <w:r w:rsidR="00286264">
          <w:rPr>
            <w:noProof/>
            <w:webHidden/>
          </w:rPr>
          <w:fldChar w:fldCharType="begin"/>
        </w:r>
        <w:r w:rsidR="00286264">
          <w:rPr>
            <w:noProof/>
            <w:webHidden/>
          </w:rPr>
          <w:instrText xml:space="preserve"> PAGEREF _Toc62644605 \h </w:instrText>
        </w:r>
        <w:r w:rsidR="00286264">
          <w:rPr>
            <w:noProof/>
            <w:webHidden/>
          </w:rPr>
        </w:r>
        <w:r w:rsidR="00286264">
          <w:rPr>
            <w:noProof/>
            <w:webHidden/>
          </w:rPr>
          <w:fldChar w:fldCharType="separate"/>
        </w:r>
        <w:r w:rsidR="00286264">
          <w:rPr>
            <w:noProof/>
            <w:webHidden/>
          </w:rPr>
          <w:t>15</w:t>
        </w:r>
        <w:r w:rsidR="00286264">
          <w:rPr>
            <w:noProof/>
            <w:webHidden/>
          </w:rPr>
          <w:fldChar w:fldCharType="end"/>
        </w:r>
      </w:hyperlink>
    </w:p>
    <w:p w14:paraId="07DE04DE"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06" w:history="1">
        <w:r w:rsidR="00286264" w:rsidRPr="00B1774E">
          <w:rPr>
            <w:rStyle w:val="Hyperlink"/>
            <w:noProof/>
          </w:rPr>
          <w:t>7.</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Total Business Cap Plans</w:t>
        </w:r>
        <w:r w:rsidR="00286264">
          <w:rPr>
            <w:noProof/>
            <w:webHidden/>
          </w:rPr>
          <w:tab/>
        </w:r>
        <w:r w:rsidR="00286264">
          <w:rPr>
            <w:noProof/>
            <w:webHidden/>
          </w:rPr>
          <w:fldChar w:fldCharType="begin"/>
        </w:r>
        <w:r w:rsidR="00286264">
          <w:rPr>
            <w:noProof/>
            <w:webHidden/>
          </w:rPr>
          <w:instrText xml:space="preserve"> PAGEREF _Toc62644606 \h </w:instrText>
        </w:r>
        <w:r w:rsidR="00286264">
          <w:rPr>
            <w:noProof/>
            <w:webHidden/>
          </w:rPr>
        </w:r>
        <w:r w:rsidR="00286264">
          <w:rPr>
            <w:noProof/>
            <w:webHidden/>
          </w:rPr>
          <w:fldChar w:fldCharType="separate"/>
        </w:r>
        <w:r w:rsidR="00286264">
          <w:rPr>
            <w:noProof/>
            <w:webHidden/>
          </w:rPr>
          <w:t>16</w:t>
        </w:r>
        <w:r w:rsidR="00286264">
          <w:rPr>
            <w:noProof/>
            <w:webHidden/>
          </w:rPr>
          <w:fldChar w:fldCharType="end"/>
        </w:r>
      </w:hyperlink>
    </w:p>
    <w:p w14:paraId="6B6D5FC2"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07" w:history="1">
        <w:r w:rsidR="00286264" w:rsidRPr="00B1774E">
          <w:rPr>
            <w:rStyle w:val="Hyperlink"/>
            <w:noProof/>
          </w:rPr>
          <w:t>8.</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'yes' Business &amp; Advance 'yes' Business Plans (10, 35, 60, 75, 100, 150, 250)</w:t>
        </w:r>
        <w:r w:rsidR="00286264">
          <w:rPr>
            <w:noProof/>
            <w:webHidden/>
          </w:rPr>
          <w:tab/>
        </w:r>
        <w:r w:rsidR="00286264">
          <w:rPr>
            <w:noProof/>
            <w:webHidden/>
          </w:rPr>
          <w:fldChar w:fldCharType="begin"/>
        </w:r>
        <w:r w:rsidR="00286264">
          <w:rPr>
            <w:noProof/>
            <w:webHidden/>
          </w:rPr>
          <w:instrText xml:space="preserve"> PAGEREF _Toc62644607 \h </w:instrText>
        </w:r>
        <w:r w:rsidR="00286264">
          <w:rPr>
            <w:noProof/>
            <w:webHidden/>
          </w:rPr>
        </w:r>
        <w:r w:rsidR="00286264">
          <w:rPr>
            <w:noProof/>
            <w:webHidden/>
          </w:rPr>
          <w:fldChar w:fldCharType="separate"/>
        </w:r>
        <w:r w:rsidR="00286264">
          <w:rPr>
            <w:noProof/>
            <w:webHidden/>
          </w:rPr>
          <w:t>16</w:t>
        </w:r>
        <w:r w:rsidR="00286264">
          <w:rPr>
            <w:noProof/>
            <w:webHidden/>
          </w:rPr>
          <w:fldChar w:fldCharType="end"/>
        </w:r>
      </w:hyperlink>
    </w:p>
    <w:p w14:paraId="5DFF8EA2"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08" w:history="1">
        <w:r w:rsidR="00286264" w:rsidRPr="00B1774E">
          <w:rPr>
            <w:rStyle w:val="Hyperlink"/>
            <w:noProof/>
          </w:rPr>
          <w:t>9.</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'yes' Business Data Plan</w:t>
        </w:r>
        <w:r w:rsidR="00286264">
          <w:rPr>
            <w:noProof/>
            <w:webHidden/>
          </w:rPr>
          <w:tab/>
        </w:r>
        <w:r w:rsidR="00286264">
          <w:rPr>
            <w:noProof/>
            <w:webHidden/>
          </w:rPr>
          <w:fldChar w:fldCharType="begin"/>
        </w:r>
        <w:r w:rsidR="00286264">
          <w:rPr>
            <w:noProof/>
            <w:webHidden/>
          </w:rPr>
          <w:instrText xml:space="preserve"> PAGEREF _Toc62644608 \h </w:instrText>
        </w:r>
        <w:r w:rsidR="00286264">
          <w:rPr>
            <w:noProof/>
            <w:webHidden/>
          </w:rPr>
        </w:r>
        <w:r w:rsidR="00286264">
          <w:rPr>
            <w:noProof/>
            <w:webHidden/>
          </w:rPr>
          <w:fldChar w:fldCharType="separate"/>
        </w:r>
        <w:r w:rsidR="00286264">
          <w:rPr>
            <w:noProof/>
            <w:webHidden/>
          </w:rPr>
          <w:t>18</w:t>
        </w:r>
        <w:r w:rsidR="00286264">
          <w:rPr>
            <w:noProof/>
            <w:webHidden/>
          </w:rPr>
          <w:fldChar w:fldCharType="end"/>
        </w:r>
      </w:hyperlink>
    </w:p>
    <w:p w14:paraId="300FD21E"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09" w:history="1">
        <w:r w:rsidR="00286264" w:rsidRPr="00B1774E">
          <w:rPr>
            <w:rStyle w:val="Hyperlink"/>
            <w:noProof/>
          </w:rPr>
          <w:t>10.</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'yes' Business 9 Plan</w:t>
        </w:r>
        <w:r w:rsidR="00286264">
          <w:rPr>
            <w:noProof/>
            <w:webHidden/>
          </w:rPr>
          <w:tab/>
        </w:r>
        <w:r w:rsidR="00286264">
          <w:rPr>
            <w:noProof/>
            <w:webHidden/>
          </w:rPr>
          <w:fldChar w:fldCharType="begin"/>
        </w:r>
        <w:r w:rsidR="00286264">
          <w:rPr>
            <w:noProof/>
            <w:webHidden/>
          </w:rPr>
          <w:instrText xml:space="preserve"> PAGEREF _Toc62644609 \h </w:instrText>
        </w:r>
        <w:r w:rsidR="00286264">
          <w:rPr>
            <w:noProof/>
            <w:webHidden/>
          </w:rPr>
        </w:r>
        <w:r w:rsidR="00286264">
          <w:rPr>
            <w:noProof/>
            <w:webHidden/>
          </w:rPr>
          <w:fldChar w:fldCharType="separate"/>
        </w:r>
        <w:r w:rsidR="00286264">
          <w:rPr>
            <w:noProof/>
            <w:webHidden/>
          </w:rPr>
          <w:t>19</w:t>
        </w:r>
        <w:r w:rsidR="00286264">
          <w:rPr>
            <w:noProof/>
            <w:webHidden/>
          </w:rPr>
          <w:fldChar w:fldCharType="end"/>
        </w:r>
      </w:hyperlink>
    </w:p>
    <w:p w14:paraId="69FC86A3"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10" w:history="1">
        <w:r w:rsidR="00286264" w:rsidRPr="00B1774E">
          <w:rPr>
            <w:rStyle w:val="Hyperlink"/>
            <w:noProof/>
          </w:rPr>
          <w:t>11.</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'yes' Business $79 Cap Plans</w:t>
        </w:r>
        <w:r w:rsidR="00286264">
          <w:rPr>
            <w:noProof/>
            <w:webHidden/>
          </w:rPr>
          <w:tab/>
        </w:r>
        <w:r w:rsidR="00286264">
          <w:rPr>
            <w:noProof/>
            <w:webHidden/>
          </w:rPr>
          <w:fldChar w:fldCharType="begin"/>
        </w:r>
        <w:r w:rsidR="00286264">
          <w:rPr>
            <w:noProof/>
            <w:webHidden/>
          </w:rPr>
          <w:instrText xml:space="preserve"> PAGEREF _Toc62644610 \h </w:instrText>
        </w:r>
        <w:r w:rsidR="00286264">
          <w:rPr>
            <w:noProof/>
            <w:webHidden/>
          </w:rPr>
        </w:r>
        <w:r w:rsidR="00286264">
          <w:rPr>
            <w:noProof/>
            <w:webHidden/>
          </w:rPr>
          <w:fldChar w:fldCharType="separate"/>
        </w:r>
        <w:r w:rsidR="00286264">
          <w:rPr>
            <w:noProof/>
            <w:webHidden/>
          </w:rPr>
          <w:t>20</w:t>
        </w:r>
        <w:r w:rsidR="00286264">
          <w:rPr>
            <w:noProof/>
            <w:webHidden/>
          </w:rPr>
          <w:fldChar w:fldCharType="end"/>
        </w:r>
      </w:hyperlink>
    </w:p>
    <w:p w14:paraId="17C60ED5"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11" w:history="1">
        <w:r w:rsidR="00286264" w:rsidRPr="00B1774E">
          <w:rPr>
            <w:rStyle w:val="Hyperlink"/>
            <w:noProof/>
            <w:lang w:val="en-AU"/>
          </w:rPr>
          <w:t>12.</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'yes' Business $179 Cap Plans</w:t>
        </w:r>
        <w:r w:rsidR="00286264">
          <w:rPr>
            <w:noProof/>
            <w:webHidden/>
          </w:rPr>
          <w:tab/>
        </w:r>
        <w:r w:rsidR="00286264">
          <w:rPr>
            <w:noProof/>
            <w:webHidden/>
          </w:rPr>
          <w:fldChar w:fldCharType="begin"/>
        </w:r>
        <w:r w:rsidR="00286264">
          <w:rPr>
            <w:noProof/>
            <w:webHidden/>
          </w:rPr>
          <w:instrText xml:space="preserve"> PAGEREF _Toc62644611 \h </w:instrText>
        </w:r>
        <w:r w:rsidR="00286264">
          <w:rPr>
            <w:noProof/>
            <w:webHidden/>
          </w:rPr>
        </w:r>
        <w:r w:rsidR="00286264">
          <w:rPr>
            <w:noProof/>
            <w:webHidden/>
          </w:rPr>
          <w:fldChar w:fldCharType="separate"/>
        </w:r>
        <w:r w:rsidR="00286264">
          <w:rPr>
            <w:noProof/>
            <w:webHidden/>
          </w:rPr>
          <w:t>22</w:t>
        </w:r>
        <w:r w:rsidR="00286264">
          <w:rPr>
            <w:noProof/>
            <w:webHidden/>
          </w:rPr>
          <w:fldChar w:fldCharType="end"/>
        </w:r>
      </w:hyperlink>
    </w:p>
    <w:p w14:paraId="2433BF46"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12" w:history="1">
        <w:r w:rsidR="00286264" w:rsidRPr="00B1774E">
          <w:rPr>
            <w:rStyle w:val="Hyperlink"/>
            <w:noProof/>
            <w:lang w:val="en-AU"/>
          </w:rPr>
          <w:t>13.</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Optus $49 Business Cap Plus PTT Plans</w:t>
        </w:r>
        <w:r w:rsidR="00286264">
          <w:rPr>
            <w:noProof/>
            <w:webHidden/>
          </w:rPr>
          <w:tab/>
        </w:r>
        <w:r w:rsidR="00286264">
          <w:rPr>
            <w:noProof/>
            <w:webHidden/>
          </w:rPr>
          <w:fldChar w:fldCharType="begin"/>
        </w:r>
        <w:r w:rsidR="00286264">
          <w:rPr>
            <w:noProof/>
            <w:webHidden/>
          </w:rPr>
          <w:instrText xml:space="preserve"> PAGEREF _Toc62644612 \h </w:instrText>
        </w:r>
        <w:r w:rsidR="00286264">
          <w:rPr>
            <w:noProof/>
            <w:webHidden/>
          </w:rPr>
        </w:r>
        <w:r w:rsidR="00286264">
          <w:rPr>
            <w:noProof/>
            <w:webHidden/>
          </w:rPr>
          <w:fldChar w:fldCharType="separate"/>
        </w:r>
        <w:r w:rsidR="00286264">
          <w:rPr>
            <w:noProof/>
            <w:webHidden/>
          </w:rPr>
          <w:t>24</w:t>
        </w:r>
        <w:r w:rsidR="00286264">
          <w:rPr>
            <w:noProof/>
            <w:webHidden/>
          </w:rPr>
          <w:fldChar w:fldCharType="end"/>
        </w:r>
      </w:hyperlink>
    </w:p>
    <w:p w14:paraId="703D9540"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13" w:history="1">
        <w:r w:rsidR="00286264" w:rsidRPr="00B1774E">
          <w:rPr>
            <w:rStyle w:val="Hyperlink"/>
            <w:noProof/>
          </w:rPr>
          <w:t>14.</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'yes' Business Smart Plans (29, 39, 49, 59, 79, 99, 149, 249)</w:t>
        </w:r>
        <w:r w:rsidR="00286264">
          <w:rPr>
            <w:noProof/>
            <w:webHidden/>
          </w:rPr>
          <w:tab/>
        </w:r>
        <w:r w:rsidR="00286264">
          <w:rPr>
            <w:noProof/>
            <w:webHidden/>
          </w:rPr>
          <w:fldChar w:fldCharType="begin"/>
        </w:r>
        <w:r w:rsidR="00286264">
          <w:rPr>
            <w:noProof/>
            <w:webHidden/>
          </w:rPr>
          <w:instrText xml:space="preserve"> PAGEREF _Toc62644613 \h </w:instrText>
        </w:r>
        <w:r w:rsidR="00286264">
          <w:rPr>
            <w:noProof/>
            <w:webHidden/>
          </w:rPr>
        </w:r>
        <w:r w:rsidR="00286264">
          <w:rPr>
            <w:noProof/>
            <w:webHidden/>
          </w:rPr>
          <w:fldChar w:fldCharType="separate"/>
        </w:r>
        <w:r w:rsidR="00286264">
          <w:rPr>
            <w:noProof/>
            <w:webHidden/>
          </w:rPr>
          <w:t>27</w:t>
        </w:r>
        <w:r w:rsidR="00286264">
          <w:rPr>
            <w:noProof/>
            <w:webHidden/>
          </w:rPr>
          <w:fldChar w:fldCharType="end"/>
        </w:r>
      </w:hyperlink>
    </w:p>
    <w:p w14:paraId="0593BAA1"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14" w:history="1">
        <w:r w:rsidR="00286264" w:rsidRPr="00B1774E">
          <w:rPr>
            <w:rStyle w:val="Hyperlink"/>
            <w:noProof/>
            <w:lang w:val="en-AU"/>
          </w:rPr>
          <w:t>15.</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'yes' Business Smart 6+ Plans (29, 39, 49, 59, 79, 99, 149, 249)</w:t>
        </w:r>
        <w:r w:rsidR="00286264">
          <w:rPr>
            <w:noProof/>
            <w:webHidden/>
          </w:rPr>
          <w:tab/>
        </w:r>
        <w:r w:rsidR="00286264">
          <w:rPr>
            <w:noProof/>
            <w:webHidden/>
          </w:rPr>
          <w:fldChar w:fldCharType="begin"/>
        </w:r>
        <w:r w:rsidR="00286264">
          <w:rPr>
            <w:noProof/>
            <w:webHidden/>
          </w:rPr>
          <w:instrText xml:space="preserve"> PAGEREF _Toc62644614 \h </w:instrText>
        </w:r>
        <w:r w:rsidR="00286264">
          <w:rPr>
            <w:noProof/>
            <w:webHidden/>
          </w:rPr>
        </w:r>
        <w:r w:rsidR="00286264">
          <w:rPr>
            <w:noProof/>
            <w:webHidden/>
          </w:rPr>
          <w:fldChar w:fldCharType="separate"/>
        </w:r>
        <w:r w:rsidR="00286264">
          <w:rPr>
            <w:noProof/>
            <w:webHidden/>
          </w:rPr>
          <w:t>36</w:t>
        </w:r>
        <w:r w:rsidR="00286264">
          <w:rPr>
            <w:noProof/>
            <w:webHidden/>
          </w:rPr>
          <w:fldChar w:fldCharType="end"/>
        </w:r>
      </w:hyperlink>
    </w:p>
    <w:p w14:paraId="0F6B6811"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15" w:history="1">
        <w:r w:rsidR="00286264" w:rsidRPr="00B1774E">
          <w:rPr>
            <w:rStyle w:val="Hyperlink"/>
            <w:noProof/>
          </w:rPr>
          <w:t>16.</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'Yes' Business Smart 20+ Plans</w:t>
        </w:r>
        <w:r w:rsidR="00286264">
          <w:rPr>
            <w:noProof/>
            <w:webHidden/>
          </w:rPr>
          <w:tab/>
        </w:r>
        <w:r w:rsidR="00286264">
          <w:rPr>
            <w:noProof/>
            <w:webHidden/>
          </w:rPr>
          <w:fldChar w:fldCharType="begin"/>
        </w:r>
        <w:r w:rsidR="00286264">
          <w:rPr>
            <w:noProof/>
            <w:webHidden/>
          </w:rPr>
          <w:instrText xml:space="preserve"> PAGEREF _Toc62644615 \h </w:instrText>
        </w:r>
        <w:r w:rsidR="00286264">
          <w:rPr>
            <w:noProof/>
            <w:webHidden/>
          </w:rPr>
        </w:r>
        <w:r w:rsidR="00286264">
          <w:rPr>
            <w:noProof/>
            <w:webHidden/>
          </w:rPr>
          <w:fldChar w:fldCharType="separate"/>
        </w:r>
        <w:r w:rsidR="00286264">
          <w:rPr>
            <w:noProof/>
            <w:webHidden/>
          </w:rPr>
          <w:t>45</w:t>
        </w:r>
        <w:r w:rsidR="00286264">
          <w:rPr>
            <w:noProof/>
            <w:webHidden/>
          </w:rPr>
          <w:fldChar w:fldCharType="end"/>
        </w:r>
      </w:hyperlink>
    </w:p>
    <w:p w14:paraId="268402C8"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16" w:history="1">
        <w:r w:rsidR="00286264" w:rsidRPr="00B1774E">
          <w:rPr>
            <w:rStyle w:val="Hyperlink"/>
            <w:noProof/>
          </w:rPr>
          <w:t>17.</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'yes' Business Plans for iPhone 3G (29, 39, 49, 59, 79, 99, 149, 249)</w:t>
        </w:r>
        <w:r w:rsidR="00286264">
          <w:rPr>
            <w:noProof/>
            <w:webHidden/>
          </w:rPr>
          <w:tab/>
        </w:r>
        <w:r w:rsidR="00286264">
          <w:rPr>
            <w:noProof/>
            <w:webHidden/>
          </w:rPr>
          <w:fldChar w:fldCharType="begin"/>
        </w:r>
        <w:r w:rsidR="00286264">
          <w:rPr>
            <w:noProof/>
            <w:webHidden/>
          </w:rPr>
          <w:instrText xml:space="preserve"> PAGEREF _Toc62644616 \h </w:instrText>
        </w:r>
        <w:r w:rsidR="00286264">
          <w:rPr>
            <w:noProof/>
            <w:webHidden/>
          </w:rPr>
        </w:r>
        <w:r w:rsidR="00286264">
          <w:rPr>
            <w:noProof/>
            <w:webHidden/>
          </w:rPr>
          <w:fldChar w:fldCharType="separate"/>
        </w:r>
        <w:r w:rsidR="00286264">
          <w:rPr>
            <w:noProof/>
            <w:webHidden/>
          </w:rPr>
          <w:t>52</w:t>
        </w:r>
        <w:r w:rsidR="00286264">
          <w:rPr>
            <w:noProof/>
            <w:webHidden/>
          </w:rPr>
          <w:fldChar w:fldCharType="end"/>
        </w:r>
      </w:hyperlink>
    </w:p>
    <w:p w14:paraId="316B8BBF"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17" w:history="1">
        <w:r w:rsidR="00286264" w:rsidRPr="00B1774E">
          <w:rPr>
            <w:rStyle w:val="Hyperlink"/>
            <w:noProof/>
          </w:rPr>
          <w:t>18.</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Business Cap Plans for iPhone 3G (49, 59, 79, 89, 99, 149, 179, 199)</w:t>
        </w:r>
        <w:r w:rsidR="00286264">
          <w:rPr>
            <w:noProof/>
            <w:webHidden/>
          </w:rPr>
          <w:tab/>
        </w:r>
        <w:r w:rsidR="00286264">
          <w:rPr>
            <w:noProof/>
            <w:webHidden/>
          </w:rPr>
          <w:fldChar w:fldCharType="begin"/>
        </w:r>
        <w:r w:rsidR="00286264">
          <w:rPr>
            <w:noProof/>
            <w:webHidden/>
          </w:rPr>
          <w:instrText xml:space="preserve"> PAGEREF _Toc62644617 \h </w:instrText>
        </w:r>
        <w:r w:rsidR="00286264">
          <w:rPr>
            <w:noProof/>
            <w:webHidden/>
          </w:rPr>
        </w:r>
        <w:r w:rsidR="00286264">
          <w:rPr>
            <w:noProof/>
            <w:webHidden/>
          </w:rPr>
          <w:fldChar w:fldCharType="separate"/>
        </w:r>
        <w:r w:rsidR="00286264">
          <w:rPr>
            <w:noProof/>
            <w:webHidden/>
          </w:rPr>
          <w:t>60</w:t>
        </w:r>
        <w:r w:rsidR="00286264">
          <w:rPr>
            <w:noProof/>
            <w:webHidden/>
          </w:rPr>
          <w:fldChar w:fldCharType="end"/>
        </w:r>
      </w:hyperlink>
    </w:p>
    <w:p w14:paraId="05DCF71B"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18" w:history="1">
        <w:r w:rsidR="00286264" w:rsidRPr="00B1774E">
          <w:rPr>
            <w:rStyle w:val="Hyperlink"/>
            <w:noProof/>
          </w:rPr>
          <w:t>19.</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'yes' Business Smart 50+ Plans</w:t>
        </w:r>
        <w:r w:rsidR="00286264">
          <w:rPr>
            <w:noProof/>
            <w:webHidden/>
          </w:rPr>
          <w:tab/>
        </w:r>
        <w:r w:rsidR="00286264">
          <w:rPr>
            <w:noProof/>
            <w:webHidden/>
          </w:rPr>
          <w:fldChar w:fldCharType="begin"/>
        </w:r>
        <w:r w:rsidR="00286264">
          <w:rPr>
            <w:noProof/>
            <w:webHidden/>
          </w:rPr>
          <w:instrText xml:space="preserve"> PAGEREF _Toc62644618 \h </w:instrText>
        </w:r>
        <w:r w:rsidR="00286264">
          <w:rPr>
            <w:noProof/>
            <w:webHidden/>
          </w:rPr>
        </w:r>
        <w:r w:rsidR="00286264">
          <w:rPr>
            <w:noProof/>
            <w:webHidden/>
          </w:rPr>
          <w:fldChar w:fldCharType="separate"/>
        </w:r>
        <w:r w:rsidR="00286264">
          <w:rPr>
            <w:noProof/>
            <w:webHidden/>
          </w:rPr>
          <w:t>67</w:t>
        </w:r>
        <w:r w:rsidR="00286264">
          <w:rPr>
            <w:noProof/>
            <w:webHidden/>
          </w:rPr>
          <w:fldChar w:fldCharType="end"/>
        </w:r>
      </w:hyperlink>
    </w:p>
    <w:p w14:paraId="09007CB0"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19" w:history="1">
        <w:r w:rsidR="00286264" w:rsidRPr="00B1774E">
          <w:rPr>
            <w:rStyle w:val="Hyperlink"/>
            <w:noProof/>
          </w:rPr>
          <w:t>20.</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'yes' Business Smart Cap Plans (49, 79, 99, 149, 199)</w:t>
        </w:r>
        <w:r w:rsidR="00286264">
          <w:rPr>
            <w:noProof/>
            <w:webHidden/>
          </w:rPr>
          <w:tab/>
        </w:r>
        <w:r w:rsidR="00286264">
          <w:rPr>
            <w:noProof/>
            <w:webHidden/>
          </w:rPr>
          <w:fldChar w:fldCharType="begin"/>
        </w:r>
        <w:r w:rsidR="00286264">
          <w:rPr>
            <w:noProof/>
            <w:webHidden/>
          </w:rPr>
          <w:instrText xml:space="preserve"> PAGEREF _Toc62644619 \h </w:instrText>
        </w:r>
        <w:r w:rsidR="00286264">
          <w:rPr>
            <w:noProof/>
            <w:webHidden/>
          </w:rPr>
        </w:r>
        <w:r w:rsidR="00286264">
          <w:rPr>
            <w:noProof/>
            <w:webHidden/>
          </w:rPr>
          <w:fldChar w:fldCharType="separate"/>
        </w:r>
        <w:r w:rsidR="00286264">
          <w:rPr>
            <w:noProof/>
            <w:webHidden/>
          </w:rPr>
          <w:t>71</w:t>
        </w:r>
        <w:r w:rsidR="00286264">
          <w:rPr>
            <w:noProof/>
            <w:webHidden/>
          </w:rPr>
          <w:fldChar w:fldCharType="end"/>
        </w:r>
      </w:hyperlink>
    </w:p>
    <w:p w14:paraId="72BC100D"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20" w:history="1">
        <w:r w:rsidR="00286264" w:rsidRPr="00B1774E">
          <w:rPr>
            <w:rStyle w:val="Hyperlink"/>
            <w:noProof/>
          </w:rPr>
          <w:t>21.</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'yes' Business Smart Cap Plans 6+ (49, 79, 99, 149, 199)</w:t>
        </w:r>
        <w:r w:rsidR="00286264">
          <w:rPr>
            <w:noProof/>
            <w:webHidden/>
          </w:rPr>
          <w:tab/>
        </w:r>
        <w:r w:rsidR="00286264">
          <w:rPr>
            <w:noProof/>
            <w:webHidden/>
          </w:rPr>
          <w:fldChar w:fldCharType="begin"/>
        </w:r>
        <w:r w:rsidR="00286264">
          <w:rPr>
            <w:noProof/>
            <w:webHidden/>
          </w:rPr>
          <w:instrText xml:space="preserve"> PAGEREF _Toc62644620 \h </w:instrText>
        </w:r>
        <w:r w:rsidR="00286264">
          <w:rPr>
            <w:noProof/>
            <w:webHidden/>
          </w:rPr>
        </w:r>
        <w:r w:rsidR="00286264">
          <w:rPr>
            <w:noProof/>
            <w:webHidden/>
          </w:rPr>
          <w:fldChar w:fldCharType="separate"/>
        </w:r>
        <w:r w:rsidR="00286264">
          <w:rPr>
            <w:noProof/>
            <w:webHidden/>
          </w:rPr>
          <w:t>77</w:t>
        </w:r>
        <w:r w:rsidR="00286264">
          <w:rPr>
            <w:noProof/>
            <w:webHidden/>
          </w:rPr>
          <w:fldChar w:fldCharType="end"/>
        </w:r>
      </w:hyperlink>
    </w:p>
    <w:p w14:paraId="33C0B1B1"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21" w:history="1">
        <w:r w:rsidR="00286264" w:rsidRPr="00B1774E">
          <w:rPr>
            <w:rStyle w:val="Hyperlink"/>
            <w:noProof/>
          </w:rPr>
          <w:t>22.</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'yes' Business Share Mobile Cap Plans (45, 65, 85)</w:t>
        </w:r>
        <w:r w:rsidR="00286264">
          <w:rPr>
            <w:noProof/>
            <w:webHidden/>
          </w:rPr>
          <w:tab/>
        </w:r>
        <w:r w:rsidR="00286264">
          <w:rPr>
            <w:noProof/>
            <w:webHidden/>
          </w:rPr>
          <w:fldChar w:fldCharType="begin"/>
        </w:r>
        <w:r w:rsidR="00286264">
          <w:rPr>
            <w:noProof/>
            <w:webHidden/>
          </w:rPr>
          <w:instrText xml:space="preserve"> PAGEREF _Toc62644621 \h </w:instrText>
        </w:r>
        <w:r w:rsidR="00286264">
          <w:rPr>
            <w:noProof/>
            <w:webHidden/>
          </w:rPr>
        </w:r>
        <w:r w:rsidR="00286264">
          <w:rPr>
            <w:noProof/>
            <w:webHidden/>
          </w:rPr>
          <w:fldChar w:fldCharType="separate"/>
        </w:r>
        <w:r w:rsidR="00286264">
          <w:rPr>
            <w:noProof/>
            <w:webHidden/>
          </w:rPr>
          <w:t>83</w:t>
        </w:r>
        <w:r w:rsidR="00286264">
          <w:rPr>
            <w:noProof/>
            <w:webHidden/>
          </w:rPr>
          <w:fldChar w:fldCharType="end"/>
        </w:r>
      </w:hyperlink>
    </w:p>
    <w:p w14:paraId="026DAD98"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22" w:history="1">
        <w:r w:rsidR="00286264" w:rsidRPr="00B1774E">
          <w:rPr>
            <w:rStyle w:val="Hyperlink"/>
            <w:noProof/>
            <w:lang w:val="en-AU"/>
          </w:rPr>
          <w:t>23.</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Business Internet Cap Plans (59)</w:t>
        </w:r>
        <w:r w:rsidR="00286264">
          <w:rPr>
            <w:noProof/>
            <w:webHidden/>
          </w:rPr>
          <w:tab/>
        </w:r>
        <w:r w:rsidR="00286264">
          <w:rPr>
            <w:noProof/>
            <w:webHidden/>
          </w:rPr>
          <w:fldChar w:fldCharType="begin"/>
        </w:r>
        <w:r w:rsidR="00286264">
          <w:rPr>
            <w:noProof/>
            <w:webHidden/>
          </w:rPr>
          <w:instrText xml:space="preserve"> PAGEREF _Toc62644622 \h </w:instrText>
        </w:r>
        <w:r w:rsidR="00286264">
          <w:rPr>
            <w:noProof/>
            <w:webHidden/>
          </w:rPr>
        </w:r>
        <w:r w:rsidR="00286264">
          <w:rPr>
            <w:noProof/>
            <w:webHidden/>
          </w:rPr>
          <w:fldChar w:fldCharType="separate"/>
        </w:r>
        <w:r w:rsidR="00286264">
          <w:rPr>
            <w:noProof/>
            <w:webHidden/>
          </w:rPr>
          <w:t>88</w:t>
        </w:r>
        <w:r w:rsidR="00286264">
          <w:rPr>
            <w:noProof/>
            <w:webHidden/>
          </w:rPr>
          <w:fldChar w:fldCharType="end"/>
        </w:r>
      </w:hyperlink>
    </w:p>
    <w:p w14:paraId="44A94EF9"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23" w:history="1">
        <w:r w:rsidR="00286264" w:rsidRPr="00B1774E">
          <w:rPr>
            <w:rStyle w:val="Hyperlink"/>
            <w:noProof/>
          </w:rPr>
          <w:t>24.</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'yes' Business Cap Plans (Incorporating 'yes' Business $49 Cap Plan, 'yes' Business $59 Cap Plan, 'yes' Business $79 Cap Plan) (SMB Plans), Effective from 3 May 2009.</w:t>
        </w:r>
        <w:r w:rsidR="00286264">
          <w:rPr>
            <w:noProof/>
            <w:webHidden/>
          </w:rPr>
          <w:tab/>
        </w:r>
        <w:r w:rsidR="00286264">
          <w:rPr>
            <w:noProof/>
            <w:webHidden/>
          </w:rPr>
          <w:fldChar w:fldCharType="begin"/>
        </w:r>
        <w:r w:rsidR="00286264">
          <w:rPr>
            <w:noProof/>
            <w:webHidden/>
          </w:rPr>
          <w:instrText xml:space="preserve"> PAGEREF _Toc62644623 \h </w:instrText>
        </w:r>
        <w:r w:rsidR="00286264">
          <w:rPr>
            <w:noProof/>
            <w:webHidden/>
          </w:rPr>
        </w:r>
        <w:r w:rsidR="00286264">
          <w:rPr>
            <w:noProof/>
            <w:webHidden/>
          </w:rPr>
          <w:fldChar w:fldCharType="separate"/>
        </w:r>
        <w:r w:rsidR="00286264">
          <w:rPr>
            <w:noProof/>
            <w:webHidden/>
          </w:rPr>
          <w:t>95</w:t>
        </w:r>
        <w:r w:rsidR="00286264">
          <w:rPr>
            <w:noProof/>
            <w:webHidden/>
          </w:rPr>
          <w:fldChar w:fldCharType="end"/>
        </w:r>
      </w:hyperlink>
    </w:p>
    <w:p w14:paraId="2E478D7D"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24" w:history="1">
        <w:r w:rsidR="00286264" w:rsidRPr="00B1774E">
          <w:rPr>
            <w:rStyle w:val="Hyperlink"/>
            <w:noProof/>
          </w:rPr>
          <w:t>25.</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'yes' Business Cap iPhone Plans (Incorporating 'yes' Business $49 Cap iPhone Plan, 'yes' Business $59 Cap iPhone Plan, 'yes' Business $79 Cap iPhone Plan) (SMB Plans), Effective from 26 June 2009.</w:t>
        </w:r>
        <w:r w:rsidR="00286264">
          <w:rPr>
            <w:noProof/>
            <w:webHidden/>
          </w:rPr>
          <w:tab/>
        </w:r>
        <w:r w:rsidR="00286264">
          <w:rPr>
            <w:noProof/>
            <w:webHidden/>
          </w:rPr>
          <w:fldChar w:fldCharType="begin"/>
        </w:r>
        <w:r w:rsidR="00286264">
          <w:rPr>
            <w:noProof/>
            <w:webHidden/>
          </w:rPr>
          <w:instrText xml:space="preserve"> PAGEREF _Toc62644624 \h </w:instrText>
        </w:r>
        <w:r w:rsidR="00286264">
          <w:rPr>
            <w:noProof/>
            <w:webHidden/>
          </w:rPr>
        </w:r>
        <w:r w:rsidR="00286264">
          <w:rPr>
            <w:noProof/>
            <w:webHidden/>
          </w:rPr>
          <w:fldChar w:fldCharType="separate"/>
        </w:r>
        <w:r w:rsidR="00286264">
          <w:rPr>
            <w:noProof/>
            <w:webHidden/>
          </w:rPr>
          <w:t>105</w:t>
        </w:r>
        <w:r w:rsidR="00286264">
          <w:rPr>
            <w:noProof/>
            <w:webHidden/>
          </w:rPr>
          <w:fldChar w:fldCharType="end"/>
        </w:r>
      </w:hyperlink>
    </w:p>
    <w:p w14:paraId="0A0BB587"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25" w:history="1">
        <w:r w:rsidR="00286264" w:rsidRPr="00B1774E">
          <w:rPr>
            <w:rStyle w:val="Hyperlink"/>
            <w:noProof/>
          </w:rPr>
          <w:t>26.</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Business Select Plans</w:t>
        </w:r>
        <w:r w:rsidR="00286264">
          <w:rPr>
            <w:noProof/>
            <w:webHidden/>
          </w:rPr>
          <w:tab/>
        </w:r>
        <w:r w:rsidR="00286264">
          <w:rPr>
            <w:noProof/>
            <w:webHidden/>
          </w:rPr>
          <w:fldChar w:fldCharType="begin"/>
        </w:r>
        <w:r w:rsidR="00286264">
          <w:rPr>
            <w:noProof/>
            <w:webHidden/>
          </w:rPr>
          <w:instrText xml:space="preserve"> PAGEREF _Toc62644625 \h </w:instrText>
        </w:r>
        <w:r w:rsidR="00286264">
          <w:rPr>
            <w:noProof/>
            <w:webHidden/>
          </w:rPr>
        </w:r>
        <w:r w:rsidR="00286264">
          <w:rPr>
            <w:noProof/>
            <w:webHidden/>
          </w:rPr>
          <w:fldChar w:fldCharType="separate"/>
        </w:r>
        <w:r w:rsidR="00286264">
          <w:rPr>
            <w:noProof/>
            <w:webHidden/>
          </w:rPr>
          <w:t>118</w:t>
        </w:r>
        <w:r w:rsidR="00286264">
          <w:rPr>
            <w:noProof/>
            <w:webHidden/>
          </w:rPr>
          <w:fldChar w:fldCharType="end"/>
        </w:r>
      </w:hyperlink>
    </w:p>
    <w:p w14:paraId="7E3FA999"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26" w:history="1">
        <w:r w:rsidR="00286264" w:rsidRPr="00B1774E">
          <w:rPr>
            <w:rStyle w:val="Hyperlink"/>
            <w:noProof/>
          </w:rPr>
          <w:t>27.</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Timeless Business Plans (Incorporating Timeless Business $99 + $14.99 Mobile Internet Plan, Smart Data or Blackberry Bolt On, Timeless Business $119 Plan and Timeless Business $129 Plan)</w:t>
        </w:r>
        <w:r w:rsidR="00286264">
          <w:rPr>
            <w:noProof/>
            <w:webHidden/>
          </w:rPr>
          <w:tab/>
        </w:r>
        <w:r w:rsidR="00286264">
          <w:rPr>
            <w:noProof/>
            <w:webHidden/>
          </w:rPr>
          <w:fldChar w:fldCharType="begin"/>
        </w:r>
        <w:r w:rsidR="00286264">
          <w:rPr>
            <w:noProof/>
            <w:webHidden/>
          </w:rPr>
          <w:instrText xml:space="preserve"> PAGEREF _Toc62644626 \h </w:instrText>
        </w:r>
        <w:r w:rsidR="00286264">
          <w:rPr>
            <w:noProof/>
            <w:webHidden/>
          </w:rPr>
        </w:r>
        <w:r w:rsidR="00286264">
          <w:rPr>
            <w:noProof/>
            <w:webHidden/>
          </w:rPr>
          <w:fldChar w:fldCharType="separate"/>
        </w:r>
        <w:r w:rsidR="00286264">
          <w:rPr>
            <w:noProof/>
            <w:webHidden/>
          </w:rPr>
          <w:t>124</w:t>
        </w:r>
        <w:r w:rsidR="00286264">
          <w:rPr>
            <w:noProof/>
            <w:webHidden/>
          </w:rPr>
          <w:fldChar w:fldCharType="end"/>
        </w:r>
      </w:hyperlink>
    </w:p>
    <w:p w14:paraId="6B5A3D34"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27" w:history="1">
        <w:r w:rsidR="00286264" w:rsidRPr="00B1774E">
          <w:rPr>
            <w:rStyle w:val="Hyperlink"/>
            <w:noProof/>
          </w:rPr>
          <w:t>28.</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Timeless Business Plans for iPhone 3G (Incorporating Timeless Business $99 Plan + $14.99 Mobile Internet Pack or Smart Data Bolt on for iPhone 3G, Timeless Business $119 Plan for iPhone 3G, Timeless Business $129 Plan For iPhone 3G)</w:t>
        </w:r>
        <w:r w:rsidR="00286264">
          <w:rPr>
            <w:noProof/>
            <w:webHidden/>
          </w:rPr>
          <w:tab/>
        </w:r>
        <w:r w:rsidR="00286264">
          <w:rPr>
            <w:noProof/>
            <w:webHidden/>
          </w:rPr>
          <w:fldChar w:fldCharType="begin"/>
        </w:r>
        <w:r w:rsidR="00286264">
          <w:rPr>
            <w:noProof/>
            <w:webHidden/>
          </w:rPr>
          <w:instrText xml:space="preserve"> PAGEREF _Toc62644627 \h </w:instrText>
        </w:r>
        <w:r w:rsidR="00286264">
          <w:rPr>
            <w:noProof/>
            <w:webHidden/>
          </w:rPr>
        </w:r>
        <w:r w:rsidR="00286264">
          <w:rPr>
            <w:noProof/>
            <w:webHidden/>
          </w:rPr>
          <w:fldChar w:fldCharType="separate"/>
        </w:r>
        <w:r w:rsidR="00286264">
          <w:rPr>
            <w:noProof/>
            <w:webHidden/>
          </w:rPr>
          <w:t>135</w:t>
        </w:r>
        <w:r w:rsidR="00286264">
          <w:rPr>
            <w:noProof/>
            <w:webHidden/>
          </w:rPr>
          <w:fldChar w:fldCharType="end"/>
        </w:r>
      </w:hyperlink>
    </w:p>
    <w:p w14:paraId="7FEAE002"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28" w:history="1">
        <w:r w:rsidR="00286264" w:rsidRPr="00B1774E">
          <w:rPr>
            <w:rStyle w:val="Hyperlink"/>
            <w:noProof/>
          </w:rPr>
          <w:t>29.</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Bus Business Internet Plans (Incorporating Timeless Business Internet $99 Plan + $14.99 Mobile Internet Pack or 'yes' Business Data Bolt On, Timeless Business Internet $129 Plan)</w:t>
        </w:r>
        <w:r w:rsidR="00286264">
          <w:rPr>
            <w:noProof/>
            <w:webHidden/>
          </w:rPr>
          <w:tab/>
        </w:r>
        <w:r w:rsidR="00286264">
          <w:rPr>
            <w:noProof/>
            <w:webHidden/>
          </w:rPr>
          <w:fldChar w:fldCharType="begin"/>
        </w:r>
        <w:r w:rsidR="00286264">
          <w:rPr>
            <w:noProof/>
            <w:webHidden/>
          </w:rPr>
          <w:instrText xml:space="preserve"> PAGEREF _Toc62644628 \h </w:instrText>
        </w:r>
        <w:r w:rsidR="00286264">
          <w:rPr>
            <w:noProof/>
            <w:webHidden/>
          </w:rPr>
        </w:r>
        <w:r w:rsidR="00286264">
          <w:rPr>
            <w:noProof/>
            <w:webHidden/>
          </w:rPr>
          <w:fldChar w:fldCharType="separate"/>
        </w:r>
        <w:r w:rsidR="00286264">
          <w:rPr>
            <w:noProof/>
            <w:webHidden/>
          </w:rPr>
          <w:t>145</w:t>
        </w:r>
        <w:r w:rsidR="00286264">
          <w:rPr>
            <w:noProof/>
            <w:webHidden/>
          </w:rPr>
          <w:fldChar w:fldCharType="end"/>
        </w:r>
      </w:hyperlink>
    </w:p>
    <w:p w14:paraId="70A0B11F"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29" w:history="1">
        <w:r w:rsidR="00286264" w:rsidRPr="00B1774E">
          <w:rPr>
            <w:rStyle w:val="Hyperlink"/>
            <w:noProof/>
          </w:rPr>
          <w:t>30.</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Business Timeless Max Plans (Incorporating $99 Business Timeless Max, $115 Business Timeless Max, $129 Business Timeless Max) Effective from 9 May 2010.</w:t>
        </w:r>
        <w:r w:rsidR="00286264">
          <w:rPr>
            <w:noProof/>
            <w:webHidden/>
          </w:rPr>
          <w:tab/>
        </w:r>
        <w:r w:rsidR="00286264">
          <w:rPr>
            <w:noProof/>
            <w:webHidden/>
          </w:rPr>
          <w:fldChar w:fldCharType="begin"/>
        </w:r>
        <w:r w:rsidR="00286264">
          <w:rPr>
            <w:noProof/>
            <w:webHidden/>
          </w:rPr>
          <w:instrText xml:space="preserve"> PAGEREF _Toc62644629 \h </w:instrText>
        </w:r>
        <w:r w:rsidR="00286264">
          <w:rPr>
            <w:noProof/>
            <w:webHidden/>
          </w:rPr>
        </w:r>
        <w:r w:rsidR="00286264">
          <w:rPr>
            <w:noProof/>
            <w:webHidden/>
          </w:rPr>
          <w:fldChar w:fldCharType="separate"/>
        </w:r>
        <w:r w:rsidR="00286264">
          <w:rPr>
            <w:noProof/>
            <w:webHidden/>
          </w:rPr>
          <w:t>152</w:t>
        </w:r>
        <w:r w:rsidR="00286264">
          <w:rPr>
            <w:noProof/>
            <w:webHidden/>
          </w:rPr>
          <w:fldChar w:fldCharType="end"/>
        </w:r>
      </w:hyperlink>
    </w:p>
    <w:p w14:paraId="5FB7F0F7"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30" w:history="1">
        <w:r w:rsidR="00286264" w:rsidRPr="00B1774E">
          <w:rPr>
            <w:rStyle w:val="Hyperlink"/>
            <w:noProof/>
          </w:rPr>
          <w:t>31.</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Business Complete Max Plans (Incorporating $49 Business Complete Max, $59 Business Complete Max, $79 Business Complete Max and $10 Business Complete Max Business Mobile Broadband Plan) Effective from 4 July 2010.</w:t>
        </w:r>
        <w:r w:rsidR="00286264">
          <w:rPr>
            <w:noProof/>
            <w:webHidden/>
          </w:rPr>
          <w:tab/>
        </w:r>
        <w:r w:rsidR="00286264">
          <w:rPr>
            <w:noProof/>
            <w:webHidden/>
          </w:rPr>
          <w:fldChar w:fldCharType="begin"/>
        </w:r>
        <w:r w:rsidR="00286264">
          <w:rPr>
            <w:noProof/>
            <w:webHidden/>
          </w:rPr>
          <w:instrText xml:space="preserve"> PAGEREF _Toc62644630 \h </w:instrText>
        </w:r>
        <w:r w:rsidR="00286264">
          <w:rPr>
            <w:noProof/>
            <w:webHidden/>
          </w:rPr>
        </w:r>
        <w:r w:rsidR="00286264">
          <w:rPr>
            <w:noProof/>
            <w:webHidden/>
          </w:rPr>
          <w:fldChar w:fldCharType="separate"/>
        </w:r>
        <w:r w:rsidR="00286264">
          <w:rPr>
            <w:noProof/>
            <w:webHidden/>
          </w:rPr>
          <w:t>162</w:t>
        </w:r>
        <w:r w:rsidR="00286264">
          <w:rPr>
            <w:noProof/>
            <w:webHidden/>
          </w:rPr>
          <w:fldChar w:fldCharType="end"/>
        </w:r>
      </w:hyperlink>
    </w:p>
    <w:p w14:paraId="2EA41391"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31" w:history="1">
        <w:r w:rsidR="00286264" w:rsidRPr="00B1774E">
          <w:rPr>
            <w:rStyle w:val="Hyperlink"/>
            <w:noProof/>
          </w:rPr>
          <w:t>32.</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Business Complete Advantage Plans (Incorporating $49 Business Complete Advantage, $59 Business Complete Advantage, $79 Business Complete Advantage and $15 Business Advantage Business Mobile Broadband Plan) Effective from 30 July 2010.</w:t>
        </w:r>
        <w:r w:rsidR="00286264">
          <w:rPr>
            <w:noProof/>
            <w:webHidden/>
          </w:rPr>
          <w:tab/>
        </w:r>
        <w:r w:rsidR="00286264">
          <w:rPr>
            <w:noProof/>
            <w:webHidden/>
          </w:rPr>
          <w:fldChar w:fldCharType="begin"/>
        </w:r>
        <w:r w:rsidR="00286264">
          <w:rPr>
            <w:noProof/>
            <w:webHidden/>
          </w:rPr>
          <w:instrText xml:space="preserve"> PAGEREF _Toc62644631 \h </w:instrText>
        </w:r>
        <w:r w:rsidR="00286264">
          <w:rPr>
            <w:noProof/>
            <w:webHidden/>
          </w:rPr>
        </w:r>
        <w:r w:rsidR="00286264">
          <w:rPr>
            <w:noProof/>
            <w:webHidden/>
          </w:rPr>
          <w:fldChar w:fldCharType="separate"/>
        </w:r>
        <w:r w:rsidR="00286264">
          <w:rPr>
            <w:noProof/>
            <w:webHidden/>
          </w:rPr>
          <w:t>176</w:t>
        </w:r>
        <w:r w:rsidR="00286264">
          <w:rPr>
            <w:noProof/>
            <w:webHidden/>
          </w:rPr>
          <w:fldChar w:fldCharType="end"/>
        </w:r>
      </w:hyperlink>
    </w:p>
    <w:p w14:paraId="678F615D"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32" w:history="1">
        <w:r w:rsidR="00286264" w:rsidRPr="00B1774E">
          <w:rPr>
            <w:rStyle w:val="Hyperlink"/>
            <w:noProof/>
          </w:rPr>
          <w:t>33.</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Business Timeless Advantage Plans (incorporating $89 Business Timeless Advantage, $99 Business Timeless Advantage, $129 Business Timeless Advantage &amp; $10 Business Advantage Business Mobile Broadband Plan) effective from 30 july 2010 and $69 Business Timeless Advantage BYO Plan effective from 5 September 2010 and $99 Business Timeless Advantage (Premium H/Set) and $129 Business Timeless Advantage (Premium H/Set) effective from 12 December 2010.</w:t>
        </w:r>
        <w:r w:rsidR="00286264">
          <w:rPr>
            <w:noProof/>
            <w:webHidden/>
          </w:rPr>
          <w:tab/>
        </w:r>
        <w:r w:rsidR="00286264">
          <w:rPr>
            <w:noProof/>
            <w:webHidden/>
          </w:rPr>
          <w:fldChar w:fldCharType="begin"/>
        </w:r>
        <w:r w:rsidR="00286264">
          <w:rPr>
            <w:noProof/>
            <w:webHidden/>
          </w:rPr>
          <w:instrText xml:space="preserve"> PAGEREF _Toc62644632 \h </w:instrText>
        </w:r>
        <w:r w:rsidR="00286264">
          <w:rPr>
            <w:noProof/>
            <w:webHidden/>
          </w:rPr>
        </w:r>
        <w:r w:rsidR="00286264">
          <w:rPr>
            <w:noProof/>
            <w:webHidden/>
          </w:rPr>
          <w:fldChar w:fldCharType="separate"/>
        </w:r>
        <w:r w:rsidR="00286264">
          <w:rPr>
            <w:noProof/>
            <w:webHidden/>
          </w:rPr>
          <w:t>192</w:t>
        </w:r>
        <w:r w:rsidR="00286264">
          <w:rPr>
            <w:noProof/>
            <w:webHidden/>
          </w:rPr>
          <w:fldChar w:fldCharType="end"/>
        </w:r>
      </w:hyperlink>
    </w:p>
    <w:p w14:paraId="029715C4"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33" w:history="1">
        <w:r w:rsidR="00286264" w:rsidRPr="00B1774E">
          <w:rPr>
            <w:rStyle w:val="Hyperlink"/>
            <w:noProof/>
            <w:lang w:val="en-AU"/>
          </w:rPr>
          <w:t>34.</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Business Complete Max iPhone BYO Plans (incorporating $49 Business Complete Max iPhone BYO, $59 Business Complete Max iPhone BYO, $79 Business Complete Max iPhone BYO and $10 Business Complete Max Bmb Plan) effective from 30 July 2010.</w:t>
        </w:r>
        <w:r w:rsidR="00286264">
          <w:rPr>
            <w:noProof/>
            <w:webHidden/>
          </w:rPr>
          <w:tab/>
        </w:r>
        <w:r w:rsidR="00286264">
          <w:rPr>
            <w:noProof/>
            <w:webHidden/>
          </w:rPr>
          <w:fldChar w:fldCharType="begin"/>
        </w:r>
        <w:r w:rsidR="00286264">
          <w:rPr>
            <w:noProof/>
            <w:webHidden/>
          </w:rPr>
          <w:instrText xml:space="preserve"> PAGEREF _Toc62644633 \h </w:instrText>
        </w:r>
        <w:r w:rsidR="00286264">
          <w:rPr>
            <w:noProof/>
            <w:webHidden/>
          </w:rPr>
        </w:r>
        <w:r w:rsidR="00286264">
          <w:rPr>
            <w:noProof/>
            <w:webHidden/>
          </w:rPr>
          <w:fldChar w:fldCharType="separate"/>
        </w:r>
        <w:r w:rsidR="00286264">
          <w:rPr>
            <w:noProof/>
            <w:webHidden/>
          </w:rPr>
          <w:t>210</w:t>
        </w:r>
        <w:r w:rsidR="00286264">
          <w:rPr>
            <w:noProof/>
            <w:webHidden/>
          </w:rPr>
          <w:fldChar w:fldCharType="end"/>
        </w:r>
      </w:hyperlink>
    </w:p>
    <w:p w14:paraId="792A9FAB"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34" w:history="1">
        <w:r w:rsidR="00286264" w:rsidRPr="00B1774E">
          <w:rPr>
            <w:rStyle w:val="Hyperlink"/>
            <w:noProof/>
          </w:rPr>
          <w:t>35.</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Business Complete Ultimate plans (incorporating $49 business Complete Ultimate, $59 Business Complete Ultimate and $79 Business Complete Ultimate) effective from 16 October 2010 and $49 Business Complete Ulitmate (Premium h/set), $59 Business Complete Ultimate (premium h/set) and $79 Business Complete Ultimate (premium h/set0 effective from 12 December 2010.</w:t>
        </w:r>
        <w:r w:rsidR="00286264">
          <w:rPr>
            <w:noProof/>
            <w:webHidden/>
          </w:rPr>
          <w:tab/>
        </w:r>
        <w:r w:rsidR="00286264">
          <w:rPr>
            <w:noProof/>
            <w:webHidden/>
          </w:rPr>
          <w:fldChar w:fldCharType="begin"/>
        </w:r>
        <w:r w:rsidR="00286264">
          <w:rPr>
            <w:noProof/>
            <w:webHidden/>
          </w:rPr>
          <w:instrText xml:space="preserve"> PAGEREF _Toc62644634 \h </w:instrText>
        </w:r>
        <w:r w:rsidR="00286264">
          <w:rPr>
            <w:noProof/>
            <w:webHidden/>
          </w:rPr>
        </w:r>
        <w:r w:rsidR="00286264">
          <w:rPr>
            <w:noProof/>
            <w:webHidden/>
          </w:rPr>
          <w:fldChar w:fldCharType="separate"/>
        </w:r>
        <w:r w:rsidR="00286264">
          <w:rPr>
            <w:noProof/>
            <w:webHidden/>
          </w:rPr>
          <w:t>224</w:t>
        </w:r>
        <w:r w:rsidR="00286264">
          <w:rPr>
            <w:noProof/>
            <w:webHidden/>
          </w:rPr>
          <w:fldChar w:fldCharType="end"/>
        </w:r>
      </w:hyperlink>
    </w:p>
    <w:p w14:paraId="733C6E6A"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35" w:history="1">
        <w:r w:rsidR="00286264" w:rsidRPr="00B1774E">
          <w:rPr>
            <w:rStyle w:val="Hyperlink"/>
            <w:noProof/>
          </w:rPr>
          <w:t>36.</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Business Complete BYO and Business Timeless BYO Plans (Incorporating $49 Business Complete BYO, $89 Business Timeless Byo and $99 Business Timeless BYO) effective from 31 October 2010.</w:t>
        </w:r>
        <w:r w:rsidR="00286264">
          <w:rPr>
            <w:noProof/>
            <w:webHidden/>
          </w:rPr>
          <w:tab/>
        </w:r>
        <w:r w:rsidR="00286264">
          <w:rPr>
            <w:noProof/>
            <w:webHidden/>
          </w:rPr>
          <w:fldChar w:fldCharType="begin"/>
        </w:r>
        <w:r w:rsidR="00286264">
          <w:rPr>
            <w:noProof/>
            <w:webHidden/>
          </w:rPr>
          <w:instrText xml:space="preserve"> PAGEREF _Toc62644635 \h </w:instrText>
        </w:r>
        <w:r w:rsidR="00286264">
          <w:rPr>
            <w:noProof/>
            <w:webHidden/>
          </w:rPr>
        </w:r>
        <w:r w:rsidR="00286264">
          <w:rPr>
            <w:noProof/>
            <w:webHidden/>
          </w:rPr>
          <w:fldChar w:fldCharType="separate"/>
        </w:r>
        <w:r w:rsidR="00286264">
          <w:rPr>
            <w:noProof/>
            <w:webHidden/>
          </w:rPr>
          <w:t>240</w:t>
        </w:r>
        <w:r w:rsidR="00286264">
          <w:rPr>
            <w:noProof/>
            <w:webHidden/>
          </w:rPr>
          <w:fldChar w:fldCharType="end"/>
        </w:r>
      </w:hyperlink>
    </w:p>
    <w:p w14:paraId="7064BCAF"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36" w:history="1">
        <w:r w:rsidR="00286264" w:rsidRPr="00B1774E">
          <w:rPr>
            <w:rStyle w:val="Hyperlink"/>
            <w:noProof/>
          </w:rPr>
          <w:t>37.</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Business Complete Plans Incorporating $49 Business Complete, $59 Business Complete, $79 Business Complete and also $49 Business Complete (Premium H/Set), $59 Business Complete (Premium H/Set) and $79 Business Complete (Premium H/Set) effective from 1 June 2011.</w:t>
        </w:r>
        <w:r w:rsidR="00286264">
          <w:rPr>
            <w:noProof/>
            <w:webHidden/>
          </w:rPr>
          <w:tab/>
        </w:r>
        <w:r w:rsidR="00286264">
          <w:rPr>
            <w:noProof/>
            <w:webHidden/>
          </w:rPr>
          <w:fldChar w:fldCharType="begin"/>
        </w:r>
        <w:r w:rsidR="00286264">
          <w:rPr>
            <w:noProof/>
            <w:webHidden/>
          </w:rPr>
          <w:instrText xml:space="preserve"> PAGEREF _Toc62644636 \h </w:instrText>
        </w:r>
        <w:r w:rsidR="00286264">
          <w:rPr>
            <w:noProof/>
            <w:webHidden/>
          </w:rPr>
        </w:r>
        <w:r w:rsidR="00286264">
          <w:rPr>
            <w:noProof/>
            <w:webHidden/>
          </w:rPr>
          <w:fldChar w:fldCharType="separate"/>
        </w:r>
        <w:r w:rsidR="00286264">
          <w:rPr>
            <w:noProof/>
            <w:webHidden/>
          </w:rPr>
          <w:t>253</w:t>
        </w:r>
        <w:r w:rsidR="00286264">
          <w:rPr>
            <w:noProof/>
            <w:webHidden/>
          </w:rPr>
          <w:fldChar w:fldCharType="end"/>
        </w:r>
      </w:hyperlink>
    </w:p>
    <w:p w14:paraId="63A7803B"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37" w:history="1">
        <w:r w:rsidR="00286264" w:rsidRPr="00B1774E">
          <w:rPr>
            <w:rStyle w:val="Hyperlink"/>
            <w:noProof/>
            <w:lang w:val="en-AU"/>
          </w:rPr>
          <w:t>38.</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Business Timeless Plans (Incorporating $99 Business Timeless, $129 Business Timeless and $99 Business Timeless (Premium H/set) and $129 Business Timeless (Premium H/set) effective from 1 June 2011.</w:t>
        </w:r>
        <w:r w:rsidR="00286264">
          <w:rPr>
            <w:noProof/>
            <w:webHidden/>
          </w:rPr>
          <w:tab/>
        </w:r>
        <w:r w:rsidR="00286264">
          <w:rPr>
            <w:noProof/>
            <w:webHidden/>
          </w:rPr>
          <w:fldChar w:fldCharType="begin"/>
        </w:r>
        <w:r w:rsidR="00286264">
          <w:rPr>
            <w:noProof/>
            <w:webHidden/>
          </w:rPr>
          <w:instrText xml:space="preserve"> PAGEREF _Toc62644637 \h </w:instrText>
        </w:r>
        <w:r w:rsidR="00286264">
          <w:rPr>
            <w:noProof/>
            <w:webHidden/>
          </w:rPr>
        </w:r>
        <w:r w:rsidR="00286264">
          <w:rPr>
            <w:noProof/>
            <w:webHidden/>
          </w:rPr>
          <w:fldChar w:fldCharType="separate"/>
        </w:r>
        <w:r w:rsidR="00286264">
          <w:rPr>
            <w:noProof/>
            <w:webHidden/>
          </w:rPr>
          <w:t>263</w:t>
        </w:r>
        <w:r w:rsidR="00286264">
          <w:rPr>
            <w:noProof/>
            <w:webHidden/>
          </w:rPr>
          <w:fldChar w:fldCharType="end"/>
        </w:r>
      </w:hyperlink>
    </w:p>
    <w:p w14:paraId="2BEF3E9D"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38" w:history="1">
        <w:r w:rsidR="00286264" w:rsidRPr="00B1774E">
          <w:rPr>
            <w:rStyle w:val="Hyperlink"/>
            <w:noProof/>
            <w:lang w:val="en-AU"/>
          </w:rPr>
          <w:t>39.</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Business Complete (Nov-11 Premium H/set) plans incorporating $49 Business Complete (Nov-11 - Premium H/set), $59 business complete (Nov-11 - Premium H/set) and $79 Business Complete (Nov-11 - Premium H/set) effective from 14 October 2011.</w:t>
        </w:r>
        <w:r w:rsidR="00286264">
          <w:rPr>
            <w:noProof/>
            <w:webHidden/>
          </w:rPr>
          <w:tab/>
        </w:r>
        <w:r w:rsidR="00286264">
          <w:rPr>
            <w:noProof/>
            <w:webHidden/>
          </w:rPr>
          <w:fldChar w:fldCharType="begin"/>
        </w:r>
        <w:r w:rsidR="00286264">
          <w:rPr>
            <w:noProof/>
            <w:webHidden/>
          </w:rPr>
          <w:instrText xml:space="preserve"> PAGEREF _Toc62644638 \h </w:instrText>
        </w:r>
        <w:r w:rsidR="00286264">
          <w:rPr>
            <w:noProof/>
            <w:webHidden/>
          </w:rPr>
        </w:r>
        <w:r w:rsidR="00286264">
          <w:rPr>
            <w:noProof/>
            <w:webHidden/>
          </w:rPr>
          <w:fldChar w:fldCharType="separate"/>
        </w:r>
        <w:r w:rsidR="00286264">
          <w:rPr>
            <w:noProof/>
            <w:webHidden/>
          </w:rPr>
          <w:t>276</w:t>
        </w:r>
        <w:r w:rsidR="00286264">
          <w:rPr>
            <w:noProof/>
            <w:webHidden/>
          </w:rPr>
          <w:fldChar w:fldCharType="end"/>
        </w:r>
      </w:hyperlink>
    </w:p>
    <w:p w14:paraId="1441C516"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39" w:history="1">
        <w:r w:rsidR="00286264" w:rsidRPr="00B1774E">
          <w:rPr>
            <w:rStyle w:val="Hyperlink"/>
            <w:noProof/>
            <w:lang w:val="en-AU"/>
          </w:rPr>
          <w:t>40.</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Business Timeless (Nov-11 Premium H/set) plans incorporating $99 Business Timeless (Nov-11 Premium H/set) and $129 Business Timeless (Nov-11 Premium H/set) effective from 14 October 2011.</w:t>
        </w:r>
        <w:r w:rsidR="00286264">
          <w:rPr>
            <w:noProof/>
            <w:webHidden/>
          </w:rPr>
          <w:tab/>
        </w:r>
        <w:r w:rsidR="00286264">
          <w:rPr>
            <w:noProof/>
            <w:webHidden/>
          </w:rPr>
          <w:fldChar w:fldCharType="begin"/>
        </w:r>
        <w:r w:rsidR="00286264">
          <w:rPr>
            <w:noProof/>
            <w:webHidden/>
          </w:rPr>
          <w:instrText xml:space="preserve"> PAGEREF _Toc62644639 \h </w:instrText>
        </w:r>
        <w:r w:rsidR="00286264">
          <w:rPr>
            <w:noProof/>
            <w:webHidden/>
          </w:rPr>
        </w:r>
        <w:r w:rsidR="00286264">
          <w:rPr>
            <w:noProof/>
            <w:webHidden/>
          </w:rPr>
          <w:fldChar w:fldCharType="separate"/>
        </w:r>
        <w:r w:rsidR="00286264">
          <w:rPr>
            <w:noProof/>
            <w:webHidden/>
          </w:rPr>
          <w:t>285</w:t>
        </w:r>
        <w:r w:rsidR="00286264">
          <w:rPr>
            <w:noProof/>
            <w:webHidden/>
          </w:rPr>
          <w:fldChar w:fldCharType="end"/>
        </w:r>
      </w:hyperlink>
    </w:p>
    <w:p w14:paraId="3A328B60"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40" w:history="1">
        <w:r w:rsidR="00286264" w:rsidRPr="00B1774E">
          <w:rPr>
            <w:rStyle w:val="Hyperlink"/>
            <w:noProof/>
          </w:rPr>
          <w:t>41.</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$89 Business Timeless Plan (Incorporating $89 Business Timeless (FEB-12) and $89 Business Timeless (Feb-12 - Premium H/S) Plans) effective from 1 february 2012.</w:t>
        </w:r>
        <w:r w:rsidR="00286264">
          <w:rPr>
            <w:noProof/>
            <w:webHidden/>
          </w:rPr>
          <w:tab/>
        </w:r>
        <w:r w:rsidR="00286264">
          <w:rPr>
            <w:noProof/>
            <w:webHidden/>
          </w:rPr>
          <w:fldChar w:fldCharType="begin"/>
        </w:r>
        <w:r w:rsidR="00286264">
          <w:rPr>
            <w:noProof/>
            <w:webHidden/>
          </w:rPr>
          <w:instrText xml:space="preserve"> PAGEREF _Toc62644640 \h </w:instrText>
        </w:r>
        <w:r w:rsidR="00286264">
          <w:rPr>
            <w:noProof/>
            <w:webHidden/>
          </w:rPr>
        </w:r>
        <w:r w:rsidR="00286264">
          <w:rPr>
            <w:noProof/>
            <w:webHidden/>
          </w:rPr>
          <w:fldChar w:fldCharType="separate"/>
        </w:r>
        <w:r w:rsidR="00286264">
          <w:rPr>
            <w:noProof/>
            <w:webHidden/>
          </w:rPr>
          <w:t>298</w:t>
        </w:r>
        <w:r w:rsidR="00286264">
          <w:rPr>
            <w:noProof/>
            <w:webHidden/>
          </w:rPr>
          <w:fldChar w:fldCharType="end"/>
        </w:r>
      </w:hyperlink>
    </w:p>
    <w:p w14:paraId="4019A60F"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41" w:history="1">
        <w:r w:rsidR="00286264" w:rsidRPr="00B1774E">
          <w:rPr>
            <w:rStyle w:val="Hyperlink"/>
            <w:noProof/>
          </w:rPr>
          <w:t>42.</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$29 Business Complete Plan (Incorparating $29 Business Complete (Feb-12) Plan) effective from 1 February 2012.</w:t>
        </w:r>
        <w:r w:rsidR="00286264">
          <w:rPr>
            <w:noProof/>
            <w:webHidden/>
          </w:rPr>
          <w:tab/>
        </w:r>
        <w:r w:rsidR="00286264">
          <w:rPr>
            <w:noProof/>
            <w:webHidden/>
          </w:rPr>
          <w:fldChar w:fldCharType="begin"/>
        </w:r>
        <w:r w:rsidR="00286264">
          <w:rPr>
            <w:noProof/>
            <w:webHidden/>
          </w:rPr>
          <w:instrText xml:space="preserve"> PAGEREF _Toc62644641 \h </w:instrText>
        </w:r>
        <w:r w:rsidR="00286264">
          <w:rPr>
            <w:noProof/>
            <w:webHidden/>
          </w:rPr>
        </w:r>
        <w:r w:rsidR="00286264">
          <w:rPr>
            <w:noProof/>
            <w:webHidden/>
          </w:rPr>
          <w:fldChar w:fldCharType="separate"/>
        </w:r>
        <w:r w:rsidR="00286264">
          <w:rPr>
            <w:noProof/>
            <w:webHidden/>
          </w:rPr>
          <w:t>307</w:t>
        </w:r>
        <w:r w:rsidR="00286264">
          <w:rPr>
            <w:noProof/>
            <w:webHidden/>
          </w:rPr>
          <w:fldChar w:fldCharType="end"/>
        </w:r>
      </w:hyperlink>
    </w:p>
    <w:p w14:paraId="33047287"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42" w:history="1">
        <w:r w:rsidR="00286264" w:rsidRPr="00B1774E">
          <w:rPr>
            <w:rStyle w:val="Hyperlink"/>
            <w:noProof/>
          </w:rPr>
          <w:t>43.</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Business Complete Plans [Incorporating $30 Business Complete Plan (4g Sept 2012), $35 Business Complete Plan (4g Sept 2012), $50 Business Complete Plan (4g Sept 2012), $60 Business Complete Plan (4g Sept 2012), $80 Business Complete Plan (4g Sept 2012)], (Small Business Plans), effective from 4 September 2012.</w:t>
        </w:r>
        <w:r w:rsidR="00286264">
          <w:rPr>
            <w:noProof/>
            <w:webHidden/>
          </w:rPr>
          <w:tab/>
        </w:r>
        <w:r w:rsidR="00286264">
          <w:rPr>
            <w:noProof/>
            <w:webHidden/>
          </w:rPr>
          <w:fldChar w:fldCharType="begin"/>
        </w:r>
        <w:r w:rsidR="00286264">
          <w:rPr>
            <w:noProof/>
            <w:webHidden/>
          </w:rPr>
          <w:instrText xml:space="preserve"> PAGEREF _Toc62644642 \h </w:instrText>
        </w:r>
        <w:r w:rsidR="00286264">
          <w:rPr>
            <w:noProof/>
            <w:webHidden/>
          </w:rPr>
        </w:r>
        <w:r w:rsidR="00286264">
          <w:rPr>
            <w:noProof/>
            <w:webHidden/>
          </w:rPr>
          <w:fldChar w:fldCharType="separate"/>
        </w:r>
        <w:r w:rsidR="00286264">
          <w:rPr>
            <w:noProof/>
            <w:webHidden/>
          </w:rPr>
          <w:t>316</w:t>
        </w:r>
        <w:r w:rsidR="00286264">
          <w:rPr>
            <w:noProof/>
            <w:webHidden/>
          </w:rPr>
          <w:fldChar w:fldCharType="end"/>
        </w:r>
      </w:hyperlink>
    </w:p>
    <w:p w14:paraId="4CAA8028"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43" w:history="1">
        <w:r w:rsidR="00286264" w:rsidRPr="00B1774E">
          <w:rPr>
            <w:rStyle w:val="Hyperlink"/>
            <w:noProof/>
          </w:rPr>
          <w:t>44.</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Business Timeless Plans (4G Sept 2012), Business Timeless (incorporating $89 Business Timeless plan, $99 Business Timeless plan and $129 Business Timeless Plan) (small business plans), effective from 04 September 2012.</w:t>
        </w:r>
        <w:r w:rsidR="00286264">
          <w:rPr>
            <w:noProof/>
            <w:webHidden/>
          </w:rPr>
          <w:tab/>
        </w:r>
        <w:r w:rsidR="00286264">
          <w:rPr>
            <w:noProof/>
            <w:webHidden/>
          </w:rPr>
          <w:fldChar w:fldCharType="begin"/>
        </w:r>
        <w:r w:rsidR="00286264">
          <w:rPr>
            <w:noProof/>
            <w:webHidden/>
          </w:rPr>
          <w:instrText xml:space="preserve"> PAGEREF _Toc62644643 \h </w:instrText>
        </w:r>
        <w:r w:rsidR="00286264">
          <w:rPr>
            <w:noProof/>
            <w:webHidden/>
          </w:rPr>
        </w:r>
        <w:r w:rsidR="00286264">
          <w:rPr>
            <w:noProof/>
            <w:webHidden/>
          </w:rPr>
          <w:fldChar w:fldCharType="separate"/>
        </w:r>
        <w:r w:rsidR="00286264">
          <w:rPr>
            <w:noProof/>
            <w:webHidden/>
          </w:rPr>
          <w:t>325</w:t>
        </w:r>
        <w:r w:rsidR="00286264">
          <w:rPr>
            <w:noProof/>
            <w:webHidden/>
          </w:rPr>
          <w:fldChar w:fldCharType="end"/>
        </w:r>
      </w:hyperlink>
    </w:p>
    <w:p w14:paraId="44035393"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44" w:history="1">
        <w:r w:rsidR="00286264" w:rsidRPr="00B1774E">
          <w:rPr>
            <w:rStyle w:val="Hyperlink"/>
            <w:noProof/>
          </w:rPr>
          <w:t>45.</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Business Complete Plans PREMIUM [incorporating $30 Business Complete Plan PREMIUM (4G Sept 2012), $35 Business Complete Plan PREMIUM (4G Sept 2012), $50 Business Complete Plan PREMIUM (4G Sept 2012), $60 Business Complete Plan PREMIUM (4G Sept 2012), $80 Business Complete Plan PREMIUM (4G Sept 2012)], (SMALL BUSINESS plans), effective from 4 September 2012.</w:t>
        </w:r>
        <w:r w:rsidR="00286264">
          <w:rPr>
            <w:noProof/>
            <w:webHidden/>
          </w:rPr>
          <w:tab/>
        </w:r>
        <w:r w:rsidR="00286264">
          <w:rPr>
            <w:noProof/>
            <w:webHidden/>
          </w:rPr>
          <w:fldChar w:fldCharType="begin"/>
        </w:r>
        <w:r w:rsidR="00286264">
          <w:rPr>
            <w:noProof/>
            <w:webHidden/>
          </w:rPr>
          <w:instrText xml:space="preserve"> PAGEREF _Toc62644644 \h </w:instrText>
        </w:r>
        <w:r w:rsidR="00286264">
          <w:rPr>
            <w:noProof/>
            <w:webHidden/>
          </w:rPr>
        </w:r>
        <w:r w:rsidR="00286264">
          <w:rPr>
            <w:noProof/>
            <w:webHidden/>
          </w:rPr>
          <w:fldChar w:fldCharType="separate"/>
        </w:r>
        <w:r w:rsidR="00286264">
          <w:rPr>
            <w:noProof/>
            <w:webHidden/>
          </w:rPr>
          <w:t>334</w:t>
        </w:r>
        <w:r w:rsidR="00286264">
          <w:rPr>
            <w:noProof/>
            <w:webHidden/>
          </w:rPr>
          <w:fldChar w:fldCharType="end"/>
        </w:r>
      </w:hyperlink>
    </w:p>
    <w:p w14:paraId="4EAA0E76"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45" w:history="1">
        <w:r w:rsidR="00286264" w:rsidRPr="00B1774E">
          <w:rPr>
            <w:rStyle w:val="Hyperlink"/>
            <w:noProof/>
          </w:rPr>
          <w:t>46.</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Business Timeless Plans PREM (4G Sept 2012), BUSINESS TIMELESS PREM (incorporating $89 Business Timeless plan PREM, $99 Business Timeless plan PREM AND $129 BUSINESS TIMELESS PLAN PREM (small business plans), effective from 04 September 2012.</w:t>
        </w:r>
        <w:r w:rsidR="00286264">
          <w:rPr>
            <w:noProof/>
            <w:webHidden/>
          </w:rPr>
          <w:tab/>
        </w:r>
        <w:r w:rsidR="00286264">
          <w:rPr>
            <w:noProof/>
            <w:webHidden/>
          </w:rPr>
          <w:fldChar w:fldCharType="begin"/>
        </w:r>
        <w:r w:rsidR="00286264">
          <w:rPr>
            <w:noProof/>
            <w:webHidden/>
          </w:rPr>
          <w:instrText xml:space="preserve"> PAGEREF _Toc62644645 \h </w:instrText>
        </w:r>
        <w:r w:rsidR="00286264">
          <w:rPr>
            <w:noProof/>
            <w:webHidden/>
          </w:rPr>
        </w:r>
        <w:r w:rsidR="00286264">
          <w:rPr>
            <w:noProof/>
            <w:webHidden/>
          </w:rPr>
          <w:fldChar w:fldCharType="separate"/>
        </w:r>
        <w:r w:rsidR="00286264">
          <w:rPr>
            <w:noProof/>
            <w:webHidden/>
          </w:rPr>
          <w:t>344</w:t>
        </w:r>
        <w:r w:rsidR="00286264">
          <w:rPr>
            <w:noProof/>
            <w:webHidden/>
          </w:rPr>
          <w:fldChar w:fldCharType="end"/>
        </w:r>
      </w:hyperlink>
    </w:p>
    <w:p w14:paraId="6CF99975"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46" w:history="1">
        <w:r w:rsidR="00286264" w:rsidRPr="00B1774E">
          <w:rPr>
            <w:rStyle w:val="Hyperlink"/>
            <w:noProof/>
          </w:rPr>
          <w:t>47.</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Business Complete Plans MRO [incorporating $30 Business Complete Plan MRO (4G Sept 2012), $35 Business Complete Plan MRO (4G Sept 2012), $50 Business Complete Plan MRO (4G Sept 2012), $60 Business Complete Plan MRO (4G Sept 2012), $80 Business Complete Plan MRO (4G Sept 2012)], (SMALL BUSINESS plans), effective from 4 September 2012.</w:t>
        </w:r>
        <w:r w:rsidR="00286264">
          <w:rPr>
            <w:noProof/>
            <w:webHidden/>
          </w:rPr>
          <w:tab/>
        </w:r>
        <w:r w:rsidR="00286264">
          <w:rPr>
            <w:noProof/>
            <w:webHidden/>
          </w:rPr>
          <w:fldChar w:fldCharType="begin"/>
        </w:r>
        <w:r w:rsidR="00286264">
          <w:rPr>
            <w:noProof/>
            <w:webHidden/>
          </w:rPr>
          <w:instrText xml:space="preserve"> PAGEREF _Toc62644646 \h </w:instrText>
        </w:r>
        <w:r w:rsidR="00286264">
          <w:rPr>
            <w:noProof/>
            <w:webHidden/>
          </w:rPr>
        </w:r>
        <w:r w:rsidR="00286264">
          <w:rPr>
            <w:noProof/>
            <w:webHidden/>
          </w:rPr>
          <w:fldChar w:fldCharType="separate"/>
        </w:r>
        <w:r w:rsidR="00286264">
          <w:rPr>
            <w:noProof/>
            <w:webHidden/>
          </w:rPr>
          <w:t>353</w:t>
        </w:r>
        <w:r w:rsidR="00286264">
          <w:rPr>
            <w:noProof/>
            <w:webHidden/>
          </w:rPr>
          <w:fldChar w:fldCharType="end"/>
        </w:r>
      </w:hyperlink>
    </w:p>
    <w:p w14:paraId="3E81207B"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47" w:history="1">
        <w:r w:rsidR="00286264" w:rsidRPr="00B1774E">
          <w:rPr>
            <w:rStyle w:val="Hyperlink"/>
            <w:noProof/>
          </w:rPr>
          <w:t>48.</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Business Timeless Plans MRO (4G Sept 2012), Business Timeless (incorporating $89 Business Timeless plan MRO, $99 Business Timeless plan MRO and $129 Business Timeless plan MRO) (Small Business plans), Effective from 04 September 2012.</w:t>
        </w:r>
        <w:r w:rsidR="00286264">
          <w:rPr>
            <w:noProof/>
            <w:webHidden/>
          </w:rPr>
          <w:tab/>
        </w:r>
        <w:r w:rsidR="00286264">
          <w:rPr>
            <w:noProof/>
            <w:webHidden/>
          </w:rPr>
          <w:fldChar w:fldCharType="begin"/>
        </w:r>
        <w:r w:rsidR="00286264">
          <w:rPr>
            <w:noProof/>
            <w:webHidden/>
          </w:rPr>
          <w:instrText xml:space="preserve"> PAGEREF _Toc62644647 \h </w:instrText>
        </w:r>
        <w:r w:rsidR="00286264">
          <w:rPr>
            <w:noProof/>
            <w:webHidden/>
          </w:rPr>
        </w:r>
        <w:r w:rsidR="00286264">
          <w:rPr>
            <w:noProof/>
            <w:webHidden/>
          </w:rPr>
          <w:fldChar w:fldCharType="separate"/>
        </w:r>
        <w:r w:rsidR="00286264">
          <w:rPr>
            <w:noProof/>
            <w:webHidden/>
          </w:rPr>
          <w:t>363</w:t>
        </w:r>
        <w:r w:rsidR="00286264">
          <w:rPr>
            <w:noProof/>
            <w:webHidden/>
          </w:rPr>
          <w:fldChar w:fldCharType="end"/>
        </w:r>
      </w:hyperlink>
    </w:p>
    <w:p w14:paraId="7AC7D5A3"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48" w:history="1">
        <w:r w:rsidR="00286264" w:rsidRPr="00B1774E">
          <w:rPr>
            <w:rStyle w:val="Hyperlink"/>
            <w:noProof/>
          </w:rPr>
          <w:t>49.</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Business Complete Plans (Dec 2012), Effective 1 December 2012</w:t>
        </w:r>
        <w:r w:rsidR="00286264">
          <w:rPr>
            <w:noProof/>
            <w:webHidden/>
          </w:rPr>
          <w:tab/>
        </w:r>
        <w:r w:rsidR="00286264">
          <w:rPr>
            <w:noProof/>
            <w:webHidden/>
          </w:rPr>
          <w:fldChar w:fldCharType="begin"/>
        </w:r>
        <w:r w:rsidR="00286264">
          <w:rPr>
            <w:noProof/>
            <w:webHidden/>
          </w:rPr>
          <w:instrText xml:space="preserve"> PAGEREF _Toc62644648 \h </w:instrText>
        </w:r>
        <w:r w:rsidR="00286264">
          <w:rPr>
            <w:noProof/>
            <w:webHidden/>
          </w:rPr>
        </w:r>
        <w:r w:rsidR="00286264">
          <w:rPr>
            <w:noProof/>
            <w:webHidden/>
          </w:rPr>
          <w:fldChar w:fldCharType="separate"/>
        </w:r>
        <w:r w:rsidR="00286264">
          <w:rPr>
            <w:noProof/>
            <w:webHidden/>
          </w:rPr>
          <w:t>372</w:t>
        </w:r>
        <w:r w:rsidR="00286264">
          <w:rPr>
            <w:noProof/>
            <w:webHidden/>
          </w:rPr>
          <w:fldChar w:fldCharType="end"/>
        </w:r>
      </w:hyperlink>
    </w:p>
    <w:p w14:paraId="5F5BCEF1"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49" w:history="1">
        <w:r w:rsidR="00286264" w:rsidRPr="00B1774E">
          <w:rPr>
            <w:rStyle w:val="Hyperlink"/>
            <w:noProof/>
          </w:rPr>
          <w:t>50.</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Business Timeless Plans (Dec 2012), Effective 9 December 2012</w:t>
        </w:r>
        <w:r w:rsidR="00286264">
          <w:rPr>
            <w:noProof/>
            <w:webHidden/>
          </w:rPr>
          <w:tab/>
        </w:r>
        <w:r w:rsidR="00286264">
          <w:rPr>
            <w:noProof/>
            <w:webHidden/>
          </w:rPr>
          <w:fldChar w:fldCharType="begin"/>
        </w:r>
        <w:r w:rsidR="00286264">
          <w:rPr>
            <w:noProof/>
            <w:webHidden/>
          </w:rPr>
          <w:instrText xml:space="preserve"> PAGEREF _Toc62644649 \h </w:instrText>
        </w:r>
        <w:r w:rsidR="00286264">
          <w:rPr>
            <w:noProof/>
            <w:webHidden/>
          </w:rPr>
        </w:r>
        <w:r w:rsidR="00286264">
          <w:rPr>
            <w:noProof/>
            <w:webHidden/>
          </w:rPr>
          <w:fldChar w:fldCharType="separate"/>
        </w:r>
        <w:r w:rsidR="00286264">
          <w:rPr>
            <w:noProof/>
            <w:webHidden/>
          </w:rPr>
          <w:t>380</w:t>
        </w:r>
        <w:r w:rsidR="00286264">
          <w:rPr>
            <w:noProof/>
            <w:webHidden/>
          </w:rPr>
          <w:fldChar w:fldCharType="end"/>
        </w:r>
      </w:hyperlink>
    </w:p>
    <w:p w14:paraId="601ECFC9"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50" w:history="1">
        <w:r w:rsidR="00286264" w:rsidRPr="00B1774E">
          <w:rPr>
            <w:rStyle w:val="Hyperlink"/>
            <w:noProof/>
          </w:rPr>
          <w:t>51.</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Business BYO Plans (Dec 2012), Effective from 9 December 2012 to 1 June 2013</w:t>
        </w:r>
        <w:r w:rsidR="00286264">
          <w:rPr>
            <w:noProof/>
            <w:webHidden/>
          </w:rPr>
          <w:tab/>
        </w:r>
        <w:r w:rsidR="00286264">
          <w:rPr>
            <w:noProof/>
            <w:webHidden/>
          </w:rPr>
          <w:fldChar w:fldCharType="begin"/>
        </w:r>
        <w:r w:rsidR="00286264">
          <w:rPr>
            <w:noProof/>
            <w:webHidden/>
          </w:rPr>
          <w:instrText xml:space="preserve"> PAGEREF _Toc62644650 \h </w:instrText>
        </w:r>
        <w:r w:rsidR="00286264">
          <w:rPr>
            <w:noProof/>
            <w:webHidden/>
          </w:rPr>
        </w:r>
        <w:r w:rsidR="00286264">
          <w:rPr>
            <w:noProof/>
            <w:webHidden/>
          </w:rPr>
          <w:fldChar w:fldCharType="separate"/>
        </w:r>
        <w:r w:rsidR="00286264">
          <w:rPr>
            <w:noProof/>
            <w:webHidden/>
          </w:rPr>
          <w:t>387</w:t>
        </w:r>
        <w:r w:rsidR="00286264">
          <w:rPr>
            <w:noProof/>
            <w:webHidden/>
          </w:rPr>
          <w:fldChar w:fldCharType="end"/>
        </w:r>
      </w:hyperlink>
    </w:p>
    <w:p w14:paraId="191642DD"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51" w:history="1">
        <w:r w:rsidR="00286264" w:rsidRPr="00B1774E">
          <w:rPr>
            <w:rStyle w:val="Hyperlink"/>
            <w:noProof/>
          </w:rPr>
          <w:t>52.</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Business Sim Plans (Mar 2013), Effective from 2 April 2013</w:t>
        </w:r>
        <w:r w:rsidR="00286264">
          <w:rPr>
            <w:noProof/>
            <w:webHidden/>
          </w:rPr>
          <w:tab/>
        </w:r>
        <w:r w:rsidR="00286264">
          <w:rPr>
            <w:noProof/>
            <w:webHidden/>
          </w:rPr>
          <w:fldChar w:fldCharType="begin"/>
        </w:r>
        <w:r w:rsidR="00286264">
          <w:rPr>
            <w:noProof/>
            <w:webHidden/>
          </w:rPr>
          <w:instrText xml:space="preserve"> PAGEREF _Toc62644651 \h </w:instrText>
        </w:r>
        <w:r w:rsidR="00286264">
          <w:rPr>
            <w:noProof/>
            <w:webHidden/>
          </w:rPr>
        </w:r>
        <w:r w:rsidR="00286264">
          <w:rPr>
            <w:noProof/>
            <w:webHidden/>
          </w:rPr>
          <w:fldChar w:fldCharType="separate"/>
        </w:r>
        <w:r w:rsidR="00286264">
          <w:rPr>
            <w:noProof/>
            <w:webHidden/>
          </w:rPr>
          <w:t>394</w:t>
        </w:r>
        <w:r w:rsidR="00286264">
          <w:rPr>
            <w:noProof/>
            <w:webHidden/>
          </w:rPr>
          <w:fldChar w:fldCharType="end"/>
        </w:r>
      </w:hyperlink>
    </w:p>
    <w:p w14:paraId="060FE0E5"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52" w:history="1">
        <w:r w:rsidR="00286264" w:rsidRPr="00B1774E">
          <w:rPr>
            <w:rStyle w:val="Hyperlink"/>
            <w:noProof/>
          </w:rPr>
          <w:t>53.</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My Plan Business, available from 10 June 2014</w:t>
        </w:r>
        <w:r w:rsidR="00286264">
          <w:rPr>
            <w:noProof/>
            <w:webHidden/>
          </w:rPr>
          <w:tab/>
        </w:r>
        <w:r w:rsidR="00286264">
          <w:rPr>
            <w:noProof/>
            <w:webHidden/>
          </w:rPr>
          <w:fldChar w:fldCharType="begin"/>
        </w:r>
        <w:r w:rsidR="00286264">
          <w:rPr>
            <w:noProof/>
            <w:webHidden/>
          </w:rPr>
          <w:instrText xml:space="preserve"> PAGEREF _Toc62644652 \h </w:instrText>
        </w:r>
        <w:r w:rsidR="00286264">
          <w:rPr>
            <w:noProof/>
            <w:webHidden/>
          </w:rPr>
        </w:r>
        <w:r w:rsidR="00286264">
          <w:rPr>
            <w:noProof/>
            <w:webHidden/>
          </w:rPr>
          <w:fldChar w:fldCharType="separate"/>
        </w:r>
        <w:r w:rsidR="00286264">
          <w:rPr>
            <w:noProof/>
            <w:webHidden/>
          </w:rPr>
          <w:t>400</w:t>
        </w:r>
        <w:r w:rsidR="00286264">
          <w:rPr>
            <w:noProof/>
            <w:webHidden/>
          </w:rPr>
          <w:fldChar w:fldCharType="end"/>
        </w:r>
      </w:hyperlink>
    </w:p>
    <w:p w14:paraId="2A33650B"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53" w:history="1">
        <w:r w:rsidR="00286264" w:rsidRPr="00B1774E">
          <w:rPr>
            <w:rStyle w:val="Hyperlink"/>
            <w:noProof/>
          </w:rPr>
          <w:t>54.</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My Plan Business</w:t>
        </w:r>
        <w:r w:rsidR="00286264">
          <w:rPr>
            <w:noProof/>
            <w:webHidden/>
          </w:rPr>
          <w:tab/>
        </w:r>
        <w:r w:rsidR="00286264">
          <w:rPr>
            <w:noProof/>
            <w:webHidden/>
          </w:rPr>
          <w:fldChar w:fldCharType="begin"/>
        </w:r>
        <w:r w:rsidR="00286264">
          <w:rPr>
            <w:noProof/>
            <w:webHidden/>
          </w:rPr>
          <w:instrText xml:space="preserve"> PAGEREF _Toc62644653 \h </w:instrText>
        </w:r>
        <w:r w:rsidR="00286264">
          <w:rPr>
            <w:noProof/>
            <w:webHidden/>
          </w:rPr>
        </w:r>
        <w:r w:rsidR="00286264">
          <w:rPr>
            <w:noProof/>
            <w:webHidden/>
          </w:rPr>
          <w:fldChar w:fldCharType="separate"/>
        </w:r>
        <w:r w:rsidR="00286264">
          <w:rPr>
            <w:noProof/>
            <w:webHidden/>
          </w:rPr>
          <w:t>404</w:t>
        </w:r>
        <w:r w:rsidR="00286264">
          <w:rPr>
            <w:noProof/>
            <w:webHidden/>
          </w:rPr>
          <w:fldChar w:fldCharType="end"/>
        </w:r>
      </w:hyperlink>
    </w:p>
    <w:p w14:paraId="10B82526"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54" w:history="1">
        <w:r w:rsidR="00286264" w:rsidRPr="00B1774E">
          <w:rPr>
            <w:rStyle w:val="Hyperlink"/>
            <w:noProof/>
          </w:rPr>
          <w:t>55.</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My Plan Business SIM</w:t>
        </w:r>
        <w:r w:rsidR="00286264">
          <w:rPr>
            <w:noProof/>
            <w:webHidden/>
          </w:rPr>
          <w:tab/>
        </w:r>
        <w:r w:rsidR="00286264">
          <w:rPr>
            <w:noProof/>
            <w:webHidden/>
          </w:rPr>
          <w:fldChar w:fldCharType="begin"/>
        </w:r>
        <w:r w:rsidR="00286264">
          <w:rPr>
            <w:noProof/>
            <w:webHidden/>
          </w:rPr>
          <w:instrText xml:space="preserve"> PAGEREF _Toc62644654 \h </w:instrText>
        </w:r>
        <w:r w:rsidR="00286264">
          <w:rPr>
            <w:noProof/>
            <w:webHidden/>
          </w:rPr>
        </w:r>
        <w:r w:rsidR="00286264">
          <w:rPr>
            <w:noProof/>
            <w:webHidden/>
          </w:rPr>
          <w:fldChar w:fldCharType="separate"/>
        </w:r>
        <w:r w:rsidR="00286264">
          <w:rPr>
            <w:noProof/>
            <w:webHidden/>
          </w:rPr>
          <w:t>407</w:t>
        </w:r>
        <w:r w:rsidR="00286264">
          <w:rPr>
            <w:noProof/>
            <w:webHidden/>
          </w:rPr>
          <w:fldChar w:fldCharType="end"/>
        </w:r>
      </w:hyperlink>
    </w:p>
    <w:p w14:paraId="0375E798"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55" w:history="1">
        <w:r w:rsidR="00286264" w:rsidRPr="00B1774E">
          <w:rPr>
            <w:rStyle w:val="Hyperlink"/>
            <w:noProof/>
          </w:rPr>
          <w:t>56.</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My Plan Business</w:t>
        </w:r>
        <w:r w:rsidR="00286264">
          <w:rPr>
            <w:noProof/>
            <w:webHidden/>
          </w:rPr>
          <w:tab/>
        </w:r>
        <w:r w:rsidR="00286264">
          <w:rPr>
            <w:noProof/>
            <w:webHidden/>
          </w:rPr>
          <w:fldChar w:fldCharType="begin"/>
        </w:r>
        <w:r w:rsidR="00286264">
          <w:rPr>
            <w:noProof/>
            <w:webHidden/>
          </w:rPr>
          <w:instrText xml:space="preserve"> PAGEREF _Toc62644655 \h </w:instrText>
        </w:r>
        <w:r w:rsidR="00286264">
          <w:rPr>
            <w:noProof/>
            <w:webHidden/>
          </w:rPr>
        </w:r>
        <w:r w:rsidR="00286264">
          <w:rPr>
            <w:noProof/>
            <w:webHidden/>
          </w:rPr>
          <w:fldChar w:fldCharType="separate"/>
        </w:r>
        <w:r w:rsidR="00286264">
          <w:rPr>
            <w:noProof/>
            <w:webHidden/>
          </w:rPr>
          <w:t>410</w:t>
        </w:r>
        <w:r w:rsidR="00286264">
          <w:rPr>
            <w:noProof/>
            <w:webHidden/>
          </w:rPr>
          <w:fldChar w:fldCharType="end"/>
        </w:r>
      </w:hyperlink>
    </w:p>
    <w:p w14:paraId="5D425BF4"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56" w:history="1">
        <w:r w:rsidR="00286264" w:rsidRPr="00B1774E">
          <w:rPr>
            <w:rStyle w:val="Hyperlink"/>
            <w:noProof/>
          </w:rPr>
          <w:t>57.</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My Plan Plus SIM Only</w:t>
        </w:r>
        <w:r w:rsidR="00286264">
          <w:rPr>
            <w:noProof/>
            <w:webHidden/>
          </w:rPr>
          <w:tab/>
        </w:r>
        <w:r w:rsidR="00286264">
          <w:rPr>
            <w:noProof/>
            <w:webHidden/>
          </w:rPr>
          <w:fldChar w:fldCharType="begin"/>
        </w:r>
        <w:r w:rsidR="00286264">
          <w:rPr>
            <w:noProof/>
            <w:webHidden/>
          </w:rPr>
          <w:instrText xml:space="preserve"> PAGEREF _Toc62644656 \h </w:instrText>
        </w:r>
        <w:r w:rsidR="00286264">
          <w:rPr>
            <w:noProof/>
            <w:webHidden/>
          </w:rPr>
        </w:r>
        <w:r w:rsidR="00286264">
          <w:rPr>
            <w:noProof/>
            <w:webHidden/>
          </w:rPr>
          <w:fldChar w:fldCharType="separate"/>
        </w:r>
        <w:r w:rsidR="00286264">
          <w:rPr>
            <w:noProof/>
            <w:webHidden/>
          </w:rPr>
          <w:t>415</w:t>
        </w:r>
        <w:r w:rsidR="00286264">
          <w:rPr>
            <w:noProof/>
            <w:webHidden/>
          </w:rPr>
          <w:fldChar w:fldCharType="end"/>
        </w:r>
      </w:hyperlink>
    </w:p>
    <w:p w14:paraId="55CE8026"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57" w:history="1">
        <w:r w:rsidR="00286264" w:rsidRPr="00B1774E">
          <w:rPr>
            <w:rStyle w:val="Hyperlink"/>
            <w:noProof/>
          </w:rPr>
          <w:t>58.</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My Plan Plus</w:t>
        </w:r>
        <w:r w:rsidR="00286264">
          <w:rPr>
            <w:noProof/>
            <w:webHidden/>
          </w:rPr>
          <w:tab/>
        </w:r>
        <w:r w:rsidR="00286264">
          <w:rPr>
            <w:noProof/>
            <w:webHidden/>
          </w:rPr>
          <w:fldChar w:fldCharType="begin"/>
        </w:r>
        <w:r w:rsidR="00286264">
          <w:rPr>
            <w:noProof/>
            <w:webHidden/>
          </w:rPr>
          <w:instrText xml:space="preserve"> PAGEREF _Toc62644657 \h </w:instrText>
        </w:r>
        <w:r w:rsidR="00286264">
          <w:rPr>
            <w:noProof/>
            <w:webHidden/>
          </w:rPr>
        </w:r>
        <w:r w:rsidR="00286264">
          <w:rPr>
            <w:noProof/>
            <w:webHidden/>
          </w:rPr>
          <w:fldChar w:fldCharType="separate"/>
        </w:r>
        <w:r w:rsidR="00286264">
          <w:rPr>
            <w:noProof/>
            <w:webHidden/>
          </w:rPr>
          <w:t>419</w:t>
        </w:r>
        <w:r w:rsidR="00286264">
          <w:rPr>
            <w:noProof/>
            <w:webHidden/>
          </w:rPr>
          <w:fldChar w:fldCharType="end"/>
        </w:r>
      </w:hyperlink>
    </w:p>
    <w:p w14:paraId="6E1709D8"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58" w:history="1">
        <w:r w:rsidR="00286264" w:rsidRPr="00B1774E">
          <w:rPr>
            <w:rStyle w:val="Hyperlink"/>
            <w:noProof/>
          </w:rPr>
          <w:t>59.</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My Plan Business SIM</w:t>
        </w:r>
        <w:r w:rsidR="00286264">
          <w:rPr>
            <w:noProof/>
            <w:webHidden/>
          </w:rPr>
          <w:tab/>
        </w:r>
        <w:r w:rsidR="00286264">
          <w:rPr>
            <w:noProof/>
            <w:webHidden/>
          </w:rPr>
          <w:fldChar w:fldCharType="begin"/>
        </w:r>
        <w:r w:rsidR="00286264">
          <w:rPr>
            <w:noProof/>
            <w:webHidden/>
          </w:rPr>
          <w:instrText xml:space="preserve"> PAGEREF _Toc62644658 \h </w:instrText>
        </w:r>
        <w:r w:rsidR="00286264">
          <w:rPr>
            <w:noProof/>
            <w:webHidden/>
          </w:rPr>
        </w:r>
        <w:r w:rsidR="00286264">
          <w:rPr>
            <w:noProof/>
            <w:webHidden/>
          </w:rPr>
          <w:fldChar w:fldCharType="separate"/>
        </w:r>
        <w:r w:rsidR="00286264">
          <w:rPr>
            <w:noProof/>
            <w:webHidden/>
          </w:rPr>
          <w:t>423</w:t>
        </w:r>
        <w:r w:rsidR="00286264">
          <w:rPr>
            <w:noProof/>
            <w:webHidden/>
          </w:rPr>
          <w:fldChar w:fldCharType="end"/>
        </w:r>
      </w:hyperlink>
    </w:p>
    <w:p w14:paraId="04E18DB9"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59" w:history="1">
        <w:r w:rsidR="00286264" w:rsidRPr="00B1774E">
          <w:rPr>
            <w:rStyle w:val="Hyperlink"/>
            <w:noProof/>
          </w:rPr>
          <w:t>60.</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My Plan Business SIM (Promotional)</w:t>
        </w:r>
        <w:r w:rsidR="00286264">
          <w:rPr>
            <w:noProof/>
            <w:webHidden/>
          </w:rPr>
          <w:tab/>
        </w:r>
        <w:r w:rsidR="00286264">
          <w:rPr>
            <w:noProof/>
            <w:webHidden/>
          </w:rPr>
          <w:fldChar w:fldCharType="begin"/>
        </w:r>
        <w:r w:rsidR="00286264">
          <w:rPr>
            <w:noProof/>
            <w:webHidden/>
          </w:rPr>
          <w:instrText xml:space="preserve"> PAGEREF _Toc62644659 \h </w:instrText>
        </w:r>
        <w:r w:rsidR="00286264">
          <w:rPr>
            <w:noProof/>
            <w:webHidden/>
          </w:rPr>
        </w:r>
        <w:r w:rsidR="00286264">
          <w:rPr>
            <w:noProof/>
            <w:webHidden/>
          </w:rPr>
          <w:fldChar w:fldCharType="separate"/>
        </w:r>
        <w:r w:rsidR="00286264">
          <w:rPr>
            <w:noProof/>
            <w:webHidden/>
          </w:rPr>
          <w:t>427</w:t>
        </w:r>
        <w:r w:rsidR="00286264">
          <w:rPr>
            <w:noProof/>
            <w:webHidden/>
          </w:rPr>
          <w:fldChar w:fldCharType="end"/>
        </w:r>
      </w:hyperlink>
    </w:p>
    <w:p w14:paraId="5C069532"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60" w:history="1">
        <w:r w:rsidR="00286264" w:rsidRPr="00B1774E">
          <w:rPr>
            <w:rStyle w:val="Hyperlink"/>
            <w:noProof/>
          </w:rPr>
          <w:t>61.</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My Plan Business SIM</w:t>
        </w:r>
        <w:r w:rsidR="00286264">
          <w:rPr>
            <w:noProof/>
            <w:webHidden/>
          </w:rPr>
          <w:tab/>
        </w:r>
        <w:r w:rsidR="00286264">
          <w:rPr>
            <w:noProof/>
            <w:webHidden/>
          </w:rPr>
          <w:fldChar w:fldCharType="begin"/>
        </w:r>
        <w:r w:rsidR="00286264">
          <w:rPr>
            <w:noProof/>
            <w:webHidden/>
          </w:rPr>
          <w:instrText xml:space="preserve"> PAGEREF _Toc62644660 \h </w:instrText>
        </w:r>
        <w:r w:rsidR="00286264">
          <w:rPr>
            <w:noProof/>
            <w:webHidden/>
          </w:rPr>
        </w:r>
        <w:r w:rsidR="00286264">
          <w:rPr>
            <w:noProof/>
            <w:webHidden/>
          </w:rPr>
          <w:fldChar w:fldCharType="separate"/>
        </w:r>
        <w:r w:rsidR="00286264">
          <w:rPr>
            <w:noProof/>
            <w:webHidden/>
          </w:rPr>
          <w:t>431</w:t>
        </w:r>
        <w:r w:rsidR="00286264">
          <w:rPr>
            <w:noProof/>
            <w:webHidden/>
          </w:rPr>
          <w:fldChar w:fldCharType="end"/>
        </w:r>
      </w:hyperlink>
    </w:p>
    <w:p w14:paraId="039698B4"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61" w:history="1">
        <w:r w:rsidR="00286264" w:rsidRPr="00B1774E">
          <w:rPr>
            <w:rStyle w:val="Hyperlink"/>
            <w:noProof/>
          </w:rPr>
          <w:t>62.</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My Plan Business (Promotional)</w:t>
        </w:r>
        <w:r w:rsidR="00286264">
          <w:rPr>
            <w:noProof/>
            <w:webHidden/>
          </w:rPr>
          <w:tab/>
        </w:r>
        <w:r w:rsidR="00286264">
          <w:rPr>
            <w:noProof/>
            <w:webHidden/>
          </w:rPr>
          <w:fldChar w:fldCharType="begin"/>
        </w:r>
        <w:r w:rsidR="00286264">
          <w:rPr>
            <w:noProof/>
            <w:webHidden/>
          </w:rPr>
          <w:instrText xml:space="preserve"> PAGEREF _Toc62644661 \h </w:instrText>
        </w:r>
        <w:r w:rsidR="00286264">
          <w:rPr>
            <w:noProof/>
            <w:webHidden/>
          </w:rPr>
        </w:r>
        <w:r w:rsidR="00286264">
          <w:rPr>
            <w:noProof/>
            <w:webHidden/>
          </w:rPr>
          <w:fldChar w:fldCharType="separate"/>
        </w:r>
        <w:r w:rsidR="00286264">
          <w:rPr>
            <w:noProof/>
            <w:webHidden/>
          </w:rPr>
          <w:t>435</w:t>
        </w:r>
        <w:r w:rsidR="00286264">
          <w:rPr>
            <w:noProof/>
            <w:webHidden/>
          </w:rPr>
          <w:fldChar w:fldCharType="end"/>
        </w:r>
      </w:hyperlink>
    </w:p>
    <w:p w14:paraId="436CD655"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62" w:history="1">
        <w:r w:rsidR="00286264" w:rsidRPr="00B1774E">
          <w:rPr>
            <w:rStyle w:val="Hyperlink"/>
            <w:noProof/>
          </w:rPr>
          <w:t>63.</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My Plan Business Tech Fund (Promotional)</w:t>
        </w:r>
        <w:r w:rsidR="00286264">
          <w:rPr>
            <w:noProof/>
            <w:webHidden/>
          </w:rPr>
          <w:tab/>
        </w:r>
        <w:r w:rsidR="00286264">
          <w:rPr>
            <w:noProof/>
            <w:webHidden/>
          </w:rPr>
          <w:fldChar w:fldCharType="begin"/>
        </w:r>
        <w:r w:rsidR="00286264">
          <w:rPr>
            <w:noProof/>
            <w:webHidden/>
          </w:rPr>
          <w:instrText xml:space="preserve"> PAGEREF _Toc62644662 \h </w:instrText>
        </w:r>
        <w:r w:rsidR="00286264">
          <w:rPr>
            <w:noProof/>
            <w:webHidden/>
          </w:rPr>
        </w:r>
        <w:r w:rsidR="00286264">
          <w:rPr>
            <w:noProof/>
            <w:webHidden/>
          </w:rPr>
          <w:fldChar w:fldCharType="separate"/>
        </w:r>
        <w:r w:rsidR="00286264">
          <w:rPr>
            <w:noProof/>
            <w:webHidden/>
          </w:rPr>
          <w:t>441</w:t>
        </w:r>
        <w:r w:rsidR="00286264">
          <w:rPr>
            <w:noProof/>
            <w:webHidden/>
          </w:rPr>
          <w:fldChar w:fldCharType="end"/>
        </w:r>
      </w:hyperlink>
    </w:p>
    <w:p w14:paraId="41674369"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63" w:history="1">
        <w:r w:rsidR="00286264" w:rsidRPr="00B1774E">
          <w:rPr>
            <w:rStyle w:val="Hyperlink"/>
            <w:noProof/>
          </w:rPr>
          <w:t>64.</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My Plan Business Sim (Promotional)</w:t>
        </w:r>
        <w:r w:rsidR="00286264">
          <w:rPr>
            <w:noProof/>
            <w:webHidden/>
          </w:rPr>
          <w:tab/>
        </w:r>
        <w:r w:rsidR="00286264">
          <w:rPr>
            <w:noProof/>
            <w:webHidden/>
          </w:rPr>
          <w:fldChar w:fldCharType="begin"/>
        </w:r>
        <w:r w:rsidR="00286264">
          <w:rPr>
            <w:noProof/>
            <w:webHidden/>
          </w:rPr>
          <w:instrText xml:space="preserve"> PAGEREF _Toc62644663 \h </w:instrText>
        </w:r>
        <w:r w:rsidR="00286264">
          <w:rPr>
            <w:noProof/>
            <w:webHidden/>
          </w:rPr>
        </w:r>
        <w:r w:rsidR="00286264">
          <w:rPr>
            <w:noProof/>
            <w:webHidden/>
          </w:rPr>
          <w:fldChar w:fldCharType="separate"/>
        </w:r>
        <w:r w:rsidR="00286264">
          <w:rPr>
            <w:noProof/>
            <w:webHidden/>
          </w:rPr>
          <w:t>447</w:t>
        </w:r>
        <w:r w:rsidR="00286264">
          <w:rPr>
            <w:noProof/>
            <w:webHidden/>
          </w:rPr>
          <w:fldChar w:fldCharType="end"/>
        </w:r>
      </w:hyperlink>
    </w:p>
    <w:p w14:paraId="3191E664"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64" w:history="1">
        <w:r w:rsidR="00286264" w:rsidRPr="00B1774E">
          <w:rPr>
            <w:rStyle w:val="Hyperlink"/>
            <w:noProof/>
          </w:rPr>
          <w:t>65.</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My Plan Business 12 Months SIM – (Promotional)</w:t>
        </w:r>
        <w:r w:rsidR="00286264">
          <w:rPr>
            <w:noProof/>
            <w:webHidden/>
          </w:rPr>
          <w:tab/>
        </w:r>
        <w:r w:rsidR="00286264">
          <w:rPr>
            <w:noProof/>
            <w:webHidden/>
          </w:rPr>
          <w:fldChar w:fldCharType="begin"/>
        </w:r>
        <w:r w:rsidR="00286264">
          <w:rPr>
            <w:noProof/>
            <w:webHidden/>
          </w:rPr>
          <w:instrText xml:space="preserve"> PAGEREF _Toc62644664 \h </w:instrText>
        </w:r>
        <w:r w:rsidR="00286264">
          <w:rPr>
            <w:noProof/>
            <w:webHidden/>
          </w:rPr>
        </w:r>
        <w:r w:rsidR="00286264">
          <w:rPr>
            <w:noProof/>
            <w:webHidden/>
          </w:rPr>
          <w:fldChar w:fldCharType="separate"/>
        </w:r>
        <w:r w:rsidR="00286264">
          <w:rPr>
            <w:noProof/>
            <w:webHidden/>
          </w:rPr>
          <w:t>451</w:t>
        </w:r>
        <w:r w:rsidR="00286264">
          <w:rPr>
            <w:noProof/>
            <w:webHidden/>
          </w:rPr>
          <w:fldChar w:fldCharType="end"/>
        </w:r>
      </w:hyperlink>
    </w:p>
    <w:p w14:paraId="45405C99"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65" w:history="1">
        <w:r w:rsidR="00286264" w:rsidRPr="00B1774E">
          <w:rPr>
            <w:rStyle w:val="Hyperlink"/>
            <w:noProof/>
          </w:rPr>
          <w:t>66.</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My Plan Business (April 2015)</w:t>
        </w:r>
        <w:r w:rsidR="00286264">
          <w:rPr>
            <w:noProof/>
            <w:webHidden/>
          </w:rPr>
          <w:tab/>
        </w:r>
        <w:r w:rsidR="00286264">
          <w:rPr>
            <w:noProof/>
            <w:webHidden/>
          </w:rPr>
          <w:fldChar w:fldCharType="begin"/>
        </w:r>
        <w:r w:rsidR="00286264">
          <w:rPr>
            <w:noProof/>
            <w:webHidden/>
          </w:rPr>
          <w:instrText xml:space="preserve"> PAGEREF _Toc62644665 \h </w:instrText>
        </w:r>
        <w:r w:rsidR="00286264">
          <w:rPr>
            <w:noProof/>
            <w:webHidden/>
          </w:rPr>
        </w:r>
        <w:r w:rsidR="00286264">
          <w:rPr>
            <w:noProof/>
            <w:webHidden/>
          </w:rPr>
          <w:fldChar w:fldCharType="separate"/>
        </w:r>
        <w:r w:rsidR="00286264">
          <w:rPr>
            <w:noProof/>
            <w:webHidden/>
          </w:rPr>
          <w:t>456</w:t>
        </w:r>
        <w:r w:rsidR="00286264">
          <w:rPr>
            <w:noProof/>
            <w:webHidden/>
          </w:rPr>
          <w:fldChar w:fldCharType="end"/>
        </w:r>
      </w:hyperlink>
    </w:p>
    <w:p w14:paraId="512D445B"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66" w:history="1">
        <w:r w:rsidR="00286264" w:rsidRPr="00B1774E">
          <w:rPr>
            <w:rStyle w:val="Hyperlink"/>
            <w:noProof/>
          </w:rPr>
          <w:t>67.</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My Plan Business Tech Fund (June 2015)</w:t>
        </w:r>
        <w:r w:rsidR="00286264">
          <w:rPr>
            <w:noProof/>
            <w:webHidden/>
          </w:rPr>
          <w:tab/>
        </w:r>
        <w:r w:rsidR="00286264">
          <w:rPr>
            <w:noProof/>
            <w:webHidden/>
          </w:rPr>
          <w:fldChar w:fldCharType="begin"/>
        </w:r>
        <w:r w:rsidR="00286264">
          <w:rPr>
            <w:noProof/>
            <w:webHidden/>
          </w:rPr>
          <w:instrText xml:space="preserve"> PAGEREF _Toc62644666 \h </w:instrText>
        </w:r>
        <w:r w:rsidR="00286264">
          <w:rPr>
            <w:noProof/>
            <w:webHidden/>
          </w:rPr>
        </w:r>
        <w:r w:rsidR="00286264">
          <w:rPr>
            <w:noProof/>
            <w:webHidden/>
          </w:rPr>
          <w:fldChar w:fldCharType="separate"/>
        </w:r>
        <w:r w:rsidR="00286264">
          <w:rPr>
            <w:noProof/>
            <w:webHidden/>
          </w:rPr>
          <w:t>461</w:t>
        </w:r>
        <w:r w:rsidR="00286264">
          <w:rPr>
            <w:noProof/>
            <w:webHidden/>
          </w:rPr>
          <w:fldChar w:fldCharType="end"/>
        </w:r>
      </w:hyperlink>
    </w:p>
    <w:p w14:paraId="50A42AAE"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67" w:history="1">
        <w:r w:rsidR="00286264" w:rsidRPr="00B1774E">
          <w:rPr>
            <w:rStyle w:val="Hyperlink"/>
            <w:noProof/>
          </w:rPr>
          <w:t>68.</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My Plan Business SIM</w:t>
        </w:r>
        <w:r w:rsidR="00286264">
          <w:rPr>
            <w:noProof/>
            <w:webHidden/>
          </w:rPr>
          <w:tab/>
        </w:r>
        <w:r w:rsidR="00286264">
          <w:rPr>
            <w:noProof/>
            <w:webHidden/>
          </w:rPr>
          <w:fldChar w:fldCharType="begin"/>
        </w:r>
        <w:r w:rsidR="00286264">
          <w:rPr>
            <w:noProof/>
            <w:webHidden/>
          </w:rPr>
          <w:instrText xml:space="preserve"> PAGEREF _Toc62644667 \h </w:instrText>
        </w:r>
        <w:r w:rsidR="00286264">
          <w:rPr>
            <w:noProof/>
            <w:webHidden/>
          </w:rPr>
        </w:r>
        <w:r w:rsidR="00286264">
          <w:rPr>
            <w:noProof/>
            <w:webHidden/>
          </w:rPr>
          <w:fldChar w:fldCharType="separate"/>
        </w:r>
        <w:r w:rsidR="00286264">
          <w:rPr>
            <w:noProof/>
            <w:webHidden/>
          </w:rPr>
          <w:t>466</w:t>
        </w:r>
        <w:r w:rsidR="00286264">
          <w:rPr>
            <w:noProof/>
            <w:webHidden/>
          </w:rPr>
          <w:fldChar w:fldCharType="end"/>
        </w:r>
      </w:hyperlink>
    </w:p>
    <w:p w14:paraId="450623F6"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68" w:history="1">
        <w:r w:rsidR="00286264" w:rsidRPr="00B1774E">
          <w:rPr>
            <w:rStyle w:val="Hyperlink"/>
            <w:noProof/>
          </w:rPr>
          <w:t>69.</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My Plan Business</w:t>
        </w:r>
        <w:r w:rsidR="00286264">
          <w:rPr>
            <w:noProof/>
            <w:webHidden/>
          </w:rPr>
          <w:tab/>
        </w:r>
        <w:r w:rsidR="00286264">
          <w:rPr>
            <w:noProof/>
            <w:webHidden/>
          </w:rPr>
          <w:fldChar w:fldCharType="begin"/>
        </w:r>
        <w:r w:rsidR="00286264">
          <w:rPr>
            <w:noProof/>
            <w:webHidden/>
          </w:rPr>
          <w:instrText xml:space="preserve"> PAGEREF _Toc62644668 \h </w:instrText>
        </w:r>
        <w:r w:rsidR="00286264">
          <w:rPr>
            <w:noProof/>
            <w:webHidden/>
          </w:rPr>
        </w:r>
        <w:r w:rsidR="00286264">
          <w:rPr>
            <w:noProof/>
            <w:webHidden/>
          </w:rPr>
          <w:fldChar w:fldCharType="separate"/>
        </w:r>
        <w:r w:rsidR="00286264">
          <w:rPr>
            <w:noProof/>
            <w:webHidden/>
          </w:rPr>
          <w:t>470</w:t>
        </w:r>
        <w:r w:rsidR="00286264">
          <w:rPr>
            <w:noProof/>
            <w:webHidden/>
          </w:rPr>
          <w:fldChar w:fldCharType="end"/>
        </w:r>
      </w:hyperlink>
    </w:p>
    <w:p w14:paraId="179E6A8A"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69" w:history="1">
        <w:r w:rsidR="00286264" w:rsidRPr="00B1774E">
          <w:rPr>
            <w:rStyle w:val="Hyperlink"/>
            <w:noProof/>
          </w:rPr>
          <w:t>70.</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My Plan Business Tech Fund</w:t>
        </w:r>
        <w:r w:rsidR="00286264">
          <w:rPr>
            <w:noProof/>
            <w:webHidden/>
          </w:rPr>
          <w:tab/>
        </w:r>
        <w:r w:rsidR="00286264">
          <w:rPr>
            <w:noProof/>
            <w:webHidden/>
          </w:rPr>
          <w:fldChar w:fldCharType="begin"/>
        </w:r>
        <w:r w:rsidR="00286264">
          <w:rPr>
            <w:noProof/>
            <w:webHidden/>
          </w:rPr>
          <w:instrText xml:space="preserve"> PAGEREF _Toc62644669 \h </w:instrText>
        </w:r>
        <w:r w:rsidR="00286264">
          <w:rPr>
            <w:noProof/>
            <w:webHidden/>
          </w:rPr>
        </w:r>
        <w:r w:rsidR="00286264">
          <w:rPr>
            <w:noProof/>
            <w:webHidden/>
          </w:rPr>
          <w:fldChar w:fldCharType="separate"/>
        </w:r>
        <w:r w:rsidR="00286264">
          <w:rPr>
            <w:noProof/>
            <w:webHidden/>
          </w:rPr>
          <w:t>474</w:t>
        </w:r>
        <w:r w:rsidR="00286264">
          <w:rPr>
            <w:noProof/>
            <w:webHidden/>
          </w:rPr>
          <w:fldChar w:fldCharType="end"/>
        </w:r>
      </w:hyperlink>
    </w:p>
    <w:p w14:paraId="3369DF44"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70" w:history="1">
        <w:r w:rsidR="00286264" w:rsidRPr="00B1774E">
          <w:rPr>
            <w:rStyle w:val="Hyperlink"/>
            <w:noProof/>
          </w:rPr>
          <w:t>71.</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$0 Optus Plan (Mar 2015)</w:t>
        </w:r>
        <w:r w:rsidR="00286264">
          <w:rPr>
            <w:noProof/>
            <w:webHidden/>
          </w:rPr>
          <w:tab/>
        </w:r>
        <w:r w:rsidR="00286264">
          <w:rPr>
            <w:noProof/>
            <w:webHidden/>
          </w:rPr>
          <w:fldChar w:fldCharType="begin"/>
        </w:r>
        <w:r w:rsidR="00286264">
          <w:rPr>
            <w:noProof/>
            <w:webHidden/>
          </w:rPr>
          <w:instrText xml:space="preserve"> PAGEREF _Toc62644670 \h </w:instrText>
        </w:r>
        <w:r w:rsidR="00286264">
          <w:rPr>
            <w:noProof/>
            <w:webHidden/>
          </w:rPr>
        </w:r>
        <w:r w:rsidR="00286264">
          <w:rPr>
            <w:noProof/>
            <w:webHidden/>
          </w:rPr>
          <w:fldChar w:fldCharType="separate"/>
        </w:r>
        <w:r w:rsidR="00286264">
          <w:rPr>
            <w:noProof/>
            <w:webHidden/>
          </w:rPr>
          <w:t>479</w:t>
        </w:r>
        <w:r w:rsidR="00286264">
          <w:rPr>
            <w:noProof/>
            <w:webHidden/>
          </w:rPr>
          <w:fldChar w:fldCharType="end"/>
        </w:r>
      </w:hyperlink>
    </w:p>
    <w:p w14:paraId="7FA6F0D7"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71" w:history="1">
        <w:r w:rsidR="00286264" w:rsidRPr="00B1774E">
          <w:rPr>
            <w:rStyle w:val="Hyperlink"/>
            <w:noProof/>
          </w:rPr>
          <w:t>72.</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My Plan Business – (Promotional)</w:t>
        </w:r>
        <w:r w:rsidR="00286264">
          <w:rPr>
            <w:noProof/>
            <w:webHidden/>
          </w:rPr>
          <w:tab/>
        </w:r>
        <w:r w:rsidR="00286264">
          <w:rPr>
            <w:noProof/>
            <w:webHidden/>
          </w:rPr>
          <w:fldChar w:fldCharType="begin"/>
        </w:r>
        <w:r w:rsidR="00286264">
          <w:rPr>
            <w:noProof/>
            <w:webHidden/>
          </w:rPr>
          <w:instrText xml:space="preserve"> PAGEREF _Toc62644671 \h </w:instrText>
        </w:r>
        <w:r w:rsidR="00286264">
          <w:rPr>
            <w:noProof/>
            <w:webHidden/>
          </w:rPr>
        </w:r>
        <w:r w:rsidR="00286264">
          <w:rPr>
            <w:noProof/>
            <w:webHidden/>
          </w:rPr>
          <w:fldChar w:fldCharType="separate"/>
        </w:r>
        <w:r w:rsidR="00286264">
          <w:rPr>
            <w:noProof/>
            <w:webHidden/>
          </w:rPr>
          <w:t>481</w:t>
        </w:r>
        <w:r w:rsidR="00286264">
          <w:rPr>
            <w:noProof/>
            <w:webHidden/>
          </w:rPr>
          <w:fldChar w:fldCharType="end"/>
        </w:r>
      </w:hyperlink>
    </w:p>
    <w:p w14:paraId="427270B3"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72" w:history="1">
        <w:r w:rsidR="00286264" w:rsidRPr="00B1774E">
          <w:rPr>
            <w:rStyle w:val="Hyperlink"/>
            <w:rFonts w:cs="Arial"/>
            <w:noProof/>
          </w:rPr>
          <w:t>73.</w:t>
        </w:r>
        <w:r w:rsidR="00286264">
          <w:rPr>
            <w:rFonts w:asciiTheme="minorHAnsi" w:eastAsiaTheme="minorEastAsia" w:hAnsiTheme="minorHAnsi" w:cstheme="minorBidi"/>
            <w:b w:val="0"/>
            <w:noProof/>
            <w:sz w:val="22"/>
            <w:szCs w:val="22"/>
            <w:lang w:val="en-AU" w:eastAsia="en-AU"/>
          </w:rPr>
          <w:tab/>
        </w:r>
        <w:r w:rsidR="00286264" w:rsidRPr="00B1774E">
          <w:rPr>
            <w:rStyle w:val="Hyperlink"/>
            <w:rFonts w:cs="Arial"/>
            <w:caps/>
            <w:noProof/>
          </w:rPr>
          <w:t>My Plan Business 12 Months SIM</w:t>
        </w:r>
        <w:r w:rsidR="00286264">
          <w:rPr>
            <w:noProof/>
            <w:webHidden/>
          </w:rPr>
          <w:tab/>
        </w:r>
        <w:r w:rsidR="00286264">
          <w:rPr>
            <w:noProof/>
            <w:webHidden/>
          </w:rPr>
          <w:fldChar w:fldCharType="begin"/>
        </w:r>
        <w:r w:rsidR="00286264">
          <w:rPr>
            <w:noProof/>
            <w:webHidden/>
          </w:rPr>
          <w:instrText xml:space="preserve"> PAGEREF _Toc62644672 \h </w:instrText>
        </w:r>
        <w:r w:rsidR="00286264">
          <w:rPr>
            <w:noProof/>
            <w:webHidden/>
          </w:rPr>
        </w:r>
        <w:r w:rsidR="00286264">
          <w:rPr>
            <w:noProof/>
            <w:webHidden/>
          </w:rPr>
          <w:fldChar w:fldCharType="separate"/>
        </w:r>
        <w:r w:rsidR="00286264">
          <w:rPr>
            <w:noProof/>
            <w:webHidden/>
          </w:rPr>
          <w:t>485</w:t>
        </w:r>
        <w:r w:rsidR="00286264">
          <w:rPr>
            <w:noProof/>
            <w:webHidden/>
          </w:rPr>
          <w:fldChar w:fldCharType="end"/>
        </w:r>
      </w:hyperlink>
    </w:p>
    <w:p w14:paraId="3B5A61F6"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73" w:history="1">
        <w:r w:rsidR="00286264" w:rsidRPr="00B1774E">
          <w:rPr>
            <w:rStyle w:val="Hyperlink"/>
            <w:rFonts w:cs="Arial"/>
            <w:noProof/>
          </w:rPr>
          <w:t>74.</w:t>
        </w:r>
        <w:r w:rsidR="00286264">
          <w:rPr>
            <w:rFonts w:asciiTheme="minorHAnsi" w:eastAsiaTheme="minorEastAsia" w:hAnsiTheme="minorHAnsi" w:cstheme="minorBidi"/>
            <w:b w:val="0"/>
            <w:noProof/>
            <w:sz w:val="22"/>
            <w:szCs w:val="22"/>
            <w:lang w:val="en-AU" w:eastAsia="en-AU"/>
          </w:rPr>
          <w:tab/>
        </w:r>
        <w:r w:rsidR="00286264" w:rsidRPr="00B1774E">
          <w:rPr>
            <w:rStyle w:val="Hyperlink"/>
            <w:rFonts w:cs="Arial"/>
            <w:caps/>
            <w:noProof/>
          </w:rPr>
          <w:t>My Plan Business (July 2016)</w:t>
        </w:r>
        <w:r w:rsidR="00286264">
          <w:rPr>
            <w:noProof/>
            <w:webHidden/>
          </w:rPr>
          <w:tab/>
        </w:r>
        <w:r w:rsidR="00286264">
          <w:rPr>
            <w:noProof/>
            <w:webHidden/>
          </w:rPr>
          <w:fldChar w:fldCharType="begin"/>
        </w:r>
        <w:r w:rsidR="00286264">
          <w:rPr>
            <w:noProof/>
            <w:webHidden/>
          </w:rPr>
          <w:instrText xml:space="preserve"> PAGEREF _Toc62644673 \h </w:instrText>
        </w:r>
        <w:r w:rsidR="00286264">
          <w:rPr>
            <w:noProof/>
            <w:webHidden/>
          </w:rPr>
        </w:r>
        <w:r w:rsidR="00286264">
          <w:rPr>
            <w:noProof/>
            <w:webHidden/>
          </w:rPr>
          <w:fldChar w:fldCharType="separate"/>
        </w:r>
        <w:r w:rsidR="00286264">
          <w:rPr>
            <w:noProof/>
            <w:webHidden/>
          </w:rPr>
          <w:t>488</w:t>
        </w:r>
        <w:r w:rsidR="00286264">
          <w:rPr>
            <w:noProof/>
            <w:webHidden/>
          </w:rPr>
          <w:fldChar w:fldCharType="end"/>
        </w:r>
      </w:hyperlink>
    </w:p>
    <w:p w14:paraId="156CF987"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74" w:history="1">
        <w:r w:rsidR="00286264" w:rsidRPr="00B1774E">
          <w:rPr>
            <w:rStyle w:val="Hyperlink"/>
            <w:rFonts w:cs="Arial"/>
            <w:noProof/>
          </w:rPr>
          <w:t>75.</w:t>
        </w:r>
        <w:r w:rsidR="00286264">
          <w:rPr>
            <w:rFonts w:asciiTheme="minorHAnsi" w:eastAsiaTheme="minorEastAsia" w:hAnsiTheme="minorHAnsi" w:cstheme="minorBidi"/>
            <w:b w:val="0"/>
            <w:noProof/>
            <w:sz w:val="22"/>
            <w:szCs w:val="22"/>
            <w:lang w:val="en-AU" w:eastAsia="en-AU"/>
          </w:rPr>
          <w:tab/>
        </w:r>
        <w:r w:rsidR="00286264" w:rsidRPr="00B1774E">
          <w:rPr>
            <w:rStyle w:val="Hyperlink"/>
            <w:rFonts w:cs="Arial"/>
            <w:caps/>
            <w:noProof/>
          </w:rPr>
          <w:t>My Plan Business Tech Fund (July 2016)</w:t>
        </w:r>
        <w:r w:rsidR="00286264">
          <w:rPr>
            <w:noProof/>
            <w:webHidden/>
          </w:rPr>
          <w:tab/>
        </w:r>
        <w:r w:rsidR="00286264">
          <w:rPr>
            <w:noProof/>
            <w:webHidden/>
          </w:rPr>
          <w:fldChar w:fldCharType="begin"/>
        </w:r>
        <w:r w:rsidR="00286264">
          <w:rPr>
            <w:noProof/>
            <w:webHidden/>
          </w:rPr>
          <w:instrText xml:space="preserve"> PAGEREF _Toc62644674 \h </w:instrText>
        </w:r>
        <w:r w:rsidR="00286264">
          <w:rPr>
            <w:noProof/>
            <w:webHidden/>
          </w:rPr>
        </w:r>
        <w:r w:rsidR="00286264">
          <w:rPr>
            <w:noProof/>
            <w:webHidden/>
          </w:rPr>
          <w:fldChar w:fldCharType="separate"/>
        </w:r>
        <w:r w:rsidR="00286264">
          <w:rPr>
            <w:noProof/>
            <w:webHidden/>
          </w:rPr>
          <w:t>493</w:t>
        </w:r>
        <w:r w:rsidR="00286264">
          <w:rPr>
            <w:noProof/>
            <w:webHidden/>
          </w:rPr>
          <w:fldChar w:fldCharType="end"/>
        </w:r>
      </w:hyperlink>
    </w:p>
    <w:p w14:paraId="10AD7DBF"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75" w:history="1">
        <w:r w:rsidR="00286264" w:rsidRPr="00B1774E">
          <w:rPr>
            <w:rStyle w:val="Hyperlink"/>
            <w:noProof/>
            <w:lang w:val="en-AU"/>
          </w:rPr>
          <w:t>76.</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SAMSUNG GALAXY S7 – PROMOTION</w:t>
        </w:r>
        <w:r w:rsidR="00286264">
          <w:rPr>
            <w:noProof/>
            <w:webHidden/>
          </w:rPr>
          <w:tab/>
        </w:r>
        <w:r w:rsidR="00286264">
          <w:rPr>
            <w:noProof/>
            <w:webHidden/>
          </w:rPr>
          <w:fldChar w:fldCharType="begin"/>
        </w:r>
        <w:r w:rsidR="00286264">
          <w:rPr>
            <w:noProof/>
            <w:webHidden/>
          </w:rPr>
          <w:instrText xml:space="preserve"> PAGEREF _Toc62644675 \h </w:instrText>
        </w:r>
        <w:r w:rsidR="00286264">
          <w:rPr>
            <w:noProof/>
            <w:webHidden/>
          </w:rPr>
        </w:r>
        <w:r w:rsidR="00286264">
          <w:rPr>
            <w:noProof/>
            <w:webHidden/>
          </w:rPr>
          <w:fldChar w:fldCharType="separate"/>
        </w:r>
        <w:r w:rsidR="00286264">
          <w:rPr>
            <w:noProof/>
            <w:webHidden/>
          </w:rPr>
          <w:t>498</w:t>
        </w:r>
        <w:r w:rsidR="00286264">
          <w:rPr>
            <w:noProof/>
            <w:webHidden/>
          </w:rPr>
          <w:fldChar w:fldCharType="end"/>
        </w:r>
      </w:hyperlink>
    </w:p>
    <w:p w14:paraId="6ABDC9B9"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76" w:history="1">
        <w:r w:rsidR="00286264" w:rsidRPr="00B1774E">
          <w:rPr>
            <w:rStyle w:val="Hyperlink"/>
            <w:noProof/>
            <w:lang w:val="en-AU"/>
          </w:rPr>
          <w:t>77.</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Optus Sport Promotion</w:t>
        </w:r>
        <w:r w:rsidR="00286264">
          <w:rPr>
            <w:noProof/>
            <w:webHidden/>
          </w:rPr>
          <w:tab/>
        </w:r>
        <w:r w:rsidR="00286264">
          <w:rPr>
            <w:noProof/>
            <w:webHidden/>
          </w:rPr>
          <w:fldChar w:fldCharType="begin"/>
        </w:r>
        <w:r w:rsidR="00286264">
          <w:rPr>
            <w:noProof/>
            <w:webHidden/>
          </w:rPr>
          <w:instrText xml:space="preserve"> PAGEREF _Toc62644676 \h </w:instrText>
        </w:r>
        <w:r w:rsidR="00286264">
          <w:rPr>
            <w:noProof/>
            <w:webHidden/>
          </w:rPr>
        </w:r>
        <w:r w:rsidR="00286264">
          <w:rPr>
            <w:noProof/>
            <w:webHidden/>
          </w:rPr>
          <w:fldChar w:fldCharType="separate"/>
        </w:r>
        <w:r w:rsidR="00286264">
          <w:rPr>
            <w:noProof/>
            <w:webHidden/>
          </w:rPr>
          <w:t>498</w:t>
        </w:r>
        <w:r w:rsidR="00286264">
          <w:rPr>
            <w:noProof/>
            <w:webHidden/>
          </w:rPr>
          <w:fldChar w:fldCharType="end"/>
        </w:r>
      </w:hyperlink>
    </w:p>
    <w:p w14:paraId="0DF0A709"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77" w:history="1">
        <w:r w:rsidR="00286264" w:rsidRPr="00B1774E">
          <w:rPr>
            <w:rStyle w:val="Hyperlink"/>
            <w:noProof/>
          </w:rPr>
          <w:t>78.</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Fetch Mini Promotion</w:t>
        </w:r>
        <w:r w:rsidR="00286264">
          <w:rPr>
            <w:noProof/>
            <w:webHidden/>
          </w:rPr>
          <w:tab/>
        </w:r>
        <w:r w:rsidR="00286264">
          <w:rPr>
            <w:noProof/>
            <w:webHidden/>
          </w:rPr>
          <w:fldChar w:fldCharType="begin"/>
        </w:r>
        <w:r w:rsidR="00286264">
          <w:rPr>
            <w:noProof/>
            <w:webHidden/>
          </w:rPr>
          <w:instrText xml:space="preserve"> PAGEREF _Toc62644677 \h </w:instrText>
        </w:r>
        <w:r w:rsidR="00286264">
          <w:rPr>
            <w:noProof/>
            <w:webHidden/>
          </w:rPr>
        </w:r>
        <w:r w:rsidR="00286264">
          <w:rPr>
            <w:noProof/>
            <w:webHidden/>
          </w:rPr>
          <w:fldChar w:fldCharType="separate"/>
        </w:r>
        <w:r w:rsidR="00286264">
          <w:rPr>
            <w:noProof/>
            <w:webHidden/>
          </w:rPr>
          <w:t>499</w:t>
        </w:r>
        <w:r w:rsidR="00286264">
          <w:rPr>
            <w:noProof/>
            <w:webHidden/>
          </w:rPr>
          <w:fldChar w:fldCharType="end"/>
        </w:r>
      </w:hyperlink>
    </w:p>
    <w:p w14:paraId="6444BC2A"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78" w:history="1">
        <w:r w:rsidR="00286264" w:rsidRPr="00B1774E">
          <w:rPr>
            <w:rStyle w:val="Hyperlink"/>
            <w:noProof/>
          </w:rPr>
          <w:t>79.</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$90 My Plan Business Bonus Data Promotion (Dec 2016)</w:t>
        </w:r>
        <w:r w:rsidR="00286264">
          <w:rPr>
            <w:noProof/>
            <w:webHidden/>
          </w:rPr>
          <w:tab/>
        </w:r>
        <w:r w:rsidR="00286264">
          <w:rPr>
            <w:noProof/>
            <w:webHidden/>
          </w:rPr>
          <w:fldChar w:fldCharType="begin"/>
        </w:r>
        <w:r w:rsidR="00286264">
          <w:rPr>
            <w:noProof/>
            <w:webHidden/>
          </w:rPr>
          <w:instrText xml:space="preserve"> PAGEREF _Toc62644678 \h </w:instrText>
        </w:r>
        <w:r w:rsidR="00286264">
          <w:rPr>
            <w:noProof/>
            <w:webHidden/>
          </w:rPr>
        </w:r>
        <w:r w:rsidR="00286264">
          <w:rPr>
            <w:noProof/>
            <w:webHidden/>
          </w:rPr>
          <w:fldChar w:fldCharType="separate"/>
        </w:r>
        <w:r w:rsidR="00286264">
          <w:rPr>
            <w:noProof/>
            <w:webHidden/>
          </w:rPr>
          <w:t>500</w:t>
        </w:r>
        <w:r w:rsidR="00286264">
          <w:rPr>
            <w:noProof/>
            <w:webHidden/>
          </w:rPr>
          <w:fldChar w:fldCharType="end"/>
        </w:r>
      </w:hyperlink>
    </w:p>
    <w:p w14:paraId="3BF3846E"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79" w:history="1">
        <w:r w:rsidR="00286264" w:rsidRPr="00B1774E">
          <w:rPr>
            <w:rStyle w:val="Hyperlink"/>
            <w:noProof/>
            <w:lang w:val="en-AU"/>
          </w:rPr>
          <w:t>80.</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$125 My Plan Business ($105 Promo)</w:t>
        </w:r>
        <w:r w:rsidR="00286264">
          <w:rPr>
            <w:noProof/>
            <w:webHidden/>
          </w:rPr>
          <w:tab/>
        </w:r>
        <w:r w:rsidR="00286264">
          <w:rPr>
            <w:noProof/>
            <w:webHidden/>
          </w:rPr>
          <w:fldChar w:fldCharType="begin"/>
        </w:r>
        <w:r w:rsidR="00286264">
          <w:rPr>
            <w:noProof/>
            <w:webHidden/>
          </w:rPr>
          <w:instrText xml:space="preserve"> PAGEREF _Toc62644679 \h </w:instrText>
        </w:r>
        <w:r w:rsidR="00286264">
          <w:rPr>
            <w:noProof/>
            <w:webHidden/>
          </w:rPr>
        </w:r>
        <w:r w:rsidR="00286264">
          <w:rPr>
            <w:noProof/>
            <w:webHidden/>
          </w:rPr>
          <w:fldChar w:fldCharType="separate"/>
        </w:r>
        <w:r w:rsidR="00286264">
          <w:rPr>
            <w:noProof/>
            <w:webHidden/>
          </w:rPr>
          <w:t>500</w:t>
        </w:r>
        <w:r w:rsidR="00286264">
          <w:rPr>
            <w:noProof/>
            <w:webHidden/>
          </w:rPr>
          <w:fldChar w:fldCharType="end"/>
        </w:r>
      </w:hyperlink>
    </w:p>
    <w:p w14:paraId="082C3C64"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80" w:history="1">
        <w:r w:rsidR="00286264" w:rsidRPr="00B1774E">
          <w:rPr>
            <w:rStyle w:val="Hyperlink"/>
            <w:noProof/>
            <w:lang w:val="en-AU"/>
          </w:rPr>
          <w:t>81.</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$125 My Plan Business Tech Fund ($105 Promo)</w:t>
        </w:r>
        <w:r w:rsidR="00286264">
          <w:rPr>
            <w:noProof/>
            <w:webHidden/>
          </w:rPr>
          <w:tab/>
        </w:r>
        <w:r w:rsidR="00286264">
          <w:rPr>
            <w:noProof/>
            <w:webHidden/>
          </w:rPr>
          <w:fldChar w:fldCharType="begin"/>
        </w:r>
        <w:r w:rsidR="00286264">
          <w:rPr>
            <w:noProof/>
            <w:webHidden/>
          </w:rPr>
          <w:instrText xml:space="preserve"> PAGEREF _Toc62644680 \h </w:instrText>
        </w:r>
        <w:r w:rsidR="00286264">
          <w:rPr>
            <w:noProof/>
            <w:webHidden/>
          </w:rPr>
        </w:r>
        <w:r w:rsidR="00286264">
          <w:rPr>
            <w:noProof/>
            <w:webHidden/>
          </w:rPr>
          <w:fldChar w:fldCharType="separate"/>
        </w:r>
        <w:r w:rsidR="00286264">
          <w:rPr>
            <w:noProof/>
            <w:webHidden/>
          </w:rPr>
          <w:t>505</w:t>
        </w:r>
        <w:r w:rsidR="00286264">
          <w:rPr>
            <w:noProof/>
            <w:webHidden/>
          </w:rPr>
          <w:fldChar w:fldCharType="end"/>
        </w:r>
      </w:hyperlink>
    </w:p>
    <w:p w14:paraId="2415864C"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81" w:history="1">
        <w:r w:rsidR="00286264" w:rsidRPr="00B1774E">
          <w:rPr>
            <w:rStyle w:val="Hyperlink"/>
            <w:noProof/>
          </w:rPr>
          <w:t>82.</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Bonus Data Promotion</w:t>
        </w:r>
        <w:r w:rsidR="00286264">
          <w:rPr>
            <w:noProof/>
            <w:webHidden/>
          </w:rPr>
          <w:tab/>
        </w:r>
        <w:r w:rsidR="00286264">
          <w:rPr>
            <w:noProof/>
            <w:webHidden/>
          </w:rPr>
          <w:fldChar w:fldCharType="begin"/>
        </w:r>
        <w:r w:rsidR="00286264">
          <w:rPr>
            <w:noProof/>
            <w:webHidden/>
          </w:rPr>
          <w:instrText xml:space="preserve"> PAGEREF _Toc62644681 \h </w:instrText>
        </w:r>
        <w:r w:rsidR="00286264">
          <w:rPr>
            <w:noProof/>
            <w:webHidden/>
          </w:rPr>
        </w:r>
        <w:r w:rsidR="00286264">
          <w:rPr>
            <w:noProof/>
            <w:webHidden/>
          </w:rPr>
          <w:fldChar w:fldCharType="separate"/>
        </w:r>
        <w:r w:rsidR="00286264">
          <w:rPr>
            <w:noProof/>
            <w:webHidden/>
          </w:rPr>
          <w:t>509</w:t>
        </w:r>
        <w:r w:rsidR="00286264">
          <w:rPr>
            <w:noProof/>
            <w:webHidden/>
          </w:rPr>
          <w:fldChar w:fldCharType="end"/>
        </w:r>
      </w:hyperlink>
    </w:p>
    <w:p w14:paraId="68CDCD66"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82" w:history="1">
        <w:r w:rsidR="00286264" w:rsidRPr="00B1774E">
          <w:rPr>
            <w:rStyle w:val="Hyperlink"/>
            <w:noProof/>
          </w:rPr>
          <w:t>83.</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Home Zone Customer Promotion (Jan 2017)</w:t>
        </w:r>
        <w:r w:rsidR="00286264">
          <w:rPr>
            <w:noProof/>
            <w:webHidden/>
          </w:rPr>
          <w:tab/>
        </w:r>
        <w:r w:rsidR="00286264">
          <w:rPr>
            <w:noProof/>
            <w:webHidden/>
          </w:rPr>
          <w:fldChar w:fldCharType="begin"/>
        </w:r>
        <w:r w:rsidR="00286264">
          <w:rPr>
            <w:noProof/>
            <w:webHidden/>
          </w:rPr>
          <w:instrText xml:space="preserve"> PAGEREF _Toc62644682 \h </w:instrText>
        </w:r>
        <w:r w:rsidR="00286264">
          <w:rPr>
            <w:noProof/>
            <w:webHidden/>
          </w:rPr>
        </w:r>
        <w:r w:rsidR="00286264">
          <w:rPr>
            <w:noProof/>
            <w:webHidden/>
          </w:rPr>
          <w:fldChar w:fldCharType="separate"/>
        </w:r>
        <w:r w:rsidR="00286264">
          <w:rPr>
            <w:noProof/>
            <w:webHidden/>
          </w:rPr>
          <w:t>510</w:t>
        </w:r>
        <w:r w:rsidR="00286264">
          <w:rPr>
            <w:noProof/>
            <w:webHidden/>
          </w:rPr>
          <w:fldChar w:fldCharType="end"/>
        </w:r>
      </w:hyperlink>
    </w:p>
    <w:p w14:paraId="3A4DC04F"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83" w:history="1">
        <w:r w:rsidR="00286264" w:rsidRPr="00B1774E">
          <w:rPr>
            <w:rStyle w:val="Hyperlink"/>
            <w:noProof/>
          </w:rPr>
          <w:t>84.</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$70 My Plan Business + Tech Fund Bonus Data Promotion (Feb 2017)</w:t>
        </w:r>
        <w:r w:rsidR="00286264">
          <w:rPr>
            <w:noProof/>
            <w:webHidden/>
          </w:rPr>
          <w:tab/>
        </w:r>
        <w:r w:rsidR="00286264">
          <w:rPr>
            <w:noProof/>
            <w:webHidden/>
          </w:rPr>
          <w:fldChar w:fldCharType="begin"/>
        </w:r>
        <w:r w:rsidR="00286264">
          <w:rPr>
            <w:noProof/>
            <w:webHidden/>
          </w:rPr>
          <w:instrText xml:space="preserve"> PAGEREF _Toc62644683 \h </w:instrText>
        </w:r>
        <w:r w:rsidR="00286264">
          <w:rPr>
            <w:noProof/>
            <w:webHidden/>
          </w:rPr>
        </w:r>
        <w:r w:rsidR="00286264">
          <w:rPr>
            <w:noProof/>
            <w:webHidden/>
          </w:rPr>
          <w:fldChar w:fldCharType="separate"/>
        </w:r>
        <w:r w:rsidR="00286264">
          <w:rPr>
            <w:noProof/>
            <w:webHidden/>
          </w:rPr>
          <w:t>510</w:t>
        </w:r>
        <w:r w:rsidR="00286264">
          <w:rPr>
            <w:noProof/>
            <w:webHidden/>
          </w:rPr>
          <w:fldChar w:fldCharType="end"/>
        </w:r>
      </w:hyperlink>
    </w:p>
    <w:p w14:paraId="53D77303"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84" w:history="1">
        <w:r w:rsidR="00286264" w:rsidRPr="00B1774E">
          <w:rPr>
            <w:rStyle w:val="Hyperlink"/>
            <w:noProof/>
          </w:rPr>
          <w:t>85.</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$40 My Plan Business SIM 12M Promotion (Feb 2017)</w:t>
        </w:r>
        <w:r w:rsidR="00286264">
          <w:rPr>
            <w:noProof/>
            <w:webHidden/>
          </w:rPr>
          <w:tab/>
        </w:r>
        <w:r w:rsidR="00286264">
          <w:rPr>
            <w:noProof/>
            <w:webHidden/>
          </w:rPr>
          <w:fldChar w:fldCharType="begin"/>
        </w:r>
        <w:r w:rsidR="00286264">
          <w:rPr>
            <w:noProof/>
            <w:webHidden/>
          </w:rPr>
          <w:instrText xml:space="preserve"> PAGEREF _Toc62644684 \h </w:instrText>
        </w:r>
        <w:r w:rsidR="00286264">
          <w:rPr>
            <w:noProof/>
            <w:webHidden/>
          </w:rPr>
        </w:r>
        <w:r w:rsidR="00286264">
          <w:rPr>
            <w:noProof/>
            <w:webHidden/>
          </w:rPr>
          <w:fldChar w:fldCharType="separate"/>
        </w:r>
        <w:r w:rsidR="00286264">
          <w:rPr>
            <w:noProof/>
            <w:webHidden/>
          </w:rPr>
          <w:t>510</w:t>
        </w:r>
        <w:r w:rsidR="00286264">
          <w:rPr>
            <w:noProof/>
            <w:webHidden/>
          </w:rPr>
          <w:fldChar w:fldCharType="end"/>
        </w:r>
      </w:hyperlink>
    </w:p>
    <w:p w14:paraId="0B640B8A"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85" w:history="1">
        <w:r w:rsidR="00286264" w:rsidRPr="00B1774E">
          <w:rPr>
            <w:rStyle w:val="Hyperlink"/>
            <w:noProof/>
            <w:lang w:val="en-AU"/>
          </w:rPr>
          <w:t>86.</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$125 My Plan Business Tech Fund</w:t>
        </w:r>
        <w:r w:rsidR="00286264">
          <w:rPr>
            <w:noProof/>
            <w:webHidden/>
          </w:rPr>
          <w:tab/>
        </w:r>
        <w:r w:rsidR="00286264">
          <w:rPr>
            <w:noProof/>
            <w:webHidden/>
          </w:rPr>
          <w:fldChar w:fldCharType="begin"/>
        </w:r>
        <w:r w:rsidR="00286264">
          <w:rPr>
            <w:noProof/>
            <w:webHidden/>
          </w:rPr>
          <w:instrText xml:space="preserve"> PAGEREF _Toc62644685 \h </w:instrText>
        </w:r>
        <w:r w:rsidR="00286264">
          <w:rPr>
            <w:noProof/>
            <w:webHidden/>
          </w:rPr>
        </w:r>
        <w:r w:rsidR="00286264">
          <w:rPr>
            <w:noProof/>
            <w:webHidden/>
          </w:rPr>
          <w:fldChar w:fldCharType="separate"/>
        </w:r>
        <w:r w:rsidR="00286264">
          <w:rPr>
            <w:noProof/>
            <w:webHidden/>
          </w:rPr>
          <w:t>510</w:t>
        </w:r>
        <w:r w:rsidR="00286264">
          <w:rPr>
            <w:noProof/>
            <w:webHidden/>
          </w:rPr>
          <w:fldChar w:fldCharType="end"/>
        </w:r>
      </w:hyperlink>
    </w:p>
    <w:p w14:paraId="181B719F"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86" w:history="1">
        <w:r w:rsidR="00286264" w:rsidRPr="00B1774E">
          <w:rPr>
            <w:rStyle w:val="Hyperlink"/>
            <w:noProof/>
          </w:rPr>
          <w:t>87.</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$125 Business Plan</w:t>
        </w:r>
        <w:r w:rsidR="00286264">
          <w:rPr>
            <w:noProof/>
            <w:webHidden/>
          </w:rPr>
          <w:tab/>
        </w:r>
        <w:r w:rsidR="00286264">
          <w:rPr>
            <w:noProof/>
            <w:webHidden/>
          </w:rPr>
          <w:fldChar w:fldCharType="begin"/>
        </w:r>
        <w:r w:rsidR="00286264">
          <w:rPr>
            <w:noProof/>
            <w:webHidden/>
          </w:rPr>
          <w:instrText xml:space="preserve"> PAGEREF _Toc62644686 \h </w:instrText>
        </w:r>
        <w:r w:rsidR="00286264">
          <w:rPr>
            <w:noProof/>
            <w:webHidden/>
          </w:rPr>
        </w:r>
        <w:r w:rsidR="00286264">
          <w:rPr>
            <w:noProof/>
            <w:webHidden/>
          </w:rPr>
          <w:fldChar w:fldCharType="separate"/>
        </w:r>
        <w:r w:rsidR="00286264">
          <w:rPr>
            <w:noProof/>
            <w:webHidden/>
          </w:rPr>
          <w:t>515</w:t>
        </w:r>
        <w:r w:rsidR="00286264">
          <w:rPr>
            <w:noProof/>
            <w:webHidden/>
          </w:rPr>
          <w:fldChar w:fldCharType="end"/>
        </w:r>
      </w:hyperlink>
    </w:p>
    <w:p w14:paraId="6FE294FC"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87" w:history="1">
        <w:r w:rsidR="00286264" w:rsidRPr="00B1774E">
          <w:rPr>
            <w:rStyle w:val="Hyperlink"/>
            <w:noProof/>
          </w:rPr>
          <w:t>88.</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$90 My Plan Business + Tech Fund Bonus + Business Plan Data Promotion (Feb/April 2017)</w:t>
        </w:r>
        <w:r w:rsidR="00286264">
          <w:rPr>
            <w:noProof/>
            <w:webHidden/>
          </w:rPr>
          <w:tab/>
        </w:r>
        <w:r w:rsidR="00286264">
          <w:rPr>
            <w:noProof/>
            <w:webHidden/>
          </w:rPr>
          <w:fldChar w:fldCharType="begin"/>
        </w:r>
        <w:r w:rsidR="00286264">
          <w:rPr>
            <w:noProof/>
            <w:webHidden/>
          </w:rPr>
          <w:instrText xml:space="preserve"> PAGEREF _Toc62644687 \h </w:instrText>
        </w:r>
        <w:r w:rsidR="00286264">
          <w:rPr>
            <w:noProof/>
            <w:webHidden/>
          </w:rPr>
        </w:r>
        <w:r w:rsidR="00286264">
          <w:rPr>
            <w:noProof/>
            <w:webHidden/>
          </w:rPr>
          <w:fldChar w:fldCharType="separate"/>
        </w:r>
        <w:r w:rsidR="00286264">
          <w:rPr>
            <w:noProof/>
            <w:webHidden/>
          </w:rPr>
          <w:t>519</w:t>
        </w:r>
        <w:r w:rsidR="00286264">
          <w:rPr>
            <w:noProof/>
            <w:webHidden/>
          </w:rPr>
          <w:fldChar w:fldCharType="end"/>
        </w:r>
      </w:hyperlink>
    </w:p>
    <w:p w14:paraId="627A7889"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88" w:history="1">
        <w:r w:rsidR="00286264" w:rsidRPr="00B1774E">
          <w:rPr>
            <w:rStyle w:val="Hyperlink"/>
            <w:noProof/>
          </w:rPr>
          <w:t>89.</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$105 My Plan Business + Tech Fund Bonus + Business Plan Data Promotion (Feb/April 2017)</w:t>
        </w:r>
        <w:r w:rsidR="00286264">
          <w:rPr>
            <w:noProof/>
            <w:webHidden/>
          </w:rPr>
          <w:tab/>
        </w:r>
        <w:r w:rsidR="00286264">
          <w:rPr>
            <w:noProof/>
            <w:webHidden/>
          </w:rPr>
          <w:fldChar w:fldCharType="begin"/>
        </w:r>
        <w:r w:rsidR="00286264">
          <w:rPr>
            <w:noProof/>
            <w:webHidden/>
          </w:rPr>
          <w:instrText xml:space="preserve"> PAGEREF _Toc62644688 \h </w:instrText>
        </w:r>
        <w:r w:rsidR="00286264">
          <w:rPr>
            <w:noProof/>
            <w:webHidden/>
          </w:rPr>
        </w:r>
        <w:r w:rsidR="00286264">
          <w:rPr>
            <w:noProof/>
            <w:webHidden/>
          </w:rPr>
          <w:fldChar w:fldCharType="separate"/>
        </w:r>
        <w:r w:rsidR="00286264">
          <w:rPr>
            <w:noProof/>
            <w:webHidden/>
          </w:rPr>
          <w:t>519</w:t>
        </w:r>
        <w:r w:rsidR="00286264">
          <w:rPr>
            <w:noProof/>
            <w:webHidden/>
          </w:rPr>
          <w:fldChar w:fldCharType="end"/>
        </w:r>
      </w:hyperlink>
    </w:p>
    <w:p w14:paraId="0F6F1CAE"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89" w:history="1">
        <w:r w:rsidR="00286264" w:rsidRPr="00B1774E">
          <w:rPr>
            <w:rStyle w:val="Hyperlink"/>
            <w:noProof/>
            <w:lang w:val="en-AU"/>
          </w:rPr>
          <w:t>90.</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$90/$105 My Plan Business – (Bonus Data Promotion)</w:t>
        </w:r>
        <w:r w:rsidR="00286264">
          <w:rPr>
            <w:noProof/>
            <w:webHidden/>
          </w:rPr>
          <w:tab/>
        </w:r>
        <w:r w:rsidR="00286264">
          <w:rPr>
            <w:noProof/>
            <w:webHidden/>
          </w:rPr>
          <w:fldChar w:fldCharType="begin"/>
        </w:r>
        <w:r w:rsidR="00286264">
          <w:rPr>
            <w:noProof/>
            <w:webHidden/>
          </w:rPr>
          <w:instrText xml:space="preserve"> PAGEREF _Toc62644689 \h </w:instrText>
        </w:r>
        <w:r w:rsidR="00286264">
          <w:rPr>
            <w:noProof/>
            <w:webHidden/>
          </w:rPr>
        </w:r>
        <w:r w:rsidR="00286264">
          <w:rPr>
            <w:noProof/>
            <w:webHidden/>
          </w:rPr>
          <w:fldChar w:fldCharType="separate"/>
        </w:r>
        <w:r w:rsidR="00286264">
          <w:rPr>
            <w:noProof/>
            <w:webHidden/>
          </w:rPr>
          <w:t>520</w:t>
        </w:r>
        <w:r w:rsidR="00286264">
          <w:rPr>
            <w:noProof/>
            <w:webHidden/>
          </w:rPr>
          <w:fldChar w:fldCharType="end"/>
        </w:r>
      </w:hyperlink>
    </w:p>
    <w:p w14:paraId="34ABEAD2"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90" w:history="1">
        <w:r w:rsidR="00286264" w:rsidRPr="00B1774E">
          <w:rPr>
            <w:rStyle w:val="Hyperlink"/>
            <w:noProof/>
            <w:lang w:val="en-AU"/>
          </w:rPr>
          <w:t>91.</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$75 My Plan Business / Business Plan</w:t>
        </w:r>
        <w:r w:rsidR="00286264">
          <w:rPr>
            <w:noProof/>
            <w:webHidden/>
          </w:rPr>
          <w:tab/>
        </w:r>
        <w:r w:rsidR="00286264">
          <w:rPr>
            <w:noProof/>
            <w:webHidden/>
          </w:rPr>
          <w:fldChar w:fldCharType="begin"/>
        </w:r>
        <w:r w:rsidR="00286264">
          <w:rPr>
            <w:noProof/>
            <w:webHidden/>
          </w:rPr>
          <w:instrText xml:space="preserve"> PAGEREF _Toc62644690 \h </w:instrText>
        </w:r>
        <w:r w:rsidR="00286264">
          <w:rPr>
            <w:noProof/>
            <w:webHidden/>
          </w:rPr>
        </w:r>
        <w:r w:rsidR="00286264">
          <w:rPr>
            <w:noProof/>
            <w:webHidden/>
          </w:rPr>
          <w:fldChar w:fldCharType="separate"/>
        </w:r>
        <w:r w:rsidR="00286264">
          <w:rPr>
            <w:noProof/>
            <w:webHidden/>
          </w:rPr>
          <w:t>525</w:t>
        </w:r>
        <w:r w:rsidR="00286264">
          <w:rPr>
            <w:noProof/>
            <w:webHidden/>
          </w:rPr>
          <w:fldChar w:fldCharType="end"/>
        </w:r>
      </w:hyperlink>
    </w:p>
    <w:p w14:paraId="425C4930"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91" w:history="1">
        <w:r w:rsidR="00286264" w:rsidRPr="00B1774E">
          <w:rPr>
            <w:rStyle w:val="Hyperlink"/>
            <w:noProof/>
          </w:rPr>
          <w:t>92.</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$75 My Plan Business Flex/Business Lease</w:t>
        </w:r>
        <w:r w:rsidR="00286264">
          <w:rPr>
            <w:noProof/>
            <w:webHidden/>
          </w:rPr>
          <w:tab/>
        </w:r>
        <w:r w:rsidR="00286264">
          <w:rPr>
            <w:noProof/>
            <w:webHidden/>
          </w:rPr>
          <w:fldChar w:fldCharType="begin"/>
        </w:r>
        <w:r w:rsidR="00286264">
          <w:rPr>
            <w:noProof/>
            <w:webHidden/>
          </w:rPr>
          <w:instrText xml:space="preserve"> PAGEREF _Toc62644691 \h </w:instrText>
        </w:r>
        <w:r w:rsidR="00286264">
          <w:rPr>
            <w:noProof/>
            <w:webHidden/>
          </w:rPr>
        </w:r>
        <w:r w:rsidR="00286264">
          <w:rPr>
            <w:noProof/>
            <w:webHidden/>
          </w:rPr>
          <w:fldChar w:fldCharType="separate"/>
        </w:r>
        <w:r w:rsidR="00286264">
          <w:rPr>
            <w:noProof/>
            <w:webHidden/>
          </w:rPr>
          <w:t>530</w:t>
        </w:r>
        <w:r w:rsidR="00286264">
          <w:rPr>
            <w:noProof/>
            <w:webHidden/>
          </w:rPr>
          <w:fldChar w:fldCharType="end"/>
        </w:r>
      </w:hyperlink>
    </w:p>
    <w:p w14:paraId="69709A8A"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92" w:history="1">
        <w:r w:rsidR="00286264" w:rsidRPr="00B1774E">
          <w:rPr>
            <w:rStyle w:val="Hyperlink"/>
            <w:noProof/>
            <w:lang w:val="en-AU"/>
          </w:rPr>
          <w:t>93.</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My Plan Business</w:t>
        </w:r>
        <w:r w:rsidR="00286264">
          <w:rPr>
            <w:noProof/>
            <w:webHidden/>
          </w:rPr>
          <w:tab/>
        </w:r>
        <w:r w:rsidR="00286264">
          <w:rPr>
            <w:noProof/>
            <w:webHidden/>
          </w:rPr>
          <w:fldChar w:fldCharType="begin"/>
        </w:r>
        <w:r w:rsidR="00286264">
          <w:rPr>
            <w:noProof/>
            <w:webHidden/>
          </w:rPr>
          <w:instrText xml:space="preserve"> PAGEREF _Toc62644692 \h </w:instrText>
        </w:r>
        <w:r w:rsidR="00286264">
          <w:rPr>
            <w:noProof/>
            <w:webHidden/>
          </w:rPr>
        </w:r>
        <w:r w:rsidR="00286264">
          <w:rPr>
            <w:noProof/>
            <w:webHidden/>
          </w:rPr>
          <w:fldChar w:fldCharType="separate"/>
        </w:r>
        <w:r w:rsidR="00286264">
          <w:rPr>
            <w:noProof/>
            <w:webHidden/>
          </w:rPr>
          <w:t>535</w:t>
        </w:r>
        <w:r w:rsidR="00286264">
          <w:rPr>
            <w:noProof/>
            <w:webHidden/>
          </w:rPr>
          <w:fldChar w:fldCharType="end"/>
        </w:r>
      </w:hyperlink>
    </w:p>
    <w:p w14:paraId="1FE593C0"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93" w:history="1">
        <w:r w:rsidR="00286264" w:rsidRPr="00B1774E">
          <w:rPr>
            <w:rStyle w:val="Hyperlink"/>
            <w:noProof/>
            <w:lang w:val="en-AU"/>
          </w:rPr>
          <w:t>94.</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My Plan Business SIM – 12 Months (April 2016)</w:t>
        </w:r>
        <w:r w:rsidR="00286264">
          <w:rPr>
            <w:noProof/>
            <w:webHidden/>
          </w:rPr>
          <w:tab/>
        </w:r>
        <w:r w:rsidR="00286264">
          <w:rPr>
            <w:noProof/>
            <w:webHidden/>
          </w:rPr>
          <w:fldChar w:fldCharType="begin"/>
        </w:r>
        <w:r w:rsidR="00286264">
          <w:rPr>
            <w:noProof/>
            <w:webHidden/>
          </w:rPr>
          <w:instrText xml:space="preserve"> PAGEREF _Toc62644693 \h </w:instrText>
        </w:r>
        <w:r w:rsidR="00286264">
          <w:rPr>
            <w:noProof/>
            <w:webHidden/>
          </w:rPr>
        </w:r>
        <w:r w:rsidR="00286264">
          <w:rPr>
            <w:noProof/>
            <w:webHidden/>
          </w:rPr>
          <w:fldChar w:fldCharType="separate"/>
        </w:r>
        <w:r w:rsidR="00286264">
          <w:rPr>
            <w:noProof/>
            <w:webHidden/>
          </w:rPr>
          <w:t>540</w:t>
        </w:r>
        <w:r w:rsidR="00286264">
          <w:rPr>
            <w:noProof/>
            <w:webHidden/>
          </w:rPr>
          <w:fldChar w:fldCharType="end"/>
        </w:r>
      </w:hyperlink>
    </w:p>
    <w:p w14:paraId="4561EAA4"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94" w:history="1">
        <w:r w:rsidR="00286264" w:rsidRPr="00B1774E">
          <w:rPr>
            <w:rStyle w:val="Hyperlink"/>
            <w:noProof/>
            <w:lang w:val="en-AU"/>
          </w:rPr>
          <w:t>95.</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My Plan Business SIM – 12 Months (August 2016)</w:t>
        </w:r>
        <w:r w:rsidR="00286264">
          <w:rPr>
            <w:noProof/>
            <w:webHidden/>
          </w:rPr>
          <w:tab/>
        </w:r>
        <w:r w:rsidR="00286264">
          <w:rPr>
            <w:noProof/>
            <w:webHidden/>
          </w:rPr>
          <w:fldChar w:fldCharType="begin"/>
        </w:r>
        <w:r w:rsidR="00286264">
          <w:rPr>
            <w:noProof/>
            <w:webHidden/>
          </w:rPr>
          <w:instrText xml:space="preserve"> PAGEREF _Toc62644694 \h </w:instrText>
        </w:r>
        <w:r w:rsidR="00286264">
          <w:rPr>
            <w:noProof/>
            <w:webHidden/>
          </w:rPr>
        </w:r>
        <w:r w:rsidR="00286264">
          <w:rPr>
            <w:noProof/>
            <w:webHidden/>
          </w:rPr>
          <w:fldChar w:fldCharType="separate"/>
        </w:r>
        <w:r w:rsidR="00286264">
          <w:rPr>
            <w:noProof/>
            <w:webHidden/>
          </w:rPr>
          <w:t>544</w:t>
        </w:r>
        <w:r w:rsidR="00286264">
          <w:rPr>
            <w:noProof/>
            <w:webHidden/>
          </w:rPr>
          <w:fldChar w:fldCharType="end"/>
        </w:r>
      </w:hyperlink>
    </w:p>
    <w:p w14:paraId="587370C4"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95" w:history="1">
        <w:r w:rsidR="00286264" w:rsidRPr="00B1774E">
          <w:rPr>
            <w:rStyle w:val="Hyperlink"/>
            <w:noProof/>
            <w:lang w:val="en-AU"/>
          </w:rPr>
          <w:t>96.</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My Plan Business SIM</w:t>
        </w:r>
        <w:r w:rsidR="00286264">
          <w:rPr>
            <w:noProof/>
            <w:webHidden/>
          </w:rPr>
          <w:tab/>
        </w:r>
        <w:r w:rsidR="00286264">
          <w:rPr>
            <w:noProof/>
            <w:webHidden/>
          </w:rPr>
          <w:fldChar w:fldCharType="begin"/>
        </w:r>
        <w:r w:rsidR="00286264">
          <w:rPr>
            <w:noProof/>
            <w:webHidden/>
          </w:rPr>
          <w:instrText xml:space="preserve"> PAGEREF _Toc62644695 \h </w:instrText>
        </w:r>
        <w:r w:rsidR="00286264">
          <w:rPr>
            <w:noProof/>
            <w:webHidden/>
          </w:rPr>
        </w:r>
        <w:r w:rsidR="00286264">
          <w:rPr>
            <w:noProof/>
            <w:webHidden/>
          </w:rPr>
          <w:fldChar w:fldCharType="separate"/>
        </w:r>
        <w:r w:rsidR="00286264">
          <w:rPr>
            <w:noProof/>
            <w:webHidden/>
          </w:rPr>
          <w:t>548</w:t>
        </w:r>
        <w:r w:rsidR="00286264">
          <w:rPr>
            <w:noProof/>
            <w:webHidden/>
          </w:rPr>
          <w:fldChar w:fldCharType="end"/>
        </w:r>
      </w:hyperlink>
    </w:p>
    <w:p w14:paraId="5FB9EB37"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96" w:history="1">
        <w:r w:rsidR="00286264" w:rsidRPr="00B1774E">
          <w:rPr>
            <w:rStyle w:val="Hyperlink"/>
            <w:noProof/>
            <w:lang w:val="en-AU"/>
          </w:rPr>
          <w:t>97.</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My Plan Business Tech Fund</w:t>
        </w:r>
        <w:r w:rsidR="00286264">
          <w:rPr>
            <w:noProof/>
            <w:webHidden/>
          </w:rPr>
          <w:tab/>
        </w:r>
        <w:r w:rsidR="00286264">
          <w:rPr>
            <w:noProof/>
            <w:webHidden/>
          </w:rPr>
          <w:fldChar w:fldCharType="begin"/>
        </w:r>
        <w:r w:rsidR="00286264">
          <w:rPr>
            <w:noProof/>
            <w:webHidden/>
          </w:rPr>
          <w:instrText xml:space="preserve"> PAGEREF _Toc62644696 \h </w:instrText>
        </w:r>
        <w:r w:rsidR="00286264">
          <w:rPr>
            <w:noProof/>
            <w:webHidden/>
          </w:rPr>
        </w:r>
        <w:r w:rsidR="00286264">
          <w:rPr>
            <w:noProof/>
            <w:webHidden/>
          </w:rPr>
          <w:fldChar w:fldCharType="separate"/>
        </w:r>
        <w:r w:rsidR="00286264">
          <w:rPr>
            <w:noProof/>
            <w:webHidden/>
          </w:rPr>
          <w:t>552</w:t>
        </w:r>
        <w:r w:rsidR="00286264">
          <w:rPr>
            <w:noProof/>
            <w:webHidden/>
          </w:rPr>
          <w:fldChar w:fldCharType="end"/>
        </w:r>
      </w:hyperlink>
    </w:p>
    <w:p w14:paraId="7A8178EA"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97" w:history="1">
        <w:r w:rsidR="00286264" w:rsidRPr="00B1774E">
          <w:rPr>
            <w:rStyle w:val="Hyperlink"/>
            <w:noProof/>
          </w:rPr>
          <w:t>98.</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Business Plan</w:t>
        </w:r>
        <w:r w:rsidR="00286264">
          <w:rPr>
            <w:noProof/>
            <w:webHidden/>
          </w:rPr>
          <w:tab/>
        </w:r>
        <w:r w:rsidR="00286264">
          <w:rPr>
            <w:noProof/>
            <w:webHidden/>
          </w:rPr>
          <w:fldChar w:fldCharType="begin"/>
        </w:r>
        <w:r w:rsidR="00286264">
          <w:rPr>
            <w:noProof/>
            <w:webHidden/>
          </w:rPr>
          <w:instrText xml:space="preserve"> PAGEREF _Toc62644697 \h </w:instrText>
        </w:r>
        <w:r w:rsidR="00286264">
          <w:rPr>
            <w:noProof/>
            <w:webHidden/>
          </w:rPr>
        </w:r>
        <w:r w:rsidR="00286264">
          <w:rPr>
            <w:noProof/>
            <w:webHidden/>
          </w:rPr>
          <w:fldChar w:fldCharType="separate"/>
        </w:r>
        <w:r w:rsidR="00286264">
          <w:rPr>
            <w:noProof/>
            <w:webHidden/>
          </w:rPr>
          <w:t>557</w:t>
        </w:r>
        <w:r w:rsidR="00286264">
          <w:rPr>
            <w:noProof/>
            <w:webHidden/>
          </w:rPr>
          <w:fldChar w:fldCharType="end"/>
        </w:r>
      </w:hyperlink>
    </w:p>
    <w:p w14:paraId="5408A457"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98" w:history="1">
        <w:r w:rsidR="00286264" w:rsidRPr="00B1774E">
          <w:rPr>
            <w:rStyle w:val="Hyperlink"/>
            <w:noProof/>
          </w:rPr>
          <w:t>99.</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Business SIM</w:t>
        </w:r>
        <w:r w:rsidR="00286264">
          <w:rPr>
            <w:noProof/>
            <w:webHidden/>
          </w:rPr>
          <w:tab/>
        </w:r>
        <w:r w:rsidR="00286264">
          <w:rPr>
            <w:noProof/>
            <w:webHidden/>
          </w:rPr>
          <w:fldChar w:fldCharType="begin"/>
        </w:r>
        <w:r w:rsidR="00286264">
          <w:rPr>
            <w:noProof/>
            <w:webHidden/>
          </w:rPr>
          <w:instrText xml:space="preserve"> PAGEREF _Toc62644698 \h </w:instrText>
        </w:r>
        <w:r w:rsidR="00286264">
          <w:rPr>
            <w:noProof/>
            <w:webHidden/>
          </w:rPr>
        </w:r>
        <w:r w:rsidR="00286264">
          <w:rPr>
            <w:noProof/>
            <w:webHidden/>
          </w:rPr>
          <w:fldChar w:fldCharType="separate"/>
        </w:r>
        <w:r w:rsidR="00286264">
          <w:rPr>
            <w:noProof/>
            <w:webHidden/>
          </w:rPr>
          <w:t>562</w:t>
        </w:r>
        <w:r w:rsidR="00286264">
          <w:rPr>
            <w:noProof/>
            <w:webHidden/>
          </w:rPr>
          <w:fldChar w:fldCharType="end"/>
        </w:r>
      </w:hyperlink>
    </w:p>
    <w:p w14:paraId="6A9576D8"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699" w:history="1">
        <w:r w:rsidR="00286264" w:rsidRPr="00B1774E">
          <w:rPr>
            <w:rStyle w:val="Hyperlink"/>
            <w:noProof/>
          </w:rPr>
          <w:t>100.</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My Plan Business (Online)</w:t>
        </w:r>
        <w:r w:rsidR="00286264">
          <w:rPr>
            <w:noProof/>
            <w:webHidden/>
          </w:rPr>
          <w:tab/>
        </w:r>
        <w:r w:rsidR="00286264">
          <w:rPr>
            <w:noProof/>
            <w:webHidden/>
          </w:rPr>
          <w:fldChar w:fldCharType="begin"/>
        </w:r>
        <w:r w:rsidR="00286264">
          <w:rPr>
            <w:noProof/>
            <w:webHidden/>
          </w:rPr>
          <w:instrText xml:space="preserve"> PAGEREF _Toc62644699 \h </w:instrText>
        </w:r>
        <w:r w:rsidR="00286264">
          <w:rPr>
            <w:noProof/>
            <w:webHidden/>
          </w:rPr>
        </w:r>
        <w:r w:rsidR="00286264">
          <w:rPr>
            <w:noProof/>
            <w:webHidden/>
          </w:rPr>
          <w:fldChar w:fldCharType="separate"/>
        </w:r>
        <w:r w:rsidR="00286264">
          <w:rPr>
            <w:noProof/>
            <w:webHidden/>
          </w:rPr>
          <w:t>566</w:t>
        </w:r>
        <w:r w:rsidR="00286264">
          <w:rPr>
            <w:noProof/>
            <w:webHidden/>
          </w:rPr>
          <w:fldChar w:fldCharType="end"/>
        </w:r>
      </w:hyperlink>
    </w:p>
    <w:p w14:paraId="02FD2320"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700" w:history="1">
        <w:r w:rsidR="00286264" w:rsidRPr="00B1774E">
          <w:rPr>
            <w:rStyle w:val="Hyperlink"/>
            <w:noProof/>
          </w:rPr>
          <w:t>101.</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My Plan Business (Standard)</w:t>
        </w:r>
        <w:r w:rsidR="00286264">
          <w:rPr>
            <w:noProof/>
            <w:webHidden/>
          </w:rPr>
          <w:tab/>
        </w:r>
        <w:r w:rsidR="00286264">
          <w:rPr>
            <w:noProof/>
            <w:webHidden/>
          </w:rPr>
          <w:fldChar w:fldCharType="begin"/>
        </w:r>
        <w:r w:rsidR="00286264">
          <w:rPr>
            <w:noProof/>
            <w:webHidden/>
          </w:rPr>
          <w:instrText xml:space="preserve"> PAGEREF _Toc62644700 \h </w:instrText>
        </w:r>
        <w:r w:rsidR="00286264">
          <w:rPr>
            <w:noProof/>
            <w:webHidden/>
          </w:rPr>
        </w:r>
        <w:r w:rsidR="00286264">
          <w:rPr>
            <w:noProof/>
            <w:webHidden/>
          </w:rPr>
          <w:fldChar w:fldCharType="separate"/>
        </w:r>
        <w:r w:rsidR="00286264">
          <w:rPr>
            <w:noProof/>
            <w:webHidden/>
          </w:rPr>
          <w:t>571</w:t>
        </w:r>
        <w:r w:rsidR="00286264">
          <w:rPr>
            <w:noProof/>
            <w:webHidden/>
          </w:rPr>
          <w:fldChar w:fldCharType="end"/>
        </w:r>
      </w:hyperlink>
    </w:p>
    <w:p w14:paraId="44393042"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701" w:history="1">
        <w:r w:rsidR="00286264" w:rsidRPr="00B1774E">
          <w:rPr>
            <w:rStyle w:val="Hyperlink"/>
            <w:rFonts w:cs="Arial"/>
            <w:noProof/>
          </w:rPr>
          <w:t>102.</w:t>
        </w:r>
        <w:r w:rsidR="00286264">
          <w:rPr>
            <w:rFonts w:asciiTheme="minorHAnsi" w:eastAsiaTheme="minorEastAsia" w:hAnsiTheme="minorHAnsi" w:cstheme="minorBidi"/>
            <w:b w:val="0"/>
            <w:noProof/>
            <w:sz w:val="22"/>
            <w:szCs w:val="22"/>
            <w:lang w:val="en-AU" w:eastAsia="en-AU"/>
          </w:rPr>
          <w:tab/>
        </w:r>
        <w:r w:rsidR="00286264" w:rsidRPr="00B1774E">
          <w:rPr>
            <w:rStyle w:val="Hyperlink"/>
            <w:rFonts w:cs="Arial"/>
            <w:caps/>
            <w:noProof/>
          </w:rPr>
          <w:t>$130 &amp; $160 MY PLAN Business (March 2017)</w:t>
        </w:r>
        <w:r w:rsidR="00286264">
          <w:rPr>
            <w:noProof/>
            <w:webHidden/>
          </w:rPr>
          <w:tab/>
        </w:r>
        <w:r w:rsidR="00286264">
          <w:rPr>
            <w:noProof/>
            <w:webHidden/>
          </w:rPr>
          <w:fldChar w:fldCharType="begin"/>
        </w:r>
        <w:r w:rsidR="00286264">
          <w:rPr>
            <w:noProof/>
            <w:webHidden/>
          </w:rPr>
          <w:instrText xml:space="preserve"> PAGEREF _Toc62644701 \h </w:instrText>
        </w:r>
        <w:r w:rsidR="00286264">
          <w:rPr>
            <w:noProof/>
            <w:webHidden/>
          </w:rPr>
        </w:r>
        <w:r w:rsidR="00286264">
          <w:rPr>
            <w:noProof/>
            <w:webHidden/>
          </w:rPr>
          <w:fldChar w:fldCharType="separate"/>
        </w:r>
        <w:r w:rsidR="00286264">
          <w:rPr>
            <w:noProof/>
            <w:webHidden/>
          </w:rPr>
          <w:t>576</w:t>
        </w:r>
        <w:r w:rsidR="00286264">
          <w:rPr>
            <w:noProof/>
            <w:webHidden/>
          </w:rPr>
          <w:fldChar w:fldCharType="end"/>
        </w:r>
      </w:hyperlink>
    </w:p>
    <w:p w14:paraId="60FD1F35"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702" w:history="1">
        <w:r w:rsidR="00286264" w:rsidRPr="00B1774E">
          <w:rPr>
            <w:rStyle w:val="Hyperlink"/>
            <w:noProof/>
          </w:rPr>
          <w:t>103.</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$40 My Plan Business (Promo)</w:t>
        </w:r>
        <w:r w:rsidR="00286264">
          <w:rPr>
            <w:noProof/>
            <w:webHidden/>
          </w:rPr>
          <w:tab/>
        </w:r>
        <w:r w:rsidR="00286264">
          <w:rPr>
            <w:noProof/>
            <w:webHidden/>
          </w:rPr>
          <w:fldChar w:fldCharType="begin"/>
        </w:r>
        <w:r w:rsidR="00286264">
          <w:rPr>
            <w:noProof/>
            <w:webHidden/>
          </w:rPr>
          <w:instrText xml:space="preserve"> PAGEREF _Toc62644702 \h </w:instrText>
        </w:r>
        <w:r w:rsidR="00286264">
          <w:rPr>
            <w:noProof/>
            <w:webHidden/>
          </w:rPr>
        </w:r>
        <w:r w:rsidR="00286264">
          <w:rPr>
            <w:noProof/>
            <w:webHidden/>
          </w:rPr>
          <w:fldChar w:fldCharType="separate"/>
        </w:r>
        <w:r w:rsidR="00286264">
          <w:rPr>
            <w:noProof/>
            <w:webHidden/>
          </w:rPr>
          <w:t>580</w:t>
        </w:r>
        <w:r w:rsidR="00286264">
          <w:rPr>
            <w:noProof/>
            <w:webHidden/>
          </w:rPr>
          <w:fldChar w:fldCharType="end"/>
        </w:r>
      </w:hyperlink>
    </w:p>
    <w:p w14:paraId="69A30CD1"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703" w:history="1">
        <w:r w:rsidR="00286264" w:rsidRPr="00B1774E">
          <w:rPr>
            <w:rStyle w:val="Hyperlink"/>
            <w:noProof/>
            <w:lang w:val="en-AU"/>
          </w:rPr>
          <w:t>104.</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Business SIM</w:t>
        </w:r>
        <w:r w:rsidR="00286264">
          <w:rPr>
            <w:noProof/>
            <w:webHidden/>
          </w:rPr>
          <w:tab/>
        </w:r>
        <w:r w:rsidR="00286264">
          <w:rPr>
            <w:noProof/>
            <w:webHidden/>
          </w:rPr>
          <w:fldChar w:fldCharType="begin"/>
        </w:r>
        <w:r w:rsidR="00286264">
          <w:rPr>
            <w:noProof/>
            <w:webHidden/>
          </w:rPr>
          <w:instrText xml:space="preserve"> PAGEREF _Toc62644703 \h </w:instrText>
        </w:r>
        <w:r w:rsidR="00286264">
          <w:rPr>
            <w:noProof/>
            <w:webHidden/>
          </w:rPr>
        </w:r>
        <w:r w:rsidR="00286264">
          <w:rPr>
            <w:noProof/>
            <w:webHidden/>
          </w:rPr>
          <w:fldChar w:fldCharType="separate"/>
        </w:r>
        <w:r w:rsidR="00286264">
          <w:rPr>
            <w:noProof/>
            <w:webHidden/>
          </w:rPr>
          <w:t>585</w:t>
        </w:r>
        <w:r w:rsidR="00286264">
          <w:rPr>
            <w:noProof/>
            <w:webHidden/>
          </w:rPr>
          <w:fldChar w:fldCharType="end"/>
        </w:r>
      </w:hyperlink>
    </w:p>
    <w:p w14:paraId="2F2FA297"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704" w:history="1">
        <w:r w:rsidR="00286264" w:rsidRPr="00B1774E">
          <w:rPr>
            <w:rStyle w:val="Hyperlink"/>
            <w:noProof/>
            <w:lang w:val="en-AU"/>
          </w:rPr>
          <w:t>105.</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My Plan Business Essentials – (Promotional)</w:t>
        </w:r>
        <w:r w:rsidR="00286264">
          <w:rPr>
            <w:noProof/>
            <w:webHidden/>
          </w:rPr>
          <w:tab/>
        </w:r>
        <w:r w:rsidR="00286264">
          <w:rPr>
            <w:noProof/>
            <w:webHidden/>
          </w:rPr>
          <w:fldChar w:fldCharType="begin"/>
        </w:r>
        <w:r w:rsidR="00286264">
          <w:rPr>
            <w:noProof/>
            <w:webHidden/>
          </w:rPr>
          <w:instrText xml:space="preserve"> PAGEREF _Toc62644704 \h </w:instrText>
        </w:r>
        <w:r w:rsidR="00286264">
          <w:rPr>
            <w:noProof/>
            <w:webHidden/>
          </w:rPr>
        </w:r>
        <w:r w:rsidR="00286264">
          <w:rPr>
            <w:noProof/>
            <w:webHidden/>
          </w:rPr>
          <w:fldChar w:fldCharType="separate"/>
        </w:r>
        <w:r w:rsidR="00286264">
          <w:rPr>
            <w:noProof/>
            <w:webHidden/>
          </w:rPr>
          <w:t>588</w:t>
        </w:r>
        <w:r w:rsidR="00286264">
          <w:rPr>
            <w:noProof/>
            <w:webHidden/>
          </w:rPr>
          <w:fldChar w:fldCharType="end"/>
        </w:r>
      </w:hyperlink>
    </w:p>
    <w:p w14:paraId="517D4D93"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705" w:history="1">
        <w:r w:rsidR="00286264" w:rsidRPr="00B1774E">
          <w:rPr>
            <w:rStyle w:val="Hyperlink"/>
            <w:noProof/>
            <w:lang w:val="en-AU"/>
          </w:rPr>
          <w:t>106.</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My Plan Business SIM – 12 months</w:t>
        </w:r>
        <w:r w:rsidR="00286264">
          <w:rPr>
            <w:noProof/>
            <w:webHidden/>
          </w:rPr>
          <w:tab/>
        </w:r>
        <w:r w:rsidR="00286264">
          <w:rPr>
            <w:noProof/>
            <w:webHidden/>
          </w:rPr>
          <w:fldChar w:fldCharType="begin"/>
        </w:r>
        <w:r w:rsidR="00286264">
          <w:rPr>
            <w:noProof/>
            <w:webHidden/>
          </w:rPr>
          <w:instrText xml:space="preserve"> PAGEREF _Toc62644705 \h </w:instrText>
        </w:r>
        <w:r w:rsidR="00286264">
          <w:rPr>
            <w:noProof/>
            <w:webHidden/>
          </w:rPr>
        </w:r>
        <w:r w:rsidR="00286264">
          <w:rPr>
            <w:noProof/>
            <w:webHidden/>
          </w:rPr>
          <w:fldChar w:fldCharType="separate"/>
        </w:r>
        <w:r w:rsidR="00286264">
          <w:rPr>
            <w:noProof/>
            <w:webHidden/>
          </w:rPr>
          <w:t>592</w:t>
        </w:r>
        <w:r w:rsidR="00286264">
          <w:rPr>
            <w:noProof/>
            <w:webHidden/>
          </w:rPr>
          <w:fldChar w:fldCharType="end"/>
        </w:r>
      </w:hyperlink>
    </w:p>
    <w:p w14:paraId="4F15EE9F"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706" w:history="1">
        <w:r w:rsidR="00286264" w:rsidRPr="00B1774E">
          <w:rPr>
            <w:rStyle w:val="Hyperlink"/>
            <w:noProof/>
            <w:lang w:val="en-AU"/>
          </w:rPr>
          <w:t>107.</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$90 My Plan Business – (Bonus Data Promotional)</w:t>
        </w:r>
        <w:r w:rsidR="00286264">
          <w:rPr>
            <w:noProof/>
            <w:webHidden/>
          </w:rPr>
          <w:tab/>
        </w:r>
        <w:r w:rsidR="00286264">
          <w:rPr>
            <w:noProof/>
            <w:webHidden/>
          </w:rPr>
          <w:fldChar w:fldCharType="begin"/>
        </w:r>
        <w:r w:rsidR="00286264">
          <w:rPr>
            <w:noProof/>
            <w:webHidden/>
          </w:rPr>
          <w:instrText xml:space="preserve"> PAGEREF _Toc62644706 \h </w:instrText>
        </w:r>
        <w:r w:rsidR="00286264">
          <w:rPr>
            <w:noProof/>
            <w:webHidden/>
          </w:rPr>
        </w:r>
        <w:r w:rsidR="00286264">
          <w:rPr>
            <w:noProof/>
            <w:webHidden/>
          </w:rPr>
          <w:fldChar w:fldCharType="separate"/>
        </w:r>
        <w:r w:rsidR="00286264">
          <w:rPr>
            <w:noProof/>
            <w:webHidden/>
          </w:rPr>
          <w:t>596</w:t>
        </w:r>
        <w:r w:rsidR="00286264">
          <w:rPr>
            <w:noProof/>
            <w:webHidden/>
          </w:rPr>
          <w:fldChar w:fldCharType="end"/>
        </w:r>
      </w:hyperlink>
    </w:p>
    <w:p w14:paraId="17702B05"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707" w:history="1">
        <w:r w:rsidR="00286264" w:rsidRPr="00B1774E">
          <w:rPr>
            <w:rStyle w:val="Hyperlink"/>
            <w:noProof/>
            <w:lang w:val="en-AU"/>
          </w:rPr>
          <w:t>108.</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$90 My Plan Business Tech Fund – (Bonus Data Promotional)</w:t>
        </w:r>
        <w:r w:rsidR="00286264">
          <w:rPr>
            <w:noProof/>
            <w:webHidden/>
          </w:rPr>
          <w:tab/>
        </w:r>
        <w:r w:rsidR="00286264">
          <w:rPr>
            <w:noProof/>
            <w:webHidden/>
          </w:rPr>
          <w:fldChar w:fldCharType="begin"/>
        </w:r>
        <w:r w:rsidR="00286264">
          <w:rPr>
            <w:noProof/>
            <w:webHidden/>
          </w:rPr>
          <w:instrText xml:space="preserve"> PAGEREF _Toc62644707 \h </w:instrText>
        </w:r>
        <w:r w:rsidR="00286264">
          <w:rPr>
            <w:noProof/>
            <w:webHidden/>
          </w:rPr>
        </w:r>
        <w:r w:rsidR="00286264">
          <w:rPr>
            <w:noProof/>
            <w:webHidden/>
          </w:rPr>
          <w:fldChar w:fldCharType="separate"/>
        </w:r>
        <w:r w:rsidR="00286264">
          <w:rPr>
            <w:noProof/>
            <w:webHidden/>
          </w:rPr>
          <w:t>601</w:t>
        </w:r>
        <w:r w:rsidR="00286264">
          <w:rPr>
            <w:noProof/>
            <w:webHidden/>
          </w:rPr>
          <w:fldChar w:fldCharType="end"/>
        </w:r>
      </w:hyperlink>
    </w:p>
    <w:p w14:paraId="452F2FD0"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708" w:history="1">
        <w:r w:rsidR="00286264" w:rsidRPr="00B1774E">
          <w:rPr>
            <w:rStyle w:val="Hyperlink"/>
            <w:noProof/>
            <w:lang w:val="en-AU"/>
          </w:rPr>
          <w:t>109.</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My Plan Business Tech Fund</w:t>
        </w:r>
        <w:r w:rsidR="00286264">
          <w:rPr>
            <w:noProof/>
            <w:webHidden/>
          </w:rPr>
          <w:tab/>
        </w:r>
        <w:r w:rsidR="00286264">
          <w:rPr>
            <w:noProof/>
            <w:webHidden/>
          </w:rPr>
          <w:fldChar w:fldCharType="begin"/>
        </w:r>
        <w:r w:rsidR="00286264">
          <w:rPr>
            <w:noProof/>
            <w:webHidden/>
          </w:rPr>
          <w:instrText xml:space="preserve"> PAGEREF _Toc62644708 \h </w:instrText>
        </w:r>
        <w:r w:rsidR="00286264">
          <w:rPr>
            <w:noProof/>
            <w:webHidden/>
          </w:rPr>
        </w:r>
        <w:r w:rsidR="00286264">
          <w:rPr>
            <w:noProof/>
            <w:webHidden/>
          </w:rPr>
          <w:fldChar w:fldCharType="separate"/>
        </w:r>
        <w:r w:rsidR="00286264">
          <w:rPr>
            <w:noProof/>
            <w:webHidden/>
          </w:rPr>
          <w:t>605</w:t>
        </w:r>
        <w:r w:rsidR="00286264">
          <w:rPr>
            <w:noProof/>
            <w:webHidden/>
          </w:rPr>
          <w:fldChar w:fldCharType="end"/>
        </w:r>
      </w:hyperlink>
    </w:p>
    <w:p w14:paraId="3E4A25F7"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709" w:history="1">
        <w:r w:rsidR="00286264" w:rsidRPr="00B1774E">
          <w:rPr>
            <w:rStyle w:val="Hyperlink"/>
            <w:noProof/>
          </w:rPr>
          <w:t>110.</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$85 / $110 Business Plan</w:t>
        </w:r>
        <w:r w:rsidR="00286264">
          <w:rPr>
            <w:noProof/>
            <w:webHidden/>
          </w:rPr>
          <w:tab/>
        </w:r>
        <w:r w:rsidR="00286264">
          <w:rPr>
            <w:noProof/>
            <w:webHidden/>
          </w:rPr>
          <w:fldChar w:fldCharType="begin"/>
        </w:r>
        <w:r w:rsidR="00286264">
          <w:rPr>
            <w:noProof/>
            <w:webHidden/>
          </w:rPr>
          <w:instrText xml:space="preserve"> PAGEREF _Toc62644709 \h </w:instrText>
        </w:r>
        <w:r w:rsidR="00286264">
          <w:rPr>
            <w:noProof/>
            <w:webHidden/>
          </w:rPr>
        </w:r>
        <w:r w:rsidR="00286264">
          <w:rPr>
            <w:noProof/>
            <w:webHidden/>
          </w:rPr>
          <w:fldChar w:fldCharType="separate"/>
        </w:r>
        <w:r w:rsidR="00286264">
          <w:rPr>
            <w:noProof/>
            <w:webHidden/>
          </w:rPr>
          <w:t>609</w:t>
        </w:r>
        <w:r w:rsidR="00286264">
          <w:rPr>
            <w:noProof/>
            <w:webHidden/>
          </w:rPr>
          <w:fldChar w:fldCharType="end"/>
        </w:r>
      </w:hyperlink>
    </w:p>
    <w:p w14:paraId="3D9F41AF"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710" w:history="1">
        <w:r w:rsidR="00286264" w:rsidRPr="00B1774E">
          <w:rPr>
            <w:rStyle w:val="Hyperlink"/>
            <w:noProof/>
            <w:lang w:val="en-AU"/>
          </w:rPr>
          <w:t>111.</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$85 / $110 My Plan Business Tech Fund</w:t>
        </w:r>
        <w:r w:rsidR="00286264">
          <w:rPr>
            <w:noProof/>
            <w:webHidden/>
          </w:rPr>
          <w:tab/>
        </w:r>
        <w:r w:rsidR="00286264">
          <w:rPr>
            <w:noProof/>
            <w:webHidden/>
          </w:rPr>
          <w:fldChar w:fldCharType="begin"/>
        </w:r>
        <w:r w:rsidR="00286264">
          <w:rPr>
            <w:noProof/>
            <w:webHidden/>
          </w:rPr>
          <w:instrText xml:space="preserve"> PAGEREF _Toc62644710 \h </w:instrText>
        </w:r>
        <w:r w:rsidR="00286264">
          <w:rPr>
            <w:noProof/>
            <w:webHidden/>
          </w:rPr>
        </w:r>
        <w:r w:rsidR="00286264">
          <w:rPr>
            <w:noProof/>
            <w:webHidden/>
          </w:rPr>
          <w:fldChar w:fldCharType="separate"/>
        </w:r>
        <w:r w:rsidR="00286264">
          <w:rPr>
            <w:noProof/>
            <w:webHidden/>
          </w:rPr>
          <w:t>614</w:t>
        </w:r>
        <w:r w:rsidR="00286264">
          <w:rPr>
            <w:noProof/>
            <w:webHidden/>
          </w:rPr>
          <w:fldChar w:fldCharType="end"/>
        </w:r>
      </w:hyperlink>
    </w:p>
    <w:p w14:paraId="21A79EF5"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711" w:history="1">
        <w:r w:rsidR="00286264" w:rsidRPr="00B1774E">
          <w:rPr>
            <w:rStyle w:val="Hyperlink"/>
            <w:noProof/>
            <w:lang w:val="en-AU"/>
          </w:rPr>
          <w:t>112.</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Business Plan 12M SIM</w:t>
        </w:r>
        <w:r w:rsidR="00286264">
          <w:rPr>
            <w:noProof/>
            <w:webHidden/>
          </w:rPr>
          <w:tab/>
        </w:r>
        <w:r w:rsidR="00286264">
          <w:rPr>
            <w:noProof/>
            <w:webHidden/>
          </w:rPr>
          <w:fldChar w:fldCharType="begin"/>
        </w:r>
        <w:r w:rsidR="00286264">
          <w:rPr>
            <w:noProof/>
            <w:webHidden/>
          </w:rPr>
          <w:instrText xml:space="preserve"> PAGEREF _Toc62644711 \h </w:instrText>
        </w:r>
        <w:r w:rsidR="00286264">
          <w:rPr>
            <w:noProof/>
            <w:webHidden/>
          </w:rPr>
        </w:r>
        <w:r w:rsidR="00286264">
          <w:rPr>
            <w:noProof/>
            <w:webHidden/>
          </w:rPr>
          <w:fldChar w:fldCharType="separate"/>
        </w:r>
        <w:r w:rsidR="00286264">
          <w:rPr>
            <w:noProof/>
            <w:webHidden/>
          </w:rPr>
          <w:t>619</w:t>
        </w:r>
        <w:r w:rsidR="00286264">
          <w:rPr>
            <w:noProof/>
            <w:webHidden/>
          </w:rPr>
          <w:fldChar w:fldCharType="end"/>
        </w:r>
      </w:hyperlink>
    </w:p>
    <w:p w14:paraId="3689E250"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712" w:history="1">
        <w:r w:rsidR="00286264" w:rsidRPr="00B1774E">
          <w:rPr>
            <w:rStyle w:val="Hyperlink"/>
            <w:noProof/>
            <w:lang w:val="en-AU"/>
          </w:rPr>
          <w:t>113.</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$70 Business Plan/Business Lease (Double Data Promo)</w:t>
        </w:r>
        <w:r w:rsidR="00286264">
          <w:rPr>
            <w:noProof/>
            <w:webHidden/>
          </w:rPr>
          <w:tab/>
        </w:r>
        <w:r w:rsidR="00286264">
          <w:rPr>
            <w:noProof/>
            <w:webHidden/>
          </w:rPr>
          <w:fldChar w:fldCharType="begin"/>
        </w:r>
        <w:r w:rsidR="00286264">
          <w:rPr>
            <w:noProof/>
            <w:webHidden/>
          </w:rPr>
          <w:instrText xml:space="preserve"> PAGEREF _Toc62644712 \h </w:instrText>
        </w:r>
        <w:r w:rsidR="00286264">
          <w:rPr>
            <w:noProof/>
            <w:webHidden/>
          </w:rPr>
        </w:r>
        <w:r w:rsidR="00286264">
          <w:rPr>
            <w:noProof/>
            <w:webHidden/>
          </w:rPr>
          <w:fldChar w:fldCharType="separate"/>
        </w:r>
        <w:r w:rsidR="00286264">
          <w:rPr>
            <w:noProof/>
            <w:webHidden/>
          </w:rPr>
          <w:t>623</w:t>
        </w:r>
        <w:r w:rsidR="00286264">
          <w:rPr>
            <w:noProof/>
            <w:webHidden/>
          </w:rPr>
          <w:fldChar w:fldCharType="end"/>
        </w:r>
      </w:hyperlink>
    </w:p>
    <w:p w14:paraId="62BBF193"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713" w:history="1">
        <w:r w:rsidR="00286264" w:rsidRPr="00B1774E">
          <w:rPr>
            <w:rStyle w:val="Hyperlink"/>
            <w:noProof/>
          </w:rPr>
          <w:t>114.</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$40 My Plan Business 12M SIM - Promotion</w:t>
        </w:r>
        <w:r w:rsidR="00286264">
          <w:rPr>
            <w:noProof/>
            <w:webHidden/>
          </w:rPr>
          <w:tab/>
        </w:r>
        <w:r w:rsidR="00286264">
          <w:rPr>
            <w:noProof/>
            <w:webHidden/>
          </w:rPr>
          <w:fldChar w:fldCharType="begin"/>
        </w:r>
        <w:r w:rsidR="00286264">
          <w:rPr>
            <w:noProof/>
            <w:webHidden/>
          </w:rPr>
          <w:instrText xml:space="preserve"> PAGEREF _Toc62644713 \h </w:instrText>
        </w:r>
        <w:r w:rsidR="00286264">
          <w:rPr>
            <w:noProof/>
            <w:webHidden/>
          </w:rPr>
        </w:r>
        <w:r w:rsidR="00286264">
          <w:rPr>
            <w:noProof/>
            <w:webHidden/>
          </w:rPr>
          <w:fldChar w:fldCharType="separate"/>
        </w:r>
        <w:r w:rsidR="00286264">
          <w:rPr>
            <w:noProof/>
            <w:webHidden/>
          </w:rPr>
          <w:t>623</w:t>
        </w:r>
        <w:r w:rsidR="00286264">
          <w:rPr>
            <w:noProof/>
            <w:webHidden/>
          </w:rPr>
          <w:fldChar w:fldCharType="end"/>
        </w:r>
      </w:hyperlink>
    </w:p>
    <w:p w14:paraId="5F2F7E6D"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714" w:history="1">
        <w:r w:rsidR="00286264" w:rsidRPr="00B1774E">
          <w:rPr>
            <w:rStyle w:val="Hyperlink"/>
            <w:noProof/>
            <w:lang w:val="en-AU"/>
          </w:rPr>
          <w:t>115.</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$160 Plans ($120 Promo)</w:t>
        </w:r>
        <w:r w:rsidR="00286264">
          <w:rPr>
            <w:noProof/>
            <w:webHidden/>
          </w:rPr>
          <w:tab/>
        </w:r>
        <w:r w:rsidR="00286264">
          <w:rPr>
            <w:noProof/>
            <w:webHidden/>
          </w:rPr>
          <w:fldChar w:fldCharType="begin"/>
        </w:r>
        <w:r w:rsidR="00286264">
          <w:rPr>
            <w:noProof/>
            <w:webHidden/>
          </w:rPr>
          <w:instrText xml:space="preserve"> PAGEREF _Toc62644714 \h </w:instrText>
        </w:r>
        <w:r w:rsidR="00286264">
          <w:rPr>
            <w:noProof/>
            <w:webHidden/>
          </w:rPr>
        </w:r>
        <w:r w:rsidR="00286264">
          <w:rPr>
            <w:noProof/>
            <w:webHidden/>
          </w:rPr>
          <w:fldChar w:fldCharType="separate"/>
        </w:r>
        <w:r w:rsidR="00286264">
          <w:rPr>
            <w:noProof/>
            <w:webHidden/>
          </w:rPr>
          <w:t>624</w:t>
        </w:r>
        <w:r w:rsidR="00286264">
          <w:rPr>
            <w:noProof/>
            <w:webHidden/>
          </w:rPr>
          <w:fldChar w:fldCharType="end"/>
        </w:r>
      </w:hyperlink>
    </w:p>
    <w:p w14:paraId="3C11F643"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715" w:history="1">
        <w:r w:rsidR="00286264" w:rsidRPr="00B1774E">
          <w:rPr>
            <w:rStyle w:val="Hyperlink"/>
            <w:noProof/>
          </w:rPr>
          <w:t>116.</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$85 Business Plan</w:t>
        </w:r>
        <w:r w:rsidR="00286264">
          <w:rPr>
            <w:noProof/>
            <w:webHidden/>
          </w:rPr>
          <w:tab/>
        </w:r>
        <w:r w:rsidR="00286264">
          <w:rPr>
            <w:noProof/>
            <w:webHidden/>
          </w:rPr>
          <w:fldChar w:fldCharType="begin"/>
        </w:r>
        <w:r w:rsidR="00286264">
          <w:rPr>
            <w:noProof/>
            <w:webHidden/>
          </w:rPr>
          <w:instrText xml:space="preserve"> PAGEREF _Toc62644715 \h </w:instrText>
        </w:r>
        <w:r w:rsidR="00286264">
          <w:rPr>
            <w:noProof/>
            <w:webHidden/>
          </w:rPr>
        </w:r>
        <w:r w:rsidR="00286264">
          <w:rPr>
            <w:noProof/>
            <w:webHidden/>
          </w:rPr>
          <w:fldChar w:fldCharType="separate"/>
        </w:r>
        <w:r w:rsidR="00286264">
          <w:rPr>
            <w:noProof/>
            <w:webHidden/>
          </w:rPr>
          <w:t>624</w:t>
        </w:r>
        <w:r w:rsidR="00286264">
          <w:rPr>
            <w:noProof/>
            <w:webHidden/>
          </w:rPr>
          <w:fldChar w:fldCharType="end"/>
        </w:r>
      </w:hyperlink>
    </w:p>
    <w:p w14:paraId="182139F1"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716" w:history="1">
        <w:r w:rsidR="00286264" w:rsidRPr="00B1774E">
          <w:rPr>
            <w:rStyle w:val="Hyperlink"/>
            <w:noProof/>
            <w:lang w:val="en-AU"/>
          </w:rPr>
          <w:t>117.</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$130 Plans ($100 Promo)</w:t>
        </w:r>
        <w:r w:rsidR="00286264">
          <w:rPr>
            <w:noProof/>
            <w:webHidden/>
          </w:rPr>
          <w:tab/>
        </w:r>
        <w:r w:rsidR="00286264">
          <w:rPr>
            <w:noProof/>
            <w:webHidden/>
          </w:rPr>
          <w:fldChar w:fldCharType="begin"/>
        </w:r>
        <w:r w:rsidR="00286264">
          <w:rPr>
            <w:noProof/>
            <w:webHidden/>
          </w:rPr>
          <w:instrText xml:space="preserve"> PAGEREF _Toc62644716 \h </w:instrText>
        </w:r>
        <w:r w:rsidR="00286264">
          <w:rPr>
            <w:noProof/>
            <w:webHidden/>
          </w:rPr>
        </w:r>
        <w:r w:rsidR="00286264">
          <w:rPr>
            <w:noProof/>
            <w:webHidden/>
          </w:rPr>
          <w:fldChar w:fldCharType="separate"/>
        </w:r>
        <w:r w:rsidR="00286264">
          <w:rPr>
            <w:noProof/>
            <w:webHidden/>
          </w:rPr>
          <w:t>628</w:t>
        </w:r>
        <w:r w:rsidR="00286264">
          <w:rPr>
            <w:noProof/>
            <w:webHidden/>
          </w:rPr>
          <w:fldChar w:fldCharType="end"/>
        </w:r>
      </w:hyperlink>
    </w:p>
    <w:p w14:paraId="4DB87E9C"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717" w:history="1">
        <w:r w:rsidR="00286264" w:rsidRPr="00B1774E">
          <w:rPr>
            <w:rStyle w:val="Hyperlink"/>
            <w:noProof/>
          </w:rPr>
          <w:t>118.</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$40 My Plan Plus 24M SIM Only</w:t>
        </w:r>
        <w:r w:rsidR="00286264">
          <w:rPr>
            <w:noProof/>
            <w:webHidden/>
          </w:rPr>
          <w:tab/>
        </w:r>
        <w:r w:rsidR="00286264">
          <w:rPr>
            <w:noProof/>
            <w:webHidden/>
          </w:rPr>
          <w:fldChar w:fldCharType="begin"/>
        </w:r>
        <w:r w:rsidR="00286264">
          <w:rPr>
            <w:noProof/>
            <w:webHidden/>
          </w:rPr>
          <w:instrText xml:space="preserve"> PAGEREF _Toc62644717 \h </w:instrText>
        </w:r>
        <w:r w:rsidR="00286264">
          <w:rPr>
            <w:noProof/>
            <w:webHidden/>
          </w:rPr>
        </w:r>
        <w:r w:rsidR="00286264">
          <w:rPr>
            <w:noProof/>
            <w:webHidden/>
          </w:rPr>
          <w:fldChar w:fldCharType="separate"/>
        </w:r>
        <w:r w:rsidR="00286264">
          <w:rPr>
            <w:noProof/>
            <w:webHidden/>
          </w:rPr>
          <w:t>629</w:t>
        </w:r>
        <w:r w:rsidR="00286264">
          <w:rPr>
            <w:noProof/>
            <w:webHidden/>
          </w:rPr>
          <w:fldChar w:fldCharType="end"/>
        </w:r>
      </w:hyperlink>
    </w:p>
    <w:p w14:paraId="39DDF905"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718" w:history="1">
        <w:r w:rsidR="00286264" w:rsidRPr="00B1774E">
          <w:rPr>
            <w:rStyle w:val="Hyperlink"/>
            <w:noProof/>
            <w:lang w:val="en-AU"/>
          </w:rPr>
          <w:t>119.</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Business Plus Tech Fund</w:t>
        </w:r>
        <w:r w:rsidR="00286264">
          <w:rPr>
            <w:noProof/>
            <w:webHidden/>
          </w:rPr>
          <w:tab/>
        </w:r>
        <w:r w:rsidR="00286264">
          <w:rPr>
            <w:noProof/>
            <w:webHidden/>
          </w:rPr>
          <w:fldChar w:fldCharType="begin"/>
        </w:r>
        <w:r w:rsidR="00286264">
          <w:rPr>
            <w:noProof/>
            <w:webHidden/>
          </w:rPr>
          <w:instrText xml:space="preserve"> PAGEREF _Toc62644718 \h </w:instrText>
        </w:r>
        <w:r w:rsidR="00286264">
          <w:rPr>
            <w:noProof/>
            <w:webHidden/>
          </w:rPr>
        </w:r>
        <w:r w:rsidR="00286264">
          <w:rPr>
            <w:noProof/>
            <w:webHidden/>
          </w:rPr>
          <w:fldChar w:fldCharType="separate"/>
        </w:r>
        <w:r w:rsidR="00286264">
          <w:rPr>
            <w:noProof/>
            <w:webHidden/>
          </w:rPr>
          <w:t>633</w:t>
        </w:r>
        <w:r w:rsidR="00286264">
          <w:rPr>
            <w:noProof/>
            <w:webHidden/>
          </w:rPr>
          <w:fldChar w:fldCharType="end"/>
        </w:r>
      </w:hyperlink>
    </w:p>
    <w:p w14:paraId="13A70033"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719" w:history="1">
        <w:r w:rsidR="00286264" w:rsidRPr="00B1774E">
          <w:rPr>
            <w:rStyle w:val="Hyperlink"/>
            <w:noProof/>
            <w:lang w:val="en-AU"/>
          </w:rPr>
          <w:t>120.</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$120 &amp; $149 Business Plus</w:t>
        </w:r>
        <w:r w:rsidR="00286264">
          <w:rPr>
            <w:noProof/>
            <w:webHidden/>
          </w:rPr>
          <w:tab/>
        </w:r>
        <w:r w:rsidR="00286264">
          <w:rPr>
            <w:noProof/>
            <w:webHidden/>
          </w:rPr>
          <w:fldChar w:fldCharType="begin"/>
        </w:r>
        <w:r w:rsidR="00286264">
          <w:rPr>
            <w:noProof/>
            <w:webHidden/>
          </w:rPr>
          <w:instrText xml:space="preserve"> PAGEREF _Toc62644719 \h </w:instrText>
        </w:r>
        <w:r w:rsidR="00286264">
          <w:rPr>
            <w:noProof/>
            <w:webHidden/>
          </w:rPr>
        </w:r>
        <w:r w:rsidR="00286264">
          <w:rPr>
            <w:noProof/>
            <w:webHidden/>
          </w:rPr>
          <w:fldChar w:fldCharType="separate"/>
        </w:r>
        <w:r w:rsidR="00286264">
          <w:rPr>
            <w:noProof/>
            <w:webHidden/>
          </w:rPr>
          <w:t>638</w:t>
        </w:r>
        <w:r w:rsidR="00286264">
          <w:rPr>
            <w:noProof/>
            <w:webHidden/>
          </w:rPr>
          <w:fldChar w:fldCharType="end"/>
        </w:r>
      </w:hyperlink>
    </w:p>
    <w:p w14:paraId="08BF4DAB"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720" w:history="1">
        <w:r w:rsidR="00286264" w:rsidRPr="00B1774E">
          <w:rPr>
            <w:rStyle w:val="Hyperlink"/>
            <w:noProof/>
            <w:lang w:val="en-AU"/>
          </w:rPr>
          <w:t>121.</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$35 My Plan Business – Commonwealth Games Promo</w:t>
        </w:r>
        <w:r w:rsidR="00286264">
          <w:rPr>
            <w:noProof/>
            <w:webHidden/>
          </w:rPr>
          <w:tab/>
        </w:r>
        <w:r w:rsidR="00286264">
          <w:rPr>
            <w:noProof/>
            <w:webHidden/>
          </w:rPr>
          <w:fldChar w:fldCharType="begin"/>
        </w:r>
        <w:r w:rsidR="00286264">
          <w:rPr>
            <w:noProof/>
            <w:webHidden/>
          </w:rPr>
          <w:instrText xml:space="preserve"> PAGEREF _Toc62644720 \h </w:instrText>
        </w:r>
        <w:r w:rsidR="00286264">
          <w:rPr>
            <w:noProof/>
            <w:webHidden/>
          </w:rPr>
        </w:r>
        <w:r w:rsidR="00286264">
          <w:rPr>
            <w:noProof/>
            <w:webHidden/>
          </w:rPr>
          <w:fldChar w:fldCharType="separate"/>
        </w:r>
        <w:r w:rsidR="00286264">
          <w:rPr>
            <w:noProof/>
            <w:webHidden/>
          </w:rPr>
          <w:t>642</w:t>
        </w:r>
        <w:r w:rsidR="00286264">
          <w:rPr>
            <w:noProof/>
            <w:webHidden/>
          </w:rPr>
          <w:fldChar w:fldCharType="end"/>
        </w:r>
      </w:hyperlink>
    </w:p>
    <w:p w14:paraId="2E1341E2"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721" w:history="1">
        <w:r w:rsidR="00286264" w:rsidRPr="00B1774E">
          <w:rPr>
            <w:rStyle w:val="Hyperlink"/>
            <w:rFonts w:cs="Arial"/>
            <w:noProof/>
          </w:rPr>
          <w:t>122.</w:t>
        </w:r>
        <w:r w:rsidR="00286264">
          <w:rPr>
            <w:rFonts w:asciiTheme="minorHAnsi" w:eastAsiaTheme="minorEastAsia" w:hAnsiTheme="minorHAnsi" w:cstheme="minorBidi"/>
            <w:b w:val="0"/>
            <w:noProof/>
            <w:sz w:val="22"/>
            <w:szCs w:val="22"/>
            <w:lang w:val="en-AU" w:eastAsia="en-AU"/>
          </w:rPr>
          <w:tab/>
        </w:r>
        <w:r w:rsidR="00286264" w:rsidRPr="00B1774E">
          <w:rPr>
            <w:rStyle w:val="Hyperlink"/>
            <w:rFonts w:cs="Arial"/>
            <w:noProof/>
          </w:rPr>
          <w:t>Bonus 20GB Data on Selected Tech Fund Plans Promotion – October 2019</w:t>
        </w:r>
        <w:r w:rsidR="00286264">
          <w:rPr>
            <w:noProof/>
            <w:webHidden/>
          </w:rPr>
          <w:tab/>
        </w:r>
        <w:r w:rsidR="00286264">
          <w:rPr>
            <w:noProof/>
            <w:webHidden/>
          </w:rPr>
          <w:fldChar w:fldCharType="begin"/>
        </w:r>
        <w:r w:rsidR="00286264">
          <w:rPr>
            <w:noProof/>
            <w:webHidden/>
          </w:rPr>
          <w:instrText xml:space="preserve"> PAGEREF _Toc62644721 \h </w:instrText>
        </w:r>
        <w:r w:rsidR="00286264">
          <w:rPr>
            <w:noProof/>
            <w:webHidden/>
          </w:rPr>
        </w:r>
        <w:r w:rsidR="00286264">
          <w:rPr>
            <w:noProof/>
            <w:webHidden/>
          </w:rPr>
          <w:fldChar w:fldCharType="separate"/>
        </w:r>
        <w:r w:rsidR="00286264">
          <w:rPr>
            <w:noProof/>
            <w:webHidden/>
          </w:rPr>
          <w:t>643</w:t>
        </w:r>
        <w:r w:rsidR="00286264">
          <w:rPr>
            <w:noProof/>
            <w:webHidden/>
          </w:rPr>
          <w:fldChar w:fldCharType="end"/>
        </w:r>
      </w:hyperlink>
    </w:p>
    <w:p w14:paraId="33D34DC0"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722" w:history="1">
        <w:r w:rsidR="00286264" w:rsidRPr="00B1774E">
          <w:rPr>
            <w:rStyle w:val="Hyperlink"/>
            <w:noProof/>
          </w:rPr>
          <w:t>123.</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Business Timeless Fleet Plans (Incorporating $59 Business Timeless Fleet, $69 Business Timeless Fleet, $79 Business Timeless Fleet, $79 Business Timeless Fleet Bes, $89 Business Timeless Fleet Bes &amp; $99 Business Timeless Fleet Bes) effective from 6 February 2010 – 25 November 2019</w:t>
        </w:r>
        <w:r w:rsidR="00286264">
          <w:rPr>
            <w:noProof/>
            <w:webHidden/>
          </w:rPr>
          <w:tab/>
        </w:r>
        <w:r w:rsidR="00286264">
          <w:rPr>
            <w:noProof/>
            <w:webHidden/>
          </w:rPr>
          <w:fldChar w:fldCharType="begin"/>
        </w:r>
        <w:r w:rsidR="00286264">
          <w:rPr>
            <w:noProof/>
            <w:webHidden/>
          </w:rPr>
          <w:instrText xml:space="preserve"> PAGEREF _Toc62644722 \h </w:instrText>
        </w:r>
        <w:r w:rsidR="00286264">
          <w:rPr>
            <w:noProof/>
            <w:webHidden/>
          </w:rPr>
        </w:r>
        <w:r w:rsidR="00286264">
          <w:rPr>
            <w:noProof/>
            <w:webHidden/>
          </w:rPr>
          <w:fldChar w:fldCharType="separate"/>
        </w:r>
        <w:r w:rsidR="00286264">
          <w:rPr>
            <w:noProof/>
            <w:webHidden/>
          </w:rPr>
          <w:t>643</w:t>
        </w:r>
        <w:r w:rsidR="00286264">
          <w:rPr>
            <w:noProof/>
            <w:webHidden/>
          </w:rPr>
          <w:fldChar w:fldCharType="end"/>
        </w:r>
      </w:hyperlink>
    </w:p>
    <w:p w14:paraId="4C5A7FA3"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723" w:history="1">
        <w:r w:rsidR="00286264" w:rsidRPr="00B1774E">
          <w:rPr>
            <w:rStyle w:val="Hyperlink"/>
            <w:noProof/>
            <w:lang w:val="en-AU"/>
          </w:rPr>
          <w:t>124.</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Business Plus Tech Fund – August 2018</w:t>
        </w:r>
        <w:r w:rsidR="00286264">
          <w:rPr>
            <w:noProof/>
            <w:webHidden/>
          </w:rPr>
          <w:tab/>
        </w:r>
        <w:r w:rsidR="00286264">
          <w:rPr>
            <w:noProof/>
            <w:webHidden/>
          </w:rPr>
          <w:fldChar w:fldCharType="begin"/>
        </w:r>
        <w:r w:rsidR="00286264">
          <w:rPr>
            <w:noProof/>
            <w:webHidden/>
          </w:rPr>
          <w:instrText xml:space="preserve"> PAGEREF _Toc62644723 \h </w:instrText>
        </w:r>
        <w:r w:rsidR="00286264">
          <w:rPr>
            <w:noProof/>
            <w:webHidden/>
          </w:rPr>
        </w:r>
        <w:r w:rsidR="00286264">
          <w:rPr>
            <w:noProof/>
            <w:webHidden/>
          </w:rPr>
          <w:fldChar w:fldCharType="separate"/>
        </w:r>
        <w:r w:rsidR="00286264">
          <w:rPr>
            <w:noProof/>
            <w:webHidden/>
          </w:rPr>
          <w:t>656</w:t>
        </w:r>
        <w:r w:rsidR="00286264">
          <w:rPr>
            <w:noProof/>
            <w:webHidden/>
          </w:rPr>
          <w:fldChar w:fldCharType="end"/>
        </w:r>
      </w:hyperlink>
    </w:p>
    <w:p w14:paraId="46DF7598"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724" w:history="1">
        <w:r w:rsidR="00286264" w:rsidRPr="00B1774E">
          <w:rPr>
            <w:rStyle w:val="Hyperlink"/>
            <w:noProof/>
            <w:lang w:val="en-AU"/>
          </w:rPr>
          <w:t>125.</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lang w:val="en-AU"/>
          </w:rPr>
          <w:t>$125 &amp; $145 Business Plus – August 2018</w:t>
        </w:r>
        <w:r w:rsidR="00286264">
          <w:rPr>
            <w:noProof/>
            <w:webHidden/>
          </w:rPr>
          <w:tab/>
        </w:r>
        <w:r w:rsidR="00286264">
          <w:rPr>
            <w:noProof/>
            <w:webHidden/>
          </w:rPr>
          <w:fldChar w:fldCharType="begin"/>
        </w:r>
        <w:r w:rsidR="00286264">
          <w:rPr>
            <w:noProof/>
            <w:webHidden/>
          </w:rPr>
          <w:instrText xml:space="preserve"> PAGEREF _Toc62644724 \h </w:instrText>
        </w:r>
        <w:r w:rsidR="00286264">
          <w:rPr>
            <w:noProof/>
            <w:webHidden/>
          </w:rPr>
        </w:r>
        <w:r w:rsidR="00286264">
          <w:rPr>
            <w:noProof/>
            <w:webHidden/>
          </w:rPr>
          <w:fldChar w:fldCharType="separate"/>
        </w:r>
        <w:r w:rsidR="00286264">
          <w:rPr>
            <w:noProof/>
            <w:webHidden/>
          </w:rPr>
          <w:t>662</w:t>
        </w:r>
        <w:r w:rsidR="00286264">
          <w:rPr>
            <w:noProof/>
            <w:webHidden/>
          </w:rPr>
          <w:fldChar w:fldCharType="end"/>
        </w:r>
      </w:hyperlink>
    </w:p>
    <w:p w14:paraId="05AF18D8"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725" w:history="1">
        <w:r w:rsidR="00286264" w:rsidRPr="00B1774E">
          <w:rPr>
            <w:rStyle w:val="Hyperlink"/>
            <w:noProof/>
          </w:rPr>
          <w:t>126.</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Business Plus 24M SIM Only – August 2018</w:t>
        </w:r>
        <w:r w:rsidR="00286264">
          <w:rPr>
            <w:noProof/>
            <w:webHidden/>
          </w:rPr>
          <w:tab/>
        </w:r>
        <w:r w:rsidR="00286264">
          <w:rPr>
            <w:noProof/>
            <w:webHidden/>
          </w:rPr>
          <w:fldChar w:fldCharType="begin"/>
        </w:r>
        <w:r w:rsidR="00286264">
          <w:rPr>
            <w:noProof/>
            <w:webHidden/>
          </w:rPr>
          <w:instrText xml:space="preserve"> PAGEREF _Toc62644725 \h </w:instrText>
        </w:r>
        <w:r w:rsidR="00286264">
          <w:rPr>
            <w:noProof/>
            <w:webHidden/>
          </w:rPr>
        </w:r>
        <w:r w:rsidR="00286264">
          <w:rPr>
            <w:noProof/>
            <w:webHidden/>
          </w:rPr>
          <w:fldChar w:fldCharType="separate"/>
        </w:r>
        <w:r w:rsidR="00286264">
          <w:rPr>
            <w:noProof/>
            <w:webHidden/>
          </w:rPr>
          <w:t>666</w:t>
        </w:r>
        <w:r w:rsidR="00286264">
          <w:rPr>
            <w:noProof/>
            <w:webHidden/>
          </w:rPr>
          <w:fldChar w:fldCharType="end"/>
        </w:r>
      </w:hyperlink>
    </w:p>
    <w:p w14:paraId="2958DB08" w14:textId="77777777" w:rsidR="00286264" w:rsidRDefault="007569EB">
      <w:pPr>
        <w:pStyle w:val="TOC1"/>
        <w:rPr>
          <w:rFonts w:asciiTheme="minorHAnsi" w:eastAsiaTheme="minorEastAsia" w:hAnsiTheme="minorHAnsi" w:cstheme="minorBidi"/>
          <w:b w:val="0"/>
          <w:noProof/>
          <w:sz w:val="22"/>
          <w:szCs w:val="22"/>
          <w:lang w:val="en-AU" w:eastAsia="en-AU"/>
        </w:rPr>
      </w:pPr>
      <w:hyperlink w:anchor="_Toc62644726" w:history="1">
        <w:r w:rsidR="00286264" w:rsidRPr="00B1774E">
          <w:rPr>
            <w:rStyle w:val="Hyperlink"/>
            <w:noProof/>
          </w:rPr>
          <w:t>127.</w:t>
        </w:r>
        <w:r w:rsidR="00286264">
          <w:rPr>
            <w:rFonts w:asciiTheme="minorHAnsi" w:eastAsiaTheme="minorEastAsia" w:hAnsiTheme="minorHAnsi" w:cstheme="minorBidi"/>
            <w:b w:val="0"/>
            <w:noProof/>
            <w:sz w:val="22"/>
            <w:szCs w:val="22"/>
            <w:lang w:val="en-AU" w:eastAsia="en-AU"/>
          </w:rPr>
          <w:tab/>
        </w:r>
        <w:r w:rsidR="00286264" w:rsidRPr="00B1774E">
          <w:rPr>
            <w:rStyle w:val="Hyperlink"/>
            <w:noProof/>
          </w:rPr>
          <w:t>$55 Business Plus 24M SIM Only – December 2019</w:t>
        </w:r>
        <w:r w:rsidR="00286264">
          <w:rPr>
            <w:noProof/>
            <w:webHidden/>
          </w:rPr>
          <w:tab/>
        </w:r>
        <w:r w:rsidR="00286264">
          <w:rPr>
            <w:noProof/>
            <w:webHidden/>
          </w:rPr>
          <w:fldChar w:fldCharType="begin"/>
        </w:r>
        <w:r w:rsidR="00286264">
          <w:rPr>
            <w:noProof/>
            <w:webHidden/>
          </w:rPr>
          <w:instrText xml:space="preserve"> PAGEREF _Toc62644726 \h </w:instrText>
        </w:r>
        <w:r w:rsidR="00286264">
          <w:rPr>
            <w:noProof/>
            <w:webHidden/>
          </w:rPr>
        </w:r>
        <w:r w:rsidR="00286264">
          <w:rPr>
            <w:noProof/>
            <w:webHidden/>
          </w:rPr>
          <w:fldChar w:fldCharType="separate"/>
        </w:r>
        <w:r w:rsidR="00286264">
          <w:rPr>
            <w:noProof/>
            <w:webHidden/>
          </w:rPr>
          <w:t>671</w:t>
        </w:r>
        <w:r w:rsidR="00286264">
          <w:rPr>
            <w:noProof/>
            <w:webHidden/>
          </w:rPr>
          <w:fldChar w:fldCharType="end"/>
        </w:r>
      </w:hyperlink>
    </w:p>
    <w:p w14:paraId="50D77D19" w14:textId="77777777" w:rsidR="000D07EA" w:rsidRDefault="00BE7C89">
      <w:pPr>
        <w:rPr>
          <w:sz w:val="20"/>
          <w:szCs w:val="20"/>
        </w:rPr>
      </w:pPr>
      <w:r>
        <w:rPr>
          <w:sz w:val="20"/>
          <w:szCs w:val="20"/>
        </w:rPr>
        <w:fldChar w:fldCharType="end"/>
      </w:r>
    </w:p>
    <w:p w14:paraId="75E714F3" w14:textId="77777777" w:rsidR="000D07EA" w:rsidRDefault="000D07EA"/>
    <w:p w14:paraId="3D1BAB8F" w14:textId="77777777" w:rsidR="000D07EA" w:rsidRDefault="000D07EA">
      <w:pPr>
        <w:sectPr w:rsidR="000D07EA" w:rsidSect="000D4093">
          <w:headerReference w:type="default" r:id="rId9"/>
          <w:footerReference w:type="default" r:id="rId10"/>
          <w:headerReference w:type="first" r:id="rId11"/>
          <w:footerReference w:type="first" r:id="rId12"/>
          <w:pgSz w:w="11900" w:h="16840"/>
          <w:pgMar w:top="851" w:right="851" w:bottom="851" w:left="851" w:header="461" w:footer="288" w:gutter="0"/>
          <w:cols w:space="708"/>
          <w:docGrid w:linePitch="360"/>
        </w:sectPr>
      </w:pPr>
    </w:p>
    <w:p w14:paraId="69915B66" w14:textId="77777777" w:rsidR="000D07EA" w:rsidRDefault="00BE7C89">
      <w:pPr>
        <w:pStyle w:val="Heading4"/>
        <w:keepNext w:val="0"/>
        <w:tabs>
          <w:tab w:val="left" w:pos="720"/>
        </w:tabs>
        <w:ind w:left="720" w:hanging="720"/>
      </w:pPr>
      <w:bookmarkStart w:id="0" w:name="_Toc107203844"/>
      <w:bookmarkStart w:id="1" w:name="_Toc259613844"/>
      <w:bookmarkStart w:id="2" w:name="_Toc455147520"/>
      <w:bookmarkStart w:id="3" w:name="_Toc62644600"/>
      <w:bookmarkStart w:id="4" w:name="_Toc95124992"/>
      <w:bookmarkStart w:id="5" w:name="_Toc96314361"/>
      <w:bookmarkStart w:id="6" w:name="XtraLex_M1_XtraLx"/>
      <w:r>
        <w:lastRenderedPageBreak/>
        <w:t>About this Section</w:t>
      </w:r>
      <w:bookmarkStart w:id="7" w:name="_Toc91431312"/>
      <w:bookmarkStart w:id="8" w:name="_Toc91474821"/>
      <w:bookmarkStart w:id="9" w:name="_Toc91428972"/>
      <w:bookmarkEnd w:id="0"/>
      <w:bookmarkEnd w:id="1"/>
      <w:bookmarkEnd w:id="2"/>
      <w:bookmarkEnd w:id="3"/>
    </w:p>
    <w:p w14:paraId="086C38B7" w14:textId="77777777" w:rsidR="000D07EA" w:rsidRDefault="00BE7C89">
      <w:pPr>
        <w:pStyle w:val="Heading7"/>
      </w:pPr>
      <w:r>
        <w:t xml:space="preserve">This is Section 5 of the </w:t>
      </w:r>
      <w:r>
        <w:rPr>
          <w:i/>
        </w:rPr>
        <w:t xml:space="preserve">standard pricing table </w:t>
      </w:r>
      <w:r>
        <w:t>for the Optus Mobile Digital Service.</w:t>
      </w:r>
    </w:p>
    <w:p w14:paraId="3AC88418" w14:textId="77777777" w:rsidR="000D07EA" w:rsidRDefault="00BE7C89">
      <w:pPr>
        <w:pStyle w:val="Heading7"/>
        <w:rPr>
          <w:color w:val="000000"/>
          <w:szCs w:val="20"/>
        </w:rPr>
      </w:pPr>
      <w:r>
        <w:rPr>
          <w:color w:val="000000"/>
          <w:szCs w:val="20"/>
        </w:rPr>
        <w:t xml:space="preserve">This section contains the </w:t>
      </w:r>
      <w:r>
        <w:rPr>
          <w:i/>
          <w:color w:val="000000"/>
          <w:szCs w:val="20"/>
        </w:rPr>
        <w:t xml:space="preserve">pricing plans </w:t>
      </w:r>
      <w:r>
        <w:rPr>
          <w:color w:val="000000"/>
          <w:szCs w:val="20"/>
        </w:rPr>
        <w:t xml:space="preserve">that </w:t>
      </w:r>
      <w:r>
        <w:rPr>
          <w:i/>
          <w:color w:val="000000"/>
          <w:szCs w:val="20"/>
        </w:rPr>
        <w:t xml:space="preserve">we </w:t>
      </w:r>
      <w:r>
        <w:rPr>
          <w:color w:val="000000"/>
          <w:szCs w:val="20"/>
        </w:rPr>
        <w:t xml:space="preserve">will only offer to </w:t>
      </w:r>
      <w:r>
        <w:rPr>
          <w:i/>
          <w:color w:val="000000"/>
          <w:szCs w:val="20"/>
        </w:rPr>
        <w:t xml:space="preserve">SMB customers </w:t>
      </w:r>
      <w:r>
        <w:rPr>
          <w:color w:val="000000"/>
          <w:szCs w:val="20"/>
        </w:rPr>
        <w:t xml:space="preserve">as a </w:t>
      </w:r>
      <w:r>
        <w:rPr>
          <w:i/>
          <w:color w:val="000000"/>
          <w:szCs w:val="20"/>
        </w:rPr>
        <w:t>special</w:t>
      </w:r>
      <w:r>
        <w:rPr>
          <w:color w:val="000000"/>
          <w:szCs w:val="20"/>
        </w:rPr>
        <w:t xml:space="preserve"> under </w:t>
      </w:r>
      <w:r>
        <w:rPr>
          <w:i/>
          <w:color w:val="000000"/>
          <w:szCs w:val="20"/>
        </w:rPr>
        <w:t xml:space="preserve">our </w:t>
      </w:r>
      <w:hyperlink r:id="rId13" w:history="1">
        <w:r>
          <w:rPr>
            <w:rStyle w:val="Hyperlink"/>
            <w:rFonts w:eastAsia="MS Gothic"/>
            <w:i/>
            <w:szCs w:val="20"/>
          </w:rPr>
          <w:t>SMB terms</w:t>
        </w:r>
      </w:hyperlink>
      <w:r>
        <w:rPr>
          <w:color w:val="000000"/>
          <w:szCs w:val="20"/>
        </w:rPr>
        <w:t xml:space="preserve">. These </w:t>
      </w:r>
      <w:r>
        <w:rPr>
          <w:i/>
          <w:color w:val="000000"/>
          <w:szCs w:val="20"/>
        </w:rPr>
        <w:t xml:space="preserve">pricing plans </w:t>
      </w:r>
      <w:r>
        <w:rPr>
          <w:color w:val="000000"/>
          <w:szCs w:val="20"/>
        </w:rPr>
        <w:t xml:space="preserve">are not generally available (that is they are closed to new customers) unless </w:t>
      </w:r>
      <w:r>
        <w:rPr>
          <w:i/>
          <w:color w:val="000000"/>
          <w:szCs w:val="20"/>
        </w:rPr>
        <w:t xml:space="preserve">we </w:t>
      </w:r>
      <w:r>
        <w:rPr>
          <w:color w:val="000000"/>
          <w:szCs w:val="20"/>
        </w:rPr>
        <w:t>agree otherwise.</w:t>
      </w:r>
      <w:bookmarkStart w:id="10" w:name="_Toc91428976"/>
      <w:bookmarkStart w:id="11" w:name="_Toc91431313"/>
      <w:bookmarkStart w:id="12" w:name="_Toc91474822"/>
      <w:bookmarkEnd w:id="7"/>
      <w:bookmarkEnd w:id="8"/>
    </w:p>
    <w:p w14:paraId="39806EBA" w14:textId="77777777" w:rsidR="000D07EA" w:rsidRDefault="00BE7C89">
      <w:pPr>
        <w:pStyle w:val="Heading7"/>
        <w:rPr>
          <w:color w:val="000000"/>
          <w:szCs w:val="20"/>
        </w:rPr>
      </w:pPr>
      <w:r>
        <w:rPr>
          <w:color w:val="000000"/>
          <w:szCs w:val="20"/>
        </w:rPr>
        <w:t xml:space="preserve">The </w:t>
      </w:r>
      <w:r>
        <w:rPr>
          <w:i/>
          <w:color w:val="000000"/>
          <w:szCs w:val="20"/>
        </w:rPr>
        <w:t xml:space="preserve">pricing plans </w:t>
      </w:r>
      <w:r>
        <w:rPr>
          <w:color w:val="000000"/>
          <w:szCs w:val="20"/>
        </w:rPr>
        <w:t xml:space="preserve">that </w:t>
      </w:r>
      <w:r>
        <w:rPr>
          <w:i/>
          <w:color w:val="000000"/>
          <w:szCs w:val="20"/>
        </w:rPr>
        <w:t xml:space="preserve">we </w:t>
      </w:r>
      <w:r>
        <w:rPr>
          <w:color w:val="000000"/>
          <w:szCs w:val="20"/>
        </w:rPr>
        <w:t xml:space="preserve">offer to new </w:t>
      </w:r>
      <w:r>
        <w:rPr>
          <w:i/>
          <w:color w:val="000000"/>
          <w:szCs w:val="20"/>
        </w:rPr>
        <w:t xml:space="preserve">SMB customers </w:t>
      </w:r>
      <w:r>
        <w:rPr>
          <w:color w:val="000000"/>
          <w:szCs w:val="20"/>
        </w:rPr>
        <w:t xml:space="preserve">are contained in Section 4 of this </w:t>
      </w:r>
      <w:hyperlink r:id="rId14" w:history="1">
        <w:r>
          <w:rPr>
            <w:rStyle w:val="Hyperlink"/>
            <w:rFonts w:eastAsia="MS Gothic"/>
            <w:i/>
            <w:szCs w:val="20"/>
          </w:rPr>
          <w:t>standard pricing table</w:t>
        </w:r>
      </w:hyperlink>
      <w:bookmarkEnd w:id="10"/>
      <w:r>
        <w:rPr>
          <w:i/>
          <w:color w:val="000000"/>
          <w:szCs w:val="20"/>
        </w:rPr>
        <w:t xml:space="preserve">. </w:t>
      </w:r>
      <w:r>
        <w:rPr>
          <w:color w:val="000000"/>
          <w:szCs w:val="20"/>
        </w:rPr>
        <w:t xml:space="preserve">If </w:t>
      </w:r>
      <w:r>
        <w:rPr>
          <w:i/>
          <w:color w:val="000000"/>
          <w:szCs w:val="20"/>
        </w:rPr>
        <w:t xml:space="preserve">you </w:t>
      </w:r>
      <w:r>
        <w:rPr>
          <w:color w:val="000000"/>
          <w:szCs w:val="20"/>
        </w:rPr>
        <w:t xml:space="preserve">cannot find the name of </w:t>
      </w:r>
      <w:r>
        <w:rPr>
          <w:i/>
          <w:color w:val="000000"/>
          <w:szCs w:val="20"/>
        </w:rPr>
        <w:t>your pricing plan</w:t>
      </w:r>
      <w:r>
        <w:rPr>
          <w:color w:val="000000"/>
          <w:szCs w:val="20"/>
        </w:rPr>
        <w:t xml:space="preserve"> in this section, </w:t>
      </w:r>
      <w:r>
        <w:rPr>
          <w:i/>
          <w:color w:val="000000"/>
          <w:szCs w:val="20"/>
        </w:rPr>
        <w:t xml:space="preserve">you </w:t>
      </w:r>
      <w:r>
        <w:rPr>
          <w:color w:val="000000"/>
          <w:szCs w:val="20"/>
        </w:rPr>
        <w:t xml:space="preserve">should refer to Section 4 or section 5a for </w:t>
      </w:r>
      <w:hyperlink r:id="rId15" w:history="1">
        <w:r w:rsidRPr="002204BC">
          <w:rPr>
            <w:rStyle w:val="Hyperlink"/>
            <w:rFonts w:eastAsia="MS Gothic"/>
            <w:i/>
            <w:szCs w:val="20"/>
          </w:rPr>
          <w:t>your pricing plan</w:t>
        </w:r>
      </w:hyperlink>
      <w:r>
        <w:rPr>
          <w:color w:val="000000"/>
          <w:szCs w:val="20"/>
        </w:rPr>
        <w:t xml:space="preserve"> or </w:t>
      </w:r>
      <w:r>
        <w:rPr>
          <w:i/>
          <w:color w:val="000000"/>
          <w:szCs w:val="20"/>
        </w:rPr>
        <w:t xml:space="preserve">you </w:t>
      </w:r>
      <w:r>
        <w:rPr>
          <w:color w:val="000000"/>
          <w:szCs w:val="20"/>
        </w:rPr>
        <w:t xml:space="preserve">can call </w:t>
      </w:r>
      <w:r>
        <w:rPr>
          <w:i/>
          <w:color w:val="000000"/>
          <w:szCs w:val="20"/>
        </w:rPr>
        <w:t xml:space="preserve">us </w:t>
      </w:r>
      <w:r>
        <w:rPr>
          <w:color w:val="000000"/>
          <w:szCs w:val="20"/>
        </w:rPr>
        <w:t>for more information.</w:t>
      </w:r>
      <w:bookmarkStart w:id="13" w:name="_Toc91431314"/>
      <w:bookmarkStart w:id="14" w:name="_Toc91474823"/>
      <w:bookmarkEnd w:id="11"/>
      <w:bookmarkEnd w:id="12"/>
    </w:p>
    <w:p w14:paraId="0F249F87" w14:textId="77777777" w:rsidR="000D07EA" w:rsidRDefault="00BE7C89">
      <w:pPr>
        <w:pStyle w:val="Heading7"/>
        <w:rPr>
          <w:szCs w:val="20"/>
        </w:rPr>
      </w:pPr>
      <w:r>
        <w:rPr>
          <w:i/>
          <w:szCs w:val="20"/>
        </w:rPr>
        <w:t xml:space="preserve">You </w:t>
      </w:r>
      <w:r>
        <w:rPr>
          <w:szCs w:val="20"/>
        </w:rPr>
        <w:t>may also need to refer to the following:</w:t>
      </w:r>
    </w:p>
    <w:p w14:paraId="0B08BC3D" w14:textId="77777777" w:rsidR="000D07EA" w:rsidRDefault="00BE7C89">
      <w:pPr>
        <w:pStyle w:val="Heading8"/>
        <w:rPr>
          <w:color w:val="000000"/>
          <w:szCs w:val="20"/>
        </w:rPr>
      </w:pPr>
      <w:r>
        <w:rPr>
          <w:color w:val="000000"/>
          <w:szCs w:val="20"/>
        </w:rPr>
        <w:t xml:space="preserve">Section 1 of this </w:t>
      </w:r>
      <w:hyperlink r:id="rId16" w:history="1">
        <w:r>
          <w:rPr>
            <w:rStyle w:val="Hyperlink"/>
            <w:rFonts w:eastAsia="MS Gothic"/>
            <w:i/>
            <w:szCs w:val="20"/>
          </w:rPr>
          <w:t>standard pricing table</w:t>
        </w:r>
      </w:hyperlink>
      <w:r>
        <w:rPr>
          <w:color w:val="000000"/>
          <w:szCs w:val="20"/>
        </w:rPr>
        <w:t xml:space="preserve"> for</w:t>
      </w:r>
      <w:r>
        <w:t xml:space="preserve"> general info</w:t>
      </w:r>
      <w:r>
        <w:rPr>
          <w:color w:val="000000"/>
          <w:szCs w:val="20"/>
        </w:rPr>
        <w:t xml:space="preserve">rmation on the calculation of charges for use of the </w:t>
      </w:r>
      <w:r>
        <w:rPr>
          <w:i/>
          <w:color w:val="000000"/>
          <w:szCs w:val="20"/>
        </w:rPr>
        <w:t xml:space="preserve">service </w:t>
      </w:r>
      <w:r>
        <w:rPr>
          <w:color w:val="000000"/>
          <w:szCs w:val="20"/>
        </w:rPr>
        <w:t xml:space="preserve">and for call charges not covered by </w:t>
      </w:r>
      <w:r>
        <w:rPr>
          <w:i/>
          <w:color w:val="000000"/>
          <w:szCs w:val="20"/>
        </w:rPr>
        <w:t>your pricing plan</w:t>
      </w:r>
      <w:r>
        <w:rPr>
          <w:color w:val="000000"/>
          <w:szCs w:val="20"/>
        </w:rPr>
        <w:t>;</w:t>
      </w:r>
    </w:p>
    <w:p w14:paraId="692A1A7E" w14:textId="77777777" w:rsidR="000D07EA" w:rsidRDefault="00BE7C89">
      <w:pPr>
        <w:pStyle w:val="Heading8"/>
        <w:rPr>
          <w:color w:val="000000"/>
          <w:szCs w:val="20"/>
        </w:rPr>
      </w:pPr>
      <w:r>
        <w:rPr>
          <w:color w:val="000000"/>
          <w:szCs w:val="20"/>
        </w:rPr>
        <w:t xml:space="preserve">The Value Added Service Features </w:t>
      </w:r>
      <w:hyperlink r:id="rId17" w:history="1">
        <w:r>
          <w:rPr>
            <w:rStyle w:val="Hyperlink"/>
            <w:rFonts w:eastAsia="MS Gothic"/>
            <w:i/>
            <w:szCs w:val="20"/>
          </w:rPr>
          <w:t>Appendix Y</w:t>
        </w:r>
      </w:hyperlink>
      <w:r>
        <w:rPr>
          <w:color w:val="000000"/>
          <w:szCs w:val="20"/>
        </w:rPr>
        <w:t xml:space="preserve"> for the description and charges for the range of </w:t>
      </w:r>
      <w:r>
        <w:rPr>
          <w:i/>
          <w:color w:val="000000"/>
          <w:szCs w:val="20"/>
        </w:rPr>
        <w:t>value added service features</w:t>
      </w:r>
      <w:r>
        <w:rPr>
          <w:color w:val="000000"/>
          <w:szCs w:val="20"/>
        </w:rPr>
        <w:t xml:space="preserve"> available with the </w:t>
      </w:r>
      <w:r>
        <w:rPr>
          <w:i/>
          <w:color w:val="000000"/>
          <w:szCs w:val="20"/>
        </w:rPr>
        <w:t>service</w:t>
      </w:r>
      <w:r>
        <w:rPr>
          <w:color w:val="000000"/>
          <w:szCs w:val="20"/>
        </w:rPr>
        <w:t>.</w:t>
      </w:r>
    </w:p>
    <w:p w14:paraId="0F4745AB" w14:textId="77777777" w:rsidR="000D07EA" w:rsidRDefault="00BE7C89">
      <w:pPr>
        <w:pStyle w:val="Heading7"/>
        <w:rPr>
          <w:szCs w:val="20"/>
        </w:rPr>
      </w:pPr>
      <w:bookmarkStart w:id="15" w:name="_Toc91431315"/>
      <w:bookmarkStart w:id="16" w:name="_Toc91474824"/>
      <w:bookmarkEnd w:id="13"/>
      <w:bookmarkEnd w:id="14"/>
      <w:r>
        <w:rPr>
          <w:szCs w:val="20"/>
        </w:rPr>
        <w:t>Charges may be shown as a dollar amount followed by a dollar amount in brackets. The first dollar amount represents the charge before GST is applied, and the dollar amount in brackets is the GST inclusive charge.</w:t>
      </w:r>
    </w:p>
    <w:p w14:paraId="3C486832" w14:textId="77777777" w:rsidR="000D07EA" w:rsidRDefault="00BE7C89">
      <w:pPr>
        <w:pStyle w:val="Heading7"/>
        <w:rPr>
          <w:color w:val="000000"/>
        </w:rPr>
      </w:pPr>
      <w:r>
        <w:rPr>
          <w:color w:val="000000"/>
          <w:szCs w:val="20"/>
        </w:rPr>
        <w:t xml:space="preserve">The meaning of the words printed </w:t>
      </w:r>
      <w:r>
        <w:rPr>
          <w:i/>
          <w:color w:val="000000"/>
          <w:szCs w:val="20"/>
        </w:rPr>
        <w:t xml:space="preserve">like this </w:t>
      </w:r>
      <w:r>
        <w:rPr>
          <w:color w:val="000000"/>
          <w:szCs w:val="20"/>
        </w:rPr>
        <w:t>is explained</w:t>
      </w:r>
      <w:r>
        <w:rPr>
          <w:i/>
          <w:color w:val="000000"/>
          <w:szCs w:val="20"/>
        </w:rPr>
        <w:t xml:space="preserve"> </w:t>
      </w:r>
      <w:r>
        <w:rPr>
          <w:color w:val="000000"/>
          <w:szCs w:val="20"/>
        </w:rPr>
        <w:t xml:space="preserve">in the </w:t>
      </w:r>
      <w:hyperlink r:id="rId18" w:history="1">
        <w:r>
          <w:rPr>
            <w:rStyle w:val="Hyperlink"/>
            <w:rFonts w:eastAsia="MS Gothic"/>
            <w:i/>
            <w:szCs w:val="20"/>
          </w:rPr>
          <w:t>service description</w:t>
        </w:r>
      </w:hyperlink>
      <w:r>
        <w:rPr>
          <w:i/>
          <w:color w:val="000000"/>
          <w:szCs w:val="20"/>
        </w:rPr>
        <w:t xml:space="preserve"> </w:t>
      </w:r>
      <w:r>
        <w:rPr>
          <w:color w:val="000000"/>
          <w:szCs w:val="20"/>
        </w:rPr>
        <w:t xml:space="preserve">or in the </w:t>
      </w:r>
      <w:hyperlink r:id="rId19" w:history="1">
        <w:bookmarkStart w:id="17" w:name="_Toc91428977"/>
        <w:bookmarkStart w:id="18" w:name="_Toc91429118"/>
        <w:bookmarkEnd w:id="9"/>
        <w:bookmarkEnd w:id="15"/>
        <w:bookmarkEnd w:id="16"/>
        <w:r>
          <w:rPr>
            <w:rStyle w:val="Hyperlink"/>
            <w:rFonts w:eastAsia="MS Gothic"/>
            <w:i/>
            <w:szCs w:val="20"/>
          </w:rPr>
          <w:t>SMB terms</w:t>
        </w:r>
      </w:hyperlink>
      <w:r>
        <w:rPr>
          <w:i/>
          <w:color w:val="000000"/>
          <w:szCs w:val="20"/>
        </w:rPr>
        <w:t>.</w:t>
      </w:r>
    </w:p>
    <w:p w14:paraId="40D20D0C" w14:textId="77777777" w:rsidR="000D07EA" w:rsidRDefault="00BE7C89">
      <w:pPr>
        <w:pStyle w:val="Heading4"/>
      </w:pPr>
      <w:bookmarkStart w:id="19" w:name="_Toc259613845"/>
      <w:bookmarkStart w:id="20" w:name="_Toc455147521"/>
      <w:bookmarkStart w:id="21" w:name="_Toc62644601"/>
      <w:bookmarkEnd w:id="17"/>
      <w:bookmarkEnd w:id="18"/>
      <w:r>
        <w:t>Advance Business Plus &amp; Business Plus Plans (33, 44, 55, 77, 99, 150, 250, 400)</w:t>
      </w:r>
      <w:bookmarkEnd w:id="4"/>
      <w:bookmarkEnd w:id="5"/>
      <w:bookmarkEnd w:id="19"/>
      <w:bookmarkEnd w:id="20"/>
      <w:bookmarkEnd w:id="21"/>
    </w:p>
    <w:p w14:paraId="554B58C1" w14:textId="77777777" w:rsidR="000D07EA" w:rsidRDefault="00BE7C89">
      <w:pPr>
        <w:pStyle w:val="BodyText"/>
        <w:ind w:left="720"/>
      </w:pPr>
      <w:r>
        <w:t xml:space="preserve">The Advance Business Plus and Business Plus Plans (Advance/Business Plus Plans) are a suite of </w:t>
      </w:r>
      <w:r>
        <w:rPr>
          <w:i/>
        </w:rPr>
        <w:t>pricing plans</w:t>
      </w:r>
      <w:r>
        <w:t xml:space="preserve"> allowing any unused included voice calls in one month to be rolled over to the 2 following months if still unused, eg. included calls accumulated in April can be carried over into May and June if unused but not into July.</w:t>
      </w:r>
    </w:p>
    <w:p w14:paraId="4698C452" w14:textId="77777777" w:rsidR="000D07EA" w:rsidRDefault="00BE7C89">
      <w:pPr>
        <w:pStyle w:val="BodyText"/>
        <w:ind w:left="720"/>
        <w:rPr>
          <w:szCs w:val="20"/>
        </w:rPr>
      </w:pPr>
      <w:r>
        <w:t xml:space="preserve">The Advance/Business Plus Plans are only available under special offers to customers </w:t>
      </w:r>
      <w:r>
        <w:rPr>
          <w:i/>
        </w:rPr>
        <w:t xml:space="preserve">we </w:t>
      </w:r>
      <w:r>
        <w:t>classify as business customers. The following conditions apply to customers connecting to Advance/Business Plus Plans unless specified otherw</w:t>
      </w:r>
      <w:r>
        <w:rPr>
          <w:szCs w:val="20"/>
        </w:rPr>
        <w:t>ise:</w:t>
      </w:r>
    </w:p>
    <w:p w14:paraId="6DB06051" w14:textId="77777777" w:rsidR="000D07EA" w:rsidRDefault="00BE7C89">
      <w:pPr>
        <w:pStyle w:val="BodyText"/>
        <w:ind w:left="680"/>
        <w:rPr>
          <w:szCs w:val="20"/>
          <w:lang w:val="en-AU"/>
        </w:rPr>
      </w:pPr>
      <w:bookmarkStart w:id="22" w:name="_Toc210711487"/>
      <w:bookmarkEnd w:id="6"/>
      <w:bookmarkEnd w:id="22"/>
      <w:r>
        <w:rPr>
          <w:szCs w:val="20"/>
          <w:lang w:val="en-AU"/>
        </w:rPr>
        <w:t>Ownership form.</w:t>
      </w:r>
    </w:p>
    <w:p w14:paraId="226BFE29" w14:textId="77777777" w:rsidR="000D07EA" w:rsidRDefault="00BE7C89">
      <w:pPr>
        <w:pStyle w:val="Heading4"/>
        <w:rPr>
          <w:lang w:val="en-AU"/>
        </w:rPr>
      </w:pPr>
      <w:bookmarkStart w:id="23" w:name="_Toc219870318"/>
      <w:bookmarkStart w:id="24" w:name="_Toc397940922"/>
      <w:bookmarkStart w:id="25" w:name="_Toc455147580"/>
      <w:bookmarkStart w:id="26" w:name="_Toc62644602"/>
      <w:r>
        <w:rPr>
          <w:lang w:val="en-AU"/>
        </w:rPr>
        <w:t>Optus Corporate 79 Cap and Optus Corporate 179 Cap Plans</w:t>
      </w:r>
      <w:bookmarkEnd w:id="23"/>
      <w:bookmarkEnd w:id="24"/>
      <w:bookmarkEnd w:id="25"/>
      <w:bookmarkEnd w:id="26"/>
    </w:p>
    <w:p w14:paraId="240232C1" w14:textId="77777777" w:rsidR="000D07EA" w:rsidRDefault="00BE7C89">
      <w:pPr>
        <w:pStyle w:val="Heading6"/>
        <w:ind w:left="0" w:firstLine="0"/>
        <w:rPr>
          <w:snapToGrid w:val="0"/>
          <w:lang w:val="en-AU"/>
        </w:rPr>
      </w:pPr>
      <w:bookmarkStart w:id="27" w:name="_Toc219870319"/>
      <w:bookmarkStart w:id="28" w:name="_Toc397940923"/>
      <w:r>
        <w:rPr>
          <w:snapToGrid w:val="0"/>
          <w:lang w:val="en-AU"/>
        </w:rPr>
        <w:t>Eligibility</w:t>
      </w:r>
      <w:bookmarkEnd w:id="27"/>
      <w:bookmarkEnd w:id="28"/>
    </w:p>
    <w:p w14:paraId="0361D103" w14:textId="77777777" w:rsidR="000D07EA" w:rsidRDefault="00BE7C89">
      <w:pPr>
        <w:pStyle w:val="Heading7"/>
        <w:rPr>
          <w:rFonts w:cs="Arial"/>
          <w:lang w:val="en-AU"/>
        </w:rPr>
      </w:pPr>
      <w:r>
        <w:rPr>
          <w:rFonts w:cs="Arial"/>
          <w:snapToGrid w:val="0"/>
          <w:lang w:val="en-AU"/>
        </w:rPr>
        <w:t xml:space="preserve">The Corporate 79 Cap and </w:t>
      </w:r>
      <w:r>
        <w:rPr>
          <w:rFonts w:cs="Arial"/>
          <w:lang w:val="en-AU"/>
        </w:rPr>
        <w:t>Corporate 179 Cap pricing plans</w:t>
      </w:r>
      <w:r>
        <w:rPr>
          <w:rFonts w:cs="Arial"/>
          <w:snapToGrid w:val="0"/>
          <w:lang w:val="en-AU"/>
        </w:rPr>
        <w:t xml:space="preserve"> </w:t>
      </w:r>
      <w:r>
        <w:rPr>
          <w:rFonts w:cs="Arial"/>
          <w:lang w:val="en-AU"/>
        </w:rPr>
        <w:t>are</w:t>
      </w:r>
      <w:r>
        <w:rPr>
          <w:rFonts w:cs="Arial"/>
          <w:sz w:val="22"/>
          <w:lang w:val="en-AU"/>
        </w:rPr>
        <w:t xml:space="preserve"> available</w:t>
      </w:r>
      <w:r>
        <w:rPr>
          <w:rFonts w:cs="Arial"/>
          <w:lang w:val="en-AU"/>
        </w:rPr>
        <w:t xml:space="preserve"> to:</w:t>
      </w:r>
    </w:p>
    <w:p w14:paraId="5A9C0AB9" w14:textId="77777777" w:rsidR="000D07EA" w:rsidRDefault="00BE7C89">
      <w:pPr>
        <w:pStyle w:val="Heading8"/>
        <w:rPr>
          <w:lang w:val="en-AU"/>
        </w:rPr>
      </w:pPr>
      <w:r>
        <w:rPr>
          <w:lang w:val="en-AU"/>
        </w:rPr>
        <w:t xml:space="preserve">New connections to the </w:t>
      </w:r>
      <w:r>
        <w:rPr>
          <w:i/>
          <w:lang w:val="en-AU"/>
        </w:rPr>
        <w:t>service</w:t>
      </w:r>
      <w:r>
        <w:rPr>
          <w:lang w:val="en-AU"/>
        </w:rPr>
        <w:t xml:space="preserve"> (excluding </w:t>
      </w:r>
      <w:r>
        <w:rPr>
          <w:i/>
          <w:lang w:val="en-AU"/>
        </w:rPr>
        <w:t>our</w:t>
      </w:r>
      <w:r>
        <w:rPr>
          <w:lang w:val="en-AU"/>
        </w:rPr>
        <w:t xml:space="preserve"> Service Providers' customers); and</w:t>
      </w:r>
    </w:p>
    <w:p w14:paraId="2F54429C" w14:textId="77777777" w:rsidR="000D07EA" w:rsidRDefault="00BE7C89">
      <w:pPr>
        <w:pStyle w:val="Heading8"/>
        <w:rPr>
          <w:rFonts w:cs="Arial"/>
          <w:lang w:val="en-AU"/>
        </w:rPr>
      </w:pPr>
      <w:r>
        <w:rPr>
          <w:rFonts w:cs="Arial"/>
          <w:snapToGrid w:val="0"/>
          <w:lang w:val="en-AU"/>
        </w:rPr>
        <w:t xml:space="preserve">Existing Optus Mobile Digital customers. Existing credit-approved Optus Mobile Digital customers can switch their </w:t>
      </w:r>
      <w:r>
        <w:rPr>
          <w:rFonts w:cs="Arial"/>
          <w:i/>
          <w:snapToGrid w:val="0"/>
          <w:lang w:val="en-AU"/>
        </w:rPr>
        <w:t xml:space="preserve">pricing plan </w:t>
      </w:r>
      <w:r>
        <w:rPr>
          <w:rFonts w:cs="Arial"/>
          <w:snapToGrid w:val="0"/>
          <w:lang w:val="en-AU"/>
        </w:rPr>
        <w:t>to the</w:t>
      </w:r>
      <w:r>
        <w:rPr>
          <w:rFonts w:cs="Arial"/>
          <w:i/>
          <w:snapToGrid w:val="0"/>
          <w:lang w:val="en-AU"/>
        </w:rPr>
        <w:t xml:space="preserve"> Corporate 79 Cap </w:t>
      </w:r>
      <w:r>
        <w:rPr>
          <w:rFonts w:cs="Arial"/>
          <w:i/>
          <w:lang w:val="en-AU"/>
        </w:rPr>
        <w:t>pricing plan</w:t>
      </w:r>
      <w:r>
        <w:rPr>
          <w:rFonts w:cs="Arial"/>
          <w:lang w:val="en-AU"/>
        </w:rPr>
        <w:t xml:space="preserve"> </w:t>
      </w:r>
      <w:r>
        <w:rPr>
          <w:rFonts w:cs="Arial"/>
          <w:i/>
          <w:snapToGrid w:val="0"/>
          <w:lang w:val="en-AU"/>
        </w:rPr>
        <w:t xml:space="preserve">or </w:t>
      </w:r>
      <w:r>
        <w:rPr>
          <w:rFonts w:cs="Arial"/>
          <w:i/>
          <w:lang w:val="en-AU"/>
        </w:rPr>
        <w:t>Corporate 179 Cap</w:t>
      </w:r>
      <w:r>
        <w:rPr>
          <w:rFonts w:cs="Arial"/>
          <w:snapToGrid w:val="0"/>
          <w:lang w:val="en-AU"/>
        </w:rPr>
        <w:t xml:space="preserve"> </w:t>
      </w:r>
      <w:r>
        <w:rPr>
          <w:rFonts w:cs="Arial"/>
          <w:i/>
          <w:lang w:val="en-AU"/>
        </w:rPr>
        <w:t>pricing plan</w:t>
      </w:r>
      <w:r>
        <w:rPr>
          <w:rFonts w:cs="Arial"/>
          <w:lang w:val="en-AU"/>
        </w:rPr>
        <w:t xml:space="preserve"> </w:t>
      </w:r>
      <w:r>
        <w:rPr>
          <w:rFonts w:cs="Arial"/>
          <w:snapToGrid w:val="0"/>
          <w:lang w:val="en-AU"/>
        </w:rPr>
        <w:t xml:space="preserve">at </w:t>
      </w:r>
      <w:r>
        <w:rPr>
          <w:rFonts w:cs="Arial"/>
          <w:i/>
          <w:snapToGrid w:val="0"/>
          <w:lang w:val="en-AU"/>
        </w:rPr>
        <w:t>our</w:t>
      </w:r>
      <w:r>
        <w:rPr>
          <w:rFonts w:cs="Arial"/>
          <w:snapToGrid w:val="0"/>
          <w:lang w:val="en-AU"/>
        </w:rPr>
        <w:t xml:space="preserve"> discretion.</w:t>
      </w:r>
    </w:p>
    <w:p w14:paraId="4E8C279F" w14:textId="77777777" w:rsidR="000D07EA" w:rsidRDefault="00BE7C89">
      <w:pPr>
        <w:pStyle w:val="Heading8"/>
        <w:rPr>
          <w:rFonts w:cs="Arial"/>
          <w:lang w:val="en-AU"/>
        </w:rPr>
      </w:pPr>
      <w:r>
        <w:rPr>
          <w:rFonts w:cs="Arial"/>
          <w:snapToGrid w:val="0"/>
          <w:lang w:val="en-AU"/>
        </w:rPr>
        <w:t xml:space="preserve">The </w:t>
      </w:r>
      <w:r>
        <w:rPr>
          <w:rFonts w:cs="Arial"/>
          <w:i/>
          <w:snapToGrid w:val="0"/>
          <w:lang w:val="en-AU"/>
        </w:rPr>
        <w:t xml:space="preserve">Corporate 79 Cap </w:t>
      </w:r>
      <w:r>
        <w:rPr>
          <w:rFonts w:cs="Arial"/>
          <w:snapToGrid w:val="0"/>
          <w:lang w:val="en-AU"/>
        </w:rPr>
        <w:t>and</w:t>
      </w:r>
      <w:r>
        <w:rPr>
          <w:rFonts w:cs="Arial"/>
          <w:i/>
          <w:snapToGrid w:val="0"/>
          <w:lang w:val="en-AU"/>
        </w:rPr>
        <w:t xml:space="preserve"> </w:t>
      </w:r>
      <w:r>
        <w:rPr>
          <w:rFonts w:cs="Arial"/>
          <w:i/>
          <w:lang w:val="en-AU"/>
        </w:rPr>
        <w:t>Corporate 179 Cap</w:t>
      </w:r>
      <w:r>
        <w:rPr>
          <w:rFonts w:cs="Arial"/>
          <w:snapToGrid w:val="0"/>
          <w:lang w:val="en-AU"/>
        </w:rPr>
        <w:t xml:space="preserve"> </w:t>
      </w:r>
      <w:r>
        <w:rPr>
          <w:rFonts w:cs="Arial"/>
          <w:i/>
          <w:snapToGrid w:val="0"/>
          <w:lang w:val="en-AU"/>
        </w:rPr>
        <w:t xml:space="preserve">pricing plans </w:t>
      </w:r>
      <w:r>
        <w:rPr>
          <w:rFonts w:cs="Arial"/>
          <w:snapToGrid w:val="0"/>
          <w:lang w:val="en-AU"/>
        </w:rPr>
        <w:t xml:space="preserve">are not available to all other existing customers currently on a </w:t>
      </w:r>
      <w:r>
        <w:rPr>
          <w:rFonts w:cs="Arial"/>
          <w:i/>
          <w:snapToGrid w:val="0"/>
          <w:lang w:val="en-AU"/>
        </w:rPr>
        <w:t>fixed</w:t>
      </w:r>
      <w:r>
        <w:rPr>
          <w:rFonts w:cs="Arial"/>
          <w:snapToGrid w:val="0"/>
          <w:lang w:val="en-AU"/>
        </w:rPr>
        <w:t xml:space="preserve"> </w:t>
      </w:r>
      <w:r>
        <w:rPr>
          <w:rFonts w:cs="Arial"/>
          <w:i/>
          <w:snapToGrid w:val="0"/>
          <w:lang w:val="en-AU"/>
        </w:rPr>
        <w:t>length agreement</w:t>
      </w:r>
      <w:r>
        <w:rPr>
          <w:rFonts w:cs="Arial"/>
          <w:snapToGrid w:val="0"/>
          <w:lang w:val="en-AU"/>
        </w:rPr>
        <w:t>.</w:t>
      </w:r>
    </w:p>
    <w:p w14:paraId="71D8ED81" w14:textId="77777777" w:rsidR="000D07EA" w:rsidRDefault="00BE7C89">
      <w:pPr>
        <w:pStyle w:val="Heading6"/>
        <w:ind w:left="0" w:firstLine="0"/>
        <w:rPr>
          <w:snapToGrid w:val="0"/>
          <w:lang w:val="en-AU"/>
        </w:rPr>
      </w:pPr>
      <w:bookmarkStart w:id="29" w:name="_Toc219870320"/>
      <w:bookmarkStart w:id="30" w:name="_Toc397940924"/>
      <w:r>
        <w:rPr>
          <w:snapToGrid w:val="0"/>
          <w:lang w:val="en-AU"/>
        </w:rPr>
        <w:t xml:space="preserve">Is it a </w:t>
      </w:r>
      <w:r>
        <w:rPr>
          <w:i/>
          <w:snapToGrid w:val="0"/>
          <w:lang w:val="en-AU"/>
        </w:rPr>
        <w:t>fixed length agreement</w:t>
      </w:r>
      <w:r>
        <w:rPr>
          <w:snapToGrid w:val="0"/>
          <w:lang w:val="en-AU"/>
        </w:rPr>
        <w:t>?</w:t>
      </w:r>
      <w:bookmarkEnd w:id="29"/>
      <w:bookmarkEnd w:id="30"/>
    </w:p>
    <w:p w14:paraId="2A1C5989" w14:textId="77777777" w:rsidR="000D07EA" w:rsidRDefault="00BE7C89">
      <w:pPr>
        <w:pStyle w:val="BodyText"/>
        <w:ind w:left="680"/>
        <w:rPr>
          <w:lang w:val="en-AU"/>
        </w:rPr>
      </w:pPr>
      <w:r>
        <w:rPr>
          <w:snapToGrid w:val="0"/>
          <w:lang w:val="en-AU"/>
        </w:rPr>
        <w:t xml:space="preserve">To </w:t>
      </w:r>
      <w:r>
        <w:rPr>
          <w:i/>
          <w:snapToGrid w:val="0"/>
          <w:lang w:val="en-AU"/>
        </w:rPr>
        <w:t xml:space="preserve">connect </w:t>
      </w:r>
      <w:r>
        <w:rPr>
          <w:snapToGrid w:val="0"/>
          <w:lang w:val="en-AU"/>
        </w:rPr>
        <w:t xml:space="preserve">to </w:t>
      </w:r>
      <w:r>
        <w:rPr>
          <w:lang w:val="en-AU"/>
        </w:rPr>
        <w:t xml:space="preserve">the </w:t>
      </w:r>
      <w:r>
        <w:rPr>
          <w:i/>
          <w:lang w:val="en-AU"/>
        </w:rPr>
        <w:t>Corporate 79 Cap</w:t>
      </w:r>
      <w:r>
        <w:rPr>
          <w:lang w:val="en-AU"/>
        </w:rPr>
        <w:t xml:space="preserve"> and </w:t>
      </w:r>
      <w:r>
        <w:rPr>
          <w:i/>
          <w:lang w:val="en-AU"/>
        </w:rPr>
        <w:t>Corporate 179 Cap pricing plans</w:t>
      </w:r>
      <w:r>
        <w:rPr>
          <w:i/>
          <w:snapToGrid w:val="0"/>
          <w:lang w:val="en-AU"/>
        </w:rPr>
        <w:t xml:space="preserve"> you</w:t>
      </w:r>
      <w:r>
        <w:rPr>
          <w:snapToGrid w:val="0"/>
          <w:lang w:val="en-AU"/>
        </w:rPr>
        <w:t xml:space="preserve"> must agree to enter into a </w:t>
      </w:r>
      <w:r>
        <w:rPr>
          <w:i/>
          <w:snapToGrid w:val="0"/>
          <w:lang w:val="en-AU"/>
        </w:rPr>
        <w:t>fixed length agreement</w:t>
      </w:r>
      <w:r>
        <w:rPr>
          <w:lang w:val="en-AU"/>
        </w:rPr>
        <w:t xml:space="preserve"> for a </w:t>
      </w:r>
      <w:r>
        <w:rPr>
          <w:i/>
          <w:lang w:val="en-AU"/>
        </w:rPr>
        <w:t>minimum term</w:t>
      </w:r>
      <w:r>
        <w:rPr>
          <w:lang w:val="en-AU"/>
        </w:rPr>
        <w:t xml:space="preserve"> of 12 or 24 months.</w:t>
      </w:r>
    </w:p>
    <w:p w14:paraId="1CA3B75C" w14:textId="77777777" w:rsidR="000D07EA" w:rsidRDefault="00BE7C89">
      <w:pPr>
        <w:pStyle w:val="Heading6"/>
        <w:ind w:left="0" w:firstLine="0"/>
        <w:rPr>
          <w:lang w:val="en-AU"/>
        </w:rPr>
      </w:pPr>
      <w:bookmarkStart w:id="31" w:name="_Toc219870321"/>
      <w:bookmarkStart w:id="32" w:name="_Toc397940925"/>
      <w:r>
        <w:rPr>
          <w:lang w:val="en-AU"/>
        </w:rPr>
        <w:lastRenderedPageBreak/>
        <w:t xml:space="preserve">What </w:t>
      </w:r>
      <w:r>
        <w:rPr>
          <w:i/>
          <w:lang w:val="en-AU"/>
        </w:rPr>
        <w:t xml:space="preserve">you </w:t>
      </w:r>
      <w:r>
        <w:rPr>
          <w:lang w:val="en-AU"/>
        </w:rPr>
        <w:t xml:space="preserve">have to pay </w:t>
      </w:r>
      <w:r>
        <w:rPr>
          <w:i/>
          <w:lang w:val="en-AU"/>
        </w:rPr>
        <w:t>us</w:t>
      </w:r>
      <w:bookmarkEnd w:id="31"/>
      <w:bookmarkEnd w:id="32"/>
    </w:p>
    <w:p w14:paraId="4FBE0F0D" w14:textId="77777777" w:rsidR="000D07EA" w:rsidRDefault="00BE7C89">
      <w:pPr>
        <w:pStyle w:val="Heading7"/>
        <w:rPr>
          <w:lang w:val="en-AU"/>
        </w:rPr>
      </w:pPr>
      <w:r>
        <w:rPr>
          <w:lang w:val="en-AU"/>
        </w:rPr>
        <w:t xml:space="preserve">The minimum total cost of the </w:t>
      </w:r>
      <w:r>
        <w:rPr>
          <w:i/>
          <w:lang w:val="en-AU"/>
        </w:rPr>
        <w:t xml:space="preserve">Corporate 79 Cap </w:t>
      </w:r>
      <w:r>
        <w:rPr>
          <w:lang w:val="en-AU"/>
        </w:rPr>
        <w:t>or</w:t>
      </w:r>
      <w:r>
        <w:rPr>
          <w:i/>
          <w:lang w:val="en-AU"/>
        </w:rPr>
        <w:t xml:space="preserve"> </w:t>
      </w:r>
      <w:r>
        <w:rPr>
          <w:lang w:val="en-AU"/>
        </w:rPr>
        <w:t xml:space="preserve">the </w:t>
      </w:r>
      <w:r>
        <w:rPr>
          <w:i/>
          <w:lang w:val="en-AU"/>
        </w:rPr>
        <w:t xml:space="preserve">Corporate 179 Cap </w:t>
      </w:r>
      <w:r>
        <w:rPr>
          <w:lang w:val="en-AU"/>
        </w:rPr>
        <w:t xml:space="preserve">24 month </w:t>
      </w:r>
      <w:r>
        <w:rPr>
          <w:i/>
          <w:lang w:val="en-AU"/>
        </w:rPr>
        <w:t>minimum term</w:t>
      </w:r>
      <w:r>
        <w:rPr>
          <w:lang w:val="en-AU"/>
        </w:rPr>
        <w:t xml:space="preserve"> </w:t>
      </w:r>
      <w:r>
        <w:rPr>
          <w:i/>
          <w:lang w:val="en-AU"/>
        </w:rPr>
        <w:t xml:space="preserve">pricing plans </w:t>
      </w:r>
      <w:r>
        <w:rPr>
          <w:lang w:val="en-AU"/>
        </w:rPr>
        <w:t xml:space="preserve">is $545.45 ($600). The minimum total cost of the </w:t>
      </w:r>
      <w:r>
        <w:rPr>
          <w:i/>
          <w:lang w:val="en-AU"/>
        </w:rPr>
        <w:t>Corporate 79 Cap</w:t>
      </w:r>
      <w:r>
        <w:rPr>
          <w:lang w:val="en-AU"/>
        </w:rPr>
        <w:t xml:space="preserve"> or the </w:t>
      </w:r>
      <w:r>
        <w:rPr>
          <w:i/>
          <w:lang w:val="en-AU"/>
        </w:rPr>
        <w:t>Corporate 179 Cap</w:t>
      </w:r>
      <w:r>
        <w:rPr>
          <w:lang w:val="en-AU"/>
        </w:rPr>
        <w:t xml:space="preserve"> 12 month </w:t>
      </w:r>
      <w:r>
        <w:rPr>
          <w:i/>
          <w:lang w:val="en-AU"/>
        </w:rPr>
        <w:t>minimum term</w:t>
      </w:r>
      <w:r>
        <w:rPr>
          <w:lang w:val="en-AU"/>
        </w:rPr>
        <w:t xml:space="preserve"> </w:t>
      </w:r>
      <w:r>
        <w:rPr>
          <w:i/>
          <w:lang w:val="en-AU"/>
        </w:rPr>
        <w:t xml:space="preserve">pricing plans </w:t>
      </w:r>
      <w:r>
        <w:rPr>
          <w:lang w:val="en-AU"/>
        </w:rPr>
        <w:t>is $272.73 ($300).</w:t>
      </w:r>
    </w:p>
    <w:p w14:paraId="49543C44" w14:textId="77777777" w:rsidR="000D07EA" w:rsidRDefault="00BE7C89">
      <w:pPr>
        <w:pStyle w:val="Heading7"/>
        <w:rPr>
          <w:lang w:val="en-AU"/>
        </w:rPr>
      </w:pPr>
      <w:r>
        <w:rPr>
          <w:lang w:val="en-AU"/>
        </w:rPr>
        <w:t xml:space="preserve">The </w:t>
      </w:r>
      <w:r>
        <w:rPr>
          <w:i/>
          <w:lang w:val="en-AU"/>
        </w:rPr>
        <w:t>Corporate 7</w:t>
      </w:r>
      <w:r>
        <w:rPr>
          <w:lang w:val="en-AU"/>
        </w:rPr>
        <w:t xml:space="preserve">9 </w:t>
      </w:r>
      <w:r>
        <w:rPr>
          <w:i/>
          <w:lang w:val="en-AU"/>
        </w:rPr>
        <w:t>Cap</w:t>
      </w:r>
      <w:r>
        <w:rPr>
          <w:lang w:val="en-AU"/>
        </w:rPr>
        <w:t xml:space="preserve"> and the </w:t>
      </w:r>
      <w:r>
        <w:rPr>
          <w:i/>
          <w:lang w:val="en-AU"/>
        </w:rPr>
        <w:t>Corporate 179 Cap</w:t>
      </w:r>
      <w:r>
        <w:rPr>
          <w:lang w:val="en-AU"/>
        </w:rPr>
        <w:t xml:space="preserve"> </w:t>
      </w:r>
      <w:r>
        <w:rPr>
          <w:i/>
          <w:lang w:val="en-AU"/>
        </w:rPr>
        <w:t xml:space="preserve">pricing plans </w:t>
      </w:r>
      <w:r>
        <w:rPr>
          <w:lang w:val="en-AU"/>
        </w:rPr>
        <w:t xml:space="preserve">each have a minimum monthly spend of $22.73 ($25). </w:t>
      </w:r>
      <w:r>
        <w:rPr>
          <w:i/>
          <w:lang w:val="en-AU"/>
        </w:rPr>
        <w:t xml:space="preserve">You </w:t>
      </w:r>
      <w:r>
        <w:rPr>
          <w:lang w:val="en-AU"/>
        </w:rPr>
        <w:t xml:space="preserve">will be charged this minimum spend even if </w:t>
      </w:r>
      <w:r>
        <w:rPr>
          <w:i/>
          <w:lang w:val="en-AU"/>
        </w:rPr>
        <w:t xml:space="preserve">you </w:t>
      </w:r>
      <w:r>
        <w:rPr>
          <w:lang w:val="en-AU"/>
        </w:rPr>
        <w:t xml:space="preserve">do not make $22.73 ($25) worth of calls each month. The minimum monthly spend can be made up of voice calls, SMS and MMS. It excludes some call types such as </w:t>
      </w:r>
      <w:r>
        <w:rPr>
          <w:i/>
          <w:lang w:val="en-AU"/>
        </w:rPr>
        <w:t>roaming</w:t>
      </w:r>
      <w:r>
        <w:rPr>
          <w:lang w:val="en-AU"/>
        </w:rPr>
        <w:t>, Directory Assistance, Group SMS and 1900 calls.</w:t>
      </w:r>
    </w:p>
    <w:p w14:paraId="3F98CEAD" w14:textId="77777777" w:rsidR="000D07EA" w:rsidRDefault="00BE7C89">
      <w:pPr>
        <w:pStyle w:val="Heading6"/>
        <w:ind w:left="0" w:firstLine="0"/>
        <w:rPr>
          <w:lang w:val="en-AU"/>
        </w:rPr>
      </w:pPr>
      <w:bookmarkStart w:id="33" w:name="_Toc219870322"/>
      <w:bookmarkStart w:id="34" w:name="_Toc397940926"/>
      <w:r>
        <w:rPr>
          <w:lang w:val="en-AU"/>
        </w:rPr>
        <w:t>Pricing</w:t>
      </w:r>
      <w:bookmarkEnd w:id="33"/>
      <w:bookmarkEnd w:id="34"/>
    </w:p>
    <w:p w14:paraId="643D91BF" w14:textId="77777777" w:rsidR="000D07EA" w:rsidRDefault="00BE7C89">
      <w:pPr>
        <w:pStyle w:val="Heading7"/>
        <w:rPr>
          <w:lang w:val="en-AU"/>
        </w:rPr>
      </w:pPr>
      <w:r>
        <w:rPr>
          <w:lang w:val="en-AU"/>
        </w:rPr>
        <w:t xml:space="preserve">The </w:t>
      </w:r>
      <w:r>
        <w:rPr>
          <w:i/>
          <w:lang w:val="en-AU"/>
        </w:rPr>
        <w:t>Corporate 79 Cap pricing plan</w:t>
      </w:r>
      <w:r>
        <w:rPr>
          <w:lang w:val="en-AU"/>
        </w:rPr>
        <w:t xml:space="preserve"> and the </w:t>
      </w:r>
      <w:r>
        <w:rPr>
          <w:i/>
          <w:lang w:val="en-AU"/>
        </w:rPr>
        <w:t>Corporate 179 Cap</w:t>
      </w:r>
      <w:r>
        <w:rPr>
          <w:lang w:val="en-AU"/>
        </w:rPr>
        <w:t xml:space="preserve"> </w:t>
      </w:r>
      <w:r>
        <w:rPr>
          <w:i/>
          <w:lang w:val="en-AU"/>
        </w:rPr>
        <w:t>pricing plan</w:t>
      </w:r>
      <w:r>
        <w:rPr>
          <w:lang w:val="en-AU"/>
        </w:rPr>
        <w:t xml:space="preserve"> each include </w:t>
      </w:r>
      <w:r>
        <w:rPr>
          <w:i/>
          <w:lang w:val="en-AU"/>
        </w:rPr>
        <w:t xml:space="preserve">flagfall </w:t>
      </w:r>
      <w:r>
        <w:rPr>
          <w:lang w:val="en-AU"/>
        </w:rPr>
        <w:t xml:space="preserve">per call, as specified in the below table, for all calls made. So the charge for calls made is the </w:t>
      </w:r>
      <w:r>
        <w:rPr>
          <w:i/>
          <w:lang w:val="en-AU"/>
        </w:rPr>
        <w:t xml:space="preserve">flagfall </w:t>
      </w:r>
      <w:r>
        <w:rPr>
          <w:lang w:val="en-AU"/>
        </w:rPr>
        <w:t>plus the relevant rate multiplied by the duration of the call.</w:t>
      </w: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428"/>
        <w:gridCol w:w="4185"/>
      </w:tblGrid>
      <w:tr w:rsidR="000D07EA" w14:paraId="71550D6E" w14:textId="77777777">
        <w:tc>
          <w:tcPr>
            <w:tcW w:w="4428" w:type="dxa"/>
          </w:tcPr>
          <w:p w14:paraId="290D307E" w14:textId="77777777" w:rsidR="000D07EA" w:rsidRDefault="000D07EA">
            <w:pPr>
              <w:pStyle w:val="BodyText"/>
              <w:spacing w:before="100" w:after="100"/>
              <w:rPr>
                <w:b/>
                <w:lang w:val="en-AU" w:eastAsia="en-AU"/>
              </w:rPr>
            </w:pPr>
          </w:p>
        </w:tc>
        <w:tc>
          <w:tcPr>
            <w:tcW w:w="4185" w:type="dxa"/>
          </w:tcPr>
          <w:p w14:paraId="7A0A1F05" w14:textId="77777777" w:rsidR="000D07EA" w:rsidRDefault="00BE7C89">
            <w:pPr>
              <w:pStyle w:val="BodyText"/>
              <w:spacing w:before="100" w:after="100"/>
              <w:rPr>
                <w:b/>
                <w:szCs w:val="20"/>
              </w:rPr>
            </w:pPr>
            <w:r>
              <w:rPr>
                <w:b/>
                <w:szCs w:val="20"/>
              </w:rPr>
              <w:t>Corporate 79 Cap Plan and Corporate 179 Cap Plan</w:t>
            </w:r>
          </w:p>
        </w:tc>
      </w:tr>
      <w:tr w:rsidR="000D07EA" w14:paraId="57507289" w14:textId="77777777">
        <w:tc>
          <w:tcPr>
            <w:tcW w:w="4428" w:type="dxa"/>
          </w:tcPr>
          <w:p w14:paraId="66F136A9" w14:textId="77777777" w:rsidR="000D07EA" w:rsidRDefault="00BE7C89">
            <w:pPr>
              <w:pStyle w:val="BodyText"/>
              <w:spacing w:before="100" w:after="100"/>
              <w:rPr>
                <w:b/>
                <w:szCs w:val="20"/>
              </w:rPr>
            </w:pPr>
            <w:r>
              <w:rPr>
                <w:b/>
                <w:szCs w:val="20"/>
              </w:rPr>
              <w:t>Minimum monthly charge</w:t>
            </w:r>
          </w:p>
        </w:tc>
        <w:tc>
          <w:tcPr>
            <w:tcW w:w="4185" w:type="dxa"/>
          </w:tcPr>
          <w:p w14:paraId="4ECADB6B" w14:textId="77777777" w:rsidR="000D07EA" w:rsidRDefault="00BE7C89">
            <w:pPr>
              <w:pStyle w:val="BodyText"/>
              <w:spacing w:before="100" w:after="100"/>
              <w:rPr>
                <w:szCs w:val="20"/>
              </w:rPr>
            </w:pPr>
            <w:r>
              <w:rPr>
                <w:szCs w:val="20"/>
              </w:rPr>
              <w:t>$22.73 ($25.00)</w:t>
            </w:r>
          </w:p>
        </w:tc>
      </w:tr>
      <w:tr w:rsidR="000D07EA" w14:paraId="316A9F58" w14:textId="77777777">
        <w:tc>
          <w:tcPr>
            <w:tcW w:w="4428" w:type="dxa"/>
          </w:tcPr>
          <w:p w14:paraId="4446C35E" w14:textId="77777777" w:rsidR="000D07EA" w:rsidRDefault="00BE7C89">
            <w:pPr>
              <w:pStyle w:val="BodyText"/>
              <w:spacing w:before="100" w:after="100"/>
              <w:rPr>
                <w:b/>
                <w:szCs w:val="20"/>
              </w:rPr>
            </w:pPr>
            <w:r>
              <w:rPr>
                <w:b/>
                <w:szCs w:val="20"/>
              </w:rPr>
              <w:t xml:space="preserve">Voice and SMS spend between $71.82 ($79) and $454.55 ($500) (for the </w:t>
            </w:r>
            <w:r>
              <w:rPr>
                <w:b/>
                <w:i/>
                <w:szCs w:val="20"/>
              </w:rPr>
              <w:t>Corporate 79 Cap</w:t>
            </w:r>
            <w:r>
              <w:rPr>
                <w:b/>
                <w:szCs w:val="20"/>
              </w:rPr>
              <w:t xml:space="preserve"> Plan)</w:t>
            </w:r>
          </w:p>
          <w:p w14:paraId="69C1BF91" w14:textId="77777777" w:rsidR="000D07EA" w:rsidRDefault="00BE7C89">
            <w:pPr>
              <w:pStyle w:val="BodyText"/>
              <w:spacing w:before="100" w:after="100"/>
              <w:rPr>
                <w:b/>
                <w:szCs w:val="20"/>
              </w:rPr>
            </w:pPr>
            <w:r>
              <w:rPr>
                <w:b/>
                <w:szCs w:val="20"/>
              </w:rPr>
              <w:t xml:space="preserve">Voice and SMS spend between $162.73 ($179) and $1,090.91 ($1,200) (for the </w:t>
            </w:r>
            <w:r>
              <w:rPr>
                <w:b/>
                <w:i/>
                <w:szCs w:val="20"/>
              </w:rPr>
              <w:t>Corporate 179 Cap</w:t>
            </w:r>
            <w:r>
              <w:rPr>
                <w:b/>
                <w:szCs w:val="20"/>
              </w:rPr>
              <w:t xml:space="preserve"> Plan)</w:t>
            </w:r>
          </w:p>
        </w:tc>
        <w:tc>
          <w:tcPr>
            <w:tcW w:w="4185" w:type="dxa"/>
          </w:tcPr>
          <w:p w14:paraId="48DF1663" w14:textId="77777777" w:rsidR="000D07EA" w:rsidRDefault="00BE7C89">
            <w:pPr>
              <w:pStyle w:val="BodyText"/>
              <w:spacing w:before="100" w:after="100"/>
              <w:rPr>
                <w:szCs w:val="20"/>
              </w:rPr>
            </w:pPr>
            <w:r>
              <w:rPr>
                <w:szCs w:val="20"/>
              </w:rPr>
              <w:t>Voice calls and Standard Text Messages $0.00</w:t>
            </w:r>
          </w:p>
        </w:tc>
      </w:tr>
      <w:tr w:rsidR="000D07EA" w14:paraId="114D197E" w14:textId="77777777">
        <w:tc>
          <w:tcPr>
            <w:tcW w:w="4428" w:type="dxa"/>
          </w:tcPr>
          <w:p w14:paraId="626FC277" w14:textId="77777777" w:rsidR="000D07EA" w:rsidRDefault="00BE7C89">
            <w:pPr>
              <w:pStyle w:val="BodyText"/>
              <w:spacing w:before="100" w:after="100"/>
              <w:rPr>
                <w:szCs w:val="20"/>
              </w:rPr>
            </w:pPr>
            <w:r>
              <w:rPr>
                <w:b/>
                <w:szCs w:val="20"/>
              </w:rPr>
              <w:t>Voice call charges</w:t>
            </w:r>
            <w:r>
              <w:rPr>
                <w:szCs w:val="20"/>
              </w:rPr>
              <w:t xml:space="preserve"> (per 30 seconds)</w:t>
            </w:r>
          </w:p>
        </w:tc>
        <w:tc>
          <w:tcPr>
            <w:tcW w:w="4185" w:type="dxa"/>
          </w:tcPr>
          <w:p w14:paraId="748444B7" w14:textId="77777777" w:rsidR="000D07EA" w:rsidRDefault="00BE7C89">
            <w:pPr>
              <w:pStyle w:val="BodyText"/>
              <w:spacing w:before="100" w:after="100"/>
              <w:rPr>
                <w:szCs w:val="20"/>
              </w:rPr>
            </w:pPr>
            <w:r>
              <w:rPr>
                <w:szCs w:val="20"/>
              </w:rPr>
              <w:t>$0.272 ($0.30)</w:t>
            </w:r>
          </w:p>
        </w:tc>
      </w:tr>
      <w:tr w:rsidR="000D07EA" w14:paraId="441CED71" w14:textId="77777777">
        <w:tc>
          <w:tcPr>
            <w:tcW w:w="4428" w:type="dxa"/>
          </w:tcPr>
          <w:p w14:paraId="55D7B7BC" w14:textId="77777777" w:rsidR="000D07EA" w:rsidRDefault="00BE7C89">
            <w:pPr>
              <w:pStyle w:val="BodyText"/>
              <w:spacing w:before="100" w:after="100"/>
              <w:rPr>
                <w:b/>
                <w:szCs w:val="20"/>
              </w:rPr>
            </w:pPr>
            <w:r>
              <w:rPr>
                <w:b/>
                <w:szCs w:val="20"/>
              </w:rPr>
              <w:t>SMS Charges</w:t>
            </w:r>
          </w:p>
        </w:tc>
        <w:tc>
          <w:tcPr>
            <w:tcW w:w="4185" w:type="dxa"/>
          </w:tcPr>
          <w:p w14:paraId="4FB093A4" w14:textId="77777777" w:rsidR="000D07EA" w:rsidRDefault="00BE7C89">
            <w:pPr>
              <w:pStyle w:val="BodyText"/>
              <w:spacing w:before="100" w:after="100"/>
              <w:rPr>
                <w:szCs w:val="20"/>
              </w:rPr>
            </w:pPr>
            <w:r>
              <w:rPr>
                <w:szCs w:val="20"/>
              </w:rPr>
              <w:t>$0.227 ($0.25)</w:t>
            </w:r>
          </w:p>
        </w:tc>
      </w:tr>
      <w:tr w:rsidR="000D07EA" w14:paraId="16729D6B" w14:textId="77777777">
        <w:tc>
          <w:tcPr>
            <w:tcW w:w="4428" w:type="dxa"/>
          </w:tcPr>
          <w:p w14:paraId="24CDF35A" w14:textId="77777777" w:rsidR="000D07EA" w:rsidRDefault="00BE7C89">
            <w:pPr>
              <w:pStyle w:val="BodyText"/>
              <w:spacing w:before="100" w:after="100"/>
              <w:rPr>
                <w:b/>
                <w:i/>
                <w:szCs w:val="20"/>
              </w:rPr>
            </w:pPr>
            <w:r>
              <w:rPr>
                <w:b/>
                <w:i/>
                <w:szCs w:val="20"/>
              </w:rPr>
              <w:t>Flagfall</w:t>
            </w:r>
          </w:p>
        </w:tc>
        <w:tc>
          <w:tcPr>
            <w:tcW w:w="4185" w:type="dxa"/>
          </w:tcPr>
          <w:p w14:paraId="0BFD7B5F" w14:textId="77777777" w:rsidR="000D07EA" w:rsidRDefault="00BE7C89">
            <w:pPr>
              <w:pStyle w:val="BodyText"/>
              <w:spacing w:before="100" w:after="100"/>
              <w:rPr>
                <w:szCs w:val="20"/>
              </w:rPr>
            </w:pPr>
            <w:r>
              <w:rPr>
                <w:szCs w:val="20"/>
              </w:rPr>
              <w:t>$0.227 ($0.25)</w:t>
            </w:r>
          </w:p>
        </w:tc>
      </w:tr>
    </w:tbl>
    <w:p w14:paraId="460DC44C" w14:textId="77777777" w:rsidR="000D07EA" w:rsidRDefault="000D07EA">
      <w:pPr>
        <w:pStyle w:val="BodyText"/>
      </w:pPr>
    </w:p>
    <w:p w14:paraId="19307AD1" w14:textId="77777777" w:rsidR="000D07EA" w:rsidRDefault="00BE7C89">
      <w:pPr>
        <w:pStyle w:val="Heading7"/>
        <w:rPr>
          <w:snapToGrid w:val="0"/>
          <w:lang w:val="en-AU"/>
        </w:rPr>
      </w:pPr>
      <w:r>
        <w:rPr>
          <w:lang w:val="en-AU"/>
        </w:rPr>
        <w:t>$79 Cap:</w:t>
      </w:r>
      <w:r>
        <w:rPr>
          <w:b/>
          <w:lang w:val="en-AU"/>
        </w:rPr>
        <w:t xml:space="preserve"> </w:t>
      </w:r>
      <w:r>
        <w:rPr>
          <w:snapToGrid w:val="0"/>
          <w:lang w:val="en-AU"/>
        </w:rPr>
        <w:t xml:space="preserve">If </w:t>
      </w:r>
      <w:r>
        <w:rPr>
          <w:i/>
          <w:snapToGrid w:val="0"/>
          <w:lang w:val="en-AU"/>
        </w:rPr>
        <w:t xml:space="preserve">you </w:t>
      </w:r>
      <w:r>
        <w:rPr>
          <w:snapToGrid w:val="0"/>
          <w:lang w:val="en-AU"/>
        </w:rPr>
        <w:t xml:space="preserve">choose the </w:t>
      </w:r>
      <w:r>
        <w:rPr>
          <w:i/>
          <w:lang w:val="en-AU"/>
        </w:rPr>
        <w:t>Corporate 79 Cap pricing plan</w:t>
      </w:r>
      <w:r>
        <w:rPr>
          <w:lang w:val="en-AU"/>
        </w:rPr>
        <w:t xml:space="preserve"> </w:t>
      </w:r>
      <w:r>
        <w:rPr>
          <w:i/>
          <w:lang w:val="en-AU"/>
        </w:rPr>
        <w:t xml:space="preserve">you </w:t>
      </w:r>
      <w:r>
        <w:rPr>
          <w:snapToGrid w:val="0"/>
          <w:lang w:val="en-AU"/>
        </w:rPr>
        <w:t xml:space="preserve">will receive the $79 voice and SMS cap. For the voice and SMS cap offer, </w:t>
      </w:r>
      <w:r>
        <w:rPr>
          <w:i/>
          <w:snapToGrid w:val="0"/>
          <w:lang w:val="en-AU"/>
        </w:rPr>
        <w:t xml:space="preserve">you </w:t>
      </w:r>
      <w:r>
        <w:rPr>
          <w:snapToGrid w:val="0"/>
          <w:lang w:val="en-AU"/>
        </w:rPr>
        <w:t xml:space="preserve">pay the first $71.82 ($79) worth of voice calls and SMS messages each billing period, after which voice calls and text messages are free up to a maximum of $454.55 ($500) per billing period. If </w:t>
      </w:r>
      <w:r>
        <w:rPr>
          <w:i/>
          <w:snapToGrid w:val="0"/>
          <w:lang w:val="en-AU"/>
        </w:rPr>
        <w:t xml:space="preserve">you </w:t>
      </w:r>
      <w:r>
        <w:rPr>
          <w:snapToGrid w:val="0"/>
          <w:lang w:val="en-AU"/>
        </w:rPr>
        <w:t xml:space="preserve">exceed $454.55 ($500) worth of voice calls and text messages in any billing period, standard call and text rates of </w:t>
      </w:r>
      <w:r>
        <w:rPr>
          <w:i/>
          <w:snapToGrid w:val="0"/>
          <w:lang w:val="en-AU"/>
        </w:rPr>
        <w:t>your</w:t>
      </w:r>
      <w:r>
        <w:rPr>
          <w:snapToGrid w:val="0"/>
          <w:lang w:val="en-AU"/>
        </w:rPr>
        <w:t xml:space="preserve"> </w:t>
      </w:r>
      <w:r>
        <w:rPr>
          <w:i/>
          <w:snapToGrid w:val="0"/>
          <w:lang w:val="en-AU"/>
        </w:rPr>
        <w:t>pricing plan</w:t>
      </w:r>
      <w:r>
        <w:rPr>
          <w:snapToGrid w:val="0"/>
          <w:lang w:val="en-AU"/>
        </w:rPr>
        <w:t xml:space="preserve"> will apply. The voice and SMS Cap excludes some call types, including </w:t>
      </w:r>
      <w:r>
        <w:rPr>
          <w:i/>
          <w:snapToGrid w:val="0"/>
          <w:lang w:val="en-AU"/>
        </w:rPr>
        <w:t>roaming</w:t>
      </w:r>
      <w:r>
        <w:rPr>
          <w:snapToGrid w:val="0"/>
          <w:lang w:val="en-AU"/>
        </w:rPr>
        <w:t xml:space="preserve">, international voice calls, international, premium and Third Party SMS, MMS, International MMS, 1300, 1900. Use of these </w:t>
      </w:r>
      <w:r>
        <w:rPr>
          <w:i/>
          <w:snapToGrid w:val="0"/>
          <w:lang w:val="en-AU"/>
        </w:rPr>
        <w:t xml:space="preserve">valued added service features </w:t>
      </w:r>
      <w:r>
        <w:rPr>
          <w:snapToGrid w:val="0"/>
          <w:lang w:val="en-AU"/>
        </w:rPr>
        <w:t xml:space="preserve">may be charged to </w:t>
      </w:r>
      <w:r>
        <w:rPr>
          <w:i/>
          <w:snapToGrid w:val="0"/>
          <w:lang w:val="en-AU"/>
        </w:rPr>
        <w:t xml:space="preserve">you </w:t>
      </w:r>
      <w:r>
        <w:rPr>
          <w:snapToGrid w:val="0"/>
          <w:lang w:val="en-AU"/>
        </w:rPr>
        <w:t xml:space="preserve">on </w:t>
      </w:r>
      <w:r>
        <w:rPr>
          <w:i/>
          <w:snapToGrid w:val="0"/>
          <w:lang w:val="en-AU"/>
        </w:rPr>
        <w:t xml:space="preserve">your </w:t>
      </w:r>
      <w:r>
        <w:rPr>
          <w:snapToGrid w:val="0"/>
          <w:lang w:val="en-AU"/>
        </w:rPr>
        <w:t xml:space="preserve">bill up to 2 months after </w:t>
      </w:r>
      <w:r>
        <w:rPr>
          <w:i/>
          <w:snapToGrid w:val="0"/>
          <w:lang w:val="en-AU"/>
        </w:rPr>
        <w:t>services</w:t>
      </w:r>
      <w:r>
        <w:rPr>
          <w:snapToGrid w:val="0"/>
          <w:lang w:val="en-AU"/>
        </w:rPr>
        <w:t xml:space="preserve"> are used. Unused cap does not rollover into the following month.</w:t>
      </w:r>
    </w:p>
    <w:p w14:paraId="73E46A48" w14:textId="77777777" w:rsidR="000D07EA" w:rsidRDefault="00BE7C89">
      <w:pPr>
        <w:pStyle w:val="Heading7"/>
        <w:rPr>
          <w:lang w:val="en-AU"/>
        </w:rPr>
      </w:pPr>
      <w:r>
        <w:rPr>
          <w:lang w:val="en-AU"/>
        </w:rPr>
        <w:t xml:space="preserve">$179 Cap: </w:t>
      </w:r>
      <w:r>
        <w:rPr>
          <w:snapToGrid w:val="0"/>
          <w:lang w:val="en-AU"/>
        </w:rPr>
        <w:t xml:space="preserve">If </w:t>
      </w:r>
      <w:r>
        <w:rPr>
          <w:i/>
          <w:snapToGrid w:val="0"/>
          <w:lang w:val="en-AU"/>
        </w:rPr>
        <w:t xml:space="preserve">you </w:t>
      </w:r>
      <w:r>
        <w:rPr>
          <w:snapToGrid w:val="0"/>
          <w:lang w:val="en-AU"/>
        </w:rPr>
        <w:t xml:space="preserve">choose the </w:t>
      </w:r>
      <w:r>
        <w:rPr>
          <w:i/>
          <w:lang w:val="en-AU"/>
        </w:rPr>
        <w:t>Corporate 179 Cap pricing plan</w:t>
      </w:r>
      <w:r>
        <w:rPr>
          <w:lang w:val="en-AU"/>
        </w:rPr>
        <w:t xml:space="preserve"> </w:t>
      </w:r>
      <w:r>
        <w:rPr>
          <w:snapToGrid w:val="0"/>
          <w:lang w:val="en-AU"/>
        </w:rPr>
        <w:t xml:space="preserve">will receive the $179 voice and SMS cap. For the voice and SMS cap offer, </w:t>
      </w:r>
      <w:r>
        <w:rPr>
          <w:i/>
          <w:snapToGrid w:val="0"/>
          <w:lang w:val="en-AU"/>
        </w:rPr>
        <w:t xml:space="preserve">you </w:t>
      </w:r>
      <w:r>
        <w:rPr>
          <w:snapToGrid w:val="0"/>
          <w:lang w:val="en-AU"/>
        </w:rPr>
        <w:t xml:space="preserve">pay the first $162.73 ($179) worth of voice calls and SMS messages each billing period, after which voice calls and text messages are free up to a maximum of $1090.91 ($1,200) per billing period. If </w:t>
      </w:r>
      <w:r>
        <w:rPr>
          <w:i/>
          <w:snapToGrid w:val="0"/>
          <w:lang w:val="en-AU"/>
        </w:rPr>
        <w:t xml:space="preserve">you </w:t>
      </w:r>
      <w:r>
        <w:rPr>
          <w:snapToGrid w:val="0"/>
          <w:lang w:val="en-AU"/>
        </w:rPr>
        <w:t xml:space="preserve">exceed $1090.91 $1,200 worth of voice calls and text messages in any billing period, standard call and text rates of </w:t>
      </w:r>
      <w:r>
        <w:rPr>
          <w:i/>
          <w:snapToGrid w:val="0"/>
          <w:lang w:val="en-AU"/>
        </w:rPr>
        <w:t>your</w:t>
      </w:r>
      <w:r>
        <w:rPr>
          <w:snapToGrid w:val="0"/>
          <w:lang w:val="en-AU"/>
        </w:rPr>
        <w:t xml:space="preserve"> </w:t>
      </w:r>
      <w:r>
        <w:rPr>
          <w:i/>
          <w:snapToGrid w:val="0"/>
          <w:lang w:val="en-AU"/>
        </w:rPr>
        <w:t>pricing plan</w:t>
      </w:r>
      <w:r>
        <w:rPr>
          <w:snapToGrid w:val="0"/>
          <w:lang w:val="en-AU"/>
        </w:rPr>
        <w:t xml:space="preserve"> will apply. The voice and SMS Cap excludes some call types, including </w:t>
      </w:r>
      <w:r>
        <w:rPr>
          <w:i/>
          <w:snapToGrid w:val="0"/>
          <w:lang w:val="en-AU"/>
        </w:rPr>
        <w:t>roaming</w:t>
      </w:r>
      <w:r>
        <w:rPr>
          <w:snapToGrid w:val="0"/>
          <w:lang w:val="en-AU"/>
        </w:rPr>
        <w:t xml:space="preserve">, international voice calls, international, premium and Third Party SMS, MMS, International MMS, 1300, 1900. Use of these </w:t>
      </w:r>
      <w:r>
        <w:rPr>
          <w:i/>
          <w:snapToGrid w:val="0"/>
          <w:lang w:val="en-AU"/>
        </w:rPr>
        <w:t xml:space="preserve">value added service features </w:t>
      </w:r>
      <w:r>
        <w:rPr>
          <w:snapToGrid w:val="0"/>
          <w:lang w:val="en-AU"/>
        </w:rPr>
        <w:t xml:space="preserve">may be charged </w:t>
      </w:r>
      <w:r>
        <w:rPr>
          <w:i/>
          <w:snapToGrid w:val="0"/>
          <w:lang w:val="en-AU"/>
        </w:rPr>
        <w:t xml:space="preserve">you </w:t>
      </w:r>
      <w:r>
        <w:rPr>
          <w:snapToGrid w:val="0"/>
          <w:lang w:val="en-AU"/>
        </w:rPr>
        <w:t xml:space="preserve">on </w:t>
      </w:r>
      <w:r>
        <w:rPr>
          <w:i/>
          <w:snapToGrid w:val="0"/>
          <w:lang w:val="en-AU"/>
        </w:rPr>
        <w:t>your</w:t>
      </w:r>
      <w:r>
        <w:rPr>
          <w:snapToGrid w:val="0"/>
          <w:lang w:val="en-AU"/>
        </w:rPr>
        <w:t xml:space="preserve"> bill up to 2 months after use. Unused cap does not rollover into the following month.</w:t>
      </w:r>
    </w:p>
    <w:p w14:paraId="1CCE3B81" w14:textId="77777777" w:rsidR="000D07EA" w:rsidRDefault="00BE7C89">
      <w:pPr>
        <w:pStyle w:val="Heading6"/>
        <w:ind w:left="0" w:firstLine="0"/>
        <w:rPr>
          <w:lang w:val="en-AU"/>
        </w:rPr>
      </w:pPr>
      <w:bookmarkStart w:id="35" w:name="_Toc219870323"/>
      <w:bookmarkStart w:id="36" w:name="_Toc397940927"/>
      <w:r>
        <w:rPr>
          <w:lang w:val="en-AU"/>
        </w:rPr>
        <w:t>Credit bonus</w:t>
      </w:r>
      <w:bookmarkEnd w:id="35"/>
      <w:bookmarkEnd w:id="36"/>
    </w:p>
    <w:p w14:paraId="2ECD7458" w14:textId="77777777" w:rsidR="000D07EA" w:rsidRDefault="00BE7C89">
      <w:pPr>
        <w:pStyle w:val="BodyText"/>
        <w:ind w:left="720"/>
        <w:rPr>
          <w:lang w:val="en-AU"/>
        </w:rPr>
      </w:pPr>
      <w:r>
        <w:rPr>
          <w:snapToGrid w:val="0"/>
          <w:lang w:val="en-AU"/>
        </w:rPr>
        <w:t xml:space="preserve">A credit bonus of $71.82 ($79) is available on the </w:t>
      </w:r>
      <w:r>
        <w:rPr>
          <w:i/>
          <w:snapToGrid w:val="0"/>
          <w:lang w:val="en-AU"/>
        </w:rPr>
        <w:t xml:space="preserve">Corporate 79 </w:t>
      </w:r>
      <w:r>
        <w:rPr>
          <w:snapToGrid w:val="0"/>
          <w:lang w:val="en-AU"/>
        </w:rPr>
        <w:t xml:space="preserve">Cap 24 month </w:t>
      </w:r>
      <w:r>
        <w:rPr>
          <w:i/>
          <w:snapToGrid w:val="0"/>
          <w:lang w:val="en-AU"/>
        </w:rPr>
        <w:t>pricing plan</w:t>
      </w:r>
      <w:r>
        <w:rPr>
          <w:snapToGrid w:val="0"/>
          <w:lang w:val="en-AU"/>
        </w:rPr>
        <w:t xml:space="preserve"> and $162.73 ($179) on the </w:t>
      </w:r>
      <w:r>
        <w:rPr>
          <w:i/>
          <w:snapToGrid w:val="0"/>
          <w:lang w:val="en-AU"/>
        </w:rPr>
        <w:t>Corporate 179 Cap</w:t>
      </w:r>
      <w:r>
        <w:rPr>
          <w:snapToGrid w:val="0"/>
          <w:lang w:val="en-AU"/>
        </w:rPr>
        <w:t xml:space="preserve"> 24 month </w:t>
      </w:r>
      <w:r>
        <w:rPr>
          <w:i/>
          <w:snapToGrid w:val="0"/>
          <w:lang w:val="en-AU"/>
        </w:rPr>
        <w:t>pricing plan</w:t>
      </w:r>
      <w:r>
        <w:rPr>
          <w:snapToGrid w:val="0"/>
          <w:lang w:val="en-AU"/>
        </w:rPr>
        <w:t xml:space="preserve">. The bonus will be paid within three months of </w:t>
      </w:r>
      <w:r>
        <w:rPr>
          <w:snapToGrid w:val="0"/>
          <w:lang w:val="en-AU"/>
        </w:rPr>
        <w:lastRenderedPageBreak/>
        <w:t xml:space="preserve">account activation. This credit is not redeemable for cash or refundable at </w:t>
      </w:r>
      <w:r>
        <w:rPr>
          <w:i/>
          <w:snapToGrid w:val="0"/>
          <w:lang w:val="en-AU"/>
        </w:rPr>
        <w:t xml:space="preserve">cancellation </w:t>
      </w:r>
      <w:r>
        <w:rPr>
          <w:snapToGrid w:val="0"/>
          <w:lang w:val="en-AU"/>
        </w:rPr>
        <w:t xml:space="preserve">of </w:t>
      </w:r>
      <w:r>
        <w:rPr>
          <w:i/>
          <w:snapToGrid w:val="0"/>
          <w:lang w:val="en-AU"/>
        </w:rPr>
        <w:t>your agreement</w:t>
      </w:r>
      <w:r>
        <w:rPr>
          <w:snapToGrid w:val="0"/>
          <w:lang w:val="en-AU"/>
        </w:rPr>
        <w:t>. The bonus is only payable once to</w:t>
      </w:r>
      <w:r>
        <w:rPr>
          <w:i/>
          <w:snapToGrid w:val="0"/>
          <w:lang w:val="en-AU"/>
        </w:rPr>
        <w:t xml:space="preserve"> you </w:t>
      </w:r>
      <w:r>
        <w:rPr>
          <w:snapToGrid w:val="0"/>
          <w:lang w:val="en-AU"/>
        </w:rPr>
        <w:t>in any 24 month period.</w:t>
      </w:r>
    </w:p>
    <w:p w14:paraId="1AF51B74" w14:textId="77777777" w:rsidR="000D07EA" w:rsidRDefault="00BE7C89">
      <w:pPr>
        <w:pStyle w:val="Heading6"/>
        <w:ind w:left="0" w:firstLine="0"/>
        <w:rPr>
          <w:lang w:val="en-AU"/>
        </w:rPr>
      </w:pPr>
      <w:bookmarkStart w:id="37" w:name="_Toc219870324"/>
      <w:bookmarkStart w:id="38" w:name="_Toc397940928"/>
      <w:r>
        <w:rPr>
          <w:lang w:val="en-AU"/>
        </w:rPr>
        <w:t xml:space="preserve">What happens if the </w:t>
      </w:r>
      <w:r>
        <w:rPr>
          <w:i/>
          <w:lang w:val="en-AU"/>
        </w:rPr>
        <w:t xml:space="preserve">service </w:t>
      </w:r>
      <w:r>
        <w:rPr>
          <w:lang w:val="en-AU"/>
        </w:rPr>
        <w:t>is</w:t>
      </w:r>
      <w:r>
        <w:rPr>
          <w:i/>
          <w:lang w:val="en-AU"/>
        </w:rPr>
        <w:t xml:space="preserve"> cancelled </w:t>
      </w:r>
      <w:r>
        <w:rPr>
          <w:lang w:val="en-AU"/>
        </w:rPr>
        <w:t>early?</w:t>
      </w:r>
      <w:bookmarkEnd w:id="37"/>
      <w:bookmarkEnd w:id="38"/>
    </w:p>
    <w:p w14:paraId="482AEF8E" w14:textId="77777777" w:rsidR="000D07EA" w:rsidRDefault="00BE7C89">
      <w:pPr>
        <w:pStyle w:val="Heading7"/>
        <w:rPr>
          <w:lang w:val="en-AU"/>
        </w:rPr>
      </w:pPr>
      <w:r>
        <w:rPr>
          <w:lang w:val="en-AU"/>
        </w:rPr>
        <w:t xml:space="preserve">If </w:t>
      </w:r>
      <w:r>
        <w:rPr>
          <w:i/>
          <w:lang w:val="en-AU"/>
        </w:rPr>
        <w:t>the service</w:t>
      </w:r>
      <w:r>
        <w:rPr>
          <w:lang w:val="en-AU"/>
        </w:rPr>
        <w:t xml:space="preserve"> </w:t>
      </w:r>
      <w:r>
        <w:rPr>
          <w:i/>
          <w:lang w:val="en-AU"/>
        </w:rPr>
        <w:t xml:space="preserve">is cancelled </w:t>
      </w:r>
      <w:r>
        <w:rPr>
          <w:lang w:val="en-AU"/>
        </w:rPr>
        <w:t xml:space="preserve">before the expiry of the </w:t>
      </w:r>
      <w:r>
        <w:rPr>
          <w:i/>
          <w:lang w:val="en-AU"/>
        </w:rPr>
        <w:t xml:space="preserve">minimum term, you </w:t>
      </w:r>
      <w:r>
        <w:rPr>
          <w:lang w:val="en-AU"/>
        </w:rPr>
        <w:t xml:space="preserve">will be required to pay </w:t>
      </w:r>
      <w:r>
        <w:rPr>
          <w:i/>
          <w:lang w:val="en-AU"/>
        </w:rPr>
        <w:t>us</w:t>
      </w:r>
      <w:r>
        <w:rPr>
          <w:lang w:val="en-AU"/>
        </w:rPr>
        <w:t>:</w:t>
      </w:r>
    </w:p>
    <w:p w14:paraId="32350031" w14:textId="77777777" w:rsidR="000D07EA" w:rsidRDefault="00BE7C89">
      <w:pPr>
        <w:pStyle w:val="Heading8"/>
        <w:rPr>
          <w:lang w:val="en-AU"/>
        </w:rPr>
      </w:pPr>
      <w:r>
        <w:rPr>
          <w:lang w:val="en-AU"/>
        </w:rPr>
        <w:t xml:space="preserve">any usage charges incurred up to, and including, the </w:t>
      </w:r>
      <w:r>
        <w:rPr>
          <w:i/>
          <w:lang w:val="en-AU"/>
        </w:rPr>
        <w:t xml:space="preserve">cancellation date; </w:t>
      </w:r>
      <w:r>
        <w:rPr>
          <w:lang w:val="en-AU"/>
        </w:rPr>
        <w:t>plus</w:t>
      </w:r>
    </w:p>
    <w:p w14:paraId="365516F7" w14:textId="77777777" w:rsidR="000D07EA" w:rsidRDefault="00BE7C89">
      <w:pPr>
        <w:pStyle w:val="Heading8"/>
        <w:rPr>
          <w:szCs w:val="20"/>
          <w:lang w:val="en-AU"/>
        </w:rPr>
      </w:pPr>
      <w:r>
        <w:rPr>
          <w:szCs w:val="20"/>
          <w:lang w:val="en-AU"/>
        </w:rPr>
        <w:t xml:space="preserve">the </w:t>
      </w:r>
      <w:r>
        <w:rPr>
          <w:i/>
          <w:szCs w:val="20"/>
          <w:lang w:val="en-AU"/>
        </w:rPr>
        <w:t xml:space="preserve">cancellation fee </w:t>
      </w:r>
      <w:r>
        <w:rPr>
          <w:szCs w:val="20"/>
          <w:lang w:val="en-AU"/>
        </w:rPr>
        <w:t xml:space="preserve">calculated in paragraphs </w:t>
      </w:r>
      <w:r>
        <w:rPr>
          <w:szCs w:val="20"/>
          <w:lang w:val="en-AU"/>
        </w:rPr>
        <w:fldChar w:fldCharType="begin"/>
      </w:r>
      <w:r>
        <w:rPr>
          <w:szCs w:val="20"/>
          <w:lang w:val="en-AU"/>
        </w:rPr>
        <w:instrText xml:space="preserve"> REF _Ref461542090 \n \h </w:instrText>
      </w:r>
      <w:r>
        <w:rPr>
          <w:szCs w:val="20"/>
          <w:lang w:val="en-AU"/>
        </w:rPr>
      </w:r>
      <w:r>
        <w:rPr>
          <w:szCs w:val="20"/>
          <w:lang w:val="en-AU"/>
        </w:rPr>
        <w:fldChar w:fldCharType="separate"/>
      </w:r>
      <w:r w:rsidR="0004083A">
        <w:rPr>
          <w:szCs w:val="20"/>
          <w:lang w:val="en-AU"/>
        </w:rPr>
        <w:t>(b)</w:t>
      </w:r>
      <w:r>
        <w:rPr>
          <w:szCs w:val="20"/>
          <w:lang w:val="en-AU"/>
        </w:rPr>
        <w:fldChar w:fldCharType="end"/>
      </w:r>
      <w:r>
        <w:rPr>
          <w:szCs w:val="20"/>
          <w:lang w:val="en-AU"/>
        </w:rPr>
        <w:t xml:space="preserve"> and </w:t>
      </w:r>
      <w:r>
        <w:rPr>
          <w:szCs w:val="20"/>
          <w:lang w:val="en-AU"/>
        </w:rPr>
        <w:fldChar w:fldCharType="begin"/>
      </w:r>
      <w:r>
        <w:rPr>
          <w:szCs w:val="20"/>
          <w:lang w:val="en-AU"/>
        </w:rPr>
        <w:instrText xml:space="preserve"> REF _Ref461542093 \n \h </w:instrText>
      </w:r>
      <w:r>
        <w:rPr>
          <w:szCs w:val="20"/>
          <w:lang w:val="en-AU"/>
        </w:rPr>
      </w:r>
      <w:r>
        <w:rPr>
          <w:szCs w:val="20"/>
          <w:lang w:val="en-AU"/>
        </w:rPr>
        <w:fldChar w:fldCharType="separate"/>
      </w:r>
      <w:r w:rsidR="0004083A">
        <w:rPr>
          <w:szCs w:val="20"/>
          <w:lang w:val="en-AU"/>
        </w:rPr>
        <w:t>(c)</w:t>
      </w:r>
      <w:r>
        <w:rPr>
          <w:szCs w:val="20"/>
          <w:lang w:val="en-AU"/>
        </w:rPr>
        <w:fldChar w:fldCharType="end"/>
      </w:r>
      <w:r>
        <w:rPr>
          <w:szCs w:val="20"/>
          <w:lang w:val="en-AU"/>
        </w:rPr>
        <w:t xml:space="preserve"> below (unless under clause 2A of the </w:t>
      </w:r>
      <w:hyperlink r:id="rId20" w:history="1">
        <w:r>
          <w:rPr>
            <w:rStyle w:val="Hyperlink"/>
            <w:i/>
            <w:szCs w:val="20"/>
          </w:rPr>
          <w:t>SMB terms</w:t>
        </w:r>
      </w:hyperlink>
      <w:r>
        <w:rPr>
          <w:szCs w:val="20"/>
          <w:lang w:val="en-AU"/>
        </w:rPr>
        <w:t>, you are entitled to c</w:t>
      </w:r>
      <w:r>
        <w:rPr>
          <w:i/>
          <w:szCs w:val="20"/>
          <w:lang w:val="en-AU"/>
        </w:rPr>
        <w:t>ancel the service</w:t>
      </w:r>
      <w:r>
        <w:rPr>
          <w:szCs w:val="20"/>
          <w:lang w:val="en-AU"/>
        </w:rPr>
        <w:t xml:space="preserve"> without incurring a </w:t>
      </w:r>
      <w:r>
        <w:rPr>
          <w:i/>
          <w:szCs w:val="20"/>
          <w:lang w:val="en-AU"/>
        </w:rPr>
        <w:t>cancellation fee</w:t>
      </w:r>
      <w:r>
        <w:rPr>
          <w:szCs w:val="20"/>
          <w:lang w:val="en-AU"/>
        </w:rPr>
        <w:t>); plus</w:t>
      </w:r>
    </w:p>
    <w:p w14:paraId="795EE049" w14:textId="77777777" w:rsidR="000D07EA" w:rsidRDefault="00BE7C89">
      <w:pPr>
        <w:pStyle w:val="Heading8"/>
        <w:rPr>
          <w:szCs w:val="20"/>
          <w:lang w:val="en-AU"/>
        </w:rPr>
      </w:pPr>
      <w:r>
        <w:rPr>
          <w:szCs w:val="20"/>
          <w:lang w:val="en-AU"/>
        </w:rPr>
        <w:t xml:space="preserve">the sum of unpaid </w:t>
      </w:r>
      <w:r>
        <w:rPr>
          <w:i/>
          <w:szCs w:val="20"/>
          <w:lang w:val="en-AU"/>
        </w:rPr>
        <w:t>equipment charges</w:t>
      </w:r>
      <w:r>
        <w:rPr>
          <w:szCs w:val="20"/>
          <w:lang w:val="en-AU"/>
        </w:rPr>
        <w:t xml:space="preserve"> owing on </w:t>
      </w:r>
      <w:r>
        <w:rPr>
          <w:i/>
          <w:szCs w:val="20"/>
          <w:lang w:val="en-AU"/>
        </w:rPr>
        <w:t>your mobile phone</w:t>
      </w:r>
      <w:r>
        <w:rPr>
          <w:szCs w:val="20"/>
          <w:lang w:val="en-AU"/>
        </w:rPr>
        <w:t xml:space="preserve"> under the </w:t>
      </w:r>
      <w:r>
        <w:rPr>
          <w:i/>
          <w:szCs w:val="20"/>
          <w:lang w:val="en-AU"/>
        </w:rPr>
        <w:t>mobile equipment payment plan</w:t>
      </w:r>
      <w:r>
        <w:rPr>
          <w:szCs w:val="20"/>
          <w:lang w:val="en-AU"/>
        </w:rPr>
        <w:t xml:space="preserve"> (if any).</w:t>
      </w:r>
    </w:p>
    <w:p w14:paraId="47CF5990" w14:textId="77777777" w:rsidR="000D07EA" w:rsidRDefault="00BE7C89">
      <w:pPr>
        <w:pStyle w:val="Heading7"/>
        <w:rPr>
          <w:lang w:val="en-AU"/>
        </w:rPr>
      </w:pPr>
      <w:bookmarkStart w:id="39" w:name="_Ref461542090"/>
      <w:r>
        <w:rPr>
          <w:lang w:val="en-AU"/>
        </w:rPr>
        <w:t>On the</w:t>
      </w:r>
      <w:r>
        <w:rPr>
          <w:i/>
          <w:lang w:val="en-AU"/>
        </w:rPr>
        <w:t xml:space="preserve"> Corporate 79 Cap</w:t>
      </w:r>
      <w:r>
        <w:rPr>
          <w:lang w:val="en-AU"/>
        </w:rPr>
        <w:t xml:space="preserve"> and </w:t>
      </w:r>
      <w:r>
        <w:rPr>
          <w:i/>
          <w:lang w:val="en-AU"/>
        </w:rPr>
        <w:t>Corporate 179 Cap</w:t>
      </w:r>
      <w:r>
        <w:rPr>
          <w:lang w:val="en-AU"/>
        </w:rPr>
        <w:t xml:space="preserve"> 12-month </w:t>
      </w:r>
      <w:r>
        <w:rPr>
          <w:i/>
          <w:lang w:val="en-AU"/>
        </w:rPr>
        <w:t>pricing plans</w:t>
      </w:r>
      <w:r>
        <w:rPr>
          <w:lang w:val="en-AU"/>
        </w:rPr>
        <w:t xml:space="preserve"> the </w:t>
      </w:r>
      <w:r>
        <w:rPr>
          <w:i/>
          <w:lang w:val="en-AU"/>
        </w:rPr>
        <w:t>cancellation fee</w:t>
      </w:r>
      <w:r>
        <w:rPr>
          <w:lang w:val="en-AU"/>
        </w:rPr>
        <w:t xml:space="preserve"> is $100 ($110). For </w:t>
      </w:r>
      <w:r>
        <w:rPr>
          <w:i/>
          <w:lang w:val="en-AU"/>
        </w:rPr>
        <w:t xml:space="preserve">cancellation </w:t>
      </w:r>
      <w:r>
        <w:rPr>
          <w:lang w:val="en-AU"/>
        </w:rPr>
        <w:t xml:space="preserve">between months 1 - 6 the </w:t>
      </w:r>
      <w:r>
        <w:rPr>
          <w:i/>
          <w:lang w:val="en-AU"/>
        </w:rPr>
        <w:t>cancellation fee</w:t>
      </w:r>
      <w:r>
        <w:rPr>
          <w:lang w:val="en-AU"/>
        </w:rPr>
        <w:t xml:space="preserve"> applies, for </w:t>
      </w:r>
      <w:r>
        <w:rPr>
          <w:i/>
          <w:lang w:val="en-AU"/>
        </w:rPr>
        <w:t xml:space="preserve">cancellation </w:t>
      </w:r>
      <w:r>
        <w:rPr>
          <w:lang w:val="en-AU"/>
        </w:rPr>
        <w:t xml:space="preserve">between months 7 - 9 the </w:t>
      </w:r>
      <w:r>
        <w:rPr>
          <w:i/>
          <w:lang w:val="en-AU"/>
        </w:rPr>
        <w:t>cancellation fee</w:t>
      </w:r>
      <w:r>
        <w:rPr>
          <w:lang w:val="en-AU"/>
        </w:rPr>
        <w:t xml:space="preserve"> is 70% of the cancellation fee, for </w:t>
      </w:r>
      <w:r>
        <w:rPr>
          <w:i/>
          <w:lang w:val="en-AU"/>
        </w:rPr>
        <w:t xml:space="preserve">cancellation </w:t>
      </w:r>
      <w:r>
        <w:rPr>
          <w:lang w:val="en-AU"/>
        </w:rPr>
        <w:t>between months 10 - 12 the</w:t>
      </w:r>
      <w:r>
        <w:rPr>
          <w:i/>
          <w:lang w:val="en-AU"/>
        </w:rPr>
        <w:t xml:space="preserve"> cancellation fee</w:t>
      </w:r>
      <w:r>
        <w:rPr>
          <w:lang w:val="en-AU"/>
        </w:rPr>
        <w:t xml:space="preserve"> is 40% of the </w:t>
      </w:r>
      <w:r>
        <w:rPr>
          <w:i/>
          <w:lang w:val="en-AU"/>
        </w:rPr>
        <w:t>cancellation fee</w:t>
      </w:r>
      <w:r>
        <w:rPr>
          <w:lang w:val="en-AU"/>
        </w:rPr>
        <w:t>.</w:t>
      </w:r>
      <w:bookmarkEnd w:id="39"/>
    </w:p>
    <w:p w14:paraId="78ABCBB1" w14:textId="77777777" w:rsidR="000D07EA" w:rsidRDefault="00BE7C89">
      <w:pPr>
        <w:pStyle w:val="Heading7"/>
        <w:rPr>
          <w:lang w:val="en-AU"/>
        </w:rPr>
      </w:pPr>
      <w:bookmarkStart w:id="40" w:name="_Ref461542093"/>
      <w:r>
        <w:rPr>
          <w:lang w:val="en-AU"/>
        </w:rPr>
        <w:t xml:space="preserve">On the </w:t>
      </w:r>
      <w:r>
        <w:rPr>
          <w:i/>
          <w:lang w:val="en-AU"/>
        </w:rPr>
        <w:t>Corporate 79 Cap pricing plan</w:t>
      </w:r>
      <w:r>
        <w:rPr>
          <w:lang w:val="en-AU"/>
        </w:rPr>
        <w:t xml:space="preserve"> with a 24-month </w:t>
      </w:r>
      <w:r>
        <w:rPr>
          <w:i/>
          <w:lang w:val="en-AU"/>
        </w:rPr>
        <w:t>minimum</w:t>
      </w:r>
      <w:r>
        <w:rPr>
          <w:lang w:val="en-AU"/>
        </w:rPr>
        <w:t xml:space="preserve"> </w:t>
      </w:r>
      <w:r>
        <w:rPr>
          <w:i/>
          <w:lang w:val="en-AU"/>
        </w:rPr>
        <w:t>term</w:t>
      </w:r>
      <w:r>
        <w:rPr>
          <w:lang w:val="en-AU"/>
        </w:rPr>
        <w:t xml:space="preserve"> the </w:t>
      </w:r>
      <w:r>
        <w:rPr>
          <w:i/>
          <w:lang w:val="en-AU"/>
        </w:rPr>
        <w:t>cancellation</w:t>
      </w:r>
      <w:r>
        <w:rPr>
          <w:lang w:val="en-AU"/>
        </w:rPr>
        <w:t xml:space="preserve"> </w:t>
      </w:r>
      <w:r>
        <w:rPr>
          <w:i/>
          <w:lang w:val="en-AU"/>
        </w:rPr>
        <w:t>fee</w:t>
      </w:r>
      <w:r>
        <w:rPr>
          <w:lang w:val="en-AU"/>
        </w:rPr>
        <w:t xml:space="preserve"> is $171.82 ($189), and on the </w:t>
      </w:r>
      <w:r>
        <w:rPr>
          <w:i/>
          <w:lang w:val="en-AU"/>
        </w:rPr>
        <w:t>Corporate 179 Cap pricing plan</w:t>
      </w:r>
      <w:r>
        <w:rPr>
          <w:lang w:val="en-AU"/>
        </w:rPr>
        <w:t xml:space="preserve"> with a 24-month </w:t>
      </w:r>
      <w:r>
        <w:rPr>
          <w:i/>
          <w:lang w:val="en-AU"/>
        </w:rPr>
        <w:t>minimum</w:t>
      </w:r>
      <w:r>
        <w:rPr>
          <w:lang w:val="en-AU"/>
        </w:rPr>
        <w:t xml:space="preserve"> </w:t>
      </w:r>
      <w:r>
        <w:rPr>
          <w:i/>
          <w:lang w:val="en-AU"/>
        </w:rPr>
        <w:t>term</w:t>
      </w:r>
      <w:r>
        <w:rPr>
          <w:lang w:val="en-AU"/>
        </w:rPr>
        <w:t xml:space="preserve"> the </w:t>
      </w:r>
      <w:r>
        <w:rPr>
          <w:i/>
          <w:lang w:val="en-AU"/>
        </w:rPr>
        <w:t>cancellation</w:t>
      </w:r>
      <w:r>
        <w:rPr>
          <w:lang w:val="en-AU"/>
        </w:rPr>
        <w:t xml:space="preserve"> </w:t>
      </w:r>
      <w:r>
        <w:rPr>
          <w:i/>
          <w:lang w:val="en-AU"/>
        </w:rPr>
        <w:t>fee</w:t>
      </w:r>
      <w:r>
        <w:rPr>
          <w:lang w:val="en-AU"/>
        </w:rPr>
        <w:t xml:space="preserve"> is $262.73 ($289). For </w:t>
      </w:r>
      <w:r>
        <w:rPr>
          <w:i/>
          <w:lang w:val="en-AU"/>
        </w:rPr>
        <w:t>cancellation</w:t>
      </w:r>
      <w:r>
        <w:rPr>
          <w:lang w:val="en-AU"/>
        </w:rPr>
        <w:t xml:space="preserve"> of these </w:t>
      </w:r>
      <w:r>
        <w:rPr>
          <w:i/>
          <w:lang w:val="en-AU"/>
        </w:rPr>
        <w:t>pricing</w:t>
      </w:r>
      <w:r>
        <w:rPr>
          <w:lang w:val="en-AU"/>
        </w:rPr>
        <w:t xml:space="preserve"> </w:t>
      </w:r>
      <w:r>
        <w:rPr>
          <w:i/>
          <w:lang w:val="en-AU"/>
        </w:rPr>
        <w:t>plans</w:t>
      </w:r>
      <w:r>
        <w:rPr>
          <w:lang w:val="en-AU"/>
        </w:rPr>
        <w:t xml:space="preserve"> between months 1 - 12 the </w:t>
      </w:r>
      <w:r>
        <w:rPr>
          <w:i/>
          <w:lang w:val="en-AU"/>
        </w:rPr>
        <w:t>cancellation</w:t>
      </w:r>
      <w:r>
        <w:rPr>
          <w:lang w:val="en-AU"/>
        </w:rPr>
        <w:t xml:space="preserve"> </w:t>
      </w:r>
      <w:r>
        <w:rPr>
          <w:i/>
          <w:lang w:val="en-AU"/>
        </w:rPr>
        <w:t>fee</w:t>
      </w:r>
      <w:r>
        <w:rPr>
          <w:lang w:val="en-AU"/>
        </w:rPr>
        <w:t xml:space="preserve"> applies, for </w:t>
      </w:r>
      <w:r>
        <w:rPr>
          <w:i/>
          <w:lang w:val="en-AU"/>
        </w:rPr>
        <w:t>cancellation</w:t>
      </w:r>
      <w:r>
        <w:rPr>
          <w:lang w:val="en-AU"/>
        </w:rPr>
        <w:t xml:space="preserve"> between months 13 - 15 the </w:t>
      </w:r>
      <w:r>
        <w:rPr>
          <w:i/>
          <w:lang w:val="en-AU"/>
        </w:rPr>
        <w:t>cancellation</w:t>
      </w:r>
      <w:r>
        <w:rPr>
          <w:lang w:val="en-AU"/>
        </w:rPr>
        <w:t xml:space="preserve"> </w:t>
      </w:r>
      <w:r>
        <w:rPr>
          <w:i/>
          <w:lang w:val="en-AU"/>
        </w:rPr>
        <w:t>fee</w:t>
      </w:r>
      <w:r>
        <w:rPr>
          <w:lang w:val="en-AU"/>
        </w:rPr>
        <w:t xml:space="preserve"> is 80% of the </w:t>
      </w:r>
      <w:r>
        <w:rPr>
          <w:i/>
          <w:lang w:val="en-AU"/>
        </w:rPr>
        <w:t>cancellation</w:t>
      </w:r>
      <w:r>
        <w:rPr>
          <w:lang w:val="en-AU"/>
        </w:rPr>
        <w:t xml:space="preserve"> </w:t>
      </w:r>
      <w:r>
        <w:rPr>
          <w:i/>
          <w:lang w:val="en-AU"/>
        </w:rPr>
        <w:t>fee</w:t>
      </w:r>
      <w:r>
        <w:rPr>
          <w:lang w:val="en-AU"/>
        </w:rPr>
        <w:t xml:space="preserve">, for </w:t>
      </w:r>
      <w:r>
        <w:rPr>
          <w:i/>
          <w:lang w:val="en-AU"/>
        </w:rPr>
        <w:t>cancellation</w:t>
      </w:r>
      <w:r>
        <w:rPr>
          <w:lang w:val="en-AU"/>
        </w:rPr>
        <w:t xml:space="preserve"> between months 16 - 18 the </w:t>
      </w:r>
      <w:r>
        <w:rPr>
          <w:i/>
          <w:lang w:val="en-AU"/>
        </w:rPr>
        <w:t>cancellation</w:t>
      </w:r>
      <w:r>
        <w:rPr>
          <w:lang w:val="en-AU"/>
        </w:rPr>
        <w:t xml:space="preserve"> </w:t>
      </w:r>
      <w:r>
        <w:rPr>
          <w:i/>
          <w:lang w:val="en-AU"/>
        </w:rPr>
        <w:t>fee</w:t>
      </w:r>
      <w:r>
        <w:rPr>
          <w:lang w:val="en-AU"/>
        </w:rPr>
        <w:t xml:space="preserve"> is 60% of the </w:t>
      </w:r>
      <w:r>
        <w:rPr>
          <w:i/>
          <w:lang w:val="en-AU"/>
        </w:rPr>
        <w:t>cancellation</w:t>
      </w:r>
      <w:r>
        <w:rPr>
          <w:lang w:val="en-AU"/>
        </w:rPr>
        <w:t xml:space="preserve"> </w:t>
      </w:r>
      <w:r>
        <w:rPr>
          <w:i/>
          <w:lang w:val="en-AU"/>
        </w:rPr>
        <w:t>fee</w:t>
      </w:r>
      <w:r>
        <w:rPr>
          <w:lang w:val="en-AU"/>
        </w:rPr>
        <w:t xml:space="preserve">, for </w:t>
      </w:r>
      <w:r>
        <w:rPr>
          <w:i/>
          <w:lang w:val="en-AU"/>
        </w:rPr>
        <w:t>cancellation</w:t>
      </w:r>
      <w:r>
        <w:rPr>
          <w:lang w:val="en-AU"/>
        </w:rPr>
        <w:t xml:space="preserve"> between months 19 - 21 the </w:t>
      </w:r>
      <w:r>
        <w:rPr>
          <w:i/>
          <w:lang w:val="en-AU"/>
        </w:rPr>
        <w:t>cancellation</w:t>
      </w:r>
      <w:r>
        <w:rPr>
          <w:lang w:val="en-AU"/>
        </w:rPr>
        <w:t xml:space="preserve"> </w:t>
      </w:r>
      <w:r>
        <w:rPr>
          <w:i/>
          <w:lang w:val="en-AU"/>
        </w:rPr>
        <w:t>fee</w:t>
      </w:r>
      <w:r>
        <w:rPr>
          <w:lang w:val="en-AU"/>
        </w:rPr>
        <w:t xml:space="preserve"> is 40% of the </w:t>
      </w:r>
      <w:r>
        <w:rPr>
          <w:i/>
          <w:lang w:val="en-AU"/>
        </w:rPr>
        <w:t>cancellation</w:t>
      </w:r>
      <w:r>
        <w:rPr>
          <w:lang w:val="en-AU"/>
        </w:rPr>
        <w:t xml:space="preserve"> </w:t>
      </w:r>
      <w:r>
        <w:rPr>
          <w:i/>
          <w:lang w:val="en-AU"/>
        </w:rPr>
        <w:t>fee</w:t>
      </w:r>
      <w:r>
        <w:rPr>
          <w:lang w:val="en-AU"/>
        </w:rPr>
        <w:t xml:space="preserve">, for </w:t>
      </w:r>
      <w:r>
        <w:rPr>
          <w:i/>
          <w:lang w:val="en-AU"/>
        </w:rPr>
        <w:t>cancellation</w:t>
      </w:r>
      <w:r>
        <w:rPr>
          <w:lang w:val="en-AU"/>
        </w:rPr>
        <w:t xml:space="preserve"> between months 22 - 24 the fee is 20% of the </w:t>
      </w:r>
      <w:r>
        <w:rPr>
          <w:i/>
          <w:lang w:val="en-AU"/>
        </w:rPr>
        <w:t>cancellation</w:t>
      </w:r>
      <w:r>
        <w:rPr>
          <w:lang w:val="en-AU"/>
        </w:rPr>
        <w:t xml:space="preserve"> </w:t>
      </w:r>
      <w:r>
        <w:rPr>
          <w:i/>
          <w:lang w:val="en-AU"/>
        </w:rPr>
        <w:t>fee</w:t>
      </w:r>
      <w:r>
        <w:rPr>
          <w:lang w:val="en-AU"/>
        </w:rPr>
        <w:t>.</w:t>
      </w:r>
      <w:bookmarkEnd w:id="40"/>
    </w:p>
    <w:p w14:paraId="71B23218" w14:textId="77777777" w:rsidR="000D07EA" w:rsidRDefault="00BE7C89">
      <w:pPr>
        <w:pStyle w:val="Heading6"/>
        <w:ind w:left="0" w:firstLine="0"/>
        <w:rPr>
          <w:i/>
          <w:lang w:val="en-AU"/>
        </w:rPr>
      </w:pPr>
      <w:bookmarkStart w:id="41" w:name="_Toc219870325"/>
      <w:bookmarkStart w:id="42" w:name="_Toc397940929"/>
      <w:r>
        <w:rPr>
          <w:i/>
          <w:lang w:val="en-AU"/>
        </w:rPr>
        <w:t>Mobile Phones</w:t>
      </w:r>
      <w:bookmarkEnd w:id="41"/>
      <w:bookmarkEnd w:id="42"/>
    </w:p>
    <w:p w14:paraId="5C38B907" w14:textId="77777777" w:rsidR="000D07EA" w:rsidRDefault="00BE7C89">
      <w:pPr>
        <w:pStyle w:val="BodyText"/>
        <w:ind w:left="720"/>
        <w:rPr>
          <w:b/>
          <w:u w:val="single"/>
          <w:lang w:val="en-AU"/>
        </w:rPr>
      </w:pPr>
      <w:r>
        <w:rPr>
          <w:i/>
          <w:lang w:val="en-AU"/>
        </w:rPr>
        <w:t xml:space="preserve">Mobile phones </w:t>
      </w:r>
      <w:r>
        <w:rPr>
          <w:lang w:val="en-AU"/>
        </w:rPr>
        <w:t xml:space="preserve">are not available in conjunction with the </w:t>
      </w:r>
      <w:r>
        <w:rPr>
          <w:i/>
          <w:lang w:val="en-AU"/>
        </w:rPr>
        <w:t>Corporate 79 Cap</w:t>
      </w:r>
      <w:r>
        <w:rPr>
          <w:lang w:val="en-AU"/>
        </w:rPr>
        <w:t xml:space="preserve"> </w:t>
      </w:r>
      <w:r>
        <w:rPr>
          <w:i/>
          <w:lang w:val="en-AU"/>
        </w:rPr>
        <w:t>pricing plan</w:t>
      </w:r>
      <w:r>
        <w:rPr>
          <w:lang w:val="en-AU"/>
        </w:rPr>
        <w:t xml:space="preserve"> or the </w:t>
      </w:r>
      <w:r>
        <w:rPr>
          <w:i/>
          <w:lang w:val="en-AU"/>
        </w:rPr>
        <w:t>Corporate 179 Cap pricing plan</w:t>
      </w:r>
      <w:r>
        <w:rPr>
          <w:lang w:val="en-AU"/>
        </w:rPr>
        <w:t xml:space="preserve"> but may be purchased separately.</w:t>
      </w:r>
    </w:p>
    <w:p w14:paraId="071F3A8E" w14:textId="77777777" w:rsidR="000D07EA" w:rsidRDefault="00BE7C89">
      <w:pPr>
        <w:pStyle w:val="Heading6"/>
        <w:ind w:left="0" w:firstLine="0"/>
        <w:rPr>
          <w:lang w:val="en-AU"/>
        </w:rPr>
      </w:pPr>
      <w:bookmarkStart w:id="43" w:name="_Toc219870326"/>
      <w:bookmarkStart w:id="44" w:name="_Toc397940930"/>
      <w:r>
        <w:rPr>
          <w:lang w:val="en-AU"/>
        </w:rPr>
        <w:t>VoiceMail</w:t>
      </w:r>
      <w:bookmarkEnd w:id="43"/>
      <w:bookmarkEnd w:id="44"/>
    </w:p>
    <w:p w14:paraId="54161A79" w14:textId="77777777" w:rsidR="000D07EA" w:rsidRDefault="00BE7C89">
      <w:pPr>
        <w:pStyle w:val="BodyText"/>
        <w:ind w:left="720"/>
        <w:rPr>
          <w:snapToGrid w:val="0"/>
          <w:lang w:val="en-AU"/>
        </w:rPr>
      </w:pPr>
      <w:r>
        <w:rPr>
          <w:snapToGrid w:val="0"/>
          <w:lang w:val="en-AU"/>
        </w:rPr>
        <w:t xml:space="preserve">If </w:t>
      </w:r>
      <w:r>
        <w:rPr>
          <w:i/>
          <w:snapToGrid w:val="0"/>
          <w:lang w:val="en-AU"/>
        </w:rPr>
        <w:t xml:space="preserve">you </w:t>
      </w:r>
      <w:r>
        <w:rPr>
          <w:snapToGrid w:val="0"/>
          <w:lang w:val="en-AU"/>
        </w:rPr>
        <w:t xml:space="preserve">are on the Optus </w:t>
      </w:r>
      <w:r>
        <w:rPr>
          <w:i/>
          <w:snapToGrid w:val="0"/>
          <w:lang w:val="en-AU"/>
        </w:rPr>
        <w:t>Corporate 79 Cap</w:t>
      </w:r>
      <w:r>
        <w:rPr>
          <w:snapToGrid w:val="0"/>
          <w:lang w:val="en-AU"/>
        </w:rPr>
        <w:t xml:space="preserve"> and Optus </w:t>
      </w:r>
      <w:r>
        <w:rPr>
          <w:i/>
          <w:snapToGrid w:val="0"/>
          <w:lang w:val="en-AU"/>
        </w:rPr>
        <w:t>Corporate 179 Cap</w:t>
      </w:r>
      <w:r>
        <w:rPr>
          <w:snapToGrid w:val="0"/>
          <w:lang w:val="en-AU"/>
        </w:rPr>
        <w:t xml:space="preserve"> </w:t>
      </w:r>
      <w:r>
        <w:rPr>
          <w:i/>
          <w:lang w:val="en-AU"/>
        </w:rPr>
        <w:t>pricing plans</w:t>
      </w:r>
      <w:r>
        <w:rPr>
          <w:snapToGrid w:val="0"/>
          <w:lang w:val="en-AU"/>
        </w:rPr>
        <w:t xml:space="preserve"> </w:t>
      </w:r>
      <w:r>
        <w:rPr>
          <w:i/>
          <w:snapToGrid w:val="0"/>
          <w:lang w:val="en-AU"/>
        </w:rPr>
        <w:t xml:space="preserve">you </w:t>
      </w:r>
      <w:r>
        <w:rPr>
          <w:snapToGrid w:val="0"/>
          <w:lang w:val="en-AU"/>
        </w:rPr>
        <w:t>receive free VoiceMail usage. This applies to VoiceMail retrieval and diversion charges.</w:t>
      </w:r>
    </w:p>
    <w:p w14:paraId="6F027955" w14:textId="77777777" w:rsidR="000D07EA" w:rsidRDefault="00BE7C89">
      <w:pPr>
        <w:pStyle w:val="Heading6"/>
        <w:ind w:left="0" w:firstLine="0"/>
        <w:rPr>
          <w:lang w:val="en-AU"/>
        </w:rPr>
      </w:pPr>
      <w:bookmarkStart w:id="45" w:name="_Toc219870327"/>
      <w:bookmarkStart w:id="46" w:name="_Toc397940931"/>
      <w:r>
        <w:rPr>
          <w:i/>
          <w:lang w:val="en-AU"/>
        </w:rPr>
        <w:t>Pricing plan</w:t>
      </w:r>
      <w:r>
        <w:rPr>
          <w:lang w:val="en-AU"/>
        </w:rPr>
        <w:t xml:space="preserve"> changes</w:t>
      </w:r>
      <w:bookmarkEnd w:id="45"/>
      <w:bookmarkEnd w:id="46"/>
    </w:p>
    <w:p w14:paraId="4CF5A8DD" w14:textId="77777777" w:rsidR="000D07EA" w:rsidRDefault="00BE7C89">
      <w:pPr>
        <w:pStyle w:val="BodyText"/>
        <w:ind w:left="720"/>
        <w:rPr>
          <w:snapToGrid w:val="0"/>
          <w:lang w:val="en-AU"/>
        </w:rPr>
      </w:pPr>
      <w:r>
        <w:rPr>
          <w:lang w:val="en-AU"/>
        </w:rPr>
        <w:t xml:space="preserve">Change of ownership is permitted during the </w:t>
      </w:r>
      <w:r>
        <w:rPr>
          <w:i/>
          <w:lang w:val="en-AU"/>
        </w:rPr>
        <w:t xml:space="preserve">minimum term </w:t>
      </w:r>
      <w:r>
        <w:rPr>
          <w:lang w:val="en-AU"/>
        </w:rPr>
        <w:t xml:space="preserve">as long as the new applicant meets </w:t>
      </w:r>
      <w:r>
        <w:rPr>
          <w:i/>
          <w:lang w:val="en-AU"/>
        </w:rPr>
        <w:t xml:space="preserve">our </w:t>
      </w:r>
      <w:r>
        <w:rPr>
          <w:lang w:val="en-AU"/>
        </w:rPr>
        <w:t xml:space="preserve">credit assessment criteria and both </w:t>
      </w:r>
      <w:r>
        <w:rPr>
          <w:i/>
          <w:lang w:val="en-AU"/>
        </w:rPr>
        <w:t xml:space="preserve">you </w:t>
      </w:r>
      <w:r>
        <w:rPr>
          <w:lang w:val="en-AU"/>
        </w:rPr>
        <w:t>and the new owner agree to the conditions on the Optus Change of Ownership form.</w:t>
      </w:r>
    </w:p>
    <w:p w14:paraId="075C1136" w14:textId="77777777" w:rsidR="000D07EA" w:rsidRDefault="00BE7C89">
      <w:pPr>
        <w:pStyle w:val="Heading4"/>
      </w:pPr>
      <w:bookmarkStart w:id="47" w:name="_Toc62644603"/>
      <w:bookmarkStart w:id="48" w:name="_Toc219870370"/>
      <w:bookmarkStart w:id="49" w:name="_Toc397940974"/>
      <w:bookmarkStart w:id="50" w:name="_Toc455147589"/>
      <w:bookmarkStart w:id="51" w:name="_Toc219870380"/>
      <w:bookmarkStart w:id="52" w:name="_Toc397940984"/>
      <w:r>
        <w:t>Optus FleetExtra Plans</w:t>
      </w:r>
      <w:bookmarkEnd w:id="47"/>
    </w:p>
    <w:p w14:paraId="720CFFCF" w14:textId="77777777" w:rsidR="000D07EA" w:rsidRDefault="00BE7C89">
      <w:pPr>
        <w:pStyle w:val="BodyText"/>
        <w:ind w:left="720"/>
        <w:rPr>
          <w:b/>
        </w:rPr>
      </w:pPr>
      <w:r>
        <w:rPr>
          <w:b/>
        </w:rPr>
        <w:t>Incorporating the Optus FleetExtra Plans (45, 75, 95, 150) and Optus FleetExtra Business Bonus Credits Plans (45,75,95,150)</w:t>
      </w:r>
    </w:p>
    <w:p w14:paraId="77BE9511" w14:textId="77777777" w:rsidR="000D07EA" w:rsidRDefault="00BE7C89">
      <w:pPr>
        <w:pStyle w:val="Heading6"/>
        <w:ind w:left="0" w:firstLine="0"/>
      </w:pPr>
      <w:r>
        <w:t>Eligibility</w:t>
      </w:r>
    </w:p>
    <w:p w14:paraId="6569AA87" w14:textId="77777777" w:rsidR="000D07EA" w:rsidRDefault="00BE7C89">
      <w:pPr>
        <w:pStyle w:val="Heading7"/>
      </w:pPr>
      <w:r>
        <w:t xml:space="preserve">The Optus FleetExtra Plans are only available to customers Optus classifies as business customers. To be eligible </w:t>
      </w:r>
      <w:r>
        <w:rPr>
          <w:i/>
        </w:rPr>
        <w:t>you</w:t>
      </w:r>
      <w:r>
        <w:t xml:space="preserve"> must show a prior total minimum monthly call spend of $1400 across </w:t>
      </w:r>
      <w:r>
        <w:rPr>
          <w:i/>
        </w:rPr>
        <w:t>your</w:t>
      </w:r>
      <w:r>
        <w:t xml:space="preserve"> current fleet of </w:t>
      </w:r>
      <w:r>
        <w:rPr>
          <w:i/>
        </w:rPr>
        <w:t>mobile phones</w:t>
      </w:r>
      <w:r>
        <w:t xml:space="preserve"> connected to </w:t>
      </w:r>
      <w:r>
        <w:rPr>
          <w:i/>
        </w:rPr>
        <w:t>our network</w:t>
      </w:r>
      <w:r>
        <w:t xml:space="preserve"> (Optus Fleet). If </w:t>
      </w:r>
      <w:r>
        <w:rPr>
          <w:i/>
        </w:rPr>
        <w:t>you</w:t>
      </w:r>
      <w:r>
        <w:t xml:space="preserve"> cease to have a minimum monthly call spend of $1400 across </w:t>
      </w:r>
      <w:r>
        <w:rPr>
          <w:i/>
        </w:rPr>
        <w:t>your</w:t>
      </w:r>
      <w:r>
        <w:t xml:space="preserve"> Optus Fleet, </w:t>
      </w:r>
      <w:r>
        <w:rPr>
          <w:i/>
        </w:rPr>
        <w:t>your</w:t>
      </w:r>
      <w:r>
        <w:t xml:space="preserve"> Optus Fleet may be transferred to another </w:t>
      </w:r>
      <w:r>
        <w:rPr>
          <w:i/>
        </w:rPr>
        <w:t>pricing plan</w:t>
      </w:r>
      <w:r>
        <w:t xml:space="preserve"> in our discretion.</w:t>
      </w:r>
    </w:p>
    <w:p w14:paraId="21BFF8E7" w14:textId="77777777" w:rsidR="000D07EA" w:rsidRDefault="00BE7C89">
      <w:pPr>
        <w:pStyle w:val="Heading7"/>
      </w:pPr>
      <w:r>
        <w:t xml:space="preserve">When </w:t>
      </w:r>
      <w:r>
        <w:rPr>
          <w:i/>
        </w:rPr>
        <w:t>you</w:t>
      </w:r>
      <w:r>
        <w:t xml:space="preserve"> connect to an Optus FleetExtra Plan </w:t>
      </w:r>
      <w:r>
        <w:rPr>
          <w:i/>
        </w:rPr>
        <w:t>you</w:t>
      </w:r>
      <w:r>
        <w:t xml:space="preserve"> must either:</w:t>
      </w:r>
    </w:p>
    <w:p w14:paraId="5CBC730F" w14:textId="77777777" w:rsidR="000D07EA" w:rsidRDefault="00BE7C89">
      <w:pPr>
        <w:pStyle w:val="Heading8"/>
      </w:pPr>
      <w:r>
        <w:t xml:space="preserve">connect to specific </w:t>
      </w:r>
      <w:r>
        <w:rPr>
          <w:i/>
        </w:rPr>
        <w:t>pricing plans</w:t>
      </w:r>
      <w:r>
        <w:t xml:space="preserve"> of </w:t>
      </w:r>
      <w:r>
        <w:rPr>
          <w:i/>
        </w:rPr>
        <w:t>your</w:t>
      </w:r>
      <w:r>
        <w:t xml:space="preserve"> choice from the Optus FleetExtra suite of </w:t>
      </w:r>
      <w:r>
        <w:rPr>
          <w:i/>
        </w:rPr>
        <w:t>pricing plans</w:t>
      </w:r>
      <w:r>
        <w:t xml:space="preserve"> set out in Table 1 below; or</w:t>
      </w:r>
    </w:p>
    <w:p w14:paraId="4496E8AE" w14:textId="77777777" w:rsidR="000D07EA" w:rsidRDefault="00BE7C89">
      <w:pPr>
        <w:pStyle w:val="Heading8"/>
      </w:pPr>
      <w:r>
        <w:lastRenderedPageBreak/>
        <w:t xml:space="preserve">connect to specific </w:t>
      </w:r>
      <w:r>
        <w:rPr>
          <w:i/>
        </w:rPr>
        <w:t>pricing plans</w:t>
      </w:r>
      <w:r>
        <w:t xml:space="preserve"> of </w:t>
      </w:r>
      <w:r>
        <w:rPr>
          <w:i/>
        </w:rPr>
        <w:t>your</w:t>
      </w:r>
      <w:r>
        <w:t xml:space="preserve"> choice from the Optus FleetExtra Business Bonus Credits (BBC) suite of </w:t>
      </w:r>
      <w:r>
        <w:rPr>
          <w:i/>
        </w:rPr>
        <w:t>pricing plans</w:t>
      </w:r>
      <w:r>
        <w:t xml:space="preserve"> set out in Table 2 below.</w:t>
      </w:r>
    </w:p>
    <w:p w14:paraId="6C693A11" w14:textId="77777777" w:rsidR="000D07EA" w:rsidRDefault="00BE7C89">
      <w:pPr>
        <w:pStyle w:val="Heading7"/>
      </w:pPr>
      <w:r>
        <w:rPr>
          <w:i/>
        </w:rPr>
        <w:t>You</w:t>
      </w:r>
      <w:r>
        <w:t xml:space="preserve"> must pay us the Minimum Monthly Spend per user in </w:t>
      </w:r>
      <w:r>
        <w:rPr>
          <w:i/>
        </w:rPr>
        <w:t>your</w:t>
      </w:r>
      <w:r>
        <w:t xml:space="preserve"> Optus Fleet when </w:t>
      </w:r>
      <w:r>
        <w:rPr>
          <w:i/>
        </w:rPr>
        <w:t>you</w:t>
      </w:r>
      <w:r>
        <w:t xml:space="preserve"> connect to the FleetExtra Plan whether the calls are used or not.</w:t>
      </w:r>
    </w:p>
    <w:p w14:paraId="1BE59CBB" w14:textId="77777777" w:rsidR="000D07EA" w:rsidRDefault="00BE7C89">
      <w:pPr>
        <w:pStyle w:val="Heading6"/>
        <w:ind w:left="0" w:firstLine="0"/>
        <w:rPr>
          <w:i/>
        </w:rPr>
      </w:pPr>
      <w:r>
        <w:rPr>
          <w:i/>
        </w:rPr>
        <w:t>Minimum term</w:t>
      </w:r>
    </w:p>
    <w:p w14:paraId="52BA83D4" w14:textId="77777777" w:rsidR="000D07EA" w:rsidRDefault="00BE7C89">
      <w:pPr>
        <w:pStyle w:val="Heading7"/>
      </w:pPr>
      <w:r>
        <w:t xml:space="preserve">The Optus FleetExtra Plans require a 24-month fixed length </w:t>
      </w:r>
      <w:r>
        <w:rPr>
          <w:i/>
        </w:rPr>
        <w:t>minimum term</w:t>
      </w:r>
      <w:r>
        <w:t>.</w:t>
      </w:r>
    </w:p>
    <w:p w14:paraId="58604A4F" w14:textId="77777777" w:rsidR="000D07EA" w:rsidRDefault="00BE7C89">
      <w:pPr>
        <w:pStyle w:val="Heading7"/>
      </w:pPr>
      <w:r>
        <w:rPr>
          <w:i/>
        </w:rPr>
        <w:t>You</w:t>
      </w:r>
      <w:r>
        <w:t xml:space="preserve"> agree to connect to </w:t>
      </w:r>
      <w:r>
        <w:rPr>
          <w:i/>
        </w:rPr>
        <w:t>your</w:t>
      </w:r>
      <w:r>
        <w:t xml:space="preserve"> chosen Optus FleetExtra Plan or the FleetExtra BBC Plan for a minimum 24 months, or such other term as the parties agree. </w:t>
      </w:r>
    </w:p>
    <w:p w14:paraId="010FA0EE" w14:textId="77777777" w:rsidR="000D07EA" w:rsidRDefault="00BE7C89">
      <w:pPr>
        <w:pStyle w:val="Heading6"/>
        <w:ind w:left="0" w:firstLine="0"/>
      </w:pPr>
      <w:r>
        <w:t xml:space="preserve">What </w:t>
      </w:r>
      <w:r>
        <w:rPr>
          <w:i/>
        </w:rPr>
        <w:t>you</w:t>
      </w:r>
      <w:r>
        <w:t xml:space="preserve"> have to pay </w:t>
      </w:r>
      <w:r>
        <w:rPr>
          <w:i/>
        </w:rPr>
        <w:t>us</w:t>
      </w:r>
    </w:p>
    <w:p w14:paraId="4F9D70F9" w14:textId="77777777" w:rsidR="000D07EA" w:rsidRDefault="00BE7C89">
      <w:pPr>
        <w:pStyle w:val="Heading7"/>
        <w:rPr>
          <w:b/>
        </w:rPr>
      </w:pPr>
      <w:r>
        <w:rPr>
          <w:b/>
        </w:rPr>
        <w:t>FleetExtra Plans</w:t>
      </w:r>
    </w:p>
    <w:p w14:paraId="6603E83B" w14:textId="77777777" w:rsidR="000D07EA" w:rsidRDefault="00BE7C89">
      <w:pPr>
        <w:pStyle w:val="BodyText"/>
        <w:ind w:left="1440"/>
      </w:pPr>
      <w:r>
        <w:t>Please refer to Table 1 Pricing Plan below.</w:t>
      </w:r>
    </w:p>
    <w:p w14:paraId="3EF11AB1" w14:textId="77777777" w:rsidR="000D07EA" w:rsidRDefault="00BE7C89">
      <w:pPr>
        <w:pStyle w:val="Heading7"/>
        <w:rPr>
          <w:b/>
        </w:rPr>
      </w:pPr>
      <w:r>
        <w:rPr>
          <w:b/>
        </w:rPr>
        <w:t>FleetExtra Business Bonus Credit</w:t>
      </w:r>
    </w:p>
    <w:p w14:paraId="4299CA6C" w14:textId="77777777" w:rsidR="000D07EA" w:rsidRDefault="00BE7C89">
      <w:pPr>
        <w:pStyle w:val="BodyText"/>
        <w:ind w:left="1440"/>
      </w:pPr>
      <w:r>
        <w:t>Please refer to Table 2 Pricing Plan below.</w:t>
      </w:r>
    </w:p>
    <w:p w14:paraId="20F76E13" w14:textId="77777777" w:rsidR="000D07EA" w:rsidRDefault="00BE7C89">
      <w:pPr>
        <w:pStyle w:val="Heading7"/>
        <w:rPr>
          <w:b/>
        </w:rPr>
      </w:pPr>
      <w:r>
        <w:rPr>
          <w:b/>
        </w:rPr>
        <w:t>Minimum Monthly Spend</w:t>
      </w:r>
    </w:p>
    <w:p w14:paraId="4F468467" w14:textId="77777777" w:rsidR="000D07EA" w:rsidRDefault="00BE7C89">
      <w:pPr>
        <w:pStyle w:val="BodyText"/>
        <w:ind w:left="1440"/>
      </w:pPr>
      <w:r>
        <w:rPr>
          <w:i/>
        </w:rPr>
        <w:t>You</w:t>
      </w:r>
      <w:r>
        <w:t xml:space="preserve"> must pay us the Minimum Monthly Spend per user in </w:t>
      </w:r>
      <w:r>
        <w:rPr>
          <w:i/>
        </w:rPr>
        <w:t>your</w:t>
      </w:r>
      <w:r>
        <w:t xml:space="preserve"> Optus Fleet when </w:t>
      </w:r>
      <w:r>
        <w:rPr>
          <w:i/>
        </w:rPr>
        <w:t>you</w:t>
      </w:r>
      <w:r>
        <w:t xml:space="preserve"> connect to the FleetExtra Plan whether the calls are used or not.</w:t>
      </w:r>
    </w:p>
    <w:p w14:paraId="5F52316B" w14:textId="77777777" w:rsidR="000D07EA" w:rsidRDefault="00BE7C89">
      <w:pPr>
        <w:pStyle w:val="Heading7"/>
        <w:rPr>
          <w:b/>
        </w:rPr>
      </w:pPr>
      <w:r>
        <w:rPr>
          <w:b/>
        </w:rPr>
        <w:t>Fleetshare™</w:t>
      </w:r>
    </w:p>
    <w:p w14:paraId="6F3EB314" w14:textId="77777777" w:rsidR="000D07EA" w:rsidRDefault="00BE7C89">
      <w:pPr>
        <w:pStyle w:val="BodyText"/>
        <w:ind w:left="1440"/>
      </w:pPr>
      <w:r>
        <w:t xml:space="preserve">Fleetshare™ is a feature of the FleetExtra Plans and it allows customers to share the minimum monthly commitment of the selected </w:t>
      </w:r>
      <w:r>
        <w:rPr>
          <w:i/>
        </w:rPr>
        <w:t>pricing plan</w:t>
      </w:r>
      <w:r>
        <w:t xml:space="preserve"> across the customer's FleetExtra account.</w:t>
      </w:r>
    </w:p>
    <w:p w14:paraId="536904F8" w14:textId="77777777" w:rsidR="000D07EA" w:rsidRDefault="00BE7C89">
      <w:pPr>
        <w:pStyle w:val="Heading7"/>
        <w:rPr>
          <w:b/>
        </w:rPr>
      </w:pPr>
      <w:r>
        <w:rPr>
          <w:b/>
        </w:rPr>
        <w:t>Call Connection Charges</w:t>
      </w:r>
    </w:p>
    <w:p w14:paraId="7EF07DEC" w14:textId="77777777" w:rsidR="000D07EA" w:rsidRDefault="00BE7C89">
      <w:pPr>
        <w:pStyle w:val="BodyText"/>
        <w:ind w:left="1440"/>
      </w:pPr>
      <w:r>
        <w:t xml:space="preserve">The FleetExtra Plans include an initial charge per call (call connection charge) as specified in the table below, for </w:t>
      </w:r>
      <w:r>
        <w:rPr>
          <w:i/>
        </w:rPr>
        <w:t>local calls</w:t>
      </w:r>
      <w:r>
        <w:t xml:space="preserve"> and </w:t>
      </w:r>
      <w:r>
        <w:rPr>
          <w:i/>
        </w:rPr>
        <w:t>national long distance calls</w:t>
      </w:r>
      <w:r>
        <w:t xml:space="preserve"> and calls to mobiles. So the charge for these calls is the initial charge plus the relevant rate multiplied by the duration of the call. The initial charge is not applicable to calls made under the 'yes' Business Fleet </w:t>
      </w:r>
      <w:r>
        <w:rPr>
          <w:rFonts w:cs="Arial"/>
        </w:rPr>
        <w:t>−</w:t>
      </w:r>
      <w:r>
        <w:t xml:space="preserve"> Day call rate between 7am and 7pm, Monday to Sunday.</w:t>
      </w:r>
    </w:p>
    <w:p w14:paraId="6B1BD326" w14:textId="77777777" w:rsidR="000D07EA" w:rsidRDefault="00BE7C89">
      <w:pPr>
        <w:pStyle w:val="Heading7"/>
        <w:rPr>
          <w:b/>
        </w:rPr>
      </w:pPr>
      <w:r>
        <w:rPr>
          <w:b/>
        </w:rPr>
        <w:t>'yes' FleetExtra Optus Mobile</w:t>
      </w:r>
    </w:p>
    <w:p w14:paraId="258041EE" w14:textId="77777777" w:rsidR="000D07EA" w:rsidRDefault="00BE7C89">
      <w:pPr>
        <w:pStyle w:val="Heading8"/>
      </w:pPr>
      <w:r>
        <w:t xml:space="preserve">'yes' FleetExtra Optus Mobile call rate: of 4c (4.4c) per 30 seconds or part thereof plus flagfall^ applies to calls made to other Optus digital </w:t>
      </w:r>
      <w:r>
        <w:rPr>
          <w:i/>
        </w:rPr>
        <w:t>mobile phones</w:t>
      </w:r>
      <w:r>
        <w:t xml:space="preserve"> in Australia excluding satellite phones.</w:t>
      </w:r>
    </w:p>
    <w:p w14:paraId="446E1B4E" w14:textId="77777777" w:rsidR="000D07EA" w:rsidRDefault="00BE7C89">
      <w:pPr>
        <w:pStyle w:val="Heading8"/>
      </w:pPr>
      <w:r>
        <w:t>'yes' FleetExtra mobile rate only applies to calls made and received in Australia.</w:t>
      </w:r>
    </w:p>
    <w:p w14:paraId="4F1A62FD" w14:textId="77777777" w:rsidR="000D07EA" w:rsidRDefault="00BE7C89">
      <w:pPr>
        <w:pStyle w:val="Heading7"/>
        <w:rPr>
          <w:b/>
        </w:rPr>
      </w:pPr>
      <w:r>
        <w:rPr>
          <w:b/>
        </w:rPr>
        <w:t>'yes' Business Fleet - Day</w:t>
      </w:r>
    </w:p>
    <w:p w14:paraId="42547414" w14:textId="77777777" w:rsidR="000D07EA" w:rsidRDefault="00BE7C89">
      <w:pPr>
        <w:pStyle w:val="Heading8"/>
      </w:pPr>
      <w:r>
        <w:t xml:space="preserve">'yes' Business Fleet – Day call rate: applies to calls to another FleetExtra service on the same customer account number between 7am-7pm, 7 days. Calls are charged at $0 for the first 5 minutes per call. No flagfall applies. After 5 minutes </w:t>
      </w:r>
      <w:r>
        <w:rPr>
          <w:i/>
        </w:rPr>
        <w:t>you</w:t>
      </w:r>
      <w:r>
        <w:t xml:space="preserve"> will be charged the 'yes' FleetExtra Optus mobile call rate of 4c (4.4c) per 30 seconds or part thereof. When making calls to another FleetExtra service outside of the 7am-7pm, 7 days period, calls are charged at the 'yes' FleetExtra Optus mobile call rate of 4c (4.4c) per 30 seconds or part thereof plus flagfall^ for </w:t>
      </w:r>
      <w:r>
        <w:rPr>
          <w:i/>
        </w:rPr>
        <w:t>your pricing plan</w:t>
      </w:r>
      <w:r>
        <w:t>.</w:t>
      </w:r>
    </w:p>
    <w:p w14:paraId="3CF5F9E2" w14:textId="77777777" w:rsidR="000D07EA" w:rsidRDefault="00BE7C89">
      <w:pPr>
        <w:pStyle w:val="Heading8"/>
      </w:pPr>
      <w:r>
        <w:t>'yes' Business Fleet - Day mobile rate only applies to calls made and received in Australia.</w:t>
      </w:r>
    </w:p>
    <w:p w14:paraId="43802C0B" w14:textId="77777777" w:rsidR="000D07EA" w:rsidRDefault="00BE7C89">
      <w:pPr>
        <w:pStyle w:val="Heading8"/>
      </w:pPr>
      <w:r>
        <w:t>'yes' Business Fleet – Day Promotion available until 31/03/05 unless withdrawn earlier.</w:t>
      </w:r>
    </w:p>
    <w:p w14:paraId="27266CC7" w14:textId="77777777" w:rsidR="000D07EA" w:rsidRDefault="009355C4">
      <w:pPr>
        <w:pStyle w:val="Heading8"/>
        <w:rPr>
          <w:szCs w:val="20"/>
        </w:rPr>
      </w:pPr>
      <w:r>
        <w:rPr>
          <w:szCs w:val="20"/>
        </w:rPr>
        <w:t xml:space="preserve">The </w:t>
      </w:r>
      <w:r w:rsidR="00BE7C89">
        <w:rPr>
          <w:szCs w:val="20"/>
        </w:rPr>
        <w:t xml:space="preserve">Fair Go Policy applies (see </w:t>
      </w:r>
      <w:hyperlink r:id="rId21" w:history="1">
        <w:r w:rsidR="005342BE">
          <w:rPr>
            <w:rStyle w:val="Hyperlink"/>
            <w:i/>
          </w:rPr>
          <w:t>Appendix S</w:t>
        </w:r>
      </w:hyperlink>
    </w:p>
    <w:p w14:paraId="0827CC6A" w14:textId="77777777" w:rsidR="000D07EA" w:rsidRDefault="00BE7C89">
      <w:pPr>
        <w:pStyle w:val="Heading7"/>
        <w:rPr>
          <w:b/>
        </w:rPr>
      </w:pPr>
      <w:r>
        <w:rPr>
          <w:b/>
        </w:rPr>
        <w:lastRenderedPageBreak/>
        <w:t>FleetExtra SMS Special Rate:</w:t>
      </w:r>
    </w:p>
    <w:p w14:paraId="79D9A1DF" w14:textId="77777777" w:rsidR="000D07EA" w:rsidRDefault="00BE7C89">
      <w:pPr>
        <w:pStyle w:val="BodyText"/>
        <w:ind w:left="1440"/>
      </w:pPr>
      <w:r>
        <w:t xml:space="preserve">A FleetExtra SMS Special Rate of 20c per standard SMS applies to standard SMSes made by Optus Mobile Digital customers to any </w:t>
      </w:r>
      <w:r>
        <w:rPr>
          <w:i/>
        </w:rPr>
        <w:t>mobile phones</w:t>
      </w:r>
      <w:r>
        <w:t xml:space="preserve"> connected to an Australian network. SMS Special Rate excludes International, Premium and third party SMS services. Promotion available until 31.03.05 unless withdrawn earlier. Fair Go Policy applies. Optus SMS messages are charged for up to 160 characters sent. Message charges may be incurred for a period of up to eight days from the original send date regardless of successful delivery or not. SMS cannot be sent to Satellite customers. Optus 'Free MMS Promotion' does not apply to FleetExtra services.</w:t>
      </w:r>
    </w:p>
    <w:p w14:paraId="2D23DE06" w14:textId="77777777" w:rsidR="000D07EA" w:rsidRDefault="00BE7C89">
      <w:pPr>
        <w:pStyle w:val="Heading7"/>
        <w:rPr>
          <w:b/>
        </w:rPr>
      </w:pPr>
      <w:r>
        <w:rPr>
          <w:b/>
        </w:rPr>
        <w:t>Business Bonus Credits</w:t>
      </w:r>
    </w:p>
    <w:p w14:paraId="54096951" w14:textId="77777777" w:rsidR="000D07EA" w:rsidRDefault="00BE7C89">
      <w:pPr>
        <w:pStyle w:val="BodyText"/>
        <w:ind w:left="1440"/>
      </w:pPr>
      <w:r>
        <w:t>Eligible customers may be entitled to a credit called "Business Bonus" on their mobile tax invoice/account. This credit will be applied to the customer's account within 6 months of activation of the service. This credit is not redeemable for cash or refundable at account closure.</w:t>
      </w:r>
    </w:p>
    <w:p w14:paraId="081A19CD" w14:textId="77777777" w:rsidR="000D07EA" w:rsidRDefault="00BE7C89">
      <w:pPr>
        <w:pStyle w:val="BodyText"/>
        <w:ind w:left="720"/>
        <w:rPr>
          <w:b/>
        </w:rPr>
      </w:pPr>
      <w:r>
        <w:rPr>
          <w:b/>
        </w:rPr>
        <w:t>Table 1</w:t>
      </w:r>
    </w:p>
    <w:p w14:paraId="6C5C8AFD" w14:textId="77777777" w:rsidR="000D07EA" w:rsidRDefault="00BE7C89">
      <w:pPr>
        <w:pStyle w:val="BodyText"/>
        <w:ind w:left="720"/>
        <w:rPr>
          <w:b/>
        </w:rPr>
      </w:pPr>
      <w:r>
        <w:rPr>
          <w:b/>
        </w:rPr>
        <w:t>Optus FleetExtra BBC Plans</w:t>
      </w:r>
    </w:p>
    <w:tbl>
      <w:tblPr>
        <w:tblW w:w="96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545"/>
        <w:gridCol w:w="1775"/>
        <w:gridCol w:w="1776"/>
        <w:gridCol w:w="1776"/>
        <w:gridCol w:w="1776"/>
      </w:tblGrid>
      <w:tr w:rsidR="000D07EA" w14:paraId="78BCA4AC" w14:textId="77777777">
        <w:trPr>
          <w:tblHeader/>
        </w:trPr>
        <w:tc>
          <w:tcPr>
            <w:tcW w:w="2545" w:type="dxa"/>
            <w:shd w:val="clear" w:color="auto" w:fill="auto"/>
          </w:tcPr>
          <w:p w14:paraId="354CEA9F" w14:textId="77777777" w:rsidR="000D07EA" w:rsidRDefault="00BE7C89">
            <w:pPr>
              <w:pStyle w:val="BodyText"/>
              <w:spacing w:before="100" w:after="100"/>
              <w:rPr>
                <w:b/>
                <w:i/>
              </w:rPr>
            </w:pPr>
            <w:r>
              <w:rPr>
                <w:b/>
                <w:i/>
              </w:rPr>
              <w:t>Pricing plan</w:t>
            </w:r>
          </w:p>
        </w:tc>
        <w:tc>
          <w:tcPr>
            <w:tcW w:w="1775" w:type="dxa"/>
            <w:shd w:val="clear" w:color="auto" w:fill="auto"/>
          </w:tcPr>
          <w:p w14:paraId="62D1A004" w14:textId="77777777" w:rsidR="000D07EA" w:rsidRDefault="00BE7C89">
            <w:pPr>
              <w:pStyle w:val="BodyText"/>
              <w:spacing w:before="100" w:after="100"/>
              <w:rPr>
                <w:b/>
              </w:rPr>
            </w:pPr>
            <w:r>
              <w:rPr>
                <w:b/>
              </w:rPr>
              <w:t>45</w:t>
            </w:r>
          </w:p>
        </w:tc>
        <w:tc>
          <w:tcPr>
            <w:tcW w:w="1776" w:type="dxa"/>
            <w:shd w:val="clear" w:color="auto" w:fill="auto"/>
          </w:tcPr>
          <w:p w14:paraId="1EF49385" w14:textId="77777777" w:rsidR="000D07EA" w:rsidRDefault="00BE7C89">
            <w:pPr>
              <w:pStyle w:val="BodyText"/>
              <w:spacing w:before="100" w:after="100"/>
              <w:rPr>
                <w:b/>
              </w:rPr>
            </w:pPr>
            <w:r>
              <w:rPr>
                <w:b/>
              </w:rPr>
              <w:t>75</w:t>
            </w:r>
          </w:p>
        </w:tc>
        <w:tc>
          <w:tcPr>
            <w:tcW w:w="1776" w:type="dxa"/>
            <w:shd w:val="clear" w:color="auto" w:fill="auto"/>
          </w:tcPr>
          <w:p w14:paraId="27CC1588" w14:textId="77777777" w:rsidR="000D07EA" w:rsidRDefault="00BE7C89">
            <w:pPr>
              <w:pStyle w:val="BodyText"/>
              <w:spacing w:before="100" w:after="100"/>
              <w:rPr>
                <w:b/>
              </w:rPr>
            </w:pPr>
            <w:r>
              <w:rPr>
                <w:b/>
              </w:rPr>
              <w:t>95</w:t>
            </w:r>
          </w:p>
        </w:tc>
        <w:tc>
          <w:tcPr>
            <w:tcW w:w="1776" w:type="dxa"/>
            <w:shd w:val="clear" w:color="auto" w:fill="auto"/>
          </w:tcPr>
          <w:p w14:paraId="5B62CF6E" w14:textId="77777777" w:rsidR="000D07EA" w:rsidRDefault="00BE7C89">
            <w:pPr>
              <w:pStyle w:val="BodyText"/>
              <w:spacing w:before="100" w:after="100"/>
              <w:rPr>
                <w:b/>
              </w:rPr>
            </w:pPr>
            <w:r>
              <w:rPr>
                <w:b/>
              </w:rPr>
              <w:t>150</w:t>
            </w:r>
          </w:p>
        </w:tc>
      </w:tr>
      <w:tr w:rsidR="000D07EA" w14:paraId="7D3736C2" w14:textId="77777777">
        <w:tc>
          <w:tcPr>
            <w:tcW w:w="2545" w:type="dxa"/>
            <w:shd w:val="clear" w:color="auto" w:fill="auto"/>
          </w:tcPr>
          <w:p w14:paraId="78064208" w14:textId="77777777" w:rsidR="000D07EA" w:rsidRDefault="00BE7C89">
            <w:pPr>
              <w:pStyle w:val="BodyText"/>
              <w:spacing w:before="100" w:after="100"/>
            </w:pPr>
            <w:r>
              <w:t xml:space="preserve">Minimum monthly spend (per </w:t>
            </w:r>
            <w:r>
              <w:rPr>
                <w:i/>
              </w:rPr>
              <w:t>Optus SIM card</w:t>
            </w:r>
            <w:r>
              <w:t>)</w:t>
            </w:r>
          </w:p>
        </w:tc>
        <w:tc>
          <w:tcPr>
            <w:tcW w:w="1775" w:type="dxa"/>
            <w:shd w:val="clear" w:color="auto" w:fill="auto"/>
          </w:tcPr>
          <w:p w14:paraId="23202E4F" w14:textId="77777777" w:rsidR="000D07EA" w:rsidRDefault="00BE7C89">
            <w:pPr>
              <w:pStyle w:val="BodyText"/>
              <w:spacing w:before="100" w:after="100"/>
            </w:pPr>
            <w:r>
              <w:t>$41</w:t>
            </w:r>
          </w:p>
          <w:p w14:paraId="249D5ADA" w14:textId="77777777" w:rsidR="000D07EA" w:rsidRDefault="00BE7C89">
            <w:pPr>
              <w:pStyle w:val="BodyText"/>
              <w:spacing w:before="100" w:after="100"/>
            </w:pPr>
            <w:r>
              <w:t>($45)</w:t>
            </w:r>
          </w:p>
        </w:tc>
        <w:tc>
          <w:tcPr>
            <w:tcW w:w="1776" w:type="dxa"/>
            <w:shd w:val="clear" w:color="auto" w:fill="auto"/>
          </w:tcPr>
          <w:p w14:paraId="43B321FB" w14:textId="77777777" w:rsidR="000D07EA" w:rsidRDefault="00BE7C89">
            <w:pPr>
              <w:pStyle w:val="BodyText"/>
              <w:spacing w:before="100" w:after="100"/>
            </w:pPr>
            <w:r>
              <w:t>$68</w:t>
            </w:r>
          </w:p>
          <w:p w14:paraId="4A2B6A48" w14:textId="77777777" w:rsidR="000D07EA" w:rsidRDefault="00BE7C89">
            <w:pPr>
              <w:pStyle w:val="BodyText"/>
              <w:spacing w:before="100" w:after="100"/>
            </w:pPr>
            <w:r>
              <w:t>($75)</w:t>
            </w:r>
          </w:p>
        </w:tc>
        <w:tc>
          <w:tcPr>
            <w:tcW w:w="1776" w:type="dxa"/>
            <w:shd w:val="clear" w:color="auto" w:fill="auto"/>
          </w:tcPr>
          <w:p w14:paraId="7E992CA9" w14:textId="77777777" w:rsidR="000D07EA" w:rsidRDefault="00BE7C89">
            <w:pPr>
              <w:pStyle w:val="BodyText"/>
              <w:spacing w:before="100" w:after="100"/>
            </w:pPr>
            <w:r>
              <w:t>$86</w:t>
            </w:r>
          </w:p>
          <w:p w14:paraId="55534DCC" w14:textId="77777777" w:rsidR="000D07EA" w:rsidRDefault="00BE7C89">
            <w:pPr>
              <w:pStyle w:val="BodyText"/>
              <w:spacing w:before="100" w:after="100"/>
            </w:pPr>
            <w:r>
              <w:t>($95)</w:t>
            </w:r>
          </w:p>
        </w:tc>
        <w:tc>
          <w:tcPr>
            <w:tcW w:w="1776" w:type="dxa"/>
            <w:shd w:val="clear" w:color="auto" w:fill="auto"/>
          </w:tcPr>
          <w:p w14:paraId="77DC756E" w14:textId="77777777" w:rsidR="000D07EA" w:rsidRDefault="00BE7C89">
            <w:pPr>
              <w:pStyle w:val="BodyText"/>
              <w:spacing w:before="100" w:after="100"/>
            </w:pPr>
            <w:r>
              <w:t>$136</w:t>
            </w:r>
          </w:p>
          <w:p w14:paraId="5F91F37F" w14:textId="77777777" w:rsidR="000D07EA" w:rsidRDefault="00BE7C89">
            <w:pPr>
              <w:pStyle w:val="BodyText"/>
              <w:spacing w:before="100" w:after="100"/>
            </w:pPr>
            <w:r>
              <w:t>($150)</w:t>
            </w:r>
          </w:p>
        </w:tc>
      </w:tr>
      <w:tr w:rsidR="000D07EA" w14:paraId="7C3A2C19" w14:textId="77777777">
        <w:tc>
          <w:tcPr>
            <w:tcW w:w="2545" w:type="dxa"/>
            <w:shd w:val="clear" w:color="auto" w:fill="auto"/>
          </w:tcPr>
          <w:p w14:paraId="4A3CB8B2" w14:textId="77777777" w:rsidR="000D07EA" w:rsidRDefault="00BE7C89">
            <w:pPr>
              <w:pStyle w:val="BodyText"/>
              <w:spacing w:before="100" w:after="100"/>
              <w:rPr>
                <w:i/>
              </w:rPr>
            </w:pPr>
            <w:r>
              <w:rPr>
                <w:i/>
              </w:rPr>
              <w:t>Flagfall</w:t>
            </w:r>
          </w:p>
        </w:tc>
        <w:tc>
          <w:tcPr>
            <w:tcW w:w="1775" w:type="dxa"/>
            <w:shd w:val="clear" w:color="auto" w:fill="auto"/>
          </w:tcPr>
          <w:p w14:paraId="16866733" w14:textId="77777777" w:rsidR="000D07EA" w:rsidRDefault="00BE7C89">
            <w:pPr>
              <w:pStyle w:val="BodyText"/>
              <w:spacing w:before="100" w:after="100"/>
            </w:pPr>
            <w:r>
              <w:t>14c</w:t>
            </w:r>
          </w:p>
          <w:p w14:paraId="3D31BD89" w14:textId="77777777" w:rsidR="000D07EA" w:rsidRDefault="00BE7C89">
            <w:pPr>
              <w:pStyle w:val="BodyText"/>
              <w:spacing w:before="100" w:after="100"/>
            </w:pPr>
            <w:r>
              <w:t>(15c)</w:t>
            </w:r>
          </w:p>
        </w:tc>
        <w:tc>
          <w:tcPr>
            <w:tcW w:w="1776" w:type="dxa"/>
            <w:shd w:val="clear" w:color="auto" w:fill="auto"/>
          </w:tcPr>
          <w:p w14:paraId="3840F87A" w14:textId="77777777" w:rsidR="000D07EA" w:rsidRDefault="00BE7C89">
            <w:pPr>
              <w:pStyle w:val="BodyText"/>
              <w:spacing w:before="100" w:after="100"/>
            </w:pPr>
            <w:r>
              <w:t>14c</w:t>
            </w:r>
          </w:p>
          <w:p w14:paraId="2F8933A4" w14:textId="77777777" w:rsidR="000D07EA" w:rsidRDefault="00BE7C89">
            <w:pPr>
              <w:pStyle w:val="BodyText"/>
              <w:spacing w:before="100" w:after="100"/>
            </w:pPr>
            <w:r>
              <w:t>(15c)</w:t>
            </w:r>
          </w:p>
        </w:tc>
        <w:tc>
          <w:tcPr>
            <w:tcW w:w="1776" w:type="dxa"/>
            <w:shd w:val="clear" w:color="auto" w:fill="auto"/>
          </w:tcPr>
          <w:p w14:paraId="3D8EF3D1" w14:textId="77777777" w:rsidR="000D07EA" w:rsidRDefault="00BE7C89">
            <w:pPr>
              <w:pStyle w:val="BodyText"/>
              <w:spacing w:before="100" w:after="100"/>
            </w:pPr>
            <w:r>
              <w:t>14c</w:t>
            </w:r>
          </w:p>
          <w:p w14:paraId="302C7F94" w14:textId="77777777" w:rsidR="000D07EA" w:rsidRDefault="00BE7C89">
            <w:pPr>
              <w:pStyle w:val="BodyText"/>
              <w:spacing w:before="100" w:after="100"/>
            </w:pPr>
            <w:r>
              <w:t>(15c)</w:t>
            </w:r>
          </w:p>
        </w:tc>
        <w:tc>
          <w:tcPr>
            <w:tcW w:w="1776" w:type="dxa"/>
            <w:shd w:val="clear" w:color="auto" w:fill="auto"/>
          </w:tcPr>
          <w:p w14:paraId="362724C3" w14:textId="77777777" w:rsidR="000D07EA" w:rsidRDefault="00BE7C89">
            <w:pPr>
              <w:pStyle w:val="BodyText"/>
              <w:spacing w:before="100" w:after="100"/>
            </w:pPr>
            <w:r>
              <w:t>14c</w:t>
            </w:r>
          </w:p>
          <w:p w14:paraId="16BA1812" w14:textId="77777777" w:rsidR="000D07EA" w:rsidRDefault="00BE7C89">
            <w:pPr>
              <w:pStyle w:val="BodyText"/>
              <w:spacing w:before="100" w:after="100"/>
            </w:pPr>
            <w:r>
              <w:t>(15c)</w:t>
            </w:r>
          </w:p>
        </w:tc>
      </w:tr>
      <w:tr w:rsidR="000D07EA" w14:paraId="23C68F3B" w14:textId="77777777">
        <w:tc>
          <w:tcPr>
            <w:tcW w:w="2545" w:type="dxa"/>
            <w:shd w:val="clear" w:color="auto" w:fill="auto"/>
          </w:tcPr>
          <w:p w14:paraId="5EBAB8CF" w14:textId="77777777" w:rsidR="000D07EA" w:rsidRDefault="00BE7C89">
            <w:pPr>
              <w:pStyle w:val="BodyText"/>
              <w:spacing w:before="100" w:after="100"/>
              <w:rPr>
                <w:i/>
              </w:rPr>
            </w:pPr>
            <w:r>
              <w:t>Calls to Optus GSM mobiles (national)</w:t>
            </w:r>
            <w:r>
              <w:rPr>
                <w:vertAlign w:val="superscript"/>
              </w:rPr>
              <w:t>^</w:t>
            </w:r>
          </w:p>
        </w:tc>
        <w:tc>
          <w:tcPr>
            <w:tcW w:w="1775" w:type="dxa"/>
            <w:shd w:val="clear" w:color="auto" w:fill="auto"/>
          </w:tcPr>
          <w:p w14:paraId="3C50D59C" w14:textId="77777777" w:rsidR="000D07EA" w:rsidRDefault="00BE7C89">
            <w:pPr>
              <w:pStyle w:val="BodyText"/>
              <w:spacing w:before="100" w:after="100"/>
            </w:pPr>
            <w:r>
              <w:t>4c</w:t>
            </w:r>
          </w:p>
          <w:p w14:paraId="041F978B" w14:textId="77777777" w:rsidR="000D07EA" w:rsidRDefault="00BE7C89">
            <w:pPr>
              <w:pStyle w:val="BodyText"/>
              <w:spacing w:before="100" w:after="100"/>
            </w:pPr>
            <w:r>
              <w:t>(4.4c)</w:t>
            </w:r>
          </w:p>
        </w:tc>
        <w:tc>
          <w:tcPr>
            <w:tcW w:w="1776" w:type="dxa"/>
            <w:shd w:val="clear" w:color="auto" w:fill="auto"/>
          </w:tcPr>
          <w:p w14:paraId="4B05691E" w14:textId="77777777" w:rsidR="000D07EA" w:rsidRDefault="00BE7C89">
            <w:pPr>
              <w:pStyle w:val="BodyText"/>
              <w:spacing w:before="100" w:after="100"/>
            </w:pPr>
            <w:r>
              <w:t>4c</w:t>
            </w:r>
          </w:p>
          <w:p w14:paraId="299E7187" w14:textId="77777777" w:rsidR="000D07EA" w:rsidRDefault="00BE7C89">
            <w:pPr>
              <w:pStyle w:val="BodyText"/>
              <w:spacing w:before="100" w:after="100"/>
            </w:pPr>
            <w:r>
              <w:t>(4.4c)</w:t>
            </w:r>
          </w:p>
        </w:tc>
        <w:tc>
          <w:tcPr>
            <w:tcW w:w="1776" w:type="dxa"/>
            <w:shd w:val="clear" w:color="auto" w:fill="auto"/>
          </w:tcPr>
          <w:p w14:paraId="3E76026A" w14:textId="77777777" w:rsidR="000D07EA" w:rsidRDefault="00BE7C89">
            <w:pPr>
              <w:pStyle w:val="BodyText"/>
              <w:spacing w:before="100" w:after="100"/>
            </w:pPr>
            <w:r>
              <w:t>4c</w:t>
            </w:r>
          </w:p>
          <w:p w14:paraId="50476317" w14:textId="77777777" w:rsidR="000D07EA" w:rsidRDefault="00BE7C89">
            <w:pPr>
              <w:pStyle w:val="BodyText"/>
              <w:spacing w:before="100" w:after="100"/>
            </w:pPr>
            <w:r>
              <w:t>(4.4c)</w:t>
            </w:r>
          </w:p>
        </w:tc>
        <w:tc>
          <w:tcPr>
            <w:tcW w:w="1776" w:type="dxa"/>
            <w:shd w:val="clear" w:color="auto" w:fill="auto"/>
          </w:tcPr>
          <w:p w14:paraId="5DB1473D" w14:textId="77777777" w:rsidR="000D07EA" w:rsidRDefault="00BE7C89">
            <w:pPr>
              <w:pStyle w:val="BodyText"/>
              <w:spacing w:before="100" w:after="100"/>
            </w:pPr>
            <w:r>
              <w:t>4c</w:t>
            </w:r>
          </w:p>
          <w:p w14:paraId="7506DFD9" w14:textId="77777777" w:rsidR="000D07EA" w:rsidRDefault="00BE7C89">
            <w:pPr>
              <w:pStyle w:val="BodyText"/>
              <w:spacing w:before="100" w:after="100"/>
            </w:pPr>
            <w:r>
              <w:t>(4.4c)</w:t>
            </w:r>
          </w:p>
        </w:tc>
      </w:tr>
      <w:tr w:rsidR="000D07EA" w14:paraId="07A6CE99" w14:textId="77777777">
        <w:tc>
          <w:tcPr>
            <w:tcW w:w="2545" w:type="dxa"/>
            <w:shd w:val="clear" w:color="auto" w:fill="auto"/>
          </w:tcPr>
          <w:p w14:paraId="1371869B" w14:textId="77777777" w:rsidR="000D07EA" w:rsidRDefault="00BE7C89">
            <w:pPr>
              <w:pStyle w:val="BodyText"/>
              <w:spacing w:before="100" w:after="100"/>
            </w:pPr>
            <w:r>
              <w:t>Calls to non-Optus Mobile (national)</w:t>
            </w:r>
            <w:r>
              <w:rPr>
                <w:vertAlign w:val="superscript"/>
              </w:rPr>
              <w:t>^#</w:t>
            </w:r>
          </w:p>
        </w:tc>
        <w:tc>
          <w:tcPr>
            <w:tcW w:w="1775" w:type="dxa"/>
            <w:shd w:val="clear" w:color="auto" w:fill="auto"/>
          </w:tcPr>
          <w:p w14:paraId="05459652" w14:textId="77777777" w:rsidR="000D07EA" w:rsidRDefault="00BE7C89">
            <w:pPr>
              <w:pStyle w:val="BodyText"/>
              <w:spacing w:before="100" w:after="100"/>
            </w:pPr>
            <w:r>
              <w:t>18c</w:t>
            </w:r>
          </w:p>
          <w:p w14:paraId="59A46922" w14:textId="77777777" w:rsidR="000D07EA" w:rsidRDefault="00BE7C89">
            <w:pPr>
              <w:pStyle w:val="BodyText"/>
              <w:spacing w:before="100" w:after="100"/>
            </w:pPr>
            <w:r>
              <w:t>(20c)</w:t>
            </w:r>
          </w:p>
        </w:tc>
        <w:tc>
          <w:tcPr>
            <w:tcW w:w="1776" w:type="dxa"/>
            <w:shd w:val="clear" w:color="auto" w:fill="auto"/>
          </w:tcPr>
          <w:p w14:paraId="136210AD" w14:textId="77777777" w:rsidR="000D07EA" w:rsidRDefault="00BE7C89">
            <w:pPr>
              <w:pStyle w:val="BodyText"/>
              <w:spacing w:before="100" w:after="100"/>
            </w:pPr>
            <w:r>
              <w:t>17c</w:t>
            </w:r>
          </w:p>
          <w:p w14:paraId="34266FBA" w14:textId="77777777" w:rsidR="000D07EA" w:rsidRDefault="00BE7C89">
            <w:pPr>
              <w:pStyle w:val="BodyText"/>
              <w:spacing w:before="100" w:after="100"/>
            </w:pPr>
            <w:r>
              <w:t>(19c)</w:t>
            </w:r>
          </w:p>
        </w:tc>
        <w:tc>
          <w:tcPr>
            <w:tcW w:w="1776" w:type="dxa"/>
            <w:shd w:val="clear" w:color="auto" w:fill="auto"/>
          </w:tcPr>
          <w:p w14:paraId="4198F2DC" w14:textId="77777777" w:rsidR="000D07EA" w:rsidRDefault="00BE7C89">
            <w:pPr>
              <w:pStyle w:val="BodyText"/>
              <w:spacing w:before="100" w:after="100"/>
            </w:pPr>
            <w:r>
              <w:t>16c</w:t>
            </w:r>
          </w:p>
          <w:p w14:paraId="23A9B5EB" w14:textId="77777777" w:rsidR="000D07EA" w:rsidRDefault="00BE7C89">
            <w:pPr>
              <w:pStyle w:val="BodyText"/>
              <w:spacing w:before="100" w:after="100"/>
            </w:pPr>
            <w:r>
              <w:t>(18c)</w:t>
            </w:r>
          </w:p>
        </w:tc>
        <w:tc>
          <w:tcPr>
            <w:tcW w:w="1776" w:type="dxa"/>
            <w:shd w:val="clear" w:color="auto" w:fill="auto"/>
          </w:tcPr>
          <w:p w14:paraId="40B4C399" w14:textId="77777777" w:rsidR="000D07EA" w:rsidRDefault="00BE7C89">
            <w:pPr>
              <w:pStyle w:val="BodyText"/>
              <w:spacing w:before="100" w:after="100"/>
            </w:pPr>
            <w:r>
              <w:t>15c</w:t>
            </w:r>
          </w:p>
          <w:p w14:paraId="71C0AC81" w14:textId="77777777" w:rsidR="000D07EA" w:rsidRDefault="00BE7C89">
            <w:pPr>
              <w:pStyle w:val="BodyText"/>
              <w:spacing w:before="100" w:after="100"/>
            </w:pPr>
            <w:r>
              <w:t>(17c)</w:t>
            </w:r>
          </w:p>
        </w:tc>
      </w:tr>
      <w:tr w:rsidR="000D07EA" w14:paraId="625704CC" w14:textId="77777777">
        <w:tc>
          <w:tcPr>
            <w:tcW w:w="2545" w:type="dxa"/>
            <w:shd w:val="clear" w:color="auto" w:fill="auto"/>
          </w:tcPr>
          <w:p w14:paraId="25506F44" w14:textId="77777777" w:rsidR="000D07EA" w:rsidRDefault="00BE7C89">
            <w:pPr>
              <w:pStyle w:val="BodyText"/>
              <w:spacing w:before="100" w:after="100"/>
            </w:pPr>
            <w:r>
              <w:t>Calls to landline (national)</w:t>
            </w:r>
            <w:r>
              <w:rPr>
                <w:vertAlign w:val="superscript"/>
              </w:rPr>
              <w:t>^</w:t>
            </w:r>
          </w:p>
        </w:tc>
        <w:tc>
          <w:tcPr>
            <w:tcW w:w="1775" w:type="dxa"/>
            <w:shd w:val="clear" w:color="auto" w:fill="auto"/>
          </w:tcPr>
          <w:p w14:paraId="19C95993" w14:textId="77777777" w:rsidR="000D07EA" w:rsidRDefault="00BE7C89">
            <w:pPr>
              <w:pStyle w:val="BodyText"/>
              <w:spacing w:before="100" w:after="100"/>
            </w:pPr>
            <w:r>
              <w:t>18c</w:t>
            </w:r>
          </w:p>
          <w:p w14:paraId="5C7E1605" w14:textId="77777777" w:rsidR="000D07EA" w:rsidRDefault="00BE7C89">
            <w:pPr>
              <w:pStyle w:val="BodyText"/>
              <w:spacing w:before="100" w:after="100"/>
            </w:pPr>
            <w:r>
              <w:t>(20c)</w:t>
            </w:r>
          </w:p>
        </w:tc>
        <w:tc>
          <w:tcPr>
            <w:tcW w:w="1776" w:type="dxa"/>
            <w:shd w:val="clear" w:color="auto" w:fill="auto"/>
          </w:tcPr>
          <w:p w14:paraId="6C1FB1CE" w14:textId="77777777" w:rsidR="000D07EA" w:rsidRDefault="00BE7C89">
            <w:pPr>
              <w:pStyle w:val="BodyText"/>
              <w:spacing w:before="100" w:after="100"/>
            </w:pPr>
            <w:r>
              <w:t>17c</w:t>
            </w:r>
          </w:p>
          <w:p w14:paraId="16F50C92" w14:textId="77777777" w:rsidR="000D07EA" w:rsidRDefault="00BE7C89">
            <w:pPr>
              <w:pStyle w:val="BodyText"/>
              <w:spacing w:before="100" w:after="100"/>
            </w:pPr>
            <w:r>
              <w:t>(19c)</w:t>
            </w:r>
          </w:p>
        </w:tc>
        <w:tc>
          <w:tcPr>
            <w:tcW w:w="1776" w:type="dxa"/>
            <w:shd w:val="clear" w:color="auto" w:fill="auto"/>
          </w:tcPr>
          <w:p w14:paraId="51F003B2" w14:textId="77777777" w:rsidR="000D07EA" w:rsidRDefault="00BE7C89">
            <w:pPr>
              <w:pStyle w:val="BodyText"/>
              <w:spacing w:before="100" w:after="100"/>
            </w:pPr>
            <w:r>
              <w:t>16c</w:t>
            </w:r>
          </w:p>
          <w:p w14:paraId="7FCAA884" w14:textId="77777777" w:rsidR="000D07EA" w:rsidRDefault="00BE7C89">
            <w:pPr>
              <w:pStyle w:val="BodyText"/>
              <w:spacing w:before="100" w:after="100"/>
            </w:pPr>
            <w:r>
              <w:t>(18c)</w:t>
            </w:r>
          </w:p>
        </w:tc>
        <w:tc>
          <w:tcPr>
            <w:tcW w:w="1776" w:type="dxa"/>
            <w:shd w:val="clear" w:color="auto" w:fill="auto"/>
          </w:tcPr>
          <w:p w14:paraId="1CAFBC87" w14:textId="77777777" w:rsidR="000D07EA" w:rsidRDefault="00BE7C89">
            <w:pPr>
              <w:pStyle w:val="BodyText"/>
              <w:spacing w:before="100" w:after="100"/>
            </w:pPr>
            <w:r>
              <w:t>15c</w:t>
            </w:r>
          </w:p>
          <w:p w14:paraId="1CE0422A" w14:textId="77777777" w:rsidR="000D07EA" w:rsidRDefault="00BE7C89">
            <w:pPr>
              <w:pStyle w:val="BodyText"/>
              <w:spacing w:before="100" w:after="100"/>
            </w:pPr>
            <w:r>
              <w:t>(17c)</w:t>
            </w:r>
          </w:p>
        </w:tc>
      </w:tr>
      <w:tr w:rsidR="000D07EA" w14:paraId="1A2567EC" w14:textId="77777777">
        <w:tc>
          <w:tcPr>
            <w:tcW w:w="2545" w:type="dxa"/>
            <w:shd w:val="clear" w:color="auto" w:fill="auto"/>
          </w:tcPr>
          <w:p w14:paraId="3F5FE126" w14:textId="77777777" w:rsidR="000D07EA" w:rsidRDefault="00BE7C89">
            <w:pPr>
              <w:pStyle w:val="BodyText"/>
              <w:spacing w:before="100" w:after="100"/>
            </w:pPr>
            <w:r>
              <w:t>'yes' Business Fleet - Day</w:t>
            </w:r>
          </w:p>
        </w:tc>
        <w:tc>
          <w:tcPr>
            <w:tcW w:w="7103" w:type="dxa"/>
            <w:gridSpan w:val="4"/>
            <w:shd w:val="clear" w:color="auto" w:fill="auto"/>
          </w:tcPr>
          <w:p w14:paraId="5C4D3CE1" w14:textId="77777777" w:rsidR="000D07EA" w:rsidRDefault="00BE7C89">
            <w:pPr>
              <w:pStyle w:val="BodyText"/>
              <w:spacing w:before="100" w:after="100"/>
            </w:pPr>
            <w:r>
              <w:t>$0 for first 5 minutes, 7am - 7pm, 7 days</w:t>
            </w:r>
          </w:p>
        </w:tc>
      </w:tr>
      <w:tr w:rsidR="000D07EA" w14:paraId="7C950103" w14:textId="77777777">
        <w:tc>
          <w:tcPr>
            <w:tcW w:w="2545" w:type="dxa"/>
            <w:shd w:val="clear" w:color="auto" w:fill="auto"/>
          </w:tcPr>
          <w:p w14:paraId="28107698" w14:textId="77777777" w:rsidR="000D07EA" w:rsidRDefault="00BE7C89">
            <w:pPr>
              <w:pStyle w:val="BodyText"/>
              <w:spacing w:before="100" w:after="100"/>
            </w:pPr>
            <w:r>
              <w:t>Minimum term</w:t>
            </w:r>
          </w:p>
        </w:tc>
        <w:tc>
          <w:tcPr>
            <w:tcW w:w="1775" w:type="dxa"/>
            <w:shd w:val="clear" w:color="auto" w:fill="auto"/>
          </w:tcPr>
          <w:p w14:paraId="1AA25EFE" w14:textId="77777777" w:rsidR="000D07EA" w:rsidRDefault="00BE7C89">
            <w:pPr>
              <w:pStyle w:val="BodyText"/>
              <w:spacing w:before="100" w:after="100"/>
            </w:pPr>
            <w:r>
              <w:t>24 months</w:t>
            </w:r>
          </w:p>
        </w:tc>
        <w:tc>
          <w:tcPr>
            <w:tcW w:w="1776" w:type="dxa"/>
            <w:shd w:val="clear" w:color="auto" w:fill="auto"/>
          </w:tcPr>
          <w:p w14:paraId="6222EB79" w14:textId="77777777" w:rsidR="000D07EA" w:rsidRDefault="00BE7C89">
            <w:pPr>
              <w:pStyle w:val="BodyText"/>
              <w:spacing w:before="100" w:after="100"/>
            </w:pPr>
            <w:r>
              <w:t>24 months</w:t>
            </w:r>
          </w:p>
        </w:tc>
        <w:tc>
          <w:tcPr>
            <w:tcW w:w="1776" w:type="dxa"/>
            <w:shd w:val="clear" w:color="auto" w:fill="auto"/>
          </w:tcPr>
          <w:p w14:paraId="70B05972" w14:textId="77777777" w:rsidR="000D07EA" w:rsidRDefault="00BE7C89">
            <w:pPr>
              <w:pStyle w:val="BodyText"/>
              <w:spacing w:before="100" w:after="100"/>
            </w:pPr>
            <w:r>
              <w:t>24 months</w:t>
            </w:r>
          </w:p>
        </w:tc>
        <w:tc>
          <w:tcPr>
            <w:tcW w:w="1776" w:type="dxa"/>
            <w:shd w:val="clear" w:color="auto" w:fill="auto"/>
          </w:tcPr>
          <w:p w14:paraId="3864581C" w14:textId="77777777" w:rsidR="000D07EA" w:rsidRDefault="00BE7C89">
            <w:pPr>
              <w:pStyle w:val="BodyText"/>
              <w:spacing w:before="100" w:after="100"/>
            </w:pPr>
            <w:r>
              <w:t>24 months</w:t>
            </w:r>
          </w:p>
        </w:tc>
      </w:tr>
      <w:tr w:rsidR="000D07EA" w14:paraId="4633F95D" w14:textId="77777777">
        <w:tc>
          <w:tcPr>
            <w:tcW w:w="2545" w:type="dxa"/>
            <w:shd w:val="clear" w:color="auto" w:fill="auto"/>
          </w:tcPr>
          <w:p w14:paraId="7B54BDEE" w14:textId="77777777" w:rsidR="000D07EA" w:rsidRDefault="00BE7C89">
            <w:pPr>
              <w:pStyle w:val="BodyText"/>
              <w:spacing w:before="100" w:after="100"/>
            </w:pPr>
            <w:r>
              <w:t>Business Bonus Credit</w:t>
            </w:r>
          </w:p>
        </w:tc>
        <w:tc>
          <w:tcPr>
            <w:tcW w:w="1775" w:type="dxa"/>
            <w:shd w:val="clear" w:color="auto" w:fill="auto"/>
          </w:tcPr>
          <w:p w14:paraId="7D075EC0" w14:textId="77777777" w:rsidR="000D07EA" w:rsidRDefault="00BE7C89">
            <w:pPr>
              <w:pStyle w:val="BodyText"/>
              <w:spacing w:before="100" w:after="100"/>
            </w:pPr>
            <w:r>
              <w:t>$254.55</w:t>
            </w:r>
          </w:p>
          <w:p w14:paraId="1ECADF5E" w14:textId="77777777" w:rsidR="000D07EA" w:rsidRDefault="00BE7C89">
            <w:pPr>
              <w:pStyle w:val="BodyText"/>
              <w:spacing w:before="100" w:after="100"/>
            </w:pPr>
            <w:r>
              <w:t>($280)</w:t>
            </w:r>
          </w:p>
        </w:tc>
        <w:tc>
          <w:tcPr>
            <w:tcW w:w="1776" w:type="dxa"/>
            <w:shd w:val="clear" w:color="auto" w:fill="auto"/>
          </w:tcPr>
          <w:p w14:paraId="67E7D71D" w14:textId="77777777" w:rsidR="000D07EA" w:rsidRDefault="00BE7C89">
            <w:pPr>
              <w:pStyle w:val="BodyText"/>
              <w:spacing w:before="100" w:after="100"/>
            </w:pPr>
            <w:r>
              <w:t>$363.64</w:t>
            </w:r>
          </w:p>
          <w:p w14:paraId="443455B1" w14:textId="77777777" w:rsidR="000D07EA" w:rsidRDefault="00BE7C89">
            <w:pPr>
              <w:pStyle w:val="BodyText"/>
              <w:spacing w:before="100" w:after="100"/>
            </w:pPr>
            <w:r>
              <w:t>($400)</w:t>
            </w:r>
          </w:p>
        </w:tc>
        <w:tc>
          <w:tcPr>
            <w:tcW w:w="1776" w:type="dxa"/>
            <w:shd w:val="clear" w:color="auto" w:fill="auto"/>
          </w:tcPr>
          <w:p w14:paraId="26C83F32" w14:textId="77777777" w:rsidR="000D07EA" w:rsidRDefault="00BE7C89">
            <w:pPr>
              <w:pStyle w:val="BodyText"/>
              <w:spacing w:before="100" w:after="100"/>
            </w:pPr>
            <w:r>
              <w:t>$404.54</w:t>
            </w:r>
          </w:p>
          <w:p w14:paraId="6B2D171C" w14:textId="77777777" w:rsidR="000D07EA" w:rsidRDefault="00BE7C89">
            <w:pPr>
              <w:pStyle w:val="BodyText"/>
              <w:spacing w:before="100" w:after="100"/>
            </w:pPr>
            <w:r>
              <w:t>($445)</w:t>
            </w:r>
          </w:p>
        </w:tc>
        <w:tc>
          <w:tcPr>
            <w:tcW w:w="1776" w:type="dxa"/>
            <w:shd w:val="clear" w:color="auto" w:fill="auto"/>
          </w:tcPr>
          <w:p w14:paraId="3BDC84FC" w14:textId="77777777" w:rsidR="000D07EA" w:rsidRDefault="00BE7C89">
            <w:pPr>
              <w:pStyle w:val="BodyText"/>
              <w:spacing w:before="100" w:after="100"/>
            </w:pPr>
            <w:r>
              <w:t>$545.45</w:t>
            </w:r>
          </w:p>
          <w:p w14:paraId="15E67C1C" w14:textId="77777777" w:rsidR="000D07EA" w:rsidRDefault="00BE7C89">
            <w:pPr>
              <w:pStyle w:val="BodyText"/>
              <w:spacing w:before="100" w:after="100"/>
            </w:pPr>
            <w:r>
              <w:t>($600)</w:t>
            </w:r>
          </w:p>
        </w:tc>
      </w:tr>
      <w:tr w:rsidR="000D07EA" w14:paraId="608AC98E" w14:textId="77777777">
        <w:tc>
          <w:tcPr>
            <w:tcW w:w="2545" w:type="dxa"/>
            <w:shd w:val="clear" w:color="auto" w:fill="auto"/>
          </w:tcPr>
          <w:p w14:paraId="52F251A8" w14:textId="77777777" w:rsidR="000D07EA" w:rsidRDefault="00BE7C89">
            <w:pPr>
              <w:pStyle w:val="BodyText"/>
              <w:spacing w:before="100" w:after="100"/>
            </w:pPr>
            <w:r>
              <w:rPr>
                <w:i/>
              </w:rPr>
              <w:t>Cancellation fee</w:t>
            </w:r>
            <w:r>
              <w:t xml:space="preserve"> per </w:t>
            </w:r>
            <w:r>
              <w:rPr>
                <w:i/>
              </w:rPr>
              <w:t>Optus SIM card</w:t>
            </w:r>
          </w:p>
        </w:tc>
        <w:tc>
          <w:tcPr>
            <w:tcW w:w="1775" w:type="dxa"/>
            <w:shd w:val="clear" w:color="auto" w:fill="auto"/>
          </w:tcPr>
          <w:p w14:paraId="353370F3" w14:textId="77777777" w:rsidR="000D07EA" w:rsidRDefault="00BE7C89">
            <w:pPr>
              <w:pStyle w:val="BodyText"/>
              <w:spacing w:before="100" w:after="100"/>
            </w:pPr>
            <w:r>
              <w:t>$350.00</w:t>
            </w:r>
          </w:p>
          <w:p w14:paraId="1180E8BB" w14:textId="77777777" w:rsidR="000D07EA" w:rsidRDefault="00BE7C89">
            <w:pPr>
              <w:pStyle w:val="BodyText"/>
              <w:spacing w:before="100" w:after="100"/>
            </w:pPr>
            <w:r>
              <w:t>($385)</w:t>
            </w:r>
          </w:p>
        </w:tc>
        <w:tc>
          <w:tcPr>
            <w:tcW w:w="1776" w:type="dxa"/>
            <w:shd w:val="clear" w:color="auto" w:fill="auto"/>
          </w:tcPr>
          <w:p w14:paraId="196D083B" w14:textId="77777777" w:rsidR="000D07EA" w:rsidRDefault="00BE7C89">
            <w:pPr>
              <w:pStyle w:val="BodyText"/>
              <w:spacing w:before="100" w:after="100"/>
            </w:pPr>
            <w:r>
              <w:t>$445.45</w:t>
            </w:r>
          </w:p>
          <w:p w14:paraId="06E17F0D" w14:textId="77777777" w:rsidR="000D07EA" w:rsidRDefault="00BE7C89">
            <w:pPr>
              <w:pStyle w:val="BodyText"/>
              <w:spacing w:before="100" w:after="100"/>
            </w:pPr>
            <w:r>
              <w:t>($490)</w:t>
            </w:r>
          </w:p>
        </w:tc>
        <w:tc>
          <w:tcPr>
            <w:tcW w:w="1776" w:type="dxa"/>
            <w:shd w:val="clear" w:color="auto" w:fill="auto"/>
          </w:tcPr>
          <w:p w14:paraId="13D3D15E" w14:textId="77777777" w:rsidR="000D07EA" w:rsidRDefault="00BE7C89">
            <w:pPr>
              <w:pStyle w:val="BodyText"/>
              <w:spacing w:before="100" w:after="100"/>
            </w:pPr>
            <w:r>
              <w:t>$486.36</w:t>
            </w:r>
          </w:p>
          <w:p w14:paraId="4013CD1A" w14:textId="77777777" w:rsidR="000D07EA" w:rsidRDefault="00BE7C89">
            <w:pPr>
              <w:pStyle w:val="BodyText"/>
              <w:spacing w:before="100" w:after="100"/>
            </w:pPr>
            <w:r>
              <w:t>($535)</w:t>
            </w:r>
          </w:p>
        </w:tc>
        <w:tc>
          <w:tcPr>
            <w:tcW w:w="1776" w:type="dxa"/>
            <w:shd w:val="clear" w:color="auto" w:fill="auto"/>
          </w:tcPr>
          <w:p w14:paraId="52B04300" w14:textId="77777777" w:rsidR="000D07EA" w:rsidRDefault="00BE7C89">
            <w:pPr>
              <w:pStyle w:val="BodyText"/>
              <w:spacing w:before="100" w:after="100"/>
            </w:pPr>
            <w:r>
              <w:t>$627.27</w:t>
            </w:r>
          </w:p>
          <w:p w14:paraId="4F0727B2" w14:textId="77777777" w:rsidR="000D07EA" w:rsidRDefault="00BE7C89">
            <w:pPr>
              <w:pStyle w:val="BodyText"/>
              <w:spacing w:before="100" w:after="100"/>
            </w:pPr>
            <w:r>
              <w:t>($690)</w:t>
            </w:r>
          </w:p>
        </w:tc>
      </w:tr>
    </w:tbl>
    <w:p w14:paraId="47632A05" w14:textId="77777777" w:rsidR="000D07EA" w:rsidRDefault="00BE7C89">
      <w:pPr>
        <w:pStyle w:val="BodyText"/>
        <w:spacing w:after="0"/>
        <w:ind w:left="720"/>
        <w:rPr>
          <w:sz w:val="16"/>
          <w:szCs w:val="16"/>
        </w:rPr>
      </w:pPr>
      <w:r>
        <w:rPr>
          <w:sz w:val="16"/>
          <w:szCs w:val="16"/>
        </w:rPr>
        <w:t>Note: All rates are per 30 seconds unless otherwise noted.</w:t>
      </w:r>
    </w:p>
    <w:p w14:paraId="424FEF10" w14:textId="77777777" w:rsidR="000D07EA" w:rsidRDefault="00BE7C89">
      <w:pPr>
        <w:pStyle w:val="BodyText"/>
        <w:spacing w:after="0"/>
        <w:ind w:left="720"/>
        <w:rPr>
          <w:sz w:val="16"/>
          <w:szCs w:val="16"/>
        </w:rPr>
      </w:pPr>
      <w:r>
        <w:rPr>
          <w:sz w:val="16"/>
          <w:szCs w:val="16"/>
        </w:rPr>
        <w:t>The rates above exclude calls to special services and Satellite</w:t>
      </w:r>
    </w:p>
    <w:p w14:paraId="0F930C36" w14:textId="77777777" w:rsidR="000D07EA" w:rsidRDefault="000D07EA">
      <w:pPr>
        <w:pStyle w:val="BodyText"/>
      </w:pPr>
    </w:p>
    <w:p w14:paraId="17482D77" w14:textId="77777777" w:rsidR="000D07EA" w:rsidRDefault="00BE7C89">
      <w:pPr>
        <w:pStyle w:val="BodyText"/>
        <w:ind w:left="720"/>
        <w:rPr>
          <w:b/>
        </w:rPr>
      </w:pPr>
      <w:r>
        <w:rPr>
          <w:b/>
        </w:rPr>
        <w:t>Table 2</w:t>
      </w:r>
    </w:p>
    <w:p w14:paraId="4704EA66" w14:textId="77777777" w:rsidR="000D07EA" w:rsidRDefault="00BE7C89">
      <w:pPr>
        <w:pStyle w:val="BodyText"/>
        <w:ind w:left="720"/>
        <w:rPr>
          <w:b/>
        </w:rPr>
      </w:pPr>
      <w:r>
        <w:rPr>
          <w:b/>
        </w:rPr>
        <w:t>Optus FleetExtra Plans</w:t>
      </w:r>
    </w:p>
    <w:tbl>
      <w:tblPr>
        <w:tblW w:w="965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545"/>
        <w:gridCol w:w="1777"/>
        <w:gridCol w:w="1778"/>
        <w:gridCol w:w="1778"/>
        <w:gridCol w:w="1778"/>
      </w:tblGrid>
      <w:tr w:rsidR="000D07EA" w14:paraId="572034D6" w14:textId="77777777">
        <w:tc>
          <w:tcPr>
            <w:tcW w:w="2545" w:type="dxa"/>
            <w:shd w:val="clear" w:color="auto" w:fill="auto"/>
          </w:tcPr>
          <w:p w14:paraId="22A11F6D" w14:textId="77777777" w:rsidR="000D07EA" w:rsidRDefault="00BE7C89">
            <w:pPr>
              <w:pStyle w:val="BodyText"/>
              <w:spacing w:before="100" w:after="100"/>
              <w:rPr>
                <w:b/>
                <w:i/>
              </w:rPr>
            </w:pPr>
            <w:r>
              <w:rPr>
                <w:b/>
                <w:i/>
              </w:rPr>
              <w:t>Pricing Plan</w:t>
            </w:r>
          </w:p>
        </w:tc>
        <w:tc>
          <w:tcPr>
            <w:tcW w:w="1777" w:type="dxa"/>
            <w:shd w:val="clear" w:color="auto" w:fill="auto"/>
          </w:tcPr>
          <w:p w14:paraId="1A3F604F" w14:textId="77777777" w:rsidR="000D07EA" w:rsidRDefault="00BE7C89">
            <w:pPr>
              <w:pStyle w:val="BodyText"/>
              <w:spacing w:before="100" w:after="100"/>
              <w:rPr>
                <w:b/>
              </w:rPr>
            </w:pPr>
            <w:r>
              <w:rPr>
                <w:b/>
              </w:rPr>
              <w:t>45</w:t>
            </w:r>
          </w:p>
        </w:tc>
        <w:tc>
          <w:tcPr>
            <w:tcW w:w="1778" w:type="dxa"/>
            <w:shd w:val="clear" w:color="auto" w:fill="auto"/>
          </w:tcPr>
          <w:p w14:paraId="0C5E63A9" w14:textId="77777777" w:rsidR="000D07EA" w:rsidRDefault="00BE7C89">
            <w:pPr>
              <w:pStyle w:val="BodyText"/>
              <w:spacing w:before="100" w:after="100"/>
              <w:rPr>
                <w:b/>
              </w:rPr>
            </w:pPr>
            <w:r>
              <w:rPr>
                <w:b/>
              </w:rPr>
              <w:t>75</w:t>
            </w:r>
          </w:p>
        </w:tc>
        <w:tc>
          <w:tcPr>
            <w:tcW w:w="1778" w:type="dxa"/>
            <w:shd w:val="clear" w:color="auto" w:fill="auto"/>
          </w:tcPr>
          <w:p w14:paraId="1C21FD46" w14:textId="77777777" w:rsidR="000D07EA" w:rsidRDefault="00BE7C89">
            <w:pPr>
              <w:pStyle w:val="BodyText"/>
              <w:spacing w:before="100" w:after="100"/>
              <w:rPr>
                <w:b/>
              </w:rPr>
            </w:pPr>
            <w:r>
              <w:rPr>
                <w:b/>
              </w:rPr>
              <w:t>95</w:t>
            </w:r>
          </w:p>
        </w:tc>
        <w:tc>
          <w:tcPr>
            <w:tcW w:w="1778" w:type="dxa"/>
            <w:shd w:val="clear" w:color="auto" w:fill="auto"/>
          </w:tcPr>
          <w:p w14:paraId="5EFE26B7" w14:textId="77777777" w:rsidR="000D07EA" w:rsidRDefault="00BE7C89">
            <w:pPr>
              <w:pStyle w:val="BodyText"/>
              <w:spacing w:before="100" w:after="100"/>
              <w:rPr>
                <w:b/>
              </w:rPr>
            </w:pPr>
            <w:r>
              <w:rPr>
                <w:b/>
              </w:rPr>
              <w:t>150</w:t>
            </w:r>
          </w:p>
        </w:tc>
      </w:tr>
      <w:tr w:rsidR="000D07EA" w14:paraId="33246B14" w14:textId="77777777">
        <w:tc>
          <w:tcPr>
            <w:tcW w:w="2545" w:type="dxa"/>
            <w:shd w:val="clear" w:color="auto" w:fill="auto"/>
          </w:tcPr>
          <w:p w14:paraId="0997E756" w14:textId="77777777" w:rsidR="000D07EA" w:rsidRDefault="00BE7C89">
            <w:pPr>
              <w:pStyle w:val="BodyText"/>
              <w:spacing w:before="100" w:after="100"/>
              <w:rPr>
                <w:i/>
              </w:rPr>
            </w:pPr>
            <w:r>
              <w:t xml:space="preserve">Minimum monthly spend (per </w:t>
            </w:r>
            <w:r>
              <w:rPr>
                <w:i/>
              </w:rPr>
              <w:t>Optus SIM card</w:t>
            </w:r>
            <w:r>
              <w:t>)</w:t>
            </w:r>
          </w:p>
        </w:tc>
        <w:tc>
          <w:tcPr>
            <w:tcW w:w="1777" w:type="dxa"/>
            <w:shd w:val="clear" w:color="auto" w:fill="auto"/>
          </w:tcPr>
          <w:p w14:paraId="23928FCE" w14:textId="77777777" w:rsidR="000D07EA" w:rsidRDefault="00BE7C89">
            <w:pPr>
              <w:pStyle w:val="BodyText"/>
              <w:spacing w:before="100" w:after="100"/>
            </w:pPr>
            <w:r>
              <w:t>$41</w:t>
            </w:r>
          </w:p>
          <w:p w14:paraId="48A3A934" w14:textId="77777777" w:rsidR="000D07EA" w:rsidRDefault="00BE7C89">
            <w:pPr>
              <w:pStyle w:val="BodyText"/>
              <w:spacing w:before="100" w:after="100"/>
            </w:pPr>
            <w:r>
              <w:t>($45)</w:t>
            </w:r>
          </w:p>
        </w:tc>
        <w:tc>
          <w:tcPr>
            <w:tcW w:w="1778" w:type="dxa"/>
            <w:shd w:val="clear" w:color="auto" w:fill="auto"/>
          </w:tcPr>
          <w:p w14:paraId="499F01C9" w14:textId="77777777" w:rsidR="000D07EA" w:rsidRDefault="00BE7C89">
            <w:pPr>
              <w:pStyle w:val="BodyText"/>
              <w:spacing w:before="100" w:after="100"/>
            </w:pPr>
            <w:r>
              <w:t>$68</w:t>
            </w:r>
          </w:p>
          <w:p w14:paraId="74146A50" w14:textId="77777777" w:rsidR="000D07EA" w:rsidRDefault="00BE7C89">
            <w:pPr>
              <w:pStyle w:val="BodyText"/>
              <w:spacing w:before="100" w:after="100"/>
            </w:pPr>
            <w:r>
              <w:t>($75)</w:t>
            </w:r>
          </w:p>
        </w:tc>
        <w:tc>
          <w:tcPr>
            <w:tcW w:w="1778" w:type="dxa"/>
            <w:shd w:val="clear" w:color="auto" w:fill="auto"/>
          </w:tcPr>
          <w:p w14:paraId="4E3F674A" w14:textId="77777777" w:rsidR="000D07EA" w:rsidRDefault="00BE7C89">
            <w:pPr>
              <w:pStyle w:val="BodyText"/>
              <w:spacing w:before="100" w:after="100"/>
            </w:pPr>
            <w:r>
              <w:t>$86</w:t>
            </w:r>
          </w:p>
          <w:p w14:paraId="716A4ED5" w14:textId="77777777" w:rsidR="000D07EA" w:rsidRDefault="00BE7C89">
            <w:pPr>
              <w:pStyle w:val="BodyText"/>
              <w:spacing w:before="100" w:after="100"/>
            </w:pPr>
            <w:r>
              <w:t>($95)</w:t>
            </w:r>
          </w:p>
        </w:tc>
        <w:tc>
          <w:tcPr>
            <w:tcW w:w="1778" w:type="dxa"/>
            <w:shd w:val="clear" w:color="auto" w:fill="auto"/>
          </w:tcPr>
          <w:p w14:paraId="165F3020" w14:textId="77777777" w:rsidR="000D07EA" w:rsidRDefault="00BE7C89">
            <w:pPr>
              <w:pStyle w:val="BodyText"/>
              <w:spacing w:before="100" w:after="100"/>
            </w:pPr>
            <w:r>
              <w:t>$136</w:t>
            </w:r>
          </w:p>
          <w:p w14:paraId="5CC60115" w14:textId="77777777" w:rsidR="000D07EA" w:rsidRDefault="00BE7C89">
            <w:pPr>
              <w:pStyle w:val="BodyText"/>
              <w:spacing w:before="100" w:after="100"/>
            </w:pPr>
            <w:r>
              <w:t>($150)</w:t>
            </w:r>
          </w:p>
        </w:tc>
      </w:tr>
      <w:tr w:rsidR="000D07EA" w14:paraId="65AFEC41" w14:textId="77777777">
        <w:tc>
          <w:tcPr>
            <w:tcW w:w="2545" w:type="dxa"/>
            <w:shd w:val="clear" w:color="auto" w:fill="auto"/>
          </w:tcPr>
          <w:p w14:paraId="172CC00D" w14:textId="77777777" w:rsidR="000D07EA" w:rsidRDefault="00BE7C89">
            <w:pPr>
              <w:pStyle w:val="BodyText"/>
              <w:spacing w:before="100" w:after="100"/>
              <w:rPr>
                <w:i/>
              </w:rPr>
            </w:pPr>
            <w:r>
              <w:rPr>
                <w:i/>
              </w:rPr>
              <w:lastRenderedPageBreak/>
              <w:t>Flagfall</w:t>
            </w:r>
          </w:p>
        </w:tc>
        <w:tc>
          <w:tcPr>
            <w:tcW w:w="1777" w:type="dxa"/>
            <w:shd w:val="clear" w:color="auto" w:fill="auto"/>
          </w:tcPr>
          <w:p w14:paraId="2AD067C6" w14:textId="77777777" w:rsidR="000D07EA" w:rsidRDefault="00BE7C89">
            <w:pPr>
              <w:pStyle w:val="BodyText"/>
              <w:spacing w:before="100" w:after="100"/>
            </w:pPr>
            <w:r>
              <w:t>14c</w:t>
            </w:r>
          </w:p>
          <w:p w14:paraId="1829E17C" w14:textId="77777777" w:rsidR="000D07EA" w:rsidRDefault="00BE7C89">
            <w:pPr>
              <w:pStyle w:val="BodyText"/>
              <w:spacing w:before="100" w:after="100"/>
            </w:pPr>
            <w:r>
              <w:t>(15c)</w:t>
            </w:r>
          </w:p>
        </w:tc>
        <w:tc>
          <w:tcPr>
            <w:tcW w:w="1778" w:type="dxa"/>
            <w:shd w:val="clear" w:color="auto" w:fill="auto"/>
          </w:tcPr>
          <w:p w14:paraId="19BC21A0" w14:textId="77777777" w:rsidR="000D07EA" w:rsidRDefault="00BE7C89">
            <w:pPr>
              <w:pStyle w:val="BodyText"/>
              <w:spacing w:before="100" w:after="100"/>
            </w:pPr>
            <w:r>
              <w:t>14c</w:t>
            </w:r>
          </w:p>
          <w:p w14:paraId="6162A6DA" w14:textId="77777777" w:rsidR="000D07EA" w:rsidRDefault="00BE7C89">
            <w:pPr>
              <w:pStyle w:val="BodyText"/>
              <w:spacing w:before="100" w:after="100"/>
            </w:pPr>
            <w:r>
              <w:t>(15c)</w:t>
            </w:r>
          </w:p>
        </w:tc>
        <w:tc>
          <w:tcPr>
            <w:tcW w:w="1778" w:type="dxa"/>
            <w:shd w:val="clear" w:color="auto" w:fill="auto"/>
          </w:tcPr>
          <w:p w14:paraId="20A7EE16" w14:textId="77777777" w:rsidR="000D07EA" w:rsidRDefault="00BE7C89">
            <w:pPr>
              <w:pStyle w:val="BodyText"/>
              <w:spacing w:before="100" w:after="100"/>
            </w:pPr>
            <w:r>
              <w:t>14c</w:t>
            </w:r>
          </w:p>
          <w:p w14:paraId="65658341" w14:textId="77777777" w:rsidR="000D07EA" w:rsidRDefault="00BE7C89">
            <w:pPr>
              <w:pStyle w:val="BodyText"/>
              <w:spacing w:before="100" w:after="100"/>
            </w:pPr>
            <w:r>
              <w:t>(15c)</w:t>
            </w:r>
          </w:p>
        </w:tc>
        <w:tc>
          <w:tcPr>
            <w:tcW w:w="1778" w:type="dxa"/>
            <w:shd w:val="clear" w:color="auto" w:fill="auto"/>
          </w:tcPr>
          <w:p w14:paraId="02693679" w14:textId="77777777" w:rsidR="000D07EA" w:rsidRDefault="00BE7C89">
            <w:pPr>
              <w:pStyle w:val="BodyText"/>
              <w:spacing w:before="100" w:after="100"/>
            </w:pPr>
            <w:r>
              <w:t>14c</w:t>
            </w:r>
          </w:p>
          <w:p w14:paraId="195B7BFA" w14:textId="77777777" w:rsidR="000D07EA" w:rsidRDefault="00BE7C89">
            <w:pPr>
              <w:pStyle w:val="BodyText"/>
              <w:spacing w:before="100" w:after="100"/>
            </w:pPr>
            <w:r>
              <w:t>(15c)</w:t>
            </w:r>
          </w:p>
        </w:tc>
      </w:tr>
      <w:tr w:rsidR="000D07EA" w14:paraId="147BBB84" w14:textId="77777777">
        <w:tc>
          <w:tcPr>
            <w:tcW w:w="2545" w:type="dxa"/>
            <w:shd w:val="clear" w:color="auto" w:fill="auto"/>
          </w:tcPr>
          <w:p w14:paraId="29076091" w14:textId="77777777" w:rsidR="000D07EA" w:rsidRDefault="00BE7C89">
            <w:pPr>
              <w:pStyle w:val="BodyText"/>
              <w:spacing w:before="100" w:after="100"/>
            </w:pPr>
            <w:r>
              <w:t>Calls to Optus GSM mobiles (national)</w:t>
            </w:r>
            <w:r>
              <w:rPr>
                <w:vertAlign w:val="superscript"/>
              </w:rPr>
              <w:t>^</w:t>
            </w:r>
          </w:p>
        </w:tc>
        <w:tc>
          <w:tcPr>
            <w:tcW w:w="1777" w:type="dxa"/>
            <w:shd w:val="clear" w:color="auto" w:fill="auto"/>
          </w:tcPr>
          <w:p w14:paraId="1B10642F" w14:textId="77777777" w:rsidR="000D07EA" w:rsidRDefault="00BE7C89">
            <w:pPr>
              <w:pStyle w:val="BodyText"/>
              <w:spacing w:before="100" w:after="100"/>
            </w:pPr>
            <w:r>
              <w:t>4c</w:t>
            </w:r>
          </w:p>
          <w:p w14:paraId="5EE019D1" w14:textId="77777777" w:rsidR="000D07EA" w:rsidRDefault="00BE7C89">
            <w:pPr>
              <w:pStyle w:val="BodyText"/>
              <w:spacing w:before="100" w:after="100"/>
            </w:pPr>
            <w:r>
              <w:t>(4.4c)</w:t>
            </w:r>
          </w:p>
        </w:tc>
        <w:tc>
          <w:tcPr>
            <w:tcW w:w="1778" w:type="dxa"/>
            <w:shd w:val="clear" w:color="auto" w:fill="auto"/>
          </w:tcPr>
          <w:p w14:paraId="564B5059" w14:textId="77777777" w:rsidR="000D07EA" w:rsidRDefault="00BE7C89">
            <w:pPr>
              <w:pStyle w:val="BodyText"/>
              <w:spacing w:before="100" w:after="100"/>
            </w:pPr>
            <w:r>
              <w:t>4c</w:t>
            </w:r>
          </w:p>
          <w:p w14:paraId="225655FA" w14:textId="77777777" w:rsidR="000D07EA" w:rsidRDefault="00BE7C89">
            <w:pPr>
              <w:pStyle w:val="BodyText"/>
              <w:spacing w:before="100" w:after="100"/>
            </w:pPr>
            <w:r>
              <w:t>(4.4c)</w:t>
            </w:r>
          </w:p>
        </w:tc>
        <w:tc>
          <w:tcPr>
            <w:tcW w:w="1778" w:type="dxa"/>
            <w:shd w:val="clear" w:color="auto" w:fill="auto"/>
          </w:tcPr>
          <w:p w14:paraId="652D2405" w14:textId="77777777" w:rsidR="000D07EA" w:rsidRDefault="00BE7C89">
            <w:pPr>
              <w:pStyle w:val="BodyText"/>
              <w:spacing w:before="100" w:after="100"/>
            </w:pPr>
            <w:r>
              <w:t>4c</w:t>
            </w:r>
          </w:p>
          <w:p w14:paraId="0FCBC99B" w14:textId="77777777" w:rsidR="000D07EA" w:rsidRDefault="00BE7C89">
            <w:pPr>
              <w:pStyle w:val="BodyText"/>
              <w:spacing w:before="100" w:after="100"/>
            </w:pPr>
            <w:r>
              <w:t>(4.4c)</w:t>
            </w:r>
          </w:p>
        </w:tc>
        <w:tc>
          <w:tcPr>
            <w:tcW w:w="1778" w:type="dxa"/>
            <w:shd w:val="clear" w:color="auto" w:fill="auto"/>
          </w:tcPr>
          <w:p w14:paraId="18020778" w14:textId="77777777" w:rsidR="000D07EA" w:rsidRDefault="00BE7C89">
            <w:pPr>
              <w:pStyle w:val="BodyText"/>
              <w:spacing w:before="100" w:after="100"/>
            </w:pPr>
            <w:r>
              <w:t>4c</w:t>
            </w:r>
          </w:p>
          <w:p w14:paraId="20E53700" w14:textId="77777777" w:rsidR="000D07EA" w:rsidRDefault="00BE7C89">
            <w:pPr>
              <w:pStyle w:val="BodyText"/>
              <w:spacing w:before="100" w:after="100"/>
            </w:pPr>
            <w:r>
              <w:t>(4.4c)</w:t>
            </w:r>
          </w:p>
        </w:tc>
      </w:tr>
      <w:tr w:rsidR="000D07EA" w14:paraId="20A437E4" w14:textId="77777777">
        <w:tc>
          <w:tcPr>
            <w:tcW w:w="2545" w:type="dxa"/>
            <w:shd w:val="clear" w:color="auto" w:fill="auto"/>
          </w:tcPr>
          <w:p w14:paraId="69D5797D" w14:textId="77777777" w:rsidR="000D07EA" w:rsidRDefault="00BE7C89">
            <w:pPr>
              <w:pStyle w:val="BodyText"/>
              <w:spacing w:before="100" w:after="100"/>
            </w:pPr>
            <w:r>
              <w:t>Calls to non-Optus Mobile (national)</w:t>
            </w:r>
            <w:r>
              <w:rPr>
                <w:vertAlign w:val="superscript"/>
              </w:rPr>
              <w:t>^#</w:t>
            </w:r>
          </w:p>
        </w:tc>
        <w:tc>
          <w:tcPr>
            <w:tcW w:w="1777" w:type="dxa"/>
            <w:shd w:val="clear" w:color="auto" w:fill="auto"/>
          </w:tcPr>
          <w:p w14:paraId="3DA295A4" w14:textId="77777777" w:rsidR="000D07EA" w:rsidRDefault="00BE7C89">
            <w:pPr>
              <w:pStyle w:val="BodyText"/>
              <w:spacing w:before="100" w:after="100"/>
            </w:pPr>
            <w:r>
              <w:t>18c</w:t>
            </w:r>
          </w:p>
          <w:p w14:paraId="21537744" w14:textId="77777777" w:rsidR="000D07EA" w:rsidRDefault="00BE7C89">
            <w:pPr>
              <w:pStyle w:val="BodyText"/>
              <w:spacing w:before="100" w:after="100"/>
            </w:pPr>
            <w:r>
              <w:t>(20c)</w:t>
            </w:r>
          </w:p>
        </w:tc>
        <w:tc>
          <w:tcPr>
            <w:tcW w:w="1778" w:type="dxa"/>
            <w:shd w:val="clear" w:color="auto" w:fill="auto"/>
          </w:tcPr>
          <w:p w14:paraId="1A133882" w14:textId="77777777" w:rsidR="000D07EA" w:rsidRDefault="00BE7C89">
            <w:pPr>
              <w:pStyle w:val="BodyText"/>
              <w:spacing w:before="100" w:after="100"/>
            </w:pPr>
            <w:r>
              <w:t>17c</w:t>
            </w:r>
          </w:p>
          <w:p w14:paraId="6E6B8DAB" w14:textId="77777777" w:rsidR="000D07EA" w:rsidRDefault="00BE7C89">
            <w:pPr>
              <w:pStyle w:val="BodyText"/>
              <w:spacing w:before="100" w:after="100"/>
            </w:pPr>
            <w:r>
              <w:t>(19c)</w:t>
            </w:r>
          </w:p>
        </w:tc>
        <w:tc>
          <w:tcPr>
            <w:tcW w:w="1778" w:type="dxa"/>
            <w:shd w:val="clear" w:color="auto" w:fill="auto"/>
          </w:tcPr>
          <w:p w14:paraId="2F26CD09" w14:textId="77777777" w:rsidR="000D07EA" w:rsidRDefault="00BE7C89">
            <w:pPr>
              <w:pStyle w:val="BodyText"/>
              <w:spacing w:before="100" w:after="100"/>
            </w:pPr>
            <w:r>
              <w:t>16c</w:t>
            </w:r>
          </w:p>
          <w:p w14:paraId="7E94AC1B" w14:textId="77777777" w:rsidR="000D07EA" w:rsidRDefault="00BE7C89">
            <w:pPr>
              <w:pStyle w:val="BodyText"/>
              <w:spacing w:before="100" w:after="100"/>
            </w:pPr>
            <w:r>
              <w:t>(18c)</w:t>
            </w:r>
          </w:p>
        </w:tc>
        <w:tc>
          <w:tcPr>
            <w:tcW w:w="1778" w:type="dxa"/>
            <w:shd w:val="clear" w:color="auto" w:fill="auto"/>
          </w:tcPr>
          <w:p w14:paraId="289B7FD8" w14:textId="77777777" w:rsidR="000D07EA" w:rsidRDefault="00BE7C89">
            <w:pPr>
              <w:pStyle w:val="BodyText"/>
              <w:spacing w:before="100" w:after="100"/>
            </w:pPr>
            <w:r>
              <w:t>15c</w:t>
            </w:r>
          </w:p>
          <w:p w14:paraId="70845B01" w14:textId="77777777" w:rsidR="000D07EA" w:rsidRDefault="00BE7C89">
            <w:pPr>
              <w:pStyle w:val="BodyText"/>
              <w:spacing w:before="100" w:after="100"/>
            </w:pPr>
            <w:r>
              <w:t>(17c)</w:t>
            </w:r>
          </w:p>
        </w:tc>
      </w:tr>
      <w:tr w:rsidR="000D07EA" w14:paraId="1ADD4674" w14:textId="77777777">
        <w:tc>
          <w:tcPr>
            <w:tcW w:w="2545" w:type="dxa"/>
            <w:shd w:val="clear" w:color="auto" w:fill="auto"/>
          </w:tcPr>
          <w:p w14:paraId="5700E97D" w14:textId="77777777" w:rsidR="000D07EA" w:rsidRDefault="00BE7C89">
            <w:pPr>
              <w:pStyle w:val="BodyText"/>
              <w:spacing w:before="100" w:after="100"/>
            </w:pPr>
            <w:r>
              <w:t>Calls to landline (national)</w:t>
            </w:r>
            <w:r>
              <w:rPr>
                <w:vertAlign w:val="superscript"/>
              </w:rPr>
              <w:t>^</w:t>
            </w:r>
          </w:p>
        </w:tc>
        <w:tc>
          <w:tcPr>
            <w:tcW w:w="1777" w:type="dxa"/>
            <w:shd w:val="clear" w:color="auto" w:fill="auto"/>
          </w:tcPr>
          <w:p w14:paraId="590A3B12" w14:textId="77777777" w:rsidR="000D07EA" w:rsidRDefault="00BE7C89">
            <w:pPr>
              <w:pStyle w:val="BodyText"/>
              <w:spacing w:before="100" w:after="100"/>
            </w:pPr>
            <w:r>
              <w:t>18c</w:t>
            </w:r>
          </w:p>
          <w:p w14:paraId="7889197F" w14:textId="77777777" w:rsidR="000D07EA" w:rsidRDefault="00BE7C89">
            <w:pPr>
              <w:pStyle w:val="BodyText"/>
              <w:spacing w:before="100" w:after="100"/>
            </w:pPr>
            <w:r>
              <w:t>(20c)</w:t>
            </w:r>
          </w:p>
        </w:tc>
        <w:tc>
          <w:tcPr>
            <w:tcW w:w="1778" w:type="dxa"/>
            <w:shd w:val="clear" w:color="auto" w:fill="auto"/>
          </w:tcPr>
          <w:p w14:paraId="3EA415EC" w14:textId="77777777" w:rsidR="000D07EA" w:rsidRDefault="00BE7C89">
            <w:pPr>
              <w:pStyle w:val="BodyText"/>
              <w:spacing w:before="100" w:after="100"/>
            </w:pPr>
            <w:r>
              <w:t>17c</w:t>
            </w:r>
          </w:p>
          <w:p w14:paraId="37E9D115" w14:textId="77777777" w:rsidR="000D07EA" w:rsidRDefault="00BE7C89">
            <w:pPr>
              <w:pStyle w:val="BodyText"/>
              <w:spacing w:before="100" w:after="100"/>
            </w:pPr>
            <w:r>
              <w:t>(19c)</w:t>
            </w:r>
          </w:p>
        </w:tc>
        <w:tc>
          <w:tcPr>
            <w:tcW w:w="1778" w:type="dxa"/>
            <w:shd w:val="clear" w:color="auto" w:fill="auto"/>
          </w:tcPr>
          <w:p w14:paraId="2006DE02" w14:textId="77777777" w:rsidR="000D07EA" w:rsidRDefault="00BE7C89">
            <w:pPr>
              <w:pStyle w:val="BodyText"/>
              <w:spacing w:before="100" w:after="100"/>
            </w:pPr>
            <w:r>
              <w:t>16c</w:t>
            </w:r>
          </w:p>
          <w:p w14:paraId="427FC23A" w14:textId="77777777" w:rsidR="000D07EA" w:rsidRDefault="00BE7C89">
            <w:pPr>
              <w:pStyle w:val="BodyText"/>
              <w:spacing w:before="100" w:after="100"/>
            </w:pPr>
            <w:r>
              <w:t>(18c)</w:t>
            </w:r>
          </w:p>
        </w:tc>
        <w:tc>
          <w:tcPr>
            <w:tcW w:w="1778" w:type="dxa"/>
            <w:shd w:val="clear" w:color="auto" w:fill="auto"/>
          </w:tcPr>
          <w:p w14:paraId="3A4AFA32" w14:textId="77777777" w:rsidR="000D07EA" w:rsidRDefault="00BE7C89">
            <w:pPr>
              <w:pStyle w:val="BodyText"/>
              <w:spacing w:before="100" w:after="100"/>
            </w:pPr>
            <w:r>
              <w:t>15c</w:t>
            </w:r>
          </w:p>
          <w:p w14:paraId="696D22CF" w14:textId="77777777" w:rsidR="000D07EA" w:rsidRDefault="00BE7C89">
            <w:pPr>
              <w:pStyle w:val="BodyText"/>
              <w:spacing w:before="100" w:after="100"/>
            </w:pPr>
            <w:r>
              <w:t>(17c)</w:t>
            </w:r>
          </w:p>
        </w:tc>
      </w:tr>
      <w:tr w:rsidR="000D07EA" w14:paraId="7AA93D16" w14:textId="77777777">
        <w:tc>
          <w:tcPr>
            <w:tcW w:w="2545" w:type="dxa"/>
            <w:shd w:val="clear" w:color="auto" w:fill="auto"/>
          </w:tcPr>
          <w:p w14:paraId="35E48F28" w14:textId="77777777" w:rsidR="000D07EA" w:rsidRDefault="00BE7C89">
            <w:pPr>
              <w:pStyle w:val="BodyText"/>
              <w:spacing w:before="100" w:after="100"/>
            </w:pPr>
            <w:r>
              <w:t>'yes' Business Fleet - Day</w:t>
            </w:r>
          </w:p>
        </w:tc>
        <w:tc>
          <w:tcPr>
            <w:tcW w:w="7111" w:type="dxa"/>
            <w:gridSpan w:val="4"/>
            <w:shd w:val="clear" w:color="auto" w:fill="auto"/>
          </w:tcPr>
          <w:p w14:paraId="1C54C228" w14:textId="77777777" w:rsidR="000D07EA" w:rsidRDefault="00BE7C89">
            <w:pPr>
              <w:pStyle w:val="BodyText"/>
              <w:spacing w:before="100" w:after="100"/>
            </w:pPr>
            <w:r>
              <w:t>$0 for first 5 minutes, 7am - 7pm, 7 days</w:t>
            </w:r>
          </w:p>
        </w:tc>
      </w:tr>
      <w:tr w:rsidR="000D07EA" w14:paraId="3AE0C665" w14:textId="77777777">
        <w:tc>
          <w:tcPr>
            <w:tcW w:w="2545" w:type="dxa"/>
            <w:shd w:val="clear" w:color="auto" w:fill="auto"/>
          </w:tcPr>
          <w:p w14:paraId="49997CE9" w14:textId="77777777" w:rsidR="000D07EA" w:rsidRDefault="00BE7C89">
            <w:pPr>
              <w:pStyle w:val="BodyText"/>
              <w:spacing w:before="100" w:after="100"/>
              <w:rPr>
                <w:i/>
              </w:rPr>
            </w:pPr>
            <w:r>
              <w:rPr>
                <w:i/>
              </w:rPr>
              <w:t>minimum term</w:t>
            </w:r>
          </w:p>
        </w:tc>
        <w:tc>
          <w:tcPr>
            <w:tcW w:w="1777" w:type="dxa"/>
            <w:shd w:val="clear" w:color="auto" w:fill="auto"/>
          </w:tcPr>
          <w:p w14:paraId="2059E3AB" w14:textId="77777777" w:rsidR="000D07EA" w:rsidRDefault="00BE7C89">
            <w:pPr>
              <w:pStyle w:val="BodyText"/>
              <w:spacing w:before="100" w:after="100"/>
            </w:pPr>
            <w:r>
              <w:t>24 months</w:t>
            </w:r>
          </w:p>
        </w:tc>
        <w:tc>
          <w:tcPr>
            <w:tcW w:w="1778" w:type="dxa"/>
            <w:shd w:val="clear" w:color="auto" w:fill="auto"/>
          </w:tcPr>
          <w:p w14:paraId="337FD59D" w14:textId="77777777" w:rsidR="000D07EA" w:rsidRDefault="00BE7C89">
            <w:pPr>
              <w:pStyle w:val="BodyText"/>
              <w:spacing w:before="100" w:after="100"/>
            </w:pPr>
            <w:r>
              <w:t>24 months</w:t>
            </w:r>
          </w:p>
        </w:tc>
        <w:tc>
          <w:tcPr>
            <w:tcW w:w="1778" w:type="dxa"/>
            <w:shd w:val="clear" w:color="auto" w:fill="auto"/>
          </w:tcPr>
          <w:p w14:paraId="4A32AE3E" w14:textId="77777777" w:rsidR="000D07EA" w:rsidRDefault="00BE7C89">
            <w:pPr>
              <w:pStyle w:val="BodyText"/>
              <w:spacing w:before="100" w:after="100"/>
            </w:pPr>
            <w:r>
              <w:t>24 months</w:t>
            </w:r>
          </w:p>
        </w:tc>
        <w:tc>
          <w:tcPr>
            <w:tcW w:w="1778" w:type="dxa"/>
            <w:shd w:val="clear" w:color="auto" w:fill="auto"/>
          </w:tcPr>
          <w:p w14:paraId="155361EF" w14:textId="77777777" w:rsidR="000D07EA" w:rsidRDefault="00BE7C89">
            <w:pPr>
              <w:pStyle w:val="BodyText"/>
              <w:spacing w:before="100" w:after="100"/>
            </w:pPr>
            <w:r>
              <w:t>24 months</w:t>
            </w:r>
          </w:p>
        </w:tc>
      </w:tr>
      <w:tr w:rsidR="000D07EA" w14:paraId="674C8B1D" w14:textId="77777777">
        <w:tc>
          <w:tcPr>
            <w:tcW w:w="2545" w:type="dxa"/>
            <w:shd w:val="clear" w:color="auto" w:fill="auto"/>
          </w:tcPr>
          <w:p w14:paraId="5C27EFD9" w14:textId="77777777" w:rsidR="000D07EA" w:rsidRDefault="00BE7C89">
            <w:pPr>
              <w:pStyle w:val="BodyText"/>
              <w:spacing w:before="100" w:after="100"/>
            </w:pPr>
            <w:r>
              <w:rPr>
                <w:i/>
              </w:rPr>
              <w:t>Cancellation fee</w:t>
            </w:r>
            <w:r>
              <w:t xml:space="preserve"> per </w:t>
            </w:r>
            <w:r>
              <w:rPr>
                <w:i/>
              </w:rPr>
              <w:t>Optus SIM card</w:t>
            </w:r>
          </w:p>
        </w:tc>
        <w:tc>
          <w:tcPr>
            <w:tcW w:w="1777" w:type="dxa"/>
            <w:shd w:val="clear" w:color="auto" w:fill="auto"/>
          </w:tcPr>
          <w:p w14:paraId="03294BE6" w14:textId="77777777" w:rsidR="000D07EA" w:rsidRDefault="00BE7C89">
            <w:pPr>
              <w:pStyle w:val="BodyText"/>
              <w:spacing w:before="100" w:after="100"/>
            </w:pPr>
            <w:r>
              <w:t>$350.00</w:t>
            </w:r>
          </w:p>
          <w:p w14:paraId="625177E4" w14:textId="77777777" w:rsidR="000D07EA" w:rsidRDefault="00BE7C89">
            <w:pPr>
              <w:pStyle w:val="BodyText"/>
              <w:spacing w:before="100" w:after="100"/>
            </w:pPr>
            <w:r>
              <w:t>($385)</w:t>
            </w:r>
          </w:p>
        </w:tc>
        <w:tc>
          <w:tcPr>
            <w:tcW w:w="1778" w:type="dxa"/>
            <w:shd w:val="clear" w:color="auto" w:fill="auto"/>
          </w:tcPr>
          <w:p w14:paraId="6A714EA7" w14:textId="77777777" w:rsidR="000D07EA" w:rsidRDefault="00BE7C89">
            <w:pPr>
              <w:pStyle w:val="BodyText"/>
              <w:spacing w:before="100" w:after="100"/>
            </w:pPr>
            <w:r>
              <w:t>$445.45</w:t>
            </w:r>
          </w:p>
          <w:p w14:paraId="17E351EF" w14:textId="77777777" w:rsidR="000D07EA" w:rsidRDefault="00BE7C89">
            <w:pPr>
              <w:pStyle w:val="BodyText"/>
              <w:spacing w:before="100" w:after="100"/>
            </w:pPr>
            <w:r>
              <w:t>($490)</w:t>
            </w:r>
          </w:p>
        </w:tc>
        <w:tc>
          <w:tcPr>
            <w:tcW w:w="1778" w:type="dxa"/>
            <w:shd w:val="clear" w:color="auto" w:fill="auto"/>
          </w:tcPr>
          <w:p w14:paraId="06CAFB92" w14:textId="77777777" w:rsidR="000D07EA" w:rsidRDefault="00BE7C89">
            <w:pPr>
              <w:pStyle w:val="BodyText"/>
              <w:spacing w:before="100" w:after="100"/>
            </w:pPr>
            <w:r>
              <w:t>$486.36</w:t>
            </w:r>
          </w:p>
          <w:p w14:paraId="3421B6EE" w14:textId="77777777" w:rsidR="000D07EA" w:rsidRDefault="00BE7C89">
            <w:pPr>
              <w:pStyle w:val="BodyText"/>
              <w:spacing w:before="100" w:after="100"/>
            </w:pPr>
            <w:r>
              <w:t>($535)</w:t>
            </w:r>
          </w:p>
        </w:tc>
        <w:tc>
          <w:tcPr>
            <w:tcW w:w="1778" w:type="dxa"/>
            <w:shd w:val="clear" w:color="auto" w:fill="auto"/>
          </w:tcPr>
          <w:p w14:paraId="0C73865B" w14:textId="77777777" w:rsidR="000D07EA" w:rsidRDefault="00BE7C89">
            <w:pPr>
              <w:pStyle w:val="BodyText"/>
              <w:spacing w:before="100" w:after="100"/>
            </w:pPr>
            <w:r>
              <w:t>$627.27</w:t>
            </w:r>
          </w:p>
          <w:p w14:paraId="46F605E2" w14:textId="77777777" w:rsidR="000D07EA" w:rsidRDefault="00BE7C89">
            <w:pPr>
              <w:pStyle w:val="BodyText"/>
              <w:spacing w:before="100" w:after="100"/>
            </w:pPr>
            <w:r>
              <w:t>($690)</w:t>
            </w:r>
          </w:p>
        </w:tc>
      </w:tr>
    </w:tbl>
    <w:p w14:paraId="7E81B378" w14:textId="77777777" w:rsidR="000D07EA" w:rsidRDefault="00BE7C89">
      <w:pPr>
        <w:pStyle w:val="BodyText"/>
        <w:spacing w:after="0"/>
        <w:ind w:left="720"/>
        <w:rPr>
          <w:sz w:val="16"/>
          <w:szCs w:val="16"/>
        </w:rPr>
      </w:pPr>
      <w:r>
        <w:rPr>
          <w:sz w:val="16"/>
          <w:szCs w:val="16"/>
        </w:rPr>
        <w:t>Note: All rates are per 30 seconds unless otherwise noted.</w:t>
      </w:r>
    </w:p>
    <w:p w14:paraId="50CEFDED" w14:textId="77777777" w:rsidR="000D07EA" w:rsidRDefault="00BE7C89">
      <w:pPr>
        <w:pStyle w:val="BodyText"/>
        <w:spacing w:after="0"/>
        <w:ind w:left="720"/>
        <w:rPr>
          <w:sz w:val="16"/>
          <w:szCs w:val="16"/>
        </w:rPr>
      </w:pPr>
      <w:r>
        <w:rPr>
          <w:sz w:val="16"/>
          <w:szCs w:val="16"/>
        </w:rPr>
        <w:t>The rates above exclude calls to special services and Satellite.</w:t>
      </w:r>
    </w:p>
    <w:p w14:paraId="2FF04657" w14:textId="77777777" w:rsidR="000D07EA" w:rsidRDefault="000D07EA">
      <w:pPr>
        <w:pStyle w:val="BodyText"/>
      </w:pPr>
    </w:p>
    <w:p w14:paraId="2FC737E5" w14:textId="77777777" w:rsidR="000D07EA" w:rsidRDefault="00BE7C89">
      <w:pPr>
        <w:pStyle w:val="Heading6"/>
        <w:ind w:left="0" w:firstLine="0"/>
      </w:pPr>
      <w:r>
        <w:t xml:space="preserve">What happens if the </w:t>
      </w:r>
      <w:r>
        <w:rPr>
          <w:i/>
        </w:rPr>
        <w:t>service is cancelled</w:t>
      </w:r>
      <w:r>
        <w:t xml:space="preserve"> early?</w:t>
      </w:r>
    </w:p>
    <w:p w14:paraId="08B82031" w14:textId="77777777" w:rsidR="000D07EA" w:rsidRDefault="00BE7C89">
      <w:pPr>
        <w:pStyle w:val="Heading7"/>
      </w:pPr>
      <w:bookmarkStart w:id="53" w:name="_Ref461542123"/>
      <w:r>
        <w:t xml:space="preserve">If </w:t>
      </w:r>
      <w:r>
        <w:rPr>
          <w:i/>
        </w:rPr>
        <w:t>the service is cancelled</w:t>
      </w:r>
      <w:r>
        <w:t xml:space="preserve"> before the expiry of the </w:t>
      </w:r>
      <w:r>
        <w:rPr>
          <w:i/>
        </w:rPr>
        <w:t>minimum term</w:t>
      </w:r>
      <w:r>
        <w:t xml:space="preserve">, </w:t>
      </w:r>
      <w:r>
        <w:rPr>
          <w:i/>
        </w:rPr>
        <w:t>you</w:t>
      </w:r>
      <w:r>
        <w:t xml:space="preserve"> will be required to pay </w:t>
      </w:r>
      <w:r>
        <w:rPr>
          <w:i/>
        </w:rPr>
        <w:t>us</w:t>
      </w:r>
      <w:r>
        <w:t>:</w:t>
      </w:r>
      <w:bookmarkEnd w:id="53"/>
    </w:p>
    <w:p w14:paraId="1AB79CAB" w14:textId="77777777" w:rsidR="000D07EA" w:rsidRDefault="00BE7C89">
      <w:pPr>
        <w:pStyle w:val="Heading8"/>
      </w:pPr>
      <w:r>
        <w:t xml:space="preserve">any usage charges incurred up to, and including, the </w:t>
      </w:r>
      <w:r>
        <w:rPr>
          <w:i/>
        </w:rPr>
        <w:t>cancellation date</w:t>
      </w:r>
      <w:r>
        <w:t>; plus</w:t>
      </w:r>
    </w:p>
    <w:p w14:paraId="11020DB0" w14:textId="77777777" w:rsidR="000D07EA" w:rsidRDefault="00BE7C89">
      <w:pPr>
        <w:pStyle w:val="Heading8"/>
      </w:pPr>
      <w:r>
        <w:t xml:space="preserve">the </w:t>
      </w:r>
      <w:r>
        <w:rPr>
          <w:i/>
        </w:rPr>
        <w:t>cancellation fee</w:t>
      </w:r>
      <w:r>
        <w:t xml:space="preserve"> set out in paragraph </w:t>
      </w:r>
      <w:r>
        <w:fldChar w:fldCharType="begin"/>
      </w:r>
      <w:r>
        <w:instrText xml:space="preserve"> REF _Ref461542122 \n \h </w:instrText>
      </w:r>
      <w:r>
        <w:fldChar w:fldCharType="separate"/>
      </w:r>
      <w:r w:rsidR="0004083A">
        <w:t>(b)</w:t>
      </w:r>
      <w:r>
        <w:fldChar w:fldCharType="end"/>
      </w:r>
      <w:r>
        <w:t xml:space="preserve"> below unless under clause 2A of the </w:t>
      </w:r>
      <w:hyperlink r:id="rId22" w:history="1">
        <w:r>
          <w:rPr>
            <w:rStyle w:val="Hyperlink"/>
            <w:i/>
          </w:rPr>
          <w:t>SMB terms</w:t>
        </w:r>
      </w:hyperlink>
      <w:r>
        <w:t xml:space="preserve">, </w:t>
      </w:r>
      <w:r>
        <w:rPr>
          <w:i/>
        </w:rPr>
        <w:t>you</w:t>
      </w:r>
      <w:r>
        <w:t xml:space="preserve"> are entitled to </w:t>
      </w:r>
      <w:r>
        <w:rPr>
          <w:i/>
        </w:rPr>
        <w:t>cancel the service</w:t>
      </w:r>
      <w:r>
        <w:t xml:space="preserve"> without incurring a </w:t>
      </w:r>
      <w:r>
        <w:rPr>
          <w:i/>
        </w:rPr>
        <w:t>cancellation fee</w:t>
      </w:r>
      <w:r>
        <w:t>); plus</w:t>
      </w:r>
    </w:p>
    <w:p w14:paraId="16D3C9F2" w14:textId="77777777" w:rsidR="000D07EA" w:rsidRDefault="00BE7C89">
      <w:pPr>
        <w:pStyle w:val="Heading8"/>
      </w:pPr>
      <w:r>
        <w:t xml:space="preserve">the sum of unpaid </w:t>
      </w:r>
      <w:r>
        <w:rPr>
          <w:i/>
        </w:rPr>
        <w:t>equipment charges</w:t>
      </w:r>
      <w:r>
        <w:t xml:space="preserve"> owing on your </w:t>
      </w:r>
      <w:r>
        <w:rPr>
          <w:i/>
        </w:rPr>
        <w:t>mobile phone</w:t>
      </w:r>
      <w:r>
        <w:t xml:space="preserve"> under the </w:t>
      </w:r>
      <w:r>
        <w:rPr>
          <w:i/>
        </w:rPr>
        <w:t>mobile equipment payment plan</w:t>
      </w:r>
      <w:r>
        <w:t xml:space="preserve"> (if any).</w:t>
      </w:r>
    </w:p>
    <w:p w14:paraId="55F6F472" w14:textId="77777777" w:rsidR="000D07EA" w:rsidRDefault="00BE7C89">
      <w:pPr>
        <w:pStyle w:val="Heading7"/>
      </w:pPr>
      <w:bookmarkStart w:id="54" w:name="_Ref461542122"/>
      <w:r>
        <w:t xml:space="preserve">The </w:t>
      </w:r>
      <w:r>
        <w:rPr>
          <w:i/>
        </w:rPr>
        <w:t>cancellation fee</w:t>
      </w:r>
      <w:r>
        <w:t xml:space="preserve"> payable under paragraph </w:t>
      </w:r>
      <w:r>
        <w:fldChar w:fldCharType="begin"/>
      </w:r>
      <w:r>
        <w:instrText xml:space="preserve"> REF _Ref461542123 \n \h </w:instrText>
      </w:r>
      <w:r>
        <w:fldChar w:fldCharType="separate"/>
      </w:r>
      <w:r w:rsidR="0004083A">
        <w:t>(a)</w:t>
      </w:r>
      <w:r>
        <w:fldChar w:fldCharType="end"/>
      </w:r>
      <w:r>
        <w:t xml:space="preserve"> above (if any) is: for </w:t>
      </w:r>
      <w:r>
        <w:rPr>
          <w:i/>
        </w:rPr>
        <w:t>Cancellation</w:t>
      </w:r>
      <w:r>
        <w:t xml:space="preserve"> between months 0 -12; $500 for the </w:t>
      </w:r>
      <w:r>
        <w:rPr>
          <w:i/>
        </w:rPr>
        <w:t>FleetExtra $45</w:t>
      </w:r>
      <w:r>
        <w:t xml:space="preserve"> Plan, $630 for the </w:t>
      </w:r>
      <w:r>
        <w:rPr>
          <w:i/>
        </w:rPr>
        <w:t>FleetExtra $75</w:t>
      </w:r>
      <w:r>
        <w:t xml:space="preserve"> Plan, $700 for the </w:t>
      </w:r>
      <w:r>
        <w:rPr>
          <w:i/>
        </w:rPr>
        <w:t>FleetExtra $95</w:t>
      </w:r>
      <w:r>
        <w:t xml:space="preserve"> Plan and $1300 for the </w:t>
      </w:r>
      <w:r>
        <w:rPr>
          <w:i/>
        </w:rPr>
        <w:t>FleetExtra $150</w:t>
      </w:r>
      <w:r>
        <w:t xml:space="preserve"> Plan ("Initial </w:t>
      </w:r>
      <w:r>
        <w:rPr>
          <w:i/>
        </w:rPr>
        <w:t>Cancellation Fee</w:t>
      </w:r>
      <w:r>
        <w:t xml:space="preserve">"), and for </w:t>
      </w:r>
      <w:r>
        <w:rPr>
          <w:i/>
        </w:rPr>
        <w:t>cancellations</w:t>
      </w:r>
      <w:r>
        <w:t xml:space="preserve"> between months 13-24 an amount in accordance with the following calculation: for months 13-15, 80% of the Initial </w:t>
      </w:r>
      <w:r>
        <w:rPr>
          <w:i/>
        </w:rPr>
        <w:t>Cancellation Fee</w:t>
      </w:r>
      <w:r>
        <w:t xml:space="preserve">, for months 16-18, 60% of the Initial </w:t>
      </w:r>
      <w:r>
        <w:rPr>
          <w:i/>
        </w:rPr>
        <w:t>Cancellation Fee</w:t>
      </w:r>
      <w:r>
        <w:t xml:space="preserve">, for months 19- 21, 40% of the Initial </w:t>
      </w:r>
      <w:r>
        <w:rPr>
          <w:i/>
        </w:rPr>
        <w:t>Cancellation Fee</w:t>
      </w:r>
      <w:r>
        <w:t xml:space="preserve">, for months 22-24, 20% of the Initial </w:t>
      </w:r>
      <w:r>
        <w:rPr>
          <w:i/>
        </w:rPr>
        <w:t>Cancellation Fee</w:t>
      </w:r>
      <w:r>
        <w:t>.</w:t>
      </w:r>
      <w:bookmarkEnd w:id="54"/>
    </w:p>
    <w:p w14:paraId="7E0CA7B4" w14:textId="77777777" w:rsidR="000D07EA" w:rsidRDefault="00BE7C89">
      <w:pPr>
        <w:pStyle w:val="Heading6"/>
        <w:ind w:left="0" w:firstLine="0"/>
      </w:pPr>
      <w:r>
        <w:t xml:space="preserve">Changes to </w:t>
      </w:r>
      <w:r>
        <w:rPr>
          <w:i/>
        </w:rPr>
        <w:t>your pricing plan</w:t>
      </w:r>
    </w:p>
    <w:p w14:paraId="468AB2FB" w14:textId="77777777" w:rsidR="000D07EA" w:rsidRDefault="00BE7C89">
      <w:pPr>
        <w:pStyle w:val="BodyText"/>
        <w:ind w:left="720"/>
      </w:pPr>
      <w:r>
        <w:t xml:space="preserve">Change of ownership is permitted during the term of the </w:t>
      </w:r>
      <w:r>
        <w:rPr>
          <w:i/>
        </w:rPr>
        <w:t>agreement</w:t>
      </w:r>
      <w:r>
        <w:t xml:space="preserve"> providing the new applicant meets Optus credit assessment criteria and both the current and new owner agree to the conditions on the Optus Change of Ownership form.</w:t>
      </w:r>
    </w:p>
    <w:p w14:paraId="52011422" w14:textId="77777777" w:rsidR="000D07EA" w:rsidRDefault="00BE7C89">
      <w:pPr>
        <w:pStyle w:val="Heading4"/>
      </w:pPr>
      <w:bookmarkStart w:id="55" w:name="_Toc62644604"/>
      <w:r>
        <w:t>Optus OneFleet Plans</w:t>
      </w:r>
      <w:bookmarkEnd w:id="55"/>
    </w:p>
    <w:p w14:paraId="0E6E4B19" w14:textId="77777777" w:rsidR="000D07EA" w:rsidRDefault="00BE7C89">
      <w:pPr>
        <w:pStyle w:val="BodyText"/>
        <w:ind w:left="720"/>
      </w:pPr>
      <w:r>
        <w:t xml:space="preserve">Incorporating the Optus OneFleet </w:t>
      </w:r>
      <w:r>
        <w:rPr>
          <w:i/>
        </w:rPr>
        <w:t>pricing plans</w:t>
      </w:r>
      <w:r>
        <w:t xml:space="preserve"> (25,40,60,80,120) and Optus OneFleet BYO </w:t>
      </w:r>
      <w:r>
        <w:rPr>
          <w:i/>
        </w:rPr>
        <w:t>pricing plans</w:t>
      </w:r>
      <w:r>
        <w:t xml:space="preserve"> 25,40,60,80,120)</w:t>
      </w:r>
    </w:p>
    <w:p w14:paraId="3843C364" w14:textId="77777777" w:rsidR="000D07EA" w:rsidRDefault="00BE7C89">
      <w:pPr>
        <w:pStyle w:val="Heading6"/>
        <w:ind w:left="0" w:firstLine="0"/>
      </w:pPr>
      <w:r>
        <w:t>Eligibility</w:t>
      </w:r>
    </w:p>
    <w:p w14:paraId="1AABADD8" w14:textId="77777777" w:rsidR="000D07EA" w:rsidRDefault="00BE7C89">
      <w:pPr>
        <w:pStyle w:val="Heading7"/>
      </w:pPr>
      <w:r>
        <w:t xml:space="preserve">The Optus OneFleet </w:t>
      </w:r>
      <w:r>
        <w:rPr>
          <w:i/>
        </w:rPr>
        <w:t>pricing plans</w:t>
      </w:r>
      <w:r>
        <w:t xml:space="preserve"> are only available under special offers to customers </w:t>
      </w:r>
      <w:r>
        <w:rPr>
          <w:i/>
        </w:rPr>
        <w:t>we</w:t>
      </w:r>
      <w:r>
        <w:t xml:space="preserve"> classify as business customers.</w:t>
      </w:r>
    </w:p>
    <w:p w14:paraId="4738FB21" w14:textId="77777777" w:rsidR="000D07EA" w:rsidRDefault="00BE7C89">
      <w:pPr>
        <w:pStyle w:val="Heading7"/>
      </w:pPr>
      <w:bookmarkStart w:id="56" w:name="_Ref461542152"/>
      <w:r>
        <w:lastRenderedPageBreak/>
        <w:t xml:space="preserve">To be eligible, </w:t>
      </w:r>
      <w:r>
        <w:rPr>
          <w:i/>
        </w:rPr>
        <w:t>you</w:t>
      </w:r>
      <w:r>
        <w:t xml:space="preserve"> must show a prior total minimum monthly call spend of $681.82 ($750) across </w:t>
      </w:r>
      <w:r>
        <w:rPr>
          <w:i/>
        </w:rPr>
        <w:t>your</w:t>
      </w:r>
      <w:r>
        <w:t xml:space="preserve"> currently connected fleet of </w:t>
      </w:r>
      <w:r>
        <w:rPr>
          <w:i/>
        </w:rPr>
        <w:t>mobile phones</w:t>
      </w:r>
      <w:r>
        <w:t xml:space="preserve"> or a prior total minimum monthly call spend approved by </w:t>
      </w:r>
      <w:r>
        <w:rPr>
          <w:i/>
        </w:rPr>
        <w:t>us</w:t>
      </w:r>
      <w:r>
        <w:t xml:space="preserve"> at </w:t>
      </w:r>
      <w:r>
        <w:rPr>
          <w:i/>
        </w:rPr>
        <w:t>our</w:t>
      </w:r>
      <w:r>
        <w:t xml:space="preserve"> discretion.</w:t>
      </w:r>
      <w:bookmarkEnd w:id="56"/>
    </w:p>
    <w:p w14:paraId="7006FBA6" w14:textId="77777777" w:rsidR="000D07EA" w:rsidRDefault="00BE7C89">
      <w:pPr>
        <w:pStyle w:val="Heading7"/>
      </w:pPr>
      <w:r>
        <w:t xml:space="preserve">If </w:t>
      </w:r>
      <w:r>
        <w:rPr>
          <w:i/>
        </w:rPr>
        <w:t>you</w:t>
      </w:r>
      <w:r>
        <w:t xml:space="preserve"> cease to have a minimum monthly call spend as required under paragraph </w:t>
      </w:r>
      <w:r>
        <w:fldChar w:fldCharType="begin"/>
      </w:r>
      <w:r>
        <w:instrText xml:space="preserve"> REF _Ref461542152 \n \h </w:instrText>
      </w:r>
      <w:r>
        <w:fldChar w:fldCharType="separate"/>
      </w:r>
      <w:r w:rsidR="0004083A">
        <w:t>(b)</w:t>
      </w:r>
      <w:r>
        <w:fldChar w:fldCharType="end"/>
      </w:r>
      <w:r>
        <w:t xml:space="preserve"> above, </w:t>
      </w:r>
      <w:r>
        <w:rPr>
          <w:i/>
        </w:rPr>
        <w:t>you</w:t>
      </w:r>
      <w:r>
        <w:t xml:space="preserve"> may be transferred to another </w:t>
      </w:r>
      <w:r>
        <w:rPr>
          <w:i/>
        </w:rPr>
        <w:t>pricing plan</w:t>
      </w:r>
      <w:r>
        <w:t xml:space="preserve"> at </w:t>
      </w:r>
      <w:r>
        <w:rPr>
          <w:i/>
        </w:rPr>
        <w:t>our</w:t>
      </w:r>
      <w:r>
        <w:t xml:space="preserve"> discretion. </w:t>
      </w:r>
      <w:r>
        <w:rPr>
          <w:i/>
        </w:rPr>
        <w:t>You</w:t>
      </w:r>
      <w:r>
        <w:t xml:space="preserve"> must also have a fleet of at least 30 mobile phones (</w:t>
      </w:r>
      <w:r>
        <w:rPr>
          <w:i/>
        </w:rPr>
        <w:t>Optus SIM cards</w:t>
      </w:r>
      <w:r>
        <w:t xml:space="preserve">) in </w:t>
      </w:r>
      <w:r>
        <w:rPr>
          <w:i/>
        </w:rPr>
        <w:t>your</w:t>
      </w:r>
      <w:r>
        <w:t xml:space="preserve"> account or a fleet of any other number approved by </w:t>
      </w:r>
      <w:r>
        <w:rPr>
          <w:i/>
        </w:rPr>
        <w:t>us</w:t>
      </w:r>
      <w:r>
        <w:t xml:space="preserve"> at </w:t>
      </w:r>
      <w:r>
        <w:rPr>
          <w:i/>
        </w:rPr>
        <w:t>our</w:t>
      </w:r>
      <w:r>
        <w:t xml:space="preserve"> discretion. If </w:t>
      </w:r>
      <w:r>
        <w:rPr>
          <w:i/>
        </w:rPr>
        <w:t>you</w:t>
      </w:r>
      <w:r>
        <w:t xml:space="preserve"> cease to have a fleet of 30 </w:t>
      </w:r>
      <w:r>
        <w:rPr>
          <w:i/>
        </w:rPr>
        <w:t>Optus SIM cards</w:t>
      </w:r>
      <w:r>
        <w:t xml:space="preserve"> or other approved fleet of </w:t>
      </w:r>
      <w:r>
        <w:rPr>
          <w:i/>
        </w:rPr>
        <w:t>Optus SIM cards</w:t>
      </w:r>
      <w:r>
        <w:t xml:space="preserve">, connected to </w:t>
      </w:r>
      <w:r>
        <w:rPr>
          <w:i/>
        </w:rPr>
        <w:t>your</w:t>
      </w:r>
      <w:r>
        <w:t xml:space="preserve"> account, </w:t>
      </w:r>
      <w:r>
        <w:rPr>
          <w:i/>
        </w:rPr>
        <w:t>you</w:t>
      </w:r>
      <w:r>
        <w:t xml:space="preserve"> may be transferred to another </w:t>
      </w:r>
      <w:r>
        <w:rPr>
          <w:i/>
        </w:rPr>
        <w:t>pricing plan</w:t>
      </w:r>
      <w:r>
        <w:t xml:space="preserve"> at </w:t>
      </w:r>
      <w:r>
        <w:rPr>
          <w:i/>
        </w:rPr>
        <w:t>our</w:t>
      </w:r>
      <w:r>
        <w:t xml:space="preserve"> discretion.</w:t>
      </w:r>
    </w:p>
    <w:p w14:paraId="56F10744" w14:textId="77777777" w:rsidR="000D07EA" w:rsidRDefault="00BE7C89">
      <w:pPr>
        <w:pStyle w:val="Heading7"/>
      </w:pPr>
      <w:r>
        <w:t xml:space="preserve">If </w:t>
      </w:r>
      <w:r>
        <w:rPr>
          <w:i/>
        </w:rPr>
        <w:t>you</w:t>
      </w:r>
      <w:r>
        <w:t xml:space="preserve"> connect to an Optus OneFleet </w:t>
      </w:r>
      <w:r>
        <w:rPr>
          <w:i/>
        </w:rPr>
        <w:t>pricing plan you</w:t>
      </w:r>
      <w:r>
        <w:t xml:space="preserve"> agree to connect to either:</w:t>
      </w:r>
    </w:p>
    <w:p w14:paraId="77B08E32" w14:textId="77777777" w:rsidR="000D07EA" w:rsidRDefault="00BE7C89">
      <w:pPr>
        <w:pStyle w:val="Heading8"/>
      </w:pPr>
      <w:r>
        <w:t xml:space="preserve">specific </w:t>
      </w:r>
      <w:r>
        <w:rPr>
          <w:i/>
        </w:rPr>
        <w:t>pricing plans</w:t>
      </w:r>
      <w:r>
        <w:t xml:space="preserve"> of </w:t>
      </w:r>
      <w:r>
        <w:rPr>
          <w:i/>
        </w:rPr>
        <w:t>your</w:t>
      </w:r>
      <w:r>
        <w:t xml:space="preserve"> choice from the Optus OneFleet suite of </w:t>
      </w:r>
      <w:r>
        <w:rPr>
          <w:i/>
        </w:rPr>
        <w:t>pricing plans</w:t>
      </w:r>
      <w:r>
        <w:t xml:space="preserve"> set out in Table 1 below; or</w:t>
      </w:r>
    </w:p>
    <w:p w14:paraId="4B4C13D7" w14:textId="77777777" w:rsidR="000D07EA" w:rsidRDefault="00BE7C89">
      <w:pPr>
        <w:pStyle w:val="Heading8"/>
      </w:pPr>
      <w:r>
        <w:t xml:space="preserve">specific </w:t>
      </w:r>
      <w:r>
        <w:rPr>
          <w:i/>
        </w:rPr>
        <w:t>pricing plans</w:t>
      </w:r>
      <w:r>
        <w:t xml:space="preserve"> of </w:t>
      </w:r>
      <w:r>
        <w:rPr>
          <w:i/>
        </w:rPr>
        <w:t>your</w:t>
      </w:r>
      <w:r>
        <w:t xml:space="preserve"> choice from the Optus OneFleet BYO suite of </w:t>
      </w:r>
      <w:r>
        <w:rPr>
          <w:i/>
        </w:rPr>
        <w:t>pricing plans</w:t>
      </w:r>
      <w:r>
        <w:t xml:space="preserve"> set out in Table 2 below</w:t>
      </w:r>
    </w:p>
    <w:p w14:paraId="40A20CBA" w14:textId="77777777" w:rsidR="000D07EA" w:rsidRDefault="00BE7C89">
      <w:pPr>
        <w:pStyle w:val="Heading8"/>
      </w:pPr>
      <w:r>
        <w:t xml:space="preserve">specific </w:t>
      </w:r>
      <w:r>
        <w:rPr>
          <w:i/>
        </w:rPr>
        <w:t>pricing plans</w:t>
      </w:r>
      <w:r>
        <w:t xml:space="preserve"> of </w:t>
      </w:r>
      <w:r>
        <w:rPr>
          <w:i/>
        </w:rPr>
        <w:t>your</w:t>
      </w:r>
      <w:r>
        <w:t xml:space="preserve"> choice from the Optus OneFleet SMB suite of </w:t>
      </w:r>
      <w:r>
        <w:rPr>
          <w:i/>
        </w:rPr>
        <w:t>pricing plans</w:t>
      </w:r>
      <w:r>
        <w:t xml:space="preserve"> set out in Table 3 below; or</w:t>
      </w:r>
    </w:p>
    <w:p w14:paraId="23CF0B72" w14:textId="77777777" w:rsidR="000D07EA" w:rsidRDefault="00BE7C89">
      <w:pPr>
        <w:pStyle w:val="Heading8"/>
      </w:pPr>
      <w:r>
        <w:t xml:space="preserve">specific </w:t>
      </w:r>
      <w:r>
        <w:rPr>
          <w:i/>
        </w:rPr>
        <w:t>pricing plans</w:t>
      </w:r>
      <w:r>
        <w:t xml:space="preserve"> of </w:t>
      </w:r>
      <w:r>
        <w:rPr>
          <w:i/>
        </w:rPr>
        <w:t>your</w:t>
      </w:r>
      <w:r>
        <w:t xml:space="preserve"> choice from the Optus OneFleet SMB (free flagfall and voicemail) suite of </w:t>
      </w:r>
      <w:r>
        <w:rPr>
          <w:i/>
        </w:rPr>
        <w:t>pricing plans</w:t>
      </w:r>
      <w:r>
        <w:t xml:space="preserve"> set out in Table 4 below</w:t>
      </w:r>
    </w:p>
    <w:p w14:paraId="58F6E004" w14:textId="77777777" w:rsidR="000D07EA" w:rsidRDefault="00BE7C89">
      <w:pPr>
        <w:pStyle w:val="BodyText"/>
        <w:ind w:left="1440"/>
      </w:pPr>
      <w:r>
        <w:t xml:space="preserve">based in each case on an agreed average minimum monthly call spend per user across all </w:t>
      </w:r>
      <w:r>
        <w:rPr>
          <w:i/>
        </w:rPr>
        <w:t>Optus SIM cards</w:t>
      </w:r>
      <w:r>
        <w:t xml:space="preserve"> connected to </w:t>
      </w:r>
      <w:r>
        <w:rPr>
          <w:i/>
        </w:rPr>
        <w:t>your</w:t>
      </w:r>
      <w:r>
        <w:t xml:space="preserve"> account. Calls are charged at the rates set out in Table 1, Table 2, Table 3 or Table 4 depending which Optus OneFleet </w:t>
      </w:r>
      <w:r>
        <w:rPr>
          <w:i/>
        </w:rPr>
        <w:t>pricing plan</w:t>
      </w:r>
      <w:r>
        <w:t xml:space="preserve"> the </w:t>
      </w:r>
      <w:r>
        <w:rPr>
          <w:i/>
        </w:rPr>
        <w:t>Optus SIM card</w:t>
      </w:r>
      <w:r>
        <w:t xml:space="preserve"> is connected to.</w:t>
      </w:r>
    </w:p>
    <w:p w14:paraId="11FCDDDC" w14:textId="77777777" w:rsidR="000D07EA" w:rsidRDefault="00BE7C89">
      <w:pPr>
        <w:pStyle w:val="Heading6"/>
        <w:ind w:left="0" w:firstLine="0"/>
      </w:pPr>
      <w:r>
        <w:t xml:space="preserve">Is it a </w:t>
      </w:r>
      <w:r>
        <w:rPr>
          <w:i/>
        </w:rPr>
        <w:t>fixed length agreement</w:t>
      </w:r>
      <w:r>
        <w:t>?</w:t>
      </w:r>
    </w:p>
    <w:p w14:paraId="2CD803AF" w14:textId="77777777" w:rsidR="000D07EA" w:rsidRDefault="00BE7C89">
      <w:pPr>
        <w:pStyle w:val="BodyText"/>
        <w:ind w:left="720"/>
      </w:pPr>
      <w:r>
        <w:t xml:space="preserve">To connect to any of the Optus One Fleet </w:t>
      </w:r>
      <w:r>
        <w:rPr>
          <w:i/>
        </w:rPr>
        <w:t>pricing plans</w:t>
      </w:r>
      <w:r>
        <w:t xml:space="preserve"> </w:t>
      </w:r>
      <w:r>
        <w:rPr>
          <w:i/>
        </w:rPr>
        <w:t>you</w:t>
      </w:r>
      <w:r>
        <w:t xml:space="preserve"> must agree to enter into a </w:t>
      </w:r>
      <w:r>
        <w:rPr>
          <w:i/>
        </w:rPr>
        <w:t>fixed length agreement</w:t>
      </w:r>
      <w:r>
        <w:t xml:space="preserve"> for a </w:t>
      </w:r>
      <w:r>
        <w:rPr>
          <w:i/>
        </w:rPr>
        <w:t>minimum term</w:t>
      </w:r>
      <w:r>
        <w:t xml:space="preserve"> as specified in Tables 1, 2, 3 and 4 below, up to a term of 5 years, or such other term as </w:t>
      </w:r>
      <w:r>
        <w:rPr>
          <w:i/>
        </w:rPr>
        <w:t>you</w:t>
      </w:r>
      <w:r>
        <w:t xml:space="preserve"> and </w:t>
      </w:r>
      <w:r>
        <w:rPr>
          <w:i/>
        </w:rPr>
        <w:t>we</w:t>
      </w:r>
      <w:r>
        <w:t xml:space="preserve"> agree (</w:t>
      </w:r>
      <w:r>
        <w:rPr>
          <w:i/>
        </w:rPr>
        <w:t>minimum term</w:t>
      </w:r>
      <w:r>
        <w:t>).</w:t>
      </w:r>
    </w:p>
    <w:p w14:paraId="76122457" w14:textId="77777777" w:rsidR="000D07EA" w:rsidRDefault="00BE7C89">
      <w:pPr>
        <w:pStyle w:val="Heading6"/>
        <w:ind w:left="0" w:firstLine="0"/>
      </w:pPr>
      <w:r>
        <w:t xml:space="preserve">What </w:t>
      </w:r>
      <w:r>
        <w:rPr>
          <w:i/>
        </w:rPr>
        <w:t>you</w:t>
      </w:r>
      <w:r>
        <w:t xml:space="preserve"> must pay </w:t>
      </w:r>
      <w:r>
        <w:rPr>
          <w:i/>
        </w:rPr>
        <w:t>us</w:t>
      </w:r>
    </w:p>
    <w:p w14:paraId="310920A8" w14:textId="77777777" w:rsidR="000D07EA" w:rsidRDefault="00BE7C89">
      <w:pPr>
        <w:pStyle w:val="Heading7"/>
      </w:pPr>
      <w:r>
        <w:t xml:space="preserve">Each month </w:t>
      </w:r>
      <w:r>
        <w:rPr>
          <w:i/>
        </w:rPr>
        <w:t>you</w:t>
      </w:r>
      <w:r>
        <w:t xml:space="preserve"> will pay the monthly </w:t>
      </w:r>
      <w:r>
        <w:rPr>
          <w:i/>
        </w:rPr>
        <w:t>access fees</w:t>
      </w:r>
      <w:r>
        <w:t xml:space="preserve"> for all </w:t>
      </w:r>
      <w:r>
        <w:rPr>
          <w:i/>
        </w:rPr>
        <w:t>Optus SIM cards</w:t>
      </w:r>
      <w:r>
        <w:t xml:space="preserve"> connected to the relevant Optus OneFleet </w:t>
      </w:r>
      <w:r>
        <w:rPr>
          <w:i/>
        </w:rPr>
        <w:t>pricing plan</w:t>
      </w:r>
      <w:r>
        <w:t xml:space="preserve"> on </w:t>
      </w:r>
      <w:r>
        <w:rPr>
          <w:i/>
        </w:rPr>
        <w:t>your</w:t>
      </w:r>
      <w:r>
        <w:t xml:space="preserve"> account, regardless of the actual call charges incurred.</w:t>
      </w:r>
    </w:p>
    <w:p w14:paraId="46369B08" w14:textId="77777777" w:rsidR="000D07EA" w:rsidRDefault="00BE7C89">
      <w:pPr>
        <w:pStyle w:val="Heading7"/>
      </w:pPr>
      <w:r>
        <w:t xml:space="preserve">There will be a component of included calls upon payment of the monthly </w:t>
      </w:r>
      <w:r>
        <w:rPr>
          <w:i/>
        </w:rPr>
        <w:t>access fee</w:t>
      </w:r>
      <w:r>
        <w:t xml:space="preserve"> as specified in Tables 1, 2, 3 and 4 below.</w:t>
      </w:r>
    </w:p>
    <w:p w14:paraId="37E65F1E" w14:textId="77777777" w:rsidR="000D07EA" w:rsidRDefault="00BE7C89">
      <w:pPr>
        <w:pStyle w:val="Heading7"/>
      </w:pPr>
      <w:r>
        <w:rPr>
          <w:i/>
        </w:rPr>
        <w:t>You</w:t>
      </w:r>
      <w:r>
        <w:t xml:space="preserve"> will not be charged for calls made in any one month on a per call basis per user until the value of those calls exceeds the value of the included call component of </w:t>
      </w:r>
      <w:r>
        <w:rPr>
          <w:i/>
        </w:rPr>
        <w:t>your pricing plan</w:t>
      </w:r>
      <w:r>
        <w:t>.</w:t>
      </w:r>
    </w:p>
    <w:p w14:paraId="1BDBDA3E" w14:textId="77777777" w:rsidR="000D07EA" w:rsidRDefault="00BE7C89">
      <w:pPr>
        <w:pStyle w:val="Heading6"/>
        <w:ind w:left="0" w:firstLine="0"/>
      </w:pPr>
      <w:r>
        <w:t>Pricing</w:t>
      </w:r>
    </w:p>
    <w:p w14:paraId="5C5035EB" w14:textId="77777777" w:rsidR="000D07EA" w:rsidRDefault="00BE7C89">
      <w:pPr>
        <w:pStyle w:val="BodyText"/>
        <w:ind w:left="720"/>
      </w:pPr>
      <w:r>
        <w:t xml:space="preserve">The Optus OneFleet call rate applies if </w:t>
      </w:r>
      <w:r>
        <w:rPr>
          <w:i/>
        </w:rPr>
        <w:t>you</w:t>
      </w:r>
      <w:r>
        <w:t xml:space="preserve"> are on the Optus OneFleet </w:t>
      </w:r>
      <w:r>
        <w:rPr>
          <w:i/>
        </w:rPr>
        <w:t>pricing plans</w:t>
      </w:r>
      <w:r>
        <w:t xml:space="preserve"> for calls from an </w:t>
      </w:r>
      <w:r>
        <w:rPr>
          <w:i/>
        </w:rPr>
        <w:t>Optus SIM card</w:t>
      </w:r>
      <w:r>
        <w:t xml:space="preserve"> connected to one of the Optus OneFleet </w:t>
      </w:r>
      <w:r>
        <w:rPr>
          <w:i/>
        </w:rPr>
        <w:t>pricing plans</w:t>
      </w:r>
      <w:r>
        <w:t xml:space="preserve"> to another customer on an Optus OneFleet </w:t>
      </w:r>
      <w:r>
        <w:rPr>
          <w:i/>
        </w:rPr>
        <w:t>pricing plan</w:t>
      </w:r>
      <w:r>
        <w:t xml:space="preserve"> on the same customer account number </w:t>
      </w:r>
      <w:r>
        <w:rPr>
          <w:i/>
        </w:rPr>
        <w:t>mobile phone</w:t>
      </w:r>
      <w:r>
        <w:t xml:space="preserve"> on any Australian mobile network, excluding satellite phones. Calls must be made and received within Australia. Calls are charged at 10c (11c including GST) for five minutes for Optus OneFleet and Optus OneFleet BYO and are charged at $0 for 5 minutes for Optus OneFleet SMB and for Optus OneFleet SMB (free flagfall and Voicemail). Thereafter standard call charges apply, refer to the pricing table. Promotion available until 30 June 2006, unless withdrawn earlier.</w:t>
      </w:r>
    </w:p>
    <w:p w14:paraId="0C315775" w14:textId="77777777" w:rsidR="000D07EA" w:rsidRDefault="00BE7C89">
      <w:pPr>
        <w:pStyle w:val="BodyText"/>
        <w:ind w:left="720"/>
      </w:pPr>
      <w:r>
        <w:rPr>
          <w:i/>
        </w:rPr>
        <w:t>Table 1 - Optus OneFleet</w:t>
      </w:r>
      <w:r>
        <w:t xml:space="preserve"> pricing plans</w:t>
      </w:r>
    </w:p>
    <w:tbl>
      <w:tblPr>
        <w:tblW w:w="96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88"/>
        <w:gridCol w:w="1332"/>
        <w:gridCol w:w="1332"/>
        <w:gridCol w:w="1332"/>
        <w:gridCol w:w="1332"/>
        <w:gridCol w:w="1332"/>
      </w:tblGrid>
      <w:tr w:rsidR="000D07EA" w14:paraId="59A3DE74" w14:textId="77777777">
        <w:trPr>
          <w:tblHeader/>
        </w:trPr>
        <w:tc>
          <w:tcPr>
            <w:tcW w:w="2988" w:type="dxa"/>
            <w:shd w:val="clear" w:color="auto" w:fill="auto"/>
          </w:tcPr>
          <w:p w14:paraId="5BF4EA3C" w14:textId="77777777" w:rsidR="000D07EA" w:rsidRDefault="00BE7C89">
            <w:pPr>
              <w:pStyle w:val="BodyText"/>
              <w:spacing w:before="100" w:after="100"/>
              <w:rPr>
                <w:i/>
              </w:rPr>
            </w:pPr>
            <w:r>
              <w:rPr>
                <w:i/>
              </w:rPr>
              <w:lastRenderedPageBreak/>
              <w:t>Pricing plan</w:t>
            </w:r>
          </w:p>
        </w:tc>
        <w:tc>
          <w:tcPr>
            <w:tcW w:w="1332" w:type="dxa"/>
            <w:shd w:val="clear" w:color="auto" w:fill="auto"/>
          </w:tcPr>
          <w:p w14:paraId="5DCAEB9E" w14:textId="77777777" w:rsidR="000D07EA" w:rsidRDefault="00BE7C89">
            <w:pPr>
              <w:pStyle w:val="BodyText"/>
              <w:spacing w:before="100" w:after="100"/>
              <w:jc w:val="center"/>
              <w:rPr>
                <w:b/>
              </w:rPr>
            </w:pPr>
            <w:r>
              <w:rPr>
                <w:b/>
              </w:rPr>
              <w:t>25</w:t>
            </w:r>
          </w:p>
        </w:tc>
        <w:tc>
          <w:tcPr>
            <w:tcW w:w="1332" w:type="dxa"/>
            <w:shd w:val="clear" w:color="auto" w:fill="auto"/>
          </w:tcPr>
          <w:p w14:paraId="4CBDF4D9" w14:textId="77777777" w:rsidR="000D07EA" w:rsidRDefault="00BE7C89">
            <w:pPr>
              <w:pStyle w:val="BodyText"/>
              <w:spacing w:before="100" w:after="100"/>
              <w:jc w:val="center"/>
              <w:rPr>
                <w:b/>
              </w:rPr>
            </w:pPr>
            <w:r>
              <w:rPr>
                <w:b/>
              </w:rPr>
              <w:t>40</w:t>
            </w:r>
          </w:p>
        </w:tc>
        <w:tc>
          <w:tcPr>
            <w:tcW w:w="1332" w:type="dxa"/>
            <w:shd w:val="clear" w:color="auto" w:fill="auto"/>
          </w:tcPr>
          <w:p w14:paraId="2E670A9D" w14:textId="77777777" w:rsidR="000D07EA" w:rsidRDefault="00BE7C89">
            <w:pPr>
              <w:pStyle w:val="BodyText"/>
              <w:spacing w:before="100" w:after="100"/>
              <w:jc w:val="center"/>
              <w:rPr>
                <w:b/>
              </w:rPr>
            </w:pPr>
            <w:r>
              <w:rPr>
                <w:b/>
              </w:rPr>
              <w:t>60</w:t>
            </w:r>
          </w:p>
        </w:tc>
        <w:tc>
          <w:tcPr>
            <w:tcW w:w="1332" w:type="dxa"/>
            <w:shd w:val="clear" w:color="auto" w:fill="auto"/>
          </w:tcPr>
          <w:p w14:paraId="420F0473" w14:textId="77777777" w:rsidR="000D07EA" w:rsidRDefault="00BE7C89">
            <w:pPr>
              <w:pStyle w:val="BodyText"/>
              <w:spacing w:before="100" w:after="100"/>
              <w:jc w:val="center"/>
              <w:rPr>
                <w:b/>
              </w:rPr>
            </w:pPr>
            <w:r>
              <w:rPr>
                <w:b/>
              </w:rPr>
              <w:t>80</w:t>
            </w:r>
          </w:p>
        </w:tc>
        <w:tc>
          <w:tcPr>
            <w:tcW w:w="1332" w:type="dxa"/>
            <w:shd w:val="clear" w:color="auto" w:fill="auto"/>
          </w:tcPr>
          <w:p w14:paraId="552A7A54" w14:textId="77777777" w:rsidR="000D07EA" w:rsidRDefault="00BE7C89">
            <w:pPr>
              <w:pStyle w:val="BodyText"/>
              <w:spacing w:before="100" w:after="100"/>
              <w:jc w:val="center"/>
              <w:rPr>
                <w:b/>
              </w:rPr>
            </w:pPr>
            <w:r>
              <w:rPr>
                <w:b/>
              </w:rPr>
              <w:t>120</w:t>
            </w:r>
          </w:p>
        </w:tc>
      </w:tr>
      <w:tr w:rsidR="000D07EA" w14:paraId="751BD23C" w14:textId="77777777">
        <w:tc>
          <w:tcPr>
            <w:tcW w:w="2988" w:type="dxa"/>
            <w:shd w:val="clear" w:color="auto" w:fill="auto"/>
          </w:tcPr>
          <w:p w14:paraId="7E99DE3B" w14:textId="77777777" w:rsidR="000D07EA" w:rsidRDefault="00BE7C89">
            <w:pPr>
              <w:pStyle w:val="BodyText"/>
              <w:spacing w:before="100" w:after="100"/>
              <w:rPr>
                <w:b/>
              </w:rPr>
            </w:pPr>
            <w:r>
              <w:rPr>
                <w:b/>
              </w:rPr>
              <w:t>Minimum monthly spend (per service, aggregated)</w:t>
            </w:r>
          </w:p>
        </w:tc>
        <w:tc>
          <w:tcPr>
            <w:tcW w:w="1332" w:type="dxa"/>
            <w:shd w:val="clear" w:color="auto" w:fill="auto"/>
          </w:tcPr>
          <w:p w14:paraId="6FEF7252" w14:textId="77777777" w:rsidR="000D07EA" w:rsidRDefault="00BE7C89">
            <w:pPr>
              <w:pStyle w:val="BodyText"/>
              <w:spacing w:before="100" w:after="100"/>
              <w:jc w:val="center"/>
            </w:pPr>
            <w:r>
              <w:t>$25</w:t>
            </w:r>
            <w:r>
              <w:br/>
              <w:t>($27.50)</w:t>
            </w:r>
          </w:p>
        </w:tc>
        <w:tc>
          <w:tcPr>
            <w:tcW w:w="1332" w:type="dxa"/>
            <w:shd w:val="clear" w:color="auto" w:fill="auto"/>
          </w:tcPr>
          <w:p w14:paraId="50019B6A" w14:textId="77777777" w:rsidR="000D07EA" w:rsidRDefault="00BE7C89">
            <w:pPr>
              <w:pStyle w:val="BodyText"/>
              <w:spacing w:before="100" w:after="100"/>
              <w:jc w:val="center"/>
            </w:pPr>
            <w:r>
              <w:t>$40</w:t>
            </w:r>
            <w:r>
              <w:br/>
              <w:t>($44)</w:t>
            </w:r>
          </w:p>
        </w:tc>
        <w:tc>
          <w:tcPr>
            <w:tcW w:w="1332" w:type="dxa"/>
            <w:shd w:val="clear" w:color="auto" w:fill="auto"/>
          </w:tcPr>
          <w:p w14:paraId="68B41370" w14:textId="77777777" w:rsidR="000D07EA" w:rsidRDefault="00BE7C89">
            <w:pPr>
              <w:pStyle w:val="BodyText"/>
              <w:spacing w:before="100" w:after="100"/>
              <w:jc w:val="center"/>
            </w:pPr>
            <w:r>
              <w:t>$60</w:t>
            </w:r>
            <w:r>
              <w:br/>
              <w:t>($66)</w:t>
            </w:r>
          </w:p>
        </w:tc>
        <w:tc>
          <w:tcPr>
            <w:tcW w:w="1332" w:type="dxa"/>
            <w:shd w:val="clear" w:color="auto" w:fill="auto"/>
          </w:tcPr>
          <w:p w14:paraId="5F5A9909" w14:textId="77777777" w:rsidR="000D07EA" w:rsidRDefault="00BE7C89">
            <w:pPr>
              <w:pStyle w:val="BodyText"/>
              <w:spacing w:before="100" w:after="100"/>
              <w:jc w:val="center"/>
            </w:pPr>
            <w:r>
              <w:t>$80</w:t>
            </w:r>
            <w:r>
              <w:br/>
              <w:t>($88)</w:t>
            </w:r>
          </w:p>
        </w:tc>
        <w:tc>
          <w:tcPr>
            <w:tcW w:w="1332" w:type="dxa"/>
            <w:shd w:val="clear" w:color="auto" w:fill="auto"/>
          </w:tcPr>
          <w:p w14:paraId="31ADD6F2" w14:textId="77777777" w:rsidR="000D07EA" w:rsidRDefault="00BE7C89">
            <w:pPr>
              <w:pStyle w:val="BodyText"/>
              <w:spacing w:before="100" w:after="100"/>
              <w:jc w:val="center"/>
            </w:pPr>
            <w:r>
              <w:t>$120</w:t>
            </w:r>
            <w:r>
              <w:br/>
              <w:t>($132)</w:t>
            </w:r>
          </w:p>
        </w:tc>
      </w:tr>
      <w:tr w:rsidR="000D07EA" w14:paraId="516FA6CD" w14:textId="77777777">
        <w:tc>
          <w:tcPr>
            <w:tcW w:w="2988" w:type="dxa"/>
            <w:shd w:val="clear" w:color="auto" w:fill="auto"/>
          </w:tcPr>
          <w:p w14:paraId="475D3D36" w14:textId="77777777" w:rsidR="000D07EA" w:rsidRDefault="00BE7C89">
            <w:pPr>
              <w:pStyle w:val="BodyText"/>
              <w:spacing w:before="100" w:after="100"/>
              <w:rPr>
                <w:b/>
                <w:i/>
              </w:rPr>
            </w:pPr>
            <w:r>
              <w:rPr>
                <w:b/>
                <w:i/>
              </w:rPr>
              <w:t>Flagfall</w:t>
            </w:r>
          </w:p>
        </w:tc>
        <w:tc>
          <w:tcPr>
            <w:tcW w:w="1332" w:type="dxa"/>
            <w:shd w:val="clear" w:color="auto" w:fill="auto"/>
          </w:tcPr>
          <w:p w14:paraId="5F020C5E" w14:textId="77777777" w:rsidR="000D07EA" w:rsidRDefault="00BE7C89">
            <w:pPr>
              <w:pStyle w:val="BodyText"/>
              <w:spacing w:before="100" w:after="100"/>
              <w:jc w:val="center"/>
            </w:pPr>
            <w:r>
              <w:t>10c</w:t>
            </w:r>
            <w:r>
              <w:br/>
              <w:t>(11c)</w:t>
            </w:r>
          </w:p>
        </w:tc>
        <w:tc>
          <w:tcPr>
            <w:tcW w:w="1332" w:type="dxa"/>
            <w:shd w:val="clear" w:color="auto" w:fill="auto"/>
          </w:tcPr>
          <w:p w14:paraId="6CA1647D" w14:textId="77777777" w:rsidR="000D07EA" w:rsidRDefault="00BE7C89">
            <w:pPr>
              <w:pStyle w:val="BodyText"/>
              <w:spacing w:before="100" w:after="100"/>
              <w:jc w:val="center"/>
            </w:pPr>
            <w:r>
              <w:t>10c</w:t>
            </w:r>
            <w:r>
              <w:br/>
              <w:t>(11c)</w:t>
            </w:r>
          </w:p>
        </w:tc>
        <w:tc>
          <w:tcPr>
            <w:tcW w:w="1332" w:type="dxa"/>
            <w:shd w:val="clear" w:color="auto" w:fill="auto"/>
          </w:tcPr>
          <w:p w14:paraId="0698F04C" w14:textId="77777777" w:rsidR="000D07EA" w:rsidRDefault="00BE7C89">
            <w:pPr>
              <w:pStyle w:val="BodyText"/>
              <w:spacing w:before="100" w:after="100"/>
              <w:jc w:val="center"/>
            </w:pPr>
            <w:r>
              <w:t>10c</w:t>
            </w:r>
            <w:r>
              <w:br/>
              <w:t>(11c)</w:t>
            </w:r>
          </w:p>
        </w:tc>
        <w:tc>
          <w:tcPr>
            <w:tcW w:w="1332" w:type="dxa"/>
            <w:shd w:val="clear" w:color="auto" w:fill="auto"/>
          </w:tcPr>
          <w:p w14:paraId="344741D7" w14:textId="77777777" w:rsidR="000D07EA" w:rsidRDefault="00BE7C89">
            <w:pPr>
              <w:pStyle w:val="BodyText"/>
              <w:spacing w:before="100" w:after="100"/>
              <w:jc w:val="center"/>
            </w:pPr>
            <w:r>
              <w:t>10c</w:t>
            </w:r>
            <w:r>
              <w:br/>
              <w:t>(11c)</w:t>
            </w:r>
          </w:p>
        </w:tc>
        <w:tc>
          <w:tcPr>
            <w:tcW w:w="1332" w:type="dxa"/>
            <w:shd w:val="clear" w:color="auto" w:fill="auto"/>
          </w:tcPr>
          <w:p w14:paraId="2CB5B1B8" w14:textId="77777777" w:rsidR="000D07EA" w:rsidRDefault="00BE7C89">
            <w:pPr>
              <w:pStyle w:val="BodyText"/>
              <w:spacing w:before="100" w:after="100"/>
              <w:jc w:val="center"/>
            </w:pPr>
            <w:r>
              <w:t>10c</w:t>
            </w:r>
            <w:r>
              <w:br/>
              <w:t>(11c)</w:t>
            </w:r>
          </w:p>
        </w:tc>
      </w:tr>
      <w:tr w:rsidR="000D07EA" w14:paraId="7D7EF0E1" w14:textId="77777777">
        <w:tc>
          <w:tcPr>
            <w:tcW w:w="2988" w:type="dxa"/>
            <w:shd w:val="clear" w:color="auto" w:fill="auto"/>
          </w:tcPr>
          <w:p w14:paraId="435EE0D6" w14:textId="77777777" w:rsidR="000D07EA" w:rsidRDefault="00BE7C89">
            <w:pPr>
              <w:pStyle w:val="BodyText"/>
              <w:spacing w:before="100" w:after="100"/>
              <w:rPr>
                <w:b/>
              </w:rPr>
            </w:pPr>
            <w:r>
              <w:rPr>
                <w:b/>
              </w:rPr>
              <w:t xml:space="preserve">Calls to Optus GSM </w:t>
            </w:r>
            <w:r>
              <w:rPr>
                <w:b/>
                <w:i/>
              </w:rPr>
              <w:t>mobile phones</w:t>
            </w:r>
            <w:r>
              <w:rPr>
                <w:b/>
              </w:rPr>
              <w:t xml:space="preserve"> (national)</w:t>
            </w:r>
            <w:r>
              <w:rPr>
                <w:b/>
                <w:vertAlign w:val="superscript"/>
              </w:rPr>
              <w:t>^</w:t>
            </w:r>
          </w:p>
        </w:tc>
        <w:tc>
          <w:tcPr>
            <w:tcW w:w="1332" w:type="dxa"/>
            <w:shd w:val="clear" w:color="auto" w:fill="auto"/>
          </w:tcPr>
          <w:p w14:paraId="29E44DD5" w14:textId="77777777" w:rsidR="000D07EA" w:rsidRDefault="00BE7C89">
            <w:pPr>
              <w:pStyle w:val="BodyText"/>
              <w:spacing w:before="100" w:after="100"/>
              <w:jc w:val="center"/>
            </w:pPr>
            <w:r>
              <w:t>9c</w:t>
            </w:r>
            <w:r>
              <w:br/>
              <w:t>(9.9c)</w:t>
            </w:r>
          </w:p>
        </w:tc>
        <w:tc>
          <w:tcPr>
            <w:tcW w:w="1332" w:type="dxa"/>
            <w:shd w:val="clear" w:color="auto" w:fill="auto"/>
          </w:tcPr>
          <w:p w14:paraId="368AA0EC" w14:textId="77777777" w:rsidR="000D07EA" w:rsidRDefault="00BE7C89">
            <w:pPr>
              <w:pStyle w:val="BodyText"/>
              <w:spacing w:before="100" w:after="100"/>
              <w:jc w:val="center"/>
            </w:pPr>
            <w:r>
              <w:t>9c</w:t>
            </w:r>
            <w:r>
              <w:br/>
              <w:t>(9.9c)</w:t>
            </w:r>
          </w:p>
        </w:tc>
        <w:tc>
          <w:tcPr>
            <w:tcW w:w="1332" w:type="dxa"/>
            <w:shd w:val="clear" w:color="auto" w:fill="auto"/>
          </w:tcPr>
          <w:p w14:paraId="7F4C4E94" w14:textId="77777777" w:rsidR="000D07EA" w:rsidRDefault="00BE7C89">
            <w:pPr>
              <w:pStyle w:val="BodyText"/>
              <w:spacing w:before="100" w:after="100"/>
              <w:jc w:val="center"/>
            </w:pPr>
            <w:r>
              <w:t>9c</w:t>
            </w:r>
            <w:r>
              <w:br/>
              <w:t>(9.9c)</w:t>
            </w:r>
          </w:p>
        </w:tc>
        <w:tc>
          <w:tcPr>
            <w:tcW w:w="1332" w:type="dxa"/>
            <w:shd w:val="clear" w:color="auto" w:fill="auto"/>
          </w:tcPr>
          <w:p w14:paraId="2D6F8398" w14:textId="77777777" w:rsidR="000D07EA" w:rsidRDefault="00BE7C89">
            <w:pPr>
              <w:pStyle w:val="BodyText"/>
              <w:spacing w:before="100" w:after="100"/>
              <w:jc w:val="center"/>
            </w:pPr>
            <w:r>
              <w:t>8c</w:t>
            </w:r>
            <w:r>
              <w:br/>
              <w:t>(8.8c)</w:t>
            </w:r>
          </w:p>
        </w:tc>
        <w:tc>
          <w:tcPr>
            <w:tcW w:w="1332" w:type="dxa"/>
            <w:shd w:val="clear" w:color="auto" w:fill="auto"/>
          </w:tcPr>
          <w:p w14:paraId="2A183390" w14:textId="77777777" w:rsidR="000D07EA" w:rsidRDefault="00BE7C89">
            <w:pPr>
              <w:pStyle w:val="BodyText"/>
              <w:spacing w:before="100" w:after="100"/>
              <w:jc w:val="center"/>
            </w:pPr>
            <w:r>
              <w:t>7c</w:t>
            </w:r>
            <w:r>
              <w:br/>
              <w:t>(7.7c)</w:t>
            </w:r>
          </w:p>
        </w:tc>
      </w:tr>
      <w:tr w:rsidR="000D07EA" w14:paraId="376FD4A3" w14:textId="77777777">
        <w:tc>
          <w:tcPr>
            <w:tcW w:w="2988" w:type="dxa"/>
            <w:shd w:val="clear" w:color="auto" w:fill="auto"/>
          </w:tcPr>
          <w:p w14:paraId="09EBD237" w14:textId="77777777" w:rsidR="000D07EA" w:rsidRDefault="00BE7C89">
            <w:pPr>
              <w:pStyle w:val="BodyText"/>
              <w:spacing w:before="100" w:after="100"/>
              <w:rPr>
                <w:b/>
              </w:rPr>
            </w:pPr>
            <w:r>
              <w:rPr>
                <w:b/>
              </w:rPr>
              <w:t xml:space="preserve">Calls to non-Optus </w:t>
            </w:r>
            <w:r>
              <w:rPr>
                <w:b/>
                <w:i/>
              </w:rPr>
              <w:t>mobile phones</w:t>
            </w:r>
            <w:r>
              <w:rPr>
                <w:b/>
              </w:rPr>
              <w:t xml:space="preserve"> (national)</w:t>
            </w:r>
            <w:r>
              <w:rPr>
                <w:b/>
                <w:vertAlign w:val="superscript"/>
              </w:rPr>
              <w:t>^#</w:t>
            </w:r>
          </w:p>
        </w:tc>
        <w:tc>
          <w:tcPr>
            <w:tcW w:w="1332" w:type="dxa"/>
            <w:shd w:val="clear" w:color="auto" w:fill="auto"/>
          </w:tcPr>
          <w:p w14:paraId="36EC3FCE" w14:textId="77777777" w:rsidR="000D07EA" w:rsidRDefault="00BE7C89">
            <w:pPr>
              <w:pStyle w:val="BodyText"/>
              <w:spacing w:before="100" w:after="100"/>
              <w:jc w:val="center"/>
            </w:pPr>
            <w:r>
              <w:t>14c</w:t>
            </w:r>
            <w:r>
              <w:br/>
              <w:t>(15.4c)</w:t>
            </w:r>
          </w:p>
        </w:tc>
        <w:tc>
          <w:tcPr>
            <w:tcW w:w="1332" w:type="dxa"/>
            <w:shd w:val="clear" w:color="auto" w:fill="auto"/>
          </w:tcPr>
          <w:p w14:paraId="205881AD" w14:textId="77777777" w:rsidR="000D07EA" w:rsidRDefault="00BE7C89">
            <w:pPr>
              <w:pStyle w:val="BodyText"/>
              <w:spacing w:before="100" w:after="100"/>
              <w:jc w:val="center"/>
            </w:pPr>
            <w:r>
              <w:t>13c</w:t>
            </w:r>
            <w:r>
              <w:br/>
              <w:t>(14.3c)</w:t>
            </w:r>
          </w:p>
        </w:tc>
        <w:tc>
          <w:tcPr>
            <w:tcW w:w="1332" w:type="dxa"/>
            <w:shd w:val="clear" w:color="auto" w:fill="auto"/>
          </w:tcPr>
          <w:p w14:paraId="7E739A64" w14:textId="77777777" w:rsidR="000D07EA" w:rsidRDefault="00BE7C89">
            <w:pPr>
              <w:pStyle w:val="BodyText"/>
              <w:spacing w:before="100" w:after="100"/>
              <w:jc w:val="center"/>
            </w:pPr>
            <w:r>
              <w:t>12c</w:t>
            </w:r>
            <w:r>
              <w:br/>
              <w:t>(13.2c)</w:t>
            </w:r>
          </w:p>
        </w:tc>
        <w:tc>
          <w:tcPr>
            <w:tcW w:w="1332" w:type="dxa"/>
            <w:shd w:val="clear" w:color="auto" w:fill="auto"/>
          </w:tcPr>
          <w:p w14:paraId="33F6F8A6" w14:textId="77777777" w:rsidR="000D07EA" w:rsidRDefault="00BE7C89">
            <w:pPr>
              <w:pStyle w:val="BodyText"/>
              <w:spacing w:before="100" w:after="100"/>
              <w:jc w:val="center"/>
            </w:pPr>
            <w:r>
              <w:t>11c</w:t>
            </w:r>
            <w:r>
              <w:br/>
              <w:t>(12.1c)</w:t>
            </w:r>
          </w:p>
        </w:tc>
        <w:tc>
          <w:tcPr>
            <w:tcW w:w="1332" w:type="dxa"/>
            <w:shd w:val="clear" w:color="auto" w:fill="auto"/>
          </w:tcPr>
          <w:p w14:paraId="24ADB7C5" w14:textId="77777777" w:rsidR="000D07EA" w:rsidRDefault="00BE7C89">
            <w:pPr>
              <w:pStyle w:val="BodyText"/>
              <w:spacing w:before="100" w:after="100"/>
              <w:jc w:val="center"/>
            </w:pPr>
            <w:r>
              <w:t>10c</w:t>
            </w:r>
            <w:r>
              <w:br/>
              <w:t>(11c)</w:t>
            </w:r>
          </w:p>
        </w:tc>
      </w:tr>
      <w:tr w:rsidR="000D07EA" w14:paraId="32CC2CDC" w14:textId="77777777">
        <w:tc>
          <w:tcPr>
            <w:tcW w:w="2988" w:type="dxa"/>
            <w:shd w:val="clear" w:color="auto" w:fill="auto"/>
          </w:tcPr>
          <w:p w14:paraId="583D4369" w14:textId="77777777" w:rsidR="000D07EA" w:rsidRDefault="00BE7C89">
            <w:pPr>
              <w:pStyle w:val="BodyText"/>
              <w:spacing w:before="100" w:after="100"/>
              <w:rPr>
                <w:b/>
              </w:rPr>
            </w:pPr>
            <w:r>
              <w:rPr>
                <w:b/>
              </w:rPr>
              <w:t>Calls to landline (national)</w:t>
            </w:r>
            <w:r>
              <w:rPr>
                <w:b/>
                <w:vertAlign w:val="superscript"/>
              </w:rPr>
              <w:t>^</w:t>
            </w:r>
          </w:p>
        </w:tc>
        <w:tc>
          <w:tcPr>
            <w:tcW w:w="1332" w:type="dxa"/>
            <w:shd w:val="clear" w:color="auto" w:fill="auto"/>
          </w:tcPr>
          <w:p w14:paraId="414FF6F3" w14:textId="77777777" w:rsidR="000D07EA" w:rsidRDefault="00BE7C89">
            <w:pPr>
              <w:pStyle w:val="BodyText"/>
              <w:spacing w:before="100" w:after="100"/>
              <w:jc w:val="center"/>
            </w:pPr>
            <w:r>
              <w:t>14c</w:t>
            </w:r>
            <w:r>
              <w:br/>
              <w:t>(15.4c)</w:t>
            </w:r>
          </w:p>
        </w:tc>
        <w:tc>
          <w:tcPr>
            <w:tcW w:w="1332" w:type="dxa"/>
            <w:shd w:val="clear" w:color="auto" w:fill="auto"/>
          </w:tcPr>
          <w:p w14:paraId="33C1A005" w14:textId="77777777" w:rsidR="000D07EA" w:rsidRDefault="00BE7C89">
            <w:pPr>
              <w:pStyle w:val="BodyText"/>
              <w:spacing w:before="100" w:after="100"/>
              <w:jc w:val="center"/>
            </w:pPr>
            <w:r>
              <w:t>13c</w:t>
            </w:r>
            <w:r>
              <w:br/>
              <w:t>(14.3c)</w:t>
            </w:r>
          </w:p>
        </w:tc>
        <w:tc>
          <w:tcPr>
            <w:tcW w:w="1332" w:type="dxa"/>
            <w:shd w:val="clear" w:color="auto" w:fill="auto"/>
          </w:tcPr>
          <w:p w14:paraId="2624AE31" w14:textId="77777777" w:rsidR="000D07EA" w:rsidRDefault="00BE7C89">
            <w:pPr>
              <w:pStyle w:val="BodyText"/>
              <w:spacing w:before="100" w:after="100"/>
              <w:jc w:val="center"/>
            </w:pPr>
            <w:r>
              <w:t>12c</w:t>
            </w:r>
            <w:r>
              <w:br/>
              <w:t>(13.2c)</w:t>
            </w:r>
          </w:p>
        </w:tc>
        <w:tc>
          <w:tcPr>
            <w:tcW w:w="1332" w:type="dxa"/>
            <w:shd w:val="clear" w:color="auto" w:fill="auto"/>
          </w:tcPr>
          <w:p w14:paraId="683B677D" w14:textId="77777777" w:rsidR="000D07EA" w:rsidRDefault="00BE7C89">
            <w:pPr>
              <w:pStyle w:val="BodyText"/>
              <w:spacing w:before="100" w:after="100"/>
              <w:jc w:val="center"/>
            </w:pPr>
            <w:r>
              <w:t>11c</w:t>
            </w:r>
            <w:r>
              <w:br/>
              <w:t>(12.1c)</w:t>
            </w:r>
          </w:p>
        </w:tc>
        <w:tc>
          <w:tcPr>
            <w:tcW w:w="1332" w:type="dxa"/>
            <w:shd w:val="clear" w:color="auto" w:fill="auto"/>
          </w:tcPr>
          <w:p w14:paraId="49FE1082" w14:textId="77777777" w:rsidR="000D07EA" w:rsidRDefault="00BE7C89">
            <w:pPr>
              <w:pStyle w:val="BodyText"/>
              <w:spacing w:before="100" w:after="100"/>
              <w:jc w:val="center"/>
            </w:pPr>
            <w:r>
              <w:t>10c</w:t>
            </w:r>
            <w:r>
              <w:br/>
              <w:t>(11c)</w:t>
            </w:r>
          </w:p>
        </w:tc>
      </w:tr>
      <w:tr w:rsidR="000D07EA" w14:paraId="0122D206" w14:textId="77777777">
        <w:tc>
          <w:tcPr>
            <w:tcW w:w="2988" w:type="dxa"/>
            <w:shd w:val="clear" w:color="auto" w:fill="auto"/>
          </w:tcPr>
          <w:p w14:paraId="5DE1C165" w14:textId="77777777" w:rsidR="000D07EA" w:rsidRDefault="00BE7C89">
            <w:pPr>
              <w:pStyle w:val="BodyText"/>
              <w:spacing w:before="100" w:after="100"/>
              <w:rPr>
                <w:b/>
              </w:rPr>
            </w:pPr>
            <w:r>
              <w:rPr>
                <w:b/>
              </w:rPr>
              <w:t>'yes' OneFleet</w:t>
            </w:r>
            <w:r>
              <w:rPr>
                <w:b/>
                <w:vertAlign w:val="superscript"/>
              </w:rPr>
              <w:t>+</w:t>
            </w:r>
          </w:p>
        </w:tc>
        <w:tc>
          <w:tcPr>
            <w:tcW w:w="6660" w:type="dxa"/>
            <w:gridSpan w:val="5"/>
            <w:shd w:val="clear" w:color="auto" w:fill="auto"/>
          </w:tcPr>
          <w:p w14:paraId="38C538DA" w14:textId="77777777" w:rsidR="000D07EA" w:rsidRDefault="00BE7C89">
            <w:pPr>
              <w:pStyle w:val="BodyText"/>
              <w:spacing w:before="100" w:after="100"/>
              <w:jc w:val="center"/>
            </w:pPr>
            <w:r>
              <w:t>10c (11c) for 5 minutes</w:t>
            </w:r>
          </w:p>
        </w:tc>
      </w:tr>
      <w:tr w:rsidR="000D07EA" w14:paraId="4A9915B1" w14:textId="77777777">
        <w:tc>
          <w:tcPr>
            <w:tcW w:w="2988" w:type="dxa"/>
            <w:shd w:val="clear" w:color="auto" w:fill="auto"/>
          </w:tcPr>
          <w:p w14:paraId="2FDFE6F4" w14:textId="77777777" w:rsidR="000D07EA" w:rsidRDefault="00BE7C89">
            <w:pPr>
              <w:pStyle w:val="BodyText"/>
              <w:spacing w:before="100" w:after="100"/>
              <w:rPr>
                <w:b/>
                <w:i/>
              </w:rPr>
            </w:pPr>
            <w:r>
              <w:rPr>
                <w:b/>
                <w:i/>
              </w:rPr>
              <w:t>Minimum term</w:t>
            </w:r>
          </w:p>
        </w:tc>
        <w:tc>
          <w:tcPr>
            <w:tcW w:w="1332" w:type="dxa"/>
            <w:shd w:val="clear" w:color="auto" w:fill="auto"/>
          </w:tcPr>
          <w:p w14:paraId="3BABF004" w14:textId="77777777" w:rsidR="000D07EA" w:rsidRDefault="00BE7C89">
            <w:pPr>
              <w:pStyle w:val="BodyText"/>
              <w:spacing w:before="100" w:after="100"/>
              <w:jc w:val="center"/>
            </w:pPr>
            <w:r>
              <w:t>18 or 24 months</w:t>
            </w:r>
          </w:p>
        </w:tc>
        <w:tc>
          <w:tcPr>
            <w:tcW w:w="1332" w:type="dxa"/>
            <w:shd w:val="clear" w:color="auto" w:fill="auto"/>
          </w:tcPr>
          <w:p w14:paraId="4E239278" w14:textId="77777777" w:rsidR="000D07EA" w:rsidRDefault="00BE7C89">
            <w:pPr>
              <w:pStyle w:val="BodyText"/>
              <w:spacing w:before="100" w:after="100"/>
              <w:jc w:val="center"/>
            </w:pPr>
            <w:r>
              <w:t>18 or 24 months</w:t>
            </w:r>
          </w:p>
        </w:tc>
        <w:tc>
          <w:tcPr>
            <w:tcW w:w="1332" w:type="dxa"/>
            <w:shd w:val="clear" w:color="auto" w:fill="auto"/>
          </w:tcPr>
          <w:p w14:paraId="45B6F2FD" w14:textId="77777777" w:rsidR="000D07EA" w:rsidRDefault="00BE7C89">
            <w:pPr>
              <w:pStyle w:val="BodyText"/>
              <w:spacing w:before="100" w:after="100"/>
              <w:jc w:val="center"/>
            </w:pPr>
            <w:r>
              <w:t>18 or 24 months</w:t>
            </w:r>
          </w:p>
        </w:tc>
        <w:tc>
          <w:tcPr>
            <w:tcW w:w="1332" w:type="dxa"/>
            <w:shd w:val="clear" w:color="auto" w:fill="auto"/>
          </w:tcPr>
          <w:p w14:paraId="1694B53F" w14:textId="77777777" w:rsidR="000D07EA" w:rsidRDefault="00BE7C89">
            <w:pPr>
              <w:pStyle w:val="BodyText"/>
              <w:spacing w:before="100" w:after="100"/>
              <w:jc w:val="center"/>
            </w:pPr>
            <w:r>
              <w:t>18 or 24 months</w:t>
            </w:r>
          </w:p>
        </w:tc>
        <w:tc>
          <w:tcPr>
            <w:tcW w:w="1332" w:type="dxa"/>
            <w:shd w:val="clear" w:color="auto" w:fill="auto"/>
          </w:tcPr>
          <w:p w14:paraId="61F9E37D" w14:textId="77777777" w:rsidR="000D07EA" w:rsidRDefault="00BE7C89">
            <w:pPr>
              <w:pStyle w:val="BodyText"/>
              <w:spacing w:before="100" w:after="100"/>
              <w:jc w:val="center"/>
            </w:pPr>
            <w:r>
              <w:t>18 or 24 months</w:t>
            </w:r>
          </w:p>
        </w:tc>
      </w:tr>
      <w:tr w:rsidR="000D07EA" w14:paraId="0B9DE257" w14:textId="77777777">
        <w:tc>
          <w:tcPr>
            <w:tcW w:w="2988" w:type="dxa"/>
            <w:shd w:val="clear" w:color="auto" w:fill="auto"/>
          </w:tcPr>
          <w:p w14:paraId="6DE1F4A0" w14:textId="77777777" w:rsidR="000D07EA" w:rsidRDefault="00BE7C89">
            <w:pPr>
              <w:pStyle w:val="BodyText"/>
              <w:spacing w:before="100" w:after="100"/>
              <w:rPr>
                <w:b/>
              </w:rPr>
            </w:pPr>
            <w:r>
              <w:rPr>
                <w:b/>
                <w:i/>
              </w:rPr>
              <w:t>Cancellation fee</w:t>
            </w:r>
            <w:r>
              <w:rPr>
                <w:b/>
              </w:rPr>
              <w:t xml:space="preserve"> for each </w:t>
            </w:r>
            <w:r>
              <w:rPr>
                <w:b/>
                <w:i/>
              </w:rPr>
              <w:t>Optus SIM card</w:t>
            </w:r>
            <w:r>
              <w:rPr>
                <w:b/>
              </w:rPr>
              <w:t xml:space="preserve"> on 18 month </w:t>
            </w:r>
            <w:r>
              <w:rPr>
                <w:b/>
                <w:i/>
              </w:rPr>
              <w:t>minimum term</w:t>
            </w:r>
          </w:p>
        </w:tc>
        <w:tc>
          <w:tcPr>
            <w:tcW w:w="1332" w:type="dxa"/>
            <w:shd w:val="clear" w:color="auto" w:fill="auto"/>
          </w:tcPr>
          <w:p w14:paraId="1072895A" w14:textId="77777777" w:rsidR="000D07EA" w:rsidRDefault="00BE7C89">
            <w:pPr>
              <w:pStyle w:val="BodyText"/>
              <w:spacing w:before="100" w:after="100"/>
              <w:jc w:val="center"/>
            </w:pPr>
            <w:r>
              <w:t>$227.27</w:t>
            </w:r>
            <w:r>
              <w:br/>
              <w:t>($250)</w:t>
            </w:r>
          </w:p>
        </w:tc>
        <w:tc>
          <w:tcPr>
            <w:tcW w:w="1332" w:type="dxa"/>
            <w:shd w:val="clear" w:color="auto" w:fill="auto"/>
          </w:tcPr>
          <w:p w14:paraId="150BF27A" w14:textId="77777777" w:rsidR="000D07EA" w:rsidRDefault="00BE7C89">
            <w:pPr>
              <w:pStyle w:val="BodyText"/>
              <w:spacing w:before="100" w:after="100"/>
              <w:jc w:val="center"/>
            </w:pPr>
            <w:r>
              <w:t>$254.55</w:t>
            </w:r>
            <w:r>
              <w:br/>
              <w:t>($280)</w:t>
            </w:r>
          </w:p>
        </w:tc>
        <w:tc>
          <w:tcPr>
            <w:tcW w:w="1332" w:type="dxa"/>
            <w:shd w:val="clear" w:color="auto" w:fill="auto"/>
          </w:tcPr>
          <w:p w14:paraId="0661EF51" w14:textId="77777777" w:rsidR="000D07EA" w:rsidRDefault="00BE7C89">
            <w:pPr>
              <w:pStyle w:val="BodyText"/>
              <w:spacing w:before="100" w:after="100"/>
              <w:jc w:val="center"/>
            </w:pPr>
            <w:r>
              <w:t>$318.18</w:t>
            </w:r>
            <w:r>
              <w:br/>
              <w:t>($350)</w:t>
            </w:r>
          </w:p>
        </w:tc>
        <w:tc>
          <w:tcPr>
            <w:tcW w:w="1332" w:type="dxa"/>
            <w:shd w:val="clear" w:color="auto" w:fill="auto"/>
          </w:tcPr>
          <w:p w14:paraId="7626A45B" w14:textId="77777777" w:rsidR="000D07EA" w:rsidRDefault="00BE7C89">
            <w:pPr>
              <w:pStyle w:val="BodyText"/>
              <w:spacing w:before="100" w:after="100"/>
              <w:jc w:val="center"/>
            </w:pPr>
            <w:r>
              <w:t>$381.82</w:t>
            </w:r>
            <w:r>
              <w:br/>
              <w:t>($420)</w:t>
            </w:r>
          </w:p>
        </w:tc>
        <w:tc>
          <w:tcPr>
            <w:tcW w:w="1332" w:type="dxa"/>
            <w:shd w:val="clear" w:color="auto" w:fill="auto"/>
          </w:tcPr>
          <w:p w14:paraId="437C1E29" w14:textId="77777777" w:rsidR="000D07EA" w:rsidRDefault="00BE7C89">
            <w:pPr>
              <w:pStyle w:val="BodyText"/>
              <w:spacing w:before="100" w:after="100"/>
              <w:jc w:val="center"/>
            </w:pPr>
            <w:r>
              <w:t>$509.09</w:t>
            </w:r>
            <w:r>
              <w:br/>
              <w:t>($560)</w:t>
            </w:r>
          </w:p>
        </w:tc>
      </w:tr>
      <w:tr w:rsidR="000D07EA" w14:paraId="1F84574A" w14:textId="77777777">
        <w:tc>
          <w:tcPr>
            <w:tcW w:w="2988" w:type="dxa"/>
            <w:shd w:val="clear" w:color="auto" w:fill="auto"/>
          </w:tcPr>
          <w:p w14:paraId="4300D61B" w14:textId="77777777" w:rsidR="000D07EA" w:rsidRDefault="00BE7C89">
            <w:pPr>
              <w:pStyle w:val="BodyText"/>
              <w:spacing w:before="100" w:after="100"/>
              <w:rPr>
                <w:b/>
              </w:rPr>
            </w:pPr>
            <w:r>
              <w:rPr>
                <w:b/>
                <w:i/>
              </w:rPr>
              <w:t>Cancellation fee</w:t>
            </w:r>
            <w:r>
              <w:rPr>
                <w:b/>
              </w:rPr>
              <w:t xml:space="preserve"> for each </w:t>
            </w:r>
            <w:r>
              <w:rPr>
                <w:b/>
                <w:i/>
              </w:rPr>
              <w:t>Optus SIM card</w:t>
            </w:r>
            <w:r>
              <w:rPr>
                <w:b/>
              </w:rPr>
              <w:t xml:space="preserve"> on 24 month </w:t>
            </w:r>
            <w:r>
              <w:rPr>
                <w:b/>
                <w:i/>
              </w:rPr>
              <w:t>minimum term</w:t>
            </w:r>
          </w:p>
        </w:tc>
        <w:tc>
          <w:tcPr>
            <w:tcW w:w="1332" w:type="dxa"/>
            <w:shd w:val="clear" w:color="auto" w:fill="auto"/>
          </w:tcPr>
          <w:p w14:paraId="1222B3FC" w14:textId="77777777" w:rsidR="000D07EA" w:rsidRDefault="00BE7C89">
            <w:pPr>
              <w:pStyle w:val="BodyText"/>
              <w:spacing w:before="100" w:after="100"/>
              <w:jc w:val="center"/>
            </w:pPr>
            <w:r>
              <w:t>$309.09</w:t>
            </w:r>
            <w:r>
              <w:br/>
              <w:t>($340)</w:t>
            </w:r>
          </w:p>
        </w:tc>
        <w:tc>
          <w:tcPr>
            <w:tcW w:w="1332" w:type="dxa"/>
            <w:shd w:val="clear" w:color="auto" w:fill="auto"/>
          </w:tcPr>
          <w:p w14:paraId="585F8CC8" w14:textId="77777777" w:rsidR="000D07EA" w:rsidRDefault="00BE7C89">
            <w:pPr>
              <w:pStyle w:val="BodyText"/>
              <w:spacing w:before="100" w:after="100"/>
              <w:jc w:val="center"/>
            </w:pPr>
            <w:r>
              <w:t>$354.55</w:t>
            </w:r>
            <w:r>
              <w:br/>
              <w:t>($390)</w:t>
            </w:r>
          </w:p>
        </w:tc>
        <w:tc>
          <w:tcPr>
            <w:tcW w:w="1332" w:type="dxa"/>
            <w:shd w:val="clear" w:color="auto" w:fill="auto"/>
          </w:tcPr>
          <w:p w14:paraId="64A8C45F" w14:textId="77777777" w:rsidR="000D07EA" w:rsidRDefault="00BE7C89">
            <w:pPr>
              <w:pStyle w:val="BodyText"/>
              <w:spacing w:before="100" w:after="100"/>
              <w:jc w:val="center"/>
            </w:pPr>
            <w:r>
              <w:t>$463.64</w:t>
            </w:r>
            <w:r>
              <w:br/>
              <w:t>($510)</w:t>
            </w:r>
          </w:p>
        </w:tc>
        <w:tc>
          <w:tcPr>
            <w:tcW w:w="1332" w:type="dxa"/>
            <w:shd w:val="clear" w:color="auto" w:fill="auto"/>
          </w:tcPr>
          <w:p w14:paraId="39826A0C" w14:textId="77777777" w:rsidR="000D07EA" w:rsidRDefault="00BE7C89">
            <w:pPr>
              <w:pStyle w:val="BodyText"/>
              <w:spacing w:before="100" w:after="100"/>
              <w:jc w:val="center"/>
            </w:pPr>
            <w:r>
              <w:t>$545.45</w:t>
            </w:r>
            <w:r>
              <w:br/>
              <w:t>($600)</w:t>
            </w:r>
          </w:p>
        </w:tc>
        <w:tc>
          <w:tcPr>
            <w:tcW w:w="1332" w:type="dxa"/>
            <w:shd w:val="clear" w:color="auto" w:fill="auto"/>
          </w:tcPr>
          <w:p w14:paraId="5B2B19A9" w14:textId="77777777" w:rsidR="000D07EA" w:rsidRDefault="00BE7C89">
            <w:pPr>
              <w:pStyle w:val="BodyText"/>
              <w:spacing w:before="100" w:after="100"/>
              <w:jc w:val="center"/>
            </w:pPr>
            <w:r>
              <w:t>$645.45</w:t>
            </w:r>
            <w:r>
              <w:br/>
              <w:t>($710)</w:t>
            </w:r>
          </w:p>
        </w:tc>
      </w:tr>
    </w:tbl>
    <w:p w14:paraId="33158521" w14:textId="77777777" w:rsidR="000D07EA" w:rsidRDefault="00BE7C89">
      <w:pPr>
        <w:pStyle w:val="BodyText"/>
        <w:spacing w:after="0"/>
        <w:ind w:left="720"/>
        <w:rPr>
          <w:sz w:val="16"/>
          <w:szCs w:val="16"/>
        </w:rPr>
      </w:pPr>
      <w:r>
        <w:rPr>
          <w:sz w:val="16"/>
          <w:szCs w:val="16"/>
        </w:rPr>
        <w:t>Note: All rates are per 30 seconds unless otherwise noted.</w:t>
      </w:r>
    </w:p>
    <w:p w14:paraId="5BA11542" w14:textId="77777777" w:rsidR="000D07EA" w:rsidRDefault="00BE7C89">
      <w:pPr>
        <w:pStyle w:val="BodyText"/>
        <w:spacing w:after="0"/>
        <w:ind w:left="720"/>
        <w:rPr>
          <w:sz w:val="16"/>
          <w:szCs w:val="16"/>
        </w:rPr>
      </w:pPr>
      <w:r>
        <w:rPr>
          <w:sz w:val="16"/>
          <w:szCs w:val="16"/>
        </w:rPr>
        <w:t>The rates above exclude calls to special services and Satellite.</w:t>
      </w:r>
    </w:p>
    <w:p w14:paraId="4DB96FC0" w14:textId="77777777" w:rsidR="000D07EA" w:rsidRDefault="00BE7C89">
      <w:pPr>
        <w:pStyle w:val="BodyText"/>
        <w:spacing w:after="0"/>
        <w:ind w:left="720"/>
        <w:rPr>
          <w:sz w:val="16"/>
          <w:szCs w:val="16"/>
        </w:rPr>
      </w:pPr>
      <w:r>
        <w:rPr>
          <w:sz w:val="16"/>
          <w:szCs w:val="16"/>
          <w:vertAlign w:val="superscript"/>
        </w:rPr>
        <w:t>^</w:t>
      </w:r>
      <w:r>
        <w:rPr>
          <w:sz w:val="16"/>
          <w:szCs w:val="16"/>
        </w:rPr>
        <w:t xml:space="preserve"> Billed per second.</w:t>
      </w:r>
    </w:p>
    <w:p w14:paraId="5E00EC5E" w14:textId="77777777" w:rsidR="000D07EA" w:rsidRDefault="00BE7C89">
      <w:pPr>
        <w:pStyle w:val="BodyText"/>
        <w:spacing w:after="0"/>
        <w:ind w:left="720"/>
        <w:rPr>
          <w:sz w:val="16"/>
          <w:szCs w:val="16"/>
        </w:rPr>
      </w:pPr>
      <w:r>
        <w:rPr>
          <w:sz w:val="16"/>
          <w:szCs w:val="16"/>
          <w:vertAlign w:val="superscript"/>
        </w:rPr>
        <w:t>+</w:t>
      </w:r>
      <w:r>
        <w:rPr>
          <w:sz w:val="16"/>
          <w:szCs w:val="16"/>
        </w:rPr>
        <w:t xml:space="preserve"> No </w:t>
      </w:r>
      <w:r>
        <w:rPr>
          <w:i/>
          <w:sz w:val="16"/>
          <w:szCs w:val="16"/>
        </w:rPr>
        <w:t>flagfall</w:t>
      </w:r>
      <w:r>
        <w:rPr>
          <w:sz w:val="16"/>
          <w:szCs w:val="16"/>
        </w:rPr>
        <w:t xml:space="preserve"> applies and calls billed per second after five minutes.</w:t>
      </w:r>
    </w:p>
    <w:p w14:paraId="6478C742" w14:textId="77777777" w:rsidR="000D07EA" w:rsidRDefault="000D07EA">
      <w:pPr>
        <w:pStyle w:val="BodyText"/>
      </w:pPr>
    </w:p>
    <w:p w14:paraId="08812B83" w14:textId="77777777" w:rsidR="000D07EA" w:rsidRDefault="00BE7C89">
      <w:pPr>
        <w:pStyle w:val="BodyText"/>
        <w:ind w:left="720"/>
        <w:rPr>
          <w:szCs w:val="20"/>
        </w:rPr>
      </w:pPr>
      <w:r>
        <w:rPr>
          <w:szCs w:val="20"/>
        </w:rPr>
        <w:t xml:space="preserve">If a different minimum monthly </w:t>
      </w:r>
      <w:r>
        <w:rPr>
          <w:i/>
          <w:szCs w:val="20"/>
        </w:rPr>
        <w:t>access fee</w:t>
      </w:r>
      <w:r>
        <w:rPr>
          <w:szCs w:val="20"/>
        </w:rPr>
        <w:t xml:space="preserve"> is agreed with </w:t>
      </w:r>
      <w:r>
        <w:rPr>
          <w:i/>
          <w:szCs w:val="20"/>
        </w:rPr>
        <w:t>you</w:t>
      </w:r>
      <w:r>
        <w:rPr>
          <w:szCs w:val="20"/>
        </w:rPr>
        <w:t xml:space="preserve">, the monthly charge will be adjusted accordingly. The standard call exclusions (see </w:t>
      </w:r>
      <w:hyperlink r:id="rId23" w:history="1">
        <w:r>
          <w:rPr>
            <w:rStyle w:val="Hyperlink"/>
            <w:szCs w:val="20"/>
          </w:rPr>
          <w:t>section 1</w:t>
        </w:r>
      </w:hyperlink>
      <w:r>
        <w:rPr>
          <w:szCs w:val="20"/>
        </w:rPr>
        <w:t xml:space="preserve"> of this </w:t>
      </w:r>
      <w:r>
        <w:rPr>
          <w:i/>
          <w:szCs w:val="20"/>
        </w:rPr>
        <w:t>standard pricing table</w:t>
      </w:r>
      <w:r>
        <w:rPr>
          <w:szCs w:val="20"/>
        </w:rPr>
        <w:t>) apply to the monthly included calls.</w:t>
      </w:r>
    </w:p>
    <w:p w14:paraId="5E6EEFB8" w14:textId="77777777" w:rsidR="000D07EA" w:rsidRDefault="00BE7C89">
      <w:pPr>
        <w:pStyle w:val="BodyText"/>
        <w:keepNext/>
        <w:keepLines/>
        <w:ind w:left="720"/>
        <w:rPr>
          <w:b/>
        </w:rPr>
      </w:pPr>
      <w:r>
        <w:rPr>
          <w:b/>
        </w:rPr>
        <w:t xml:space="preserve">Table 2 - Optus OneFleet BYO </w:t>
      </w:r>
      <w:r>
        <w:rPr>
          <w:b/>
          <w:i/>
        </w:rPr>
        <w:t>pricing plans</w:t>
      </w:r>
    </w:p>
    <w:tbl>
      <w:tblPr>
        <w:tblW w:w="96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1332"/>
        <w:gridCol w:w="1332"/>
        <w:gridCol w:w="1332"/>
        <w:gridCol w:w="1332"/>
        <w:gridCol w:w="1332"/>
      </w:tblGrid>
      <w:tr w:rsidR="000D07EA" w14:paraId="164E4443" w14:textId="77777777">
        <w:trPr>
          <w:tblHeader/>
        </w:trPr>
        <w:tc>
          <w:tcPr>
            <w:tcW w:w="2988" w:type="dxa"/>
            <w:shd w:val="clear" w:color="auto" w:fill="auto"/>
          </w:tcPr>
          <w:p w14:paraId="60EF4959" w14:textId="77777777" w:rsidR="000D07EA" w:rsidRDefault="00BE7C89">
            <w:pPr>
              <w:pStyle w:val="BodyText"/>
              <w:keepNext/>
              <w:keepLines/>
              <w:spacing w:before="100" w:after="100"/>
              <w:rPr>
                <w:b/>
                <w:i/>
              </w:rPr>
            </w:pPr>
            <w:r>
              <w:rPr>
                <w:b/>
                <w:i/>
              </w:rPr>
              <w:t>Pricing plan</w:t>
            </w:r>
          </w:p>
        </w:tc>
        <w:tc>
          <w:tcPr>
            <w:tcW w:w="1332" w:type="dxa"/>
            <w:shd w:val="clear" w:color="auto" w:fill="auto"/>
          </w:tcPr>
          <w:p w14:paraId="56DDBD90" w14:textId="77777777" w:rsidR="000D07EA" w:rsidRDefault="00BE7C89">
            <w:pPr>
              <w:pStyle w:val="BodyText"/>
              <w:keepNext/>
              <w:keepLines/>
              <w:spacing w:before="100" w:after="100"/>
              <w:jc w:val="center"/>
              <w:rPr>
                <w:b/>
              </w:rPr>
            </w:pPr>
            <w:r>
              <w:rPr>
                <w:b/>
              </w:rPr>
              <w:t>25</w:t>
            </w:r>
          </w:p>
        </w:tc>
        <w:tc>
          <w:tcPr>
            <w:tcW w:w="1332" w:type="dxa"/>
            <w:shd w:val="clear" w:color="auto" w:fill="auto"/>
          </w:tcPr>
          <w:p w14:paraId="13BE1C2D" w14:textId="77777777" w:rsidR="000D07EA" w:rsidRDefault="00BE7C89">
            <w:pPr>
              <w:pStyle w:val="BodyText"/>
              <w:keepNext/>
              <w:keepLines/>
              <w:spacing w:before="100" w:after="100"/>
              <w:jc w:val="center"/>
              <w:rPr>
                <w:b/>
              </w:rPr>
            </w:pPr>
            <w:r>
              <w:rPr>
                <w:b/>
              </w:rPr>
              <w:t>40</w:t>
            </w:r>
          </w:p>
        </w:tc>
        <w:tc>
          <w:tcPr>
            <w:tcW w:w="1332" w:type="dxa"/>
            <w:shd w:val="clear" w:color="auto" w:fill="auto"/>
          </w:tcPr>
          <w:p w14:paraId="7F4B9C2C" w14:textId="77777777" w:rsidR="000D07EA" w:rsidRDefault="00BE7C89">
            <w:pPr>
              <w:pStyle w:val="BodyText"/>
              <w:keepNext/>
              <w:keepLines/>
              <w:spacing w:before="100" w:after="100"/>
              <w:jc w:val="center"/>
              <w:rPr>
                <w:b/>
              </w:rPr>
            </w:pPr>
            <w:r>
              <w:rPr>
                <w:b/>
              </w:rPr>
              <w:t>60</w:t>
            </w:r>
          </w:p>
        </w:tc>
        <w:tc>
          <w:tcPr>
            <w:tcW w:w="1332" w:type="dxa"/>
            <w:shd w:val="clear" w:color="auto" w:fill="auto"/>
          </w:tcPr>
          <w:p w14:paraId="12B33C2C" w14:textId="77777777" w:rsidR="000D07EA" w:rsidRDefault="00BE7C89">
            <w:pPr>
              <w:pStyle w:val="BodyText"/>
              <w:keepNext/>
              <w:keepLines/>
              <w:spacing w:before="100" w:after="100"/>
              <w:jc w:val="center"/>
              <w:rPr>
                <w:b/>
              </w:rPr>
            </w:pPr>
            <w:r>
              <w:rPr>
                <w:b/>
              </w:rPr>
              <w:t>80</w:t>
            </w:r>
          </w:p>
        </w:tc>
        <w:tc>
          <w:tcPr>
            <w:tcW w:w="1332" w:type="dxa"/>
            <w:shd w:val="clear" w:color="auto" w:fill="auto"/>
          </w:tcPr>
          <w:p w14:paraId="011824F4" w14:textId="77777777" w:rsidR="000D07EA" w:rsidRDefault="00BE7C89">
            <w:pPr>
              <w:pStyle w:val="BodyText"/>
              <w:keepNext/>
              <w:keepLines/>
              <w:spacing w:before="100" w:after="100"/>
              <w:jc w:val="center"/>
              <w:rPr>
                <w:b/>
              </w:rPr>
            </w:pPr>
            <w:r>
              <w:rPr>
                <w:b/>
              </w:rPr>
              <w:t>120</w:t>
            </w:r>
          </w:p>
        </w:tc>
      </w:tr>
      <w:tr w:rsidR="000D07EA" w14:paraId="6B556733" w14:textId="77777777">
        <w:tc>
          <w:tcPr>
            <w:tcW w:w="2988" w:type="dxa"/>
            <w:shd w:val="clear" w:color="auto" w:fill="auto"/>
          </w:tcPr>
          <w:p w14:paraId="539D8AD8" w14:textId="77777777" w:rsidR="000D07EA" w:rsidRDefault="00BE7C89">
            <w:pPr>
              <w:pStyle w:val="BodyText"/>
              <w:spacing w:before="100" w:after="100"/>
              <w:rPr>
                <w:b/>
              </w:rPr>
            </w:pPr>
            <w:r>
              <w:rPr>
                <w:b/>
              </w:rPr>
              <w:t>Minimum monthly spend (per service, aggregated)</w:t>
            </w:r>
          </w:p>
        </w:tc>
        <w:tc>
          <w:tcPr>
            <w:tcW w:w="1332" w:type="dxa"/>
            <w:shd w:val="clear" w:color="auto" w:fill="auto"/>
          </w:tcPr>
          <w:p w14:paraId="5DE450E7" w14:textId="77777777" w:rsidR="000D07EA" w:rsidRDefault="00BE7C89">
            <w:pPr>
              <w:pStyle w:val="BodyText"/>
              <w:spacing w:before="100" w:after="100"/>
              <w:jc w:val="center"/>
            </w:pPr>
            <w:r>
              <w:t>$25</w:t>
            </w:r>
            <w:r>
              <w:br/>
              <w:t>($27.50)</w:t>
            </w:r>
          </w:p>
        </w:tc>
        <w:tc>
          <w:tcPr>
            <w:tcW w:w="1332" w:type="dxa"/>
            <w:shd w:val="clear" w:color="auto" w:fill="auto"/>
          </w:tcPr>
          <w:p w14:paraId="1B009A91" w14:textId="77777777" w:rsidR="000D07EA" w:rsidRDefault="00BE7C89">
            <w:pPr>
              <w:pStyle w:val="BodyText"/>
              <w:spacing w:before="100" w:after="100"/>
              <w:jc w:val="center"/>
            </w:pPr>
            <w:r>
              <w:t>$40</w:t>
            </w:r>
            <w:r>
              <w:br/>
              <w:t>($44)</w:t>
            </w:r>
          </w:p>
        </w:tc>
        <w:tc>
          <w:tcPr>
            <w:tcW w:w="1332" w:type="dxa"/>
            <w:shd w:val="clear" w:color="auto" w:fill="auto"/>
          </w:tcPr>
          <w:p w14:paraId="01366EB1" w14:textId="77777777" w:rsidR="000D07EA" w:rsidRDefault="00BE7C89">
            <w:pPr>
              <w:pStyle w:val="BodyText"/>
              <w:spacing w:before="100" w:after="100"/>
              <w:jc w:val="center"/>
            </w:pPr>
            <w:r>
              <w:t>$60</w:t>
            </w:r>
            <w:r>
              <w:br/>
              <w:t>($66)</w:t>
            </w:r>
          </w:p>
        </w:tc>
        <w:tc>
          <w:tcPr>
            <w:tcW w:w="1332" w:type="dxa"/>
            <w:shd w:val="clear" w:color="auto" w:fill="auto"/>
          </w:tcPr>
          <w:p w14:paraId="204130C1" w14:textId="77777777" w:rsidR="000D07EA" w:rsidRDefault="00BE7C89">
            <w:pPr>
              <w:pStyle w:val="BodyText"/>
              <w:spacing w:before="100" w:after="100"/>
              <w:jc w:val="center"/>
            </w:pPr>
            <w:r>
              <w:t>$80</w:t>
            </w:r>
            <w:r>
              <w:br/>
              <w:t>($88)</w:t>
            </w:r>
          </w:p>
        </w:tc>
        <w:tc>
          <w:tcPr>
            <w:tcW w:w="1332" w:type="dxa"/>
            <w:shd w:val="clear" w:color="auto" w:fill="auto"/>
          </w:tcPr>
          <w:p w14:paraId="7FF81548" w14:textId="77777777" w:rsidR="000D07EA" w:rsidRDefault="00BE7C89">
            <w:pPr>
              <w:pStyle w:val="BodyText"/>
              <w:spacing w:before="100" w:after="100"/>
              <w:jc w:val="center"/>
            </w:pPr>
            <w:r>
              <w:t>$120</w:t>
            </w:r>
            <w:r>
              <w:br/>
              <w:t>($132)</w:t>
            </w:r>
          </w:p>
        </w:tc>
      </w:tr>
      <w:tr w:rsidR="000D07EA" w14:paraId="6E1E05B4" w14:textId="77777777">
        <w:tc>
          <w:tcPr>
            <w:tcW w:w="2988" w:type="dxa"/>
            <w:shd w:val="clear" w:color="auto" w:fill="auto"/>
          </w:tcPr>
          <w:p w14:paraId="4664F14F" w14:textId="77777777" w:rsidR="000D07EA" w:rsidRDefault="00BE7C89">
            <w:pPr>
              <w:pStyle w:val="BodyText"/>
              <w:spacing w:before="100" w:after="100"/>
              <w:rPr>
                <w:b/>
                <w:i/>
              </w:rPr>
            </w:pPr>
            <w:r>
              <w:rPr>
                <w:b/>
                <w:i/>
              </w:rPr>
              <w:t>Flagfall</w:t>
            </w:r>
          </w:p>
        </w:tc>
        <w:tc>
          <w:tcPr>
            <w:tcW w:w="1332" w:type="dxa"/>
            <w:shd w:val="clear" w:color="auto" w:fill="auto"/>
          </w:tcPr>
          <w:p w14:paraId="298A3F30" w14:textId="77777777" w:rsidR="000D07EA" w:rsidRDefault="00BE7C89">
            <w:pPr>
              <w:pStyle w:val="BodyText"/>
              <w:spacing w:before="100" w:after="100"/>
              <w:jc w:val="center"/>
            </w:pPr>
            <w:r>
              <w:t>10c</w:t>
            </w:r>
            <w:r>
              <w:br/>
              <w:t>(11c)</w:t>
            </w:r>
          </w:p>
        </w:tc>
        <w:tc>
          <w:tcPr>
            <w:tcW w:w="1332" w:type="dxa"/>
            <w:shd w:val="clear" w:color="auto" w:fill="auto"/>
          </w:tcPr>
          <w:p w14:paraId="37A6E5F6" w14:textId="77777777" w:rsidR="000D07EA" w:rsidRDefault="00BE7C89">
            <w:pPr>
              <w:pStyle w:val="BodyText"/>
              <w:spacing w:before="100" w:after="100"/>
              <w:jc w:val="center"/>
            </w:pPr>
            <w:r>
              <w:t>10c</w:t>
            </w:r>
            <w:r>
              <w:br/>
              <w:t>(11c)</w:t>
            </w:r>
          </w:p>
        </w:tc>
        <w:tc>
          <w:tcPr>
            <w:tcW w:w="1332" w:type="dxa"/>
            <w:shd w:val="clear" w:color="auto" w:fill="auto"/>
          </w:tcPr>
          <w:p w14:paraId="18D0D9D3" w14:textId="77777777" w:rsidR="000D07EA" w:rsidRDefault="00BE7C89">
            <w:pPr>
              <w:pStyle w:val="BodyText"/>
              <w:spacing w:before="100" w:after="100"/>
              <w:jc w:val="center"/>
            </w:pPr>
            <w:r>
              <w:t>10c</w:t>
            </w:r>
            <w:r>
              <w:br/>
              <w:t>(11c)</w:t>
            </w:r>
          </w:p>
        </w:tc>
        <w:tc>
          <w:tcPr>
            <w:tcW w:w="1332" w:type="dxa"/>
            <w:shd w:val="clear" w:color="auto" w:fill="auto"/>
          </w:tcPr>
          <w:p w14:paraId="1F4123C2" w14:textId="77777777" w:rsidR="000D07EA" w:rsidRDefault="00BE7C89">
            <w:pPr>
              <w:pStyle w:val="BodyText"/>
              <w:spacing w:before="100" w:after="100"/>
              <w:jc w:val="center"/>
            </w:pPr>
            <w:r>
              <w:t>10c</w:t>
            </w:r>
            <w:r>
              <w:br/>
              <w:t>(11c)</w:t>
            </w:r>
          </w:p>
        </w:tc>
        <w:tc>
          <w:tcPr>
            <w:tcW w:w="1332" w:type="dxa"/>
            <w:shd w:val="clear" w:color="auto" w:fill="auto"/>
          </w:tcPr>
          <w:p w14:paraId="2105947B" w14:textId="77777777" w:rsidR="000D07EA" w:rsidRDefault="00BE7C89">
            <w:pPr>
              <w:pStyle w:val="BodyText"/>
              <w:spacing w:before="100" w:after="100"/>
              <w:jc w:val="center"/>
            </w:pPr>
            <w:r>
              <w:t>10c</w:t>
            </w:r>
            <w:r>
              <w:br/>
              <w:t>(11c)</w:t>
            </w:r>
          </w:p>
        </w:tc>
      </w:tr>
      <w:tr w:rsidR="000D07EA" w14:paraId="7B18594C" w14:textId="77777777">
        <w:tc>
          <w:tcPr>
            <w:tcW w:w="2988" w:type="dxa"/>
            <w:shd w:val="clear" w:color="auto" w:fill="auto"/>
          </w:tcPr>
          <w:p w14:paraId="10CDAE20" w14:textId="77777777" w:rsidR="000D07EA" w:rsidRDefault="00BE7C89">
            <w:pPr>
              <w:pStyle w:val="BodyText"/>
              <w:spacing w:before="100" w:after="100"/>
              <w:rPr>
                <w:b/>
              </w:rPr>
            </w:pPr>
            <w:r>
              <w:rPr>
                <w:b/>
              </w:rPr>
              <w:t xml:space="preserve">Calls to Optus GSM </w:t>
            </w:r>
            <w:r>
              <w:rPr>
                <w:b/>
                <w:i/>
              </w:rPr>
              <w:t>mobile phones</w:t>
            </w:r>
            <w:r>
              <w:rPr>
                <w:b/>
              </w:rPr>
              <w:t xml:space="preserve"> (national)</w:t>
            </w:r>
            <w:r>
              <w:rPr>
                <w:b/>
                <w:vertAlign w:val="superscript"/>
              </w:rPr>
              <w:t>^</w:t>
            </w:r>
          </w:p>
        </w:tc>
        <w:tc>
          <w:tcPr>
            <w:tcW w:w="1332" w:type="dxa"/>
            <w:shd w:val="clear" w:color="auto" w:fill="auto"/>
          </w:tcPr>
          <w:p w14:paraId="3D9DAC1C" w14:textId="77777777" w:rsidR="000D07EA" w:rsidRDefault="00BE7C89">
            <w:pPr>
              <w:pStyle w:val="BodyText"/>
              <w:spacing w:before="100" w:after="100"/>
              <w:jc w:val="center"/>
            </w:pPr>
            <w:r>
              <w:t>8c</w:t>
            </w:r>
            <w:r>
              <w:br/>
              <w:t>(8.8c)</w:t>
            </w:r>
          </w:p>
        </w:tc>
        <w:tc>
          <w:tcPr>
            <w:tcW w:w="1332" w:type="dxa"/>
            <w:shd w:val="clear" w:color="auto" w:fill="auto"/>
          </w:tcPr>
          <w:p w14:paraId="64E087A2" w14:textId="77777777" w:rsidR="000D07EA" w:rsidRDefault="00BE7C89">
            <w:pPr>
              <w:pStyle w:val="BodyText"/>
              <w:spacing w:before="100" w:after="100"/>
              <w:jc w:val="center"/>
            </w:pPr>
            <w:r>
              <w:t>8c</w:t>
            </w:r>
            <w:r>
              <w:br/>
              <w:t>(8.8c)</w:t>
            </w:r>
          </w:p>
        </w:tc>
        <w:tc>
          <w:tcPr>
            <w:tcW w:w="1332" w:type="dxa"/>
            <w:shd w:val="clear" w:color="auto" w:fill="auto"/>
          </w:tcPr>
          <w:p w14:paraId="14C04D69" w14:textId="77777777" w:rsidR="000D07EA" w:rsidRDefault="00BE7C89">
            <w:pPr>
              <w:pStyle w:val="BodyText"/>
              <w:spacing w:before="100" w:after="100"/>
              <w:jc w:val="center"/>
            </w:pPr>
            <w:r>
              <w:t>8c</w:t>
            </w:r>
            <w:r>
              <w:br/>
              <w:t>(8.8c)</w:t>
            </w:r>
          </w:p>
        </w:tc>
        <w:tc>
          <w:tcPr>
            <w:tcW w:w="1332" w:type="dxa"/>
            <w:shd w:val="clear" w:color="auto" w:fill="auto"/>
          </w:tcPr>
          <w:p w14:paraId="30667CC7" w14:textId="77777777" w:rsidR="000D07EA" w:rsidRDefault="00BE7C89">
            <w:pPr>
              <w:pStyle w:val="BodyText"/>
              <w:spacing w:before="100" w:after="100"/>
              <w:jc w:val="center"/>
            </w:pPr>
            <w:r>
              <w:t>7c</w:t>
            </w:r>
            <w:r>
              <w:br/>
              <w:t>(7.7c)</w:t>
            </w:r>
          </w:p>
        </w:tc>
        <w:tc>
          <w:tcPr>
            <w:tcW w:w="1332" w:type="dxa"/>
            <w:shd w:val="clear" w:color="auto" w:fill="auto"/>
          </w:tcPr>
          <w:p w14:paraId="66CDAAA5" w14:textId="77777777" w:rsidR="000D07EA" w:rsidRDefault="00BE7C89">
            <w:pPr>
              <w:pStyle w:val="BodyText"/>
              <w:spacing w:before="100" w:after="100"/>
              <w:jc w:val="center"/>
            </w:pPr>
            <w:r>
              <w:t>7c</w:t>
            </w:r>
            <w:r>
              <w:br/>
              <w:t>(7.7c)</w:t>
            </w:r>
          </w:p>
        </w:tc>
      </w:tr>
      <w:tr w:rsidR="000D07EA" w14:paraId="7852A857" w14:textId="77777777">
        <w:tc>
          <w:tcPr>
            <w:tcW w:w="2988" w:type="dxa"/>
            <w:shd w:val="clear" w:color="auto" w:fill="auto"/>
          </w:tcPr>
          <w:p w14:paraId="7026C53F" w14:textId="77777777" w:rsidR="000D07EA" w:rsidRDefault="00BE7C89">
            <w:pPr>
              <w:pStyle w:val="BodyText"/>
              <w:keepNext/>
              <w:spacing w:before="100" w:after="100"/>
              <w:rPr>
                <w:b/>
              </w:rPr>
            </w:pPr>
            <w:r>
              <w:rPr>
                <w:b/>
              </w:rPr>
              <w:t xml:space="preserve">Calls to non-Optus </w:t>
            </w:r>
            <w:r>
              <w:rPr>
                <w:b/>
                <w:i/>
              </w:rPr>
              <w:t>mobile phones</w:t>
            </w:r>
            <w:r>
              <w:rPr>
                <w:b/>
              </w:rPr>
              <w:t xml:space="preserve"> (national)</w:t>
            </w:r>
            <w:r>
              <w:rPr>
                <w:b/>
                <w:vertAlign w:val="superscript"/>
              </w:rPr>
              <w:t>^#</w:t>
            </w:r>
          </w:p>
        </w:tc>
        <w:tc>
          <w:tcPr>
            <w:tcW w:w="1332" w:type="dxa"/>
            <w:shd w:val="clear" w:color="auto" w:fill="auto"/>
          </w:tcPr>
          <w:p w14:paraId="1A69FFD8" w14:textId="77777777" w:rsidR="000D07EA" w:rsidRDefault="00BE7C89">
            <w:pPr>
              <w:pStyle w:val="BodyText"/>
              <w:keepNext/>
              <w:spacing w:before="100" w:after="100"/>
              <w:jc w:val="center"/>
            </w:pPr>
            <w:r>
              <w:t>11c</w:t>
            </w:r>
            <w:r>
              <w:br/>
              <w:t>(12.1c)</w:t>
            </w:r>
          </w:p>
        </w:tc>
        <w:tc>
          <w:tcPr>
            <w:tcW w:w="1332" w:type="dxa"/>
            <w:shd w:val="clear" w:color="auto" w:fill="auto"/>
          </w:tcPr>
          <w:p w14:paraId="6F88C1FB" w14:textId="77777777" w:rsidR="000D07EA" w:rsidRDefault="00BE7C89">
            <w:pPr>
              <w:pStyle w:val="BodyText"/>
              <w:keepNext/>
              <w:spacing w:before="100" w:after="100"/>
              <w:jc w:val="center"/>
            </w:pPr>
            <w:r>
              <w:t>10c</w:t>
            </w:r>
            <w:r>
              <w:br/>
              <w:t>(11c)</w:t>
            </w:r>
          </w:p>
        </w:tc>
        <w:tc>
          <w:tcPr>
            <w:tcW w:w="1332" w:type="dxa"/>
            <w:shd w:val="clear" w:color="auto" w:fill="auto"/>
          </w:tcPr>
          <w:p w14:paraId="6C86A315" w14:textId="77777777" w:rsidR="000D07EA" w:rsidRDefault="00BE7C89">
            <w:pPr>
              <w:pStyle w:val="BodyText"/>
              <w:keepNext/>
              <w:spacing w:before="100" w:after="100"/>
              <w:jc w:val="center"/>
            </w:pPr>
            <w:r>
              <w:t>9c</w:t>
            </w:r>
            <w:r>
              <w:br/>
              <w:t>(9.9c)</w:t>
            </w:r>
          </w:p>
        </w:tc>
        <w:tc>
          <w:tcPr>
            <w:tcW w:w="1332" w:type="dxa"/>
            <w:shd w:val="clear" w:color="auto" w:fill="auto"/>
          </w:tcPr>
          <w:p w14:paraId="042B41DC" w14:textId="77777777" w:rsidR="000D07EA" w:rsidRDefault="00BE7C89">
            <w:pPr>
              <w:pStyle w:val="BodyText"/>
              <w:keepNext/>
              <w:spacing w:before="100" w:after="100"/>
              <w:jc w:val="center"/>
            </w:pPr>
            <w:r>
              <w:t>9c</w:t>
            </w:r>
            <w:r>
              <w:br/>
              <w:t>(9.9c)</w:t>
            </w:r>
          </w:p>
        </w:tc>
        <w:tc>
          <w:tcPr>
            <w:tcW w:w="1332" w:type="dxa"/>
            <w:shd w:val="clear" w:color="auto" w:fill="auto"/>
          </w:tcPr>
          <w:p w14:paraId="0A8A57B0" w14:textId="77777777" w:rsidR="000D07EA" w:rsidRDefault="00BE7C89">
            <w:pPr>
              <w:pStyle w:val="BodyText"/>
              <w:keepNext/>
              <w:spacing w:before="100" w:after="100"/>
              <w:jc w:val="center"/>
            </w:pPr>
            <w:r>
              <w:t>8c</w:t>
            </w:r>
            <w:r>
              <w:br/>
              <w:t>(8.8c)</w:t>
            </w:r>
          </w:p>
        </w:tc>
      </w:tr>
      <w:tr w:rsidR="000D07EA" w14:paraId="62422820" w14:textId="77777777">
        <w:tc>
          <w:tcPr>
            <w:tcW w:w="2988" w:type="dxa"/>
            <w:shd w:val="clear" w:color="auto" w:fill="auto"/>
          </w:tcPr>
          <w:p w14:paraId="161114A8" w14:textId="77777777" w:rsidR="000D07EA" w:rsidRDefault="00BE7C89">
            <w:pPr>
              <w:pStyle w:val="BodyText"/>
              <w:spacing w:before="100" w:after="100"/>
              <w:rPr>
                <w:b/>
              </w:rPr>
            </w:pPr>
            <w:r>
              <w:rPr>
                <w:b/>
              </w:rPr>
              <w:t>Calls to landline (national)</w:t>
            </w:r>
            <w:r>
              <w:rPr>
                <w:b/>
                <w:vertAlign w:val="superscript"/>
              </w:rPr>
              <w:t>^</w:t>
            </w:r>
          </w:p>
        </w:tc>
        <w:tc>
          <w:tcPr>
            <w:tcW w:w="1332" w:type="dxa"/>
            <w:shd w:val="clear" w:color="auto" w:fill="auto"/>
          </w:tcPr>
          <w:p w14:paraId="28523F09" w14:textId="77777777" w:rsidR="000D07EA" w:rsidRDefault="00BE7C89">
            <w:pPr>
              <w:pStyle w:val="BodyText"/>
              <w:spacing w:before="100" w:after="100"/>
              <w:jc w:val="center"/>
            </w:pPr>
            <w:r>
              <w:t>11c</w:t>
            </w:r>
            <w:r>
              <w:br/>
              <w:t>(12.1c)</w:t>
            </w:r>
          </w:p>
        </w:tc>
        <w:tc>
          <w:tcPr>
            <w:tcW w:w="1332" w:type="dxa"/>
            <w:shd w:val="clear" w:color="auto" w:fill="auto"/>
          </w:tcPr>
          <w:p w14:paraId="7648F31D" w14:textId="77777777" w:rsidR="000D07EA" w:rsidRDefault="00BE7C89">
            <w:pPr>
              <w:pStyle w:val="BodyText"/>
              <w:spacing w:before="100" w:after="100"/>
              <w:jc w:val="center"/>
            </w:pPr>
            <w:r>
              <w:t>10c</w:t>
            </w:r>
            <w:r>
              <w:br/>
              <w:t>(11c)</w:t>
            </w:r>
          </w:p>
        </w:tc>
        <w:tc>
          <w:tcPr>
            <w:tcW w:w="1332" w:type="dxa"/>
            <w:shd w:val="clear" w:color="auto" w:fill="auto"/>
          </w:tcPr>
          <w:p w14:paraId="67A39E3D" w14:textId="77777777" w:rsidR="000D07EA" w:rsidRDefault="00BE7C89">
            <w:pPr>
              <w:pStyle w:val="BodyText"/>
              <w:spacing w:before="100" w:after="100"/>
              <w:jc w:val="center"/>
            </w:pPr>
            <w:r>
              <w:t>9c</w:t>
            </w:r>
            <w:r>
              <w:br/>
              <w:t>(9.9c)</w:t>
            </w:r>
          </w:p>
        </w:tc>
        <w:tc>
          <w:tcPr>
            <w:tcW w:w="1332" w:type="dxa"/>
            <w:shd w:val="clear" w:color="auto" w:fill="auto"/>
          </w:tcPr>
          <w:p w14:paraId="0AFA69FF" w14:textId="77777777" w:rsidR="000D07EA" w:rsidRDefault="00BE7C89">
            <w:pPr>
              <w:pStyle w:val="BodyText"/>
              <w:spacing w:before="100" w:after="100"/>
              <w:jc w:val="center"/>
            </w:pPr>
            <w:r>
              <w:t>9c</w:t>
            </w:r>
            <w:r>
              <w:br/>
              <w:t>(9.9c)</w:t>
            </w:r>
          </w:p>
        </w:tc>
        <w:tc>
          <w:tcPr>
            <w:tcW w:w="1332" w:type="dxa"/>
            <w:shd w:val="clear" w:color="auto" w:fill="auto"/>
          </w:tcPr>
          <w:p w14:paraId="43C11B53" w14:textId="77777777" w:rsidR="000D07EA" w:rsidRDefault="00BE7C89">
            <w:pPr>
              <w:pStyle w:val="BodyText"/>
              <w:spacing w:before="100" w:after="100"/>
              <w:jc w:val="center"/>
            </w:pPr>
            <w:r>
              <w:t>8c</w:t>
            </w:r>
            <w:r>
              <w:br/>
              <w:t>(8.8c)</w:t>
            </w:r>
          </w:p>
        </w:tc>
      </w:tr>
      <w:tr w:rsidR="000D07EA" w14:paraId="008F7186" w14:textId="77777777">
        <w:tc>
          <w:tcPr>
            <w:tcW w:w="2988" w:type="dxa"/>
            <w:shd w:val="clear" w:color="auto" w:fill="auto"/>
          </w:tcPr>
          <w:p w14:paraId="1F0A3FD3" w14:textId="77777777" w:rsidR="000D07EA" w:rsidRDefault="00BE7C89">
            <w:pPr>
              <w:pStyle w:val="BodyText"/>
              <w:spacing w:before="100" w:after="100"/>
              <w:rPr>
                <w:b/>
              </w:rPr>
            </w:pPr>
            <w:r>
              <w:rPr>
                <w:b/>
              </w:rPr>
              <w:t>'yes' OneFleet</w:t>
            </w:r>
            <w:r>
              <w:rPr>
                <w:b/>
                <w:vertAlign w:val="superscript"/>
              </w:rPr>
              <w:t>+</w:t>
            </w:r>
          </w:p>
        </w:tc>
        <w:tc>
          <w:tcPr>
            <w:tcW w:w="6660" w:type="dxa"/>
            <w:gridSpan w:val="5"/>
            <w:shd w:val="clear" w:color="auto" w:fill="auto"/>
          </w:tcPr>
          <w:p w14:paraId="673F4037" w14:textId="77777777" w:rsidR="000D07EA" w:rsidRDefault="00BE7C89">
            <w:pPr>
              <w:pStyle w:val="BodyText"/>
              <w:spacing w:before="100" w:after="100"/>
              <w:jc w:val="center"/>
            </w:pPr>
            <w:r>
              <w:t>10c (11c) for 5 minutes</w:t>
            </w:r>
          </w:p>
        </w:tc>
      </w:tr>
      <w:tr w:rsidR="000D07EA" w14:paraId="6B76E597" w14:textId="77777777">
        <w:tc>
          <w:tcPr>
            <w:tcW w:w="2988" w:type="dxa"/>
            <w:shd w:val="clear" w:color="auto" w:fill="auto"/>
          </w:tcPr>
          <w:p w14:paraId="1A02D89B" w14:textId="77777777" w:rsidR="000D07EA" w:rsidRDefault="00BE7C89">
            <w:pPr>
              <w:pStyle w:val="BodyText"/>
              <w:spacing w:before="100" w:after="100"/>
              <w:rPr>
                <w:b/>
                <w:i/>
              </w:rPr>
            </w:pPr>
            <w:r>
              <w:rPr>
                <w:b/>
                <w:i/>
              </w:rPr>
              <w:t>Minimum term</w:t>
            </w:r>
          </w:p>
        </w:tc>
        <w:tc>
          <w:tcPr>
            <w:tcW w:w="1332" w:type="dxa"/>
            <w:shd w:val="clear" w:color="auto" w:fill="auto"/>
          </w:tcPr>
          <w:p w14:paraId="7A3C6B41" w14:textId="77777777" w:rsidR="000D07EA" w:rsidRDefault="00BE7C89">
            <w:pPr>
              <w:pStyle w:val="BodyText"/>
              <w:spacing w:before="100" w:after="100"/>
              <w:jc w:val="center"/>
            </w:pPr>
            <w:r>
              <w:t>12 months</w:t>
            </w:r>
          </w:p>
        </w:tc>
        <w:tc>
          <w:tcPr>
            <w:tcW w:w="1332" w:type="dxa"/>
            <w:shd w:val="clear" w:color="auto" w:fill="auto"/>
          </w:tcPr>
          <w:p w14:paraId="7AEB83C0" w14:textId="77777777" w:rsidR="000D07EA" w:rsidRDefault="00BE7C89">
            <w:pPr>
              <w:pStyle w:val="BodyText"/>
              <w:spacing w:before="100" w:after="100"/>
              <w:jc w:val="center"/>
            </w:pPr>
            <w:r>
              <w:t>12 months</w:t>
            </w:r>
          </w:p>
        </w:tc>
        <w:tc>
          <w:tcPr>
            <w:tcW w:w="1332" w:type="dxa"/>
            <w:shd w:val="clear" w:color="auto" w:fill="auto"/>
          </w:tcPr>
          <w:p w14:paraId="382A4AF8" w14:textId="77777777" w:rsidR="000D07EA" w:rsidRDefault="00BE7C89">
            <w:pPr>
              <w:pStyle w:val="BodyText"/>
              <w:spacing w:before="100" w:after="100"/>
              <w:jc w:val="center"/>
            </w:pPr>
            <w:r>
              <w:t>12 months</w:t>
            </w:r>
          </w:p>
        </w:tc>
        <w:tc>
          <w:tcPr>
            <w:tcW w:w="1332" w:type="dxa"/>
            <w:shd w:val="clear" w:color="auto" w:fill="auto"/>
          </w:tcPr>
          <w:p w14:paraId="498AED6D" w14:textId="77777777" w:rsidR="000D07EA" w:rsidRDefault="00BE7C89">
            <w:pPr>
              <w:pStyle w:val="BodyText"/>
              <w:spacing w:before="100" w:after="100"/>
              <w:jc w:val="center"/>
            </w:pPr>
            <w:r>
              <w:t>12 months</w:t>
            </w:r>
          </w:p>
        </w:tc>
        <w:tc>
          <w:tcPr>
            <w:tcW w:w="1332" w:type="dxa"/>
            <w:shd w:val="clear" w:color="auto" w:fill="auto"/>
          </w:tcPr>
          <w:p w14:paraId="71C34690" w14:textId="77777777" w:rsidR="000D07EA" w:rsidRDefault="00BE7C89">
            <w:pPr>
              <w:pStyle w:val="BodyText"/>
              <w:spacing w:before="100" w:after="100"/>
              <w:jc w:val="center"/>
            </w:pPr>
            <w:r>
              <w:t>12 months</w:t>
            </w:r>
          </w:p>
        </w:tc>
      </w:tr>
      <w:tr w:rsidR="000D07EA" w14:paraId="605264FA" w14:textId="77777777">
        <w:tc>
          <w:tcPr>
            <w:tcW w:w="2988" w:type="dxa"/>
            <w:shd w:val="clear" w:color="auto" w:fill="auto"/>
          </w:tcPr>
          <w:p w14:paraId="4B52C59F" w14:textId="77777777" w:rsidR="000D07EA" w:rsidRDefault="00BE7C89">
            <w:pPr>
              <w:pStyle w:val="BodyText"/>
              <w:spacing w:before="100" w:after="100"/>
              <w:rPr>
                <w:b/>
              </w:rPr>
            </w:pPr>
            <w:r>
              <w:rPr>
                <w:b/>
                <w:i/>
              </w:rPr>
              <w:lastRenderedPageBreak/>
              <w:t>Cancellation fee</w:t>
            </w:r>
            <w:r>
              <w:rPr>
                <w:b/>
              </w:rPr>
              <w:t xml:space="preserve"> for each </w:t>
            </w:r>
            <w:r>
              <w:rPr>
                <w:b/>
                <w:i/>
              </w:rPr>
              <w:t>Optus SIM card</w:t>
            </w:r>
            <w:r>
              <w:rPr>
                <w:b/>
              </w:rPr>
              <w:t xml:space="preserve"> on 12 month </w:t>
            </w:r>
            <w:r>
              <w:rPr>
                <w:b/>
                <w:i/>
              </w:rPr>
              <w:t>minimum term</w:t>
            </w:r>
          </w:p>
        </w:tc>
        <w:tc>
          <w:tcPr>
            <w:tcW w:w="1332" w:type="dxa"/>
            <w:shd w:val="clear" w:color="auto" w:fill="auto"/>
          </w:tcPr>
          <w:p w14:paraId="417430AA" w14:textId="77777777" w:rsidR="000D07EA" w:rsidRDefault="00BE7C89">
            <w:pPr>
              <w:pStyle w:val="BodyText"/>
              <w:spacing w:before="100" w:after="100"/>
              <w:jc w:val="center"/>
            </w:pPr>
            <w:r>
              <w:t>$100</w:t>
            </w:r>
            <w:r>
              <w:br/>
              <w:t>($110)</w:t>
            </w:r>
          </w:p>
        </w:tc>
        <w:tc>
          <w:tcPr>
            <w:tcW w:w="1332" w:type="dxa"/>
            <w:shd w:val="clear" w:color="auto" w:fill="auto"/>
          </w:tcPr>
          <w:p w14:paraId="217BC3AD" w14:textId="77777777" w:rsidR="000D07EA" w:rsidRDefault="00BE7C89">
            <w:pPr>
              <w:pStyle w:val="BodyText"/>
              <w:spacing w:before="100" w:after="100"/>
              <w:jc w:val="center"/>
            </w:pPr>
            <w:r>
              <w:t>$100</w:t>
            </w:r>
            <w:r>
              <w:br/>
              <w:t>($110)</w:t>
            </w:r>
          </w:p>
        </w:tc>
        <w:tc>
          <w:tcPr>
            <w:tcW w:w="1332" w:type="dxa"/>
            <w:shd w:val="clear" w:color="auto" w:fill="auto"/>
          </w:tcPr>
          <w:p w14:paraId="240E7620" w14:textId="77777777" w:rsidR="000D07EA" w:rsidRDefault="00BE7C89">
            <w:pPr>
              <w:pStyle w:val="BodyText"/>
              <w:spacing w:before="100" w:after="100"/>
              <w:jc w:val="center"/>
            </w:pPr>
            <w:r>
              <w:t>$100</w:t>
            </w:r>
            <w:r>
              <w:br/>
              <w:t>($110)</w:t>
            </w:r>
          </w:p>
        </w:tc>
        <w:tc>
          <w:tcPr>
            <w:tcW w:w="1332" w:type="dxa"/>
            <w:shd w:val="clear" w:color="auto" w:fill="auto"/>
          </w:tcPr>
          <w:p w14:paraId="59D67EE4" w14:textId="77777777" w:rsidR="000D07EA" w:rsidRDefault="00BE7C89">
            <w:pPr>
              <w:pStyle w:val="BodyText"/>
              <w:spacing w:before="100" w:after="100"/>
              <w:jc w:val="center"/>
            </w:pPr>
            <w:r>
              <w:t>$100</w:t>
            </w:r>
            <w:r>
              <w:br/>
              <w:t>($110)</w:t>
            </w:r>
          </w:p>
        </w:tc>
        <w:tc>
          <w:tcPr>
            <w:tcW w:w="1332" w:type="dxa"/>
            <w:shd w:val="clear" w:color="auto" w:fill="auto"/>
          </w:tcPr>
          <w:p w14:paraId="14CEE5CB" w14:textId="77777777" w:rsidR="000D07EA" w:rsidRDefault="00BE7C89">
            <w:pPr>
              <w:pStyle w:val="BodyText"/>
              <w:spacing w:before="100" w:after="100"/>
              <w:jc w:val="center"/>
            </w:pPr>
            <w:r>
              <w:t>$100</w:t>
            </w:r>
            <w:r>
              <w:br/>
              <w:t>($110)</w:t>
            </w:r>
          </w:p>
        </w:tc>
      </w:tr>
    </w:tbl>
    <w:p w14:paraId="53F8A88E" w14:textId="77777777" w:rsidR="000D07EA" w:rsidRDefault="00BE7C89">
      <w:pPr>
        <w:pStyle w:val="BodyText"/>
        <w:spacing w:after="0"/>
        <w:ind w:left="720"/>
        <w:rPr>
          <w:sz w:val="16"/>
          <w:szCs w:val="16"/>
        </w:rPr>
      </w:pPr>
      <w:r>
        <w:rPr>
          <w:sz w:val="16"/>
          <w:szCs w:val="16"/>
        </w:rPr>
        <w:t>Note: All rates are per 30 seconds unless noted.</w:t>
      </w:r>
    </w:p>
    <w:p w14:paraId="05673258" w14:textId="77777777" w:rsidR="000D07EA" w:rsidRDefault="00BE7C89">
      <w:pPr>
        <w:pStyle w:val="BodyText"/>
        <w:spacing w:after="0"/>
        <w:ind w:left="720"/>
        <w:rPr>
          <w:sz w:val="16"/>
          <w:szCs w:val="16"/>
        </w:rPr>
      </w:pPr>
      <w:r>
        <w:rPr>
          <w:sz w:val="16"/>
          <w:szCs w:val="16"/>
        </w:rPr>
        <w:t>The rates above exclude calls to special services and Satellite.</w:t>
      </w:r>
    </w:p>
    <w:p w14:paraId="63031CE1" w14:textId="77777777" w:rsidR="000D07EA" w:rsidRDefault="00BE7C89">
      <w:pPr>
        <w:pStyle w:val="BodyText"/>
        <w:spacing w:after="0"/>
        <w:ind w:left="720"/>
        <w:rPr>
          <w:sz w:val="16"/>
          <w:szCs w:val="16"/>
        </w:rPr>
      </w:pPr>
      <w:r>
        <w:rPr>
          <w:sz w:val="16"/>
          <w:szCs w:val="16"/>
          <w:vertAlign w:val="superscript"/>
        </w:rPr>
        <w:t>^</w:t>
      </w:r>
      <w:r>
        <w:rPr>
          <w:sz w:val="16"/>
          <w:szCs w:val="16"/>
        </w:rPr>
        <w:t xml:space="preserve"> Billed per second.</w:t>
      </w:r>
    </w:p>
    <w:p w14:paraId="0977C573" w14:textId="77777777" w:rsidR="000D07EA" w:rsidRDefault="00BE7C89">
      <w:pPr>
        <w:pStyle w:val="BodyText"/>
        <w:spacing w:after="0"/>
        <w:ind w:left="720"/>
        <w:rPr>
          <w:sz w:val="16"/>
          <w:szCs w:val="16"/>
        </w:rPr>
      </w:pPr>
      <w:r>
        <w:rPr>
          <w:sz w:val="16"/>
          <w:szCs w:val="16"/>
          <w:vertAlign w:val="superscript"/>
        </w:rPr>
        <w:t>+</w:t>
      </w:r>
      <w:r>
        <w:rPr>
          <w:sz w:val="16"/>
          <w:szCs w:val="16"/>
        </w:rPr>
        <w:t xml:space="preserve"> No </w:t>
      </w:r>
      <w:r>
        <w:rPr>
          <w:i/>
          <w:sz w:val="16"/>
          <w:szCs w:val="16"/>
        </w:rPr>
        <w:t>flagfall</w:t>
      </w:r>
      <w:r>
        <w:rPr>
          <w:sz w:val="16"/>
          <w:szCs w:val="16"/>
        </w:rPr>
        <w:t xml:space="preserve"> applies and calls billed per second after five minutes.</w:t>
      </w:r>
    </w:p>
    <w:p w14:paraId="52DE7ADC" w14:textId="77777777" w:rsidR="000D07EA" w:rsidRDefault="000D07EA">
      <w:pPr>
        <w:pStyle w:val="BodyText"/>
      </w:pPr>
    </w:p>
    <w:p w14:paraId="3C1C1899" w14:textId="77777777" w:rsidR="000D07EA" w:rsidRDefault="00BE7C89">
      <w:pPr>
        <w:pStyle w:val="BodyText"/>
        <w:ind w:left="720"/>
        <w:rPr>
          <w:szCs w:val="20"/>
        </w:rPr>
      </w:pPr>
      <w:r>
        <w:rPr>
          <w:szCs w:val="20"/>
        </w:rPr>
        <w:t xml:space="preserve">If a different minimum monthly </w:t>
      </w:r>
      <w:r>
        <w:rPr>
          <w:i/>
          <w:szCs w:val="20"/>
        </w:rPr>
        <w:t>access fee</w:t>
      </w:r>
      <w:r>
        <w:rPr>
          <w:szCs w:val="20"/>
        </w:rPr>
        <w:t xml:space="preserve"> is agreed with </w:t>
      </w:r>
      <w:r>
        <w:rPr>
          <w:i/>
          <w:szCs w:val="20"/>
        </w:rPr>
        <w:t>you</w:t>
      </w:r>
      <w:r>
        <w:rPr>
          <w:szCs w:val="20"/>
        </w:rPr>
        <w:t xml:space="preserve">, the monthly charge will be adjusted accordingly. The standard call exclusions (see </w:t>
      </w:r>
      <w:hyperlink r:id="rId24" w:history="1">
        <w:r>
          <w:rPr>
            <w:rStyle w:val="Hyperlink"/>
            <w:szCs w:val="20"/>
          </w:rPr>
          <w:t>section 1</w:t>
        </w:r>
      </w:hyperlink>
      <w:r>
        <w:rPr>
          <w:szCs w:val="20"/>
        </w:rPr>
        <w:t xml:space="preserve"> of this </w:t>
      </w:r>
      <w:r>
        <w:rPr>
          <w:i/>
          <w:szCs w:val="20"/>
        </w:rPr>
        <w:t>standard pricing table</w:t>
      </w:r>
      <w:r>
        <w:rPr>
          <w:szCs w:val="20"/>
        </w:rPr>
        <w:t>) apply to the monthly included calls.</w:t>
      </w:r>
    </w:p>
    <w:p w14:paraId="1CE874C9" w14:textId="77777777" w:rsidR="000D07EA" w:rsidRDefault="00BE7C89">
      <w:pPr>
        <w:pStyle w:val="BodyText"/>
        <w:ind w:left="720"/>
        <w:rPr>
          <w:b/>
        </w:rPr>
      </w:pPr>
      <w:r>
        <w:rPr>
          <w:b/>
          <w:i/>
        </w:rPr>
        <w:t>Table 3 – Optus OneFleet SMB</w:t>
      </w:r>
      <w:r>
        <w:rPr>
          <w:b/>
        </w:rPr>
        <w:t xml:space="preserve"> pricing plans</w:t>
      </w:r>
    </w:p>
    <w:tbl>
      <w:tblPr>
        <w:tblW w:w="4632"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4"/>
        <w:gridCol w:w="1627"/>
        <w:gridCol w:w="1629"/>
        <w:gridCol w:w="1629"/>
        <w:gridCol w:w="1629"/>
      </w:tblGrid>
      <w:tr w:rsidR="000D07EA" w14:paraId="63A8A3DC" w14:textId="77777777">
        <w:trPr>
          <w:tblHeader/>
        </w:trPr>
        <w:tc>
          <w:tcPr>
            <w:tcW w:w="1549" w:type="pct"/>
            <w:shd w:val="clear" w:color="auto" w:fill="auto"/>
          </w:tcPr>
          <w:p w14:paraId="1CD4F646" w14:textId="77777777" w:rsidR="000D07EA" w:rsidRDefault="00BE7C89">
            <w:pPr>
              <w:pStyle w:val="BodyText"/>
              <w:keepNext/>
              <w:keepLines/>
              <w:spacing w:before="100" w:after="100"/>
              <w:rPr>
                <w:b/>
                <w:i/>
              </w:rPr>
            </w:pPr>
            <w:r>
              <w:rPr>
                <w:b/>
                <w:i/>
              </w:rPr>
              <w:t>Pricing plan</w:t>
            </w:r>
          </w:p>
        </w:tc>
        <w:tc>
          <w:tcPr>
            <w:tcW w:w="862" w:type="pct"/>
            <w:shd w:val="clear" w:color="auto" w:fill="auto"/>
          </w:tcPr>
          <w:p w14:paraId="30F89833" w14:textId="77777777" w:rsidR="000D07EA" w:rsidRDefault="00BE7C89">
            <w:pPr>
              <w:pStyle w:val="BodyText"/>
              <w:keepNext/>
              <w:keepLines/>
              <w:spacing w:before="100" w:after="100"/>
              <w:jc w:val="center"/>
              <w:rPr>
                <w:b/>
              </w:rPr>
            </w:pPr>
            <w:r>
              <w:rPr>
                <w:b/>
              </w:rPr>
              <w:t>40</w:t>
            </w:r>
          </w:p>
        </w:tc>
        <w:tc>
          <w:tcPr>
            <w:tcW w:w="863" w:type="pct"/>
            <w:shd w:val="clear" w:color="auto" w:fill="auto"/>
          </w:tcPr>
          <w:p w14:paraId="4BF39BEB" w14:textId="77777777" w:rsidR="000D07EA" w:rsidRDefault="00BE7C89">
            <w:pPr>
              <w:pStyle w:val="BodyText"/>
              <w:keepNext/>
              <w:keepLines/>
              <w:spacing w:before="100" w:after="100"/>
              <w:jc w:val="center"/>
              <w:rPr>
                <w:b/>
              </w:rPr>
            </w:pPr>
            <w:r>
              <w:rPr>
                <w:b/>
              </w:rPr>
              <w:t>60</w:t>
            </w:r>
          </w:p>
        </w:tc>
        <w:tc>
          <w:tcPr>
            <w:tcW w:w="863" w:type="pct"/>
            <w:shd w:val="clear" w:color="auto" w:fill="auto"/>
          </w:tcPr>
          <w:p w14:paraId="5BB15379" w14:textId="77777777" w:rsidR="000D07EA" w:rsidRDefault="00BE7C89">
            <w:pPr>
              <w:pStyle w:val="BodyText"/>
              <w:keepNext/>
              <w:keepLines/>
              <w:spacing w:before="100" w:after="100"/>
              <w:jc w:val="center"/>
              <w:rPr>
                <w:b/>
              </w:rPr>
            </w:pPr>
            <w:r>
              <w:rPr>
                <w:b/>
              </w:rPr>
              <w:t>80</w:t>
            </w:r>
          </w:p>
        </w:tc>
        <w:tc>
          <w:tcPr>
            <w:tcW w:w="863" w:type="pct"/>
            <w:shd w:val="clear" w:color="auto" w:fill="auto"/>
          </w:tcPr>
          <w:p w14:paraId="3CDC1F46" w14:textId="77777777" w:rsidR="000D07EA" w:rsidRDefault="00BE7C89">
            <w:pPr>
              <w:pStyle w:val="BodyText"/>
              <w:keepNext/>
              <w:keepLines/>
              <w:spacing w:before="100" w:after="100"/>
              <w:jc w:val="center"/>
              <w:rPr>
                <w:b/>
              </w:rPr>
            </w:pPr>
            <w:r>
              <w:rPr>
                <w:b/>
              </w:rPr>
              <w:t>120</w:t>
            </w:r>
          </w:p>
        </w:tc>
      </w:tr>
      <w:tr w:rsidR="000D07EA" w14:paraId="10DB3CC2" w14:textId="77777777">
        <w:tc>
          <w:tcPr>
            <w:tcW w:w="1549" w:type="pct"/>
            <w:shd w:val="clear" w:color="auto" w:fill="auto"/>
          </w:tcPr>
          <w:p w14:paraId="57A30A2F" w14:textId="77777777" w:rsidR="000D07EA" w:rsidRDefault="00BE7C89">
            <w:pPr>
              <w:pStyle w:val="BodyText"/>
              <w:spacing w:before="100" w:after="100"/>
              <w:rPr>
                <w:b/>
              </w:rPr>
            </w:pPr>
            <w:r>
              <w:rPr>
                <w:b/>
              </w:rPr>
              <w:t>Minimum monthly spend (per service, aggregated)</w:t>
            </w:r>
          </w:p>
        </w:tc>
        <w:tc>
          <w:tcPr>
            <w:tcW w:w="862" w:type="pct"/>
            <w:shd w:val="clear" w:color="auto" w:fill="auto"/>
          </w:tcPr>
          <w:p w14:paraId="24CA900E" w14:textId="77777777" w:rsidR="000D07EA" w:rsidRDefault="00BE7C89">
            <w:pPr>
              <w:pStyle w:val="BodyText"/>
              <w:spacing w:before="100" w:after="100"/>
              <w:jc w:val="center"/>
            </w:pPr>
            <w:r>
              <w:t>$40</w:t>
            </w:r>
            <w:r>
              <w:br/>
              <w:t>($44)</w:t>
            </w:r>
          </w:p>
        </w:tc>
        <w:tc>
          <w:tcPr>
            <w:tcW w:w="863" w:type="pct"/>
            <w:shd w:val="clear" w:color="auto" w:fill="auto"/>
          </w:tcPr>
          <w:p w14:paraId="0A0540E8" w14:textId="77777777" w:rsidR="000D07EA" w:rsidRDefault="00BE7C89">
            <w:pPr>
              <w:pStyle w:val="BodyText"/>
              <w:spacing w:before="100" w:after="100"/>
              <w:jc w:val="center"/>
            </w:pPr>
            <w:r>
              <w:t>$60</w:t>
            </w:r>
            <w:r>
              <w:br/>
              <w:t>($66)</w:t>
            </w:r>
          </w:p>
        </w:tc>
        <w:tc>
          <w:tcPr>
            <w:tcW w:w="863" w:type="pct"/>
            <w:shd w:val="clear" w:color="auto" w:fill="auto"/>
          </w:tcPr>
          <w:p w14:paraId="0697B344" w14:textId="77777777" w:rsidR="000D07EA" w:rsidRDefault="00BE7C89">
            <w:pPr>
              <w:pStyle w:val="BodyText"/>
              <w:spacing w:before="100" w:after="100"/>
              <w:jc w:val="center"/>
            </w:pPr>
            <w:r>
              <w:t>$80</w:t>
            </w:r>
            <w:r>
              <w:br/>
              <w:t>($88)</w:t>
            </w:r>
          </w:p>
        </w:tc>
        <w:tc>
          <w:tcPr>
            <w:tcW w:w="863" w:type="pct"/>
            <w:shd w:val="clear" w:color="auto" w:fill="auto"/>
          </w:tcPr>
          <w:p w14:paraId="04C4E6E9" w14:textId="77777777" w:rsidR="000D07EA" w:rsidRDefault="00BE7C89">
            <w:pPr>
              <w:pStyle w:val="BodyText"/>
              <w:spacing w:before="100" w:after="100"/>
              <w:jc w:val="center"/>
            </w:pPr>
            <w:r>
              <w:t>$120</w:t>
            </w:r>
            <w:r>
              <w:br/>
              <w:t>($132)</w:t>
            </w:r>
          </w:p>
        </w:tc>
      </w:tr>
      <w:tr w:rsidR="000D07EA" w14:paraId="412D2990" w14:textId="77777777">
        <w:tc>
          <w:tcPr>
            <w:tcW w:w="1549" w:type="pct"/>
            <w:shd w:val="clear" w:color="auto" w:fill="auto"/>
          </w:tcPr>
          <w:p w14:paraId="45B69639" w14:textId="77777777" w:rsidR="000D07EA" w:rsidRDefault="00BE7C89">
            <w:pPr>
              <w:pStyle w:val="BodyText"/>
              <w:spacing w:before="100" w:after="100"/>
              <w:rPr>
                <w:b/>
                <w:i/>
              </w:rPr>
            </w:pPr>
            <w:r>
              <w:rPr>
                <w:b/>
                <w:i/>
              </w:rPr>
              <w:t>Flagfall</w:t>
            </w:r>
          </w:p>
        </w:tc>
        <w:tc>
          <w:tcPr>
            <w:tcW w:w="862" w:type="pct"/>
            <w:shd w:val="clear" w:color="auto" w:fill="auto"/>
          </w:tcPr>
          <w:p w14:paraId="08ADE7F2" w14:textId="77777777" w:rsidR="000D07EA" w:rsidRDefault="00BE7C89">
            <w:pPr>
              <w:pStyle w:val="BodyText"/>
              <w:spacing w:before="100" w:after="100"/>
              <w:jc w:val="center"/>
            </w:pPr>
            <w:r>
              <w:t>6.8c</w:t>
            </w:r>
            <w:r>
              <w:br/>
              <w:t>(7.5c)</w:t>
            </w:r>
          </w:p>
        </w:tc>
        <w:tc>
          <w:tcPr>
            <w:tcW w:w="863" w:type="pct"/>
            <w:shd w:val="clear" w:color="auto" w:fill="auto"/>
          </w:tcPr>
          <w:p w14:paraId="12A7DD39" w14:textId="77777777" w:rsidR="000D07EA" w:rsidRDefault="00BE7C89">
            <w:pPr>
              <w:pStyle w:val="BodyText"/>
              <w:spacing w:before="100" w:after="100"/>
              <w:jc w:val="center"/>
            </w:pPr>
            <w:r>
              <w:t>4.5c</w:t>
            </w:r>
            <w:r>
              <w:br/>
              <w:t>(5c)</w:t>
            </w:r>
          </w:p>
        </w:tc>
        <w:tc>
          <w:tcPr>
            <w:tcW w:w="863" w:type="pct"/>
            <w:shd w:val="clear" w:color="auto" w:fill="auto"/>
          </w:tcPr>
          <w:p w14:paraId="4CDE90EC" w14:textId="77777777" w:rsidR="000D07EA" w:rsidRDefault="00BE7C89">
            <w:pPr>
              <w:pStyle w:val="BodyText"/>
              <w:spacing w:before="100" w:after="100"/>
              <w:jc w:val="center"/>
            </w:pPr>
            <w:r>
              <w:t>4.5c</w:t>
            </w:r>
            <w:r>
              <w:br/>
              <w:t>(5c)</w:t>
            </w:r>
          </w:p>
        </w:tc>
        <w:tc>
          <w:tcPr>
            <w:tcW w:w="863" w:type="pct"/>
            <w:shd w:val="clear" w:color="auto" w:fill="auto"/>
          </w:tcPr>
          <w:p w14:paraId="116A96F0" w14:textId="77777777" w:rsidR="000D07EA" w:rsidRDefault="00BE7C89">
            <w:pPr>
              <w:pStyle w:val="BodyText"/>
              <w:spacing w:before="100" w:after="100"/>
              <w:jc w:val="center"/>
            </w:pPr>
            <w:r>
              <w:t>4.5c</w:t>
            </w:r>
            <w:r>
              <w:br/>
              <w:t>(5c)</w:t>
            </w:r>
          </w:p>
        </w:tc>
      </w:tr>
      <w:tr w:rsidR="000D07EA" w14:paraId="1ADD72E8" w14:textId="77777777">
        <w:tc>
          <w:tcPr>
            <w:tcW w:w="1549" w:type="pct"/>
            <w:shd w:val="clear" w:color="auto" w:fill="auto"/>
          </w:tcPr>
          <w:p w14:paraId="7CA051E0" w14:textId="77777777" w:rsidR="000D07EA" w:rsidRDefault="00BE7C89">
            <w:pPr>
              <w:pStyle w:val="BodyText"/>
              <w:spacing w:before="100" w:after="100"/>
              <w:rPr>
                <w:b/>
              </w:rPr>
            </w:pPr>
            <w:r>
              <w:rPr>
                <w:b/>
              </w:rPr>
              <w:t xml:space="preserve">Calls to Optus GSM </w:t>
            </w:r>
            <w:r>
              <w:rPr>
                <w:b/>
                <w:i/>
              </w:rPr>
              <w:t>mobile phones</w:t>
            </w:r>
            <w:r>
              <w:rPr>
                <w:b/>
              </w:rPr>
              <w:t xml:space="preserve"> (national)</w:t>
            </w:r>
            <w:r>
              <w:rPr>
                <w:b/>
                <w:vertAlign w:val="superscript"/>
              </w:rPr>
              <w:t>^</w:t>
            </w:r>
          </w:p>
        </w:tc>
        <w:tc>
          <w:tcPr>
            <w:tcW w:w="862" w:type="pct"/>
            <w:shd w:val="clear" w:color="auto" w:fill="auto"/>
          </w:tcPr>
          <w:p w14:paraId="2D71F30A" w14:textId="77777777" w:rsidR="000D07EA" w:rsidRDefault="00BE7C89">
            <w:pPr>
              <w:pStyle w:val="BodyText"/>
              <w:spacing w:before="100" w:after="100"/>
              <w:jc w:val="center"/>
            </w:pPr>
            <w:r>
              <w:t>9c</w:t>
            </w:r>
            <w:r>
              <w:br/>
              <w:t>(9.9c)</w:t>
            </w:r>
          </w:p>
        </w:tc>
        <w:tc>
          <w:tcPr>
            <w:tcW w:w="863" w:type="pct"/>
            <w:shd w:val="clear" w:color="auto" w:fill="auto"/>
          </w:tcPr>
          <w:p w14:paraId="0785996F" w14:textId="77777777" w:rsidR="000D07EA" w:rsidRDefault="00BE7C89">
            <w:pPr>
              <w:pStyle w:val="BodyText"/>
              <w:spacing w:before="100" w:after="100"/>
              <w:jc w:val="center"/>
            </w:pPr>
            <w:r>
              <w:t>9c</w:t>
            </w:r>
            <w:r>
              <w:br/>
              <w:t>(9.9c)</w:t>
            </w:r>
          </w:p>
        </w:tc>
        <w:tc>
          <w:tcPr>
            <w:tcW w:w="863" w:type="pct"/>
            <w:shd w:val="clear" w:color="auto" w:fill="auto"/>
          </w:tcPr>
          <w:p w14:paraId="2B5BDFC9" w14:textId="77777777" w:rsidR="000D07EA" w:rsidRDefault="00BE7C89">
            <w:pPr>
              <w:pStyle w:val="BodyText"/>
              <w:spacing w:before="100" w:after="100"/>
              <w:jc w:val="center"/>
            </w:pPr>
            <w:r>
              <w:t>8c</w:t>
            </w:r>
            <w:r>
              <w:br/>
              <w:t>(8.8c)</w:t>
            </w:r>
          </w:p>
        </w:tc>
        <w:tc>
          <w:tcPr>
            <w:tcW w:w="863" w:type="pct"/>
            <w:shd w:val="clear" w:color="auto" w:fill="auto"/>
          </w:tcPr>
          <w:p w14:paraId="7EA4FF27" w14:textId="77777777" w:rsidR="000D07EA" w:rsidRDefault="00BE7C89">
            <w:pPr>
              <w:pStyle w:val="BodyText"/>
              <w:spacing w:before="100" w:after="100"/>
              <w:jc w:val="center"/>
            </w:pPr>
            <w:r>
              <w:t>7c</w:t>
            </w:r>
            <w:r>
              <w:br/>
              <w:t>(7.7c)</w:t>
            </w:r>
          </w:p>
        </w:tc>
      </w:tr>
      <w:tr w:rsidR="000D07EA" w14:paraId="48AFF8E2" w14:textId="77777777">
        <w:tc>
          <w:tcPr>
            <w:tcW w:w="1549" w:type="pct"/>
            <w:shd w:val="clear" w:color="auto" w:fill="auto"/>
          </w:tcPr>
          <w:p w14:paraId="3C8DEBF3" w14:textId="77777777" w:rsidR="000D07EA" w:rsidRDefault="00BE7C89">
            <w:pPr>
              <w:pStyle w:val="BodyText"/>
              <w:spacing w:before="100" w:after="100"/>
              <w:rPr>
                <w:b/>
              </w:rPr>
            </w:pPr>
            <w:r>
              <w:rPr>
                <w:b/>
              </w:rPr>
              <w:t xml:space="preserve">Calls to non-Optus </w:t>
            </w:r>
            <w:r>
              <w:rPr>
                <w:b/>
                <w:i/>
              </w:rPr>
              <w:t>mobile phones</w:t>
            </w:r>
            <w:r>
              <w:rPr>
                <w:b/>
              </w:rPr>
              <w:t xml:space="preserve"> (national)</w:t>
            </w:r>
            <w:r>
              <w:rPr>
                <w:b/>
                <w:vertAlign w:val="superscript"/>
              </w:rPr>
              <w:t>^#</w:t>
            </w:r>
          </w:p>
        </w:tc>
        <w:tc>
          <w:tcPr>
            <w:tcW w:w="862" w:type="pct"/>
            <w:shd w:val="clear" w:color="auto" w:fill="auto"/>
          </w:tcPr>
          <w:p w14:paraId="2BA18F90" w14:textId="77777777" w:rsidR="000D07EA" w:rsidRDefault="00BE7C89">
            <w:pPr>
              <w:pStyle w:val="BodyText"/>
              <w:spacing w:before="100" w:after="100"/>
              <w:jc w:val="center"/>
            </w:pPr>
            <w:r>
              <w:t>13c</w:t>
            </w:r>
            <w:r>
              <w:br/>
              <w:t>(14.3c)</w:t>
            </w:r>
          </w:p>
        </w:tc>
        <w:tc>
          <w:tcPr>
            <w:tcW w:w="863" w:type="pct"/>
            <w:shd w:val="clear" w:color="auto" w:fill="auto"/>
          </w:tcPr>
          <w:p w14:paraId="700D4952" w14:textId="77777777" w:rsidR="000D07EA" w:rsidRDefault="00BE7C89">
            <w:pPr>
              <w:pStyle w:val="BodyText"/>
              <w:spacing w:before="100" w:after="100"/>
              <w:jc w:val="center"/>
            </w:pPr>
            <w:r>
              <w:t>12c</w:t>
            </w:r>
            <w:r>
              <w:br/>
              <w:t>(13.2c)</w:t>
            </w:r>
          </w:p>
        </w:tc>
        <w:tc>
          <w:tcPr>
            <w:tcW w:w="863" w:type="pct"/>
            <w:shd w:val="clear" w:color="auto" w:fill="auto"/>
          </w:tcPr>
          <w:p w14:paraId="48C2CFF7" w14:textId="77777777" w:rsidR="000D07EA" w:rsidRDefault="00BE7C89">
            <w:pPr>
              <w:pStyle w:val="BodyText"/>
              <w:spacing w:before="100" w:after="100"/>
              <w:jc w:val="center"/>
            </w:pPr>
            <w:r>
              <w:t>11c</w:t>
            </w:r>
            <w:r>
              <w:br/>
              <w:t>(12.1c)</w:t>
            </w:r>
          </w:p>
        </w:tc>
        <w:tc>
          <w:tcPr>
            <w:tcW w:w="863" w:type="pct"/>
            <w:shd w:val="clear" w:color="auto" w:fill="auto"/>
          </w:tcPr>
          <w:p w14:paraId="74B11643" w14:textId="77777777" w:rsidR="000D07EA" w:rsidRDefault="00BE7C89">
            <w:pPr>
              <w:pStyle w:val="BodyText"/>
              <w:spacing w:before="100" w:after="100"/>
              <w:jc w:val="center"/>
            </w:pPr>
            <w:r>
              <w:t>10c</w:t>
            </w:r>
            <w:r>
              <w:br/>
              <w:t>(11c)</w:t>
            </w:r>
          </w:p>
        </w:tc>
      </w:tr>
      <w:tr w:rsidR="000D07EA" w14:paraId="034DF440" w14:textId="77777777">
        <w:tc>
          <w:tcPr>
            <w:tcW w:w="1549" w:type="pct"/>
            <w:shd w:val="clear" w:color="auto" w:fill="auto"/>
          </w:tcPr>
          <w:p w14:paraId="21EBC959" w14:textId="77777777" w:rsidR="000D07EA" w:rsidRDefault="00BE7C89">
            <w:pPr>
              <w:pStyle w:val="BodyText"/>
              <w:spacing w:before="100" w:after="100"/>
              <w:rPr>
                <w:b/>
              </w:rPr>
            </w:pPr>
            <w:r>
              <w:rPr>
                <w:b/>
              </w:rPr>
              <w:t>Calls to landline (national)</w:t>
            </w:r>
            <w:r>
              <w:rPr>
                <w:b/>
                <w:vertAlign w:val="superscript"/>
              </w:rPr>
              <w:t>^</w:t>
            </w:r>
          </w:p>
        </w:tc>
        <w:tc>
          <w:tcPr>
            <w:tcW w:w="862" w:type="pct"/>
            <w:shd w:val="clear" w:color="auto" w:fill="auto"/>
          </w:tcPr>
          <w:p w14:paraId="6D982D9A" w14:textId="77777777" w:rsidR="000D07EA" w:rsidRDefault="00BE7C89">
            <w:pPr>
              <w:pStyle w:val="BodyText"/>
              <w:spacing w:before="100" w:after="100"/>
              <w:jc w:val="center"/>
            </w:pPr>
            <w:r>
              <w:t>13c</w:t>
            </w:r>
            <w:r>
              <w:br/>
              <w:t>(14.3c)</w:t>
            </w:r>
          </w:p>
        </w:tc>
        <w:tc>
          <w:tcPr>
            <w:tcW w:w="863" w:type="pct"/>
            <w:shd w:val="clear" w:color="auto" w:fill="auto"/>
          </w:tcPr>
          <w:p w14:paraId="021A57B9" w14:textId="77777777" w:rsidR="000D07EA" w:rsidRDefault="00BE7C89">
            <w:pPr>
              <w:pStyle w:val="BodyText"/>
              <w:spacing w:before="100" w:after="100"/>
              <w:jc w:val="center"/>
            </w:pPr>
            <w:r>
              <w:t>12c</w:t>
            </w:r>
            <w:r>
              <w:br/>
              <w:t>(13.2c)</w:t>
            </w:r>
          </w:p>
        </w:tc>
        <w:tc>
          <w:tcPr>
            <w:tcW w:w="863" w:type="pct"/>
            <w:shd w:val="clear" w:color="auto" w:fill="auto"/>
          </w:tcPr>
          <w:p w14:paraId="47A4018A" w14:textId="77777777" w:rsidR="000D07EA" w:rsidRDefault="00BE7C89">
            <w:pPr>
              <w:pStyle w:val="BodyText"/>
              <w:spacing w:before="100" w:after="100"/>
              <w:jc w:val="center"/>
            </w:pPr>
            <w:r>
              <w:t>11c</w:t>
            </w:r>
            <w:r>
              <w:br/>
              <w:t>(12.1c)</w:t>
            </w:r>
          </w:p>
        </w:tc>
        <w:tc>
          <w:tcPr>
            <w:tcW w:w="863" w:type="pct"/>
            <w:shd w:val="clear" w:color="auto" w:fill="auto"/>
          </w:tcPr>
          <w:p w14:paraId="79DBE0DA" w14:textId="77777777" w:rsidR="000D07EA" w:rsidRDefault="00BE7C89">
            <w:pPr>
              <w:pStyle w:val="BodyText"/>
              <w:spacing w:before="100" w:after="100"/>
              <w:jc w:val="center"/>
            </w:pPr>
            <w:r>
              <w:t>10c</w:t>
            </w:r>
            <w:r>
              <w:br/>
              <w:t>(11c)</w:t>
            </w:r>
          </w:p>
        </w:tc>
      </w:tr>
      <w:tr w:rsidR="000D07EA" w14:paraId="6E1D40B8" w14:textId="77777777">
        <w:tc>
          <w:tcPr>
            <w:tcW w:w="1549" w:type="pct"/>
            <w:shd w:val="clear" w:color="auto" w:fill="auto"/>
          </w:tcPr>
          <w:p w14:paraId="609FE1D6" w14:textId="77777777" w:rsidR="000D07EA" w:rsidRDefault="00BE7C89">
            <w:pPr>
              <w:pStyle w:val="BodyText"/>
              <w:spacing w:before="100" w:after="100"/>
              <w:rPr>
                <w:b/>
              </w:rPr>
            </w:pPr>
            <w:r>
              <w:rPr>
                <w:b/>
              </w:rPr>
              <w:t>'yes' OneFleet</w:t>
            </w:r>
            <w:r>
              <w:rPr>
                <w:b/>
                <w:vertAlign w:val="superscript"/>
              </w:rPr>
              <w:t>+</w:t>
            </w:r>
          </w:p>
        </w:tc>
        <w:tc>
          <w:tcPr>
            <w:tcW w:w="3451" w:type="pct"/>
            <w:gridSpan w:val="4"/>
            <w:shd w:val="clear" w:color="auto" w:fill="auto"/>
          </w:tcPr>
          <w:p w14:paraId="70A7BD7C" w14:textId="77777777" w:rsidR="000D07EA" w:rsidRDefault="00BE7C89">
            <w:pPr>
              <w:pStyle w:val="BodyText"/>
              <w:spacing w:before="100" w:after="100"/>
              <w:jc w:val="center"/>
            </w:pPr>
            <w:r>
              <w:t>$0 for 10 minutes</w:t>
            </w:r>
          </w:p>
        </w:tc>
      </w:tr>
      <w:tr w:rsidR="000D07EA" w14:paraId="6E1C093D" w14:textId="77777777">
        <w:tc>
          <w:tcPr>
            <w:tcW w:w="1549" w:type="pct"/>
            <w:shd w:val="clear" w:color="auto" w:fill="auto"/>
          </w:tcPr>
          <w:p w14:paraId="7348CAA7" w14:textId="77777777" w:rsidR="000D07EA" w:rsidRDefault="00BE7C89">
            <w:pPr>
              <w:pStyle w:val="BodyText"/>
              <w:spacing w:before="100" w:after="100"/>
              <w:rPr>
                <w:b/>
                <w:i/>
              </w:rPr>
            </w:pPr>
            <w:r>
              <w:rPr>
                <w:b/>
                <w:i/>
              </w:rPr>
              <w:t>Minimum term</w:t>
            </w:r>
          </w:p>
        </w:tc>
        <w:tc>
          <w:tcPr>
            <w:tcW w:w="862" w:type="pct"/>
            <w:shd w:val="clear" w:color="auto" w:fill="auto"/>
          </w:tcPr>
          <w:p w14:paraId="4A935397" w14:textId="77777777" w:rsidR="000D07EA" w:rsidRDefault="00BE7C89">
            <w:pPr>
              <w:pStyle w:val="BodyText"/>
              <w:spacing w:before="100" w:after="100"/>
              <w:jc w:val="center"/>
            </w:pPr>
            <w:r>
              <w:t>24 months</w:t>
            </w:r>
          </w:p>
        </w:tc>
        <w:tc>
          <w:tcPr>
            <w:tcW w:w="863" w:type="pct"/>
            <w:shd w:val="clear" w:color="auto" w:fill="auto"/>
          </w:tcPr>
          <w:p w14:paraId="10FAA97D" w14:textId="77777777" w:rsidR="000D07EA" w:rsidRDefault="00BE7C89">
            <w:pPr>
              <w:pStyle w:val="BodyText"/>
              <w:spacing w:before="100" w:after="100"/>
              <w:jc w:val="center"/>
            </w:pPr>
            <w:r>
              <w:t>24 months</w:t>
            </w:r>
          </w:p>
        </w:tc>
        <w:tc>
          <w:tcPr>
            <w:tcW w:w="863" w:type="pct"/>
            <w:shd w:val="clear" w:color="auto" w:fill="auto"/>
          </w:tcPr>
          <w:p w14:paraId="7B44EDE2" w14:textId="77777777" w:rsidR="000D07EA" w:rsidRDefault="00BE7C89">
            <w:pPr>
              <w:pStyle w:val="BodyText"/>
              <w:spacing w:before="100" w:after="100"/>
              <w:jc w:val="center"/>
            </w:pPr>
            <w:r>
              <w:t>24 months</w:t>
            </w:r>
          </w:p>
        </w:tc>
        <w:tc>
          <w:tcPr>
            <w:tcW w:w="863" w:type="pct"/>
            <w:shd w:val="clear" w:color="auto" w:fill="auto"/>
          </w:tcPr>
          <w:p w14:paraId="1E66F043" w14:textId="77777777" w:rsidR="000D07EA" w:rsidRDefault="00BE7C89">
            <w:pPr>
              <w:pStyle w:val="BodyText"/>
              <w:spacing w:before="100" w:after="100"/>
              <w:jc w:val="center"/>
            </w:pPr>
            <w:r>
              <w:t>24 months</w:t>
            </w:r>
          </w:p>
        </w:tc>
      </w:tr>
      <w:tr w:rsidR="000D07EA" w14:paraId="2F06CA30" w14:textId="77777777">
        <w:tc>
          <w:tcPr>
            <w:tcW w:w="1549" w:type="pct"/>
            <w:shd w:val="clear" w:color="auto" w:fill="auto"/>
          </w:tcPr>
          <w:p w14:paraId="449B4D44" w14:textId="77777777" w:rsidR="000D07EA" w:rsidRDefault="00BE7C89">
            <w:pPr>
              <w:pStyle w:val="BodyText"/>
              <w:keepNext/>
              <w:keepLines/>
              <w:spacing w:before="100" w:after="100"/>
              <w:rPr>
                <w:b/>
              </w:rPr>
            </w:pPr>
            <w:r>
              <w:rPr>
                <w:b/>
                <w:i/>
              </w:rPr>
              <w:t>Cancellation fee</w:t>
            </w:r>
            <w:r>
              <w:rPr>
                <w:b/>
              </w:rPr>
              <w:t xml:space="preserve"> for each </w:t>
            </w:r>
            <w:r>
              <w:rPr>
                <w:b/>
                <w:i/>
              </w:rPr>
              <w:t>Optus SIM card</w:t>
            </w:r>
            <w:r>
              <w:rPr>
                <w:b/>
              </w:rPr>
              <w:t xml:space="preserve"> on 24 month </w:t>
            </w:r>
            <w:r>
              <w:rPr>
                <w:b/>
                <w:i/>
              </w:rPr>
              <w:t>minimum term</w:t>
            </w:r>
          </w:p>
        </w:tc>
        <w:tc>
          <w:tcPr>
            <w:tcW w:w="862" w:type="pct"/>
            <w:shd w:val="clear" w:color="auto" w:fill="auto"/>
          </w:tcPr>
          <w:p w14:paraId="14EFF6F5" w14:textId="77777777" w:rsidR="000D07EA" w:rsidRDefault="00BE7C89">
            <w:pPr>
              <w:pStyle w:val="BodyText"/>
              <w:spacing w:before="100" w:after="100"/>
              <w:jc w:val="center"/>
            </w:pPr>
            <w:r>
              <w:t>$354.55</w:t>
            </w:r>
            <w:r>
              <w:br/>
              <w:t>($390)</w:t>
            </w:r>
          </w:p>
        </w:tc>
        <w:tc>
          <w:tcPr>
            <w:tcW w:w="863" w:type="pct"/>
            <w:shd w:val="clear" w:color="auto" w:fill="auto"/>
          </w:tcPr>
          <w:p w14:paraId="54E1D2E5" w14:textId="77777777" w:rsidR="000D07EA" w:rsidRDefault="00BE7C89">
            <w:pPr>
              <w:pStyle w:val="BodyText"/>
              <w:spacing w:before="100" w:after="100"/>
              <w:jc w:val="center"/>
            </w:pPr>
            <w:r>
              <w:t>$463.64</w:t>
            </w:r>
            <w:r>
              <w:br/>
              <w:t>($510)</w:t>
            </w:r>
          </w:p>
        </w:tc>
        <w:tc>
          <w:tcPr>
            <w:tcW w:w="863" w:type="pct"/>
            <w:shd w:val="clear" w:color="auto" w:fill="auto"/>
          </w:tcPr>
          <w:p w14:paraId="76647660" w14:textId="77777777" w:rsidR="000D07EA" w:rsidRDefault="00BE7C89">
            <w:pPr>
              <w:pStyle w:val="BodyText"/>
              <w:spacing w:before="100" w:after="100"/>
              <w:jc w:val="center"/>
            </w:pPr>
            <w:r>
              <w:t>$545.45</w:t>
            </w:r>
            <w:r>
              <w:br/>
              <w:t>($600)</w:t>
            </w:r>
          </w:p>
        </w:tc>
        <w:tc>
          <w:tcPr>
            <w:tcW w:w="863" w:type="pct"/>
            <w:shd w:val="clear" w:color="auto" w:fill="auto"/>
          </w:tcPr>
          <w:p w14:paraId="071E4341" w14:textId="77777777" w:rsidR="000D07EA" w:rsidRDefault="00BE7C89">
            <w:pPr>
              <w:pStyle w:val="BodyText"/>
              <w:spacing w:before="100" w:after="100"/>
              <w:jc w:val="center"/>
            </w:pPr>
            <w:r>
              <w:t>$645.45</w:t>
            </w:r>
            <w:r>
              <w:br/>
              <w:t>($710)</w:t>
            </w:r>
          </w:p>
        </w:tc>
      </w:tr>
    </w:tbl>
    <w:p w14:paraId="32876868" w14:textId="77777777" w:rsidR="000D07EA" w:rsidRDefault="00BE7C89">
      <w:pPr>
        <w:pStyle w:val="BodyText"/>
        <w:spacing w:after="0"/>
        <w:ind w:left="720"/>
        <w:rPr>
          <w:sz w:val="16"/>
          <w:szCs w:val="16"/>
        </w:rPr>
      </w:pPr>
      <w:r>
        <w:rPr>
          <w:sz w:val="16"/>
          <w:szCs w:val="16"/>
        </w:rPr>
        <w:t>Note: All rates are per 30 seconds unless otherwise noted.</w:t>
      </w:r>
    </w:p>
    <w:p w14:paraId="0FBD36E0" w14:textId="77777777" w:rsidR="000D07EA" w:rsidRDefault="00BE7C89">
      <w:pPr>
        <w:pStyle w:val="BodyText"/>
        <w:spacing w:after="0"/>
        <w:ind w:left="720"/>
        <w:rPr>
          <w:sz w:val="16"/>
          <w:szCs w:val="16"/>
        </w:rPr>
      </w:pPr>
      <w:r>
        <w:rPr>
          <w:sz w:val="16"/>
          <w:szCs w:val="16"/>
        </w:rPr>
        <w:t>The rates above exclude calls to special services and Satellite.</w:t>
      </w:r>
    </w:p>
    <w:p w14:paraId="68EEE1BA" w14:textId="77777777" w:rsidR="000D07EA" w:rsidRDefault="00BE7C89">
      <w:pPr>
        <w:pStyle w:val="BodyText"/>
        <w:spacing w:after="0"/>
        <w:ind w:left="720"/>
        <w:rPr>
          <w:sz w:val="16"/>
          <w:szCs w:val="16"/>
        </w:rPr>
      </w:pPr>
      <w:r>
        <w:rPr>
          <w:sz w:val="16"/>
          <w:szCs w:val="16"/>
          <w:vertAlign w:val="superscript"/>
        </w:rPr>
        <w:t>^</w:t>
      </w:r>
      <w:r>
        <w:rPr>
          <w:sz w:val="16"/>
          <w:szCs w:val="16"/>
        </w:rPr>
        <w:t xml:space="preserve"> Billed per second.</w:t>
      </w:r>
    </w:p>
    <w:p w14:paraId="2F5678CF" w14:textId="77777777" w:rsidR="000D07EA" w:rsidRDefault="00BE7C89">
      <w:pPr>
        <w:pStyle w:val="BodyText"/>
        <w:spacing w:after="0"/>
        <w:ind w:left="720"/>
        <w:rPr>
          <w:sz w:val="16"/>
          <w:szCs w:val="16"/>
        </w:rPr>
      </w:pPr>
      <w:r>
        <w:rPr>
          <w:sz w:val="16"/>
          <w:szCs w:val="16"/>
          <w:vertAlign w:val="superscript"/>
        </w:rPr>
        <w:t>+</w:t>
      </w:r>
      <w:r>
        <w:rPr>
          <w:sz w:val="16"/>
          <w:szCs w:val="16"/>
        </w:rPr>
        <w:t xml:space="preserve"> No </w:t>
      </w:r>
      <w:r>
        <w:rPr>
          <w:i/>
          <w:sz w:val="16"/>
          <w:szCs w:val="16"/>
        </w:rPr>
        <w:t>flagfall</w:t>
      </w:r>
      <w:r>
        <w:rPr>
          <w:sz w:val="16"/>
          <w:szCs w:val="16"/>
        </w:rPr>
        <w:t xml:space="preserve"> applies and calls billed per second after five minutes.</w:t>
      </w:r>
    </w:p>
    <w:p w14:paraId="236567AE" w14:textId="77777777" w:rsidR="000D07EA" w:rsidRDefault="000D07EA">
      <w:pPr>
        <w:pStyle w:val="BodyText"/>
      </w:pPr>
    </w:p>
    <w:p w14:paraId="044746D2" w14:textId="77777777" w:rsidR="000D07EA" w:rsidRDefault="00BE7C89">
      <w:pPr>
        <w:pStyle w:val="BodyText"/>
        <w:ind w:left="720"/>
        <w:rPr>
          <w:szCs w:val="20"/>
        </w:rPr>
      </w:pPr>
      <w:r>
        <w:rPr>
          <w:szCs w:val="20"/>
        </w:rPr>
        <w:t xml:space="preserve">If a different minimum monthly </w:t>
      </w:r>
      <w:r>
        <w:rPr>
          <w:i/>
          <w:szCs w:val="20"/>
        </w:rPr>
        <w:t>access fee</w:t>
      </w:r>
      <w:r>
        <w:rPr>
          <w:szCs w:val="20"/>
        </w:rPr>
        <w:t xml:space="preserve"> is agreed with </w:t>
      </w:r>
      <w:r>
        <w:rPr>
          <w:i/>
          <w:szCs w:val="20"/>
        </w:rPr>
        <w:t>you</w:t>
      </w:r>
      <w:r>
        <w:rPr>
          <w:szCs w:val="20"/>
        </w:rPr>
        <w:t xml:space="preserve">, the monthly charge will be adjusted accordingly. The standard call exclusions (see </w:t>
      </w:r>
      <w:hyperlink r:id="rId25" w:history="1">
        <w:r>
          <w:rPr>
            <w:rStyle w:val="Hyperlink"/>
            <w:szCs w:val="20"/>
          </w:rPr>
          <w:t>section 1</w:t>
        </w:r>
      </w:hyperlink>
      <w:r>
        <w:rPr>
          <w:szCs w:val="20"/>
        </w:rPr>
        <w:t xml:space="preserve"> of this </w:t>
      </w:r>
      <w:r>
        <w:rPr>
          <w:i/>
          <w:szCs w:val="20"/>
        </w:rPr>
        <w:t>standard pricing table</w:t>
      </w:r>
      <w:r>
        <w:rPr>
          <w:szCs w:val="20"/>
        </w:rPr>
        <w:t>) apply to the monthly included calls.</w:t>
      </w:r>
    </w:p>
    <w:p w14:paraId="3D749A24" w14:textId="77777777" w:rsidR="000D07EA" w:rsidRDefault="00BE7C89">
      <w:pPr>
        <w:pStyle w:val="BodyText"/>
        <w:keepNext/>
        <w:ind w:left="720"/>
        <w:rPr>
          <w:b/>
        </w:rPr>
      </w:pPr>
      <w:r>
        <w:rPr>
          <w:b/>
          <w:i/>
        </w:rPr>
        <w:t>Table 4 – Optus OneFleet SMB (free flagfall and Voicemail)</w:t>
      </w:r>
      <w:r>
        <w:rPr>
          <w:b/>
        </w:rPr>
        <w:t xml:space="preserve"> pricing plans</w:t>
      </w:r>
    </w:p>
    <w:tbl>
      <w:tblPr>
        <w:tblW w:w="96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1669"/>
        <w:gridCol w:w="1670"/>
        <w:gridCol w:w="1669"/>
        <w:gridCol w:w="1670"/>
      </w:tblGrid>
      <w:tr w:rsidR="000D07EA" w14:paraId="63610D28" w14:textId="77777777">
        <w:trPr>
          <w:tblHeader/>
        </w:trPr>
        <w:tc>
          <w:tcPr>
            <w:tcW w:w="2970" w:type="dxa"/>
            <w:shd w:val="clear" w:color="auto" w:fill="auto"/>
          </w:tcPr>
          <w:p w14:paraId="3D4A253B" w14:textId="77777777" w:rsidR="000D07EA" w:rsidRDefault="00BE7C89">
            <w:pPr>
              <w:pStyle w:val="BodyText"/>
              <w:keepNext/>
              <w:keepLines/>
              <w:spacing w:before="100" w:after="100"/>
              <w:rPr>
                <w:b/>
                <w:i/>
              </w:rPr>
            </w:pPr>
            <w:r>
              <w:rPr>
                <w:b/>
                <w:i/>
              </w:rPr>
              <w:t>Pricing plan</w:t>
            </w:r>
          </w:p>
        </w:tc>
        <w:tc>
          <w:tcPr>
            <w:tcW w:w="1669" w:type="dxa"/>
            <w:shd w:val="clear" w:color="auto" w:fill="auto"/>
          </w:tcPr>
          <w:p w14:paraId="60830D37" w14:textId="77777777" w:rsidR="000D07EA" w:rsidRDefault="00BE7C89">
            <w:pPr>
              <w:pStyle w:val="BodyText"/>
              <w:keepNext/>
              <w:keepLines/>
              <w:spacing w:before="100" w:after="100"/>
              <w:jc w:val="center"/>
              <w:rPr>
                <w:b/>
              </w:rPr>
            </w:pPr>
            <w:r>
              <w:rPr>
                <w:b/>
              </w:rPr>
              <w:t>40</w:t>
            </w:r>
          </w:p>
        </w:tc>
        <w:tc>
          <w:tcPr>
            <w:tcW w:w="1670" w:type="dxa"/>
            <w:shd w:val="clear" w:color="auto" w:fill="auto"/>
          </w:tcPr>
          <w:p w14:paraId="1E9EED72" w14:textId="77777777" w:rsidR="000D07EA" w:rsidRDefault="00BE7C89">
            <w:pPr>
              <w:pStyle w:val="BodyText"/>
              <w:keepNext/>
              <w:keepLines/>
              <w:spacing w:before="100" w:after="100"/>
              <w:jc w:val="center"/>
              <w:rPr>
                <w:b/>
              </w:rPr>
            </w:pPr>
            <w:r>
              <w:rPr>
                <w:b/>
              </w:rPr>
              <w:t>60</w:t>
            </w:r>
          </w:p>
        </w:tc>
        <w:tc>
          <w:tcPr>
            <w:tcW w:w="1669" w:type="dxa"/>
            <w:shd w:val="clear" w:color="auto" w:fill="auto"/>
          </w:tcPr>
          <w:p w14:paraId="5207E88F" w14:textId="77777777" w:rsidR="000D07EA" w:rsidRDefault="00BE7C89">
            <w:pPr>
              <w:pStyle w:val="BodyText"/>
              <w:keepNext/>
              <w:keepLines/>
              <w:spacing w:before="100" w:after="100"/>
              <w:jc w:val="center"/>
              <w:rPr>
                <w:b/>
              </w:rPr>
            </w:pPr>
            <w:r>
              <w:rPr>
                <w:b/>
              </w:rPr>
              <w:t>80</w:t>
            </w:r>
          </w:p>
        </w:tc>
        <w:tc>
          <w:tcPr>
            <w:tcW w:w="1670" w:type="dxa"/>
            <w:shd w:val="clear" w:color="auto" w:fill="auto"/>
          </w:tcPr>
          <w:p w14:paraId="14718DFE" w14:textId="77777777" w:rsidR="000D07EA" w:rsidRDefault="00BE7C89">
            <w:pPr>
              <w:pStyle w:val="BodyText"/>
              <w:keepNext/>
              <w:keepLines/>
              <w:spacing w:before="100" w:after="100"/>
              <w:jc w:val="center"/>
              <w:rPr>
                <w:b/>
              </w:rPr>
            </w:pPr>
            <w:r>
              <w:rPr>
                <w:b/>
              </w:rPr>
              <w:t>120</w:t>
            </w:r>
          </w:p>
        </w:tc>
      </w:tr>
      <w:tr w:rsidR="000D07EA" w14:paraId="482818E5" w14:textId="77777777">
        <w:tc>
          <w:tcPr>
            <w:tcW w:w="2970" w:type="dxa"/>
            <w:shd w:val="clear" w:color="auto" w:fill="auto"/>
          </w:tcPr>
          <w:p w14:paraId="1D42A71A" w14:textId="77777777" w:rsidR="000D07EA" w:rsidRDefault="00BE7C89">
            <w:pPr>
              <w:pStyle w:val="BodyText"/>
              <w:spacing w:before="100" w:after="100"/>
              <w:rPr>
                <w:b/>
              </w:rPr>
            </w:pPr>
            <w:r>
              <w:rPr>
                <w:b/>
              </w:rPr>
              <w:t>Minimum monthly spend (per service, aggregated)</w:t>
            </w:r>
          </w:p>
        </w:tc>
        <w:tc>
          <w:tcPr>
            <w:tcW w:w="1669" w:type="dxa"/>
            <w:shd w:val="clear" w:color="auto" w:fill="auto"/>
          </w:tcPr>
          <w:p w14:paraId="211155AE" w14:textId="77777777" w:rsidR="000D07EA" w:rsidRDefault="00BE7C89">
            <w:pPr>
              <w:pStyle w:val="BodyText"/>
              <w:spacing w:before="100" w:after="100"/>
              <w:jc w:val="center"/>
            </w:pPr>
            <w:r>
              <w:t>$40</w:t>
            </w:r>
            <w:r>
              <w:br/>
              <w:t>($44)</w:t>
            </w:r>
          </w:p>
        </w:tc>
        <w:tc>
          <w:tcPr>
            <w:tcW w:w="1670" w:type="dxa"/>
            <w:shd w:val="clear" w:color="auto" w:fill="auto"/>
          </w:tcPr>
          <w:p w14:paraId="3110C7C2" w14:textId="77777777" w:rsidR="000D07EA" w:rsidRDefault="00BE7C89">
            <w:pPr>
              <w:pStyle w:val="BodyText"/>
              <w:spacing w:before="100" w:after="100"/>
              <w:jc w:val="center"/>
            </w:pPr>
            <w:r>
              <w:t>$60</w:t>
            </w:r>
            <w:r>
              <w:br/>
              <w:t>($66)</w:t>
            </w:r>
          </w:p>
        </w:tc>
        <w:tc>
          <w:tcPr>
            <w:tcW w:w="1669" w:type="dxa"/>
            <w:shd w:val="clear" w:color="auto" w:fill="auto"/>
          </w:tcPr>
          <w:p w14:paraId="6BCC2541" w14:textId="77777777" w:rsidR="000D07EA" w:rsidRDefault="00BE7C89">
            <w:pPr>
              <w:pStyle w:val="BodyText"/>
              <w:spacing w:before="100" w:after="100"/>
              <w:jc w:val="center"/>
            </w:pPr>
            <w:r>
              <w:t>$80</w:t>
            </w:r>
            <w:r>
              <w:br/>
              <w:t>($88)</w:t>
            </w:r>
          </w:p>
        </w:tc>
        <w:tc>
          <w:tcPr>
            <w:tcW w:w="1670" w:type="dxa"/>
            <w:shd w:val="clear" w:color="auto" w:fill="auto"/>
          </w:tcPr>
          <w:p w14:paraId="11BE2F45" w14:textId="77777777" w:rsidR="000D07EA" w:rsidRDefault="00BE7C89">
            <w:pPr>
              <w:pStyle w:val="BodyText"/>
              <w:spacing w:before="100" w:after="100"/>
              <w:jc w:val="center"/>
            </w:pPr>
            <w:r>
              <w:t>$120</w:t>
            </w:r>
            <w:r>
              <w:br/>
              <w:t>($132)</w:t>
            </w:r>
          </w:p>
        </w:tc>
      </w:tr>
      <w:tr w:rsidR="000D07EA" w14:paraId="1DEF513F" w14:textId="77777777">
        <w:tc>
          <w:tcPr>
            <w:tcW w:w="2970" w:type="dxa"/>
            <w:shd w:val="clear" w:color="auto" w:fill="auto"/>
          </w:tcPr>
          <w:p w14:paraId="454FF730" w14:textId="77777777" w:rsidR="000D07EA" w:rsidRDefault="00BE7C89">
            <w:pPr>
              <w:pStyle w:val="BodyText"/>
              <w:spacing w:before="100" w:after="100"/>
              <w:rPr>
                <w:b/>
                <w:i/>
              </w:rPr>
            </w:pPr>
            <w:r>
              <w:rPr>
                <w:b/>
                <w:i/>
              </w:rPr>
              <w:t>Flagfall</w:t>
            </w:r>
          </w:p>
        </w:tc>
        <w:tc>
          <w:tcPr>
            <w:tcW w:w="1669" w:type="dxa"/>
            <w:shd w:val="clear" w:color="auto" w:fill="auto"/>
          </w:tcPr>
          <w:p w14:paraId="27CAB8CB" w14:textId="77777777" w:rsidR="000D07EA" w:rsidRDefault="00BE7C89">
            <w:pPr>
              <w:pStyle w:val="BodyText"/>
              <w:spacing w:before="100" w:after="100"/>
              <w:jc w:val="center"/>
            </w:pPr>
            <w:r>
              <w:t>0c</w:t>
            </w:r>
          </w:p>
        </w:tc>
        <w:tc>
          <w:tcPr>
            <w:tcW w:w="1670" w:type="dxa"/>
            <w:shd w:val="clear" w:color="auto" w:fill="auto"/>
          </w:tcPr>
          <w:p w14:paraId="271FFABF" w14:textId="77777777" w:rsidR="000D07EA" w:rsidRDefault="00BE7C89">
            <w:pPr>
              <w:pStyle w:val="BodyText"/>
              <w:spacing w:before="100" w:after="100"/>
              <w:jc w:val="center"/>
            </w:pPr>
            <w:r>
              <w:t>0c</w:t>
            </w:r>
          </w:p>
        </w:tc>
        <w:tc>
          <w:tcPr>
            <w:tcW w:w="1669" w:type="dxa"/>
            <w:shd w:val="clear" w:color="auto" w:fill="auto"/>
          </w:tcPr>
          <w:p w14:paraId="10E3314E" w14:textId="77777777" w:rsidR="000D07EA" w:rsidRDefault="00BE7C89">
            <w:pPr>
              <w:pStyle w:val="BodyText"/>
              <w:spacing w:before="100" w:after="100"/>
              <w:jc w:val="center"/>
            </w:pPr>
            <w:r>
              <w:t>0c</w:t>
            </w:r>
          </w:p>
        </w:tc>
        <w:tc>
          <w:tcPr>
            <w:tcW w:w="1670" w:type="dxa"/>
            <w:shd w:val="clear" w:color="auto" w:fill="auto"/>
          </w:tcPr>
          <w:p w14:paraId="76E72E7C" w14:textId="77777777" w:rsidR="000D07EA" w:rsidRDefault="00BE7C89">
            <w:pPr>
              <w:pStyle w:val="BodyText"/>
              <w:spacing w:before="100" w:after="100"/>
              <w:jc w:val="center"/>
            </w:pPr>
            <w:r>
              <w:t>0c</w:t>
            </w:r>
          </w:p>
        </w:tc>
      </w:tr>
      <w:tr w:rsidR="000D07EA" w14:paraId="448CFA08" w14:textId="77777777">
        <w:tc>
          <w:tcPr>
            <w:tcW w:w="2970" w:type="dxa"/>
            <w:shd w:val="clear" w:color="auto" w:fill="auto"/>
          </w:tcPr>
          <w:p w14:paraId="010C9DA8" w14:textId="77777777" w:rsidR="000D07EA" w:rsidRDefault="00BE7C89">
            <w:pPr>
              <w:pStyle w:val="BodyText"/>
              <w:spacing w:before="100" w:after="100"/>
              <w:rPr>
                <w:b/>
              </w:rPr>
            </w:pPr>
            <w:r>
              <w:rPr>
                <w:b/>
              </w:rPr>
              <w:lastRenderedPageBreak/>
              <w:t xml:space="preserve">Calls to Optus GSM </w:t>
            </w:r>
            <w:r>
              <w:rPr>
                <w:b/>
                <w:i/>
              </w:rPr>
              <w:t>mobile phones</w:t>
            </w:r>
            <w:r>
              <w:rPr>
                <w:b/>
              </w:rPr>
              <w:t xml:space="preserve"> (national)</w:t>
            </w:r>
            <w:r>
              <w:rPr>
                <w:b/>
                <w:vertAlign w:val="superscript"/>
              </w:rPr>
              <w:t>^</w:t>
            </w:r>
          </w:p>
        </w:tc>
        <w:tc>
          <w:tcPr>
            <w:tcW w:w="1669" w:type="dxa"/>
            <w:shd w:val="clear" w:color="auto" w:fill="auto"/>
          </w:tcPr>
          <w:p w14:paraId="5C08D93F" w14:textId="77777777" w:rsidR="000D07EA" w:rsidRDefault="00BE7C89">
            <w:pPr>
              <w:pStyle w:val="BodyText"/>
              <w:spacing w:before="100" w:after="100"/>
              <w:jc w:val="center"/>
            </w:pPr>
            <w:r>
              <w:t>9c</w:t>
            </w:r>
            <w:r>
              <w:br/>
              <w:t>(9.9c)</w:t>
            </w:r>
          </w:p>
        </w:tc>
        <w:tc>
          <w:tcPr>
            <w:tcW w:w="1670" w:type="dxa"/>
            <w:shd w:val="clear" w:color="auto" w:fill="auto"/>
          </w:tcPr>
          <w:p w14:paraId="5A832DF6" w14:textId="77777777" w:rsidR="000D07EA" w:rsidRDefault="00BE7C89">
            <w:pPr>
              <w:pStyle w:val="BodyText"/>
              <w:spacing w:before="100" w:after="100"/>
              <w:jc w:val="center"/>
            </w:pPr>
            <w:r>
              <w:t>9c</w:t>
            </w:r>
            <w:r>
              <w:br/>
              <w:t>(9.9c)</w:t>
            </w:r>
          </w:p>
        </w:tc>
        <w:tc>
          <w:tcPr>
            <w:tcW w:w="1669" w:type="dxa"/>
            <w:shd w:val="clear" w:color="auto" w:fill="auto"/>
          </w:tcPr>
          <w:p w14:paraId="75872722" w14:textId="77777777" w:rsidR="000D07EA" w:rsidRDefault="00BE7C89">
            <w:pPr>
              <w:pStyle w:val="BodyText"/>
              <w:spacing w:before="100" w:after="100"/>
              <w:jc w:val="center"/>
            </w:pPr>
            <w:r>
              <w:t>8c</w:t>
            </w:r>
            <w:r>
              <w:br/>
              <w:t>(8.8c)</w:t>
            </w:r>
          </w:p>
        </w:tc>
        <w:tc>
          <w:tcPr>
            <w:tcW w:w="1670" w:type="dxa"/>
            <w:shd w:val="clear" w:color="auto" w:fill="auto"/>
          </w:tcPr>
          <w:p w14:paraId="5CF52B5A" w14:textId="77777777" w:rsidR="000D07EA" w:rsidRDefault="00BE7C89">
            <w:pPr>
              <w:pStyle w:val="BodyText"/>
              <w:spacing w:before="100" w:after="100"/>
              <w:jc w:val="center"/>
            </w:pPr>
            <w:r>
              <w:t>7c</w:t>
            </w:r>
            <w:r>
              <w:br/>
              <w:t>(7.7c)</w:t>
            </w:r>
          </w:p>
        </w:tc>
      </w:tr>
      <w:tr w:rsidR="000D07EA" w14:paraId="6BB315FC" w14:textId="77777777">
        <w:tc>
          <w:tcPr>
            <w:tcW w:w="2970" w:type="dxa"/>
            <w:shd w:val="clear" w:color="auto" w:fill="auto"/>
          </w:tcPr>
          <w:p w14:paraId="6F60D2AE" w14:textId="77777777" w:rsidR="000D07EA" w:rsidRDefault="00BE7C89">
            <w:pPr>
              <w:pStyle w:val="BodyText"/>
              <w:spacing w:before="100" w:after="100"/>
              <w:rPr>
                <w:b/>
              </w:rPr>
            </w:pPr>
            <w:r>
              <w:rPr>
                <w:b/>
              </w:rPr>
              <w:t xml:space="preserve">Calls to non-Optus </w:t>
            </w:r>
            <w:r>
              <w:rPr>
                <w:b/>
                <w:i/>
              </w:rPr>
              <w:t>mobile phones</w:t>
            </w:r>
            <w:r>
              <w:rPr>
                <w:b/>
              </w:rPr>
              <w:t xml:space="preserve"> (national)</w:t>
            </w:r>
            <w:r>
              <w:rPr>
                <w:b/>
                <w:vertAlign w:val="superscript"/>
              </w:rPr>
              <w:t>^#</w:t>
            </w:r>
          </w:p>
        </w:tc>
        <w:tc>
          <w:tcPr>
            <w:tcW w:w="1669" w:type="dxa"/>
            <w:shd w:val="clear" w:color="auto" w:fill="auto"/>
          </w:tcPr>
          <w:p w14:paraId="707F4BE1" w14:textId="77777777" w:rsidR="000D07EA" w:rsidRDefault="00BE7C89">
            <w:pPr>
              <w:pStyle w:val="BodyText"/>
              <w:spacing w:before="100" w:after="100"/>
              <w:jc w:val="center"/>
            </w:pPr>
            <w:r>
              <w:t>13c</w:t>
            </w:r>
            <w:r>
              <w:br/>
              <w:t>(14.3c)</w:t>
            </w:r>
          </w:p>
        </w:tc>
        <w:tc>
          <w:tcPr>
            <w:tcW w:w="1670" w:type="dxa"/>
            <w:shd w:val="clear" w:color="auto" w:fill="auto"/>
          </w:tcPr>
          <w:p w14:paraId="5E8EDB84" w14:textId="77777777" w:rsidR="000D07EA" w:rsidRDefault="00BE7C89">
            <w:pPr>
              <w:pStyle w:val="BodyText"/>
              <w:spacing w:before="100" w:after="100"/>
              <w:jc w:val="center"/>
            </w:pPr>
            <w:r>
              <w:t>12c</w:t>
            </w:r>
            <w:r>
              <w:br/>
              <w:t>(13.2c)</w:t>
            </w:r>
          </w:p>
        </w:tc>
        <w:tc>
          <w:tcPr>
            <w:tcW w:w="1669" w:type="dxa"/>
            <w:shd w:val="clear" w:color="auto" w:fill="auto"/>
          </w:tcPr>
          <w:p w14:paraId="29883CA2" w14:textId="77777777" w:rsidR="000D07EA" w:rsidRDefault="00BE7C89">
            <w:pPr>
              <w:pStyle w:val="BodyText"/>
              <w:spacing w:before="100" w:after="100"/>
              <w:jc w:val="center"/>
            </w:pPr>
            <w:r>
              <w:t>11c</w:t>
            </w:r>
            <w:r>
              <w:br/>
              <w:t>(12.1c)</w:t>
            </w:r>
          </w:p>
        </w:tc>
        <w:tc>
          <w:tcPr>
            <w:tcW w:w="1670" w:type="dxa"/>
            <w:shd w:val="clear" w:color="auto" w:fill="auto"/>
          </w:tcPr>
          <w:p w14:paraId="6A8AD8FB" w14:textId="77777777" w:rsidR="000D07EA" w:rsidRDefault="00BE7C89">
            <w:pPr>
              <w:pStyle w:val="BodyText"/>
              <w:spacing w:before="100" w:after="100"/>
              <w:jc w:val="center"/>
            </w:pPr>
            <w:r>
              <w:t>10c</w:t>
            </w:r>
            <w:r>
              <w:br/>
              <w:t>(11c)</w:t>
            </w:r>
          </w:p>
        </w:tc>
      </w:tr>
      <w:tr w:rsidR="000D07EA" w14:paraId="749412AA" w14:textId="77777777">
        <w:tc>
          <w:tcPr>
            <w:tcW w:w="2970" w:type="dxa"/>
            <w:shd w:val="clear" w:color="auto" w:fill="auto"/>
          </w:tcPr>
          <w:p w14:paraId="505F479A" w14:textId="77777777" w:rsidR="000D07EA" w:rsidRDefault="00BE7C89">
            <w:pPr>
              <w:pStyle w:val="BodyText"/>
              <w:spacing w:before="100" w:after="100"/>
              <w:rPr>
                <w:b/>
              </w:rPr>
            </w:pPr>
            <w:r>
              <w:rPr>
                <w:b/>
              </w:rPr>
              <w:t>Calls to landline (national)</w:t>
            </w:r>
            <w:r>
              <w:rPr>
                <w:b/>
                <w:vertAlign w:val="superscript"/>
              </w:rPr>
              <w:t>^</w:t>
            </w:r>
          </w:p>
        </w:tc>
        <w:tc>
          <w:tcPr>
            <w:tcW w:w="1669" w:type="dxa"/>
            <w:shd w:val="clear" w:color="auto" w:fill="auto"/>
          </w:tcPr>
          <w:p w14:paraId="724ABDE0" w14:textId="77777777" w:rsidR="000D07EA" w:rsidRDefault="00BE7C89">
            <w:pPr>
              <w:pStyle w:val="BodyText"/>
              <w:spacing w:before="100" w:after="100"/>
              <w:jc w:val="center"/>
            </w:pPr>
            <w:r>
              <w:t>13c</w:t>
            </w:r>
            <w:r>
              <w:br/>
              <w:t>(14.3c)</w:t>
            </w:r>
          </w:p>
        </w:tc>
        <w:tc>
          <w:tcPr>
            <w:tcW w:w="1670" w:type="dxa"/>
            <w:shd w:val="clear" w:color="auto" w:fill="auto"/>
          </w:tcPr>
          <w:p w14:paraId="38633FE6" w14:textId="77777777" w:rsidR="000D07EA" w:rsidRDefault="00BE7C89">
            <w:pPr>
              <w:pStyle w:val="BodyText"/>
              <w:spacing w:before="100" w:after="100"/>
              <w:jc w:val="center"/>
            </w:pPr>
            <w:r>
              <w:t>12c</w:t>
            </w:r>
            <w:r>
              <w:br/>
              <w:t>(13.2c)</w:t>
            </w:r>
          </w:p>
        </w:tc>
        <w:tc>
          <w:tcPr>
            <w:tcW w:w="1669" w:type="dxa"/>
            <w:shd w:val="clear" w:color="auto" w:fill="auto"/>
          </w:tcPr>
          <w:p w14:paraId="52972868" w14:textId="77777777" w:rsidR="000D07EA" w:rsidRDefault="00BE7C89">
            <w:pPr>
              <w:pStyle w:val="BodyText"/>
              <w:spacing w:before="100" w:after="100"/>
              <w:jc w:val="center"/>
            </w:pPr>
            <w:r>
              <w:t>11c</w:t>
            </w:r>
            <w:r>
              <w:br/>
              <w:t>(12.1c)</w:t>
            </w:r>
          </w:p>
        </w:tc>
        <w:tc>
          <w:tcPr>
            <w:tcW w:w="1670" w:type="dxa"/>
            <w:shd w:val="clear" w:color="auto" w:fill="auto"/>
          </w:tcPr>
          <w:p w14:paraId="0BF5ED0F" w14:textId="77777777" w:rsidR="000D07EA" w:rsidRDefault="00BE7C89">
            <w:pPr>
              <w:pStyle w:val="BodyText"/>
              <w:spacing w:before="100" w:after="100"/>
              <w:jc w:val="center"/>
            </w:pPr>
            <w:r>
              <w:t>10c</w:t>
            </w:r>
            <w:r>
              <w:br/>
              <w:t>(11c)</w:t>
            </w:r>
          </w:p>
        </w:tc>
      </w:tr>
      <w:tr w:rsidR="000D07EA" w14:paraId="5F8DD18D" w14:textId="77777777">
        <w:tc>
          <w:tcPr>
            <w:tcW w:w="2970" w:type="dxa"/>
            <w:shd w:val="clear" w:color="auto" w:fill="auto"/>
          </w:tcPr>
          <w:p w14:paraId="6F9D0921" w14:textId="77777777" w:rsidR="000D07EA" w:rsidRDefault="00BE7C89">
            <w:pPr>
              <w:pStyle w:val="BodyText"/>
              <w:spacing w:before="100" w:after="100"/>
              <w:rPr>
                <w:b/>
              </w:rPr>
            </w:pPr>
            <w:r>
              <w:rPr>
                <w:b/>
              </w:rPr>
              <w:t>'yes' OneFleet</w:t>
            </w:r>
            <w:r>
              <w:rPr>
                <w:b/>
                <w:vertAlign w:val="superscript"/>
              </w:rPr>
              <w:t>+</w:t>
            </w:r>
          </w:p>
        </w:tc>
        <w:tc>
          <w:tcPr>
            <w:tcW w:w="6678" w:type="dxa"/>
            <w:gridSpan w:val="4"/>
            <w:shd w:val="clear" w:color="auto" w:fill="auto"/>
          </w:tcPr>
          <w:p w14:paraId="76741D1D" w14:textId="77777777" w:rsidR="000D07EA" w:rsidRDefault="00BE7C89">
            <w:pPr>
              <w:pStyle w:val="BodyText"/>
              <w:spacing w:before="100" w:after="100"/>
              <w:jc w:val="center"/>
            </w:pPr>
            <w:r>
              <w:t>0c for 10 minutes</w:t>
            </w:r>
          </w:p>
        </w:tc>
      </w:tr>
      <w:tr w:rsidR="000D07EA" w14:paraId="1CF80A63" w14:textId="77777777">
        <w:tc>
          <w:tcPr>
            <w:tcW w:w="2970" w:type="dxa"/>
            <w:shd w:val="clear" w:color="auto" w:fill="auto"/>
          </w:tcPr>
          <w:p w14:paraId="5EACFD57" w14:textId="77777777" w:rsidR="000D07EA" w:rsidRDefault="00BE7C89">
            <w:pPr>
              <w:pStyle w:val="BodyText"/>
              <w:spacing w:before="100" w:after="100"/>
              <w:rPr>
                <w:b/>
              </w:rPr>
            </w:pPr>
            <w:r>
              <w:rPr>
                <w:b/>
              </w:rPr>
              <w:t>Voicemail deposit and retrieval</w:t>
            </w:r>
          </w:p>
        </w:tc>
        <w:tc>
          <w:tcPr>
            <w:tcW w:w="6678" w:type="dxa"/>
            <w:gridSpan w:val="4"/>
            <w:shd w:val="clear" w:color="auto" w:fill="auto"/>
          </w:tcPr>
          <w:p w14:paraId="2D7FDAC2" w14:textId="77777777" w:rsidR="000D07EA" w:rsidRDefault="00BE7C89">
            <w:pPr>
              <w:pStyle w:val="BodyText"/>
              <w:spacing w:before="100" w:after="100"/>
              <w:jc w:val="center"/>
            </w:pPr>
            <w:r>
              <w:t>0c</w:t>
            </w:r>
          </w:p>
        </w:tc>
      </w:tr>
      <w:tr w:rsidR="000D07EA" w14:paraId="04817547" w14:textId="77777777">
        <w:tc>
          <w:tcPr>
            <w:tcW w:w="2970" w:type="dxa"/>
            <w:shd w:val="clear" w:color="auto" w:fill="auto"/>
          </w:tcPr>
          <w:p w14:paraId="72B33D7F" w14:textId="77777777" w:rsidR="000D07EA" w:rsidRDefault="00BE7C89">
            <w:pPr>
              <w:pStyle w:val="BodyText"/>
              <w:spacing w:before="100" w:after="100"/>
              <w:rPr>
                <w:b/>
                <w:i/>
              </w:rPr>
            </w:pPr>
            <w:r>
              <w:rPr>
                <w:b/>
                <w:i/>
              </w:rPr>
              <w:t>Minimum term</w:t>
            </w:r>
          </w:p>
        </w:tc>
        <w:tc>
          <w:tcPr>
            <w:tcW w:w="1669" w:type="dxa"/>
            <w:shd w:val="clear" w:color="auto" w:fill="auto"/>
          </w:tcPr>
          <w:p w14:paraId="614B208E" w14:textId="77777777" w:rsidR="000D07EA" w:rsidRDefault="00BE7C89">
            <w:pPr>
              <w:pStyle w:val="BodyText"/>
              <w:spacing w:before="100" w:after="100"/>
              <w:jc w:val="center"/>
            </w:pPr>
            <w:r>
              <w:t>18 or 24 months</w:t>
            </w:r>
          </w:p>
        </w:tc>
        <w:tc>
          <w:tcPr>
            <w:tcW w:w="1670" w:type="dxa"/>
            <w:shd w:val="clear" w:color="auto" w:fill="auto"/>
          </w:tcPr>
          <w:p w14:paraId="1A2CC553" w14:textId="77777777" w:rsidR="000D07EA" w:rsidRDefault="00BE7C89">
            <w:pPr>
              <w:pStyle w:val="BodyText"/>
              <w:spacing w:before="100" w:after="100"/>
              <w:jc w:val="center"/>
            </w:pPr>
            <w:r>
              <w:t>18 or 24 months</w:t>
            </w:r>
          </w:p>
        </w:tc>
        <w:tc>
          <w:tcPr>
            <w:tcW w:w="1669" w:type="dxa"/>
            <w:shd w:val="clear" w:color="auto" w:fill="auto"/>
          </w:tcPr>
          <w:p w14:paraId="429ABD8B" w14:textId="77777777" w:rsidR="000D07EA" w:rsidRDefault="00BE7C89">
            <w:pPr>
              <w:pStyle w:val="BodyText"/>
              <w:spacing w:before="100" w:after="100"/>
              <w:jc w:val="center"/>
            </w:pPr>
            <w:r>
              <w:t>18 or 24 months</w:t>
            </w:r>
          </w:p>
        </w:tc>
        <w:tc>
          <w:tcPr>
            <w:tcW w:w="1670" w:type="dxa"/>
            <w:shd w:val="clear" w:color="auto" w:fill="auto"/>
          </w:tcPr>
          <w:p w14:paraId="456666C5" w14:textId="77777777" w:rsidR="000D07EA" w:rsidRDefault="00BE7C89">
            <w:pPr>
              <w:pStyle w:val="BodyText"/>
              <w:spacing w:before="100" w:after="100"/>
              <w:jc w:val="center"/>
            </w:pPr>
            <w:r>
              <w:t>18 or 24 months</w:t>
            </w:r>
          </w:p>
        </w:tc>
      </w:tr>
      <w:tr w:rsidR="000D07EA" w14:paraId="7E8467C3" w14:textId="77777777">
        <w:tc>
          <w:tcPr>
            <w:tcW w:w="2970" w:type="dxa"/>
            <w:shd w:val="clear" w:color="auto" w:fill="auto"/>
          </w:tcPr>
          <w:p w14:paraId="757CD2DF" w14:textId="77777777" w:rsidR="000D07EA" w:rsidRDefault="00BE7C89">
            <w:pPr>
              <w:pStyle w:val="BodyText"/>
              <w:keepNext/>
              <w:keepLines/>
              <w:spacing w:before="100" w:after="100"/>
              <w:rPr>
                <w:b/>
              </w:rPr>
            </w:pPr>
            <w:r>
              <w:rPr>
                <w:b/>
                <w:i/>
              </w:rPr>
              <w:t>Cancellation fee</w:t>
            </w:r>
            <w:r>
              <w:rPr>
                <w:b/>
              </w:rPr>
              <w:t xml:space="preserve"> for each </w:t>
            </w:r>
            <w:r>
              <w:rPr>
                <w:b/>
                <w:i/>
              </w:rPr>
              <w:t>Optus SIM card</w:t>
            </w:r>
            <w:r>
              <w:rPr>
                <w:b/>
              </w:rPr>
              <w:t xml:space="preserve"> on 18 month </w:t>
            </w:r>
            <w:r>
              <w:rPr>
                <w:b/>
                <w:i/>
              </w:rPr>
              <w:t>minimum term</w:t>
            </w:r>
          </w:p>
        </w:tc>
        <w:tc>
          <w:tcPr>
            <w:tcW w:w="1669" w:type="dxa"/>
            <w:shd w:val="clear" w:color="auto" w:fill="auto"/>
          </w:tcPr>
          <w:p w14:paraId="50B2AA0D" w14:textId="77777777" w:rsidR="000D07EA" w:rsidRDefault="00BE7C89">
            <w:pPr>
              <w:pStyle w:val="BodyText"/>
              <w:spacing w:before="100" w:after="100"/>
              <w:jc w:val="center"/>
            </w:pPr>
            <w:r>
              <w:t>$254.55</w:t>
            </w:r>
            <w:r>
              <w:br/>
              <w:t>($280)</w:t>
            </w:r>
          </w:p>
        </w:tc>
        <w:tc>
          <w:tcPr>
            <w:tcW w:w="1670" w:type="dxa"/>
            <w:shd w:val="clear" w:color="auto" w:fill="auto"/>
          </w:tcPr>
          <w:p w14:paraId="71328412" w14:textId="77777777" w:rsidR="000D07EA" w:rsidRDefault="00BE7C89">
            <w:pPr>
              <w:pStyle w:val="BodyText"/>
              <w:spacing w:before="100" w:after="100"/>
              <w:jc w:val="center"/>
            </w:pPr>
            <w:r>
              <w:t>$318.18</w:t>
            </w:r>
            <w:r>
              <w:br/>
              <w:t>($350)</w:t>
            </w:r>
          </w:p>
        </w:tc>
        <w:tc>
          <w:tcPr>
            <w:tcW w:w="1669" w:type="dxa"/>
            <w:shd w:val="clear" w:color="auto" w:fill="auto"/>
          </w:tcPr>
          <w:p w14:paraId="3A018E17" w14:textId="77777777" w:rsidR="000D07EA" w:rsidRDefault="00BE7C89">
            <w:pPr>
              <w:pStyle w:val="BodyText"/>
              <w:spacing w:before="100" w:after="100"/>
              <w:jc w:val="center"/>
            </w:pPr>
            <w:r>
              <w:t>$381.82</w:t>
            </w:r>
            <w:r>
              <w:br/>
              <w:t>($420)</w:t>
            </w:r>
          </w:p>
        </w:tc>
        <w:tc>
          <w:tcPr>
            <w:tcW w:w="1670" w:type="dxa"/>
            <w:shd w:val="clear" w:color="auto" w:fill="auto"/>
          </w:tcPr>
          <w:p w14:paraId="68B4E364" w14:textId="77777777" w:rsidR="000D07EA" w:rsidRDefault="00BE7C89">
            <w:pPr>
              <w:pStyle w:val="BodyText"/>
              <w:spacing w:before="100" w:after="100"/>
              <w:jc w:val="center"/>
            </w:pPr>
            <w:r>
              <w:t>$509.09</w:t>
            </w:r>
            <w:r>
              <w:br/>
              <w:t>($560)</w:t>
            </w:r>
          </w:p>
        </w:tc>
      </w:tr>
      <w:tr w:rsidR="000D07EA" w14:paraId="152FCFA6" w14:textId="77777777">
        <w:tc>
          <w:tcPr>
            <w:tcW w:w="2970" w:type="dxa"/>
            <w:shd w:val="clear" w:color="auto" w:fill="auto"/>
          </w:tcPr>
          <w:p w14:paraId="388DAE62" w14:textId="77777777" w:rsidR="000D07EA" w:rsidRDefault="00BE7C89">
            <w:pPr>
              <w:pStyle w:val="BodyText"/>
              <w:keepNext/>
              <w:keepLines/>
              <w:spacing w:before="100" w:after="100"/>
              <w:rPr>
                <w:b/>
                <w:i/>
              </w:rPr>
            </w:pPr>
            <w:r>
              <w:rPr>
                <w:b/>
                <w:i/>
              </w:rPr>
              <w:t>Cancellation fee</w:t>
            </w:r>
            <w:r>
              <w:rPr>
                <w:b/>
              </w:rPr>
              <w:t xml:space="preserve"> for each </w:t>
            </w:r>
            <w:r>
              <w:rPr>
                <w:b/>
                <w:i/>
              </w:rPr>
              <w:t>Optus SIM card</w:t>
            </w:r>
            <w:r>
              <w:rPr>
                <w:b/>
              </w:rPr>
              <w:t xml:space="preserve"> on 24 month </w:t>
            </w:r>
            <w:r>
              <w:rPr>
                <w:b/>
                <w:i/>
              </w:rPr>
              <w:t>minimum term</w:t>
            </w:r>
          </w:p>
        </w:tc>
        <w:tc>
          <w:tcPr>
            <w:tcW w:w="1669" w:type="dxa"/>
            <w:shd w:val="clear" w:color="auto" w:fill="auto"/>
          </w:tcPr>
          <w:p w14:paraId="2E67B9E6" w14:textId="77777777" w:rsidR="000D07EA" w:rsidRDefault="00BE7C89">
            <w:pPr>
              <w:pStyle w:val="BodyText"/>
              <w:spacing w:before="100" w:after="100"/>
              <w:jc w:val="center"/>
            </w:pPr>
            <w:r>
              <w:t>$354.55</w:t>
            </w:r>
            <w:r>
              <w:br/>
              <w:t>($390)</w:t>
            </w:r>
          </w:p>
        </w:tc>
        <w:tc>
          <w:tcPr>
            <w:tcW w:w="1670" w:type="dxa"/>
            <w:shd w:val="clear" w:color="auto" w:fill="auto"/>
          </w:tcPr>
          <w:p w14:paraId="5C536D4B" w14:textId="77777777" w:rsidR="000D07EA" w:rsidRDefault="00BE7C89">
            <w:pPr>
              <w:pStyle w:val="BodyText"/>
              <w:spacing w:before="100" w:after="100"/>
              <w:jc w:val="center"/>
            </w:pPr>
            <w:r>
              <w:t>$463.64</w:t>
            </w:r>
            <w:r>
              <w:br/>
              <w:t>($510)</w:t>
            </w:r>
          </w:p>
        </w:tc>
        <w:tc>
          <w:tcPr>
            <w:tcW w:w="1669" w:type="dxa"/>
            <w:shd w:val="clear" w:color="auto" w:fill="auto"/>
          </w:tcPr>
          <w:p w14:paraId="0794ADB1" w14:textId="77777777" w:rsidR="000D07EA" w:rsidRDefault="00BE7C89">
            <w:pPr>
              <w:pStyle w:val="BodyText"/>
              <w:spacing w:before="100" w:after="100"/>
              <w:jc w:val="center"/>
            </w:pPr>
            <w:r>
              <w:t>$545.45</w:t>
            </w:r>
            <w:r>
              <w:br/>
              <w:t>($600)</w:t>
            </w:r>
          </w:p>
        </w:tc>
        <w:tc>
          <w:tcPr>
            <w:tcW w:w="1670" w:type="dxa"/>
            <w:shd w:val="clear" w:color="auto" w:fill="auto"/>
          </w:tcPr>
          <w:p w14:paraId="6DD811CD" w14:textId="77777777" w:rsidR="000D07EA" w:rsidRDefault="00BE7C89">
            <w:pPr>
              <w:pStyle w:val="BodyText"/>
              <w:spacing w:before="100" w:after="100"/>
              <w:jc w:val="center"/>
            </w:pPr>
            <w:r>
              <w:t>$645.45</w:t>
            </w:r>
            <w:r>
              <w:br/>
              <w:t>($710)</w:t>
            </w:r>
          </w:p>
        </w:tc>
      </w:tr>
    </w:tbl>
    <w:p w14:paraId="663DD59D" w14:textId="77777777" w:rsidR="000D07EA" w:rsidRDefault="00BE7C89">
      <w:pPr>
        <w:pStyle w:val="BodyText"/>
        <w:spacing w:after="0"/>
        <w:ind w:left="720"/>
        <w:rPr>
          <w:sz w:val="16"/>
          <w:szCs w:val="16"/>
        </w:rPr>
      </w:pPr>
      <w:r>
        <w:rPr>
          <w:sz w:val="16"/>
          <w:szCs w:val="16"/>
        </w:rPr>
        <w:t>Note: All rates are per 30 seconds unless otherwise noted.</w:t>
      </w:r>
    </w:p>
    <w:p w14:paraId="6D38DEB8" w14:textId="77777777" w:rsidR="000D07EA" w:rsidRDefault="00BE7C89">
      <w:pPr>
        <w:pStyle w:val="BodyText"/>
        <w:spacing w:after="0"/>
        <w:ind w:left="720"/>
        <w:rPr>
          <w:sz w:val="16"/>
          <w:szCs w:val="16"/>
        </w:rPr>
      </w:pPr>
      <w:r>
        <w:rPr>
          <w:sz w:val="16"/>
          <w:szCs w:val="16"/>
        </w:rPr>
        <w:t xml:space="preserve">The rates above exclude calls to special services and Satellite. </w:t>
      </w:r>
    </w:p>
    <w:p w14:paraId="39C52E42" w14:textId="77777777" w:rsidR="000D07EA" w:rsidRDefault="00BE7C89">
      <w:pPr>
        <w:pStyle w:val="BodyText"/>
        <w:spacing w:after="0"/>
        <w:ind w:left="720"/>
        <w:rPr>
          <w:sz w:val="16"/>
          <w:szCs w:val="16"/>
        </w:rPr>
      </w:pPr>
      <w:r>
        <w:rPr>
          <w:sz w:val="16"/>
          <w:szCs w:val="16"/>
          <w:vertAlign w:val="superscript"/>
        </w:rPr>
        <w:t>^</w:t>
      </w:r>
      <w:r>
        <w:rPr>
          <w:sz w:val="16"/>
          <w:szCs w:val="16"/>
        </w:rPr>
        <w:t xml:space="preserve"> Billed per second.</w:t>
      </w:r>
    </w:p>
    <w:p w14:paraId="5C8C65BA" w14:textId="77777777" w:rsidR="000D07EA" w:rsidRDefault="00BE7C89">
      <w:pPr>
        <w:pStyle w:val="BodyText"/>
        <w:spacing w:after="0"/>
        <w:ind w:left="720"/>
        <w:rPr>
          <w:sz w:val="16"/>
          <w:szCs w:val="16"/>
        </w:rPr>
      </w:pPr>
      <w:r>
        <w:rPr>
          <w:sz w:val="16"/>
          <w:szCs w:val="16"/>
          <w:vertAlign w:val="superscript"/>
        </w:rPr>
        <w:t>+</w:t>
      </w:r>
      <w:r>
        <w:rPr>
          <w:sz w:val="16"/>
          <w:szCs w:val="16"/>
        </w:rPr>
        <w:t xml:space="preserve"> No </w:t>
      </w:r>
      <w:r>
        <w:rPr>
          <w:i/>
          <w:sz w:val="16"/>
          <w:szCs w:val="16"/>
        </w:rPr>
        <w:t>flagfall</w:t>
      </w:r>
      <w:r>
        <w:rPr>
          <w:sz w:val="16"/>
          <w:szCs w:val="16"/>
        </w:rPr>
        <w:t xml:space="preserve"> applies and calls billed per second after five minutes.</w:t>
      </w:r>
    </w:p>
    <w:p w14:paraId="112782EA" w14:textId="77777777" w:rsidR="000D07EA" w:rsidRDefault="000D07EA">
      <w:pPr>
        <w:pStyle w:val="BodyText"/>
      </w:pPr>
    </w:p>
    <w:p w14:paraId="33D60587" w14:textId="77777777" w:rsidR="000D07EA" w:rsidRDefault="00BE7C89">
      <w:pPr>
        <w:pStyle w:val="BodyText"/>
        <w:ind w:left="720"/>
        <w:rPr>
          <w:szCs w:val="20"/>
        </w:rPr>
      </w:pPr>
      <w:r>
        <w:rPr>
          <w:szCs w:val="20"/>
        </w:rPr>
        <w:t xml:space="preserve">If a different minimum monthly </w:t>
      </w:r>
      <w:r>
        <w:rPr>
          <w:i/>
          <w:szCs w:val="20"/>
        </w:rPr>
        <w:t>access fee</w:t>
      </w:r>
      <w:r>
        <w:rPr>
          <w:szCs w:val="20"/>
        </w:rPr>
        <w:t xml:space="preserve"> is agreed with </w:t>
      </w:r>
      <w:r>
        <w:rPr>
          <w:i/>
          <w:szCs w:val="20"/>
        </w:rPr>
        <w:t>you</w:t>
      </w:r>
      <w:r>
        <w:rPr>
          <w:szCs w:val="20"/>
        </w:rPr>
        <w:t xml:space="preserve">, the monthly charge will be adjusted accordingly. The standard call exclusions (see </w:t>
      </w:r>
      <w:hyperlink r:id="rId26" w:history="1">
        <w:r>
          <w:rPr>
            <w:rStyle w:val="Hyperlink"/>
            <w:szCs w:val="20"/>
          </w:rPr>
          <w:t>section 1</w:t>
        </w:r>
      </w:hyperlink>
      <w:r>
        <w:rPr>
          <w:szCs w:val="20"/>
        </w:rPr>
        <w:t xml:space="preserve"> of this </w:t>
      </w:r>
      <w:r>
        <w:rPr>
          <w:i/>
          <w:szCs w:val="20"/>
        </w:rPr>
        <w:t>standard pricing table</w:t>
      </w:r>
      <w:r>
        <w:rPr>
          <w:szCs w:val="20"/>
        </w:rPr>
        <w:t>) apply to the monthly included calls.</w:t>
      </w:r>
    </w:p>
    <w:p w14:paraId="349EE090" w14:textId="77777777" w:rsidR="000D07EA" w:rsidRDefault="00BE7C89">
      <w:pPr>
        <w:pStyle w:val="Heading6"/>
        <w:keepNext/>
        <w:ind w:left="0" w:firstLine="0"/>
      </w:pPr>
      <w:r>
        <w:t xml:space="preserve">What happens if the </w:t>
      </w:r>
      <w:r>
        <w:rPr>
          <w:i/>
        </w:rPr>
        <w:t>service</w:t>
      </w:r>
      <w:r>
        <w:t xml:space="preserve"> is </w:t>
      </w:r>
      <w:r>
        <w:rPr>
          <w:i/>
        </w:rPr>
        <w:t>cancelled</w:t>
      </w:r>
      <w:r>
        <w:t xml:space="preserve"> early?</w:t>
      </w:r>
    </w:p>
    <w:p w14:paraId="4E19C9F4" w14:textId="77777777" w:rsidR="000D07EA" w:rsidRDefault="00BE7C89">
      <w:pPr>
        <w:pStyle w:val="Heading7"/>
      </w:pPr>
      <w:r>
        <w:t xml:space="preserve">If </w:t>
      </w:r>
      <w:r>
        <w:rPr>
          <w:i/>
        </w:rPr>
        <w:t>you</w:t>
      </w:r>
      <w:r>
        <w:t xml:space="preserve"> cease to be an approved company </w:t>
      </w:r>
      <w:r>
        <w:rPr>
          <w:i/>
        </w:rPr>
        <w:t>you</w:t>
      </w:r>
      <w:r>
        <w:t xml:space="preserve"> may be transferred to another </w:t>
      </w:r>
      <w:r>
        <w:rPr>
          <w:i/>
        </w:rPr>
        <w:t>pricing plan</w:t>
      </w:r>
      <w:r>
        <w:t xml:space="preserve"> at </w:t>
      </w:r>
      <w:r>
        <w:rPr>
          <w:i/>
        </w:rPr>
        <w:t>our</w:t>
      </w:r>
      <w:r>
        <w:t xml:space="preserve"> discretion, or may be allowed to remain on this </w:t>
      </w:r>
      <w:r>
        <w:rPr>
          <w:i/>
        </w:rPr>
        <w:t>pricing plan</w:t>
      </w:r>
      <w:r>
        <w:t xml:space="preserve"> with the additional discounts and other benefits removed.</w:t>
      </w:r>
    </w:p>
    <w:p w14:paraId="4E658715" w14:textId="77777777" w:rsidR="000D07EA" w:rsidRDefault="00BE7C89">
      <w:pPr>
        <w:pStyle w:val="Heading7"/>
      </w:pPr>
      <w:r>
        <w:t xml:space="preserve">If </w:t>
      </w:r>
      <w:r>
        <w:rPr>
          <w:i/>
        </w:rPr>
        <w:t>the service is cancelled</w:t>
      </w:r>
      <w:r>
        <w:t xml:space="preserve"> before the expiry of the </w:t>
      </w:r>
      <w:r>
        <w:rPr>
          <w:i/>
        </w:rPr>
        <w:t>minimum term</w:t>
      </w:r>
      <w:r>
        <w:t>, you will be required to pay us:</w:t>
      </w:r>
    </w:p>
    <w:p w14:paraId="27FC0A9F" w14:textId="77777777" w:rsidR="000D07EA" w:rsidRDefault="00BE7C89">
      <w:pPr>
        <w:pStyle w:val="Heading8"/>
        <w:rPr>
          <w:szCs w:val="20"/>
        </w:rPr>
      </w:pPr>
      <w:r>
        <w:rPr>
          <w:szCs w:val="20"/>
        </w:rPr>
        <w:t xml:space="preserve">any usage charges incurred up to, and including, the </w:t>
      </w:r>
      <w:r>
        <w:rPr>
          <w:i/>
          <w:szCs w:val="20"/>
        </w:rPr>
        <w:t>cancellation date</w:t>
      </w:r>
      <w:r>
        <w:rPr>
          <w:szCs w:val="20"/>
        </w:rPr>
        <w:t>; plus</w:t>
      </w:r>
    </w:p>
    <w:p w14:paraId="0B302F03" w14:textId="77777777" w:rsidR="000D07EA" w:rsidRDefault="00BE7C89">
      <w:pPr>
        <w:pStyle w:val="Heading8"/>
        <w:rPr>
          <w:szCs w:val="20"/>
        </w:rPr>
      </w:pPr>
      <w:r>
        <w:rPr>
          <w:szCs w:val="20"/>
        </w:rPr>
        <w:t xml:space="preserve">the </w:t>
      </w:r>
      <w:r>
        <w:rPr>
          <w:i/>
          <w:szCs w:val="20"/>
        </w:rPr>
        <w:t>cancellation fee</w:t>
      </w:r>
      <w:r>
        <w:rPr>
          <w:szCs w:val="20"/>
        </w:rPr>
        <w:t xml:space="preserve"> set out in the Table 1 or Table 2 above (unless under clause 2A of the </w:t>
      </w:r>
      <w:hyperlink r:id="rId27" w:history="1">
        <w:r>
          <w:rPr>
            <w:rStyle w:val="Hyperlink"/>
            <w:i/>
            <w:szCs w:val="20"/>
          </w:rPr>
          <w:t>SMB terms</w:t>
        </w:r>
      </w:hyperlink>
      <w:r>
        <w:rPr>
          <w:szCs w:val="20"/>
        </w:rPr>
        <w:t xml:space="preserve">, you are entitled to </w:t>
      </w:r>
      <w:r>
        <w:rPr>
          <w:i/>
          <w:szCs w:val="20"/>
        </w:rPr>
        <w:t>cancel the service</w:t>
      </w:r>
      <w:r>
        <w:rPr>
          <w:szCs w:val="20"/>
        </w:rPr>
        <w:t xml:space="preserve"> without incurring a </w:t>
      </w:r>
      <w:r>
        <w:rPr>
          <w:i/>
          <w:szCs w:val="20"/>
        </w:rPr>
        <w:t>cancellation fee</w:t>
      </w:r>
      <w:r>
        <w:rPr>
          <w:szCs w:val="20"/>
        </w:rPr>
        <w:t>); plus</w:t>
      </w:r>
    </w:p>
    <w:p w14:paraId="528830E0" w14:textId="77777777" w:rsidR="000D07EA" w:rsidRDefault="00BE7C89">
      <w:pPr>
        <w:pStyle w:val="Heading8"/>
        <w:rPr>
          <w:szCs w:val="20"/>
        </w:rPr>
      </w:pPr>
      <w:r>
        <w:rPr>
          <w:szCs w:val="20"/>
        </w:rPr>
        <w:t xml:space="preserve">the sum of unpaid </w:t>
      </w:r>
      <w:r>
        <w:rPr>
          <w:i/>
          <w:szCs w:val="20"/>
        </w:rPr>
        <w:t>equipment charges</w:t>
      </w:r>
      <w:r>
        <w:rPr>
          <w:szCs w:val="20"/>
        </w:rPr>
        <w:t xml:space="preserve"> owing on </w:t>
      </w:r>
      <w:r>
        <w:rPr>
          <w:i/>
          <w:szCs w:val="20"/>
        </w:rPr>
        <w:t>your mobile phone</w:t>
      </w:r>
      <w:r>
        <w:rPr>
          <w:szCs w:val="20"/>
        </w:rPr>
        <w:t xml:space="preserve"> under the </w:t>
      </w:r>
      <w:r>
        <w:rPr>
          <w:i/>
          <w:szCs w:val="20"/>
        </w:rPr>
        <w:t>mobile equipment payment plan</w:t>
      </w:r>
      <w:r>
        <w:rPr>
          <w:szCs w:val="20"/>
        </w:rPr>
        <w:t xml:space="preserve"> (if any).</w:t>
      </w:r>
    </w:p>
    <w:p w14:paraId="4DC7D059" w14:textId="77777777" w:rsidR="000D07EA" w:rsidRDefault="00BE7C89">
      <w:pPr>
        <w:pStyle w:val="Heading7"/>
      </w:pPr>
      <w:r>
        <w:t xml:space="preserve">Some special promotions may vary the minimum call spend requirement or discounts available, and variation will not be taken into account when determining the </w:t>
      </w:r>
      <w:r>
        <w:rPr>
          <w:i/>
        </w:rPr>
        <w:t>cancellation fee</w:t>
      </w:r>
      <w:r>
        <w:t>.</w:t>
      </w:r>
    </w:p>
    <w:p w14:paraId="0590D169" w14:textId="77777777" w:rsidR="000D07EA" w:rsidRDefault="00BE7C89">
      <w:pPr>
        <w:pStyle w:val="Heading4"/>
      </w:pPr>
      <w:bookmarkStart w:id="57" w:name="_Toc62644605"/>
      <w:r>
        <w:t>SMS MO ON-Net Plan</w:t>
      </w:r>
      <w:bookmarkEnd w:id="57"/>
    </w:p>
    <w:p w14:paraId="1FBE4BEA" w14:textId="77777777" w:rsidR="000D07EA" w:rsidRDefault="00BE7C89">
      <w:pPr>
        <w:pStyle w:val="Heading6"/>
        <w:ind w:left="0" w:firstLine="0"/>
      </w:pPr>
      <w:r>
        <w:t>Definitions</w:t>
      </w:r>
    </w:p>
    <w:p w14:paraId="62730E45" w14:textId="77777777" w:rsidR="000D07EA" w:rsidRDefault="00BE7C89">
      <w:pPr>
        <w:pStyle w:val="BodyText"/>
        <w:ind w:left="720"/>
      </w:pPr>
      <w:r>
        <w:t xml:space="preserve">In this SMS MO ON-Net </w:t>
      </w:r>
      <w:r>
        <w:rPr>
          <w:i/>
        </w:rPr>
        <w:t>pricing plan</w:t>
      </w:r>
      <w:r>
        <w:t>:</w:t>
      </w:r>
    </w:p>
    <w:p w14:paraId="72F76B18" w14:textId="77777777" w:rsidR="000D07EA" w:rsidRDefault="00BE7C89">
      <w:pPr>
        <w:pStyle w:val="BodyText"/>
        <w:ind w:left="720"/>
      </w:pPr>
      <w:r>
        <w:rPr>
          <w:b/>
        </w:rPr>
        <w:t>Grace Period</w:t>
      </w:r>
      <w:r>
        <w:t xml:space="preserve"> means the period specified in the </w:t>
      </w:r>
      <w:r>
        <w:rPr>
          <w:i/>
        </w:rPr>
        <w:t>application</w:t>
      </w:r>
      <w:r>
        <w:t xml:space="preserve"> as such during which the Minimum SMS Spend does not apply.</w:t>
      </w:r>
    </w:p>
    <w:p w14:paraId="18D4657E" w14:textId="77777777" w:rsidR="000D07EA" w:rsidRDefault="00BE7C89">
      <w:pPr>
        <w:pStyle w:val="BodyText"/>
        <w:ind w:left="720"/>
      </w:pPr>
      <w:r>
        <w:rPr>
          <w:b/>
        </w:rPr>
        <w:lastRenderedPageBreak/>
        <w:t>Minimum On-Net Percentage</w:t>
      </w:r>
      <w:r>
        <w:t xml:space="preserve"> means the percentage of SMSMO traffic per </w:t>
      </w:r>
      <w:r>
        <w:rPr>
          <w:i/>
        </w:rPr>
        <w:t>Optus SIM card</w:t>
      </w:r>
      <w:r>
        <w:t xml:space="preserve"> that must be On-Net for the Committed Period, specified in the </w:t>
      </w:r>
      <w:r>
        <w:rPr>
          <w:i/>
        </w:rPr>
        <w:t>application</w:t>
      </w:r>
      <w:r>
        <w:t>.</w:t>
      </w:r>
    </w:p>
    <w:p w14:paraId="27464A4C" w14:textId="77777777" w:rsidR="000D07EA" w:rsidRDefault="00BE7C89">
      <w:pPr>
        <w:pStyle w:val="BodyText"/>
        <w:ind w:left="720"/>
      </w:pPr>
      <w:r>
        <w:rPr>
          <w:b/>
        </w:rPr>
        <w:t>Minimum SMS Spend</w:t>
      </w:r>
      <w:r>
        <w:t xml:space="preserve"> means the minimum spend specified in the </w:t>
      </w:r>
      <w:r>
        <w:rPr>
          <w:i/>
        </w:rPr>
        <w:t>application</w:t>
      </w:r>
      <w:r>
        <w:t xml:space="preserve"> (for the sake of certainty, the Minimum SMS Spend is not a minimum spend required for each </w:t>
      </w:r>
      <w:r>
        <w:rPr>
          <w:i/>
        </w:rPr>
        <w:t>Optus SIM card</w:t>
      </w:r>
      <w:r>
        <w:t xml:space="preserve">, but is the aggregate minimum spend calculated by reference to the total number of </w:t>
      </w:r>
      <w:r>
        <w:rPr>
          <w:i/>
        </w:rPr>
        <w:t>Optus SIM cards</w:t>
      </w:r>
      <w:r>
        <w:t xml:space="preserve"> supplied to </w:t>
      </w:r>
      <w:r>
        <w:rPr>
          <w:i/>
        </w:rPr>
        <w:t>you</w:t>
      </w:r>
      <w:r>
        <w:t>).</w:t>
      </w:r>
    </w:p>
    <w:p w14:paraId="4E9D0FF0" w14:textId="77777777" w:rsidR="000D07EA" w:rsidRDefault="00BE7C89">
      <w:pPr>
        <w:pStyle w:val="BodyText"/>
        <w:ind w:left="720"/>
      </w:pPr>
      <w:r>
        <w:rPr>
          <w:b/>
        </w:rPr>
        <w:t>Off-Net</w:t>
      </w:r>
      <w:r>
        <w:t xml:space="preserve"> means SMSMO traffic using (entirely or in part) any telecommunications network other than </w:t>
      </w:r>
      <w:r>
        <w:rPr>
          <w:i/>
        </w:rPr>
        <w:t>our network</w:t>
      </w:r>
      <w:r>
        <w:t>.</w:t>
      </w:r>
    </w:p>
    <w:p w14:paraId="7A794B37" w14:textId="77777777" w:rsidR="000D07EA" w:rsidRDefault="00BE7C89">
      <w:pPr>
        <w:pStyle w:val="BodyText"/>
        <w:ind w:left="720"/>
      </w:pPr>
      <w:r>
        <w:rPr>
          <w:b/>
        </w:rPr>
        <w:t>On-Net</w:t>
      </w:r>
      <w:r>
        <w:t xml:space="preserve"> means SMSMO traffic using only </w:t>
      </w:r>
      <w:r>
        <w:rPr>
          <w:i/>
        </w:rPr>
        <w:t>our network</w:t>
      </w:r>
      <w:r>
        <w:t>.</w:t>
      </w:r>
    </w:p>
    <w:p w14:paraId="1A4785CD" w14:textId="77777777" w:rsidR="000D07EA" w:rsidRDefault="00BE7C89">
      <w:pPr>
        <w:pStyle w:val="Heading6"/>
        <w:ind w:left="0" w:firstLine="0"/>
      </w:pPr>
      <w:r>
        <w:t xml:space="preserve">What </w:t>
      </w:r>
      <w:r>
        <w:rPr>
          <w:i/>
        </w:rPr>
        <w:t>you</w:t>
      </w:r>
      <w:r>
        <w:t xml:space="preserve"> have to pay </w:t>
      </w:r>
      <w:r>
        <w:rPr>
          <w:i/>
        </w:rPr>
        <w:t>us</w:t>
      </w:r>
    </w:p>
    <w:p w14:paraId="44E4D706" w14:textId="77777777" w:rsidR="000D07EA" w:rsidRDefault="00BE7C89">
      <w:pPr>
        <w:pStyle w:val="Heading7"/>
      </w:pPr>
      <w:r>
        <w:t xml:space="preserve">If, in any month (except during the Grace Period) </w:t>
      </w:r>
      <w:r>
        <w:rPr>
          <w:i/>
        </w:rPr>
        <w:t>you</w:t>
      </w:r>
      <w:r>
        <w:t xml:space="preserve"> incur Service Charges less than the Minimum SMS Spend, then you must pay the Minimum SMS Spend to </w:t>
      </w:r>
      <w:r>
        <w:rPr>
          <w:i/>
        </w:rPr>
        <w:t>us</w:t>
      </w:r>
      <w:r>
        <w:t>.</w:t>
      </w:r>
    </w:p>
    <w:p w14:paraId="1A19DAF2" w14:textId="77777777" w:rsidR="000D07EA" w:rsidRDefault="00BE7C89">
      <w:pPr>
        <w:pStyle w:val="Heading7"/>
      </w:pPr>
      <w:r>
        <w:t xml:space="preserve">If, in any month, less than the Minimum On-Net Percentage of the SMSMO traffic on </w:t>
      </w:r>
      <w:r>
        <w:rPr>
          <w:i/>
        </w:rPr>
        <w:t>your service</w:t>
      </w:r>
      <w:r>
        <w:t xml:space="preserve"> account has been On-Net, </w:t>
      </w:r>
      <w:r>
        <w:rPr>
          <w:i/>
        </w:rPr>
        <w:t>you</w:t>
      </w:r>
      <w:r>
        <w:t xml:space="preserve"> will be charged and are obliged to pay the Off-Net rate for all SMSMO traffic on your </w:t>
      </w:r>
      <w:r>
        <w:rPr>
          <w:i/>
        </w:rPr>
        <w:t>service</w:t>
      </w:r>
      <w:r>
        <w:t xml:space="preserve"> account that month.</w:t>
      </w:r>
    </w:p>
    <w:p w14:paraId="6CF1409D" w14:textId="77777777" w:rsidR="000D07EA" w:rsidRDefault="00BE7C89">
      <w:pPr>
        <w:pStyle w:val="Heading7"/>
      </w:pPr>
      <w:r>
        <w:t xml:space="preserve">The Service Charges apply for the </w:t>
      </w:r>
      <w:r>
        <w:rPr>
          <w:i/>
        </w:rPr>
        <w:t>minimum term</w:t>
      </w:r>
      <w:r>
        <w:t xml:space="preserve">, after which </w:t>
      </w:r>
      <w:r>
        <w:rPr>
          <w:i/>
        </w:rPr>
        <w:t>we</w:t>
      </w:r>
      <w:r>
        <w:t xml:space="preserve"> may amend the Service Charges at any time upon 30 days notice. </w:t>
      </w:r>
    </w:p>
    <w:p w14:paraId="7E48CAE8" w14:textId="77777777" w:rsidR="000D07EA" w:rsidRDefault="00BE7C89">
      <w:pPr>
        <w:pStyle w:val="Heading7"/>
      </w:pPr>
      <w:r>
        <w:t xml:space="preserve">If in any two consecutive months during the </w:t>
      </w:r>
      <w:r>
        <w:rPr>
          <w:i/>
        </w:rPr>
        <w:t>minimum term</w:t>
      </w:r>
      <w:r>
        <w:t xml:space="preserve"> (but not within the Grace Period) </w:t>
      </w:r>
      <w:r>
        <w:rPr>
          <w:i/>
        </w:rPr>
        <w:t>you</w:t>
      </w:r>
      <w:r>
        <w:t xml:space="preserve"> incur Service Charges less than the Minimum SMS Spend then </w:t>
      </w:r>
      <w:r>
        <w:rPr>
          <w:i/>
        </w:rPr>
        <w:t>we</w:t>
      </w:r>
      <w:r>
        <w:t xml:space="preserve"> may amend the Service Charges upon 30 days notice.</w:t>
      </w:r>
    </w:p>
    <w:p w14:paraId="499D1A7F" w14:textId="77777777" w:rsidR="000D07EA" w:rsidRDefault="00BE7C89">
      <w:pPr>
        <w:pStyle w:val="Heading6"/>
        <w:ind w:left="0" w:firstLine="0"/>
      </w:pPr>
      <w:r>
        <w:t xml:space="preserve">What happens if the </w:t>
      </w:r>
      <w:r>
        <w:rPr>
          <w:i/>
        </w:rPr>
        <w:t>service</w:t>
      </w:r>
      <w:r>
        <w:t xml:space="preserve"> is </w:t>
      </w:r>
      <w:r>
        <w:rPr>
          <w:i/>
        </w:rPr>
        <w:t>cancelled</w:t>
      </w:r>
      <w:r>
        <w:t xml:space="preserve"> early?</w:t>
      </w:r>
    </w:p>
    <w:p w14:paraId="2B0E497D" w14:textId="77777777" w:rsidR="000D07EA" w:rsidRDefault="00BE7C89">
      <w:pPr>
        <w:pStyle w:val="Heading7"/>
      </w:pPr>
      <w:bookmarkStart w:id="58" w:name="_Ref461542202"/>
      <w:r>
        <w:t xml:space="preserve">If </w:t>
      </w:r>
      <w:r>
        <w:rPr>
          <w:i/>
        </w:rPr>
        <w:t>the service is cancelled</w:t>
      </w:r>
      <w:r>
        <w:t xml:space="preserve"> before the expiry of the </w:t>
      </w:r>
      <w:r>
        <w:rPr>
          <w:i/>
        </w:rPr>
        <w:t>minimum term</w:t>
      </w:r>
      <w:r>
        <w:t xml:space="preserve">, </w:t>
      </w:r>
      <w:r>
        <w:rPr>
          <w:i/>
        </w:rPr>
        <w:t>you</w:t>
      </w:r>
      <w:r>
        <w:t xml:space="preserve"> will be required to pay </w:t>
      </w:r>
      <w:r>
        <w:rPr>
          <w:i/>
        </w:rPr>
        <w:t>us</w:t>
      </w:r>
      <w:r>
        <w:t>:</w:t>
      </w:r>
      <w:bookmarkEnd w:id="58"/>
    </w:p>
    <w:p w14:paraId="5E260199" w14:textId="77777777" w:rsidR="000D07EA" w:rsidRDefault="00BE7C89">
      <w:pPr>
        <w:pStyle w:val="Heading8"/>
      </w:pPr>
      <w:r>
        <w:t xml:space="preserve">any usage charges incurred up to, and including, the </w:t>
      </w:r>
      <w:r>
        <w:rPr>
          <w:i/>
        </w:rPr>
        <w:t>cancellation date</w:t>
      </w:r>
      <w:r>
        <w:t>; plus</w:t>
      </w:r>
    </w:p>
    <w:p w14:paraId="73182578" w14:textId="77777777" w:rsidR="000D07EA" w:rsidRDefault="00BE7C89">
      <w:pPr>
        <w:pStyle w:val="Heading8"/>
        <w:rPr>
          <w:szCs w:val="20"/>
        </w:rPr>
      </w:pPr>
      <w:r>
        <w:rPr>
          <w:szCs w:val="20"/>
        </w:rPr>
        <w:t xml:space="preserve">the </w:t>
      </w:r>
      <w:r>
        <w:rPr>
          <w:i/>
          <w:szCs w:val="20"/>
        </w:rPr>
        <w:t>cancellation fee</w:t>
      </w:r>
      <w:r>
        <w:rPr>
          <w:szCs w:val="20"/>
        </w:rPr>
        <w:t xml:space="preserve"> calculated in paragraph </w:t>
      </w:r>
      <w:r>
        <w:rPr>
          <w:szCs w:val="20"/>
        </w:rPr>
        <w:fldChar w:fldCharType="begin"/>
      </w:r>
      <w:r>
        <w:rPr>
          <w:szCs w:val="20"/>
        </w:rPr>
        <w:instrText xml:space="preserve"> REF _Ref461542200 \n \h </w:instrText>
      </w:r>
      <w:r>
        <w:rPr>
          <w:szCs w:val="20"/>
        </w:rPr>
      </w:r>
      <w:r>
        <w:rPr>
          <w:szCs w:val="20"/>
        </w:rPr>
        <w:fldChar w:fldCharType="separate"/>
      </w:r>
      <w:r w:rsidR="0004083A">
        <w:rPr>
          <w:szCs w:val="20"/>
        </w:rPr>
        <w:t>(b)</w:t>
      </w:r>
      <w:r>
        <w:rPr>
          <w:szCs w:val="20"/>
        </w:rPr>
        <w:fldChar w:fldCharType="end"/>
      </w:r>
      <w:r>
        <w:rPr>
          <w:szCs w:val="20"/>
        </w:rPr>
        <w:t xml:space="preserve"> below (unless under clause 2A of the </w:t>
      </w:r>
      <w:hyperlink r:id="rId28" w:history="1">
        <w:r>
          <w:rPr>
            <w:rStyle w:val="Hyperlink"/>
            <w:i/>
            <w:szCs w:val="20"/>
          </w:rPr>
          <w:t>SMB terms</w:t>
        </w:r>
      </w:hyperlink>
      <w:r>
        <w:rPr>
          <w:szCs w:val="20"/>
        </w:rPr>
        <w:t xml:space="preserve">, </w:t>
      </w:r>
      <w:r>
        <w:rPr>
          <w:i/>
          <w:szCs w:val="20"/>
        </w:rPr>
        <w:t>you</w:t>
      </w:r>
      <w:r>
        <w:rPr>
          <w:szCs w:val="20"/>
        </w:rPr>
        <w:t xml:space="preserve"> are entitled to </w:t>
      </w:r>
      <w:r>
        <w:rPr>
          <w:i/>
          <w:szCs w:val="20"/>
        </w:rPr>
        <w:t>cancel the service</w:t>
      </w:r>
      <w:r>
        <w:rPr>
          <w:szCs w:val="20"/>
        </w:rPr>
        <w:t xml:space="preserve"> without incurring a </w:t>
      </w:r>
      <w:r>
        <w:rPr>
          <w:i/>
          <w:szCs w:val="20"/>
        </w:rPr>
        <w:t>cancellation fee</w:t>
      </w:r>
      <w:r>
        <w:rPr>
          <w:szCs w:val="20"/>
        </w:rPr>
        <w:t>); plus</w:t>
      </w:r>
    </w:p>
    <w:p w14:paraId="0062531A" w14:textId="77777777" w:rsidR="000D07EA" w:rsidRDefault="00BE7C89">
      <w:pPr>
        <w:pStyle w:val="Heading8"/>
        <w:rPr>
          <w:szCs w:val="20"/>
        </w:rPr>
      </w:pPr>
      <w:r>
        <w:rPr>
          <w:szCs w:val="20"/>
        </w:rPr>
        <w:t xml:space="preserve">the sum of unpaid </w:t>
      </w:r>
      <w:r>
        <w:rPr>
          <w:i/>
          <w:szCs w:val="20"/>
        </w:rPr>
        <w:t>equipment charges</w:t>
      </w:r>
      <w:r>
        <w:rPr>
          <w:szCs w:val="20"/>
        </w:rPr>
        <w:t xml:space="preserve"> owing on </w:t>
      </w:r>
      <w:r>
        <w:rPr>
          <w:i/>
          <w:szCs w:val="20"/>
        </w:rPr>
        <w:t>your mobile phone</w:t>
      </w:r>
      <w:r>
        <w:rPr>
          <w:szCs w:val="20"/>
        </w:rPr>
        <w:t xml:space="preserve"> under the </w:t>
      </w:r>
      <w:r>
        <w:rPr>
          <w:i/>
          <w:szCs w:val="20"/>
        </w:rPr>
        <w:t>mobile equipment payment plan</w:t>
      </w:r>
      <w:r>
        <w:rPr>
          <w:szCs w:val="20"/>
        </w:rPr>
        <w:t xml:space="preserve"> (if any).</w:t>
      </w:r>
    </w:p>
    <w:p w14:paraId="571AAC24" w14:textId="77777777" w:rsidR="000D07EA" w:rsidRDefault="00BE7C89">
      <w:pPr>
        <w:pStyle w:val="Heading7"/>
      </w:pPr>
      <w:bookmarkStart w:id="59" w:name="_Ref461542200"/>
      <w:r>
        <w:t xml:space="preserve">The </w:t>
      </w:r>
      <w:r>
        <w:rPr>
          <w:i/>
        </w:rPr>
        <w:t>cancellation fee</w:t>
      </w:r>
      <w:r>
        <w:t xml:space="preserve"> payable under paragraph </w:t>
      </w:r>
      <w:r>
        <w:rPr>
          <w:szCs w:val="20"/>
        </w:rPr>
        <w:fldChar w:fldCharType="begin"/>
      </w:r>
      <w:r>
        <w:rPr>
          <w:szCs w:val="20"/>
        </w:rPr>
        <w:instrText xml:space="preserve"> REF _Ref461542202 \n \h </w:instrText>
      </w:r>
      <w:r>
        <w:rPr>
          <w:szCs w:val="20"/>
        </w:rPr>
      </w:r>
      <w:r>
        <w:rPr>
          <w:szCs w:val="20"/>
        </w:rPr>
        <w:fldChar w:fldCharType="separate"/>
      </w:r>
      <w:r w:rsidR="0004083A">
        <w:rPr>
          <w:szCs w:val="20"/>
        </w:rPr>
        <w:t>(a)</w:t>
      </w:r>
      <w:r>
        <w:rPr>
          <w:szCs w:val="20"/>
        </w:rPr>
        <w:fldChar w:fldCharType="end"/>
      </w:r>
      <w:r>
        <w:t xml:space="preserve"> above, if any, is the amount of any Minimum SMS Spend for the period between the </w:t>
      </w:r>
      <w:r>
        <w:rPr>
          <w:i/>
        </w:rPr>
        <w:t>cancellation date</w:t>
      </w:r>
      <w:r>
        <w:t xml:space="preserve"> and the end of any </w:t>
      </w:r>
      <w:r>
        <w:rPr>
          <w:i/>
        </w:rPr>
        <w:t>minimum term</w:t>
      </w:r>
      <w:r>
        <w:t>.</w:t>
      </w:r>
      <w:bookmarkEnd w:id="59"/>
    </w:p>
    <w:p w14:paraId="354AB48D" w14:textId="77777777" w:rsidR="000D07EA" w:rsidRDefault="00BE7C89">
      <w:pPr>
        <w:pStyle w:val="Heading6"/>
        <w:ind w:left="0" w:firstLine="0"/>
      </w:pPr>
      <w:r>
        <w:t>What do the Service Charges apply to?</w:t>
      </w:r>
    </w:p>
    <w:p w14:paraId="0DFD546D" w14:textId="77777777" w:rsidR="000D07EA" w:rsidRDefault="00BE7C89">
      <w:pPr>
        <w:pStyle w:val="BodyText"/>
        <w:ind w:left="720"/>
      </w:pPr>
      <w:r>
        <w:t xml:space="preserve">For the sake of certainty, the Service Charges under this SMS MO </w:t>
      </w:r>
      <w:r>
        <w:rPr>
          <w:i/>
        </w:rPr>
        <w:t>pricing plan</w:t>
      </w:r>
      <w:r>
        <w:t xml:space="preserve"> do not apply to other Optus Short Message Service </w:t>
      </w:r>
      <w:r>
        <w:rPr>
          <w:rStyle w:val="Heading7Char"/>
          <w:rFonts w:eastAsia="MS Mincho"/>
        </w:rPr>
        <w:t>products</w:t>
      </w:r>
      <w:r>
        <w:t xml:space="preserve"> including (without limitation) SMS Gateway, SMS Broadcast, Fleetpage, International SMS, SMSMT services (for example, Info2u) and SMS MO services with higher advertised prices (Other Services). </w:t>
      </w:r>
      <w:r>
        <w:rPr>
          <w:i/>
        </w:rPr>
        <w:t>We</w:t>
      </w:r>
      <w:r>
        <w:t xml:space="preserve"> have no obligation to supply the Other Services to </w:t>
      </w:r>
      <w:r>
        <w:rPr>
          <w:i/>
        </w:rPr>
        <w:t>you</w:t>
      </w:r>
      <w:r>
        <w:t xml:space="preserve"> unless agreed in writing with </w:t>
      </w:r>
      <w:r>
        <w:rPr>
          <w:i/>
        </w:rPr>
        <w:t>you</w:t>
      </w:r>
      <w:r>
        <w:t>.</w:t>
      </w:r>
    </w:p>
    <w:p w14:paraId="4A9C8CD9" w14:textId="77777777" w:rsidR="000D07EA" w:rsidRDefault="00BE7C89">
      <w:pPr>
        <w:pStyle w:val="Heading4"/>
      </w:pPr>
      <w:bookmarkStart w:id="60" w:name="_Toc62644606"/>
      <w:r>
        <w:t>Total Business Cap Plans</w:t>
      </w:r>
      <w:bookmarkEnd w:id="60"/>
    </w:p>
    <w:p w14:paraId="72D443F6" w14:textId="77777777" w:rsidR="000D07EA" w:rsidRDefault="00BE7C89">
      <w:pPr>
        <w:pStyle w:val="BodyText"/>
        <w:ind w:left="720"/>
      </w:pPr>
      <w:r>
        <w:t xml:space="preserve">For terms and conditions relating to the Total Business Cap Plans, please refer to </w:t>
      </w:r>
      <w:r>
        <w:rPr>
          <w:i/>
        </w:rPr>
        <w:t>Appendix I – Part G</w:t>
      </w:r>
      <w:r>
        <w:t>.</w:t>
      </w:r>
    </w:p>
    <w:p w14:paraId="54401A1E" w14:textId="77777777" w:rsidR="000D07EA" w:rsidRDefault="00BE7C89">
      <w:pPr>
        <w:pStyle w:val="Heading4"/>
      </w:pPr>
      <w:bookmarkStart w:id="61" w:name="_Toc62644607"/>
      <w:r>
        <w:t>'yes' Business &amp; Advance 'yes' Business Plans (10, 35, 60, 75, 100, 150, 250)</w:t>
      </w:r>
      <w:bookmarkEnd w:id="61"/>
    </w:p>
    <w:p w14:paraId="3A36E483" w14:textId="77777777" w:rsidR="000D07EA" w:rsidRDefault="00BE7C89">
      <w:pPr>
        <w:pStyle w:val="Heading6"/>
        <w:ind w:left="0" w:firstLine="0"/>
      </w:pPr>
      <w:r>
        <w:t>Background</w:t>
      </w:r>
    </w:p>
    <w:p w14:paraId="66E959D8" w14:textId="77777777" w:rsidR="000D07EA" w:rsidRDefault="00BE7C89">
      <w:pPr>
        <w:pStyle w:val="BodyText"/>
        <w:ind w:left="720"/>
      </w:pPr>
      <w:r>
        <w:t xml:space="preserve">There are a number of </w:t>
      </w:r>
      <w:r>
        <w:rPr>
          <w:i/>
        </w:rPr>
        <w:t>pricing plans</w:t>
      </w:r>
      <w:r>
        <w:t xml:space="preserve"> in the 'yes' Business </w:t>
      </w:r>
      <w:r>
        <w:rPr>
          <w:i/>
        </w:rPr>
        <w:t>pricing plan</w:t>
      </w:r>
      <w:r>
        <w:t xml:space="preserve"> suite. The 'yes' Business </w:t>
      </w:r>
      <w:r>
        <w:rPr>
          <w:i/>
        </w:rPr>
        <w:t>pricing plans</w:t>
      </w:r>
      <w:r>
        <w:t xml:space="preserve"> may also be referred to as the Advance 'yes' Business </w:t>
      </w:r>
      <w:r>
        <w:rPr>
          <w:i/>
        </w:rPr>
        <w:t>pricing plans</w:t>
      </w:r>
      <w:r>
        <w:t>.</w:t>
      </w:r>
    </w:p>
    <w:p w14:paraId="21288EA9" w14:textId="77777777" w:rsidR="000D07EA" w:rsidRDefault="00BE7C89">
      <w:pPr>
        <w:pStyle w:val="Heading6"/>
        <w:ind w:left="0" w:firstLine="0"/>
      </w:pPr>
      <w:r>
        <w:lastRenderedPageBreak/>
        <w:t>Eligibility</w:t>
      </w:r>
    </w:p>
    <w:p w14:paraId="2BF59F0B" w14:textId="77777777" w:rsidR="000D07EA" w:rsidRDefault="00BE7C89">
      <w:pPr>
        <w:pStyle w:val="BodyText"/>
        <w:ind w:left="720"/>
      </w:pPr>
      <w:r>
        <w:t xml:space="preserve">The 'yes' Business </w:t>
      </w:r>
      <w:r>
        <w:rPr>
          <w:i/>
        </w:rPr>
        <w:t>pricing plans</w:t>
      </w:r>
      <w:r>
        <w:t xml:space="preserve"> are only available under special offers.</w:t>
      </w:r>
    </w:p>
    <w:p w14:paraId="08E344F0" w14:textId="77777777" w:rsidR="000D07EA" w:rsidRDefault="00BE7C89">
      <w:pPr>
        <w:pStyle w:val="Heading6"/>
        <w:ind w:left="0" w:firstLine="0"/>
      </w:pPr>
      <w:r>
        <w:t xml:space="preserve">Is it a </w:t>
      </w:r>
      <w:r>
        <w:rPr>
          <w:i/>
        </w:rPr>
        <w:t>fixed length agreement</w:t>
      </w:r>
      <w:r>
        <w:t>?</w:t>
      </w:r>
    </w:p>
    <w:p w14:paraId="11D859CC" w14:textId="77777777" w:rsidR="000D07EA" w:rsidRDefault="00BE7C89">
      <w:pPr>
        <w:pStyle w:val="BodyText"/>
        <w:ind w:left="720"/>
      </w:pPr>
      <w:r>
        <w:t xml:space="preserve">To connect to the 'yes' Business &amp; Advance 'yes' Business Plans </w:t>
      </w:r>
      <w:r>
        <w:rPr>
          <w:i/>
        </w:rPr>
        <w:t>you</w:t>
      </w:r>
      <w:r>
        <w:t xml:space="preserve"> must agree to enter into a </w:t>
      </w:r>
      <w:r>
        <w:rPr>
          <w:i/>
        </w:rPr>
        <w:t>fixed length agreement</w:t>
      </w:r>
      <w:r>
        <w:t xml:space="preserve"> for a </w:t>
      </w:r>
      <w:r>
        <w:rPr>
          <w:i/>
        </w:rPr>
        <w:t>minimum term</w:t>
      </w:r>
      <w:r>
        <w:t xml:space="preserve"> as specified below or such other term as </w:t>
      </w:r>
      <w:r>
        <w:rPr>
          <w:i/>
        </w:rPr>
        <w:t>you</w:t>
      </w:r>
      <w:r>
        <w:t xml:space="preserve"> and </w:t>
      </w:r>
      <w:r>
        <w:rPr>
          <w:i/>
        </w:rPr>
        <w:t>we</w:t>
      </w:r>
      <w:r>
        <w:t xml:space="preserve"> agree.</w:t>
      </w:r>
    </w:p>
    <w:p w14:paraId="33F999D6" w14:textId="77777777" w:rsidR="000D07EA" w:rsidRDefault="00BE7C89">
      <w:pPr>
        <w:pStyle w:val="Heading6"/>
        <w:ind w:left="0" w:firstLine="0"/>
      </w:pPr>
      <w:r>
        <w:t xml:space="preserve">What happens if the </w:t>
      </w:r>
      <w:r>
        <w:rPr>
          <w:i/>
        </w:rPr>
        <w:t>service</w:t>
      </w:r>
      <w:r>
        <w:t xml:space="preserve"> is </w:t>
      </w:r>
      <w:r>
        <w:rPr>
          <w:i/>
        </w:rPr>
        <w:t>cancelled</w:t>
      </w:r>
      <w:r>
        <w:t xml:space="preserve"> early?</w:t>
      </w:r>
    </w:p>
    <w:p w14:paraId="098F7F76" w14:textId="77777777" w:rsidR="000D07EA" w:rsidRDefault="00BE7C89">
      <w:pPr>
        <w:pStyle w:val="Heading7"/>
      </w:pPr>
      <w:bookmarkStart w:id="62" w:name="_Ref461542238"/>
      <w:r>
        <w:t xml:space="preserve">If </w:t>
      </w:r>
      <w:r>
        <w:rPr>
          <w:i/>
        </w:rPr>
        <w:t>the service is cancelled</w:t>
      </w:r>
      <w:r>
        <w:t xml:space="preserve"> before the expiry of the </w:t>
      </w:r>
      <w:r>
        <w:rPr>
          <w:i/>
        </w:rPr>
        <w:t>minimum term</w:t>
      </w:r>
      <w:r>
        <w:t xml:space="preserve">, </w:t>
      </w:r>
      <w:r>
        <w:rPr>
          <w:i/>
        </w:rPr>
        <w:t>you</w:t>
      </w:r>
      <w:r>
        <w:t xml:space="preserve"> will be required to pay </w:t>
      </w:r>
      <w:r>
        <w:rPr>
          <w:i/>
        </w:rPr>
        <w:t>us</w:t>
      </w:r>
      <w:r>
        <w:t>:</w:t>
      </w:r>
      <w:bookmarkEnd w:id="62"/>
    </w:p>
    <w:p w14:paraId="611987BD" w14:textId="77777777" w:rsidR="000D07EA" w:rsidRDefault="00BE7C89">
      <w:pPr>
        <w:pStyle w:val="Heading8"/>
        <w:rPr>
          <w:szCs w:val="20"/>
        </w:rPr>
      </w:pPr>
      <w:r>
        <w:rPr>
          <w:szCs w:val="20"/>
        </w:rPr>
        <w:t xml:space="preserve">any usage charges incurred up to, and including, the </w:t>
      </w:r>
      <w:r>
        <w:rPr>
          <w:i/>
          <w:szCs w:val="20"/>
        </w:rPr>
        <w:t>cancellation date</w:t>
      </w:r>
      <w:r>
        <w:rPr>
          <w:szCs w:val="20"/>
        </w:rPr>
        <w:t>; plus</w:t>
      </w:r>
    </w:p>
    <w:p w14:paraId="2B794E81" w14:textId="77777777" w:rsidR="000D07EA" w:rsidRDefault="00BE7C89">
      <w:pPr>
        <w:pStyle w:val="Heading8"/>
        <w:rPr>
          <w:szCs w:val="20"/>
        </w:rPr>
      </w:pPr>
      <w:r>
        <w:rPr>
          <w:szCs w:val="20"/>
        </w:rPr>
        <w:t xml:space="preserve">the </w:t>
      </w:r>
      <w:r>
        <w:rPr>
          <w:i/>
          <w:szCs w:val="20"/>
        </w:rPr>
        <w:t>cancellation fee</w:t>
      </w:r>
      <w:r>
        <w:rPr>
          <w:szCs w:val="20"/>
        </w:rPr>
        <w:t xml:space="preserve"> calculated in accordance with paragraph </w:t>
      </w:r>
      <w:r>
        <w:rPr>
          <w:szCs w:val="20"/>
        </w:rPr>
        <w:fldChar w:fldCharType="begin"/>
      </w:r>
      <w:r>
        <w:rPr>
          <w:szCs w:val="20"/>
        </w:rPr>
        <w:instrText xml:space="preserve"> REF _Ref461542236 \n \h </w:instrText>
      </w:r>
      <w:r>
        <w:rPr>
          <w:szCs w:val="20"/>
        </w:rPr>
      </w:r>
      <w:r>
        <w:rPr>
          <w:szCs w:val="20"/>
        </w:rPr>
        <w:fldChar w:fldCharType="separate"/>
      </w:r>
      <w:r w:rsidR="0004083A">
        <w:rPr>
          <w:szCs w:val="20"/>
        </w:rPr>
        <w:t>(b)</w:t>
      </w:r>
      <w:r>
        <w:rPr>
          <w:szCs w:val="20"/>
        </w:rPr>
        <w:fldChar w:fldCharType="end"/>
      </w:r>
      <w:r>
        <w:rPr>
          <w:szCs w:val="20"/>
        </w:rPr>
        <w:t xml:space="preserve"> below (unless under clause 2A of the </w:t>
      </w:r>
      <w:hyperlink r:id="rId29" w:history="1">
        <w:r>
          <w:rPr>
            <w:rStyle w:val="Hyperlink"/>
            <w:i/>
            <w:szCs w:val="20"/>
          </w:rPr>
          <w:t>SMB terms</w:t>
        </w:r>
      </w:hyperlink>
      <w:r>
        <w:rPr>
          <w:szCs w:val="20"/>
        </w:rPr>
        <w:t xml:space="preserve">, you are entitled to </w:t>
      </w:r>
      <w:r>
        <w:rPr>
          <w:i/>
          <w:szCs w:val="20"/>
        </w:rPr>
        <w:t>cancel the service</w:t>
      </w:r>
      <w:r>
        <w:rPr>
          <w:szCs w:val="20"/>
        </w:rPr>
        <w:t xml:space="preserve"> without incurring a </w:t>
      </w:r>
      <w:r>
        <w:rPr>
          <w:i/>
          <w:szCs w:val="20"/>
        </w:rPr>
        <w:t>cancellation fee</w:t>
      </w:r>
      <w:r>
        <w:rPr>
          <w:szCs w:val="20"/>
        </w:rPr>
        <w:t>); plus</w:t>
      </w:r>
    </w:p>
    <w:p w14:paraId="67C57377" w14:textId="77777777" w:rsidR="000D07EA" w:rsidRDefault="00BE7C89">
      <w:pPr>
        <w:pStyle w:val="Heading8"/>
        <w:rPr>
          <w:szCs w:val="20"/>
        </w:rPr>
      </w:pPr>
      <w:r>
        <w:rPr>
          <w:szCs w:val="20"/>
        </w:rPr>
        <w:t xml:space="preserve">the sum of unpaid </w:t>
      </w:r>
      <w:r>
        <w:rPr>
          <w:i/>
          <w:szCs w:val="20"/>
        </w:rPr>
        <w:t>equipment charges</w:t>
      </w:r>
      <w:r>
        <w:rPr>
          <w:szCs w:val="20"/>
        </w:rPr>
        <w:t xml:space="preserve"> owing on </w:t>
      </w:r>
      <w:r>
        <w:rPr>
          <w:i/>
          <w:szCs w:val="20"/>
        </w:rPr>
        <w:t>your mobile phone</w:t>
      </w:r>
      <w:r>
        <w:rPr>
          <w:szCs w:val="20"/>
        </w:rPr>
        <w:t xml:space="preserve"> under the </w:t>
      </w:r>
      <w:r>
        <w:rPr>
          <w:i/>
          <w:szCs w:val="20"/>
        </w:rPr>
        <w:t>mobile equipment payment plan</w:t>
      </w:r>
      <w:r>
        <w:rPr>
          <w:szCs w:val="20"/>
        </w:rPr>
        <w:t xml:space="preserve"> (if any).</w:t>
      </w:r>
    </w:p>
    <w:p w14:paraId="1CEB9CCF" w14:textId="77777777" w:rsidR="000D07EA" w:rsidRDefault="00BE7C89">
      <w:pPr>
        <w:pStyle w:val="Heading7"/>
      </w:pPr>
      <w:bookmarkStart w:id="63" w:name="_Ref461542236"/>
      <w:r>
        <w:t xml:space="preserve">The </w:t>
      </w:r>
      <w:r>
        <w:rPr>
          <w:i/>
        </w:rPr>
        <w:t>cancellation fee</w:t>
      </w:r>
      <w:r>
        <w:t xml:space="preserve"> payable under paragraph </w:t>
      </w:r>
      <w:r>
        <w:rPr>
          <w:szCs w:val="20"/>
        </w:rPr>
        <w:fldChar w:fldCharType="begin"/>
      </w:r>
      <w:r>
        <w:rPr>
          <w:szCs w:val="20"/>
        </w:rPr>
        <w:instrText xml:space="preserve"> REF _Ref461542238 \n \h </w:instrText>
      </w:r>
      <w:r>
        <w:rPr>
          <w:szCs w:val="20"/>
        </w:rPr>
      </w:r>
      <w:r>
        <w:rPr>
          <w:szCs w:val="20"/>
        </w:rPr>
        <w:fldChar w:fldCharType="separate"/>
      </w:r>
      <w:r w:rsidR="0004083A">
        <w:rPr>
          <w:szCs w:val="20"/>
        </w:rPr>
        <w:t>(a)</w:t>
      </w:r>
      <w:r>
        <w:rPr>
          <w:szCs w:val="20"/>
        </w:rPr>
        <w:fldChar w:fldCharType="end"/>
      </w:r>
      <w:r>
        <w:t xml:space="preserve"> if any is calculated by multiplying the number of months remaining of the </w:t>
      </w:r>
      <w:r>
        <w:rPr>
          <w:i/>
        </w:rPr>
        <w:t>minimum term</w:t>
      </w:r>
      <w:r>
        <w:t xml:space="preserve"> by the monthly </w:t>
      </w:r>
      <w:r>
        <w:rPr>
          <w:i/>
        </w:rPr>
        <w:t>access fee</w:t>
      </w:r>
      <w:r>
        <w:t xml:space="preserve"> for the relevant </w:t>
      </w:r>
      <w:r>
        <w:rPr>
          <w:i/>
        </w:rPr>
        <w:t>pricing plan</w:t>
      </w:r>
      <w:r>
        <w:t xml:space="preserve"> or other amount as </w:t>
      </w:r>
      <w:r>
        <w:rPr>
          <w:i/>
        </w:rPr>
        <w:t>you</w:t>
      </w:r>
      <w:r>
        <w:t xml:space="preserve"> and </w:t>
      </w:r>
      <w:r>
        <w:rPr>
          <w:i/>
        </w:rPr>
        <w:t>we</w:t>
      </w:r>
      <w:r>
        <w:t xml:space="preserve"> agree.</w:t>
      </w:r>
      <w:bookmarkEnd w:id="63"/>
    </w:p>
    <w:p w14:paraId="15EB7F5A" w14:textId="77777777" w:rsidR="000D07EA" w:rsidRDefault="00BE7C89">
      <w:pPr>
        <w:pStyle w:val="Heading6"/>
        <w:ind w:left="0" w:firstLine="0"/>
      </w:pPr>
      <w:r>
        <w:t>Pricing</w:t>
      </w:r>
    </w:p>
    <w:p w14:paraId="0681647C" w14:textId="77777777" w:rsidR="000D07EA" w:rsidRDefault="00BE7C89">
      <w:pPr>
        <w:pStyle w:val="Heading7"/>
      </w:pPr>
      <w:r>
        <w:t xml:space="preserve">The 'yes' Business </w:t>
      </w:r>
      <w:r>
        <w:rPr>
          <w:i/>
        </w:rPr>
        <w:t>pricing plans</w:t>
      </w:r>
      <w:r>
        <w:t xml:space="preserve"> include a </w:t>
      </w:r>
      <w:r>
        <w:rPr>
          <w:i/>
        </w:rPr>
        <w:t>flagfall</w:t>
      </w:r>
      <w:r>
        <w:t xml:space="preserve"> per call, as specified in the table below, for </w:t>
      </w:r>
      <w:r>
        <w:rPr>
          <w:i/>
        </w:rPr>
        <w:t>local calls</w:t>
      </w:r>
      <w:r>
        <w:t xml:space="preserve"> and </w:t>
      </w:r>
      <w:r>
        <w:rPr>
          <w:i/>
        </w:rPr>
        <w:t>national long distance calls</w:t>
      </w:r>
      <w:r>
        <w:t xml:space="preserve"> and calls to </w:t>
      </w:r>
      <w:r>
        <w:rPr>
          <w:i/>
        </w:rPr>
        <w:t>mobile phones</w:t>
      </w:r>
      <w:r>
        <w:t xml:space="preserve">. So the charge for these calls is the </w:t>
      </w:r>
      <w:r>
        <w:rPr>
          <w:i/>
        </w:rPr>
        <w:t>flagfall</w:t>
      </w:r>
      <w:r>
        <w:t xml:space="preserve"> plus the relevant rate multiplied by the duration of the call. The </w:t>
      </w:r>
      <w:r>
        <w:rPr>
          <w:i/>
        </w:rPr>
        <w:t>flagfall</w:t>
      </w:r>
      <w:r>
        <w:t xml:space="preserve"> is not applicable to calls made under the 'yes' Time </w:t>
      </w:r>
      <w:r>
        <w:rPr>
          <w:i/>
        </w:rPr>
        <w:t>special</w:t>
      </w:r>
      <w:r>
        <w:t xml:space="preserve"> promotions or 'yes' Business call rate.</w:t>
      </w:r>
    </w:p>
    <w:p w14:paraId="2CF892C9" w14:textId="77777777" w:rsidR="000D07EA" w:rsidRDefault="00BE7C89">
      <w:pPr>
        <w:pStyle w:val="Heading7"/>
      </w:pPr>
      <w:r>
        <w:t xml:space="preserve">These </w:t>
      </w:r>
      <w:r>
        <w:rPr>
          <w:i/>
        </w:rPr>
        <w:t>pricing plans</w:t>
      </w:r>
      <w:r>
        <w:t xml:space="preserve"> include a component of included voice calls upon payment of the monthly </w:t>
      </w:r>
      <w:r>
        <w:rPr>
          <w:i/>
        </w:rPr>
        <w:t>access fee</w:t>
      </w:r>
      <w:r>
        <w:t xml:space="preserve"> as specified in the table below.</w:t>
      </w:r>
    </w:p>
    <w:p w14:paraId="5723E32A" w14:textId="77777777" w:rsidR="000D07EA" w:rsidRDefault="00BE7C89">
      <w:pPr>
        <w:pStyle w:val="Heading7"/>
      </w:pPr>
      <w:r>
        <w:t xml:space="preserve">Unless specified otherwise, the charging periods for these </w:t>
      </w:r>
      <w:r>
        <w:rPr>
          <w:i/>
        </w:rPr>
        <w:t>pricing plans</w:t>
      </w:r>
      <w:r>
        <w:t xml:space="preserve"> are:</w:t>
      </w:r>
    </w:p>
    <w:p w14:paraId="16CE9A4D" w14:textId="77777777" w:rsidR="000D07EA" w:rsidRDefault="00BE7C89">
      <w:pPr>
        <w:pStyle w:val="Heading8"/>
      </w:pPr>
      <w:r>
        <w:t>Peak: 7am – 7pm Monday to Friday</w:t>
      </w:r>
    </w:p>
    <w:p w14:paraId="0F023FDC" w14:textId="77777777" w:rsidR="000D07EA" w:rsidRDefault="00BE7C89">
      <w:pPr>
        <w:pStyle w:val="Heading8"/>
      </w:pPr>
      <w:r>
        <w:t>Off Peak: All other times</w:t>
      </w:r>
    </w:p>
    <w:p w14:paraId="6458A420" w14:textId="77777777" w:rsidR="000D07EA" w:rsidRDefault="00BE7C89">
      <w:pPr>
        <w:pStyle w:val="Heading7"/>
      </w:pPr>
      <w:r>
        <w:t xml:space="preserve">The yes' Business call rate applies to customers on the 'yes' Business </w:t>
      </w:r>
      <w:r>
        <w:rPr>
          <w:i/>
        </w:rPr>
        <w:t>pricing plans</w:t>
      </w:r>
      <w:r>
        <w:t xml:space="preserve">. Calls, commencing between 8am and 6pm Monday to Friday, from a </w:t>
      </w:r>
      <w:r>
        <w:rPr>
          <w:i/>
        </w:rPr>
        <w:t>mobile phone</w:t>
      </w:r>
      <w:r>
        <w:t xml:space="preserve"> connected to one of the 'yes' Business </w:t>
      </w:r>
      <w:r>
        <w:rPr>
          <w:i/>
        </w:rPr>
        <w:t>pricing plans</w:t>
      </w:r>
      <w:r>
        <w:t xml:space="preserve"> to another Optus </w:t>
      </w:r>
      <w:r>
        <w:rPr>
          <w:i/>
        </w:rPr>
        <w:t>mobile phone</w:t>
      </w:r>
      <w:r>
        <w:t xml:space="preserve"> will be charged $0.17 ($0.187) for the first 5 minutes or part thereof of the call. If the call is longer than 5 minutes </w:t>
      </w:r>
      <w:r>
        <w:rPr>
          <w:i/>
        </w:rPr>
        <w:t>you</w:t>
      </w:r>
      <w:r>
        <w:t xml:space="preserve"> will be charged $0.17 ($0.187) for the first 5 minutes plus the rate specified in the relevant </w:t>
      </w:r>
      <w:r>
        <w:rPr>
          <w:i/>
        </w:rPr>
        <w:t>pricing plan</w:t>
      </w:r>
      <w:r>
        <w:t xml:space="preserve"> for the remainder of the call.</w:t>
      </w:r>
    </w:p>
    <w:p w14:paraId="379D4B39" w14:textId="77777777" w:rsidR="000D07EA" w:rsidRDefault="00BE7C89">
      <w:pPr>
        <w:pStyle w:val="Heading7"/>
      </w:pPr>
      <w:r>
        <w:t xml:space="preserve">If </w:t>
      </w:r>
      <w:r>
        <w:rPr>
          <w:i/>
        </w:rPr>
        <w:t>you</w:t>
      </w:r>
      <w:r>
        <w:t xml:space="preserve"> are on a 'yes' Business </w:t>
      </w:r>
      <w:r>
        <w:rPr>
          <w:i/>
        </w:rPr>
        <w:t>pricing plan you</w:t>
      </w:r>
      <w:r>
        <w:t xml:space="preserve"> are ineligible for the 'yes' Weekend </w:t>
      </w:r>
      <w:r>
        <w:rPr>
          <w:i/>
        </w:rPr>
        <w:t>special</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718"/>
        <w:gridCol w:w="1099"/>
        <w:gridCol w:w="1099"/>
        <w:gridCol w:w="1100"/>
        <w:gridCol w:w="1099"/>
        <w:gridCol w:w="1100"/>
        <w:gridCol w:w="1099"/>
        <w:gridCol w:w="1100"/>
      </w:tblGrid>
      <w:tr w:rsidR="000D07EA" w14:paraId="5DAC8E65" w14:textId="77777777">
        <w:tc>
          <w:tcPr>
            <w:tcW w:w="10414" w:type="dxa"/>
            <w:gridSpan w:val="8"/>
            <w:shd w:val="clear" w:color="auto" w:fill="auto"/>
          </w:tcPr>
          <w:p w14:paraId="285B9D41" w14:textId="77777777" w:rsidR="000D07EA" w:rsidRDefault="00BE7C89">
            <w:pPr>
              <w:pStyle w:val="BodyText"/>
              <w:spacing w:before="100" w:after="100"/>
              <w:jc w:val="center"/>
              <w:rPr>
                <w:b/>
              </w:rPr>
            </w:pPr>
            <w:r>
              <w:rPr>
                <w:b/>
              </w:rPr>
              <w:t xml:space="preserve">'yes' Business &amp; Advance 'yes' Business </w:t>
            </w:r>
            <w:r>
              <w:rPr>
                <w:b/>
                <w:i/>
              </w:rPr>
              <w:t>pricing plans</w:t>
            </w:r>
          </w:p>
        </w:tc>
      </w:tr>
      <w:tr w:rsidR="000D07EA" w14:paraId="07C2B1E0" w14:textId="77777777">
        <w:tc>
          <w:tcPr>
            <w:tcW w:w="2718" w:type="dxa"/>
            <w:tcBorders>
              <w:bottom w:val="single" w:sz="4" w:space="0" w:color="auto"/>
            </w:tcBorders>
            <w:shd w:val="clear" w:color="auto" w:fill="auto"/>
          </w:tcPr>
          <w:p w14:paraId="3FDF92FB" w14:textId="77777777" w:rsidR="000D07EA" w:rsidRDefault="00BE7C89">
            <w:pPr>
              <w:pStyle w:val="BodyText"/>
              <w:spacing w:before="100" w:after="100"/>
              <w:jc w:val="center"/>
              <w:rPr>
                <w:b/>
              </w:rPr>
            </w:pPr>
            <w:r>
              <w:rPr>
                <w:b/>
              </w:rPr>
              <w:t>Charge Type</w:t>
            </w:r>
          </w:p>
        </w:tc>
        <w:tc>
          <w:tcPr>
            <w:tcW w:w="1099" w:type="dxa"/>
            <w:tcBorders>
              <w:bottom w:val="single" w:sz="4" w:space="0" w:color="auto"/>
            </w:tcBorders>
            <w:shd w:val="clear" w:color="auto" w:fill="auto"/>
          </w:tcPr>
          <w:p w14:paraId="7F167C4C" w14:textId="77777777" w:rsidR="000D07EA" w:rsidRDefault="00BE7C89">
            <w:pPr>
              <w:pStyle w:val="BodyText"/>
              <w:spacing w:before="100" w:after="100"/>
              <w:ind w:left="-108" w:right="-89"/>
              <w:jc w:val="center"/>
              <w:rPr>
                <w:b/>
              </w:rPr>
            </w:pPr>
            <w:r>
              <w:rPr>
                <w:b/>
              </w:rPr>
              <w:t>'yes' Business 10 Plan</w:t>
            </w:r>
          </w:p>
        </w:tc>
        <w:tc>
          <w:tcPr>
            <w:tcW w:w="1099" w:type="dxa"/>
            <w:tcBorders>
              <w:bottom w:val="single" w:sz="4" w:space="0" w:color="auto"/>
            </w:tcBorders>
            <w:shd w:val="clear" w:color="auto" w:fill="auto"/>
          </w:tcPr>
          <w:p w14:paraId="1CAB7D00" w14:textId="77777777" w:rsidR="000D07EA" w:rsidRDefault="00BE7C89">
            <w:pPr>
              <w:pStyle w:val="BodyText"/>
              <w:spacing w:before="100" w:after="100"/>
              <w:ind w:left="-108" w:right="-89"/>
              <w:jc w:val="center"/>
              <w:rPr>
                <w:b/>
              </w:rPr>
            </w:pPr>
            <w:r>
              <w:rPr>
                <w:b/>
              </w:rPr>
              <w:t>'yes' Business 35 Plan</w:t>
            </w:r>
          </w:p>
        </w:tc>
        <w:tc>
          <w:tcPr>
            <w:tcW w:w="1100" w:type="dxa"/>
            <w:tcBorders>
              <w:bottom w:val="single" w:sz="4" w:space="0" w:color="auto"/>
            </w:tcBorders>
            <w:shd w:val="clear" w:color="auto" w:fill="auto"/>
          </w:tcPr>
          <w:p w14:paraId="79E7398B" w14:textId="77777777" w:rsidR="000D07EA" w:rsidRDefault="00BE7C89">
            <w:pPr>
              <w:pStyle w:val="BodyText"/>
              <w:spacing w:before="100" w:after="100"/>
              <w:ind w:left="-108" w:right="-89"/>
              <w:jc w:val="center"/>
              <w:rPr>
                <w:b/>
              </w:rPr>
            </w:pPr>
            <w:r>
              <w:rPr>
                <w:b/>
              </w:rPr>
              <w:t>'yes' Business 60 Plan</w:t>
            </w:r>
          </w:p>
        </w:tc>
        <w:tc>
          <w:tcPr>
            <w:tcW w:w="1099" w:type="dxa"/>
            <w:tcBorders>
              <w:bottom w:val="single" w:sz="4" w:space="0" w:color="auto"/>
            </w:tcBorders>
            <w:shd w:val="clear" w:color="auto" w:fill="auto"/>
          </w:tcPr>
          <w:p w14:paraId="369793D1" w14:textId="77777777" w:rsidR="000D07EA" w:rsidRDefault="00BE7C89">
            <w:pPr>
              <w:pStyle w:val="BodyText"/>
              <w:spacing w:before="100" w:after="100"/>
              <w:ind w:left="-108" w:right="-89"/>
              <w:jc w:val="center"/>
              <w:rPr>
                <w:b/>
              </w:rPr>
            </w:pPr>
            <w:r>
              <w:rPr>
                <w:b/>
              </w:rPr>
              <w:t>'yes' Business 75 Plan</w:t>
            </w:r>
          </w:p>
        </w:tc>
        <w:tc>
          <w:tcPr>
            <w:tcW w:w="1100" w:type="dxa"/>
            <w:tcBorders>
              <w:bottom w:val="single" w:sz="4" w:space="0" w:color="auto"/>
            </w:tcBorders>
            <w:shd w:val="clear" w:color="auto" w:fill="auto"/>
          </w:tcPr>
          <w:p w14:paraId="700E7863" w14:textId="77777777" w:rsidR="000D07EA" w:rsidRDefault="00BE7C89">
            <w:pPr>
              <w:pStyle w:val="BodyText"/>
              <w:spacing w:before="100" w:after="100"/>
              <w:ind w:left="-108" w:right="-89"/>
              <w:jc w:val="center"/>
              <w:rPr>
                <w:b/>
              </w:rPr>
            </w:pPr>
            <w:r>
              <w:rPr>
                <w:b/>
              </w:rPr>
              <w:t>'yes' Business 100 Plan</w:t>
            </w:r>
          </w:p>
        </w:tc>
        <w:tc>
          <w:tcPr>
            <w:tcW w:w="1099" w:type="dxa"/>
            <w:tcBorders>
              <w:bottom w:val="single" w:sz="4" w:space="0" w:color="auto"/>
            </w:tcBorders>
            <w:shd w:val="clear" w:color="auto" w:fill="auto"/>
          </w:tcPr>
          <w:p w14:paraId="762D6865" w14:textId="77777777" w:rsidR="000D07EA" w:rsidRDefault="00BE7C89">
            <w:pPr>
              <w:pStyle w:val="BodyText"/>
              <w:spacing w:before="100" w:after="100"/>
              <w:ind w:left="-108" w:right="-89"/>
              <w:jc w:val="center"/>
              <w:rPr>
                <w:b/>
              </w:rPr>
            </w:pPr>
            <w:r>
              <w:rPr>
                <w:b/>
              </w:rPr>
              <w:t>'yes' Business 150 Plan</w:t>
            </w:r>
          </w:p>
        </w:tc>
        <w:tc>
          <w:tcPr>
            <w:tcW w:w="1100" w:type="dxa"/>
            <w:tcBorders>
              <w:bottom w:val="single" w:sz="4" w:space="0" w:color="auto"/>
            </w:tcBorders>
            <w:shd w:val="clear" w:color="auto" w:fill="auto"/>
          </w:tcPr>
          <w:p w14:paraId="470AE367" w14:textId="77777777" w:rsidR="000D07EA" w:rsidRDefault="00BE7C89">
            <w:pPr>
              <w:pStyle w:val="BodyText"/>
              <w:spacing w:before="100" w:after="100"/>
              <w:ind w:left="-108" w:right="-89"/>
              <w:jc w:val="center"/>
              <w:rPr>
                <w:b/>
              </w:rPr>
            </w:pPr>
            <w:r>
              <w:rPr>
                <w:b/>
              </w:rPr>
              <w:t>'yes' Business 250 Plan</w:t>
            </w:r>
          </w:p>
        </w:tc>
      </w:tr>
      <w:tr w:rsidR="000D07EA" w14:paraId="5BDA09B2" w14:textId="77777777">
        <w:tc>
          <w:tcPr>
            <w:tcW w:w="2718" w:type="dxa"/>
            <w:tcBorders>
              <w:bottom w:val="nil"/>
            </w:tcBorders>
            <w:shd w:val="clear" w:color="auto" w:fill="auto"/>
          </w:tcPr>
          <w:p w14:paraId="532E8E7A" w14:textId="77777777" w:rsidR="000D07EA" w:rsidRDefault="00BE7C89">
            <w:pPr>
              <w:pStyle w:val="BodyText"/>
              <w:spacing w:before="100" w:after="100"/>
              <w:rPr>
                <w:b/>
              </w:rPr>
            </w:pPr>
            <w:r>
              <w:rPr>
                <w:b/>
              </w:rPr>
              <w:t xml:space="preserve">Monthly </w:t>
            </w:r>
            <w:r>
              <w:rPr>
                <w:b/>
                <w:i/>
              </w:rPr>
              <w:t>access fee</w:t>
            </w:r>
          </w:p>
        </w:tc>
        <w:tc>
          <w:tcPr>
            <w:tcW w:w="1099" w:type="dxa"/>
            <w:tcBorders>
              <w:bottom w:val="nil"/>
            </w:tcBorders>
            <w:shd w:val="clear" w:color="auto" w:fill="auto"/>
          </w:tcPr>
          <w:p w14:paraId="3C1CCFB0" w14:textId="77777777" w:rsidR="000D07EA" w:rsidRDefault="00BE7C89">
            <w:pPr>
              <w:pStyle w:val="BodyText"/>
              <w:spacing w:before="100" w:after="100"/>
              <w:ind w:left="-108" w:right="-89"/>
              <w:jc w:val="center"/>
            </w:pPr>
            <w:r>
              <w:t>$10</w:t>
            </w:r>
            <w:r>
              <w:br/>
              <w:t>($11)</w:t>
            </w:r>
          </w:p>
        </w:tc>
        <w:tc>
          <w:tcPr>
            <w:tcW w:w="1099" w:type="dxa"/>
            <w:tcBorders>
              <w:bottom w:val="nil"/>
            </w:tcBorders>
            <w:shd w:val="clear" w:color="auto" w:fill="auto"/>
          </w:tcPr>
          <w:p w14:paraId="385865F5" w14:textId="77777777" w:rsidR="000D07EA" w:rsidRDefault="00BE7C89">
            <w:pPr>
              <w:pStyle w:val="BodyText"/>
              <w:spacing w:before="100" w:after="100"/>
              <w:ind w:left="-108" w:right="-89"/>
              <w:jc w:val="center"/>
            </w:pPr>
            <w:r>
              <w:t>$35</w:t>
            </w:r>
            <w:r>
              <w:br/>
              <w:t>($38.50)</w:t>
            </w:r>
          </w:p>
        </w:tc>
        <w:tc>
          <w:tcPr>
            <w:tcW w:w="1100" w:type="dxa"/>
            <w:tcBorders>
              <w:bottom w:val="nil"/>
            </w:tcBorders>
            <w:shd w:val="clear" w:color="auto" w:fill="auto"/>
          </w:tcPr>
          <w:p w14:paraId="324C4BBC" w14:textId="77777777" w:rsidR="000D07EA" w:rsidRDefault="00BE7C89">
            <w:pPr>
              <w:pStyle w:val="BodyText"/>
              <w:spacing w:before="100" w:after="100"/>
              <w:ind w:left="-108" w:right="-89"/>
              <w:jc w:val="center"/>
            </w:pPr>
            <w:r>
              <w:t>$60</w:t>
            </w:r>
            <w:r>
              <w:br/>
              <w:t>($66)</w:t>
            </w:r>
          </w:p>
        </w:tc>
        <w:tc>
          <w:tcPr>
            <w:tcW w:w="1099" w:type="dxa"/>
            <w:tcBorders>
              <w:bottom w:val="nil"/>
            </w:tcBorders>
            <w:shd w:val="clear" w:color="auto" w:fill="auto"/>
          </w:tcPr>
          <w:p w14:paraId="34023C12" w14:textId="77777777" w:rsidR="000D07EA" w:rsidRDefault="00BE7C89">
            <w:pPr>
              <w:pStyle w:val="BodyText"/>
              <w:spacing w:before="100" w:after="100"/>
              <w:ind w:left="-108" w:right="-89"/>
              <w:jc w:val="center"/>
            </w:pPr>
            <w:r>
              <w:t>$75</w:t>
            </w:r>
            <w:r>
              <w:br/>
              <w:t>($82.50)</w:t>
            </w:r>
          </w:p>
        </w:tc>
        <w:tc>
          <w:tcPr>
            <w:tcW w:w="1100" w:type="dxa"/>
            <w:tcBorders>
              <w:bottom w:val="nil"/>
            </w:tcBorders>
            <w:shd w:val="clear" w:color="auto" w:fill="auto"/>
          </w:tcPr>
          <w:p w14:paraId="54C75109" w14:textId="77777777" w:rsidR="000D07EA" w:rsidRDefault="00BE7C89">
            <w:pPr>
              <w:pStyle w:val="BodyText"/>
              <w:spacing w:before="100" w:after="100"/>
              <w:ind w:left="-108" w:right="-89"/>
              <w:jc w:val="center"/>
            </w:pPr>
            <w:r>
              <w:t>$100</w:t>
            </w:r>
            <w:r>
              <w:br/>
              <w:t>($110)</w:t>
            </w:r>
          </w:p>
        </w:tc>
        <w:tc>
          <w:tcPr>
            <w:tcW w:w="1099" w:type="dxa"/>
            <w:tcBorders>
              <w:bottom w:val="nil"/>
            </w:tcBorders>
            <w:shd w:val="clear" w:color="auto" w:fill="auto"/>
          </w:tcPr>
          <w:p w14:paraId="7D7C9F95" w14:textId="77777777" w:rsidR="000D07EA" w:rsidRDefault="00BE7C89">
            <w:pPr>
              <w:pStyle w:val="BodyText"/>
              <w:spacing w:before="100" w:after="100"/>
              <w:ind w:left="-108" w:right="-89"/>
              <w:jc w:val="center"/>
            </w:pPr>
            <w:r>
              <w:t>$150</w:t>
            </w:r>
            <w:r>
              <w:br/>
              <w:t>($165)</w:t>
            </w:r>
          </w:p>
        </w:tc>
        <w:tc>
          <w:tcPr>
            <w:tcW w:w="1100" w:type="dxa"/>
            <w:tcBorders>
              <w:bottom w:val="nil"/>
            </w:tcBorders>
            <w:shd w:val="clear" w:color="auto" w:fill="auto"/>
          </w:tcPr>
          <w:p w14:paraId="310304C0" w14:textId="77777777" w:rsidR="000D07EA" w:rsidRDefault="00BE7C89">
            <w:pPr>
              <w:pStyle w:val="BodyText"/>
              <w:spacing w:before="100" w:after="100"/>
              <w:ind w:left="-108" w:right="-89"/>
              <w:jc w:val="center"/>
            </w:pPr>
            <w:r>
              <w:t>$250</w:t>
            </w:r>
            <w:r>
              <w:br/>
              <w:t>($275)</w:t>
            </w:r>
          </w:p>
        </w:tc>
      </w:tr>
      <w:tr w:rsidR="000D07EA" w14:paraId="65BD952B" w14:textId="77777777">
        <w:tc>
          <w:tcPr>
            <w:tcW w:w="2718" w:type="dxa"/>
            <w:tcBorders>
              <w:top w:val="nil"/>
              <w:bottom w:val="nil"/>
            </w:tcBorders>
            <w:shd w:val="clear" w:color="auto" w:fill="auto"/>
          </w:tcPr>
          <w:p w14:paraId="56B2EA99" w14:textId="77777777" w:rsidR="000D07EA" w:rsidRDefault="00BE7C89">
            <w:pPr>
              <w:pStyle w:val="BodyText"/>
              <w:spacing w:before="100" w:after="100"/>
            </w:pPr>
            <w:r>
              <w:rPr>
                <w:b/>
              </w:rPr>
              <w:t>Call Charges</w:t>
            </w:r>
            <w:r>
              <w:t xml:space="preserve"> (per 30 seconds)</w:t>
            </w:r>
          </w:p>
          <w:p w14:paraId="28DECFDE" w14:textId="77777777" w:rsidR="000D07EA" w:rsidRDefault="00BE7C89">
            <w:pPr>
              <w:pStyle w:val="BodyText"/>
              <w:spacing w:before="100" w:after="100"/>
              <w:ind w:left="180"/>
              <w:rPr>
                <w:b/>
              </w:rPr>
            </w:pPr>
            <w:r>
              <w:rPr>
                <w:b/>
              </w:rPr>
              <w:lastRenderedPageBreak/>
              <w:t>Peak and Off Peak</w:t>
            </w:r>
          </w:p>
          <w:p w14:paraId="06D93ACA" w14:textId="77777777" w:rsidR="000D07EA" w:rsidRDefault="00BE7C89">
            <w:pPr>
              <w:pStyle w:val="BodyText"/>
              <w:spacing w:before="100" w:after="100"/>
              <w:ind w:left="360"/>
              <w:rPr>
                <w:i/>
              </w:rPr>
            </w:pPr>
            <w:r>
              <w:rPr>
                <w:i/>
              </w:rPr>
              <w:t>Local calls &amp; National long distance calls</w:t>
            </w:r>
          </w:p>
          <w:p w14:paraId="56B10144" w14:textId="77777777" w:rsidR="000D07EA" w:rsidRDefault="00BE7C89">
            <w:pPr>
              <w:pStyle w:val="BodyText"/>
              <w:spacing w:before="100" w:after="100"/>
              <w:ind w:left="360"/>
            </w:pPr>
            <w:r>
              <w:rPr>
                <w:i/>
              </w:rPr>
              <w:t>To Optus GSM Network mobile phones</w:t>
            </w:r>
            <w:r>
              <w:t>*</w:t>
            </w:r>
          </w:p>
          <w:p w14:paraId="5F8A7C25" w14:textId="77777777" w:rsidR="000D07EA" w:rsidRDefault="00BE7C89">
            <w:pPr>
              <w:pStyle w:val="BodyText"/>
              <w:spacing w:before="100" w:after="100"/>
              <w:ind w:left="360"/>
              <w:rPr>
                <w:b/>
                <w:i/>
              </w:rPr>
            </w:pPr>
            <w:r>
              <w:rPr>
                <w:i/>
              </w:rPr>
              <w:t>To Other mobile phones</w:t>
            </w:r>
          </w:p>
        </w:tc>
        <w:tc>
          <w:tcPr>
            <w:tcW w:w="1099" w:type="dxa"/>
            <w:tcBorders>
              <w:top w:val="nil"/>
              <w:bottom w:val="nil"/>
            </w:tcBorders>
            <w:shd w:val="clear" w:color="auto" w:fill="auto"/>
          </w:tcPr>
          <w:p w14:paraId="5EC98D9A" w14:textId="77777777" w:rsidR="000D07EA" w:rsidRDefault="000D07EA">
            <w:pPr>
              <w:pStyle w:val="BodyText"/>
              <w:spacing w:before="100" w:after="100"/>
              <w:ind w:left="-108" w:right="-89"/>
              <w:jc w:val="center"/>
            </w:pPr>
          </w:p>
          <w:p w14:paraId="754A37F1" w14:textId="77777777" w:rsidR="000D07EA" w:rsidRDefault="000D07EA">
            <w:pPr>
              <w:pStyle w:val="BodyText"/>
              <w:spacing w:before="100" w:after="100"/>
              <w:ind w:left="-108" w:right="-89"/>
              <w:jc w:val="center"/>
            </w:pPr>
          </w:p>
          <w:p w14:paraId="3B510114" w14:textId="77777777" w:rsidR="000D07EA" w:rsidRDefault="00BE7C89">
            <w:pPr>
              <w:pStyle w:val="BodyText"/>
              <w:spacing w:before="100" w:after="100"/>
              <w:ind w:left="-108" w:right="-89"/>
              <w:jc w:val="center"/>
            </w:pPr>
            <w:r>
              <w:lastRenderedPageBreak/>
              <w:t>$0.17 ($0.187)</w:t>
            </w:r>
          </w:p>
          <w:p w14:paraId="2DA31EBA" w14:textId="77777777" w:rsidR="000D07EA" w:rsidRDefault="00BE7C89">
            <w:pPr>
              <w:pStyle w:val="BodyText"/>
              <w:spacing w:before="100" w:after="100"/>
              <w:ind w:left="-108" w:right="-89"/>
              <w:jc w:val="center"/>
            </w:pPr>
            <w:r>
              <w:t>"</w:t>
            </w:r>
          </w:p>
          <w:p w14:paraId="65DEA3D4" w14:textId="77777777" w:rsidR="000D07EA" w:rsidRDefault="000D07EA">
            <w:pPr>
              <w:pStyle w:val="BodyText"/>
              <w:spacing w:before="100" w:after="100"/>
              <w:ind w:left="-108" w:right="-89"/>
              <w:jc w:val="center"/>
            </w:pPr>
          </w:p>
          <w:p w14:paraId="293FE930" w14:textId="77777777" w:rsidR="000D07EA" w:rsidRDefault="00BE7C89">
            <w:pPr>
              <w:pStyle w:val="BodyText"/>
              <w:spacing w:before="100" w:after="100"/>
              <w:ind w:left="-108" w:right="-89"/>
              <w:jc w:val="center"/>
            </w:pPr>
            <w:r>
              <w:t>"</w:t>
            </w:r>
          </w:p>
        </w:tc>
        <w:tc>
          <w:tcPr>
            <w:tcW w:w="1099" w:type="dxa"/>
            <w:tcBorders>
              <w:top w:val="nil"/>
              <w:bottom w:val="nil"/>
            </w:tcBorders>
            <w:shd w:val="clear" w:color="auto" w:fill="auto"/>
          </w:tcPr>
          <w:p w14:paraId="13E1A2DE" w14:textId="77777777" w:rsidR="000D07EA" w:rsidRDefault="000D07EA">
            <w:pPr>
              <w:pStyle w:val="BodyText"/>
              <w:spacing w:before="100" w:after="100"/>
              <w:ind w:left="-108" w:right="-89"/>
              <w:jc w:val="center"/>
            </w:pPr>
          </w:p>
          <w:p w14:paraId="5231DC9D" w14:textId="77777777" w:rsidR="000D07EA" w:rsidRDefault="000D07EA">
            <w:pPr>
              <w:pStyle w:val="BodyText"/>
              <w:spacing w:before="100" w:after="100"/>
              <w:ind w:left="-108" w:right="-89"/>
              <w:jc w:val="center"/>
            </w:pPr>
          </w:p>
          <w:p w14:paraId="5DE95531" w14:textId="77777777" w:rsidR="000D07EA" w:rsidRDefault="00BE7C89">
            <w:pPr>
              <w:pStyle w:val="BodyText"/>
              <w:spacing w:before="100" w:after="100"/>
              <w:ind w:left="-108" w:right="-89"/>
              <w:jc w:val="center"/>
            </w:pPr>
            <w:r>
              <w:lastRenderedPageBreak/>
              <w:t>$0.17 ($0.187)</w:t>
            </w:r>
          </w:p>
          <w:p w14:paraId="5B7610B1" w14:textId="77777777" w:rsidR="000D07EA" w:rsidRDefault="00BE7C89">
            <w:pPr>
              <w:pStyle w:val="BodyText"/>
              <w:spacing w:before="100" w:after="100"/>
              <w:ind w:left="-108" w:right="-89"/>
              <w:jc w:val="center"/>
            </w:pPr>
            <w:r>
              <w:t>"</w:t>
            </w:r>
          </w:p>
          <w:p w14:paraId="5B6B329C" w14:textId="77777777" w:rsidR="000D07EA" w:rsidRDefault="000D07EA">
            <w:pPr>
              <w:pStyle w:val="BodyText"/>
              <w:spacing w:before="100" w:after="100"/>
              <w:ind w:left="-108" w:right="-89"/>
              <w:jc w:val="center"/>
            </w:pPr>
          </w:p>
          <w:p w14:paraId="3A81827C" w14:textId="77777777" w:rsidR="000D07EA" w:rsidRDefault="00BE7C89">
            <w:pPr>
              <w:pStyle w:val="BodyText"/>
              <w:spacing w:before="100" w:after="100"/>
              <w:ind w:left="-108" w:right="-89"/>
              <w:jc w:val="center"/>
            </w:pPr>
            <w:r>
              <w:t>"</w:t>
            </w:r>
          </w:p>
        </w:tc>
        <w:tc>
          <w:tcPr>
            <w:tcW w:w="1100" w:type="dxa"/>
            <w:tcBorders>
              <w:top w:val="nil"/>
              <w:bottom w:val="nil"/>
            </w:tcBorders>
            <w:shd w:val="clear" w:color="auto" w:fill="auto"/>
          </w:tcPr>
          <w:p w14:paraId="15779389" w14:textId="77777777" w:rsidR="000D07EA" w:rsidRDefault="000D07EA">
            <w:pPr>
              <w:pStyle w:val="BodyText"/>
              <w:spacing w:before="100" w:after="100"/>
              <w:ind w:left="-108" w:right="-89"/>
              <w:jc w:val="center"/>
            </w:pPr>
          </w:p>
          <w:p w14:paraId="2763A2FF" w14:textId="77777777" w:rsidR="000D07EA" w:rsidRDefault="000D07EA">
            <w:pPr>
              <w:pStyle w:val="BodyText"/>
              <w:spacing w:before="100" w:after="100"/>
              <w:ind w:left="-108" w:right="-89"/>
              <w:jc w:val="center"/>
            </w:pPr>
          </w:p>
          <w:p w14:paraId="3470DB44" w14:textId="77777777" w:rsidR="000D07EA" w:rsidRDefault="00BE7C89">
            <w:pPr>
              <w:pStyle w:val="BodyText"/>
              <w:spacing w:before="100" w:after="100"/>
              <w:ind w:left="-108" w:right="-89"/>
              <w:jc w:val="center"/>
            </w:pPr>
            <w:r>
              <w:lastRenderedPageBreak/>
              <w:t>$0.17 ($0.187)</w:t>
            </w:r>
          </w:p>
          <w:p w14:paraId="6898963E" w14:textId="77777777" w:rsidR="000D07EA" w:rsidRDefault="00BE7C89">
            <w:pPr>
              <w:pStyle w:val="BodyText"/>
              <w:spacing w:before="100" w:after="100"/>
              <w:ind w:left="-108" w:right="-89"/>
              <w:jc w:val="center"/>
            </w:pPr>
            <w:r>
              <w:t>"</w:t>
            </w:r>
          </w:p>
          <w:p w14:paraId="40C8C0DC" w14:textId="77777777" w:rsidR="000D07EA" w:rsidRDefault="000D07EA">
            <w:pPr>
              <w:pStyle w:val="BodyText"/>
              <w:spacing w:before="100" w:after="100"/>
              <w:ind w:left="-108" w:right="-89"/>
              <w:jc w:val="center"/>
            </w:pPr>
          </w:p>
          <w:p w14:paraId="709B86D2" w14:textId="77777777" w:rsidR="000D07EA" w:rsidRDefault="00BE7C89">
            <w:pPr>
              <w:pStyle w:val="BodyText"/>
              <w:spacing w:before="100" w:after="100"/>
              <w:ind w:left="-108" w:right="-89"/>
              <w:jc w:val="center"/>
            </w:pPr>
            <w:r>
              <w:t>"</w:t>
            </w:r>
          </w:p>
        </w:tc>
        <w:tc>
          <w:tcPr>
            <w:tcW w:w="1099" w:type="dxa"/>
            <w:tcBorders>
              <w:top w:val="nil"/>
              <w:bottom w:val="nil"/>
            </w:tcBorders>
            <w:shd w:val="clear" w:color="auto" w:fill="auto"/>
          </w:tcPr>
          <w:p w14:paraId="19900A65" w14:textId="77777777" w:rsidR="000D07EA" w:rsidRDefault="000D07EA">
            <w:pPr>
              <w:pStyle w:val="BodyText"/>
              <w:spacing w:before="100" w:after="100"/>
              <w:ind w:left="-108" w:right="-89"/>
              <w:jc w:val="center"/>
            </w:pPr>
          </w:p>
          <w:p w14:paraId="45EB91F1" w14:textId="77777777" w:rsidR="000D07EA" w:rsidRDefault="000D07EA">
            <w:pPr>
              <w:pStyle w:val="BodyText"/>
              <w:spacing w:before="100" w:after="100"/>
              <w:ind w:left="-108" w:right="-89"/>
              <w:jc w:val="center"/>
            </w:pPr>
          </w:p>
          <w:p w14:paraId="794AAECD" w14:textId="77777777" w:rsidR="000D07EA" w:rsidRDefault="00BE7C89">
            <w:pPr>
              <w:pStyle w:val="BodyText"/>
              <w:spacing w:before="100" w:after="100"/>
              <w:ind w:left="-108" w:right="-89"/>
              <w:jc w:val="center"/>
            </w:pPr>
            <w:r>
              <w:lastRenderedPageBreak/>
              <w:t>$0.17 ($0.187)</w:t>
            </w:r>
          </w:p>
          <w:p w14:paraId="4120F006" w14:textId="77777777" w:rsidR="000D07EA" w:rsidRDefault="00BE7C89">
            <w:pPr>
              <w:pStyle w:val="BodyText"/>
              <w:spacing w:before="100" w:after="100"/>
              <w:ind w:left="-108" w:right="-89"/>
              <w:jc w:val="center"/>
            </w:pPr>
            <w:r>
              <w:t>"</w:t>
            </w:r>
          </w:p>
          <w:p w14:paraId="27A4F245" w14:textId="77777777" w:rsidR="000D07EA" w:rsidRDefault="000D07EA">
            <w:pPr>
              <w:pStyle w:val="BodyText"/>
              <w:spacing w:before="100" w:after="100"/>
              <w:ind w:left="-108" w:right="-89"/>
              <w:jc w:val="center"/>
            </w:pPr>
          </w:p>
          <w:p w14:paraId="7DEEFD9B" w14:textId="77777777" w:rsidR="000D07EA" w:rsidRDefault="00BE7C89">
            <w:pPr>
              <w:pStyle w:val="BodyText"/>
              <w:spacing w:before="100" w:after="100"/>
              <w:ind w:left="-108" w:right="-89"/>
              <w:jc w:val="center"/>
            </w:pPr>
            <w:r>
              <w:t>"</w:t>
            </w:r>
          </w:p>
        </w:tc>
        <w:tc>
          <w:tcPr>
            <w:tcW w:w="1100" w:type="dxa"/>
            <w:tcBorders>
              <w:top w:val="nil"/>
              <w:bottom w:val="nil"/>
            </w:tcBorders>
            <w:shd w:val="clear" w:color="auto" w:fill="auto"/>
          </w:tcPr>
          <w:p w14:paraId="54841A85" w14:textId="77777777" w:rsidR="000D07EA" w:rsidRDefault="000D07EA">
            <w:pPr>
              <w:pStyle w:val="BodyText"/>
              <w:spacing w:before="100" w:after="100"/>
              <w:ind w:left="-108" w:right="-89"/>
              <w:jc w:val="center"/>
            </w:pPr>
          </w:p>
          <w:p w14:paraId="6AFA39DA" w14:textId="77777777" w:rsidR="000D07EA" w:rsidRDefault="000D07EA">
            <w:pPr>
              <w:pStyle w:val="BodyText"/>
              <w:spacing w:before="100" w:after="100"/>
              <w:ind w:left="-108" w:right="-89"/>
              <w:jc w:val="center"/>
            </w:pPr>
          </w:p>
          <w:p w14:paraId="1C8A62B9" w14:textId="77777777" w:rsidR="000D07EA" w:rsidRDefault="00BE7C89">
            <w:pPr>
              <w:pStyle w:val="BodyText"/>
              <w:spacing w:before="100" w:after="100"/>
              <w:ind w:left="-108" w:right="-89"/>
              <w:jc w:val="center"/>
            </w:pPr>
            <w:r>
              <w:lastRenderedPageBreak/>
              <w:t>$0.17 ($0.187)</w:t>
            </w:r>
          </w:p>
          <w:p w14:paraId="03FA16DF" w14:textId="77777777" w:rsidR="000D07EA" w:rsidRDefault="00BE7C89">
            <w:pPr>
              <w:pStyle w:val="BodyText"/>
              <w:spacing w:before="100" w:after="100"/>
              <w:ind w:left="-108" w:right="-89"/>
              <w:jc w:val="center"/>
            </w:pPr>
            <w:r>
              <w:t>"</w:t>
            </w:r>
          </w:p>
          <w:p w14:paraId="2C4C1D50" w14:textId="77777777" w:rsidR="000D07EA" w:rsidRDefault="000D07EA">
            <w:pPr>
              <w:pStyle w:val="BodyText"/>
              <w:spacing w:before="100" w:after="100"/>
              <w:ind w:left="-108" w:right="-89"/>
              <w:jc w:val="center"/>
            </w:pPr>
          </w:p>
          <w:p w14:paraId="7F0D57A8" w14:textId="77777777" w:rsidR="000D07EA" w:rsidRDefault="00BE7C89">
            <w:pPr>
              <w:pStyle w:val="BodyText"/>
              <w:spacing w:before="100" w:after="100"/>
              <w:ind w:left="-108" w:right="-89"/>
              <w:jc w:val="center"/>
            </w:pPr>
            <w:r>
              <w:t>"</w:t>
            </w:r>
          </w:p>
        </w:tc>
        <w:tc>
          <w:tcPr>
            <w:tcW w:w="1099" w:type="dxa"/>
            <w:tcBorders>
              <w:top w:val="nil"/>
              <w:bottom w:val="nil"/>
            </w:tcBorders>
            <w:shd w:val="clear" w:color="auto" w:fill="auto"/>
          </w:tcPr>
          <w:p w14:paraId="3DE8C0D1" w14:textId="77777777" w:rsidR="000D07EA" w:rsidRDefault="000D07EA">
            <w:pPr>
              <w:pStyle w:val="BodyText"/>
              <w:spacing w:before="100" w:after="100"/>
              <w:ind w:left="-108" w:right="-89"/>
              <w:jc w:val="center"/>
            </w:pPr>
          </w:p>
          <w:p w14:paraId="2539E446" w14:textId="77777777" w:rsidR="000D07EA" w:rsidRDefault="000D07EA">
            <w:pPr>
              <w:pStyle w:val="BodyText"/>
              <w:spacing w:before="100" w:after="100"/>
              <w:ind w:left="-108" w:right="-89"/>
              <w:jc w:val="center"/>
            </w:pPr>
          </w:p>
          <w:p w14:paraId="38F71CCF" w14:textId="77777777" w:rsidR="000D07EA" w:rsidRDefault="00BE7C89">
            <w:pPr>
              <w:pStyle w:val="BodyText"/>
              <w:spacing w:before="100" w:after="100"/>
              <w:ind w:left="-108" w:right="-89"/>
              <w:jc w:val="center"/>
            </w:pPr>
            <w:r>
              <w:lastRenderedPageBreak/>
              <w:t>$0.17 ($0.187)</w:t>
            </w:r>
          </w:p>
          <w:p w14:paraId="7B1900B2" w14:textId="77777777" w:rsidR="000D07EA" w:rsidRDefault="00BE7C89">
            <w:pPr>
              <w:pStyle w:val="BodyText"/>
              <w:spacing w:before="100" w:after="100"/>
              <w:ind w:left="-108" w:right="-89"/>
              <w:jc w:val="center"/>
            </w:pPr>
            <w:r>
              <w:t>"</w:t>
            </w:r>
          </w:p>
          <w:p w14:paraId="093CA228" w14:textId="77777777" w:rsidR="000D07EA" w:rsidRDefault="000D07EA">
            <w:pPr>
              <w:pStyle w:val="BodyText"/>
              <w:spacing w:before="100" w:after="100"/>
              <w:ind w:left="-108" w:right="-89"/>
              <w:jc w:val="center"/>
            </w:pPr>
          </w:p>
          <w:p w14:paraId="762584D0" w14:textId="77777777" w:rsidR="000D07EA" w:rsidRDefault="00BE7C89">
            <w:pPr>
              <w:pStyle w:val="BodyText"/>
              <w:spacing w:before="100" w:after="100"/>
              <w:ind w:left="-108" w:right="-89"/>
              <w:jc w:val="center"/>
            </w:pPr>
            <w:r>
              <w:t>"</w:t>
            </w:r>
          </w:p>
        </w:tc>
        <w:tc>
          <w:tcPr>
            <w:tcW w:w="1100" w:type="dxa"/>
            <w:tcBorders>
              <w:top w:val="nil"/>
              <w:bottom w:val="nil"/>
            </w:tcBorders>
            <w:shd w:val="clear" w:color="auto" w:fill="auto"/>
          </w:tcPr>
          <w:p w14:paraId="186506D1" w14:textId="77777777" w:rsidR="000D07EA" w:rsidRDefault="000D07EA">
            <w:pPr>
              <w:pStyle w:val="BodyText"/>
              <w:spacing w:before="100" w:after="100"/>
              <w:ind w:left="-108" w:right="-89"/>
              <w:jc w:val="center"/>
            </w:pPr>
          </w:p>
          <w:p w14:paraId="76C33F16" w14:textId="77777777" w:rsidR="000D07EA" w:rsidRDefault="000D07EA">
            <w:pPr>
              <w:pStyle w:val="BodyText"/>
              <w:spacing w:before="100" w:after="100"/>
              <w:ind w:left="-108" w:right="-89"/>
              <w:jc w:val="center"/>
            </w:pPr>
          </w:p>
          <w:p w14:paraId="3B5833EA" w14:textId="77777777" w:rsidR="000D07EA" w:rsidRDefault="00BE7C89">
            <w:pPr>
              <w:pStyle w:val="BodyText"/>
              <w:spacing w:before="100" w:after="100"/>
              <w:ind w:left="-108" w:right="-89"/>
              <w:jc w:val="center"/>
            </w:pPr>
            <w:r>
              <w:lastRenderedPageBreak/>
              <w:t>$0.17 ($0.187)</w:t>
            </w:r>
          </w:p>
          <w:p w14:paraId="41CC7AD7" w14:textId="77777777" w:rsidR="000D07EA" w:rsidRDefault="00BE7C89">
            <w:pPr>
              <w:pStyle w:val="BodyText"/>
              <w:spacing w:before="100" w:after="100"/>
              <w:ind w:left="-108" w:right="-89"/>
              <w:jc w:val="center"/>
            </w:pPr>
            <w:r>
              <w:t>"</w:t>
            </w:r>
          </w:p>
          <w:p w14:paraId="5C9153FC" w14:textId="77777777" w:rsidR="000D07EA" w:rsidRDefault="000D07EA">
            <w:pPr>
              <w:pStyle w:val="BodyText"/>
              <w:spacing w:before="100" w:after="100"/>
              <w:ind w:left="-108" w:right="-89"/>
              <w:jc w:val="center"/>
            </w:pPr>
          </w:p>
          <w:p w14:paraId="4E4FC822" w14:textId="77777777" w:rsidR="000D07EA" w:rsidRDefault="00BE7C89">
            <w:pPr>
              <w:pStyle w:val="BodyText"/>
              <w:spacing w:before="100" w:after="100"/>
              <w:ind w:left="-108" w:right="-89"/>
              <w:jc w:val="center"/>
            </w:pPr>
            <w:r>
              <w:t>"</w:t>
            </w:r>
          </w:p>
        </w:tc>
      </w:tr>
      <w:tr w:rsidR="000D07EA" w14:paraId="3A9432C0" w14:textId="77777777">
        <w:tc>
          <w:tcPr>
            <w:tcW w:w="2718" w:type="dxa"/>
            <w:tcBorders>
              <w:top w:val="nil"/>
              <w:bottom w:val="nil"/>
            </w:tcBorders>
            <w:shd w:val="clear" w:color="auto" w:fill="auto"/>
          </w:tcPr>
          <w:p w14:paraId="35108423" w14:textId="77777777" w:rsidR="000D07EA" w:rsidRDefault="00BE7C89">
            <w:pPr>
              <w:pStyle w:val="BodyText"/>
              <w:spacing w:before="100" w:after="100"/>
              <w:rPr>
                <w:b/>
                <w:i/>
              </w:rPr>
            </w:pPr>
            <w:r>
              <w:rPr>
                <w:b/>
                <w:i/>
              </w:rPr>
              <w:lastRenderedPageBreak/>
              <w:t>Flagfall</w:t>
            </w:r>
          </w:p>
        </w:tc>
        <w:tc>
          <w:tcPr>
            <w:tcW w:w="1099" w:type="dxa"/>
            <w:tcBorders>
              <w:top w:val="nil"/>
              <w:bottom w:val="nil"/>
            </w:tcBorders>
            <w:shd w:val="clear" w:color="auto" w:fill="auto"/>
          </w:tcPr>
          <w:p w14:paraId="55AA13AC" w14:textId="77777777" w:rsidR="000D07EA" w:rsidRDefault="00BE7C89">
            <w:pPr>
              <w:pStyle w:val="BodyText"/>
              <w:spacing w:before="100" w:after="100"/>
              <w:ind w:left="-108" w:right="-89"/>
              <w:jc w:val="center"/>
            </w:pPr>
            <w:r>
              <w:t>$0.15</w:t>
            </w:r>
            <w:r>
              <w:br/>
              <w:t>($0.165)</w:t>
            </w:r>
          </w:p>
        </w:tc>
        <w:tc>
          <w:tcPr>
            <w:tcW w:w="1099" w:type="dxa"/>
            <w:tcBorders>
              <w:top w:val="nil"/>
              <w:bottom w:val="nil"/>
            </w:tcBorders>
            <w:shd w:val="clear" w:color="auto" w:fill="auto"/>
          </w:tcPr>
          <w:p w14:paraId="78C188F8" w14:textId="77777777" w:rsidR="000D07EA" w:rsidRDefault="00BE7C89">
            <w:pPr>
              <w:pStyle w:val="BodyText"/>
              <w:spacing w:before="100" w:after="100"/>
              <w:ind w:left="-108" w:right="-89"/>
              <w:jc w:val="center"/>
            </w:pPr>
            <w:r>
              <w:t>$0.15</w:t>
            </w:r>
            <w:r>
              <w:br/>
              <w:t>($0.165)</w:t>
            </w:r>
          </w:p>
        </w:tc>
        <w:tc>
          <w:tcPr>
            <w:tcW w:w="1100" w:type="dxa"/>
            <w:tcBorders>
              <w:top w:val="nil"/>
              <w:bottom w:val="nil"/>
            </w:tcBorders>
            <w:shd w:val="clear" w:color="auto" w:fill="auto"/>
          </w:tcPr>
          <w:p w14:paraId="33B089FB" w14:textId="77777777" w:rsidR="000D07EA" w:rsidRDefault="00BE7C89">
            <w:pPr>
              <w:pStyle w:val="BodyText"/>
              <w:spacing w:before="100" w:after="100"/>
              <w:ind w:left="-108" w:right="-89"/>
              <w:jc w:val="center"/>
            </w:pPr>
            <w:r>
              <w:t>$0.15</w:t>
            </w:r>
            <w:r>
              <w:br/>
              <w:t>($0.165)</w:t>
            </w:r>
          </w:p>
        </w:tc>
        <w:tc>
          <w:tcPr>
            <w:tcW w:w="1099" w:type="dxa"/>
            <w:tcBorders>
              <w:top w:val="nil"/>
              <w:bottom w:val="nil"/>
            </w:tcBorders>
            <w:shd w:val="clear" w:color="auto" w:fill="auto"/>
          </w:tcPr>
          <w:p w14:paraId="16AA2DA4" w14:textId="77777777" w:rsidR="000D07EA" w:rsidRDefault="00BE7C89">
            <w:pPr>
              <w:pStyle w:val="BodyText"/>
              <w:spacing w:before="100" w:after="100"/>
              <w:ind w:left="-108" w:right="-89"/>
              <w:jc w:val="center"/>
            </w:pPr>
            <w:r>
              <w:t>$0.15</w:t>
            </w:r>
            <w:r>
              <w:br/>
              <w:t>($0.165)</w:t>
            </w:r>
          </w:p>
        </w:tc>
        <w:tc>
          <w:tcPr>
            <w:tcW w:w="1100" w:type="dxa"/>
            <w:tcBorders>
              <w:top w:val="nil"/>
              <w:bottom w:val="nil"/>
            </w:tcBorders>
            <w:shd w:val="clear" w:color="auto" w:fill="auto"/>
          </w:tcPr>
          <w:p w14:paraId="19A59CAF" w14:textId="77777777" w:rsidR="000D07EA" w:rsidRDefault="00BE7C89">
            <w:pPr>
              <w:pStyle w:val="BodyText"/>
              <w:spacing w:before="100" w:after="100"/>
              <w:ind w:left="-108" w:right="-89"/>
              <w:jc w:val="center"/>
            </w:pPr>
            <w:r>
              <w:t>$0.15</w:t>
            </w:r>
            <w:r>
              <w:br/>
              <w:t>($0.165)</w:t>
            </w:r>
          </w:p>
        </w:tc>
        <w:tc>
          <w:tcPr>
            <w:tcW w:w="1099" w:type="dxa"/>
            <w:tcBorders>
              <w:top w:val="nil"/>
              <w:bottom w:val="nil"/>
            </w:tcBorders>
            <w:shd w:val="clear" w:color="auto" w:fill="auto"/>
          </w:tcPr>
          <w:p w14:paraId="0178B095" w14:textId="77777777" w:rsidR="000D07EA" w:rsidRDefault="00BE7C89">
            <w:pPr>
              <w:pStyle w:val="BodyText"/>
              <w:spacing w:before="100" w:after="100"/>
              <w:ind w:left="-108" w:right="-89"/>
              <w:jc w:val="center"/>
            </w:pPr>
            <w:r>
              <w:t>$0.15</w:t>
            </w:r>
            <w:r>
              <w:br/>
              <w:t>($0.165)</w:t>
            </w:r>
          </w:p>
        </w:tc>
        <w:tc>
          <w:tcPr>
            <w:tcW w:w="1100" w:type="dxa"/>
            <w:tcBorders>
              <w:top w:val="nil"/>
              <w:bottom w:val="nil"/>
            </w:tcBorders>
            <w:shd w:val="clear" w:color="auto" w:fill="auto"/>
          </w:tcPr>
          <w:p w14:paraId="0E1AF0CA" w14:textId="77777777" w:rsidR="000D07EA" w:rsidRDefault="00BE7C89">
            <w:pPr>
              <w:pStyle w:val="BodyText"/>
              <w:spacing w:before="100" w:after="100"/>
              <w:ind w:left="-108" w:right="-89"/>
              <w:jc w:val="center"/>
            </w:pPr>
            <w:r>
              <w:t>$0.15</w:t>
            </w:r>
            <w:r>
              <w:br/>
              <w:t>($0.165)</w:t>
            </w:r>
          </w:p>
        </w:tc>
      </w:tr>
      <w:tr w:rsidR="000D07EA" w14:paraId="56AE4A5B" w14:textId="77777777">
        <w:tc>
          <w:tcPr>
            <w:tcW w:w="2718" w:type="dxa"/>
            <w:tcBorders>
              <w:top w:val="nil"/>
              <w:bottom w:val="nil"/>
            </w:tcBorders>
            <w:shd w:val="clear" w:color="auto" w:fill="auto"/>
          </w:tcPr>
          <w:p w14:paraId="626BCC06" w14:textId="77777777" w:rsidR="000D07EA" w:rsidRDefault="00BE7C89">
            <w:pPr>
              <w:pStyle w:val="BodyText"/>
              <w:spacing w:before="100" w:after="100"/>
              <w:rPr>
                <w:b/>
              </w:rPr>
            </w:pPr>
            <w:r>
              <w:rPr>
                <w:b/>
              </w:rPr>
              <w:t xml:space="preserve">Calls Included in the monthly </w:t>
            </w:r>
            <w:r>
              <w:rPr>
                <w:b/>
                <w:i/>
              </w:rPr>
              <w:t>access fee</w:t>
            </w:r>
            <w:r>
              <w:rPr>
                <w:b/>
              </w:rPr>
              <w:t>**</w:t>
            </w:r>
          </w:p>
        </w:tc>
        <w:tc>
          <w:tcPr>
            <w:tcW w:w="1099" w:type="dxa"/>
            <w:tcBorders>
              <w:top w:val="nil"/>
              <w:bottom w:val="nil"/>
            </w:tcBorders>
            <w:shd w:val="clear" w:color="auto" w:fill="auto"/>
          </w:tcPr>
          <w:p w14:paraId="5C7EE349" w14:textId="77777777" w:rsidR="000D07EA" w:rsidRDefault="00BE7C89">
            <w:pPr>
              <w:pStyle w:val="BodyText"/>
              <w:spacing w:before="100" w:after="100"/>
              <w:ind w:left="-108" w:right="-89"/>
              <w:jc w:val="center"/>
            </w:pPr>
            <w:r>
              <w:t>$10</w:t>
            </w:r>
            <w:r>
              <w:br/>
              <w:t>($11)</w:t>
            </w:r>
          </w:p>
        </w:tc>
        <w:tc>
          <w:tcPr>
            <w:tcW w:w="1099" w:type="dxa"/>
            <w:tcBorders>
              <w:top w:val="nil"/>
              <w:bottom w:val="nil"/>
            </w:tcBorders>
            <w:shd w:val="clear" w:color="auto" w:fill="auto"/>
          </w:tcPr>
          <w:p w14:paraId="0AE250F2" w14:textId="77777777" w:rsidR="000D07EA" w:rsidRDefault="00BE7C89">
            <w:pPr>
              <w:pStyle w:val="BodyText"/>
              <w:spacing w:before="100" w:after="100"/>
              <w:ind w:left="-108" w:right="-89"/>
              <w:jc w:val="center"/>
            </w:pPr>
            <w:r>
              <w:t>$35</w:t>
            </w:r>
            <w:r>
              <w:br/>
              <w:t>($38.50)</w:t>
            </w:r>
          </w:p>
        </w:tc>
        <w:tc>
          <w:tcPr>
            <w:tcW w:w="1100" w:type="dxa"/>
            <w:tcBorders>
              <w:top w:val="nil"/>
              <w:bottom w:val="nil"/>
            </w:tcBorders>
            <w:shd w:val="clear" w:color="auto" w:fill="auto"/>
          </w:tcPr>
          <w:p w14:paraId="27481D32" w14:textId="77777777" w:rsidR="000D07EA" w:rsidRDefault="00BE7C89">
            <w:pPr>
              <w:pStyle w:val="BodyText"/>
              <w:spacing w:before="100" w:after="100"/>
              <w:ind w:left="-108" w:right="-89"/>
              <w:jc w:val="center"/>
            </w:pPr>
            <w:r>
              <w:t>$60</w:t>
            </w:r>
            <w:r>
              <w:br/>
              <w:t>($66)</w:t>
            </w:r>
          </w:p>
        </w:tc>
        <w:tc>
          <w:tcPr>
            <w:tcW w:w="1099" w:type="dxa"/>
            <w:tcBorders>
              <w:top w:val="nil"/>
              <w:bottom w:val="nil"/>
            </w:tcBorders>
            <w:shd w:val="clear" w:color="auto" w:fill="auto"/>
          </w:tcPr>
          <w:p w14:paraId="1494D35E" w14:textId="77777777" w:rsidR="000D07EA" w:rsidRDefault="00BE7C89">
            <w:pPr>
              <w:pStyle w:val="BodyText"/>
              <w:spacing w:before="100" w:after="100"/>
              <w:ind w:left="-108" w:right="-89"/>
              <w:jc w:val="center"/>
            </w:pPr>
            <w:r>
              <w:t>$75</w:t>
            </w:r>
            <w:r>
              <w:br/>
              <w:t>($82.50)</w:t>
            </w:r>
          </w:p>
        </w:tc>
        <w:tc>
          <w:tcPr>
            <w:tcW w:w="1100" w:type="dxa"/>
            <w:tcBorders>
              <w:top w:val="nil"/>
              <w:bottom w:val="nil"/>
            </w:tcBorders>
            <w:shd w:val="clear" w:color="auto" w:fill="auto"/>
          </w:tcPr>
          <w:p w14:paraId="2C7D8C93" w14:textId="77777777" w:rsidR="000D07EA" w:rsidRDefault="00BE7C89">
            <w:pPr>
              <w:pStyle w:val="BodyText"/>
              <w:spacing w:before="100" w:after="100"/>
              <w:ind w:left="-108" w:right="-89"/>
              <w:jc w:val="center"/>
            </w:pPr>
            <w:r>
              <w:t>$100</w:t>
            </w:r>
            <w:r>
              <w:br/>
              <w:t>9$110)</w:t>
            </w:r>
          </w:p>
        </w:tc>
        <w:tc>
          <w:tcPr>
            <w:tcW w:w="1099" w:type="dxa"/>
            <w:tcBorders>
              <w:top w:val="nil"/>
              <w:bottom w:val="nil"/>
            </w:tcBorders>
            <w:shd w:val="clear" w:color="auto" w:fill="auto"/>
          </w:tcPr>
          <w:p w14:paraId="6786AB8E" w14:textId="77777777" w:rsidR="000D07EA" w:rsidRDefault="00BE7C89">
            <w:pPr>
              <w:pStyle w:val="BodyText"/>
              <w:spacing w:before="100" w:after="100"/>
              <w:ind w:left="-108" w:right="-89"/>
              <w:jc w:val="center"/>
            </w:pPr>
            <w:r>
              <w:t>$150</w:t>
            </w:r>
            <w:r>
              <w:br/>
              <w:t>($165)</w:t>
            </w:r>
          </w:p>
        </w:tc>
        <w:tc>
          <w:tcPr>
            <w:tcW w:w="1100" w:type="dxa"/>
            <w:tcBorders>
              <w:top w:val="nil"/>
              <w:bottom w:val="nil"/>
            </w:tcBorders>
            <w:shd w:val="clear" w:color="auto" w:fill="auto"/>
          </w:tcPr>
          <w:p w14:paraId="347063B8" w14:textId="77777777" w:rsidR="000D07EA" w:rsidRDefault="00BE7C89">
            <w:pPr>
              <w:pStyle w:val="BodyText"/>
              <w:spacing w:before="100" w:after="100"/>
              <w:ind w:left="-108" w:right="-89"/>
              <w:jc w:val="center"/>
            </w:pPr>
            <w:r>
              <w:t>$250</w:t>
            </w:r>
            <w:r>
              <w:br/>
              <w:t>($275)</w:t>
            </w:r>
          </w:p>
        </w:tc>
      </w:tr>
      <w:tr w:rsidR="000D07EA" w14:paraId="321AB098" w14:textId="77777777">
        <w:tc>
          <w:tcPr>
            <w:tcW w:w="2718" w:type="dxa"/>
            <w:tcBorders>
              <w:top w:val="nil"/>
            </w:tcBorders>
            <w:shd w:val="clear" w:color="auto" w:fill="auto"/>
          </w:tcPr>
          <w:p w14:paraId="77676DF5" w14:textId="77777777" w:rsidR="000D07EA" w:rsidRDefault="00BE7C89">
            <w:pPr>
              <w:pStyle w:val="BodyText"/>
              <w:spacing w:before="100" w:after="100"/>
              <w:rPr>
                <w:b/>
                <w:i/>
              </w:rPr>
            </w:pPr>
            <w:r>
              <w:rPr>
                <w:b/>
                <w:i/>
              </w:rPr>
              <w:t>Minimum term</w:t>
            </w:r>
          </w:p>
        </w:tc>
        <w:tc>
          <w:tcPr>
            <w:tcW w:w="1099" w:type="dxa"/>
            <w:tcBorders>
              <w:top w:val="nil"/>
            </w:tcBorders>
            <w:shd w:val="clear" w:color="auto" w:fill="auto"/>
          </w:tcPr>
          <w:p w14:paraId="55F2353B" w14:textId="77777777" w:rsidR="000D07EA" w:rsidRDefault="00BE7C89">
            <w:pPr>
              <w:pStyle w:val="BodyText"/>
              <w:spacing w:before="100" w:after="100"/>
              <w:ind w:left="-108" w:right="-89"/>
              <w:jc w:val="center"/>
            </w:pPr>
            <w:r>
              <w:t>NA</w:t>
            </w:r>
          </w:p>
        </w:tc>
        <w:tc>
          <w:tcPr>
            <w:tcW w:w="1099" w:type="dxa"/>
            <w:tcBorders>
              <w:top w:val="nil"/>
            </w:tcBorders>
            <w:shd w:val="clear" w:color="auto" w:fill="auto"/>
          </w:tcPr>
          <w:p w14:paraId="47F1018F" w14:textId="77777777" w:rsidR="000D07EA" w:rsidRDefault="00BE7C89">
            <w:pPr>
              <w:pStyle w:val="BodyText"/>
              <w:spacing w:before="100" w:after="100"/>
              <w:ind w:left="-108" w:right="-89"/>
              <w:jc w:val="center"/>
            </w:pPr>
            <w:r>
              <w:t>24 months</w:t>
            </w:r>
          </w:p>
        </w:tc>
        <w:tc>
          <w:tcPr>
            <w:tcW w:w="1100" w:type="dxa"/>
            <w:tcBorders>
              <w:top w:val="nil"/>
            </w:tcBorders>
            <w:shd w:val="clear" w:color="auto" w:fill="auto"/>
          </w:tcPr>
          <w:p w14:paraId="03D59EB9" w14:textId="77777777" w:rsidR="000D07EA" w:rsidRDefault="00BE7C89">
            <w:pPr>
              <w:pStyle w:val="BodyText"/>
              <w:spacing w:before="100" w:after="100"/>
              <w:ind w:left="-108" w:right="-89"/>
              <w:jc w:val="center"/>
            </w:pPr>
            <w:r>
              <w:t>24 months</w:t>
            </w:r>
          </w:p>
        </w:tc>
        <w:tc>
          <w:tcPr>
            <w:tcW w:w="1099" w:type="dxa"/>
            <w:tcBorders>
              <w:top w:val="nil"/>
            </w:tcBorders>
            <w:shd w:val="clear" w:color="auto" w:fill="auto"/>
          </w:tcPr>
          <w:p w14:paraId="3536D588" w14:textId="77777777" w:rsidR="000D07EA" w:rsidRDefault="00BE7C89">
            <w:pPr>
              <w:pStyle w:val="BodyText"/>
              <w:spacing w:before="100" w:after="100"/>
              <w:ind w:left="-108" w:right="-89"/>
              <w:jc w:val="center"/>
            </w:pPr>
            <w:r>
              <w:t>24 months</w:t>
            </w:r>
          </w:p>
        </w:tc>
        <w:tc>
          <w:tcPr>
            <w:tcW w:w="1100" w:type="dxa"/>
            <w:tcBorders>
              <w:top w:val="nil"/>
            </w:tcBorders>
            <w:shd w:val="clear" w:color="auto" w:fill="auto"/>
          </w:tcPr>
          <w:p w14:paraId="13AA9056" w14:textId="77777777" w:rsidR="000D07EA" w:rsidRDefault="00BE7C89">
            <w:pPr>
              <w:pStyle w:val="BodyText"/>
              <w:spacing w:before="100" w:after="100"/>
              <w:ind w:left="-108" w:right="-89"/>
              <w:jc w:val="center"/>
            </w:pPr>
            <w:r>
              <w:t>24 months</w:t>
            </w:r>
          </w:p>
        </w:tc>
        <w:tc>
          <w:tcPr>
            <w:tcW w:w="1099" w:type="dxa"/>
            <w:tcBorders>
              <w:top w:val="nil"/>
            </w:tcBorders>
            <w:shd w:val="clear" w:color="auto" w:fill="auto"/>
          </w:tcPr>
          <w:p w14:paraId="116FE320" w14:textId="77777777" w:rsidR="000D07EA" w:rsidRDefault="00BE7C89">
            <w:pPr>
              <w:pStyle w:val="BodyText"/>
              <w:spacing w:before="100" w:after="100"/>
              <w:ind w:left="-108" w:right="-89"/>
              <w:jc w:val="center"/>
            </w:pPr>
            <w:r>
              <w:t>24 months</w:t>
            </w:r>
          </w:p>
        </w:tc>
        <w:tc>
          <w:tcPr>
            <w:tcW w:w="1100" w:type="dxa"/>
            <w:tcBorders>
              <w:top w:val="nil"/>
            </w:tcBorders>
            <w:shd w:val="clear" w:color="auto" w:fill="auto"/>
          </w:tcPr>
          <w:p w14:paraId="0C68F8BA" w14:textId="77777777" w:rsidR="000D07EA" w:rsidRDefault="00BE7C89">
            <w:pPr>
              <w:pStyle w:val="BodyText"/>
              <w:spacing w:before="100" w:after="100"/>
              <w:ind w:left="-108" w:right="-89"/>
              <w:jc w:val="center"/>
            </w:pPr>
            <w:r>
              <w:t>24 months</w:t>
            </w:r>
          </w:p>
        </w:tc>
      </w:tr>
    </w:tbl>
    <w:p w14:paraId="44F57376" w14:textId="77777777" w:rsidR="000D07EA" w:rsidRDefault="00BE7C89">
      <w:pPr>
        <w:pStyle w:val="BodyText"/>
        <w:spacing w:after="0"/>
        <w:rPr>
          <w:sz w:val="16"/>
          <w:szCs w:val="16"/>
        </w:rPr>
      </w:pPr>
      <w:r>
        <w:rPr>
          <w:sz w:val="16"/>
          <w:szCs w:val="16"/>
        </w:rPr>
        <w:t>*   Please Note:</w:t>
      </w:r>
    </w:p>
    <w:p w14:paraId="175B5135" w14:textId="77777777" w:rsidR="000D07EA" w:rsidRDefault="00BE7C89">
      <w:pPr>
        <w:pStyle w:val="BodyText"/>
        <w:spacing w:after="0"/>
        <w:ind w:left="720"/>
        <w:rPr>
          <w:sz w:val="16"/>
          <w:szCs w:val="16"/>
        </w:rPr>
      </w:pPr>
      <w:r>
        <w:rPr>
          <w:sz w:val="16"/>
          <w:szCs w:val="16"/>
        </w:rPr>
        <w:t>(i)</w:t>
      </w:r>
      <w:r>
        <w:rPr>
          <w:sz w:val="16"/>
          <w:szCs w:val="16"/>
        </w:rPr>
        <w:tab/>
        <w:t>'yes' Time applies.</w:t>
      </w:r>
    </w:p>
    <w:p w14:paraId="254721D7" w14:textId="77777777" w:rsidR="000D07EA" w:rsidRDefault="00BE7C89">
      <w:pPr>
        <w:pStyle w:val="BodyText"/>
        <w:spacing w:after="0"/>
        <w:rPr>
          <w:sz w:val="16"/>
          <w:szCs w:val="16"/>
        </w:rPr>
      </w:pPr>
      <w:r>
        <w:rPr>
          <w:sz w:val="16"/>
          <w:szCs w:val="16"/>
        </w:rPr>
        <w:t>**   Please Note: Included calls do not include:</w:t>
      </w:r>
    </w:p>
    <w:p w14:paraId="34EA08CD" w14:textId="77777777" w:rsidR="000D07EA" w:rsidRDefault="00BE7C89">
      <w:pPr>
        <w:pStyle w:val="BodyText"/>
        <w:spacing w:after="0"/>
        <w:ind w:left="720"/>
        <w:rPr>
          <w:sz w:val="16"/>
          <w:szCs w:val="16"/>
        </w:rPr>
      </w:pPr>
      <w:r>
        <w:rPr>
          <w:sz w:val="16"/>
          <w:szCs w:val="16"/>
        </w:rPr>
        <w:t>(ii)</w:t>
      </w:r>
      <w:r>
        <w:rPr>
          <w:sz w:val="16"/>
          <w:szCs w:val="16"/>
        </w:rPr>
        <w:tab/>
        <w:t xml:space="preserve">standard call exclusions (see </w:t>
      </w:r>
      <w:hyperlink r:id="rId30" w:history="1">
        <w:r>
          <w:rPr>
            <w:rStyle w:val="Hyperlink"/>
            <w:sz w:val="16"/>
            <w:szCs w:val="16"/>
          </w:rPr>
          <w:t>section 1</w:t>
        </w:r>
      </w:hyperlink>
      <w:r>
        <w:rPr>
          <w:sz w:val="16"/>
          <w:szCs w:val="16"/>
        </w:rPr>
        <w:t xml:space="preserve"> of this </w:t>
      </w:r>
      <w:r>
        <w:rPr>
          <w:i/>
          <w:sz w:val="16"/>
          <w:szCs w:val="16"/>
        </w:rPr>
        <w:t>standard pricing table</w:t>
      </w:r>
      <w:r>
        <w:rPr>
          <w:sz w:val="16"/>
          <w:szCs w:val="16"/>
        </w:rPr>
        <w:t xml:space="preserve">) eg. </w:t>
      </w:r>
      <w:r>
        <w:rPr>
          <w:i/>
          <w:sz w:val="16"/>
          <w:szCs w:val="16"/>
        </w:rPr>
        <w:t>roaming</w:t>
      </w:r>
      <w:r>
        <w:rPr>
          <w:sz w:val="16"/>
          <w:szCs w:val="16"/>
        </w:rPr>
        <w:t xml:space="preserve"> calls and 1900 calls;</w:t>
      </w:r>
    </w:p>
    <w:p w14:paraId="11607632" w14:textId="77777777" w:rsidR="000D07EA" w:rsidRDefault="00BE7C89">
      <w:pPr>
        <w:pStyle w:val="BodyText"/>
        <w:spacing w:after="0"/>
        <w:ind w:left="720"/>
        <w:rPr>
          <w:sz w:val="16"/>
          <w:szCs w:val="16"/>
        </w:rPr>
      </w:pPr>
      <w:r>
        <w:rPr>
          <w:sz w:val="16"/>
          <w:szCs w:val="16"/>
        </w:rPr>
        <w:t>(iii)</w:t>
      </w:r>
      <w:r>
        <w:rPr>
          <w:sz w:val="16"/>
          <w:szCs w:val="16"/>
        </w:rPr>
        <w:tab/>
        <w:t>cannot be accumulated beyond the month in which the entitlement accrues.</w:t>
      </w:r>
    </w:p>
    <w:p w14:paraId="3CA307D9" w14:textId="77777777" w:rsidR="000D07EA" w:rsidRDefault="000D07EA">
      <w:pPr>
        <w:pStyle w:val="BodyText"/>
      </w:pPr>
    </w:p>
    <w:p w14:paraId="5570E5B3" w14:textId="77777777" w:rsidR="000D07EA" w:rsidRDefault="00BE7C89">
      <w:pPr>
        <w:pStyle w:val="Heading4"/>
      </w:pPr>
      <w:bookmarkStart w:id="64" w:name="_Toc62644608"/>
      <w:r>
        <w:t>'yes' Business Data Plan</w:t>
      </w:r>
      <w:bookmarkEnd w:id="64"/>
    </w:p>
    <w:p w14:paraId="6728E402" w14:textId="77777777" w:rsidR="000D07EA" w:rsidRDefault="00BE7C89">
      <w:pPr>
        <w:pStyle w:val="Heading6"/>
        <w:keepNext/>
        <w:keepLines/>
        <w:ind w:left="0" w:firstLine="0"/>
      </w:pPr>
      <w:r>
        <w:t>Background</w:t>
      </w:r>
    </w:p>
    <w:p w14:paraId="26C014B8" w14:textId="77777777" w:rsidR="000D07EA" w:rsidRDefault="00BE7C89">
      <w:pPr>
        <w:pStyle w:val="BodyText"/>
        <w:ind w:left="720"/>
      </w:pPr>
      <w:r>
        <w:t xml:space="preserve">'yes' Business Data </w:t>
      </w:r>
      <w:r>
        <w:rPr>
          <w:i/>
        </w:rPr>
        <w:t>pricing plan</w:t>
      </w:r>
      <w:r>
        <w:t xml:space="preserve"> applies to the purchase of the Circuit Switched Data </w:t>
      </w:r>
      <w:r>
        <w:rPr>
          <w:i/>
        </w:rPr>
        <w:t>value added service feature</w:t>
      </w:r>
      <w:r>
        <w:t>.</w:t>
      </w:r>
    </w:p>
    <w:p w14:paraId="31E79137" w14:textId="77777777" w:rsidR="000D07EA" w:rsidRDefault="00BE7C89">
      <w:pPr>
        <w:pStyle w:val="Heading6"/>
        <w:ind w:left="0" w:firstLine="0"/>
      </w:pPr>
      <w:r>
        <w:t>Eligibility</w:t>
      </w:r>
    </w:p>
    <w:p w14:paraId="1BBAB191" w14:textId="77777777" w:rsidR="000D07EA" w:rsidRDefault="00BE7C89">
      <w:pPr>
        <w:pStyle w:val="BodyText"/>
        <w:ind w:left="720"/>
      </w:pPr>
      <w:r>
        <w:t xml:space="preserve">To connect to the 'yes' Business Data </w:t>
      </w:r>
      <w:r>
        <w:rPr>
          <w:i/>
        </w:rPr>
        <w:t>pricing plan you</w:t>
      </w:r>
      <w:r>
        <w:t xml:space="preserve"> must be connected to, and remain connected to, a </w:t>
      </w:r>
      <w:r>
        <w:rPr>
          <w:i/>
        </w:rPr>
        <w:t>pricing plan</w:t>
      </w:r>
      <w:r>
        <w:t xml:space="preserve">, as specified in the </w:t>
      </w:r>
      <w:r>
        <w:rPr>
          <w:i/>
        </w:rPr>
        <w:t>special</w:t>
      </w:r>
      <w:r>
        <w:t xml:space="preserve"> promotion, allowing voice transmission. If </w:t>
      </w:r>
      <w:r>
        <w:rPr>
          <w:i/>
        </w:rPr>
        <w:t>you</w:t>
      </w:r>
      <w:r>
        <w:t xml:space="preserve"> do not remain connected to a specified </w:t>
      </w:r>
      <w:r>
        <w:rPr>
          <w:i/>
        </w:rPr>
        <w:t>pricing plan we</w:t>
      </w:r>
      <w:r>
        <w:t xml:space="preserve"> may, at </w:t>
      </w:r>
      <w:r>
        <w:rPr>
          <w:i/>
        </w:rPr>
        <w:t>our</w:t>
      </w:r>
      <w:r>
        <w:t xml:space="preserve"> discretion, transfer </w:t>
      </w:r>
      <w:r>
        <w:rPr>
          <w:i/>
        </w:rPr>
        <w:t>you</w:t>
      </w:r>
      <w:r>
        <w:t xml:space="preserve"> to the DataPlan. Data calls will be itemised separately on </w:t>
      </w:r>
      <w:r>
        <w:rPr>
          <w:i/>
        </w:rPr>
        <w:t>your</w:t>
      </w:r>
      <w:r>
        <w:t xml:space="preserve"> normal account.</w:t>
      </w:r>
    </w:p>
    <w:p w14:paraId="643ABF32" w14:textId="77777777" w:rsidR="000D07EA" w:rsidRDefault="00BE7C89">
      <w:pPr>
        <w:pStyle w:val="Heading6"/>
        <w:ind w:left="0" w:firstLine="0"/>
      </w:pPr>
      <w:r>
        <w:t>Pricing</w:t>
      </w:r>
    </w:p>
    <w:p w14:paraId="3CC5D1DB" w14:textId="77777777" w:rsidR="000D07EA" w:rsidRDefault="00BE7C89">
      <w:pPr>
        <w:pStyle w:val="Heading7"/>
        <w:rPr>
          <w:szCs w:val="20"/>
        </w:rPr>
      </w:pPr>
      <w:r>
        <w:rPr>
          <w:szCs w:val="20"/>
        </w:rPr>
        <w:t xml:space="preserve">If </w:t>
      </w:r>
      <w:r>
        <w:rPr>
          <w:i/>
          <w:szCs w:val="20"/>
        </w:rPr>
        <w:t>you</w:t>
      </w:r>
      <w:r>
        <w:rPr>
          <w:szCs w:val="20"/>
        </w:rPr>
        <w:t xml:space="preserve"> are on the 'yes' Business Data </w:t>
      </w:r>
      <w:r>
        <w:rPr>
          <w:i/>
          <w:szCs w:val="20"/>
        </w:rPr>
        <w:t>pricing plan you</w:t>
      </w:r>
      <w:r>
        <w:rPr>
          <w:szCs w:val="20"/>
        </w:rPr>
        <w:t xml:space="preserve"> will receive a special rate for WAP CSD calls as specified below ie </w:t>
      </w:r>
      <w:r>
        <w:rPr>
          <w:i/>
          <w:szCs w:val="20"/>
        </w:rPr>
        <w:t>you</w:t>
      </w:r>
      <w:r>
        <w:rPr>
          <w:szCs w:val="20"/>
        </w:rPr>
        <w:t xml:space="preserve"> will not be charged the rate for WAP CSD calls detailed in the </w:t>
      </w:r>
      <w:r>
        <w:rPr>
          <w:i/>
          <w:szCs w:val="20"/>
        </w:rPr>
        <w:t xml:space="preserve">Value Added Service Features </w:t>
      </w:r>
      <w:hyperlink r:id="rId31" w:history="1">
        <w:r>
          <w:rPr>
            <w:rStyle w:val="Hyperlink"/>
            <w:i/>
            <w:szCs w:val="20"/>
          </w:rPr>
          <w:t>Appendix Y</w:t>
        </w:r>
      </w:hyperlink>
      <w:r>
        <w:rPr>
          <w:szCs w:val="20"/>
        </w:rPr>
        <w:t>. The special rates specified below will not be available to new customers from 24 August 2001.</w:t>
      </w: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248"/>
        <w:gridCol w:w="3060"/>
      </w:tblGrid>
      <w:tr w:rsidR="000D07EA" w14:paraId="74C7464F" w14:textId="77777777">
        <w:trPr>
          <w:tblHeader/>
        </w:trPr>
        <w:tc>
          <w:tcPr>
            <w:tcW w:w="7308" w:type="dxa"/>
            <w:gridSpan w:val="2"/>
            <w:tcBorders>
              <w:bottom w:val="single" w:sz="4" w:space="0" w:color="auto"/>
            </w:tcBorders>
            <w:shd w:val="clear" w:color="auto" w:fill="auto"/>
          </w:tcPr>
          <w:p w14:paraId="0C109F98" w14:textId="77777777" w:rsidR="000D07EA" w:rsidRDefault="00BE7C89">
            <w:pPr>
              <w:pStyle w:val="BodyText"/>
              <w:keepNext/>
              <w:spacing w:before="100" w:after="100"/>
              <w:jc w:val="center"/>
              <w:rPr>
                <w:b/>
              </w:rPr>
            </w:pPr>
            <w:r>
              <w:rPr>
                <w:b/>
              </w:rPr>
              <w:t>'yes' Business Data Plan</w:t>
            </w:r>
            <w:r>
              <w:rPr>
                <w:b/>
              </w:rPr>
              <w:br/>
              <w:t>(closed to new customers from 24 August 2001)</w:t>
            </w:r>
          </w:p>
        </w:tc>
      </w:tr>
      <w:tr w:rsidR="000D07EA" w14:paraId="73456743" w14:textId="77777777">
        <w:tc>
          <w:tcPr>
            <w:tcW w:w="4248" w:type="dxa"/>
            <w:tcBorders>
              <w:bottom w:val="nil"/>
            </w:tcBorders>
            <w:shd w:val="clear" w:color="auto" w:fill="auto"/>
          </w:tcPr>
          <w:p w14:paraId="1BE13877" w14:textId="77777777" w:rsidR="000D07EA" w:rsidRDefault="00BE7C89">
            <w:pPr>
              <w:pStyle w:val="BodyText"/>
              <w:keepNext/>
              <w:spacing w:before="100" w:after="100"/>
              <w:rPr>
                <w:b/>
                <w:i/>
              </w:rPr>
            </w:pPr>
            <w:r>
              <w:rPr>
                <w:b/>
                <w:i/>
              </w:rPr>
              <w:t>Flagfall</w:t>
            </w:r>
          </w:p>
        </w:tc>
        <w:tc>
          <w:tcPr>
            <w:tcW w:w="3060" w:type="dxa"/>
            <w:tcBorders>
              <w:bottom w:val="nil"/>
            </w:tcBorders>
            <w:shd w:val="clear" w:color="auto" w:fill="auto"/>
          </w:tcPr>
          <w:p w14:paraId="2A3FF922" w14:textId="77777777" w:rsidR="000D07EA" w:rsidRDefault="00BE7C89">
            <w:pPr>
              <w:pStyle w:val="BodyText"/>
              <w:keepNext/>
              <w:spacing w:before="100" w:after="100"/>
              <w:jc w:val="center"/>
            </w:pPr>
            <w:r>
              <w:t>$0.00</w:t>
            </w:r>
          </w:p>
        </w:tc>
      </w:tr>
      <w:tr w:rsidR="000D07EA" w14:paraId="2BD8B7A2" w14:textId="77777777">
        <w:tc>
          <w:tcPr>
            <w:tcW w:w="4248" w:type="dxa"/>
            <w:tcBorders>
              <w:top w:val="nil"/>
              <w:bottom w:val="nil"/>
            </w:tcBorders>
            <w:shd w:val="clear" w:color="auto" w:fill="auto"/>
          </w:tcPr>
          <w:p w14:paraId="48977458" w14:textId="77777777" w:rsidR="000D07EA" w:rsidRDefault="00BE7C89">
            <w:pPr>
              <w:pStyle w:val="BodyText"/>
              <w:keepNext/>
              <w:spacing w:before="100" w:after="100"/>
              <w:rPr>
                <w:b/>
              </w:rPr>
            </w:pPr>
            <w:r>
              <w:rPr>
                <w:b/>
              </w:rPr>
              <w:t xml:space="preserve">Monthly </w:t>
            </w:r>
            <w:r>
              <w:rPr>
                <w:b/>
                <w:i/>
              </w:rPr>
              <w:t>access fee</w:t>
            </w:r>
          </w:p>
        </w:tc>
        <w:tc>
          <w:tcPr>
            <w:tcW w:w="3060" w:type="dxa"/>
            <w:tcBorders>
              <w:top w:val="nil"/>
              <w:bottom w:val="nil"/>
            </w:tcBorders>
            <w:shd w:val="clear" w:color="auto" w:fill="auto"/>
          </w:tcPr>
          <w:p w14:paraId="7557294F" w14:textId="77777777" w:rsidR="000D07EA" w:rsidRDefault="00BE7C89">
            <w:pPr>
              <w:pStyle w:val="BodyText"/>
              <w:keepNext/>
              <w:spacing w:before="100" w:after="100"/>
              <w:jc w:val="center"/>
            </w:pPr>
            <w:r>
              <w:t>$0.00</w:t>
            </w:r>
          </w:p>
        </w:tc>
      </w:tr>
      <w:tr w:rsidR="000D07EA" w14:paraId="58295756" w14:textId="77777777">
        <w:tc>
          <w:tcPr>
            <w:tcW w:w="4248" w:type="dxa"/>
            <w:tcBorders>
              <w:top w:val="nil"/>
              <w:bottom w:val="nil"/>
            </w:tcBorders>
            <w:shd w:val="clear" w:color="auto" w:fill="auto"/>
          </w:tcPr>
          <w:p w14:paraId="3409861D" w14:textId="77777777" w:rsidR="000D07EA" w:rsidRDefault="00BE7C89">
            <w:pPr>
              <w:pStyle w:val="BodyText"/>
              <w:spacing w:before="100" w:after="100"/>
              <w:rPr>
                <w:b/>
              </w:rPr>
            </w:pPr>
            <w:r>
              <w:rPr>
                <w:b/>
              </w:rPr>
              <w:t>Data Call Charges</w:t>
            </w:r>
            <w:r>
              <w:t xml:space="preserve"> (per 30 seconds)</w:t>
            </w:r>
          </w:p>
        </w:tc>
        <w:tc>
          <w:tcPr>
            <w:tcW w:w="3060" w:type="dxa"/>
            <w:tcBorders>
              <w:top w:val="nil"/>
              <w:bottom w:val="nil"/>
            </w:tcBorders>
            <w:shd w:val="clear" w:color="auto" w:fill="auto"/>
          </w:tcPr>
          <w:p w14:paraId="6C6ACC37" w14:textId="77777777" w:rsidR="000D07EA" w:rsidRDefault="00BE7C89">
            <w:pPr>
              <w:pStyle w:val="BodyText"/>
              <w:spacing w:before="100" w:after="100"/>
              <w:jc w:val="center"/>
            </w:pPr>
            <w:r>
              <w:t>$0.17 ($0.187)</w:t>
            </w:r>
          </w:p>
        </w:tc>
      </w:tr>
      <w:tr w:rsidR="000D07EA" w14:paraId="572038B4" w14:textId="77777777">
        <w:tc>
          <w:tcPr>
            <w:tcW w:w="4248" w:type="dxa"/>
            <w:tcBorders>
              <w:top w:val="nil"/>
            </w:tcBorders>
            <w:shd w:val="clear" w:color="auto" w:fill="auto"/>
          </w:tcPr>
          <w:p w14:paraId="450853BC" w14:textId="77777777" w:rsidR="000D07EA" w:rsidRDefault="00BE7C89">
            <w:pPr>
              <w:pStyle w:val="BodyText"/>
              <w:spacing w:before="100" w:after="100"/>
              <w:rPr>
                <w:b/>
              </w:rPr>
            </w:pPr>
            <w:r>
              <w:rPr>
                <w:b/>
              </w:rPr>
              <w:t>WAP CSD Charge</w:t>
            </w:r>
            <w:r>
              <w:t xml:space="preserve"> (per 30 seconds)</w:t>
            </w:r>
          </w:p>
        </w:tc>
        <w:tc>
          <w:tcPr>
            <w:tcW w:w="3060" w:type="dxa"/>
            <w:tcBorders>
              <w:top w:val="nil"/>
            </w:tcBorders>
            <w:shd w:val="clear" w:color="auto" w:fill="auto"/>
          </w:tcPr>
          <w:p w14:paraId="6B8136CD" w14:textId="77777777" w:rsidR="000D07EA" w:rsidRDefault="00BE7C89">
            <w:pPr>
              <w:pStyle w:val="BodyText"/>
              <w:spacing w:before="100" w:after="100"/>
              <w:jc w:val="center"/>
            </w:pPr>
            <w:r>
              <w:t>$0.17 ($0.187)</w:t>
            </w:r>
          </w:p>
        </w:tc>
      </w:tr>
    </w:tbl>
    <w:p w14:paraId="0A2C3054" w14:textId="77777777" w:rsidR="000D07EA" w:rsidRDefault="000D07EA">
      <w:pPr>
        <w:pStyle w:val="BodyText"/>
      </w:pPr>
    </w:p>
    <w:p w14:paraId="5C46BF4F" w14:textId="77777777" w:rsidR="000D07EA" w:rsidRDefault="00BE7C89">
      <w:pPr>
        <w:pStyle w:val="Heading7"/>
      </w:pPr>
      <w:r>
        <w:t xml:space="preserve">If </w:t>
      </w:r>
      <w:r>
        <w:rPr>
          <w:i/>
        </w:rPr>
        <w:t>you</w:t>
      </w:r>
      <w:r>
        <w:t xml:space="preserve"> connect to the 'yes' Business Data </w:t>
      </w:r>
      <w:r>
        <w:rPr>
          <w:i/>
        </w:rPr>
        <w:t>pricing plan</w:t>
      </w:r>
      <w:r>
        <w:t xml:space="preserve"> from 23 August 2001 </w:t>
      </w:r>
      <w:r>
        <w:rPr>
          <w:i/>
        </w:rPr>
        <w:t>you</w:t>
      </w:r>
      <w:r>
        <w:t xml:space="preserve"> will receive a special rate for WAP CSD calls as specified below: </w:t>
      </w: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248"/>
        <w:gridCol w:w="3060"/>
      </w:tblGrid>
      <w:tr w:rsidR="000D07EA" w14:paraId="50B6798A" w14:textId="77777777">
        <w:tc>
          <w:tcPr>
            <w:tcW w:w="7308" w:type="dxa"/>
            <w:gridSpan w:val="2"/>
            <w:tcBorders>
              <w:bottom w:val="single" w:sz="4" w:space="0" w:color="auto"/>
            </w:tcBorders>
            <w:shd w:val="clear" w:color="auto" w:fill="auto"/>
          </w:tcPr>
          <w:p w14:paraId="21262DC4" w14:textId="77777777" w:rsidR="000D07EA" w:rsidRDefault="00BE7C89">
            <w:pPr>
              <w:pStyle w:val="BodyText"/>
              <w:spacing w:before="100" w:after="100"/>
              <w:jc w:val="center"/>
              <w:rPr>
                <w:b/>
              </w:rPr>
            </w:pPr>
            <w:r>
              <w:rPr>
                <w:b/>
              </w:rPr>
              <w:lastRenderedPageBreak/>
              <w:t>'yes' Business Data Plan</w:t>
            </w:r>
            <w:r>
              <w:rPr>
                <w:b/>
              </w:rPr>
              <w:br/>
              <w:t>(for connections from 23 August 2001)</w:t>
            </w:r>
          </w:p>
        </w:tc>
      </w:tr>
      <w:tr w:rsidR="000D07EA" w14:paraId="386D3B83" w14:textId="77777777">
        <w:tc>
          <w:tcPr>
            <w:tcW w:w="4248" w:type="dxa"/>
            <w:tcBorders>
              <w:bottom w:val="nil"/>
            </w:tcBorders>
            <w:shd w:val="clear" w:color="auto" w:fill="auto"/>
          </w:tcPr>
          <w:p w14:paraId="03618BF6" w14:textId="77777777" w:rsidR="000D07EA" w:rsidRDefault="00BE7C89">
            <w:pPr>
              <w:pStyle w:val="BodyText"/>
              <w:spacing w:before="100" w:after="100"/>
              <w:rPr>
                <w:b/>
                <w:i/>
              </w:rPr>
            </w:pPr>
            <w:r>
              <w:rPr>
                <w:b/>
                <w:i/>
              </w:rPr>
              <w:t>Flagfall</w:t>
            </w:r>
          </w:p>
        </w:tc>
        <w:tc>
          <w:tcPr>
            <w:tcW w:w="3060" w:type="dxa"/>
            <w:tcBorders>
              <w:bottom w:val="nil"/>
            </w:tcBorders>
            <w:shd w:val="clear" w:color="auto" w:fill="auto"/>
          </w:tcPr>
          <w:p w14:paraId="50431443" w14:textId="77777777" w:rsidR="000D07EA" w:rsidRDefault="00BE7C89">
            <w:pPr>
              <w:pStyle w:val="BodyText"/>
              <w:spacing w:before="100" w:after="100"/>
              <w:jc w:val="center"/>
            </w:pPr>
            <w:r>
              <w:t>$0.00</w:t>
            </w:r>
          </w:p>
        </w:tc>
      </w:tr>
      <w:tr w:rsidR="000D07EA" w14:paraId="5085C8D0" w14:textId="77777777">
        <w:tc>
          <w:tcPr>
            <w:tcW w:w="4248" w:type="dxa"/>
            <w:tcBorders>
              <w:top w:val="nil"/>
              <w:bottom w:val="nil"/>
            </w:tcBorders>
            <w:shd w:val="clear" w:color="auto" w:fill="auto"/>
          </w:tcPr>
          <w:p w14:paraId="5190DD04" w14:textId="77777777" w:rsidR="000D07EA" w:rsidRDefault="00BE7C89">
            <w:pPr>
              <w:pStyle w:val="BodyText"/>
              <w:spacing w:before="100" w:after="100"/>
              <w:rPr>
                <w:b/>
              </w:rPr>
            </w:pPr>
            <w:r>
              <w:rPr>
                <w:b/>
              </w:rPr>
              <w:t xml:space="preserve">Monthly </w:t>
            </w:r>
            <w:r>
              <w:rPr>
                <w:b/>
                <w:i/>
              </w:rPr>
              <w:t>access fee</w:t>
            </w:r>
          </w:p>
        </w:tc>
        <w:tc>
          <w:tcPr>
            <w:tcW w:w="3060" w:type="dxa"/>
            <w:tcBorders>
              <w:top w:val="nil"/>
              <w:bottom w:val="nil"/>
            </w:tcBorders>
            <w:shd w:val="clear" w:color="auto" w:fill="auto"/>
          </w:tcPr>
          <w:p w14:paraId="3D7BC6C8" w14:textId="77777777" w:rsidR="000D07EA" w:rsidRDefault="00BE7C89">
            <w:pPr>
              <w:pStyle w:val="BodyText"/>
              <w:spacing w:before="100" w:after="100"/>
              <w:jc w:val="center"/>
            </w:pPr>
            <w:r>
              <w:t>$0.00</w:t>
            </w:r>
          </w:p>
        </w:tc>
      </w:tr>
      <w:tr w:rsidR="000D07EA" w14:paraId="71F0FC96" w14:textId="77777777">
        <w:tc>
          <w:tcPr>
            <w:tcW w:w="4248" w:type="dxa"/>
            <w:tcBorders>
              <w:top w:val="nil"/>
              <w:bottom w:val="nil"/>
            </w:tcBorders>
            <w:shd w:val="clear" w:color="auto" w:fill="auto"/>
          </w:tcPr>
          <w:p w14:paraId="3775AB74" w14:textId="77777777" w:rsidR="000D07EA" w:rsidRDefault="00BE7C89">
            <w:pPr>
              <w:pStyle w:val="BodyText"/>
              <w:spacing w:before="100" w:after="100"/>
              <w:rPr>
                <w:b/>
              </w:rPr>
            </w:pPr>
            <w:r>
              <w:rPr>
                <w:b/>
              </w:rPr>
              <w:t>Data Call Charges</w:t>
            </w:r>
            <w:r>
              <w:t xml:space="preserve"> (per 30 seconds)</w:t>
            </w:r>
          </w:p>
        </w:tc>
        <w:tc>
          <w:tcPr>
            <w:tcW w:w="3060" w:type="dxa"/>
            <w:tcBorders>
              <w:top w:val="nil"/>
              <w:bottom w:val="nil"/>
            </w:tcBorders>
            <w:shd w:val="clear" w:color="auto" w:fill="auto"/>
          </w:tcPr>
          <w:p w14:paraId="383F5D74" w14:textId="77777777" w:rsidR="000D07EA" w:rsidRDefault="00BE7C89">
            <w:pPr>
              <w:pStyle w:val="BodyText"/>
              <w:spacing w:before="100" w:after="100"/>
              <w:jc w:val="center"/>
            </w:pPr>
            <w:r>
              <w:t>$0.17 ($0.187)</w:t>
            </w:r>
          </w:p>
        </w:tc>
      </w:tr>
      <w:tr w:rsidR="000D07EA" w14:paraId="494A1589" w14:textId="77777777">
        <w:trPr>
          <w:trHeight w:val="74"/>
        </w:trPr>
        <w:tc>
          <w:tcPr>
            <w:tcW w:w="4248" w:type="dxa"/>
            <w:tcBorders>
              <w:top w:val="nil"/>
              <w:bottom w:val="nil"/>
            </w:tcBorders>
            <w:shd w:val="clear" w:color="auto" w:fill="auto"/>
          </w:tcPr>
          <w:p w14:paraId="4516F157" w14:textId="77777777" w:rsidR="000D07EA" w:rsidRDefault="00BE7C89">
            <w:pPr>
              <w:pStyle w:val="BodyText"/>
              <w:spacing w:before="100" w:after="100"/>
              <w:rPr>
                <w:b/>
              </w:rPr>
            </w:pPr>
            <w:r>
              <w:rPr>
                <w:b/>
              </w:rPr>
              <w:t>WAP CSD Charge</w:t>
            </w:r>
            <w:r>
              <w:rPr>
                <w:b/>
              </w:rPr>
              <w:br/>
            </w:r>
            <w:r>
              <w:t>(per 30 seconds)</w:t>
            </w:r>
          </w:p>
        </w:tc>
        <w:tc>
          <w:tcPr>
            <w:tcW w:w="3060" w:type="dxa"/>
            <w:tcBorders>
              <w:top w:val="nil"/>
              <w:bottom w:val="nil"/>
            </w:tcBorders>
            <w:shd w:val="clear" w:color="auto" w:fill="auto"/>
          </w:tcPr>
          <w:p w14:paraId="1C357159" w14:textId="77777777" w:rsidR="000D07EA" w:rsidRDefault="000D07EA">
            <w:pPr>
              <w:pStyle w:val="BodyText"/>
              <w:spacing w:before="100" w:after="100"/>
              <w:jc w:val="center"/>
            </w:pPr>
          </w:p>
        </w:tc>
      </w:tr>
      <w:tr w:rsidR="000D07EA" w14:paraId="6EFD1232" w14:textId="77777777">
        <w:tc>
          <w:tcPr>
            <w:tcW w:w="4248" w:type="dxa"/>
            <w:tcBorders>
              <w:top w:val="nil"/>
              <w:bottom w:val="nil"/>
            </w:tcBorders>
            <w:shd w:val="clear" w:color="auto" w:fill="auto"/>
          </w:tcPr>
          <w:p w14:paraId="3A28F712" w14:textId="77777777" w:rsidR="000D07EA" w:rsidRDefault="00BE7C89">
            <w:pPr>
              <w:pStyle w:val="BodyText"/>
              <w:spacing w:before="100" w:after="100"/>
              <w:ind w:left="360"/>
              <w:rPr>
                <w:i/>
              </w:rPr>
            </w:pPr>
            <w:r>
              <w:rPr>
                <w:i/>
              </w:rPr>
              <w:t>Peak</w:t>
            </w:r>
          </w:p>
        </w:tc>
        <w:tc>
          <w:tcPr>
            <w:tcW w:w="3060" w:type="dxa"/>
            <w:tcBorders>
              <w:top w:val="nil"/>
              <w:bottom w:val="nil"/>
            </w:tcBorders>
            <w:shd w:val="clear" w:color="auto" w:fill="auto"/>
          </w:tcPr>
          <w:p w14:paraId="509B4042" w14:textId="77777777" w:rsidR="000D07EA" w:rsidRDefault="00BE7C89">
            <w:pPr>
              <w:pStyle w:val="BodyText"/>
              <w:spacing w:before="100" w:after="100"/>
              <w:jc w:val="center"/>
            </w:pPr>
            <w:r>
              <w:t>$0.15 ($0.165)</w:t>
            </w:r>
          </w:p>
        </w:tc>
      </w:tr>
      <w:tr w:rsidR="000D07EA" w14:paraId="27C76FA7" w14:textId="77777777">
        <w:tc>
          <w:tcPr>
            <w:tcW w:w="4248" w:type="dxa"/>
            <w:tcBorders>
              <w:top w:val="nil"/>
              <w:bottom w:val="nil"/>
            </w:tcBorders>
            <w:shd w:val="clear" w:color="auto" w:fill="auto"/>
          </w:tcPr>
          <w:p w14:paraId="7DAFE96B" w14:textId="77777777" w:rsidR="000D07EA" w:rsidRDefault="00BE7C89">
            <w:pPr>
              <w:pStyle w:val="BodyText"/>
              <w:spacing w:before="100" w:after="100"/>
              <w:ind w:left="360"/>
              <w:rPr>
                <w:i/>
              </w:rPr>
            </w:pPr>
            <w:r>
              <w:rPr>
                <w:i/>
              </w:rPr>
              <w:t>Off Peak</w:t>
            </w:r>
          </w:p>
        </w:tc>
        <w:tc>
          <w:tcPr>
            <w:tcW w:w="3060" w:type="dxa"/>
            <w:tcBorders>
              <w:top w:val="nil"/>
              <w:bottom w:val="nil"/>
            </w:tcBorders>
            <w:shd w:val="clear" w:color="auto" w:fill="auto"/>
          </w:tcPr>
          <w:p w14:paraId="609AA561" w14:textId="77777777" w:rsidR="000D07EA" w:rsidRDefault="00BE7C89">
            <w:pPr>
              <w:pStyle w:val="BodyText"/>
              <w:spacing w:before="100" w:after="100"/>
              <w:jc w:val="center"/>
            </w:pPr>
            <w:r>
              <w:t>$0.15 ($0.165)</w:t>
            </w:r>
          </w:p>
        </w:tc>
      </w:tr>
      <w:tr w:rsidR="000D07EA" w14:paraId="50F0CA9C" w14:textId="77777777">
        <w:tc>
          <w:tcPr>
            <w:tcW w:w="4248" w:type="dxa"/>
            <w:tcBorders>
              <w:top w:val="nil"/>
              <w:bottom w:val="nil"/>
            </w:tcBorders>
            <w:shd w:val="clear" w:color="auto" w:fill="auto"/>
          </w:tcPr>
          <w:p w14:paraId="29132559" w14:textId="77777777" w:rsidR="000D07EA" w:rsidRDefault="00BE7C89">
            <w:pPr>
              <w:pStyle w:val="BodyText"/>
              <w:spacing w:before="100" w:after="100"/>
              <w:ind w:left="360"/>
              <w:rPr>
                <w:i/>
              </w:rPr>
            </w:pPr>
            <w:r>
              <w:rPr>
                <w:i/>
              </w:rPr>
              <w:t>Weekend (7pm Friday until 7am Monday EST)</w:t>
            </w:r>
          </w:p>
        </w:tc>
        <w:tc>
          <w:tcPr>
            <w:tcW w:w="3060" w:type="dxa"/>
            <w:tcBorders>
              <w:top w:val="nil"/>
              <w:bottom w:val="nil"/>
            </w:tcBorders>
            <w:shd w:val="clear" w:color="auto" w:fill="auto"/>
          </w:tcPr>
          <w:p w14:paraId="5E8C8C57" w14:textId="77777777" w:rsidR="000D07EA" w:rsidRDefault="00BE7C89">
            <w:pPr>
              <w:pStyle w:val="BodyText"/>
              <w:spacing w:before="100" w:after="100"/>
              <w:jc w:val="center"/>
            </w:pPr>
            <w:r>
              <w:t>$0.05 ($0.055)</w:t>
            </w:r>
          </w:p>
        </w:tc>
      </w:tr>
      <w:tr w:rsidR="000D07EA" w14:paraId="0ED2B70B" w14:textId="77777777">
        <w:tc>
          <w:tcPr>
            <w:tcW w:w="4248" w:type="dxa"/>
            <w:tcBorders>
              <w:top w:val="nil"/>
            </w:tcBorders>
            <w:shd w:val="clear" w:color="auto" w:fill="auto"/>
          </w:tcPr>
          <w:p w14:paraId="409996D1" w14:textId="77777777" w:rsidR="000D07EA" w:rsidRDefault="00BE7C89">
            <w:pPr>
              <w:pStyle w:val="BodyText"/>
              <w:spacing w:before="100" w:after="100"/>
              <w:ind w:left="360"/>
              <w:rPr>
                <w:i/>
              </w:rPr>
            </w:pPr>
            <w:r>
              <w:rPr>
                <w:i/>
              </w:rPr>
              <w:t>Flag Fall</w:t>
            </w:r>
          </w:p>
        </w:tc>
        <w:tc>
          <w:tcPr>
            <w:tcW w:w="3060" w:type="dxa"/>
            <w:tcBorders>
              <w:top w:val="nil"/>
            </w:tcBorders>
            <w:shd w:val="clear" w:color="auto" w:fill="auto"/>
          </w:tcPr>
          <w:p w14:paraId="5F3BA917" w14:textId="77777777" w:rsidR="000D07EA" w:rsidRDefault="00BE7C89">
            <w:pPr>
              <w:pStyle w:val="BodyText"/>
              <w:spacing w:before="100" w:after="100"/>
              <w:jc w:val="center"/>
            </w:pPr>
            <w:r>
              <w:t>$0.15 ($0.165)</w:t>
            </w:r>
          </w:p>
        </w:tc>
      </w:tr>
    </w:tbl>
    <w:p w14:paraId="44C4D2C0" w14:textId="77777777" w:rsidR="000D07EA" w:rsidRDefault="000D07EA">
      <w:pPr>
        <w:pStyle w:val="BodyText"/>
      </w:pPr>
    </w:p>
    <w:p w14:paraId="4DD5DA9A" w14:textId="77777777" w:rsidR="000D07EA" w:rsidRDefault="00BE7C89">
      <w:pPr>
        <w:pStyle w:val="Heading4"/>
      </w:pPr>
      <w:bookmarkStart w:id="65" w:name="_Toc62644609"/>
      <w:r>
        <w:t>'yes' Business 9 Plan</w:t>
      </w:r>
      <w:bookmarkEnd w:id="65"/>
    </w:p>
    <w:p w14:paraId="20303165" w14:textId="77777777" w:rsidR="000D07EA" w:rsidRDefault="00BE7C89">
      <w:pPr>
        <w:pStyle w:val="Heading6"/>
        <w:ind w:left="0" w:firstLine="0"/>
      </w:pPr>
      <w:r>
        <w:t>Eligibility</w:t>
      </w:r>
    </w:p>
    <w:p w14:paraId="73E3B54C" w14:textId="77777777" w:rsidR="000D07EA" w:rsidRDefault="00BE7C89">
      <w:pPr>
        <w:pStyle w:val="Heading7"/>
      </w:pPr>
      <w:r>
        <w:t xml:space="preserve">The </w:t>
      </w:r>
      <w:r>
        <w:rPr>
          <w:i/>
        </w:rPr>
        <w:t>'yes' Business 9</w:t>
      </w:r>
      <w:r>
        <w:t xml:space="preserve"> Plan is available to credit approved new customers. Optus Service Providers' customers are excluded.</w:t>
      </w:r>
    </w:p>
    <w:p w14:paraId="01AF1B00" w14:textId="77777777" w:rsidR="000D07EA" w:rsidRDefault="00BE7C89">
      <w:pPr>
        <w:pStyle w:val="Heading7"/>
      </w:pPr>
      <w:r>
        <w:t xml:space="preserve">Only customers who have not been previously connected to </w:t>
      </w:r>
      <w:r>
        <w:rPr>
          <w:i/>
        </w:rPr>
        <w:t>our network</w:t>
      </w:r>
      <w:r>
        <w:t xml:space="preserve"> are classified by </w:t>
      </w:r>
      <w:r>
        <w:rPr>
          <w:i/>
        </w:rPr>
        <w:t>us</w:t>
      </w:r>
      <w:r>
        <w:t xml:space="preserve"> as new customers.</w:t>
      </w:r>
    </w:p>
    <w:p w14:paraId="35AB822D" w14:textId="77777777" w:rsidR="000D07EA" w:rsidRDefault="00BE7C89">
      <w:pPr>
        <w:pStyle w:val="Heading6"/>
        <w:keepNext/>
        <w:ind w:left="0" w:firstLine="0"/>
      </w:pPr>
      <w:r>
        <w:t xml:space="preserve">Is it a </w:t>
      </w:r>
      <w:r>
        <w:rPr>
          <w:i/>
        </w:rPr>
        <w:t>fixed length agreement</w:t>
      </w:r>
      <w:r>
        <w:t>?</w:t>
      </w:r>
    </w:p>
    <w:p w14:paraId="0FADD484" w14:textId="77777777" w:rsidR="000D07EA" w:rsidRDefault="00BE7C89">
      <w:pPr>
        <w:pStyle w:val="BodyText"/>
        <w:ind w:left="720"/>
      </w:pPr>
      <w:r>
        <w:rPr>
          <w:i/>
        </w:rPr>
        <w:t>You</w:t>
      </w:r>
      <w:r>
        <w:t xml:space="preserve"> must agree to a </w:t>
      </w:r>
      <w:r>
        <w:rPr>
          <w:i/>
        </w:rPr>
        <w:t>non fixed-length agreement</w:t>
      </w:r>
      <w:r>
        <w:t>.</w:t>
      </w:r>
    </w:p>
    <w:p w14:paraId="1ABE801B" w14:textId="77777777" w:rsidR="000D07EA" w:rsidRDefault="00BE7C89">
      <w:pPr>
        <w:pStyle w:val="Heading6"/>
        <w:ind w:left="0" w:firstLine="0"/>
      </w:pPr>
      <w:r>
        <w:t xml:space="preserve">What </w:t>
      </w:r>
      <w:r>
        <w:rPr>
          <w:i/>
        </w:rPr>
        <w:t>you</w:t>
      </w:r>
      <w:r>
        <w:t xml:space="preserve"> have to pay </w:t>
      </w:r>
      <w:r>
        <w:rPr>
          <w:i/>
        </w:rPr>
        <w:t>us</w:t>
      </w:r>
    </w:p>
    <w:p w14:paraId="19454F79" w14:textId="77777777" w:rsidR="000D07EA" w:rsidRDefault="00BE7C89">
      <w:pPr>
        <w:pStyle w:val="Heading7"/>
      </w:pPr>
      <w:r>
        <w:rPr>
          <w:i/>
        </w:rPr>
        <w:t>You</w:t>
      </w:r>
      <w:r>
        <w:t xml:space="preserve"> must pay </w:t>
      </w:r>
      <w:r>
        <w:rPr>
          <w:i/>
        </w:rPr>
        <w:t>us</w:t>
      </w:r>
      <w:r>
        <w:t xml:space="preserve"> the monthly service charge of $9 each month during the term of </w:t>
      </w:r>
      <w:r>
        <w:rPr>
          <w:i/>
        </w:rPr>
        <w:t>the agreement</w:t>
      </w:r>
      <w:r>
        <w:t>. This monthly service charge includes $9 of monthly included call credits.</w:t>
      </w:r>
    </w:p>
    <w:p w14:paraId="13068943" w14:textId="77777777" w:rsidR="000D07EA" w:rsidRDefault="00BE7C89">
      <w:pPr>
        <w:pStyle w:val="Heading7"/>
      </w:pPr>
      <w:r>
        <w:t xml:space="preserve">The calls that are eligible for the included call credit component are standard voice calls, standard SMS and MMS. Included call credits exclude some call types such as, International Calls, International MMS, International Roaming, Directory Assistance, Group SMS, Premium SMS and 1900 calls. </w:t>
      </w:r>
    </w:p>
    <w:p w14:paraId="7CCC7A92" w14:textId="77777777" w:rsidR="000D07EA" w:rsidRDefault="00BE7C89">
      <w:pPr>
        <w:pStyle w:val="Heading7"/>
      </w:pPr>
      <w:r>
        <w:rPr>
          <w:i/>
        </w:rPr>
        <w:t>You</w:t>
      </w:r>
      <w:r>
        <w:t xml:space="preserve"> must pay </w:t>
      </w:r>
      <w:r>
        <w:rPr>
          <w:i/>
        </w:rPr>
        <w:t>us</w:t>
      </w:r>
      <w:r>
        <w:t xml:space="preserve"> for call charges beyond </w:t>
      </w:r>
      <w:r>
        <w:rPr>
          <w:i/>
        </w:rPr>
        <w:t>your</w:t>
      </w:r>
      <w:r>
        <w:t xml:space="preserve"> included call credit amount, and </w:t>
      </w:r>
      <w:r>
        <w:rPr>
          <w:i/>
        </w:rPr>
        <w:t>you</w:t>
      </w:r>
      <w:r>
        <w:t xml:space="preserve"> must pay for any calls that are not eligible calls.</w:t>
      </w:r>
    </w:p>
    <w:p w14:paraId="4B872BD3" w14:textId="77777777" w:rsidR="000D07EA" w:rsidRDefault="00BE7C89">
      <w:pPr>
        <w:pStyle w:val="Heading7"/>
      </w:pPr>
      <w:r>
        <w:t xml:space="preserve">Unused included call credits expire at the end of the month and are not refundable, even when the </w:t>
      </w:r>
      <w:r>
        <w:rPr>
          <w:i/>
        </w:rPr>
        <w:t>service</w:t>
      </w:r>
      <w:r>
        <w:t xml:space="preserve"> is </w:t>
      </w:r>
      <w:r>
        <w:rPr>
          <w:i/>
        </w:rPr>
        <w:t>cancelled</w:t>
      </w:r>
      <w:r>
        <w:t>. For example, included call credits accumulated in April expire at the end of April and cannot be used in May.</w:t>
      </w:r>
    </w:p>
    <w:p w14:paraId="1BA91000" w14:textId="77777777" w:rsidR="000D07EA" w:rsidRDefault="00BE7C89">
      <w:pPr>
        <w:pStyle w:val="Heading7"/>
      </w:pPr>
      <w:r>
        <w:t xml:space="preserve">The </w:t>
      </w:r>
      <w:r>
        <w:rPr>
          <w:i/>
        </w:rPr>
        <w:t>pricing plans</w:t>
      </w:r>
      <w:r>
        <w:t xml:space="preserve"> include a </w:t>
      </w:r>
      <w:r>
        <w:rPr>
          <w:i/>
        </w:rPr>
        <w:t>flagfall</w:t>
      </w:r>
      <w:r>
        <w:t xml:space="preserve"> per call. So the charge for calls made is the </w:t>
      </w:r>
      <w:r>
        <w:rPr>
          <w:i/>
        </w:rPr>
        <w:t>flagfall</w:t>
      </w:r>
      <w:r>
        <w:t xml:space="preserve"> plus the relevant rate multiplied by the duration of the call.</w:t>
      </w:r>
    </w:p>
    <w:p w14:paraId="3FD79B61" w14:textId="77777777" w:rsidR="000D07EA" w:rsidRDefault="00BE7C89">
      <w:pPr>
        <w:pStyle w:val="Heading7"/>
      </w:pPr>
      <w:r>
        <w:t xml:space="preserve">The details of the </w:t>
      </w:r>
      <w:r>
        <w:rPr>
          <w:i/>
        </w:rPr>
        <w:t>pricing plans</w:t>
      </w:r>
      <w:r>
        <w:t xml:space="preserve"> are set out in the Table 1.</w:t>
      </w:r>
    </w:p>
    <w:p w14:paraId="4D70A7BD" w14:textId="77777777" w:rsidR="000D07EA" w:rsidRDefault="00BE7C89">
      <w:pPr>
        <w:pStyle w:val="Heading6"/>
        <w:ind w:left="0" w:firstLine="0"/>
      </w:pPr>
      <w:r>
        <w:t xml:space="preserve">Cancellation of the </w:t>
      </w:r>
      <w:r>
        <w:rPr>
          <w:i/>
        </w:rPr>
        <w:t>service</w:t>
      </w:r>
    </w:p>
    <w:p w14:paraId="75DFCCC8" w14:textId="77777777" w:rsidR="000D07EA" w:rsidRDefault="00BE7C89">
      <w:pPr>
        <w:pStyle w:val="BodyText"/>
        <w:ind w:left="720"/>
      </w:pPr>
      <w:r>
        <w:rPr>
          <w:i/>
        </w:rPr>
        <w:t>We</w:t>
      </w:r>
      <w:r>
        <w:t xml:space="preserve"> may </w:t>
      </w:r>
      <w:r>
        <w:rPr>
          <w:i/>
        </w:rPr>
        <w:t>cancel the service</w:t>
      </w:r>
      <w:r>
        <w:t xml:space="preserve"> if it has not been used for an outbound call for 60 days. You will be notified of this before </w:t>
      </w:r>
      <w:r>
        <w:rPr>
          <w:i/>
        </w:rPr>
        <w:t>cancellation</w:t>
      </w:r>
      <w:r>
        <w:t xml:space="preserve"> and </w:t>
      </w:r>
      <w:r>
        <w:rPr>
          <w:i/>
        </w:rPr>
        <w:t>we</w:t>
      </w:r>
      <w:r>
        <w:t xml:space="preserve"> will claw-back any commissions paid to the dealer for </w:t>
      </w:r>
      <w:r>
        <w:rPr>
          <w:i/>
        </w:rPr>
        <w:t>your</w:t>
      </w:r>
      <w:r>
        <w:t xml:space="preserve"> connection.</w:t>
      </w:r>
    </w:p>
    <w:p w14:paraId="25C00DAB" w14:textId="77777777" w:rsidR="000D07EA" w:rsidRDefault="00BE7C89">
      <w:pPr>
        <w:pStyle w:val="Heading6"/>
        <w:ind w:left="0" w:firstLine="0"/>
      </w:pPr>
      <w:r>
        <w:lastRenderedPageBreak/>
        <w:t>Plan changes</w:t>
      </w:r>
    </w:p>
    <w:p w14:paraId="53D91A15" w14:textId="77777777" w:rsidR="000D07EA" w:rsidRDefault="00BE7C89">
      <w:pPr>
        <w:pStyle w:val="BodyText"/>
        <w:ind w:left="720"/>
      </w:pPr>
      <w:r>
        <w:t xml:space="preserve">Change of ownership is permitted as long as the new applicant meets </w:t>
      </w:r>
      <w:r>
        <w:rPr>
          <w:i/>
        </w:rPr>
        <w:t>our</w:t>
      </w:r>
      <w:r>
        <w:t xml:space="preserve"> credit assessment criteria and both </w:t>
      </w:r>
      <w:r>
        <w:rPr>
          <w:i/>
        </w:rPr>
        <w:t>you</w:t>
      </w:r>
      <w:r>
        <w:t xml:space="preserve"> and new owner agree to the conditions on the Optus Change of Ownership form. </w:t>
      </w:r>
    </w:p>
    <w:p w14:paraId="4ACA83FA" w14:textId="77777777" w:rsidR="000D07EA" w:rsidRDefault="00BE7C89">
      <w:pPr>
        <w:pStyle w:val="Heading6"/>
        <w:ind w:left="0" w:firstLine="0"/>
      </w:pPr>
      <w:r>
        <w:t>Pricing</w:t>
      </w:r>
    </w:p>
    <w:p w14:paraId="5635DA52" w14:textId="77777777" w:rsidR="000D07EA" w:rsidRDefault="00BE7C89">
      <w:pPr>
        <w:pStyle w:val="Heading7"/>
      </w:pPr>
      <w:r>
        <w:t xml:space="preserve">The 'yes' Business 9 </w:t>
      </w:r>
      <w:r>
        <w:rPr>
          <w:i/>
        </w:rPr>
        <w:t>pricing plan</w:t>
      </w:r>
      <w:r>
        <w:t xml:space="preserve"> includes a </w:t>
      </w:r>
      <w:r>
        <w:rPr>
          <w:i/>
        </w:rPr>
        <w:t>flagfall</w:t>
      </w:r>
      <w:r>
        <w:t xml:space="preserve"> per call as specified in the table below, for </w:t>
      </w:r>
      <w:r>
        <w:rPr>
          <w:i/>
        </w:rPr>
        <w:t>local</w:t>
      </w:r>
      <w:r>
        <w:t xml:space="preserve"> and </w:t>
      </w:r>
      <w:r>
        <w:rPr>
          <w:i/>
        </w:rPr>
        <w:t>national long distance</w:t>
      </w:r>
      <w:r>
        <w:t xml:space="preserve"> calls and calls to </w:t>
      </w:r>
      <w:r>
        <w:rPr>
          <w:i/>
        </w:rPr>
        <w:t>mobile phones</w:t>
      </w:r>
      <w:r>
        <w:t xml:space="preserve">. So the charge for these calls is the </w:t>
      </w:r>
      <w:r>
        <w:rPr>
          <w:i/>
        </w:rPr>
        <w:t>flagfall</w:t>
      </w:r>
      <w:r>
        <w:t xml:space="preserve"> plus the relevant rate multiplied by the duration of the call. The </w:t>
      </w:r>
      <w:r>
        <w:rPr>
          <w:i/>
        </w:rPr>
        <w:t>flagfall</w:t>
      </w:r>
      <w:r>
        <w:t xml:space="preserve"> is not applicable to calls made under the 'yes' Business 9 Fleet call rate.</w:t>
      </w:r>
    </w:p>
    <w:p w14:paraId="6B056716" w14:textId="77777777" w:rsidR="000D07EA" w:rsidRDefault="00BE7C89">
      <w:pPr>
        <w:pStyle w:val="Heading7"/>
      </w:pPr>
      <w:r>
        <w:t xml:space="preserve">The 'yes' Business 9 </w:t>
      </w:r>
      <w:r>
        <w:rPr>
          <w:i/>
        </w:rPr>
        <w:t>pricing plan</w:t>
      </w:r>
      <w:r>
        <w:t xml:space="preserve"> includes the 'yes' Business 9 Fleet call rate. Calls from a </w:t>
      </w:r>
      <w:r>
        <w:rPr>
          <w:i/>
        </w:rPr>
        <w:t>mobile phone</w:t>
      </w:r>
      <w:r>
        <w:t xml:space="preserve"> connected to the 'yes' Business 9 </w:t>
      </w:r>
      <w:r>
        <w:rPr>
          <w:i/>
        </w:rPr>
        <w:t>pricing plan</w:t>
      </w:r>
      <w:r>
        <w:t xml:space="preserve"> to another Optus Mobile Digital (GSM) phone with the same customer account number will be charged 10c for the first 5 minutes or part thereof of the call. If the call is longer than 5 minutes </w:t>
      </w:r>
      <w:r>
        <w:rPr>
          <w:i/>
        </w:rPr>
        <w:t>you</w:t>
      </w:r>
      <w:r>
        <w:t xml:space="preserve"> will be charged 10c per 30 seconds or part thereof thereafter. Excludes calls to Optus Pre-Paid, Satellite and service provider customers.</w:t>
      </w:r>
    </w:p>
    <w:p w14:paraId="49509507" w14:textId="77777777" w:rsidR="000D07EA" w:rsidRDefault="00BE7C89">
      <w:pPr>
        <w:pStyle w:val="BodyText"/>
        <w:ind w:left="720"/>
        <w:rPr>
          <w:b/>
        </w:rPr>
      </w:pPr>
      <w:r>
        <w:rPr>
          <w:b/>
        </w:rPr>
        <w:t xml:space="preserve">Table 1- </w:t>
      </w:r>
      <w:r>
        <w:rPr>
          <w:b/>
          <w:i/>
        </w:rPr>
        <w:t>Pricing plan</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2250"/>
      </w:tblGrid>
      <w:tr w:rsidR="000D07EA" w14:paraId="386D6D02" w14:textId="77777777">
        <w:trPr>
          <w:tblHeader/>
        </w:trPr>
        <w:tc>
          <w:tcPr>
            <w:tcW w:w="5670" w:type="dxa"/>
            <w:shd w:val="clear" w:color="auto" w:fill="auto"/>
          </w:tcPr>
          <w:p w14:paraId="337205E2" w14:textId="77777777" w:rsidR="000D07EA" w:rsidRDefault="00BE7C89">
            <w:pPr>
              <w:pStyle w:val="BodyText"/>
              <w:spacing w:before="100" w:after="100"/>
              <w:rPr>
                <w:b/>
              </w:rPr>
            </w:pPr>
            <w:r>
              <w:rPr>
                <w:b/>
              </w:rPr>
              <w:t xml:space="preserve">Charge Type </w:t>
            </w:r>
          </w:p>
        </w:tc>
        <w:tc>
          <w:tcPr>
            <w:tcW w:w="2250" w:type="dxa"/>
            <w:shd w:val="clear" w:color="auto" w:fill="auto"/>
          </w:tcPr>
          <w:p w14:paraId="38588EDC" w14:textId="77777777" w:rsidR="000D07EA" w:rsidRDefault="00BE7C89">
            <w:pPr>
              <w:pStyle w:val="BodyText"/>
              <w:spacing w:before="100" w:after="100"/>
              <w:rPr>
                <w:b/>
              </w:rPr>
            </w:pPr>
            <w:r>
              <w:rPr>
                <w:b/>
              </w:rPr>
              <w:t>'yes' Business 9</w:t>
            </w:r>
          </w:p>
        </w:tc>
      </w:tr>
      <w:tr w:rsidR="000D07EA" w14:paraId="79F78899" w14:textId="77777777">
        <w:tc>
          <w:tcPr>
            <w:tcW w:w="5670" w:type="dxa"/>
            <w:shd w:val="clear" w:color="auto" w:fill="auto"/>
          </w:tcPr>
          <w:p w14:paraId="58FBAC75" w14:textId="77777777" w:rsidR="000D07EA" w:rsidRDefault="00BE7C89">
            <w:pPr>
              <w:pStyle w:val="BodyText"/>
              <w:spacing w:before="100" w:after="100"/>
            </w:pPr>
            <w:r>
              <w:t>Monthly Access Fee</w:t>
            </w:r>
          </w:p>
        </w:tc>
        <w:tc>
          <w:tcPr>
            <w:tcW w:w="2250" w:type="dxa"/>
            <w:shd w:val="clear" w:color="auto" w:fill="auto"/>
          </w:tcPr>
          <w:p w14:paraId="4A13F053" w14:textId="77777777" w:rsidR="000D07EA" w:rsidRDefault="00BE7C89">
            <w:pPr>
              <w:pStyle w:val="BodyText"/>
              <w:spacing w:before="100" w:after="100"/>
            </w:pPr>
            <w:r>
              <w:t>$9.00</w:t>
            </w:r>
          </w:p>
        </w:tc>
      </w:tr>
      <w:tr w:rsidR="000D07EA" w14:paraId="06CF04FA" w14:textId="77777777">
        <w:tc>
          <w:tcPr>
            <w:tcW w:w="5670" w:type="dxa"/>
            <w:shd w:val="clear" w:color="auto" w:fill="auto"/>
          </w:tcPr>
          <w:p w14:paraId="28405DBA" w14:textId="77777777" w:rsidR="000D07EA" w:rsidRDefault="00BE7C89">
            <w:pPr>
              <w:pStyle w:val="BodyText"/>
              <w:spacing w:before="100" w:after="100"/>
            </w:pPr>
            <w:r>
              <w:t>Monthly Credits included in the Monthly Service Charge #</w:t>
            </w:r>
          </w:p>
        </w:tc>
        <w:tc>
          <w:tcPr>
            <w:tcW w:w="2250" w:type="dxa"/>
            <w:shd w:val="clear" w:color="auto" w:fill="auto"/>
          </w:tcPr>
          <w:p w14:paraId="4858840F" w14:textId="77777777" w:rsidR="000D07EA" w:rsidRDefault="00BE7C89">
            <w:pPr>
              <w:pStyle w:val="BodyText"/>
              <w:spacing w:before="100" w:after="100"/>
            </w:pPr>
            <w:r>
              <w:t>$9.00</w:t>
            </w:r>
          </w:p>
        </w:tc>
      </w:tr>
      <w:tr w:rsidR="000D07EA" w14:paraId="687C1909" w14:textId="77777777">
        <w:tc>
          <w:tcPr>
            <w:tcW w:w="5670" w:type="dxa"/>
            <w:shd w:val="clear" w:color="auto" w:fill="auto"/>
          </w:tcPr>
          <w:p w14:paraId="4EFE8FE9" w14:textId="77777777" w:rsidR="000D07EA" w:rsidRDefault="00BE7C89">
            <w:pPr>
              <w:pStyle w:val="BodyText"/>
              <w:spacing w:before="100" w:after="100"/>
            </w:pPr>
            <w:r>
              <w:t>Call Charges (per 30 seconds)</w:t>
            </w:r>
          </w:p>
          <w:p w14:paraId="16E3B41D" w14:textId="77777777" w:rsidR="000D07EA" w:rsidRDefault="00BE7C89">
            <w:pPr>
              <w:pStyle w:val="BodyText"/>
              <w:spacing w:before="100" w:after="100"/>
              <w:rPr>
                <w:i/>
              </w:rPr>
            </w:pPr>
            <w:r>
              <w:rPr>
                <w:i/>
              </w:rPr>
              <w:t>local calls &amp; national long distance call</w:t>
            </w:r>
          </w:p>
          <w:p w14:paraId="3881878A" w14:textId="77777777" w:rsidR="000D07EA" w:rsidRDefault="00BE7C89">
            <w:pPr>
              <w:pStyle w:val="BodyText"/>
              <w:spacing w:before="100" w:after="100"/>
              <w:rPr>
                <w:i/>
              </w:rPr>
            </w:pPr>
            <w:r>
              <w:rPr>
                <w:i/>
              </w:rPr>
              <w:t>To Optus GSM Network Mobile phones*</w:t>
            </w:r>
          </w:p>
          <w:p w14:paraId="5C398C27" w14:textId="77777777" w:rsidR="000D07EA" w:rsidRDefault="00BE7C89">
            <w:pPr>
              <w:pStyle w:val="BodyText"/>
              <w:spacing w:before="100" w:after="100"/>
            </w:pPr>
            <w:r>
              <w:rPr>
                <w:i/>
              </w:rPr>
              <w:t>To other Mobile phones</w:t>
            </w:r>
          </w:p>
        </w:tc>
        <w:tc>
          <w:tcPr>
            <w:tcW w:w="2250" w:type="dxa"/>
            <w:shd w:val="clear" w:color="auto" w:fill="auto"/>
          </w:tcPr>
          <w:p w14:paraId="26C297E6" w14:textId="77777777" w:rsidR="000D07EA" w:rsidRDefault="000D07EA">
            <w:pPr>
              <w:pStyle w:val="BodyText"/>
              <w:spacing w:before="100" w:after="100"/>
            </w:pPr>
          </w:p>
          <w:p w14:paraId="124A2355" w14:textId="77777777" w:rsidR="000D07EA" w:rsidRDefault="00BE7C89">
            <w:pPr>
              <w:pStyle w:val="BodyText"/>
              <w:spacing w:before="100" w:after="100"/>
            </w:pPr>
            <w:r>
              <w:t>30.8c</w:t>
            </w:r>
          </w:p>
          <w:p w14:paraId="413A2003" w14:textId="77777777" w:rsidR="000D07EA" w:rsidRDefault="00BE7C89">
            <w:pPr>
              <w:pStyle w:val="BodyText"/>
              <w:spacing w:before="100" w:after="100"/>
            </w:pPr>
            <w:r>
              <w:t>30.8c</w:t>
            </w:r>
          </w:p>
          <w:p w14:paraId="6DEAEC67" w14:textId="77777777" w:rsidR="000D07EA" w:rsidRDefault="00BE7C89">
            <w:pPr>
              <w:pStyle w:val="BodyText"/>
              <w:spacing w:before="100" w:after="100"/>
            </w:pPr>
            <w:r>
              <w:t>30.8c</w:t>
            </w:r>
          </w:p>
        </w:tc>
      </w:tr>
      <w:tr w:rsidR="000D07EA" w14:paraId="07140577" w14:textId="77777777">
        <w:tc>
          <w:tcPr>
            <w:tcW w:w="5670" w:type="dxa"/>
            <w:shd w:val="clear" w:color="auto" w:fill="auto"/>
          </w:tcPr>
          <w:p w14:paraId="7BD96494" w14:textId="77777777" w:rsidR="000D07EA" w:rsidRDefault="00BE7C89">
            <w:pPr>
              <w:pStyle w:val="BodyText"/>
              <w:spacing w:before="100" w:after="100"/>
            </w:pPr>
            <w:r>
              <w:rPr>
                <w:i/>
              </w:rPr>
              <w:t>Flagfall</w:t>
            </w:r>
            <w:r>
              <w:t xml:space="preserve"> (call connection charge)</w:t>
            </w:r>
          </w:p>
        </w:tc>
        <w:tc>
          <w:tcPr>
            <w:tcW w:w="2250" w:type="dxa"/>
            <w:shd w:val="clear" w:color="auto" w:fill="auto"/>
          </w:tcPr>
          <w:p w14:paraId="5DF47AB3" w14:textId="77777777" w:rsidR="000D07EA" w:rsidRDefault="00BE7C89">
            <w:pPr>
              <w:pStyle w:val="BodyText"/>
              <w:spacing w:before="100" w:after="100"/>
            </w:pPr>
            <w:r>
              <w:t>25c</w:t>
            </w:r>
          </w:p>
        </w:tc>
      </w:tr>
    </w:tbl>
    <w:p w14:paraId="262250F1" w14:textId="77777777" w:rsidR="000D07EA" w:rsidRDefault="00BE7C89">
      <w:pPr>
        <w:pStyle w:val="BodyText"/>
        <w:spacing w:after="0"/>
        <w:ind w:left="720"/>
        <w:rPr>
          <w:sz w:val="16"/>
          <w:szCs w:val="16"/>
        </w:rPr>
      </w:pPr>
      <w:r>
        <w:rPr>
          <w:sz w:val="16"/>
          <w:szCs w:val="16"/>
        </w:rPr>
        <w:t>*Please note: 'yes' Business 9 Fleet call rates may apply.</w:t>
      </w:r>
    </w:p>
    <w:p w14:paraId="0D87F58F" w14:textId="77777777" w:rsidR="000D07EA" w:rsidRDefault="000D07EA">
      <w:pPr>
        <w:pStyle w:val="BodyText"/>
      </w:pPr>
    </w:p>
    <w:p w14:paraId="33E437C8" w14:textId="77777777" w:rsidR="000D07EA" w:rsidRDefault="00BE7C89">
      <w:pPr>
        <w:pStyle w:val="Heading4"/>
      </w:pPr>
      <w:bookmarkStart w:id="66" w:name="_Toc62644610"/>
      <w:r>
        <w:t>'yes' Business $79 Cap Plans</w:t>
      </w:r>
      <w:bookmarkEnd w:id="66"/>
    </w:p>
    <w:p w14:paraId="553CBC69" w14:textId="77777777" w:rsidR="000D07EA" w:rsidRDefault="00BE7C89">
      <w:pPr>
        <w:pStyle w:val="Heading6"/>
        <w:ind w:left="0" w:firstLine="0"/>
      </w:pPr>
      <w:r>
        <w:t>Eligibility</w:t>
      </w:r>
    </w:p>
    <w:p w14:paraId="1614F04C" w14:textId="77777777" w:rsidR="000D07EA" w:rsidRDefault="00BE7C89">
      <w:pPr>
        <w:pStyle w:val="Heading7"/>
      </w:pPr>
      <w:r>
        <w:t xml:space="preserve">The </w:t>
      </w:r>
      <w:r>
        <w:rPr>
          <w:i/>
        </w:rPr>
        <w:t>'yes' Business $79 Cap</w:t>
      </w:r>
      <w:r>
        <w:t xml:space="preserve"> Plan belongs to a suite of exclusive capped rate </w:t>
      </w:r>
      <w:r>
        <w:rPr>
          <w:i/>
        </w:rPr>
        <w:t>pricing plans</w:t>
      </w:r>
      <w:r>
        <w:t xml:space="preserve"> available under special offers to:</w:t>
      </w:r>
    </w:p>
    <w:p w14:paraId="3C535985" w14:textId="77777777" w:rsidR="000D07EA" w:rsidRDefault="00BE7C89">
      <w:pPr>
        <w:pStyle w:val="Heading8"/>
      </w:pPr>
      <w:r>
        <w:t xml:space="preserve">new connections to the </w:t>
      </w:r>
      <w:r>
        <w:rPr>
          <w:i/>
        </w:rPr>
        <w:t>service</w:t>
      </w:r>
      <w:r>
        <w:t>, excluding Optus Service Providers' customers.</w:t>
      </w:r>
    </w:p>
    <w:p w14:paraId="649E08D9" w14:textId="77777777" w:rsidR="000D07EA" w:rsidRDefault="00BE7C89">
      <w:pPr>
        <w:pStyle w:val="Heading8"/>
      </w:pPr>
      <w:r>
        <w:t xml:space="preserve">existing customers: : If </w:t>
      </w:r>
      <w:r>
        <w:rPr>
          <w:i/>
        </w:rPr>
        <w:t>you</w:t>
      </w:r>
      <w:r>
        <w:t xml:space="preserve"> have a month to month agreement with </w:t>
      </w:r>
      <w:r>
        <w:rPr>
          <w:i/>
        </w:rPr>
        <w:t>us</w:t>
      </w:r>
      <w:r>
        <w:t xml:space="preserve"> or if </w:t>
      </w:r>
      <w:r>
        <w:rPr>
          <w:i/>
        </w:rPr>
        <w:t>you</w:t>
      </w:r>
      <w:r>
        <w:t xml:space="preserve"> have a </w:t>
      </w:r>
      <w:r>
        <w:rPr>
          <w:i/>
        </w:rPr>
        <w:t>fixed length agreement</w:t>
      </w:r>
      <w:r>
        <w:t xml:space="preserve"> we may agree (in </w:t>
      </w:r>
      <w:r>
        <w:rPr>
          <w:i/>
        </w:rPr>
        <w:t>our</w:t>
      </w:r>
      <w:r>
        <w:t xml:space="preserve"> discretion) to transfer you to the 'yes' Business $79 Cap plan.</w:t>
      </w:r>
    </w:p>
    <w:p w14:paraId="1DC65C41" w14:textId="77777777" w:rsidR="000D07EA" w:rsidRDefault="00BE7C89">
      <w:pPr>
        <w:pStyle w:val="Heading6"/>
        <w:ind w:left="0" w:firstLine="0"/>
      </w:pPr>
      <w:r>
        <w:t xml:space="preserve">Is it a </w:t>
      </w:r>
      <w:r>
        <w:rPr>
          <w:i/>
        </w:rPr>
        <w:t>fixed-length agreement</w:t>
      </w:r>
    </w:p>
    <w:p w14:paraId="5DCDE0E9" w14:textId="77777777" w:rsidR="000D07EA" w:rsidRDefault="00BE7C89">
      <w:pPr>
        <w:pStyle w:val="Heading7"/>
      </w:pPr>
      <w:r>
        <w:t xml:space="preserve">The </w:t>
      </w:r>
      <w:r>
        <w:rPr>
          <w:i/>
        </w:rPr>
        <w:t>'yes' Business $79 Cap</w:t>
      </w:r>
      <w:r>
        <w:t xml:space="preserve"> Plan requires a month to month or a 24 month connection.</w:t>
      </w:r>
    </w:p>
    <w:p w14:paraId="3E3A266F" w14:textId="77777777" w:rsidR="000D07EA" w:rsidRDefault="00BE7C89">
      <w:pPr>
        <w:pStyle w:val="Heading7"/>
      </w:pPr>
      <w:r>
        <w:t xml:space="preserve">The </w:t>
      </w:r>
      <w:r>
        <w:rPr>
          <w:i/>
        </w:rPr>
        <w:t>'yes' Business $79 Cap</w:t>
      </w:r>
      <w:r>
        <w:t xml:space="preserve"> Plan allows customers to purchase a </w:t>
      </w:r>
      <w:r>
        <w:rPr>
          <w:i/>
        </w:rPr>
        <w:t>mobile phone</w:t>
      </w:r>
      <w:r>
        <w:t xml:space="preserve"> under a </w:t>
      </w:r>
      <w:r>
        <w:rPr>
          <w:i/>
        </w:rPr>
        <w:t>mobile equipment payment plan</w:t>
      </w:r>
      <w:r>
        <w:t xml:space="preserve"> over a 12 or 24 month </w:t>
      </w:r>
      <w:r>
        <w:rPr>
          <w:i/>
        </w:rPr>
        <w:t>equipment term</w:t>
      </w:r>
      <w:r>
        <w:t xml:space="preserve"> on selected </w:t>
      </w:r>
      <w:r>
        <w:rPr>
          <w:i/>
        </w:rPr>
        <w:t>mobile phones</w:t>
      </w:r>
      <w:r>
        <w:t>.</w:t>
      </w:r>
    </w:p>
    <w:p w14:paraId="57E1375B" w14:textId="77777777" w:rsidR="000D07EA" w:rsidRDefault="00BE7C89">
      <w:pPr>
        <w:pStyle w:val="Heading7"/>
      </w:pPr>
      <w:r>
        <w:t xml:space="preserve">If the customer selects to pay the cost of their </w:t>
      </w:r>
      <w:r>
        <w:rPr>
          <w:i/>
        </w:rPr>
        <w:t>mobile phone</w:t>
      </w:r>
      <w:r>
        <w:t xml:space="preserve"> by the </w:t>
      </w:r>
      <w:r>
        <w:rPr>
          <w:i/>
        </w:rPr>
        <w:t>mobile equipment payment plan</w:t>
      </w:r>
      <w:r>
        <w:t xml:space="preserve"> and the </w:t>
      </w:r>
      <w:r>
        <w:rPr>
          <w:i/>
        </w:rPr>
        <w:t>service is cancelled</w:t>
      </w:r>
      <w:r>
        <w:t xml:space="preserve"> before the end of the </w:t>
      </w:r>
      <w:r>
        <w:rPr>
          <w:i/>
        </w:rPr>
        <w:t>equipment term</w:t>
      </w:r>
      <w:r>
        <w:t xml:space="preserve">, the customer will be required to pay the total of any outstanding </w:t>
      </w:r>
      <w:r>
        <w:rPr>
          <w:i/>
        </w:rPr>
        <w:t>equipment charges</w:t>
      </w:r>
      <w:r>
        <w:t xml:space="preserve"> (if any).</w:t>
      </w:r>
    </w:p>
    <w:p w14:paraId="76157F63" w14:textId="77777777" w:rsidR="000D07EA" w:rsidRDefault="00BE7C89">
      <w:pPr>
        <w:pStyle w:val="Heading6"/>
        <w:ind w:left="0" w:firstLine="0"/>
      </w:pPr>
      <w:r>
        <w:t xml:space="preserve">What </w:t>
      </w:r>
      <w:r>
        <w:rPr>
          <w:i/>
        </w:rPr>
        <w:t>you</w:t>
      </w:r>
      <w:r>
        <w:t xml:space="preserve"> have to pay </w:t>
      </w:r>
      <w:r>
        <w:rPr>
          <w:i/>
        </w:rPr>
        <w:t>us</w:t>
      </w:r>
    </w:p>
    <w:p w14:paraId="31C4F74C" w14:textId="77777777" w:rsidR="000D07EA" w:rsidRDefault="00BE7C89">
      <w:pPr>
        <w:pStyle w:val="Heading7"/>
      </w:pPr>
      <w:r>
        <w:lastRenderedPageBreak/>
        <w:t xml:space="preserve">The pricing of the </w:t>
      </w:r>
      <w:r>
        <w:rPr>
          <w:i/>
        </w:rPr>
        <w:t>'yes' Business $79 Cap</w:t>
      </w:r>
      <w:r>
        <w:t xml:space="preserve"> Plan is specified in the table below.</w:t>
      </w:r>
    </w:p>
    <w:p w14:paraId="6C4FDBAC" w14:textId="77777777" w:rsidR="000D07EA" w:rsidRDefault="00BE7C89">
      <w:pPr>
        <w:pStyle w:val="Heading7"/>
      </w:pPr>
      <w:r>
        <w:rPr>
          <w:i/>
        </w:rPr>
        <w:t>You</w:t>
      </w:r>
      <w:r>
        <w:t xml:space="preserve"> must pay </w:t>
      </w:r>
      <w:r>
        <w:rPr>
          <w:i/>
        </w:rPr>
        <w:t>us</w:t>
      </w:r>
      <w:r>
        <w:t xml:space="preserve"> the monthly </w:t>
      </w:r>
      <w:r>
        <w:rPr>
          <w:i/>
        </w:rPr>
        <w:t>access fee</w:t>
      </w:r>
      <w:r>
        <w:t xml:space="preserve"> or minimum monthly spend of $25 each month during the term of the </w:t>
      </w:r>
      <w:r>
        <w:rPr>
          <w:i/>
        </w:rPr>
        <w:t>agreement</w:t>
      </w:r>
      <w:r>
        <w:t xml:space="preserve">. This monthly </w:t>
      </w:r>
      <w:r>
        <w:rPr>
          <w:i/>
        </w:rPr>
        <w:t>access fee</w:t>
      </w:r>
      <w:r>
        <w:t xml:space="preserve"> includes an equal value of included calls each month and will be charged even if </w:t>
      </w:r>
      <w:r>
        <w:rPr>
          <w:i/>
        </w:rPr>
        <w:t>you</w:t>
      </w:r>
      <w:r>
        <w:t xml:space="preserve"> do not make calls equal to this value in any month.</w:t>
      </w:r>
    </w:p>
    <w:p w14:paraId="4EAB571C" w14:textId="77777777" w:rsidR="000D07EA" w:rsidRDefault="00BE7C89">
      <w:pPr>
        <w:pStyle w:val="Heading7"/>
      </w:pPr>
      <w:r>
        <w:t>The calls that are eligible for the included call component are voice calls, SMS, MMS, PTT, Voicemail, International SMS, 124YES(937), Optus Zoo Browsing, International Calls. Some call types are not eligible for the included call component such as International Roaming, Directory Assistance, Group SMS and 1900 calls</w:t>
      </w:r>
    </w:p>
    <w:p w14:paraId="1E39B04E" w14:textId="77777777" w:rsidR="000D07EA" w:rsidRDefault="00BE7C89">
      <w:pPr>
        <w:pStyle w:val="Heading7"/>
      </w:pPr>
      <w:r>
        <w:rPr>
          <w:i/>
        </w:rPr>
        <w:t>You</w:t>
      </w:r>
      <w:r>
        <w:t xml:space="preserve"> must pay </w:t>
      </w:r>
      <w:r>
        <w:rPr>
          <w:i/>
        </w:rPr>
        <w:t>us</w:t>
      </w:r>
      <w:r>
        <w:t xml:space="preserve"> for call charges beyond </w:t>
      </w:r>
      <w:r>
        <w:rPr>
          <w:i/>
        </w:rPr>
        <w:t>your</w:t>
      </w:r>
      <w:r>
        <w:t xml:space="preserve"> included call component and </w:t>
      </w:r>
      <w:r>
        <w:rPr>
          <w:i/>
        </w:rPr>
        <w:t>you</w:t>
      </w:r>
      <w:r>
        <w:t xml:space="preserve"> must pay for any calls that are not eligible calls.</w:t>
      </w:r>
    </w:p>
    <w:p w14:paraId="262D5FBA" w14:textId="77777777" w:rsidR="000D07EA" w:rsidRDefault="00BE7C89">
      <w:pPr>
        <w:pStyle w:val="Heading7"/>
      </w:pPr>
      <w:r>
        <w:t xml:space="preserve">The </w:t>
      </w:r>
      <w:r>
        <w:rPr>
          <w:i/>
        </w:rPr>
        <w:t>'yes' Business $79 Cap</w:t>
      </w:r>
      <w:r>
        <w:t xml:space="preserve"> Plan includes an initial charge per call (call connection or </w:t>
      </w:r>
      <w:r>
        <w:rPr>
          <w:i/>
        </w:rPr>
        <w:t>flagfall</w:t>
      </w:r>
      <w:r>
        <w:t xml:space="preserve"> charge), as specified below. So the charge for calls made is the </w:t>
      </w:r>
      <w:r>
        <w:rPr>
          <w:i/>
        </w:rPr>
        <w:t>flagfall</w:t>
      </w:r>
      <w:r>
        <w:t xml:space="preserve"> plus the relevant rate multiplied by the duration of the call.</w:t>
      </w:r>
    </w:p>
    <w:tbl>
      <w:tblPr>
        <w:tblW w:w="909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545"/>
        <w:gridCol w:w="4545"/>
      </w:tblGrid>
      <w:tr w:rsidR="000D07EA" w14:paraId="5F602EE7" w14:textId="77777777">
        <w:trPr>
          <w:trHeight w:val="64"/>
        </w:trPr>
        <w:tc>
          <w:tcPr>
            <w:tcW w:w="4545" w:type="dxa"/>
            <w:shd w:val="clear" w:color="auto" w:fill="auto"/>
          </w:tcPr>
          <w:p w14:paraId="35BE2FAC" w14:textId="77777777" w:rsidR="000D07EA" w:rsidRDefault="000D07EA">
            <w:pPr>
              <w:pStyle w:val="BodyText"/>
              <w:spacing w:before="100" w:after="100"/>
            </w:pPr>
          </w:p>
        </w:tc>
        <w:tc>
          <w:tcPr>
            <w:tcW w:w="4545" w:type="dxa"/>
            <w:shd w:val="clear" w:color="auto" w:fill="auto"/>
          </w:tcPr>
          <w:p w14:paraId="5C37AFCD" w14:textId="77777777" w:rsidR="000D07EA" w:rsidRDefault="00BE7C89">
            <w:pPr>
              <w:pStyle w:val="BodyText"/>
              <w:spacing w:before="100" w:after="100"/>
              <w:rPr>
                <w:b/>
              </w:rPr>
            </w:pPr>
            <w:r>
              <w:rPr>
                <w:b/>
                <w:i/>
              </w:rPr>
              <w:t>'yes' Business $79 Cap</w:t>
            </w:r>
            <w:r>
              <w:rPr>
                <w:b/>
              </w:rPr>
              <w:t xml:space="preserve"> Plan</w:t>
            </w:r>
          </w:p>
        </w:tc>
      </w:tr>
      <w:tr w:rsidR="000D07EA" w14:paraId="774C901D" w14:textId="77777777">
        <w:tc>
          <w:tcPr>
            <w:tcW w:w="4545" w:type="dxa"/>
            <w:shd w:val="clear" w:color="auto" w:fill="auto"/>
          </w:tcPr>
          <w:p w14:paraId="07F42F2F" w14:textId="77777777" w:rsidR="000D07EA" w:rsidRDefault="00BE7C89">
            <w:pPr>
              <w:pStyle w:val="BodyText"/>
              <w:spacing w:before="100" w:after="100"/>
              <w:rPr>
                <w:b/>
              </w:rPr>
            </w:pPr>
            <w:r>
              <w:rPr>
                <w:b/>
              </w:rPr>
              <w:t>Minimum monthly charge</w:t>
            </w:r>
          </w:p>
        </w:tc>
        <w:tc>
          <w:tcPr>
            <w:tcW w:w="4545" w:type="dxa"/>
            <w:shd w:val="clear" w:color="auto" w:fill="auto"/>
          </w:tcPr>
          <w:p w14:paraId="3DC2DAB1" w14:textId="77777777" w:rsidR="000D07EA" w:rsidRDefault="00BE7C89">
            <w:pPr>
              <w:pStyle w:val="BodyText"/>
              <w:spacing w:before="100" w:after="100"/>
            </w:pPr>
            <w:r>
              <w:t>$22.73 ($25.00)</w:t>
            </w:r>
          </w:p>
        </w:tc>
      </w:tr>
      <w:tr w:rsidR="000D07EA" w14:paraId="477AA0B3" w14:textId="77777777">
        <w:tc>
          <w:tcPr>
            <w:tcW w:w="4545" w:type="dxa"/>
            <w:shd w:val="clear" w:color="auto" w:fill="auto"/>
          </w:tcPr>
          <w:p w14:paraId="4F41A43E" w14:textId="77777777" w:rsidR="000D07EA" w:rsidRDefault="00BE7C89">
            <w:pPr>
              <w:pStyle w:val="BodyText"/>
              <w:spacing w:before="100" w:after="100"/>
              <w:rPr>
                <w:b/>
              </w:rPr>
            </w:pPr>
            <w:r>
              <w:rPr>
                <w:b/>
              </w:rPr>
              <w:t>Voice and Text spend between $79 and $500</w:t>
            </w:r>
          </w:p>
        </w:tc>
        <w:tc>
          <w:tcPr>
            <w:tcW w:w="4545" w:type="dxa"/>
            <w:shd w:val="clear" w:color="auto" w:fill="auto"/>
          </w:tcPr>
          <w:p w14:paraId="2446B42B" w14:textId="77777777" w:rsidR="000D07EA" w:rsidRDefault="00BE7C89">
            <w:pPr>
              <w:pStyle w:val="BodyText"/>
              <w:spacing w:before="100" w:after="100"/>
            </w:pPr>
            <w:r>
              <w:t>Voice calls and Standard Text Messages $0.00</w:t>
            </w:r>
          </w:p>
        </w:tc>
      </w:tr>
      <w:tr w:rsidR="000D07EA" w14:paraId="312F20F6" w14:textId="77777777">
        <w:tc>
          <w:tcPr>
            <w:tcW w:w="4545" w:type="dxa"/>
            <w:shd w:val="clear" w:color="auto" w:fill="auto"/>
          </w:tcPr>
          <w:p w14:paraId="4673CD04" w14:textId="77777777" w:rsidR="000D07EA" w:rsidRDefault="00BE7C89">
            <w:pPr>
              <w:pStyle w:val="BodyText"/>
              <w:spacing w:before="100" w:after="100"/>
              <w:rPr>
                <w:b/>
              </w:rPr>
            </w:pPr>
            <w:r>
              <w:rPr>
                <w:b/>
              </w:rPr>
              <w:t>Voice call charges</w:t>
            </w:r>
            <w:r>
              <w:t xml:space="preserve"> (per 30 seconds)</w:t>
            </w:r>
          </w:p>
        </w:tc>
        <w:tc>
          <w:tcPr>
            <w:tcW w:w="4545" w:type="dxa"/>
            <w:shd w:val="clear" w:color="auto" w:fill="auto"/>
          </w:tcPr>
          <w:p w14:paraId="638CF20F" w14:textId="77777777" w:rsidR="000D07EA" w:rsidRDefault="00BE7C89">
            <w:pPr>
              <w:pStyle w:val="BodyText"/>
              <w:spacing w:before="100" w:after="100"/>
            </w:pPr>
            <w:r>
              <w:t>$0.272 ($0.30)</w:t>
            </w:r>
          </w:p>
        </w:tc>
      </w:tr>
      <w:tr w:rsidR="000D07EA" w14:paraId="4EB42C6A" w14:textId="77777777">
        <w:tc>
          <w:tcPr>
            <w:tcW w:w="4545" w:type="dxa"/>
            <w:shd w:val="clear" w:color="auto" w:fill="auto"/>
          </w:tcPr>
          <w:p w14:paraId="78104C57" w14:textId="77777777" w:rsidR="000D07EA" w:rsidRDefault="00BE7C89">
            <w:pPr>
              <w:pStyle w:val="BodyText"/>
              <w:spacing w:before="100" w:after="100"/>
              <w:rPr>
                <w:b/>
              </w:rPr>
            </w:pPr>
            <w:r>
              <w:rPr>
                <w:b/>
              </w:rPr>
              <w:t>Text Charges</w:t>
            </w:r>
          </w:p>
        </w:tc>
        <w:tc>
          <w:tcPr>
            <w:tcW w:w="4545" w:type="dxa"/>
            <w:shd w:val="clear" w:color="auto" w:fill="auto"/>
          </w:tcPr>
          <w:p w14:paraId="244D90AE" w14:textId="77777777" w:rsidR="000D07EA" w:rsidRDefault="00BE7C89">
            <w:pPr>
              <w:pStyle w:val="BodyText"/>
              <w:spacing w:before="100" w:after="100"/>
            </w:pPr>
            <w:r>
              <w:t>$0.227 ($0.25)</w:t>
            </w:r>
          </w:p>
        </w:tc>
      </w:tr>
      <w:tr w:rsidR="000D07EA" w14:paraId="40EE07EA" w14:textId="77777777">
        <w:tc>
          <w:tcPr>
            <w:tcW w:w="4545" w:type="dxa"/>
            <w:shd w:val="clear" w:color="auto" w:fill="auto"/>
          </w:tcPr>
          <w:p w14:paraId="7118CA1A" w14:textId="77777777" w:rsidR="000D07EA" w:rsidRDefault="00BE7C89">
            <w:pPr>
              <w:pStyle w:val="BodyText"/>
              <w:spacing w:before="100" w:after="100"/>
              <w:rPr>
                <w:b/>
              </w:rPr>
            </w:pPr>
            <w:r>
              <w:rPr>
                <w:b/>
                <w:i/>
              </w:rPr>
              <w:t>Flagfall</w:t>
            </w:r>
            <w:r>
              <w:rPr>
                <w:b/>
              </w:rPr>
              <w:t xml:space="preserve"> (Call Connection Charge)</w:t>
            </w:r>
          </w:p>
        </w:tc>
        <w:tc>
          <w:tcPr>
            <w:tcW w:w="4545" w:type="dxa"/>
            <w:shd w:val="clear" w:color="auto" w:fill="auto"/>
          </w:tcPr>
          <w:p w14:paraId="5F0E415A" w14:textId="77777777" w:rsidR="000D07EA" w:rsidRDefault="00BE7C89">
            <w:pPr>
              <w:pStyle w:val="BodyText"/>
              <w:spacing w:before="100" w:after="100"/>
            </w:pPr>
            <w:r>
              <w:t>$0.227 ($0.25)</w:t>
            </w:r>
          </w:p>
        </w:tc>
      </w:tr>
    </w:tbl>
    <w:p w14:paraId="06B27D45" w14:textId="77777777" w:rsidR="000D07EA" w:rsidRDefault="000D07EA">
      <w:pPr>
        <w:pStyle w:val="BodyText"/>
      </w:pPr>
    </w:p>
    <w:p w14:paraId="087C6AB4" w14:textId="77777777" w:rsidR="000D07EA" w:rsidRDefault="00BE7C89">
      <w:pPr>
        <w:pStyle w:val="Heading6"/>
        <w:ind w:left="0" w:firstLine="0"/>
      </w:pPr>
      <w:r>
        <w:t>$79 Cap</w:t>
      </w:r>
    </w:p>
    <w:p w14:paraId="28163C6E" w14:textId="77777777" w:rsidR="000D07EA" w:rsidRDefault="00BE7C89">
      <w:pPr>
        <w:pStyle w:val="Heading7"/>
      </w:pPr>
      <w:r>
        <w:t>If</w:t>
      </w:r>
      <w:r>
        <w:rPr>
          <w:i/>
        </w:rPr>
        <w:t xml:space="preserve"> you </w:t>
      </w:r>
      <w:r>
        <w:t xml:space="preserve">choose the </w:t>
      </w:r>
      <w:r>
        <w:rPr>
          <w:i/>
        </w:rPr>
        <w:t>'yes' Business $79 Cap</w:t>
      </w:r>
      <w:r>
        <w:t xml:space="preserve"> Plan, </w:t>
      </w:r>
      <w:r>
        <w:rPr>
          <w:i/>
        </w:rPr>
        <w:t>you</w:t>
      </w:r>
      <w:r>
        <w:t xml:space="preserve"> will receive the $79 Text and Talk cap. Under the $79 Text and Talk cap offer, </w:t>
      </w:r>
      <w:r>
        <w:rPr>
          <w:i/>
        </w:rPr>
        <w:t>you</w:t>
      </w:r>
      <w:r>
        <w:t xml:space="preserve"> pay the first $79 worth of voice calls and SMS text messages each billing period, after which voice calls and SMS text messages are free up to a maximum of $500 per billing period.</w:t>
      </w:r>
    </w:p>
    <w:p w14:paraId="781914E9" w14:textId="77777777" w:rsidR="000D07EA" w:rsidRDefault="00BE7C89">
      <w:pPr>
        <w:pStyle w:val="Heading7"/>
      </w:pPr>
      <w:r>
        <w:t xml:space="preserve">If </w:t>
      </w:r>
      <w:r>
        <w:rPr>
          <w:i/>
        </w:rPr>
        <w:t>you</w:t>
      </w:r>
      <w:r>
        <w:t xml:space="preserve"> exceed $500 worth of voice calls and SMS text messages in any billing period, standard call and text rates of </w:t>
      </w:r>
      <w:r>
        <w:rPr>
          <w:i/>
        </w:rPr>
        <w:t>your pricing plan</w:t>
      </w:r>
      <w:r>
        <w:t xml:space="preserve"> will apply.</w:t>
      </w:r>
    </w:p>
    <w:p w14:paraId="75441D63" w14:textId="77777777" w:rsidR="000D07EA" w:rsidRDefault="00BE7C89">
      <w:pPr>
        <w:pStyle w:val="Heading7"/>
      </w:pPr>
      <w:r>
        <w:t xml:space="preserve">The Text and Talk Cap excludes some calls and use of some </w:t>
      </w:r>
      <w:r>
        <w:rPr>
          <w:i/>
        </w:rPr>
        <w:t>value added service features</w:t>
      </w:r>
      <w:r>
        <w:t>, including international roaming, international voice calls, international, premium and Third Party SMS, MMS, International MMS, 1300, 1900 and other features.</w:t>
      </w:r>
    </w:p>
    <w:p w14:paraId="51284AC9" w14:textId="77777777" w:rsidR="000D07EA" w:rsidRDefault="00BE7C89">
      <w:pPr>
        <w:pStyle w:val="Heading7"/>
      </w:pPr>
      <w:r>
        <w:t>Any unused portion of the $79 Cap expires at the end of each month. This means that it does not roll over into following month.</w:t>
      </w:r>
    </w:p>
    <w:p w14:paraId="11C9E98C" w14:textId="77777777" w:rsidR="000D07EA" w:rsidRDefault="00BE7C89">
      <w:pPr>
        <w:pStyle w:val="Heading7"/>
      </w:pPr>
      <w:r>
        <w:rPr>
          <w:b/>
        </w:rPr>
        <w:t>Free Voicemail Offer</w:t>
      </w:r>
      <w:r>
        <w:t xml:space="preserve"> is available on this </w:t>
      </w:r>
      <w:r>
        <w:rPr>
          <w:i/>
        </w:rPr>
        <w:t>pricing plan</w:t>
      </w:r>
      <w:r>
        <w:t xml:space="preserve"> and applies to voicemail retrieval and diversion charges, within Australia.</w:t>
      </w:r>
    </w:p>
    <w:p w14:paraId="0A116240" w14:textId="77777777" w:rsidR="000D07EA" w:rsidRDefault="00BE7C89">
      <w:pPr>
        <w:pStyle w:val="Heading7"/>
      </w:pPr>
      <w:r>
        <w:rPr>
          <w:b/>
        </w:rPr>
        <w:t>100 Free Photo Messages Offer (MMS)</w:t>
      </w:r>
      <w:r>
        <w:t xml:space="preserve"> is available on this </w:t>
      </w:r>
      <w:r>
        <w:rPr>
          <w:i/>
        </w:rPr>
        <w:t>pricing plan</w:t>
      </w:r>
      <w:r>
        <w:t xml:space="preserve">. It applies only if </w:t>
      </w:r>
      <w:r>
        <w:rPr>
          <w:i/>
        </w:rPr>
        <w:t>you</w:t>
      </w:r>
      <w:r>
        <w:t xml:space="preserve"> have a compatible </w:t>
      </w:r>
      <w:r>
        <w:rPr>
          <w:i/>
        </w:rPr>
        <w:t>mobile phone</w:t>
      </w:r>
      <w:r>
        <w:t xml:space="preserve">. All MMS must be made and received within Australia. If </w:t>
      </w:r>
      <w:r>
        <w:rPr>
          <w:i/>
        </w:rPr>
        <w:t>you</w:t>
      </w:r>
      <w:r>
        <w:t xml:space="preserve"> exceed </w:t>
      </w:r>
      <w:r>
        <w:rPr>
          <w:i/>
        </w:rPr>
        <w:t>your</w:t>
      </w:r>
      <w:r>
        <w:t xml:space="preserve"> 100 Free MMS, standard rates apply. Offer excludes MMS Select, Standard MMS Select, Premium Content charges and international MMS. </w:t>
      </w:r>
    </w:p>
    <w:p w14:paraId="57F2E22D" w14:textId="77777777" w:rsidR="000D07EA" w:rsidRDefault="00BE7C89">
      <w:pPr>
        <w:pStyle w:val="Heading6"/>
        <w:ind w:left="0" w:firstLine="0"/>
      </w:pPr>
      <w:r>
        <w:t xml:space="preserve">What happens if the </w:t>
      </w:r>
      <w:r>
        <w:rPr>
          <w:i/>
        </w:rPr>
        <w:t>service is cancelled</w:t>
      </w:r>
      <w:r>
        <w:t xml:space="preserve"> early?</w:t>
      </w:r>
    </w:p>
    <w:p w14:paraId="1BDBC9A4" w14:textId="77777777" w:rsidR="000D07EA" w:rsidRDefault="00BE7C89">
      <w:pPr>
        <w:pStyle w:val="Heading7"/>
      </w:pPr>
      <w:r>
        <w:t xml:space="preserve">If </w:t>
      </w:r>
      <w:r>
        <w:rPr>
          <w:i/>
        </w:rPr>
        <w:t>the service is cancelled</w:t>
      </w:r>
      <w:r>
        <w:t xml:space="preserve"> before the expiry of the </w:t>
      </w:r>
      <w:r>
        <w:rPr>
          <w:i/>
        </w:rPr>
        <w:t>minimum term</w:t>
      </w:r>
      <w:r>
        <w:t xml:space="preserve">, </w:t>
      </w:r>
      <w:r>
        <w:rPr>
          <w:i/>
        </w:rPr>
        <w:t>you</w:t>
      </w:r>
      <w:r>
        <w:t xml:space="preserve"> will be required to pay </w:t>
      </w:r>
      <w:r>
        <w:rPr>
          <w:i/>
        </w:rPr>
        <w:t>us</w:t>
      </w:r>
      <w:r>
        <w:t>:</w:t>
      </w:r>
    </w:p>
    <w:p w14:paraId="59D364A1" w14:textId="77777777" w:rsidR="000D07EA" w:rsidRDefault="00BE7C89">
      <w:pPr>
        <w:pStyle w:val="Heading8"/>
      </w:pPr>
      <w:r>
        <w:t xml:space="preserve">any usage charges incurred up to, and including, the </w:t>
      </w:r>
      <w:r>
        <w:rPr>
          <w:i/>
        </w:rPr>
        <w:t>cancellation date</w:t>
      </w:r>
      <w:r>
        <w:t>; plus</w:t>
      </w:r>
    </w:p>
    <w:p w14:paraId="1DC85C57" w14:textId="77777777" w:rsidR="000D07EA" w:rsidRDefault="00BE7C89">
      <w:pPr>
        <w:pStyle w:val="Heading8"/>
        <w:rPr>
          <w:szCs w:val="20"/>
        </w:rPr>
      </w:pPr>
      <w:r>
        <w:rPr>
          <w:szCs w:val="20"/>
        </w:rPr>
        <w:lastRenderedPageBreak/>
        <w:t xml:space="preserve">the </w:t>
      </w:r>
      <w:r>
        <w:rPr>
          <w:i/>
          <w:szCs w:val="20"/>
        </w:rPr>
        <w:t>cancellation fee</w:t>
      </w:r>
      <w:r>
        <w:rPr>
          <w:szCs w:val="20"/>
        </w:rPr>
        <w:t xml:space="preserve"> set paragraph </w:t>
      </w:r>
      <w:r>
        <w:rPr>
          <w:szCs w:val="20"/>
        </w:rPr>
        <w:fldChar w:fldCharType="begin"/>
      </w:r>
      <w:r>
        <w:rPr>
          <w:szCs w:val="20"/>
        </w:rPr>
        <w:instrText xml:space="preserve"> REF _Ref461542315 \n \h </w:instrText>
      </w:r>
      <w:r>
        <w:rPr>
          <w:szCs w:val="20"/>
        </w:rPr>
      </w:r>
      <w:r>
        <w:rPr>
          <w:szCs w:val="20"/>
        </w:rPr>
        <w:fldChar w:fldCharType="separate"/>
      </w:r>
      <w:r w:rsidR="0004083A">
        <w:rPr>
          <w:szCs w:val="20"/>
        </w:rPr>
        <w:t>(b)</w:t>
      </w:r>
      <w:r>
        <w:rPr>
          <w:szCs w:val="20"/>
        </w:rPr>
        <w:fldChar w:fldCharType="end"/>
      </w:r>
      <w:r>
        <w:rPr>
          <w:szCs w:val="20"/>
        </w:rPr>
        <w:t xml:space="preserve"> below (unless under clause 2A of the </w:t>
      </w:r>
      <w:hyperlink r:id="rId32" w:history="1">
        <w:r>
          <w:rPr>
            <w:rStyle w:val="Hyperlink"/>
            <w:i/>
            <w:szCs w:val="20"/>
          </w:rPr>
          <w:t>SMB terms</w:t>
        </w:r>
      </w:hyperlink>
      <w:r>
        <w:rPr>
          <w:szCs w:val="20"/>
        </w:rPr>
        <w:t xml:space="preserve">, </w:t>
      </w:r>
      <w:r>
        <w:rPr>
          <w:i/>
          <w:szCs w:val="20"/>
        </w:rPr>
        <w:t>you</w:t>
      </w:r>
      <w:r>
        <w:rPr>
          <w:szCs w:val="20"/>
        </w:rPr>
        <w:t xml:space="preserve"> are entitled to </w:t>
      </w:r>
      <w:r>
        <w:rPr>
          <w:i/>
          <w:szCs w:val="20"/>
        </w:rPr>
        <w:t>cancel the service</w:t>
      </w:r>
      <w:r>
        <w:rPr>
          <w:szCs w:val="20"/>
        </w:rPr>
        <w:t xml:space="preserve"> without incurring a </w:t>
      </w:r>
      <w:r>
        <w:rPr>
          <w:i/>
          <w:szCs w:val="20"/>
        </w:rPr>
        <w:t>cancellation fee</w:t>
      </w:r>
      <w:r>
        <w:rPr>
          <w:szCs w:val="20"/>
        </w:rPr>
        <w:t>); plus</w:t>
      </w:r>
    </w:p>
    <w:p w14:paraId="2A8B4601" w14:textId="77777777" w:rsidR="000D07EA" w:rsidRDefault="00BE7C89">
      <w:pPr>
        <w:pStyle w:val="Heading8"/>
      </w:pPr>
      <w:r>
        <w:t xml:space="preserve">the sum of unpaid </w:t>
      </w:r>
      <w:r>
        <w:rPr>
          <w:i/>
        </w:rPr>
        <w:t>equipment charges</w:t>
      </w:r>
      <w:r>
        <w:t xml:space="preserve"> owing on </w:t>
      </w:r>
      <w:r>
        <w:rPr>
          <w:i/>
        </w:rPr>
        <w:t>your mobile phone</w:t>
      </w:r>
      <w:r>
        <w:t xml:space="preserve"> under the </w:t>
      </w:r>
      <w:r>
        <w:rPr>
          <w:i/>
        </w:rPr>
        <w:t>mobile equipment payment plan</w:t>
      </w:r>
      <w:r>
        <w:t xml:space="preserve"> (if any).</w:t>
      </w:r>
    </w:p>
    <w:p w14:paraId="3C096A62" w14:textId="77777777" w:rsidR="000D07EA" w:rsidRDefault="00BE7C89">
      <w:pPr>
        <w:pStyle w:val="Heading7"/>
      </w:pPr>
      <w:bookmarkStart w:id="67" w:name="_Ref461542315"/>
      <w:r>
        <w:t xml:space="preserve">The </w:t>
      </w:r>
      <w:r>
        <w:rPr>
          <w:i/>
        </w:rPr>
        <w:t>cancellation fee</w:t>
      </w:r>
      <w:r>
        <w:t xml:space="preserve"> is calculated as a fixed amount if the </w:t>
      </w:r>
      <w:r>
        <w:rPr>
          <w:i/>
        </w:rPr>
        <w:t>service</w:t>
      </w:r>
      <w:r>
        <w:t xml:space="preserve"> is </w:t>
      </w:r>
      <w:r>
        <w:rPr>
          <w:i/>
        </w:rPr>
        <w:t>cancelled</w:t>
      </w:r>
      <w:r>
        <w:t xml:space="preserve"> during the first 12 months of the </w:t>
      </w:r>
      <w:r>
        <w:rPr>
          <w:i/>
        </w:rPr>
        <w:t>minimum term</w:t>
      </w:r>
      <w:r>
        <w:t xml:space="preserve"> and then a pro-rata reduction of that fee (indicated as a percentage in brackets in the first column of the table below) if the </w:t>
      </w:r>
      <w:r>
        <w:rPr>
          <w:i/>
        </w:rPr>
        <w:t>service</w:t>
      </w:r>
      <w:r>
        <w:t xml:space="preserve"> is </w:t>
      </w:r>
      <w:r>
        <w:rPr>
          <w:i/>
        </w:rPr>
        <w:t>cancelled</w:t>
      </w:r>
      <w:r>
        <w:t xml:space="preserve"> during the second year of the </w:t>
      </w:r>
      <w:r>
        <w:rPr>
          <w:i/>
        </w:rPr>
        <w:t>minimum term</w:t>
      </w:r>
      <w:r>
        <w:t>.</w:t>
      </w:r>
      <w:bookmarkEnd w:id="67"/>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5220"/>
        <w:gridCol w:w="2790"/>
      </w:tblGrid>
      <w:tr w:rsidR="000D07EA" w14:paraId="7D1D0845" w14:textId="77777777">
        <w:tc>
          <w:tcPr>
            <w:tcW w:w="5220" w:type="dxa"/>
            <w:shd w:val="clear" w:color="auto" w:fill="auto"/>
          </w:tcPr>
          <w:p w14:paraId="5042F928" w14:textId="77777777" w:rsidR="000D07EA" w:rsidRDefault="00BE7C89">
            <w:pPr>
              <w:pStyle w:val="BodyText"/>
              <w:spacing w:before="100" w:after="100"/>
              <w:jc w:val="center"/>
              <w:rPr>
                <w:b/>
              </w:rPr>
            </w:pPr>
            <w:r>
              <w:rPr>
                <w:b/>
              </w:rPr>
              <w:t xml:space="preserve">When the </w:t>
            </w:r>
            <w:r>
              <w:rPr>
                <w:b/>
                <w:i/>
              </w:rPr>
              <w:t>service</w:t>
            </w:r>
            <w:r>
              <w:rPr>
                <w:b/>
              </w:rPr>
              <w:t xml:space="preserve"> is </w:t>
            </w:r>
            <w:r>
              <w:rPr>
                <w:b/>
                <w:i/>
              </w:rPr>
              <w:t>cancelled</w:t>
            </w:r>
          </w:p>
        </w:tc>
        <w:tc>
          <w:tcPr>
            <w:tcW w:w="2790" w:type="dxa"/>
            <w:shd w:val="clear" w:color="auto" w:fill="auto"/>
          </w:tcPr>
          <w:p w14:paraId="345D5F47" w14:textId="77777777" w:rsidR="000D07EA" w:rsidRDefault="00BE7C89">
            <w:pPr>
              <w:pStyle w:val="BodyText"/>
              <w:spacing w:before="100" w:after="100"/>
              <w:jc w:val="center"/>
              <w:rPr>
                <w:b/>
                <w:i/>
              </w:rPr>
            </w:pPr>
            <w:r>
              <w:rPr>
                <w:b/>
                <w:i/>
              </w:rPr>
              <w:t>Cancellation fee</w:t>
            </w:r>
          </w:p>
        </w:tc>
      </w:tr>
      <w:tr w:rsidR="000D07EA" w14:paraId="5E2AC372" w14:textId="77777777">
        <w:tc>
          <w:tcPr>
            <w:tcW w:w="5220" w:type="dxa"/>
            <w:shd w:val="clear" w:color="auto" w:fill="auto"/>
          </w:tcPr>
          <w:p w14:paraId="5DD34B55" w14:textId="77777777" w:rsidR="000D07EA" w:rsidRDefault="00BE7C89">
            <w:pPr>
              <w:pStyle w:val="BodyText"/>
              <w:spacing w:before="100" w:after="100"/>
            </w:pPr>
            <w:r>
              <w:t xml:space="preserve">During the first 12 months - Initial </w:t>
            </w:r>
            <w:r>
              <w:rPr>
                <w:i/>
              </w:rPr>
              <w:t>cancellation fee</w:t>
            </w:r>
          </w:p>
        </w:tc>
        <w:tc>
          <w:tcPr>
            <w:tcW w:w="2790" w:type="dxa"/>
            <w:shd w:val="clear" w:color="auto" w:fill="auto"/>
          </w:tcPr>
          <w:p w14:paraId="0DFDD6EC" w14:textId="77777777" w:rsidR="000D07EA" w:rsidRDefault="00BE7C89">
            <w:pPr>
              <w:pStyle w:val="BodyText"/>
              <w:spacing w:before="100" w:after="100"/>
            </w:pPr>
            <w:r>
              <w:t>$595</w:t>
            </w:r>
          </w:p>
        </w:tc>
      </w:tr>
      <w:tr w:rsidR="000D07EA" w14:paraId="6A9A47D1" w14:textId="77777777">
        <w:tc>
          <w:tcPr>
            <w:tcW w:w="5220" w:type="dxa"/>
            <w:shd w:val="clear" w:color="auto" w:fill="auto"/>
          </w:tcPr>
          <w:p w14:paraId="2998D098" w14:textId="77777777" w:rsidR="000D07EA" w:rsidRDefault="00BE7C89">
            <w:pPr>
              <w:pStyle w:val="BodyText"/>
              <w:spacing w:before="100" w:after="100"/>
            </w:pPr>
            <w:r>
              <w:t xml:space="preserve">Months 13 – 15 (80% of Initial </w:t>
            </w:r>
            <w:r>
              <w:rPr>
                <w:i/>
              </w:rPr>
              <w:t>cancellation fee</w:t>
            </w:r>
            <w:r>
              <w:t>)</w:t>
            </w:r>
          </w:p>
        </w:tc>
        <w:tc>
          <w:tcPr>
            <w:tcW w:w="2790" w:type="dxa"/>
            <w:shd w:val="clear" w:color="auto" w:fill="auto"/>
          </w:tcPr>
          <w:p w14:paraId="66872B70" w14:textId="77777777" w:rsidR="000D07EA" w:rsidRDefault="00BE7C89">
            <w:pPr>
              <w:pStyle w:val="BodyText"/>
              <w:spacing w:before="100" w:after="100"/>
            </w:pPr>
            <w:r>
              <w:t>$476</w:t>
            </w:r>
          </w:p>
        </w:tc>
      </w:tr>
      <w:tr w:rsidR="000D07EA" w14:paraId="59B14C45" w14:textId="77777777">
        <w:tc>
          <w:tcPr>
            <w:tcW w:w="5220" w:type="dxa"/>
            <w:shd w:val="clear" w:color="auto" w:fill="auto"/>
          </w:tcPr>
          <w:p w14:paraId="3BC21EDA" w14:textId="77777777" w:rsidR="000D07EA" w:rsidRDefault="00BE7C89">
            <w:pPr>
              <w:pStyle w:val="BodyText"/>
              <w:spacing w:before="100" w:after="100"/>
            </w:pPr>
            <w:r>
              <w:t xml:space="preserve">Months 16 – 18 (60% of the Initial </w:t>
            </w:r>
            <w:r>
              <w:rPr>
                <w:i/>
              </w:rPr>
              <w:t>cancellation fee</w:t>
            </w:r>
            <w:r>
              <w:t>)</w:t>
            </w:r>
          </w:p>
        </w:tc>
        <w:tc>
          <w:tcPr>
            <w:tcW w:w="2790" w:type="dxa"/>
            <w:shd w:val="clear" w:color="auto" w:fill="auto"/>
          </w:tcPr>
          <w:p w14:paraId="212669B0" w14:textId="77777777" w:rsidR="000D07EA" w:rsidRDefault="00BE7C89">
            <w:pPr>
              <w:pStyle w:val="BodyText"/>
              <w:spacing w:before="100" w:after="100"/>
            </w:pPr>
            <w:r>
              <w:t>$357</w:t>
            </w:r>
          </w:p>
        </w:tc>
      </w:tr>
      <w:tr w:rsidR="000D07EA" w14:paraId="6C132B67" w14:textId="77777777">
        <w:tc>
          <w:tcPr>
            <w:tcW w:w="5220" w:type="dxa"/>
            <w:shd w:val="clear" w:color="auto" w:fill="auto"/>
          </w:tcPr>
          <w:p w14:paraId="01C7C9EA" w14:textId="77777777" w:rsidR="000D07EA" w:rsidRDefault="00BE7C89">
            <w:pPr>
              <w:pStyle w:val="BodyText"/>
              <w:spacing w:before="100" w:after="100"/>
            </w:pPr>
            <w:r>
              <w:t xml:space="preserve">Months 19 – 21 (40% of the Initial </w:t>
            </w:r>
            <w:r>
              <w:rPr>
                <w:i/>
              </w:rPr>
              <w:t>cancellation fee</w:t>
            </w:r>
            <w:r>
              <w:t>)</w:t>
            </w:r>
          </w:p>
        </w:tc>
        <w:tc>
          <w:tcPr>
            <w:tcW w:w="2790" w:type="dxa"/>
            <w:shd w:val="clear" w:color="auto" w:fill="auto"/>
          </w:tcPr>
          <w:p w14:paraId="6899B720" w14:textId="77777777" w:rsidR="000D07EA" w:rsidRDefault="00BE7C89">
            <w:pPr>
              <w:pStyle w:val="BodyText"/>
              <w:spacing w:before="100" w:after="100"/>
            </w:pPr>
            <w:r>
              <w:t>$238</w:t>
            </w:r>
          </w:p>
        </w:tc>
      </w:tr>
      <w:tr w:rsidR="000D07EA" w14:paraId="59F86FD5" w14:textId="77777777">
        <w:tc>
          <w:tcPr>
            <w:tcW w:w="5220" w:type="dxa"/>
            <w:shd w:val="clear" w:color="auto" w:fill="auto"/>
          </w:tcPr>
          <w:p w14:paraId="36750B06" w14:textId="77777777" w:rsidR="000D07EA" w:rsidRDefault="00BE7C89">
            <w:pPr>
              <w:pStyle w:val="BodyText"/>
              <w:spacing w:before="100" w:after="100"/>
            </w:pPr>
            <w:r>
              <w:t xml:space="preserve">Months 22 – 24 (20% of the Initial </w:t>
            </w:r>
            <w:r>
              <w:rPr>
                <w:i/>
              </w:rPr>
              <w:t>cancellation fee</w:t>
            </w:r>
            <w:r>
              <w:t>)</w:t>
            </w:r>
          </w:p>
        </w:tc>
        <w:tc>
          <w:tcPr>
            <w:tcW w:w="2790" w:type="dxa"/>
            <w:shd w:val="clear" w:color="auto" w:fill="auto"/>
          </w:tcPr>
          <w:p w14:paraId="4334C1B7" w14:textId="77777777" w:rsidR="000D07EA" w:rsidRDefault="00BE7C89">
            <w:pPr>
              <w:pStyle w:val="BodyText"/>
              <w:spacing w:before="100" w:after="100"/>
            </w:pPr>
            <w:r>
              <w:t>$119</w:t>
            </w:r>
          </w:p>
        </w:tc>
      </w:tr>
    </w:tbl>
    <w:p w14:paraId="2AE71CDD" w14:textId="77777777" w:rsidR="000D07EA" w:rsidRDefault="000D07EA">
      <w:pPr>
        <w:pStyle w:val="BodyText"/>
      </w:pPr>
    </w:p>
    <w:p w14:paraId="7F4B25FE" w14:textId="77777777" w:rsidR="000D07EA" w:rsidRDefault="00BE7C89">
      <w:pPr>
        <w:pStyle w:val="Heading7"/>
      </w:pPr>
      <w:r>
        <w:t xml:space="preserve">The minimum total cost for the </w:t>
      </w:r>
      <w:r>
        <w:rPr>
          <w:i/>
        </w:rPr>
        <w:t>'yes' Business $79 Cap 24 month</w:t>
      </w:r>
      <w:r>
        <w:t xml:space="preserve"> plan is $600, plus the cost of </w:t>
      </w:r>
      <w:r>
        <w:rPr>
          <w:i/>
        </w:rPr>
        <w:t>your mobile phone</w:t>
      </w:r>
      <w:r>
        <w:t>, if any.</w:t>
      </w:r>
    </w:p>
    <w:p w14:paraId="00FD8E11" w14:textId="77777777" w:rsidR="000D07EA" w:rsidRDefault="00BE7C89">
      <w:pPr>
        <w:pStyle w:val="Heading6"/>
        <w:ind w:left="0" w:firstLine="0"/>
      </w:pPr>
      <w:r>
        <w:t>Plan changes</w:t>
      </w:r>
    </w:p>
    <w:p w14:paraId="1A3FE158" w14:textId="77777777" w:rsidR="000D07EA" w:rsidRDefault="00BE7C89">
      <w:pPr>
        <w:pStyle w:val="BodyText"/>
        <w:ind w:left="720"/>
      </w:pPr>
      <w:r>
        <w:t xml:space="preserve">Change of ownership is permitted during the 24 month </w:t>
      </w:r>
      <w:r>
        <w:rPr>
          <w:i/>
        </w:rPr>
        <w:t>minimum term</w:t>
      </w:r>
      <w:r>
        <w:t xml:space="preserve"> as long as the new applicant meets </w:t>
      </w:r>
      <w:r>
        <w:rPr>
          <w:i/>
        </w:rPr>
        <w:t>our</w:t>
      </w:r>
      <w:r>
        <w:t xml:space="preserve"> credit assessment criteria and both </w:t>
      </w:r>
      <w:r>
        <w:rPr>
          <w:i/>
        </w:rPr>
        <w:t>you</w:t>
      </w:r>
      <w:r>
        <w:t xml:space="preserve"> and new owner agree to the conditions on the Optus Change of Ownership form.</w:t>
      </w:r>
    </w:p>
    <w:p w14:paraId="1FB4A52B" w14:textId="77777777" w:rsidR="000D07EA" w:rsidRDefault="00BE7C89">
      <w:pPr>
        <w:pStyle w:val="Heading4"/>
        <w:rPr>
          <w:lang w:val="en-AU"/>
        </w:rPr>
      </w:pPr>
      <w:bookmarkStart w:id="68" w:name="_Toc62644611"/>
      <w:r>
        <w:rPr>
          <w:lang w:val="en-AU"/>
        </w:rPr>
        <w:t>'yes' Business $179 Cap Plans</w:t>
      </w:r>
      <w:bookmarkEnd w:id="48"/>
      <w:bookmarkEnd w:id="49"/>
      <w:bookmarkEnd w:id="50"/>
      <w:bookmarkEnd w:id="68"/>
    </w:p>
    <w:p w14:paraId="70312A70" w14:textId="77777777" w:rsidR="000D07EA" w:rsidRDefault="00BE7C89">
      <w:pPr>
        <w:pStyle w:val="Heading6"/>
        <w:ind w:left="0" w:firstLine="0"/>
        <w:rPr>
          <w:lang w:val="en-AU"/>
        </w:rPr>
      </w:pPr>
      <w:bookmarkStart w:id="69" w:name="_Toc219870371"/>
      <w:bookmarkStart w:id="70" w:name="_Toc397940975"/>
      <w:r>
        <w:rPr>
          <w:lang w:val="en-AU"/>
        </w:rPr>
        <w:t>Eligibility</w:t>
      </w:r>
      <w:bookmarkEnd w:id="69"/>
      <w:bookmarkEnd w:id="70"/>
    </w:p>
    <w:p w14:paraId="2935FBA5" w14:textId="77777777" w:rsidR="000D07EA" w:rsidRDefault="00BE7C89">
      <w:pPr>
        <w:pStyle w:val="Heading7"/>
        <w:rPr>
          <w:lang w:val="en-AU"/>
        </w:rPr>
      </w:pPr>
      <w:r>
        <w:rPr>
          <w:lang w:val="en-AU"/>
        </w:rPr>
        <w:t xml:space="preserve">The </w:t>
      </w:r>
      <w:r>
        <w:rPr>
          <w:i/>
          <w:lang w:val="en-AU"/>
        </w:rPr>
        <w:t xml:space="preserve">'yes' Business $179 Cap </w:t>
      </w:r>
      <w:r>
        <w:rPr>
          <w:lang w:val="en-AU"/>
        </w:rPr>
        <w:t xml:space="preserve">Plan belongs to a suite of exclusive capped rate </w:t>
      </w:r>
      <w:r>
        <w:rPr>
          <w:i/>
          <w:lang w:val="en-AU"/>
        </w:rPr>
        <w:t>pricing plans</w:t>
      </w:r>
      <w:r>
        <w:rPr>
          <w:lang w:val="en-AU"/>
        </w:rPr>
        <w:t xml:space="preserve"> available under special offers to:</w:t>
      </w:r>
    </w:p>
    <w:p w14:paraId="1703A8DC" w14:textId="77777777" w:rsidR="000D07EA" w:rsidRDefault="00BE7C89">
      <w:pPr>
        <w:pStyle w:val="Heading8"/>
        <w:rPr>
          <w:lang w:val="en-AU"/>
        </w:rPr>
      </w:pPr>
      <w:r>
        <w:rPr>
          <w:lang w:val="en-AU"/>
        </w:rPr>
        <w:t xml:space="preserve">new connections to the </w:t>
      </w:r>
      <w:r>
        <w:rPr>
          <w:i/>
          <w:lang w:val="en-AU"/>
        </w:rPr>
        <w:t xml:space="preserve">service, </w:t>
      </w:r>
      <w:r>
        <w:rPr>
          <w:lang w:val="en-AU"/>
        </w:rPr>
        <w:t>excluding Optus Service Providers' customers.</w:t>
      </w:r>
    </w:p>
    <w:p w14:paraId="0271B114" w14:textId="77777777" w:rsidR="000D07EA" w:rsidRDefault="00BE7C89">
      <w:pPr>
        <w:pStyle w:val="Heading8"/>
        <w:rPr>
          <w:lang w:val="en-AU"/>
        </w:rPr>
      </w:pPr>
      <w:r>
        <w:rPr>
          <w:snapToGrid w:val="0"/>
          <w:lang w:val="en-AU"/>
        </w:rPr>
        <w:t xml:space="preserve">existing customers: If </w:t>
      </w:r>
      <w:r>
        <w:rPr>
          <w:i/>
          <w:snapToGrid w:val="0"/>
          <w:lang w:val="en-AU"/>
        </w:rPr>
        <w:t>you</w:t>
      </w:r>
      <w:r>
        <w:rPr>
          <w:snapToGrid w:val="0"/>
          <w:lang w:val="en-AU"/>
        </w:rPr>
        <w:t xml:space="preserve"> have a month to month agreement with </w:t>
      </w:r>
      <w:r>
        <w:rPr>
          <w:i/>
          <w:snapToGrid w:val="0"/>
          <w:lang w:val="en-AU"/>
        </w:rPr>
        <w:t>us</w:t>
      </w:r>
      <w:r>
        <w:rPr>
          <w:snapToGrid w:val="0"/>
          <w:lang w:val="en-AU"/>
        </w:rPr>
        <w:t xml:space="preserve"> or if </w:t>
      </w:r>
      <w:r>
        <w:rPr>
          <w:i/>
          <w:snapToGrid w:val="0"/>
          <w:lang w:val="en-AU"/>
        </w:rPr>
        <w:t>you</w:t>
      </w:r>
      <w:r>
        <w:rPr>
          <w:snapToGrid w:val="0"/>
          <w:lang w:val="en-AU"/>
        </w:rPr>
        <w:t xml:space="preserve"> have a </w:t>
      </w:r>
      <w:r>
        <w:rPr>
          <w:i/>
          <w:snapToGrid w:val="0"/>
          <w:lang w:val="en-AU"/>
        </w:rPr>
        <w:t>fixed length agreement</w:t>
      </w:r>
      <w:r>
        <w:rPr>
          <w:snapToGrid w:val="0"/>
          <w:lang w:val="en-AU"/>
        </w:rPr>
        <w:t xml:space="preserve"> we may agree (in </w:t>
      </w:r>
      <w:r>
        <w:rPr>
          <w:i/>
          <w:snapToGrid w:val="0"/>
          <w:lang w:val="en-AU"/>
        </w:rPr>
        <w:t>our</w:t>
      </w:r>
      <w:r>
        <w:rPr>
          <w:snapToGrid w:val="0"/>
          <w:lang w:val="en-AU"/>
        </w:rPr>
        <w:t xml:space="preserve"> discretion) to transfer you to the 'yes' Business $179 Cap plan</w:t>
      </w:r>
      <w:r>
        <w:rPr>
          <w:i/>
          <w:snapToGrid w:val="0"/>
          <w:lang w:val="en-AU"/>
        </w:rPr>
        <w:t>.</w:t>
      </w:r>
    </w:p>
    <w:p w14:paraId="5EA305BC" w14:textId="77777777" w:rsidR="000D07EA" w:rsidRDefault="00BE7C89">
      <w:pPr>
        <w:pStyle w:val="Heading6"/>
        <w:ind w:left="0" w:firstLine="0"/>
        <w:rPr>
          <w:lang w:val="en-AU"/>
        </w:rPr>
      </w:pPr>
      <w:bookmarkStart w:id="71" w:name="_Toc219870372"/>
      <w:bookmarkStart w:id="72" w:name="_Toc397940976"/>
      <w:r>
        <w:rPr>
          <w:snapToGrid w:val="0"/>
          <w:lang w:val="en-AU"/>
        </w:rPr>
        <w:t xml:space="preserve">Is it a </w:t>
      </w:r>
      <w:r>
        <w:rPr>
          <w:i/>
          <w:snapToGrid w:val="0"/>
          <w:lang w:val="en-AU"/>
        </w:rPr>
        <w:t>fixed-length agreement</w:t>
      </w:r>
      <w:bookmarkEnd w:id="71"/>
      <w:bookmarkEnd w:id="72"/>
    </w:p>
    <w:p w14:paraId="2F1FE35A" w14:textId="77777777" w:rsidR="000D07EA" w:rsidRDefault="00BE7C89">
      <w:pPr>
        <w:pStyle w:val="Heading7"/>
        <w:rPr>
          <w:lang w:val="en-AU"/>
        </w:rPr>
      </w:pPr>
      <w:r>
        <w:rPr>
          <w:lang w:val="en-AU"/>
        </w:rPr>
        <w:t xml:space="preserve">The </w:t>
      </w:r>
      <w:r>
        <w:rPr>
          <w:i/>
          <w:lang w:val="en-AU"/>
        </w:rPr>
        <w:t xml:space="preserve">'yes' Business $179 Cap </w:t>
      </w:r>
      <w:r>
        <w:rPr>
          <w:lang w:val="en-AU"/>
        </w:rPr>
        <w:t>Plan requires a month to month or a 24 month connection.</w:t>
      </w:r>
    </w:p>
    <w:p w14:paraId="7561CD4E" w14:textId="77777777" w:rsidR="000D07EA" w:rsidRDefault="00BE7C89">
      <w:pPr>
        <w:pStyle w:val="Heading7"/>
        <w:rPr>
          <w:lang w:val="en-AU"/>
        </w:rPr>
      </w:pPr>
      <w:r>
        <w:rPr>
          <w:lang w:val="en-AU"/>
        </w:rPr>
        <w:t xml:space="preserve">The </w:t>
      </w:r>
      <w:r>
        <w:rPr>
          <w:i/>
          <w:lang w:val="en-AU"/>
        </w:rPr>
        <w:t>'yes' Business $179 Cap</w:t>
      </w:r>
      <w:r>
        <w:rPr>
          <w:lang w:val="en-AU"/>
        </w:rPr>
        <w:t xml:space="preserve"> Plan allows customers to purchase a </w:t>
      </w:r>
      <w:r>
        <w:rPr>
          <w:i/>
          <w:lang w:val="en-AU"/>
        </w:rPr>
        <w:t>mobile phone</w:t>
      </w:r>
      <w:r>
        <w:rPr>
          <w:lang w:val="en-AU"/>
        </w:rPr>
        <w:t xml:space="preserve"> under a </w:t>
      </w:r>
      <w:r>
        <w:rPr>
          <w:i/>
          <w:lang w:val="en-AU"/>
        </w:rPr>
        <w:t>mobile equipment payment plan</w:t>
      </w:r>
      <w:r>
        <w:rPr>
          <w:lang w:val="en-AU"/>
        </w:rPr>
        <w:t xml:space="preserve"> over a 12 or 24 month </w:t>
      </w:r>
      <w:r>
        <w:rPr>
          <w:i/>
          <w:lang w:val="en-AU"/>
        </w:rPr>
        <w:t>equipment term</w:t>
      </w:r>
      <w:r>
        <w:rPr>
          <w:lang w:val="en-AU"/>
        </w:rPr>
        <w:t xml:space="preserve"> on selected </w:t>
      </w:r>
      <w:r>
        <w:rPr>
          <w:i/>
          <w:lang w:val="en-AU"/>
        </w:rPr>
        <w:t>mobile phones</w:t>
      </w:r>
      <w:r>
        <w:rPr>
          <w:lang w:val="en-AU"/>
        </w:rPr>
        <w:t>.</w:t>
      </w:r>
    </w:p>
    <w:p w14:paraId="440E32D4" w14:textId="77777777" w:rsidR="000D07EA" w:rsidRDefault="00BE7C89">
      <w:pPr>
        <w:pStyle w:val="Heading7"/>
        <w:rPr>
          <w:lang w:val="en-AU"/>
        </w:rPr>
      </w:pPr>
      <w:r>
        <w:rPr>
          <w:lang w:val="en-AU"/>
        </w:rPr>
        <w:t xml:space="preserve">If the customer selects to pay the cost of their </w:t>
      </w:r>
      <w:r>
        <w:rPr>
          <w:i/>
          <w:lang w:val="en-AU"/>
        </w:rPr>
        <w:t xml:space="preserve">mobile phone </w:t>
      </w:r>
      <w:r>
        <w:rPr>
          <w:lang w:val="en-AU"/>
        </w:rPr>
        <w:t xml:space="preserve">by the </w:t>
      </w:r>
      <w:r>
        <w:rPr>
          <w:i/>
          <w:lang w:val="en-AU"/>
        </w:rPr>
        <w:t>mobile equipment payment plan</w:t>
      </w:r>
      <w:r>
        <w:rPr>
          <w:lang w:val="en-AU"/>
        </w:rPr>
        <w:t xml:space="preserve"> and the </w:t>
      </w:r>
      <w:r>
        <w:rPr>
          <w:i/>
          <w:lang w:val="en-AU"/>
        </w:rPr>
        <w:t xml:space="preserve">service is cancelled </w:t>
      </w:r>
      <w:r>
        <w:rPr>
          <w:lang w:val="en-AU"/>
        </w:rPr>
        <w:t xml:space="preserve">before the end of the </w:t>
      </w:r>
      <w:r>
        <w:rPr>
          <w:i/>
          <w:lang w:val="en-AU"/>
        </w:rPr>
        <w:t>equipment term,</w:t>
      </w:r>
      <w:r>
        <w:rPr>
          <w:lang w:val="en-AU"/>
        </w:rPr>
        <w:t xml:space="preserve"> the customer will be required to pay the total of any outstanding </w:t>
      </w:r>
      <w:r>
        <w:rPr>
          <w:i/>
          <w:lang w:val="en-AU"/>
        </w:rPr>
        <w:t xml:space="preserve">equipment charges </w:t>
      </w:r>
      <w:r>
        <w:rPr>
          <w:lang w:val="en-AU"/>
        </w:rPr>
        <w:t>(if any).</w:t>
      </w:r>
    </w:p>
    <w:p w14:paraId="6FC0D4D7" w14:textId="77777777" w:rsidR="000D07EA" w:rsidRDefault="00BE7C89">
      <w:pPr>
        <w:pStyle w:val="Heading6"/>
        <w:ind w:left="0" w:firstLine="0"/>
        <w:rPr>
          <w:i/>
          <w:lang w:val="en-AU"/>
        </w:rPr>
      </w:pPr>
      <w:bookmarkStart w:id="73" w:name="_Toc219870373"/>
      <w:bookmarkStart w:id="74" w:name="_Toc397940977"/>
      <w:r>
        <w:rPr>
          <w:lang w:val="en-AU"/>
        </w:rPr>
        <w:t xml:space="preserve">What </w:t>
      </w:r>
      <w:r>
        <w:rPr>
          <w:i/>
          <w:lang w:val="en-AU"/>
        </w:rPr>
        <w:t xml:space="preserve">you </w:t>
      </w:r>
      <w:r>
        <w:rPr>
          <w:lang w:val="en-AU"/>
        </w:rPr>
        <w:t xml:space="preserve">have to pay </w:t>
      </w:r>
      <w:r>
        <w:rPr>
          <w:i/>
          <w:lang w:val="en-AU"/>
        </w:rPr>
        <w:t>us</w:t>
      </w:r>
      <w:bookmarkEnd w:id="73"/>
      <w:bookmarkEnd w:id="74"/>
    </w:p>
    <w:p w14:paraId="53B2368A" w14:textId="77777777" w:rsidR="000D07EA" w:rsidRDefault="00BE7C89">
      <w:pPr>
        <w:pStyle w:val="Heading7"/>
        <w:rPr>
          <w:lang w:val="en-AU"/>
        </w:rPr>
      </w:pPr>
      <w:r>
        <w:rPr>
          <w:lang w:val="en-AU"/>
        </w:rPr>
        <w:t xml:space="preserve">The pricing of the </w:t>
      </w:r>
      <w:r>
        <w:rPr>
          <w:i/>
          <w:lang w:val="en-AU"/>
        </w:rPr>
        <w:t xml:space="preserve">'yes' Business $179 Cap </w:t>
      </w:r>
      <w:r>
        <w:rPr>
          <w:lang w:val="en-AU"/>
        </w:rPr>
        <w:t xml:space="preserve">Plan is specified in the table below. </w:t>
      </w:r>
    </w:p>
    <w:p w14:paraId="76E31E7A" w14:textId="77777777" w:rsidR="000D07EA" w:rsidRDefault="00BE7C89">
      <w:pPr>
        <w:pStyle w:val="Heading7"/>
        <w:rPr>
          <w:lang w:val="en-AU"/>
        </w:rPr>
      </w:pPr>
      <w:r>
        <w:rPr>
          <w:i/>
          <w:lang w:val="en-AU"/>
        </w:rPr>
        <w:lastRenderedPageBreak/>
        <w:t xml:space="preserve">You </w:t>
      </w:r>
      <w:r>
        <w:rPr>
          <w:lang w:val="en-AU"/>
        </w:rPr>
        <w:t xml:space="preserve">must pay </w:t>
      </w:r>
      <w:r>
        <w:rPr>
          <w:i/>
          <w:lang w:val="en-AU"/>
        </w:rPr>
        <w:t xml:space="preserve">us </w:t>
      </w:r>
      <w:r>
        <w:rPr>
          <w:lang w:val="en-AU"/>
        </w:rPr>
        <w:t xml:space="preserve">the monthly </w:t>
      </w:r>
      <w:r>
        <w:rPr>
          <w:i/>
          <w:lang w:val="en-AU"/>
        </w:rPr>
        <w:t xml:space="preserve">access fee </w:t>
      </w:r>
      <w:r>
        <w:rPr>
          <w:lang w:val="en-AU"/>
        </w:rPr>
        <w:t xml:space="preserve">or minimum monthly spend of $25 each month during the term of the </w:t>
      </w:r>
      <w:r>
        <w:rPr>
          <w:i/>
          <w:lang w:val="en-AU"/>
        </w:rPr>
        <w:t>agreement</w:t>
      </w:r>
      <w:r>
        <w:rPr>
          <w:lang w:val="en-AU"/>
        </w:rPr>
        <w:t xml:space="preserve">. This monthly </w:t>
      </w:r>
      <w:r>
        <w:rPr>
          <w:i/>
          <w:lang w:val="en-AU"/>
        </w:rPr>
        <w:t>access fee</w:t>
      </w:r>
      <w:r>
        <w:rPr>
          <w:lang w:val="en-AU"/>
        </w:rPr>
        <w:t xml:space="preserve"> includes an equal value of included calls each month and will be charged even if </w:t>
      </w:r>
      <w:r>
        <w:rPr>
          <w:i/>
          <w:lang w:val="en-AU"/>
        </w:rPr>
        <w:t>you</w:t>
      </w:r>
      <w:r>
        <w:rPr>
          <w:lang w:val="en-AU"/>
        </w:rPr>
        <w:t xml:space="preserve"> do not make calls equal to this value in any month.</w:t>
      </w:r>
    </w:p>
    <w:p w14:paraId="02152011" w14:textId="77777777" w:rsidR="000D07EA" w:rsidRDefault="00BE7C89">
      <w:pPr>
        <w:pStyle w:val="Heading7"/>
        <w:rPr>
          <w:lang w:val="en-AU"/>
        </w:rPr>
      </w:pPr>
      <w:r>
        <w:rPr>
          <w:lang w:val="en-AU"/>
        </w:rPr>
        <w:t>The calls that are eligible for the included call component are voice calls, SMS, MMS, PTT, Voicemail, International SMS, 124YES(937), Optus Zoo Browsing, International Calls. Some call types are not eligible for the included call component such as International Roaming, Directory Assistance, Group SMS and 1900 calls.</w:t>
      </w:r>
    </w:p>
    <w:p w14:paraId="7F7BD575" w14:textId="77777777" w:rsidR="000D07EA" w:rsidRDefault="00BE7C89">
      <w:pPr>
        <w:pStyle w:val="Heading7"/>
        <w:rPr>
          <w:lang w:val="en-AU"/>
        </w:rPr>
      </w:pPr>
      <w:r>
        <w:rPr>
          <w:i/>
          <w:lang w:val="en-AU"/>
        </w:rPr>
        <w:t xml:space="preserve">You </w:t>
      </w:r>
      <w:r>
        <w:rPr>
          <w:lang w:val="en-AU"/>
        </w:rPr>
        <w:t xml:space="preserve">must pay </w:t>
      </w:r>
      <w:r>
        <w:rPr>
          <w:i/>
          <w:lang w:val="en-AU"/>
        </w:rPr>
        <w:t xml:space="preserve">us </w:t>
      </w:r>
      <w:r>
        <w:rPr>
          <w:lang w:val="en-AU"/>
        </w:rPr>
        <w:t xml:space="preserve">for call charges beyond </w:t>
      </w:r>
      <w:r>
        <w:rPr>
          <w:i/>
          <w:lang w:val="en-AU"/>
        </w:rPr>
        <w:t xml:space="preserve">your </w:t>
      </w:r>
      <w:r>
        <w:rPr>
          <w:lang w:val="en-AU"/>
        </w:rPr>
        <w:t xml:space="preserve">included call component and </w:t>
      </w:r>
      <w:r>
        <w:rPr>
          <w:i/>
          <w:lang w:val="en-AU"/>
        </w:rPr>
        <w:t xml:space="preserve">you </w:t>
      </w:r>
      <w:r>
        <w:rPr>
          <w:lang w:val="en-AU"/>
        </w:rPr>
        <w:t>must pay for any calls that are not eligible calls.</w:t>
      </w:r>
    </w:p>
    <w:p w14:paraId="4CB8ECEE" w14:textId="77777777" w:rsidR="000D07EA" w:rsidRDefault="00BE7C89">
      <w:pPr>
        <w:pStyle w:val="Heading7"/>
        <w:rPr>
          <w:lang w:val="en-AU"/>
        </w:rPr>
      </w:pPr>
      <w:r>
        <w:rPr>
          <w:lang w:val="en-AU"/>
        </w:rPr>
        <w:t xml:space="preserve">The </w:t>
      </w:r>
      <w:r>
        <w:rPr>
          <w:i/>
          <w:lang w:val="en-AU"/>
        </w:rPr>
        <w:t xml:space="preserve">'yes' Business $179 Cap </w:t>
      </w:r>
      <w:r>
        <w:rPr>
          <w:lang w:val="en-AU"/>
        </w:rPr>
        <w:t xml:space="preserve">Plan includes an initial charge per call (call connection or </w:t>
      </w:r>
      <w:r>
        <w:rPr>
          <w:i/>
          <w:lang w:val="en-AU"/>
        </w:rPr>
        <w:t>flagfall</w:t>
      </w:r>
      <w:r>
        <w:rPr>
          <w:lang w:val="en-AU"/>
        </w:rPr>
        <w:t xml:space="preserve"> charge), as specified below. So the charge for calls made is the </w:t>
      </w:r>
      <w:r>
        <w:rPr>
          <w:i/>
          <w:lang w:val="en-AU"/>
        </w:rPr>
        <w:t xml:space="preserve">flagfall </w:t>
      </w:r>
      <w:r>
        <w:rPr>
          <w:lang w:val="en-AU"/>
        </w:rPr>
        <w:t>plus the relevant rate multiplied by the duration of the call.</w:t>
      </w:r>
    </w:p>
    <w:tbl>
      <w:tblPr>
        <w:tblW w:w="8388"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48"/>
        <w:gridCol w:w="3240"/>
      </w:tblGrid>
      <w:tr w:rsidR="000D07EA" w14:paraId="2317132E" w14:textId="77777777">
        <w:tc>
          <w:tcPr>
            <w:tcW w:w="5148" w:type="dxa"/>
          </w:tcPr>
          <w:p w14:paraId="6D6647F1" w14:textId="77777777" w:rsidR="000D07EA" w:rsidRDefault="000D07EA">
            <w:pPr>
              <w:pStyle w:val="BodyText"/>
              <w:spacing w:before="100" w:after="100"/>
              <w:rPr>
                <w:lang w:val="en-AU"/>
              </w:rPr>
            </w:pPr>
          </w:p>
        </w:tc>
        <w:tc>
          <w:tcPr>
            <w:tcW w:w="3240" w:type="dxa"/>
          </w:tcPr>
          <w:p w14:paraId="07E2CE75" w14:textId="77777777" w:rsidR="000D07EA" w:rsidRDefault="00BE7C89">
            <w:pPr>
              <w:pStyle w:val="BodyText"/>
              <w:spacing w:before="100" w:after="100"/>
              <w:rPr>
                <w:b/>
                <w:lang w:val="en-AU"/>
              </w:rPr>
            </w:pPr>
            <w:r>
              <w:rPr>
                <w:b/>
                <w:i/>
                <w:lang w:val="en-AU"/>
              </w:rPr>
              <w:t xml:space="preserve">'yes' Business $179 Cap </w:t>
            </w:r>
            <w:r>
              <w:rPr>
                <w:b/>
                <w:lang w:val="en-AU"/>
              </w:rPr>
              <w:t>Plan</w:t>
            </w:r>
          </w:p>
        </w:tc>
      </w:tr>
      <w:tr w:rsidR="000D07EA" w14:paraId="5652B0BF" w14:textId="77777777">
        <w:tc>
          <w:tcPr>
            <w:tcW w:w="5148" w:type="dxa"/>
          </w:tcPr>
          <w:p w14:paraId="474799C9" w14:textId="77777777" w:rsidR="000D07EA" w:rsidRDefault="00BE7C89">
            <w:pPr>
              <w:pStyle w:val="BodyText"/>
              <w:spacing w:before="100" w:after="100"/>
              <w:rPr>
                <w:b/>
                <w:lang w:val="en-AU"/>
              </w:rPr>
            </w:pPr>
            <w:r>
              <w:rPr>
                <w:b/>
                <w:lang w:val="en-AU"/>
              </w:rPr>
              <w:t>Minimum monthly charge</w:t>
            </w:r>
          </w:p>
        </w:tc>
        <w:tc>
          <w:tcPr>
            <w:tcW w:w="3240" w:type="dxa"/>
          </w:tcPr>
          <w:p w14:paraId="20E39833" w14:textId="77777777" w:rsidR="000D07EA" w:rsidRDefault="00BE7C89">
            <w:pPr>
              <w:pStyle w:val="BodyText"/>
              <w:spacing w:before="100" w:after="100"/>
              <w:rPr>
                <w:lang w:val="en-AU"/>
              </w:rPr>
            </w:pPr>
            <w:r>
              <w:rPr>
                <w:lang w:val="en-AU"/>
              </w:rPr>
              <w:t>$22.73 ($25.00)</w:t>
            </w:r>
          </w:p>
        </w:tc>
      </w:tr>
      <w:tr w:rsidR="000D07EA" w14:paraId="6462BC3A" w14:textId="77777777">
        <w:tc>
          <w:tcPr>
            <w:tcW w:w="5148" w:type="dxa"/>
          </w:tcPr>
          <w:p w14:paraId="3D536F85" w14:textId="77777777" w:rsidR="000D07EA" w:rsidRDefault="00BE7C89">
            <w:pPr>
              <w:pStyle w:val="BodyText"/>
              <w:spacing w:before="100" w:after="100"/>
              <w:rPr>
                <w:b/>
                <w:lang w:val="en-AU"/>
              </w:rPr>
            </w:pPr>
            <w:r>
              <w:rPr>
                <w:b/>
                <w:lang w:val="en-AU"/>
              </w:rPr>
              <w:t>Voice and Text spend between $179 and $1200</w:t>
            </w:r>
          </w:p>
        </w:tc>
        <w:tc>
          <w:tcPr>
            <w:tcW w:w="3240" w:type="dxa"/>
          </w:tcPr>
          <w:p w14:paraId="44EA1CE1" w14:textId="77777777" w:rsidR="000D07EA" w:rsidRDefault="00BE7C89">
            <w:pPr>
              <w:pStyle w:val="BodyText"/>
              <w:spacing w:before="100" w:after="100"/>
              <w:rPr>
                <w:lang w:val="en-AU"/>
              </w:rPr>
            </w:pPr>
            <w:r>
              <w:rPr>
                <w:lang w:val="en-AU"/>
              </w:rPr>
              <w:t>Voice calls and Standard Text Messages $0.00</w:t>
            </w:r>
          </w:p>
        </w:tc>
      </w:tr>
      <w:tr w:rsidR="000D07EA" w14:paraId="65D4EBD7" w14:textId="77777777">
        <w:tc>
          <w:tcPr>
            <w:tcW w:w="5148" w:type="dxa"/>
          </w:tcPr>
          <w:p w14:paraId="3ADBEAC4" w14:textId="77777777" w:rsidR="000D07EA" w:rsidRDefault="00BE7C89">
            <w:pPr>
              <w:pStyle w:val="BodyText"/>
              <w:spacing w:before="100" w:after="100"/>
              <w:rPr>
                <w:lang w:val="en-AU"/>
              </w:rPr>
            </w:pPr>
            <w:r>
              <w:rPr>
                <w:b/>
                <w:lang w:val="en-AU"/>
              </w:rPr>
              <w:t>Voice call charges</w:t>
            </w:r>
            <w:r>
              <w:rPr>
                <w:lang w:val="en-AU"/>
              </w:rPr>
              <w:t xml:space="preserve"> (per 30 seconds)</w:t>
            </w:r>
          </w:p>
        </w:tc>
        <w:tc>
          <w:tcPr>
            <w:tcW w:w="3240" w:type="dxa"/>
          </w:tcPr>
          <w:p w14:paraId="21CA380C" w14:textId="77777777" w:rsidR="000D07EA" w:rsidRDefault="00BE7C89">
            <w:pPr>
              <w:pStyle w:val="BodyText"/>
              <w:spacing w:before="100" w:after="100"/>
              <w:rPr>
                <w:lang w:val="en-AU"/>
              </w:rPr>
            </w:pPr>
            <w:r>
              <w:rPr>
                <w:lang w:val="en-AU"/>
              </w:rPr>
              <w:t>$0.272 ($0.30)</w:t>
            </w:r>
          </w:p>
        </w:tc>
      </w:tr>
      <w:tr w:rsidR="000D07EA" w14:paraId="79EE48EA" w14:textId="77777777">
        <w:tc>
          <w:tcPr>
            <w:tcW w:w="5148" w:type="dxa"/>
          </w:tcPr>
          <w:p w14:paraId="34687BE3" w14:textId="77777777" w:rsidR="000D07EA" w:rsidRDefault="00BE7C89">
            <w:pPr>
              <w:pStyle w:val="BodyText"/>
              <w:spacing w:before="100" w:after="100"/>
              <w:rPr>
                <w:b/>
                <w:lang w:val="en-AU"/>
              </w:rPr>
            </w:pPr>
            <w:r>
              <w:rPr>
                <w:b/>
                <w:lang w:val="en-AU"/>
              </w:rPr>
              <w:t xml:space="preserve">Text Charges </w:t>
            </w:r>
          </w:p>
        </w:tc>
        <w:tc>
          <w:tcPr>
            <w:tcW w:w="3240" w:type="dxa"/>
          </w:tcPr>
          <w:p w14:paraId="276572B5" w14:textId="77777777" w:rsidR="000D07EA" w:rsidRDefault="00BE7C89">
            <w:pPr>
              <w:pStyle w:val="BodyText"/>
              <w:spacing w:before="100" w:after="100"/>
              <w:rPr>
                <w:lang w:val="en-AU"/>
              </w:rPr>
            </w:pPr>
            <w:r>
              <w:rPr>
                <w:lang w:val="en-AU"/>
              </w:rPr>
              <w:t>$0.227 ($0.25)</w:t>
            </w:r>
          </w:p>
        </w:tc>
      </w:tr>
      <w:tr w:rsidR="000D07EA" w14:paraId="15D22521" w14:textId="77777777">
        <w:tc>
          <w:tcPr>
            <w:tcW w:w="5148" w:type="dxa"/>
          </w:tcPr>
          <w:p w14:paraId="45703DEE" w14:textId="77777777" w:rsidR="000D07EA" w:rsidRDefault="00BE7C89">
            <w:pPr>
              <w:pStyle w:val="BodyText"/>
              <w:spacing w:before="100" w:after="100"/>
              <w:rPr>
                <w:b/>
                <w:lang w:val="en-AU"/>
              </w:rPr>
            </w:pPr>
            <w:r>
              <w:rPr>
                <w:b/>
                <w:i/>
                <w:lang w:val="en-AU"/>
              </w:rPr>
              <w:t>Flagfall</w:t>
            </w:r>
            <w:r>
              <w:rPr>
                <w:b/>
                <w:lang w:val="en-AU"/>
              </w:rPr>
              <w:t xml:space="preserve"> (Call Connection Charge)</w:t>
            </w:r>
          </w:p>
        </w:tc>
        <w:tc>
          <w:tcPr>
            <w:tcW w:w="3240" w:type="dxa"/>
          </w:tcPr>
          <w:p w14:paraId="7E04B64A" w14:textId="77777777" w:rsidR="000D07EA" w:rsidRDefault="00BE7C89">
            <w:pPr>
              <w:pStyle w:val="BodyText"/>
              <w:spacing w:before="100" w:after="100"/>
              <w:rPr>
                <w:lang w:val="en-AU"/>
              </w:rPr>
            </w:pPr>
            <w:r>
              <w:rPr>
                <w:lang w:val="en-AU"/>
              </w:rPr>
              <w:t>$0.227 ($0.25)</w:t>
            </w:r>
          </w:p>
        </w:tc>
      </w:tr>
    </w:tbl>
    <w:p w14:paraId="39E71A5C" w14:textId="77777777" w:rsidR="000D07EA" w:rsidRDefault="000D07EA">
      <w:pPr>
        <w:pStyle w:val="BodyText"/>
      </w:pPr>
      <w:bookmarkStart w:id="75" w:name="_Toc219870374"/>
      <w:bookmarkStart w:id="76" w:name="_Toc397940978"/>
    </w:p>
    <w:p w14:paraId="71EB1E2D" w14:textId="77777777" w:rsidR="000D07EA" w:rsidRDefault="00BE7C89">
      <w:pPr>
        <w:pStyle w:val="Heading6"/>
        <w:ind w:left="0" w:firstLine="0"/>
        <w:rPr>
          <w:lang w:val="en-AU"/>
        </w:rPr>
      </w:pPr>
      <w:r>
        <w:rPr>
          <w:lang w:val="en-AU"/>
        </w:rPr>
        <w:t>$179 Cap</w:t>
      </w:r>
      <w:bookmarkEnd w:id="75"/>
      <w:bookmarkEnd w:id="76"/>
    </w:p>
    <w:p w14:paraId="63F18D9F" w14:textId="77777777" w:rsidR="000D07EA" w:rsidRDefault="00BE7C89">
      <w:pPr>
        <w:pStyle w:val="Heading7"/>
        <w:rPr>
          <w:snapToGrid w:val="0"/>
          <w:lang w:val="en-AU"/>
        </w:rPr>
      </w:pPr>
      <w:r>
        <w:rPr>
          <w:snapToGrid w:val="0"/>
          <w:lang w:val="en-AU"/>
        </w:rPr>
        <w:t xml:space="preserve">If </w:t>
      </w:r>
      <w:r>
        <w:rPr>
          <w:i/>
          <w:snapToGrid w:val="0"/>
          <w:lang w:val="en-AU"/>
        </w:rPr>
        <w:t xml:space="preserve">you </w:t>
      </w:r>
      <w:r>
        <w:rPr>
          <w:snapToGrid w:val="0"/>
          <w:lang w:val="en-AU"/>
        </w:rPr>
        <w:t xml:space="preserve">choose the </w:t>
      </w:r>
      <w:r>
        <w:rPr>
          <w:i/>
          <w:lang w:val="en-AU"/>
        </w:rPr>
        <w:t xml:space="preserve">'yes' Business $179 Cap </w:t>
      </w:r>
      <w:r>
        <w:rPr>
          <w:lang w:val="en-AU"/>
        </w:rPr>
        <w:t xml:space="preserve">Plan, </w:t>
      </w:r>
      <w:r>
        <w:rPr>
          <w:i/>
          <w:lang w:val="en-AU"/>
        </w:rPr>
        <w:t xml:space="preserve">you </w:t>
      </w:r>
      <w:r>
        <w:rPr>
          <w:snapToGrid w:val="0"/>
          <w:lang w:val="en-AU"/>
        </w:rPr>
        <w:t xml:space="preserve">will receive the $179 Text and Talk cap. Under the $179 Text and Talk cap offer, </w:t>
      </w:r>
      <w:r>
        <w:rPr>
          <w:i/>
          <w:snapToGrid w:val="0"/>
          <w:lang w:val="en-AU"/>
        </w:rPr>
        <w:t xml:space="preserve">you </w:t>
      </w:r>
      <w:r>
        <w:rPr>
          <w:snapToGrid w:val="0"/>
          <w:lang w:val="en-AU"/>
        </w:rPr>
        <w:t>pay the first $179 worth of voice calls and SMS text messages each billing period,</w:t>
      </w:r>
      <w:r>
        <w:rPr>
          <w:rFonts w:cs="Arial"/>
          <w:i/>
          <w:iCs/>
          <w:lang w:val="en-AU"/>
        </w:rPr>
        <w:t xml:space="preserve"> </w:t>
      </w:r>
      <w:r>
        <w:rPr>
          <w:snapToGrid w:val="0"/>
          <w:lang w:val="en-AU"/>
        </w:rPr>
        <w:t>after which voice calls and SMS text messages are free up to a maximum of $1200 per billing period.</w:t>
      </w:r>
    </w:p>
    <w:p w14:paraId="44D2EE8B" w14:textId="77777777" w:rsidR="000D07EA" w:rsidRDefault="00BE7C89">
      <w:pPr>
        <w:pStyle w:val="Heading7"/>
        <w:rPr>
          <w:snapToGrid w:val="0"/>
          <w:lang w:val="en-AU"/>
        </w:rPr>
      </w:pPr>
      <w:r>
        <w:rPr>
          <w:snapToGrid w:val="0"/>
          <w:lang w:val="en-AU"/>
        </w:rPr>
        <w:t xml:space="preserve">If </w:t>
      </w:r>
      <w:r>
        <w:rPr>
          <w:i/>
          <w:snapToGrid w:val="0"/>
          <w:lang w:val="en-AU"/>
        </w:rPr>
        <w:t xml:space="preserve">you </w:t>
      </w:r>
      <w:r>
        <w:rPr>
          <w:snapToGrid w:val="0"/>
          <w:lang w:val="en-AU"/>
        </w:rPr>
        <w:t xml:space="preserve">exceed $1200 worth of voice calls and SMS text messages in any billing period, standard call and text rates of </w:t>
      </w:r>
      <w:r>
        <w:rPr>
          <w:i/>
          <w:snapToGrid w:val="0"/>
          <w:lang w:val="en-AU"/>
        </w:rPr>
        <w:t>your</w:t>
      </w:r>
      <w:r>
        <w:rPr>
          <w:snapToGrid w:val="0"/>
          <w:lang w:val="en-AU"/>
        </w:rPr>
        <w:t xml:space="preserve"> </w:t>
      </w:r>
      <w:r>
        <w:rPr>
          <w:i/>
          <w:snapToGrid w:val="0"/>
          <w:lang w:val="en-AU"/>
        </w:rPr>
        <w:t>pricing plan</w:t>
      </w:r>
      <w:r>
        <w:rPr>
          <w:snapToGrid w:val="0"/>
          <w:lang w:val="en-AU"/>
        </w:rPr>
        <w:t xml:space="preserve"> will apply.</w:t>
      </w:r>
    </w:p>
    <w:p w14:paraId="6B1625E8" w14:textId="77777777" w:rsidR="000D07EA" w:rsidRDefault="00BE7C89">
      <w:pPr>
        <w:pStyle w:val="Heading7"/>
        <w:rPr>
          <w:snapToGrid w:val="0"/>
          <w:lang w:val="en-AU"/>
        </w:rPr>
      </w:pPr>
      <w:r>
        <w:rPr>
          <w:snapToGrid w:val="0"/>
          <w:lang w:val="en-AU"/>
        </w:rPr>
        <w:t xml:space="preserve">The Text and Talk Cap excludes some calls and use of some </w:t>
      </w:r>
      <w:r>
        <w:rPr>
          <w:i/>
          <w:snapToGrid w:val="0"/>
          <w:lang w:val="en-AU"/>
        </w:rPr>
        <w:t>value added service features</w:t>
      </w:r>
      <w:r>
        <w:rPr>
          <w:snapToGrid w:val="0"/>
          <w:lang w:val="en-AU"/>
        </w:rPr>
        <w:t>, including international roaming, international voice calls, international, premium and Third Party SMS, MMS, International MMS, 1300, 1900 and other features.</w:t>
      </w:r>
    </w:p>
    <w:p w14:paraId="4BB92633" w14:textId="77777777" w:rsidR="000D07EA" w:rsidRDefault="00BE7C89">
      <w:pPr>
        <w:pStyle w:val="Heading7"/>
        <w:rPr>
          <w:snapToGrid w:val="0"/>
          <w:lang w:val="en-AU"/>
        </w:rPr>
      </w:pPr>
      <w:r>
        <w:rPr>
          <w:snapToGrid w:val="0"/>
          <w:lang w:val="en-AU"/>
        </w:rPr>
        <w:t>Any unused portion of the $179 Cap expires at the end of each month. This means that it does not roll over into following month.</w:t>
      </w:r>
    </w:p>
    <w:p w14:paraId="18FB422E" w14:textId="77777777" w:rsidR="000D07EA" w:rsidRDefault="00BE7C89">
      <w:pPr>
        <w:pStyle w:val="Heading7"/>
        <w:rPr>
          <w:snapToGrid w:val="0"/>
        </w:rPr>
      </w:pPr>
      <w:r>
        <w:rPr>
          <w:b/>
          <w:snapToGrid w:val="0"/>
        </w:rPr>
        <w:t xml:space="preserve">Free Voicemail Offer </w:t>
      </w:r>
      <w:r>
        <w:rPr>
          <w:snapToGrid w:val="0"/>
        </w:rPr>
        <w:t xml:space="preserve">is available on this </w:t>
      </w:r>
      <w:r>
        <w:rPr>
          <w:i/>
          <w:snapToGrid w:val="0"/>
        </w:rPr>
        <w:t>pricing plan</w:t>
      </w:r>
      <w:r>
        <w:rPr>
          <w:snapToGrid w:val="0"/>
        </w:rPr>
        <w:t xml:space="preserve"> and applies to voicemail retrieval and diversion charges, within Australia.</w:t>
      </w:r>
    </w:p>
    <w:p w14:paraId="7A269568" w14:textId="77777777" w:rsidR="000D07EA" w:rsidRDefault="00BE7C89">
      <w:pPr>
        <w:pStyle w:val="Heading7"/>
        <w:rPr>
          <w:snapToGrid w:val="0"/>
        </w:rPr>
      </w:pPr>
      <w:r>
        <w:rPr>
          <w:b/>
          <w:snapToGrid w:val="0"/>
        </w:rPr>
        <w:t xml:space="preserve">100 Free Photo Messages Offer (MMS) </w:t>
      </w:r>
      <w:r>
        <w:rPr>
          <w:snapToGrid w:val="0"/>
        </w:rPr>
        <w:t xml:space="preserve">is available on this </w:t>
      </w:r>
      <w:r>
        <w:rPr>
          <w:i/>
          <w:snapToGrid w:val="0"/>
        </w:rPr>
        <w:t>pricing plan.</w:t>
      </w:r>
      <w:r>
        <w:rPr>
          <w:snapToGrid w:val="0"/>
        </w:rPr>
        <w:t xml:space="preserve"> It applies only if </w:t>
      </w:r>
      <w:r>
        <w:rPr>
          <w:i/>
          <w:snapToGrid w:val="0"/>
        </w:rPr>
        <w:t xml:space="preserve">you </w:t>
      </w:r>
      <w:r>
        <w:rPr>
          <w:snapToGrid w:val="0"/>
        </w:rPr>
        <w:t>have a c</w:t>
      </w:r>
      <w:r>
        <w:rPr>
          <w:lang w:val="en-AU"/>
        </w:rPr>
        <w:t xml:space="preserve">ompatible </w:t>
      </w:r>
      <w:r>
        <w:rPr>
          <w:i/>
          <w:lang w:val="en-AU"/>
        </w:rPr>
        <w:t>mobile phone.</w:t>
      </w:r>
      <w:r>
        <w:rPr>
          <w:lang w:val="en-AU"/>
        </w:rPr>
        <w:t xml:space="preserve"> All MMS must be made and received within Australia. If </w:t>
      </w:r>
      <w:r>
        <w:rPr>
          <w:i/>
          <w:lang w:val="en-AU"/>
        </w:rPr>
        <w:t xml:space="preserve">you </w:t>
      </w:r>
      <w:r>
        <w:rPr>
          <w:lang w:val="en-AU"/>
        </w:rPr>
        <w:t xml:space="preserve">exceed </w:t>
      </w:r>
      <w:r>
        <w:rPr>
          <w:i/>
          <w:lang w:val="en-AU"/>
        </w:rPr>
        <w:t>your</w:t>
      </w:r>
      <w:r>
        <w:rPr>
          <w:lang w:val="en-AU"/>
        </w:rPr>
        <w:t xml:space="preserve"> 100 Free MMS, standard rates apply. Offer excludes MMS Select, Standard MMS Select, Premium Content charges and international MMS.</w:t>
      </w:r>
    </w:p>
    <w:p w14:paraId="353EA78D" w14:textId="77777777" w:rsidR="000D07EA" w:rsidRDefault="00BE7C89">
      <w:pPr>
        <w:pStyle w:val="Heading6"/>
        <w:ind w:left="0" w:firstLine="0"/>
        <w:rPr>
          <w:lang w:val="en-AU"/>
        </w:rPr>
      </w:pPr>
      <w:bookmarkStart w:id="77" w:name="_Toc219870375"/>
      <w:bookmarkStart w:id="78" w:name="_Toc397940979"/>
      <w:r>
        <w:rPr>
          <w:lang w:val="en-AU"/>
        </w:rPr>
        <w:t xml:space="preserve">What happens if the </w:t>
      </w:r>
      <w:r>
        <w:rPr>
          <w:i/>
          <w:lang w:val="en-AU"/>
        </w:rPr>
        <w:t xml:space="preserve">service is cancelled </w:t>
      </w:r>
      <w:r>
        <w:rPr>
          <w:lang w:val="en-AU"/>
        </w:rPr>
        <w:t>early?</w:t>
      </w:r>
      <w:bookmarkEnd w:id="77"/>
      <w:bookmarkEnd w:id="78"/>
    </w:p>
    <w:p w14:paraId="3FAE8DEF" w14:textId="77777777" w:rsidR="000D07EA" w:rsidRDefault="00BE7C89">
      <w:pPr>
        <w:pStyle w:val="Heading7"/>
        <w:rPr>
          <w:lang w:val="en-AU"/>
        </w:rPr>
      </w:pPr>
      <w:r>
        <w:rPr>
          <w:lang w:val="en-AU"/>
        </w:rPr>
        <w:t xml:space="preserve">If </w:t>
      </w:r>
      <w:r>
        <w:rPr>
          <w:i/>
          <w:lang w:val="en-AU"/>
        </w:rPr>
        <w:t>the service</w:t>
      </w:r>
      <w:r>
        <w:rPr>
          <w:lang w:val="en-AU"/>
        </w:rPr>
        <w:t xml:space="preserve"> </w:t>
      </w:r>
      <w:r>
        <w:rPr>
          <w:i/>
          <w:lang w:val="en-AU"/>
        </w:rPr>
        <w:t xml:space="preserve">is cancelled </w:t>
      </w:r>
      <w:r>
        <w:rPr>
          <w:lang w:val="en-AU"/>
        </w:rPr>
        <w:t xml:space="preserve">before the expiry of the </w:t>
      </w:r>
      <w:r>
        <w:rPr>
          <w:i/>
          <w:lang w:val="en-AU"/>
        </w:rPr>
        <w:t xml:space="preserve">minimum term, you </w:t>
      </w:r>
      <w:r>
        <w:rPr>
          <w:lang w:val="en-AU"/>
        </w:rPr>
        <w:t xml:space="preserve">will be required to pay </w:t>
      </w:r>
      <w:r>
        <w:rPr>
          <w:i/>
          <w:lang w:val="en-AU"/>
        </w:rPr>
        <w:t>us</w:t>
      </w:r>
      <w:r>
        <w:rPr>
          <w:lang w:val="en-AU"/>
        </w:rPr>
        <w:t>:</w:t>
      </w:r>
    </w:p>
    <w:p w14:paraId="2687EF21" w14:textId="77777777" w:rsidR="000D07EA" w:rsidRDefault="00BE7C89">
      <w:pPr>
        <w:pStyle w:val="Heading8"/>
        <w:rPr>
          <w:lang w:val="en-AU"/>
        </w:rPr>
      </w:pPr>
      <w:r>
        <w:rPr>
          <w:lang w:val="en-AU"/>
        </w:rPr>
        <w:t xml:space="preserve">any usage charges incurred up to, and including, the </w:t>
      </w:r>
      <w:r>
        <w:rPr>
          <w:i/>
          <w:lang w:val="en-AU"/>
        </w:rPr>
        <w:t xml:space="preserve">cancellation date; </w:t>
      </w:r>
      <w:r>
        <w:rPr>
          <w:lang w:val="en-AU"/>
        </w:rPr>
        <w:t>plus</w:t>
      </w:r>
    </w:p>
    <w:p w14:paraId="47ED8EA5" w14:textId="77777777" w:rsidR="000D07EA" w:rsidRDefault="00BE7C89">
      <w:pPr>
        <w:pStyle w:val="Heading8"/>
        <w:rPr>
          <w:szCs w:val="20"/>
          <w:lang w:val="en-AU"/>
        </w:rPr>
      </w:pPr>
      <w:r>
        <w:rPr>
          <w:szCs w:val="20"/>
          <w:lang w:val="en-AU"/>
        </w:rPr>
        <w:lastRenderedPageBreak/>
        <w:t xml:space="preserve">the </w:t>
      </w:r>
      <w:r>
        <w:rPr>
          <w:i/>
          <w:szCs w:val="20"/>
          <w:lang w:val="en-AU"/>
        </w:rPr>
        <w:t>cancellation</w:t>
      </w:r>
      <w:r>
        <w:rPr>
          <w:szCs w:val="20"/>
          <w:lang w:val="en-AU"/>
        </w:rPr>
        <w:t xml:space="preserve"> </w:t>
      </w:r>
      <w:r>
        <w:rPr>
          <w:i/>
          <w:szCs w:val="20"/>
          <w:lang w:val="en-AU"/>
        </w:rPr>
        <w:t>fee</w:t>
      </w:r>
      <w:r>
        <w:rPr>
          <w:szCs w:val="20"/>
          <w:lang w:val="en-AU"/>
        </w:rPr>
        <w:t xml:space="preserve"> set paragraph </w:t>
      </w:r>
      <w:r>
        <w:rPr>
          <w:szCs w:val="20"/>
          <w:lang w:val="en-AU"/>
        </w:rPr>
        <w:fldChar w:fldCharType="begin"/>
      </w:r>
      <w:r>
        <w:rPr>
          <w:szCs w:val="20"/>
          <w:lang w:val="en-AU"/>
        </w:rPr>
        <w:instrText xml:space="preserve"> REF _Ref461542336 \n \h </w:instrText>
      </w:r>
      <w:r>
        <w:rPr>
          <w:szCs w:val="20"/>
          <w:lang w:val="en-AU"/>
        </w:rPr>
      </w:r>
      <w:r>
        <w:rPr>
          <w:szCs w:val="20"/>
          <w:lang w:val="en-AU"/>
        </w:rPr>
        <w:fldChar w:fldCharType="separate"/>
      </w:r>
      <w:r w:rsidR="0004083A">
        <w:rPr>
          <w:szCs w:val="20"/>
          <w:lang w:val="en-AU"/>
        </w:rPr>
        <w:t>(b)</w:t>
      </w:r>
      <w:r>
        <w:rPr>
          <w:szCs w:val="20"/>
          <w:lang w:val="en-AU"/>
        </w:rPr>
        <w:fldChar w:fldCharType="end"/>
      </w:r>
      <w:r>
        <w:rPr>
          <w:szCs w:val="20"/>
          <w:lang w:val="en-AU"/>
        </w:rPr>
        <w:t xml:space="preserve"> below (unless under clause 2A of the </w:t>
      </w:r>
      <w:hyperlink r:id="rId33" w:history="1">
        <w:r>
          <w:rPr>
            <w:rStyle w:val="Hyperlink"/>
            <w:i/>
            <w:szCs w:val="20"/>
          </w:rPr>
          <w:t>SMB terms</w:t>
        </w:r>
      </w:hyperlink>
      <w:r>
        <w:rPr>
          <w:szCs w:val="20"/>
          <w:lang w:val="en-AU"/>
        </w:rPr>
        <w:t xml:space="preserve">, you are entitled to </w:t>
      </w:r>
      <w:r>
        <w:rPr>
          <w:i/>
          <w:szCs w:val="20"/>
          <w:lang w:val="en-AU"/>
        </w:rPr>
        <w:t>cancel</w:t>
      </w:r>
      <w:r>
        <w:rPr>
          <w:szCs w:val="20"/>
          <w:lang w:val="en-AU"/>
        </w:rPr>
        <w:t xml:space="preserve"> </w:t>
      </w:r>
      <w:r>
        <w:rPr>
          <w:i/>
          <w:szCs w:val="20"/>
          <w:lang w:val="en-AU"/>
        </w:rPr>
        <w:t>the</w:t>
      </w:r>
      <w:r>
        <w:rPr>
          <w:szCs w:val="20"/>
          <w:lang w:val="en-AU"/>
        </w:rPr>
        <w:t xml:space="preserve"> </w:t>
      </w:r>
      <w:r>
        <w:rPr>
          <w:i/>
          <w:szCs w:val="20"/>
          <w:lang w:val="en-AU"/>
        </w:rPr>
        <w:t>service</w:t>
      </w:r>
      <w:r>
        <w:rPr>
          <w:szCs w:val="20"/>
          <w:lang w:val="en-AU"/>
        </w:rPr>
        <w:t xml:space="preserve"> without incurring a </w:t>
      </w:r>
      <w:r>
        <w:rPr>
          <w:i/>
          <w:szCs w:val="20"/>
          <w:lang w:val="en-AU"/>
        </w:rPr>
        <w:t>cancellation</w:t>
      </w:r>
      <w:r>
        <w:rPr>
          <w:szCs w:val="20"/>
          <w:lang w:val="en-AU"/>
        </w:rPr>
        <w:t xml:space="preserve"> </w:t>
      </w:r>
      <w:r>
        <w:rPr>
          <w:i/>
          <w:szCs w:val="20"/>
          <w:lang w:val="en-AU"/>
        </w:rPr>
        <w:t>fee</w:t>
      </w:r>
      <w:r>
        <w:rPr>
          <w:szCs w:val="20"/>
          <w:lang w:val="en-AU"/>
        </w:rPr>
        <w:t>); plus</w:t>
      </w:r>
    </w:p>
    <w:p w14:paraId="7F86189E" w14:textId="77777777" w:rsidR="000D07EA" w:rsidRDefault="00BE7C89">
      <w:pPr>
        <w:pStyle w:val="Heading8"/>
        <w:rPr>
          <w:lang w:val="en-AU" w:eastAsia="en-AU"/>
        </w:rPr>
      </w:pPr>
      <w:r>
        <w:rPr>
          <w:lang w:val="en-AU" w:eastAsia="en-AU"/>
        </w:rPr>
        <w:t xml:space="preserve">the sum of unpaid </w:t>
      </w:r>
      <w:r>
        <w:rPr>
          <w:i/>
          <w:lang w:val="en-AU" w:eastAsia="en-AU"/>
        </w:rPr>
        <w:t>equipment</w:t>
      </w:r>
      <w:r>
        <w:rPr>
          <w:lang w:val="en-AU" w:eastAsia="en-AU"/>
        </w:rPr>
        <w:t xml:space="preserve"> </w:t>
      </w:r>
      <w:r>
        <w:rPr>
          <w:i/>
          <w:lang w:val="en-AU" w:eastAsia="en-AU"/>
        </w:rPr>
        <w:t>charges</w:t>
      </w:r>
      <w:r>
        <w:rPr>
          <w:lang w:val="en-AU" w:eastAsia="en-AU"/>
        </w:rPr>
        <w:t xml:space="preserve"> owing on </w:t>
      </w:r>
      <w:r>
        <w:rPr>
          <w:i/>
          <w:lang w:val="en-AU" w:eastAsia="en-AU"/>
        </w:rPr>
        <w:t>your</w:t>
      </w:r>
      <w:r>
        <w:rPr>
          <w:lang w:val="en-AU" w:eastAsia="en-AU"/>
        </w:rPr>
        <w:t xml:space="preserve"> </w:t>
      </w:r>
      <w:r>
        <w:rPr>
          <w:i/>
          <w:lang w:val="en-AU" w:eastAsia="en-AU"/>
        </w:rPr>
        <w:t>mobile</w:t>
      </w:r>
      <w:r>
        <w:rPr>
          <w:lang w:val="en-AU" w:eastAsia="en-AU"/>
        </w:rPr>
        <w:t xml:space="preserve"> </w:t>
      </w:r>
      <w:r>
        <w:rPr>
          <w:i/>
          <w:lang w:val="en-AU" w:eastAsia="en-AU"/>
        </w:rPr>
        <w:t>phone</w:t>
      </w:r>
      <w:r>
        <w:rPr>
          <w:lang w:val="en-AU" w:eastAsia="en-AU"/>
        </w:rPr>
        <w:t xml:space="preserve"> under the </w:t>
      </w:r>
      <w:r>
        <w:rPr>
          <w:i/>
          <w:lang w:val="en-AU" w:eastAsia="en-AU"/>
        </w:rPr>
        <w:t>mobile</w:t>
      </w:r>
      <w:r>
        <w:rPr>
          <w:lang w:val="en-AU" w:eastAsia="en-AU"/>
        </w:rPr>
        <w:t xml:space="preserve"> </w:t>
      </w:r>
      <w:r>
        <w:rPr>
          <w:i/>
          <w:lang w:val="en-AU" w:eastAsia="en-AU"/>
        </w:rPr>
        <w:t>equipment</w:t>
      </w:r>
      <w:r>
        <w:rPr>
          <w:lang w:val="en-AU" w:eastAsia="en-AU"/>
        </w:rPr>
        <w:t xml:space="preserve"> </w:t>
      </w:r>
      <w:r>
        <w:rPr>
          <w:i/>
          <w:lang w:val="en-AU" w:eastAsia="en-AU"/>
        </w:rPr>
        <w:t>payment</w:t>
      </w:r>
      <w:r>
        <w:rPr>
          <w:lang w:val="en-AU" w:eastAsia="en-AU"/>
        </w:rPr>
        <w:t xml:space="preserve"> </w:t>
      </w:r>
      <w:r>
        <w:rPr>
          <w:i/>
          <w:lang w:val="en-AU" w:eastAsia="en-AU"/>
        </w:rPr>
        <w:t>plan</w:t>
      </w:r>
      <w:r>
        <w:rPr>
          <w:lang w:val="en-AU" w:eastAsia="en-AU"/>
        </w:rPr>
        <w:t xml:space="preserve"> (if any).</w:t>
      </w:r>
    </w:p>
    <w:p w14:paraId="566B6CF1" w14:textId="77777777" w:rsidR="000D07EA" w:rsidRDefault="00BE7C89">
      <w:pPr>
        <w:pStyle w:val="Heading7"/>
        <w:rPr>
          <w:lang w:val="en-AU"/>
        </w:rPr>
      </w:pPr>
      <w:bookmarkStart w:id="79" w:name="_Ref461542336"/>
      <w:r>
        <w:rPr>
          <w:lang w:val="en-AU"/>
        </w:rPr>
        <w:t xml:space="preserve">The </w:t>
      </w:r>
      <w:r>
        <w:rPr>
          <w:i/>
          <w:lang w:val="en-AU"/>
        </w:rPr>
        <w:t>cancellation fee</w:t>
      </w:r>
      <w:r>
        <w:rPr>
          <w:lang w:val="en-AU"/>
        </w:rPr>
        <w:t xml:space="preserve"> is calculated as a fixed amount if the </w:t>
      </w:r>
      <w:r>
        <w:rPr>
          <w:i/>
          <w:lang w:val="en-AU"/>
        </w:rPr>
        <w:t xml:space="preserve">service </w:t>
      </w:r>
      <w:r>
        <w:rPr>
          <w:lang w:val="en-AU"/>
        </w:rPr>
        <w:t xml:space="preserve">is </w:t>
      </w:r>
      <w:r>
        <w:rPr>
          <w:i/>
          <w:lang w:val="en-AU"/>
        </w:rPr>
        <w:t xml:space="preserve">cancelled </w:t>
      </w:r>
      <w:r>
        <w:rPr>
          <w:lang w:val="en-AU"/>
        </w:rPr>
        <w:t xml:space="preserve">during the first 12 months of the </w:t>
      </w:r>
      <w:r>
        <w:rPr>
          <w:i/>
          <w:lang w:val="en-AU"/>
        </w:rPr>
        <w:t>minimum term</w:t>
      </w:r>
      <w:r>
        <w:rPr>
          <w:lang w:val="en-AU"/>
        </w:rPr>
        <w:t xml:space="preserve"> and then a pro-rata reduction of that fee (indicated as a percentage in brackets in the first column of the table below) if the </w:t>
      </w:r>
      <w:r>
        <w:rPr>
          <w:i/>
          <w:lang w:val="en-AU"/>
        </w:rPr>
        <w:t xml:space="preserve">service </w:t>
      </w:r>
      <w:r>
        <w:rPr>
          <w:lang w:val="en-AU"/>
        </w:rPr>
        <w:t xml:space="preserve">is </w:t>
      </w:r>
      <w:r>
        <w:rPr>
          <w:i/>
          <w:lang w:val="en-AU"/>
        </w:rPr>
        <w:t xml:space="preserve">cancelled </w:t>
      </w:r>
      <w:r>
        <w:rPr>
          <w:lang w:val="en-AU"/>
        </w:rPr>
        <w:t xml:space="preserve">during the second year of the </w:t>
      </w:r>
      <w:r>
        <w:rPr>
          <w:i/>
          <w:lang w:val="en-AU"/>
        </w:rPr>
        <w:t>minimum term</w:t>
      </w:r>
      <w:r>
        <w:rPr>
          <w:lang w:val="en-AU"/>
        </w:rPr>
        <w:t>.</w:t>
      </w:r>
      <w:bookmarkEnd w:id="79"/>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48"/>
        <w:gridCol w:w="2772"/>
      </w:tblGrid>
      <w:tr w:rsidR="000D07EA" w14:paraId="1511A55F" w14:textId="77777777">
        <w:tc>
          <w:tcPr>
            <w:tcW w:w="5148" w:type="dxa"/>
          </w:tcPr>
          <w:p w14:paraId="723F4A04" w14:textId="77777777" w:rsidR="000D07EA" w:rsidRDefault="00BE7C89">
            <w:pPr>
              <w:pStyle w:val="BodyText"/>
              <w:spacing w:before="100" w:after="100"/>
              <w:jc w:val="center"/>
              <w:rPr>
                <w:b/>
                <w:szCs w:val="20"/>
              </w:rPr>
            </w:pPr>
            <w:r>
              <w:rPr>
                <w:b/>
                <w:szCs w:val="20"/>
              </w:rPr>
              <w:t xml:space="preserve">When the </w:t>
            </w:r>
            <w:r>
              <w:rPr>
                <w:b/>
                <w:i/>
                <w:szCs w:val="20"/>
              </w:rPr>
              <w:t>service</w:t>
            </w:r>
            <w:r>
              <w:rPr>
                <w:b/>
                <w:szCs w:val="20"/>
              </w:rPr>
              <w:t xml:space="preserve"> is </w:t>
            </w:r>
            <w:r>
              <w:rPr>
                <w:b/>
                <w:i/>
                <w:szCs w:val="20"/>
              </w:rPr>
              <w:t>cancelled</w:t>
            </w:r>
          </w:p>
        </w:tc>
        <w:tc>
          <w:tcPr>
            <w:tcW w:w="2772" w:type="dxa"/>
          </w:tcPr>
          <w:p w14:paraId="01076DF3" w14:textId="77777777" w:rsidR="000D07EA" w:rsidRDefault="00BE7C89">
            <w:pPr>
              <w:pStyle w:val="BodyText"/>
              <w:spacing w:before="100" w:after="100"/>
              <w:jc w:val="center"/>
              <w:rPr>
                <w:b/>
                <w:i/>
                <w:szCs w:val="20"/>
                <w:lang w:val="en-AU"/>
              </w:rPr>
            </w:pPr>
            <w:r>
              <w:rPr>
                <w:b/>
                <w:i/>
                <w:szCs w:val="20"/>
                <w:lang w:val="en-AU"/>
              </w:rPr>
              <w:t>Cancellation fee</w:t>
            </w:r>
          </w:p>
        </w:tc>
      </w:tr>
      <w:tr w:rsidR="000D07EA" w14:paraId="47F02283" w14:textId="77777777">
        <w:tc>
          <w:tcPr>
            <w:tcW w:w="5148" w:type="dxa"/>
          </w:tcPr>
          <w:p w14:paraId="6101F9CA" w14:textId="77777777" w:rsidR="000D07EA" w:rsidRDefault="00BE7C89">
            <w:pPr>
              <w:pStyle w:val="BodyText"/>
              <w:spacing w:before="100" w:after="100"/>
              <w:rPr>
                <w:szCs w:val="20"/>
              </w:rPr>
            </w:pPr>
            <w:r>
              <w:rPr>
                <w:szCs w:val="20"/>
                <w:lang w:val="en-AU"/>
              </w:rPr>
              <w:t xml:space="preserve">During the first 12 months - Initial </w:t>
            </w:r>
            <w:r>
              <w:rPr>
                <w:i/>
                <w:szCs w:val="20"/>
                <w:lang w:val="en-AU"/>
              </w:rPr>
              <w:t>cancellation</w:t>
            </w:r>
            <w:r>
              <w:rPr>
                <w:szCs w:val="20"/>
                <w:lang w:val="en-AU"/>
              </w:rPr>
              <w:t xml:space="preserve"> </w:t>
            </w:r>
            <w:r>
              <w:rPr>
                <w:i/>
                <w:szCs w:val="20"/>
                <w:lang w:val="en-AU"/>
              </w:rPr>
              <w:t>fee</w:t>
            </w:r>
          </w:p>
        </w:tc>
        <w:tc>
          <w:tcPr>
            <w:tcW w:w="2772" w:type="dxa"/>
          </w:tcPr>
          <w:p w14:paraId="23D89C47" w14:textId="77777777" w:rsidR="000D07EA" w:rsidRDefault="00BE7C89">
            <w:pPr>
              <w:pStyle w:val="BodyText"/>
              <w:spacing w:before="100" w:after="100"/>
              <w:rPr>
                <w:szCs w:val="20"/>
                <w:lang w:val="en-AU"/>
              </w:rPr>
            </w:pPr>
            <w:r>
              <w:rPr>
                <w:szCs w:val="20"/>
                <w:lang w:val="en-AU"/>
              </w:rPr>
              <w:t>$695</w:t>
            </w:r>
          </w:p>
        </w:tc>
      </w:tr>
      <w:tr w:rsidR="000D07EA" w14:paraId="0D98D881" w14:textId="77777777">
        <w:tc>
          <w:tcPr>
            <w:tcW w:w="5148" w:type="dxa"/>
          </w:tcPr>
          <w:p w14:paraId="6268E9CF" w14:textId="77777777" w:rsidR="000D07EA" w:rsidRDefault="00BE7C89">
            <w:pPr>
              <w:pStyle w:val="BodyText"/>
              <w:spacing w:before="100" w:after="100"/>
              <w:rPr>
                <w:szCs w:val="20"/>
                <w:lang w:val="en-AU"/>
              </w:rPr>
            </w:pPr>
            <w:r>
              <w:rPr>
                <w:szCs w:val="20"/>
                <w:lang w:val="en-AU"/>
              </w:rPr>
              <w:t xml:space="preserve">Months 13 – 15 (80% of Initial </w:t>
            </w:r>
            <w:r>
              <w:rPr>
                <w:i/>
                <w:szCs w:val="20"/>
                <w:lang w:val="en-AU"/>
              </w:rPr>
              <w:t>cancellation</w:t>
            </w:r>
            <w:r>
              <w:rPr>
                <w:szCs w:val="20"/>
                <w:lang w:val="en-AU"/>
              </w:rPr>
              <w:t xml:space="preserve"> </w:t>
            </w:r>
            <w:r>
              <w:rPr>
                <w:i/>
                <w:szCs w:val="20"/>
                <w:lang w:val="en-AU"/>
              </w:rPr>
              <w:t>fee</w:t>
            </w:r>
            <w:r>
              <w:rPr>
                <w:szCs w:val="20"/>
                <w:lang w:val="en-AU"/>
              </w:rPr>
              <w:t>)</w:t>
            </w:r>
          </w:p>
        </w:tc>
        <w:tc>
          <w:tcPr>
            <w:tcW w:w="2772" w:type="dxa"/>
          </w:tcPr>
          <w:p w14:paraId="6DDE8B74" w14:textId="77777777" w:rsidR="000D07EA" w:rsidRDefault="00BE7C89">
            <w:pPr>
              <w:pStyle w:val="BodyText"/>
              <w:spacing w:before="100" w:after="100"/>
              <w:rPr>
                <w:szCs w:val="20"/>
                <w:lang w:val="en-AU"/>
              </w:rPr>
            </w:pPr>
            <w:r>
              <w:rPr>
                <w:szCs w:val="20"/>
                <w:lang w:val="en-AU"/>
              </w:rPr>
              <w:t>$556</w:t>
            </w:r>
          </w:p>
        </w:tc>
      </w:tr>
      <w:tr w:rsidR="000D07EA" w14:paraId="4ED7D448" w14:textId="77777777">
        <w:tc>
          <w:tcPr>
            <w:tcW w:w="5148" w:type="dxa"/>
          </w:tcPr>
          <w:p w14:paraId="3BB68DFA" w14:textId="77777777" w:rsidR="000D07EA" w:rsidRDefault="00BE7C89">
            <w:pPr>
              <w:pStyle w:val="BodyText"/>
              <w:spacing w:before="100" w:after="100"/>
              <w:rPr>
                <w:szCs w:val="20"/>
              </w:rPr>
            </w:pPr>
            <w:r>
              <w:rPr>
                <w:szCs w:val="20"/>
                <w:lang w:val="en-AU"/>
              </w:rPr>
              <w:t xml:space="preserve">Months 16 – 18 (60% of the Initial </w:t>
            </w:r>
            <w:r>
              <w:rPr>
                <w:i/>
                <w:szCs w:val="20"/>
                <w:lang w:val="en-AU"/>
              </w:rPr>
              <w:t>cancellation</w:t>
            </w:r>
            <w:r>
              <w:rPr>
                <w:szCs w:val="20"/>
                <w:lang w:val="en-AU"/>
              </w:rPr>
              <w:t xml:space="preserve"> </w:t>
            </w:r>
            <w:r>
              <w:rPr>
                <w:i/>
                <w:szCs w:val="20"/>
                <w:lang w:val="en-AU"/>
              </w:rPr>
              <w:t>fee</w:t>
            </w:r>
            <w:r>
              <w:rPr>
                <w:szCs w:val="20"/>
                <w:lang w:val="en-AU"/>
              </w:rPr>
              <w:t>)</w:t>
            </w:r>
          </w:p>
        </w:tc>
        <w:tc>
          <w:tcPr>
            <w:tcW w:w="2772" w:type="dxa"/>
          </w:tcPr>
          <w:p w14:paraId="657183BD" w14:textId="77777777" w:rsidR="000D07EA" w:rsidRDefault="00BE7C89">
            <w:pPr>
              <w:pStyle w:val="BodyText"/>
              <w:spacing w:before="100" w:after="100"/>
              <w:rPr>
                <w:szCs w:val="20"/>
                <w:lang w:val="en-AU"/>
              </w:rPr>
            </w:pPr>
            <w:r>
              <w:rPr>
                <w:szCs w:val="20"/>
                <w:lang w:val="en-AU"/>
              </w:rPr>
              <w:t>$417</w:t>
            </w:r>
          </w:p>
        </w:tc>
      </w:tr>
      <w:tr w:rsidR="000D07EA" w14:paraId="76663A84" w14:textId="77777777">
        <w:tc>
          <w:tcPr>
            <w:tcW w:w="5148" w:type="dxa"/>
          </w:tcPr>
          <w:p w14:paraId="48F7BA34" w14:textId="77777777" w:rsidR="000D07EA" w:rsidRDefault="00BE7C89">
            <w:pPr>
              <w:pStyle w:val="BodyText"/>
              <w:spacing w:before="100" w:after="100"/>
              <w:rPr>
                <w:szCs w:val="20"/>
              </w:rPr>
            </w:pPr>
            <w:r>
              <w:rPr>
                <w:szCs w:val="20"/>
                <w:lang w:val="en-AU"/>
              </w:rPr>
              <w:t xml:space="preserve">Months 19 – 21 (40% of the Initial </w:t>
            </w:r>
            <w:r>
              <w:rPr>
                <w:i/>
                <w:szCs w:val="20"/>
                <w:lang w:val="en-AU"/>
              </w:rPr>
              <w:t>cancellation</w:t>
            </w:r>
            <w:r>
              <w:rPr>
                <w:szCs w:val="20"/>
                <w:lang w:val="en-AU"/>
              </w:rPr>
              <w:t xml:space="preserve"> </w:t>
            </w:r>
            <w:r>
              <w:rPr>
                <w:i/>
                <w:szCs w:val="20"/>
                <w:lang w:val="en-AU"/>
              </w:rPr>
              <w:t>fee</w:t>
            </w:r>
            <w:r>
              <w:rPr>
                <w:szCs w:val="20"/>
                <w:lang w:val="en-AU"/>
              </w:rPr>
              <w:t>)</w:t>
            </w:r>
          </w:p>
        </w:tc>
        <w:tc>
          <w:tcPr>
            <w:tcW w:w="2772" w:type="dxa"/>
          </w:tcPr>
          <w:p w14:paraId="62AF33E1" w14:textId="77777777" w:rsidR="000D07EA" w:rsidRDefault="00BE7C89">
            <w:pPr>
              <w:pStyle w:val="BodyText"/>
              <w:spacing w:before="100" w:after="100"/>
              <w:rPr>
                <w:szCs w:val="20"/>
                <w:lang w:val="en-AU"/>
              </w:rPr>
            </w:pPr>
            <w:r>
              <w:rPr>
                <w:szCs w:val="20"/>
                <w:lang w:val="en-AU"/>
              </w:rPr>
              <w:t>$278</w:t>
            </w:r>
          </w:p>
        </w:tc>
      </w:tr>
      <w:tr w:rsidR="000D07EA" w14:paraId="71682236" w14:textId="77777777">
        <w:tc>
          <w:tcPr>
            <w:tcW w:w="5148" w:type="dxa"/>
          </w:tcPr>
          <w:p w14:paraId="4ADFDCDA" w14:textId="77777777" w:rsidR="000D07EA" w:rsidRDefault="00BE7C89">
            <w:pPr>
              <w:pStyle w:val="BodyText"/>
              <w:spacing w:before="100" w:after="100"/>
              <w:rPr>
                <w:szCs w:val="20"/>
                <w:lang w:val="en-AU"/>
              </w:rPr>
            </w:pPr>
            <w:r>
              <w:rPr>
                <w:szCs w:val="20"/>
                <w:lang w:val="en-AU"/>
              </w:rPr>
              <w:t xml:space="preserve">Months 22 – 24 (20% of the Initial </w:t>
            </w:r>
            <w:r>
              <w:rPr>
                <w:i/>
                <w:szCs w:val="20"/>
                <w:lang w:val="en-AU"/>
              </w:rPr>
              <w:t>cancellation</w:t>
            </w:r>
            <w:r>
              <w:rPr>
                <w:szCs w:val="20"/>
                <w:lang w:val="en-AU"/>
              </w:rPr>
              <w:t xml:space="preserve"> </w:t>
            </w:r>
            <w:r>
              <w:rPr>
                <w:i/>
                <w:szCs w:val="20"/>
                <w:lang w:val="en-AU"/>
              </w:rPr>
              <w:t>fee</w:t>
            </w:r>
            <w:r>
              <w:rPr>
                <w:szCs w:val="20"/>
                <w:lang w:val="en-AU"/>
              </w:rPr>
              <w:t>)</w:t>
            </w:r>
          </w:p>
        </w:tc>
        <w:tc>
          <w:tcPr>
            <w:tcW w:w="2772" w:type="dxa"/>
          </w:tcPr>
          <w:p w14:paraId="09287DA0" w14:textId="77777777" w:rsidR="000D07EA" w:rsidRDefault="00BE7C89">
            <w:pPr>
              <w:pStyle w:val="BodyText"/>
              <w:spacing w:before="100" w:after="100"/>
              <w:rPr>
                <w:szCs w:val="20"/>
                <w:lang w:val="en-AU"/>
              </w:rPr>
            </w:pPr>
            <w:r>
              <w:rPr>
                <w:szCs w:val="20"/>
                <w:lang w:val="en-AU"/>
              </w:rPr>
              <w:t>$139</w:t>
            </w:r>
          </w:p>
        </w:tc>
      </w:tr>
    </w:tbl>
    <w:p w14:paraId="42F56F92" w14:textId="77777777" w:rsidR="000D07EA" w:rsidRDefault="000D07EA">
      <w:pPr>
        <w:pStyle w:val="BodyText"/>
      </w:pPr>
    </w:p>
    <w:p w14:paraId="5CC61AEA" w14:textId="77777777" w:rsidR="000D07EA" w:rsidRDefault="00BE7C89">
      <w:pPr>
        <w:pStyle w:val="Heading7"/>
        <w:rPr>
          <w:lang w:val="en-AU"/>
        </w:rPr>
      </w:pPr>
      <w:r>
        <w:rPr>
          <w:lang w:val="en-AU"/>
        </w:rPr>
        <w:t xml:space="preserve">The minimum total cost for the </w:t>
      </w:r>
      <w:r>
        <w:rPr>
          <w:i/>
          <w:lang w:val="en-AU"/>
        </w:rPr>
        <w:t>'yes' Business $179 Cap 24 month</w:t>
      </w:r>
      <w:r>
        <w:rPr>
          <w:lang w:val="en-AU"/>
        </w:rPr>
        <w:t xml:space="preserve"> plan is $600, plus the cost of </w:t>
      </w:r>
      <w:r>
        <w:rPr>
          <w:i/>
          <w:lang w:val="en-AU"/>
        </w:rPr>
        <w:t>your mobile phone</w:t>
      </w:r>
      <w:r>
        <w:rPr>
          <w:lang w:val="en-AU"/>
        </w:rPr>
        <w:t>, if any.</w:t>
      </w:r>
    </w:p>
    <w:p w14:paraId="37036BE9" w14:textId="77777777" w:rsidR="000D07EA" w:rsidRDefault="00BE7C89">
      <w:pPr>
        <w:pStyle w:val="Heading6"/>
        <w:ind w:left="0" w:firstLine="0"/>
        <w:rPr>
          <w:lang w:val="en-AU"/>
        </w:rPr>
      </w:pPr>
      <w:bookmarkStart w:id="80" w:name="_Toc219870376"/>
      <w:bookmarkStart w:id="81" w:name="_Toc397940980"/>
      <w:r>
        <w:rPr>
          <w:lang w:val="en-AU"/>
        </w:rPr>
        <w:t>Plan changes</w:t>
      </w:r>
      <w:bookmarkEnd w:id="80"/>
      <w:bookmarkEnd w:id="81"/>
    </w:p>
    <w:p w14:paraId="194F8883" w14:textId="77777777" w:rsidR="000D07EA" w:rsidRDefault="00BE7C89">
      <w:pPr>
        <w:pStyle w:val="BodyText"/>
        <w:ind w:left="680"/>
        <w:rPr>
          <w:b/>
          <w:lang w:val="en-AU"/>
        </w:rPr>
      </w:pPr>
      <w:r>
        <w:rPr>
          <w:lang w:val="en-AU"/>
        </w:rPr>
        <w:t xml:space="preserve">Change of ownership is permitted during the 24 month </w:t>
      </w:r>
      <w:r>
        <w:rPr>
          <w:i/>
          <w:lang w:val="en-AU"/>
        </w:rPr>
        <w:t>minimum term</w:t>
      </w:r>
      <w:r>
        <w:rPr>
          <w:lang w:val="en-AU"/>
        </w:rPr>
        <w:t xml:space="preserve"> as long as the new applicant meets </w:t>
      </w:r>
      <w:r>
        <w:rPr>
          <w:i/>
          <w:lang w:val="en-AU"/>
        </w:rPr>
        <w:t xml:space="preserve">our </w:t>
      </w:r>
      <w:r>
        <w:rPr>
          <w:lang w:val="en-AU"/>
        </w:rPr>
        <w:t xml:space="preserve">credit assessment criteria and both </w:t>
      </w:r>
      <w:r>
        <w:rPr>
          <w:i/>
          <w:lang w:val="en-AU"/>
        </w:rPr>
        <w:t>you</w:t>
      </w:r>
      <w:r>
        <w:rPr>
          <w:lang w:val="en-AU"/>
        </w:rPr>
        <w:t xml:space="preserve"> and new owner agree to the conditions on the Optus Change of Ownership form. </w:t>
      </w:r>
    </w:p>
    <w:p w14:paraId="1B34CC47" w14:textId="77777777" w:rsidR="000D07EA" w:rsidRDefault="00BE7C89">
      <w:pPr>
        <w:pStyle w:val="Heading4"/>
        <w:rPr>
          <w:lang w:val="en-AU"/>
        </w:rPr>
      </w:pPr>
      <w:bookmarkStart w:id="82" w:name="_Toc108595511"/>
      <w:bookmarkStart w:id="83" w:name="_Toc108595729"/>
      <w:bookmarkStart w:id="84" w:name="_Toc110315308"/>
      <w:bookmarkStart w:id="85" w:name="_Toc115859909"/>
      <w:bookmarkStart w:id="86" w:name="_Toc108595530"/>
      <w:bookmarkStart w:id="87" w:name="_Toc108595748"/>
      <w:bookmarkStart w:id="88" w:name="_Toc110315327"/>
      <w:bookmarkStart w:id="89" w:name="_Toc115859928"/>
      <w:bookmarkStart w:id="90" w:name="_Toc108595533"/>
      <w:bookmarkStart w:id="91" w:name="_Toc108595751"/>
      <w:bookmarkStart w:id="92" w:name="_Toc110315330"/>
      <w:bookmarkStart w:id="93" w:name="_Toc115859931"/>
      <w:bookmarkStart w:id="94" w:name="_Toc108595534"/>
      <w:bookmarkStart w:id="95" w:name="_Toc108595752"/>
      <w:bookmarkStart w:id="96" w:name="_Toc110315331"/>
      <w:bookmarkStart w:id="97" w:name="_Toc115859932"/>
      <w:bookmarkStart w:id="98" w:name="_Toc108595535"/>
      <w:bookmarkStart w:id="99" w:name="_Toc108595753"/>
      <w:bookmarkStart w:id="100" w:name="_Toc110315332"/>
      <w:bookmarkStart w:id="101" w:name="_Toc115859933"/>
      <w:bookmarkStart w:id="102" w:name="_Toc108595553"/>
      <w:bookmarkStart w:id="103" w:name="_Toc108595771"/>
      <w:bookmarkStart w:id="104" w:name="_Toc110315350"/>
      <w:bookmarkStart w:id="105" w:name="_Toc115859951"/>
      <w:bookmarkStart w:id="106" w:name="_Toc108595555"/>
      <w:bookmarkStart w:id="107" w:name="_Toc108595773"/>
      <w:bookmarkStart w:id="108" w:name="_Toc110315352"/>
      <w:bookmarkStart w:id="109" w:name="_Toc115859953"/>
      <w:bookmarkStart w:id="110" w:name="_Toc96315986"/>
      <w:bookmarkStart w:id="111" w:name="_Toc96399366"/>
      <w:bookmarkStart w:id="112" w:name="_Toc96400449"/>
      <w:bookmarkStart w:id="113" w:name="_Toc104791412"/>
      <w:bookmarkStart w:id="114" w:name="_Toc219870377"/>
      <w:bookmarkStart w:id="115" w:name="_Toc397940981"/>
      <w:bookmarkStart w:id="116" w:name="_Toc455147590"/>
      <w:bookmarkStart w:id="117" w:name="_Toc62644612"/>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lang w:val="en-AU"/>
        </w:rPr>
        <w:t>Optus $49 Business Cap Plus PTT Plans</w:t>
      </w:r>
      <w:bookmarkStart w:id="118" w:name="_Toc96399367"/>
      <w:bookmarkStart w:id="119" w:name="_Toc96400450"/>
      <w:bookmarkEnd w:id="110"/>
      <w:bookmarkEnd w:id="111"/>
      <w:bookmarkEnd w:id="112"/>
      <w:bookmarkEnd w:id="113"/>
      <w:bookmarkEnd w:id="114"/>
      <w:bookmarkEnd w:id="115"/>
      <w:bookmarkEnd w:id="116"/>
      <w:bookmarkEnd w:id="117"/>
    </w:p>
    <w:p w14:paraId="538D8C98" w14:textId="77777777" w:rsidR="000D07EA" w:rsidRDefault="00BE7C89">
      <w:pPr>
        <w:pStyle w:val="Heading6"/>
        <w:ind w:left="0" w:firstLine="0"/>
        <w:rPr>
          <w:lang w:val="en-AU"/>
        </w:rPr>
      </w:pPr>
      <w:bookmarkStart w:id="120" w:name="_Toc219870378"/>
      <w:bookmarkStart w:id="121" w:name="_Toc397940982"/>
      <w:r>
        <w:rPr>
          <w:snapToGrid w:val="0"/>
          <w:lang w:val="en-AU"/>
        </w:rPr>
        <w:t>Eligibility</w:t>
      </w:r>
      <w:bookmarkEnd w:id="118"/>
      <w:bookmarkEnd w:id="119"/>
      <w:bookmarkEnd w:id="120"/>
      <w:bookmarkEnd w:id="121"/>
    </w:p>
    <w:p w14:paraId="78578406" w14:textId="77777777" w:rsidR="000D07EA" w:rsidRDefault="00BE7C89">
      <w:pPr>
        <w:pStyle w:val="Heading7"/>
        <w:rPr>
          <w:lang w:val="en-AU"/>
        </w:rPr>
      </w:pPr>
      <w:r>
        <w:rPr>
          <w:snapToGrid w:val="0"/>
          <w:lang w:val="en-AU"/>
        </w:rPr>
        <w:t>The Optus $49 Business Cap Plus PTT Plans</w:t>
      </w:r>
      <w:r>
        <w:rPr>
          <w:i/>
          <w:snapToGrid w:val="0"/>
          <w:lang w:val="en-AU"/>
        </w:rPr>
        <w:t xml:space="preserve"> </w:t>
      </w:r>
      <w:r>
        <w:rPr>
          <w:lang w:val="en-AU"/>
        </w:rPr>
        <w:t>are available under special offers to:</w:t>
      </w:r>
    </w:p>
    <w:p w14:paraId="5070CE18" w14:textId="77777777" w:rsidR="000D07EA" w:rsidRDefault="00BE7C89">
      <w:pPr>
        <w:pStyle w:val="Heading8"/>
        <w:rPr>
          <w:lang w:val="en-AU"/>
        </w:rPr>
      </w:pPr>
      <w:r>
        <w:rPr>
          <w:u w:val="single"/>
          <w:lang w:val="en-AU"/>
        </w:rPr>
        <w:t>New connections</w:t>
      </w:r>
      <w:r>
        <w:rPr>
          <w:lang w:val="en-AU"/>
        </w:rPr>
        <w:t xml:space="preserve"> to the </w:t>
      </w:r>
      <w:r>
        <w:rPr>
          <w:i/>
          <w:lang w:val="en-AU"/>
        </w:rPr>
        <w:t xml:space="preserve">service, </w:t>
      </w:r>
      <w:r>
        <w:rPr>
          <w:lang w:val="en-AU"/>
        </w:rPr>
        <w:t>excluding Optus Service Providers' customers.</w:t>
      </w:r>
    </w:p>
    <w:p w14:paraId="129F4890" w14:textId="77777777" w:rsidR="000D07EA" w:rsidRDefault="00BE7C89">
      <w:pPr>
        <w:pStyle w:val="Heading8"/>
        <w:rPr>
          <w:lang w:val="en-AU"/>
        </w:rPr>
      </w:pPr>
      <w:r>
        <w:rPr>
          <w:snapToGrid w:val="0"/>
          <w:u w:val="single"/>
          <w:lang w:val="en-AU"/>
        </w:rPr>
        <w:t>Existing customers</w:t>
      </w:r>
      <w:r>
        <w:rPr>
          <w:snapToGrid w:val="0"/>
          <w:lang w:val="en-AU"/>
        </w:rPr>
        <w:t xml:space="preserve">: If </w:t>
      </w:r>
      <w:r>
        <w:rPr>
          <w:i/>
          <w:snapToGrid w:val="0"/>
          <w:lang w:val="en-AU"/>
        </w:rPr>
        <w:t>you</w:t>
      </w:r>
      <w:r>
        <w:rPr>
          <w:snapToGrid w:val="0"/>
          <w:lang w:val="en-AU"/>
        </w:rPr>
        <w:t xml:space="preserve"> have a month to month agreement with </w:t>
      </w:r>
      <w:r>
        <w:rPr>
          <w:i/>
          <w:snapToGrid w:val="0"/>
          <w:lang w:val="en-AU"/>
        </w:rPr>
        <w:t>us</w:t>
      </w:r>
      <w:r>
        <w:rPr>
          <w:snapToGrid w:val="0"/>
          <w:lang w:val="en-AU"/>
        </w:rPr>
        <w:t xml:space="preserve"> or if </w:t>
      </w:r>
      <w:r>
        <w:rPr>
          <w:i/>
          <w:snapToGrid w:val="0"/>
          <w:lang w:val="en-AU"/>
        </w:rPr>
        <w:t>you</w:t>
      </w:r>
      <w:r>
        <w:rPr>
          <w:snapToGrid w:val="0"/>
          <w:lang w:val="en-AU"/>
        </w:rPr>
        <w:t xml:space="preserve"> have a </w:t>
      </w:r>
      <w:r>
        <w:rPr>
          <w:i/>
          <w:snapToGrid w:val="0"/>
          <w:lang w:val="en-AU"/>
        </w:rPr>
        <w:t>fixed length agreement</w:t>
      </w:r>
      <w:r>
        <w:rPr>
          <w:snapToGrid w:val="0"/>
          <w:lang w:val="en-AU"/>
        </w:rPr>
        <w:t xml:space="preserve"> we may agree (in our discretion) to transfer you to a $49 Business Cap Plus PTT</w:t>
      </w:r>
      <w:r>
        <w:rPr>
          <w:i/>
          <w:snapToGrid w:val="0"/>
          <w:lang w:val="en-AU"/>
        </w:rPr>
        <w:t>.</w:t>
      </w:r>
    </w:p>
    <w:p w14:paraId="03AF67A0" w14:textId="77777777" w:rsidR="000D07EA" w:rsidRDefault="00BE7C89">
      <w:pPr>
        <w:pStyle w:val="Heading8"/>
        <w:rPr>
          <w:lang w:val="en-AU"/>
        </w:rPr>
      </w:pPr>
      <w:r>
        <w:rPr>
          <w:snapToGrid w:val="0"/>
          <w:lang w:val="en-AU"/>
        </w:rPr>
        <w:t>This offer cannot be combined with 'yes' thanks or any other promotional offer.</w:t>
      </w:r>
    </w:p>
    <w:p w14:paraId="7B271826" w14:textId="77777777" w:rsidR="000D07EA" w:rsidRDefault="00BE7C89">
      <w:pPr>
        <w:pStyle w:val="Heading6"/>
        <w:keepNext/>
        <w:ind w:left="0" w:firstLine="0"/>
        <w:rPr>
          <w:lang w:val="en-AU"/>
        </w:rPr>
      </w:pPr>
      <w:bookmarkStart w:id="122" w:name="_Toc96399368"/>
      <w:bookmarkStart w:id="123" w:name="_Toc96400451"/>
      <w:bookmarkStart w:id="124" w:name="_Toc219870379"/>
      <w:bookmarkStart w:id="125" w:name="_Toc397940983"/>
      <w:r>
        <w:rPr>
          <w:lang w:val="en-AU"/>
        </w:rPr>
        <w:t xml:space="preserve">Is it a </w:t>
      </w:r>
      <w:r>
        <w:rPr>
          <w:i/>
          <w:lang w:val="en-AU"/>
        </w:rPr>
        <w:t>fixed-length agreement</w:t>
      </w:r>
      <w:r>
        <w:rPr>
          <w:lang w:val="en-AU"/>
        </w:rPr>
        <w:t>?</w:t>
      </w:r>
      <w:bookmarkEnd w:id="122"/>
      <w:bookmarkEnd w:id="123"/>
      <w:bookmarkEnd w:id="124"/>
      <w:bookmarkEnd w:id="125"/>
    </w:p>
    <w:p w14:paraId="25D65E65" w14:textId="77777777" w:rsidR="000D07EA" w:rsidRDefault="00BE7C89">
      <w:pPr>
        <w:pStyle w:val="Heading7"/>
        <w:rPr>
          <w:i/>
          <w:lang w:val="en-AU" w:eastAsia="en-AU"/>
        </w:rPr>
      </w:pPr>
      <w:r>
        <w:rPr>
          <w:lang w:val="en-AU" w:eastAsia="en-AU"/>
        </w:rPr>
        <w:t xml:space="preserve">The </w:t>
      </w:r>
      <w:r>
        <w:rPr>
          <w:snapToGrid w:val="0"/>
          <w:lang w:val="en-AU" w:eastAsia="en-AU"/>
        </w:rPr>
        <w:t>Optus $49 Business Cap Plus PTT Plan</w:t>
      </w:r>
      <w:r>
        <w:rPr>
          <w:lang w:val="en-AU" w:eastAsia="en-AU"/>
        </w:rPr>
        <w:t xml:space="preserve"> requires a month to month or a 24 month connection.</w:t>
      </w:r>
    </w:p>
    <w:p w14:paraId="2BF01472" w14:textId="77777777" w:rsidR="000D07EA" w:rsidRDefault="00BE7C89">
      <w:pPr>
        <w:pStyle w:val="Heading7"/>
        <w:rPr>
          <w:lang w:val="en-AU"/>
        </w:rPr>
      </w:pPr>
      <w:r>
        <w:rPr>
          <w:lang w:val="en-AU"/>
        </w:rPr>
        <w:t xml:space="preserve">The </w:t>
      </w:r>
      <w:r>
        <w:rPr>
          <w:snapToGrid w:val="0"/>
          <w:lang w:val="en-AU"/>
        </w:rPr>
        <w:t>Optus $49 Business Cap Plus PTT Plan</w:t>
      </w:r>
      <w:r>
        <w:rPr>
          <w:i/>
          <w:snapToGrid w:val="0"/>
          <w:lang w:val="en-AU"/>
        </w:rPr>
        <w:t xml:space="preserve"> </w:t>
      </w:r>
      <w:r>
        <w:rPr>
          <w:lang w:val="en-AU"/>
        </w:rPr>
        <w:t xml:space="preserve">allows </w:t>
      </w:r>
      <w:r>
        <w:rPr>
          <w:i/>
          <w:lang w:val="en-AU"/>
        </w:rPr>
        <w:t xml:space="preserve">you </w:t>
      </w:r>
      <w:r>
        <w:rPr>
          <w:lang w:val="en-AU"/>
        </w:rPr>
        <w:t xml:space="preserve">to purchase a </w:t>
      </w:r>
      <w:r>
        <w:rPr>
          <w:i/>
          <w:lang w:val="en-AU"/>
        </w:rPr>
        <w:t xml:space="preserve">mobile phone </w:t>
      </w:r>
      <w:r>
        <w:rPr>
          <w:lang w:val="en-AU"/>
        </w:rPr>
        <w:t xml:space="preserve">under a </w:t>
      </w:r>
      <w:r>
        <w:rPr>
          <w:i/>
          <w:lang w:val="en-AU"/>
        </w:rPr>
        <w:t xml:space="preserve">mobile equipment payment plan </w:t>
      </w:r>
      <w:r>
        <w:rPr>
          <w:lang w:val="en-AU"/>
        </w:rPr>
        <w:t xml:space="preserve">over a 12 or 24 month </w:t>
      </w:r>
      <w:r>
        <w:rPr>
          <w:i/>
          <w:lang w:val="en-AU"/>
        </w:rPr>
        <w:t>equipment term</w:t>
      </w:r>
      <w:r>
        <w:rPr>
          <w:lang w:val="en-AU"/>
        </w:rPr>
        <w:t>.</w:t>
      </w:r>
    </w:p>
    <w:p w14:paraId="344D2564" w14:textId="77777777" w:rsidR="000D07EA" w:rsidRDefault="00BE7C89">
      <w:pPr>
        <w:pStyle w:val="Heading7"/>
        <w:rPr>
          <w:b/>
          <w:szCs w:val="20"/>
          <w:lang w:val="en-AU"/>
        </w:rPr>
      </w:pPr>
      <w:r>
        <w:rPr>
          <w:lang w:val="en-AU" w:eastAsia="en-AU"/>
        </w:rPr>
        <w:t xml:space="preserve">If </w:t>
      </w:r>
      <w:r>
        <w:rPr>
          <w:i/>
          <w:lang w:val="en-AU" w:eastAsia="en-AU"/>
        </w:rPr>
        <w:t xml:space="preserve">you </w:t>
      </w:r>
      <w:r>
        <w:rPr>
          <w:lang w:val="en-AU" w:eastAsia="en-AU"/>
        </w:rPr>
        <w:t xml:space="preserve">choose to pay the cost of </w:t>
      </w:r>
      <w:r>
        <w:rPr>
          <w:i/>
          <w:lang w:val="en-AU" w:eastAsia="en-AU"/>
        </w:rPr>
        <w:t xml:space="preserve">your mobile phone </w:t>
      </w:r>
      <w:r>
        <w:rPr>
          <w:lang w:val="en-AU" w:eastAsia="en-AU"/>
        </w:rPr>
        <w:t xml:space="preserve">by the </w:t>
      </w:r>
      <w:r>
        <w:rPr>
          <w:i/>
          <w:lang w:val="en-AU" w:eastAsia="en-AU"/>
        </w:rPr>
        <w:t xml:space="preserve">mobile equipment payment plan </w:t>
      </w:r>
      <w:r>
        <w:rPr>
          <w:lang w:val="en-AU" w:eastAsia="en-AU"/>
        </w:rPr>
        <w:t xml:space="preserve">and the </w:t>
      </w:r>
      <w:r>
        <w:rPr>
          <w:i/>
          <w:lang w:val="en-AU" w:eastAsia="en-AU"/>
        </w:rPr>
        <w:t xml:space="preserve">service is cancelled </w:t>
      </w:r>
      <w:r>
        <w:rPr>
          <w:lang w:val="en-AU" w:eastAsia="en-AU"/>
        </w:rPr>
        <w:t xml:space="preserve">before the expiry of the </w:t>
      </w:r>
      <w:r>
        <w:rPr>
          <w:i/>
          <w:lang w:val="en-AU" w:eastAsia="en-AU"/>
        </w:rPr>
        <w:t>equipment term, you</w:t>
      </w:r>
      <w:r>
        <w:rPr>
          <w:lang w:val="en-AU" w:eastAsia="en-AU"/>
        </w:rPr>
        <w:t xml:space="preserve"> will be required to pay total remaining </w:t>
      </w:r>
      <w:r>
        <w:rPr>
          <w:i/>
          <w:lang w:val="en-AU" w:eastAsia="en-AU"/>
        </w:rPr>
        <w:t xml:space="preserve">equipment charges </w:t>
      </w:r>
      <w:r>
        <w:rPr>
          <w:lang w:val="en-AU" w:eastAsia="en-AU"/>
        </w:rPr>
        <w:t>(if any).</w:t>
      </w:r>
    </w:p>
    <w:p w14:paraId="0EA04E37" w14:textId="77777777" w:rsidR="000D07EA" w:rsidRDefault="00BE7C89">
      <w:pPr>
        <w:pStyle w:val="Heading6"/>
        <w:ind w:left="0" w:firstLine="0"/>
        <w:rPr>
          <w:lang w:val="en-AU"/>
        </w:rPr>
      </w:pPr>
      <w:r>
        <w:rPr>
          <w:lang w:val="en-AU"/>
        </w:rPr>
        <w:t xml:space="preserve">What </w:t>
      </w:r>
      <w:r>
        <w:rPr>
          <w:i/>
          <w:lang w:val="en-AU"/>
        </w:rPr>
        <w:t xml:space="preserve">you </w:t>
      </w:r>
      <w:r>
        <w:rPr>
          <w:lang w:val="en-AU"/>
        </w:rPr>
        <w:t xml:space="preserve">have to pay </w:t>
      </w:r>
      <w:r>
        <w:rPr>
          <w:i/>
          <w:lang w:val="en-AU"/>
        </w:rPr>
        <w:t>us</w:t>
      </w:r>
      <w:bookmarkEnd w:id="51"/>
      <w:bookmarkEnd w:id="52"/>
    </w:p>
    <w:p w14:paraId="36E54223" w14:textId="77777777" w:rsidR="000D07EA" w:rsidRDefault="00BE7C89">
      <w:pPr>
        <w:pStyle w:val="Heading7"/>
        <w:rPr>
          <w:lang w:val="en-AU"/>
        </w:rPr>
      </w:pPr>
      <w:r>
        <w:rPr>
          <w:i/>
          <w:lang w:val="en-AU"/>
        </w:rPr>
        <w:lastRenderedPageBreak/>
        <w:t>You</w:t>
      </w:r>
      <w:r>
        <w:rPr>
          <w:lang w:val="en-AU"/>
        </w:rPr>
        <w:t xml:space="preserve"> must pay us the monthly </w:t>
      </w:r>
      <w:r>
        <w:rPr>
          <w:i/>
          <w:lang w:val="en-AU"/>
        </w:rPr>
        <w:t>access fee</w:t>
      </w:r>
      <w:r>
        <w:rPr>
          <w:lang w:val="en-AU"/>
        </w:rPr>
        <w:t xml:space="preserve"> or minimum monthly spend of $49 each month during the minimum term. This monthly </w:t>
      </w:r>
      <w:r>
        <w:rPr>
          <w:i/>
          <w:lang w:val="en-AU"/>
        </w:rPr>
        <w:t>access fee</w:t>
      </w:r>
      <w:r>
        <w:rPr>
          <w:lang w:val="en-AU"/>
        </w:rPr>
        <w:t xml:space="preserve"> includes an equal value of included calls each month and will be charged even if </w:t>
      </w:r>
      <w:r>
        <w:rPr>
          <w:i/>
          <w:lang w:val="en-AU"/>
        </w:rPr>
        <w:t>you</w:t>
      </w:r>
      <w:r>
        <w:rPr>
          <w:lang w:val="en-AU"/>
        </w:rPr>
        <w:t xml:space="preserve"> do not make calls equal to this value in any month.</w:t>
      </w:r>
    </w:p>
    <w:p w14:paraId="14270E5C" w14:textId="77777777" w:rsidR="000D07EA" w:rsidRDefault="00BE7C89">
      <w:pPr>
        <w:pStyle w:val="Heading7"/>
        <w:rPr>
          <w:i/>
          <w:lang w:val="en-AU"/>
        </w:rPr>
      </w:pPr>
      <w:r>
        <w:rPr>
          <w:lang w:val="en-AU"/>
        </w:rPr>
        <w:t>The calls that are eligible for the included call component are voice calls, SMS, MMS, PTT, Voicemail, International SMS, 124YES(937), Optus Zoo Browsing, International Calls. Some call types are not eligible for the included call component such as International Roaming, Directory Assistance, Group SMS and 1900 calls.</w:t>
      </w:r>
    </w:p>
    <w:p w14:paraId="395EAA80" w14:textId="77777777" w:rsidR="000D07EA" w:rsidRDefault="00BE7C89">
      <w:pPr>
        <w:pStyle w:val="Heading7"/>
        <w:rPr>
          <w:lang w:val="en-AU"/>
        </w:rPr>
      </w:pPr>
      <w:r>
        <w:rPr>
          <w:i/>
          <w:lang w:val="en-AU"/>
        </w:rPr>
        <w:t>You</w:t>
      </w:r>
      <w:r>
        <w:rPr>
          <w:lang w:val="en-AU"/>
        </w:rPr>
        <w:t xml:space="preserve"> must pay </w:t>
      </w:r>
      <w:r>
        <w:rPr>
          <w:i/>
          <w:lang w:val="en-AU"/>
        </w:rPr>
        <w:t>us</w:t>
      </w:r>
      <w:r>
        <w:rPr>
          <w:lang w:val="en-AU"/>
        </w:rPr>
        <w:t xml:space="preserve"> for call charges beyond </w:t>
      </w:r>
      <w:r>
        <w:rPr>
          <w:i/>
          <w:lang w:val="en-AU"/>
        </w:rPr>
        <w:t>your</w:t>
      </w:r>
      <w:r>
        <w:rPr>
          <w:lang w:val="en-AU"/>
        </w:rPr>
        <w:t xml:space="preserve"> included call credit amount, and </w:t>
      </w:r>
      <w:r>
        <w:rPr>
          <w:i/>
          <w:lang w:val="en-AU"/>
        </w:rPr>
        <w:t xml:space="preserve">you </w:t>
      </w:r>
      <w:r>
        <w:rPr>
          <w:lang w:val="en-AU"/>
        </w:rPr>
        <w:t>must pay for any calls that are not eligible calls.</w:t>
      </w:r>
    </w:p>
    <w:p w14:paraId="7FBFCA7C" w14:textId="77777777" w:rsidR="000D07EA" w:rsidRDefault="00BE7C89">
      <w:pPr>
        <w:pStyle w:val="Heading7"/>
        <w:rPr>
          <w:i/>
          <w:lang w:val="en-AU"/>
        </w:rPr>
      </w:pPr>
      <w:r>
        <w:rPr>
          <w:lang w:val="en-AU"/>
        </w:rPr>
        <w:t xml:space="preserve">There is a </w:t>
      </w:r>
      <w:r>
        <w:rPr>
          <w:i/>
          <w:lang w:val="en-AU"/>
        </w:rPr>
        <w:t xml:space="preserve">flagfall </w:t>
      </w:r>
      <w:r>
        <w:rPr>
          <w:lang w:val="en-AU"/>
        </w:rPr>
        <w:t xml:space="preserve">per call. So the charge for these calls is the </w:t>
      </w:r>
      <w:r>
        <w:rPr>
          <w:i/>
          <w:lang w:val="en-AU"/>
        </w:rPr>
        <w:t>flagfall</w:t>
      </w:r>
      <w:r>
        <w:rPr>
          <w:lang w:val="en-AU"/>
        </w:rPr>
        <w:t xml:space="preserve"> plus the relevant rate multiplied by the duration of the call.</w:t>
      </w:r>
    </w:p>
    <w:p w14:paraId="7BC7FD04" w14:textId="77777777" w:rsidR="000D07EA" w:rsidRDefault="00BE7C89">
      <w:pPr>
        <w:pStyle w:val="Heading6"/>
        <w:ind w:left="0" w:firstLine="0"/>
        <w:rPr>
          <w:lang w:val="en-AU"/>
        </w:rPr>
      </w:pPr>
      <w:bookmarkStart w:id="126" w:name="_Toc219870381"/>
      <w:bookmarkStart w:id="127" w:name="_Toc397940985"/>
      <w:r>
        <w:rPr>
          <w:lang w:val="en-AU"/>
        </w:rPr>
        <w:t>$49 Cap</w:t>
      </w:r>
      <w:bookmarkEnd w:id="126"/>
      <w:bookmarkEnd w:id="127"/>
    </w:p>
    <w:p w14:paraId="424279F7" w14:textId="77777777" w:rsidR="000D07EA" w:rsidRDefault="00BE7C89">
      <w:pPr>
        <w:pStyle w:val="Heading7"/>
        <w:rPr>
          <w:lang w:val="en-AU"/>
        </w:rPr>
      </w:pPr>
      <w:r>
        <w:rPr>
          <w:snapToGrid w:val="0"/>
          <w:lang w:val="en-AU"/>
        </w:rPr>
        <w:t xml:space="preserve">Under the $49 Business Cap Plus PTT plan the $49 cap offer applies. </w:t>
      </w:r>
      <w:r>
        <w:rPr>
          <w:i/>
          <w:snapToGrid w:val="0"/>
          <w:lang w:val="en-AU"/>
        </w:rPr>
        <w:t>You</w:t>
      </w:r>
      <w:r>
        <w:rPr>
          <w:snapToGrid w:val="0"/>
          <w:lang w:val="en-AU"/>
        </w:rPr>
        <w:t xml:space="preserve"> only pay the first $49 worth of voice calls and SMS text messages each billing period,</w:t>
      </w:r>
      <w:r>
        <w:rPr>
          <w:rFonts w:cs="Arial"/>
          <w:i/>
          <w:iCs/>
          <w:lang w:val="en-AU"/>
        </w:rPr>
        <w:t xml:space="preserve"> </w:t>
      </w:r>
      <w:r>
        <w:rPr>
          <w:snapToGrid w:val="0"/>
          <w:lang w:val="en-AU"/>
        </w:rPr>
        <w:t>after which voice calls and text messages are free up to a maximum of $230 per billing period. The call types included in the $49 cap offer are set out in the table below.</w:t>
      </w:r>
    </w:p>
    <w:p w14:paraId="0B4DC7C9" w14:textId="77777777" w:rsidR="000D07EA" w:rsidRDefault="00BE7C89">
      <w:pPr>
        <w:pStyle w:val="Heading7"/>
        <w:rPr>
          <w:lang w:val="en-AU"/>
        </w:rPr>
      </w:pPr>
      <w:r>
        <w:rPr>
          <w:snapToGrid w:val="0"/>
          <w:lang w:val="en-AU"/>
        </w:rPr>
        <w:t xml:space="preserve">If </w:t>
      </w:r>
      <w:r>
        <w:rPr>
          <w:i/>
          <w:snapToGrid w:val="0"/>
          <w:lang w:val="en-AU"/>
        </w:rPr>
        <w:t>you</w:t>
      </w:r>
      <w:r>
        <w:rPr>
          <w:snapToGrid w:val="0"/>
          <w:lang w:val="en-AU"/>
        </w:rPr>
        <w:t xml:space="preserve"> exceed $230 worth of voice calls and text messages in any billing period, standard call and text rates will apply to those calls.</w:t>
      </w:r>
    </w:p>
    <w:p w14:paraId="41F60F56" w14:textId="77777777" w:rsidR="000D07EA" w:rsidRDefault="005342BE">
      <w:pPr>
        <w:pStyle w:val="Heading7"/>
        <w:rPr>
          <w:szCs w:val="20"/>
          <w:lang w:val="en-AU"/>
        </w:rPr>
      </w:pPr>
      <w:r>
        <w:rPr>
          <w:snapToGrid w:val="0"/>
          <w:szCs w:val="20"/>
          <w:lang w:val="en-AU"/>
        </w:rPr>
        <w:t xml:space="preserve">The </w:t>
      </w:r>
      <w:r w:rsidR="00BE7C89">
        <w:rPr>
          <w:snapToGrid w:val="0"/>
          <w:szCs w:val="20"/>
          <w:lang w:val="en-AU"/>
        </w:rPr>
        <w:t xml:space="preserve">Fair Go Policy applies (see </w:t>
      </w:r>
      <w:hyperlink r:id="rId34" w:history="1">
        <w:r>
          <w:rPr>
            <w:rStyle w:val="Hyperlink"/>
            <w:i/>
          </w:rPr>
          <w:t>Appendix S</w:t>
        </w:r>
      </w:hyperlink>
      <w:r w:rsidR="00BE7C89" w:rsidRPr="005342BE">
        <w:rPr>
          <w:snapToGrid w:val="0"/>
          <w:szCs w:val="20"/>
          <w:lang w:val="en-AU"/>
        </w:rPr>
        <w:t>)</w:t>
      </w:r>
      <w:r w:rsidR="00BE7C89" w:rsidRPr="005342BE">
        <w:rPr>
          <w:szCs w:val="20"/>
          <w:lang w:val="en-AU"/>
        </w:rPr>
        <w:t>.</w:t>
      </w:r>
      <w:r w:rsidR="00BE7C89">
        <w:rPr>
          <w:szCs w:val="20"/>
          <w:lang w:val="en-AU"/>
        </w:rPr>
        <w:t xml:space="preserve"> For the </w:t>
      </w:r>
      <w:r w:rsidR="00BE7C89">
        <w:rPr>
          <w:snapToGrid w:val="0"/>
          <w:szCs w:val="20"/>
          <w:lang w:val="en-AU"/>
        </w:rPr>
        <w:t>Optus $49 Business Cap Plus PTT Plans</w:t>
      </w:r>
      <w:r w:rsidR="00BE7C89">
        <w:rPr>
          <w:i/>
          <w:snapToGrid w:val="0"/>
          <w:szCs w:val="20"/>
          <w:lang w:val="en-AU"/>
        </w:rPr>
        <w:t xml:space="preserve"> w</w:t>
      </w:r>
      <w:r w:rsidR="00BE7C89">
        <w:rPr>
          <w:i/>
          <w:szCs w:val="20"/>
          <w:lang w:val="en-AU"/>
        </w:rPr>
        <w:t>e</w:t>
      </w:r>
      <w:r w:rsidR="00BE7C89">
        <w:rPr>
          <w:szCs w:val="20"/>
          <w:lang w:val="en-AU"/>
        </w:rPr>
        <w:t xml:space="preserve"> consider 'excessive' use to be usage of:</w:t>
      </w:r>
    </w:p>
    <w:p w14:paraId="17B71B41" w14:textId="77777777" w:rsidR="000D07EA" w:rsidRDefault="00BE7C89">
      <w:pPr>
        <w:pStyle w:val="Heading8"/>
        <w:rPr>
          <w:lang w:val="en-AU"/>
        </w:rPr>
      </w:pPr>
      <w:r>
        <w:rPr>
          <w:lang w:val="en-AU"/>
        </w:rPr>
        <w:t xml:space="preserve">more than 150 minutes free per month per </w:t>
      </w:r>
      <w:r>
        <w:rPr>
          <w:i/>
          <w:lang w:val="en-AU"/>
        </w:rPr>
        <w:t>service</w:t>
      </w:r>
      <w:r>
        <w:rPr>
          <w:lang w:val="en-AU"/>
        </w:rPr>
        <w:t xml:space="preserve"> (standard voice calls)</w:t>
      </w:r>
    </w:p>
    <w:p w14:paraId="669D4B40" w14:textId="77777777" w:rsidR="000D07EA" w:rsidRDefault="00BE7C89">
      <w:pPr>
        <w:pStyle w:val="Heading8"/>
        <w:rPr>
          <w:lang w:val="en-AU"/>
        </w:rPr>
      </w:pPr>
      <w:r>
        <w:rPr>
          <w:lang w:val="en-AU"/>
        </w:rPr>
        <w:t xml:space="preserve">more than 50 minutes free per month per </w:t>
      </w:r>
      <w:r>
        <w:rPr>
          <w:i/>
          <w:lang w:val="en-AU"/>
        </w:rPr>
        <w:t xml:space="preserve">service </w:t>
      </w:r>
      <w:r>
        <w:rPr>
          <w:lang w:val="en-AU"/>
        </w:rPr>
        <w:t>(international calls)</w:t>
      </w:r>
    </w:p>
    <w:p w14:paraId="3B5CD0C2" w14:textId="77777777" w:rsidR="000D07EA" w:rsidRDefault="00BE7C89">
      <w:pPr>
        <w:pStyle w:val="Heading8"/>
        <w:rPr>
          <w:lang w:val="en-AU"/>
        </w:rPr>
      </w:pPr>
      <w:r>
        <w:rPr>
          <w:lang w:val="en-AU"/>
        </w:rPr>
        <w:t xml:space="preserve">more than $5 worth of Premium SMS text messages sent per month per </w:t>
      </w:r>
      <w:r>
        <w:rPr>
          <w:i/>
          <w:lang w:val="en-AU"/>
        </w:rPr>
        <w:t>service</w:t>
      </w:r>
    </w:p>
    <w:p w14:paraId="72C17BA3" w14:textId="77777777" w:rsidR="000D07EA" w:rsidRDefault="00BE7C89">
      <w:pPr>
        <w:pStyle w:val="Heading7"/>
        <w:rPr>
          <w:lang w:val="en-AU"/>
        </w:rPr>
      </w:pPr>
      <w:r>
        <w:rPr>
          <w:snapToGrid w:val="0"/>
          <w:lang w:val="en-AU"/>
        </w:rPr>
        <w:t>The $49 Cap offer excludes some calls and the use of some value added service features, including international roaming, International MMS, 1900 and other services.</w:t>
      </w:r>
    </w:p>
    <w:p w14:paraId="03B12244" w14:textId="77777777" w:rsidR="000D07EA" w:rsidRDefault="00BE7C89">
      <w:pPr>
        <w:pStyle w:val="Heading7"/>
        <w:rPr>
          <w:snapToGrid w:val="0"/>
          <w:lang w:val="en-AU"/>
        </w:rPr>
      </w:pPr>
      <w:r>
        <w:rPr>
          <w:snapToGrid w:val="0"/>
          <w:lang w:val="en-AU"/>
        </w:rPr>
        <w:t>Any unused portion of the $49 Cap expires at the end of each month. This means that it does not roll over into the following month.</w:t>
      </w:r>
    </w:p>
    <w:p w14:paraId="3D7C3C88" w14:textId="77777777" w:rsidR="000D07EA" w:rsidRDefault="00BE7C89">
      <w:pPr>
        <w:pStyle w:val="Heading7"/>
        <w:rPr>
          <w:snapToGrid w:val="0"/>
        </w:rPr>
      </w:pPr>
      <w:r>
        <w:rPr>
          <w:b/>
          <w:snapToGrid w:val="0"/>
        </w:rPr>
        <w:t xml:space="preserve">Free Voicemail Offer </w:t>
      </w:r>
      <w:r>
        <w:rPr>
          <w:snapToGrid w:val="0"/>
        </w:rPr>
        <w:t>is available on the Optus $49 Business Cap Plus PTT plan and applies to voicemail retrieval and diversion charges, within Australia.</w:t>
      </w:r>
    </w:p>
    <w:p w14:paraId="622AFF3A" w14:textId="77777777" w:rsidR="000D07EA" w:rsidRDefault="00BE7C89">
      <w:pPr>
        <w:pStyle w:val="BodyText"/>
        <w:ind w:left="1440"/>
        <w:rPr>
          <w:b/>
          <w:lang w:val="en-AU"/>
        </w:rPr>
      </w:pPr>
      <w:r>
        <w:rPr>
          <w:b/>
          <w:lang w:val="en-AU"/>
        </w:rPr>
        <w:t>Table of services eligible for the $49 Cap</w:t>
      </w:r>
    </w:p>
    <w:tbl>
      <w:tblPr>
        <w:tblW w:w="0" w:type="auto"/>
        <w:tblInd w:w="1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701"/>
        <w:gridCol w:w="3701"/>
      </w:tblGrid>
      <w:tr w:rsidR="000D07EA" w14:paraId="6AB51222" w14:textId="77777777">
        <w:trPr>
          <w:trHeight w:val="64"/>
          <w:tblHeader/>
        </w:trPr>
        <w:tc>
          <w:tcPr>
            <w:tcW w:w="3701" w:type="dxa"/>
          </w:tcPr>
          <w:p w14:paraId="268E3B66" w14:textId="77777777" w:rsidR="000D07EA" w:rsidRDefault="00BE7C89">
            <w:pPr>
              <w:pStyle w:val="BodyText"/>
              <w:spacing w:before="100" w:after="100"/>
              <w:rPr>
                <w:b/>
                <w:lang w:val="en-AU"/>
              </w:rPr>
            </w:pPr>
            <w:r>
              <w:rPr>
                <w:b/>
                <w:lang w:val="en-AU"/>
              </w:rPr>
              <w:t>Call Type</w:t>
            </w:r>
          </w:p>
        </w:tc>
        <w:tc>
          <w:tcPr>
            <w:tcW w:w="3701" w:type="dxa"/>
          </w:tcPr>
          <w:p w14:paraId="39897E0A" w14:textId="77777777" w:rsidR="000D07EA" w:rsidRDefault="00BE7C89">
            <w:pPr>
              <w:pStyle w:val="BodyText"/>
              <w:spacing w:before="100" w:after="100"/>
              <w:rPr>
                <w:b/>
                <w:lang w:val="en-AU"/>
              </w:rPr>
            </w:pPr>
            <w:r>
              <w:rPr>
                <w:b/>
                <w:lang w:val="en-AU"/>
              </w:rPr>
              <w:t>Included in Cap?</w:t>
            </w:r>
          </w:p>
        </w:tc>
      </w:tr>
      <w:tr w:rsidR="000D07EA" w14:paraId="3DF89CDF" w14:textId="77777777">
        <w:trPr>
          <w:trHeight w:val="247"/>
        </w:trPr>
        <w:tc>
          <w:tcPr>
            <w:tcW w:w="3701" w:type="dxa"/>
          </w:tcPr>
          <w:p w14:paraId="3F858DA6" w14:textId="77777777" w:rsidR="000D07EA" w:rsidRDefault="00BE7C89">
            <w:pPr>
              <w:pStyle w:val="BodyText"/>
              <w:spacing w:before="100" w:after="100"/>
              <w:rPr>
                <w:lang w:val="en-AU"/>
              </w:rPr>
            </w:pPr>
            <w:r>
              <w:rPr>
                <w:lang w:val="en-AU"/>
              </w:rPr>
              <w:t>Standard Voice Calls</w:t>
            </w:r>
          </w:p>
        </w:tc>
        <w:tc>
          <w:tcPr>
            <w:tcW w:w="3701" w:type="dxa"/>
          </w:tcPr>
          <w:p w14:paraId="0197F758" w14:textId="77777777" w:rsidR="000D07EA" w:rsidRDefault="00BE7C89">
            <w:pPr>
              <w:pStyle w:val="BodyText"/>
              <w:spacing w:before="100" w:after="100"/>
              <w:rPr>
                <w:lang w:val="en-AU"/>
              </w:rPr>
            </w:pPr>
            <w:r>
              <w:rPr>
                <w:lang w:val="en-AU"/>
              </w:rPr>
              <w:t>Yes</w:t>
            </w:r>
          </w:p>
        </w:tc>
      </w:tr>
      <w:tr w:rsidR="000D07EA" w14:paraId="743C9BC7" w14:textId="77777777">
        <w:trPr>
          <w:trHeight w:val="247"/>
        </w:trPr>
        <w:tc>
          <w:tcPr>
            <w:tcW w:w="3701" w:type="dxa"/>
          </w:tcPr>
          <w:p w14:paraId="05A6EFCF" w14:textId="77777777" w:rsidR="000D07EA" w:rsidRDefault="00BE7C89">
            <w:pPr>
              <w:pStyle w:val="BodyText"/>
              <w:spacing w:before="100" w:after="100"/>
              <w:rPr>
                <w:lang w:val="en-AU"/>
              </w:rPr>
            </w:pPr>
            <w:r>
              <w:rPr>
                <w:lang w:val="en-AU"/>
              </w:rPr>
              <w:t>Voicemail Diversions</w:t>
            </w:r>
          </w:p>
        </w:tc>
        <w:tc>
          <w:tcPr>
            <w:tcW w:w="3701" w:type="dxa"/>
          </w:tcPr>
          <w:p w14:paraId="704A7A24" w14:textId="77777777" w:rsidR="000D07EA" w:rsidRDefault="00BE7C89">
            <w:pPr>
              <w:pStyle w:val="BodyText"/>
              <w:spacing w:before="100" w:after="100"/>
              <w:rPr>
                <w:lang w:val="en-AU"/>
              </w:rPr>
            </w:pPr>
            <w:r>
              <w:rPr>
                <w:lang w:val="en-AU"/>
              </w:rPr>
              <w:t>Yes</w:t>
            </w:r>
          </w:p>
        </w:tc>
      </w:tr>
      <w:tr w:rsidR="000D07EA" w14:paraId="4080F576" w14:textId="77777777">
        <w:trPr>
          <w:trHeight w:val="64"/>
        </w:trPr>
        <w:tc>
          <w:tcPr>
            <w:tcW w:w="3701" w:type="dxa"/>
          </w:tcPr>
          <w:p w14:paraId="5431264A" w14:textId="77777777" w:rsidR="000D07EA" w:rsidRDefault="00BE7C89">
            <w:pPr>
              <w:pStyle w:val="BodyText"/>
              <w:spacing w:before="100" w:after="100"/>
              <w:rPr>
                <w:lang w:val="en-AU"/>
              </w:rPr>
            </w:pPr>
            <w:r>
              <w:rPr>
                <w:lang w:val="en-AU"/>
              </w:rPr>
              <w:t>Voicemail Deposit and Retrievals</w:t>
            </w:r>
          </w:p>
        </w:tc>
        <w:tc>
          <w:tcPr>
            <w:tcW w:w="3701" w:type="dxa"/>
          </w:tcPr>
          <w:p w14:paraId="7C96CE9A" w14:textId="77777777" w:rsidR="000D07EA" w:rsidRDefault="00BE7C89">
            <w:pPr>
              <w:pStyle w:val="BodyText"/>
              <w:spacing w:before="100" w:after="100"/>
              <w:rPr>
                <w:lang w:val="en-AU"/>
              </w:rPr>
            </w:pPr>
            <w:r>
              <w:rPr>
                <w:lang w:val="en-AU"/>
              </w:rPr>
              <w:t>Yes</w:t>
            </w:r>
          </w:p>
        </w:tc>
      </w:tr>
      <w:tr w:rsidR="000D07EA" w14:paraId="7F006AD7" w14:textId="77777777">
        <w:trPr>
          <w:trHeight w:val="395"/>
        </w:trPr>
        <w:tc>
          <w:tcPr>
            <w:tcW w:w="3701" w:type="dxa"/>
          </w:tcPr>
          <w:p w14:paraId="2E559219" w14:textId="77777777" w:rsidR="000D07EA" w:rsidRDefault="00BE7C89">
            <w:pPr>
              <w:pStyle w:val="BodyText"/>
              <w:spacing w:before="100" w:after="100"/>
              <w:rPr>
                <w:lang w:val="en-AU"/>
              </w:rPr>
            </w:pPr>
            <w:r>
              <w:rPr>
                <w:lang w:val="en-AU"/>
              </w:rPr>
              <w:t>International Calls</w:t>
            </w:r>
          </w:p>
          <w:p w14:paraId="23D2A7F1" w14:textId="77777777" w:rsidR="000D07EA" w:rsidRDefault="00BE7C89">
            <w:pPr>
              <w:pStyle w:val="BodyText"/>
              <w:spacing w:before="100" w:after="100"/>
              <w:ind w:right="139"/>
              <w:rPr>
                <w:lang w:val="en-AU"/>
              </w:rPr>
            </w:pPr>
            <w:r>
              <w:rPr>
                <w:lang w:val="en-AU"/>
              </w:rPr>
              <w:t>(including calls to national fixed or GSM mobile services that then divert/switch or re-route overseas)</w:t>
            </w:r>
          </w:p>
        </w:tc>
        <w:tc>
          <w:tcPr>
            <w:tcW w:w="3701" w:type="dxa"/>
          </w:tcPr>
          <w:p w14:paraId="6381A0BD" w14:textId="77777777" w:rsidR="000D07EA" w:rsidRDefault="00BE7C89" w:rsidP="009355C4">
            <w:pPr>
              <w:pStyle w:val="BodyText"/>
              <w:spacing w:before="100" w:after="100"/>
              <w:rPr>
                <w:lang w:val="en-AU"/>
              </w:rPr>
            </w:pPr>
            <w:r>
              <w:rPr>
                <w:lang w:val="en-AU"/>
              </w:rPr>
              <w:t>Yes (</w:t>
            </w:r>
            <w:r w:rsidR="009355C4">
              <w:rPr>
                <w:lang w:val="en-AU"/>
              </w:rPr>
              <w:t xml:space="preserve">The </w:t>
            </w:r>
            <w:r>
              <w:rPr>
                <w:lang w:val="en-AU"/>
              </w:rPr>
              <w:t xml:space="preserve">Fair Go Policy applies) </w:t>
            </w:r>
          </w:p>
        </w:tc>
      </w:tr>
      <w:tr w:rsidR="000D07EA" w14:paraId="52307C17" w14:textId="77777777">
        <w:trPr>
          <w:trHeight w:val="247"/>
        </w:trPr>
        <w:tc>
          <w:tcPr>
            <w:tcW w:w="3701" w:type="dxa"/>
          </w:tcPr>
          <w:p w14:paraId="4E0FC7CB" w14:textId="77777777" w:rsidR="000D07EA" w:rsidRDefault="00BE7C89">
            <w:pPr>
              <w:pStyle w:val="BodyText"/>
              <w:spacing w:before="100" w:after="100"/>
              <w:rPr>
                <w:lang w:val="en-AU"/>
              </w:rPr>
            </w:pPr>
            <w:r>
              <w:rPr>
                <w:lang w:val="en-AU"/>
              </w:rPr>
              <w:t>International Roaming</w:t>
            </w:r>
          </w:p>
        </w:tc>
        <w:tc>
          <w:tcPr>
            <w:tcW w:w="3701" w:type="dxa"/>
          </w:tcPr>
          <w:p w14:paraId="4E70A32B" w14:textId="77777777" w:rsidR="000D07EA" w:rsidRDefault="00BE7C89">
            <w:pPr>
              <w:pStyle w:val="BodyText"/>
              <w:spacing w:before="100" w:after="100"/>
              <w:rPr>
                <w:lang w:val="en-AU"/>
              </w:rPr>
            </w:pPr>
            <w:r>
              <w:rPr>
                <w:lang w:val="en-AU"/>
              </w:rPr>
              <w:t>No</w:t>
            </w:r>
          </w:p>
        </w:tc>
      </w:tr>
      <w:tr w:rsidR="000D07EA" w14:paraId="4DF756AB" w14:textId="77777777">
        <w:trPr>
          <w:trHeight w:val="247"/>
        </w:trPr>
        <w:tc>
          <w:tcPr>
            <w:tcW w:w="3701" w:type="dxa"/>
          </w:tcPr>
          <w:p w14:paraId="29156589" w14:textId="77777777" w:rsidR="000D07EA" w:rsidRDefault="00BE7C89">
            <w:pPr>
              <w:pStyle w:val="BodyText"/>
              <w:spacing w:before="100" w:after="100"/>
              <w:rPr>
                <w:lang w:val="en-AU"/>
              </w:rPr>
            </w:pPr>
            <w:r>
              <w:rPr>
                <w:lang w:val="en-AU"/>
              </w:rPr>
              <w:t>International SMS</w:t>
            </w:r>
          </w:p>
        </w:tc>
        <w:tc>
          <w:tcPr>
            <w:tcW w:w="3701" w:type="dxa"/>
          </w:tcPr>
          <w:p w14:paraId="34E4F0D1" w14:textId="77777777" w:rsidR="000D07EA" w:rsidRDefault="00BE7C89">
            <w:pPr>
              <w:pStyle w:val="BodyText"/>
              <w:spacing w:before="100" w:after="100"/>
              <w:rPr>
                <w:lang w:val="en-AU"/>
              </w:rPr>
            </w:pPr>
            <w:r>
              <w:rPr>
                <w:lang w:val="en-AU"/>
              </w:rPr>
              <w:t>Yes</w:t>
            </w:r>
          </w:p>
        </w:tc>
      </w:tr>
      <w:tr w:rsidR="000D07EA" w14:paraId="0DF9D8A5" w14:textId="77777777">
        <w:trPr>
          <w:trHeight w:val="247"/>
        </w:trPr>
        <w:tc>
          <w:tcPr>
            <w:tcW w:w="3701" w:type="dxa"/>
          </w:tcPr>
          <w:p w14:paraId="24C4C8AC" w14:textId="77777777" w:rsidR="000D07EA" w:rsidRDefault="00BE7C89">
            <w:pPr>
              <w:pStyle w:val="BodyText"/>
              <w:spacing w:before="100" w:after="100"/>
              <w:rPr>
                <w:lang w:val="en-AU"/>
              </w:rPr>
            </w:pPr>
            <w:r>
              <w:rPr>
                <w:lang w:val="en-AU"/>
              </w:rPr>
              <w:lastRenderedPageBreak/>
              <w:t>Standard SMS</w:t>
            </w:r>
          </w:p>
        </w:tc>
        <w:tc>
          <w:tcPr>
            <w:tcW w:w="3701" w:type="dxa"/>
          </w:tcPr>
          <w:p w14:paraId="2C532D33" w14:textId="77777777" w:rsidR="000D07EA" w:rsidRDefault="00BE7C89">
            <w:pPr>
              <w:pStyle w:val="BodyText"/>
              <w:spacing w:before="100" w:after="100"/>
              <w:rPr>
                <w:lang w:val="en-AU"/>
              </w:rPr>
            </w:pPr>
            <w:r>
              <w:rPr>
                <w:lang w:val="en-AU"/>
              </w:rPr>
              <w:t>Yes</w:t>
            </w:r>
          </w:p>
        </w:tc>
      </w:tr>
      <w:tr w:rsidR="000D07EA" w14:paraId="6EDB33E1" w14:textId="77777777">
        <w:trPr>
          <w:trHeight w:val="247"/>
        </w:trPr>
        <w:tc>
          <w:tcPr>
            <w:tcW w:w="3701" w:type="dxa"/>
          </w:tcPr>
          <w:p w14:paraId="44F8E09F" w14:textId="77777777" w:rsidR="000D07EA" w:rsidRDefault="00BE7C89">
            <w:pPr>
              <w:pStyle w:val="BodyText"/>
              <w:spacing w:before="100" w:after="100"/>
              <w:rPr>
                <w:lang w:val="en-AU"/>
              </w:rPr>
            </w:pPr>
            <w:r>
              <w:rPr>
                <w:lang w:val="en-AU"/>
              </w:rPr>
              <w:t>Premium SMS</w:t>
            </w:r>
          </w:p>
        </w:tc>
        <w:tc>
          <w:tcPr>
            <w:tcW w:w="3701" w:type="dxa"/>
          </w:tcPr>
          <w:p w14:paraId="1ACE13D3" w14:textId="77777777" w:rsidR="000D07EA" w:rsidRDefault="00BE7C89" w:rsidP="009355C4">
            <w:pPr>
              <w:pStyle w:val="BodyText"/>
              <w:spacing w:before="100" w:after="100"/>
              <w:rPr>
                <w:lang w:val="en-AU"/>
              </w:rPr>
            </w:pPr>
            <w:r>
              <w:rPr>
                <w:lang w:val="en-AU"/>
              </w:rPr>
              <w:t>Yes (</w:t>
            </w:r>
            <w:r w:rsidR="009355C4">
              <w:rPr>
                <w:lang w:val="en-AU"/>
              </w:rPr>
              <w:t xml:space="preserve">The </w:t>
            </w:r>
            <w:r>
              <w:rPr>
                <w:lang w:val="en-AU"/>
              </w:rPr>
              <w:t>Fair Go Policy applies)</w:t>
            </w:r>
          </w:p>
        </w:tc>
      </w:tr>
      <w:tr w:rsidR="000D07EA" w14:paraId="006C330E" w14:textId="77777777">
        <w:trPr>
          <w:trHeight w:val="247"/>
        </w:trPr>
        <w:tc>
          <w:tcPr>
            <w:tcW w:w="3701" w:type="dxa"/>
          </w:tcPr>
          <w:p w14:paraId="6A6241B6" w14:textId="77777777" w:rsidR="000D07EA" w:rsidRDefault="00BE7C89">
            <w:pPr>
              <w:pStyle w:val="BodyText"/>
              <w:spacing w:before="100" w:after="100"/>
              <w:rPr>
                <w:lang w:val="en-AU"/>
              </w:rPr>
            </w:pPr>
            <w:r>
              <w:rPr>
                <w:lang w:val="en-AU"/>
              </w:rPr>
              <w:t>Standard MMS</w:t>
            </w:r>
          </w:p>
        </w:tc>
        <w:tc>
          <w:tcPr>
            <w:tcW w:w="3701" w:type="dxa"/>
          </w:tcPr>
          <w:p w14:paraId="567FD070" w14:textId="77777777" w:rsidR="000D07EA" w:rsidRDefault="00BE7C89">
            <w:pPr>
              <w:pStyle w:val="BodyText"/>
              <w:spacing w:before="100" w:after="100"/>
              <w:rPr>
                <w:lang w:val="en-AU"/>
              </w:rPr>
            </w:pPr>
            <w:r>
              <w:rPr>
                <w:lang w:val="en-AU"/>
              </w:rPr>
              <w:t>Yes</w:t>
            </w:r>
          </w:p>
        </w:tc>
      </w:tr>
      <w:tr w:rsidR="000D07EA" w14:paraId="701EED1E" w14:textId="77777777">
        <w:trPr>
          <w:trHeight w:val="247"/>
        </w:trPr>
        <w:tc>
          <w:tcPr>
            <w:tcW w:w="3701" w:type="dxa"/>
          </w:tcPr>
          <w:p w14:paraId="51EF55CF" w14:textId="77777777" w:rsidR="000D07EA" w:rsidRDefault="00BE7C89">
            <w:pPr>
              <w:pStyle w:val="BodyText"/>
              <w:spacing w:before="100" w:after="100"/>
              <w:rPr>
                <w:lang w:val="en-AU"/>
              </w:rPr>
            </w:pPr>
            <w:r>
              <w:rPr>
                <w:lang w:val="en-AU"/>
              </w:rPr>
              <w:t>Optus Zoo Services</w:t>
            </w:r>
          </w:p>
        </w:tc>
        <w:tc>
          <w:tcPr>
            <w:tcW w:w="3701" w:type="dxa"/>
          </w:tcPr>
          <w:p w14:paraId="65BBC91B" w14:textId="77777777" w:rsidR="000D07EA" w:rsidRDefault="00BE7C89">
            <w:pPr>
              <w:pStyle w:val="BodyText"/>
              <w:spacing w:before="100" w:after="100"/>
              <w:rPr>
                <w:lang w:val="en-AU"/>
              </w:rPr>
            </w:pPr>
            <w:r>
              <w:rPr>
                <w:lang w:val="en-AU"/>
              </w:rPr>
              <w:t>Yes</w:t>
            </w:r>
          </w:p>
        </w:tc>
      </w:tr>
      <w:tr w:rsidR="000D07EA" w14:paraId="49C4B77B" w14:textId="77777777">
        <w:trPr>
          <w:trHeight w:val="494"/>
        </w:trPr>
        <w:tc>
          <w:tcPr>
            <w:tcW w:w="3701" w:type="dxa"/>
          </w:tcPr>
          <w:p w14:paraId="6D7B8FB5" w14:textId="77777777" w:rsidR="000D07EA" w:rsidRDefault="00BE7C89">
            <w:pPr>
              <w:pStyle w:val="BodyText"/>
              <w:spacing w:before="100" w:after="100"/>
              <w:rPr>
                <w:lang w:val="en-AU"/>
              </w:rPr>
            </w:pPr>
            <w:r>
              <w:rPr>
                <w:lang w:val="en-AU"/>
              </w:rPr>
              <w:t>Directory Assistance - 1223</w:t>
            </w:r>
          </w:p>
        </w:tc>
        <w:tc>
          <w:tcPr>
            <w:tcW w:w="3701" w:type="dxa"/>
          </w:tcPr>
          <w:p w14:paraId="3844FDAD" w14:textId="77777777" w:rsidR="000D07EA" w:rsidRDefault="00BE7C89">
            <w:pPr>
              <w:pStyle w:val="BodyText"/>
              <w:spacing w:before="100" w:after="100"/>
              <w:rPr>
                <w:lang w:val="en-AU"/>
              </w:rPr>
            </w:pPr>
            <w:r>
              <w:rPr>
                <w:lang w:val="en-AU"/>
              </w:rPr>
              <w:t>No</w:t>
            </w:r>
          </w:p>
        </w:tc>
      </w:tr>
      <w:tr w:rsidR="000D07EA" w14:paraId="5556BF20" w14:textId="77777777">
        <w:trPr>
          <w:trHeight w:val="247"/>
        </w:trPr>
        <w:tc>
          <w:tcPr>
            <w:tcW w:w="3701" w:type="dxa"/>
          </w:tcPr>
          <w:p w14:paraId="1ABFB729" w14:textId="77777777" w:rsidR="000D07EA" w:rsidRDefault="00BE7C89">
            <w:pPr>
              <w:pStyle w:val="BodyText"/>
              <w:spacing w:before="100" w:after="100"/>
              <w:rPr>
                <w:lang w:val="en-AU"/>
              </w:rPr>
            </w:pPr>
            <w:r>
              <w:rPr>
                <w:lang w:val="en-AU"/>
              </w:rPr>
              <w:t>1900 Numbers</w:t>
            </w:r>
          </w:p>
        </w:tc>
        <w:tc>
          <w:tcPr>
            <w:tcW w:w="3701" w:type="dxa"/>
          </w:tcPr>
          <w:p w14:paraId="47E272B1" w14:textId="77777777" w:rsidR="000D07EA" w:rsidRDefault="00BE7C89">
            <w:pPr>
              <w:pStyle w:val="BodyText"/>
              <w:spacing w:before="100" w:after="100"/>
              <w:rPr>
                <w:lang w:val="en-AU"/>
              </w:rPr>
            </w:pPr>
            <w:r>
              <w:rPr>
                <w:lang w:val="en-AU"/>
              </w:rPr>
              <w:t>No</w:t>
            </w:r>
          </w:p>
        </w:tc>
      </w:tr>
      <w:tr w:rsidR="000D07EA" w14:paraId="35A540A6" w14:textId="77777777">
        <w:trPr>
          <w:trHeight w:val="247"/>
        </w:trPr>
        <w:tc>
          <w:tcPr>
            <w:tcW w:w="3701" w:type="dxa"/>
          </w:tcPr>
          <w:p w14:paraId="7BEF0BC2" w14:textId="77777777" w:rsidR="000D07EA" w:rsidRDefault="00BE7C89">
            <w:pPr>
              <w:pStyle w:val="BodyText"/>
              <w:spacing w:before="100" w:after="100"/>
              <w:rPr>
                <w:lang w:val="en-AU"/>
              </w:rPr>
            </w:pPr>
            <w:r>
              <w:rPr>
                <w:lang w:val="en-AU"/>
              </w:rPr>
              <w:t>1800 and 1300 numbers</w:t>
            </w:r>
          </w:p>
        </w:tc>
        <w:tc>
          <w:tcPr>
            <w:tcW w:w="3701" w:type="dxa"/>
          </w:tcPr>
          <w:p w14:paraId="1CA30937" w14:textId="77777777" w:rsidR="000D07EA" w:rsidRDefault="00BE7C89">
            <w:pPr>
              <w:pStyle w:val="BodyText"/>
              <w:spacing w:before="100" w:after="100"/>
              <w:rPr>
                <w:lang w:val="en-AU"/>
              </w:rPr>
            </w:pPr>
            <w:r>
              <w:rPr>
                <w:lang w:val="en-AU"/>
              </w:rPr>
              <w:t>Yes</w:t>
            </w:r>
          </w:p>
        </w:tc>
      </w:tr>
      <w:tr w:rsidR="000D07EA" w14:paraId="13EC4F77" w14:textId="77777777">
        <w:trPr>
          <w:trHeight w:val="494"/>
        </w:trPr>
        <w:tc>
          <w:tcPr>
            <w:tcW w:w="3701" w:type="dxa"/>
          </w:tcPr>
          <w:p w14:paraId="1FADE697" w14:textId="77777777" w:rsidR="000D07EA" w:rsidRDefault="00BE7C89">
            <w:pPr>
              <w:pStyle w:val="BodyText"/>
              <w:spacing w:before="100" w:after="100"/>
              <w:rPr>
                <w:lang w:val="en-AU"/>
              </w:rPr>
            </w:pPr>
            <w:r>
              <w:rPr>
                <w:lang w:val="en-AU"/>
              </w:rPr>
              <w:t>Fax and Data, GPRS, WAP</w:t>
            </w:r>
          </w:p>
        </w:tc>
        <w:tc>
          <w:tcPr>
            <w:tcW w:w="3701" w:type="dxa"/>
          </w:tcPr>
          <w:p w14:paraId="6D73F0DD" w14:textId="77777777" w:rsidR="000D07EA" w:rsidRDefault="00BE7C89">
            <w:pPr>
              <w:pStyle w:val="BodyText"/>
              <w:spacing w:before="100" w:after="100"/>
              <w:rPr>
                <w:lang w:val="en-AU"/>
              </w:rPr>
            </w:pPr>
            <w:r>
              <w:rPr>
                <w:lang w:val="en-AU"/>
              </w:rPr>
              <w:t>Yes</w:t>
            </w:r>
          </w:p>
        </w:tc>
      </w:tr>
      <w:tr w:rsidR="000D07EA" w14:paraId="0F037ED5" w14:textId="77777777">
        <w:trPr>
          <w:trHeight w:val="247"/>
        </w:trPr>
        <w:tc>
          <w:tcPr>
            <w:tcW w:w="3701" w:type="dxa"/>
          </w:tcPr>
          <w:p w14:paraId="6BB14166" w14:textId="77777777" w:rsidR="000D07EA" w:rsidRDefault="00BE7C89">
            <w:pPr>
              <w:pStyle w:val="BodyText"/>
              <w:spacing w:before="100" w:after="100"/>
              <w:rPr>
                <w:lang w:val="en-AU"/>
              </w:rPr>
            </w:pPr>
            <w:r>
              <w:rPr>
                <w:lang w:val="en-AU"/>
              </w:rPr>
              <w:t>124YES(937)</w:t>
            </w:r>
          </w:p>
        </w:tc>
        <w:tc>
          <w:tcPr>
            <w:tcW w:w="3701" w:type="dxa"/>
          </w:tcPr>
          <w:p w14:paraId="0A26D69A" w14:textId="77777777" w:rsidR="000D07EA" w:rsidRDefault="00BE7C89">
            <w:pPr>
              <w:pStyle w:val="BodyText"/>
              <w:spacing w:before="100" w:after="100"/>
              <w:rPr>
                <w:lang w:val="en-AU"/>
              </w:rPr>
            </w:pPr>
            <w:r>
              <w:rPr>
                <w:lang w:val="en-AU"/>
              </w:rPr>
              <w:t>Yes</w:t>
            </w:r>
          </w:p>
        </w:tc>
      </w:tr>
      <w:tr w:rsidR="000D07EA" w14:paraId="4743A4DE" w14:textId="77777777">
        <w:trPr>
          <w:trHeight w:val="247"/>
        </w:trPr>
        <w:tc>
          <w:tcPr>
            <w:tcW w:w="3701" w:type="dxa"/>
          </w:tcPr>
          <w:p w14:paraId="14255D4A" w14:textId="77777777" w:rsidR="000D07EA" w:rsidRDefault="00BE7C89">
            <w:pPr>
              <w:pStyle w:val="BodyText"/>
              <w:spacing w:before="100" w:after="100"/>
              <w:rPr>
                <w:lang w:val="en-AU"/>
              </w:rPr>
            </w:pPr>
            <w:r>
              <w:rPr>
                <w:lang w:val="en-AU"/>
              </w:rPr>
              <w:t>Horizon Content</w:t>
            </w:r>
          </w:p>
        </w:tc>
        <w:tc>
          <w:tcPr>
            <w:tcW w:w="3701" w:type="dxa"/>
          </w:tcPr>
          <w:p w14:paraId="7878A44A" w14:textId="77777777" w:rsidR="000D07EA" w:rsidRDefault="00BE7C89">
            <w:pPr>
              <w:pStyle w:val="BodyText"/>
              <w:spacing w:before="100" w:after="100"/>
              <w:rPr>
                <w:lang w:val="en-AU"/>
              </w:rPr>
            </w:pPr>
            <w:r>
              <w:rPr>
                <w:lang w:val="en-AU"/>
              </w:rPr>
              <w:t>No</w:t>
            </w:r>
          </w:p>
        </w:tc>
      </w:tr>
      <w:tr w:rsidR="000D07EA" w14:paraId="118CC234" w14:textId="77777777">
        <w:trPr>
          <w:trHeight w:val="262"/>
        </w:trPr>
        <w:tc>
          <w:tcPr>
            <w:tcW w:w="3701" w:type="dxa"/>
          </w:tcPr>
          <w:p w14:paraId="0918A767" w14:textId="77777777" w:rsidR="000D07EA" w:rsidRDefault="00BE7C89">
            <w:pPr>
              <w:pStyle w:val="BodyText"/>
              <w:spacing w:before="100" w:after="100"/>
              <w:rPr>
                <w:lang w:val="en-AU"/>
              </w:rPr>
            </w:pPr>
            <w:r>
              <w:rPr>
                <w:lang w:val="en-AU"/>
              </w:rPr>
              <w:t>Insurance</w:t>
            </w:r>
          </w:p>
        </w:tc>
        <w:tc>
          <w:tcPr>
            <w:tcW w:w="3701" w:type="dxa"/>
          </w:tcPr>
          <w:p w14:paraId="11DACA3A" w14:textId="77777777" w:rsidR="000D07EA" w:rsidRDefault="00BE7C89">
            <w:pPr>
              <w:pStyle w:val="BodyText"/>
              <w:spacing w:before="100" w:after="100"/>
              <w:rPr>
                <w:lang w:val="en-AU"/>
              </w:rPr>
            </w:pPr>
            <w:r>
              <w:rPr>
                <w:lang w:val="en-AU"/>
              </w:rPr>
              <w:t>No</w:t>
            </w:r>
          </w:p>
        </w:tc>
      </w:tr>
      <w:tr w:rsidR="000D07EA" w14:paraId="1F245094" w14:textId="77777777">
        <w:trPr>
          <w:trHeight w:val="262"/>
        </w:trPr>
        <w:tc>
          <w:tcPr>
            <w:tcW w:w="3701" w:type="dxa"/>
          </w:tcPr>
          <w:p w14:paraId="60030208" w14:textId="77777777" w:rsidR="000D07EA" w:rsidRDefault="00BE7C89">
            <w:pPr>
              <w:pStyle w:val="BodyText"/>
              <w:spacing w:before="100" w:after="100"/>
              <w:rPr>
                <w:lang w:val="en-AU"/>
              </w:rPr>
            </w:pPr>
            <w:r>
              <w:rPr>
                <w:lang w:val="en-AU"/>
              </w:rPr>
              <w:t>Handset Repayments</w:t>
            </w:r>
          </w:p>
        </w:tc>
        <w:tc>
          <w:tcPr>
            <w:tcW w:w="3701" w:type="dxa"/>
          </w:tcPr>
          <w:p w14:paraId="6E71CF22" w14:textId="77777777" w:rsidR="000D07EA" w:rsidRDefault="00BE7C89">
            <w:pPr>
              <w:pStyle w:val="BodyText"/>
              <w:spacing w:before="100" w:after="100"/>
              <w:rPr>
                <w:lang w:val="en-AU"/>
              </w:rPr>
            </w:pPr>
            <w:r>
              <w:rPr>
                <w:lang w:val="en-AU"/>
              </w:rPr>
              <w:t>No</w:t>
            </w:r>
          </w:p>
        </w:tc>
      </w:tr>
    </w:tbl>
    <w:p w14:paraId="4F33EFBE" w14:textId="77777777" w:rsidR="000D07EA" w:rsidRDefault="000D07EA">
      <w:pPr>
        <w:pStyle w:val="BodyText"/>
      </w:pPr>
    </w:p>
    <w:p w14:paraId="16812BC9" w14:textId="77777777" w:rsidR="000D07EA" w:rsidRDefault="00BE7C89">
      <w:pPr>
        <w:pStyle w:val="Heading7"/>
        <w:rPr>
          <w:lang w:val="en-AU"/>
        </w:rPr>
      </w:pPr>
      <w:r>
        <w:rPr>
          <w:lang w:val="en-AU"/>
        </w:rPr>
        <w:t xml:space="preserve">The detail of the </w:t>
      </w:r>
      <w:r>
        <w:rPr>
          <w:i/>
          <w:lang w:val="en-AU"/>
        </w:rPr>
        <w:t>pricing plan</w:t>
      </w:r>
      <w:r>
        <w:rPr>
          <w:lang w:val="en-AU"/>
        </w:rPr>
        <w:t xml:space="preserve"> is set out in Table 1 below.</w:t>
      </w:r>
    </w:p>
    <w:p w14:paraId="747976BD" w14:textId="77777777" w:rsidR="000D07EA" w:rsidRDefault="00BE7C89">
      <w:pPr>
        <w:pStyle w:val="Heading6"/>
        <w:ind w:left="0" w:firstLine="0"/>
        <w:rPr>
          <w:lang w:val="en-AU"/>
        </w:rPr>
      </w:pPr>
      <w:bookmarkStart w:id="128" w:name="_Toc219870382"/>
      <w:bookmarkStart w:id="129" w:name="_Toc397940986"/>
      <w:r>
        <w:rPr>
          <w:lang w:val="en-AU"/>
        </w:rPr>
        <w:t>What happens if the service is cancelled early?</w:t>
      </w:r>
      <w:bookmarkEnd w:id="128"/>
      <w:bookmarkEnd w:id="129"/>
    </w:p>
    <w:p w14:paraId="72CD1DC1" w14:textId="77777777" w:rsidR="000D07EA" w:rsidRDefault="00BE7C89">
      <w:pPr>
        <w:pStyle w:val="Heading7"/>
        <w:rPr>
          <w:lang w:val="en-AU"/>
        </w:rPr>
      </w:pPr>
      <w:r>
        <w:rPr>
          <w:lang w:val="en-AU"/>
        </w:rPr>
        <w:t xml:space="preserve">If </w:t>
      </w:r>
      <w:r>
        <w:rPr>
          <w:i/>
          <w:lang w:val="en-AU"/>
        </w:rPr>
        <w:t>the service</w:t>
      </w:r>
      <w:r>
        <w:rPr>
          <w:lang w:val="en-AU"/>
        </w:rPr>
        <w:t xml:space="preserve"> </w:t>
      </w:r>
      <w:r>
        <w:rPr>
          <w:i/>
          <w:lang w:val="en-AU"/>
        </w:rPr>
        <w:t xml:space="preserve">is cancelled </w:t>
      </w:r>
      <w:r>
        <w:rPr>
          <w:lang w:val="en-AU"/>
        </w:rPr>
        <w:t xml:space="preserve">before the expiry of the </w:t>
      </w:r>
      <w:r>
        <w:rPr>
          <w:i/>
          <w:lang w:val="en-AU"/>
        </w:rPr>
        <w:t xml:space="preserve">minimum term, you </w:t>
      </w:r>
      <w:r>
        <w:rPr>
          <w:lang w:val="en-AU"/>
        </w:rPr>
        <w:t xml:space="preserve">will be required to pay </w:t>
      </w:r>
      <w:r>
        <w:rPr>
          <w:i/>
          <w:lang w:val="en-AU"/>
        </w:rPr>
        <w:t>us</w:t>
      </w:r>
      <w:r>
        <w:rPr>
          <w:lang w:val="en-AU"/>
        </w:rPr>
        <w:t>:</w:t>
      </w:r>
    </w:p>
    <w:p w14:paraId="41FB60EF" w14:textId="77777777" w:rsidR="000D07EA" w:rsidRDefault="00BE7C89">
      <w:pPr>
        <w:pStyle w:val="Heading8"/>
        <w:rPr>
          <w:lang w:val="en-AU"/>
        </w:rPr>
      </w:pPr>
      <w:r>
        <w:rPr>
          <w:lang w:val="en-AU"/>
        </w:rPr>
        <w:t xml:space="preserve">any usage charges incurred up to, and including, the </w:t>
      </w:r>
      <w:r>
        <w:rPr>
          <w:i/>
          <w:lang w:val="en-AU"/>
        </w:rPr>
        <w:t xml:space="preserve">cancellation date; </w:t>
      </w:r>
      <w:r>
        <w:rPr>
          <w:lang w:val="en-AU"/>
        </w:rPr>
        <w:t>plus</w:t>
      </w:r>
    </w:p>
    <w:p w14:paraId="63C29959" w14:textId="77777777" w:rsidR="000D07EA" w:rsidRDefault="00BE7C89">
      <w:pPr>
        <w:pStyle w:val="Heading8"/>
        <w:rPr>
          <w:lang w:val="en-AU"/>
        </w:rPr>
      </w:pPr>
      <w:r>
        <w:rPr>
          <w:lang w:val="en-AU"/>
        </w:rPr>
        <w:t xml:space="preserve">the </w:t>
      </w:r>
      <w:r>
        <w:rPr>
          <w:i/>
          <w:lang w:val="en-AU"/>
        </w:rPr>
        <w:t xml:space="preserve">cancellation fee </w:t>
      </w:r>
      <w:r>
        <w:rPr>
          <w:lang w:val="en-AU"/>
        </w:rPr>
        <w:t xml:space="preserve">set out in the table below (unless under clause 2A of the </w:t>
      </w:r>
      <w:hyperlink r:id="rId35" w:history="1">
        <w:r>
          <w:rPr>
            <w:rStyle w:val="Hyperlink"/>
            <w:i/>
          </w:rPr>
          <w:t>SMB terms</w:t>
        </w:r>
      </w:hyperlink>
      <w:r>
        <w:rPr>
          <w:lang w:val="en-AU"/>
        </w:rPr>
        <w:t xml:space="preserve">, </w:t>
      </w:r>
      <w:r>
        <w:rPr>
          <w:i/>
          <w:lang w:val="en-AU"/>
        </w:rPr>
        <w:t xml:space="preserve">you </w:t>
      </w:r>
      <w:r>
        <w:rPr>
          <w:lang w:val="en-AU"/>
        </w:rPr>
        <w:t xml:space="preserve">are entitled to </w:t>
      </w:r>
      <w:r>
        <w:rPr>
          <w:i/>
          <w:lang w:val="en-AU"/>
        </w:rPr>
        <w:t>cancel the service</w:t>
      </w:r>
      <w:r>
        <w:rPr>
          <w:lang w:val="en-AU"/>
        </w:rPr>
        <w:t xml:space="preserve"> without incurring a </w:t>
      </w:r>
      <w:r>
        <w:rPr>
          <w:i/>
          <w:lang w:val="en-AU"/>
        </w:rPr>
        <w:t>cancellation fee</w:t>
      </w:r>
      <w:r>
        <w:rPr>
          <w:lang w:val="en-AU"/>
        </w:rPr>
        <w:t>); plus</w:t>
      </w:r>
    </w:p>
    <w:p w14:paraId="3B81D415" w14:textId="77777777" w:rsidR="000D07EA" w:rsidRDefault="00BE7C89">
      <w:pPr>
        <w:pStyle w:val="Heading8"/>
        <w:rPr>
          <w:lang w:val="en-AU"/>
        </w:rPr>
      </w:pPr>
      <w:r>
        <w:rPr>
          <w:lang w:val="en-AU"/>
        </w:rPr>
        <w:t>the sum of unpaid equipment charges owing on your mobile phone under the mobile equipment payment plan (if any).</w:t>
      </w:r>
    </w:p>
    <w:p w14:paraId="7EB200EB" w14:textId="77777777" w:rsidR="000D07EA" w:rsidRDefault="00BE7C89">
      <w:pPr>
        <w:pStyle w:val="Heading7"/>
        <w:rPr>
          <w:lang w:val="en-AU"/>
        </w:rPr>
      </w:pPr>
      <w:r>
        <w:rPr>
          <w:lang w:val="en-AU"/>
        </w:rPr>
        <w:t xml:space="preserve">The </w:t>
      </w:r>
      <w:r>
        <w:rPr>
          <w:i/>
          <w:lang w:val="en-AU"/>
        </w:rPr>
        <w:t>cancellation fee</w:t>
      </w:r>
      <w:r>
        <w:rPr>
          <w:lang w:val="en-AU"/>
        </w:rPr>
        <w:t xml:space="preserve"> is calculated as a fixed amount if the </w:t>
      </w:r>
      <w:r>
        <w:rPr>
          <w:i/>
          <w:lang w:val="en-AU"/>
        </w:rPr>
        <w:t>service</w:t>
      </w:r>
      <w:r>
        <w:rPr>
          <w:lang w:val="en-AU"/>
        </w:rPr>
        <w:t xml:space="preserve"> is </w:t>
      </w:r>
      <w:r>
        <w:rPr>
          <w:i/>
          <w:lang w:val="en-AU"/>
        </w:rPr>
        <w:t xml:space="preserve">cancelled </w:t>
      </w:r>
      <w:r>
        <w:rPr>
          <w:lang w:val="en-AU"/>
        </w:rPr>
        <w:t xml:space="preserve">during the first 12 months of the </w:t>
      </w:r>
      <w:r>
        <w:rPr>
          <w:i/>
          <w:lang w:val="en-AU"/>
        </w:rPr>
        <w:t>minimum term</w:t>
      </w:r>
      <w:r>
        <w:rPr>
          <w:lang w:val="en-AU"/>
        </w:rPr>
        <w:t xml:space="preserve"> and then a pro-rata reduction of that fee (indicated as a percentage in brackets in the first column of the table below) if the </w:t>
      </w:r>
      <w:r>
        <w:rPr>
          <w:i/>
          <w:lang w:val="en-AU"/>
        </w:rPr>
        <w:t>service</w:t>
      </w:r>
      <w:r>
        <w:rPr>
          <w:lang w:val="en-AU"/>
        </w:rPr>
        <w:t xml:space="preserve"> is cancelled during the second year of the </w:t>
      </w:r>
      <w:r>
        <w:rPr>
          <w:i/>
          <w:lang w:val="en-AU"/>
        </w:rPr>
        <w:t>minimum term</w:t>
      </w:r>
      <w:r>
        <w:rPr>
          <w:lang w:val="en-AU"/>
        </w:rPr>
        <w:t>.</w:t>
      </w: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137"/>
        <w:gridCol w:w="2243"/>
      </w:tblGrid>
      <w:tr w:rsidR="000D07EA" w14:paraId="6E22660C" w14:textId="77777777">
        <w:tc>
          <w:tcPr>
            <w:tcW w:w="5137" w:type="dxa"/>
          </w:tcPr>
          <w:p w14:paraId="0DDA28AB" w14:textId="77777777" w:rsidR="000D07EA" w:rsidRDefault="00BE7C89">
            <w:pPr>
              <w:pStyle w:val="BodyText"/>
              <w:keepNext/>
              <w:spacing w:before="100" w:after="100"/>
              <w:jc w:val="center"/>
              <w:rPr>
                <w:b/>
                <w:i/>
                <w:szCs w:val="20"/>
              </w:rPr>
            </w:pPr>
            <w:r>
              <w:rPr>
                <w:b/>
                <w:szCs w:val="20"/>
              </w:rPr>
              <w:t xml:space="preserve">When the </w:t>
            </w:r>
            <w:r>
              <w:rPr>
                <w:b/>
                <w:i/>
                <w:szCs w:val="20"/>
              </w:rPr>
              <w:t>service</w:t>
            </w:r>
            <w:r>
              <w:rPr>
                <w:b/>
                <w:szCs w:val="20"/>
              </w:rPr>
              <w:t xml:space="preserve"> is </w:t>
            </w:r>
            <w:r>
              <w:rPr>
                <w:b/>
                <w:i/>
                <w:szCs w:val="20"/>
              </w:rPr>
              <w:t>cancelled</w:t>
            </w:r>
          </w:p>
        </w:tc>
        <w:tc>
          <w:tcPr>
            <w:tcW w:w="2243" w:type="dxa"/>
          </w:tcPr>
          <w:p w14:paraId="0556CDD0" w14:textId="77777777" w:rsidR="000D07EA" w:rsidRDefault="00BE7C89">
            <w:pPr>
              <w:pStyle w:val="BodyText"/>
              <w:keepNext/>
              <w:spacing w:before="100" w:after="100"/>
              <w:jc w:val="center"/>
              <w:rPr>
                <w:b/>
                <w:i/>
                <w:szCs w:val="20"/>
                <w:lang w:val="en-AU"/>
              </w:rPr>
            </w:pPr>
            <w:r>
              <w:rPr>
                <w:b/>
                <w:i/>
                <w:szCs w:val="20"/>
                <w:lang w:val="en-AU"/>
              </w:rPr>
              <w:t>cancellation fee</w:t>
            </w:r>
          </w:p>
        </w:tc>
      </w:tr>
      <w:tr w:rsidR="000D07EA" w14:paraId="42A03995" w14:textId="77777777">
        <w:tc>
          <w:tcPr>
            <w:tcW w:w="5137" w:type="dxa"/>
          </w:tcPr>
          <w:p w14:paraId="38B1D11F" w14:textId="77777777" w:rsidR="000D07EA" w:rsidRDefault="00BE7C89">
            <w:pPr>
              <w:pStyle w:val="BodyText"/>
              <w:spacing w:before="100" w:after="100"/>
              <w:rPr>
                <w:szCs w:val="20"/>
              </w:rPr>
            </w:pPr>
            <w:r>
              <w:rPr>
                <w:szCs w:val="20"/>
                <w:lang w:val="en-AU"/>
              </w:rPr>
              <w:t xml:space="preserve">During the first 12 months - Initial </w:t>
            </w:r>
            <w:r>
              <w:rPr>
                <w:i/>
                <w:szCs w:val="20"/>
                <w:lang w:val="en-AU"/>
              </w:rPr>
              <w:t>cancellation</w:t>
            </w:r>
            <w:r>
              <w:rPr>
                <w:szCs w:val="20"/>
                <w:lang w:val="en-AU"/>
              </w:rPr>
              <w:t xml:space="preserve"> </w:t>
            </w:r>
            <w:r>
              <w:rPr>
                <w:i/>
                <w:szCs w:val="20"/>
                <w:lang w:val="en-AU"/>
              </w:rPr>
              <w:t>fee</w:t>
            </w:r>
          </w:p>
        </w:tc>
        <w:tc>
          <w:tcPr>
            <w:tcW w:w="2243" w:type="dxa"/>
          </w:tcPr>
          <w:p w14:paraId="18B0685B" w14:textId="77777777" w:rsidR="000D07EA" w:rsidRDefault="00BE7C89">
            <w:pPr>
              <w:pStyle w:val="BodyText"/>
              <w:spacing w:before="100" w:after="100"/>
              <w:rPr>
                <w:szCs w:val="20"/>
                <w:lang w:val="en-AU"/>
              </w:rPr>
            </w:pPr>
            <w:r>
              <w:rPr>
                <w:szCs w:val="20"/>
                <w:lang w:val="en-AU"/>
              </w:rPr>
              <w:t>$400</w:t>
            </w:r>
          </w:p>
        </w:tc>
      </w:tr>
      <w:tr w:rsidR="000D07EA" w14:paraId="78B0F579" w14:textId="77777777">
        <w:tc>
          <w:tcPr>
            <w:tcW w:w="5137" w:type="dxa"/>
          </w:tcPr>
          <w:p w14:paraId="17CDF0C2" w14:textId="77777777" w:rsidR="000D07EA" w:rsidRDefault="00BE7C89">
            <w:pPr>
              <w:pStyle w:val="BodyText"/>
              <w:spacing w:before="100" w:after="100"/>
              <w:rPr>
                <w:szCs w:val="20"/>
                <w:lang w:val="en-AU"/>
              </w:rPr>
            </w:pPr>
            <w:r>
              <w:rPr>
                <w:szCs w:val="20"/>
                <w:lang w:val="en-AU"/>
              </w:rPr>
              <w:t xml:space="preserve">Months 13 – 15 (80% of Initial </w:t>
            </w:r>
            <w:r>
              <w:rPr>
                <w:i/>
                <w:szCs w:val="20"/>
                <w:lang w:val="en-AU"/>
              </w:rPr>
              <w:t>cancellation</w:t>
            </w:r>
            <w:r>
              <w:rPr>
                <w:szCs w:val="20"/>
                <w:lang w:val="en-AU"/>
              </w:rPr>
              <w:t xml:space="preserve"> </w:t>
            </w:r>
            <w:r>
              <w:rPr>
                <w:i/>
                <w:szCs w:val="20"/>
                <w:lang w:val="en-AU"/>
              </w:rPr>
              <w:t>fee</w:t>
            </w:r>
            <w:r>
              <w:rPr>
                <w:szCs w:val="20"/>
                <w:lang w:val="en-AU"/>
              </w:rPr>
              <w:t>)</w:t>
            </w:r>
          </w:p>
        </w:tc>
        <w:tc>
          <w:tcPr>
            <w:tcW w:w="2243" w:type="dxa"/>
          </w:tcPr>
          <w:p w14:paraId="5299FDF8" w14:textId="77777777" w:rsidR="000D07EA" w:rsidRDefault="00BE7C89">
            <w:pPr>
              <w:pStyle w:val="BodyText"/>
              <w:spacing w:before="100" w:after="100"/>
              <w:rPr>
                <w:szCs w:val="20"/>
                <w:lang w:val="en-AU"/>
              </w:rPr>
            </w:pPr>
            <w:r>
              <w:rPr>
                <w:szCs w:val="20"/>
                <w:lang w:val="en-AU"/>
              </w:rPr>
              <w:t>$320</w:t>
            </w:r>
          </w:p>
        </w:tc>
      </w:tr>
      <w:tr w:rsidR="000D07EA" w14:paraId="5FB54B62" w14:textId="77777777">
        <w:tc>
          <w:tcPr>
            <w:tcW w:w="5137" w:type="dxa"/>
          </w:tcPr>
          <w:p w14:paraId="37C60FC1" w14:textId="77777777" w:rsidR="000D07EA" w:rsidRDefault="00BE7C89">
            <w:pPr>
              <w:pStyle w:val="BodyText"/>
              <w:spacing w:before="100" w:after="100"/>
              <w:rPr>
                <w:szCs w:val="20"/>
              </w:rPr>
            </w:pPr>
            <w:r>
              <w:rPr>
                <w:szCs w:val="20"/>
                <w:lang w:val="en-AU"/>
              </w:rPr>
              <w:t xml:space="preserve">Months 16 – 18 (60% of the Initial </w:t>
            </w:r>
            <w:r>
              <w:rPr>
                <w:i/>
                <w:szCs w:val="20"/>
                <w:lang w:val="en-AU"/>
              </w:rPr>
              <w:t>cancellation</w:t>
            </w:r>
            <w:r>
              <w:rPr>
                <w:szCs w:val="20"/>
                <w:lang w:val="en-AU"/>
              </w:rPr>
              <w:t xml:space="preserve"> </w:t>
            </w:r>
            <w:r>
              <w:rPr>
                <w:i/>
                <w:szCs w:val="20"/>
                <w:lang w:val="en-AU"/>
              </w:rPr>
              <w:t>fee</w:t>
            </w:r>
            <w:r>
              <w:rPr>
                <w:szCs w:val="20"/>
                <w:lang w:val="en-AU"/>
              </w:rPr>
              <w:t>)</w:t>
            </w:r>
          </w:p>
        </w:tc>
        <w:tc>
          <w:tcPr>
            <w:tcW w:w="2243" w:type="dxa"/>
          </w:tcPr>
          <w:p w14:paraId="44572F10" w14:textId="77777777" w:rsidR="000D07EA" w:rsidRDefault="00BE7C89">
            <w:pPr>
              <w:pStyle w:val="BodyText"/>
              <w:spacing w:before="100" w:after="100"/>
              <w:rPr>
                <w:szCs w:val="20"/>
                <w:lang w:val="en-AU"/>
              </w:rPr>
            </w:pPr>
            <w:r>
              <w:rPr>
                <w:szCs w:val="20"/>
                <w:lang w:val="en-AU"/>
              </w:rPr>
              <w:t>$240</w:t>
            </w:r>
          </w:p>
        </w:tc>
      </w:tr>
      <w:tr w:rsidR="000D07EA" w14:paraId="1104ED32" w14:textId="77777777">
        <w:tc>
          <w:tcPr>
            <w:tcW w:w="5137" w:type="dxa"/>
          </w:tcPr>
          <w:p w14:paraId="4919CEE2" w14:textId="77777777" w:rsidR="000D07EA" w:rsidRDefault="00BE7C89">
            <w:pPr>
              <w:pStyle w:val="BodyText"/>
              <w:spacing w:before="100" w:after="100"/>
              <w:rPr>
                <w:szCs w:val="20"/>
              </w:rPr>
            </w:pPr>
            <w:r>
              <w:rPr>
                <w:szCs w:val="20"/>
                <w:lang w:val="en-AU"/>
              </w:rPr>
              <w:t xml:space="preserve">Months 19 – 21 (40% of the Initial </w:t>
            </w:r>
            <w:r>
              <w:rPr>
                <w:i/>
                <w:szCs w:val="20"/>
                <w:lang w:val="en-AU"/>
              </w:rPr>
              <w:t>cancellation</w:t>
            </w:r>
            <w:r>
              <w:rPr>
                <w:szCs w:val="20"/>
                <w:lang w:val="en-AU"/>
              </w:rPr>
              <w:t xml:space="preserve"> </w:t>
            </w:r>
            <w:r>
              <w:rPr>
                <w:i/>
                <w:szCs w:val="20"/>
                <w:lang w:val="en-AU"/>
              </w:rPr>
              <w:t>fee</w:t>
            </w:r>
            <w:r>
              <w:rPr>
                <w:szCs w:val="20"/>
                <w:lang w:val="en-AU"/>
              </w:rPr>
              <w:t>)</w:t>
            </w:r>
          </w:p>
        </w:tc>
        <w:tc>
          <w:tcPr>
            <w:tcW w:w="2243" w:type="dxa"/>
          </w:tcPr>
          <w:p w14:paraId="7E229D99" w14:textId="77777777" w:rsidR="000D07EA" w:rsidRDefault="00BE7C89">
            <w:pPr>
              <w:pStyle w:val="BodyText"/>
              <w:spacing w:before="100" w:after="100"/>
              <w:rPr>
                <w:szCs w:val="20"/>
                <w:lang w:val="en-AU"/>
              </w:rPr>
            </w:pPr>
            <w:r>
              <w:rPr>
                <w:szCs w:val="20"/>
                <w:lang w:val="en-AU"/>
              </w:rPr>
              <w:t>$160</w:t>
            </w:r>
          </w:p>
        </w:tc>
      </w:tr>
      <w:tr w:rsidR="000D07EA" w14:paraId="27DC6577" w14:textId="77777777">
        <w:tc>
          <w:tcPr>
            <w:tcW w:w="5137" w:type="dxa"/>
          </w:tcPr>
          <w:p w14:paraId="050C5F53" w14:textId="77777777" w:rsidR="000D07EA" w:rsidRDefault="00BE7C89">
            <w:pPr>
              <w:pStyle w:val="BodyText"/>
              <w:spacing w:before="100" w:after="100"/>
              <w:rPr>
                <w:szCs w:val="20"/>
                <w:lang w:val="en-AU"/>
              </w:rPr>
            </w:pPr>
            <w:r>
              <w:rPr>
                <w:szCs w:val="20"/>
                <w:lang w:val="en-AU"/>
              </w:rPr>
              <w:t xml:space="preserve">Months 22 – 24 (20% of the Initial </w:t>
            </w:r>
            <w:r>
              <w:rPr>
                <w:i/>
                <w:szCs w:val="20"/>
                <w:lang w:val="en-AU"/>
              </w:rPr>
              <w:t>cancellation</w:t>
            </w:r>
            <w:r>
              <w:rPr>
                <w:szCs w:val="20"/>
                <w:lang w:val="en-AU"/>
              </w:rPr>
              <w:t xml:space="preserve"> </w:t>
            </w:r>
            <w:r>
              <w:rPr>
                <w:i/>
                <w:szCs w:val="20"/>
                <w:lang w:val="en-AU"/>
              </w:rPr>
              <w:t>fee</w:t>
            </w:r>
            <w:r>
              <w:rPr>
                <w:szCs w:val="20"/>
                <w:lang w:val="en-AU"/>
              </w:rPr>
              <w:t>)</w:t>
            </w:r>
          </w:p>
        </w:tc>
        <w:tc>
          <w:tcPr>
            <w:tcW w:w="2243" w:type="dxa"/>
          </w:tcPr>
          <w:p w14:paraId="46B1A38E" w14:textId="77777777" w:rsidR="000D07EA" w:rsidRDefault="00BE7C89">
            <w:pPr>
              <w:pStyle w:val="BodyText"/>
              <w:spacing w:before="100" w:after="100"/>
              <w:rPr>
                <w:szCs w:val="20"/>
                <w:lang w:val="en-AU"/>
              </w:rPr>
            </w:pPr>
            <w:r>
              <w:rPr>
                <w:szCs w:val="20"/>
                <w:lang w:val="en-AU"/>
              </w:rPr>
              <w:t>$80</w:t>
            </w:r>
          </w:p>
        </w:tc>
      </w:tr>
    </w:tbl>
    <w:p w14:paraId="4D2D48C4" w14:textId="77777777" w:rsidR="000D07EA" w:rsidRDefault="000D07EA">
      <w:pPr>
        <w:pStyle w:val="BodyText"/>
      </w:pPr>
      <w:bookmarkStart w:id="130" w:name="_Toc96399371"/>
      <w:bookmarkStart w:id="131" w:name="_Toc96400454"/>
      <w:bookmarkStart w:id="132" w:name="_Toc219870383"/>
      <w:bookmarkStart w:id="133" w:name="_Toc397940987"/>
    </w:p>
    <w:p w14:paraId="5D4D6C6E" w14:textId="77777777" w:rsidR="000D07EA" w:rsidRDefault="00BE7C89">
      <w:pPr>
        <w:pStyle w:val="Heading6"/>
        <w:ind w:left="0" w:firstLine="0"/>
        <w:rPr>
          <w:lang w:val="en-AU"/>
        </w:rPr>
      </w:pPr>
      <w:r>
        <w:rPr>
          <w:lang w:val="en-AU"/>
        </w:rPr>
        <w:t>Plan changes</w:t>
      </w:r>
      <w:bookmarkEnd w:id="130"/>
      <w:bookmarkEnd w:id="131"/>
      <w:bookmarkEnd w:id="132"/>
      <w:bookmarkEnd w:id="133"/>
    </w:p>
    <w:p w14:paraId="7E45A102" w14:textId="77777777" w:rsidR="000D07EA" w:rsidRDefault="00BE7C89">
      <w:pPr>
        <w:pStyle w:val="BodyText"/>
        <w:ind w:left="720"/>
        <w:rPr>
          <w:lang w:val="en-AU"/>
        </w:rPr>
      </w:pPr>
      <w:r>
        <w:rPr>
          <w:lang w:val="en-AU"/>
        </w:rPr>
        <w:lastRenderedPageBreak/>
        <w:t xml:space="preserve">Change of ownership is permitted during the 24 month </w:t>
      </w:r>
      <w:r>
        <w:rPr>
          <w:i/>
          <w:lang w:val="en-AU"/>
        </w:rPr>
        <w:t>minimum term</w:t>
      </w:r>
      <w:r>
        <w:rPr>
          <w:lang w:val="en-AU"/>
        </w:rPr>
        <w:t xml:space="preserve"> as long as the new applicant meets </w:t>
      </w:r>
      <w:r>
        <w:rPr>
          <w:i/>
          <w:lang w:val="en-AU"/>
        </w:rPr>
        <w:t xml:space="preserve">our </w:t>
      </w:r>
      <w:r>
        <w:rPr>
          <w:lang w:val="en-AU"/>
        </w:rPr>
        <w:t xml:space="preserve">credit assessment criteria and both </w:t>
      </w:r>
      <w:r>
        <w:rPr>
          <w:i/>
          <w:lang w:val="en-AU"/>
        </w:rPr>
        <w:t xml:space="preserve">you </w:t>
      </w:r>
      <w:r>
        <w:rPr>
          <w:lang w:val="en-AU"/>
        </w:rPr>
        <w:t>and new owner agree to the conditions on the Optus Change of Ownership form.</w:t>
      </w:r>
    </w:p>
    <w:p w14:paraId="503EBCE4" w14:textId="77777777" w:rsidR="000D07EA" w:rsidRDefault="00BE7C89">
      <w:pPr>
        <w:pStyle w:val="BodyText"/>
        <w:ind w:left="720"/>
        <w:rPr>
          <w:b/>
          <w:i/>
          <w:lang w:val="en-AU"/>
        </w:rPr>
      </w:pPr>
      <w:r>
        <w:rPr>
          <w:b/>
          <w:lang w:val="en-AU"/>
        </w:rPr>
        <w:t xml:space="preserve">Table 1 – Optus $49 Business Cap Plus PTT </w:t>
      </w:r>
      <w:r>
        <w:rPr>
          <w:b/>
          <w:i/>
          <w:lang w:val="en-AU"/>
        </w:rPr>
        <w:t>pricing plan</w:t>
      </w: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410"/>
        <w:gridCol w:w="4230"/>
      </w:tblGrid>
      <w:tr w:rsidR="000D07EA" w14:paraId="3CBB03DC" w14:textId="77777777">
        <w:tc>
          <w:tcPr>
            <w:tcW w:w="4410" w:type="dxa"/>
          </w:tcPr>
          <w:p w14:paraId="11E157B7" w14:textId="77777777" w:rsidR="000D07EA" w:rsidRDefault="000D07EA">
            <w:pPr>
              <w:pStyle w:val="BodyText"/>
              <w:spacing w:before="100" w:after="100"/>
              <w:rPr>
                <w:szCs w:val="20"/>
                <w:lang w:val="en-AU"/>
              </w:rPr>
            </w:pPr>
          </w:p>
        </w:tc>
        <w:tc>
          <w:tcPr>
            <w:tcW w:w="4230" w:type="dxa"/>
          </w:tcPr>
          <w:p w14:paraId="0CEEB5A4" w14:textId="77777777" w:rsidR="000D07EA" w:rsidRDefault="00BE7C89">
            <w:pPr>
              <w:pStyle w:val="BodyText"/>
              <w:spacing w:before="100" w:after="100"/>
              <w:rPr>
                <w:b/>
                <w:szCs w:val="20"/>
                <w:lang w:val="en-AU"/>
              </w:rPr>
            </w:pPr>
            <w:r>
              <w:rPr>
                <w:b/>
                <w:szCs w:val="20"/>
                <w:lang w:val="en-AU"/>
              </w:rPr>
              <w:t xml:space="preserve">Optus </w:t>
            </w:r>
            <w:r>
              <w:rPr>
                <w:b/>
                <w:i/>
                <w:szCs w:val="20"/>
                <w:lang w:val="en-AU"/>
              </w:rPr>
              <w:t>$49 Business Cap Plus PTT</w:t>
            </w:r>
            <w:r>
              <w:rPr>
                <w:b/>
                <w:szCs w:val="20"/>
                <w:lang w:val="en-AU"/>
              </w:rPr>
              <w:t xml:space="preserve"> Plan</w:t>
            </w:r>
          </w:p>
        </w:tc>
      </w:tr>
      <w:tr w:rsidR="000D07EA" w14:paraId="36F7C898" w14:textId="77777777">
        <w:tc>
          <w:tcPr>
            <w:tcW w:w="4410" w:type="dxa"/>
          </w:tcPr>
          <w:p w14:paraId="6D8FD9FF" w14:textId="77777777" w:rsidR="000D07EA" w:rsidRDefault="00BE7C89">
            <w:pPr>
              <w:pStyle w:val="BodyText"/>
              <w:spacing w:before="100" w:after="100"/>
              <w:rPr>
                <w:szCs w:val="20"/>
                <w:lang w:val="en-AU"/>
              </w:rPr>
            </w:pPr>
            <w:r>
              <w:rPr>
                <w:szCs w:val="20"/>
                <w:lang w:val="en-AU"/>
              </w:rPr>
              <w:t xml:space="preserve">Monthly </w:t>
            </w:r>
            <w:r>
              <w:rPr>
                <w:i/>
                <w:szCs w:val="20"/>
                <w:lang w:val="en-AU"/>
              </w:rPr>
              <w:t>access fee</w:t>
            </w:r>
            <w:r>
              <w:rPr>
                <w:szCs w:val="20"/>
                <w:lang w:val="en-AU"/>
              </w:rPr>
              <w:t xml:space="preserve"> </w:t>
            </w:r>
            <w:r>
              <w:rPr>
                <w:i/>
                <w:szCs w:val="20"/>
                <w:lang w:val="en-AU"/>
              </w:rPr>
              <w:t>(</w:t>
            </w:r>
            <w:r>
              <w:rPr>
                <w:szCs w:val="20"/>
                <w:lang w:val="en-AU"/>
              </w:rPr>
              <w:t>Minimum monthly charge)</w:t>
            </w:r>
          </w:p>
        </w:tc>
        <w:tc>
          <w:tcPr>
            <w:tcW w:w="4230" w:type="dxa"/>
          </w:tcPr>
          <w:p w14:paraId="42AB0BFD" w14:textId="77777777" w:rsidR="000D07EA" w:rsidRDefault="00BE7C89">
            <w:pPr>
              <w:pStyle w:val="BodyText"/>
              <w:spacing w:before="100" w:after="100"/>
              <w:rPr>
                <w:szCs w:val="20"/>
                <w:lang w:val="en-AU"/>
              </w:rPr>
            </w:pPr>
            <w:r>
              <w:rPr>
                <w:szCs w:val="20"/>
                <w:lang w:val="en-AU"/>
              </w:rPr>
              <w:t>$49</w:t>
            </w:r>
          </w:p>
        </w:tc>
      </w:tr>
      <w:tr w:rsidR="000D07EA" w14:paraId="7EAA792A" w14:textId="77777777">
        <w:tc>
          <w:tcPr>
            <w:tcW w:w="4410" w:type="dxa"/>
          </w:tcPr>
          <w:p w14:paraId="5AD74755" w14:textId="77777777" w:rsidR="000D07EA" w:rsidRDefault="00BE7C89">
            <w:pPr>
              <w:pStyle w:val="BodyText"/>
              <w:spacing w:before="100" w:after="100"/>
              <w:rPr>
                <w:szCs w:val="20"/>
                <w:lang w:val="en-AU"/>
              </w:rPr>
            </w:pPr>
            <w:r>
              <w:rPr>
                <w:szCs w:val="20"/>
                <w:lang w:val="en-AU"/>
              </w:rPr>
              <w:t>Voice and Text spend between $49 and $230 (For Voice calls and Text Messages included as listed above)</w:t>
            </w:r>
          </w:p>
        </w:tc>
        <w:tc>
          <w:tcPr>
            <w:tcW w:w="4230" w:type="dxa"/>
          </w:tcPr>
          <w:p w14:paraId="0FD87919" w14:textId="77777777" w:rsidR="000D07EA" w:rsidRDefault="00BE7C89">
            <w:pPr>
              <w:pStyle w:val="BodyText"/>
              <w:spacing w:before="100" w:after="100"/>
              <w:rPr>
                <w:szCs w:val="20"/>
                <w:lang w:val="en-AU"/>
              </w:rPr>
            </w:pPr>
            <w:r>
              <w:rPr>
                <w:szCs w:val="20"/>
                <w:lang w:val="en-AU"/>
              </w:rPr>
              <w:t>$0.00</w:t>
            </w:r>
          </w:p>
        </w:tc>
      </w:tr>
      <w:tr w:rsidR="000D07EA" w14:paraId="065678FE" w14:textId="77777777">
        <w:tc>
          <w:tcPr>
            <w:tcW w:w="4410" w:type="dxa"/>
          </w:tcPr>
          <w:p w14:paraId="6CF72C3A" w14:textId="77777777" w:rsidR="000D07EA" w:rsidRDefault="00BE7C89">
            <w:pPr>
              <w:pStyle w:val="BodyText"/>
              <w:spacing w:before="100" w:after="100"/>
              <w:rPr>
                <w:szCs w:val="20"/>
                <w:lang w:val="en-AU"/>
              </w:rPr>
            </w:pPr>
            <w:r>
              <w:rPr>
                <w:szCs w:val="20"/>
                <w:lang w:val="en-AU"/>
              </w:rPr>
              <w:t>Voice call charges (per 30 seconds)</w:t>
            </w:r>
          </w:p>
        </w:tc>
        <w:tc>
          <w:tcPr>
            <w:tcW w:w="4230" w:type="dxa"/>
          </w:tcPr>
          <w:p w14:paraId="6168A388" w14:textId="77777777" w:rsidR="000D07EA" w:rsidRDefault="00BE7C89">
            <w:pPr>
              <w:pStyle w:val="BodyText"/>
              <w:spacing w:before="100" w:after="100"/>
              <w:rPr>
                <w:szCs w:val="20"/>
                <w:lang w:val="en-AU"/>
              </w:rPr>
            </w:pPr>
            <w:r>
              <w:rPr>
                <w:szCs w:val="20"/>
                <w:lang w:val="en-AU"/>
              </w:rPr>
              <w:t>$0.30</w:t>
            </w:r>
          </w:p>
        </w:tc>
      </w:tr>
      <w:tr w:rsidR="000D07EA" w14:paraId="45DFE114" w14:textId="77777777">
        <w:tc>
          <w:tcPr>
            <w:tcW w:w="4410" w:type="dxa"/>
          </w:tcPr>
          <w:p w14:paraId="3E6C60EB" w14:textId="77777777" w:rsidR="000D07EA" w:rsidRDefault="00BE7C89">
            <w:pPr>
              <w:pStyle w:val="BodyText"/>
              <w:spacing w:before="100" w:after="100"/>
              <w:rPr>
                <w:szCs w:val="20"/>
                <w:lang w:val="en-AU"/>
              </w:rPr>
            </w:pPr>
            <w:r>
              <w:rPr>
                <w:i/>
                <w:szCs w:val="20"/>
                <w:lang w:val="en-AU"/>
              </w:rPr>
              <w:t>Flagfall</w:t>
            </w:r>
            <w:r>
              <w:rPr>
                <w:szCs w:val="20"/>
                <w:lang w:val="en-AU"/>
              </w:rPr>
              <w:t xml:space="preserve"> (Call Connection Charge)</w:t>
            </w:r>
          </w:p>
        </w:tc>
        <w:tc>
          <w:tcPr>
            <w:tcW w:w="4230" w:type="dxa"/>
          </w:tcPr>
          <w:p w14:paraId="5ECEFD7F" w14:textId="77777777" w:rsidR="000D07EA" w:rsidRDefault="00BE7C89">
            <w:pPr>
              <w:pStyle w:val="BodyText"/>
              <w:spacing w:before="100" w:after="100"/>
              <w:rPr>
                <w:szCs w:val="20"/>
                <w:lang w:val="en-AU"/>
              </w:rPr>
            </w:pPr>
            <w:r>
              <w:rPr>
                <w:szCs w:val="20"/>
                <w:lang w:val="en-AU"/>
              </w:rPr>
              <w:t>$0.25</w:t>
            </w:r>
          </w:p>
        </w:tc>
      </w:tr>
      <w:tr w:rsidR="000D07EA" w14:paraId="5B1DEE4C" w14:textId="77777777">
        <w:tc>
          <w:tcPr>
            <w:tcW w:w="4410" w:type="dxa"/>
          </w:tcPr>
          <w:p w14:paraId="38CAA457" w14:textId="77777777" w:rsidR="000D07EA" w:rsidRDefault="00BE7C89">
            <w:pPr>
              <w:pStyle w:val="BodyText"/>
              <w:spacing w:before="100" w:after="100"/>
              <w:rPr>
                <w:szCs w:val="20"/>
                <w:lang w:val="en-AU"/>
              </w:rPr>
            </w:pPr>
            <w:r>
              <w:rPr>
                <w:szCs w:val="20"/>
                <w:lang w:val="en-AU"/>
              </w:rPr>
              <w:t xml:space="preserve">Minimum total cost over the minimum term (plus the total cost of any </w:t>
            </w:r>
            <w:r>
              <w:rPr>
                <w:i/>
                <w:szCs w:val="20"/>
                <w:lang w:val="en-AU"/>
              </w:rPr>
              <w:t xml:space="preserve">equipment charges </w:t>
            </w:r>
            <w:r>
              <w:rPr>
                <w:szCs w:val="20"/>
                <w:lang w:val="en-AU"/>
              </w:rPr>
              <w:t xml:space="preserve">payable to </w:t>
            </w:r>
            <w:r>
              <w:rPr>
                <w:i/>
                <w:szCs w:val="20"/>
                <w:lang w:val="en-AU"/>
              </w:rPr>
              <w:t xml:space="preserve">us, </w:t>
            </w:r>
            <w:r>
              <w:rPr>
                <w:szCs w:val="20"/>
                <w:lang w:val="en-AU"/>
              </w:rPr>
              <w:t>if any)</w:t>
            </w:r>
          </w:p>
        </w:tc>
        <w:tc>
          <w:tcPr>
            <w:tcW w:w="4230" w:type="dxa"/>
          </w:tcPr>
          <w:p w14:paraId="510F82E8" w14:textId="77777777" w:rsidR="000D07EA" w:rsidRDefault="00BE7C89">
            <w:pPr>
              <w:pStyle w:val="BodyText"/>
              <w:spacing w:before="100" w:after="100"/>
              <w:rPr>
                <w:szCs w:val="20"/>
                <w:lang w:val="en-AU"/>
              </w:rPr>
            </w:pPr>
            <w:r>
              <w:rPr>
                <w:szCs w:val="20"/>
                <w:lang w:val="en-AU"/>
              </w:rPr>
              <w:t>$1176</w:t>
            </w:r>
          </w:p>
        </w:tc>
      </w:tr>
    </w:tbl>
    <w:p w14:paraId="264BC8A8" w14:textId="77777777" w:rsidR="000D07EA" w:rsidRDefault="000D07EA">
      <w:pPr>
        <w:pStyle w:val="BodyText"/>
      </w:pPr>
      <w:bookmarkStart w:id="134" w:name="_Toc156806145"/>
      <w:bookmarkStart w:id="135" w:name="_Toc219870384"/>
      <w:bookmarkStart w:id="136" w:name="_Toc397940988"/>
      <w:bookmarkStart w:id="137" w:name="_Toc455147591"/>
    </w:p>
    <w:p w14:paraId="445D8FDA" w14:textId="77777777" w:rsidR="000D07EA" w:rsidRDefault="00BE7C89">
      <w:pPr>
        <w:pStyle w:val="Heading4"/>
      </w:pPr>
      <w:bookmarkStart w:id="138" w:name="_Toc62644613"/>
      <w:r>
        <w:t>'yes' Business Smart Plans (29, 39, 49, 59, 79, 99, 149, 249)</w:t>
      </w:r>
      <w:bookmarkEnd w:id="134"/>
      <w:bookmarkEnd w:id="135"/>
      <w:bookmarkEnd w:id="136"/>
      <w:bookmarkEnd w:id="137"/>
      <w:bookmarkEnd w:id="138"/>
    </w:p>
    <w:p w14:paraId="54646839" w14:textId="77777777" w:rsidR="000D07EA" w:rsidRDefault="00BE7C89">
      <w:pPr>
        <w:pStyle w:val="Heading6"/>
        <w:ind w:left="0" w:firstLine="0"/>
      </w:pPr>
      <w:bookmarkStart w:id="139" w:name="_Toc219870385"/>
      <w:bookmarkStart w:id="140" w:name="_Toc397940989"/>
      <w:r>
        <w:t>Eligibility</w:t>
      </w:r>
      <w:bookmarkEnd w:id="139"/>
      <w:bookmarkEnd w:id="140"/>
    </w:p>
    <w:p w14:paraId="2AFF3E3B" w14:textId="77777777" w:rsidR="000D07EA" w:rsidRDefault="00BE7C89">
      <w:pPr>
        <w:pStyle w:val="Heading7"/>
      </w:pPr>
      <w:r>
        <w:t xml:space="preserve">The 'yes' Business Smart </w:t>
      </w:r>
      <w:r>
        <w:rPr>
          <w:i/>
        </w:rPr>
        <w:t xml:space="preserve">pricing plans </w:t>
      </w:r>
      <w:r>
        <w:t xml:space="preserve">are available under special offers to customers </w:t>
      </w:r>
      <w:r>
        <w:rPr>
          <w:i/>
        </w:rPr>
        <w:t>we</w:t>
      </w:r>
      <w:r>
        <w:t xml:space="preserve"> classify as </w:t>
      </w:r>
      <w:r>
        <w:rPr>
          <w:i/>
        </w:rPr>
        <w:t>small or medium enterprise</w:t>
      </w:r>
      <w:r>
        <w:t xml:space="preserve"> customers. </w:t>
      </w:r>
    </w:p>
    <w:p w14:paraId="1D032A03" w14:textId="77777777" w:rsidR="000D07EA" w:rsidRDefault="00BE7C89">
      <w:pPr>
        <w:pStyle w:val="Heading7"/>
      </w:pPr>
      <w:r>
        <w:t xml:space="preserve">Customers ordering a </w:t>
      </w:r>
      <w:r>
        <w:rPr>
          <w:i/>
        </w:rPr>
        <w:t xml:space="preserve">mobile phone </w:t>
      </w:r>
      <w:r>
        <w:t xml:space="preserve">with an </w:t>
      </w:r>
      <w:r>
        <w:rPr>
          <w:i/>
        </w:rPr>
        <w:t>Optus SIM card</w:t>
      </w:r>
      <w:r>
        <w:t xml:space="preserve"> on the 'yes' Business Smart </w:t>
      </w:r>
      <w:r>
        <w:rPr>
          <w:i/>
        </w:rPr>
        <w:t>pricing plan</w:t>
      </w:r>
      <w:r>
        <w:t xml:space="preserve"> must be connected to that </w:t>
      </w:r>
      <w:r>
        <w:rPr>
          <w:i/>
        </w:rPr>
        <w:t xml:space="preserve">pricing plan </w:t>
      </w:r>
      <w:r>
        <w:t>and activated within 14 days after delivery.</w:t>
      </w:r>
    </w:p>
    <w:p w14:paraId="1D6F80FF" w14:textId="77777777" w:rsidR="000D07EA" w:rsidRDefault="00BE7C89">
      <w:pPr>
        <w:pStyle w:val="Heading6"/>
        <w:ind w:left="0" w:firstLine="0"/>
      </w:pPr>
      <w:bookmarkStart w:id="141" w:name="_Toc219870386"/>
      <w:bookmarkStart w:id="142" w:name="_Toc397940990"/>
      <w:r>
        <w:t xml:space="preserve">Is it a </w:t>
      </w:r>
      <w:r>
        <w:rPr>
          <w:i/>
        </w:rPr>
        <w:t>fixed length agreement</w:t>
      </w:r>
      <w:r>
        <w:t>?</w:t>
      </w:r>
      <w:bookmarkEnd w:id="141"/>
      <w:bookmarkEnd w:id="142"/>
    </w:p>
    <w:p w14:paraId="59B46A30" w14:textId="77777777" w:rsidR="000D07EA" w:rsidRDefault="00BE7C89">
      <w:pPr>
        <w:pStyle w:val="BodyText"/>
        <w:ind w:left="720"/>
      </w:pPr>
      <w:r>
        <w:t xml:space="preserve">To connect to the 'yes' Business Smart </w:t>
      </w:r>
      <w:r>
        <w:rPr>
          <w:i/>
        </w:rPr>
        <w:t>pricing plans you</w:t>
      </w:r>
      <w:r>
        <w:t xml:space="preserve"> must agree to enter into a </w:t>
      </w:r>
      <w:r>
        <w:rPr>
          <w:i/>
        </w:rPr>
        <w:t xml:space="preserve">fixed length agreement </w:t>
      </w:r>
      <w:r>
        <w:t xml:space="preserve">for a </w:t>
      </w:r>
      <w:r>
        <w:rPr>
          <w:i/>
        </w:rPr>
        <w:t>minimum term</w:t>
      </w:r>
      <w:r>
        <w:t xml:space="preserve"> as specified below, up to 5 years, or such other term as </w:t>
      </w:r>
      <w:r>
        <w:rPr>
          <w:i/>
        </w:rPr>
        <w:t>you</w:t>
      </w:r>
      <w:r>
        <w:t xml:space="preserve"> and </w:t>
      </w:r>
      <w:r>
        <w:rPr>
          <w:i/>
        </w:rPr>
        <w:t>we</w:t>
      </w:r>
      <w:r>
        <w:t xml:space="preserve"> agree (</w:t>
      </w:r>
      <w:r>
        <w:rPr>
          <w:i/>
        </w:rPr>
        <w:t>minimum term</w:t>
      </w:r>
      <w:r>
        <w:t>).</w:t>
      </w:r>
    </w:p>
    <w:p w14:paraId="795A8C13" w14:textId="77777777" w:rsidR="000D07EA" w:rsidRDefault="00BE7C89">
      <w:pPr>
        <w:pStyle w:val="Heading6"/>
        <w:ind w:left="0" w:firstLine="0"/>
      </w:pPr>
      <w:bookmarkStart w:id="143" w:name="_Toc219870387"/>
      <w:bookmarkStart w:id="144" w:name="_Toc397940991"/>
      <w:r>
        <w:t xml:space="preserve">What </w:t>
      </w:r>
      <w:r>
        <w:rPr>
          <w:i/>
        </w:rPr>
        <w:t>you</w:t>
      </w:r>
      <w:r>
        <w:t xml:space="preserve"> have to pay </w:t>
      </w:r>
      <w:r>
        <w:rPr>
          <w:i/>
        </w:rPr>
        <w:t>us</w:t>
      </w:r>
      <w:bookmarkEnd w:id="143"/>
      <w:bookmarkEnd w:id="144"/>
    </w:p>
    <w:p w14:paraId="21BCB089" w14:textId="77777777" w:rsidR="000D07EA" w:rsidRDefault="00BE7C89">
      <w:pPr>
        <w:pStyle w:val="Heading7"/>
      </w:pPr>
      <w:r>
        <w:t xml:space="preserve">If </w:t>
      </w:r>
      <w:r>
        <w:rPr>
          <w:i/>
        </w:rPr>
        <w:t xml:space="preserve">you </w:t>
      </w:r>
      <w:r>
        <w:t xml:space="preserve">connect to these </w:t>
      </w:r>
      <w:r>
        <w:rPr>
          <w:i/>
        </w:rPr>
        <w:t>pricing plans</w:t>
      </w:r>
      <w:r>
        <w:t xml:space="preserve"> </w:t>
      </w:r>
      <w:r>
        <w:rPr>
          <w:i/>
        </w:rPr>
        <w:t>you</w:t>
      </w:r>
      <w:r>
        <w:t xml:space="preserve"> are also required to incur usage charges each month (</w:t>
      </w:r>
      <w:r>
        <w:rPr>
          <w:i/>
        </w:rPr>
        <w:t xml:space="preserve">Optus SIM cards </w:t>
      </w:r>
      <w:r>
        <w:t xml:space="preserve">which do not incur usage are not permitted). </w:t>
      </w:r>
    </w:p>
    <w:p w14:paraId="5ECD4685" w14:textId="77777777" w:rsidR="000D07EA" w:rsidRDefault="00BE7C89">
      <w:pPr>
        <w:pStyle w:val="Heading7"/>
      </w:pPr>
      <w:r>
        <w:t xml:space="preserve">If activation or usage does not occur, </w:t>
      </w:r>
      <w:r>
        <w:rPr>
          <w:i/>
        </w:rPr>
        <w:t xml:space="preserve">we </w:t>
      </w:r>
      <w:r>
        <w:t xml:space="preserve">may </w:t>
      </w:r>
      <w:r>
        <w:rPr>
          <w:i/>
        </w:rPr>
        <w:t xml:space="preserve">cancel </w:t>
      </w:r>
      <w:r>
        <w:t xml:space="preserve">the </w:t>
      </w:r>
      <w:r>
        <w:rPr>
          <w:i/>
        </w:rPr>
        <w:t xml:space="preserve">agreement </w:t>
      </w:r>
      <w:r>
        <w:t xml:space="preserve">and </w:t>
      </w:r>
      <w:r>
        <w:rPr>
          <w:i/>
        </w:rPr>
        <w:t xml:space="preserve">you </w:t>
      </w:r>
      <w:r>
        <w:t xml:space="preserve">will be required to pay </w:t>
      </w:r>
      <w:r>
        <w:rPr>
          <w:i/>
        </w:rPr>
        <w:t>us</w:t>
      </w:r>
      <w:r>
        <w:t xml:space="preserve"> the relevant </w:t>
      </w:r>
      <w:r>
        <w:rPr>
          <w:i/>
        </w:rPr>
        <w:t>cancellation</w:t>
      </w:r>
      <w:r>
        <w:t xml:space="preserve"> </w:t>
      </w:r>
      <w:r>
        <w:rPr>
          <w:i/>
        </w:rPr>
        <w:t>fee</w:t>
      </w:r>
      <w:r>
        <w:t xml:space="preserve">, if applicable, specified in the table in </w:t>
      </w:r>
      <w:r w:rsidRPr="00272628">
        <w:t>paragraph 28.5 below.</w:t>
      </w:r>
    </w:p>
    <w:p w14:paraId="0417327D" w14:textId="77777777" w:rsidR="000D07EA" w:rsidRDefault="00BE7C89">
      <w:pPr>
        <w:pStyle w:val="Heading6"/>
        <w:ind w:left="0" w:firstLine="0"/>
      </w:pPr>
      <w:bookmarkStart w:id="145" w:name="_Toc219870388"/>
      <w:bookmarkStart w:id="146" w:name="_Toc397940992"/>
      <w:r>
        <w:t>Pricing</w:t>
      </w:r>
      <w:bookmarkEnd w:id="145"/>
      <w:bookmarkEnd w:id="146"/>
    </w:p>
    <w:p w14:paraId="08F8948B" w14:textId="77777777" w:rsidR="000D07EA" w:rsidRDefault="00BE7C89">
      <w:pPr>
        <w:pStyle w:val="Heading7"/>
      </w:pPr>
      <w:r>
        <w:t xml:space="preserve">The following applies to </w:t>
      </w:r>
      <w:r>
        <w:rPr>
          <w:i/>
        </w:rPr>
        <w:t>you</w:t>
      </w:r>
      <w:r>
        <w:t xml:space="preserve"> if </w:t>
      </w:r>
      <w:r>
        <w:rPr>
          <w:i/>
        </w:rPr>
        <w:t>you</w:t>
      </w:r>
      <w:r>
        <w:t xml:space="preserve"> connected to a 'yes' Business Smart plan before 28 July 2008:</w:t>
      </w:r>
    </w:p>
    <w:p w14:paraId="436755A3" w14:textId="77777777" w:rsidR="000D07EA" w:rsidRDefault="00BE7C89">
      <w:pPr>
        <w:pStyle w:val="Heading8"/>
      </w:pPr>
      <w:r>
        <w:t xml:space="preserve">The 'yes' Business Smart </w:t>
      </w:r>
      <w:r>
        <w:rPr>
          <w:i/>
        </w:rPr>
        <w:t xml:space="preserve">pricing plans </w:t>
      </w:r>
      <w:r>
        <w:t xml:space="preserve">include a </w:t>
      </w:r>
      <w:r>
        <w:rPr>
          <w:i/>
        </w:rPr>
        <w:t xml:space="preserve">flagfall </w:t>
      </w:r>
      <w:r>
        <w:t xml:space="preserve">per call as specified in the table below, for </w:t>
      </w:r>
      <w:r>
        <w:rPr>
          <w:i/>
        </w:rPr>
        <w:t>local calls</w:t>
      </w:r>
      <w:r>
        <w:t xml:space="preserve"> and </w:t>
      </w:r>
      <w:r>
        <w:rPr>
          <w:i/>
        </w:rPr>
        <w:t>national long distance</w:t>
      </w:r>
      <w:r>
        <w:t xml:space="preserve"> </w:t>
      </w:r>
      <w:r>
        <w:rPr>
          <w:i/>
        </w:rPr>
        <w:t>calls</w:t>
      </w:r>
      <w:r>
        <w:t xml:space="preserve"> and calls to </w:t>
      </w:r>
      <w:r>
        <w:rPr>
          <w:i/>
        </w:rPr>
        <w:t>mobile phones</w:t>
      </w:r>
      <w:r>
        <w:t xml:space="preserve">. So the charge for these calls is the </w:t>
      </w:r>
      <w:r>
        <w:rPr>
          <w:i/>
        </w:rPr>
        <w:t xml:space="preserve">flagfall </w:t>
      </w:r>
      <w:r>
        <w:t xml:space="preserve">plus the relevant rate multiplied by the duration of the call. The </w:t>
      </w:r>
      <w:r>
        <w:rPr>
          <w:i/>
        </w:rPr>
        <w:t xml:space="preserve">flagfall </w:t>
      </w:r>
      <w:r>
        <w:t>is not applicable to calls made under the "SmartFleet" and "BusinessTime" call rates.</w:t>
      </w:r>
    </w:p>
    <w:p w14:paraId="6E4D3071" w14:textId="77777777" w:rsidR="000D07EA" w:rsidRDefault="00BE7C89">
      <w:pPr>
        <w:pStyle w:val="Heading8"/>
      </w:pPr>
      <w:r>
        <w:t xml:space="preserve">'yes' Business Smart </w:t>
      </w:r>
      <w:r>
        <w:rPr>
          <w:i/>
        </w:rPr>
        <w:t xml:space="preserve">pricing plans </w:t>
      </w:r>
      <w:r>
        <w:t>include an option called "Smart Rate"; customers can choose between reduced rate to Mobiles OR reduced rates to Fixed line numbers. This rate is dependent upon your selected 'yes' Business Smart rate plan.</w:t>
      </w:r>
    </w:p>
    <w:p w14:paraId="22486447" w14:textId="77777777" w:rsidR="000D07EA" w:rsidRDefault="00BE7C89">
      <w:pPr>
        <w:pStyle w:val="Heading9"/>
      </w:pPr>
      <w:r>
        <w:lastRenderedPageBreak/>
        <w:t xml:space="preserve">For the 'yes' Business Smart 29, 39 and 49 </w:t>
      </w:r>
      <w:r>
        <w:rPr>
          <w:i/>
          <w:iCs/>
        </w:rPr>
        <w:t>pricing plans</w:t>
      </w:r>
      <w:r>
        <w:t xml:space="preserve"> the "SmartRate" rate of the 'yes' Business Smart </w:t>
      </w:r>
      <w:r>
        <w:rPr>
          <w:i/>
        </w:rPr>
        <w:t xml:space="preserve">pricing plans </w:t>
      </w:r>
      <w:r>
        <w:t xml:space="preserve">to either another </w:t>
      </w:r>
      <w:r>
        <w:rPr>
          <w:i/>
        </w:rPr>
        <w:t xml:space="preserve">mobile phone </w:t>
      </w:r>
      <w:r>
        <w:t xml:space="preserve">on any Australian mobile network (excluding satellite phones) or Fixed Lines in Australia for calls made and received within Australia will be charged $0.10 ($0.11) per 30 seconds or part thereof. </w:t>
      </w:r>
      <w:r>
        <w:rPr>
          <w:i/>
        </w:rPr>
        <w:t>Flagfall</w:t>
      </w:r>
      <w:r>
        <w:t xml:space="preserve"> per call is $0.20 ($0.22) if you are connected to 'yes' Business Smart 29 and 39 </w:t>
      </w:r>
      <w:r>
        <w:rPr>
          <w:i/>
        </w:rPr>
        <w:t>pricing plans and $0.18 ($0.20)</w:t>
      </w:r>
      <w:r>
        <w:t xml:space="preserve"> if you are connected to 'yes' Business Smart 49.</w:t>
      </w:r>
    </w:p>
    <w:p w14:paraId="4E3BA9C5" w14:textId="77777777" w:rsidR="000D07EA" w:rsidRDefault="00BE7C89">
      <w:pPr>
        <w:pStyle w:val="Heading9"/>
        <w:rPr>
          <w:i/>
        </w:rPr>
      </w:pPr>
      <w:r>
        <w:t xml:space="preserve">For the 'yes Business Smart 59, 79, 99, 149 and 249 </w:t>
      </w:r>
      <w:r>
        <w:rPr>
          <w:i/>
          <w:iCs/>
        </w:rPr>
        <w:t>pricing plans</w:t>
      </w:r>
      <w:r>
        <w:t xml:space="preserve"> the "SmartRate" rate of the 'yes' Business Smart </w:t>
      </w:r>
      <w:r>
        <w:rPr>
          <w:i/>
        </w:rPr>
        <w:t xml:space="preserve">pricing plans </w:t>
      </w:r>
      <w:r>
        <w:t xml:space="preserve">to either another </w:t>
      </w:r>
      <w:r>
        <w:rPr>
          <w:i/>
        </w:rPr>
        <w:t xml:space="preserve">mobile phone </w:t>
      </w:r>
      <w:r>
        <w:t xml:space="preserve">on any Australian mobile network (excluding satellite phones) or Fixed Lines in Australia for calls made and received within Australia will be charged $0.09 ($0.10) per 30 seconds or part thereof. </w:t>
      </w:r>
      <w:r>
        <w:rPr>
          <w:i/>
        </w:rPr>
        <w:t>Flagfall</w:t>
      </w:r>
      <w:r>
        <w:t xml:space="preserve"> per call is $0.18 ($0.20) if </w:t>
      </w:r>
      <w:r>
        <w:rPr>
          <w:i/>
        </w:rPr>
        <w:t>you</w:t>
      </w:r>
      <w:r>
        <w:t xml:space="preserve"> are connected to 'yes' Business Smart 59, 79, 99, 149 and 249 </w:t>
      </w:r>
      <w:r>
        <w:rPr>
          <w:i/>
          <w:iCs/>
        </w:rPr>
        <w:t>pricing plans</w:t>
      </w:r>
      <w:r>
        <w:rPr>
          <w:i/>
        </w:rPr>
        <w:t>.</w:t>
      </w:r>
    </w:p>
    <w:p w14:paraId="61ECCA53" w14:textId="77777777" w:rsidR="000D07EA" w:rsidRDefault="00BE7C89">
      <w:pPr>
        <w:pStyle w:val="Heading8"/>
      </w:pPr>
      <w:r>
        <w:t xml:space="preserve">'yes' Business Smart </w:t>
      </w:r>
      <w:r>
        <w:rPr>
          <w:i/>
        </w:rPr>
        <w:t xml:space="preserve">pricing plans </w:t>
      </w:r>
      <w:r>
        <w:t xml:space="preserve">include the "SmartFleet" call rate. It applies to calls to another 'yes' Business Smart (YBS), 'yes' Business Fleet (BF) or inBusiness Edge (inBE) </w:t>
      </w:r>
      <w:r>
        <w:rPr>
          <w:i/>
        </w:rPr>
        <w:t>service</w:t>
      </w:r>
      <w:r>
        <w:t xml:space="preserve"> on the same customer account number. Calls are charged at $0. No </w:t>
      </w:r>
      <w:r>
        <w:rPr>
          <w:i/>
        </w:rPr>
        <w:t>flagfall</w:t>
      </w:r>
      <w:r>
        <w:t xml:space="preserve"> applies. Excludes calls to Optus Pre-Paid, Satellite and service provider customers. Applies to calls made and received in Australia. "SmartFleet" Promotion available until 31/12/06 unless withdrawn earlier. </w:t>
      </w:r>
      <w:r w:rsidR="009355C4">
        <w:t xml:space="preserve">The </w:t>
      </w:r>
      <w:r>
        <w:t xml:space="preserve">Fair Go Policy applies (see </w:t>
      </w:r>
      <w:hyperlink r:id="rId36" w:history="1">
        <w:r w:rsidR="001723A4" w:rsidRPr="001723A4">
          <w:rPr>
            <w:rStyle w:val="Hyperlink"/>
            <w:i/>
          </w:rPr>
          <w:t>Appendix S</w:t>
        </w:r>
      </w:hyperlink>
      <w:r>
        <w:rPr>
          <w:i/>
        </w:rPr>
        <w:t>)</w:t>
      </w:r>
      <w:r>
        <w:t xml:space="preserve">. Note: Standard call exclusions (see section 1 of this </w:t>
      </w:r>
      <w:r>
        <w:rPr>
          <w:i/>
        </w:rPr>
        <w:t>standard pricing table</w:t>
      </w:r>
      <w:r>
        <w:t>) apply to the "SmartRate" and "SmartFleet" call rates.</w:t>
      </w:r>
    </w:p>
    <w:p w14:paraId="541AB13C" w14:textId="77777777" w:rsidR="000D07EA" w:rsidRDefault="00BE7C89">
      <w:pPr>
        <w:pStyle w:val="Heading8"/>
        <w:rPr>
          <w:snapToGrid w:val="0"/>
          <w:lang w:val="en-AU"/>
        </w:rPr>
      </w:pPr>
      <w:r>
        <w:rPr>
          <w:lang w:val="en-AU"/>
        </w:rPr>
        <w:t xml:space="preserve">Upon request, customers may set up a BusinessTime (BT) service. Only three BT services per YBS mobile service. If you combine your YBS service with Optus Business Phone and / or DSL you can nominate 5 numbers. The numbers can be eligible Optus GSM mobile(s) and / or standard fixed line(s), as defined by Optus and cannot be a 13, 1300, 1800 or 1900 number. Calls must be made and received in Australia. </w:t>
      </w:r>
      <w:r>
        <w:rPr>
          <w:snapToGrid w:val="0"/>
          <w:lang w:val="en-AU"/>
        </w:rPr>
        <w:t xml:space="preserve">For the first 5 minutes of a BT call, eligible Optus </w:t>
      </w:r>
      <w:r>
        <w:rPr>
          <w:i/>
          <w:snapToGrid w:val="0"/>
          <w:lang w:val="en-AU"/>
        </w:rPr>
        <w:t>mobile phones</w:t>
      </w:r>
      <w:r>
        <w:rPr>
          <w:snapToGrid w:val="0"/>
          <w:lang w:val="en-AU"/>
        </w:rPr>
        <w:t xml:space="preserve"> on </w:t>
      </w:r>
      <w:r>
        <w:rPr>
          <w:i/>
          <w:snapToGrid w:val="0"/>
          <w:lang w:val="en-AU"/>
        </w:rPr>
        <w:t>your</w:t>
      </w:r>
      <w:r>
        <w:rPr>
          <w:snapToGrid w:val="0"/>
          <w:lang w:val="en-AU"/>
        </w:rPr>
        <w:t xml:space="preserve"> account are charged $0. </w:t>
      </w:r>
      <w:r>
        <w:rPr>
          <w:lang w:val="en-AU"/>
        </w:rPr>
        <w:t xml:space="preserve">After the first 5 minutes the standard call rate that corresponds with your selected YBS rate plan will apply. Please allow up to 48 hours for the activation of your BT service. BT Promotion available until 31/12/06 unless withdrawn earlier. </w:t>
      </w:r>
      <w:r w:rsidR="009355C4">
        <w:rPr>
          <w:lang w:val="en-AU"/>
        </w:rPr>
        <w:t xml:space="preserve">The </w:t>
      </w:r>
      <w:r>
        <w:rPr>
          <w:lang w:val="en-AU"/>
        </w:rPr>
        <w:t>Fair Go Policy applies.</w:t>
      </w:r>
    </w:p>
    <w:p w14:paraId="1F0E37E5" w14:textId="77777777" w:rsidR="000D07EA" w:rsidRDefault="00BE7C89">
      <w:pPr>
        <w:pStyle w:val="Heading8"/>
        <w:rPr>
          <w:snapToGrid w:val="0"/>
          <w:lang w:val="en-AU"/>
        </w:rPr>
      </w:pPr>
      <w:r>
        <w:rPr>
          <w:b/>
          <w:lang w:val="en-AU"/>
        </w:rPr>
        <w:t xml:space="preserve">SmartShare: </w:t>
      </w:r>
      <w:r>
        <w:rPr>
          <w:lang w:val="en-AU"/>
        </w:rPr>
        <w:t>Available to Small Business customers only. Shares the minimum monthly spend between 'yes' Business Smart, BlackBerry Executive Bolt On, Mobile Data and Optus Wireless Connect services on the same customer account number. Excludes all Cap plans. Only plans with Minimum monthly spend are eligible.</w:t>
      </w:r>
    </w:p>
    <w:p w14:paraId="7F8311A5" w14:textId="77777777" w:rsidR="000D07EA" w:rsidRDefault="00BE7C89">
      <w:pPr>
        <w:pStyle w:val="Heading8"/>
        <w:rPr>
          <w:snapToGrid w:val="0"/>
          <w:lang w:val="en-AU"/>
        </w:rPr>
      </w:pPr>
      <w:r>
        <w:rPr>
          <w:b/>
          <w:lang w:val="en-AU"/>
        </w:rPr>
        <w:t>International Calls:</w:t>
      </w:r>
      <w:r>
        <w:rPr>
          <w:lang w:val="en-AU"/>
        </w:rPr>
        <w:t xml:space="preserve"> For the period prior to 6 June 2010, international calls from your YBS mobile will be charged at standard 'yes' International per 30 second rates. Flagfall of 27c applies per call. Excludes video calls. </w:t>
      </w:r>
    </w:p>
    <w:p w14:paraId="6248F5C1" w14:textId="77777777" w:rsidR="000D07EA" w:rsidRDefault="00BE7C89">
      <w:pPr>
        <w:pStyle w:val="BodyText"/>
        <w:ind w:left="720"/>
        <w:rPr>
          <w:i/>
          <w:szCs w:val="20"/>
          <w:lang w:val="en-AU" w:eastAsia="en-AU"/>
        </w:rPr>
      </w:pPr>
      <w:r>
        <w:rPr>
          <w:snapToGrid w:val="0"/>
          <w:szCs w:val="20"/>
          <w:lang w:val="en-AU" w:eastAsia="en-AU"/>
        </w:rPr>
        <w:t xml:space="preserve">From 6 June 2010 (inclusive), international calls will be charged at standard 'yes' Business International per 30 second rates. Flagfall of 35c applies per call. </w:t>
      </w:r>
      <w:r>
        <w:rPr>
          <w:szCs w:val="20"/>
          <w:lang w:val="en-AU" w:eastAsia="en-AU"/>
        </w:rPr>
        <w:t xml:space="preserve">Excludes video calls. For more information on the 'yes' Business International call rates please refer to </w:t>
      </w:r>
      <w:hyperlink r:id="rId37" w:history="1">
        <w:r>
          <w:rPr>
            <w:rStyle w:val="Hyperlink"/>
            <w:i/>
            <w:szCs w:val="20"/>
          </w:rPr>
          <w:t>Appendix J</w:t>
        </w:r>
      </w:hyperlink>
      <w:r>
        <w:rPr>
          <w:i/>
          <w:szCs w:val="20"/>
          <w:lang w:val="en-AU" w:eastAsia="en-AU"/>
        </w:rPr>
        <w:t>.</w:t>
      </w:r>
    </w:p>
    <w:p w14:paraId="2408CF0C" w14:textId="77777777" w:rsidR="000D07EA" w:rsidRDefault="00BE7C89">
      <w:pPr>
        <w:pStyle w:val="Heading8"/>
        <w:rPr>
          <w:snapToGrid w:val="0"/>
          <w:lang w:val="en-AU"/>
        </w:rPr>
      </w:pPr>
      <w:r>
        <w:rPr>
          <w:b/>
          <w:lang w:val="en-AU"/>
        </w:rPr>
        <w:t xml:space="preserve">Bolt Ons: </w:t>
      </w:r>
      <w:r>
        <w:rPr>
          <w:lang w:val="en-AU"/>
        </w:rPr>
        <w:t>Upon request, customers may select Bolt Ons for an additional $5 per pack, per month per service.</w:t>
      </w:r>
      <w:r>
        <w:rPr>
          <w:b/>
          <w:lang w:val="en-AU"/>
        </w:rPr>
        <w:t xml:space="preserve"> </w:t>
      </w:r>
      <w:r>
        <w:rPr>
          <w:lang w:val="en-AU"/>
        </w:rPr>
        <w:t>The spend on these Bolt Ons does not contribute to SmartShare.</w:t>
      </w:r>
      <w:r>
        <w:rPr>
          <w:b/>
          <w:lang w:val="en-AU"/>
        </w:rPr>
        <w:t xml:space="preserve"> Free Bolt On: </w:t>
      </w:r>
      <w:r>
        <w:rPr>
          <w:lang w:val="en-AU"/>
        </w:rPr>
        <w:t>If you select a YBS59 plan or above you will receive one free Bolt On. If you do not select which Bolt On you would like, the default bolt-on will be 'yes' Time.</w:t>
      </w:r>
    </w:p>
    <w:p w14:paraId="00FBC259" w14:textId="77777777" w:rsidR="000D07EA" w:rsidRDefault="00BE7C89">
      <w:pPr>
        <w:pStyle w:val="Heading9"/>
        <w:rPr>
          <w:snapToGrid w:val="0"/>
          <w:lang w:val="en-AU"/>
        </w:rPr>
      </w:pPr>
      <w:r>
        <w:rPr>
          <w:b/>
          <w:lang w:val="en-AU"/>
        </w:rPr>
        <w:t>VoiceMail Bolt On:</w:t>
      </w:r>
      <w:r>
        <w:rPr>
          <w:lang w:val="en-AU"/>
        </w:rPr>
        <w:t xml:space="preserve"> Pay $5 extra per month to receive unlimited VoiceMail.</w:t>
      </w:r>
    </w:p>
    <w:p w14:paraId="555B92A5" w14:textId="77777777" w:rsidR="000D07EA" w:rsidRDefault="00BE7C89">
      <w:pPr>
        <w:pStyle w:val="Heading9"/>
        <w:rPr>
          <w:snapToGrid w:val="0"/>
          <w:lang w:val="en-AU"/>
        </w:rPr>
      </w:pPr>
      <w:r>
        <w:rPr>
          <w:b/>
          <w:lang w:val="en-AU"/>
        </w:rPr>
        <w:t>SurePage Bolt On:</w:t>
      </w:r>
      <w:r>
        <w:rPr>
          <w:lang w:val="en-AU"/>
        </w:rPr>
        <w:t xml:space="preserve"> Pay $5 extra per month to receive 20 SurePage messages. Each additional message costs 50c.</w:t>
      </w:r>
    </w:p>
    <w:p w14:paraId="35159444" w14:textId="77777777" w:rsidR="000D07EA" w:rsidRDefault="00BE7C89">
      <w:pPr>
        <w:pStyle w:val="Heading9"/>
        <w:rPr>
          <w:snapToGrid w:val="0"/>
          <w:lang w:val="en-AU"/>
        </w:rPr>
      </w:pPr>
      <w:r>
        <w:rPr>
          <w:b/>
          <w:lang w:val="en-AU"/>
        </w:rPr>
        <w:t>SMS / MMS Bolt On:</w:t>
      </w:r>
      <w:r>
        <w:rPr>
          <w:lang w:val="en-AU"/>
        </w:rPr>
        <w:t xml:space="preserve"> Pay $5 extra per month to receive 10c SMS and MMS messages and an included $5 worth of SMS and MMS value. SMS and MMS must be sent and received in Australia. </w:t>
      </w:r>
      <w:r>
        <w:rPr>
          <w:rFonts w:cs="DIN-Light"/>
          <w:color w:val="000000"/>
          <w:lang w:val="en-AU"/>
        </w:rPr>
        <w:t>Promotion available until 31/12/06 unless withdrawn earlier.</w:t>
      </w:r>
    </w:p>
    <w:p w14:paraId="17E5CF38" w14:textId="77777777" w:rsidR="000D07EA" w:rsidRDefault="00BE7C89">
      <w:pPr>
        <w:pStyle w:val="Heading9"/>
        <w:rPr>
          <w:snapToGrid w:val="0"/>
          <w:lang w:val="en-AU"/>
        </w:rPr>
      </w:pPr>
      <w:r>
        <w:rPr>
          <w:b/>
          <w:bCs/>
          <w:lang w:val="en-AU"/>
        </w:rPr>
        <w:lastRenderedPageBreak/>
        <w:t>'yes' Time Bolt-on:</w:t>
      </w:r>
      <w:r>
        <w:rPr>
          <w:b/>
          <w:lang w:val="en-AU"/>
        </w:rPr>
        <w:t xml:space="preserve"> </w:t>
      </w:r>
      <w:r>
        <w:rPr>
          <w:lang w:val="en-AU"/>
        </w:rPr>
        <w:t xml:space="preserve">Pay $5 extra per month to receive Free 20 minute calls to Optus Mobiles between 8pm - 12 pm, 7 days. 'yes' Time only applies to calls made and receive within Australia between 8pm and midnight every night, from one Optus Mobile Digital customer to another (on the Optus GSM network), for no charge for the first 20 minutes per call, after which standard rates apply. Excludes video calls. </w:t>
      </w:r>
      <w:r>
        <w:rPr>
          <w:rFonts w:cs="DIN-Light"/>
          <w:color w:val="000000"/>
          <w:lang w:val="en-AU"/>
        </w:rPr>
        <w:t xml:space="preserve">Promotion available until 31/12/06 unless withdrawn earlier. </w:t>
      </w:r>
      <w:r w:rsidR="009355C4">
        <w:rPr>
          <w:rFonts w:cs="DIN-Light"/>
          <w:color w:val="000000"/>
          <w:lang w:val="en-AU"/>
        </w:rPr>
        <w:t xml:space="preserve">The </w:t>
      </w:r>
      <w:r>
        <w:rPr>
          <w:rFonts w:cs="DIN-Light"/>
          <w:color w:val="000000"/>
          <w:lang w:val="en-AU"/>
        </w:rPr>
        <w:t>Fair Go Policy applies.</w:t>
      </w:r>
    </w:p>
    <w:p w14:paraId="664B5B01" w14:textId="77777777" w:rsidR="000D07EA" w:rsidRDefault="00BE7C89">
      <w:pPr>
        <w:pStyle w:val="Heading8"/>
        <w:rPr>
          <w:snapToGrid w:val="0"/>
          <w:lang w:val="en-AU"/>
        </w:rPr>
      </w:pPr>
      <w:r>
        <w:rPr>
          <w:b/>
          <w:lang w:val="en-AU"/>
        </w:rPr>
        <w:t xml:space="preserve">Mobile Data Plans: </w:t>
      </w:r>
      <w:r>
        <w:rPr>
          <w:lang w:val="en-AU"/>
        </w:rPr>
        <w:t xml:space="preserve">Pay as you go each month at 1.5c per KB capped at $5 for up to 5MB. If you go over 5MB charges start again at. 0.3¢/Kb. Upon request customers may select one of the 5MB, 30MB, 50MB or 75MB data plans. They will be required to pay each month the minimum monthly spend for the specific data plan they choose. Not available with Cap plans. Customers are required to use a GPRS capable device. SMS Alerts, Ring Tones, Screen Logos, Picture Messages, Mobile Games, MMS Select Standard and MMS Select Premium content charges are also additional charges. </w:t>
      </w:r>
    </w:p>
    <w:p w14:paraId="73EF1006" w14:textId="77777777" w:rsidR="000D07EA" w:rsidRDefault="00BE7C89">
      <w:pPr>
        <w:pStyle w:val="Heading7"/>
        <w:rPr>
          <w:lang w:val="en-AU"/>
        </w:rPr>
      </w:pPr>
      <w:r>
        <w:rPr>
          <w:lang w:val="en-AU"/>
        </w:rPr>
        <w:t xml:space="preserve">The following applies to </w:t>
      </w:r>
      <w:r>
        <w:rPr>
          <w:i/>
          <w:lang w:val="en-AU"/>
        </w:rPr>
        <w:t>you</w:t>
      </w:r>
      <w:r>
        <w:rPr>
          <w:lang w:val="en-AU"/>
        </w:rPr>
        <w:t xml:space="preserve"> if </w:t>
      </w:r>
      <w:r>
        <w:rPr>
          <w:i/>
          <w:lang w:val="en-AU"/>
        </w:rPr>
        <w:t>you</w:t>
      </w:r>
      <w:r>
        <w:rPr>
          <w:lang w:val="en-AU"/>
        </w:rPr>
        <w:t xml:space="preserve"> connected to a 'yes' Business Smart plan after 28 July 2008:</w:t>
      </w:r>
    </w:p>
    <w:p w14:paraId="3546AE24" w14:textId="77777777" w:rsidR="000D07EA" w:rsidRDefault="00BE7C89">
      <w:pPr>
        <w:pStyle w:val="Heading8"/>
        <w:rPr>
          <w:lang w:val="en-AU"/>
        </w:rPr>
      </w:pPr>
      <w:r>
        <w:rPr>
          <w:lang w:val="en-AU"/>
        </w:rPr>
        <w:t xml:space="preserve">The 'yes' Business Smart </w:t>
      </w:r>
      <w:r>
        <w:rPr>
          <w:i/>
          <w:lang w:val="en-AU"/>
        </w:rPr>
        <w:t xml:space="preserve">pricing plans </w:t>
      </w:r>
      <w:r>
        <w:rPr>
          <w:lang w:val="en-AU"/>
        </w:rPr>
        <w:t xml:space="preserve">include a </w:t>
      </w:r>
      <w:r>
        <w:rPr>
          <w:i/>
          <w:lang w:val="en-AU"/>
        </w:rPr>
        <w:t xml:space="preserve">flagfall </w:t>
      </w:r>
      <w:r>
        <w:rPr>
          <w:lang w:val="en-AU"/>
        </w:rPr>
        <w:t xml:space="preserve">per call as specified in the table below, for </w:t>
      </w:r>
      <w:r>
        <w:rPr>
          <w:i/>
          <w:lang w:val="en-AU"/>
        </w:rPr>
        <w:t>local calls</w:t>
      </w:r>
      <w:r>
        <w:rPr>
          <w:lang w:val="en-AU"/>
        </w:rPr>
        <w:t xml:space="preserve"> and </w:t>
      </w:r>
      <w:r>
        <w:rPr>
          <w:i/>
          <w:lang w:val="en-AU"/>
        </w:rPr>
        <w:t>national long distance</w:t>
      </w:r>
      <w:r>
        <w:rPr>
          <w:lang w:val="en-AU"/>
        </w:rPr>
        <w:t xml:space="preserve"> </w:t>
      </w:r>
      <w:r>
        <w:rPr>
          <w:i/>
          <w:lang w:val="en-AU"/>
        </w:rPr>
        <w:t>calls</w:t>
      </w:r>
      <w:r>
        <w:rPr>
          <w:lang w:val="en-AU"/>
        </w:rPr>
        <w:t xml:space="preserve"> and calls to </w:t>
      </w:r>
      <w:r>
        <w:rPr>
          <w:i/>
          <w:lang w:val="en-AU"/>
        </w:rPr>
        <w:t>mobile phones</w:t>
      </w:r>
      <w:r>
        <w:rPr>
          <w:lang w:val="en-AU"/>
        </w:rPr>
        <w:t xml:space="preserve">. So the charge for these calls is the </w:t>
      </w:r>
      <w:r>
        <w:rPr>
          <w:i/>
          <w:lang w:val="en-AU"/>
        </w:rPr>
        <w:t xml:space="preserve">flagfall </w:t>
      </w:r>
      <w:r>
        <w:rPr>
          <w:lang w:val="en-AU"/>
        </w:rPr>
        <w:t xml:space="preserve">plus the relevant rate multiplied by the duration of the call. The </w:t>
      </w:r>
      <w:r>
        <w:rPr>
          <w:i/>
          <w:lang w:val="en-AU"/>
        </w:rPr>
        <w:t xml:space="preserve">flagfall </w:t>
      </w:r>
      <w:r>
        <w:rPr>
          <w:lang w:val="en-AU"/>
        </w:rPr>
        <w:t>is not applicable to calls made under the "SmartFleet" and "Back2Business" call rates.</w:t>
      </w:r>
    </w:p>
    <w:p w14:paraId="73936D92" w14:textId="77777777" w:rsidR="000D07EA" w:rsidRDefault="00BE7C89">
      <w:pPr>
        <w:pStyle w:val="Heading8"/>
        <w:rPr>
          <w:szCs w:val="20"/>
          <w:lang w:val="en-AU"/>
        </w:rPr>
      </w:pPr>
      <w:r>
        <w:rPr>
          <w:lang w:val="en-AU" w:eastAsia="en-AU"/>
        </w:rPr>
        <w:t xml:space="preserve">'yes' Business Smart </w:t>
      </w:r>
      <w:r>
        <w:rPr>
          <w:i/>
          <w:lang w:val="en-AU" w:eastAsia="en-AU"/>
        </w:rPr>
        <w:t xml:space="preserve">pricing plans </w:t>
      </w:r>
      <w:r>
        <w:rPr>
          <w:lang w:val="en-AU" w:eastAsia="en-AU"/>
        </w:rPr>
        <w:t xml:space="preserve">include an option called "Smart Rate"; customers can choose between reduced rate to Mobiles OR </w:t>
      </w:r>
      <w:r>
        <w:rPr>
          <w:szCs w:val="20"/>
          <w:lang w:val="en-AU"/>
        </w:rPr>
        <w:t xml:space="preserve">reduced rates to Fixed Line numbers. This rate is dependent upon </w:t>
      </w:r>
      <w:r>
        <w:rPr>
          <w:i/>
          <w:szCs w:val="20"/>
          <w:lang w:val="en-AU"/>
        </w:rPr>
        <w:t>your</w:t>
      </w:r>
      <w:r>
        <w:rPr>
          <w:szCs w:val="20"/>
          <w:lang w:val="en-AU"/>
        </w:rPr>
        <w:t xml:space="preserve"> selected 'yes' Business Smart rate plan.</w:t>
      </w:r>
    </w:p>
    <w:p w14:paraId="79DF79B7" w14:textId="77777777" w:rsidR="000D07EA" w:rsidRDefault="00BE7C89">
      <w:pPr>
        <w:pStyle w:val="Heading9"/>
        <w:rPr>
          <w:lang w:val="en-AU"/>
        </w:rPr>
      </w:pPr>
      <w:r>
        <w:rPr>
          <w:lang w:val="en-AU"/>
        </w:rPr>
        <w:t xml:space="preserve">For the 'yes' Business Smart 29, 39 and 49 </w:t>
      </w:r>
      <w:r>
        <w:rPr>
          <w:i/>
          <w:iCs/>
          <w:lang w:val="en-AU"/>
        </w:rPr>
        <w:t>pricing plans</w:t>
      </w:r>
      <w:r>
        <w:rPr>
          <w:lang w:val="en-AU"/>
        </w:rPr>
        <w:t xml:space="preserve"> the "SmartRate" rate of the 'yes' Business Smart </w:t>
      </w:r>
      <w:r>
        <w:rPr>
          <w:i/>
          <w:lang w:val="en-AU"/>
        </w:rPr>
        <w:t xml:space="preserve">pricing plans </w:t>
      </w:r>
      <w:r>
        <w:rPr>
          <w:lang w:val="en-AU"/>
        </w:rPr>
        <w:t xml:space="preserve">to either another </w:t>
      </w:r>
      <w:r>
        <w:rPr>
          <w:i/>
          <w:lang w:val="en-AU"/>
        </w:rPr>
        <w:t xml:space="preserve">mobile phone </w:t>
      </w:r>
      <w:r>
        <w:rPr>
          <w:lang w:val="en-AU"/>
        </w:rPr>
        <w:t xml:space="preserve">on any Australian mobile network (excluding satellite phones) or Fixed Lines in Australia for calls made and received within Australia will be charged $0.10 ($0.11) per 30 seconds or part thereof. </w:t>
      </w:r>
      <w:r>
        <w:rPr>
          <w:i/>
          <w:lang w:val="en-AU"/>
        </w:rPr>
        <w:t>Flagfall</w:t>
      </w:r>
      <w:r>
        <w:rPr>
          <w:lang w:val="en-AU"/>
        </w:rPr>
        <w:t xml:space="preserve"> per call is $0.20 ($0.22) if </w:t>
      </w:r>
      <w:r>
        <w:rPr>
          <w:i/>
          <w:lang w:val="en-AU"/>
        </w:rPr>
        <w:t>you</w:t>
      </w:r>
      <w:r>
        <w:rPr>
          <w:lang w:val="en-AU"/>
        </w:rPr>
        <w:t xml:space="preserve"> are connected to 'yes' Business Smart 29 and 39 </w:t>
      </w:r>
      <w:r>
        <w:rPr>
          <w:i/>
          <w:lang w:val="en-AU"/>
        </w:rPr>
        <w:t xml:space="preserve">pricing plans </w:t>
      </w:r>
      <w:r>
        <w:rPr>
          <w:lang w:val="en-AU"/>
        </w:rPr>
        <w:t xml:space="preserve">and $0.18 ($0.20) if </w:t>
      </w:r>
      <w:r>
        <w:rPr>
          <w:i/>
          <w:lang w:val="en-AU"/>
        </w:rPr>
        <w:t>you</w:t>
      </w:r>
      <w:r>
        <w:rPr>
          <w:lang w:val="en-AU"/>
        </w:rPr>
        <w:t xml:space="preserve"> are connected to 'yes' Business Smart 49.</w:t>
      </w:r>
    </w:p>
    <w:p w14:paraId="0D4D4F1B" w14:textId="77777777" w:rsidR="000D07EA" w:rsidRDefault="00BE7C89">
      <w:pPr>
        <w:pStyle w:val="Heading9"/>
        <w:rPr>
          <w:lang w:val="en-AU"/>
        </w:rPr>
      </w:pPr>
      <w:r>
        <w:rPr>
          <w:lang w:val="en-AU"/>
        </w:rPr>
        <w:t xml:space="preserve">For the 'yes' Business Smart 59, 79, 99, 149 and 249 </w:t>
      </w:r>
      <w:r>
        <w:rPr>
          <w:i/>
          <w:iCs/>
          <w:lang w:val="en-AU"/>
        </w:rPr>
        <w:t>pricing plans</w:t>
      </w:r>
      <w:r>
        <w:rPr>
          <w:lang w:val="en-AU"/>
        </w:rPr>
        <w:t xml:space="preserve"> the "SmartRate" rate of the 'yes' Business Smart </w:t>
      </w:r>
      <w:r>
        <w:rPr>
          <w:i/>
          <w:lang w:val="en-AU"/>
        </w:rPr>
        <w:t xml:space="preserve">pricing plans </w:t>
      </w:r>
      <w:r>
        <w:rPr>
          <w:lang w:val="en-AU"/>
        </w:rPr>
        <w:t xml:space="preserve">to either another </w:t>
      </w:r>
      <w:r>
        <w:rPr>
          <w:i/>
          <w:lang w:val="en-AU"/>
        </w:rPr>
        <w:t xml:space="preserve">mobile phone </w:t>
      </w:r>
      <w:r>
        <w:rPr>
          <w:lang w:val="en-AU"/>
        </w:rPr>
        <w:t xml:space="preserve">on any Australian mobile network (excluding satellite phones) or Fixed Lines in Australia for calls made and received within Australia will be charged $0.09 ($0.10) per 30 seconds or part thereof. </w:t>
      </w:r>
      <w:r>
        <w:rPr>
          <w:i/>
          <w:lang w:val="en-AU"/>
        </w:rPr>
        <w:t>Flagfall</w:t>
      </w:r>
      <w:r>
        <w:rPr>
          <w:lang w:val="en-AU"/>
        </w:rPr>
        <w:t xml:space="preserve"> per call is $0.18 ($0.20) if </w:t>
      </w:r>
      <w:r>
        <w:rPr>
          <w:i/>
          <w:lang w:val="en-AU"/>
        </w:rPr>
        <w:t>you</w:t>
      </w:r>
      <w:r>
        <w:rPr>
          <w:lang w:val="en-AU"/>
        </w:rPr>
        <w:t xml:space="preserve"> are connected to 'yes' Business Smart 59, 79, 99, 149 and 249 </w:t>
      </w:r>
      <w:r>
        <w:rPr>
          <w:i/>
          <w:iCs/>
          <w:lang w:val="en-AU"/>
        </w:rPr>
        <w:t>pricing plans</w:t>
      </w:r>
      <w:r>
        <w:rPr>
          <w:i/>
          <w:lang w:val="en-AU"/>
        </w:rPr>
        <w:t>.</w:t>
      </w:r>
    </w:p>
    <w:p w14:paraId="69E06864" w14:textId="77777777" w:rsidR="000D07EA" w:rsidRDefault="00BE7C89">
      <w:pPr>
        <w:pStyle w:val="Heading8"/>
        <w:rPr>
          <w:lang w:val="en-AU"/>
        </w:rPr>
      </w:pPr>
      <w:r>
        <w:rPr>
          <w:lang w:val="en-AU"/>
        </w:rPr>
        <w:t xml:space="preserve">'yes' Business Smart </w:t>
      </w:r>
      <w:r>
        <w:rPr>
          <w:i/>
          <w:lang w:val="en-AU"/>
        </w:rPr>
        <w:t xml:space="preserve">pricing plans </w:t>
      </w:r>
      <w:r>
        <w:rPr>
          <w:lang w:val="en-AU"/>
        </w:rPr>
        <w:t xml:space="preserve">include the "SmartFleet" call rate. It applies to calls to another 'yes' Business Smart (YBS), 'yes' Business Fleet (BF) or inBusiness Edge (inBE) </w:t>
      </w:r>
      <w:r>
        <w:rPr>
          <w:i/>
          <w:lang w:val="en-AU"/>
        </w:rPr>
        <w:t>service</w:t>
      </w:r>
      <w:r>
        <w:rPr>
          <w:lang w:val="en-AU"/>
        </w:rPr>
        <w:t xml:space="preserve"> on the same customer account number. Calls are charged at $0. No </w:t>
      </w:r>
      <w:r>
        <w:rPr>
          <w:i/>
          <w:lang w:val="en-AU"/>
        </w:rPr>
        <w:t>flagfall</w:t>
      </w:r>
      <w:r>
        <w:rPr>
          <w:lang w:val="en-AU"/>
        </w:rPr>
        <w:t xml:space="preserve"> applies. Excludes calls to Optus Pre-Paid, Satellite and service provider customers. Applies to calls made and received in Australia. "SmartFleet" Promotion available until 31/12/2008 unless withdrawn earlier. </w:t>
      </w:r>
      <w:r w:rsidR="009355C4">
        <w:rPr>
          <w:lang w:val="en-AU"/>
        </w:rPr>
        <w:t xml:space="preserve">The </w:t>
      </w:r>
      <w:r>
        <w:rPr>
          <w:lang w:val="en-AU"/>
        </w:rPr>
        <w:t xml:space="preserve">Fair Go Policy applies (see </w:t>
      </w:r>
      <w:hyperlink r:id="rId38" w:history="1">
        <w:r w:rsidR="001723A4" w:rsidRPr="001723A4">
          <w:rPr>
            <w:rStyle w:val="Hyperlink"/>
            <w:lang w:val="en-AU"/>
          </w:rPr>
          <w:t>Appendix S</w:t>
        </w:r>
      </w:hyperlink>
      <w:r w:rsidR="001723A4">
        <w:rPr>
          <w:lang w:val="en-AU"/>
        </w:rPr>
        <w:t xml:space="preserve"> </w:t>
      </w:r>
      <w:r>
        <w:rPr>
          <w:lang w:val="en-AU"/>
        </w:rPr>
        <w:t xml:space="preserve">Note: Standard call exclusions (see section 1 of this </w:t>
      </w:r>
      <w:r>
        <w:rPr>
          <w:i/>
          <w:lang w:val="en-AU"/>
        </w:rPr>
        <w:t>standard pricing table</w:t>
      </w:r>
      <w:r>
        <w:rPr>
          <w:lang w:val="en-AU"/>
        </w:rPr>
        <w:t>) apply to the "SmartRate" and "SmartFleet" call rates.</w:t>
      </w:r>
    </w:p>
    <w:p w14:paraId="6111BD43" w14:textId="77777777" w:rsidR="000D07EA" w:rsidRDefault="00BE7C89">
      <w:pPr>
        <w:pStyle w:val="Heading8"/>
        <w:rPr>
          <w:snapToGrid w:val="0"/>
          <w:lang w:val="en-AU"/>
        </w:rPr>
      </w:pPr>
      <w:r>
        <w:rPr>
          <w:color w:val="000000"/>
          <w:lang w:val="en-AU"/>
        </w:rPr>
        <w:t xml:space="preserve">Upon request, customers may set up a Back2Business (B2B) service: pay 30c for 10 minute calls to 3 numbers, 24 x 7. </w:t>
      </w:r>
      <w:r>
        <w:rPr>
          <w:lang w:val="en-AU"/>
        </w:rPr>
        <w:t xml:space="preserve">Only 3 B2B services per YBS service. If </w:t>
      </w:r>
      <w:r>
        <w:rPr>
          <w:i/>
          <w:lang w:val="en-AU"/>
        </w:rPr>
        <w:t>you</w:t>
      </w:r>
      <w:r>
        <w:rPr>
          <w:lang w:val="en-AU"/>
        </w:rPr>
        <w:t xml:space="preserve"> combine your YBS service with Optus Fixed Line and / or Data </w:t>
      </w:r>
      <w:r>
        <w:rPr>
          <w:i/>
          <w:lang w:val="en-AU"/>
        </w:rPr>
        <w:t>you</w:t>
      </w:r>
      <w:r>
        <w:rPr>
          <w:lang w:val="en-AU"/>
        </w:rPr>
        <w:t xml:space="preserve"> will receive free 10 minute calls. The 3 nominated numbers must be either eligible Optus GSM mobile(s) and / or fixed line(s), as defined by Optus and cannot be a 13, 1300, 1800 or 1900 number.</w:t>
      </w:r>
      <w:r>
        <w:rPr>
          <w:b/>
          <w:lang w:val="en-AU"/>
        </w:rPr>
        <w:t xml:space="preserve"> </w:t>
      </w:r>
      <w:r>
        <w:rPr>
          <w:lang w:val="en-AU"/>
        </w:rPr>
        <w:t xml:space="preserve">Calls must be made and received within Australia and excludes video calls. After the first 10 minutes standard call rates apply. </w:t>
      </w:r>
      <w:r>
        <w:rPr>
          <w:i/>
          <w:lang w:val="en-AU"/>
        </w:rPr>
        <w:t>You</w:t>
      </w:r>
      <w:r>
        <w:rPr>
          <w:lang w:val="en-AU"/>
        </w:rPr>
        <w:t xml:space="preserve"> may change </w:t>
      </w:r>
      <w:r>
        <w:rPr>
          <w:i/>
          <w:lang w:val="en-AU"/>
        </w:rPr>
        <w:t>your</w:t>
      </w:r>
      <w:r>
        <w:rPr>
          <w:lang w:val="en-AU"/>
        </w:rPr>
        <w:t xml:space="preserve"> nominated numbers no more than once per month. Allow up to 48 hours for activation or changes to your B2B service. "Back2Business" Promotion available until 31/12/2008 unless withdrawn earlier.</w:t>
      </w:r>
      <w:r>
        <w:rPr>
          <w:rFonts w:cs="DIN-Light"/>
          <w:color w:val="000000"/>
          <w:lang w:val="en-AU"/>
        </w:rPr>
        <w:t xml:space="preserve"> </w:t>
      </w:r>
      <w:r w:rsidR="009355C4">
        <w:rPr>
          <w:rFonts w:cs="DIN-Light"/>
          <w:color w:val="000000"/>
          <w:lang w:val="en-AU"/>
        </w:rPr>
        <w:t xml:space="preserve">The </w:t>
      </w:r>
      <w:r>
        <w:rPr>
          <w:rFonts w:cs="DIN-Light"/>
          <w:color w:val="000000"/>
          <w:lang w:val="en-AU"/>
        </w:rPr>
        <w:t xml:space="preserve">Fair Go Policy applies. </w:t>
      </w:r>
    </w:p>
    <w:p w14:paraId="009693A0" w14:textId="77777777" w:rsidR="000D07EA" w:rsidRDefault="00BE7C89">
      <w:pPr>
        <w:pStyle w:val="Heading8"/>
        <w:rPr>
          <w:snapToGrid w:val="0"/>
          <w:szCs w:val="20"/>
          <w:lang w:val="en-AU"/>
        </w:rPr>
      </w:pPr>
      <w:r>
        <w:rPr>
          <w:b/>
          <w:lang w:val="en-AU" w:eastAsia="en-AU"/>
        </w:rPr>
        <w:lastRenderedPageBreak/>
        <w:t xml:space="preserve">FleetShare: </w:t>
      </w:r>
      <w:r>
        <w:rPr>
          <w:lang w:val="en-AU" w:eastAsia="en-AU"/>
        </w:rPr>
        <w:t xml:space="preserve">Available to Small Business customers only. Shares the minimum monthly spend among 'yes' Business Smart services on the same customer account number. Excludes all Cap plans, GPRS </w:t>
      </w:r>
      <w:r>
        <w:rPr>
          <w:szCs w:val="20"/>
          <w:lang w:val="en-AU"/>
        </w:rPr>
        <w:t xml:space="preserve">Data, Optus Wireless Broadband and Blackberry. Only plans with Minimum monthly spend are eligible. </w:t>
      </w:r>
    </w:p>
    <w:p w14:paraId="2BAA2443" w14:textId="77777777" w:rsidR="000D07EA" w:rsidRDefault="00BE7C89">
      <w:pPr>
        <w:pStyle w:val="Heading8"/>
        <w:rPr>
          <w:snapToGrid w:val="0"/>
          <w:szCs w:val="20"/>
          <w:lang w:val="en-AU"/>
        </w:rPr>
      </w:pPr>
      <w:r>
        <w:rPr>
          <w:b/>
          <w:szCs w:val="20"/>
          <w:lang w:val="en-AU"/>
        </w:rPr>
        <w:t>International Calls:</w:t>
      </w:r>
      <w:r>
        <w:rPr>
          <w:szCs w:val="20"/>
          <w:lang w:val="en-AU"/>
        </w:rPr>
        <w:t xml:space="preserve"> For the period prior to 6 June 2010, international calls from </w:t>
      </w:r>
      <w:r>
        <w:rPr>
          <w:i/>
          <w:szCs w:val="20"/>
          <w:lang w:val="en-AU"/>
        </w:rPr>
        <w:t>your</w:t>
      </w:r>
      <w:r>
        <w:rPr>
          <w:szCs w:val="20"/>
          <w:lang w:val="en-AU"/>
        </w:rPr>
        <w:t xml:space="preserve"> YBS mobile will be charged at standard 'yes' International per 30 second rates. Flagfall of 27c applies per call. Excludes video calls. For more information on the 'yes' International call rates please refer to </w:t>
      </w:r>
      <w:hyperlink r:id="rId39" w:history="1">
        <w:r>
          <w:rPr>
            <w:rStyle w:val="Hyperlink"/>
            <w:i/>
            <w:szCs w:val="20"/>
          </w:rPr>
          <w:t>Appendix J</w:t>
        </w:r>
      </w:hyperlink>
      <w:r>
        <w:rPr>
          <w:i/>
          <w:szCs w:val="20"/>
          <w:lang w:val="en-AU"/>
        </w:rPr>
        <w:t>.</w:t>
      </w:r>
    </w:p>
    <w:p w14:paraId="393DEE97" w14:textId="77777777" w:rsidR="000D07EA" w:rsidRDefault="00BE7C89">
      <w:pPr>
        <w:pStyle w:val="Heading8"/>
        <w:rPr>
          <w:snapToGrid w:val="0"/>
          <w:szCs w:val="20"/>
          <w:lang w:val="en-AU"/>
        </w:rPr>
      </w:pPr>
      <w:r>
        <w:rPr>
          <w:snapToGrid w:val="0"/>
          <w:szCs w:val="20"/>
          <w:lang w:val="en-AU"/>
        </w:rPr>
        <w:t xml:space="preserve">From 6 June 2010 (inclusive), international </w:t>
      </w:r>
      <w:r>
        <w:rPr>
          <w:szCs w:val="20"/>
          <w:lang w:val="en-AU"/>
        </w:rPr>
        <w:t xml:space="preserve">calls from </w:t>
      </w:r>
      <w:r>
        <w:rPr>
          <w:i/>
          <w:szCs w:val="20"/>
          <w:lang w:val="en-AU"/>
        </w:rPr>
        <w:t>your</w:t>
      </w:r>
      <w:r>
        <w:rPr>
          <w:szCs w:val="20"/>
          <w:lang w:val="en-AU"/>
        </w:rPr>
        <w:t xml:space="preserve"> YBS mobile will be charged at standard</w:t>
      </w:r>
      <w:r>
        <w:rPr>
          <w:snapToGrid w:val="0"/>
          <w:szCs w:val="20"/>
          <w:lang w:val="en-AU"/>
        </w:rPr>
        <w:t xml:space="preserve"> 'yes' Business International per 30 second rates. Flagfall of 35c applies per call. </w:t>
      </w:r>
      <w:r>
        <w:rPr>
          <w:szCs w:val="20"/>
          <w:lang w:val="en-AU"/>
        </w:rPr>
        <w:t xml:space="preserve">Excludes video calls. For more information on the 'yes' Business International call rates please refer to </w:t>
      </w:r>
      <w:hyperlink r:id="rId40" w:history="1">
        <w:r>
          <w:rPr>
            <w:rStyle w:val="Hyperlink"/>
            <w:i/>
            <w:szCs w:val="20"/>
          </w:rPr>
          <w:t>Appendix J</w:t>
        </w:r>
      </w:hyperlink>
      <w:r>
        <w:rPr>
          <w:i/>
          <w:szCs w:val="20"/>
          <w:lang w:val="en-AU"/>
        </w:rPr>
        <w:t>.</w:t>
      </w:r>
    </w:p>
    <w:p w14:paraId="17F6EA71" w14:textId="77777777" w:rsidR="000D07EA" w:rsidRDefault="00BE7C89">
      <w:pPr>
        <w:pStyle w:val="Heading8"/>
        <w:rPr>
          <w:snapToGrid w:val="0"/>
          <w:lang w:val="en-AU"/>
        </w:rPr>
      </w:pPr>
      <w:r>
        <w:rPr>
          <w:b/>
          <w:lang w:val="en-AU"/>
        </w:rPr>
        <w:t xml:space="preserve">Bolt Ons: </w:t>
      </w:r>
      <w:r>
        <w:rPr>
          <w:lang w:val="en-AU"/>
        </w:rPr>
        <w:t>Upon request, customers may select Bolt Ons for an additional $5 per pack, per month per service.</w:t>
      </w:r>
      <w:r>
        <w:rPr>
          <w:b/>
          <w:lang w:val="en-AU"/>
        </w:rPr>
        <w:t xml:space="preserve"> </w:t>
      </w:r>
      <w:r>
        <w:rPr>
          <w:lang w:val="en-AU"/>
        </w:rPr>
        <w:t>The spend on these Bolt Ons does not contribute to FleetShare.</w:t>
      </w:r>
      <w:r>
        <w:rPr>
          <w:b/>
          <w:lang w:val="en-AU"/>
        </w:rPr>
        <w:t xml:space="preserve"> Free Bolt On: </w:t>
      </w:r>
      <w:r>
        <w:rPr>
          <w:lang w:val="en-AU"/>
        </w:rPr>
        <w:t xml:space="preserve">If </w:t>
      </w:r>
      <w:r>
        <w:rPr>
          <w:i/>
          <w:lang w:val="en-AU"/>
        </w:rPr>
        <w:t>you</w:t>
      </w:r>
      <w:r>
        <w:rPr>
          <w:lang w:val="en-AU"/>
        </w:rPr>
        <w:t xml:space="preserve"> select a YBS79 plan or above </w:t>
      </w:r>
      <w:r>
        <w:rPr>
          <w:i/>
          <w:lang w:val="en-AU"/>
        </w:rPr>
        <w:t>you</w:t>
      </w:r>
      <w:r>
        <w:rPr>
          <w:lang w:val="en-AU"/>
        </w:rPr>
        <w:t xml:space="preserve"> will receive one free Bolt On. If </w:t>
      </w:r>
      <w:r>
        <w:rPr>
          <w:i/>
          <w:lang w:val="en-AU"/>
        </w:rPr>
        <w:t>you</w:t>
      </w:r>
      <w:r>
        <w:rPr>
          <w:lang w:val="en-AU"/>
        </w:rPr>
        <w:t xml:space="preserve"> do not select which Bolt On </w:t>
      </w:r>
      <w:r>
        <w:rPr>
          <w:i/>
          <w:lang w:val="en-AU"/>
        </w:rPr>
        <w:t>you</w:t>
      </w:r>
      <w:r>
        <w:rPr>
          <w:lang w:val="en-AU"/>
        </w:rPr>
        <w:t xml:space="preserve"> would like, the default bolt-on will be Smart VoiceMail. </w:t>
      </w:r>
    </w:p>
    <w:p w14:paraId="768CA918" w14:textId="77777777" w:rsidR="000D07EA" w:rsidRDefault="00BE7C89">
      <w:pPr>
        <w:pStyle w:val="Heading9"/>
        <w:rPr>
          <w:snapToGrid w:val="0"/>
          <w:lang w:val="en-AU"/>
        </w:rPr>
      </w:pPr>
      <w:r>
        <w:rPr>
          <w:b/>
          <w:lang w:val="en-AU"/>
        </w:rPr>
        <w:t>Smart VoiceMail Bolt On:</w:t>
      </w:r>
      <w:r>
        <w:rPr>
          <w:lang w:val="en-AU"/>
        </w:rPr>
        <w:t xml:space="preserve"> Pay $5 extra per month to receive unlimited VoiceMail deposits and retrievals. </w:t>
      </w:r>
      <w:r w:rsidR="009355C4">
        <w:rPr>
          <w:rFonts w:cs="DIN-Light"/>
          <w:color w:val="000000"/>
          <w:lang w:val="en-AU"/>
        </w:rPr>
        <w:t xml:space="preserve">The </w:t>
      </w:r>
      <w:r>
        <w:rPr>
          <w:rFonts w:cs="DIN-Light"/>
          <w:color w:val="000000"/>
          <w:lang w:val="en-AU"/>
        </w:rPr>
        <w:t>Fair Go Policy applies.</w:t>
      </w:r>
    </w:p>
    <w:p w14:paraId="0D3FF8D4" w14:textId="77777777" w:rsidR="000D07EA" w:rsidRDefault="00BE7C89">
      <w:pPr>
        <w:pStyle w:val="Heading9"/>
        <w:rPr>
          <w:snapToGrid w:val="0"/>
          <w:szCs w:val="20"/>
          <w:lang w:val="en-AU"/>
        </w:rPr>
      </w:pPr>
      <w:r>
        <w:rPr>
          <w:b/>
          <w:lang w:val="en-AU"/>
        </w:rPr>
        <w:t>Smart OneRate Bolt On:</w:t>
      </w:r>
      <w:r>
        <w:rPr>
          <w:lang w:val="en-AU"/>
        </w:rPr>
        <w:t xml:space="preserve"> Pay $5 extra per month to receive 'yes' International One Rate rates. Flagfall of 27c </w:t>
      </w:r>
      <w:r>
        <w:rPr>
          <w:szCs w:val="20"/>
          <w:lang w:val="en-AU"/>
        </w:rPr>
        <w:t xml:space="preserve">applies per call. Excludes video calls. For more information on the 'yes' International One Rate call rates please refer to </w:t>
      </w:r>
      <w:hyperlink r:id="rId41" w:history="1">
        <w:r>
          <w:rPr>
            <w:rStyle w:val="Hyperlink"/>
            <w:i/>
            <w:szCs w:val="20"/>
          </w:rPr>
          <w:t>Appendix J</w:t>
        </w:r>
      </w:hyperlink>
      <w:r>
        <w:rPr>
          <w:i/>
          <w:szCs w:val="20"/>
          <w:lang w:val="en-AU"/>
        </w:rPr>
        <w:t>.</w:t>
      </w:r>
    </w:p>
    <w:p w14:paraId="6A39A146" w14:textId="77777777" w:rsidR="000D07EA" w:rsidRDefault="00BE7C89">
      <w:pPr>
        <w:pStyle w:val="Heading9"/>
        <w:rPr>
          <w:snapToGrid w:val="0"/>
          <w:lang w:val="en-AU"/>
        </w:rPr>
      </w:pPr>
      <w:r>
        <w:rPr>
          <w:b/>
          <w:lang w:val="en-AU"/>
        </w:rPr>
        <w:t>Business Smart SurePage Bolt On:</w:t>
      </w:r>
      <w:r>
        <w:rPr>
          <w:lang w:val="en-AU"/>
        </w:rPr>
        <w:t xml:space="preserve"> Pay $5 extra per month to receive 20 SurePage messages. Each additional message costs 50c.</w:t>
      </w:r>
    </w:p>
    <w:p w14:paraId="3FECE67A" w14:textId="77777777" w:rsidR="000D07EA" w:rsidRDefault="00BE7C89">
      <w:pPr>
        <w:pStyle w:val="Heading9"/>
        <w:rPr>
          <w:snapToGrid w:val="0"/>
          <w:lang w:val="en-AU"/>
        </w:rPr>
      </w:pPr>
      <w:r>
        <w:rPr>
          <w:b/>
          <w:lang w:val="en-AU"/>
        </w:rPr>
        <w:t>Smart SMS / MMS Bolt On:</w:t>
      </w:r>
      <w:r>
        <w:rPr>
          <w:lang w:val="en-AU"/>
        </w:rPr>
        <w:t xml:space="preserve"> Pay $5 extra per month to receive half priced SMS and MMS messages (normally 25¢) and an included $5 worth of SMS and MMS value. SMS and MMS must be sent and received in Australia.</w:t>
      </w:r>
    </w:p>
    <w:p w14:paraId="7E52AD4F" w14:textId="77777777" w:rsidR="000D07EA" w:rsidRDefault="00BE7C89">
      <w:pPr>
        <w:pStyle w:val="Heading8"/>
        <w:rPr>
          <w:lang w:val="en-AU"/>
        </w:rPr>
      </w:pPr>
      <w:r>
        <w:rPr>
          <w:b/>
          <w:lang w:val="en-AU"/>
        </w:rPr>
        <w:t>Smart Data Plans:</w:t>
      </w:r>
      <w:r>
        <w:rPr>
          <w:lang w:val="en-AU"/>
        </w:rPr>
        <w:t xml:space="preserve"> Upon request customers may select a Smart Data Plan Bolt On of 1GB, 2GB or 6GB. Customers wil</w:t>
      </w:r>
      <w:r>
        <w:rPr>
          <w:szCs w:val="20"/>
          <w:lang w:val="en-AU"/>
        </w:rPr>
        <w:t xml:space="preserve">l be required to pay each month the minimum monthly spend for the specific data plan they choose. Please refer to </w:t>
      </w:r>
      <w:hyperlink r:id="rId42" w:history="1">
        <w:r>
          <w:rPr>
            <w:rStyle w:val="Hyperlink"/>
            <w:i/>
            <w:szCs w:val="20"/>
          </w:rPr>
          <w:t>Appendix Y</w:t>
        </w:r>
      </w:hyperlink>
      <w:r>
        <w:rPr>
          <w:szCs w:val="20"/>
          <w:lang w:val="en-AU"/>
        </w:rPr>
        <w:t xml:space="preserve"> for more information on monthly fees. Not included within Cap plans. Customers are required to use a GPRS capable device. SMS Alerts, Ring Tone</w:t>
      </w:r>
      <w:r>
        <w:rPr>
          <w:lang w:val="en-AU"/>
        </w:rPr>
        <w:t>s, Screen Logos, Picture Messages, Mobile Games, MMS Select Standard and MMS Select Premium content charges are also additional charges.</w:t>
      </w:r>
    </w:p>
    <w:p w14:paraId="44CFAB7B" w14:textId="77777777" w:rsidR="000D07EA" w:rsidRDefault="00BE7C89">
      <w:pPr>
        <w:pStyle w:val="Heading7"/>
        <w:rPr>
          <w:b/>
          <w:lang w:val="en-AU" w:eastAsia="en-AU"/>
        </w:rPr>
      </w:pPr>
      <w:r>
        <w:rPr>
          <w:b/>
          <w:lang w:val="en-AU" w:eastAsia="en-AU"/>
        </w:rPr>
        <w:t xml:space="preserve">Table 1A below indicates whether a particular call type is an 'eligible call' which counts towards the Minimum Monthly Charge of </w:t>
      </w:r>
      <w:r>
        <w:rPr>
          <w:b/>
          <w:i/>
          <w:lang w:val="en-AU" w:eastAsia="en-AU"/>
        </w:rPr>
        <w:t>your</w:t>
      </w:r>
      <w:r>
        <w:rPr>
          <w:b/>
          <w:lang w:val="en-AU" w:eastAsia="en-AU"/>
        </w:rPr>
        <w:t xml:space="preserve"> selected Plan.</w:t>
      </w:r>
    </w:p>
    <w:p w14:paraId="6DF26A38" w14:textId="77777777" w:rsidR="000D07EA" w:rsidRDefault="00BE7C89">
      <w:pPr>
        <w:pStyle w:val="BodyText"/>
        <w:ind w:left="1440"/>
        <w:rPr>
          <w:b/>
          <w:lang w:val="en-AU"/>
        </w:rPr>
      </w:pPr>
      <w:r>
        <w:rPr>
          <w:b/>
          <w:lang w:val="en-AU"/>
        </w:rPr>
        <w:t>Table 1A</w:t>
      </w:r>
    </w:p>
    <w:tbl>
      <w:tblPr>
        <w:tblW w:w="7470" w:type="dxa"/>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0"/>
        <w:gridCol w:w="2970"/>
      </w:tblGrid>
      <w:tr w:rsidR="000D07EA" w14:paraId="6EFCF841" w14:textId="77777777">
        <w:trPr>
          <w:tblHeader/>
        </w:trPr>
        <w:tc>
          <w:tcPr>
            <w:tcW w:w="4500" w:type="dxa"/>
          </w:tcPr>
          <w:p w14:paraId="07E1CCB3" w14:textId="77777777" w:rsidR="000D07EA" w:rsidRDefault="00BE7C89">
            <w:pPr>
              <w:pStyle w:val="BodyText"/>
              <w:spacing w:before="100" w:after="100"/>
              <w:rPr>
                <w:b/>
                <w:lang w:val="en-AU"/>
              </w:rPr>
            </w:pPr>
            <w:r>
              <w:rPr>
                <w:b/>
                <w:lang w:val="en-AU"/>
              </w:rPr>
              <w:t>Call Type</w:t>
            </w:r>
          </w:p>
        </w:tc>
        <w:tc>
          <w:tcPr>
            <w:tcW w:w="2970" w:type="dxa"/>
          </w:tcPr>
          <w:p w14:paraId="7C76A74C" w14:textId="77777777" w:rsidR="000D07EA" w:rsidRDefault="00BE7C89">
            <w:pPr>
              <w:pStyle w:val="BodyText"/>
              <w:spacing w:before="100" w:after="100"/>
              <w:rPr>
                <w:b/>
                <w:lang w:val="en-AU"/>
              </w:rPr>
            </w:pPr>
            <w:r>
              <w:rPr>
                <w:b/>
                <w:lang w:val="en-AU"/>
              </w:rPr>
              <w:t>Eligible Call</w:t>
            </w:r>
          </w:p>
        </w:tc>
      </w:tr>
      <w:tr w:rsidR="000D07EA" w14:paraId="25F66C5C" w14:textId="77777777">
        <w:tc>
          <w:tcPr>
            <w:tcW w:w="4500" w:type="dxa"/>
          </w:tcPr>
          <w:p w14:paraId="79CCDA4F" w14:textId="77777777" w:rsidR="000D07EA" w:rsidRDefault="00BE7C89">
            <w:pPr>
              <w:pStyle w:val="BodyText"/>
              <w:spacing w:before="100" w:after="100"/>
              <w:rPr>
                <w:lang w:val="en-AU"/>
              </w:rPr>
            </w:pPr>
            <w:r>
              <w:rPr>
                <w:lang w:val="en-AU"/>
              </w:rPr>
              <w:t>National Voice Calls</w:t>
            </w:r>
          </w:p>
        </w:tc>
        <w:tc>
          <w:tcPr>
            <w:tcW w:w="2970" w:type="dxa"/>
          </w:tcPr>
          <w:p w14:paraId="42DFFCEA" w14:textId="77777777" w:rsidR="000D07EA" w:rsidRDefault="00BE7C89">
            <w:pPr>
              <w:pStyle w:val="BodyText"/>
              <w:spacing w:before="100" w:after="100"/>
              <w:rPr>
                <w:lang w:val="en-AU"/>
              </w:rPr>
            </w:pPr>
            <w:r>
              <w:rPr>
                <w:lang w:val="en-AU"/>
              </w:rPr>
              <w:t>Yes</w:t>
            </w:r>
          </w:p>
        </w:tc>
      </w:tr>
      <w:tr w:rsidR="000D07EA" w14:paraId="73F63986" w14:textId="77777777">
        <w:tc>
          <w:tcPr>
            <w:tcW w:w="4500" w:type="dxa"/>
          </w:tcPr>
          <w:p w14:paraId="79A7C69B" w14:textId="77777777" w:rsidR="000D07EA" w:rsidRDefault="00BE7C89">
            <w:pPr>
              <w:pStyle w:val="BodyText"/>
              <w:spacing w:before="100" w:after="100"/>
              <w:rPr>
                <w:lang w:val="en-AU"/>
              </w:rPr>
            </w:pPr>
            <w:r>
              <w:rPr>
                <w:lang w:val="en-AU"/>
              </w:rPr>
              <w:t>National Video Calls</w:t>
            </w:r>
          </w:p>
        </w:tc>
        <w:tc>
          <w:tcPr>
            <w:tcW w:w="2970" w:type="dxa"/>
          </w:tcPr>
          <w:p w14:paraId="347B2990" w14:textId="77777777" w:rsidR="000D07EA" w:rsidRDefault="00BE7C89">
            <w:pPr>
              <w:pStyle w:val="BodyText"/>
              <w:spacing w:before="100" w:after="100"/>
              <w:rPr>
                <w:lang w:val="en-AU"/>
              </w:rPr>
            </w:pPr>
            <w:r>
              <w:rPr>
                <w:lang w:val="en-AU"/>
              </w:rPr>
              <w:t>Yes</w:t>
            </w:r>
          </w:p>
        </w:tc>
      </w:tr>
      <w:tr w:rsidR="000D07EA" w14:paraId="2D632A58" w14:textId="77777777">
        <w:tc>
          <w:tcPr>
            <w:tcW w:w="4500" w:type="dxa"/>
          </w:tcPr>
          <w:p w14:paraId="4809BD12" w14:textId="77777777" w:rsidR="000D07EA" w:rsidRDefault="00BE7C89">
            <w:pPr>
              <w:pStyle w:val="BodyText"/>
              <w:spacing w:before="100" w:after="100"/>
              <w:rPr>
                <w:lang w:val="en-AU"/>
              </w:rPr>
            </w:pPr>
            <w:r>
              <w:rPr>
                <w:lang w:val="en-AU"/>
              </w:rPr>
              <w:t xml:space="preserve">International Voice Calls </w:t>
            </w:r>
          </w:p>
          <w:p w14:paraId="38A72AE4" w14:textId="77777777" w:rsidR="000D07EA" w:rsidRDefault="00BE7C89">
            <w:pPr>
              <w:pStyle w:val="BodyText"/>
              <w:spacing w:before="100" w:after="100"/>
              <w:rPr>
                <w:lang w:val="en-AU"/>
              </w:rPr>
            </w:pPr>
            <w:r>
              <w:rPr>
                <w:lang w:val="en-AU"/>
              </w:rPr>
              <w:t>(including calls to national fixed or GSM mobile services that then divert/switch or re-route overseas)</w:t>
            </w:r>
          </w:p>
        </w:tc>
        <w:tc>
          <w:tcPr>
            <w:tcW w:w="2970" w:type="dxa"/>
          </w:tcPr>
          <w:p w14:paraId="00252E05" w14:textId="77777777" w:rsidR="000D07EA" w:rsidRDefault="00BE7C89">
            <w:pPr>
              <w:pStyle w:val="BodyText"/>
              <w:spacing w:before="100" w:after="100"/>
              <w:rPr>
                <w:lang w:val="en-AU"/>
              </w:rPr>
            </w:pPr>
            <w:r>
              <w:rPr>
                <w:lang w:val="en-AU"/>
              </w:rPr>
              <w:t>No</w:t>
            </w:r>
          </w:p>
        </w:tc>
      </w:tr>
      <w:tr w:rsidR="000D07EA" w14:paraId="7C616440" w14:textId="77777777">
        <w:tc>
          <w:tcPr>
            <w:tcW w:w="4500" w:type="dxa"/>
          </w:tcPr>
          <w:p w14:paraId="505C321C" w14:textId="77777777" w:rsidR="000D07EA" w:rsidRDefault="00BE7C89">
            <w:pPr>
              <w:pStyle w:val="BodyText"/>
              <w:spacing w:before="100" w:after="100"/>
              <w:rPr>
                <w:lang w:val="en-AU"/>
              </w:rPr>
            </w:pPr>
            <w:r>
              <w:rPr>
                <w:lang w:val="en-AU"/>
              </w:rPr>
              <w:t>International Video Calls</w:t>
            </w:r>
          </w:p>
          <w:p w14:paraId="7BFB309D" w14:textId="77777777" w:rsidR="000D07EA" w:rsidRDefault="00BE7C89">
            <w:pPr>
              <w:pStyle w:val="BodyText"/>
              <w:spacing w:before="100" w:after="100"/>
              <w:rPr>
                <w:lang w:val="en-AU"/>
              </w:rPr>
            </w:pPr>
            <w:r>
              <w:rPr>
                <w:lang w:val="en-AU"/>
              </w:rPr>
              <w:lastRenderedPageBreak/>
              <w:t>(including calls to national fixed or GSM mobile services that then divert/switch or re-route overseas)</w:t>
            </w:r>
          </w:p>
        </w:tc>
        <w:tc>
          <w:tcPr>
            <w:tcW w:w="2970" w:type="dxa"/>
          </w:tcPr>
          <w:p w14:paraId="6E84EC12" w14:textId="77777777" w:rsidR="000D07EA" w:rsidRDefault="00BE7C89">
            <w:pPr>
              <w:pStyle w:val="BodyText"/>
              <w:spacing w:before="100" w:after="100"/>
              <w:rPr>
                <w:lang w:val="en-AU"/>
              </w:rPr>
            </w:pPr>
            <w:r>
              <w:rPr>
                <w:lang w:val="en-AU"/>
              </w:rPr>
              <w:lastRenderedPageBreak/>
              <w:t>No</w:t>
            </w:r>
          </w:p>
        </w:tc>
      </w:tr>
      <w:tr w:rsidR="000D07EA" w14:paraId="31C042B0" w14:textId="77777777">
        <w:tc>
          <w:tcPr>
            <w:tcW w:w="4500" w:type="dxa"/>
          </w:tcPr>
          <w:p w14:paraId="3F4FD2E0" w14:textId="77777777" w:rsidR="000D07EA" w:rsidRDefault="00BE7C89">
            <w:pPr>
              <w:pStyle w:val="BodyText"/>
              <w:spacing w:before="100" w:after="100"/>
              <w:rPr>
                <w:lang w:val="en-AU"/>
              </w:rPr>
            </w:pPr>
            <w:r>
              <w:rPr>
                <w:lang w:val="en-AU"/>
              </w:rPr>
              <w:t>Premium Video</w:t>
            </w:r>
          </w:p>
        </w:tc>
        <w:tc>
          <w:tcPr>
            <w:tcW w:w="2970" w:type="dxa"/>
          </w:tcPr>
          <w:p w14:paraId="7459BD4E" w14:textId="77777777" w:rsidR="000D07EA" w:rsidRDefault="00BE7C89">
            <w:pPr>
              <w:pStyle w:val="BodyText"/>
              <w:spacing w:before="100" w:after="100"/>
              <w:rPr>
                <w:lang w:val="en-AU"/>
              </w:rPr>
            </w:pPr>
            <w:r>
              <w:rPr>
                <w:lang w:val="en-AU"/>
              </w:rPr>
              <w:t>No</w:t>
            </w:r>
          </w:p>
        </w:tc>
      </w:tr>
      <w:tr w:rsidR="000D07EA" w14:paraId="4842113C" w14:textId="77777777">
        <w:tc>
          <w:tcPr>
            <w:tcW w:w="4500" w:type="dxa"/>
          </w:tcPr>
          <w:p w14:paraId="37CB1C66" w14:textId="77777777" w:rsidR="000D07EA" w:rsidRDefault="00BE7C89">
            <w:pPr>
              <w:pStyle w:val="BodyText"/>
              <w:spacing w:before="100" w:after="100"/>
              <w:rPr>
                <w:lang w:val="en-AU"/>
              </w:rPr>
            </w:pPr>
            <w:r>
              <w:rPr>
                <w:lang w:val="en-AU"/>
              </w:rPr>
              <w:t>Content Video</w:t>
            </w:r>
          </w:p>
        </w:tc>
        <w:tc>
          <w:tcPr>
            <w:tcW w:w="2970" w:type="dxa"/>
          </w:tcPr>
          <w:p w14:paraId="060D5351" w14:textId="77777777" w:rsidR="000D07EA" w:rsidRDefault="00BE7C89">
            <w:pPr>
              <w:pStyle w:val="BodyText"/>
              <w:spacing w:before="100" w:after="100"/>
              <w:rPr>
                <w:lang w:val="en-AU"/>
              </w:rPr>
            </w:pPr>
            <w:r>
              <w:rPr>
                <w:lang w:val="en-AU"/>
              </w:rPr>
              <w:t>No</w:t>
            </w:r>
          </w:p>
        </w:tc>
      </w:tr>
      <w:tr w:rsidR="000D07EA" w14:paraId="3A217D6D" w14:textId="77777777">
        <w:tc>
          <w:tcPr>
            <w:tcW w:w="4500" w:type="dxa"/>
          </w:tcPr>
          <w:p w14:paraId="299BF73A" w14:textId="77777777" w:rsidR="000D07EA" w:rsidRDefault="00BE7C89">
            <w:pPr>
              <w:pStyle w:val="BodyText"/>
              <w:spacing w:before="100" w:after="100"/>
              <w:rPr>
                <w:lang w:val="en-AU"/>
              </w:rPr>
            </w:pPr>
            <w:r>
              <w:rPr>
                <w:lang w:val="en-AU"/>
              </w:rPr>
              <w:t>National Standard SMS</w:t>
            </w:r>
          </w:p>
        </w:tc>
        <w:tc>
          <w:tcPr>
            <w:tcW w:w="2970" w:type="dxa"/>
          </w:tcPr>
          <w:p w14:paraId="5F682A09" w14:textId="77777777" w:rsidR="000D07EA" w:rsidRDefault="00BE7C89">
            <w:pPr>
              <w:pStyle w:val="BodyText"/>
              <w:spacing w:before="100" w:after="100"/>
              <w:rPr>
                <w:lang w:val="en-AU"/>
              </w:rPr>
            </w:pPr>
            <w:r>
              <w:rPr>
                <w:lang w:val="en-AU"/>
              </w:rPr>
              <w:t>Yes</w:t>
            </w:r>
          </w:p>
        </w:tc>
      </w:tr>
      <w:tr w:rsidR="000D07EA" w14:paraId="607D2BA7" w14:textId="77777777">
        <w:tc>
          <w:tcPr>
            <w:tcW w:w="4500" w:type="dxa"/>
          </w:tcPr>
          <w:p w14:paraId="31D5967D" w14:textId="77777777" w:rsidR="000D07EA" w:rsidRDefault="00BE7C89">
            <w:pPr>
              <w:pStyle w:val="BodyText"/>
              <w:spacing w:before="100" w:after="100"/>
              <w:rPr>
                <w:lang w:val="en-AU"/>
              </w:rPr>
            </w:pPr>
            <w:r>
              <w:rPr>
                <w:lang w:val="en-AU"/>
              </w:rPr>
              <w:t>International SMS</w:t>
            </w:r>
          </w:p>
        </w:tc>
        <w:tc>
          <w:tcPr>
            <w:tcW w:w="2970" w:type="dxa"/>
          </w:tcPr>
          <w:p w14:paraId="69FB15B8" w14:textId="77777777" w:rsidR="000D07EA" w:rsidRDefault="00BE7C89">
            <w:pPr>
              <w:pStyle w:val="BodyText"/>
              <w:spacing w:before="100" w:after="100"/>
              <w:rPr>
                <w:lang w:val="en-AU"/>
              </w:rPr>
            </w:pPr>
            <w:r>
              <w:rPr>
                <w:lang w:val="en-AU"/>
              </w:rPr>
              <w:t>No</w:t>
            </w:r>
          </w:p>
        </w:tc>
      </w:tr>
      <w:tr w:rsidR="000D07EA" w14:paraId="0DC98921" w14:textId="77777777">
        <w:tc>
          <w:tcPr>
            <w:tcW w:w="4500" w:type="dxa"/>
          </w:tcPr>
          <w:p w14:paraId="3D009084" w14:textId="77777777" w:rsidR="000D07EA" w:rsidRDefault="00BE7C89">
            <w:pPr>
              <w:pStyle w:val="BodyText"/>
              <w:spacing w:before="100" w:after="100"/>
              <w:rPr>
                <w:lang w:val="en-AU"/>
              </w:rPr>
            </w:pPr>
            <w:r>
              <w:rPr>
                <w:lang w:val="en-AU"/>
              </w:rPr>
              <w:t>Premium SMS</w:t>
            </w:r>
          </w:p>
        </w:tc>
        <w:tc>
          <w:tcPr>
            <w:tcW w:w="2970" w:type="dxa"/>
          </w:tcPr>
          <w:p w14:paraId="59B4F28A" w14:textId="77777777" w:rsidR="000D07EA" w:rsidRDefault="00BE7C89">
            <w:pPr>
              <w:pStyle w:val="BodyText"/>
              <w:spacing w:before="100" w:after="100"/>
              <w:rPr>
                <w:lang w:val="en-AU"/>
              </w:rPr>
            </w:pPr>
            <w:r>
              <w:rPr>
                <w:lang w:val="en-AU"/>
              </w:rPr>
              <w:t>No</w:t>
            </w:r>
          </w:p>
        </w:tc>
      </w:tr>
      <w:tr w:rsidR="000D07EA" w14:paraId="137ECC1F" w14:textId="77777777">
        <w:tc>
          <w:tcPr>
            <w:tcW w:w="4500" w:type="dxa"/>
          </w:tcPr>
          <w:p w14:paraId="079E672C" w14:textId="77777777" w:rsidR="000D07EA" w:rsidRDefault="00BE7C89">
            <w:pPr>
              <w:pStyle w:val="BodyText"/>
              <w:spacing w:before="100" w:after="100"/>
              <w:rPr>
                <w:lang w:val="en-AU"/>
              </w:rPr>
            </w:pPr>
            <w:r>
              <w:rPr>
                <w:lang w:val="en-AU"/>
              </w:rPr>
              <w:t>National MMS</w:t>
            </w:r>
          </w:p>
        </w:tc>
        <w:tc>
          <w:tcPr>
            <w:tcW w:w="2970" w:type="dxa"/>
          </w:tcPr>
          <w:p w14:paraId="62E8AE97" w14:textId="77777777" w:rsidR="000D07EA" w:rsidRDefault="00BE7C89">
            <w:pPr>
              <w:pStyle w:val="BodyText"/>
              <w:spacing w:before="100" w:after="100"/>
              <w:rPr>
                <w:lang w:val="en-AU"/>
              </w:rPr>
            </w:pPr>
            <w:r>
              <w:rPr>
                <w:lang w:val="en-AU"/>
              </w:rPr>
              <w:t>Yes</w:t>
            </w:r>
          </w:p>
        </w:tc>
      </w:tr>
      <w:tr w:rsidR="000D07EA" w14:paraId="6382694A" w14:textId="77777777">
        <w:tc>
          <w:tcPr>
            <w:tcW w:w="4500" w:type="dxa"/>
          </w:tcPr>
          <w:p w14:paraId="02697F02" w14:textId="77777777" w:rsidR="000D07EA" w:rsidRDefault="00BE7C89">
            <w:pPr>
              <w:pStyle w:val="BodyText"/>
              <w:spacing w:before="100" w:after="100"/>
              <w:rPr>
                <w:lang w:val="en-AU"/>
              </w:rPr>
            </w:pPr>
            <w:r>
              <w:rPr>
                <w:lang w:val="en-AU"/>
              </w:rPr>
              <w:t>International MMS</w:t>
            </w:r>
          </w:p>
        </w:tc>
        <w:tc>
          <w:tcPr>
            <w:tcW w:w="2970" w:type="dxa"/>
          </w:tcPr>
          <w:p w14:paraId="243A169E" w14:textId="77777777" w:rsidR="000D07EA" w:rsidRDefault="00BE7C89">
            <w:pPr>
              <w:pStyle w:val="BodyText"/>
              <w:spacing w:before="100" w:after="100"/>
              <w:rPr>
                <w:lang w:val="en-AU"/>
              </w:rPr>
            </w:pPr>
            <w:r>
              <w:rPr>
                <w:lang w:val="en-AU"/>
              </w:rPr>
              <w:t>No</w:t>
            </w:r>
          </w:p>
        </w:tc>
      </w:tr>
      <w:tr w:rsidR="000D07EA" w14:paraId="5D589E97" w14:textId="77777777">
        <w:tc>
          <w:tcPr>
            <w:tcW w:w="4500" w:type="dxa"/>
          </w:tcPr>
          <w:p w14:paraId="1D0E2E13" w14:textId="77777777" w:rsidR="000D07EA" w:rsidRDefault="00BE7C89">
            <w:pPr>
              <w:pStyle w:val="BodyText"/>
              <w:spacing w:before="100" w:after="100"/>
              <w:rPr>
                <w:lang w:val="en-AU"/>
              </w:rPr>
            </w:pPr>
            <w:r>
              <w:rPr>
                <w:lang w:val="en-AU"/>
              </w:rPr>
              <w:t>Premium MMS</w:t>
            </w:r>
          </w:p>
        </w:tc>
        <w:tc>
          <w:tcPr>
            <w:tcW w:w="2970" w:type="dxa"/>
          </w:tcPr>
          <w:p w14:paraId="440A61D9" w14:textId="77777777" w:rsidR="000D07EA" w:rsidRDefault="00BE7C89">
            <w:pPr>
              <w:pStyle w:val="BodyText"/>
              <w:spacing w:before="100" w:after="100"/>
              <w:rPr>
                <w:lang w:val="en-AU"/>
              </w:rPr>
            </w:pPr>
            <w:r>
              <w:rPr>
                <w:lang w:val="en-AU"/>
              </w:rPr>
              <w:t>No</w:t>
            </w:r>
          </w:p>
        </w:tc>
      </w:tr>
      <w:tr w:rsidR="000D07EA" w14:paraId="41EADDDE" w14:textId="77777777">
        <w:tc>
          <w:tcPr>
            <w:tcW w:w="4500" w:type="dxa"/>
          </w:tcPr>
          <w:p w14:paraId="2BC9021D" w14:textId="77777777" w:rsidR="000D07EA" w:rsidRDefault="00BE7C89">
            <w:pPr>
              <w:pStyle w:val="BodyText"/>
              <w:spacing w:before="100" w:after="100"/>
              <w:rPr>
                <w:lang w:val="en-AU"/>
              </w:rPr>
            </w:pPr>
            <w:r>
              <w:rPr>
                <w:lang w:val="en-AU"/>
              </w:rPr>
              <w:t>Voicemail Diversions</w:t>
            </w:r>
          </w:p>
        </w:tc>
        <w:tc>
          <w:tcPr>
            <w:tcW w:w="2970" w:type="dxa"/>
          </w:tcPr>
          <w:p w14:paraId="5962E4A8" w14:textId="77777777" w:rsidR="000D07EA" w:rsidRDefault="00BE7C89">
            <w:pPr>
              <w:pStyle w:val="BodyText"/>
              <w:spacing w:before="100" w:after="100"/>
              <w:rPr>
                <w:lang w:val="en-AU"/>
              </w:rPr>
            </w:pPr>
            <w:r>
              <w:rPr>
                <w:lang w:val="en-AU"/>
              </w:rPr>
              <w:t>Yes</w:t>
            </w:r>
          </w:p>
        </w:tc>
      </w:tr>
      <w:tr w:rsidR="000D07EA" w14:paraId="787B4210" w14:textId="77777777">
        <w:tc>
          <w:tcPr>
            <w:tcW w:w="4500" w:type="dxa"/>
          </w:tcPr>
          <w:p w14:paraId="6A4E6982" w14:textId="77777777" w:rsidR="000D07EA" w:rsidRDefault="00BE7C89">
            <w:pPr>
              <w:pStyle w:val="BodyText"/>
              <w:spacing w:before="100" w:after="100"/>
              <w:rPr>
                <w:lang w:val="en-AU"/>
              </w:rPr>
            </w:pPr>
            <w:r>
              <w:rPr>
                <w:lang w:val="en-AU"/>
              </w:rPr>
              <w:t>Voicemail Deposit and Retrievals</w:t>
            </w:r>
          </w:p>
        </w:tc>
        <w:tc>
          <w:tcPr>
            <w:tcW w:w="2970" w:type="dxa"/>
          </w:tcPr>
          <w:p w14:paraId="5D329497" w14:textId="77777777" w:rsidR="000D07EA" w:rsidRDefault="00BE7C89">
            <w:pPr>
              <w:pStyle w:val="BodyText"/>
              <w:spacing w:before="100" w:after="100"/>
              <w:rPr>
                <w:lang w:val="en-AU"/>
              </w:rPr>
            </w:pPr>
            <w:r>
              <w:rPr>
                <w:lang w:val="en-AU"/>
              </w:rPr>
              <w:t>Yes</w:t>
            </w:r>
          </w:p>
        </w:tc>
      </w:tr>
      <w:tr w:rsidR="000D07EA" w14:paraId="12B37E13" w14:textId="77777777">
        <w:tc>
          <w:tcPr>
            <w:tcW w:w="4500" w:type="dxa"/>
          </w:tcPr>
          <w:p w14:paraId="2BA25E85" w14:textId="77777777" w:rsidR="000D07EA" w:rsidRDefault="00BE7C89">
            <w:pPr>
              <w:pStyle w:val="BodyText"/>
              <w:spacing w:before="100" w:after="100"/>
              <w:rPr>
                <w:lang w:val="en-AU"/>
              </w:rPr>
            </w:pPr>
            <w:r>
              <w:rPr>
                <w:lang w:val="en-AU"/>
              </w:rPr>
              <w:t>International Roaming and Diversions</w:t>
            </w:r>
          </w:p>
        </w:tc>
        <w:tc>
          <w:tcPr>
            <w:tcW w:w="2970" w:type="dxa"/>
          </w:tcPr>
          <w:p w14:paraId="0F10CDCA" w14:textId="77777777" w:rsidR="000D07EA" w:rsidRDefault="00BE7C89">
            <w:pPr>
              <w:pStyle w:val="BodyText"/>
              <w:spacing w:before="100" w:after="100"/>
              <w:rPr>
                <w:lang w:val="en-AU"/>
              </w:rPr>
            </w:pPr>
            <w:r>
              <w:rPr>
                <w:lang w:val="en-AU"/>
              </w:rPr>
              <w:t>No</w:t>
            </w:r>
          </w:p>
        </w:tc>
      </w:tr>
      <w:tr w:rsidR="000D07EA" w14:paraId="268D65F3" w14:textId="77777777">
        <w:tc>
          <w:tcPr>
            <w:tcW w:w="4500" w:type="dxa"/>
          </w:tcPr>
          <w:p w14:paraId="0AF86184" w14:textId="77777777" w:rsidR="000D07EA" w:rsidRDefault="00BE7C89">
            <w:pPr>
              <w:pStyle w:val="BodyText"/>
              <w:spacing w:before="100" w:after="100"/>
              <w:rPr>
                <w:lang w:val="en-AU"/>
              </w:rPr>
            </w:pPr>
            <w:r>
              <w:rPr>
                <w:lang w:val="en-AU"/>
              </w:rPr>
              <w:t>Video Conferencing</w:t>
            </w:r>
          </w:p>
        </w:tc>
        <w:tc>
          <w:tcPr>
            <w:tcW w:w="2970" w:type="dxa"/>
          </w:tcPr>
          <w:p w14:paraId="75C1CAC9" w14:textId="77777777" w:rsidR="000D07EA" w:rsidRDefault="00BE7C89">
            <w:pPr>
              <w:pStyle w:val="BodyText"/>
              <w:spacing w:before="100" w:after="100"/>
              <w:rPr>
                <w:lang w:val="en-AU"/>
              </w:rPr>
            </w:pPr>
            <w:r>
              <w:rPr>
                <w:lang w:val="en-AU"/>
              </w:rPr>
              <w:t>No</w:t>
            </w:r>
          </w:p>
        </w:tc>
      </w:tr>
      <w:tr w:rsidR="000D07EA" w14:paraId="0FA4A9CD" w14:textId="77777777">
        <w:tc>
          <w:tcPr>
            <w:tcW w:w="4500" w:type="dxa"/>
          </w:tcPr>
          <w:p w14:paraId="198CE888" w14:textId="77777777" w:rsidR="000D07EA" w:rsidRDefault="00BE7C89">
            <w:pPr>
              <w:pStyle w:val="BodyText"/>
              <w:spacing w:before="100" w:after="100"/>
              <w:rPr>
                <w:lang w:val="en-AU"/>
              </w:rPr>
            </w:pPr>
            <w:r>
              <w:rPr>
                <w:lang w:val="en-AU"/>
              </w:rPr>
              <w:t>BlackBerry Email</w:t>
            </w:r>
          </w:p>
        </w:tc>
        <w:tc>
          <w:tcPr>
            <w:tcW w:w="2970" w:type="dxa"/>
          </w:tcPr>
          <w:p w14:paraId="4DC1674C" w14:textId="77777777" w:rsidR="000D07EA" w:rsidRDefault="00BE7C89">
            <w:pPr>
              <w:pStyle w:val="BodyText"/>
              <w:spacing w:before="100" w:after="100"/>
              <w:rPr>
                <w:lang w:val="en-AU"/>
              </w:rPr>
            </w:pPr>
            <w:r>
              <w:rPr>
                <w:lang w:val="en-AU"/>
              </w:rPr>
              <w:t>No</w:t>
            </w:r>
          </w:p>
        </w:tc>
      </w:tr>
      <w:tr w:rsidR="000D07EA" w14:paraId="3E25017F" w14:textId="77777777">
        <w:tc>
          <w:tcPr>
            <w:tcW w:w="4500" w:type="dxa"/>
          </w:tcPr>
          <w:p w14:paraId="3B12D31F" w14:textId="77777777" w:rsidR="000D07EA" w:rsidRDefault="00BE7C89">
            <w:pPr>
              <w:pStyle w:val="BodyText"/>
              <w:spacing w:before="100" w:after="100"/>
              <w:rPr>
                <w:lang w:val="en-AU"/>
              </w:rPr>
            </w:pPr>
            <w:r>
              <w:rPr>
                <w:lang w:val="en-AU"/>
              </w:rPr>
              <w:t>Optus Zoo Browsing</w:t>
            </w:r>
          </w:p>
        </w:tc>
        <w:tc>
          <w:tcPr>
            <w:tcW w:w="2970" w:type="dxa"/>
          </w:tcPr>
          <w:p w14:paraId="5C3A2833" w14:textId="77777777" w:rsidR="000D07EA" w:rsidRDefault="00BE7C89">
            <w:pPr>
              <w:pStyle w:val="BodyText"/>
              <w:spacing w:before="100" w:after="100"/>
              <w:rPr>
                <w:lang w:val="en-AU"/>
              </w:rPr>
            </w:pPr>
            <w:r>
              <w:rPr>
                <w:lang w:val="en-AU"/>
              </w:rPr>
              <w:t>No</w:t>
            </w:r>
          </w:p>
        </w:tc>
      </w:tr>
      <w:tr w:rsidR="000D07EA" w14:paraId="4AF96E42" w14:textId="77777777">
        <w:tc>
          <w:tcPr>
            <w:tcW w:w="4500" w:type="dxa"/>
          </w:tcPr>
          <w:p w14:paraId="2CB73E3A" w14:textId="77777777" w:rsidR="000D07EA" w:rsidRDefault="00BE7C89">
            <w:pPr>
              <w:pStyle w:val="BodyText"/>
              <w:spacing w:before="100" w:after="100"/>
              <w:rPr>
                <w:lang w:val="en-AU"/>
              </w:rPr>
            </w:pPr>
            <w:r>
              <w:rPr>
                <w:lang w:val="en-AU"/>
              </w:rPr>
              <w:t>Optus Zoo Downloads</w:t>
            </w:r>
          </w:p>
        </w:tc>
        <w:tc>
          <w:tcPr>
            <w:tcW w:w="2970" w:type="dxa"/>
          </w:tcPr>
          <w:p w14:paraId="0CDB0FCA" w14:textId="77777777" w:rsidR="000D07EA" w:rsidRDefault="00BE7C89">
            <w:pPr>
              <w:pStyle w:val="BodyText"/>
              <w:spacing w:before="100" w:after="100"/>
              <w:rPr>
                <w:lang w:val="en-AU"/>
              </w:rPr>
            </w:pPr>
            <w:r>
              <w:rPr>
                <w:lang w:val="en-AU"/>
              </w:rPr>
              <w:t>No</w:t>
            </w:r>
          </w:p>
        </w:tc>
      </w:tr>
      <w:tr w:rsidR="000D07EA" w14:paraId="492E3D63" w14:textId="77777777">
        <w:tc>
          <w:tcPr>
            <w:tcW w:w="4500" w:type="dxa"/>
          </w:tcPr>
          <w:p w14:paraId="5E07A474" w14:textId="77777777" w:rsidR="000D07EA" w:rsidRDefault="00BE7C89">
            <w:pPr>
              <w:pStyle w:val="BodyText"/>
              <w:spacing w:before="100" w:after="100"/>
              <w:rPr>
                <w:lang w:val="en-AU"/>
              </w:rPr>
            </w:pPr>
            <w:r>
              <w:rPr>
                <w:lang w:val="en-AU"/>
              </w:rPr>
              <w:t>966* Zoo</w:t>
            </w:r>
          </w:p>
        </w:tc>
        <w:tc>
          <w:tcPr>
            <w:tcW w:w="2970" w:type="dxa"/>
          </w:tcPr>
          <w:p w14:paraId="663CE51B" w14:textId="77777777" w:rsidR="000D07EA" w:rsidRDefault="00BE7C89">
            <w:pPr>
              <w:pStyle w:val="BodyText"/>
              <w:spacing w:before="100" w:after="100"/>
              <w:rPr>
                <w:lang w:val="en-AU"/>
              </w:rPr>
            </w:pPr>
            <w:r>
              <w:rPr>
                <w:lang w:val="en-AU"/>
              </w:rPr>
              <w:t>No</w:t>
            </w:r>
          </w:p>
        </w:tc>
      </w:tr>
      <w:tr w:rsidR="000D07EA" w14:paraId="61B555AC" w14:textId="77777777">
        <w:tc>
          <w:tcPr>
            <w:tcW w:w="4500" w:type="dxa"/>
          </w:tcPr>
          <w:p w14:paraId="0DF5CD1E" w14:textId="77777777" w:rsidR="000D07EA" w:rsidRDefault="00BE7C89">
            <w:pPr>
              <w:pStyle w:val="BodyText"/>
              <w:spacing w:before="100" w:after="100"/>
              <w:rPr>
                <w:lang w:val="en-AU"/>
              </w:rPr>
            </w:pPr>
            <w:r>
              <w:rPr>
                <w:lang w:val="en-AU"/>
              </w:rPr>
              <w:t>Mobile Internet usage</w:t>
            </w:r>
          </w:p>
        </w:tc>
        <w:tc>
          <w:tcPr>
            <w:tcW w:w="2970" w:type="dxa"/>
          </w:tcPr>
          <w:p w14:paraId="29CABCAF" w14:textId="77777777" w:rsidR="000D07EA" w:rsidRDefault="00BE7C89">
            <w:pPr>
              <w:pStyle w:val="BodyText"/>
              <w:spacing w:before="100" w:after="100"/>
              <w:rPr>
                <w:lang w:val="en-AU"/>
              </w:rPr>
            </w:pPr>
            <w:r>
              <w:rPr>
                <w:lang w:val="en-AU"/>
              </w:rPr>
              <w:t>No</w:t>
            </w:r>
          </w:p>
        </w:tc>
      </w:tr>
      <w:tr w:rsidR="000D07EA" w14:paraId="60E02E4F" w14:textId="77777777">
        <w:tc>
          <w:tcPr>
            <w:tcW w:w="4500" w:type="dxa"/>
          </w:tcPr>
          <w:p w14:paraId="04A487FF" w14:textId="77777777" w:rsidR="000D07EA" w:rsidRDefault="00BE7C89">
            <w:pPr>
              <w:pStyle w:val="BodyText"/>
              <w:spacing w:before="100" w:after="100"/>
              <w:rPr>
                <w:lang w:val="en-AU"/>
              </w:rPr>
            </w:pPr>
            <w:r>
              <w:rPr>
                <w:lang w:val="en-AU"/>
              </w:rPr>
              <w:t>Data used while roaming internationally</w:t>
            </w:r>
          </w:p>
        </w:tc>
        <w:tc>
          <w:tcPr>
            <w:tcW w:w="2970" w:type="dxa"/>
          </w:tcPr>
          <w:p w14:paraId="3701F351" w14:textId="77777777" w:rsidR="000D07EA" w:rsidRDefault="00BE7C89">
            <w:pPr>
              <w:pStyle w:val="BodyText"/>
              <w:spacing w:before="100" w:after="100"/>
              <w:rPr>
                <w:lang w:val="en-AU"/>
              </w:rPr>
            </w:pPr>
            <w:r>
              <w:rPr>
                <w:lang w:val="en-AU"/>
              </w:rPr>
              <w:t>No</w:t>
            </w:r>
          </w:p>
        </w:tc>
      </w:tr>
      <w:tr w:rsidR="000D07EA" w14:paraId="1D97E585" w14:textId="77777777">
        <w:tc>
          <w:tcPr>
            <w:tcW w:w="4500" w:type="dxa"/>
          </w:tcPr>
          <w:p w14:paraId="135D7C45" w14:textId="77777777" w:rsidR="000D07EA" w:rsidRDefault="00BE7C89">
            <w:pPr>
              <w:pStyle w:val="BodyText"/>
              <w:spacing w:before="100" w:after="100"/>
              <w:rPr>
                <w:lang w:val="en-AU"/>
              </w:rPr>
            </w:pPr>
            <w:r>
              <w:rPr>
                <w:lang w:val="en-AU"/>
              </w:rPr>
              <w:t>Content Packs</w:t>
            </w:r>
          </w:p>
        </w:tc>
        <w:tc>
          <w:tcPr>
            <w:tcW w:w="2970" w:type="dxa"/>
          </w:tcPr>
          <w:p w14:paraId="0475284E" w14:textId="77777777" w:rsidR="000D07EA" w:rsidRDefault="00BE7C89">
            <w:pPr>
              <w:pStyle w:val="BodyText"/>
              <w:spacing w:before="100" w:after="100"/>
              <w:rPr>
                <w:lang w:val="en-AU"/>
              </w:rPr>
            </w:pPr>
            <w:r>
              <w:rPr>
                <w:lang w:val="en-AU"/>
              </w:rPr>
              <w:t>No</w:t>
            </w:r>
          </w:p>
        </w:tc>
      </w:tr>
      <w:tr w:rsidR="000D07EA" w14:paraId="21C505A2" w14:textId="77777777">
        <w:tc>
          <w:tcPr>
            <w:tcW w:w="4500" w:type="dxa"/>
          </w:tcPr>
          <w:p w14:paraId="674CE718" w14:textId="77777777" w:rsidR="000D07EA" w:rsidRDefault="00BE7C89">
            <w:pPr>
              <w:pStyle w:val="BodyText"/>
              <w:spacing w:before="100" w:after="100"/>
              <w:rPr>
                <w:lang w:val="en-AU"/>
              </w:rPr>
            </w:pPr>
            <w:r>
              <w:rPr>
                <w:lang w:val="en-AU"/>
              </w:rPr>
              <w:t>Mobile Instant Messaging – IM</w:t>
            </w:r>
          </w:p>
        </w:tc>
        <w:tc>
          <w:tcPr>
            <w:tcW w:w="2970" w:type="dxa"/>
          </w:tcPr>
          <w:p w14:paraId="0C4A8460" w14:textId="77777777" w:rsidR="000D07EA" w:rsidRDefault="00BE7C89">
            <w:pPr>
              <w:pStyle w:val="BodyText"/>
              <w:spacing w:before="100" w:after="100"/>
              <w:rPr>
                <w:lang w:val="en-AU"/>
              </w:rPr>
            </w:pPr>
            <w:r>
              <w:rPr>
                <w:lang w:val="en-AU"/>
              </w:rPr>
              <w:t>No</w:t>
            </w:r>
          </w:p>
        </w:tc>
      </w:tr>
      <w:tr w:rsidR="000D07EA" w14:paraId="5F830295" w14:textId="77777777">
        <w:tc>
          <w:tcPr>
            <w:tcW w:w="4500" w:type="dxa"/>
          </w:tcPr>
          <w:p w14:paraId="1E75D884" w14:textId="77777777" w:rsidR="000D07EA" w:rsidRDefault="00BE7C89">
            <w:pPr>
              <w:pStyle w:val="BodyText"/>
              <w:spacing w:before="100" w:after="100"/>
              <w:rPr>
                <w:lang w:val="en-AU"/>
              </w:rPr>
            </w:pPr>
            <w:r>
              <w:rPr>
                <w:lang w:val="en-AU"/>
              </w:rPr>
              <w:t>TrueLocal Usage</w:t>
            </w:r>
          </w:p>
        </w:tc>
        <w:tc>
          <w:tcPr>
            <w:tcW w:w="2970" w:type="dxa"/>
          </w:tcPr>
          <w:p w14:paraId="2A00106E" w14:textId="77777777" w:rsidR="000D07EA" w:rsidRDefault="00BE7C89">
            <w:pPr>
              <w:pStyle w:val="BodyText"/>
              <w:spacing w:before="100" w:after="100"/>
              <w:rPr>
                <w:lang w:val="en-AU"/>
              </w:rPr>
            </w:pPr>
            <w:r>
              <w:rPr>
                <w:lang w:val="en-AU"/>
              </w:rPr>
              <w:t>No</w:t>
            </w:r>
          </w:p>
        </w:tc>
      </w:tr>
      <w:tr w:rsidR="000D07EA" w14:paraId="5F20E14D" w14:textId="77777777">
        <w:tc>
          <w:tcPr>
            <w:tcW w:w="4500" w:type="dxa"/>
          </w:tcPr>
          <w:p w14:paraId="4006F7EE" w14:textId="77777777" w:rsidR="000D07EA" w:rsidRDefault="00BE7C89">
            <w:pPr>
              <w:pStyle w:val="BodyText"/>
              <w:spacing w:before="100" w:after="100"/>
              <w:rPr>
                <w:lang w:val="en-AU"/>
              </w:rPr>
            </w:pPr>
            <w:r>
              <w:rPr>
                <w:lang w:val="en-AU"/>
              </w:rPr>
              <w:t>Directory Assistance – 1223</w:t>
            </w:r>
          </w:p>
        </w:tc>
        <w:tc>
          <w:tcPr>
            <w:tcW w:w="2970" w:type="dxa"/>
          </w:tcPr>
          <w:p w14:paraId="66622B38" w14:textId="77777777" w:rsidR="000D07EA" w:rsidRDefault="00BE7C89">
            <w:pPr>
              <w:pStyle w:val="BodyText"/>
              <w:spacing w:before="100" w:after="100"/>
              <w:rPr>
                <w:lang w:val="en-AU"/>
              </w:rPr>
            </w:pPr>
            <w:r>
              <w:rPr>
                <w:lang w:val="en-AU"/>
              </w:rPr>
              <w:t>No</w:t>
            </w:r>
          </w:p>
        </w:tc>
      </w:tr>
      <w:tr w:rsidR="000D07EA" w14:paraId="15C080AC" w14:textId="77777777">
        <w:tc>
          <w:tcPr>
            <w:tcW w:w="4500" w:type="dxa"/>
          </w:tcPr>
          <w:p w14:paraId="0B703EA3" w14:textId="77777777" w:rsidR="000D07EA" w:rsidRDefault="00BE7C89">
            <w:pPr>
              <w:pStyle w:val="BodyText"/>
              <w:spacing w:before="100" w:after="100"/>
              <w:rPr>
                <w:lang w:val="en-AU"/>
              </w:rPr>
            </w:pPr>
            <w:r>
              <w:rPr>
                <w:lang w:val="en-AU"/>
              </w:rPr>
              <w:t>19xx Numbers</w:t>
            </w:r>
          </w:p>
        </w:tc>
        <w:tc>
          <w:tcPr>
            <w:tcW w:w="2970" w:type="dxa"/>
          </w:tcPr>
          <w:p w14:paraId="6C1FA9C3" w14:textId="77777777" w:rsidR="000D07EA" w:rsidRDefault="00BE7C89">
            <w:pPr>
              <w:pStyle w:val="BodyText"/>
              <w:spacing w:before="100" w:after="100"/>
              <w:rPr>
                <w:lang w:val="en-AU"/>
              </w:rPr>
            </w:pPr>
            <w:r>
              <w:rPr>
                <w:lang w:val="en-AU"/>
              </w:rPr>
              <w:t>No</w:t>
            </w:r>
          </w:p>
        </w:tc>
      </w:tr>
      <w:tr w:rsidR="000D07EA" w14:paraId="66E58438" w14:textId="77777777">
        <w:tc>
          <w:tcPr>
            <w:tcW w:w="4500" w:type="dxa"/>
          </w:tcPr>
          <w:p w14:paraId="15151071" w14:textId="77777777" w:rsidR="000D07EA" w:rsidRDefault="00BE7C89">
            <w:pPr>
              <w:pStyle w:val="BodyText"/>
              <w:spacing w:before="100" w:after="100"/>
              <w:rPr>
                <w:lang w:val="en-AU"/>
              </w:rPr>
            </w:pPr>
            <w:r>
              <w:rPr>
                <w:lang w:val="en-AU"/>
              </w:rPr>
              <w:t>1800, 13 and 1300 Numbers</w:t>
            </w:r>
          </w:p>
        </w:tc>
        <w:tc>
          <w:tcPr>
            <w:tcW w:w="2970" w:type="dxa"/>
          </w:tcPr>
          <w:p w14:paraId="64247D3D" w14:textId="77777777" w:rsidR="000D07EA" w:rsidRDefault="00BE7C89">
            <w:pPr>
              <w:pStyle w:val="BodyText"/>
              <w:spacing w:before="100" w:after="100"/>
              <w:rPr>
                <w:lang w:val="en-AU"/>
              </w:rPr>
            </w:pPr>
            <w:r>
              <w:rPr>
                <w:lang w:val="en-AU"/>
              </w:rPr>
              <w:t>Yes</w:t>
            </w:r>
          </w:p>
        </w:tc>
      </w:tr>
      <w:tr w:rsidR="000D07EA" w14:paraId="7C626DAD" w14:textId="77777777">
        <w:tc>
          <w:tcPr>
            <w:tcW w:w="4500" w:type="dxa"/>
          </w:tcPr>
          <w:p w14:paraId="0E0E4A3D" w14:textId="77777777" w:rsidR="000D07EA" w:rsidRDefault="00BE7C89">
            <w:pPr>
              <w:pStyle w:val="BodyText"/>
              <w:spacing w:before="100" w:after="100"/>
              <w:rPr>
                <w:lang w:val="en-AU"/>
              </w:rPr>
            </w:pPr>
            <w:r>
              <w:rPr>
                <w:lang w:val="en-AU"/>
              </w:rPr>
              <w:t>124YES(937)</w:t>
            </w:r>
          </w:p>
        </w:tc>
        <w:tc>
          <w:tcPr>
            <w:tcW w:w="2970" w:type="dxa"/>
          </w:tcPr>
          <w:p w14:paraId="5542BD3B" w14:textId="77777777" w:rsidR="000D07EA" w:rsidRDefault="00BE7C89">
            <w:pPr>
              <w:pStyle w:val="BodyText"/>
              <w:spacing w:before="100" w:after="100"/>
              <w:rPr>
                <w:lang w:val="en-AU"/>
              </w:rPr>
            </w:pPr>
            <w:r>
              <w:rPr>
                <w:lang w:val="en-AU"/>
              </w:rPr>
              <w:t>Yes</w:t>
            </w:r>
          </w:p>
        </w:tc>
      </w:tr>
      <w:tr w:rsidR="000D07EA" w14:paraId="2089B35B" w14:textId="77777777">
        <w:tc>
          <w:tcPr>
            <w:tcW w:w="4500" w:type="dxa"/>
          </w:tcPr>
          <w:p w14:paraId="67167F9B" w14:textId="77777777" w:rsidR="000D07EA" w:rsidRDefault="00BE7C89">
            <w:pPr>
              <w:pStyle w:val="BodyText"/>
              <w:spacing w:before="100" w:after="100"/>
              <w:rPr>
                <w:lang w:val="en-AU"/>
              </w:rPr>
            </w:pPr>
            <w:r>
              <w:rPr>
                <w:lang w:val="en-AU"/>
              </w:rPr>
              <w:t>Fax and Data</w:t>
            </w:r>
          </w:p>
        </w:tc>
        <w:tc>
          <w:tcPr>
            <w:tcW w:w="2970" w:type="dxa"/>
          </w:tcPr>
          <w:p w14:paraId="652A3D97" w14:textId="77777777" w:rsidR="000D07EA" w:rsidRDefault="00BE7C89">
            <w:pPr>
              <w:pStyle w:val="BodyText"/>
              <w:spacing w:before="100" w:after="100"/>
              <w:rPr>
                <w:lang w:val="en-AU"/>
              </w:rPr>
            </w:pPr>
            <w:r>
              <w:rPr>
                <w:lang w:val="en-AU"/>
              </w:rPr>
              <w:t>No</w:t>
            </w:r>
          </w:p>
        </w:tc>
      </w:tr>
      <w:tr w:rsidR="000D07EA" w14:paraId="75C3F874" w14:textId="77777777">
        <w:tc>
          <w:tcPr>
            <w:tcW w:w="4500" w:type="dxa"/>
          </w:tcPr>
          <w:p w14:paraId="5DB27A4E" w14:textId="77777777" w:rsidR="000D07EA" w:rsidRDefault="00BE7C89">
            <w:pPr>
              <w:pStyle w:val="BodyText"/>
              <w:spacing w:before="100" w:after="100"/>
              <w:rPr>
                <w:lang w:val="en-AU"/>
              </w:rPr>
            </w:pPr>
            <w:r>
              <w:rPr>
                <w:lang w:val="en-AU"/>
              </w:rPr>
              <w:t>Insurance</w:t>
            </w:r>
          </w:p>
        </w:tc>
        <w:tc>
          <w:tcPr>
            <w:tcW w:w="2970" w:type="dxa"/>
          </w:tcPr>
          <w:p w14:paraId="230AF0C8" w14:textId="77777777" w:rsidR="000D07EA" w:rsidRDefault="00BE7C89">
            <w:pPr>
              <w:pStyle w:val="BodyText"/>
              <w:spacing w:before="100" w:after="100"/>
              <w:rPr>
                <w:lang w:val="en-AU"/>
              </w:rPr>
            </w:pPr>
            <w:r>
              <w:rPr>
                <w:lang w:val="en-AU"/>
              </w:rPr>
              <w:t>No</w:t>
            </w:r>
          </w:p>
        </w:tc>
      </w:tr>
      <w:tr w:rsidR="000D07EA" w14:paraId="0DAF84FD" w14:textId="77777777">
        <w:tc>
          <w:tcPr>
            <w:tcW w:w="4500" w:type="dxa"/>
          </w:tcPr>
          <w:p w14:paraId="7A1F6523" w14:textId="77777777" w:rsidR="000D07EA" w:rsidRDefault="00BE7C89">
            <w:pPr>
              <w:pStyle w:val="BodyText"/>
              <w:spacing w:before="100" w:after="100"/>
              <w:rPr>
                <w:lang w:val="en-AU"/>
              </w:rPr>
            </w:pPr>
            <w:r>
              <w:rPr>
                <w:lang w:val="en-AU"/>
              </w:rPr>
              <w:t>Surepage Diversions</w:t>
            </w:r>
          </w:p>
        </w:tc>
        <w:tc>
          <w:tcPr>
            <w:tcW w:w="2970" w:type="dxa"/>
          </w:tcPr>
          <w:p w14:paraId="2177D83E" w14:textId="77777777" w:rsidR="000D07EA" w:rsidRDefault="00BE7C89">
            <w:pPr>
              <w:pStyle w:val="BodyText"/>
              <w:spacing w:before="100" w:after="100"/>
              <w:rPr>
                <w:lang w:val="en-AU"/>
              </w:rPr>
            </w:pPr>
            <w:r>
              <w:rPr>
                <w:lang w:val="en-AU"/>
              </w:rPr>
              <w:t>Yes</w:t>
            </w:r>
          </w:p>
        </w:tc>
      </w:tr>
      <w:tr w:rsidR="000D07EA" w14:paraId="04693228" w14:textId="77777777">
        <w:tc>
          <w:tcPr>
            <w:tcW w:w="4500" w:type="dxa"/>
          </w:tcPr>
          <w:p w14:paraId="218D95CF" w14:textId="77777777" w:rsidR="000D07EA" w:rsidRDefault="00BE7C89">
            <w:pPr>
              <w:pStyle w:val="BodyText"/>
              <w:spacing w:before="100" w:after="100"/>
              <w:rPr>
                <w:lang w:val="en-AU"/>
              </w:rPr>
            </w:pPr>
            <w:r>
              <w:rPr>
                <w:lang w:val="en-AU"/>
              </w:rPr>
              <w:t>Surepage usage and access</w:t>
            </w:r>
          </w:p>
        </w:tc>
        <w:tc>
          <w:tcPr>
            <w:tcW w:w="2970" w:type="dxa"/>
          </w:tcPr>
          <w:p w14:paraId="4FB8ED01" w14:textId="77777777" w:rsidR="000D07EA" w:rsidRDefault="00BE7C89">
            <w:pPr>
              <w:pStyle w:val="BodyText"/>
              <w:spacing w:before="100" w:after="100"/>
              <w:rPr>
                <w:lang w:val="en-AU"/>
              </w:rPr>
            </w:pPr>
            <w:r>
              <w:rPr>
                <w:lang w:val="en-AU"/>
              </w:rPr>
              <w:t>No</w:t>
            </w:r>
          </w:p>
        </w:tc>
      </w:tr>
      <w:tr w:rsidR="000D07EA" w14:paraId="080BAD24" w14:textId="77777777">
        <w:tc>
          <w:tcPr>
            <w:tcW w:w="4500" w:type="dxa"/>
          </w:tcPr>
          <w:p w14:paraId="52B5E67F" w14:textId="77777777" w:rsidR="000D07EA" w:rsidRDefault="00BE7C89">
            <w:pPr>
              <w:pStyle w:val="BodyText"/>
              <w:spacing w:before="100" w:after="100"/>
              <w:rPr>
                <w:lang w:val="en-AU"/>
              </w:rPr>
            </w:pPr>
            <w:r>
              <w:rPr>
                <w:lang w:val="en-AU"/>
              </w:rPr>
              <w:lastRenderedPageBreak/>
              <w:t>Handset Payments</w:t>
            </w:r>
          </w:p>
        </w:tc>
        <w:tc>
          <w:tcPr>
            <w:tcW w:w="2970" w:type="dxa"/>
          </w:tcPr>
          <w:p w14:paraId="2758784B" w14:textId="77777777" w:rsidR="000D07EA" w:rsidRDefault="00BE7C89">
            <w:pPr>
              <w:pStyle w:val="BodyText"/>
              <w:spacing w:before="100" w:after="100"/>
              <w:rPr>
                <w:lang w:val="en-AU"/>
              </w:rPr>
            </w:pPr>
            <w:r>
              <w:rPr>
                <w:lang w:val="en-AU"/>
              </w:rPr>
              <w:t>No</w:t>
            </w:r>
          </w:p>
        </w:tc>
      </w:tr>
      <w:tr w:rsidR="000D07EA" w14:paraId="2092B1C3" w14:textId="77777777">
        <w:tc>
          <w:tcPr>
            <w:tcW w:w="4500" w:type="dxa"/>
          </w:tcPr>
          <w:p w14:paraId="42FDF407" w14:textId="77777777" w:rsidR="000D07EA" w:rsidRDefault="00BE7C89">
            <w:pPr>
              <w:pStyle w:val="BodyText"/>
              <w:spacing w:before="100" w:after="100"/>
              <w:rPr>
                <w:lang w:val="en-AU"/>
              </w:rPr>
            </w:pPr>
            <w:r>
              <w:rPr>
                <w:lang w:val="en-AU"/>
              </w:rPr>
              <w:t>Push To Talk (PTT)</w:t>
            </w:r>
          </w:p>
        </w:tc>
        <w:tc>
          <w:tcPr>
            <w:tcW w:w="2970" w:type="dxa"/>
          </w:tcPr>
          <w:p w14:paraId="238781FE" w14:textId="77777777" w:rsidR="000D07EA" w:rsidRDefault="00BE7C89">
            <w:pPr>
              <w:pStyle w:val="BodyText"/>
              <w:spacing w:before="100" w:after="100"/>
              <w:rPr>
                <w:lang w:val="en-AU"/>
              </w:rPr>
            </w:pPr>
            <w:r>
              <w:rPr>
                <w:lang w:val="en-AU"/>
              </w:rPr>
              <w:t>Yes</w:t>
            </w:r>
          </w:p>
        </w:tc>
      </w:tr>
      <w:tr w:rsidR="000D07EA" w14:paraId="718B7D60" w14:textId="77777777">
        <w:tc>
          <w:tcPr>
            <w:tcW w:w="4500" w:type="dxa"/>
          </w:tcPr>
          <w:p w14:paraId="36BA3A11" w14:textId="77777777" w:rsidR="000D07EA" w:rsidRDefault="00BE7C89">
            <w:pPr>
              <w:pStyle w:val="BodyText"/>
              <w:spacing w:before="100" w:after="100"/>
              <w:rPr>
                <w:lang w:val="en-AU"/>
              </w:rPr>
            </w:pPr>
            <w:r>
              <w:rPr>
                <w:lang w:val="en-AU"/>
              </w:rPr>
              <w:t>Calls to Satellite</w:t>
            </w:r>
          </w:p>
        </w:tc>
        <w:tc>
          <w:tcPr>
            <w:tcW w:w="2970" w:type="dxa"/>
          </w:tcPr>
          <w:p w14:paraId="215268CE" w14:textId="77777777" w:rsidR="000D07EA" w:rsidRDefault="00BE7C89">
            <w:pPr>
              <w:pStyle w:val="BodyText"/>
              <w:spacing w:before="100" w:after="100"/>
              <w:rPr>
                <w:lang w:val="en-AU"/>
              </w:rPr>
            </w:pPr>
            <w:r>
              <w:rPr>
                <w:lang w:val="en-AU"/>
              </w:rPr>
              <w:t>No</w:t>
            </w:r>
          </w:p>
        </w:tc>
      </w:tr>
      <w:tr w:rsidR="000D07EA" w14:paraId="23ECDDCD" w14:textId="77777777">
        <w:tc>
          <w:tcPr>
            <w:tcW w:w="4500" w:type="dxa"/>
          </w:tcPr>
          <w:p w14:paraId="0F55C437" w14:textId="77777777" w:rsidR="000D07EA" w:rsidRDefault="00BE7C89">
            <w:pPr>
              <w:pStyle w:val="BodyText"/>
              <w:spacing w:before="100" w:after="100"/>
              <w:rPr>
                <w:lang w:val="en-AU"/>
              </w:rPr>
            </w:pPr>
            <w:r>
              <w:rPr>
                <w:lang w:val="en-AU"/>
              </w:rPr>
              <w:t>VoIP services</w:t>
            </w:r>
          </w:p>
        </w:tc>
        <w:tc>
          <w:tcPr>
            <w:tcW w:w="2970" w:type="dxa"/>
          </w:tcPr>
          <w:p w14:paraId="68551AAA" w14:textId="77777777" w:rsidR="000D07EA" w:rsidRDefault="00BE7C89">
            <w:pPr>
              <w:pStyle w:val="BodyText"/>
              <w:spacing w:before="100" w:after="100"/>
              <w:rPr>
                <w:lang w:val="en-AU"/>
              </w:rPr>
            </w:pPr>
            <w:r>
              <w:rPr>
                <w:lang w:val="en-AU"/>
              </w:rPr>
              <w:t>No</w:t>
            </w:r>
          </w:p>
        </w:tc>
      </w:tr>
    </w:tbl>
    <w:p w14:paraId="5105C67B" w14:textId="77777777" w:rsidR="000D07EA" w:rsidRDefault="000D07EA">
      <w:pPr>
        <w:pStyle w:val="BodyText"/>
      </w:pPr>
    </w:p>
    <w:p w14:paraId="659C41AF" w14:textId="77777777" w:rsidR="000D07EA" w:rsidRDefault="000D07EA">
      <w:pPr>
        <w:pStyle w:val="BodyText"/>
        <w:sectPr w:rsidR="000D07EA">
          <w:headerReference w:type="default" r:id="rId43"/>
          <w:footerReference w:type="default" r:id="rId44"/>
          <w:pgSz w:w="11900" w:h="16840"/>
          <w:pgMar w:top="851" w:right="851" w:bottom="851" w:left="851" w:header="461" w:footer="288" w:gutter="0"/>
          <w:cols w:space="708"/>
          <w:docGrid w:linePitch="360"/>
        </w:sectPr>
      </w:pPr>
    </w:p>
    <w:p w14:paraId="3690D115" w14:textId="77777777" w:rsidR="000D07EA" w:rsidRDefault="00BE7C89">
      <w:pPr>
        <w:pStyle w:val="BodyText"/>
        <w:rPr>
          <w:b/>
          <w:i/>
          <w:lang w:val="en-AU" w:eastAsia="en-AU"/>
        </w:rPr>
      </w:pPr>
      <w:r>
        <w:rPr>
          <w:b/>
          <w:i/>
          <w:lang w:val="en-AU" w:eastAsia="en-AU"/>
        </w:rPr>
        <w:lastRenderedPageBreak/>
        <w:t>Pricing Plans Table</w:t>
      </w:r>
    </w:p>
    <w:p w14:paraId="6CB1EBCB" w14:textId="77777777" w:rsidR="000D07EA" w:rsidRDefault="00BE7C89">
      <w:pPr>
        <w:pStyle w:val="BodyText"/>
        <w:rPr>
          <w:i/>
          <w:lang w:val="en-AU" w:eastAsia="en-AU"/>
        </w:rPr>
      </w:pPr>
      <w:r>
        <w:rPr>
          <w:lang w:val="en-AU" w:eastAsia="en-AU"/>
        </w:rPr>
        <w:t xml:space="preserve">The following applies to </w:t>
      </w:r>
      <w:r>
        <w:rPr>
          <w:i/>
          <w:lang w:val="en-AU" w:eastAsia="en-AU"/>
        </w:rPr>
        <w:t>you</w:t>
      </w:r>
      <w:r>
        <w:rPr>
          <w:lang w:val="en-AU" w:eastAsia="en-AU"/>
        </w:rPr>
        <w:t xml:space="preserve"> if </w:t>
      </w:r>
      <w:r>
        <w:rPr>
          <w:i/>
          <w:lang w:val="en-AU" w:eastAsia="en-AU"/>
        </w:rPr>
        <w:t>you</w:t>
      </w:r>
      <w:r>
        <w:rPr>
          <w:lang w:val="en-AU" w:eastAsia="en-AU"/>
        </w:rPr>
        <w:t xml:space="preserve"> connected to a 'yes' Business Smart plan before 28 July 2008: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74"/>
        <w:gridCol w:w="1683"/>
        <w:gridCol w:w="1682"/>
        <w:gridCol w:w="1682"/>
        <w:gridCol w:w="1682"/>
        <w:gridCol w:w="1682"/>
        <w:gridCol w:w="1682"/>
        <w:gridCol w:w="1682"/>
        <w:gridCol w:w="1679"/>
      </w:tblGrid>
      <w:tr w:rsidR="000D07EA" w14:paraId="465D8C96" w14:textId="77777777">
        <w:tc>
          <w:tcPr>
            <w:tcW w:w="553" w:type="pct"/>
          </w:tcPr>
          <w:p w14:paraId="00AFAA6F" w14:textId="77777777" w:rsidR="000D07EA" w:rsidRDefault="00BE7C89">
            <w:pPr>
              <w:pStyle w:val="BodyText"/>
              <w:spacing w:before="100" w:after="100"/>
              <w:rPr>
                <w:i/>
                <w:color w:val="000000"/>
                <w:lang w:val="en-AU" w:eastAsia="en-AU"/>
              </w:rPr>
            </w:pPr>
            <w:r>
              <w:rPr>
                <w:i/>
                <w:lang w:val="en-AU" w:eastAsia="en-AU"/>
              </w:rPr>
              <w:t>Charge Type</w:t>
            </w:r>
          </w:p>
        </w:tc>
        <w:tc>
          <w:tcPr>
            <w:tcW w:w="556" w:type="pct"/>
          </w:tcPr>
          <w:p w14:paraId="6E2A1626" w14:textId="77777777" w:rsidR="000D07EA" w:rsidRDefault="00BE7C89">
            <w:pPr>
              <w:pStyle w:val="BodyText"/>
              <w:spacing w:before="100" w:after="100"/>
              <w:jc w:val="center"/>
              <w:rPr>
                <w:b/>
                <w:lang w:val="en-AU" w:eastAsia="en-AU"/>
              </w:rPr>
            </w:pPr>
            <w:r>
              <w:rPr>
                <w:b/>
                <w:lang w:val="en-AU" w:eastAsia="en-AU"/>
              </w:rPr>
              <w:t>'yes' Business Smart 29 Plan</w:t>
            </w:r>
          </w:p>
        </w:tc>
        <w:tc>
          <w:tcPr>
            <w:tcW w:w="556" w:type="pct"/>
          </w:tcPr>
          <w:p w14:paraId="5FA0A7FD" w14:textId="77777777" w:rsidR="000D07EA" w:rsidRDefault="00BE7C89">
            <w:pPr>
              <w:pStyle w:val="BodyText"/>
              <w:spacing w:before="100" w:after="100"/>
              <w:jc w:val="center"/>
              <w:rPr>
                <w:b/>
                <w:lang w:val="en-AU" w:eastAsia="en-AU"/>
              </w:rPr>
            </w:pPr>
            <w:r>
              <w:rPr>
                <w:b/>
                <w:lang w:val="en-AU" w:eastAsia="en-AU"/>
              </w:rPr>
              <w:t>'yes' Business Smart 39 Plan</w:t>
            </w:r>
          </w:p>
        </w:tc>
        <w:tc>
          <w:tcPr>
            <w:tcW w:w="556" w:type="pct"/>
          </w:tcPr>
          <w:p w14:paraId="315987C7" w14:textId="77777777" w:rsidR="000D07EA" w:rsidRDefault="00BE7C89">
            <w:pPr>
              <w:pStyle w:val="BodyText"/>
              <w:spacing w:before="100" w:after="100"/>
              <w:jc w:val="center"/>
              <w:rPr>
                <w:b/>
                <w:lang w:val="en-AU" w:eastAsia="en-AU"/>
              </w:rPr>
            </w:pPr>
            <w:r>
              <w:rPr>
                <w:b/>
                <w:lang w:val="en-AU" w:eastAsia="en-AU"/>
              </w:rPr>
              <w:t>'yes' Business Smart 49 Plan</w:t>
            </w:r>
          </w:p>
        </w:tc>
        <w:tc>
          <w:tcPr>
            <w:tcW w:w="556" w:type="pct"/>
          </w:tcPr>
          <w:p w14:paraId="52BAA23A" w14:textId="77777777" w:rsidR="000D07EA" w:rsidRDefault="00BE7C89">
            <w:pPr>
              <w:pStyle w:val="BodyText"/>
              <w:spacing w:before="100" w:after="100"/>
              <w:jc w:val="center"/>
              <w:rPr>
                <w:b/>
                <w:lang w:val="en-AU" w:eastAsia="en-AU"/>
              </w:rPr>
            </w:pPr>
            <w:r>
              <w:rPr>
                <w:b/>
                <w:lang w:val="en-AU" w:eastAsia="en-AU"/>
              </w:rPr>
              <w:t>'yes' Business Smart 59 Plan</w:t>
            </w:r>
          </w:p>
        </w:tc>
        <w:tc>
          <w:tcPr>
            <w:tcW w:w="556" w:type="pct"/>
          </w:tcPr>
          <w:p w14:paraId="5CEE691B" w14:textId="77777777" w:rsidR="000D07EA" w:rsidRDefault="00BE7C89">
            <w:pPr>
              <w:pStyle w:val="BodyText"/>
              <w:spacing w:before="100" w:after="100"/>
              <w:jc w:val="center"/>
              <w:rPr>
                <w:b/>
                <w:lang w:val="en-AU" w:eastAsia="en-AU"/>
              </w:rPr>
            </w:pPr>
            <w:r>
              <w:rPr>
                <w:b/>
                <w:lang w:val="en-AU" w:eastAsia="en-AU"/>
              </w:rPr>
              <w:t>'yes' Business Smart 79 Plan</w:t>
            </w:r>
          </w:p>
        </w:tc>
        <w:tc>
          <w:tcPr>
            <w:tcW w:w="556" w:type="pct"/>
          </w:tcPr>
          <w:p w14:paraId="41430913" w14:textId="77777777" w:rsidR="000D07EA" w:rsidRDefault="00BE7C89">
            <w:pPr>
              <w:pStyle w:val="BodyText"/>
              <w:spacing w:before="100" w:after="100"/>
              <w:jc w:val="center"/>
              <w:rPr>
                <w:b/>
                <w:lang w:val="en-AU" w:eastAsia="en-AU"/>
              </w:rPr>
            </w:pPr>
            <w:r>
              <w:rPr>
                <w:b/>
                <w:lang w:val="en-AU" w:eastAsia="en-AU"/>
              </w:rPr>
              <w:t>'yes' Business Smart 99 Plan</w:t>
            </w:r>
          </w:p>
        </w:tc>
        <w:tc>
          <w:tcPr>
            <w:tcW w:w="556" w:type="pct"/>
          </w:tcPr>
          <w:p w14:paraId="43BFF6B1" w14:textId="77777777" w:rsidR="000D07EA" w:rsidRDefault="00BE7C89">
            <w:pPr>
              <w:pStyle w:val="BodyText"/>
              <w:spacing w:before="100" w:after="100"/>
              <w:jc w:val="center"/>
              <w:rPr>
                <w:b/>
                <w:lang w:val="en-AU" w:eastAsia="en-AU"/>
              </w:rPr>
            </w:pPr>
            <w:r>
              <w:rPr>
                <w:b/>
                <w:lang w:val="en-AU" w:eastAsia="en-AU"/>
              </w:rPr>
              <w:t>'yes' Business Smart 149 Plan</w:t>
            </w:r>
          </w:p>
        </w:tc>
        <w:tc>
          <w:tcPr>
            <w:tcW w:w="556" w:type="pct"/>
          </w:tcPr>
          <w:p w14:paraId="3667C782" w14:textId="77777777" w:rsidR="000D07EA" w:rsidRDefault="00BE7C89">
            <w:pPr>
              <w:pStyle w:val="BodyText"/>
              <w:spacing w:before="100" w:after="100"/>
              <w:jc w:val="center"/>
              <w:rPr>
                <w:b/>
                <w:lang w:val="en-AU" w:eastAsia="en-AU"/>
              </w:rPr>
            </w:pPr>
            <w:r>
              <w:rPr>
                <w:b/>
                <w:lang w:val="en-AU" w:eastAsia="en-AU"/>
              </w:rPr>
              <w:t>'yes' Business Smart 249 Plan</w:t>
            </w:r>
          </w:p>
        </w:tc>
      </w:tr>
      <w:tr w:rsidR="000D07EA" w14:paraId="78EBAF36" w14:textId="77777777">
        <w:tc>
          <w:tcPr>
            <w:tcW w:w="553" w:type="pct"/>
          </w:tcPr>
          <w:p w14:paraId="0DE71F7A" w14:textId="77777777" w:rsidR="000D07EA" w:rsidRDefault="00BE7C89">
            <w:pPr>
              <w:pStyle w:val="BodyText"/>
              <w:spacing w:before="100" w:after="100"/>
              <w:rPr>
                <w:b/>
                <w:i/>
                <w:lang w:val="en-AU" w:eastAsia="en-AU"/>
              </w:rPr>
            </w:pPr>
            <w:r>
              <w:rPr>
                <w:b/>
                <w:i/>
                <w:lang w:val="en-AU" w:eastAsia="en-AU"/>
              </w:rPr>
              <w:t>Minimum Monthly Commitment</w:t>
            </w:r>
          </w:p>
        </w:tc>
        <w:tc>
          <w:tcPr>
            <w:tcW w:w="556" w:type="pct"/>
          </w:tcPr>
          <w:p w14:paraId="76AF3BA5" w14:textId="77777777" w:rsidR="000D07EA" w:rsidRDefault="00BE7C89">
            <w:pPr>
              <w:pStyle w:val="BodyText"/>
              <w:spacing w:before="100" w:after="100"/>
              <w:jc w:val="center"/>
              <w:rPr>
                <w:lang w:val="en-AU" w:eastAsia="en-AU"/>
              </w:rPr>
            </w:pPr>
            <w:r>
              <w:rPr>
                <w:lang w:val="en-AU" w:eastAsia="en-AU"/>
              </w:rPr>
              <w:t>$26.36</w:t>
            </w:r>
            <w:r>
              <w:rPr>
                <w:lang w:val="en-AU" w:eastAsia="en-AU"/>
              </w:rPr>
              <w:br/>
              <w:t>($29.00)</w:t>
            </w:r>
          </w:p>
        </w:tc>
        <w:tc>
          <w:tcPr>
            <w:tcW w:w="556" w:type="pct"/>
          </w:tcPr>
          <w:p w14:paraId="3B902F37" w14:textId="77777777" w:rsidR="000D07EA" w:rsidRDefault="00BE7C89">
            <w:pPr>
              <w:pStyle w:val="BodyText"/>
              <w:spacing w:before="100" w:after="100"/>
              <w:jc w:val="center"/>
              <w:rPr>
                <w:lang w:val="en-AU" w:eastAsia="en-AU"/>
              </w:rPr>
            </w:pPr>
            <w:r>
              <w:rPr>
                <w:lang w:val="en-AU" w:eastAsia="en-AU"/>
              </w:rPr>
              <w:t>$35.45</w:t>
            </w:r>
            <w:r>
              <w:rPr>
                <w:lang w:val="en-AU" w:eastAsia="en-AU"/>
              </w:rPr>
              <w:br/>
              <w:t>($39.00)</w:t>
            </w:r>
          </w:p>
        </w:tc>
        <w:tc>
          <w:tcPr>
            <w:tcW w:w="556" w:type="pct"/>
          </w:tcPr>
          <w:p w14:paraId="257017A4" w14:textId="77777777" w:rsidR="000D07EA" w:rsidRDefault="00BE7C89">
            <w:pPr>
              <w:pStyle w:val="BodyText"/>
              <w:spacing w:before="100" w:after="100"/>
              <w:jc w:val="center"/>
              <w:rPr>
                <w:lang w:val="en-AU" w:eastAsia="en-AU"/>
              </w:rPr>
            </w:pPr>
            <w:r>
              <w:rPr>
                <w:lang w:val="en-AU" w:eastAsia="en-AU"/>
              </w:rPr>
              <w:t>$44.54</w:t>
            </w:r>
            <w:r>
              <w:rPr>
                <w:lang w:val="en-AU" w:eastAsia="en-AU"/>
              </w:rPr>
              <w:br/>
              <w:t>($49.00)</w:t>
            </w:r>
          </w:p>
        </w:tc>
        <w:tc>
          <w:tcPr>
            <w:tcW w:w="556" w:type="pct"/>
          </w:tcPr>
          <w:p w14:paraId="5847AD11" w14:textId="77777777" w:rsidR="000D07EA" w:rsidRDefault="00BE7C89">
            <w:pPr>
              <w:pStyle w:val="BodyText"/>
              <w:spacing w:before="100" w:after="100"/>
              <w:jc w:val="center"/>
              <w:rPr>
                <w:lang w:val="en-AU" w:eastAsia="en-AU"/>
              </w:rPr>
            </w:pPr>
            <w:r>
              <w:rPr>
                <w:lang w:val="en-AU" w:eastAsia="en-AU"/>
              </w:rPr>
              <w:t>$53.63</w:t>
            </w:r>
            <w:r>
              <w:rPr>
                <w:lang w:val="en-AU" w:eastAsia="en-AU"/>
              </w:rPr>
              <w:br/>
              <w:t>($59.00)</w:t>
            </w:r>
          </w:p>
        </w:tc>
        <w:tc>
          <w:tcPr>
            <w:tcW w:w="556" w:type="pct"/>
          </w:tcPr>
          <w:p w14:paraId="50C751BF" w14:textId="77777777" w:rsidR="000D07EA" w:rsidRDefault="00BE7C89">
            <w:pPr>
              <w:pStyle w:val="BodyText"/>
              <w:spacing w:before="100" w:after="100"/>
              <w:jc w:val="center"/>
              <w:rPr>
                <w:lang w:val="en-AU" w:eastAsia="en-AU"/>
              </w:rPr>
            </w:pPr>
            <w:r>
              <w:rPr>
                <w:lang w:val="en-AU" w:eastAsia="en-AU"/>
              </w:rPr>
              <w:t>$71.81</w:t>
            </w:r>
            <w:r>
              <w:rPr>
                <w:lang w:val="en-AU" w:eastAsia="en-AU"/>
              </w:rPr>
              <w:br/>
              <w:t>($79.00)</w:t>
            </w:r>
          </w:p>
        </w:tc>
        <w:tc>
          <w:tcPr>
            <w:tcW w:w="556" w:type="pct"/>
          </w:tcPr>
          <w:p w14:paraId="0997EDCC" w14:textId="77777777" w:rsidR="000D07EA" w:rsidRDefault="00BE7C89">
            <w:pPr>
              <w:pStyle w:val="BodyText"/>
              <w:spacing w:before="100" w:after="100"/>
              <w:jc w:val="center"/>
              <w:rPr>
                <w:lang w:val="en-AU" w:eastAsia="en-AU"/>
              </w:rPr>
            </w:pPr>
            <w:r>
              <w:rPr>
                <w:lang w:val="en-AU" w:eastAsia="en-AU"/>
              </w:rPr>
              <w:t>$90.00</w:t>
            </w:r>
            <w:r>
              <w:rPr>
                <w:lang w:val="en-AU" w:eastAsia="en-AU"/>
              </w:rPr>
              <w:br/>
              <w:t>($99.00)</w:t>
            </w:r>
          </w:p>
        </w:tc>
        <w:tc>
          <w:tcPr>
            <w:tcW w:w="556" w:type="pct"/>
          </w:tcPr>
          <w:p w14:paraId="248A63AF" w14:textId="77777777" w:rsidR="000D07EA" w:rsidRDefault="00BE7C89">
            <w:pPr>
              <w:pStyle w:val="BodyText"/>
              <w:spacing w:before="100" w:after="100"/>
              <w:jc w:val="center"/>
              <w:rPr>
                <w:lang w:val="en-AU" w:eastAsia="en-AU"/>
              </w:rPr>
            </w:pPr>
            <w:r>
              <w:rPr>
                <w:lang w:val="en-AU" w:eastAsia="en-AU"/>
              </w:rPr>
              <w:t>$135.45</w:t>
            </w:r>
            <w:r>
              <w:rPr>
                <w:lang w:val="en-AU" w:eastAsia="en-AU"/>
              </w:rPr>
              <w:br/>
              <w:t>($149.00)</w:t>
            </w:r>
          </w:p>
        </w:tc>
        <w:tc>
          <w:tcPr>
            <w:tcW w:w="556" w:type="pct"/>
          </w:tcPr>
          <w:p w14:paraId="6C1EE95E" w14:textId="77777777" w:rsidR="000D07EA" w:rsidRDefault="00BE7C89">
            <w:pPr>
              <w:pStyle w:val="BodyText"/>
              <w:spacing w:before="100" w:after="100"/>
              <w:jc w:val="center"/>
              <w:rPr>
                <w:lang w:val="en-AU" w:eastAsia="en-AU"/>
              </w:rPr>
            </w:pPr>
            <w:r>
              <w:rPr>
                <w:lang w:val="en-AU" w:eastAsia="en-AU"/>
              </w:rPr>
              <w:t>$226.36</w:t>
            </w:r>
            <w:r>
              <w:rPr>
                <w:lang w:val="en-AU" w:eastAsia="en-AU"/>
              </w:rPr>
              <w:br/>
              <w:t>($249.00)</w:t>
            </w:r>
          </w:p>
        </w:tc>
      </w:tr>
      <w:tr w:rsidR="000D07EA" w14:paraId="2322728D" w14:textId="77777777">
        <w:tc>
          <w:tcPr>
            <w:tcW w:w="553" w:type="pct"/>
            <w:tcBorders>
              <w:bottom w:val="nil"/>
            </w:tcBorders>
          </w:tcPr>
          <w:p w14:paraId="04AD9266" w14:textId="77777777" w:rsidR="000D07EA" w:rsidRDefault="00BE7C89">
            <w:pPr>
              <w:pStyle w:val="BodyText"/>
              <w:spacing w:before="100" w:after="100"/>
              <w:rPr>
                <w:i/>
                <w:color w:val="000000"/>
                <w:lang w:val="en-AU" w:eastAsia="en-AU"/>
              </w:rPr>
            </w:pPr>
            <w:r>
              <w:rPr>
                <w:b/>
                <w:lang w:val="en-AU" w:eastAsia="en-AU"/>
              </w:rPr>
              <w:t xml:space="preserve">Standard Call Rate </w:t>
            </w:r>
            <w:r>
              <w:rPr>
                <w:lang w:val="en-AU" w:eastAsia="en-AU"/>
              </w:rPr>
              <w:t>(per 30 seconds)</w:t>
            </w:r>
            <w:r>
              <w:rPr>
                <w:lang w:val="en-AU" w:eastAsia="en-AU"/>
              </w:rPr>
              <w:br/>
            </w:r>
            <w:r>
              <w:rPr>
                <w:i/>
                <w:lang w:val="en-AU" w:eastAsia="en-AU"/>
              </w:rPr>
              <w:t>Local calls &amp; National long distance calls</w:t>
            </w:r>
          </w:p>
        </w:tc>
        <w:tc>
          <w:tcPr>
            <w:tcW w:w="556" w:type="pct"/>
            <w:tcBorders>
              <w:bottom w:val="nil"/>
            </w:tcBorders>
          </w:tcPr>
          <w:p w14:paraId="11D5F633" w14:textId="77777777" w:rsidR="000D07EA" w:rsidRDefault="00BE7C89">
            <w:pPr>
              <w:pStyle w:val="BodyText"/>
              <w:spacing w:before="100" w:after="100"/>
              <w:jc w:val="center"/>
              <w:rPr>
                <w:lang w:val="en-AU" w:eastAsia="en-AU"/>
              </w:rPr>
            </w:pPr>
            <w:r>
              <w:rPr>
                <w:lang w:val="en-AU" w:eastAsia="en-AU"/>
              </w:rPr>
              <w:t>$0.28</w:t>
            </w:r>
            <w:r>
              <w:rPr>
                <w:lang w:val="en-AU" w:eastAsia="en-AU"/>
              </w:rPr>
              <w:br/>
              <w:t>($0.31)</w:t>
            </w:r>
          </w:p>
        </w:tc>
        <w:tc>
          <w:tcPr>
            <w:tcW w:w="556" w:type="pct"/>
            <w:tcBorders>
              <w:bottom w:val="nil"/>
            </w:tcBorders>
          </w:tcPr>
          <w:p w14:paraId="5852BD45" w14:textId="77777777" w:rsidR="000D07EA" w:rsidRDefault="00BE7C89">
            <w:pPr>
              <w:pStyle w:val="BodyText"/>
              <w:spacing w:before="100" w:after="100"/>
              <w:jc w:val="center"/>
              <w:rPr>
                <w:lang w:val="en-AU" w:eastAsia="en-AU"/>
              </w:rPr>
            </w:pPr>
            <w:r>
              <w:rPr>
                <w:lang w:val="en-AU" w:eastAsia="en-AU"/>
              </w:rPr>
              <w:t>$0.25</w:t>
            </w:r>
            <w:r>
              <w:rPr>
                <w:lang w:val="en-AU" w:eastAsia="en-AU"/>
              </w:rPr>
              <w:br/>
              <w:t>($0.28)</w:t>
            </w:r>
          </w:p>
        </w:tc>
        <w:tc>
          <w:tcPr>
            <w:tcW w:w="556" w:type="pct"/>
            <w:tcBorders>
              <w:bottom w:val="nil"/>
            </w:tcBorders>
          </w:tcPr>
          <w:p w14:paraId="7933E97D" w14:textId="77777777" w:rsidR="000D07EA" w:rsidRDefault="00BE7C89">
            <w:pPr>
              <w:pStyle w:val="BodyText"/>
              <w:spacing w:before="100" w:after="100"/>
              <w:jc w:val="center"/>
              <w:rPr>
                <w:lang w:val="en-AU" w:eastAsia="en-AU"/>
              </w:rPr>
            </w:pPr>
            <w:r>
              <w:rPr>
                <w:lang w:val="en-AU" w:eastAsia="en-AU"/>
              </w:rPr>
              <w:t>$0.245</w:t>
            </w:r>
            <w:r>
              <w:rPr>
                <w:lang w:val="en-AU" w:eastAsia="en-AU"/>
              </w:rPr>
              <w:br/>
              <w:t>($0.27)</w:t>
            </w:r>
          </w:p>
        </w:tc>
        <w:tc>
          <w:tcPr>
            <w:tcW w:w="556" w:type="pct"/>
            <w:tcBorders>
              <w:bottom w:val="nil"/>
            </w:tcBorders>
          </w:tcPr>
          <w:p w14:paraId="5791500D" w14:textId="77777777" w:rsidR="000D07EA" w:rsidRDefault="00BE7C89">
            <w:pPr>
              <w:pStyle w:val="BodyText"/>
              <w:spacing w:before="100" w:after="100"/>
              <w:jc w:val="center"/>
              <w:rPr>
                <w:lang w:val="en-AU" w:eastAsia="en-AU"/>
              </w:rPr>
            </w:pPr>
            <w:r>
              <w:rPr>
                <w:lang w:val="en-AU" w:eastAsia="en-AU"/>
              </w:rPr>
              <w:t>$0.23</w:t>
            </w:r>
            <w:r>
              <w:rPr>
                <w:lang w:val="en-AU" w:eastAsia="en-AU"/>
              </w:rPr>
              <w:br/>
              <w:t>($0.25)</w:t>
            </w:r>
          </w:p>
        </w:tc>
        <w:tc>
          <w:tcPr>
            <w:tcW w:w="556" w:type="pct"/>
            <w:tcBorders>
              <w:bottom w:val="nil"/>
            </w:tcBorders>
          </w:tcPr>
          <w:p w14:paraId="7CB8F56F" w14:textId="77777777" w:rsidR="000D07EA" w:rsidRDefault="00BE7C89">
            <w:pPr>
              <w:pStyle w:val="BodyText"/>
              <w:spacing w:before="100" w:after="100"/>
              <w:jc w:val="center"/>
              <w:rPr>
                <w:lang w:val="en-AU" w:eastAsia="en-AU"/>
              </w:rPr>
            </w:pPr>
            <w:r>
              <w:rPr>
                <w:lang w:val="en-AU" w:eastAsia="en-AU"/>
              </w:rPr>
              <w:t>$0.20</w:t>
            </w:r>
            <w:r>
              <w:rPr>
                <w:lang w:val="en-AU" w:eastAsia="en-AU"/>
              </w:rPr>
              <w:br/>
              <w:t>($0.22)</w:t>
            </w:r>
          </w:p>
        </w:tc>
        <w:tc>
          <w:tcPr>
            <w:tcW w:w="556" w:type="pct"/>
            <w:tcBorders>
              <w:bottom w:val="nil"/>
            </w:tcBorders>
          </w:tcPr>
          <w:p w14:paraId="5EACA70C" w14:textId="77777777" w:rsidR="000D07EA" w:rsidRDefault="00BE7C89">
            <w:pPr>
              <w:pStyle w:val="BodyText"/>
              <w:spacing w:before="100" w:after="100"/>
              <w:jc w:val="center"/>
              <w:rPr>
                <w:lang w:val="en-AU" w:eastAsia="en-AU"/>
              </w:rPr>
            </w:pPr>
            <w:r>
              <w:rPr>
                <w:lang w:val="en-AU" w:eastAsia="en-AU"/>
              </w:rPr>
              <w:t>$0.18</w:t>
            </w:r>
            <w:r>
              <w:rPr>
                <w:lang w:val="en-AU" w:eastAsia="en-AU"/>
              </w:rPr>
              <w:br/>
              <w:t>($0.20)</w:t>
            </w:r>
          </w:p>
        </w:tc>
        <w:tc>
          <w:tcPr>
            <w:tcW w:w="556" w:type="pct"/>
            <w:tcBorders>
              <w:bottom w:val="nil"/>
            </w:tcBorders>
          </w:tcPr>
          <w:p w14:paraId="20915DCA" w14:textId="77777777" w:rsidR="000D07EA" w:rsidRDefault="00BE7C89">
            <w:pPr>
              <w:pStyle w:val="BodyText"/>
              <w:spacing w:before="100" w:after="100"/>
              <w:jc w:val="center"/>
              <w:rPr>
                <w:lang w:val="en-AU" w:eastAsia="en-AU"/>
              </w:rPr>
            </w:pPr>
            <w:r>
              <w:rPr>
                <w:lang w:val="en-AU" w:eastAsia="en-AU"/>
              </w:rPr>
              <w:t>$0.17</w:t>
            </w:r>
            <w:r>
              <w:rPr>
                <w:lang w:val="en-AU" w:eastAsia="en-AU"/>
              </w:rPr>
              <w:br/>
              <w:t>($0.19)</w:t>
            </w:r>
          </w:p>
        </w:tc>
        <w:tc>
          <w:tcPr>
            <w:tcW w:w="556" w:type="pct"/>
            <w:tcBorders>
              <w:bottom w:val="nil"/>
            </w:tcBorders>
          </w:tcPr>
          <w:p w14:paraId="03C7CD7A" w14:textId="77777777" w:rsidR="000D07EA" w:rsidRDefault="00BE7C89">
            <w:pPr>
              <w:pStyle w:val="BodyText"/>
              <w:spacing w:before="100" w:after="100"/>
              <w:jc w:val="center"/>
              <w:rPr>
                <w:b/>
                <w:lang w:val="en-AU" w:eastAsia="en-AU"/>
              </w:rPr>
            </w:pPr>
            <w:r>
              <w:rPr>
                <w:lang w:val="en-AU" w:eastAsia="en-AU"/>
              </w:rPr>
              <w:t>$0.16</w:t>
            </w:r>
            <w:r>
              <w:rPr>
                <w:lang w:val="en-AU" w:eastAsia="en-AU"/>
              </w:rPr>
              <w:br/>
              <w:t>($0.18)</w:t>
            </w:r>
          </w:p>
        </w:tc>
      </w:tr>
      <w:tr w:rsidR="000D07EA" w14:paraId="49147F23" w14:textId="77777777">
        <w:tc>
          <w:tcPr>
            <w:tcW w:w="553" w:type="pct"/>
          </w:tcPr>
          <w:p w14:paraId="7B914BA8" w14:textId="77777777" w:rsidR="000D07EA" w:rsidRDefault="00BE7C89">
            <w:pPr>
              <w:pStyle w:val="BodyText"/>
              <w:spacing w:before="100" w:after="100"/>
              <w:rPr>
                <w:b/>
                <w:i/>
                <w:lang w:val="en-AU" w:eastAsia="en-AU"/>
              </w:rPr>
            </w:pPr>
            <w:r>
              <w:rPr>
                <w:b/>
                <w:i/>
                <w:lang w:val="en-AU" w:eastAsia="en-AU"/>
              </w:rPr>
              <w:t xml:space="preserve">Standard Mobile Call Rate </w:t>
            </w:r>
            <w:r>
              <w:rPr>
                <w:bCs/>
                <w:i/>
                <w:lang w:val="en-AU" w:eastAsia="en-AU"/>
              </w:rPr>
              <w:t>(per 30 seconds)</w:t>
            </w:r>
          </w:p>
        </w:tc>
        <w:tc>
          <w:tcPr>
            <w:tcW w:w="556" w:type="pct"/>
          </w:tcPr>
          <w:p w14:paraId="10107454" w14:textId="77777777" w:rsidR="000D07EA" w:rsidRDefault="00BE7C89">
            <w:pPr>
              <w:pStyle w:val="BodyText"/>
              <w:spacing w:before="100" w:after="100"/>
              <w:jc w:val="center"/>
              <w:rPr>
                <w:lang w:val="en-AU" w:eastAsia="en-AU"/>
              </w:rPr>
            </w:pPr>
            <w:r>
              <w:rPr>
                <w:lang w:val="en-AU" w:eastAsia="en-AU"/>
              </w:rPr>
              <w:t>$0.10</w:t>
            </w:r>
            <w:r>
              <w:rPr>
                <w:lang w:val="en-AU" w:eastAsia="en-AU"/>
              </w:rPr>
              <w:br/>
              <w:t>($0.11)</w:t>
            </w:r>
          </w:p>
        </w:tc>
        <w:tc>
          <w:tcPr>
            <w:tcW w:w="556" w:type="pct"/>
          </w:tcPr>
          <w:p w14:paraId="624B7D93" w14:textId="77777777" w:rsidR="000D07EA" w:rsidRDefault="00BE7C89">
            <w:pPr>
              <w:pStyle w:val="BodyText"/>
              <w:spacing w:before="100" w:after="100"/>
              <w:jc w:val="center"/>
              <w:rPr>
                <w:lang w:val="en-AU" w:eastAsia="en-AU"/>
              </w:rPr>
            </w:pPr>
            <w:r>
              <w:rPr>
                <w:lang w:val="en-AU" w:eastAsia="en-AU"/>
              </w:rPr>
              <w:t>$0.10</w:t>
            </w:r>
            <w:r>
              <w:rPr>
                <w:lang w:val="en-AU" w:eastAsia="en-AU"/>
              </w:rPr>
              <w:br/>
              <w:t>($0.11)</w:t>
            </w:r>
          </w:p>
        </w:tc>
        <w:tc>
          <w:tcPr>
            <w:tcW w:w="556" w:type="pct"/>
          </w:tcPr>
          <w:p w14:paraId="051D600D" w14:textId="77777777" w:rsidR="000D07EA" w:rsidRDefault="00BE7C89">
            <w:pPr>
              <w:pStyle w:val="BodyText"/>
              <w:spacing w:before="100" w:after="100"/>
              <w:jc w:val="center"/>
              <w:rPr>
                <w:lang w:val="en-AU" w:eastAsia="en-AU"/>
              </w:rPr>
            </w:pPr>
            <w:r>
              <w:rPr>
                <w:lang w:val="en-AU" w:eastAsia="en-AU"/>
              </w:rPr>
              <w:t>$0.10</w:t>
            </w:r>
            <w:r>
              <w:rPr>
                <w:lang w:val="en-AU" w:eastAsia="en-AU"/>
              </w:rPr>
              <w:br/>
              <w:t>($0.11)</w:t>
            </w:r>
          </w:p>
        </w:tc>
        <w:tc>
          <w:tcPr>
            <w:tcW w:w="556" w:type="pct"/>
          </w:tcPr>
          <w:p w14:paraId="52FA7890" w14:textId="77777777" w:rsidR="000D07EA" w:rsidRDefault="00BE7C89">
            <w:pPr>
              <w:pStyle w:val="BodyText"/>
              <w:spacing w:before="100" w:after="100"/>
              <w:jc w:val="center"/>
              <w:rPr>
                <w:lang w:val="en-AU" w:eastAsia="en-AU"/>
              </w:rPr>
            </w:pPr>
            <w:r>
              <w:rPr>
                <w:lang w:val="en-AU" w:eastAsia="en-AU"/>
              </w:rPr>
              <w:t>$0.09</w:t>
            </w:r>
            <w:r>
              <w:rPr>
                <w:lang w:val="en-AU" w:eastAsia="en-AU"/>
              </w:rPr>
              <w:br/>
              <w:t>($0.10)</w:t>
            </w:r>
          </w:p>
        </w:tc>
        <w:tc>
          <w:tcPr>
            <w:tcW w:w="556" w:type="pct"/>
          </w:tcPr>
          <w:p w14:paraId="6DEFFBBC" w14:textId="77777777" w:rsidR="000D07EA" w:rsidRDefault="00BE7C89">
            <w:pPr>
              <w:pStyle w:val="BodyText"/>
              <w:spacing w:before="100" w:after="100"/>
              <w:jc w:val="center"/>
              <w:rPr>
                <w:lang w:val="en-AU" w:eastAsia="en-AU"/>
              </w:rPr>
            </w:pPr>
            <w:r>
              <w:rPr>
                <w:lang w:val="en-AU" w:eastAsia="en-AU"/>
              </w:rPr>
              <w:t>$0.09</w:t>
            </w:r>
            <w:r>
              <w:rPr>
                <w:lang w:val="en-AU" w:eastAsia="en-AU"/>
              </w:rPr>
              <w:br/>
              <w:t>($0.10)</w:t>
            </w:r>
          </w:p>
        </w:tc>
        <w:tc>
          <w:tcPr>
            <w:tcW w:w="556" w:type="pct"/>
          </w:tcPr>
          <w:p w14:paraId="2A9949D1" w14:textId="77777777" w:rsidR="000D07EA" w:rsidRDefault="00BE7C89">
            <w:pPr>
              <w:pStyle w:val="BodyText"/>
              <w:spacing w:before="100" w:after="100"/>
              <w:jc w:val="center"/>
              <w:rPr>
                <w:lang w:val="en-AU" w:eastAsia="en-AU"/>
              </w:rPr>
            </w:pPr>
            <w:r>
              <w:rPr>
                <w:lang w:val="en-AU" w:eastAsia="en-AU"/>
              </w:rPr>
              <w:t>$0.09</w:t>
            </w:r>
            <w:r>
              <w:rPr>
                <w:lang w:val="en-AU" w:eastAsia="en-AU"/>
              </w:rPr>
              <w:br/>
              <w:t>($0.10)</w:t>
            </w:r>
          </w:p>
        </w:tc>
        <w:tc>
          <w:tcPr>
            <w:tcW w:w="556" w:type="pct"/>
          </w:tcPr>
          <w:p w14:paraId="55B1ADC4" w14:textId="77777777" w:rsidR="000D07EA" w:rsidRDefault="00BE7C89">
            <w:pPr>
              <w:pStyle w:val="BodyText"/>
              <w:spacing w:before="100" w:after="100"/>
              <w:jc w:val="center"/>
              <w:rPr>
                <w:lang w:val="en-AU" w:eastAsia="en-AU"/>
              </w:rPr>
            </w:pPr>
            <w:r>
              <w:rPr>
                <w:lang w:val="en-AU" w:eastAsia="en-AU"/>
              </w:rPr>
              <w:t>$0.09</w:t>
            </w:r>
            <w:r>
              <w:rPr>
                <w:lang w:val="en-AU" w:eastAsia="en-AU"/>
              </w:rPr>
              <w:br/>
              <w:t>($0.10)</w:t>
            </w:r>
          </w:p>
        </w:tc>
        <w:tc>
          <w:tcPr>
            <w:tcW w:w="556" w:type="pct"/>
          </w:tcPr>
          <w:p w14:paraId="1C64260D" w14:textId="77777777" w:rsidR="000D07EA" w:rsidRDefault="00BE7C89">
            <w:pPr>
              <w:pStyle w:val="BodyText"/>
              <w:spacing w:before="100" w:after="100"/>
              <w:jc w:val="center"/>
              <w:rPr>
                <w:lang w:val="en-AU" w:eastAsia="en-AU"/>
              </w:rPr>
            </w:pPr>
            <w:r>
              <w:rPr>
                <w:lang w:val="en-AU" w:eastAsia="en-AU"/>
              </w:rPr>
              <w:t>$0.09</w:t>
            </w:r>
            <w:r>
              <w:rPr>
                <w:lang w:val="en-AU" w:eastAsia="en-AU"/>
              </w:rPr>
              <w:br/>
              <w:t>($0.10)</w:t>
            </w:r>
          </w:p>
        </w:tc>
      </w:tr>
      <w:tr w:rsidR="000D07EA" w14:paraId="0EE41FA8" w14:textId="77777777">
        <w:tc>
          <w:tcPr>
            <w:tcW w:w="553" w:type="pct"/>
          </w:tcPr>
          <w:p w14:paraId="325E4752" w14:textId="77777777" w:rsidR="000D07EA" w:rsidRDefault="00BE7C89">
            <w:pPr>
              <w:pStyle w:val="BodyText"/>
              <w:spacing w:before="100" w:after="100"/>
              <w:rPr>
                <w:b/>
                <w:i/>
                <w:lang w:val="en-AU" w:eastAsia="en-AU"/>
              </w:rPr>
            </w:pPr>
            <w:r>
              <w:rPr>
                <w:b/>
                <w:i/>
                <w:lang w:val="en-AU" w:eastAsia="en-AU"/>
              </w:rPr>
              <w:t>Flagfall</w:t>
            </w:r>
          </w:p>
        </w:tc>
        <w:tc>
          <w:tcPr>
            <w:tcW w:w="556" w:type="pct"/>
          </w:tcPr>
          <w:p w14:paraId="65E2D3F4" w14:textId="77777777" w:rsidR="000D07EA" w:rsidRDefault="00BE7C89">
            <w:pPr>
              <w:pStyle w:val="BodyText"/>
              <w:spacing w:before="100" w:after="100"/>
              <w:jc w:val="center"/>
              <w:rPr>
                <w:lang w:val="en-AU" w:eastAsia="en-AU"/>
              </w:rPr>
            </w:pPr>
            <w:r>
              <w:rPr>
                <w:lang w:val="en-AU" w:eastAsia="en-AU"/>
              </w:rPr>
              <w:t>$0.20</w:t>
            </w:r>
            <w:r>
              <w:rPr>
                <w:lang w:val="en-AU" w:eastAsia="en-AU"/>
              </w:rPr>
              <w:br/>
              <w:t>($0.22)</w:t>
            </w:r>
          </w:p>
        </w:tc>
        <w:tc>
          <w:tcPr>
            <w:tcW w:w="556" w:type="pct"/>
          </w:tcPr>
          <w:p w14:paraId="49EA1633" w14:textId="77777777" w:rsidR="000D07EA" w:rsidRDefault="00BE7C89">
            <w:pPr>
              <w:pStyle w:val="BodyText"/>
              <w:spacing w:before="100" w:after="100"/>
              <w:jc w:val="center"/>
              <w:rPr>
                <w:lang w:val="en-AU" w:eastAsia="en-AU"/>
              </w:rPr>
            </w:pPr>
            <w:r>
              <w:rPr>
                <w:lang w:val="en-AU" w:eastAsia="en-AU"/>
              </w:rPr>
              <w:t>$0.20</w:t>
            </w:r>
            <w:r>
              <w:rPr>
                <w:lang w:val="en-AU" w:eastAsia="en-AU"/>
              </w:rPr>
              <w:br/>
              <w:t>($0.22)</w:t>
            </w:r>
          </w:p>
        </w:tc>
        <w:tc>
          <w:tcPr>
            <w:tcW w:w="556" w:type="pct"/>
          </w:tcPr>
          <w:p w14:paraId="34628535" w14:textId="77777777" w:rsidR="000D07EA" w:rsidRDefault="00BE7C89">
            <w:pPr>
              <w:pStyle w:val="BodyText"/>
              <w:spacing w:before="100" w:after="100"/>
              <w:jc w:val="center"/>
              <w:rPr>
                <w:lang w:val="en-AU" w:eastAsia="en-AU"/>
              </w:rPr>
            </w:pPr>
            <w:r>
              <w:rPr>
                <w:lang w:val="en-AU" w:eastAsia="en-AU"/>
              </w:rPr>
              <w:t>$0.18</w:t>
            </w:r>
            <w:r>
              <w:rPr>
                <w:lang w:val="en-AU" w:eastAsia="en-AU"/>
              </w:rPr>
              <w:br/>
              <w:t>($0.20)</w:t>
            </w:r>
          </w:p>
        </w:tc>
        <w:tc>
          <w:tcPr>
            <w:tcW w:w="556" w:type="pct"/>
          </w:tcPr>
          <w:p w14:paraId="429D248F" w14:textId="77777777" w:rsidR="000D07EA" w:rsidRDefault="00BE7C89">
            <w:pPr>
              <w:pStyle w:val="BodyText"/>
              <w:spacing w:before="100" w:after="100"/>
              <w:jc w:val="center"/>
              <w:rPr>
                <w:lang w:val="en-AU" w:eastAsia="en-AU"/>
              </w:rPr>
            </w:pPr>
            <w:r>
              <w:rPr>
                <w:lang w:val="en-AU" w:eastAsia="en-AU"/>
              </w:rPr>
              <w:t>$0.18</w:t>
            </w:r>
            <w:r>
              <w:rPr>
                <w:lang w:val="en-AU" w:eastAsia="en-AU"/>
              </w:rPr>
              <w:br/>
              <w:t>($0.20)</w:t>
            </w:r>
          </w:p>
        </w:tc>
        <w:tc>
          <w:tcPr>
            <w:tcW w:w="556" w:type="pct"/>
          </w:tcPr>
          <w:p w14:paraId="219067C7" w14:textId="77777777" w:rsidR="000D07EA" w:rsidRDefault="00BE7C89">
            <w:pPr>
              <w:pStyle w:val="BodyText"/>
              <w:spacing w:before="100" w:after="100"/>
              <w:jc w:val="center"/>
              <w:rPr>
                <w:lang w:val="en-AU" w:eastAsia="en-AU"/>
              </w:rPr>
            </w:pPr>
            <w:r>
              <w:rPr>
                <w:lang w:val="en-AU" w:eastAsia="en-AU"/>
              </w:rPr>
              <w:t>$0.18</w:t>
            </w:r>
            <w:r>
              <w:rPr>
                <w:lang w:val="en-AU" w:eastAsia="en-AU"/>
              </w:rPr>
              <w:br/>
              <w:t>($0.20)</w:t>
            </w:r>
          </w:p>
        </w:tc>
        <w:tc>
          <w:tcPr>
            <w:tcW w:w="556" w:type="pct"/>
          </w:tcPr>
          <w:p w14:paraId="3BEA115D" w14:textId="77777777" w:rsidR="000D07EA" w:rsidRDefault="00BE7C89">
            <w:pPr>
              <w:pStyle w:val="BodyText"/>
              <w:spacing w:before="100" w:after="100"/>
              <w:jc w:val="center"/>
              <w:rPr>
                <w:lang w:val="en-AU" w:eastAsia="en-AU"/>
              </w:rPr>
            </w:pPr>
            <w:r>
              <w:rPr>
                <w:lang w:val="en-AU" w:eastAsia="en-AU"/>
              </w:rPr>
              <w:t>$0.18</w:t>
            </w:r>
            <w:r>
              <w:rPr>
                <w:lang w:val="en-AU" w:eastAsia="en-AU"/>
              </w:rPr>
              <w:br/>
              <w:t>($0.20)</w:t>
            </w:r>
          </w:p>
        </w:tc>
        <w:tc>
          <w:tcPr>
            <w:tcW w:w="556" w:type="pct"/>
          </w:tcPr>
          <w:p w14:paraId="1DA8EEFC" w14:textId="77777777" w:rsidR="000D07EA" w:rsidRDefault="00BE7C89">
            <w:pPr>
              <w:pStyle w:val="BodyText"/>
              <w:spacing w:before="100" w:after="100"/>
              <w:jc w:val="center"/>
              <w:rPr>
                <w:lang w:val="en-AU" w:eastAsia="en-AU"/>
              </w:rPr>
            </w:pPr>
            <w:r>
              <w:rPr>
                <w:lang w:val="en-AU" w:eastAsia="en-AU"/>
              </w:rPr>
              <w:t>$0.18</w:t>
            </w:r>
            <w:r>
              <w:rPr>
                <w:lang w:val="en-AU" w:eastAsia="en-AU"/>
              </w:rPr>
              <w:br/>
              <w:t>($0.20)</w:t>
            </w:r>
          </w:p>
        </w:tc>
        <w:tc>
          <w:tcPr>
            <w:tcW w:w="556" w:type="pct"/>
          </w:tcPr>
          <w:p w14:paraId="74E4F6FC" w14:textId="77777777" w:rsidR="000D07EA" w:rsidRDefault="00BE7C89">
            <w:pPr>
              <w:pStyle w:val="BodyText"/>
              <w:spacing w:before="100" w:after="100"/>
              <w:jc w:val="center"/>
              <w:rPr>
                <w:lang w:val="en-AU" w:eastAsia="en-AU"/>
              </w:rPr>
            </w:pPr>
            <w:r>
              <w:rPr>
                <w:lang w:val="en-AU" w:eastAsia="en-AU"/>
              </w:rPr>
              <w:t>$0.18</w:t>
            </w:r>
            <w:r>
              <w:rPr>
                <w:lang w:val="en-AU" w:eastAsia="en-AU"/>
              </w:rPr>
              <w:br/>
              <w:t>($0.20)</w:t>
            </w:r>
          </w:p>
        </w:tc>
      </w:tr>
      <w:tr w:rsidR="000D07EA" w14:paraId="32699A77" w14:textId="77777777">
        <w:tc>
          <w:tcPr>
            <w:tcW w:w="553" w:type="pct"/>
          </w:tcPr>
          <w:p w14:paraId="609F181E" w14:textId="77777777" w:rsidR="000D07EA" w:rsidRDefault="00BE7C89">
            <w:pPr>
              <w:pStyle w:val="BodyText"/>
              <w:spacing w:before="100" w:after="100"/>
              <w:rPr>
                <w:b/>
                <w:i/>
                <w:lang w:val="en-AU" w:eastAsia="en-AU"/>
              </w:rPr>
            </w:pPr>
            <w:r>
              <w:rPr>
                <w:b/>
                <w:i/>
                <w:lang w:val="en-AU" w:eastAsia="en-AU"/>
              </w:rPr>
              <w:t>Minimum term</w:t>
            </w:r>
          </w:p>
        </w:tc>
        <w:tc>
          <w:tcPr>
            <w:tcW w:w="556" w:type="pct"/>
          </w:tcPr>
          <w:p w14:paraId="526D178E" w14:textId="77777777" w:rsidR="000D07EA" w:rsidRDefault="00BE7C89">
            <w:pPr>
              <w:pStyle w:val="BodyText"/>
              <w:spacing w:before="100" w:after="100"/>
              <w:jc w:val="center"/>
              <w:rPr>
                <w:lang w:val="en-AU" w:eastAsia="en-AU"/>
              </w:rPr>
            </w:pPr>
            <w:r>
              <w:rPr>
                <w:lang w:val="en-AU" w:eastAsia="en-AU"/>
              </w:rPr>
              <w:t>Monthly or 12 or 24 Months</w:t>
            </w:r>
          </w:p>
        </w:tc>
        <w:tc>
          <w:tcPr>
            <w:tcW w:w="556" w:type="pct"/>
          </w:tcPr>
          <w:p w14:paraId="3E2D8890" w14:textId="77777777" w:rsidR="000D07EA" w:rsidRDefault="00BE7C89">
            <w:pPr>
              <w:pStyle w:val="BodyText"/>
              <w:spacing w:before="100" w:after="100"/>
              <w:jc w:val="center"/>
              <w:rPr>
                <w:lang w:val="en-AU" w:eastAsia="en-AU"/>
              </w:rPr>
            </w:pPr>
            <w:r>
              <w:rPr>
                <w:lang w:val="en-AU" w:eastAsia="en-AU"/>
              </w:rPr>
              <w:t>Monthly or 12 or 24 Months</w:t>
            </w:r>
          </w:p>
        </w:tc>
        <w:tc>
          <w:tcPr>
            <w:tcW w:w="556" w:type="pct"/>
          </w:tcPr>
          <w:p w14:paraId="73DCDE51" w14:textId="77777777" w:rsidR="000D07EA" w:rsidRDefault="00BE7C89">
            <w:pPr>
              <w:pStyle w:val="BodyText"/>
              <w:spacing w:before="100" w:after="100"/>
              <w:jc w:val="center"/>
              <w:rPr>
                <w:lang w:val="en-AU" w:eastAsia="en-AU"/>
              </w:rPr>
            </w:pPr>
            <w:r>
              <w:rPr>
                <w:lang w:val="en-AU" w:eastAsia="en-AU"/>
              </w:rPr>
              <w:t>Monthly or 12 or 24 Months</w:t>
            </w:r>
          </w:p>
        </w:tc>
        <w:tc>
          <w:tcPr>
            <w:tcW w:w="556" w:type="pct"/>
          </w:tcPr>
          <w:p w14:paraId="7B49B9BD" w14:textId="77777777" w:rsidR="000D07EA" w:rsidRDefault="00BE7C89">
            <w:pPr>
              <w:pStyle w:val="BodyText"/>
              <w:spacing w:before="100" w:after="100"/>
              <w:jc w:val="center"/>
              <w:rPr>
                <w:lang w:val="en-AU" w:eastAsia="en-AU"/>
              </w:rPr>
            </w:pPr>
            <w:r>
              <w:rPr>
                <w:lang w:val="en-AU" w:eastAsia="en-AU"/>
              </w:rPr>
              <w:t>Monthly or 12 or 24 Months</w:t>
            </w:r>
          </w:p>
        </w:tc>
        <w:tc>
          <w:tcPr>
            <w:tcW w:w="556" w:type="pct"/>
          </w:tcPr>
          <w:p w14:paraId="566792A7" w14:textId="77777777" w:rsidR="000D07EA" w:rsidRDefault="00BE7C89">
            <w:pPr>
              <w:pStyle w:val="BodyText"/>
              <w:spacing w:before="100" w:after="100"/>
              <w:jc w:val="center"/>
              <w:rPr>
                <w:lang w:val="en-AU" w:eastAsia="en-AU"/>
              </w:rPr>
            </w:pPr>
            <w:r>
              <w:rPr>
                <w:lang w:val="en-AU" w:eastAsia="en-AU"/>
              </w:rPr>
              <w:t>Monthly or 12 or 24 Months</w:t>
            </w:r>
          </w:p>
        </w:tc>
        <w:tc>
          <w:tcPr>
            <w:tcW w:w="556" w:type="pct"/>
          </w:tcPr>
          <w:p w14:paraId="5E71E868" w14:textId="77777777" w:rsidR="000D07EA" w:rsidRDefault="00BE7C89">
            <w:pPr>
              <w:pStyle w:val="BodyText"/>
              <w:spacing w:before="100" w:after="100"/>
              <w:jc w:val="center"/>
              <w:rPr>
                <w:lang w:val="en-AU" w:eastAsia="en-AU"/>
              </w:rPr>
            </w:pPr>
            <w:r>
              <w:rPr>
                <w:lang w:val="en-AU" w:eastAsia="en-AU"/>
              </w:rPr>
              <w:t>Monthly or 12 or 24 Months</w:t>
            </w:r>
          </w:p>
        </w:tc>
        <w:tc>
          <w:tcPr>
            <w:tcW w:w="556" w:type="pct"/>
          </w:tcPr>
          <w:p w14:paraId="52EDD285" w14:textId="77777777" w:rsidR="000D07EA" w:rsidRDefault="00BE7C89">
            <w:pPr>
              <w:pStyle w:val="BodyText"/>
              <w:spacing w:before="100" w:after="100"/>
              <w:jc w:val="center"/>
              <w:rPr>
                <w:lang w:val="en-AU" w:eastAsia="en-AU"/>
              </w:rPr>
            </w:pPr>
            <w:r>
              <w:rPr>
                <w:lang w:val="en-AU" w:eastAsia="en-AU"/>
              </w:rPr>
              <w:t>Monthly or 12 or 24 Months</w:t>
            </w:r>
          </w:p>
        </w:tc>
        <w:tc>
          <w:tcPr>
            <w:tcW w:w="556" w:type="pct"/>
          </w:tcPr>
          <w:p w14:paraId="08B21202" w14:textId="77777777" w:rsidR="000D07EA" w:rsidRDefault="00BE7C89">
            <w:pPr>
              <w:pStyle w:val="BodyText"/>
              <w:spacing w:before="100" w:after="100"/>
              <w:jc w:val="center"/>
              <w:rPr>
                <w:lang w:val="en-AU" w:eastAsia="en-AU"/>
              </w:rPr>
            </w:pPr>
            <w:r>
              <w:rPr>
                <w:lang w:val="en-AU" w:eastAsia="en-AU"/>
              </w:rPr>
              <w:t>Monthly or 12 or 24 Months</w:t>
            </w:r>
          </w:p>
        </w:tc>
      </w:tr>
    </w:tbl>
    <w:p w14:paraId="18578280" w14:textId="77777777" w:rsidR="000D07EA" w:rsidRDefault="00BE7C89">
      <w:pPr>
        <w:pStyle w:val="BodyText"/>
        <w:spacing w:after="0"/>
        <w:rPr>
          <w:sz w:val="16"/>
          <w:szCs w:val="16"/>
          <w:lang w:val="en-AU" w:eastAsia="en-AU"/>
        </w:rPr>
      </w:pPr>
      <w:r>
        <w:rPr>
          <w:sz w:val="16"/>
          <w:szCs w:val="16"/>
          <w:lang w:val="en-AU" w:eastAsia="en-AU"/>
        </w:rPr>
        <w:t>Please note:</w:t>
      </w:r>
    </w:p>
    <w:p w14:paraId="703635F9" w14:textId="77777777" w:rsidR="000D07EA" w:rsidRDefault="00BE7C89">
      <w:pPr>
        <w:pStyle w:val="BodyText"/>
        <w:spacing w:after="0"/>
        <w:rPr>
          <w:sz w:val="16"/>
          <w:szCs w:val="16"/>
          <w:lang w:val="en-AU"/>
        </w:rPr>
      </w:pPr>
      <w:r>
        <w:rPr>
          <w:sz w:val="16"/>
          <w:szCs w:val="16"/>
          <w:lang w:val="en-AU"/>
        </w:rPr>
        <w:t>(i)</w:t>
      </w:r>
      <w:r>
        <w:rPr>
          <w:sz w:val="16"/>
          <w:szCs w:val="16"/>
          <w:lang w:val="en-AU"/>
        </w:rPr>
        <w:tab/>
        <w:t>"SmartFleet", "SmartRate" and "BusinessTime" call rates may apply.</w:t>
      </w:r>
    </w:p>
    <w:p w14:paraId="6AC18A9D" w14:textId="77777777" w:rsidR="000D07EA" w:rsidRDefault="00BE7C89">
      <w:pPr>
        <w:pStyle w:val="BodyText"/>
        <w:spacing w:after="0"/>
        <w:rPr>
          <w:sz w:val="16"/>
          <w:szCs w:val="16"/>
          <w:lang w:val="en-AU"/>
        </w:rPr>
      </w:pPr>
      <w:r>
        <w:rPr>
          <w:sz w:val="16"/>
          <w:szCs w:val="16"/>
          <w:lang w:val="en-AU"/>
        </w:rPr>
        <w:t>(ii)</w:t>
      </w:r>
      <w:r>
        <w:rPr>
          <w:sz w:val="16"/>
          <w:szCs w:val="16"/>
          <w:lang w:val="en-AU"/>
        </w:rPr>
        <w:tab/>
        <w:t>Minimum Monthly Commitment applies regardless of your calls and services usage.</w:t>
      </w:r>
    </w:p>
    <w:p w14:paraId="1DEF9E4D" w14:textId="77777777" w:rsidR="000D07EA" w:rsidRDefault="000D07EA">
      <w:pPr>
        <w:pStyle w:val="BodyText"/>
        <w:rPr>
          <w:rFonts w:ascii="Times New Roman" w:eastAsia="Times New Roman" w:hAnsi="Times New Roman"/>
          <w:sz w:val="24"/>
          <w:lang w:val="en-AU"/>
        </w:rPr>
      </w:pPr>
    </w:p>
    <w:p w14:paraId="0C98ADB8" w14:textId="77777777" w:rsidR="000D07EA" w:rsidRDefault="00BE7C89">
      <w:pPr>
        <w:pStyle w:val="BodyText"/>
        <w:rPr>
          <w:lang w:val="en-AU"/>
        </w:rPr>
      </w:pPr>
      <w:r>
        <w:rPr>
          <w:rFonts w:ascii="Times New Roman" w:eastAsia="Times New Roman" w:hAnsi="Times New Roman"/>
          <w:sz w:val="24"/>
          <w:lang w:val="en-AU"/>
        </w:rPr>
        <w:br w:type="page"/>
      </w:r>
      <w:r>
        <w:rPr>
          <w:lang w:val="en-AU"/>
        </w:rPr>
        <w:lastRenderedPageBreak/>
        <w:t xml:space="preserve">The following applies to </w:t>
      </w:r>
      <w:r>
        <w:rPr>
          <w:i/>
          <w:lang w:val="en-AU"/>
        </w:rPr>
        <w:t>you</w:t>
      </w:r>
      <w:r>
        <w:rPr>
          <w:lang w:val="en-AU"/>
        </w:rPr>
        <w:t xml:space="preserve"> if </w:t>
      </w:r>
      <w:r>
        <w:rPr>
          <w:i/>
          <w:lang w:val="en-AU"/>
        </w:rPr>
        <w:t>you</w:t>
      </w:r>
      <w:r>
        <w:rPr>
          <w:lang w:val="en-AU"/>
        </w:rPr>
        <w:t xml:space="preserve"> connected to a 'yes' Business Smart plan after 28 July 2008: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74"/>
        <w:gridCol w:w="1683"/>
        <w:gridCol w:w="1682"/>
        <w:gridCol w:w="1682"/>
        <w:gridCol w:w="1682"/>
        <w:gridCol w:w="1682"/>
        <w:gridCol w:w="1682"/>
        <w:gridCol w:w="1682"/>
        <w:gridCol w:w="1679"/>
      </w:tblGrid>
      <w:tr w:rsidR="000D07EA" w14:paraId="26271FEC" w14:textId="77777777">
        <w:tc>
          <w:tcPr>
            <w:tcW w:w="553" w:type="pct"/>
          </w:tcPr>
          <w:p w14:paraId="584D12BB" w14:textId="77777777" w:rsidR="000D07EA" w:rsidRDefault="00BE7C89">
            <w:pPr>
              <w:pStyle w:val="BodyText"/>
              <w:spacing w:before="100" w:after="100"/>
              <w:rPr>
                <w:color w:val="000000"/>
                <w:lang w:val="en-AU" w:eastAsia="en-AU"/>
              </w:rPr>
            </w:pPr>
            <w:r>
              <w:rPr>
                <w:lang w:val="en-AU" w:eastAsia="en-AU"/>
              </w:rPr>
              <w:t>Charge Type</w:t>
            </w:r>
          </w:p>
        </w:tc>
        <w:tc>
          <w:tcPr>
            <w:tcW w:w="556" w:type="pct"/>
          </w:tcPr>
          <w:p w14:paraId="1FD47431" w14:textId="77777777" w:rsidR="000D07EA" w:rsidRDefault="00BE7C89">
            <w:pPr>
              <w:pStyle w:val="BodyText"/>
              <w:spacing w:before="100" w:after="100"/>
              <w:jc w:val="center"/>
              <w:rPr>
                <w:b/>
                <w:lang w:val="en-AU" w:eastAsia="en-AU"/>
              </w:rPr>
            </w:pPr>
            <w:r>
              <w:rPr>
                <w:b/>
                <w:lang w:val="en-AU" w:eastAsia="en-AU"/>
              </w:rPr>
              <w:t>'yes' Business Smart 29 Plan</w:t>
            </w:r>
          </w:p>
        </w:tc>
        <w:tc>
          <w:tcPr>
            <w:tcW w:w="556" w:type="pct"/>
          </w:tcPr>
          <w:p w14:paraId="347A30A0" w14:textId="77777777" w:rsidR="000D07EA" w:rsidRDefault="00BE7C89">
            <w:pPr>
              <w:pStyle w:val="BodyText"/>
              <w:spacing w:before="100" w:after="100"/>
              <w:jc w:val="center"/>
              <w:rPr>
                <w:b/>
                <w:lang w:val="en-AU" w:eastAsia="en-AU"/>
              </w:rPr>
            </w:pPr>
            <w:r>
              <w:rPr>
                <w:b/>
                <w:lang w:val="en-AU" w:eastAsia="en-AU"/>
              </w:rPr>
              <w:t>'yes' Business Smart 39 Plan</w:t>
            </w:r>
          </w:p>
        </w:tc>
        <w:tc>
          <w:tcPr>
            <w:tcW w:w="556" w:type="pct"/>
          </w:tcPr>
          <w:p w14:paraId="4EA84623" w14:textId="77777777" w:rsidR="000D07EA" w:rsidRDefault="00BE7C89">
            <w:pPr>
              <w:pStyle w:val="BodyText"/>
              <w:spacing w:before="100" w:after="100"/>
              <w:jc w:val="center"/>
              <w:rPr>
                <w:b/>
                <w:lang w:val="en-AU" w:eastAsia="en-AU"/>
              </w:rPr>
            </w:pPr>
            <w:r>
              <w:rPr>
                <w:b/>
                <w:lang w:val="en-AU" w:eastAsia="en-AU"/>
              </w:rPr>
              <w:t>'yes' Business Smart 49 Plan</w:t>
            </w:r>
          </w:p>
        </w:tc>
        <w:tc>
          <w:tcPr>
            <w:tcW w:w="556" w:type="pct"/>
          </w:tcPr>
          <w:p w14:paraId="289788A7" w14:textId="77777777" w:rsidR="000D07EA" w:rsidRDefault="00BE7C89">
            <w:pPr>
              <w:pStyle w:val="BodyText"/>
              <w:spacing w:before="100" w:after="100"/>
              <w:jc w:val="center"/>
              <w:rPr>
                <w:b/>
                <w:lang w:val="en-AU" w:eastAsia="en-AU"/>
              </w:rPr>
            </w:pPr>
            <w:r>
              <w:rPr>
                <w:b/>
                <w:lang w:val="en-AU" w:eastAsia="en-AU"/>
              </w:rPr>
              <w:t>'yes' Business Smart 59 Plan</w:t>
            </w:r>
          </w:p>
        </w:tc>
        <w:tc>
          <w:tcPr>
            <w:tcW w:w="556" w:type="pct"/>
          </w:tcPr>
          <w:p w14:paraId="586243A3" w14:textId="77777777" w:rsidR="000D07EA" w:rsidRDefault="00BE7C89">
            <w:pPr>
              <w:pStyle w:val="BodyText"/>
              <w:spacing w:before="100" w:after="100"/>
              <w:jc w:val="center"/>
              <w:rPr>
                <w:b/>
                <w:lang w:val="en-AU" w:eastAsia="en-AU"/>
              </w:rPr>
            </w:pPr>
            <w:r>
              <w:rPr>
                <w:b/>
                <w:lang w:val="en-AU" w:eastAsia="en-AU"/>
              </w:rPr>
              <w:t>'yes' Business Smart 79 Plan</w:t>
            </w:r>
          </w:p>
        </w:tc>
        <w:tc>
          <w:tcPr>
            <w:tcW w:w="556" w:type="pct"/>
          </w:tcPr>
          <w:p w14:paraId="4CC99D4E" w14:textId="77777777" w:rsidR="000D07EA" w:rsidRDefault="00BE7C89">
            <w:pPr>
              <w:pStyle w:val="BodyText"/>
              <w:spacing w:before="100" w:after="100"/>
              <w:jc w:val="center"/>
              <w:rPr>
                <w:b/>
                <w:lang w:val="en-AU" w:eastAsia="en-AU"/>
              </w:rPr>
            </w:pPr>
            <w:r>
              <w:rPr>
                <w:b/>
                <w:lang w:val="en-AU" w:eastAsia="en-AU"/>
              </w:rPr>
              <w:t>'yes' Business Smart 99 Plan</w:t>
            </w:r>
          </w:p>
        </w:tc>
        <w:tc>
          <w:tcPr>
            <w:tcW w:w="556" w:type="pct"/>
          </w:tcPr>
          <w:p w14:paraId="6DA4920C" w14:textId="77777777" w:rsidR="000D07EA" w:rsidRDefault="00BE7C89">
            <w:pPr>
              <w:pStyle w:val="BodyText"/>
              <w:spacing w:before="100" w:after="100"/>
              <w:jc w:val="center"/>
              <w:rPr>
                <w:b/>
                <w:lang w:val="en-AU" w:eastAsia="en-AU"/>
              </w:rPr>
            </w:pPr>
            <w:r>
              <w:rPr>
                <w:b/>
                <w:lang w:val="en-AU" w:eastAsia="en-AU"/>
              </w:rPr>
              <w:t>'yes' Business Smart 149 Plan</w:t>
            </w:r>
          </w:p>
        </w:tc>
        <w:tc>
          <w:tcPr>
            <w:tcW w:w="555" w:type="pct"/>
          </w:tcPr>
          <w:p w14:paraId="5D83D8F5" w14:textId="77777777" w:rsidR="000D07EA" w:rsidRDefault="00BE7C89">
            <w:pPr>
              <w:pStyle w:val="BodyText"/>
              <w:spacing w:before="100" w:after="100"/>
              <w:jc w:val="center"/>
              <w:rPr>
                <w:b/>
                <w:lang w:val="en-AU" w:eastAsia="en-AU"/>
              </w:rPr>
            </w:pPr>
            <w:r>
              <w:rPr>
                <w:b/>
                <w:lang w:val="en-AU" w:eastAsia="en-AU"/>
              </w:rPr>
              <w:t>'yes' Business Smart 249 Plan</w:t>
            </w:r>
          </w:p>
        </w:tc>
      </w:tr>
      <w:tr w:rsidR="000D07EA" w14:paraId="2A784C3B" w14:textId="77777777">
        <w:tc>
          <w:tcPr>
            <w:tcW w:w="553" w:type="pct"/>
          </w:tcPr>
          <w:p w14:paraId="4600704F" w14:textId="77777777" w:rsidR="000D07EA" w:rsidRDefault="00BE7C89">
            <w:pPr>
              <w:pStyle w:val="BodyText"/>
              <w:spacing w:before="100" w:after="100"/>
              <w:rPr>
                <w:b/>
                <w:lang w:val="en-AU" w:eastAsia="en-AU"/>
              </w:rPr>
            </w:pPr>
            <w:r>
              <w:rPr>
                <w:b/>
                <w:lang w:val="en-AU" w:eastAsia="en-AU"/>
              </w:rPr>
              <w:t>Minimum Monthly Commitment</w:t>
            </w:r>
          </w:p>
        </w:tc>
        <w:tc>
          <w:tcPr>
            <w:tcW w:w="556" w:type="pct"/>
          </w:tcPr>
          <w:p w14:paraId="19E15CCB" w14:textId="77777777" w:rsidR="000D07EA" w:rsidRDefault="00BE7C89">
            <w:pPr>
              <w:pStyle w:val="BodyText"/>
              <w:spacing w:before="100" w:after="100"/>
              <w:jc w:val="center"/>
              <w:rPr>
                <w:lang w:val="en-AU" w:eastAsia="en-AU"/>
              </w:rPr>
            </w:pPr>
            <w:r>
              <w:rPr>
                <w:lang w:val="en-AU" w:eastAsia="en-AU"/>
              </w:rPr>
              <w:t>$26.36</w:t>
            </w:r>
            <w:r>
              <w:rPr>
                <w:lang w:val="en-AU" w:eastAsia="en-AU"/>
              </w:rPr>
              <w:br/>
              <w:t>($29.00)</w:t>
            </w:r>
          </w:p>
        </w:tc>
        <w:tc>
          <w:tcPr>
            <w:tcW w:w="556" w:type="pct"/>
          </w:tcPr>
          <w:p w14:paraId="75B1A645" w14:textId="77777777" w:rsidR="000D07EA" w:rsidRDefault="00BE7C89">
            <w:pPr>
              <w:pStyle w:val="BodyText"/>
              <w:spacing w:before="100" w:after="100"/>
              <w:jc w:val="center"/>
              <w:rPr>
                <w:lang w:val="en-AU" w:eastAsia="en-AU"/>
              </w:rPr>
            </w:pPr>
            <w:r>
              <w:rPr>
                <w:lang w:val="en-AU" w:eastAsia="en-AU"/>
              </w:rPr>
              <w:t>$35.45</w:t>
            </w:r>
            <w:r>
              <w:rPr>
                <w:lang w:val="en-AU" w:eastAsia="en-AU"/>
              </w:rPr>
              <w:br/>
              <w:t>($39.00)</w:t>
            </w:r>
          </w:p>
        </w:tc>
        <w:tc>
          <w:tcPr>
            <w:tcW w:w="556" w:type="pct"/>
          </w:tcPr>
          <w:p w14:paraId="3B448CB1" w14:textId="77777777" w:rsidR="000D07EA" w:rsidRDefault="00BE7C89">
            <w:pPr>
              <w:pStyle w:val="BodyText"/>
              <w:spacing w:before="100" w:after="100"/>
              <w:jc w:val="center"/>
              <w:rPr>
                <w:lang w:val="en-AU" w:eastAsia="en-AU"/>
              </w:rPr>
            </w:pPr>
            <w:r>
              <w:rPr>
                <w:lang w:val="en-AU" w:eastAsia="en-AU"/>
              </w:rPr>
              <w:t>$44.54</w:t>
            </w:r>
            <w:r>
              <w:rPr>
                <w:lang w:val="en-AU" w:eastAsia="en-AU"/>
              </w:rPr>
              <w:br/>
              <w:t>($49.00)</w:t>
            </w:r>
          </w:p>
        </w:tc>
        <w:tc>
          <w:tcPr>
            <w:tcW w:w="556" w:type="pct"/>
          </w:tcPr>
          <w:p w14:paraId="4FD6443B" w14:textId="77777777" w:rsidR="000D07EA" w:rsidRDefault="00BE7C89">
            <w:pPr>
              <w:pStyle w:val="BodyText"/>
              <w:spacing w:before="100" w:after="100"/>
              <w:jc w:val="center"/>
              <w:rPr>
                <w:lang w:val="en-AU" w:eastAsia="en-AU"/>
              </w:rPr>
            </w:pPr>
            <w:r>
              <w:rPr>
                <w:lang w:val="en-AU" w:eastAsia="en-AU"/>
              </w:rPr>
              <w:t>$53.63</w:t>
            </w:r>
            <w:r>
              <w:rPr>
                <w:lang w:val="en-AU" w:eastAsia="en-AU"/>
              </w:rPr>
              <w:br/>
              <w:t>($59.00)</w:t>
            </w:r>
          </w:p>
        </w:tc>
        <w:tc>
          <w:tcPr>
            <w:tcW w:w="556" w:type="pct"/>
          </w:tcPr>
          <w:p w14:paraId="6A0474C8" w14:textId="77777777" w:rsidR="000D07EA" w:rsidRDefault="00BE7C89">
            <w:pPr>
              <w:pStyle w:val="BodyText"/>
              <w:spacing w:before="100" w:after="100"/>
              <w:jc w:val="center"/>
              <w:rPr>
                <w:lang w:val="en-AU" w:eastAsia="en-AU"/>
              </w:rPr>
            </w:pPr>
            <w:r>
              <w:rPr>
                <w:lang w:val="en-AU" w:eastAsia="en-AU"/>
              </w:rPr>
              <w:t>$71.81</w:t>
            </w:r>
            <w:r>
              <w:rPr>
                <w:lang w:val="en-AU" w:eastAsia="en-AU"/>
              </w:rPr>
              <w:br/>
              <w:t>($79.00)</w:t>
            </w:r>
          </w:p>
        </w:tc>
        <w:tc>
          <w:tcPr>
            <w:tcW w:w="556" w:type="pct"/>
          </w:tcPr>
          <w:p w14:paraId="48010555" w14:textId="77777777" w:rsidR="000D07EA" w:rsidRDefault="00BE7C89">
            <w:pPr>
              <w:pStyle w:val="BodyText"/>
              <w:spacing w:before="100" w:after="100"/>
              <w:jc w:val="center"/>
              <w:rPr>
                <w:lang w:val="en-AU" w:eastAsia="en-AU"/>
              </w:rPr>
            </w:pPr>
            <w:r>
              <w:rPr>
                <w:lang w:val="en-AU" w:eastAsia="en-AU"/>
              </w:rPr>
              <w:t>$90.00</w:t>
            </w:r>
            <w:r>
              <w:rPr>
                <w:lang w:val="en-AU" w:eastAsia="en-AU"/>
              </w:rPr>
              <w:br/>
              <w:t>($99.00)</w:t>
            </w:r>
          </w:p>
        </w:tc>
        <w:tc>
          <w:tcPr>
            <w:tcW w:w="556" w:type="pct"/>
          </w:tcPr>
          <w:p w14:paraId="6A365E33" w14:textId="77777777" w:rsidR="000D07EA" w:rsidRDefault="00BE7C89">
            <w:pPr>
              <w:pStyle w:val="BodyText"/>
              <w:spacing w:before="100" w:after="100"/>
              <w:jc w:val="center"/>
              <w:rPr>
                <w:lang w:val="en-AU" w:eastAsia="en-AU"/>
              </w:rPr>
            </w:pPr>
            <w:r>
              <w:rPr>
                <w:lang w:val="en-AU" w:eastAsia="en-AU"/>
              </w:rPr>
              <w:t>$135.45</w:t>
            </w:r>
            <w:r>
              <w:rPr>
                <w:lang w:val="en-AU" w:eastAsia="en-AU"/>
              </w:rPr>
              <w:br/>
              <w:t>($149.00)</w:t>
            </w:r>
          </w:p>
        </w:tc>
        <w:tc>
          <w:tcPr>
            <w:tcW w:w="555" w:type="pct"/>
          </w:tcPr>
          <w:p w14:paraId="42C8BFF1" w14:textId="77777777" w:rsidR="000D07EA" w:rsidRDefault="00BE7C89">
            <w:pPr>
              <w:pStyle w:val="BodyText"/>
              <w:spacing w:before="100" w:after="100"/>
              <w:jc w:val="center"/>
              <w:rPr>
                <w:lang w:val="en-AU" w:eastAsia="en-AU"/>
              </w:rPr>
            </w:pPr>
            <w:r>
              <w:rPr>
                <w:lang w:val="en-AU" w:eastAsia="en-AU"/>
              </w:rPr>
              <w:t>$226.36</w:t>
            </w:r>
            <w:r>
              <w:rPr>
                <w:lang w:val="en-AU" w:eastAsia="en-AU"/>
              </w:rPr>
              <w:br/>
              <w:t>($249.00)</w:t>
            </w:r>
          </w:p>
        </w:tc>
      </w:tr>
      <w:tr w:rsidR="000D07EA" w14:paraId="53A9B9E9" w14:textId="77777777">
        <w:tc>
          <w:tcPr>
            <w:tcW w:w="553" w:type="pct"/>
            <w:tcBorders>
              <w:bottom w:val="nil"/>
            </w:tcBorders>
          </w:tcPr>
          <w:p w14:paraId="64113871" w14:textId="77777777" w:rsidR="000D07EA" w:rsidRDefault="00BE7C89">
            <w:pPr>
              <w:pStyle w:val="BodyText"/>
              <w:spacing w:before="100" w:after="100"/>
              <w:rPr>
                <w:b/>
                <w:lang w:val="en-AU" w:eastAsia="en-AU"/>
              </w:rPr>
            </w:pPr>
            <w:r>
              <w:rPr>
                <w:b/>
                <w:lang w:val="en-AU" w:eastAsia="en-AU"/>
              </w:rPr>
              <w:t>Access fee</w:t>
            </w:r>
          </w:p>
        </w:tc>
        <w:tc>
          <w:tcPr>
            <w:tcW w:w="556" w:type="pct"/>
            <w:tcBorders>
              <w:bottom w:val="nil"/>
            </w:tcBorders>
          </w:tcPr>
          <w:p w14:paraId="03AF2C0F" w14:textId="77777777" w:rsidR="000D07EA" w:rsidRDefault="00BE7C89">
            <w:pPr>
              <w:pStyle w:val="BodyText"/>
              <w:spacing w:before="100" w:after="100"/>
              <w:jc w:val="center"/>
              <w:rPr>
                <w:lang w:val="en-AU" w:eastAsia="en-AU"/>
              </w:rPr>
            </w:pPr>
            <w:r>
              <w:rPr>
                <w:lang w:val="en-AU" w:eastAsia="en-AU"/>
              </w:rPr>
              <w:t>$9.09</w:t>
            </w:r>
            <w:r>
              <w:rPr>
                <w:lang w:val="en-AU" w:eastAsia="en-AU"/>
              </w:rPr>
              <w:br/>
              <w:t>($10)</w:t>
            </w:r>
          </w:p>
        </w:tc>
        <w:tc>
          <w:tcPr>
            <w:tcW w:w="556" w:type="pct"/>
            <w:tcBorders>
              <w:bottom w:val="nil"/>
            </w:tcBorders>
          </w:tcPr>
          <w:p w14:paraId="7239E93A" w14:textId="77777777" w:rsidR="000D07EA" w:rsidRDefault="00BE7C89">
            <w:pPr>
              <w:pStyle w:val="BodyText"/>
              <w:spacing w:before="100" w:after="100"/>
              <w:jc w:val="center"/>
              <w:rPr>
                <w:lang w:val="en-AU" w:eastAsia="en-AU"/>
              </w:rPr>
            </w:pPr>
            <w:r>
              <w:rPr>
                <w:lang w:val="en-AU" w:eastAsia="en-AU"/>
              </w:rPr>
              <w:t>$0</w:t>
            </w:r>
          </w:p>
        </w:tc>
        <w:tc>
          <w:tcPr>
            <w:tcW w:w="556" w:type="pct"/>
            <w:tcBorders>
              <w:bottom w:val="nil"/>
            </w:tcBorders>
          </w:tcPr>
          <w:p w14:paraId="32B55599" w14:textId="77777777" w:rsidR="000D07EA" w:rsidRDefault="00BE7C89">
            <w:pPr>
              <w:pStyle w:val="BodyText"/>
              <w:spacing w:before="100" w:after="100"/>
              <w:jc w:val="center"/>
              <w:rPr>
                <w:lang w:val="en-AU" w:eastAsia="en-AU"/>
              </w:rPr>
            </w:pPr>
            <w:r>
              <w:rPr>
                <w:lang w:val="en-AU" w:eastAsia="en-AU"/>
              </w:rPr>
              <w:t>$0</w:t>
            </w:r>
          </w:p>
        </w:tc>
        <w:tc>
          <w:tcPr>
            <w:tcW w:w="556" w:type="pct"/>
            <w:tcBorders>
              <w:bottom w:val="nil"/>
            </w:tcBorders>
          </w:tcPr>
          <w:p w14:paraId="71A1AE6A" w14:textId="77777777" w:rsidR="000D07EA" w:rsidRDefault="00BE7C89">
            <w:pPr>
              <w:pStyle w:val="BodyText"/>
              <w:spacing w:before="100" w:after="100"/>
              <w:jc w:val="center"/>
              <w:rPr>
                <w:lang w:val="en-AU" w:eastAsia="en-AU"/>
              </w:rPr>
            </w:pPr>
            <w:r>
              <w:rPr>
                <w:lang w:val="en-AU" w:eastAsia="en-AU"/>
              </w:rPr>
              <w:t>$0</w:t>
            </w:r>
          </w:p>
        </w:tc>
        <w:tc>
          <w:tcPr>
            <w:tcW w:w="556" w:type="pct"/>
            <w:tcBorders>
              <w:bottom w:val="nil"/>
            </w:tcBorders>
          </w:tcPr>
          <w:p w14:paraId="62ACFE8F" w14:textId="77777777" w:rsidR="000D07EA" w:rsidRDefault="00BE7C89">
            <w:pPr>
              <w:pStyle w:val="BodyText"/>
              <w:spacing w:before="100" w:after="100"/>
              <w:jc w:val="center"/>
              <w:rPr>
                <w:lang w:val="en-AU" w:eastAsia="en-AU"/>
              </w:rPr>
            </w:pPr>
            <w:r>
              <w:rPr>
                <w:lang w:val="en-AU" w:eastAsia="en-AU"/>
              </w:rPr>
              <w:t>$0</w:t>
            </w:r>
          </w:p>
        </w:tc>
        <w:tc>
          <w:tcPr>
            <w:tcW w:w="556" w:type="pct"/>
            <w:tcBorders>
              <w:bottom w:val="nil"/>
            </w:tcBorders>
          </w:tcPr>
          <w:p w14:paraId="21AE9D13" w14:textId="77777777" w:rsidR="000D07EA" w:rsidRDefault="00BE7C89">
            <w:pPr>
              <w:pStyle w:val="BodyText"/>
              <w:spacing w:before="100" w:after="100"/>
              <w:jc w:val="center"/>
              <w:rPr>
                <w:lang w:val="en-AU" w:eastAsia="en-AU"/>
              </w:rPr>
            </w:pPr>
            <w:r>
              <w:rPr>
                <w:lang w:val="en-AU" w:eastAsia="en-AU"/>
              </w:rPr>
              <w:t>$0</w:t>
            </w:r>
          </w:p>
        </w:tc>
        <w:tc>
          <w:tcPr>
            <w:tcW w:w="556" w:type="pct"/>
            <w:tcBorders>
              <w:bottom w:val="nil"/>
            </w:tcBorders>
          </w:tcPr>
          <w:p w14:paraId="42CCB5AC" w14:textId="77777777" w:rsidR="000D07EA" w:rsidRDefault="00BE7C89">
            <w:pPr>
              <w:pStyle w:val="BodyText"/>
              <w:spacing w:before="100" w:after="100"/>
              <w:jc w:val="center"/>
              <w:rPr>
                <w:lang w:val="en-AU" w:eastAsia="en-AU"/>
              </w:rPr>
            </w:pPr>
            <w:r>
              <w:rPr>
                <w:lang w:val="en-AU" w:eastAsia="en-AU"/>
              </w:rPr>
              <w:t>$0</w:t>
            </w:r>
          </w:p>
        </w:tc>
        <w:tc>
          <w:tcPr>
            <w:tcW w:w="555" w:type="pct"/>
            <w:tcBorders>
              <w:bottom w:val="nil"/>
            </w:tcBorders>
          </w:tcPr>
          <w:p w14:paraId="4262642C" w14:textId="77777777" w:rsidR="000D07EA" w:rsidRDefault="00BE7C89">
            <w:pPr>
              <w:pStyle w:val="BodyText"/>
              <w:spacing w:before="100" w:after="100"/>
              <w:jc w:val="center"/>
              <w:rPr>
                <w:lang w:val="en-AU" w:eastAsia="en-AU"/>
              </w:rPr>
            </w:pPr>
            <w:r>
              <w:rPr>
                <w:lang w:val="en-AU" w:eastAsia="en-AU"/>
              </w:rPr>
              <w:t>$0</w:t>
            </w:r>
          </w:p>
        </w:tc>
      </w:tr>
      <w:tr w:rsidR="000D07EA" w14:paraId="45706F7A" w14:textId="77777777">
        <w:tc>
          <w:tcPr>
            <w:tcW w:w="553" w:type="pct"/>
            <w:tcBorders>
              <w:bottom w:val="nil"/>
            </w:tcBorders>
          </w:tcPr>
          <w:p w14:paraId="314DF5E3" w14:textId="77777777" w:rsidR="000D07EA" w:rsidRDefault="00BE7C89">
            <w:pPr>
              <w:pStyle w:val="BodyText"/>
              <w:spacing w:before="100" w:after="100"/>
              <w:rPr>
                <w:b/>
                <w:lang w:val="en-AU" w:eastAsia="en-AU"/>
              </w:rPr>
            </w:pPr>
            <w:r>
              <w:rPr>
                <w:b/>
                <w:lang w:val="en-AU" w:eastAsia="en-AU"/>
              </w:rPr>
              <w:t>Included value</w:t>
            </w:r>
          </w:p>
        </w:tc>
        <w:tc>
          <w:tcPr>
            <w:tcW w:w="556" w:type="pct"/>
            <w:tcBorders>
              <w:bottom w:val="nil"/>
            </w:tcBorders>
          </w:tcPr>
          <w:p w14:paraId="16DEE1EE" w14:textId="77777777" w:rsidR="000D07EA" w:rsidRDefault="00BE7C89">
            <w:pPr>
              <w:pStyle w:val="BodyText"/>
              <w:spacing w:before="100" w:after="100"/>
              <w:jc w:val="center"/>
              <w:rPr>
                <w:lang w:val="en-AU" w:eastAsia="en-AU"/>
              </w:rPr>
            </w:pPr>
            <w:r>
              <w:rPr>
                <w:lang w:val="en-AU" w:eastAsia="en-AU"/>
              </w:rPr>
              <w:t>$17.27</w:t>
            </w:r>
            <w:r>
              <w:rPr>
                <w:lang w:val="en-AU" w:eastAsia="en-AU"/>
              </w:rPr>
              <w:br/>
              <w:t>($19)</w:t>
            </w:r>
          </w:p>
        </w:tc>
        <w:tc>
          <w:tcPr>
            <w:tcW w:w="556" w:type="pct"/>
            <w:tcBorders>
              <w:bottom w:val="nil"/>
            </w:tcBorders>
          </w:tcPr>
          <w:p w14:paraId="7F8E207A" w14:textId="77777777" w:rsidR="000D07EA" w:rsidRDefault="00BE7C89">
            <w:pPr>
              <w:pStyle w:val="BodyText"/>
              <w:spacing w:before="100" w:after="100"/>
              <w:jc w:val="center"/>
              <w:rPr>
                <w:lang w:val="en-AU" w:eastAsia="en-AU"/>
              </w:rPr>
            </w:pPr>
            <w:r>
              <w:rPr>
                <w:lang w:val="en-AU" w:eastAsia="en-AU"/>
              </w:rPr>
              <w:t>$35.45</w:t>
            </w:r>
            <w:r>
              <w:rPr>
                <w:lang w:val="en-AU" w:eastAsia="en-AU"/>
              </w:rPr>
              <w:br/>
              <w:t>($39)</w:t>
            </w:r>
          </w:p>
        </w:tc>
        <w:tc>
          <w:tcPr>
            <w:tcW w:w="556" w:type="pct"/>
            <w:tcBorders>
              <w:bottom w:val="nil"/>
            </w:tcBorders>
          </w:tcPr>
          <w:p w14:paraId="0A80F14B" w14:textId="77777777" w:rsidR="000D07EA" w:rsidRDefault="00BE7C89">
            <w:pPr>
              <w:pStyle w:val="BodyText"/>
              <w:spacing w:before="100" w:after="100"/>
              <w:jc w:val="center"/>
              <w:rPr>
                <w:lang w:val="en-AU" w:eastAsia="en-AU"/>
              </w:rPr>
            </w:pPr>
            <w:r>
              <w:rPr>
                <w:lang w:val="en-AU" w:eastAsia="en-AU"/>
              </w:rPr>
              <w:t>$44.54</w:t>
            </w:r>
            <w:r>
              <w:rPr>
                <w:lang w:val="en-AU" w:eastAsia="en-AU"/>
              </w:rPr>
              <w:br/>
              <w:t>($49)</w:t>
            </w:r>
          </w:p>
        </w:tc>
        <w:tc>
          <w:tcPr>
            <w:tcW w:w="556" w:type="pct"/>
            <w:tcBorders>
              <w:bottom w:val="nil"/>
            </w:tcBorders>
          </w:tcPr>
          <w:p w14:paraId="0FB57F39" w14:textId="77777777" w:rsidR="000D07EA" w:rsidRDefault="00BE7C89">
            <w:pPr>
              <w:pStyle w:val="BodyText"/>
              <w:spacing w:before="100" w:after="100"/>
              <w:jc w:val="center"/>
              <w:rPr>
                <w:lang w:val="en-AU" w:eastAsia="en-AU"/>
              </w:rPr>
            </w:pPr>
            <w:r>
              <w:rPr>
                <w:lang w:val="en-AU" w:eastAsia="en-AU"/>
              </w:rPr>
              <w:t>$53.63</w:t>
            </w:r>
            <w:r>
              <w:rPr>
                <w:lang w:val="en-AU" w:eastAsia="en-AU"/>
              </w:rPr>
              <w:br/>
              <w:t>($59)</w:t>
            </w:r>
          </w:p>
        </w:tc>
        <w:tc>
          <w:tcPr>
            <w:tcW w:w="556" w:type="pct"/>
            <w:tcBorders>
              <w:bottom w:val="nil"/>
            </w:tcBorders>
          </w:tcPr>
          <w:p w14:paraId="40DE714B" w14:textId="77777777" w:rsidR="000D07EA" w:rsidRDefault="00BE7C89">
            <w:pPr>
              <w:pStyle w:val="BodyText"/>
              <w:spacing w:before="100" w:after="100"/>
              <w:jc w:val="center"/>
              <w:rPr>
                <w:lang w:val="en-AU" w:eastAsia="en-AU"/>
              </w:rPr>
            </w:pPr>
            <w:r>
              <w:rPr>
                <w:lang w:val="en-AU" w:eastAsia="en-AU"/>
              </w:rPr>
              <w:t>$71.81</w:t>
            </w:r>
            <w:r>
              <w:rPr>
                <w:lang w:val="en-AU" w:eastAsia="en-AU"/>
              </w:rPr>
              <w:br/>
              <w:t>($79)</w:t>
            </w:r>
          </w:p>
        </w:tc>
        <w:tc>
          <w:tcPr>
            <w:tcW w:w="556" w:type="pct"/>
            <w:tcBorders>
              <w:bottom w:val="nil"/>
            </w:tcBorders>
          </w:tcPr>
          <w:p w14:paraId="30AD1DF1" w14:textId="77777777" w:rsidR="000D07EA" w:rsidRDefault="00BE7C89">
            <w:pPr>
              <w:pStyle w:val="BodyText"/>
              <w:spacing w:before="100" w:after="100"/>
              <w:jc w:val="center"/>
              <w:rPr>
                <w:lang w:val="en-AU" w:eastAsia="en-AU"/>
              </w:rPr>
            </w:pPr>
            <w:r>
              <w:rPr>
                <w:lang w:val="en-AU" w:eastAsia="en-AU"/>
              </w:rPr>
              <w:t>$90</w:t>
            </w:r>
            <w:r>
              <w:rPr>
                <w:lang w:val="en-AU" w:eastAsia="en-AU"/>
              </w:rPr>
              <w:br/>
              <w:t>($99)</w:t>
            </w:r>
          </w:p>
        </w:tc>
        <w:tc>
          <w:tcPr>
            <w:tcW w:w="556" w:type="pct"/>
            <w:tcBorders>
              <w:bottom w:val="nil"/>
            </w:tcBorders>
          </w:tcPr>
          <w:p w14:paraId="7C627C44" w14:textId="77777777" w:rsidR="000D07EA" w:rsidRDefault="00BE7C89">
            <w:pPr>
              <w:pStyle w:val="BodyText"/>
              <w:spacing w:before="100" w:after="100"/>
              <w:jc w:val="center"/>
              <w:rPr>
                <w:lang w:val="en-AU" w:eastAsia="en-AU"/>
              </w:rPr>
            </w:pPr>
            <w:r>
              <w:rPr>
                <w:lang w:val="en-AU" w:eastAsia="en-AU"/>
              </w:rPr>
              <w:t>$135.45</w:t>
            </w:r>
            <w:r>
              <w:rPr>
                <w:lang w:val="en-AU" w:eastAsia="en-AU"/>
              </w:rPr>
              <w:br/>
              <w:t>($149)</w:t>
            </w:r>
          </w:p>
        </w:tc>
        <w:tc>
          <w:tcPr>
            <w:tcW w:w="555" w:type="pct"/>
            <w:tcBorders>
              <w:bottom w:val="nil"/>
            </w:tcBorders>
          </w:tcPr>
          <w:p w14:paraId="6946351C" w14:textId="77777777" w:rsidR="000D07EA" w:rsidRDefault="00BE7C89">
            <w:pPr>
              <w:pStyle w:val="BodyText"/>
              <w:spacing w:before="100" w:after="100"/>
              <w:jc w:val="center"/>
              <w:rPr>
                <w:lang w:val="en-AU" w:eastAsia="en-AU"/>
              </w:rPr>
            </w:pPr>
            <w:r>
              <w:rPr>
                <w:lang w:val="en-AU" w:eastAsia="en-AU"/>
              </w:rPr>
              <w:t>$226.36</w:t>
            </w:r>
            <w:r>
              <w:rPr>
                <w:lang w:val="en-AU" w:eastAsia="en-AU"/>
              </w:rPr>
              <w:br/>
              <w:t>($249)</w:t>
            </w:r>
          </w:p>
        </w:tc>
      </w:tr>
      <w:tr w:rsidR="000D07EA" w14:paraId="083EEBCD" w14:textId="77777777">
        <w:tc>
          <w:tcPr>
            <w:tcW w:w="553" w:type="pct"/>
            <w:tcBorders>
              <w:bottom w:val="nil"/>
            </w:tcBorders>
          </w:tcPr>
          <w:p w14:paraId="05718247" w14:textId="77777777" w:rsidR="000D07EA" w:rsidRDefault="00BE7C89">
            <w:pPr>
              <w:pStyle w:val="BodyText"/>
              <w:spacing w:before="100" w:after="100"/>
              <w:rPr>
                <w:color w:val="000000"/>
                <w:lang w:val="en-AU" w:eastAsia="en-AU"/>
              </w:rPr>
            </w:pPr>
            <w:r>
              <w:rPr>
                <w:b/>
                <w:lang w:val="en-AU" w:eastAsia="en-AU"/>
              </w:rPr>
              <w:t xml:space="preserve">Standard Call Rate </w:t>
            </w:r>
            <w:r>
              <w:rPr>
                <w:lang w:val="en-AU" w:eastAsia="en-AU"/>
              </w:rPr>
              <w:t>(per 30 seconds)</w:t>
            </w:r>
            <w:r>
              <w:rPr>
                <w:lang w:val="en-AU" w:eastAsia="en-AU"/>
              </w:rPr>
              <w:br/>
              <w:t>Local calls &amp; National long distance calls</w:t>
            </w:r>
          </w:p>
        </w:tc>
        <w:tc>
          <w:tcPr>
            <w:tcW w:w="556" w:type="pct"/>
            <w:tcBorders>
              <w:bottom w:val="nil"/>
            </w:tcBorders>
          </w:tcPr>
          <w:p w14:paraId="6E9F80EF" w14:textId="77777777" w:rsidR="000D07EA" w:rsidRDefault="00BE7C89">
            <w:pPr>
              <w:pStyle w:val="BodyText"/>
              <w:spacing w:before="100" w:after="100"/>
              <w:jc w:val="center"/>
              <w:rPr>
                <w:lang w:val="en-AU" w:eastAsia="en-AU"/>
              </w:rPr>
            </w:pPr>
            <w:r>
              <w:rPr>
                <w:lang w:val="en-AU" w:eastAsia="en-AU"/>
              </w:rPr>
              <w:t>$0.26</w:t>
            </w:r>
            <w:r>
              <w:rPr>
                <w:lang w:val="en-AU" w:eastAsia="en-AU"/>
              </w:rPr>
              <w:br/>
              <w:t>($0.29)</w:t>
            </w:r>
          </w:p>
        </w:tc>
        <w:tc>
          <w:tcPr>
            <w:tcW w:w="556" w:type="pct"/>
            <w:tcBorders>
              <w:bottom w:val="nil"/>
            </w:tcBorders>
          </w:tcPr>
          <w:p w14:paraId="782231EE" w14:textId="77777777" w:rsidR="000D07EA" w:rsidRDefault="00BE7C89">
            <w:pPr>
              <w:pStyle w:val="BodyText"/>
              <w:spacing w:before="100" w:after="100"/>
              <w:jc w:val="center"/>
              <w:rPr>
                <w:lang w:val="en-AU" w:eastAsia="en-AU"/>
              </w:rPr>
            </w:pPr>
            <w:r>
              <w:rPr>
                <w:lang w:val="en-AU" w:eastAsia="en-AU"/>
              </w:rPr>
              <w:t>$0.236</w:t>
            </w:r>
            <w:r>
              <w:rPr>
                <w:lang w:val="en-AU" w:eastAsia="en-AU"/>
              </w:rPr>
              <w:br/>
              <w:t>($0.26)</w:t>
            </w:r>
          </w:p>
        </w:tc>
        <w:tc>
          <w:tcPr>
            <w:tcW w:w="556" w:type="pct"/>
            <w:tcBorders>
              <w:bottom w:val="nil"/>
            </w:tcBorders>
          </w:tcPr>
          <w:p w14:paraId="52E260E2" w14:textId="77777777" w:rsidR="000D07EA" w:rsidRDefault="00BE7C89">
            <w:pPr>
              <w:pStyle w:val="BodyText"/>
              <w:spacing w:before="100" w:after="100"/>
              <w:jc w:val="center"/>
              <w:rPr>
                <w:lang w:val="en-AU" w:eastAsia="en-AU"/>
              </w:rPr>
            </w:pPr>
            <w:r>
              <w:rPr>
                <w:lang w:val="en-AU" w:eastAsia="en-AU"/>
              </w:rPr>
              <w:t>$0.23</w:t>
            </w:r>
            <w:r>
              <w:rPr>
                <w:lang w:val="en-AU" w:eastAsia="en-AU"/>
              </w:rPr>
              <w:br/>
              <w:t>($0.25)</w:t>
            </w:r>
          </w:p>
        </w:tc>
        <w:tc>
          <w:tcPr>
            <w:tcW w:w="556" w:type="pct"/>
            <w:tcBorders>
              <w:bottom w:val="nil"/>
            </w:tcBorders>
          </w:tcPr>
          <w:p w14:paraId="51ABADD2" w14:textId="77777777" w:rsidR="000D07EA" w:rsidRDefault="00BE7C89">
            <w:pPr>
              <w:pStyle w:val="BodyText"/>
              <w:spacing w:before="100" w:after="100"/>
              <w:jc w:val="center"/>
              <w:rPr>
                <w:lang w:val="en-AU" w:eastAsia="en-AU"/>
              </w:rPr>
            </w:pPr>
            <w:r>
              <w:rPr>
                <w:lang w:val="en-AU" w:eastAsia="en-AU"/>
              </w:rPr>
              <w:t>$0.21</w:t>
            </w:r>
            <w:r>
              <w:rPr>
                <w:lang w:val="en-AU" w:eastAsia="en-AU"/>
              </w:rPr>
              <w:br/>
              <w:t>($0.23)</w:t>
            </w:r>
          </w:p>
        </w:tc>
        <w:tc>
          <w:tcPr>
            <w:tcW w:w="556" w:type="pct"/>
            <w:tcBorders>
              <w:bottom w:val="nil"/>
            </w:tcBorders>
          </w:tcPr>
          <w:p w14:paraId="42382476" w14:textId="77777777" w:rsidR="000D07EA" w:rsidRDefault="00BE7C89">
            <w:pPr>
              <w:pStyle w:val="BodyText"/>
              <w:spacing w:before="100" w:after="100"/>
              <w:jc w:val="center"/>
              <w:rPr>
                <w:lang w:val="en-AU" w:eastAsia="en-AU"/>
              </w:rPr>
            </w:pPr>
            <w:r>
              <w:rPr>
                <w:lang w:val="en-AU" w:eastAsia="en-AU"/>
              </w:rPr>
              <w:t>$0.20</w:t>
            </w:r>
            <w:r>
              <w:rPr>
                <w:lang w:val="en-AU" w:eastAsia="en-AU"/>
              </w:rPr>
              <w:br/>
              <w:t>($0.22)</w:t>
            </w:r>
          </w:p>
        </w:tc>
        <w:tc>
          <w:tcPr>
            <w:tcW w:w="556" w:type="pct"/>
            <w:tcBorders>
              <w:bottom w:val="nil"/>
            </w:tcBorders>
          </w:tcPr>
          <w:p w14:paraId="7EDB8E2B" w14:textId="77777777" w:rsidR="000D07EA" w:rsidRDefault="00BE7C89">
            <w:pPr>
              <w:pStyle w:val="BodyText"/>
              <w:spacing w:before="100" w:after="100"/>
              <w:jc w:val="center"/>
              <w:rPr>
                <w:lang w:val="en-AU" w:eastAsia="en-AU"/>
              </w:rPr>
            </w:pPr>
            <w:r>
              <w:rPr>
                <w:lang w:val="en-AU" w:eastAsia="en-AU"/>
              </w:rPr>
              <w:t>$0.18</w:t>
            </w:r>
            <w:r>
              <w:rPr>
                <w:lang w:val="en-AU" w:eastAsia="en-AU"/>
              </w:rPr>
              <w:br/>
              <w:t>($0.20)</w:t>
            </w:r>
          </w:p>
        </w:tc>
        <w:tc>
          <w:tcPr>
            <w:tcW w:w="556" w:type="pct"/>
            <w:tcBorders>
              <w:bottom w:val="nil"/>
            </w:tcBorders>
          </w:tcPr>
          <w:p w14:paraId="47E9F684" w14:textId="77777777" w:rsidR="000D07EA" w:rsidRDefault="00BE7C89">
            <w:pPr>
              <w:pStyle w:val="BodyText"/>
              <w:spacing w:before="100" w:after="100"/>
              <w:jc w:val="center"/>
              <w:rPr>
                <w:lang w:val="en-AU" w:eastAsia="en-AU"/>
              </w:rPr>
            </w:pPr>
            <w:r>
              <w:rPr>
                <w:lang w:val="en-AU" w:eastAsia="en-AU"/>
              </w:rPr>
              <w:t>$0.17</w:t>
            </w:r>
            <w:r>
              <w:rPr>
                <w:lang w:val="en-AU" w:eastAsia="en-AU"/>
              </w:rPr>
              <w:br/>
              <w:t>($0.19)</w:t>
            </w:r>
          </w:p>
        </w:tc>
        <w:tc>
          <w:tcPr>
            <w:tcW w:w="555" w:type="pct"/>
            <w:tcBorders>
              <w:bottom w:val="nil"/>
            </w:tcBorders>
          </w:tcPr>
          <w:p w14:paraId="75A2F932" w14:textId="77777777" w:rsidR="000D07EA" w:rsidRDefault="00BE7C89">
            <w:pPr>
              <w:pStyle w:val="BodyText"/>
              <w:spacing w:before="100" w:after="100"/>
              <w:jc w:val="center"/>
              <w:rPr>
                <w:b/>
                <w:lang w:val="en-AU" w:eastAsia="en-AU"/>
              </w:rPr>
            </w:pPr>
            <w:r>
              <w:rPr>
                <w:lang w:val="en-AU" w:eastAsia="en-AU"/>
              </w:rPr>
              <w:t>$0.16</w:t>
            </w:r>
            <w:r>
              <w:rPr>
                <w:lang w:val="en-AU" w:eastAsia="en-AU"/>
              </w:rPr>
              <w:br/>
              <w:t>($0.18)</w:t>
            </w:r>
          </w:p>
        </w:tc>
      </w:tr>
      <w:tr w:rsidR="000D07EA" w14:paraId="06229576" w14:textId="77777777">
        <w:tc>
          <w:tcPr>
            <w:tcW w:w="553" w:type="pct"/>
          </w:tcPr>
          <w:p w14:paraId="70E8DC08" w14:textId="77777777" w:rsidR="000D07EA" w:rsidRDefault="00BE7C89">
            <w:pPr>
              <w:pStyle w:val="BodyText"/>
              <w:spacing w:before="100" w:after="100"/>
              <w:rPr>
                <w:b/>
                <w:lang w:val="en-AU" w:eastAsia="en-AU"/>
              </w:rPr>
            </w:pPr>
            <w:r>
              <w:rPr>
                <w:b/>
                <w:lang w:val="en-AU" w:eastAsia="en-AU"/>
              </w:rPr>
              <w:t xml:space="preserve">Standard Mobile Call Rate </w:t>
            </w:r>
            <w:r>
              <w:rPr>
                <w:bCs/>
                <w:lang w:val="en-AU" w:eastAsia="en-AU"/>
              </w:rPr>
              <w:t>(per 30 seconds)</w:t>
            </w:r>
          </w:p>
        </w:tc>
        <w:tc>
          <w:tcPr>
            <w:tcW w:w="556" w:type="pct"/>
          </w:tcPr>
          <w:p w14:paraId="304E0077" w14:textId="77777777" w:rsidR="000D07EA" w:rsidRDefault="00BE7C89">
            <w:pPr>
              <w:pStyle w:val="BodyText"/>
              <w:spacing w:before="100" w:after="100"/>
              <w:jc w:val="center"/>
              <w:rPr>
                <w:lang w:val="en-AU" w:eastAsia="en-AU"/>
              </w:rPr>
            </w:pPr>
            <w:r>
              <w:rPr>
                <w:lang w:val="en-AU" w:eastAsia="en-AU"/>
              </w:rPr>
              <w:t>$0.26</w:t>
            </w:r>
            <w:r>
              <w:rPr>
                <w:lang w:val="en-AU" w:eastAsia="en-AU"/>
              </w:rPr>
              <w:br/>
              <w:t>($0.29)</w:t>
            </w:r>
          </w:p>
        </w:tc>
        <w:tc>
          <w:tcPr>
            <w:tcW w:w="556" w:type="pct"/>
          </w:tcPr>
          <w:p w14:paraId="3B749BE3" w14:textId="77777777" w:rsidR="000D07EA" w:rsidRDefault="00BE7C89">
            <w:pPr>
              <w:pStyle w:val="BodyText"/>
              <w:spacing w:before="100" w:after="100"/>
              <w:jc w:val="center"/>
              <w:rPr>
                <w:lang w:val="en-AU" w:eastAsia="en-AU"/>
              </w:rPr>
            </w:pPr>
            <w:r>
              <w:rPr>
                <w:lang w:val="en-AU" w:eastAsia="en-AU"/>
              </w:rPr>
              <w:t>$0.236</w:t>
            </w:r>
            <w:r>
              <w:rPr>
                <w:lang w:val="en-AU" w:eastAsia="en-AU"/>
              </w:rPr>
              <w:br/>
              <w:t>($0.26)</w:t>
            </w:r>
          </w:p>
        </w:tc>
        <w:tc>
          <w:tcPr>
            <w:tcW w:w="556" w:type="pct"/>
          </w:tcPr>
          <w:p w14:paraId="038D3853" w14:textId="77777777" w:rsidR="000D07EA" w:rsidRDefault="00BE7C89">
            <w:pPr>
              <w:pStyle w:val="BodyText"/>
              <w:spacing w:before="100" w:after="100"/>
              <w:jc w:val="center"/>
              <w:rPr>
                <w:lang w:val="en-AU" w:eastAsia="en-AU"/>
              </w:rPr>
            </w:pPr>
            <w:r>
              <w:rPr>
                <w:lang w:val="en-AU" w:eastAsia="en-AU"/>
              </w:rPr>
              <w:t>$0.23</w:t>
            </w:r>
            <w:r>
              <w:rPr>
                <w:lang w:val="en-AU" w:eastAsia="en-AU"/>
              </w:rPr>
              <w:br/>
              <w:t>($0.25)</w:t>
            </w:r>
          </w:p>
        </w:tc>
        <w:tc>
          <w:tcPr>
            <w:tcW w:w="556" w:type="pct"/>
          </w:tcPr>
          <w:p w14:paraId="5BB667FF" w14:textId="77777777" w:rsidR="000D07EA" w:rsidRDefault="00BE7C89">
            <w:pPr>
              <w:pStyle w:val="BodyText"/>
              <w:spacing w:before="100" w:after="100"/>
              <w:jc w:val="center"/>
              <w:rPr>
                <w:lang w:val="en-AU" w:eastAsia="en-AU"/>
              </w:rPr>
            </w:pPr>
            <w:r>
              <w:rPr>
                <w:lang w:val="en-AU" w:eastAsia="en-AU"/>
              </w:rPr>
              <w:t>$0.21</w:t>
            </w:r>
            <w:r>
              <w:rPr>
                <w:lang w:val="en-AU" w:eastAsia="en-AU"/>
              </w:rPr>
              <w:br/>
              <w:t>($0.23)</w:t>
            </w:r>
          </w:p>
        </w:tc>
        <w:tc>
          <w:tcPr>
            <w:tcW w:w="556" w:type="pct"/>
          </w:tcPr>
          <w:p w14:paraId="7FC0830A" w14:textId="77777777" w:rsidR="000D07EA" w:rsidRDefault="00BE7C89">
            <w:pPr>
              <w:pStyle w:val="BodyText"/>
              <w:spacing w:before="100" w:after="100"/>
              <w:jc w:val="center"/>
              <w:rPr>
                <w:lang w:val="en-AU" w:eastAsia="en-AU"/>
              </w:rPr>
            </w:pPr>
            <w:r>
              <w:rPr>
                <w:lang w:val="en-AU" w:eastAsia="en-AU"/>
              </w:rPr>
              <w:t>$0.20</w:t>
            </w:r>
            <w:r>
              <w:rPr>
                <w:lang w:val="en-AU" w:eastAsia="en-AU"/>
              </w:rPr>
              <w:br/>
              <w:t>($0.22)</w:t>
            </w:r>
          </w:p>
        </w:tc>
        <w:tc>
          <w:tcPr>
            <w:tcW w:w="556" w:type="pct"/>
          </w:tcPr>
          <w:p w14:paraId="17701BEF" w14:textId="77777777" w:rsidR="000D07EA" w:rsidRDefault="00BE7C89">
            <w:pPr>
              <w:pStyle w:val="BodyText"/>
              <w:spacing w:before="100" w:after="100"/>
              <w:jc w:val="center"/>
              <w:rPr>
                <w:lang w:val="en-AU" w:eastAsia="en-AU"/>
              </w:rPr>
            </w:pPr>
            <w:r>
              <w:rPr>
                <w:lang w:val="en-AU" w:eastAsia="en-AU"/>
              </w:rPr>
              <w:t>$0.18</w:t>
            </w:r>
            <w:r>
              <w:rPr>
                <w:lang w:val="en-AU" w:eastAsia="en-AU"/>
              </w:rPr>
              <w:br/>
              <w:t>($0.20)</w:t>
            </w:r>
          </w:p>
        </w:tc>
        <w:tc>
          <w:tcPr>
            <w:tcW w:w="556" w:type="pct"/>
          </w:tcPr>
          <w:p w14:paraId="42EC58B2" w14:textId="77777777" w:rsidR="000D07EA" w:rsidRDefault="00BE7C89">
            <w:pPr>
              <w:pStyle w:val="BodyText"/>
              <w:spacing w:before="100" w:after="100"/>
              <w:jc w:val="center"/>
              <w:rPr>
                <w:lang w:val="en-AU" w:eastAsia="en-AU"/>
              </w:rPr>
            </w:pPr>
            <w:r>
              <w:rPr>
                <w:lang w:val="en-AU" w:eastAsia="en-AU"/>
              </w:rPr>
              <w:t>$0.17</w:t>
            </w:r>
            <w:r>
              <w:rPr>
                <w:lang w:val="en-AU" w:eastAsia="en-AU"/>
              </w:rPr>
              <w:br/>
              <w:t>($0.19)</w:t>
            </w:r>
          </w:p>
        </w:tc>
        <w:tc>
          <w:tcPr>
            <w:tcW w:w="555" w:type="pct"/>
          </w:tcPr>
          <w:p w14:paraId="00137956" w14:textId="77777777" w:rsidR="000D07EA" w:rsidRDefault="00BE7C89">
            <w:pPr>
              <w:pStyle w:val="BodyText"/>
              <w:spacing w:before="100" w:after="100"/>
              <w:jc w:val="center"/>
              <w:rPr>
                <w:lang w:val="en-AU" w:eastAsia="en-AU"/>
              </w:rPr>
            </w:pPr>
            <w:r>
              <w:rPr>
                <w:lang w:val="en-AU" w:eastAsia="en-AU"/>
              </w:rPr>
              <w:t>$0.16</w:t>
            </w:r>
            <w:r>
              <w:rPr>
                <w:lang w:val="en-AU" w:eastAsia="en-AU"/>
              </w:rPr>
              <w:br/>
              <w:t>($0.18)</w:t>
            </w:r>
          </w:p>
        </w:tc>
      </w:tr>
      <w:tr w:rsidR="000D07EA" w14:paraId="47543B87" w14:textId="77777777">
        <w:tc>
          <w:tcPr>
            <w:tcW w:w="553" w:type="pct"/>
          </w:tcPr>
          <w:p w14:paraId="77CC92B4" w14:textId="77777777" w:rsidR="000D07EA" w:rsidRDefault="00BE7C89">
            <w:pPr>
              <w:pStyle w:val="BodyText"/>
              <w:spacing w:before="100" w:after="100"/>
              <w:rPr>
                <w:b/>
                <w:lang w:val="en-AU" w:eastAsia="en-AU"/>
              </w:rPr>
            </w:pPr>
            <w:r>
              <w:rPr>
                <w:b/>
                <w:lang w:val="en-AU" w:eastAsia="en-AU"/>
              </w:rPr>
              <w:t>Flagfall</w:t>
            </w:r>
          </w:p>
        </w:tc>
        <w:tc>
          <w:tcPr>
            <w:tcW w:w="556" w:type="pct"/>
          </w:tcPr>
          <w:p w14:paraId="7E24EBC8" w14:textId="77777777" w:rsidR="000D07EA" w:rsidRDefault="00BE7C89">
            <w:pPr>
              <w:pStyle w:val="BodyText"/>
              <w:spacing w:before="100" w:after="100"/>
              <w:jc w:val="center"/>
              <w:rPr>
                <w:lang w:val="en-AU" w:eastAsia="en-AU"/>
              </w:rPr>
            </w:pPr>
            <w:r>
              <w:rPr>
                <w:lang w:val="en-AU" w:eastAsia="en-AU"/>
              </w:rPr>
              <w:t>$0.20</w:t>
            </w:r>
            <w:r>
              <w:rPr>
                <w:lang w:val="en-AU" w:eastAsia="en-AU"/>
              </w:rPr>
              <w:br/>
              <w:t>($0.22)</w:t>
            </w:r>
          </w:p>
        </w:tc>
        <w:tc>
          <w:tcPr>
            <w:tcW w:w="556" w:type="pct"/>
          </w:tcPr>
          <w:p w14:paraId="6976511D" w14:textId="77777777" w:rsidR="000D07EA" w:rsidRDefault="00BE7C89">
            <w:pPr>
              <w:pStyle w:val="BodyText"/>
              <w:spacing w:before="100" w:after="100"/>
              <w:jc w:val="center"/>
              <w:rPr>
                <w:lang w:val="en-AU" w:eastAsia="en-AU"/>
              </w:rPr>
            </w:pPr>
            <w:r>
              <w:rPr>
                <w:lang w:val="en-AU" w:eastAsia="en-AU"/>
              </w:rPr>
              <w:t>$0.20</w:t>
            </w:r>
            <w:r>
              <w:rPr>
                <w:lang w:val="en-AU" w:eastAsia="en-AU"/>
              </w:rPr>
              <w:br/>
              <w:t>($0.22)</w:t>
            </w:r>
          </w:p>
        </w:tc>
        <w:tc>
          <w:tcPr>
            <w:tcW w:w="556" w:type="pct"/>
          </w:tcPr>
          <w:p w14:paraId="7B12B04E" w14:textId="77777777" w:rsidR="000D07EA" w:rsidRDefault="00BE7C89">
            <w:pPr>
              <w:pStyle w:val="BodyText"/>
              <w:spacing w:before="100" w:after="100"/>
              <w:jc w:val="center"/>
              <w:rPr>
                <w:lang w:val="en-AU" w:eastAsia="en-AU"/>
              </w:rPr>
            </w:pPr>
            <w:r>
              <w:rPr>
                <w:lang w:val="en-AU" w:eastAsia="en-AU"/>
              </w:rPr>
              <w:t>$0.18</w:t>
            </w:r>
            <w:r>
              <w:rPr>
                <w:lang w:val="en-AU" w:eastAsia="en-AU"/>
              </w:rPr>
              <w:br/>
              <w:t>($0.20)</w:t>
            </w:r>
          </w:p>
        </w:tc>
        <w:tc>
          <w:tcPr>
            <w:tcW w:w="556" w:type="pct"/>
          </w:tcPr>
          <w:p w14:paraId="17029A52" w14:textId="77777777" w:rsidR="000D07EA" w:rsidRDefault="00BE7C89">
            <w:pPr>
              <w:pStyle w:val="BodyText"/>
              <w:spacing w:before="100" w:after="100"/>
              <w:jc w:val="center"/>
              <w:rPr>
                <w:lang w:val="en-AU" w:eastAsia="en-AU"/>
              </w:rPr>
            </w:pPr>
            <w:r>
              <w:rPr>
                <w:lang w:val="en-AU" w:eastAsia="en-AU"/>
              </w:rPr>
              <w:t>$0.18</w:t>
            </w:r>
            <w:r>
              <w:rPr>
                <w:lang w:val="en-AU" w:eastAsia="en-AU"/>
              </w:rPr>
              <w:br/>
              <w:t>($0.20)</w:t>
            </w:r>
          </w:p>
        </w:tc>
        <w:tc>
          <w:tcPr>
            <w:tcW w:w="556" w:type="pct"/>
          </w:tcPr>
          <w:p w14:paraId="59E70A8A" w14:textId="77777777" w:rsidR="000D07EA" w:rsidRDefault="00BE7C89">
            <w:pPr>
              <w:pStyle w:val="BodyText"/>
              <w:spacing w:before="100" w:after="100"/>
              <w:jc w:val="center"/>
              <w:rPr>
                <w:lang w:val="en-AU" w:eastAsia="en-AU"/>
              </w:rPr>
            </w:pPr>
            <w:r>
              <w:rPr>
                <w:lang w:val="en-AU" w:eastAsia="en-AU"/>
              </w:rPr>
              <w:t>$0.18</w:t>
            </w:r>
            <w:r>
              <w:rPr>
                <w:lang w:val="en-AU" w:eastAsia="en-AU"/>
              </w:rPr>
              <w:br/>
              <w:t>($0.20)</w:t>
            </w:r>
          </w:p>
        </w:tc>
        <w:tc>
          <w:tcPr>
            <w:tcW w:w="556" w:type="pct"/>
          </w:tcPr>
          <w:p w14:paraId="0F8C264E" w14:textId="77777777" w:rsidR="000D07EA" w:rsidRDefault="00BE7C89">
            <w:pPr>
              <w:pStyle w:val="BodyText"/>
              <w:spacing w:before="100" w:after="100"/>
              <w:jc w:val="center"/>
              <w:rPr>
                <w:lang w:val="en-AU" w:eastAsia="en-AU"/>
              </w:rPr>
            </w:pPr>
            <w:r>
              <w:rPr>
                <w:lang w:val="en-AU" w:eastAsia="en-AU"/>
              </w:rPr>
              <w:t>$0.18</w:t>
            </w:r>
            <w:r>
              <w:rPr>
                <w:lang w:val="en-AU" w:eastAsia="en-AU"/>
              </w:rPr>
              <w:br/>
              <w:t>($0.20)</w:t>
            </w:r>
          </w:p>
        </w:tc>
        <w:tc>
          <w:tcPr>
            <w:tcW w:w="556" w:type="pct"/>
          </w:tcPr>
          <w:p w14:paraId="0EA62D78" w14:textId="77777777" w:rsidR="000D07EA" w:rsidRDefault="00BE7C89">
            <w:pPr>
              <w:pStyle w:val="BodyText"/>
              <w:spacing w:before="100" w:after="100"/>
              <w:jc w:val="center"/>
              <w:rPr>
                <w:lang w:val="en-AU" w:eastAsia="en-AU"/>
              </w:rPr>
            </w:pPr>
            <w:r>
              <w:rPr>
                <w:lang w:val="en-AU" w:eastAsia="en-AU"/>
              </w:rPr>
              <w:t>$0.18</w:t>
            </w:r>
            <w:r>
              <w:rPr>
                <w:lang w:val="en-AU" w:eastAsia="en-AU"/>
              </w:rPr>
              <w:br/>
              <w:t>($0.20)</w:t>
            </w:r>
          </w:p>
        </w:tc>
        <w:tc>
          <w:tcPr>
            <w:tcW w:w="555" w:type="pct"/>
          </w:tcPr>
          <w:p w14:paraId="182B11BD" w14:textId="77777777" w:rsidR="000D07EA" w:rsidRDefault="00BE7C89">
            <w:pPr>
              <w:pStyle w:val="BodyText"/>
              <w:spacing w:before="100" w:after="100"/>
              <w:jc w:val="center"/>
              <w:rPr>
                <w:lang w:val="en-AU" w:eastAsia="en-AU"/>
              </w:rPr>
            </w:pPr>
            <w:r>
              <w:rPr>
                <w:lang w:val="en-AU" w:eastAsia="en-AU"/>
              </w:rPr>
              <w:t>$0.18</w:t>
            </w:r>
            <w:r>
              <w:rPr>
                <w:lang w:val="en-AU" w:eastAsia="en-AU"/>
              </w:rPr>
              <w:br/>
              <w:t>($0.20)</w:t>
            </w:r>
          </w:p>
        </w:tc>
      </w:tr>
      <w:tr w:rsidR="000D07EA" w14:paraId="12F56DE3" w14:textId="77777777">
        <w:tc>
          <w:tcPr>
            <w:tcW w:w="553" w:type="pct"/>
          </w:tcPr>
          <w:p w14:paraId="057C88E8" w14:textId="77777777" w:rsidR="000D07EA" w:rsidRDefault="00BE7C89">
            <w:pPr>
              <w:pStyle w:val="BodyText"/>
              <w:spacing w:before="100" w:after="100"/>
              <w:rPr>
                <w:b/>
                <w:lang w:val="en-AU" w:eastAsia="en-AU"/>
              </w:rPr>
            </w:pPr>
            <w:r>
              <w:rPr>
                <w:b/>
                <w:lang w:val="en-AU" w:eastAsia="en-AU"/>
              </w:rPr>
              <w:t xml:space="preserve">Minimum term </w:t>
            </w:r>
          </w:p>
        </w:tc>
        <w:tc>
          <w:tcPr>
            <w:tcW w:w="556" w:type="pct"/>
          </w:tcPr>
          <w:p w14:paraId="159CDE1D" w14:textId="77777777" w:rsidR="000D07EA" w:rsidRDefault="00BE7C89">
            <w:pPr>
              <w:pStyle w:val="BodyText"/>
              <w:spacing w:before="100" w:after="100"/>
              <w:jc w:val="center"/>
              <w:rPr>
                <w:lang w:val="en-AU" w:eastAsia="en-AU"/>
              </w:rPr>
            </w:pPr>
            <w:r>
              <w:rPr>
                <w:lang w:val="en-AU" w:eastAsia="en-AU"/>
              </w:rPr>
              <w:t>Monthly or 12 or 24 Months</w:t>
            </w:r>
          </w:p>
        </w:tc>
        <w:tc>
          <w:tcPr>
            <w:tcW w:w="556" w:type="pct"/>
          </w:tcPr>
          <w:p w14:paraId="3E01A9FE" w14:textId="77777777" w:rsidR="000D07EA" w:rsidRDefault="00BE7C89">
            <w:pPr>
              <w:pStyle w:val="BodyText"/>
              <w:spacing w:before="100" w:after="100"/>
              <w:jc w:val="center"/>
              <w:rPr>
                <w:lang w:val="en-AU" w:eastAsia="en-AU"/>
              </w:rPr>
            </w:pPr>
            <w:r>
              <w:rPr>
                <w:lang w:val="en-AU" w:eastAsia="en-AU"/>
              </w:rPr>
              <w:t>Monthly or 12 or 24 Months</w:t>
            </w:r>
          </w:p>
        </w:tc>
        <w:tc>
          <w:tcPr>
            <w:tcW w:w="556" w:type="pct"/>
          </w:tcPr>
          <w:p w14:paraId="60E35C99" w14:textId="77777777" w:rsidR="000D07EA" w:rsidRDefault="00BE7C89">
            <w:pPr>
              <w:pStyle w:val="BodyText"/>
              <w:spacing w:before="100" w:after="100"/>
              <w:jc w:val="center"/>
              <w:rPr>
                <w:lang w:val="en-AU" w:eastAsia="en-AU"/>
              </w:rPr>
            </w:pPr>
            <w:r>
              <w:rPr>
                <w:lang w:val="en-AU" w:eastAsia="en-AU"/>
              </w:rPr>
              <w:t>Monthly or 12 or 24 Months</w:t>
            </w:r>
          </w:p>
        </w:tc>
        <w:tc>
          <w:tcPr>
            <w:tcW w:w="556" w:type="pct"/>
          </w:tcPr>
          <w:p w14:paraId="0D6445EF" w14:textId="77777777" w:rsidR="000D07EA" w:rsidRDefault="00BE7C89">
            <w:pPr>
              <w:pStyle w:val="BodyText"/>
              <w:spacing w:before="100" w:after="100"/>
              <w:jc w:val="center"/>
              <w:rPr>
                <w:lang w:val="en-AU" w:eastAsia="en-AU"/>
              </w:rPr>
            </w:pPr>
            <w:r>
              <w:rPr>
                <w:lang w:val="en-AU" w:eastAsia="en-AU"/>
              </w:rPr>
              <w:t>Monthly or 12 or 24 Months</w:t>
            </w:r>
          </w:p>
        </w:tc>
        <w:tc>
          <w:tcPr>
            <w:tcW w:w="556" w:type="pct"/>
          </w:tcPr>
          <w:p w14:paraId="5ADB87F6" w14:textId="77777777" w:rsidR="000D07EA" w:rsidRDefault="00BE7C89">
            <w:pPr>
              <w:pStyle w:val="BodyText"/>
              <w:spacing w:before="100" w:after="100"/>
              <w:jc w:val="center"/>
              <w:rPr>
                <w:lang w:val="en-AU" w:eastAsia="en-AU"/>
              </w:rPr>
            </w:pPr>
            <w:r>
              <w:rPr>
                <w:lang w:val="en-AU" w:eastAsia="en-AU"/>
              </w:rPr>
              <w:t>Monthly or 12 or 24 Months</w:t>
            </w:r>
          </w:p>
        </w:tc>
        <w:tc>
          <w:tcPr>
            <w:tcW w:w="556" w:type="pct"/>
          </w:tcPr>
          <w:p w14:paraId="32FBD3AA" w14:textId="77777777" w:rsidR="000D07EA" w:rsidRDefault="00BE7C89">
            <w:pPr>
              <w:pStyle w:val="BodyText"/>
              <w:spacing w:before="100" w:after="100"/>
              <w:jc w:val="center"/>
              <w:rPr>
                <w:lang w:val="en-AU" w:eastAsia="en-AU"/>
              </w:rPr>
            </w:pPr>
            <w:r>
              <w:rPr>
                <w:lang w:val="en-AU" w:eastAsia="en-AU"/>
              </w:rPr>
              <w:t>Monthly or 12 or 24 Months</w:t>
            </w:r>
          </w:p>
        </w:tc>
        <w:tc>
          <w:tcPr>
            <w:tcW w:w="556" w:type="pct"/>
          </w:tcPr>
          <w:p w14:paraId="01F3FECC" w14:textId="77777777" w:rsidR="000D07EA" w:rsidRDefault="00BE7C89">
            <w:pPr>
              <w:pStyle w:val="BodyText"/>
              <w:spacing w:before="100" w:after="100"/>
              <w:jc w:val="center"/>
              <w:rPr>
                <w:lang w:val="en-AU" w:eastAsia="en-AU"/>
              </w:rPr>
            </w:pPr>
            <w:r>
              <w:rPr>
                <w:lang w:val="en-AU" w:eastAsia="en-AU"/>
              </w:rPr>
              <w:t>Monthly or 12 or 24 Months</w:t>
            </w:r>
          </w:p>
        </w:tc>
        <w:tc>
          <w:tcPr>
            <w:tcW w:w="555" w:type="pct"/>
          </w:tcPr>
          <w:p w14:paraId="08828A04" w14:textId="77777777" w:rsidR="000D07EA" w:rsidRDefault="00BE7C89">
            <w:pPr>
              <w:pStyle w:val="BodyText"/>
              <w:spacing w:before="100" w:after="100"/>
              <w:jc w:val="center"/>
              <w:rPr>
                <w:lang w:val="en-AU" w:eastAsia="en-AU"/>
              </w:rPr>
            </w:pPr>
            <w:r>
              <w:rPr>
                <w:lang w:val="en-AU" w:eastAsia="en-AU"/>
              </w:rPr>
              <w:t>Monthly or 12 or 24 Months</w:t>
            </w:r>
          </w:p>
        </w:tc>
      </w:tr>
    </w:tbl>
    <w:p w14:paraId="6C854AEF" w14:textId="77777777" w:rsidR="000D07EA" w:rsidRDefault="00BE7C89">
      <w:pPr>
        <w:pStyle w:val="BodyText"/>
        <w:spacing w:after="0"/>
        <w:rPr>
          <w:sz w:val="16"/>
          <w:szCs w:val="16"/>
          <w:lang w:val="en-AU" w:eastAsia="en-AU"/>
        </w:rPr>
      </w:pPr>
      <w:r>
        <w:rPr>
          <w:sz w:val="16"/>
          <w:szCs w:val="16"/>
          <w:lang w:val="en-AU" w:eastAsia="en-AU"/>
        </w:rPr>
        <w:t xml:space="preserve">Please note: </w:t>
      </w:r>
    </w:p>
    <w:p w14:paraId="5098AD98" w14:textId="77777777" w:rsidR="000D07EA" w:rsidRDefault="00BE7C89">
      <w:pPr>
        <w:pStyle w:val="BodyText"/>
        <w:spacing w:after="0"/>
        <w:rPr>
          <w:sz w:val="16"/>
          <w:szCs w:val="16"/>
          <w:lang w:val="en-AU"/>
        </w:rPr>
      </w:pPr>
      <w:r>
        <w:rPr>
          <w:sz w:val="16"/>
          <w:szCs w:val="16"/>
          <w:lang w:val="en-AU"/>
        </w:rPr>
        <w:t>(i)</w:t>
      </w:r>
      <w:r>
        <w:rPr>
          <w:sz w:val="16"/>
          <w:szCs w:val="16"/>
          <w:lang w:val="en-AU"/>
        </w:rPr>
        <w:tab/>
        <w:t>"SmartFleet", "SmartRate" and "Back2Business" call rates may apply.</w:t>
      </w:r>
    </w:p>
    <w:p w14:paraId="0C487EB5" w14:textId="77777777" w:rsidR="000D07EA" w:rsidRDefault="00BE7C89">
      <w:pPr>
        <w:pStyle w:val="BodyText"/>
        <w:spacing w:after="0"/>
        <w:rPr>
          <w:sz w:val="16"/>
          <w:szCs w:val="16"/>
          <w:lang w:val="en-AU" w:eastAsia="en-AU"/>
        </w:rPr>
      </w:pPr>
      <w:r>
        <w:rPr>
          <w:sz w:val="16"/>
          <w:szCs w:val="16"/>
          <w:lang w:val="en-AU" w:eastAsia="en-AU"/>
        </w:rPr>
        <w:t>(ii)</w:t>
      </w:r>
      <w:r>
        <w:rPr>
          <w:sz w:val="16"/>
          <w:szCs w:val="16"/>
          <w:lang w:val="en-AU" w:eastAsia="en-AU"/>
        </w:rPr>
        <w:tab/>
        <w:t>Minimum Monthly Commitment applies regardless of your calls and services usage.</w:t>
      </w:r>
    </w:p>
    <w:p w14:paraId="54319B1A" w14:textId="77777777" w:rsidR="000D07EA" w:rsidRDefault="000D07EA">
      <w:pPr>
        <w:pStyle w:val="BodyText"/>
        <w:rPr>
          <w:lang w:val="en-AU" w:eastAsia="en-AU"/>
        </w:rPr>
      </w:pPr>
    </w:p>
    <w:p w14:paraId="0E181AE0" w14:textId="77777777" w:rsidR="000D07EA" w:rsidRDefault="000D07EA">
      <w:pPr>
        <w:numPr>
          <w:ilvl w:val="3"/>
          <w:numId w:val="0"/>
        </w:numPr>
        <w:tabs>
          <w:tab w:val="num" w:pos="937"/>
          <w:tab w:val="left" w:pos="2552"/>
        </w:tabs>
        <w:spacing w:before="120" w:after="120"/>
        <w:rPr>
          <w:rFonts w:ascii="Times New Roman" w:eastAsia="Times New Roman" w:hAnsi="Times New Roman"/>
          <w:lang w:val="en-AU" w:eastAsia="en-AU"/>
        </w:rPr>
        <w:sectPr w:rsidR="000D07EA">
          <w:headerReference w:type="default" r:id="rId45"/>
          <w:footerReference w:type="default" r:id="rId46"/>
          <w:pgSz w:w="16840" w:h="11900" w:orient="landscape"/>
          <w:pgMar w:top="851" w:right="851" w:bottom="851" w:left="851" w:header="461" w:footer="288" w:gutter="0"/>
          <w:cols w:space="708"/>
          <w:docGrid w:linePitch="360"/>
        </w:sectPr>
      </w:pPr>
    </w:p>
    <w:p w14:paraId="4DCBC277" w14:textId="77777777" w:rsidR="000D07EA" w:rsidRDefault="00BE7C89">
      <w:pPr>
        <w:pStyle w:val="Heading6"/>
        <w:ind w:left="0" w:firstLine="0"/>
        <w:rPr>
          <w:lang w:val="en-AU"/>
        </w:rPr>
      </w:pPr>
      <w:bookmarkStart w:id="147" w:name="_Toc219870389"/>
      <w:bookmarkStart w:id="148" w:name="_Toc397940993"/>
      <w:r>
        <w:rPr>
          <w:lang w:val="en-AU"/>
        </w:rPr>
        <w:lastRenderedPageBreak/>
        <w:t xml:space="preserve">What happens if the </w:t>
      </w:r>
      <w:r>
        <w:rPr>
          <w:i/>
          <w:lang w:val="en-AU"/>
        </w:rPr>
        <w:t xml:space="preserve">service </w:t>
      </w:r>
      <w:r>
        <w:rPr>
          <w:lang w:val="en-AU"/>
        </w:rPr>
        <w:t>is</w:t>
      </w:r>
      <w:r>
        <w:rPr>
          <w:i/>
          <w:lang w:val="en-AU"/>
        </w:rPr>
        <w:t xml:space="preserve"> cancelled </w:t>
      </w:r>
      <w:r>
        <w:rPr>
          <w:lang w:val="en-AU"/>
        </w:rPr>
        <w:t>early?</w:t>
      </w:r>
      <w:bookmarkEnd w:id="147"/>
      <w:bookmarkEnd w:id="148"/>
    </w:p>
    <w:p w14:paraId="1CF026D3" w14:textId="77777777" w:rsidR="000D07EA" w:rsidRDefault="00BE7C89">
      <w:pPr>
        <w:pStyle w:val="Heading7"/>
        <w:rPr>
          <w:lang w:val="en-AU"/>
        </w:rPr>
      </w:pPr>
      <w:r>
        <w:rPr>
          <w:lang w:val="en-AU"/>
        </w:rPr>
        <w:t xml:space="preserve">If </w:t>
      </w:r>
      <w:r>
        <w:rPr>
          <w:i/>
          <w:lang w:val="en-AU"/>
        </w:rPr>
        <w:t xml:space="preserve">you </w:t>
      </w:r>
      <w:r>
        <w:rPr>
          <w:lang w:val="en-AU"/>
        </w:rPr>
        <w:t xml:space="preserve">cease to be an approved company </w:t>
      </w:r>
      <w:r>
        <w:rPr>
          <w:i/>
          <w:lang w:val="en-AU"/>
        </w:rPr>
        <w:t xml:space="preserve">you </w:t>
      </w:r>
      <w:r>
        <w:rPr>
          <w:lang w:val="en-AU"/>
        </w:rPr>
        <w:t xml:space="preserve">may be transferred to another </w:t>
      </w:r>
      <w:r>
        <w:rPr>
          <w:i/>
          <w:lang w:val="en-AU"/>
        </w:rPr>
        <w:t>pricing plan</w:t>
      </w:r>
      <w:r>
        <w:rPr>
          <w:lang w:val="en-AU"/>
        </w:rPr>
        <w:t xml:space="preserve"> at </w:t>
      </w:r>
      <w:r>
        <w:rPr>
          <w:i/>
          <w:lang w:val="en-AU"/>
        </w:rPr>
        <w:t xml:space="preserve">our </w:t>
      </w:r>
      <w:r>
        <w:rPr>
          <w:lang w:val="en-AU"/>
        </w:rPr>
        <w:t xml:space="preserve">discretion, or may be allowed to remain on this </w:t>
      </w:r>
      <w:r>
        <w:rPr>
          <w:i/>
          <w:lang w:val="en-AU"/>
        </w:rPr>
        <w:t>pricing plan</w:t>
      </w:r>
      <w:r>
        <w:rPr>
          <w:lang w:val="en-AU"/>
        </w:rPr>
        <w:t xml:space="preserve"> with the additional discounts and other benefits removed.</w:t>
      </w:r>
    </w:p>
    <w:p w14:paraId="440E2D17" w14:textId="77777777" w:rsidR="000D07EA" w:rsidRDefault="00BE7C89">
      <w:pPr>
        <w:pStyle w:val="Heading7"/>
        <w:rPr>
          <w:lang w:val="en-AU"/>
        </w:rPr>
      </w:pPr>
      <w:r>
        <w:rPr>
          <w:lang w:val="en-AU"/>
        </w:rPr>
        <w:t xml:space="preserve">If </w:t>
      </w:r>
      <w:r>
        <w:rPr>
          <w:i/>
          <w:lang w:val="en-AU"/>
        </w:rPr>
        <w:t>the service</w:t>
      </w:r>
      <w:r>
        <w:rPr>
          <w:lang w:val="en-AU"/>
        </w:rPr>
        <w:t xml:space="preserve"> </w:t>
      </w:r>
      <w:r>
        <w:rPr>
          <w:i/>
          <w:lang w:val="en-AU"/>
        </w:rPr>
        <w:t xml:space="preserve">is cancelled </w:t>
      </w:r>
      <w:r>
        <w:rPr>
          <w:lang w:val="en-AU"/>
        </w:rPr>
        <w:t xml:space="preserve">before the expiry of the </w:t>
      </w:r>
      <w:r>
        <w:rPr>
          <w:i/>
          <w:lang w:val="en-AU"/>
        </w:rPr>
        <w:t xml:space="preserve">minimum term, you </w:t>
      </w:r>
      <w:r>
        <w:rPr>
          <w:lang w:val="en-AU"/>
        </w:rPr>
        <w:t xml:space="preserve">will be required to pay </w:t>
      </w:r>
      <w:r>
        <w:rPr>
          <w:i/>
          <w:lang w:val="en-AU"/>
        </w:rPr>
        <w:t>us</w:t>
      </w:r>
      <w:r>
        <w:rPr>
          <w:lang w:val="en-AU"/>
        </w:rPr>
        <w:t>:</w:t>
      </w:r>
    </w:p>
    <w:p w14:paraId="6EE4AD49" w14:textId="77777777" w:rsidR="000D07EA" w:rsidRDefault="00BE7C89">
      <w:pPr>
        <w:pStyle w:val="Heading8"/>
        <w:rPr>
          <w:szCs w:val="20"/>
          <w:lang w:val="en-AU"/>
        </w:rPr>
      </w:pPr>
      <w:r>
        <w:rPr>
          <w:szCs w:val="20"/>
          <w:lang w:val="en-AU"/>
        </w:rPr>
        <w:t xml:space="preserve">any usage charges incurred up to, and including, the </w:t>
      </w:r>
      <w:r>
        <w:rPr>
          <w:i/>
          <w:szCs w:val="20"/>
          <w:lang w:val="en-AU"/>
        </w:rPr>
        <w:t xml:space="preserve">cancellation date; </w:t>
      </w:r>
      <w:r>
        <w:rPr>
          <w:szCs w:val="20"/>
          <w:lang w:val="en-AU"/>
        </w:rPr>
        <w:t>plus</w:t>
      </w:r>
    </w:p>
    <w:p w14:paraId="55D8B2DE" w14:textId="77777777" w:rsidR="000D07EA" w:rsidRDefault="00BE7C89">
      <w:pPr>
        <w:pStyle w:val="Heading8"/>
        <w:rPr>
          <w:szCs w:val="20"/>
          <w:lang w:val="en-AU"/>
        </w:rPr>
      </w:pPr>
      <w:r>
        <w:rPr>
          <w:szCs w:val="20"/>
          <w:lang w:val="en-AU"/>
        </w:rPr>
        <w:t xml:space="preserve">the </w:t>
      </w:r>
      <w:r>
        <w:rPr>
          <w:i/>
          <w:szCs w:val="20"/>
          <w:lang w:val="en-AU"/>
        </w:rPr>
        <w:t xml:space="preserve">cancellation </w:t>
      </w:r>
      <w:r>
        <w:rPr>
          <w:szCs w:val="20"/>
          <w:lang w:val="en-AU"/>
        </w:rPr>
        <w:t xml:space="preserve">fee set out in the table below (unless under clause 2A of the </w:t>
      </w:r>
      <w:hyperlink r:id="rId47" w:history="1">
        <w:r>
          <w:rPr>
            <w:rStyle w:val="Hyperlink"/>
            <w:i/>
            <w:szCs w:val="20"/>
          </w:rPr>
          <w:t>SMB terms</w:t>
        </w:r>
      </w:hyperlink>
      <w:r>
        <w:rPr>
          <w:szCs w:val="20"/>
          <w:lang w:val="en-AU"/>
        </w:rPr>
        <w:t xml:space="preserve">, </w:t>
      </w:r>
      <w:r>
        <w:rPr>
          <w:i/>
          <w:szCs w:val="20"/>
          <w:lang w:val="en-AU"/>
        </w:rPr>
        <w:t xml:space="preserve">you </w:t>
      </w:r>
      <w:r>
        <w:rPr>
          <w:szCs w:val="20"/>
          <w:lang w:val="en-AU"/>
        </w:rPr>
        <w:t xml:space="preserve">are entitled to </w:t>
      </w:r>
      <w:r>
        <w:rPr>
          <w:i/>
          <w:szCs w:val="20"/>
          <w:lang w:val="en-AU"/>
        </w:rPr>
        <w:t>cancel the service</w:t>
      </w:r>
      <w:r>
        <w:rPr>
          <w:szCs w:val="20"/>
          <w:lang w:val="en-AU"/>
        </w:rPr>
        <w:t xml:space="preserve"> without incurring a </w:t>
      </w:r>
      <w:r>
        <w:rPr>
          <w:i/>
          <w:szCs w:val="20"/>
          <w:lang w:val="en-AU"/>
        </w:rPr>
        <w:t>cancellation</w:t>
      </w:r>
      <w:r>
        <w:rPr>
          <w:szCs w:val="20"/>
          <w:lang w:val="en-AU"/>
        </w:rPr>
        <w:t xml:space="preserve"> fee); plus</w:t>
      </w:r>
    </w:p>
    <w:p w14:paraId="7552D778" w14:textId="77777777" w:rsidR="000D07EA" w:rsidRDefault="00BE7C89">
      <w:pPr>
        <w:pStyle w:val="Heading8"/>
        <w:rPr>
          <w:szCs w:val="20"/>
          <w:lang w:val="en-AU"/>
        </w:rPr>
      </w:pPr>
      <w:r>
        <w:rPr>
          <w:szCs w:val="20"/>
          <w:lang w:val="en-AU"/>
        </w:rPr>
        <w:t xml:space="preserve">the sum of unpaid equipment charges owing on your mobile phone under the </w:t>
      </w:r>
      <w:r>
        <w:rPr>
          <w:i/>
          <w:szCs w:val="20"/>
          <w:lang w:val="en-AU"/>
        </w:rPr>
        <w:t>mobile equipment payment plan</w:t>
      </w:r>
      <w:r>
        <w:rPr>
          <w:szCs w:val="20"/>
          <w:lang w:val="en-AU"/>
        </w:rPr>
        <w:t xml:space="preserve"> (if any).</w:t>
      </w:r>
    </w:p>
    <w:p w14:paraId="06211B38" w14:textId="77777777" w:rsidR="000D07EA" w:rsidRDefault="00BE7C89">
      <w:pPr>
        <w:pStyle w:val="Heading7"/>
        <w:rPr>
          <w:lang w:val="en-AU"/>
        </w:rPr>
      </w:pPr>
      <w:r>
        <w:rPr>
          <w:lang w:val="en-AU"/>
        </w:rPr>
        <w:t xml:space="preserve">The </w:t>
      </w:r>
      <w:r>
        <w:rPr>
          <w:i/>
          <w:lang w:val="en-AU"/>
        </w:rPr>
        <w:t xml:space="preserve">cancellation fee </w:t>
      </w:r>
      <w:r>
        <w:rPr>
          <w:lang w:val="en-AU"/>
        </w:rPr>
        <w:t xml:space="preserve">payable under paragraph </w:t>
      </w:r>
      <w:r w:rsidR="00DD544E" w:rsidRPr="00272628">
        <w:rPr>
          <w:lang w:val="en-AU"/>
        </w:rPr>
        <w:t>72</w:t>
      </w:r>
      <w:r w:rsidRPr="00272628">
        <w:rPr>
          <w:lang w:val="en-AU"/>
        </w:rPr>
        <w:t xml:space="preserve">.5(b) </w:t>
      </w:r>
      <w:r>
        <w:rPr>
          <w:lang w:val="en-AU"/>
        </w:rPr>
        <w:t>(if any) is calculated as follows:</w:t>
      </w:r>
    </w:p>
    <w:p w14:paraId="3F1DFA4D" w14:textId="77777777" w:rsidR="000D07EA" w:rsidRDefault="00BE7C89">
      <w:pPr>
        <w:pStyle w:val="Heading8"/>
        <w:rPr>
          <w:lang w:val="en-AU"/>
        </w:rPr>
      </w:pPr>
      <w:r>
        <w:rPr>
          <w:lang w:val="en-AU"/>
        </w:rPr>
        <w:t xml:space="preserve">If </w:t>
      </w:r>
      <w:r>
        <w:rPr>
          <w:i/>
          <w:lang w:val="en-AU"/>
        </w:rPr>
        <w:t xml:space="preserve">you </w:t>
      </w:r>
      <w:r>
        <w:rPr>
          <w:lang w:val="en-AU"/>
        </w:rPr>
        <w:t xml:space="preserve">are on a 24 month </w:t>
      </w:r>
      <w:r>
        <w:rPr>
          <w:i/>
          <w:lang w:val="en-AU"/>
        </w:rPr>
        <w:t>pricing plan</w:t>
      </w:r>
      <w:r>
        <w:rPr>
          <w:lang w:val="en-AU"/>
        </w:rPr>
        <w:t xml:space="preserve">, the </w:t>
      </w:r>
      <w:r>
        <w:rPr>
          <w:i/>
          <w:lang w:val="en-AU"/>
        </w:rPr>
        <w:t xml:space="preserve">cancellation fee </w:t>
      </w:r>
      <w:r>
        <w:rPr>
          <w:lang w:val="en-AU"/>
        </w:rPr>
        <w:t>between months 0-12 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3"/>
        <w:gridCol w:w="1273"/>
        <w:gridCol w:w="1273"/>
        <w:gridCol w:w="1273"/>
        <w:gridCol w:w="1274"/>
        <w:gridCol w:w="1274"/>
        <w:gridCol w:w="1274"/>
        <w:gridCol w:w="1274"/>
      </w:tblGrid>
      <w:tr w:rsidR="000D07EA" w14:paraId="4E27F8C2" w14:textId="77777777">
        <w:tc>
          <w:tcPr>
            <w:tcW w:w="625" w:type="pct"/>
          </w:tcPr>
          <w:p w14:paraId="7C183655" w14:textId="77777777" w:rsidR="000D07EA" w:rsidRDefault="00BE7C89">
            <w:pPr>
              <w:pStyle w:val="BodyText"/>
              <w:spacing w:before="100" w:after="100"/>
              <w:jc w:val="center"/>
              <w:rPr>
                <w:b/>
                <w:lang w:val="en-AU" w:eastAsia="en-AU"/>
              </w:rPr>
            </w:pPr>
            <w:r>
              <w:rPr>
                <w:b/>
                <w:lang w:val="en-AU" w:eastAsia="en-AU"/>
              </w:rPr>
              <w:t>'yes' Business Smart 29 Plan</w:t>
            </w:r>
          </w:p>
        </w:tc>
        <w:tc>
          <w:tcPr>
            <w:tcW w:w="625" w:type="pct"/>
          </w:tcPr>
          <w:p w14:paraId="47E95D54" w14:textId="77777777" w:rsidR="000D07EA" w:rsidRDefault="00BE7C89">
            <w:pPr>
              <w:pStyle w:val="BodyText"/>
              <w:spacing w:before="100" w:after="100"/>
              <w:jc w:val="center"/>
              <w:rPr>
                <w:b/>
                <w:lang w:val="en-AU" w:eastAsia="en-AU"/>
              </w:rPr>
            </w:pPr>
            <w:r>
              <w:rPr>
                <w:b/>
                <w:lang w:val="en-AU" w:eastAsia="en-AU"/>
              </w:rPr>
              <w:t>'yes' Business Smart 39 Plan</w:t>
            </w:r>
          </w:p>
        </w:tc>
        <w:tc>
          <w:tcPr>
            <w:tcW w:w="625" w:type="pct"/>
          </w:tcPr>
          <w:p w14:paraId="5EAE427F" w14:textId="77777777" w:rsidR="000D07EA" w:rsidRDefault="00BE7C89">
            <w:pPr>
              <w:pStyle w:val="BodyText"/>
              <w:spacing w:before="100" w:after="100"/>
              <w:jc w:val="center"/>
              <w:rPr>
                <w:b/>
                <w:lang w:val="en-AU" w:eastAsia="en-AU"/>
              </w:rPr>
            </w:pPr>
            <w:r>
              <w:rPr>
                <w:b/>
                <w:lang w:val="en-AU" w:eastAsia="en-AU"/>
              </w:rPr>
              <w:t>'yes' Business Smart 49 Plan</w:t>
            </w:r>
          </w:p>
        </w:tc>
        <w:tc>
          <w:tcPr>
            <w:tcW w:w="625" w:type="pct"/>
          </w:tcPr>
          <w:p w14:paraId="5E39D9F3" w14:textId="77777777" w:rsidR="000D07EA" w:rsidRDefault="00BE7C89">
            <w:pPr>
              <w:pStyle w:val="BodyText"/>
              <w:spacing w:before="100" w:after="100"/>
              <w:jc w:val="center"/>
              <w:rPr>
                <w:b/>
                <w:lang w:val="en-AU" w:eastAsia="en-AU"/>
              </w:rPr>
            </w:pPr>
            <w:r>
              <w:rPr>
                <w:b/>
                <w:lang w:val="en-AU" w:eastAsia="en-AU"/>
              </w:rPr>
              <w:t>'yes' Business Smart 59 Plan</w:t>
            </w:r>
          </w:p>
        </w:tc>
        <w:tc>
          <w:tcPr>
            <w:tcW w:w="625" w:type="pct"/>
          </w:tcPr>
          <w:p w14:paraId="6C6B3AFB" w14:textId="77777777" w:rsidR="000D07EA" w:rsidRDefault="00BE7C89">
            <w:pPr>
              <w:pStyle w:val="BodyText"/>
              <w:spacing w:before="100" w:after="100"/>
              <w:jc w:val="center"/>
              <w:rPr>
                <w:b/>
                <w:lang w:val="en-AU" w:eastAsia="en-AU"/>
              </w:rPr>
            </w:pPr>
            <w:r>
              <w:rPr>
                <w:b/>
                <w:lang w:val="en-AU" w:eastAsia="en-AU"/>
              </w:rPr>
              <w:t>'yes' Business Smart 79 Plan</w:t>
            </w:r>
          </w:p>
        </w:tc>
        <w:tc>
          <w:tcPr>
            <w:tcW w:w="625" w:type="pct"/>
          </w:tcPr>
          <w:p w14:paraId="68C2AB1D" w14:textId="77777777" w:rsidR="000D07EA" w:rsidRDefault="00BE7C89">
            <w:pPr>
              <w:pStyle w:val="BodyText"/>
              <w:spacing w:before="100" w:after="100"/>
              <w:jc w:val="center"/>
              <w:rPr>
                <w:b/>
                <w:lang w:val="en-AU" w:eastAsia="en-AU"/>
              </w:rPr>
            </w:pPr>
            <w:r>
              <w:rPr>
                <w:b/>
                <w:lang w:val="en-AU" w:eastAsia="en-AU"/>
              </w:rPr>
              <w:t>'yes' Business Smart 99 Plan</w:t>
            </w:r>
          </w:p>
        </w:tc>
        <w:tc>
          <w:tcPr>
            <w:tcW w:w="625" w:type="pct"/>
          </w:tcPr>
          <w:p w14:paraId="0F2B6229" w14:textId="77777777" w:rsidR="000D07EA" w:rsidRDefault="00BE7C89">
            <w:pPr>
              <w:pStyle w:val="BodyText"/>
              <w:spacing w:before="100" w:after="100"/>
              <w:jc w:val="center"/>
              <w:rPr>
                <w:b/>
                <w:lang w:val="en-AU" w:eastAsia="en-AU"/>
              </w:rPr>
            </w:pPr>
            <w:r>
              <w:rPr>
                <w:b/>
                <w:lang w:val="en-AU" w:eastAsia="en-AU"/>
              </w:rPr>
              <w:t>'yes' Business Smart 149 Plan</w:t>
            </w:r>
          </w:p>
        </w:tc>
        <w:tc>
          <w:tcPr>
            <w:tcW w:w="625" w:type="pct"/>
          </w:tcPr>
          <w:p w14:paraId="0E618495" w14:textId="77777777" w:rsidR="000D07EA" w:rsidRDefault="00BE7C89">
            <w:pPr>
              <w:pStyle w:val="BodyText"/>
              <w:spacing w:before="100" w:after="100"/>
              <w:jc w:val="center"/>
              <w:rPr>
                <w:b/>
                <w:lang w:val="en-AU" w:eastAsia="en-AU"/>
              </w:rPr>
            </w:pPr>
            <w:r>
              <w:rPr>
                <w:b/>
                <w:lang w:val="en-AU" w:eastAsia="en-AU"/>
              </w:rPr>
              <w:t>'yes' Business Smart 249 Plan</w:t>
            </w:r>
          </w:p>
        </w:tc>
      </w:tr>
      <w:tr w:rsidR="000D07EA" w14:paraId="44659D73" w14:textId="77777777">
        <w:tc>
          <w:tcPr>
            <w:tcW w:w="625" w:type="pct"/>
          </w:tcPr>
          <w:p w14:paraId="6E7EFFE4" w14:textId="77777777" w:rsidR="000D07EA" w:rsidRDefault="00BE7C89">
            <w:pPr>
              <w:pStyle w:val="BodyText"/>
              <w:spacing w:before="100" w:after="100"/>
              <w:jc w:val="center"/>
              <w:rPr>
                <w:lang w:val="en-AU" w:eastAsia="en-AU"/>
              </w:rPr>
            </w:pPr>
            <w:r>
              <w:rPr>
                <w:lang w:val="en-AU" w:eastAsia="en-AU"/>
              </w:rPr>
              <w:t>$272.73</w:t>
            </w:r>
            <w:r>
              <w:rPr>
                <w:lang w:val="en-AU" w:eastAsia="en-AU"/>
              </w:rPr>
              <w:br/>
              <w:t>($300)</w:t>
            </w:r>
          </w:p>
        </w:tc>
        <w:tc>
          <w:tcPr>
            <w:tcW w:w="625" w:type="pct"/>
          </w:tcPr>
          <w:p w14:paraId="192BD0BB" w14:textId="77777777" w:rsidR="000D07EA" w:rsidRDefault="00BE7C89">
            <w:pPr>
              <w:pStyle w:val="BodyText"/>
              <w:spacing w:before="100" w:after="100"/>
              <w:jc w:val="center"/>
              <w:rPr>
                <w:lang w:val="en-AU" w:eastAsia="en-AU"/>
              </w:rPr>
            </w:pPr>
            <w:r>
              <w:rPr>
                <w:lang w:val="en-AU" w:eastAsia="en-AU"/>
              </w:rPr>
              <w:t>$390.91</w:t>
            </w:r>
            <w:r>
              <w:rPr>
                <w:lang w:val="en-AU" w:eastAsia="en-AU"/>
              </w:rPr>
              <w:br/>
              <w:t>($430)</w:t>
            </w:r>
          </w:p>
        </w:tc>
        <w:tc>
          <w:tcPr>
            <w:tcW w:w="625" w:type="pct"/>
          </w:tcPr>
          <w:p w14:paraId="40F355FF" w14:textId="77777777" w:rsidR="000D07EA" w:rsidRDefault="00BE7C89">
            <w:pPr>
              <w:pStyle w:val="BodyText"/>
              <w:spacing w:before="100" w:after="100"/>
              <w:jc w:val="center"/>
              <w:rPr>
                <w:lang w:val="en-AU" w:eastAsia="en-AU"/>
              </w:rPr>
            </w:pPr>
            <w:r>
              <w:rPr>
                <w:lang w:val="en-AU" w:eastAsia="en-AU"/>
              </w:rPr>
              <w:t>$454.55</w:t>
            </w:r>
            <w:r>
              <w:rPr>
                <w:lang w:val="en-AU" w:eastAsia="en-AU"/>
              </w:rPr>
              <w:br/>
              <w:t>($500)</w:t>
            </w:r>
          </w:p>
        </w:tc>
        <w:tc>
          <w:tcPr>
            <w:tcW w:w="625" w:type="pct"/>
          </w:tcPr>
          <w:p w14:paraId="5236FD17" w14:textId="77777777" w:rsidR="000D07EA" w:rsidRDefault="00BE7C89">
            <w:pPr>
              <w:pStyle w:val="BodyText"/>
              <w:spacing w:before="100" w:after="100"/>
              <w:jc w:val="center"/>
              <w:rPr>
                <w:lang w:val="en-AU" w:eastAsia="en-AU"/>
              </w:rPr>
            </w:pPr>
            <w:r>
              <w:rPr>
                <w:lang w:val="en-AU" w:eastAsia="en-AU"/>
              </w:rPr>
              <w:t>$500</w:t>
            </w:r>
            <w:r>
              <w:rPr>
                <w:lang w:val="en-AU" w:eastAsia="en-AU"/>
              </w:rPr>
              <w:br/>
              <w:t>($550)</w:t>
            </w:r>
          </w:p>
        </w:tc>
        <w:tc>
          <w:tcPr>
            <w:tcW w:w="625" w:type="pct"/>
          </w:tcPr>
          <w:p w14:paraId="229832F3" w14:textId="77777777" w:rsidR="000D07EA" w:rsidRDefault="00BE7C89">
            <w:pPr>
              <w:pStyle w:val="BodyText"/>
              <w:spacing w:before="100" w:after="100"/>
              <w:jc w:val="center"/>
              <w:rPr>
                <w:lang w:val="en-AU" w:eastAsia="en-AU"/>
              </w:rPr>
            </w:pPr>
            <w:r>
              <w:rPr>
                <w:lang w:val="en-AU" w:eastAsia="en-AU"/>
              </w:rPr>
              <w:t>$572.73</w:t>
            </w:r>
            <w:r>
              <w:rPr>
                <w:lang w:val="en-AU" w:eastAsia="en-AU"/>
              </w:rPr>
              <w:br/>
              <w:t>($630)</w:t>
            </w:r>
          </w:p>
        </w:tc>
        <w:tc>
          <w:tcPr>
            <w:tcW w:w="625" w:type="pct"/>
          </w:tcPr>
          <w:p w14:paraId="43E754B7" w14:textId="77777777" w:rsidR="000D07EA" w:rsidRDefault="00BE7C89">
            <w:pPr>
              <w:pStyle w:val="BodyText"/>
              <w:spacing w:before="100" w:after="100"/>
              <w:jc w:val="center"/>
              <w:rPr>
                <w:lang w:val="en-AU" w:eastAsia="en-AU"/>
              </w:rPr>
            </w:pPr>
            <w:r>
              <w:rPr>
                <w:lang w:val="en-AU" w:eastAsia="en-AU"/>
              </w:rPr>
              <w:t>$636.36</w:t>
            </w:r>
            <w:r>
              <w:rPr>
                <w:lang w:val="en-AU" w:eastAsia="en-AU"/>
              </w:rPr>
              <w:br/>
              <w:t>($700)</w:t>
            </w:r>
          </w:p>
        </w:tc>
        <w:tc>
          <w:tcPr>
            <w:tcW w:w="625" w:type="pct"/>
          </w:tcPr>
          <w:p w14:paraId="1CA9D26A" w14:textId="77777777" w:rsidR="000D07EA" w:rsidRDefault="00BE7C89">
            <w:pPr>
              <w:pStyle w:val="BodyText"/>
              <w:spacing w:before="100" w:after="100"/>
              <w:jc w:val="center"/>
              <w:rPr>
                <w:lang w:val="en-AU" w:eastAsia="en-AU"/>
              </w:rPr>
            </w:pPr>
            <w:r>
              <w:rPr>
                <w:lang w:val="en-AU" w:eastAsia="en-AU"/>
              </w:rPr>
              <w:t>$1181.82</w:t>
            </w:r>
            <w:r>
              <w:rPr>
                <w:lang w:val="en-AU" w:eastAsia="en-AU"/>
              </w:rPr>
              <w:br/>
              <w:t>($1300)</w:t>
            </w:r>
          </w:p>
        </w:tc>
        <w:tc>
          <w:tcPr>
            <w:tcW w:w="625" w:type="pct"/>
          </w:tcPr>
          <w:p w14:paraId="39F9EF7F" w14:textId="77777777" w:rsidR="000D07EA" w:rsidRDefault="00BE7C89">
            <w:pPr>
              <w:pStyle w:val="BodyText"/>
              <w:spacing w:before="100" w:after="100"/>
              <w:jc w:val="center"/>
              <w:rPr>
                <w:lang w:val="en-AU" w:eastAsia="en-AU"/>
              </w:rPr>
            </w:pPr>
            <w:r>
              <w:rPr>
                <w:lang w:val="en-AU" w:eastAsia="en-AU"/>
              </w:rPr>
              <w:t>$1363.64</w:t>
            </w:r>
            <w:r>
              <w:rPr>
                <w:lang w:val="en-AU" w:eastAsia="en-AU"/>
              </w:rPr>
              <w:br/>
              <w:t>($1500)</w:t>
            </w:r>
          </w:p>
        </w:tc>
      </w:tr>
    </w:tbl>
    <w:p w14:paraId="0956151B" w14:textId="77777777" w:rsidR="000D07EA" w:rsidRDefault="000D07EA">
      <w:pPr>
        <w:pStyle w:val="BodyText"/>
      </w:pPr>
    </w:p>
    <w:p w14:paraId="4674557F" w14:textId="77777777" w:rsidR="000D07EA" w:rsidRDefault="00BE7C89">
      <w:pPr>
        <w:pStyle w:val="BodyText"/>
        <w:ind w:left="1440"/>
        <w:rPr>
          <w:lang w:val="en-AU"/>
        </w:rPr>
      </w:pPr>
      <w:r>
        <w:rPr>
          <w:lang w:val="en-AU"/>
        </w:rPr>
        <w:t xml:space="preserve">And for </w:t>
      </w:r>
      <w:r>
        <w:rPr>
          <w:i/>
          <w:lang w:val="en-AU"/>
        </w:rPr>
        <w:t xml:space="preserve">cancellations </w:t>
      </w:r>
      <w:r>
        <w:rPr>
          <w:lang w:val="en-AU"/>
        </w:rPr>
        <w:t xml:space="preserve">between months 13-24, an amount in accordance with the following calculations: for months 13-15, 80% of the </w:t>
      </w:r>
      <w:r>
        <w:rPr>
          <w:i/>
          <w:lang w:val="en-AU"/>
        </w:rPr>
        <w:t>cancellation fee</w:t>
      </w:r>
      <w:r>
        <w:rPr>
          <w:lang w:val="en-AU"/>
        </w:rPr>
        <w:t xml:space="preserve">; for months 16-18, 60% of the </w:t>
      </w:r>
      <w:r>
        <w:rPr>
          <w:i/>
          <w:lang w:val="en-AU"/>
        </w:rPr>
        <w:t>cancellation fee</w:t>
      </w:r>
      <w:r>
        <w:rPr>
          <w:lang w:val="en-AU"/>
        </w:rPr>
        <w:t xml:space="preserve">; for months 19-21, 40% of the </w:t>
      </w:r>
      <w:r>
        <w:rPr>
          <w:i/>
          <w:lang w:val="en-AU"/>
        </w:rPr>
        <w:t>cancellation fee</w:t>
      </w:r>
      <w:r>
        <w:rPr>
          <w:lang w:val="en-AU"/>
        </w:rPr>
        <w:t xml:space="preserve">; for months 22-24, 20% of the </w:t>
      </w:r>
      <w:r>
        <w:rPr>
          <w:i/>
          <w:lang w:val="en-AU"/>
        </w:rPr>
        <w:t>cancellation fee</w:t>
      </w:r>
      <w:r>
        <w:rPr>
          <w:lang w:val="en-AU"/>
        </w:rPr>
        <w:t xml:space="preserve">. </w:t>
      </w:r>
    </w:p>
    <w:p w14:paraId="7800B4D0" w14:textId="77777777" w:rsidR="000D07EA" w:rsidRDefault="00BE7C89">
      <w:pPr>
        <w:pStyle w:val="Heading8"/>
        <w:rPr>
          <w:lang w:val="en-AU"/>
        </w:rPr>
      </w:pPr>
      <w:r>
        <w:rPr>
          <w:lang w:val="en-AU"/>
        </w:rPr>
        <w:t xml:space="preserve">If </w:t>
      </w:r>
      <w:r>
        <w:rPr>
          <w:i/>
          <w:lang w:val="en-AU"/>
        </w:rPr>
        <w:t xml:space="preserve">you </w:t>
      </w:r>
      <w:r>
        <w:rPr>
          <w:lang w:val="en-AU"/>
        </w:rPr>
        <w:t xml:space="preserve">are on a 12 month </w:t>
      </w:r>
      <w:r>
        <w:rPr>
          <w:i/>
          <w:lang w:val="en-AU"/>
        </w:rPr>
        <w:t>pricing plan</w:t>
      </w:r>
      <w:r>
        <w:rPr>
          <w:lang w:val="en-AU"/>
        </w:rPr>
        <w:t xml:space="preserve">, the </w:t>
      </w:r>
      <w:r>
        <w:rPr>
          <w:i/>
          <w:lang w:val="en-AU"/>
        </w:rPr>
        <w:t xml:space="preserve">cancellation fee </w:t>
      </w:r>
      <w:r>
        <w:rPr>
          <w:lang w:val="en-AU"/>
        </w:rPr>
        <w:t>between months 0-6 is: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3"/>
        <w:gridCol w:w="1273"/>
        <w:gridCol w:w="1273"/>
        <w:gridCol w:w="1273"/>
        <w:gridCol w:w="1274"/>
        <w:gridCol w:w="1274"/>
        <w:gridCol w:w="1274"/>
        <w:gridCol w:w="1274"/>
      </w:tblGrid>
      <w:tr w:rsidR="000D07EA" w14:paraId="5249AFD1" w14:textId="77777777">
        <w:trPr>
          <w:jc w:val="center"/>
        </w:trPr>
        <w:tc>
          <w:tcPr>
            <w:tcW w:w="625" w:type="pct"/>
          </w:tcPr>
          <w:p w14:paraId="4E257AEF" w14:textId="77777777" w:rsidR="000D07EA" w:rsidRDefault="00BE7C89">
            <w:pPr>
              <w:pStyle w:val="BodyText"/>
              <w:spacing w:before="100" w:after="100"/>
              <w:jc w:val="center"/>
              <w:rPr>
                <w:b/>
                <w:lang w:val="en-AU" w:eastAsia="en-AU"/>
              </w:rPr>
            </w:pPr>
            <w:r>
              <w:rPr>
                <w:b/>
                <w:lang w:val="en-AU" w:eastAsia="en-AU"/>
              </w:rPr>
              <w:t>'yes' Business Smart 29 Plan</w:t>
            </w:r>
          </w:p>
        </w:tc>
        <w:tc>
          <w:tcPr>
            <w:tcW w:w="625" w:type="pct"/>
          </w:tcPr>
          <w:p w14:paraId="0EEA07E8" w14:textId="77777777" w:rsidR="000D07EA" w:rsidRDefault="00BE7C89">
            <w:pPr>
              <w:pStyle w:val="BodyText"/>
              <w:spacing w:before="100" w:after="100"/>
              <w:jc w:val="center"/>
              <w:rPr>
                <w:b/>
                <w:lang w:val="en-AU" w:eastAsia="en-AU"/>
              </w:rPr>
            </w:pPr>
            <w:r>
              <w:rPr>
                <w:b/>
                <w:lang w:val="en-AU" w:eastAsia="en-AU"/>
              </w:rPr>
              <w:t>'yes' Business Smart 39 Plan</w:t>
            </w:r>
          </w:p>
        </w:tc>
        <w:tc>
          <w:tcPr>
            <w:tcW w:w="625" w:type="pct"/>
          </w:tcPr>
          <w:p w14:paraId="433E0408" w14:textId="77777777" w:rsidR="000D07EA" w:rsidRDefault="00BE7C89">
            <w:pPr>
              <w:pStyle w:val="BodyText"/>
              <w:spacing w:before="100" w:after="100"/>
              <w:jc w:val="center"/>
              <w:rPr>
                <w:b/>
                <w:lang w:val="en-AU" w:eastAsia="en-AU"/>
              </w:rPr>
            </w:pPr>
            <w:r>
              <w:rPr>
                <w:b/>
                <w:lang w:val="en-AU" w:eastAsia="en-AU"/>
              </w:rPr>
              <w:t>'yes' Business Smart 49 Plan</w:t>
            </w:r>
          </w:p>
        </w:tc>
        <w:tc>
          <w:tcPr>
            <w:tcW w:w="625" w:type="pct"/>
          </w:tcPr>
          <w:p w14:paraId="3D2D7BF3" w14:textId="77777777" w:rsidR="000D07EA" w:rsidRDefault="00BE7C89">
            <w:pPr>
              <w:pStyle w:val="BodyText"/>
              <w:spacing w:before="100" w:after="100"/>
              <w:jc w:val="center"/>
              <w:rPr>
                <w:b/>
                <w:lang w:val="en-AU" w:eastAsia="en-AU"/>
              </w:rPr>
            </w:pPr>
            <w:r>
              <w:rPr>
                <w:b/>
                <w:lang w:val="en-AU" w:eastAsia="en-AU"/>
              </w:rPr>
              <w:t>'yes' Business Smart 59 Plan</w:t>
            </w:r>
          </w:p>
        </w:tc>
        <w:tc>
          <w:tcPr>
            <w:tcW w:w="625" w:type="pct"/>
          </w:tcPr>
          <w:p w14:paraId="14F8F957" w14:textId="77777777" w:rsidR="000D07EA" w:rsidRDefault="00BE7C89">
            <w:pPr>
              <w:pStyle w:val="BodyText"/>
              <w:spacing w:before="100" w:after="100"/>
              <w:jc w:val="center"/>
              <w:rPr>
                <w:b/>
                <w:lang w:val="en-AU" w:eastAsia="en-AU"/>
              </w:rPr>
            </w:pPr>
            <w:r>
              <w:rPr>
                <w:b/>
                <w:lang w:val="en-AU" w:eastAsia="en-AU"/>
              </w:rPr>
              <w:t>'yes' Business Smart 79 Plan</w:t>
            </w:r>
          </w:p>
        </w:tc>
        <w:tc>
          <w:tcPr>
            <w:tcW w:w="625" w:type="pct"/>
          </w:tcPr>
          <w:p w14:paraId="2E822CD6" w14:textId="77777777" w:rsidR="000D07EA" w:rsidRDefault="00BE7C89">
            <w:pPr>
              <w:pStyle w:val="BodyText"/>
              <w:spacing w:before="100" w:after="100"/>
              <w:jc w:val="center"/>
              <w:rPr>
                <w:b/>
                <w:lang w:val="en-AU" w:eastAsia="en-AU"/>
              </w:rPr>
            </w:pPr>
            <w:r>
              <w:rPr>
                <w:b/>
                <w:lang w:val="en-AU" w:eastAsia="en-AU"/>
              </w:rPr>
              <w:t>'yes' Business Smart 99 Plan</w:t>
            </w:r>
          </w:p>
        </w:tc>
        <w:tc>
          <w:tcPr>
            <w:tcW w:w="625" w:type="pct"/>
          </w:tcPr>
          <w:p w14:paraId="52FEEA5A" w14:textId="77777777" w:rsidR="000D07EA" w:rsidRDefault="00BE7C89">
            <w:pPr>
              <w:pStyle w:val="BodyText"/>
              <w:spacing w:before="100" w:after="100"/>
              <w:jc w:val="center"/>
              <w:rPr>
                <w:b/>
                <w:lang w:val="en-AU" w:eastAsia="en-AU"/>
              </w:rPr>
            </w:pPr>
            <w:r>
              <w:rPr>
                <w:b/>
                <w:lang w:val="en-AU" w:eastAsia="en-AU"/>
              </w:rPr>
              <w:t>'yes' Business Smart 149 Plan</w:t>
            </w:r>
          </w:p>
        </w:tc>
        <w:tc>
          <w:tcPr>
            <w:tcW w:w="625" w:type="pct"/>
          </w:tcPr>
          <w:p w14:paraId="18716C05" w14:textId="77777777" w:rsidR="000D07EA" w:rsidRDefault="00BE7C89">
            <w:pPr>
              <w:pStyle w:val="BodyText"/>
              <w:spacing w:before="100" w:after="100"/>
              <w:jc w:val="center"/>
              <w:rPr>
                <w:b/>
                <w:lang w:val="en-AU" w:eastAsia="en-AU"/>
              </w:rPr>
            </w:pPr>
            <w:r>
              <w:rPr>
                <w:b/>
                <w:lang w:val="en-AU" w:eastAsia="en-AU"/>
              </w:rPr>
              <w:t>'yes' Business Smart 249 Plan</w:t>
            </w:r>
          </w:p>
        </w:tc>
      </w:tr>
      <w:tr w:rsidR="000D07EA" w14:paraId="4AA90BA0" w14:textId="77777777">
        <w:trPr>
          <w:jc w:val="center"/>
        </w:trPr>
        <w:tc>
          <w:tcPr>
            <w:tcW w:w="625" w:type="pct"/>
          </w:tcPr>
          <w:p w14:paraId="6FEAC103" w14:textId="77777777" w:rsidR="000D07EA" w:rsidRDefault="00BE7C89">
            <w:pPr>
              <w:pStyle w:val="BodyText"/>
              <w:spacing w:before="100" w:after="100"/>
              <w:jc w:val="center"/>
              <w:rPr>
                <w:lang w:val="en-AU" w:eastAsia="en-AU"/>
              </w:rPr>
            </w:pPr>
            <w:r>
              <w:rPr>
                <w:lang w:val="en-AU" w:eastAsia="en-AU"/>
              </w:rPr>
              <w:t>$175.45</w:t>
            </w:r>
            <w:r>
              <w:rPr>
                <w:lang w:val="en-AU" w:eastAsia="en-AU"/>
              </w:rPr>
              <w:br/>
              <w:t>($193)</w:t>
            </w:r>
          </w:p>
        </w:tc>
        <w:tc>
          <w:tcPr>
            <w:tcW w:w="625" w:type="pct"/>
          </w:tcPr>
          <w:p w14:paraId="1BFB72FF" w14:textId="77777777" w:rsidR="000D07EA" w:rsidRDefault="00BE7C89">
            <w:pPr>
              <w:pStyle w:val="BodyText"/>
              <w:spacing w:before="100" w:after="100"/>
              <w:jc w:val="center"/>
              <w:rPr>
                <w:lang w:val="en-AU" w:eastAsia="en-AU"/>
              </w:rPr>
            </w:pPr>
            <w:r>
              <w:rPr>
                <w:lang w:val="en-AU" w:eastAsia="en-AU"/>
              </w:rPr>
              <w:t>$240.90</w:t>
            </w:r>
            <w:r>
              <w:rPr>
                <w:lang w:val="en-AU" w:eastAsia="en-AU"/>
              </w:rPr>
              <w:br/>
              <w:t>($265)</w:t>
            </w:r>
          </w:p>
        </w:tc>
        <w:tc>
          <w:tcPr>
            <w:tcW w:w="625" w:type="pct"/>
          </w:tcPr>
          <w:p w14:paraId="1877717D" w14:textId="77777777" w:rsidR="000D07EA" w:rsidRDefault="00BE7C89">
            <w:pPr>
              <w:pStyle w:val="BodyText"/>
              <w:spacing w:before="100" w:after="100"/>
              <w:jc w:val="center"/>
              <w:rPr>
                <w:lang w:val="en-AU" w:eastAsia="en-AU"/>
              </w:rPr>
            </w:pPr>
            <w:r>
              <w:rPr>
                <w:lang w:val="en-AU" w:eastAsia="en-AU"/>
              </w:rPr>
              <w:t>$283.63</w:t>
            </w:r>
            <w:r>
              <w:rPr>
                <w:lang w:val="en-AU" w:eastAsia="en-AU"/>
              </w:rPr>
              <w:br/>
              <w:t>($312)</w:t>
            </w:r>
          </w:p>
        </w:tc>
        <w:tc>
          <w:tcPr>
            <w:tcW w:w="625" w:type="pct"/>
          </w:tcPr>
          <w:p w14:paraId="39497B83" w14:textId="77777777" w:rsidR="000D07EA" w:rsidRDefault="00BE7C89">
            <w:pPr>
              <w:pStyle w:val="BodyText"/>
              <w:spacing w:before="100" w:after="100"/>
              <w:jc w:val="center"/>
              <w:rPr>
                <w:lang w:val="en-AU" w:eastAsia="en-AU"/>
              </w:rPr>
            </w:pPr>
            <w:r>
              <w:rPr>
                <w:lang w:val="en-AU" w:eastAsia="en-AU"/>
              </w:rPr>
              <w:t>$317.27</w:t>
            </w:r>
            <w:r>
              <w:rPr>
                <w:lang w:val="en-AU" w:eastAsia="en-AU"/>
              </w:rPr>
              <w:br/>
              <w:t>($349)</w:t>
            </w:r>
          </w:p>
        </w:tc>
        <w:tc>
          <w:tcPr>
            <w:tcW w:w="625" w:type="pct"/>
          </w:tcPr>
          <w:p w14:paraId="531425C8" w14:textId="77777777" w:rsidR="000D07EA" w:rsidRDefault="00BE7C89">
            <w:pPr>
              <w:pStyle w:val="BodyText"/>
              <w:spacing w:before="100" w:after="100"/>
              <w:jc w:val="center"/>
              <w:rPr>
                <w:lang w:val="en-AU" w:eastAsia="en-AU"/>
              </w:rPr>
            </w:pPr>
            <w:r>
              <w:rPr>
                <w:lang w:val="en-AU" w:eastAsia="en-AU"/>
              </w:rPr>
              <w:t>$385.45</w:t>
            </w:r>
            <w:r>
              <w:rPr>
                <w:lang w:val="en-AU" w:eastAsia="en-AU"/>
              </w:rPr>
              <w:br/>
              <w:t>($424)</w:t>
            </w:r>
          </w:p>
        </w:tc>
        <w:tc>
          <w:tcPr>
            <w:tcW w:w="625" w:type="pct"/>
          </w:tcPr>
          <w:p w14:paraId="46FA57A7" w14:textId="77777777" w:rsidR="000D07EA" w:rsidRDefault="00BE7C89">
            <w:pPr>
              <w:pStyle w:val="BodyText"/>
              <w:spacing w:before="100" w:after="100"/>
              <w:jc w:val="center"/>
              <w:rPr>
                <w:lang w:val="en-AU" w:eastAsia="en-AU"/>
              </w:rPr>
            </w:pPr>
            <w:r>
              <w:rPr>
                <w:lang w:val="en-AU" w:eastAsia="en-AU"/>
              </w:rPr>
              <w:t>$435.45</w:t>
            </w:r>
            <w:r>
              <w:rPr>
                <w:lang w:val="en-AU" w:eastAsia="en-AU"/>
              </w:rPr>
              <w:br/>
              <w:t>($479)</w:t>
            </w:r>
          </w:p>
        </w:tc>
        <w:tc>
          <w:tcPr>
            <w:tcW w:w="625" w:type="pct"/>
          </w:tcPr>
          <w:p w14:paraId="0D016E06" w14:textId="77777777" w:rsidR="000D07EA" w:rsidRDefault="00BE7C89">
            <w:pPr>
              <w:pStyle w:val="BodyText"/>
              <w:spacing w:before="100" w:after="100"/>
              <w:jc w:val="center"/>
              <w:rPr>
                <w:lang w:val="en-AU" w:eastAsia="en-AU"/>
              </w:rPr>
            </w:pPr>
            <w:r>
              <w:rPr>
                <w:lang w:val="en-AU" w:eastAsia="en-AU"/>
              </w:rPr>
              <w:t>$933.63</w:t>
            </w:r>
            <w:r>
              <w:rPr>
                <w:lang w:val="en-AU" w:eastAsia="en-AU"/>
              </w:rPr>
              <w:br/>
              <w:t>($1027)</w:t>
            </w:r>
          </w:p>
        </w:tc>
        <w:tc>
          <w:tcPr>
            <w:tcW w:w="625" w:type="pct"/>
          </w:tcPr>
          <w:p w14:paraId="0AE6932E" w14:textId="77777777" w:rsidR="000D07EA" w:rsidRDefault="00BE7C89">
            <w:pPr>
              <w:pStyle w:val="BodyText"/>
              <w:spacing w:before="100" w:after="100"/>
              <w:jc w:val="center"/>
              <w:rPr>
                <w:lang w:val="en-AU" w:eastAsia="en-AU"/>
              </w:rPr>
            </w:pPr>
            <w:r>
              <w:rPr>
                <w:lang w:val="en-AU" w:eastAsia="en-AU"/>
              </w:rPr>
              <w:t>$1098.18</w:t>
            </w:r>
            <w:r>
              <w:rPr>
                <w:lang w:val="en-AU" w:eastAsia="en-AU"/>
              </w:rPr>
              <w:br/>
              <w:t>($1208)</w:t>
            </w:r>
          </w:p>
        </w:tc>
      </w:tr>
    </w:tbl>
    <w:p w14:paraId="522FD0A4" w14:textId="77777777" w:rsidR="000D07EA" w:rsidRDefault="000D07EA">
      <w:pPr>
        <w:pStyle w:val="BodyText"/>
      </w:pPr>
    </w:p>
    <w:p w14:paraId="0F64036A" w14:textId="77777777" w:rsidR="000D07EA" w:rsidRDefault="00BE7C89">
      <w:pPr>
        <w:pStyle w:val="BodyText"/>
        <w:ind w:left="1440"/>
        <w:rPr>
          <w:lang w:val="en-AU"/>
        </w:rPr>
      </w:pPr>
      <w:r>
        <w:rPr>
          <w:lang w:val="en-AU" w:eastAsia="en-AU"/>
        </w:rPr>
        <w:t xml:space="preserve">And for </w:t>
      </w:r>
      <w:r>
        <w:rPr>
          <w:i/>
          <w:lang w:val="en-AU" w:eastAsia="en-AU"/>
        </w:rPr>
        <w:t xml:space="preserve">cancellations </w:t>
      </w:r>
      <w:r>
        <w:rPr>
          <w:lang w:val="en-AU" w:eastAsia="en-AU"/>
        </w:rPr>
        <w:t xml:space="preserve">between months 7-12, an amount in accordance with the following calculations: for months 7-9, 70% of the </w:t>
      </w:r>
      <w:r>
        <w:rPr>
          <w:i/>
          <w:lang w:val="en-AU" w:eastAsia="en-AU"/>
        </w:rPr>
        <w:t>cancellation fee</w:t>
      </w:r>
      <w:r>
        <w:rPr>
          <w:lang w:val="en-AU" w:eastAsia="en-AU"/>
        </w:rPr>
        <w:t xml:space="preserve">; for months 10-12, 40% of the </w:t>
      </w:r>
      <w:r>
        <w:rPr>
          <w:i/>
          <w:lang w:val="en-AU" w:eastAsia="en-AU"/>
        </w:rPr>
        <w:t>cancellation fee</w:t>
      </w:r>
      <w:r>
        <w:rPr>
          <w:lang w:val="en-AU" w:eastAsia="en-AU"/>
        </w:rPr>
        <w:t>.</w:t>
      </w:r>
    </w:p>
    <w:p w14:paraId="0AE3B933" w14:textId="77777777" w:rsidR="000D07EA" w:rsidRDefault="00BE7C89">
      <w:pPr>
        <w:pStyle w:val="Heading6"/>
        <w:ind w:left="0" w:firstLine="0"/>
        <w:rPr>
          <w:lang w:val="en-AU"/>
        </w:rPr>
      </w:pPr>
      <w:bookmarkStart w:id="149" w:name="_Toc219870390"/>
      <w:bookmarkStart w:id="150" w:name="_Toc397940994"/>
      <w:r>
        <w:rPr>
          <w:lang w:val="en-AU"/>
        </w:rPr>
        <w:t>Optus SMB Rewards</w:t>
      </w:r>
      <w:bookmarkEnd w:id="149"/>
      <w:bookmarkEnd w:id="15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
        <w:gridCol w:w="1150"/>
        <w:gridCol w:w="1151"/>
        <w:gridCol w:w="1151"/>
        <w:gridCol w:w="1151"/>
        <w:gridCol w:w="1151"/>
        <w:gridCol w:w="1151"/>
        <w:gridCol w:w="1151"/>
        <w:gridCol w:w="1147"/>
      </w:tblGrid>
      <w:tr w:rsidR="000D07EA" w14:paraId="408A1E33" w14:textId="77777777">
        <w:trPr>
          <w:tblHeader/>
          <w:jc w:val="center"/>
        </w:trPr>
        <w:tc>
          <w:tcPr>
            <w:tcW w:w="483" w:type="pct"/>
          </w:tcPr>
          <w:p w14:paraId="5D449C23" w14:textId="77777777" w:rsidR="000D07EA" w:rsidRDefault="00BE7C89">
            <w:pPr>
              <w:pStyle w:val="BodyText"/>
              <w:spacing w:before="100" w:after="100"/>
              <w:jc w:val="center"/>
              <w:rPr>
                <w:b/>
                <w:i/>
                <w:lang w:val="en-AU" w:eastAsia="en-AU"/>
              </w:rPr>
            </w:pPr>
            <w:r>
              <w:rPr>
                <w:b/>
                <w:i/>
                <w:lang w:val="en-AU" w:eastAsia="en-AU"/>
              </w:rPr>
              <w:t>Pricing plan</w:t>
            </w:r>
          </w:p>
        </w:tc>
        <w:tc>
          <w:tcPr>
            <w:tcW w:w="564" w:type="pct"/>
          </w:tcPr>
          <w:p w14:paraId="2C26D6EA" w14:textId="77777777" w:rsidR="000D07EA" w:rsidRDefault="00BE7C89">
            <w:pPr>
              <w:pStyle w:val="BodyText"/>
              <w:spacing w:before="100" w:after="100"/>
              <w:ind w:left="-105" w:right="-130"/>
              <w:jc w:val="center"/>
              <w:rPr>
                <w:b/>
                <w:lang w:val="en-AU" w:eastAsia="en-AU"/>
              </w:rPr>
            </w:pPr>
            <w:r>
              <w:rPr>
                <w:b/>
                <w:lang w:val="en-AU" w:eastAsia="en-AU"/>
              </w:rPr>
              <w:t>'yes' Business Smart 29 Plan</w:t>
            </w:r>
          </w:p>
        </w:tc>
        <w:tc>
          <w:tcPr>
            <w:tcW w:w="565" w:type="pct"/>
          </w:tcPr>
          <w:p w14:paraId="690F8D92" w14:textId="77777777" w:rsidR="000D07EA" w:rsidRDefault="00BE7C89">
            <w:pPr>
              <w:pStyle w:val="BodyText"/>
              <w:spacing w:before="100" w:after="100"/>
              <w:ind w:left="-105" w:right="-130"/>
              <w:jc w:val="center"/>
              <w:rPr>
                <w:b/>
                <w:lang w:val="en-AU" w:eastAsia="en-AU"/>
              </w:rPr>
            </w:pPr>
            <w:r>
              <w:rPr>
                <w:b/>
                <w:lang w:val="en-AU" w:eastAsia="en-AU"/>
              </w:rPr>
              <w:t>'yes' Business Smart 39 Plan</w:t>
            </w:r>
          </w:p>
        </w:tc>
        <w:tc>
          <w:tcPr>
            <w:tcW w:w="565" w:type="pct"/>
          </w:tcPr>
          <w:p w14:paraId="14B70D95" w14:textId="77777777" w:rsidR="000D07EA" w:rsidRDefault="00BE7C89">
            <w:pPr>
              <w:pStyle w:val="BodyText"/>
              <w:spacing w:before="100" w:after="100"/>
              <w:ind w:left="-105" w:right="-130"/>
              <w:jc w:val="center"/>
              <w:rPr>
                <w:b/>
                <w:lang w:val="en-AU" w:eastAsia="en-AU"/>
              </w:rPr>
            </w:pPr>
            <w:r>
              <w:rPr>
                <w:b/>
                <w:lang w:val="en-AU" w:eastAsia="en-AU"/>
              </w:rPr>
              <w:t>'yes' Business Smart 49 Plan</w:t>
            </w:r>
          </w:p>
        </w:tc>
        <w:tc>
          <w:tcPr>
            <w:tcW w:w="565" w:type="pct"/>
          </w:tcPr>
          <w:p w14:paraId="4D90C40D" w14:textId="77777777" w:rsidR="000D07EA" w:rsidRDefault="00BE7C89">
            <w:pPr>
              <w:pStyle w:val="BodyText"/>
              <w:spacing w:before="100" w:after="100"/>
              <w:ind w:left="-105" w:right="-130"/>
              <w:jc w:val="center"/>
              <w:rPr>
                <w:b/>
                <w:lang w:val="en-AU" w:eastAsia="en-AU"/>
              </w:rPr>
            </w:pPr>
            <w:r>
              <w:rPr>
                <w:b/>
                <w:lang w:val="en-AU" w:eastAsia="en-AU"/>
              </w:rPr>
              <w:t>'yes' Business Smart 59 Plan</w:t>
            </w:r>
          </w:p>
        </w:tc>
        <w:tc>
          <w:tcPr>
            <w:tcW w:w="565" w:type="pct"/>
          </w:tcPr>
          <w:p w14:paraId="45BE0608" w14:textId="77777777" w:rsidR="000D07EA" w:rsidRDefault="00BE7C89">
            <w:pPr>
              <w:pStyle w:val="BodyText"/>
              <w:spacing w:before="100" w:after="100"/>
              <w:ind w:left="-105" w:right="-130"/>
              <w:jc w:val="center"/>
              <w:rPr>
                <w:b/>
                <w:lang w:val="en-AU" w:eastAsia="en-AU"/>
              </w:rPr>
            </w:pPr>
            <w:r>
              <w:rPr>
                <w:b/>
                <w:lang w:val="en-AU" w:eastAsia="en-AU"/>
              </w:rPr>
              <w:t>'yes' Business Smart 79 Plan</w:t>
            </w:r>
          </w:p>
        </w:tc>
        <w:tc>
          <w:tcPr>
            <w:tcW w:w="565" w:type="pct"/>
          </w:tcPr>
          <w:p w14:paraId="25FA3C8C" w14:textId="77777777" w:rsidR="000D07EA" w:rsidRDefault="00BE7C89">
            <w:pPr>
              <w:pStyle w:val="BodyText"/>
              <w:spacing w:before="100" w:after="100"/>
              <w:ind w:left="-105" w:right="-130"/>
              <w:jc w:val="center"/>
              <w:rPr>
                <w:b/>
                <w:lang w:val="en-AU" w:eastAsia="en-AU"/>
              </w:rPr>
            </w:pPr>
            <w:r>
              <w:rPr>
                <w:b/>
                <w:lang w:val="en-AU" w:eastAsia="en-AU"/>
              </w:rPr>
              <w:t>'yes' Business Smart 99 Plan</w:t>
            </w:r>
          </w:p>
        </w:tc>
        <w:tc>
          <w:tcPr>
            <w:tcW w:w="565" w:type="pct"/>
          </w:tcPr>
          <w:p w14:paraId="0BF17FF5" w14:textId="77777777" w:rsidR="000D07EA" w:rsidRDefault="00BE7C89">
            <w:pPr>
              <w:pStyle w:val="BodyText"/>
              <w:spacing w:before="100" w:after="100"/>
              <w:ind w:left="-105" w:right="-130"/>
              <w:jc w:val="center"/>
              <w:rPr>
                <w:b/>
                <w:lang w:val="en-AU" w:eastAsia="en-AU"/>
              </w:rPr>
            </w:pPr>
            <w:r>
              <w:rPr>
                <w:b/>
                <w:lang w:val="en-AU" w:eastAsia="en-AU"/>
              </w:rPr>
              <w:t>'yes' Business Smart 149 Plan</w:t>
            </w:r>
          </w:p>
        </w:tc>
        <w:tc>
          <w:tcPr>
            <w:tcW w:w="563" w:type="pct"/>
          </w:tcPr>
          <w:p w14:paraId="4AC69D37" w14:textId="77777777" w:rsidR="000D07EA" w:rsidRDefault="00BE7C89">
            <w:pPr>
              <w:pStyle w:val="BodyText"/>
              <w:spacing w:before="100" w:after="100"/>
              <w:ind w:left="-105" w:right="-130"/>
              <w:jc w:val="center"/>
              <w:rPr>
                <w:b/>
                <w:lang w:val="en-AU" w:eastAsia="en-AU"/>
              </w:rPr>
            </w:pPr>
            <w:r>
              <w:rPr>
                <w:b/>
                <w:lang w:val="en-AU" w:eastAsia="en-AU"/>
              </w:rPr>
              <w:t>'yes' Business Smart 249 Plan</w:t>
            </w:r>
          </w:p>
        </w:tc>
      </w:tr>
      <w:tr w:rsidR="000D07EA" w14:paraId="7F90E194" w14:textId="77777777">
        <w:trPr>
          <w:cantSplit/>
          <w:jc w:val="center"/>
        </w:trPr>
        <w:tc>
          <w:tcPr>
            <w:tcW w:w="5000" w:type="pct"/>
            <w:gridSpan w:val="9"/>
          </w:tcPr>
          <w:p w14:paraId="0DB54E7E" w14:textId="77777777" w:rsidR="000D07EA" w:rsidRDefault="00BE7C89">
            <w:pPr>
              <w:pStyle w:val="BodyText"/>
              <w:spacing w:before="100" w:after="100"/>
              <w:ind w:right="-126"/>
              <w:rPr>
                <w:b/>
                <w:lang w:val="en-AU" w:eastAsia="en-AU"/>
              </w:rPr>
            </w:pPr>
            <w:r>
              <w:rPr>
                <w:b/>
                <w:lang w:val="en-AU" w:eastAsia="en-AU"/>
              </w:rPr>
              <w:t xml:space="preserve">Business Bonus Credit (24 Month </w:t>
            </w:r>
            <w:r>
              <w:rPr>
                <w:b/>
                <w:i/>
                <w:lang w:val="en-AU" w:eastAsia="en-AU"/>
              </w:rPr>
              <w:t>agreement</w:t>
            </w:r>
            <w:r>
              <w:rPr>
                <w:b/>
                <w:lang w:val="en-AU" w:eastAsia="en-AU"/>
              </w:rPr>
              <w:t>)</w:t>
            </w:r>
          </w:p>
        </w:tc>
      </w:tr>
      <w:tr w:rsidR="000D07EA" w14:paraId="5586E17F" w14:textId="77777777">
        <w:trPr>
          <w:jc w:val="center"/>
        </w:trPr>
        <w:tc>
          <w:tcPr>
            <w:tcW w:w="483" w:type="pct"/>
          </w:tcPr>
          <w:p w14:paraId="742AF89A" w14:textId="77777777" w:rsidR="000D07EA" w:rsidRDefault="00BE7C89">
            <w:pPr>
              <w:pStyle w:val="BodyText"/>
              <w:keepNext/>
              <w:spacing w:before="100" w:after="100"/>
              <w:jc w:val="center"/>
              <w:rPr>
                <w:b/>
                <w:lang w:val="en-AU" w:eastAsia="en-AU"/>
              </w:rPr>
            </w:pPr>
            <w:r>
              <w:rPr>
                <w:b/>
                <w:lang w:val="en-AU" w:eastAsia="en-AU"/>
              </w:rPr>
              <w:lastRenderedPageBreak/>
              <w:t>Total amount over 24 months</w:t>
            </w:r>
          </w:p>
        </w:tc>
        <w:tc>
          <w:tcPr>
            <w:tcW w:w="564" w:type="pct"/>
          </w:tcPr>
          <w:p w14:paraId="2F90264E" w14:textId="77777777" w:rsidR="000D07EA" w:rsidRDefault="00BE7C89">
            <w:pPr>
              <w:pStyle w:val="BodyText"/>
              <w:keepNext/>
              <w:spacing w:before="100" w:after="100"/>
              <w:ind w:right="-126"/>
              <w:jc w:val="center"/>
              <w:rPr>
                <w:lang w:val="en-AU" w:eastAsia="en-AU"/>
              </w:rPr>
            </w:pPr>
            <w:r>
              <w:rPr>
                <w:lang w:val="en-AU" w:eastAsia="en-AU"/>
              </w:rPr>
              <w:t>$109.09</w:t>
            </w:r>
            <w:r>
              <w:rPr>
                <w:lang w:val="en-AU" w:eastAsia="en-AU"/>
              </w:rPr>
              <w:br/>
              <w:t>($120)</w:t>
            </w:r>
          </w:p>
        </w:tc>
        <w:tc>
          <w:tcPr>
            <w:tcW w:w="565" w:type="pct"/>
          </w:tcPr>
          <w:p w14:paraId="481A49A4" w14:textId="77777777" w:rsidR="000D07EA" w:rsidRDefault="00BE7C89">
            <w:pPr>
              <w:pStyle w:val="BodyText"/>
              <w:keepNext/>
              <w:spacing w:before="100" w:after="100"/>
              <w:ind w:right="-126"/>
              <w:jc w:val="center"/>
              <w:rPr>
                <w:lang w:val="en-AU" w:eastAsia="en-AU"/>
              </w:rPr>
            </w:pPr>
            <w:r>
              <w:rPr>
                <w:lang w:val="en-AU" w:eastAsia="en-AU"/>
              </w:rPr>
              <w:t>$218.18</w:t>
            </w:r>
            <w:r>
              <w:rPr>
                <w:lang w:val="en-AU" w:eastAsia="en-AU"/>
              </w:rPr>
              <w:br/>
              <w:t>($240)</w:t>
            </w:r>
          </w:p>
        </w:tc>
        <w:tc>
          <w:tcPr>
            <w:tcW w:w="565" w:type="pct"/>
          </w:tcPr>
          <w:p w14:paraId="3387E11C" w14:textId="77777777" w:rsidR="000D07EA" w:rsidRDefault="00BE7C89">
            <w:pPr>
              <w:pStyle w:val="BodyText"/>
              <w:keepNext/>
              <w:spacing w:before="100" w:after="100"/>
              <w:ind w:right="-126"/>
              <w:jc w:val="center"/>
              <w:rPr>
                <w:lang w:val="en-AU" w:eastAsia="en-AU"/>
              </w:rPr>
            </w:pPr>
            <w:r>
              <w:rPr>
                <w:lang w:val="en-AU" w:eastAsia="en-AU"/>
              </w:rPr>
              <w:t>$272.73</w:t>
            </w:r>
            <w:r>
              <w:rPr>
                <w:lang w:val="en-AU" w:eastAsia="en-AU"/>
              </w:rPr>
              <w:br/>
              <w:t>($300)</w:t>
            </w:r>
          </w:p>
        </w:tc>
        <w:tc>
          <w:tcPr>
            <w:tcW w:w="565" w:type="pct"/>
          </w:tcPr>
          <w:p w14:paraId="7ED3C26A" w14:textId="77777777" w:rsidR="000D07EA" w:rsidRDefault="00BE7C89">
            <w:pPr>
              <w:pStyle w:val="BodyText"/>
              <w:keepNext/>
              <w:spacing w:before="100" w:after="100"/>
              <w:ind w:right="-126"/>
              <w:jc w:val="center"/>
              <w:rPr>
                <w:lang w:val="en-AU" w:eastAsia="en-AU"/>
              </w:rPr>
            </w:pPr>
            <w:r>
              <w:rPr>
                <w:lang w:val="en-AU" w:eastAsia="en-AU"/>
              </w:rPr>
              <w:t>$327.27</w:t>
            </w:r>
            <w:r>
              <w:rPr>
                <w:lang w:val="en-AU" w:eastAsia="en-AU"/>
              </w:rPr>
              <w:br/>
              <w:t>($360)</w:t>
            </w:r>
          </w:p>
        </w:tc>
        <w:tc>
          <w:tcPr>
            <w:tcW w:w="565" w:type="pct"/>
          </w:tcPr>
          <w:p w14:paraId="1CD65525" w14:textId="77777777" w:rsidR="000D07EA" w:rsidRDefault="00BE7C89">
            <w:pPr>
              <w:pStyle w:val="BodyText"/>
              <w:keepNext/>
              <w:spacing w:before="100" w:after="100"/>
              <w:ind w:right="-126"/>
              <w:jc w:val="center"/>
              <w:rPr>
                <w:lang w:val="en-AU" w:eastAsia="en-AU"/>
              </w:rPr>
            </w:pPr>
            <w:r>
              <w:rPr>
                <w:lang w:val="en-AU" w:eastAsia="en-AU"/>
              </w:rPr>
              <w:t>$381.81</w:t>
            </w:r>
            <w:r>
              <w:rPr>
                <w:lang w:val="en-AU" w:eastAsia="en-AU"/>
              </w:rPr>
              <w:br/>
              <w:t>($420)</w:t>
            </w:r>
          </w:p>
        </w:tc>
        <w:tc>
          <w:tcPr>
            <w:tcW w:w="565" w:type="pct"/>
          </w:tcPr>
          <w:p w14:paraId="658D3100" w14:textId="77777777" w:rsidR="000D07EA" w:rsidRDefault="00BE7C89">
            <w:pPr>
              <w:pStyle w:val="BodyText"/>
              <w:keepNext/>
              <w:spacing w:before="100" w:after="100"/>
              <w:ind w:right="-126"/>
              <w:jc w:val="center"/>
              <w:rPr>
                <w:lang w:val="en-AU" w:eastAsia="en-AU"/>
              </w:rPr>
            </w:pPr>
            <w:r>
              <w:rPr>
                <w:lang w:val="en-AU" w:eastAsia="en-AU"/>
              </w:rPr>
              <w:t>$436.36</w:t>
            </w:r>
            <w:r>
              <w:rPr>
                <w:lang w:val="en-AU" w:eastAsia="en-AU"/>
              </w:rPr>
              <w:br/>
              <w:t>($480)</w:t>
            </w:r>
          </w:p>
        </w:tc>
        <w:tc>
          <w:tcPr>
            <w:tcW w:w="565" w:type="pct"/>
          </w:tcPr>
          <w:p w14:paraId="749DAE8E" w14:textId="77777777" w:rsidR="000D07EA" w:rsidRDefault="00BE7C89">
            <w:pPr>
              <w:pStyle w:val="BodyText"/>
              <w:keepNext/>
              <w:spacing w:before="100" w:after="100"/>
              <w:ind w:right="-126"/>
              <w:jc w:val="center"/>
              <w:rPr>
                <w:lang w:val="en-AU" w:eastAsia="en-AU"/>
              </w:rPr>
            </w:pPr>
            <w:r>
              <w:rPr>
                <w:lang w:val="en-AU" w:eastAsia="en-AU"/>
              </w:rPr>
              <w:t>$545.45</w:t>
            </w:r>
            <w:r>
              <w:rPr>
                <w:lang w:val="en-AU" w:eastAsia="en-AU"/>
              </w:rPr>
              <w:br/>
              <w:t>($600)</w:t>
            </w:r>
          </w:p>
        </w:tc>
        <w:tc>
          <w:tcPr>
            <w:tcW w:w="563" w:type="pct"/>
          </w:tcPr>
          <w:p w14:paraId="603E6A75" w14:textId="77777777" w:rsidR="000D07EA" w:rsidRDefault="00BE7C89">
            <w:pPr>
              <w:pStyle w:val="BodyText"/>
              <w:keepNext/>
              <w:spacing w:before="100" w:after="100"/>
              <w:ind w:right="-126"/>
              <w:jc w:val="center"/>
              <w:rPr>
                <w:lang w:val="en-AU" w:eastAsia="en-AU"/>
              </w:rPr>
            </w:pPr>
            <w:r>
              <w:rPr>
                <w:lang w:val="en-AU" w:eastAsia="en-AU"/>
              </w:rPr>
              <w:t>$654.55</w:t>
            </w:r>
            <w:r>
              <w:rPr>
                <w:lang w:val="en-AU" w:eastAsia="en-AU"/>
              </w:rPr>
              <w:br/>
              <w:t>($720)</w:t>
            </w:r>
          </w:p>
        </w:tc>
      </w:tr>
      <w:tr w:rsidR="000D07EA" w14:paraId="265744B3" w14:textId="77777777">
        <w:trPr>
          <w:jc w:val="center"/>
        </w:trPr>
        <w:tc>
          <w:tcPr>
            <w:tcW w:w="483" w:type="pct"/>
          </w:tcPr>
          <w:p w14:paraId="32859A8E" w14:textId="77777777" w:rsidR="000D07EA" w:rsidRDefault="00BE7C89">
            <w:pPr>
              <w:pStyle w:val="BodyText"/>
              <w:spacing w:before="100" w:after="100"/>
              <w:jc w:val="center"/>
              <w:rPr>
                <w:b/>
                <w:lang w:val="en-AU" w:eastAsia="en-AU"/>
              </w:rPr>
            </w:pPr>
            <w:r>
              <w:rPr>
                <w:b/>
                <w:lang w:val="en-AU" w:eastAsia="en-AU"/>
              </w:rPr>
              <w:t>Total amount over 12 months</w:t>
            </w:r>
          </w:p>
        </w:tc>
        <w:tc>
          <w:tcPr>
            <w:tcW w:w="564" w:type="pct"/>
          </w:tcPr>
          <w:p w14:paraId="4A87161F" w14:textId="77777777" w:rsidR="000D07EA" w:rsidRDefault="00BE7C89">
            <w:pPr>
              <w:pStyle w:val="BodyText"/>
              <w:spacing w:before="100" w:after="100"/>
              <w:ind w:right="-126"/>
              <w:jc w:val="center"/>
              <w:rPr>
                <w:lang w:val="en-AU" w:eastAsia="en-AU"/>
              </w:rPr>
            </w:pPr>
            <w:r>
              <w:rPr>
                <w:lang w:val="en-AU" w:eastAsia="en-AU"/>
              </w:rPr>
              <w:t>$43.63</w:t>
            </w:r>
            <w:r>
              <w:rPr>
                <w:lang w:val="en-AU" w:eastAsia="en-AU"/>
              </w:rPr>
              <w:br/>
              <w:t>($48)</w:t>
            </w:r>
          </w:p>
        </w:tc>
        <w:tc>
          <w:tcPr>
            <w:tcW w:w="565" w:type="pct"/>
          </w:tcPr>
          <w:p w14:paraId="3B68899D" w14:textId="77777777" w:rsidR="000D07EA" w:rsidRDefault="00BE7C89">
            <w:pPr>
              <w:pStyle w:val="BodyText"/>
              <w:spacing w:before="100" w:after="100"/>
              <w:ind w:right="-126"/>
              <w:jc w:val="center"/>
              <w:rPr>
                <w:lang w:val="en-AU" w:eastAsia="en-AU"/>
              </w:rPr>
            </w:pPr>
            <w:r>
              <w:rPr>
                <w:lang w:val="en-AU" w:eastAsia="en-AU"/>
              </w:rPr>
              <w:t>$87.27</w:t>
            </w:r>
            <w:r>
              <w:rPr>
                <w:lang w:val="en-AU" w:eastAsia="en-AU"/>
              </w:rPr>
              <w:br/>
              <w:t>($96)</w:t>
            </w:r>
          </w:p>
        </w:tc>
        <w:tc>
          <w:tcPr>
            <w:tcW w:w="565" w:type="pct"/>
          </w:tcPr>
          <w:p w14:paraId="34742A85" w14:textId="77777777" w:rsidR="000D07EA" w:rsidRDefault="00BE7C89">
            <w:pPr>
              <w:pStyle w:val="BodyText"/>
              <w:spacing w:before="100" w:after="100"/>
              <w:ind w:right="-126"/>
              <w:jc w:val="center"/>
              <w:rPr>
                <w:lang w:val="en-AU" w:eastAsia="en-AU"/>
              </w:rPr>
            </w:pPr>
            <w:r>
              <w:rPr>
                <w:lang w:val="en-AU" w:eastAsia="en-AU"/>
              </w:rPr>
              <w:t>$109.09</w:t>
            </w:r>
            <w:r>
              <w:rPr>
                <w:lang w:val="en-AU" w:eastAsia="en-AU"/>
              </w:rPr>
              <w:br/>
              <w:t>($120)</w:t>
            </w:r>
          </w:p>
        </w:tc>
        <w:tc>
          <w:tcPr>
            <w:tcW w:w="565" w:type="pct"/>
          </w:tcPr>
          <w:p w14:paraId="67900C07" w14:textId="77777777" w:rsidR="000D07EA" w:rsidRDefault="00BE7C89">
            <w:pPr>
              <w:pStyle w:val="BodyText"/>
              <w:spacing w:before="100" w:after="100"/>
              <w:ind w:right="-126"/>
              <w:jc w:val="center"/>
              <w:rPr>
                <w:lang w:val="en-AU" w:eastAsia="en-AU"/>
              </w:rPr>
            </w:pPr>
            <w:r>
              <w:rPr>
                <w:lang w:val="en-AU" w:eastAsia="en-AU"/>
              </w:rPr>
              <w:t>$130.90</w:t>
            </w:r>
            <w:r>
              <w:rPr>
                <w:lang w:val="en-AU" w:eastAsia="en-AU"/>
              </w:rPr>
              <w:br/>
              <w:t>($144)</w:t>
            </w:r>
          </w:p>
        </w:tc>
        <w:tc>
          <w:tcPr>
            <w:tcW w:w="565" w:type="pct"/>
          </w:tcPr>
          <w:p w14:paraId="1C2A4EF9" w14:textId="77777777" w:rsidR="000D07EA" w:rsidRDefault="00BE7C89">
            <w:pPr>
              <w:pStyle w:val="BodyText"/>
              <w:spacing w:before="100" w:after="100"/>
              <w:ind w:right="-126"/>
              <w:jc w:val="center"/>
              <w:rPr>
                <w:lang w:val="en-AU" w:eastAsia="en-AU"/>
              </w:rPr>
            </w:pPr>
            <w:r>
              <w:rPr>
                <w:lang w:val="en-AU" w:eastAsia="en-AU"/>
              </w:rPr>
              <w:t>$152.72</w:t>
            </w:r>
            <w:r>
              <w:rPr>
                <w:lang w:val="en-AU" w:eastAsia="en-AU"/>
              </w:rPr>
              <w:br/>
              <w:t>($168)</w:t>
            </w:r>
          </w:p>
        </w:tc>
        <w:tc>
          <w:tcPr>
            <w:tcW w:w="565" w:type="pct"/>
          </w:tcPr>
          <w:p w14:paraId="1E24658D" w14:textId="77777777" w:rsidR="000D07EA" w:rsidRDefault="00BE7C89">
            <w:pPr>
              <w:pStyle w:val="BodyText"/>
              <w:spacing w:before="100" w:after="100"/>
              <w:ind w:right="-126"/>
              <w:jc w:val="center"/>
              <w:rPr>
                <w:lang w:val="en-AU" w:eastAsia="en-AU"/>
              </w:rPr>
            </w:pPr>
            <w:r>
              <w:rPr>
                <w:lang w:val="en-AU" w:eastAsia="en-AU"/>
              </w:rPr>
              <w:t>$174.54</w:t>
            </w:r>
            <w:r>
              <w:rPr>
                <w:lang w:val="en-AU" w:eastAsia="en-AU"/>
              </w:rPr>
              <w:br/>
              <w:t>($192)</w:t>
            </w:r>
          </w:p>
        </w:tc>
        <w:tc>
          <w:tcPr>
            <w:tcW w:w="565" w:type="pct"/>
          </w:tcPr>
          <w:p w14:paraId="75588373" w14:textId="77777777" w:rsidR="000D07EA" w:rsidRDefault="00BE7C89">
            <w:pPr>
              <w:pStyle w:val="BodyText"/>
              <w:spacing w:before="100" w:after="100"/>
              <w:ind w:right="-126"/>
              <w:jc w:val="center"/>
              <w:rPr>
                <w:lang w:val="en-AU" w:eastAsia="en-AU"/>
              </w:rPr>
            </w:pPr>
            <w:r>
              <w:rPr>
                <w:lang w:val="en-AU" w:eastAsia="en-AU"/>
              </w:rPr>
              <w:t>$218.18</w:t>
            </w:r>
            <w:r>
              <w:rPr>
                <w:lang w:val="en-AU" w:eastAsia="en-AU"/>
              </w:rPr>
              <w:br/>
              <w:t>($240)</w:t>
            </w:r>
          </w:p>
        </w:tc>
        <w:tc>
          <w:tcPr>
            <w:tcW w:w="563" w:type="pct"/>
          </w:tcPr>
          <w:p w14:paraId="5FB7B994" w14:textId="77777777" w:rsidR="000D07EA" w:rsidRDefault="00BE7C89">
            <w:pPr>
              <w:pStyle w:val="BodyText"/>
              <w:spacing w:before="100" w:after="100"/>
              <w:ind w:right="-126"/>
              <w:jc w:val="center"/>
              <w:rPr>
                <w:lang w:val="en-AU" w:eastAsia="en-AU"/>
              </w:rPr>
            </w:pPr>
            <w:r>
              <w:rPr>
                <w:lang w:val="en-AU" w:eastAsia="en-AU"/>
              </w:rPr>
              <w:t>$261.81</w:t>
            </w:r>
            <w:r>
              <w:rPr>
                <w:lang w:val="en-AU" w:eastAsia="en-AU"/>
              </w:rPr>
              <w:br/>
              <w:t>($288)</w:t>
            </w:r>
          </w:p>
        </w:tc>
      </w:tr>
    </w:tbl>
    <w:p w14:paraId="7CF34A03" w14:textId="77777777" w:rsidR="000D07EA" w:rsidRDefault="000D07EA">
      <w:pPr>
        <w:pStyle w:val="BodyText"/>
      </w:pPr>
    </w:p>
    <w:p w14:paraId="1C6B3DC4" w14:textId="77777777" w:rsidR="000D07EA" w:rsidRDefault="00BE7C89">
      <w:pPr>
        <w:pStyle w:val="Heading7"/>
        <w:rPr>
          <w:szCs w:val="20"/>
          <w:lang w:val="en-AU"/>
        </w:rPr>
      </w:pPr>
      <w:r>
        <w:rPr>
          <w:b/>
          <w:bCs/>
          <w:szCs w:val="20"/>
          <w:lang w:val="en-AU"/>
        </w:rPr>
        <w:t>inBusiness Rewards and Optus SMB 'yes' Rewards</w:t>
      </w:r>
      <w:r>
        <w:rPr>
          <w:szCs w:val="20"/>
          <w:lang w:val="en-AU"/>
        </w:rPr>
        <w:t xml:space="preserve"> are </w:t>
      </w:r>
      <w:r>
        <w:rPr>
          <w:i/>
          <w:iCs/>
          <w:szCs w:val="20"/>
          <w:lang w:val="en-AU"/>
        </w:rPr>
        <w:t xml:space="preserve">specials </w:t>
      </w:r>
      <w:r>
        <w:rPr>
          <w:szCs w:val="20"/>
          <w:lang w:val="en-AU"/>
        </w:rPr>
        <w:t xml:space="preserve">available to </w:t>
      </w:r>
      <w:r>
        <w:rPr>
          <w:i/>
          <w:iCs/>
          <w:szCs w:val="20"/>
          <w:lang w:val="en-AU"/>
        </w:rPr>
        <w:t xml:space="preserve">small or medium enterprise customers </w:t>
      </w:r>
      <w:r>
        <w:rPr>
          <w:szCs w:val="20"/>
          <w:lang w:val="en-AU"/>
        </w:rPr>
        <w:t xml:space="preserve">who connected to the </w:t>
      </w:r>
      <w:r>
        <w:rPr>
          <w:i/>
          <w:iCs/>
          <w:szCs w:val="20"/>
          <w:lang w:val="en-AU"/>
        </w:rPr>
        <w:t>service</w:t>
      </w:r>
      <w:r>
        <w:rPr>
          <w:szCs w:val="20"/>
          <w:lang w:val="en-AU"/>
        </w:rPr>
        <w:t xml:space="preserve"> on an eligible </w:t>
      </w:r>
      <w:r>
        <w:rPr>
          <w:i/>
          <w:iCs/>
          <w:szCs w:val="20"/>
          <w:lang w:val="en-AU"/>
        </w:rPr>
        <w:t xml:space="preserve">pricing plan </w:t>
      </w:r>
      <w:r>
        <w:rPr>
          <w:szCs w:val="20"/>
          <w:lang w:val="en-AU"/>
        </w:rPr>
        <w:t>prior to 23 November 2005. They</w:t>
      </w:r>
      <w:r>
        <w:rPr>
          <w:i/>
          <w:iCs/>
          <w:szCs w:val="20"/>
          <w:lang w:val="en-AU"/>
        </w:rPr>
        <w:t xml:space="preserve"> </w:t>
      </w:r>
      <w:r>
        <w:rPr>
          <w:szCs w:val="20"/>
          <w:lang w:val="en-AU"/>
        </w:rPr>
        <w:t xml:space="preserve">involve more than one </w:t>
      </w:r>
      <w:r>
        <w:rPr>
          <w:i/>
          <w:iCs/>
          <w:szCs w:val="20"/>
          <w:lang w:val="en-AU"/>
        </w:rPr>
        <w:t>service</w:t>
      </w:r>
      <w:r>
        <w:rPr>
          <w:szCs w:val="20"/>
          <w:lang w:val="en-AU"/>
        </w:rPr>
        <w:t xml:space="preserve"> and each of the services </w:t>
      </w:r>
      <w:r>
        <w:rPr>
          <w:i/>
          <w:iCs/>
          <w:szCs w:val="20"/>
          <w:lang w:val="en-AU"/>
        </w:rPr>
        <w:t>you</w:t>
      </w:r>
      <w:r>
        <w:rPr>
          <w:szCs w:val="20"/>
          <w:lang w:val="en-AU"/>
        </w:rPr>
        <w:t xml:space="preserve"> select as part of </w:t>
      </w:r>
      <w:r>
        <w:rPr>
          <w:i/>
          <w:iCs/>
          <w:szCs w:val="20"/>
          <w:lang w:val="en-AU"/>
        </w:rPr>
        <w:t>you</w:t>
      </w:r>
      <w:r>
        <w:rPr>
          <w:szCs w:val="20"/>
          <w:lang w:val="en-AU"/>
        </w:rPr>
        <w:t xml:space="preserve">r package is provided to </w:t>
      </w:r>
      <w:r>
        <w:rPr>
          <w:i/>
          <w:iCs/>
          <w:szCs w:val="20"/>
          <w:lang w:val="en-AU"/>
        </w:rPr>
        <w:t>you</w:t>
      </w:r>
      <w:r>
        <w:rPr>
          <w:szCs w:val="20"/>
          <w:lang w:val="en-AU"/>
        </w:rPr>
        <w:t xml:space="preserve"> by the relevant Optus company on the terms and conditions of the </w:t>
      </w:r>
      <w:r>
        <w:rPr>
          <w:i/>
          <w:iCs/>
          <w:szCs w:val="20"/>
          <w:lang w:val="en-AU"/>
        </w:rPr>
        <w:t>agreement</w:t>
      </w:r>
      <w:r>
        <w:rPr>
          <w:szCs w:val="20"/>
          <w:lang w:val="en-AU"/>
        </w:rPr>
        <w:t xml:space="preserve"> for the supply of that </w:t>
      </w:r>
      <w:r>
        <w:rPr>
          <w:i/>
          <w:iCs/>
          <w:szCs w:val="20"/>
          <w:lang w:val="en-AU"/>
        </w:rPr>
        <w:t>service.</w:t>
      </w:r>
      <w:r>
        <w:rPr>
          <w:szCs w:val="20"/>
          <w:lang w:val="en-AU"/>
        </w:rPr>
        <w:t xml:space="preserve"> Details of the various packages available and of any additional terms and conditions that apply to these </w:t>
      </w:r>
      <w:r>
        <w:rPr>
          <w:i/>
          <w:iCs/>
          <w:szCs w:val="20"/>
          <w:lang w:val="en-AU"/>
        </w:rPr>
        <w:t>specials</w:t>
      </w:r>
      <w:r>
        <w:rPr>
          <w:szCs w:val="20"/>
          <w:lang w:val="en-AU"/>
        </w:rPr>
        <w:t xml:space="preserve"> are set out in </w:t>
      </w:r>
      <w:hyperlink r:id="rId48" w:history="1">
        <w:r>
          <w:rPr>
            <w:rStyle w:val="Hyperlink"/>
            <w:i/>
            <w:szCs w:val="20"/>
          </w:rPr>
          <w:t>Appendix IB</w:t>
        </w:r>
      </w:hyperlink>
      <w:r>
        <w:rPr>
          <w:szCs w:val="20"/>
          <w:lang w:val="en-AU"/>
        </w:rPr>
        <w:t>.</w:t>
      </w:r>
    </w:p>
    <w:p w14:paraId="592D589A" w14:textId="77777777" w:rsidR="000D07EA" w:rsidRDefault="00BE7C89">
      <w:pPr>
        <w:pStyle w:val="Heading7"/>
        <w:rPr>
          <w:szCs w:val="20"/>
          <w:lang w:val="en-AU"/>
        </w:rPr>
      </w:pPr>
      <w:r>
        <w:rPr>
          <w:b/>
          <w:szCs w:val="20"/>
          <w:lang w:val="en-AU"/>
        </w:rPr>
        <w:t xml:space="preserve">Optus 'yes' Business </w:t>
      </w:r>
      <w:r>
        <w:rPr>
          <w:b/>
          <w:bCs/>
          <w:szCs w:val="20"/>
          <w:lang w:val="en-AU"/>
        </w:rPr>
        <w:t xml:space="preserve">Rewards </w:t>
      </w:r>
      <w:r>
        <w:rPr>
          <w:szCs w:val="20"/>
          <w:lang w:val="en-AU"/>
        </w:rPr>
        <w:t xml:space="preserve">is a </w:t>
      </w:r>
      <w:r>
        <w:rPr>
          <w:i/>
          <w:iCs/>
          <w:szCs w:val="20"/>
          <w:lang w:val="en-AU"/>
        </w:rPr>
        <w:t xml:space="preserve">special </w:t>
      </w:r>
      <w:r>
        <w:rPr>
          <w:szCs w:val="20"/>
          <w:lang w:val="en-AU"/>
        </w:rPr>
        <w:t xml:space="preserve">available to </w:t>
      </w:r>
      <w:r>
        <w:rPr>
          <w:i/>
          <w:iCs/>
          <w:szCs w:val="20"/>
          <w:lang w:val="en-AU"/>
        </w:rPr>
        <w:t xml:space="preserve">small or medium enterprise customers </w:t>
      </w:r>
      <w:r>
        <w:rPr>
          <w:szCs w:val="20"/>
          <w:lang w:val="en-AU"/>
        </w:rPr>
        <w:t>who connect to the</w:t>
      </w:r>
      <w:r>
        <w:rPr>
          <w:i/>
          <w:iCs/>
          <w:szCs w:val="20"/>
          <w:lang w:val="en-AU"/>
        </w:rPr>
        <w:t xml:space="preserve"> service </w:t>
      </w:r>
      <w:r>
        <w:rPr>
          <w:szCs w:val="20"/>
          <w:lang w:val="en-AU"/>
        </w:rPr>
        <w:t xml:space="preserve">on an eligible </w:t>
      </w:r>
      <w:r>
        <w:rPr>
          <w:i/>
          <w:iCs/>
          <w:szCs w:val="20"/>
          <w:lang w:val="en-AU"/>
        </w:rPr>
        <w:t xml:space="preserve">pricing plan </w:t>
      </w:r>
      <w:r>
        <w:rPr>
          <w:szCs w:val="20"/>
          <w:lang w:val="en-AU"/>
        </w:rPr>
        <w:t>after 23 November 2005. It</w:t>
      </w:r>
      <w:r>
        <w:rPr>
          <w:i/>
          <w:iCs/>
          <w:szCs w:val="20"/>
          <w:lang w:val="en-AU"/>
        </w:rPr>
        <w:t xml:space="preserve"> </w:t>
      </w:r>
      <w:r>
        <w:rPr>
          <w:szCs w:val="20"/>
          <w:lang w:val="en-AU"/>
        </w:rPr>
        <w:t xml:space="preserve">involves more than one </w:t>
      </w:r>
      <w:r>
        <w:rPr>
          <w:i/>
          <w:iCs/>
          <w:szCs w:val="20"/>
          <w:lang w:val="en-AU"/>
        </w:rPr>
        <w:t>service</w:t>
      </w:r>
      <w:r>
        <w:rPr>
          <w:szCs w:val="20"/>
          <w:lang w:val="en-AU"/>
        </w:rPr>
        <w:t xml:space="preserve"> and each of the services </w:t>
      </w:r>
      <w:r>
        <w:rPr>
          <w:i/>
          <w:iCs/>
          <w:szCs w:val="20"/>
          <w:lang w:val="en-AU"/>
        </w:rPr>
        <w:t>you</w:t>
      </w:r>
      <w:r>
        <w:rPr>
          <w:szCs w:val="20"/>
          <w:lang w:val="en-AU"/>
        </w:rPr>
        <w:t xml:space="preserve"> select as part of </w:t>
      </w:r>
      <w:r>
        <w:rPr>
          <w:i/>
          <w:iCs/>
          <w:szCs w:val="20"/>
          <w:lang w:val="en-AU"/>
        </w:rPr>
        <w:t>you</w:t>
      </w:r>
      <w:r>
        <w:rPr>
          <w:szCs w:val="20"/>
          <w:lang w:val="en-AU"/>
        </w:rPr>
        <w:t xml:space="preserve">r package is provided to </w:t>
      </w:r>
      <w:r>
        <w:rPr>
          <w:i/>
          <w:iCs/>
          <w:szCs w:val="20"/>
          <w:lang w:val="en-AU"/>
        </w:rPr>
        <w:t>you</w:t>
      </w:r>
      <w:r>
        <w:rPr>
          <w:szCs w:val="20"/>
          <w:lang w:val="en-AU"/>
        </w:rPr>
        <w:t xml:space="preserve"> by the relevant Optus company on the terms and conditions of the </w:t>
      </w:r>
      <w:r>
        <w:rPr>
          <w:i/>
          <w:iCs/>
          <w:szCs w:val="20"/>
          <w:lang w:val="en-AU"/>
        </w:rPr>
        <w:t>agreement</w:t>
      </w:r>
      <w:r>
        <w:rPr>
          <w:szCs w:val="20"/>
          <w:lang w:val="en-AU"/>
        </w:rPr>
        <w:t xml:space="preserve"> for the supply of that </w:t>
      </w:r>
      <w:r>
        <w:rPr>
          <w:i/>
          <w:iCs/>
          <w:szCs w:val="20"/>
          <w:lang w:val="en-AU"/>
        </w:rPr>
        <w:t>service.</w:t>
      </w:r>
      <w:r>
        <w:rPr>
          <w:szCs w:val="20"/>
          <w:lang w:val="en-AU"/>
        </w:rPr>
        <w:t xml:space="preserve"> Details of the various packages available and of any additional terms and conditions that apply to 'yes' Business Rewards are set out in </w:t>
      </w:r>
      <w:hyperlink r:id="rId49" w:history="1">
        <w:r>
          <w:rPr>
            <w:rStyle w:val="Hyperlink"/>
            <w:i/>
            <w:szCs w:val="20"/>
          </w:rPr>
          <w:t>Appendix IB</w:t>
        </w:r>
      </w:hyperlink>
      <w:r>
        <w:rPr>
          <w:szCs w:val="20"/>
          <w:lang w:val="en-AU"/>
        </w:rPr>
        <w:t>.</w:t>
      </w:r>
    </w:p>
    <w:p w14:paraId="3BACE1F7" w14:textId="77777777" w:rsidR="000D07EA" w:rsidRDefault="00BE7C89">
      <w:pPr>
        <w:pStyle w:val="Heading6"/>
        <w:ind w:left="0" w:firstLine="0"/>
        <w:rPr>
          <w:lang w:val="en-AU"/>
        </w:rPr>
      </w:pPr>
      <w:bookmarkStart w:id="151" w:name="_Toc219870391"/>
      <w:bookmarkStart w:id="152" w:name="_Toc397940995"/>
      <w:r>
        <w:rPr>
          <w:lang w:val="en-AU"/>
        </w:rPr>
        <w:t>Business Bonus</w:t>
      </w:r>
      <w:bookmarkEnd w:id="151"/>
      <w:bookmarkEnd w:id="152"/>
    </w:p>
    <w:p w14:paraId="72658849" w14:textId="77777777" w:rsidR="000D07EA" w:rsidRDefault="00BE7C89">
      <w:pPr>
        <w:pStyle w:val="BodyText"/>
        <w:ind w:left="720"/>
        <w:rPr>
          <w:lang w:val="en-AU"/>
        </w:rPr>
      </w:pPr>
      <w:r>
        <w:rPr>
          <w:lang w:val="en-AU" w:eastAsia="en-AU"/>
        </w:rPr>
        <w:t xml:space="preserve">If </w:t>
      </w:r>
      <w:r>
        <w:rPr>
          <w:i/>
          <w:lang w:val="en-AU" w:eastAsia="en-AU"/>
        </w:rPr>
        <w:t xml:space="preserve">you </w:t>
      </w:r>
      <w:r>
        <w:rPr>
          <w:lang w:val="en-AU" w:eastAsia="en-AU"/>
        </w:rPr>
        <w:t xml:space="preserve">do not purchase or receive new discounted mobile hardware from either </w:t>
      </w:r>
      <w:r>
        <w:rPr>
          <w:i/>
          <w:lang w:val="en-AU" w:eastAsia="en-AU"/>
        </w:rPr>
        <w:t>us</w:t>
      </w:r>
      <w:r>
        <w:rPr>
          <w:lang w:val="en-AU" w:eastAsia="en-AU"/>
        </w:rPr>
        <w:t xml:space="preserve"> or an Optus dealer, partner or reseller when connecting to a 'yes' Business Smart </w:t>
      </w:r>
      <w:r>
        <w:rPr>
          <w:i/>
          <w:lang w:val="en-AU" w:eastAsia="en-AU"/>
        </w:rPr>
        <w:t>pricing plan</w:t>
      </w:r>
      <w:r>
        <w:rPr>
          <w:lang w:val="en-AU" w:eastAsia="en-AU"/>
        </w:rPr>
        <w:t xml:space="preserve"> with a 12 or 24 month </w:t>
      </w:r>
      <w:r>
        <w:rPr>
          <w:i/>
          <w:lang w:val="en-AU" w:eastAsia="en-AU"/>
        </w:rPr>
        <w:t>minimum term</w:t>
      </w:r>
      <w:r>
        <w:rPr>
          <w:lang w:val="en-AU" w:eastAsia="en-AU"/>
        </w:rPr>
        <w:t xml:space="preserve"> and </w:t>
      </w:r>
      <w:r>
        <w:rPr>
          <w:i/>
          <w:lang w:val="en-AU" w:eastAsia="en-AU"/>
        </w:rPr>
        <w:t>you</w:t>
      </w:r>
      <w:r>
        <w:rPr>
          <w:lang w:val="en-AU" w:eastAsia="en-AU"/>
        </w:rPr>
        <w:t xml:space="preserve"> connected before 28 July 2008 then </w:t>
      </w:r>
      <w:r>
        <w:rPr>
          <w:i/>
          <w:lang w:val="en-AU" w:eastAsia="en-AU"/>
        </w:rPr>
        <w:t xml:space="preserve">you </w:t>
      </w:r>
      <w:r>
        <w:rPr>
          <w:lang w:val="en-AU" w:eastAsia="en-AU"/>
        </w:rPr>
        <w:t xml:space="preserve">are eligible for a monthly credit called "Business Bonus" on </w:t>
      </w:r>
      <w:r>
        <w:rPr>
          <w:i/>
          <w:lang w:val="en-AU" w:eastAsia="en-AU"/>
        </w:rPr>
        <w:t>your</w:t>
      </w:r>
      <w:r>
        <w:rPr>
          <w:lang w:val="en-AU" w:eastAsia="en-AU"/>
        </w:rPr>
        <w:t xml:space="preserve"> </w:t>
      </w:r>
      <w:r>
        <w:rPr>
          <w:i/>
          <w:lang w:val="en-AU" w:eastAsia="en-AU"/>
        </w:rPr>
        <w:t>mobile phone</w:t>
      </w:r>
      <w:r>
        <w:rPr>
          <w:lang w:val="en-AU" w:eastAsia="en-AU"/>
        </w:rPr>
        <w:t xml:space="preserve"> tax invoice/account. </w:t>
      </w:r>
      <w:r>
        <w:rPr>
          <w:b/>
          <w:lang w:val="en-AU" w:eastAsia="en-AU"/>
        </w:rPr>
        <w:t xml:space="preserve">(For the avoidance of doubt, </w:t>
      </w:r>
      <w:r>
        <w:rPr>
          <w:b/>
          <w:i/>
          <w:lang w:val="en-AU" w:eastAsia="en-AU"/>
        </w:rPr>
        <w:t>you</w:t>
      </w:r>
      <w:r>
        <w:rPr>
          <w:b/>
          <w:lang w:val="en-AU" w:eastAsia="en-AU"/>
        </w:rPr>
        <w:t xml:space="preserve"> will not be eligible for any "Business Bonus" credit if, at the time </w:t>
      </w:r>
      <w:r>
        <w:rPr>
          <w:b/>
          <w:i/>
          <w:lang w:val="en-AU" w:eastAsia="en-AU"/>
        </w:rPr>
        <w:t>you</w:t>
      </w:r>
      <w:r>
        <w:rPr>
          <w:b/>
          <w:lang w:val="en-AU" w:eastAsia="en-AU"/>
        </w:rPr>
        <w:t xml:space="preserve"> enter into the </w:t>
      </w:r>
      <w:r>
        <w:rPr>
          <w:b/>
          <w:i/>
          <w:lang w:val="en-AU" w:eastAsia="en-AU"/>
        </w:rPr>
        <w:t>agreement</w:t>
      </w:r>
      <w:r>
        <w:rPr>
          <w:b/>
          <w:lang w:val="en-AU" w:eastAsia="en-AU"/>
        </w:rPr>
        <w:t xml:space="preserve"> for the </w:t>
      </w:r>
      <w:r>
        <w:rPr>
          <w:b/>
          <w:i/>
          <w:lang w:val="en-AU" w:eastAsia="en-AU"/>
        </w:rPr>
        <w:t>service</w:t>
      </w:r>
      <w:r>
        <w:rPr>
          <w:b/>
          <w:lang w:val="en-AU" w:eastAsia="en-AU"/>
        </w:rPr>
        <w:t xml:space="preserve"> with </w:t>
      </w:r>
      <w:r>
        <w:rPr>
          <w:b/>
          <w:i/>
          <w:lang w:val="en-AU" w:eastAsia="en-AU"/>
        </w:rPr>
        <w:t>us</w:t>
      </w:r>
      <w:r>
        <w:rPr>
          <w:b/>
          <w:lang w:val="en-AU" w:eastAsia="en-AU"/>
        </w:rPr>
        <w:t xml:space="preserve"> </w:t>
      </w:r>
      <w:r>
        <w:rPr>
          <w:b/>
          <w:i/>
          <w:lang w:val="en-AU" w:eastAsia="en-AU"/>
        </w:rPr>
        <w:t>you</w:t>
      </w:r>
      <w:r>
        <w:rPr>
          <w:b/>
          <w:lang w:val="en-AU" w:eastAsia="en-AU"/>
        </w:rPr>
        <w:t xml:space="preserve"> purchase or receive mobile hardware under a separate agreement with an Optus dealer, partner or reseller.) </w:t>
      </w:r>
      <w:r>
        <w:rPr>
          <w:lang w:val="en-AU" w:eastAsia="en-AU"/>
        </w:rPr>
        <w:t xml:space="preserve">The credit will be applied to </w:t>
      </w:r>
      <w:r>
        <w:rPr>
          <w:i/>
          <w:lang w:val="en-AU" w:eastAsia="en-AU"/>
        </w:rPr>
        <w:t>your</w:t>
      </w:r>
      <w:r>
        <w:rPr>
          <w:lang w:val="en-AU" w:eastAsia="en-AU"/>
        </w:rPr>
        <w:t xml:space="preserve"> account in the first or second month of your contract. This credit is not redeemable for cash or refundable upon </w:t>
      </w:r>
      <w:r>
        <w:rPr>
          <w:i/>
          <w:lang w:val="en-AU" w:eastAsia="en-AU"/>
        </w:rPr>
        <w:t>cancellation</w:t>
      </w:r>
      <w:r>
        <w:rPr>
          <w:lang w:val="en-AU" w:eastAsia="en-AU"/>
        </w:rPr>
        <w:t xml:space="preserve"> of </w:t>
      </w:r>
      <w:r>
        <w:rPr>
          <w:i/>
          <w:lang w:val="en-AU" w:eastAsia="en-AU"/>
        </w:rPr>
        <w:t>your</w:t>
      </w:r>
      <w:r>
        <w:rPr>
          <w:lang w:val="en-AU" w:eastAsia="en-AU"/>
        </w:rPr>
        <w:t xml:space="preserve"> </w:t>
      </w:r>
      <w:r>
        <w:rPr>
          <w:i/>
          <w:lang w:val="en-AU" w:eastAsia="en-AU"/>
        </w:rPr>
        <w:t>agreement</w:t>
      </w:r>
      <w:r>
        <w:rPr>
          <w:lang w:val="en-AU" w:eastAsia="en-AU"/>
        </w:rPr>
        <w:t xml:space="preserve">. The following table sets out the applicable total and monthly credit amounts for each 'yes' Business Smart </w:t>
      </w:r>
      <w:r>
        <w:rPr>
          <w:i/>
          <w:lang w:val="en-AU" w:eastAsia="en-AU"/>
        </w:rPr>
        <w:t>pricing plan</w:t>
      </w:r>
      <w:r>
        <w:rPr>
          <w:lang w:val="en-AU" w:eastAsia="en-AU"/>
        </w:rPr>
        <w:t>:</w:t>
      </w:r>
    </w:p>
    <w:p w14:paraId="3C2A4444" w14:textId="77777777" w:rsidR="000D07EA" w:rsidRDefault="00BE7C89">
      <w:pPr>
        <w:pStyle w:val="Heading6"/>
        <w:ind w:left="0" w:firstLine="0"/>
        <w:rPr>
          <w:lang w:val="en-AU"/>
        </w:rPr>
      </w:pPr>
      <w:bookmarkStart w:id="153" w:name="_Toc219870392"/>
      <w:bookmarkStart w:id="154" w:name="_Toc397940996"/>
      <w:r>
        <w:rPr>
          <w:lang w:val="en-AU"/>
        </w:rPr>
        <w:t>Smart BYO Bonus</w:t>
      </w:r>
      <w:bookmarkEnd w:id="153"/>
      <w:bookmarkEnd w:id="154"/>
    </w:p>
    <w:p w14:paraId="3C89C656" w14:textId="77777777" w:rsidR="000D07EA" w:rsidRDefault="00BE7C89">
      <w:pPr>
        <w:pStyle w:val="BodyText"/>
        <w:ind w:left="720"/>
        <w:rPr>
          <w:lang w:val="en-AU" w:eastAsia="en-AU"/>
        </w:rPr>
      </w:pPr>
      <w:r>
        <w:rPr>
          <w:lang w:val="en-AU" w:eastAsia="en-AU"/>
        </w:rPr>
        <w:t xml:space="preserve">If </w:t>
      </w:r>
      <w:r>
        <w:rPr>
          <w:i/>
          <w:lang w:val="en-AU" w:eastAsia="en-AU"/>
        </w:rPr>
        <w:t xml:space="preserve">you </w:t>
      </w:r>
      <w:r>
        <w:rPr>
          <w:lang w:val="en-AU" w:eastAsia="en-AU"/>
        </w:rPr>
        <w:t xml:space="preserve">do not purchase or receive new discounted mobile hardware from either </w:t>
      </w:r>
      <w:r>
        <w:rPr>
          <w:i/>
          <w:lang w:val="en-AU" w:eastAsia="en-AU"/>
        </w:rPr>
        <w:t>us</w:t>
      </w:r>
      <w:r>
        <w:rPr>
          <w:lang w:val="en-AU" w:eastAsia="en-AU"/>
        </w:rPr>
        <w:t xml:space="preserve"> or an Optus dealer, partner or reseller when connecting to a 'yes' Business Smart </w:t>
      </w:r>
      <w:r>
        <w:rPr>
          <w:i/>
          <w:lang w:val="en-AU" w:eastAsia="en-AU"/>
        </w:rPr>
        <w:t>pricing plan</w:t>
      </w:r>
      <w:r>
        <w:rPr>
          <w:lang w:val="en-AU" w:eastAsia="en-AU"/>
        </w:rPr>
        <w:t xml:space="preserve"> with a 12 or 24 month </w:t>
      </w:r>
      <w:r>
        <w:rPr>
          <w:i/>
          <w:lang w:val="en-AU" w:eastAsia="en-AU"/>
        </w:rPr>
        <w:t>minimum term</w:t>
      </w:r>
      <w:r>
        <w:rPr>
          <w:lang w:val="en-AU" w:eastAsia="en-AU"/>
        </w:rPr>
        <w:t xml:space="preserve"> and </w:t>
      </w:r>
      <w:r>
        <w:rPr>
          <w:i/>
          <w:lang w:val="en-AU" w:eastAsia="en-AU"/>
        </w:rPr>
        <w:t>you</w:t>
      </w:r>
      <w:r>
        <w:rPr>
          <w:lang w:val="en-AU" w:eastAsia="en-AU"/>
        </w:rPr>
        <w:t xml:space="preserve"> connected after 28 July 2008 then </w:t>
      </w:r>
      <w:r>
        <w:rPr>
          <w:i/>
          <w:lang w:val="en-AU" w:eastAsia="en-AU"/>
        </w:rPr>
        <w:t>you</w:t>
      </w:r>
      <w:r>
        <w:rPr>
          <w:lang w:val="en-AU" w:eastAsia="en-AU"/>
        </w:rPr>
        <w:t xml:space="preserve"> are eligible for a monthly credit called "Smart BYO Bonus" on </w:t>
      </w:r>
      <w:r>
        <w:rPr>
          <w:i/>
          <w:lang w:val="en-AU" w:eastAsia="en-AU"/>
        </w:rPr>
        <w:t>your</w:t>
      </w:r>
      <w:r>
        <w:rPr>
          <w:lang w:val="en-AU" w:eastAsia="en-AU"/>
        </w:rPr>
        <w:t xml:space="preserve"> </w:t>
      </w:r>
      <w:r>
        <w:rPr>
          <w:i/>
          <w:lang w:val="en-AU" w:eastAsia="en-AU"/>
        </w:rPr>
        <w:t>mobile phone</w:t>
      </w:r>
      <w:r>
        <w:rPr>
          <w:lang w:val="en-AU" w:eastAsia="en-AU"/>
        </w:rPr>
        <w:t xml:space="preserve"> tax invoice/account. </w:t>
      </w:r>
      <w:r>
        <w:rPr>
          <w:b/>
          <w:lang w:val="en-AU" w:eastAsia="en-AU"/>
        </w:rPr>
        <w:t xml:space="preserve">(For the avoidance of doubt, </w:t>
      </w:r>
      <w:r>
        <w:rPr>
          <w:b/>
          <w:i/>
          <w:lang w:val="en-AU" w:eastAsia="en-AU"/>
        </w:rPr>
        <w:t>you</w:t>
      </w:r>
      <w:r>
        <w:rPr>
          <w:b/>
          <w:lang w:val="en-AU" w:eastAsia="en-AU"/>
        </w:rPr>
        <w:t xml:space="preserve"> will not be eligible for any "Business Bonus" credit if, at the time </w:t>
      </w:r>
      <w:r>
        <w:rPr>
          <w:b/>
          <w:i/>
          <w:lang w:val="en-AU" w:eastAsia="en-AU"/>
        </w:rPr>
        <w:t>you</w:t>
      </w:r>
      <w:r>
        <w:rPr>
          <w:b/>
          <w:lang w:val="en-AU" w:eastAsia="en-AU"/>
        </w:rPr>
        <w:t xml:space="preserve"> enter into the </w:t>
      </w:r>
      <w:r>
        <w:rPr>
          <w:b/>
          <w:i/>
          <w:lang w:val="en-AU" w:eastAsia="en-AU"/>
        </w:rPr>
        <w:t>agreement</w:t>
      </w:r>
      <w:r>
        <w:rPr>
          <w:b/>
          <w:lang w:val="en-AU" w:eastAsia="en-AU"/>
        </w:rPr>
        <w:t xml:space="preserve"> for the </w:t>
      </w:r>
      <w:r>
        <w:rPr>
          <w:b/>
          <w:i/>
          <w:lang w:val="en-AU" w:eastAsia="en-AU"/>
        </w:rPr>
        <w:t>service</w:t>
      </w:r>
      <w:r>
        <w:rPr>
          <w:b/>
          <w:lang w:val="en-AU" w:eastAsia="en-AU"/>
        </w:rPr>
        <w:t xml:space="preserve"> with </w:t>
      </w:r>
      <w:r>
        <w:rPr>
          <w:b/>
          <w:i/>
          <w:lang w:val="en-AU" w:eastAsia="en-AU"/>
        </w:rPr>
        <w:t>us</w:t>
      </w:r>
      <w:r>
        <w:rPr>
          <w:b/>
          <w:lang w:val="en-AU" w:eastAsia="en-AU"/>
        </w:rPr>
        <w:t xml:space="preserve"> </w:t>
      </w:r>
      <w:r>
        <w:rPr>
          <w:b/>
          <w:i/>
          <w:lang w:val="en-AU" w:eastAsia="en-AU"/>
        </w:rPr>
        <w:t>you</w:t>
      </w:r>
      <w:r>
        <w:rPr>
          <w:b/>
          <w:lang w:val="en-AU" w:eastAsia="en-AU"/>
        </w:rPr>
        <w:t xml:space="preserve"> purchase or receive mobile hardware under a separate agreement with an Optus dealer, partner or reseller.) </w:t>
      </w:r>
      <w:r>
        <w:rPr>
          <w:lang w:val="en-AU" w:eastAsia="en-AU"/>
        </w:rPr>
        <w:t xml:space="preserve">The credit will be applied to </w:t>
      </w:r>
      <w:r>
        <w:rPr>
          <w:i/>
          <w:lang w:val="en-AU" w:eastAsia="en-AU"/>
        </w:rPr>
        <w:t>your</w:t>
      </w:r>
      <w:r>
        <w:rPr>
          <w:lang w:val="en-AU" w:eastAsia="en-AU"/>
        </w:rPr>
        <w:t xml:space="preserve"> account from the first or second month of your contract and will be equal to </w:t>
      </w:r>
      <w:r>
        <w:rPr>
          <w:i/>
          <w:lang w:val="en-AU" w:eastAsia="en-AU"/>
        </w:rPr>
        <w:t>your</w:t>
      </w:r>
      <w:r>
        <w:rPr>
          <w:lang w:val="en-AU" w:eastAsia="en-AU"/>
        </w:rPr>
        <w:t xml:space="preserve"> Minimum monthly commitment. </w:t>
      </w:r>
      <w:r>
        <w:rPr>
          <w:i/>
          <w:lang w:val="en-AU" w:eastAsia="en-AU"/>
        </w:rPr>
        <w:t>You</w:t>
      </w:r>
      <w:r>
        <w:rPr>
          <w:lang w:val="en-AU" w:eastAsia="en-AU"/>
        </w:rPr>
        <w:t xml:space="preserve"> will still receive </w:t>
      </w:r>
      <w:r>
        <w:rPr>
          <w:i/>
          <w:lang w:val="en-AU" w:eastAsia="en-AU"/>
        </w:rPr>
        <w:t>your</w:t>
      </w:r>
      <w:r>
        <w:rPr>
          <w:lang w:val="en-AU" w:eastAsia="en-AU"/>
        </w:rPr>
        <w:t xml:space="preserve"> full included value. Customers who select a 12 month plan will receive 2 full "BYO Bonus" where as customers who select a 24 month plan will receive 4 full "BYO Bonus". Excludes pro rated months. This credit is not redeemable for cash or refundable upon </w:t>
      </w:r>
      <w:r>
        <w:rPr>
          <w:i/>
          <w:lang w:val="en-AU" w:eastAsia="en-AU"/>
        </w:rPr>
        <w:t>cancellation</w:t>
      </w:r>
      <w:r>
        <w:rPr>
          <w:lang w:val="en-AU" w:eastAsia="en-AU"/>
        </w:rPr>
        <w:t xml:space="preserve"> of </w:t>
      </w:r>
      <w:r>
        <w:rPr>
          <w:i/>
          <w:lang w:val="en-AU" w:eastAsia="en-AU"/>
        </w:rPr>
        <w:t>your</w:t>
      </w:r>
      <w:r>
        <w:rPr>
          <w:lang w:val="en-AU" w:eastAsia="en-AU"/>
        </w:rPr>
        <w:t xml:space="preserve"> </w:t>
      </w:r>
      <w:r>
        <w:rPr>
          <w:i/>
          <w:lang w:val="en-AU" w:eastAsia="en-AU"/>
        </w:rPr>
        <w:t>agreement</w:t>
      </w:r>
      <w:r>
        <w:rPr>
          <w:lang w:val="en-AU" w:eastAsia="en-AU"/>
        </w:rPr>
        <w:t>.</w:t>
      </w:r>
    </w:p>
    <w:p w14:paraId="0C8A9EB9" w14:textId="77777777" w:rsidR="000D07EA" w:rsidRDefault="00BE7C89">
      <w:pPr>
        <w:pStyle w:val="Heading4"/>
        <w:rPr>
          <w:lang w:val="en-AU"/>
        </w:rPr>
      </w:pPr>
      <w:bookmarkStart w:id="155" w:name="_Toc156806147"/>
      <w:bookmarkStart w:id="156" w:name="_Toc219870393"/>
      <w:bookmarkStart w:id="157" w:name="_Toc397940997"/>
      <w:bookmarkStart w:id="158" w:name="_Toc455147592"/>
      <w:bookmarkStart w:id="159" w:name="_Toc62644614"/>
      <w:r>
        <w:rPr>
          <w:lang w:val="en-AU"/>
        </w:rPr>
        <w:t>'yes' Business Smart 6+ Plans (29, 39, 49, 59, 79, 99, 149, 249)</w:t>
      </w:r>
      <w:bookmarkEnd w:id="155"/>
      <w:bookmarkEnd w:id="156"/>
      <w:bookmarkEnd w:id="157"/>
      <w:bookmarkEnd w:id="158"/>
      <w:bookmarkEnd w:id="159"/>
    </w:p>
    <w:p w14:paraId="3CF7CBA4" w14:textId="77777777" w:rsidR="000D07EA" w:rsidRDefault="00BE7C89">
      <w:pPr>
        <w:pStyle w:val="Heading6"/>
        <w:ind w:left="0" w:firstLine="0"/>
        <w:rPr>
          <w:lang w:val="en-AU"/>
        </w:rPr>
      </w:pPr>
      <w:bookmarkStart w:id="160" w:name="_Toc219870394"/>
      <w:bookmarkStart w:id="161" w:name="_Toc397940998"/>
      <w:r>
        <w:rPr>
          <w:lang w:val="en-AU"/>
        </w:rPr>
        <w:t>Eligibility</w:t>
      </w:r>
      <w:bookmarkEnd w:id="160"/>
      <w:bookmarkEnd w:id="161"/>
    </w:p>
    <w:p w14:paraId="094C2168" w14:textId="77777777" w:rsidR="000D07EA" w:rsidRDefault="00BE7C89">
      <w:pPr>
        <w:pStyle w:val="Heading7"/>
        <w:rPr>
          <w:lang w:val="en-AU"/>
        </w:rPr>
      </w:pPr>
      <w:r>
        <w:rPr>
          <w:lang w:val="en-AU"/>
        </w:rPr>
        <w:lastRenderedPageBreak/>
        <w:t xml:space="preserve">The 'yes' Business Smart 6+ </w:t>
      </w:r>
      <w:r>
        <w:rPr>
          <w:i/>
          <w:lang w:val="en-AU"/>
        </w:rPr>
        <w:t xml:space="preserve">pricing plans </w:t>
      </w:r>
      <w:r>
        <w:rPr>
          <w:lang w:val="en-AU"/>
        </w:rPr>
        <w:t xml:space="preserve">are available under special offers to customers </w:t>
      </w:r>
      <w:r>
        <w:rPr>
          <w:i/>
          <w:lang w:val="en-AU"/>
        </w:rPr>
        <w:t>we</w:t>
      </w:r>
      <w:r>
        <w:rPr>
          <w:lang w:val="en-AU"/>
        </w:rPr>
        <w:t xml:space="preserve"> classify as </w:t>
      </w:r>
      <w:r>
        <w:rPr>
          <w:i/>
          <w:lang w:val="en-AU"/>
        </w:rPr>
        <w:t>small or medium enterprise</w:t>
      </w:r>
      <w:r>
        <w:rPr>
          <w:lang w:val="en-AU"/>
        </w:rPr>
        <w:t xml:space="preserve"> customers. </w:t>
      </w:r>
    </w:p>
    <w:p w14:paraId="48AA498E" w14:textId="77777777" w:rsidR="000D07EA" w:rsidRDefault="00BE7C89">
      <w:pPr>
        <w:pStyle w:val="Heading7"/>
        <w:rPr>
          <w:lang w:val="en-AU"/>
        </w:rPr>
      </w:pPr>
      <w:r>
        <w:rPr>
          <w:lang w:val="en-AU"/>
        </w:rPr>
        <w:t xml:space="preserve">Customers ordering a </w:t>
      </w:r>
      <w:r>
        <w:rPr>
          <w:i/>
          <w:lang w:val="en-AU"/>
        </w:rPr>
        <w:t xml:space="preserve">mobile phone </w:t>
      </w:r>
      <w:r>
        <w:rPr>
          <w:lang w:val="en-AU"/>
        </w:rPr>
        <w:t xml:space="preserve">with an </w:t>
      </w:r>
      <w:r>
        <w:rPr>
          <w:i/>
          <w:lang w:val="en-AU"/>
        </w:rPr>
        <w:t>Optus SIM card</w:t>
      </w:r>
      <w:r>
        <w:rPr>
          <w:lang w:val="en-AU"/>
        </w:rPr>
        <w:t xml:space="preserve"> on the 'yes' Business Smart 6+ </w:t>
      </w:r>
      <w:r>
        <w:rPr>
          <w:i/>
          <w:lang w:val="en-AU"/>
        </w:rPr>
        <w:t>pricing plan</w:t>
      </w:r>
      <w:r>
        <w:rPr>
          <w:lang w:val="en-AU"/>
        </w:rPr>
        <w:t xml:space="preserve"> must be connected to that </w:t>
      </w:r>
      <w:r>
        <w:rPr>
          <w:i/>
          <w:lang w:val="en-AU"/>
        </w:rPr>
        <w:t xml:space="preserve">pricing plan </w:t>
      </w:r>
      <w:r>
        <w:rPr>
          <w:lang w:val="en-AU"/>
        </w:rPr>
        <w:t>and activated within 14 days after delivery.</w:t>
      </w:r>
    </w:p>
    <w:p w14:paraId="47D49DF5" w14:textId="77777777" w:rsidR="000D07EA" w:rsidRDefault="00BE7C89">
      <w:pPr>
        <w:pStyle w:val="Heading7"/>
        <w:rPr>
          <w:lang w:val="en-AU"/>
        </w:rPr>
      </w:pPr>
      <w:r>
        <w:rPr>
          <w:i/>
          <w:lang w:val="en-AU"/>
        </w:rPr>
        <w:t>You</w:t>
      </w:r>
      <w:r>
        <w:rPr>
          <w:lang w:val="en-AU"/>
        </w:rPr>
        <w:t xml:space="preserve"> must have at least 6 </w:t>
      </w:r>
      <w:r>
        <w:rPr>
          <w:i/>
          <w:lang w:val="en-AU"/>
        </w:rPr>
        <w:t>services</w:t>
      </w:r>
      <w:r>
        <w:rPr>
          <w:lang w:val="en-AU"/>
        </w:rPr>
        <w:t xml:space="preserve"> activated and maintained for the duration of the </w:t>
      </w:r>
      <w:r>
        <w:rPr>
          <w:i/>
          <w:lang w:val="en-AU"/>
        </w:rPr>
        <w:t>minimum term</w:t>
      </w:r>
      <w:r>
        <w:rPr>
          <w:lang w:val="en-AU"/>
        </w:rPr>
        <w:t xml:space="preserve">. If the number of </w:t>
      </w:r>
      <w:r>
        <w:rPr>
          <w:i/>
          <w:lang w:val="en-AU"/>
        </w:rPr>
        <w:t>services</w:t>
      </w:r>
      <w:r>
        <w:rPr>
          <w:lang w:val="en-AU"/>
        </w:rPr>
        <w:t xml:space="preserve"> on </w:t>
      </w:r>
      <w:r>
        <w:rPr>
          <w:i/>
          <w:lang w:val="en-AU"/>
        </w:rPr>
        <w:t>your</w:t>
      </w:r>
      <w:r>
        <w:rPr>
          <w:lang w:val="en-AU"/>
        </w:rPr>
        <w:t xml:space="preserve"> account falls below 6 </w:t>
      </w:r>
      <w:r>
        <w:rPr>
          <w:i/>
          <w:lang w:val="en-AU"/>
        </w:rPr>
        <w:t>services, we</w:t>
      </w:r>
      <w:r>
        <w:rPr>
          <w:lang w:val="en-AU"/>
        </w:rPr>
        <w:t xml:space="preserve"> reserve the right to switch your remaining </w:t>
      </w:r>
      <w:r>
        <w:rPr>
          <w:i/>
          <w:lang w:val="en-AU"/>
        </w:rPr>
        <w:t>services</w:t>
      </w:r>
      <w:r>
        <w:rPr>
          <w:lang w:val="en-AU"/>
        </w:rPr>
        <w:t xml:space="preserve"> onto the 'yes' Business Smart plan (set out in section 28 of this Standard Pricing Plan) with the minimum monthly spend equal to that of your 'yes' Business Smart 6+ plan and the rates for that 'yes' Business Smart plan will then apply to those remaining </w:t>
      </w:r>
      <w:r>
        <w:rPr>
          <w:i/>
          <w:lang w:val="en-AU"/>
        </w:rPr>
        <w:t>services</w:t>
      </w:r>
      <w:r>
        <w:rPr>
          <w:lang w:val="en-AU"/>
        </w:rPr>
        <w:t>.</w:t>
      </w:r>
    </w:p>
    <w:p w14:paraId="42BCA3E2" w14:textId="77777777" w:rsidR="000D07EA" w:rsidRDefault="00BE7C89">
      <w:pPr>
        <w:pStyle w:val="Heading6"/>
        <w:ind w:left="0" w:firstLine="0"/>
        <w:rPr>
          <w:lang w:val="en-AU"/>
        </w:rPr>
      </w:pPr>
      <w:bookmarkStart w:id="162" w:name="_Toc219870395"/>
      <w:bookmarkStart w:id="163" w:name="_Toc397940999"/>
      <w:r>
        <w:rPr>
          <w:lang w:val="en-AU"/>
        </w:rPr>
        <w:t xml:space="preserve">Is it a </w:t>
      </w:r>
      <w:r>
        <w:rPr>
          <w:i/>
          <w:lang w:val="en-AU"/>
        </w:rPr>
        <w:t>fixed length agreement</w:t>
      </w:r>
      <w:r>
        <w:rPr>
          <w:lang w:val="en-AU"/>
        </w:rPr>
        <w:t>?</w:t>
      </w:r>
      <w:bookmarkEnd w:id="162"/>
      <w:bookmarkEnd w:id="163"/>
    </w:p>
    <w:p w14:paraId="59E7F3CF" w14:textId="77777777" w:rsidR="000D07EA" w:rsidRDefault="00BE7C89">
      <w:pPr>
        <w:pStyle w:val="BodyText"/>
        <w:ind w:left="720"/>
        <w:rPr>
          <w:lang w:val="en-AU"/>
        </w:rPr>
      </w:pPr>
      <w:r>
        <w:rPr>
          <w:lang w:val="en-AU"/>
        </w:rPr>
        <w:t xml:space="preserve">To connect to the 'yes' Business Smart6+ </w:t>
      </w:r>
      <w:r>
        <w:rPr>
          <w:i/>
          <w:lang w:val="en-AU"/>
        </w:rPr>
        <w:t>pricing plans you</w:t>
      </w:r>
      <w:r>
        <w:rPr>
          <w:lang w:val="en-AU"/>
        </w:rPr>
        <w:t xml:space="preserve"> must agree to enter into a </w:t>
      </w:r>
      <w:r>
        <w:rPr>
          <w:i/>
          <w:lang w:val="en-AU"/>
        </w:rPr>
        <w:t xml:space="preserve">fixed length agreement </w:t>
      </w:r>
      <w:r>
        <w:rPr>
          <w:lang w:val="en-AU"/>
        </w:rPr>
        <w:t xml:space="preserve">for a </w:t>
      </w:r>
      <w:r>
        <w:rPr>
          <w:i/>
          <w:lang w:val="en-AU"/>
        </w:rPr>
        <w:t>minimum term</w:t>
      </w:r>
      <w:r>
        <w:rPr>
          <w:lang w:val="en-AU"/>
        </w:rPr>
        <w:t xml:space="preserve"> as specified below, up to 5 years, or such other term as </w:t>
      </w:r>
      <w:r>
        <w:rPr>
          <w:i/>
          <w:lang w:val="en-AU"/>
        </w:rPr>
        <w:t>you</w:t>
      </w:r>
      <w:r>
        <w:rPr>
          <w:lang w:val="en-AU"/>
        </w:rPr>
        <w:t xml:space="preserve"> and </w:t>
      </w:r>
      <w:r>
        <w:rPr>
          <w:i/>
          <w:lang w:val="en-AU"/>
        </w:rPr>
        <w:t>we</w:t>
      </w:r>
      <w:r>
        <w:rPr>
          <w:lang w:val="en-AU"/>
        </w:rPr>
        <w:t xml:space="preserve"> agree (</w:t>
      </w:r>
      <w:r>
        <w:rPr>
          <w:i/>
          <w:lang w:val="en-AU"/>
        </w:rPr>
        <w:t>minimum term</w:t>
      </w:r>
      <w:r>
        <w:rPr>
          <w:lang w:val="en-AU"/>
        </w:rPr>
        <w:t>).</w:t>
      </w:r>
    </w:p>
    <w:p w14:paraId="32813CD1" w14:textId="77777777" w:rsidR="000D07EA" w:rsidRDefault="00BE7C89">
      <w:pPr>
        <w:pStyle w:val="Heading6"/>
        <w:ind w:left="0" w:firstLine="0"/>
        <w:rPr>
          <w:lang w:val="en-AU"/>
        </w:rPr>
      </w:pPr>
      <w:bookmarkStart w:id="164" w:name="_Toc219870396"/>
      <w:bookmarkStart w:id="165" w:name="_Toc397941000"/>
      <w:r>
        <w:rPr>
          <w:lang w:val="en-AU"/>
        </w:rPr>
        <w:t xml:space="preserve">What </w:t>
      </w:r>
      <w:r>
        <w:rPr>
          <w:i/>
          <w:lang w:val="en-AU"/>
        </w:rPr>
        <w:t>you</w:t>
      </w:r>
      <w:r>
        <w:rPr>
          <w:lang w:val="en-AU"/>
        </w:rPr>
        <w:t xml:space="preserve"> have to pay </w:t>
      </w:r>
      <w:r>
        <w:rPr>
          <w:i/>
          <w:lang w:val="en-AU"/>
        </w:rPr>
        <w:t>us</w:t>
      </w:r>
      <w:bookmarkEnd w:id="164"/>
      <w:bookmarkEnd w:id="165"/>
    </w:p>
    <w:p w14:paraId="2306F7FE" w14:textId="77777777" w:rsidR="000D07EA" w:rsidRDefault="00BE7C89">
      <w:pPr>
        <w:pStyle w:val="Heading7"/>
        <w:rPr>
          <w:lang w:val="en-AU"/>
        </w:rPr>
      </w:pPr>
      <w:r>
        <w:rPr>
          <w:lang w:val="en-AU"/>
        </w:rPr>
        <w:t xml:space="preserve">If </w:t>
      </w:r>
      <w:r>
        <w:rPr>
          <w:i/>
          <w:lang w:val="en-AU"/>
        </w:rPr>
        <w:t xml:space="preserve">you </w:t>
      </w:r>
      <w:r>
        <w:rPr>
          <w:lang w:val="en-AU"/>
        </w:rPr>
        <w:t xml:space="preserve">connect to these </w:t>
      </w:r>
      <w:r>
        <w:rPr>
          <w:i/>
          <w:lang w:val="en-AU"/>
        </w:rPr>
        <w:t>pricing plans</w:t>
      </w:r>
      <w:r>
        <w:rPr>
          <w:lang w:val="en-AU"/>
        </w:rPr>
        <w:t xml:space="preserve"> </w:t>
      </w:r>
      <w:r>
        <w:rPr>
          <w:i/>
          <w:lang w:val="en-AU"/>
        </w:rPr>
        <w:t>you</w:t>
      </w:r>
      <w:r>
        <w:rPr>
          <w:lang w:val="en-AU"/>
        </w:rPr>
        <w:t xml:space="preserve"> are also required to incur usage charges each month (</w:t>
      </w:r>
      <w:r>
        <w:rPr>
          <w:i/>
          <w:lang w:val="en-AU"/>
        </w:rPr>
        <w:t xml:space="preserve">Optus SIM cards </w:t>
      </w:r>
      <w:r>
        <w:rPr>
          <w:lang w:val="en-AU"/>
        </w:rPr>
        <w:t>which do not incur usage are not permitted).</w:t>
      </w:r>
    </w:p>
    <w:p w14:paraId="5D648B7C" w14:textId="77777777" w:rsidR="000D07EA" w:rsidRDefault="00BE7C89">
      <w:pPr>
        <w:pStyle w:val="Heading7"/>
        <w:rPr>
          <w:lang w:val="en-AU"/>
        </w:rPr>
      </w:pPr>
      <w:r>
        <w:rPr>
          <w:lang w:val="en-AU"/>
        </w:rPr>
        <w:t xml:space="preserve">If activation or usage does not occur, </w:t>
      </w:r>
      <w:r>
        <w:rPr>
          <w:i/>
          <w:lang w:val="en-AU"/>
        </w:rPr>
        <w:t xml:space="preserve">we </w:t>
      </w:r>
      <w:r>
        <w:rPr>
          <w:lang w:val="en-AU"/>
        </w:rPr>
        <w:t xml:space="preserve">may </w:t>
      </w:r>
      <w:r>
        <w:rPr>
          <w:i/>
          <w:lang w:val="en-AU"/>
        </w:rPr>
        <w:t xml:space="preserve">cancel </w:t>
      </w:r>
      <w:r>
        <w:rPr>
          <w:lang w:val="en-AU"/>
        </w:rPr>
        <w:t xml:space="preserve">the </w:t>
      </w:r>
      <w:r>
        <w:rPr>
          <w:i/>
          <w:lang w:val="en-AU"/>
        </w:rPr>
        <w:t xml:space="preserve">agreement </w:t>
      </w:r>
      <w:r>
        <w:rPr>
          <w:lang w:val="en-AU"/>
        </w:rPr>
        <w:t xml:space="preserve">and </w:t>
      </w:r>
      <w:r>
        <w:rPr>
          <w:i/>
          <w:lang w:val="en-AU"/>
        </w:rPr>
        <w:t xml:space="preserve">you </w:t>
      </w:r>
      <w:r>
        <w:rPr>
          <w:lang w:val="en-AU"/>
        </w:rPr>
        <w:t xml:space="preserve">will be required to pay </w:t>
      </w:r>
      <w:r>
        <w:rPr>
          <w:i/>
          <w:lang w:val="en-AU"/>
        </w:rPr>
        <w:t>us</w:t>
      </w:r>
      <w:r>
        <w:rPr>
          <w:lang w:val="en-AU"/>
        </w:rPr>
        <w:t xml:space="preserve"> the relevant </w:t>
      </w:r>
      <w:r>
        <w:rPr>
          <w:i/>
          <w:lang w:val="en-AU"/>
        </w:rPr>
        <w:t>cancellation</w:t>
      </w:r>
      <w:r>
        <w:rPr>
          <w:lang w:val="en-AU"/>
        </w:rPr>
        <w:t xml:space="preserve"> </w:t>
      </w:r>
      <w:r>
        <w:rPr>
          <w:i/>
          <w:lang w:val="en-AU"/>
        </w:rPr>
        <w:t>fee</w:t>
      </w:r>
      <w:r>
        <w:rPr>
          <w:lang w:val="en-AU"/>
        </w:rPr>
        <w:t xml:space="preserve">, if applicable, specified in the table in </w:t>
      </w:r>
      <w:r w:rsidRPr="00272628">
        <w:rPr>
          <w:lang w:val="en-AU"/>
        </w:rPr>
        <w:t xml:space="preserve">paragraph </w:t>
      </w:r>
      <w:r w:rsidR="00B90012" w:rsidRPr="00272628">
        <w:rPr>
          <w:lang w:val="en-AU"/>
        </w:rPr>
        <w:t>73</w:t>
      </w:r>
      <w:r w:rsidRPr="00272628">
        <w:rPr>
          <w:lang w:val="en-AU"/>
        </w:rPr>
        <w:t>.5 below</w:t>
      </w:r>
      <w:r>
        <w:rPr>
          <w:lang w:val="en-AU"/>
        </w:rPr>
        <w:t>.</w:t>
      </w:r>
    </w:p>
    <w:p w14:paraId="7548076F" w14:textId="77777777" w:rsidR="000D07EA" w:rsidRDefault="00BE7C89">
      <w:pPr>
        <w:pStyle w:val="Heading6"/>
        <w:ind w:left="0" w:firstLine="0"/>
        <w:rPr>
          <w:lang w:val="en-AU"/>
        </w:rPr>
      </w:pPr>
      <w:bookmarkStart w:id="166" w:name="_Toc219870397"/>
      <w:bookmarkStart w:id="167" w:name="_Toc397941001"/>
      <w:r>
        <w:rPr>
          <w:lang w:val="en-AU"/>
        </w:rPr>
        <w:t>Pricing</w:t>
      </w:r>
      <w:bookmarkEnd w:id="166"/>
      <w:bookmarkEnd w:id="167"/>
    </w:p>
    <w:p w14:paraId="67522309" w14:textId="77777777" w:rsidR="000D07EA" w:rsidRDefault="00BE7C89">
      <w:pPr>
        <w:pStyle w:val="Heading7"/>
        <w:rPr>
          <w:lang w:val="en-AU"/>
        </w:rPr>
      </w:pPr>
      <w:r>
        <w:rPr>
          <w:lang w:val="en-AU"/>
        </w:rPr>
        <w:t xml:space="preserve">The following applies to </w:t>
      </w:r>
      <w:r>
        <w:rPr>
          <w:i/>
          <w:lang w:val="en-AU"/>
        </w:rPr>
        <w:t>you</w:t>
      </w:r>
      <w:r>
        <w:rPr>
          <w:lang w:val="en-AU"/>
        </w:rPr>
        <w:t xml:space="preserve"> if </w:t>
      </w:r>
      <w:r>
        <w:rPr>
          <w:i/>
          <w:lang w:val="en-AU"/>
        </w:rPr>
        <w:t>you</w:t>
      </w:r>
      <w:r>
        <w:rPr>
          <w:lang w:val="en-AU"/>
        </w:rPr>
        <w:t xml:space="preserve"> connected to a 'yes' Business Smart 6+ plan before 28 July 2008:</w:t>
      </w:r>
    </w:p>
    <w:p w14:paraId="5516F7E5" w14:textId="77777777" w:rsidR="000D07EA" w:rsidRDefault="00BE7C89">
      <w:pPr>
        <w:pStyle w:val="Heading8"/>
        <w:rPr>
          <w:b/>
          <w:lang w:val="en-AU"/>
        </w:rPr>
      </w:pPr>
      <w:r>
        <w:rPr>
          <w:lang w:val="en-AU"/>
        </w:rPr>
        <w:t xml:space="preserve">The 'yes' Business Smart 6+ </w:t>
      </w:r>
      <w:r>
        <w:rPr>
          <w:i/>
          <w:lang w:val="en-AU"/>
        </w:rPr>
        <w:t xml:space="preserve">pricing plans </w:t>
      </w:r>
      <w:r>
        <w:rPr>
          <w:lang w:val="en-AU"/>
        </w:rPr>
        <w:t xml:space="preserve">include </w:t>
      </w:r>
      <w:r>
        <w:rPr>
          <w:i/>
          <w:lang w:val="en-AU"/>
        </w:rPr>
        <w:t xml:space="preserve">flagfall </w:t>
      </w:r>
      <w:r>
        <w:rPr>
          <w:lang w:val="en-AU"/>
        </w:rPr>
        <w:t xml:space="preserve">per call as specified in the table below, for </w:t>
      </w:r>
      <w:r>
        <w:rPr>
          <w:i/>
          <w:lang w:val="en-AU"/>
        </w:rPr>
        <w:t>local calls</w:t>
      </w:r>
      <w:r>
        <w:rPr>
          <w:lang w:val="en-AU"/>
        </w:rPr>
        <w:t xml:space="preserve"> and </w:t>
      </w:r>
      <w:r>
        <w:rPr>
          <w:i/>
          <w:lang w:val="en-AU"/>
        </w:rPr>
        <w:t>national long distance</w:t>
      </w:r>
      <w:r>
        <w:rPr>
          <w:lang w:val="en-AU"/>
        </w:rPr>
        <w:t xml:space="preserve"> </w:t>
      </w:r>
      <w:r>
        <w:rPr>
          <w:i/>
          <w:lang w:val="en-AU"/>
        </w:rPr>
        <w:t>calls</w:t>
      </w:r>
      <w:r>
        <w:rPr>
          <w:lang w:val="en-AU"/>
        </w:rPr>
        <w:t xml:space="preserve"> and calls to </w:t>
      </w:r>
      <w:r>
        <w:rPr>
          <w:i/>
          <w:lang w:val="en-AU"/>
        </w:rPr>
        <w:t>mobile phones</w:t>
      </w:r>
      <w:r>
        <w:rPr>
          <w:lang w:val="en-AU"/>
        </w:rPr>
        <w:t xml:space="preserve">. So the charge for these calls is the </w:t>
      </w:r>
      <w:r>
        <w:rPr>
          <w:i/>
          <w:lang w:val="en-AU"/>
        </w:rPr>
        <w:t xml:space="preserve">flagfall </w:t>
      </w:r>
      <w:r>
        <w:rPr>
          <w:lang w:val="en-AU"/>
        </w:rPr>
        <w:t xml:space="preserve">plus the relevant rate multiplied by the duration of the call. The </w:t>
      </w:r>
      <w:r>
        <w:rPr>
          <w:i/>
          <w:lang w:val="en-AU"/>
        </w:rPr>
        <w:t xml:space="preserve">flagfall </w:t>
      </w:r>
      <w:r>
        <w:rPr>
          <w:lang w:val="en-AU"/>
        </w:rPr>
        <w:t>is not applicable to calls made under the "SmartFleet" and "Back2Business" call rates.</w:t>
      </w:r>
    </w:p>
    <w:p w14:paraId="6D30EE0C" w14:textId="77777777" w:rsidR="000D07EA" w:rsidRDefault="00BE7C89">
      <w:pPr>
        <w:pStyle w:val="Heading8"/>
        <w:rPr>
          <w:lang w:val="en-AU"/>
        </w:rPr>
      </w:pPr>
      <w:r>
        <w:rPr>
          <w:lang w:val="en-AU"/>
        </w:rPr>
        <w:t xml:space="preserve">'yes' Business Smart </w:t>
      </w:r>
      <w:r>
        <w:rPr>
          <w:i/>
          <w:lang w:val="en-AU"/>
        </w:rPr>
        <w:t xml:space="preserve">pricing plans </w:t>
      </w:r>
      <w:r>
        <w:rPr>
          <w:lang w:val="en-AU"/>
        </w:rPr>
        <w:t>include an option called "Smart Rate"; customers can choose between reduced rate to Mobiles OR reduced rates to Fixed line numbers. This rate is dependent upon your selected 'yes' Business Smart rate plan.</w:t>
      </w:r>
    </w:p>
    <w:p w14:paraId="092924BE" w14:textId="77777777" w:rsidR="000D07EA" w:rsidRDefault="00BE7C89">
      <w:pPr>
        <w:pStyle w:val="Heading9"/>
        <w:rPr>
          <w:lang w:val="en-AU"/>
        </w:rPr>
      </w:pPr>
      <w:r>
        <w:rPr>
          <w:lang w:val="en-AU" w:eastAsia="en-AU"/>
        </w:rPr>
        <w:t xml:space="preserve">For the 'yes' Business Smart 6+ 29, 39 and 49 </w:t>
      </w:r>
      <w:r>
        <w:rPr>
          <w:i/>
          <w:iCs/>
          <w:lang w:val="en-AU" w:eastAsia="en-AU"/>
        </w:rPr>
        <w:t>pricing plans</w:t>
      </w:r>
      <w:r>
        <w:rPr>
          <w:lang w:val="en-AU" w:eastAsia="en-AU"/>
        </w:rPr>
        <w:t xml:space="preserve"> the "SmartRate" rate of the 'yes' Business Smart </w:t>
      </w:r>
      <w:r>
        <w:rPr>
          <w:i/>
          <w:lang w:val="en-AU" w:eastAsia="en-AU"/>
        </w:rPr>
        <w:t xml:space="preserve">pricing plans </w:t>
      </w:r>
      <w:r>
        <w:rPr>
          <w:lang w:val="en-AU" w:eastAsia="en-AU"/>
        </w:rPr>
        <w:t xml:space="preserve">to </w:t>
      </w:r>
      <w:r>
        <w:rPr>
          <w:lang w:val="en-AU"/>
        </w:rPr>
        <w:t xml:space="preserve">either another </w:t>
      </w:r>
      <w:r>
        <w:rPr>
          <w:i/>
          <w:lang w:val="en-AU"/>
        </w:rPr>
        <w:t xml:space="preserve">mobile phone </w:t>
      </w:r>
      <w:r>
        <w:rPr>
          <w:lang w:val="en-AU"/>
        </w:rPr>
        <w:t xml:space="preserve">on any Australian mobile network (excluding satellite phones) OR Fixed Lines in Australia for calls made and received within Australia will be charged $0.10 ($0.11) per 30 seconds or part thereof. </w:t>
      </w:r>
      <w:r>
        <w:rPr>
          <w:i/>
          <w:lang w:val="en-AU"/>
        </w:rPr>
        <w:t>Flagfall</w:t>
      </w:r>
      <w:r>
        <w:rPr>
          <w:lang w:val="en-AU"/>
        </w:rPr>
        <w:t xml:space="preserve"> per call is </w:t>
      </w:r>
      <w:r>
        <w:rPr>
          <w:i/>
          <w:lang w:val="en-AU"/>
        </w:rPr>
        <w:t>$0.18 ($0.20)</w:t>
      </w:r>
      <w:r>
        <w:rPr>
          <w:lang w:val="en-AU"/>
        </w:rPr>
        <w:t xml:space="preserve">. </w:t>
      </w:r>
    </w:p>
    <w:p w14:paraId="0A735389" w14:textId="77777777" w:rsidR="000D07EA" w:rsidRDefault="00BE7C89">
      <w:pPr>
        <w:pStyle w:val="Heading9"/>
        <w:rPr>
          <w:lang w:val="en-AU"/>
        </w:rPr>
      </w:pPr>
      <w:r>
        <w:rPr>
          <w:lang w:val="en-AU"/>
        </w:rPr>
        <w:t xml:space="preserve">For the 'yes Business Smart 6+ 59, 79, 99, 149 and 249 </w:t>
      </w:r>
      <w:r>
        <w:rPr>
          <w:i/>
          <w:iCs/>
          <w:lang w:val="en-AU"/>
        </w:rPr>
        <w:t>pricing plans</w:t>
      </w:r>
      <w:r>
        <w:rPr>
          <w:lang w:val="en-AU"/>
        </w:rPr>
        <w:t xml:space="preserve"> the "SmartRate" rate of the 'yes' Business Smart </w:t>
      </w:r>
      <w:r>
        <w:rPr>
          <w:i/>
          <w:lang w:val="en-AU"/>
        </w:rPr>
        <w:t xml:space="preserve">pricing plans </w:t>
      </w:r>
      <w:r>
        <w:rPr>
          <w:lang w:val="en-AU"/>
        </w:rPr>
        <w:t xml:space="preserve">to either another </w:t>
      </w:r>
      <w:r>
        <w:rPr>
          <w:i/>
          <w:lang w:val="en-AU"/>
        </w:rPr>
        <w:t xml:space="preserve">mobile phone </w:t>
      </w:r>
      <w:r>
        <w:rPr>
          <w:lang w:val="en-AU"/>
        </w:rPr>
        <w:t xml:space="preserve">on any Australian mobile network (excluding satellite phones) OR Fixed Lines in Australia for calls made and received within Australia will be charged $0.09 ($0.10) per 30 seconds or part thereof. </w:t>
      </w:r>
      <w:r>
        <w:rPr>
          <w:i/>
          <w:lang w:val="en-AU"/>
        </w:rPr>
        <w:t>Flagfall</w:t>
      </w:r>
      <w:r>
        <w:rPr>
          <w:lang w:val="en-AU"/>
        </w:rPr>
        <w:t xml:space="preserve"> per call is $0.18 ($0.20)</w:t>
      </w:r>
      <w:r>
        <w:rPr>
          <w:i/>
          <w:lang w:val="en-AU"/>
        </w:rPr>
        <w:t>.</w:t>
      </w:r>
    </w:p>
    <w:p w14:paraId="05585F54" w14:textId="77777777" w:rsidR="000D07EA" w:rsidRDefault="00BE7C89">
      <w:pPr>
        <w:pStyle w:val="Heading8"/>
        <w:rPr>
          <w:lang w:val="en-AU"/>
        </w:rPr>
      </w:pPr>
      <w:r>
        <w:rPr>
          <w:lang w:val="en-AU"/>
        </w:rPr>
        <w:t xml:space="preserve">'yes' Business Smart 6+ </w:t>
      </w:r>
      <w:r>
        <w:rPr>
          <w:i/>
          <w:lang w:val="en-AU"/>
        </w:rPr>
        <w:t>pricing plans</w:t>
      </w:r>
      <w:r>
        <w:rPr>
          <w:lang w:val="en-AU"/>
        </w:rPr>
        <w:t xml:space="preserve"> include the "SmartFleet" call rate. It applies to calls to another 'yes' Business Smart 6+ (YBS6), 'yes' Business Fleet (BF) or inBusiness Edge (inBE) </w:t>
      </w:r>
      <w:r>
        <w:rPr>
          <w:i/>
          <w:lang w:val="en-AU"/>
        </w:rPr>
        <w:t>service</w:t>
      </w:r>
      <w:r>
        <w:rPr>
          <w:lang w:val="en-AU"/>
        </w:rPr>
        <w:t xml:space="preserve"> on the same customer account number. Calls are charged at $0. No </w:t>
      </w:r>
      <w:r>
        <w:rPr>
          <w:i/>
          <w:lang w:val="en-AU"/>
        </w:rPr>
        <w:t>flagfall</w:t>
      </w:r>
      <w:r>
        <w:rPr>
          <w:lang w:val="en-AU"/>
        </w:rPr>
        <w:t xml:space="preserve"> applies. Excludes calls to Optus Pre-Paid, Satellite and service provider customers. Applies to calls made and received in Australia. "SmartFleet" Promotion available until 31/12/06 unless withdrawn earlier. </w:t>
      </w:r>
      <w:r w:rsidR="009355C4">
        <w:rPr>
          <w:lang w:val="en-AU"/>
        </w:rPr>
        <w:t xml:space="preserve">The </w:t>
      </w:r>
      <w:r>
        <w:rPr>
          <w:lang w:val="en-AU"/>
        </w:rPr>
        <w:t xml:space="preserve">Fair Go Policy applies (see </w:t>
      </w:r>
      <w:hyperlink r:id="rId50" w:history="1">
        <w:r w:rsidRPr="001723A4">
          <w:rPr>
            <w:rStyle w:val="Hyperlink"/>
            <w:i/>
            <w:lang w:val="en-AU"/>
          </w:rPr>
          <w:t xml:space="preserve">Appendix </w:t>
        </w:r>
        <w:r w:rsidR="001723A4" w:rsidRPr="001723A4">
          <w:rPr>
            <w:rStyle w:val="Hyperlink"/>
            <w:i/>
            <w:lang w:val="en-AU"/>
          </w:rPr>
          <w:t>S</w:t>
        </w:r>
      </w:hyperlink>
      <w:r>
        <w:rPr>
          <w:i/>
          <w:lang w:val="en-AU"/>
        </w:rPr>
        <w:t>)</w:t>
      </w:r>
      <w:r>
        <w:rPr>
          <w:lang w:val="en-AU"/>
        </w:rPr>
        <w:t xml:space="preserve">. Note: Standard call exclusions (see section 1 of this </w:t>
      </w:r>
      <w:r>
        <w:rPr>
          <w:i/>
          <w:lang w:val="en-AU"/>
        </w:rPr>
        <w:t>standard pricing table</w:t>
      </w:r>
      <w:r>
        <w:rPr>
          <w:lang w:val="en-AU"/>
        </w:rPr>
        <w:t>) apply to the "SmartRate" and "SmartFleet" call rates.</w:t>
      </w:r>
    </w:p>
    <w:p w14:paraId="2A4DC19B" w14:textId="77777777" w:rsidR="000D07EA" w:rsidRDefault="00BE7C89">
      <w:pPr>
        <w:pStyle w:val="Heading8"/>
        <w:rPr>
          <w:snapToGrid w:val="0"/>
          <w:lang w:val="en-AU"/>
        </w:rPr>
      </w:pPr>
      <w:r>
        <w:rPr>
          <w:color w:val="000000"/>
          <w:lang w:val="en-AU"/>
        </w:rPr>
        <w:lastRenderedPageBreak/>
        <w:t xml:space="preserve">Upon request, customers may set up a Back2Business (B2B) service: pay 30c for 10 minute calls to 3 numbers, 24 x 7. </w:t>
      </w:r>
      <w:r>
        <w:rPr>
          <w:lang w:val="en-AU"/>
        </w:rPr>
        <w:t>Only 3 B2B services per YBS6+ service. If you combine your YBS6+ service with Optus Fixed Line and / or Data you will receive free 10 minute calls. The 3 nominated numbers must be either eligible Optus GSM mobile(s) and / or fixed line(s), as defined by Optus and cannot be a 13, 1300, 1800 or 1900 number.</w:t>
      </w:r>
      <w:r>
        <w:rPr>
          <w:b/>
          <w:lang w:val="en-AU"/>
        </w:rPr>
        <w:t xml:space="preserve"> </w:t>
      </w:r>
      <w:r>
        <w:rPr>
          <w:lang w:val="en-AU"/>
        </w:rPr>
        <w:t xml:space="preserve">Calls must be made and received within Australia and excludes video calls. After the first 10 minutes standard call rates apply. You may change your nominated numbers no more than once per month. Allow up to 48 hours for activation or changes to your B2B service. </w:t>
      </w:r>
      <w:r>
        <w:rPr>
          <w:rFonts w:cs="DIN-Light"/>
          <w:color w:val="000000"/>
          <w:lang w:val="en-AU"/>
        </w:rPr>
        <w:t xml:space="preserve">Promotion available until 31/12/06 unless withdrawn earlier. </w:t>
      </w:r>
      <w:r w:rsidR="009355C4">
        <w:rPr>
          <w:rFonts w:cs="DIN-Light"/>
          <w:color w:val="000000"/>
          <w:lang w:val="en-AU"/>
        </w:rPr>
        <w:t xml:space="preserve">The </w:t>
      </w:r>
      <w:r>
        <w:rPr>
          <w:rFonts w:cs="DIN-Light"/>
          <w:color w:val="000000"/>
          <w:lang w:val="en-AU"/>
        </w:rPr>
        <w:t>Fair Go Policy applies.</w:t>
      </w:r>
    </w:p>
    <w:p w14:paraId="0409119B" w14:textId="77777777" w:rsidR="000D07EA" w:rsidRDefault="00BE7C89">
      <w:pPr>
        <w:pStyle w:val="Heading8"/>
        <w:rPr>
          <w:snapToGrid w:val="0"/>
          <w:lang w:val="en-AU"/>
        </w:rPr>
      </w:pPr>
      <w:r>
        <w:rPr>
          <w:b/>
          <w:lang w:val="en-AU"/>
        </w:rPr>
        <w:t>SmartShare:</w:t>
      </w:r>
      <w:r>
        <w:rPr>
          <w:lang w:val="en-AU"/>
        </w:rPr>
        <w:t xml:space="preserve"> Available to Small Business customers only.</w:t>
      </w:r>
      <w:r>
        <w:rPr>
          <w:b/>
          <w:lang w:val="en-AU"/>
        </w:rPr>
        <w:t xml:space="preserve"> </w:t>
      </w:r>
      <w:r>
        <w:rPr>
          <w:lang w:val="en-AU"/>
        </w:rPr>
        <w:t xml:space="preserve">Shares the minimum monthly spend among 'yes' Business Smart, BlackBerry Executive Bolt On, Mobile Data and Optus Wireless Connect services on the same customer account number. Excludes all Cap plans. Only plans with Minimum monthly spend are eligible. </w:t>
      </w:r>
    </w:p>
    <w:p w14:paraId="6AF526EC" w14:textId="77777777" w:rsidR="000D07EA" w:rsidRDefault="00BE7C89">
      <w:pPr>
        <w:pStyle w:val="Heading8"/>
        <w:rPr>
          <w:lang w:val="en-AU" w:eastAsia="en-AU"/>
        </w:rPr>
      </w:pPr>
      <w:r>
        <w:rPr>
          <w:b/>
          <w:lang w:val="en-AU" w:eastAsia="en-AU"/>
        </w:rPr>
        <w:t>International Calls:</w:t>
      </w:r>
      <w:r>
        <w:rPr>
          <w:lang w:val="en-AU" w:eastAsia="en-AU"/>
        </w:rPr>
        <w:t xml:space="preserve"> For the period prior to 6 June 2010, international calls from your YBS 6+ mobile will be charged at standard 'yes' International per 30 second rates. Flagfall of 27c applies per call. Excludes video calls.</w:t>
      </w:r>
    </w:p>
    <w:p w14:paraId="59E30DBD" w14:textId="77777777" w:rsidR="000D07EA" w:rsidRDefault="00BE7C89">
      <w:pPr>
        <w:pStyle w:val="BodyText"/>
        <w:ind w:left="720"/>
        <w:rPr>
          <w:snapToGrid w:val="0"/>
          <w:szCs w:val="20"/>
          <w:lang w:val="en-AU"/>
        </w:rPr>
      </w:pPr>
      <w:r>
        <w:rPr>
          <w:snapToGrid w:val="0"/>
          <w:lang w:val="en-AU"/>
        </w:rPr>
        <w:t>From 6 June 2010 (inclusive),</w:t>
      </w:r>
      <w:r>
        <w:rPr>
          <w:lang w:val="en-AU"/>
        </w:rPr>
        <w:t xml:space="preserve"> international c</w:t>
      </w:r>
      <w:r>
        <w:rPr>
          <w:szCs w:val="20"/>
          <w:lang w:val="en-AU"/>
        </w:rPr>
        <w:t>alls from your YBS 6+ mobile will be charged at standard</w:t>
      </w:r>
      <w:r>
        <w:rPr>
          <w:snapToGrid w:val="0"/>
          <w:szCs w:val="20"/>
          <w:lang w:val="en-AU"/>
        </w:rPr>
        <w:t xml:space="preserve"> 'yes' Business International per 30 second rates. Flagfall of 35c applies per call. Excludes video calls. </w:t>
      </w:r>
      <w:r>
        <w:rPr>
          <w:szCs w:val="20"/>
          <w:lang w:val="en-AU"/>
        </w:rPr>
        <w:t xml:space="preserve">For more information on the 'yes' Business International call rates please refer to </w:t>
      </w:r>
      <w:hyperlink r:id="rId51" w:history="1">
        <w:r>
          <w:rPr>
            <w:rStyle w:val="Hyperlink"/>
            <w:i/>
            <w:szCs w:val="20"/>
          </w:rPr>
          <w:t>Appendix J</w:t>
        </w:r>
      </w:hyperlink>
      <w:r>
        <w:rPr>
          <w:i/>
          <w:szCs w:val="20"/>
          <w:lang w:val="en-AU"/>
        </w:rPr>
        <w:t>.</w:t>
      </w:r>
    </w:p>
    <w:p w14:paraId="7692FBFA" w14:textId="77777777" w:rsidR="000D07EA" w:rsidRDefault="00BE7C89">
      <w:pPr>
        <w:pStyle w:val="Heading8"/>
        <w:rPr>
          <w:snapToGrid w:val="0"/>
          <w:szCs w:val="20"/>
          <w:lang w:val="en-AU"/>
        </w:rPr>
      </w:pPr>
      <w:r>
        <w:rPr>
          <w:b/>
          <w:szCs w:val="20"/>
          <w:lang w:val="en-AU"/>
        </w:rPr>
        <w:t xml:space="preserve">Bolt Ons: </w:t>
      </w:r>
      <w:r>
        <w:rPr>
          <w:szCs w:val="20"/>
          <w:lang w:val="en-AU"/>
        </w:rPr>
        <w:t>Upon request, customer may select Bolt Ons for an additional $5 per pack, per month per service.</w:t>
      </w:r>
      <w:r>
        <w:rPr>
          <w:b/>
          <w:szCs w:val="20"/>
          <w:lang w:val="en-AU"/>
        </w:rPr>
        <w:t xml:space="preserve"> </w:t>
      </w:r>
      <w:r>
        <w:rPr>
          <w:szCs w:val="20"/>
          <w:lang w:val="en-AU"/>
        </w:rPr>
        <w:t>The spend on these Bolt Ons does not contribute to SmartShare.</w:t>
      </w:r>
      <w:r>
        <w:rPr>
          <w:b/>
          <w:szCs w:val="20"/>
          <w:lang w:val="en-AU"/>
        </w:rPr>
        <w:t xml:space="preserve"> Free Bolt On: </w:t>
      </w:r>
      <w:r>
        <w:rPr>
          <w:szCs w:val="20"/>
          <w:lang w:val="en-AU"/>
        </w:rPr>
        <w:t xml:space="preserve">If </w:t>
      </w:r>
      <w:r>
        <w:rPr>
          <w:i/>
          <w:szCs w:val="20"/>
          <w:lang w:val="en-AU"/>
        </w:rPr>
        <w:t>you</w:t>
      </w:r>
      <w:r>
        <w:rPr>
          <w:szCs w:val="20"/>
          <w:lang w:val="en-AU"/>
        </w:rPr>
        <w:t xml:space="preserve"> select a YBS59 plan or above </w:t>
      </w:r>
      <w:r>
        <w:rPr>
          <w:i/>
          <w:szCs w:val="20"/>
          <w:lang w:val="en-AU"/>
        </w:rPr>
        <w:t>you</w:t>
      </w:r>
      <w:r>
        <w:rPr>
          <w:szCs w:val="20"/>
          <w:lang w:val="en-AU"/>
        </w:rPr>
        <w:t xml:space="preserve"> will receive one free Bolt On. If </w:t>
      </w:r>
      <w:r>
        <w:rPr>
          <w:i/>
          <w:szCs w:val="20"/>
          <w:lang w:val="en-AU"/>
        </w:rPr>
        <w:t>you</w:t>
      </w:r>
      <w:r>
        <w:rPr>
          <w:szCs w:val="20"/>
          <w:lang w:val="en-AU"/>
        </w:rPr>
        <w:t xml:space="preserve"> do not select which Bolt On </w:t>
      </w:r>
      <w:r>
        <w:rPr>
          <w:i/>
          <w:szCs w:val="20"/>
          <w:lang w:val="en-AU"/>
        </w:rPr>
        <w:t>you</w:t>
      </w:r>
      <w:r>
        <w:rPr>
          <w:szCs w:val="20"/>
          <w:lang w:val="en-AU"/>
        </w:rPr>
        <w:t xml:space="preserve"> would like, YBS6 default will be VoiceMail. </w:t>
      </w:r>
    </w:p>
    <w:p w14:paraId="7FD98A5F" w14:textId="77777777" w:rsidR="000D07EA" w:rsidRDefault="00BE7C89">
      <w:pPr>
        <w:pStyle w:val="Heading9"/>
        <w:rPr>
          <w:snapToGrid w:val="0"/>
          <w:szCs w:val="20"/>
          <w:lang w:val="en-AU"/>
        </w:rPr>
      </w:pPr>
      <w:r>
        <w:rPr>
          <w:b/>
          <w:szCs w:val="20"/>
          <w:lang w:val="en-AU"/>
        </w:rPr>
        <w:t>VoiceMail Bolt On:</w:t>
      </w:r>
      <w:r>
        <w:rPr>
          <w:szCs w:val="20"/>
          <w:lang w:val="en-AU"/>
        </w:rPr>
        <w:t xml:space="preserve"> Pay $5 extra per month to receive free VoiceMail.</w:t>
      </w:r>
    </w:p>
    <w:p w14:paraId="579E55B9" w14:textId="77777777" w:rsidR="000D07EA" w:rsidRDefault="00BE7C89">
      <w:pPr>
        <w:pStyle w:val="Heading9"/>
        <w:rPr>
          <w:rFonts w:cs="DIN-Light"/>
          <w:lang w:val="en-AU"/>
        </w:rPr>
      </w:pPr>
      <w:r>
        <w:rPr>
          <w:b/>
          <w:szCs w:val="20"/>
          <w:lang w:val="en-AU"/>
        </w:rPr>
        <w:t>SurePage Bolt On:</w:t>
      </w:r>
      <w:r>
        <w:rPr>
          <w:szCs w:val="20"/>
          <w:lang w:val="en-AU"/>
        </w:rPr>
        <w:t xml:space="preserve"> Pay $5 extra per month to receive 20 SurePage me</w:t>
      </w:r>
      <w:r>
        <w:rPr>
          <w:lang w:val="en-AU"/>
        </w:rPr>
        <w:t xml:space="preserve">ssages. Each additional message costs 50c. </w:t>
      </w:r>
    </w:p>
    <w:p w14:paraId="704B73BE" w14:textId="77777777" w:rsidR="000D07EA" w:rsidRDefault="00BE7C89">
      <w:pPr>
        <w:pStyle w:val="Heading9"/>
        <w:rPr>
          <w:rFonts w:ascii="Arial Narrow" w:hAnsi="Arial Narrow"/>
          <w:u w:val="single"/>
          <w:lang w:val="en-AU"/>
        </w:rPr>
      </w:pPr>
      <w:r>
        <w:rPr>
          <w:b/>
          <w:lang w:val="en-AU"/>
        </w:rPr>
        <w:t>SMS / MMS Bolt On:</w:t>
      </w:r>
      <w:r>
        <w:rPr>
          <w:lang w:val="en-AU"/>
        </w:rPr>
        <w:t xml:space="preserve"> Pay $5 extra per month to receive 10c SMS and MMS messages and an included $5 worth of SMS and MMS value. SMS and MMS must be sent and received in Australia. </w:t>
      </w:r>
      <w:r>
        <w:rPr>
          <w:rFonts w:cs="DIN-Light"/>
          <w:color w:val="000000"/>
          <w:lang w:val="en-AU"/>
        </w:rPr>
        <w:t>Promotion available until 31/12/06 unless withdrawn earlier.</w:t>
      </w:r>
    </w:p>
    <w:p w14:paraId="19A4428D" w14:textId="77777777" w:rsidR="000D07EA" w:rsidRDefault="00BE7C89">
      <w:pPr>
        <w:pStyle w:val="Heading8"/>
        <w:rPr>
          <w:u w:val="single"/>
          <w:lang w:val="en-AU"/>
        </w:rPr>
      </w:pPr>
      <w:r>
        <w:rPr>
          <w:b/>
          <w:lang w:val="en-AU"/>
        </w:rPr>
        <w:t xml:space="preserve">Mobile Data Plans: </w:t>
      </w:r>
      <w:r>
        <w:rPr>
          <w:lang w:val="en-AU"/>
        </w:rPr>
        <w:t xml:space="preserve">Pay as </w:t>
      </w:r>
      <w:r>
        <w:rPr>
          <w:i/>
          <w:lang w:val="en-AU"/>
        </w:rPr>
        <w:t>you</w:t>
      </w:r>
      <w:r>
        <w:rPr>
          <w:lang w:val="en-AU"/>
        </w:rPr>
        <w:t xml:space="preserve"> go each month at 1.5c per KB capped at $5 for up to 5MB. If </w:t>
      </w:r>
      <w:r>
        <w:rPr>
          <w:i/>
          <w:lang w:val="en-AU"/>
        </w:rPr>
        <w:t>you</w:t>
      </w:r>
      <w:r>
        <w:rPr>
          <w:lang w:val="en-AU"/>
        </w:rPr>
        <w:t xml:space="preserve"> go over 5MB charges start again at. 0.3¢/Kb. Upon request customers may select one of the 5MB, 30MB, 50MB or 75MB data plans. They will be required to pay each month the minimum monthly spend for the specific data plan they choose. Not available with Cap plans. Customers are required to use a GPRS capable device. SMS Alerts, Ring Tones, Screen Logos, Picture Messages, Mobile Games, MMS Select Standard and MMS Select Premium content charges are also additional charges. </w:t>
      </w:r>
    </w:p>
    <w:p w14:paraId="4D99DEE2" w14:textId="77777777" w:rsidR="000D07EA" w:rsidRDefault="00BE7C89">
      <w:pPr>
        <w:pStyle w:val="Heading7"/>
        <w:rPr>
          <w:lang w:val="en-AU"/>
        </w:rPr>
      </w:pPr>
      <w:r>
        <w:rPr>
          <w:lang w:val="en-AU"/>
        </w:rPr>
        <w:t xml:space="preserve">The following applies to </w:t>
      </w:r>
      <w:r>
        <w:rPr>
          <w:i/>
          <w:lang w:val="en-AU"/>
        </w:rPr>
        <w:t>you</w:t>
      </w:r>
      <w:r>
        <w:rPr>
          <w:lang w:val="en-AU"/>
        </w:rPr>
        <w:t xml:space="preserve"> if </w:t>
      </w:r>
      <w:r>
        <w:rPr>
          <w:i/>
          <w:lang w:val="en-AU"/>
        </w:rPr>
        <w:t>you</w:t>
      </w:r>
      <w:r>
        <w:rPr>
          <w:lang w:val="en-AU"/>
        </w:rPr>
        <w:t xml:space="preserve"> connected to a 'yes' Business Smart 6+ plan after 28 July 2008:</w:t>
      </w:r>
    </w:p>
    <w:p w14:paraId="23085EC4" w14:textId="77777777" w:rsidR="000D07EA" w:rsidRDefault="00BE7C89">
      <w:pPr>
        <w:pStyle w:val="Heading8"/>
        <w:rPr>
          <w:lang w:val="en-AU"/>
        </w:rPr>
      </w:pPr>
      <w:r>
        <w:rPr>
          <w:lang w:val="en-AU"/>
        </w:rPr>
        <w:t xml:space="preserve">The 'yes' Business Smart 6+ </w:t>
      </w:r>
      <w:r>
        <w:rPr>
          <w:i/>
          <w:lang w:val="en-AU"/>
        </w:rPr>
        <w:t xml:space="preserve">pricing plans </w:t>
      </w:r>
      <w:r>
        <w:rPr>
          <w:lang w:val="en-AU"/>
        </w:rPr>
        <w:t xml:space="preserve">include a </w:t>
      </w:r>
      <w:r>
        <w:rPr>
          <w:i/>
          <w:lang w:val="en-AU"/>
        </w:rPr>
        <w:t xml:space="preserve">flagfall </w:t>
      </w:r>
      <w:r>
        <w:rPr>
          <w:lang w:val="en-AU"/>
        </w:rPr>
        <w:t xml:space="preserve">per call as specified in the table below, for </w:t>
      </w:r>
      <w:r>
        <w:rPr>
          <w:i/>
          <w:lang w:val="en-AU"/>
        </w:rPr>
        <w:t>local calls</w:t>
      </w:r>
      <w:r>
        <w:rPr>
          <w:lang w:val="en-AU"/>
        </w:rPr>
        <w:t xml:space="preserve"> and </w:t>
      </w:r>
      <w:r>
        <w:rPr>
          <w:i/>
          <w:lang w:val="en-AU"/>
        </w:rPr>
        <w:t>national long distance</w:t>
      </w:r>
      <w:r>
        <w:rPr>
          <w:lang w:val="en-AU"/>
        </w:rPr>
        <w:t xml:space="preserve"> </w:t>
      </w:r>
      <w:r>
        <w:rPr>
          <w:i/>
          <w:lang w:val="en-AU"/>
        </w:rPr>
        <w:t>calls</w:t>
      </w:r>
      <w:r>
        <w:rPr>
          <w:lang w:val="en-AU"/>
        </w:rPr>
        <w:t xml:space="preserve"> and calls to </w:t>
      </w:r>
      <w:r>
        <w:rPr>
          <w:i/>
          <w:lang w:val="en-AU"/>
        </w:rPr>
        <w:t>mobile phones</w:t>
      </w:r>
      <w:r>
        <w:rPr>
          <w:lang w:val="en-AU"/>
        </w:rPr>
        <w:t xml:space="preserve">. So the charge for these calls is the </w:t>
      </w:r>
      <w:r>
        <w:rPr>
          <w:i/>
          <w:lang w:val="en-AU"/>
        </w:rPr>
        <w:t xml:space="preserve">flagfall </w:t>
      </w:r>
      <w:r>
        <w:rPr>
          <w:lang w:val="en-AU"/>
        </w:rPr>
        <w:t xml:space="preserve">plus the relevant rate multiplied by the duration of the call. The </w:t>
      </w:r>
      <w:r>
        <w:rPr>
          <w:i/>
          <w:lang w:val="en-AU"/>
        </w:rPr>
        <w:t xml:space="preserve">flagfall </w:t>
      </w:r>
      <w:r>
        <w:rPr>
          <w:lang w:val="en-AU"/>
        </w:rPr>
        <w:t>is not applicable to calls made under the "SmartFleet" and "Back2Business" call rates.</w:t>
      </w:r>
    </w:p>
    <w:p w14:paraId="132856CE" w14:textId="77777777" w:rsidR="000D07EA" w:rsidRDefault="00BE7C89">
      <w:pPr>
        <w:pStyle w:val="Heading8"/>
        <w:rPr>
          <w:lang w:val="en-AU"/>
        </w:rPr>
      </w:pPr>
      <w:r>
        <w:rPr>
          <w:lang w:val="en-AU"/>
        </w:rPr>
        <w:t xml:space="preserve">'yes' Business Smart 6+ </w:t>
      </w:r>
      <w:r>
        <w:rPr>
          <w:i/>
          <w:lang w:val="en-AU"/>
        </w:rPr>
        <w:t xml:space="preserve">pricing plans </w:t>
      </w:r>
      <w:r>
        <w:rPr>
          <w:lang w:val="en-AU"/>
        </w:rPr>
        <w:t xml:space="preserve">include an option called "Smart Rate"; customers can choose between reduced rate to Mobiles OR reduced rates to Fixed line numbers. This rate is dependent upon </w:t>
      </w:r>
      <w:r>
        <w:rPr>
          <w:i/>
          <w:lang w:val="en-AU"/>
        </w:rPr>
        <w:t>your</w:t>
      </w:r>
      <w:r>
        <w:rPr>
          <w:lang w:val="en-AU"/>
        </w:rPr>
        <w:t xml:space="preserve"> selected 'yes' Business Smart rate plan.</w:t>
      </w:r>
    </w:p>
    <w:p w14:paraId="0D96C8E6" w14:textId="77777777" w:rsidR="000D07EA" w:rsidRDefault="00BE7C89">
      <w:pPr>
        <w:pStyle w:val="Heading9"/>
        <w:rPr>
          <w:szCs w:val="20"/>
        </w:rPr>
      </w:pPr>
      <w:r>
        <w:rPr>
          <w:lang w:eastAsia="en-AU"/>
        </w:rPr>
        <w:t xml:space="preserve">For the 'yes' Business Smart 6+ 29, 39 and 49 </w:t>
      </w:r>
      <w:r>
        <w:rPr>
          <w:i/>
          <w:iCs/>
          <w:lang w:eastAsia="en-AU"/>
        </w:rPr>
        <w:t>pricing plans</w:t>
      </w:r>
      <w:r>
        <w:rPr>
          <w:lang w:eastAsia="en-AU"/>
        </w:rPr>
        <w:t xml:space="preserve"> the "SmartRate" rate of the 'yes' Business Smart </w:t>
      </w:r>
      <w:r>
        <w:rPr>
          <w:i/>
          <w:lang w:eastAsia="en-AU"/>
        </w:rPr>
        <w:t xml:space="preserve">pricing plans </w:t>
      </w:r>
      <w:r>
        <w:rPr>
          <w:lang w:eastAsia="en-AU"/>
        </w:rPr>
        <w:t xml:space="preserve">to either </w:t>
      </w:r>
      <w:r>
        <w:rPr>
          <w:szCs w:val="20"/>
        </w:rPr>
        <w:t xml:space="preserve">another </w:t>
      </w:r>
      <w:r>
        <w:rPr>
          <w:i/>
          <w:szCs w:val="20"/>
        </w:rPr>
        <w:t xml:space="preserve">mobile phone </w:t>
      </w:r>
      <w:r>
        <w:rPr>
          <w:szCs w:val="20"/>
        </w:rPr>
        <w:t xml:space="preserve">on any Australian mobile network (excluding satellite phones) OR Fixed Lines in Australia </w:t>
      </w:r>
      <w:r>
        <w:rPr>
          <w:szCs w:val="20"/>
        </w:rPr>
        <w:lastRenderedPageBreak/>
        <w:t xml:space="preserve">for calls made and received within Australia will be charged $0.10 ($0.11) per 30 seconds or part thereof. </w:t>
      </w:r>
      <w:r>
        <w:rPr>
          <w:i/>
          <w:szCs w:val="20"/>
        </w:rPr>
        <w:t>Flagfall</w:t>
      </w:r>
      <w:r>
        <w:rPr>
          <w:szCs w:val="20"/>
        </w:rPr>
        <w:t xml:space="preserve"> per call is $0.18 ($0.20). </w:t>
      </w:r>
    </w:p>
    <w:p w14:paraId="6CA5CB89" w14:textId="77777777" w:rsidR="000D07EA" w:rsidRDefault="00BE7C89">
      <w:pPr>
        <w:pStyle w:val="Heading9"/>
        <w:rPr>
          <w:lang w:val="en-AU"/>
        </w:rPr>
      </w:pPr>
      <w:r>
        <w:rPr>
          <w:lang w:val="en-AU"/>
        </w:rPr>
        <w:t xml:space="preserve">For the 'yes' Business Smart 6+ 59, 79, 99, 149 and 249 </w:t>
      </w:r>
      <w:r>
        <w:rPr>
          <w:i/>
          <w:iCs/>
          <w:lang w:val="en-AU"/>
        </w:rPr>
        <w:t>pricing plans</w:t>
      </w:r>
      <w:r>
        <w:rPr>
          <w:lang w:val="en-AU"/>
        </w:rPr>
        <w:t xml:space="preserve"> the "SmartRate" rate of the 'yes' Business Smart </w:t>
      </w:r>
      <w:r>
        <w:rPr>
          <w:i/>
          <w:lang w:val="en-AU"/>
        </w:rPr>
        <w:t xml:space="preserve">pricing plans </w:t>
      </w:r>
      <w:r>
        <w:rPr>
          <w:lang w:val="en-AU"/>
        </w:rPr>
        <w:t xml:space="preserve">to either another </w:t>
      </w:r>
      <w:r>
        <w:rPr>
          <w:i/>
          <w:lang w:val="en-AU"/>
        </w:rPr>
        <w:t xml:space="preserve">mobile phone </w:t>
      </w:r>
      <w:r>
        <w:rPr>
          <w:lang w:val="en-AU"/>
        </w:rPr>
        <w:t xml:space="preserve">on any Australian mobile network (excluding satellite phones) OR Fixed Lines in Australia for calls made and received within Australia will be charged $0.09 ($0.10) per 30 seconds or part thereof. </w:t>
      </w:r>
      <w:r>
        <w:rPr>
          <w:i/>
          <w:lang w:val="en-AU"/>
        </w:rPr>
        <w:t>Flagfall</w:t>
      </w:r>
      <w:r>
        <w:rPr>
          <w:lang w:val="en-AU"/>
        </w:rPr>
        <w:t xml:space="preserve"> per call is $0.18 ($0.20) on the 'yes' Business Smart 6+ 59 pricing plan and $0.16 ($0.18) on the 'yes' Business Smart 6+ 79 pricing plan and above.</w:t>
      </w:r>
    </w:p>
    <w:p w14:paraId="2F7E3883" w14:textId="77777777" w:rsidR="000D07EA" w:rsidRDefault="00BE7C89">
      <w:pPr>
        <w:pStyle w:val="Heading8"/>
        <w:rPr>
          <w:lang w:val="en-AU"/>
        </w:rPr>
      </w:pPr>
      <w:r>
        <w:rPr>
          <w:lang w:val="en-AU"/>
        </w:rPr>
        <w:t xml:space="preserve">'yes' Business Smart 6+ </w:t>
      </w:r>
      <w:r>
        <w:rPr>
          <w:i/>
          <w:lang w:val="en-AU"/>
        </w:rPr>
        <w:t>pricing plans</w:t>
      </w:r>
      <w:r>
        <w:rPr>
          <w:lang w:val="en-AU"/>
        </w:rPr>
        <w:t xml:space="preserve"> include the "SmartFleet" call rate. It applies to calls to another 'yes' Business Smart 6+ (YBS6), 'yes' Business Fleet (BF) or inBusiness Edge (inBE) </w:t>
      </w:r>
      <w:r>
        <w:rPr>
          <w:i/>
          <w:lang w:val="en-AU"/>
        </w:rPr>
        <w:t>service</w:t>
      </w:r>
      <w:r>
        <w:rPr>
          <w:lang w:val="en-AU"/>
        </w:rPr>
        <w:t xml:space="preserve"> on the same customer account number. Calls are charged at $0. No </w:t>
      </w:r>
      <w:r>
        <w:rPr>
          <w:i/>
          <w:lang w:val="en-AU"/>
        </w:rPr>
        <w:t>flagfall</w:t>
      </w:r>
      <w:r>
        <w:rPr>
          <w:lang w:val="en-AU"/>
        </w:rPr>
        <w:t xml:space="preserve"> applies. Excludes calls to Optus Pre-Paid, Satellite and service provider customers. Applies to calls made and received in Australia. "SmartFleet" Promotion available until 31/12/2008 unless withdrawn earlier. </w:t>
      </w:r>
      <w:r w:rsidR="009355C4">
        <w:rPr>
          <w:lang w:val="en-AU"/>
        </w:rPr>
        <w:t xml:space="preserve">The </w:t>
      </w:r>
      <w:r>
        <w:rPr>
          <w:lang w:val="en-AU"/>
        </w:rPr>
        <w:t xml:space="preserve">Fair Go Policy applies (see </w:t>
      </w:r>
      <w:hyperlink r:id="rId52" w:history="1">
        <w:r w:rsidRPr="001723A4">
          <w:rPr>
            <w:rStyle w:val="Hyperlink"/>
            <w:i/>
            <w:lang w:val="en-AU"/>
          </w:rPr>
          <w:t xml:space="preserve">Appendix </w:t>
        </w:r>
        <w:r w:rsidR="001723A4" w:rsidRPr="001723A4">
          <w:rPr>
            <w:rStyle w:val="Hyperlink"/>
            <w:i/>
            <w:lang w:val="en-AU"/>
          </w:rPr>
          <w:t>S</w:t>
        </w:r>
      </w:hyperlink>
      <w:r>
        <w:rPr>
          <w:i/>
          <w:lang w:val="en-AU"/>
        </w:rPr>
        <w:t>)</w:t>
      </w:r>
      <w:r>
        <w:rPr>
          <w:lang w:val="en-AU"/>
        </w:rPr>
        <w:t xml:space="preserve">. Note: Standard call exclusions (see section 1 of this </w:t>
      </w:r>
      <w:r>
        <w:rPr>
          <w:i/>
          <w:lang w:val="en-AU"/>
        </w:rPr>
        <w:t>standard pricing table</w:t>
      </w:r>
      <w:r>
        <w:rPr>
          <w:lang w:val="en-AU"/>
        </w:rPr>
        <w:t>) apply to the "SmartRate" and "SmartFleet" call rates.</w:t>
      </w:r>
    </w:p>
    <w:p w14:paraId="184AC93E" w14:textId="77777777" w:rsidR="000D07EA" w:rsidRDefault="00BE7C89">
      <w:pPr>
        <w:pStyle w:val="Heading8"/>
        <w:rPr>
          <w:snapToGrid w:val="0"/>
          <w:lang w:val="en-AU"/>
        </w:rPr>
      </w:pPr>
      <w:r>
        <w:rPr>
          <w:color w:val="000000"/>
          <w:lang w:val="en-AU"/>
        </w:rPr>
        <w:t xml:space="preserve">Upon request, customers may set up a Back2Business (B2B) service: pay 30c for 10 minute calls to 3 numbers, 24 x 7. </w:t>
      </w:r>
      <w:r>
        <w:rPr>
          <w:lang w:val="en-AU"/>
        </w:rPr>
        <w:t xml:space="preserve">Only 3 B2B services per YBS6+ service. If </w:t>
      </w:r>
      <w:r>
        <w:rPr>
          <w:i/>
          <w:lang w:val="en-AU"/>
        </w:rPr>
        <w:t>you</w:t>
      </w:r>
      <w:r>
        <w:rPr>
          <w:lang w:val="en-AU"/>
        </w:rPr>
        <w:t xml:space="preserve"> combine </w:t>
      </w:r>
      <w:r>
        <w:rPr>
          <w:i/>
          <w:lang w:val="en-AU"/>
        </w:rPr>
        <w:t>your</w:t>
      </w:r>
      <w:r>
        <w:rPr>
          <w:lang w:val="en-AU"/>
        </w:rPr>
        <w:t xml:space="preserve"> YBS6+ service with Optus Fixed Line and / or Data </w:t>
      </w:r>
      <w:r>
        <w:rPr>
          <w:i/>
          <w:lang w:val="en-AU"/>
        </w:rPr>
        <w:t>you</w:t>
      </w:r>
      <w:r>
        <w:rPr>
          <w:lang w:val="en-AU"/>
        </w:rPr>
        <w:t xml:space="preserve"> will receive free 10 minute calls. The 3 nominated numbers must be either eligible Optus GSM mobile(s) and / or fixed line(s), as defined by Optus and cannot be a 13, 1300, 1800 or 1900 number.</w:t>
      </w:r>
      <w:r>
        <w:rPr>
          <w:b/>
          <w:lang w:val="en-AU"/>
        </w:rPr>
        <w:t xml:space="preserve"> </w:t>
      </w:r>
      <w:r>
        <w:rPr>
          <w:lang w:val="en-AU"/>
        </w:rPr>
        <w:t xml:space="preserve">Calls must be made and received within Australia and excludes video calls. After the first 10 minutes standard call rates apply. </w:t>
      </w:r>
      <w:r>
        <w:rPr>
          <w:i/>
          <w:lang w:val="en-AU"/>
        </w:rPr>
        <w:t>You</w:t>
      </w:r>
      <w:r>
        <w:rPr>
          <w:lang w:val="en-AU"/>
        </w:rPr>
        <w:t xml:space="preserve"> may change </w:t>
      </w:r>
      <w:r>
        <w:rPr>
          <w:i/>
          <w:lang w:val="en-AU"/>
        </w:rPr>
        <w:t>your</w:t>
      </w:r>
      <w:r>
        <w:rPr>
          <w:lang w:val="en-AU"/>
        </w:rPr>
        <w:t xml:space="preserve"> nominated numbers no more than once per month. Allow up to 48 hours for activation or changes to </w:t>
      </w:r>
      <w:r>
        <w:rPr>
          <w:i/>
          <w:lang w:val="en-AU"/>
        </w:rPr>
        <w:t>your</w:t>
      </w:r>
      <w:r>
        <w:rPr>
          <w:lang w:val="en-AU"/>
        </w:rPr>
        <w:t xml:space="preserve"> B2B service. "Back2Business" Promotion available until 31/12/2008 unless withdrawn earlier. </w:t>
      </w:r>
      <w:r w:rsidR="009355C4">
        <w:rPr>
          <w:rFonts w:cs="DIN-Light"/>
          <w:color w:val="000000"/>
          <w:lang w:val="en-AU"/>
        </w:rPr>
        <w:t xml:space="preserve">The </w:t>
      </w:r>
      <w:r>
        <w:rPr>
          <w:rFonts w:cs="DIN-Light"/>
          <w:color w:val="000000"/>
          <w:lang w:val="en-AU"/>
        </w:rPr>
        <w:t>Fair Go Policy applies.</w:t>
      </w:r>
    </w:p>
    <w:p w14:paraId="0817063A" w14:textId="77777777" w:rsidR="000D07EA" w:rsidRDefault="00BE7C89">
      <w:pPr>
        <w:pStyle w:val="Heading8"/>
        <w:rPr>
          <w:snapToGrid w:val="0"/>
          <w:lang w:val="en-AU"/>
        </w:rPr>
      </w:pPr>
      <w:r>
        <w:rPr>
          <w:b/>
          <w:lang w:val="en-AU"/>
        </w:rPr>
        <w:t>FleetShare:</w:t>
      </w:r>
      <w:r>
        <w:rPr>
          <w:lang w:val="en-AU"/>
        </w:rPr>
        <w:t xml:space="preserve"> Available to Small Business customers only.</w:t>
      </w:r>
      <w:r>
        <w:rPr>
          <w:b/>
          <w:lang w:val="en-AU"/>
        </w:rPr>
        <w:t xml:space="preserve"> </w:t>
      </w:r>
      <w:r>
        <w:rPr>
          <w:lang w:val="en-AU"/>
        </w:rPr>
        <w:t xml:space="preserve">Shares the minimum monthly spend among 'yes' Business Smart 6+ services on the same customer account number. Excludes all Cap plans, GPRS Data, Optus Wireless Broadband and Blackberry. Only plans with Minimum monthly spend are eligible. </w:t>
      </w:r>
    </w:p>
    <w:p w14:paraId="7656831C" w14:textId="77777777" w:rsidR="000D07EA" w:rsidRDefault="00BE7C89">
      <w:pPr>
        <w:pStyle w:val="Heading8"/>
        <w:rPr>
          <w:snapToGrid w:val="0"/>
          <w:szCs w:val="20"/>
          <w:lang w:val="en-AU"/>
        </w:rPr>
      </w:pPr>
      <w:r>
        <w:rPr>
          <w:b/>
          <w:lang w:val="en-AU" w:eastAsia="en-AU"/>
        </w:rPr>
        <w:t>International Calls:</w:t>
      </w:r>
      <w:r>
        <w:rPr>
          <w:lang w:val="en-AU" w:eastAsia="en-AU"/>
        </w:rPr>
        <w:t xml:space="preserve"> For the period prior to 6 June 2010,international calls from </w:t>
      </w:r>
      <w:r>
        <w:rPr>
          <w:i/>
          <w:lang w:val="en-AU" w:eastAsia="en-AU"/>
        </w:rPr>
        <w:t>your</w:t>
      </w:r>
      <w:r>
        <w:rPr>
          <w:lang w:val="en-AU" w:eastAsia="en-AU"/>
        </w:rPr>
        <w:t xml:space="preserve"> YBS mobile will be charged at standard 'yes' International per 30 second rates. Flagfall of 27c applies per call. Excludes video calls. For more information on the 'yes' International call rates please refer to </w:t>
      </w:r>
      <w:hyperlink r:id="rId53" w:history="1">
        <w:r>
          <w:rPr>
            <w:rStyle w:val="Hyperlink"/>
            <w:i/>
          </w:rPr>
          <w:t>Appendix J</w:t>
        </w:r>
      </w:hyperlink>
      <w:r>
        <w:rPr>
          <w:i/>
          <w:lang w:val="en-AU" w:eastAsia="en-AU"/>
        </w:rPr>
        <w:t>.</w:t>
      </w:r>
    </w:p>
    <w:p w14:paraId="6FF0B12B" w14:textId="77777777" w:rsidR="000D07EA" w:rsidRDefault="00BE7C89">
      <w:pPr>
        <w:pStyle w:val="BodyText"/>
        <w:ind w:left="720"/>
        <w:rPr>
          <w:snapToGrid w:val="0"/>
          <w:lang w:val="en-AU"/>
        </w:rPr>
      </w:pPr>
      <w:r>
        <w:rPr>
          <w:snapToGrid w:val="0"/>
          <w:lang w:val="en-AU"/>
        </w:rPr>
        <w:t xml:space="preserve">From 6 June 2010 (inclusive), </w:t>
      </w:r>
      <w:r>
        <w:rPr>
          <w:lang w:val="en-AU"/>
        </w:rPr>
        <w:t xml:space="preserve">international calls from </w:t>
      </w:r>
      <w:r>
        <w:rPr>
          <w:i/>
          <w:lang w:val="en-AU"/>
        </w:rPr>
        <w:t>your</w:t>
      </w:r>
      <w:r>
        <w:rPr>
          <w:lang w:val="en-AU"/>
        </w:rPr>
        <w:t xml:space="preserve"> YBS mobile will be charged at standard </w:t>
      </w:r>
      <w:r>
        <w:rPr>
          <w:snapToGrid w:val="0"/>
          <w:lang w:val="en-AU"/>
        </w:rPr>
        <w:t xml:space="preserve">'yes' Business International per 30 second rates. Flagfall of 35c applies per call. Excludes video calls. </w:t>
      </w:r>
      <w:r>
        <w:rPr>
          <w:lang w:val="en-AU"/>
        </w:rPr>
        <w:t xml:space="preserve">For more information on the 'yes' Business International call rates please refer to </w:t>
      </w:r>
      <w:hyperlink r:id="rId54" w:history="1">
        <w:r>
          <w:rPr>
            <w:rStyle w:val="Hyperlink"/>
            <w:i/>
          </w:rPr>
          <w:t>Appendix J</w:t>
        </w:r>
      </w:hyperlink>
      <w:r>
        <w:rPr>
          <w:i/>
          <w:lang w:val="en-AU"/>
        </w:rPr>
        <w:t>.</w:t>
      </w:r>
    </w:p>
    <w:p w14:paraId="7FC9C351" w14:textId="77777777" w:rsidR="000D07EA" w:rsidRDefault="00BE7C89">
      <w:pPr>
        <w:pStyle w:val="Heading8"/>
        <w:rPr>
          <w:snapToGrid w:val="0"/>
          <w:lang w:val="en-AU"/>
        </w:rPr>
      </w:pPr>
      <w:r>
        <w:rPr>
          <w:b/>
          <w:lang w:val="en-AU"/>
        </w:rPr>
        <w:t xml:space="preserve">Bolt Ons: </w:t>
      </w:r>
      <w:r>
        <w:rPr>
          <w:lang w:val="en-AU"/>
        </w:rPr>
        <w:t>Upon request, customers may select Bolt Ons for an additional $5 per pack, per month per service.</w:t>
      </w:r>
      <w:r>
        <w:rPr>
          <w:b/>
          <w:lang w:val="en-AU"/>
        </w:rPr>
        <w:t xml:space="preserve"> </w:t>
      </w:r>
      <w:r>
        <w:rPr>
          <w:lang w:val="en-AU"/>
        </w:rPr>
        <w:t>The spend on these Bolt Ons does not contribute to FleetShare.</w:t>
      </w:r>
      <w:r>
        <w:rPr>
          <w:b/>
          <w:lang w:val="en-AU"/>
        </w:rPr>
        <w:t xml:space="preserve"> Free Bolt On: </w:t>
      </w:r>
      <w:r>
        <w:rPr>
          <w:lang w:val="en-AU"/>
        </w:rPr>
        <w:t xml:space="preserve">If </w:t>
      </w:r>
      <w:r>
        <w:rPr>
          <w:i/>
          <w:lang w:val="en-AU"/>
        </w:rPr>
        <w:t>you</w:t>
      </w:r>
      <w:r>
        <w:rPr>
          <w:lang w:val="en-AU"/>
        </w:rPr>
        <w:t xml:space="preserve"> select a YBS59 plan or above </w:t>
      </w:r>
      <w:r>
        <w:rPr>
          <w:i/>
          <w:lang w:val="en-AU"/>
        </w:rPr>
        <w:t>you</w:t>
      </w:r>
      <w:r>
        <w:rPr>
          <w:lang w:val="en-AU"/>
        </w:rPr>
        <w:t xml:space="preserve"> will receive one free Bolt On. If </w:t>
      </w:r>
      <w:r>
        <w:rPr>
          <w:i/>
          <w:lang w:val="en-AU"/>
        </w:rPr>
        <w:t>you</w:t>
      </w:r>
      <w:r>
        <w:rPr>
          <w:lang w:val="en-AU"/>
        </w:rPr>
        <w:t xml:space="preserve"> do not select which Bolt On </w:t>
      </w:r>
      <w:r>
        <w:rPr>
          <w:i/>
          <w:lang w:val="en-AU"/>
        </w:rPr>
        <w:t>you</w:t>
      </w:r>
      <w:r>
        <w:rPr>
          <w:lang w:val="en-AU"/>
        </w:rPr>
        <w:t xml:space="preserve"> would like, YBS6 default will be Smart VoiceMail. </w:t>
      </w:r>
    </w:p>
    <w:p w14:paraId="7A56EEA3" w14:textId="77777777" w:rsidR="000D07EA" w:rsidRDefault="00BE7C89">
      <w:pPr>
        <w:pStyle w:val="Heading9"/>
        <w:rPr>
          <w:snapToGrid w:val="0"/>
          <w:szCs w:val="20"/>
          <w:lang w:val="en-AU"/>
        </w:rPr>
      </w:pPr>
      <w:r>
        <w:rPr>
          <w:b/>
          <w:szCs w:val="20"/>
          <w:lang w:val="en-AU"/>
        </w:rPr>
        <w:t>Smart VoiceMail Bolt On:</w:t>
      </w:r>
      <w:r>
        <w:rPr>
          <w:szCs w:val="20"/>
          <w:lang w:val="en-AU"/>
        </w:rPr>
        <w:t xml:space="preserve"> Pay $5 extra per month to receive unlimited VoiceMail deposits and retrievals. </w:t>
      </w:r>
      <w:r w:rsidR="009355C4">
        <w:rPr>
          <w:szCs w:val="20"/>
          <w:lang w:val="en-AU"/>
        </w:rPr>
        <w:t xml:space="preserve">The </w:t>
      </w:r>
      <w:r>
        <w:rPr>
          <w:szCs w:val="20"/>
          <w:lang w:val="en-AU"/>
        </w:rPr>
        <w:t>Fair Go</w:t>
      </w:r>
      <w:r>
        <w:rPr>
          <w:rFonts w:cs="DIN-Light"/>
          <w:color w:val="000000"/>
          <w:szCs w:val="20"/>
          <w:lang w:val="en-AU"/>
        </w:rPr>
        <w:t xml:space="preserve"> Policy applies.</w:t>
      </w:r>
    </w:p>
    <w:p w14:paraId="740DD8ED" w14:textId="77777777" w:rsidR="000D07EA" w:rsidRDefault="00BE7C89">
      <w:pPr>
        <w:pStyle w:val="Heading9"/>
        <w:rPr>
          <w:snapToGrid w:val="0"/>
          <w:szCs w:val="20"/>
          <w:lang w:val="en-AU"/>
        </w:rPr>
      </w:pPr>
      <w:r>
        <w:rPr>
          <w:b/>
          <w:szCs w:val="20"/>
          <w:lang w:val="en-AU"/>
        </w:rPr>
        <w:t>Smart OneRate Bolt On:</w:t>
      </w:r>
      <w:r>
        <w:rPr>
          <w:szCs w:val="20"/>
          <w:lang w:val="en-AU"/>
        </w:rPr>
        <w:t xml:space="preserve"> Pay $5 extra per month to receive 'yes' International One Rate rates. Flagfall of 27c applies per call. Excludes video calls. For more information on the 'yes' International One Rate call rates please refer to </w:t>
      </w:r>
      <w:hyperlink r:id="rId55" w:history="1">
        <w:r>
          <w:rPr>
            <w:rStyle w:val="Hyperlink"/>
            <w:i/>
            <w:szCs w:val="20"/>
          </w:rPr>
          <w:t>Appendix J</w:t>
        </w:r>
      </w:hyperlink>
      <w:r>
        <w:rPr>
          <w:i/>
          <w:szCs w:val="20"/>
          <w:lang w:val="en-AU"/>
        </w:rPr>
        <w:t>.</w:t>
      </w:r>
    </w:p>
    <w:p w14:paraId="5247E3B9" w14:textId="77777777" w:rsidR="000D07EA" w:rsidRDefault="00BE7C89">
      <w:pPr>
        <w:pStyle w:val="Heading9"/>
        <w:rPr>
          <w:snapToGrid w:val="0"/>
          <w:lang w:val="en-AU"/>
        </w:rPr>
      </w:pPr>
      <w:r>
        <w:rPr>
          <w:b/>
          <w:lang w:val="en-AU"/>
        </w:rPr>
        <w:t>Business Smart SurePage Bolt On:</w:t>
      </w:r>
      <w:r>
        <w:rPr>
          <w:lang w:val="en-AU"/>
        </w:rPr>
        <w:t xml:space="preserve"> Pay $5 extra per month to receive 20 SurePage messages. Each additional message costs 50c.</w:t>
      </w:r>
    </w:p>
    <w:p w14:paraId="2AF81224" w14:textId="77777777" w:rsidR="000D07EA" w:rsidRDefault="00BE7C89">
      <w:pPr>
        <w:pStyle w:val="Heading9"/>
        <w:rPr>
          <w:snapToGrid w:val="0"/>
          <w:lang w:val="en-AU"/>
        </w:rPr>
      </w:pPr>
      <w:r>
        <w:rPr>
          <w:b/>
          <w:lang w:val="en-AU"/>
        </w:rPr>
        <w:lastRenderedPageBreak/>
        <w:t>Smart SMS / MMS Bolt On:</w:t>
      </w:r>
      <w:r>
        <w:rPr>
          <w:lang w:val="en-AU"/>
        </w:rPr>
        <w:t xml:space="preserve"> Pay $5 extra per month to receive half priced SMS and MMS messages (normally 25¢) and an included $5 worth of SMS and MMS value. SMS and MMS must be sent and received in Australia.</w:t>
      </w:r>
    </w:p>
    <w:p w14:paraId="09DCB211" w14:textId="77777777" w:rsidR="000D07EA" w:rsidRDefault="00BE7C89">
      <w:pPr>
        <w:pStyle w:val="Heading8"/>
        <w:rPr>
          <w:snapToGrid w:val="0"/>
          <w:lang w:val="en-AU"/>
        </w:rPr>
      </w:pPr>
      <w:r>
        <w:rPr>
          <w:b/>
          <w:lang w:val="en-AU"/>
        </w:rPr>
        <w:t>Smart Data Plans:</w:t>
      </w:r>
      <w:r>
        <w:rPr>
          <w:lang w:val="en-AU"/>
        </w:rPr>
        <w:t xml:space="preserve"> Upon request customers may select a Smart Data Plan Bolt On of 1GB, 2GB or 6GB. Customers will be re</w:t>
      </w:r>
      <w:r>
        <w:rPr>
          <w:szCs w:val="20"/>
          <w:lang w:val="en-AU"/>
        </w:rPr>
        <w:t xml:space="preserve">quired to pay each month the minimum monthly spend for the specific data plan they choose, please refer to </w:t>
      </w:r>
      <w:hyperlink r:id="rId56" w:history="1">
        <w:r>
          <w:rPr>
            <w:rStyle w:val="Hyperlink"/>
            <w:i/>
            <w:szCs w:val="20"/>
          </w:rPr>
          <w:t>Appendix Y</w:t>
        </w:r>
      </w:hyperlink>
      <w:r>
        <w:rPr>
          <w:szCs w:val="20"/>
          <w:lang w:val="en-AU"/>
        </w:rPr>
        <w:t xml:space="preserve"> for more information on monthly fees. Not included within Cap plans. Customers are required to use a GPRS capable device. SMS Alerts, Ring Tones, Screen Logos, Picture Messages, Mobile Games, MMS Select Standard and MMS Select Premiu</w:t>
      </w:r>
      <w:r>
        <w:rPr>
          <w:lang w:val="en-AU"/>
        </w:rPr>
        <w:t>m content charges are also additional charges.</w:t>
      </w:r>
    </w:p>
    <w:p w14:paraId="72A7F87C" w14:textId="77777777" w:rsidR="000D07EA" w:rsidRDefault="00BE7C89">
      <w:pPr>
        <w:pStyle w:val="Heading7"/>
        <w:rPr>
          <w:snapToGrid w:val="0"/>
          <w:lang w:val="en-AU" w:eastAsia="en-AU"/>
        </w:rPr>
      </w:pPr>
      <w:r>
        <w:rPr>
          <w:snapToGrid w:val="0"/>
          <w:lang w:val="en-AU" w:eastAsia="en-AU"/>
        </w:rPr>
        <w:t>Table 1A below indicates whether a particular call type is an 'eligible call' which counts towards the Minimum Monthly Charge of your selected Plan.</w:t>
      </w:r>
    </w:p>
    <w:p w14:paraId="30F4A3BC" w14:textId="77777777" w:rsidR="000D07EA" w:rsidRDefault="00BE7C89">
      <w:pPr>
        <w:pStyle w:val="BodyText"/>
        <w:ind w:left="1440"/>
        <w:rPr>
          <w:b/>
          <w:snapToGrid w:val="0"/>
          <w:lang w:val="en-AU"/>
        </w:rPr>
      </w:pPr>
      <w:r>
        <w:rPr>
          <w:b/>
          <w:snapToGrid w:val="0"/>
          <w:lang w:val="en-AU"/>
        </w:rPr>
        <w:t>Table 1A</w:t>
      </w:r>
    </w:p>
    <w:tbl>
      <w:tblPr>
        <w:tblW w:w="7463" w:type="dxa"/>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4500"/>
        <w:gridCol w:w="2963"/>
      </w:tblGrid>
      <w:tr w:rsidR="000D07EA" w14:paraId="1B32D41A" w14:textId="77777777">
        <w:trPr>
          <w:tblHeader/>
        </w:trPr>
        <w:tc>
          <w:tcPr>
            <w:tcW w:w="4500" w:type="dxa"/>
          </w:tcPr>
          <w:p w14:paraId="343A3259" w14:textId="77777777" w:rsidR="000D07EA" w:rsidRDefault="00BE7C89">
            <w:pPr>
              <w:pStyle w:val="BodyText"/>
              <w:spacing w:before="100" w:after="100"/>
              <w:rPr>
                <w:b/>
                <w:lang w:val="en-AU"/>
              </w:rPr>
            </w:pPr>
            <w:r>
              <w:rPr>
                <w:b/>
                <w:lang w:val="en-AU"/>
              </w:rPr>
              <w:t>Call Type</w:t>
            </w:r>
          </w:p>
        </w:tc>
        <w:tc>
          <w:tcPr>
            <w:tcW w:w="2963" w:type="dxa"/>
          </w:tcPr>
          <w:p w14:paraId="37AA4C03" w14:textId="77777777" w:rsidR="000D07EA" w:rsidRDefault="00BE7C89">
            <w:pPr>
              <w:pStyle w:val="BodyText"/>
              <w:spacing w:before="100" w:after="100"/>
              <w:rPr>
                <w:b/>
                <w:lang w:val="en-AU"/>
              </w:rPr>
            </w:pPr>
            <w:r>
              <w:rPr>
                <w:b/>
                <w:lang w:val="en-AU"/>
              </w:rPr>
              <w:t>Eligible Call</w:t>
            </w:r>
          </w:p>
        </w:tc>
      </w:tr>
      <w:tr w:rsidR="000D07EA" w14:paraId="33709FE1" w14:textId="77777777">
        <w:tc>
          <w:tcPr>
            <w:tcW w:w="4500" w:type="dxa"/>
          </w:tcPr>
          <w:p w14:paraId="07FFA817" w14:textId="77777777" w:rsidR="000D07EA" w:rsidRDefault="00BE7C89">
            <w:pPr>
              <w:pStyle w:val="BodyText"/>
              <w:spacing w:before="100" w:after="100"/>
              <w:rPr>
                <w:lang w:val="en-AU"/>
              </w:rPr>
            </w:pPr>
            <w:r>
              <w:rPr>
                <w:lang w:val="en-AU"/>
              </w:rPr>
              <w:t>National Voice Calls</w:t>
            </w:r>
          </w:p>
        </w:tc>
        <w:tc>
          <w:tcPr>
            <w:tcW w:w="2963" w:type="dxa"/>
          </w:tcPr>
          <w:p w14:paraId="75E02822" w14:textId="77777777" w:rsidR="000D07EA" w:rsidRDefault="00BE7C89">
            <w:pPr>
              <w:pStyle w:val="BodyText"/>
              <w:spacing w:before="100" w:after="100"/>
              <w:rPr>
                <w:lang w:val="en-AU"/>
              </w:rPr>
            </w:pPr>
            <w:r>
              <w:rPr>
                <w:lang w:val="en-AU"/>
              </w:rPr>
              <w:t>Yes</w:t>
            </w:r>
          </w:p>
        </w:tc>
      </w:tr>
      <w:tr w:rsidR="000D07EA" w14:paraId="10B75056" w14:textId="77777777">
        <w:tc>
          <w:tcPr>
            <w:tcW w:w="4500" w:type="dxa"/>
          </w:tcPr>
          <w:p w14:paraId="02B25A93" w14:textId="77777777" w:rsidR="000D07EA" w:rsidRDefault="00BE7C89">
            <w:pPr>
              <w:pStyle w:val="BodyText"/>
              <w:spacing w:before="100" w:after="100"/>
              <w:rPr>
                <w:lang w:val="en-AU"/>
              </w:rPr>
            </w:pPr>
            <w:r>
              <w:rPr>
                <w:lang w:val="en-AU"/>
              </w:rPr>
              <w:t>National Video Calls</w:t>
            </w:r>
          </w:p>
        </w:tc>
        <w:tc>
          <w:tcPr>
            <w:tcW w:w="2963" w:type="dxa"/>
          </w:tcPr>
          <w:p w14:paraId="0F497918" w14:textId="77777777" w:rsidR="000D07EA" w:rsidRDefault="00BE7C89">
            <w:pPr>
              <w:pStyle w:val="BodyText"/>
              <w:spacing w:before="100" w:after="100"/>
              <w:rPr>
                <w:lang w:val="en-AU"/>
              </w:rPr>
            </w:pPr>
            <w:r>
              <w:rPr>
                <w:lang w:val="en-AU"/>
              </w:rPr>
              <w:t>Yes</w:t>
            </w:r>
          </w:p>
        </w:tc>
      </w:tr>
      <w:tr w:rsidR="000D07EA" w14:paraId="1FD9C54F" w14:textId="77777777">
        <w:tc>
          <w:tcPr>
            <w:tcW w:w="4500" w:type="dxa"/>
          </w:tcPr>
          <w:p w14:paraId="6391A9B7" w14:textId="77777777" w:rsidR="000D07EA" w:rsidRDefault="00BE7C89">
            <w:pPr>
              <w:pStyle w:val="BodyText"/>
              <w:spacing w:before="100" w:after="100"/>
              <w:rPr>
                <w:lang w:val="en-AU"/>
              </w:rPr>
            </w:pPr>
            <w:r>
              <w:rPr>
                <w:lang w:val="en-AU"/>
              </w:rPr>
              <w:t>International Voice Calls</w:t>
            </w:r>
          </w:p>
          <w:p w14:paraId="6628AD57" w14:textId="77777777" w:rsidR="000D07EA" w:rsidRDefault="00BE7C89">
            <w:pPr>
              <w:pStyle w:val="BodyText"/>
              <w:spacing w:before="100" w:after="100"/>
              <w:rPr>
                <w:lang w:val="en-AU"/>
              </w:rPr>
            </w:pPr>
            <w:r>
              <w:rPr>
                <w:lang w:val="en-AU"/>
              </w:rPr>
              <w:t>(including calls to national fixed or GSM mobile services that then divert/switch or re-route overseas)</w:t>
            </w:r>
          </w:p>
        </w:tc>
        <w:tc>
          <w:tcPr>
            <w:tcW w:w="2963" w:type="dxa"/>
          </w:tcPr>
          <w:p w14:paraId="418ED6F8" w14:textId="77777777" w:rsidR="000D07EA" w:rsidRDefault="00BE7C89">
            <w:pPr>
              <w:pStyle w:val="BodyText"/>
              <w:spacing w:before="100" w:after="100"/>
              <w:rPr>
                <w:lang w:val="en-AU"/>
              </w:rPr>
            </w:pPr>
            <w:r>
              <w:rPr>
                <w:lang w:val="en-AU"/>
              </w:rPr>
              <w:t>No</w:t>
            </w:r>
          </w:p>
        </w:tc>
      </w:tr>
      <w:tr w:rsidR="000D07EA" w14:paraId="05C8B2E4" w14:textId="77777777">
        <w:tc>
          <w:tcPr>
            <w:tcW w:w="4500" w:type="dxa"/>
          </w:tcPr>
          <w:p w14:paraId="007319AE" w14:textId="77777777" w:rsidR="000D07EA" w:rsidRDefault="00BE7C89">
            <w:pPr>
              <w:pStyle w:val="BodyText"/>
              <w:spacing w:before="100" w:after="100"/>
              <w:rPr>
                <w:lang w:val="en-AU"/>
              </w:rPr>
            </w:pPr>
            <w:r>
              <w:rPr>
                <w:lang w:val="en-AU"/>
              </w:rPr>
              <w:t>International Video Calls</w:t>
            </w:r>
          </w:p>
          <w:p w14:paraId="5AACE19B" w14:textId="77777777" w:rsidR="000D07EA" w:rsidRDefault="00BE7C89">
            <w:pPr>
              <w:pStyle w:val="BodyText"/>
              <w:spacing w:before="100" w:after="100"/>
              <w:rPr>
                <w:lang w:val="en-AU"/>
              </w:rPr>
            </w:pPr>
            <w:r>
              <w:rPr>
                <w:lang w:val="en-AU"/>
              </w:rPr>
              <w:t>(including calls to national fixed or GSM mobile services that then divert/switch or re-route overseas)</w:t>
            </w:r>
          </w:p>
        </w:tc>
        <w:tc>
          <w:tcPr>
            <w:tcW w:w="2963" w:type="dxa"/>
          </w:tcPr>
          <w:p w14:paraId="3557D665" w14:textId="77777777" w:rsidR="000D07EA" w:rsidRDefault="00BE7C89">
            <w:pPr>
              <w:pStyle w:val="BodyText"/>
              <w:spacing w:before="100" w:after="100"/>
              <w:rPr>
                <w:lang w:val="en-AU"/>
              </w:rPr>
            </w:pPr>
            <w:r>
              <w:rPr>
                <w:lang w:val="en-AU"/>
              </w:rPr>
              <w:t>No</w:t>
            </w:r>
          </w:p>
        </w:tc>
      </w:tr>
      <w:tr w:rsidR="000D07EA" w14:paraId="12832BA7" w14:textId="77777777">
        <w:tc>
          <w:tcPr>
            <w:tcW w:w="4500" w:type="dxa"/>
          </w:tcPr>
          <w:p w14:paraId="7F839244" w14:textId="77777777" w:rsidR="000D07EA" w:rsidRDefault="00BE7C89">
            <w:pPr>
              <w:pStyle w:val="BodyText"/>
              <w:spacing w:before="100" w:after="100"/>
              <w:rPr>
                <w:lang w:val="en-AU"/>
              </w:rPr>
            </w:pPr>
            <w:r>
              <w:rPr>
                <w:lang w:val="en-AU"/>
              </w:rPr>
              <w:t>Premium Video</w:t>
            </w:r>
          </w:p>
        </w:tc>
        <w:tc>
          <w:tcPr>
            <w:tcW w:w="2963" w:type="dxa"/>
          </w:tcPr>
          <w:p w14:paraId="758F38CE" w14:textId="77777777" w:rsidR="000D07EA" w:rsidRDefault="00BE7C89">
            <w:pPr>
              <w:pStyle w:val="BodyText"/>
              <w:spacing w:before="100" w:after="100"/>
              <w:rPr>
                <w:lang w:val="en-AU"/>
              </w:rPr>
            </w:pPr>
            <w:r>
              <w:rPr>
                <w:lang w:val="en-AU"/>
              </w:rPr>
              <w:t>No</w:t>
            </w:r>
          </w:p>
        </w:tc>
      </w:tr>
      <w:tr w:rsidR="000D07EA" w14:paraId="03F1E9DF" w14:textId="77777777">
        <w:tc>
          <w:tcPr>
            <w:tcW w:w="4500" w:type="dxa"/>
          </w:tcPr>
          <w:p w14:paraId="4D2E6009" w14:textId="77777777" w:rsidR="000D07EA" w:rsidRDefault="00BE7C89">
            <w:pPr>
              <w:pStyle w:val="BodyText"/>
              <w:spacing w:before="100" w:after="100"/>
              <w:rPr>
                <w:lang w:val="en-AU"/>
              </w:rPr>
            </w:pPr>
            <w:r>
              <w:rPr>
                <w:lang w:val="en-AU"/>
              </w:rPr>
              <w:t>Content Video</w:t>
            </w:r>
          </w:p>
        </w:tc>
        <w:tc>
          <w:tcPr>
            <w:tcW w:w="2963" w:type="dxa"/>
          </w:tcPr>
          <w:p w14:paraId="07272638" w14:textId="77777777" w:rsidR="000D07EA" w:rsidRDefault="00BE7C89">
            <w:pPr>
              <w:pStyle w:val="BodyText"/>
              <w:spacing w:before="100" w:after="100"/>
              <w:rPr>
                <w:lang w:val="en-AU"/>
              </w:rPr>
            </w:pPr>
            <w:r>
              <w:rPr>
                <w:lang w:val="en-AU"/>
              </w:rPr>
              <w:t>No</w:t>
            </w:r>
          </w:p>
        </w:tc>
      </w:tr>
      <w:tr w:rsidR="000D07EA" w14:paraId="5BA1B3BA" w14:textId="77777777">
        <w:tc>
          <w:tcPr>
            <w:tcW w:w="4500" w:type="dxa"/>
          </w:tcPr>
          <w:p w14:paraId="72A5B3F9" w14:textId="77777777" w:rsidR="000D07EA" w:rsidRDefault="00BE7C89">
            <w:pPr>
              <w:pStyle w:val="BodyText"/>
              <w:spacing w:before="100" w:after="100"/>
              <w:rPr>
                <w:lang w:val="en-AU"/>
              </w:rPr>
            </w:pPr>
            <w:r>
              <w:rPr>
                <w:lang w:val="en-AU"/>
              </w:rPr>
              <w:t>National Standard SMS</w:t>
            </w:r>
          </w:p>
        </w:tc>
        <w:tc>
          <w:tcPr>
            <w:tcW w:w="2963" w:type="dxa"/>
          </w:tcPr>
          <w:p w14:paraId="59F65EDA" w14:textId="77777777" w:rsidR="000D07EA" w:rsidRDefault="00BE7C89">
            <w:pPr>
              <w:pStyle w:val="BodyText"/>
              <w:spacing w:before="100" w:after="100"/>
              <w:rPr>
                <w:lang w:val="en-AU"/>
              </w:rPr>
            </w:pPr>
            <w:r>
              <w:rPr>
                <w:lang w:val="en-AU"/>
              </w:rPr>
              <w:t>Yes</w:t>
            </w:r>
          </w:p>
        </w:tc>
      </w:tr>
      <w:tr w:rsidR="000D07EA" w14:paraId="50F3F24C" w14:textId="77777777">
        <w:tc>
          <w:tcPr>
            <w:tcW w:w="4500" w:type="dxa"/>
          </w:tcPr>
          <w:p w14:paraId="6578BAF0" w14:textId="77777777" w:rsidR="000D07EA" w:rsidRDefault="00BE7C89">
            <w:pPr>
              <w:pStyle w:val="BodyText"/>
              <w:spacing w:before="100" w:after="100"/>
              <w:rPr>
                <w:lang w:val="en-AU"/>
              </w:rPr>
            </w:pPr>
            <w:r>
              <w:rPr>
                <w:lang w:val="en-AU"/>
              </w:rPr>
              <w:t>International SMS</w:t>
            </w:r>
          </w:p>
        </w:tc>
        <w:tc>
          <w:tcPr>
            <w:tcW w:w="2963" w:type="dxa"/>
          </w:tcPr>
          <w:p w14:paraId="63A87741" w14:textId="77777777" w:rsidR="000D07EA" w:rsidRDefault="00BE7C89">
            <w:pPr>
              <w:pStyle w:val="BodyText"/>
              <w:spacing w:before="100" w:after="100"/>
              <w:rPr>
                <w:lang w:val="en-AU"/>
              </w:rPr>
            </w:pPr>
            <w:r>
              <w:rPr>
                <w:lang w:val="en-AU"/>
              </w:rPr>
              <w:t>No</w:t>
            </w:r>
          </w:p>
        </w:tc>
      </w:tr>
      <w:tr w:rsidR="000D07EA" w14:paraId="46A81E0B" w14:textId="77777777">
        <w:tc>
          <w:tcPr>
            <w:tcW w:w="4500" w:type="dxa"/>
          </w:tcPr>
          <w:p w14:paraId="39A326DA" w14:textId="77777777" w:rsidR="000D07EA" w:rsidRDefault="00BE7C89">
            <w:pPr>
              <w:pStyle w:val="BodyText"/>
              <w:spacing w:before="100" w:after="100"/>
              <w:rPr>
                <w:lang w:val="en-AU"/>
              </w:rPr>
            </w:pPr>
            <w:r>
              <w:rPr>
                <w:lang w:val="en-AU"/>
              </w:rPr>
              <w:t>Premium SMS</w:t>
            </w:r>
          </w:p>
        </w:tc>
        <w:tc>
          <w:tcPr>
            <w:tcW w:w="2963" w:type="dxa"/>
          </w:tcPr>
          <w:p w14:paraId="4316397C" w14:textId="77777777" w:rsidR="000D07EA" w:rsidRDefault="00BE7C89">
            <w:pPr>
              <w:pStyle w:val="BodyText"/>
              <w:spacing w:before="100" w:after="100"/>
              <w:rPr>
                <w:lang w:val="en-AU"/>
              </w:rPr>
            </w:pPr>
            <w:r>
              <w:rPr>
                <w:lang w:val="en-AU"/>
              </w:rPr>
              <w:t>No</w:t>
            </w:r>
          </w:p>
        </w:tc>
      </w:tr>
      <w:tr w:rsidR="000D07EA" w14:paraId="4A57D738" w14:textId="77777777">
        <w:tc>
          <w:tcPr>
            <w:tcW w:w="4500" w:type="dxa"/>
          </w:tcPr>
          <w:p w14:paraId="3A95573A" w14:textId="77777777" w:rsidR="000D07EA" w:rsidRDefault="00BE7C89">
            <w:pPr>
              <w:pStyle w:val="BodyText"/>
              <w:spacing w:before="100" w:after="100"/>
              <w:rPr>
                <w:lang w:val="en-AU"/>
              </w:rPr>
            </w:pPr>
            <w:r>
              <w:rPr>
                <w:lang w:val="en-AU"/>
              </w:rPr>
              <w:t>National MMS</w:t>
            </w:r>
          </w:p>
        </w:tc>
        <w:tc>
          <w:tcPr>
            <w:tcW w:w="2963" w:type="dxa"/>
          </w:tcPr>
          <w:p w14:paraId="0E400DA3" w14:textId="77777777" w:rsidR="000D07EA" w:rsidRDefault="00BE7C89">
            <w:pPr>
              <w:pStyle w:val="BodyText"/>
              <w:spacing w:before="100" w:after="100"/>
              <w:rPr>
                <w:lang w:val="en-AU"/>
              </w:rPr>
            </w:pPr>
            <w:r>
              <w:rPr>
                <w:lang w:val="en-AU"/>
              </w:rPr>
              <w:t>Yes</w:t>
            </w:r>
          </w:p>
        </w:tc>
      </w:tr>
      <w:tr w:rsidR="000D07EA" w14:paraId="38036D5E" w14:textId="77777777">
        <w:tc>
          <w:tcPr>
            <w:tcW w:w="4500" w:type="dxa"/>
          </w:tcPr>
          <w:p w14:paraId="26E8513E" w14:textId="77777777" w:rsidR="000D07EA" w:rsidRDefault="00BE7C89">
            <w:pPr>
              <w:pStyle w:val="BodyText"/>
              <w:spacing w:before="100" w:after="100"/>
              <w:rPr>
                <w:lang w:val="en-AU"/>
              </w:rPr>
            </w:pPr>
            <w:r>
              <w:rPr>
                <w:lang w:val="en-AU"/>
              </w:rPr>
              <w:t>International MMS</w:t>
            </w:r>
          </w:p>
        </w:tc>
        <w:tc>
          <w:tcPr>
            <w:tcW w:w="2963" w:type="dxa"/>
          </w:tcPr>
          <w:p w14:paraId="39817F75" w14:textId="77777777" w:rsidR="000D07EA" w:rsidRDefault="00BE7C89">
            <w:pPr>
              <w:pStyle w:val="BodyText"/>
              <w:spacing w:before="100" w:after="100"/>
              <w:rPr>
                <w:lang w:val="en-AU"/>
              </w:rPr>
            </w:pPr>
            <w:r>
              <w:rPr>
                <w:lang w:val="en-AU"/>
              </w:rPr>
              <w:t>No</w:t>
            </w:r>
          </w:p>
        </w:tc>
      </w:tr>
      <w:tr w:rsidR="000D07EA" w14:paraId="168F5583" w14:textId="77777777">
        <w:tc>
          <w:tcPr>
            <w:tcW w:w="4500" w:type="dxa"/>
          </w:tcPr>
          <w:p w14:paraId="76877C06" w14:textId="77777777" w:rsidR="000D07EA" w:rsidRDefault="00BE7C89">
            <w:pPr>
              <w:pStyle w:val="BodyText"/>
              <w:spacing w:before="100" w:after="100"/>
              <w:rPr>
                <w:lang w:val="en-AU"/>
              </w:rPr>
            </w:pPr>
            <w:r>
              <w:rPr>
                <w:lang w:val="en-AU"/>
              </w:rPr>
              <w:t>Premium MMS</w:t>
            </w:r>
          </w:p>
        </w:tc>
        <w:tc>
          <w:tcPr>
            <w:tcW w:w="2963" w:type="dxa"/>
          </w:tcPr>
          <w:p w14:paraId="46ADD9F5" w14:textId="77777777" w:rsidR="000D07EA" w:rsidRDefault="00BE7C89">
            <w:pPr>
              <w:pStyle w:val="BodyText"/>
              <w:spacing w:before="100" w:after="100"/>
              <w:rPr>
                <w:lang w:val="en-AU"/>
              </w:rPr>
            </w:pPr>
            <w:r>
              <w:rPr>
                <w:lang w:val="en-AU"/>
              </w:rPr>
              <w:t>No</w:t>
            </w:r>
          </w:p>
        </w:tc>
      </w:tr>
      <w:tr w:rsidR="000D07EA" w14:paraId="1096AC9E" w14:textId="77777777">
        <w:tc>
          <w:tcPr>
            <w:tcW w:w="4500" w:type="dxa"/>
          </w:tcPr>
          <w:p w14:paraId="13D03D56" w14:textId="77777777" w:rsidR="000D07EA" w:rsidRDefault="00BE7C89">
            <w:pPr>
              <w:pStyle w:val="BodyText"/>
              <w:spacing w:before="100" w:after="100"/>
              <w:rPr>
                <w:lang w:val="en-AU"/>
              </w:rPr>
            </w:pPr>
            <w:r>
              <w:rPr>
                <w:lang w:val="en-AU"/>
              </w:rPr>
              <w:t>Voicemail Diversions</w:t>
            </w:r>
          </w:p>
        </w:tc>
        <w:tc>
          <w:tcPr>
            <w:tcW w:w="2963" w:type="dxa"/>
          </w:tcPr>
          <w:p w14:paraId="36CDCF4E" w14:textId="77777777" w:rsidR="000D07EA" w:rsidRDefault="00BE7C89">
            <w:pPr>
              <w:pStyle w:val="BodyText"/>
              <w:spacing w:before="100" w:after="100"/>
              <w:rPr>
                <w:lang w:val="en-AU"/>
              </w:rPr>
            </w:pPr>
            <w:r>
              <w:rPr>
                <w:lang w:val="en-AU"/>
              </w:rPr>
              <w:t>Yes</w:t>
            </w:r>
          </w:p>
        </w:tc>
      </w:tr>
      <w:tr w:rsidR="000D07EA" w14:paraId="1C1FD8AC" w14:textId="77777777">
        <w:tc>
          <w:tcPr>
            <w:tcW w:w="4500" w:type="dxa"/>
          </w:tcPr>
          <w:p w14:paraId="7F68F599" w14:textId="77777777" w:rsidR="000D07EA" w:rsidRDefault="00BE7C89">
            <w:pPr>
              <w:pStyle w:val="BodyText"/>
              <w:spacing w:before="100" w:after="100"/>
              <w:rPr>
                <w:lang w:val="en-AU"/>
              </w:rPr>
            </w:pPr>
            <w:r>
              <w:rPr>
                <w:lang w:val="en-AU"/>
              </w:rPr>
              <w:t>Voicemail Deposit and Retrievals</w:t>
            </w:r>
          </w:p>
        </w:tc>
        <w:tc>
          <w:tcPr>
            <w:tcW w:w="2963" w:type="dxa"/>
          </w:tcPr>
          <w:p w14:paraId="78A2E45E" w14:textId="77777777" w:rsidR="000D07EA" w:rsidRDefault="00BE7C89">
            <w:pPr>
              <w:pStyle w:val="BodyText"/>
              <w:spacing w:before="100" w:after="100"/>
              <w:rPr>
                <w:lang w:val="en-AU"/>
              </w:rPr>
            </w:pPr>
            <w:r>
              <w:rPr>
                <w:lang w:val="en-AU"/>
              </w:rPr>
              <w:t>Yes</w:t>
            </w:r>
          </w:p>
        </w:tc>
      </w:tr>
      <w:tr w:rsidR="000D07EA" w14:paraId="15FD9966" w14:textId="77777777">
        <w:tc>
          <w:tcPr>
            <w:tcW w:w="4500" w:type="dxa"/>
          </w:tcPr>
          <w:p w14:paraId="0CC7EEF7" w14:textId="77777777" w:rsidR="000D07EA" w:rsidRDefault="00BE7C89">
            <w:pPr>
              <w:pStyle w:val="BodyText"/>
              <w:spacing w:before="100" w:after="100"/>
              <w:rPr>
                <w:lang w:val="en-AU"/>
              </w:rPr>
            </w:pPr>
            <w:r>
              <w:rPr>
                <w:lang w:val="en-AU"/>
              </w:rPr>
              <w:t>International Roaming and Diversions</w:t>
            </w:r>
          </w:p>
        </w:tc>
        <w:tc>
          <w:tcPr>
            <w:tcW w:w="2963" w:type="dxa"/>
          </w:tcPr>
          <w:p w14:paraId="6D274136" w14:textId="77777777" w:rsidR="000D07EA" w:rsidRDefault="00BE7C89">
            <w:pPr>
              <w:pStyle w:val="BodyText"/>
              <w:spacing w:before="100" w:after="100"/>
              <w:rPr>
                <w:lang w:val="en-AU"/>
              </w:rPr>
            </w:pPr>
            <w:r>
              <w:rPr>
                <w:lang w:val="en-AU"/>
              </w:rPr>
              <w:t>No</w:t>
            </w:r>
          </w:p>
        </w:tc>
      </w:tr>
      <w:tr w:rsidR="000D07EA" w14:paraId="11A79362" w14:textId="77777777">
        <w:tc>
          <w:tcPr>
            <w:tcW w:w="4500" w:type="dxa"/>
          </w:tcPr>
          <w:p w14:paraId="3CF29D5F" w14:textId="77777777" w:rsidR="000D07EA" w:rsidRDefault="00BE7C89">
            <w:pPr>
              <w:pStyle w:val="BodyText"/>
              <w:spacing w:before="100" w:after="100"/>
              <w:rPr>
                <w:lang w:val="en-AU"/>
              </w:rPr>
            </w:pPr>
            <w:r>
              <w:rPr>
                <w:lang w:val="en-AU"/>
              </w:rPr>
              <w:t>Video Conferencing</w:t>
            </w:r>
          </w:p>
        </w:tc>
        <w:tc>
          <w:tcPr>
            <w:tcW w:w="2963" w:type="dxa"/>
          </w:tcPr>
          <w:p w14:paraId="428C0BA5" w14:textId="77777777" w:rsidR="000D07EA" w:rsidRDefault="00BE7C89">
            <w:pPr>
              <w:pStyle w:val="BodyText"/>
              <w:spacing w:before="100" w:after="100"/>
              <w:rPr>
                <w:lang w:val="en-AU"/>
              </w:rPr>
            </w:pPr>
            <w:r>
              <w:rPr>
                <w:lang w:val="en-AU"/>
              </w:rPr>
              <w:t>No</w:t>
            </w:r>
          </w:p>
        </w:tc>
      </w:tr>
      <w:tr w:rsidR="000D07EA" w14:paraId="0E59DB22" w14:textId="77777777">
        <w:tc>
          <w:tcPr>
            <w:tcW w:w="4500" w:type="dxa"/>
          </w:tcPr>
          <w:p w14:paraId="64CDD34B" w14:textId="77777777" w:rsidR="000D07EA" w:rsidRDefault="00BE7C89">
            <w:pPr>
              <w:pStyle w:val="BodyText"/>
              <w:spacing w:before="100" w:after="100"/>
              <w:rPr>
                <w:lang w:val="en-AU"/>
              </w:rPr>
            </w:pPr>
            <w:r>
              <w:rPr>
                <w:lang w:val="en-AU"/>
              </w:rPr>
              <w:t>BlackBerry Email</w:t>
            </w:r>
          </w:p>
        </w:tc>
        <w:tc>
          <w:tcPr>
            <w:tcW w:w="2963" w:type="dxa"/>
          </w:tcPr>
          <w:p w14:paraId="472FC308" w14:textId="77777777" w:rsidR="000D07EA" w:rsidRDefault="00BE7C89">
            <w:pPr>
              <w:pStyle w:val="BodyText"/>
              <w:spacing w:before="100" w:after="100"/>
              <w:rPr>
                <w:lang w:val="en-AU"/>
              </w:rPr>
            </w:pPr>
            <w:r>
              <w:rPr>
                <w:lang w:val="en-AU"/>
              </w:rPr>
              <w:t>No</w:t>
            </w:r>
          </w:p>
        </w:tc>
      </w:tr>
      <w:tr w:rsidR="000D07EA" w14:paraId="0700DF04" w14:textId="77777777">
        <w:tc>
          <w:tcPr>
            <w:tcW w:w="4500" w:type="dxa"/>
          </w:tcPr>
          <w:p w14:paraId="283856EF" w14:textId="77777777" w:rsidR="000D07EA" w:rsidRDefault="00BE7C89">
            <w:pPr>
              <w:pStyle w:val="BodyText"/>
              <w:spacing w:before="100" w:after="100"/>
              <w:rPr>
                <w:lang w:val="en-AU"/>
              </w:rPr>
            </w:pPr>
            <w:r>
              <w:rPr>
                <w:lang w:val="en-AU"/>
              </w:rPr>
              <w:t>Optus Zoo Browsing</w:t>
            </w:r>
          </w:p>
        </w:tc>
        <w:tc>
          <w:tcPr>
            <w:tcW w:w="2963" w:type="dxa"/>
          </w:tcPr>
          <w:p w14:paraId="146BCF6A" w14:textId="77777777" w:rsidR="000D07EA" w:rsidRDefault="00BE7C89">
            <w:pPr>
              <w:pStyle w:val="BodyText"/>
              <w:spacing w:before="100" w:after="100"/>
              <w:rPr>
                <w:lang w:val="en-AU"/>
              </w:rPr>
            </w:pPr>
            <w:r>
              <w:rPr>
                <w:lang w:val="en-AU"/>
              </w:rPr>
              <w:t>No</w:t>
            </w:r>
          </w:p>
        </w:tc>
      </w:tr>
      <w:tr w:rsidR="000D07EA" w14:paraId="578E2422" w14:textId="77777777">
        <w:tc>
          <w:tcPr>
            <w:tcW w:w="4500" w:type="dxa"/>
          </w:tcPr>
          <w:p w14:paraId="47785732" w14:textId="77777777" w:rsidR="000D07EA" w:rsidRDefault="00BE7C89">
            <w:pPr>
              <w:pStyle w:val="BodyText"/>
              <w:spacing w:before="100" w:after="100"/>
              <w:rPr>
                <w:lang w:val="en-AU"/>
              </w:rPr>
            </w:pPr>
            <w:r>
              <w:rPr>
                <w:lang w:val="en-AU"/>
              </w:rPr>
              <w:lastRenderedPageBreak/>
              <w:t>Optus Zoo Downloads</w:t>
            </w:r>
          </w:p>
        </w:tc>
        <w:tc>
          <w:tcPr>
            <w:tcW w:w="2963" w:type="dxa"/>
          </w:tcPr>
          <w:p w14:paraId="6EB60296" w14:textId="77777777" w:rsidR="000D07EA" w:rsidRDefault="00BE7C89">
            <w:pPr>
              <w:pStyle w:val="BodyText"/>
              <w:spacing w:before="100" w:after="100"/>
              <w:rPr>
                <w:lang w:val="en-AU"/>
              </w:rPr>
            </w:pPr>
            <w:r>
              <w:rPr>
                <w:lang w:val="en-AU"/>
              </w:rPr>
              <w:t>No</w:t>
            </w:r>
          </w:p>
        </w:tc>
      </w:tr>
      <w:tr w:rsidR="000D07EA" w14:paraId="6F80EA0C" w14:textId="77777777">
        <w:tc>
          <w:tcPr>
            <w:tcW w:w="4500" w:type="dxa"/>
          </w:tcPr>
          <w:p w14:paraId="030D1F12" w14:textId="77777777" w:rsidR="000D07EA" w:rsidRDefault="00BE7C89">
            <w:pPr>
              <w:pStyle w:val="BodyText"/>
              <w:spacing w:before="100" w:after="100"/>
              <w:rPr>
                <w:lang w:val="en-AU"/>
              </w:rPr>
            </w:pPr>
            <w:r>
              <w:rPr>
                <w:lang w:val="en-AU"/>
              </w:rPr>
              <w:t>966* Zoo</w:t>
            </w:r>
          </w:p>
        </w:tc>
        <w:tc>
          <w:tcPr>
            <w:tcW w:w="2963" w:type="dxa"/>
          </w:tcPr>
          <w:p w14:paraId="296DAC8A" w14:textId="77777777" w:rsidR="000D07EA" w:rsidRDefault="00BE7C89">
            <w:pPr>
              <w:pStyle w:val="BodyText"/>
              <w:spacing w:before="100" w:after="100"/>
              <w:rPr>
                <w:lang w:val="en-AU"/>
              </w:rPr>
            </w:pPr>
            <w:r>
              <w:rPr>
                <w:lang w:val="en-AU"/>
              </w:rPr>
              <w:t>No</w:t>
            </w:r>
          </w:p>
        </w:tc>
      </w:tr>
      <w:tr w:rsidR="000D07EA" w14:paraId="0A574D9D" w14:textId="77777777">
        <w:tc>
          <w:tcPr>
            <w:tcW w:w="4500" w:type="dxa"/>
          </w:tcPr>
          <w:p w14:paraId="3F9FBCE1" w14:textId="77777777" w:rsidR="000D07EA" w:rsidRDefault="00BE7C89">
            <w:pPr>
              <w:pStyle w:val="BodyText"/>
              <w:spacing w:before="100" w:after="100"/>
              <w:rPr>
                <w:lang w:val="en-AU"/>
              </w:rPr>
            </w:pPr>
            <w:r>
              <w:rPr>
                <w:lang w:val="en-AU"/>
              </w:rPr>
              <w:t>Mobile Internet usage</w:t>
            </w:r>
          </w:p>
        </w:tc>
        <w:tc>
          <w:tcPr>
            <w:tcW w:w="2963" w:type="dxa"/>
          </w:tcPr>
          <w:p w14:paraId="6E1DDA94" w14:textId="77777777" w:rsidR="000D07EA" w:rsidRDefault="00BE7C89">
            <w:pPr>
              <w:pStyle w:val="BodyText"/>
              <w:spacing w:before="100" w:after="100"/>
              <w:rPr>
                <w:lang w:val="en-AU"/>
              </w:rPr>
            </w:pPr>
            <w:r>
              <w:rPr>
                <w:lang w:val="en-AU"/>
              </w:rPr>
              <w:t>No</w:t>
            </w:r>
          </w:p>
        </w:tc>
      </w:tr>
      <w:tr w:rsidR="000D07EA" w14:paraId="3AC7ED8C" w14:textId="77777777">
        <w:tc>
          <w:tcPr>
            <w:tcW w:w="4500" w:type="dxa"/>
          </w:tcPr>
          <w:p w14:paraId="52493E99" w14:textId="77777777" w:rsidR="000D07EA" w:rsidRDefault="00BE7C89">
            <w:pPr>
              <w:pStyle w:val="BodyText"/>
              <w:spacing w:before="100" w:after="100"/>
              <w:rPr>
                <w:lang w:val="en-AU"/>
              </w:rPr>
            </w:pPr>
            <w:r>
              <w:rPr>
                <w:lang w:val="en-AU"/>
              </w:rPr>
              <w:t>Data used while roaming internationally</w:t>
            </w:r>
          </w:p>
        </w:tc>
        <w:tc>
          <w:tcPr>
            <w:tcW w:w="2963" w:type="dxa"/>
          </w:tcPr>
          <w:p w14:paraId="5EF3671F" w14:textId="77777777" w:rsidR="000D07EA" w:rsidRDefault="00BE7C89">
            <w:pPr>
              <w:pStyle w:val="BodyText"/>
              <w:spacing w:before="100" w:after="100"/>
              <w:rPr>
                <w:lang w:val="en-AU"/>
              </w:rPr>
            </w:pPr>
            <w:r>
              <w:rPr>
                <w:lang w:val="en-AU"/>
              </w:rPr>
              <w:t>No</w:t>
            </w:r>
          </w:p>
        </w:tc>
      </w:tr>
      <w:tr w:rsidR="000D07EA" w14:paraId="6E1D876F" w14:textId="77777777">
        <w:tc>
          <w:tcPr>
            <w:tcW w:w="4500" w:type="dxa"/>
          </w:tcPr>
          <w:p w14:paraId="22F0F32C" w14:textId="77777777" w:rsidR="000D07EA" w:rsidRDefault="00BE7C89">
            <w:pPr>
              <w:pStyle w:val="BodyText"/>
              <w:spacing w:before="100" w:after="100"/>
              <w:rPr>
                <w:lang w:val="en-AU"/>
              </w:rPr>
            </w:pPr>
            <w:r>
              <w:rPr>
                <w:lang w:val="en-AU"/>
              </w:rPr>
              <w:t>Content Packs</w:t>
            </w:r>
          </w:p>
        </w:tc>
        <w:tc>
          <w:tcPr>
            <w:tcW w:w="2963" w:type="dxa"/>
          </w:tcPr>
          <w:p w14:paraId="10AD9443" w14:textId="77777777" w:rsidR="000D07EA" w:rsidRDefault="00BE7C89">
            <w:pPr>
              <w:pStyle w:val="BodyText"/>
              <w:spacing w:before="100" w:after="100"/>
              <w:rPr>
                <w:lang w:val="en-AU"/>
              </w:rPr>
            </w:pPr>
            <w:r>
              <w:rPr>
                <w:lang w:val="en-AU"/>
              </w:rPr>
              <w:t>No</w:t>
            </w:r>
          </w:p>
        </w:tc>
      </w:tr>
      <w:tr w:rsidR="000D07EA" w14:paraId="4CCD6BD6" w14:textId="77777777">
        <w:tc>
          <w:tcPr>
            <w:tcW w:w="4500" w:type="dxa"/>
          </w:tcPr>
          <w:p w14:paraId="7DE196E5" w14:textId="77777777" w:rsidR="000D07EA" w:rsidRDefault="00BE7C89">
            <w:pPr>
              <w:pStyle w:val="BodyText"/>
              <w:spacing w:before="100" w:after="100"/>
              <w:rPr>
                <w:lang w:val="en-AU"/>
              </w:rPr>
            </w:pPr>
            <w:r>
              <w:rPr>
                <w:lang w:val="en-AU"/>
              </w:rPr>
              <w:t>Mobile Instant Messaging – IM</w:t>
            </w:r>
          </w:p>
        </w:tc>
        <w:tc>
          <w:tcPr>
            <w:tcW w:w="2963" w:type="dxa"/>
          </w:tcPr>
          <w:p w14:paraId="5266CCD8" w14:textId="77777777" w:rsidR="000D07EA" w:rsidRDefault="00BE7C89">
            <w:pPr>
              <w:pStyle w:val="BodyText"/>
              <w:spacing w:before="100" w:after="100"/>
              <w:rPr>
                <w:lang w:val="en-AU"/>
              </w:rPr>
            </w:pPr>
            <w:r>
              <w:rPr>
                <w:lang w:val="en-AU"/>
              </w:rPr>
              <w:t>No</w:t>
            </w:r>
          </w:p>
        </w:tc>
      </w:tr>
      <w:tr w:rsidR="000D07EA" w14:paraId="7CC4F8E2" w14:textId="77777777">
        <w:tc>
          <w:tcPr>
            <w:tcW w:w="4500" w:type="dxa"/>
          </w:tcPr>
          <w:p w14:paraId="7FAEC3C2" w14:textId="77777777" w:rsidR="000D07EA" w:rsidRDefault="00BE7C89">
            <w:pPr>
              <w:pStyle w:val="BodyText"/>
              <w:spacing w:before="100" w:after="100"/>
              <w:rPr>
                <w:lang w:val="en-AU"/>
              </w:rPr>
            </w:pPr>
            <w:r>
              <w:rPr>
                <w:lang w:val="en-AU"/>
              </w:rPr>
              <w:t>TrueLocal Usage</w:t>
            </w:r>
          </w:p>
        </w:tc>
        <w:tc>
          <w:tcPr>
            <w:tcW w:w="2963" w:type="dxa"/>
          </w:tcPr>
          <w:p w14:paraId="6E98F391" w14:textId="77777777" w:rsidR="000D07EA" w:rsidRDefault="00BE7C89">
            <w:pPr>
              <w:pStyle w:val="BodyText"/>
              <w:spacing w:before="100" w:after="100"/>
              <w:rPr>
                <w:lang w:val="en-AU"/>
              </w:rPr>
            </w:pPr>
            <w:r>
              <w:rPr>
                <w:lang w:val="en-AU"/>
              </w:rPr>
              <w:t>No</w:t>
            </w:r>
          </w:p>
        </w:tc>
      </w:tr>
      <w:tr w:rsidR="000D07EA" w14:paraId="2A74BE6D" w14:textId="77777777">
        <w:tc>
          <w:tcPr>
            <w:tcW w:w="4500" w:type="dxa"/>
          </w:tcPr>
          <w:p w14:paraId="2B8CF601" w14:textId="77777777" w:rsidR="000D07EA" w:rsidRDefault="00BE7C89">
            <w:pPr>
              <w:pStyle w:val="BodyText"/>
              <w:spacing w:before="100" w:after="100"/>
              <w:rPr>
                <w:lang w:val="en-AU"/>
              </w:rPr>
            </w:pPr>
            <w:r>
              <w:rPr>
                <w:lang w:val="en-AU"/>
              </w:rPr>
              <w:t>Directory Assistance – 1223</w:t>
            </w:r>
          </w:p>
        </w:tc>
        <w:tc>
          <w:tcPr>
            <w:tcW w:w="2963" w:type="dxa"/>
          </w:tcPr>
          <w:p w14:paraId="59C66099" w14:textId="77777777" w:rsidR="000D07EA" w:rsidRDefault="00BE7C89">
            <w:pPr>
              <w:pStyle w:val="BodyText"/>
              <w:spacing w:before="100" w:after="100"/>
              <w:rPr>
                <w:lang w:val="en-AU"/>
              </w:rPr>
            </w:pPr>
            <w:r>
              <w:rPr>
                <w:lang w:val="en-AU"/>
              </w:rPr>
              <w:t>No</w:t>
            </w:r>
          </w:p>
        </w:tc>
      </w:tr>
      <w:tr w:rsidR="000D07EA" w14:paraId="4FC90EF5" w14:textId="77777777">
        <w:tc>
          <w:tcPr>
            <w:tcW w:w="4500" w:type="dxa"/>
          </w:tcPr>
          <w:p w14:paraId="5BBA2434" w14:textId="77777777" w:rsidR="000D07EA" w:rsidRDefault="00BE7C89">
            <w:pPr>
              <w:pStyle w:val="BodyText"/>
              <w:spacing w:before="100" w:after="100"/>
              <w:rPr>
                <w:lang w:val="en-AU"/>
              </w:rPr>
            </w:pPr>
            <w:r>
              <w:rPr>
                <w:lang w:val="en-AU"/>
              </w:rPr>
              <w:t>19xx Numbers</w:t>
            </w:r>
          </w:p>
        </w:tc>
        <w:tc>
          <w:tcPr>
            <w:tcW w:w="2963" w:type="dxa"/>
          </w:tcPr>
          <w:p w14:paraId="0F0BB91C" w14:textId="77777777" w:rsidR="000D07EA" w:rsidRDefault="00BE7C89">
            <w:pPr>
              <w:pStyle w:val="BodyText"/>
              <w:spacing w:before="100" w:after="100"/>
              <w:rPr>
                <w:lang w:val="en-AU"/>
              </w:rPr>
            </w:pPr>
            <w:r>
              <w:rPr>
                <w:lang w:val="en-AU"/>
              </w:rPr>
              <w:t>No</w:t>
            </w:r>
          </w:p>
        </w:tc>
      </w:tr>
      <w:tr w:rsidR="000D07EA" w14:paraId="3E3D9149" w14:textId="77777777">
        <w:tc>
          <w:tcPr>
            <w:tcW w:w="4500" w:type="dxa"/>
          </w:tcPr>
          <w:p w14:paraId="6F4FB826" w14:textId="77777777" w:rsidR="000D07EA" w:rsidRDefault="00BE7C89">
            <w:pPr>
              <w:pStyle w:val="BodyText"/>
              <w:spacing w:before="100" w:after="100"/>
              <w:rPr>
                <w:lang w:val="en-AU"/>
              </w:rPr>
            </w:pPr>
            <w:r>
              <w:rPr>
                <w:lang w:val="en-AU"/>
              </w:rPr>
              <w:t>1800, 13 and 1300 Numbers</w:t>
            </w:r>
          </w:p>
        </w:tc>
        <w:tc>
          <w:tcPr>
            <w:tcW w:w="2963" w:type="dxa"/>
          </w:tcPr>
          <w:p w14:paraId="60588044" w14:textId="77777777" w:rsidR="000D07EA" w:rsidRDefault="00BE7C89">
            <w:pPr>
              <w:pStyle w:val="BodyText"/>
              <w:spacing w:before="100" w:after="100"/>
              <w:rPr>
                <w:lang w:val="en-AU"/>
              </w:rPr>
            </w:pPr>
            <w:r>
              <w:rPr>
                <w:lang w:val="en-AU"/>
              </w:rPr>
              <w:t>Yes</w:t>
            </w:r>
          </w:p>
        </w:tc>
      </w:tr>
      <w:tr w:rsidR="000D07EA" w14:paraId="7F02BA8F" w14:textId="77777777">
        <w:tc>
          <w:tcPr>
            <w:tcW w:w="4500" w:type="dxa"/>
          </w:tcPr>
          <w:p w14:paraId="5AFB7C87" w14:textId="77777777" w:rsidR="000D07EA" w:rsidRDefault="00BE7C89">
            <w:pPr>
              <w:pStyle w:val="BodyText"/>
              <w:spacing w:before="100" w:after="100"/>
              <w:rPr>
                <w:lang w:val="en-AU"/>
              </w:rPr>
            </w:pPr>
            <w:r>
              <w:rPr>
                <w:lang w:val="en-AU"/>
              </w:rPr>
              <w:t>124YES(937)</w:t>
            </w:r>
          </w:p>
        </w:tc>
        <w:tc>
          <w:tcPr>
            <w:tcW w:w="2963" w:type="dxa"/>
          </w:tcPr>
          <w:p w14:paraId="7CE52D2B" w14:textId="77777777" w:rsidR="000D07EA" w:rsidRDefault="00BE7C89">
            <w:pPr>
              <w:pStyle w:val="BodyText"/>
              <w:spacing w:before="100" w:after="100"/>
              <w:rPr>
                <w:lang w:val="en-AU"/>
              </w:rPr>
            </w:pPr>
            <w:r>
              <w:rPr>
                <w:lang w:val="en-AU"/>
              </w:rPr>
              <w:t>Yes</w:t>
            </w:r>
          </w:p>
        </w:tc>
      </w:tr>
      <w:tr w:rsidR="000D07EA" w14:paraId="2078C160" w14:textId="77777777">
        <w:tc>
          <w:tcPr>
            <w:tcW w:w="4500" w:type="dxa"/>
          </w:tcPr>
          <w:p w14:paraId="26BC0E8A" w14:textId="77777777" w:rsidR="000D07EA" w:rsidRDefault="00BE7C89">
            <w:pPr>
              <w:pStyle w:val="BodyText"/>
              <w:spacing w:before="100" w:after="100"/>
              <w:rPr>
                <w:lang w:val="en-AU"/>
              </w:rPr>
            </w:pPr>
            <w:r>
              <w:rPr>
                <w:lang w:val="en-AU"/>
              </w:rPr>
              <w:t>Fax and Data</w:t>
            </w:r>
          </w:p>
        </w:tc>
        <w:tc>
          <w:tcPr>
            <w:tcW w:w="2963" w:type="dxa"/>
          </w:tcPr>
          <w:p w14:paraId="17869116" w14:textId="77777777" w:rsidR="000D07EA" w:rsidRDefault="00BE7C89">
            <w:pPr>
              <w:pStyle w:val="BodyText"/>
              <w:spacing w:before="100" w:after="100"/>
              <w:rPr>
                <w:lang w:val="en-AU"/>
              </w:rPr>
            </w:pPr>
            <w:r>
              <w:rPr>
                <w:lang w:val="en-AU"/>
              </w:rPr>
              <w:t>No</w:t>
            </w:r>
          </w:p>
        </w:tc>
      </w:tr>
      <w:tr w:rsidR="000D07EA" w14:paraId="1E59C285" w14:textId="77777777">
        <w:tc>
          <w:tcPr>
            <w:tcW w:w="4500" w:type="dxa"/>
          </w:tcPr>
          <w:p w14:paraId="539F452F" w14:textId="77777777" w:rsidR="000D07EA" w:rsidRDefault="00BE7C89">
            <w:pPr>
              <w:pStyle w:val="BodyText"/>
              <w:spacing w:before="100" w:after="100"/>
              <w:rPr>
                <w:lang w:val="en-AU"/>
              </w:rPr>
            </w:pPr>
            <w:r>
              <w:rPr>
                <w:lang w:val="en-AU"/>
              </w:rPr>
              <w:t>Insurance</w:t>
            </w:r>
          </w:p>
        </w:tc>
        <w:tc>
          <w:tcPr>
            <w:tcW w:w="2963" w:type="dxa"/>
          </w:tcPr>
          <w:p w14:paraId="202DF697" w14:textId="77777777" w:rsidR="000D07EA" w:rsidRDefault="00BE7C89">
            <w:pPr>
              <w:pStyle w:val="BodyText"/>
              <w:spacing w:before="100" w:after="100"/>
              <w:rPr>
                <w:lang w:val="en-AU"/>
              </w:rPr>
            </w:pPr>
            <w:r>
              <w:rPr>
                <w:lang w:val="en-AU"/>
              </w:rPr>
              <w:t>No</w:t>
            </w:r>
          </w:p>
        </w:tc>
      </w:tr>
      <w:tr w:rsidR="000D07EA" w14:paraId="41B2CB22" w14:textId="77777777">
        <w:tc>
          <w:tcPr>
            <w:tcW w:w="4500" w:type="dxa"/>
          </w:tcPr>
          <w:p w14:paraId="74881C9D" w14:textId="77777777" w:rsidR="000D07EA" w:rsidRDefault="00BE7C89">
            <w:pPr>
              <w:pStyle w:val="BodyText"/>
              <w:spacing w:before="100" w:after="100"/>
              <w:rPr>
                <w:lang w:val="en-AU"/>
              </w:rPr>
            </w:pPr>
            <w:r>
              <w:rPr>
                <w:lang w:val="en-AU"/>
              </w:rPr>
              <w:t>Surepage Diversions</w:t>
            </w:r>
          </w:p>
        </w:tc>
        <w:tc>
          <w:tcPr>
            <w:tcW w:w="2963" w:type="dxa"/>
          </w:tcPr>
          <w:p w14:paraId="24BEAAFF" w14:textId="77777777" w:rsidR="000D07EA" w:rsidRDefault="00BE7C89">
            <w:pPr>
              <w:pStyle w:val="BodyText"/>
              <w:spacing w:before="100" w:after="100"/>
              <w:rPr>
                <w:lang w:val="en-AU"/>
              </w:rPr>
            </w:pPr>
            <w:r>
              <w:rPr>
                <w:lang w:val="en-AU"/>
              </w:rPr>
              <w:t>Yes</w:t>
            </w:r>
          </w:p>
        </w:tc>
      </w:tr>
      <w:tr w:rsidR="000D07EA" w14:paraId="4271F41D" w14:textId="77777777">
        <w:tc>
          <w:tcPr>
            <w:tcW w:w="4500" w:type="dxa"/>
          </w:tcPr>
          <w:p w14:paraId="0327B0AC" w14:textId="77777777" w:rsidR="000D07EA" w:rsidRDefault="00BE7C89">
            <w:pPr>
              <w:pStyle w:val="BodyText"/>
              <w:spacing w:before="100" w:after="100"/>
              <w:rPr>
                <w:lang w:val="en-AU"/>
              </w:rPr>
            </w:pPr>
            <w:r>
              <w:rPr>
                <w:lang w:val="en-AU"/>
              </w:rPr>
              <w:t>Surepage usage and access</w:t>
            </w:r>
          </w:p>
        </w:tc>
        <w:tc>
          <w:tcPr>
            <w:tcW w:w="2963" w:type="dxa"/>
          </w:tcPr>
          <w:p w14:paraId="24B15761" w14:textId="77777777" w:rsidR="000D07EA" w:rsidRDefault="00BE7C89">
            <w:pPr>
              <w:pStyle w:val="BodyText"/>
              <w:spacing w:before="100" w:after="100"/>
              <w:rPr>
                <w:lang w:val="en-AU"/>
              </w:rPr>
            </w:pPr>
            <w:r>
              <w:rPr>
                <w:lang w:val="en-AU"/>
              </w:rPr>
              <w:t>No</w:t>
            </w:r>
          </w:p>
        </w:tc>
      </w:tr>
      <w:tr w:rsidR="000D07EA" w14:paraId="132E2376" w14:textId="77777777">
        <w:tc>
          <w:tcPr>
            <w:tcW w:w="4500" w:type="dxa"/>
          </w:tcPr>
          <w:p w14:paraId="28AEDF24" w14:textId="77777777" w:rsidR="000D07EA" w:rsidRDefault="00BE7C89">
            <w:pPr>
              <w:pStyle w:val="BodyText"/>
              <w:spacing w:before="100" w:after="100"/>
              <w:rPr>
                <w:lang w:val="en-AU"/>
              </w:rPr>
            </w:pPr>
            <w:r>
              <w:rPr>
                <w:lang w:val="en-AU"/>
              </w:rPr>
              <w:t>Handset Payments</w:t>
            </w:r>
          </w:p>
        </w:tc>
        <w:tc>
          <w:tcPr>
            <w:tcW w:w="2963" w:type="dxa"/>
          </w:tcPr>
          <w:p w14:paraId="57B3436A" w14:textId="77777777" w:rsidR="000D07EA" w:rsidRDefault="00BE7C89">
            <w:pPr>
              <w:pStyle w:val="BodyText"/>
              <w:spacing w:before="100" w:after="100"/>
              <w:rPr>
                <w:lang w:val="en-AU"/>
              </w:rPr>
            </w:pPr>
            <w:r>
              <w:rPr>
                <w:lang w:val="en-AU"/>
              </w:rPr>
              <w:t>No</w:t>
            </w:r>
          </w:p>
        </w:tc>
      </w:tr>
      <w:tr w:rsidR="000D07EA" w14:paraId="18A37FF0" w14:textId="77777777">
        <w:tc>
          <w:tcPr>
            <w:tcW w:w="4500" w:type="dxa"/>
          </w:tcPr>
          <w:p w14:paraId="6C131332" w14:textId="77777777" w:rsidR="000D07EA" w:rsidRDefault="00BE7C89">
            <w:pPr>
              <w:pStyle w:val="BodyText"/>
              <w:spacing w:before="100" w:after="100"/>
              <w:rPr>
                <w:lang w:val="en-AU"/>
              </w:rPr>
            </w:pPr>
            <w:r>
              <w:rPr>
                <w:lang w:val="en-AU"/>
              </w:rPr>
              <w:t>Push To Talk (PTT)</w:t>
            </w:r>
          </w:p>
        </w:tc>
        <w:tc>
          <w:tcPr>
            <w:tcW w:w="2963" w:type="dxa"/>
          </w:tcPr>
          <w:p w14:paraId="32D4613F" w14:textId="77777777" w:rsidR="000D07EA" w:rsidRDefault="00BE7C89">
            <w:pPr>
              <w:pStyle w:val="BodyText"/>
              <w:spacing w:before="100" w:after="100"/>
              <w:rPr>
                <w:lang w:val="en-AU"/>
              </w:rPr>
            </w:pPr>
            <w:r>
              <w:rPr>
                <w:lang w:val="en-AU"/>
              </w:rPr>
              <w:t>Yes</w:t>
            </w:r>
          </w:p>
        </w:tc>
      </w:tr>
      <w:tr w:rsidR="000D07EA" w14:paraId="52B59D25" w14:textId="77777777">
        <w:tc>
          <w:tcPr>
            <w:tcW w:w="4500" w:type="dxa"/>
          </w:tcPr>
          <w:p w14:paraId="536FC9B1" w14:textId="77777777" w:rsidR="000D07EA" w:rsidRDefault="00BE7C89">
            <w:pPr>
              <w:pStyle w:val="BodyText"/>
              <w:spacing w:before="100" w:after="100"/>
              <w:rPr>
                <w:lang w:val="en-AU"/>
              </w:rPr>
            </w:pPr>
            <w:r>
              <w:rPr>
                <w:lang w:val="en-AU"/>
              </w:rPr>
              <w:t>Calls to Satellite</w:t>
            </w:r>
          </w:p>
        </w:tc>
        <w:tc>
          <w:tcPr>
            <w:tcW w:w="2963" w:type="dxa"/>
          </w:tcPr>
          <w:p w14:paraId="02996B4A" w14:textId="77777777" w:rsidR="000D07EA" w:rsidRDefault="00BE7C89">
            <w:pPr>
              <w:pStyle w:val="BodyText"/>
              <w:spacing w:before="100" w:after="100"/>
              <w:rPr>
                <w:lang w:val="en-AU"/>
              </w:rPr>
            </w:pPr>
            <w:r>
              <w:rPr>
                <w:lang w:val="en-AU"/>
              </w:rPr>
              <w:t>No</w:t>
            </w:r>
          </w:p>
        </w:tc>
      </w:tr>
      <w:tr w:rsidR="000D07EA" w14:paraId="30B8D1A5" w14:textId="77777777">
        <w:tc>
          <w:tcPr>
            <w:tcW w:w="4500" w:type="dxa"/>
          </w:tcPr>
          <w:p w14:paraId="1C5A752E" w14:textId="77777777" w:rsidR="000D07EA" w:rsidRDefault="00BE7C89">
            <w:pPr>
              <w:pStyle w:val="BodyText"/>
              <w:spacing w:before="100" w:after="100"/>
              <w:rPr>
                <w:lang w:val="en-AU"/>
              </w:rPr>
            </w:pPr>
            <w:r>
              <w:rPr>
                <w:lang w:val="en-AU"/>
              </w:rPr>
              <w:t>VoIP services</w:t>
            </w:r>
          </w:p>
        </w:tc>
        <w:tc>
          <w:tcPr>
            <w:tcW w:w="2963" w:type="dxa"/>
          </w:tcPr>
          <w:p w14:paraId="554E1CEF" w14:textId="77777777" w:rsidR="000D07EA" w:rsidRDefault="00BE7C89">
            <w:pPr>
              <w:pStyle w:val="BodyText"/>
              <w:spacing w:before="100" w:after="100"/>
              <w:rPr>
                <w:lang w:val="en-AU"/>
              </w:rPr>
            </w:pPr>
            <w:r>
              <w:rPr>
                <w:lang w:val="en-AU"/>
              </w:rPr>
              <w:t>No</w:t>
            </w:r>
          </w:p>
        </w:tc>
      </w:tr>
    </w:tbl>
    <w:p w14:paraId="3D4F7218" w14:textId="77777777" w:rsidR="000D07EA" w:rsidRDefault="000D07EA"/>
    <w:p w14:paraId="2BD8E3AD" w14:textId="77777777" w:rsidR="000D07EA" w:rsidRDefault="000D07EA">
      <w:pPr>
        <w:sectPr w:rsidR="000D07EA">
          <w:headerReference w:type="default" r:id="rId57"/>
          <w:footerReference w:type="default" r:id="rId58"/>
          <w:pgSz w:w="11900" w:h="16840"/>
          <w:pgMar w:top="851" w:right="851" w:bottom="851" w:left="851" w:header="461" w:footer="288" w:gutter="0"/>
          <w:cols w:space="708"/>
          <w:docGrid w:linePitch="360"/>
        </w:sectPr>
      </w:pPr>
    </w:p>
    <w:p w14:paraId="3AA33F56" w14:textId="77777777" w:rsidR="000D07EA" w:rsidRDefault="00BE7C89">
      <w:pPr>
        <w:pStyle w:val="BodyText"/>
        <w:rPr>
          <w:b/>
          <w:i/>
          <w:lang w:val="en-AU" w:eastAsia="en-AU"/>
        </w:rPr>
      </w:pPr>
      <w:r>
        <w:rPr>
          <w:b/>
          <w:i/>
          <w:lang w:val="en-AU" w:eastAsia="en-AU"/>
        </w:rPr>
        <w:lastRenderedPageBreak/>
        <w:t>Pricing Plans Table</w:t>
      </w:r>
    </w:p>
    <w:p w14:paraId="23C197C4" w14:textId="77777777" w:rsidR="000D07EA" w:rsidRDefault="00BE7C89">
      <w:pPr>
        <w:pStyle w:val="BodyText"/>
        <w:rPr>
          <w:lang w:val="en-AU"/>
        </w:rPr>
      </w:pPr>
      <w:r>
        <w:rPr>
          <w:lang w:val="en-AU"/>
        </w:rPr>
        <w:t xml:space="preserve">The following applies to </w:t>
      </w:r>
      <w:r>
        <w:rPr>
          <w:i/>
          <w:lang w:val="en-AU"/>
        </w:rPr>
        <w:t>you</w:t>
      </w:r>
      <w:r>
        <w:rPr>
          <w:lang w:val="en-AU"/>
        </w:rPr>
        <w:t xml:space="preserve"> if </w:t>
      </w:r>
      <w:r>
        <w:rPr>
          <w:i/>
          <w:lang w:val="en-AU"/>
        </w:rPr>
        <w:t>you</w:t>
      </w:r>
      <w:r>
        <w:rPr>
          <w:lang w:val="en-AU"/>
        </w:rPr>
        <w:t xml:space="preserve"> connected to a 'yes' Business Smart 6+ plan before 28 July 2008: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74"/>
        <w:gridCol w:w="1683"/>
        <w:gridCol w:w="1682"/>
        <w:gridCol w:w="1682"/>
        <w:gridCol w:w="1682"/>
        <w:gridCol w:w="1682"/>
        <w:gridCol w:w="1682"/>
        <w:gridCol w:w="1682"/>
        <w:gridCol w:w="1679"/>
      </w:tblGrid>
      <w:tr w:rsidR="000D07EA" w14:paraId="62364AD7" w14:textId="77777777">
        <w:tc>
          <w:tcPr>
            <w:tcW w:w="553" w:type="pct"/>
          </w:tcPr>
          <w:p w14:paraId="54E805A8" w14:textId="77777777" w:rsidR="000D07EA" w:rsidRDefault="00BE7C89">
            <w:pPr>
              <w:pStyle w:val="BodyText"/>
              <w:spacing w:before="100" w:after="100"/>
              <w:rPr>
                <w:i/>
                <w:color w:val="000000"/>
                <w:lang w:val="en-AU" w:eastAsia="en-AU"/>
              </w:rPr>
            </w:pPr>
            <w:r>
              <w:rPr>
                <w:i/>
                <w:lang w:val="en-AU" w:eastAsia="en-AU"/>
              </w:rPr>
              <w:t>Charge Type</w:t>
            </w:r>
          </w:p>
        </w:tc>
        <w:tc>
          <w:tcPr>
            <w:tcW w:w="556" w:type="pct"/>
          </w:tcPr>
          <w:p w14:paraId="642DD47F" w14:textId="77777777" w:rsidR="000D07EA" w:rsidRDefault="00BE7C89">
            <w:pPr>
              <w:pStyle w:val="BodyText"/>
              <w:spacing w:before="100" w:after="100"/>
              <w:jc w:val="center"/>
              <w:rPr>
                <w:b/>
                <w:lang w:val="en-AU" w:eastAsia="en-AU"/>
              </w:rPr>
            </w:pPr>
            <w:r>
              <w:rPr>
                <w:b/>
                <w:lang w:val="en-AU" w:eastAsia="en-AU"/>
              </w:rPr>
              <w:t>'yes' Business Smart 6+ 29 Plan</w:t>
            </w:r>
          </w:p>
        </w:tc>
        <w:tc>
          <w:tcPr>
            <w:tcW w:w="556" w:type="pct"/>
          </w:tcPr>
          <w:p w14:paraId="4D3DFD81" w14:textId="77777777" w:rsidR="000D07EA" w:rsidRDefault="00BE7C89">
            <w:pPr>
              <w:pStyle w:val="BodyText"/>
              <w:spacing w:before="100" w:after="100"/>
              <w:jc w:val="center"/>
              <w:rPr>
                <w:b/>
                <w:lang w:val="en-AU" w:eastAsia="en-AU"/>
              </w:rPr>
            </w:pPr>
            <w:r>
              <w:rPr>
                <w:b/>
                <w:lang w:val="en-AU" w:eastAsia="en-AU"/>
              </w:rPr>
              <w:t>'yes' Business Smart 6+ 39 Plan</w:t>
            </w:r>
          </w:p>
        </w:tc>
        <w:tc>
          <w:tcPr>
            <w:tcW w:w="556" w:type="pct"/>
          </w:tcPr>
          <w:p w14:paraId="5E3310E2" w14:textId="77777777" w:rsidR="000D07EA" w:rsidRDefault="00BE7C89">
            <w:pPr>
              <w:pStyle w:val="BodyText"/>
              <w:spacing w:before="100" w:after="100"/>
              <w:jc w:val="center"/>
              <w:rPr>
                <w:b/>
                <w:lang w:val="en-AU" w:eastAsia="en-AU"/>
              </w:rPr>
            </w:pPr>
            <w:r>
              <w:rPr>
                <w:b/>
                <w:lang w:val="en-AU" w:eastAsia="en-AU"/>
              </w:rPr>
              <w:t>'yes' Business Smart 6+ 49 Plan</w:t>
            </w:r>
          </w:p>
        </w:tc>
        <w:tc>
          <w:tcPr>
            <w:tcW w:w="556" w:type="pct"/>
          </w:tcPr>
          <w:p w14:paraId="681B91D4" w14:textId="77777777" w:rsidR="000D07EA" w:rsidRDefault="00BE7C89">
            <w:pPr>
              <w:pStyle w:val="BodyText"/>
              <w:spacing w:before="100" w:after="100"/>
              <w:jc w:val="center"/>
              <w:rPr>
                <w:b/>
                <w:lang w:val="en-AU" w:eastAsia="en-AU"/>
              </w:rPr>
            </w:pPr>
            <w:r>
              <w:rPr>
                <w:b/>
                <w:lang w:val="en-AU" w:eastAsia="en-AU"/>
              </w:rPr>
              <w:t>'yes' Business Smart 6+ 59 Plan</w:t>
            </w:r>
          </w:p>
        </w:tc>
        <w:tc>
          <w:tcPr>
            <w:tcW w:w="556" w:type="pct"/>
          </w:tcPr>
          <w:p w14:paraId="04B66928" w14:textId="77777777" w:rsidR="000D07EA" w:rsidRDefault="00BE7C89">
            <w:pPr>
              <w:pStyle w:val="BodyText"/>
              <w:spacing w:before="100" w:after="100"/>
              <w:jc w:val="center"/>
              <w:rPr>
                <w:b/>
                <w:lang w:val="en-AU" w:eastAsia="en-AU"/>
              </w:rPr>
            </w:pPr>
            <w:r>
              <w:rPr>
                <w:b/>
                <w:lang w:val="en-AU" w:eastAsia="en-AU"/>
              </w:rPr>
              <w:t>'yes' Business Smart 6+ 79 Plan</w:t>
            </w:r>
          </w:p>
        </w:tc>
        <w:tc>
          <w:tcPr>
            <w:tcW w:w="556" w:type="pct"/>
          </w:tcPr>
          <w:p w14:paraId="64ECCFA9" w14:textId="77777777" w:rsidR="000D07EA" w:rsidRDefault="00BE7C89">
            <w:pPr>
              <w:pStyle w:val="BodyText"/>
              <w:spacing w:before="100" w:after="100"/>
              <w:jc w:val="center"/>
              <w:rPr>
                <w:b/>
                <w:lang w:val="en-AU" w:eastAsia="en-AU"/>
              </w:rPr>
            </w:pPr>
            <w:r>
              <w:rPr>
                <w:b/>
                <w:lang w:val="en-AU" w:eastAsia="en-AU"/>
              </w:rPr>
              <w:t>'yes' Business Smart 6+ 99 Plan</w:t>
            </w:r>
          </w:p>
        </w:tc>
        <w:tc>
          <w:tcPr>
            <w:tcW w:w="556" w:type="pct"/>
          </w:tcPr>
          <w:p w14:paraId="6BE78612" w14:textId="77777777" w:rsidR="000D07EA" w:rsidRDefault="00BE7C89">
            <w:pPr>
              <w:pStyle w:val="BodyText"/>
              <w:spacing w:before="100" w:after="100"/>
              <w:jc w:val="center"/>
              <w:rPr>
                <w:b/>
                <w:lang w:val="en-AU" w:eastAsia="en-AU"/>
              </w:rPr>
            </w:pPr>
            <w:r>
              <w:rPr>
                <w:b/>
                <w:lang w:val="en-AU" w:eastAsia="en-AU"/>
              </w:rPr>
              <w:t>'yes' Business Smart 6+ 149 Plan</w:t>
            </w:r>
          </w:p>
        </w:tc>
        <w:tc>
          <w:tcPr>
            <w:tcW w:w="556" w:type="pct"/>
          </w:tcPr>
          <w:p w14:paraId="2C0F4E29" w14:textId="77777777" w:rsidR="000D07EA" w:rsidRDefault="00BE7C89">
            <w:pPr>
              <w:pStyle w:val="BodyText"/>
              <w:spacing w:before="100" w:after="100"/>
              <w:jc w:val="center"/>
              <w:rPr>
                <w:b/>
                <w:lang w:val="en-AU" w:eastAsia="en-AU"/>
              </w:rPr>
            </w:pPr>
            <w:r>
              <w:rPr>
                <w:b/>
                <w:lang w:val="en-AU" w:eastAsia="en-AU"/>
              </w:rPr>
              <w:t>'yes' Business Smart 6+ 249 Plan</w:t>
            </w:r>
          </w:p>
        </w:tc>
      </w:tr>
      <w:tr w:rsidR="000D07EA" w14:paraId="34837B02" w14:textId="77777777">
        <w:tc>
          <w:tcPr>
            <w:tcW w:w="553" w:type="pct"/>
          </w:tcPr>
          <w:p w14:paraId="57E2130A" w14:textId="77777777" w:rsidR="000D07EA" w:rsidRDefault="00BE7C89">
            <w:pPr>
              <w:pStyle w:val="BodyText"/>
              <w:spacing w:before="100" w:after="100"/>
              <w:rPr>
                <w:b/>
                <w:i/>
                <w:lang w:val="en-AU" w:eastAsia="en-AU"/>
              </w:rPr>
            </w:pPr>
            <w:r>
              <w:rPr>
                <w:b/>
                <w:i/>
                <w:lang w:val="en-AU" w:eastAsia="en-AU"/>
              </w:rPr>
              <w:t>Minimum Monthly Commitment</w:t>
            </w:r>
          </w:p>
        </w:tc>
        <w:tc>
          <w:tcPr>
            <w:tcW w:w="556" w:type="pct"/>
          </w:tcPr>
          <w:p w14:paraId="170146EB" w14:textId="77777777" w:rsidR="000D07EA" w:rsidRDefault="00BE7C89">
            <w:pPr>
              <w:pStyle w:val="BodyText"/>
              <w:spacing w:before="100" w:after="100"/>
              <w:jc w:val="center"/>
              <w:rPr>
                <w:lang w:val="en-AU" w:eastAsia="en-AU"/>
              </w:rPr>
            </w:pPr>
            <w:r>
              <w:rPr>
                <w:lang w:val="en-AU" w:eastAsia="en-AU"/>
              </w:rPr>
              <w:t>$26.36</w:t>
            </w:r>
            <w:r>
              <w:rPr>
                <w:lang w:val="en-AU" w:eastAsia="en-AU"/>
              </w:rPr>
              <w:br/>
              <w:t>($29)</w:t>
            </w:r>
          </w:p>
        </w:tc>
        <w:tc>
          <w:tcPr>
            <w:tcW w:w="556" w:type="pct"/>
          </w:tcPr>
          <w:p w14:paraId="270A6882" w14:textId="77777777" w:rsidR="000D07EA" w:rsidRDefault="00BE7C89">
            <w:pPr>
              <w:pStyle w:val="BodyText"/>
              <w:spacing w:before="100" w:after="100"/>
              <w:jc w:val="center"/>
              <w:rPr>
                <w:lang w:val="en-AU" w:eastAsia="en-AU"/>
              </w:rPr>
            </w:pPr>
            <w:r>
              <w:rPr>
                <w:lang w:val="en-AU" w:eastAsia="en-AU"/>
              </w:rPr>
              <w:t>$35.45</w:t>
            </w:r>
            <w:r>
              <w:rPr>
                <w:lang w:val="en-AU" w:eastAsia="en-AU"/>
              </w:rPr>
              <w:br/>
              <w:t>($39)</w:t>
            </w:r>
          </w:p>
        </w:tc>
        <w:tc>
          <w:tcPr>
            <w:tcW w:w="556" w:type="pct"/>
          </w:tcPr>
          <w:p w14:paraId="55581379" w14:textId="77777777" w:rsidR="000D07EA" w:rsidRDefault="00BE7C89">
            <w:pPr>
              <w:pStyle w:val="BodyText"/>
              <w:spacing w:before="100" w:after="100"/>
              <w:jc w:val="center"/>
              <w:rPr>
                <w:lang w:val="en-AU" w:eastAsia="en-AU"/>
              </w:rPr>
            </w:pPr>
            <w:r>
              <w:rPr>
                <w:lang w:val="en-AU" w:eastAsia="en-AU"/>
              </w:rPr>
              <w:t>$44.54</w:t>
            </w:r>
            <w:r>
              <w:rPr>
                <w:lang w:val="en-AU" w:eastAsia="en-AU"/>
              </w:rPr>
              <w:br/>
              <w:t>($49)</w:t>
            </w:r>
          </w:p>
        </w:tc>
        <w:tc>
          <w:tcPr>
            <w:tcW w:w="556" w:type="pct"/>
          </w:tcPr>
          <w:p w14:paraId="2EEFF767" w14:textId="77777777" w:rsidR="000D07EA" w:rsidRDefault="00BE7C89">
            <w:pPr>
              <w:pStyle w:val="BodyText"/>
              <w:spacing w:before="100" w:after="100"/>
              <w:jc w:val="center"/>
              <w:rPr>
                <w:lang w:val="en-AU" w:eastAsia="en-AU"/>
              </w:rPr>
            </w:pPr>
            <w:r>
              <w:rPr>
                <w:lang w:val="en-AU" w:eastAsia="en-AU"/>
              </w:rPr>
              <w:t>$53.63</w:t>
            </w:r>
            <w:r>
              <w:rPr>
                <w:lang w:val="en-AU" w:eastAsia="en-AU"/>
              </w:rPr>
              <w:br/>
              <w:t>($59)</w:t>
            </w:r>
          </w:p>
        </w:tc>
        <w:tc>
          <w:tcPr>
            <w:tcW w:w="556" w:type="pct"/>
          </w:tcPr>
          <w:p w14:paraId="46F2FA37" w14:textId="77777777" w:rsidR="000D07EA" w:rsidRDefault="00BE7C89">
            <w:pPr>
              <w:pStyle w:val="BodyText"/>
              <w:spacing w:before="100" w:after="100"/>
              <w:jc w:val="center"/>
              <w:rPr>
                <w:lang w:val="en-AU" w:eastAsia="en-AU"/>
              </w:rPr>
            </w:pPr>
            <w:r>
              <w:rPr>
                <w:lang w:val="en-AU" w:eastAsia="en-AU"/>
              </w:rPr>
              <w:t>$71.81</w:t>
            </w:r>
            <w:r>
              <w:rPr>
                <w:lang w:val="en-AU" w:eastAsia="en-AU"/>
              </w:rPr>
              <w:br/>
              <w:t>($79)</w:t>
            </w:r>
          </w:p>
        </w:tc>
        <w:tc>
          <w:tcPr>
            <w:tcW w:w="556" w:type="pct"/>
          </w:tcPr>
          <w:p w14:paraId="7275FAFA" w14:textId="77777777" w:rsidR="000D07EA" w:rsidRDefault="00BE7C89">
            <w:pPr>
              <w:pStyle w:val="BodyText"/>
              <w:spacing w:before="100" w:after="100"/>
              <w:jc w:val="center"/>
              <w:rPr>
                <w:lang w:val="en-AU" w:eastAsia="en-AU"/>
              </w:rPr>
            </w:pPr>
            <w:r>
              <w:rPr>
                <w:lang w:val="en-AU" w:eastAsia="en-AU"/>
              </w:rPr>
              <w:t>$90</w:t>
            </w:r>
            <w:r>
              <w:rPr>
                <w:lang w:val="en-AU" w:eastAsia="en-AU"/>
              </w:rPr>
              <w:br/>
              <w:t>($99)</w:t>
            </w:r>
          </w:p>
        </w:tc>
        <w:tc>
          <w:tcPr>
            <w:tcW w:w="556" w:type="pct"/>
          </w:tcPr>
          <w:p w14:paraId="332A3159" w14:textId="77777777" w:rsidR="000D07EA" w:rsidRDefault="00BE7C89">
            <w:pPr>
              <w:pStyle w:val="BodyText"/>
              <w:spacing w:before="100" w:after="100"/>
              <w:jc w:val="center"/>
              <w:rPr>
                <w:lang w:val="en-AU" w:eastAsia="en-AU"/>
              </w:rPr>
            </w:pPr>
            <w:r>
              <w:rPr>
                <w:lang w:val="en-AU" w:eastAsia="en-AU"/>
              </w:rPr>
              <w:t>$135.45</w:t>
            </w:r>
            <w:r>
              <w:rPr>
                <w:lang w:val="en-AU" w:eastAsia="en-AU"/>
              </w:rPr>
              <w:br/>
              <w:t>($149)</w:t>
            </w:r>
          </w:p>
        </w:tc>
        <w:tc>
          <w:tcPr>
            <w:tcW w:w="556" w:type="pct"/>
          </w:tcPr>
          <w:p w14:paraId="74B3E5CA" w14:textId="77777777" w:rsidR="000D07EA" w:rsidRDefault="00BE7C89">
            <w:pPr>
              <w:pStyle w:val="BodyText"/>
              <w:spacing w:before="100" w:after="100"/>
              <w:jc w:val="center"/>
              <w:rPr>
                <w:lang w:val="en-AU" w:eastAsia="en-AU"/>
              </w:rPr>
            </w:pPr>
            <w:r>
              <w:rPr>
                <w:lang w:val="en-AU" w:eastAsia="en-AU"/>
              </w:rPr>
              <w:t>$226.36</w:t>
            </w:r>
            <w:r>
              <w:rPr>
                <w:lang w:val="en-AU" w:eastAsia="en-AU"/>
              </w:rPr>
              <w:br/>
              <w:t>($249)</w:t>
            </w:r>
          </w:p>
        </w:tc>
      </w:tr>
      <w:tr w:rsidR="000D07EA" w14:paraId="67376FBC" w14:textId="77777777">
        <w:tc>
          <w:tcPr>
            <w:tcW w:w="553" w:type="pct"/>
            <w:tcBorders>
              <w:bottom w:val="nil"/>
            </w:tcBorders>
          </w:tcPr>
          <w:p w14:paraId="3312C2AF" w14:textId="77777777" w:rsidR="000D07EA" w:rsidRDefault="00BE7C89">
            <w:pPr>
              <w:pStyle w:val="BodyText"/>
              <w:spacing w:before="100" w:after="100"/>
              <w:rPr>
                <w:color w:val="000000"/>
                <w:lang w:val="en-AU" w:eastAsia="en-AU"/>
              </w:rPr>
            </w:pPr>
            <w:r>
              <w:rPr>
                <w:b/>
                <w:lang w:val="en-AU" w:eastAsia="en-AU"/>
              </w:rPr>
              <w:t xml:space="preserve">Standard Call Rate </w:t>
            </w:r>
            <w:r>
              <w:rPr>
                <w:lang w:val="en-AU" w:eastAsia="en-AU"/>
              </w:rPr>
              <w:t>(per 30 seconds)</w:t>
            </w:r>
            <w:r>
              <w:rPr>
                <w:lang w:val="en-AU" w:eastAsia="en-AU"/>
              </w:rPr>
              <w:br/>
            </w:r>
            <w:r>
              <w:rPr>
                <w:i/>
                <w:lang w:val="en-AU" w:eastAsia="en-AU"/>
              </w:rPr>
              <w:t>Local calls &amp; National long distance calls</w:t>
            </w:r>
          </w:p>
        </w:tc>
        <w:tc>
          <w:tcPr>
            <w:tcW w:w="556" w:type="pct"/>
            <w:tcBorders>
              <w:bottom w:val="nil"/>
            </w:tcBorders>
          </w:tcPr>
          <w:p w14:paraId="71C38DEF" w14:textId="77777777" w:rsidR="000D07EA" w:rsidRDefault="00BE7C89">
            <w:pPr>
              <w:pStyle w:val="BodyText"/>
              <w:spacing w:before="100" w:after="100"/>
              <w:jc w:val="center"/>
              <w:rPr>
                <w:lang w:val="en-AU" w:eastAsia="en-AU"/>
              </w:rPr>
            </w:pPr>
            <w:r>
              <w:rPr>
                <w:lang w:val="en-AU" w:eastAsia="en-AU"/>
              </w:rPr>
              <w:t>$0.23</w:t>
            </w:r>
            <w:r>
              <w:rPr>
                <w:lang w:val="en-AU" w:eastAsia="en-AU"/>
              </w:rPr>
              <w:br/>
              <w:t>($0.25)</w:t>
            </w:r>
          </w:p>
        </w:tc>
        <w:tc>
          <w:tcPr>
            <w:tcW w:w="556" w:type="pct"/>
            <w:tcBorders>
              <w:bottom w:val="nil"/>
            </w:tcBorders>
          </w:tcPr>
          <w:p w14:paraId="76290C45" w14:textId="77777777" w:rsidR="000D07EA" w:rsidRDefault="00BE7C89">
            <w:pPr>
              <w:pStyle w:val="BodyText"/>
              <w:spacing w:before="100" w:after="100"/>
              <w:jc w:val="center"/>
              <w:rPr>
                <w:lang w:val="en-AU" w:eastAsia="en-AU"/>
              </w:rPr>
            </w:pPr>
            <w:r>
              <w:rPr>
                <w:lang w:val="en-AU" w:eastAsia="en-AU"/>
              </w:rPr>
              <w:t>$0.22</w:t>
            </w:r>
            <w:r>
              <w:rPr>
                <w:lang w:val="en-AU" w:eastAsia="en-AU"/>
              </w:rPr>
              <w:br/>
              <w:t>($0.24)</w:t>
            </w:r>
          </w:p>
        </w:tc>
        <w:tc>
          <w:tcPr>
            <w:tcW w:w="556" w:type="pct"/>
            <w:tcBorders>
              <w:bottom w:val="nil"/>
            </w:tcBorders>
          </w:tcPr>
          <w:p w14:paraId="1FC8BC6A" w14:textId="77777777" w:rsidR="000D07EA" w:rsidRDefault="00BE7C89">
            <w:pPr>
              <w:pStyle w:val="BodyText"/>
              <w:spacing w:before="100" w:after="100"/>
              <w:jc w:val="center"/>
              <w:rPr>
                <w:lang w:val="en-AU" w:eastAsia="en-AU"/>
              </w:rPr>
            </w:pPr>
            <w:r>
              <w:rPr>
                <w:lang w:val="en-AU" w:eastAsia="en-AU"/>
              </w:rPr>
              <w:t>$0.21</w:t>
            </w:r>
            <w:r>
              <w:rPr>
                <w:lang w:val="en-AU" w:eastAsia="en-AU"/>
              </w:rPr>
              <w:br/>
              <w:t>$0.23</w:t>
            </w:r>
          </w:p>
        </w:tc>
        <w:tc>
          <w:tcPr>
            <w:tcW w:w="556" w:type="pct"/>
            <w:tcBorders>
              <w:bottom w:val="nil"/>
            </w:tcBorders>
          </w:tcPr>
          <w:p w14:paraId="72F0E008" w14:textId="77777777" w:rsidR="000D07EA" w:rsidRDefault="00BE7C89">
            <w:pPr>
              <w:pStyle w:val="BodyText"/>
              <w:spacing w:before="100" w:after="100"/>
              <w:jc w:val="center"/>
              <w:rPr>
                <w:lang w:val="en-AU" w:eastAsia="en-AU"/>
              </w:rPr>
            </w:pPr>
            <w:r>
              <w:rPr>
                <w:lang w:val="en-AU" w:eastAsia="en-AU"/>
              </w:rPr>
              <w:t>$0.19</w:t>
            </w:r>
            <w:r>
              <w:rPr>
                <w:lang w:val="en-AU" w:eastAsia="en-AU"/>
              </w:rPr>
              <w:br/>
              <w:t>($0.21)</w:t>
            </w:r>
          </w:p>
        </w:tc>
        <w:tc>
          <w:tcPr>
            <w:tcW w:w="556" w:type="pct"/>
            <w:tcBorders>
              <w:bottom w:val="nil"/>
            </w:tcBorders>
          </w:tcPr>
          <w:p w14:paraId="1DCF9595" w14:textId="77777777" w:rsidR="000D07EA" w:rsidRDefault="00BE7C89">
            <w:pPr>
              <w:pStyle w:val="BodyText"/>
              <w:spacing w:before="100" w:after="100"/>
              <w:jc w:val="center"/>
              <w:rPr>
                <w:lang w:val="en-AU" w:eastAsia="en-AU"/>
              </w:rPr>
            </w:pPr>
            <w:r>
              <w:rPr>
                <w:lang w:val="en-AU" w:eastAsia="en-AU"/>
              </w:rPr>
              <w:t>$0.18</w:t>
            </w:r>
            <w:r>
              <w:rPr>
                <w:lang w:val="en-AU" w:eastAsia="en-AU"/>
              </w:rPr>
              <w:br/>
              <w:t>($0.20)</w:t>
            </w:r>
          </w:p>
        </w:tc>
        <w:tc>
          <w:tcPr>
            <w:tcW w:w="556" w:type="pct"/>
            <w:tcBorders>
              <w:bottom w:val="nil"/>
            </w:tcBorders>
          </w:tcPr>
          <w:p w14:paraId="3FAA4694" w14:textId="77777777" w:rsidR="000D07EA" w:rsidRDefault="00BE7C89">
            <w:pPr>
              <w:pStyle w:val="BodyText"/>
              <w:spacing w:before="100" w:after="100"/>
              <w:jc w:val="center"/>
              <w:rPr>
                <w:lang w:val="en-AU" w:eastAsia="en-AU"/>
              </w:rPr>
            </w:pPr>
            <w:r>
              <w:rPr>
                <w:lang w:val="en-AU" w:eastAsia="en-AU"/>
              </w:rPr>
              <w:t>$0.17</w:t>
            </w:r>
            <w:r>
              <w:rPr>
                <w:lang w:val="en-AU" w:eastAsia="en-AU"/>
              </w:rPr>
              <w:br/>
              <w:t>($0.19)</w:t>
            </w:r>
          </w:p>
        </w:tc>
        <w:tc>
          <w:tcPr>
            <w:tcW w:w="556" w:type="pct"/>
            <w:tcBorders>
              <w:bottom w:val="nil"/>
            </w:tcBorders>
          </w:tcPr>
          <w:p w14:paraId="02626041" w14:textId="77777777" w:rsidR="000D07EA" w:rsidRDefault="00BE7C89">
            <w:pPr>
              <w:pStyle w:val="BodyText"/>
              <w:spacing w:before="100" w:after="100"/>
              <w:jc w:val="center"/>
              <w:rPr>
                <w:lang w:val="en-AU" w:eastAsia="en-AU"/>
              </w:rPr>
            </w:pPr>
            <w:r>
              <w:rPr>
                <w:lang w:val="en-AU" w:eastAsia="en-AU"/>
              </w:rPr>
              <w:t>$0.16</w:t>
            </w:r>
            <w:r>
              <w:rPr>
                <w:lang w:val="en-AU" w:eastAsia="en-AU"/>
              </w:rPr>
              <w:br/>
              <w:t>($0.18)</w:t>
            </w:r>
          </w:p>
        </w:tc>
        <w:tc>
          <w:tcPr>
            <w:tcW w:w="556" w:type="pct"/>
            <w:tcBorders>
              <w:bottom w:val="nil"/>
            </w:tcBorders>
          </w:tcPr>
          <w:p w14:paraId="131351D7" w14:textId="77777777" w:rsidR="000D07EA" w:rsidRDefault="00BE7C89">
            <w:pPr>
              <w:pStyle w:val="BodyText"/>
              <w:spacing w:before="100" w:after="100"/>
              <w:jc w:val="center"/>
              <w:rPr>
                <w:lang w:val="en-AU" w:eastAsia="en-AU"/>
              </w:rPr>
            </w:pPr>
            <w:r>
              <w:rPr>
                <w:lang w:val="en-AU" w:eastAsia="en-AU"/>
              </w:rPr>
              <w:t>$0.15</w:t>
            </w:r>
            <w:r>
              <w:rPr>
                <w:lang w:val="en-AU" w:eastAsia="en-AU"/>
              </w:rPr>
              <w:br/>
              <w:t>($0.17)</w:t>
            </w:r>
          </w:p>
        </w:tc>
      </w:tr>
      <w:tr w:rsidR="000D07EA" w14:paraId="3902B2BD" w14:textId="77777777">
        <w:tc>
          <w:tcPr>
            <w:tcW w:w="553" w:type="pct"/>
          </w:tcPr>
          <w:p w14:paraId="54C66CD7" w14:textId="77777777" w:rsidR="000D07EA" w:rsidRDefault="00BE7C89">
            <w:pPr>
              <w:pStyle w:val="BodyText"/>
              <w:spacing w:before="100" w:after="100"/>
              <w:rPr>
                <w:b/>
                <w:i/>
                <w:lang w:val="en-AU" w:eastAsia="en-AU"/>
              </w:rPr>
            </w:pPr>
            <w:r>
              <w:rPr>
                <w:b/>
                <w:i/>
                <w:lang w:val="en-AU" w:eastAsia="en-AU"/>
              </w:rPr>
              <w:t xml:space="preserve">Standard Mobile Call Rate </w:t>
            </w:r>
            <w:r>
              <w:rPr>
                <w:bCs/>
                <w:i/>
                <w:lang w:val="en-AU" w:eastAsia="en-AU"/>
              </w:rPr>
              <w:t>(per 30 seconds)</w:t>
            </w:r>
          </w:p>
        </w:tc>
        <w:tc>
          <w:tcPr>
            <w:tcW w:w="556" w:type="pct"/>
          </w:tcPr>
          <w:p w14:paraId="5B4A635F" w14:textId="77777777" w:rsidR="000D07EA" w:rsidRDefault="00BE7C89">
            <w:pPr>
              <w:pStyle w:val="BodyText"/>
              <w:spacing w:before="100" w:after="100"/>
              <w:jc w:val="center"/>
              <w:rPr>
                <w:lang w:val="en-AU" w:eastAsia="en-AU"/>
              </w:rPr>
            </w:pPr>
            <w:r>
              <w:rPr>
                <w:lang w:val="en-AU" w:eastAsia="en-AU"/>
              </w:rPr>
              <w:t>$0.10</w:t>
            </w:r>
            <w:r>
              <w:rPr>
                <w:lang w:val="en-AU" w:eastAsia="en-AU"/>
              </w:rPr>
              <w:br/>
              <w:t>($0.11)</w:t>
            </w:r>
          </w:p>
        </w:tc>
        <w:tc>
          <w:tcPr>
            <w:tcW w:w="556" w:type="pct"/>
          </w:tcPr>
          <w:p w14:paraId="4FD32999" w14:textId="77777777" w:rsidR="000D07EA" w:rsidRDefault="00BE7C89">
            <w:pPr>
              <w:pStyle w:val="BodyText"/>
              <w:spacing w:before="100" w:after="100"/>
              <w:jc w:val="center"/>
              <w:rPr>
                <w:lang w:val="en-AU" w:eastAsia="en-AU"/>
              </w:rPr>
            </w:pPr>
            <w:r>
              <w:rPr>
                <w:lang w:val="en-AU" w:eastAsia="en-AU"/>
              </w:rPr>
              <w:t>$0.10</w:t>
            </w:r>
            <w:r>
              <w:rPr>
                <w:lang w:val="en-AU" w:eastAsia="en-AU"/>
              </w:rPr>
              <w:br/>
              <w:t>($0.11)</w:t>
            </w:r>
          </w:p>
        </w:tc>
        <w:tc>
          <w:tcPr>
            <w:tcW w:w="556" w:type="pct"/>
          </w:tcPr>
          <w:p w14:paraId="72EFB69C" w14:textId="77777777" w:rsidR="000D07EA" w:rsidRDefault="00BE7C89">
            <w:pPr>
              <w:pStyle w:val="BodyText"/>
              <w:spacing w:before="100" w:after="100"/>
              <w:jc w:val="center"/>
              <w:rPr>
                <w:lang w:val="en-AU" w:eastAsia="en-AU"/>
              </w:rPr>
            </w:pPr>
            <w:r>
              <w:rPr>
                <w:lang w:val="en-AU" w:eastAsia="en-AU"/>
              </w:rPr>
              <w:t>$0.10</w:t>
            </w:r>
            <w:r>
              <w:rPr>
                <w:lang w:val="en-AU" w:eastAsia="en-AU"/>
              </w:rPr>
              <w:br/>
              <w:t>($0.11)</w:t>
            </w:r>
          </w:p>
        </w:tc>
        <w:tc>
          <w:tcPr>
            <w:tcW w:w="556" w:type="pct"/>
          </w:tcPr>
          <w:p w14:paraId="713D6B51" w14:textId="77777777" w:rsidR="000D07EA" w:rsidRDefault="00BE7C89">
            <w:pPr>
              <w:pStyle w:val="BodyText"/>
              <w:spacing w:before="100" w:after="100"/>
              <w:jc w:val="center"/>
              <w:rPr>
                <w:lang w:val="en-AU" w:eastAsia="en-AU"/>
              </w:rPr>
            </w:pPr>
            <w:r>
              <w:rPr>
                <w:lang w:val="en-AU" w:eastAsia="en-AU"/>
              </w:rPr>
              <w:t>$0.09</w:t>
            </w:r>
            <w:r>
              <w:rPr>
                <w:lang w:val="en-AU" w:eastAsia="en-AU"/>
              </w:rPr>
              <w:br/>
              <w:t>($0.10)</w:t>
            </w:r>
          </w:p>
        </w:tc>
        <w:tc>
          <w:tcPr>
            <w:tcW w:w="556" w:type="pct"/>
          </w:tcPr>
          <w:p w14:paraId="5C4AEAF3" w14:textId="77777777" w:rsidR="000D07EA" w:rsidRDefault="00BE7C89">
            <w:pPr>
              <w:pStyle w:val="BodyText"/>
              <w:spacing w:before="100" w:after="100"/>
              <w:jc w:val="center"/>
              <w:rPr>
                <w:lang w:val="en-AU" w:eastAsia="en-AU"/>
              </w:rPr>
            </w:pPr>
            <w:r>
              <w:rPr>
                <w:lang w:val="en-AU" w:eastAsia="en-AU"/>
              </w:rPr>
              <w:t>$0.09</w:t>
            </w:r>
            <w:r>
              <w:rPr>
                <w:lang w:val="en-AU" w:eastAsia="en-AU"/>
              </w:rPr>
              <w:br/>
              <w:t>($0.10)</w:t>
            </w:r>
          </w:p>
        </w:tc>
        <w:tc>
          <w:tcPr>
            <w:tcW w:w="556" w:type="pct"/>
          </w:tcPr>
          <w:p w14:paraId="4124551A" w14:textId="77777777" w:rsidR="000D07EA" w:rsidRDefault="00BE7C89">
            <w:pPr>
              <w:pStyle w:val="BodyText"/>
              <w:spacing w:before="100" w:after="100"/>
              <w:jc w:val="center"/>
              <w:rPr>
                <w:lang w:val="en-AU" w:eastAsia="en-AU"/>
              </w:rPr>
            </w:pPr>
            <w:r>
              <w:rPr>
                <w:lang w:val="en-AU" w:eastAsia="en-AU"/>
              </w:rPr>
              <w:t>$0.09</w:t>
            </w:r>
            <w:r>
              <w:rPr>
                <w:lang w:val="en-AU" w:eastAsia="en-AU"/>
              </w:rPr>
              <w:br/>
              <w:t>($0.10)</w:t>
            </w:r>
          </w:p>
        </w:tc>
        <w:tc>
          <w:tcPr>
            <w:tcW w:w="556" w:type="pct"/>
          </w:tcPr>
          <w:p w14:paraId="29E1A4B5" w14:textId="77777777" w:rsidR="000D07EA" w:rsidRDefault="00BE7C89">
            <w:pPr>
              <w:pStyle w:val="BodyText"/>
              <w:spacing w:before="100" w:after="100"/>
              <w:jc w:val="center"/>
              <w:rPr>
                <w:lang w:val="en-AU" w:eastAsia="en-AU"/>
              </w:rPr>
            </w:pPr>
            <w:r>
              <w:rPr>
                <w:lang w:val="en-AU" w:eastAsia="en-AU"/>
              </w:rPr>
              <w:t>$0.09</w:t>
            </w:r>
            <w:r>
              <w:rPr>
                <w:lang w:val="en-AU" w:eastAsia="en-AU"/>
              </w:rPr>
              <w:br/>
              <w:t>($0.10)</w:t>
            </w:r>
          </w:p>
        </w:tc>
        <w:tc>
          <w:tcPr>
            <w:tcW w:w="556" w:type="pct"/>
          </w:tcPr>
          <w:p w14:paraId="50787A8F" w14:textId="77777777" w:rsidR="000D07EA" w:rsidRDefault="00BE7C89">
            <w:pPr>
              <w:pStyle w:val="BodyText"/>
              <w:spacing w:before="100" w:after="100"/>
              <w:jc w:val="center"/>
              <w:rPr>
                <w:lang w:val="en-AU" w:eastAsia="en-AU"/>
              </w:rPr>
            </w:pPr>
            <w:r>
              <w:rPr>
                <w:lang w:val="en-AU" w:eastAsia="en-AU"/>
              </w:rPr>
              <w:t>$0.09</w:t>
            </w:r>
            <w:r>
              <w:rPr>
                <w:lang w:val="en-AU" w:eastAsia="en-AU"/>
              </w:rPr>
              <w:br/>
              <w:t>($0.10)</w:t>
            </w:r>
          </w:p>
        </w:tc>
      </w:tr>
      <w:tr w:rsidR="000D07EA" w14:paraId="6A69E3BB" w14:textId="77777777">
        <w:tc>
          <w:tcPr>
            <w:tcW w:w="553" w:type="pct"/>
          </w:tcPr>
          <w:p w14:paraId="378FE0FD" w14:textId="77777777" w:rsidR="000D07EA" w:rsidRDefault="00BE7C89">
            <w:pPr>
              <w:pStyle w:val="BodyText"/>
              <w:spacing w:before="100" w:after="100"/>
              <w:rPr>
                <w:b/>
                <w:i/>
                <w:lang w:val="en-AU" w:eastAsia="en-AU"/>
              </w:rPr>
            </w:pPr>
            <w:r>
              <w:rPr>
                <w:b/>
                <w:i/>
                <w:lang w:val="en-AU" w:eastAsia="en-AU"/>
              </w:rPr>
              <w:t>Flagfall</w:t>
            </w:r>
          </w:p>
        </w:tc>
        <w:tc>
          <w:tcPr>
            <w:tcW w:w="556" w:type="pct"/>
          </w:tcPr>
          <w:p w14:paraId="25B72C11" w14:textId="77777777" w:rsidR="000D07EA" w:rsidRDefault="00BE7C89">
            <w:pPr>
              <w:pStyle w:val="BodyText"/>
              <w:spacing w:before="100" w:after="100"/>
              <w:jc w:val="center"/>
              <w:rPr>
                <w:lang w:val="en-AU" w:eastAsia="en-AU"/>
              </w:rPr>
            </w:pPr>
            <w:r>
              <w:rPr>
                <w:lang w:val="en-AU" w:eastAsia="en-AU"/>
              </w:rPr>
              <w:t>$0.18</w:t>
            </w:r>
            <w:r>
              <w:rPr>
                <w:lang w:val="en-AU" w:eastAsia="en-AU"/>
              </w:rPr>
              <w:br/>
              <w:t>($0.20)</w:t>
            </w:r>
          </w:p>
        </w:tc>
        <w:tc>
          <w:tcPr>
            <w:tcW w:w="556" w:type="pct"/>
          </w:tcPr>
          <w:p w14:paraId="7F226010" w14:textId="77777777" w:rsidR="000D07EA" w:rsidRDefault="00BE7C89">
            <w:pPr>
              <w:pStyle w:val="BodyText"/>
              <w:spacing w:before="100" w:after="100"/>
              <w:jc w:val="center"/>
              <w:rPr>
                <w:lang w:val="en-AU" w:eastAsia="en-AU"/>
              </w:rPr>
            </w:pPr>
            <w:r>
              <w:rPr>
                <w:lang w:val="en-AU" w:eastAsia="en-AU"/>
              </w:rPr>
              <w:t>$0.18</w:t>
            </w:r>
            <w:r>
              <w:rPr>
                <w:lang w:val="en-AU" w:eastAsia="en-AU"/>
              </w:rPr>
              <w:br/>
              <w:t>($0.20)</w:t>
            </w:r>
          </w:p>
        </w:tc>
        <w:tc>
          <w:tcPr>
            <w:tcW w:w="556" w:type="pct"/>
          </w:tcPr>
          <w:p w14:paraId="64CC487C" w14:textId="77777777" w:rsidR="000D07EA" w:rsidRDefault="00BE7C89">
            <w:pPr>
              <w:pStyle w:val="BodyText"/>
              <w:spacing w:before="100" w:after="100"/>
              <w:jc w:val="center"/>
              <w:rPr>
                <w:lang w:val="en-AU" w:eastAsia="en-AU"/>
              </w:rPr>
            </w:pPr>
            <w:r>
              <w:rPr>
                <w:lang w:val="en-AU" w:eastAsia="en-AU"/>
              </w:rPr>
              <w:t>$0.18</w:t>
            </w:r>
            <w:r>
              <w:rPr>
                <w:lang w:val="en-AU" w:eastAsia="en-AU"/>
              </w:rPr>
              <w:br/>
              <w:t>($0.20)</w:t>
            </w:r>
          </w:p>
        </w:tc>
        <w:tc>
          <w:tcPr>
            <w:tcW w:w="556" w:type="pct"/>
          </w:tcPr>
          <w:p w14:paraId="0C05B4DC" w14:textId="77777777" w:rsidR="000D07EA" w:rsidRDefault="00BE7C89">
            <w:pPr>
              <w:pStyle w:val="BodyText"/>
              <w:spacing w:before="100" w:after="100"/>
              <w:jc w:val="center"/>
              <w:rPr>
                <w:lang w:val="en-AU" w:eastAsia="en-AU"/>
              </w:rPr>
            </w:pPr>
            <w:r>
              <w:rPr>
                <w:lang w:val="en-AU" w:eastAsia="en-AU"/>
              </w:rPr>
              <w:t>$0.18</w:t>
            </w:r>
            <w:r>
              <w:rPr>
                <w:lang w:val="en-AU" w:eastAsia="en-AU"/>
              </w:rPr>
              <w:br/>
              <w:t>($0.20)</w:t>
            </w:r>
          </w:p>
        </w:tc>
        <w:tc>
          <w:tcPr>
            <w:tcW w:w="556" w:type="pct"/>
          </w:tcPr>
          <w:p w14:paraId="51F82068" w14:textId="77777777" w:rsidR="000D07EA" w:rsidRDefault="00BE7C89">
            <w:pPr>
              <w:pStyle w:val="BodyText"/>
              <w:spacing w:before="100" w:after="100"/>
              <w:jc w:val="center"/>
              <w:rPr>
                <w:lang w:val="en-AU" w:eastAsia="en-AU"/>
              </w:rPr>
            </w:pPr>
            <w:r>
              <w:rPr>
                <w:lang w:val="en-AU" w:eastAsia="en-AU"/>
              </w:rPr>
              <w:t>$0.18</w:t>
            </w:r>
            <w:r>
              <w:rPr>
                <w:lang w:val="en-AU" w:eastAsia="en-AU"/>
              </w:rPr>
              <w:br/>
              <w:t>($0.20)</w:t>
            </w:r>
          </w:p>
        </w:tc>
        <w:tc>
          <w:tcPr>
            <w:tcW w:w="556" w:type="pct"/>
          </w:tcPr>
          <w:p w14:paraId="3700105F" w14:textId="77777777" w:rsidR="000D07EA" w:rsidRDefault="00BE7C89">
            <w:pPr>
              <w:pStyle w:val="BodyText"/>
              <w:spacing w:before="100" w:after="100"/>
              <w:jc w:val="center"/>
              <w:rPr>
                <w:lang w:val="en-AU" w:eastAsia="en-AU"/>
              </w:rPr>
            </w:pPr>
            <w:r>
              <w:rPr>
                <w:lang w:val="en-AU" w:eastAsia="en-AU"/>
              </w:rPr>
              <w:t>$0.18</w:t>
            </w:r>
            <w:r>
              <w:rPr>
                <w:lang w:val="en-AU" w:eastAsia="en-AU"/>
              </w:rPr>
              <w:br/>
              <w:t>($0.20)</w:t>
            </w:r>
          </w:p>
        </w:tc>
        <w:tc>
          <w:tcPr>
            <w:tcW w:w="556" w:type="pct"/>
          </w:tcPr>
          <w:p w14:paraId="1880D725" w14:textId="77777777" w:rsidR="000D07EA" w:rsidRDefault="00BE7C89">
            <w:pPr>
              <w:pStyle w:val="BodyText"/>
              <w:spacing w:before="100" w:after="100"/>
              <w:jc w:val="center"/>
              <w:rPr>
                <w:lang w:val="en-AU" w:eastAsia="en-AU"/>
              </w:rPr>
            </w:pPr>
            <w:r>
              <w:rPr>
                <w:lang w:val="en-AU" w:eastAsia="en-AU"/>
              </w:rPr>
              <w:t>$0.18</w:t>
            </w:r>
            <w:r>
              <w:rPr>
                <w:lang w:val="en-AU" w:eastAsia="en-AU"/>
              </w:rPr>
              <w:br/>
              <w:t>($0.20)</w:t>
            </w:r>
          </w:p>
        </w:tc>
        <w:tc>
          <w:tcPr>
            <w:tcW w:w="556" w:type="pct"/>
          </w:tcPr>
          <w:p w14:paraId="21CA569F" w14:textId="77777777" w:rsidR="000D07EA" w:rsidRDefault="00BE7C89">
            <w:pPr>
              <w:pStyle w:val="BodyText"/>
              <w:spacing w:before="100" w:after="100"/>
              <w:jc w:val="center"/>
              <w:rPr>
                <w:lang w:val="en-AU" w:eastAsia="en-AU"/>
              </w:rPr>
            </w:pPr>
            <w:r>
              <w:rPr>
                <w:lang w:val="en-AU" w:eastAsia="en-AU"/>
              </w:rPr>
              <w:t>$0.18</w:t>
            </w:r>
            <w:r>
              <w:rPr>
                <w:lang w:val="en-AU" w:eastAsia="en-AU"/>
              </w:rPr>
              <w:br/>
              <w:t>($0.20)</w:t>
            </w:r>
          </w:p>
        </w:tc>
      </w:tr>
      <w:tr w:rsidR="000D07EA" w14:paraId="721E5918" w14:textId="77777777">
        <w:tc>
          <w:tcPr>
            <w:tcW w:w="553" w:type="pct"/>
          </w:tcPr>
          <w:p w14:paraId="7B527231" w14:textId="77777777" w:rsidR="000D07EA" w:rsidRDefault="00BE7C89">
            <w:pPr>
              <w:pStyle w:val="BodyText"/>
              <w:spacing w:before="100" w:after="100"/>
              <w:rPr>
                <w:b/>
                <w:i/>
                <w:lang w:val="en-AU" w:eastAsia="en-AU"/>
              </w:rPr>
            </w:pPr>
            <w:r>
              <w:rPr>
                <w:b/>
                <w:i/>
                <w:lang w:val="en-AU" w:eastAsia="en-AU"/>
              </w:rPr>
              <w:t>Minimum term</w:t>
            </w:r>
          </w:p>
        </w:tc>
        <w:tc>
          <w:tcPr>
            <w:tcW w:w="556" w:type="pct"/>
          </w:tcPr>
          <w:p w14:paraId="24F3CC45" w14:textId="77777777" w:rsidR="000D07EA" w:rsidRDefault="00BE7C89">
            <w:pPr>
              <w:pStyle w:val="BodyText"/>
              <w:spacing w:before="100" w:after="100"/>
              <w:jc w:val="center"/>
              <w:rPr>
                <w:lang w:val="en-AU" w:eastAsia="en-AU"/>
              </w:rPr>
            </w:pPr>
            <w:r>
              <w:rPr>
                <w:lang w:val="en-AU" w:eastAsia="en-AU"/>
              </w:rPr>
              <w:t>Monthly or 12 or 24 Months</w:t>
            </w:r>
          </w:p>
        </w:tc>
        <w:tc>
          <w:tcPr>
            <w:tcW w:w="556" w:type="pct"/>
          </w:tcPr>
          <w:p w14:paraId="37F04051" w14:textId="77777777" w:rsidR="000D07EA" w:rsidRDefault="00BE7C89">
            <w:pPr>
              <w:pStyle w:val="BodyText"/>
              <w:spacing w:before="100" w:after="100"/>
              <w:jc w:val="center"/>
              <w:rPr>
                <w:lang w:val="en-AU" w:eastAsia="en-AU"/>
              </w:rPr>
            </w:pPr>
            <w:r>
              <w:rPr>
                <w:lang w:val="en-AU" w:eastAsia="en-AU"/>
              </w:rPr>
              <w:t>Monthly or 12 or 24 Months</w:t>
            </w:r>
          </w:p>
        </w:tc>
        <w:tc>
          <w:tcPr>
            <w:tcW w:w="556" w:type="pct"/>
          </w:tcPr>
          <w:p w14:paraId="16E047AF" w14:textId="77777777" w:rsidR="000D07EA" w:rsidRDefault="00BE7C89">
            <w:pPr>
              <w:pStyle w:val="BodyText"/>
              <w:spacing w:before="100" w:after="100"/>
              <w:jc w:val="center"/>
              <w:rPr>
                <w:lang w:val="en-AU" w:eastAsia="en-AU"/>
              </w:rPr>
            </w:pPr>
            <w:r>
              <w:rPr>
                <w:lang w:val="en-AU" w:eastAsia="en-AU"/>
              </w:rPr>
              <w:t>Monthly or 12 or 24 Months</w:t>
            </w:r>
          </w:p>
        </w:tc>
        <w:tc>
          <w:tcPr>
            <w:tcW w:w="556" w:type="pct"/>
          </w:tcPr>
          <w:p w14:paraId="352AB966" w14:textId="77777777" w:rsidR="000D07EA" w:rsidRDefault="00BE7C89">
            <w:pPr>
              <w:pStyle w:val="BodyText"/>
              <w:spacing w:before="100" w:after="100"/>
              <w:jc w:val="center"/>
              <w:rPr>
                <w:lang w:val="en-AU" w:eastAsia="en-AU"/>
              </w:rPr>
            </w:pPr>
            <w:r>
              <w:rPr>
                <w:lang w:val="en-AU" w:eastAsia="en-AU"/>
              </w:rPr>
              <w:t>Monthly or 12 or 24 Months</w:t>
            </w:r>
          </w:p>
        </w:tc>
        <w:tc>
          <w:tcPr>
            <w:tcW w:w="556" w:type="pct"/>
          </w:tcPr>
          <w:p w14:paraId="43175A11" w14:textId="77777777" w:rsidR="000D07EA" w:rsidRDefault="00BE7C89">
            <w:pPr>
              <w:pStyle w:val="BodyText"/>
              <w:spacing w:before="100" w:after="100"/>
              <w:jc w:val="center"/>
              <w:rPr>
                <w:lang w:val="en-AU" w:eastAsia="en-AU"/>
              </w:rPr>
            </w:pPr>
            <w:r>
              <w:rPr>
                <w:lang w:val="en-AU" w:eastAsia="en-AU"/>
              </w:rPr>
              <w:t>Monthly or 12 or 24 Months</w:t>
            </w:r>
          </w:p>
        </w:tc>
        <w:tc>
          <w:tcPr>
            <w:tcW w:w="556" w:type="pct"/>
          </w:tcPr>
          <w:p w14:paraId="71E71A1C" w14:textId="77777777" w:rsidR="000D07EA" w:rsidRDefault="00BE7C89">
            <w:pPr>
              <w:pStyle w:val="BodyText"/>
              <w:spacing w:before="100" w:after="100"/>
              <w:jc w:val="center"/>
              <w:rPr>
                <w:lang w:val="en-AU" w:eastAsia="en-AU"/>
              </w:rPr>
            </w:pPr>
            <w:r>
              <w:rPr>
                <w:lang w:val="en-AU" w:eastAsia="en-AU"/>
              </w:rPr>
              <w:t>Monthly or 12 or 24 Months</w:t>
            </w:r>
          </w:p>
        </w:tc>
        <w:tc>
          <w:tcPr>
            <w:tcW w:w="556" w:type="pct"/>
          </w:tcPr>
          <w:p w14:paraId="49E19F81" w14:textId="77777777" w:rsidR="000D07EA" w:rsidRDefault="00BE7C89">
            <w:pPr>
              <w:pStyle w:val="BodyText"/>
              <w:spacing w:before="100" w:after="100"/>
              <w:jc w:val="center"/>
              <w:rPr>
                <w:lang w:val="en-AU" w:eastAsia="en-AU"/>
              </w:rPr>
            </w:pPr>
            <w:r>
              <w:rPr>
                <w:lang w:val="en-AU" w:eastAsia="en-AU"/>
              </w:rPr>
              <w:t>Monthly or 12 or 24 Months</w:t>
            </w:r>
          </w:p>
        </w:tc>
        <w:tc>
          <w:tcPr>
            <w:tcW w:w="556" w:type="pct"/>
          </w:tcPr>
          <w:p w14:paraId="6FB0F11A" w14:textId="77777777" w:rsidR="000D07EA" w:rsidRDefault="00BE7C89">
            <w:pPr>
              <w:pStyle w:val="BodyText"/>
              <w:spacing w:before="100" w:after="100"/>
              <w:jc w:val="center"/>
              <w:rPr>
                <w:lang w:val="en-AU" w:eastAsia="en-AU"/>
              </w:rPr>
            </w:pPr>
            <w:r>
              <w:rPr>
                <w:lang w:val="en-AU" w:eastAsia="en-AU"/>
              </w:rPr>
              <w:t>Monthly or 12 or 24 Months</w:t>
            </w:r>
          </w:p>
        </w:tc>
      </w:tr>
    </w:tbl>
    <w:p w14:paraId="114CE83B" w14:textId="77777777" w:rsidR="000D07EA" w:rsidRDefault="00BE7C89">
      <w:pPr>
        <w:pStyle w:val="BodyText"/>
        <w:spacing w:after="0"/>
        <w:rPr>
          <w:sz w:val="16"/>
          <w:szCs w:val="16"/>
          <w:lang w:val="en-AU" w:eastAsia="en-AU"/>
        </w:rPr>
      </w:pPr>
      <w:r>
        <w:rPr>
          <w:sz w:val="16"/>
          <w:szCs w:val="16"/>
          <w:lang w:val="en-AU" w:eastAsia="en-AU"/>
        </w:rPr>
        <w:t>Please note:</w:t>
      </w:r>
    </w:p>
    <w:p w14:paraId="4E75D24F" w14:textId="77777777" w:rsidR="000D07EA" w:rsidRDefault="00BE7C89">
      <w:pPr>
        <w:pStyle w:val="BodyText"/>
        <w:spacing w:after="0"/>
        <w:rPr>
          <w:sz w:val="16"/>
          <w:szCs w:val="16"/>
          <w:lang w:val="en-AU"/>
        </w:rPr>
      </w:pPr>
      <w:r>
        <w:rPr>
          <w:sz w:val="16"/>
          <w:szCs w:val="16"/>
          <w:lang w:val="en-AU"/>
        </w:rPr>
        <w:t>(i)</w:t>
      </w:r>
      <w:r>
        <w:rPr>
          <w:sz w:val="16"/>
          <w:szCs w:val="16"/>
          <w:lang w:val="en-AU"/>
        </w:rPr>
        <w:tab/>
        <w:t>"</w:t>
      </w:r>
      <w:r>
        <w:rPr>
          <w:sz w:val="16"/>
          <w:szCs w:val="16"/>
          <w:lang w:val="en-AU" w:eastAsia="en-AU"/>
        </w:rPr>
        <w:t>SmartFleet</w:t>
      </w:r>
      <w:r>
        <w:rPr>
          <w:sz w:val="16"/>
          <w:szCs w:val="16"/>
          <w:lang w:val="en-AU"/>
        </w:rPr>
        <w:t>", "SmartRate" and "Back2Business" call rates may apply.</w:t>
      </w:r>
    </w:p>
    <w:p w14:paraId="1912075B" w14:textId="77777777" w:rsidR="000D07EA" w:rsidRDefault="00BE7C89">
      <w:pPr>
        <w:pStyle w:val="BodyText"/>
        <w:spacing w:after="0"/>
        <w:rPr>
          <w:sz w:val="16"/>
          <w:szCs w:val="16"/>
          <w:lang w:val="en-AU" w:eastAsia="en-AU"/>
        </w:rPr>
      </w:pPr>
      <w:r>
        <w:rPr>
          <w:sz w:val="16"/>
          <w:szCs w:val="16"/>
          <w:lang w:val="en-AU" w:eastAsia="en-AU"/>
        </w:rPr>
        <w:t>(ii)</w:t>
      </w:r>
      <w:r>
        <w:rPr>
          <w:sz w:val="16"/>
          <w:szCs w:val="16"/>
          <w:lang w:val="en-AU" w:eastAsia="en-AU"/>
        </w:rPr>
        <w:tab/>
        <w:t>Minimum Monthly Commitment applies regardless of your calls and services usage.</w:t>
      </w:r>
    </w:p>
    <w:p w14:paraId="63B0DBB0" w14:textId="77777777" w:rsidR="000D07EA" w:rsidRDefault="00BE7C89">
      <w:pPr>
        <w:pStyle w:val="BodyText"/>
        <w:rPr>
          <w:lang w:val="en-AU"/>
        </w:rPr>
      </w:pPr>
      <w:r>
        <w:rPr>
          <w:rStyle w:val="BodyTextChar"/>
        </w:rPr>
        <w:br w:type="page"/>
      </w:r>
      <w:r>
        <w:rPr>
          <w:lang w:val="en-AU"/>
        </w:rPr>
        <w:lastRenderedPageBreak/>
        <w:t xml:space="preserve">The following applies to </w:t>
      </w:r>
      <w:r>
        <w:rPr>
          <w:i/>
          <w:lang w:val="en-AU"/>
        </w:rPr>
        <w:t>you</w:t>
      </w:r>
      <w:r>
        <w:rPr>
          <w:lang w:val="en-AU"/>
        </w:rPr>
        <w:t xml:space="preserve"> if </w:t>
      </w:r>
      <w:r>
        <w:rPr>
          <w:i/>
          <w:lang w:val="en-AU"/>
        </w:rPr>
        <w:t>you</w:t>
      </w:r>
      <w:r>
        <w:rPr>
          <w:lang w:val="en-AU"/>
        </w:rPr>
        <w:t xml:space="preserve"> connected to a 'yes' Business Smart 6+ plan after 28 July 2008: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74"/>
        <w:gridCol w:w="1683"/>
        <w:gridCol w:w="1682"/>
        <w:gridCol w:w="1682"/>
        <w:gridCol w:w="1682"/>
        <w:gridCol w:w="1682"/>
        <w:gridCol w:w="1682"/>
        <w:gridCol w:w="1682"/>
        <w:gridCol w:w="1679"/>
      </w:tblGrid>
      <w:tr w:rsidR="000D07EA" w14:paraId="69876C46" w14:textId="77777777">
        <w:tc>
          <w:tcPr>
            <w:tcW w:w="553" w:type="pct"/>
          </w:tcPr>
          <w:p w14:paraId="12E8E088" w14:textId="77777777" w:rsidR="000D07EA" w:rsidRDefault="00BE7C89">
            <w:pPr>
              <w:pStyle w:val="BodyText"/>
              <w:spacing w:before="100" w:after="100"/>
              <w:rPr>
                <w:i/>
                <w:color w:val="000000"/>
                <w:lang w:val="en-AU" w:eastAsia="en-AU"/>
              </w:rPr>
            </w:pPr>
            <w:r>
              <w:rPr>
                <w:i/>
                <w:lang w:val="en-AU" w:eastAsia="en-AU"/>
              </w:rPr>
              <w:t>Charge Type</w:t>
            </w:r>
          </w:p>
        </w:tc>
        <w:tc>
          <w:tcPr>
            <w:tcW w:w="556" w:type="pct"/>
          </w:tcPr>
          <w:p w14:paraId="0AFA82F9" w14:textId="77777777" w:rsidR="000D07EA" w:rsidRDefault="00BE7C89">
            <w:pPr>
              <w:pStyle w:val="BodyText"/>
              <w:spacing w:before="100" w:after="100"/>
              <w:jc w:val="center"/>
              <w:rPr>
                <w:b/>
                <w:lang w:val="en-AU" w:eastAsia="en-AU"/>
              </w:rPr>
            </w:pPr>
            <w:r>
              <w:rPr>
                <w:b/>
                <w:lang w:val="en-AU" w:eastAsia="en-AU"/>
              </w:rPr>
              <w:t>'yes' Business Smart 29 Plan</w:t>
            </w:r>
          </w:p>
        </w:tc>
        <w:tc>
          <w:tcPr>
            <w:tcW w:w="556" w:type="pct"/>
          </w:tcPr>
          <w:p w14:paraId="477F3B76" w14:textId="77777777" w:rsidR="000D07EA" w:rsidRDefault="00BE7C89">
            <w:pPr>
              <w:pStyle w:val="BodyText"/>
              <w:spacing w:before="100" w:after="100"/>
              <w:jc w:val="center"/>
              <w:rPr>
                <w:b/>
                <w:lang w:val="en-AU" w:eastAsia="en-AU"/>
              </w:rPr>
            </w:pPr>
            <w:r>
              <w:rPr>
                <w:b/>
                <w:lang w:val="en-AU" w:eastAsia="en-AU"/>
              </w:rPr>
              <w:t>'yes' Business Smart 39 Plan</w:t>
            </w:r>
          </w:p>
        </w:tc>
        <w:tc>
          <w:tcPr>
            <w:tcW w:w="556" w:type="pct"/>
          </w:tcPr>
          <w:p w14:paraId="7718EFC3" w14:textId="77777777" w:rsidR="000D07EA" w:rsidRDefault="00BE7C89">
            <w:pPr>
              <w:pStyle w:val="BodyText"/>
              <w:spacing w:before="100" w:after="100"/>
              <w:jc w:val="center"/>
              <w:rPr>
                <w:b/>
                <w:lang w:val="en-AU" w:eastAsia="en-AU"/>
              </w:rPr>
            </w:pPr>
            <w:r>
              <w:rPr>
                <w:b/>
                <w:lang w:val="en-AU" w:eastAsia="en-AU"/>
              </w:rPr>
              <w:t>'yes' Business Smart 49 Plan</w:t>
            </w:r>
          </w:p>
        </w:tc>
        <w:tc>
          <w:tcPr>
            <w:tcW w:w="556" w:type="pct"/>
          </w:tcPr>
          <w:p w14:paraId="12B2FA23" w14:textId="77777777" w:rsidR="000D07EA" w:rsidRDefault="00BE7C89">
            <w:pPr>
              <w:pStyle w:val="BodyText"/>
              <w:spacing w:before="100" w:after="100"/>
              <w:jc w:val="center"/>
              <w:rPr>
                <w:b/>
                <w:lang w:val="en-AU" w:eastAsia="en-AU"/>
              </w:rPr>
            </w:pPr>
            <w:r>
              <w:rPr>
                <w:b/>
                <w:lang w:val="en-AU" w:eastAsia="en-AU"/>
              </w:rPr>
              <w:t>'yes' Business Smart 59 Plan</w:t>
            </w:r>
          </w:p>
        </w:tc>
        <w:tc>
          <w:tcPr>
            <w:tcW w:w="556" w:type="pct"/>
          </w:tcPr>
          <w:p w14:paraId="7732D293" w14:textId="77777777" w:rsidR="000D07EA" w:rsidRDefault="00BE7C89">
            <w:pPr>
              <w:pStyle w:val="BodyText"/>
              <w:spacing w:before="100" w:after="100"/>
              <w:jc w:val="center"/>
              <w:rPr>
                <w:b/>
                <w:lang w:val="en-AU" w:eastAsia="en-AU"/>
              </w:rPr>
            </w:pPr>
            <w:r>
              <w:rPr>
                <w:b/>
                <w:lang w:val="en-AU" w:eastAsia="en-AU"/>
              </w:rPr>
              <w:t>'yes' Business Smart 79 Plan</w:t>
            </w:r>
          </w:p>
        </w:tc>
        <w:tc>
          <w:tcPr>
            <w:tcW w:w="556" w:type="pct"/>
          </w:tcPr>
          <w:p w14:paraId="73C544A4" w14:textId="77777777" w:rsidR="000D07EA" w:rsidRDefault="00BE7C89">
            <w:pPr>
              <w:pStyle w:val="BodyText"/>
              <w:spacing w:before="100" w:after="100"/>
              <w:jc w:val="center"/>
              <w:rPr>
                <w:b/>
                <w:lang w:val="en-AU" w:eastAsia="en-AU"/>
              </w:rPr>
            </w:pPr>
            <w:r>
              <w:rPr>
                <w:b/>
                <w:lang w:val="en-AU" w:eastAsia="en-AU"/>
              </w:rPr>
              <w:t>'yes' Business Smart 99 Plan</w:t>
            </w:r>
          </w:p>
        </w:tc>
        <w:tc>
          <w:tcPr>
            <w:tcW w:w="556" w:type="pct"/>
          </w:tcPr>
          <w:p w14:paraId="71E72F80" w14:textId="77777777" w:rsidR="000D07EA" w:rsidRDefault="00BE7C89">
            <w:pPr>
              <w:pStyle w:val="BodyText"/>
              <w:spacing w:before="100" w:after="100"/>
              <w:jc w:val="center"/>
              <w:rPr>
                <w:b/>
                <w:lang w:val="en-AU" w:eastAsia="en-AU"/>
              </w:rPr>
            </w:pPr>
            <w:r>
              <w:rPr>
                <w:b/>
                <w:lang w:val="en-AU" w:eastAsia="en-AU"/>
              </w:rPr>
              <w:t>'yes' Business Smart 149 Plan</w:t>
            </w:r>
          </w:p>
        </w:tc>
        <w:tc>
          <w:tcPr>
            <w:tcW w:w="556" w:type="pct"/>
          </w:tcPr>
          <w:p w14:paraId="4D163F4E" w14:textId="77777777" w:rsidR="000D07EA" w:rsidRDefault="00BE7C89">
            <w:pPr>
              <w:pStyle w:val="BodyText"/>
              <w:spacing w:before="100" w:after="100"/>
              <w:jc w:val="center"/>
              <w:rPr>
                <w:b/>
                <w:lang w:val="en-AU" w:eastAsia="en-AU"/>
              </w:rPr>
            </w:pPr>
            <w:r>
              <w:rPr>
                <w:b/>
                <w:lang w:val="en-AU" w:eastAsia="en-AU"/>
              </w:rPr>
              <w:t>'yes' Business Smart 249 Plan</w:t>
            </w:r>
          </w:p>
        </w:tc>
      </w:tr>
      <w:tr w:rsidR="000D07EA" w14:paraId="59209D38" w14:textId="77777777">
        <w:tc>
          <w:tcPr>
            <w:tcW w:w="553" w:type="pct"/>
          </w:tcPr>
          <w:p w14:paraId="0B51AA93" w14:textId="77777777" w:rsidR="000D07EA" w:rsidRDefault="00BE7C89">
            <w:pPr>
              <w:pStyle w:val="BodyText"/>
              <w:spacing w:before="100" w:after="100"/>
              <w:rPr>
                <w:b/>
                <w:i/>
                <w:lang w:val="en-AU" w:eastAsia="en-AU"/>
              </w:rPr>
            </w:pPr>
            <w:r>
              <w:rPr>
                <w:b/>
                <w:i/>
                <w:lang w:val="en-AU" w:eastAsia="en-AU"/>
              </w:rPr>
              <w:t>Minimum Monthly Commitment</w:t>
            </w:r>
          </w:p>
        </w:tc>
        <w:tc>
          <w:tcPr>
            <w:tcW w:w="556" w:type="pct"/>
          </w:tcPr>
          <w:p w14:paraId="57098784" w14:textId="77777777" w:rsidR="000D07EA" w:rsidRDefault="00BE7C89">
            <w:pPr>
              <w:pStyle w:val="BodyText"/>
              <w:spacing w:before="100" w:after="100"/>
              <w:jc w:val="center"/>
              <w:rPr>
                <w:lang w:val="en-AU" w:eastAsia="en-AU"/>
              </w:rPr>
            </w:pPr>
            <w:r>
              <w:rPr>
                <w:lang w:val="en-AU" w:eastAsia="en-AU"/>
              </w:rPr>
              <w:t>$26.36</w:t>
            </w:r>
            <w:r>
              <w:rPr>
                <w:lang w:val="en-AU" w:eastAsia="en-AU"/>
              </w:rPr>
              <w:br/>
              <w:t>($29)</w:t>
            </w:r>
          </w:p>
        </w:tc>
        <w:tc>
          <w:tcPr>
            <w:tcW w:w="556" w:type="pct"/>
          </w:tcPr>
          <w:p w14:paraId="23A0C30C" w14:textId="77777777" w:rsidR="000D07EA" w:rsidRDefault="00BE7C89">
            <w:pPr>
              <w:pStyle w:val="BodyText"/>
              <w:spacing w:before="100" w:after="100"/>
              <w:jc w:val="center"/>
              <w:rPr>
                <w:lang w:val="en-AU" w:eastAsia="en-AU"/>
              </w:rPr>
            </w:pPr>
            <w:r>
              <w:rPr>
                <w:lang w:val="en-AU" w:eastAsia="en-AU"/>
              </w:rPr>
              <w:t>$35.45</w:t>
            </w:r>
            <w:r>
              <w:rPr>
                <w:lang w:val="en-AU" w:eastAsia="en-AU"/>
              </w:rPr>
              <w:br/>
              <w:t>($39)</w:t>
            </w:r>
          </w:p>
        </w:tc>
        <w:tc>
          <w:tcPr>
            <w:tcW w:w="556" w:type="pct"/>
          </w:tcPr>
          <w:p w14:paraId="69677302" w14:textId="77777777" w:rsidR="000D07EA" w:rsidRDefault="00BE7C89">
            <w:pPr>
              <w:pStyle w:val="BodyText"/>
              <w:spacing w:before="100" w:after="100"/>
              <w:jc w:val="center"/>
              <w:rPr>
                <w:lang w:val="en-AU" w:eastAsia="en-AU"/>
              </w:rPr>
            </w:pPr>
            <w:r>
              <w:rPr>
                <w:lang w:val="en-AU" w:eastAsia="en-AU"/>
              </w:rPr>
              <w:t>$44.54</w:t>
            </w:r>
            <w:r>
              <w:rPr>
                <w:lang w:val="en-AU" w:eastAsia="en-AU"/>
              </w:rPr>
              <w:br/>
              <w:t>($49)</w:t>
            </w:r>
          </w:p>
        </w:tc>
        <w:tc>
          <w:tcPr>
            <w:tcW w:w="556" w:type="pct"/>
          </w:tcPr>
          <w:p w14:paraId="40B3F0CA" w14:textId="77777777" w:rsidR="000D07EA" w:rsidRDefault="00BE7C89">
            <w:pPr>
              <w:pStyle w:val="BodyText"/>
              <w:spacing w:before="100" w:after="100"/>
              <w:jc w:val="center"/>
              <w:rPr>
                <w:lang w:val="en-AU" w:eastAsia="en-AU"/>
              </w:rPr>
            </w:pPr>
            <w:r>
              <w:rPr>
                <w:lang w:val="en-AU" w:eastAsia="en-AU"/>
              </w:rPr>
              <w:t>$53.63</w:t>
            </w:r>
            <w:r>
              <w:rPr>
                <w:lang w:val="en-AU" w:eastAsia="en-AU"/>
              </w:rPr>
              <w:br/>
              <w:t>($59)</w:t>
            </w:r>
          </w:p>
        </w:tc>
        <w:tc>
          <w:tcPr>
            <w:tcW w:w="556" w:type="pct"/>
          </w:tcPr>
          <w:p w14:paraId="52293FC9" w14:textId="77777777" w:rsidR="000D07EA" w:rsidRDefault="00BE7C89">
            <w:pPr>
              <w:pStyle w:val="BodyText"/>
              <w:spacing w:before="100" w:after="100"/>
              <w:jc w:val="center"/>
              <w:rPr>
                <w:lang w:val="en-AU" w:eastAsia="en-AU"/>
              </w:rPr>
            </w:pPr>
            <w:r>
              <w:rPr>
                <w:lang w:val="en-AU" w:eastAsia="en-AU"/>
              </w:rPr>
              <w:t>$71.81</w:t>
            </w:r>
            <w:r>
              <w:rPr>
                <w:lang w:val="en-AU" w:eastAsia="en-AU"/>
              </w:rPr>
              <w:br/>
              <w:t>($79)</w:t>
            </w:r>
          </w:p>
        </w:tc>
        <w:tc>
          <w:tcPr>
            <w:tcW w:w="556" w:type="pct"/>
          </w:tcPr>
          <w:p w14:paraId="1380EA06" w14:textId="77777777" w:rsidR="000D07EA" w:rsidRDefault="00BE7C89">
            <w:pPr>
              <w:pStyle w:val="BodyText"/>
              <w:spacing w:before="100" w:after="100"/>
              <w:jc w:val="center"/>
              <w:rPr>
                <w:lang w:val="en-AU" w:eastAsia="en-AU"/>
              </w:rPr>
            </w:pPr>
            <w:r>
              <w:rPr>
                <w:lang w:val="en-AU" w:eastAsia="en-AU"/>
              </w:rPr>
              <w:t>$90</w:t>
            </w:r>
            <w:r>
              <w:rPr>
                <w:lang w:val="en-AU" w:eastAsia="en-AU"/>
              </w:rPr>
              <w:br/>
              <w:t>($99)</w:t>
            </w:r>
          </w:p>
        </w:tc>
        <w:tc>
          <w:tcPr>
            <w:tcW w:w="556" w:type="pct"/>
          </w:tcPr>
          <w:p w14:paraId="539EA026" w14:textId="77777777" w:rsidR="000D07EA" w:rsidRDefault="00BE7C89">
            <w:pPr>
              <w:pStyle w:val="BodyText"/>
              <w:spacing w:before="100" w:after="100"/>
              <w:jc w:val="center"/>
              <w:rPr>
                <w:lang w:val="en-AU" w:eastAsia="en-AU"/>
              </w:rPr>
            </w:pPr>
            <w:r>
              <w:rPr>
                <w:lang w:val="en-AU" w:eastAsia="en-AU"/>
              </w:rPr>
              <w:t>$135.45</w:t>
            </w:r>
            <w:r>
              <w:rPr>
                <w:lang w:val="en-AU" w:eastAsia="en-AU"/>
              </w:rPr>
              <w:br/>
              <w:t>($149)</w:t>
            </w:r>
          </w:p>
        </w:tc>
        <w:tc>
          <w:tcPr>
            <w:tcW w:w="556" w:type="pct"/>
          </w:tcPr>
          <w:p w14:paraId="0772C5F3" w14:textId="77777777" w:rsidR="000D07EA" w:rsidRDefault="00BE7C89">
            <w:pPr>
              <w:pStyle w:val="BodyText"/>
              <w:spacing w:before="100" w:after="100"/>
              <w:jc w:val="center"/>
              <w:rPr>
                <w:lang w:val="en-AU" w:eastAsia="en-AU"/>
              </w:rPr>
            </w:pPr>
            <w:r>
              <w:rPr>
                <w:lang w:val="en-AU" w:eastAsia="en-AU"/>
              </w:rPr>
              <w:t>$226.36</w:t>
            </w:r>
            <w:r>
              <w:rPr>
                <w:lang w:val="en-AU" w:eastAsia="en-AU"/>
              </w:rPr>
              <w:br/>
              <w:t>($249)</w:t>
            </w:r>
          </w:p>
        </w:tc>
      </w:tr>
      <w:tr w:rsidR="000D07EA" w14:paraId="5C5677EE" w14:textId="77777777">
        <w:tc>
          <w:tcPr>
            <w:tcW w:w="553" w:type="pct"/>
            <w:tcBorders>
              <w:bottom w:val="nil"/>
            </w:tcBorders>
          </w:tcPr>
          <w:p w14:paraId="533C520C" w14:textId="77777777" w:rsidR="000D07EA" w:rsidRDefault="00BE7C89">
            <w:pPr>
              <w:pStyle w:val="BodyText"/>
              <w:spacing w:before="100" w:after="100"/>
              <w:rPr>
                <w:b/>
                <w:lang w:val="en-AU" w:eastAsia="en-AU"/>
              </w:rPr>
            </w:pPr>
            <w:r>
              <w:rPr>
                <w:b/>
                <w:lang w:val="en-AU" w:eastAsia="en-AU"/>
              </w:rPr>
              <w:t>Access fee</w:t>
            </w:r>
          </w:p>
        </w:tc>
        <w:tc>
          <w:tcPr>
            <w:tcW w:w="556" w:type="pct"/>
            <w:tcBorders>
              <w:bottom w:val="nil"/>
            </w:tcBorders>
          </w:tcPr>
          <w:p w14:paraId="4C2474FE" w14:textId="77777777" w:rsidR="000D07EA" w:rsidRDefault="00BE7C89">
            <w:pPr>
              <w:pStyle w:val="BodyText"/>
              <w:spacing w:before="100" w:after="100"/>
              <w:jc w:val="center"/>
              <w:rPr>
                <w:lang w:val="en-AU" w:eastAsia="en-AU"/>
              </w:rPr>
            </w:pPr>
            <w:r>
              <w:rPr>
                <w:lang w:val="en-AU" w:eastAsia="en-AU"/>
              </w:rPr>
              <w:t>$9.09</w:t>
            </w:r>
            <w:r>
              <w:rPr>
                <w:lang w:val="en-AU" w:eastAsia="en-AU"/>
              </w:rPr>
              <w:br/>
              <w:t>($10)</w:t>
            </w:r>
          </w:p>
        </w:tc>
        <w:tc>
          <w:tcPr>
            <w:tcW w:w="556" w:type="pct"/>
            <w:tcBorders>
              <w:bottom w:val="nil"/>
            </w:tcBorders>
          </w:tcPr>
          <w:p w14:paraId="2DA91DEC" w14:textId="77777777" w:rsidR="000D07EA" w:rsidRDefault="00BE7C89">
            <w:pPr>
              <w:pStyle w:val="BodyText"/>
              <w:spacing w:before="100" w:after="100"/>
              <w:jc w:val="center"/>
              <w:rPr>
                <w:lang w:val="en-AU" w:eastAsia="en-AU"/>
              </w:rPr>
            </w:pPr>
            <w:r>
              <w:rPr>
                <w:lang w:val="en-AU" w:eastAsia="en-AU"/>
              </w:rPr>
              <w:t>$0</w:t>
            </w:r>
          </w:p>
        </w:tc>
        <w:tc>
          <w:tcPr>
            <w:tcW w:w="556" w:type="pct"/>
            <w:tcBorders>
              <w:bottom w:val="nil"/>
            </w:tcBorders>
          </w:tcPr>
          <w:p w14:paraId="4BEDC4EB" w14:textId="77777777" w:rsidR="000D07EA" w:rsidRDefault="00BE7C89">
            <w:pPr>
              <w:pStyle w:val="BodyText"/>
              <w:spacing w:before="100" w:after="100"/>
              <w:jc w:val="center"/>
              <w:rPr>
                <w:lang w:val="en-AU" w:eastAsia="en-AU"/>
              </w:rPr>
            </w:pPr>
            <w:r>
              <w:rPr>
                <w:lang w:val="en-AU" w:eastAsia="en-AU"/>
              </w:rPr>
              <w:t>$0</w:t>
            </w:r>
          </w:p>
        </w:tc>
        <w:tc>
          <w:tcPr>
            <w:tcW w:w="556" w:type="pct"/>
            <w:tcBorders>
              <w:bottom w:val="nil"/>
            </w:tcBorders>
          </w:tcPr>
          <w:p w14:paraId="7BA85192" w14:textId="77777777" w:rsidR="000D07EA" w:rsidRDefault="00BE7C89">
            <w:pPr>
              <w:pStyle w:val="BodyText"/>
              <w:spacing w:before="100" w:after="100"/>
              <w:jc w:val="center"/>
              <w:rPr>
                <w:lang w:val="en-AU" w:eastAsia="en-AU"/>
              </w:rPr>
            </w:pPr>
            <w:r>
              <w:rPr>
                <w:lang w:val="en-AU" w:eastAsia="en-AU"/>
              </w:rPr>
              <w:t>$0</w:t>
            </w:r>
          </w:p>
        </w:tc>
        <w:tc>
          <w:tcPr>
            <w:tcW w:w="556" w:type="pct"/>
            <w:tcBorders>
              <w:bottom w:val="nil"/>
            </w:tcBorders>
          </w:tcPr>
          <w:p w14:paraId="034E44F4" w14:textId="77777777" w:rsidR="000D07EA" w:rsidRDefault="00BE7C89">
            <w:pPr>
              <w:pStyle w:val="BodyText"/>
              <w:spacing w:before="100" w:after="100"/>
              <w:jc w:val="center"/>
              <w:rPr>
                <w:lang w:val="en-AU" w:eastAsia="en-AU"/>
              </w:rPr>
            </w:pPr>
            <w:r>
              <w:rPr>
                <w:lang w:val="en-AU" w:eastAsia="en-AU"/>
              </w:rPr>
              <w:t>$0</w:t>
            </w:r>
          </w:p>
        </w:tc>
        <w:tc>
          <w:tcPr>
            <w:tcW w:w="556" w:type="pct"/>
            <w:tcBorders>
              <w:bottom w:val="nil"/>
            </w:tcBorders>
          </w:tcPr>
          <w:p w14:paraId="6CB8024E" w14:textId="77777777" w:rsidR="000D07EA" w:rsidRDefault="00BE7C89">
            <w:pPr>
              <w:pStyle w:val="BodyText"/>
              <w:spacing w:before="100" w:after="100"/>
              <w:jc w:val="center"/>
              <w:rPr>
                <w:lang w:val="en-AU" w:eastAsia="en-AU"/>
              </w:rPr>
            </w:pPr>
            <w:r>
              <w:rPr>
                <w:lang w:val="en-AU" w:eastAsia="en-AU"/>
              </w:rPr>
              <w:t>$0</w:t>
            </w:r>
          </w:p>
        </w:tc>
        <w:tc>
          <w:tcPr>
            <w:tcW w:w="556" w:type="pct"/>
            <w:tcBorders>
              <w:bottom w:val="nil"/>
            </w:tcBorders>
          </w:tcPr>
          <w:p w14:paraId="6A3D56FB" w14:textId="77777777" w:rsidR="000D07EA" w:rsidRDefault="00BE7C89">
            <w:pPr>
              <w:pStyle w:val="BodyText"/>
              <w:spacing w:before="100" w:after="100"/>
              <w:jc w:val="center"/>
              <w:rPr>
                <w:lang w:val="en-AU" w:eastAsia="en-AU"/>
              </w:rPr>
            </w:pPr>
            <w:r>
              <w:rPr>
                <w:lang w:val="en-AU" w:eastAsia="en-AU"/>
              </w:rPr>
              <w:t>$0</w:t>
            </w:r>
          </w:p>
        </w:tc>
        <w:tc>
          <w:tcPr>
            <w:tcW w:w="556" w:type="pct"/>
            <w:tcBorders>
              <w:bottom w:val="nil"/>
            </w:tcBorders>
          </w:tcPr>
          <w:p w14:paraId="4E3EDAA3" w14:textId="77777777" w:rsidR="000D07EA" w:rsidRDefault="00BE7C89">
            <w:pPr>
              <w:pStyle w:val="BodyText"/>
              <w:spacing w:before="100" w:after="100"/>
              <w:jc w:val="center"/>
              <w:rPr>
                <w:lang w:val="en-AU" w:eastAsia="en-AU"/>
              </w:rPr>
            </w:pPr>
            <w:r>
              <w:rPr>
                <w:lang w:val="en-AU" w:eastAsia="en-AU"/>
              </w:rPr>
              <w:t>$0</w:t>
            </w:r>
          </w:p>
        </w:tc>
      </w:tr>
      <w:tr w:rsidR="000D07EA" w14:paraId="0E3CE426" w14:textId="77777777">
        <w:tc>
          <w:tcPr>
            <w:tcW w:w="553" w:type="pct"/>
            <w:tcBorders>
              <w:bottom w:val="nil"/>
            </w:tcBorders>
          </w:tcPr>
          <w:p w14:paraId="7C43C1B2" w14:textId="77777777" w:rsidR="000D07EA" w:rsidRDefault="00BE7C89">
            <w:pPr>
              <w:pStyle w:val="BodyText"/>
              <w:spacing w:before="100" w:after="100"/>
              <w:rPr>
                <w:b/>
                <w:lang w:val="en-AU" w:eastAsia="en-AU"/>
              </w:rPr>
            </w:pPr>
            <w:r>
              <w:rPr>
                <w:b/>
                <w:lang w:val="en-AU" w:eastAsia="en-AU"/>
              </w:rPr>
              <w:t>Included value</w:t>
            </w:r>
          </w:p>
        </w:tc>
        <w:tc>
          <w:tcPr>
            <w:tcW w:w="556" w:type="pct"/>
            <w:tcBorders>
              <w:bottom w:val="nil"/>
            </w:tcBorders>
          </w:tcPr>
          <w:p w14:paraId="4E6ABA81" w14:textId="77777777" w:rsidR="000D07EA" w:rsidRDefault="00BE7C89">
            <w:pPr>
              <w:pStyle w:val="BodyText"/>
              <w:spacing w:before="100" w:after="100"/>
              <w:jc w:val="center"/>
              <w:rPr>
                <w:lang w:val="en-AU" w:eastAsia="en-AU"/>
              </w:rPr>
            </w:pPr>
            <w:r>
              <w:rPr>
                <w:lang w:val="en-AU" w:eastAsia="en-AU"/>
              </w:rPr>
              <w:t>$17.27</w:t>
            </w:r>
            <w:r>
              <w:rPr>
                <w:lang w:val="en-AU" w:eastAsia="en-AU"/>
              </w:rPr>
              <w:br/>
              <w:t>($19)</w:t>
            </w:r>
          </w:p>
        </w:tc>
        <w:tc>
          <w:tcPr>
            <w:tcW w:w="556" w:type="pct"/>
            <w:tcBorders>
              <w:bottom w:val="nil"/>
            </w:tcBorders>
          </w:tcPr>
          <w:p w14:paraId="6F81D5FB" w14:textId="77777777" w:rsidR="000D07EA" w:rsidRDefault="00BE7C89">
            <w:pPr>
              <w:pStyle w:val="BodyText"/>
              <w:spacing w:before="100" w:after="100"/>
              <w:jc w:val="center"/>
              <w:rPr>
                <w:lang w:val="en-AU" w:eastAsia="en-AU"/>
              </w:rPr>
            </w:pPr>
            <w:r>
              <w:rPr>
                <w:lang w:val="en-AU" w:eastAsia="en-AU"/>
              </w:rPr>
              <w:t>$35.45</w:t>
            </w:r>
            <w:r>
              <w:rPr>
                <w:lang w:val="en-AU" w:eastAsia="en-AU"/>
              </w:rPr>
              <w:br/>
              <w:t>($39)</w:t>
            </w:r>
          </w:p>
        </w:tc>
        <w:tc>
          <w:tcPr>
            <w:tcW w:w="556" w:type="pct"/>
            <w:tcBorders>
              <w:bottom w:val="nil"/>
            </w:tcBorders>
          </w:tcPr>
          <w:p w14:paraId="62FAE655" w14:textId="77777777" w:rsidR="000D07EA" w:rsidRDefault="00BE7C89">
            <w:pPr>
              <w:pStyle w:val="BodyText"/>
              <w:spacing w:before="100" w:after="100"/>
              <w:jc w:val="center"/>
              <w:rPr>
                <w:lang w:val="en-AU" w:eastAsia="en-AU"/>
              </w:rPr>
            </w:pPr>
            <w:r>
              <w:rPr>
                <w:lang w:val="en-AU" w:eastAsia="en-AU"/>
              </w:rPr>
              <w:t>$44.54</w:t>
            </w:r>
            <w:r>
              <w:rPr>
                <w:lang w:val="en-AU" w:eastAsia="en-AU"/>
              </w:rPr>
              <w:br/>
              <w:t>($49)</w:t>
            </w:r>
          </w:p>
        </w:tc>
        <w:tc>
          <w:tcPr>
            <w:tcW w:w="556" w:type="pct"/>
            <w:tcBorders>
              <w:bottom w:val="nil"/>
            </w:tcBorders>
          </w:tcPr>
          <w:p w14:paraId="4E63374D" w14:textId="77777777" w:rsidR="000D07EA" w:rsidRDefault="00BE7C89">
            <w:pPr>
              <w:pStyle w:val="BodyText"/>
              <w:spacing w:before="100" w:after="100"/>
              <w:jc w:val="center"/>
              <w:rPr>
                <w:lang w:val="en-AU" w:eastAsia="en-AU"/>
              </w:rPr>
            </w:pPr>
            <w:r>
              <w:rPr>
                <w:lang w:val="en-AU" w:eastAsia="en-AU"/>
              </w:rPr>
              <w:t>$53.63</w:t>
            </w:r>
            <w:r>
              <w:rPr>
                <w:lang w:val="en-AU" w:eastAsia="en-AU"/>
              </w:rPr>
              <w:br/>
              <w:t>($59)</w:t>
            </w:r>
          </w:p>
        </w:tc>
        <w:tc>
          <w:tcPr>
            <w:tcW w:w="556" w:type="pct"/>
            <w:tcBorders>
              <w:bottom w:val="nil"/>
            </w:tcBorders>
          </w:tcPr>
          <w:p w14:paraId="4F4D5871" w14:textId="77777777" w:rsidR="000D07EA" w:rsidRDefault="00BE7C89">
            <w:pPr>
              <w:pStyle w:val="BodyText"/>
              <w:spacing w:before="100" w:after="100"/>
              <w:jc w:val="center"/>
              <w:rPr>
                <w:lang w:val="en-AU" w:eastAsia="en-AU"/>
              </w:rPr>
            </w:pPr>
            <w:r>
              <w:rPr>
                <w:lang w:val="en-AU" w:eastAsia="en-AU"/>
              </w:rPr>
              <w:t>$71.81</w:t>
            </w:r>
            <w:r>
              <w:rPr>
                <w:lang w:val="en-AU" w:eastAsia="en-AU"/>
              </w:rPr>
              <w:br/>
              <w:t>($79)</w:t>
            </w:r>
          </w:p>
        </w:tc>
        <w:tc>
          <w:tcPr>
            <w:tcW w:w="556" w:type="pct"/>
            <w:tcBorders>
              <w:bottom w:val="nil"/>
            </w:tcBorders>
          </w:tcPr>
          <w:p w14:paraId="6546CE3A" w14:textId="77777777" w:rsidR="000D07EA" w:rsidRDefault="00BE7C89">
            <w:pPr>
              <w:pStyle w:val="BodyText"/>
              <w:spacing w:before="100" w:after="100"/>
              <w:jc w:val="center"/>
              <w:rPr>
                <w:lang w:val="en-AU" w:eastAsia="en-AU"/>
              </w:rPr>
            </w:pPr>
            <w:r>
              <w:rPr>
                <w:lang w:val="en-AU" w:eastAsia="en-AU"/>
              </w:rPr>
              <w:t>$90</w:t>
            </w:r>
            <w:r>
              <w:rPr>
                <w:lang w:val="en-AU" w:eastAsia="en-AU"/>
              </w:rPr>
              <w:br/>
              <w:t>($99)</w:t>
            </w:r>
          </w:p>
        </w:tc>
        <w:tc>
          <w:tcPr>
            <w:tcW w:w="556" w:type="pct"/>
            <w:tcBorders>
              <w:bottom w:val="nil"/>
            </w:tcBorders>
          </w:tcPr>
          <w:p w14:paraId="6862657A" w14:textId="77777777" w:rsidR="000D07EA" w:rsidRDefault="00BE7C89">
            <w:pPr>
              <w:pStyle w:val="BodyText"/>
              <w:spacing w:before="100" w:after="100"/>
              <w:jc w:val="center"/>
              <w:rPr>
                <w:lang w:val="en-AU" w:eastAsia="en-AU"/>
              </w:rPr>
            </w:pPr>
            <w:r>
              <w:rPr>
                <w:lang w:val="en-AU" w:eastAsia="en-AU"/>
              </w:rPr>
              <w:t>$135.45</w:t>
            </w:r>
            <w:r>
              <w:rPr>
                <w:lang w:val="en-AU" w:eastAsia="en-AU"/>
              </w:rPr>
              <w:br/>
              <w:t>($149)</w:t>
            </w:r>
          </w:p>
        </w:tc>
        <w:tc>
          <w:tcPr>
            <w:tcW w:w="556" w:type="pct"/>
            <w:tcBorders>
              <w:bottom w:val="nil"/>
            </w:tcBorders>
          </w:tcPr>
          <w:p w14:paraId="21DBF46E" w14:textId="77777777" w:rsidR="000D07EA" w:rsidRDefault="00BE7C89">
            <w:pPr>
              <w:pStyle w:val="BodyText"/>
              <w:spacing w:before="100" w:after="100"/>
              <w:jc w:val="center"/>
              <w:rPr>
                <w:lang w:val="en-AU" w:eastAsia="en-AU"/>
              </w:rPr>
            </w:pPr>
            <w:r>
              <w:rPr>
                <w:lang w:val="en-AU" w:eastAsia="en-AU"/>
              </w:rPr>
              <w:t>$226.36</w:t>
            </w:r>
            <w:r>
              <w:rPr>
                <w:lang w:val="en-AU" w:eastAsia="en-AU"/>
              </w:rPr>
              <w:br/>
              <w:t>($249)</w:t>
            </w:r>
          </w:p>
        </w:tc>
      </w:tr>
      <w:tr w:rsidR="000D07EA" w14:paraId="2EE4EC81" w14:textId="77777777">
        <w:tc>
          <w:tcPr>
            <w:tcW w:w="553" w:type="pct"/>
            <w:tcBorders>
              <w:bottom w:val="nil"/>
            </w:tcBorders>
          </w:tcPr>
          <w:p w14:paraId="51094485" w14:textId="77777777" w:rsidR="000D07EA" w:rsidRDefault="00BE7C89">
            <w:pPr>
              <w:pStyle w:val="BodyText"/>
              <w:spacing w:before="100" w:after="100"/>
              <w:rPr>
                <w:color w:val="000000"/>
                <w:lang w:val="en-AU" w:eastAsia="en-AU"/>
              </w:rPr>
            </w:pPr>
            <w:r>
              <w:rPr>
                <w:b/>
                <w:lang w:val="en-AU" w:eastAsia="en-AU"/>
              </w:rPr>
              <w:t xml:space="preserve">Standard Call Rate </w:t>
            </w:r>
            <w:r>
              <w:rPr>
                <w:lang w:val="en-AU" w:eastAsia="en-AU"/>
              </w:rPr>
              <w:t>(per 30 seconds)</w:t>
            </w:r>
            <w:r>
              <w:rPr>
                <w:lang w:val="en-AU" w:eastAsia="en-AU"/>
              </w:rPr>
              <w:br/>
            </w:r>
            <w:r>
              <w:rPr>
                <w:i/>
                <w:lang w:val="en-AU" w:eastAsia="en-AU"/>
              </w:rPr>
              <w:t>Local calls &amp; National long distance calls</w:t>
            </w:r>
          </w:p>
        </w:tc>
        <w:tc>
          <w:tcPr>
            <w:tcW w:w="556" w:type="pct"/>
            <w:tcBorders>
              <w:bottom w:val="nil"/>
            </w:tcBorders>
          </w:tcPr>
          <w:p w14:paraId="6B967D6D" w14:textId="77777777" w:rsidR="000D07EA" w:rsidRDefault="00BE7C89">
            <w:pPr>
              <w:pStyle w:val="BodyText"/>
              <w:spacing w:before="100" w:after="100"/>
              <w:jc w:val="center"/>
              <w:rPr>
                <w:lang w:val="en-AU" w:eastAsia="en-AU"/>
              </w:rPr>
            </w:pPr>
            <w:r>
              <w:rPr>
                <w:lang w:val="en-AU" w:eastAsia="en-AU"/>
              </w:rPr>
              <w:t>$0.22</w:t>
            </w:r>
            <w:r>
              <w:rPr>
                <w:lang w:val="en-AU" w:eastAsia="en-AU"/>
              </w:rPr>
              <w:br/>
              <w:t>($0.24)</w:t>
            </w:r>
          </w:p>
        </w:tc>
        <w:tc>
          <w:tcPr>
            <w:tcW w:w="556" w:type="pct"/>
            <w:tcBorders>
              <w:bottom w:val="nil"/>
            </w:tcBorders>
          </w:tcPr>
          <w:p w14:paraId="0756BA02" w14:textId="77777777" w:rsidR="000D07EA" w:rsidRDefault="00BE7C89">
            <w:pPr>
              <w:pStyle w:val="BodyText"/>
              <w:spacing w:before="100" w:after="100"/>
              <w:jc w:val="center"/>
              <w:rPr>
                <w:lang w:val="en-AU" w:eastAsia="en-AU"/>
              </w:rPr>
            </w:pPr>
            <w:r>
              <w:rPr>
                <w:lang w:val="en-AU" w:eastAsia="en-AU"/>
              </w:rPr>
              <w:t>$0.21</w:t>
            </w:r>
            <w:r>
              <w:rPr>
                <w:lang w:val="en-AU" w:eastAsia="en-AU"/>
              </w:rPr>
              <w:br/>
              <w:t>($0.23)</w:t>
            </w:r>
          </w:p>
        </w:tc>
        <w:tc>
          <w:tcPr>
            <w:tcW w:w="556" w:type="pct"/>
            <w:tcBorders>
              <w:bottom w:val="nil"/>
            </w:tcBorders>
          </w:tcPr>
          <w:p w14:paraId="252A9880" w14:textId="77777777" w:rsidR="000D07EA" w:rsidRDefault="00BE7C89">
            <w:pPr>
              <w:pStyle w:val="BodyText"/>
              <w:spacing w:before="100" w:after="100"/>
              <w:jc w:val="center"/>
              <w:rPr>
                <w:lang w:val="en-AU" w:eastAsia="en-AU"/>
              </w:rPr>
            </w:pPr>
            <w:r>
              <w:rPr>
                <w:lang w:val="en-AU" w:eastAsia="en-AU"/>
              </w:rPr>
              <w:t>$0.20</w:t>
            </w:r>
            <w:r>
              <w:rPr>
                <w:lang w:val="en-AU" w:eastAsia="en-AU"/>
              </w:rPr>
              <w:br/>
              <w:t>($0.22)</w:t>
            </w:r>
          </w:p>
        </w:tc>
        <w:tc>
          <w:tcPr>
            <w:tcW w:w="556" w:type="pct"/>
            <w:tcBorders>
              <w:bottom w:val="nil"/>
            </w:tcBorders>
          </w:tcPr>
          <w:p w14:paraId="6E291BB2" w14:textId="77777777" w:rsidR="000D07EA" w:rsidRDefault="00BE7C89">
            <w:pPr>
              <w:pStyle w:val="BodyText"/>
              <w:spacing w:before="100" w:after="100"/>
              <w:jc w:val="center"/>
              <w:rPr>
                <w:lang w:val="en-AU" w:eastAsia="en-AU"/>
              </w:rPr>
            </w:pPr>
            <w:r>
              <w:rPr>
                <w:lang w:val="en-AU" w:eastAsia="en-AU"/>
              </w:rPr>
              <w:t>$0.19</w:t>
            </w:r>
            <w:r>
              <w:rPr>
                <w:lang w:val="en-AU" w:eastAsia="en-AU"/>
              </w:rPr>
              <w:br/>
              <w:t>($0.21)</w:t>
            </w:r>
          </w:p>
        </w:tc>
        <w:tc>
          <w:tcPr>
            <w:tcW w:w="556" w:type="pct"/>
            <w:tcBorders>
              <w:bottom w:val="nil"/>
            </w:tcBorders>
          </w:tcPr>
          <w:p w14:paraId="3A187A85" w14:textId="77777777" w:rsidR="000D07EA" w:rsidRDefault="00BE7C89">
            <w:pPr>
              <w:pStyle w:val="BodyText"/>
              <w:spacing w:before="100" w:after="100"/>
              <w:jc w:val="center"/>
              <w:rPr>
                <w:lang w:val="en-AU" w:eastAsia="en-AU"/>
              </w:rPr>
            </w:pPr>
            <w:r>
              <w:rPr>
                <w:lang w:val="en-AU" w:eastAsia="en-AU"/>
              </w:rPr>
              <w:t>$0.18</w:t>
            </w:r>
            <w:r>
              <w:rPr>
                <w:lang w:val="en-AU" w:eastAsia="en-AU"/>
              </w:rPr>
              <w:br/>
              <w:t>($0.20)</w:t>
            </w:r>
          </w:p>
        </w:tc>
        <w:tc>
          <w:tcPr>
            <w:tcW w:w="556" w:type="pct"/>
            <w:tcBorders>
              <w:bottom w:val="nil"/>
            </w:tcBorders>
          </w:tcPr>
          <w:p w14:paraId="582107B9" w14:textId="77777777" w:rsidR="000D07EA" w:rsidRDefault="00BE7C89">
            <w:pPr>
              <w:pStyle w:val="BodyText"/>
              <w:spacing w:before="100" w:after="100"/>
              <w:jc w:val="center"/>
              <w:rPr>
                <w:lang w:val="en-AU" w:eastAsia="en-AU"/>
              </w:rPr>
            </w:pPr>
            <w:r>
              <w:rPr>
                <w:lang w:val="en-AU" w:eastAsia="en-AU"/>
              </w:rPr>
              <w:t>$0.17</w:t>
            </w:r>
            <w:r>
              <w:rPr>
                <w:lang w:val="en-AU" w:eastAsia="en-AU"/>
              </w:rPr>
              <w:br/>
              <w:t>($0.19)</w:t>
            </w:r>
          </w:p>
        </w:tc>
        <w:tc>
          <w:tcPr>
            <w:tcW w:w="556" w:type="pct"/>
            <w:tcBorders>
              <w:bottom w:val="nil"/>
            </w:tcBorders>
          </w:tcPr>
          <w:p w14:paraId="06322205" w14:textId="77777777" w:rsidR="000D07EA" w:rsidRDefault="00BE7C89">
            <w:pPr>
              <w:pStyle w:val="BodyText"/>
              <w:spacing w:before="100" w:after="100"/>
              <w:jc w:val="center"/>
              <w:rPr>
                <w:lang w:val="en-AU" w:eastAsia="en-AU"/>
              </w:rPr>
            </w:pPr>
            <w:r>
              <w:rPr>
                <w:lang w:val="en-AU" w:eastAsia="en-AU"/>
              </w:rPr>
              <w:t>$0.16</w:t>
            </w:r>
            <w:r>
              <w:rPr>
                <w:lang w:val="en-AU" w:eastAsia="en-AU"/>
              </w:rPr>
              <w:br/>
              <w:t>($0.18)</w:t>
            </w:r>
          </w:p>
        </w:tc>
        <w:tc>
          <w:tcPr>
            <w:tcW w:w="556" w:type="pct"/>
            <w:tcBorders>
              <w:bottom w:val="nil"/>
            </w:tcBorders>
          </w:tcPr>
          <w:p w14:paraId="4C4FDD2D" w14:textId="77777777" w:rsidR="000D07EA" w:rsidRDefault="00BE7C89">
            <w:pPr>
              <w:pStyle w:val="BodyText"/>
              <w:spacing w:before="100" w:after="100"/>
              <w:jc w:val="center"/>
              <w:rPr>
                <w:lang w:val="en-AU" w:eastAsia="en-AU"/>
              </w:rPr>
            </w:pPr>
            <w:r>
              <w:rPr>
                <w:lang w:val="en-AU" w:eastAsia="en-AU"/>
              </w:rPr>
              <w:t>$0.15</w:t>
            </w:r>
            <w:r>
              <w:rPr>
                <w:lang w:val="en-AU" w:eastAsia="en-AU"/>
              </w:rPr>
              <w:br/>
              <w:t>($0.17)</w:t>
            </w:r>
          </w:p>
        </w:tc>
      </w:tr>
      <w:tr w:rsidR="000D07EA" w14:paraId="7E0DB773" w14:textId="77777777">
        <w:tc>
          <w:tcPr>
            <w:tcW w:w="553" w:type="pct"/>
          </w:tcPr>
          <w:p w14:paraId="1F51CC95" w14:textId="77777777" w:rsidR="000D07EA" w:rsidRDefault="00BE7C89">
            <w:pPr>
              <w:pStyle w:val="BodyText"/>
              <w:spacing w:before="100" w:after="100"/>
              <w:rPr>
                <w:b/>
                <w:i/>
                <w:lang w:val="en-AU" w:eastAsia="en-AU"/>
              </w:rPr>
            </w:pPr>
            <w:r>
              <w:rPr>
                <w:b/>
                <w:i/>
                <w:lang w:val="en-AU" w:eastAsia="en-AU"/>
              </w:rPr>
              <w:t xml:space="preserve">Standard Mobile Call Rate </w:t>
            </w:r>
            <w:r>
              <w:rPr>
                <w:bCs/>
                <w:i/>
                <w:lang w:val="en-AU" w:eastAsia="en-AU"/>
              </w:rPr>
              <w:t>(per 30 seconds)</w:t>
            </w:r>
          </w:p>
        </w:tc>
        <w:tc>
          <w:tcPr>
            <w:tcW w:w="556" w:type="pct"/>
          </w:tcPr>
          <w:p w14:paraId="2022410E" w14:textId="77777777" w:rsidR="000D07EA" w:rsidRDefault="00BE7C89">
            <w:pPr>
              <w:pStyle w:val="BodyText"/>
              <w:spacing w:before="100" w:after="100"/>
              <w:jc w:val="center"/>
              <w:rPr>
                <w:lang w:val="en-AU" w:eastAsia="en-AU"/>
              </w:rPr>
            </w:pPr>
            <w:r>
              <w:rPr>
                <w:lang w:val="en-AU" w:eastAsia="en-AU"/>
              </w:rPr>
              <w:t>$0.22</w:t>
            </w:r>
            <w:r>
              <w:rPr>
                <w:lang w:val="en-AU" w:eastAsia="en-AU"/>
              </w:rPr>
              <w:br/>
              <w:t>($0.24)</w:t>
            </w:r>
          </w:p>
        </w:tc>
        <w:tc>
          <w:tcPr>
            <w:tcW w:w="556" w:type="pct"/>
          </w:tcPr>
          <w:p w14:paraId="5D267027" w14:textId="77777777" w:rsidR="000D07EA" w:rsidRDefault="00BE7C89">
            <w:pPr>
              <w:pStyle w:val="BodyText"/>
              <w:spacing w:before="100" w:after="100"/>
              <w:jc w:val="center"/>
              <w:rPr>
                <w:lang w:val="en-AU" w:eastAsia="en-AU"/>
              </w:rPr>
            </w:pPr>
            <w:r>
              <w:rPr>
                <w:lang w:val="en-AU" w:eastAsia="en-AU"/>
              </w:rPr>
              <w:t>$0.21</w:t>
            </w:r>
            <w:r>
              <w:rPr>
                <w:lang w:val="en-AU" w:eastAsia="en-AU"/>
              </w:rPr>
              <w:br/>
              <w:t>($0.23)</w:t>
            </w:r>
          </w:p>
        </w:tc>
        <w:tc>
          <w:tcPr>
            <w:tcW w:w="556" w:type="pct"/>
          </w:tcPr>
          <w:p w14:paraId="26A97F9B" w14:textId="77777777" w:rsidR="000D07EA" w:rsidRDefault="00BE7C89">
            <w:pPr>
              <w:pStyle w:val="BodyText"/>
              <w:spacing w:before="100" w:after="100"/>
              <w:jc w:val="center"/>
              <w:rPr>
                <w:lang w:val="en-AU" w:eastAsia="en-AU"/>
              </w:rPr>
            </w:pPr>
            <w:r>
              <w:rPr>
                <w:lang w:val="en-AU" w:eastAsia="en-AU"/>
              </w:rPr>
              <w:t>$0.20</w:t>
            </w:r>
            <w:r>
              <w:rPr>
                <w:lang w:val="en-AU" w:eastAsia="en-AU"/>
              </w:rPr>
              <w:br/>
              <w:t>($0.22)</w:t>
            </w:r>
          </w:p>
        </w:tc>
        <w:tc>
          <w:tcPr>
            <w:tcW w:w="556" w:type="pct"/>
          </w:tcPr>
          <w:p w14:paraId="4F912550" w14:textId="77777777" w:rsidR="000D07EA" w:rsidRDefault="00BE7C89">
            <w:pPr>
              <w:pStyle w:val="BodyText"/>
              <w:spacing w:before="100" w:after="100"/>
              <w:jc w:val="center"/>
              <w:rPr>
                <w:lang w:val="en-AU" w:eastAsia="en-AU"/>
              </w:rPr>
            </w:pPr>
            <w:r>
              <w:rPr>
                <w:lang w:val="en-AU" w:eastAsia="en-AU"/>
              </w:rPr>
              <w:t>$0.19</w:t>
            </w:r>
            <w:r>
              <w:rPr>
                <w:lang w:val="en-AU" w:eastAsia="en-AU"/>
              </w:rPr>
              <w:br/>
              <w:t>($0.21)</w:t>
            </w:r>
          </w:p>
        </w:tc>
        <w:tc>
          <w:tcPr>
            <w:tcW w:w="556" w:type="pct"/>
          </w:tcPr>
          <w:p w14:paraId="0E515D42" w14:textId="77777777" w:rsidR="000D07EA" w:rsidRDefault="00BE7C89">
            <w:pPr>
              <w:pStyle w:val="BodyText"/>
              <w:spacing w:before="100" w:after="100"/>
              <w:jc w:val="center"/>
              <w:rPr>
                <w:lang w:val="en-AU" w:eastAsia="en-AU"/>
              </w:rPr>
            </w:pPr>
            <w:r>
              <w:rPr>
                <w:lang w:val="en-AU" w:eastAsia="en-AU"/>
              </w:rPr>
              <w:t>$0.18</w:t>
            </w:r>
            <w:r>
              <w:rPr>
                <w:lang w:val="en-AU" w:eastAsia="en-AU"/>
              </w:rPr>
              <w:br/>
              <w:t>($0.20)</w:t>
            </w:r>
          </w:p>
        </w:tc>
        <w:tc>
          <w:tcPr>
            <w:tcW w:w="556" w:type="pct"/>
          </w:tcPr>
          <w:p w14:paraId="627375BB" w14:textId="77777777" w:rsidR="000D07EA" w:rsidRDefault="00BE7C89">
            <w:pPr>
              <w:pStyle w:val="BodyText"/>
              <w:spacing w:before="100" w:after="100"/>
              <w:jc w:val="center"/>
              <w:rPr>
                <w:lang w:val="en-AU" w:eastAsia="en-AU"/>
              </w:rPr>
            </w:pPr>
            <w:r>
              <w:rPr>
                <w:lang w:val="en-AU" w:eastAsia="en-AU"/>
              </w:rPr>
              <w:t>$0.17</w:t>
            </w:r>
            <w:r>
              <w:rPr>
                <w:lang w:val="en-AU" w:eastAsia="en-AU"/>
              </w:rPr>
              <w:br/>
              <w:t>($0.19)</w:t>
            </w:r>
          </w:p>
        </w:tc>
        <w:tc>
          <w:tcPr>
            <w:tcW w:w="556" w:type="pct"/>
          </w:tcPr>
          <w:p w14:paraId="02786F17" w14:textId="77777777" w:rsidR="000D07EA" w:rsidRDefault="00BE7C89">
            <w:pPr>
              <w:pStyle w:val="BodyText"/>
              <w:spacing w:before="100" w:after="100"/>
              <w:jc w:val="center"/>
              <w:rPr>
                <w:lang w:val="en-AU" w:eastAsia="en-AU"/>
              </w:rPr>
            </w:pPr>
            <w:r>
              <w:rPr>
                <w:lang w:val="en-AU" w:eastAsia="en-AU"/>
              </w:rPr>
              <w:t>$0.16</w:t>
            </w:r>
            <w:r>
              <w:rPr>
                <w:lang w:val="en-AU" w:eastAsia="en-AU"/>
              </w:rPr>
              <w:br/>
              <w:t>($0.18)</w:t>
            </w:r>
          </w:p>
        </w:tc>
        <w:tc>
          <w:tcPr>
            <w:tcW w:w="556" w:type="pct"/>
          </w:tcPr>
          <w:p w14:paraId="614A64E6" w14:textId="77777777" w:rsidR="000D07EA" w:rsidRDefault="00BE7C89">
            <w:pPr>
              <w:pStyle w:val="BodyText"/>
              <w:spacing w:before="100" w:after="100"/>
              <w:jc w:val="center"/>
              <w:rPr>
                <w:lang w:val="en-AU" w:eastAsia="en-AU"/>
              </w:rPr>
            </w:pPr>
            <w:r>
              <w:rPr>
                <w:lang w:val="en-AU" w:eastAsia="en-AU"/>
              </w:rPr>
              <w:t>$0.15</w:t>
            </w:r>
            <w:r>
              <w:rPr>
                <w:lang w:val="en-AU" w:eastAsia="en-AU"/>
              </w:rPr>
              <w:br/>
              <w:t>($0.17)</w:t>
            </w:r>
          </w:p>
        </w:tc>
      </w:tr>
      <w:tr w:rsidR="000D07EA" w14:paraId="558A5095" w14:textId="77777777">
        <w:tc>
          <w:tcPr>
            <w:tcW w:w="553" w:type="pct"/>
          </w:tcPr>
          <w:p w14:paraId="6F43BD32" w14:textId="77777777" w:rsidR="000D07EA" w:rsidRDefault="00BE7C89">
            <w:pPr>
              <w:pStyle w:val="BodyText"/>
              <w:spacing w:before="100" w:after="100"/>
              <w:rPr>
                <w:b/>
                <w:i/>
                <w:lang w:val="en-AU" w:eastAsia="en-AU"/>
              </w:rPr>
            </w:pPr>
            <w:r>
              <w:rPr>
                <w:b/>
                <w:i/>
                <w:lang w:val="en-AU" w:eastAsia="en-AU"/>
              </w:rPr>
              <w:t>Flagfall</w:t>
            </w:r>
          </w:p>
        </w:tc>
        <w:tc>
          <w:tcPr>
            <w:tcW w:w="556" w:type="pct"/>
          </w:tcPr>
          <w:p w14:paraId="14BE2246" w14:textId="77777777" w:rsidR="000D07EA" w:rsidRDefault="00BE7C89">
            <w:pPr>
              <w:pStyle w:val="BodyText"/>
              <w:spacing w:before="100" w:after="100"/>
              <w:jc w:val="center"/>
              <w:rPr>
                <w:lang w:val="en-AU" w:eastAsia="en-AU"/>
              </w:rPr>
            </w:pPr>
            <w:r>
              <w:rPr>
                <w:lang w:val="en-AU" w:eastAsia="en-AU"/>
              </w:rPr>
              <w:t>$0.18</w:t>
            </w:r>
            <w:r>
              <w:rPr>
                <w:lang w:val="en-AU" w:eastAsia="en-AU"/>
              </w:rPr>
              <w:br/>
              <w:t>($0.20)</w:t>
            </w:r>
          </w:p>
        </w:tc>
        <w:tc>
          <w:tcPr>
            <w:tcW w:w="556" w:type="pct"/>
          </w:tcPr>
          <w:p w14:paraId="5D359BB0" w14:textId="77777777" w:rsidR="000D07EA" w:rsidRDefault="00BE7C89">
            <w:pPr>
              <w:pStyle w:val="BodyText"/>
              <w:spacing w:before="100" w:after="100"/>
              <w:jc w:val="center"/>
              <w:rPr>
                <w:lang w:val="en-AU" w:eastAsia="en-AU"/>
              </w:rPr>
            </w:pPr>
            <w:r>
              <w:rPr>
                <w:lang w:val="en-AU" w:eastAsia="en-AU"/>
              </w:rPr>
              <w:t>$0.20</w:t>
            </w:r>
            <w:r>
              <w:rPr>
                <w:lang w:val="en-AU" w:eastAsia="en-AU"/>
              </w:rPr>
              <w:br/>
              <w:t>($0.20)</w:t>
            </w:r>
          </w:p>
        </w:tc>
        <w:tc>
          <w:tcPr>
            <w:tcW w:w="556" w:type="pct"/>
          </w:tcPr>
          <w:p w14:paraId="6CA29AFB" w14:textId="77777777" w:rsidR="000D07EA" w:rsidRDefault="00BE7C89">
            <w:pPr>
              <w:pStyle w:val="BodyText"/>
              <w:spacing w:before="100" w:after="100"/>
              <w:jc w:val="center"/>
              <w:rPr>
                <w:lang w:val="en-AU" w:eastAsia="en-AU"/>
              </w:rPr>
            </w:pPr>
            <w:r>
              <w:rPr>
                <w:lang w:val="en-AU" w:eastAsia="en-AU"/>
              </w:rPr>
              <w:t>$0.18</w:t>
            </w:r>
            <w:r>
              <w:rPr>
                <w:lang w:val="en-AU" w:eastAsia="en-AU"/>
              </w:rPr>
              <w:br/>
              <w:t>($0.20)</w:t>
            </w:r>
          </w:p>
        </w:tc>
        <w:tc>
          <w:tcPr>
            <w:tcW w:w="556" w:type="pct"/>
          </w:tcPr>
          <w:p w14:paraId="35208C8A" w14:textId="77777777" w:rsidR="000D07EA" w:rsidRDefault="00BE7C89">
            <w:pPr>
              <w:pStyle w:val="BodyText"/>
              <w:spacing w:before="100" w:after="100"/>
              <w:jc w:val="center"/>
              <w:rPr>
                <w:lang w:val="en-AU" w:eastAsia="en-AU"/>
              </w:rPr>
            </w:pPr>
            <w:r>
              <w:rPr>
                <w:lang w:val="en-AU" w:eastAsia="en-AU"/>
              </w:rPr>
              <w:t>$0.18</w:t>
            </w:r>
            <w:r>
              <w:rPr>
                <w:lang w:val="en-AU" w:eastAsia="en-AU"/>
              </w:rPr>
              <w:br/>
              <w:t>($0.20)</w:t>
            </w:r>
          </w:p>
        </w:tc>
        <w:tc>
          <w:tcPr>
            <w:tcW w:w="556" w:type="pct"/>
          </w:tcPr>
          <w:p w14:paraId="3CBC5FA0" w14:textId="77777777" w:rsidR="000D07EA" w:rsidRDefault="00BE7C89">
            <w:pPr>
              <w:pStyle w:val="BodyText"/>
              <w:spacing w:before="100" w:after="100"/>
              <w:jc w:val="center"/>
              <w:rPr>
                <w:lang w:val="en-AU" w:eastAsia="en-AU"/>
              </w:rPr>
            </w:pPr>
            <w:r>
              <w:rPr>
                <w:lang w:val="en-AU" w:eastAsia="en-AU"/>
              </w:rPr>
              <w:t>$0.16</w:t>
            </w:r>
            <w:r>
              <w:rPr>
                <w:lang w:val="en-AU" w:eastAsia="en-AU"/>
              </w:rPr>
              <w:br/>
              <w:t>($0.18)</w:t>
            </w:r>
          </w:p>
        </w:tc>
        <w:tc>
          <w:tcPr>
            <w:tcW w:w="556" w:type="pct"/>
          </w:tcPr>
          <w:p w14:paraId="21AD60A2" w14:textId="77777777" w:rsidR="000D07EA" w:rsidRDefault="00BE7C89">
            <w:pPr>
              <w:pStyle w:val="BodyText"/>
              <w:spacing w:before="100" w:after="100"/>
              <w:jc w:val="center"/>
              <w:rPr>
                <w:lang w:val="en-AU" w:eastAsia="en-AU"/>
              </w:rPr>
            </w:pPr>
            <w:r>
              <w:rPr>
                <w:lang w:val="en-AU" w:eastAsia="en-AU"/>
              </w:rPr>
              <w:t>$0.16</w:t>
            </w:r>
            <w:r>
              <w:rPr>
                <w:lang w:val="en-AU" w:eastAsia="en-AU"/>
              </w:rPr>
              <w:br/>
              <w:t>($0.18)</w:t>
            </w:r>
          </w:p>
        </w:tc>
        <w:tc>
          <w:tcPr>
            <w:tcW w:w="556" w:type="pct"/>
          </w:tcPr>
          <w:p w14:paraId="1360E2B9" w14:textId="77777777" w:rsidR="000D07EA" w:rsidRDefault="00BE7C89">
            <w:pPr>
              <w:pStyle w:val="BodyText"/>
              <w:spacing w:before="100" w:after="100"/>
              <w:jc w:val="center"/>
              <w:rPr>
                <w:lang w:val="en-AU" w:eastAsia="en-AU"/>
              </w:rPr>
            </w:pPr>
            <w:r>
              <w:rPr>
                <w:lang w:val="en-AU" w:eastAsia="en-AU"/>
              </w:rPr>
              <w:t>$0.16</w:t>
            </w:r>
            <w:r>
              <w:rPr>
                <w:lang w:val="en-AU" w:eastAsia="en-AU"/>
              </w:rPr>
              <w:br/>
              <w:t>($0.18)</w:t>
            </w:r>
          </w:p>
        </w:tc>
        <w:tc>
          <w:tcPr>
            <w:tcW w:w="556" w:type="pct"/>
          </w:tcPr>
          <w:p w14:paraId="06E68BB5" w14:textId="77777777" w:rsidR="000D07EA" w:rsidRDefault="00BE7C89">
            <w:pPr>
              <w:pStyle w:val="BodyText"/>
              <w:spacing w:before="100" w:after="100"/>
              <w:jc w:val="center"/>
              <w:rPr>
                <w:lang w:val="en-AU" w:eastAsia="en-AU"/>
              </w:rPr>
            </w:pPr>
            <w:r>
              <w:rPr>
                <w:lang w:val="en-AU" w:eastAsia="en-AU"/>
              </w:rPr>
              <w:t>$0.16</w:t>
            </w:r>
            <w:r>
              <w:rPr>
                <w:lang w:val="en-AU" w:eastAsia="en-AU"/>
              </w:rPr>
              <w:br/>
              <w:t>($0.18)</w:t>
            </w:r>
          </w:p>
        </w:tc>
      </w:tr>
      <w:tr w:rsidR="000D07EA" w14:paraId="600B5FE6" w14:textId="77777777">
        <w:tc>
          <w:tcPr>
            <w:tcW w:w="553" w:type="pct"/>
          </w:tcPr>
          <w:p w14:paraId="364235F4" w14:textId="77777777" w:rsidR="000D07EA" w:rsidRDefault="00BE7C89">
            <w:pPr>
              <w:pStyle w:val="BodyText"/>
              <w:spacing w:before="100" w:after="100"/>
              <w:rPr>
                <w:b/>
                <w:i/>
                <w:lang w:val="en-AU" w:eastAsia="en-AU"/>
              </w:rPr>
            </w:pPr>
            <w:r>
              <w:rPr>
                <w:b/>
                <w:i/>
                <w:lang w:val="en-AU" w:eastAsia="en-AU"/>
              </w:rPr>
              <w:t>Minimum term</w:t>
            </w:r>
          </w:p>
        </w:tc>
        <w:tc>
          <w:tcPr>
            <w:tcW w:w="556" w:type="pct"/>
          </w:tcPr>
          <w:p w14:paraId="251C929B" w14:textId="77777777" w:rsidR="000D07EA" w:rsidRDefault="00BE7C89">
            <w:pPr>
              <w:pStyle w:val="BodyText"/>
              <w:spacing w:before="100" w:after="100"/>
              <w:jc w:val="center"/>
              <w:rPr>
                <w:lang w:val="en-AU" w:eastAsia="en-AU"/>
              </w:rPr>
            </w:pPr>
            <w:r>
              <w:rPr>
                <w:lang w:val="en-AU" w:eastAsia="en-AU"/>
              </w:rPr>
              <w:t>Monthly or 12 or 24 Months</w:t>
            </w:r>
          </w:p>
        </w:tc>
        <w:tc>
          <w:tcPr>
            <w:tcW w:w="556" w:type="pct"/>
          </w:tcPr>
          <w:p w14:paraId="54310A4A" w14:textId="77777777" w:rsidR="000D07EA" w:rsidRDefault="00BE7C89">
            <w:pPr>
              <w:pStyle w:val="BodyText"/>
              <w:spacing w:before="100" w:after="100"/>
              <w:jc w:val="center"/>
              <w:rPr>
                <w:lang w:val="en-AU" w:eastAsia="en-AU"/>
              </w:rPr>
            </w:pPr>
            <w:r>
              <w:rPr>
                <w:lang w:val="en-AU" w:eastAsia="en-AU"/>
              </w:rPr>
              <w:t>Monthly or 12 or 24 Months</w:t>
            </w:r>
          </w:p>
        </w:tc>
        <w:tc>
          <w:tcPr>
            <w:tcW w:w="556" w:type="pct"/>
          </w:tcPr>
          <w:p w14:paraId="7864ABBF" w14:textId="77777777" w:rsidR="000D07EA" w:rsidRDefault="00BE7C89">
            <w:pPr>
              <w:pStyle w:val="BodyText"/>
              <w:spacing w:before="100" w:after="100"/>
              <w:jc w:val="center"/>
              <w:rPr>
                <w:lang w:val="en-AU" w:eastAsia="en-AU"/>
              </w:rPr>
            </w:pPr>
            <w:r>
              <w:rPr>
                <w:lang w:val="en-AU" w:eastAsia="en-AU"/>
              </w:rPr>
              <w:t>Monthly or 12 or 24 Months</w:t>
            </w:r>
          </w:p>
        </w:tc>
        <w:tc>
          <w:tcPr>
            <w:tcW w:w="556" w:type="pct"/>
          </w:tcPr>
          <w:p w14:paraId="491DA9AF" w14:textId="77777777" w:rsidR="000D07EA" w:rsidRDefault="00BE7C89">
            <w:pPr>
              <w:pStyle w:val="BodyText"/>
              <w:spacing w:before="100" w:after="100"/>
              <w:jc w:val="center"/>
              <w:rPr>
                <w:lang w:val="en-AU" w:eastAsia="en-AU"/>
              </w:rPr>
            </w:pPr>
            <w:r>
              <w:rPr>
                <w:lang w:val="en-AU" w:eastAsia="en-AU"/>
              </w:rPr>
              <w:t>Monthly or 12 or 24 Months</w:t>
            </w:r>
          </w:p>
        </w:tc>
        <w:tc>
          <w:tcPr>
            <w:tcW w:w="556" w:type="pct"/>
          </w:tcPr>
          <w:p w14:paraId="12037C9D" w14:textId="77777777" w:rsidR="000D07EA" w:rsidRDefault="00BE7C89">
            <w:pPr>
              <w:pStyle w:val="BodyText"/>
              <w:spacing w:before="100" w:after="100"/>
              <w:jc w:val="center"/>
              <w:rPr>
                <w:lang w:val="en-AU" w:eastAsia="en-AU"/>
              </w:rPr>
            </w:pPr>
            <w:r>
              <w:rPr>
                <w:lang w:val="en-AU" w:eastAsia="en-AU"/>
              </w:rPr>
              <w:t>Monthly or 12 or 24 Months</w:t>
            </w:r>
          </w:p>
        </w:tc>
        <w:tc>
          <w:tcPr>
            <w:tcW w:w="556" w:type="pct"/>
          </w:tcPr>
          <w:p w14:paraId="2AD044F0" w14:textId="77777777" w:rsidR="000D07EA" w:rsidRDefault="00BE7C89">
            <w:pPr>
              <w:pStyle w:val="BodyText"/>
              <w:spacing w:before="100" w:after="100"/>
              <w:jc w:val="center"/>
              <w:rPr>
                <w:lang w:val="en-AU" w:eastAsia="en-AU"/>
              </w:rPr>
            </w:pPr>
            <w:r>
              <w:rPr>
                <w:lang w:val="en-AU" w:eastAsia="en-AU"/>
              </w:rPr>
              <w:t>Monthly or 12 or 24 Months</w:t>
            </w:r>
          </w:p>
        </w:tc>
        <w:tc>
          <w:tcPr>
            <w:tcW w:w="556" w:type="pct"/>
          </w:tcPr>
          <w:p w14:paraId="12F183FB" w14:textId="77777777" w:rsidR="000D07EA" w:rsidRDefault="00BE7C89">
            <w:pPr>
              <w:pStyle w:val="BodyText"/>
              <w:spacing w:before="100" w:after="100"/>
              <w:jc w:val="center"/>
              <w:rPr>
                <w:lang w:val="en-AU" w:eastAsia="en-AU"/>
              </w:rPr>
            </w:pPr>
            <w:r>
              <w:rPr>
                <w:lang w:val="en-AU" w:eastAsia="en-AU"/>
              </w:rPr>
              <w:t>Monthly or 12 or 24 Months</w:t>
            </w:r>
          </w:p>
        </w:tc>
        <w:tc>
          <w:tcPr>
            <w:tcW w:w="556" w:type="pct"/>
          </w:tcPr>
          <w:p w14:paraId="5660F106" w14:textId="77777777" w:rsidR="000D07EA" w:rsidRDefault="00BE7C89">
            <w:pPr>
              <w:pStyle w:val="BodyText"/>
              <w:spacing w:before="100" w:after="100"/>
              <w:jc w:val="center"/>
              <w:rPr>
                <w:lang w:val="en-AU" w:eastAsia="en-AU"/>
              </w:rPr>
            </w:pPr>
            <w:r>
              <w:rPr>
                <w:lang w:val="en-AU" w:eastAsia="en-AU"/>
              </w:rPr>
              <w:t>Monthly or 12 or 24 Months</w:t>
            </w:r>
          </w:p>
        </w:tc>
      </w:tr>
    </w:tbl>
    <w:p w14:paraId="2F6AE9E6" w14:textId="77777777" w:rsidR="000D07EA" w:rsidRDefault="00BE7C89">
      <w:pPr>
        <w:pStyle w:val="BodyText"/>
        <w:spacing w:after="0"/>
        <w:rPr>
          <w:sz w:val="16"/>
          <w:szCs w:val="16"/>
          <w:lang w:val="en-AU" w:eastAsia="en-AU"/>
        </w:rPr>
      </w:pPr>
      <w:r>
        <w:rPr>
          <w:sz w:val="16"/>
          <w:szCs w:val="16"/>
          <w:lang w:val="en-AU" w:eastAsia="en-AU"/>
        </w:rPr>
        <w:t>Please note:</w:t>
      </w:r>
    </w:p>
    <w:p w14:paraId="339BF33F" w14:textId="77777777" w:rsidR="000D07EA" w:rsidRDefault="00BE7C89">
      <w:pPr>
        <w:pStyle w:val="BodyText"/>
        <w:spacing w:after="0"/>
        <w:rPr>
          <w:sz w:val="16"/>
          <w:szCs w:val="16"/>
          <w:lang w:val="en-AU"/>
        </w:rPr>
      </w:pPr>
      <w:r>
        <w:rPr>
          <w:sz w:val="16"/>
          <w:szCs w:val="16"/>
          <w:lang w:val="en-AU"/>
        </w:rPr>
        <w:t>(i)</w:t>
      </w:r>
      <w:r>
        <w:rPr>
          <w:sz w:val="16"/>
          <w:szCs w:val="16"/>
          <w:lang w:val="en-AU"/>
        </w:rPr>
        <w:tab/>
        <w:t>"</w:t>
      </w:r>
      <w:r>
        <w:rPr>
          <w:sz w:val="16"/>
          <w:szCs w:val="16"/>
          <w:lang w:val="en-AU" w:eastAsia="en-AU"/>
        </w:rPr>
        <w:t>SmartFleet</w:t>
      </w:r>
      <w:r>
        <w:rPr>
          <w:sz w:val="16"/>
          <w:szCs w:val="16"/>
          <w:lang w:val="en-AU"/>
        </w:rPr>
        <w:t>", "SmartRate" and "Back2Business" call rates may apply.</w:t>
      </w:r>
    </w:p>
    <w:p w14:paraId="00CF97CD" w14:textId="77777777" w:rsidR="000D07EA" w:rsidRDefault="00BE7C89">
      <w:pPr>
        <w:pStyle w:val="BodyText"/>
        <w:spacing w:after="0"/>
        <w:rPr>
          <w:sz w:val="16"/>
          <w:szCs w:val="16"/>
          <w:lang w:val="en-AU" w:eastAsia="en-AU"/>
        </w:rPr>
      </w:pPr>
      <w:r>
        <w:rPr>
          <w:sz w:val="16"/>
          <w:szCs w:val="16"/>
          <w:lang w:val="en-AU" w:eastAsia="en-AU"/>
        </w:rPr>
        <w:t>(ii)</w:t>
      </w:r>
      <w:r>
        <w:rPr>
          <w:sz w:val="16"/>
          <w:szCs w:val="16"/>
          <w:lang w:val="en-AU" w:eastAsia="en-AU"/>
        </w:rPr>
        <w:tab/>
        <w:t>Minimum Monthly Commitment applies regardless of your calls and services usage.</w:t>
      </w:r>
    </w:p>
    <w:p w14:paraId="36FF33C5" w14:textId="77777777" w:rsidR="000D07EA" w:rsidRDefault="000D07EA">
      <w:pPr>
        <w:pStyle w:val="BodyText"/>
      </w:pPr>
    </w:p>
    <w:p w14:paraId="7771CB0E" w14:textId="77777777" w:rsidR="000D07EA" w:rsidRDefault="000D07EA">
      <w:pPr>
        <w:pStyle w:val="BodyText"/>
        <w:sectPr w:rsidR="000D07EA">
          <w:headerReference w:type="default" r:id="rId59"/>
          <w:footerReference w:type="default" r:id="rId60"/>
          <w:pgSz w:w="16840" w:h="11900" w:orient="landscape"/>
          <w:pgMar w:top="851" w:right="851" w:bottom="851" w:left="851" w:header="461" w:footer="288" w:gutter="0"/>
          <w:cols w:space="708"/>
          <w:docGrid w:linePitch="360"/>
        </w:sectPr>
      </w:pPr>
    </w:p>
    <w:p w14:paraId="6387D01F" w14:textId="77777777" w:rsidR="000D07EA" w:rsidRDefault="00BE7C89">
      <w:pPr>
        <w:pStyle w:val="Heading6"/>
        <w:ind w:left="0" w:firstLine="0"/>
      </w:pPr>
      <w:r>
        <w:lastRenderedPageBreak/>
        <w:t xml:space="preserve">What happens if the </w:t>
      </w:r>
      <w:r>
        <w:rPr>
          <w:i/>
        </w:rPr>
        <w:t>service</w:t>
      </w:r>
      <w:r>
        <w:t xml:space="preserve"> is </w:t>
      </w:r>
      <w:r>
        <w:rPr>
          <w:i/>
        </w:rPr>
        <w:t>cancelled</w:t>
      </w:r>
      <w:r>
        <w:t xml:space="preserve"> early?</w:t>
      </w:r>
    </w:p>
    <w:p w14:paraId="6C480ECC" w14:textId="77777777" w:rsidR="000D07EA" w:rsidRDefault="00BE7C89">
      <w:pPr>
        <w:pStyle w:val="Heading7"/>
      </w:pPr>
      <w:r>
        <w:t xml:space="preserve">If </w:t>
      </w:r>
      <w:r>
        <w:rPr>
          <w:i/>
        </w:rPr>
        <w:t>you</w:t>
      </w:r>
      <w:r>
        <w:t xml:space="preserve"> cease to be an approved company </w:t>
      </w:r>
      <w:r>
        <w:rPr>
          <w:i/>
        </w:rPr>
        <w:t>you</w:t>
      </w:r>
      <w:r>
        <w:t xml:space="preserve"> may be transferred to another </w:t>
      </w:r>
      <w:r>
        <w:rPr>
          <w:i/>
        </w:rPr>
        <w:t>pricing plan</w:t>
      </w:r>
      <w:r>
        <w:t xml:space="preserve"> at </w:t>
      </w:r>
      <w:r>
        <w:rPr>
          <w:i/>
        </w:rPr>
        <w:t>our</w:t>
      </w:r>
      <w:r>
        <w:t xml:space="preserve"> discretion, or may be allowed to remain on this </w:t>
      </w:r>
      <w:r>
        <w:rPr>
          <w:i/>
        </w:rPr>
        <w:t>pricing plan</w:t>
      </w:r>
      <w:r>
        <w:t xml:space="preserve"> with the additional discounts and other benefits removed.</w:t>
      </w:r>
    </w:p>
    <w:p w14:paraId="236CAAA3" w14:textId="77777777" w:rsidR="000D07EA" w:rsidRDefault="00BE7C89">
      <w:pPr>
        <w:pStyle w:val="Heading7"/>
      </w:pPr>
      <w:r>
        <w:t xml:space="preserve">If </w:t>
      </w:r>
      <w:r>
        <w:rPr>
          <w:i/>
        </w:rPr>
        <w:t>the service is cancelled</w:t>
      </w:r>
      <w:r>
        <w:t xml:space="preserve"> before the expiry of the </w:t>
      </w:r>
      <w:r>
        <w:rPr>
          <w:i/>
        </w:rPr>
        <w:t>minimum term, you</w:t>
      </w:r>
      <w:r>
        <w:t xml:space="preserve"> will be required to pay </w:t>
      </w:r>
      <w:r>
        <w:rPr>
          <w:i/>
        </w:rPr>
        <w:t>us</w:t>
      </w:r>
      <w:r>
        <w:t>:</w:t>
      </w:r>
    </w:p>
    <w:p w14:paraId="1ADAF2E1" w14:textId="77777777" w:rsidR="000D07EA" w:rsidRDefault="00BE7C89">
      <w:pPr>
        <w:pStyle w:val="Heading8"/>
      </w:pPr>
      <w:r>
        <w:t xml:space="preserve">any usage charges incurred up to, and including, the </w:t>
      </w:r>
      <w:r>
        <w:rPr>
          <w:i/>
        </w:rPr>
        <w:t>cancellation date</w:t>
      </w:r>
      <w:r>
        <w:t>; plus</w:t>
      </w:r>
    </w:p>
    <w:p w14:paraId="5CA45609" w14:textId="77777777" w:rsidR="000D07EA" w:rsidRDefault="00BE7C89">
      <w:pPr>
        <w:pStyle w:val="Heading8"/>
      </w:pPr>
      <w:r>
        <w:t xml:space="preserve">the </w:t>
      </w:r>
      <w:r>
        <w:rPr>
          <w:i/>
        </w:rPr>
        <w:t>cancellation fee</w:t>
      </w:r>
      <w:r>
        <w:t xml:space="preserve"> set out in the table below (unless under clause 2A of the </w:t>
      </w:r>
      <w:hyperlink r:id="rId61" w:history="1">
        <w:r>
          <w:rPr>
            <w:rStyle w:val="Hyperlink"/>
            <w:i/>
          </w:rPr>
          <w:t>SMB terms</w:t>
        </w:r>
      </w:hyperlink>
      <w:r>
        <w:t xml:space="preserve">, </w:t>
      </w:r>
      <w:r>
        <w:rPr>
          <w:i/>
        </w:rPr>
        <w:t>you</w:t>
      </w:r>
      <w:r>
        <w:t xml:space="preserve"> are entitled to </w:t>
      </w:r>
      <w:r>
        <w:rPr>
          <w:i/>
        </w:rPr>
        <w:t>cancel the service</w:t>
      </w:r>
      <w:r>
        <w:t xml:space="preserve"> without incurring a </w:t>
      </w:r>
      <w:r>
        <w:rPr>
          <w:i/>
        </w:rPr>
        <w:t>cancellation fee</w:t>
      </w:r>
      <w:r>
        <w:t>); plus</w:t>
      </w:r>
    </w:p>
    <w:p w14:paraId="27858F3B" w14:textId="77777777" w:rsidR="000D07EA" w:rsidRDefault="00BE7C89">
      <w:pPr>
        <w:pStyle w:val="Heading8"/>
      </w:pPr>
      <w:r>
        <w:t xml:space="preserve">the sum of unpaid </w:t>
      </w:r>
      <w:r>
        <w:rPr>
          <w:i/>
        </w:rPr>
        <w:t>equipment charges</w:t>
      </w:r>
      <w:r>
        <w:t xml:space="preserve"> owing on </w:t>
      </w:r>
      <w:r>
        <w:rPr>
          <w:i/>
        </w:rPr>
        <w:t>your mobile phone</w:t>
      </w:r>
      <w:r>
        <w:t xml:space="preserve"> under the </w:t>
      </w:r>
      <w:r>
        <w:rPr>
          <w:i/>
        </w:rPr>
        <w:t>mobile equipment payment plan</w:t>
      </w:r>
      <w:r>
        <w:t xml:space="preserve"> (if any).</w:t>
      </w:r>
    </w:p>
    <w:p w14:paraId="49D49CDB" w14:textId="77777777" w:rsidR="000D07EA" w:rsidRDefault="00BE7C89">
      <w:pPr>
        <w:pStyle w:val="Heading7"/>
      </w:pPr>
      <w:r>
        <w:t xml:space="preserve">The </w:t>
      </w:r>
      <w:r>
        <w:rPr>
          <w:i/>
        </w:rPr>
        <w:t>cancellation fee</w:t>
      </w:r>
      <w:r>
        <w:t xml:space="preserve"> payable under paragraph </w:t>
      </w:r>
      <w:r w:rsidR="00DD544E" w:rsidRPr="00272628">
        <w:t>73</w:t>
      </w:r>
      <w:r w:rsidRPr="00272628">
        <w:t xml:space="preserve">.5(b) </w:t>
      </w:r>
      <w:r>
        <w:t xml:space="preserve">(if any) is calculated as follows: </w:t>
      </w:r>
    </w:p>
    <w:p w14:paraId="7C924FE7" w14:textId="77777777" w:rsidR="000D07EA" w:rsidRDefault="00BE7C89">
      <w:pPr>
        <w:pStyle w:val="Heading8"/>
      </w:pPr>
      <w:r>
        <w:t xml:space="preserve">If </w:t>
      </w:r>
      <w:r>
        <w:rPr>
          <w:i/>
        </w:rPr>
        <w:t>you</w:t>
      </w:r>
      <w:r>
        <w:t xml:space="preserve"> are on a 24 month </w:t>
      </w:r>
      <w:r>
        <w:rPr>
          <w:i/>
        </w:rPr>
        <w:t>pricing plan</w:t>
      </w:r>
      <w:r>
        <w:t xml:space="preserve">, the </w:t>
      </w:r>
      <w:r>
        <w:rPr>
          <w:i/>
        </w:rPr>
        <w:t>cancellation fee</w:t>
      </w:r>
      <w:r>
        <w:t xml:space="preserve"> between months 0-12 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2"/>
        <w:gridCol w:w="1273"/>
        <w:gridCol w:w="1274"/>
        <w:gridCol w:w="1274"/>
        <w:gridCol w:w="1273"/>
        <w:gridCol w:w="1274"/>
        <w:gridCol w:w="1274"/>
        <w:gridCol w:w="1274"/>
      </w:tblGrid>
      <w:tr w:rsidR="000D07EA" w14:paraId="7D9D0BC9" w14:textId="77777777">
        <w:tc>
          <w:tcPr>
            <w:tcW w:w="1301" w:type="dxa"/>
            <w:shd w:val="clear" w:color="auto" w:fill="auto"/>
          </w:tcPr>
          <w:p w14:paraId="141042AA" w14:textId="77777777" w:rsidR="000D07EA" w:rsidRDefault="00BE7C89">
            <w:pPr>
              <w:spacing w:before="100" w:after="100"/>
              <w:jc w:val="center"/>
              <w:rPr>
                <w:b/>
                <w:sz w:val="20"/>
                <w:szCs w:val="20"/>
              </w:rPr>
            </w:pPr>
            <w:r>
              <w:rPr>
                <w:rFonts w:eastAsia="Times New Roman"/>
                <w:b/>
                <w:bCs/>
                <w:sz w:val="20"/>
                <w:szCs w:val="20"/>
              </w:rPr>
              <w:t>'yes' Business Smart 6+ 29 Plan</w:t>
            </w:r>
          </w:p>
        </w:tc>
        <w:tc>
          <w:tcPr>
            <w:tcW w:w="1302" w:type="dxa"/>
            <w:shd w:val="clear" w:color="auto" w:fill="auto"/>
          </w:tcPr>
          <w:p w14:paraId="4EDA1D0B" w14:textId="77777777" w:rsidR="000D07EA" w:rsidRDefault="00BE7C89">
            <w:pPr>
              <w:spacing w:before="100" w:after="100"/>
              <w:jc w:val="center"/>
              <w:rPr>
                <w:b/>
                <w:sz w:val="20"/>
                <w:szCs w:val="20"/>
              </w:rPr>
            </w:pPr>
            <w:r>
              <w:rPr>
                <w:rFonts w:eastAsia="Times New Roman"/>
                <w:b/>
                <w:bCs/>
                <w:sz w:val="20"/>
                <w:szCs w:val="20"/>
              </w:rPr>
              <w:t>'yes' Business Smart 6+ 39 Plan</w:t>
            </w:r>
          </w:p>
        </w:tc>
        <w:tc>
          <w:tcPr>
            <w:tcW w:w="1302" w:type="dxa"/>
            <w:shd w:val="clear" w:color="auto" w:fill="auto"/>
          </w:tcPr>
          <w:p w14:paraId="20990C0F" w14:textId="77777777" w:rsidR="000D07EA" w:rsidRDefault="00BE7C89">
            <w:pPr>
              <w:spacing w:before="100" w:after="100"/>
              <w:jc w:val="center"/>
              <w:rPr>
                <w:b/>
                <w:sz w:val="20"/>
                <w:szCs w:val="20"/>
              </w:rPr>
            </w:pPr>
            <w:r>
              <w:rPr>
                <w:rFonts w:eastAsia="Times New Roman"/>
                <w:b/>
                <w:bCs/>
                <w:sz w:val="20"/>
                <w:szCs w:val="20"/>
              </w:rPr>
              <w:t>'yes' Business Smart 6+ 49 Plan</w:t>
            </w:r>
          </w:p>
        </w:tc>
        <w:tc>
          <w:tcPr>
            <w:tcW w:w="1302" w:type="dxa"/>
            <w:shd w:val="clear" w:color="auto" w:fill="auto"/>
          </w:tcPr>
          <w:p w14:paraId="2A7065DB" w14:textId="77777777" w:rsidR="000D07EA" w:rsidRDefault="00BE7C89">
            <w:pPr>
              <w:spacing w:before="100" w:after="100"/>
              <w:jc w:val="center"/>
              <w:rPr>
                <w:b/>
                <w:sz w:val="20"/>
                <w:szCs w:val="20"/>
              </w:rPr>
            </w:pPr>
            <w:r>
              <w:rPr>
                <w:rFonts w:eastAsia="Times New Roman"/>
                <w:b/>
                <w:bCs/>
                <w:sz w:val="20"/>
                <w:szCs w:val="20"/>
              </w:rPr>
              <w:t>'yes' Business Smart 6+ 59 Plan</w:t>
            </w:r>
          </w:p>
        </w:tc>
        <w:tc>
          <w:tcPr>
            <w:tcW w:w="1301" w:type="dxa"/>
            <w:shd w:val="clear" w:color="auto" w:fill="auto"/>
          </w:tcPr>
          <w:p w14:paraId="35004432" w14:textId="77777777" w:rsidR="000D07EA" w:rsidRDefault="00BE7C89">
            <w:pPr>
              <w:spacing w:before="100" w:after="100"/>
              <w:jc w:val="center"/>
              <w:rPr>
                <w:b/>
                <w:sz w:val="20"/>
                <w:szCs w:val="20"/>
              </w:rPr>
            </w:pPr>
            <w:r>
              <w:rPr>
                <w:rFonts w:eastAsia="Times New Roman"/>
                <w:b/>
                <w:bCs/>
                <w:sz w:val="20"/>
                <w:szCs w:val="20"/>
              </w:rPr>
              <w:t>'yes' Business Smart 6+ 79 Plan</w:t>
            </w:r>
          </w:p>
        </w:tc>
        <w:tc>
          <w:tcPr>
            <w:tcW w:w="1302" w:type="dxa"/>
            <w:shd w:val="clear" w:color="auto" w:fill="auto"/>
          </w:tcPr>
          <w:p w14:paraId="6645107F" w14:textId="77777777" w:rsidR="000D07EA" w:rsidRDefault="00BE7C89">
            <w:pPr>
              <w:spacing w:before="100" w:after="100"/>
              <w:jc w:val="center"/>
              <w:rPr>
                <w:b/>
                <w:sz w:val="20"/>
                <w:szCs w:val="20"/>
              </w:rPr>
            </w:pPr>
            <w:r>
              <w:rPr>
                <w:rFonts w:eastAsia="Times New Roman"/>
                <w:b/>
                <w:bCs/>
                <w:sz w:val="20"/>
                <w:szCs w:val="20"/>
              </w:rPr>
              <w:t>'yes' Business Smart 6+ 99 Plan</w:t>
            </w:r>
          </w:p>
        </w:tc>
        <w:tc>
          <w:tcPr>
            <w:tcW w:w="1302" w:type="dxa"/>
            <w:shd w:val="clear" w:color="auto" w:fill="auto"/>
          </w:tcPr>
          <w:p w14:paraId="0296CC48" w14:textId="77777777" w:rsidR="000D07EA" w:rsidRDefault="00BE7C89">
            <w:pPr>
              <w:spacing w:before="100" w:after="100"/>
              <w:jc w:val="center"/>
              <w:rPr>
                <w:b/>
                <w:sz w:val="20"/>
                <w:szCs w:val="20"/>
              </w:rPr>
            </w:pPr>
            <w:r>
              <w:rPr>
                <w:rFonts w:eastAsia="Times New Roman"/>
                <w:b/>
                <w:bCs/>
                <w:sz w:val="20"/>
                <w:szCs w:val="20"/>
              </w:rPr>
              <w:t>'yes' Business Smart 6+ 149 Plan</w:t>
            </w:r>
          </w:p>
        </w:tc>
        <w:tc>
          <w:tcPr>
            <w:tcW w:w="1302" w:type="dxa"/>
            <w:shd w:val="clear" w:color="auto" w:fill="auto"/>
          </w:tcPr>
          <w:p w14:paraId="6E278819" w14:textId="77777777" w:rsidR="000D07EA" w:rsidRDefault="00BE7C89">
            <w:pPr>
              <w:spacing w:before="100" w:after="100"/>
              <w:jc w:val="center"/>
              <w:rPr>
                <w:b/>
                <w:sz w:val="20"/>
                <w:szCs w:val="20"/>
              </w:rPr>
            </w:pPr>
            <w:r>
              <w:rPr>
                <w:rFonts w:eastAsia="Times New Roman"/>
                <w:b/>
                <w:bCs/>
                <w:sz w:val="20"/>
                <w:szCs w:val="20"/>
              </w:rPr>
              <w:t>'yes' Business Smart 6+ 249 Plan</w:t>
            </w:r>
          </w:p>
        </w:tc>
      </w:tr>
      <w:tr w:rsidR="000D07EA" w14:paraId="5C114963" w14:textId="77777777">
        <w:tc>
          <w:tcPr>
            <w:tcW w:w="1301" w:type="dxa"/>
            <w:shd w:val="clear" w:color="auto" w:fill="auto"/>
          </w:tcPr>
          <w:p w14:paraId="0CDA13BC" w14:textId="77777777" w:rsidR="000D07EA" w:rsidRDefault="00BE7C89">
            <w:pPr>
              <w:spacing w:before="100" w:after="100"/>
              <w:jc w:val="center"/>
              <w:rPr>
                <w:sz w:val="20"/>
                <w:szCs w:val="20"/>
              </w:rPr>
            </w:pPr>
            <w:r>
              <w:rPr>
                <w:rFonts w:eastAsia="Times New Roman"/>
                <w:bCs/>
                <w:sz w:val="20"/>
                <w:szCs w:val="20"/>
              </w:rPr>
              <w:t>$272.73</w:t>
            </w:r>
            <w:r>
              <w:rPr>
                <w:rFonts w:eastAsia="Times New Roman"/>
                <w:bCs/>
                <w:sz w:val="20"/>
                <w:szCs w:val="20"/>
              </w:rPr>
              <w:br/>
              <w:t>($300)</w:t>
            </w:r>
          </w:p>
        </w:tc>
        <w:tc>
          <w:tcPr>
            <w:tcW w:w="1302" w:type="dxa"/>
            <w:shd w:val="clear" w:color="auto" w:fill="auto"/>
          </w:tcPr>
          <w:p w14:paraId="2533D490" w14:textId="77777777" w:rsidR="000D07EA" w:rsidRDefault="00BE7C89">
            <w:pPr>
              <w:spacing w:before="100" w:after="100"/>
              <w:jc w:val="center"/>
              <w:rPr>
                <w:sz w:val="20"/>
                <w:szCs w:val="20"/>
              </w:rPr>
            </w:pPr>
            <w:r>
              <w:rPr>
                <w:rFonts w:eastAsia="Times New Roman"/>
                <w:bCs/>
                <w:sz w:val="20"/>
                <w:szCs w:val="20"/>
              </w:rPr>
              <w:t>$390.91</w:t>
            </w:r>
            <w:r>
              <w:rPr>
                <w:rFonts w:eastAsia="Times New Roman"/>
                <w:bCs/>
                <w:sz w:val="20"/>
                <w:szCs w:val="20"/>
              </w:rPr>
              <w:br/>
              <w:t>($430)</w:t>
            </w:r>
          </w:p>
        </w:tc>
        <w:tc>
          <w:tcPr>
            <w:tcW w:w="1302" w:type="dxa"/>
            <w:shd w:val="clear" w:color="auto" w:fill="auto"/>
          </w:tcPr>
          <w:p w14:paraId="506E53CE" w14:textId="77777777" w:rsidR="000D07EA" w:rsidRDefault="00BE7C89">
            <w:pPr>
              <w:spacing w:before="100" w:after="100"/>
              <w:jc w:val="center"/>
              <w:rPr>
                <w:sz w:val="20"/>
                <w:szCs w:val="20"/>
              </w:rPr>
            </w:pPr>
            <w:r>
              <w:rPr>
                <w:rFonts w:eastAsia="Times New Roman"/>
                <w:bCs/>
                <w:sz w:val="20"/>
                <w:szCs w:val="20"/>
              </w:rPr>
              <w:t>$454.55</w:t>
            </w:r>
            <w:r>
              <w:rPr>
                <w:rFonts w:eastAsia="Times New Roman"/>
                <w:bCs/>
                <w:sz w:val="20"/>
                <w:szCs w:val="20"/>
              </w:rPr>
              <w:br/>
              <w:t>($500)</w:t>
            </w:r>
          </w:p>
        </w:tc>
        <w:tc>
          <w:tcPr>
            <w:tcW w:w="1302" w:type="dxa"/>
            <w:shd w:val="clear" w:color="auto" w:fill="auto"/>
          </w:tcPr>
          <w:p w14:paraId="3391E838" w14:textId="77777777" w:rsidR="000D07EA" w:rsidRDefault="00BE7C89">
            <w:pPr>
              <w:spacing w:before="100" w:after="100"/>
              <w:jc w:val="center"/>
              <w:rPr>
                <w:sz w:val="20"/>
                <w:szCs w:val="20"/>
              </w:rPr>
            </w:pPr>
            <w:r>
              <w:rPr>
                <w:rFonts w:eastAsia="Times New Roman"/>
                <w:bCs/>
                <w:sz w:val="20"/>
                <w:szCs w:val="20"/>
              </w:rPr>
              <w:t>$500</w:t>
            </w:r>
            <w:r>
              <w:rPr>
                <w:rFonts w:eastAsia="Times New Roman"/>
                <w:bCs/>
                <w:sz w:val="20"/>
                <w:szCs w:val="20"/>
              </w:rPr>
              <w:br/>
              <w:t>($550)</w:t>
            </w:r>
          </w:p>
        </w:tc>
        <w:tc>
          <w:tcPr>
            <w:tcW w:w="1301" w:type="dxa"/>
            <w:shd w:val="clear" w:color="auto" w:fill="auto"/>
          </w:tcPr>
          <w:p w14:paraId="7F8672C6" w14:textId="77777777" w:rsidR="000D07EA" w:rsidRDefault="00BE7C89">
            <w:pPr>
              <w:spacing w:before="100" w:after="100"/>
              <w:jc w:val="center"/>
              <w:rPr>
                <w:sz w:val="20"/>
                <w:szCs w:val="20"/>
              </w:rPr>
            </w:pPr>
            <w:r>
              <w:rPr>
                <w:rFonts w:eastAsia="Times New Roman"/>
                <w:bCs/>
                <w:sz w:val="20"/>
                <w:szCs w:val="20"/>
              </w:rPr>
              <w:t>$572.73</w:t>
            </w:r>
            <w:r>
              <w:rPr>
                <w:rFonts w:eastAsia="Times New Roman"/>
                <w:bCs/>
                <w:sz w:val="20"/>
                <w:szCs w:val="20"/>
              </w:rPr>
              <w:br/>
              <w:t>($630)</w:t>
            </w:r>
          </w:p>
        </w:tc>
        <w:tc>
          <w:tcPr>
            <w:tcW w:w="1302" w:type="dxa"/>
            <w:shd w:val="clear" w:color="auto" w:fill="auto"/>
          </w:tcPr>
          <w:p w14:paraId="63EE0C3D" w14:textId="77777777" w:rsidR="000D07EA" w:rsidRDefault="00BE7C89">
            <w:pPr>
              <w:spacing w:before="100" w:after="100"/>
              <w:jc w:val="center"/>
              <w:rPr>
                <w:sz w:val="20"/>
                <w:szCs w:val="20"/>
              </w:rPr>
            </w:pPr>
            <w:r>
              <w:rPr>
                <w:rFonts w:eastAsia="Times New Roman"/>
                <w:bCs/>
                <w:sz w:val="20"/>
                <w:szCs w:val="20"/>
              </w:rPr>
              <w:t>$636.36</w:t>
            </w:r>
            <w:r>
              <w:rPr>
                <w:rFonts w:eastAsia="Times New Roman"/>
                <w:bCs/>
                <w:sz w:val="20"/>
                <w:szCs w:val="20"/>
              </w:rPr>
              <w:br/>
              <w:t>($700)</w:t>
            </w:r>
          </w:p>
        </w:tc>
        <w:tc>
          <w:tcPr>
            <w:tcW w:w="1302" w:type="dxa"/>
            <w:shd w:val="clear" w:color="auto" w:fill="auto"/>
          </w:tcPr>
          <w:p w14:paraId="3E58792B" w14:textId="77777777" w:rsidR="000D07EA" w:rsidRDefault="00BE7C89">
            <w:pPr>
              <w:spacing w:before="100" w:after="100"/>
              <w:jc w:val="center"/>
              <w:rPr>
                <w:sz w:val="20"/>
                <w:szCs w:val="20"/>
              </w:rPr>
            </w:pPr>
            <w:r>
              <w:rPr>
                <w:rFonts w:eastAsia="Times New Roman"/>
                <w:bCs/>
                <w:sz w:val="20"/>
                <w:szCs w:val="20"/>
              </w:rPr>
              <w:t>$1181.82</w:t>
            </w:r>
            <w:r>
              <w:rPr>
                <w:rFonts w:eastAsia="Times New Roman"/>
                <w:bCs/>
                <w:sz w:val="20"/>
                <w:szCs w:val="20"/>
              </w:rPr>
              <w:br/>
              <w:t>($1300)</w:t>
            </w:r>
          </w:p>
        </w:tc>
        <w:tc>
          <w:tcPr>
            <w:tcW w:w="1302" w:type="dxa"/>
            <w:shd w:val="clear" w:color="auto" w:fill="auto"/>
          </w:tcPr>
          <w:p w14:paraId="632D4DDF" w14:textId="77777777" w:rsidR="000D07EA" w:rsidRDefault="00BE7C89">
            <w:pPr>
              <w:spacing w:before="100" w:after="100"/>
              <w:jc w:val="center"/>
              <w:rPr>
                <w:sz w:val="20"/>
                <w:szCs w:val="20"/>
              </w:rPr>
            </w:pPr>
            <w:r>
              <w:rPr>
                <w:rFonts w:eastAsia="Times New Roman"/>
                <w:bCs/>
                <w:sz w:val="20"/>
                <w:szCs w:val="20"/>
              </w:rPr>
              <w:t>$1363.64</w:t>
            </w:r>
            <w:r>
              <w:rPr>
                <w:rFonts w:eastAsia="Times New Roman"/>
                <w:bCs/>
                <w:sz w:val="20"/>
                <w:szCs w:val="20"/>
              </w:rPr>
              <w:br/>
              <w:t>($1500)</w:t>
            </w:r>
          </w:p>
        </w:tc>
      </w:tr>
    </w:tbl>
    <w:p w14:paraId="1E3951F4" w14:textId="77777777" w:rsidR="000D07EA" w:rsidRDefault="000D07EA">
      <w:pPr>
        <w:rPr>
          <w:sz w:val="20"/>
          <w:szCs w:val="20"/>
        </w:rPr>
      </w:pPr>
    </w:p>
    <w:p w14:paraId="1809C234" w14:textId="77777777" w:rsidR="000D07EA" w:rsidRDefault="00BE7C89">
      <w:pPr>
        <w:pStyle w:val="BodyText"/>
        <w:ind w:left="1440"/>
        <w:rPr>
          <w:rFonts w:eastAsia="Times New Roman"/>
          <w:bCs/>
          <w:szCs w:val="22"/>
        </w:rPr>
      </w:pPr>
      <w:r>
        <w:rPr>
          <w:rFonts w:eastAsia="Times New Roman"/>
          <w:bCs/>
          <w:szCs w:val="22"/>
        </w:rPr>
        <w:t xml:space="preserve">And for </w:t>
      </w:r>
      <w:r>
        <w:rPr>
          <w:rFonts w:eastAsia="Times New Roman"/>
          <w:bCs/>
          <w:i/>
          <w:szCs w:val="22"/>
        </w:rPr>
        <w:t>cancellations</w:t>
      </w:r>
      <w:r>
        <w:rPr>
          <w:rFonts w:eastAsia="Times New Roman"/>
          <w:bCs/>
          <w:szCs w:val="22"/>
        </w:rPr>
        <w:t xml:space="preserve"> between months 13-24, an amount in accordance with the following calculations: for months 13-15, 80% of the </w:t>
      </w:r>
      <w:r>
        <w:rPr>
          <w:rFonts w:eastAsia="Times New Roman"/>
          <w:bCs/>
          <w:i/>
          <w:szCs w:val="22"/>
        </w:rPr>
        <w:t>cancellation fee</w:t>
      </w:r>
      <w:r>
        <w:rPr>
          <w:rFonts w:eastAsia="Times New Roman"/>
          <w:bCs/>
          <w:szCs w:val="22"/>
        </w:rPr>
        <w:t xml:space="preserve">; for months 16-18, 60% of the </w:t>
      </w:r>
      <w:r>
        <w:rPr>
          <w:rFonts w:eastAsia="Times New Roman"/>
          <w:bCs/>
          <w:i/>
          <w:szCs w:val="22"/>
        </w:rPr>
        <w:t>cancellation fee</w:t>
      </w:r>
      <w:r>
        <w:rPr>
          <w:rFonts w:eastAsia="Times New Roman"/>
          <w:bCs/>
          <w:szCs w:val="22"/>
        </w:rPr>
        <w:t xml:space="preserve">; for months 19-21, 40% of the </w:t>
      </w:r>
      <w:r>
        <w:rPr>
          <w:rFonts w:eastAsia="Times New Roman"/>
          <w:bCs/>
          <w:i/>
          <w:szCs w:val="22"/>
        </w:rPr>
        <w:t>cancellation fee</w:t>
      </w:r>
      <w:r>
        <w:rPr>
          <w:rFonts w:eastAsia="Times New Roman"/>
          <w:bCs/>
          <w:szCs w:val="22"/>
        </w:rPr>
        <w:t xml:space="preserve">; for months 22-24, 20% of the </w:t>
      </w:r>
      <w:r>
        <w:rPr>
          <w:rFonts w:eastAsia="Times New Roman"/>
          <w:bCs/>
          <w:i/>
          <w:szCs w:val="22"/>
        </w:rPr>
        <w:t>cancellation fee</w:t>
      </w:r>
      <w:r>
        <w:rPr>
          <w:rFonts w:eastAsia="Times New Roman"/>
          <w:bCs/>
          <w:szCs w:val="22"/>
        </w:rPr>
        <w:t xml:space="preserve">. </w:t>
      </w:r>
    </w:p>
    <w:p w14:paraId="496C0015" w14:textId="77777777" w:rsidR="000D07EA" w:rsidRDefault="00BE7C89">
      <w:pPr>
        <w:pStyle w:val="Heading8"/>
      </w:pPr>
      <w:r>
        <w:t xml:space="preserve">If </w:t>
      </w:r>
      <w:r>
        <w:rPr>
          <w:i/>
        </w:rPr>
        <w:t>you</w:t>
      </w:r>
      <w:r>
        <w:t xml:space="preserve"> are on a 12 month </w:t>
      </w:r>
      <w:r>
        <w:rPr>
          <w:i/>
        </w:rPr>
        <w:t>pricing plan</w:t>
      </w:r>
      <w:r>
        <w:t xml:space="preserve">, the </w:t>
      </w:r>
      <w:r>
        <w:rPr>
          <w:i/>
        </w:rPr>
        <w:t>cancellation fee</w:t>
      </w:r>
      <w:r>
        <w:t xml:space="preserve"> between months 0-6 is: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3"/>
        <w:gridCol w:w="1273"/>
        <w:gridCol w:w="1273"/>
        <w:gridCol w:w="1273"/>
        <w:gridCol w:w="1274"/>
        <w:gridCol w:w="1274"/>
        <w:gridCol w:w="1274"/>
        <w:gridCol w:w="1274"/>
      </w:tblGrid>
      <w:tr w:rsidR="000D07EA" w14:paraId="7147AF8A" w14:textId="77777777">
        <w:trPr>
          <w:jc w:val="center"/>
        </w:trPr>
        <w:tc>
          <w:tcPr>
            <w:tcW w:w="625" w:type="pct"/>
            <w:shd w:val="clear" w:color="auto" w:fill="auto"/>
          </w:tcPr>
          <w:p w14:paraId="4F4C1280" w14:textId="77777777" w:rsidR="000D07EA" w:rsidRDefault="00BE7C89">
            <w:pPr>
              <w:spacing w:before="100" w:after="100"/>
              <w:jc w:val="center"/>
              <w:rPr>
                <w:b/>
                <w:sz w:val="20"/>
                <w:szCs w:val="20"/>
              </w:rPr>
            </w:pPr>
            <w:r>
              <w:rPr>
                <w:b/>
                <w:sz w:val="20"/>
                <w:szCs w:val="20"/>
              </w:rPr>
              <w:t>'yes' Business Smart 6+ 29 Plan</w:t>
            </w:r>
          </w:p>
        </w:tc>
        <w:tc>
          <w:tcPr>
            <w:tcW w:w="625" w:type="pct"/>
            <w:shd w:val="clear" w:color="auto" w:fill="auto"/>
          </w:tcPr>
          <w:p w14:paraId="346E8F6B" w14:textId="77777777" w:rsidR="000D07EA" w:rsidRDefault="00BE7C89">
            <w:pPr>
              <w:spacing w:before="100" w:after="100"/>
              <w:jc w:val="center"/>
              <w:rPr>
                <w:b/>
                <w:sz w:val="20"/>
                <w:szCs w:val="20"/>
              </w:rPr>
            </w:pPr>
            <w:r>
              <w:rPr>
                <w:b/>
                <w:sz w:val="20"/>
                <w:szCs w:val="20"/>
              </w:rPr>
              <w:t>'yes' Business Smart 6+ 39 Plan</w:t>
            </w:r>
          </w:p>
        </w:tc>
        <w:tc>
          <w:tcPr>
            <w:tcW w:w="625" w:type="pct"/>
            <w:shd w:val="clear" w:color="auto" w:fill="auto"/>
          </w:tcPr>
          <w:p w14:paraId="1080CA53" w14:textId="77777777" w:rsidR="000D07EA" w:rsidRDefault="00BE7C89">
            <w:pPr>
              <w:spacing w:before="100" w:after="100"/>
              <w:jc w:val="center"/>
              <w:rPr>
                <w:b/>
                <w:sz w:val="20"/>
                <w:szCs w:val="20"/>
              </w:rPr>
            </w:pPr>
            <w:r>
              <w:rPr>
                <w:b/>
                <w:sz w:val="20"/>
                <w:szCs w:val="20"/>
              </w:rPr>
              <w:t>'yes' Business Smart 6+ 49 Plan</w:t>
            </w:r>
          </w:p>
        </w:tc>
        <w:tc>
          <w:tcPr>
            <w:tcW w:w="625" w:type="pct"/>
            <w:shd w:val="clear" w:color="auto" w:fill="auto"/>
          </w:tcPr>
          <w:p w14:paraId="37DE8C73" w14:textId="77777777" w:rsidR="000D07EA" w:rsidRDefault="00BE7C89">
            <w:pPr>
              <w:spacing w:before="100" w:after="100"/>
              <w:jc w:val="center"/>
              <w:rPr>
                <w:b/>
                <w:sz w:val="20"/>
                <w:szCs w:val="20"/>
              </w:rPr>
            </w:pPr>
            <w:r>
              <w:rPr>
                <w:b/>
                <w:sz w:val="20"/>
                <w:szCs w:val="20"/>
              </w:rPr>
              <w:t>'yes' Business Smart 6+ 59 Plan</w:t>
            </w:r>
          </w:p>
        </w:tc>
        <w:tc>
          <w:tcPr>
            <w:tcW w:w="625" w:type="pct"/>
            <w:shd w:val="clear" w:color="auto" w:fill="auto"/>
          </w:tcPr>
          <w:p w14:paraId="6FBED764" w14:textId="77777777" w:rsidR="000D07EA" w:rsidRDefault="00BE7C89">
            <w:pPr>
              <w:spacing w:before="100" w:after="100"/>
              <w:jc w:val="center"/>
              <w:rPr>
                <w:b/>
                <w:sz w:val="20"/>
                <w:szCs w:val="20"/>
              </w:rPr>
            </w:pPr>
            <w:r>
              <w:rPr>
                <w:b/>
                <w:sz w:val="20"/>
                <w:szCs w:val="20"/>
              </w:rPr>
              <w:t>'yes' Business Smart 6+ 79 Plan</w:t>
            </w:r>
          </w:p>
        </w:tc>
        <w:tc>
          <w:tcPr>
            <w:tcW w:w="625" w:type="pct"/>
            <w:shd w:val="clear" w:color="auto" w:fill="auto"/>
          </w:tcPr>
          <w:p w14:paraId="0759F957" w14:textId="77777777" w:rsidR="000D07EA" w:rsidRDefault="00BE7C89">
            <w:pPr>
              <w:spacing w:before="100" w:after="100"/>
              <w:jc w:val="center"/>
              <w:rPr>
                <w:b/>
                <w:sz w:val="20"/>
                <w:szCs w:val="20"/>
              </w:rPr>
            </w:pPr>
            <w:r>
              <w:rPr>
                <w:b/>
                <w:sz w:val="20"/>
                <w:szCs w:val="20"/>
              </w:rPr>
              <w:t>'yes' Business Smart 6+ 99 Plan</w:t>
            </w:r>
          </w:p>
        </w:tc>
        <w:tc>
          <w:tcPr>
            <w:tcW w:w="625" w:type="pct"/>
            <w:shd w:val="clear" w:color="auto" w:fill="auto"/>
          </w:tcPr>
          <w:p w14:paraId="21BF2233" w14:textId="77777777" w:rsidR="000D07EA" w:rsidRDefault="00BE7C89">
            <w:pPr>
              <w:spacing w:before="100" w:after="100"/>
              <w:jc w:val="center"/>
              <w:rPr>
                <w:b/>
                <w:sz w:val="20"/>
                <w:szCs w:val="20"/>
              </w:rPr>
            </w:pPr>
            <w:r>
              <w:rPr>
                <w:b/>
                <w:sz w:val="20"/>
                <w:szCs w:val="20"/>
              </w:rPr>
              <w:t>'yes' Business Smart 6+ 149 Plan</w:t>
            </w:r>
          </w:p>
        </w:tc>
        <w:tc>
          <w:tcPr>
            <w:tcW w:w="625" w:type="pct"/>
            <w:shd w:val="clear" w:color="auto" w:fill="auto"/>
          </w:tcPr>
          <w:p w14:paraId="3C8FBCB8" w14:textId="77777777" w:rsidR="000D07EA" w:rsidRDefault="00BE7C89">
            <w:pPr>
              <w:spacing w:before="100" w:after="100"/>
              <w:jc w:val="center"/>
              <w:rPr>
                <w:b/>
                <w:sz w:val="20"/>
                <w:szCs w:val="20"/>
              </w:rPr>
            </w:pPr>
            <w:r>
              <w:rPr>
                <w:b/>
                <w:sz w:val="20"/>
                <w:szCs w:val="20"/>
              </w:rPr>
              <w:t>'yes' Business Smart 6+ 249 Plan</w:t>
            </w:r>
          </w:p>
        </w:tc>
      </w:tr>
      <w:tr w:rsidR="000D07EA" w14:paraId="6D71CF7E" w14:textId="77777777">
        <w:trPr>
          <w:jc w:val="center"/>
        </w:trPr>
        <w:tc>
          <w:tcPr>
            <w:tcW w:w="625" w:type="pct"/>
            <w:shd w:val="clear" w:color="auto" w:fill="auto"/>
          </w:tcPr>
          <w:p w14:paraId="66263306" w14:textId="77777777" w:rsidR="000D07EA" w:rsidRDefault="00BE7C89">
            <w:pPr>
              <w:spacing w:before="100" w:after="100"/>
              <w:jc w:val="center"/>
              <w:rPr>
                <w:sz w:val="20"/>
                <w:szCs w:val="20"/>
              </w:rPr>
            </w:pPr>
            <w:r>
              <w:rPr>
                <w:sz w:val="20"/>
                <w:szCs w:val="20"/>
              </w:rPr>
              <w:t>$175.45</w:t>
            </w:r>
            <w:r>
              <w:rPr>
                <w:sz w:val="20"/>
                <w:szCs w:val="20"/>
              </w:rPr>
              <w:br/>
              <w:t>($193)</w:t>
            </w:r>
          </w:p>
        </w:tc>
        <w:tc>
          <w:tcPr>
            <w:tcW w:w="625" w:type="pct"/>
            <w:shd w:val="clear" w:color="auto" w:fill="auto"/>
          </w:tcPr>
          <w:p w14:paraId="62804A9D" w14:textId="77777777" w:rsidR="000D07EA" w:rsidRDefault="00BE7C89">
            <w:pPr>
              <w:spacing w:before="100" w:after="100"/>
              <w:jc w:val="center"/>
              <w:rPr>
                <w:sz w:val="20"/>
                <w:szCs w:val="20"/>
              </w:rPr>
            </w:pPr>
            <w:r>
              <w:rPr>
                <w:sz w:val="20"/>
                <w:szCs w:val="20"/>
              </w:rPr>
              <w:t>$240.90</w:t>
            </w:r>
            <w:r>
              <w:rPr>
                <w:sz w:val="20"/>
                <w:szCs w:val="20"/>
              </w:rPr>
              <w:br/>
              <w:t>($265)</w:t>
            </w:r>
          </w:p>
        </w:tc>
        <w:tc>
          <w:tcPr>
            <w:tcW w:w="625" w:type="pct"/>
            <w:shd w:val="clear" w:color="auto" w:fill="auto"/>
          </w:tcPr>
          <w:p w14:paraId="6EBB5647" w14:textId="77777777" w:rsidR="000D07EA" w:rsidRDefault="00BE7C89">
            <w:pPr>
              <w:spacing w:before="100" w:after="100"/>
              <w:jc w:val="center"/>
              <w:rPr>
                <w:sz w:val="20"/>
                <w:szCs w:val="20"/>
              </w:rPr>
            </w:pPr>
            <w:r>
              <w:rPr>
                <w:sz w:val="20"/>
                <w:szCs w:val="20"/>
              </w:rPr>
              <w:t>$283.63</w:t>
            </w:r>
            <w:r>
              <w:rPr>
                <w:sz w:val="20"/>
                <w:szCs w:val="20"/>
              </w:rPr>
              <w:br/>
              <w:t>($312)</w:t>
            </w:r>
          </w:p>
        </w:tc>
        <w:tc>
          <w:tcPr>
            <w:tcW w:w="625" w:type="pct"/>
            <w:shd w:val="clear" w:color="auto" w:fill="auto"/>
          </w:tcPr>
          <w:p w14:paraId="23E9DB8E" w14:textId="77777777" w:rsidR="000D07EA" w:rsidRDefault="00BE7C89">
            <w:pPr>
              <w:spacing w:before="100" w:after="100"/>
              <w:jc w:val="center"/>
              <w:rPr>
                <w:sz w:val="20"/>
                <w:szCs w:val="20"/>
              </w:rPr>
            </w:pPr>
            <w:r>
              <w:rPr>
                <w:sz w:val="20"/>
                <w:szCs w:val="20"/>
              </w:rPr>
              <w:t>$317.27</w:t>
            </w:r>
            <w:r>
              <w:rPr>
                <w:sz w:val="20"/>
                <w:szCs w:val="20"/>
              </w:rPr>
              <w:br/>
              <w:t>($349)</w:t>
            </w:r>
          </w:p>
        </w:tc>
        <w:tc>
          <w:tcPr>
            <w:tcW w:w="625" w:type="pct"/>
            <w:shd w:val="clear" w:color="auto" w:fill="auto"/>
          </w:tcPr>
          <w:p w14:paraId="5D989081" w14:textId="77777777" w:rsidR="000D07EA" w:rsidRDefault="00BE7C89">
            <w:pPr>
              <w:spacing w:before="100" w:after="100"/>
              <w:jc w:val="center"/>
              <w:rPr>
                <w:sz w:val="20"/>
                <w:szCs w:val="20"/>
              </w:rPr>
            </w:pPr>
            <w:r>
              <w:rPr>
                <w:sz w:val="20"/>
                <w:szCs w:val="20"/>
              </w:rPr>
              <w:t>$385.45</w:t>
            </w:r>
            <w:r>
              <w:rPr>
                <w:sz w:val="20"/>
                <w:szCs w:val="20"/>
              </w:rPr>
              <w:br/>
              <w:t>($424)</w:t>
            </w:r>
          </w:p>
        </w:tc>
        <w:tc>
          <w:tcPr>
            <w:tcW w:w="625" w:type="pct"/>
            <w:shd w:val="clear" w:color="auto" w:fill="auto"/>
          </w:tcPr>
          <w:p w14:paraId="40EC8E5D" w14:textId="77777777" w:rsidR="000D07EA" w:rsidRDefault="00BE7C89">
            <w:pPr>
              <w:spacing w:before="100" w:after="100"/>
              <w:jc w:val="center"/>
              <w:rPr>
                <w:sz w:val="20"/>
                <w:szCs w:val="20"/>
              </w:rPr>
            </w:pPr>
            <w:r>
              <w:rPr>
                <w:sz w:val="20"/>
                <w:szCs w:val="20"/>
              </w:rPr>
              <w:t>$435.45</w:t>
            </w:r>
            <w:r>
              <w:rPr>
                <w:sz w:val="20"/>
                <w:szCs w:val="20"/>
              </w:rPr>
              <w:br/>
              <w:t>($479)</w:t>
            </w:r>
          </w:p>
        </w:tc>
        <w:tc>
          <w:tcPr>
            <w:tcW w:w="625" w:type="pct"/>
            <w:shd w:val="clear" w:color="auto" w:fill="auto"/>
          </w:tcPr>
          <w:p w14:paraId="4E1E5608" w14:textId="77777777" w:rsidR="000D07EA" w:rsidRDefault="00BE7C89">
            <w:pPr>
              <w:spacing w:before="100" w:after="100"/>
              <w:jc w:val="center"/>
              <w:rPr>
                <w:sz w:val="20"/>
                <w:szCs w:val="20"/>
              </w:rPr>
            </w:pPr>
            <w:r>
              <w:rPr>
                <w:sz w:val="20"/>
                <w:szCs w:val="20"/>
              </w:rPr>
              <w:t>$933.63</w:t>
            </w:r>
            <w:r>
              <w:rPr>
                <w:sz w:val="20"/>
                <w:szCs w:val="20"/>
              </w:rPr>
              <w:br/>
              <w:t>($1027)</w:t>
            </w:r>
          </w:p>
        </w:tc>
        <w:tc>
          <w:tcPr>
            <w:tcW w:w="625" w:type="pct"/>
            <w:shd w:val="clear" w:color="auto" w:fill="auto"/>
          </w:tcPr>
          <w:p w14:paraId="7CD75F59" w14:textId="77777777" w:rsidR="000D07EA" w:rsidRDefault="00BE7C89">
            <w:pPr>
              <w:spacing w:before="100" w:after="100"/>
              <w:jc w:val="center"/>
              <w:rPr>
                <w:sz w:val="20"/>
                <w:szCs w:val="20"/>
              </w:rPr>
            </w:pPr>
            <w:r>
              <w:rPr>
                <w:sz w:val="20"/>
                <w:szCs w:val="20"/>
              </w:rPr>
              <w:t>$1098.18</w:t>
            </w:r>
            <w:r>
              <w:rPr>
                <w:sz w:val="20"/>
                <w:szCs w:val="20"/>
              </w:rPr>
              <w:br/>
              <w:t>($1208)</w:t>
            </w:r>
          </w:p>
        </w:tc>
      </w:tr>
    </w:tbl>
    <w:p w14:paraId="4231FFD9" w14:textId="77777777" w:rsidR="000D07EA" w:rsidRDefault="000D07EA"/>
    <w:p w14:paraId="1330F10A" w14:textId="77777777" w:rsidR="000D07EA" w:rsidRDefault="00BE7C89">
      <w:pPr>
        <w:pStyle w:val="BodyText"/>
        <w:ind w:left="1440"/>
        <w:rPr>
          <w:rFonts w:eastAsia="Times New Roman"/>
          <w:bCs/>
          <w:szCs w:val="22"/>
        </w:rPr>
      </w:pPr>
      <w:r>
        <w:rPr>
          <w:rFonts w:eastAsia="Times New Roman"/>
          <w:bCs/>
          <w:szCs w:val="22"/>
        </w:rPr>
        <w:t xml:space="preserve">And for </w:t>
      </w:r>
      <w:r>
        <w:rPr>
          <w:rFonts w:eastAsia="Times New Roman"/>
          <w:bCs/>
          <w:i/>
          <w:szCs w:val="22"/>
        </w:rPr>
        <w:t>cancellations</w:t>
      </w:r>
      <w:r>
        <w:rPr>
          <w:rFonts w:eastAsia="Times New Roman"/>
          <w:bCs/>
          <w:szCs w:val="22"/>
        </w:rPr>
        <w:t xml:space="preserve"> between months 7-12, an amount in accordance with the following calculations: for months 7-9, 70% of the </w:t>
      </w:r>
      <w:r>
        <w:rPr>
          <w:rFonts w:eastAsia="Times New Roman"/>
          <w:bCs/>
          <w:i/>
          <w:szCs w:val="22"/>
        </w:rPr>
        <w:t>cancellation fee</w:t>
      </w:r>
      <w:r>
        <w:rPr>
          <w:rFonts w:eastAsia="Times New Roman"/>
          <w:bCs/>
          <w:szCs w:val="22"/>
        </w:rPr>
        <w:t xml:space="preserve">; for months 10-12, 40% of the </w:t>
      </w:r>
      <w:r>
        <w:rPr>
          <w:rFonts w:eastAsia="Times New Roman"/>
          <w:bCs/>
          <w:i/>
          <w:szCs w:val="22"/>
        </w:rPr>
        <w:t>cancellation fee</w:t>
      </w:r>
      <w:r>
        <w:rPr>
          <w:rFonts w:eastAsia="Times New Roman"/>
          <w:bCs/>
          <w:szCs w:val="22"/>
        </w:rPr>
        <w:t xml:space="preserve">. </w:t>
      </w:r>
    </w:p>
    <w:p w14:paraId="579BD1DE" w14:textId="77777777" w:rsidR="000D07EA" w:rsidRDefault="00BE7C89">
      <w:pPr>
        <w:pStyle w:val="Heading6"/>
        <w:ind w:left="0" w:firstLine="0"/>
      </w:pPr>
      <w:r>
        <w:t xml:space="preserve">Optus SMB Rewards </w:t>
      </w:r>
    </w:p>
    <w:p w14:paraId="0FCF0532" w14:textId="77777777" w:rsidR="000D07EA" w:rsidRDefault="00BE7C89">
      <w:pPr>
        <w:pStyle w:val="Heading7"/>
      </w:pPr>
      <w:r>
        <w:rPr>
          <w:b/>
        </w:rPr>
        <w:t>inBusiness Rewards and Optus SMB 'yes' Rewards</w:t>
      </w:r>
      <w:r>
        <w:t xml:space="preserve"> are </w:t>
      </w:r>
      <w:r>
        <w:rPr>
          <w:i/>
        </w:rPr>
        <w:t>specials</w:t>
      </w:r>
      <w:r>
        <w:t xml:space="preserve"> available to </w:t>
      </w:r>
      <w:r>
        <w:rPr>
          <w:i/>
        </w:rPr>
        <w:t>small or medium enterprise customers</w:t>
      </w:r>
      <w:r>
        <w:t xml:space="preserve"> who connected to the </w:t>
      </w:r>
      <w:r>
        <w:rPr>
          <w:i/>
        </w:rPr>
        <w:t>service</w:t>
      </w:r>
      <w:r>
        <w:t xml:space="preserve"> on an eligible </w:t>
      </w:r>
      <w:r>
        <w:rPr>
          <w:i/>
        </w:rPr>
        <w:t>pricing plan</w:t>
      </w:r>
      <w:r>
        <w:t xml:space="preserve"> prior to 23 November 2005. They involve more than one </w:t>
      </w:r>
      <w:r>
        <w:rPr>
          <w:i/>
        </w:rPr>
        <w:t>service</w:t>
      </w:r>
      <w:r>
        <w:t xml:space="preserve"> and each of the services </w:t>
      </w:r>
      <w:r>
        <w:rPr>
          <w:i/>
        </w:rPr>
        <w:t>you</w:t>
      </w:r>
      <w:r>
        <w:t xml:space="preserve"> select as part of </w:t>
      </w:r>
      <w:r>
        <w:rPr>
          <w:i/>
        </w:rPr>
        <w:t>your</w:t>
      </w:r>
      <w:r>
        <w:t xml:space="preserve"> package is provided to </w:t>
      </w:r>
      <w:r>
        <w:rPr>
          <w:i/>
        </w:rPr>
        <w:t>you</w:t>
      </w:r>
      <w:r>
        <w:t xml:space="preserve"> by the relevant Optus company on the terms and conditions of the </w:t>
      </w:r>
      <w:r>
        <w:rPr>
          <w:i/>
        </w:rPr>
        <w:t>agreement</w:t>
      </w:r>
      <w:r>
        <w:t xml:space="preserve"> for the supply of that </w:t>
      </w:r>
      <w:r>
        <w:rPr>
          <w:i/>
        </w:rPr>
        <w:t>service</w:t>
      </w:r>
      <w:r>
        <w:t xml:space="preserve">. Details of the various packages available and of any additional terms and conditions that apply to these </w:t>
      </w:r>
      <w:r>
        <w:rPr>
          <w:i/>
        </w:rPr>
        <w:t>specials</w:t>
      </w:r>
      <w:r>
        <w:t xml:space="preserve"> are set out in </w:t>
      </w:r>
      <w:hyperlink r:id="rId62" w:history="1">
        <w:r>
          <w:rPr>
            <w:rStyle w:val="Hyperlink"/>
            <w:i/>
          </w:rPr>
          <w:t>Appendix IB</w:t>
        </w:r>
      </w:hyperlink>
      <w:r>
        <w:t xml:space="preserve">. </w:t>
      </w:r>
    </w:p>
    <w:p w14:paraId="140716F3" w14:textId="77777777" w:rsidR="000D07EA" w:rsidRDefault="00BE7C89">
      <w:pPr>
        <w:pStyle w:val="Heading7"/>
      </w:pPr>
      <w:r>
        <w:rPr>
          <w:b/>
        </w:rPr>
        <w:t>Optus 'yes' Business Rewards</w:t>
      </w:r>
      <w:r>
        <w:t xml:space="preserve"> is a </w:t>
      </w:r>
      <w:r>
        <w:rPr>
          <w:i/>
        </w:rPr>
        <w:t>special</w:t>
      </w:r>
      <w:r>
        <w:t xml:space="preserve"> available to </w:t>
      </w:r>
      <w:r>
        <w:rPr>
          <w:i/>
        </w:rPr>
        <w:t>small or medium enterprise customers</w:t>
      </w:r>
      <w:r>
        <w:t xml:space="preserve"> who connect to the </w:t>
      </w:r>
      <w:r>
        <w:rPr>
          <w:i/>
        </w:rPr>
        <w:t>service</w:t>
      </w:r>
      <w:r>
        <w:t xml:space="preserve"> on an eligible </w:t>
      </w:r>
      <w:r>
        <w:rPr>
          <w:i/>
        </w:rPr>
        <w:t>pricing plan</w:t>
      </w:r>
      <w:r>
        <w:t xml:space="preserve"> after 23 November 2005. It involves more than one </w:t>
      </w:r>
      <w:r>
        <w:rPr>
          <w:i/>
        </w:rPr>
        <w:t>service</w:t>
      </w:r>
      <w:r>
        <w:t xml:space="preserve"> and each of the services </w:t>
      </w:r>
      <w:r>
        <w:rPr>
          <w:i/>
        </w:rPr>
        <w:t>you</w:t>
      </w:r>
      <w:r>
        <w:t xml:space="preserve"> select as part of </w:t>
      </w:r>
      <w:r>
        <w:rPr>
          <w:i/>
        </w:rPr>
        <w:t>your</w:t>
      </w:r>
      <w:r>
        <w:t xml:space="preserve"> package is provided to </w:t>
      </w:r>
      <w:r>
        <w:rPr>
          <w:i/>
        </w:rPr>
        <w:t>you</w:t>
      </w:r>
      <w:r>
        <w:t xml:space="preserve"> by the relevant Optus company on the terms and conditions of the </w:t>
      </w:r>
      <w:r>
        <w:rPr>
          <w:i/>
        </w:rPr>
        <w:t>agreement</w:t>
      </w:r>
      <w:r>
        <w:t xml:space="preserve"> for the supply of that </w:t>
      </w:r>
      <w:r>
        <w:rPr>
          <w:i/>
        </w:rPr>
        <w:lastRenderedPageBreak/>
        <w:t>service</w:t>
      </w:r>
      <w:r>
        <w:t xml:space="preserve">. Details of the various packages available and of any additional terms and conditions that apply to 'yes' Business Rewards are set out in </w:t>
      </w:r>
      <w:hyperlink r:id="rId63" w:history="1">
        <w:r>
          <w:rPr>
            <w:rStyle w:val="Hyperlink"/>
            <w:i/>
          </w:rPr>
          <w:t>Appendix IB</w:t>
        </w:r>
      </w:hyperlink>
      <w:r>
        <w:t xml:space="preserve">. </w:t>
      </w:r>
    </w:p>
    <w:p w14:paraId="6F081C33" w14:textId="77777777" w:rsidR="000D07EA" w:rsidRDefault="00BE7C89">
      <w:pPr>
        <w:pStyle w:val="Heading6"/>
        <w:ind w:left="0" w:firstLine="0"/>
      </w:pPr>
      <w:r>
        <w:t>Business Bonus</w:t>
      </w:r>
    </w:p>
    <w:p w14:paraId="252ECC03" w14:textId="77777777" w:rsidR="000D07EA" w:rsidRDefault="00BE7C89">
      <w:pPr>
        <w:pStyle w:val="BodyText"/>
        <w:ind w:left="720"/>
      </w:pPr>
      <w:r>
        <w:t xml:space="preserve">If </w:t>
      </w:r>
      <w:r>
        <w:rPr>
          <w:i/>
        </w:rPr>
        <w:t>you</w:t>
      </w:r>
      <w:r>
        <w:t xml:space="preserve"> do not purchase or receive new discounted mobile hardware from either </w:t>
      </w:r>
      <w:r>
        <w:rPr>
          <w:i/>
        </w:rPr>
        <w:t>us</w:t>
      </w:r>
      <w:r>
        <w:t xml:space="preserve"> or an Optus dealer, partner or reseller when connecting to a 'yes' Business Smart 6+ </w:t>
      </w:r>
      <w:r>
        <w:rPr>
          <w:i/>
        </w:rPr>
        <w:t>pricing plan</w:t>
      </w:r>
      <w:r>
        <w:t xml:space="preserve"> with a 12 or 24 month </w:t>
      </w:r>
      <w:r>
        <w:rPr>
          <w:i/>
        </w:rPr>
        <w:t>minimum term</w:t>
      </w:r>
      <w:r>
        <w:t xml:space="preserve"> and </w:t>
      </w:r>
      <w:r>
        <w:rPr>
          <w:i/>
        </w:rPr>
        <w:t>you</w:t>
      </w:r>
      <w:r>
        <w:t xml:space="preserve"> connected before 28 July 2008, </w:t>
      </w:r>
      <w:r>
        <w:rPr>
          <w:i/>
        </w:rPr>
        <w:t>you</w:t>
      </w:r>
      <w:r>
        <w:t xml:space="preserve"> are eligible for a monthly credit called "Business Bonus" on </w:t>
      </w:r>
      <w:r>
        <w:rPr>
          <w:i/>
        </w:rPr>
        <w:t>your mobile phone</w:t>
      </w:r>
      <w:r>
        <w:t xml:space="preserve"> tax invoice/account. </w:t>
      </w:r>
      <w:r>
        <w:rPr>
          <w:b/>
        </w:rPr>
        <w:t xml:space="preserve">(For the avoidance of doubt, </w:t>
      </w:r>
      <w:r>
        <w:rPr>
          <w:b/>
          <w:i/>
        </w:rPr>
        <w:t>you</w:t>
      </w:r>
      <w:r>
        <w:rPr>
          <w:b/>
        </w:rPr>
        <w:t xml:space="preserve"> will not be eligible for any "Business Bonus" credit if, at the time </w:t>
      </w:r>
      <w:r>
        <w:rPr>
          <w:b/>
          <w:i/>
        </w:rPr>
        <w:t>you</w:t>
      </w:r>
      <w:r>
        <w:rPr>
          <w:b/>
        </w:rPr>
        <w:t xml:space="preserve"> enter into the </w:t>
      </w:r>
      <w:r>
        <w:rPr>
          <w:b/>
          <w:i/>
        </w:rPr>
        <w:t>agreement</w:t>
      </w:r>
      <w:r>
        <w:rPr>
          <w:b/>
        </w:rPr>
        <w:t xml:space="preserve"> for the </w:t>
      </w:r>
      <w:r>
        <w:rPr>
          <w:b/>
          <w:i/>
        </w:rPr>
        <w:t>service</w:t>
      </w:r>
      <w:r>
        <w:rPr>
          <w:b/>
        </w:rPr>
        <w:t xml:space="preserve"> with </w:t>
      </w:r>
      <w:r>
        <w:rPr>
          <w:b/>
          <w:i/>
        </w:rPr>
        <w:t>us you</w:t>
      </w:r>
      <w:r>
        <w:rPr>
          <w:b/>
        </w:rPr>
        <w:t xml:space="preserve"> purchase or receive mobile hardware under a separate agreement with an Optus dealer, partner or reseller.) </w:t>
      </w:r>
      <w:r>
        <w:t xml:space="preserve">The credit will be applied to </w:t>
      </w:r>
      <w:r>
        <w:rPr>
          <w:i/>
        </w:rPr>
        <w:t>your</w:t>
      </w:r>
      <w:r>
        <w:t xml:space="preserve"> account in the first month of your contract. This credit is not redeemable for cash or refundable upon </w:t>
      </w:r>
      <w:r>
        <w:rPr>
          <w:i/>
        </w:rPr>
        <w:t>cancellation</w:t>
      </w:r>
      <w:r>
        <w:t xml:space="preserve"> of </w:t>
      </w:r>
      <w:r>
        <w:rPr>
          <w:i/>
        </w:rPr>
        <w:t>your agreement</w:t>
      </w:r>
      <w:r>
        <w:t xml:space="preserve">. The following table sets out the applicable total and monthly credit amounts for each 'yes' Business Smart 6+ </w:t>
      </w:r>
      <w:r>
        <w:rPr>
          <w:i/>
        </w:rPr>
        <w:t>pricing plan</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0"/>
        <w:gridCol w:w="1106"/>
        <w:gridCol w:w="1106"/>
        <w:gridCol w:w="1106"/>
        <w:gridCol w:w="1106"/>
        <w:gridCol w:w="1106"/>
        <w:gridCol w:w="1106"/>
        <w:gridCol w:w="1106"/>
        <w:gridCol w:w="1106"/>
      </w:tblGrid>
      <w:tr w:rsidR="000D07EA" w14:paraId="06CFF973" w14:textId="77777777">
        <w:tc>
          <w:tcPr>
            <w:tcW w:w="752" w:type="pct"/>
            <w:shd w:val="clear" w:color="auto" w:fill="auto"/>
          </w:tcPr>
          <w:p w14:paraId="0F554FC2" w14:textId="77777777" w:rsidR="000D07EA" w:rsidRDefault="00BE7C89">
            <w:pPr>
              <w:pStyle w:val="BodyText"/>
              <w:spacing w:before="100" w:after="100"/>
              <w:jc w:val="center"/>
              <w:rPr>
                <w:rFonts w:eastAsia="Times New Roman"/>
                <w:b/>
                <w:bCs/>
                <w:i/>
                <w:szCs w:val="22"/>
              </w:rPr>
            </w:pPr>
            <w:r>
              <w:rPr>
                <w:rFonts w:eastAsia="Times New Roman"/>
                <w:b/>
                <w:bCs/>
                <w:i/>
                <w:szCs w:val="22"/>
              </w:rPr>
              <w:t>Pricing plan</w:t>
            </w:r>
          </w:p>
        </w:tc>
        <w:tc>
          <w:tcPr>
            <w:tcW w:w="531" w:type="pct"/>
            <w:shd w:val="clear" w:color="auto" w:fill="auto"/>
          </w:tcPr>
          <w:p w14:paraId="56E16F96" w14:textId="77777777" w:rsidR="000D07EA" w:rsidRDefault="00BE7C89">
            <w:pPr>
              <w:pStyle w:val="BodyText"/>
              <w:spacing w:before="100" w:after="100"/>
              <w:jc w:val="center"/>
              <w:rPr>
                <w:rFonts w:eastAsia="Times New Roman"/>
                <w:b/>
                <w:bCs/>
                <w:szCs w:val="22"/>
              </w:rPr>
            </w:pPr>
            <w:r>
              <w:rPr>
                <w:rFonts w:eastAsia="Times New Roman"/>
                <w:b/>
                <w:bCs/>
                <w:szCs w:val="22"/>
              </w:rPr>
              <w:t>'yes' Business Smart 6+ 29 Plan</w:t>
            </w:r>
          </w:p>
        </w:tc>
        <w:tc>
          <w:tcPr>
            <w:tcW w:w="531" w:type="pct"/>
            <w:shd w:val="clear" w:color="auto" w:fill="auto"/>
          </w:tcPr>
          <w:p w14:paraId="2182AA7B" w14:textId="77777777" w:rsidR="000D07EA" w:rsidRDefault="00BE7C89">
            <w:pPr>
              <w:pStyle w:val="BodyText"/>
              <w:spacing w:before="100" w:after="100"/>
              <w:jc w:val="center"/>
              <w:rPr>
                <w:rFonts w:eastAsia="Times New Roman"/>
                <w:b/>
                <w:bCs/>
                <w:szCs w:val="22"/>
              </w:rPr>
            </w:pPr>
            <w:r>
              <w:rPr>
                <w:rFonts w:eastAsia="Times New Roman"/>
                <w:b/>
                <w:bCs/>
                <w:szCs w:val="22"/>
              </w:rPr>
              <w:t>'yes' Business Smart 6+ 39 Plan</w:t>
            </w:r>
          </w:p>
        </w:tc>
        <w:tc>
          <w:tcPr>
            <w:tcW w:w="531" w:type="pct"/>
            <w:shd w:val="clear" w:color="auto" w:fill="auto"/>
          </w:tcPr>
          <w:p w14:paraId="2CD2F41F" w14:textId="77777777" w:rsidR="000D07EA" w:rsidRDefault="00BE7C89">
            <w:pPr>
              <w:pStyle w:val="BodyText"/>
              <w:spacing w:before="100" w:after="100"/>
              <w:jc w:val="center"/>
              <w:rPr>
                <w:rFonts w:eastAsia="Times New Roman"/>
                <w:b/>
                <w:bCs/>
                <w:szCs w:val="22"/>
              </w:rPr>
            </w:pPr>
            <w:r>
              <w:rPr>
                <w:rFonts w:eastAsia="Times New Roman"/>
                <w:b/>
                <w:bCs/>
                <w:szCs w:val="22"/>
              </w:rPr>
              <w:t>'yes' Business Smart 6+ 49 Plan</w:t>
            </w:r>
          </w:p>
        </w:tc>
        <w:tc>
          <w:tcPr>
            <w:tcW w:w="531" w:type="pct"/>
            <w:shd w:val="clear" w:color="auto" w:fill="auto"/>
          </w:tcPr>
          <w:p w14:paraId="33EC0F05" w14:textId="77777777" w:rsidR="000D07EA" w:rsidRDefault="00BE7C89">
            <w:pPr>
              <w:pStyle w:val="BodyText"/>
              <w:spacing w:before="100" w:after="100"/>
              <w:jc w:val="center"/>
              <w:rPr>
                <w:rFonts w:eastAsia="Times New Roman"/>
                <w:b/>
                <w:bCs/>
                <w:szCs w:val="22"/>
              </w:rPr>
            </w:pPr>
            <w:r>
              <w:rPr>
                <w:rFonts w:eastAsia="Times New Roman"/>
                <w:b/>
                <w:bCs/>
                <w:szCs w:val="22"/>
              </w:rPr>
              <w:t>'yes' Business Smart 6+ 59 Plan</w:t>
            </w:r>
          </w:p>
        </w:tc>
        <w:tc>
          <w:tcPr>
            <w:tcW w:w="531" w:type="pct"/>
            <w:shd w:val="clear" w:color="auto" w:fill="auto"/>
          </w:tcPr>
          <w:p w14:paraId="020910C8" w14:textId="77777777" w:rsidR="000D07EA" w:rsidRDefault="00BE7C89">
            <w:pPr>
              <w:pStyle w:val="BodyText"/>
              <w:spacing w:before="100" w:after="100"/>
              <w:jc w:val="center"/>
              <w:rPr>
                <w:rFonts w:eastAsia="Times New Roman"/>
                <w:b/>
                <w:bCs/>
                <w:szCs w:val="22"/>
              </w:rPr>
            </w:pPr>
            <w:r>
              <w:rPr>
                <w:rFonts w:eastAsia="Times New Roman"/>
                <w:b/>
                <w:bCs/>
                <w:szCs w:val="22"/>
              </w:rPr>
              <w:t>'yes' Business Smart 6+ 79 Plan</w:t>
            </w:r>
          </w:p>
        </w:tc>
        <w:tc>
          <w:tcPr>
            <w:tcW w:w="531" w:type="pct"/>
            <w:shd w:val="clear" w:color="auto" w:fill="auto"/>
          </w:tcPr>
          <w:p w14:paraId="30D57397" w14:textId="77777777" w:rsidR="000D07EA" w:rsidRDefault="00BE7C89">
            <w:pPr>
              <w:pStyle w:val="BodyText"/>
              <w:spacing w:before="100" w:after="100"/>
              <w:jc w:val="center"/>
              <w:rPr>
                <w:rFonts w:eastAsia="Times New Roman"/>
                <w:b/>
                <w:bCs/>
                <w:szCs w:val="22"/>
              </w:rPr>
            </w:pPr>
            <w:r>
              <w:rPr>
                <w:rFonts w:eastAsia="Times New Roman"/>
                <w:b/>
                <w:bCs/>
                <w:szCs w:val="22"/>
              </w:rPr>
              <w:t>'yes' Business Smart 6+ 99 Plan</w:t>
            </w:r>
          </w:p>
        </w:tc>
        <w:tc>
          <w:tcPr>
            <w:tcW w:w="531" w:type="pct"/>
            <w:shd w:val="clear" w:color="auto" w:fill="auto"/>
          </w:tcPr>
          <w:p w14:paraId="07C044C6" w14:textId="77777777" w:rsidR="000D07EA" w:rsidRDefault="00BE7C89">
            <w:pPr>
              <w:pStyle w:val="BodyText"/>
              <w:spacing w:before="100" w:after="100"/>
              <w:jc w:val="center"/>
              <w:rPr>
                <w:rFonts w:eastAsia="Times New Roman"/>
                <w:b/>
                <w:bCs/>
                <w:szCs w:val="22"/>
              </w:rPr>
            </w:pPr>
            <w:r>
              <w:rPr>
                <w:rFonts w:eastAsia="Times New Roman"/>
                <w:b/>
                <w:bCs/>
                <w:szCs w:val="22"/>
              </w:rPr>
              <w:t>'yes' Business Smart 6+ 149 Plan</w:t>
            </w:r>
          </w:p>
        </w:tc>
        <w:tc>
          <w:tcPr>
            <w:tcW w:w="531" w:type="pct"/>
            <w:shd w:val="clear" w:color="auto" w:fill="auto"/>
          </w:tcPr>
          <w:p w14:paraId="761B0D09" w14:textId="77777777" w:rsidR="000D07EA" w:rsidRDefault="00BE7C89">
            <w:pPr>
              <w:pStyle w:val="BodyText"/>
              <w:spacing w:before="100" w:after="100"/>
              <w:jc w:val="center"/>
              <w:rPr>
                <w:rFonts w:eastAsia="Times New Roman"/>
                <w:b/>
                <w:bCs/>
                <w:szCs w:val="22"/>
              </w:rPr>
            </w:pPr>
            <w:r>
              <w:rPr>
                <w:rFonts w:eastAsia="Times New Roman"/>
                <w:b/>
                <w:bCs/>
                <w:szCs w:val="22"/>
              </w:rPr>
              <w:t>'yes' Business Smart 6+ 249 Plan</w:t>
            </w:r>
          </w:p>
        </w:tc>
      </w:tr>
      <w:tr w:rsidR="000D07EA" w14:paraId="12421B45" w14:textId="77777777">
        <w:tc>
          <w:tcPr>
            <w:tcW w:w="5000" w:type="pct"/>
            <w:gridSpan w:val="9"/>
            <w:shd w:val="clear" w:color="auto" w:fill="auto"/>
          </w:tcPr>
          <w:p w14:paraId="73A168E5" w14:textId="77777777" w:rsidR="000D07EA" w:rsidRDefault="00BE7C89">
            <w:pPr>
              <w:pStyle w:val="BodyText"/>
              <w:spacing w:before="100" w:after="100"/>
              <w:rPr>
                <w:b/>
              </w:rPr>
            </w:pPr>
            <w:r>
              <w:rPr>
                <w:rFonts w:eastAsia="Times New Roman"/>
                <w:b/>
                <w:bCs/>
                <w:szCs w:val="22"/>
              </w:rPr>
              <w:t xml:space="preserve">Business Bonus Credit (24 Month </w:t>
            </w:r>
            <w:r>
              <w:rPr>
                <w:rFonts w:eastAsia="Times New Roman"/>
                <w:b/>
                <w:bCs/>
                <w:i/>
                <w:szCs w:val="22"/>
              </w:rPr>
              <w:t>agreement</w:t>
            </w:r>
            <w:r>
              <w:rPr>
                <w:rFonts w:eastAsia="Times New Roman"/>
                <w:b/>
                <w:bCs/>
                <w:szCs w:val="22"/>
              </w:rPr>
              <w:t>)</w:t>
            </w:r>
          </w:p>
        </w:tc>
      </w:tr>
      <w:tr w:rsidR="000D07EA" w14:paraId="32D6456B" w14:textId="77777777">
        <w:tc>
          <w:tcPr>
            <w:tcW w:w="752" w:type="pct"/>
            <w:shd w:val="clear" w:color="auto" w:fill="auto"/>
          </w:tcPr>
          <w:p w14:paraId="0D1CE622" w14:textId="77777777" w:rsidR="000D07EA" w:rsidRDefault="00BE7C89">
            <w:pPr>
              <w:pStyle w:val="BodyText"/>
              <w:spacing w:before="100" w:after="100"/>
              <w:jc w:val="center"/>
              <w:rPr>
                <w:b/>
              </w:rPr>
            </w:pPr>
            <w:r>
              <w:rPr>
                <w:rFonts w:eastAsia="Times New Roman"/>
                <w:b/>
                <w:bCs/>
                <w:szCs w:val="22"/>
              </w:rPr>
              <w:t>Total amount over 24 months</w:t>
            </w:r>
          </w:p>
        </w:tc>
        <w:tc>
          <w:tcPr>
            <w:tcW w:w="531" w:type="pct"/>
            <w:shd w:val="clear" w:color="auto" w:fill="auto"/>
          </w:tcPr>
          <w:p w14:paraId="28B56571" w14:textId="77777777" w:rsidR="000D07EA" w:rsidRDefault="00BE7C89">
            <w:pPr>
              <w:pStyle w:val="BodyText"/>
              <w:spacing w:before="100" w:after="100"/>
              <w:jc w:val="center"/>
            </w:pPr>
            <w:r>
              <w:rPr>
                <w:rFonts w:eastAsia="Times New Roman"/>
                <w:bCs/>
                <w:szCs w:val="22"/>
              </w:rPr>
              <w:t>$109.09 ($120)</w:t>
            </w:r>
          </w:p>
        </w:tc>
        <w:tc>
          <w:tcPr>
            <w:tcW w:w="531" w:type="pct"/>
            <w:shd w:val="clear" w:color="auto" w:fill="auto"/>
          </w:tcPr>
          <w:p w14:paraId="520177A4" w14:textId="77777777" w:rsidR="000D07EA" w:rsidRDefault="00BE7C89">
            <w:pPr>
              <w:pStyle w:val="BodyText"/>
              <w:spacing w:before="100" w:after="100"/>
              <w:jc w:val="center"/>
            </w:pPr>
            <w:r>
              <w:rPr>
                <w:rFonts w:eastAsia="Times New Roman"/>
                <w:bCs/>
                <w:szCs w:val="22"/>
              </w:rPr>
              <w:t>$218.18 ($240)</w:t>
            </w:r>
          </w:p>
        </w:tc>
        <w:tc>
          <w:tcPr>
            <w:tcW w:w="531" w:type="pct"/>
            <w:shd w:val="clear" w:color="auto" w:fill="auto"/>
          </w:tcPr>
          <w:p w14:paraId="1D57B562" w14:textId="77777777" w:rsidR="000D07EA" w:rsidRDefault="00BE7C89">
            <w:pPr>
              <w:pStyle w:val="BodyText"/>
              <w:spacing w:before="100" w:after="100"/>
              <w:jc w:val="center"/>
              <w:rPr>
                <w:rFonts w:eastAsia="Times New Roman"/>
                <w:bCs/>
                <w:szCs w:val="22"/>
              </w:rPr>
            </w:pPr>
            <w:r>
              <w:rPr>
                <w:rFonts w:eastAsia="Times New Roman"/>
                <w:bCs/>
                <w:szCs w:val="22"/>
              </w:rPr>
              <w:t>$272.73 ($300)</w:t>
            </w:r>
          </w:p>
        </w:tc>
        <w:tc>
          <w:tcPr>
            <w:tcW w:w="531" w:type="pct"/>
            <w:shd w:val="clear" w:color="auto" w:fill="auto"/>
          </w:tcPr>
          <w:p w14:paraId="48D62C2B" w14:textId="77777777" w:rsidR="000D07EA" w:rsidRDefault="00BE7C89">
            <w:pPr>
              <w:pStyle w:val="BodyText"/>
              <w:spacing w:before="100" w:after="100"/>
              <w:jc w:val="center"/>
              <w:rPr>
                <w:rFonts w:eastAsia="Times New Roman"/>
                <w:bCs/>
                <w:szCs w:val="22"/>
              </w:rPr>
            </w:pPr>
            <w:r>
              <w:rPr>
                <w:rFonts w:eastAsia="Times New Roman"/>
                <w:bCs/>
                <w:szCs w:val="22"/>
              </w:rPr>
              <w:t>$327.27 ($360)</w:t>
            </w:r>
          </w:p>
        </w:tc>
        <w:tc>
          <w:tcPr>
            <w:tcW w:w="531" w:type="pct"/>
            <w:shd w:val="clear" w:color="auto" w:fill="auto"/>
          </w:tcPr>
          <w:p w14:paraId="5B6956F8" w14:textId="77777777" w:rsidR="000D07EA" w:rsidRDefault="00BE7C89">
            <w:pPr>
              <w:pStyle w:val="BodyText"/>
              <w:spacing w:before="100" w:after="100"/>
              <w:jc w:val="center"/>
              <w:rPr>
                <w:rFonts w:eastAsia="Times New Roman"/>
                <w:bCs/>
                <w:szCs w:val="22"/>
              </w:rPr>
            </w:pPr>
            <w:r>
              <w:rPr>
                <w:rFonts w:eastAsia="Times New Roman"/>
                <w:bCs/>
                <w:szCs w:val="22"/>
              </w:rPr>
              <w:t>$381.81 ($420)</w:t>
            </w:r>
          </w:p>
        </w:tc>
        <w:tc>
          <w:tcPr>
            <w:tcW w:w="531" w:type="pct"/>
            <w:shd w:val="clear" w:color="auto" w:fill="auto"/>
          </w:tcPr>
          <w:p w14:paraId="733A50C4" w14:textId="77777777" w:rsidR="000D07EA" w:rsidRDefault="00BE7C89">
            <w:pPr>
              <w:pStyle w:val="BodyText"/>
              <w:spacing w:before="100" w:after="100"/>
              <w:jc w:val="center"/>
              <w:rPr>
                <w:rFonts w:eastAsia="Times New Roman"/>
                <w:bCs/>
                <w:szCs w:val="22"/>
              </w:rPr>
            </w:pPr>
            <w:r>
              <w:rPr>
                <w:rFonts w:eastAsia="Times New Roman"/>
                <w:bCs/>
                <w:szCs w:val="22"/>
              </w:rPr>
              <w:t>$436.36 ($480)</w:t>
            </w:r>
          </w:p>
        </w:tc>
        <w:tc>
          <w:tcPr>
            <w:tcW w:w="531" w:type="pct"/>
            <w:shd w:val="clear" w:color="auto" w:fill="auto"/>
          </w:tcPr>
          <w:p w14:paraId="1F3965E4" w14:textId="77777777" w:rsidR="000D07EA" w:rsidRDefault="00BE7C89">
            <w:pPr>
              <w:pStyle w:val="BodyText"/>
              <w:spacing w:before="100" w:after="100"/>
              <w:jc w:val="center"/>
              <w:rPr>
                <w:rFonts w:eastAsia="Times New Roman"/>
                <w:bCs/>
                <w:szCs w:val="22"/>
              </w:rPr>
            </w:pPr>
            <w:r>
              <w:rPr>
                <w:rFonts w:eastAsia="Times New Roman"/>
                <w:bCs/>
                <w:szCs w:val="22"/>
              </w:rPr>
              <w:t>$545.45 ($600)</w:t>
            </w:r>
          </w:p>
        </w:tc>
        <w:tc>
          <w:tcPr>
            <w:tcW w:w="531" w:type="pct"/>
            <w:shd w:val="clear" w:color="auto" w:fill="auto"/>
          </w:tcPr>
          <w:p w14:paraId="7806AAE0" w14:textId="77777777" w:rsidR="000D07EA" w:rsidRDefault="00BE7C89">
            <w:pPr>
              <w:pStyle w:val="BodyText"/>
              <w:spacing w:before="100" w:after="100"/>
              <w:jc w:val="center"/>
              <w:rPr>
                <w:rFonts w:eastAsia="Times New Roman"/>
                <w:bCs/>
                <w:szCs w:val="22"/>
              </w:rPr>
            </w:pPr>
            <w:r>
              <w:rPr>
                <w:rFonts w:eastAsia="Times New Roman"/>
                <w:bCs/>
                <w:szCs w:val="22"/>
              </w:rPr>
              <w:t>$654.55 ($720)</w:t>
            </w:r>
          </w:p>
        </w:tc>
      </w:tr>
      <w:tr w:rsidR="000D07EA" w14:paraId="6A8FF154" w14:textId="77777777">
        <w:tc>
          <w:tcPr>
            <w:tcW w:w="752" w:type="pct"/>
            <w:shd w:val="clear" w:color="auto" w:fill="auto"/>
          </w:tcPr>
          <w:p w14:paraId="6131DF07" w14:textId="77777777" w:rsidR="000D07EA" w:rsidRDefault="00BE7C89">
            <w:pPr>
              <w:pStyle w:val="BodyText"/>
              <w:spacing w:before="100" w:after="100"/>
              <w:jc w:val="center"/>
              <w:rPr>
                <w:rFonts w:eastAsia="Times New Roman"/>
                <w:b/>
                <w:bCs/>
                <w:szCs w:val="22"/>
              </w:rPr>
            </w:pPr>
            <w:r>
              <w:rPr>
                <w:rFonts w:eastAsia="Times New Roman"/>
                <w:b/>
                <w:bCs/>
                <w:szCs w:val="22"/>
              </w:rPr>
              <w:t>Total amount over 12 months</w:t>
            </w:r>
          </w:p>
        </w:tc>
        <w:tc>
          <w:tcPr>
            <w:tcW w:w="531" w:type="pct"/>
            <w:shd w:val="clear" w:color="auto" w:fill="auto"/>
          </w:tcPr>
          <w:p w14:paraId="5146027B" w14:textId="77777777" w:rsidR="000D07EA" w:rsidRDefault="00BE7C89">
            <w:pPr>
              <w:pStyle w:val="BodyText"/>
              <w:spacing w:before="100" w:after="100"/>
              <w:jc w:val="center"/>
              <w:rPr>
                <w:rFonts w:eastAsia="Times New Roman"/>
                <w:bCs/>
                <w:szCs w:val="22"/>
              </w:rPr>
            </w:pPr>
            <w:r>
              <w:rPr>
                <w:rFonts w:eastAsia="Times New Roman"/>
                <w:bCs/>
                <w:szCs w:val="22"/>
              </w:rPr>
              <w:t>$43.63 ($48)</w:t>
            </w:r>
          </w:p>
        </w:tc>
        <w:tc>
          <w:tcPr>
            <w:tcW w:w="531" w:type="pct"/>
            <w:shd w:val="clear" w:color="auto" w:fill="auto"/>
          </w:tcPr>
          <w:p w14:paraId="05DA1AF4" w14:textId="77777777" w:rsidR="000D07EA" w:rsidRDefault="00BE7C89">
            <w:pPr>
              <w:pStyle w:val="BodyText"/>
              <w:spacing w:before="100" w:after="100"/>
              <w:jc w:val="center"/>
              <w:rPr>
                <w:rFonts w:eastAsia="Times New Roman"/>
                <w:bCs/>
                <w:szCs w:val="22"/>
              </w:rPr>
            </w:pPr>
            <w:r>
              <w:rPr>
                <w:rFonts w:eastAsia="Times New Roman"/>
                <w:bCs/>
                <w:szCs w:val="22"/>
              </w:rPr>
              <w:t>$87.27 ($96)</w:t>
            </w:r>
          </w:p>
        </w:tc>
        <w:tc>
          <w:tcPr>
            <w:tcW w:w="531" w:type="pct"/>
            <w:shd w:val="clear" w:color="auto" w:fill="auto"/>
          </w:tcPr>
          <w:p w14:paraId="1B48B632" w14:textId="77777777" w:rsidR="000D07EA" w:rsidRDefault="00BE7C89">
            <w:pPr>
              <w:pStyle w:val="BodyText"/>
              <w:spacing w:before="100" w:after="100"/>
              <w:jc w:val="center"/>
              <w:rPr>
                <w:rFonts w:eastAsia="Times New Roman"/>
                <w:bCs/>
                <w:szCs w:val="22"/>
              </w:rPr>
            </w:pPr>
            <w:r>
              <w:rPr>
                <w:rFonts w:eastAsia="Times New Roman"/>
                <w:bCs/>
                <w:szCs w:val="22"/>
              </w:rPr>
              <w:t>$109.09 ($120)</w:t>
            </w:r>
          </w:p>
        </w:tc>
        <w:tc>
          <w:tcPr>
            <w:tcW w:w="531" w:type="pct"/>
            <w:shd w:val="clear" w:color="auto" w:fill="auto"/>
          </w:tcPr>
          <w:p w14:paraId="4F824E71" w14:textId="77777777" w:rsidR="000D07EA" w:rsidRDefault="00BE7C89">
            <w:pPr>
              <w:pStyle w:val="BodyText"/>
              <w:spacing w:before="100" w:after="100"/>
              <w:jc w:val="center"/>
              <w:rPr>
                <w:rFonts w:eastAsia="Times New Roman"/>
                <w:bCs/>
                <w:szCs w:val="22"/>
              </w:rPr>
            </w:pPr>
            <w:r>
              <w:rPr>
                <w:rFonts w:eastAsia="Times New Roman"/>
                <w:bCs/>
                <w:szCs w:val="22"/>
              </w:rPr>
              <w:t>$130.90 ($144)</w:t>
            </w:r>
          </w:p>
        </w:tc>
        <w:tc>
          <w:tcPr>
            <w:tcW w:w="531" w:type="pct"/>
            <w:shd w:val="clear" w:color="auto" w:fill="auto"/>
          </w:tcPr>
          <w:p w14:paraId="55081A51" w14:textId="77777777" w:rsidR="000D07EA" w:rsidRDefault="00BE7C89">
            <w:pPr>
              <w:pStyle w:val="BodyText"/>
              <w:spacing w:before="100" w:after="100"/>
              <w:jc w:val="center"/>
              <w:rPr>
                <w:rFonts w:eastAsia="Times New Roman"/>
                <w:bCs/>
                <w:szCs w:val="22"/>
              </w:rPr>
            </w:pPr>
            <w:r>
              <w:rPr>
                <w:rFonts w:eastAsia="Times New Roman"/>
                <w:bCs/>
                <w:szCs w:val="22"/>
              </w:rPr>
              <w:t>$152.72 ($168)</w:t>
            </w:r>
          </w:p>
        </w:tc>
        <w:tc>
          <w:tcPr>
            <w:tcW w:w="531" w:type="pct"/>
            <w:shd w:val="clear" w:color="auto" w:fill="auto"/>
          </w:tcPr>
          <w:p w14:paraId="32E68A64" w14:textId="77777777" w:rsidR="000D07EA" w:rsidRDefault="00BE7C89">
            <w:pPr>
              <w:pStyle w:val="BodyText"/>
              <w:spacing w:before="100" w:after="100"/>
              <w:jc w:val="center"/>
              <w:rPr>
                <w:rFonts w:eastAsia="Times New Roman"/>
                <w:bCs/>
                <w:szCs w:val="22"/>
              </w:rPr>
            </w:pPr>
            <w:r>
              <w:rPr>
                <w:rFonts w:eastAsia="Times New Roman"/>
                <w:bCs/>
                <w:szCs w:val="22"/>
              </w:rPr>
              <w:t>$174.54 ($192)</w:t>
            </w:r>
          </w:p>
        </w:tc>
        <w:tc>
          <w:tcPr>
            <w:tcW w:w="531" w:type="pct"/>
            <w:shd w:val="clear" w:color="auto" w:fill="auto"/>
          </w:tcPr>
          <w:p w14:paraId="5157E68F" w14:textId="77777777" w:rsidR="000D07EA" w:rsidRDefault="00BE7C89">
            <w:pPr>
              <w:pStyle w:val="BodyText"/>
              <w:spacing w:before="100" w:after="100"/>
              <w:jc w:val="center"/>
              <w:rPr>
                <w:rFonts w:eastAsia="Times New Roman"/>
                <w:bCs/>
                <w:szCs w:val="22"/>
              </w:rPr>
            </w:pPr>
            <w:r>
              <w:rPr>
                <w:rFonts w:eastAsia="Times New Roman"/>
                <w:bCs/>
                <w:szCs w:val="22"/>
              </w:rPr>
              <w:t>$218.18 ($240)</w:t>
            </w:r>
          </w:p>
        </w:tc>
        <w:tc>
          <w:tcPr>
            <w:tcW w:w="531" w:type="pct"/>
            <w:shd w:val="clear" w:color="auto" w:fill="auto"/>
          </w:tcPr>
          <w:p w14:paraId="3434D9B0" w14:textId="77777777" w:rsidR="000D07EA" w:rsidRDefault="00BE7C89">
            <w:pPr>
              <w:pStyle w:val="BodyText"/>
              <w:spacing w:before="100" w:after="100"/>
              <w:jc w:val="center"/>
              <w:rPr>
                <w:rFonts w:eastAsia="Times New Roman"/>
                <w:bCs/>
                <w:szCs w:val="22"/>
              </w:rPr>
            </w:pPr>
            <w:r>
              <w:rPr>
                <w:rFonts w:eastAsia="Times New Roman"/>
                <w:bCs/>
                <w:szCs w:val="22"/>
              </w:rPr>
              <w:t>$261.81 ($288)</w:t>
            </w:r>
          </w:p>
        </w:tc>
      </w:tr>
    </w:tbl>
    <w:p w14:paraId="2F2A0CCB" w14:textId="77777777" w:rsidR="000D07EA" w:rsidRDefault="000D07EA"/>
    <w:p w14:paraId="7B398316" w14:textId="77777777" w:rsidR="000D07EA" w:rsidRDefault="00BE7C89">
      <w:pPr>
        <w:pStyle w:val="Heading6"/>
        <w:ind w:left="0" w:firstLine="0"/>
      </w:pPr>
      <w:r>
        <w:t>Smart BYO Bonus</w:t>
      </w:r>
    </w:p>
    <w:p w14:paraId="6866DDCC" w14:textId="77777777" w:rsidR="000D07EA" w:rsidRDefault="00BE7C89">
      <w:pPr>
        <w:pStyle w:val="BodyText"/>
        <w:ind w:left="720"/>
      </w:pPr>
      <w:r>
        <w:t xml:space="preserve">If </w:t>
      </w:r>
      <w:r>
        <w:rPr>
          <w:i/>
        </w:rPr>
        <w:t>you</w:t>
      </w:r>
      <w:r>
        <w:t xml:space="preserve"> do not purchase or receive new discounted mobile hardware from either </w:t>
      </w:r>
      <w:r>
        <w:rPr>
          <w:i/>
        </w:rPr>
        <w:t>us</w:t>
      </w:r>
      <w:r>
        <w:t xml:space="preserve"> or an Optus dealer, partner or reseller when connecting to a 'yes' Business Smart </w:t>
      </w:r>
      <w:r>
        <w:rPr>
          <w:i/>
        </w:rPr>
        <w:t>pricing plan</w:t>
      </w:r>
      <w:r>
        <w:t xml:space="preserve"> with a 12 or 24 month </w:t>
      </w:r>
      <w:r>
        <w:rPr>
          <w:i/>
        </w:rPr>
        <w:t>minimum term</w:t>
      </w:r>
      <w:r>
        <w:t xml:space="preserve"> and </w:t>
      </w:r>
      <w:r>
        <w:rPr>
          <w:i/>
        </w:rPr>
        <w:t>you</w:t>
      </w:r>
      <w:r>
        <w:t xml:space="preserve"> connected after 28 July 2008 then </w:t>
      </w:r>
      <w:r>
        <w:rPr>
          <w:i/>
        </w:rPr>
        <w:t>you</w:t>
      </w:r>
      <w:r>
        <w:t xml:space="preserve"> are eligible for a monthly credit called "Smart BYO Bonus" on </w:t>
      </w:r>
      <w:r>
        <w:rPr>
          <w:i/>
        </w:rPr>
        <w:t>your mobile phone</w:t>
      </w:r>
      <w:r>
        <w:t xml:space="preserve"> tax invoice/account. </w:t>
      </w:r>
      <w:r>
        <w:rPr>
          <w:b/>
        </w:rPr>
        <w:t xml:space="preserve">(For the avoidance of doubt, </w:t>
      </w:r>
      <w:r>
        <w:rPr>
          <w:b/>
          <w:i/>
        </w:rPr>
        <w:t>you</w:t>
      </w:r>
      <w:r>
        <w:rPr>
          <w:b/>
        </w:rPr>
        <w:t xml:space="preserve"> will not be eligible for any "Business Bonus" credit if, at the time </w:t>
      </w:r>
      <w:r>
        <w:rPr>
          <w:b/>
          <w:i/>
        </w:rPr>
        <w:t>you</w:t>
      </w:r>
      <w:r>
        <w:rPr>
          <w:b/>
        </w:rPr>
        <w:t xml:space="preserve"> enter into the </w:t>
      </w:r>
      <w:r>
        <w:rPr>
          <w:b/>
          <w:i/>
        </w:rPr>
        <w:t>agreement</w:t>
      </w:r>
      <w:r>
        <w:rPr>
          <w:b/>
        </w:rPr>
        <w:t xml:space="preserve"> for the </w:t>
      </w:r>
      <w:r>
        <w:rPr>
          <w:b/>
          <w:i/>
        </w:rPr>
        <w:t>service</w:t>
      </w:r>
      <w:r>
        <w:rPr>
          <w:b/>
        </w:rPr>
        <w:t xml:space="preserve"> with </w:t>
      </w:r>
      <w:r>
        <w:rPr>
          <w:b/>
          <w:i/>
        </w:rPr>
        <w:t>us you</w:t>
      </w:r>
      <w:r>
        <w:rPr>
          <w:b/>
        </w:rPr>
        <w:t xml:space="preserve"> purchase or receive mobile hardware under a separate agreement with an Optus dealer, partner or reseller.)</w:t>
      </w:r>
      <w:r>
        <w:t xml:space="preserve"> The credit will be applied to </w:t>
      </w:r>
      <w:r>
        <w:rPr>
          <w:i/>
        </w:rPr>
        <w:t>your</w:t>
      </w:r>
      <w:r>
        <w:t xml:space="preserve"> account from the first or second month of </w:t>
      </w:r>
      <w:r>
        <w:rPr>
          <w:i/>
        </w:rPr>
        <w:t>your</w:t>
      </w:r>
      <w:r>
        <w:t xml:space="preserve"> contract and will be equal to </w:t>
      </w:r>
      <w:r>
        <w:rPr>
          <w:i/>
        </w:rPr>
        <w:t>your</w:t>
      </w:r>
      <w:r>
        <w:t xml:space="preserve"> Minimum monthly commitment. </w:t>
      </w:r>
      <w:r>
        <w:rPr>
          <w:i/>
        </w:rPr>
        <w:t>You</w:t>
      </w:r>
      <w:r>
        <w:t xml:space="preserve"> will still receive </w:t>
      </w:r>
      <w:r>
        <w:rPr>
          <w:i/>
        </w:rPr>
        <w:t>your</w:t>
      </w:r>
      <w:r>
        <w:t xml:space="preserve"> full included value. Customers who select a 12 month plan will receive 2 full "BYO Bonus" where as customers who select a 24 month plan will receive 4 full "BYO Bonus". Excludes pro rated months. This credit is not redeemable for cash or refundable upon </w:t>
      </w:r>
      <w:r>
        <w:rPr>
          <w:i/>
        </w:rPr>
        <w:t xml:space="preserve">cancellation </w:t>
      </w:r>
      <w:r>
        <w:t>of</w:t>
      </w:r>
      <w:r>
        <w:rPr>
          <w:i/>
        </w:rPr>
        <w:t xml:space="preserve"> your agreement</w:t>
      </w:r>
      <w:r>
        <w:t>.</w:t>
      </w:r>
    </w:p>
    <w:p w14:paraId="4D57D039" w14:textId="77777777" w:rsidR="000D07EA" w:rsidRDefault="00BE7C89">
      <w:pPr>
        <w:pStyle w:val="Heading4"/>
        <w:ind w:left="720" w:hanging="720"/>
      </w:pPr>
      <w:bookmarkStart w:id="168" w:name="_Toc62644615"/>
      <w:r>
        <w:t>'Yes' Business Smart 20+ Plans</w:t>
      </w:r>
      <w:bookmarkEnd w:id="168"/>
    </w:p>
    <w:p w14:paraId="3CDBF0E0" w14:textId="77777777" w:rsidR="000D07EA" w:rsidRDefault="00BE7C89">
      <w:pPr>
        <w:pStyle w:val="Heading6"/>
        <w:ind w:left="0" w:firstLine="0"/>
      </w:pPr>
      <w:r>
        <w:t>Eligibility</w:t>
      </w:r>
    </w:p>
    <w:p w14:paraId="5CB496DE" w14:textId="77777777" w:rsidR="000D07EA" w:rsidRDefault="00BE7C89">
      <w:pPr>
        <w:pStyle w:val="Heading7"/>
      </w:pPr>
      <w:r>
        <w:t xml:space="preserve">The 'yes' Business Smart 20+ </w:t>
      </w:r>
      <w:r>
        <w:rPr>
          <w:i/>
        </w:rPr>
        <w:t>pricing plans</w:t>
      </w:r>
      <w:r>
        <w:t xml:space="preserve"> are only available under special offers to customers </w:t>
      </w:r>
      <w:r>
        <w:rPr>
          <w:i/>
        </w:rPr>
        <w:t>we</w:t>
      </w:r>
      <w:r>
        <w:t xml:space="preserve"> classify as business customers. </w:t>
      </w:r>
    </w:p>
    <w:p w14:paraId="170CA628" w14:textId="77777777" w:rsidR="000D07EA" w:rsidRDefault="00BE7C89">
      <w:pPr>
        <w:pStyle w:val="Heading7"/>
      </w:pPr>
      <w:r>
        <w:t xml:space="preserve">To be eligible, </w:t>
      </w:r>
      <w:r>
        <w:rPr>
          <w:i/>
        </w:rPr>
        <w:t>you</w:t>
      </w:r>
      <w:r>
        <w:t xml:space="preserve"> must have a fleet of at least 20 mobile phones (</w:t>
      </w:r>
      <w:r>
        <w:rPr>
          <w:i/>
        </w:rPr>
        <w:t>Optus SIM cards</w:t>
      </w:r>
      <w:r>
        <w:t xml:space="preserve">) in </w:t>
      </w:r>
      <w:r>
        <w:rPr>
          <w:i/>
        </w:rPr>
        <w:t>your</w:t>
      </w:r>
      <w:r>
        <w:t xml:space="preserve"> account or a fleet of any other number approved by </w:t>
      </w:r>
      <w:r>
        <w:rPr>
          <w:i/>
        </w:rPr>
        <w:t>us</w:t>
      </w:r>
      <w:r>
        <w:t xml:space="preserve"> at </w:t>
      </w:r>
      <w:r>
        <w:rPr>
          <w:i/>
        </w:rPr>
        <w:t>our</w:t>
      </w:r>
      <w:r>
        <w:t xml:space="preserve"> discretion. If </w:t>
      </w:r>
      <w:r>
        <w:rPr>
          <w:i/>
        </w:rPr>
        <w:t>you</w:t>
      </w:r>
      <w:r>
        <w:t xml:space="preserve"> cease to have a fleet of 20 </w:t>
      </w:r>
      <w:r>
        <w:rPr>
          <w:i/>
        </w:rPr>
        <w:t>Optus SIM cards</w:t>
      </w:r>
      <w:r>
        <w:t xml:space="preserve"> or other approved fleet of </w:t>
      </w:r>
      <w:r>
        <w:rPr>
          <w:i/>
        </w:rPr>
        <w:t>Optus SIM cards</w:t>
      </w:r>
      <w:r>
        <w:t xml:space="preserve">, connected to </w:t>
      </w:r>
      <w:r>
        <w:rPr>
          <w:i/>
        </w:rPr>
        <w:t>your</w:t>
      </w:r>
      <w:r>
        <w:t xml:space="preserve"> account, </w:t>
      </w:r>
      <w:r>
        <w:rPr>
          <w:i/>
        </w:rPr>
        <w:t>you</w:t>
      </w:r>
      <w:r>
        <w:t xml:space="preserve"> may be transferred to another </w:t>
      </w:r>
      <w:r>
        <w:rPr>
          <w:i/>
        </w:rPr>
        <w:t>pricing plan</w:t>
      </w:r>
      <w:r>
        <w:t xml:space="preserve"> at </w:t>
      </w:r>
      <w:r>
        <w:rPr>
          <w:i/>
        </w:rPr>
        <w:t>our</w:t>
      </w:r>
      <w:r>
        <w:t xml:space="preserve"> discretion.</w:t>
      </w:r>
    </w:p>
    <w:p w14:paraId="5B4F0866" w14:textId="77777777" w:rsidR="000D07EA" w:rsidRDefault="00BE7C89">
      <w:pPr>
        <w:pStyle w:val="Heading7"/>
      </w:pPr>
      <w:r>
        <w:lastRenderedPageBreak/>
        <w:t xml:space="preserve">If </w:t>
      </w:r>
      <w:r>
        <w:rPr>
          <w:i/>
        </w:rPr>
        <w:t>you</w:t>
      </w:r>
      <w:r>
        <w:t xml:space="preserve"> connect to a 'yes' Business Smart 20+ </w:t>
      </w:r>
      <w:r>
        <w:rPr>
          <w:i/>
        </w:rPr>
        <w:t>pricing plan you</w:t>
      </w:r>
      <w:r>
        <w:t xml:space="preserve"> agree to connect to the specific </w:t>
      </w:r>
      <w:r>
        <w:rPr>
          <w:i/>
        </w:rPr>
        <w:t>pricing plans</w:t>
      </w:r>
      <w:r>
        <w:t xml:space="preserve"> of </w:t>
      </w:r>
      <w:r>
        <w:rPr>
          <w:i/>
        </w:rPr>
        <w:t>your</w:t>
      </w:r>
      <w:r>
        <w:t xml:space="preserve"> choice from the 'yes' Business Smart 20+ suite of </w:t>
      </w:r>
      <w:r>
        <w:rPr>
          <w:i/>
        </w:rPr>
        <w:t>pricing plans</w:t>
      </w:r>
      <w:r>
        <w:t xml:space="preserve"> set out in Table 1 below, based in each case on an agreed average minimum monthly call spend per user across all </w:t>
      </w:r>
      <w:r>
        <w:rPr>
          <w:i/>
        </w:rPr>
        <w:t>Optus SIM cards</w:t>
      </w:r>
      <w:r>
        <w:t xml:space="preserve"> connected to </w:t>
      </w:r>
      <w:r>
        <w:rPr>
          <w:i/>
        </w:rPr>
        <w:t>your</w:t>
      </w:r>
      <w:r>
        <w:t xml:space="preserve"> account. Calls are charged at the rates set out in Table 1.</w:t>
      </w:r>
    </w:p>
    <w:p w14:paraId="02020FEB" w14:textId="77777777" w:rsidR="000D07EA" w:rsidRDefault="00BE7C89">
      <w:pPr>
        <w:pStyle w:val="Heading6"/>
        <w:ind w:left="0" w:firstLine="0"/>
      </w:pPr>
      <w:r>
        <w:t xml:space="preserve">Is it a </w:t>
      </w:r>
      <w:r>
        <w:rPr>
          <w:i/>
        </w:rPr>
        <w:t>fixed length agreement</w:t>
      </w:r>
      <w:r>
        <w:t>?</w:t>
      </w:r>
    </w:p>
    <w:p w14:paraId="24295C33" w14:textId="77777777" w:rsidR="000D07EA" w:rsidRDefault="00BE7C89">
      <w:pPr>
        <w:pStyle w:val="Heading7"/>
      </w:pPr>
      <w:r>
        <w:t xml:space="preserve">To connect to any of the 'yes' Business Smart 20+ </w:t>
      </w:r>
      <w:r>
        <w:rPr>
          <w:i/>
        </w:rPr>
        <w:t>pricing plans</w:t>
      </w:r>
      <w:r>
        <w:t xml:space="preserve"> you must agree to enter into a </w:t>
      </w:r>
      <w:r>
        <w:rPr>
          <w:i/>
        </w:rPr>
        <w:t>fixed length agreement</w:t>
      </w:r>
      <w:r>
        <w:t xml:space="preserve"> for a </w:t>
      </w:r>
      <w:r>
        <w:rPr>
          <w:i/>
        </w:rPr>
        <w:t>minimum term</w:t>
      </w:r>
      <w:r>
        <w:t xml:space="preserve"> as specified in Tables 1below, up to a term of 5 years, or such other term as </w:t>
      </w:r>
      <w:r>
        <w:rPr>
          <w:i/>
        </w:rPr>
        <w:t>you</w:t>
      </w:r>
      <w:r>
        <w:t xml:space="preserve"> and </w:t>
      </w:r>
      <w:r>
        <w:rPr>
          <w:i/>
        </w:rPr>
        <w:t>we</w:t>
      </w:r>
      <w:r>
        <w:t xml:space="preserve"> agree (</w:t>
      </w:r>
      <w:r>
        <w:rPr>
          <w:i/>
        </w:rPr>
        <w:t>minimum term</w:t>
      </w:r>
      <w:r>
        <w:t>).</w:t>
      </w:r>
    </w:p>
    <w:p w14:paraId="61C2E25A" w14:textId="77777777" w:rsidR="000D07EA" w:rsidRDefault="00BE7C89">
      <w:pPr>
        <w:pStyle w:val="Heading6"/>
        <w:ind w:left="0" w:firstLine="0"/>
      </w:pPr>
      <w:r>
        <w:t xml:space="preserve">What </w:t>
      </w:r>
      <w:r>
        <w:rPr>
          <w:i/>
        </w:rPr>
        <w:t>you</w:t>
      </w:r>
      <w:r>
        <w:t xml:space="preserve"> must pay </w:t>
      </w:r>
      <w:r>
        <w:rPr>
          <w:i/>
        </w:rPr>
        <w:t>us</w:t>
      </w:r>
    </w:p>
    <w:p w14:paraId="0C726EAA" w14:textId="77777777" w:rsidR="000D07EA" w:rsidRDefault="00BE7C89">
      <w:pPr>
        <w:pStyle w:val="Heading7"/>
      </w:pPr>
      <w:r>
        <w:t xml:space="preserve">Each month </w:t>
      </w:r>
      <w:r>
        <w:rPr>
          <w:i/>
        </w:rPr>
        <w:t>you</w:t>
      </w:r>
      <w:r>
        <w:t xml:space="preserve"> will pay the monthly </w:t>
      </w:r>
      <w:r>
        <w:rPr>
          <w:i/>
        </w:rPr>
        <w:t>minimum monthly spend</w:t>
      </w:r>
      <w:r>
        <w:t xml:space="preserve"> for all </w:t>
      </w:r>
      <w:r>
        <w:rPr>
          <w:i/>
        </w:rPr>
        <w:t>Optus SIM cards</w:t>
      </w:r>
      <w:r>
        <w:t xml:space="preserve"> connected to the relevant 'yes' Business Smart 20+ </w:t>
      </w:r>
      <w:r>
        <w:rPr>
          <w:i/>
        </w:rPr>
        <w:t>pricing plan</w:t>
      </w:r>
      <w:r>
        <w:t xml:space="preserve"> on </w:t>
      </w:r>
      <w:r>
        <w:rPr>
          <w:i/>
        </w:rPr>
        <w:t xml:space="preserve">your </w:t>
      </w:r>
      <w:r>
        <w:t>account, regardless of the actual call charges incurred.</w:t>
      </w:r>
    </w:p>
    <w:p w14:paraId="1D0C2CAD" w14:textId="77777777" w:rsidR="000D07EA" w:rsidRDefault="00BE7C89">
      <w:pPr>
        <w:pStyle w:val="Heading7"/>
      </w:pPr>
      <w:r>
        <w:t xml:space="preserve">There will be a component of included calls upon payment of the monthly </w:t>
      </w:r>
      <w:r>
        <w:rPr>
          <w:i/>
        </w:rPr>
        <w:t>minimum monthly spend</w:t>
      </w:r>
      <w:r>
        <w:t xml:space="preserve"> as specified in Tables 1 below.</w:t>
      </w:r>
    </w:p>
    <w:p w14:paraId="771AB62C" w14:textId="77777777" w:rsidR="000D07EA" w:rsidRDefault="00BE7C89">
      <w:pPr>
        <w:pStyle w:val="Heading7"/>
      </w:pPr>
      <w:r>
        <w:rPr>
          <w:i/>
        </w:rPr>
        <w:t>You</w:t>
      </w:r>
      <w:r>
        <w:t xml:space="preserve"> will not be charged for calls made in any one month on a per call basis per user until the value of those calls exceeds the value of the included call component of </w:t>
      </w:r>
      <w:r>
        <w:rPr>
          <w:i/>
        </w:rPr>
        <w:t>your pricing plan</w:t>
      </w:r>
      <w:r>
        <w:t>.</w:t>
      </w:r>
    </w:p>
    <w:p w14:paraId="56CBA135" w14:textId="77777777" w:rsidR="000D07EA" w:rsidRDefault="00BE7C89">
      <w:pPr>
        <w:pStyle w:val="Heading6"/>
        <w:ind w:left="0" w:firstLine="0"/>
      </w:pPr>
      <w:r>
        <w:t>Pricing</w:t>
      </w:r>
    </w:p>
    <w:p w14:paraId="5CF44565" w14:textId="77777777" w:rsidR="000D07EA" w:rsidRDefault="00BE7C89">
      <w:pPr>
        <w:pStyle w:val="Heading7"/>
      </w:pPr>
      <w:r>
        <w:t xml:space="preserve">'yes' Business Smart 20+ </w:t>
      </w:r>
      <w:r>
        <w:rPr>
          <w:i/>
        </w:rPr>
        <w:t>pricing plans</w:t>
      </w:r>
      <w:r>
        <w:t xml:space="preserve"> include the "SmartFleet" call rate. It applies to calls to another 'yes' Business Smart 20+ (YBS20), 'yes' Business Fleet (BF) or inBusiness Edge (inBE) </w:t>
      </w:r>
      <w:r>
        <w:rPr>
          <w:i/>
        </w:rPr>
        <w:t>service</w:t>
      </w:r>
      <w:r>
        <w:t xml:space="preserve"> on the same customer account number. Calls are charged at $0. No </w:t>
      </w:r>
      <w:r>
        <w:rPr>
          <w:i/>
        </w:rPr>
        <w:t>flagfall</w:t>
      </w:r>
      <w:r>
        <w:t xml:space="preserve"> applies. Excludes calls to Optus Pre-Paid, Satellite and service provider customers. "SmartFleet" Promotion available until 31/12/06 unless withdrawn earlier. </w:t>
      </w:r>
      <w:r w:rsidR="009355C4">
        <w:t xml:space="preserve">The </w:t>
      </w:r>
      <w:r>
        <w:t xml:space="preserve">Fair Go Policy applies (see </w:t>
      </w:r>
      <w:hyperlink r:id="rId64" w:history="1">
        <w:r w:rsidRPr="001723A4">
          <w:rPr>
            <w:rStyle w:val="Hyperlink"/>
            <w:i/>
          </w:rPr>
          <w:t xml:space="preserve">Appendix </w:t>
        </w:r>
        <w:r w:rsidR="001723A4" w:rsidRPr="001723A4">
          <w:rPr>
            <w:rStyle w:val="Hyperlink"/>
            <w:i/>
          </w:rPr>
          <w:t>S</w:t>
        </w:r>
      </w:hyperlink>
      <w:r>
        <w:t xml:space="preserve">). Note: Standard call exclusions (see section 1 of this </w:t>
      </w:r>
      <w:r>
        <w:rPr>
          <w:i/>
        </w:rPr>
        <w:t>standard pricing table</w:t>
      </w:r>
      <w:r>
        <w:t>) apply to the "SmartFleet" call rates. Applies to calls made and received in Australia.</w:t>
      </w:r>
    </w:p>
    <w:p w14:paraId="2217170C" w14:textId="77777777" w:rsidR="000D07EA" w:rsidRDefault="00BE7C89">
      <w:pPr>
        <w:pStyle w:val="Heading7"/>
      </w:pPr>
      <w:r>
        <w:t xml:space="preserve">Upon request, customers may set up a Back2Business (B2B) service: pay 30c for 10 minute calls to 3 numbers, 24 x 7. No flagfall applies. Only 3 B2B services per YBS6+ service. If </w:t>
      </w:r>
      <w:r>
        <w:rPr>
          <w:i/>
        </w:rPr>
        <w:t>you</w:t>
      </w:r>
      <w:r>
        <w:t xml:space="preserve"> combine </w:t>
      </w:r>
      <w:r>
        <w:rPr>
          <w:i/>
        </w:rPr>
        <w:t>your</w:t>
      </w:r>
      <w:r>
        <w:t xml:space="preserve"> YBS20 service with Optus Fixed Line and / or Data </w:t>
      </w:r>
      <w:r>
        <w:rPr>
          <w:i/>
        </w:rPr>
        <w:t>you</w:t>
      </w:r>
      <w:r>
        <w:t xml:space="preserve"> will receive free 10 minute calls. The 3 nominated numbers must be either eligible Optus GSM mobile(s) and / or fixed line(s), as defined by Optus and cannot be a 13, 1300, 1800 or 1900 number. Calls must be made and received within Australia and excludes video calls. After the first 10 minutes standard call rates apply. </w:t>
      </w:r>
      <w:r>
        <w:rPr>
          <w:i/>
        </w:rPr>
        <w:t>You</w:t>
      </w:r>
      <w:r>
        <w:t xml:space="preserve"> may change </w:t>
      </w:r>
      <w:r>
        <w:rPr>
          <w:i/>
        </w:rPr>
        <w:t>your</w:t>
      </w:r>
      <w:r>
        <w:t xml:space="preserve"> nominated numbers no more than once per month. Allow up to 48 hours for activation or changes to </w:t>
      </w:r>
      <w:r>
        <w:rPr>
          <w:i/>
        </w:rPr>
        <w:t>your</w:t>
      </w:r>
      <w:r>
        <w:t xml:space="preserve"> B2B service. Promotion available until 31/12/06 unless withdrawn earlier. </w:t>
      </w:r>
      <w:r w:rsidR="009355C4">
        <w:t xml:space="preserve">The </w:t>
      </w:r>
      <w:r>
        <w:t xml:space="preserve">Fair Go Policy applies. </w:t>
      </w:r>
    </w:p>
    <w:p w14:paraId="6ADBFBA7" w14:textId="77777777" w:rsidR="000D07EA" w:rsidRDefault="00BE7C89">
      <w:pPr>
        <w:pStyle w:val="Heading7"/>
      </w:pPr>
      <w:r>
        <w:rPr>
          <w:b/>
        </w:rPr>
        <w:t>International Calls:</w:t>
      </w:r>
      <w:r>
        <w:t xml:space="preserve"> For the period prior to 6 June 2010, international calls from </w:t>
      </w:r>
      <w:r>
        <w:rPr>
          <w:i/>
        </w:rPr>
        <w:t>your</w:t>
      </w:r>
      <w:r>
        <w:t xml:space="preserve"> YBS 20+ mobile will be charged at 'yes' International rates. For more information on the 'yes' International call rates please refer to </w:t>
      </w:r>
      <w:hyperlink r:id="rId65" w:history="1">
        <w:r>
          <w:rPr>
            <w:rStyle w:val="Hyperlink"/>
            <w:i/>
          </w:rPr>
          <w:t>Appendix J</w:t>
        </w:r>
      </w:hyperlink>
      <w:r>
        <w:t>.</w:t>
      </w:r>
    </w:p>
    <w:p w14:paraId="14521CC6" w14:textId="77777777" w:rsidR="000D07EA" w:rsidRDefault="00BE7C89">
      <w:pPr>
        <w:pStyle w:val="BodyText"/>
        <w:ind w:left="1440"/>
        <w:rPr>
          <w:rFonts w:eastAsia="Times New Roman"/>
          <w:bCs/>
          <w:szCs w:val="22"/>
        </w:rPr>
      </w:pPr>
      <w:r>
        <w:rPr>
          <w:rFonts w:eastAsia="Times New Roman"/>
          <w:bCs/>
          <w:szCs w:val="22"/>
        </w:rPr>
        <w:t xml:space="preserve">From 6 June 2010 (inclusive), international calls from </w:t>
      </w:r>
      <w:r>
        <w:rPr>
          <w:rFonts w:eastAsia="Times New Roman"/>
          <w:bCs/>
          <w:i/>
          <w:szCs w:val="22"/>
        </w:rPr>
        <w:t>your</w:t>
      </w:r>
      <w:r>
        <w:rPr>
          <w:rFonts w:eastAsia="Times New Roman"/>
          <w:bCs/>
          <w:szCs w:val="22"/>
        </w:rPr>
        <w:t xml:space="preserve"> YBS 20+ mobile will be charged at 'yes' Business International per 30 second rates. Flagfall of 35c applies per call. For more information on the 'yes' Business International call rates please refer to </w:t>
      </w:r>
      <w:hyperlink r:id="rId66" w:history="1">
        <w:r>
          <w:rPr>
            <w:rStyle w:val="Hyperlink"/>
            <w:i/>
          </w:rPr>
          <w:t>Appendix J</w:t>
        </w:r>
      </w:hyperlink>
      <w:r>
        <w:rPr>
          <w:rFonts w:eastAsia="Times New Roman"/>
          <w:bCs/>
          <w:szCs w:val="22"/>
        </w:rPr>
        <w:t>.</w:t>
      </w:r>
    </w:p>
    <w:p w14:paraId="2D268902" w14:textId="77777777" w:rsidR="000D07EA" w:rsidRDefault="00BE7C89">
      <w:pPr>
        <w:pStyle w:val="Heading7"/>
      </w:pPr>
      <w:r>
        <w:t xml:space="preserve">The following applies to </w:t>
      </w:r>
      <w:r>
        <w:rPr>
          <w:i/>
        </w:rPr>
        <w:t>you</w:t>
      </w:r>
      <w:r>
        <w:t xml:space="preserve"> if </w:t>
      </w:r>
      <w:r>
        <w:rPr>
          <w:i/>
        </w:rPr>
        <w:t>you</w:t>
      </w:r>
      <w:r>
        <w:t xml:space="preserve"> connected to a 'yes' Business Smart 20+ plan before 28 July 2008:</w:t>
      </w:r>
    </w:p>
    <w:p w14:paraId="3A62EA98" w14:textId="77777777" w:rsidR="000D07EA" w:rsidRDefault="00BE7C89">
      <w:pPr>
        <w:pStyle w:val="Heading8"/>
      </w:pPr>
      <w:r>
        <w:rPr>
          <w:b/>
        </w:rPr>
        <w:t>SmartShare:</w:t>
      </w:r>
      <w:r>
        <w:t xml:space="preserve"> Available to Small Business customers only. Shares the minimum monthly spend between 'yes' Business Smart, BlackBerry Executive Bolt On, Mobile Data and Optus Wireless Connect services on the same customer account number. Excludes all Cap plans. Only plans with Minimum monthly spend are eligible.</w:t>
      </w:r>
    </w:p>
    <w:p w14:paraId="7FCE8D06" w14:textId="77777777" w:rsidR="000D07EA" w:rsidRDefault="00BE7C89">
      <w:pPr>
        <w:pStyle w:val="Heading8"/>
      </w:pPr>
      <w:r>
        <w:rPr>
          <w:b/>
        </w:rPr>
        <w:t>Bolt On:</w:t>
      </w:r>
      <w:r>
        <w:t xml:space="preserve"> Upon request, customers may take the SMS / MMS Bolt On: Pay $5 extra per month to receive 10c SMS and MMS messages and an included $5 worth of SMS and </w:t>
      </w:r>
      <w:r>
        <w:lastRenderedPageBreak/>
        <w:t xml:space="preserve">MMS value. SMS and MMS must be sent and received in Australia. Promotion available until 31/12/06 unless withdrawn earlier. </w:t>
      </w:r>
    </w:p>
    <w:p w14:paraId="32052E25" w14:textId="77777777" w:rsidR="000D07EA" w:rsidRDefault="00BE7C89">
      <w:pPr>
        <w:pStyle w:val="Heading8"/>
      </w:pPr>
      <w:r>
        <w:rPr>
          <w:b/>
        </w:rPr>
        <w:t>Mobile Data Plans:</w:t>
      </w:r>
      <w:r>
        <w:t xml:space="preserve"> Pay as </w:t>
      </w:r>
      <w:r>
        <w:rPr>
          <w:i/>
        </w:rPr>
        <w:t>you</w:t>
      </w:r>
      <w:r>
        <w:t xml:space="preserve"> go each month at 1.5c per KB capped at $5 for up to 5MB. If </w:t>
      </w:r>
      <w:r>
        <w:rPr>
          <w:i/>
        </w:rPr>
        <w:t>you</w:t>
      </w:r>
      <w:r>
        <w:t xml:space="preserve"> go over 5MB charges start again at. 0.3¢/Kb. Upon request customers may select one of the 5MB, 30MB, 50MB or 75MB data plans. Customers will be required to pay each month the minimum monthly spend for the specific data plan they choose. Not available with Cap plans. Customers are required to use a GPRS capable device. SMS Alerts, Ring Tones, Screen Logos, Picture Messages, Mobile Games, MMS Select Standard and MMS Select Premium content charges are also additional charges. </w:t>
      </w:r>
    </w:p>
    <w:p w14:paraId="0BC80ACD" w14:textId="77777777" w:rsidR="000D07EA" w:rsidRDefault="00BE7C89">
      <w:pPr>
        <w:pStyle w:val="Heading7"/>
      </w:pPr>
      <w:r>
        <w:t xml:space="preserve">The following applies to </w:t>
      </w:r>
      <w:r>
        <w:rPr>
          <w:i/>
        </w:rPr>
        <w:t>you</w:t>
      </w:r>
      <w:r>
        <w:t xml:space="preserve"> if </w:t>
      </w:r>
      <w:r>
        <w:rPr>
          <w:i/>
        </w:rPr>
        <w:t>you</w:t>
      </w:r>
      <w:r>
        <w:t xml:space="preserve"> connected to a 'yes' Business Smart 20+ plan after 28 July 2008:</w:t>
      </w:r>
    </w:p>
    <w:p w14:paraId="14530748" w14:textId="77777777" w:rsidR="000D07EA" w:rsidRDefault="00BE7C89">
      <w:pPr>
        <w:pStyle w:val="Heading8"/>
      </w:pPr>
      <w:r>
        <w:rPr>
          <w:b/>
        </w:rPr>
        <w:t>FleetShare:</w:t>
      </w:r>
      <w:r>
        <w:t xml:space="preserve"> Available to Small Business customers only. Shares the minimum monthly spend among 'yes' Business Smart 20+ services on the same customer account number. Excludes all Cap plans, GPRS Data, Optus Wireless Broadband and Blackberry. Only plans with Minimum monthly spend are eligible. </w:t>
      </w:r>
    </w:p>
    <w:p w14:paraId="504B2075" w14:textId="77777777" w:rsidR="000D07EA" w:rsidRDefault="00BE7C89">
      <w:pPr>
        <w:pStyle w:val="Heading8"/>
      </w:pPr>
      <w:r>
        <w:rPr>
          <w:b/>
        </w:rPr>
        <w:t>Bolt Ons:</w:t>
      </w:r>
      <w:r>
        <w:t xml:space="preserve"> Upon request, customer may select Bolt Ons for an additional $5 per pack, per month per service. The spend on these Bolt Ons does not contribute to FleetShare. </w:t>
      </w:r>
    </w:p>
    <w:p w14:paraId="6D291765" w14:textId="77777777" w:rsidR="000D07EA" w:rsidRDefault="00BE7C89">
      <w:pPr>
        <w:pStyle w:val="Heading9"/>
      </w:pPr>
      <w:r>
        <w:rPr>
          <w:b/>
        </w:rPr>
        <w:t>Smart SMS / MMS Bolt On:</w:t>
      </w:r>
      <w:r>
        <w:t xml:space="preserve"> Pay $5 extra per month to receive half priced SMS and MMS (normally 25¢) messages and an included $5 worth of SMS and MMS value. SMS and MMS must be sent and received in Australia. </w:t>
      </w:r>
    </w:p>
    <w:p w14:paraId="5C73774C" w14:textId="77777777" w:rsidR="000D07EA" w:rsidRDefault="00BE7C89">
      <w:pPr>
        <w:pStyle w:val="Heading9"/>
      </w:pPr>
      <w:r>
        <w:rPr>
          <w:b/>
        </w:rPr>
        <w:t>Smart OneRate Bolt On:</w:t>
      </w:r>
      <w:r>
        <w:t xml:space="preserve"> Pay $5 extra per month to receive 'yes' International One Rate rates. Flagfall of 27c applies per call. Excludes video calls. For more information on the 'yes' International One Rate call rates please refer to </w:t>
      </w:r>
      <w:hyperlink r:id="rId67" w:history="1">
        <w:r>
          <w:rPr>
            <w:rStyle w:val="Hyperlink"/>
            <w:i/>
          </w:rPr>
          <w:t>Appendix J</w:t>
        </w:r>
      </w:hyperlink>
      <w:r>
        <w:t>.</w:t>
      </w:r>
    </w:p>
    <w:p w14:paraId="54B49751" w14:textId="77777777" w:rsidR="000D07EA" w:rsidRDefault="00BE7C89">
      <w:pPr>
        <w:pStyle w:val="Heading9"/>
      </w:pPr>
      <w:r>
        <w:rPr>
          <w:b/>
        </w:rPr>
        <w:t>Smart VoiceMail Bolt On:</w:t>
      </w:r>
      <w:r>
        <w:t xml:space="preserve"> Pay $5 extra per month to receive unlimited VoiceMail deposits and retrievals. </w:t>
      </w:r>
      <w:r w:rsidR="009355C4">
        <w:t xml:space="preserve">The </w:t>
      </w:r>
      <w:r>
        <w:t>Fair Go Policy applies.</w:t>
      </w:r>
    </w:p>
    <w:p w14:paraId="2F1DF02B" w14:textId="77777777" w:rsidR="000D07EA" w:rsidRDefault="00BE7C89">
      <w:pPr>
        <w:pStyle w:val="Heading9"/>
      </w:pPr>
      <w:r>
        <w:rPr>
          <w:b/>
        </w:rPr>
        <w:t>Business Smart SurePage Bolt On:</w:t>
      </w:r>
      <w:r>
        <w:t xml:space="preserve"> Pay $5 extra per month to receive 20 SurePage messages. Each additional message costs 50c. </w:t>
      </w:r>
    </w:p>
    <w:p w14:paraId="2A93711F" w14:textId="77777777" w:rsidR="000D07EA" w:rsidRDefault="00BE7C89">
      <w:pPr>
        <w:pStyle w:val="Heading8"/>
      </w:pPr>
      <w:r>
        <w:rPr>
          <w:b/>
        </w:rPr>
        <w:t>Smart Data Plans:</w:t>
      </w:r>
      <w:r>
        <w:t xml:space="preserve"> Upon request customers may select a Smart Data Plan Bolt On of 1GB, 2GB or 6GB. Customers will be required to pay each month the minimum monthly spend for the specific data plan they choose, please refer to </w:t>
      </w:r>
      <w:hyperlink r:id="rId68" w:history="1">
        <w:r>
          <w:rPr>
            <w:rStyle w:val="Hyperlink"/>
            <w:i/>
          </w:rPr>
          <w:t>Appendix Y</w:t>
        </w:r>
      </w:hyperlink>
      <w:r>
        <w:t xml:space="preserve"> for more information on monthly fees. Not included within Cap plans. Customers are required to use a GPRS capable device. SMS Alerts, Ring Tones, Screen Logos, Picture Messages, Mobile Games, MMS Select Standard and MMS Select Premium content charges are also additional charges.</w:t>
      </w:r>
    </w:p>
    <w:p w14:paraId="75678162" w14:textId="77777777" w:rsidR="000D07EA" w:rsidRDefault="00BE7C89">
      <w:pPr>
        <w:pStyle w:val="Heading7"/>
      </w:pPr>
      <w:r>
        <w:t>Table 1A below indicates whether a particular call type is an 'eligible call' which counts towards the Minimum Monthly Charge of your selected Plan.</w:t>
      </w:r>
    </w:p>
    <w:p w14:paraId="1EDB859D" w14:textId="77777777" w:rsidR="000D07EA" w:rsidRDefault="00BE7C89">
      <w:pPr>
        <w:pStyle w:val="BodyText"/>
        <w:ind w:left="1440"/>
        <w:rPr>
          <w:rFonts w:eastAsia="Times New Roman"/>
          <w:b/>
          <w:bCs/>
          <w:szCs w:val="22"/>
        </w:rPr>
      </w:pPr>
      <w:r>
        <w:rPr>
          <w:rFonts w:eastAsia="Times New Roman"/>
          <w:b/>
          <w:bCs/>
          <w:szCs w:val="22"/>
        </w:rPr>
        <w:t>Table 1A</w:t>
      </w:r>
    </w:p>
    <w:tbl>
      <w:tblPr>
        <w:tblW w:w="4229"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075"/>
        <w:gridCol w:w="3542"/>
      </w:tblGrid>
      <w:tr w:rsidR="000D07EA" w14:paraId="5DEA420C" w14:textId="77777777">
        <w:trPr>
          <w:tblHeader/>
        </w:trPr>
        <w:tc>
          <w:tcPr>
            <w:tcW w:w="2945" w:type="pct"/>
            <w:shd w:val="clear" w:color="auto" w:fill="auto"/>
          </w:tcPr>
          <w:p w14:paraId="66A198FF" w14:textId="77777777" w:rsidR="000D07EA" w:rsidRDefault="00BE7C89">
            <w:pPr>
              <w:pStyle w:val="BodyText"/>
              <w:spacing w:before="100" w:after="100"/>
              <w:rPr>
                <w:rFonts w:eastAsia="Times New Roman"/>
                <w:b/>
                <w:bCs/>
                <w:szCs w:val="22"/>
              </w:rPr>
            </w:pPr>
            <w:r>
              <w:rPr>
                <w:rFonts w:eastAsia="Times New Roman"/>
                <w:b/>
                <w:bCs/>
                <w:szCs w:val="22"/>
              </w:rPr>
              <w:t>Call Type</w:t>
            </w:r>
          </w:p>
        </w:tc>
        <w:tc>
          <w:tcPr>
            <w:tcW w:w="2055" w:type="pct"/>
            <w:shd w:val="clear" w:color="auto" w:fill="auto"/>
          </w:tcPr>
          <w:p w14:paraId="60775AFB" w14:textId="77777777" w:rsidR="000D07EA" w:rsidRDefault="00BE7C89">
            <w:pPr>
              <w:pStyle w:val="BodyText"/>
              <w:spacing w:before="100" w:after="100"/>
              <w:rPr>
                <w:rFonts w:eastAsia="Times New Roman"/>
                <w:b/>
                <w:bCs/>
                <w:szCs w:val="22"/>
              </w:rPr>
            </w:pPr>
            <w:r>
              <w:rPr>
                <w:rFonts w:eastAsia="Times New Roman"/>
                <w:b/>
                <w:bCs/>
                <w:szCs w:val="22"/>
              </w:rPr>
              <w:t>Eligible Call</w:t>
            </w:r>
          </w:p>
        </w:tc>
      </w:tr>
      <w:tr w:rsidR="000D07EA" w14:paraId="014F5C85" w14:textId="77777777">
        <w:tc>
          <w:tcPr>
            <w:tcW w:w="2945" w:type="pct"/>
            <w:shd w:val="clear" w:color="auto" w:fill="auto"/>
          </w:tcPr>
          <w:p w14:paraId="7EF4B1A7" w14:textId="77777777" w:rsidR="000D07EA" w:rsidRDefault="00BE7C89">
            <w:pPr>
              <w:pStyle w:val="BodyText"/>
              <w:spacing w:before="100" w:after="100"/>
              <w:rPr>
                <w:rFonts w:eastAsia="Times New Roman"/>
                <w:bCs/>
                <w:szCs w:val="22"/>
              </w:rPr>
            </w:pPr>
            <w:r>
              <w:rPr>
                <w:rFonts w:eastAsia="Times New Roman"/>
                <w:bCs/>
                <w:szCs w:val="22"/>
              </w:rPr>
              <w:t>National Voice Calls</w:t>
            </w:r>
          </w:p>
        </w:tc>
        <w:tc>
          <w:tcPr>
            <w:tcW w:w="2055" w:type="pct"/>
            <w:shd w:val="clear" w:color="auto" w:fill="auto"/>
          </w:tcPr>
          <w:p w14:paraId="0C505812" w14:textId="77777777" w:rsidR="000D07EA" w:rsidRDefault="00BE7C89">
            <w:pPr>
              <w:pStyle w:val="BodyText"/>
              <w:spacing w:before="100" w:after="100"/>
              <w:rPr>
                <w:rFonts w:eastAsia="Times New Roman"/>
                <w:bCs/>
                <w:szCs w:val="22"/>
              </w:rPr>
            </w:pPr>
            <w:r>
              <w:rPr>
                <w:rFonts w:eastAsia="Times New Roman"/>
                <w:bCs/>
                <w:szCs w:val="22"/>
              </w:rPr>
              <w:t>Yes</w:t>
            </w:r>
          </w:p>
        </w:tc>
      </w:tr>
      <w:tr w:rsidR="000D07EA" w14:paraId="4982F916" w14:textId="77777777">
        <w:tc>
          <w:tcPr>
            <w:tcW w:w="2945" w:type="pct"/>
            <w:shd w:val="clear" w:color="auto" w:fill="auto"/>
          </w:tcPr>
          <w:p w14:paraId="5C9D13B6" w14:textId="77777777" w:rsidR="000D07EA" w:rsidRDefault="00BE7C89">
            <w:pPr>
              <w:pStyle w:val="BodyText"/>
              <w:spacing w:before="100" w:after="100"/>
              <w:rPr>
                <w:rFonts w:eastAsia="Times New Roman"/>
                <w:bCs/>
                <w:szCs w:val="22"/>
              </w:rPr>
            </w:pPr>
            <w:r>
              <w:rPr>
                <w:rFonts w:eastAsia="Times New Roman"/>
                <w:bCs/>
                <w:szCs w:val="22"/>
              </w:rPr>
              <w:t>National Video Calls</w:t>
            </w:r>
          </w:p>
        </w:tc>
        <w:tc>
          <w:tcPr>
            <w:tcW w:w="2055" w:type="pct"/>
            <w:shd w:val="clear" w:color="auto" w:fill="auto"/>
          </w:tcPr>
          <w:p w14:paraId="110A0C35" w14:textId="77777777" w:rsidR="000D07EA" w:rsidRDefault="00BE7C89">
            <w:pPr>
              <w:pStyle w:val="BodyText"/>
              <w:spacing w:before="100" w:after="100"/>
              <w:rPr>
                <w:rFonts w:eastAsia="Times New Roman"/>
                <w:bCs/>
                <w:szCs w:val="22"/>
              </w:rPr>
            </w:pPr>
            <w:r>
              <w:rPr>
                <w:rFonts w:eastAsia="Times New Roman"/>
                <w:bCs/>
                <w:szCs w:val="22"/>
              </w:rPr>
              <w:t>Yes</w:t>
            </w:r>
          </w:p>
        </w:tc>
      </w:tr>
      <w:tr w:rsidR="000D07EA" w14:paraId="325D54BB" w14:textId="77777777">
        <w:tc>
          <w:tcPr>
            <w:tcW w:w="2945" w:type="pct"/>
            <w:shd w:val="clear" w:color="auto" w:fill="auto"/>
          </w:tcPr>
          <w:p w14:paraId="409AA4CC" w14:textId="77777777" w:rsidR="000D07EA" w:rsidRDefault="00BE7C89">
            <w:pPr>
              <w:pStyle w:val="BodyText"/>
              <w:spacing w:before="100" w:after="100"/>
              <w:rPr>
                <w:rFonts w:eastAsia="Times New Roman"/>
                <w:bCs/>
                <w:szCs w:val="22"/>
              </w:rPr>
            </w:pPr>
            <w:r>
              <w:rPr>
                <w:rFonts w:eastAsia="Times New Roman"/>
                <w:bCs/>
                <w:szCs w:val="22"/>
              </w:rPr>
              <w:t>International Voice Calls</w:t>
            </w:r>
          </w:p>
          <w:p w14:paraId="07B0FDDB" w14:textId="77777777" w:rsidR="000D07EA" w:rsidRDefault="00BE7C89">
            <w:pPr>
              <w:pStyle w:val="BodyText"/>
              <w:spacing w:before="100" w:after="100"/>
              <w:rPr>
                <w:rFonts w:eastAsia="Times New Roman"/>
                <w:bCs/>
                <w:szCs w:val="22"/>
              </w:rPr>
            </w:pPr>
            <w:r>
              <w:rPr>
                <w:rFonts w:eastAsia="Times New Roman"/>
                <w:bCs/>
                <w:szCs w:val="22"/>
              </w:rPr>
              <w:t>(including calls to national fixed or GSM mobile services that then divert/switch or re-route overseas)</w:t>
            </w:r>
          </w:p>
        </w:tc>
        <w:tc>
          <w:tcPr>
            <w:tcW w:w="2055" w:type="pct"/>
            <w:shd w:val="clear" w:color="auto" w:fill="auto"/>
          </w:tcPr>
          <w:p w14:paraId="2C076292"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630B72A6" w14:textId="77777777">
        <w:tc>
          <w:tcPr>
            <w:tcW w:w="2945" w:type="pct"/>
            <w:shd w:val="clear" w:color="auto" w:fill="auto"/>
          </w:tcPr>
          <w:p w14:paraId="41884DAB" w14:textId="77777777" w:rsidR="000D07EA" w:rsidRDefault="00BE7C89">
            <w:pPr>
              <w:pStyle w:val="BodyText"/>
              <w:spacing w:before="100" w:after="100"/>
              <w:rPr>
                <w:rFonts w:eastAsia="Times New Roman"/>
                <w:bCs/>
                <w:szCs w:val="22"/>
              </w:rPr>
            </w:pPr>
            <w:r>
              <w:rPr>
                <w:rFonts w:eastAsia="Times New Roman"/>
                <w:bCs/>
                <w:szCs w:val="22"/>
              </w:rPr>
              <w:t>International Video Calls</w:t>
            </w:r>
          </w:p>
          <w:p w14:paraId="25187AC1" w14:textId="77777777" w:rsidR="000D07EA" w:rsidRDefault="00BE7C89">
            <w:pPr>
              <w:pStyle w:val="BodyText"/>
              <w:spacing w:before="100" w:after="100"/>
              <w:rPr>
                <w:rFonts w:eastAsia="Times New Roman"/>
                <w:bCs/>
                <w:szCs w:val="22"/>
              </w:rPr>
            </w:pPr>
            <w:r>
              <w:rPr>
                <w:rFonts w:eastAsia="Times New Roman"/>
                <w:bCs/>
                <w:szCs w:val="22"/>
              </w:rPr>
              <w:lastRenderedPageBreak/>
              <w:t>(including calls to national fixed or GSM mobile services that then divert/switch or re-route overseas)</w:t>
            </w:r>
          </w:p>
        </w:tc>
        <w:tc>
          <w:tcPr>
            <w:tcW w:w="2055" w:type="pct"/>
            <w:shd w:val="clear" w:color="auto" w:fill="auto"/>
          </w:tcPr>
          <w:p w14:paraId="372A0B97" w14:textId="77777777" w:rsidR="000D07EA" w:rsidRDefault="00BE7C89">
            <w:pPr>
              <w:pStyle w:val="BodyText"/>
              <w:spacing w:before="100" w:after="100"/>
              <w:rPr>
                <w:rFonts w:eastAsia="Times New Roman"/>
                <w:bCs/>
                <w:szCs w:val="22"/>
              </w:rPr>
            </w:pPr>
            <w:r>
              <w:rPr>
                <w:rFonts w:eastAsia="Times New Roman"/>
                <w:bCs/>
                <w:szCs w:val="22"/>
              </w:rPr>
              <w:lastRenderedPageBreak/>
              <w:t>No</w:t>
            </w:r>
          </w:p>
        </w:tc>
      </w:tr>
      <w:tr w:rsidR="000D07EA" w14:paraId="2C2A3905" w14:textId="77777777">
        <w:tc>
          <w:tcPr>
            <w:tcW w:w="2945" w:type="pct"/>
            <w:shd w:val="clear" w:color="auto" w:fill="auto"/>
          </w:tcPr>
          <w:p w14:paraId="493A3F7E" w14:textId="77777777" w:rsidR="000D07EA" w:rsidRDefault="00BE7C89">
            <w:pPr>
              <w:pStyle w:val="BodyText"/>
              <w:spacing w:before="100" w:after="100"/>
              <w:rPr>
                <w:rFonts w:eastAsia="Times New Roman"/>
                <w:bCs/>
                <w:szCs w:val="22"/>
              </w:rPr>
            </w:pPr>
            <w:r>
              <w:rPr>
                <w:rFonts w:eastAsia="Times New Roman"/>
                <w:bCs/>
                <w:szCs w:val="22"/>
              </w:rPr>
              <w:t>Premium Video</w:t>
            </w:r>
          </w:p>
        </w:tc>
        <w:tc>
          <w:tcPr>
            <w:tcW w:w="2055" w:type="pct"/>
            <w:shd w:val="clear" w:color="auto" w:fill="auto"/>
          </w:tcPr>
          <w:p w14:paraId="5AA2A1E8"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0AADFC1D" w14:textId="77777777">
        <w:tc>
          <w:tcPr>
            <w:tcW w:w="2945" w:type="pct"/>
            <w:shd w:val="clear" w:color="auto" w:fill="auto"/>
          </w:tcPr>
          <w:p w14:paraId="6ADA3255" w14:textId="77777777" w:rsidR="000D07EA" w:rsidRDefault="00BE7C89">
            <w:pPr>
              <w:pStyle w:val="BodyText"/>
              <w:spacing w:before="100" w:after="100"/>
              <w:rPr>
                <w:rFonts w:eastAsia="Times New Roman"/>
                <w:bCs/>
                <w:szCs w:val="22"/>
              </w:rPr>
            </w:pPr>
            <w:r>
              <w:rPr>
                <w:rFonts w:eastAsia="Times New Roman"/>
                <w:bCs/>
                <w:szCs w:val="22"/>
              </w:rPr>
              <w:t>Content Video</w:t>
            </w:r>
          </w:p>
        </w:tc>
        <w:tc>
          <w:tcPr>
            <w:tcW w:w="2055" w:type="pct"/>
            <w:shd w:val="clear" w:color="auto" w:fill="auto"/>
          </w:tcPr>
          <w:p w14:paraId="4FC9C596"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526B5BE7" w14:textId="77777777">
        <w:tc>
          <w:tcPr>
            <w:tcW w:w="2945" w:type="pct"/>
            <w:shd w:val="clear" w:color="auto" w:fill="auto"/>
          </w:tcPr>
          <w:p w14:paraId="4FAD983C" w14:textId="77777777" w:rsidR="000D07EA" w:rsidRDefault="00BE7C89">
            <w:pPr>
              <w:pStyle w:val="BodyText"/>
              <w:spacing w:before="100" w:after="100"/>
              <w:rPr>
                <w:rFonts w:eastAsia="Times New Roman"/>
                <w:bCs/>
                <w:szCs w:val="22"/>
              </w:rPr>
            </w:pPr>
            <w:r>
              <w:rPr>
                <w:rFonts w:eastAsia="Times New Roman"/>
                <w:bCs/>
                <w:szCs w:val="22"/>
              </w:rPr>
              <w:t>National Standard SMS</w:t>
            </w:r>
          </w:p>
        </w:tc>
        <w:tc>
          <w:tcPr>
            <w:tcW w:w="2055" w:type="pct"/>
            <w:shd w:val="clear" w:color="auto" w:fill="auto"/>
          </w:tcPr>
          <w:p w14:paraId="51B61C5F" w14:textId="77777777" w:rsidR="000D07EA" w:rsidRDefault="00BE7C89">
            <w:pPr>
              <w:pStyle w:val="BodyText"/>
              <w:spacing w:before="100" w:after="100"/>
              <w:rPr>
                <w:rFonts w:eastAsia="Times New Roman"/>
                <w:bCs/>
                <w:szCs w:val="22"/>
              </w:rPr>
            </w:pPr>
            <w:r>
              <w:rPr>
                <w:rFonts w:eastAsia="Times New Roman"/>
                <w:bCs/>
                <w:szCs w:val="22"/>
              </w:rPr>
              <w:t>Yes</w:t>
            </w:r>
          </w:p>
        </w:tc>
      </w:tr>
      <w:tr w:rsidR="000D07EA" w14:paraId="0AF0ACA8" w14:textId="77777777">
        <w:tc>
          <w:tcPr>
            <w:tcW w:w="2945" w:type="pct"/>
            <w:shd w:val="clear" w:color="auto" w:fill="auto"/>
          </w:tcPr>
          <w:p w14:paraId="7BB17C44" w14:textId="77777777" w:rsidR="000D07EA" w:rsidRDefault="00BE7C89">
            <w:pPr>
              <w:pStyle w:val="BodyText"/>
              <w:spacing w:before="100" w:after="100"/>
              <w:rPr>
                <w:rFonts w:eastAsia="Times New Roman"/>
                <w:bCs/>
                <w:szCs w:val="22"/>
              </w:rPr>
            </w:pPr>
            <w:r>
              <w:rPr>
                <w:rFonts w:eastAsia="Times New Roman"/>
                <w:bCs/>
                <w:szCs w:val="22"/>
              </w:rPr>
              <w:t>International SMS</w:t>
            </w:r>
          </w:p>
        </w:tc>
        <w:tc>
          <w:tcPr>
            <w:tcW w:w="2055" w:type="pct"/>
            <w:shd w:val="clear" w:color="auto" w:fill="auto"/>
          </w:tcPr>
          <w:p w14:paraId="62F92441"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0834381D" w14:textId="77777777">
        <w:tc>
          <w:tcPr>
            <w:tcW w:w="2945" w:type="pct"/>
            <w:shd w:val="clear" w:color="auto" w:fill="auto"/>
          </w:tcPr>
          <w:p w14:paraId="4E1C50BE" w14:textId="77777777" w:rsidR="000D07EA" w:rsidRDefault="00BE7C89">
            <w:pPr>
              <w:pStyle w:val="BodyText"/>
              <w:spacing w:before="100" w:after="100"/>
              <w:rPr>
                <w:rFonts w:eastAsia="Times New Roman"/>
                <w:bCs/>
                <w:szCs w:val="22"/>
              </w:rPr>
            </w:pPr>
            <w:r>
              <w:rPr>
                <w:rFonts w:eastAsia="Times New Roman"/>
                <w:bCs/>
                <w:szCs w:val="22"/>
              </w:rPr>
              <w:t>Premium SMS</w:t>
            </w:r>
          </w:p>
        </w:tc>
        <w:tc>
          <w:tcPr>
            <w:tcW w:w="2055" w:type="pct"/>
            <w:shd w:val="clear" w:color="auto" w:fill="auto"/>
          </w:tcPr>
          <w:p w14:paraId="2F526D34"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7D32090B" w14:textId="77777777">
        <w:tc>
          <w:tcPr>
            <w:tcW w:w="2945" w:type="pct"/>
            <w:shd w:val="clear" w:color="auto" w:fill="auto"/>
          </w:tcPr>
          <w:p w14:paraId="56596A4E" w14:textId="77777777" w:rsidR="000D07EA" w:rsidRDefault="00BE7C89">
            <w:pPr>
              <w:pStyle w:val="BodyText"/>
              <w:spacing w:before="100" w:after="100"/>
              <w:rPr>
                <w:rFonts w:eastAsia="Times New Roman"/>
                <w:bCs/>
                <w:szCs w:val="22"/>
              </w:rPr>
            </w:pPr>
            <w:r>
              <w:rPr>
                <w:rFonts w:eastAsia="Times New Roman"/>
                <w:bCs/>
                <w:szCs w:val="22"/>
              </w:rPr>
              <w:t>National MMS</w:t>
            </w:r>
          </w:p>
        </w:tc>
        <w:tc>
          <w:tcPr>
            <w:tcW w:w="2055" w:type="pct"/>
            <w:shd w:val="clear" w:color="auto" w:fill="auto"/>
          </w:tcPr>
          <w:p w14:paraId="3F500DE6" w14:textId="77777777" w:rsidR="000D07EA" w:rsidRDefault="00BE7C89">
            <w:pPr>
              <w:pStyle w:val="BodyText"/>
              <w:spacing w:before="100" w:after="100"/>
              <w:rPr>
                <w:rFonts w:eastAsia="Times New Roman"/>
                <w:bCs/>
                <w:szCs w:val="22"/>
              </w:rPr>
            </w:pPr>
            <w:r>
              <w:rPr>
                <w:rFonts w:eastAsia="Times New Roman"/>
                <w:bCs/>
                <w:szCs w:val="22"/>
              </w:rPr>
              <w:t>Yes</w:t>
            </w:r>
          </w:p>
        </w:tc>
      </w:tr>
      <w:tr w:rsidR="000D07EA" w14:paraId="7227B3EC" w14:textId="77777777">
        <w:tc>
          <w:tcPr>
            <w:tcW w:w="2945" w:type="pct"/>
            <w:shd w:val="clear" w:color="auto" w:fill="auto"/>
          </w:tcPr>
          <w:p w14:paraId="0391D8B2" w14:textId="77777777" w:rsidR="000D07EA" w:rsidRDefault="00BE7C89">
            <w:pPr>
              <w:pStyle w:val="BodyText"/>
              <w:spacing w:before="100" w:after="100"/>
              <w:rPr>
                <w:rFonts w:eastAsia="Times New Roman"/>
                <w:bCs/>
                <w:szCs w:val="22"/>
              </w:rPr>
            </w:pPr>
            <w:r>
              <w:rPr>
                <w:rFonts w:eastAsia="Times New Roman"/>
                <w:bCs/>
                <w:szCs w:val="22"/>
              </w:rPr>
              <w:t>International MMS</w:t>
            </w:r>
          </w:p>
        </w:tc>
        <w:tc>
          <w:tcPr>
            <w:tcW w:w="2055" w:type="pct"/>
            <w:shd w:val="clear" w:color="auto" w:fill="auto"/>
          </w:tcPr>
          <w:p w14:paraId="0D32D525"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492E7946" w14:textId="77777777">
        <w:tc>
          <w:tcPr>
            <w:tcW w:w="2945" w:type="pct"/>
            <w:shd w:val="clear" w:color="auto" w:fill="auto"/>
          </w:tcPr>
          <w:p w14:paraId="782E4983" w14:textId="77777777" w:rsidR="000D07EA" w:rsidRDefault="00BE7C89">
            <w:pPr>
              <w:pStyle w:val="BodyText"/>
              <w:spacing w:before="100" w:after="100"/>
              <w:rPr>
                <w:rFonts w:eastAsia="Times New Roman"/>
                <w:bCs/>
                <w:szCs w:val="22"/>
              </w:rPr>
            </w:pPr>
            <w:r>
              <w:rPr>
                <w:rFonts w:eastAsia="Times New Roman"/>
                <w:bCs/>
                <w:szCs w:val="22"/>
              </w:rPr>
              <w:t>Premium MMS</w:t>
            </w:r>
          </w:p>
        </w:tc>
        <w:tc>
          <w:tcPr>
            <w:tcW w:w="2055" w:type="pct"/>
            <w:shd w:val="clear" w:color="auto" w:fill="auto"/>
          </w:tcPr>
          <w:p w14:paraId="22C70C45"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45492702" w14:textId="77777777">
        <w:tc>
          <w:tcPr>
            <w:tcW w:w="2945" w:type="pct"/>
            <w:shd w:val="clear" w:color="auto" w:fill="auto"/>
          </w:tcPr>
          <w:p w14:paraId="16EF53D7" w14:textId="77777777" w:rsidR="000D07EA" w:rsidRDefault="00BE7C89">
            <w:pPr>
              <w:pStyle w:val="BodyText"/>
              <w:spacing w:before="100" w:after="100"/>
              <w:rPr>
                <w:rFonts w:eastAsia="Times New Roman"/>
                <w:bCs/>
                <w:szCs w:val="22"/>
              </w:rPr>
            </w:pPr>
            <w:r>
              <w:rPr>
                <w:rFonts w:eastAsia="Times New Roman"/>
                <w:bCs/>
                <w:szCs w:val="22"/>
              </w:rPr>
              <w:t>Voicemail Diversions</w:t>
            </w:r>
          </w:p>
        </w:tc>
        <w:tc>
          <w:tcPr>
            <w:tcW w:w="2055" w:type="pct"/>
            <w:shd w:val="clear" w:color="auto" w:fill="auto"/>
          </w:tcPr>
          <w:p w14:paraId="767017AC" w14:textId="77777777" w:rsidR="000D07EA" w:rsidRDefault="00BE7C89">
            <w:pPr>
              <w:pStyle w:val="BodyText"/>
              <w:spacing w:before="100" w:after="100"/>
              <w:rPr>
                <w:rFonts w:eastAsia="Times New Roman"/>
                <w:bCs/>
                <w:szCs w:val="22"/>
              </w:rPr>
            </w:pPr>
            <w:r>
              <w:rPr>
                <w:rFonts w:eastAsia="Times New Roman"/>
                <w:bCs/>
                <w:szCs w:val="22"/>
              </w:rPr>
              <w:t>Yes</w:t>
            </w:r>
          </w:p>
        </w:tc>
      </w:tr>
      <w:tr w:rsidR="000D07EA" w14:paraId="1DB37638" w14:textId="77777777">
        <w:tc>
          <w:tcPr>
            <w:tcW w:w="2945" w:type="pct"/>
            <w:shd w:val="clear" w:color="auto" w:fill="auto"/>
          </w:tcPr>
          <w:p w14:paraId="226A4594" w14:textId="77777777" w:rsidR="000D07EA" w:rsidRDefault="00BE7C89">
            <w:pPr>
              <w:pStyle w:val="BodyText"/>
              <w:spacing w:before="100" w:after="100"/>
              <w:rPr>
                <w:rFonts w:eastAsia="Times New Roman"/>
                <w:bCs/>
                <w:szCs w:val="22"/>
              </w:rPr>
            </w:pPr>
            <w:r>
              <w:rPr>
                <w:rFonts w:eastAsia="Times New Roman"/>
                <w:bCs/>
                <w:szCs w:val="22"/>
              </w:rPr>
              <w:t>Voicemail Deposit and Retrievals</w:t>
            </w:r>
          </w:p>
        </w:tc>
        <w:tc>
          <w:tcPr>
            <w:tcW w:w="2055" w:type="pct"/>
            <w:shd w:val="clear" w:color="auto" w:fill="auto"/>
          </w:tcPr>
          <w:p w14:paraId="61FC0E0A" w14:textId="77777777" w:rsidR="000D07EA" w:rsidRDefault="00BE7C89">
            <w:pPr>
              <w:pStyle w:val="BodyText"/>
              <w:spacing w:before="100" w:after="100"/>
              <w:rPr>
                <w:rFonts w:eastAsia="Times New Roman"/>
                <w:bCs/>
                <w:szCs w:val="22"/>
              </w:rPr>
            </w:pPr>
            <w:r>
              <w:rPr>
                <w:rFonts w:eastAsia="Times New Roman"/>
                <w:bCs/>
                <w:szCs w:val="22"/>
              </w:rPr>
              <w:t>Yes</w:t>
            </w:r>
          </w:p>
        </w:tc>
      </w:tr>
      <w:tr w:rsidR="000D07EA" w14:paraId="4F542336" w14:textId="77777777">
        <w:tc>
          <w:tcPr>
            <w:tcW w:w="2945" w:type="pct"/>
            <w:shd w:val="clear" w:color="auto" w:fill="auto"/>
          </w:tcPr>
          <w:p w14:paraId="08CAFAFE" w14:textId="77777777" w:rsidR="000D07EA" w:rsidRDefault="00BE7C89">
            <w:pPr>
              <w:pStyle w:val="BodyText"/>
              <w:spacing w:before="100" w:after="100"/>
              <w:rPr>
                <w:rFonts w:eastAsia="Times New Roman"/>
                <w:bCs/>
                <w:szCs w:val="22"/>
              </w:rPr>
            </w:pPr>
            <w:r>
              <w:rPr>
                <w:rFonts w:eastAsia="Times New Roman"/>
                <w:bCs/>
                <w:szCs w:val="22"/>
              </w:rPr>
              <w:t>International Roaming and Diversions</w:t>
            </w:r>
          </w:p>
        </w:tc>
        <w:tc>
          <w:tcPr>
            <w:tcW w:w="2055" w:type="pct"/>
            <w:shd w:val="clear" w:color="auto" w:fill="auto"/>
          </w:tcPr>
          <w:p w14:paraId="6E0BA209"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54A09CBE" w14:textId="77777777">
        <w:tc>
          <w:tcPr>
            <w:tcW w:w="2945" w:type="pct"/>
            <w:shd w:val="clear" w:color="auto" w:fill="auto"/>
          </w:tcPr>
          <w:p w14:paraId="69D7B6D7" w14:textId="77777777" w:rsidR="000D07EA" w:rsidRDefault="00BE7C89">
            <w:pPr>
              <w:pStyle w:val="BodyText"/>
              <w:spacing w:before="100" w:after="100"/>
              <w:rPr>
                <w:rFonts w:eastAsia="Times New Roman"/>
                <w:bCs/>
                <w:szCs w:val="22"/>
              </w:rPr>
            </w:pPr>
            <w:r>
              <w:rPr>
                <w:rFonts w:eastAsia="Times New Roman"/>
                <w:bCs/>
                <w:szCs w:val="22"/>
              </w:rPr>
              <w:t>Video Conferencing</w:t>
            </w:r>
          </w:p>
        </w:tc>
        <w:tc>
          <w:tcPr>
            <w:tcW w:w="2055" w:type="pct"/>
            <w:shd w:val="clear" w:color="auto" w:fill="auto"/>
          </w:tcPr>
          <w:p w14:paraId="138E4959"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3AF1035C" w14:textId="77777777">
        <w:tc>
          <w:tcPr>
            <w:tcW w:w="2945" w:type="pct"/>
            <w:shd w:val="clear" w:color="auto" w:fill="auto"/>
          </w:tcPr>
          <w:p w14:paraId="30AA14D1" w14:textId="77777777" w:rsidR="000D07EA" w:rsidRDefault="00BE7C89">
            <w:pPr>
              <w:pStyle w:val="BodyText"/>
              <w:spacing w:before="100" w:after="100"/>
              <w:rPr>
                <w:rFonts w:eastAsia="Times New Roman"/>
                <w:bCs/>
                <w:szCs w:val="22"/>
              </w:rPr>
            </w:pPr>
            <w:r>
              <w:rPr>
                <w:rFonts w:eastAsia="Times New Roman"/>
                <w:bCs/>
                <w:szCs w:val="22"/>
              </w:rPr>
              <w:t>BlackBerry Email</w:t>
            </w:r>
          </w:p>
        </w:tc>
        <w:tc>
          <w:tcPr>
            <w:tcW w:w="2055" w:type="pct"/>
            <w:shd w:val="clear" w:color="auto" w:fill="auto"/>
          </w:tcPr>
          <w:p w14:paraId="07ED7011"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7627C730" w14:textId="77777777">
        <w:tc>
          <w:tcPr>
            <w:tcW w:w="2945" w:type="pct"/>
            <w:shd w:val="clear" w:color="auto" w:fill="auto"/>
          </w:tcPr>
          <w:p w14:paraId="4B1AA954" w14:textId="77777777" w:rsidR="000D07EA" w:rsidRDefault="00BE7C89">
            <w:pPr>
              <w:pStyle w:val="BodyText"/>
              <w:spacing w:before="100" w:after="100"/>
              <w:rPr>
                <w:rFonts w:eastAsia="Times New Roman"/>
                <w:bCs/>
                <w:szCs w:val="22"/>
              </w:rPr>
            </w:pPr>
            <w:r>
              <w:rPr>
                <w:rFonts w:eastAsia="Times New Roman"/>
                <w:bCs/>
                <w:szCs w:val="22"/>
              </w:rPr>
              <w:t>Optus Zoo Browsing</w:t>
            </w:r>
          </w:p>
        </w:tc>
        <w:tc>
          <w:tcPr>
            <w:tcW w:w="2055" w:type="pct"/>
            <w:shd w:val="clear" w:color="auto" w:fill="auto"/>
          </w:tcPr>
          <w:p w14:paraId="58DECB3D"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382C47FE" w14:textId="77777777">
        <w:tc>
          <w:tcPr>
            <w:tcW w:w="2945" w:type="pct"/>
            <w:shd w:val="clear" w:color="auto" w:fill="auto"/>
          </w:tcPr>
          <w:p w14:paraId="6F116915" w14:textId="77777777" w:rsidR="000D07EA" w:rsidRDefault="00BE7C89">
            <w:pPr>
              <w:pStyle w:val="BodyText"/>
              <w:spacing w:before="100" w:after="100"/>
              <w:rPr>
                <w:rFonts w:eastAsia="Times New Roman"/>
                <w:bCs/>
                <w:szCs w:val="22"/>
              </w:rPr>
            </w:pPr>
            <w:r>
              <w:rPr>
                <w:rFonts w:eastAsia="Times New Roman"/>
                <w:bCs/>
                <w:szCs w:val="22"/>
              </w:rPr>
              <w:t>Optus Zoo Downloads</w:t>
            </w:r>
          </w:p>
        </w:tc>
        <w:tc>
          <w:tcPr>
            <w:tcW w:w="2055" w:type="pct"/>
            <w:shd w:val="clear" w:color="auto" w:fill="auto"/>
          </w:tcPr>
          <w:p w14:paraId="09F93328"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23D89132" w14:textId="77777777">
        <w:tc>
          <w:tcPr>
            <w:tcW w:w="2945" w:type="pct"/>
            <w:shd w:val="clear" w:color="auto" w:fill="auto"/>
          </w:tcPr>
          <w:p w14:paraId="15D2B989" w14:textId="77777777" w:rsidR="000D07EA" w:rsidRDefault="00BE7C89">
            <w:pPr>
              <w:pStyle w:val="BodyText"/>
              <w:spacing w:before="100" w:after="100"/>
              <w:rPr>
                <w:rFonts w:eastAsia="Times New Roman"/>
                <w:bCs/>
                <w:szCs w:val="22"/>
              </w:rPr>
            </w:pPr>
            <w:r>
              <w:rPr>
                <w:rFonts w:eastAsia="Times New Roman"/>
                <w:bCs/>
                <w:szCs w:val="22"/>
              </w:rPr>
              <w:t>966* Zoo</w:t>
            </w:r>
          </w:p>
        </w:tc>
        <w:tc>
          <w:tcPr>
            <w:tcW w:w="2055" w:type="pct"/>
            <w:shd w:val="clear" w:color="auto" w:fill="auto"/>
          </w:tcPr>
          <w:p w14:paraId="50248393"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74B65854" w14:textId="77777777">
        <w:tc>
          <w:tcPr>
            <w:tcW w:w="2945" w:type="pct"/>
            <w:shd w:val="clear" w:color="auto" w:fill="auto"/>
          </w:tcPr>
          <w:p w14:paraId="4646E921" w14:textId="77777777" w:rsidR="000D07EA" w:rsidRDefault="00BE7C89">
            <w:pPr>
              <w:pStyle w:val="BodyText"/>
              <w:spacing w:before="100" w:after="100"/>
              <w:rPr>
                <w:rFonts w:eastAsia="Times New Roman"/>
                <w:bCs/>
                <w:szCs w:val="22"/>
              </w:rPr>
            </w:pPr>
            <w:r>
              <w:rPr>
                <w:rFonts w:eastAsia="Times New Roman"/>
                <w:bCs/>
                <w:szCs w:val="22"/>
              </w:rPr>
              <w:t>Mobile Internet usage</w:t>
            </w:r>
          </w:p>
        </w:tc>
        <w:tc>
          <w:tcPr>
            <w:tcW w:w="2055" w:type="pct"/>
            <w:shd w:val="clear" w:color="auto" w:fill="auto"/>
          </w:tcPr>
          <w:p w14:paraId="296A7925"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07DD19BD" w14:textId="77777777">
        <w:tc>
          <w:tcPr>
            <w:tcW w:w="2945" w:type="pct"/>
            <w:shd w:val="clear" w:color="auto" w:fill="auto"/>
          </w:tcPr>
          <w:p w14:paraId="12679132" w14:textId="77777777" w:rsidR="000D07EA" w:rsidRDefault="00BE7C89">
            <w:pPr>
              <w:pStyle w:val="BodyText"/>
              <w:spacing w:before="100" w:after="100"/>
              <w:rPr>
                <w:rFonts w:eastAsia="Times New Roman"/>
                <w:bCs/>
                <w:szCs w:val="22"/>
              </w:rPr>
            </w:pPr>
            <w:r>
              <w:rPr>
                <w:rFonts w:eastAsia="Times New Roman"/>
                <w:bCs/>
                <w:szCs w:val="22"/>
              </w:rPr>
              <w:t>Data used while roaming internationally</w:t>
            </w:r>
          </w:p>
        </w:tc>
        <w:tc>
          <w:tcPr>
            <w:tcW w:w="2055" w:type="pct"/>
            <w:shd w:val="clear" w:color="auto" w:fill="auto"/>
          </w:tcPr>
          <w:p w14:paraId="2A39D640"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0248D544" w14:textId="77777777">
        <w:tc>
          <w:tcPr>
            <w:tcW w:w="2945" w:type="pct"/>
            <w:shd w:val="clear" w:color="auto" w:fill="auto"/>
          </w:tcPr>
          <w:p w14:paraId="48311BE3" w14:textId="77777777" w:rsidR="000D07EA" w:rsidRDefault="00BE7C89">
            <w:pPr>
              <w:pStyle w:val="BodyText"/>
              <w:spacing w:before="100" w:after="100"/>
              <w:rPr>
                <w:rFonts w:eastAsia="Times New Roman"/>
                <w:bCs/>
                <w:szCs w:val="22"/>
              </w:rPr>
            </w:pPr>
            <w:r>
              <w:rPr>
                <w:rFonts w:eastAsia="Times New Roman"/>
                <w:bCs/>
                <w:szCs w:val="22"/>
              </w:rPr>
              <w:t>Content Packs</w:t>
            </w:r>
          </w:p>
        </w:tc>
        <w:tc>
          <w:tcPr>
            <w:tcW w:w="2055" w:type="pct"/>
            <w:shd w:val="clear" w:color="auto" w:fill="auto"/>
          </w:tcPr>
          <w:p w14:paraId="1F079E19"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6B887C79" w14:textId="77777777">
        <w:tc>
          <w:tcPr>
            <w:tcW w:w="2945" w:type="pct"/>
            <w:shd w:val="clear" w:color="auto" w:fill="auto"/>
          </w:tcPr>
          <w:p w14:paraId="3F2A3D50" w14:textId="77777777" w:rsidR="000D07EA" w:rsidRDefault="00BE7C89">
            <w:pPr>
              <w:pStyle w:val="BodyText"/>
              <w:spacing w:before="100" w:after="100"/>
              <w:rPr>
                <w:rFonts w:eastAsia="Times New Roman"/>
                <w:bCs/>
                <w:szCs w:val="22"/>
              </w:rPr>
            </w:pPr>
            <w:r>
              <w:rPr>
                <w:rFonts w:eastAsia="Times New Roman"/>
                <w:bCs/>
                <w:szCs w:val="22"/>
              </w:rPr>
              <w:t>Mobile Instant Messaging - IM</w:t>
            </w:r>
          </w:p>
        </w:tc>
        <w:tc>
          <w:tcPr>
            <w:tcW w:w="2055" w:type="pct"/>
            <w:shd w:val="clear" w:color="auto" w:fill="auto"/>
          </w:tcPr>
          <w:p w14:paraId="527EF4F7"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5828457B" w14:textId="77777777">
        <w:tc>
          <w:tcPr>
            <w:tcW w:w="2945" w:type="pct"/>
            <w:shd w:val="clear" w:color="auto" w:fill="auto"/>
          </w:tcPr>
          <w:p w14:paraId="6E1C1881" w14:textId="77777777" w:rsidR="000D07EA" w:rsidRDefault="00BE7C89">
            <w:pPr>
              <w:pStyle w:val="BodyText"/>
              <w:spacing w:before="100" w:after="100"/>
              <w:rPr>
                <w:rFonts w:eastAsia="Times New Roman"/>
                <w:bCs/>
                <w:szCs w:val="22"/>
              </w:rPr>
            </w:pPr>
            <w:r>
              <w:rPr>
                <w:rFonts w:eastAsia="Times New Roman"/>
                <w:bCs/>
                <w:szCs w:val="22"/>
              </w:rPr>
              <w:t>TrueLocal Usage</w:t>
            </w:r>
          </w:p>
        </w:tc>
        <w:tc>
          <w:tcPr>
            <w:tcW w:w="2055" w:type="pct"/>
            <w:shd w:val="clear" w:color="auto" w:fill="auto"/>
          </w:tcPr>
          <w:p w14:paraId="46E4F217"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1D5343F2" w14:textId="77777777">
        <w:tc>
          <w:tcPr>
            <w:tcW w:w="2945" w:type="pct"/>
            <w:shd w:val="clear" w:color="auto" w:fill="auto"/>
          </w:tcPr>
          <w:p w14:paraId="1BFE5375" w14:textId="77777777" w:rsidR="000D07EA" w:rsidRDefault="00BE7C89">
            <w:pPr>
              <w:pStyle w:val="BodyText"/>
              <w:spacing w:before="100" w:after="100"/>
              <w:rPr>
                <w:rFonts w:eastAsia="Times New Roman"/>
                <w:bCs/>
                <w:szCs w:val="22"/>
              </w:rPr>
            </w:pPr>
            <w:r>
              <w:rPr>
                <w:rFonts w:eastAsia="Times New Roman"/>
                <w:bCs/>
                <w:szCs w:val="22"/>
              </w:rPr>
              <w:t>Directory Assistance - 1223</w:t>
            </w:r>
          </w:p>
        </w:tc>
        <w:tc>
          <w:tcPr>
            <w:tcW w:w="2055" w:type="pct"/>
            <w:shd w:val="clear" w:color="auto" w:fill="auto"/>
          </w:tcPr>
          <w:p w14:paraId="06D465D5"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084C12A4" w14:textId="77777777">
        <w:tc>
          <w:tcPr>
            <w:tcW w:w="2945" w:type="pct"/>
            <w:shd w:val="clear" w:color="auto" w:fill="auto"/>
          </w:tcPr>
          <w:p w14:paraId="1E624ACC" w14:textId="77777777" w:rsidR="000D07EA" w:rsidRDefault="00BE7C89">
            <w:pPr>
              <w:pStyle w:val="BodyText"/>
              <w:spacing w:before="100" w:after="100"/>
              <w:rPr>
                <w:rFonts w:eastAsia="Times New Roman"/>
                <w:bCs/>
                <w:szCs w:val="22"/>
              </w:rPr>
            </w:pPr>
            <w:r>
              <w:rPr>
                <w:rFonts w:eastAsia="Times New Roman"/>
                <w:bCs/>
                <w:szCs w:val="22"/>
              </w:rPr>
              <w:t>19xx Numbers</w:t>
            </w:r>
          </w:p>
        </w:tc>
        <w:tc>
          <w:tcPr>
            <w:tcW w:w="2055" w:type="pct"/>
            <w:shd w:val="clear" w:color="auto" w:fill="auto"/>
          </w:tcPr>
          <w:p w14:paraId="3BDC2A35"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48BB6C13" w14:textId="77777777">
        <w:tc>
          <w:tcPr>
            <w:tcW w:w="2945" w:type="pct"/>
            <w:shd w:val="clear" w:color="auto" w:fill="auto"/>
          </w:tcPr>
          <w:p w14:paraId="6973D9D1" w14:textId="77777777" w:rsidR="000D07EA" w:rsidRDefault="00BE7C89">
            <w:pPr>
              <w:pStyle w:val="BodyText"/>
              <w:spacing w:before="100" w:after="100"/>
              <w:rPr>
                <w:rFonts w:eastAsia="Times New Roman"/>
                <w:bCs/>
                <w:szCs w:val="22"/>
              </w:rPr>
            </w:pPr>
            <w:r>
              <w:rPr>
                <w:rFonts w:eastAsia="Times New Roman"/>
                <w:bCs/>
                <w:szCs w:val="22"/>
              </w:rPr>
              <w:t>1800, 13 and 1300 Numbers</w:t>
            </w:r>
          </w:p>
        </w:tc>
        <w:tc>
          <w:tcPr>
            <w:tcW w:w="2055" w:type="pct"/>
            <w:shd w:val="clear" w:color="auto" w:fill="auto"/>
          </w:tcPr>
          <w:p w14:paraId="1C7828A1" w14:textId="77777777" w:rsidR="000D07EA" w:rsidRDefault="00BE7C89">
            <w:pPr>
              <w:pStyle w:val="BodyText"/>
              <w:spacing w:before="100" w:after="100"/>
              <w:rPr>
                <w:rFonts w:eastAsia="Times New Roman"/>
                <w:bCs/>
                <w:szCs w:val="22"/>
              </w:rPr>
            </w:pPr>
            <w:r>
              <w:rPr>
                <w:rFonts w:eastAsia="Times New Roman"/>
                <w:bCs/>
                <w:szCs w:val="22"/>
              </w:rPr>
              <w:t>Yes</w:t>
            </w:r>
          </w:p>
        </w:tc>
      </w:tr>
      <w:tr w:rsidR="000D07EA" w14:paraId="475B5B05" w14:textId="77777777">
        <w:tc>
          <w:tcPr>
            <w:tcW w:w="2945" w:type="pct"/>
            <w:shd w:val="clear" w:color="auto" w:fill="auto"/>
          </w:tcPr>
          <w:p w14:paraId="592DE899" w14:textId="77777777" w:rsidR="000D07EA" w:rsidRDefault="00BE7C89">
            <w:pPr>
              <w:pStyle w:val="BodyText"/>
              <w:spacing w:before="100" w:after="100"/>
              <w:rPr>
                <w:rFonts w:eastAsia="Times New Roman"/>
                <w:bCs/>
                <w:szCs w:val="22"/>
              </w:rPr>
            </w:pPr>
            <w:r>
              <w:rPr>
                <w:rFonts w:eastAsia="Times New Roman"/>
                <w:bCs/>
                <w:szCs w:val="22"/>
              </w:rPr>
              <w:t>124YES(937)</w:t>
            </w:r>
          </w:p>
        </w:tc>
        <w:tc>
          <w:tcPr>
            <w:tcW w:w="2055" w:type="pct"/>
            <w:shd w:val="clear" w:color="auto" w:fill="auto"/>
          </w:tcPr>
          <w:p w14:paraId="51410B4D" w14:textId="77777777" w:rsidR="000D07EA" w:rsidRDefault="00BE7C89">
            <w:pPr>
              <w:pStyle w:val="BodyText"/>
              <w:spacing w:before="100" w:after="100"/>
              <w:rPr>
                <w:rFonts w:eastAsia="Times New Roman"/>
                <w:bCs/>
                <w:szCs w:val="22"/>
              </w:rPr>
            </w:pPr>
            <w:r>
              <w:rPr>
                <w:rFonts w:eastAsia="Times New Roman"/>
                <w:bCs/>
                <w:szCs w:val="22"/>
              </w:rPr>
              <w:t>Yes</w:t>
            </w:r>
          </w:p>
        </w:tc>
      </w:tr>
      <w:tr w:rsidR="000D07EA" w14:paraId="7A981492" w14:textId="77777777">
        <w:tc>
          <w:tcPr>
            <w:tcW w:w="2945" w:type="pct"/>
            <w:shd w:val="clear" w:color="auto" w:fill="auto"/>
          </w:tcPr>
          <w:p w14:paraId="16BFA4B0" w14:textId="77777777" w:rsidR="000D07EA" w:rsidRDefault="00BE7C89">
            <w:pPr>
              <w:pStyle w:val="BodyText"/>
              <w:spacing w:before="100" w:after="100"/>
              <w:rPr>
                <w:rFonts w:eastAsia="Times New Roman"/>
                <w:bCs/>
                <w:szCs w:val="22"/>
              </w:rPr>
            </w:pPr>
            <w:r>
              <w:rPr>
                <w:rFonts w:eastAsia="Times New Roman"/>
                <w:bCs/>
                <w:szCs w:val="22"/>
              </w:rPr>
              <w:t>Fax and Data</w:t>
            </w:r>
          </w:p>
        </w:tc>
        <w:tc>
          <w:tcPr>
            <w:tcW w:w="2055" w:type="pct"/>
            <w:shd w:val="clear" w:color="auto" w:fill="auto"/>
          </w:tcPr>
          <w:p w14:paraId="511DAD8F"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79AD7E5D" w14:textId="77777777">
        <w:tc>
          <w:tcPr>
            <w:tcW w:w="2945" w:type="pct"/>
            <w:shd w:val="clear" w:color="auto" w:fill="auto"/>
          </w:tcPr>
          <w:p w14:paraId="375A2C23" w14:textId="77777777" w:rsidR="000D07EA" w:rsidRDefault="00BE7C89">
            <w:pPr>
              <w:pStyle w:val="BodyText"/>
              <w:spacing w:before="100" w:after="100"/>
              <w:rPr>
                <w:rFonts w:eastAsia="Times New Roman"/>
                <w:bCs/>
                <w:szCs w:val="22"/>
              </w:rPr>
            </w:pPr>
            <w:r>
              <w:rPr>
                <w:rFonts w:eastAsia="Times New Roman"/>
                <w:bCs/>
                <w:szCs w:val="22"/>
              </w:rPr>
              <w:t>Insurance</w:t>
            </w:r>
          </w:p>
        </w:tc>
        <w:tc>
          <w:tcPr>
            <w:tcW w:w="2055" w:type="pct"/>
            <w:shd w:val="clear" w:color="auto" w:fill="auto"/>
          </w:tcPr>
          <w:p w14:paraId="195C0160"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68B1BA08" w14:textId="77777777">
        <w:tc>
          <w:tcPr>
            <w:tcW w:w="2945" w:type="pct"/>
            <w:shd w:val="clear" w:color="auto" w:fill="auto"/>
          </w:tcPr>
          <w:p w14:paraId="0FD5A25C" w14:textId="77777777" w:rsidR="000D07EA" w:rsidRDefault="00BE7C89">
            <w:pPr>
              <w:pStyle w:val="BodyText"/>
              <w:spacing w:before="100" w:after="100"/>
              <w:rPr>
                <w:rFonts w:eastAsia="Times New Roman"/>
                <w:bCs/>
                <w:szCs w:val="22"/>
              </w:rPr>
            </w:pPr>
            <w:r>
              <w:rPr>
                <w:rFonts w:eastAsia="Times New Roman"/>
                <w:bCs/>
                <w:szCs w:val="22"/>
              </w:rPr>
              <w:t>Surepage Diversions</w:t>
            </w:r>
          </w:p>
        </w:tc>
        <w:tc>
          <w:tcPr>
            <w:tcW w:w="2055" w:type="pct"/>
            <w:shd w:val="clear" w:color="auto" w:fill="auto"/>
          </w:tcPr>
          <w:p w14:paraId="11C25E8B" w14:textId="77777777" w:rsidR="000D07EA" w:rsidRDefault="00BE7C89">
            <w:pPr>
              <w:pStyle w:val="BodyText"/>
              <w:spacing w:before="100" w:after="100"/>
              <w:rPr>
                <w:rFonts w:eastAsia="Times New Roman"/>
                <w:bCs/>
                <w:szCs w:val="22"/>
              </w:rPr>
            </w:pPr>
            <w:r>
              <w:rPr>
                <w:rFonts w:eastAsia="Times New Roman"/>
                <w:bCs/>
                <w:szCs w:val="22"/>
              </w:rPr>
              <w:t>Yes</w:t>
            </w:r>
          </w:p>
        </w:tc>
      </w:tr>
      <w:tr w:rsidR="000D07EA" w14:paraId="54C99A1C" w14:textId="77777777">
        <w:tc>
          <w:tcPr>
            <w:tcW w:w="2945" w:type="pct"/>
            <w:shd w:val="clear" w:color="auto" w:fill="auto"/>
          </w:tcPr>
          <w:p w14:paraId="053AC650" w14:textId="77777777" w:rsidR="000D07EA" w:rsidRDefault="00BE7C89">
            <w:pPr>
              <w:pStyle w:val="BodyText"/>
              <w:spacing w:before="100" w:after="100"/>
              <w:rPr>
                <w:rFonts w:eastAsia="Times New Roman"/>
                <w:bCs/>
                <w:szCs w:val="22"/>
              </w:rPr>
            </w:pPr>
            <w:r>
              <w:rPr>
                <w:rFonts w:eastAsia="Times New Roman"/>
                <w:bCs/>
                <w:szCs w:val="22"/>
              </w:rPr>
              <w:t>Surepage usage and access</w:t>
            </w:r>
          </w:p>
        </w:tc>
        <w:tc>
          <w:tcPr>
            <w:tcW w:w="2055" w:type="pct"/>
            <w:shd w:val="clear" w:color="auto" w:fill="auto"/>
          </w:tcPr>
          <w:p w14:paraId="3AD692C6"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78F12E6D" w14:textId="77777777">
        <w:tc>
          <w:tcPr>
            <w:tcW w:w="2945" w:type="pct"/>
            <w:shd w:val="clear" w:color="auto" w:fill="auto"/>
          </w:tcPr>
          <w:p w14:paraId="5529F864" w14:textId="77777777" w:rsidR="000D07EA" w:rsidRDefault="00BE7C89">
            <w:pPr>
              <w:pStyle w:val="BodyText"/>
              <w:spacing w:before="100" w:after="100"/>
              <w:rPr>
                <w:rFonts w:eastAsia="Times New Roman"/>
                <w:bCs/>
                <w:szCs w:val="22"/>
              </w:rPr>
            </w:pPr>
            <w:r>
              <w:rPr>
                <w:rFonts w:eastAsia="Times New Roman"/>
                <w:bCs/>
                <w:szCs w:val="22"/>
              </w:rPr>
              <w:lastRenderedPageBreak/>
              <w:t>Handset Payments</w:t>
            </w:r>
          </w:p>
        </w:tc>
        <w:tc>
          <w:tcPr>
            <w:tcW w:w="2055" w:type="pct"/>
            <w:shd w:val="clear" w:color="auto" w:fill="auto"/>
          </w:tcPr>
          <w:p w14:paraId="462AF476"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3EDD97AC" w14:textId="77777777">
        <w:tc>
          <w:tcPr>
            <w:tcW w:w="2945" w:type="pct"/>
            <w:shd w:val="clear" w:color="auto" w:fill="auto"/>
          </w:tcPr>
          <w:p w14:paraId="578F0A73" w14:textId="77777777" w:rsidR="000D07EA" w:rsidRDefault="00BE7C89">
            <w:pPr>
              <w:pStyle w:val="BodyText"/>
              <w:spacing w:before="100" w:after="100"/>
              <w:rPr>
                <w:rFonts w:eastAsia="Times New Roman"/>
                <w:bCs/>
                <w:szCs w:val="22"/>
              </w:rPr>
            </w:pPr>
            <w:r>
              <w:rPr>
                <w:rFonts w:eastAsia="Times New Roman"/>
                <w:bCs/>
                <w:szCs w:val="22"/>
              </w:rPr>
              <w:t>Calls to Satellite</w:t>
            </w:r>
          </w:p>
        </w:tc>
        <w:tc>
          <w:tcPr>
            <w:tcW w:w="2055" w:type="pct"/>
            <w:shd w:val="clear" w:color="auto" w:fill="auto"/>
          </w:tcPr>
          <w:p w14:paraId="2590CB8D"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7B3A90D7" w14:textId="77777777">
        <w:tc>
          <w:tcPr>
            <w:tcW w:w="2945" w:type="pct"/>
            <w:shd w:val="clear" w:color="auto" w:fill="auto"/>
          </w:tcPr>
          <w:p w14:paraId="561064D8" w14:textId="77777777" w:rsidR="000D07EA" w:rsidRDefault="00BE7C89">
            <w:pPr>
              <w:pStyle w:val="BodyText"/>
              <w:spacing w:before="100" w:after="100"/>
              <w:rPr>
                <w:rFonts w:eastAsia="Times New Roman"/>
                <w:bCs/>
                <w:szCs w:val="22"/>
              </w:rPr>
            </w:pPr>
            <w:r>
              <w:rPr>
                <w:rFonts w:eastAsia="Times New Roman"/>
                <w:bCs/>
                <w:szCs w:val="22"/>
              </w:rPr>
              <w:t>VoIP services</w:t>
            </w:r>
          </w:p>
        </w:tc>
        <w:tc>
          <w:tcPr>
            <w:tcW w:w="2055" w:type="pct"/>
            <w:shd w:val="clear" w:color="auto" w:fill="auto"/>
          </w:tcPr>
          <w:p w14:paraId="4DF9979F" w14:textId="77777777" w:rsidR="000D07EA" w:rsidRDefault="00BE7C89">
            <w:pPr>
              <w:pStyle w:val="BodyText"/>
              <w:spacing w:before="100" w:after="100"/>
              <w:rPr>
                <w:rFonts w:eastAsia="Times New Roman"/>
                <w:bCs/>
                <w:szCs w:val="22"/>
              </w:rPr>
            </w:pPr>
            <w:r>
              <w:rPr>
                <w:rFonts w:eastAsia="Times New Roman"/>
                <w:bCs/>
                <w:szCs w:val="22"/>
              </w:rPr>
              <w:t>No</w:t>
            </w:r>
          </w:p>
        </w:tc>
      </w:tr>
    </w:tbl>
    <w:p w14:paraId="10D37F65" w14:textId="77777777" w:rsidR="000D07EA" w:rsidRDefault="000D07EA">
      <w:pPr>
        <w:pStyle w:val="BodyText"/>
        <w:ind w:left="1440"/>
        <w:rPr>
          <w:rFonts w:eastAsia="Times New Roman"/>
          <w:bCs/>
          <w:szCs w:val="22"/>
        </w:rPr>
      </w:pPr>
    </w:p>
    <w:p w14:paraId="1CCAFFC3" w14:textId="77777777" w:rsidR="000D07EA" w:rsidRDefault="00BE7C89">
      <w:pPr>
        <w:pStyle w:val="Heading7"/>
        <w:rPr>
          <w:b/>
        </w:rPr>
      </w:pPr>
      <w:r>
        <w:rPr>
          <w:b/>
        </w:rPr>
        <w:t xml:space="preserve">Table 1B - 'yes' Business Smart 20+ </w:t>
      </w:r>
      <w:r>
        <w:rPr>
          <w:b/>
          <w:i/>
        </w:rPr>
        <w:t>pricing plans</w:t>
      </w:r>
    </w:p>
    <w:p w14:paraId="32C2ACEA" w14:textId="77777777" w:rsidR="000D07EA" w:rsidRDefault="00BE7C89">
      <w:pPr>
        <w:pStyle w:val="BodyText"/>
        <w:ind w:left="1440"/>
        <w:rPr>
          <w:rFonts w:eastAsia="Times New Roman"/>
          <w:bCs/>
          <w:szCs w:val="22"/>
        </w:rPr>
      </w:pPr>
      <w:r>
        <w:rPr>
          <w:rFonts w:eastAsia="Times New Roman"/>
          <w:bCs/>
          <w:szCs w:val="22"/>
        </w:rPr>
        <w:t xml:space="preserve">The following applies to </w:t>
      </w:r>
      <w:r>
        <w:rPr>
          <w:rFonts w:eastAsia="Times New Roman"/>
          <w:bCs/>
          <w:i/>
          <w:szCs w:val="22"/>
        </w:rPr>
        <w:t>you</w:t>
      </w:r>
      <w:r>
        <w:rPr>
          <w:rFonts w:eastAsia="Times New Roman"/>
          <w:bCs/>
          <w:szCs w:val="22"/>
        </w:rPr>
        <w:t xml:space="preserve"> if </w:t>
      </w:r>
      <w:r>
        <w:rPr>
          <w:rFonts w:eastAsia="Times New Roman"/>
          <w:bCs/>
          <w:i/>
          <w:szCs w:val="22"/>
        </w:rPr>
        <w:t>you</w:t>
      </w:r>
      <w:r>
        <w:rPr>
          <w:rFonts w:eastAsia="Times New Roman"/>
          <w:bCs/>
          <w:szCs w:val="22"/>
        </w:rPr>
        <w:t xml:space="preserve"> connected to a 'yes' Business Smart 20+ plan before 28 July 2008:</w:t>
      </w:r>
    </w:p>
    <w:tbl>
      <w:tblPr>
        <w:tblW w:w="4297"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167"/>
        <w:gridCol w:w="1119"/>
        <w:gridCol w:w="1117"/>
        <w:gridCol w:w="1117"/>
        <w:gridCol w:w="1117"/>
        <w:gridCol w:w="1119"/>
      </w:tblGrid>
      <w:tr w:rsidR="000D07EA" w14:paraId="041C0EF5" w14:textId="77777777">
        <w:trPr>
          <w:trHeight w:val="60"/>
          <w:tblHeader/>
        </w:trPr>
        <w:tc>
          <w:tcPr>
            <w:tcW w:w="1808" w:type="pct"/>
            <w:vAlign w:val="center"/>
          </w:tcPr>
          <w:p w14:paraId="71705503" w14:textId="77777777" w:rsidR="000D07EA" w:rsidRDefault="00BE7C89">
            <w:pPr>
              <w:pStyle w:val="BodyText"/>
              <w:spacing w:before="100" w:after="100"/>
              <w:rPr>
                <w:b/>
                <w:i/>
                <w:szCs w:val="20"/>
                <w:lang w:eastAsia="en-AU"/>
              </w:rPr>
            </w:pPr>
            <w:r>
              <w:rPr>
                <w:rFonts w:eastAsia="Times New Roman"/>
                <w:b/>
                <w:bCs/>
                <w:i/>
                <w:szCs w:val="22"/>
              </w:rPr>
              <w:t>Pricing plan</w:t>
            </w:r>
          </w:p>
        </w:tc>
        <w:tc>
          <w:tcPr>
            <w:tcW w:w="639" w:type="pct"/>
            <w:vAlign w:val="center"/>
          </w:tcPr>
          <w:p w14:paraId="7D7A4348" w14:textId="77777777" w:rsidR="000D07EA" w:rsidRDefault="00BE7C89">
            <w:pPr>
              <w:pStyle w:val="BodyText"/>
              <w:spacing w:before="100" w:after="100"/>
              <w:jc w:val="center"/>
              <w:rPr>
                <w:b/>
                <w:szCs w:val="20"/>
                <w:lang w:eastAsia="en-AU"/>
              </w:rPr>
            </w:pPr>
            <w:r>
              <w:rPr>
                <w:rFonts w:eastAsia="Times New Roman"/>
                <w:b/>
                <w:bCs/>
                <w:szCs w:val="22"/>
              </w:rPr>
              <w:t>25</w:t>
            </w:r>
          </w:p>
        </w:tc>
        <w:tc>
          <w:tcPr>
            <w:tcW w:w="638" w:type="pct"/>
            <w:vAlign w:val="center"/>
          </w:tcPr>
          <w:p w14:paraId="56741046" w14:textId="77777777" w:rsidR="000D07EA" w:rsidRDefault="00BE7C89">
            <w:pPr>
              <w:pStyle w:val="BodyText"/>
              <w:spacing w:before="100" w:after="100"/>
              <w:jc w:val="center"/>
              <w:rPr>
                <w:b/>
                <w:szCs w:val="20"/>
                <w:lang w:eastAsia="en-AU"/>
              </w:rPr>
            </w:pPr>
            <w:r>
              <w:rPr>
                <w:rFonts w:eastAsia="Times New Roman"/>
                <w:b/>
                <w:bCs/>
                <w:szCs w:val="22"/>
              </w:rPr>
              <w:t>40</w:t>
            </w:r>
          </w:p>
        </w:tc>
        <w:tc>
          <w:tcPr>
            <w:tcW w:w="638" w:type="pct"/>
            <w:vAlign w:val="center"/>
          </w:tcPr>
          <w:p w14:paraId="3DA135A8" w14:textId="77777777" w:rsidR="000D07EA" w:rsidRDefault="00BE7C89">
            <w:pPr>
              <w:pStyle w:val="BodyText"/>
              <w:spacing w:before="100" w:after="100"/>
              <w:jc w:val="center"/>
              <w:rPr>
                <w:b/>
                <w:szCs w:val="20"/>
                <w:lang w:eastAsia="en-AU"/>
              </w:rPr>
            </w:pPr>
            <w:r>
              <w:rPr>
                <w:rFonts w:eastAsia="Times New Roman"/>
                <w:b/>
                <w:bCs/>
                <w:szCs w:val="22"/>
              </w:rPr>
              <w:t>60</w:t>
            </w:r>
          </w:p>
        </w:tc>
        <w:tc>
          <w:tcPr>
            <w:tcW w:w="638" w:type="pct"/>
            <w:vAlign w:val="center"/>
          </w:tcPr>
          <w:p w14:paraId="6C943AE8" w14:textId="77777777" w:rsidR="000D07EA" w:rsidRDefault="00BE7C89">
            <w:pPr>
              <w:pStyle w:val="BodyText"/>
              <w:spacing w:before="100" w:after="100"/>
              <w:jc w:val="center"/>
              <w:rPr>
                <w:b/>
                <w:szCs w:val="20"/>
                <w:lang w:eastAsia="en-AU"/>
              </w:rPr>
            </w:pPr>
            <w:r>
              <w:rPr>
                <w:rFonts w:eastAsia="Times New Roman"/>
                <w:b/>
                <w:bCs/>
                <w:szCs w:val="22"/>
              </w:rPr>
              <w:t>80</w:t>
            </w:r>
          </w:p>
        </w:tc>
        <w:tc>
          <w:tcPr>
            <w:tcW w:w="638" w:type="pct"/>
            <w:vAlign w:val="center"/>
          </w:tcPr>
          <w:p w14:paraId="0DA4BE0F" w14:textId="77777777" w:rsidR="000D07EA" w:rsidRDefault="00BE7C89">
            <w:pPr>
              <w:pStyle w:val="BodyText"/>
              <w:spacing w:before="100" w:after="100"/>
              <w:jc w:val="center"/>
              <w:rPr>
                <w:b/>
                <w:szCs w:val="20"/>
                <w:lang w:eastAsia="en-AU"/>
              </w:rPr>
            </w:pPr>
            <w:r>
              <w:rPr>
                <w:rFonts w:eastAsia="Times New Roman"/>
                <w:b/>
                <w:bCs/>
                <w:szCs w:val="22"/>
              </w:rPr>
              <w:t>120</w:t>
            </w:r>
          </w:p>
        </w:tc>
      </w:tr>
      <w:tr w:rsidR="000D07EA" w14:paraId="718D533D" w14:textId="77777777">
        <w:trPr>
          <w:trHeight w:val="60"/>
        </w:trPr>
        <w:tc>
          <w:tcPr>
            <w:tcW w:w="1808" w:type="pct"/>
            <w:vAlign w:val="center"/>
          </w:tcPr>
          <w:p w14:paraId="437687BF" w14:textId="77777777" w:rsidR="000D07EA" w:rsidRDefault="00BE7C89">
            <w:pPr>
              <w:pStyle w:val="BodyText"/>
              <w:spacing w:before="100" w:after="100"/>
              <w:rPr>
                <w:b/>
                <w:szCs w:val="20"/>
                <w:lang w:eastAsia="en-AU"/>
              </w:rPr>
            </w:pPr>
            <w:r>
              <w:rPr>
                <w:rFonts w:eastAsia="Times New Roman"/>
                <w:b/>
                <w:bCs/>
                <w:szCs w:val="22"/>
              </w:rPr>
              <w:t>Minimum monthly spend (per service)</w:t>
            </w:r>
          </w:p>
        </w:tc>
        <w:tc>
          <w:tcPr>
            <w:tcW w:w="639" w:type="pct"/>
            <w:vAlign w:val="center"/>
          </w:tcPr>
          <w:p w14:paraId="354293D0" w14:textId="77777777" w:rsidR="000D07EA" w:rsidRDefault="00BE7C89">
            <w:pPr>
              <w:pStyle w:val="BodyText"/>
              <w:spacing w:before="100" w:after="100"/>
              <w:jc w:val="center"/>
              <w:rPr>
                <w:szCs w:val="20"/>
                <w:lang w:eastAsia="en-AU"/>
              </w:rPr>
            </w:pPr>
            <w:r>
              <w:rPr>
                <w:rFonts w:eastAsia="Times New Roman"/>
                <w:bCs/>
                <w:szCs w:val="22"/>
              </w:rPr>
              <w:t>$25*</w:t>
            </w:r>
            <w:r>
              <w:rPr>
                <w:rFonts w:eastAsia="Times New Roman"/>
                <w:bCs/>
                <w:szCs w:val="22"/>
              </w:rPr>
              <w:br/>
              <w:t>($27.50)</w:t>
            </w:r>
          </w:p>
        </w:tc>
        <w:tc>
          <w:tcPr>
            <w:tcW w:w="638" w:type="pct"/>
            <w:vAlign w:val="center"/>
          </w:tcPr>
          <w:p w14:paraId="562D5BD7" w14:textId="77777777" w:rsidR="000D07EA" w:rsidRDefault="00BE7C89">
            <w:pPr>
              <w:pStyle w:val="BodyText"/>
              <w:spacing w:before="100" w:after="100"/>
              <w:jc w:val="center"/>
              <w:rPr>
                <w:rFonts w:eastAsia="Times New Roman"/>
                <w:bCs/>
                <w:szCs w:val="22"/>
              </w:rPr>
            </w:pPr>
            <w:r>
              <w:rPr>
                <w:rFonts w:eastAsia="Times New Roman"/>
                <w:bCs/>
                <w:szCs w:val="22"/>
              </w:rPr>
              <w:t>$40</w:t>
            </w:r>
            <w:r>
              <w:rPr>
                <w:rFonts w:eastAsia="Times New Roman"/>
                <w:bCs/>
                <w:szCs w:val="22"/>
              </w:rPr>
              <w:br/>
              <w:t>($44)</w:t>
            </w:r>
          </w:p>
        </w:tc>
        <w:tc>
          <w:tcPr>
            <w:tcW w:w="638" w:type="pct"/>
            <w:vAlign w:val="center"/>
          </w:tcPr>
          <w:p w14:paraId="252939AC" w14:textId="77777777" w:rsidR="000D07EA" w:rsidRDefault="00BE7C89">
            <w:pPr>
              <w:pStyle w:val="BodyText"/>
              <w:spacing w:before="100" w:after="100"/>
              <w:jc w:val="center"/>
              <w:rPr>
                <w:rFonts w:eastAsia="Times New Roman"/>
                <w:bCs/>
                <w:szCs w:val="22"/>
              </w:rPr>
            </w:pPr>
            <w:r>
              <w:rPr>
                <w:rFonts w:eastAsia="Times New Roman"/>
                <w:bCs/>
                <w:szCs w:val="22"/>
              </w:rPr>
              <w:t>$60</w:t>
            </w:r>
            <w:r>
              <w:rPr>
                <w:rFonts w:eastAsia="Times New Roman"/>
                <w:bCs/>
                <w:szCs w:val="22"/>
              </w:rPr>
              <w:br/>
              <w:t>($66)</w:t>
            </w:r>
          </w:p>
        </w:tc>
        <w:tc>
          <w:tcPr>
            <w:tcW w:w="638" w:type="pct"/>
            <w:vAlign w:val="center"/>
          </w:tcPr>
          <w:p w14:paraId="39964AE9" w14:textId="77777777" w:rsidR="000D07EA" w:rsidRDefault="00BE7C89">
            <w:pPr>
              <w:pStyle w:val="BodyText"/>
              <w:spacing w:before="100" w:after="100"/>
              <w:jc w:val="center"/>
              <w:rPr>
                <w:rFonts w:eastAsia="Times New Roman"/>
                <w:bCs/>
                <w:szCs w:val="22"/>
              </w:rPr>
            </w:pPr>
            <w:r>
              <w:rPr>
                <w:rFonts w:eastAsia="Times New Roman"/>
                <w:bCs/>
                <w:szCs w:val="22"/>
              </w:rPr>
              <w:t>$80</w:t>
            </w:r>
            <w:r>
              <w:rPr>
                <w:rFonts w:eastAsia="Times New Roman"/>
                <w:bCs/>
                <w:szCs w:val="22"/>
              </w:rPr>
              <w:br/>
              <w:t>($88)</w:t>
            </w:r>
          </w:p>
        </w:tc>
        <w:tc>
          <w:tcPr>
            <w:tcW w:w="638" w:type="pct"/>
            <w:vAlign w:val="center"/>
          </w:tcPr>
          <w:p w14:paraId="55C494CD" w14:textId="77777777" w:rsidR="000D07EA" w:rsidRDefault="00BE7C89">
            <w:pPr>
              <w:pStyle w:val="BodyText"/>
              <w:spacing w:before="100" w:after="100"/>
              <w:jc w:val="center"/>
              <w:rPr>
                <w:rFonts w:eastAsia="Times New Roman"/>
                <w:bCs/>
                <w:szCs w:val="22"/>
              </w:rPr>
            </w:pPr>
            <w:r>
              <w:rPr>
                <w:rFonts w:eastAsia="Times New Roman"/>
                <w:bCs/>
                <w:szCs w:val="22"/>
              </w:rPr>
              <w:t>$120</w:t>
            </w:r>
            <w:r>
              <w:rPr>
                <w:rFonts w:eastAsia="Times New Roman"/>
                <w:bCs/>
                <w:szCs w:val="22"/>
              </w:rPr>
              <w:br/>
              <w:t>($132)</w:t>
            </w:r>
          </w:p>
        </w:tc>
      </w:tr>
      <w:tr w:rsidR="000D07EA" w14:paraId="030E9A09" w14:textId="77777777">
        <w:trPr>
          <w:trHeight w:val="60"/>
        </w:trPr>
        <w:tc>
          <w:tcPr>
            <w:tcW w:w="1808" w:type="pct"/>
            <w:vAlign w:val="center"/>
          </w:tcPr>
          <w:p w14:paraId="55BF3209" w14:textId="77777777" w:rsidR="000D07EA" w:rsidRDefault="00BE7C89">
            <w:pPr>
              <w:pStyle w:val="BodyText"/>
              <w:spacing w:before="100" w:after="100"/>
              <w:rPr>
                <w:b/>
                <w:i/>
                <w:szCs w:val="20"/>
                <w:lang w:eastAsia="en-AU"/>
              </w:rPr>
            </w:pPr>
            <w:r>
              <w:rPr>
                <w:rFonts w:eastAsia="Times New Roman"/>
                <w:b/>
                <w:bCs/>
                <w:i/>
                <w:szCs w:val="22"/>
              </w:rPr>
              <w:t>Flagfall</w:t>
            </w:r>
          </w:p>
        </w:tc>
        <w:tc>
          <w:tcPr>
            <w:tcW w:w="639" w:type="pct"/>
            <w:vAlign w:val="center"/>
          </w:tcPr>
          <w:p w14:paraId="22EF6C3F" w14:textId="77777777" w:rsidR="000D07EA" w:rsidRDefault="00BE7C89">
            <w:pPr>
              <w:pStyle w:val="BodyText"/>
              <w:spacing w:before="100" w:after="100"/>
              <w:jc w:val="center"/>
              <w:rPr>
                <w:rFonts w:eastAsia="Times New Roman"/>
                <w:bCs/>
                <w:szCs w:val="22"/>
              </w:rPr>
            </w:pPr>
            <w:r>
              <w:rPr>
                <w:rFonts w:eastAsia="Times New Roman"/>
                <w:bCs/>
                <w:szCs w:val="22"/>
              </w:rPr>
              <w:t>10c</w:t>
            </w:r>
            <w:r>
              <w:rPr>
                <w:rFonts w:eastAsia="Times New Roman"/>
                <w:bCs/>
                <w:szCs w:val="22"/>
              </w:rPr>
              <w:br/>
              <w:t>(11c)</w:t>
            </w:r>
          </w:p>
        </w:tc>
        <w:tc>
          <w:tcPr>
            <w:tcW w:w="638" w:type="pct"/>
            <w:vAlign w:val="center"/>
          </w:tcPr>
          <w:p w14:paraId="561872B8" w14:textId="77777777" w:rsidR="000D07EA" w:rsidRDefault="00BE7C89">
            <w:pPr>
              <w:pStyle w:val="BodyText"/>
              <w:spacing w:before="100" w:after="100"/>
              <w:jc w:val="center"/>
              <w:rPr>
                <w:rFonts w:eastAsia="Times New Roman"/>
                <w:bCs/>
                <w:szCs w:val="22"/>
              </w:rPr>
            </w:pPr>
            <w:r>
              <w:rPr>
                <w:rFonts w:eastAsia="Times New Roman"/>
                <w:bCs/>
                <w:szCs w:val="22"/>
              </w:rPr>
              <w:t>10c</w:t>
            </w:r>
            <w:r>
              <w:rPr>
                <w:rFonts w:eastAsia="Times New Roman"/>
                <w:bCs/>
                <w:szCs w:val="22"/>
              </w:rPr>
              <w:br/>
              <w:t>(11c)</w:t>
            </w:r>
          </w:p>
        </w:tc>
        <w:tc>
          <w:tcPr>
            <w:tcW w:w="638" w:type="pct"/>
            <w:vAlign w:val="center"/>
          </w:tcPr>
          <w:p w14:paraId="02F5E1C7" w14:textId="77777777" w:rsidR="000D07EA" w:rsidRDefault="00BE7C89">
            <w:pPr>
              <w:pStyle w:val="BodyText"/>
              <w:spacing w:before="100" w:after="100"/>
              <w:jc w:val="center"/>
              <w:rPr>
                <w:rFonts w:eastAsia="Times New Roman"/>
                <w:bCs/>
                <w:szCs w:val="22"/>
              </w:rPr>
            </w:pPr>
            <w:r>
              <w:rPr>
                <w:rFonts w:eastAsia="Times New Roman"/>
                <w:bCs/>
                <w:szCs w:val="22"/>
              </w:rPr>
              <w:t>10c</w:t>
            </w:r>
            <w:r>
              <w:rPr>
                <w:rFonts w:eastAsia="Times New Roman"/>
                <w:bCs/>
                <w:szCs w:val="22"/>
              </w:rPr>
              <w:br/>
              <w:t>(11c)</w:t>
            </w:r>
          </w:p>
        </w:tc>
        <w:tc>
          <w:tcPr>
            <w:tcW w:w="638" w:type="pct"/>
            <w:vAlign w:val="center"/>
          </w:tcPr>
          <w:p w14:paraId="2DE3361B" w14:textId="77777777" w:rsidR="000D07EA" w:rsidRDefault="00BE7C89">
            <w:pPr>
              <w:pStyle w:val="BodyText"/>
              <w:spacing w:before="100" w:after="100"/>
              <w:jc w:val="center"/>
              <w:rPr>
                <w:rFonts w:eastAsia="Times New Roman"/>
                <w:bCs/>
                <w:szCs w:val="22"/>
              </w:rPr>
            </w:pPr>
            <w:r>
              <w:rPr>
                <w:rFonts w:eastAsia="Times New Roman"/>
                <w:bCs/>
                <w:szCs w:val="22"/>
              </w:rPr>
              <w:t>10c</w:t>
            </w:r>
            <w:r>
              <w:rPr>
                <w:rFonts w:eastAsia="Times New Roman"/>
                <w:bCs/>
                <w:szCs w:val="22"/>
              </w:rPr>
              <w:br/>
              <w:t>(11c)</w:t>
            </w:r>
          </w:p>
        </w:tc>
        <w:tc>
          <w:tcPr>
            <w:tcW w:w="638" w:type="pct"/>
            <w:vAlign w:val="center"/>
          </w:tcPr>
          <w:p w14:paraId="009F871A" w14:textId="77777777" w:rsidR="000D07EA" w:rsidRDefault="00BE7C89">
            <w:pPr>
              <w:pStyle w:val="BodyText"/>
              <w:spacing w:before="100" w:after="100"/>
              <w:jc w:val="center"/>
              <w:rPr>
                <w:rFonts w:eastAsia="Times New Roman"/>
                <w:bCs/>
                <w:szCs w:val="22"/>
              </w:rPr>
            </w:pPr>
            <w:r>
              <w:rPr>
                <w:rFonts w:eastAsia="Times New Roman"/>
                <w:bCs/>
                <w:szCs w:val="22"/>
              </w:rPr>
              <w:t>10c</w:t>
            </w:r>
            <w:r>
              <w:rPr>
                <w:rFonts w:eastAsia="Times New Roman"/>
                <w:bCs/>
                <w:szCs w:val="22"/>
              </w:rPr>
              <w:br/>
              <w:t>(11c)</w:t>
            </w:r>
          </w:p>
        </w:tc>
      </w:tr>
      <w:tr w:rsidR="000D07EA" w14:paraId="26638D75" w14:textId="77777777">
        <w:trPr>
          <w:trHeight w:val="60"/>
        </w:trPr>
        <w:tc>
          <w:tcPr>
            <w:tcW w:w="1808" w:type="pct"/>
            <w:vAlign w:val="center"/>
          </w:tcPr>
          <w:p w14:paraId="6237F77A" w14:textId="77777777" w:rsidR="000D07EA" w:rsidRDefault="00BE7C89">
            <w:pPr>
              <w:pStyle w:val="BodyText"/>
              <w:spacing w:before="100" w:after="100"/>
              <w:rPr>
                <w:rFonts w:eastAsia="Times New Roman"/>
                <w:b/>
                <w:bCs/>
                <w:szCs w:val="22"/>
              </w:rPr>
            </w:pPr>
            <w:r>
              <w:rPr>
                <w:rFonts w:eastAsia="Times New Roman"/>
                <w:b/>
                <w:bCs/>
                <w:szCs w:val="22"/>
              </w:rPr>
              <w:t xml:space="preserve">Calls to Optus GSM </w:t>
            </w:r>
            <w:r>
              <w:rPr>
                <w:rFonts w:eastAsia="Times New Roman"/>
                <w:b/>
                <w:bCs/>
                <w:i/>
                <w:szCs w:val="22"/>
              </w:rPr>
              <w:t>mobile phones</w:t>
            </w:r>
            <w:r>
              <w:rPr>
                <w:rFonts w:eastAsia="Times New Roman"/>
                <w:b/>
                <w:bCs/>
                <w:szCs w:val="22"/>
              </w:rPr>
              <w:t xml:space="preserve"> (national) ^</w:t>
            </w:r>
          </w:p>
        </w:tc>
        <w:tc>
          <w:tcPr>
            <w:tcW w:w="639" w:type="pct"/>
            <w:vAlign w:val="center"/>
          </w:tcPr>
          <w:p w14:paraId="181DEF1B" w14:textId="77777777" w:rsidR="000D07EA" w:rsidRDefault="00BE7C89">
            <w:pPr>
              <w:pStyle w:val="BodyText"/>
              <w:spacing w:before="100" w:after="100"/>
              <w:jc w:val="center"/>
              <w:rPr>
                <w:rFonts w:eastAsia="Times New Roman"/>
                <w:bCs/>
                <w:szCs w:val="22"/>
              </w:rPr>
            </w:pPr>
            <w:r>
              <w:rPr>
                <w:rFonts w:eastAsia="Times New Roman"/>
                <w:bCs/>
                <w:szCs w:val="22"/>
              </w:rPr>
              <w:t>9c</w:t>
            </w:r>
            <w:r>
              <w:rPr>
                <w:rFonts w:eastAsia="Times New Roman"/>
                <w:bCs/>
                <w:szCs w:val="22"/>
              </w:rPr>
              <w:br/>
              <w:t>(9.9c)</w:t>
            </w:r>
          </w:p>
        </w:tc>
        <w:tc>
          <w:tcPr>
            <w:tcW w:w="638" w:type="pct"/>
            <w:vAlign w:val="center"/>
          </w:tcPr>
          <w:p w14:paraId="4F6A99A0" w14:textId="77777777" w:rsidR="000D07EA" w:rsidRDefault="00BE7C89">
            <w:pPr>
              <w:pStyle w:val="BodyText"/>
              <w:spacing w:before="100" w:after="100"/>
              <w:jc w:val="center"/>
              <w:rPr>
                <w:rFonts w:eastAsia="Times New Roman"/>
                <w:bCs/>
                <w:szCs w:val="22"/>
              </w:rPr>
            </w:pPr>
            <w:r>
              <w:rPr>
                <w:rFonts w:eastAsia="Times New Roman"/>
                <w:bCs/>
                <w:szCs w:val="22"/>
              </w:rPr>
              <w:t>9c</w:t>
            </w:r>
            <w:r>
              <w:rPr>
                <w:rFonts w:eastAsia="Times New Roman"/>
                <w:bCs/>
                <w:szCs w:val="22"/>
              </w:rPr>
              <w:br/>
              <w:t>(9.9c)</w:t>
            </w:r>
          </w:p>
        </w:tc>
        <w:tc>
          <w:tcPr>
            <w:tcW w:w="638" w:type="pct"/>
            <w:vAlign w:val="center"/>
          </w:tcPr>
          <w:p w14:paraId="47947F84" w14:textId="77777777" w:rsidR="000D07EA" w:rsidRDefault="00BE7C89">
            <w:pPr>
              <w:pStyle w:val="BodyText"/>
              <w:spacing w:before="100" w:after="100"/>
              <w:jc w:val="center"/>
              <w:rPr>
                <w:rFonts w:eastAsia="Times New Roman"/>
                <w:bCs/>
                <w:szCs w:val="22"/>
              </w:rPr>
            </w:pPr>
            <w:r>
              <w:rPr>
                <w:rFonts w:eastAsia="Times New Roman"/>
                <w:bCs/>
                <w:szCs w:val="22"/>
              </w:rPr>
              <w:t>9c</w:t>
            </w:r>
            <w:r>
              <w:rPr>
                <w:rFonts w:eastAsia="Times New Roman"/>
                <w:bCs/>
                <w:szCs w:val="22"/>
              </w:rPr>
              <w:br/>
              <w:t>(9.9c)</w:t>
            </w:r>
          </w:p>
        </w:tc>
        <w:tc>
          <w:tcPr>
            <w:tcW w:w="638" w:type="pct"/>
            <w:vAlign w:val="center"/>
          </w:tcPr>
          <w:p w14:paraId="26ECD67A" w14:textId="77777777" w:rsidR="000D07EA" w:rsidRDefault="00BE7C89">
            <w:pPr>
              <w:pStyle w:val="BodyText"/>
              <w:spacing w:before="100" w:after="100"/>
              <w:jc w:val="center"/>
              <w:rPr>
                <w:rFonts w:eastAsia="Times New Roman"/>
                <w:bCs/>
                <w:szCs w:val="22"/>
              </w:rPr>
            </w:pPr>
            <w:r>
              <w:rPr>
                <w:rFonts w:eastAsia="Times New Roman"/>
                <w:bCs/>
                <w:szCs w:val="22"/>
              </w:rPr>
              <w:t>8c</w:t>
            </w:r>
            <w:r>
              <w:rPr>
                <w:rFonts w:eastAsia="Times New Roman"/>
                <w:bCs/>
                <w:szCs w:val="22"/>
              </w:rPr>
              <w:br/>
              <w:t>(8.8c)</w:t>
            </w:r>
          </w:p>
        </w:tc>
        <w:tc>
          <w:tcPr>
            <w:tcW w:w="638" w:type="pct"/>
            <w:vAlign w:val="center"/>
          </w:tcPr>
          <w:p w14:paraId="66ECD2E5" w14:textId="77777777" w:rsidR="000D07EA" w:rsidRDefault="00BE7C89">
            <w:pPr>
              <w:pStyle w:val="BodyText"/>
              <w:spacing w:before="100" w:after="100"/>
              <w:jc w:val="center"/>
              <w:rPr>
                <w:rFonts w:eastAsia="Times New Roman"/>
                <w:bCs/>
                <w:szCs w:val="22"/>
              </w:rPr>
            </w:pPr>
            <w:r>
              <w:rPr>
                <w:rFonts w:eastAsia="Times New Roman"/>
                <w:bCs/>
                <w:szCs w:val="22"/>
              </w:rPr>
              <w:t>7c</w:t>
            </w:r>
            <w:r>
              <w:rPr>
                <w:rFonts w:eastAsia="Times New Roman"/>
                <w:bCs/>
                <w:szCs w:val="22"/>
              </w:rPr>
              <w:br/>
              <w:t>(7.7c)</w:t>
            </w:r>
          </w:p>
        </w:tc>
      </w:tr>
      <w:tr w:rsidR="000D07EA" w14:paraId="132C73FF" w14:textId="77777777">
        <w:trPr>
          <w:trHeight w:val="60"/>
        </w:trPr>
        <w:tc>
          <w:tcPr>
            <w:tcW w:w="1808" w:type="pct"/>
            <w:vAlign w:val="center"/>
          </w:tcPr>
          <w:p w14:paraId="54369B6B" w14:textId="77777777" w:rsidR="000D07EA" w:rsidRDefault="00BE7C89">
            <w:pPr>
              <w:pStyle w:val="BodyText"/>
              <w:spacing w:before="100" w:after="100"/>
              <w:rPr>
                <w:rFonts w:eastAsia="Times New Roman"/>
                <w:b/>
                <w:bCs/>
                <w:szCs w:val="22"/>
              </w:rPr>
            </w:pPr>
            <w:r>
              <w:rPr>
                <w:rFonts w:eastAsia="Times New Roman"/>
                <w:b/>
                <w:bCs/>
                <w:szCs w:val="22"/>
              </w:rPr>
              <w:t xml:space="preserve">Calls to non-Optus </w:t>
            </w:r>
            <w:r>
              <w:rPr>
                <w:rFonts w:eastAsia="Times New Roman"/>
                <w:b/>
                <w:bCs/>
                <w:i/>
                <w:szCs w:val="22"/>
              </w:rPr>
              <w:t>mobile phones</w:t>
            </w:r>
            <w:r>
              <w:rPr>
                <w:rFonts w:eastAsia="Times New Roman"/>
                <w:b/>
                <w:bCs/>
                <w:szCs w:val="22"/>
              </w:rPr>
              <w:t xml:space="preserve"> (national) ^</w:t>
            </w:r>
          </w:p>
        </w:tc>
        <w:tc>
          <w:tcPr>
            <w:tcW w:w="639" w:type="pct"/>
            <w:vAlign w:val="center"/>
          </w:tcPr>
          <w:p w14:paraId="4DF53083" w14:textId="77777777" w:rsidR="000D07EA" w:rsidRDefault="00BE7C89">
            <w:pPr>
              <w:pStyle w:val="BodyText"/>
              <w:spacing w:before="100" w:after="100"/>
              <w:jc w:val="center"/>
              <w:rPr>
                <w:rFonts w:eastAsia="Times New Roman"/>
                <w:bCs/>
                <w:szCs w:val="22"/>
              </w:rPr>
            </w:pPr>
            <w:r>
              <w:rPr>
                <w:rFonts w:eastAsia="Times New Roman"/>
                <w:bCs/>
                <w:szCs w:val="22"/>
              </w:rPr>
              <w:t>14c</w:t>
            </w:r>
            <w:r>
              <w:rPr>
                <w:rFonts w:eastAsia="Times New Roman"/>
                <w:bCs/>
                <w:szCs w:val="22"/>
              </w:rPr>
              <w:br/>
              <w:t>(15.4c)</w:t>
            </w:r>
          </w:p>
        </w:tc>
        <w:tc>
          <w:tcPr>
            <w:tcW w:w="638" w:type="pct"/>
            <w:vAlign w:val="center"/>
          </w:tcPr>
          <w:p w14:paraId="5252E6DC" w14:textId="77777777" w:rsidR="000D07EA" w:rsidRDefault="00BE7C89">
            <w:pPr>
              <w:pStyle w:val="BodyText"/>
              <w:spacing w:before="100" w:after="100"/>
              <w:jc w:val="center"/>
              <w:rPr>
                <w:rFonts w:eastAsia="Times New Roman"/>
                <w:bCs/>
                <w:szCs w:val="22"/>
              </w:rPr>
            </w:pPr>
            <w:r>
              <w:rPr>
                <w:rFonts w:eastAsia="Times New Roman"/>
                <w:bCs/>
                <w:szCs w:val="22"/>
              </w:rPr>
              <w:t>13c</w:t>
            </w:r>
            <w:r>
              <w:rPr>
                <w:rFonts w:eastAsia="Times New Roman"/>
                <w:bCs/>
                <w:szCs w:val="22"/>
              </w:rPr>
              <w:br/>
              <w:t>(14.3c)</w:t>
            </w:r>
          </w:p>
        </w:tc>
        <w:tc>
          <w:tcPr>
            <w:tcW w:w="638" w:type="pct"/>
            <w:vAlign w:val="center"/>
          </w:tcPr>
          <w:p w14:paraId="516F5485" w14:textId="77777777" w:rsidR="000D07EA" w:rsidRDefault="00BE7C89">
            <w:pPr>
              <w:pStyle w:val="BodyText"/>
              <w:spacing w:before="100" w:after="100"/>
              <w:jc w:val="center"/>
              <w:rPr>
                <w:rFonts w:eastAsia="Times New Roman"/>
                <w:bCs/>
                <w:szCs w:val="22"/>
              </w:rPr>
            </w:pPr>
            <w:r>
              <w:rPr>
                <w:rFonts w:eastAsia="Times New Roman"/>
                <w:bCs/>
                <w:szCs w:val="22"/>
              </w:rPr>
              <w:t>12c</w:t>
            </w:r>
            <w:r>
              <w:rPr>
                <w:rFonts w:eastAsia="Times New Roman"/>
                <w:bCs/>
                <w:szCs w:val="22"/>
              </w:rPr>
              <w:br/>
              <w:t>(13.2c)</w:t>
            </w:r>
          </w:p>
        </w:tc>
        <w:tc>
          <w:tcPr>
            <w:tcW w:w="638" w:type="pct"/>
            <w:vAlign w:val="center"/>
          </w:tcPr>
          <w:p w14:paraId="370A60E9" w14:textId="77777777" w:rsidR="000D07EA" w:rsidRDefault="00BE7C89">
            <w:pPr>
              <w:pStyle w:val="BodyText"/>
              <w:spacing w:before="100" w:after="100"/>
              <w:jc w:val="center"/>
              <w:rPr>
                <w:rFonts w:eastAsia="Times New Roman"/>
                <w:bCs/>
                <w:szCs w:val="22"/>
              </w:rPr>
            </w:pPr>
            <w:r>
              <w:rPr>
                <w:rFonts w:eastAsia="Times New Roman"/>
                <w:bCs/>
                <w:szCs w:val="22"/>
              </w:rPr>
              <w:t>11c</w:t>
            </w:r>
            <w:r>
              <w:rPr>
                <w:rFonts w:eastAsia="Times New Roman"/>
                <w:bCs/>
                <w:szCs w:val="22"/>
              </w:rPr>
              <w:br/>
              <w:t>(12.1c)</w:t>
            </w:r>
          </w:p>
        </w:tc>
        <w:tc>
          <w:tcPr>
            <w:tcW w:w="638" w:type="pct"/>
            <w:vAlign w:val="center"/>
          </w:tcPr>
          <w:p w14:paraId="2434A862" w14:textId="77777777" w:rsidR="000D07EA" w:rsidRDefault="00BE7C89">
            <w:pPr>
              <w:pStyle w:val="BodyText"/>
              <w:spacing w:before="100" w:after="100"/>
              <w:jc w:val="center"/>
              <w:rPr>
                <w:rFonts w:eastAsia="Times New Roman"/>
                <w:bCs/>
                <w:szCs w:val="22"/>
              </w:rPr>
            </w:pPr>
            <w:r>
              <w:rPr>
                <w:rFonts w:eastAsia="Times New Roman"/>
                <w:bCs/>
                <w:szCs w:val="22"/>
              </w:rPr>
              <w:t>10c</w:t>
            </w:r>
            <w:r>
              <w:rPr>
                <w:rFonts w:eastAsia="Times New Roman"/>
                <w:bCs/>
                <w:szCs w:val="22"/>
              </w:rPr>
              <w:br/>
              <w:t>(11c)</w:t>
            </w:r>
          </w:p>
        </w:tc>
      </w:tr>
      <w:tr w:rsidR="000D07EA" w14:paraId="43E983E5" w14:textId="77777777">
        <w:trPr>
          <w:trHeight w:val="60"/>
        </w:trPr>
        <w:tc>
          <w:tcPr>
            <w:tcW w:w="1808" w:type="pct"/>
            <w:vAlign w:val="center"/>
          </w:tcPr>
          <w:p w14:paraId="2B6AC08D" w14:textId="77777777" w:rsidR="000D07EA" w:rsidRDefault="00BE7C89">
            <w:pPr>
              <w:pStyle w:val="BodyText"/>
              <w:spacing w:before="100" w:after="100"/>
              <w:rPr>
                <w:rFonts w:eastAsia="Times New Roman"/>
                <w:b/>
                <w:bCs/>
                <w:szCs w:val="22"/>
              </w:rPr>
            </w:pPr>
            <w:r>
              <w:rPr>
                <w:rFonts w:eastAsia="Times New Roman"/>
                <w:b/>
                <w:bCs/>
                <w:szCs w:val="22"/>
              </w:rPr>
              <w:t>Calls to landline (national) ^</w:t>
            </w:r>
          </w:p>
        </w:tc>
        <w:tc>
          <w:tcPr>
            <w:tcW w:w="639" w:type="pct"/>
            <w:vAlign w:val="center"/>
          </w:tcPr>
          <w:p w14:paraId="39699C91" w14:textId="77777777" w:rsidR="000D07EA" w:rsidRDefault="00BE7C89">
            <w:pPr>
              <w:pStyle w:val="BodyText"/>
              <w:spacing w:before="100" w:after="100"/>
              <w:jc w:val="center"/>
              <w:rPr>
                <w:rFonts w:eastAsia="Times New Roman"/>
                <w:bCs/>
                <w:szCs w:val="22"/>
              </w:rPr>
            </w:pPr>
            <w:r>
              <w:rPr>
                <w:rFonts w:eastAsia="Times New Roman"/>
                <w:bCs/>
                <w:szCs w:val="22"/>
              </w:rPr>
              <w:t>14c</w:t>
            </w:r>
            <w:r>
              <w:rPr>
                <w:rFonts w:eastAsia="Times New Roman"/>
                <w:bCs/>
                <w:szCs w:val="22"/>
              </w:rPr>
              <w:br/>
              <w:t>(15.4c)</w:t>
            </w:r>
          </w:p>
        </w:tc>
        <w:tc>
          <w:tcPr>
            <w:tcW w:w="638" w:type="pct"/>
            <w:vAlign w:val="center"/>
          </w:tcPr>
          <w:p w14:paraId="23A83B1F" w14:textId="77777777" w:rsidR="000D07EA" w:rsidRDefault="00BE7C89">
            <w:pPr>
              <w:pStyle w:val="BodyText"/>
              <w:spacing w:before="100" w:after="100"/>
              <w:jc w:val="center"/>
              <w:rPr>
                <w:rFonts w:eastAsia="Times New Roman"/>
                <w:bCs/>
                <w:szCs w:val="22"/>
              </w:rPr>
            </w:pPr>
            <w:r>
              <w:rPr>
                <w:rFonts w:eastAsia="Times New Roman"/>
                <w:bCs/>
                <w:szCs w:val="22"/>
              </w:rPr>
              <w:t>13c</w:t>
            </w:r>
            <w:r>
              <w:rPr>
                <w:rFonts w:eastAsia="Times New Roman"/>
                <w:bCs/>
                <w:szCs w:val="22"/>
              </w:rPr>
              <w:br/>
              <w:t>(14.3c)</w:t>
            </w:r>
          </w:p>
        </w:tc>
        <w:tc>
          <w:tcPr>
            <w:tcW w:w="638" w:type="pct"/>
            <w:vAlign w:val="center"/>
          </w:tcPr>
          <w:p w14:paraId="07F0E2F1" w14:textId="77777777" w:rsidR="000D07EA" w:rsidRDefault="00BE7C89">
            <w:pPr>
              <w:pStyle w:val="BodyText"/>
              <w:spacing w:before="100" w:after="100"/>
              <w:jc w:val="center"/>
              <w:rPr>
                <w:rFonts w:eastAsia="Times New Roman"/>
                <w:bCs/>
                <w:szCs w:val="22"/>
              </w:rPr>
            </w:pPr>
            <w:r>
              <w:rPr>
                <w:rFonts w:eastAsia="Times New Roman"/>
                <w:bCs/>
                <w:szCs w:val="22"/>
              </w:rPr>
              <w:t>12c</w:t>
            </w:r>
            <w:r>
              <w:rPr>
                <w:rFonts w:eastAsia="Times New Roman"/>
                <w:bCs/>
                <w:szCs w:val="22"/>
              </w:rPr>
              <w:br/>
              <w:t>(13.2c)</w:t>
            </w:r>
          </w:p>
        </w:tc>
        <w:tc>
          <w:tcPr>
            <w:tcW w:w="638" w:type="pct"/>
            <w:vAlign w:val="center"/>
          </w:tcPr>
          <w:p w14:paraId="3F3EE063" w14:textId="77777777" w:rsidR="000D07EA" w:rsidRDefault="00BE7C89">
            <w:pPr>
              <w:pStyle w:val="BodyText"/>
              <w:spacing w:before="100" w:after="100"/>
              <w:jc w:val="center"/>
              <w:rPr>
                <w:rFonts w:eastAsia="Times New Roman"/>
                <w:bCs/>
                <w:szCs w:val="22"/>
              </w:rPr>
            </w:pPr>
            <w:r>
              <w:rPr>
                <w:rFonts w:eastAsia="Times New Roman"/>
                <w:bCs/>
                <w:szCs w:val="22"/>
              </w:rPr>
              <w:t>11c</w:t>
            </w:r>
            <w:r>
              <w:rPr>
                <w:rFonts w:eastAsia="Times New Roman"/>
                <w:bCs/>
                <w:szCs w:val="22"/>
              </w:rPr>
              <w:br/>
              <w:t>(12.1c)</w:t>
            </w:r>
          </w:p>
        </w:tc>
        <w:tc>
          <w:tcPr>
            <w:tcW w:w="638" w:type="pct"/>
            <w:vAlign w:val="center"/>
          </w:tcPr>
          <w:p w14:paraId="6A330F94" w14:textId="77777777" w:rsidR="000D07EA" w:rsidRDefault="00BE7C89">
            <w:pPr>
              <w:pStyle w:val="BodyText"/>
              <w:spacing w:before="100" w:after="100"/>
              <w:jc w:val="center"/>
              <w:rPr>
                <w:rFonts w:eastAsia="Times New Roman"/>
                <w:bCs/>
                <w:szCs w:val="22"/>
              </w:rPr>
            </w:pPr>
            <w:r>
              <w:rPr>
                <w:rFonts w:eastAsia="Times New Roman"/>
                <w:bCs/>
                <w:szCs w:val="22"/>
              </w:rPr>
              <w:t>10c</w:t>
            </w:r>
            <w:r>
              <w:rPr>
                <w:rFonts w:eastAsia="Times New Roman"/>
                <w:bCs/>
                <w:szCs w:val="22"/>
              </w:rPr>
              <w:br/>
              <w:t>(11c)</w:t>
            </w:r>
          </w:p>
        </w:tc>
      </w:tr>
      <w:tr w:rsidR="000D07EA" w14:paraId="7C3D91D8" w14:textId="77777777">
        <w:trPr>
          <w:trHeight w:val="60"/>
        </w:trPr>
        <w:tc>
          <w:tcPr>
            <w:tcW w:w="1808" w:type="pct"/>
            <w:vAlign w:val="center"/>
          </w:tcPr>
          <w:p w14:paraId="7075CDF1" w14:textId="77777777" w:rsidR="000D07EA" w:rsidRDefault="00BE7C89">
            <w:pPr>
              <w:pStyle w:val="BodyText"/>
              <w:spacing w:before="100" w:after="100"/>
              <w:rPr>
                <w:rFonts w:eastAsia="Times New Roman"/>
                <w:b/>
                <w:bCs/>
                <w:szCs w:val="22"/>
              </w:rPr>
            </w:pPr>
            <w:r>
              <w:rPr>
                <w:rFonts w:eastAsia="Times New Roman"/>
                <w:b/>
                <w:bCs/>
                <w:szCs w:val="22"/>
              </w:rPr>
              <w:t xml:space="preserve">SmartFleet </w:t>
            </w:r>
            <w:r>
              <w:rPr>
                <w:rFonts w:eastAsia="Times New Roman"/>
                <w:b/>
                <w:bCs/>
                <w:szCs w:val="22"/>
                <w:vertAlign w:val="superscript"/>
              </w:rPr>
              <w:t>+</w:t>
            </w:r>
          </w:p>
        </w:tc>
        <w:tc>
          <w:tcPr>
            <w:tcW w:w="3192" w:type="pct"/>
            <w:gridSpan w:val="5"/>
            <w:vAlign w:val="center"/>
          </w:tcPr>
          <w:p w14:paraId="726A8A03" w14:textId="77777777" w:rsidR="000D07EA" w:rsidRDefault="00BE7C89">
            <w:pPr>
              <w:pStyle w:val="BodyText"/>
              <w:spacing w:before="100" w:after="100"/>
              <w:jc w:val="center"/>
              <w:rPr>
                <w:rFonts w:eastAsia="Times New Roman"/>
                <w:bCs/>
                <w:szCs w:val="22"/>
              </w:rPr>
            </w:pPr>
            <w:r>
              <w:rPr>
                <w:rFonts w:eastAsia="Times New Roman"/>
                <w:bCs/>
                <w:szCs w:val="22"/>
              </w:rPr>
              <w:t>Free calls, SMS and MMS 24 x 7 to other mobiles on your business account</w:t>
            </w:r>
          </w:p>
        </w:tc>
      </w:tr>
      <w:tr w:rsidR="000D07EA" w14:paraId="7B3F41E5" w14:textId="77777777">
        <w:trPr>
          <w:trHeight w:val="60"/>
        </w:trPr>
        <w:tc>
          <w:tcPr>
            <w:tcW w:w="1808" w:type="pct"/>
            <w:vAlign w:val="center"/>
          </w:tcPr>
          <w:p w14:paraId="6110F5F1" w14:textId="77777777" w:rsidR="000D07EA" w:rsidRDefault="00BE7C89">
            <w:pPr>
              <w:pStyle w:val="BodyText"/>
              <w:spacing w:before="100" w:after="100"/>
              <w:rPr>
                <w:rFonts w:eastAsia="Times New Roman"/>
                <w:b/>
                <w:bCs/>
                <w:i/>
                <w:szCs w:val="22"/>
              </w:rPr>
            </w:pPr>
            <w:r>
              <w:rPr>
                <w:rFonts w:eastAsia="Times New Roman"/>
                <w:b/>
                <w:bCs/>
                <w:i/>
                <w:szCs w:val="22"/>
              </w:rPr>
              <w:t>Minimum term</w:t>
            </w:r>
          </w:p>
        </w:tc>
        <w:tc>
          <w:tcPr>
            <w:tcW w:w="639" w:type="pct"/>
            <w:vAlign w:val="center"/>
          </w:tcPr>
          <w:p w14:paraId="62B7FCBC" w14:textId="77777777" w:rsidR="000D07EA" w:rsidRDefault="00BE7C89">
            <w:pPr>
              <w:pStyle w:val="BodyText"/>
              <w:spacing w:before="100" w:after="100"/>
              <w:jc w:val="center"/>
              <w:rPr>
                <w:rFonts w:eastAsia="Times New Roman"/>
                <w:bCs/>
                <w:szCs w:val="22"/>
              </w:rPr>
            </w:pPr>
            <w:r>
              <w:rPr>
                <w:rFonts w:eastAsia="Times New Roman"/>
                <w:bCs/>
                <w:szCs w:val="22"/>
              </w:rPr>
              <w:t>12 or 24 months</w:t>
            </w:r>
          </w:p>
        </w:tc>
        <w:tc>
          <w:tcPr>
            <w:tcW w:w="638" w:type="pct"/>
            <w:vAlign w:val="center"/>
          </w:tcPr>
          <w:p w14:paraId="47679E80" w14:textId="77777777" w:rsidR="000D07EA" w:rsidRDefault="00BE7C89">
            <w:pPr>
              <w:pStyle w:val="BodyText"/>
              <w:spacing w:before="100" w:after="100"/>
              <w:jc w:val="center"/>
              <w:rPr>
                <w:rFonts w:eastAsia="Times New Roman"/>
                <w:bCs/>
                <w:szCs w:val="22"/>
              </w:rPr>
            </w:pPr>
            <w:r>
              <w:rPr>
                <w:rFonts w:eastAsia="Times New Roman"/>
                <w:bCs/>
                <w:szCs w:val="22"/>
              </w:rPr>
              <w:t>12 or 24 months</w:t>
            </w:r>
          </w:p>
        </w:tc>
        <w:tc>
          <w:tcPr>
            <w:tcW w:w="638" w:type="pct"/>
            <w:vAlign w:val="center"/>
          </w:tcPr>
          <w:p w14:paraId="6D38650C" w14:textId="77777777" w:rsidR="000D07EA" w:rsidRDefault="00BE7C89">
            <w:pPr>
              <w:pStyle w:val="BodyText"/>
              <w:spacing w:before="100" w:after="100"/>
              <w:jc w:val="center"/>
              <w:rPr>
                <w:rFonts w:eastAsia="Times New Roman"/>
                <w:bCs/>
                <w:szCs w:val="22"/>
              </w:rPr>
            </w:pPr>
            <w:r>
              <w:rPr>
                <w:rFonts w:eastAsia="Times New Roman"/>
                <w:bCs/>
                <w:szCs w:val="22"/>
              </w:rPr>
              <w:t>12 or 24 months</w:t>
            </w:r>
          </w:p>
        </w:tc>
        <w:tc>
          <w:tcPr>
            <w:tcW w:w="638" w:type="pct"/>
            <w:vAlign w:val="center"/>
          </w:tcPr>
          <w:p w14:paraId="27896151" w14:textId="77777777" w:rsidR="000D07EA" w:rsidRDefault="00BE7C89">
            <w:pPr>
              <w:pStyle w:val="BodyText"/>
              <w:spacing w:before="100" w:after="100"/>
              <w:jc w:val="center"/>
              <w:rPr>
                <w:rFonts w:eastAsia="Times New Roman"/>
                <w:bCs/>
                <w:szCs w:val="22"/>
              </w:rPr>
            </w:pPr>
            <w:r>
              <w:rPr>
                <w:rFonts w:eastAsia="Times New Roman"/>
                <w:bCs/>
                <w:szCs w:val="22"/>
              </w:rPr>
              <w:t>12 or 24 months</w:t>
            </w:r>
          </w:p>
        </w:tc>
        <w:tc>
          <w:tcPr>
            <w:tcW w:w="638" w:type="pct"/>
            <w:vAlign w:val="center"/>
          </w:tcPr>
          <w:p w14:paraId="5C671FE3" w14:textId="77777777" w:rsidR="000D07EA" w:rsidRDefault="00BE7C89">
            <w:pPr>
              <w:pStyle w:val="BodyText"/>
              <w:spacing w:before="100" w:after="100"/>
              <w:jc w:val="center"/>
              <w:rPr>
                <w:rFonts w:eastAsia="Times New Roman"/>
                <w:bCs/>
                <w:szCs w:val="22"/>
              </w:rPr>
            </w:pPr>
            <w:r>
              <w:rPr>
                <w:rFonts w:eastAsia="Times New Roman"/>
                <w:bCs/>
                <w:szCs w:val="22"/>
              </w:rPr>
              <w:t>12 or 24 months</w:t>
            </w:r>
          </w:p>
        </w:tc>
      </w:tr>
      <w:tr w:rsidR="000D07EA" w14:paraId="6A73D300" w14:textId="77777777">
        <w:trPr>
          <w:trHeight w:val="60"/>
        </w:trPr>
        <w:tc>
          <w:tcPr>
            <w:tcW w:w="1808" w:type="pct"/>
            <w:vAlign w:val="center"/>
          </w:tcPr>
          <w:p w14:paraId="44CFE6C0" w14:textId="77777777" w:rsidR="000D07EA" w:rsidRDefault="00BE7C89">
            <w:pPr>
              <w:pStyle w:val="BodyText"/>
              <w:spacing w:before="100" w:after="100"/>
              <w:rPr>
                <w:rFonts w:eastAsia="Times New Roman"/>
                <w:b/>
                <w:bCs/>
                <w:szCs w:val="22"/>
              </w:rPr>
            </w:pPr>
            <w:r>
              <w:rPr>
                <w:rFonts w:eastAsia="Times New Roman"/>
                <w:b/>
                <w:bCs/>
                <w:i/>
                <w:szCs w:val="22"/>
              </w:rPr>
              <w:t>Cancellation fee</w:t>
            </w:r>
            <w:r>
              <w:rPr>
                <w:rFonts w:eastAsia="Times New Roman"/>
                <w:b/>
                <w:bCs/>
                <w:szCs w:val="22"/>
              </w:rPr>
              <w:t xml:space="preserve"> for each </w:t>
            </w:r>
            <w:r>
              <w:rPr>
                <w:rFonts w:eastAsia="Times New Roman"/>
                <w:b/>
                <w:bCs/>
                <w:i/>
                <w:szCs w:val="22"/>
              </w:rPr>
              <w:t>Optus SIM card</w:t>
            </w:r>
            <w:r>
              <w:rPr>
                <w:rFonts w:eastAsia="Times New Roman"/>
                <w:b/>
                <w:bCs/>
                <w:szCs w:val="22"/>
              </w:rPr>
              <w:t xml:space="preserve"> on 12 month </w:t>
            </w:r>
            <w:r>
              <w:rPr>
                <w:rFonts w:eastAsia="Times New Roman"/>
                <w:b/>
                <w:bCs/>
                <w:i/>
                <w:szCs w:val="22"/>
              </w:rPr>
              <w:t>minimum term</w:t>
            </w:r>
          </w:p>
        </w:tc>
        <w:tc>
          <w:tcPr>
            <w:tcW w:w="639" w:type="pct"/>
            <w:vAlign w:val="center"/>
          </w:tcPr>
          <w:p w14:paraId="76D437A0" w14:textId="77777777" w:rsidR="000D07EA" w:rsidRDefault="00BE7C89">
            <w:pPr>
              <w:pStyle w:val="BodyText"/>
              <w:spacing w:before="100" w:after="100"/>
              <w:jc w:val="center"/>
              <w:rPr>
                <w:rFonts w:eastAsia="Times New Roman"/>
                <w:bCs/>
                <w:szCs w:val="22"/>
              </w:rPr>
            </w:pPr>
            <w:r>
              <w:rPr>
                <w:rFonts w:eastAsia="Times New Roman"/>
                <w:bCs/>
                <w:szCs w:val="22"/>
              </w:rPr>
              <w:t>$200</w:t>
            </w:r>
            <w:r>
              <w:rPr>
                <w:rFonts w:eastAsia="Times New Roman"/>
                <w:bCs/>
                <w:szCs w:val="22"/>
              </w:rPr>
              <w:br/>
              <w:t>($220)</w:t>
            </w:r>
          </w:p>
        </w:tc>
        <w:tc>
          <w:tcPr>
            <w:tcW w:w="638" w:type="pct"/>
            <w:vAlign w:val="center"/>
          </w:tcPr>
          <w:p w14:paraId="4666FA33" w14:textId="77777777" w:rsidR="000D07EA" w:rsidRDefault="00BE7C89">
            <w:pPr>
              <w:pStyle w:val="BodyText"/>
              <w:spacing w:before="100" w:after="100"/>
              <w:jc w:val="center"/>
              <w:rPr>
                <w:rFonts w:eastAsia="Times New Roman"/>
                <w:bCs/>
                <w:szCs w:val="22"/>
              </w:rPr>
            </w:pPr>
            <w:r>
              <w:rPr>
                <w:rFonts w:eastAsia="Times New Roman"/>
                <w:bCs/>
                <w:szCs w:val="22"/>
              </w:rPr>
              <w:t>$218.18</w:t>
            </w:r>
            <w:r>
              <w:rPr>
                <w:rFonts w:eastAsia="Times New Roman"/>
                <w:bCs/>
                <w:szCs w:val="22"/>
              </w:rPr>
              <w:br/>
              <w:t>($240)</w:t>
            </w:r>
          </w:p>
        </w:tc>
        <w:tc>
          <w:tcPr>
            <w:tcW w:w="638" w:type="pct"/>
            <w:vAlign w:val="center"/>
          </w:tcPr>
          <w:p w14:paraId="779940C7" w14:textId="77777777" w:rsidR="000D07EA" w:rsidRDefault="00BE7C89">
            <w:pPr>
              <w:pStyle w:val="BodyText"/>
              <w:spacing w:before="100" w:after="100"/>
              <w:jc w:val="center"/>
              <w:rPr>
                <w:rFonts w:eastAsia="Times New Roman"/>
                <w:bCs/>
                <w:szCs w:val="22"/>
              </w:rPr>
            </w:pPr>
            <w:r>
              <w:rPr>
                <w:rFonts w:eastAsia="Times New Roman"/>
                <w:bCs/>
                <w:szCs w:val="22"/>
              </w:rPr>
              <w:t>$261.81</w:t>
            </w:r>
            <w:r>
              <w:rPr>
                <w:rFonts w:eastAsia="Times New Roman"/>
                <w:bCs/>
                <w:szCs w:val="22"/>
              </w:rPr>
              <w:br/>
              <w:t>($288)</w:t>
            </w:r>
          </w:p>
        </w:tc>
        <w:tc>
          <w:tcPr>
            <w:tcW w:w="638" w:type="pct"/>
            <w:vAlign w:val="center"/>
          </w:tcPr>
          <w:p w14:paraId="4D5712B8" w14:textId="77777777" w:rsidR="000D07EA" w:rsidRDefault="00BE7C89">
            <w:pPr>
              <w:pStyle w:val="BodyText"/>
              <w:spacing w:before="100" w:after="100"/>
              <w:jc w:val="center"/>
              <w:rPr>
                <w:rFonts w:eastAsia="Times New Roman"/>
                <w:bCs/>
                <w:szCs w:val="22"/>
              </w:rPr>
            </w:pPr>
            <w:r>
              <w:rPr>
                <w:rFonts w:eastAsia="Times New Roman"/>
                <w:bCs/>
                <w:szCs w:val="22"/>
              </w:rPr>
              <w:t>$294.54</w:t>
            </w:r>
            <w:r>
              <w:rPr>
                <w:rFonts w:eastAsia="Times New Roman"/>
                <w:bCs/>
                <w:szCs w:val="22"/>
              </w:rPr>
              <w:br/>
              <w:t>($324)</w:t>
            </w:r>
          </w:p>
        </w:tc>
        <w:tc>
          <w:tcPr>
            <w:tcW w:w="638" w:type="pct"/>
            <w:vAlign w:val="center"/>
          </w:tcPr>
          <w:p w14:paraId="20760393" w14:textId="77777777" w:rsidR="000D07EA" w:rsidRDefault="00BE7C89">
            <w:pPr>
              <w:pStyle w:val="BodyText"/>
              <w:spacing w:before="100" w:after="100"/>
              <w:jc w:val="center"/>
              <w:rPr>
                <w:rFonts w:eastAsia="Times New Roman"/>
                <w:bCs/>
                <w:szCs w:val="22"/>
              </w:rPr>
            </w:pPr>
            <w:r>
              <w:rPr>
                <w:rFonts w:eastAsia="Times New Roman"/>
                <w:bCs/>
                <w:szCs w:val="22"/>
              </w:rPr>
              <w:t>$334.54</w:t>
            </w:r>
            <w:r>
              <w:rPr>
                <w:rFonts w:eastAsia="Times New Roman"/>
                <w:bCs/>
                <w:szCs w:val="22"/>
              </w:rPr>
              <w:br/>
              <w:t>($368)</w:t>
            </w:r>
          </w:p>
        </w:tc>
      </w:tr>
      <w:tr w:rsidR="000D07EA" w14:paraId="329FF5B6" w14:textId="77777777">
        <w:trPr>
          <w:trHeight w:val="60"/>
        </w:trPr>
        <w:tc>
          <w:tcPr>
            <w:tcW w:w="1808" w:type="pct"/>
            <w:vAlign w:val="center"/>
          </w:tcPr>
          <w:p w14:paraId="78729478" w14:textId="77777777" w:rsidR="000D07EA" w:rsidRDefault="00BE7C89">
            <w:pPr>
              <w:pStyle w:val="BodyText"/>
              <w:spacing w:before="100" w:after="100"/>
              <w:rPr>
                <w:rFonts w:eastAsia="Times New Roman"/>
                <w:b/>
                <w:bCs/>
                <w:szCs w:val="22"/>
              </w:rPr>
            </w:pPr>
            <w:r>
              <w:rPr>
                <w:rFonts w:eastAsia="Times New Roman"/>
                <w:b/>
                <w:bCs/>
                <w:i/>
                <w:szCs w:val="22"/>
              </w:rPr>
              <w:t>Cancellation fee</w:t>
            </w:r>
            <w:r>
              <w:rPr>
                <w:rFonts w:eastAsia="Times New Roman"/>
                <w:b/>
                <w:bCs/>
                <w:szCs w:val="22"/>
              </w:rPr>
              <w:t xml:space="preserve"> for each </w:t>
            </w:r>
            <w:r>
              <w:rPr>
                <w:rFonts w:eastAsia="Times New Roman"/>
                <w:b/>
                <w:bCs/>
                <w:i/>
                <w:szCs w:val="22"/>
              </w:rPr>
              <w:t>Optus SIM card</w:t>
            </w:r>
            <w:r>
              <w:rPr>
                <w:rFonts w:eastAsia="Times New Roman"/>
                <w:b/>
                <w:bCs/>
                <w:szCs w:val="22"/>
              </w:rPr>
              <w:t xml:space="preserve"> on 24 month </w:t>
            </w:r>
            <w:r>
              <w:rPr>
                <w:rFonts w:eastAsia="Times New Roman"/>
                <w:b/>
                <w:bCs/>
                <w:i/>
                <w:szCs w:val="22"/>
              </w:rPr>
              <w:t>minimum term</w:t>
            </w:r>
          </w:p>
        </w:tc>
        <w:tc>
          <w:tcPr>
            <w:tcW w:w="639" w:type="pct"/>
            <w:vAlign w:val="center"/>
          </w:tcPr>
          <w:p w14:paraId="5EB6A7E4" w14:textId="77777777" w:rsidR="000D07EA" w:rsidRDefault="00BE7C89">
            <w:pPr>
              <w:pStyle w:val="BodyText"/>
              <w:spacing w:before="100" w:after="100"/>
              <w:jc w:val="center"/>
              <w:rPr>
                <w:rFonts w:eastAsia="Times New Roman"/>
                <w:bCs/>
                <w:szCs w:val="22"/>
              </w:rPr>
            </w:pPr>
            <w:r>
              <w:rPr>
                <w:rFonts w:eastAsia="Times New Roman"/>
                <w:bCs/>
                <w:szCs w:val="22"/>
              </w:rPr>
              <w:t>$309.09</w:t>
            </w:r>
            <w:r>
              <w:rPr>
                <w:rFonts w:eastAsia="Times New Roman"/>
                <w:bCs/>
                <w:szCs w:val="22"/>
              </w:rPr>
              <w:br/>
              <w:t>($340)</w:t>
            </w:r>
          </w:p>
        </w:tc>
        <w:tc>
          <w:tcPr>
            <w:tcW w:w="638" w:type="pct"/>
            <w:vAlign w:val="center"/>
          </w:tcPr>
          <w:p w14:paraId="2053D00A" w14:textId="77777777" w:rsidR="000D07EA" w:rsidRDefault="00BE7C89">
            <w:pPr>
              <w:pStyle w:val="BodyText"/>
              <w:spacing w:before="100" w:after="100"/>
              <w:jc w:val="center"/>
              <w:rPr>
                <w:rFonts w:eastAsia="Times New Roman"/>
                <w:bCs/>
                <w:szCs w:val="22"/>
              </w:rPr>
            </w:pPr>
            <w:r>
              <w:rPr>
                <w:rFonts w:eastAsia="Times New Roman"/>
                <w:bCs/>
                <w:szCs w:val="22"/>
              </w:rPr>
              <w:t>$354.55</w:t>
            </w:r>
            <w:r>
              <w:rPr>
                <w:rFonts w:eastAsia="Times New Roman"/>
                <w:bCs/>
                <w:szCs w:val="22"/>
              </w:rPr>
              <w:br/>
              <w:t>($390)</w:t>
            </w:r>
          </w:p>
        </w:tc>
        <w:tc>
          <w:tcPr>
            <w:tcW w:w="638" w:type="pct"/>
            <w:vAlign w:val="center"/>
          </w:tcPr>
          <w:p w14:paraId="4A60CCED" w14:textId="77777777" w:rsidR="000D07EA" w:rsidRDefault="00BE7C89">
            <w:pPr>
              <w:pStyle w:val="BodyText"/>
              <w:spacing w:before="100" w:after="100"/>
              <w:jc w:val="center"/>
              <w:rPr>
                <w:rFonts w:eastAsia="Times New Roman"/>
                <w:bCs/>
                <w:szCs w:val="22"/>
              </w:rPr>
            </w:pPr>
            <w:r>
              <w:rPr>
                <w:rFonts w:eastAsia="Times New Roman"/>
                <w:bCs/>
                <w:szCs w:val="22"/>
              </w:rPr>
              <w:t>$463.64</w:t>
            </w:r>
            <w:r>
              <w:rPr>
                <w:rFonts w:eastAsia="Times New Roman"/>
                <w:bCs/>
                <w:szCs w:val="22"/>
              </w:rPr>
              <w:br/>
              <w:t>($510)</w:t>
            </w:r>
          </w:p>
        </w:tc>
        <w:tc>
          <w:tcPr>
            <w:tcW w:w="638" w:type="pct"/>
            <w:vAlign w:val="center"/>
          </w:tcPr>
          <w:p w14:paraId="7EA269E6" w14:textId="77777777" w:rsidR="000D07EA" w:rsidRDefault="00BE7C89">
            <w:pPr>
              <w:pStyle w:val="BodyText"/>
              <w:spacing w:before="100" w:after="100"/>
              <w:jc w:val="center"/>
              <w:rPr>
                <w:rFonts w:eastAsia="Times New Roman"/>
                <w:bCs/>
                <w:szCs w:val="22"/>
              </w:rPr>
            </w:pPr>
            <w:r>
              <w:rPr>
                <w:rFonts w:eastAsia="Times New Roman"/>
                <w:bCs/>
                <w:szCs w:val="22"/>
              </w:rPr>
              <w:t>$545.45</w:t>
            </w:r>
            <w:r>
              <w:rPr>
                <w:rFonts w:eastAsia="Times New Roman"/>
                <w:bCs/>
                <w:szCs w:val="22"/>
              </w:rPr>
              <w:br/>
              <w:t>($600)</w:t>
            </w:r>
          </w:p>
        </w:tc>
        <w:tc>
          <w:tcPr>
            <w:tcW w:w="638" w:type="pct"/>
            <w:vAlign w:val="center"/>
          </w:tcPr>
          <w:p w14:paraId="37C59989" w14:textId="77777777" w:rsidR="000D07EA" w:rsidRDefault="00BE7C89">
            <w:pPr>
              <w:pStyle w:val="BodyText"/>
              <w:spacing w:before="100" w:after="100"/>
              <w:jc w:val="center"/>
              <w:rPr>
                <w:rFonts w:eastAsia="Times New Roman"/>
                <w:bCs/>
                <w:szCs w:val="22"/>
              </w:rPr>
            </w:pPr>
            <w:r>
              <w:rPr>
                <w:rFonts w:eastAsia="Times New Roman"/>
                <w:bCs/>
                <w:szCs w:val="22"/>
              </w:rPr>
              <w:t>$645.45</w:t>
            </w:r>
            <w:r>
              <w:rPr>
                <w:rFonts w:eastAsia="Times New Roman"/>
                <w:bCs/>
                <w:szCs w:val="22"/>
              </w:rPr>
              <w:br/>
              <w:t>($710)</w:t>
            </w:r>
          </w:p>
        </w:tc>
      </w:tr>
    </w:tbl>
    <w:p w14:paraId="3DA211E5" w14:textId="77777777" w:rsidR="000D07EA" w:rsidRDefault="00BE7C89">
      <w:pPr>
        <w:pStyle w:val="BodyText"/>
        <w:spacing w:after="0"/>
        <w:ind w:left="1440"/>
        <w:rPr>
          <w:sz w:val="16"/>
          <w:szCs w:val="16"/>
        </w:rPr>
      </w:pPr>
      <w:r>
        <w:rPr>
          <w:sz w:val="16"/>
          <w:szCs w:val="16"/>
        </w:rPr>
        <w:t>Note: All rates are per 30 seconds unless otherwise noted.</w:t>
      </w:r>
      <w:r>
        <w:rPr>
          <w:sz w:val="16"/>
          <w:szCs w:val="16"/>
        </w:rPr>
        <w:br/>
        <w:t>The rates above exclude calls to special services and Satellite.</w:t>
      </w:r>
      <w:r>
        <w:rPr>
          <w:sz w:val="16"/>
          <w:szCs w:val="16"/>
        </w:rPr>
        <w:br/>
        <w:t>* Includes $10 monthly access fee</w:t>
      </w:r>
      <w:r>
        <w:rPr>
          <w:sz w:val="16"/>
          <w:szCs w:val="16"/>
        </w:rPr>
        <w:br/>
        <w:t>^ Billed per second.</w:t>
      </w:r>
      <w:r>
        <w:rPr>
          <w:sz w:val="16"/>
          <w:szCs w:val="16"/>
        </w:rPr>
        <w:br/>
      </w:r>
      <w:r>
        <w:rPr>
          <w:sz w:val="16"/>
          <w:szCs w:val="16"/>
          <w:vertAlign w:val="superscript"/>
        </w:rPr>
        <w:t>+</w:t>
      </w:r>
      <w:r>
        <w:rPr>
          <w:sz w:val="16"/>
          <w:szCs w:val="16"/>
        </w:rPr>
        <w:t xml:space="preserve"> No </w:t>
      </w:r>
      <w:r>
        <w:rPr>
          <w:i/>
          <w:sz w:val="16"/>
          <w:szCs w:val="16"/>
        </w:rPr>
        <w:t>flagfall</w:t>
      </w:r>
      <w:r>
        <w:rPr>
          <w:sz w:val="16"/>
          <w:szCs w:val="16"/>
        </w:rPr>
        <w:t xml:space="preserve"> applies.</w:t>
      </w:r>
    </w:p>
    <w:p w14:paraId="0D9562AC" w14:textId="77777777" w:rsidR="000D07EA" w:rsidRDefault="000D07EA">
      <w:pPr>
        <w:pStyle w:val="BodyText"/>
        <w:ind w:left="1440"/>
        <w:rPr>
          <w:rFonts w:eastAsia="Times New Roman"/>
          <w:bCs/>
          <w:szCs w:val="22"/>
        </w:rPr>
      </w:pPr>
    </w:p>
    <w:p w14:paraId="36F72A37" w14:textId="77777777" w:rsidR="000D07EA" w:rsidRDefault="00BE7C89">
      <w:pPr>
        <w:pStyle w:val="BodyText"/>
        <w:ind w:left="1440"/>
        <w:rPr>
          <w:rFonts w:eastAsia="Times New Roman"/>
          <w:bCs/>
          <w:szCs w:val="22"/>
        </w:rPr>
      </w:pPr>
      <w:r>
        <w:rPr>
          <w:rFonts w:eastAsia="Times New Roman"/>
          <w:bCs/>
          <w:szCs w:val="22"/>
        </w:rPr>
        <w:t xml:space="preserve">If a different minimum monthly </w:t>
      </w:r>
      <w:r>
        <w:rPr>
          <w:rFonts w:eastAsia="Times New Roman"/>
          <w:bCs/>
          <w:i/>
          <w:szCs w:val="22"/>
        </w:rPr>
        <w:t>spend</w:t>
      </w:r>
      <w:r>
        <w:rPr>
          <w:rFonts w:eastAsia="Times New Roman"/>
          <w:bCs/>
          <w:szCs w:val="22"/>
        </w:rPr>
        <w:t xml:space="preserve"> is agreed with </w:t>
      </w:r>
      <w:r>
        <w:rPr>
          <w:rFonts w:eastAsia="Times New Roman"/>
          <w:bCs/>
          <w:i/>
          <w:szCs w:val="22"/>
        </w:rPr>
        <w:t>you</w:t>
      </w:r>
      <w:r>
        <w:rPr>
          <w:rFonts w:eastAsia="Times New Roman"/>
          <w:bCs/>
          <w:szCs w:val="22"/>
        </w:rPr>
        <w:t xml:space="preserve">, the monthly charge will be adjusted accordingly. The standard call exclusions (see </w:t>
      </w:r>
      <w:hyperlink r:id="rId69" w:history="1">
        <w:r>
          <w:rPr>
            <w:rStyle w:val="Hyperlink"/>
            <w:rFonts w:eastAsia="Times New Roman"/>
            <w:bCs/>
            <w:szCs w:val="22"/>
          </w:rPr>
          <w:t>section 1</w:t>
        </w:r>
      </w:hyperlink>
      <w:r>
        <w:rPr>
          <w:rFonts w:eastAsia="Times New Roman"/>
          <w:bCs/>
          <w:szCs w:val="22"/>
        </w:rPr>
        <w:t xml:space="preserve"> of this </w:t>
      </w:r>
      <w:r>
        <w:rPr>
          <w:rFonts w:eastAsia="Times New Roman"/>
          <w:bCs/>
          <w:i/>
          <w:szCs w:val="22"/>
        </w:rPr>
        <w:t>standard pricing table</w:t>
      </w:r>
      <w:r>
        <w:rPr>
          <w:rFonts w:eastAsia="Times New Roman"/>
          <w:bCs/>
          <w:szCs w:val="22"/>
        </w:rPr>
        <w:t>) apply to the monthly included calls.</w:t>
      </w:r>
    </w:p>
    <w:p w14:paraId="431B4FA1" w14:textId="77777777" w:rsidR="000D07EA" w:rsidRDefault="00BE7C89">
      <w:pPr>
        <w:pStyle w:val="BodyText"/>
        <w:ind w:left="1440"/>
        <w:rPr>
          <w:rFonts w:eastAsia="Times New Roman"/>
          <w:bCs/>
          <w:szCs w:val="22"/>
        </w:rPr>
      </w:pPr>
      <w:r>
        <w:rPr>
          <w:rFonts w:eastAsia="Times New Roman"/>
          <w:bCs/>
          <w:szCs w:val="22"/>
        </w:rPr>
        <w:t xml:space="preserve">The following applies to </w:t>
      </w:r>
      <w:r>
        <w:rPr>
          <w:rFonts w:eastAsia="Times New Roman"/>
          <w:bCs/>
          <w:i/>
          <w:szCs w:val="22"/>
        </w:rPr>
        <w:t>you</w:t>
      </w:r>
      <w:r>
        <w:rPr>
          <w:rFonts w:eastAsia="Times New Roman"/>
          <w:bCs/>
          <w:szCs w:val="22"/>
        </w:rPr>
        <w:t xml:space="preserve"> if </w:t>
      </w:r>
      <w:r>
        <w:rPr>
          <w:rFonts w:eastAsia="Times New Roman"/>
          <w:bCs/>
          <w:i/>
          <w:szCs w:val="22"/>
        </w:rPr>
        <w:t>you</w:t>
      </w:r>
      <w:r>
        <w:rPr>
          <w:rFonts w:eastAsia="Times New Roman"/>
          <w:bCs/>
          <w:szCs w:val="22"/>
        </w:rPr>
        <w:t xml:space="preserve"> connected to a 'yes' Business Smart 20+ plan after 28 July 2008:</w:t>
      </w:r>
    </w:p>
    <w:tbl>
      <w:tblPr>
        <w:tblW w:w="4277" w:type="pct"/>
        <w:tblInd w:w="1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0"/>
        <w:gridCol w:w="1058"/>
        <w:gridCol w:w="1058"/>
        <w:gridCol w:w="1058"/>
        <w:gridCol w:w="1058"/>
        <w:gridCol w:w="1053"/>
      </w:tblGrid>
      <w:tr w:rsidR="000D07EA" w14:paraId="76927C2A" w14:textId="77777777">
        <w:trPr>
          <w:tblHeader/>
        </w:trPr>
        <w:tc>
          <w:tcPr>
            <w:tcW w:w="1968" w:type="pct"/>
            <w:shd w:val="clear" w:color="auto" w:fill="auto"/>
            <w:vAlign w:val="center"/>
          </w:tcPr>
          <w:p w14:paraId="09CAB08E" w14:textId="77777777" w:rsidR="000D07EA" w:rsidRDefault="00BE7C89">
            <w:pPr>
              <w:pStyle w:val="BodyText"/>
              <w:spacing w:before="100" w:after="100"/>
              <w:rPr>
                <w:rFonts w:eastAsia="Times New Roman"/>
                <w:b/>
                <w:bCs/>
                <w:i/>
                <w:szCs w:val="22"/>
              </w:rPr>
            </w:pPr>
            <w:r>
              <w:rPr>
                <w:rFonts w:eastAsia="Times New Roman"/>
                <w:b/>
                <w:bCs/>
                <w:i/>
                <w:szCs w:val="22"/>
              </w:rPr>
              <w:lastRenderedPageBreak/>
              <w:t>Pricing plan</w:t>
            </w:r>
          </w:p>
        </w:tc>
        <w:tc>
          <w:tcPr>
            <w:tcW w:w="607" w:type="pct"/>
            <w:shd w:val="clear" w:color="auto" w:fill="auto"/>
            <w:vAlign w:val="center"/>
          </w:tcPr>
          <w:p w14:paraId="3FE3DBA0" w14:textId="77777777" w:rsidR="000D07EA" w:rsidRDefault="00BE7C89">
            <w:pPr>
              <w:pStyle w:val="BodyText"/>
              <w:spacing w:before="100" w:after="100"/>
              <w:jc w:val="center"/>
              <w:rPr>
                <w:rFonts w:eastAsia="Times New Roman"/>
                <w:b/>
                <w:bCs/>
                <w:szCs w:val="22"/>
              </w:rPr>
            </w:pPr>
            <w:r>
              <w:rPr>
                <w:rFonts w:eastAsia="Times New Roman"/>
                <w:b/>
                <w:bCs/>
                <w:szCs w:val="22"/>
              </w:rPr>
              <w:t>20</w:t>
            </w:r>
          </w:p>
        </w:tc>
        <w:tc>
          <w:tcPr>
            <w:tcW w:w="607" w:type="pct"/>
            <w:shd w:val="clear" w:color="auto" w:fill="auto"/>
            <w:vAlign w:val="center"/>
          </w:tcPr>
          <w:p w14:paraId="236D7121" w14:textId="77777777" w:rsidR="000D07EA" w:rsidRDefault="00BE7C89">
            <w:pPr>
              <w:pStyle w:val="BodyText"/>
              <w:spacing w:before="100" w:after="100"/>
              <w:jc w:val="center"/>
              <w:rPr>
                <w:rFonts w:eastAsia="Times New Roman"/>
                <w:b/>
                <w:bCs/>
                <w:szCs w:val="22"/>
              </w:rPr>
            </w:pPr>
            <w:r>
              <w:rPr>
                <w:rFonts w:eastAsia="Times New Roman"/>
                <w:b/>
                <w:bCs/>
                <w:szCs w:val="22"/>
              </w:rPr>
              <w:t>30</w:t>
            </w:r>
          </w:p>
        </w:tc>
        <w:tc>
          <w:tcPr>
            <w:tcW w:w="607" w:type="pct"/>
            <w:shd w:val="clear" w:color="auto" w:fill="auto"/>
            <w:vAlign w:val="center"/>
          </w:tcPr>
          <w:p w14:paraId="3899B6F6" w14:textId="77777777" w:rsidR="000D07EA" w:rsidRDefault="00BE7C89">
            <w:pPr>
              <w:pStyle w:val="BodyText"/>
              <w:spacing w:before="100" w:after="100"/>
              <w:jc w:val="center"/>
              <w:rPr>
                <w:rFonts w:eastAsia="Times New Roman"/>
                <w:b/>
                <w:bCs/>
                <w:szCs w:val="22"/>
              </w:rPr>
            </w:pPr>
            <w:r>
              <w:rPr>
                <w:rFonts w:eastAsia="Times New Roman"/>
                <w:b/>
                <w:bCs/>
                <w:szCs w:val="22"/>
              </w:rPr>
              <w:t>50</w:t>
            </w:r>
          </w:p>
        </w:tc>
        <w:tc>
          <w:tcPr>
            <w:tcW w:w="607" w:type="pct"/>
            <w:shd w:val="clear" w:color="auto" w:fill="auto"/>
            <w:vAlign w:val="center"/>
          </w:tcPr>
          <w:p w14:paraId="7C0CC924" w14:textId="77777777" w:rsidR="000D07EA" w:rsidRDefault="00BE7C89">
            <w:pPr>
              <w:pStyle w:val="BodyText"/>
              <w:spacing w:before="100" w:after="100"/>
              <w:jc w:val="center"/>
              <w:rPr>
                <w:rFonts w:eastAsia="Times New Roman"/>
                <w:b/>
                <w:bCs/>
                <w:szCs w:val="22"/>
              </w:rPr>
            </w:pPr>
            <w:r>
              <w:rPr>
                <w:rFonts w:eastAsia="Times New Roman"/>
                <w:b/>
                <w:bCs/>
                <w:szCs w:val="22"/>
              </w:rPr>
              <w:t>70</w:t>
            </w:r>
          </w:p>
        </w:tc>
        <w:tc>
          <w:tcPr>
            <w:tcW w:w="606" w:type="pct"/>
            <w:shd w:val="clear" w:color="auto" w:fill="auto"/>
            <w:vAlign w:val="center"/>
          </w:tcPr>
          <w:p w14:paraId="118D58C0" w14:textId="77777777" w:rsidR="000D07EA" w:rsidRDefault="00BE7C89">
            <w:pPr>
              <w:pStyle w:val="BodyText"/>
              <w:spacing w:before="100" w:after="100"/>
              <w:jc w:val="center"/>
              <w:rPr>
                <w:rFonts w:eastAsia="Times New Roman"/>
                <w:b/>
                <w:bCs/>
                <w:szCs w:val="22"/>
              </w:rPr>
            </w:pPr>
            <w:r>
              <w:rPr>
                <w:rFonts w:eastAsia="Times New Roman"/>
                <w:b/>
                <w:bCs/>
                <w:szCs w:val="22"/>
              </w:rPr>
              <w:t>100</w:t>
            </w:r>
          </w:p>
        </w:tc>
      </w:tr>
      <w:tr w:rsidR="000D07EA" w14:paraId="5E02A716" w14:textId="77777777">
        <w:tc>
          <w:tcPr>
            <w:tcW w:w="1968" w:type="pct"/>
            <w:shd w:val="clear" w:color="auto" w:fill="auto"/>
            <w:vAlign w:val="center"/>
          </w:tcPr>
          <w:p w14:paraId="6CB23CDC" w14:textId="77777777" w:rsidR="000D07EA" w:rsidRDefault="00BE7C89">
            <w:pPr>
              <w:pStyle w:val="BodyText"/>
              <w:spacing w:before="100" w:after="100"/>
              <w:rPr>
                <w:rFonts w:eastAsia="Times New Roman"/>
                <w:b/>
                <w:bCs/>
                <w:szCs w:val="22"/>
              </w:rPr>
            </w:pPr>
            <w:r>
              <w:rPr>
                <w:rFonts w:eastAsia="Times New Roman"/>
                <w:b/>
                <w:bCs/>
                <w:szCs w:val="22"/>
              </w:rPr>
              <w:t>Minimum monthly spend (per service)</w:t>
            </w:r>
          </w:p>
        </w:tc>
        <w:tc>
          <w:tcPr>
            <w:tcW w:w="607" w:type="pct"/>
            <w:shd w:val="clear" w:color="auto" w:fill="auto"/>
            <w:vAlign w:val="center"/>
          </w:tcPr>
          <w:p w14:paraId="0CD5A974" w14:textId="77777777" w:rsidR="000D07EA" w:rsidRDefault="00BE7C89">
            <w:pPr>
              <w:pStyle w:val="BodyText"/>
              <w:spacing w:before="100" w:after="100"/>
              <w:jc w:val="center"/>
              <w:rPr>
                <w:rFonts w:eastAsia="Times New Roman"/>
                <w:bCs/>
                <w:szCs w:val="22"/>
              </w:rPr>
            </w:pPr>
            <w:r>
              <w:rPr>
                <w:rFonts w:eastAsia="Times New Roman"/>
                <w:bCs/>
                <w:szCs w:val="22"/>
              </w:rPr>
              <w:t>$18.18</w:t>
            </w:r>
            <w:r>
              <w:rPr>
                <w:rFonts w:eastAsia="Times New Roman"/>
                <w:bCs/>
                <w:szCs w:val="22"/>
              </w:rPr>
              <w:br/>
              <w:t>($20)</w:t>
            </w:r>
          </w:p>
        </w:tc>
        <w:tc>
          <w:tcPr>
            <w:tcW w:w="607" w:type="pct"/>
            <w:shd w:val="clear" w:color="auto" w:fill="auto"/>
            <w:vAlign w:val="center"/>
          </w:tcPr>
          <w:p w14:paraId="7BD27F69" w14:textId="77777777" w:rsidR="000D07EA" w:rsidRDefault="00BE7C89">
            <w:pPr>
              <w:pStyle w:val="BodyText"/>
              <w:spacing w:before="100" w:after="100"/>
              <w:jc w:val="center"/>
              <w:rPr>
                <w:rFonts w:eastAsia="Times New Roman"/>
                <w:bCs/>
                <w:szCs w:val="22"/>
              </w:rPr>
            </w:pPr>
            <w:r>
              <w:rPr>
                <w:rFonts w:eastAsia="Times New Roman"/>
                <w:bCs/>
                <w:szCs w:val="22"/>
              </w:rPr>
              <w:t>$27.27</w:t>
            </w:r>
            <w:r>
              <w:rPr>
                <w:rFonts w:eastAsia="Times New Roman"/>
                <w:bCs/>
                <w:szCs w:val="22"/>
              </w:rPr>
              <w:br/>
              <w:t>($30)</w:t>
            </w:r>
          </w:p>
        </w:tc>
        <w:tc>
          <w:tcPr>
            <w:tcW w:w="607" w:type="pct"/>
            <w:shd w:val="clear" w:color="auto" w:fill="auto"/>
            <w:vAlign w:val="center"/>
          </w:tcPr>
          <w:p w14:paraId="556EC8CB" w14:textId="77777777" w:rsidR="000D07EA" w:rsidRDefault="00BE7C89">
            <w:pPr>
              <w:pStyle w:val="BodyText"/>
              <w:spacing w:before="100" w:after="100"/>
              <w:jc w:val="center"/>
              <w:rPr>
                <w:rFonts w:eastAsia="Times New Roman"/>
                <w:bCs/>
                <w:szCs w:val="22"/>
              </w:rPr>
            </w:pPr>
            <w:r>
              <w:rPr>
                <w:rFonts w:eastAsia="Times New Roman"/>
                <w:bCs/>
                <w:szCs w:val="22"/>
              </w:rPr>
              <w:t>$45.45</w:t>
            </w:r>
            <w:r>
              <w:rPr>
                <w:rFonts w:eastAsia="Times New Roman"/>
                <w:bCs/>
                <w:szCs w:val="22"/>
              </w:rPr>
              <w:br/>
              <w:t>($50)</w:t>
            </w:r>
          </w:p>
        </w:tc>
        <w:tc>
          <w:tcPr>
            <w:tcW w:w="607" w:type="pct"/>
            <w:shd w:val="clear" w:color="auto" w:fill="auto"/>
            <w:vAlign w:val="center"/>
          </w:tcPr>
          <w:p w14:paraId="1619F215" w14:textId="77777777" w:rsidR="000D07EA" w:rsidRDefault="00BE7C89">
            <w:pPr>
              <w:pStyle w:val="BodyText"/>
              <w:spacing w:before="100" w:after="100"/>
              <w:jc w:val="center"/>
              <w:rPr>
                <w:rFonts w:eastAsia="Times New Roman"/>
                <w:bCs/>
                <w:szCs w:val="22"/>
              </w:rPr>
            </w:pPr>
            <w:r>
              <w:rPr>
                <w:rFonts w:eastAsia="Times New Roman"/>
                <w:bCs/>
                <w:szCs w:val="22"/>
              </w:rPr>
              <w:t>$63.63</w:t>
            </w:r>
            <w:r>
              <w:rPr>
                <w:rFonts w:eastAsia="Times New Roman"/>
                <w:bCs/>
                <w:szCs w:val="22"/>
              </w:rPr>
              <w:br/>
              <w:t>($70)</w:t>
            </w:r>
          </w:p>
        </w:tc>
        <w:tc>
          <w:tcPr>
            <w:tcW w:w="606" w:type="pct"/>
            <w:shd w:val="clear" w:color="auto" w:fill="auto"/>
            <w:vAlign w:val="center"/>
          </w:tcPr>
          <w:p w14:paraId="7C68DD67" w14:textId="77777777" w:rsidR="000D07EA" w:rsidRDefault="00BE7C89">
            <w:pPr>
              <w:pStyle w:val="BodyText"/>
              <w:spacing w:before="100" w:after="100"/>
              <w:jc w:val="center"/>
              <w:rPr>
                <w:rFonts w:eastAsia="Times New Roman"/>
                <w:bCs/>
                <w:szCs w:val="22"/>
              </w:rPr>
            </w:pPr>
            <w:r>
              <w:rPr>
                <w:rFonts w:eastAsia="Times New Roman"/>
                <w:bCs/>
                <w:szCs w:val="22"/>
              </w:rPr>
              <w:t>$90.90</w:t>
            </w:r>
            <w:r>
              <w:rPr>
                <w:rFonts w:eastAsia="Times New Roman"/>
                <w:bCs/>
                <w:szCs w:val="22"/>
              </w:rPr>
              <w:br/>
              <w:t>($100)</w:t>
            </w:r>
          </w:p>
        </w:tc>
      </w:tr>
      <w:tr w:rsidR="000D07EA" w14:paraId="0C63139A" w14:textId="77777777">
        <w:tc>
          <w:tcPr>
            <w:tcW w:w="1968" w:type="pct"/>
            <w:shd w:val="clear" w:color="auto" w:fill="auto"/>
            <w:vAlign w:val="center"/>
          </w:tcPr>
          <w:p w14:paraId="26D0DBC6" w14:textId="77777777" w:rsidR="000D07EA" w:rsidRDefault="00BE7C89">
            <w:pPr>
              <w:pStyle w:val="BodyText"/>
              <w:spacing w:before="100" w:after="100"/>
              <w:rPr>
                <w:rFonts w:eastAsia="Times New Roman"/>
                <w:b/>
                <w:bCs/>
                <w:i/>
                <w:szCs w:val="22"/>
              </w:rPr>
            </w:pPr>
            <w:r>
              <w:rPr>
                <w:rFonts w:eastAsia="Times New Roman"/>
                <w:b/>
                <w:bCs/>
                <w:i/>
                <w:szCs w:val="22"/>
              </w:rPr>
              <w:t>Flagfall</w:t>
            </w:r>
          </w:p>
        </w:tc>
        <w:tc>
          <w:tcPr>
            <w:tcW w:w="607" w:type="pct"/>
            <w:shd w:val="clear" w:color="auto" w:fill="auto"/>
            <w:vAlign w:val="center"/>
          </w:tcPr>
          <w:p w14:paraId="358BFA2C" w14:textId="77777777" w:rsidR="000D07EA" w:rsidRDefault="00BE7C89">
            <w:pPr>
              <w:pStyle w:val="BodyText"/>
              <w:spacing w:before="100" w:after="100"/>
              <w:jc w:val="center"/>
              <w:rPr>
                <w:rFonts w:eastAsia="Times New Roman"/>
                <w:bCs/>
                <w:szCs w:val="22"/>
              </w:rPr>
            </w:pPr>
            <w:r>
              <w:rPr>
                <w:rFonts w:eastAsia="Times New Roman"/>
                <w:bCs/>
                <w:szCs w:val="22"/>
              </w:rPr>
              <w:t>10c</w:t>
            </w:r>
            <w:r>
              <w:rPr>
                <w:rFonts w:eastAsia="Times New Roman"/>
                <w:bCs/>
                <w:szCs w:val="22"/>
              </w:rPr>
              <w:br/>
              <w:t>(11c)</w:t>
            </w:r>
          </w:p>
        </w:tc>
        <w:tc>
          <w:tcPr>
            <w:tcW w:w="607" w:type="pct"/>
            <w:shd w:val="clear" w:color="auto" w:fill="auto"/>
            <w:vAlign w:val="center"/>
          </w:tcPr>
          <w:p w14:paraId="56092926" w14:textId="77777777" w:rsidR="000D07EA" w:rsidRDefault="00BE7C89">
            <w:pPr>
              <w:pStyle w:val="BodyText"/>
              <w:spacing w:before="100" w:after="100"/>
              <w:jc w:val="center"/>
              <w:rPr>
                <w:rFonts w:eastAsia="Times New Roman"/>
                <w:bCs/>
                <w:szCs w:val="22"/>
              </w:rPr>
            </w:pPr>
            <w:r>
              <w:rPr>
                <w:rFonts w:eastAsia="Times New Roman"/>
                <w:bCs/>
                <w:szCs w:val="22"/>
              </w:rPr>
              <w:t>10c</w:t>
            </w:r>
            <w:r>
              <w:rPr>
                <w:rFonts w:eastAsia="Times New Roman"/>
                <w:bCs/>
                <w:szCs w:val="22"/>
              </w:rPr>
              <w:br/>
              <w:t>(11c)</w:t>
            </w:r>
          </w:p>
        </w:tc>
        <w:tc>
          <w:tcPr>
            <w:tcW w:w="607" w:type="pct"/>
            <w:shd w:val="clear" w:color="auto" w:fill="auto"/>
            <w:vAlign w:val="center"/>
          </w:tcPr>
          <w:p w14:paraId="387C755D" w14:textId="77777777" w:rsidR="000D07EA" w:rsidRDefault="00BE7C89">
            <w:pPr>
              <w:pStyle w:val="BodyText"/>
              <w:spacing w:before="100" w:after="100"/>
              <w:jc w:val="center"/>
              <w:rPr>
                <w:rFonts w:eastAsia="Times New Roman"/>
                <w:bCs/>
                <w:szCs w:val="22"/>
              </w:rPr>
            </w:pPr>
            <w:r>
              <w:rPr>
                <w:rFonts w:eastAsia="Times New Roman"/>
                <w:bCs/>
                <w:szCs w:val="22"/>
              </w:rPr>
              <w:t>9.09c</w:t>
            </w:r>
            <w:r>
              <w:rPr>
                <w:rFonts w:eastAsia="Times New Roman"/>
                <w:bCs/>
                <w:szCs w:val="22"/>
              </w:rPr>
              <w:br/>
              <w:t>(10c)</w:t>
            </w:r>
          </w:p>
        </w:tc>
        <w:tc>
          <w:tcPr>
            <w:tcW w:w="607" w:type="pct"/>
            <w:shd w:val="clear" w:color="auto" w:fill="auto"/>
            <w:vAlign w:val="center"/>
          </w:tcPr>
          <w:p w14:paraId="19AF5378" w14:textId="77777777" w:rsidR="000D07EA" w:rsidRDefault="00BE7C89">
            <w:pPr>
              <w:pStyle w:val="BodyText"/>
              <w:spacing w:before="100" w:after="100"/>
              <w:jc w:val="center"/>
              <w:rPr>
                <w:rFonts w:eastAsia="Times New Roman"/>
                <w:bCs/>
                <w:szCs w:val="22"/>
              </w:rPr>
            </w:pPr>
            <w:r>
              <w:rPr>
                <w:rFonts w:eastAsia="Times New Roman"/>
                <w:bCs/>
                <w:szCs w:val="22"/>
              </w:rPr>
              <w:t>9.09c</w:t>
            </w:r>
            <w:r>
              <w:rPr>
                <w:rFonts w:eastAsia="Times New Roman"/>
                <w:bCs/>
                <w:szCs w:val="22"/>
              </w:rPr>
              <w:br/>
              <w:t>(10c)</w:t>
            </w:r>
          </w:p>
        </w:tc>
        <w:tc>
          <w:tcPr>
            <w:tcW w:w="606" w:type="pct"/>
            <w:shd w:val="clear" w:color="auto" w:fill="auto"/>
            <w:vAlign w:val="center"/>
          </w:tcPr>
          <w:p w14:paraId="7621DE89" w14:textId="77777777" w:rsidR="000D07EA" w:rsidRDefault="00BE7C89">
            <w:pPr>
              <w:pStyle w:val="BodyText"/>
              <w:spacing w:before="100" w:after="100"/>
              <w:jc w:val="center"/>
              <w:rPr>
                <w:rFonts w:eastAsia="Times New Roman"/>
                <w:bCs/>
                <w:szCs w:val="22"/>
              </w:rPr>
            </w:pPr>
            <w:r>
              <w:rPr>
                <w:rFonts w:eastAsia="Times New Roman"/>
                <w:bCs/>
                <w:szCs w:val="22"/>
              </w:rPr>
              <w:t>9.09c</w:t>
            </w:r>
            <w:r>
              <w:rPr>
                <w:rFonts w:eastAsia="Times New Roman"/>
                <w:bCs/>
                <w:szCs w:val="22"/>
              </w:rPr>
              <w:br/>
              <w:t>(10c)</w:t>
            </w:r>
          </w:p>
        </w:tc>
      </w:tr>
      <w:tr w:rsidR="000D07EA" w14:paraId="1C49C50E" w14:textId="77777777">
        <w:tc>
          <w:tcPr>
            <w:tcW w:w="1968" w:type="pct"/>
            <w:shd w:val="clear" w:color="auto" w:fill="auto"/>
            <w:vAlign w:val="center"/>
          </w:tcPr>
          <w:p w14:paraId="4FF3A8BA" w14:textId="77777777" w:rsidR="000D07EA" w:rsidRDefault="00BE7C89">
            <w:pPr>
              <w:pStyle w:val="BodyText"/>
              <w:spacing w:before="100" w:after="100"/>
              <w:rPr>
                <w:rFonts w:eastAsia="Times New Roman"/>
                <w:b/>
                <w:bCs/>
                <w:szCs w:val="22"/>
              </w:rPr>
            </w:pPr>
            <w:r>
              <w:rPr>
                <w:rFonts w:eastAsia="Times New Roman"/>
                <w:b/>
                <w:bCs/>
                <w:szCs w:val="22"/>
              </w:rPr>
              <w:t xml:space="preserve">Calls to </w:t>
            </w:r>
            <w:r>
              <w:rPr>
                <w:rFonts w:eastAsia="Times New Roman"/>
                <w:b/>
                <w:bCs/>
                <w:i/>
                <w:szCs w:val="22"/>
              </w:rPr>
              <w:t>mobile phones</w:t>
            </w:r>
            <w:r>
              <w:rPr>
                <w:rFonts w:eastAsia="Times New Roman"/>
                <w:b/>
                <w:bCs/>
                <w:szCs w:val="22"/>
              </w:rPr>
              <w:t xml:space="preserve"> (national) ^</w:t>
            </w:r>
          </w:p>
        </w:tc>
        <w:tc>
          <w:tcPr>
            <w:tcW w:w="607" w:type="pct"/>
            <w:shd w:val="clear" w:color="auto" w:fill="auto"/>
            <w:vAlign w:val="center"/>
          </w:tcPr>
          <w:p w14:paraId="519CC0BC" w14:textId="77777777" w:rsidR="000D07EA" w:rsidRDefault="00BE7C89">
            <w:pPr>
              <w:pStyle w:val="BodyText"/>
              <w:spacing w:before="100" w:after="100"/>
              <w:jc w:val="center"/>
              <w:rPr>
                <w:rFonts w:eastAsia="Times New Roman"/>
                <w:bCs/>
                <w:szCs w:val="22"/>
              </w:rPr>
            </w:pPr>
            <w:r>
              <w:rPr>
                <w:rFonts w:eastAsia="Times New Roman"/>
                <w:bCs/>
                <w:szCs w:val="22"/>
              </w:rPr>
              <w:t>18.18c</w:t>
            </w:r>
            <w:r>
              <w:rPr>
                <w:rFonts w:eastAsia="Times New Roman"/>
                <w:bCs/>
                <w:szCs w:val="22"/>
              </w:rPr>
              <w:br/>
              <w:t>(20c)</w:t>
            </w:r>
          </w:p>
        </w:tc>
        <w:tc>
          <w:tcPr>
            <w:tcW w:w="607" w:type="pct"/>
            <w:shd w:val="clear" w:color="auto" w:fill="auto"/>
            <w:vAlign w:val="center"/>
          </w:tcPr>
          <w:p w14:paraId="059ACBFC" w14:textId="77777777" w:rsidR="000D07EA" w:rsidRDefault="00BE7C89">
            <w:pPr>
              <w:pStyle w:val="BodyText"/>
              <w:spacing w:before="100" w:after="100"/>
              <w:jc w:val="center"/>
              <w:rPr>
                <w:rFonts w:eastAsia="Times New Roman"/>
                <w:bCs/>
                <w:szCs w:val="22"/>
              </w:rPr>
            </w:pPr>
            <w:r>
              <w:rPr>
                <w:rFonts w:eastAsia="Times New Roman"/>
                <w:bCs/>
                <w:szCs w:val="22"/>
              </w:rPr>
              <w:t>15.45c</w:t>
            </w:r>
            <w:r>
              <w:rPr>
                <w:rFonts w:eastAsia="Times New Roman"/>
                <w:bCs/>
                <w:szCs w:val="22"/>
              </w:rPr>
              <w:br/>
              <w:t>(17c)</w:t>
            </w:r>
          </w:p>
        </w:tc>
        <w:tc>
          <w:tcPr>
            <w:tcW w:w="607" w:type="pct"/>
            <w:shd w:val="clear" w:color="auto" w:fill="auto"/>
            <w:vAlign w:val="center"/>
          </w:tcPr>
          <w:p w14:paraId="1E90344D" w14:textId="77777777" w:rsidR="000D07EA" w:rsidRDefault="00BE7C89">
            <w:pPr>
              <w:pStyle w:val="BodyText"/>
              <w:spacing w:before="100" w:after="100"/>
              <w:jc w:val="center"/>
              <w:rPr>
                <w:rFonts w:eastAsia="Times New Roman"/>
                <w:bCs/>
                <w:szCs w:val="22"/>
              </w:rPr>
            </w:pPr>
            <w:r>
              <w:rPr>
                <w:rFonts w:eastAsia="Times New Roman"/>
                <w:bCs/>
                <w:szCs w:val="22"/>
              </w:rPr>
              <w:t>11.81c</w:t>
            </w:r>
            <w:r>
              <w:rPr>
                <w:rFonts w:eastAsia="Times New Roman"/>
                <w:bCs/>
                <w:szCs w:val="22"/>
              </w:rPr>
              <w:br/>
              <w:t>(13c)</w:t>
            </w:r>
          </w:p>
        </w:tc>
        <w:tc>
          <w:tcPr>
            <w:tcW w:w="607" w:type="pct"/>
            <w:shd w:val="clear" w:color="auto" w:fill="auto"/>
            <w:vAlign w:val="center"/>
          </w:tcPr>
          <w:p w14:paraId="1D3338D4" w14:textId="77777777" w:rsidR="000D07EA" w:rsidRDefault="00BE7C89">
            <w:pPr>
              <w:pStyle w:val="BodyText"/>
              <w:spacing w:before="100" w:after="100"/>
              <w:jc w:val="center"/>
              <w:rPr>
                <w:rFonts w:eastAsia="Times New Roman"/>
                <w:bCs/>
                <w:szCs w:val="22"/>
              </w:rPr>
            </w:pPr>
            <w:r>
              <w:rPr>
                <w:rFonts w:eastAsia="Times New Roman"/>
                <w:bCs/>
                <w:szCs w:val="22"/>
              </w:rPr>
              <w:t>10.90c</w:t>
            </w:r>
            <w:r>
              <w:rPr>
                <w:rFonts w:eastAsia="Times New Roman"/>
                <w:bCs/>
                <w:szCs w:val="22"/>
              </w:rPr>
              <w:br/>
              <w:t>(12c)</w:t>
            </w:r>
          </w:p>
        </w:tc>
        <w:tc>
          <w:tcPr>
            <w:tcW w:w="606" w:type="pct"/>
            <w:shd w:val="clear" w:color="auto" w:fill="auto"/>
            <w:vAlign w:val="center"/>
          </w:tcPr>
          <w:p w14:paraId="5117E219" w14:textId="77777777" w:rsidR="000D07EA" w:rsidRDefault="00BE7C89">
            <w:pPr>
              <w:pStyle w:val="BodyText"/>
              <w:spacing w:before="100" w:after="100"/>
              <w:jc w:val="center"/>
              <w:rPr>
                <w:rFonts w:eastAsia="Times New Roman"/>
                <w:bCs/>
                <w:szCs w:val="22"/>
              </w:rPr>
            </w:pPr>
            <w:r>
              <w:rPr>
                <w:rFonts w:eastAsia="Times New Roman"/>
                <w:bCs/>
                <w:szCs w:val="22"/>
              </w:rPr>
              <w:t>10c</w:t>
            </w:r>
            <w:r>
              <w:rPr>
                <w:rFonts w:eastAsia="Times New Roman"/>
                <w:bCs/>
                <w:szCs w:val="22"/>
              </w:rPr>
              <w:br/>
              <w:t>(11c)</w:t>
            </w:r>
          </w:p>
        </w:tc>
      </w:tr>
      <w:tr w:rsidR="000D07EA" w14:paraId="21042629" w14:textId="77777777">
        <w:tc>
          <w:tcPr>
            <w:tcW w:w="1968" w:type="pct"/>
            <w:shd w:val="clear" w:color="auto" w:fill="auto"/>
            <w:vAlign w:val="center"/>
          </w:tcPr>
          <w:p w14:paraId="55197A1C" w14:textId="77777777" w:rsidR="000D07EA" w:rsidRDefault="00BE7C89">
            <w:pPr>
              <w:pStyle w:val="BodyText"/>
              <w:spacing w:before="100" w:after="100"/>
              <w:rPr>
                <w:rFonts w:eastAsia="Times New Roman"/>
                <w:b/>
                <w:bCs/>
                <w:szCs w:val="22"/>
              </w:rPr>
            </w:pPr>
            <w:r>
              <w:rPr>
                <w:rFonts w:eastAsia="Times New Roman"/>
                <w:b/>
                <w:bCs/>
                <w:szCs w:val="22"/>
              </w:rPr>
              <w:t>Calls to landline (national) ^</w:t>
            </w:r>
          </w:p>
        </w:tc>
        <w:tc>
          <w:tcPr>
            <w:tcW w:w="607" w:type="pct"/>
            <w:shd w:val="clear" w:color="auto" w:fill="auto"/>
            <w:vAlign w:val="center"/>
          </w:tcPr>
          <w:p w14:paraId="4D6E5DB6" w14:textId="77777777" w:rsidR="000D07EA" w:rsidRDefault="00BE7C89">
            <w:pPr>
              <w:pStyle w:val="BodyText"/>
              <w:spacing w:before="100" w:after="100"/>
              <w:jc w:val="center"/>
              <w:rPr>
                <w:rFonts w:eastAsia="Times New Roman"/>
                <w:bCs/>
                <w:szCs w:val="22"/>
              </w:rPr>
            </w:pPr>
            <w:r>
              <w:rPr>
                <w:rFonts w:eastAsia="Times New Roman"/>
                <w:bCs/>
                <w:szCs w:val="22"/>
              </w:rPr>
              <w:t>18.18c</w:t>
            </w:r>
            <w:r>
              <w:rPr>
                <w:rFonts w:eastAsia="Times New Roman"/>
                <w:bCs/>
                <w:szCs w:val="22"/>
              </w:rPr>
              <w:br/>
              <w:t>(20c)</w:t>
            </w:r>
          </w:p>
        </w:tc>
        <w:tc>
          <w:tcPr>
            <w:tcW w:w="607" w:type="pct"/>
            <w:shd w:val="clear" w:color="auto" w:fill="auto"/>
            <w:vAlign w:val="center"/>
          </w:tcPr>
          <w:p w14:paraId="1E0DEB48" w14:textId="77777777" w:rsidR="000D07EA" w:rsidRDefault="00BE7C89">
            <w:pPr>
              <w:pStyle w:val="BodyText"/>
              <w:spacing w:before="100" w:after="100"/>
              <w:jc w:val="center"/>
              <w:rPr>
                <w:rFonts w:eastAsia="Times New Roman"/>
                <w:bCs/>
                <w:szCs w:val="22"/>
              </w:rPr>
            </w:pPr>
            <w:r>
              <w:rPr>
                <w:rFonts w:eastAsia="Times New Roman"/>
                <w:bCs/>
                <w:szCs w:val="22"/>
              </w:rPr>
              <w:t>15.45c</w:t>
            </w:r>
            <w:r>
              <w:rPr>
                <w:rFonts w:eastAsia="Times New Roman"/>
                <w:bCs/>
                <w:szCs w:val="22"/>
              </w:rPr>
              <w:br/>
              <w:t>(17c)</w:t>
            </w:r>
          </w:p>
        </w:tc>
        <w:tc>
          <w:tcPr>
            <w:tcW w:w="607" w:type="pct"/>
            <w:shd w:val="clear" w:color="auto" w:fill="auto"/>
            <w:vAlign w:val="center"/>
          </w:tcPr>
          <w:p w14:paraId="1707ECAB" w14:textId="77777777" w:rsidR="000D07EA" w:rsidRDefault="00BE7C89">
            <w:pPr>
              <w:pStyle w:val="BodyText"/>
              <w:spacing w:before="100" w:after="100"/>
              <w:jc w:val="center"/>
              <w:rPr>
                <w:rFonts w:eastAsia="Times New Roman"/>
                <w:bCs/>
                <w:szCs w:val="22"/>
              </w:rPr>
            </w:pPr>
            <w:r>
              <w:rPr>
                <w:rFonts w:eastAsia="Times New Roman"/>
                <w:bCs/>
                <w:szCs w:val="22"/>
              </w:rPr>
              <w:t>11.81c</w:t>
            </w:r>
            <w:r>
              <w:rPr>
                <w:rFonts w:eastAsia="Times New Roman"/>
                <w:bCs/>
                <w:szCs w:val="22"/>
              </w:rPr>
              <w:br/>
              <w:t>(13c)</w:t>
            </w:r>
          </w:p>
        </w:tc>
        <w:tc>
          <w:tcPr>
            <w:tcW w:w="607" w:type="pct"/>
            <w:shd w:val="clear" w:color="auto" w:fill="auto"/>
            <w:vAlign w:val="center"/>
          </w:tcPr>
          <w:p w14:paraId="260F28D9" w14:textId="77777777" w:rsidR="000D07EA" w:rsidRDefault="00BE7C89">
            <w:pPr>
              <w:pStyle w:val="BodyText"/>
              <w:spacing w:before="100" w:after="100"/>
              <w:jc w:val="center"/>
              <w:rPr>
                <w:rFonts w:eastAsia="Times New Roman"/>
                <w:bCs/>
                <w:szCs w:val="22"/>
              </w:rPr>
            </w:pPr>
            <w:r>
              <w:rPr>
                <w:rFonts w:eastAsia="Times New Roman"/>
                <w:bCs/>
                <w:szCs w:val="22"/>
              </w:rPr>
              <w:t>10.90c</w:t>
            </w:r>
            <w:r>
              <w:rPr>
                <w:rFonts w:eastAsia="Times New Roman"/>
                <w:bCs/>
                <w:szCs w:val="22"/>
              </w:rPr>
              <w:br/>
              <w:t>(12c)</w:t>
            </w:r>
          </w:p>
        </w:tc>
        <w:tc>
          <w:tcPr>
            <w:tcW w:w="606" w:type="pct"/>
            <w:shd w:val="clear" w:color="auto" w:fill="auto"/>
            <w:vAlign w:val="center"/>
          </w:tcPr>
          <w:p w14:paraId="2E9EE6AC" w14:textId="77777777" w:rsidR="000D07EA" w:rsidRDefault="00BE7C89">
            <w:pPr>
              <w:pStyle w:val="BodyText"/>
              <w:spacing w:before="100" w:after="100"/>
              <w:jc w:val="center"/>
              <w:rPr>
                <w:rFonts w:eastAsia="Times New Roman"/>
                <w:bCs/>
                <w:szCs w:val="22"/>
              </w:rPr>
            </w:pPr>
            <w:r>
              <w:rPr>
                <w:rFonts w:eastAsia="Times New Roman"/>
                <w:bCs/>
                <w:szCs w:val="22"/>
              </w:rPr>
              <w:t>10c</w:t>
            </w:r>
            <w:r>
              <w:rPr>
                <w:rFonts w:eastAsia="Times New Roman"/>
                <w:bCs/>
                <w:szCs w:val="22"/>
              </w:rPr>
              <w:br/>
              <w:t>(11c)</w:t>
            </w:r>
          </w:p>
        </w:tc>
      </w:tr>
      <w:tr w:rsidR="000D07EA" w14:paraId="6A5DD51E" w14:textId="77777777">
        <w:tc>
          <w:tcPr>
            <w:tcW w:w="1968" w:type="pct"/>
            <w:shd w:val="clear" w:color="auto" w:fill="auto"/>
            <w:vAlign w:val="center"/>
          </w:tcPr>
          <w:p w14:paraId="3738A5EC" w14:textId="77777777" w:rsidR="000D07EA" w:rsidRDefault="00BE7C89">
            <w:pPr>
              <w:pStyle w:val="BodyText"/>
              <w:spacing w:before="100" w:after="100"/>
              <w:rPr>
                <w:rFonts w:eastAsia="Times New Roman"/>
                <w:b/>
                <w:bCs/>
                <w:szCs w:val="22"/>
              </w:rPr>
            </w:pPr>
            <w:r>
              <w:rPr>
                <w:rFonts w:eastAsia="Times New Roman"/>
                <w:b/>
                <w:bCs/>
                <w:szCs w:val="22"/>
              </w:rPr>
              <w:t xml:space="preserve">SmartFleet </w:t>
            </w:r>
            <w:r>
              <w:rPr>
                <w:rFonts w:eastAsia="Times New Roman"/>
                <w:b/>
                <w:bCs/>
                <w:szCs w:val="22"/>
                <w:vertAlign w:val="superscript"/>
              </w:rPr>
              <w:t>+</w:t>
            </w:r>
          </w:p>
        </w:tc>
        <w:tc>
          <w:tcPr>
            <w:tcW w:w="3032" w:type="pct"/>
            <w:gridSpan w:val="5"/>
            <w:shd w:val="clear" w:color="auto" w:fill="auto"/>
            <w:vAlign w:val="center"/>
          </w:tcPr>
          <w:p w14:paraId="13421CF6" w14:textId="77777777" w:rsidR="000D07EA" w:rsidRDefault="00BE7C89">
            <w:pPr>
              <w:pStyle w:val="BodyText"/>
              <w:spacing w:before="100" w:after="100"/>
              <w:jc w:val="center"/>
              <w:rPr>
                <w:rFonts w:eastAsia="Times New Roman"/>
                <w:bCs/>
                <w:szCs w:val="22"/>
              </w:rPr>
            </w:pPr>
            <w:r>
              <w:rPr>
                <w:rFonts w:eastAsia="Times New Roman"/>
                <w:bCs/>
                <w:szCs w:val="22"/>
              </w:rPr>
              <w:t>Free calls, SMS and MMS 24 x 7 to other mobiles on your business account</w:t>
            </w:r>
          </w:p>
        </w:tc>
      </w:tr>
      <w:tr w:rsidR="000D07EA" w14:paraId="04BE2E37" w14:textId="77777777">
        <w:tc>
          <w:tcPr>
            <w:tcW w:w="1968" w:type="pct"/>
            <w:shd w:val="clear" w:color="auto" w:fill="auto"/>
            <w:vAlign w:val="center"/>
          </w:tcPr>
          <w:p w14:paraId="2CC5D23E" w14:textId="77777777" w:rsidR="000D07EA" w:rsidRDefault="00BE7C89">
            <w:pPr>
              <w:pStyle w:val="BodyText"/>
              <w:spacing w:before="100" w:after="100"/>
              <w:rPr>
                <w:rFonts w:eastAsia="Times New Roman"/>
                <w:b/>
                <w:bCs/>
                <w:i/>
                <w:szCs w:val="22"/>
              </w:rPr>
            </w:pPr>
            <w:r>
              <w:rPr>
                <w:rFonts w:eastAsia="Times New Roman"/>
                <w:b/>
                <w:bCs/>
                <w:i/>
                <w:szCs w:val="22"/>
              </w:rPr>
              <w:t>Minimum term</w:t>
            </w:r>
          </w:p>
        </w:tc>
        <w:tc>
          <w:tcPr>
            <w:tcW w:w="607" w:type="pct"/>
            <w:shd w:val="clear" w:color="auto" w:fill="auto"/>
            <w:vAlign w:val="center"/>
          </w:tcPr>
          <w:p w14:paraId="3C1F4F0B" w14:textId="77777777" w:rsidR="000D07EA" w:rsidRDefault="00BE7C89">
            <w:pPr>
              <w:pStyle w:val="BodyText"/>
              <w:spacing w:before="100" w:after="100"/>
              <w:jc w:val="center"/>
              <w:rPr>
                <w:rFonts w:eastAsia="Times New Roman"/>
                <w:bCs/>
                <w:szCs w:val="22"/>
              </w:rPr>
            </w:pPr>
            <w:r>
              <w:rPr>
                <w:rFonts w:eastAsia="Times New Roman"/>
                <w:bCs/>
                <w:szCs w:val="22"/>
              </w:rPr>
              <w:t>12 or 24 months</w:t>
            </w:r>
          </w:p>
        </w:tc>
        <w:tc>
          <w:tcPr>
            <w:tcW w:w="607" w:type="pct"/>
            <w:shd w:val="clear" w:color="auto" w:fill="auto"/>
            <w:vAlign w:val="center"/>
          </w:tcPr>
          <w:p w14:paraId="18282D85" w14:textId="77777777" w:rsidR="000D07EA" w:rsidRDefault="00BE7C89">
            <w:pPr>
              <w:pStyle w:val="BodyText"/>
              <w:spacing w:before="100" w:after="100"/>
              <w:jc w:val="center"/>
              <w:rPr>
                <w:rFonts w:eastAsia="Times New Roman"/>
                <w:bCs/>
                <w:szCs w:val="22"/>
              </w:rPr>
            </w:pPr>
            <w:r>
              <w:rPr>
                <w:rFonts w:eastAsia="Times New Roman"/>
                <w:bCs/>
                <w:szCs w:val="22"/>
              </w:rPr>
              <w:t>12 or 24 months</w:t>
            </w:r>
          </w:p>
        </w:tc>
        <w:tc>
          <w:tcPr>
            <w:tcW w:w="607" w:type="pct"/>
            <w:shd w:val="clear" w:color="auto" w:fill="auto"/>
            <w:vAlign w:val="center"/>
          </w:tcPr>
          <w:p w14:paraId="5866F698" w14:textId="77777777" w:rsidR="000D07EA" w:rsidRDefault="00BE7C89">
            <w:pPr>
              <w:pStyle w:val="BodyText"/>
              <w:spacing w:before="100" w:after="100"/>
              <w:jc w:val="center"/>
              <w:rPr>
                <w:rFonts w:eastAsia="Times New Roman"/>
                <w:bCs/>
                <w:szCs w:val="22"/>
              </w:rPr>
            </w:pPr>
            <w:r>
              <w:rPr>
                <w:rFonts w:eastAsia="Times New Roman"/>
                <w:bCs/>
                <w:szCs w:val="22"/>
              </w:rPr>
              <w:t>12 or 24 months</w:t>
            </w:r>
          </w:p>
        </w:tc>
        <w:tc>
          <w:tcPr>
            <w:tcW w:w="607" w:type="pct"/>
            <w:shd w:val="clear" w:color="auto" w:fill="auto"/>
            <w:vAlign w:val="center"/>
          </w:tcPr>
          <w:p w14:paraId="010F16AA" w14:textId="77777777" w:rsidR="000D07EA" w:rsidRDefault="00BE7C89">
            <w:pPr>
              <w:pStyle w:val="BodyText"/>
              <w:spacing w:before="100" w:after="100"/>
              <w:jc w:val="center"/>
              <w:rPr>
                <w:rFonts w:eastAsia="Times New Roman"/>
                <w:bCs/>
                <w:szCs w:val="22"/>
              </w:rPr>
            </w:pPr>
            <w:r>
              <w:rPr>
                <w:rFonts w:eastAsia="Times New Roman"/>
                <w:bCs/>
                <w:szCs w:val="22"/>
              </w:rPr>
              <w:t>12 or 24 months</w:t>
            </w:r>
          </w:p>
        </w:tc>
        <w:tc>
          <w:tcPr>
            <w:tcW w:w="606" w:type="pct"/>
            <w:shd w:val="clear" w:color="auto" w:fill="auto"/>
            <w:vAlign w:val="center"/>
          </w:tcPr>
          <w:p w14:paraId="3AE52B62" w14:textId="77777777" w:rsidR="000D07EA" w:rsidRDefault="00BE7C89">
            <w:pPr>
              <w:pStyle w:val="BodyText"/>
              <w:spacing w:before="100" w:after="100"/>
              <w:jc w:val="center"/>
              <w:rPr>
                <w:rFonts w:eastAsia="Times New Roman"/>
                <w:bCs/>
                <w:szCs w:val="22"/>
              </w:rPr>
            </w:pPr>
            <w:r>
              <w:rPr>
                <w:rFonts w:eastAsia="Times New Roman"/>
                <w:bCs/>
                <w:szCs w:val="22"/>
              </w:rPr>
              <w:t>12 or 24 months</w:t>
            </w:r>
          </w:p>
        </w:tc>
      </w:tr>
    </w:tbl>
    <w:p w14:paraId="0EFFAA3B" w14:textId="77777777" w:rsidR="000D07EA" w:rsidRDefault="00BE7C89">
      <w:pPr>
        <w:pStyle w:val="BodyText"/>
        <w:spacing w:after="0"/>
        <w:ind w:left="1440"/>
        <w:rPr>
          <w:sz w:val="16"/>
          <w:szCs w:val="16"/>
        </w:rPr>
      </w:pPr>
      <w:r>
        <w:rPr>
          <w:sz w:val="16"/>
          <w:szCs w:val="16"/>
        </w:rPr>
        <w:t>Note: All rates are per 30 seconds unless otherwise noted.</w:t>
      </w:r>
      <w:r>
        <w:rPr>
          <w:sz w:val="16"/>
          <w:szCs w:val="16"/>
        </w:rPr>
        <w:br/>
        <w:t>The rates above exclude calls to special services and Satellite.</w:t>
      </w:r>
      <w:r>
        <w:rPr>
          <w:sz w:val="16"/>
          <w:szCs w:val="16"/>
        </w:rPr>
        <w:br/>
        <w:t>^ Billed per second.</w:t>
      </w:r>
      <w:r>
        <w:rPr>
          <w:sz w:val="16"/>
          <w:szCs w:val="16"/>
        </w:rPr>
        <w:br/>
        <w:t xml:space="preserve">+ No </w:t>
      </w:r>
      <w:r>
        <w:rPr>
          <w:i/>
          <w:sz w:val="16"/>
          <w:szCs w:val="16"/>
        </w:rPr>
        <w:t>flagfall</w:t>
      </w:r>
      <w:r>
        <w:rPr>
          <w:sz w:val="16"/>
          <w:szCs w:val="16"/>
        </w:rPr>
        <w:t xml:space="preserve"> applies. </w:t>
      </w:r>
    </w:p>
    <w:p w14:paraId="01326065" w14:textId="77777777" w:rsidR="000D07EA" w:rsidRDefault="00BE7C89">
      <w:pPr>
        <w:pStyle w:val="BodyText"/>
        <w:spacing w:before="240"/>
        <w:ind w:left="1440"/>
        <w:rPr>
          <w:rFonts w:eastAsia="Times New Roman"/>
          <w:bCs/>
          <w:szCs w:val="22"/>
        </w:rPr>
      </w:pPr>
      <w:r>
        <w:rPr>
          <w:rFonts w:eastAsia="Times New Roman"/>
          <w:bCs/>
          <w:szCs w:val="22"/>
        </w:rPr>
        <w:t xml:space="preserve">If a different minimum </w:t>
      </w:r>
      <w:r>
        <w:t>monthly</w:t>
      </w:r>
      <w:r>
        <w:rPr>
          <w:rFonts w:eastAsia="Times New Roman"/>
          <w:bCs/>
          <w:szCs w:val="22"/>
        </w:rPr>
        <w:t xml:space="preserve"> </w:t>
      </w:r>
      <w:r>
        <w:rPr>
          <w:rFonts w:eastAsia="Times New Roman"/>
          <w:bCs/>
          <w:i/>
          <w:szCs w:val="22"/>
        </w:rPr>
        <w:t>spend</w:t>
      </w:r>
      <w:r>
        <w:rPr>
          <w:rFonts w:eastAsia="Times New Roman"/>
          <w:bCs/>
          <w:szCs w:val="22"/>
        </w:rPr>
        <w:t xml:space="preserve"> is agreed with </w:t>
      </w:r>
      <w:r>
        <w:rPr>
          <w:rFonts w:eastAsia="Times New Roman"/>
          <w:bCs/>
          <w:i/>
          <w:szCs w:val="22"/>
        </w:rPr>
        <w:t>you</w:t>
      </w:r>
      <w:r>
        <w:rPr>
          <w:rFonts w:eastAsia="Times New Roman"/>
          <w:bCs/>
          <w:szCs w:val="22"/>
        </w:rPr>
        <w:t xml:space="preserve">, the monthly charge will be adjusted accordingly. The standard call exclusions (see </w:t>
      </w:r>
      <w:hyperlink r:id="rId70" w:history="1">
        <w:r>
          <w:rPr>
            <w:rStyle w:val="Hyperlink"/>
            <w:rFonts w:eastAsia="Times New Roman"/>
            <w:bCs/>
            <w:szCs w:val="22"/>
          </w:rPr>
          <w:t>section 1</w:t>
        </w:r>
      </w:hyperlink>
      <w:r>
        <w:rPr>
          <w:rFonts w:eastAsia="Times New Roman"/>
          <w:bCs/>
          <w:szCs w:val="22"/>
        </w:rPr>
        <w:t xml:space="preserve"> of this </w:t>
      </w:r>
      <w:r>
        <w:rPr>
          <w:rFonts w:eastAsia="Times New Roman"/>
          <w:bCs/>
          <w:i/>
          <w:szCs w:val="22"/>
        </w:rPr>
        <w:t>standard pricing table</w:t>
      </w:r>
      <w:r>
        <w:rPr>
          <w:rFonts w:eastAsia="Times New Roman"/>
          <w:bCs/>
          <w:szCs w:val="22"/>
        </w:rPr>
        <w:t>) apply to the monthly included calls.</w:t>
      </w:r>
    </w:p>
    <w:p w14:paraId="04A8B6B2" w14:textId="77777777" w:rsidR="000D07EA" w:rsidRDefault="00BE7C89">
      <w:pPr>
        <w:pStyle w:val="Heading6"/>
        <w:ind w:left="0" w:firstLine="0"/>
      </w:pPr>
      <w:r>
        <w:t xml:space="preserve">What happens if the </w:t>
      </w:r>
      <w:r>
        <w:rPr>
          <w:i/>
        </w:rPr>
        <w:t>service</w:t>
      </w:r>
      <w:r>
        <w:t xml:space="preserve"> is </w:t>
      </w:r>
      <w:r>
        <w:rPr>
          <w:i/>
        </w:rPr>
        <w:t>cancelled</w:t>
      </w:r>
      <w:r>
        <w:t xml:space="preserve"> early?</w:t>
      </w:r>
    </w:p>
    <w:p w14:paraId="57758063" w14:textId="77777777" w:rsidR="000D07EA" w:rsidRDefault="00BE7C89">
      <w:pPr>
        <w:pStyle w:val="Heading7"/>
        <w:rPr>
          <w:bCs/>
          <w:szCs w:val="22"/>
        </w:rPr>
      </w:pPr>
      <w:r>
        <w:t xml:space="preserve">If </w:t>
      </w:r>
      <w:r>
        <w:rPr>
          <w:i/>
        </w:rPr>
        <w:t>you</w:t>
      </w:r>
      <w:r>
        <w:t xml:space="preserve"> cease to be an approved company </w:t>
      </w:r>
      <w:r>
        <w:rPr>
          <w:i/>
        </w:rPr>
        <w:t>you</w:t>
      </w:r>
      <w:r>
        <w:t xml:space="preserve"> may be transferred to another </w:t>
      </w:r>
      <w:r>
        <w:rPr>
          <w:i/>
        </w:rPr>
        <w:t>pricing plan</w:t>
      </w:r>
      <w:r>
        <w:t xml:space="preserve"> at </w:t>
      </w:r>
      <w:r>
        <w:rPr>
          <w:i/>
        </w:rPr>
        <w:t>our</w:t>
      </w:r>
      <w:r>
        <w:t xml:space="preserve"> discretion, or may be allowed to remain on this </w:t>
      </w:r>
      <w:r>
        <w:rPr>
          <w:i/>
        </w:rPr>
        <w:t>pricing plan</w:t>
      </w:r>
      <w:r>
        <w:t xml:space="preserve"> with the additional discounts and other benefits removed.</w:t>
      </w:r>
    </w:p>
    <w:p w14:paraId="51CB445E" w14:textId="77777777" w:rsidR="000D07EA" w:rsidRDefault="00BE7C89">
      <w:pPr>
        <w:pStyle w:val="Heading7"/>
        <w:rPr>
          <w:bCs/>
          <w:szCs w:val="22"/>
        </w:rPr>
      </w:pPr>
      <w:r>
        <w:rPr>
          <w:bCs/>
          <w:szCs w:val="22"/>
        </w:rPr>
        <w:t xml:space="preserve">If </w:t>
      </w:r>
      <w:r>
        <w:rPr>
          <w:bCs/>
          <w:i/>
          <w:szCs w:val="22"/>
        </w:rPr>
        <w:t>the service</w:t>
      </w:r>
      <w:r>
        <w:rPr>
          <w:bCs/>
          <w:szCs w:val="22"/>
        </w:rPr>
        <w:t xml:space="preserve"> </w:t>
      </w:r>
      <w:r>
        <w:rPr>
          <w:bCs/>
          <w:i/>
          <w:szCs w:val="22"/>
        </w:rPr>
        <w:t>is cancelled</w:t>
      </w:r>
      <w:r>
        <w:rPr>
          <w:bCs/>
          <w:szCs w:val="22"/>
        </w:rPr>
        <w:t xml:space="preserve"> before the expiry of the </w:t>
      </w:r>
      <w:r>
        <w:rPr>
          <w:bCs/>
          <w:i/>
          <w:szCs w:val="22"/>
        </w:rPr>
        <w:t>minimum term</w:t>
      </w:r>
      <w:r>
        <w:rPr>
          <w:bCs/>
          <w:szCs w:val="22"/>
        </w:rPr>
        <w:t xml:space="preserve">, </w:t>
      </w:r>
      <w:r>
        <w:rPr>
          <w:bCs/>
          <w:i/>
          <w:szCs w:val="22"/>
        </w:rPr>
        <w:t>you</w:t>
      </w:r>
      <w:r>
        <w:rPr>
          <w:bCs/>
          <w:szCs w:val="22"/>
        </w:rPr>
        <w:t xml:space="preserve"> will be required to pay </w:t>
      </w:r>
      <w:r>
        <w:rPr>
          <w:bCs/>
          <w:i/>
          <w:szCs w:val="22"/>
        </w:rPr>
        <w:t>us</w:t>
      </w:r>
      <w:r>
        <w:rPr>
          <w:bCs/>
          <w:szCs w:val="22"/>
        </w:rPr>
        <w:t>:</w:t>
      </w:r>
    </w:p>
    <w:p w14:paraId="7E0AA209" w14:textId="77777777" w:rsidR="000D07EA" w:rsidRDefault="00BE7C89">
      <w:pPr>
        <w:pStyle w:val="Heading8"/>
        <w:rPr>
          <w:bCs/>
          <w:szCs w:val="22"/>
        </w:rPr>
      </w:pPr>
      <w:r>
        <w:t xml:space="preserve">any usage charges incurred up to, and including, the </w:t>
      </w:r>
      <w:r>
        <w:rPr>
          <w:i/>
        </w:rPr>
        <w:t>cancellation date</w:t>
      </w:r>
      <w:r>
        <w:t>; plus</w:t>
      </w:r>
    </w:p>
    <w:p w14:paraId="78F735F1" w14:textId="77777777" w:rsidR="000D07EA" w:rsidRDefault="00BE7C89">
      <w:pPr>
        <w:pStyle w:val="Heading8"/>
      </w:pPr>
      <w:r>
        <w:t xml:space="preserve">the </w:t>
      </w:r>
      <w:r>
        <w:rPr>
          <w:i/>
        </w:rPr>
        <w:t>cancellation fee</w:t>
      </w:r>
      <w:r>
        <w:t xml:space="preserve"> set out in the table below (unless under clause 2A of the </w:t>
      </w:r>
      <w:hyperlink r:id="rId71" w:history="1">
        <w:r>
          <w:rPr>
            <w:rStyle w:val="Hyperlink"/>
            <w:i/>
          </w:rPr>
          <w:t>SMB terms</w:t>
        </w:r>
      </w:hyperlink>
      <w:r>
        <w:t xml:space="preserve">, </w:t>
      </w:r>
      <w:r>
        <w:rPr>
          <w:i/>
        </w:rPr>
        <w:t>you</w:t>
      </w:r>
      <w:r>
        <w:t xml:space="preserve"> are entitled to </w:t>
      </w:r>
      <w:r>
        <w:rPr>
          <w:i/>
        </w:rPr>
        <w:t>cancel the service</w:t>
      </w:r>
      <w:r>
        <w:t xml:space="preserve"> without incurring a </w:t>
      </w:r>
      <w:r>
        <w:rPr>
          <w:i/>
        </w:rPr>
        <w:t>cancellation fee</w:t>
      </w:r>
      <w:r>
        <w:t>); plus</w:t>
      </w:r>
    </w:p>
    <w:p w14:paraId="3EDD565D" w14:textId="77777777" w:rsidR="000D07EA" w:rsidRDefault="00BE7C89">
      <w:pPr>
        <w:pStyle w:val="Heading8"/>
      </w:pPr>
      <w:r>
        <w:t xml:space="preserve">the sum of unpaid </w:t>
      </w:r>
      <w:r>
        <w:rPr>
          <w:i/>
        </w:rPr>
        <w:t>equipment charges</w:t>
      </w:r>
      <w:r>
        <w:t xml:space="preserve"> owing on </w:t>
      </w:r>
      <w:r>
        <w:rPr>
          <w:i/>
        </w:rPr>
        <w:t>your mobile phone</w:t>
      </w:r>
      <w:r>
        <w:t xml:space="preserve"> under the </w:t>
      </w:r>
      <w:r>
        <w:rPr>
          <w:i/>
        </w:rPr>
        <w:t>mobile equipment payment plan</w:t>
      </w:r>
      <w:r>
        <w:t xml:space="preserve"> (if any).</w:t>
      </w:r>
    </w:p>
    <w:p w14:paraId="4C46F258" w14:textId="77777777" w:rsidR="000D07EA" w:rsidRDefault="00BE7C89">
      <w:pPr>
        <w:pStyle w:val="Heading7"/>
      </w:pPr>
      <w:r>
        <w:t xml:space="preserve">Some special promotions may vary the minimum call spend requirement or discounts available, and variation will not be taken into account when determining the </w:t>
      </w:r>
      <w:r>
        <w:rPr>
          <w:i/>
        </w:rPr>
        <w:t>cancellation fee</w:t>
      </w:r>
      <w:r>
        <w:t>.</w:t>
      </w:r>
    </w:p>
    <w:p w14:paraId="58CBFB86" w14:textId="77777777" w:rsidR="000D07EA" w:rsidRDefault="00BE7C89">
      <w:pPr>
        <w:pStyle w:val="Heading7"/>
      </w:pPr>
      <w:r>
        <w:t xml:space="preserve">The </w:t>
      </w:r>
      <w:r>
        <w:rPr>
          <w:i/>
        </w:rPr>
        <w:t>cancellation fee</w:t>
      </w:r>
      <w:r>
        <w:t xml:space="preserve"> payable under paragraph </w:t>
      </w:r>
      <w:r w:rsidR="00EE7426" w:rsidRPr="00272628">
        <w:t>74</w:t>
      </w:r>
      <w:r w:rsidRPr="00272628">
        <w:t xml:space="preserve">.5(b) </w:t>
      </w:r>
      <w:r>
        <w:t>(if any) is calculated as follows:</w:t>
      </w:r>
    </w:p>
    <w:p w14:paraId="247D308D" w14:textId="77777777" w:rsidR="000D07EA" w:rsidRDefault="00BE7C89">
      <w:pPr>
        <w:pStyle w:val="Heading8"/>
      </w:pPr>
      <w:r>
        <w:t xml:space="preserve">If </w:t>
      </w:r>
      <w:r>
        <w:rPr>
          <w:i/>
        </w:rPr>
        <w:t>you</w:t>
      </w:r>
      <w:r>
        <w:t xml:space="preserve"> connected before 28 July 2008:</w:t>
      </w:r>
    </w:p>
    <w:p w14:paraId="71BC6823" w14:textId="77777777" w:rsidR="000D07EA" w:rsidRDefault="00BE7C89">
      <w:pPr>
        <w:pStyle w:val="Heading9"/>
      </w:pPr>
      <w:r>
        <w:t xml:space="preserve">If </w:t>
      </w:r>
      <w:r>
        <w:rPr>
          <w:i/>
        </w:rPr>
        <w:t>you</w:t>
      </w:r>
      <w:r>
        <w:t xml:space="preserve"> are on a 24 month </w:t>
      </w:r>
      <w:r>
        <w:rPr>
          <w:i/>
        </w:rPr>
        <w:t>pricing plan</w:t>
      </w:r>
      <w:r>
        <w:t xml:space="preserve">, the </w:t>
      </w:r>
      <w:r>
        <w:rPr>
          <w:i/>
        </w:rPr>
        <w:t>cancellation fee</w:t>
      </w:r>
      <w:r>
        <w:t xml:space="preserve"> between months 0-12 is:</w:t>
      </w:r>
    </w:p>
    <w:tbl>
      <w:tblPr>
        <w:tblW w:w="0" w:type="auto"/>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3"/>
        <w:gridCol w:w="1773"/>
        <w:gridCol w:w="1773"/>
        <w:gridCol w:w="1773"/>
        <w:gridCol w:w="1774"/>
      </w:tblGrid>
      <w:tr w:rsidR="000D07EA" w14:paraId="03FE0E28" w14:textId="77777777">
        <w:tc>
          <w:tcPr>
            <w:tcW w:w="1863" w:type="dxa"/>
            <w:shd w:val="clear" w:color="auto" w:fill="auto"/>
            <w:vAlign w:val="center"/>
          </w:tcPr>
          <w:p w14:paraId="63F3FB87" w14:textId="77777777" w:rsidR="000D07EA" w:rsidRDefault="00BE7C89">
            <w:pPr>
              <w:pStyle w:val="BodyText"/>
              <w:spacing w:before="100" w:after="100"/>
              <w:jc w:val="center"/>
              <w:rPr>
                <w:rFonts w:eastAsia="Times New Roman"/>
                <w:b/>
                <w:bCs/>
                <w:szCs w:val="22"/>
              </w:rPr>
            </w:pPr>
            <w:r>
              <w:rPr>
                <w:rFonts w:eastAsia="Times New Roman"/>
                <w:b/>
                <w:bCs/>
                <w:szCs w:val="22"/>
              </w:rPr>
              <w:t xml:space="preserve">'yes' Business Smart 20+ </w:t>
            </w:r>
            <w:r>
              <w:rPr>
                <w:rFonts w:eastAsia="Times New Roman"/>
                <w:b/>
                <w:bCs/>
                <w:szCs w:val="22"/>
              </w:rPr>
              <w:br/>
              <w:t>25 Plan</w:t>
            </w:r>
          </w:p>
        </w:tc>
        <w:tc>
          <w:tcPr>
            <w:tcW w:w="1773" w:type="dxa"/>
            <w:shd w:val="clear" w:color="auto" w:fill="auto"/>
            <w:vAlign w:val="center"/>
          </w:tcPr>
          <w:p w14:paraId="22054AC7" w14:textId="77777777" w:rsidR="000D07EA" w:rsidRDefault="00BE7C89">
            <w:pPr>
              <w:pStyle w:val="BodyText"/>
              <w:spacing w:before="100" w:after="100"/>
              <w:jc w:val="center"/>
              <w:rPr>
                <w:rFonts w:eastAsia="Times New Roman"/>
                <w:b/>
                <w:bCs/>
                <w:szCs w:val="22"/>
              </w:rPr>
            </w:pPr>
            <w:r>
              <w:rPr>
                <w:rFonts w:eastAsia="Times New Roman"/>
                <w:b/>
                <w:bCs/>
                <w:szCs w:val="22"/>
              </w:rPr>
              <w:t xml:space="preserve">'yes' Business Smart 20+ </w:t>
            </w:r>
            <w:r>
              <w:rPr>
                <w:rFonts w:eastAsia="Times New Roman"/>
                <w:b/>
                <w:bCs/>
                <w:szCs w:val="22"/>
              </w:rPr>
              <w:br/>
              <w:t>40 Plan</w:t>
            </w:r>
          </w:p>
        </w:tc>
        <w:tc>
          <w:tcPr>
            <w:tcW w:w="1773" w:type="dxa"/>
            <w:shd w:val="clear" w:color="auto" w:fill="auto"/>
            <w:vAlign w:val="center"/>
          </w:tcPr>
          <w:p w14:paraId="40127AE0" w14:textId="77777777" w:rsidR="000D07EA" w:rsidRDefault="00BE7C89">
            <w:pPr>
              <w:pStyle w:val="BodyText"/>
              <w:spacing w:before="100" w:after="100"/>
              <w:jc w:val="center"/>
              <w:rPr>
                <w:rFonts w:eastAsia="Times New Roman"/>
                <w:b/>
                <w:bCs/>
                <w:szCs w:val="22"/>
              </w:rPr>
            </w:pPr>
            <w:r>
              <w:rPr>
                <w:rFonts w:eastAsia="Times New Roman"/>
                <w:b/>
                <w:bCs/>
                <w:szCs w:val="22"/>
              </w:rPr>
              <w:t xml:space="preserve">'yes' Business Smart 20+ </w:t>
            </w:r>
            <w:r>
              <w:rPr>
                <w:rFonts w:eastAsia="Times New Roman"/>
                <w:b/>
                <w:bCs/>
                <w:szCs w:val="22"/>
              </w:rPr>
              <w:br/>
              <w:t>60 Plan</w:t>
            </w:r>
          </w:p>
        </w:tc>
        <w:tc>
          <w:tcPr>
            <w:tcW w:w="1773" w:type="dxa"/>
            <w:shd w:val="clear" w:color="auto" w:fill="auto"/>
            <w:vAlign w:val="center"/>
          </w:tcPr>
          <w:p w14:paraId="2000C143" w14:textId="77777777" w:rsidR="000D07EA" w:rsidRDefault="00BE7C89">
            <w:pPr>
              <w:pStyle w:val="BodyText"/>
              <w:spacing w:before="100" w:after="100"/>
              <w:jc w:val="center"/>
              <w:rPr>
                <w:rFonts w:eastAsia="Times New Roman"/>
                <w:b/>
                <w:bCs/>
                <w:szCs w:val="22"/>
              </w:rPr>
            </w:pPr>
            <w:r>
              <w:rPr>
                <w:rFonts w:eastAsia="Times New Roman"/>
                <w:b/>
                <w:bCs/>
                <w:szCs w:val="22"/>
              </w:rPr>
              <w:t xml:space="preserve">'yes' Business Smart 20+ </w:t>
            </w:r>
            <w:r>
              <w:rPr>
                <w:rFonts w:eastAsia="Times New Roman"/>
                <w:b/>
                <w:bCs/>
                <w:szCs w:val="22"/>
              </w:rPr>
              <w:br/>
              <w:t>80 Plan</w:t>
            </w:r>
          </w:p>
        </w:tc>
        <w:tc>
          <w:tcPr>
            <w:tcW w:w="1774" w:type="dxa"/>
            <w:shd w:val="clear" w:color="auto" w:fill="auto"/>
            <w:vAlign w:val="center"/>
          </w:tcPr>
          <w:p w14:paraId="5802F1AB" w14:textId="77777777" w:rsidR="000D07EA" w:rsidRDefault="00BE7C89">
            <w:pPr>
              <w:pStyle w:val="BodyText"/>
              <w:spacing w:before="100" w:after="100"/>
              <w:jc w:val="center"/>
              <w:rPr>
                <w:rFonts w:eastAsia="Times New Roman"/>
                <w:b/>
                <w:bCs/>
                <w:szCs w:val="22"/>
              </w:rPr>
            </w:pPr>
            <w:r>
              <w:rPr>
                <w:rFonts w:eastAsia="Times New Roman"/>
                <w:b/>
                <w:bCs/>
                <w:szCs w:val="22"/>
              </w:rPr>
              <w:t xml:space="preserve">'yes' Business Smart 20+ </w:t>
            </w:r>
            <w:r>
              <w:rPr>
                <w:rFonts w:eastAsia="Times New Roman"/>
                <w:b/>
                <w:bCs/>
                <w:szCs w:val="22"/>
              </w:rPr>
              <w:br/>
              <w:t>120 Plan</w:t>
            </w:r>
          </w:p>
        </w:tc>
      </w:tr>
      <w:tr w:rsidR="000D07EA" w14:paraId="42DFA53F" w14:textId="77777777">
        <w:tc>
          <w:tcPr>
            <w:tcW w:w="1863" w:type="dxa"/>
            <w:shd w:val="clear" w:color="auto" w:fill="auto"/>
            <w:vAlign w:val="center"/>
          </w:tcPr>
          <w:p w14:paraId="4471D0A0" w14:textId="77777777" w:rsidR="000D07EA" w:rsidRDefault="00BE7C89">
            <w:pPr>
              <w:pStyle w:val="BodyText"/>
              <w:spacing w:before="100" w:after="100"/>
              <w:jc w:val="center"/>
              <w:rPr>
                <w:rFonts w:eastAsia="Times New Roman"/>
                <w:bCs/>
                <w:szCs w:val="22"/>
              </w:rPr>
            </w:pPr>
            <w:r>
              <w:rPr>
                <w:rFonts w:eastAsia="Times New Roman"/>
                <w:bCs/>
                <w:szCs w:val="22"/>
              </w:rPr>
              <w:t>$309.09</w:t>
            </w:r>
            <w:r>
              <w:rPr>
                <w:rFonts w:eastAsia="Times New Roman"/>
                <w:bCs/>
                <w:szCs w:val="22"/>
              </w:rPr>
              <w:br/>
              <w:t>($340)</w:t>
            </w:r>
          </w:p>
        </w:tc>
        <w:tc>
          <w:tcPr>
            <w:tcW w:w="1773" w:type="dxa"/>
            <w:shd w:val="clear" w:color="auto" w:fill="auto"/>
            <w:vAlign w:val="center"/>
          </w:tcPr>
          <w:p w14:paraId="5D5D5786" w14:textId="77777777" w:rsidR="000D07EA" w:rsidRDefault="00BE7C89">
            <w:pPr>
              <w:pStyle w:val="BodyText"/>
              <w:spacing w:before="100" w:after="100"/>
              <w:jc w:val="center"/>
              <w:rPr>
                <w:rFonts w:eastAsia="Times New Roman"/>
                <w:bCs/>
                <w:szCs w:val="22"/>
              </w:rPr>
            </w:pPr>
            <w:r>
              <w:rPr>
                <w:rFonts w:eastAsia="Times New Roman"/>
                <w:bCs/>
                <w:szCs w:val="22"/>
              </w:rPr>
              <w:t>$354.55</w:t>
            </w:r>
            <w:r>
              <w:rPr>
                <w:rFonts w:eastAsia="Times New Roman"/>
                <w:bCs/>
                <w:szCs w:val="22"/>
              </w:rPr>
              <w:br/>
              <w:t>($390)</w:t>
            </w:r>
          </w:p>
        </w:tc>
        <w:tc>
          <w:tcPr>
            <w:tcW w:w="1773" w:type="dxa"/>
            <w:shd w:val="clear" w:color="auto" w:fill="auto"/>
            <w:vAlign w:val="center"/>
          </w:tcPr>
          <w:p w14:paraId="60F3A1DE" w14:textId="77777777" w:rsidR="000D07EA" w:rsidRDefault="00BE7C89">
            <w:pPr>
              <w:pStyle w:val="BodyText"/>
              <w:spacing w:before="100" w:after="100"/>
              <w:jc w:val="center"/>
              <w:rPr>
                <w:rFonts w:eastAsia="Times New Roman"/>
                <w:bCs/>
                <w:szCs w:val="22"/>
              </w:rPr>
            </w:pPr>
            <w:r>
              <w:rPr>
                <w:rFonts w:eastAsia="Times New Roman"/>
                <w:bCs/>
                <w:szCs w:val="22"/>
              </w:rPr>
              <w:t>$463.64</w:t>
            </w:r>
            <w:r>
              <w:rPr>
                <w:rFonts w:eastAsia="Times New Roman"/>
                <w:bCs/>
                <w:szCs w:val="22"/>
              </w:rPr>
              <w:br/>
              <w:t>($510)</w:t>
            </w:r>
          </w:p>
        </w:tc>
        <w:tc>
          <w:tcPr>
            <w:tcW w:w="1773" w:type="dxa"/>
            <w:shd w:val="clear" w:color="auto" w:fill="auto"/>
            <w:vAlign w:val="center"/>
          </w:tcPr>
          <w:p w14:paraId="7D95BAF4" w14:textId="77777777" w:rsidR="000D07EA" w:rsidRDefault="00BE7C89">
            <w:pPr>
              <w:pStyle w:val="BodyText"/>
              <w:spacing w:before="100" w:after="100"/>
              <w:jc w:val="center"/>
              <w:rPr>
                <w:rFonts w:eastAsia="Times New Roman"/>
                <w:bCs/>
                <w:szCs w:val="22"/>
              </w:rPr>
            </w:pPr>
            <w:r>
              <w:rPr>
                <w:rFonts w:eastAsia="Times New Roman"/>
                <w:bCs/>
                <w:szCs w:val="22"/>
              </w:rPr>
              <w:t>$545.45</w:t>
            </w:r>
            <w:r>
              <w:rPr>
                <w:rFonts w:eastAsia="Times New Roman"/>
                <w:bCs/>
                <w:szCs w:val="22"/>
              </w:rPr>
              <w:br/>
              <w:t>($600)</w:t>
            </w:r>
          </w:p>
        </w:tc>
        <w:tc>
          <w:tcPr>
            <w:tcW w:w="1774" w:type="dxa"/>
            <w:shd w:val="clear" w:color="auto" w:fill="auto"/>
            <w:vAlign w:val="center"/>
          </w:tcPr>
          <w:p w14:paraId="743225C3" w14:textId="77777777" w:rsidR="000D07EA" w:rsidRDefault="00BE7C89">
            <w:pPr>
              <w:pStyle w:val="BodyText"/>
              <w:spacing w:before="100" w:after="100"/>
              <w:jc w:val="center"/>
              <w:rPr>
                <w:rFonts w:eastAsia="Times New Roman"/>
                <w:bCs/>
                <w:szCs w:val="22"/>
              </w:rPr>
            </w:pPr>
            <w:r>
              <w:rPr>
                <w:rFonts w:eastAsia="Times New Roman"/>
                <w:bCs/>
                <w:szCs w:val="22"/>
              </w:rPr>
              <w:t>$645.45</w:t>
            </w:r>
            <w:r>
              <w:rPr>
                <w:rFonts w:eastAsia="Times New Roman"/>
                <w:bCs/>
                <w:szCs w:val="22"/>
              </w:rPr>
              <w:br/>
              <w:t>($710)</w:t>
            </w:r>
          </w:p>
        </w:tc>
      </w:tr>
    </w:tbl>
    <w:p w14:paraId="18D34206" w14:textId="77777777" w:rsidR="000D07EA" w:rsidRDefault="00BE7C89">
      <w:pPr>
        <w:pStyle w:val="BodyText"/>
        <w:spacing w:before="240"/>
        <w:ind w:left="1440"/>
        <w:rPr>
          <w:rFonts w:eastAsia="Times New Roman"/>
          <w:bCs/>
          <w:szCs w:val="22"/>
        </w:rPr>
      </w:pPr>
      <w:r>
        <w:rPr>
          <w:rFonts w:eastAsia="Times New Roman"/>
          <w:bCs/>
          <w:szCs w:val="22"/>
        </w:rPr>
        <w:lastRenderedPageBreak/>
        <w:t xml:space="preserve">And for </w:t>
      </w:r>
      <w:r>
        <w:rPr>
          <w:rFonts w:eastAsia="Times New Roman"/>
          <w:bCs/>
          <w:i/>
          <w:szCs w:val="22"/>
        </w:rPr>
        <w:t>cancellations</w:t>
      </w:r>
      <w:r>
        <w:rPr>
          <w:rFonts w:eastAsia="Times New Roman"/>
          <w:bCs/>
          <w:szCs w:val="22"/>
        </w:rPr>
        <w:t xml:space="preserve"> between months 13-24, an amount in accordance with the following calculations: for months 13-15, 80% of the </w:t>
      </w:r>
      <w:r>
        <w:rPr>
          <w:rFonts w:eastAsia="Times New Roman"/>
          <w:bCs/>
          <w:i/>
          <w:szCs w:val="22"/>
        </w:rPr>
        <w:t>cancellation fee</w:t>
      </w:r>
      <w:r>
        <w:rPr>
          <w:rFonts w:eastAsia="Times New Roman"/>
          <w:bCs/>
          <w:szCs w:val="22"/>
        </w:rPr>
        <w:t xml:space="preserve">; for months 16-18, 60% of the </w:t>
      </w:r>
      <w:r>
        <w:rPr>
          <w:rFonts w:eastAsia="Times New Roman"/>
          <w:bCs/>
          <w:i/>
          <w:szCs w:val="22"/>
        </w:rPr>
        <w:t>cancellation fee</w:t>
      </w:r>
      <w:r>
        <w:rPr>
          <w:rFonts w:eastAsia="Times New Roman"/>
          <w:bCs/>
          <w:szCs w:val="22"/>
        </w:rPr>
        <w:t xml:space="preserve">; for months 19-21, 40% of the </w:t>
      </w:r>
      <w:r>
        <w:rPr>
          <w:rFonts w:eastAsia="Times New Roman"/>
          <w:bCs/>
          <w:i/>
          <w:szCs w:val="22"/>
        </w:rPr>
        <w:t>cancellation fee</w:t>
      </w:r>
      <w:r>
        <w:rPr>
          <w:rFonts w:eastAsia="Times New Roman"/>
          <w:bCs/>
          <w:szCs w:val="22"/>
        </w:rPr>
        <w:t xml:space="preserve">; for months 22-24, 20% of the </w:t>
      </w:r>
      <w:r>
        <w:rPr>
          <w:rFonts w:eastAsia="Times New Roman"/>
          <w:bCs/>
          <w:i/>
          <w:szCs w:val="22"/>
        </w:rPr>
        <w:t>cancellation fee</w:t>
      </w:r>
      <w:r>
        <w:rPr>
          <w:rFonts w:eastAsia="Times New Roman"/>
          <w:bCs/>
          <w:szCs w:val="22"/>
        </w:rPr>
        <w:t>.</w:t>
      </w:r>
    </w:p>
    <w:p w14:paraId="7B989560" w14:textId="77777777" w:rsidR="000D07EA" w:rsidRDefault="00BE7C89">
      <w:pPr>
        <w:pStyle w:val="Heading9"/>
      </w:pPr>
      <w:r>
        <w:t xml:space="preserve">If </w:t>
      </w:r>
      <w:r>
        <w:rPr>
          <w:i/>
        </w:rPr>
        <w:t>you</w:t>
      </w:r>
      <w:r>
        <w:t xml:space="preserve"> are on a 12 month </w:t>
      </w:r>
      <w:r>
        <w:rPr>
          <w:i/>
        </w:rPr>
        <w:t>pricing plan</w:t>
      </w:r>
      <w:r>
        <w:t xml:space="preserve">, the </w:t>
      </w:r>
      <w:r>
        <w:rPr>
          <w:i/>
        </w:rPr>
        <w:t>cancellation fee</w:t>
      </w:r>
      <w:r>
        <w:t xml:space="preserve"> between months 0-6 is:</w:t>
      </w:r>
    </w:p>
    <w:tbl>
      <w:tblPr>
        <w:tblW w:w="0" w:type="auto"/>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3"/>
        <w:gridCol w:w="1773"/>
        <w:gridCol w:w="1773"/>
        <w:gridCol w:w="1773"/>
        <w:gridCol w:w="1774"/>
      </w:tblGrid>
      <w:tr w:rsidR="000D07EA" w14:paraId="61780EB9" w14:textId="77777777">
        <w:tc>
          <w:tcPr>
            <w:tcW w:w="1863" w:type="dxa"/>
            <w:shd w:val="clear" w:color="auto" w:fill="auto"/>
            <w:vAlign w:val="center"/>
          </w:tcPr>
          <w:p w14:paraId="27A782BB" w14:textId="77777777" w:rsidR="000D07EA" w:rsidRDefault="00BE7C89">
            <w:pPr>
              <w:pStyle w:val="BodyText"/>
              <w:spacing w:before="100" w:after="100"/>
              <w:jc w:val="center"/>
              <w:rPr>
                <w:rFonts w:eastAsia="Times New Roman"/>
                <w:b/>
                <w:bCs/>
                <w:szCs w:val="22"/>
              </w:rPr>
            </w:pPr>
            <w:r>
              <w:rPr>
                <w:rFonts w:eastAsia="Times New Roman"/>
                <w:b/>
                <w:bCs/>
                <w:szCs w:val="22"/>
              </w:rPr>
              <w:t xml:space="preserve">'yes' Business Smart 20+ </w:t>
            </w:r>
            <w:r>
              <w:rPr>
                <w:rFonts w:eastAsia="Times New Roman"/>
                <w:b/>
                <w:bCs/>
                <w:szCs w:val="22"/>
              </w:rPr>
              <w:br/>
              <w:t>25 Plan</w:t>
            </w:r>
          </w:p>
        </w:tc>
        <w:tc>
          <w:tcPr>
            <w:tcW w:w="1773" w:type="dxa"/>
            <w:shd w:val="clear" w:color="auto" w:fill="auto"/>
            <w:vAlign w:val="center"/>
          </w:tcPr>
          <w:p w14:paraId="604F0757" w14:textId="77777777" w:rsidR="000D07EA" w:rsidRDefault="00BE7C89">
            <w:pPr>
              <w:pStyle w:val="BodyText"/>
              <w:spacing w:before="100" w:after="100"/>
              <w:jc w:val="center"/>
              <w:rPr>
                <w:rFonts w:eastAsia="Times New Roman"/>
                <w:b/>
                <w:bCs/>
                <w:szCs w:val="22"/>
              </w:rPr>
            </w:pPr>
            <w:r>
              <w:rPr>
                <w:rFonts w:eastAsia="Times New Roman"/>
                <w:b/>
                <w:bCs/>
                <w:szCs w:val="22"/>
              </w:rPr>
              <w:t xml:space="preserve">'yes' Business Smart 20+ </w:t>
            </w:r>
            <w:r>
              <w:rPr>
                <w:rFonts w:eastAsia="Times New Roman"/>
                <w:b/>
                <w:bCs/>
                <w:szCs w:val="22"/>
              </w:rPr>
              <w:br/>
              <w:t>40 Plan</w:t>
            </w:r>
          </w:p>
        </w:tc>
        <w:tc>
          <w:tcPr>
            <w:tcW w:w="1773" w:type="dxa"/>
            <w:shd w:val="clear" w:color="auto" w:fill="auto"/>
            <w:vAlign w:val="center"/>
          </w:tcPr>
          <w:p w14:paraId="52D9726A" w14:textId="77777777" w:rsidR="000D07EA" w:rsidRDefault="00BE7C89">
            <w:pPr>
              <w:pStyle w:val="BodyText"/>
              <w:spacing w:before="100" w:after="100"/>
              <w:jc w:val="center"/>
              <w:rPr>
                <w:rFonts w:eastAsia="Times New Roman"/>
                <w:b/>
                <w:bCs/>
                <w:szCs w:val="22"/>
              </w:rPr>
            </w:pPr>
            <w:r>
              <w:rPr>
                <w:rFonts w:eastAsia="Times New Roman"/>
                <w:b/>
                <w:bCs/>
                <w:szCs w:val="22"/>
              </w:rPr>
              <w:t xml:space="preserve">'yes' Business Smart 20+ </w:t>
            </w:r>
            <w:r>
              <w:rPr>
                <w:rFonts w:eastAsia="Times New Roman"/>
                <w:b/>
                <w:bCs/>
                <w:szCs w:val="22"/>
              </w:rPr>
              <w:br/>
              <w:t>60 Plan</w:t>
            </w:r>
          </w:p>
        </w:tc>
        <w:tc>
          <w:tcPr>
            <w:tcW w:w="1773" w:type="dxa"/>
            <w:shd w:val="clear" w:color="auto" w:fill="auto"/>
            <w:vAlign w:val="center"/>
          </w:tcPr>
          <w:p w14:paraId="7B07363A" w14:textId="77777777" w:rsidR="000D07EA" w:rsidRDefault="00BE7C89">
            <w:pPr>
              <w:pStyle w:val="BodyText"/>
              <w:spacing w:before="100" w:after="100"/>
              <w:jc w:val="center"/>
              <w:rPr>
                <w:rFonts w:eastAsia="Times New Roman"/>
                <w:b/>
                <w:bCs/>
                <w:szCs w:val="22"/>
              </w:rPr>
            </w:pPr>
            <w:r>
              <w:rPr>
                <w:rFonts w:eastAsia="Times New Roman"/>
                <w:b/>
                <w:bCs/>
                <w:szCs w:val="22"/>
              </w:rPr>
              <w:t xml:space="preserve">'yes' Business Smart 20+ </w:t>
            </w:r>
            <w:r>
              <w:rPr>
                <w:rFonts w:eastAsia="Times New Roman"/>
                <w:b/>
                <w:bCs/>
                <w:szCs w:val="22"/>
              </w:rPr>
              <w:br/>
              <w:t>80 Plan</w:t>
            </w:r>
          </w:p>
        </w:tc>
        <w:tc>
          <w:tcPr>
            <w:tcW w:w="1774" w:type="dxa"/>
            <w:shd w:val="clear" w:color="auto" w:fill="auto"/>
            <w:vAlign w:val="center"/>
          </w:tcPr>
          <w:p w14:paraId="5EB85A96" w14:textId="77777777" w:rsidR="000D07EA" w:rsidRDefault="00BE7C89">
            <w:pPr>
              <w:pStyle w:val="BodyText"/>
              <w:spacing w:before="100" w:after="100"/>
              <w:jc w:val="center"/>
              <w:rPr>
                <w:rFonts w:eastAsia="Times New Roman"/>
                <w:b/>
                <w:bCs/>
                <w:szCs w:val="22"/>
              </w:rPr>
            </w:pPr>
            <w:r>
              <w:rPr>
                <w:rFonts w:eastAsia="Times New Roman"/>
                <w:b/>
                <w:bCs/>
                <w:szCs w:val="22"/>
              </w:rPr>
              <w:t xml:space="preserve">'yes' Business Smart 20+ </w:t>
            </w:r>
            <w:r>
              <w:rPr>
                <w:rFonts w:eastAsia="Times New Roman"/>
                <w:b/>
                <w:bCs/>
                <w:szCs w:val="22"/>
              </w:rPr>
              <w:br/>
              <w:t>120 Plan</w:t>
            </w:r>
          </w:p>
        </w:tc>
      </w:tr>
      <w:tr w:rsidR="000D07EA" w14:paraId="14EDC7D9" w14:textId="77777777">
        <w:tc>
          <w:tcPr>
            <w:tcW w:w="1863" w:type="dxa"/>
            <w:shd w:val="clear" w:color="auto" w:fill="auto"/>
            <w:vAlign w:val="center"/>
          </w:tcPr>
          <w:p w14:paraId="55D9AE11" w14:textId="77777777" w:rsidR="000D07EA" w:rsidRDefault="00BE7C89">
            <w:pPr>
              <w:pStyle w:val="BodyText"/>
              <w:spacing w:before="100" w:after="100"/>
              <w:jc w:val="center"/>
              <w:rPr>
                <w:rFonts w:eastAsia="Times New Roman"/>
                <w:bCs/>
                <w:szCs w:val="22"/>
              </w:rPr>
            </w:pPr>
            <w:r>
              <w:rPr>
                <w:rFonts w:eastAsia="Times New Roman"/>
                <w:bCs/>
                <w:szCs w:val="22"/>
              </w:rPr>
              <w:t>$200</w:t>
            </w:r>
            <w:r>
              <w:rPr>
                <w:rFonts w:eastAsia="Times New Roman"/>
                <w:bCs/>
                <w:szCs w:val="22"/>
              </w:rPr>
              <w:br/>
              <w:t>($220)</w:t>
            </w:r>
          </w:p>
        </w:tc>
        <w:tc>
          <w:tcPr>
            <w:tcW w:w="1773" w:type="dxa"/>
            <w:shd w:val="clear" w:color="auto" w:fill="auto"/>
            <w:vAlign w:val="center"/>
          </w:tcPr>
          <w:p w14:paraId="1AF79A5E" w14:textId="77777777" w:rsidR="000D07EA" w:rsidRDefault="00BE7C89">
            <w:pPr>
              <w:pStyle w:val="BodyText"/>
              <w:spacing w:before="100" w:after="100"/>
              <w:jc w:val="center"/>
              <w:rPr>
                <w:rFonts w:eastAsia="Times New Roman"/>
                <w:bCs/>
                <w:szCs w:val="22"/>
              </w:rPr>
            </w:pPr>
            <w:r>
              <w:rPr>
                <w:rFonts w:eastAsia="Times New Roman"/>
                <w:bCs/>
                <w:szCs w:val="22"/>
              </w:rPr>
              <w:t>$218.18</w:t>
            </w:r>
            <w:r>
              <w:rPr>
                <w:rFonts w:eastAsia="Times New Roman"/>
                <w:bCs/>
                <w:szCs w:val="22"/>
              </w:rPr>
              <w:br/>
              <w:t>($240)</w:t>
            </w:r>
          </w:p>
        </w:tc>
        <w:tc>
          <w:tcPr>
            <w:tcW w:w="1773" w:type="dxa"/>
            <w:shd w:val="clear" w:color="auto" w:fill="auto"/>
            <w:vAlign w:val="center"/>
          </w:tcPr>
          <w:p w14:paraId="27E9D9F9" w14:textId="77777777" w:rsidR="000D07EA" w:rsidRDefault="00BE7C89">
            <w:pPr>
              <w:pStyle w:val="BodyText"/>
              <w:spacing w:before="100" w:after="100"/>
              <w:jc w:val="center"/>
              <w:rPr>
                <w:rFonts w:eastAsia="Times New Roman"/>
                <w:bCs/>
                <w:szCs w:val="22"/>
              </w:rPr>
            </w:pPr>
            <w:r>
              <w:rPr>
                <w:rFonts w:eastAsia="Times New Roman"/>
                <w:bCs/>
                <w:szCs w:val="22"/>
              </w:rPr>
              <w:t>$261.81</w:t>
            </w:r>
            <w:r>
              <w:rPr>
                <w:rFonts w:eastAsia="Times New Roman"/>
                <w:bCs/>
                <w:szCs w:val="22"/>
              </w:rPr>
              <w:br/>
              <w:t>($288)</w:t>
            </w:r>
          </w:p>
        </w:tc>
        <w:tc>
          <w:tcPr>
            <w:tcW w:w="1773" w:type="dxa"/>
            <w:shd w:val="clear" w:color="auto" w:fill="auto"/>
            <w:vAlign w:val="center"/>
          </w:tcPr>
          <w:p w14:paraId="515BE66B" w14:textId="77777777" w:rsidR="000D07EA" w:rsidRDefault="00BE7C89">
            <w:pPr>
              <w:pStyle w:val="BodyText"/>
              <w:spacing w:before="100" w:after="100"/>
              <w:jc w:val="center"/>
              <w:rPr>
                <w:rFonts w:eastAsia="Times New Roman"/>
                <w:bCs/>
                <w:szCs w:val="22"/>
              </w:rPr>
            </w:pPr>
            <w:r>
              <w:rPr>
                <w:rFonts w:eastAsia="Times New Roman"/>
                <w:bCs/>
                <w:szCs w:val="22"/>
              </w:rPr>
              <w:t>$294.54</w:t>
            </w:r>
            <w:r>
              <w:rPr>
                <w:rFonts w:eastAsia="Times New Roman"/>
                <w:bCs/>
                <w:szCs w:val="22"/>
              </w:rPr>
              <w:br/>
              <w:t>($324)</w:t>
            </w:r>
          </w:p>
        </w:tc>
        <w:tc>
          <w:tcPr>
            <w:tcW w:w="1774" w:type="dxa"/>
            <w:shd w:val="clear" w:color="auto" w:fill="auto"/>
            <w:vAlign w:val="center"/>
          </w:tcPr>
          <w:p w14:paraId="4DA38338" w14:textId="77777777" w:rsidR="000D07EA" w:rsidRDefault="00BE7C89">
            <w:pPr>
              <w:pStyle w:val="BodyText"/>
              <w:spacing w:before="100" w:after="100"/>
              <w:jc w:val="center"/>
              <w:rPr>
                <w:rFonts w:eastAsia="Times New Roman"/>
                <w:bCs/>
                <w:szCs w:val="22"/>
              </w:rPr>
            </w:pPr>
            <w:r>
              <w:rPr>
                <w:rFonts w:eastAsia="Times New Roman"/>
                <w:bCs/>
                <w:szCs w:val="22"/>
              </w:rPr>
              <w:t>$334.54</w:t>
            </w:r>
            <w:r>
              <w:rPr>
                <w:rFonts w:eastAsia="Times New Roman"/>
                <w:bCs/>
                <w:szCs w:val="22"/>
              </w:rPr>
              <w:br/>
              <w:t>($368)</w:t>
            </w:r>
          </w:p>
        </w:tc>
      </w:tr>
    </w:tbl>
    <w:p w14:paraId="011894C5" w14:textId="77777777" w:rsidR="000D07EA" w:rsidRDefault="00BE7C89">
      <w:pPr>
        <w:pStyle w:val="BodyText"/>
        <w:spacing w:before="240"/>
        <w:ind w:left="1440"/>
        <w:rPr>
          <w:rFonts w:eastAsia="Times New Roman"/>
          <w:bCs/>
          <w:szCs w:val="22"/>
        </w:rPr>
      </w:pPr>
      <w:r>
        <w:rPr>
          <w:rFonts w:eastAsia="Times New Roman"/>
          <w:bCs/>
          <w:szCs w:val="22"/>
        </w:rPr>
        <w:t xml:space="preserve">And for </w:t>
      </w:r>
      <w:r>
        <w:rPr>
          <w:rFonts w:eastAsia="Times New Roman"/>
          <w:bCs/>
          <w:i/>
          <w:szCs w:val="22"/>
        </w:rPr>
        <w:t>cancellations</w:t>
      </w:r>
      <w:r>
        <w:rPr>
          <w:rFonts w:eastAsia="Times New Roman"/>
          <w:bCs/>
          <w:szCs w:val="22"/>
        </w:rPr>
        <w:t xml:space="preserve"> between months 7-12, an amount in accordance with the following calculations: for months 7-9, 70% of the </w:t>
      </w:r>
      <w:r>
        <w:rPr>
          <w:rFonts w:eastAsia="Times New Roman"/>
          <w:bCs/>
          <w:i/>
          <w:szCs w:val="22"/>
        </w:rPr>
        <w:t>cancellation fee</w:t>
      </w:r>
      <w:r>
        <w:rPr>
          <w:rFonts w:eastAsia="Times New Roman"/>
          <w:bCs/>
          <w:szCs w:val="22"/>
        </w:rPr>
        <w:t xml:space="preserve">; for months 10-12, 40% of the </w:t>
      </w:r>
      <w:r>
        <w:rPr>
          <w:rFonts w:eastAsia="Times New Roman"/>
          <w:bCs/>
          <w:i/>
          <w:szCs w:val="22"/>
        </w:rPr>
        <w:t>cancellation fee</w:t>
      </w:r>
      <w:r>
        <w:rPr>
          <w:rFonts w:eastAsia="Times New Roman"/>
          <w:bCs/>
          <w:szCs w:val="22"/>
        </w:rPr>
        <w:t>.</w:t>
      </w:r>
    </w:p>
    <w:p w14:paraId="2710013D" w14:textId="77777777" w:rsidR="000D07EA" w:rsidRDefault="00BE7C89">
      <w:pPr>
        <w:pStyle w:val="Heading8"/>
      </w:pPr>
      <w:r>
        <w:t>If you connected after 28 July 2008:</w:t>
      </w:r>
    </w:p>
    <w:p w14:paraId="2C0C596E" w14:textId="77777777" w:rsidR="000D07EA" w:rsidRDefault="00BE7C89">
      <w:pPr>
        <w:pStyle w:val="Heading9"/>
      </w:pPr>
      <w:r>
        <w:t xml:space="preserve">If </w:t>
      </w:r>
      <w:r>
        <w:rPr>
          <w:i/>
        </w:rPr>
        <w:t>you</w:t>
      </w:r>
      <w:r>
        <w:t xml:space="preserve"> are on a 24 month </w:t>
      </w:r>
      <w:r>
        <w:rPr>
          <w:i/>
        </w:rPr>
        <w:t>pricing plan</w:t>
      </w:r>
      <w:r>
        <w:t xml:space="preserve">, the </w:t>
      </w:r>
      <w:r>
        <w:rPr>
          <w:i/>
        </w:rPr>
        <w:t>cancellation fee</w:t>
      </w:r>
      <w:r>
        <w:t xml:space="preserve"> between months 0-12 is:</w:t>
      </w:r>
    </w:p>
    <w:tbl>
      <w:tblPr>
        <w:tblW w:w="0" w:type="auto"/>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3"/>
        <w:gridCol w:w="1773"/>
        <w:gridCol w:w="1773"/>
        <w:gridCol w:w="1773"/>
        <w:gridCol w:w="1774"/>
      </w:tblGrid>
      <w:tr w:rsidR="000D07EA" w14:paraId="5C3B6E3E" w14:textId="77777777">
        <w:tc>
          <w:tcPr>
            <w:tcW w:w="1863" w:type="dxa"/>
            <w:shd w:val="clear" w:color="auto" w:fill="auto"/>
            <w:vAlign w:val="center"/>
          </w:tcPr>
          <w:p w14:paraId="70CF8EE3" w14:textId="77777777" w:rsidR="000D07EA" w:rsidRDefault="00BE7C89">
            <w:pPr>
              <w:pStyle w:val="BodyText"/>
              <w:spacing w:before="100" w:after="100"/>
              <w:jc w:val="center"/>
              <w:rPr>
                <w:rFonts w:eastAsia="Times New Roman"/>
                <w:b/>
                <w:bCs/>
                <w:szCs w:val="22"/>
              </w:rPr>
            </w:pPr>
            <w:r>
              <w:rPr>
                <w:rFonts w:eastAsia="Times New Roman"/>
                <w:b/>
                <w:bCs/>
                <w:szCs w:val="22"/>
              </w:rPr>
              <w:t xml:space="preserve">'yes' Business Smart 20+ </w:t>
            </w:r>
            <w:r>
              <w:rPr>
                <w:rFonts w:eastAsia="Times New Roman"/>
                <w:b/>
                <w:bCs/>
                <w:szCs w:val="22"/>
              </w:rPr>
              <w:br/>
              <w:t>20 Plan</w:t>
            </w:r>
          </w:p>
        </w:tc>
        <w:tc>
          <w:tcPr>
            <w:tcW w:w="1773" w:type="dxa"/>
            <w:shd w:val="clear" w:color="auto" w:fill="auto"/>
            <w:vAlign w:val="center"/>
          </w:tcPr>
          <w:p w14:paraId="65A98C51" w14:textId="77777777" w:rsidR="000D07EA" w:rsidRDefault="00BE7C89">
            <w:pPr>
              <w:pStyle w:val="BodyText"/>
              <w:spacing w:before="100" w:after="100"/>
              <w:jc w:val="center"/>
              <w:rPr>
                <w:rFonts w:eastAsia="Times New Roman"/>
                <w:b/>
                <w:bCs/>
                <w:szCs w:val="22"/>
              </w:rPr>
            </w:pPr>
            <w:r>
              <w:rPr>
                <w:rFonts w:eastAsia="Times New Roman"/>
                <w:b/>
                <w:bCs/>
                <w:szCs w:val="22"/>
              </w:rPr>
              <w:t xml:space="preserve">'yes' Business Smart 20+ </w:t>
            </w:r>
            <w:r>
              <w:rPr>
                <w:rFonts w:eastAsia="Times New Roman"/>
                <w:b/>
                <w:bCs/>
                <w:szCs w:val="22"/>
              </w:rPr>
              <w:br/>
              <w:t>30 Plan</w:t>
            </w:r>
          </w:p>
        </w:tc>
        <w:tc>
          <w:tcPr>
            <w:tcW w:w="1773" w:type="dxa"/>
            <w:shd w:val="clear" w:color="auto" w:fill="auto"/>
            <w:vAlign w:val="center"/>
          </w:tcPr>
          <w:p w14:paraId="3478EC99" w14:textId="77777777" w:rsidR="000D07EA" w:rsidRDefault="00BE7C89">
            <w:pPr>
              <w:pStyle w:val="BodyText"/>
              <w:spacing w:before="100" w:after="100"/>
              <w:jc w:val="center"/>
              <w:rPr>
                <w:rFonts w:eastAsia="Times New Roman"/>
                <w:b/>
                <w:bCs/>
                <w:szCs w:val="22"/>
              </w:rPr>
            </w:pPr>
            <w:r>
              <w:rPr>
                <w:rFonts w:eastAsia="Times New Roman"/>
                <w:b/>
                <w:bCs/>
                <w:szCs w:val="22"/>
              </w:rPr>
              <w:t xml:space="preserve">'yes' Business Smart 20+ </w:t>
            </w:r>
            <w:r>
              <w:rPr>
                <w:rFonts w:eastAsia="Times New Roman"/>
                <w:b/>
                <w:bCs/>
                <w:szCs w:val="22"/>
              </w:rPr>
              <w:br/>
              <w:t>50 Plan</w:t>
            </w:r>
          </w:p>
        </w:tc>
        <w:tc>
          <w:tcPr>
            <w:tcW w:w="1773" w:type="dxa"/>
            <w:shd w:val="clear" w:color="auto" w:fill="auto"/>
            <w:vAlign w:val="center"/>
          </w:tcPr>
          <w:p w14:paraId="1E197603" w14:textId="77777777" w:rsidR="000D07EA" w:rsidRDefault="00BE7C89">
            <w:pPr>
              <w:pStyle w:val="BodyText"/>
              <w:spacing w:before="100" w:after="100"/>
              <w:jc w:val="center"/>
              <w:rPr>
                <w:rFonts w:eastAsia="Times New Roman"/>
                <w:b/>
                <w:bCs/>
                <w:szCs w:val="22"/>
              </w:rPr>
            </w:pPr>
            <w:r>
              <w:rPr>
                <w:rFonts w:eastAsia="Times New Roman"/>
                <w:b/>
                <w:bCs/>
                <w:szCs w:val="22"/>
              </w:rPr>
              <w:t xml:space="preserve">'yes' Business Smart 20+ </w:t>
            </w:r>
            <w:r>
              <w:rPr>
                <w:rFonts w:eastAsia="Times New Roman"/>
                <w:b/>
                <w:bCs/>
                <w:szCs w:val="22"/>
              </w:rPr>
              <w:br/>
              <w:t>70 Plan</w:t>
            </w:r>
          </w:p>
        </w:tc>
        <w:tc>
          <w:tcPr>
            <w:tcW w:w="1774" w:type="dxa"/>
            <w:shd w:val="clear" w:color="auto" w:fill="auto"/>
            <w:vAlign w:val="center"/>
          </w:tcPr>
          <w:p w14:paraId="51D10F0E" w14:textId="77777777" w:rsidR="000D07EA" w:rsidRDefault="00BE7C89">
            <w:pPr>
              <w:pStyle w:val="BodyText"/>
              <w:spacing w:before="100" w:after="100"/>
              <w:jc w:val="center"/>
              <w:rPr>
                <w:rFonts w:eastAsia="Times New Roman"/>
                <w:b/>
                <w:bCs/>
                <w:szCs w:val="22"/>
              </w:rPr>
            </w:pPr>
            <w:r>
              <w:rPr>
                <w:rFonts w:eastAsia="Times New Roman"/>
                <w:b/>
                <w:bCs/>
                <w:szCs w:val="22"/>
              </w:rPr>
              <w:t xml:space="preserve">'yes' Business Smart 20+ </w:t>
            </w:r>
            <w:r>
              <w:rPr>
                <w:rFonts w:eastAsia="Times New Roman"/>
                <w:b/>
                <w:bCs/>
                <w:szCs w:val="22"/>
              </w:rPr>
              <w:br/>
              <w:t>100 Plan</w:t>
            </w:r>
          </w:p>
        </w:tc>
      </w:tr>
      <w:tr w:rsidR="000D07EA" w14:paraId="1E90DD8A" w14:textId="77777777">
        <w:tc>
          <w:tcPr>
            <w:tcW w:w="1863" w:type="dxa"/>
            <w:shd w:val="clear" w:color="auto" w:fill="auto"/>
            <w:vAlign w:val="center"/>
          </w:tcPr>
          <w:p w14:paraId="6F011869" w14:textId="77777777" w:rsidR="000D07EA" w:rsidRDefault="00BE7C89">
            <w:pPr>
              <w:pStyle w:val="BodyText"/>
              <w:spacing w:before="100" w:after="100"/>
              <w:jc w:val="center"/>
              <w:rPr>
                <w:rFonts w:eastAsia="Times New Roman"/>
                <w:bCs/>
                <w:szCs w:val="22"/>
              </w:rPr>
            </w:pPr>
            <w:r>
              <w:rPr>
                <w:rFonts w:eastAsia="Times New Roman"/>
                <w:bCs/>
                <w:szCs w:val="22"/>
              </w:rPr>
              <w:t>$209.09</w:t>
            </w:r>
            <w:r>
              <w:rPr>
                <w:rFonts w:eastAsia="Times New Roman"/>
                <w:bCs/>
                <w:szCs w:val="22"/>
              </w:rPr>
              <w:br/>
              <w:t>($230)</w:t>
            </w:r>
          </w:p>
        </w:tc>
        <w:tc>
          <w:tcPr>
            <w:tcW w:w="1773" w:type="dxa"/>
            <w:shd w:val="clear" w:color="auto" w:fill="auto"/>
            <w:vAlign w:val="center"/>
          </w:tcPr>
          <w:p w14:paraId="181276D2" w14:textId="77777777" w:rsidR="000D07EA" w:rsidRDefault="00BE7C89">
            <w:pPr>
              <w:pStyle w:val="BodyText"/>
              <w:spacing w:before="100" w:after="100"/>
              <w:jc w:val="center"/>
              <w:rPr>
                <w:rFonts w:eastAsia="Times New Roman"/>
                <w:bCs/>
                <w:szCs w:val="22"/>
              </w:rPr>
            </w:pPr>
            <w:r>
              <w:rPr>
                <w:rFonts w:eastAsia="Times New Roman"/>
                <w:bCs/>
                <w:szCs w:val="22"/>
              </w:rPr>
              <w:t>$309.09</w:t>
            </w:r>
            <w:r>
              <w:rPr>
                <w:rFonts w:eastAsia="Times New Roman"/>
                <w:bCs/>
                <w:szCs w:val="22"/>
              </w:rPr>
              <w:br/>
              <w:t>($340)</w:t>
            </w:r>
          </w:p>
        </w:tc>
        <w:tc>
          <w:tcPr>
            <w:tcW w:w="1773" w:type="dxa"/>
            <w:shd w:val="clear" w:color="auto" w:fill="auto"/>
            <w:vAlign w:val="center"/>
          </w:tcPr>
          <w:p w14:paraId="176527BD" w14:textId="77777777" w:rsidR="000D07EA" w:rsidRDefault="00BE7C89">
            <w:pPr>
              <w:pStyle w:val="BodyText"/>
              <w:spacing w:before="100" w:after="100"/>
              <w:jc w:val="center"/>
              <w:rPr>
                <w:rFonts w:eastAsia="Times New Roman"/>
                <w:bCs/>
                <w:szCs w:val="22"/>
              </w:rPr>
            </w:pPr>
            <w:r>
              <w:rPr>
                <w:rFonts w:eastAsia="Times New Roman"/>
                <w:bCs/>
                <w:szCs w:val="22"/>
              </w:rPr>
              <w:t>$409.09</w:t>
            </w:r>
            <w:r>
              <w:rPr>
                <w:rFonts w:eastAsia="Times New Roman"/>
                <w:bCs/>
                <w:szCs w:val="22"/>
              </w:rPr>
              <w:br/>
              <w:t>($450)</w:t>
            </w:r>
          </w:p>
        </w:tc>
        <w:tc>
          <w:tcPr>
            <w:tcW w:w="1773" w:type="dxa"/>
            <w:shd w:val="clear" w:color="auto" w:fill="auto"/>
            <w:vAlign w:val="center"/>
          </w:tcPr>
          <w:p w14:paraId="1EB24226" w14:textId="77777777" w:rsidR="000D07EA" w:rsidRDefault="00BE7C89">
            <w:pPr>
              <w:pStyle w:val="BodyText"/>
              <w:spacing w:before="100" w:after="100"/>
              <w:jc w:val="center"/>
              <w:rPr>
                <w:rFonts w:eastAsia="Times New Roman"/>
                <w:bCs/>
                <w:szCs w:val="22"/>
              </w:rPr>
            </w:pPr>
            <w:r>
              <w:rPr>
                <w:rFonts w:eastAsia="Times New Roman"/>
                <w:bCs/>
                <w:szCs w:val="22"/>
              </w:rPr>
              <w:t>$545.45</w:t>
            </w:r>
            <w:r>
              <w:rPr>
                <w:rFonts w:eastAsia="Times New Roman"/>
                <w:bCs/>
                <w:szCs w:val="22"/>
              </w:rPr>
              <w:br/>
              <w:t>($600)</w:t>
            </w:r>
          </w:p>
        </w:tc>
        <w:tc>
          <w:tcPr>
            <w:tcW w:w="1774" w:type="dxa"/>
            <w:shd w:val="clear" w:color="auto" w:fill="auto"/>
            <w:vAlign w:val="center"/>
          </w:tcPr>
          <w:p w14:paraId="37A06008" w14:textId="77777777" w:rsidR="000D07EA" w:rsidRDefault="00BE7C89">
            <w:pPr>
              <w:pStyle w:val="BodyText"/>
              <w:spacing w:before="100" w:after="100"/>
              <w:jc w:val="center"/>
              <w:rPr>
                <w:rFonts w:eastAsia="Times New Roman"/>
                <w:bCs/>
                <w:szCs w:val="22"/>
              </w:rPr>
            </w:pPr>
            <w:r>
              <w:rPr>
                <w:rFonts w:eastAsia="Times New Roman"/>
                <w:bCs/>
                <w:szCs w:val="22"/>
              </w:rPr>
              <w:t>$645.45</w:t>
            </w:r>
            <w:r>
              <w:rPr>
                <w:rFonts w:eastAsia="Times New Roman"/>
                <w:bCs/>
                <w:szCs w:val="22"/>
              </w:rPr>
              <w:br/>
              <w:t>($710)</w:t>
            </w:r>
          </w:p>
        </w:tc>
      </w:tr>
    </w:tbl>
    <w:p w14:paraId="368FA750" w14:textId="77777777" w:rsidR="000D07EA" w:rsidRDefault="00BE7C89">
      <w:pPr>
        <w:pStyle w:val="BodyText"/>
        <w:spacing w:before="240"/>
        <w:ind w:left="1440"/>
        <w:rPr>
          <w:rFonts w:eastAsia="Times New Roman"/>
          <w:bCs/>
          <w:szCs w:val="22"/>
        </w:rPr>
      </w:pPr>
      <w:r>
        <w:rPr>
          <w:rFonts w:eastAsia="Times New Roman"/>
          <w:bCs/>
          <w:szCs w:val="22"/>
        </w:rPr>
        <w:t xml:space="preserve">And for </w:t>
      </w:r>
      <w:r>
        <w:rPr>
          <w:rFonts w:eastAsia="Times New Roman"/>
          <w:bCs/>
          <w:i/>
          <w:szCs w:val="22"/>
        </w:rPr>
        <w:t>cancellations</w:t>
      </w:r>
      <w:r>
        <w:rPr>
          <w:rFonts w:eastAsia="Times New Roman"/>
          <w:bCs/>
          <w:szCs w:val="22"/>
        </w:rPr>
        <w:t xml:space="preserve"> between months 13-24, an amount in accordance with the following calculations: for months 13-15, 80% of the </w:t>
      </w:r>
      <w:r>
        <w:rPr>
          <w:rFonts w:eastAsia="Times New Roman"/>
          <w:bCs/>
          <w:i/>
          <w:szCs w:val="22"/>
        </w:rPr>
        <w:t>cancellation fee</w:t>
      </w:r>
      <w:r>
        <w:rPr>
          <w:rFonts w:eastAsia="Times New Roman"/>
          <w:bCs/>
          <w:szCs w:val="22"/>
        </w:rPr>
        <w:t xml:space="preserve">; for months 16-18, 60% of the </w:t>
      </w:r>
      <w:r>
        <w:rPr>
          <w:rFonts w:eastAsia="Times New Roman"/>
          <w:bCs/>
          <w:i/>
          <w:szCs w:val="22"/>
        </w:rPr>
        <w:t>cancellation fee</w:t>
      </w:r>
      <w:r>
        <w:rPr>
          <w:rFonts w:eastAsia="Times New Roman"/>
          <w:bCs/>
          <w:szCs w:val="22"/>
        </w:rPr>
        <w:t xml:space="preserve">; for months 19-21, 40% of the </w:t>
      </w:r>
      <w:r>
        <w:rPr>
          <w:rFonts w:eastAsia="Times New Roman"/>
          <w:bCs/>
          <w:i/>
          <w:szCs w:val="22"/>
        </w:rPr>
        <w:t>cancellation fee</w:t>
      </w:r>
      <w:r>
        <w:rPr>
          <w:rFonts w:eastAsia="Times New Roman"/>
          <w:bCs/>
          <w:szCs w:val="22"/>
        </w:rPr>
        <w:t xml:space="preserve">; for months 22-24, 20% of the </w:t>
      </w:r>
      <w:r>
        <w:rPr>
          <w:rFonts w:eastAsia="Times New Roman"/>
          <w:bCs/>
          <w:i/>
          <w:szCs w:val="22"/>
        </w:rPr>
        <w:t>cancellation fee</w:t>
      </w:r>
      <w:r>
        <w:rPr>
          <w:rFonts w:eastAsia="Times New Roman"/>
          <w:bCs/>
          <w:szCs w:val="22"/>
        </w:rPr>
        <w:t>.</w:t>
      </w:r>
    </w:p>
    <w:p w14:paraId="40127A09" w14:textId="77777777" w:rsidR="000D07EA" w:rsidRDefault="00BE7C89">
      <w:pPr>
        <w:pStyle w:val="Heading9"/>
      </w:pPr>
      <w:r>
        <w:t xml:space="preserve">If </w:t>
      </w:r>
      <w:r>
        <w:rPr>
          <w:i/>
        </w:rPr>
        <w:t>you</w:t>
      </w:r>
      <w:r>
        <w:t xml:space="preserve"> are on a 12 month </w:t>
      </w:r>
      <w:r>
        <w:rPr>
          <w:i/>
        </w:rPr>
        <w:t>pricing plan</w:t>
      </w:r>
      <w:r>
        <w:t xml:space="preserve">, the </w:t>
      </w:r>
      <w:r>
        <w:rPr>
          <w:i/>
        </w:rPr>
        <w:t>cancellation fee</w:t>
      </w:r>
      <w:r>
        <w:t xml:space="preserve"> between months 0-6 is:</w:t>
      </w:r>
    </w:p>
    <w:tbl>
      <w:tblPr>
        <w:tblW w:w="0" w:type="auto"/>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3"/>
        <w:gridCol w:w="1773"/>
        <w:gridCol w:w="1773"/>
        <w:gridCol w:w="1773"/>
        <w:gridCol w:w="1774"/>
      </w:tblGrid>
      <w:tr w:rsidR="000D07EA" w14:paraId="10200FE4" w14:textId="77777777">
        <w:tc>
          <w:tcPr>
            <w:tcW w:w="1863" w:type="dxa"/>
            <w:shd w:val="clear" w:color="auto" w:fill="auto"/>
            <w:vAlign w:val="center"/>
          </w:tcPr>
          <w:p w14:paraId="1FE07A2C" w14:textId="77777777" w:rsidR="000D07EA" w:rsidRDefault="00BE7C89">
            <w:pPr>
              <w:pStyle w:val="BodyText"/>
              <w:spacing w:before="100" w:after="100"/>
              <w:jc w:val="center"/>
              <w:rPr>
                <w:rFonts w:eastAsia="Times New Roman"/>
                <w:b/>
                <w:bCs/>
                <w:szCs w:val="22"/>
              </w:rPr>
            </w:pPr>
            <w:r>
              <w:rPr>
                <w:rFonts w:eastAsia="Times New Roman"/>
                <w:b/>
                <w:bCs/>
                <w:szCs w:val="22"/>
              </w:rPr>
              <w:t xml:space="preserve">'yes' Business Smart 20+ </w:t>
            </w:r>
            <w:r>
              <w:rPr>
                <w:rFonts w:eastAsia="Times New Roman"/>
                <w:b/>
                <w:bCs/>
                <w:szCs w:val="22"/>
              </w:rPr>
              <w:br/>
              <w:t>20 Plan</w:t>
            </w:r>
          </w:p>
        </w:tc>
        <w:tc>
          <w:tcPr>
            <w:tcW w:w="1773" w:type="dxa"/>
            <w:shd w:val="clear" w:color="auto" w:fill="auto"/>
            <w:vAlign w:val="center"/>
          </w:tcPr>
          <w:p w14:paraId="01BBA7BB" w14:textId="77777777" w:rsidR="000D07EA" w:rsidRDefault="00BE7C89">
            <w:pPr>
              <w:pStyle w:val="BodyText"/>
              <w:spacing w:before="100" w:after="100"/>
              <w:jc w:val="center"/>
              <w:rPr>
                <w:rFonts w:eastAsia="Times New Roman"/>
                <w:b/>
                <w:bCs/>
                <w:szCs w:val="22"/>
              </w:rPr>
            </w:pPr>
            <w:r>
              <w:rPr>
                <w:rFonts w:eastAsia="Times New Roman"/>
                <w:b/>
                <w:bCs/>
                <w:szCs w:val="22"/>
              </w:rPr>
              <w:t xml:space="preserve">'yes' Business Smart 20+ </w:t>
            </w:r>
            <w:r>
              <w:rPr>
                <w:rFonts w:eastAsia="Times New Roman"/>
                <w:b/>
                <w:bCs/>
                <w:szCs w:val="22"/>
              </w:rPr>
              <w:br/>
              <w:t>30 Plan</w:t>
            </w:r>
          </w:p>
        </w:tc>
        <w:tc>
          <w:tcPr>
            <w:tcW w:w="1773" w:type="dxa"/>
            <w:shd w:val="clear" w:color="auto" w:fill="auto"/>
            <w:vAlign w:val="center"/>
          </w:tcPr>
          <w:p w14:paraId="171E57D3" w14:textId="77777777" w:rsidR="000D07EA" w:rsidRDefault="00BE7C89">
            <w:pPr>
              <w:pStyle w:val="BodyText"/>
              <w:spacing w:before="100" w:after="100"/>
              <w:jc w:val="center"/>
              <w:rPr>
                <w:rFonts w:eastAsia="Times New Roman"/>
                <w:b/>
                <w:bCs/>
                <w:szCs w:val="22"/>
              </w:rPr>
            </w:pPr>
            <w:r>
              <w:rPr>
                <w:rFonts w:eastAsia="Times New Roman"/>
                <w:b/>
                <w:bCs/>
                <w:szCs w:val="22"/>
              </w:rPr>
              <w:t xml:space="preserve">'yes' Business Smart 20+ </w:t>
            </w:r>
            <w:r>
              <w:rPr>
                <w:rFonts w:eastAsia="Times New Roman"/>
                <w:b/>
                <w:bCs/>
                <w:szCs w:val="22"/>
              </w:rPr>
              <w:br/>
              <w:t>50 Plan</w:t>
            </w:r>
          </w:p>
        </w:tc>
        <w:tc>
          <w:tcPr>
            <w:tcW w:w="1773" w:type="dxa"/>
            <w:shd w:val="clear" w:color="auto" w:fill="auto"/>
            <w:vAlign w:val="center"/>
          </w:tcPr>
          <w:p w14:paraId="021BF78D" w14:textId="77777777" w:rsidR="000D07EA" w:rsidRDefault="00BE7C89">
            <w:pPr>
              <w:pStyle w:val="BodyText"/>
              <w:spacing w:before="100" w:after="100"/>
              <w:jc w:val="center"/>
              <w:rPr>
                <w:rFonts w:eastAsia="Times New Roman"/>
                <w:b/>
                <w:bCs/>
                <w:szCs w:val="22"/>
              </w:rPr>
            </w:pPr>
            <w:r>
              <w:rPr>
                <w:rFonts w:eastAsia="Times New Roman"/>
                <w:b/>
                <w:bCs/>
                <w:szCs w:val="22"/>
              </w:rPr>
              <w:t xml:space="preserve">'yes' Business Smart 20+ </w:t>
            </w:r>
            <w:r>
              <w:rPr>
                <w:rFonts w:eastAsia="Times New Roman"/>
                <w:b/>
                <w:bCs/>
                <w:szCs w:val="22"/>
              </w:rPr>
              <w:br/>
              <w:t>70 Plan</w:t>
            </w:r>
          </w:p>
        </w:tc>
        <w:tc>
          <w:tcPr>
            <w:tcW w:w="1774" w:type="dxa"/>
            <w:shd w:val="clear" w:color="auto" w:fill="auto"/>
            <w:vAlign w:val="center"/>
          </w:tcPr>
          <w:p w14:paraId="05F481B1" w14:textId="77777777" w:rsidR="000D07EA" w:rsidRDefault="00BE7C89">
            <w:pPr>
              <w:pStyle w:val="BodyText"/>
              <w:spacing w:before="100" w:after="100"/>
              <w:jc w:val="center"/>
              <w:rPr>
                <w:rFonts w:eastAsia="Times New Roman"/>
                <w:b/>
                <w:bCs/>
                <w:szCs w:val="22"/>
              </w:rPr>
            </w:pPr>
            <w:r>
              <w:rPr>
                <w:rFonts w:eastAsia="Times New Roman"/>
                <w:b/>
                <w:bCs/>
                <w:szCs w:val="22"/>
              </w:rPr>
              <w:t xml:space="preserve">'yes' Business Smart 20+ </w:t>
            </w:r>
            <w:r>
              <w:rPr>
                <w:rFonts w:eastAsia="Times New Roman"/>
                <w:b/>
                <w:bCs/>
                <w:szCs w:val="22"/>
              </w:rPr>
              <w:br/>
              <w:t>100 Plan</w:t>
            </w:r>
          </w:p>
        </w:tc>
      </w:tr>
      <w:tr w:rsidR="000D07EA" w14:paraId="28016E30" w14:textId="77777777">
        <w:tc>
          <w:tcPr>
            <w:tcW w:w="1863" w:type="dxa"/>
            <w:shd w:val="clear" w:color="auto" w:fill="auto"/>
            <w:vAlign w:val="center"/>
          </w:tcPr>
          <w:p w14:paraId="390E44DB" w14:textId="77777777" w:rsidR="000D07EA" w:rsidRDefault="00BE7C89">
            <w:pPr>
              <w:pStyle w:val="BodyText"/>
              <w:spacing w:before="100" w:after="100"/>
              <w:jc w:val="center"/>
              <w:rPr>
                <w:rFonts w:eastAsia="Times New Roman"/>
                <w:bCs/>
                <w:szCs w:val="22"/>
              </w:rPr>
            </w:pPr>
            <w:r>
              <w:rPr>
                <w:rFonts w:eastAsia="Times New Roman"/>
                <w:bCs/>
                <w:szCs w:val="22"/>
              </w:rPr>
              <w:t>$104.54</w:t>
            </w:r>
            <w:r>
              <w:rPr>
                <w:rFonts w:eastAsia="Times New Roman"/>
                <w:bCs/>
                <w:szCs w:val="22"/>
              </w:rPr>
              <w:br/>
              <w:t>($115)</w:t>
            </w:r>
          </w:p>
        </w:tc>
        <w:tc>
          <w:tcPr>
            <w:tcW w:w="1773" w:type="dxa"/>
            <w:shd w:val="clear" w:color="auto" w:fill="auto"/>
            <w:vAlign w:val="center"/>
          </w:tcPr>
          <w:p w14:paraId="73746880" w14:textId="77777777" w:rsidR="000D07EA" w:rsidRDefault="00BE7C89">
            <w:pPr>
              <w:pStyle w:val="BodyText"/>
              <w:spacing w:before="100" w:after="100"/>
              <w:jc w:val="center"/>
              <w:rPr>
                <w:rFonts w:eastAsia="Times New Roman"/>
                <w:bCs/>
                <w:szCs w:val="22"/>
              </w:rPr>
            </w:pPr>
            <w:r>
              <w:rPr>
                <w:rFonts w:eastAsia="Times New Roman"/>
                <w:bCs/>
                <w:szCs w:val="22"/>
              </w:rPr>
              <w:t>$175.45</w:t>
            </w:r>
            <w:r>
              <w:rPr>
                <w:rFonts w:eastAsia="Times New Roman"/>
                <w:bCs/>
                <w:szCs w:val="22"/>
              </w:rPr>
              <w:br/>
              <w:t>($193)</w:t>
            </w:r>
          </w:p>
        </w:tc>
        <w:tc>
          <w:tcPr>
            <w:tcW w:w="1773" w:type="dxa"/>
            <w:shd w:val="clear" w:color="auto" w:fill="auto"/>
            <w:vAlign w:val="center"/>
          </w:tcPr>
          <w:p w14:paraId="53D9DE0D" w14:textId="77777777" w:rsidR="000D07EA" w:rsidRDefault="00BE7C89">
            <w:pPr>
              <w:pStyle w:val="BodyText"/>
              <w:spacing w:before="100" w:after="100"/>
              <w:jc w:val="center"/>
              <w:rPr>
                <w:rFonts w:eastAsia="Times New Roman"/>
                <w:bCs/>
                <w:szCs w:val="22"/>
              </w:rPr>
            </w:pPr>
            <w:r>
              <w:rPr>
                <w:rFonts w:eastAsia="Times New Roman"/>
                <w:bCs/>
                <w:szCs w:val="22"/>
              </w:rPr>
              <w:t>$240.90</w:t>
            </w:r>
            <w:r>
              <w:rPr>
                <w:rFonts w:eastAsia="Times New Roman"/>
                <w:bCs/>
                <w:szCs w:val="22"/>
              </w:rPr>
              <w:br/>
              <w:t>($265)</w:t>
            </w:r>
          </w:p>
        </w:tc>
        <w:tc>
          <w:tcPr>
            <w:tcW w:w="1773" w:type="dxa"/>
            <w:shd w:val="clear" w:color="auto" w:fill="auto"/>
            <w:vAlign w:val="center"/>
          </w:tcPr>
          <w:p w14:paraId="682873C2" w14:textId="77777777" w:rsidR="000D07EA" w:rsidRDefault="00BE7C89">
            <w:pPr>
              <w:pStyle w:val="BodyText"/>
              <w:spacing w:before="100" w:after="100"/>
              <w:jc w:val="center"/>
              <w:rPr>
                <w:rFonts w:eastAsia="Times New Roman"/>
                <w:bCs/>
                <w:szCs w:val="22"/>
              </w:rPr>
            </w:pPr>
            <w:r>
              <w:rPr>
                <w:rFonts w:eastAsia="Times New Roman"/>
                <w:bCs/>
                <w:szCs w:val="22"/>
              </w:rPr>
              <w:t>$283.63</w:t>
            </w:r>
            <w:r>
              <w:rPr>
                <w:rFonts w:eastAsia="Times New Roman"/>
                <w:bCs/>
                <w:szCs w:val="22"/>
              </w:rPr>
              <w:br/>
              <w:t>($312)</w:t>
            </w:r>
          </w:p>
        </w:tc>
        <w:tc>
          <w:tcPr>
            <w:tcW w:w="1774" w:type="dxa"/>
            <w:shd w:val="clear" w:color="auto" w:fill="auto"/>
            <w:vAlign w:val="center"/>
          </w:tcPr>
          <w:p w14:paraId="72EDCDEA" w14:textId="77777777" w:rsidR="000D07EA" w:rsidRDefault="00BE7C89">
            <w:pPr>
              <w:pStyle w:val="BodyText"/>
              <w:spacing w:before="100" w:after="100"/>
              <w:jc w:val="center"/>
              <w:rPr>
                <w:rFonts w:eastAsia="Times New Roman"/>
                <w:bCs/>
                <w:szCs w:val="22"/>
              </w:rPr>
            </w:pPr>
            <w:r>
              <w:rPr>
                <w:rFonts w:eastAsia="Times New Roman"/>
                <w:bCs/>
                <w:szCs w:val="22"/>
              </w:rPr>
              <w:t>$317.27</w:t>
            </w:r>
            <w:r>
              <w:rPr>
                <w:rFonts w:eastAsia="Times New Roman"/>
                <w:bCs/>
                <w:szCs w:val="22"/>
              </w:rPr>
              <w:br/>
              <w:t>($349)</w:t>
            </w:r>
          </w:p>
        </w:tc>
      </w:tr>
    </w:tbl>
    <w:p w14:paraId="59ECFBBB" w14:textId="77777777" w:rsidR="000D07EA" w:rsidRDefault="00BE7C89">
      <w:pPr>
        <w:pStyle w:val="BodyText"/>
        <w:spacing w:before="240"/>
        <w:ind w:left="1440"/>
        <w:rPr>
          <w:rFonts w:eastAsia="Times New Roman"/>
          <w:bCs/>
          <w:szCs w:val="22"/>
        </w:rPr>
      </w:pPr>
      <w:r>
        <w:rPr>
          <w:rFonts w:eastAsia="Times New Roman"/>
          <w:bCs/>
          <w:szCs w:val="22"/>
        </w:rPr>
        <w:t xml:space="preserve">And for </w:t>
      </w:r>
      <w:r>
        <w:rPr>
          <w:rFonts w:eastAsia="Times New Roman"/>
          <w:bCs/>
          <w:i/>
          <w:szCs w:val="22"/>
        </w:rPr>
        <w:t>cancellations</w:t>
      </w:r>
      <w:r>
        <w:rPr>
          <w:rFonts w:eastAsia="Times New Roman"/>
          <w:bCs/>
          <w:szCs w:val="22"/>
        </w:rPr>
        <w:t xml:space="preserve"> between months 7-12, an amount in accordance with the following calculations: for months 7-9, 70% of the </w:t>
      </w:r>
      <w:r>
        <w:rPr>
          <w:rFonts w:eastAsia="Times New Roman"/>
          <w:bCs/>
          <w:i/>
          <w:szCs w:val="22"/>
        </w:rPr>
        <w:t>cancellation fee</w:t>
      </w:r>
      <w:r>
        <w:rPr>
          <w:rFonts w:eastAsia="Times New Roman"/>
          <w:bCs/>
          <w:szCs w:val="22"/>
        </w:rPr>
        <w:t xml:space="preserve">; for months 10-12, 40% of the </w:t>
      </w:r>
      <w:r>
        <w:rPr>
          <w:rFonts w:eastAsia="Times New Roman"/>
          <w:bCs/>
          <w:i/>
          <w:szCs w:val="22"/>
        </w:rPr>
        <w:t>cancellation fee</w:t>
      </w:r>
      <w:r>
        <w:rPr>
          <w:rFonts w:eastAsia="Times New Roman"/>
          <w:bCs/>
          <w:szCs w:val="22"/>
        </w:rPr>
        <w:t>.</w:t>
      </w:r>
    </w:p>
    <w:p w14:paraId="73821C08" w14:textId="77777777" w:rsidR="000D07EA" w:rsidRDefault="00BE7C89">
      <w:pPr>
        <w:pStyle w:val="Heading6"/>
        <w:ind w:left="0" w:firstLine="0"/>
      </w:pPr>
      <w:r>
        <w:t>Optus SMB Rewards</w:t>
      </w:r>
    </w:p>
    <w:p w14:paraId="617A5CB6" w14:textId="77777777" w:rsidR="000D07EA" w:rsidRDefault="00BE7C89">
      <w:pPr>
        <w:pStyle w:val="Heading7"/>
      </w:pPr>
      <w:r>
        <w:rPr>
          <w:b/>
        </w:rPr>
        <w:t>inBusiness Rewards and Optus SMB 'yes' Rewards</w:t>
      </w:r>
      <w:r>
        <w:t xml:space="preserve"> are </w:t>
      </w:r>
      <w:r>
        <w:rPr>
          <w:i/>
        </w:rPr>
        <w:t>specials</w:t>
      </w:r>
      <w:r>
        <w:t xml:space="preserve"> available to </w:t>
      </w:r>
      <w:r>
        <w:rPr>
          <w:i/>
        </w:rPr>
        <w:t>small or medium enterprise customers</w:t>
      </w:r>
      <w:r>
        <w:t xml:space="preserve"> who connected to the </w:t>
      </w:r>
      <w:r>
        <w:rPr>
          <w:i/>
        </w:rPr>
        <w:t>service</w:t>
      </w:r>
      <w:r>
        <w:t xml:space="preserve"> on an eligible </w:t>
      </w:r>
      <w:r>
        <w:rPr>
          <w:i/>
        </w:rPr>
        <w:t>pricing plan</w:t>
      </w:r>
      <w:r>
        <w:t xml:space="preserve"> prior to 23 November 2005. They involve more than one </w:t>
      </w:r>
      <w:r>
        <w:rPr>
          <w:i/>
        </w:rPr>
        <w:t>service</w:t>
      </w:r>
      <w:r>
        <w:t xml:space="preserve"> and each of the services </w:t>
      </w:r>
      <w:r>
        <w:rPr>
          <w:i/>
        </w:rPr>
        <w:t>you</w:t>
      </w:r>
      <w:r>
        <w:t xml:space="preserve"> select as part of </w:t>
      </w:r>
      <w:r>
        <w:rPr>
          <w:i/>
        </w:rPr>
        <w:t>your</w:t>
      </w:r>
      <w:r>
        <w:t xml:space="preserve"> package is provided to </w:t>
      </w:r>
      <w:r>
        <w:rPr>
          <w:i/>
        </w:rPr>
        <w:t>you</w:t>
      </w:r>
      <w:r>
        <w:t xml:space="preserve"> by the relevant Optus company on the terms and conditions of the </w:t>
      </w:r>
      <w:r>
        <w:rPr>
          <w:i/>
        </w:rPr>
        <w:t>agreement</w:t>
      </w:r>
      <w:r>
        <w:t xml:space="preserve"> for the supply of that </w:t>
      </w:r>
      <w:r>
        <w:rPr>
          <w:i/>
        </w:rPr>
        <w:t>service</w:t>
      </w:r>
      <w:r>
        <w:t xml:space="preserve">. Details of the various packages available and of any additional terms and conditions that apply to these </w:t>
      </w:r>
      <w:r>
        <w:rPr>
          <w:i/>
        </w:rPr>
        <w:t>specials</w:t>
      </w:r>
      <w:r>
        <w:t xml:space="preserve"> are set out in </w:t>
      </w:r>
      <w:hyperlink r:id="rId72" w:history="1">
        <w:r>
          <w:rPr>
            <w:rStyle w:val="Hyperlink"/>
            <w:i/>
          </w:rPr>
          <w:t>Appendix IB</w:t>
        </w:r>
      </w:hyperlink>
      <w:r>
        <w:t>.</w:t>
      </w:r>
    </w:p>
    <w:p w14:paraId="2E438B0F" w14:textId="77777777" w:rsidR="000D07EA" w:rsidRDefault="00BE7C89">
      <w:pPr>
        <w:pStyle w:val="Heading7"/>
      </w:pPr>
      <w:r>
        <w:rPr>
          <w:b/>
        </w:rPr>
        <w:t>Optus 'yes' Business Rewards</w:t>
      </w:r>
      <w:r>
        <w:t xml:space="preserve"> is a </w:t>
      </w:r>
      <w:r>
        <w:rPr>
          <w:i/>
        </w:rPr>
        <w:t>special</w:t>
      </w:r>
      <w:r>
        <w:t xml:space="preserve"> available to </w:t>
      </w:r>
      <w:r>
        <w:rPr>
          <w:i/>
        </w:rPr>
        <w:t>small or medium enterprise customers</w:t>
      </w:r>
      <w:r>
        <w:t xml:space="preserve"> who connect to the </w:t>
      </w:r>
      <w:r>
        <w:rPr>
          <w:i/>
        </w:rPr>
        <w:t>service</w:t>
      </w:r>
      <w:r>
        <w:t xml:space="preserve"> on an eligible </w:t>
      </w:r>
      <w:r>
        <w:rPr>
          <w:i/>
        </w:rPr>
        <w:t>pricing plan</w:t>
      </w:r>
      <w:r>
        <w:t xml:space="preserve"> after 23 November 2005. It involves more than one </w:t>
      </w:r>
      <w:r>
        <w:rPr>
          <w:i/>
        </w:rPr>
        <w:t>service</w:t>
      </w:r>
      <w:r>
        <w:t xml:space="preserve"> and each of the services </w:t>
      </w:r>
      <w:r>
        <w:rPr>
          <w:i/>
        </w:rPr>
        <w:t>you</w:t>
      </w:r>
      <w:r>
        <w:t xml:space="preserve"> select as part of </w:t>
      </w:r>
      <w:r>
        <w:rPr>
          <w:i/>
        </w:rPr>
        <w:t>your</w:t>
      </w:r>
      <w:r>
        <w:t xml:space="preserve"> package is provided to </w:t>
      </w:r>
      <w:r>
        <w:rPr>
          <w:i/>
        </w:rPr>
        <w:t>you</w:t>
      </w:r>
      <w:r>
        <w:t xml:space="preserve"> by </w:t>
      </w:r>
      <w:r>
        <w:lastRenderedPageBreak/>
        <w:t xml:space="preserve">the relevant Optus company on the terms and conditions of the </w:t>
      </w:r>
      <w:r>
        <w:rPr>
          <w:i/>
        </w:rPr>
        <w:t>agreement</w:t>
      </w:r>
      <w:r>
        <w:t xml:space="preserve"> for the supply of that </w:t>
      </w:r>
      <w:r>
        <w:rPr>
          <w:i/>
        </w:rPr>
        <w:t>service</w:t>
      </w:r>
      <w:r>
        <w:t xml:space="preserve">. Details of the various packages available and of any additional terms and conditions that apply to 'yes' Business Rewards are set out in </w:t>
      </w:r>
      <w:hyperlink r:id="rId73" w:history="1">
        <w:r>
          <w:rPr>
            <w:rStyle w:val="Hyperlink"/>
            <w:i/>
          </w:rPr>
          <w:t>Appendix IB</w:t>
        </w:r>
      </w:hyperlink>
      <w:r>
        <w:t>.</w:t>
      </w:r>
    </w:p>
    <w:p w14:paraId="703A893A" w14:textId="77777777" w:rsidR="000D07EA" w:rsidRDefault="00BE7C89">
      <w:pPr>
        <w:pStyle w:val="Heading6"/>
        <w:keepNext/>
        <w:ind w:left="0" w:firstLine="0"/>
      </w:pPr>
      <w:r>
        <w:t>Technology Fund</w:t>
      </w:r>
    </w:p>
    <w:p w14:paraId="10AF5A8D" w14:textId="77777777" w:rsidR="000D07EA" w:rsidRDefault="00BE7C89">
      <w:pPr>
        <w:pStyle w:val="Heading7"/>
      </w:pPr>
      <w:r>
        <w:t xml:space="preserve">The technology fund allows </w:t>
      </w:r>
      <w:r>
        <w:rPr>
          <w:i/>
        </w:rPr>
        <w:t>you</w:t>
      </w:r>
      <w:r>
        <w:t xml:space="preserve"> to purchase the latest mobile phones and accessories. The amount of the fund will be dependent on the number of phones </w:t>
      </w:r>
      <w:r>
        <w:rPr>
          <w:i/>
        </w:rPr>
        <w:t>you</w:t>
      </w:r>
      <w:r>
        <w:t xml:space="preserve"> connect to 'yes' Business Smart 20+ plans and the contract length.</w:t>
      </w:r>
    </w:p>
    <w:p w14:paraId="32319D07" w14:textId="77777777" w:rsidR="000D07EA" w:rsidRDefault="00BE7C89">
      <w:pPr>
        <w:pStyle w:val="Heading8"/>
      </w:pPr>
      <w:r>
        <w:t xml:space="preserve">The following Technology Fund applies to </w:t>
      </w:r>
      <w:r>
        <w:rPr>
          <w:i/>
        </w:rPr>
        <w:t>you</w:t>
      </w:r>
      <w:r>
        <w:t xml:space="preserve"> if </w:t>
      </w:r>
      <w:r>
        <w:rPr>
          <w:i/>
        </w:rPr>
        <w:t>you</w:t>
      </w:r>
      <w:r>
        <w:t xml:space="preserve"> connected to a 'yes' Business Smart 20+ plan before 28 July 2008:</w:t>
      </w:r>
    </w:p>
    <w:tbl>
      <w:tblPr>
        <w:tblW w:w="4321" w:type="pct"/>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8"/>
        <w:gridCol w:w="1354"/>
        <w:gridCol w:w="1356"/>
        <w:gridCol w:w="1356"/>
        <w:gridCol w:w="1356"/>
        <w:gridCol w:w="1354"/>
      </w:tblGrid>
      <w:tr w:rsidR="000D07EA" w14:paraId="2550C240" w14:textId="77777777">
        <w:tc>
          <w:tcPr>
            <w:tcW w:w="1151" w:type="pct"/>
            <w:shd w:val="clear" w:color="auto" w:fill="auto"/>
            <w:vAlign w:val="center"/>
          </w:tcPr>
          <w:p w14:paraId="3461EC29" w14:textId="77777777" w:rsidR="000D07EA" w:rsidRDefault="000D07EA">
            <w:pPr>
              <w:pStyle w:val="BodyText"/>
              <w:spacing w:before="100" w:after="100"/>
              <w:jc w:val="center"/>
              <w:rPr>
                <w:rFonts w:eastAsia="Times New Roman"/>
                <w:b/>
                <w:bCs/>
                <w:szCs w:val="22"/>
              </w:rPr>
            </w:pPr>
          </w:p>
        </w:tc>
        <w:tc>
          <w:tcPr>
            <w:tcW w:w="769" w:type="pct"/>
            <w:shd w:val="clear" w:color="auto" w:fill="auto"/>
            <w:vAlign w:val="center"/>
          </w:tcPr>
          <w:p w14:paraId="2BADB9D6" w14:textId="77777777" w:rsidR="000D07EA" w:rsidRDefault="00BE7C89">
            <w:pPr>
              <w:pStyle w:val="BodyText"/>
              <w:spacing w:before="100" w:after="100"/>
              <w:jc w:val="center"/>
              <w:rPr>
                <w:rFonts w:eastAsia="Times New Roman"/>
                <w:b/>
                <w:bCs/>
                <w:szCs w:val="22"/>
              </w:rPr>
            </w:pPr>
            <w:r>
              <w:rPr>
                <w:rFonts w:eastAsia="Times New Roman"/>
                <w:b/>
                <w:bCs/>
                <w:szCs w:val="22"/>
              </w:rPr>
              <w:t xml:space="preserve">'yes' Business Smart 20+ </w:t>
            </w:r>
            <w:r>
              <w:rPr>
                <w:rFonts w:eastAsia="Times New Roman"/>
                <w:b/>
                <w:bCs/>
                <w:szCs w:val="22"/>
              </w:rPr>
              <w:br/>
              <w:t>25 Plan</w:t>
            </w:r>
          </w:p>
        </w:tc>
        <w:tc>
          <w:tcPr>
            <w:tcW w:w="770" w:type="pct"/>
            <w:shd w:val="clear" w:color="auto" w:fill="auto"/>
            <w:vAlign w:val="center"/>
          </w:tcPr>
          <w:p w14:paraId="42BF1185" w14:textId="77777777" w:rsidR="000D07EA" w:rsidRDefault="00BE7C89">
            <w:pPr>
              <w:pStyle w:val="BodyText"/>
              <w:spacing w:before="100" w:after="100"/>
              <w:jc w:val="center"/>
              <w:rPr>
                <w:rFonts w:eastAsia="Times New Roman"/>
                <w:b/>
                <w:bCs/>
                <w:szCs w:val="22"/>
              </w:rPr>
            </w:pPr>
            <w:r>
              <w:rPr>
                <w:rFonts w:eastAsia="Times New Roman"/>
                <w:b/>
                <w:bCs/>
                <w:szCs w:val="22"/>
              </w:rPr>
              <w:t xml:space="preserve">'yes' Business Smart 20+ </w:t>
            </w:r>
            <w:r>
              <w:rPr>
                <w:rFonts w:eastAsia="Times New Roman"/>
                <w:b/>
                <w:bCs/>
                <w:szCs w:val="22"/>
              </w:rPr>
              <w:br/>
              <w:t>40 Plan</w:t>
            </w:r>
          </w:p>
        </w:tc>
        <w:tc>
          <w:tcPr>
            <w:tcW w:w="770" w:type="pct"/>
            <w:shd w:val="clear" w:color="auto" w:fill="auto"/>
            <w:vAlign w:val="center"/>
          </w:tcPr>
          <w:p w14:paraId="370FFFCC" w14:textId="77777777" w:rsidR="000D07EA" w:rsidRDefault="00BE7C89">
            <w:pPr>
              <w:pStyle w:val="BodyText"/>
              <w:spacing w:before="100" w:after="100"/>
              <w:jc w:val="center"/>
              <w:rPr>
                <w:rFonts w:eastAsia="Times New Roman"/>
                <w:b/>
                <w:bCs/>
                <w:szCs w:val="22"/>
              </w:rPr>
            </w:pPr>
            <w:r>
              <w:rPr>
                <w:rFonts w:eastAsia="Times New Roman"/>
                <w:b/>
                <w:bCs/>
                <w:szCs w:val="22"/>
              </w:rPr>
              <w:t xml:space="preserve">'yes' Business Smart 20+ </w:t>
            </w:r>
            <w:r>
              <w:rPr>
                <w:rFonts w:eastAsia="Times New Roman"/>
                <w:b/>
                <w:bCs/>
                <w:szCs w:val="22"/>
              </w:rPr>
              <w:br/>
              <w:t>60 Plan</w:t>
            </w:r>
          </w:p>
        </w:tc>
        <w:tc>
          <w:tcPr>
            <w:tcW w:w="770" w:type="pct"/>
            <w:shd w:val="clear" w:color="auto" w:fill="auto"/>
            <w:vAlign w:val="center"/>
          </w:tcPr>
          <w:p w14:paraId="7BD4FED6" w14:textId="77777777" w:rsidR="000D07EA" w:rsidRDefault="00BE7C89">
            <w:pPr>
              <w:pStyle w:val="BodyText"/>
              <w:spacing w:before="100" w:after="100"/>
              <w:jc w:val="center"/>
              <w:rPr>
                <w:rFonts w:eastAsia="Times New Roman"/>
                <w:b/>
                <w:bCs/>
                <w:szCs w:val="22"/>
              </w:rPr>
            </w:pPr>
            <w:r>
              <w:rPr>
                <w:rFonts w:eastAsia="Times New Roman"/>
                <w:b/>
                <w:bCs/>
                <w:szCs w:val="22"/>
              </w:rPr>
              <w:t xml:space="preserve">'yes' Business Smart 20+ </w:t>
            </w:r>
            <w:r>
              <w:rPr>
                <w:rFonts w:eastAsia="Times New Roman"/>
                <w:b/>
                <w:bCs/>
                <w:szCs w:val="22"/>
              </w:rPr>
              <w:br/>
              <w:t>80 Plan</w:t>
            </w:r>
          </w:p>
        </w:tc>
        <w:tc>
          <w:tcPr>
            <w:tcW w:w="769" w:type="pct"/>
            <w:shd w:val="clear" w:color="auto" w:fill="auto"/>
            <w:vAlign w:val="center"/>
          </w:tcPr>
          <w:p w14:paraId="35414DC1" w14:textId="77777777" w:rsidR="000D07EA" w:rsidRDefault="00BE7C89">
            <w:pPr>
              <w:pStyle w:val="BodyText"/>
              <w:spacing w:before="100" w:after="100"/>
              <w:jc w:val="center"/>
              <w:rPr>
                <w:rFonts w:eastAsia="Times New Roman"/>
                <w:b/>
                <w:bCs/>
                <w:szCs w:val="22"/>
              </w:rPr>
            </w:pPr>
            <w:r>
              <w:rPr>
                <w:rFonts w:eastAsia="Times New Roman"/>
                <w:b/>
                <w:bCs/>
                <w:szCs w:val="22"/>
              </w:rPr>
              <w:t xml:space="preserve">'yes' Business Smart 20+ </w:t>
            </w:r>
            <w:r>
              <w:rPr>
                <w:rFonts w:eastAsia="Times New Roman"/>
                <w:b/>
                <w:bCs/>
                <w:szCs w:val="22"/>
              </w:rPr>
              <w:br/>
              <w:t>120 Plan</w:t>
            </w:r>
          </w:p>
        </w:tc>
      </w:tr>
      <w:tr w:rsidR="000D07EA" w14:paraId="49349BC7" w14:textId="77777777">
        <w:tc>
          <w:tcPr>
            <w:tcW w:w="1151" w:type="pct"/>
            <w:shd w:val="clear" w:color="auto" w:fill="auto"/>
            <w:vAlign w:val="center"/>
          </w:tcPr>
          <w:p w14:paraId="2638E2A0" w14:textId="77777777" w:rsidR="000D07EA" w:rsidRDefault="00BE7C89">
            <w:pPr>
              <w:pStyle w:val="BodyText"/>
              <w:spacing w:before="100" w:after="100"/>
              <w:jc w:val="center"/>
              <w:rPr>
                <w:rFonts w:eastAsia="Times New Roman"/>
                <w:b/>
                <w:bCs/>
                <w:szCs w:val="22"/>
              </w:rPr>
            </w:pPr>
            <w:r>
              <w:rPr>
                <w:rFonts w:eastAsia="Times New Roman"/>
                <w:b/>
                <w:bCs/>
                <w:szCs w:val="22"/>
              </w:rPr>
              <w:t>24 month Technology Fund</w:t>
            </w:r>
          </w:p>
        </w:tc>
        <w:tc>
          <w:tcPr>
            <w:tcW w:w="769" w:type="pct"/>
            <w:shd w:val="clear" w:color="auto" w:fill="auto"/>
            <w:vAlign w:val="center"/>
          </w:tcPr>
          <w:p w14:paraId="6F5AD1A3" w14:textId="77777777" w:rsidR="000D07EA" w:rsidRDefault="00BE7C89">
            <w:pPr>
              <w:pStyle w:val="BodyText"/>
              <w:spacing w:before="100" w:after="100"/>
              <w:jc w:val="center"/>
              <w:rPr>
                <w:rFonts w:eastAsia="Times New Roman"/>
                <w:bCs/>
                <w:szCs w:val="22"/>
              </w:rPr>
            </w:pPr>
            <w:r>
              <w:rPr>
                <w:rFonts w:eastAsia="Times New Roman"/>
                <w:bCs/>
                <w:szCs w:val="22"/>
              </w:rPr>
              <w:t>$145.45</w:t>
            </w:r>
            <w:r>
              <w:rPr>
                <w:rFonts w:eastAsia="Times New Roman"/>
                <w:bCs/>
                <w:szCs w:val="22"/>
              </w:rPr>
              <w:br/>
              <w:t>($160)</w:t>
            </w:r>
          </w:p>
        </w:tc>
        <w:tc>
          <w:tcPr>
            <w:tcW w:w="770" w:type="pct"/>
            <w:shd w:val="clear" w:color="auto" w:fill="auto"/>
            <w:vAlign w:val="center"/>
          </w:tcPr>
          <w:p w14:paraId="0A295F4B" w14:textId="77777777" w:rsidR="000D07EA" w:rsidRDefault="00BE7C89">
            <w:pPr>
              <w:pStyle w:val="BodyText"/>
              <w:spacing w:before="100" w:after="100"/>
              <w:jc w:val="center"/>
              <w:rPr>
                <w:rFonts w:eastAsia="Times New Roman"/>
                <w:bCs/>
                <w:szCs w:val="22"/>
              </w:rPr>
            </w:pPr>
            <w:r>
              <w:rPr>
                <w:rFonts w:eastAsia="Times New Roman"/>
                <w:bCs/>
                <w:szCs w:val="22"/>
              </w:rPr>
              <w:t>$190.90</w:t>
            </w:r>
            <w:r>
              <w:rPr>
                <w:rFonts w:eastAsia="Times New Roman"/>
                <w:bCs/>
                <w:szCs w:val="22"/>
              </w:rPr>
              <w:br/>
              <w:t>($210)</w:t>
            </w:r>
          </w:p>
        </w:tc>
        <w:tc>
          <w:tcPr>
            <w:tcW w:w="770" w:type="pct"/>
            <w:shd w:val="clear" w:color="auto" w:fill="auto"/>
            <w:vAlign w:val="center"/>
          </w:tcPr>
          <w:p w14:paraId="70396422" w14:textId="77777777" w:rsidR="000D07EA" w:rsidRDefault="00BE7C89">
            <w:pPr>
              <w:pStyle w:val="BodyText"/>
              <w:spacing w:before="100" w:after="100"/>
              <w:jc w:val="center"/>
              <w:rPr>
                <w:rFonts w:eastAsia="Times New Roman"/>
                <w:bCs/>
                <w:szCs w:val="22"/>
              </w:rPr>
            </w:pPr>
            <w:r>
              <w:rPr>
                <w:rFonts w:eastAsia="Times New Roman"/>
                <w:bCs/>
                <w:szCs w:val="22"/>
              </w:rPr>
              <w:t>$336.36</w:t>
            </w:r>
            <w:r>
              <w:rPr>
                <w:rFonts w:eastAsia="Times New Roman"/>
                <w:bCs/>
                <w:szCs w:val="22"/>
              </w:rPr>
              <w:br/>
              <w:t>($370)</w:t>
            </w:r>
          </w:p>
        </w:tc>
        <w:tc>
          <w:tcPr>
            <w:tcW w:w="770" w:type="pct"/>
            <w:shd w:val="clear" w:color="auto" w:fill="auto"/>
            <w:vAlign w:val="center"/>
          </w:tcPr>
          <w:p w14:paraId="64C36CC7" w14:textId="77777777" w:rsidR="000D07EA" w:rsidRDefault="00BE7C89">
            <w:pPr>
              <w:pStyle w:val="BodyText"/>
              <w:spacing w:before="100" w:after="100"/>
              <w:jc w:val="center"/>
              <w:rPr>
                <w:rFonts w:eastAsia="Times New Roman"/>
                <w:bCs/>
                <w:szCs w:val="22"/>
              </w:rPr>
            </w:pPr>
            <w:r>
              <w:rPr>
                <w:rFonts w:eastAsia="Times New Roman"/>
                <w:bCs/>
                <w:szCs w:val="22"/>
              </w:rPr>
              <w:t>$418.18</w:t>
            </w:r>
            <w:r>
              <w:rPr>
                <w:rFonts w:eastAsia="Times New Roman"/>
                <w:bCs/>
                <w:szCs w:val="22"/>
              </w:rPr>
              <w:br/>
              <w:t>($460)</w:t>
            </w:r>
          </w:p>
        </w:tc>
        <w:tc>
          <w:tcPr>
            <w:tcW w:w="769" w:type="pct"/>
            <w:shd w:val="clear" w:color="auto" w:fill="auto"/>
            <w:vAlign w:val="center"/>
          </w:tcPr>
          <w:p w14:paraId="3830F505" w14:textId="77777777" w:rsidR="000D07EA" w:rsidRDefault="00BE7C89">
            <w:pPr>
              <w:pStyle w:val="BodyText"/>
              <w:spacing w:before="100" w:after="100"/>
              <w:jc w:val="center"/>
              <w:rPr>
                <w:rFonts w:eastAsia="Times New Roman"/>
                <w:bCs/>
                <w:szCs w:val="22"/>
              </w:rPr>
            </w:pPr>
            <w:r>
              <w:rPr>
                <w:rFonts w:eastAsia="Times New Roman"/>
                <w:bCs/>
                <w:szCs w:val="22"/>
              </w:rPr>
              <w:t>$518.18</w:t>
            </w:r>
            <w:r>
              <w:rPr>
                <w:rFonts w:eastAsia="Times New Roman"/>
                <w:bCs/>
                <w:szCs w:val="22"/>
              </w:rPr>
              <w:br/>
              <w:t>($570)</w:t>
            </w:r>
          </w:p>
        </w:tc>
      </w:tr>
      <w:tr w:rsidR="000D07EA" w14:paraId="2D6A0549" w14:textId="77777777">
        <w:tc>
          <w:tcPr>
            <w:tcW w:w="1151" w:type="pct"/>
            <w:shd w:val="clear" w:color="auto" w:fill="auto"/>
            <w:vAlign w:val="center"/>
          </w:tcPr>
          <w:p w14:paraId="02490EC4" w14:textId="77777777" w:rsidR="000D07EA" w:rsidRDefault="00BE7C89">
            <w:pPr>
              <w:pStyle w:val="BodyText"/>
              <w:spacing w:before="100" w:after="100"/>
              <w:jc w:val="center"/>
              <w:rPr>
                <w:rFonts w:eastAsia="Times New Roman"/>
                <w:b/>
                <w:bCs/>
                <w:szCs w:val="22"/>
              </w:rPr>
            </w:pPr>
            <w:r>
              <w:rPr>
                <w:rFonts w:eastAsia="Times New Roman"/>
                <w:b/>
                <w:bCs/>
                <w:szCs w:val="22"/>
              </w:rPr>
              <w:t>12 month Technology Fund</w:t>
            </w:r>
          </w:p>
        </w:tc>
        <w:tc>
          <w:tcPr>
            <w:tcW w:w="769" w:type="pct"/>
            <w:shd w:val="clear" w:color="auto" w:fill="auto"/>
            <w:vAlign w:val="center"/>
          </w:tcPr>
          <w:p w14:paraId="47C83724" w14:textId="77777777" w:rsidR="000D07EA" w:rsidRDefault="00BE7C89">
            <w:pPr>
              <w:pStyle w:val="BodyText"/>
              <w:spacing w:before="100" w:after="100"/>
              <w:jc w:val="center"/>
              <w:rPr>
                <w:rFonts w:eastAsia="Times New Roman"/>
                <w:bCs/>
                <w:szCs w:val="22"/>
              </w:rPr>
            </w:pPr>
            <w:r>
              <w:rPr>
                <w:rFonts w:eastAsia="Times New Roman"/>
                <w:bCs/>
                <w:szCs w:val="22"/>
              </w:rPr>
              <w:t>$58.18</w:t>
            </w:r>
            <w:r>
              <w:rPr>
                <w:rFonts w:eastAsia="Times New Roman"/>
                <w:bCs/>
                <w:szCs w:val="22"/>
              </w:rPr>
              <w:br/>
              <w:t>($64)</w:t>
            </w:r>
          </w:p>
        </w:tc>
        <w:tc>
          <w:tcPr>
            <w:tcW w:w="770" w:type="pct"/>
            <w:shd w:val="clear" w:color="auto" w:fill="auto"/>
            <w:vAlign w:val="center"/>
          </w:tcPr>
          <w:p w14:paraId="66F833EC" w14:textId="77777777" w:rsidR="000D07EA" w:rsidRDefault="00BE7C89">
            <w:pPr>
              <w:pStyle w:val="BodyText"/>
              <w:spacing w:before="100" w:after="100"/>
              <w:jc w:val="center"/>
              <w:rPr>
                <w:rFonts w:eastAsia="Times New Roman"/>
                <w:bCs/>
                <w:szCs w:val="22"/>
              </w:rPr>
            </w:pPr>
            <w:r>
              <w:rPr>
                <w:rFonts w:eastAsia="Times New Roman"/>
                <w:bCs/>
                <w:szCs w:val="22"/>
              </w:rPr>
              <w:t>$76.36</w:t>
            </w:r>
            <w:r>
              <w:rPr>
                <w:rFonts w:eastAsia="Times New Roman"/>
                <w:bCs/>
                <w:szCs w:val="22"/>
              </w:rPr>
              <w:br/>
              <w:t>($84)</w:t>
            </w:r>
          </w:p>
        </w:tc>
        <w:tc>
          <w:tcPr>
            <w:tcW w:w="770" w:type="pct"/>
            <w:shd w:val="clear" w:color="auto" w:fill="auto"/>
            <w:vAlign w:val="center"/>
          </w:tcPr>
          <w:p w14:paraId="5AECDF64" w14:textId="77777777" w:rsidR="000D07EA" w:rsidRDefault="00BE7C89">
            <w:pPr>
              <w:pStyle w:val="BodyText"/>
              <w:spacing w:before="100" w:after="100"/>
              <w:jc w:val="center"/>
              <w:rPr>
                <w:rFonts w:eastAsia="Times New Roman"/>
                <w:bCs/>
                <w:szCs w:val="22"/>
              </w:rPr>
            </w:pPr>
            <w:r>
              <w:rPr>
                <w:rFonts w:eastAsia="Times New Roman"/>
                <w:bCs/>
                <w:szCs w:val="22"/>
              </w:rPr>
              <w:t>$134.54</w:t>
            </w:r>
            <w:r>
              <w:rPr>
                <w:rFonts w:eastAsia="Times New Roman"/>
                <w:bCs/>
                <w:szCs w:val="22"/>
              </w:rPr>
              <w:br/>
              <w:t>($148)</w:t>
            </w:r>
          </w:p>
        </w:tc>
        <w:tc>
          <w:tcPr>
            <w:tcW w:w="770" w:type="pct"/>
            <w:shd w:val="clear" w:color="auto" w:fill="auto"/>
            <w:vAlign w:val="center"/>
          </w:tcPr>
          <w:p w14:paraId="4C42E66E" w14:textId="77777777" w:rsidR="000D07EA" w:rsidRDefault="00BE7C89">
            <w:pPr>
              <w:pStyle w:val="BodyText"/>
              <w:spacing w:before="100" w:after="100"/>
              <w:jc w:val="center"/>
              <w:rPr>
                <w:rFonts w:eastAsia="Times New Roman"/>
                <w:bCs/>
                <w:szCs w:val="22"/>
              </w:rPr>
            </w:pPr>
            <w:r>
              <w:rPr>
                <w:rFonts w:eastAsia="Times New Roman"/>
                <w:bCs/>
                <w:szCs w:val="22"/>
              </w:rPr>
              <w:t>$167.27</w:t>
            </w:r>
            <w:r>
              <w:rPr>
                <w:rFonts w:eastAsia="Times New Roman"/>
                <w:bCs/>
                <w:szCs w:val="22"/>
              </w:rPr>
              <w:br/>
              <w:t>($184)</w:t>
            </w:r>
          </w:p>
        </w:tc>
        <w:tc>
          <w:tcPr>
            <w:tcW w:w="769" w:type="pct"/>
            <w:shd w:val="clear" w:color="auto" w:fill="auto"/>
            <w:vAlign w:val="center"/>
          </w:tcPr>
          <w:p w14:paraId="3D8EE167" w14:textId="77777777" w:rsidR="000D07EA" w:rsidRDefault="00BE7C89">
            <w:pPr>
              <w:pStyle w:val="BodyText"/>
              <w:spacing w:before="100" w:after="100"/>
              <w:jc w:val="center"/>
              <w:rPr>
                <w:rFonts w:eastAsia="Times New Roman"/>
                <w:bCs/>
                <w:szCs w:val="22"/>
              </w:rPr>
            </w:pPr>
            <w:r>
              <w:rPr>
                <w:rFonts w:eastAsia="Times New Roman"/>
                <w:bCs/>
                <w:szCs w:val="22"/>
              </w:rPr>
              <w:t>$207.27</w:t>
            </w:r>
            <w:r>
              <w:rPr>
                <w:rFonts w:eastAsia="Times New Roman"/>
                <w:bCs/>
                <w:szCs w:val="22"/>
              </w:rPr>
              <w:br/>
              <w:t>($228)</w:t>
            </w:r>
          </w:p>
        </w:tc>
      </w:tr>
    </w:tbl>
    <w:p w14:paraId="57598554" w14:textId="77777777" w:rsidR="000D07EA" w:rsidRDefault="00BE7C89">
      <w:pPr>
        <w:pStyle w:val="Heading8"/>
        <w:spacing w:before="240"/>
      </w:pPr>
      <w:r>
        <w:t xml:space="preserve">The following Technology Fund applies to </w:t>
      </w:r>
      <w:r>
        <w:rPr>
          <w:i/>
        </w:rPr>
        <w:t>you</w:t>
      </w:r>
      <w:r>
        <w:t xml:space="preserve"> if </w:t>
      </w:r>
      <w:r>
        <w:rPr>
          <w:i/>
        </w:rPr>
        <w:t>you</w:t>
      </w:r>
      <w:r>
        <w:t xml:space="preserve"> connected to a 'yes' Business Smart 20+ plan after 28 July 2008:</w:t>
      </w:r>
    </w:p>
    <w:tbl>
      <w:tblPr>
        <w:tblW w:w="4321" w:type="pct"/>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8"/>
        <w:gridCol w:w="1354"/>
        <w:gridCol w:w="1356"/>
        <w:gridCol w:w="1356"/>
        <w:gridCol w:w="1356"/>
        <w:gridCol w:w="1354"/>
      </w:tblGrid>
      <w:tr w:rsidR="000D07EA" w14:paraId="613AB88F" w14:textId="77777777">
        <w:tc>
          <w:tcPr>
            <w:tcW w:w="1151" w:type="pct"/>
            <w:shd w:val="clear" w:color="auto" w:fill="auto"/>
            <w:vAlign w:val="center"/>
          </w:tcPr>
          <w:p w14:paraId="205CD01E" w14:textId="77777777" w:rsidR="000D07EA" w:rsidRDefault="000D07EA">
            <w:pPr>
              <w:pStyle w:val="BodyText"/>
              <w:spacing w:before="100" w:after="100"/>
              <w:jc w:val="center"/>
              <w:rPr>
                <w:rFonts w:eastAsia="Times New Roman"/>
                <w:b/>
                <w:bCs/>
                <w:szCs w:val="22"/>
              </w:rPr>
            </w:pPr>
          </w:p>
        </w:tc>
        <w:tc>
          <w:tcPr>
            <w:tcW w:w="769" w:type="pct"/>
            <w:shd w:val="clear" w:color="auto" w:fill="auto"/>
            <w:vAlign w:val="center"/>
          </w:tcPr>
          <w:p w14:paraId="23A8D841" w14:textId="77777777" w:rsidR="000D07EA" w:rsidRDefault="00BE7C89">
            <w:pPr>
              <w:pStyle w:val="BodyText"/>
              <w:spacing w:before="100" w:after="100"/>
              <w:jc w:val="center"/>
              <w:rPr>
                <w:rFonts w:eastAsia="Times New Roman"/>
                <w:b/>
                <w:bCs/>
                <w:szCs w:val="22"/>
              </w:rPr>
            </w:pPr>
            <w:r>
              <w:rPr>
                <w:rFonts w:eastAsia="Times New Roman"/>
                <w:b/>
                <w:bCs/>
                <w:szCs w:val="22"/>
              </w:rPr>
              <w:t xml:space="preserve">'yes' Business Smart 20+ </w:t>
            </w:r>
            <w:r>
              <w:rPr>
                <w:rFonts w:eastAsia="Times New Roman"/>
                <w:b/>
                <w:bCs/>
                <w:szCs w:val="22"/>
              </w:rPr>
              <w:br/>
              <w:t>20 Plan</w:t>
            </w:r>
          </w:p>
        </w:tc>
        <w:tc>
          <w:tcPr>
            <w:tcW w:w="770" w:type="pct"/>
            <w:shd w:val="clear" w:color="auto" w:fill="auto"/>
            <w:vAlign w:val="center"/>
          </w:tcPr>
          <w:p w14:paraId="1F7D08C9" w14:textId="77777777" w:rsidR="000D07EA" w:rsidRDefault="00BE7C89">
            <w:pPr>
              <w:pStyle w:val="BodyText"/>
              <w:spacing w:before="100" w:after="100"/>
              <w:jc w:val="center"/>
              <w:rPr>
                <w:rFonts w:eastAsia="Times New Roman"/>
                <w:b/>
                <w:bCs/>
                <w:szCs w:val="22"/>
              </w:rPr>
            </w:pPr>
            <w:r>
              <w:rPr>
                <w:rFonts w:eastAsia="Times New Roman"/>
                <w:b/>
                <w:bCs/>
                <w:szCs w:val="22"/>
              </w:rPr>
              <w:t xml:space="preserve">'yes' Business Smart 20+ </w:t>
            </w:r>
            <w:r>
              <w:rPr>
                <w:rFonts w:eastAsia="Times New Roman"/>
                <w:b/>
                <w:bCs/>
                <w:szCs w:val="22"/>
              </w:rPr>
              <w:br/>
              <w:t>30 Plan</w:t>
            </w:r>
          </w:p>
        </w:tc>
        <w:tc>
          <w:tcPr>
            <w:tcW w:w="770" w:type="pct"/>
            <w:shd w:val="clear" w:color="auto" w:fill="auto"/>
            <w:vAlign w:val="center"/>
          </w:tcPr>
          <w:p w14:paraId="1AC6D253" w14:textId="77777777" w:rsidR="000D07EA" w:rsidRDefault="00BE7C89">
            <w:pPr>
              <w:pStyle w:val="BodyText"/>
              <w:spacing w:before="100" w:after="100"/>
              <w:jc w:val="center"/>
              <w:rPr>
                <w:rFonts w:eastAsia="Times New Roman"/>
                <w:b/>
                <w:bCs/>
                <w:szCs w:val="22"/>
              </w:rPr>
            </w:pPr>
            <w:r>
              <w:rPr>
                <w:rFonts w:eastAsia="Times New Roman"/>
                <w:b/>
                <w:bCs/>
                <w:szCs w:val="22"/>
              </w:rPr>
              <w:t xml:space="preserve">'yes' Business Smart 20+ </w:t>
            </w:r>
            <w:r>
              <w:rPr>
                <w:rFonts w:eastAsia="Times New Roman"/>
                <w:b/>
                <w:bCs/>
                <w:szCs w:val="22"/>
              </w:rPr>
              <w:br/>
              <w:t>50 Plan</w:t>
            </w:r>
          </w:p>
        </w:tc>
        <w:tc>
          <w:tcPr>
            <w:tcW w:w="770" w:type="pct"/>
            <w:shd w:val="clear" w:color="auto" w:fill="auto"/>
            <w:vAlign w:val="center"/>
          </w:tcPr>
          <w:p w14:paraId="587F82AF" w14:textId="77777777" w:rsidR="000D07EA" w:rsidRDefault="00BE7C89">
            <w:pPr>
              <w:pStyle w:val="BodyText"/>
              <w:spacing w:before="100" w:after="100"/>
              <w:jc w:val="center"/>
              <w:rPr>
                <w:rFonts w:eastAsia="Times New Roman"/>
                <w:b/>
                <w:bCs/>
                <w:szCs w:val="22"/>
              </w:rPr>
            </w:pPr>
            <w:r>
              <w:rPr>
                <w:rFonts w:eastAsia="Times New Roman"/>
                <w:b/>
                <w:bCs/>
                <w:szCs w:val="22"/>
              </w:rPr>
              <w:t xml:space="preserve">'yes' Business Smart 20+ </w:t>
            </w:r>
            <w:r>
              <w:rPr>
                <w:rFonts w:eastAsia="Times New Roman"/>
                <w:b/>
                <w:bCs/>
                <w:szCs w:val="22"/>
              </w:rPr>
              <w:br/>
              <w:t>70 Plan</w:t>
            </w:r>
          </w:p>
        </w:tc>
        <w:tc>
          <w:tcPr>
            <w:tcW w:w="769" w:type="pct"/>
            <w:shd w:val="clear" w:color="auto" w:fill="auto"/>
            <w:vAlign w:val="center"/>
          </w:tcPr>
          <w:p w14:paraId="2EC546D2" w14:textId="77777777" w:rsidR="000D07EA" w:rsidRDefault="00BE7C89">
            <w:pPr>
              <w:pStyle w:val="BodyText"/>
              <w:spacing w:before="100" w:after="100"/>
              <w:jc w:val="center"/>
              <w:rPr>
                <w:rFonts w:eastAsia="Times New Roman"/>
                <w:b/>
                <w:bCs/>
                <w:szCs w:val="22"/>
              </w:rPr>
            </w:pPr>
            <w:r>
              <w:rPr>
                <w:rFonts w:eastAsia="Times New Roman"/>
                <w:b/>
                <w:bCs/>
                <w:szCs w:val="22"/>
              </w:rPr>
              <w:t xml:space="preserve">'yes' Business Smart 20+ </w:t>
            </w:r>
            <w:r>
              <w:rPr>
                <w:rFonts w:eastAsia="Times New Roman"/>
                <w:b/>
                <w:bCs/>
                <w:szCs w:val="22"/>
              </w:rPr>
              <w:br/>
              <w:t>100 Plan</w:t>
            </w:r>
          </w:p>
        </w:tc>
      </w:tr>
      <w:tr w:rsidR="000D07EA" w14:paraId="315CE5E1" w14:textId="77777777">
        <w:tc>
          <w:tcPr>
            <w:tcW w:w="1151" w:type="pct"/>
            <w:shd w:val="clear" w:color="auto" w:fill="auto"/>
            <w:vAlign w:val="center"/>
          </w:tcPr>
          <w:p w14:paraId="24C730B9" w14:textId="77777777" w:rsidR="000D07EA" w:rsidRDefault="00BE7C89">
            <w:pPr>
              <w:pStyle w:val="BodyText"/>
              <w:spacing w:before="100" w:after="100"/>
              <w:jc w:val="center"/>
              <w:rPr>
                <w:rFonts w:eastAsia="Times New Roman"/>
                <w:b/>
                <w:bCs/>
                <w:szCs w:val="22"/>
              </w:rPr>
            </w:pPr>
            <w:r>
              <w:rPr>
                <w:rFonts w:eastAsia="Times New Roman"/>
                <w:b/>
                <w:bCs/>
                <w:szCs w:val="22"/>
              </w:rPr>
              <w:t>24 month Technology Fund</w:t>
            </w:r>
          </w:p>
        </w:tc>
        <w:tc>
          <w:tcPr>
            <w:tcW w:w="769" w:type="pct"/>
            <w:shd w:val="clear" w:color="auto" w:fill="auto"/>
            <w:vAlign w:val="center"/>
          </w:tcPr>
          <w:p w14:paraId="08A4FCD5" w14:textId="77777777" w:rsidR="000D07EA" w:rsidRDefault="00BE7C89">
            <w:pPr>
              <w:pStyle w:val="BodyText"/>
              <w:spacing w:before="100" w:after="100"/>
              <w:jc w:val="center"/>
              <w:rPr>
                <w:rFonts w:eastAsia="Times New Roman"/>
                <w:bCs/>
                <w:szCs w:val="22"/>
              </w:rPr>
            </w:pPr>
            <w:r>
              <w:rPr>
                <w:rFonts w:eastAsia="Times New Roman"/>
                <w:bCs/>
                <w:szCs w:val="22"/>
              </w:rPr>
              <w:t>$109.09</w:t>
            </w:r>
            <w:r>
              <w:rPr>
                <w:rFonts w:eastAsia="Times New Roman"/>
                <w:bCs/>
                <w:szCs w:val="22"/>
              </w:rPr>
              <w:br/>
              <w:t>($120)</w:t>
            </w:r>
          </w:p>
        </w:tc>
        <w:tc>
          <w:tcPr>
            <w:tcW w:w="770" w:type="pct"/>
            <w:shd w:val="clear" w:color="auto" w:fill="auto"/>
            <w:vAlign w:val="center"/>
          </w:tcPr>
          <w:p w14:paraId="3C841FC4" w14:textId="77777777" w:rsidR="000D07EA" w:rsidRDefault="00BE7C89">
            <w:pPr>
              <w:pStyle w:val="BodyText"/>
              <w:spacing w:before="100" w:after="100"/>
              <w:jc w:val="center"/>
              <w:rPr>
                <w:rFonts w:eastAsia="Times New Roman"/>
                <w:bCs/>
                <w:szCs w:val="22"/>
              </w:rPr>
            </w:pPr>
            <w:r>
              <w:rPr>
                <w:rFonts w:eastAsia="Times New Roman"/>
                <w:bCs/>
                <w:szCs w:val="22"/>
              </w:rPr>
              <w:t>$145.45</w:t>
            </w:r>
            <w:r>
              <w:rPr>
                <w:rFonts w:eastAsia="Times New Roman"/>
                <w:bCs/>
                <w:szCs w:val="22"/>
              </w:rPr>
              <w:br/>
              <w:t>($160)</w:t>
            </w:r>
          </w:p>
        </w:tc>
        <w:tc>
          <w:tcPr>
            <w:tcW w:w="770" w:type="pct"/>
            <w:shd w:val="clear" w:color="auto" w:fill="auto"/>
            <w:vAlign w:val="center"/>
          </w:tcPr>
          <w:p w14:paraId="33C3785F" w14:textId="77777777" w:rsidR="000D07EA" w:rsidRDefault="00BE7C89">
            <w:pPr>
              <w:pStyle w:val="BodyText"/>
              <w:spacing w:before="100" w:after="100"/>
              <w:jc w:val="center"/>
              <w:rPr>
                <w:rFonts w:eastAsia="Times New Roman"/>
                <w:bCs/>
                <w:szCs w:val="22"/>
              </w:rPr>
            </w:pPr>
            <w:r>
              <w:rPr>
                <w:rFonts w:eastAsia="Times New Roman"/>
                <w:bCs/>
                <w:szCs w:val="22"/>
              </w:rPr>
              <w:t>$263.63</w:t>
            </w:r>
            <w:r>
              <w:rPr>
                <w:rFonts w:eastAsia="Times New Roman"/>
                <w:bCs/>
                <w:szCs w:val="22"/>
              </w:rPr>
              <w:br/>
              <w:t>($290)</w:t>
            </w:r>
          </w:p>
        </w:tc>
        <w:tc>
          <w:tcPr>
            <w:tcW w:w="770" w:type="pct"/>
            <w:shd w:val="clear" w:color="auto" w:fill="auto"/>
            <w:vAlign w:val="center"/>
          </w:tcPr>
          <w:p w14:paraId="6CEDAA01" w14:textId="77777777" w:rsidR="000D07EA" w:rsidRDefault="00BE7C89">
            <w:pPr>
              <w:pStyle w:val="BodyText"/>
              <w:spacing w:before="100" w:after="100"/>
              <w:jc w:val="center"/>
              <w:rPr>
                <w:rFonts w:eastAsia="Times New Roman"/>
                <w:bCs/>
                <w:szCs w:val="22"/>
              </w:rPr>
            </w:pPr>
            <w:r>
              <w:rPr>
                <w:rFonts w:eastAsia="Times New Roman"/>
                <w:bCs/>
                <w:szCs w:val="22"/>
              </w:rPr>
              <w:t>$377.27</w:t>
            </w:r>
            <w:r>
              <w:rPr>
                <w:rFonts w:eastAsia="Times New Roman"/>
                <w:bCs/>
                <w:szCs w:val="22"/>
              </w:rPr>
              <w:br/>
              <w:t>($415)</w:t>
            </w:r>
          </w:p>
        </w:tc>
        <w:tc>
          <w:tcPr>
            <w:tcW w:w="769" w:type="pct"/>
            <w:shd w:val="clear" w:color="auto" w:fill="auto"/>
            <w:vAlign w:val="center"/>
          </w:tcPr>
          <w:p w14:paraId="749FCBDD" w14:textId="77777777" w:rsidR="000D07EA" w:rsidRDefault="00BE7C89">
            <w:pPr>
              <w:pStyle w:val="BodyText"/>
              <w:spacing w:before="100" w:after="100"/>
              <w:jc w:val="center"/>
              <w:rPr>
                <w:rFonts w:eastAsia="Times New Roman"/>
                <w:bCs/>
                <w:szCs w:val="22"/>
              </w:rPr>
            </w:pPr>
            <w:r>
              <w:rPr>
                <w:rFonts w:eastAsia="Times New Roman"/>
                <w:bCs/>
                <w:szCs w:val="22"/>
              </w:rPr>
              <w:t>$468.18</w:t>
            </w:r>
            <w:r>
              <w:rPr>
                <w:rFonts w:eastAsia="Times New Roman"/>
                <w:bCs/>
                <w:szCs w:val="22"/>
              </w:rPr>
              <w:br/>
              <w:t>($515)</w:t>
            </w:r>
          </w:p>
        </w:tc>
      </w:tr>
      <w:tr w:rsidR="000D07EA" w14:paraId="24585334" w14:textId="77777777">
        <w:tc>
          <w:tcPr>
            <w:tcW w:w="1151" w:type="pct"/>
            <w:shd w:val="clear" w:color="auto" w:fill="auto"/>
            <w:vAlign w:val="center"/>
          </w:tcPr>
          <w:p w14:paraId="53EBC7AC" w14:textId="77777777" w:rsidR="000D07EA" w:rsidRDefault="00BE7C89">
            <w:pPr>
              <w:pStyle w:val="BodyText"/>
              <w:spacing w:before="100" w:after="100"/>
              <w:jc w:val="center"/>
              <w:rPr>
                <w:rFonts w:eastAsia="Times New Roman"/>
                <w:b/>
                <w:bCs/>
                <w:szCs w:val="22"/>
              </w:rPr>
            </w:pPr>
            <w:r>
              <w:rPr>
                <w:rFonts w:eastAsia="Times New Roman"/>
                <w:b/>
                <w:bCs/>
                <w:szCs w:val="22"/>
              </w:rPr>
              <w:t>12 month Technology Fund</w:t>
            </w:r>
          </w:p>
        </w:tc>
        <w:tc>
          <w:tcPr>
            <w:tcW w:w="769" w:type="pct"/>
            <w:shd w:val="clear" w:color="auto" w:fill="auto"/>
            <w:vAlign w:val="center"/>
          </w:tcPr>
          <w:p w14:paraId="1757F0A5" w14:textId="77777777" w:rsidR="000D07EA" w:rsidRDefault="00BE7C89">
            <w:pPr>
              <w:pStyle w:val="BodyText"/>
              <w:spacing w:before="100" w:after="100"/>
              <w:jc w:val="center"/>
              <w:rPr>
                <w:rFonts w:eastAsia="Times New Roman"/>
                <w:bCs/>
                <w:szCs w:val="22"/>
              </w:rPr>
            </w:pPr>
            <w:r>
              <w:rPr>
                <w:rFonts w:eastAsia="Times New Roman"/>
                <w:bCs/>
                <w:szCs w:val="22"/>
              </w:rPr>
              <w:t>$58.18</w:t>
            </w:r>
            <w:r>
              <w:rPr>
                <w:rFonts w:eastAsia="Times New Roman"/>
                <w:bCs/>
                <w:szCs w:val="22"/>
              </w:rPr>
              <w:br/>
              <w:t>($64)</w:t>
            </w:r>
          </w:p>
        </w:tc>
        <w:tc>
          <w:tcPr>
            <w:tcW w:w="770" w:type="pct"/>
            <w:shd w:val="clear" w:color="auto" w:fill="auto"/>
            <w:vAlign w:val="center"/>
          </w:tcPr>
          <w:p w14:paraId="23B7B7A5" w14:textId="77777777" w:rsidR="000D07EA" w:rsidRDefault="00BE7C89">
            <w:pPr>
              <w:pStyle w:val="BodyText"/>
              <w:spacing w:before="100" w:after="100"/>
              <w:jc w:val="center"/>
              <w:rPr>
                <w:rFonts w:eastAsia="Times New Roman"/>
                <w:bCs/>
                <w:szCs w:val="22"/>
              </w:rPr>
            </w:pPr>
            <w:r>
              <w:rPr>
                <w:rFonts w:eastAsia="Times New Roman"/>
                <w:bCs/>
                <w:szCs w:val="22"/>
              </w:rPr>
              <w:t>$76.36</w:t>
            </w:r>
            <w:r>
              <w:rPr>
                <w:rFonts w:eastAsia="Times New Roman"/>
                <w:bCs/>
                <w:szCs w:val="22"/>
              </w:rPr>
              <w:br/>
              <w:t>($84)</w:t>
            </w:r>
          </w:p>
        </w:tc>
        <w:tc>
          <w:tcPr>
            <w:tcW w:w="770" w:type="pct"/>
            <w:shd w:val="clear" w:color="auto" w:fill="auto"/>
            <w:vAlign w:val="center"/>
          </w:tcPr>
          <w:p w14:paraId="5A0CF647" w14:textId="77777777" w:rsidR="000D07EA" w:rsidRDefault="00BE7C89">
            <w:pPr>
              <w:pStyle w:val="BodyText"/>
              <w:spacing w:before="100" w:after="100"/>
              <w:jc w:val="center"/>
              <w:rPr>
                <w:rFonts w:eastAsia="Times New Roman"/>
                <w:bCs/>
                <w:szCs w:val="22"/>
              </w:rPr>
            </w:pPr>
            <w:r>
              <w:rPr>
                <w:rFonts w:eastAsia="Times New Roman"/>
                <w:bCs/>
                <w:szCs w:val="22"/>
              </w:rPr>
              <w:t>$134.54</w:t>
            </w:r>
            <w:r>
              <w:rPr>
                <w:rFonts w:eastAsia="Times New Roman"/>
                <w:bCs/>
                <w:szCs w:val="22"/>
              </w:rPr>
              <w:br/>
              <w:t>($148)</w:t>
            </w:r>
          </w:p>
        </w:tc>
        <w:tc>
          <w:tcPr>
            <w:tcW w:w="770" w:type="pct"/>
            <w:shd w:val="clear" w:color="auto" w:fill="auto"/>
            <w:vAlign w:val="center"/>
          </w:tcPr>
          <w:p w14:paraId="3E50EA9E" w14:textId="77777777" w:rsidR="000D07EA" w:rsidRDefault="00BE7C89">
            <w:pPr>
              <w:pStyle w:val="BodyText"/>
              <w:spacing w:before="100" w:after="100"/>
              <w:jc w:val="center"/>
              <w:rPr>
                <w:rFonts w:eastAsia="Times New Roman"/>
                <w:bCs/>
                <w:szCs w:val="22"/>
              </w:rPr>
            </w:pPr>
            <w:r>
              <w:rPr>
                <w:rFonts w:eastAsia="Times New Roman"/>
                <w:bCs/>
                <w:szCs w:val="22"/>
              </w:rPr>
              <w:t>$167.27</w:t>
            </w:r>
            <w:r>
              <w:rPr>
                <w:rFonts w:eastAsia="Times New Roman"/>
                <w:bCs/>
                <w:szCs w:val="22"/>
              </w:rPr>
              <w:br/>
              <w:t>($184)</w:t>
            </w:r>
          </w:p>
        </w:tc>
        <w:tc>
          <w:tcPr>
            <w:tcW w:w="769" w:type="pct"/>
            <w:shd w:val="clear" w:color="auto" w:fill="auto"/>
            <w:vAlign w:val="center"/>
          </w:tcPr>
          <w:p w14:paraId="41458DA9" w14:textId="77777777" w:rsidR="000D07EA" w:rsidRDefault="00BE7C89">
            <w:pPr>
              <w:pStyle w:val="BodyText"/>
              <w:spacing w:before="100" w:after="100"/>
              <w:jc w:val="center"/>
              <w:rPr>
                <w:rFonts w:eastAsia="Times New Roman"/>
                <w:bCs/>
                <w:szCs w:val="22"/>
              </w:rPr>
            </w:pPr>
            <w:r>
              <w:rPr>
                <w:rFonts w:eastAsia="Times New Roman"/>
                <w:bCs/>
                <w:szCs w:val="22"/>
              </w:rPr>
              <w:t>$207.27</w:t>
            </w:r>
            <w:r>
              <w:rPr>
                <w:rFonts w:eastAsia="Times New Roman"/>
                <w:bCs/>
                <w:szCs w:val="22"/>
              </w:rPr>
              <w:br/>
              <w:t>($228)</w:t>
            </w:r>
          </w:p>
        </w:tc>
      </w:tr>
    </w:tbl>
    <w:p w14:paraId="6B7CBE51" w14:textId="77777777" w:rsidR="000D07EA" w:rsidRDefault="00BE7C89">
      <w:pPr>
        <w:pStyle w:val="Heading4"/>
        <w:spacing w:before="240"/>
        <w:ind w:left="720" w:hanging="720"/>
      </w:pPr>
      <w:bookmarkStart w:id="169" w:name="_Toc62644616"/>
      <w:r>
        <w:t>'yes' Business Plans for iPhone 3G (29, 39, 49, 59, 79, 99, 149, 249)</w:t>
      </w:r>
      <w:bookmarkEnd w:id="169"/>
    </w:p>
    <w:p w14:paraId="2B9E0DC2" w14:textId="77777777" w:rsidR="000D07EA" w:rsidRDefault="00BE7C89">
      <w:pPr>
        <w:pStyle w:val="Heading6"/>
        <w:ind w:left="0" w:firstLine="0"/>
      </w:pPr>
      <w:r>
        <w:t>Eligibility</w:t>
      </w:r>
    </w:p>
    <w:p w14:paraId="69828758" w14:textId="77777777" w:rsidR="000D07EA" w:rsidRDefault="00BE7C89">
      <w:pPr>
        <w:pStyle w:val="Heading7"/>
      </w:pPr>
      <w:r>
        <w:t xml:space="preserve">The 'yes' Business Plan for iPhone 3G </w:t>
      </w:r>
      <w:r>
        <w:rPr>
          <w:i/>
        </w:rPr>
        <w:t>pricing plans</w:t>
      </w:r>
      <w:r>
        <w:t xml:space="preserve"> are available under special offers to customers </w:t>
      </w:r>
      <w:r>
        <w:rPr>
          <w:i/>
        </w:rPr>
        <w:t>we</w:t>
      </w:r>
      <w:r>
        <w:t xml:space="preserve"> classify as </w:t>
      </w:r>
      <w:r>
        <w:rPr>
          <w:i/>
        </w:rPr>
        <w:t>small or medium enterprise</w:t>
      </w:r>
      <w:r>
        <w:t xml:space="preserve"> customers.</w:t>
      </w:r>
    </w:p>
    <w:p w14:paraId="4F8F19D4" w14:textId="77777777" w:rsidR="000D07EA" w:rsidRDefault="00BE7C89">
      <w:pPr>
        <w:pStyle w:val="Heading7"/>
      </w:pPr>
      <w:r>
        <w:t xml:space="preserve">Customers ordering a </w:t>
      </w:r>
      <w:r>
        <w:rPr>
          <w:i/>
        </w:rPr>
        <w:t>mobile phone</w:t>
      </w:r>
      <w:r>
        <w:t xml:space="preserve"> with an </w:t>
      </w:r>
      <w:r>
        <w:rPr>
          <w:i/>
        </w:rPr>
        <w:t>Optus SIM card</w:t>
      </w:r>
      <w:r>
        <w:t xml:space="preserve"> on the 'yes' Business Plan for iPhone 3G </w:t>
      </w:r>
      <w:r>
        <w:rPr>
          <w:i/>
        </w:rPr>
        <w:t>pricing plan</w:t>
      </w:r>
      <w:r>
        <w:t xml:space="preserve"> must be connected to that </w:t>
      </w:r>
      <w:r>
        <w:rPr>
          <w:i/>
        </w:rPr>
        <w:t>pricing plan</w:t>
      </w:r>
      <w:r>
        <w:t xml:space="preserve"> and activated within 14 days after delivery.</w:t>
      </w:r>
    </w:p>
    <w:p w14:paraId="3FDEB235" w14:textId="77777777" w:rsidR="000D07EA" w:rsidRDefault="00BE7C89">
      <w:pPr>
        <w:pStyle w:val="Heading7"/>
      </w:pPr>
      <w:r>
        <w:t xml:space="preserve">The 'yes' Business Plans for iPhone 3G are only available to </w:t>
      </w:r>
      <w:r>
        <w:rPr>
          <w:i/>
        </w:rPr>
        <w:t>you</w:t>
      </w:r>
      <w:r>
        <w:t xml:space="preserve"> if </w:t>
      </w:r>
      <w:r>
        <w:rPr>
          <w:i/>
        </w:rPr>
        <w:t>you</w:t>
      </w:r>
      <w:r>
        <w:t xml:space="preserve"> use an iPhone handset which remains connected on this plan. If </w:t>
      </w:r>
      <w:r>
        <w:rPr>
          <w:i/>
        </w:rPr>
        <w:t>your</w:t>
      </w:r>
      <w:r>
        <w:t xml:space="preserve"> iPhone handset is no longer used and connected on the 'yes' Business Plan for iPhone 3G then Optus will transfer </w:t>
      </w:r>
      <w:r>
        <w:rPr>
          <w:i/>
        </w:rPr>
        <w:t>your</w:t>
      </w:r>
      <w:r>
        <w:t xml:space="preserve"> service to an equivalent non iPhone rate plan;</w:t>
      </w:r>
    </w:p>
    <w:p w14:paraId="5D676D13" w14:textId="77777777" w:rsidR="000D07EA" w:rsidRDefault="00BE7C89">
      <w:pPr>
        <w:pStyle w:val="Heading7"/>
      </w:pPr>
      <w:r>
        <w:t xml:space="preserve">If </w:t>
      </w:r>
      <w:r>
        <w:rPr>
          <w:i/>
        </w:rPr>
        <w:t>you</w:t>
      </w:r>
      <w:r>
        <w:t xml:space="preserve"> are an existing customer </w:t>
      </w:r>
      <w:r>
        <w:rPr>
          <w:i/>
        </w:rPr>
        <w:t>you</w:t>
      </w:r>
      <w:r>
        <w:t xml:space="preserve"> may only transfer to the 'yes' Business Plans for iPhone 3G with </w:t>
      </w:r>
      <w:r>
        <w:rPr>
          <w:i/>
        </w:rPr>
        <w:t>our</w:t>
      </w:r>
      <w:r>
        <w:t xml:space="preserve"> approval.</w:t>
      </w:r>
    </w:p>
    <w:p w14:paraId="63D0593A" w14:textId="77777777" w:rsidR="000D07EA" w:rsidRDefault="00BE7C89">
      <w:pPr>
        <w:pStyle w:val="Heading6"/>
        <w:ind w:left="0" w:firstLine="0"/>
      </w:pPr>
      <w:r>
        <w:t xml:space="preserve">Is it a </w:t>
      </w:r>
      <w:r>
        <w:rPr>
          <w:i/>
        </w:rPr>
        <w:t>fixed length agreement</w:t>
      </w:r>
      <w:r>
        <w:t>?</w:t>
      </w:r>
    </w:p>
    <w:p w14:paraId="4AFBF26B" w14:textId="77777777" w:rsidR="000D07EA" w:rsidRDefault="00BE7C89">
      <w:pPr>
        <w:pStyle w:val="Heading7"/>
      </w:pPr>
      <w:r>
        <w:lastRenderedPageBreak/>
        <w:t xml:space="preserve">To connect to the 'yes' Business Plan for iPhone 3G </w:t>
      </w:r>
      <w:r>
        <w:rPr>
          <w:i/>
        </w:rPr>
        <w:t>pricing plans you</w:t>
      </w:r>
      <w:r>
        <w:t xml:space="preserve"> must agree to enter into a </w:t>
      </w:r>
      <w:r>
        <w:rPr>
          <w:i/>
        </w:rPr>
        <w:t>fixed length agreement</w:t>
      </w:r>
      <w:r>
        <w:t xml:space="preserve"> for a </w:t>
      </w:r>
      <w:r>
        <w:rPr>
          <w:i/>
        </w:rPr>
        <w:t>minimum term</w:t>
      </w:r>
      <w:r>
        <w:t xml:space="preserve"> as specified below, up to 5 years, or such other term as </w:t>
      </w:r>
      <w:r>
        <w:rPr>
          <w:i/>
        </w:rPr>
        <w:t>you</w:t>
      </w:r>
      <w:r>
        <w:t xml:space="preserve"> and </w:t>
      </w:r>
      <w:r>
        <w:rPr>
          <w:i/>
        </w:rPr>
        <w:t>we</w:t>
      </w:r>
      <w:r>
        <w:t xml:space="preserve"> agree (</w:t>
      </w:r>
      <w:r>
        <w:rPr>
          <w:i/>
        </w:rPr>
        <w:t>minimum term</w:t>
      </w:r>
      <w:r>
        <w:t>).</w:t>
      </w:r>
    </w:p>
    <w:p w14:paraId="3E8FBF60" w14:textId="77777777" w:rsidR="000D07EA" w:rsidRDefault="00BE7C89">
      <w:pPr>
        <w:pStyle w:val="Heading6"/>
        <w:ind w:left="0" w:firstLine="0"/>
      </w:pPr>
      <w:r>
        <w:t xml:space="preserve">What </w:t>
      </w:r>
      <w:r>
        <w:rPr>
          <w:i/>
        </w:rPr>
        <w:t>you</w:t>
      </w:r>
      <w:r>
        <w:t xml:space="preserve"> have to pay </w:t>
      </w:r>
      <w:r>
        <w:rPr>
          <w:i/>
        </w:rPr>
        <w:t>us</w:t>
      </w:r>
    </w:p>
    <w:p w14:paraId="2BAD8AD0" w14:textId="77777777" w:rsidR="000D07EA" w:rsidRDefault="00BE7C89">
      <w:pPr>
        <w:pStyle w:val="Heading7"/>
      </w:pPr>
      <w:r>
        <w:t xml:space="preserve">If </w:t>
      </w:r>
      <w:r>
        <w:rPr>
          <w:i/>
        </w:rPr>
        <w:t>you</w:t>
      </w:r>
      <w:r>
        <w:t xml:space="preserve"> connect to these </w:t>
      </w:r>
      <w:r>
        <w:rPr>
          <w:i/>
        </w:rPr>
        <w:t>pricing plans you</w:t>
      </w:r>
      <w:r>
        <w:t xml:space="preserve"> are also required to incur usage charges each month (</w:t>
      </w:r>
      <w:r>
        <w:rPr>
          <w:i/>
        </w:rPr>
        <w:t>Optus SIM cards</w:t>
      </w:r>
      <w:r>
        <w:t xml:space="preserve"> which do not incur usage are not permitted).</w:t>
      </w:r>
    </w:p>
    <w:p w14:paraId="3BB3053C" w14:textId="77777777" w:rsidR="000D07EA" w:rsidRDefault="00BE7C89">
      <w:pPr>
        <w:pStyle w:val="Heading7"/>
      </w:pPr>
      <w:r>
        <w:t xml:space="preserve">If activation or usage does not occur, </w:t>
      </w:r>
      <w:r>
        <w:rPr>
          <w:i/>
        </w:rPr>
        <w:t>we</w:t>
      </w:r>
      <w:r>
        <w:t xml:space="preserve"> may </w:t>
      </w:r>
      <w:r>
        <w:rPr>
          <w:i/>
        </w:rPr>
        <w:t>cancel</w:t>
      </w:r>
      <w:r>
        <w:t xml:space="preserve"> the </w:t>
      </w:r>
      <w:r>
        <w:rPr>
          <w:i/>
        </w:rPr>
        <w:t>agreement</w:t>
      </w:r>
      <w:r>
        <w:t xml:space="preserve"> and </w:t>
      </w:r>
      <w:r>
        <w:rPr>
          <w:i/>
        </w:rPr>
        <w:t>you</w:t>
      </w:r>
      <w:r>
        <w:t xml:space="preserve"> will be required to pay </w:t>
      </w:r>
      <w:r>
        <w:rPr>
          <w:i/>
        </w:rPr>
        <w:t>us</w:t>
      </w:r>
      <w:r>
        <w:t xml:space="preserve"> the relevant </w:t>
      </w:r>
      <w:r>
        <w:rPr>
          <w:i/>
        </w:rPr>
        <w:t>cancellation fee</w:t>
      </w:r>
      <w:r>
        <w:t xml:space="preserve">, if applicable, specified in the table in </w:t>
      </w:r>
      <w:r w:rsidRPr="00272628">
        <w:t>paragraph 32.5 below.</w:t>
      </w:r>
    </w:p>
    <w:p w14:paraId="5DDCA710" w14:textId="77777777" w:rsidR="000D07EA" w:rsidRDefault="00BE7C89">
      <w:pPr>
        <w:pStyle w:val="Heading6"/>
        <w:ind w:left="0" w:firstLine="0"/>
      </w:pPr>
      <w:r>
        <w:t>Pricing</w:t>
      </w:r>
    </w:p>
    <w:p w14:paraId="7501E99A" w14:textId="77777777" w:rsidR="000D07EA" w:rsidRDefault="00BE7C89">
      <w:pPr>
        <w:pStyle w:val="Heading7"/>
      </w:pPr>
      <w:r>
        <w:t xml:space="preserve">The 'yes' Business Plan for iPhone 3G </w:t>
      </w:r>
      <w:r>
        <w:rPr>
          <w:i/>
        </w:rPr>
        <w:t>pricing plans</w:t>
      </w:r>
      <w:r>
        <w:t xml:space="preserve"> include a </w:t>
      </w:r>
      <w:r>
        <w:rPr>
          <w:i/>
        </w:rPr>
        <w:t>flagfall</w:t>
      </w:r>
      <w:r>
        <w:t xml:space="preserve"> per call as specified in the table below, for </w:t>
      </w:r>
      <w:r>
        <w:rPr>
          <w:i/>
        </w:rPr>
        <w:t>local calls</w:t>
      </w:r>
      <w:r>
        <w:t xml:space="preserve"> and </w:t>
      </w:r>
      <w:r>
        <w:rPr>
          <w:i/>
        </w:rPr>
        <w:t>national calls</w:t>
      </w:r>
      <w:r>
        <w:t xml:space="preserve"> and calls to </w:t>
      </w:r>
      <w:r>
        <w:rPr>
          <w:i/>
        </w:rPr>
        <w:t>mobile phones</w:t>
      </w:r>
      <w:r>
        <w:t xml:space="preserve">. So the charge for these calls is the </w:t>
      </w:r>
      <w:r>
        <w:rPr>
          <w:i/>
        </w:rPr>
        <w:t>flagfall</w:t>
      </w:r>
      <w:r>
        <w:t xml:space="preserve"> plus the relevant rate multiplied by the duration of the call. The </w:t>
      </w:r>
      <w:r>
        <w:rPr>
          <w:i/>
        </w:rPr>
        <w:t>flagfall</w:t>
      </w:r>
      <w:r>
        <w:t xml:space="preserve"> is not applicable to calls made under the "SmartFleet" and "Back2Business" call rates.</w:t>
      </w:r>
    </w:p>
    <w:p w14:paraId="656B9C26" w14:textId="77777777" w:rsidR="000D07EA" w:rsidRDefault="00BE7C89">
      <w:pPr>
        <w:pStyle w:val="Heading7"/>
      </w:pPr>
      <w:r>
        <w:t xml:space="preserve">'yes' Business Plan for iPhone 3G </w:t>
      </w:r>
      <w:r>
        <w:rPr>
          <w:i/>
        </w:rPr>
        <w:t>pricing plans</w:t>
      </w:r>
      <w:r>
        <w:t xml:space="preserve"> include an option called "SmartRate"; customers can choose between reduced rates to GSM Mobile OR Fixed Line numbers. This rate is dependent upon </w:t>
      </w:r>
      <w:r>
        <w:rPr>
          <w:i/>
        </w:rPr>
        <w:t>your</w:t>
      </w:r>
      <w:r>
        <w:t xml:space="preserve"> selected 'yes' Business rate plan for iPhone 3G.</w:t>
      </w:r>
    </w:p>
    <w:p w14:paraId="6C524A86" w14:textId="77777777" w:rsidR="000D07EA" w:rsidRDefault="00BE7C89">
      <w:pPr>
        <w:pStyle w:val="Heading8"/>
      </w:pPr>
      <w:r>
        <w:t xml:space="preserve">For the 'yes' Business Plan 29, 39 and 49 for iPhone 3G </w:t>
      </w:r>
      <w:r>
        <w:rPr>
          <w:i/>
        </w:rPr>
        <w:t>pricing plans</w:t>
      </w:r>
      <w:r>
        <w:t xml:space="preserve"> the "SmartRate" rate of the 'yes' Business Plan for iPhone 3G </w:t>
      </w:r>
      <w:r>
        <w:rPr>
          <w:i/>
        </w:rPr>
        <w:t>pricing plans</w:t>
      </w:r>
      <w:r>
        <w:t xml:space="preserve"> to either another </w:t>
      </w:r>
      <w:r>
        <w:rPr>
          <w:i/>
        </w:rPr>
        <w:t>mobile phone</w:t>
      </w:r>
      <w:r>
        <w:t xml:space="preserve"> on any Australian GSM mobile network (excluding satellite phones) or Fixed Lines in Australia for calls made and received within Australia will be charged $0.10 ($0.11) per 30 seconds or part thereof. </w:t>
      </w:r>
      <w:r>
        <w:rPr>
          <w:i/>
        </w:rPr>
        <w:t>Flagfall</w:t>
      </w:r>
      <w:r>
        <w:t xml:space="preserve"> per call is $0.20 ($0.22) if </w:t>
      </w:r>
      <w:r>
        <w:rPr>
          <w:i/>
        </w:rPr>
        <w:t>you</w:t>
      </w:r>
      <w:r>
        <w:t xml:space="preserve"> are connected to 'yes' Business Plan for iPhone 3G 29 and 39 </w:t>
      </w:r>
      <w:r>
        <w:rPr>
          <w:i/>
        </w:rPr>
        <w:t>pricing plans</w:t>
      </w:r>
      <w:r>
        <w:t xml:space="preserve"> and $0.18 ($0.20) if </w:t>
      </w:r>
      <w:r>
        <w:rPr>
          <w:i/>
        </w:rPr>
        <w:t>you</w:t>
      </w:r>
      <w:r>
        <w:t xml:space="preserve"> are connected to 'yes' Business Plan for iPhone 3G 49.</w:t>
      </w:r>
    </w:p>
    <w:p w14:paraId="2C01E606" w14:textId="77777777" w:rsidR="000D07EA" w:rsidRDefault="00BE7C89">
      <w:pPr>
        <w:pStyle w:val="Heading8"/>
      </w:pPr>
      <w:r>
        <w:t xml:space="preserve">For the 'yes' Business Plan 59, 79, 99, 149 and 249 for iPhone 3G </w:t>
      </w:r>
      <w:r>
        <w:rPr>
          <w:i/>
        </w:rPr>
        <w:t>pricing plans</w:t>
      </w:r>
      <w:r>
        <w:t xml:space="preserve"> the "SmartRate" rate of the 'yes' Business Plan for iPhone 3G </w:t>
      </w:r>
      <w:r>
        <w:rPr>
          <w:i/>
        </w:rPr>
        <w:t>pricing plans</w:t>
      </w:r>
      <w:r>
        <w:t xml:space="preserve"> to either another </w:t>
      </w:r>
      <w:r>
        <w:rPr>
          <w:i/>
        </w:rPr>
        <w:t>mobile phone</w:t>
      </w:r>
      <w:r>
        <w:t xml:space="preserve"> on any Australian GSM mobile network (excluding satellite phones) or Fixed Lines in Australia for calls made and received within Australia will be charged $0.09 ($0.10) per 30 seconds or part thereof. </w:t>
      </w:r>
      <w:r>
        <w:rPr>
          <w:i/>
        </w:rPr>
        <w:t>Flagfall</w:t>
      </w:r>
      <w:r>
        <w:t xml:space="preserve"> per call is $0.18 ($0.20) if </w:t>
      </w:r>
      <w:r>
        <w:rPr>
          <w:i/>
        </w:rPr>
        <w:t>you</w:t>
      </w:r>
      <w:r>
        <w:t xml:space="preserve"> are connected to 'yes' Business 59, 79, 99, 149 and 249 for iPhone 3G.</w:t>
      </w:r>
    </w:p>
    <w:p w14:paraId="5FE24B05" w14:textId="77777777" w:rsidR="000D07EA" w:rsidRDefault="00BE7C89">
      <w:pPr>
        <w:pStyle w:val="Heading7"/>
      </w:pPr>
      <w:r>
        <w:t xml:space="preserve">'yes' Business Plan for iPhone 3G </w:t>
      </w:r>
      <w:r>
        <w:rPr>
          <w:i/>
        </w:rPr>
        <w:t>pricing plans</w:t>
      </w:r>
      <w:r>
        <w:t xml:space="preserve"> include the "SmartFleet" call rate. It applies to calls to another GSM mobile </w:t>
      </w:r>
      <w:r>
        <w:rPr>
          <w:i/>
        </w:rPr>
        <w:t>service</w:t>
      </w:r>
      <w:r>
        <w:t xml:space="preserve"> on the same customer account number. Calls are charged at $0. No </w:t>
      </w:r>
      <w:r>
        <w:rPr>
          <w:i/>
        </w:rPr>
        <w:t>flagfall</w:t>
      </w:r>
      <w:r>
        <w:t xml:space="preserve"> applies. Excludes calls to Optus Pre-Paid, Satellite and service provider customers. Applies to calls made and received in Australia. Fair Go Policy (</w:t>
      </w:r>
      <w:hyperlink r:id="rId74" w:history="1">
        <w:r>
          <w:rPr>
            <w:rStyle w:val="Hyperlink"/>
            <w:i/>
          </w:rPr>
          <w:t>Appendix S</w:t>
        </w:r>
      </w:hyperlink>
      <w:r>
        <w:t xml:space="preserve">) applies. Note: Standard call exclusions (see section 1 of this </w:t>
      </w:r>
      <w:r>
        <w:rPr>
          <w:i/>
        </w:rPr>
        <w:t>standard pricing table</w:t>
      </w:r>
      <w:r>
        <w:t>) apply to the "SmartRate" and "SmartFleet" call rates.</w:t>
      </w:r>
    </w:p>
    <w:p w14:paraId="0764ECAA" w14:textId="77777777" w:rsidR="000D07EA" w:rsidRDefault="00BE7C89">
      <w:pPr>
        <w:pStyle w:val="Heading7"/>
      </w:pPr>
      <w:r>
        <w:t xml:space="preserve">Upon request, customers may set up a Back2Business (B2B) service: pay 30c for 10 minute calls to 3 numbers, 24 x 7. Only 3 B2B numbers per YBI service. If </w:t>
      </w:r>
      <w:r>
        <w:rPr>
          <w:i/>
        </w:rPr>
        <w:t>you</w:t>
      </w:r>
      <w:r>
        <w:t xml:space="preserve"> combine your YBI service with Optus Fixed Line and / or Data </w:t>
      </w:r>
      <w:r>
        <w:rPr>
          <w:i/>
        </w:rPr>
        <w:t>you</w:t>
      </w:r>
      <w:r>
        <w:t xml:space="preserve"> will receive free 10 minute calls. The 3 nominated numbers must be either eligible Optus GSM mobile(s) and / or fixed line(s), as defined by Optus and cannot be a 13, 1300, 1800 or 1900 number. Calls must be made and received within Australia and excludes video calls. After the first 10 minutes standard call rates apply. </w:t>
      </w:r>
      <w:r>
        <w:rPr>
          <w:i/>
        </w:rPr>
        <w:t>You</w:t>
      </w:r>
      <w:r>
        <w:t xml:space="preserve"> may change </w:t>
      </w:r>
      <w:r>
        <w:rPr>
          <w:i/>
        </w:rPr>
        <w:t>your</w:t>
      </w:r>
      <w:r>
        <w:t xml:space="preserve"> nominated numbers no more than once per month. Allow up to 48 hours for activation or changes to your B2B service. Fair Go Policy (</w:t>
      </w:r>
      <w:hyperlink r:id="rId75" w:history="1">
        <w:r>
          <w:rPr>
            <w:rStyle w:val="Hyperlink"/>
            <w:i/>
          </w:rPr>
          <w:t>Appendix S</w:t>
        </w:r>
      </w:hyperlink>
      <w:r>
        <w:t xml:space="preserve">) applies. </w:t>
      </w:r>
    </w:p>
    <w:p w14:paraId="45D7F42C" w14:textId="77777777" w:rsidR="000D07EA" w:rsidRDefault="00BE7C89">
      <w:pPr>
        <w:pStyle w:val="Heading7"/>
      </w:pPr>
      <w:r>
        <w:rPr>
          <w:b/>
        </w:rPr>
        <w:t>FleetShare:</w:t>
      </w:r>
      <w:r>
        <w:t xml:space="preserve"> Available to Small Business customers only. Shares the minimum monthly spend </w:t>
      </w:r>
      <w:r>
        <w:rPr>
          <w:i/>
        </w:rPr>
        <w:t>your</w:t>
      </w:r>
      <w:r>
        <w:t xml:space="preserve"> services on the same customer account number. Excludes all Pre-Paid plans, Satellite plans, Cap plans, GPRS Data plans, Optus Wireless Broadband and Blackberry. Only plans with Minimum monthly spend are eligible.</w:t>
      </w:r>
    </w:p>
    <w:p w14:paraId="08BF2197" w14:textId="77777777" w:rsidR="000D07EA" w:rsidRDefault="00BE7C89">
      <w:pPr>
        <w:pStyle w:val="Heading7"/>
      </w:pPr>
      <w:r>
        <w:t>Additional benefit – Free Access to Optus WiFi Hotspots (Free Wi-Fi Benefit).</w:t>
      </w:r>
    </w:p>
    <w:p w14:paraId="27785D06" w14:textId="77777777" w:rsidR="000D07EA" w:rsidRDefault="00BE7C89">
      <w:pPr>
        <w:pStyle w:val="Heading8"/>
        <w:rPr>
          <w:bCs/>
          <w:szCs w:val="22"/>
        </w:rPr>
      </w:pPr>
      <w:r>
        <w:lastRenderedPageBreak/>
        <w:t>Customers who connect their Apple iPhone to an Optus iPhone rate plan will receive free WiFi from any Optus WiFi hotspot.</w:t>
      </w:r>
    </w:p>
    <w:p w14:paraId="4F956760" w14:textId="77777777" w:rsidR="000D07EA" w:rsidRDefault="00BE7C89">
      <w:pPr>
        <w:pStyle w:val="Heading8"/>
        <w:rPr>
          <w:bCs/>
          <w:szCs w:val="22"/>
        </w:rPr>
      </w:pPr>
      <w:r>
        <w:rPr>
          <w:bCs/>
          <w:szCs w:val="22"/>
        </w:rPr>
        <w:t xml:space="preserve">The service provides </w:t>
      </w:r>
      <w:r>
        <w:rPr>
          <w:bCs/>
          <w:i/>
          <w:szCs w:val="22"/>
        </w:rPr>
        <w:t>you</w:t>
      </w:r>
      <w:r>
        <w:rPr>
          <w:bCs/>
          <w:szCs w:val="22"/>
        </w:rPr>
        <w:t xml:space="preserve"> with access, via a fixed wireless IP network extension to the Optus IP Network, to the Internet and related services, such as email and the world wide web on an on-demand basis.</w:t>
      </w:r>
    </w:p>
    <w:p w14:paraId="31ABB08F" w14:textId="77777777" w:rsidR="000D07EA" w:rsidRDefault="00BE7C89">
      <w:pPr>
        <w:pStyle w:val="Heading8"/>
        <w:rPr>
          <w:bCs/>
          <w:szCs w:val="22"/>
        </w:rPr>
      </w:pPr>
      <w:r>
        <w:rPr>
          <w:bCs/>
          <w:szCs w:val="22"/>
        </w:rPr>
        <w:t xml:space="preserve">Optus may immediately suspend, downgrade or cancel the Free Wi-Fi Benefit in a variety of circumstances, including but not limited to the following: </w:t>
      </w:r>
      <w:r>
        <w:rPr>
          <w:bCs/>
          <w:i/>
          <w:szCs w:val="22"/>
        </w:rPr>
        <w:t>you</w:t>
      </w:r>
      <w:r>
        <w:rPr>
          <w:bCs/>
          <w:szCs w:val="22"/>
        </w:rPr>
        <w:t xml:space="preserve"> misuse the Service; non- compliant Equipment is used; there is an unusually high use of the Service; </w:t>
      </w:r>
      <w:r>
        <w:rPr>
          <w:bCs/>
          <w:i/>
          <w:szCs w:val="22"/>
        </w:rPr>
        <w:t>you</w:t>
      </w:r>
      <w:r>
        <w:rPr>
          <w:bCs/>
          <w:szCs w:val="22"/>
        </w:rPr>
        <w:t xml:space="preserve"> fail to pay any charges to Optus; </w:t>
      </w:r>
      <w:r>
        <w:rPr>
          <w:bCs/>
          <w:i/>
          <w:szCs w:val="22"/>
        </w:rPr>
        <w:t>you</w:t>
      </w:r>
      <w:r>
        <w:rPr>
          <w:bCs/>
          <w:szCs w:val="22"/>
        </w:rPr>
        <w:t xml:space="preserve"> become insolvent; or, if, for technical or commercial reasons, Optus' Wi-Fi network is no longer operational or available.</w:t>
      </w:r>
    </w:p>
    <w:p w14:paraId="22A119E5" w14:textId="77777777" w:rsidR="000D07EA" w:rsidRDefault="00BE7C89">
      <w:pPr>
        <w:pStyle w:val="Heading8"/>
        <w:rPr>
          <w:bCs/>
          <w:szCs w:val="22"/>
        </w:rPr>
      </w:pPr>
      <w:r>
        <w:rPr>
          <w:bCs/>
          <w:szCs w:val="22"/>
        </w:rPr>
        <w:t>Not all content located on Optus iZoo will be available when using the Apple iPhone over the Optus WiFi connection. Availability and performance of Optus hot-spots can vary.</w:t>
      </w:r>
    </w:p>
    <w:p w14:paraId="196B25A9" w14:textId="77777777" w:rsidR="000D07EA" w:rsidRDefault="00BE7C89">
      <w:pPr>
        <w:pStyle w:val="Heading7"/>
      </w:pPr>
      <w:r>
        <w:rPr>
          <w:b/>
        </w:rPr>
        <w:t>International Calls:</w:t>
      </w:r>
      <w:r>
        <w:t xml:space="preserve"> For the period prior to 6 June 2010, international calls from </w:t>
      </w:r>
      <w:r>
        <w:rPr>
          <w:i/>
        </w:rPr>
        <w:t>your</w:t>
      </w:r>
      <w:r>
        <w:t xml:space="preserve"> mobile will be charged at standard 'yes' International per 30 second rates. Flagfall of 27c applies per call. For more information on the 'yes' International call rates please refer to </w:t>
      </w:r>
      <w:hyperlink r:id="rId76" w:history="1">
        <w:r>
          <w:rPr>
            <w:rStyle w:val="Hyperlink"/>
            <w:i/>
          </w:rPr>
          <w:t>Appendix J</w:t>
        </w:r>
      </w:hyperlink>
      <w:r>
        <w:t>.</w:t>
      </w:r>
    </w:p>
    <w:p w14:paraId="3E90721A" w14:textId="77777777" w:rsidR="000D07EA" w:rsidRDefault="00BE7C89">
      <w:pPr>
        <w:pStyle w:val="BodyText"/>
        <w:ind w:left="1440"/>
        <w:rPr>
          <w:rFonts w:eastAsia="Times New Roman"/>
          <w:bCs/>
          <w:szCs w:val="22"/>
        </w:rPr>
      </w:pPr>
      <w:r>
        <w:rPr>
          <w:rFonts w:eastAsia="Times New Roman"/>
          <w:bCs/>
          <w:szCs w:val="22"/>
        </w:rPr>
        <w:t xml:space="preserve">From 6 June 2010 (inclusive), international calls from </w:t>
      </w:r>
      <w:r>
        <w:rPr>
          <w:rFonts w:eastAsia="Times New Roman"/>
          <w:bCs/>
          <w:i/>
          <w:szCs w:val="22"/>
        </w:rPr>
        <w:t>your</w:t>
      </w:r>
      <w:r>
        <w:rPr>
          <w:rFonts w:eastAsia="Times New Roman"/>
          <w:bCs/>
          <w:szCs w:val="22"/>
        </w:rPr>
        <w:t xml:space="preserve"> mobile will be charged at standard 'yes' Business International rates per 30 second rates. Flagfall of 35c applies per call. For more information on the 'yes' Business International call rates please refer to </w:t>
      </w:r>
      <w:hyperlink r:id="rId77" w:history="1">
        <w:r>
          <w:rPr>
            <w:rStyle w:val="Hyperlink"/>
            <w:i/>
          </w:rPr>
          <w:t>Appendix J</w:t>
        </w:r>
      </w:hyperlink>
      <w:r>
        <w:rPr>
          <w:rFonts w:eastAsia="Times New Roman"/>
          <w:bCs/>
          <w:szCs w:val="22"/>
        </w:rPr>
        <w:t>.</w:t>
      </w:r>
    </w:p>
    <w:p w14:paraId="467621A4" w14:textId="77777777" w:rsidR="000D07EA" w:rsidRDefault="00BE7C89">
      <w:pPr>
        <w:pStyle w:val="Heading7"/>
      </w:pPr>
      <w:r>
        <w:rPr>
          <w:b/>
        </w:rPr>
        <w:t>Bolt Ons:</w:t>
      </w:r>
      <w:r>
        <w:t xml:space="preserve"> Upon request, customers may select Bolt Ons for an additional $5 per pack, per month per service. The spend on these Bolt Ons does not contribute to FleetShare. Free Bolt On: If </w:t>
      </w:r>
      <w:r>
        <w:rPr>
          <w:i/>
        </w:rPr>
        <w:t>you</w:t>
      </w:r>
      <w:r>
        <w:t xml:space="preserve"> select a 'yes' Business for iPhone 3G 79 plan or above </w:t>
      </w:r>
      <w:r>
        <w:rPr>
          <w:i/>
        </w:rPr>
        <w:t>you</w:t>
      </w:r>
      <w:r>
        <w:t xml:space="preserve"> will receive one free Bolt On. If </w:t>
      </w:r>
      <w:r>
        <w:rPr>
          <w:i/>
        </w:rPr>
        <w:t>you</w:t>
      </w:r>
      <w:r>
        <w:t xml:space="preserve"> do not select which Bolt On </w:t>
      </w:r>
      <w:r>
        <w:rPr>
          <w:i/>
        </w:rPr>
        <w:t>you</w:t>
      </w:r>
      <w:r>
        <w:t xml:space="preserve"> would like, the default bolt-on will be Smart VoiceMail. </w:t>
      </w:r>
    </w:p>
    <w:p w14:paraId="3CF57462" w14:textId="77777777" w:rsidR="000D07EA" w:rsidRDefault="00BE7C89">
      <w:pPr>
        <w:pStyle w:val="Heading8"/>
      </w:pPr>
      <w:r>
        <w:rPr>
          <w:b/>
        </w:rPr>
        <w:t>Smart VoiceMail Bolt On:</w:t>
      </w:r>
      <w:r>
        <w:t xml:space="preserve"> Pay $5 extra per month to receive unlimited VoiceMail deposits and retrievals. Diversion charges still apply. Fair Go Policy (</w:t>
      </w:r>
      <w:hyperlink r:id="rId78" w:history="1">
        <w:r>
          <w:rPr>
            <w:rStyle w:val="Hyperlink"/>
            <w:i/>
          </w:rPr>
          <w:t>Appendix S</w:t>
        </w:r>
      </w:hyperlink>
      <w:r>
        <w:t>) applies.</w:t>
      </w:r>
    </w:p>
    <w:p w14:paraId="2F7EAB58" w14:textId="77777777" w:rsidR="000D07EA" w:rsidRDefault="00BE7C89">
      <w:pPr>
        <w:pStyle w:val="Heading8"/>
      </w:pPr>
      <w:r>
        <w:rPr>
          <w:b/>
        </w:rPr>
        <w:t>Smart OneRate Bolt On:</w:t>
      </w:r>
      <w:r>
        <w:t xml:space="preserve"> Pay $5 extra per month to receive 'yes' International One Rate rates. Flagfall of 27c applies per call. For more information on the 'yes' International One Rate call rates please refer to </w:t>
      </w:r>
      <w:hyperlink r:id="rId79" w:history="1">
        <w:r>
          <w:rPr>
            <w:rStyle w:val="Hyperlink"/>
            <w:i/>
          </w:rPr>
          <w:t>Appendix J</w:t>
        </w:r>
      </w:hyperlink>
      <w:r>
        <w:t>.</w:t>
      </w:r>
    </w:p>
    <w:p w14:paraId="29801D58" w14:textId="77777777" w:rsidR="000D07EA" w:rsidRDefault="00BE7C89">
      <w:pPr>
        <w:pStyle w:val="Heading8"/>
      </w:pPr>
      <w:r>
        <w:rPr>
          <w:b/>
        </w:rPr>
        <w:t>Smart SurePage Bolt On:</w:t>
      </w:r>
      <w:r>
        <w:t xml:space="preserve"> Pay $5 extra per month to receive 20 SurePage messages. Each additional message costs 50c.</w:t>
      </w:r>
    </w:p>
    <w:p w14:paraId="32F292A9" w14:textId="77777777" w:rsidR="000D07EA" w:rsidRDefault="00BE7C89">
      <w:pPr>
        <w:pStyle w:val="Heading8"/>
      </w:pPr>
      <w:r>
        <w:rPr>
          <w:b/>
        </w:rPr>
        <w:t>Smart SMS Bolt On:</w:t>
      </w:r>
      <w:r>
        <w:t xml:space="preserve"> Pay $5 extra per month to receive half price SMS messages (normally 25¢) and an included $5 worth of SMS value. SMS must be sent and received in Australia.</w:t>
      </w:r>
    </w:p>
    <w:p w14:paraId="1EF12122" w14:textId="77777777" w:rsidR="000D07EA" w:rsidRDefault="00BE7C89">
      <w:pPr>
        <w:pStyle w:val="Heading8"/>
      </w:pPr>
      <w:r>
        <w:rPr>
          <w:b/>
        </w:rPr>
        <w:t>Smart Data Plans:</w:t>
      </w:r>
      <w:r>
        <w:t xml:space="preserve"> Upon request customers may select a Smart Data Plan Bolt On of 1GB, 2GB or 6GB. Customers will be required to pay each month the minimum monthly spend for the specific data plan they choose. Please refer to </w:t>
      </w:r>
      <w:hyperlink r:id="rId80" w:history="1">
        <w:r>
          <w:rPr>
            <w:rStyle w:val="Hyperlink"/>
            <w:i/>
          </w:rPr>
          <w:t>Appendix Y</w:t>
        </w:r>
      </w:hyperlink>
      <w:r>
        <w:t xml:space="preserve"> for more information on monthly fees. Not included within Cap plans. Customers are required to use a GPRS capable device. SMS Alerts, Ring Tones, Screen Logos, Picture Messages, Mobile Games, MMS Select Standard and MMS Select Premium content charges are also additional charges. Please note that not all services are available on the Apple iPhone.</w:t>
      </w:r>
    </w:p>
    <w:p w14:paraId="2390D09F" w14:textId="77777777" w:rsidR="000D07EA" w:rsidRDefault="00BE7C89">
      <w:pPr>
        <w:pStyle w:val="Heading7"/>
      </w:pPr>
      <w:r>
        <w:t>Table 1A below indicates whether a particular call type is an 'eligible call' which counts towards the Minimum Monthly Charge of your selected Plan.</w:t>
      </w:r>
    </w:p>
    <w:p w14:paraId="05A0313E" w14:textId="77777777" w:rsidR="000D07EA" w:rsidRDefault="00BE7C89">
      <w:pPr>
        <w:pStyle w:val="BodyText"/>
        <w:ind w:left="1440"/>
        <w:rPr>
          <w:rFonts w:eastAsia="Times New Roman"/>
          <w:bCs/>
          <w:szCs w:val="22"/>
        </w:rPr>
      </w:pPr>
      <w:r>
        <w:rPr>
          <w:rFonts w:eastAsia="Times New Roman"/>
          <w:bCs/>
          <w:szCs w:val="22"/>
        </w:rPr>
        <w:t>Table 2A below indicates whether a particular data type is 'eligible data usage' which counts towards the data value of your selected Plan.</w:t>
      </w:r>
    </w:p>
    <w:tbl>
      <w:tblPr>
        <w:tblW w:w="0" w:type="auto"/>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9"/>
        <w:gridCol w:w="4171"/>
      </w:tblGrid>
      <w:tr w:rsidR="000D07EA" w14:paraId="002D0E28" w14:textId="77777777">
        <w:trPr>
          <w:tblHeader/>
        </w:trPr>
        <w:tc>
          <w:tcPr>
            <w:tcW w:w="4670" w:type="dxa"/>
            <w:shd w:val="clear" w:color="auto" w:fill="auto"/>
          </w:tcPr>
          <w:p w14:paraId="6D8DC3F4" w14:textId="77777777" w:rsidR="000D07EA" w:rsidRDefault="00BE7C89">
            <w:pPr>
              <w:pStyle w:val="BodyText"/>
              <w:spacing w:before="100" w:after="100"/>
              <w:rPr>
                <w:rFonts w:eastAsia="Times New Roman"/>
                <w:b/>
                <w:bCs/>
                <w:szCs w:val="22"/>
              </w:rPr>
            </w:pPr>
            <w:r>
              <w:rPr>
                <w:rFonts w:eastAsia="Times New Roman"/>
                <w:b/>
                <w:bCs/>
                <w:szCs w:val="22"/>
              </w:rPr>
              <w:t>Call Type</w:t>
            </w:r>
          </w:p>
        </w:tc>
        <w:tc>
          <w:tcPr>
            <w:tcW w:w="4286" w:type="dxa"/>
            <w:shd w:val="clear" w:color="auto" w:fill="auto"/>
          </w:tcPr>
          <w:p w14:paraId="72A35CD3" w14:textId="77777777" w:rsidR="000D07EA" w:rsidRDefault="00BE7C89">
            <w:pPr>
              <w:pStyle w:val="BodyText"/>
              <w:spacing w:before="100" w:after="100"/>
              <w:rPr>
                <w:rFonts w:eastAsia="Times New Roman"/>
                <w:b/>
                <w:bCs/>
                <w:szCs w:val="22"/>
              </w:rPr>
            </w:pPr>
            <w:r>
              <w:rPr>
                <w:rFonts w:eastAsia="Times New Roman"/>
                <w:b/>
                <w:bCs/>
                <w:szCs w:val="22"/>
              </w:rPr>
              <w:t>Eligible Call</w:t>
            </w:r>
          </w:p>
        </w:tc>
      </w:tr>
      <w:tr w:rsidR="000D07EA" w14:paraId="3D6ECB14" w14:textId="77777777">
        <w:tc>
          <w:tcPr>
            <w:tcW w:w="4670" w:type="dxa"/>
            <w:shd w:val="clear" w:color="auto" w:fill="auto"/>
          </w:tcPr>
          <w:p w14:paraId="5B84BF9D" w14:textId="77777777" w:rsidR="000D07EA" w:rsidRDefault="00BE7C89">
            <w:pPr>
              <w:pStyle w:val="BodyText"/>
              <w:spacing w:before="100" w:after="100"/>
              <w:rPr>
                <w:rFonts w:eastAsia="Times New Roman"/>
                <w:bCs/>
                <w:szCs w:val="22"/>
              </w:rPr>
            </w:pPr>
            <w:r>
              <w:rPr>
                <w:rFonts w:eastAsia="Times New Roman"/>
                <w:bCs/>
                <w:szCs w:val="22"/>
              </w:rPr>
              <w:t>National Voice and Video Calls</w:t>
            </w:r>
          </w:p>
        </w:tc>
        <w:tc>
          <w:tcPr>
            <w:tcW w:w="4286" w:type="dxa"/>
            <w:shd w:val="clear" w:color="auto" w:fill="auto"/>
          </w:tcPr>
          <w:p w14:paraId="0EB7D4E3" w14:textId="77777777" w:rsidR="000D07EA" w:rsidRDefault="00BE7C89">
            <w:pPr>
              <w:pStyle w:val="BodyText"/>
              <w:spacing w:before="100" w:after="100"/>
              <w:rPr>
                <w:rFonts w:eastAsia="Times New Roman"/>
                <w:bCs/>
                <w:szCs w:val="22"/>
              </w:rPr>
            </w:pPr>
            <w:r>
              <w:rPr>
                <w:rFonts w:eastAsia="Times New Roman"/>
                <w:bCs/>
                <w:szCs w:val="22"/>
              </w:rPr>
              <w:t>Yes</w:t>
            </w:r>
          </w:p>
        </w:tc>
      </w:tr>
      <w:tr w:rsidR="000D07EA" w14:paraId="1EE3A5FE" w14:textId="77777777">
        <w:tc>
          <w:tcPr>
            <w:tcW w:w="4670" w:type="dxa"/>
            <w:shd w:val="clear" w:color="auto" w:fill="auto"/>
          </w:tcPr>
          <w:p w14:paraId="5E718419" w14:textId="77777777" w:rsidR="000D07EA" w:rsidRDefault="00BE7C89">
            <w:pPr>
              <w:pStyle w:val="BodyText"/>
              <w:spacing w:before="100" w:after="100"/>
              <w:rPr>
                <w:rFonts w:eastAsia="Times New Roman"/>
                <w:bCs/>
                <w:szCs w:val="22"/>
              </w:rPr>
            </w:pPr>
            <w:r>
              <w:rPr>
                <w:rFonts w:eastAsia="Times New Roman"/>
                <w:bCs/>
                <w:szCs w:val="22"/>
              </w:rPr>
              <w:t>International Voice and Video Calls</w:t>
            </w:r>
          </w:p>
          <w:p w14:paraId="43E59803" w14:textId="77777777" w:rsidR="000D07EA" w:rsidRDefault="00BE7C89">
            <w:pPr>
              <w:pStyle w:val="BodyText"/>
              <w:spacing w:before="100" w:after="100"/>
              <w:rPr>
                <w:rFonts w:eastAsia="Times New Roman"/>
                <w:bCs/>
                <w:szCs w:val="22"/>
              </w:rPr>
            </w:pPr>
            <w:r>
              <w:rPr>
                <w:rFonts w:eastAsia="Times New Roman"/>
                <w:bCs/>
                <w:szCs w:val="22"/>
              </w:rPr>
              <w:lastRenderedPageBreak/>
              <w:t>(including calls to national fixed or GSM mobile services that then divert/switch or re-route overseas)</w:t>
            </w:r>
          </w:p>
        </w:tc>
        <w:tc>
          <w:tcPr>
            <w:tcW w:w="4286" w:type="dxa"/>
            <w:shd w:val="clear" w:color="auto" w:fill="auto"/>
          </w:tcPr>
          <w:p w14:paraId="5A057844" w14:textId="77777777" w:rsidR="000D07EA" w:rsidRDefault="00BE7C89">
            <w:pPr>
              <w:pStyle w:val="BodyText"/>
              <w:spacing w:before="100" w:after="100"/>
              <w:rPr>
                <w:rFonts w:eastAsia="Times New Roman"/>
                <w:bCs/>
                <w:szCs w:val="22"/>
              </w:rPr>
            </w:pPr>
            <w:r>
              <w:rPr>
                <w:rFonts w:eastAsia="Times New Roman"/>
                <w:bCs/>
                <w:szCs w:val="22"/>
              </w:rPr>
              <w:lastRenderedPageBreak/>
              <w:t>No</w:t>
            </w:r>
          </w:p>
        </w:tc>
      </w:tr>
      <w:tr w:rsidR="000D07EA" w14:paraId="5BE369A4" w14:textId="77777777">
        <w:tc>
          <w:tcPr>
            <w:tcW w:w="4670" w:type="dxa"/>
            <w:shd w:val="clear" w:color="auto" w:fill="auto"/>
          </w:tcPr>
          <w:p w14:paraId="1E63BA39" w14:textId="77777777" w:rsidR="000D07EA" w:rsidRDefault="00BE7C89">
            <w:pPr>
              <w:pStyle w:val="BodyText"/>
              <w:spacing w:before="100" w:after="100"/>
              <w:rPr>
                <w:rFonts w:eastAsia="Times New Roman"/>
                <w:bCs/>
                <w:szCs w:val="22"/>
              </w:rPr>
            </w:pPr>
            <w:r>
              <w:rPr>
                <w:rFonts w:eastAsia="Times New Roman"/>
                <w:bCs/>
                <w:szCs w:val="22"/>
              </w:rPr>
              <w:t>Premium Video</w:t>
            </w:r>
          </w:p>
        </w:tc>
        <w:tc>
          <w:tcPr>
            <w:tcW w:w="4286" w:type="dxa"/>
            <w:shd w:val="clear" w:color="auto" w:fill="auto"/>
          </w:tcPr>
          <w:p w14:paraId="72EBD1FA"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549D32B5" w14:textId="77777777">
        <w:tc>
          <w:tcPr>
            <w:tcW w:w="4670" w:type="dxa"/>
            <w:shd w:val="clear" w:color="auto" w:fill="auto"/>
          </w:tcPr>
          <w:p w14:paraId="3E58A24D" w14:textId="77777777" w:rsidR="000D07EA" w:rsidRDefault="00BE7C89">
            <w:pPr>
              <w:pStyle w:val="BodyText"/>
              <w:spacing w:before="100" w:after="100"/>
              <w:rPr>
                <w:rFonts w:eastAsia="Times New Roman"/>
                <w:bCs/>
                <w:szCs w:val="22"/>
              </w:rPr>
            </w:pPr>
            <w:r>
              <w:rPr>
                <w:rFonts w:eastAsia="Times New Roman"/>
                <w:bCs/>
                <w:szCs w:val="22"/>
              </w:rPr>
              <w:t>Content Video</w:t>
            </w:r>
          </w:p>
        </w:tc>
        <w:tc>
          <w:tcPr>
            <w:tcW w:w="4286" w:type="dxa"/>
            <w:shd w:val="clear" w:color="auto" w:fill="auto"/>
          </w:tcPr>
          <w:p w14:paraId="69574920"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454B7E3B" w14:textId="77777777">
        <w:tc>
          <w:tcPr>
            <w:tcW w:w="4670" w:type="dxa"/>
            <w:shd w:val="clear" w:color="auto" w:fill="auto"/>
          </w:tcPr>
          <w:p w14:paraId="2DAF1AAE" w14:textId="77777777" w:rsidR="000D07EA" w:rsidRDefault="00BE7C89">
            <w:pPr>
              <w:pStyle w:val="BodyText"/>
              <w:spacing w:before="100" w:after="100"/>
              <w:rPr>
                <w:rFonts w:eastAsia="Times New Roman"/>
                <w:bCs/>
                <w:szCs w:val="22"/>
              </w:rPr>
            </w:pPr>
            <w:r>
              <w:rPr>
                <w:rFonts w:eastAsia="Times New Roman"/>
                <w:bCs/>
                <w:szCs w:val="22"/>
              </w:rPr>
              <w:t>National Standard SMS</w:t>
            </w:r>
          </w:p>
        </w:tc>
        <w:tc>
          <w:tcPr>
            <w:tcW w:w="4286" w:type="dxa"/>
            <w:shd w:val="clear" w:color="auto" w:fill="auto"/>
          </w:tcPr>
          <w:p w14:paraId="319F3F48" w14:textId="77777777" w:rsidR="000D07EA" w:rsidRDefault="00BE7C89">
            <w:pPr>
              <w:pStyle w:val="BodyText"/>
              <w:spacing w:before="100" w:after="100"/>
              <w:rPr>
                <w:rFonts w:eastAsia="Times New Roman"/>
                <w:bCs/>
                <w:szCs w:val="22"/>
              </w:rPr>
            </w:pPr>
            <w:r>
              <w:rPr>
                <w:rFonts w:eastAsia="Times New Roman"/>
                <w:bCs/>
                <w:szCs w:val="22"/>
              </w:rPr>
              <w:t>Yes</w:t>
            </w:r>
          </w:p>
        </w:tc>
      </w:tr>
      <w:tr w:rsidR="000D07EA" w14:paraId="686A6EDB" w14:textId="77777777">
        <w:tc>
          <w:tcPr>
            <w:tcW w:w="4670" w:type="dxa"/>
            <w:shd w:val="clear" w:color="auto" w:fill="auto"/>
          </w:tcPr>
          <w:p w14:paraId="7C366570" w14:textId="77777777" w:rsidR="000D07EA" w:rsidRDefault="00BE7C89">
            <w:pPr>
              <w:pStyle w:val="BodyText"/>
              <w:spacing w:before="100" w:after="100"/>
              <w:rPr>
                <w:rFonts w:eastAsia="Times New Roman"/>
                <w:bCs/>
                <w:szCs w:val="22"/>
              </w:rPr>
            </w:pPr>
            <w:r>
              <w:rPr>
                <w:rFonts w:eastAsia="Times New Roman"/>
                <w:bCs/>
                <w:szCs w:val="22"/>
              </w:rPr>
              <w:t>International SMS</w:t>
            </w:r>
          </w:p>
        </w:tc>
        <w:tc>
          <w:tcPr>
            <w:tcW w:w="4286" w:type="dxa"/>
            <w:shd w:val="clear" w:color="auto" w:fill="auto"/>
          </w:tcPr>
          <w:p w14:paraId="4DDE68E1"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63E19513" w14:textId="77777777">
        <w:tc>
          <w:tcPr>
            <w:tcW w:w="4670" w:type="dxa"/>
            <w:shd w:val="clear" w:color="auto" w:fill="auto"/>
          </w:tcPr>
          <w:p w14:paraId="562BAFB5" w14:textId="77777777" w:rsidR="000D07EA" w:rsidRDefault="00BE7C89">
            <w:pPr>
              <w:pStyle w:val="BodyText"/>
              <w:spacing w:before="100" w:after="100"/>
              <w:rPr>
                <w:rFonts w:eastAsia="Times New Roman"/>
                <w:bCs/>
                <w:szCs w:val="22"/>
              </w:rPr>
            </w:pPr>
            <w:r>
              <w:rPr>
                <w:rFonts w:eastAsia="Times New Roman"/>
                <w:bCs/>
                <w:szCs w:val="22"/>
              </w:rPr>
              <w:t>Premium SMS</w:t>
            </w:r>
          </w:p>
        </w:tc>
        <w:tc>
          <w:tcPr>
            <w:tcW w:w="4286" w:type="dxa"/>
            <w:shd w:val="clear" w:color="auto" w:fill="auto"/>
          </w:tcPr>
          <w:p w14:paraId="65009F06"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4BE73390" w14:textId="77777777">
        <w:tc>
          <w:tcPr>
            <w:tcW w:w="4670" w:type="dxa"/>
            <w:shd w:val="clear" w:color="auto" w:fill="auto"/>
          </w:tcPr>
          <w:p w14:paraId="6020E952" w14:textId="77777777" w:rsidR="000D07EA" w:rsidRDefault="00BE7C89">
            <w:pPr>
              <w:pStyle w:val="BodyText"/>
              <w:spacing w:before="100" w:after="100"/>
              <w:rPr>
                <w:rFonts w:eastAsia="Times New Roman"/>
                <w:bCs/>
                <w:szCs w:val="22"/>
              </w:rPr>
            </w:pPr>
            <w:r>
              <w:rPr>
                <w:rFonts w:eastAsia="Times New Roman"/>
                <w:bCs/>
                <w:szCs w:val="22"/>
              </w:rPr>
              <w:t>National Standard MMS</w:t>
            </w:r>
          </w:p>
        </w:tc>
        <w:tc>
          <w:tcPr>
            <w:tcW w:w="4286" w:type="dxa"/>
            <w:shd w:val="clear" w:color="auto" w:fill="auto"/>
          </w:tcPr>
          <w:p w14:paraId="69A3CC72" w14:textId="77777777" w:rsidR="000D07EA" w:rsidRDefault="00BE7C89">
            <w:pPr>
              <w:pStyle w:val="BodyText"/>
              <w:spacing w:before="100" w:after="100"/>
              <w:rPr>
                <w:rFonts w:eastAsia="Times New Roman"/>
                <w:bCs/>
                <w:szCs w:val="22"/>
              </w:rPr>
            </w:pPr>
            <w:r>
              <w:rPr>
                <w:rFonts w:eastAsia="Times New Roman"/>
                <w:bCs/>
                <w:szCs w:val="22"/>
              </w:rPr>
              <w:t>Yes</w:t>
            </w:r>
          </w:p>
        </w:tc>
      </w:tr>
      <w:tr w:rsidR="000D07EA" w14:paraId="136EC909" w14:textId="77777777">
        <w:tc>
          <w:tcPr>
            <w:tcW w:w="4670" w:type="dxa"/>
            <w:shd w:val="clear" w:color="auto" w:fill="auto"/>
          </w:tcPr>
          <w:p w14:paraId="7FB208B4" w14:textId="77777777" w:rsidR="000D07EA" w:rsidRDefault="00BE7C89">
            <w:pPr>
              <w:pStyle w:val="BodyText"/>
              <w:spacing w:before="100" w:after="100"/>
              <w:rPr>
                <w:rFonts w:eastAsia="Times New Roman"/>
                <w:bCs/>
                <w:szCs w:val="22"/>
              </w:rPr>
            </w:pPr>
            <w:r>
              <w:rPr>
                <w:rFonts w:eastAsia="Times New Roman"/>
                <w:bCs/>
                <w:szCs w:val="22"/>
              </w:rPr>
              <w:t>International MMS</w:t>
            </w:r>
          </w:p>
        </w:tc>
        <w:tc>
          <w:tcPr>
            <w:tcW w:w="4286" w:type="dxa"/>
            <w:shd w:val="clear" w:color="auto" w:fill="auto"/>
          </w:tcPr>
          <w:p w14:paraId="6C04E915"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0E7B7ECA" w14:textId="77777777">
        <w:tc>
          <w:tcPr>
            <w:tcW w:w="4670" w:type="dxa"/>
            <w:shd w:val="clear" w:color="auto" w:fill="auto"/>
          </w:tcPr>
          <w:p w14:paraId="1C23223B" w14:textId="77777777" w:rsidR="000D07EA" w:rsidRDefault="00BE7C89">
            <w:pPr>
              <w:pStyle w:val="BodyText"/>
              <w:spacing w:before="100" w:after="100"/>
              <w:rPr>
                <w:rFonts w:eastAsia="Times New Roman"/>
                <w:bCs/>
                <w:szCs w:val="22"/>
              </w:rPr>
            </w:pPr>
            <w:r>
              <w:rPr>
                <w:rFonts w:eastAsia="Times New Roman"/>
                <w:bCs/>
                <w:szCs w:val="22"/>
              </w:rPr>
              <w:t>Premium MMS</w:t>
            </w:r>
          </w:p>
        </w:tc>
        <w:tc>
          <w:tcPr>
            <w:tcW w:w="4286" w:type="dxa"/>
            <w:shd w:val="clear" w:color="auto" w:fill="auto"/>
          </w:tcPr>
          <w:p w14:paraId="0AE5019C"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718F263E" w14:textId="77777777">
        <w:tc>
          <w:tcPr>
            <w:tcW w:w="4670" w:type="dxa"/>
            <w:shd w:val="clear" w:color="auto" w:fill="auto"/>
          </w:tcPr>
          <w:p w14:paraId="32BBB8F1" w14:textId="77777777" w:rsidR="000D07EA" w:rsidRDefault="00BE7C89">
            <w:pPr>
              <w:pStyle w:val="BodyText"/>
              <w:spacing w:before="100" w:after="100"/>
              <w:rPr>
                <w:rFonts w:eastAsia="Times New Roman"/>
                <w:bCs/>
                <w:szCs w:val="22"/>
              </w:rPr>
            </w:pPr>
            <w:r>
              <w:rPr>
                <w:rFonts w:eastAsia="Times New Roman"/>
                <w:bCs/>
                <w:szCs w:val="22"/>
              </w:rPr>
              <w:t>National Diversions</w:t>
            </w:r>
          </w:p>
        </w:tc>
        <w:tc>
          <w:tcPr>
            <w:tcW w:w="4286" w:type="dxa"/>
            <w:shd w:val="clear" w:color="auto" w:fill="auto"/>
          </w:tcPr>
          <w:p w14:paraId="66B2B9CF" w14:textId="77777777" w:rsidR="000D07EA" w:rsidRDefault="00BE7C89">
            <w:pPr>
              <w:pStyle w:val="BodyText"/>
              <w:spacing w:before="100" w:after="100"/>
              <w:rPr>
                <w:rFonts w:eastAsia="Times New Roman"/>
                <w:bCs/>
                <w:szCs w:val="22"/>
              </w:rPr>
            </w:pPr>
            <w:r>
              <w:rPr>
                <w:rFonts w:eastAsia="Times New Roman"/>
                <w:bCs/>
                <w:szCs w:val="22"/>
              </w:rPr>
              <w:t>Yes</w:t>
            </w:r>
          </w:p>
        </w:tc>
      </w:tr>
      <w:tr w:rsidR="000D07EA" w14:paraId="735170F0" w14:textId="77777777">
        <w:tc>
          <w:tcPr>
            <w:tcW w:w="4670" w:type="dxa"/>
            <w:shd w:val="clear" w:color="auto" w:fill="auto"/>
          </w:tcPr>
          <w:p w14:paraId="1BBB15E2" w14:textId="77777777" w:rsidR="000D07EA" w:rsidRDefault="00BE7C89">
            <w:pPr>
              <w:pStyle w:val="BodyText"/>
              <w:spacing w:before="100" w:after="100"/>
              <w:rPr>
                <w:rFonts w:eastAsia="Times New Roman"/>
                <w:bCs/>
                <w:szCs w:val="22"/>
              </w:rPr>
            </w:pPr>
            <w:r>
              <w:rPr>
                <w:rFonts w:eastAsia="Times New Roman"/>
                <w:bCs/>
                <w:szCs w:val="22"/>
              </w:rPr>
              <w:t>Voicemail Deposit and Retrievals</w:t>
            </w:r>
          </w:p>
        </w:tc>
        <w:tc>
          <w:tcPr>
            <w:tcW w:w="4286" w:type="dxa"/>
            <w:shd w:val="clear" w:color="auto" w:fill="auto"/>
          </w:tcPr>
          <w:p w14:paraId="73432E3B" w14:textId="77777777" w:rsidR="000D07EA" w:rsidRDefault="00BE7C89">
            <w:pPr>
              <w:pStyle w:val="BodyText"/>
              <w:spacing w:before="100" w:after="100"/>
              <w:rPr>
                <w:rFonts w:eastAsia="Times New Roman"/>
                <w:bCs/>
                <w:szCs w:val="22"/>
              </w:rPr>
            </w:pPr>
            <w:r>
              <w:rPr>
                <w:rFonts w:eastAsia="Times New Roman"/>
                <w:bCs/>
                <w:szCs w:val="22"/>
              </w:rPr>
              <w:t>Yes</w:t>
            </w:r>
          </w:p>
        </w:tc>
      </w:tr>
      <w:tr w:rsidR="000D07EA" w14:paraId="3F9C39FF" w14:textId="77777777">
        <w:tc>
          <w:tcPr>
            <w:tcW w:w="4670" w:type="dxa"/>
            <w:shd w:val="clear" w:color="auto" w:fill="auto"/>
          </w:tcPr>
          <w:p w14:paraId="1666896C" w14:textId="77777777" w:rsidR="000D07EA" w:rsidRDefault="00BE7C89">
            <w:pPr>
              <w:pStyle w:val="BodyText"/>
              <w:spacing w:before="100" w:after="100"/>
              <w:rPr>
                <w:rFonts w:eastAsia="Times New Roman"/>
                <w:bCs/>
                <w:szCs w:val="22"/>
              </w:rPr>
            </w:pPr>
            <w:r>
              <w:rPr>
                <w:rFonts w:eastAsia="Times New Roman"/>
                <w:bCs/>
                <w:szCs w:val="22"/>
              </w:rPr>
              <w:t>International Roaming and Diversions</w:t>
            </w:r>
          </w:p>
        </w:tc>
        <w:tc>
          <w:tcPr>
            <w:tcW w:w="4286" w:type="dxa"/>
            <w:shd w:val="clear" w:color="auto" w:fill="auto"/>
          </w:tcPr>
          <w:p w14:paraId="76B2ACCD"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6AAF7D28" w14:textId="77777777">
        <w:tc>
          <w:tcPr>
            <w:tcW w:w="4670" w:type="dxa"/>
            <w:shd w:val="clear" w:color="auto" w:fill="auto"/>
          </w:tcPr>
          <w:p w14:paraId="6769B97C" w14:textId="77777777" w:rsidR="000D07EA" w:rsidRDefault="00BE7C89">
            <w:pPr>
              <w:pStyle w:val="BodyText"/>
              <w:spacing w:before="100" w:after="100"/>
              <w:rPr>
                <w:rFonts w:eastAsia="Times New Roman"/>
                <w:bCs/>
                <w:szCs w:val="22"/>
              </w:rPr>
            </w:pPr>
            <w:r>
              <w:rPr>
                <w:rFonts w:eastAsia="Times New Roman"/>
                <w:bCs/>
                <w:szCs w:val="22"/>
              </w:rPr>
              <w:t>Video Conferencing</w:t>
            </w:r>
          </w:p>
        </w:tc>
        <w:tc>
          <w:tcPr>
            <w:tcW w:w="4286" w:type="dxa"/>
            <w:shd w:val="clear" w:color="auto" w:fill="auto"/>
          </w:tcPr>
          <w:p w14:paraId="5DFDBFAF"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3A4F8DEC" w14:textId="77777777">
        <w:tc>
          <w:tcPr>
            <w:tcW w:w="4670" w:type="dxa"/>
            <w:shd w:val="clear" w:color="auto" w:fill="auto"/>
          </w:tcPr>
          <w:p w14:paraId="6961468A" w14:textId="77777777" w:rsidR="000D07EA" w:rsidRDefault="00BE7C89">
            <w:pPr>
              <w:pStyle w:val="BodyText"/>
              <w:spacing w:before="100" w:after="100"/>
              <w:rPr>
                <w:rFonts w:eastAsia="Times New Roman"/>
                <w:bCs/>
                <w:szCs w:val="22"/>
              </w:rPr>
            </w:pPr>
            <w:r>
              <w:rPr>
                <w:rFonts w:eastAsia="Times New Roman"/>
                <w:bCs/>
                <w:szCs w:val="22"/>
              </w:rPr>
              <w:t>BlackBerry Email</w:t>
            </w:r>
          </w:p>
        </w:tc>
        <w:tc>
          <w:tcPr>
            <w:tcW w:w="4286" w:type="dxa"/>
            <w:shd w:val="clear" w:color="auto" w:fill="auto"/>
          </w:tcPr>
          <w:p w14:paraId="53DC0242"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6989467F" w14:textId="77777777">
        <w:tc>
          <w:tcPr>
            <w:tcW w:w="4670" w:type="dxa"/>
            <w:shd w:val="clear" w:color="auto" w:fill="auto"/>
          </w:tcPr>
          <w:p w14:paraId="19045873" w14:textId="77777777" w:rsidR="000D07EA" w:rsidRDefault="00BE7C89">
            <w:pPr>
              <w:pStyle w:val="BodyText"/>
              <w:spacing w:before="100" w:after="100"/>
              <w:rPr>
                <w:rFonts w:eastAsia="Times New Roman"/>
                <w:bCs/>
                <w:szCs w:val="22"/>
              </w:rPr>
            </w:pPr>
            <w:r>
              <w:rPr>
                <w:rFonts w:eastAsia="Times New Roman"/>
                <w:bCs/>
                <w:szCs w:val="22"/>
              </w:rPr>
              <w:t>Optus Zoo Browsing</w:t>
            </w:r>
          </w:p>
        </w:tc>
        <w:tc>
          <w:tcPr>
            <w:tcW w:w="4286" w:type="dxa"/>
            <w:shd w:val="clear" w:color="auto" w:fill="auto"/>
          </w:tcPr>
          <w:p w14:paraId="56C1F2B7"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0F6DF939" w14:textId="77777777">
        <w:tc>
          <w:tcPr>
            <w:tcW w:w="4670" w:type="dxa"/>
            <w:shd w:val="clear" w:color="auto" w:fill="auto"/>
          </w:tcPr>
          <w:p w14:paraId="5262652E" w14:textId="77777777" w:rsidR="000D07EA" w:rsidRDefault="00BE7C89">
            <w:pPr>
              <w:pStyle w:val="BodyText"/>
              <w:spacing w:before="100" w:after="100"/>
              <w:rPr>
                <w:rFonts w:eastAsia="Times New Roman"/>
                <w:bCs/>
                <w:szCs w:val="22"/>
              </w:rPr>
            </w:pPr>
            <w:r>
              <w:rPr>
                <w:rFonts w:eastAsia="Times New Roman"/>
                <w:bCs/>
                <w:szCs w:val="22"/>
              </w:rPr>
              <w:t>Optus iZoo Downloads</w:t>
            </w:r>
          </w:p>
        </w:tc>
        <w:tc>
          <w:tcPr>
            <w:tcW w:w="4286" w:type="dxa"/>
            <w:shd w:val="clear" w:color="auto" w:fill="auto"/>
          </w:tcPr>
          <w:p w14:paraId="23D076E5"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34138DF9" w14:textId="77777777">
        <w:tc>
          <w:tcPr>
            <w:tcW w:w="4670" w:type="dxa"/>
            <w:shd w:val="clear" w:color="auto" w:fill="auto"/>
          </w:tcPr>
          <w:p w14:paraId="08FEC4DF" w14:textId="77777777" w:rsidR="000D07EA" w:rsidRDefault="00BE7C89">
            <w:pPr>
              <w:pStyle w:val="BodyText"/>
              <w:spacing w:before="100" w:after="100"/>
              <w:rPr>
                <w:rFonts w:eastAsia="Times New Roman"/>
                <w:bCs/>
                <w:szCs w:val="22"/>
              </w:rPr>
            </w:pPr>
            <w:r>
              <w:rPr>
                <w:rFonts w:eastAsia="Times New Roman"/>
                <w:bCs/>
                <w:szCs w:val="22"/>
              </w:rPr>
              <w:t>966* iZoo</w:t>
            </w:r>
          </w:p>
        </w:tc>
        <w:tc>
          <w:tcPr>
            <w:tcW w:w="4286" w:type="dxa"/>
            <w:shd w:val="clear" w:color="auto" w:fill="auto"/>
          </w:tcPr>
          <w:p w14:paraId="30D3453A"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33F60983" w14:textId="77777777">
        <w:tc>
          <w:tcPr>
            <w:tcW w:w="4670" w:type="dxa"/>
            <w:shd w:val="clear" w:color="auto" w:fill="auto"/>
          </w:tcPr>
          <w:p w14:paraId="6D3A635E" w14:textId="77777777" w:rsidR="000D07EA" w:rsidRDefault="00BE7C89">
            <w:pPr>
              <w:pStyle w:val="BodyText"/>
              <w:spacing w:before="100" w:after="100"/>
              <w:rPr>
                <w:rFonts w:eastAsia="Times New Roman"/>
                <w:bCs/>
                <w:szCs w:val="22"/>
              </w:rPr>
            </w:pPr>
            <w:r>
              <w:rPr>
                <w:rFonts w:eastAsia="Times New Roman"/>
                <w:bCs/>
                <w:szCs w:val="22"/>
              </w:rPr>
              <w:t>Mobile Internet usage</w:t>
            </w:r>
          </w:p>
        </w:tc>
        <w:tc>
          <w:tcPr>
            <w:tcW w:w="4286" w:type="dxa"/>
            <w:shd w:val="clear" w:color="auto" w:fill="auto"/>
          </w:tcPr>
          <w:p w14:paraId="74030C26"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60F6AF5D" w14:textId="77777777">
        <w:tc>
          <w:tcPr>
            <w:tcW w:w="4670" w:type="dxa"/>
            <w:shd w:val="clear" w:color="auto" w:fill="auto"/>
          </w:tcPr>
          <w:p w14:paraId="00D7BC3D" w14:textId="77777777" w:rsidR="000D07EA" w:rsidRDefault="00BE7C89">
            <w:pPr>
              <w:pStyle w:val="BodyText"/>
              <w:spacing w:before="100" w:after="100"/>
              <w:rPr>
                <w:rFonts w:eastAsia="Times New Roman"/>
                <w:bCs/>
                <w:szCs w:val="22"/>
              </w:rPr>
            </w:pPr>
            <w:r>
              <w:rPr>
                <w:rFonts w:eastAsia="Times New Roman"/>
                <w:bCs/>
                <w:szCs w:val="22"/>
              </w:rPr>
              <w:t>Data used while roaming internationally</w:t>
            </w:r>
          </w:p>
        </w:tc>
        <w:tc>
          <w:tcPr>
            <w:tcW w:w="4286" w:type="dxa"/>
            <w:shd w:val="clear" w:color="auto" w:fill="auto"/>
          </w:tcPr>
          <w:p w14:paraId="6F5D14DF"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3D715D48" w14:textId="77777777">
        <w:tc>
          <w:tcPr>
            <w:tcW w:w="4670" w:type="dxa"/>
            <w:shd w:val="clear" w:color="auto" w:fill="auto"/>
          </w:tcPr>
          <w:p w14:paraId="72B26E01" w14:textId="77777777" w:rsidR="000D07EA" w:rsidRDefault="00BE7C89">
            <w:pPr>
              <w:pStyle w:val="BodyText"/>
              <w:spacing w:before="100" w:after="100"/>
              <w:rPr>
                <w:rFonts w:eastAsia="Times New Roman"/>
                <w:bCs/>
                <w:szCs w:val="22"/>
              </w:rPr>
            </w:pPr>
            <w:r>
              <w:rPr>
                <w:rFonts w:eastAsia="Times New Roman"/>
                <w:bCs/>
                <w:szCs w:val="22"/>
              </w:rPr>
              <w:t>Content Packs</w:t>
            </w:r>
          </w:p>
        </w:tc>
        <w:tc>
          <w:tcPr>
            <w:tcW w:w="4286" w:type="dxa"/>
            <w:shd w:val="clear" w:color="auto" w:fill="auto"/>
          </w:tcPr>
          <w:p w14:paraId="423319CB"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408677D4" w14:textId="77777777">
        <w:tc>
          <w:tcPr>
            <w:tcW w:w="4670" w:type="dxa"/>
            <w:shd w:val="clear" w:color="auto" w:fill="auto"/>
          </w:tcPr>
          <w:p w14:paraId="41147982" w14:textId="77777777" w:rsidR="000D07EA" w:rsidRDefault="00BE7C89">
            <w:pPr>
              <w:pStyle w:val="BodyText"/>
              <w:spacing w:before="100" w:after="100"/>
              <w:rPr>
                <w:rFonts w:eastAsia="Times New Roman"/>
                <w:bCs/>
                <w:szCs w:val="22"/>
              </w:rPr>
            </w:pPr>
            <w:r>
              <w:rPr>
                <w:rFonts w:eastAsia="Times New Roman"/>
                <w:bCs/>
                <w:szCs w:val="22"/>
              </w:rPr>
              <w:t>Mobile Instant Messaging - IM</w:t>
            </w:r>
          </w:p>
        </w:tc>
        <w:tc>
          <w:tcPr>
            <w:tcW w:w="4286" w:type="dxa"/>
            <w:shd w:val="clear" w:color="auto" w:fill="auto"/>
          </w:tcPr>
          <w:p w14:paraId="49864EB6"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2C57C675" w14:textId="77777777">
        <w:tc>
          <w:tcPr>
            <w:tcW w:w="4670" w:type="dxa"/>
            <w:shd w:val="clear" w:color="auto" w:fill="auto"/>
          </w:tcPr>
          <w:p w14:paraId="01AFE672" w14:textId="77777777" w:rsidR="000D07EA" w:rsidRDefault="00BE7C89">
            <w:pPr>
              <w:pStyle w:val="BodyText"/>
              <w:spacing w:before="100" w:after="100"/>
              <w:rPr>
                <w:rFonts w:eastAsia="Times New Roman"/>
                <w:bCs/>
                <w:szCs w:val="22"/>
              </w:rPr>
            </w:pPr>
            <w:r>
              <w:rPr>
                <w:rFonts w:eastAsia="Times New Roman"/>
                <w:bCs/>
                <w:szCs w:val="22"/>
              </w:rPr>
              <w:t>TrueLocal Usage</w:t>
            </w:r>
          </w:p>
        </w:tc>
        <w:tc>
          <w:tcPr>
            <w:tcW w:w="4286" w:type="dxa"/>
            <w:shd w:val="clear" w:color="auto" w:fill="auto"/>
          </w:tcPr>
          <w:p w14:paraId="54286281"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008C5D78" w14:textId="77777777">
        <w:tc>
          <w:tcPr>
            <w:tcW w:w="4670" w:type="dxa"/>
            <w:shd w:val="clear" w:color="auto" w:fill="auto"/>
          </w:tcPr>
          <w:p w14:paraId="3E654DF2" w14:textId="77777777" w:rsidR="000D07EA" w:rsidRDefault="00BE7C89">
            <w:pPr>
              <w:pStyle w:val="BodyText"/>
              <w:spacing w:before="100" w:after="100"/>
              <w:rPr>
                <w:rFonts w:eastAsia="Times New Roman"/>
                <w:bCs/>
                <w:szCs w:val="22"/>
              </w:rPr>
            </w:pPr>
            <w:r>
              <w:rPr>
                <w:rFonts w:eastAsia="Times New Roman"/>
                <w:bCs/>
                <w:szCs w:val="22"/>
              </w:rPr>
              <w:t>Directory Assistance – 1223</w:t>
            </w:r>
          </w:p>
        </w:tc>
        <w:tc>
          <w:tcPr>
            <w:tcW w:w="4286" w:type="dxa"/>
            <w:shd w:val="clear" w:color="auto" w:fill="auto"/>
          </w:tcPr>
          <w:p w14:paraId="4F6C15C7"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6F2FA4F7" w14:textId="77777777">
        <w:tc>
          <w:tcPr>
            <w:tcW w:w="4670" w:type="dxa"/>
            <w:shd w:val="clear" w:color="auto" w:fill="auto"/>
          </w:tcPr>
          <w:p w14:paraId="23EA86D5" w14:textId="77777777" w:rsidR="000D07EA" w:rsidRDefault="00BE7C89">
            <w:pPr>
              <w:pStyle w:val="BodyText"/>
              <w:spacing w:before="100" w:after="100"/>
              <w:rPr>
                <w:rFonts w:eastAsia="Times New Roman"/>
                <w:bCs/>
                <w:szCs w:val="22"/>
              </w:rPr>
            </w:pPr>
            <w:r>
              <w:rPr>
                <w:rFonts w:eastAsia="Times New Roman"/>
                <w:bCs/>
                <w:szCs w:val="22"/>
              </w:rPr>
              <w:t>19xx Numbers</w:t>
            </w:r>
          </w:p>
        </w:tc>
        <w:tc>
          <w:tcPr>
            <w:tcW w:w="4286" w:type="dxa"/>
            <w:shd w:val="clear" w:color="auto" w:fill="auto"/>
          </w:tcPr>
          <w:p w14:paraId="774362BB"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23EFFE2E" w14:textId="77777777">
        <w:tc>
          <w:tcPr>
            <w:tcW w:w="4670" w:type="dxa"/>
            <w:shd w:val="clear" w:color="auto" w:fill="auto"/>
          </w:tcPr>
          <w:p w14:paraId="11D89816" w14:textId="77777777" w:rsidR="000D07EA" w:rsidRDefault="00BE7C89">
            <w:pPr>
              <w:pStyle w:val="BodyText"/>
              <w:spacing w:before="100" w:after="100"/>
              <w:rPr>
                <w:rFonts w:eastAsia="Times New Roman"/>
                <w:bCs/>
                <w:szCs w:val="22"/>
              </w:rPr>
            </w:pPr>
            <w:r>
              <w:rPr>
                <w:rFonts w:eastAsia="Times New Roman"/>
                <w:bCs/>
                <w:szCs w:val="22"/>
              </w:rPr>
              <w:t>1800, 13 and 1300 Numbers</w:t>
            </w:r>
          </w:p>
        </w:tc>
        <w:tc>
          <w:tcPr>
            <w:tcW w:w="4286" w:type="dxa"/>
            <w:shd w:val="clear" w:color="auto" w:fill="auto"/>
          </w:tcPr>
          <w:p w14:paraId="3D4F3D50" w14:textId="77777777" w:rsidR="000D07EA" w:rsidRDefault="00BE7C89">
            <w:pPr>
              <w:pStyle w:val="BodyText"/>
              <w:spacing w:before="100" w:after="100"/>
              <w:rPr>
                <w:rFonts w:eastAsia="Times New Roman"/>
                <w:bCs/>
                <w:szCs w:val="22"/>
              </w:rPr>
            </w:pPr>
            <w:r>
              <w:rPr>
                <w:rFonts w:eastAsia="Times New Roman"/>
                <w:bCs/>
                <w:szCs w:val="22"/>
              </w:rPr>
              <w:t>Yes</w:t>
            </w:r>
          </w:p>
        </w:tc>
      </w:tr>
      <w:tr w:rsidR="000D07EA" w14:paraId="7D537E72" w14:textId="77777777">
        <w:tc>
          <w:tcPr>
            <w:tcW w:w="4670" w:type="dxa"/>
            <w:shd w:val="clear" w:color="auto" w:fill="auto"/>
          </w:tcPr>
          <w:p w14:paraId="48F6F590" w14:textId="77777777" w:rsidR="000D07EA" w:rsidRDefault="00BE7C89">
            <w:pPr>
              <w:pStyle w:val="BodyText"/>
              <w:spacing w:before="100" w:after="100"/>
              <w:rPr>
                <w:rFonts w:eastAsia="Times New Roman"/>
                <w:bCs/>
                <w:szCs w:val="22"/>
              </w:rPr>
            </w:pPr>
            <w:r>
              <w:rPr>
                <w:rFonts w:eastAsia="Times New Roman"/>
                <w:bCs/>
                <w:szCs w:val="22"/>
              </w:rPr>
              <w:t>124YES(937)</w:t>
            </w:r>
          </w:p>
        </w:tc>
        <w:tc>
          <w:tcPr>
            <w:tcW w:w="4286" w:type="dxa"/>
            <w:shd w:val="clear" w:color="auto" w:fill="auto"/>
          </w:tcPr>
          <w:p w14:paraId="453780C2" w14:textId="77777777" w:rsidR="000D07EA" w:rsidRDefault="00BE7C89">
            <w:pPr>
              <w:pStyle w:val="BodyText"/>
              <w:spacing w:before="100" w:after="100"/>
              <w:rPr>
                <w:rFonts w:eastAsia="Times New Roman"/>
                <w:bCs/>
                <w:szCs w:val="22"/>
              </w:rPr>
            </w:pPr>
            <w:r>
              <w:rPr>
                <w:rFonts w:eastAsia="Times New Roman"/>
                <w:bCs/>
                <w:szCs w:val="22"/>
              </w:rPr>
              <w:t>Yes</w:t>
            </w:r>
          </w:p>
        </w:tc>
      </w:tr>
      <w:tr w:rsidR="000D07EA" w14:paraId="26547241" w14:textId="77777777">
        <w:tc>
          <w:tcPr>
            <w:tcW w:w="4670" w:type="dxa"/>
            <w:shd w:val="clear" w:color="auto" w:fill="auto"/>
          </w:tcPr>
          <w:p w14:paraId="0726D1CE" w14:textId="77777777" w:rsidR="000D07EA" w:rsidRDefault="00BE7C89">
            <w:pPr>
              <w:pStyle w:val="BodyText"/>
              <w:spacing w:before="100" w:after="100"/>
              <w:rPr>
                <w:rFonts w:eastAsia="Times New Roman"/>
                <w:bCs/>
                <w:szCs w:val="22"/>
              </w:rPr>
            </w:pPr>
            <w:r>
              <w:rPr>
                <w:rFonts w:eastAsia="Times New Roman"/>
                <w:bCs/>
                <w:szCs w:val="22"/>
              </w:rPr>
              <w:t>Fax and Data</w:t>
            </w:r>
          </w:p>
        </w:tc>
        <w:tc>
          <w:tcPr>
            <w:tcW w:w="4286" w:type="dxa"/>
            <w:shd w:val="clear" w:color="auto" w:fill="auto"/>
          </w:tcPr>
          <w:p w14:paraId="774B7F02"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3939E551" w14:textId="77777777">
        <w:tc>
          <w:tcPr>
            <w:tcW w:w="4670" w:type="dxa"/>
            <w:shd w:val="clear" w:color="auto" w:fill="auto"/>
          </w:tcPr>
          <w:p w14:paraId="10AFEB47" w14:textId="77777777" w:rsidR="000D07EA" w:rsidRDefault="00BE7C89">
            <w:pPr>
              <w:pStyle w:val="BodyText"/>
              <w:spacing w:before="100" w:after="100"/>
              <w:rPr>
                <w:rFonts w:eastAsia="Times New Roman"/>
                <w:bCs/>
                <w:szCs w:val="22"/>
              </w:rPr>
            </w:pPr>
            <w:r>
              <w:rPr>
                <w:rFonts w:eastAsia="Times New Roman"/>
                <w:bCs/>
                <w:szCs w:val="22"/>
              </w:rPr>
              <w:t>Insurance</w:t>
            </w:r>
          </w:p>
        </w:tc>
        <w:tc>
          <w:tcPr>
            <w:tcW w:w="4286" w:type="dxa"/>
            <w:shd w:val="clear" w:color="auto" w:fill="auto"/>
          </w:tcPr>
          <w:p w14:paraId="47E1B718"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4BF9212A" w14:textId="77777777">
        <w:tc>
          <w:tcPr>
            <w:tcW w:w="4670" w:type="dxa"/>
            <w:shd w:val="clear" w:color="auto" w:fill="auto"/>
          </w:tcPr>
          <w:p w14:paraId="7D1F26D8" w14:textId="77777777" w:rsidR="000D07EA" w:rsidRDefault="00BE7C89">
            <w:pPr>
              <w:pStyle w:val="BodyText"/>
              <w:spacing w:before="100" w:after="100"/>
              <w:rPr>
                <w:rFonts w:eastAsia="Times New Roman"/>
                <w:bCs/>
                <w:szCs w:val="22"/>
              </w:rPr>
            </w:pPr>
            <w:r>
              <w:rPr>
                <w:rFonts w:eastAsia="Times New Roman"/>
                <w:bCs/>
                <w:szCs w:val="22"/>
              </w:rPr>
              <w:t>Surepage usage and access</w:t>
            </w:r>
          </w:p>
        </w:tc>
        <w:tc>
          <w:tcPr>
            <w:tcW w:w="4286" w:type="dxa"/>
            <w:shd w:val="clear" w:color="auto" w:fill="auto"/>
          </w:tcPr>
          <w:p w14:paraId="2F22252E"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532C2A6C" w14:textId="77777777">
        <w:tc>
          <w:tcPr>
            <w:tcW w:w="4670" w:type="dxa"/>
            <w:shd w:val="clear" w:color="auto" w:fill="auto"/>
          </w:tcPr>
          <w:p w14:paraId="2F7A1EBA" w14:textId="77777777" w:rsidR="000D07EA" w:rsidRDefault="00BE7C89">
            <w:pPr>
              <w:pStyle w:val="BodyText"/>
              <w:spacing w:before="100" w:after="100"/>
              <w:rPr>
                <w:rFonts w:eastAsia="Times New Roman"/>
                <w:bCs/>
                <w:szCs w:val="22"/>
              </w:rPr>
            </w:pPr>
            <w:r>
              <w:rPr>
                <w:rFonts w:eastAsia="Times New Roman"/>
                <w:bCs/>
                <w:szCs w:val="22"/>
              </w:rPr>
              <w:t>Handset Payments</w:t>
            </w:r>
          </w:p>
        </w:tc>
        <w:tc>
          <w:tcPr>
            <w:tcW w:w="4286" w:type="dxa"/>
            <w:shd w:val="clear" w:color="auto" w:fill="auto"/>
          </w:tcPr>
          <w:p w14:paraId="7AF99092"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4E7C1F5C" w14:textId="77777777">
        <w:tc>
          <w:tcPr>
            <w:tcW w:w="4670" w:type="dxa"/>
            <w:shd w:val="clear" w:color="auto" w:fill="auto"/>
          </w:tcPr>
          <w:p w14:paraId="606454F6" w14:textId="77777777" w:rsidR="000D07EA" w:rsidRDefault="00BE7C89">
            <w:pPr>
              <w:pStyle w:val="BodyText"/>
              <w:spacing w:before="100" w:after="100"/>
              <w:rPr>
                <w:rFonts w:eastAsia="Times New Roman"/>
                <w:bCs/>
                <w:szCs w:val="22"/>
              </w:rPr>
            </w:pPr>
            <w:r>
              <w:rPr>
                <w:rFonts w:eastAsia="Times New Roman"/>
                <w:bCs/>
                <w:szCs w:val="22"/>
              </w:rPr>
              <w:lastRenderedPageBreak/>
              <w:t>Calls to Satellite</w:t>
            </w:r>
            <w:r>
              <w:rPr>
                <w:rFonts w:eastAsia="Times New Roman"/>
                <w:bCs/>
                <w:szCs w:val="22"/>
              </w:rPr>
              <w:tab/>
            </w:r>
          </w:p>
        </w:tc>
        <w:tc>
          <w:tcPr>
            <w:tcW w:w="4286" w:type="dxa"/>
            <w:shd w:val="clear" w:color="auto" w:fill="auto"/>
          </w:tcPr>
          <w:p w14:paraId="041C5882"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6FFBE93E" w14:textId="77777777">
        <w:tc>
          <w:tcPr>
            <w:tcW w:w="4670" w:type="dxa"/>
            <w:shd w:val="clear" w:color="auto" w:fill="auto"/>
          </w:tcPr>
          <w:p w14:paraId="0ACBE5BD" w14:textId="77777777" w:rsidR="000D07EA" w:rsidRDefault="00BE7C89">
            <w:pPr>
              <w:pStyle w:val="BodyText"/>
              <w:spacing w:before="100" w:after="100"/>
              <w:rPr>
                <w:rFonts w:eastAsia="Times New Roman"/>
                <w:bCs/>
                <w:szCs w:val="22"/>
              </w:rPr>
            </w:pPr>
            <w:r>
              <w:rPr>
                <w:rFonts w:eastAsia="Times New Roman"/>
                <w:bCs/>
                <w:szCs w:val="22"/>
              </w:rPr>
              <w:t>VoIP services</w:t>
            </w:r>
          </w:p>
        </w:tc>
        <w:tc>
          <w:tcPr>
            <w:tcW w:w="4286" w:type="dxa"/>
            <w:shd w:val="clear" w:color="auto" w:fill="auto"/>
          </w:tcPr>
          <w:p w14:paraId="4B394AEB" w14:textId="77777777" w:rsidR="000D07EA" w:rsidRDefault="00BE7C89">
            <w:pPr>
              <w:pStyle w:val="BodyText"/>
              <w:spacing w:before="100" w:after="100"/>
              <w:rPr>
                <w:rFonts w:eastAsia="Times New Roman"/>
                <w:bCs/>
                <w:szCs w:val="22"/>
              </w:rPr>
            </w:pPr>
            <w:r>
              <w:rPr>
                <w:rFonts w:eastAsia="Times New Roman"/>
                <w:bCs/>
                <w:szCs w:val="22"/>
              </w:rPr>
              <w:t>No</w:t>
            </w:r>
          </w:p>
        </w:tc>
      </w:tr>
    </w:tbl>
    <w:p w14:paraId="2E2FE17E" w14:textId="77777777" w:rsidR="000D07EA" w:rsidRDefault="00BE7C89">
      <w:pPr>
        <w:pStyle w:val="BodyText"/>
        <w:spacing w:before="240"/>
        <w:ind w:left="1440"/>
        <w:rPr>
          <w:rFonts w:eastAsia="Times New Roman"/>
          <w:bCs/>
          <w:szCs w:val="22"/>
        </w:rPr>
      </w:pPr>
      <w:r>
        <w:rPr>
          <w:rFonts w:eastAsia="Times New Roman"/>
          <w:bCs/>
          <w:szCs w:val="22"/>
        </w:rPr>
        <w:t xml:space="preserve">The particular 'Eligible Calls' and 'Eligible Data' features available to you will vary depending on the particular iPhone or software version </w:t>
      </w:r>
      <w:r>
        <w:rPr>
          <w:rFonts w:eastAsia="Times New Roman"/>
          <w:bCs/>
          <w:i/>
          <w:szCs w:val="22"/>
        </w:rPr>
        <w:t>you</w:t>
      </w:r>
      <w:r>
        <w:rPr>
          <w:rFonts w:eastAsia="Times New Roman"/>
          <w:bCs/>
          <w:szCs w:val="22"/>
        </w:rPr>
        <w:t xml:space="preserve"> use.</w:t>
      </w:r>
    </w:p>
    <w:p w14:paraId="7DEA5CE3" w14:textId="77777777" w:rsidR="000D07EA" w:rsidRDefault="00BE7C89">
      <w:pPr>
        <w:pStyle w:val="BodyText"/>
        <w:ind w:left="1440"/>
        <w:rPr>
          <w:rFonts w:eastAsia="Times New Roman"/>
          <w:b/>
          <w:bCs/>
          <w:szCs w:val="22"/>
        </w:rPr>
      </w:pPr>
      <w:r>
        <w:rPr>
          <w:rFonts w:eastAsia="Times New Roman"/>
          <w:b/>
          <w:bCs/>
          <w:szCs w:val="22"/>
        </w:rPr>
        <w:t>Table 2A</w:t>
      </w:r>
    </w:p>
    <w:tbl>
      <w:tblPr>
        <w:tblW w:w="0" w:type="auto"/>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8"/>
        <w:gridCol w:w="4162"/>
      </w:tblGrid>
      <w:tr w:rsidR="000D07EA" w14:paraId="7B1753A4" w14:textId="77777777">
        <w:trPr>
          <w:tblHeader/>
        </w:trPr>
        <w:tc>
          <w:tcPr>
            <w:tcW w:w="4680" w:type="dxa"/>
            <w:shd w:val="clear" w:color="auto" w:fill="auto"/>
          </w:tcPr>
          <w:p w14:paraId="22FA608F" w14:textId="77777777" w:rsidR="000D07EA" w:rsidRDefault="00BE7C89">
            <w:pPr>
              <w:pStyle w:val="BodyText"/>
              <w:spacing w:before="100" w:after="100"/>
              <w:rPr>
                <w:rFonts w:eastAsia="Times New Roman"/>
                <w:b/>
                <w:bCs/>
                <w:szCs w:val="22"/>
              </w:rPr>
            </w:pPr>
            <w:r>
              <w:rPr>
                <w:rFonts w:eastAsia="Times New Roman"/>
                <w:b/>
                <w:bCs/>
                <w:szCs w:val="22"/>
              </w:rPr>
              <w:t>Call Type</w:t>
            </w:r>
          </w:p>
        </w:tc>
        <w:tc>
          <w:tcPr>
            <w:tcW w:w="4276" w:type="dxa"/>
            <w:shd w:val="clear" w:color="auto" w:fill="auto"/>
          </w:tcPr>
          <w:p w14:paraId="7A571D98" w14:textId="77777777" w:rsidR="000D07EA" w:rsidRDefault="00BE7C89">
            <w:pPr>
              <w:pStyle w:val="BodyText"/>
              <w:spacing w:before="100" w:after="100"/>
              <w:rPr>
                <w:rFonts w:eastAsia="Times New Roman"/>
                <w:b/>
                <w:bCs/>
                <w:szCs w:val="22"/>
              </w:rPr>
            </w:pPr>
            <w:r>
              <w:rPr>
                <w:rFonts w:eastAsia="Times New Roman"/>
                <w:b/>
                <w:bCs/>
                <w:szCs w:val="22"/>
              </w:rPr>
              <w:t>Eligible Data</w:t>
            </w:r>
          </w:p>
        </w:tc>
      </w:tr>
      <w:tr w:rsidR="000D07EA" w14:paraId="37DB5A15" w14:textId="77777777">
        <w:tc>
          <w:tcPr>
            <w:tcW w:w="4680" w:type="dxa"/>
            <w:shd w:val="clear" w:color="auto" w:fill="auto"/>
          </w:tcPr>
          <w:p w14:paraId="48F0AB7F" w14:textId="77777777" w:rsidR="000D07EA" w:rsidRDefault="00BE7C89">
            <w:pPr>
              <w:pStyle w:val="BodyText"/>
              <w:spacing w:before="100" w:after="100"/>
              <w:rPr>
                <w:rFonts w:eastAsia="Times New Roman"/>
                <w:bCs/>
                <w:szCs w:val="22"/>
              </w:rPr>
            </w:pPr>
            <w:r>
              <w:rPr>
                <w:rFonts w:eastAsia="Times New Roman"/>
                <w:bCs/>
                <w:szCs w:val="22"/>
              </w:rPr>
              <w:t>National Voice and Video Calls</w:t>
            </w:r>
          </w:p>
        </w:tc>
        <w:tc>
          <w:tcPr>
            <w:tcW w:w="4276" w:type="dxa"/>
            <w:shd w:val="clear" w:color="auto" w:fill="auto"/>
          </w:tcPr>
          <w:p w14:paraId="53EFF6C9"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00DCE92E" w14:textId="77777777">
        <w:tc>
          <w:tcPr>
            <w:tcW w:w="4680" w:type="dxa"/>
            <w:shd w:val="clear" w:color="auto" w:fill="auto"/>
          </w:tcPr>
          <w:p w14:paraId="751BA208" w14:textId="77777777" w:rsidR="000D07EA" w:rsidRDefault="00BE7C89">
            <w:pPr>
              <w:pStyle w:val="BodyText"/>
              <w:spacing w:before="100" w:after="100"/>
              <w:rPr>
                <w:rFonts w:eastAsia="Times New Roman"/>
                <w:bCs/>
                <w:szCs w:val="22"/>
              </w:rPr>
            </w:pPr>
            <w:r>
              <w:rPr>
                <w:rFonts w:eastAsia="Times New Roman"/>
                <w:bCs/>
                <w:szCs w:val="22"/>
              </w:rPr>
              <w:t>International Voice and Video Calls</w:t>
            </w:r>
          </w:p>
          <w:p w14:paraId="4023F4E8" w14:textId="77777777" w:rsidR="000D07EA" w:rsidRDefault="00BE7C89">
            <w:pPr>
              <w:pStyle w:val="BodyText"/>
              <w:spacing w:before="100" w:after="100"/>
              <w:rPr>
                <w:rFonts w:eastAsia="Times New Roman"/>
                <w:bCs/>
                <w:szCs w:val="22"/>
              </w:rPr>
            </w:pPr>
            <w:r>
              <w:rPr>
                <w:rFonts w:eastAsia="Times New Roman"/>
                <w:bCs/>
                <w:szCs w:val="22"/>
              </w:rPr>
              <w:t>(including calls to national fixed or GSM mobile services that then divert/switch or re-route overseas)</w:t>
            </w:r>
          </w:p>
        </w:tc>
        <w:tc>
          <w:tcPr>
            <w:tcW w:w="4276" w:type="dxa"/>
            <w:shd w:val="clear" w:color="auto" w:fill="auto"/>
          </w:tcPr>
          <w:p w14:paraId="3E77469E"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645E489C" w14:textId="77777777">
        <w:tc>
          <w:tcPr>
            <w:tcW w:w="4680" w:type="dxa"/>
            <w:shd w:val="clear" w:color="auto" w:fill="auto"/>
          </w:tcPr>
          <w:p w14:paraId="35EA2BA8" w14:textId="77777777" w:rsidR="000D07EA" w:rsidRDefault="00BE7C89">
            <w:pPr>
              <w:pStyle w:val="BodyText"/>
              <w:spacing w:before="100" w:after="100"/>
              <w:rPr>
                <w:rFonts w:eastAsia="Times New Roman"/>
                <w:bCs/>
                <w:szCs w:val="22"/>
              </w:rPr>
            </w:pPr>
            <w:r>
              <w:rPr>
                <w:rFonts w:eastAsia="Times New Roman"/>
                <w:bCs/>
                <w:szCs w:val="22"/>
              </w:rPr>
              <w:t>Premium Video</w:t>
            </w:r>
          </w:p>
        </w:tc>
        <w:tc>
          <w:tcPr>
            <w:tcW w:w="4276" w:type="dxa"/>
            <w:shd w:val="clear" w:color="auto" w:fill="auto"/>
          </w:tcPr>
          <w:p w14:paraId="73998A5F"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5DE8A15B" w14:textId="77777777">
        <w:tc>
          <w:tcPr>
            <w:tcW w:w="4680" w:type="dxa"/>
            <w:shd w:val="clear" w:color="auto" w:fill="auto"/>
          </w:tcPr>
          <w:p w14:paraId="10146A4F" w14:textId="77777777" w:rsidR="000D07EA" w:rsidRDefault="00BE7C89">
            <w:pPr>
              <w:pStyle w:val="BodyText"/>
              <w:spacing w:before="100" w:after="100"/>
              <w:rPr>
                <w:rFonts w:eastAsia="Times New Roman"/>
                <w:bCs/>
                <w:szCs w:val="22"/>
              </w:rPr>
            </w:pPr>
            <w:r>
              <w:rPr>
                <w:rFonts w:eastAsia="Times New Roman"/>
                <w:bCs/>
                <w:szCs w:val="22"/>
              </w:rPr>
              <w:t>Content Video</w:t>
            </w:r>
          </w:p>
        </w:tc>
        <w:tc>
          <w:tcPr>
            <w:tcW w:w="4276" w:type="dxa"/>
            <w:shd w:val="clear" w:color="auto" w:fill="auto"/>
          </w:tcPr>
          <w:p w14:paraId="7A3EFFCF"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486EF471" w14:textId="77777777">
        <w:tc>
          <w:tcPr>
            <w:tcW w:w="4680" w:type="dxa"/>
            <w:shd w:val="clear" w:color="auto" w:fill="auto"/>
          </w:tcPr>
          <w:p w14:paraId="40831552" w14:textId="77777777" w:rsidR="000D07EA" w:rsidRDefault="00BE7C89">
            <w:pPr>
              <w:pStyle w:val="BodyText"/>
              <w:spacing w:before="100" w:after="100"/>
              <w:rPr>
                <w:rFonts w:eastAsia="Times New Roman"/>
                <w:bCs/>
                <w:szCs w:val="22"/>
              </w:rPr>
            </w:pPr>
            <w:r>
              <w:rPr>
                <w:rFonts w:eastAsia="Times New Roman"/>
                <w:bCs/>
                <w:szCs w:val="22"/>
              </w:rPr>
              <w:t>National Standard SMS</w:t>
            </w:r>
          </w:p>
        </w:tc>
        <w:tc>
          <w:tcPr>
            <w:tcW w:w="4276" w:type="dxa"/>
            <w:shd w:val="clear" w:color="auto" w:fill="auto"/>
          </w:tcPr>
          <w:p w14:paraId="7FD5CEE4"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76F04894" w14:textId="77777777">
        <w:tc>
          <w:tcPr>
            <w:tcW w:w="4680" w:type="dxa"/>
            <w:shd w:val="clear" w:color="auto" w:fill="auto"/>
          </w:tcPr>
          <w:p w14:paraId="63A47761" w14:textId="77777777" w:rsidR="000D07EA" w:rsidRDefault="00BE7C89">
            <w:pPr>
              <w:pStyle w:val="BodyText"/>
              <w:spacing w:before="100" w:after="100"/>
              <w:rPr>
                <w:rFonts w:eastAsia="Times New Roman"/>
                <w:bCs/>
                <w:szCs w:val="22"/>
              </w:rPr>
            </w:pPr>
            <w:r>
              <w:rPr>
                <w:rFonts w:eastAsia="Times New Roman"/>
                <w:bCs/>
                <w:szCs w:val="22"/>
              </w:rPr>
              <w:t>International SMS</w:t>
            </w:r>
          </w:p>
        </w:tc>
        <w:tc>
          <w:tcPr>
            <w:tcW w:w="4276" w:type="dxa"/>
            <w:shd w:val="clear" w:color="auto" w:fill="auto"/>
          </w:tcPr>
          <w:p w14:paraId="3784A665"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5B70CB0F" w14:textId="77777777">
        <w:tc>
          <w:tcPr>
            <w:tcW w:w="4680" w:type="dxa"/>
            <w:shd w:val="clear" w:color="auto" w:fill="auto"/>
          </w:tcPr>
          <w:p w14:paraId="7B1D5870" w14:textId="77777777" w:rsidR="000D07EA" w:rsidRDefault="00BE7C89">
            <w:pPr>
              <w:pStyle w:val="BodyText"/>
              <w:spacing w:before="100" w:after="100"/>
              <w:rPr>
                <w:rFonts w:eastAsia="Times New Roman"/>
                <w:bCs/>
                <w:szCs w:val="22"/>
              </w:rPr>
            </w:pPr>
            <w:r>
              <w:rPr>
                <w:rFonts w:eastAsia="Times New Roman"/>
                <w:bCs/>
                <w:szCs w:val="22"/>
              </w:rPr>
              <w:t>Premium SMS</w:t>
            </w:r>
          </w:p>
        </w:tc>
        <w:tc>
          <w:tcPr>
            <w:tcW w:w="4276" w:type="dxa"/>
            <w:shd w:val="clear" w:color="auto" w:fill="auto"/>
          </w:tcPr>
          <w:p w14:paraId="2FD6B880"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21B19BB7" w14:textId="77777777">
        <w:tc>
          <w:tcPr>
            <w:tcW w:w="4680" w:type="dxa"/>
            <w:shd w:val="clear" w:color="auto" w:fill="auto"/>
          </w:tcPr>
          <w:p w14:paraId="112AE002" w14:textId="77777777" w:rsidR="000D07EA" w:rsidRDefault="00BE7C89">
            <w:pPr>
              <w:pStyle w:val="BodyText"/>
              <w:spacing w:before="100" w:after="100"/>
              <w:rPr>
                <w:rFonts w:eastAsia="Times New Roman"/>
                <w:bCs/>
                <w:szCs w:val="22"/>
              </w:rPr>
            </w:pPr>
            <w:r>
              <w:rPr>
                <w:rFonts w:eastAsia="Times New Roman"/>
                <w:bCs/>
                <w:szCs w:val="22"/>
              </w:rPr>
              <w:t>National Standard MMS</w:t>
            </w:r>
          </w:p>
        </w:tc>
        <w:tc>
          <w:tcPr>
            <w:tcW w:w="4276" w:type="dxa"/>
            <w:shd w:val="clear" w:color="auto" w:fill="auto"/>
          </w:tcPr>
          <w:p w14:paraId="34E0733C"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264D74E1" w14:textId="77777777">
        <w:tc>
          <w:tcPr>
            <w:tcW w:w="4680" w:type="dxa"/>
            <w:shd w:val="clear" w:color="auto" w:fill="auto"/>
          </w:tcPr>
          <w:p w14:paraId="35AF89EE" w14:textId="77777777" w:rsidR="000D07EA" w:rsidRDefault="00BE7C89">
            <w:pPr>
              <w:pStyle w:val="BodyText"/>
              <w:spacing w:before="100" w:after="100"/>
              <w:rPr>
                <w:rFonts w:eastAsia="Times New Roman"/>
                <w:bCs/>
                <w:szCs w:val="22"/>
              </w:rPr>
            </w:pPr>
            <w:r>
              <w:rPr>
                <w:rFonts w:eastAsia="Times New Roman"/>
                <w:bCs/>
                <w:szCs w:val="22"/>
              </w:rPr>
              <w:t>International MMS</w:t>
            </w:r>
          </w:p>
        </w:tc>
        <w:tc>
          <w:tcPr>
            <w:tcW w:w="4276" w:type="dxa"/>
            <w:shd w:val="clear" w:color="auto" w:fill="auto"/>
          </w:tcPr>
          <w:p w14:paraId="2A4B501F"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5595B024" w14:textId="77777777">
        <w:tc>
          <w:tcPr>
            <w:tcW w:w="4680" w:type="dxa"/>
            <w:shd w:val="clear" w:color="auto" w:fill="auto"/>
          </w:tcPr>
          <w:p w14:paraId="04899763" w14:textId="77777777" w:rsidR="000D07EA" w:rsidRDefault="00BE7C89">
            <w:pPr>
              <w:pStyle w:val="BodyText"/>
              <w:spacing w:before="100" w:after="100"/>
              <w:rPr>
                <w:rFonts w:eastAsia="Times New Roman"/>
                <w:bCs/>
                <w:szCs w:val="22"/>
              </w:rPr>
            </w:pPr>
            <w:r>
              <w:rPr>
                <w:rFonts w:eastAsia="Times New Roman"/>
                <w:bCs/>
                <w:szCs w:val="22"/>
              </w:rPr>
              <w:t>Premium MMS</w:t>
            </w:r>
          </w:p>
        </w:tc>
        <w:tc>
          <w:tcPr>
            <w:tcW w:w="4276" w:type="dxa"/>
            <w:shd w:val="clear" w:color="auto" w:fill="auto"/>
          </w:tcPr>
          <w:p w14:paraId="2D81548F"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37CE6BBA" w14:textId="77777777">
        <w:tc>
          <w:tcPr>
            <w:tcW w:w="4680" w:type="dxa"/>
            <w:shd w:val="clear" w:color="auto" w:fill="auto"/>
          </w:tcPr>
          <w:p w14:paraId="6A9325C6" w14:textId="77777777" w:rsidR="000D07EA" w:rsidRDefault="00BE7C89">
            <w:pPr>
              <w:pStyle w:val="BodyText"/>
              <w:spacing w:before="100" w:after="100"/>
              <w:rPr>
                <w:rFonts w:eastAsia="Times New Roman"/>
                <w:bCs/>
                <w:szCs w:val="22"/>
              </w:rPr>
            </w:pPr>
            <w:r>
              <w:rPr>
                <w:rFonts w:eastAsia="Times New Roman"/>
                <w:bCs/>
                <w:szCs w:val="22"/>
              </w:rPr>
              <w:t>National Diversions</w:t>
            </w:r>
          </w:p>
        </w:tc>
        <w:tc>
          <w:tcPr>
            <w:tcW w:w="4276" w:type="dxa"/>
            <w:shd w:val="clear" w:color="auto" w:fill="auto"/>
          </w:tcPr>
          <w:p w14:paraId="2A1D0ED3"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2C1115FB" w14:textId="77777777">
        <w:tc>
          <w:tcPr>
            <w:tcW w:w="4680" w:type="dxa"/>
            <w:shd w:val="clear" w:color="auto" w:fill="auto"/>
          </w:tcPr>
          <w:p w14:paraId="05078575" w14:textId="77777777" w:rsidR="000D07EA" w:rsidRDefault="00BE7C89">
            <w:pPr>
              <w:pStyle w:val="BodyText"/>
              <w:spacing w:before="100" w:after="100"/>
              <w:rPr>
                <w:rFonts w:eastAsia="Times New Roman"/>
                <w:bCs/>
                <w:szCs w:val="22"/>
              </w:rPr>
            </w:pPr>
            <w:r>
              <w:rPr>
                <w:rFonts w:eastAsia="Times New Roman"/>
                <w:bCs/>
                <w:szCs w:val="22"/>
              </w:rPr>
              <w:t>Voicemail Deposits and Retrievals</w:t>
            </w:r>
          </w:p>
        </w:tc>
        <w:tc>
          <w:tcPr>
            <w:tcW w:w="4276" w:type="dxa"/>
            <w:shd w:val="clear" w:color="auto" w:fill="auto"/>
          </w:tcPr>
          <w:p w14:paraId="0C97868A"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4C9F0AE2" w14:textId="77777777">
        <w:tc>
          <w:tcPr>
            <w:tcW w:w="4680" w:type="dxa"/>
            <w:shd w:val="clear" w:color="auto" w:fill="auto"/>
          </w:tcPr>
          <w:p w14:paraId="2684FA5A" w14:textId="77777777" w:rsidR="000D07EA" w:rsidRDefault="00BE7C89">
            <w:pPr>
              <w:pStyle w:val="BodyText"/>
              <w:spacing w:before="100" w:after="100"/>
              <w:rPr>
                <w:rFonts w:eastAsia="Times New Roman"/>
                <w:bCs/>
                <w:szCs w:val="22"/>
              </w:rPr>
            </w:pPr>
            <w:r>
              <w:rPr>
                <w:rFonts w:eastAsia="Times New Roman"/>
                <w:bCs/>
                <w:szCs w:val="22"/>
              </w:rPr>
              <w:t>International Roaming and Diversions</w:t>
            </w:r>
          </w:p>
        </w:tc>
        <w:tc>
          <w:tcPr>
            <w:tcW w:w="4276" w:type="dxa"/>
            <w:shd w:val="clear" w:color="auto" w:fill="auto"/>
          </w:tcPr>
          <w:p w14:paraId="56852310"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201C1B9C" w14:textId="77777777">
        <w:tc>
          <w:tcPr>
            <w:tcW w:w="4680" w:type="dxa"/>
            <w:shd w:val="clear" w:color="auto" w:fill="auto"/>
          </w:tcPr>
          <w:p w14:paraId="0C71536D" w14:textId="77777777" w:rsidR="000D07EA" w:rsidRDefault="00BE7C89">
            <w:pPr>
              <w:pStyle w:val="BodyText"/>
              <w:spacing w:before="100" w:after="100"/>
              <w:rPr>
                <w:rFonts w:eastAsia="Times New Roman"/>
                <w:bCs/>
                <w:szCs w:val="22"/>
              </w:rPr>
            </w:pPr>
            <w:r>
              <w:rPr>
                <w:rFonts w:eastAsia="Times New Roman"/>
                <w:bCs/>
                <w:szCs w:val="22"/>
              </w:rPr>
              <w:t>Video Conferencing</w:t>
            </w:r>
          </w:p>
        </w:tc>
        <w:tc>
          <w:tcPr>
            <w:tcW w:w="4276" w:type="dxa"/>
            <w:shd w:val="clear" w:color="auto" w:fill="auto"/>
          </w:tcPr>
          <w:p w14:paraId="729A2F79"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34F34C31" w14:textId="77777777">
        <w:tc>
          <w:tcPr>
            <w:tcW w:w="4680" w:type="dxa"/>
            <w:shd w:val="clear" w:color="auto" w:fill="auto"/>
          </w:tcPr>
          <w:p w14:paraId="715C03D0" w14:textId="77777777" w:rsidR="000D07EA" w:rsidRDefault="00BE7C89">
            <w:pPr>
              <w:pStyle w:val="BodyText"/>
              <w:spacing w:before="100" w:after="100"/>
              <w:rPr>
                <w:rFonts w:eastAsia="Times New Roman"/>
                <w:bCs/>
                <w:szCs w:val="22"/>
              </w:rPr>
            </w:pPr>
            <w:r>
              <w:rPr>
                <w:rFonts w:eastAsia="Times New Roman"/>
                <w:bCs/>
                <w:szCs w:val="22"/>
              </w:rPr>
              <w:t>BlackBerry Email</w:t>
            </w:r>
          </w:p>
        </w:tc>
        <w:tc>
          <w:tcPr>
            <w:tcW w:w="4276" w:type="dxa"/>
            <w:shd w:val="clear" w:color="auto" w:fill="auto"/>
          </w:tcPr>
          <w:p w14:paraId="720B4216"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171A24D7" w14:textId="77777777">
        <w:tc>
          <w:tcPr>
            <w:tcW w:w="4680" w:type="dxa"/>
            <w:shd w:val="clear" w:color="auto" w:fill="auto"/>
          </w:tcPr>
          <w:p w14:paraId="74BEB390" w14:textId="77777777" w:rsidR="000D07EA" w:rsidRDefault="00BE7C89">
            <w:pPr>
              <w:pStyle w:val="BodyText"/>
              <w:spacing w:before="100" w:after="100"/>
              <w:rPr>
                <w:rFonts w:eastAsia="Times New Roman"/>
                <w:bCs/>
                <w:szCs w:val="22"/>
              </w:rPr>
            </w:pPr>
            <w:r>
              <w:rPr>
                <w:rFonts w:eastAsia="Times New Roman"/>
                <w:bCs/>
                <w:szCs w:val="22"/>
              </w:rPr>
              <w:t>Optus iZoo Browsing*</w:t>
            </w:r>
          </w:p>
        </w:tc>
        <w:tc>
          <w:tcPr>
            <w:tcW w:w="4276" w:type="dxa"/>
            <w:shd w:val="clear" w:color="auto" w:fill="auto"/>
          </w:tcPr>
          <w:p w14:paraId="52FB8B41" w14:textId="77777777" w:rsidR="000D07EA" w:rsidRDefault="00BE7C89">
            <w:pPr>
              <w:pStyle w:val="BodyText"/>
              <w:spacing w:before="100" w:after="100"/>
              <w:rPr>
                <w:rFonts w:eastAsia="Times New Roman"/>
                <w:bCs/>
                <w:szCs w:val="22"/>
              </w:rPr>
            </w:pPr>
            <w:r>
              <w:rPr>
                <w:rFonts w:eastAsia="Times New Roman"/>
                <w:bCs/>
                <w:szCs w:val="22"/>
              </w:rPr>
              <w:t>Yes, up to the monthly included data amount specified in the Pricing Plan table below</w:t>
            </w:r>
          </w:p>
        </w:tc>
      </w:tr>
      <w:tr w:rsidR="000D07EA" w14:paraId="161272CD" w14:textId="77777777">
        <w:tc>
          <w:tcPr>
            <w:tcW w:w="4680" w:type="dxa"/>
            <w:shd w:val="clear" w:color="auto" w:fill="auto"/>
          </w:tcPr>
          <w:p w14:paraId="610418FB" w14:textId="77777777" w:rsidR="000D07EA" w:rsidRDefault="00BE7C89">
            <w:pPr>
              <w:pStyle w:val="BodyText"/>
              <w:spacing w:before="100" w:after="100"/>
              <w:rPr>
                <w:rFonts w:eastAsia="Times New Roman"/>
                <w:bCs/>
                <w:szCs w:val="22"/>
              </w:rPr>
            </w:pPr>
            <w:r>
              <w:rPr>
                <w:rFonts w:eastAsia="Times New Roman"/>
                <w:bCs/>
                <w:szCs w:val="22"/>
              </w:rPr>
              <w:t>Optus iZoo Downloads</w:t>
            </w:r>
          </w:p>
        </w:tc>
        <w:tc>
          <w:tcPr>
            <w:tcW w:w="4276" w:type="dxa"/>
            <w:shd w:val="clear" w:color="auto" w:fill="auto"/>
          </w:tcPr>
          <w:p w14:paraId="753F3CF5"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0971973C" w14:textId="77777777">
        <w:tc>
          <w:tcPr>
            <w:tcW w:w="4680" w:type="dxa"/>
            <w:shd w:val="clear" w:color="auto" w:fill="auto"/>
          </w:tcPr>
          <w:p w14:paraId="5CCAD63F" w14:textId="77777777" w:rsidR="000D07EA" w:rsidRDefault="00BE7C89">
            <w:pPr>
              <w:pStyle w:val="BodyText"/>
              <w:spacing w:before="100" w:after="100"/>
              <w:rPr>
                <w:rFonts w:eastAsia="Times New Roman"/>
                <w:bCs/>
                <w:szCs w:val="22"/>
              </w:rPr>
            </w:pPr>
            <w:r>
              <w:rPr>
                <w:rFonts w:eastAsia="Times New Roman"/>
                <w:bCs/>
                <w:szCs w:val="22"/>
              </w:rPr>
              <w:t>966* iZoo</w:t>
            </w:r>
          </w:p>
        </w:tc>
        <w:tc>
          <w:tcPr>
            <w:tcW w:w="4276" w:type="dxa"/>
            <w:shd w:val="clear" w:color="auto" w:fill="auto"/>
          </w:tcPr>
          <w:p w14:paraId="6C8A1C6E"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684BF07C" w14:textId="77777777">
        <w:tc>
          <w:tcPr>
            <w:tcW w:w="4680" w:type="dxa"/>
            <w:shd w:val="clear" w:color="auto" w:fill="auto"/>
          </w:tcPr>
          <w:p w14:paraId="65C3823B" w14:textId="77777777" w:rsidR="000D07EA" w:rsidRDefault="00BE7C89">
            <w:pPr>
              <w:pStyle w:val="BodyText"/>
              <w:spacing w:before="100" w:after="100"/>
              <w:rPr>
                <w:rFonts w:eastAsia="Times New Roman"/>
                <w:bCs/>
                <w:szCs w:val="22"/>
              </w:rPr>
            </w:pPr>
            <w:r>
              <w:rPr>
                <w:rFonts w:eastAsia="Times New Roman"/>
                <w:bCs/>
                <w:szCs w:val="22"/>
              </w:rPr>
              <w:t>Mobile Internet Usage*</w:t>
            </w:r>
          </w:p>
        </w:tc>
        <w:tc>
          <w:tcPr>
            <w:tcW w:w="4276" w:type="dxa"/>
            <w:shd w:val="clear" w:color="auto" w:fill="auto"/>
          </w:tcPr>
          <w:p w14:paraId="1867FC6F" w14:textId="77777777" w:rsidR="000D07EA" w:rsidRDefault="00BE7C89">
            <w:pPr>
              <w:pStyle w:val="BodyText"/>
              <w:spacing w:before="100" w:after="100"/>
              <w:rPr>
                <w:rFonts w:eastAsia="Times New Roman"/>
                <w:bCs/>
                <w:szCs w:val="22"/>
              </w:rPr>
            </w:pPr>
            <w:r>
              <w:rPr>
                <w:rFonts w:eastAsia="Times New Roman"/>
                <w:bCs/>
                <w:szCs w:val="22"/>
              </w:rPr>
              <w:t>Yes, up to the monthly included data amount specified in the Pricing Plan table below</w:t>
            </w:r>
          </w:p>
        </w:tc>
      </w:tr>
      <w:tr w:rsidR="000D07EA" w14:paraId="66753458" w14:textId="77777777">
        <w:tc>
          <w:tcPr>
            <w:tcW w:w="4680" w:type="dxa"/>
            <w:shd w:val="clear" w:color="auto" w:fill="auto"/>
          </w:tcPr>
          <w:p w14:paraId="4455ADCC" w14:textId="77777777" w:rsidR="000D07EA" w:rsidRDefault="00BE7C89">
            <w:pPr>
              <w:pStyle w:val="BodyText"/>
              <w:spacing w:before="100" w:after="100"/>
              <w:rPr>
                <w:rFonts w:eastAsia="Times New Roman"/>
                <w:bCs/>
                <w:szCs w:val="22"/>
              </w:rPr>
            </w:pPr>
            <w:r>
              <w:rPr>
                <w:rFonts w:eastAsia="Times New Roman"/>
                <w:bCs/>
                <w:szCs w:val="22"/>
              </w:rPr>
              <w:t>Data used while roaming internationally</w:t>
            </w:r>
          </w:p>
        </w:tc>
        <w:tc>
          <w:tcPr>
            <w:tcW w:w="4276" w:type="dxa"/>
            <w:shd w:val="clear" w:color="auto" w:fill="auto"/>
          </w:tcPr>
          <w:p w14:paraId="25F94267"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6A16C389" w14:textId="77777777">
        <w:tc>
          <w:tcPr>
            <w:tcW w:w="4680" w:type="dxa"/>
            <w:shd w:val="clear" w:color="auto" w:fill="auto"/>
          </w:tcPr>
          <w:p w14:paraId="39660663" w14:textId="77777777" w:rsidR="000D07EA" w:rsidRDefault="00BE7C89">
            <w:pPr>
              <w:pStyle w:val="BodyText"/>
              <w:spacing w:before="100" w:after="100"/>
              <w:rPr>
                <w:rFonts w:eastAsia="Times New Roman"/>
                <w:bCs/>
                <w:szCs w:val="22"/>
              </w:rPr>
            </w:pPr>
            <w:r>
              <w:rPr>
                <w:rFonts w:eastAsia="Times New Roman"/>
                <w:bCs/>
                <w:szCs w:val="22"/>
              </w:rPr>
              <w:lastRenderedPageBreak/>
              <w:t>Content Packs</w:t>
            </w:r>
          </w:p>
        </w:tc>
        <w:tc>
          <w:tcPr>
            <w:tcW w:w="4276" w:type="dxa"/>
            <w:shd w:val="clear" w:color="auto" w:fill="auto"/>
          </w:tcPr>
          <w:p w14:paraId="1A0FC574"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5014DAF4" w14:textId="77777777">
        <w:tc>
          <w:tcPr>
            <w:tcW w:w="4680" w:type="dxa"/>
            <w:shd w:val="clear" w:color="auto" w:fill="auto"/>
          </w:tcPr>
          <w:p w14:paraId="06585B28" w14:textId="77777777" w:rsidR="000D07EA" w:rsidRDefault="00BE7C89">
            <w:pPr>
              <w:pStyle w:val="BodyText"/>
              <w:spacing w:before="100" w:after="100"/>
              <w:rPr>
                <w:rFonts w:eastAsia="Times New Roman"/>
                <w:bCs/>
                <w:szCs w:val="22"/>
              </w:rPr>
            </w:pPr>
            <w:r>
              <w:rPr>
                <w:rFonts w:eastAsia="Times New Roman"/>
                <w:bCs/>
                <w:szCs w:val="22"/>
              </w:rPr>
              <w:t>Mobile Instant Messaging – IM</w:t>
            </w:r>
          </w:p>
        </w:tc>
        <w:tc>
          <w:tcPr>
            <w:tcW w:w="4276" w:type="dxa"/>
            <w:shd w:val="clear" w:color="auto" w:fill="auto"/>
          </w:tcPr>
          <w:p w14:paraId="06ADAEBA"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7CC9694B" w14:textId="77777777">
        <w:tc>
          <w:tcPr>
            <w:tcW w:w="4680" w:type="dxa"/>
            <w:shd w:val="clear" w:color="auto" w:fill="auto"/>
          </w:tcPr>
          <w:p w14:paraId="4B20A41F" w14:textId="77777777" w:rsidR="000D07EA" w:rsidRDefault="00BE7C89">
            <w:pPr>
              <w:pStyle w:val="BodyText"/>
              <w:spacing w:before="100" w:after="100"/>
              <w:rPr>
                <w:rFonts w:eastAsia="Times New Roman"/>
                <w:bCs/>
                <w:szCs w:val="22"/>
              </w:rPr>
            </w:pPr>
            <w:r>
              <w:rPr>
                <w:rFonts w:eastAsia="Times New Roman"/>
                <w:bCs/>
                <w:szCs w:val="22"/>
              </w:rPr>
              <w:t>TrueLocal Usage</w:t>
            </w:r>
          </w:p>
        </w:tc>
        <w:tc>
          <w:tcPr>
            <w:tcW w:w="4276" w:type="dxa"/>
            <w:shd w:val="clear" w:color="auto" w:fill="auto"/>
          </w:tcPr>
          <w:p w14:paraId="3E451F2A"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4CD58F13" w14:textId="77777777">
        <w:tc>
          <w:tcPr>
            <w:tcW w:w="4680" w:type="dxa"/>
            <w:shd w:val="clear" w:color="auto" w:fill="auto"/>
          </w:tcPr>
          <w:p w14:paraId="55D956AF" w14:textId="77777777" w:rsidR="000D07EA" w:rsidRDefault="00BE7C89">
            <w:pPr>
              <w:pStyle w:val="BodyText"/>
              <w:spacing w:before="100" w:after="100"/>
              <w:rPr>
                <w:rFonts w:eastAsia="Times New Roman"/>
                <w:bCs/>
                <w:szCs w:val="22"/>
              </w:rPr>
            </w:pPr>
            <w:r>
              <w:rPr>
                <w:rFonts w:eastAsia="Times New Roman"/>
                <w:bCs/>
                <w:szCs w:val="22"/>
              </w:rPr>
              <w:t>Directory Assistance – 1223</w:t>
            </w:r>
          </w:p>
        </w:tc>
        <w:tc>
          <w:tcPr>
            <w:tcW w:w="4276" w:type="dxa"/>
            <w:shd w:val="clear" w:color="auto" w:fill="auto"/>
          </w:tcPr>
          <w:p w14:paraId="0DDF5BE8"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3F9D33E6" w14:textId="77777777">
        <w:tc>
          <w:tcPr>
            <w:tcW w:w="4680" w:type="dxa"/>
            <w:shd w:val="clear" w:color="auto" w:fill="auto"/>
          </w:tcPr>
          <w:p w14:paraId="37DEA3CB" w14:textId="77777777" w:rsidR="000D07EA" w:rsidRDefault="00BE7C89">
            <w:pPr>
              <w:pStyle w:val="BodyText"/>
              <w:spacing w:before="100" w:after="100"/>
              <w:rPr>
                <w:rFonts w:eastAsia="Times New Roman"/>
                <w:bCs/>
                <w:szCs w:val="22"/>
              </w:rPr>
            </w:pPr>
            <w:r>
              <w:rPr>
                <w:rFonts w:eastAsia="Times New Roman"/>
                <w:bCs/>
                <w:szCs w:val="22"/>
              </w:rPr>
              <w:t>19xx Numbers</w:t>
            </w:r>
          </w:p>
        </w:tc>
        <w:tc>
          <w:tcPr>
            <w:tcW w:w="4276" w:type="dxa"/>
            <w:shd w:val="clear" w:color="auto" w:fill="auto"/>
          </w:tcPr>
          <w:p w14:paraId="733E7F0E"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113A8C3B" w14:textId="77777777">
        <w:tc>
          <w:tcPr>
            <w:tcW w:w="4680" w:type="dxa"/>
            <w:shd w:val="clear" w:color="auto" w:fill="auto"/>
          </w:tcPr>
          <w:p w14:paraId="0CDCC31E" w14:textId="77777777" w:rsidR="000D07EA" w:rsidRDefault="00BE7C89">
            <w:pPr>
              <w:pStyle w:val="BodyText"/>
              <w:spacing w:before="100" w:after="100"/>
              <w:rPr>
                <w:rFonts w:eastAsia="Times New Roman"/>
                <w:bCs/>
                <w:szCs w:val="22"/>
              </w:rPr>
            </w:pPr>
            <w:r>
              <w:rPr>
                <w:rFonts w:eastAsia="Times New Roman"/>
                <w:bCs/>
                <w:szCs w:val="22"/>
              </w:rPr>
              <w:t>1800, 13 and 1300 Numbers</w:t>
            </w:r>
          </w:p>
        </w:tc>
        <w:tc>
          <w:tcPr>
            <w:tcW w:w="4276" w:type="dxa"/>
            <w:shd w:val="clear" w:color="auto" w:fill="auto"/>
          </w:tcPr>
          <w:p w14:paraId="0C361118"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5CEE3D14" w14:textId="77777777">
        <w:tc>
          <w:tcPr>
            <w:tcW w:w="4680" w:type="dxa"/>
            <w:shd w:val="clear" w:color="auto" w:fill="auto"/>
          </w:tcPr>
          <w:p w14:paraId="0E2263FE" w14:textId="77777777" w:rsidR="000D07EA" w:rsidRDefault="00BE7C89">
            <w:pPr>
              <w:pStyle w:val="BodyText"/>
              <w:spacing w:before="100" w:after="100"/>
              <w:rPr>
                <w:rFonts w:eastAsia="Times New Roman"/>
                <w:bCs/>
                <w:szCs w:val="22"/>
              </w:rPr>
            </w:pPr>
            <w:r>
              <w:rPr>
                <w:rFonts w:eastAsia="Times New Roman"/>
                <w:bCs/>
                <w:szCs w:val="22"/>
              </w:rPr>
              <w:t>124YES(937)</w:t>
            </w:r>
          </w:p>
        </w:tc>
        <w:tc>
          <w:tcPr>
            <w:tcW w:w="4276" w:type="dxa"/>
            <w:shd w:val="clear" w:color="auto" w:fill="auto"/>
          </w:tcPr>
          <w:p w14:paraId="5862AF5C"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4A92255C" w14:textId="77777777">
        <w:tc>
          <w:tcPr>
            <w:tcW w:w="4680" w:type="dxa"/>
            <w:shd w:val="clear" w:color="auto" w:fill="auto"/>
          </w:tcPr>
          <w:p w14:paraId="3AAA0E3E" w14:textId="77777777" w:rsidR="000D07EA" w:rsidRDefault="00BE7C89">
            <w:pPr>
              <w:pStyle w:val="BodyText"/>
              <w:spacing w:before="100" w:after="100"/>
              <w:rPr>
                <w:rFonts w:eastAsia="Times New Roman"/>
                <w:bCs/>
                <w:szCs w:val="22"/>
              </w:rPr>
            </w:pPr>
            <w:r>
              <w:rPr>
                <w:rFonts w:eastAsia="Times New Roman"/>
                <w:bCs/>
                <w:szCs w:val="22"/>
              </w:rPr>
              <w:t>Fax and Data</w:t>
            </w:r>
          </w:p>
        </w:tc>
        <w:tc>
          <w:tcPr>
            <w:tcW w:w="4276" w:type="dxa"/>
            <w:shd w:val="clear" w:color="auto" w:fill="auto"/>
          </w:tcPr>
          <w:p w14:paraId="28F14288"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205C12D9" w14:textId="77777777">
        <w:tc>
          <w:tcPr>
            <w:tcW w:w="4680" w:type="dxa"/>
            <w:shd w:val="clear" w:color="auto" w:fill="auto"/>
          </w:tcPr>
          <w:p w14:paraId="63B01EF9" w14:textId="77777777" w:rsidR="000D07EA" w:rsidRDefault="00BE7C89">
            <w:pPr>
              <w:pStyle w:val="BodyText"/>
              <w:spacing w:before="100" w:after="100"/>
              <w:rPr>
                <w:rFonts w:eastAsia="Times New Roman"/>
                <w:bCs/>
                <w:szCs w:val="22"/>
              </w:rPr>
            </w:pPr>
            <w:r>
              <w:rPr>
                <w:rFonts w:eastAsia="Times New Roman"/>
                <w:bCs/>
                <w:szCs w:val="22"/>
              </w:rPr>
              <w:t>Insurance</w:t>
            </w:r>
          </w:p>
        </w:tc>
        <w:tc>
          <w:tcPr>
            <w:tcW w:w="4276" w:type="dxa"/>
            <w:shd w:val="clear" w:color="auto" w:fill="auto"/>
          </w:tcPr>
          <w:p w14:paraId="76A12D84"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2FE94AA8" w14:textId="77777777">
        <w:tc>
          <w:tcPr>
            <w:tcW w:w="4680" w:type="dxa"/>
            <w:shd w:val="clear" w:color="auto" w:fill="auto"/>
          </w:tcPr>
          <w:p w14:paraId="074BC5E8" w14:textId="77777777" w:rsidR="000D07EA" w:rsidRDefault="00BE7C89">
            <w:pPr>
              <w:pStyle w:val="BodyText"/>
              <w:spacing w:before="100" w:after="100"/>
              <w:rPr>
                <w:rFonts w:eastAsia="Times New Roman"/>
                <w:bCs/>
                <w:szCs w:val="22"/>
              </w:rPr>
            </w:pPr>
            <w:r>
              <w:rPr>
                <w:rFonts w:eastAsia="Times New Roman"/>
                <w:bCs/>
                <w:szCs w:val="22"/>
              </w:rPr>
              <w:t>Surepage Usage and Access</w:t>
            </w:r>
          </w:p>
        </w:tc>
        <w:tc>
          <w:tcPr>
            <w:tcW w:w="4276" w:type="dxa"/>
            <w:shd w:val="clear" w:color="auto" w:fill="auto"/>
          </w:tcPr>
          <w:p w14:paraId="00F41C2B"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76C8A3CC" w14:textId="77777777">
        <w:tc>
          <w:tcPr>
            <w:tcW w:w="4680" w:type="dxa"/>
            <w:shd w:val="clear" w:color="auto" w:fill="auto"/>
          </w:tcPr>
          <w:p w14:paraId="23E1C8E1" w14:textId="77777777" w:rsidR="000D07EA" w:rsidRDefault="00BE7C89">
            <w:pPr>
              <w:pStyle w:val="BodyText"/>
              <w:spacing w:before="100" w:after="100"/>
              <w:rPr>
                <w:rFonts w:eastAsia="Times New Roman"/>
                <w:bCs/>
                <w:szCs w:val="22"/>
              </w:rPr>
            </w:pPr>
            <w:r>
              <w:rPr>
                <w:rFonts w:eastAsia="Times New Roman"/>
                <w:bCs/>
                <w:szCs w:val="22"/>
              </w:rPr>
              <w:t>Handset Payments</w:t>
            </w:r>
          </w:p>
        </w:tc>
        <w:tc>
          <w:tcPr>
            <w:tcW w:w="4276" w:type="dxa"/>
            <w:shd w:val="clear" w:color="auto" w:fill="auto"/>
          </w:tcPr>
          <w:p w14:paraId="27E42769"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19FA295A" w14:textId="77777777">
        <w:tc>
          <w:tcPr>
            <w:tcW w:w="4680" w:type="dxa"/>
            <w:shd w:val="clear" w:color="auto" w:fill="auto"/>
          </w:tcPr>
          <w:p w14:paraId="0A40B798" w14:textId="77777777" w:rsidR="000D07EA" w:rsidRDefault="00BE7C89">
            <w:pPr>
              <w:pStyle w:val="BodyText"/>
              <w:spacing w:before="100" w:after="100"/>
              <w:rPr>
                <w:rFonts w:eastAsia="Times New Roman"/>
                <w:bCs/>
                <w:szCs w:val="22"/>
              </w:rPr>
            </w:pPr>
            <w:r>
              <w:rPr>
                <w:rFonts w:eastAsia="Times New Roman"/>
                <w:bCs/>
                <w:szCs w:val="22"/>
              </w:rPr>
              <w:t>Calls to Satellite</w:t>
            </w:r>
            <w:r>
              <w:rPr>
                <w:rFonts w:eastAsia="Times New Roman"/>
                <w:bCs/>
                <w:szCs w:val="22"/>
              </w:rPr>
              <w:tab/>
            </w:r>
          </w:p>
        </w:tc>
        <w:tc>
          <w:tcPr>
            <w:tcW w:w="4276" w:type="dxa"/>
            <w:shd w:val="clear" w:color="auto" w:fill="auto"/>
          </w:tcPr>
          <w:p w14:paraId="6FD0026E" w14:textId="77777777" w:rsidR="000D07EA" w:rsidRDefault="00BE7C89">
            <w:pPr>
              <w:pStyle w:val="BodyText"/>
              <w:spacing w:before="100" w:after="100"/>
              <w:rPr>
                <w:rFonts w:eastAsia="Times New Roman"/>
                <w:bCs/>
                <w:szCs w:val="22"/>
              </w:rPr>
            </w:pPr>
            <w:r>
              <w:rPr>
                <w:rFonts w:eastAsia="Times New Roman"/>
                <w:bCs/>
                <w:szCs w:val="22"/>
              </w:rPr>
              <w:t>No</w:t>
            </w:r>
          </w:p>
        </w:tc>
      </w:tr>
      <w:tr w:rsidR="000D07EA" w14:paraId="3B0587BF" w14:textId="77777777">
        <w:tc>
          <w:tcPr>
            <w:tcW w:w="4680" w:type="dxa"/>
            <w:shd w:val="clear" w:color="auto" w:fill="auto"/>
          </w:tcPr>
          <w:p w14:paraId="2D11310C" w14:textId="77777777" w:rsidR="000D07EA" w:rsidRDefault="00BE7C89">
            <w:pPr>
              <w:pStyle w:val="BodyText"/>
              <w:spacing w:before="100" w:after="100"/>
              <w:rPr>
                <w:rFonts w:eastAsia="Times New Roman"/>
                <w:bCs/>
                <w:szCs w:val="22"/>
              </w:rPr>
            </w:pPr>
            <w:r>
              <w:rPr>
                <w:rFonts w:eastAsia="Times New Roman"/>
                <w:bCs/>
                <w:szCs w:val="22"/>
              </w:rPr>
              <w:t>VoIP Services</w:t>
            </w:r>
          </w:p>
        </w:tc>
        <w:tc>
          <w:tcPr>
            <w:tcW w:w="4276" w:type="dxa"/>
            <w:shd w:val="clear" w:color="auto" w:fill="auto"/>
          </w:tcPr>
          <w:p w14:paraId="07935A8D" w14:textId="77777777" w:rsidR="000D07EA" w:rsidRDefault="00BE7C89">
            <w:pPr>
              <w:pStyle w:val="BodyText"/>
              <w:spacing w:before="100" w:after="100"/>
              <w:rPr>
                <w:rFonts w:eastAsia="Times New Roman"/>
                <w:bCs/>
                <w:szCs w:val="22"/>
              </w:rPr>
            </w:pPr>
            <w:r>
              <w:rPr>
                <w:rFonts w:eastAsia="Times New Roman"/>
                <w:bCs/>
                <w:szCs w:val="22"/>
              </w:rPr>
              <w:t>No</w:t>
            </w:r>
          </w:p>
        </w:tc>
      </w:tr>
    </w:tbl>
    <w:p w14:paraId="5E3590E3" w14:textId="77777777" w:rsidR="000D07EA" w:rsidRDefault="00BE7C89">
      <w:pPr>
        <w:pStyle w:val="BodyText"/>
        <w:spacing w:before="240"/>
        <w:ind w:left="1440"/>
        <w:rPr>
          <w:rFonts w:eastAsia="Times New Roman"/>
          <w:bCs/>
          <w:szCs w:val="22"/>
        </w:rPr>
      </w:pPr>
      <w:r>
        <w:rPr>
          <w:rFonts w:eastAsia="Times New Roman"/>
          <w:bCs/>
          <w:szCs w:val="22"/>
        </w:rPr>
        <w:t xml:space="preserve">The particular 'Eligible Calls' and 'Eligible Data' features available to </w:t>
      </w:r>
      <w:r>
        <w:rPr>
          <w:rFonts w:eastAsia="Times New Roman"/>
          <w:bCs/>
          <w:i/>
          <w:szCs w:val="22"/>
        </w:rPr>
        <w:t>you</w:t>
      </w:r>
      <w:r>
        <w:rPr>
          <w:rFonts w:eastAsia="Times New Roman"/>
          <w:bCs/>
          <w:szCs w:val="22"/>
        </w:rPr>
        <w:t xml:space="preserve"> will vary depending on the particular iPhone or software version </w:t>
      </w:r>
      <w:r>
        <w:rPr>
          <w:rFonts w:eastAsia="Times New Roman"/>
          <w:bCs/>
          <w:i/>
          <w:szCs w:val="22"/>
        </w:rPr>
        <w:t>you</w:t>
      </w:r>
      <w:r>
        <w:rPr>
          <w:rFonts w:eastAsia="Times New Roman"/>
          <w:bCs/>
          <w:szCs w:val="22"/>
        </w:rPr>
        <w:t xml:space="preserve"> use.</w:t>
      </w:r>
    </w:p>
    <w:p w14:paraId="480440E3" w14:textId="77777777" w:rsidR="000D07EA" w:rsidRDefault="00BE7C89">
      <w:pPr>
        <w:pStyle w:val="BodyText"/>
        <w:ind w:left="1440"/>
        <w:rPr>
          <w:rFonts w:eastAsia="Times New Roman"/>
          <w:bCs/>
          <w:szCs w:val="22"/>
        </w:rPr>
      </w:pPr>
      <w:r>
        <w:rPr>
          <w:rFonts w:eastAsia="Times New Roman"/>
          <w:bCs/>
          <w:szCs w:val="22"/>
        </w:rPr>
        <w:t xml:space="preserve">* Included data on </w:t>
      </w:r>
      <w:r>
        <w:rPr>
          <w:rFonts w:eastAsia="Times New Roman"/>
          <w:bCs/>
          <w:i/>
          <w:szCs w:val="22"/>
        </w:rPr>
        <w:t>your</w:t>
      </w:r>
      <w:r>
        <w:rPr>
          <w:rFonts w:eastAsia="Times New Roman"/>
          <w:bCs/>
          <w:szCs w:val="22"/>
        </w:rPr>
        <w:t xml:space="preserve"> 'yes' Business for iPhone 3G Plan is not available when the iPhone is used as a </w:t>
      </w:r>
      <w:r>
        <w:rPr>
          <w:rFonts w:eastAsia="Times New Roman"/>
          <w:bCs/>
          <w:i/>
          <w:szCs w:val="22"/>
        </w:rPr>
        <w:t>tethered modem</w:t>
      </w:r>
      <w:r>
        <w:rPr>
          <w:rFonts w:eastAsia="Times New Roman"/>
          <w:bCs/>
          <w:szCs w:val="22"/>
        </w:rPr>
        <w:t xml:space="preserve">, unless </w:t>
      </w:r>
      <w:r>
        <w:rPr>
          <w:rFonts w:eastAsia="Times New Roman"/>
          <w:bCs/>
          <w:i/>
          <w:szCs w:val="22"/>
        </w:rPr>
        <w:t>you</w:t>
      </w:r>
      <w:r>
        <w:rPr>
          <w:rFonts w:eastAsia="Times New Roman"/>
          <w:bCs/>
          <w:szCs w:val="22"/>
        </w:rPr>
        <w:t xml:space="preserve"> have selected BUS iPhone as Modem access.</w:t>
      </w:r>
    </w:p>
    <w:p w14:paraId="663A17EF" w14:textId="77777777" w:rsidR="000D07EA" w:rsidRDefault="000D07EA">
      <w:pPr>
        <w:pStyle w:val="BodyText"/>
        <w:ind w:left="1440"/>
        <w:rPr>
          <w:rFonts w:eastAsia="Times New Roman"/>
          <w:bCs/>
          <w:szCs w:val="22"/>
        </w:rPr>
      </w:pPr>
    </w:p>
    <w:p w14:paraId="5DB51300" w14:textId="77777777" w:rsidR="000D07EA" w:rsidRDefault="000D07EA">
      <w:pPr>
        <w:pStyle w:val="BodyText"/>
        <w:ind w:left="1440"/>
        <w:rPr>
          <w:rFonts w:eastAsia="Times New Roman"/>
          <w:bCs/>
          <w:szCs w:val="22"/>
        </w:rPr>
        <w:sectPr w:rsidR="000D07EA">
          <w:headerReference w:type="default" r:id="rId81"/>
          <w:footerReference w:type="default" r:id="rId82"/>
          <w:pgSz w:w="11900" w:h="16840"/>
          <w:pgMar w:top="851" w:right="851" w:bottom="851" w:left="851" w:header="461" w:footer="288" w:gutter="0"/>
          <w:cols w:space="708"/>
          <w:docGrid w:linePitch="360"/>
        </w:sectPr>
      </w:pPr>
    </w:p>
    <w:p w14:paraId="06A6C56A" w14:textId="77777777" w:rsidR="000D07EA" w:rsidRDefault="00BE7C89">
      <w:pPr>
        <w:pStyle w:val="BodyText"/>
        <w:rPr>
          <w:rFonts w:eastAsia="Times New Roman"/>
          <w:bCs/>
          <w:szCs w:val="22"/>
        </w:rPr>
      </w:pPr>
      <w:r>
        <w:rPr>
          <w:rFonts w:eastAsia="Times New Roman"/>
          <w:b/>
          <w:bCs/>
          <w:i/>
          <w:szCs w:val="22"/>
        </w:rPr>
        <w:lastRenderedPageBreak/>
        <w:t>Pricing Plans Table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418"/>
        <w:gridCol w:w="1589"/>
        <w:gridCol w:w="1589"/>
        <w:gridCol w:w="1589"/>
        <w:gridCol w:w="1589"/>
        <w:gridCol w:w="1589"/>
        <w:gridCol w:w="1589"/>
        <w:gridCol w:w="1588"/>
        <w:gridCol w:w="1588"/>
      </w:tblGrid>
      <w:tr w:rsidR="000D07EA" w14:paraId="67F8AD65" w14:textId="77777777">
        <w:tc>
          <w:tcPr>
            <w:tcW w:w="799" w:type="pct"/>
          </w:tcPr>
          <w:p w14:paraId="46F021E3" w14:textId="77777777" w:rsidR="000D07EA" w:rsidRDefault="00BE7C89">
            <w:pPr>
              <w:pStyle w:val="BodyText"/>
              <w:spacing w:before="40" w:after="40"/>
              <w:rPr>
                <w:b/>
                <w:i/>
                <w:color w:val="000000"/>
              </w:rPr>
            </w:pPr>
            <w:r>
              <w:rPr>
                <w:b/>
                <w:i/>
              </w:rPr>
              <w:t>Charge Type</w:t>
            </w:r>
          </w:p>
        </w:tc>
        <w:tc>
          <w:tcPr>
            <w:tcW w:w="525" w:type="pct"/>
          </w:tcPr>
          <w:p w14:paraId="0550EC04" w14:textId="77777777" w:rsidR="000D07EA" w:rsidRDefault="00BE7C89">
            <w:pPr>
              <w:pStyle w:val="BodyText"/>
              <w:spacing w:before="40" w:after="40"/>
              <w:jc w:val="center"/>
              <w:rPr>
                <w:b/>
              </w:rPr>
            </w:pPr>
            <w:r>
              <w:rPr>
                <w:b/>
              </w:rPr>
              <w:t>'yes' Business 29 Plan for iPhone 3G</w:t>
            </w:r>
          </w:p>
        </w:tc>
        <w:tc>
          <w:tcPr>
            <w:tcW w:w="525" w:type="pct"/>
          </w:tcPr>
          <w:p w14:paraId="0C7B142C" w14:textId="77777777" w:rsidR="000D07EA" w:rsidRDefault="00BE7C89">
            <w:pPr>
              <w:pStyle w:val="BodyText"/>
              <w:spacing w:before="40" w:after="40"/>
              <w:jc w:val="center"/>
              <w:rPr>
                <w:b/>
              </w:rPr>
            </w:pPr>
            <w:r>
              <w:rPr>
                <w:b/>
              </w:rPr>
              <w:t>'yes' Business 39 Plan for iPhone 3G</w:t>
            </w:r>
          </w:p>
        </w:tc>
        <w:tc>
          <w:tcPr>
            <w:tcW w:w="525" w:type="pct"/>
          </w:tcPr>
          <w:p w14:paraId="68C190BB" w14:textId="77777777" w:rsidR="000D07EA" w:rsidRDefault="00BE7C89">
            <w:pPr>
              <w:pStyle w:val="BodyText"/>
              <w:spacing w:before="40" w:after="40"/>
              <w:jc w:val="center"/>
              <w:rPr>
                <w:b/>
              </w:rPr>
            </w:pPr>
            <w:r>
              <w:rPr>
                <w:b/>
              </w:rPr>
              <w:t>'yes' Business 49 Plan for iPhone 3G</w:t>
            </w:r>
          </w:p>
        </w:tc>
        <w:tc>
          <w:tcPr>
            <w:tcW w:w="525" w:type="pct"/>
          </w:tcPr>
          <w:p w14:paraId="64DA5157" w14:textId="77777777" w:rsidR="000D07EA" w:rsidRDefault="00BE7C89">
            <w:pPr>
              <w:pStyle w:val="BodyText"/>
              <w:spacing w:before="40" w:after="40"/>
              <w:jc w:val="center"/>
              <w:rPr>
                <w:b/>
              </w:rPr>
            </w:pPr>
            <w:r>
              <w:rPr>
                <w:b/>
              </w:rPr>
              <w:t>'yes' Business 59 Plan for iPhone 3G</w:t>
            </w:r>
          </w:p>
        </w:tc>
        <w:tc>
          <w:tcPr>
            <w:tcW w:w="525" w:type="pct"/>
          </w:tcPr>
          <w:p w14:paraId="266F56AA" w14:textId="77777777" w:rsidR="000D07EA" w:rsidRDefault="00BE7C89">
            <w:pPr>
              <w:pStyle w:val="BodyText"/>
              <w:spacing w:before="40" w:after="40"/>
              <w:jc w:val="center"/>
              <w:rPr>
                <w:b/>
              </w:rPr>
            </w:pPr>
            <w:r>
              <w:rPr>
                <w:b/>
              </w:rPr>
              <w:t>'yes' Business 79 Plan for iPhone 3G</w:t>
            </w:r>
          </w:p>
        </w:tc>
        <w:tc>
          <w:tcPr>
            <w:tcW w:w="525" w:type="pct"/>
          </w:tcPr>
          <w:p w14:paraId="185C8C5B" w14:textId="77777777" w:rsidR="000D07EA" w:rsidRDefault="00BE7C89">
            <w:pPr>
              <w:pStyle w:val="BodyText"/>
              <w:spacing w:before="40" w:after="40"/>
              <w:jc w:val="center"/>
              <w:rPr>
                <w:b/>
              </w:rPr>
            </w:pPr>
            <w:r>
              <w:rPr>
                <w:b/>
              </w:rPr>
              <w:t>'yes' Business 99 Plan for iPhone 3G</w:t>
            </w:r>
          </w:p>
        </w:tc>
        <w:tc>
          <w:tcPr>
            <w:tcW w:w="525" w:type="pct"/>
          </w:tcPr>
          <w:p w14:paraId="3181354F" w14:textId="77777777" w:rsidR="000D07EA" w:rsidRDefault="00BE7C89">
            <w:pPr>
              <w:pStyle w:val="BodyText"/>
              <w:spacing w:before="40" w:after="40"/>
              <w:jc w:val="center"/>
              <w:rPr>
                <w:b/>
              </w:rPr>
            </w:pPr>
            <w:r>
              <w:rPr>
                <w:b/>
              </w:rPr>
              <w:t>'yes' Business 149 Plan for iPhone 3G</w:t>
            </w:r>
          </w:p>
        </w:tc>
        <w:tc>
          <w:tcPr>
            <w:tcW w:w="525" w:type="pct"/>
          </w:tcPr>
          <w:p w14:paraId="44E6DEA8" w14:textId="77777777" w:rsidR="000D07EA" w:rsidRDefault="00BE7C89">
            <w:pPr>
              <w:pStyle w:val="BodyText"/>
              <w:spacing w:before="40" w:after="40"/>
              <w:jc w:val="center"/>
              <w:rPr>
                <w:b/>
              </w:rPr>
            </w:pPr>
            <w:r>
              <w:rPr>
                <w:b/>
              </w:rPr>
              <w:t>'yes' Business 249 Plan for iPhone 3G</w:t>
            </w:r>
          </w:p>
        </w:tc>
      </w:tr>
      <w:tr w:rsidR="000D07EA" w14:paraId="2D894E59" w14:textId="77777777">
        <w:tc>
          <w:tcPr>
            <w:tcW w:w="799" w:type="pct"/>
          </w:tcPr>
          <w:p w14:paraId="4A20D7C7" w14:textId="77777777" w:rsidR="000D07EA" w:rsidRDefault="00BE7C89">
            <w:pPr>
              <w:pStyle w:val="BodyText"/>
              <w:spacing w:before="40" w:after="40"/>
              <w:rPr>
                <w:b/>
                <w:i/>
              </w:rPr>
            </w:pPr>
            <w:r>
              <w:rPr>
                <w:b/>
                <w:i/>
              </w:rPr>
              <w:t>Minimum Monthly Commitment</w:t>
            </w:r>
          </w:p>
        </w:tc>
        <w:tc>
          <w:tcPr>
            <w:tcW w:w="525" w:type="pct"/>
          </w:tcPr>
          <w:p w14:paraId="6902D032" w14:textId="77777777" w:rsidR="000D07EA" w:rsidRDefault="00BE7C89">
            <w:pPr>
              <w:pStyle w:val="BodyText"/>
              <w:spacing w:before="40" w:after="40"/>
              <w:jc w:val="center"/>
            </w:pPr>
            <w:r>
              <w:t>$26.36</w:t>
            </w:r>
            <w:r>
              <w:br/>
              <w:t>($29.00)</w:t>
            </w:r>
          </w:p>
        </w:tc>
        <w:tc>
          <w:tcPr>
            <w:tcW w:w="525" w:type="pct"/>
          </w:tcPr>
          <w:p w14:paraId="2BFA0560" w14:textId="77777777" w:rsidR="000D07EA" w:rsidRDefault="00BE7C89">
            <w:pPr>
              <w:pStyle w:val="BodyText"/>
              <w:spacing w:before="40" w:after="40"/>
              <w:jc w:val="center"/>
            </w:pPr>
            <w:r>
              <w:t>$35.45</w:t>
            </w:r>
            <w:r>
              <w:br/>
              <w:t>($39.00)</w:t>
            </w:r>
          </w:p>
        </w:tc>
        <w:tc>
          <w:tcPr>
            <w:tcW w:w="525" w:type="pct"/>
          </w:tcPr>
          <w:p w14:paraId="31AD0D57" w14:textId="77777777" w:rsidR="000D07EA" w:rsidRDefault="00BE7C89">
            <w:pPr>
              <w:pStyle w:val="BodyText"/>
              <w:spacing w:before="40" w:after="40"/>
              <w:jc w:val="center"/>
            </w:pPr>
            <w:r>
              <w:t>$44.54</w:t>
            </w:r>
            <w:r>
              <w:br/>
              <w:t>($49.00)</w:t>
            </w:r>
          </w:p>
        </w:tc>
        <w:tc>
          <w:tcPr>
            <w:tcW w:w="525" w:type="pct"/>
          </w:tcPr>
          <w:p w14:paraId="56E597CC" w14:textId="77777777" w:rsidR="000D07EA" w:rsidRDefault="00BE7C89">
            <w:pPr>
              <w:pStyle w:val="BodyText"/>
              <w:spacing w:before="40" w:after="40"/>
              <w:jc w:val="center"/>
            </w:pPr>
            <w:r>
              <w:t>$53.63</w:t>
            </w:r>
            <w:r>
              <w:br/>
              <w:t>($59.00)</w:t>
            </w:r>
          </w:p>
        </w:tc>
        <w:tc>
          <w:tcPr>
            <w:tcW w:w="525" w:type="pct"/>
          </w:tcPr>
          <w:p w14:paraId="40FD5B1B" w14:textId="77777777" w:rsidR="000D07EA" w:rsidRDefault="00BE7C89">
            <w:pPr>
              <w:pStyle w:val="BodyText"/>
              <w:spacing w:before="40" w:after="40"/>
              <w:jc w:val="center"/>
            </w:pPr>
            <w:r>
              <w:t>$71.81</w:t>
            </w:r>
            <w:r>
              <w:br/>
              <w:t>($79.00)</w:t>
            </w:r>
          </w:p>
        </w:tc>
        <w:tc>
          <w:tcPr>
            <w:tcW w:w="525" w:type="pct"/>
          </w:tcPr>
          <w:p w14:paraId="529CE729" w14:textId="77777777" w:rsidR="000D07EA" w:rsidRDefault="00BE7C89">
            <w:pPr>
              <w:pStyle w:val="BodyText"/>
              <w:spacing w:before="40" w:after="40"/>
              <w:jc w:val="center"/>
            </w:pPr>
            <w:r>
              <w:t>$90.00</w:t>
            </w:r>
            <w:r>
              <w:br/>
              <w:t>($99.00)</w:t>
            </w:r>
          </w:p>
        </w:tc>
        <w:tc>
          <w:tcPr>
            <w:tcW w:w="525" w:type="pct"/>
          </w:tcPr>
          <w:p w14:paraId="685CED41" w14:textId="77777777" w:rsidR="000D07EA" w:rsidRDefault="00BE7C89">
            <w:pPr>
              <w:pStyle w:val="BodyText"/>
              <w:spacing w:before="40" w:after="40"/>
              <w:jc w:val="center"/>
            </w:pPr>
            <w:r>
              <w:t>$135.45</w:t>
            </w:r>
            <w:r>
              <w:br/>
              <w:t>($149.00)</w:t>
            </w:r>
          </w:p>
        </w:tc>
        <w:tc>
          <w:tcPr>
            <w:tcW w:w="525" w:type="pct"/>
          </w:tcPr>
          <w:p w14:paraId="5006BCE4" w14:textId="77777777" w:rsidR="000D07EA" w:rsidRDefault="00BE7C89">
            <w:pPr>
              <w:pStyle w:val="BodyText"/>
              <w:spacing w:before="40" w:after="40"/>
              <w:jc w:val="center"/>
            </w:pPr>
            <w:r>
              <w:t>$226.36</w:t>
            </w:r>
            <w:r>
              <w:br/>
              <w:t>($249.00)</w:t>
            </w:r>
          </w:p>
        </w:tc>
      </w:tr>
      <w:tr w:rsidR="000D07EA" w14:paraId="331E54AD" w14:textId="77777777">
        <w:tc>
          <w:tcPr>
            <w:tcW w:w="799" w:type="pct"/>
            <w:tcBorders>
              <w:bottom w:val="nil"/>
            </w:tcBorders>
          </w:tcPr>
          <w:p w14:paraId="078F65CE" w14:textId="77777777" w:rsidR="000D07EA" w:rsidRDefault="00BE7C89">
            <w:pPr>
              <w:pStyle w:val="BodyText"/>
              <w:spacing w:before="40" w:after="40"/>
              <w:rPr>
                <w:b/>
              </w:rPr>
            </w:pPr>
            <w:r>
              <w:rPr>
                <w:b/>
              </w:rPr>
              <w:t>Access fee</w:t>
            </w:r>
          </w:p>
        </w:tc>
        <w:tc>
          <w:tcPr>
            <w:tcW w:w="525" w:type="pct"/>
            <w:tcBorders>
              <w:bottom w:val="nil"/>
            </w:tcBorders>
          </w:tcPr>
          <w:p w14:paraId="23414F87" w14:textId="77777777" w:rsidR="000D07EA" w:rsidRDefault="00BE7C89">
            <w:pPr>
              <w:pStyle w:val="BodyText"/>
              <w:spacing w:before="40" w:after="40"/>
              <w:jc w:val="center"/>
            </w:pPr>
            <w:r>
              <w:t>$9.09</w:t>
            </w:r>
            <w:r>
              <w:br/>
              <w:t>($10)</w:t>
            </w:r>
          </w:p>
        </w:tc>
        <w:tc>
          <w:tcPr>
            <w:tcW w:w="525" w:type="pct"/>
            <w:tcBorders>
              <w:bottom w:val="nil"/>
            </w:tcBorders>
          </w:tcPr>
          <w:p w14:paraId="1B94B0A8" w14:textId="77777777" w:rsidR="000D07EA" w:rsidRDefault="00BE7C89">
            <w:pPr>
              <w:pStyle w:val="BodyText"/>
              <w:spacing w:before="40" w:after="40"/>
              <w:jc w:val="center"/>
            </w:pPr>
            <w:r>
              <w:t>$0</w:t>
            </w:r>
          </w:p>
        </w:tc>
        <w:tc>
          <w:tcPr>
            <w:tcW w:w="525" w:type="pct"/>
            <w:tcBorders>
              <w:bottom w:val="nil"/>
            </w:tcBorders>
          </w:tcPr>
          <w:p w14:paraId="3249E2DE" w14:textId="77777777" w:rsidR="000D07EA" w:rsidRDefault="00BE7C89">
            <w:pPr>
              <w:pStyle w:val="BodyText"/>
              <w:spacing w:before="40" w:after="40"/>
              <w:jc w:val="center"/>
            </w:pPr>
            <w:r>
              <w:t>$0</w:t>
            </w:r>
          </w:p>
        </w:tc>
        <w:tc>
          <w:tcPr>
            <w:tcW w:w="525" w:type="pct"/>
            <w:tcBorders>
              <w:bottom w:val="nil"/>
            </w:tcBorders>
          </w:tcPr>
          <w:p w14:paraId="57911D36" w14:textId="77777777" w:rsidR="000D07EA" w:rsidRDefault="00BE7C89">
            <w:pPr>
              <w:pStyle w:val="BodyText"/>
              <w:spacing w:before="40" w:after="40"/>
              <w:jc w:val="center"/>
            </w:pPr>
            <w:r>
              <w:t>$0</w:t>
            </w:r>
          </w:p>
        </w:tc>
        <w:tc>
          <w:tcPr>
            <w:tcW w:w="525" w:type="pct"/>
            <w:tcBorders>
              <w:bottom w:val="nil"/>
            </w:tcBorders>
          </w:tcPr>
          <w:p w14:paraId="751A9427" w14:textId="77777777" w:rsidR="000D07EA" w:rsidRDefault="00BE7C89">
            <w:pPr>
              <w:pStyle w:val="BodyText"/>
              <w:spacing w:before="40" w:after="40"/>
              <w:jc w:val="center"/>
            </w:pPr>
            <w:r>
              <w:t>$0</w:t>
            </w:r>
          </w:p>
        </w:tc>
        <w:tc>
          <w:tcPr>
            <w:tcW w:w="525" w:type="pct"/>
            <w:tcBorders>
              <w:bottom w:val="nil"/>
            </w:tcBorders>
          </w:tcPr>
          <w:p w14:paraId="17B29FD2" w14:textId="77777777" w:rsidR="000D07EA" w:rsidRDefault="00BE7C89">
            <w:pPr>
              <w:pStyle w:val="BodyText"/>
              <w:spacing w:before="40" w:after="40"/>
              <w:jc w:val="center"/>
            </w:pPr>
            <w:r>
              <w:t>$0</w:t>
            </w:r>
          </w:p>
        </w:tc>
        <w:tc>
          <w:tcPr>
            <w:tcW w:w="525" w:type="pct"/>
            <w:tcBorders>
              <w:bottom w:val="nil"/>
            </w:tcBorders>
          </w:tcPr>
          <w:p w14:paraId="3AA9F44F" w14:textId="77777777" w:rsidR="000D07EA" w:rsidRDefault="00BE7C89">
            <w:pPr>
              <w:pStyle w:val="BodyText"/>
              <w:spacing w:before="40" w:after="40"/>
              <w:jc w:val="center"/>
            </w:pPr>
            <w:r>
              <w:t>$0</w:t>
            </w:r>
          </w:p>
        </w:tc>
        <w:tc>
          <w:tcPr>
            <w:tcW w:w="525" w:type="pct"/>
            <w:tcBorders>
              <w:bottom w:val="nil"/>
            </w:tcBorders>
          </w:tcPr>
          <w:p w14:paraId="250E5D4F" w14:textId="77777777" w:rsidR="000D07EA" w:rsidRDefault="00BE7C89">
            <w:pPr>
              <w:pStyle w:val="BodyText"/>
              <w:spacing w:before="40" w:after="40"/>
              <w:jc w:val="center"/>
            </w:pPr>
            <w:r>
              <w:t>$0</w:t>
            </w:r>
          </w:p>
        </w:tc>
      </w:tr>
      <w:tr w:rsidR="000D07EA" w14:paraId="7171A028" w14:textId="77777777">
        <w:tc>
          <w:tcPr>
            <w:tcW w:w="799" w:type="pct"/>
            <w:tcBorders>
              <w:bottom w:val="nil"/>
            </w:tcBorders>
          </w:tcPr>
          <w:p w14:paraId="2DA3346F" w14:textId="77777777" w:rsidR="000D07EA" w:rsidRDefault="00BE7C89">
            <w:pPr>
              <w:pStyle w:val="BodyText"/>
              <w:spacing w:before="40" w:after="40"/>
              <w:rPr>
                <w:b/>
              </w:rPr>
            </w:pPr>
            <w:r>
              <w:rPr>
                <w:b/>
              </w:rPr>
              <w:t>Included value</w:t>
            </w:r>
          </w:p>
        </w:tc>
        <w:tc>
          <w:tcPr>
            <w:tcW w:w="525" w:type="pct"/>
            <w:tcBorders>
              <w:bottom w:val="nil"/>
            </w:tcBorders>
          </w:tcPr>
          <w:p w14:paraId="691F5A04" w14:textId="77777777" w:rsidR="000D07EA" w:rsidRDefault="00BE7C89">
            <w:pPr>
              <w:pStyle w:val="BodyText"/>
              <w:spacing w:before="40" w:after="40"/>
              <w:jc w:val="center"/>
            </w:pPr>
            <w:r>
              <w:t>$17.27</w:t>
            </w:r>
            <w:r>
              <w:br/>
              <w:t>($19)</w:t>
            </w:r>
          </w:p>
        </w:tc>
        <w:tc>
          <w:tcPr>
            <w:tcW w:w="525" w:type="pct"/>
            <w:tcBorders>
              <w:bottom w:val="nil"/>
            </w:tcBorders>
          </w:tcPr>
          <w:p w14:paraId="72CD4788" w14:textId="77777777" w:rsidR="000D07EA" w:rsidRDefault="00BE7C89">
            <w:pPr>
              <w:pStyle w:val="BodyText"/>
              <w:spacing w:before="40" w:after="40"/>
              <w:jc w:val="center"/>
            </w:pPr>
            <w:r>
              <w:t>$35.45</w:t>
            </w:r>
            <w:r>
              <w:br/>
              <w:t>($39)</w:t>
            </w:r>
          </w:p>
        </w:tc>
        <w:tc>
          <w:tcPr>
            <w:tcW w:w="525" w:type="pct"/>
            <w:tcBorders>
              <w:bottom w:val="nil"/>
            </w:tcBorders>
          </w:tcPr>
          <w:p w14:paraId="483E24D1" w14:textId="77777777" w:rsidR="000D07EA" w:rsidRDefault="00BE7C89">
            <w:pPr>
              <w:pStyle w:val="BodyText"/>
              <w:spacing w:before="40" w:after="40"/>
              <w:jc w:val="center"/>
            </w:pPr>
            <w:r>
              <w:t>$44.54</w:t>
            </w:r>
            <w:r>
              <w:br/>
              <w:t>($49)</w:t>
            </w:r>
          </w:p>
        </w:tc>
        <w:tc>
          <w:tcPr>
            <w:tcW w:w="525" w:type="pct"/>
            <w:tcBorders>
              <w:bottom w:val="nil"/>
            </w:tcBorders>
          </w:tcPr>
          <w:p w14:paraId="13173BDF" w14:textId="77777777" w:rsidR="000D07EA" w:rsidRDefault="00BE7C89">
            <w:pPr>
              <w:pStyle w:val="BodyText"/>
              <w:spacing w:before="40" w:after="40"/>
              <w:jc w:val="center"/>
            </w:pPr>
            <w:r>
              <w:t>$53.63</w:t>
            </w:r>
            <w:r>
              <w:br/>
              <w:t>($59)</w:t>
            </w:r>
          </w:p>
        </w:tc>
        <w:tc>
          <w:tcPr>
            <w:tcW w:w="525" w:type="pct"/>
            <w:tcBorders>
              <w:bottom w:val="nil"/>
            </w:tcBorders>
          </w:tcPr>
          <w:p w14:paraId="7D609A99" w14:textId="77777777" w:rsidR="000D07EA" w:rsidRDefault="00BE7C89">
            <w:pPr>
              <w:pStyle w:val="BodyText"/>
              <w:spacing w:before="40" w:after="40"/>
              <w:jc w:val="center"/>
            </w:pPr>
            <w:r>
              <w:t>$71.81</w:t>
            </w:r>
            <w:r>
              <w:br/>
              <w:t>($79)</w:t>
            </w:r>
          </w:p>
        </w:tc>
        <w:tc>
          <w:tcPr>
            <w:tcW w:w="525" w:type="pct"/>
            <w:tcBorders>
              <w:bottom w:val="nil"/>
            </w:tcBorders>
          </w:tcPr>
          <w:p w14:paraId="7E17CF72" w14:textId="77777777" w:rsidR="000D07EA" w:rsidRDefault="00BE7C89">
            <w:pPr>
              <w:pStyle w:val="BodyText"/>
              <w:spacing w:before="40" w:after="40"/>
              <w:jc w:val="center"/>
            </w:pPr>
            <w:r>
              <w:t>$90</w:t>
            </w:r>
            <w:r>
              <w:br/>
              <w:t>($99)</w:t>
            </w:r>
          </w:p>
        </w:tc>
        <w:tc>
          <w:tcPr>
            <w:tcW w:w="525" w:type="pct"/>
            <w:tcBorders>
              <w:bottom w:val="nil"/>
            </w:tcBorders>
          </w:tcPr>
          <w:p w14:paraId="727E4FF5" w14:textId="77777777" w:rsidR="000D07EA" w:rsidRDefault="00BE7C89">
            <w:pPr>
              <w:pStyle w:val="BodyText"/>
              <w:spacing w:before="40" w:after="40"/>
              <w:jc w:val="center"/>
            </w:pPr>
            <w:r>
              <w:t>$135.45</w:t>
            </w:r>
            <w:r>
              <w:br/>
              <w:t>($149)</w:t>
            </w:r>
          </w:p>
        </w:tc>
        <w:tc>
          <w:tcPr>
            <w:tcW w:w="525" w:type="pct"/>
            <w:tcBorders>
              <w:bottom w:val="nil"/>
            </w:tcBorders>
          </w:tcPr>
          <w:p w14:paraId="72CE5A78" w14:textId="77777777" w:rsidR="000D07EA" w:rsidRDefault="00BE7C89">
            <w:pPr>
              <w:pStyle w:val="BodyText"/>
              <w:spacing w:before="40" w:after="40"/>
              <w:jc w:val="center"/>
            </w:pPr>
            <w:r>
              <w:t>$226.36</w:t>
            </w:r>
            <w:r>
              <w:br/>
              <w:t>($249)</w:t>
            </w:r>
          </w:p>
        </w:tc>
      </w:tr>
      <w:tr w:rsidR="000D07EA" w14:paraId="3020B163" w14:textId="77777777">
        <w:tc>
          <w:tcPr>
            <w:tcW w:w="799" w:type="pct"/>
            <w:tcBorders>
              <w:bottom w:val="nil"/>
            </w:tcBorders>
          </w:tcPr>
          <w:p w14:paraId="2F1A1465" w14:textId="77777777" w:rsidR="000D07EA" w:rsidRDefault="00BE7C89">
            <w:pPr>
              <w:pStyle w:val="BodyText"/>
              <w:spacing w:before="40" w:after="40"/>
              <w:rPr>
                <w:b/>
              </w:rPr>
            </w:pPr>
            <w:r>
              <w:rPr>
                <w:b/>
              </w:rPr>
              <w:t xml:space="preserve">Standard Call Rate </w:t>
            </w:r>
            <w:r>
              <w:t>(per 30 seconds)</w:t>
            </w:r>
          </w:p>
          <w:p w14:paraId="168D35E5" w14:textId="77777777" w:rsidR="000D07EA" w:rsidRDefault="00BE7C89">
            <w:pPr>
              <w:pStyle w:val="BodyText"/>
              <w:spacing w:before="40" w:after="40"/>
              <w:rPr>
                <w:i/>
                <w:color w:val="000000"/>
              </w:rPr>
            </w:pPr>
            <w:r>
              <w:rPr>
                <w:i/>
              </w:rPr>
              <w:t>Local calls &amp; National calls</w:t>
            </w:r>
          </w:p>
        </w:tc>
        <w:tc>
          <w:tcPr>
            <w:tcW w:w="525" w:type="pct"/>
            <w:tcBorders>
              <w:bottom w:val="nil"/>
            </w:tcBorders>
          </w:tcPr>
          <w:p w14:paraId="42594571" w14:textId="77777777" w:rsidR="000D07EA" w:rsidRDefault="00BE7C89">
            <w:pPr>
              <w:pStyle w:val="BodyText"/>
              <w:spacing w:before="40" w:after="40"/>
              <w:jc w:val="center"/>
            </w:pPr>
            <w:r>
              <w:t>$0.26</w:t>
            </w:r>
            <w:r>
              <w:br/>
              <w:t>($0.29)</w:t>
            </w:r>
          </w:p>
        </w:tc>
        <w:tc>
          <w:tcPr>
            <w:tcW w:w="525" w:type="pct"/>
            <w:tcBorders>
              <w:bottom w:val="nil"/>
            </w:tcBorders>
          </w:tcPr>
          <w:p w14:paraId="75C9E32E" w14:textId="77777777" w:rsidR="000D07EA" w:rsidRDefault="00BE7C89">
            <w:pPr>
              <w:pStyle w:val="BodyText"/>
              <w:spacing w:before="40" w:after="40"/>
              <w:jc w:val="center"/>
            </w:pPr>
            <w:r>
              <w:t>$0.236</w:t>
            </w:r>
            <w:r>
              <w:br/>
              <w:t>($0.26)</w:t>
            </w:r>
          </w:p>
        </w:tc>
        <w:tc>
          <w:tcPr>
            <w:tcW w:w="525" w:type="pct"/>
            <w:tcBorders>
              <w:bottom w:val="nil"/>
            </w:tcBorders>
          </w:tcPr>
          <w:p w14:paraId="5D1D4176" w14:textId="77777777" w:rsidR="000D07EA" w:rsidRDefault="00BE7C89">
            <w:pPr>
              <w:pStyle w:val="BodyText"/>
              <w:spacing w:before="40" w:after="40"/>
              <w:jc w:val="center"/>
            </w:pPr>
            <w:r>
              <w:t>$0.23</w:t>
            </w:r>
            <w:r>
              <w:br/>
              <w:t>($0.25)</w:t>
            </w:r>
          </w:p>
        </w:tc>
        <w:tc>
          <w:tcPr>
            <w:tcW w:w="525" w:type="pct"/>
            <w:tcBorders>
              <w:bottom w:val="nil"/>
            </w:tcBorders>
          </w:tcPr>
          <w:p w14:paraId="46653F7B" w14:textId="77777777" w:rsidR="000D07EA" w:rsidRDefault="00BE7C89">
            <w:pPr>
              <w:pStyle w:val="BodyText"/>
              <w:spacing w:before="40" w:after="40"/>
              <w:jc w:val="center"/>
            </w:pPr>
            <w:r>
              <w:t>$0.21</w:t>
            </w:r>
            <w:r>
              <w:br/>
              <w:t>($0.23)</w:t>
            </w:r>
          </w:p>
        </w:tc>
        <w:tc>
          <w:tcPr>
            <w:tcW w:w="525" w:type="pct"/>
            <w:tcBorders>
              <w:bottom w:val="nil"/>
            </w:tcBorders>
          </w:tcPr>
          <w:p w14:paraId="354135F0" w14:textId="77777777" w:rsidR="000D07EA" w:rsidRDefault="00BE7C89">
            <w:pPr>
              <w:pStyle w:val="BodyText"/>
              <w:spacing w:before="40" w:after="40"/>
              <w:jc w:val="center"/>
            </w:pPr>
            <w:r>
              <w:t>$0.20</w:t>
            </w:r>
            <w:r>
              <w:br/>
              <w:t>($0.22)</w:t>
            </w:r>
          </w:p>
        </w:tc>
        <w:tc>
          <w:tcPr>
            <w:tcW w:w="525" w:type="pct"/>
            <w:tcBorders>
              <w:bottom w:val="nil"/>
            </w:tcBorders>
          </w:tcPr>
          <w:p w14:paraId="21BF1361" w14:textId="77777777" w:rsidR="000D07EA" w:rsidRDefault="00BE7C89">
            <w:pPr>
              <w:pStyle w:val="BodyText"/>
              <w:spacing w:before="40" w:after="40"/>
              <w:jc w:val="center"/>
            </w:pPr>
            <w:r>
              <w:t>$0.18</w:t>
            </w:r>
            <w:r>
              <w:br/>
              <w:t>($0.20)</w:t>
            </w:r>
          </w:p>
        </w:tc>
        <w:tc>
          <w:tcPr>
            <w:tcW w:w="525" w:type="pct"/>
            <w:tcBorders>
              <w:bottom w:val="nil"/>
            </w:tcBorders>
          </w:tcPr>
          <w:p w14:paraId="3A5725E3" w14:textId="77777777" w:rsidR="000D07EA" w:rsidRDefault="00BE7C89">
            <w:pPr>
              <w:pStyle w:val="BodyText"/>
              <w:spacing w:before="40" w:after="40"/>
              <w:jc w:val="center"/>
            </w:pPr>
            <w:r>
              <w:t>$0.17</w:t>
            </w:r>
            <w:r>
              <w:br/>
              <w:t>($0.19)</w:t>
            </w:r>
          </w:p>
        </w:tc>
        <w:tc>
          <w:tcPr>
            <w:tcW w:w="525" w:type="pct"/>
            <w:tcBorders>
              <w:bottom w:val="nil"/>
            </w:tcBorders>
          </w:tcPr>
          <w:p w14:paraId="3C555167" w14:textId="77777777" w:rsidR="000D07EA" w:rsidRDefault="00BE7C89">
            <w:pPr>
              <w:pStyle w:val="BodyText"/>
              <w:spacing w:before="40" w:after="40"/>
              <w:jc w:val="center"/>
            </w:pPr>
            <w:r>
              <w:t>$0.16</w:t>
            </w:r>
            <w:r>
              <w:br/>
              <w:t>($0.18)</w:t>
            </w:r>
          </w:p>
        </w:tc>
      </w:tr>
      <w:tr w:rsidR="000D07EA" w14:paraId="1ED5EFE1" w14:textId="77777777">
        <w:tc>
          <w:tcPr>
            <w:tcW w:w="799" w:type="pct"/>
          </w:tcPr>
          <w:p w14:paraId="7141FC0D" w14:textId="77777777" w:rsidR="000D07EA" w:rsidRDefault="00BE7C89">
            <w:pPr>
              <w:pStyle w:val="BodyText"/>
              <w:spacing w:before="40" w:after="40"/>
              <w:rPr>
                <w:b/>
                <w:i/>
              </w:rPr>
            </w:pPr>
            <w:r>
              <w:rPr>
                <w:b/>
                <w:i/>
              </w:rPr>
              <w:t xml:space="preserve">Standard Mobile Call Rate </w:t>
            </w:r>
            <w:r>
              <w:rPr>
                <w:bCs/>
                <w:i/>
              </w:rPr>
              <w:t>(per 30 seconds)</w:t>
            </w:r>
          </w:p>
        </w:tc>
        <w:tc>
          <w:tcPr>
            <w:tcW w:w="525" w:type="pct"/>
          </w:tcPr>
          <w:p w14:paraId="0B6F7DCE" w14:textId="77777777" w:rsidR="000D07EA" w:rsidRDefault="00BE7C89">
            <w:pPr>
              <w:pStyle w:val="BodyText"/>
              <w:spacing w:before="40" w:after="40"/>
              <w:jc w:val="center"/>
            </w:pPr>
            <w:r>
              <w:t>$0.26</w:t>
            </w:r>
            <w:r>
              <w:br/>
              <w:t>($0.29)</w:t>
            </w:r>
          </w:p>
        </w:tc>
        <w:tc>
          <w:tcPr>
            <w:tcW w:w="525" w:type="pct"/>
          </w:tcPr>
          <w:p w14:paraId="4F39FDB5" w14:textId="77777777" w:rsidR="000D07EA" w:rsidRDefault="00BE7C89">
            <w:pPr>
              <w:pStyle w:val="BodyText"/>
              <w:spacing w:before="40" w:after="40"/>
              <w:jc w:val="center"/>
            </w:pPr>
            <w:r>
              <w:t>$0.236</w:t>
            </w:r>
            <w:r>
              <w:br/>
              <w:t>($0.26)</w:t>
            </w:r>
          </w:p>
        </w:tc>
        <w:tc>
          <w:tcPr>
            <w:tcW w:w="525" w:type="pct"/>
          </w:tcPr>
          <w:p w14:paraId="7EC6F998" w14:textId="77777777" w:rsidR="000D07EA" w:rsidRDefault="00BE7C89">
            <w:pPr>
              <w:pStyle w:val="BodyText"/>
              <w:spacing w:before="40" w:after="40"/>
              <w:jc w:val="center"/>
            </w:pPr>
            <w:r>
              <w:t>$0.23</w:t>
            </w:r>
            <w:r>
              <w:br/>
              <w:t>($0.25)</w:t>
            </w:r>
          </w:p>
        </w:tc>
        <w:tc>
          <w:tcPr>
            <w:tcW w:w="525" w:type="pct"/>
          </w:tcPr>
          <w:p w14:paraId="32622B30" w14:textId="77777777" w:rsidR="000D07EA" w:rsidRDefault="00BE7C89">
            <w:pPr>
              <w:pStyle w:val="BodyText"/>
              <w:spacing w:before="40" w:after="40"/>
              <w:jc w:val="center"/>
            </w:pPr>
            <w:r>
              <w:t>$0.21</w:t>
            </w:r>
            <w:r>
              <w:br/>
              <w:t>($0.23)</w:t>
            </w:r>
          </w:p>
        </w:tc>
        <w:tc>
          <w:tcPr>
            <w:tcW w:w="525" w:type="pct"/>
          </w:tcPr>
          <w:p w14:paraId="7B1FAAB9" w14:textId="77777777" w:rsidR="000D07EA" w:rsidRDefault="00BE7C89">
            <w:pPr>
              <w:pStyle w:val="BodyText"/>
              <w:spacing w:before="40" w:after="40"/>
              <w:jc w:val="center"/>
            </w:pPr>
            <w:r>
              <w:t>$0.20</w:t>
            </w:r>
            <w:r>
              <w:br/>
              <w:t>($0.22)</w:t>
            </w:r>
          </w:p>
        </w:tc>
        <w:tc>
          <w:tcPr>
            <w:tcW w:w="525" w:type="pct"/>
          </w:tcPr>
          <w:p w14:paraId="08E576B1" w14:textId="77777777" w:rsidR="000D07EA" w:rsidRDefault="00BE7C89">
            <w:pPr>
              <w:pStyle w:val="BodyText"/>
              <w:spacing w:before="40" w:after="40"/>
              <w:jc w:val="center"/>
            </w:pPr>
            <w:r>
              <w:t>$0.18</w:t>
            </w:r>
            <w:r>
              <w:br/>
              <w:t>($0.20)</w:t>
            </w:r>
          </w:p>
        </w:tc>
        <w:tc>
          <w:tcPr>
            <w:tcW w:w="525" w:type="pct"/>
          </w:tcPr>
          <w:p w14:paraId="660724F6" w14:textId="77777777" w:rsidR="000D07EA" w:rsidRDefault="00BE7C89">
            <w:pPr>
              <w:pStyle w:val="BodyText"/>
              <w:spacing w:before="40" w:after="40"/>
              <w:jc w:val="center"/>
            </w:pPr>
            <w:r>
              <w:t>$0.17</w:t>
            </w:r>
            <w:r>
              <w:br/>
              <w:t>($0.19)</w:t>
            </w:r>
          </w:p>
        </w:tc>
        <w:tc>
          <w:tcPr>
            <w:tcW w:w="525" w:type="pct"/>
          </w:tcPr>
          <w:p w14:paraId="3B21E834" w14:textId="77777777" w:rsidR="000D07EA" w:rsidRDefault="00BE7C89">
            <w:pPr>
              <w:pStyle w:val="BodyText"/>
              <w:spacing w:before="40" w:after="40"/>
              <w:jc w:val="center"/>
            </w:pPr>
            <w:r>
              <w:t>$0.16</w:t>
            </w:r>
            <w:r>
              <w:br/>
              <w:t>($0.18)</w:t>
            </w:r>
          </w:p>
        </w:tc>
      </w:tr>
      <w:tr w:rsidR="000D07EA" w14:paraId="0B9578F1" w14:textId="77777777">
        <w:tc>
          <w:tcPr>
            <w:tcW w:w="799" w:type="pct"/>
          </w:tcPr>
          <w:p w14:paraId="10604E2D" w14:textId="77777777" w:rsidR="000D07EA" w:rsidRDefault="00BE7C89">
            <w:pPr>
              <w:pStyle w:val="BodyText"/>
              <w:spacing w:before="40" w:after="40"/>
              <w:rPr>
                <w:b/>
                <w:i/>
              </w:rPr>
            </w:pPr>
            <w:r>
              <w:rPr>
                <w:b/>
                <w:i/>
              </w:rPr>
              <w:t>Flagfall</w:t>
            </w:r>
          </w:p>
        </w:tc>
        <w:tc>
          <w:tcPr>
            <w:tcW w:w="525" w:type="pct"/>
          </w:tcPr>
          <w:p w14:paraId="59A3DA1B" w14:textId="77777777" w:rsidR="000D07EA" w:rsidRDefault="00BE7C89">
            <w:pPr>
              <w:pStyle w:val="BodyText"/>
              <w:spacing w:before="40" w:after="40"/>
              <w:jc w:val="center"/>
            </w:pPr>
            <w:r>
              <w:t>$0.20</w:t>
            </w:r>
            <w:r>
              <w:br/>
              <w:t>($0.22)</w:t>
            </w:r>
          </w:p>
        </w:tc>
        <w:tc>
          <w:tcPr>
            <w:tcW w:w="525" w:type="pct"/>
          </w:tcPr>
          <w:p w14:paraId="7DF31BC4" w14:textId="77777777" w:rsidR="000D07EA" w:rsidRDefault="00BE7C89">
            <w:pPr>
              <w:pStyle w:val="BodyText"/>
              <w:spacing w:before="40" w:after="40"/>
              <w:jc w:val="center"/>
            </w:pPr>
            <w:r>
              <w:t>$0.20</w:t>
            </w:r>
            <w:r>
              <w:br/>
              <w:t>($0.22)</w:t>
            </w:r>
          </w:p>
        </w:tc>
        <w:tc>
          <w:tcPr>
            <w:tcW w:w="525" w:type="pct"/>
          </w:tcPr>
          <w:p w14:paraId="727D25DC" w14:textId="77777777" w:rsidR="000D07EA" w:rsidRDefault="00BE7C89">
            <w:pPr>
              <w:pStyle w:val="BodyText"/>
              <w:spacing w:before="40" w:after="40"/>
              <w:jc w:val="center"/>
            </w:pPr>
            <w:r>
              <w:t>$0.18</w:t>
            </w:r>
            <w:r>
              <w:br/>
              <w:t>($0.20)</w:t>
            </w:r>
          </w:p>
        </w:tc>
        <w:tc>
          <w:tcPr>
            <w:tcW w:w="525" w:type="pct"/>
          </w:tcPr>
          <w:p w14:paraId="46226C45" w14:textId="77777777" w:rsidR="000D07EA" w:rsidRDefault="00BE7C89">
            <w:pPr>
              <w:pStyle w:val="BodyText"/>
              <w:spacing w:before="40" w:after="40"/>
              <w:jc w:val="center"/>
            </w:pPr>
            <w:r>
              <w:t>$0.18</w:t>
            </w:r>
            <w:r>
              <w:br/>
              <w:t>($0.20)</w:t>
            </w:r>
          </w:p>
        </w:tc>
        <w:tc>
          <w:tcPr>
            <w:tcW w:w="525" w:type="pct"/>
          </w:tcPr>
          <w:p w14:paraId="31A07CF1" w14:textId="77777777" w:rsidR="000D07EA" w:rsidRDefault="00BE7C89">
            <w:pPr>
              <w:pStyle w:val="BodyText"/>
              <w:spacing w:before="40" w:after="40"/>
              <w:jc w:val="center"/>
            </w:pPr>
            <w:r>
              <w:t>$0.18</w:t>
            </w:r>
            <w:r>
              <w:br/>
              <w:t>($0.20)</w:t>
            </w:r>
          </w:p>
        </w:tc>
        <w:tc>
          <w:tcPr>
            <w:tcW w:w="525" w:type="pct"/>
          </w:tcPr>
          <w:p w14:paraId="74E5F646" w14:textId="77777777" w:rsidR="000D07EA" w:rsidRDefault="00BE7C89">
            <w:pPr>
              <w:pStyle w:val="BodyText"/>
              <w:spacing w:before="40" w:after="40"/>
              <w:jc w:val="center"/>
            </w:pPr>
            <w:r>
              <w:t>$0.18</w:t>
            </w:r>
            <w:r>
              <w:br/>
              <w:t>($0.20)</w:t>
            </w:r>
          </w:p>
        </w:tc>
        <w:tc>
          <w:tcPr>
            <w:tcW w:w="525" w:type="pct"/>
          </w:tcPr>
          <w:p w14:paraId="3525DBA2" w14:textId="77777777" w:rsidR="000D07EA" w:rsidRDefault="00BE7C89">
            <w:pPr>
              <w:pStyle w:val="BodyText"/>
              <w:spacing w:before="40" w:after="40"/>
              <w:jc w:val="center"/>
            </w:pPr>
            <w:r>
              <w:t>$0.18</w:t>
            </w:r>
            <w:r>
              <w:br/>
              <w:t>($0.20)</w:t>
            </w:r>
          </w:p>
        </w:tc>
        <w:tc>
          <w:tcPr>
            <w:tcW w:w="525" w:type="pct"/>
          </w:tcPr>
          <w:p w14:paraId="0867A79A" w14:textId="77777777" w:rsidR="000D07EA" w:rsidRDefault="00BE7C89">
            <w:pPr>
              <w:pStyle w:val="BodyText"/>
              <w:spacing w:before="40" w:after="40"/>
              <w:jc w:val="center"/>
            </w:pPr>
            <w:r>
              <w:t>$0.18</w:t>
            </w:r>
            <w:r>
              <w:br/>
              <w:t>($0.20)</w:t>
            </w:r>
          </w:p>
        </w:tc>
      </w:tr>
      <w:tr w:rsidR="000D07EA" w14:paraId="3EAF1A66" w14:textId="77777777">
        <w:tc>
          <w:tcPr>
            <w:tcW w:w="799" w:type="pct"/>
          </w:tcPr>
          <w:p w14:paraId="004D7FA9" w14:textId="77777777" w:rsidR="000D07EA" w:rsidRDefault="00BE7C89">
            <w:pPr>
              <w:pStyle w:val="BodyText"/>
              <w:spacing w:before="40" w:after="40"/>
              <w:rPr>
                <w:b/>
                <w:i/>
              </w:rPr>
            </w:pPr>
            <w:r>
              <w:rPr>
                <w:b/>
                <w:i/>
              </w:rPr>
              <w:t>Monthly Included Data</w:t>
            </w:r>
          </w:p>
        </w:tc>
        <w:tc>
          <w:tcPr>
            <w:tcW w:w="525" w:type="pct"/>
          </w:tcPr>
          <w:p w14:paraId="38271C29" w14:textId="77777777" w:rsidR="000D07EA" w:rsidRDefault="00BE7C89">
            <w:pPr>
              <w:pStyle w:val="BodyText"/>
              <w:spacing w:before="40" w:after="40"/>
              <w:jc w:val="center"/>
            </w:pPr>
            <w:r>
              <w:t>250MB</w:t>
            </w:r>
          </w:p>
        </w:tc>
        <w:tc>
          <w:tcPr>
            <w:tcW w:w="525" w:type="pct"/>
          </w:tcPr>
          <w:p w14:paraId="4F70195A" w14:textId="77777777" w:rsidR="000D07EA" w:rsidRDefault="00BE7C89">
            <w:pPr>
              <w:pStyle w:val="BodyText"/>
              <w:spacing w:before="40" w:after="40"/>
              <w:jc w:val="center"/>
            </w:pPr>
            <w:r>
              <w:t>500MB</w:t>
            </w:r>
          </w:p>
        </w:tc>
        <w:tc>
          <w:tcPr>
            <w:tcW w:w="525" w:type="pct"/>
          </w:tcPr>
          <w:p w14:paraId="1A896C5C" w14:textId="77777777" w:rsidR="000D07EA" w:rsidRDefault="00BE7C89">
            <w:pPr>
              <w:pStyle w:val="BodyText"/>
              <w:spacing w:before="40" w:after="40"/>
              <w:jc w:val="center"/>
            </w:pPr>
            <w:r>
              <w:t>500MB</w:t>
            </w:r>
          </w:p>
        </w:tc>
        <w:tc>
          <w:tcPr>
            <w:tcW w:w="525" w:type="pct"/>
          </w:tcPr>
          <w:p w14:paraId="250ED705" w14:textId="77777777" w:rsidR="000D07EA" w:rsidRDefault="00BE7C89">
            <w:pPr>
              <w:pStyle w:val="BodyText"/>
              <w:spacing w:before="40" w:after="40"/>
              <w:jc w:val="center"/>
            </w:pPr>
            <w:r>
              <w:t>700MB</w:t>
            </w:r>
          </w:p>
        </w:tc>
        <w:tc>
          <w:tcPr>
            <w:tcW w:w="525" w:type="pct"/>
          </w:tcPr>
          <w:p w14:paraId="455BAD3D" w14:textId="77777777" w:rsidR="000D07EA" w:rsidRDefault="00BE7C89">
            <w:pPr>
              <w:pStyle w:val="BodyText"/>
              <w:spacing w:before="40" w:after="40"/>
              <w:jc w:val="center"/>
            </w:pPr>
            <w:r>
              <w:t>700MB</w:t>
            </w:r>
          </w:p>
        </w:tc>
        <w:tc>
          <w:tcPr>
            <w:tcW w:w="525" w:type="pct"/>
          </w:tcPr>
          <w:p w14:paraId="6911CF81" w14:textId="77777777" w:rsidR="000D07EA" w:rsidRDefault="00BE7C89">
            <w:pPr>
              <w:pStyle w:val="BodyText"/>
              <w:spacing w:before="40" w:after="40"/>
              <w:jc w:val="center"/>
            </w:pPr>
            <w:r>
              <w:t>1GB</w:t>
            </w:r>
          </w:p>
        </w:tc>
        <w:tc>
          <w:tcPr>
            <w:tcW w:w="525" w:type="pct"/>
          </w:tcPr>
          <w:p w14:paraId="6B52799A" w14:textId="77777777" w:rsidR="000D07EA" w:rsidRDefault="00BE7C89">
            <w:pPr>
              <w:pStyle w:val="BodyText"/>
              <w:spacing w:before="40" w:after="40"/>
              <w:jc w:val="center"/>
            </w:pPr>
            <w:r>
              <w:t>1GB</w:t>
            </w:r>
          </w:p>
        </w:tc>
        <w:tc>
          <w:tcPr>
            <w:tcW w:w="525" w:type="pct"/>
          </w:tcPr>
          <w:p w14:paraId="560FFECE" w14:textId="77777777" w:rsidR="000D07EA" w:rsidRDefault="00BE7C89">
            <w:pPr>
              <w:pStyle w:val="BodyText"/>
              <w:spacing w:before="40" w:after="40"/>
              <w:jc w:val="center"/>
            </w:pPr>
            <w:r>
              <w:t>1GB</w:t>
            </w:r>
          </w:p>
        </w:tc>
      </w:tr>
      <w:tr w:rsidR="000D07EA" w14:paraId="38169B11" w14:textId="77777777">
        <w:tc>
          <w:tcPr>
            <w:tcW w:w="799" w:type="pct"/>
          </w:tcPr>
          <w:p w14:paraId="5E9494AB" w14:textId="77777777" w:rsidR="000D07EA" w:rsidRDefault="00BE7C89">
            <w:pPr>
              <w:pStyle w:val="BodyText"/>
              <w:spacing w:before="40" w:after="40"/>
              <w:rPr>
                <w:b/>
                <w:i/>
              </w:rPr>
            </w:pPr>
            <w:r>
              <w:rPr>
                <w:b/>
                <w:i/>
              </w:rPr>
              <w:t>Excess Data Usage Charges</w:t>
            </w:r>
          </w:p>
        </w:tc>
        <w:tc>
          <w:tcPr>
            <w:tcW w:w="525" w:type="pct"/>
          </w:tcPr>
          <w:p w14:paraId="05184741" w14:textId="77777777" w:rsidR="000D07EA" w:rsidRDefault="00BE7C89">
            <w:pPr>
              <w:pStyle w:val="BodyText"/>
              <w:spacing w:before="40" w:after="40"/>
              <w:jc w:val="center"/>
            </w:pPr>
            <w:r>
              <w:t>$0.31</w:t>
            </w:r>
            <w:r>
              <w:br/>
              <w:t>($0.35)</w:t>
            </w:r>
          </w:p>
        </w:tc>
        <w:tc>
          <w:tcPr>
            <w:tcW w:w="525" w:type="pct"/>
          </w:tcPr>
          <w:p w14:paraId="0F724802" w14:textId="77777777" w:rsidR="000D07EA" w:rsidRDefault="00BE7C89">
            <w:pPr>
              <w:pStyle w:val="BodyText"/>
              <w:spacing w:before="40" w:after="40"/>
              <w:jc w:val="center"/>
            </w:pPr>
            <w:r>
              <w:t>$0.31</w:t>
            </w:r>
            <w:r>
              <w:br/>
              <w:t>($0.35)</w:t>
            </w:r>
          </w:p>
        </w:tc>
        <w:tc>
          <w:tcPr>
            <w:tcW w:w="525" w:type="pct"/>
          </w:tcPr>
          <w:p w14:paraId="2E411B77" w14:textId="77777777" w:rsidR="000D07EA" w:rsidRDefault="00BE7C89">
            <w:pPr>
              <w:pStyle w:val="BodyText"/>
              <w:spacing w:before="40" w:after="40"/>
              <w:jc w:val="center"/>
            </w:pPr>
            <w:r>
              <w:t>$0.31</w:t>
            </w:r>
            <w:r>
              <w:br/>
              <w:t>($0.35)</w:t>
            </w:r>
          </w:p>
        </w:tc>
        <w:tc>
          <w:tcPr>
            <w:tcW w:w="525" w:type="pct"/>
          </w:tcPr>
          <w:p w14:paraId="12C77A8D" w14:textId="77777777" w:rsidR="000D07EA" w:rsidRDefault="00BE7C89">
            <w:pPr>
              <w:pStyle w:val="BodyText"/>
              <w:spacing w:before="40" w:after="40"/>
              <w:jc w:val="center"/>
            </w:pPr>
            <w:r>
              <w:t>$0.31</w:t>
            </w:r>
            <w:r>
              <w:br/>
              <w:t>($0.35)</w:t>
            </w:r>
          </w:p>
        </w:tc>
        <w:tc>
          <w:tcPr>
            <w:tcW w:w="525" w:type="pct"/>
          </w:tcPr>
          <w:p w14:paraId="09B5304B" w14:textId="77777777" w:rsidR="000D07EA" w:rsidRDefault="00BE7C89">
            <w:pPr>
              <w:pStyle w:val="BodyText"/>
              <w:spacing w:before="40" w:after="40"/>
              <w:jc w:val="center"/>
            </w:pPr>
            <w:r>
              <w:t>$0.31</w:t>
            </w:r>
            <w:r>
              <w:br/>
              <w:t>($0.35)</w:t>
            </w:r>
          </w:p>
        </w:tc>
        <w:tc>
          <w:tcPr>
            <w:tcW w:w="525" w:type="pct"/>
          </w:tcPr>
          <w:p w14:paraId="070A6226" w14:textId="77777777" w:rsidR="000D07EA" w:rsidRDefault="00BE7C89">
            <w:pPr>
              <w:pStyle w:val="BodyText"/>
              <w:spacing w:before="40" w:after="40"/>
              <w:jc w:val="center"/>
            </w:pPr>
            <w:r>
              <w:t>$0.31</w:t>
            </w:r>
            <w:r>
              <w:br/>
              <w:t>($0.35)</w:t>
            </w:r>
          </w:p>
        </w:tc>
        <w:tc>
          <w:tcPr>
            <w:tcW w:w="525" w:type="pct"/>
          </w:tcPr>
          <w:p w14:paraId="3464086C" w14:textId="77777777" w:rsidR="000D07EA" w:rsidRDefault="00BE7C89">
            <w:pPr>
              <w:pStyle w:val="BodyText"/>
              <w:spacing w:before="40" w:after="40"/>
              <w:jc w:val="center"/>
            </w:pPr>
            <w:r>
              <w:t>$0.31</w:t>
            </w:r>
            <w:r>
              <w:br/>
              <w:t>($0.35)</w:t>
            </w:r>
          </w:p>
        </w:tc>
        <w:tc>
          <w:tcPr>
            <w:tcW w:w="525" w:type="pct"/>
          </w:tcPr>
          <w:p w14:paraId="7CA3EF0C" w14:textId="77777777" w:rsidR="000D07EA" w:rsidRDefault="00BE7C89">
            <w:pPr>
              <w:pStyle w:val="BodyText"/>
              <w:spacing w:before="40" w:after="40"/>
              <w:jc w:val="center"/>
            </w:pPr>
            <w:r>
              <w:t>$0.31</w:t>
            </w:r>
            <w:r>
              <w:br/>
              <w:t>($0.35)</w:t>
            </w:r>
          </w:p>
        </w:tc>
      </w:tr>
      <w:tr w:rsidR="000D07EA" w14:paraId="7F4BFD68" w14:textId="77777777">
        <w:tc>
          <w:tcPr>
            <w:tcW w:w="799" w:type="pct"/>
          </w:tcPr>
          <w:p w14:paraId="5647B0D1" w14:textId="77777777" w:rsidR="000D07EA" w:rsidRDefault="00BE7C89">
            <w:pPr>
              <w:pStyle w:val="BodyText"/>
              <w:spacing w:before="40" w:after="40"/>
              <w:rPr>
                <w:b/>
                <w:i/>
              </w:rPr>
            </w:pPr>
            <w:r>
              <w:rPr>
                <w:b/>
                <w:i/>
              </w:rPr>
              <w:t>Minimum term</w:t>
            </w:r>
          </w:p>
        </w:tc>
        <w:tc>
          <w:tcPr>
            <w:tcW w:w="525" w:type="pct"/>
          </w:tcPr>
          <w:p w14:paraId="1757335F" w14:textId="77777777" w:rsidR="000D07EA" w:rsidRDefault="00BE7C89">
            <w:pPr>
              <w:pStyle w:val="BodyText"/>
              <w:spacing w:before="40" w:after="40"/>
              <w:jc w:val="center"/>
            </w:pPr>
            <w:r>
              <w:t>Monthly or 12 or 24 Months</w:t>
            </w:r>
          </w:p>
        </w:tc>
        <w:tc>
          <w:tcPr>
            <w:tcW w:w="525" w:type="pct"/>
          </w:tcPr>
          <w:p w14:paraId="075A7724" w14:textId="77777777" w:rsidR="000D07EA" w:rsidRDefault="00BE7C89">
            <w:pPr>
              <w:pStyle w:val="BodyText"/>
              <w:spacing w:before="40" w:after="40"/>
              <w:jc w:val="center"/>
            </w:pPr>
            <w:r>
              <w:t>Monthly or 12 or 24 Months</w:t>
            </w:r>
          </w:p>
        </w:tc>
        <w:tc>
          <w:tcPr>
            <w:tcW w:w="525" w:type="pct"/>
          </w:tcPr>
          <w:p w14:paraId="34995953" w14:textId="77777777" w:rsidR="000D07EA" w:rsidRDefault="00BE7C89">
            <w:pPr>
              <w:pStyle w:val="BodyText"/>
              <w:spacing w:before="40" w:after="40"/>
              <w:jc w:val="center"/>
            </w:pPr>
            <w:r>
              <w:t>Monthly or 12 or 24 Months</w:t>
            </w:r>
          </w:p>
        </w:tc>
        <w:tc>
          <w:tcPr>
            <w:tcW w:w="525" w:type="pct"/>
          </w:tcPr>
          <w:p w14:paraId="7A04964C" w14:textId="77777777" w:rsidR="000D07EA" w:rsidRDefault="00BE7C89">
            <w:pPr>
              <w:pStyle w:val="BodyText"/>
              <w:spacing w:before="40" w:after="40"/>
              <w:jc w:val="center"/>
            </w:pPr>
            <w:r>
              <w:t>Monthly or 12 or 24 Months</w:t>
            </w:r>
          </w:p>
        </w:tc>
        <w:tc>
          <w:tcPr>
            <w:tcW w:w="525" w:type="pct"/>
          </w:tcPr>
          <w:p w14:paraId="1D06D6F3" w14:textId="77777777" w:rsidR="000D07EA" w:rsidRDefault="00BE7C89">
            <w:pPr>
              <w:pStyle w:val="BodyText"/>
              <w:spacing w:before="40" w:after="40"/>
              <w:jc w:val="center"/>
            </w:pPr>
            <w:r>
              <w:t>Monthly or 12 or 24 Months</w:t>
            </w:r>
          </w:p>
        </w:tc>
        <w:tc>
          <w:tcPr>
            <w:tcW w:w="525" w:type="pct"/>
          </w:tcPr>
          <w:p w14:paraId="2A70ED23" w14:textId="77777777" w:rsidR="000D07EA" w:rsidRDefault="00BE7C89">
            <w:pPr>
              <w:pStyle w:val="BodyText"/>
              <w:spacing w:before="40" w:after="40"/>
              <w:jc w:val="center"/>
            </w:pPr>
            <w:r>
              <w:t>Monthly or 12 or 24 Months</w:t>
            </w:r>
          </w:p>
        </w:tc>
        <w:tc>
          <w:tcPr>
            <w:tcW w:w="525" w:type="pct"/>
          </w:tcPr>
          <w:p w14:paraId="49462EC8" w14:textId="77777777" w:rsidR="000D07EA" w:rsidRDefault="00BE7C89">
            <w:pPr>
              <w:pStyle w:val="BodyText"/>
              <w:spacing w:before="40" w:after="40"/>
              <w:jc w:val="center"/>
            </w:pPr>
            <w:r>
              <w:t>Monthly or 12 or 24 Months</w:t>
            </w:r>
          </w:p>
        </w:tc>
        <w:tc>
          <w:tcPr>
            <w:tcW w:w="525" w:type="pct"/>
          </w:tcPr>
          <w:p w14:paraId="247D8B0B" w14:textId="77777777" w:rsidR="000D07EA" w:rsidRDefault="00BE7C89">
            <w:pPr>
              <w:pStyle w:val="BodyText"/>
              <w:spacing w:before="40" w:after="40"/>
              <w:jc w:val="center"/>
            </w:pPr>
            <w:r>
              <w:t>Monthly or 12 or 24 Months</w:t>
            </w:r>
          </w:p>
        </w:tc>
      </w:tr>
    </w:tbl>
    <w:p w14:paraId="21458BE0" w14:textId="77777777" w:rsidR="000D07EA" w:rsidRDefault="00BE7C89">
      <w:pPr>
        <w:pStyle w:val="BodyText"/>
        <w:spacing w:after="0"/>
        <w:rPr>
          <w:color w:val="000000"/>
          <w:sz w:val="16"/>
          <w:szCs w:val="16"/>
        </w:rPr>
      </w:pPr>
      <w:r>
        <w:rPr>
          <w:rFonts w:eastAsia="Times New Roman"/>
          <w:bCs/>
          <w:sz w:val="16"/>
          <w:szCs w:val="16"/>
        </w:rPr>
        <w:t>Please</w:t>
      </w:r>
      <w:r>
        <w:rPr>
          <w:color w:val="000000"/>
          <w:sz w:val="16"/>
          <w:szCs w:val="16"/>
        </w:rPr>
        <w:t xml:space="preserve"> note:</w:t>
      </w:r>
    </w:p>
    <w:p w14:paraId="0413C50E" w14:textId="77777777" w:rsidR="000D07EA" w:rsidRDefault="00BE7C89">
      <w:pPr>
        <w:pStyle w:val="Heading8"/>
        <w:numPr>
          <w:ilvl w:val="0"/>
          <w:numId w:val="0"/>
        </w:numPr>
        <w:spacing w:after="0"/>
        <w:ind w:left="720"/>
        <w:rPr>
          <w:sz w:val="16"/>
          <w:szCs w:val="16"/>
        </w:rPr>
      </w:pPr>
      <w:r>
        <w:rPr>
          <w:sz w:val="16"/>
          <w:szCs w:val="16"/>
        </w:rPr>
        <w:t>(i)</w:t>
      </w:r>
      <w:r>
        <w:rPr>
          <w:sz w:val="16"/>
          <w:szCs w:val="16"/>
        </w:rPr>
        <w:tab/>
        <w:t>"SmartFleet", "SmartRate" and "Back2Business" call rates may apply.</w:t>
      </w:r>
    </w:p>
    <w:p w14:paraId="057B51CD" w14:textId="77777777" w:rsidR="000D07EA" w:rsidRDefault="00BE7C89">
      <w:pPr>
        <w:pStyle w:val="Heading8"/>
        <w:numPr>
          <w:ilvl w:val="0"/>
          <w:numId w:val="0"/>
        </w:numPr>
        <w:spacing w:after="0"/>
        <w:ind w:left="720"/>
        <w:rPr>
          <w:sz w:val="16"/>
          <w:szCs w:val="16"/>
        </w:rPr>
      </w:pPr>
      <w:r>
        <w:rPr>
          <w:sz w:val="16"/>
          <w:szCs w:val="16"/>
        </w:rPr>
        <w:t>(ii)</w:t>
      </w:r>
      <w:r>
        <w:rPr>
          <w:sz w:val="16"/>
          <w:szCs w:val="16"/>
        </w:rPr>
        <w:tab/>
        <w:t>Minimum Monthly Commitment applies regardless of your calls and services usage.</w:t>
      </w:r>
      <w:bookmarkStart w:id="170" w:name="_Toc205690199"/>
      <w:bookmarkStart w:id="171" w:name="_Toc219870415"/>
      <w:bookmarkStart w:id="172" w:name="_Toc397941019"/>
    </w:p>
    <w:p w14:paraId="66FDE349" w14:textId="77777777" w:rsidR="000D07EA" w:rsidRDefault="000D07EA"/>
    <w:p w14:paraId="3505621A" w14:textId="77777777" w:rsidR="000D07EA" w:rsidRDefault="000D07EA">
      <w:pPr>
        <w:sectPr w:rsidR="000D07EA">
          <w:headerReference w:type="default" r:id="rId83"/>
          <w:footerReference w:type="default" r:id="rId84"/>
          <w:pgSz w:w="16840" w:h="11900" w:orient="landscape"/>
          <w:pgMar w:top="851" w:right="851" w:bottom="851" w:left="851" w:header="461" w:footer="288" w:gutter="0"/>
          <w:cols w:space="708"/>
          <w:docGrid w:linePitch="360"/>
        </w:sectPr>
      </w:pPr>
    </w:p>
    <w:p w14:paraId="2A915F94" w14:textId="77777777" w:rsidR="000D07EA" w:rsidRDefault="00BE7C89">
      <w:pPr>
        <w:pStyle w:val="Heading6"/>
        <w:ind w:left="0" w:firstLine="0"/>
      </w:pPr>
      <w:r>
        <w:lastRenderedPageBreak/>
        <w:t xml:space="preserve">What happens if the </w:t>
      </w:r>
      <w:r>
        <w:rPr>
          <w:i/>
        </w:rPr>
        <w:t>service</w:t>
      </w:r>
      <w:r>
        <w:t xml:space="preserve"> is </w:t>
      </w:r>
      <w:r>
        <w:rPr>
          <w:i/>
        </w:rPr>
        <w:t>cancelled</w:t>
      </w:r>
      <w:r>
        <w:t xml:space="preserve"> early?</w:t>
      </w:r>
      <w:bookmarkEnd w:id="170"/>
      <w:bookmarkEnd w:id="171"/>
      <w:bookmarkEnd w:id="172"/>
    </w:p>
    <w:p w14:paraId="260C8C54" w14:textId="77777777" w:rsidR="000D07EA" w:rsidRDefault="00BE7C89">
      <w:pPr>
        <w:pStyle w:val="Heading7"/>
      </w:pPr>
      <w:r>
        <w:t xml:space="preserve">If </w:t>
      </w:r>
      <w:r>
        <w:rPr>
          <w:i/>
        </w:rPr>
        <w:t>you</w:t>
      </w:r>
      <w:r>
        <w:t xml:space="preserve"> cease to be an approved company </w:t>
      </w:r>
      <w:r>
        <w:rPr>
          <w:i/>
        </w:rPr>
        <w:t>you</w:t>
      </w:r>
      <w:r>
        <w:t xml:space="preserve"> may be transferred to another </w:t>
      </w:r>
      <w:r>
        <w:rPr>
          <w:i/>
        </w:rPr>
        <w:t>pricing plan</w:t>
      </w:r>
      <w:r>
        <w:t xml:space="preserve"> at </w:t>
      </w:r>
      <w:r>
        <w:rPr>
          <w:i/>
        </w:rPr>
        <w:t>our</w:t>
      </w:r>
      <w:r>
        <w:t xml:space="preserve"> discretion, or may be allowed to remain on this </w:t>
      </w:r>
      <w:r>
        <w:rPr>
          <w:i/>
        </w:rPr>
        <w:t>pricing plan</w:t>
      </w:r>
      <w:r>
        <w:t xml:space="preserve"> with the additional discounts and other benefits removed.</w:t>
      </w:r>
    </w:p>
    <w:p w14:paraId="4A704B01" w14:textId="77777777" w:rsidR="000D07EA" w:rsidRDefault="00BE7C89">
      <w:pPr>
        <w:pStyle w:val="Heading7"/>
      </w:pPr>
      <w:r>
        <w:t xml:space="preserve">If </w:t>
      </w:r>
      <w:r>
        <w:rPr>
          <w:i/>
        </w:rPr>
        <w:t>the service is cancelled</w:t>
      </w:r>
      <w:r>
        <w:t xml:space="preserve"> before the expiry of the </w:t>
      </w:r>
      <w:r>
        <w:rPr>
          <w:i/>
        </w:rPr>
        <w:t>minimum term</w:t>
      </w:r>
      <w:r>
        <w:t xml:space="preserve">, </w:t>
      </w:r>
      <w:r>
        <w:rPr>
          <w:i/>
        </w:rPr>
        <w:t>you</w:t>
      </w:r>
      <w:r>
        <w:t xml:space="preserve"> will be required to pay </w:t>
      </w:r>
      <w:r>
        <w:rPr>
          <w:i/>
        </w:rPr>
        <w:t>us</w:t>
      </w:r>
      <w:r>
        <w:t>:</w:t>
      </w:r>
    </w:p>
    <w:p w14:paraId="50FA530F" w14:textId="77777777" w:rsidR="000D07EA" w:rsidRDefault="00BE7C89">
      <w:pPr>
        <w:pStyle w:val="Heading8"/>
      </w:pPr>
      <w:r>
        <w:t xml:space="preserve">any usage charges incurred up to, and including, the </w:t>
      </w:r>
      <w:r>
        <w:rPr>
          <w:i/>
        </w:rPr>
        <w:t>cancellation date</w:t>
      </w:r>
      <w:r>
        <w:t>; plus</w:t>
      </w:r>
    </w:p>
    <w:p w14:paraId="2E513D4B" w14:textId="77777777" w:rsidR="000D07EA" w:rsidRDefault="00BE7C89">
      <w:pPr>
        <w:pStyle w:val="Heading8"/>
      </w:pPr>
      <w:r>
        <w:t xml:space="preserve">the </w:t>
      </w:r>
      <w:r>
        <w:rPr>
          <w:i/>
        </w:rPr>
        <w:t>cancellation fee</w:t>
      </w:r>
      <w:r>
        <w:t xml:space="preserve"> set out in the table below (unless under clause 2A of the </w:t>
      </w:r>
      <w:hyperlink r:id="rId85" w:history="1">
        <w:r>
          <w:rPr>
            <w:rStyle w:val="Hyperlink"/>
            <w:i/>
          </w:rPr>
          <w:t>SMB terms</w:t>
        </w:r>
      </w:hyperlink>
      <w:r>
        <w:t xml:space="preserve">, </w:t>
      </w:r>
      <w:r>
        <w:rPr>
          <w:i/>
        </w:rPr>
        <w:t>you</w:t>
      </w:r>
      <w:r>
        <w:t xml:space="preserve"> are entitled to </w:t>
      </w:r>
      <w:r>
        <w:rPr>
          <w:i/>
        </w:rPr>
        <w:t>cancel the service</w:t>
      </w:r>
      <w:r>
        <w:t xml:space="preserve"> without incurring a </w:t>
      </w:r>
      <w:r>
        <w:rPr>
          <w:i/>
        </w:rPr>
        <w:t>cancellation fee</w:t>
      </w:r>
      <w:r>
        <w:t>); plus</w:t>
      </w:r>
    </w:p>
    <w:p w14:paraId="7DA92DB9" w14:textId="77777777" w:rsidR="000D07EA" w:rsidRDefault="00BE7C89">
      <w:pPr>
        <w:pStyle w:val="Heading8"/>
      </w:pPr>
      <w:r>
        <w:t xml:space="preserve">the sum of unpaid </w:t>
      </w:r>
      <w:r>
        <w:rPr>
          <w:i/>
        </w:rPr>
        <w:t>equipment charges</w:t>
      </w:r>
      <w:r>
        <w:t xml:space="preserve"> owing on </w:t>
      </w:r>
      <w:r>
        <w:rPr>
          <w:i/>
        </w:rPr>
        <w:t>your mobile phone</w:t>
      </w:r>
      <w:r>
        <w:t xml:space="preserve"> under the </w:t>
      </w:r>
      <w:r>
        <w:rPr>
          <w:i/>
        </w:rPr>
        <w:t>mobile equipment payment plan</w:t>
      </w:r>
      <w:r>
        <w:t xml:space="preserve"> (if any).</w:t>
      </w:r>
    </w:p>
    <w:p w14:paraId="5E4C1D59" w14:textId="77777777" w:rsidR="000D07EA" w:rsidRDefault="00BE7C89">
      <w:pPr>
        <w:pStyle w:val="Heading7"/>
      </w:pPr>
      <w:r>
        <w:t xml:space="preserve">The </w:t>
      </w:r>
      <w:r>
        <w:rPr>
          <w:i/>
        </w:rPr>
        <w:t>cancellation fee</w:t>
      </w:r>
      <w:r>
        <w:t xml:space="preserve"> payable under paragraph </w:t>
      </w:r>
      <w:r w:rsidR="00EE7426" w:rsidRPr="00272628">
        <w:t>75</w:t>
      </w:r>
      <w:r w:rsidRPr="00272628">
        <w:t>.5(b) (</w:t>
      </w:r>
      <w:r>
        <w:t xml:space="preserve">if any) is calculated as follows: </w:t>
      </w:r>
    </w:p>
    <w:p w14:paraId="290EC503" w14:textId="77777777" w:rsidR="000D07EA" w:rsidRDefault="00BE7C89">
      <w:pPr>
        <w:pStyle w:val="Heading8"/>
      </w:pPr>
      <w:r>
        <w:t xml:space="preserve">If </w:t>
      </w:r>
      <w:r>
        <w:rPr>
          <w:i/>
        </w:rPr>
        <w:t>you</w:t>
      </w:r>
      <w:r>
        <w:t xml:space="preserve"> are on a 24 month </w:t>
      </w:r>
      <w:r>
        <w:rPr>
          <w:i/>
        </w:rPr>
        <w:t>pricing plan</w:t>
      </w:r>
      <w:r>
        <w:t xml:space="preserve">, the </w:t>
      </w:r>
      <w:r>
        <w:rPr>
          <w:i/>
        </w:rPr>
        <w:t>cancellation fee</w:t>
      </w:r>
      <w:r>
        <w:t xml:space="preserve"> between months 0-12 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1273"/>
        <w:gridCol w:w="1273"/>
        <w:gridCol w:w="1273"/>
        <w:gridCol w:w="1273"/>
        <w:gridCol w:w="1274"/>
        <w:gridCol w:w="1274"/>
        <w:gridCol w:w="1274"/>
        <w:gridCol w:w="1274"/>
      </w:tblGrid>
      <w:tr w:rsidR="000D07EA" w14:paraId="3BCD1247" w14:textId="77777777">
        <w:tc>
          <w:tcPr>
            <w:tcW w:w="625" w:type="pct"/>
          </w:tcPr>
          <w:p w14:paraId="36A8CA39" w14:textId="77777777" w:rsidR="000D07EA" w:rsidRDefault="00BE7C89">
            <w:pPr>
              <w:pStyle w:val="BodyText"/>
              <w:spacing w:before="100" w:after="100"/>
              <w:jc w:val="center"/>
              <w:rPr>
                <w:b/>
              </w:rPr>
            </w:pPr>
            <w:r>
              <w:rPr>
                <w:b/>
              </w:rPr>
              <w:t>'yes' Business 29 Plan for iPhone 3G</w:t>
            </w:r>
          </w:p>
        </w:tc>
        <w:tc>
          <w:tcPr>
            <w:tcW w:w="625" w:type="pct"/>
          </w:tcPr>
          <w:p w14:paraId="0462C726" w14:textId="77777777" w:rsidR="000D07EA" w:rsidRDefault="00BE7C89">
            <w:pPr>
              <w:pStyle w:val="BodyText"/>
              <w:spacing w:before="100" w:after="100"/>
              <w:jc w:val="center"/>
              <w:rPr>
                <w:b/>
              </w:rPr>
            </w:pPr>
            <w:r>
              <w:rPr>
                <w:b/>
              </w:rPr>
              <w:t>'yes' Business 39 Plan for iPhone 3G</w:t>
            </w:r>
          </w:p>
        </w:tc>
        <w:tc>
          <w:tcPr>
            <w:tcW w:w="625" w:type="pct"/>
          </w:tcPr>
          <w:p w14:paraId="5C7EB97F" w14:textId="77777777" w:rsidR="000D07EA" w:rsidRDefault="00BE7C89">
            <w:pPr>
              <w:pStyle w:val="BodyText"/>
              <w:spacing w:before="100" w:after="100"/>
              <w:jc w:val="center"/>
              <w:rPr>
                <w:b/>
              </w:rPr>
            </w:pPr>
            <w:r>
              <w:rPr>
                <w:b/>
              </w:rPr>
              <w:t>'yes' Business 49 Plan for iPhone 3G</w:t>
            </w:r>
          </w:p>
        </w:tc>
        <w:tc>
          <w:tcPr>
            <w:tcW w:w="625" w:type="pct"/>
          </w:tcPr>
          <w:p w14:paraId="049F1BED" w14:textId="77777777" w:rsidR="000D07EA" w:rsidRDefault="00BE7C89">
            <w:pPr>
              <w:pStyle w:val="BodyText"/>
              <w:spacing w:before="100" w:after="100"/>
              <w:jc w:val="center"/>
              <w:rPr>
                <w:b/>
              </w:rPr>
            </w:pPr>
            <w:r>
              <w:rPr>
                <w:b/>
              </w:rPr>
              <w:t>'yes' Business 59 Plan for iPhone 3G</w:t>
            </w:r>
          </w:p>
        </w:tc>
        <w:tc>
          <w:tcPr>
            <w:tcW w:w="625" w:type="pct"/>
          </w:tcPr>
          <w:p w14:paraId="66FEFDF4" w14:textId="77777777" w:rsidR="000D07EA" w:rsidRDefault="00BE7C89">
            <w:pPr>
              <w:pStyle w:val="BodyText"/>
              <w:spacing w:before="100" w:after="100"/>
              <w:jc w:val="center"/>
              <w:rPr>
                <w:b/>
              </w:rPr>
            </w:pPr>
            <w:r>
              <w:rPr>
                <w:b/>
              </w:rPr>
              <w:t>'yes' Business 79 Plan for iPhone 3G</w:t>
            </w:r>
          </w:p>
        </w:tc>
        <w:tc>
          <w:tcPr>
            <w:tcW w:w="625" w:type="pct"/>
          </w:tcPr>
          <w:p w14:paraId="5F6175F2" w14:textId="77777777" w:rsidR="000D07EA" w:rsidRDefault="00BE7C89">
            <w:pPr>
              <w:pStyle w:val="BodyText"/>
              <w:spacing w:before="100" w:after="100"/>
              <w:jc w:val="center"/>
              <w:rPr>
                <w:b/>
              </w:rPr>
            </w:pPr>
            <w:r>
              <w:rPr>
                <w:b/>
              </w:rPr>
              <w:t>'yes' Business 99 Plan for iPhone 3G</w:t>
            </w:r>
          </w:p>
        </w:tc>
        <w:tc>
          <w:tcPr>
            <w:tcW w:w="625" w:type="pct"/>
          </w:tcPr>
          <w:p w14:paraId="38F6ABDE" w14:textId="77777777" w:rsidR="000D07EA" w:rsidRDefault="00BE7C89">
            <w:pPr>
              <w:pStyle w:val="BodyText"/>
              <w:spacing w:before="100" w:after="100"/>
              <w:jc w:val="center"/>
              <w:rPr>
                <w:b/>
              </w:rPr>
            </w:pPr>
            <w:r>
              <w:rPr>
                <w:b/>
              </w:rPr>
              <w:t>'yes' Business 149 Plan for iPhone 3G</w:t>
            </w:r>
          </w:p>
        </w:tc>
        <w:tc>
          <w:tcPr>
            <w:tcW w:w="625" w:type="pct"/>
          </w:tcPr>
          <w:p w14:paraId="6A2C2D27" w14:textId="77777777" w:rsidR="000D07EA" w:rsidRDefault="00BE7C89">
            <w:pPr>
              <w:pStyle w:val="BodyText"/>
              <w:spacing w:before="100" w:after="100"/>
              <w:jc w:val="center"/>
              <w:rPr>
                <w:b/>
              </w:rPr>
            </w:pPr>
            <w:r>
              <w:rPr>
                <w:b/>
              </w:rPr>
              <w:t>'yes' Business 249 Plan for iPhone 3G</w:t>
            </w:r>
          </w:p>
        </w:tc>
      </w:tr>
      <w:tr w:rsidR="000D07EA" w14:paraId="62A45EC4" w14:textId="77777777">
        <w:tc>
          <w:tcPr>
            <w:tcW w:w="625" w:type="pct"/>
          </w:tcPr>
          <w:p w14:paraId="4542F0DB" w14:textId="77777777" w:rsidR="000D07EA" w:rsidRDefault="00BE7C89">
            <w:pPr>
              <w:pStyle w:val="BodyText"/>
              <w:spacing w:before="100" w:after="100"/>
              <w:jc w:val="center"/>
            </w:pPr>
            <w:r>
              <w:t>$590.90</w:t>
            </w:r>
            <w:r>
              <w:br/>
              <w:t>($650)</w:t>
            </w:r>
          </w:p>
        </w:tc>
        <w:tc>
          <w:tcPr>
            <w:tcW w:w="625" w:type="pct"/>
          </w:tcPr>
          <w:p w14:paraId="341ECAD7" w14:textId="77777777" w:rsidR="000D07EA" w:rsidRDefault="00BE7C89">
            <w:pPr>
              <w:pStyle w:val="BodyText"/>
              <w:spacing w:before="100" w:after="100"/>
              <w:jc w:val="center"/>
            </w:pPr>
            <w:r>
              <w:t>$681.81</w:t>
            </w:r>
            <w:r>
              <w:br/>
              <w:t>($750)</w:t>
            </w:r>
          </w:p>
        </w:tc>
        <w:tc>
          <w:tcPr>
            <w:tcW w:w="625" w:type="pct"/>
          </w:tcPr>
          <w:p w14:paraId="1C58664F" w14:textId="77777777" w:rsidR="000D07EA" w:rsidRDefault="00BE7C89">
            <w:pPr>
              <w:pStyle w:val="BodyText"/>
              <w:spacing w:before="100" w:after="100"/>
              <w:jc w:val="center"/>
            </w:pPr>
            <w:r>
              <w:t>$727.27</w:t>
            </w:r>
            <w:r>
              <w:br/>
              <w:t>($800)</w:t>
            </w:r>
          </w:p>
        </w:tc>
        <w:tc>
          <w:tcPr>
            <w:tcW w:w="625" w:type="pct"/>
          </w:tcPr>
          <w:p w14:paraId="0659B421" w14:textId="77777777" w:rsidR="000D07EA" w:rsidRDefault="00BE7C89">
            <w:pPr>
              <w:pStyle w:val="BodyText"/>
              <w:spacing w:before="100" w:after="100"/>
              <w:jc w:val="center"/>
            </w:pPr>
            <w:r>
              <w:t>$818.18</w:t>
            </w:r>
            <w:r>
              <w:br/>
              <w:t>($900)</w:t>
            </w:r>
          </w:p>
        </w:tc>
        <w:tc>
          <w:tcPr>
            <w:tcW w:w="625" w:type="pct"/>
          </w:tcPr>
          <w:p w14:paraId="3A5FF7C8" w14:textId="77777777" w:rsidR="000D07EA" w:rsidRDefault="00BE7C89">
            <w:pPr>
              <w:pStyle w:val="BodyText"/>
              <w:spacing w:before="100" w:after="100"/>
              <w:jc w:val="center"/>
            </w:pPr>
            <w:r>
              <w:t>$954.54</w:t>
            </w:r>
            <w:r>
              <w:br/>
              <w:t>($1,050)</w:t>
            </w:r>
          </w:p>
        </w:tc>
        <w:tc>
          <w:tcPr>
            <w:tcW w:w="625" w:type="pct"/>
          </w:tcPr>
          <w:p w14:paraId="0EB18A6D" w14:textId="77777777" w:rsidR="000D07EA" w:rsidRDefault="00BE7C89">
            <w:pPr>
              <w:pStyle w:val="BodyText"/>
              <w:spacing w:before="100" w:after="100"/>
              <w:jc w:val="center"/>
            </w:pPr>
            <w:r>
              <w:t>$1000</w:t>
            </w:r>
            <w:r>
              <w:br/>
              <w:t>($1,100)</w:t>
            </w:r>
          </w:p>
        </w:tc>
        <w:tc>
          <w:tcPr>
            <w:tcW w:w="625" w:type="pct"/>
          </w:tcPr>
          <w:p w14:paraId="4C18381C" w14:textId="77777777" w:rsidR="000D07EA" w:rsidRDefault="00BE7C89">
            <w:pPr>
              <w:pStyle w:val="BodyText"/>
              <w:spacing w:before="100" w:after="100"/>
              <w:jc w:val="center"/>
            </w:pPr>
            <w:r>
              <w:t>$1045.45</w:t>
            </w:r>
            <w:r>
              <w:br/>
              <w:t>($1,150)</w:t>
            </w:r>
          </w:p>
        </w:tc>
        <w:tc>
          <w:tcPr>
            <w:tcW w:w="625" w:type="pct"/>
          </w:tcPr>
          <w:p w14:paraId="582D7312" w14:textId="77777777" w:rsidR="000D07EA" w:rsidRDefault="00BE7C89">
            <w:pPr>
              <w:pStyle w:val="BodyText"/>
              <w:spacing w:before="100" w:after="100"/>
              <w:jc w:val="center"/>
            </w:pPr>
            <w:r>
              <w:t>$1090.90</w:t>
            </w:r>
            <w:r>
              <w:br/>
              <w:t>($1,200)</w:t>
            </w:r>
          </w:p>
        </w:tc>
      </w:tr>
    </w:tbl>
    <w:p w14:paraId="56D46E40" w14:textId="77777777" w:rsidR="000D07EA" w:rsidRDefault="00BE7C89">
      <w:pPr>
        <w:pStyle w:val="BodyText"/>
        <w:spacing w:before="240"/>
        <w:ind w:left="2160"/>
      </w:pPr>
      <w:r>
        <w:t xml:space="preserve">And for </w:t>
      </w:r>
      <w:r>
        <w:rPr>
          <w:i/>
        </w:rPr>
        <w:t>cancellations</w:t>
      </w:r>
      <w:r>
        <w:t xml:space="preserve"> between months 13-24, an amount in accordance with the following calculations: for months 13-15, 80% of the </w:t>
      </w:r>
      <w:r>
        <w:rPr>
          <w:i/>
        </w:rPr>
        <w:t>cancellation fee</w:t>
      </w:r>
      <w:r>
        <w:t xml:space="preserve">; for months 16-18, 60% of the </w:t>
      </w:r>
      <w:r>
        <w:rPr>
          <w:i/>
        </w:rPr>
        <w:t>cancellation fee</w:t>
      </w:r>
      <w:r>
        <w:t xml:space="preserve">; for months 19-21, 40% of the </w:t>
      </w:r>
      <w:r>
        <w:rPr>
          <w:i/>
        </w:rPr>
        <w:t>cancellation fee</w:t>
      </w:r>
      <w:r>
        <w:t xml:space="preserve">; for months 22-24, 20% of the </w:t>
      </w:r>
      <w:r>
        <w:rPr>
          <w:i/>
        </w:rPr>
        <w:t>cancellation fee</w:t>
      </w:r>
      <w:r>
        <w:t>.</w:t>
      </w:r>
    </w:p>
    <w:p w14:paraId="2E96806B" w14:textId="77777777" w:rsidR="000D07EA" w:rsidRDefault="00BE7C89">
      <w:pPr>
        <w:pStyle w:val="Heading8"/>
      </w:pPr>
      <w:r>
        <w:t xml:space="preserve">If </w:t>
      </w:r>
      <w:r>
        <w:rPr>
          <w:i/>
        </w:rPr>
        <w:t>you</w:t>
      </w:r>
      <w:r>
        <w:t xml:space="preserve"> are on a 12 month </w:t>
      </w:r>
      <w:r>
        <w:rPr>
          <w:i/>
        </w:rPr>
        <w:t>pricing plan</w:t>
      </w:r>
      <w:r>
        <w:t xml:space="preserve">, the </w:t>
      </w:r>
      <w:r>
        <w:rPr>
          <w:i/>
        </w:rPr>
        <w:t>cancellation fee</w:t>
      </w:r>
      <w:r>
        <w:t xml:space="preserve"> between months 0-6 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1273"/>
        <w:gridCol w:w="1273"/>
        <w:gridCol w:w="1273"/>
        <w:gridCol w:w="1273"/>
        <w:gridCol w:w="1274"/>
        <w:gridCol w:w="1274"/>
        <w:gridCol w:w="1274"/>
        <w:gridCol w:w="1274"/>
      </w:tblGrid>
      <w:tr w:rsidR="000D07EA" w14:paraId="2FA64808" w14:textId="77777777">
        <w:tc>
          <w:tcPr>
            <w:tcW w:w="625" w:type="pct"/>
          </w:tcPr>
          <w:p w14:paraId="5EC94350" w14:textId="77777777" w:rsidR="000D07EA" w:rsidRDefault="00BE7C89">
            <w:pPr>
              <w:pStyle w:val="BodyText"/>
              <w:spacing w:before="100" w:after="100"/>
              <w:jc w:val="center"/>
              <w:rPr>
                <w:b/>
              </w:rPr>
            </w:pPr>
            <w:r>
              <w:rPr>
                <w:b/>
              </w:rPr>
              <w:t>'yes' Business 29 Plan for iPhone 3G</w:t>
            </w:r>
          </w:p>
        </w:tc>
        <w:tc>
          <w:tcPr>
            <w:tcW w:w="625" w:type="pct"/>
          </w:tcPr>
          <w:p w14:paraId="6A2847F9" w14:textId="77777777" w:rsidR="000D07EA" w:rsidRDefault="00BE7C89">
            <w:pPr>
              <w:pStyle w:val="BodyText"/>
              <w:spacing w:before="100" w:after="100"/>
              <w:jc w:val="center"/>
              <w:rPr>
                <w:b/>
              </w:rPr>
            </w:pPr>
            <w:r>
              <w:rPr>
                <w:b/>
              </w:rPr>
              <w:t>'yes' Business 39 Plan for iPhone 3G</w:t>
            </w:r>
          </w:p>
        </w:tc>
        <w:tc>
          <w:tcPr>
            <w:tcW w:w="625" w:type="pct"/>
          </w:tcPr>
          <w:p w14:paraId="265E1B96" w14:textId="77777777" w:rsidR="000D07EA" w:rsidRDefault="00BE7C89">
            <w:pPr>
              <w:pStyle w:val="BodyText"/>
              <w:spacing w:before="100" w:after="100"/>
              <w:jc w:val="center"/>
              <w:rPr>
                <w:b/>
              </w:rPr>
            </w:pPr>
            <w:r>
              <w:rPr>
                <w:b/>
              </w:rPr>
              <w:t>'yes' Business 49 Plan for iPhone 3G</w:t>
            </w:r>
          </w:p>
        </w:tc>
        <w:tc>
          <w:tcPr>
            <w:tcW w:w="625" w:type="pct"/>
          </w:tcPr>
          <w:p w14:paraId="03551433" w14:textId="77777777" w:rsidR="000D07EA" w:rsidRDefault="00BE7C89">
            <w:pPr>
              <w:pStyle w:val="BodyText"/>
              <w:spacing w:before="100" w:after="100"/>
              <w:jc w:val="center"/>
              <w:rPr>
                <w:b/>
              </w:rPr>
            </w:pPr>
            <w:r>
              <w:rPr>
                <w:b/>
              </w:rPr>
              <w:t>'yes' Business 59 Plan for iPhone 3G</w:t>
            </w:r>
          </w:p>
        </w:tc>
        <w:tc>
          <w:tcPr>
            <w:tcW w:w="625" w:type="pct"/>
          </w:tcPr>
          <w:p w14:paraId="71F49FAC" w14:textId="77777777" w:rsidR="000D07EA" w:rsidRDefault="00BE7C89">
            <w:pPr>
              <w:pStyle w:val="BodyText"/>
              <w:spacing w:before="100" w:after="100"/>
              <w:jc w:val="center"/>
              <w:rPr>
                <w:b/>
              </w:rPr>
            </w:pPr>
            <w:r>
              <w:rPr>
                <w:b/>
              </w:rPr>
              <w:t>'yes' Business 79 Plan for iPhone 3G</w:t>
            </w:r>
          </w:p>
        </w:tc>
        <w:tc>
          <w:tcPr>
            <w:tcW w:w="625" w:type="pct"/>
          </w:tcPr>
          <w:p w14:paraId="509E7DB3" w14:textId="77777777" w:rsidR="000D07EA" w:rsidRDefault="00BE7C89">
            <w:pPr>
              <w:pStyle w:val="BodyText"/>
              <w:spacing w:before="100" w:after="100"/>
              <w:jc w:val="center"/>
              <w:rPr>
                <w:b/>
              </w:rPr>
            </w:pPr>
            <w:r>
              <w:rPr>
                <w:b/>
              </w:rPr>
              <w:t>'yes' Business 99 Plan for iPhone 3G</w:t>
            </w:r>
          </w:p>
        </w:tc>
        <w:tc>
          <w:tcPr>
            <w:tcW w:w="625" w:type="pct"/>
          </w:tcPr>
          <w:p w14:paraId="6B49224D" w14:textId="77777777" w:rsidR="000D07EA" w:rsidRDefault="00BE7C89">
            <w:pPr>
              <w:pStyle w:val="BodyText"/>
              <w:spacing w:before="100" w:after="100"/>
              <w:jc w:val="center"/>
              <w:rPr>
                <w:b/>
              </w:rPr>
            </w:pPr>
            <w:r>
              <w:rPr>
                <w:b/>
              </w:rPr>
              <w:t>'yes' Business 149 Plan for iPhone 3G</w:t>
            </w:r>
          </w:p>
        </w:tc>
        <w:tc>
          <w:tcPr>
            <w:tcW w:w="625" w:type="pct"/>
          </w:tcPr>
          <w:p w14:paraId="6FB5E1D9" w14:textId="77777777" w:rsidR="000D07EA" w:rsidRDefault="00BE7C89">
            <w:pPr>
              <w:pStyle w:val="BodyText"/>
              <w:spacing w:before="100" w:after="100"/>
              <w:jc w:val="center"/>
              <w:rPr>
                <w:b/>
              </w:rPr>
            </w:pPr>
            <w:r>
              <w:rPr>
                <w:b/>
              </w:rPr>
              <w:t>'yes' Business 249 Plan for iPhone 3G</w:t>
            </w:r>
          </w:p>
        </w:tc>
      </w:tr>
      <w:tr w:rsidR="000D07EA" w14:paraId="54B1B6E6" w14:textId="77777777">
        <w:tc>
          <w:tcPr>
            <w:tcW w:w="625" w:type="pct"/>
          </w:tcPr>
          <w:p w14:paraId="19261AAC" w14:textId="77777777" w:rsidR="000D07EA" w:rsidRDefault="00BE7C89">
            <w:pPr>
              <w:pStyle w:val="BodyText"/>
              <w:spacing w:before="100" w:after="100"/>
              <w:jc w:val="center"/>
            </w:pPr>
            <w:r>
              <w:t>$400</w:t>
            </w:r>
            <w:r>
              <w:br/>
              <w:t>($440)</w:t>
            </w:r>
          </w:p>
        </w:tc>
        <w:tc>
          <w:tcPr>
            <w:tcW w:w="625" w:type="pct"/>
          </w:tcPr>
          <w:p w14:paraId="65DA0210" w14:textId="77777777" w:rsidR="000D07EA" w:rsidRDefault="00BE7C89">
            <w:pPr>
              <w:pStyle w:val="BodyText"/>
              <w:spacing w:before="100" w:after="100"/>
              <w:jc w:val="center"/>
            </w:pPr>
            <w:r>
              <w:t>$436.36</w:t>
            </w:r>
            <w:r>
              <w:br/>
              <w:t>($480)</w:t>
            </w:r>
          </w:p>
        </w:tc>
        <w:tc>
          <w:tcPr>
            <w:tcW w:w="625" w:type="pct"/>
          </w:tcPr>
          <w:p w14:paraId="778E07E3" w14:textId="77777777" w:rsidR="000D07EA" w:rsidRDefault="00BE7C89">
            <w:pPr>
              <w:pStyle w:val="BodyText"/>
              <w:spacing w:before="100" w:after="100"/>
              <w:jc w:val="center"/>
            </w:pPr>
            <w:r>
              <w:t>$472.72</w:t>
            </w:r>
            <w:r>
              <w:br/>
              <w:t>($520)</w:t>
            </w:r>
          </w:p>
        </w:tc>
        <w:tc>
          <w:tcPr>
            <w:tcW w:w="625" w:type="pct"/>
          </w:tcPr>
          <w:p w14:paraId="1ED174C5" w14:textId="77777777" w:rsidR="000D07EA" w:rsidRDefault="00BE7C89">
            <w:pPr>
              <w:pStyle w:val="BodyText"/>
              <w:spacing w:before="100" w:after="100"/>
              <w:jc w:val="center"/>
            </w:pPr>
            <w:r>
              <w:t>$509.09</w:t>
            </w:r>
            <w:r>
              <w:br/>
              <w:t>($560)</w:t>
            </w:r>
          </w:p>
        </w:tc>
        <w:tc>
          <w:tcPr>
            <w:tcW w:w="625" w:type="pct"/>
          </w:tcPr>
          <w:p w14:paraId="64797338" w14:textId="77777777" w:rsidR="000D07EA" w:rsidRDefault="00BE7C89">
            <w:pPr>
              <w:pStyle w:val="BodyText"/>
              <w:spacing w:before="100" w:after="100"/>
              <w:jc w:val="center"/>
            </w:pPr>
            <w:r>
              <w:t>$563.63</w:t>
            </w:r>
            <w:r>
              <w:br/>
              <w:t>($620)</w:t>
            </w:r>
          </w:p>
        </w:tc>
        <w:tc>
          <w:tcPr>
            <w:tcW w:w="625" w:type="pct"/>
          </w:tcPr>
          <w:p w14:paraId="22461A64" w14:textId="77777777" w:rsidR="000D07EA" w:rsidRDefault="00BE7C89">
            <w:pPr>
              <w:pStyle w:val="BodyText"/>
              <w:spacing w:before="100" w:after="100"/>
              <w:jc w:val="center"/>
            </w:pPr>
            <w:r>
              <w:t>$590.90</w:t>
            </w:r>
            <w:r>
              <w:br/>
              <w:t>($650)</w:t>
            </w:r>
          </w:p>
        </w:tc>
        <w:tc>
          <w:tcPr>
            <w:tcW w:w="625" w:type="pct"/>
          </w:tcPr>
          <w:p w14:paraId="766F2925" w14:textId="77777777" w:rsidR="000D07EA" w:rsidRDefault="00BE7C89">
            <w:pPr>
              <w:pStyle w:val="BodyText"/>
              <w:spacing w:before="100" w:after="100"/>
              <w:jc w:val="center"/>
            </w:pPr>
            <w:r>
              <w:t>$636.36</w:t>
            </w:r>
            <w:r>
              <w:br/>
              <w:t>($700)</w:t>
            </w:r>
          </w:p>
        </w:tc>
        <w:tc>
          <w:tcPr>
            <w:tcW w:w="625" w:type="pct"/>
          </w:tcPr>
          <w:p w14:paraId="218A60D6" w14:textId="77777777" w:rsidR="000D07EA" w:rsidRDefault="00BE7C89">
            <w:pPr>
              <w:pStyle w:val="BodyText"/>
              <w:spacing w:before="100" w:after="100"/>
              <w:jc w:val="center"/>
            </w:pPr>
            <w:r>
              <w:t>$681.81</w:t>
            </w:r>
            <w:r>
              <w:br/>
              <w:t>($750)</w:t>
            </w:r>
          </w:p>
        </w:tc>
      </w:tr>
    </w:tbl>
    <w:p w14:paraId="40C2887F" w14:textId="77777777" w:rsidR="000D07EA" w:rsidRDefault="00BE7C89">
      <w:pPr>
        <w:pStyle w:val="BodyText"/>
        <w:spacing w:before="240"/>
        <w:ind w:left="2160"/>
      </w:pPr>
      <w:r>
        <w:t xml:space="preserve">And for </w:t>
      </w:r>
      <w:r>
        <w:rPr>
          <w:i/>
        </w:rPr>
        <w:t>cancellations</w:t>
      </w:r>
      <w:r>
        <w:t xml:space="preserve"> between months 7-12, an amount in accordance with the following calculations: for months 7-9, 70% of the </w:t>
      </w:r>
      <w:r>
        <w:rPr>
          <w:i/>
        </w:rPr>
        <w:t>cancellation fee</w:t>
      </w:r>
      <w:r>
        <w:t xml:space="preserve">; for months 10-12, 40% of the </w:t>
      </w:r>
      <w:r>
        <w:rPr>
          <w:i/>
        </w:rPr>
        <w:t>cancellation fee</w:t>
      </w:r>
      <w:r>
        <w:t>.</w:t>
      </w:r>
    </w:p>
    <w:p w14:paraId="01FB3C0B" w14:textId="77777777" w:rsidR="000D07EA" w:rsidRDefault="00BE7C89">
      <w:pPr>
        <w:pStyle w:val="Heading6"/>
        <w:ind w:left="0" w:firstLine="0"/>
      </w:pPr>
      <w:bookmarkStart w:id="173" w:name="_Toc205690200"/>
      <w:bookmarkStart w:id="174" w:name="_Toc219870416"/>
      <w:bookmarkStart w:id="175" w:name="_Toc397941020"/>
      <w:r>
        <w:t>Optus SMB Rewards</w:t>
      </w:r>
      <w:bookmarkEnd w:id="173"/>
      <w:bookmarkEnd w:id="174"/>
      <w:bookmarkEnd w:id="175"/>
    </w:p>
    <w:p w14:paraId="1E3B258D" w14:textId="77777777" w:rsidR="000D07EA" w:rsidRDefault="00BE7C89">
      <w:pPr>
        <w:pStyle w:val="Heading7"/>
      </w:pPr>
      <w:r>
        <w:rPr>
          <w:b/>
        </w:rPr>
        <w:t xml:space="preserve">Optus 'yes' Business </w:t>
      </w:r>
      <w:r>
        <w:rPr>
          <w:b/>
          <w:bCs/>
        </w:rPr>
        <w:t>Rewards</w:t>
      </w:r>
      <w:r>
        <w:rPr>
          <w:bCs/>
        </w:rPr>
        <w:t xml:space="preserve"> </w:t>
      </w:r>
      <w:r>
        <w:t xml:space="preserve">is a </w:t>
      </w:r>
      <w:r>
        <w:rPr>
          <w:i/>
          <w:iCs/>
        </w:rPr>
        <w:t>special</w:t>
      </w:r>
      <w:r>
        <w:rPr>
          <w:iCs/>
        </w:rPr>
        <w:t xml:space="preserve"> </w:t>
      </w:r>
      <w:r>
        <w:t xml:space="preserve">available to </w:t>
      </w:r>
      <w:r>
        <w:rPr>
          <w:i/>
          <w:iCs/>
        </w:rPr>
        <w:t>small or medium enterprise customers</w:t>
      </w:r>
      <w:r>
        <w:rPr>
          <w:iCs/>
        </w:rPr>
        <w:t xml:space="preserve"> </w:t>
      </w:r>
      <w:r>
        <w:t>who connect to the</w:t>
      </w:r>
      <w:r>
        <w:rPr>
          <w:iCs/>
        </w:rPr>
        <w:t xml:space="preserve"> </w:t>
      </w:r>
      <w:r>
        <w:rPr>
          <w:i/>
          <w:iCs/>
        </w:rPr>
        <w:t>service</w:t>
      </w:r>
      <w:r>
        <w:rPr>
          <w:iCs/>
        </w:rPr>
        <w:t xml:space="preserve"> </w:t>
      </w:r>
      <w:r>
        <w:t xml:space="preserve">on an eligible </w:t>
      </w:r>
      <w:r>
        <w:rPr>
          <w:i/>
          <w:iCs/>
        </w:rPr>
        <w:t>pricing plan</w:t>
      </w:r>
      <w:r>
        <w:rPr>
          <w:iCs/>
        </w:rPr>
        <w:t xml:space="preserve"> </w:t>
      </w:r>
      <w:r>
        <w:t>after 23 November 2005. It</w:t>
      </w:r>
      <w:r>
        <w:rPr>
          <w:iCs/>
        </w:rPr>
        <w:t xml:space="preserve"> </w:t>
      </w:r>
      <w:r>
        <w:t xml:space="preserve">involves more than one </w:t>
      </w:r>
      <w:r>
        <w:rPr>
          <w:i/>
          <w:iCs/>
        </w:rPr>
        <w:t>service</w:t>
      </w:r>
      <w:r>
        <w:t xml:space="preserve"> and each of the services </w:t>
      </w:r>
      <w:r>
        <w:rPr>
          <w:i/>
          <w:iCs/>
        </w:rPr>
        <w:t>you</w:t>
      </w:r>
      <w:r>
        <w:t xml:space="preserve"> select as part of </w:t>
      </w:r>
      <w:r>
        <w:rPr>
          <w:i/>
          <w:iCs/>
        </w:rPr>
        <w:t>you</w:t>
      </w:r>
      <w:r>
        <w:rPr>
          <w:i/>
        </w:rPr>
        <w:t>r</w:t>
      </w:r>
      <w:r>
        <w:t xml:space="preserve"> package is provided to </w:t>
      </w:r>
      <w:r>
        <w:rPr>
          <w:i/>
          <w:iCs/>
        </w:rPr>
        <w:t>you</w:t>
      </w:r>
      <w:r>
        <w:t xml:space="preserve"> by the relevant Optus company on the terms and conditions of the </w:t>
      </w:r>
      <w:r>
        <w:rPr>
          <w:i/>
          <w:iCs/>
        </w:rPr>
        <w:t>agreement</w:t>
      </w:r>
      <w:r>
        <w:t xml:space="preserve"> for the supply of that </w:t>
      </w:r>
      <w:r>
        <w:rPr>
          <w:i/>
          <w:iCs/>
        </w:rPr>
        <w:t>service</w:t>
      </w:r>
      <w:r>
        <w:rPr>
          <w:iCs/>
        </w:rPr>
        <w:t>.</w:t>
      </w:r>
      <w:r>
        <w:t xml:space="preserve"> Details of the various packages available and of any additional terms and conditions that apply to 'yes' Business Rewards are set out in </w:t>
      </w:r>
      <w:hyperlink r:id="rId86" w:history="1">
        <w:r>
          <w:rPr>
            <w:rStyle w:val="Hyperlink"/>
            <w:i/>
          </w:rPr>
          <w:t>Appendix IB</w:t>
        </w:r>
      </w:hyperlink>
      <w:r>
        <w:t>.</w:t>
      </w:r>
    </w:p>
    <w:p w14:paraId="5E1C4480" w14:textId="77777777" w:rsidR="000D07EA" w:rsidRDefault="00BE7C89">
      <w:pPr>
        <w:pStyle w:val="Heading6"/>
        <w:ind w:left="0" w:firstLine="0"/>
      </w:pPr>
      <w:bookmarkStart w:id="176" w:name="_Toc205690201"/>
      <w:bookmarkStart w:id="177" w:name="_Toc219870417"/>
      <w:bookmarkStart w:id="178" w:name="_Toc397941021"/>
      <w:r>
        <w:t>Smart BYO Bonus</w:t>
      </w:r>
      <w:bookmarkEnd w:id="176"/>
      <w:bookmarkEnd w:id="177"/>
      <w:bookmarkEnd w:id="178"/>
    </w:p>
    <w:p w14:paraId="7D7CCEC5" w14:textId="77777777" w:rsidR="000D07EA" w:rsidRDefault="00BE7C89">
      <w:pPr>
        <w:pStyle w:val="Heading7"/>
      </w:pPr>
      <w:r>
        <w:lastRenderedPageBreak/>
        <w:t xml:space="preserve">If </w:t>
      </w:r>
      <w:r>
        <w:rPr>
          <w:i/>
        </w:rPr>
        <w:t>you</w:t>
      </w:r>
      <w:r>
        <w:t xml:space="preserve"> do not purchase or receive new discounted mobile hardware from either </w:t>
      </w:r>
      <w:r>
        <w:rPr>
          <w:i/>
        </w:rPr>
        <w:t>us</w:t>
      </w:r>
      <w:r>
        <w:t xml:space="preserve"> or an Optus dealer, partner or reseller when connecting to a 'yes' Business Plan for iPhone 3G </w:t>
      </w:r>
      <w:r>
        <w:rPr>
          <w:i/>
        </w:rPr>
        <w:t>pricing plan</w:t>
      </w:r>
      <w:r>
        <w:t xml:space="preserve"> with a 12 or 24 month </w:t>
      </w:r>
      <w:r>
        <w:rPr>
          <w:i/>
        </w:rPr>
        <w:t>minimum term you</w:t>
      </w:r>
      <w:r>
        <w:t xml:space="preserve"> are eligible for a monthly credit called "Smart BYO Bonus" on </w:t>
      </w:r>
      <w:r>
        <w:rPr>
          <w:i/>
        </w:rPr>
        <w:t>your mobile phone</w:t>
      </w:r>
      <w:r>
        <w:t xml:space="preserve"> tax invoice/account. </w:t>
      </w:r>
      <w:r>
        <w:rPr>
          <w:b/>
        </w:rPr>
        <w:t xml:space="preserve">(For the avoidance of doubt, </w:t>
      </w:r>
      <w:r>
        <w:rPr>
          <w:b/>
          <w:i/>
        </w:rPr>
        <w:t>you</w:t>
      </w:r>
      <w:r>
        <w:rPr>
          <w:b/>
        </w:rPr>
        <w:t xml:space="preserve"> will not be eligible for any "Business Bonus" credit if, at the time </w:t>
      </w:r>
      <w:r>
        <w:rPr>
          <w:b/>
          <w:i/>
        </w:rPr>
        <w:t>you</w:t>
      </w:r>
      <w:r>
        <w:rPr>
          <w:b/>
        </w:rPr>
        <w:t xml:space="preserve"> enter into the </w:t>
      </w:r>
      <w:r>
        <w:rPr>
          <w:b/>
          <w:i/>
        </w:rPr>
        <w:t>agreement</w:t>
      </w:r>
      <w:r>
        <w:rPr>
          <w:b/>
        </w:rPr>
        <w:t xml:space="preserve"> for the </w:t>
      </w:r>
      <w:r>
        <w:rPr>
          <w:b/>
          <w:i/>
        </w:rPr>
        <w:t>service</w:t>
      </w:r>
      <w:r>
        <w:rPr>
          <w:b/>
        </w:rPr>
        <w:t xml:space="preserve"> with </w:t>
      </w:r>
      <w:r>
        <w:rPr>
          <w:b/>
          <w:i/>
        </w:rPr>
        <w:t>us you</w:t>
      </w:r>
      <w:r>
        <w:rPr>
          <w:b/>
        </w:rPr>
        <w:t xml:space="preserve"> purchase or receive mobile hardware under a separate agreement with an Optus dealer, partner or reseller.)</w:t>
      </w:r>
      <w:r>
        <w:t xml:space="preserve"> The credit will be applied to </w:t>
      </w:r>
      <w:r>
        <w:rPr>
          <w:i/>
        </w:rPr>
        <w:t>your</w:t>
      </w:r>
      <w:r>
        <w:t xml:space="preserve"> account from the first or second month of your contract and will be equal to </w:t>
      </w:r>
      <w:r>
        <w:rPr>
          <w:i/>
        </w:rPr>
        <w:t>your</w:t>
      </w:r>
      <w:r>
        <w:t xml:space="preserve"> Minimum monthly commitment. </w:t>
      </w:r>
      <w:r>
        <w:rPr>
          <w:i/>
        </w:rPr>
        <w:t>You</w:t>
      </w:r>
      <w:r>
        <w:t xml:space="preserve"> will still receive </w:t>
      </w:r>
      <w:r>
        <w:rPr>
          <w:i/>
        </w:rPr>
        <w:t>your</w:t>
      </w:r>
      <w:r>
        <w:t xml:space="preserve"> full included value. Customers who select a 12 month plan will receive 2 full "BYO Bonus" where as customers who select a 24 month plan will receive 4 full "BYO Bonus". Excludes pro rated months. This credit is not redeemable for cash or refundable upon </w:t>
      </w:r>
      <w:r>
        <w:rPr>
          <w:i/>
        </w:rPr>
        <w:t>cancellation</w:t>
      </w:r>
      <w:r>
        <w:t xml:space="preserve"> of </w:t>
      </w:r>
      <w:r>
        <w:rPr>
          <w:i/>
        </w:rPr>
        <w:t>your agreement</w:t>
      </w:r>
      <w:r>
        <w:t>.</w:t>
      </w:r>
    </w:p>
    <w:p w14:paraId="38154777" w14:textId="77777777" w:rsidR="000D07EA" w:rsidRDefault="00BE7C89">
      <w:pPr>
        <w:pStyle w:val="Heading4"/>
        <w:ind w:left="720" w:hanging="720"/>
      </w:pPr>
      <w:bookmarkStart w:id="179" w:name="_Toc205690202"/>
      <w:bookmarkStart w:id="180" w:name="_Toc219870418"/>
      <w:bookmarkStart w:id="181" w:name="_Toc397941022"/>
      <w:bookmarkStart w:id="182" w:name="_Toc455147595"/>
      <w:bookmarkStart w:id="183" w:name="_Toc62644617"/>
      <w:r>
        <w:t>Business Cap Plans for iPhone 3G (49, 59, 79, 89, 99, 149, 179, 199)</w:t>
      </w:r>
      <w:bookmarkEnd w:id="179"/>
      <w:bookmarkEnd w:id="180"/>
      <w:bookmarkEnd w:id="181"/>
      <w:bookmarkEnd w:id="182"/>
      <w:bookmarkEnd w:id="183"/>
    </w:p>
    <w:p w14:paraId="2363694A" w14:textId="77777777" w:rsidR="000D07EA" w:rsidRDefault="00BE7C89">
      <w:pPr>
        <w:pStyle w:val="Heading6"/>
        <w:ind w:left="0" w:firstLine="0"/>
      </w:pPr>
      <w:bookmarkStart w:id="184" w:name="_Toc205690203"/>
      <w:bookmarkStart w:id="185" w:name="_Toc219870419"/>
      <w:bookmarkStart w:id="186" w:name="_Toc397941023"/>
      <w:r>
        <w:t>Eligibility</w:t>
      </w:r>
      <w:bookmarkEnd w:id="184"/>
      <w:bookmarkEnd w:id="185"/>
      <w:bookmarkEnd w:id="186"/>
    </w:p>
    <w:p w14:paraId="37CAF32E" w14:textId="77777777" w:rsidR="000D07EA" w:rsidRDefault="00BE7C89">
      <w:pPr>
        <w:pStyle w:val="Heading7"/>
      </w:pPr>
      <w:r>
        <w:t xml:space="preserve">The Business Cap Plan for iPhone 3G </w:t>
      </w:r>
      <w:r>
        <w:rPr>
          <w:i/>
        </w:rPr>
        <w:t xml:space="preserve">pricing plans </w:t>
      </w:r>
      <w:r>
        <w:t xml:space="preserve">are available under special offers to customers </w:t>
      </w:r>
      <w:r>
        <w:rPr>
          <w:i/>
        </w:rPr>
        <w:t>we</w:t>
      </w:r>
      <w:r>
        <w:t xml:space="preserve"> classify as </w:t>
      </w:r>
      <w:r>
        <w:rPr>
          <w:i/>
        </w:rPr>
        <w:t>small or medium business</w:t>
      </w:r>
      <w:r>
        <w:t xml:space="preserve"> customers.</w:t>
      </w:r>
    </w:p>
    <w:p w14:paraId="7FE0077F" w14:textId="77777777" w:rsidR="000D07EA" w:rsidRDefault="00BE7C89">
      <w:pPr>
        <w:pStyle w:val="Heading7"/>
      </w:pPr>
      <w:r>
        <w:t xml:space="preserve">Customers ordering a </w:t>
      </w:r>
      <w:r>
        <w:rPr>
          <w:i/>
        </w:rPr>
        <w:t xml:space="preserve">mobile phone </w:t>
      </w:r>
      <w:r>
        <w:t xml:space="preserve">with an </w:t>
      </w:r>
      <w:r>
        <w:rPr>
          <w:i/>
        </w:rPr>
        <w:t>Optus SIM card</w:t>
      </w:r>
      <w:r>
        <w:t xml:space="preserve"> on the 'yes' Business Cap Plan for iPhone 3G </w:t>
      </w:r>
      <w:r>
        <w:rPr>
          <w:i/>
        </w:rPr>
        <w:t>pricing plan</w:t>
      </w:r>
      <w:r>
        <w:t xml:space="preserve"> must be connected to that </w:t>
      </w:r>
      <w:r>
        <w:rPr>
          <w:i/>
        </w:rPr>
        <w:t xml:space="preserve">pricing plan </w:t>
      </w:r>
      <w:r>
        <w:t>and activated within 14 days after delivery.</w:t>
      </w:r>
    </w:p>
    <w:p w14:paraId="508C8088" w14:textId="77777777" w:rsidR="000D07EA" w:rsidRDefault="00BE7C89">
      <w:pPr>
        <w:pStyle w:val="Heading7"/>
      </w:pPr>
      <w:r>
        <w:t>The</w:t>
      </w:r>
      <w:r>
        <w:rPr>
          <w:bCs/>
        </w:rPr>
        <w:t xml:space="preserve"> Business Cap Plans </w:t>
      </w:r>
      <w:r>
        <w:t>for iPhone 3G</w:t>
      </w:r>
      <w:r>
        <w:rPr>
          <w:bCs/>
        </w:rPr>
        <w:t xml:space="preserve"> are only a</w:t>
      </w:r>
      <w:r>
        <w:rPr>
          <w:rStyle w:val="Emphasis"/>
          <w:i w:val="0"/>
        </w:rPr>
        <w:t xml:space="preserve">vailable to </w:t>
      </w:r>
      <w:r>
        <w:rPr>
          <w:rStyle w:val="Emphasis"/>
        </w:rPr>
        <w:t>you</w:t>
      </w:r>
      <w:r>
        <w:rPr>
          <w:rStyle w:val="Emphasis"/>
          <w:i w:val="0"/>
        </w:rPr>
        <w:t xml:space="preserve"> if </w:t>
      </w:r>
      <w:r>
        <w:rPr>
          <w:rStyle w:val="Emphasis"/>
        </w:rPr>
        <w:t xml:space="preserve">you </w:t>
      </w:r>
      <w:r>
        <w:rPr>
          <w:rStyle w:val="Emphasis"/>
          <w:i w:val="0"/>
        </w:rPr>
        <w:t xml:space="preserve">use an iPhone handset which remains connected on this plan. If </w:t>
      </w:r>
      <w:r>
        <w:rPr>
          <w:rStyle w:val="Emphasis"/>
        </w:rPr>
        <w:t>your</w:t>
      </w:r>
      <w:r>
        <w:rPr>
          <w:rStyle w:val="Emphasis"/>
          <w:i w:val="0"/>
        </w:rPr>
        <w:t xml:space="preserve"> iPhone handset is no longer used and connected on the Business Cap Plan </w:t>
      </w:r>
      <w:r>
        <w:t>for iPhone 3G</w:t>
      </w:r>
      <w:r>
        <w:rPr>
          <w:rStyle w:val="Emphasis"/>
          <w:i w:val="0"/>
        </w:rPr>
        <w:t xml:space="preserve"> then Optus will transfer </w:t>
      </w:r>
      <w:r>
        <w:rPr>
          <w:rStyle w:val="Emphasis"/>
        </w:rPr>
        <w:t>your</w:t>
      </w:r>
      <w:r>
        <w:rPr>
          <w:rStyle w:val="Emphasis"/>
          <w:i w:val="0"/>
        </w:rPr>
        <w:t xml:space="preserve"> service to an equivalent non iPhone Cap rate plan;</w:t>
      </w:r>
    </w:p>
    <w:p w14:paraId="392BC2BD" w14:textId="77777777" w:rsidR="000D07EA" w:rsidRDefault="00BE7C89">
      <w:pPr>
        <w:pStyle w:val="Heading7"/>
      </w:pPr>
      <w:r>
        <w:rPr>
          <w:snapToGrid w:val="0"/>
        </w:rPr>
        <w:t xml:space="preserve">If </w:t>
      </w:r>
      <w:r>
        <w:rPr>
          <w:i/>
          <w:snapToGrid w:val="0"/>
        </w:rPr>
        <w:t xml:space="preserve">you </w:t>
      </w:r>
      <w:r>
        <w:rPr>
          <w:snapToGrid w:val="0"/>
        </w:rPr>
        <w:t xml:space="preserve">are an existing customer </w:t>
      </w:r>
      <w:r>
        <w:rPr>
          <w:i/>
          <w:snapToGrid w:val="0"/>
        </w:rPr>
        <w:t xml:space="preserve">you </w:t>
      </w:r>
      <w:r>
        <w:rPr>
          <w:snapToGrid w:val="0"/>
        </w:rPr>
        <w:t xml:space="preserve">may only transfer to the Optus Cap Plans </w:t>
      </w:r>
      <w:r>
        <w:t>for iPhone 3G</w:t>
      </w:r>
      <w:r>
        <w:rPr>
          <w:snapToGrid w:val="0"/>
        </w:rPr>
        <w:t xml:space="preserve"> with </w:t>
      </w:r>
      <w:r>
        <w:rPr>
          <w:i/>
          <w:snapToGrid w:val="0"/>
        </w:rPr>
        <w:t xml:space="preserve">our </w:t>
      </w:r>
      <w:r>
        <w:rPr>
          <w:snapToGrid w:val="0"/>
        </w:rPr>
        <w:t>approval.</w:t>
      </w:r>
    </w:p>
    <w:p w14:paraId="5EDAA4A0" w14:textId="77777777" w:rsidR="000D07EA" w:rsidRDefault="00BE7C89">
      <w:pPr>
        <w:pStyle w:val="Heading6"/>
        <w:ind w:left="0" w:firstLine="0"/>
      </w:pPr>
      <w:bookmarkStart w:id="187" w:name="_Toc205690204"/>
      <w:bookmarkStart w:id="188" w:name="_Toc219870420"/>
      <w:bookmarkStart w:id="189" w:name="_Toc397941024"/>
      <w:r>
        <w:t xml:space="preserve">Is it a </w:t>
      </w:r>
      <w:r>
        <w:rPr>
          <w:i/>
        </w:rPr>
        <w:t>fixed length agreement</w:t>
      </w:r>
      <w:r>
        <w:t>?</w:t>
      </w:r>
      <w:bookmarkEnd w:id="187"/>
      <w:bookmarkEnd w:id="188"/>
      <w:bookmarkEnd w:id="189"/>
    </w:p>
    <w:p w14:paraId="04EA7169" w14:textId="77777777" w:rsidR="000D07EA" w:rsidRDefault="00BE7C89">
      <w:pPr>
        <w:pStyle w:val="Heading7"/>
      </w:pPr>
      <w:r>
        <w:t>To connect to the Business Cap Plan for iPhone 3G</w:t>
      </w:r>
      <w:r>
        <w:rPr>
          <w:i/>
        </w:rPr>
        <w:t xml:space="preserve"> pricing plans</w:t>
      </w:r>
      <w:r>
        <w:rPr>
          <w:b/>
        </w:rPr>
        <w:t xml:space="preserve"> </w:t>
      </w:r>
      <w:r>
        <w:rPr>
          <w:i/>
        </w:rPr>
        <w:t>you</w:t>
      </w:r>
      <w:r>
        <w:t xml:space="preserve"> must agree to enter into a </w:t>
      </w:r>
      <w:r>
        <w:rPr>
          <w:i/>
        </w:rPr>
        <w:t xml:space="preserve">fixed length agreement </w:t>
      </w:r>
      <w:r>
        <w:t xml:space="preserve">for a </w:t>
      </w:r>
      <w:r>
        <w:rPr>
          <w:i/>
        </w:rPr>
        <w:t>minimum term</w:t>
      </w:r>
      <w:r>
        <w:t xml:space="preserve"> as specified below, up to 5 years, or such other term as </w:t>
      </w:r>
      <w:r>
        <w:rPr>
          <w:i/>
        </w:rPr>
        <w:t>you</w:t>
      </w:r>
      <w:r>
        <w:t xml:space="preserve"> and </w:t>
      </w:r>
      <w:r>
        <w:rPr>
          <w:i/>
        </w:rPr>
        <w:t>we</w:t>
      </w:r>
      <w:r>
        <w:t xml:space="preserve"> agree (</w:t>
      </w:r>
      <w:r>
        <w:rPr>
          <w:i/>
        </w:rPr>
        <w:t>minimum term</w:t>
      </w:r>
      <w:r>
        <w:t>).</w:t>
      </w:r>
    </w:p>
    <w:p w14:paraId="310D701C" w14:textId="77777777" w:rsidR="000D07EA" w:rsidRDefault="00BE7C89">
      <w:pPr>
        <w:pStyle w:val="Heading6"/>
        <w:ind w:left="0" w:firstLine="0"/>
      </w:pPr>
      <w:bookmarkStart w:id="190" w:name="_Toc205690205"/>
      <w:bookmarkStart w:id="191" w:name="_Toc219870421"/>
      <w:bookmarkStart w:id="192" w:name="_Toc397941025"/>
      <w:r>
        <w:t xml:space="preserve">What </w:t>
      </w:r>
      <w:r>
        <w:rPr>
          <w:i/>
        </w:rPr>
        <w:t>you</w:t>
      </w:r>
      <w:r>
        <w:t xml:space="preserve"> have to pay </w:t>
      </w:r>
      <w:r>
        <w:rPr>
          <w:i/>
        </w:rPr>
        <w:t>us</w:t>
      </w:r>
      <w:bookmarkEnd w:id="190"/>
      <w:bookmarkEnd w:id="191"/>
      <w:bookmarkEnd w:id="192"/>
    </w:p>
    <w:p w14:paraId="6B92A707" w14:textId="77777777" w:rsidR="000D07EA" w:rsidRDefault="00BE7C89">
      <w:pPr>
        <w:pStyle w:val="Heading7"/>
      </w:pPr>
      <w:r>
        <w:t xml:space="preserve">If </w:t>
      </w:r>
      <w:r>
        <w:rPr>
          <w:i/>
        </w:rPr>
        <w:t xml:space="preserve">you </w:t>
      </w:r>
      <w:r>
        <w:t xml:space="preserve">connect to these </w:t>
      </w:r>
      <w:r>
        <w:rPr>
          <w:i/>
        </w:rPr>
        <w:t>pricing plans</w:t>
      </w:r>
      <w:r>
        <w:t xml:space="preserve"> </w:t>
      </w:r>
      <w:r>
        <w:rPr>
          <w:i/>
        </w:rPr>
        <w:t>you</w:t>
      </w:r>
      <w:r>
        <w:t xml:space="preserve"> are also required to incur usage charges each month (</w:t>
      </w:r>
      <w:r>
        <w:rPr>
          <w:i/>
        </w:rPr>
        <w:t xml:space="preserve">Optus SIM cards </w:t>
      </w:r>
      <w:r>
        <w:t>which do not incur usage are not permitted).</w:t>
      </w:r>
    </w:p>
    <w:p w14:paraId="741EB4F8" w14:textId="77777777" w:rsidR="000D07EA" w:rsidRDefault="00BE7C89">
      <w:pPr>
        <w:pStyle w:val="Heading7"/>
      </w:pPr>
      <w:r>
        <w:t xml:space="preserve">If activation or usage does not occur, </w:t>
      </w:r>
      <w:r>
        <w:rPr>
          <w:i/>
        </w:rPr>
        <w:t xml:space="preserve">we </w:t>
      </w:r>
      <w:r>
        <w:t xml:space="preserve">may </w:t>
      </w:r>
      <w:r>
        <w:rPr>
          <w:i/>
        </w:rPr>
        <w:t xml:space="preserve">cancel </w:t>
      </w:r>
      <w:r>
        <w:t xml:space="preserve">the </w:t>
      </w:r>
      <w:r>
        <w:rPr>
          <w:i/>
        </w:rPr>
        <w:t xml:space="preserve">agreement </w:t>
      </w:r>
      <w:r>
        <w:t xml:space="preserve">and </w:t>
      </w:r>
      <w:r>
        <w:rPr>
          <w:i/>
        </w:rPr>
        <w:t xml:space="preserve">you </w:t>
      </w:r>
      <w:r>
        <w:t xml:space="preserve">will be required to pay </w:t>
      </w:r>
      <w:r>
        <w:rPr>
          <w:i/>
        </w:rPr>
        <w:t>us</w:t>
      </w:r>
      <w:r>
        <w:t xml:space="preserve"> the relevant </w:t>
      </w:r>
      <w:r>
        <w:rPr>
          <w:i/>
        </w:rPr>
        <w:t>cancellation</w:t>
      </w:r>
      <w:r>
        <w:t xml:space="preserve"> </w:t>
      </w:r>
      <w:r>
        <w:rPr>
          <w:i/>
        </w:rPr>
        <w:t>fee</w:t>
      </w:r>
      <w:r>
        <w:t xml:space="preserve">, if applicable, specified in the table in </w:t>
      </w:r>
      <w:r w:rsidRPr="00272628">
        <w:t xml:space="preserve">paragraph </w:t>
      </w:r>
      <w:r w:rsidR="00EE7426" w:rsidRPr="00272628">
        <w:t>76</w:t>
      </w:r>
      <w:r w:rsidRPr="00272628">
        <w:t xml:space="preserve">.5 </w:t>
      </w:r>
      <w:r>
        <w:t>below.</w:t>
      </w:r>
    </w:p>
    <w:p w14:paraId="591190FE" w14:textId="77777777" w:rsidR="000D07EA" w:rsidRDefault="00BE7C89">
      <w:pPr>
        <w:pStyle w:val="Heading6"/>
        <w:ind w:left="0" w:firstLine="0"/>
      </w:pPr>
      <w:bookmarkStart w:id="193" w:name="_Toc205690206"/>
      <w:bookmarkStart w:id="194" w:name="_Toc219870422"/>
      <w:bookmarkStart w:id="195" w:name="_Toc397941026"/>
      <w:r>
        <w:t>Pricing</w:t>
      </w:r>
      <w:bookmarkEnd w:id="193"/>
      <w:bookmarkEnd w:id="194"/>
      <w:bookmarkEnd w:id="195"/>
    </w:p>
    <w:p w14:paraId="11F446B4" w14:textId="77777777" w:rsidR="000D07EA" w:rsidRDefault="00BE7C89">
      <w:pPr>
        <w:pStyle w:val="Heading7"/>
        <w:rPr>
          <w:b/>
        </w:rPr>
      </w:pPr>
      <w:r>
        <w:t xml:space="preserve">The Business Cap Plan for iPhone 3G </w:t>
      </w:r>
      <w:r>
        <w:rPr>
          <w:i/>
        </w:rPr>
        <w:t xml:space="preserve">pricing plans </w:t>
      </w:r>
      <w:r>
        <w:t xml:space="preserve">include </w:t>
      </w:r>
      <w:r>
        <w:rPr>
          <w:i/>
        </w:rPr>
        <w:t xml:space="preserve">flagfall </w:t>
      </w:r>
      <w:r>
        <w:t xml:space="preserve">per call as specified in the table below, for </w:t>
      </w:r>
      <w:r>
        <w:rPr>
          <w:i/>
        </w:rPr>
        <w:t>local calls</w:t>
      </w:r>
      <w:r>
        <w:t xml:space="preserve"> and </w:t>
      </w:r>
      <w:r>
        <w:rPr>
          <w:i/>
        </w:rPr>
        <w:t>national long distance</w:t>
      </w:r>
      <w:r>
        <w:t xml:space="preserve"> </w:t>
      </w:r>
      <w:r>
        <w:rPr>
          <w:i/>
        </w:rPr>
        <w:t>calls</w:t>
      </w:r>
      <w:r>
        <w:t xml:space="preserve"> and calls to </w:t>
      </w:r>
      <w:r>
        <w:rPr>
          <w:i/>
        </w:rPr>
        <w:t>mobile phones</w:t>
      </w:r>
      <w:r>
        <w:t xml:space="preserve">. So the charge for these calls is the </w:t>
      </w:r>
      <w:r>
        <w:rPr>
          <w:i/>
        </w:rPr>
        <w:t xml:space="preserve">flagfall </w:t>
      </w:r>
      <w:r>
        <w:t xml:space="preserve">plus the relevant rate multiplied by the duration of the call. The </w:t>
      </w:r>
      <w:r>
        <w:rPr>
          <w:i/>
        </w:rPr>
        <w:t xml:space="preserve">flagfall </w:t>
      </w:r>
      <w:r>
        <w:t>is not applicable to calls made under the "SmartFleet" or "Business Time" call rates.</w:t>
      </w:r>
    </w:p>
    <w:p w14:paraId="6349267A" w14:textId="77777777" w:rsidR="000D07EA" w:rsidRDefault="00BE7C89">
      <w:pPr>
        <w:pStyle w:val="Heading7"/>
      </w:pPr>
      <w:r>
        <w:t>Business Cap Plan for</w:t>
      </w:r>
      <w:r>
        <w:rPr>
          <w:b/>
        </w:rPr>
        <w:t xml:space="preserve"> </w:t>
      </w:r>
      <w:r>
        <w:t xml:space="preserve">iPhone 3G (BCI) </w:t>
      </w:r>
      <w:r>
        <w:rPr>
          <w:i/>
        </w:rPr>
        <w:t>pricing plans</w:t>
      </w:r>
      <w:r>
        <w:rPr>
          <w:b/>
        </w:rPr>
        <w:t xml:space="preserve"> </w:t>
      </w:r>
      <w:r>
        <w:t>include:</w:t>
      </w:r>
    </w:p>
    <w:p w14:paraId="08561447" w14:textId="77777777" w:rsidR="000D07EA" w:rsidRDefault="00BE7C89">
      <w:pPr>
        <w:pStyle w:val="Heading8"/>
      </w:pPr>
      <w:r>
        <w:t>Unlimited Voicemail - voicemail deposits and retrievals at no charge. Diversion charges still apply. Fair Go Policy (</w:t>
      </w:r>
      <w:hyperlink r:id="rId87" w:history="1">
        <w:r>
          <w:rPr>
            <w:rStyle w:val="Hyperlink"/>
            <w:i/>
          </w:rPr>
          <w:t>Appendix S</w:t>
        </w:r>
      </w:hyperlink>
      <w:r>
        <w:t>) applies.</w:t>
      </w:r>
    </w:p>
    <w:p w14:paraId="6954A83B" w14:textId="77777777" w:rsidR="000D07EA" w:rsidRDefault="00BE7C89">
      <w:pPr>
        <w:pStyle w:val="Heading8"/>
      </w:pPr>
      <w:r>
        <w:t>A choice between 2 offers called "SmartFleet" or "BusinessTime". Customers must choose an offer or no offer will be added:</w:t>
      </w:r>
    </w:p>
    <w:p w14:paraId="6FC6C15D" w14:textId="77777777" w:rsidR="000D07EA" w:rsidRDefault="00BE7C89">
      <w:pPr>
        <w:pStyle w:val="Heading9"/>
      </w:pPr>
      <w:r>
        <w:lastRenderedPageBreak/>
        <w:t>The "SmartFleet" call rate applies to calls to another GSM Mobile service on the same customer account number. Calls are charged at $0. No flagfall applies. Excludes calls to Optus Pre-Paid, Satellite and service provider customers. Applies to calls made and received in Australia</w:t>
      </w:r>
      <w:r w:rsidR="002B7E56">
        <w:t>.</w:t>
      </w:r>
      <w:r>
        <w:t xml:space="preserve"> Fair Go Policy (</w:t>
      </w:r>
      <w:hyperlink r:id="rId88" w:history="1">
        <w:r>
          <w:rPr>
            <w:rStyle w:val="Hyperlink"/>
            <w:i/>
          </w:rPr>
          <w:t>Appendix S</w:t>
        </w:r>
      </w:hyperlink>
      <w:r>
        <w:t>) applies. Note: Standard call exclusions (see section 1 of this standard pricing table) apply to the "SmartFleet" call rates.</w:t>
      </w:r>
    </w:p>
    <w:p w14:paraId="36F4F623" w14:textId="77777777" w:rsidR="000D07EA" w:rsidRDefault="00BE7C89">
      <w:pPr>
        <w:pStyle w:val="Heading9"/>
        <w:rPr>
          <w:snapToGrid w:val="0"/>
        </w:rPr>
      </w:pPr>
      <w:r>
        <w:t xml:space="preserve">Upon request, customers may set up a BusinessTime (BT) offer. Only three BT numbers per BCI mobile service are permitted. If you combine your BCI service with a currently available Optus Business Phone and / or DSL </w:t>
      </w:r>
      <w:r>
        <w:rPr>
          <w:i/>
        </w:rPr>
        <w:t>you</w:t>
      </w:r>
      <w:r>
        <w:t xml:space="preserve"> can nominate 5 numbers. The numbers can be eligible Optus GSM mobile(s) and / or standard fixed line(s), as defined by Optus and cannot be a 13, 1300, 1800 or 1900 number. Calls must be made and received in Australia. </w:t>
      </w:r>
      <w:r>
        <w:rPr>
          <w:snapToGrid w:val="0"/>
        </w:rPr>
        <w:t xml:space="preserve">For the first 5 minutes of a BT call, eligible Optus </w:t>
      </w:r>
      <w:r>
        <w:rPr>
          <w:i/>
          <w:snapToGrid w:val="0"/>
        </w:rPr>
        <w:t>mobile phones</w:t>
      </w:r>
      <w:r>
        <w:rPr>
          <w:snapToGrid w:val="0"/>
        </w:rPr>
        <w:t xml:space="preserve"> on </w:t>
      </w:r>
      <w:r>
        <w:rPr>
          <w:i/>
          <w:snapToGrid w:val="0"/>
        </w:rPr>
        <w:t>your</w:t>
      </w:r>
      <w:r>
        <w:rPr>
          <w:snapToGrid w:val="0"/>
        </w:rPr>
        <w:t xml:space="preserve"> account are charged $0. </w:t>
      </w:r>
      <w:r>
        <w:t xml:space="preserve">After the first 5 minutes the standard call rate that corresponds with your selected BCI rate plan will apply. Please allow up to 48 hours for the activation of </w:t>
      </w:r>
      <w:r>
        <w:rPr>
          <w:i/>
        </w:rPr>
        <w:t>your</w:t>
      </w:r>
      <w:r>
        <w:t xml:space="preserve"> BT service. Fair Go Policy (</w:t>
      </w:r>
      <w:hyperlink r:id="rId89" w:history="1">
        <w:r>
          <w:rPr>
            <w:rStyle w:val="Hyperlink"/>
            <w:i/>
          </w:rPr>
          <w:t>Appendix S</w:t>
        </w:r>
      </w:hyperlink>
      <w:r>
        <w:t>) applies.</w:t>
      </w:r>
    </w:p>
    <w:p w14:paraId="6E935F2C" w14:textId="77777777" w:rsidR="000D07EA" w:rsidRDefault="00BE7C89">
      <w:pPr>
        <w:pStyle w:val="Heading7"/>
      </w:pPr>
      <w:r>
        <w:t>Additional benefit – Free Access to Optus WiFi Hotspots (Free Wi-Fi Benefit).</w:t>
      </w:r>
    </w:p>
    <w:p w14:paraId="26B71F9C" w14:textId="77777777" w:rsidR="000D07EA" w:rsidRDefault="00BE7C89">
      <w:pPr>
        <w:pStyle w:val="Heading8"/>
      </w:pPr>
      <w:r>
        <w:t>Customers who connect their Apple iPhone to an Optus iPhone rate plan will receive free WiFi from any Optus WiFi hotspot.</w:t>
      </w:r>
    </w:p>
    <w:p w14:paraId="5A446AA1" w14:textId="77777777" w:rsidR="000D07EA" w:rsidRDefault="00BE7C89">
      <w:pPr>
        <w:pStyle w:val="Heading8"/>
      </w:pPr>
      <w:r>
        <w:t xml:space="preserve">The service provides </w:t>
      </w:r>
      <w:r>
        <w:rPr>
          <w:i/>
        </w:rPr>
        <w:t>you</w:t>
      </w:r>
      <w:r>
        <w:t xml:space="preserve"> with access, via a fixed wireless IP network extension to the Optus IP Network, to the Internet and related services, such as email and the world wide web on an on-demand basis.</w:t>
      </w:r>
    </w:p>
    <w:p w14:paraId="0DBB7CDB" w14:textId="77777777" w:rsidR="000D07EA" w:rsidRDefault="00BE7C89">
      <w:pPr>
        <w:pStyle w:val="Heading8"/>
      </w:pPr>
      <w:r>
        <w:t xml:space="preserve">Optus may immediately suspend, downgrade or cancel the Free Wi-Fi Benefit in a variety of circumstances, including but not limited to the following: </w:t>
      </w:r>
      <w:r>
        <w:rPr>
          <w:i/>
        </w:rPr>
        <w:t>you</w:t>
      </w:r>
      <w:r>
        <w:t xml:space="preserve"> misuse the Service; non- compliant Equipment is used; there is an unusually high use of the Service; </w:t>
      </w:r>
      <w:r>
        <w:rPr>
          <w:i/>
        </w:rPr>
        <w:t>you</w:t>
      </w:r>
      <w:r>
        <w:t xml:space="preserve"> fail to pay any charges to Optus; </w:t>
      </w:r>
      <w:r>
        <w:rPr>
          <w:i/>
        </w:rPr>
        <w:t>you</w:t>
      </w:r>
      <w:r>
        <w:t xml:space="preserve"> become insolvent; or, if, for technical or commercial reasons, Optus' Wi-Fi network is no longer operational or available.</w:t>
      </w:r>
    </w:p>
    <w:p w14:paraId="6CB19348" w14:textId="77777777" w:rsidR="000D07EA" w:rsidRDefault="00BE7C89">
      <w:pPr>
        <w:pStyle w:val="Heading8"/>
      </w:pPr>
      <w:r>
        <w:t>Not all content located on Optus iZoo will be available when using the Apple iPhone over the Optus WiFi connection. Availability and performance of Optus hot-spots can vary.</w:t>
      </w:r>
    </w:p>
    <w:p w14:paraId="736C140F" w14:textId="77777777" w:rsidR="000D07EA" w:rsidRDefault="00BE7C89">
      <w:pPr>
        <w:pStyle w:val="Heading7"/>
        <w:rPr>
          <w:snapToGrid w:val="0"/>
        </w:rPr>
      </w:pPr>
      <w:r>
        <w:rPr>
          <w:b/>
        </w:rPr>
        <w:t>International Calls:</w:t>
      </w:r>
      <w:r>
        <w:t xml:space="preserve"> For the period prior to 6 June 2010, international calls from </w:t>
      </w:r>
      <w:r>
        <w:rPr>
          <w:i/>
        </w:rPr>
        <w:t>your</w:t>
      </w:r>
      <w:r>
        <w:t xml:space="preserve"> BCI mobile will be charged at the 'yes' International Rate and will be charged at per 30 second rates. Flagfall of 27c applies per call.</w:t>
      </w:r>
    </w:p>
    <w:p w14:paraId="144A7AAA" w14:textId="77777777" w:rsidR="000D07EA" w:rsidRDefault="00BE7C89">
      <w:pPr>
        <w:pStyle w:val="BodyText"/>
        <w:ind w:left="1440"/>
        <w:rPr>
          <w:snapToGrid w:val="0"/>
        </w:rPr>
      </w:pPr>
      <w:r>
        <w:rPr>
          <w:snapToGrid w:val="0"/>
        </w:rPr>
        <w:t xml:space="preserve">From 6 June 2010 (inclusive), </w:t>
      </w:r>
      <w:r>
        <w:t xml:space="preserve">international calls from </w:t>
      </w:r>
      <w:r>
        <w:rPr>
          <w:i/>
        </w:rPr>
        <w:t>your</w:t>
      </w:r>
      <w:r>
        <w:t xml:space="preserve"> BCI mobile will be charged at the </w:t>
      </w:r>
      <w:r>
        <w:rPr>
          <w:snapToGrid w:val="0"/>
        </w:rPr>
        <w:t xml:space="preserve">'yes' Business International rate and will be charged at per second rates. Flagfall of 35c applies per call. </w:t>
      </w:r>
      <w:r>
        <w:t xml:space="preserve">For more information on the 'yes' Business International call rates please refer to </w:t>
      </w:r>
      <w:hyperlink r:id="rId90" w:history="1">
        <w:r>
          <w:rPr>
            <w:rStyle w:val="Hyperlink"/>
            <w:i/>
          </w:rPr>
          <w:t>Appendix J</w:t>
        </w:r>
      </w:hyperlink>
      <w:r>
        <w:rPr>
          <w:i/>
        </w:rPr>
        <w:t>.</w:t>
      </w:r>
    </w:p>
    <w:p w14:paraId="08507EF0" w14:textId="77777777" w:rsidR="000D07EA" w:rsidRDefault="00BE7C89">
      <w:pPr>
        <w:pStyle w:val="Heading7"/>
        <w:rPr>
          <w:snapToGrid w:val="0"/>
        </w:rPr>
      </w:pPr>
      <w:r>
        <w:rPr>
          <w:b/>
        </w:rPr>
        <w:t xml:space="preserve">Bolt Ons: </w:t>
      </w:r>
      <w:r>
        <w:t xml:space="preserve">Upon request, </w:t>
      </w:r>
      <w:r>
        <w:rPr>
          <w:i/>
        </w:rPr>
        <w:t>you</w:t>
      </w:r>
      <w:r>
        <w:t xml:space="preserve"> may select Bolt Ons for an additional $5 per pack, per month per service.</w:t>
      </w:r>
    </w:p>
    <w:p w14:paraId="132272FD" w14:textId="77777777" w:rsidR="000D07EA" w:rsidRDefault="00BE7C89">
      <w:pPr>
        <w:pStyle w:val="Heading8"/>
        <w:rPr>
          <w:snapToGrid w:val="0"/>
        </w:rPr>
      </w:pPr>
      <w:r>
        <w:rPr>
          <w:b/>
        </w:rPr>
        <w:t>SurePage Bolt On:</w:t>
      </w:r>
      <w:r>
        <w:t xml:space="preserve"> Pay $5 extra per month to receive 20 SurePage messages. Each additional message costs 50c.</w:t>
      </w:r>
    </w:p>
    <w:p w14:paraId="2BA2176C" w14:textId="77777777" w:rsidR="000D07EA" w:rsidRDefault="00BE7C89">
      <w:pPr>
        <w:pStyle w:val="Heading8"/>
        <w:rPr>
          <w:snapToGrid w:val="0"/>
        </w:rPr>
      </w:pPr>
      <w:r>
        <w:rPr>
          <w:b/>
        </w:rPr>
        <w:t>International:</w:t>
      </w:r>
      <w:r>
        <w:t xml:space="preserve"> Pay $5 extra per month for $3 for 10 minute calls to the top 8 countries of NZ, USA, UK, Canada, Hong Kong, Singapore, Ireland and Italy. Flagfall of 27c applies per call for the period prior to 6 June 2010. Flagfall of 35c applies per call from 6 June 2010 (inclusive). Calls going over 10 minutes will be charged the $3.00 plus any subsequent 30 seconds:</w:t>
      </w:r>
    </w:p>
    <w:p w14:paraId="046956F7" w14:textId="77777777" w:rsidR="000D07EA" w:rsidRDefault="00BE7C89">
      <w:pPr>
        <w:pStyle w:val="Heading9"/>
        <w:rPr>
          <w:snapToGrid w:val="0"/>
        </w:rPr>
      </w:pPr>
      <w:r>
        <w:t>For the period prior to 6 June 2010, at the 'yes' international rates.</w:t>
      </w:r>
    </w:p>
    <w:p w14:paraId="5839F534" w14:textId="77777777" w:rsidR="000D07EA" w:rsidRDefault="00BE7C89">
      <w:pPr>
        <w:pStyle w:val="Heading9"/>
        <w:rPr>
          <w:snapToGrid w:val="0"/>
        </w:rPr>
      </w:pPr>
      <w:r>
        <w:rPr>
          <w:snapToGrid w:val="0"/>
        </w:rPr>
        <w:t xml:space="preserve">From 6 June 2010 (inclusive), at the 'yes' Business International rates. </w:t>
      </w:r>
      <w:r>
        <w:t xml:space="preserve">For more information on the 'yes' Business International call rates please refer to </w:t>
      </w:r>
      <w:hyperlink r:id="rId91" w:history="1">
        <w:r>
          <w:rPr>
            <w:rStyle w:val="Hyperlink"/>
            <w:i/>
          </w:rPr>
          <w:t>Appendix J</w:t>
        </w:r>
      </w:hyperlink>
      <w:r>
        <w:rPr>
          <w:i/>
        </w:rPr>
        <w:t>.</w:t>
      </w:r>
    </w:p>
    <w:p w14:paraId="4280C3ED" w14:textId="77777777" w:rsidR="000D07EA" w:rsidRDefault="00BE7C89">
      <w:pPr>
        <w:pStyle w:val="Heading7"/>
      </w:pPr>
      <w:r>
        <w:lastRenderedPageBreak/>
        <w:t>Table 1A below indicates whether a particular call type is an 'eligible call' which counts towards the Cap of your selected Plan.</w:t>
      </w:r>
    </w:p>
    <w:p w14:paraId="60E9347C" w14:textId="77777777" w:rsidR="000D07EA" w:rsidRDefault="00BE7C89">
      <w:pPr>
        <w:pStyle w:val="BodyText"/>
        <w:ind w:left="1440"/>
      </w:pPr>
      <w:r>
        <w:t>Table 2A below indicates whether a particular data type is 'eligible data usage' which counts towards the data value of your selected Plan.</w:t>
      </w:r>
    </w:p>
    <w:tbl>
      <w:tblPr>
        <w:tblW w:w="4318"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5068"/>
        <w:gridCol w:w="3730"/>
      </w:tblGrid>
      <w:tr w:rsidR="000D07EA" w14:paraId="3A1CE326" w14:textId="77777777">
        <w:trPr>
          <w:tblHeader/>
        </w:trPr>
        <w:tc>
          <w:tcPr>
            <w:tcW w:w="2880" w:type="pct"/>
          </w:tcPr>
          <w:p w14:paraId="6D8F6DA2" w14:textId="77777777" w:rsidR="000D07EA" w:rsidRDefault="00BE7C89">
            <w:pPr>
              <w:pStyle w:val="BodyText"/>
              <w:spacing w:before="100" w:after="100"/>
              <w:rPr>
                <w:b/>
              </w:rPr>
            </w:pPr>
            <w:r>
              <w:rPr>
                <w:b/>
              </w:rPr>
              <w:t>Call Type</w:t>
            </w:r>
          </w:p>
        </w:tc>
        <w:tc>
          <w:tcPr>
            <w:tcW w:w="2120" w:type="pct"/>
          </w:tcPr>
          <w:p w14:paraId="326DD1F8" w14:textId="77777777" w:rsidR="000D07EA" w:rsidRDefault="00BE7C89">
            <w:pPr>
              <w:pStyle w:val="BodyText"/>
              <w:spacing w:before="100" w:after="100"/>
              <w:rPr>
                <w:b/>
              </w:rPr>
            </w:pPr>
            <w:r>
              <w:rPr>
                <w:b/>
              </w:rPr>
              <w:t>Eligible Call</w:t>
            </w:r>
          </w:p>
        </w:tc>
      </w:tr>
      <w:tr w:rsidR="000D07EA" w14:paraId="7F1C02F5" w14:textId="77777777">
        <w:tc>
          <w:tcPr>
            <w:tcW w:w="2880" w:type="pct"/>
          </w:tcPr>
          <w:p w14:paraId="0142EA4C" w14:textId="77777777" w:rsidR="000D07EA" w:rsidRDefault="00BE7C89">
            <w:pPr>
              <w:pStyle w:val="BodyText"/>
              <w:spacing w:before="100" w:after="100"/>
            </w:pPr>
            <w:r>
              <w:t>National Voice and Video Calls</w:t>
            </w:r>
          </w:p>
        </w:tc>
        <w:tc>
          <w:tcPr>
            <w:tcW w:w="2120" w:type="pct"/>
          </w:tcPr>
          <w:p w14:paraId="7F230FA4" w14:textId="77777777" w:rsidR="000D07EA" w:rsidRDefault="00BE7C89">
            <w:pPr>
              <w:pStyle w:val="BodyText"/>
              <w:spacing w:before="100" w:after="100"/>
            </w:pPr>
            <w:r>
              <w:t>Yes</w:t>
            </w:r>
          </w:p>
        </w:tc>
      </w:tr>
      <w:tr w:rsidR="000D07EA" w14:paraId="4216F126" w14:textId="77777777">
        <w:tc>
          <w:tcPr>
            <w:tcW w:w="2880" w:type="pct"/>
          </w:tcPr>
          <w:p w14:paraId="70AA6A76" w14:textId="77777777" w:rsidR="000D07EA" w:rsidRDefault="00BE7C89">
            <w:pPr>
              <w:pStyle w:val="BodyText"/>
              <w:spacing w:before="100" w:after="100"/>
            </w:pPr>
            <w:r>
              <w:t>International Voice and Video Calls</w:t>
            </w:r>
          </w:p>
          <w:p w14:paraId="54C31BA4" w14:textId="77777777" w:rsidR="000D07EA" w:rsidRDefault="00BE7C89">
            <w:pPr>
              <w:pStyle w:val="BodyText"/>
              <w:spacing w:before="100" w:after="100"/>
            </w:pPr>
            <w:r>
              <w:t>(including calls to national fixed or GSM mobile services that then divert/switch or re-route overseas)</w:t>
            </w:r>
          </w:p>
        </w:tc>
        <w:tc>
          <w:tcPr>
            <w:tcW w:w="2120" w:type="pct"/>
          </w:tcPr>
          <w:p w14:paraId="5C083646" w14:textId="77777777" w:rsidR="000D07EA" w:rsidRDefault="00BE7C89">
            <w:pPr>
              <w:pStyle w:val="BodyText"/>
              <w:spacing w:before="100" w:after="100"/>
            </w:pPr>
            <w:r>
              <w:t>No</w:t>
            </w:r>
          </w:p>
        </w:tc>
      </w:tr>
      <w:tr w:rsidR="000D07EA" w14:paraId="3EB7B2CC" w14:textId="77777777">
        <w:tc>
          <w:tcPr>
            <w:tcW w:w="2880" w:type="pct"/>
          </w:tcPr>
          <w:p w14:paraId="052E10DB" w14:textId="77777777" w:rsidR="000D07EA" w:rsidRDefault="00BE7C89">
            <w:pPr>
              <w:pStyle w:val="BodyText"/>
              <w:spacing w:before="100" w:after="100"/>
            </w:pPr>
            <w:r>
              <w:t>Premium Video</w:t>
            </w:r>
          </w:p>
        </w:tc>
        <w:tc>
          <w:tcPr>
            <w:tcW w:w="2120" w:type="pct"/>
          </w:tcPr>
          <w:p w14:paraId="53495110" w14:textId="77777777" w:rsidR="000D07EA" w:rsidRDefault="00BE7C89">
            <w:pPr>
              <w:pStyle w:val="BodyText"/>
              <w:spacing w:before="100" w:after="100"/>
            </w:pPr>
            <w:r>
              <w:t>No</w:t>
            </w:r>
          </w:p>
        </w:tc>
      </w:tr>
      <w:tr w:rsidR="000D07EA" w14:paraId="3EBCC37D" w14:textId="77777777">
        <w:tc>
          <w:tcPr>
            <w:tcW w:w="2880" w:type="pct"/>
          </w:tcPr>
          <w:p w14:paraId="285309BD" w14:textId="77777777" w:rsidR="000D07EA" w:rsidRDefault="00BE7C89">
            <w:pPr>
              <w:pStyle w:val="BodyText"/>
              <w:spacing w:before="100" w:after="100"/>
            </w:pPr>
            <w:r>
              <w:t>Content Video</w:t>
            </w:r>
          </w:p>
        </w:tc>
        <w:tc>
          <w:tcPr>
            <w:tcW w:w="2120" w:type="pct"/>
          </w:tcPr>
          <w:p w14:paraId="14A95208" w14:textId="77777777" w:rsidR="000D07EA" w:rsidRDefault="00BE7C89">
            <w:pPr>
              <w:pStyle w:val="BodyText"/>
              <w:spacing w:before="100" w:after="100"/>
            </w:pPr>
            <w:r>
              <w:t>No</w:t>
            </w:r>
          </w:p>
        </w:tc>
      </w:tr>
      <w:tr w:rsidR="000D07EA" w14:paraId="3B732138" w14:textId="77777777">
        <w:tc>
          <w:tcPr>
            <w:tcW w:w="2880" w:type="pct"/>
          </w:tcPr>
          <w:p w14:paraId="6AA4704B" w14:textId="77777777" w:rsidR="000D07EA" w:rsidRDefault="00BE7C89">
            <w:pPr>
              <w:pStyle w:val="BodyText"/>
              <w:spacing w:before="100" w:after="100"/>
            </w:pPr>
            <w:r>
              <w:t>National Standard SMS</w:t>
            </w:r>
          </w:p>
        </w:tc>
        <w:tc>
          <w:tcPr>
            <w:tcW w:w="2120" w:type="pct"/>
          </w:tcPr>
          <w:p w14:paraId="4174DDF0" w14:textId="77777777" w:rsidR="000D07EA" w:rsidRDefault="00BE7C89">
            <w:pPr>
              <w:pStyle w:val="BodyText"/>
              <w:spacing w:before="100" w:after="100"/>
            </w:pPr>
            <w:r>
              <w:t>Yes</w:t>
            </w:r>
          </w:p>
        </w:tc>
      </w:tr>
      <w:tr w:rsidR="000D07EA" w14:paraId="70254933" w14:textId="77777777">
        <w:tc>
          <w:tcPr>
            <w:tcW w:w="2880" w:type="pct"/>
          </w:tcPr>
          <w:p w14:paraId="4ACE43CD" w14:textId="77777777" w:rsidR="000D07EA" w:rsidRDefault="00BE7C89">
            <w:pPr>
              <w:pStyle w:val="BodyText"/>
              <w:spacing w:before="100" w:after="100"/>
            </w:pPr>
            <w:r>
              <w:t>International SMS</w:t>
            </w:r>
          </w:p>
        </w:tc>
        <w:tc>
          <w:tcPr>
            <w:tcW w:w="2120" w:type="pct"/>
          </w:tcPr>
          <w:p w14:paraId="660BDCDF" w14:textId="77777777" w:rsidR="000D07EA" w:rsidRDefault="00BE7C89">
            <w:pPr>
              <w:pStyle w:val="BodyText"/>
              <w:spacing w:before="100" w:after="100"/>
            </w:pPr>
            <w:r>
              <w:t>Yes</w:t>
            </w:r>
          </w:p>
        </w:tc>
      </w:tr>
      <w:tr w:rsidR="000D07EA" w14:paraId="40A431A1" w14:textId="77777777">
        <w:tc>
          <w:tcPr>
            <w:tcW w:w="2880" w:type="pct"/>
          </w:tcPr>
          <w:p w14:paraId="617622D6" w14:textId="77777777" w:rsidR="000D07EA" w:rsidRDefault="00BE7C89">
            <w:pPr>
              <w:pStyle w:val="BodyText"/>
              <w:spacing w:before="100" w:after="100"/>
            </w:pPr>
            <w:r>
              <w:t>Premium SMS</w:t>
            </w:r>
          </w:p>
        </w:tc>
        <w:tc>
          <w:tcPr>
            <w:tcW w:w="2120" w:type="pct"/>
          </w:tcPr>
          <w:p w14:paraId="0C234895" w14:textId="77777777" w:rsidR="000D07EA" w:rsidRDefault="00BE7C89">
            <w:pPr>
              <w:pStyle w:val="BodyText"/>
              <w:spacing w:before="100" w:after="100"/>
            </w:pPr>
            <w:r>
              <w:t>No</w:t>
            </w:r>
          </w:p>
        </w:tc>
      </w:tr>
      <w:tr w:rsidR="000D07EA" w14:paraId="3860B71A" w14:textId="77777777">
        <w:tc>
          <w:tcPr>
            <w:tcW w:w="2880" w:type="pct"/>
          </w:tcPr>
          <w:p w14:paraId="7610BB7C" w14:textId="77777777" w:rsidR="000D07EA" w:rsidRDefault="00BE7C89">
            <w:pPr>
              <w:pStyle w:val="BodyText"/>
              <w:spacing w:before="100" w:after="100"/>
            </w:pPr>
            <w:r>
              <w:t>National Standard MMS</w:t>
            </w:r>
          </w:p>
        </w:tc>
        <w:tc>
          <w:tcPr>
            <w:tcW w:w="2120" w:type="pct"/>
          </w:tcPr>
          <w:p w14:paraId="7AF5879E" w14:textId="77777777" w:rsidR="000D07EA" w:rsidRDefault="00BE7C89">
            <w:pPr>
              <w:pStyle w:val="BodyText"/>
              <w:spacing w:before="100" w:after="100"/>
            </w:pPr>
            <w:r>
              <w:t>No</w:t>
            </w:r>
          </w:p>
        </w:tc>
      </w:tr>
      <w:tr w:rsidR="000D07EA" w14:paraId="0B874C99" w14:textId="77777777">
        <w:tc>
          <w:tcPr>
            <w:tcW w:w="2880" w:type="pct"/>
          </w:tcPr>
          <w:p w14:paraId="715D4047" w14:textId="77777777" w:rsidR="000D07EA" w:rsidRDefault="00BE7C89">
            <w:pPr>
              <w:pStyle w:val="BodyText"/>
              <w:spacing w:before="100" w:after="100"/>
            </w:pPr>
            <w:r>
              <w:t>International MMS</w:t>
            </w:r>
          </w:p>
        </w:tc>
        <w:tc>
          <w:tcPr>
            <w:tcW w:w="2120" w:type="pct"/>
          </w:tcPr>
          <w:p w14:paraId="2177C9D9" w14:textId="77777777" w:rsidR="000D07EA" w:rsidRDefault="00BE7C89">
            <w:pPr>
              <w:pStyle w:val="BodyText"/>
              <w:spacing w:before="100" w:after="100"/>
            </w:pPr>
            <w:r>
              <w:t>No</w:t>
            </w:r>
          </w:p>
        </w:tc>
      </w:tr>
      <w:tr w:rsidR="000D07EA" w14:paraId="14A40F83" w14:textId="77777777">
        <w:tc>
          <w:tcPr>
            <w:tcW w:w="2880" w:type="pct"/>
          </w:tcPr>
          <w:p w14:paraId="609236FD" w14:textId="77777777" w:rsidR="000D07EA" w:rsidRDefault="00BE7C89">
            <w:pPr>
              <w:pStyle w:val="BodyText"/>
              <w:spacing w:before="100" w:after="100"/>
            </w:pPr>
            <w:r>
              <w:t>Premium MMS</w:t>
            </w:r>
          </w:p>
        </w:tc>
        <w:tc>
          <w:tcPr>
            <w:tcW w:w="2120" w:type="pct"/>
          </w:tcPr>
          <w:p w14:paraId="64546498" w14:textId="77777777" w:rsidR="000D07EA" w:rsidRDefault="00BE7C89">
            <w:pPr>
              <w:pStyle w:val="BodyText"/>
              <w:spacing w:before="100" w:after="100"/>
            </w:pPr>
            <w:r>
              <w:t>No</w:t>
            </w:r>
          </w:p>
        </w:tc>
      </w:tr>
      <w:tr w:rsidR="000D07EA" w14:paraId="106C549F" w14:textId="77777777">
        <w:tc>
          <w:tcPr>
            <w:tcW w:w="2880" w:type="pct"/>
          </w:tcPr>
          <w:p w14:paraId="74F3C477" w14:textId="77777777" w:rsidR="000D07EA" w:rsidRDefault="00BE7C89">
            <w:pPr>
              <w:pStyle w:val="BodyText"/>
              <w:spacing w:before="100" w:after="100"/>
            </w:pPr>
            <w:r>
              <w:t>National Diversions</w:t>
            </w:r>
          </w:p>
        </w:tc>
        <w:tc>
          <w:tcPr>
            <w:tcW w:w="2120" w:type="pct"/>
          </w:tcPr>
          <w:p w14:paraId="46C50C0E" w14:textId="77777777" w:rsidR="000D07EA" w:rsidRDefault="00BE7C89">
            <w:pPr>
              <w:pStyle w:val="BodyText"/>
              <w:spacing w:before="100" w:after="100"/>
            </w:pPr>
            <w:r>
              <w:t>Yes</w:t>
            </w:r>
          </w:p>
        </w:tc>
      </w:tr>
      <w:tr w:rsidR="000D07EA" w14:paraId="69F2BDA3" w14:textId="77777777">
        <w:tc>
          <w:tcPr>
            <w:tcW w:w="2880" w:type="pct"/>
          </w:tcPr>
          <w:p w14:paraId="26F721F1" w14:textId="77777777" w:rsidR="000D07EA" w:rsidRDefault="00BE7C89">
            <w:pPr>
              <w:pStyle w:val="BodyText"/>
              <w:spacing w:before="100" w:after="100"/>
            </w:pPr>
            <w:r>
              <w:t>Voicemail Deposit and Retrievals</w:t>
            </w:r>
          </w:p>
        </w:tc>
        <w:tc>
          <w:tcPr>
            <w:tcW w:w="2120" w:type="pct"/>
          </w:tcPr>
          <w:p w14:paraId="71DDEDA5" w14:textId="77777777" w:rsidR="000D07EA" w:rsidRDefault="00BE7C89">
            <w:pPr>
              <w:pStyle w:val="BodyText"/>
              <w:spacing w:before="100" w:after="100"/>
            </w:pPr>
            <w:r>
              <w:t>Yes</w:t>
            </w:r>
          </w:p>
        </w:tc>
      </w:tr>
      <w:tr w:rsidR="000D07EA" w14:paraId="2DD15921" w14:textId="77777777">
        <w:tc>
          <w:tcPr>
            <w:tcW w:w="2880" w:type="pct"/>
          </w:tcPr>
          <w:p w14:paraId="2062093B" w14:textId="77777777" w:rsidR="000D07EA" w:rsidRDefault="00BE7C89">
            <w:pPr>
              <w:pStyle w:val="BodyText"/>
              <w:spacing w:before="100" w:after="100"/>
            </w:pPr>
            <w:r>
              <w:t>International Roaming and Diversions</w:t>
            </w:r>
          </w:p>
        </w:tc>
        <w:tc>
          <w:tcPr>
            <w:tcW w:w="2120" w:type="pct"/>
          </w:tcPr>
          <w:p w14:paraId="6C08EF4D" w14:textId="77777777" w:rsidR="000D07EA" w:rsidRDefault="00BE7C89">
            <w:pPr>
              <w:pStyle w:val="BodyText"/>
              <w:spacing w:before="100" w:after="100"/>
            </w:pPr>
            <w:r>
              <w:t>No</w:t>
            </w:r>
          </w:p>
        </w:tc>
      </w:tr>
      <w:tr w:rsidR="000D07EA" w14:paraId="7053B46B" w14:textId="77777777">
        <w:tc>
          <w:tcPr>
            <w:tcW w:w="2880" w:type="pct"/>
          </w:tcPr>
          <w:p w14:paraId="53552014" w14:textId="77777777" w:rsidR="000D07EA" w:rsidRDefault="00BE7C89">
            <w:pPr>
              <w:pStyle w:val="BodyText"/>
              <w:spacing w:before="100" w:after="100"/>
            </w:pPr>
            <w:r>
              <w:t>Video Conferencing</w:t>
            </w:r>
          </w:p>
        </w:tc>
        <w:tc>
          <w:tcPr>
            <w:tcW w:w="2120" w:type="pct"/>
          </w:tcPr>
          <w:p w14:paraId="03BC77FC" w14:textId="77777777" w:rsidR="000D07EA" w:rsidRDefault="00BE7C89">
            <w:pPr>
              <w:pStyle w:val="BodyText"/>
              <w:spacing w:before="100" w:after="100"/>
            </w:pPr>
            <w:r>
              <w:t>No</w:t>
            </w:r>
          </w:p>
        </w:tc>
      </w:tr>
      <w:tr w:rsidR="000D07EA" w14:paraId="57662BF2" w14:textId="77777777">
        <w:tc>
          <w:tcPr>
            <w:tcW w:w="2880" w:type="pct"/>
          </w:tcPr>
          <w:p w14:paraId="563D5DB6" w14:textId="77777777" w:rsidR="000D07EA" w:rsidRDefault="00BE7C89">
            <w:pPr>
              <w:pStyle w:val="BodyText"/>
              <w:spacing w:before="100" w:after="100"/>
            </w:pPr>
            <w:r>
              <w:t>BlackBerry Email</w:t>
            </w:r>
          </w:p>
        </w:tc>
        <w:tc>
          <w:tcPr>
            <w:tcW w:w="2120" w:type="pct"/>
          </w:tcPr>
          <w:p w14:paraId="0B40FE3D" w14:textId="77777777" w:rsidR="000D07EA" w:rsidRDefault="00BE7C89">
            <w:pPr>
              <w:pStyle w:val="BodyText"/>
              <w:spacing w:before="100" w:after="100"/>
            </w:pPr>
            <w:r>
              <w:t>No</w:t>
            </w:r>
          </w:p>
        </w:tc>
      </w:tr>
      <w:tr w:rsidR="000D07EA" w14:paraId="599BFE83" w14:textId="77777777">
        <w:tc>
          <w:tcPr>
            <w:tcW w:w="2880" w:type="pct"/>
          </w:tcPr>
          <w:p w14:paraId="05B0CF30" w14:textId="77777777" w:rsidR="000D07EA" w:rsidRDefault="00BE7C89">
            <w:pPr>
              <w:pStyle w:val="BodyText"/>
              <w:spacing w:before="100" w:after="100"/>
            </w:pPr>
            <w:r>
              <w:t>Optus iZoo Browsing</w:t>
            </w:r>
          </w:p>
        </w:tc>
        <w:tc>
          <w:tcPr>
            <w:tcW w:w="2120" w:type="pct"/>
          </w:tcPr>
          <w:p w14:paraId="6B0929F8" w14:textId="77777777" w:rsidR="000D07EA" w:rsidRDefault="00BE7C89">
            <w:pPr>
              <w:pStyle w:val="BodyText"/>
              <w:spacing w:before="100" w:after="100"/>
            </w:pPr>
            <w:r>
              <w:t>No</w:t>
            </w:r>
          </w:p>
        </w:tc>
      </w:tr>
      <w:tr w:rsidR="000D07EA" w14:paraId="3951248E" w14:textId="77777777">
        <w:tc>
          <w:tcPr>
            <w:tcW w:w="2880" w:type="pct"/>
          </w:tcPr>
          <w:p w14:paraId="507FC553" w14:textId="77777777" w:rsidR="000D07EA" w:rsidRDefault="00BE7C89">
            <w:pPr>
              <w:pStyle w:val="BodyText"/>
              <w:spacing w:before="100" w:after="100"/>
            </w:pPr>
            <w:r>
              <w:t>Optus iZoo Downloads</w:t>
            </w:r>
          </w:p>
        </w:tc>
        <w:tc>
          <w:tcPr>
            <w:tcW w:w="2120" w:type="pct"/>
          </w:tcPr>
          <w:p w14:paraId="50C1E3E8" w14:textId="77777777" w:rsidR="000D07EA" w:rsidRDefault="00BE7C89">
            <w:pPr>
              <w:pStyle w:val="BodyText"/>
              <w:spacing w:before="100" w:after="100"/>
            </w:pPr>
            <w:r>
              <w:t>No</w:t>
            </w:r>
          </w:p>
        </w:tc>
      </w:tr>
      <w:tr w:rsidR="000D07EA" w14:paraId="5138670D" w14:textId="77777777">
        <w:tc>
          <w:tcPr>
            <w:tcW w:w="2880" w:type="pct"/>
          </w:tcPr>
          <w:p w14:paraId="78F43D4A" w14:textId="77777777" w:rsidR="000D07EA" w:rsidRDefault="00BE7C89">
            <w:pPr>
              <w:pStyle w:val="BodyText"/>
              <w:spacing w:before="100" w:after="100"/>
            </w:pPr>
            <w:r>
              <w:t>966* iZoo</w:t>
            </w:r>
          </w:p>
        </w:tc>
        <w:tc>
          <w:tcPr>
            <w:tcW w:w="2120" w:type="pct"/>
          </w:tcPr>
          <w:p w14:paraId="4CE03AB1" w14:textId="77777777" w:rsidR="000D07EA" w:rsidRDefault="00BE7C89">
            <w:pPr>
              <w:pStyle w:val="BodyText"/>
              <w:spacing w:before="100" w:after="100"/>
            </w:pPr>
            <w:r>
              <w:t>No</w:t>
            </w:r>
          </w:p>
        </w:tc>
      </w:tr>
      <w:tr w:rsidR="000D07EA" w14:paraId="6101385E" w14:textId="77777777">
        <w:tc>
          <w:tcPr>
            <w:tcW w:w="2880" w:type="pct"/>
          </w:tcPr>
          <w:p w14:paraId="7BD633E3" w14:textId="77777777" w:rsidR="000D07EA" w:rsidRDefault="00BE7C89">
            <w:pPr>
              <w:pStyle w:val="BodyText"/>
              <w:spacing w:before="100" w:after="100"/>
            </w:pPr>
            <w:r>
              <w:t>Mobile Internet usage</w:t>
            </w:r>
          </w:p>
        </w:tc>
        <w:tc>
          <w:tcPr>
            <w:tcW w:w="2120" w:type="pct"/>
          </w:tcPr>
          <w:p w14:paraId="63918752" w14:textId="77777777" w:rsidR="000D07EA" w:rsidRDefault="00BE7C89">
            <w:pPr>
              <w:pStyle w:val="BodyText"/>
              <w:spacing w:before="100" w:after="100"/>
            </w:pPr>
            <w:r>
              <w:t>No</w:t>
            </w:r>
          </w:p>
        </w:tc>
      </w:tr>
      <w:tr w:rsidR="000D07EA" w14:paraId="4F14A71B" w14:textId="77777777">
        <w:tc>
          <w:tcPr>
            <w:tcW w:w="2880" w:type="pct"/>
          </w:tcPr>
          <w:p w14:paraId="06DC575A" w14:textId="77777777" w:rsidR="000D07EA" w:rsidRDefault="00BE7C89">
            <w:pPr>
              <w:pStyle w:val="BodyText"/>
              <w:spacing w:before="100" w:after="100"/>
            </w:pPr>
            <w:r>
              <w:t>Data used while roaming internationally</w:t>
            </w:r>
          </w:p>
        </w:tc>
        <w:tc>
          <w:tcPr>
            <w:tcW w:w="2120" w:type="pct"/>
          </w:tcPr>
          <w:p w14:paraId="4E0FCC12" w14:textId="77777777" w:rsidR="000D07EA" w:rsidRDefault="00BE7C89">
            <w:pPr>
              <w:pStyle w:val="BodyText"/>
              <w:spacing w:before="100" w:after="100"/>
            </w:pPr>
            <w:r>
              <w:t>No</w:t>
            </w:r>
          </w:p>
        </w:tc>
      </w:tr>
      <w:tr w:rsidR="000D07EA" w14:paraId="2101FA0D" w14:textId="77777777">
        <w:tc>
          <w:tcPr>
            <w:tcW w:w="2880" w:type="pct"/>
          </w:tcPr>
          <w:p w14:paraId="665B851B" w14:textId="77777777" w:rsidR="000D07EA" w:rsidRDefault="00BE7C89">
            <w:pPr>
              <w:pStyle w:val="BodyText"/>
              <w:spacing w:before="100" w:after="100"/>
            </w:pPr>
            <w:r>
              <w:t>Content Packs</w:t>
            </w:r>
          </w:p>
        </w:tc>
        <w:tc>
          <w:tcPr>
            <w:tcW w:w="2120" w:type="pct"/>
          </w:tcPr>
          <w:p w14:paraId="600E55E4" w14:textId="77777777" w:rsidR="000D07EA" w:rsidRDefault="00BE7C89">
            <w:pPr>
              <w:pStyle w:val="BodyText"/>
              <w:spacing w:before="100" w:after="100"/>
            </w:pPr>
            <w:r>
              <w:t>No</w:t>
            </w:r>
          </w:p>
        </w:tc>
      </w:tr>
      <w:tr w:rsidR="000D07EA" w14:paraId="47AA8718" w14:textId="77777777">
        <w:tc>
          <w:tcPr>
            <w:tcW w:w="2880" w:type="pct"/>
          </w:tcPr>
          <w:p w14:paraId="63E27F9D" w14:textId="77777777" w:rsidR="000D07EA" w:rsidRDefault="00BE7C89">
            <w:pPr>
              <w:pStyle w:val="BodyText"/>
              <w:spacing w:before="100" w:after="100"/>
            </w:pPr>
            <w:r>
              <w:t xml:space="preserve">Mobile Instant Messaging – IM </w:t>
            </w:r>
          </w:p>
        </w:tc>
        <w:tc>
          <w:tcPr>
            <w:tcW w:w="2120" w:type="pct"/>
          </w:tcPr>
          <w:p w14:paraId="0346A166" w14:textId="77777777" w:rsidR="000D07EA" w:rsidRDefault="00BE7C89">
            <w:pPr>
              <w:pStyle w:val="BodyText"/>
              <w:spacing w:before="100" w:after="100"/>
            </w:pPr>
            <w:r>
              <w:t>No</w:t>
            </w:r>
          </w:p>
        </w:tc>
      </w:tr>
      <w:tr w:rsidR="000D07EA" w14:paraId="4EF30854" w14:textId="77777777">
        <w:tc>
          <w:tcPr>
            <w:tcW w:w="2880" w:type="pct"/>
          </w:tcPr>
          <w:p w14:paraId="740D70AB" w14:textId="77777777" w:rsidR="000D07EA" w:rsidRDefault="00BE7C89">
            <w:pPr>
              <w:pStyle w:val="BodyText"/>
              <w:spacing w:before="100" w:after="100"/>
            </w:pPr>
            <w:r>
              <w:t>TrueLocal Usage</w:t>
            </w:r>
          </w:p>
        </w:tc>
        <w:tc>
          <w:tcPr>
            <w:tcW w:w="2120" w:type="pct"/>
          </w:tcPr>
          <w:p w14:paraId="42A855DE" w14:textId="77777777" w:rsidR="000D07EA" w:rsidRDefault="00BE7C89">
            <w:pPr>
              <w:pStyle w:val="BodyText"/>
              <w:spacing w:before="100" w:after="100"/>
            </w:pPr>
            <w:r>
              <w:t>No</w:t>
            </w:r>
          </w:p>
        </w:tc>
      </w:tr>
      <w:tr w:rsidR="000D07EA" w14:paraId="2DB9D8F8" w14:textId="77777777">
        <w:tc>
          <w:tcPr>
            <w:tcW w:w="2880" w:type="pct"/>
          </w:tcPr>
          <w:p w14:paraId="5C9360D2" w14:textId="77777777" w:rsidR="000D07EA" w:rsidRDefault="00BE7C89">
            <w:pPr>
              <w:pStyle w:val="BodyText"/>
              <w:spacing w:before="100" w:after="100"/>
            </w:pPr>
            <w:r>
              <w:t>Directory Assistance – 1223</w:t>
            </w:r>
          </w:p>
        </w:tc>
        <w:tc>
          <w:tcPr>
            <w:tcW w:w="2120" w:type="pct"/>
          </w:tcPr>
          <w:p w14:paraId="1CF63E1E" w14:textId="77777777" w:rsidR="000D07EA" w:rsidRDefault="00BE7C89">
            <w:pPr>
              <w:pStyle w:val="BodyText"/>
              <w:spacing w:before="100" w:after="100"/>
            </w:pPr>
            <w:r>
              <w:t>No</w:t>
            </w:r>
          </w:p>
        </w:tc>
      </w:tr>
      <w:tr w:rsidR="000D07EA" w14:paraId="64A51DAD" w14:textId="77777777">
        <w:tc>
          <w:tcPr>
            <w:tcW w:w="2880" w:type="pct"/>
          </w:tcPr>
          <w:p w14:paraId="4DC5744A" w14:textId="77777777" w:rsidR="000D07EA" w:rsidRDefault="00BE7C89">
            <w:pPr>
              <w:pStyle w:val="BodyText"/>
              <w:spacing w:before="100" w:after="100"/>
            </w:pPr>
            <w:r>
              <w:t>19xx Numbers</w:t>
            </w:r>
          </w:p>
        </w:tc>
        <w:tc>
          <w:tcPr>
            <w:tcW w:w="2120" w:type="pct"/>
          </w:tcPr>
          <w:p w14:paraId="2B0B1EB0" w14:textId="77777777" w:rsidR="000D07EA" w:rsidRDefault="00BE7C89">
            <w:pPr>
              <w:pStyle w:val="BodyText"/>
              <w:spacing w:before="100" w:after="100"/>
            </w:pPr>
            <w:r>
              <w:t>No</w:t>
            </w:r>
          </w:p>
        </w:tc>
      </w:tr>
      <w:tr w:rsidR="000D07EA" w14:paraId="76E68CCE" w14:textId="77777777">
        <w:tc>
          <w:tcPr>
            <w:tcW w:w="2880" w:type="pct"/>
          </w:tcPr>
          <w:p w14:paraId="2D706A96" w14:textId="77777777" w:rsidR="000D07EA" w:rsidRDefault="00BE7C89">
            <w:pPr>
              <w:pStyle w:val="BodyText"/>
              <w:spacing w:before="100" w:after="100"/>
            </w:pPr>
            <w:r>
              <w:t>1800, 13 and 1300 Numbers</w:t>
            </w:r>
          </w:p>
        </w:tc>
        <w:tc>
          <w:tcPr>
            <w:tcW w:w="2120" w:type="pct"/>
          </w:tcPr>
          <w:p w14:paraId="4CB5D62E" w14:textId="77777777" w:rsidR="000D07EA" w:rsidRDefault="00BE7C89">
            <w:pPr>
              <w:pStyle w:val="BodyText"/>
              <w:spacing w:before="100" w:after="100"/>
            </w:pPr>
            <w:r>
              <w:t>Yes</w:t>
            </w:r>
          </w:p>
        </w:tc>
      </w:tr>
      <w:tr w:rsidR="000D07EA" w14:paraId="49E5AE3A" w14:textId="77777777">
        <w:tc>
          <w:tcPr>
            <w:tcW w:w="2880" w:type="pct"/>
          </w:tcPr>
          <w:p w14:paraId="05B4C2D6" w14:textId="77777777" w:rsidR="000D07EA" w:rsidRDefault="00BE7C89">
            <w:pPr>
              <w:pStyle w:val="BodyText"/>
              <w:spacing w:before="100" w:after="100"/>
            </w:pPr>
            <w:r>
              <w:lastRenderedPageBreak/>
              <w:t>124YES(937)</w:t>
            </w:r>
          </w:p>
        </w:tc>
        <w:tc>
          <w:tcPr>
            <w:tcW w:w="2120" w:type="pct"/>
          </w:tcPr>
          <w:p w14:paraId="02A332EF" w14:textId="77777777" w:rsidR="000D07EA" w:rsidRDefault="00BE7C89">
            <w:pPr>
              <w:pStyle w:val="BodyText"/>
              <w:spacing w:before="100" w:after="100"/>
            </w:pPr>
            <w:r>
              <w:t>Yes</w:t>
            </w:r>
          </w:p>
        </w:tc>
      </w:tr>
      <w:tr w:rsidR="000D07EA" w14:paraId="7D72F332" w14:textId="77777777">
        <w:tc>
          <w:tcPr>
            <w:tcW w:w="2880" w:type="pct"/>
          </w:tcPr>
          <w:p w14:paraId="0B59B1C8" w14:textId="77777777" w:rsidR="000D07EA" w:rsidRDefault="00BE7C89">
            <w:pPr>
              <w:pStyle w:val="BodyText"/>
              <w:spacing w:before="100" w:after="100"/>
            </w:pPr>
            <w:r>
              <w:t>Fax and Data</w:t>
            </w:r>
          </w:p>
        </w:tc>
        <w:tc>
          <w:tcPr>
            <w:tcW w:w="2120" w:type="pct"/>
          </w:tcPr>
          <w:p w14:paraId="0B05ED72" w14:textId="77777777" w:rsidR="000D07EA" w:rsidRDefault="00BE7C89">
            <w:pPr>
              <w:pStyle w:val="BodyText"/>
              <w:spacing w:before="100" w:after="100"/>
            </w:pPr>
            <w:r>
              <w:t>No</w:t>
            </w:r>
          </w:p>
        </w:tc>
      </w:tr>
      <w:tr w:rsidR="000D07EA" w14:paraId="62B103C3" w14:textId="77777777">
        <w:tc>
          <w:tcPr>
            <w:tcW w:w="2880" w:type="pct"/>
          </w:tcPr>
          <w:p w14:paraId="3DE8BBA0" w14:textId="77777777" w:rsidR="000D07EA" w:rsidRDefault="00BE7C89">
            <w:pPr>
              <w:pStyle w:val="BodyText"/>
              <w:spacing w:before="100" w:after="100"/>
            </w:pPr>
            <w:r>
              <w:t>Insurance</w:t>
            </w:r>
          </w:p>
        </w:tc>
        <w:tc>
          <w:tcPr>
            <w:tcW w:w="2120" w:type="pct"/>
          </w:tcPr>
          <w:p w14:paraId="2472C9B6" w14:textId="77777777" w:rsidR="000D07EA" w:rsidRDefault="00BE7C89">
            <w:pPr>
              <w:pStyle w:val="BodyText"/>
              <w:spacing w:before="100" w:after="100"/>
            </w:pPr>
            <w:r>
              <w:t>No</w:t>
            </w:r>
          </w:p>
        </w:tc>
      </w:tr>
      <w:tr w:rsidR="000D07EA" w14:paraId="6562928F" w14:textId="77777777">
        <w:tc>
          <w:tcPr>
            <w:tcW w:w="2880" w:type="pct"/>
          </w:tcPr>
          <w:p w14:paraId="3BEA35F8" w14:textId="77777777" w:rsidR="000D07EA" w:rsidRDefault="00BE7C89">
            <w:pPr>
              <w:pStyle w:val="BodyText"/>
              <w:spacing w:before="100" w:after="100"/>
            </w:pPr>
            <w:r>
              <w:t>Surepage usage and access</w:t>
            </w:r>
          </w:p>
        </w:tc>
        <w:tc>
          <w:tcPr>
            <w:tcW w:w="2120" w:type="pct"/>
          </w:tcPr>
          <w:p w14:paraId="232534AD" w14:textId="77777777" w:rsidR="000D07EA" w:rsidRDefault="00BE7C89">
            <w:pPr>
              <w:pStyle w:val="BodyText"/>
              <w:spacing w:before="100" w:after="100"/>
            </w:pPr>
            <w:r>
              <w:t>No</w:t>
            </w:r>
          </w:p>
        </w:tc>
      </w:tr>
      <w:tr w:rsidR="000D07EA" w14:paraId="2F872FC0" w14:textId="77777777">
        <w:tc>
          <w:tcPr>
            <w:tcW w:w="2880" w:type="pct"/>
          </w:tcPr>
          <w:p w14:paraId="119D5D41" w14:textId="77777777" w:rsidR="000D07EA" w:rsidRDefault="00BE7C89">
            <w:pPr>
              <w:pStyle w:val="BodyText"/>
              <w:spacing w:before="100" w:after="100"/>
            </w:pPr>
            <w:r>
              <w:t>Handset Payments</w:t>
            </w:r>
          </w:p>
        </w:tc>
        <w:tc>
          <w:tcPr>
            <w:tcW w:w="2120" w:type="pct"/>
          </w:tcPr>
          <w:p w14:paraId="5D0F5044" w14:textId="77777777" w:rsidR="000D07EA" w:rsidRDefault="00BE7C89">
            <w:pPr>
              <w:pStyle w:val="BodyText"/>
              <w:spacing w:before="100" w:after="100"/>
            </w:pPr>
            <w:r>
              <w:t>No</w:t>
            </w:r>
          </w:p>
        </w:tc>
      </w:tr>
      <w:tr w:rsidR="000D07EA" w14:paraId="5A7B01B2" w14:textId="77777777">
        <w:tc>
          <w:tcPr>
            <w:tcW w:w="2880" w:type="pct"/>
          </w:tcPr>
          <w:p w14:paraId="703F9391" w14:textId="77777777" w:rsidR="000D07EA" w:rsidRDefault="00BE7C89">
            <w:pPr>
              <w:pStyle w:val="BodyText"/>
              <w:spacing w:before="100" w:after="100"/>
            </w:pPr>
            <w:r>
              <w:t>Calls to Satellite</w:t>
            </w:r>
          </w:p>
        </w:tc>
        <w:tc>
          <w:tcPr>
            <w:tcW w:w="2120" w:type="pct"/>
          </w:tcPr>
          <w:p w14:paraId="520D1211" w14:textId="77777777" w:rsidR="000D07EA" w:rsidRDefault="00BE7C89">
            <w:pPr>
              <w:pStyle w:val="BodyText"/>
              <w:spacing w:before="100" w:after="100"/>
            </w:pPr>
            <w:r>
              <w:t>No</w:t>
            </w:r>
          </w:p>
        </w:tc>
      </w:tr>
      <w:tr w:rsidR="000D07EA" w14:paraId="33BCFB88" w14:textId="77777777">
        <w:tc>
          <w:tcPr>
            <w:tcW w:w="2880" w:type="pct"/>
          </w:tcPr>
          <w:p w14:paraId="3BFCFC9B" w14:textId="77777777" w:rsidR="000D07EA" w:rsidRDefault="00BE7C89">
            <w:pPr>
              <w:pStyle w:val="BodyText"/>
              <w:spacing w:before="100" w:after="100"/>
            </w:pPr>
            <w:r>
              <w:t>VoIP services</w:t>
            </w:r>
          </w:p>
        </w:tc>
        <w:tc>
          <w:tcPr>
            <w:tcW w:w="2120" w:type="pct"/>
          </w:tcPr>
          <w:p w14:paraId="73739235" w14:textId="77777777" w:rsidR="000D07EA" w:rsidRDefault="00BE7C89">
            <w:pPr>
              <w:pStyle w:val="BodyText"/>
              <w:spacing w:before="100" w:after="100"/>
            </w:pPr>
            <w:r>
              <w:t>No</w:t>
            </w:r>
          </w:p>
        </w:tc>
      </w:tr>
    </w:tbl>
    <w:p w14:paraId="740A690B" w14:textId="77777777" w:rsidR="000D07EA" w:rsidRDefault="00BE7C89">
      <w:pPr>
        <w:pStyle w:val="BodyText"/>
        <w:spacing w:before="240"/>
        <w:ind w:left="1440"/>
        <w:rPr>
          <w:iCs/>
        </w:rPr>
      </w:pPr>
      <w:r>
        <w:rPr>
          <w:iCs/>
        </w:rPr>
        <w:t xml:space="preserve">The particular 'Eligible Calls' and 'Eligible Data' features available to </w:t>
      </w:r>
      <w:r>
        <w:rPr>
          <w:i/>
          <w:iCs/>
        </w:rPr>
        <w:t>you</w:t>
      </w:r>
      <w:r>
        <w:rPr>
          <w:iCs/>
        </w:rPr>
        <w:t xml:space="preserve"> will vary depending on the particular iPhone or software version </w:t>
      </w:r>
      <w:r>
        <w:rPr>
          <w:i/>
          <w:iCs/>
        </w:rPr>
        <w:t>you</w:t>
      </w:r>
      <w:r>
        <w:rPr>
          <w:iCs/>
        </w:rPr>
        <w:t xml:space="preserve"> use.</w:t>
      </w:r>
    </w:p>
    <w:p w14:paraId="4E6CC6A1" w14:textId="77777777" w:rsidR="000D07EA" w:rsidRDefault="00BE7C89">
      <w:pPr>
        <w:pStyle w:val="BodyText"/>
        <w:ind w:left="1440"/>
        <w:rPr>
          <w:b/>
        </w:rPr>
      </w:pPr>
      <w:r>
        <w:rPr>
          <w:b/>
        </w:rPr>
        <w:t>Table 2A</w:t>
      </w:r>
    </w:p>
    <w:tbl>
      <w:tblPr>
        <w:tblW w:w="4296"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5098"/>
        <w:gridCol w:w="3656"/>
      </w:tblGrid>
      <w:tr w:rsidR="000D07EA" w14:paraId="4F73C302" w14:textId="77777777">
        <w:trPr>
          <w:tblHeader/>
        </w:trPr>
        <w:tc>
          <w:tcPr>
            <w:tcW w:w="2912" w:type="pct"/>
          </w:tcPr>
          <w:p w14:paraId="3E0CDD3D" w14:textId="77777777" w:rsidR="000D07EA" w:rsidRDefault="00BE7C89">
            <w:pPr>
              <w:pStyle w:val="BodyText"/>
              <w:spacing w:before="100" w:after="100"/>
              <w:rPr>
                <w:b/>
              </w:rPr>
            </w:pPr>
            <w:r>
              <w:rPr>
                <w:b/>
              </w:rPr>
              <w:t>Call Type</w:t>
            </w:r>
          </w:p>
        </w:tc>
        <w:tc>
          <w:tcPr>
            <w:tcW w:w="2088" w:type="pct"/>
          </w:tcPr>
          <w:p w14:paraId="0E904355" w14:textId="77777777" w:rsidR="000D07EA" w:rsidRDefault="00BE7C89">
            <w:pPr>
              <w:pStyle w:val="BodyText"/>
              <w:spacing w:before="100" w:after="100"/>
              <w:rPr>
                <w:b/>
              </w:rPr>
            </w:pPr>
            <w:r>
              <w:rPr>
                <w:b/>
              </w:rPr>
              <w:t>Eligible Data</w:t>
            </w:r>
          </w:p>
        </w:tc>
      </w:tr>
      <w:tr w:rsidR="000D07EA" w14:paraId="2BE60C9E" w14:textId="77777777">
        <w:tc>
          <w:tcPr>
            <w:tcW w:w="2912" w:type="pct"/>
          </w:tcPr>
          <w:p w14:paraId="270D073C" w14:textId="77777777" w:rsidR="000D07EA" w:rsidRDefault="00BE7C89">
            <w:pPr>
              <w:pStyle w:val="BodyText"/>
              <w:spacing w:before="100" w:after="100"/>
            </w:pPr>
            <w:r>
              <w:t>National Voice and Video Calls</w:t>
            </w:r>
          </w:p>
        </w:tc>
        <w:tc>
          <w:tcPr>
            <w:tcW w:w="2088" w:type="pct"/>
          </w:tcPr>
          <w:p w14:paraId="39DB44AA" w14:textId="77777777" w:rsidR="000D07EA" w:rsidRDefault="00BE7C89">
            <w:pPr>
              <w:pStyle w:val="BodyText"/>
              <w:spacing w:before="100" w:after="100"/>
            </w:pPr>
            <w:r>
              <w:t>No</w:t>
            </w:r>
          </w:p>
        </w:tc>
      </w:tr>
      <w:tr w:rsidR="000D07EA" w14:paraId="57E76F54" w14:textId="77777777">
        <w:tc>
          <w:tcPr>
            <w:tcW w:w="2912" w:type="pct"/>
          </w:tcPr>
          <w:p w14:paraId="337EE197" w14:textId="77777777" w:rsidR="000D07EA" w:rsidRDefault="00BE7C89">
            <w:pPr>
              <w:pStyle w:val="BodyText"/>
              <w:spacing w:before="100" w:after="100"/>
            </w:pPr>
            <w:r>
              <w:t xml:space="preserve">International Voice and Video Calls </w:t>
            </w:r>
          </w:p>
          <w:p w14:paraId="25A12FAE" w14:textId="77777777" w:rsidR="000D07EA" w:rsidRDefault="00BE7C89">
            <w:pPr>
              <w:pStyle w:val="BodyText"/>
              <w:spacing w:before="100" w:after="100"/>
            </w:pPr>
            <w:r>
              <w:t>(including calls to national fixed or GSM mobile services that then divert/switch or re-route overseas)</w:t>
            </w:r>
          </w:p>
        </w:tc>
        <w:tc>
          <w:tcPr>
            <w:tcW w:w="2088" w:type="pct"/>
          </w:tcPr>
          <w:p w14:paraId="33AEE72D" w14:textId="77777777" w:rsidR="000D07EA" w:rsidRDefault="00BE7C89">
            <w:pPr>
              <w:pStyle w:val="BodyText"/>
              <w:spacing w:before="100" w:after="100"/>
            </w:pPr>
            <w:r>
              <w:t>No</w:t>
            </w:r>
          </w:p>
        </w:tc>
      </w:tr>
      <w:tr w:rsidR="000D07EA" w14:paraId="62C145CE" w14:textId="77777777">
        <w:tc>
          <w:tcPr>
            <w:tcW w:w="2912" w:type="pct"/>
          </w:tcPr>
          <w:p w14:paraId="64A6DC61" w14:textId="77777777" w:rsidR="000D07EA" w:rsidRDefault="00BE7C89">
            <w:pPr>
              <w:pStyle w:val="BodyText"/>
              <w:spacing w:before="100" w:after="100"/>
            </w:pPr>
            <w:r>
              <w:t>Premium Video</w:t>
            </w:r>
          </w:p>
        </w:tc>
        <w:tc>
          <w:tcPr>
            <w:tcW w:w="2088" w:type="pct"/>
          </w:tcPr>
          <w:p w14:paraId="70616088" w14:textId="77777777" w:rsidR="000D07EA" w:rsidRDefault="00BE7C89">
            <w:pPr>
              <w:pStyle w:val="BodyText"/>
              <w:spacing w:before="100" w:after="100"/>
            </w:pPr>
            <w:r>
              <w:t>No</w:t>
            </w:r>
          </w:p>
        </w:tc>
      </w:tr>
      <w:tr w:rsidR="000D07EA" w14:paraId="49C158E4" w14:textId="77777777">
        <w:tc>
          <w:tcPr>
            <w:tcW w:w="2912" w:type="pct"/>
          </w:tcPr>
          <w:p w14:paraId="2B9FC82E" w14:textId="77777777" w:rsidR="000D07EA" w:rsidRDefault="00BE7C89">
            <w:pPr>
              <w:pStyle w:val="BodyText"/>
              <w:spacing w:before="100" w:after="100"/>
            </w:pPr>
            <w:r>
              <w:t>Content Video</w:t>
            </w:r>
          </w:p>
        </w:tc>
        <w:tc>
          <w:tcPr>
            <w:tcW w:w="2088" w:type="pct"/>
          </w:tcPr>
          <w:p w14:paraId="2BCF461C" w14:textId="77777777" w:rsidR="000D07EA" w:rsidRDefault="00BE7C89">
            <w:pPr>
              <w:pStyle w:val="BodyText"/>
              <w:spacing w:before="100" w:after="100"/>
            </w:pPr>
            <w:r>
              <w:t>No</w:t>
            </w:r>
          </w:p>
        </w:tc>
      </w:tr>
      <w:tr w:rsidR="000D07EA" w14:paraId="70FD7C09" w14:textId="77777777">
        <w:tc>
          <w:tcPr>
            <w:tcW w:w="2912" w:type="pct"/>
          </w:tcPr>
          <w:p w14:paraId="197C0FED" w14:textId="77777777" w:rsidR="000D07EA" w:rsidRDefault="00BE7C89">
            <w:pPr>
              <w:pStyle w:val="BodyText"/>
              <w:spacing w:before="100" w:after="100"/>
            </w:pPr>
            <w:r>
              <w:t>National Standard SMS</w:t>
            </w:r>
          </w:p>
        </w:tc>
        <w:tc>
          <w:tcPr>
            <w:tcW w:w="2088" w:type="pct"/>
          </w:tcPr>
          <w:p w14:paraId="477BBC8E" w14:textId="77777777" w:rsidR="000D07EA" w:rsidRDefault="00BE7C89">
            <w:pPr>
              <w:pStyle w:val="BodyText"/>
              <w:spacing w:before="100" w:after="100"/>
            </w:pPr>
            <w:r>
              <w:t>No</w:t>
            </w:r>
          </w:p>
        </w:tc>
      </w:tr>
      <w:tr w:rsidR="000D07EA" w14:paraId="58987E23" w14:textId="77777777">
        <w:tc>
          <w:tcPr>
            <w:tcW w:w="2912" w:type="pct"/>
          </w:tcPr>
          <w:p w14:paraId="478C470D" w14:textId="77777777" w:rsidR="000D07EA" w:rsidRDefault="00BE7C89">
            <w:pPr>
              <w:pStyle w:val="BodyText"/>
              <w:spacing w:before="100" w:after="100"/>
            </w:pPr>
            <w:r>
              <w:t>International SMS</w:t>
            </w:r>
          </w:p>
        </w:tc>
        <w:tc>
          <w:tcPr>
            <w:tcW w:w="2088" w:type="pct"/>
          </w:tcPr>
          <w:p w14:paraId="6B8E9935" w14:textId="77777777" w:rsidR="000D07EA" w:rsidRDefault="00BE7C89">
            <w:pPr>
              <w:pStyle w:val="BodyText"/>
              <w:spacing w:before="100" w:after="100"/>
            </w:pPr>
            <w:r>
              <w:t>No</w:t>
            </w:r>
          </w:p>
        </w:tc>
      </w:tr>
      <w:tr w:rsidR="000D07EA" w14:paraId="1A8B7D88" w14:textId="77777777">
        <w:tc>
          <w:tcPr>
            <w:tcW w:w="2912" w:type="pct"/>
          </w:tcPr>
          <w:p w14:paraId="6D2BF687" w14:textId="77777777" w:rsidR="000D07EA" w:rsidRDefault="00BE7C89">
            <w:pPr>
              <w:pStyle w:val="BodyText"/>
              <w:spacing w:before="100" w:after="100"/>
            </w:pPr>
            <w:r>
              <w:t>Premium SMS</w:t>
            </w:r>
          </w:p>
        </w:tc>
        <w:tc>
          <w:tcPr>
            <w:tcW w:w="2088" w:type="pct"/>
          </w:tcPr>
          <w:p w14:paraId="4A9D95E0" w14:textId="77777777" w:rsidR="000D07EA" w:rsidRDefault="00BE7C89">
            <w:pPr>
              <w:pStyle w:val="BodyText"/>
              <w:spacing w:before="100" w:after="100"/>
            </w:pPr>
            <w:r>
              <w:t>No</w:t>
            </w:r>
          </w:p>
        </w:tc>
      </w:tr>
      <w:tr w:rsidR="000D07EA" w14:paraId="7F598901" w14:textId="77777777">
        <w:tc>
          <w:tcPr>
            <w:tcW w:w="2912" w:type="pct"/>
          </w:tcPr>
          <w:p w14:paraId="745B84FF" w14:textId="77777777" w:rsidR="000D07EA" w:rsidRDefault="00BE7C89">
            <w:pPr>
              <w:pStyle w:val="BodyText"/>
              <w:spacing w:before="100" w:after="100"/>
            </w:pPr>
            <w:r>
              <w:t>National Standard MMS</w:t>
            </w:r>
          </w:p>
        </w:tc>
        <w:tc>
          <w:tcPr>
            <w:tcW w:w="2088" w:type="pct"/>
          </w:tcPr>
          <w:p w14:paraId="760A2C7C" w14:textId="77777777" w:rsidR="000D07EA" w:rsidRDefault="00BE7C89">
            <w:pPr>
              <w:pStyle w:val="BodyText"/>
              <w:spacing w:before="100" w:after="100"/>
            </w:pPr>
            <w:r>
              <w:t>No</w:t>
            </w:r>
          </w:p>
        </w:tc>
      </w:tr>
      <w:tr w:rsidR="000D07EA" w14:paraId="07A5E550" w14:textId="77777777">
        <w:tc>
          <w:tcPr>
            <w:tcW w:w="2912" w:type="pct"/>
          </w:tcPr>
          <w:p w14:paraId="28E9E439" w14:textId="77777777" w:rsidR="000D07EA" w:rsidRDefault="00BE7C89">
            <w:pPr>
              <w:pStyle w:val="BodyText"/>
              <w:spacing w:before="100" w:after="100"/>
            </w:pPr>
            <w:r>
              <w:t>International MMS</w:t>
            </w:r>
          </w:p>
        </w:tc>
        <w:tc>
          <w:tcPr>
            <w:tcW w:w="2088" w:type="pct"/>
          </w:tcPr>
          <w:p w14:paraId="2FE53819" w14:textId="77777777" w:rsidR="000D07EA" w:rsidRDefault="00BE7C89">
            <w:pPr>
              <w:pStyle w:val="BodyText"/>
              <w:spacing w:before="100" w:after="100"/>
            </w:pPr>
            <w:r>
              <w:t>No</w:t>
            </w:r>
          </w:p>
        </w:tc>
      </w:tr>
      <w:tr w:rsidR="000D07EA" w14:paraId="43F2C0C8" w14:textId="77777777">
        <w:tc>
          <w:tcPr>
            <w:tcW w:w="2912" w:type="pct"/>
          </w:tcPr>
          <w:p w14:paraId="025AD375" w14:textId="77777777" w:rsidR="000D07EA" w:rsidRDefault="00BE7C89">
            <w:pPr>
              <w:pStyle w:val="BodyText"/>
              <w:spacing w:before="100" w:after="100"/>
            </w:pPr>
            <w:r>
              <w:t>Premium MMS</w:t>
            </w:r>
          </w:p>
        </w:tc>
        <w:tc>
          <w:tcPr>
            <w:tcW w:w="2088" w:type="pct"/>
          </w:tcPr>
          <w:p w14:paraId="716ED51D" w14:textId="77777777" w:rsidR="000D07EA" w:rsidRDefault="00BE7C89">
            <w:pPr>
              <w:pStyle w:val="BodyText"/>
              <w:spacing w:before="100" w:after="100"/>
            </w:pPr>
            <w:r>
              <w:t>No</w:t>
            </w:r>
          </w:p>
        </w:tc>
      </w:tr>
      <w:tr w:rsidR="000D07EA" w14:paraId="3243F3C9" w14:textId="77777777">
        <w:tc>
          <w:tcPr>
            <w:tcW w:w="2912" w:type="pct"/>
          </w:tcPr>
          <w:p w14:paraId="52DAA42D" w14:textId="77777777" w:rsidR="000D07EA" w:rsidRDefault="00BE7C89">
            <w:pPr>
              <w:pStyle w:val="BodyText"/>
              <w:spacing w:before="100" w:after="100"/>
            </w:pPr>
            <w:r>
              <w:t>National Diversions</w:t>
            </w:r>
          </w:p>
        </w:tc>
        <w:tc>
          <w:tcPr>
            <w:tcW w:w="2088" w:type="pct"/>
          </w:tcPr>
          <w:p w14:paraId="28D9454A" w14:textId="77777777" w:rsidR="000D07EA" w:rsidRDefault="00BE7C89">
            <w:pPr>
              <w:pStyle w:val="BodyText"/>
              <w:spacing w:before="100" w:after="100"/>
            </w:pPr>
            <w:r>
              <w:t>No</w:t>
            </w:r>
          </w:p>
        </w:tc>
      </w:tr>
      <w:tr w:rsidR="000D07EA" w14:paraId="24E28693" w14:textId="77777777">
        <w:tc>
          <w:tcPr>
            <w:tcW w:w="2912" w:type="pct"/>
          </w:tcPr>
          <w:p w14:paraId="73EC3FEE" w14:textId="77777777" w:rsidR="000D07EA" w:rsidRDefault="00BE7C89">
            <w:pPr>
              <w:pStyle w:val="BodyText"/>
              <w:spacing w:before="100" w:after="100"/>
            </w:pPr>
            <w:r>
              <w:t>Voicemail Deposits and Retrievals</w:t>
            </w:r>
          </w:p>
        </w:tc>
        <w:tc>
          <w:tcPr>
            <w:tcW w:w="2088" w:type="pct"/>
          </w:tcPr>
          <w:p w14:paraId="495D8C77" w14:textId="77777777" w:rsidR="000D07EA" w:rsidRDefault="00BE7C89">
            <w:pPr>
              <w:pStyle w:val="BodyText"/>
              <w:spacing w:before="100" w:after="100"/>
            </w:pPr>
            <w:r>
              <w:t>No</w:t>
            </w:r>
          </w:p>
        </w:tc>
      </w:tr>
      <w:tr w:rsidR="000D07EA" w14:paraId="3D3336C9" w14:textId="77777777">
        <w:tc>
          <w:tcPr>
            <w:tcW w:w="2912" w:type="pct"/>
          </w:tcPr>
          <w:p w14:paraId="21518AF9" w14:textId="77777777" w:rsidR="000D07EA" w:rsidRDefault="00BE7C89">
            <w:pPr>
              <w:pStyle w:val="BodyText"/>
              <w:spacing w:before="100" w:after="100"/>
            </w:pPr>
            <w:r>
              <w:t>International Roaming and Diversions</w:t>
            </w:r>
          </w:p>
        </w:tc>
        <w:tc>
          <w:tcPr>
            <w:tcW w:w="2088" w:type="pct"/>
          </w:tcPr>
          <w:p w14:paraId="504D3691" w14:textId="77777777" w:rsidR="000D07EA" w:rsidRDefault="00BE7C89">
            <w:pPr>
              <w:pStyle w:val="BodyText"/>
              <w:spacing w:before="100" w:after="100"/>
            </w:pPr>
            <w:r>
              <w:t>No</w:t>
            </w:r>
          </w:p>
        </w:tc>
      </w:tr>
      <w:tr w:rsidR="000D07EA" w14:paraId="166E33E3" w14:textId="77777777">
        <w:tc>
          <w:tcPr>
            <w:tcW w:w="2912" w:type="pct"/>
          </w:tcPr>
          <w:p w14:paraId="70C99C40" w14:textId="77777777" w:rsidR="000D07EA" w:rsidRDefault="00BE7C89">
            <w:pPr>
              <w:pStyle w:val="BodyText"/>
              <w:spacing w:before="100" w:after="100"/>
            </w:pPr>
            <w:r>
              <w:t>Video Conferencing</w:t>
            </w:r>
          </w:p>
        </w:tc>
        <w:tc>
          <w:tcPr>
            <w:tcW w:w="2088" w:type="pct"/>
          </w:tcPr>
          <w:p w14:paraId="017C3E49" w14:textId="77777777" w:rsidR="000D07EA" w:rsidRDefault="00BE7C89">
            <w:pPr>
              <w:pStyle w:val="BodyText"/>
              <w:spacing w:before="100" w:after="100"/>
            </w:pPr>
            <w:r>
              <w:t>No</w:t>
            </w:r>
          </w:p>
        </w:tc>
      </w:tr>
      <w:tr w:rsidR="000D07EA" w14:paraId="1D62DC7F" w14:textId="77777777">
        <w:tc>
          <w:tcPr>
            <w:tcW w:w="2912" w:type="pct"/>
          </w:tcPr>
          <w:p w14:paraId="1CC95C3E" w14:textId="77777777" w:rsidR="000D07EA" w:rsidRDefault="00BE7C89">
            <w:pPr>
              <w:pStyle w:val="BodyText"/>
              <w:spacing w:before="100" w:after="100"/>
            </w:pPr>
            <w:r>
              <w:t>BlackBerry Email</w:t>
            </w:r>
          </w:p>
        </w:tc>
        <w:tc>
          <w:tcPr>
            <w:tcW w:w="2088" w:type="pct"/>
          </w:tcPr>
          <w:p w14:paraId="73E46E28" w14:textId="77777777" w:rsidR="000D07EA" w:rsidRDefault="00BE7C89">
            <w:pPr>
              <w:pStyle w:val="BodyText"/>
              <w:spacing w:before="100" w:after="100"/>
            </w:pPr>
            <w:r>
              <w:t>No</w:t>
            </w:r>
          </w:p>
        </w:tc>
      </w:tr>
      <w:tr w:rsidR="000D07EA" w14:paraId="0B76BEA0" w14:textId="77777777">
        <w:tc>
          <w:tcPr>
            <w:tcW w:w="2912" w:type="pct"/>
          </w:tcPr>
          <w:p w14:paraId="74B1BBD7" w14:textId="77777777" w:rsidR="000D07EA" w:rsidRDefault="00BE7C89">
            <w:pPr>
              <w:pStyle w:val="BodyText"/>
              <w:spacing w:before="100" w:after="100"/>
            </w:pPr>
            <w:r>
              <w:t>Optus iZoo Browsing*</w:t>
            </w:r>
          </w:p>
        </w:tc>
        <w:tc>
          <w:tcPr>
            <w:tcW w:w="2088" w:type="pct"/>
          </w:tcPr>
          <w:p w14:paraId="618020CA" w14:textId="77777777" w:rsidR="000D07EA" w:rsidRDefault="00BE7C89">
            <w:pPr>
              <w:pStyle w:val="BodyText"/>
              <w:spacing w:before="100" w:after="100"/>
            </w:pPr>
            <w:r>
              <w:t>Yes, up to the monthly included data amount specified in the Pricing Plan table below</w:t>
            </w:r>
          </w:p>
        </w:tc>
      </w:tr>
      <w:tr w:rsidR="000D07EA" w14:paraId="027BFE18" w14:textId="77777777">
        <w:tc>
          <w:tcPr>
            <w:tcW w:w="2912" w:type="pct"/>
          </w:tcPr>
          <w:p w14:paraId="657BC069" w14:textId="77777777" w:rsidR="000D07EA" w:rsidRDefault="00BE7C89">
            <w:pPr>
              <w:pStyle w:val="BodyText"/>
              <w:spacing w:before="100" w:after="100"/>
            </w:pPr>
            <w:r>
              <w:t>Optus iZoo Downloads</w:t>
            </w:r>
          </w:p>
        </w:tc>
        <w:tc>
          <w:tcPr>
            <w:tcW w:w="2088" w:type="pct"/>
          </w:tcPr>
          <w:p w14:paraId="57917680" w14:textId="77777777" w:rsidR="000D07EA" w:rsidRDefault="00BE7C89">
            <w:pPr>
              <w:pStyle w:val="BodyText"/>
              <w:spacing w:before="100" w:after="100"/>
            </w:pPr>
            <w:r>
              <w:t>No</w:t>
            </w:r>
          </w:p>
        </w:tc>
      </w:tr>
      <w:tr w:rsidR="000D07EA" w14:paraId="31C11A95" w14:textId="77777777">
        <w:tc>
          <w:tcPr>
            <w:tcW w:w="2912" w:type="pct"/>
          </w:tcPr>
          <w:p w14:paraId="69CFA047" w14:textId="77777777" w:rsidR="000D07EA" w:rsidRDefault="00BE7C89">
            <w:pPr>
              <w:pStyle w:val="BodyText"/>
              <w:spacing w:before="100" w:after="100"/>
            </w:pPr>
            <w:r>
              <w:lastRenderedPageBreak/>
              <w:t>966* iZoo</w:t>
            </w:r>
          </w:p>
        </w:tc>
        <w:tc>
          <w:tcPr>
            <w:tcW w:w="2088" w:type="pct"/>
          </w:tcPr>
          <w:p w14:paraId="5D44C186" w14:textId="77777777" w:rsidR="000D07EA" w:rsidRDefault="00BE7C89">
            <w:pPr>
              <w:pStyle w:val="BodyText"/>
              <w:spacing w:before="100" w:after="100"/>
            </w:pPr>
            <w:r>
              <w:t>No</w:t>
            </w:r>
          </w:p>
        </w:tc>
      </w:tr>
      <w:tr w:rsidR="000D07EA" w14:paraId="717C55F3" w14:textId="77777777">
        <w:tc>
          <w:tcPr>
            <w:tcW w:w="2912" w:type="pct"/>
          </w:tcPr>
          <w:p w14:paraId="582584FE" w14:textId="77777777" w:rsidR="000D07EA" w:rsidRDefault="00BE7C89">
            <w:pPr>
              <w:pStyle w:val="BodyText"/>
              <w:spacing w:before="100" w:after="100"/>
            </w:pPr>
            <w:r>
              <w:t>Mobile Internet Usage*</w:t>
            </w:r>
          </w:p>
        </w:tc>
        <w:tc>
          <w:tcPr>
            <w:tcW w:w="2088" w:type="pct"/>
          </w:tcPr>
          <w:p w14:paraId="326BED53" w14:textId="77777777" w:rsidR="000D07EA" w:rsidRDefault="00BE7C89">
            <w:pPr>
              <w:pStyle w:val="BodyText"/>
              <w:spacing w:before="100" w:after="100"/>
            </w:pPr>
            <w:r>
              <w:t>Yes, up to the monthly included data amount specified in the Pricing Plan table below</w:t>
            </w:r>
          </w:p>
        </w:tc>
      </w:tr>
      <w:tr w:rsidR="000D07EA" w14:paraId="7C6D1747" w14:textId="77777777">
        <w:tc>
          <w:tcPr>
            <w:tcW w:w="2912" w:type="pct"/>
          </w:tcPr>
          <w:p w14:paraId="49FA5273" w14:textId="77777777" w:rsidR="000D07EA" w:rsidRDefault="00BE7C89">
            <w:pPr>
              <w:pStyle w:val="BodyText"/>
              <w:spacing w:before="100" w:after="100"/>
            </w:pPr>
            <w:r>
              <w:t>Data used while roaming internationally</w:t>
            </w:r>
          </w:p>
        </w:tc>
        <w:tc>
          <w:tcPr>
            <w:tcW w:w="2088" w:type="pct"/>
          </w:tcPr>
          <w:p w14:paraId="2339D355" w14:textId="77777777" w:rsidR="000D07EA" w:rsidRDefault="00BE7C89">
            <w:pPr>
              <w:pStyle w:val="BodyText"/>
              <w:spacing w:before="100" w:after="100"/>
            </w:pPr>
            <w:r>
              <w:t>No</w:t>
            </w:r>
          </w:p>
        </w:tc>
      </w:tr>
      <w:tr w:rsidR="000D07EA" w14:paraId="7F45580B" w14:textId="77777777">
        <w:tc>
          <w:tcPr>
            <w:tcW w:w="2912" w:type="pct"/>
          </w:tcPr>
          <w:p w14:paraId="0022EFDD" w14:textId="77777777" w:rsidR="000D07EA" w:rsidRDefault="00BE7C89">
            <w:pPr>
              <w:pStyle w:val="BodyText"/>
              <w:spacing w:before="100" w:after="100"/>
            </w:pPr>
            <w:r>
              <w:t>Content Packs</w:t>
            </w:r>
          </w:p>
        </w:tc>
        <w:tc>
          <w:tcPr>
            <w:tcW w:w="2088" w:type="pct"/>
          </w:tcPr>
          <w:p w14:paraId="5758A882" w14:textId="77777777" w:rsidR="000D07EA" w:rsidRDefault="00BE7C89">
            <w:pPr>
              <w:pStyle w:val="BodyText"/>
              <w:spacing w:before="100" w:after="100"/>
            </w:pPr>
            <w:r>
              <w:t>No</w:t>
            </w:r>
          </w:p>
        </w:tc>
      </w:tr>
      <w:tr w:rsidR="000D07EA" w14:paraId="5C19A239" w14:textId="77777777">
        <w:tc>
          <w:tcPr>
            <w:tcW w:w="2912" w:type="pct"/>
          </w:tcPr>
          <w:p w14:paraId="224F9DE7" w14:textId="77777777" w:rsidR="000D07EA" w:rsidRDefault="00BE7C89">
            <w:pPr>
              <w:pStyle w:val="BodyText"/>
              <w:spacing w:before="100" w:after="100"/>
            </w:pPr>
            <w:r>
              <w:t>Mobile Instant Messaging - IM</w:t>
            </w:r>
          </w:p>
        </w:tc>
        <w:tc>
          <w:tcPr>
            <w:tcW w:w="2088" w:type="pct"/>
          </w:tcPr>
          <w:p w14:paraId="63695CCA" w14:textId="77777777" w:rsidR="000D07EA" w:rsidRDefault="00BE7C89">
            <w:pPr>
              <w:pStyle w:val="BodyText"/>
              <w:spacing w:before="100" w:after="100"/>
            </w:pPr>
            <w:r>
              <w:t>No</w:t>
            </w:r>
          </w:p>
        </w:tc>
      </w:tr>
      <w:tr w:rsidR="000D07EA" w14:paraId="77F0A9F6" w14:textId="77777777">
        <w:tc>
          <w:tcPr>
            <w:tcW w:w="2912" w:type="pct"/>
          </w:tcPr>
          <w:p w14:paraId="5E7153AD" w14:textId="77777777" w:rsidR="000D07EA" w:rsidRDefault="00BE7C89">
            <w:pPr>
              <w:pStyle w:val="BodyText"/>
              <w:spacing w:before="100" w:after="100"/>
            </w:pPr>
            <w:r>
              <w:t>TrueLocal Usage</w:t>
            </w:r>
          </w:p>
        </w:tc>
        <w:tc>
          <w:tcPr>
            <w:tcW w:w="2088" w:type="pct"/>
          </w:tcPr>
          <w:p w14:paraId="3CA3EE10" w14:textId="77777777" w:rsidR="000D07EA" w:rsidRDefault="00BE7C89">
            <w:pPr>
              <w:pStyle w:val="BodyText"/>
              <w:spacing w:before="100" w:after="100"/>
            </w:pPr>
            <w:r>
              <w:t>No</w:t>
            </w:r>
          </w:p>
        </w:tc>
      </w:tr>
      <w:tr w:rsidR="000D07EA" w14:paraId="45F51FF9" w14:textId="77777777">
        <w:tc>
          <w:tcPr>
            <w:tcW w:w="2912" w:type="pct"/>
          </w:tcPr>
          <w:p w14:paraId="66B52D83" w14:textId="77777777" w:rsidR="000D07EA" w:rsidRDefault="00BE7C89">
            <w:pPr>
              <w:pStyle w:val="BodyText"/>
              <w:spacing w:before="100" w:after="100"/>
            </w:pPr>
            <w:r>
              <w:t>Directory Assistance – 1223</w:t>
            </w:r>
          </w:p>
        </w:tc>
        <w:tc>
          <w:tcPr>
            <w:tcW w:w="2088" w:type="pct"/>
          </w:tcPr>
          <w:p w14:paraId="4F9FF133" w14:textId="77777777" w:rsidR="000D07EA" w:rsidRDefault="00BE7C89">
            <w:pPr>
              <w:pStyle w:val="BodyText"/>
              <w:spacing w:before="100" w:after="100"/>
            </w:pPr>
            <w:r>
              <w:t>No</w:t>
            </w:r>
          </w:p>
        </w:tc>
      </w:tr>
      <w:tr w:rsidR="000D07EA" w14:paraId="764C0C32" w14:textId="77777777">
        <w:tc>
          <w:tcPr>
            <w:tcW w:w="2912" w:type="pct"/>
          </w:tcPr>
          <w:p w14:paraId="67D86341" w14:textId="77777777" w:rsidR="000D07EA" w:rsidRDefault="00BE7C89">
            <w:pPr>
              <w:pStyle w:val="BodyText"/>
              <w:spacing w:before="100" w:after="100"/>
            </w:pPr>
            <w:r>
              <w:t>19xx Numbers</w:t>
            </w:r>
          </w:p>
        </w:tc>
        <w:tc>
          <w:tcPr>
            <w:tcW w:w="2088" w:type="pct"/>
          </w:tcPr>
          <w:p w14:paraId="73649F9C" w14:textId="77777777" w:rsidR="000D07EA" w:rsidRDefault="00BE7C89">
            <w:pPr>
              <w:pStyle w:val="BodyText"/>
              <w:spacing w:before="100" w:after="100"/>
            </w:pPr>
            <w:r>
              <w:t>No</w:t>
            </w:r>
          </w:p>
        </w:tc>
      </w:tr>
      <w:tr w:rsidR="000D07EA" w14:paraId="0F6738AA" w14:textId="77777777">
        <w:tc>
          <w:tcPr>
            <w:tcW w:w="2912" w:type="pct"/>
          </w:tcPr>
          <w:p w14:paraId="5E7CC2FD" w14:textId="77777777" w:rsidR="000D07EA" w:rsidRDefault="00BE7C89">
            <w:pPr>
              <w:pStyle w:val="BodyText"/>
              <w:spacing w:before="100" w:after="100"/>
            </w:pPr>
            <w:r>
              <w:t>1800, 13 and 1300 Numbers</w:t>
            </w:r>
          </w:p>
        </w:tc>
        <w:tc>
          <w:tcPr>
            <w:tcW w:w="2088" w:type="pct"/>
          </w:tcPr>
          <w:p w14:paraId="7351423E" w14:textId="77777777" w:rsidR="000D07EA" w:rsidRDefault="00BE7C89">
            <w:pPr>
              <w:pStyle w:val="BodyText"/>
              <w:spacing w:before="100" w:after="100"/>
            </w:pPr>
            <w:r>
              <w:t>No</w:t>
            </w:r>
          </w:p>
        </w:tc>
      </w:tr>
      <w:tr w:rsidR="000D07EA" w14:paraId="77BF465E" w14:textId="77777777">
        <w:tc>
          <w:tcPr>
            <w:tcW w:w="2912" w:type="pct"/>
          </w:tcPr>
          <w:p w14:paraId="05F59A38" w14:textId="77777777" w:rsidR="000D07EA" w:rsidRDefault="00BE7C89">
            <w:pPr>
              <w:pStyle w:val="BodyText"/>
              <w:spacing w:before="100" w:after="100"/>
            </w:pPr>
            <w:r>
              <w:t>124YES(937)</w:t>
            </w:r>
          </w:p>
        </w:tc>
        <w:tc>
          <w:tcPr>
            <w:tcW w:w="2088" w:type="pct"/>
          </w:tcPr>
          <w:p w14:paraId="3A29FC42" w14:textId="77777777" w:rsidR="000D07EA" w:rsidRDefault="00BE7C89">
            <w:pPr>
              <w:pStyle w:val="BodyText"/>
              <w:spacing w:before="100" w:after="100"/>
            </w:pPr>
            <w:r>
              <w:t>No</w:t>
            </w:r>
          </w:p>
        </w:tc>
      </w:tr>
      <w:tr w:rsidR="000D07EA" w14:paraId="2A218B6E" w14:textId="77777777">
        <w:tc>
          <w:tcPr>
            <w:tcW w:w="2912" w:type="pct"/>
          </w:tcPr>
          <w:p w14:paraId="7FFB6E8B" w14:textId="77777777" w:rsidR="000D07EA" w:rsidRDefault="00BE7C89">
            <w:pPr>
              <w:pStyle w:val="BodyText"/>
              <w:spacing w:before="100" w:after="100"/>
            </w:pPr>
            <w:r>
              <w:t>Fax and Data</w:t>
            </w:r>
          </w:p>
        </w:tc>
        <w:tc>
          <w:tcPr>
            <w:tcW w:w="2088" w:type="pct"/>
          </w:tcPr>
          <w:p w14:paraId="6BCCC800" w14:textId="77777777" w:rsidR="000D07EA" w:rsidRDefault="00BE7C89">
            <w:pPr>
              <w:pStyle w:val="BodyText"/>
              <w:spacing w:before="100" w:after="100"/>
            </w:pPr>
            <w:r>
              <w:t>No</w:t>
            </w:r>
          </w:p>
        </w:tc>
      </w:tr>
      <w:tr w:rsidR="000D07EA" w14:paraId="02E840A6" w14:textId="77777777">
        <w:tc>
          <w:tcPr>
            <w:tcW w:w="2912" w:type="pct"/>
          </w:tcPr>
          <w:p w14:paraId="63EED64C" w14:textId="77777777" w:rsidR="000D07EA" w:rsidRDefault="00BE7C89">
            <w:pPr>
              <w:pStyle w:val="BodyText"/>
              <w:spacing w:before="100" w:after="100"/>
            </w:pPr>
            <w:r>
              <w:t>Insurance</w:t>
            </w:r>
          </w:p>
        </w:tc>
        <w:tc>
          <w:tcPr>
            <w:tcW w:w="2088" w:type="pct"/>
          </w:tcPr>
          <w:p w14:paraId="5CA00B8E" w14:textId="77777777" w:rsidR="000D07EA" w:rsidRDefault="00BE7C89">
            <w:pPr>
              <w:pStyle w:val="BodyText"/>
              <w:spacing w:before="100" w:after="100"/>
            </w:pPr>
            <w:r>
              <w:t>No</w:t>
            </w:r>
          </w:p>
        </w:tc>
      </w:tr>
      <w:tr w:rsidR="000D07EA" w14:paraId="1E10D3ED" w14:textId="77777777">
        <w:tc>
          <w:tcPr>
            <w:tcW w:w="2912" w:type="pct"/>
          </w:tcPr>
          <w:p w14:paraId="2304CFA9" w14:textId="77777777" w:rsidR="000D07EA" w:rsidRDefault="00BE7C89">
            <w:pPr>
              <w:pStyle w:val="BodyText"/>
              <w:spacing w:before="100" w:after="100"/>
            </w:pPr>
            <w:r>
              <w:t>Surepage Usage and Access</w:t>
            </w:r>
          </w:p>
        </w:tc>
        <w:tc>
          <w:tcPr>
            <w:tcW w:w="2088" w:type="pct"/>
          </w:tcPr>
          <w:p w14:paraId="0A9F5872" w14:textId="77777777" w:rsidR="000D07EA" w:rsidRDefault="00BE7C89">
            <w:pPr>
              <w:pStyle w:val="BodyText"/>
              <w:spacing w:before="100" w:after="100"/>
            </w:pPr>
            <w:r>
              <w:t>No</w:t>
            </w:r>
          </w:p>
        </w:tc>
      </w:tr>
      <w:tr w:rsidR="000D07EA" w14:paraId="74D6B38E" w14:textId="77777777">
        <w:tc>
          <w:tcPr>
            <w:tcW w:w="2912" w:type="pct"/>
          </w:tcPr>
          <w:p w14:paraId="069EDBA8" w14:textId="77777777" w:rsidR="000D07EA" w:rsidRDefault="00BE7C89">
            <w:pPr>
              <w:pStyle w:val="BodyText"/>
              <w:spacing w:before="100" w:after="100"/>
            </w:pPr>
            <w:r>
              <w:t>Handset Payments</w:t>
            </w:r>
          </w:p>
        </w:tc>
        <w:tc>
          <w:tcPr>
            <w:tcW w:w="2088" w:type="pct"/>
          </w:tcPr>
          <w:p w14:paraId="175D641F" w14:textId="77777777" w:rsidR="000D07EA" w:rsidRDefault="00BE7C89">
            <w:pPr>
              <w:pStyle w:val="BodyText"/>
              <w:spacing w:before="100" w:after="100"/>
            </w:pPr>
            <w:r>
              <w:t>No</w:t>
            </w:r>
          </w:p>
        </w:tc>
      </w:tr>
      <w:tr w:rsidR="000D07EA" w14:paraId="3D3CA5B0" w14:textId="77777777">
        <w:tc>
          <w:tcPr>
            <w:tcW w:w="2912" w:type="pct"/>
          </w:tcPr>
          <w:p w14:paraId="6BB33490" w14:textId="77777777" w:rsidR="000D07EA" w:rsidRDefault="00BE7C89">
            <w:pPr>
              <w:pStyle w:val="BodyText"/>
              <w:spacing w:before="100" w:after="100"/>
            </w:pPr>
            <w:r>
              <w:t>Calls to Satellite</w:t>
            </w:r>
          </w:p>
        </w:tc>
        <w:tc>
          <w:tcPr>
            <w:tcW w:w="2088" w:type="pct"/>
          </w:tcPr>
          <w:p w14:paraId="54F45A65" w14:textId="77777777" w:rsidR="000D07EA" w:rsidRDefault="00BE7C89">
            <w:pPr>
              <w:pStyle w:val="BodyText"/>
              <w:spacing w:before="100" w:after="100"/>
            </w:pPr>
            <w:r>
              <w:t>No</w:t>
            </w:r>
          </w:p>
        </w:tc>
      </w:tr>
      <w:tr w:rsidR="000D07EA" w14:paraId="25A1EC55" w14:textId="77777777">
        <w:tc>
          <w:tcPr>
            <w:tcW w:w="2912" w:type="pct"/>
          </w:tcPr>
          <w:p w14:paraId="5AAD3856" w14:textId="77777777" w:rsidR="000D07EA" w:rsidRDefault="00BE7C89">
            <w:pPr>
              <w:pStyle w:val="BodyText"/>
              <w:spacing w:before="100" w:after="100"/>
            </w:pPr>
            <w:r>
              <w:t>VoIP Services</w:t>
            </w:r>
          </w:p>
        </w:tc>
        <w:tc>
          <w:tcPr>
            <w:tcW w:w="2088" w:type="pct"/>
          </w:tcPr>
          <w:p w14:paraId="42572E8F" w14:textId="77777777" w:rsidR="000D07EA" w:rsidRDefault="00BE7C89">
            <w:pPr>
              <w:pStyle w:val="BodyText"/>
              <w:spacing w:before="100" w:after="100"/>
            </w:pPr>
            <w:r>
              <w:t>No</w:t>
            </w:r>
          </w:p>
        </w:tc>
      </w:tr>
    </w:tbl>
    <w:p w14:paraId="4FF43E30" w14:textId="77777777" w:rsidR="000D07EA" w:rsidRDefault="00BE7C89">
      <w:pPr>
        <w:pStyle w:val="BodyText"/>
        <w:spacing w:before="240"/>
        <w:ind w:left="1440"/>
        <w:rPr>
          <w:iCs/>
        </w:rPr>
      </w:pPr>
      <w:r>
        <w:rPr>
          <w:iCs/>
        </w:rPr>
        <w:t xml:space="preserve">The particular 'Eligible Calls' and 'Eligible Data' features available to </w:t>
      </w:r>
      <w:r>
        <w:rPr>
          <w:i/>
          <w:iCs/>
        </w:rPr>
        <w:t>you</w:t>
      </w:r>
      <w:r>
        <w:rPr>
          <w:iCs/>
        </w:rPr>
        <w:t xml:space="preserve"> will vary depending on the particular iPhone or software version </w:t>
      </w:r>
      <w:r>
        <w:rPr>
          <w:i/>
          <w:iCs/>
        </w:rPr>
        <w:t>you</w:t>
      </w:r>
      <w:r>
        <w:rPr>
          <w:iCs/>
        </w:rPr>
        <w:t xml:space="preserve"> use.</w:t>
      </w:r>
    </w:p>
    <w:p w14:paraId="680291F3" w14:textId="77777777" w:rsidR="000D07EA" w:rsidRDefault="00BE7C89">
      <w:pPr>
        <w:pStyle w:val="BodyText"/>
        <w:ind w:left="1440"/>
      </w:pPr>
      <w:r>
        <w:t xml:space="preserve">* Included data on </w:t>
      </w:r>
      <w:r>
        <w:rPr>
          <w:i/>
        </w:rPr>
        <w:t>your</w:t>
      </w:r>
      <w:r>
        <w:t xml:space="preserve"> Business Cap Plan for iPhone 3G is not available when the iPhone is used as a </w:t>
      </w:r>
      <w:r>
        <w:rPr>
          <w:i/>
        </w:rPr>
        <w:t>tethered modem</w:t>
      </w:r>
      <w:r>
        <w:t xml:space="preserve">, unless </w:t>
      </w:r>
      <w:r>
        <w:rPr>
          <w:i/>
        </w:rPr>
        <w:t>you</w:t>
      </w:r>
      <w:r>
        <w:t xml:space="preserve"> have selected BUS iPhone as Modem access. </w:t>
      </w:r>
    </w:p>
    <w:p w14:paraId="45A6014D" w14:textId="77777777" w:rsidR="000D07EA" w:rsidRDefault="000D07EA">
      <w:pPr>
        <w:pStyle w:val="BodyText"/>
        <w:ind w:left="1440"/>
      </w:pPr>
    </w:p>
    <w:p w14:paraId="0C8CC1A4" w14:textId="77777777" w:rsidR="000D07EA" w:rsidRDefault="000D07EA">
      <w:pPr>
        <w:pStyle w:val="BodyText"/>
        <w:ind w:left="1440"/>
        <w:sectPr w:rsidR="000D07EA">
          <w:headerReference w:type="default" r:id="rId92"/>
          <w:footerReference w:type="default" r:id="rId93"/>
          <w:pgSz w:w="11900" w:h="16840"/>
          <w:pgMar w:top="851" w:right="851" w:bottom="851" w:left="851" w:header="461" w:footer="288" w:gutter="0"/>
          <w:cols w:space="708"/>
          <w:docGrid w:linePitch="360"/>
        </w:sectPr>
      </w:pPr>
    </w:p>
    <w:p w14:paraId="0EED5BD1" w14:textId="77777777" w:rsidR="000D07EA" w:rsidRDefault="00BE7C89">
      <w:pPr>
        <w:pStyle w:val="BodyText"/>
        <w:rPr>
          <w:b/>
          <w:i/>
        </w:rPr>
      </w:pPr>
      <w:r>
        <w:rPr>
          <w:b/>
          <w:i/>
        </w:rPr>
        <w:lastRenderedPageBreak/>
        <w:t>Pricing Plans Table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776"/>
        <w:gridCol w:w="1544"/>
        <w:gridCol w:w="1544"/>
        <w:gridCol w:w="1544"/>
        <w:gridCol w:w="1544"/>
        <w:gridCol w:w="1544"/>
        <w:gridCol w:w="1544"/>
        <w:gridCol w:w="1544"/>
        <w:gridCol w:w="1544"/>
      </w:tblGrid>
      <w:tr w:rsidR="000D07EA" w14:paraId="6786B01B" w14:textId="77777777">
        <w:tc>
          <w:tcPr>
            <w:tcW w:w="916" w:type="pct"/>
          </w:tcPr>
          <w:p w14:paraId="42E80CFC" w14:textId="77777777" w:rsidR="000D07EA" w:rsidRDefault="00BE7C89">
            <w:pPr>
              <w:pStyle w:val="BodyText"/>
              <w:spacing w:before="100" w:after="100"/>
              <w:rPr>
                <w:b/>
                <w:i/>
                <w:color w:val="000000"/>
              </w:rPr>
            </w:pPr>
            <w:r>
              <w:rPr>
                <w:b/>
                <w:i/>
              </w:rPr>
              <w:t>Charge Type</w:t>
            </w:r>
          </w:p>
        </w:tc>
        <w:tc>
          <w:tcPr>
            <w:tcW w:w="510" w:type="pct"/>
          </w:tcPr>
          <w:p w14:paraId="5B46F1E4" w14:textId="77777777" w:rsidR="000D07EA" w:rsidRDefault="00BE7C89">
            <w:pPr>
              <w:pStyle w:val="BodyText"/>
              <w:spacing w:before="100" w:after="100"/>
              <w:jc w:val="center"/>
              <w:rPr>
                <w:b/>
              </w:rPr>
            </w:pPr>
            <w:r>
              <w:rPr>
                <w:b/>
              </w:rPr>
              <w:t>Business 49 Cap Plan for iPhone 3G</w:t>
            </w:r>
          </w:p>
        </w:tc>
        <w:tc>
          <w:tcPr>
            <w:tcW w:w="510" w:type="pct"/>
          </w:tcPr>
          <w:p w14:paraId="4BBAA992" w14:textId="77777777" w:rsidR="000D07EA" w:rsidRDefault="00BE7C89">
            <w:pPr>
              <w:pStyle w:val="BodyText"/>
              <w:spacing w:before="100" w:after="100"/>
              <w:jc w:val="center"/>
              <w:rPr>
                <w:b/>
              </w:rPr>
            </w:pPr>
            <w:r>
              <w:rPr>
                <w:b/>
              </w:rPr>
              <w:t>Business 59 Cap Plan for iPhone 3G</w:t>
            </w:r>
          </w:p>
        </w:tc>
        <w:tc>
          <w:tcPr>
            <w:tcW w:w="510" w:type="pct"/>
          </w:tcPr>
          <w:p w14:paraId="5308158A" w14:textId="77777777" w:rsidR="000D07EA" w:rsidRDefault="00BE7C89">
            <w:pPr>
              <w:pStyle w:val="BodyText"/>
              <w:spacing w:before="100" w:after="100"/>
              <w:jc w:val="center"/>
              <w:rPr>
                <w:b/>
              </w:rPr>
            </w:pPr>
            <w:r>
              <w:rPr>
                <w:b/>
              </w:rPr>
              <w:t>Business 79 Cap Plan for iPhone 3G</w:t>
            </w:r>
          </w:p>
        </w:tc>
        <w:tc>
          <w:tcPr>
            <w:tcW w:w="510" w:type="pct"/>
          </w:tcPr>
          <w:p w14:paraId="782F1E41" w14:textId="77777777" w:rsidR="000D07EA" w:rsidRDefault="00BE7C89">
            <w:pPr>
              <w:pStyle w:val="BodyText"/>
              <w:spacing w:before="100" w:after="100"/>
              <w:jc w:val="center"/>
              <w:rPr>
                <w:b/>
              </w:rPr>
            </w:pPr>
            <w:r>
              <w:rPr>
                <w:b/>
              </w:rPr>
              <w:t>Business 89 Cap Plan for iPhone 3G</w:t>
            </w:r>
          </w:p>
        </w:tc>
        <w:tc>
          <w:tcPr>
            <w:tcW w:w="510" w:type="pct"/>
          </w:tcPr>
          <w:p w14:paraId="42A89C9F" w14:textId="77777777" w:rsidR="000D07EA" w:rsidRDefault="00BE7C89">
            <w:pPr>
              <w:pStyle w:val="BodyText"/>
              <w:spacing w:before="100" w:after="100"/>
              <w:jc w:val="center"/>
              <w:rPr>
                <w:b/>
              </w:rPr>
            </w:pPr>
            <w:r>
              <w:rPr>
                <w:b/>
              </w:rPr>
              <w:t>Business 99 Cap Plan for iPhone 3G</w:t>
            </w:r>
          </w:p>
        </w:tc>
        <w:tc>
          <w:tcPr>
            <w:tcW w:w="510" w:type="pct"/>
          </w:tcPr>
          <w:p w14:paraId="598D6716" w14:textId="77777777" w:rsidR="000D07EA" w:rsidRDefault="00BE7C89">
            <w:pPr>
              <w:pStyle w:val="BodyText"/>
              <w:spacing w:before="100" w:after="100"/>
              <w:jc w:val="center"/>
              <w:rPr>
                <w:b/>
              </w:rPr>
            </w:pPr>
            <w:r>
              <w:rPr>
                <w:b/>
              </w:rPr>
              <w:t>Business 149 Cap Plan for iPhone 3G</w:t>
            </w:r>
          </w:p>
        </w:tc>
        <w:tc>
          <w:tcPr>
            <w:tcW w:w="510" w:type="pct"/>
          </w:tcPr>
          <w:p w14:paraId="20B8A357" w14:textId="77777777" w:rsidR="000D07EA" w:rsidRDefault="00BE7C89">
            <w:pPr>
              <w:pStyle w:val="BodyText"/>
              <w:spacing w:before="100" w:after="100"/>
              <w:jc w:val="center"/>
              <w:rPr>
                <w:b/>
              </w:rPr>
            </w:pPr>
            <w:r>
              <w:rPr>
                <w:b/>
              </w:rPr>
              <w:t>Business 179 Cap Plan for iPhone 3G</w:t>
            </w:r>
          </w:p>
        </w:tc>
        <w:tc>
          <w:tcPr>
            <w:tcW w:w="510" w:type="pct"/>
          </w:tcPr>
          <w:p w14:paraId="665F0D1B" w14:textId="77777777" w:rsidR="000D07EA" w:rsidRDefault="00BE7C89">
            <w:pPr>
              <w:pStyle w:val="BodyText"/>
              <w:spacing w:before="100" w:after="100"/>
              <w:jc w:val="center"/>
              <w:rPr>
                <w:b/>
              </w:rPr>
            </w:pPr>
            <w:r>
              <w:rPr>
                <w:b/>
              </w:rPr>
              <w:t>Business iPhone 199 Cap Plan</w:t>
            </w:r>
          </w:p>
        </w:tc>
      </w:tr>
      <w:tr w:rsidR="000D07EA" w14:paraId="241F01B6" w14:textId="77777777">
        <w:tc>
          <w:tcPr>
            <w:tcW w:w="916" w:type="pct"/>
          </w:tcPr>
          <w:p w14:paraId="351ED9D8" w14:textId="77777777" w:rsidR="000D07EA" w:rsidRDefault="00BE7C89">
            <w:pPr>
              <w:pStyle w:val="BodyText"/>
              <w:spacing w:before="100" w:after="100"/>
              <w:rPr>
                <w:b/>
                <w:i/>
              </w:rPr>
            </w:pPr>
            <w:r>
              <w:rPr>
                <w:b/>
                <w:i/>
              </w:rPr>
              <w:t>Minimum Monthly Commitment</w:t>
            </w:r>
          </w:p>
        </w:tc>
        <w:tc>
          <w:tcPr>
            <w:tcW w:w="510" w:type="pct"/>
          </w:tcPr>
          <w:p w14:paraId="7B980BBB" w14:textId="77777777" w:rsidR="000D07EA" w:rsidRDefault="00BE7C89">
            <w:pPr>
              <w:pStyle w:val="BodyText"/>
              <w:spacing w:before="100" w:after="100"/>
              <w:jc w:val="center"/>
            </w:pPr>
            <w:r>
              <w:t>$44.54</w:t>
            </w:r>
            <w:r>
              <w:br/>
              <w:t>($49)</w:t>
            </w:r>
          </w:p>
        </w:tc>
        <w:tc>
          <w:tcPr>
            <w:tcW w:w="510" w:type="pct"/>
          </w:tcPr>
          <w:p w14:paraId="13070417" w14:textId="77777777" w:rsidR="000D07EA" w:rsidRDefault="00BE7C89">
            <w:pPr>
              <w:pStyle w:val="BodyText"/>
              <w:spacing w:before="100" w:after="100"/>
              <w:jc w:val="center"/>
            </w:pPr>
            <w:r>
              <w:t>$53.63</w:t>
            </w:r>
            <w:r>
              <w:br/>
              <w:t>($59)</w:t>
            </w:r>
          </w:p>
        </w:tc>
        <w:tc>
          <w:tcPr>
            <w:tcW w:w="510" w:type="pct"/>
          </w:tcPr>
          <w:p w14:paraId="0F34A347" w14:textId="77777777" w:rsidR="000D07EA" w:rsidRDefault="00BE7C89">
            <w:pPr>
              <w:pStyle w:val="BodyText"/>
              <w:spacing w:before="100" w:after="100"/>
              <w:jc w:val="center"/>
            </w:pPr>
            <w:r>
              <w:t>$71.81</w:t>
            </w:r>
            <w:r>
              <w:br/>
              <w:t>($79)</w:t>
            </w:r>
          </w:p>
        </w:tc>
        <w:tc>
          <w:tcPr>
            <w:tcW w:w="510" w:type="pct"/>
          </w:tcPr>
          <w:p w14:paraId="716881C1" w14:textId="77777777" w:rsidR="000D07EA" w:rsidRDefault="00BE7C89">
            <w:pPr>
              <w:pStyle w:val="BodyText"/>
              <w:spacing w:before="100" w:after="100"/>
              <w:jc w:val="center"/>
            </w:pPr>
            <w:r>
              <w:t>$80.90</w:t>
            </w:r>
            <w:r>
              <w:br/>
              <w:t>($89)</w:t>
            </w:r>
          </w:p>
        </w:tc>
        <w:tc>
          <w:tcPr>
            <w:tcW w:w="510" w:type="pct"/>
          </w:tcPr>
          <w:p w14:paraId="5146B456" w14:textId="77777777" w:rsidR="000D07EA" w:rsidRDefault="00BE7C89">
            <w:pPr>
              <w:pStyle w:val="BodyText"/>
              <w:spacing w:before="100" w:after="100"/>
              <w:jc w:val="center"/>
            </w:pPr>
            <w:r>
              <w:t>$90</w:t>
            </w:r>
            <w:r>
              <w:br/>
              <w:t>($99)</w:t>
            </w:r>
          </w:p>
        </w:tc>
        <w:tc>
          <w:tcPr>
            <w:tcW w:w="510" w:type="pct"/>
          </w:tcPr>
          <w:p w14:paraId="20811E63" w14:textId="77777777" w:rsidR="000D07EA" w:rsidRDefault="00BE7C89">
            <w:pPr>
              <w:pStyle w:val="BodyText"/>
              <w:spacing w:before="100" w:after="100"/>
              <w:jc w:val="center"/>
            </w:pPr>
            <w:r>
              <w:t>$135.45</w:t>
            </w:r>
            <w:r>
              <w:br/>
              <w:t>($149)</w:t>
            </w:r>
          </w:p>
        </w:tc>
        <w:tc>
          <w:tcPr>
            <w:tcW w:w="510" w:type="pct"/>
          </w:tcPr>
          <w:p w14:paraId="147778F6" w14:textId="77777777" w:rsidR="000D07EA" w:rsidRDefault="00BE7C89">
            <w:pPr>
              <w:pStyle w:val="BodyText"/>
              <w:spacing w:before="100" w:after="100"/>
              <w:jc w:val="center"/>
            </w:pPr>
            <w:r>
              <w:t>$162.72</w:t>
            </w:r>
            <w:r>
              <w:br/>
              <w:t>($179)</w:t>
            </w:r>
          </w:p>
        </w:tc>
        <w:tc>
          <w:tcPr>
            <w:tcW w:w="510" w:type="pct"/>
          </w:tcPr>
          <w:p w14:paraId="4668234C" w14:textId="77777777" w:rsidR="000D07EA" w:rsidRDefault="00BE7C89">
            <w:pPr>
              <w:pStyle w:val="BodyText"/>
              <w:spacing w:before="100" w:after="100"/>
              <w:jc w:val="center"/>
            </w:pPr>
            <w:r>
              <w:t>$180.90</w:t>
            </w:r>
            <w:r>
              <w:br/>
              <w:t>($199)</w:t>
            </w:r>
          </w:p>
        </w:tc>
      </w:tr>
      <w:tr w:rsidR="000D07EA" w14:paraId="018E1132" w14:textId="77777777">
        <w:tc>
          <w:tcPr>
            <w:tcW w:w="916" w:type="pct"/>
            <w:tcBorders>
              <w:bottom w:val="nil"/>
            </w:tcBorders>
          </w:tcPr>
          <w:p w14:paraId="54917A8F" w14:textId="77777777" w:rsidR="000D07EA" w:rsidRDefault="00BE7C89">
            <w:pPr>
              <w:pStyle w:val="BodyText"/>
              <w:spacing w:before="100" w:after="100"/>
              <w:rPr>
                <w:b/>
              </w:rPr>
            </w:pPr>
            <w:r>
              <w:rPr>
                <w:b/>
              </w:rPr>
              <w:t xml:space="preserve">Included call component </w:t>
            </w:r>
          </w:p>
        </w:tc>
        <w:tc>
          <w:tcPr>
            <w:tcW w:w="510" w:type="pct"/>
            <w:tcBorders>
              <w:bottom w:val="nil"/>
            </w:tcBorders>
          </w:tcPr>
          <w:p w14:paraId="6C1798D0" w14:textId="77777777" w:rsidR="000D07EA" w:rsidRDefault="00BE7C89">
            <w:pPr>
              <w:pStyle w:val="BodyText"/>
              <w:spacing w:before="100" w:after="100"/>
              <w:jc w:val="center"/>
            </w:pPr>
            <w:r>
              <w:t>$272.73</w:t>
            </w:r>
            <w:r>
              <w:br/>
              <w:t>($300)</w:t>
            </w:r>
          </w:p>
        </w:tc>
        <w:tc>
          <w:tcPr>
            <w:tcW w:w="510" w:type="pct"/>
            <w:tcBorders>
              <w:bottom w:val="nil"/>
            </w:tcBorders>
          </w:tcPr>
          <w:p w14:paraId="604E4DBC" w14:textId="77777777" w:rsidR="000D07EA" w:rsidRDefault="00BE7C89">
            <w:pPr>
              <w:pStyle w:val="BodyText"/>
              <w:spacing w:before="100" w:after="100"/>
              <w:jc w:val="center"/>
            </w:pPr>
            <w:r>
              <w:t>$318.18</w:t>
            </w:r>
            <w:r>
              <w:br/>
              <w:t>($350)</w:t>
            </w:r>
          </w:p>
        </w:tc>
        <w:tc>
          <w:tcPr>
            <w:tcW w:w="510" w:type="pct"/>
            <w:tcBorders>
              <w:bottom w:val="nil"/>
            </w:tcBorders>
          </w:tcPr>
          <w:p w14:paraId="37090DF9" w14:textId="77777777" w:rsidR="000D07EA" w:rsidRDefault="00BE7C89">
            <w:pPr>
              <w:pStyle w:val="BodyText"/>
              <w:spacing w:before="100" w:after="100"/>
              <w:jc w:val="center"/>
            </w:pPr>
            <w:r>
              <w:t>$500</w:t>
            </w:r>
            <w:r>
              <w:br/>
              <w:t>($550)</w:t>
            </w:r>
          </w:p>
        </w:tc>
        <w:tc>
          <w:tcPr>
            <w:tcW w:w="510" w:type="pct"/>
            <w:tcBorders>
              <w:bottom w:val="nil"/>
            </w:tcBorders>
          </w:tcPr>
          <w:p w14:paraId="7169D9C7" w14:textId="77777777" w:rsidR="000D07EA" w:rsidRDefault="00BE7C89">
            <w:pPr>
              <w:pStyle w:val="BodyText"/>
              <w:spacing w:before="100" w:after="100"/>
              <w:jc w:val="center"/>
            </w:pPr>
            <w:r>
              <w:t>$545.45</w:t>
            </w:r>
            <w:r>
              <w:br/>
              <w:t>($600)</w:t>
            </w:r>
          </w:p>
        </w:tc>
        <w:tc>
          <w:tcPr>
            <w:tcW w:w="510" w:type="pct"/>
            <w:tcBorders>
              <w:bottom w:val="nil"/>
            </w:tcBorders>
          </w:tcPr>
          <w:p w14:paraId="04D49CB6" w14:textId="77777777" w:rsidR="000D07EA" w:rsidRDefault="00BE7C89">
            <w:pPr>
              <w:pStyle w:val="BodyText"/>
              <w:spacing w:before="100" w:after="100"/>
              <w:jc w:val="center"/>
            </w:pPr>
            <w:r>
              <w:t>$681.82</w:t>
            </w:r>
            <w:r>
              <w:br/>
              <w:t>($750)</w:t>
            </w:r>
          </w:p>
        </w:tc>
        <w:tc>
          <w:tcPr>
            <w:tcW w:w="510" w:type="pct"/>
            <w:tcBorders>
              <w:bottom w:val="nil"/>
            </w:tcBorders>
          </w:tcPr>
          <w:p w14:paraId="6B8C9781" w14:textId="77777777" w:rsidR="000D07EA" w:rsidRDefault="00BE7C89">
            <w:pPr>
              <w:pStyle w:val="BodyText"/>
              <w:spacing w:before="100" w:after="100"/>
              <w:jc w:val="center"/>
            </w:pPr>
            <w:r>
              <w:t>$1090.91</w:t>
            </w:r>
            <w:r>
              <w:br/>
              <w:t>($1200)</w:t>
            </w:r>
          </w:p>
        </w:tc>
        <w:tc>
          <w:tcPr>
            <w:tcW w:w="510" w:type="pct"/>
            <w:tcBorders>
              <w:bottom w:val="nil"/>
            </w:tcBorders>
          </w:tcPr>
          <w:p w14:paraId="0B9D2235" w14:textId="77777777" w:rsidR="000D07EA" w:rsidRDefault="00BE7C89">
            <w:pPr>
              <w:pStyle w:val="BodyText"/>
              <w:spacing w:before="100" w:after="100"/>
              <w:jc w:val="center"/>
            </w:pPr>
            <w:r>
              <w:t>$1363.63</w:t>
            </w:r>
            <w:r>
              <w:br/>
              <w:t>($1500)</w:t>
            </w:r>
          </w:p>
        </w:tc>
        <w:tc>
          <w:tcPr>
            <w:tcW w:w="510" w:type="pct"/>
            <w:tcBorders>
              <w:bottom w:val="nil"/>
            </w:tcBorders>
          </w:tcPr>
          <w:p w14:paraId="263605ED" w14:textId="77777777" w:rsidR="000D07EA" w:rsidRDefault="00BE7C89">
            <w:pPr>
              <w:pStyle w:val="BodyText"/>
              <w:spacing w:before="100" w:after="100"/>
              <w:jc w:val="center"/>
            </w:pPr>
            <w:r>
              <w:t>$1727.28</w:t>
            </w:r>
            <w:r>
              <w:br/>
              <w:t>($1900)</w:t>
            </w:r>
          </w:p>
        </w:tc>
      </w:tr>
      <w:tr w:rsidR="000D07EA" w14:paraId="325F683A" w14:textId="77777777">
        <w:tc>
          <w:tcPr>
            <w:tcW w:w="916" w:type="pct"/>
            <w:tcBorders>
              <w:bottom w:val="nil"/>
            </w:tcBorders>
          </w:tcPr>
          <w:p w14:paraId="42365234" w14:textId="77777777" w:rsidR="000D07EA" w:rsidRDefault="00BE7C89">
            <w:pPr>
              <w:pStyle w:val="BodyText"/>
              <w:spacing w:before="100" w:after="100"/>
            </w:pPr>
            <w:r>
              <w:rPr>
                <w:b/>
              </w:rPr>
              <w:t>Standard Call Rate</w:t>
            </w:r>
            <w:r>
              <w:t xml:space="preserve"> (per 30 seconds)</w:t>
            </w:r>
          </w:p>
          <w:p w14:paraId="38FC60B8" w14:textId="77777777" w:rsidR="000D07EA" w:rsidRDefault="00BE7C89">
            <w:pPr>
              <w:pStyle w:val="BodyText"/>
              <w:spacing w:before="100" w:after="100"/>
              <w:rPr>
                <w:color w:val="000000"/>
              </w:rPr>
            </w:pPr>
            <w:r>
              <w:rPr>
                <w:i/>
              </w:rPr>
              <w:t xml:space="preserve">Local calls, National long distance, national video calls </w:t>
            </w:r>
          </w:p>
        </w:tc>
        <w:tc>
          <w:tcPr>
            <w:tcW w:w="510" w:type="pct"/>
            <w:tcBorders>
              <w:bottom w:val="nil"/>
            </w:tcBorders>
          </w:tcPr>
          <w:p w14:paraId="45175141" w14:textId="77777777" w:rsidR="000D07EA" w:rsidRDefault="00BE7C89">
            <w:pPr>
              <w:pStyle w:val="BodyText"/>
              <w:spacing w:before="100" w:after="100"/>
              <w:jc w:val="center"/>
            </w:pPr>
            <w:r>
              <w:t>$0.36</w:t>
            </w:r>
            <w:r>
              <w:br/>
              <w:t>($0.40)</w:t>
            </w:r>
          </w:p>
        </w:tc>
        <w:tc>
          <w:tcPr>
            <w:tcW w:w="510" w:type="pct"/>
            <w:tcBorders>
              <w:bottom w:val="nil"/>
            </w:tcBorders>
          </w:tcPr>
          <w:p w14:paraId="2A94FF5C" w14:textId="77777777" w:rsidR="000D07EA" w:rsidRDefault="00BE7C89">
            <w:pPr>
              <w:pStyle w:val="BodyText"/>
              <w:spacing w:before="100" w:after="100"/>
              <w:jc w:val="center"/>
            </w:pPr>
            <w:r>
              <w:t>$0.36</w:t>
            </w:r>
            <w:r>
              <w:br/>
              <w:t>($0.40)</w:t>
            </w:r>
          </w:p>
        </w:tc>
        <w:tc>
          <w:tcPr>
            <w:tcW w:w="510" w:type="pct"/>
            <w:tcBorders>
              <w:bottom w:val="nil"/>
            </w:tcBorders>
          </w:tcPr>
          <w:p w14:paraId="3115309C" w14:textId="77777777" w:rsidR="000D07EA" w:rsidRDefault="00BE7C89">
            <w:pPr>
              <w:pStyle w:val="BodyText"/>
              <w:spacing w:before="100" w:after="100"/>
              <w:jc w:val="center"/>
            </w:pPr>
            <w:r>
              <w:t>$0.31</w:t>
            </w:r>
            <w:r>
              <w:br/>
              <w:t>($0.35)</w:t>
            </w:r>
          </w:p>
        </w:tc>
        <w:tc>
          <w:tcPr>
            <w:tcW w:w="510" w:type="pct"/>
            <w:tcBorders>
              <w:bottom w:val="nil"/>
            </w:tcBorders>
          </w:tcPr>
          <w:p w14:paraId="14F68F64" w14:textId="77777777" w:rsidR="000D07EA" w:rsidRDefault="00BE7C89">
            <w:pPr>
              <w:pStyle w:val="BodyText"/>
              <w:spacing w:before="100" w:after="100"/>
              <w:jc w:val="center"/>
            </w:pPr>
            <w:r>
              <w:t>$0.31</w:t>
            </w:r>
            <w:r>
              <w:br/>
              <w:t>($0.35)</w:t>
            </w:r>
          </w:p>
        </w:tc>
        <w:tc>
          <w:tcPr>
            <w:tcW w:w="510" w:type="pct"/>
            <w:tcBorders>
              <w:bottom w:val="nil"/>
            </w:tcBorders>
          </w:tcPr>
          <w:p w14:paraId="51E7A414" w14:textId="77777777" w:rsidR="000D07EA" w:rsidRDefault="00BE7C89">
            <w:pPr>
              <w:pStyle w:val="BodyText"/>
              <w:spacing w:before="100" w:after="100"/>
              <w:jc w:val="center"/>
            </w:pPr>
            <w:r>
              <w:t>$0.31</w:t>
            </w:r>
            <w:r>
              <w:br/>
              <w:t>($0.35)</w:t>
            </w:r>
          </w:p>
        </w:tc>
        <w:tc>
          <w:tcPr>
            <w:tcW w:w="510" w:type="pct"/>
            <w:tcBorders>
              <w:bottom w:val="nil"/>
            </w:tcBorders>
          </w:tcPr>
          <w:p w14:paraId="3E8E684F" w14:textId="77777777" w:rsidR="000D07EA" w:rsidRDefault="00BE7C89">
            <w:pPr>
              <w:pStyle w:val="BodyText"/>
              <w:spacing w:before="100" w:after="100"/>
              <w:jc w:val="center"/>
            </w:pPr>
            <w:r>
              <w:t>$0.31</w:t>
            </w:r>
            <w:r>
              <w:br/>
              <w:t>($0.35)</w:t>
            </w:r>
          </w:p>
        </w:tc>
        <w:tc>
          <w:tcPr>
            <w:tcW w:w="510" w:type="pct"/>
            <w:tcBorders>
              <w:bottom w:val="nil"/>
            </w:tcBorders>
          </w:tcPr>
          <w:p w14:paraId="78447EC1" w14:textId="77777777" w:rsidR="000D07EA" w:rsidRDefault="00BE7C89">
            <w:pPr>
              <w:pStyle w:val="BodyText"/>
              <w:spacing w:before="100" w:after="100"/>
              <w:jc w:val="center"/>
            </w:pPr>
            <w:r>
              <w:t>$0.31</w:t>
            </w:r>
            <w:r>
              <w:br/>
              <w:t>($0.35)</w:t>
            </w:r>
          </w:p>
        </w:tc>
        <w:tc>
          <w:tcPr>
            <w:tcW w:w="510" w:type="pct"/>
            <w:tcBorders>
              <w:bottom w:val="nil"/>
            </w:tcBorders>
          </w:tcPr>
          <w:p w14:paraId="76BFAD11" w14:textId="77777777" w:rsidR="000D07EA" w:rsidRDefault="00BE7C89">
            <w:pPr>
              <w:pStyle w:val="BodyText"/>
              <w:spacing w:before="100" w:after="100"/>
              <w:jc w:val="center"/>
            </w:pPr>
            <w:r>
              <w:t>$0.31</w:t>
            </w:r>
            <w:r>
              <w:br/>
              <w:t>($0.35)</w:t>
            </w:r>
          </w:p>
        </w:tc>
      </w:tr>
      <w:tr w:rsidR="000D07EA" w14:paraId="1111F556" w14:textId="77777777">
        <w:tc>
          <w:tcPr>
            <w:tcW w:w="916" w:type="pct"/>
          </w:tcPr>
          <w:p w14:paraId="112E4713" w14:textId="77777777" w:rsidR="000D07EA" w:rsidRDefault="00BE7C89">
            <w:pPr>
              <w:pStyle w:val="BodyText"/>
              <w:spacing w:before="100" w:after="100"/>
              <w:rPr>
                <w:b/>
                <w:i/>
              </w:rPr>
            </w:pPr>
            <w:r>
              <w:rPr>
                <w:b/>
                <w:i/>
              </w:rPr>
              <w:t>Flagfall</w:t>
            </w:r>
          </w:p>
        </w:tc>
        <w:tc>
          <w:tcPr>
            <w:tcW w:w="510" w:type="pct"/>
          </w:tcPr>
          <w:p w14:paraId="37695AC0" w14:textId="77777777" w:rsidR="000D07EA" w:rsidRDefault="00BE7C89">
            <w:pPr>
              <w:pStyle w:val="BodyText"/>
              <w:spacing w:before="100" w:after="100"/>
              <w:jc w:val="center"/>
            </w:pPr>
            <w:r>
              <w:t>$0.31</w:t>
            </w:r>
            <w:r>
              <w:br/>
              <w:t>($0.35)</w:t>
            </w:r>
          </w:p>
        </w:tc>
        <w:tc>
          <w:tcPr>
            <w:tcW w:w="510" w:type="pct"/>
          </w:tcPr>
          <w:p w14:paraId="5FCB5017" w14:textId="77777777" w:rsidR="000D07EA" w:rsidRDefault="00BE7C89">
            <w:pPr>
              <w:pStyle w:val="BodyText"/>
              <w:spacing w:before="100" w:after="100"/>
              <w:jc w:val="center"/>
            </w:pPr>
            <w:r>
              <w:t>$0.31</w:t>
            </w:r>
            <w:r>
              <w:br/>
              <w:t>($0.35)</w:t>
            </w:r>
          </w:p>
        </w:tc>
        <w:tc>
          <w:tcPr>
            <w:tcW w:w="510" w:type="pct"/>
          </w:tcPr>
          <w:p w14:paraId="15CC621E" w14:textId="77777777" w:rsidR="000D07EA" w:rsidRDefault="00BE7C89">
            <w:pPr>
              <w:pStyle w:val="BodyText"/>
              <w:spacing w:before="100" w:after="100"/>
              <w:jc w:val="center"/>
            </w:pPr>
            <w:r>
              <w:t>$0.31</w:t>
            </w:r>
            <w:r>
              <w:br/>
              <w:t>($0.35)</w:t>
            </w:r>
          </w:p>
        </w:tc>
        <w:tc>
          <w:tcPr>
            <w:tcW w:w="510" w:type="pct"/>
          </w:tcPr>
          <w:p w14:paraId="5CDCD19E" w14:textId="77777777" w:rsidR="000D07EA" w:rsidRDefault="00BE7C89">
            <w:pPr>
              <w:pStyle w:val="BodyText"/>
              <w:spacing w:before="100" w:after="100"/>
              <w:jc w:val="center"/>
            </w:pPr>
            <w:r>
              <w:t>$0.31</w:t>
            </w:r>
            <w:r>
              <w:br/>
              <w:t>($0.35)</w:t>
            </w:r>
          </w:p>
        </w:tc>
        <w:tc>
          <w:tcPr>
            <w:tcW w:w="510" w:type="pct"/>
          </w:tcPr>
          <w:p w14:paraId="1E62877F" w14:textId="77777777" w:rsidR="000D07EA" w:rsidRDefault="00BE7C89">
            <w:pPr>
              <w:pStyle w:val="BodyText"/>
              <w:spacing w:before="100" w:after="100"/>
              <w:jc w:val="center"/>
            </w:pPr>
            <w:r>
              <w:t>$0.31</w:t>
            </w:r>
            <w:r>
              <w:br/>
              <w:t>($0.35)</w:t>
            </w:r>
          </w:p>
        </w:tc>
        <w:tc>
          <w:tcPr>
            <w:tcW w:w="510" w:type="pct"/>
          </w:tcPr>
          <w:p w14:paraId="44F4D898" w14:textId="77777777" w:rsidR="000D07EA" w:rsidRDefault="00BE7C89">
            <w:pPr>
              <w:pStyle w:val="BodyText"/>
              <w:spacing w:before="100" w:after="100"/>
              <w:jc w:val="center"/>
            </w:pPr>
            <w:r>
              <w:t>$0.31</w:t>
            </w:r>
            <w:r>
              <w:br/>
              <w:t>($0.35)</w:t>
            </w:r>
          </w:p>
        </w:tc>
        <w:tc>
          <w:tcPr>
            <w:tcW w:w="510" w:type="pct"/>
          </w:tcPr>
          <w:p w14:paraId="002627AC" w14:textId="77777777" w:rsidR="000D07EA" w:rsidRDefault="00BE7C89">
            <w:pPr>
              <w:pStyle w:val="BodyText"/>
              <w:spacing w:before="100" w:after="100"/>
              <w:jc w:val="center"/>
            </w:pPr>
            <w:r>
              <w:t>$0.31</w:t>
            </w:r>
            <w:r>
              <w:br/>
              <w:t>($0.35)</w:t>
            </w:r>
          </w:p>
        </w:tc>
        <w:tc>
          <w:tcPr>
            <w:tcW w:w="510" w:type="pct"/>
          </w:tcPr>
          <w:p w14:paraId="52CCACE7" w14:textId="77777777" w:rsidR="000D07EA" w:rsidRDefault="00BE7C89">
            <w:pPr>
              <w:pStyle w:val="BodyText"/>
              <w:spacing w:before="100" w:after="100"/>
              <w:jc w:val="center"/>
            </w:pPr>
            <w:r>
              <w:t>$0.31</w:t>
            </w:r>
            <w:r>
              <w:br/>
              <w:t>($0.35)</w:t>
            </w:r>
          </w:p>
        </w:tc>
      </w:tr>
      <w:tr w:rsidR="000D07EA" w14:paraId="02C06DAA" w14:textId="77777777">
        <w:tc>
          <w:tcPr>
            <w:tcW w:w="916" w:type="pct"/>
          </w:tcPr>
          <w:p w14:paraId="78FD96D1" w14:textId="77777777" w:rsidR="000D07EA" w:rsidRDefault="00BE7C89">
            <w:pPr>
              <w:pStyle w:val="BodyText"/>
              <w:spacing w:before="100" w:after="100"/>
              <w:rPr>
                <w:b/>
                <w:i/>
              </w:rPr>
            </w:pPr>
            <w:r>
              <w:rPr>
                <w:b/>
                <w:i/>
              </w:rPr>
              <w:t>Monthly Included Data</w:t>
            </w:r>
          </w:p>
        </w:tc>
        <w:tc>
          <w:tcPr>
            <w:tcW w:w="510" w:type="pct"/>
          </w:tcPr>
          <w:p w14:paraId="338FC112" w14:textId="77777777" w:rsidR="000D07EA" w:rsidRDefault="00BE7C89">
            <w:pPr>
              <w:pStyle w:val="BodyText"/>
              <w:spacing w:before="100" w:after="100"/>
              <w:jc w:val="center"/>
            </w:pPr>
            <w:r>
              <w:rPr>
                <w:lang w:eastAsia="ko-KR"/>
              </w:rPr>
              <w:t>250MB</w:t>
            </w:r>
          </w:p>
        </w:tc>
        <w:tc>
          <w:tcPr>
            <w:tcW w:w="510" w:type="pct"/>
          </w:tcPr>
          <w:p w14:paraId="2CEE8DCE" w14:textId="77777777" w:rsidR="000D07EA" w:rsidRDefault="00BE7C89">
            <w:pPr>
              <w:pStyle w:val="BodyText"/>
              <w:spacing w:before="100" w:after="100"/>
              <w:jc w:val="center"/>
            </w:pPr>
            <w:r>
              <w:rPr>
                <w:lang w:eastAsia="ko-KR"/>
              </w:rPr>
              <w:t>500MB</w:t>
            </w:r>
          </w:p>
        </w:tc>
        <w:tc>
          <w:tcPr>
            <w:tcW w:w="510" w:type="pct"/>
          </w:tcPr>
          <w:p w14:paraId="56C2EF80" w14:textId="77777777" w:rsidR="000D07EA" w:rsidRDefault="00BE7C89">
            <w:pPr>
              <w:pStyle w:val="BodyText"/>
              <w:spacing w:before="100" w:after="100"/>
              <w:jc w:val="center"/>
            </w:pPr>
            <w:r>
              <w:rPr>
                <w:lang w:eastAsia="ko-KR"/>
              </w:rPr>
              <w:t>700MB</w:t>
            </w:r>
          </w:p>
        </w:tc>
        <w:tc>
          <w:tcPr>
            <w:tcW w:w="510" w:type="pct"/>
          </w:tcPr>
          <w:p w14:paraId="0F6AEF46" w14:textId="77777777" w:rsidR="000D07EA" w:rsidRDefault="00BE7C89">
            <w:pPr>
              <w:pStyle w:val="BodyText"/>
              <w:spacing w:before="100" w:after="100"/>
              <w:jc w:val="center"/>
            </w:pPr>
            <w:r>
              <w:rPr>
                <w:lang w:eastAsia="ko-KR"/>
              </w:rPr>
              <w:t>850MB</w:t>
            </w:r>
          </w:p>
        </w:tc>
        <w:tc>
          <w:tcPr>
            <w:tcW w:w="510" w:type="pct"/>
          </w:tcPr>
          <w:p w14:paraId="146A07E1" w14:textId="77777777" w:rsidR="000D07EA" w:rsidRDefault="00BE7C89">
            <w:pPr>
              <w:pStyle w:val="BodyText"/>
              <w:spacing w:before="100" w:after="100"/>
              <w:jc w:val="center"/>
            </w:pPr>
            <w:r>
              <w:t>900MB</w:t>
            </w:r>
          </w:p>
        </w:tc>
        <w:tc>
          <w:tcPr>
            <w:tcW w:w="510" w:type="pct"/>
          </w:tcPr>
          <w:p w14:paraId="42BD0619" w14:textId="77777777" w:rsidR="000D07EA" w:rsidRDefault="00BE7C89">
            <w:pPr>
              <w:pStyle w:val="BodyText"/>
              <w:spacing w:before="100" w:after="100"/>
              <w:jc w:val="center"/>
            </w:pPr>
            <w:r>
              <w:t>1GB</w:t>
            </w:r>
          </w:p>
        </w:tc>
        <w:tc>
          <w:tcPr>
            <w:tcW w:w="510" w:type="pct"/>
          </w:tcPr>
          <w:p w14:paraId="689FD23C" w14:textId="77777777" w:rsidR="000D07EA" w:rsidRDefault="00BE7C89">
            <w:pPr>
              <w:pStyle w:val="BodyText"/>
              <w:spacing w:before="100" w:after="100"/>
              <w:jc w:val="center"/>
            </w:pPr>
            <w:r>
              <w:t>1GB</w:t>
            </w:r>
          </w:p>
        </w:tc>
        <w:tc>
          <w:tcPr>
            <w:tcW w:w="510" w:type="pct"/>
          </w:tcPr>
          <w:p w14:paraId="565129E1" w14:textId="77777777" w:rsidR="000D07EA" w:rsidRDefault="00BE7C89">
            <w:pPr>
              <w:pStyle w:val="BodyText"/>
              <w:spacing w:before="100" w:after="100"/>
              <w:jc w:val="center"/>
            </w:pPr>
            <w:r>
              <w:t>1GB</w:t>
            </w:r>
          </w:p>
        </w:tc>
      </w:tr>
      <w:tr w:rsidR="000D07EA" w14:paraId="2CF06934" w14:textId="77777777">
        <w:tc>
          <w:tcPr>
            <w:tcW w:w="916" w:type="pct"/>
          </w:tcPr>
          <w:p w14:paraId="2B3BCCD4" w14:textId="77777777" w:rsidR="000D07EA" w:rsidRDefault="00BE7C89">
            <w:pPr>
              <w:pStyle w:val="BodyText"/>
              <w:spacing w:before="100" w:after="100"/>
              <w:rPr>
                <w:b/>
                <w:i/>
              </w:rPr>
            </w:pPr>
            <w:r>
              <w:rPr>
                <w:b/>
                <w:i/>
              </w:rPr>
              <w:t>Excess Data Usage Charges</w:t>
            </w:r>
          </w:p>
        </w:tc>
        <w:tc>
          <w:tcPr>
            <w:tcW w:w="510" w:type="pct"/>
          </w:tcPr>
          <w:p w14:paraId="302DB217" w14:textId="77777777" w:rsidR="000D07EA" w:rsidRDefault="00BE7C89">
            <w:pPr>
              <w:pStyle w:val="BodyText"/>
              <w:spacing w:before="100" w:after="100"/>
              <w:jc w:val="center"/>
            </w:pPr>
            <w:r>
              <w:t>$0.31</w:t>
            </w:r>
            <w:r>
              <w:br/>
              <w:t>($0.35)</w:t>
            </w:r>
          </w:p>
        </w:tc>
        <w:tc>
          <w:tcPr>
            <w:tcW w:w="510" w:type="pct"/>
          </w:tcPr>
          <w:p w14:paraId="6415FB5D" w14:textId="77777777" w:rsidR="000D07EA" w:rsidRDefault="00BE7C89">
            <w:pPr>
              <w:pStyle w:val="BodyText"/>
              <w:spacing w:before="100" w:after="100"/>
              <w:jc w:val="center"/>
            </w:pPr>
            <w:r>
              <w:t>$0.31</w:t>
            </w:r>
            <w:r>
              <w:br/>
              <w:t>($0.35)</w:t>
            </w:r>
          </w:p>
        </w:tc>
        <w:tc>
          <w:tcPr>
            <w:tcW w:w="510" w:type="pct"/>
          </w:tcPr>
          <w:p w14:paraId="3A5904EA" w14:textId="77777777" w:rsidR="000D07EA" w:rsidRDefault="00BE7C89">
            <w:pPr>
              <w:pStyle w:val="BodyText"/>
              <w:spacing w:before="100" w:after="100"/>
              <w:jc w:val="center"/>
            </w:pPr>
            <w:r>
              <w:t>$0.31</w:t>
            </w:r>
            <w:r>
              <w:br/>
              <w:t>($0.35)</w:t>
            </w:r>
          </w:p>
        </w:tc>
        <w:tc>
          <w:tcPr>
            <w:tcW w:w="510" w:type="pct"/>
          </w:tcPr>
          <w:p w14:paraId="041E4E97" w14:textId="77777777" w:rsidR="000D07EA" w:rsidRDefault="00BE7C89">
            <w:pPr>
              <w:pStyle w:val="BodyText"/>
              <w:spacing w:before="100" w:after="100"/>
              <w:jc w:val="center"/>
            </w:pPr>
            <w:r>
              <w:t>$0.31</w:t>
            </w:r>
            <w:r>
              <w:br/>
              <w:t>($0.35)</w:t>
            </w:r>
          </w:p>
        </w:tc>
        <w:tc>
          <w:tcPr>
            <w:tcW w:w="510" w:type="pct"/>
          </w:tcPr>
          <w:p w14:paraId="19B9B892" w14:textId="77777777" w:rsidR="000D07EA" w:rsidRDefault="00BE7C89">
            <w:pPr>
              <w:pStyle w:val="BodyText"/>
              <w:spacing w:before="100" w:after="100"/>
              <w:jc w:val="center"/>
            </w:pPr>
            <w:r>
              <w:t>$0.31</w:t>
            </w:r>
            <w:r>
              <w:br/>
              <w:t>($0.35)</w:t>
            </w:r>
          </w:p>
        </w:tc>
        <w:tc>
          <w:tcPr>
            <w:tcW w:w="510" w:type="pct"/>
          </w:tcPr>
          <w:p w14:paraId="04EA77FC" w14:textId="77777777" w:rsidR="000D07EA" w:rsidRDefault="00BE7C89">
            <w:pPr>
              <w:pStyle w:val="BodyText"/>
              <w:spacing w:before="100" w:after="100"/>
              <w:jc w:val="center"/>
            </w:pPr>
            <w:r>
              <w:t>$0.31</w:t>
            </w:r>
            <w:r>
              <w:br/>
              <w:t>($0.35)</w:t>
            </w:r>
          </w:p>
        </w:tc>
        <w:tc>
          <w:tcPr>
            <w:tcW w:w="510" w:type="pct"/>
          </w:tcPr>
          <w:p w14:paraId="3209A1D7" w14:textId="77777777" w:rsidR="000D07EA" w:rsidRDefault="00BE7C89">
            <w:pPr>
              <w:pStyle w:val="BodyText"/>
              <w:spacing w:before="100" w:after="100"/>
              <w:jc w:val="center"/>
            </w:pPr>
            <w:r>
              <w:t>$0.31</w:t>
            </w:r>
            <w:r>
              <w:br/>
              <w:t>($0.35)</w:t>
            </w:r>
          </w:p>
        </w:tc>
        <w:tc>
          <w:tcPr>
            <w:tcW w:w="510" w:type="pct"/>
          </w:tcPr>
          <w:p w14:paraId="36927DC9" w14:textId="77777777" w:rsidR="000D07EA" w:rsidRDefault="00BE7C89">
            <w:pPr>
              <w:pStyle w:val="BodyText"/>
              <w:spacing w:before="100" w:after="100"/>
              <w:jc w:val="center"/>
            </w:pPr>
            <w:r>
              <w:t>$0.31</w:t>
            </w:r>
            <w:r>
              <w:br/>
              <w:t>($0.35)</w:t>
            </w:r>
          </w:p>
        </w:tc>
      </w:tr>
      <w:tr w:rsidR="000D07EA" w14:paraId="586754AC" w14:textId="77777777">
        <w:tc>
          <w:tcPr>
            <w:tcW w:w="916" w:type="pct"/>
          </w:tcPr>
          <w:p w14:paraId="1E00B9EC" w14:textId="77777777" w:rsidR="000D07EA" w:rsidRDefault="00BE7C89">
            <w:pPr>
              <w:pStyle w:val="BodyText"/>
              <w:spacing w:before="100" w:after="100"/>
              <w:rPr>
                <w:b/>
                <w:i/>
              </w:rPr>
            </w:pPr>
            <w:r>
              <w:rPr>
                <w:b/>
                <w:i/>
              </w:rPr>
              <w:t xml:space="preserve">Minimum term </w:t>
            </w:r>
          </w:p>
        </w:tc>
        <w:tc>
          <w:tcPr>
            <w:tcW w:w="510" w:type="pct"/>
          </w:tcPr>
          <w:p w14:paraId="1CE957E5" w14:textId="77777777" w:rsidR="000D07EA" w:rsidRDefault="00BE7C89">
            <w:pPr>
              <w:pStyle w:val="BodyText"/>
              <w:spacing w:before="100" w:after="100"/>
              <w:jc w:val="center"/>
            </w:pPr>
            <w:r>
              <w:t>Monthly or 12 Months or 24 Months</w:t>
            </w:r>
          </w:p>
        </w:tc>
        <w:tc>
          <w:tcPr>
            <w:tcW w:w="510" w:type="pct"/>
          </w:tcPr>
          <w:p w14:paraId="3EDDB8C5" w14:textId="77777777" w:rsidR="000D07EA" w:rsidRDefault="00BE7C89">
            <w:pPr>
              <w:pStyle w:val="BodyText"/>
              <w:spacing w:before="100" w:after="100"/>
              <w:jc w:val="center"/>
            </w:pPr>
            <w:r>
              <w:t>Monthly or 12 Months or 24 Months</w:t>
            </w:r>
          </w:p>
        </w:tc>
        <w:tc>
          <w:tcPr>
            <w:tcW w:w="510" w:type="pct"/>
          </w:tcPr>
          <w:p w14:paraId="5B062978" w14:textId="77777777" w:rsidR="000D07EA" w:rsidRDefault="00BE7C89">
            <w:pPr>
              <w:pStyle w:val="BodyText"/>
              <w:spacing w:before="100" w:after="100"/>
              <w:jc w:val="center"/>
            </w:pPr>
            <w:r>
              <w:t>Monthly or 12 Months or 24 Months</w:t>
            </w:r>
          </w:p>
        </w:tc>
        <w:tc>
          <w:tcPr>
            <w:tcW w:w="510" w:type="pct"/>
          </w:tcPr>
          <w:p w14:paraId="1671BA83" w14:textId="77777777" w:rsidR="000D07EA" w:rsidRDefault="00BE7C89">
            <w:pPr>
              <w:pStyle w:val="BodyText"/>
              <w:spacing w:before="100" w:after="100"/>
              <w:jc w:val="center"/>
            </w:pPr>
            <w:r>
              <w:t>Monthly or 12 Months or 24 Months</w:t>
            </w:r>
          </w:p>
        </w:tc>
        <w:tc>
          <w:tcPr>
            <w:tcW w:w="510" w:type="pct"/>
          </w:tcPr>
          <w:p w14:paraId="240CE5DE" w14:textId="77777777" w:rsidR="000D07EA" w:rsidRDefault="00BE7C89">
            <w:pPr>
              <w:pStyle w:val="BodyText"/>
              <w:spacing w:before="100" w:after="100"/>
              <w:jc w:val="center"/>
            </w:pPr>
            <w:r>
              <w:t>Monthly or 12 Months or 24 Months</w:t>
            </w:r>
          </w:p>
        </w:tc>
        <w:tc>
          <w:tcPr>
            <w:tcW w:w="510" w:type="pct"/>
          </w:tcPr>
          <w:p w14:paraId="1DDB4AEB" w14:textId="77777777" w:rsidR="000D07EA" w:rsidRDefault="00BE7C89">
            <w:pPr>
              <w:pStyle w:val="BodyText"/>
              <w:spacing w:before="100" w:after="100"/>
              <w:jc w:val="center"/>
            </w:pPr>
            <w:r>
              <w:t>Monthly or 12 Months or 24 Months</w:t>
            </w:r>
          </w:p>
        </w:tc>
        <w:tc>
          <w:tcPr>
            <w:tcW w:w="510" w:type="pct"/>
          </w:tcPr>
          <w:p w14:paraId="00D5E7FA" w14:textId="77777777" w:rsidR="000D07EA" w:rsidRDefault="00BE7C89">
            <w:pPr>
              <w:pStyle w:val="BodyText"/>
              <w:spacing w:before="100" w:after="100"/>
              <w:jc w:val="center"/>
            </w:pPr>
            <w:r>
              <w:t>Monthly or 12 Months or 24 Months</w:t>
            </w:r>
          </w:p>
        </w:tc>
        <w:tc>
          <w:tcPr>
            <w:tcW w:w="510" w:type="pct"/>
          </w:tcPr>
          <w:p w14:paraId="293103B1" w14:textId="77777777" w:rsidR="000D07EA" w:rsidRDefault="00BE7C89">
            <w:pPr>
              <w:pStyle w:val="BodyText"/>
              <w:spacing w:before="100" w:after="100"/>
              <w:jc w:val="center"/>
            </w:pPr>
            <w:r>
              <w:t>Monthly or 12 Months or 24 Months</w:t>
            </w:r>
          </w:p>
        </w:tc>
      </w:tr>
    </w:tbl>
    <w:p w14:paraId="0F2838BF" w14:textId="77777777" w:rsidR="000D07EA" w:rsidRDefault="00BE7C89">
      <w:pPr>
        <w:pStyle w:val="BodyText"/>
        <w:spacing w:after="0"/>
        <w:rPr>
          <w:color w:val="000000"/>
          <w:sz w:val="16"/>
          <w:szCs w:val="16"/>
        </w:rPr>
      </w:pPr>
      <w:r>
        <w:rPr>
          <w:color w:val="000000"/>
          <w:sz w:val="16"/>
          <w:szCs w:val="16"/>
        </w:rPr>
        <w:t>Please note:</w:t>
      </w:r>
    </w:p>
    <w:p w14:paraId="1515A28C" w14:textId="77777777" w:rsidR="000D07EA" w:rsidRDefault="00BE7C89">
      <w:pPr>
        <w:pStyle w:val="Heading8"/>
        <w:numPr>
          <w:ilvl w:val="0"/>
          <w:numId w:val="0"/>
        </w:numPr>
        <w:spacing w:after="0"/>
        <w:ind w:left="1440"/>
        <w:rPr>
          <w:sz w:val="16"/>
          <w:szCs w:val="16"/>
        </w:rPr>
      </w:pPr>
      <w:r>
        <w:rPr>
          <w:sz w:val="16"/>
          <w:szCs w:val="16"/>
        </w:rPr>
        <w:t>(i)</w:t>
      </w:r>
      <w:r>
        <w:rPr>
          <w:sz w:val="16"/>
          <w:szCs w:val="16"/>
        </w:rPr>
        <w:tab/>
        <w:t>"SmartFleet" and "BusinessTime" call rates may apply.</w:t>
      </w:r>
    </w:p>
    <w:p w14:paraId="7A09A04F" w14:textId="77777777" w:rsidR="000D07EA" w:rsidRDefault="00BE7C89">
      <w:pPr>
        <w:pStyle w:val="Heading8"/>
        <w:numPr>
          <w:ilvl w:val="0"/>
          <w:numId w:val="0"/>
        </w:numPr>
        <w:spacing w:after="0"/>
        <w:ind w:left="1440"/>
      </w:pPr>
      <w:r>
        <w:rPr>
          <w:sz w:val="16"/>
          <w:szCs w:val="16"/>
        </w:rPr>
        <w:t>(iiMinimum Monthly Commitment applies regardless of</w:t>
      </w:r>
      <w:bookmarkStart w:id="196" w:name="_Toc205690207"/>
      <w:bookmarkStart w:id="197" w:name="_Toc219870423"/>
      <w:bookmarkStart w:id="198" w:name="_Toc397941027"/>
      <w:r>
        <w:rPr>
          <w:sz w:val="16"/>
          <w:szCs w:val="16"/>
        </w:rPr>
        <w:t xml:space="preserve"> your calls and services usage.</w:t>
      </w:r>
    </w:p>
    <w:p w14:paraId="5E57F387" w14:textId="77777777" w:rsidR="000D07EA" w:rsidRDefault="000D07EA"/>
    <w:p w14:paraId="6F26738F" w14:textId="77777777" w:rsidR="000D07EA" w:rsidRDefault="000D07EA">
      <w:pPr>
        <w:sectPr w:rsidR="000D07EA">
          <w:headerReference w:type="default" r:id="rId94"/>
          <w:footerReference w:type="default" r:id="rId95"/>
          <w:pgSz w:w="16840" w:h="11900" w:orient="landscape"/>
          <w:pgMar w:top="851" w:right="851" w:bottom="851" w:left="851" w:header="461" w:footer="288" w:gutter="0"/>
          <w:cols w:space="708"/>
          <w:docGrid w:linePitch="360"/>
        </w:sectPr>
      </w:pPr>
    </w:p>
    <w:p w14:paraId="312C15E8" w14:textId="77777777" w:rsidR="000D07EA" w:rsidRDefault="00BE7C89">
      <w:pPr>
        <w:pStyle w:val="Heading6"/>
        <w:ind w:left="0" w:firstLine="0"/>
      </w:pPr>
      <w:r>
        <w:lastRenderedPageBreak/>
        <w:t xml:space="preserve">What happens if the </w:t>
      </w:r>
      <w:r>
        <w:rPr>
          <w:i/>
        </w:rPr>
        <w:t xml:space="preserve">service </w:t>
      </w:r>
      <w:r>
        <w:t>is</w:t>
      </w:r>
      <w:r>
        <w:rPr>
          <w:i/>
        </w:rPr>
        <w:t xml:space="preserve"> cancelled </w:t>
      </w:r>
      <w:r>
        <w:t>early?</w:t>
      </w:r>
      <w:bookmarkEnd w:id="196"/>
      <w:bookmarkEnd w:id="197"/>
      <w:bookmarkEnd w:id="198"/>
    </w:p>
    <w:p w14:paraId="035140EC" w14:textId="77777777" w:rsidR="000D07EA" w:rsidRDefault="00BE7C89">
      <w:pPr>
        <w:pStyle w:val="Heading7"/>
      </w:pPr>
      <w:r>
        <w:t xml:space="preserve">If </w:t>
      </w:r>
      <w:r>
        <w:rPr>
          <w:i/>
        </w:rPr>
        <w:t>the service</w:t>
      </w:r>
      <w:r>
        <w:t xml:space="preserve"> </w:t>
      </w:r>
      <w:r>
        <w:rPr>
          <w:i/>
        </w:rPr>
        <w:t xml:space="preserve">is cancelled </w:t>
      </w:r>
      <w:r>
        <w:t xml:space="preserve">before the expiry of the </w:t>
      </w:r>
      <w:r>
        <w:rPr>
          <w:i/>
        </w:rPr>
        <w:t xml:space="preserve">minimum term, you </w:t>
      </w:r>
      <w:r>
        <w:t xml:space="preserve">will be required to pay </w:t>
      </w:r>
      <w:r>
        <w:rPr>
          <w:i/>
        </w:rPr>
        <w:t>us</w:t>
      </w:r>
      <w:r>
        <w:t>:</w:t>
      </w:r>
    </w:p>
    <w:p w14:paraId="5F3456D4" w14:textId="77777777" w:rsidR="000D07EA" w:rsidRDefault="00BE7C89">
      <w:pPr>
        <w:pStyle w:val="Heading8"/>
      </w:pPr>
      <w:r>
        <w:t xml:space="preserve">any usage charges incurred up to, and including, the </w:t>
      </w:r>
      <w:r>
        <w:rPr>
          <w:i/>
        </w:rPr>
        <w:t xml:space="preserve">cancellation date; </w:t>
      </w:r>
      <w:r>
        <w:t>plus</w:t>
      </w:r>
    </w:p>
    <w:p w14:paraId="75F3EC97" w14:textId="77777777" w:rsidR="000D07EA" w:rsidRDefault="00BE7C89">
      <w:pPr>
        <w:pStyle w:val="Heading8"/>
      </w:pPr>
      <w:r>
        <w:t xml:space="preserve">the </w:t>
      </w:r>
      <w:r>
        <w:rPr>
          <w:i/>
        </w:rPr>
        <w:t xml:space="preserve">cancellation fee </w:t>
      </w:r>
      <w:r>
        <w:t xml:space="preserve">set out in the table below (unless under clause 2A of the </w:t>
      </w:r>
      <w:hyperlink r:id="rId96" w:history="1">
        <w:r>
          <w:rPr>
            <w:rStyle w:val="Hyperlink"/>
            <w:i/>
          </w:rPr>
          <w:t>SMB terms</w:t>
        </w:r>
      </w:hyperlink>
      <w:r>
        <w:rPr>
          <w:i/>
        </w:rPr>
        <w:t xml:space="preserve">, you </w:t>
      </w:r>
      <w:r>
        <w:t xml:space="preserve">are entitled to </w:t>
      </w:r>
      <w:r>
        <w:rPr>
          <w:i/>
        </w:rPr>
        <w:t xml:space="preserve">cancel the service </w:t>
      </w:r>
      <w:r>
        <w:t xml:space="preserve">without incurring a </w:t>
      </w:r>
      <w:r>
        <w:rPr>
          <w:i/>
        </w:rPr>
        <w:t>cancellation fee)</w:t>
      </w:r>
      <w:r>
        <w:t>; plus</w:t>
      </w:r>
    </w:p>
    <w:p w14:paraId="29C84B14" w14:textId="77777777" w:rsidR="000D07EA" w:rsidRDefault="00BE7C89">
      <w:pPr>
        <w:pStyle w:val="Heading8"/>
      </w:pPr>
      <w:r>
        <w:t xml:space="preserve">the sum of unpaid </w:t>
      </w:r>
      <w:r>
        <w:rPr>
          <w:i/>
        </w:rPr>
        <w:t xml:space="preserve">equipment charges </w:t>
      </w:r>
      <w:r>
        <w:t xml:space="preserve">owing on </w:t>
      </w:r>
      <w:r>
        <w:rPr>
          <w:i/>
        </w:rPr>
        <w:t xml:space="preserve">your mobile phone </w:t>
      </w:r>
      <w:r>
        <w:t xml:space="preserve">under the </w:t>
      </w:r>
      <w:r>
        <w:rPr>
          <w:i/>
        </w:rPr>
        <w:t xml:space="preserve">mobile equipment payment plan </w:t>
      </w:r>
      <w:r>
        <w:t>(if any).</w:t>
      </w:r>
    </w:p>
    <w:p w14:paraId="03F4F93D" w14:textId="77777777" w:rsidR="000D07EA" w:rsidRDefault="00BE7C89">
      <w:pPr>
        <w:pStyle w:val="Heading7"/>
      </w:pPr>
      <w:r>
        <w:t xml:space="preserve">The </w:t>
      </w:r>
      <w:r>
        <w:rPr>
          <w:i/>
        </w:rPr>
        <w:t xml:space="preserve">cancellation fee </w:t>
      </w:r>
      <w:r>
        <w:t xml:space="preserve">payable under </w:t>
      </w:r>
      <w:r w:rsidRPr="00272628">
        <w:t xml:space="preserve">paragraph </w:t>
      </w:r>
      <w:r w:rsidR="00EE7426" w:rsidRPr="00272628">
        <w:t>76</w:t>
      </w:r>
      <w:r w:rsidRPr="00272628">
        <w:t>.5(a) (</w:t>
      </w:r>
      <w:r>
        <w:t xml:space="preserve">if any) is calculated as follows: </w:t>
      </w:r>
    </w:p>
    <w:p w14:paraId="680A4AC3" w14:textId="77777777" w:rsidR="000D07EA" w:rsidRDefault="00BE7C89">
      <w:pPr>
        <w:pStyle w:val="Heading8"/>
      </w:pPr>
      <w:r>
        <w:t>If you are on a 24 month pricing plan, the cancellation fee between months 0-12 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1273"/>
        <w:gridCol w:w="1273"/>
        <w:gridCol w:w="1273"/>
        <w:gridCol w:w="1273"/>
        <w:gridCol w:w="1274"/>
        <w:gridCol w:w="1274"/>
        <w:gridCol w:w="1274"/>
        <w:gridCol w:w="1274"/>
      </w:tblGrid>
      <w:tr w:rsidR="000D07EA" w14:paraId="28709062" w14:textId="77777777">
        <w:tc>
          <w:tcPr>
            <w:tcW w:w="625" w:type="pct"/>
          </w:tcPr>
          <w:p w14:paraId="6DE2FE1E" w14:textId="77777777" w:rsidR="000D07EA" w:rsidRDefault="00BE7C89">
            <w:pPr>
              <w:pStyle w:val="BodyText"/>
              <w:spacing w:before="100" w:after="100"/>
              <w:jc w:val="center"/>
              <w:rPr>
                <w:b/>
              </w:rPr>
            </w:pPr>
            <w:r>
              <w:rPr>
                <w:b/>
              </w:rPr>
              <w:t>Business 49 Cap Plan for iPhone 3G</w:t>
            </w:r>
          </w:p>
        </w:tc>
        <w:tc>
          <w:tcPr>
            <w:tcW w:w="625" w:type="pct"/>
          </w:tcPr>
          <w:p w14:paraId="383BB897" w14:textId="77777777" w:rsidR="000D07EA" w:rsidRDefault="00BE7C89">
            <w:pPr>
              <w:pStyle w:val="BodyText"/>
              <w:spacing w:before="100" w:after="100"/>
              <w:jc w:val="center"/>
              <w:rPr>
                <w:b/>
              </w:rPr>
            </w:pPr>
            <w:r>
              <w:rPr>
                <w:b/>
              </w:rPr>
              <w:t>Business 59 Cap Plan for iPhone 3G</w:t>
            </w:r>
          </w:p>
        </w:tc>
        <w:tc>
          <w:tcPr>
            <w:tcW w:w="625" w:type="pct"/>
          </w:tcPr>
          <w:p w14:paraId="66253DB6" w14:textId="77777777" w:rsidR="000D07EA" w:rsidRDefault="00BE7C89">
            <w:pPr>
              <w:pStyle w:val="BodyText"/>
              <w:spacing w:before="100" w:after="100"/>
              <w:jc w:val="center"/>
              <w:rPr>
                <w:b/>
              </w:rPr>
            </w:pPr>
            <w:r>
              <w:rPr>
                <w:b/>
              </w:rPr>
              <w:t>Business 79 Cap Plan for iPhone 3G</w:t>
            </w:r>
          </w:p>
        </w:tc>
        <w:tc>
          <w:tcPr>
            <w:tcW w:w="625" w:type="pct"/>
          </w:tcPr>
          <w:p w14:paraId="3DBD6C8C" w14:textId="77777777" w:rsidR="000D07EA" w:rsidRDefault="00BE7C89">
            <w:pPr>
              <w:pStyle w:val="BodyText"/>
              <w:spacing w:before="100" w:after="100"/>
              <w:jc w:val="center"/>
              <w:rPr>
                <w:b/>
              </w:rPr>
            </w:pPr>
            <w:r>
              <w:rPr>
                <w:b/>
              </w:rPr>
              <w:t>Business 89 Cap Plan for iPhone 3G</w:t>
            </w:r>
          </w:p>
        </w:tc>
        <w:tc>
          <w:tcPr>
            <w:tcW w:w="625" w:type="pct"/>
          </w:tcPr>
          <w:p w14:paraId="26FA133F" w14:textId="77777777" w:rsidR="000D07EA" w:rsidRDefault="00BE7C89">
            <w:pPr>
              <w:pStyle w:val="BodyText"/>
              <w:spacing w:before="100" w:after="100"/>
              <w:jc w:val="center"/>
              <w:rPr>
                <w:b/>
              </w:rPr>
            </w:pPr>
            <w:r>
              <w:rPr>
                <w:b/>
              </w:rPr>
              <w:t>Business 99 Cap Plan for iPhone 3G</w:t>
            </w:r>
          </w:p>
        </w:tc>
        <w:tc>
          <w:tcPr>
            <w:tcW w:w="625" w:type="pct"/>
          </w:tcPr>
          <w:p w14:paraId="62C1304D" w14:textId="77777777" w:rsidR="000D07EA" w:rsidRDefault="00BE7C89">
            <w:pPr>
              <w:pStyle w:val="BodyText"/>
              <w:spacing w:before="100" w:after="100"/>
              <w:jc w:val="center"/>
              <w:rPr>
                <w:b/>
              </w:rPr>
            </w:pPr>
            <w:r>
              <w:rPr>
                <w:b/>
              </w:rPr>
              <w:t>Business 149 Cap Plan for iPhone 3G</w:t>
            </w:r>
          </w:p>
        </w:tc>
        <w:tc>
          <w:tcPr>
            <w:tcW w:w="625" w:type="pct"/>
          </w:tcPr>
          <w:p w14:paraId="2866E0B3" w14:textId="77777777" w:rsidR="000D07EA" w:rsidRDefault="00BE7C89">
            <w:pPr>
              <w:pStyle w:val="BodyText"/>
              <w:spacing w:before="100" w:after="100"/>
              <w:jc w:val="center"/>
              <w:rPr>
                <w:b/>
              </w:rPr>
            </w:pPr>
            <w:r>
              <w:rPr>
                <w:b/>
              </w:rPr>
              <w:t>Business 179 Cap Plan for iPhone 3G</w:t>
            </w:r>
          </w:p>
        </w:tc>
        <w:tc>
          <w:tcPr>
            <w:tcW w:w="625" w:type="pct"/>
          </w:tcPr>
          <w:p w14:paraId="0DC70DFE" w14:textId="77777777" w:rsidR="000D07EA" w:rsidRDefault="00BE7C89">
            <w:pPr>
              <w:pStyle w:val="BodyText"/>
              <w:spacing w:before="100" w:after="100"/>
              <w:jc w:val="center"/>
              <w:rPr>
                <w:b/>
              </w:rPr>
            </w:pPr>
            <w:r>
              <w:rPr>
                <w:b/>
              </w:rPr>
              <w:t>Business 199 Cap Plan for iPhone 3G</w:t>
            </w:r>
          </w:p>
        </w:tc>
      </w:tr>
      <w:tr w:rsidR="000D07EA" w14:paraId="5B6E7FAB" w14:textId="77777777">
        <w:tc>
          <w:tcPr>
            <w:tcW w:w="625" w:type="pct"/>
          </w:tcPr>
          <w:p w14:paraId="015FC18B" w14:textId="77777777" w:rsidR="000D07EA" w:rsidRDefault="00BE7C89">
            <w:pPr>
              <w:pStyle w:val="BodyText"/>
              <w:spacing w:before="100" w:after="100"/>
              <w:jc w:val="center"/>
            </w:pPr>
            <w:r>
              <w:t>$727.27</w:t>
            </w:r>
            <w:r>
              <w:br/>
              <w:t>($800)</w:t>
            </w:r>
          </w:p>
        </w:tc>
        <w:tc>
          <w:tcPr>
            <w:tcW w:w="625" w:type="pct"/>
          </w:tcPr>
          <w:p w14:paraId="51909EFA" w14:textId="77777777" w:rsidR="000D07EA" w:rsidRDefault="00BE7C89">
            <w:pPr>
              <w:pStyle w:val="BodyText"/>
              <w:spacing w:before="100" w:after="100"/>
              <w:jc w:val="center"/>
            </w:pPr>
            <w:r>
              <w:t>$863.63</w:t>
            </w:r>
            <w:r>
              <w:br/>
              <w:t>($950)</w:t>
            </w:r>
          </w:p>
        </w:tc>
        <w:tc>
          <w:tcPr>
            <w:tcW w:w="625" w:type="pct"/>
          </w:tcPr>
          <w:p w14:paraId="342FC07A" w14:textId="77777777" w:rsidR="000D07EA" w:rsidRDefault="00BE7C89">
            <w:pPr>
              <w:pStyle w:val="BodyText"/>
              <w:spacing w:before="100" w:after="100"/>
              <w:jc w:val="center"/>
            </w:pPr>
            <w:r>
              <w:t>$1000</w:t>
            </w:r>
            <w:r>
              <w:br/>
              <w:t>($1100)</w:t>
            </w:r>
          </w:p>
        </w:tc>
        <w:tc>
          <w:tcPr>
            <w:tcW w:w="625" w:type="pct"/>
          </w:tcPr>
          <w:p w14:paraId="26F7DD97" w14:textId="77777777" w:rsidR="000D07EA" w:rsidRDefault="00BE7C89">
            <w:pPr>
              <w:pStyle w:val="BodyText"/>
              <w:spacing w:before="100" w:after="100"/>
              <w:jc w:val="center"/>
            </w:pPr>
            <w:r>
              <w:t>$931.81</w:t>
            </w:r>
            <w:r>
              <w:br/>
              <w:t>($1125)</w:t>
            </w:r>
          </w:p>
        </w:tc>
        <w:tc>
          <w:tcPr>
            <w:tcW w:w="625" w:type="pct"/>
          </w:tcPr>
          <w:p w14:paraId="0DFCB875" w14:textId="77777777" w:rsidR="000D07EA" w:rsidRDefault="00BE7C89">
            <w:pPr>
              <w:pStyle w:val="BodyText"/>
              <w:spacing w:before="100" w:after="100"/>
              <w:jc w:val="center"/>
            </w:pPr>
            <w:r>
              <w:t>$1045.45</w:t>
            </w:r>
            <w:r>
              <w:br/>
              <w:t>($1150)</w:t>
            </w:r>
          </w:p>
        </w:tc>
        <w:tc>
          <w:tcPr>
            <w:tcW w:w="625" w:type="pct"/>
          </w:tcPr>
          <w:p w14:paraId="333D28BC" w14:textId="77777777" w:rsidR="000D07EA" w:rsidRDefault="00BE7C89">
            <w:pPr>
              <w:pStyle w:val="BodyText"/>
              <w:spacing w:before="100" w:after="100"/>
              <w:jc w:val="center"/>
            </w:pPr>
            <w:r>
              <w:t>$1090.90</w:t>
            </w:r>
            <w:r>
              <w:br/>
              <w:t>($1200)</w:t>
            </w:r>
          </w:p>
        </w:tc>
        <w:tc>
          <w:tcPr>
            <w:tcW w:w="625" w:type="pct"/>
          </w:tcPr>
          <w:p w14:paraId="4C509208" w14:textId="77777777" w:rsidR="000D07EA" w:rsidRDefault="00BE7C89">
            <w:pPr>
              <w:pStyle w:val="BodyText"/>
              <w:spacing w:before="100" w:after="100"/>
              <w:jc w:val="center"/>
            </w:pPr>
            <w:r>
              <w:t>$1118.18</w:t>
            </w:r>
            <w:r>
              <w:br/>
              <w:t>($1230)</w:t>
            </w:r>
          </w:p>
        </w:tc>
        <w:tc>
          <w:tcPr>
            <w:tcW w:w="625" w:type="pct"/>
          </w:tcPr>
          <w:p w14:paraId="49FF1FA9" w14:textId="77777777" w:rsidR="000D07EA" w:rsidRDefault="00BE7C89">
            <w:pPr>
              <w:pStyle w:val="BodyText"/>
              <w:spacing w:before="100" w:after="100"/>
              <w:jc w:val="center"/>
            </w:pPr>
            <w:r>
              <w:t>$1136.36</w:t>
            </w:r>
            <w:r>
              <w:br/>
              <w:t>($1250)</w:t>
            </w:r>
          </w:p>
        </w:tc>
      </w:tr>
    </w:tbl>
    <w:p w14:paraId="3924A4D4" w14:textId="77777777" w:rsidR="000D07EA" w:rsidRDefault="00BE7C89">
      <w:pPr>
        <w:pStyle w:val="BodyText"/>
        <w:spacing w:before="240"/>
        <w:ind w:left="2160"/>
      </w:pPr>
      <w:r>
        <w:t xml:space="preserve">And for </w:t>
      </w:r>
      <w:r>
        <w:rPr>
          <w:i/>
        </w:rPr>
        <w:t xml:space="preserve">cancellations </w:t>
      </w:r>
      <w:r>
        <w:t xml:space="preserve">between </w:t>
      </w:r>
      <w:r>
        <w:rPr>
          <w:color w:val="000000"/>
        </w:rPr>
        <w:t>months</w:t>
      </w:r>
      <w:r>
        <w:t xml:space="preserve"> 13-24, an amount in accordance with the following calculations: for months 13-15, 80% of the </w:t>
      </w:r>
      <w:r>
        <w:rPr>
          <w:i/>
        </w:rPr>
        <w:t>cancellation fee</w:t>
      </w:r>
      <w:r>
        <w:t xml:space="preserve">; for months 16-18, 60% of the </w:t>
      </w:r>
      <w:r>
        <w:rPr>
          <w:i/>
        </w:rPr>
        <w:t>cancellation fee</w:t>
      </w:r>
      <w:r>
        <w:t xml:space="preserve">; for months 19-21, 40% of the </w:t>
      </w:r>
      <w:r>
        <w:rPr>
          <w:i/>
        </w:rPr>
        <w:t>cancellation fee</w:t>
      </w:r>
      <w:r>
        <w:t xml:space="preserve">; for months 22-24, 20% of the </w:t>
      </w:r>
      <w:r>
        <w:rPr>
          <w:i/>
        </w:rPr>
        <w:t>cancellation fee</w:t>
      </w:r>
      <w:r>
        <w:t xml:space="preserve">. </w:t>
      </w:r>
    </w:p>
    <w:p w14:paraId="4DD42D76" w14:textId="77777777" w:rsidR="000D07EA" w:rsidRDefault="00BE7C89">
      <w:pPr>
        <w:pStyle w:val="Heading8"/>
      </w:pPr>
      <w:r>
        <w:t xml:space="preserve">If </w:t>
      </w:r>
      <w:r>
        <w:rPr>
          <w:i/>
        </w:rPr>
        <w:t xml:space="preserve">you </w:t>
      </w:r>
      <w:r>
        <w:t xml:space="preserve">are on a 12 month </w:t>
      </w:r>
      <w:r>
        <w:rPr>
          <w:i/>
        </w:rPr>
        <w:t>pricing plan</w:t>
      </w:r>
      <w:r>
        <w:t xml:space="preserve">, the </w:t>
      </w:r>
      <w:r>
        <w:rPr>
          <w:i/>
        </w:rPr>
        <w:t xml:space="preserve">cancellation fee </w:t>
      </w:r>
      <w:r>
        <w:t>between months 0-6 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1273"/>
        <w:gridCol w:w="1273"/>
        <w:gridCol w:w="1273"/>
        <w:gridCol w:w="1273"/>
        <w:gridCol w:w="1274"/>
        <w:gridCol w:w="1274"/>
        <w:gridCol w:w="1274"/>
        <w:gridCol w:w="1274"/>
      </w:tblGrid>
      <w:tr w:rsidR="000D07EA" w14:paraId="345D5B4A" w14:textId="77777777">
        <w:tc>
          <w:tcPr>
            <w:tcW w:w="625" w:type="pct"/>
          </w:tcPr>
          <w:p w14:paraId="5FE0D68A" w14:textId="77777777" w:rsidR="000D07EA" w:rsidRDefault="00BE7C89">
            <w:pPr>
              <w:pStyle w:val="BodyText"/>
              <w:spacing w:before="100" w:after="100"/>
              <w:jc w:val="center"/>
              <w:rPr>
                <w:b/>
              </w:rPr>
            </w:pPr>
            <w:r>
              <w:rPr>
                <w:b/>
              </w:rPr>
              <w:t>Business 49 Cap Plan for iPhone 3G</w:t>
            </w:r>
          </w:p>
        </w:tc>
        <w:tc>
          <w:tcPr>
            <w:tcW w:w="625" w:type="pct"/>
          </w:tcPr>
          <w:p w14:paraId="4F9361B2" w14:textId="77777777" w:rsidR="000D07EA" w:rsidRDefault="00BE7C89">
            <w:pPr>
              <w:pStyle w:val="BodyText"/>
              <w:spacing w:before="100" w:after="100"/>
              <w:jc w:val="center"/>
              <w:rPr>
                <w:b/>
              </w:rPr>
            </w:pPr>
            <w:r>
              <w:rPr>
                <w:b/>
              </w:rPr>
              <w:t>Business 59 Cap Plan for iPhone 3G</w:t>
            </w:r>
          </w:p>
        </w:tc>
        <w:tc>
          <w:tcPr>
            <w:tcW w:w="625" w:type="pct"/>
          </w:tcPr>
          <w:p w14:paraId="6417C347" w14:textId="77777777" w:rsidR="000D07EA" w:rsidRDefault="00BE7C89">
            <w:pPr>
              <w:pStyle w:val="BodyText"/>
              <w:spacing w:before="100" w:after="100"/>
              <w:jc w:val="center"/>
              <w:rPr>
                <w:b/>
              </w:rPr>
            </w:pPr>
            <w:r>
              <w:rPr>
                <w:b/>
              </w:rPr>
              <w:t>Business 79 Cap Plan for iPhone 3G</w:t>
            </w:r>
          </w:p>
        </w:tc>
        <w:tc>
          <w:tcPr>
            <w:tcW w:w="625" w:type="pct"/>
          </w:tcPr>
          <w:p w14:paraId="7EAB5DEB" w14:textId="77777777" w:rsidR="000D07EA" w:rsidRDefault="00BE7C89">
            <w:pPr>
              <w:pStyle w:val="BodyText"/>
              <w:spacing w:before="100" w:after="100"/>
              <w:jc w:val="center"/>
              <w:rPr>
                <w:b/>
              </w:rPr>
            </w:pPr>
            <w:r>
              <w:rPr>
                <w:b/>
              </w:rPr>
              <w:t>Business 89 Cap Plan for iPhone 3G</w:t>
            </w:r>
          </w:p>
        </w:tc>
        <w:tc>
          <w:tcPr>
            <w:tcW w:w="625" w:type="pct"/>
          </w:tcPr>
          <w:p w14:paraId="0F3F0C7E" w14:textId="77777777" w:rsidR="000D07EA" w:rsidRDefault="00BE7C89">
            <w:pPr>
              <w:pStyle w:val="BodyText"/>
              <w:spacing w:before="100" w:after="100"/>
              <w:jc w:val="center"/>
              <w:rPr>
                <w:b/>
              </w:rPr>
            </w:pPr>
            <w:r>
              <w:rPr>
                <w:b/>
              </w:rPr>
              <w:t>Business 99 Cap Plan for iPhone 3G</w:t>
            </w:r>
          </w:p>
        </w:tc>
        <w:tc>
          <w:tcPr>
            <w:tcW w:w="625" w:type="pct"/>
          </w:tcPr>
          <w:p w14:paraId="00CEE4AA" w14:textId="77777777" w:rsidR="000D07EA" w:rsidRDefault="00BE7C89">
            <w:pPr>
              <w:pStyle w:val="BodyText"/>
              <w:spacing w:before="100" w:after="100"/>
              <w:jc w:val="center"/>
              <w:rPr>
                <w:b/>
              </w:rPr>
            </w:pPr>
            <w:r>
              <w:rPr>
                <w:b/>
              </w:rPr>
              <w:t>Business 149 Cap Plan for iPhone 3G</w:t>
            </w:r>
          </w:p>
        </w:tc>
        <w:tc>
          <w:tcPr>
            <w:tcW w:w="625" w:type="pct"/>
          </w:tcPr>
          <w:p w14:paraId="1C270BA7" w14:textId="77777777" w:rsidR="000D07EA" w:rsidRDefault="00BE7C89">
            <w:pPr>
              <w:pStyle w:val="BodyText"/>
              <w:spacing w:before="100" w:after="100"/>
              <w:jc w:val="center"/>
              <w:rPr>
                <w:b/>
              </w:rPr>
            </w:pPr>
            <w:r>
              <w:rPr>
                <w:b/>
              </w:rPr>
              <w:t>Business 179 Cap Plan for iPhone 3G</w:t>
            </w:r>
          </w:p>
        </w:tc>
        <w:tc>
          <w:tcPr>
            <w:tcW w:w="625" w:type="pct"/>
          </w:tcPr>
          <w:p w14:paraId="20F6BA7F" w14:textId="77777777" w:rsidR="000D07EA" w:rsidRDefault="00BE7C89">
            <w:pPr>
              <w:pStyle w:val="BodyText"/>
              <w:spacing w:before="100" w:after="100"/>
              <w:jc w:val="center"/>
              <w:rPr>
                <w:b/>
              </w:rPr>
            </w:pPr>
            <w:r>
              <w:rPr>
                <w:b/>
              </w:rPr>
              <w:t>Business 199 Cap Plan for iPhone 3G</w:t>
            </w:r>
          </w:p>
        </w:tc>
      </w:tr>
      <w:tr w:rsidR="000D07EA" w14:paraId="7C6919D2" w14:textId="77777777">
        <w:tc>
          <w:tcPr>
            <w:tcW w:w="625" w:type="pct"/>
          </w:tcPr>
          <w:p w14:paraId="7C83EA1A" w14:textId="77777777" w:rsidR="000D07EA" w:rsidRDefault="00BE7C89">
            <w:pPr>
              <w:pStyle w:val="BodyText"/>
              <w:spacing w:before="100" w:after="100"/>
              <w:jc w:val="center"/>
            </w:pPr>
            <w:r>
              <w:t>$454.54</w:t>
            </w:r>
            <w:r>
              <w:br/>
              <w:t>($500)</w:t>
            </w:r>
          </w:p>
        </w:tc>
        <w:tc>
          <w:tcPr>
            <w:tcW w:w="625" w:type="pct"/>
          </w:tcPr>
          <w:p w14:paraId="6BB8E330" w14:textId="77777777" w:rsidR="000D07EA" w:rsidRDefault="00BE7C89">
            <w:pPr>
              <w:pStyle w:val="BodyText"/>
              <w:spacing w:before="100" w:after="100"/>
              <w:jc w:val="center"/>
            </w:pPr>
            <w:r>
              <w:t>$527.27</w:t>
            </w:r>
            <w:r>
              <w:br/>
              <w:t>($580)</w:t>
            </w:r>
          </w:p>
        </w:tc>
        <w:tc>
          <w:tcPr>
            <w:tcW w:w="625" w:type="pct"/>
          </w:tcPr>
          <w:p w14:paraId="2EF094B6" w14:textId="77777777" w:rsidR="000D07EA" w:rsidRDefault="00BE7C89">
            <w:pPr>
              <w:pStyle w:val="BodyText"/>
              <w:spacing w:before="100" w:after="100"/>
              <w:jc w:val="center"/>
            </w:pPr>
            <w:r>
              <w:t>$590.90</w:t>
            </w:r>
            <w:r>
              <w:br/>
              <w:t>($650)</w:t>
            </w:r>
          </w:p>
        </w:tc>
        <w:tc>
          <w:tcPr>
            <w:tcW w:w="625" w:type="pct"/>
          </w:tcPr>
          <w:p w14:paraId="5E85CFB9" w14:textId="77777777" w:rsidR="000D07EA" w:rsidRDefault="00BE7C89">
            <w:pPr>
              <w:pStyle w:val="BodyText"/>
              <w:spacing w:before="100" w:after="100"/>
              <w:jc w:val="center"/>
            </w:pPr>
            <w:r>
              <w:t>$604.54</w:t>
            </w:r>
            <w:r>
              <w:br/>
              <w:t>($665)</w:t>
            </w:r>
          </w:p>
        </w:tc>
        <w:tc>
          <w:tcPr>
            <w:tcW w:w="625" w:type="pct"/>
          </w:tcPr>
          <w:p w14:paraId="4E7EE298" w14:textId="77777777" w:rsidR="000D07EA" w:rsidRDefault="00BE7C89">
            <w:pPr>
              <w:pStyle w:val="BodyText"/>
              <w:spacing w:before="100" w:after="100"/>
              <w:jc w:val="center"/>
            </w:pPr>
            <w:r>
              <w:t>$618.18</w:t>
            </w:r>
            <w:r>
              <w:br/>
              <w:t>($680)</w:t>
            </w:r>
          </w:p>
        </w:tc>
        <w:tc>
          <w:tcPr>
            <w:tcW w:w="625" w:type="pct"/>
          </w:tcPr>
          <w:p w14:paraId="74C7BAC1" w14:textId="77777777" w:rsidR="000D07EA" w:rsidRDefault="00BE7C89">
            <w:pPr>
              <w:pStyle w:val="BodyText"/>
              <w:spacing w:before="100" w:after="100"/>
              <w:jc w:val="center"/>
            </w:pPr>
            <w:r>
              <w:t>$681.81</w:t>
            </w:r>
            <w:r>
              <w:br/>
              <w:t>($750)</w:t>
            </w:r>
          </w:p>
        </w:tc>
        <w:tc>
          <w:tcPr>
            <w:tcW w:w="625" w:type="pct"/>
          </w:tcPr>
          <w:p w14:paraId="2D5480A4" w14:textId="77777777" w:rsidR="000D07EA" w:rsidRDefault="00BE7C89">
            <w:pPr>
              <w:pStyle w:val="BodyText"/>
              <w:spacing w:before="100" w:after="100"/>
              <w:jc w:val="center"/>
            </w:pPr>
            <w:r>
              <w:t>$704.54</w:t>
            </w:r>
            <w:r>
              <w:br/>
              <w:t>($775)</w:t>
            </w:r>
          </w:p>
        </w:tc>
        <w:tc>
          <w:tcPr>
            <w:tcW w:w="625" w:type="pct"/>
          </w:tcPr>
          <w:p w14:paraId="1DD7D73E" w14:textId="77777777" w:rsidR="000D07EA" w:rsidRDefault="00BE7C89">
            <w:pPr>
              <w:pStyle w:val="BodyText"/>
              <w:spacing w:before="100" w:after="100"/>
              <w:jc w:val="center"/>
            </w:pPr>
            <w:r>
              <w:t>$727.27</w:t>
            </w:r>
            <w:r>
              <w:br/>
              <w:t>($800)</w:t>
            </w:r>
          </w:p>
        </w:tc>
      </w:tr>
    </w:tbl>
    <w:p w14:paraId="6710853F" w14:textId="77777777" w:rsidR="000D07EA" w:rsidRDefault="00BE7C89">
      <w:pPr>
        <w:pStyle w:val="BodyText"/>
        <w:spacing w:before="240"/>
        <w:ind w:left="2160"/>
      </w:pPr>
      <w:r>
        <w:t xml:space="preserve">And for </w:t>
      </w:r>
      <w:r>
        <w:rPr>
          <w:i/>
        </w:rPr>
        <w:t xml:space="preserve">cancellations </w:t>
      </w:r>
      <w:r>
        <w:t xml:space="preserve">between months 7-12, an amount in accordance with the following calculations: for months 7-9, 70% of the </w:t>
      </w:r>
      <w:r>
        <w:rPr>
          <w:i/>
        </w:rPr>
        <w:t>cancellation fee</w:t>
      </w:r>
      <w:r>
        <w:t xml:space="preserve">; for months 10-12, 40% of the </w:t>
      </w:r>
      <w:r>
        <w:rPr>
          <w:i/>
        </w:rPr>
        <w:t>cancellation fee</w:t>
      </w:r>
      <w:r>
        <w:t xml:space="preserve">. </w:t>
      </w:r>
    </w:p>
    <w:p w14:paraId="7FD4BABE" w14:textId="77777777" w:rsidR="000D07EA" w:rsidRDefault="00BE7C89">
      <w:pPr>
        <w:pStyle w:val="Heading6"/>
        <w:ind w:left="0" w:firstLine="0"/>
      </w:pPr>
      <w:bookmarkStart w:id="199" w:name="_Toc205690208"/>
      <w:bookmarkStart w:id="200" w:name="_Toc219870424"/>
      <w:bookmarkStart w:id="201" w:name="_Toc397941028"/>
      <w:r>
        <w:t>Optus SMB Rewards</w:t>
      </w:r>
      <w:bookmarkEnd w:id="199"/>
      <w:bookmarkEnd w:id="200"/>
      <w:bookmarkEnd w:id="201"/>
    </w:p>
    <w:p w14:paraId="1F0D0AB4" w14:textId="77777777" w:rsidR="000D07EA" w:rsidRDefault="00BE7C89">
      <w:pPr>
        <w:pStyle w:val="Heading7"/>
      </w:pPr>
      <w:r>
        <w:rPr>
          <w:b/>
        </w:rPr>
        <w:t xml:space="preserve">Optus 'yes' Business </w:t>
      </w:r>
      <w:r>
        <w:rPr>
          <w:b/>
          <w:bCs/>
        </w:rPr>
        <w:t>Rewards</w:t>
      </w:r>
      <w:r>
        <w:rPr>
          <w:bCs/>
        </w:rPr>
        <w:t xml:space="preserve"> </w:t>
      </w:r>
      <w:r>
        <w:t xml:space="preserve">is a </w:t>
      </w:r>
      <w:r>
        <w:rPr>
          <w:i/>
          <w:iCs/>
        </w:rPr>
        <w:t xml:space="preserve">special </w:t>
      </w:r>
      <w:r>
        <w:t xml:space="preserve">available to </w:t>
      </w:r>
      <w:r>
        <w:rPr>
          <w:i/>
          <w:iCs/>
        </w:rPr>
        <w:t xml:space="preserve">small or medium business customers </w:t>
      </w:r>
      <w:r>
        <w:t>who connect to the</w:t>
      </w:r>
      <w:r>
        <w:rPr>
          <w:i/>
          <w:iCs/>
        </w:rPr>
        <w:t xml:space="preserve"> service </w:t>
      </w:r>
      <w:r>
        <w:t xml:space="preserve">on an eligible </w:t>
      </w:r>
      <w:r>
        <w:rPr>
          <w:i/>
          <w:iCs/>
        </w:rPr>
        <w:t xml:space="preserve">pricing plan </w:t>
      </w:r>
      <w:r>
        <w:t>after 23 November 2005. It</w:t>
      </w:r>
      <w:r>
        <w:rPr>
          <w:i/>
          <w:iCs/>
        </w:rPr>
        <w:t xml:space="preserve"> </w:t>
      </w:r>
      <w:r>
        <w:t xml:space="preserve">involves more than one </w:t>
      </w:r>
      <w:r>
        <w:rPr>
          <w:i/>
          <w:iCs/>
        </w:rPr>
        <w:t>service</w:t>
      </w:r>
      <w:r>
        <w:t xml:space="preserve"> and each of the services </w:t>
      </w:r>
      <w:r>
        <w:rPr>
          <w:i/>
          <w:iCs/>
        </w:rPr>
        <w:t>you</w:t>
      </w:r>
      <w:r>
        <w:t xml:space="preserve"> select as part of </w:t>
      </w:r>
      <w:r>
        <w:rPr>
          <w:i/>
          <w:iCs/>
        </w:rPr>
        <w:t>you</w:t>
      </w:r>
      <w:r>
        <w:t xml:space="preserve">r package is provided to </w:t>
      </w:r>
      <w:r>
        <w:rPr>
          <w:i/>
          <w:iCs/>
        </w:rPr>
        <w:t>you</w:t>
      </w:r>
      <w:r>
        <w:t xml:space="preserve"> by the relevant Optus company on the terms and conditions of the </w:t>
      </w:r>
      <w:r>
        <w:rPr>
          <w:i/>
          <w:iCs/>
        </w:rPr>
        <w:t>agreement</w:t>
      </w:r>
      <w:r>
        <w:t xml:space="preserve"> for the supply of that </w:t>
      </w:r>
      <w:r>
        <w:rPr>
          <w:i/>
          <w:iCs/>
        </w:rPr>
        <w:t>service.</w:t>
      </w:r>
      <w:r>
        <w:t xml:space="preserve"> Details of the various packages available and of any additional terms and conditions that apply to 'yes' Business Rewards are set out in </w:t>
      </w:r>
      <w:hyperlink r:id="rId97" w:history="1">
        <w:r>
          <w:rPr>
            <w:rStyle w:val="Hyperlink"/>
            <w:i/>
          </w:rPr>
          <w:t>Appendix IB</w:t>
        </w:r>
      </w:hyperlink>
      <w:r>
        <w:t xml:space="preserve">. </w:t>
      </w:r>
    </w:p>
    <w:p w14:paraId="526062A6" w14:textId="77777777" w:rsidR="000D07EA" w:rsidRDefault="00BE7C89">
      <w:pPr>
        <w:pStyle w:val="Heading6"/>
        <w:ind w:left="0" w:firstLine="0"/>
      </w:pPr>
      <w:bookmarkStart w:id="202" w:name="_Toc205690209"/>
      <w:bookmarkStart w:id="203" w:name="_Toc219870425"/>
      <w:bookmarkStart w:id="204" w:name="_Toc397941029"/>
      <w:r>
        <w:t>Business Bonus</w:t>
      </w:r>
      <w:bookmarkEnd w:id="202"/>
      <w:bookmarkEnd w:id="203"/>
      <w:bookmarkEnd w:id="204"/>
    </w:p>
    <w:p w14:paraId="56B54A2D" w14:textId="77777777" w:rsidR="000D07EA" w:rsidRDefault="00BE7C89">
      <w:pPr>
        <w:pStyle w:val="Heading7"/>
      </w:pPr>
      <w:r>
        <w:t xml:space="preserve">If </w:t>
      </w:r>
      <w:r>
        <w:rPr>
          <w:i/>
        </w:rPr>
        <w:t xml:space="preserve">you </w:t>
      </w:r>
      <w:r>
        <w:t xml:space="preserve">do not purchase or receive new discounted mobile hardware from either </w:t>
      </w:r>
      <w:r>
        <w:rPr>
          <w:i/>
        </w:rPr>
        <w:t>us</w:t>
      </w:r>
      <w:r>
        <w:t xml:space="preserve"> or an Optus dealer, partner or reseller when connecting to a Business Cap Plan for iPhone 3G </w:t>
      </w:r>
      <w:r>
        <w:rPr>
          <w:i/>
        </w:rPr>
        <w:t>pricing plan</w:t>
      </w:r>
      <w:r>
        <w:t xml:space="preserve"> with a 12 or 24 month </w:t>
      </w:r>
      <w:r>
        <w:rPr>
          <w:i/>
        </w:rPr>
        <w:t>minimum term</w:t>
      </w:r>
      <w:r>
        <w:t xml:space="preserve"> </w:t>
      </w:r>
      <w:r>
        <w:rPr>
          <w:i/>
        </w:rPr>
        <w:t>you</w:t>
      </w:r>
      <w:r>
        <w:t xml:space="preserve"> are eligible for a monthly credit called "Smart BYO Bonus" on </w:t>
      </w:r>
      <w:r>
        <w:rPr>
          <w:i/>
        </w:rPr>
        <w:t>your</w:t>
      </w:r>
      <w:r>
        <w:t xml:space="preserve"> </w:t>
      </w:r>
      <w:r>
        <w:rPr>
          <w:i/>
        </w:rPr>
        <w:t>mobile phone</w:t>
      </w:r>
      <w:r>
        <w:t xml:space="preserve"> tax invoice/account. </w:t>
      </w:r>
      <w:r>
        <w:rPr>
          <w:b/>
        </w:rPr>
        <w:t xml:space="preserve">(For the avoidance of doubt, </w:t>
      </w:r>
      <w:r>
        <w:rPr>
          <w:b/>
          <w:i/>
        </w:rPr>
        <w:t>you</w:t>
      </w:r>
      <w:r>
        <w:rPr>
          <w:b/>
        </w:rPr>
        <w:t xml:space="preserve"> will not be eligible for any "BYO Bonus" credit if, at the time </w:t>
      </w:r>
      <w:r>
        <w:rPr>
          <w:b/>
          <w:i/>
        </w:rPr>
        <w:t>you</w:t>
      </w:r>
      <w:r>
        <w:rPr>
          <w:b/>
        </w:rPr>
        <w:t xml:space="preserve"> enter into the </w:t>
      </w:r>
      <w:r>
        <w:rPr>
          <w:b/>
          <w:i/>
        </w:rPr>
        <w:t>agreement</w:t>
      </w:r>
      <w:r>
        <w:rPr>
          <w:b/>
        </w:rPr>
        <w:t xml:space="preserve"> for the </w:t>
      </w:r>
      <w:r>
        <w:rPr>
          <w:b/>
          <w:i/>
        </w:rPr>
        <w:t>service</w:t>
      </w:r>
      <w:r>
        <w:rPr>
          <w:b/>
        </w:rPr>
        <w:t xml:space="preserve"> with </w:t>
      </w:r>
      <w:r>
        <w:rPr>
          <w:b/>
          <w:i/>
        </w:rPr>
        <w:t>us</w:t>
      </w:r>
      <w:r>
        <w:rPr>
          <w:b/>
        </w:rPr>
        <w:t xml:space="preserve"> </w:t>
      </w:r>
      <w:r>
        <w:rPr>
          <w:b/>
          <w:i/>
        </w:rPr>
        <w:t>you</w:t>
      </w:r>
      <w:r>
        <w:rPr>
          <w:b/>
        </w:rPr>
        <w:t xml:space="preserve"> purchase or receive mobile hardware under a separate agreement with an Optus dealer, </w:t>
      </w:r>
      <w:r>
        <w:rPr>
          <w:b/>
        </w:rPr>
        <w:lastRenderedPageBreak/>
        <w:t>partner or reseller.)</w:t>
      </w:r>
      <w:r>
        <w:t xml:space="preserve"> The credit will be applied to </w:t>
      </w:r>
      <w:r>
        <w:rPr>
          <w:i/>
        </w:rPr>
        <w:t>your</w:t>
      </w:r>
      <w:r>
        <w:t xml:space="preserve"> account in the first or second month of your contract and will be equal to your Minimum monthly commitment you will still receive your full included value. Customers who select a 12 month plan will receive 1 "Smart BYO Bonus" where as customers who select a 24 month plan will receive 2 "Smart BYO Bonus". This credit is not redeemable for cash or refundable upon </w:t>
      </w:r>
      <w:r>
        <w:rPr>
          <w:i/>
        </w:rPr>
        <w:t>cancellation</w:t>
      </w:r>
      <w:r>
        <w:t xml:space="preserve"> of </w:t>
      </w:r>
      <w:r>
        <w:rPr>
          <w:i/>
        </w:rPr>
        <w:t>your</w:t>
      </w:r>
      <w:r>
        <w:t xml:space="preserve"> </w:t>
      </w:r>
      <w:r>
        <w:rPr>
          <w:i/>
        </w:rPr>
        <w:t>agreement</w:t>
      </w:r>
      <w:r>
        <w:t>.</w:t>
      </w:r>
    </w:p>
    <w:p w14:paraId="03EB9251" w14:textId="77777777" w:rsidR="000D07EA" w:rsidRDefault="00BE7C89">
      <w:pPr>
        <w:pStyle w:val="Heading4"/>
        <w:ind w:left="720" w:hanging="720"/>
      </w:pPr>
      <w:bookmarkStart w:id="205" w:name="_Toc62644618"/>
      <w:r>
        <w:t>'yes' Business Smart 50+ Plans</w:t>
      </w:r>
      <w:bookmarkEnd w:id="205"/>
    </w:p>
    <w:p w14:paraId="7F58EB76" w14:textId="77777777" w:rsidR="000D07EA" w:rsidRDefault="00BE7C89">
      <w:pPr>
        <w:pStyle w:val="Heading6"/>
        <w:ind w:left="0" w:firstLine="0"/>
      </w:pPr>
      <w:r>
        <w:t>Eligibility</w:t>
      </w:r>
    </w:p>
    <w:p w14:paraId="114E1D5C" w14:textId="77777777" w:rsidR="000D07EA" w:rsidRDefault="00BE7C89">
      <w:pPr>
        <w:pStyle w:val="Heading7"/>
      </w:pPr>
      <w:r>
        <w:t xml:space="preserve">The 'yes' Business Smart 50+ </w:t>
      </w:r>
      <w:r>
        <w:rPr>
          <w:i/>
        </w:rPr>
        <w:t>pricing plans</w:t>
      </w:r>
      <w:r>
        <w:t xml:space="preserve"> are only available under special offers to customers </w:t>
      </w:r>
      <w:r>
        <w:rPr>
          <w:i/>
        </w:rPr>
        <w:t>we</w:t>
      </w:r>
      <w:r>
        <w:t xml:space="preserve"> classify as business customers. </w:t>
      </w:r>
    </w:p>
    <w:p w14:paraId="7CC8FFE6" w14:textId="77777777" w:rsidR="000D07EA" w:rsidRDefault="00BE7C89">
      <w:pPr>
        <w:pStyle w:val="Heading7"/>
      </w:pPr>
      <w:r>
        <w:t xml:space="preserve">To be eligible, </w:t>
      </w:r>
      <w:r>
        <w:rPr>
          <w:i/>
        </w:rPr>
        <w:t>you</w:t>
      </w:r>
      <w:r>
        <w:t xml:space="preserve"> must have a fleet of at least 50 mobile phones (</w:t>
      </w:r>
      <w:r>
        <w:rPr>
          <w:i/>
        </w:rPr>
        <w:t>Optus SIM cards</w:t>
      </w:r>
      <w:r>
        <w:t xml:space="preserve">) in </w:t>
      </w:r>
      <w:r>
        <w:rPr>
          <w:i/>
        </w:rPr>
        <w:t>your</w:t>
      </w:r>
      <w:r>
        <w:t xml:space="preserve"> account or a fleet of any other number approved by </w:t>
      </w:r>
      <w:r>
        <w:rPr>
          <w:i/>
        </w:rPr>
        <w:t>us</w:t>
      </w:r>
      <w:r>
        <w:t xml:space="preserve"> at </w:t>
      </w:r>
      <w:r>
        <w:rPr>
          <w:i/>
        </w:rPr>
        <w:t>our</w:t>
      </w:r>
      <w:r>
        <w:t xml:space="preserve"> discretion. If </w:t>
      </w:r>
      <w:r>
        <w:rPr>
          <w:i/>
        </w:rPr>
        <w:t>you</w:t>
      </w:r>
      <w:r>
        <w:t xml:space="preserve"> cease to have a fleet of 50 </w:t>
      </w:r>
      <w:r>
        <w:rPr>
          <w:i/>
        </w:rPr>
        <w:t>Optus SIM cards</w:t>
      </w:r>
      <w:r>
        <w:t xml:space="preserve"> or other approved fleet of </w:t>
      </w:r>
      <w:r>
        <w:rPr>
          <w:i/>
        </w:rPr>
        <w:t>Optus SIM cards</w:t>
      </w:r>
      <w:r>
        <w:t xml:space="preserve">, connected to </w:t>
      </w:r>
      <w:r>
        <w:rPr>
          <w:i/>
        </w:rPr>
        <w:t>your</w:t>
      </w:r>
      <w:r>
        <w:t xml:space="preserve"> account, </w:t>
      </w:r>
      <w:r>
        <w:rPr>
          <w:i/>
        </w:rPr>
        <w:t>you</w:t>
      </w:r>
      <w:r>
        <w:t xml:space="preserve"> may be transferred to another </w:t>
      </w:r>
      <w:r>
        <w:rPr>
          <w:i/>
        </w:rPr>
        <w:t>pricing plan</w:t>
      </w:r>
      <w:r>
        <w:t xml:space="preserve"> at </w:t>
      </w:r>
      <w:r>
        <w:rPr>
          <w:i/>
        </w:rPr>
        <w:t>our</w:t>
      </w:r>
      <w:r>
        <w:t xml:space="preserve"> discretion.</w:t>
      </w:r>
    </w:p>
    <w:p w14:paraId="460E2493" w14:textId="77777777" w:rsidR="000D07EA" w:rsidRDefault="00BE7C89">
      <w:pPr>
        <w:pStyle w:val="Heading7"/>
      </w:pPr>
      <w:r>
        <w:t xml:space="preserve">If </w:t>
      </w:r>
      <w:r>
        <w:rPr>
          <w:i/>
        </w:rPr>
        <w:t>you</w:t>
      </w:r>
      <w:r>
        <w:t xml:space="preserve"> connect to a 'yes' Business Smart 50+ </w:t>
      </w:r>
      <w:r>
        <w:rPr>
          <w:i/>
        </w:rPr>
        <w:t>pricing plan you</w:t>
      </w:r>
      <w:r>
        <w:t xml:space="preserve"> agree to connect to the specific </w:t>
      </w:r>
      <w:r>
        <w:rPr>
          <w:i/>
        </w:rPr>
        <w:t>pricing plans</w:t>
      </w:r>
      <w:r>
        <w:t xml:space="preserve"> of </w:t>
      </w:r>
      <w:r>
        <w:rPr>
          <w:i/>
        </w:rPr>
        <w:t>your</w:t>
      </w:r>
      <w:r>
        <w:t xml:space="preserve"> choice from the 'yes' Business Smart 20+ suite of </w:t>
      </w:r>
      <w:r>
        <w:rPr>
          <w:i/>
        </w:rPr>
        <w:t>pricing plans</w:t>
      </w:r>
      <w:r>
        <w:t xml:space="preserve"> set out in Table 1 below, based in each case on an agreed average minimum monthly call spend per user across all </w:t>
      </w:r>
      <w:r>
        <w:rPr>
          <w:i/>
        </w:rPr>
        <w:t>Optus SIM cards</w:t>
      </w:r>
      <w:r>
        <w:t xml:space="preserve"> connected to </w:t>
      </w:r>
      <w:r>
        <w:rPr>
          <w:i/>
        </w:rPr>
        <w:t>your</w:t>
      </w:r>
      <w:r>
        <w:t xml:space="preserve"> account. Calls are charged at the rates set out in Table 1.</w:t>
      </w:r>
    </w:p>
    <w:p w14:paraId="279DE55C" w14:textId="77777777" w:rsidR="000D07EA" w:rsidRDefault="00BE7C89">
      <w:pPr>
        <w:pStyle w:val="Heading6"/>
        <w:ind w:left="0" w:firstLine="0"/>
      </w:pPr>
      <w:r>
        <w:t xml:space="preserve">Is it a </w:t>
      </w:r>
      <w:r>
        <w:rPr>
          <w:i/>
        </w:rPr>
        <w:t>fixed length agreement</w:t>
      </w:r>
      <w:r>
        <w:t>?</w:t>
      </w:r>
    </w:p>
    <w:p w14:paraId="6F74B89C" w14:textId="77777777" w:rsidR="000D07EA" w:rsidRDefault="00BE7C89">
      <w:pPr>
        <w:pStyle w:val="Heading7"/>
      </w:pPr>
      <w:r>
        <w:t xml:space="preserve">To connect to any of the 'yes' Business Smart 50+ </w:t>
      </w:r>
      <w:r>
        <w:rPr>
          <w:i/>
        </w:rPr>
        <w:t>pricing plans you</w:t>
      </w:r>
      <w:r>
        <w:t xml:space="preserve"> must agree to enter into a </w:t>
      </w:r>
      <w:r>
        <w:rPr>
          <w:i/>
        </w:rPr>
        <w:t>fixed length agreement</w:t>
      </w:r>
      <w:r>
        <w:t xml:space="preserve"> for a </w:t>
      </w:r>
      <w:r>
        <w:rPr>
          <w:i/>
        </w:rPr>
        <w:t>minimum term</w:t>
      </w:r>
      <w:r>
        <w:t xml:space="preserve"> as specified in Table 1 below, up to a term of 5 years, or such other term as </w:t>
      </w:r>
      <w:r>
        <w:rPr>
          <w:i/>
        </w:rPr>
        <w:t>you</w:t>
      </w:r>
      <w:r>
        <w:t xml:space="preserve"> and </w:t>
      </w:r>
      <w:r>
        <w:rPr>
          <w:i/>
        </w:rPr>
        <w:t>we</w:t>
      </w:r>
      <w:r>
        <w:t xml:space="preserve"> agree (</w:t>
      </w:r>
      <w:r>
        <w:rPr>
          <w:i/>
        </w:rPr>
        <w:t>minimum term</w:t>
      </w:r>
      <w:r>
        <w:t>).</w:t>
      </w:r>
    </w:p>
    <w:p w14:paraId="6BDB2FBB" w14:textId="77777777" w:rsidR="000D07EA" w:rsidRDefault="00BE7C89">
      <w:pPr>
        <w:pStyle w:val="Heading6"/>
        <w:ind w:left="0" w:firstLine="0"/>
      </w:pPr>
      <w:r>
        <w:t xml:space="preserve">What </w:t>
      </w:r>
      <w:r>
        <w:rPr>
          <w:i/>
        </w:rPr>
        <w:t>you</w:t>
      </w:r>
      <w:r>
        <w:t xml:space="preserve"> must pay </w:t>
      </w:r>
      <w:r>
        <w:rPr>
          <w:i/>
        </w:rPr>
        <w:t>us</w:t>
      </w:r>
    </w:p>
    <w:p w14:paraId="52C30AE6" w14:textId="77777777" w:rsidR="000D07EA" w:rsidRDefault="00BE7C89">
      <w:pPr>
        <w:pStyle w:val="Heading7"/>
      </w:pPr>
      <w:r>
        <w:t xml:space="preserve">Each month </w:t>
      </w:r>
      <w:r>
        <w:rPr>
          <w:i/>
        </w:rPr>
        <w:t>you</w:t>
      </w:r>
      <w:r>
        <w:t xml:space="preserve"> will pay the monthly </w:t>
      </w:r>
      <w:r>
        <w:rPr>
          <w:i/>
        </w:rPr>
        <w:t>minimum monthly spend</w:t>
      </w:r>
      <w:r>
        <w:t xml:space="preserve"> for all </w:t>
      </w:r>
      <w:r>
        <w:rPr>
          <w:i/>
        </w:rPr>
        <w:t>Optus SIM cards</w:t>
      </w:r>
      <w:r>
        <w:t xml:space="preserve"> connected to the relevant 'yes' Business Smart 50+ </w:t>
      </w:r>
      <w:r>
        <w:rPr>
          <w:i/>
        </w:rPr>
        <w:t>pricing plan</w:t>
      </w:r>
      <w:r>
        <w:t xml:space="preserve"> on </w:t>
      </w:r>
      <w:r>
        <w:rPr>
          <w:i/>
        </w:rPr>
        <w:t>your</w:t>
      </w:r>
      <w:r>
        <w:t xml:space="preserve"> account, regardless of the actual call charges incurred.</w:t>
      </w:r>
    </w:p>
    <w:p w14:paraId="1F85FE09" w14:textId="77777777" w:rsidR="000D07EA" w:rsidRDefault="00BE7C89">
      <w:pPr>
        <w:pStyle w:val="Heading7"/>
      </w:pPr>
      <w:r>
        <w:t xml:space="preserve">There will be a component of included calls upon payment of the monthly </w:t>
      </w:r>
      <w:r>
        <w:rPr>
          <w:i/>
        </w:rPr>
        <w:t>minimum monthly spend</w:t>
      </w:r>
      <w:r>
        <w:t xml:space="preserve"> as specified in Table 1 below.</w:t>
      </w:r>
    </w:p>
    <w:p w14:paraId="726F68FF" w14:textId="77777777" w:rsidR="000D07EA" w:rsidRDefault="00BE7C89">
      <w:pPr>
        <w:pStyle w:val="Heading7"/>
      </w:pPr>
      <w:r>
        <w:rPr>
          <w:i/>
        </w:rPr>
        <w:t>You</w:t>
      </w:r>
      <w:r>
        <w:t xml:space="preserve"> will not be charged for calls made in any one month on a per call basis per user until the value of those calls exceeds the value of the included call component of </w:t>
      </w:r>
      <w:r>
        <w:rPr>
          <w:i/>
        </w:rPr>
        <w:t>your pricing plan</w:t>
      </w:r>
      <w:r>
        <w:t>.</w:t>
      </w:r>
    </w:p>
    <w:p w14:paraId="371BF4A6" w14:textId="77777777" w:rsidR="000D07EA" w:rsidRDefault="00BE7C89">
      <w:pPr>
        <w:pStyle w:val="Heading6"/>
        <w:ind w:left="0" w:firstLine="0"/>
      </w:pPr>
      <w:r>
        <w:t>Pricing</w:t>
      </w:r>
    </w:p>
    <w:p w14:paraId="46856171" w14:textId="77777777" w:rsidR="000D07EA" w:rsidRDefault="00BE7C89">
      <w:pPr>
        <w:pStyle w:val="Heading7"/>
      </w:pPr>
      <w:r>
        <w:t xml:space="preserve">'yes' Business Smart 50+ </w:t>
      </w:r>
      <w:r>
        <w:rPr>
          <w:i/>
        </w:rPr>
        <w:t>pricing plans</w:t>
      </w:r>
      <w:r>
        <w:t xml:space="preserve"> include the "SmartFleet" call rate. It applies to calls to another 'yes' Business Smart 50+ (YBS50), 'yes' Business Fleet (BF) or inBusiness Edge (inBE) </w:t>
      </w:r>
      <w:r>
        <w:rPr>
          <w:i/>
        </w:rPr>
        <w:t>service</w:t>
      </w:r>
      <w:r>
        <w:t xml:space="preserve"> on the same customer account number. Calls are charged at $0. No </w:t>
      </w:r>
      <w:r>
        <w:rPr>
          <w:i/>
        </w:rPr>
        <w:t>flagfall</w:t>
      </w:r>
      <w:r>
        <w:t xml:space="preserve"> applies. Excludes calls to Optus Pre-Paid, Satellite and service provider customers. "SmartFleet" Promotion available until the 31/12/2008 unless withdrawn earlier. </w:t>
      </w:r>
      <w:r w:rsidR="00503F23">
        <w:t xml:space="preserve">The </w:t>
      </w:r>
      <w:r>
        <w:t>Fair Go</w:t>
      </w:r>
      <w:r>
        <w:rPr>
          <w:vertAlign w:val="superscript"/>
        </w:rPr>
        <w:t>T</w:t>
      </w:r>
      <w:r>
        <w:t xml:space="preserve"> Policy applies (see </w:t>
      </w:r>
      <w:hyperlink r:id="rId98" w:history="1">
        <w:r w:rsidRPr="00DD7FB0">
          <w:rPr>
            <w:rStyle w:val="Hyperlink"/>
            <w:i/>
          </w:rPr>
          <w:t xml:space="preserve">Appendix </w:t>
        </w:r>
        <w:r w:rsidR="00DD7FB0" w:rsidRPr="00DD7FB0">
          <w:rPr>
            <w:rStyle w:val="Hyperlink"/>
            <w:i/>
          </w:rPr>
          <w:t>S</w:t>
        </w:r>
      </w:hyperlink>
      <w:r>
        <w:t xml:space="preserve">). Note: Standard call exclusions (see section 1 of this </w:t>
      </w:r>
      <w:r>
        <w:rPr>
          <w:i/>
        </w:rPr>
        <w:t>standard pricing table</w:t>
      </w:r>
      <w:r>
        <w:t>) apply to the "SmartFleet" call rates. Applies to calls made and received in Australia.</w:t>
      </w:r>
    </w:p>
    <w:p w14:paraId="05F7FD6D" w14:textId="77777777" w:rsidR="000D07EA" w:rsidRDefault="00BE7C89">
      <w:pPr>
        <w:pStyle w:val="Heading7"/>
      </w:pPr>
      <w:r>
        <w:t xml:space="preserve">Upon request, customers may set up a Back2Business (B2B) service: pay 30c for 10 minute calls to 3 numbers, 24 x 7. No flagfall applies. Only 3 B2B services per YBS20+ service. If </w:t>
      </w:r>
      <w:r>
        <w:rPr>
          <w:i/>
        </w:rPr>
        <w:t>you</w:t>
      </w:r>
      <w:r>
        <w:t xml:space="preserve"> combine </w:t>
      </w:r>
      <w:r>
        <w:rPr>
          <w:i/>
        </w:rPr>
        <w:t>your</w:t>
      </w:r>
      <w:r>
        <w:t xml:space="preserve"> YBS50 service with Optus Fixed Line and / or Data </w:t>
      </w:r>
      <w:r>
        <w:rPr>
          <w:i/>
        </w:rPr>
        <w:t>you</w:t>
      </w:r>
      <w:r>
        <w:t xml:space="preserve"> will receive free 10 minute calls. The 3 nominated numbers must be either eligible Optus GSM mobile(s) and / or fixed line(s), as defined by Optus and cannot be a 13, 1300, 1800 or 1900 number. Calls must be made and received within Australia and excludes video calls. After the first 10 minutes standard call rates apply. </w:t>
      </w:r>
      <w:r>
        <w:rPr>
          <w:i/>
        </w:rPr>
        <w:t>You</w:t>
      </w:r>
      <w:r>
        <w:t xml:space="preserve"> may change </w:t>
      </w:r>
      <w:r>
        <w:rPr>
          <w:i/>
        </w:rPr>
        <w:t>your</w:t>
      </w:r>
      <w:r>
        <w:t xml:space="preserve"> nominated numbers no more than once per month. Allow up to 48 hours for activation or changes to your B2B service. "Back2Business" Promotion available until the 31/12/2008 unless withdrawn earlier. </w:t>
      </w:r>
      <w:r w:rsidR="00503F23">
        <w:t xml:space="preserve">The </w:t>
      </w:r>
      <w:r>
        <w:t xml:space="preserve">Fair Go Policy applies. </w:t>
      </w:r>
    </w:p>
    <w:p w14:paraId="15C1FC1E" w14:textId="77777777" w:rsidR="000D07EA" w:rsidRDefault="00BE7C89">
      <w:pPr>
        <w:pStyle w:val="Heading7"/>
      </w:pPr>
      <w:r>
        <w:rPr>
          <w:b/>
        </w:rPr>
        <w:lastRenderedPageBreak/>
        <w:t>FleetShare:</w:t>
      </w:r>
      <w:r>
        <w:t xml:space="preserve"> Available to Small Business customers only. Shares the minimum monthly spend among the 'yes' Business Smart 50+ services on the same customer account number. Excludes all Cap plans, GPRS Data, Optus Wireless Broadband and Blackberry. Only plans with Minimum monthly spend are eligible.</w:t>
      </w:r>
    </w:p>
    <w:p w14:paraId="4DF1C33E" w14:textId="77777777" w:rsidR="000D07EA" w:rsidRDefault="00BE7C89">
      <w:pPr>
        <w:pStyle w:val="Heading7"/>
      </w:pPr>
      <w:r>
        <w:rPr>
          <w:b/>
        </w:rPr>
        <w:t>International Calls:</w:t>
      </w:r>
      <w:r>
        <w:t xml:space="preserve"> For the period prior to 6 June 2010, international calls from </w:t>
      </w:r>
      <w:r>
        <w:rPr>
          <w:i/>
        </w:rPr>
        <w:t>your</w:t>
      </w:r>
      <w:r>
        <w:t xml:space="preserve"> YBS 50+ mobile will be charged at 'yes' International rates and will be charged at per 30 second rates. Flagfall of 27c applies per call. For more information on the 'yes' International call rates please refer to </w:t>
      </w:r>
      <w:hyperlink r:id="rId99" w:history="1">
        <w:r>
          <w:rPr>
            <w:rStyle w:val="Hyperlink"/>
            <w:i/>
          </w:rPr>
          <w:t>Appendix J</w:t>
        </w:r>
      </w:hyperlink>
      <w:r>
        <w:t xml:space="preserve">. </w:t>
      </w:r>
    </w:p>
    <w:p w14:paraId="4EDC1224" w14:textId="77777777" w:rsidR="000D07EA" w:rsidRDefault="00BE7C89">
      <w:pPr>
        <w:pStyle w:val="BodyText"/>
        <w:ind w:left="1440"/>
      </w:pPr>
      <w:r>
        <w:t xml:space="preserve">From 6 June 2010 (inclusive), international calls from </w:t>
      </w:r>
      <w:r>
        <w:rPr>
          <w:i/>
        </w:rPr>
        <w:t>your</w:t>
      </w:r>
      <w:r>
        <w:t xml:space="preserve"> YBS 50+ mobile will be charged at 'yes' Business International rates and will be charged at per 30 second rates. Flagfall of 35c applies per call. For more information on the 'yes' Business International call rates please refer to </w:t>
      </w:r>
      <w:hyperlink r:id="rId100" w:history="1">
        <w:r>
          <w:rPr>
            <w:rStyle w:val="Hyperlink"/>
            <w:i/>
          </w:rPr>
          <w:t>Appendix J</w:t>
        </w:r>
      </w:hyperlink>
      <w:r>
        <w:t>.</w:t>
      </w:r>
    </w:p>
    <w:p w14:paraId="6BB0C924" w14:textId="77777777" w:rsidR="000D07EA" w:rsidRDefault="00BE7C89">
      <w:pPr>
        <w:pStyle w:val="Heading7"/>
      </w:pPr>
      <w:r>
        <w:rPr>
          <w:b/>
        </w:rPr>
        <w:t>Bolt Ons:</w:t>
      </w:r>
      <w:r>
        <w:t xml:space="preserve"> Upon request, customer may select Bolt Ons for an additional $5 per pack, per month per service. The spend on these Bolt Ons does not contribute to FleetShare. </w:t>
      </w:r>
    </w:p>
    <w:p w14:paraId="782150A7" w14:textId="77777777" w:rsidR="000D07EA" w:rsidRDefault="00BE7C89">
      <w:pPr>
        <w:pStyle w:val="Heading8"/>
      </w:pPr>
      <w:r>
        <w:rPr>
          <w:b/>
        </w:rPr>
        <w:t>Smart SMS</w:t>
      </w:r>
      <w:r>
        <w:t xml:space="preserve"> / </w:t>
      </w:r>
      <w:r>
        <w:rPr>
          <w:b/>
        </w:rPr>
        <w:t>MMS Bolt On:</w:t>
      </w:r>
      <w:r>
        <w:t xml:space="preserve"> Pay $5 extra per month to receive half priced SMS and MMS (normally 25¢) messages and an included $5 worth of SMS and MMS value. SMS and MMS must be sent and received in Australia. </w:t>
      </w:r>
    </w:p>
    <w:p w14:paraId="31200A22" w14:textId="77777777" w:rsidR="000D07EA" w:rsidRDefault="00BE7C89">
      <w:pPr>
        <w:pStyle w:val="Heading8"/>
      </w:pPr>
      <w:r>
        <w:rPr>
          <w:b/>
        </w:rPr>
        <w:t>Smart OneRate Bolt On:</w:t>
      </w:r>
      <w:r>
        <w:t xml:space="preserve"> Pay $5 extra per month to receive 'yes' International One Rate rates. Flagfall of 27c applies per call. Excludes video calls. For more information on the 'yes' International One Rate call rates please refer to </w:t>
      </w:r>
      <w:hyperlink r:id="rId101" w:history="1">
        <w:r>
          <w:rPr>
            <w:rStyle w:val="Hyperlink"/>
            <w:i/>
          </w:rPr>
          <w:t>Appendix J</w:t>
        </w:r>
      </w:hyperlink>
      <w:r>
        <w:t xml:space="preserve">. </w:t>
      </w:r>
    </w:p>
    <w:p w14:paraId="353190BF" w14:textId="77777777" w:rsidR="000D07EA" w:rsidRDefault="00BE7C89">
      <w:pPr>
        <w:pStyle w:val="Heading8"/>
      </w:pPr>
      <w:r>
        <w:rPr>
          <w:b/>
        </w:rPr>
        <w:t>Smart VoiceMail Bolt On:</w:t>
      </w:r>
      <w:r>
        <w:t xml:space="preserve"> Pay $5 extra per month to receive unlimited VoiceMail deposits and retrievals. </w:t>
      </w:r>
      <w:r w:rsidR="00503F23">
        <w:t xml:space="preserve">The </w:t>
      </w:r>
      <w:r>
        <w:t>Fair Go Policy applies.</w:t>
      </w:r>
    </w:p>
    <w:p w14:paraId="498AB36C" w14:textId="77777777" w:rsidR="000D07EA" w:rsidRDefault="00BE7C89">
      <w:pPr>
        <w:pStyle w:val="Heading8"/>
      </w:pPr>
      <w:r>
        <w:rPr>
          <w:b/>
        </w:rPr>
        <w:t>Business Smart SurePage Bolt On:</w:t>
      </w:r>
      <w:r>
        <w:t xml:space="preserve"> Pay $5 extra per month to receive 20 SurePage messages. Each additional message costs 50c.</w:t>
      </w:r>
    </w:p>
    <w:p w14:paraId="69120D60" w14:textId="77777777" w:rsidR="000D07EA" w:rsidRDefault="00BE7C89">
      <w:pPr>
        <w:pStyle w:val="Heading7"/>
      </w:pPr>
      <w:r>
        <w:rPr>
          <w:b/>
        </w:rPr>
        <w:t>Smart Data Plans:</w:t>
      </w:r>
      <w:r>
        <w:t xml:space="preserve"> Upon request customers may select a Smart Data Plan Bolt On of 1GB, 2GB or 6GB. Customers will be required to pay each month the minimum monthly spend for the specific data plan they choose, please refer to </w:t>
      </w:r>
      <w:hyperlink r:id="rId102" w:history="1">
        <w:r>
          <w:rPr>
            <w:rStyle w:val="Hyperlink"/>
            <w:i/>
          </w:rPr>
          <w:t>Appendix Y</w:t>
        </w:r>
      </w:hyperlink>
      <w:r>
        <w:t xml:space="preserve"> for more information on monthly fees. Not included within Cap plans. Customers are required to use a GPRS capable device. SMS Alerts, Ring Tones, Screen Logos, Picture Messages, Mobile Games, MMS Select Standard and MMS Select Premium content charges are also additional charges.</w:t>
      </w:r>
    </w:p>
    <w:p w14:paraId="7497FF3A" w14:textId="77777777" w:rsidR="000D07EA" w:rsidRDefault="00BE7C89">
      <w:pPr>
        <w:pStyle w:val="Heading7"/>
      </w:pPr>
      <w:r>
        <w:t>Table 1 below indicates whether a particular call type is an 'eligible call' which counts towards the Minimum Monthly Charge of your selected Plan.</w:t>
      </w:r>
    </w:p>
    <w:tbl>
      <w:tblPr>
        <w:tblW w:w="4272"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4662"/>
        <w:gridCol w:w="4043"/>
      </w:tblGrid>
      <w:tr w:rsidR="000D07EA" w14:paraId="11CFA9CD" w14:textId="77777777">
        <w:trPr>
          <w:tblHeader/>
        </w:trPr>
        <w:tc>
          <w:tcPr>
            <w:tcW w:w="2678" w:type="pct"/>
          </w:tcPr>
          <w:p w14:paraId="06274EBB" w14:textId="77777777" w:rsidR="000D07EA" w:rsidRDefault="00BE7C89">
            <w:pPr>
              <w:pStyle w:val="BodyText"/>
              <w:spacing w:before="100" w:after="100"/>
              <w:rPr>
                <w:b/>
              </w:rPr>
            </w:pPr>
            <w:r>
              <w:rPr>
                <w:b/>
              </w:rPr>
              <w:t>Call Type</w:t>
            </w:r>
          </w:p>
        </w:tc>
        <w:tc>
          <w:tcPr>
            <w:tcW w:w="2322" w:type="pct"/>
          </w:tcPr>
          <w:p w14:paraId="2D041CC0" w14:textId="77777777" w:rsidR="000D07EA" w:rsidRDefault="00BE7C89">
            <w:pPr>
              <w:pStyle w:val="BodyText"/>
              <w:spacing w:before="100" w:after="100"/>
              <w:rPr>
                <w:b/>
              </w:rPr>
            </w:pPr>
            <w:r>
              <w:rPr>
                <w:b/>
              </w:rPr>
              <w:t>Eligible Call</w:t>
            </w:r>
          </w:p>
        </w:tc>
      </w:tr>
      <w:tr w:rsidR="000D07EA" w14:paraId="184DE21B" w14:textId="77777777">
        <w:tc>
          <w:tcPr>
            <w:tcW w:w="2678" w:type="pct"/>
          </w:tcPr>
          <w:p w14:paraId="66B1CBDA" w14:textId="77777777" w:rsidR="000D07EA" w:rsidRDefault="00BE7C89">
            <w:pPr>
              <w:pStyle w:val="BodyText"/>
              <w:spacing w:before="100" w:after="100"/>
            </w:pPr>
            <w:r>
              <w:t>National Voice Calls</w:t>
            </w:r>
          </w:p>
        </w:tc>
        <w:tc>
          <w:tcPr>
            <w:tcW w:w="2322" w:type="pct"/>
          </w:tcPr>
          <w:p w14:paraId="4DE654BE" w14:textId="77777777" w:rsidR="000D07EA" w:rsidRDefault="00BE7C89">
            <w:pPr>
              <w:pStyle w:val="BodyText"/>
              <w:spacing w:before="100" w:after="100"/>
            </w:pPr>
            <w:r>
              <w:t>Yes</w:t>
            </w:r>
          </w:p>
        </w:tc>
      </w:tr>
      <w:tr w:rsidR="000D07EA" w14:paraId="026D1469" w14:textId="77777777">
        <w:tc>
          <w:tcPr>
            <w:tcW w:w="2678" w:type="pct"/>
          </w:tcPr>
          <w:p w14:paraId="7EE7DA8E" w14:textId="77777777" w:rsidR="000D07EA" w:rsidRDefault="00BE7C89">
            <w:pPr>
              <w:pStyle w:val="BodyText"/>
              <w:spacing w:before="100" w:after="100"/>
            </w:pPr>
            <w:r>
              <w:t>National Video Calls</w:t>
            </w:r>
          </w:p>
        </w:tc>
        <w:tc>
          <w:tcPr>
            <w:tcW w:w="2322" w:type="pct"/>
          </w:tcPr>
          <w:p w14:paraId="1FB874FF" w14:textId="77777777" w:rsidR="000D07EA" w:rsidRDefault="00BE7C89">
            <w:pPr>
              <w:pStyle w:val="BodyText"/>
              <w:spacing w:before="100" w:after="100"/>
            </w:pPr>
            <w:r>
              <w:t>Yes</w:t>
            </w:r>
          </w:p>
        </w:tc>
      </w:tr>
      <w:tr w:rsidR="000D07EA" w14:paraId="3663A2AB" w14:textId="77777777">
        <w:tc>
          <w:tcPr>
            <w:tcW w:w="2678" w:type="pct"/>
          </w:tcPr>
          <w:p w14:paraId="2DB4B558" w14:textId="77777777" w:rsidR="000D07EA" w:rsidRDefault="00BE7C89">
            <w:pPr>
              <w:pStyle w:val="BodyText"/>
              <w:spacing w:before="100" w:after="100"/>
            </w:pPr>
            <w:r>
              <w:t xml:space="preserve">International Voice Calls </w:t>
            </w:r>
          </w:p>
          <w:p w14:paraId="089DC977" w14:textId="77777777" w:rsidR="000D07EA" w:rsidRDefault="00BE7C89">
            <w:pPr>
              <w:pStyle w:val="BodyText"/>
              <w:spacing w:before="100" w:after="100"/>
            </w:pPr>
            <w:r>
              <w:t>(including calls to national fixed or GSM mobile services that then divert/switch or re-route overseas)</w:t>
            </w:r>
          </w:p>
        </w:tc>
        <w:tc>
          <w:tcPr>
            <w:tcW w:w="2322" w:type="pct"/>
          </w:tcPr>
          <w:p w14:paraId="28469234" w14:textId="77777777" w:rsidR="000D07EA" w:rsidRDefault="00BE7C89">
            <w:pPr>
              <w:pStyle w:val="BodyText"/>
              <w:spacing w:before="100" w:after="100"/>
            </w:pPr>
            <w:r>
              <w:t>No</w:t>
            </w:r>
          </w:p>
        </w:tc>
      </w:tr>
      <w:tr w:rsidR="000D07EA" w14:paraId="34BBBFF5" w14:textId="77777777">
        <w:tc>
          <w:tcPr>
            <w:tcW w:w="2678" w:type="pct"/>
          </w:tcPr>
          <w:p w14:paraId="2764426E" w14:textId="77777777" w:rsidR="000D07EA" w:rsidRDefault="00BE7C89">
            <w:pPr>
              <w:pStyle w:val="BodyText"/>
              <w:spacing w:before="100" w:after="100"/>
            </w:pPr>
            <w:r>
              <w:t>International Video Calls</w:t>
            </w:r>
          </w:p>
          <w:p w14:paraId="4C55344D" w14:textId="77777777" w:rsidR="000D07EA" w:rsidRDefault="00BE7C89">
            <w:pPr>
              <w:pStyle w:val="BodyText"/>
              <w:spacing w:before="100" w:after="100"/>
            </w:pPr>
            <w:r>
              <w:t>(including calls to national fixed or GSM mobile services that then divert/switch or re-route overseas)</w:t>
            </w:r>
          </w:p>
        </w:tc>
        <w:tc>
          <w:tcPr>
            <w:tcW w:w="2322" w:type="pct"/>
          </w:tcPr>
          <w:p w14:paraId="7BC44C9B" w14:textId="77777777" w:rsidR="000D07EA" w:rsidRDefault="00BE7C89">
            <w:pPr>
              <w:pStyle w:val="BodyText"/>
              <w:spacing w:before="100" w:after="100"/>
            </w:pPr>
            <w:r>
              <w:t>No</w:t>
            </w:r>
          </w:p>
        </w:tc>
      </w:tr>
      <w:tr w:rsidR="000D07EA" w14:paraId="0B3A4AE9" w14:textId="77777777">
        <w:tc>
          <w:tcPr>
            <w:tcW w:w="2678" w:type="pct"/>
          </w:tcPr>
          <w:p w14:paraId="21BFF857" w14:textId="77777777" w:rsidR="000D07EA" w:rsidRDefault="00BE7C89">
            <w:pPr>
              <w:pStyle w:val="BodyText"/>
              <w:spacing w:before="100" w:after="100"/>
            </w:pPr>
            <w:r>
              <w:t>Premium Video</w:t>
            </w:r>
          </w:p>
        </w:tc>
        <w:tc>
          <w:tcPr>
            <w:tcW w:w="2322" w:type="pct"/>
          </w:tcPr>
          <w:p w14:paraId="5CA6EF61" w14:textId="77777777" w:rsidR="000D07EA" w:rsidRDefault="00BE7C89">
            <w:pPr>
              <w:pStyle w:val="BodyText"/>
              <w:spacing w:before="100" w:after="100"/>
            </w:pPr>
            <w:r>
              <w:t>No</w:t>
            </w:r>
          </w:p>
        </w:tc>
      </w:tr>
      <w:tr w:rsidR="000D07EA" w14:paraId="1FEB025D" w14:textId="77777777">
        <w:tc>
          <w:tcPr>
            <w:tcW w:w="2678" w:type="pct"/>
          </w:tcPr>
          <w:p w14:paraId="56588AFC" w14:textId="77777777" w:rsidR="000D07EA" w:rsidRDefault="00BE7C89">
            <w:pPr>
              <w:pStyle w:val="BodyText"/>
              <w:spacing w:before="100" w:after="100"/>
            </w:pPr>
            <w:r>
              <w:t>Content Video</w:t>
            </w:r>
          </w:p>
        </w:tc>
        <w:tc>
          <w:tcPr>
            <w:tcW w:w="2322" w:type="pct"/>
          </w:tcPr>
          <w:p w14:paraId="1DD8C42F" w14:textId="77777777" w:rsidR="000D07EA" w:rsidRDefault="00BE7C89">
            <w:pPr>
              <w:pStyle w:val="BodyText"/>
              <w:spacing w:before="100" w:after="100"/>
            </w:pPr>
            <w:r>
              <w:t>No</w:t>
            </w:r>
          </w:p>
        </w:tc>
      </w:tr>
      <w:tr w:rsidR="000D07EA" w14:paraId="415F3B23" w14:textId="77777777">
        <w:tc>
          <w:tcPr>
            <w:tcW w:w="2678" w:type="pct"/>
          </w:tcPr>
          <w:p w14:paraId="15C6619C" w14:textId="77777777" w:rsidR="000D07EA" w:rsidRDefault="00BE7C89">
            <w:pPr>
              <w:pStyle w:val="BodyText"/>
              <w:spacing w:before="100" w:after="100"/>
            </w:pPr>
            <w:r>
              <w:lastRenderedPageBreak/>
              <w:t>National Standard SMS</w:t>
            </w:r>
          </w:p>
        </w:tc>
        <w:tc>
          <w:tcPr>
            <w:tcW w:w="2322" w:type="pct"/>
          </w:tcPr>
          <w:p w14:paraId="769B5D82" w14:textId="77777777" w:rsidR="000D07EA" w:rsidRDefault="00BE7C89">
            <w:pPr>
              <w:pStyle w:val="BodyText"/>
              <w:spacing w:before="100" w:after="100"/>
            </w:pPr>
            <w:r>
              <w:t>Yes</w:t>
            </w:r>
          </w:p>
        </w:tc>
      </w:tr>
      <w:tr w:rsidR="000D07EA" w14:paraId="6E7912A5" w14:textId="77777777">
        <w:tc>
          <w:tcPr>
            <w:tcW w:w="2678" w:type="pct"/>
          </w:tcPr>
          <w:p w14:paraId="7D6C91BE" w14:textId="77777777" w:rsidR="000D07EA" w:rsidRDefault="00BE7C89">
            <w:pPr>
              <w:pStyle w:val="BodyText"/>
              <w:spacing w:before="100" w:after="100"/>
            </w:pPr>
            <w:r>
              <w:t>International SMS</w:t>
            </w:r>
          </w:p>
        </w:tc>
        <w:tc>
          <w:tcPr>
            <w:tcW w:w="2322" w:type="pct"/>
          </w:tcPr>
          <w:p w14:paraId="492012AB" w14:textId="77777777" w:rsidR="000D07EA" w:rsidRDefault="00BE7C89">
            <w:pPr>
              <w:pStyle w:val="BodyText"/>
              <w:spacing w:before="100" w:after="100"/>
            </w:pPr>
            <w:r>
              <w:t>No</w:t>
            </w:r>
          </w:p>
        </w:tc>
      </w:tr>
      <w:tr w:rsidR="000D07EA" w14:paraId="5BD7A6E3" w14:textId="77777777">
        <w:tc>
          <w:tcPr>
            <w:tcW w:w="2678" w:type="pct"/>
          </w:tcPr>
          <w:p w14:paraId="35CD2CB1" w14:textId="77777777" w:rsidR="000D07EA" w:rsidRDefault="00BE7C89">
            <w:pPr>
              <w:pStyle w:val="BodyText"/>
              <w:spacing w:before="100" w:after="100"/>
            </w:pPr>
            <w:r>
              <w:t>Premium SMS</w:t>
            </w:r>
          </w:p>
        </w:tc>
        <w:tc>
          <w:tcPr>
            <w:tcW w:w="2322" w:type="pct"/>
          </w:tcPr>
          <w:p w14:paraId="1B3859BF" w14:textId="77777777" w:rsidR="000D07EA" w:rsidRDefault="00BE7C89">
            <w:pPr>
              <w:pStyle w:val="BodyText"/>
              <w:spacing w:before="100" w:after="100"/>
            </w:pPr>
            <w:r>
              <w:t>No</w:t>
            </w:r>
          </w:p>
        </w:tc>
      </w:tr>
      <w:tr w:rsidR="000D07EA" w14:paraId="28CF1848" w14:textId="77777777">
        <w:tc>
          <w:tcPr>
            <w:tcW w:w="2678" w:type="pct"/>
          </w:tcPr>
          <w:p w14:paraId="7B2A3CA3" w14:textId="77777777" w:rsidR="000D07EA" w:rsidRDefault="00BE7C89">
            <w:pPr>
              <w:pStyle w:val="BodyText"/>
              <w:spacing w:before="100" w:after="100"/>
            </w:pPr>
            <w:r>
              <w:t>National MMS</w:t>
            </w:r>
          </w:p>
        </w:tc>
        <w:tc>
          <w:tcPr>
            <w:tcW w:w="2322" w:type="pct"/>
          </w:tcPr>
          <w:p w14:paraId="1E6521D1" w14:textId="77777777" w:rsidR="000D07EA" w:rsidRDefault="00BE7C89">
            <w:pPr>
              <w:pStyle w:val="BodyText"/>
              <w:spacing w:before="100" w:after="100"/>
            </w:pPr>
            <w:r>
              <w:t>Yes</w:t>
            </w:r>
          </w:p>
        </w:tc>
      </w:tr>
      <w:tr w:rsidR="000D07EA" w14:paraId="6E093AD1" w14:textId="77777777">
        <w:tc>
          <w:tcPr>
            <w:tcW w:w="2678" w:type="pct"/>
          </w:tcPr>
          <w:p w14:paraId="2BE35554" w14:textId="77777777" w:rsidR="000D07EA" w:rsidRDefault="00BE7C89">
            <w:pPr>
              <w:pStyle w:val="BodyText"/>
              <w:spacing w:before="100" w:after="100"/>
            </w:pPr>
            <w:r>
              <w:t>International MMS</w:t>
            </w:r>
          </w:p>
        </w:tc>
        <w:tc>
          <w:tcPr>
            <w:tcW w:w="2322" w:type="pct"/>
          </w:tcPr>
          <w:p w14:paraId="4B4D42D1" w14:textId="77777777" w:rsidR="000D07EA" w:rsidRDefault="00BE7C89">
            <w:pPr>
              <w:pStyle w:val="BodyText"/>
              <w:spacing w:before="100" w:after="100"/>
            </w:pPr>
            <w:r>
              <w:t>No</w:t>
            </w:r>
          </w:p>
        </w:tc>
      </w:tr>
      <w:tr w:rsidR="000D07EA" w14:paraId="112F015B" w14:textId="77777777">
        <w:tc>
          <w:tcPr>
            <w:tcW w:w="2678" w:type="pct"/>
          </w:tcPr>
          <w:p w14:paraId="73225D88" w14:textId="77777777" w:rsidR="000D07EA" w:rsidRDefault="00BE7C89">
            <w:pPr>
              <w:pStyle w:val="BodyText"/>
              <w:spacing w:before="100" w:after="100"/>
            </w:pPr>
            <w:r>
              <w:t>Premium MMS</w:t>
            </w:r>
          </w:p>
        </w:tc>
        <w:tc>
          <w:tcPr>
            <w:tcW w:w="2322" w:type="pct"/>
          </w:tcPr>
          <w:p w14:paraId="086B231F" w14:textId="77777777" w:rsidR="000D07EA" w:rsidRDefault="00BE7C89">
            <w:pPr>
              <w:pStyle w:val="BodyText"/>
              <w:spacing w:before="100" w:after="100"/>
            </w:pPr>
            <w:r>
              <w:t>No</w:t>
            </w:r>
          </w:p>
        </w:tc>
      </w:tr>
      <w:tr w:rsidR="000D07EA" w14:paraId="4BEF0B5C" w14:textId="77777777">
        <w:tc>
          <w:tcPr>
            <w:tcW w:w="2678" w:type="pct"/>
          </w:tcPr>
          <w:p w14:paraId="5353B029" w14:textId="77777777" w:rsidR="000D07EA" w:rsidRDefault="00BE7C89">
            <w:pPr>
              <w:pStyle w:val="BodyText"/>
              <w:spacing w:before="100" w:after="100"/>
            </w:pPr>
            <w:r>
              <w:t>Voicemail Diversions</w:t>
            </w:r>
          </w:p>
        </w:tc>
        <w:tc>
          <w:tcPr>
            <w:tcW w:w="2322" w:type="pct"/>
          </w:tcPr>
          <w:p w14:paraId="4C9A0643" w14:textId="77777777" w:rsidR="000D07EA" w:rsidRDefault="00BE7C89">
            <w:pPr>
              <w:pStyle w:val="BodyText"/>
              <w:spacing w:before="100" w:after="100"/>
            </w:pPr>
            <w:r>
              <w:t>Yes</w:t>
            </w:r>
          </w:p>
        </w:tc>
      </w:tr>
      <w:tr w:rsidR="000D07EA" w14:paraId="0FD6040D" w14:textId="77777777">
        <w:tc>
          <w:tcPr>
            <w:tcW w:w="2678" w:type="pct"/>
          </w:tcPr>
          <w:p w14:paraId="2C93AC27" w14:textId="77777777" w:rsidR="000D07EA" w:rsidRDefault="00BE7C89">
            <w:pPr>
              <w:pStyle w:val="BodyText"/>
              <w:spacing w:before="100" w:after="100"/>
            </w:pPr>
            <w:r>
              <w:t>Voicemail Deposit and Retrievals</w:t>
            </w:r>
          </w:p>
        </w:tc>
        <w:tc>
          <w:tcPr>
            <w:tcW w:w="2322" w:type="pct"/>
          </w:tcPr>
          <w:p w14:paraId="384024F1" w14:textId="77777777" w:rsidR="000D07EA" w:rsidRDefault="00BE7C89">
            <w:pPr>
              <w:pStyle w:val="BodyText"/>
              <w:spacing w:before="100" w:after="100"/>
            </w:pPr>
            <w:r>
              <w:t>Yes</w:t>
            </w:r>
          </w:p>
        </w:tc>
      </w:tr>
      <w:tr w:rsidR="000D07EA" w14:paraId="2E76E0AF" w14:textId="77777777">
        <w:tc>
          <w:tcPr>
            <w:tcW w:w="2678" w:type="pct"/>
          </w:tcPr>
          <w:p w14:paraId="206619AD" w14:textId="77777777" w:rsidR="000D07EA" w:rsidRDefault="00BE7C89">
            <w:pPr>
              <w:pStyle w:val="BodyText"/>
              <w:spacing w:before="100" w:after="100"/>
            </w:pPr>
            <w:r>
              <w:t>International Roaming and Diversions</w:t>
            </w:r>
          </w:p>
        </w:tc>
        <w:tc>
          <w:tcPr>
            <w:tcW w:w="2322" w:type="pct"/>
          </w:tcPr>
          <w:p w14:paraId="07F3C91C" w14:textId="77777777" w:rsidR="000D07EA" w:rsidRDefault="00BE7C89">
            <w:pPr>
              <w:pStyle w:val="BodyText"/>
              <w:spacing w:before="100" w:after="100"/>
            </w:pPr>
            <w:r>
              <w:t>No</w:t>
            </w:r>
          </w:p>
        </w:tc>
      </w:tr>
      <w:tr w:rsidR="000D07EA" w14:paraId="1DFDD5E0" w14:textId="77777777">
        <w:tc>
          <w:tcPr>
            <w:tcW w:w="2678" w:type="pct"/>
          </w:tcPr>
          <w:p w14:paraId="2196652E" w14:textId="77777777" w:rsidR="000D07EA" w:rsidRDefault="00BE7C89">
            <w:pPr>
              <w:pStyle w:val="BodyText"/>
              <w:spacing w:before="100" w:after="100"/>
            </w:pPr>
            <w:r>
              <w:t>Video Conferencing</w:t>
            </w:r>
          </w:p>
        </w:tc>
        <w:tc>
          <w:tcPr>
            <w:tcW w:w="2322" w:type="pct"/>
          </w:tcPr>
          <w:p w14:paraId="21B453C1" w14:textId="77777777" w:rsidR="000D07EA" w:rsidRDefault="00BE7C89">
            <w:pPr>
              <w:pStyle w:val="BodyText"/>
              <w:spacing w:before="100" w:after="100"/>
            </w:pPr>
            <w:r>
              <w:t>No</w:t>
            </w:r>
          </w:p>
        </w:tc>
      </w:tr>
      <w:tr w:rsidR="000D07EA" w14:paraId="128CFDEB" w14:textId="77777777">
        <w:tc>
          <w:tcPr>
            <w:tcW w:w="2678" w:type="pct"/>
          </w:tcPr>
          <w:p w14:paraId="2E02C625" w14:textId="77777777" w:rsidR="000D07EA" w:rsidRDefault="00BE7C89">
            <w:pPr>
              <w:pStyle w:val="BodyText"/>
              <w:spacing w:before="100" w:after="100"/>
            </w:pPr>
            <w:r>
              <w:t>BlackBerry Email</w:t>
            </w:r>
          </w:p>
        </w:tc>
        <w:tc>
          <w:tcPr>
            <w:tcW w:w="2322" w:type="pct"/>
          </w:tcPr>
          <w:p w14:paraId="3B785621" w14:textId="77777777" w:rsidR="000D07EA" w:rsidRDefault="00BE7C89">
            <w:pPr>
              <w:pStyle w:val="BodyText"/>
              <w:spacing w:before="100" w:after="100"/>
            </w:pPr>
            <w:r>
              <w:t>No</w:t>
            </w:r>
          </w:p>
        </w:tc>
      </w:tr>
      <w:tr w:rsidR="000D07EA" w14:paraId="5FF23C80" w14:textId="77777777">
        <w:tc>
          <w:tcPr>
            <w:tcW w:w="2678" w:type="pct"/>
          </w:tcPr>
          <w:p w14:paraId="45F5D040" w14:textId="77777777" w:rsidR="000D07EA" w:rsidRDefault="00BE7C89">
            <w:pPr>
              <w:pStyle w:val="BodyText"/>
              <w:spacing w:before="100" w:after="100"/>
            </w:pPr>
            <w:r>
              <w:t>Optus Zoo Browsing</w:t>
            </w:r>
          </w:p>
        </w:tc>
        <w:tc>
          <w:tcPr>
            <w:tcW w:w="2322" w:type="pct"/>
          </w:tcPr>
          <w:p w14:paraId="024303B7" w14:textId="77777777" w:rsidR="000D07EA" w:rsidRDefault="00BE7C89">
            <w:pPr>
              <w:pStyle w:val="BodyText"/>
              <w:spacing w:before="100" w:after="100"/>
            </w:pPr>
            <w:r>
              <w:t>No</w:t>
            </w:r>
          </w:p>
        </w:tc>
      </w:tr>
      <w:tr w:rsidR="000D07EA" w14:paraId="30485DD7" w14:textId="77777777">
        <w:tc>
          <w:tcPr>
            <w:tcW w:w="2678" w:type="pct"/>
          </w:tcPr>
          <w:p w14:paraId="6B07DD1B" w14:textId="77777777" w:rsidR="000D07EA" w:rsidRDefault="00BE7C89">
            <w:pPr>
              <w:pStyle w:val="BodyText"/>
              <w:spacing w:before="100" w:after="100"/>
            </w:pPr>
            <w:r>
              <w:t>Optus Zoo Downloads</w:t>
            </w:r>
          </w:p>
        </w:tc>
        <w:tc>
          <w:tcPr>
            <w:tcW w:w="2322" w:type="pct"/>
          </w:tcPr>
          <w:p w14:paraId="27BA4727" w14:textId="77777777" w:rsidR="000D07EA" w:rsidRDefault="00BE7C89">
            <w:pPr>
              <w:pStyle w:val="BodyText"/>
              <w:spacing w:before="100" w:after="100"/>
            </w:pPr>
            <w:r>
              <w:t>No</w:t>
            </w:r>
          </w:p>
        </w:tc>
      </w:tr>
      <w:tr w:rsidR="000D07EA" w14:paraId="2DE4E84A" w14:textId="77777777">
        <w:tc>
          <w:tcPr>
            <w:tcW w:w="2678" w:type="pct"/>
          </w:tcPr>
          <w:p w14:paraId="6344BD32" w14:textId="77777777" w:rsidR="000D07EA" w:rsidRDefault="00BE7C89">
            <w:pPr>
              <w:pStyle w:val="BodyText"/>
              <w:spacing w:before="100" w:after="100"/>
            </w:pPr>
            <w:r>
              <w:t>966* Zoo</w:t>
            </w:r>
          </w:p>
        </w:tc>
        <w:tc>
          <w:tcPr>
            <w:tcW w:w="2322" w:type="pct"/>
          </w:tcPr>
          <w:p w14:paraId="5F1B1AED" w14:textId="77777777" w:rsidR="000D07EA" w:rsidRDefault="00BE7C89">
            <w:pPr>
              <w:pStyle w:val="BodyText"/>
              <w:spacing w:before="100" w:after="100"/>
            </w:pPr>
            <w:r>
              <w:t>No</w:t>
            </w:r>
          </w:p>
        </w:tc>
      </w:tr>
      <w:tr w:rsidR="000D07EA" w14:paraId="50CA9D30" w14:textId="77777777">
        <w:tc>
          <w:tcPr>
            <w:tcW w:w="2678" w:type="pct"/>
          </w:tcPr>
          <w:p w14:paraId="41B031D4" w14:textId="77777777" w:rsidR="000D07EA" w:rsidRDefault="00BE7C89">
            <w:pPr>
              <w:pStyle w:val="BodyText"/>
              <w:spacing w:before="100" w:after="100"/>
            </w:pPr>
            <w:r>
              <w:t>Mobile Internet usage</w:t>
            </w:r>
          </w:p>
        </w:tc>
        <w:tc>
          <w:tcPr>
            <w:tcW w:w="2322" w:type="pct"/>
          </w:tcPr>
          <w:p w14:paraId="1F746EC7" w14:textId="77777777" w:rsidR="000D07EA" w:rsidRDefault="00BE7C89">
            <w:pPr>
              <w:pStyle w:val="BodyText"/>
              <w:spacing w:before="100" w:after="100"/>
            </w:pPr>
            <w:r>
              <w:t>No</w:t>
            </w:r>
          </w:p>
        </w:tc>
      </w:tr>
      <w:tr w:rsidR="000D07EA" w14:paraId="192648E2" w14:textId="77777777">
        <w:tc>
          <w:tcPr>
            <w:tcW w:w="2678" w:type="pct"/>
          </w:tcPr>
          <w:p w14:paraId="07FD0C90" w14:textId="77777777" w:rsidR="000D07EA" w:rsidRDefault="00BE7C89">
            <w:pPr>
              <w:pStyle w:val="BodyText"/>
              <w:spacing w:before="100" w:after="100"/>
            </w:pPr>
            <w:r>
              <w:t>Data used while roaming internationally</w:t>
            </w:r>
          </w:p>
        </w:tc>
        <w:tc>
          <w:tcPr>
            <w:tcW w:w="2322" w:type="pct"/>
          </w:tcPr>
          <w:p w14:paraId="11D7A6CA" w14:textId="77777777" w:rsidR="000D07EA" w:rsidRDefault="00BE7C89">
            <w:pPr>
              <w:pStyle w:val="BodyText"/>
              <w:spacing w:before="100" w:after="100"/>
            </w:pPr>
            <w:r>
              <w:t>No</w:t>
            </w:r>
          </w:p>
        </w:tc>
      </w:tr>
      <w:tr w:rsidR="000D07EA" w14:paraId="4BA8F35F" w14:textId="77777777">
        <w:tc>
          <w:tcPr>
            <w:tcW w:w="2678" w:type="pct"/>
          </w:tcPr>
          <w:p w14:paraId="6CC6D419" w14:textId="77777777" w:rsidR="000D07EA" w:rsidRDefault="00BE7C89">
            <w:pPr>
              <w:pStyle w:val="BodyText"/>
              <w:spacing w:before="100" w:after="100"/>
            </w:pPr>
            <w:r>
              <w:t>Content Packs</w:t>
            </w:r>
          </w:p>
        </w:tc>
        <w:tc>
          <w:tcPr>
            <w:tcW w:w="2322" w:type="pct"/>
          </w:tcPr>
          <w:p w14:paraId="22C3C6A9" w14:textId="77777777" w:rsidR="000D07EA" w:rsidRDefault="00BE7C89">
            <w:pPr>
              <w:pStyle w:val="BodyText"/>
              <w:spacing w:before="100" w:after="100"/>
            </w:pPr>
            <w:r>
              <w:t>No</w:t>
            </w:r>
          </w:p>
        </w:tc>
      </w:tr>
      <w:tr w:rsidR="000D07EA" w14:paraId="559EF7E6" w14:textId="77777777">
        <w:tc>
          <w:tcPr>
            <w:tcW w:w="2678" w:type="pct"/>
          </w:tcPr>
          <w:p w14:paraId="2B8D6346" w14:textId="77777777" w:rsidR="000D07EA" w:rsidRDefault="00BE7C89">
            <w:pPr>
              <w:pStyle w:val="BodyText"/>
              <w:spacing w:before="100" w:after="100"/>
            </w:pPr>
            <w:r>
              <w:t>Mobile Instant Messaging – IM</w:t>
            </w:r>
          </w:p>
        </w:tc>
        <w:tc>
          <w:tcPr>
            <w:tcW w:w="2322" w:type="pct"/>
          </w:tcPr>
          <w:p w14:paraId="6A262D26" w14:textId="77777777" w:rsidR="000D07EA" w:rsidRDefault="00BE7C89">
            <w:pPr>
              <w:pStyle w:val="BodyText"/>
              <w:spacing w:before="100" w:after="100"/>
            </w:pPr>
            <w:r>
              <w:t>No</w:t>
            </w:r>
          </w:p>
        </w:tc>
      </w:tr>
      <w:tr w:rsidR="000D07EA" w14:paraId="24841EF0" w14:textId="77777777">
        <w:tc>
          <w:tcPr>
            <w:tcW w:w="2678" w:type="pct"/>
          </w:tcPr>
          <w:p w14:paraId="4E991E60" w14:textId="77777777" w:rsidR="000D07EA" w:rsidRDefault="00BE7C89">
            <w:pPr>
              <w:pStyle w:val="BodyText"/>
              <w:spacing w:before="100" w:after="100"/>
            </w:pPr>
            <w:r>
              <w:t>TrueLocal Usage</w:t>
            </w:r>
          </w:p>
        </w:tc>
        <w:tc>
          <w:tcPr>
            <w:tcW w:w="2322" w:type="pct"/>
          </w:tcPr>
          <w:p w14:paraId="632F3153" w14:textId="77777777" w:rsidR="000D07EA" w:rsidRDefault="00BE7C89">
            <w:pPr>
              <w:pStyle w:val="BodyText"/>
              <w:spacing w:before="100" w:after="100"/>
            </w:pPr>
            <w:r>
              <w:t>No</w:t>
            </w:r>
          </w:p>
        </w:tc>
      </w:tr>
      <w:tr w:rsidR="000D07EA" w14:paraId="77AB5420" w14:textId="77777777">
        <w:tc>
          <w:tcPr>
            <w:tcW w:w="2678" w:type="pct"/>
          </w:tcPr>
          <w:p w14:paraId="7BA3923C" w14:textId="77777777" w:rsidR="000D07EA" w:rsidRDefault="00BE7C89">
            <w:pPr>
              <w:pStyle w:val="BodyText"/>
              <w:spacing w:before="100" w:after="100"/>
            </w:pPr>
            <w:r>
              <w:t>Directory Assistance – 1223</w:t>
            </w:r>
          </w:p>
        </w:tc>
        <w:tc>
          <w:tcPr>
            <w:tcW w:w="2322" w:type="pct"/>
          </w:tcPr>
          <w:p w14:paraId="4D2DF8B7" w14:textId="77777777" w:rsidR="000D07EA" w:rsidRDefault="00BE7C89">
            <w:pPr>
              <w:pStyle w:val="BodyText"/>
              <w:spacing w:before="100" w:after="100"/>
            </w:pPr>
            <w:r>
              <w:t>No</w:t>
            </w:r>
          </w:p>
        </w:tc>
      </w:tr>
      <w:tr w:rsidR="000D07EA" w14:paraId="6347475E" w14:textId="77777777">
        <w:tc>
          <w:tcPr>
            <w:tcW w:w="2678" w:type="pct"/>
          </w:tcPr>
          <w:p w14:paraId="02C7530E" w14:textId="77777777" w:rsidR="000D07EA" w:rsidRDefault="00BE7C89">
            <w:pPr>
              <w:pStyle w:val="BodyText"/>
              <w:spacing w:before="100" w:after="100"/>
            </w:pPr>
            <w:r>
              <w:t>19xx Numbers</w:t>
            </w:r>
          </w:p>
        </w:tc>
        <w:tc>
          <w:tcPr>
            <w:tcW w:w="2322" w:type="pct"/>
          </w:tcPr>
          <w:p w14:paraId="33C9E447" w14:textId="77777777" w:rsidR="000D07EA" w:rsidRDefault="00BE7C89">
            <w:pPr>
              <w:pStyle w:val="BodyText"/>
              <w:spacing w:before="100" w:after="100"/>
            </w:pPr>
            <w:r>
              <w:t>No</w:t>
            </w:r>
          </w:p>
        </w:tc>
      </w:tr>
      <w:tr w:rsidR="000D07EA" w14:paraId="5978746B" w14:textId="77777777">
        <w:tc>
          <w:tcPr>
            <w:tcW w:w="2678" w:type="pct"/>
          </w:tcPr>
          <w:p w14:paraId="4089CE3F" w14:textId="77777777" w:rsidR="000D07EA" w:rsidRDefault="00BE7C89">
            <w:pPr>
              <w:pStyle w:val="BodyText"/>
              <w:spacing w:before="100" w:after="100"/>
            </w:pPr>
            <w:r>
              <w:t>1800, 13 and 1300 Numbers</w:t>
            </w:r>
          </w:p>
        </w:tc>
        <w:tc>
          <w:tcPr>
            <w:tcW w:w="2322" w:type="pct"/>
          </w:tcPr>
          <w:p w14:paraId="01BA0C59" w14:textId="77777777" w:rsidR="000D07EA" w:rsidRDefault="00BE7C89">
            <w:pPr>
              <w:pStyle w:val="BodyText"/>
              <w:spacing w:before="100" w:after="100"/>
            </w:pPr>
            <w:r>
              <w:t>Yes</w:t>
            </w:r>
          </w:p>
        </w:tc>
      </w:tr>
      <w:tr w:rsidR="000D07EA" w14:paraId="4941808E" w14:textId="77777777">
        <w:tc>
          <w:tcPr>
            <w:tcW w:w="2678" w:type="pct"/>
          </w:tcPr>
          <w:p w14:paraId="7D170EA7" w14:textId="77777777" w:rsidR="000D07EA" w:rsidRDefault="00BE7C89">
            <w:pPr>
              <w:pStyle w:val="BodyText"/>
              <w:spacing w:before="100" w:after="100"/>
            </w:pPr>
            <w:r>
              <w:t>124YES(937)</w:t>
            </w:r>
          </w:p>
        </w:tc>
        <w:tc>
          <w:tcPr>
            <w:tcW w:w="2322" w:type="pct"/>
          </w:tcPr>
          <w:p w14:paraId="789A0F15" w14:textId="77777777" w:rsidR="000D07EA" w:rsidRDefault="00BE7C89">
            <w:pPr>
              <w:pStyle w:val="BodyText"/>
              <w:spacing w:before="100" w:after="100"/>
            </w:pPr>
            <w:r>
              <w:t>Yes</w:t>
            </w:r>
          </w:p>
        </w:tc>
      </w:tr>
      <w:tr w:rsidR="000D07EA" w14:paraId="391B881B" w14:textId="77777777">
        <w:tc>
          <w:tcPr>
            <w:tcW w:w="2678" w:type="pct"/>
          </w:tcPr>
          <w:p w14:paraId="70ED9F06" w14:textId="77777777" w:rsidR="000D07EA" w:rsidRDefault="00BE7C89">
            <w:pPr>
              <w:pStyle w:val="BodyText"/>
              <w:spacing w:before="100" w:after="100"/>
            </w:pPr>
            <w:r>
              <w:t>Fax and Data</w:t>
            </w:r>
          </w:p>
        </w:tc>
        <w:tc>
          <w:tcPr>
            <w:tcW w:w="2322" w:type="pct"/>
          </w:tcPr>
          <w:p w14:paraId="66FAA868" w14:textId="77777777" w:rsidR="000D07EA" w:rsidRDefault="00BE7C89">
            <w:pPr>
              <w:pStyle w:val="BodyText"/>
              <w:spacing w:before="100" w:after="100"/>
            </w:pPr>
            <w:r>
              <w:t>No</w:t>
            </w:r>
          </w:p>
        </w:tc>
      </w:tr>
      <w:tr w:rsidR="000D07EA" w14:paraId="4ACCB664" w14:textId="77777777">
        <w:tc>
          <w:tcPr>
            <w:tcW w:w="2678" w:type="pct"/>
          </w:tcPr>
          <w:p w14:paraId="704143FB" w14:textId="77777777" w:rsidR="000D07EA" w:rsidRDefault="00BE7C89">
            <w:pPr>
              <w:pStyle w:val="BodyText"/>
              <w:spacing w:before="100" w:after="100"/>
            </w:pPr>
            <w:r>
              <w:t>Insurance</w:t>
            </w:r>
          </w:p>
        </w:tc>
        <w:tc>
          <w:tcPr>
            <w:tcW w:w="2322" w:type="pct"/>
          </w:tcPr>
          <w:p w14:paraId="12D9DBAA" w14:textId="77777777" w:rsidR="000D07EA" w:rsidRDefault="00BE7C89">
            <w:pPr>
              <w:pStyle w:val="BodyText"/>
              <w:spacing w:before="100" w:after="100"/>
            </w:pPr>
            <w:r>
              <w:t>No</w:t>
            </w:r>
          </w:p>
        </w:tc>
      </w:tr>
      <w:tr w:rsidR="000D07EA" w14:paraId="336F58F5" w14:textId="77777777">
        <w:tc>
          <w:tcPr>
            <w:tcW w:w="2678" w:type="pct"/>
          </w:tcPr>
          <w:p w14:paraId="2A7DE58F" w14:textId="77777777" w:rsidR="000D07EA" w:rsidRDefault="00BE7C89">
            <w:pPr>
              <w:pStyle w:val="BodyText"/>
              <w:spacing w:before="100" w:after="100"/>
            </w:pPr>
            <w:r>
              <w:t>Surepage Diversions</w:t>
            </w:r>
          </w:p>
        </w:tc>
        <w:tc>
          <w:tcPr>
            <w:tcW w:w="2322" w:type="pct"/>
          </w:tcPr>
          <w:p w14:paraId="3ADC6083" w14:textId="77777777" w:rsidR="000D07EA" w:rsidRDefault="00BE7C89">
            <w:pPr>
              <w:pStyle w:val="BodyText"/>
              <w:spacing w:before="100" w:after="100"/>
            </w:pPr>
            <w:r>
              <w:t>Yes</w:t>
            </w:r>
          </w:p>
        </w:tc>
      </w:tr>
      <w:tr w:rsidR="000D07EA" w14:paraId="6D9B9E0E" w14:textId="77777777">
        <w:tc>
          <w:tcPr>
            <w:tcW w:w="2678" w:type="pct"/>
          </w:tcPr>
          <w:p w14:paraId="51B480E6" w14:textId="77777777" w:rsidR="000D07EA" w:rsidRDefault="00BE7C89">
            <w:pPr>
              <w:pStyle w:val="BodyText"/>
              <w:spacing w:before="100" w:after="100"/>
            </w:pPr>
            <w:r>
              <w:t>Surepage usage and access</w:t>
            </w:r>
          </w:p>
        </w:tc>
        <w:tc>
          <w:tcPr>
            <w:tcW w:w="2322" w:type="pct"/>
          </w:tcPr>
          <w:p w14:paraId="14C1E5DA" w14:textId="77777777" w:rsidR="000D07EA" w:rsidRDefault="00BE7C89">
            <w:pPr>
              <w:pStyle w:val="BodyText"/>
              <w:spacing w:before="100" w:after="100"/>
            </w:pPr>
            <w:r>
              <w:t>No</w:t>
            </w:r>
          </w:p>
        </w:tc>
      </w:tr>
      <w:tr w:rsidR="000D07EA" w14:paraId="767B50A1" w14:textId="77777777">
        <w:tc>
          <w:tcPr>
            <w:tcW w:w="2678" w:type="pct"/>
          </w:tcPr>
          <w:p w14:paraId="060B7254" w14:textId="77777777" w:rsidR="000D07EA" w:rsidRDefault="00BE7C89">
            <w:pPr>
              <w:pStyle w:val="BodyText"/>
              <w:spacing w:before="100" w:after="100"/>
            </w:pPr>
            <w:r>
              <w:t>Handset Payments</w:t>
            </w:r>
          </w:p>
        </w:tc>
        <w:tc>
          <w:tcPr>
            <w:tcW w:w="2322" w:type="pct"/>
          </w:tcPr>
          <w:p w14:paraId="002DC215" w14:textId="77777777" w:rsidR="000D07EA" w:rsidRDefault="00BE7C89">
            <w:pPr>
              <w:pStyle w:val="BodyText"/>
              <w:spacing w:before="100" w:after="100"/>
            </w:pPr>
            <w:r>
              <w:t>No</w:t>
            </w:r>
          </w:p>
        </w:tc>
      </w:tr>
      <w:tr w:rsidR="000D07EA" w14:paraId="5818638D" w14:textId="77777777">
        <w:tc>
          <w:tcPr>
            <w:tcW w:w="2678" w:type="pct"/>
          </w:tcPr>
          <w:p w14:paraId="73D128BF" w14:textId="77777777" w:rsidR="000D07EA" w:rsidRDefault="00BE7C89">
            <w:pPr>
              <w:pStyle w:val="BodyText"/>
              <w:spacing w:before="100" w:after="100"/>
            </w:pPr>
            <w:r>
              <w:t>Calls to Satellite</w:t>
            </w:r>
          </w:p>
        </w:tc>
        <w:tc>
          <w:tcPr>
            <w:tcW w:w="2322" w:type="pct"/>
          </w:tcPr>
          <w:p w14:paraId="3A152425" w14:textId="77777777" w:rsidR="000D07EA" w:rsidRDefault="00BE7C89">
            <w:pPr>
              <w:pStyle w:val="BodyText"/>
              <w:spacing w:before="100" w:after="100"/>
            </w:pPr>
            <w:r>
              <w:t>No</w:t>
            </w:r>
          </w:p>
        </w:tc>
      </w:tr>
      <w:tr w:rsidR="000D07EA" w14:paraId="474CFF34" w14:textId="77777777">
        <w:tc>
          <w:tcPr>
            <w:tcW w:w="2678" w:type="pct"/>
          </w:tcPr>
          <w:p w14:paraId="3AAFF655" w14:textId="77777777" w:rsidR="000D07EA" w:rsidRDefault="00BE7C89">
            <w:pPr>
              <w:pStyle w:val="BodyText"/>
              <w:spacing w:before="100" w:after="100"/>
            </w:pPr>
            <w:r>
              <w:t>VoIP services</w:t>
            </w:r>
          </w:p>
        </w:tc>
        <w:tc>
          <w:tcPr>
            <w:tcW w:w="2322" w:type="pct"/>
          </w:tcPr>
          <w:p w14:paraId="0B89FA1E" w14:textId="77777777" w:rsidR="000D07EA" w:rsidRDefault="00BE7C89">
            <w:pPr>
              <w:pStyle w:val="BodyText"/>
              <w:spacing w:before="100" w:after="100"/>
            </w:pPr>
            <w:r>
              <w:t>No</w:t>
            </w:r>
          </w:p>
        </w:tc>
      </w:tr>
    </w:tbl>
    <w:p w14:paraId="6FE75178" w14:textId="77777777" w:rsidR="000D07EA" w:rsidRDefault="00BE7C89">
      <w:pPr>
        <w:pStyle w:val="BodyText"/>
        <w:spacing w:before="240"/>
        <w:ind w:left="1440"/>
        <w:rPr>
          <w:rFonts w:eastAsia="Times New Roman"/>
          <w:b/>
          <w:bCs/>
          <w:color w:val="000000"/>
          <w:szCs w:val="22"/>
        </w:rPr>
      </w:pPr>
      <w:r>
        <w:rPr>
          <w:rFonts w:eastAsia="Times New Roman"/>
          <w:b/>
          <w:bCs/>
          <w:color w:val="000000"/>
          <w:szCs w:val="22"/>
        </w:rPr>
        <w:lastRenderedPageBreak/>
        <w:t xml:space="preserve">Table 2 - 'yes' Business Smart 50+ </w:t>
      </w:r>
      <w:r>
        <w:rPr>
          <w:rFonts w:eastAsia="Times New Roman"/>
          <w:b/>
          <w:bCs/>
          <w:i/>
          <w:color w:val="000000"/>
          <w:szCs w:val="22"/>
        </w:rPr>
        <w:t>pricing plans</w:t>
      </w:r>
    </w:p>
    <w:tbl>
      <w:tblPr>
        <w:tblW w:w="4272"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377"/>
        <w:gridCol w:w="1265"/>
        <w:gridCol w:w="1267"/>
        <w:gridCol w:w="1267"/>
        <w:gridCol w:w="1267"/>
        <w:gridCol w:w="1262"/>
      </w:tblGrid>
      <w:tr w:rsidR="000D07EA" w14:paraId="558194C0" w14:textId="77777777">
        <w:tc>
          <w:tcPr>
            <w:tcW w:w="1365" w:type="pct"/>
            <w:vAlign w:val="center"/>
          </w:tcPr>
          <w:p w14:paraId="182D51CC" w14:textId="77777777" w:rsidR="000D07EA" w:rsidRDefault="00BE7C89">
            <w:pPr>
              <w:pStyle w:val="BodyText"/>
              <w:spacing w:before="100" w:after="100"/>
              <w:rPr>
                <w:b/>
                <w:i/>
              </w:rPr>
            </w:pPr>
            <w:r>
              <w:rPr>
                <w:b/>
                <w:i/>
              </w:rPr>
              <w:t xml:space="preserve">Pricing plan </w:t>
            </w:r>
          </w:p>
        </w:tc>
        <w:tc>
          <w:tcPr>
            <w:tcW w:w="726" w:type="pct"/>
            <w:vAlign w:val="center"/>
          </w:tcPr>
          <w:p w14:paraId="1DA7B37D" w14:textId="77777777" w:rsidR="000D07EA" w:rsidRDefault="00BE7C89">
            <w:pPr>
              <w:pStyle w:val="BodyText"/>
              <w:spacing w:before="100" w:after="100"/>
              <w:jc w:val="center"/>
              <w:rPr>
                <w:b/>
              </w:rPr>
            </w:pPr>
            <w:r>
              <w:rPr>
                <w:b/>
              </w:rPr>
              <w:t>20</w:t>
            </w:r>
          </w:p>
        </w:tc>
        <w:tc>
          <w:tcPr>
            <w:tcW w:w="728" w:type="pct"/>
            <w:vAlign w:val="center"/>
          </w:tcPr>
          <w:p w14:paraId="459D749D" w14:textId="77777777" w:rsidR="000D07EA" w:rsidRDefault="00BE7C89">
            <w:pPr>
              <w:pStyle w:val="BodyText"/>
              <w:spacing w:before="100" w:after="100"/>
              <w:jc w:val="center"/>
              <w:rPr>
                <w:b/>
              </w:rPr>
            </w:pPr>
            <w:r>
              <w:rPr>
                <w:b/>
              </w:rPr>
              <w:t>30</w:t>
            </w:r>
          </w:p>
        </w:tc>
        <w:tc>
          <w:tcPr>
            <w:tcW w:w="728" w:type="pct"/>
            <w:vAlign w:val="center"/>
          </w:tcPr>
          <w:p w14:paraId="448F7956" w14:textId="77777777" w:rsidR="000D07EA" w:rsidRDefault="00BE7C89">
            <w:pPr>
              <w:pStyle w:val="BodyText"/>
              <w:spacing w:before="100" w:after="100"/>
              <w:jc w:val="center"/>
              <w:rPr>
                <w:b/>
              </w:rPr>
            </w:pPr>
            <w:r>
              <w:rPr>
                <w:b/>
              </w:rPr>
              <w:t>50</w:t>
            </w:r>
          </w:p>
        </w:tc>
        <w:tc>
          <w:tcPr>
            <w:tcW w:w="728" w:type="pct"/>
            <w:vAlign w:val="center"/>
          </w:tcPr>
          <w:p w14:paraId="4F2EAAF6" w14:textId="77777777" w:rsidR="000D07EA" w:rsidRDefault="00BE7C89">
            <w:pPr>
              <w:pStyle w:val="BodyText"/>
              <w:spacing w:before="100" w:after="100"/>
              <w:jc w:val="center"/>
              <w:rPr>
                <w:b/>
              </w:rPr>
            </w:pPr>
            <w:r>
              <w:rPr>
                <w:b/>
              </w:rPr>
              <w:t>70</w:t>
            </w:r>
          </w:p>
        </w:tc>
        <w:tc>
          <w:tcPr>
            <w:tcW w:w="726" w:type="pct"/>
            <w:vAlign w:val="center"/>
          </w:tcPr>
          <w:p w14:paraId="4C618D96" w14:textId="77777777" w:rsidR="000D07EA" w:rsidRDefault="00BE7C89">
            <w:pPr>
              <w:pStyle w:val="BodyText"/>
              <w:spacing w:before="100" w:after="100"/>
              <w:jc w:val="center"/>
              <w:rPr>
                <w:b/>
              </w:rPr>
            </w:pPr>
            <w:r>
              <w:rPr>
                <w:b/>
              </w:rPr>
              <w:t>100</w:t>
            </w:r>
          </w:p>
        </w:tc>
      </w:tr>
      <w:tr w:rsidR="000D07EA" w14:paraId="034D936C" w14:textId="77777777">
        <w:tc>
          <w:tcPr>
            <w:tcW w:w="1365" w:type="pct"/>
          </w:tcPr>
          <w:p w14:paraId="67345ABF" w14:textId="77777777" w:rsidR="000D07EA" w:rsidRDefault="00BE7C89">
            <w:pPr>
              <w:pStyle w:val="BodyText"/>
              <w:spacing w:before="100" w:after="100"/>
              <w:rPr>
                <w:b/>
              </w:rPr>
            </w:pPr>
            <w:r>
              <w:rPr>
                <w:b/>
              </w:rPr>
              <w:t>Minimum monthly spend (per service)</w:t>
            </w:r>
          </w:p>
        </w:tc>
        <w:tc>
          <w:tcPr>
            <w:tcW w:w="726" w:type="pct"/>
          </w:tcPr>
          <w:p w14:paraId="5E8A38C9" w14:textId="77777777" w:rsidR="000D07EA" w:rsidRDefault="00BE7C89">
            <w:pPr>
              <w:pStyle w:val="BodyText"/>
              <w:spacing w:before="100" w:after="100"/>
              <w:jc w:val="center"/>
            </w:pPr>
            <w:r>
              <w:t>$18.18</w:t>
            </w:r>
            <w:r>
              <w:br/>
              <w:t>($20)</w:t>
            </w:r>
          </w:p>
        </w:tc>
        <w:tc>
          <w:tcPr>
            <w:tcW w:w="728" w:type="pct"/>
          </w:tcPr>
          <w:p w14:paraId="77B16A55" w14:textId="77777777" w:rsidR="000D07EA" w:rsidRDefault="00BE7C89">
            <w:pPr>
              <w:pStyle w:val="BodyText"/>
              <w:spacing w:before="100" w:after="100"/>
              <w:jc w:val="center"/>
            </w:pPr>
            <w:r>
              <w:t>$27.27</w:t>
            </w:r>
            <w:r>
              <w:br/>
              <w:t>($30)</w:t>
            </w:r>
          </w:p>
        </w:tc>
        <w:tc>
          <w:tcPr>
            <w:tcW w:w="728" w:type="pct"/>
          </w:tcPr>
          <w:p w14:paraId="6C492D9F" w14:textId="77777777" w:rsidR="000D07EA" w:rsidRDefault="00BE7C89">
            <w:pPr>
              <w:pStyle w:val="BodyText"/>
              <w:spacing w:before="100" w:after="100"/>
              <w:jc w:val="center"/>
            </w:pPr>
            <w:r>
              <w:t>$45.45</w:t>
            </w:r>
            <w:r>
              <w:br/>
              <w:t>($50)</w:t>
            </w:r>
          </w:p>
        </w:tc>
        <w:tc>
          <w:tcPr>
            <w:tcW w:w="728" w:type="pct"/>
          </w:tcPr>
          <w:p w14:paraId="4E681895" w14:textId="77777777" w:rsidR="000D07EA" w:rsidRDefault="00BE7C89">
            <w:pPr>
              <w:pStyle w:val="BodyText"/>
              <w:spacing w:before="100" w:after="100"/>
              <w:jc w:val="center"/>
            </w:pPr>
            <w:r>
              <w:t>$63.63</w:t>
            </w:r>
            <w:r>
              <w:br/>
              <w:t>($70)</w:t>
            </w:r>
          </w:p>
        </w:tc>
        <w:tc>
          <w:tcPr>
            <w:tcW w:w="726" w:type="pct"/>
          </w:tcPr>
          <w:p w14:paraId="0A83F4A8" w14:textId="77777777" w:rsidR="000D07EA" w:rsidRDefault="00BE7C89">
            <w:pPr>
              <w:pStyle w:val="BodyText"/>
              <w:spacing w:before="100" w:after="100"/>
              <w:jc w:val="center"/>
            </w:pPr>
            <w:r>
              <w:t>$90.90</w:t>
            </w:r>
            <w:r>
              <w:br/>
              <w:t>($100)</w:t>
            </w:r>
          </w:p>
        </w:tc>
      </w:tr>
      <w:tr w:rsidR="000D07EA" w14:paraId="6A41DC1F" w14:textId="77777777">
        <w:tc>
          <w:tcPr>
            <w:tcW w:w="1365" w:type="pct"/>
          </w:tcPr>
          <w:p w14:paraId="521D4729" w14:textId="77777777" w:rsidR="000D07EA" w:rsidRDefault="00BE7C89">
            <w:pPr>
              <w:pStyle w:val="BodyText"/>
              <w:spacing w:before="100" w:after="100"/>
              <w:rPr>
                <w:b/>
                <w:i/>
              </w:rPr>
            </w:pPr>
            <w:r>
              <w:rPr>
                <w:b/>
                <w:i/>
              </w:rPr>
              <w:t>Flagfall</w:t>
            </w:r>
          </w:p>
        </w:tc>
        <w:tc>
          <w:tcPr>
            <w:tcW w:w="726" w:type="pct"/>
          </w:tcPr>
          <w:p w14:paraId="483FE130" w14:textId="77777777" w:rsidR="000D07EA" w:rsidRDefault="00BE7C89">
            <w:pPr>
              <w:pStyle w:val="BodyText"/>
              <w:spacing w:before="100" w:after="100"/>
              <w:jc w:val="center"/>
            </w:pPr>
            <w:r>
              <w:t>10c</w:t>
            </w:r>
            <w:r>
              <w:br/>
              <w:t>(11c)</w:t>
            </w:r>
          </w:p>
        </w:tc>
        <w:tc>
          <w:tcPr>
            <w:tcW w:w="728" w:type="pct"/>
          </w:tcPr>
          <w:p w14:paraId="55AED17E" w14:textId="77777777" w:rsidR="000D07EA" w:rsidRDefault="00BE7C89">
            <w:pPr>
              <w:pStyle w:val="BodyText"/>
              <w:spacing w:before="100" w:after="100"/>
              <w:jc w:val="center"/>
            </w:pPr>
            <w:r>
              <w:t>10c</w:t>
            </w:r>
            <w:r>
              <w:br/>
              <w:t>(11c)</w:t>
            </w:r>
          </w:p>
        </w:tc>
        <w:tc>
          <w:tcPr>
            <w:tcW w:w="728" w:type="pct"/>
          </w:tcPr>
          <w:p w14:paraId="2EA7AD8F" w14:textId="77777777" w:rsidR="000D07EA" w:rsidRDefault="00BE7C89">
            <w:pPr>
              <w:pStyle w:val="BodyText"/>
              <w:spacing w:before="100" w:after="100"/>
              <w:jc w:val="center"/>
            </w:pPr>
            <w:r>
              <w:t>9.09c</w:t>
            </w:r>
            <w:r>
              <w:br/>
              <w:t>(10c)</w:t>
            </w:r>
          </w:p>
        </w:tc>
        <w:tc>
          <w:tcPr>
            <w:tcW w:w="728" w:type="pct"/>
          </w:tcPr>
          <w:p w14:paraId="71BA182B" w14:textId="77777777" w:rsidR="000D07EA" w:rsidRDefault="00BE7C89">
            <w:pPr>
              <w:pStyle w:val="BodyText"/>
              <w:spacing w:before="100" w:after="100"/>
              <w:jc w:val="center"/>
            </w:pPr>
            <w:r>
              <w:t>9.09c</w:t>
            </w:r>
            <w:r>
              <w:br/>
              <w:t>(10c)</w:t>
            </w:r>
          </w:p>
        </w:tc>
        <w:tc>
          <w:tcPr>
            <w:tcW w:w="726" w:type="pct"/>
          </w:tcPr>
          <w:p w14:paraId="0B3E25EE" w14:textId="77777777" w:rsidR="000D07EA" w:rsidRDefault="00BE7C89">
            <w:pPr>
              <w:pStyle w:val="BodyText"/>
              <w:spacing w:before="100" w:after="100"/>
              <w:jc w:val="center"/>
            </w:pPr>
            <w:r>
              <w:t>9.09c</w:t>
            </w:r>
            <w:r>
              <w:br/>
              <w:t>(10c)</w:t>
            </w:r>
          </w:p>
        </w:tc>
      </w:tr>
      <w:tr w:rsidR="000D07EA" w14:paraId="6999F0ED" w14:textId="77777777">
        <w:tc>
          <w:tcPr>
            <w:tcW w:w="1365" w:type="pct"/>
          </w:tcPr>
          <w:p w14:paraId="7BA68818" w14:textId="77777777" w:rsidR="000D07EA" w:rsidRDefault="00BE7C89">
            <w:pPr>
              <w:pStyle w:val="BodyText"/>
              <w:spacing w:before="100" w:after="100"/>
              <w:rPr>
                <w:b/>
              </w:rPr>
            </w:pPr>
            <w:r>
              <w:rPr>
                <w:b/>
              </w:rPr>
              <w:t xml:space="preserve">Calls to </w:t>
            </w:r>
            <w:r>
              <w:rPr>
                <w:b/>
                <w:i/>
              </w:rPr>
              <w:t>mobile phones</w:t>
            </w:r>
            <w:r>
              <w:rPr>
                <w:b/>
              </w:rPr>
              <w:t xml:space="preserve"> (national)</w:t>
            </w:r>
            <w:r>
              <w:rPr>
                <w:b/>
                <w:vertAlign w:val="superscript"/>
              </w:rPr>
              <w:t xml:space="preserve"> </w:t>
            </w:r>
            <w:r>
              <w:rPr>
                <w:b/>
                <w:vertAlign w:val="superscript"/>
              </w:rPr>
              <w:sym w:font="Symbol" w:char="F0D9"/>
            </w:r>
          </w:p>
        </w:tc>
        <w:tc>
          <w:tcPr>
            <w:tcW w:w="726" w:type="pct"/>
          </w:tcPr>
          <w:p w14:paraId="3EC00412" w14:textId="77777777" w:rsidR="000D07EA" w:rsidRDefault="00BE7C89">
            <w:pPr>
              <w:pStyle w:val="BodyText"/>
              <w:spacing w:before="100" w:after="100"/>
              <w:jc w:val="center"/>
            </w:pPr>
            <w:r>
              <w:t>13.63c</w:t>
            </w:r>
            <w:r>
              <w:br/>
              <w:t>(15c)</w:t>
            </w:r>
          </w:p>
        </w:tc>
        <w:tc>
          <w:tcPr>
            <w:tcW w:w="728" w:type="pct"/>
          </w:tcPr>
          <w:p w14:paraId="6768EA0C" w14:textId="77777777" w:rsidR="000D07EA" w:rsidRDefault="00BE7C89">
            <w:pPr>
              <w:pStyle w:val="BodyText"/>
              <w:spacing w:before="100" w:after="100"/>
              <w:jc w:val="center"/>
            </w:pPr>
            <w:r>
              <w:t>10.90c</w:t>
            </w:r>
            <w:r>
              <w:br/>
              <w:t>(12c)</w:t>
            </w:r>
          </w:p>
        </w:tc>
        <w:tc>
          <w:tcPr>
            <w:tcW w:w="728" w:type="pct"/>
          </w:tcPr>
          <w:p w14:paraId="3EE7C173" w14:textId="77777777" w:rsidR="000D07EA" w:rsidRDefault="00BE7C89">
            <w:pPr>
              <w:pStyle w:val="BodyText"/>
              <w:spacing w:before="100" w:after="100"/>
              <w:jc w:val="center"/>
            </w:pPr>
            <w:r>
              <w:t>9.09c</w:t>
            </w:r>
            <w:r>
              <w:br/>
              <w:t>(10c)</w:t>
            </w:r>
          </w:p>
        </w:tc>
        <w:tc>
          <w:tcPr>
            <w:tcW w:w="728" w:type="pct"/>
          </w:tcPr>
          <w:p w14:paraId="5BF5329D" w14:textId="77777777" w:rsidR="000D07EA" w:rsidRDefault="00BE7C89">
            <w:pPr>
              <w:pStyle w:val="BodyText"/>
              <w:spacing w:before="100" w:after="100"/>
              <w:jc w:val="center"/>
            </w:pPr>
            <w:r>
              <w:t>7.27c</w:t>
            </w:r>
            <w:r>
              <w:br/>
              <w:t>(8c)</w:t>
            </w:r>
          </w:p>
        </w:tc>
        <w:tc>
          <w:tcPr>
            <w:tcW w:w="726" w:type="pct"/>
          </w:tcPr>
          <w:p w14:paraId="68A3A911" w14:textId="77777777" w:rsidR="000D07EA" w:rsidRDefault="00BE7C89">
            <w:pPr>
              <w:pStyle w:val="BodyText"/>
              <w:spacing w:before="100" w:after="100"/>
              <w:jc w:val="center"/>
            </w:pPr>
            <w:r>
              <w:t>5.45c</w:t>
            </w:r>
            <w:r>
              <w:br/>
              <w:t>(6c)</w:t>
            </w:r>
          </w:p>
        </w:tc>
      </w:tr>
      <w:tr w:rsidR="000D07EA" w14:paraId="7C2FDBD2" w14:textId="77777777">
        <w:tc>
          <w:tcPr>
            <w:tcW w:w="1365" w:type="pct"/>
          </w:tcPr>
          <w:p w14:paraId="51BCA8AF" w14:textId="77777777" w:rsidR="000D07EA" w:rsidRDefault="00BE7C89">
            <w:pPr>
              <w:pStyle w:val="BodyText"/>
              <w:spacing w:before="100" w:after="100"/>
              <w:rPr>
                <w:b/>
              </w:rPr>
            </w:pPr>
            <w:r>
              <w:rPr>
                <w:b/>
              </w:rPr>
              <w:t>Calls to landline (national)</w:t>
            </w:r>
            <w:r>
              <w:rPr>
                <w:b/>
                <w:vertAlign w:val="superscript"/>
              </w:rPr>
              <w:t xml:space="preserve"> </w:t>
            </w:r>
            <w:r>
              <w:rPr>
                <w:b/>
                <w:vertAlign w:val="superscript"/>
              </w:rPr>
              <w:sym w:font="Symbol" w:char="F0D9"/>
            </w:r>
          </w:p>
        </w:tc>
        <w:tc>
          <w:tcPr>
            <w:tcW w:w="726" w:type="pct"/>
          </w:tcPr>
          <w:p w14:paraId="4DA033B1" w14:textId="77777777" w:rsidR="000D07EA" w:rsidRDefault="00BE7C89">
            <w:pPr>
              <w:pStyle w:val="BodyText"/>
              <w:spacing w:before="100" w:after="100"/>
              <w:jc w:val="center"/>
            </w:pPr>
            <w:r>
              <w:t>13.63c</w:t>
            </w:r>
            <w:r>
              <w:br/>
              <w:t>(15c)</w:t>
            </w:r>
          </w:p>
        </w:tc>
        <w:tc>
          <w:tcPr>
            <w:tcW w:w="728" w:type="pct"/>
          </w:tcPr>
          <w:p w14:paraId="15EBD948" w14:textId="77777777" w:rsidR="000D07EA" w:rsidRDefault="00BE7C89">
            <w:pPr>
              <w:pStyle w:val="BodyText"/>
              <w:spacing w:before="100" w:after="100"/>
              <w:jc w:val="center"/>
            </w:pPr>
            <w:r>
              <w:t>10.90c</w:t>
            </w:r>
            <w:r>
              <w:br/>
              <w:t>(12c)</w:t>
            </w:r>
          </w:p>
        </w:tc>
        <w:tc>
          <w:tcPr>
            <w:tcW w:w="728" w:type="pct"/>
          </w:tcPr>
          <w:p w14:paraId="13FB59AE" w14:textId="77777777" w:rsidR="000D07EA" w:rsidRDefault="00BE7C89">
            <w:pPr>
              <w:pStyle w:val="BodyText"/>
              <w:spacing w:before="100" w:after="100"/>
              <w:jc w:val="center"/>
            </w:pPr>
            <w:r>
              <w:t>9.09c</w:t>
            </w:r>
            <w:r>
              <w:br/>
              <w:t>(10c)</w:t>
            </w:r>
          </w:p>
        </w:tc>
        <w:tc>
          <w:tcPr>
            <w:tcW w:w="728" w:type="pct"/>
          </w:tcPr>
          <w:p w14:paraId="2CAC165E" w14:textId="77777777" w:rsidR="000D07EA" w:rsidRDefault="00BE7C89">
            <w:pPr>
              <w:pStyle w:val="BodyText"/>
              <w:spacing w:before="100" w:after="100"/>
              <w:jc w:val="center"/>
            </w:pPr>
            <w:r>
              <w:t>7.27c</w:t>
            </w:r>
            <w:r>
              <w:br/>
              <w:t>(8c)</w:t>
            </w:r>
          </w:p>
        </w:tc>
        <w:tc>
          <w:tcPr>
            <w:tcW w:w="726" w:type="pct"/>
          </w:tcPr>
          <w:p w14:paraId="60E2E9CA" w14:textId="77777777" w:rsidR="000D07EA" w:rsidRDefault="00BE7C89">
            <w:pPr>
              <w:pStyle w:val="BodyText"/>
              <w:spacing w:before="100" w:after="100"/>
              <w:jc w:val="center"/>
            </w:pPr>
            <w:r>
              <w:t>5.45c</w:t>
            </w:r>
            <w:r>
              <w:br/>
              <w:t>(6c)</w:t>
            </w:r>
          </w:p>
        </w:tc>
      </w:tr>
      <w:tr w:rsidR="000D07EA" w14:paraId="0A4D2876" w14:textId="77777777">
        <w:tc>
          <w:tcPr>
            <w:tcW w:w="1365" w:type="pct"/>
          </w:tcPr>
          <w:p w14:paraId="531107A4" w14:textId="77777777" w:rsidR="000D07EA" w:rsidRDefault="00BE7C89">
            <w:pPr>
              <w:pStyle w:val="BodyText"/>
              <w:spacing w:before="100" w:after="100"/>
              <w:rPr>
                <w:b/>
              </w:rPr>
            </w:pPr>
            <w:r>
              <w:rPr>
                <w:b/>
              </w:rPr>
              <w:t>SmartFleet</w:t>
            </w:r>
            <w:r>
              <w:rPr>
                <w:b/>
                <w:vertAlign w:val="superscript"/>
              </w:rPr>
              <w:sym w:font="Symbol" w:char="F02B"/>
            </w:r>
          </w:p>
        </w:tc>
        <w:tc>
          <w:tcPr>
            <w:tcW w:w="3635" w:type="pct"/>
            <w:gridSpan w:val="5"/>
          </w:tcPr>
          <w:p w14:paraId="4F5EFE43" w14:textId="77777777" w:rsidR="000D07EA" w:rsidRDefault="00BE7C89">
            <w:pPr>
              <w:pStyle w:val="BodyText"/>
              <w:spacing w:before="100" w:after="100"/>
            </w:pPr>
            <w:r>
              <w:t>Free calls, SMS and MMS 24 x 7 to other mobiles on your business account</w:t>
            </w:r>
          </w:p>
        </w:tc>
      </w:tr>
      <w:tr w:rsidR="000D07EA" w14:paraId="38E04BF3" w14:textId="77777777">
        <w:tc>
          <w:tcPr>
            <w:tcW w:w="1365" w:type="pct"/>
          </w:tcPr>
          <w:p w14:paraId="4D15DB5B" w14:textId="77777777" w:rsidR="000D07EA" w:rsidRDefault="00BE7C89">
            <w:pPr>
              <w:pStyle w:val="BodyText"/>
              <w:spacing w:before="100" w:after="100"/>
              <w:rPr>
                <w:b/>
                <w:i/>
              </w:rPr>
            </w:pPr>
            <w:r>
              <w:rPr>
                <w:b/>
                <w:i/>
              </w:rPr>
              <w:t>Minimum term</w:t>
            </w:r>
          </w:p>
        </w:tc>
        <w:tc>
          <w:tcPr>
            <w:tcW w:w="726" w:type="pct"/>
          </w:tcPr>
          <w:p w14:paraId="5A8D1D81" w14:textId="77777777" w:rsidR="000D07EA" w:rsidRDefault="00BE7C89">
            <w:pPr>
              <w:pStyle w:val="BodyText"/>
              <w:spacing w:before="100" w:after="100"/>
              <w:jc w:val="center"/>
            </w:pPr>
            <w:r>
              <w:t>12 or 24 months</w:t>
            </w:r>
          </w:p>
        </w:tc>
        <w:tc>
          <w:tcPr>
            <w:tcW w:w="728" w:type="pct"/>
          </w:tcPr>
          <w:p w14:paraId="72B1C9D5" w14:textId="77777777" w:rsidR="000D07EA" w:rsidRDefault="00BE7C89">
            <w:pPr>
              <w:pStyle w:val="BodyText"/>
              <w:spacing w:before="100" w:after="100"/>
              <w:jc w:val="center"/>
            </w:pPr>
            <w:r>
              <w:t>12 or 24 months</w:t>
            </w:r>
          </w:p>
        </w:tc>
        <w:tc>
          <w:tcPr>
            <w:tcW w:w="728" w:type="pct"/>
          </w:tcPr>
          <w:p w14:paraId="2998E6C4" w14:textId="77777777" w:rsidR="000D07EA" w:rsidRDefault="00BE7C89">
            <w:pPr>
              <w:pStyle w:val="BodyText"/>
              <w:spacing w:before="100" w:after="100"/>
              <w:jc w:val="center"/>
            </w:pPr>
            <w:r>
              <w:t>12 or 24 months</w:t>
            </w:r>
          </w:p>
        </w:tc>
        <w:tc>
          <w:tcPr>
            <w:tcW w:w="728" w:type="pct"/>
          </w:tcPr>
          <w:p w14:paraId="69D9C6BD" w14:textId="77777777" w:rsidR="000D07EA" w:rsidRDefault="00BE7C89">
            <w:pPr>
              <w:pStyle w:val="BodyText"/>
              <w:spacing w:before="100" w:after="100"/>
              <w:jc w:val="center"/>
            </w:pPr>
            <w:r>
              <w:t>12 or 24 months</w:t>
            </w:r>
          </w:p>
        </w:tc>
        <w:tc>
          <w:tcPr>
            <w:tcW w:w="726" w:type="pct"/>
          </w:tcPr>
          <w:p w14:paraId="62AA432F" w14:textId="77777777" w:rsidR="000D07EA" w:rsidRDefault="00BE7C89">
            <w:pPr>
              <w:pStyle w:val="BodyText"/>
              <w:spacing w:before="100" w:after="100"/>
              <w:jc w:val="center"/>
            </w:pPr>
            <w:r>
              <w:t>12 or 24 months</w:t>
            </w:r>
          </w:p>
        </w:tc>
      </w:tr>
    </w:tbl>
    <w:p w14:paraId="0FCE7602" w14:textId="77777777" w:rsidR="000D07EA" w:rsidRDefault="00BE7C89">
      <w:pPr>
        <w:pStyle w:val="BodyText"/>
        <w:spacing w:after="0"/>
        <w:ind w:left="1440"/>
        <w:rPr>
          <w:rFonts w:eastAsia="Times New Roman"/>
          <w:bCs/>
          <w:color w:val="000000"/>
          <w:sz w:val="16"/>
          <w:szCs w:val="16"/>
        </w:rPr>
      </w:pPr>
      <w:r>
        <w:rPr>
          <w:rFonts w:eastAsia="Times New Roman"/>
          <w:bCs/>
          <w:color w:val="000000"/>
          <w:sz w:val="16"/>
          <w:szCs w:val="16"/>
        </w:rPr>
        <w:t>Note: All rates are per 30 seconds unless otherwise noted.</w:t>
      </w:r>
    </w:p>
    <w:p w14:paraId="7E91DE33" w14:textId="77777777" w:rsidR="000D07EA" w:rsidRDefault="00BE7C89">
      <w:pPr>
        <w:pStyle w:val="BodyText"/>
        <w:spacing w:after="0"/>
        <w:ind w:left="1440"/>
        <w:rPr>
          <w:rFonts w:eastAsia="Times New Roman"/>
          <w:bCs/>
          <w:color w:val="000000"/>
          <w:sz w:val="16"/>
          <w:szCs w:val="16"/>
        </w:rPr>
      </w:pPr>
      <w:r>
        <w:rPr>
          <w:rFonts w:eastAsia="Times New Roman"/>
          <w:bCs/>
          <w:color w:val="000000"/>
          <w:sz w:val="16"/>
          <w:szCs w:val="16"/>
        </w:rPr>
        <w:t>The rates above exclude calls to special services and Satellite.</w:t>
      </w:r>
    </w:p>
    <w:p w14:paraId="3D064290" w14:textId="77777777" w:rsidR="000D07EA" w:rsidRDefault="00BE7C89">
      <w:pPr>
        <w:pStyle w:val="BodyText"/>
        <w:spacing w:after="0"/>
        <w:ind w:left="1440"/>
        <w:rPr>
          <w:rFonts w:eastAsia="Times New Roman"/>
          <w:bCs/>
          <w:color w:val="000000"/>
          <w:sz w:val="16"/>
          <w:szCs w:val="16"/>
        </w:rPr>
      </w:pPr>
      <w:r>
        <w:rPr>
          <w:rFonts w:eastAsia="Times New Roman" w:cs="Arial"/>
          <w:bCs/>
          <w:color w:val="000000"/>
          <w:sz w:val="16"/>
          <w:szCs w:val="16"/>
        </w:rPr>
        <w:t xml:space="preserve">^ </w:t>
      </w:r>
      <w:r>
        <w:rPr>
          <w:rFonts w:eastAsia="Times New Roman"/>
          <w:bCs/>
          <w:color w:val="000000"/>
          <w:sz w:val="16"/>
          <w:szCs w:val="16"/>
        </w:rPr>
        <w:t>Billed per second.</w:t>
      </w:r>
    </w:p>
    <w:p w14:paraId="343467DA" w14:textId="77777777" w:rsidR="000D07EA" w:rsidRDefault="00BE7C89">
      <w:pPr>
        <w:pStyle w:val="BodyText"/>
        <w:spacing w:after="0"/>
        <w:ind w:left="1440"/>
        <w:rPr>
          <w:rFonts w:eastAsia="Times New Roman"/>
          <w:bCs/>
          <w:color w:val="000000"/>
          <w:sz w:val="16"/>
          <w:szCs w:val="16"/>
        </w:rPr>
      </w:pPr>
      <w:r>
        <w:rPr>
          <w:rFonts w:eastAsia="Times New Roman"/>
          <w:bCs/>
          <w:color w:val="000000"/>
          <w:sz w:val="16"/>
          <w:szCs w:val="16"/>
        </w:rPr>
        <w:t xml:space="preserve">+ No </w:t>
      </w:r>
      <w:r>
        <w:rPr>
          <w:rFonts w:eastAsia="Times New Roman"/>
          <w:bCs/>
          <w:i/>
          <w:color w:val="000000"/>
          <w:sz w:val="16"/>
          <w:szCs w:val="16"/>
        </w:rPr>
        <w:t>flagfall</w:t>
      </w:r>
      <w:r>
        <w:rPr>
          <w:rFonts w:eastAsia="Times New Roman"/>
          <w:bCs/>
          <w:color w:val="000000"/>
          <w:sz w:val="16"/>
          <w:szCs w:val="16"/>
        </w:rPr>
        <w:t xml:space="preserve"> applies.</w:t>
      </w:r>
    </w:p>
    <w:p w14:paraId="5980F25B" w14:textId="77777777" w:rsidR="000D07EA" w:rsidRDefault="00BE7C89">
      <w:pPr>
        <w:pStyle w:val="BodyText"/>
        <w:spacing w:before="240"/>
        <w:ind w:left="720"/>
        <w:rPr>
          <w:rFonts w:eastAsia="Times New Roman"/>
          <w:bCs/>
          <w:color w:val="000000"/>
          <w:szCs w:val="22"/>
        </w:rPr>
      </w:pPr>
      <w:r>
        <w:rPr>
          <w:rFonts w:eastAsia="Times New Roman"/>
          <w:bCs/>
          <w:color w:val="000000"/>
          <w:szCs w:val="22"/>
        </w:rPr>
        <w:t xml:space="preserve">If a different minimum monthly </w:t>
      </w:r>
      <w:r>
        <w:rPr>
          <w:rFonts w:eastAsia="Times New Roman"/>
          <w:bCs/>
          <w:i/>
          <w:color w:val="000000"/>
          <w:szCs w:val="22"/>
        </w:rPr>
        <w:t>spend</w:t>
      </w:r>
      <w:r>
        <w:rPr>
          <w:rFonts w:eastAsia="Times New Roman"/>
          <w:bCs/>
          <w:color w:val="000000"/>
          <w:szCs w:val="22"/>
        </w:rPr>
        <w:t xml:space="preserve"> is agreed with </w:t>
      </w:r>
      <w:r>
        <w:rPr>
          <w:rFonts w:eastAsia="Times New Roman"/>
          <w:bCs/>
          <w:i/>
          <w:color w:val="000000"/>
          <w:szCs w:val="22"/>
        </w:rPr>
        <w:t>you</w:t>
      </w:r>
      <w:r>
        <w:rPr>
          <w:rFonts w:eastAsia="Times New Roman"/>
          <w:bCs/>
          <w:color w:val="000000"/>
          <w:szCs w:val="22"/>
        </w:rPr>
        <w:t xml:space="preserve">, the monthly charge will be adjusted accordingly. The standard call exclusions (see </w:t>
      </w:r>
      <w:hyperlink r:id="rId103" w:history="1">
        <w:r>
          <w:rPr>
            <w:rStyle w:val="Hyperlink"/>
            <w:rFonts w:eastAsia="Times New Roman"/>
            <w:bCs/>
            <w:szCs w:val="22"/>
          </w:rPr>
          <w:t>section 1</w:t>
        </w:r>
      </w:hyperlink>
      <w:r>
        <w:rPr>
          <w:rFonts w:eastAsia="Times New Roman"/>
          <w:bCs/>
          <w:color w:val="000000"/>
          <w:szCs w:val="22"/>
        </w:rPr>
        <w:t xml:space="preserve"> of this </w:t>
      </w:r>
      <w:r>
        <w:rPr>
          <w:rFonts w:eastAsia="Times New Roman"/>
          <w:bCs/>
          <w:i/>
          <w:color w:val="000000"/>
          <w:szCs w:val="22"/>
        </w:rPr>
        <w:t>standard pricing table</w:t>
      </w:r>
      <w:r>
        <w:rPr>
          <w:rFonts w:eastAsia="Times New Roman"/>
          <w:bCs/>
          <w:color w:val="000000"/>
          <w:szCs w:val="22"/>
        </w:rPr>
        <w:t>) apply to the monthly included calls.</w:t>
      </w:r>
    </w:p>
    <w:p w14:paraId="42DE76EF" w14:textId="77777777" w:rsidR="000D07EA" w:rsidRDefault="00BE7C89">
      <w:pPr>
        <w:pStyle w:val="Heading6"/>
        <w:ind w:left="0" w:firstLine="0"/>
      </w:pPr>
      <w:r>
        <w:t xml:space="preserve">What happens if the </w:t>
      </w:r>
      <w:r>
        <w:rPr>
          <w:i/>
        </w:rPr>
        <w:t>service</w:t>
      </w:r>
      <w:r>
        <w:t xml:space="preserve"> is </w:t>
      </w:r>
      <w:r>
        <w:rPr>
          <w:i/>
        </w:rPr>
        <w:t>cancelled</w:t>
      </w:r>
      <w:r>
        <w:t xml:space="preserve"> early?</w:t>
      </w:r>
    </w:p>
    <w:p w14:paraId="6B857B8C" w14:textId="77777777" w:rsidR="000D07EA" w:rsidRDefault="00BE7C89">
      <w:pPr>
        <w:pStyle w:val="Heading7"/>
      </w:pPr>
      <w:r>
        <w:t xml:space="preserve">If </w:t>
      </w:r>
      <w:r>
        <w:rPr>
          <w:i/>
        </w:rPr>
        <w:t>you</w:t>
      </w:r>
      <w:r>
        <w:t xml:space="preserve"> cease to be an approved company </w:t>
      </w:r>
      <w:r>
        <w:rPr>
          <w:i/>
        </w:rPr>
        <w:t>you</w:t>
      </w:r>
      <w:r>
        <w:t xml:space="preserve"> may be transferred to another </w:t>
      </w:r>
      <w:r>
        <w:rPr>
          <w:i/>
        </w:rPr>
        <w:t>pricing plan</w:t>
      </w:r>
      <w:r>
        <w:t xml:space="preserve"> at </w:t>
      </w:r>
      <w:r>
        <w:rPr>
          <w:i/>
        </w:rPr>
        <w:t>our</w:t>
      </w:r>
      <w:r>
        <w:t xml:space="preserve"> discretion, or may be allowed to remain on this </w:t>
      </w:r>
      <w:r>
        <w:rPr>
          <w:i/>
        </w:rPr>
        <w:t>pricing plan</w:t>
      </w:r>
      <w:r>
        <w:t xml:space="preserve"> with the additional discounts and other benefits removed.</w:t>
      </w:r>
    </w:p>
    <w:p w14:paraId="7AE1AA0F" w14:textId="77777777" w:rsidR="000D07EA" w:rsidRDefault="00BE7C89">
      <w:pPr>
        <w:pStyle w:val="Heading7"/>
      </w:pPr>
      <w:r>
        <w:t xml:space="preserve">If </w:t>
      </w:r>
      <w:r>
        <w:rPr>
          <w:i/>
        </w:rPr>
        <w:t>the service is cancelled</w:t>
      </w:r>
      <w:r>
        <w:t xml:space="preserve"> before the expiry of the </w:t>
      </w:r>
      <w:r>
        <w:rPr>
          <w:i/>
        </w:rPr>
        <w:t>minimum term</w:t>
      </w:r>
      <w:r>
        <w:t xml:space="preserve">, </w:t>
      </w:r>
      <w:r>
        <w:rPr>
          <w:i/>
        </w:rPr>
        <w:t>you</w:t>
      </w:r>
      <w:r>
        <w:t xml:space="preserve"> will be required to pay </w:t>
      </w:r>
      <w:r>
        <w:rPr>
          <w:i/>
        </w:rPr>
        <w:t>us</w:t>
      </w:r>
      <w:r>
        <w:t>:</w:t>
      </w:r>
    </w:p>
    <w:p w14:paraId="3E45F98F" w14:textId="77777777" w:rsidR="000D07EA" w:rsidRDefault="00BE7C89">
      <w:pPr>
        <w:pStyle w:val="Heading8"/>
      </w:pPr>
      <w:r>
        <w:t xml:space="preserve">any usage charges incurred up to, and including, the </w:t>
      </w:r>
      <w:r>
        <w:rPr>
          <w:i/>
        </w:rPr>
        <w:t>cancellation date</w:t>
      </w:r>
      <w:r>
        <w:t>; plus</w:t>
      </w:r>
    </w:p>
    <w:p w14:paraId="1D83C362" w14:textId="77777777" w:rsidR="000D07EA" w:rsidRDefault="00BE7C89">
      <w:pPr>
        <w:pStyle w:val="Heading8"/>
      </w:pPr>
      <w:r>
        <w:t xml:space="preserve">the </w:t>
      </w:r>
      <w:r>
        <w:rPr>
          <w:i/>
        </w:rPr>
        <w:t>cancellation fee</w:t>
      </w:r>
      <w:r>
        <w:t xml:space="preserve"> set out in the table below (unless under clause 2A of the </w:t>
      </w:r>
      <w:hyperlink r:id="rId104" w:history="1">
        <w:r>
          <w:rPr>
            <w:rStyle w:val="Hyperlink"/>
            <w:i/>
          </w:rPr>
          <w:t>SMB terms</w:t>
        </w:r>
      </w:hyperlink>
      <w:r>
        <w:t xml:space="preserve">, </w:t>
      </w:r>
      <w:r>
        <w:rPr>
          <w:i/>
        </w:rPr>
        <w:t>you</w:t>
      </w:r>
      <w:r>
        <w:t xml:space="preserve"> are entitled to</w:t>
      </w:r>
      <w:r>
        <w:rPr>
          <w:i/>
        </w:rPr>
        <w:t xml:space="preserve"> cancel the service</w:t>
      </w:r>
      <w:r>
        <w:t xml:space="preserve"> without incurring a </w:t>
      </w:r>
      <w:r>
        <w:rPr>
          <w:i/>
        </w:rPr>
        <w:t>cancellation fee</w:t>
      </w:r>
      <w:r>
        <w:t>); plus</w:t>
      </w:r>
    </w:p>
    <w:p w14:paraId="62EB57AC" w14:textId="77777777" w:rsidR="000D07EA" w:rsidRDefault="00BE7C89">
      <w:pPr>
        <w:pStyle w:val="Heading8"/>
      </w:pPr>
      <w:r>
        <w:t xml:space="preserve">the sum of unpaid </w:t>
      </w:r>
      <w:r>
        <w:rPr>
          <w:i/>
        </w:rPr>
        <w:t>equipment charges</w:t>
      </w:r>
      <w:r>
        <w:t xml:space="preserve"> owing on </w:t>
      </w:r>
      <w:r>
        <w:rPr>
          <w:i/>
        </w:rPr>
        <w:t>your mobile phone</w:t>
      </w:r>
      <w:r>
        <w:t xml:space="preserve"> under the </w:t>
      </w:r>
      <w:r>
        <w:rPr>
          <w:i/>
        </w:rPr>
        <w:t>mobile equipment payment pla</w:t>
      </w:r>
      <w:r>
        <w:t>n (if any).</w:t>
      </w:r>
    </w:p>
    <w:p w14:paraId="798F4FDA" w14:textId="77777777" w:rsidR="000D07EA" w:rsidRDefault="00BE7C89">
      <w:pPr>
        <w:pStyle w:val="Heading7"/>
        <w:rPr>
          <w:rStyle w:val="Heading8Char"/>
        </w:rPr>
      </w:pPr>
      <w:r>
        <w:rPr>
          <w:rStyle w:val="Heading8Char"/>
        </w:rPr>
        <w:t>Some special promotions may vary the minimum call spend requirement or discounts available, and variation will</w:t>
      </w:r>
      <w:r>
        <w:rPr>
          <w:rStyle w:val="Heading7Char"/>
        </w:rPr>
        <w:t xml:space="preserve"> </w:t>
      </w:r>
      <w:r>
        <w:rPr>
          <w:rStyle w:val="Heading8Char"/>
        </w:rPr>
        <w:t xml:space="preserve">not be taken into account when determining the </w:t>
      </w:r>
      <w:r>
        <w:rPr>
          <w:rStyle w:val="Heading8Char"/>
          <w:i/>
        </w:rPr>
        <w:t>cancellation fee</w:t>
      </w:r>
      <w:r>
        <w:rPr>
          <w:rStyle w:val="Heading8Char"/>
        </w:rPr>
        <w:t>.</w:t>
      </w:r>
    </w:p>
    <w:p w14:paraId="09F74D64" w14:textId="77777777" w:rsidR="000D07EA" w:rsidRDefault="00BE7C89">
      <w:pPr>
        <w:pStyle w:val="Heading7"/>
      </w:pPr>
      <w:r>
        <w:t xml:space="preserve">The </w:t>
      </w:r>
      <w:r>
        <w:rPr>
          <w:i/>
        </w:rPr>
        <w:t>cancellation fee</w:t>
      </w:r>
      <w:r>
        <w:t xml:space="preserve"> payable under paragraph </w:t>
      </w:r>
      <w:r w:rsidR="00EE7426" w:rsidRPr="00272628">
        <w:t>77</w:t>
      </w:r>
      <w:r w:rsidRPr="00272628">
        <w:t xml:space="preserve">.5(a) </w:t>
      </w:r>
      <w:r>
        <w:t xml:space="preserve">(if any) is calculated as follows: </w:t>
      </w:r>
    </w:p>
    <w:p w14:paraId="6F60BE15" w14:textId="77777777" w:rsidR="000D07EA" w:rsidRDefault="00BE7C89">
      <w:pPr>
        <w:pStyle w:val="Heading8"/>
      </w:pPr>
      <w:r>
        <w:t xml:space="preserve">If </w:t>
      </w:r>
      <w:r>
        <w:rPr>
          <w:i/>
        </w:rPr>
        <w:t>you</w:t>
      </w:r>
      <w:r>
        <w:t xml:space="preserve"> are on a 24 month </w:t>
      </w:r>
      <w:r>
        <w:rPr>
          <w:i/>
        </w:rPr>
        <w:t>pricing plan</w:t>
      </w:r>
      <w:r>
        <w:t xml:space="preserve">, the </w:t>
      </w:r>
      <w:r>
        <w:rPr>
          <w:i/>
        </w:rPr>
        <w:t>cancellation fee</w:t>
      </w:r>
      <w:r>
        <w:t xml:space="preserve"> between months 0-12 is:</w:t>
      </w:r>
    </w:p>
    <w:tbl>
      <w:tblPr>
        <w:tblW w:w="4300" w:type="pct"/>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4"/>
        <w:gridCol w:w="1735"/>
        <w:gridCol w:w="1735"/>
        <w:gridCol w:w="1735"/>
        <w:gridCol w:w="1733"/>
      </w:tblGrid>
      <w:tr w:rsidR="000D07EA" w14:paraId="7A4D5901" w14:textId="77777777">
        <w:trPr>
          <w:trHeight w:val="210"/>
        </w:trPr>
        <w:tc>
          <w:tcPr>
            <w:tcW w:w="1041" w:type="pct"/>
          </w:tcPr>
          <w:p w14:paraId="6D6913C7" w14:textId="77777777" w:rsidR="000D07EA" w:rsidRDefault="00BE7C89">
            <w:pPr>
              <w:pStyle w:val="BodyText"/>
              <w:spacing w:before="100" w:after="100"/>
              <w:jc w:val="center"/>
              <w:rPr>
                <w:b/>
              </w:rPr>
            </w:pPr>
            <w:r>
              <w:rPr>
                <w:b/>
              </w:rPr>
              <w:t>'yes'</w:t>
            </w:r>
            <w:r>
              <w:rPr>
                <w:b/>
              </w:rPr>
              <w:br/>
              <w:t>Business Smart 50+</w:t>
            </w:r>
            <w:r>
              <w:rPr>
                <w:b/>
              </w:rPr>
              <w:br/>
              <w:t>20 Plan</w:t>
            </w:r>
          </w:p>
        </w:tc>
        <w:tc>
          <w:tcPr>
            <w:tcW w:w="990" w:type="pct"/>
          </w:tcPr>
          <w:p w14:paraId="7328A5B6" w14:textId="77777777" w:rsidR="000D07EA" w:rsidRDefault="00BE7C89">
            <w:pPr>
              <w:pStyle w:val="BodyText"/>
              <w:spacing w:before="100" w:after="100"/>
              <w:jc w:val="center"/>
              <w:rPr>
                <w:b/>
              </w:rPr>
            </w:pPr>
            <w:r>
              <w:rPr>
                <w:b/>
              </w:rPr>
              <w:t>'yes'</w:t>
            </w:r>
            <w:r>
              <w:rPr>
                <w:b/>
              </w:rPr>
              <w:br/>
              <w:t>Business Smart 50+</w:t>
            </w:r>
            <w:r>
              <w:rPr>
                <w:b/>
              </w:rPr>
              <w:br/>
              <w:t>30 Plan</w:t>
            </w:r>
          </w:p>
        </w:tc>
        <w:tc>
          <w:tcPr>
            <w:tcW w:w="990" w:type="pct"/>
          </w:tcPr>
          <w:p w14:paraId="796A3106" w14:textId="77777777" w:rsidR="000D07EA" w:rsidRDefault="00BE7C89">
            <w:pPr>
              <w:pStyle w:val="BodyText"/>
              <w:spacing w:before="100" w:after="100"/>
              <w:jc w:val="center"/>
              <w:rPr>
                <w:b/>
              </w:rPr>
            </w:pPr>
            <w:r>
              <w:rPr>
                <w:b/>
              </w:rPr>
              <w:t>'yes'</w:t>
            </w:r>
            <w:r>
              <w:rPr>
                <w:b/>
              </w:rPr>
              <w:br/>
              <w:t>Business Smart 50+</w:t>
            </w:r>
            <w:r>
              <w:rPr>
                <w:b/>
              </w:rPr>
              <w:br/>
              <w:t>50 Plan</w:t>
            </w:r>
          </w:p>
        </w:tc>
        <w:tc>
          <w:tcPr>
            <w:tcW w:w="990" w:type="pct"/>
          </w:tcPr>
          <w:p w14:paraId="79E7A165" w14:textId="77777777" w:rsidR="000D07EA" w:rsidRDefault="00BE7C89">
            <w:pPr>
              <w:pStyle w:val="BodyText"/>
              <w:spacing w:before="100" w:after="100"/>
              <w:jc w:val="center"/>
              <w:rPr>
                <w:b/>
              </w:rPr>
            </w:pPr>
            <w:r>
              <w:rPr>
                <w:b/>
              </w:rPr>
              <w:t>'yes'</w:t>
            </w:r>
            <w:r>
              <w:rPr>
                <w:b/>
              </w:rPr>
              <w:br/>
              <w:t>Business Smart 50+</w:t>
            </w:r>
            <w:r>
              <w:rPr>
                <w:b/>
              </w:rPr>
              <w:br/>
              <w:t>70 Plan</w:t>
            </w:r>
          </w:p>
        </w:tc>
        <w:tc>
          <w:tcPr>
            <w:tcW w:w="990" w:type="pct"/>
          </w:tcPr>
          <w:p w14:paraId="4627A763" w14:textId="77777777" w:rsidR="000D07EA" w:rsidRDefault="00BE7C89">
            <w:pPr>
              <w:pStyle w:val="BodyText"/>
              <w:spacing w:before="100" w:after="100"/>
              <w:jc w:val="center"/>
              <w:rPr>
                <w:b/>
              </w:rPr>
            </w:pPr>
            <w:r>
              <w:rPr>
                <w:b/>
              </w:rPr>
              <w:t>'yes'</w:t>
            </w:r>
            <w:r>
              <w:rPr>
                <w:b/>
              </w:rPr>
              <w:br/>
              <w:t>Business Smart 50+</w:t>
            </w:r>
            <w:r>
              <w:rPr>
                <w:b/>
              </w:rPr>
              <w:br/>
              <w:t>100 Plan</w:t>
            </w:r>
          </w:p>
        </w:tc>
      </w:tr>
      <w:tr w:rsidR="000D07EA" w14:paraId="4F7DF165" w14:textId="77777777">
        <w:tc>
          <w:tcPr>
            <w:tcW w:w="1041" w:type="pct"/>
          </w:tcPr>
          <w:p w14:paraId="045C659E" w14:textId="77777777" w:rsidR="000D07EA" w:rsidRDefault="00BE7C89">
            <w:pPr>
              <w:pStyle w:val="BodyText"/>
              <w:spacing w:before="100" w:after="100"/>
              <w:jc w:val="center"/>
            </w:pPr>
            <w:r>
              <w:t>$209.09</w:t>
            </w:r>
            <w:r>
              <w:br/>
              <w:t>($230)</w:t>
            </w:r>
          </w:p>
        </w:tc>
        <w:tc>
          <w:tcPr>
            <w:tcW w:w="990" w:type="pct"/>
          </w:tcPr>
          <w:p w14:paraId="67B30163" w14:textId="77777777" w:rsidR="000D07EA" w:rsidRDefault="00BE7C89">
            <w:pPr>
              <w:pStyle w:val="BodyText"/>
              <w:spacing w:before="100" w:after="100"/>
              <w:jc w:val="center"/>
            </w:pPr>
            <w:r>
              <w:t>$309.09</w:t>
            </w:r>
            <w:r>
              <w:br/>
              <w:t>($340)</w:t>
            </w:r>
          </w:p>
        </w:tc>
        <w:tc>
          <w:tcPr>
            <w:tcW w:w="990" w:type="pct"/>
          </w:tcPr>
          <w:p w14:paraId="59492C7F" w14:textId="77777777" w:rsidR="000D07EA" w:rsidRDefault="00BE7C89">
            <w:pPr>
              <w:pStyle w:val="BodyText"/>
              <w:spacing w:before="100" w:after="100"/>
              <w:jc w:val="center"/>
            </w:pPr>
            <w:r>
              <w:t>$409.09</w:t>
            </w:r>
            <w:r>
              <w:br/>
              <w:t>($450)</w:t>
            </w:r>
          </w:p>
        </w:tc>
        <w:tc>
          <w:tcPr>
            <w:tcW w:w="990" w:type="pct"/>
          </w:tcPr>
          <w:p w14:paraId="673CF5CD" w14:textId="77777777" w:rsidR="000D07EA" w:rsidRDefault="00BE7C89">
            <w:pPr>
              <w:pStyle w:val="BodyText"/>
              <w:spacing w:before="100" w:after="100"/>
              <w:jc w:val="center"/>
            </w:pPr>
            <w:r>
              <w:t>$545.45</w:t>
            </w:r>
            <w:r>
              <w:br/>
              <w:t>($600)</w:t>
            </w:r>
          </w:p>
        </w:tc>
        <w:tc>
          <w:tcPr>
            <w:tcW w:w="990" w:type="pct"/>
          </w:tcPr>
          <w:p w14:paraId="28AEA85E" w14:textId="77777777" w:rsidR="000D07EA" w:rsidRDefault="00BE7C89">
            <w:pPr>
              <w:pStyle w:val="BodyText"/>
              <w:spacing w:before="100" w:after="100"/>
              <w:jc w:val="center"/>
            </w:pPr>
            <w:r>
              <w:t>$645.45</w:t>
            </w:r>
            <w:r>
              <w:br/>
              <w:t>($710)</w:t>
            </w:r>
          </w:p>
        </w:tc>
      </w:tr>
    </w:tbl>
    <w:p w14:paraId="2DA281F7" w14:textId="77777777" w:rsidR="000D07EA" w:rsidRDefault="00BE7C89">
      <w:pPr>
        <w:pStyle w:val="BodyText"/>
        <w:spacing w:before="240"/>
        <w:ind w:left="1440"/>
      </w:pPr>
      <w:r>
        <w:lastRenderedPageBreak/>
        <w:t xml:space="preserve">And for </w:t>
      </w:r>
      <w:r>
        <w:rPr>
          <w:i/>
        </w:rPr>
        <w:t>cancellations</w:t>
      </w:r>
      <w:r>
        <w:t xml:space="preserve"> between months 13-24, an amount in accordance with the following calculations: for months 13-15, 80% of the </w:t>
      </w:r>
      <w:r>
        <w:rPr>
          <w:i/>
        </w:rPr>
        <w:t>cancellation fe</w:t>
      </w:r>
      <w:r>
        <w:t xml:space="preserve">e; for months 16-18, 60% of the </w:t>
      </w:r>
      <w:r>
        <w:rPr>
          <w:i/>
        </w:rPr>
        <w:t>cancellation fee</w:t>
      </w:r>
      <w:r>
        <w:t xml:space="preserve">; for months 19-21, 40% of the </w:t>
      </w:r>
      <w:r>
        <w:rPr>
          <w:i/>
        </w:rPr>
        <w:t>cancellation fe</w:t>
      </w:r>
      <w:r>
        <w:t xml:space="preserve">e; for months 22-24, 20% of the </w:t>
      </w:r>
      <w:r>
        <w:rPr>
          <w:i/>
        </w:rPr>
        <w:t>cancellation fee</w:t>
      </w:r>
      <w:r>
        <w:t xml:space="preserve">. </w:t>
      </w:r>
    </w:p>
    <w:p w14:paraId="4E60A524" w14:textId="77777777" w:rsidR="000D07EA" w:rsidRDefault="00BE7C89">
      <w:pPr>
        <w:pStyle w:val="Heading8"/>
      </w:pPr>
      <w:r>
        <w:t xml:space="preserve">If </w:t>
      </w:r>
      <w:r>
        <w:rPr>
          <w:i/>
        </w:rPr>
        <w:t>you</w:t>
      </w:r>
      <w:r>
        <w:t xml:space="preserve"> are on a 12 month </w:t>
      </w:r>
      <w:r>
        <w:rPr>
          <w:i/>
        </w:rPr>
        <w:t>pricing plan</w:t>
      </w:r>
      <w:r>
        <w:t xml:space="preserve">, the </w:t>
      </w:r>
      <w:r>
        <w:rPr>
          <w:i/>
        </w:rPr>
        <w:t>cancellation fee</w:t>
      </w:r>
      <w:r>
        <w:t xml:space="preserve"> between months 0-6 is:</w:t>
      </w:r>
    </w:p>
    <w:tbl>
      <w:tblPr>
        <w:tblW w:w="4300" w:type="pct"/>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4"/>
        <w:gridCol w:w="1735"/>
        <w:gridCol w:w="1735"/>
        <w:gridCol w:w="1735"/>
        <w:gridCol w:w="1733"/>
      </w:tblGrid>
      <w:tr w:rsidR="000D07EA" w14:paraId="32D3849C" w14:textId="77777777">
        <w:tc>
          <w:tcPr>
            <w:tcW w:w="1041" w:type="pct"/>
          </w:tcPr>
          <w:p w14:paraId="6CAC29B2" w14:textId="77777777" w:rsidR="000D07EA" w:rsidRDefault="00BE7C89">
            <w:pPr>
              <w:pStyle w:val="BodyText"/>
              <w:spacing w:before="100" w:after="100"/>
              <w:jc w:val="center"/>
              <w:rPr>
                <w:b/>
              </w:rPr>
            </w:pPr>
            <w:r>
              <w:rPr>
                <w:b/>
              </w:rPr>
              <w:t>'yes'</w:t>
            </w:r>
            <w:r>
              <w:rPr>
                <w:b/>
              </w:rPr>
              <w:br/>
              <w:t>Business Smart 50+</w:t>
            </w:r>
            <w:r>
              <w:rPr>
                <w:b/>
              </w:rPr>
              <w:br/>
              <w:t>20 Plan</w:t>
            </w:r>
          </w:p>
        </w:tc>
        <w:tc>
          <w:tcPr>
            <w:tcW w:w="990" w:type="pct"/>
          </w:tcPr>
          <w:p w14:paraId="23C886C7" w14:textId="77777777" w:rsidR="000D07EA" w:rsidRDefault="00BE7C89">
            <w:pPr>
              <w:pStyle w:val="BodyText"/>
              <w:spacing w:before="100" w:after="100"/>
              <w:jc w:val="center"/>
              <w:rPr>
                <w:b/>
              </w:rPr>
            </w:pPr>
            <w:r>
              <w:rPr>
                <w:b/>
              </w:rPr>
              <w:t>'yes'</w:t>
            </w:r>
            <w:r>
              <w:rPr>
                <w:b/>
              </w:rPr>
              <w:br/>
              <w:t>Business Smart 50+</w:t>
            </w:r>
            <w:r>
              <w:rPr>
                <w:b/>
              </w:rPr>
              <w:br/>
              <w:t>30 Plan</w:t>
            </w:r>
          </w:p>
        </w:tc>
        <w:tc>
          <w:tcPr>
            <w:tcW w:w="990" w:type="pct"/>
          </w:tcPr>
          <w:p w14:paraId="5EE75689" w14:textId="77777777" w:rsidR="000D07EA" w:rsidRDefault="00BE7C89">
            <w:pPr>
              <w:pStyle w:val="BodyText"/>
              <w:spacing w:before="100" w:after="100"/>
              <w:jc w:val="center"/>
              <w:rPr>
                <w:b/>
              </w:rPr>
            </w:pPr>
            <w:r>
              <w:rPr>
                <w:b/>
              </w:rPr>
              <w:t xml:space="preserve">'yes' </w:t>
            </w:r>
            <w:r>
              <w:rPr>
                <w:b/>
              </w:rPr>
              <w:br/>
              <w:t>Business Smart 50+</w:t>
            </w:r>
            <w:r>
              <w:rPr>
                <w:b/>
              </w:rPr>
              <w:br/>
              <w:t>50 Plan</w:t>
            </w:r>
          </w:p>
        </w:tc>
        <w:tc>
          <w:tcPr>
            <w:tcW w:w="990" w:type="pct"/>
          </w:tcPr>
          <w:p w14:paraId="6BEFA23B" w14:textId="77777777" w:rsidR="000D07EA" w:rsidRDefault="00BE7C89">
            <w:pPr>
              <w:pStyle w:val="BodyText"/>
              <w:spacing w:before="100" w:after="100"/>
              <w:jc w:val="center"/>
              <w:rPr>
                <w:b/>
              </w:rPr>
            </w:pPr>
            <w:r>
              <w:rPr>
                <w:b/>
              </w:rPr>
              <w:t>'yes'</w:t>
            </w:r>
            <w:r>
              <w:rPr>
                <w:b/>
              </w:rPr>
              <w:br/>
              <w:t>Business Smart 50+</w:t>
            </w:r>
            <w:r>
              <w:rPr>
                <w:b/>
              </w:rPr>
              <w:br/>
              <w:t>70 Plan</w:t>
            </w:r>
          </w:p>
        </w:tc>
        <w:tc>
          <w:tcPr>
            <w:tcW w:w="990" w:type="pct"/>
          </w:tcPr>
          <w:p w14:paraId="632F90D1" w14:textId="77777777" w:rsidR="000D07EA" w:rsidRDefault="00BE7C89">
            <w:pPr>
              <w:pStyle w:val="BodyText"/>
              <w:spacing w:before="100" w:after="100"/>
              <w:jc w:val="center"/>
              <w:rPr>
                <w:b/>
              </w:rPr>
            </w:pPr>
            <w:r>
              <w:rPr>
                <w:b/>
              </w:rPr>
              <w:t>'yes'</w:t>
            </w:r>
            <w:r>
              <w:rPr>
                <w:b/>
              </w:rPr>
              <w:br/>
              <w:t>Business Smart 50+</w:t>
            </w:r>
            <w:r>
              <w:rPr>
                <w:b/>
              </w:rPr>
              <w:br/>
              <w:t>100 Plan</w:t>
            </w:r>
          </w:p>
        </w:tc>
      </w:tr>
      <w:tr w:rsidR="000D07EA" w14:paraId="32BA40E4" w14:textId="77777777">
        <w:tc>
          <w:tcPr>
            <w:tcW w:w="1041" w:type="pct"/>
          </w:tcPr>
          <w:p w14:paraId="7793109D" w14:textId="77777777" w:rsidR="000D07EA" w:rsidRDefault="00BE7C89">
            <w:pPr>
              <w:pStyle w:val="BodyText"/>
              <w:spacing w:before="100" w:after="100"/>
              <w:jc w:val="center"/>
            </w:pPr>
            <w:r>
              <w:t>$104.54</w:t>
            </w:r>
            <w:r>
              <w:br/>
              <w:t>($115)</w:t>
            </w:r>
          </w:p>
        </w:tc>
        <w:tc>
          <w:tcPr>
            <w:tcW w:w="990" w:type="pct"/>
          </w:tcPr>
          <w:p w14:paraId="5FF13CDC" w14:textId="77777777" w:rsidR="000D07EA" w:rsidRDefault="00BE7C89">
            <w:pPr>
              <w:pStyle w:val="BodyText"/>
              <w:spacing w:before="100" w:after="100"/>
              <w:jc w:val="center"/>
            </w:pPr>
            <w:r>
              <w:t>$175.45</w:t>
            </w:r>
            <w:r>
              <w:br/>
              <w:t>($193)</w:t>
            </w:r>
          </w:p>
        </w:tc>
        <w:tc>
          <w:tcPr>
            <w:tcW w:w="990" w:type="pct"/>
          </w:tcPr>
          <w:p w14:paraId="44B8BE6E" w14:textId="77777777" w:rsidR="000D07EA" w:rsidRDefault="00BE7C89">
            <w:pPr>
              <w:pStyle w:val="BodyText"/>
              <w:spacing w:before="100" w:after="100"/>
              <w:jc w:val="center"/>
            </w:pPr>
            <w:r>
              <w:t>$240.90</w:t>
            </w:r>
            <w:r>
              <w:br/>
              <w:t>($265)</w:t>
            </w:r>
          </w:p>
        </w:tc>
        <w:tc>
          <w:tcPr>
            <w:tcW w:w="990" w:type="pct"/>
          </w:tcPr>
          <w:p w14:paraId="7E6E5B1F" w14:textId="77777777" w:rsidR="000D07EA" w:rsidRDefault="00BE7C89">
            <w:pPr>
              <w:pStyle w:val="BodyText"/>
              <w:spacing w:before="100" w:after="100"/>
              <w:jc w:val="center"/>
            </w:pPr>
            <w:r>
              <w:t>$283.63</w:t>
            </w:r>
            <w:r>
              <w:br/>
              <w:t>($312)</w:t>
            </w:r>
          </w:p>
        </w:tc>
        <w:tc>
          <w:tcPr>
            <w:tcW w:w="990" w:type="pct"/>
          </w:tcPr>
          <w:p w14:paraId="6AAABA4E" w14:textId="77777777" w:rsidR="000D07EA" w:rsidRDefault="00BE7C89">
            <w:pPr>
              <w:pStyle w:val="BodyText"/>
              <w:spacing w:before="100" w:after="100"/>
              <w:jc w:val="center"/>
            </w:pPr>
            <w:r>
              <w:t>$317.27</w:t>
            </w:r>
            <w:r>
              <w:br/>
              <w:t>($349)</w:t>
            </w:r>
          </w:p>
        </w:tc>
      </w:tr>
    </w:tbl>
    <w:p w14:paraId="2E583CA7" w14:textId="77777777" w:rsidR="000D07EA" w:rsidRDefault="00BE7C89">
      <w:pPr>
        <w:pStyle w:val="BodyText"/>
        <w:spacing w:before="240"/>
        <w:ind w:left="1440"/>
      </w:pPr>
      <w:r>
        <w:t xml:space="preserve">And for </w:t>
      </w:r>
      <w:r>
        <w:rPr>
          <w:i/>
        </w:rPr>
        <w:t>cancellations</w:t>
      </w:r>
      <w:r>
        <w:t xml:space="preserve"> between months 7-12, an amount in accordance with the following calculations: for months 7-9, 70% of the </w:t>
      </w:r>
      <w:r>
        <w:rPr>
          <w:i/>
        </w:rPr>
        <w:t>cancellation fee</w:t>
      </w:r>
      <w:r>
        <w:t xml:space="preserve">; for months 10-12, 40% of the </w:t>
      </w:r>
      <w:r>
        <w:rPr>
          <w:i/>
        </w:rPr>
        <w:t>cancellation fee</w:t>
      </w:r>
      <w:r>
        <w:t>.</w:t>
      </w:r>
    </w:p>
    <w:p w14:paraId="0A1B93A2" w14:textId="77777777" w:rsidR="000D07EA" w:rsidRDefault="00BE7C89">
      <w:pPr>
        <w:pStyle w:val="Heading6"/>
        <w:ind w:left="0" w:firstLine="0"/>
      </w:pPr>
      <w:r>
        <w:t>Technology Fund</w:t>
      </w:r>
    </w:p>
    <w:p w14:paraId="5EFB73D5" w14:textId="77777777" w:rsidR="000D07EA" w:rsidRDefault="00BE7C89">
      <w:pPr>
        <w:pStyle w:val="BodyText"/>
        <w:ind w:left="720"/>
      </w:pPr>
      <w:r>
        <w:t xml:space="preserve">The technology fund allows </w:t>
      </w:r>
      <w:r>
        <w:rPr>
          <w:i/>
        </w:rPr>
        <w:t>you</w:t>
      </w:r>
      <w:r>
        <w:t xml:space="preserve"> to purchase the latest mobile phones and accessories. The amount of the fund will be dependent on the number of phones </w:t>
      </w:r>
      <w:r>
        <w:rPr>
          <w:i/>
        </w:rPr>
        <w:t>you</w:t>
      </w:r>
      <w:r>
        <w:t xml:space="preserve"> connect to 'yes' Business Smart 50+ plans and the contract length as per the table below:</w:t>
      </w:r>
    </w:p>
    <w:tbl>
      <w:tblPr>
        <w:tblW w:w="4315"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024"/>
        <w:gridCol w:w="1354"/>
        <w:gridCol w:w="1354"/>
        <w:gridCol w:w="1354"/>
        <w:gridCol w:w="1354"/>
        <w:gridCol w:w="1352"/>
      </w:tblGrid>
      <w:tr w:rsidR="000D07EA" w14:paraId="1E44C116" w14:textId="77777777">
        <w:tc>
          <w:tcPr>
            <w:tcW w:w="1151" w:type="pct"/>
          </w:tcPr>
          <w:p w14:paraId="6F97A53E" w14:textId="77777777" w:rsidR="000D07EA" w:rsidRDefault="000D07EA">
            <w:pPr>
              <w:pStyle w:val="BodyText"/>
              <w:spacing w:before="100" w:after="100"/>
            </w:pPr>
          </w:p>
        </w:tc>
        <w:tc>
          <w:tcPr>
            <w:tcW w:w="770" w:type="pct"/>
          </w:tcPr>
          <w:p w14:paraId="27AB26D3" w14:textId="77777777" w:rsidR="000D07EA" w:rsidRDefault="00BE7C89">
            <w:pPr>
              <w:pStyle w:val="BodyText"/>
              <w:spacing w:before="100" w:after="100"/>
              <w:jc w:val="center"/>
              <w:rPr>
                <w:b/>
              </w:rPr>
            </w:pPr>
            <w:r>
              <w:rPr>
                <w:b/>
              </w:rPr>
              <w:t>'yes'</w:t>
            </w:r>
            <w:r>
              <w:rPr>
                <w:b/>
              </w:rPr>
              <w:br/>
              <w:t>Business Smart 50+</w:t>
            </w:r>
            <w:r>
              <w:rPr>
                <w:b/>
              </w:rPr>
              <w:br/>
              <w:t>20 Plan</w:t>
            </w:r>
          </w:p>
        </w:tc>
        <w:tc>
          <w:tcPr>
            <w:tcW w:w="770" w:type="pct"/>
          </w:tcPr>
          <w:p w14:paraId="6BFD2452" w14:textId="77777777" w:rsidR="000D07EA" w:rsidRDefault="00BE7C89">
            <w:pPr>
              <w:pStyle w:val="BodyText"/>
              <w:spacing w:before="100" w:after="100"/>
              <w:jc w:val="center"/>
              <w:rPr>
                <w:b/>
              </w:rPr>
            </w:pPr>
            <w:r>
              <w:rPr>
                <w:b/>
              </w:rPr>
              <w:t>'yes'</w:t>
            </w:r>
            <w:r>
              <w:rPr>
                <w:b/>
              </w:rPr>
              <w:br/>
              <w:t>Business Smart 50+</w:t>
            </w:r>
            <w:r>
              <w:rPr>
                <w:b/>
              </w:rPr>
              <w:br/>
              <w:t>30 Plan</w:t>
            </w:r>
          </w:p>
        </w:tc>
        <w:tc>
          <w:tcPr>
            <w:tcW w:w="770" w:type="pct"/>
          </w:tcPr>
          <w:p w14:paraId="69675C6A" w14:textId="77777777" w:rsidR="000D07EA" w:rsidRDefault="00BE7C89">
            <w:pPr>
              <w:pStyle w:val="BodyText"/>
              <w:spacing w:before="100" w:after="100"/>
              <w:jc w:val="center"/>
              <w:rPr>
                <w:b/>
              </w:rPr>
            </w:pPr>
            <w:r>
              <w:rPr>
                <w:b/>
              </w:rPr>
              <w:t>'yes'</w:t>
            </w:r>
            <w:r>
              <w:rPr>
                <w:b/>
              </w:rPr>
              <w:br/>
              <w:t>Business Smart 50+</w:t>
            </w:r>
            <w:r>
              <w:rPr>
                <w:b/>
              </w:rPr>
              <w:br/>
              <w:t>50 Plan</w:t>
            </w:r>
          </w:p>
        </w:tc>
        <w:tc>
          <w:tcPr>
            <w:tcW w:w="770" w:type="pct"/>
          </w:tcPr>
          <w:p w14:paraId="3D514DD0" w14:textId="77777777" w:rsidR="000D07EA" w:rsidRDefault="00BE7C89">
            <w:pPr>
              <w:pStyle w:val="BodyText"/>
              <w:spacing w:before="100" w:after="100"/>
              <w:jc w:val="center"/>
              <w:rPr>
                <w:b/>
              </w:rPr>
            </w:pPr>
            <w:r>
              <w:rPr>
                <w:b/>
              </w:rPr>
              <w:t>'yes'</w:t>
            </w:r>
            <w:r>
              <w:rPr>
                <w:b/>
              </w:rPr>
              <w:br/>
              <w:t>Business Smart 50+</w:t>
            </w:r>
            <w:r>
              <w:rPr>
                <w:b/>
              </w:rPr>
              <w:br/>
              <w:t>70 Plan</w:t>
            </w:r>
          </w:p>
        </w:tc>
        <w:tc>
          <w:tcPr>
            <w:tcW w:w="769" w:type="pct"/>
          </w:tcPr>
          <w:p w14:paraId="7322EF57" w14:textId="77777777" w:rsidR="000D07EA" w:rsidRDefault="00BE7C89">
            <w:pPr>
              <w:pStyle w:val="BodyText"/>
              <w:spacing w:before="100" w:after="100"/>
              <w:jc w:val="center"/>
              <w:rPr>
                <w:b/>
              </w:rPr>
            </w:pPr>
            <w:r>
              <w:rPr>
                <w:b/>
              </w:rPr>
              <w:t>'yes'</w:t>
            </w:r>
            <w:r>
              <w:rPr>
                <w:b/>
              </w:rPr>
              <w:br/>
              <w:t>Business Smart 50+</w:t>
            </w:r>
            <w:r>
              <w:rPr>
                <w:b/>
              </w:rPr>
              <w:br/>
              <w:t>100 Plan</w:t>
            </w:r>
          </w:p>
        </w:tc>
      </w:tr>
      <w:tr w:rsidR="000D07EA" w14:paraId="22A6FDFF" w14:textId="77777777">
        <w:tc>
          <w:tcPr>
            <w:tcW w:w="1151" w:type="pct"/>
          </w:tcPr>
          <w:p w14:paraId="4EB032CC" w14:textId="77777777" w:rsidR="000D07EA" w:rsidRDefault="00BE7C89">
            <w:pPr>
              <w:pStyle w:val="BodyText"/>
              <w:spacing w:before="100" w:after="100"/>
              <w:jc w:val="center"/>
              <w:rPr>
                <w:b/>
              </w:rPr>
            </w:pPr>
            <w:r>
              <w:rPr>
                <w:b/>
                <w:bCs/>
                <w:color w:val="000000"/>
              </w:rPr>
              <w:t>24 month Technology Fund</w:t>
            </w:r>
          </w:p>
        </w:tc>
        <w:tc>
          <w:tcPr>
            <w:tcW w:w="770" w:type="pct"/>
          </w:tcPr>
          <w:p w14:paraId="589992BA" w14:textId="77777777" w:rsidR="000D07EA" w:rsidRDefault="00BE7C89">
            <w:pPr>
              <w:pStyle w:val="BodyText"/>
              <w:spacing w:before="100" w:after="100"/>
              <w:jc w:val="center"/>
            </w:pPr>
            <w:r>
              <w:rPr>
                <w:color w:val="000000"/>
              </w:rPr>
              <w:t>$109.09</w:t>
            </w:r>
            <w:r>
              <w:rPr>
                <w:color w:val="000000"/>
              </w:rPr>
              <w:br/>
              <w:t>($120)</w:t>
            </w:r>
          </w:p>
        </w:tc>
        <w:tc>
          <w:tcPr>
            <w:tcW w:w="770" w:type="pct"/>
          </w:tcPr>
          <w:p w14:paraId="169EC283" w14:textId="77777777" w:rsidR="000D07EA" w:rsidRDefault="00BE7C89">
            <w:pPr>
              <w:pStyle w:val="BodyText"/>
              <w:spacing w:before="100" w:after="100"/>
              <w:jc w:val="center"/>
            </w:pPr>
            <w:r>
              <w:t>$145.45</w:t>
            </w:r>
            <w:r>
              <w:br/>
              <w:t>($160)</w:t>
            </w:r>
          </w:p>
        </w:tc>
        <w:tc>
          <w:tcPr>
            <w:tcW w:w="770" w:type="pct"/>
          </w:tcPr>
          <w:p w14:paraId="6398E65E" w14:textId="77777777" w:rsidR="000D07EA" w:rsidRDefault="00BE7C89">
            <w:pPr>
              <w:pStyle w:val="BodyText"/>
              <w:spacing w:before="100" w:after="100"/>
              <w:jc w:val="center"/>
            </w:pPr>
            <w:r>
              <w:t>$263.63</w:t>
            </w:r>
            <w:r>
              <w:br/>
              <w:t>($290)</w:t>
            </w:r>
          </w:p>
        </w:tc>
        <w:tc>
          <w:tcPr>
            <w:tcW w:w="770" w:type="pct"/>
          </w:tcPr>
          <w:p w14:paraId="7BCA88A0" w14:textId="77777777" w:rsidR="000D07EA" w:rsidRDefault="00BE7C89">
            <w:pPr>
              <w:pStyle w:val="BodyText"/>
              <w:spacing w:before="100" w:after="100"/>
              <w:jc w:val="center"/>
            </w:pPr>
            <w:r>
              <w:rPr>
                <w:color w:val="000000"/>
              </w:rPr>
              <w:t>$377.27</w:t>
            </w:r>
            <w:r>
              <w:rPr>
                <w:color w:val="000000"/>
              </w:rPr>
              <w:br/>
              <w:t>($415)</w:t>
            </w:r>
          </w:p>
        </w:tc>
        <w:tc>
          <w:tcPr>
            <w:tcW w:w="769" w:type="pct"/>
          </w:tcPr>
          <w:p w14:paraId="23E85238" w14:textId="77777777" w:rsidR="000D07EA" w:rsidRDefault="00BE7C89">
            <w:pPr>
              <w:pStyle w:val="BodyText"/>
              <w:spacing w:before="100" w:after="100"/>
              <w:jc w:val="center"/>
            </w:pPr>
            <w:r>
              <w:rPr>
                <w:color w:val="000000"/>
              </w:rPr>
              <w:t>$468.18</w:t>
            </w:r>
            <w:r>
              <w:rPr>
                <w:color w:val="000000"/>
              </w:rPr>
              <w:br/>
              <w:t>($515)</w:t>
            </w:r>
          </w:p>
        </w:tc>
      </w:tr>
      <w:tr w:rsidR="000D07EA" w14:paraId="01F75418" w14:textId="77777777">
        <w:tc>
          <w:tcPr>
            <w:tcW w:w="1151" w:type="pct"/>
          </w:tcPr>
          <w:p w14:paraId="7B6AD655" w14:textId="77777777" w:rsidR="000D07EA" w:rsidRDefault="00BE7C89">
            <w:pPr>
              <w:pStyle w:val="BodyText"/>
              <w:spacing w:before="100" w:after="100"/>
              <w:jc w:val="center"/>
              <w:rPr>
                <w:b/>
              </w:rPr>
            </w:pPr>
            <w:r>
              <w:rPr>
                <w:b/>
                <w:bCs/>
                <w:color w:val="000000"/>
              </w:rPr>
              <w:t>12 month Technology Fund</w:t>
            </w:r>
          </w:p>
        </w:tc>
        <w:tc>
          <w:tcPr>
            <w:tcW w:w="770" w:type="pct"/>
          </w:tcPr>
          <w:p w14:paraId="4CAD6BA5" w14:textId="77777777" w:rsidR="000D07EA" w:rsidRDefault="00BE7C89">
            <w:pPr>
              <w:pStyle w:val="BodyText"/>
              <w:spacing w:before="100" w:after="100"/>
              <w:jc w:val="center"/>
            </w:pPr>
            <w:r>
              <w:rPr>
                <w:color w:val="000000"/>
              </w:rPr>
              <w:t>$58.18</w:t>
            </w:r>
            <w:r>
              <w:rPr>
                <w:color w:val="000000"/>
              </w:rPr>
              <w:br/>
              <w:t>($64)</w:t>
            </w:r>
          </w:p>
        </w:tc>
        <w:tc>
          <w:tcPr>
            <w:tcW w:w="770" w:type="pct"/>
          </w:tcPr>
          <w:p w14:paraId="34078105" w14:textId="77777777" w:rsidR="000D07EA" w:rsidRDefault="00BE7C89">
            <w:pPr>
              <w:pStyle w:val="BodyText"/>
              <w:spacing w:before="100" w:after="100"/>
              <w:jc w:val="center"/>
            </w:pPr>
            <w:r>
              <w:rPr>
                <w:color w:val="000000"/>
              </w:rPr>
              <w:t>$76.36</w:t>
            </w:r>
            <w:r>
              <w:rPr>
                <w:color w:val="000000"/>
              </w:rPr>
              <w:br/>
              <w:t>($84)</w:t>
            </w:r>
          </w:p>
        </w:tc>
        <w:tc>
          <w:tcPr>
            <w:tcW w:w="770" w:type="pct"/>
          </w:tcPr>
          <w:p w14:paraId="1EED5BC2" w14:textId="77777777" w:rsidR="000D07EA" w:rsidRDefault="00BE7C89">
            <w:pPr>
              <w:pStyle w:val="BodyText"/>
              <w:spacing w:before="100" w:after="100"/>
              <w:jc w:val="center"/>
            </w:pPr>
            <w:r>
              <w:rPr>
                <w:color w:val="000000"/>
              </w:rPr>
              <w:t>$134.54</w:t>
            </w:r>
            <w:r>
              <w:rPr>
                <w:color w:val="000000"/>
              </w:rPr>
              <w:br/>
              <w:t>($148)</w:t>
            </w:r>
          </w:p>
        </w:tc>
        <w:tc>
          <w:tcPr>
            <w:tcW w:w="770" w:type="pct"/>
          </w:tcPr>
          <w:p w14:paraId="12E5EB22" w14:textId="77777777" w:rsidR="000D07EA" w:rsidRDefault="00BE7C89">
            <w:pPr>
              <w:pStyle w:val="BodyText"/>
              <w:spacing w:before="100" w:after="100"/>
              <w:jc w:val="center"/>
            </w:pPr>
            <w:r>
              <w:rPr>
                <w:color w:val="000000"/>
              </w:rPr>
              <w:t>$167.27</w:t>
            </w:r>
            <w:r>
              <w:rPr>
                <w:color w:val="000000"/>
              </w:rPr>
              <w:br/>
              <w:t>($184)</w:t>
            </w:r>
          </w:p>
        </w:tc>
        <w:tc>
          <w:tcPr>
            <w:tcW w:w="769" w:type="pct"/>
          </w:tcPr>
          <w:p w14:paraId="197A4009" w14:textId="77777777" w:rsidR="000D07EA" w:rsidRDefault="00BE7C89">
            <w:pPr>
              <w:pStyle w:val="BodyText"/>
              <w:spacing w:before="100" w:after="100"/>
              <w:jc w:val="center"/>
            </w:pPr>
            <w:r>
              <w:rPr>
                <w:color w:val="000000"/>
              </w:rPr>
              <w:t>$207.27</w:t>
            </w:r>
            <w:r>
              <w:rPr>
                <w:color w:val="000000"/>
              </w:rPr>
              <w:br/>
              <w:t>($228)</w:t>
            </w:r>
          </w:p>
        </w:tc>
      </w:tr>
    </w:tbl>
    <w:p w14:paraId="0861C063" w14:textId="77777777" w:rsidR="000D07EA" w:rsidRDefault="00BE7C89">
      <w:pPr>
        <w:pStyle w:val="Heading4"/>
        <w:spacing w:before="240"/>
        <w:ind w:left="720" w:hanging="720"/>
      </w:pPr>
      <w:bookmarkStart w:id="206" w:name="_Toc62644619"/>
      <w:r>
        <w:t>'yes' Business Smart Cap Plans (49, 79, 99, 149, 199)</w:t>
      </w:r>
      <w:bookmarkEnd w:id="206"/>
    </w:p>
    <w:p w14:paraId="291E5B21" w14:textId="77777777" w:rsidR="000D07EA" w:rsidRDefault="00BE7C89">
      <w:pPr>
        <w:pStyle w:val="Heading6"/>
        <w:ind w:left="0" w:firstLine="0"/>
      </w:pPr>
      <w:r>
        <w:t>Eligibility</w:t>
      </w:r>
    </w:p>
    <w:p w14:paraId="0C9ABE33" w14:textId="77777777" w:rsidR="000D07EA" w:rsidRDefault="00BE7C89">
      <w:pPr>
        <w:pStyle w:val="Heading7"/>
      </w:pPr>
      <w:r>
        <w:t xml:space="preserve">The 'yes' Business Smart Cap </w:t>
      </w:r>
      <w:r>
        <w:rPr>
          <w:i/>
        </w:rPr>
        <w:t>pricing plans</w:t>
      </w:r>
      <w:r>
        <w:t xml:space="preserve"> are available under special offers to customers </w:t>
      </w:r>
      <w:r>
        <w:rPr>
          <w:i/>
        </w:rPr>
        <w:t>we</w:t>
      </w:r>
      <w:r>
        <w:t xml:space="preserve"> classify as </w:t>
      </w:r>
      <w:r>
        <w:rPr>
          <w:i/>
        </w:rPr>
        <w:t>small or medium business</w:t>
      </w:r>
      <w:r>
        <w:t xml:space="preserve"> customers. </w:t>
      </w:r>
    </w:p>
    <w:p w14:paraId="277F5E1E" w14:textId="77777777" w:rsidR="000D07EA" w:rsidRDefault="00BE7C89">
      <w:pPr>
        <w:pStyle w:val="Heading7"/>
      </w:pPr>
      <w:r>
        <w:t xml:space="preserve">Customers ordering a </w:t>
      </w:r>
      <w:r>
        <w:rPr>
          <w:i/>
        </w:rPr>
        <w:t>mobile phone</w:t>
      </w:r>
      <w:r>
        <w:t xml:space="preserve"> with an </w:t>
      </w:r>
      <w:r>
        <w:rPr>
          <w:i/>
        </w:rPr>
        <w:t>Optus SIM card</w:t>
      </w:r>
      <w:r>
        <w:t xml:space="preserve"> on the 'yes' Business Smart Cap </w:t>
      </w:r>
      <w:r>
        <w:rPr>
          <w:i/>
        </w:rPr>
        <w:t>pricing plan</w:t>
      </w:r>
      <w:r>
        <w:t xml:space="preserve"> must be connected to that </w:t>
      </w:r>
      <w:r>
        <w:rPr>
          <w:i/>
        </w:rPr>
        <w:t>pricing plan</w:t>
      </w:r>
      <w:r>
        <w:t xml:space="preserve"> and activated within 14 days after delivery.</w:t>
      </w:r>
    </w:p>
    <w:p w14:paraId="5C4A6DD7" w14:textId="77777777" w:rsidR="000D07EA" w:rsidRDefault="00BE7C89">
      <w:pPr>
        <w:pStyle w:val="Heading6"/>
        <w:ind w:left="0" w:firstLine="0"/>
      </w:pPr>
      <w:r>
        <w:t xml:space="preserve">Is it a </w:t>
      </w:r>
      <w:r>
        <w:rPr>
          <w:i/>
        </w:rPr>
        <w:t>fixed length agreement</w:t>
      </w:r>
      <w:r>
        <w:t>?</w:t>
      </w:r>
    </w:p>
    <w:p w14:paraId="2E64B77F" w14:textId="77777777" w:rsidR="000D07EA" w:rsidRDefault="00BE7C89">
      <w:pPr>
        <w:pStyle w:val="Heading7"/>
      </w:pPr>
      <w:r>
        <w:t xml:space="preserve">To connect to the 'yes' Business Smart Cap </w:t>
      </w:r>
      <w:r>
        <w:rPr>
          <w:i/>
        </w:rPr>
        <w:t>pricing plans you</w:t>
      </w:r>
      <w:r>
        <w:t xml:space="preserve"> must agree to enter into a </w:t>
      </w:r>
      <w:r>
        <w:rPr>
          <w:i/>
        </w:rPr>
        <w:t>fixed length agreement</w:t>
      </w:r>
      <w:r>
        <w:t xml:space="preserve"> for a </w:t>
      </w:r>
      <w:r>
        <w:rPr>
          <w:i/>
        </w:rPr>
        <w:t>minimum term</w:t>
      </w:r>
      <w:r>
        <w:t xml:space="preserve"> as specified below, up to 5 years, or such other term as </w:t>
      </w:r>
      <w:r>
        <w:rPr>
          <w:i/>
        </w:rPr>
        <w:t>you</w:t>
      </w:r>
      <w:r>
        <w:t xml:space="preserve"> and </w:t>
      </w:r>
      <w:r>
        <w:rPr>
          <w:i/>
        </w:rPr>
        <w:t>we</w:t>
      </w:r>
      <w:r>
        <w:t xml:space="preserve"> agree (</w:t>
      </w:r>
      <w:r>
        <w:rPr>
          <w:i/>
        </w:rPr>
        <w:t>minimum term</w:t>
      </w:r>
      <w:r>
        <w:t>).</w:t>
      </w:r>
    </w:p>
    <w:p w14:paraId="68E051F6" w14:textId="77777777" w:rsidR="000D07EA" w:rsidRDefault="00BE7C89">
      <w:pPr>
        <w:pStyle w:val="Heading6"/>
        <w:ind w:left="0" w:firstLine="0"/>
      </w:pPr>
      <w:r>
        <w:t xml:space="preserve">What </w:t>
      </w:r>
      <w:r>
        <w:rPr>
          <w:i/>
        </w:rPr>
        <w:t>you</w:t>
      </w:r>
      <w:r>
        <w:t xml:space="preserve"> have to pay </w:t>
      </w:r>
      <w:r>
        <w:rPr>
          <w:i/>
        </w:rPr>
        <w:t>us</w:t>
      </w:r>
    </w:p>
    <w:p w14:paraId="00B52782" w14:textId="77777777" w:rsidR="000D07EA" w:rsidRDefault="00BE7C89">
      <w:pPr>
        <w:pStyle w:val="Heading7"/>
      </w:pPr>
      <w:r>
        <w:t xml:space="preserve">If </w:t>
      </w:r>
      <w:r>
        <w:rPr>
          <w:i/>
        </w:rPr>
        <w:t>you</w:t>
      </w:r>
      <w:r>
        <w:t xml:space="preserve"> connect to these </w:t>
      </w:r>
      <w:r>
        <w:rPr>
          <w:i/>
        </w:rPr>
        <w:t>pricing plans you</w:t>
      </w:r>
      <w:r>
        <w:t xml:space="preserve"> are also required to incur usage charges each month (</w:t>
      </w:r>
      <w:r>
        <w:rPr>
          <w:i/>
        </w:rPr>
        <w:t>Optus SIM cards</w:t>
      </w:r>
      <w:r>
        <w:t xml:space="preserve"> which do not incur usage are not permitted). </w:t>
      </w:r>
    </w:p>
    <w:p w14:paraId="40B9513C" w14:textId="77777777" w:rsidR="000D07EA" w:rsidRDefault="00BE7C89">
      <w:pPr>
        <w:pStyle w:val="Heading7"/>
      </w:pPr>
      <w:r>
        <w:t>If activation or usage does not occur,</w:t>
      </w:r>
      <w:r>
        <w:rPr>
          <w:i/>
        </w:rPr>
        <w:t xml:space="preserve"> we</w:t>
      </w:r>
      <w:r>
        <w:t xml:space="preserve"> may </w:t>
      </w:r>
      <w:r>
        <w:rPr>
          <w:i/>
        </w:rPr>
        <w:t>cancel</w:t>
      </w:r>
      <w:r>
        <w:t xml:space="preserve"> the </w:t>
      </w:r>
      <w:r>
        <w:rPr>
          <w:i/>
        </w:rPr>
        <w:t>agreement</w:t>
      </w:r>
      <w:r>
        <w:t xml:space="preserve"> and </w:t>
      </w:r>
      <w:r>
        <w:rPr>
          <w:i/>
        </w:rPr>
        <w:t>you</w:t>
      </w:r>
      <w:r>
        <w:t xml:space="preserve"> will be required to pay</w:t>
      </w:r>
      <w:r>
        <w:rPr>
          <w:i/>
        </w:rPr>
        <w:t xml:space="preserve"> us</w:t>
      </w:r>
      <w:r>
        <w:t xml:space="preserve"> the relevant </w:t>
      </w:r>
      <w:r>
        <w:rPr>
          <w:i/>
        </w:rPr>
        <w:t>cancellation fee</w:t>
      </w:r>
      <w:r>
        <w:t xml:space="preserve">, if applicable, specified in the table in </w:t>
      </w:r>
      <w:r w:rsidRPr="00272628">
        <w:t xml:space="preserve">paragraph </w:t>
      </w:r>
      <w:r w:rsidR="00EE7426" w:rsidRPr="00272628">
        <w:t>78</w:t>
      </w:r>
      <w:r w:rsidRPr="00272628">
        <w:t>.5 below.</w:t>
      </w:r>
    </w:p>
    <w:p w14:paraId="206E4EAE" w14:textId="77777777" w:rsidR="000D07EA" w:rsidRDefault="00BE7C89">
      <w:pPr>
        <w:pStyle w:val="Heading6"/>
        <w:ind w:left="0" w:firstLine="0"/>
      </w:pPr>
      <w:r>
        <w:lastRenderedPageBreak/>
        <w:t>Pricing</w:t>
      </w:r>
    </w:p>
    <w:p w14:paraId="42CD2D05" w14:textId="77777777" w:rsidR="000D07EA" w:rsidRDefault="00BE7C89">
      <w:pPr>
        <w:pStyle w:val="Heading7"/>
      </w:pPr>
      <w:r>
        <w:t xml:space="preserve">The 'yes' Business Smart Cap </w:t>
      </w:r>
      <w:r>
        <w:rPr>
          <w:i/>
        </w:rPr>
        <w:t>pricing plans</w:t>
      </w:r>
      <w:r>
        <w:t xml:space="preserve"> include </w:t>
      </w:r>
      <w:r>
        <w:rPr>
          <w:i/>
        </w:rPr>
        <w:t>flagfall</w:t>
      </w:r>
      <w:r>
        <w:t xml:space="preserve"> per call as specified in the table below, for </w:t>
      </w:r>
      <w:r>
        <w:rPr>
          <w:i/>
        </w:rPr>
        <w:t>local calls</w:t>
      </w:r>
      <w:r>
        <w:t xml:space="preserve"> and </w:t>
      </w:r>
      <w:r>
        <w:rPr>
          <w:i/>
        </w:rPr>
        <w:t>national long distance calls</w:t>
      </w:r>
      <w:r>
        <w:t xml:space="preserve"> and</w:t>
      </w:r>
      <w:r>
        <w:rPr>
          <w:i/>
        </w:rPr>
        <w:t xml:space="preserve"> </w:t>
      </w:r>
      <w:r>
        <w:t xml:space="preserve">calls to </w:t>
      </w:r>
      <w:r>
        <w:rPr>
          <w:i/>
        </w:rPr>
        <w:t>mobile phone</w:t>
      </w:r>
      <w:r>
        <w:t xml:space="preserve">s. So the charge for these calls is the </w:t>
      </w:r>
      <w:r>
        <w:rPr>
          <w:i/>
        </w:rPr>
        <w:t>flagfall</w:t>
      </w:r>
      <w:r>
        <w:t xml:space="preserve"> plus the relevant rate multiplied by the duration of the call. The </w:t>
      </w:r>
      <w:r>
        <w:rPr>
          <w:i/>
        </w:rPr>
        <w:t>flagfall</w:t>
      </w:r>
      <w:r>
        <w:t xml:space="preserve"> is not applicable to calls made under the "SmartFleet" or "Business Time" call rates.</w:t>
      </w:r>
    </w:p>
    <w:p w14:paraId="5445016A" w14:textId="77777777" w:rsidR="000D07EA" w:rsidRDefault="00BE7C89">
      <w:pPr>
        <w:pStyle w:val="Heading7"/>
      </w:pPr>
      <w:r>
        <w:t xml:space="preserve">'yes' Business Smart Cap (YBSC) </w:t>
      </w:r>
      <w:r>
        <w:rPr>
          <w:i/>
        </w:rPr>
        <w:t>pricing plans</w:t>
      </w:r>
      <w:r>
        <w:t xml:space="preserve"> include: </w:t>
      </w:r>
    </w:p>
    <w:p w14:paraId="76542F39" w14:textId="77777777" w:rsidR="000D07EA" w:rsidRDefault="00BE7C89">
      <w:pPr>
        <w:pStyle w:val="Heading8"/>
      </w:pPr>
      <w:r>
        <w:t>Unlimited Voicemail - voicemail deposits and retrievals at no charge. Fair Go Policy (</w:t>
      </w:r>
      <w:hyperlink r:id="rId105" w:history="1">
        <w:r>
          <w:rPr>
            <w:rStyle w:val="Hyperlink"/>
            <w:i/>
          </w:rPr>
          <w:t>Appendix S</w:t>
        </w:r>
      </w:hyperlink>
      <w:r>
        <w:t>) applies.</w:t>
      </w:r>
    </w:p>
    <w:p w14:paraId="16A4973E" w14:textId="77777777" w:rsidR="000D07EA" w:rsidRDefault="00BE7C89">
      <w:pPr>
        <w:pStyle w:val="Heading8"/>
      </w:pPr>
      <w:r>
        <w:t>A choice between 2 offers called "SmartFleet" or "BusinessTime". Customers must choose an offer or no offer will be added:</w:t>
      </w:r>
    </w:p>
    <w:p w14:paraId="434AF0FA" w14:textId="77777777" w:rsidR="000D07EA" w:rsidRDefault="00BE7C89">
      <w:pPr>
        <w:pStyle w:val="Heading9"/>
      </w:pPr>
      <w:r>
        <w:t xml:space="preserve">The "SmartFleet" call rate applies to calls to another YBSC, 'yes' Business Smart (YBS), 'yes' Business Fleet (BF) or inBusiness Edge (inBE) </w:t>
      </w:r>
      <w:r>
        <w:rPr>
          <w:i/>
        </w:rPr>
        <w:t>service</w:t>
      </w:r>
      <w:r>
        <w:t xml:space="preserve"> on the same customer account number. Calls are charged at $0. No </w:t>
      </w:r>
      <w:r>
        <w:rPr>
          <w:i/>
        </w:rPr>
        <w:t>flagfall</w:t>
      </w:r>
      <w:r>
        <w:t xml:space="preserve"> applies. Excludes calls to Optus Pre-Paid, Satellite and service provider customers. Applies to calls made and received in Australia. "SmartFleet" Promotion available until 31/07/07 unless withdrawn earlier. </w:t>
      </w:r>
      <w:r w:rsidR="002B7E56">
        <w:t xml:space="preserve">The </w:t>
      </w:r>
      <w:r>
        <w:t xml:space="preserve">Fair Go Policy applies (see </w:t>
      </w:r>
      <w:r>
        <w:rPr>
          <w:i/>
        </w:rPr>
        <w:t xml:space="preserve">Appendix </w:t>
      </w:r>
      <w:r w:rsidR="002B7E56">
        <w:rPr>
          <w:i/>
        </w:rPr>
        <w:t>S</w:t>
      </w:r>
      <w:r>
        <w:t xml:space="preserve">). Note: Standard call exclusions (see </w:t>
      </w:r>
      <w:hyperlink r:id="rId106" w:history="1">
        <w:r>
          <w:rPr>
            <w:bCs/>
          </w:rPr>
          <w:t>section 1</w:t>
        </w:r>
      </w:hyperlink>
      <w:r>
        <w:t xml:space="preserve"> of this </w:t>
      </w:r>
      <w:r>
        <w:rPr>
          <w:i/>
        </w:rPr>
        <w:t>standard pricing table</w:t>
      </w:r>
      <w:r>
        <w:t>) apply to the "SmartFleet" call rates.</w:t>
      </w:r>
    </w:p>
    <w:p w14:paraId="2D0B7D4A" w14:textId="77777777" w:rsidR="000D07EA" w:rsidRDefault="00BE7C89">
      <w:pPr>
        <w:pStyle w:val="Heading9"/>
      </w:pPr>
      <w:r>
        <w:t xml:space="preserve">Upon request, customers may set up a BusinessTime (BT) offer. Only three BT services per YBSC mobile service are permitted. If you combine your YBSC service with a currently available Optus Business Phone and / or DSL </w:t>
      </w:r>
      <w:r>
        <w:rPr>
          <w:i/>
        </w:rPr>
        <w:t>you</w:t>
      </w:r>
      <w:r>
        <w:t xml:space="preserve"> can nominate 5 numbers. The numbers can be eligible Optus GSM mobile(s) and / or standard fixed line(s), as defined by Optus and cannot be a 13, 1300, 1800 or 1900 number. Calls must be made and received in Australia. For the first 5 minutes of a BT call, eligible Optus </w:t>
      </w:r>
      <w:r>
        <w:rPr>
          <w:i/>
        </w:rPr>
        <w:t>mobile phones</w:t>
      </w:r>
      <w:r>
        <w:t xml:space="preserve"> on </w:t>
      </w:r>
      <w:r>
        <w:rPr>
          <w:i/>
        </w:rPr>
        <w:t>your</w:t>
      </w:r>
      <w:r>
        <w:t xml:space="preserve"> account are charged $0. After the first 5 minutes the standard call rate that corresponds with your selected YBSC rate plan will apply. Please allow up to 48 hours for the activation of </w:t>
      </w:r>
      <w:r>
        <w:rPr>
          <w:i/>
        </w:rPr>
        <w:t>your</w:t>
      </w:r>
      <w:r>
        <w:t xml:space="preserve"> BT service. BT Promotion available until 31/12/07 unless withdrawn earlier. </w:t>
      </w:r>
      <w:r w:rsidR="002B7E56">
        <w:t xml:space="preserve">The </w:t>
      </w:r>
      <w:r>
        <w:t xml:space="preserve">Fair Go Policy applies. </w:t>
      </w:r>
    </w:p>
    <w:p w14:paraId="2CD24AE3" w14:textId="77777777" w:rsidR="000D07EA" w:rsidRDefault="00BE7C89">
      <w:pPr>
        <w:pStyle w:val="Heading7"/>
      </w:pPr>
      <w:r>
        <w:rPr>
          <w:b/>
        </w:rPr>
        <w:t>International Calls:</w:t>
      </w:r>
      <w:r>
        <w:t xml:space="preserve"> For the period prior to 6 June 2010, international calls from </w:t>
      </w:r>
      <w:r>
        <w:rPr>
          <w:i/>
        </w:rPr>
        <w:t>your</w:t>
      </w:r>
      <w:r>
        <w:t xml:space="preserve"> YBSC mobile will be charged at the 'Yes International Rate" and will be charged at per 30 second rates. Flagfall of 27c applies per call. Excludes video calls. </w:t>
      </w:r>
    </w:p>
    <w:p w14:paraId="1A8FB97D" w14:textId="77777777" w:rsidR="000D07EA" w:rsidRDefault="00BE7C89">
      <w:pPr>
        <w:pStyle w:val="BodyText"/>
        <w:ind w:left="1440"/>
      </w:pPr>
      <w:r>
        <w:t xml:space="preserve">From 6 June 2010 (inclusive), international calls from </w:t>
      </w:r>
      <w:r>
        <w:rPr>
          <w:i/>
        </w:rPr>
        <w:t>your</w:t>
      </w:r>
      <w:r>
        <w:t xml:space="preserve"> YBSC mobile will be charged at the 'yes' Business International rate and will be charged at per 30 second rates. Flagfall of 35c applies per call. For more information on the 'yes' Business International call rates please refer to </w:t>
      </w:r>
      <w:hyperlink r:id="rId107" w:history="1">
        <w:r>
          <w:rPr>
            <w:rStyle w:val="Hyperlink"/>
            <w:i/>
          </w:rPr>
          <w:t>Appendix J</w:t>
        </w:r>
      </w:hyperlink>
      <w:r>
        <w:t>.</w:t>
      </w:r>
    </w:p>
    <w:p w14:paraId="16CBADC7" w14:textId="77777777" w:rsidR="000D07EA" w:rsidRDefault="00BE7C89">
      <w:pPr>
        <w:pStyle w:val="Heading7"/>
      </w:pPr>
      <w:r>
        <w:rPr>
          <w:b/>
        </w:rPr>
        <w:t>Bolt Ons:</w:t>
      </w:r>
      <w:r>
        <w:t xml:space="preserve"> Upon request, </w:t>
      </w:r>
      <w:r>
        <w:rPr>
          <w:i/>
        </w:rPr>
        <w:t>you</w:t>
      </w:r>
      <w:r>
        <w:t xml:space="preserve"> may select Bolt Ons for an additional $5 per pack, per month per service. </w:t>
      </w:r>
    </w:p>
    <w:p w14:paraId="1ED67C11" w14:textId="77777777" w:rsidR="000D07EA" w:rsidRDefault="00BE7C89">
      <w:pPr>
        <w:pStyle w:val="Heading8"/>
      </w:pPr>
      <w:r>
        <w:rPr>
          <w:b/>
        </w:rPr>
        <w:t>SurePage Bolt On:</w:t>
      </w:r>
      <w:r>
        <w:t xml:space="preserve"> Pay $5 extra per month to receive 20 SurePage messages. Each additional message costs 50c. </w:t>
      </w:r>
    </w:p>
    <w:p w14:paraId="25626AAC" w14:textId="77777777" w:rsidR="000D07EA" w:rsidRDefault="00BE7C89">
      <w:pPr>
        <w:pStyle w:val="Heading8"/>
      </w:pPr>
      <w:r>
        <w:rPr>
          <w:b/>
        </w:rPr>
        <w:t>International:</w:t>
      </w:r>
      <w:r>
        <w:t xml:space="preserve"> Pay $5 extra per month for $3 for 10 minute calls to the top 8 countries of NZ, USA, UK, Canada, Hong Kong, Singapore, Ireland and Italy. Flagfall of 27c applies (prior to 6 June 2010) or flagfall of 35c applies (on and from 6 June 2010). Calls going over 10 minutes will be charged the $3.00 plus:</w:t>
      </w:r>
    </w:p>
    <w:p w14:paraId="4BA321CC" w14:textId="77777777" w:rsidR="000D07EA" w:rsidRDefault="00BE7C89">
      <w:pPr>
        <w:pStyle w:val="Heading9"/>
      </w:pPr>
      <w:r>
        <w:t xml:space="preserve">For the period prior to 6 June 2010, any subsequent 30 seconds at the 'yes' international rates. </w:t>
      </w:r>
    </w:p>
    <w:p w14:paraId="4C547CBB" w14:textId="77777777" w:rsidR="000D07EA" w:rsidRDefault="00BE7C89">
      <w:pPr>
        <w:pStyle w:val="Heading9"/>
      </w:pPr>
      <w:r>
        <w:t>From 6 June 2010 (inclusive), any subsequent 30 seconds at the 'yes' Business International rates.</w:t>
      </w:r>
    </w:p>
    <w:p w14:paraId="6041E1CE" w14:textId="77777777" w:rsidR="000D07EA" w:rsidRDefault="00BE7C89">
      <w:pPr>
        <w:pStyle w:val="BodyText"/>
        <w:ind w:left="2160"/>
      </w:pPr>
      <w:r>
        <w:lastRenderedPageBreak/>
        <w:t xml:space="preserve">For more information on the 'yes' Business International call rates please refer to </w:t>
      </w:r>
      <w:hyperlink r:id="rId108" w:history="1">
        <w:r>
          <w:rPr>
            <w:rStyle w:val="Hyperlink"/>
            <w:i/>
          </w:rPr>
          <w:t>Appendix J</w:t>
        </w:r>
      </w:hyperlink>
      <w:r>
        <w:t>.</w:t>
      </w:r>
    </w:p>
    <w:p w14:paraId="5A808DCD" w14:textId="77777777" w:rsidR="000D07EA" w:rsidRDefault="00BE7C89">
      <w:pPr>
        <w:pStyle w:val="Heading7"/>
      </w:pPr>
      <w:r>
        <w:rPr>
          <w:b/>
        </w:rPr>
        <w:t>Mobile Data Plans:</w:t>
      </w:r>
      <w:r>
        <w:t xml:space="preserve"> Pay as </w:t>
      </w:r>
      <w:r>
        <w:rPr>
          <w:i/>
        </w:rPr>
        <w:t>you</w:t>
      </w:r>
      <w:r>
        <w:t xml:space="preserve"> go each month at 1.5c per KB capped at $5 for up to 5MB. If </w:t>
      </w:r>
      <w:r>
        <w:rPr>
          <w:i/>
        </w:rPr>
        <w:t>you</w:t>
      </w:r>
      <w:r>
        <w:t xml:space="preserve"> go over 5MB, charges start again at 0.3¢/Kb. Upon request, </w:t>
      </w:r>
      <w:r>
        <w:rPr>
          <w:i/>
        </w:rPr>
        <w:t>you</w:t>
      </w:r>
      <w:r>
        <w:t xml:space="preserve"> may select one of the 5MB, 30MB, 50MB or 75MB data plans. </w:t>
      </w:r>
      <w:r>
        <w:rPr>
          <w:i/>
        </w:rPr>
        <w:t>You</w:t>
      </w:r>
      <w:r>
        <w:t xml:space="preserve"> will be required to pay each month the minimum monthly spend for the specific data plan </w:t>
      </w:r>
      <w:r>
        <w:rPr>
          <w:i/>
        </w:rPr>
        <w:t>you</w:t>
      </w:r>
      <w:r>
        <w:t xml:space="preserve"> choose. Not available as part of the cap for the YBSC plans. </w:t>
      </w:r>
      <w:r>
        <w:rPr>
          <w:i/>
        </w:rPr>
        <w:t>You</w:t>
      </w:r>
      <w:r>
        <w:t xml:space="preserve"> are required to use a GPRS capable device. SMS Alerts, Ring Tones, Screen Logos, Picture Messages, Mobile Games, MMS Select Standard and MMS Select Premium content charges are also additional charges.</w:t>
      </w:r>
    </w:p>
    <w:p w14:paraId="10CCD5E1" w14:textId="77777777" w:rsidR="000D07EA" w:rsidRDefault="00BE7C89">
      <w:pPr>
        <w:pStyle w:val="Heading7"/>
      </w:pPr>
      <w:r>
        <w:t>Table 1A below indicates whether a particular call type is an 'eligible call' which counts towards the Minimum Monthly Charge of your selected Plan.</w:t>
      </w:r>
    </w:p>
    <w:p w14:paraId="1D35DB80" w14:textId="77777777" w:rsidR="000D07EA" w:rsidRDefault="00BE7C89">
      <w:pPr>
        <w:pStyle w:val="BodyText"/>
        <w:ind w:left="1440"/>
        <w:rPr>
          <w:b/>
        </w:rPr>
      </w:pPr>
      <w:r>
        <w:rPr>
          <w:b/>
        </w:rPr>
        <w:t>Table 1A</w:t>
      </w:r>
    </w:p>
    <w:tbl>
      <w:tblPr>
        <w:tblW w:w="4272"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5070"/>
        <w:gridCol w:w="3635"/>
      </w:tblGrid>
      <w:tr w:rsidR="000D07EA" w14:paraId="75EA1A09" w14:textId="77777777">
        <w:trPr>
          <w:tblHeader/>
        </w:trPr>
        <w:tc>
          <w:tcPr>
            <w:tcW w:w="2912" w:type="pct"/>
          </w:tcPr>
          <w:p w14:paraId="36329145" w14:textId="77777777" w:rsidR="000D07EA" w:rsidRDefault="00BE7C89">
            <w:pPr>
              <w:pStyle w:val="BodyText"/>
              <w:spacing w:before="100" w:after="100"/>
              <w:rPr>
                <w:b/>
              </w:rPr>
            </w:pPr>
            <w:r>
              <w:rPr>
                <w:b/>
              </w:rPr>
              <w:t>Call Type</w:t>
            </w:r>
          </w:p>
        </w:tc>
        <w:tc>
          <w:tcPr>
            <w:tcW w:w="2088" w:type="pct"/>
          </w:tcPr>
          <w:p w14:paraId="4CFBE0C1" w14:textId="77777777" w:rsidR="000D07EA" w:rsidRDefault="00BE7C89">
            <w:pPr>
              <w:pStyle w:val="BodyText"/>
              <w:spacing w:before="100" w:after="100"/>
              <w:rPr>
                <w:b/>
              </w:rPr>
            </w:pPr>
            <w:r>
              <w:rPr>
                <w:b/>
              </w:rPr>
              <w:t>Eligible Call</w:t>
            </w:r>
          </w:p>
        </w:tc>
      </w:tr>
      <w:tr w:rsidR="000D07EA" w14:paraId="3D1FA8FF" w14:textId="77777777">
        <w:tc>
          <w:tcPr>
            <w:tcW w:w="2912" w:type="pct"/>
          </w:tcPr>
          <w:p w14:paraId="30F5C7E0" w14:textId="77777777" w:rsidR="000D07EA" w:rsidRDefault="00BE7C89">
            <w:pPr>
              <w:pStyle w:val="BodyText"/>
              <w:spacing w:before="100" w:after="100"/>
            </w:pPr>
            <w:r>
              <w:t>National Voice Calls</w:t>
            </w:r>
          </w:p>
        </w:tc>
        <w:tc>
          <w:tcPr>
            <w:tcW w:w="2088" w:type="pct"/>
          </w:tcPr>
          <w:p w14:paraId="6001B8E9" w14:textId="77777777" w:rsidR="000D07EA" w:rsidRDefault="00BE7C89">
            <w:pPr>
              <w:pStyle w:val="BodyText"/>
              <w:spacing w:before="100" w:after="100"/>
            </w:pPr>
            <w:r>
              <w:t>Yes</w:t>
            </w:r>
          </w:p>
        </w:tc>
      </w:tr>
      <w:tr w:rsidR="000D07EA" w14:paraId="2B087BE3" w14:textId="77777777">
        <w:tc>
          <w:tcPr>
            <w:tcW w:w="2912" w:type="pct"/>
          </w:tcPr>
          <w:p w14:paraId="02A31D20" w14:textId="77777777" w:rsidR="000D07EA" w:rsidRDefault="00BE7C89">
            <w:pPr>
              <w:pStyle w:val="BodyText"/>
              <w:spacing w:before="100" w:after="100"/>
            </w:pPr>
            <w:r>
              <w:t>National Video Calls</w:t>
            </w:r>
          </w:p>
        </w:tc>
        <w:tc>
          <w:tcPr>
            <w:tcW w:w="2088" w:type="pct"/>
          </w:tcPr>
          <w:p w14:paraId="46A109F9" w14:textId="77777777" w:rsidR="000D07EA" w:rsidRDefault="00BE7C89">
            <w:pPr>
              <w:pStyle w:val="BodyText"/>
              <w:spacing w:before="100" w:after="100"/>
            </w:pPr>
            <w:r>
              <w:t>Yes</w:t>
            </w:r>
          </w:p>
        </w:tc>
      </w:tr>
      <w:tr w:rsidR="000D07EA" w14:paraId="249043FD" w14:textId="77777777">
        <w:tc>
          <w:tcPr>
            <w:tcW w:w="2912" w:type="pct"/>
          </w:tcPr>
          <w:p w14:paraId="7F85898E" w14:textId="77777777" w:rsidR="000D07EA" w:rsidRDefault="00BE7C89">
            <w:pPr>
              <w:pStyle w:val="BodyText"/>
              <w:spacing w:before="100" w:after="100"/>
            </w:pPr>
            <w:r>
              <w:t xml:space="preserve">International Voice Calls </w:t>
            </w:r>
          </w:p>
          <w:p w14:paraId="40FB0179" w14:textId="77777777" w:rsidR="000D07EA" w:rsidRDefault="00BE7C89">
            <w:pPr>
              <w:pStyle w:val="BodyText"/>
              <w:spacing w:before="100" w:after="100"/>
            </w:pPr>
            <w:r>
              <w:t>(including calls to national fixed or GSM mobile services that then divert/switch or re-route overseas)</w:t>
            </w:r>
          </w:p>
        </w:tc>
        <w:tc>
          <w:tcPr>
            <w:tcW w:w="2088" w:type="pct"/>
          </w:tcPr>
          <w:p w14:paraId="78746694" w14:textId="77777777" w:rsidR="000D07EA" w:rsidRDefault="00BE7C89">
            <w:pPr>
              <w:pStyle w:val="BodyText"/>
              <w:spacing w:before="100" w:after="100"/>
            </w:pPr>
            <w:r>
              <w:t>No</w:t>
            </w:r>
          </w:p>
        </w:tc>
      </w:tr>
      <w:tr w:rsidR="000D07EA" w14:paraId="0908B10F" w14:textId="77777777">
        <w:tc>
          <w:tcPr>
            <w:tcW w:w="2912" w:type="pct"/>
          </w:tcPr>
          <w:p w14:paraId="4D8CFD14" w14:textId="77777777" w:rsidR="000D07EA" w:rsidRDefault="00BE7C89">
            <w:pPr>
              <w:pStyle w:val="BodyText"/>
              <w:spacing w:before="100" w:after="100"/>
            </w:pPr>
            <w:r>
              <w:t>International Video Calls</w:t>
            </w:r>
          </w:p>
          <w:p w14:paraId="34D5BCA3" w14:textId="77777777" w:rsidR="000D07EA" w:rsidRDefault="00BE7C89">
            <w:pPr>
              <w:pStyle w:val="BodyText"/>
              <w:spacing w:before="100" w:after="100"/>
            </w:pPr>
            <w:r>
              <w:t>(including calls to national fixed or GSM mobile services that then divert/switch or re-route overseas)</w:t>
            </w:r>
          </w:p>
        </w:tc>
        <w:tc>
          <w:tcPr>
            <w:tcW w:w="2088" w:type="pct"/>
          </w:tcPr>
          <w:p w14:paraId="06B280ED" w14:textId="77777777" w:rsidR="000D07EA" w:rsidRDefault="00BE7C89">
            <w:pPr>
              <w:pStyle w:val="BodyText"/>
              <w:spacing w:before="100" w:after="100"/>
            </w:pPr>
            <w:r>
              <w:t>No</w:t>
            </w:r>
          </w:p>
        </w:tc>
      </w:tr>
      <w:tr w:rsidR="000D07EA" w14:paraId="65FD67D4" w14:textId="77777777">
        <w:tc>
          <w:tcPr>
            <w:tcW w:w="2912" w:type="pct"/>
          </w:tcPr>
          <w:p w14:paraId="2D7D3F54" w14:textId="77777777" w:rsidR="000D07EA" w:rsidRDefault="00BE7C89">
            <w:pPr>
              <w:pStyle w:val="BodyText"/>
              <w:spacing w:before="100" w:after="100"/>
            </w:pPr>
            <w:r>
              <w:t>Premium Video</w:t>
            </w:r>
          </w:p>
        </w:tc>
        <w:tc>
          <w:tcPr>
            <w:tcW w:w="2088" w:type="pct"/>
          </w:tcPr>
          <w:p w14:paraId="38F339CE" w14:textId="77777777" w:rsidR="000D07EA" w:rsidRDefault="00BE7C89">
            <w:pPr>
              <w:pStyle w:val="BodyText"/>
              <w:spacing w:before="100" w:after="100"/>
            </w:pPr>
            <w:r>
              <w:t>No</w:t>
            </w:r>
          </w:p>
        </w:tc>
      </w:tr>
      <w:tr w:rsidR="000D07EA" w14:paraId="5226182A" w14:textId="77777777">
        <w:tc>
          <w:tcPr>
            <w:tcW w:w="2912" w:type="pct"/>
          </w:tcPr>
          <w:p w14:paraId="4585219B" w14:textId="77777777" w:rsidR="000D07EA" w:rsidRDefault="00BE7C89">
            <w:pPr>
              <w:pStyle w:val="BodyText"/>
              <w:spacing w:before="100" w:after="100"/>
            </w:pPr>
            <w:r>
              <w:t>Content Video</w:t>
            </w:r>
          </w:p>
        </w:tc>
        <w:tc>
          <w:tcPr>
            <w:tcW w:w="2088" w:type="pct"/>
          </w:tcPr>
          <w:p w14:paraId="1F671F3D" w14:textId="77777777" w:rsidR="000D07EA" w:rsidRDefault="00BE7C89">
            <w:pPr>
              <w:pStyle w:val="BodyText"/>
              <w:spacing w:before="100" w:after="100"/>
            </w:pPr>
            <w:r>
              <w:t>No</w:t>
            </w:r>
          </w:p>
        </w:tc>
      </w:tr>
      <w:tr w:rsidR="000D07EA" w14:paraId="613DC217" w14:textId="77777777">
        <w:tc>
          <w:tcPr>
            <w:tcW w:w="2912" w:type="pct"/>
          </w:tcPr>
          <w:p w14:paraId="1A79D528" w14:textId="77777777" w:rsidR="000D07EA" w:rsidRDefault="00BE7C89">
            <w:pPr>
              <w:pStyle w:val="BodyText"/>
              <w:spacing w:before="100" w:after="100"/>
            </w:pPr>
            <w:r>
              <w:t>National Standard SMS</w:t>
            </w:r>
          </w:p>
        </w:tc>
        <w:tc>
          <w:tcPr>
            <w:tcW w:w="2088" w:type="pct"/>
          </w:tcPr>
          <w:p w14:paraId="4EF32776" w14:textId="77777777" w:rsidR="000D07EA" w:rsidRDefault="00BE7C89">
            <w:pPr>
              <w:pStyle w:val="BodyText"/>
              <w:spacing w:before="100" w:after="100"/>
            </w:pPr>
            <w:r>
              <w:t>Yes</w:t>
            </w:r>
          </w:p>
        </w:tc>
      </w:tr>
      <w:tr w:rsidR="000D07EA" w14:paraId="04324D12" w14:textId="77777777">
        <w:tc>
          <w:tcPr>
            <w:tcW w:w="2912" w:type="pct"/>
          </w:tcPr>
          <w:p w14:paraId="194BDF99" w14:textId="77777777" w:rsidR="000D07EA" w:rsidRDefault="00BE7C89">
            <w:pPr>
              <w:pStyle w:val="BodyText"/>
              <w:spacing w:before="100" w:after="100"/>
            </w:pPr>
            <w:r>
              <w:t>International SMS</w:t>
            </w:r>
          </w:p>
        </w:tc>
        <w:tc>
          <w:tcPr>
            <w:tcW w:w="2088" w:type="pct"/>
          </w:tcPr>
          <w:p w14:paraId="0ECDB1FF" w14:textId="77777777" w:rsidR="000D07EA" w:rsidRDefault="00BE7C89">
            <w:pPr>
              <w:pStyle w:val="BodyText"/>
              <w:spacing w:before="100" w:after="100"/>
            </w:pPr>
            <w:r>
              <w:t>Yes</w:t>
            </w:r>
          </w:p>
        </w:tc>
      </w:tr>
      <w:tr w:rsidR="000D07EA" w14:paraId="3575C294" w14:textId="77777777">
        <w:tc>
          <w:tcPr>
            <w:tcW w:w="2912" w:type="pct"/>
          </w:tcPr>
          <w:p w14:paraId="18C35F51" w14:textId="77777777" w:rsidR="000D07EA" w:rsidRDefault="00BE7C89">
            <w:pPr>
              <w:pStyle w:val="BodyText"/>
              <w:spacing w:before="100" w:after="100"/>
            </w:pPr>
            <w:r>
              <w:t>Premium SMS</w:t>
            </w:r>
          </w:p>
        </w:tc>
        <w:tc>
          <w:tcPr>
            <w:tcW w:w="2088" w:type="pct"/>
          </w:tcPr>
          <w:p w14:paraId="1A2C6D9C" w14:textId="77777777" w:rsidR="000D07EA" w:rsidRDefault="00BE7C89">
            <w:pPr>
              <w:pStyle w:val="BodyText"/>
              <w:spacing w:before="100" w:after="100"/>
            </w:pPr>
            <w:r>
              <w:t>No</w:t>
            </w:r>
          </w:p>
        </w:tc>
      </w:tr>
      <w:tr w:rsidR="000D07EA" w14:paraId="7E52E755" w14:textId="77777777">
        <w:tc>
          <w:tcPr>
            <w:tcW w:w="2912" w:type="pct"/>
          </w:tcPr>
          <w:p w14:paraId="01B6777E" w14:textId="77777777" w:rsidR="000D07EA" w:rsidRDefault="00BE7C89">
            <w:pPr>
              <w:pStyle w:val="BodyText"/>
              <w:spacing w:before="100" w:after="100"/>
            </w:pPr>
            <w:r>
              <w:t>National MMS</w:t>
            </w:r>
          </w:p>
        </w:tc>
        <w:tc>
          <w:tcPr>
            <w:tcW w:w="2088" w:type="pct"/>
          </w:tcPr>
          <w:p w14:paraId="5012DA70" w14:textId="77777777" w:rsidR="000D07EA" w:rsidRDefault="00BE7C89">
            <w:pPr>
              <w:pStyle w:val="BodyText"/>
              <w:spacing w:before="100" w:after="100"/>
            </w:pPr>
            <w:r>
              <w:t>Yes</w:t>
            </w:r>
          </w:p>
        </w:tc>
      </w:tr>
      <w:tr w:rsidR="000D07EA" w14:paraId="7D5D7990" w14:textId="77777777">
        <w:tc>
          <w:tcPr>
            <w:tcW w:w="2912" w:type="pct"/>
          </w:tcPr>
          <w:p w14:paraId="4D81A742" w14:textId="77777777" w:rsidR="000D07EA" w:rsidRDefault="00BE7C89">
            <w:pPr>
              <w:pStyle w:val="BodyText"/>
              <w:spacing w:before="100" w:after="100"/>
            </w:pPr>
            <w:r>
              <w:t>International MMS</w:t>
            </w:r>
          </w:p>
        </w:tc>
        <w:tc>
          <w:tcPr>
            <w:tcW w:w="2088" w:type="pct"/>
          </w:tcPr>
          <w:p w14:paraId="01FA60BA" w14:textId="77777777" w:rsidR="000D07EA" w:rsidRDefault="00BE7C89">
            <w:pPr>
              <w:pStyle w:val="BodyText"/>
              <w:spacing w:before="100" w:after="100"/>
            </w:pPr>
            <w:r>
              <w:t>Yes</w:t>
            </w:r>
          </w:p>
        </w:tc>
      </w:tr>
      <w:tr w:rsidR="000D07EA" w14:paraId="502794C6" w14:textId="77777777">
        <w:tc>
          <w:tcPr>
            <w:tcW w:w="2912" w:type="pct"/>
          </w:tcPr>
          <w:p w14:paraId="060D79C9" w14:textId="77777777" w:rsidR="000D07EA" w:rsidRDefault="00BE7C89">
            <w:pPr>
              <w:pStyle w:val="BodyText"/>
              <w:spacing w:before="100" w:after="100"/>
            </w:pPr>
            <w:r>
              <w:t>Premium MMS</w:t>
            </w:r>
          </w:p>
        </w:tc>
        <w:tc>
          <w:tcPr>
            <w:tcW w:w="2088" w:type="pct"/>
          </w:tcPr>
          <w:p w14:paraId="4E05D0C9" w14:textId="77777777" w:rsidR="000D07EA" w:rsidRDefault="00BE7C89">
            <w:pPr>
              <w:pStyle w:val="BodyText"/>
              <w:spacing w:before="100" w:after="100"/>
            </w:pPr>
            <w:r>
              <w:t>No</w:t>
            </w:r>
          </w:p>
        </w:tc>
      </w:tr>
      <w:tr w:rsidR="000D07EA" w14:paraId="73989822" w14:textId="77777777">
        <w:tc>
          <w:tcPr>
            <w:tcW w:w="2912" w:type="pct"/>
          </w:tcPr>
          <w:p w14:paraId="19833D09" w14:textId="77777777" w:rsidR="000D07EA" w:rsidRDefault="00BE7C89">
            <w:pPr>
              <w:pStyle w:val="BodyText"/>
              <w:spacing w:before="100" w:after="100"/>
            </w:pPr>
            <w:r>
              <w:t>Voicemail Diversions</w:t>
            </w:r>
          </w:p>
        </w:tc>
        <w:tc>
          <w:tcPr>
            <w:tcW w:w="2088" w:type="pct"/>
          </w:tcPr>
          <w:p w14:paraId="5AC93239" w14:textId="77777777" w:rsidR="000D07EA" w:rsidRDefault="00BE7C89">
            <w:pPr>
              <w:pStyle w:val="BodyText"/>
              <w:spacing w:before="100" w:after="100"/>
            </w:pPr>
            <w:r>
              <w:t>Yes</w:t>
            </w:r>
          </w:p>
        </w:tc>
      </w:tr>
      <w:tr w:rsidR="000D07EA" w14:paraId="7B173E07" w14:textId="77777777">
        <w:tc>
          <w:tcPr>
            <w:tcW w:w="2912" w:type="pct"/>
          </w:tcPr>
          <w:p w14:paraId="401151FA" w14:textId="77777777" w:rsidR="000D07EA" w:rsidRDefault="00BE7C89">
            <w:pPr>
              <w:pStyle w:val="BodyText"/>
              <w:spacing w:before="100" w:after="100"/>
            </w:pPr>
            <w:r>
              <w:t>Voicemail Deposit and Retrievals</w:t>
            </w:r>
          </w:p>
        </w:tc>
        <w:tc>
          <w:tcPr>
            <w:tcW w:w="2088" w:type="pct"/>
          </w:tcPr>
          <w:p w14:paraId="7382C6F3" w14:textId="77777777" w:rsidR="000D07EA" w:rsidRDefault="00BE7C89">
            <w:pPr>
              <w:pStyle w:val="BodyText"/>
              <w:spacing w:before="100" w:after="100"/>
            </w:pPr>
            <w:r>
              <w:t>Yes</w:t>
            </w:r>
          </w:p>
        </w:tc>
      </w:tr>
      <w:tr w:rsidR="000D07EA" w14:paraId="7C782A13" w14:textId="77777777">
        <w:tc>
          <w:tcPr>
            <w:tcW w:w="2912" w:type="pct"/>
          </w:tcPr>
          <w:p w14:paraId="45B38628" w14:textId="77777777" w:rsidR="000D07EA" w:rsidRDefault="00BE7C89">
            <w:pPr>
              <w:pStyle w:val="BodyText"/>
              <w:spacing w:before="100" w:after="100"/>
            </w:pPr>
            <w:r>
              <w:t>International Roaming and Diversions</w:t>
            </w:r>
          </w:p>
        </w:tc>
        <w:tc>
          <w:tcPr>
            <w:tcW w:w="2088" w:type="pct"/>
          </w:tcPr>
          <w:p w14:paraId="132E90DD" w14:textId="77777777" w:rsidR="000D07EA" w:rsidRDefault="00BE7C89">
            <w:pPr>
              <w:pStyle w:val="BodyText"/>
              <w:spacing w:before="100" w:after="100"/>
            </w:pPr>
            <w:r>
              <w:t>No</w:t>
            </w:r>
          </w:p>
        </w:tc>
      </w:tr>
      <w:tr w:rsidR="000D07EA" w14:paraId="04B8E2CA" w14:textId="77777777">
        <w:tc>
          <w:tcPr>
            <w:tcW w:w="2912" w:type="pct"/>
          </w:tcPr>
          <w:p w14:paraId="28F31929" w14:textId="77777777" w:rsidR="000D07EA" w:rsidRDefault="00BE7C89">
            <w:pPr>
              <w:pStyle w:val="BodyText"/>
              <w:spacing w:before="100" w:after="100"/>
            </w:pPr>
            <w:r>
              <w:t>Video Conferencing</w:t>
            </w:r>
          </w:p>
        </w:tc>
        <w:tc>
          <w:tcPr>
            <w:tcW w:w="2088" w:type="pct"/>
          </w:tcPr>
          <w:p w14:paraId="1118EFEC" w14:textId="77777777" w:rsidR="000D07EA" w:rsidRDefault="00BE7C89">
            <w:pPr>
              <w:pStyle w:val="BodyText"/>
              <w:spacing w:before="100" w:after="100"/>
            </w:pPr>
            <w:r>
              <w:t>No</w:t>
            </w:r>
          </w:p>
        </w:tc>
      </w:tr>
      <w:tr w:rsidR="000D07EA" w14:paraId="41EBECCD" w14:textId="77777777">
        <w:tc>
          <w:tcPr>
            <w:tcW w:w="2912" w:type="pct"/>
          </w:tcPr>
          <w:p w14:paraId="43E11FBF" w14:textId="77777777" w:rsidR="000D07EA" w:rsidRDefault="00BE7C89">
            <w:pPr>
              <w:pStyle w:val="BodyText"/>
              <w:spacing w:before="100" w:after="100"/>
            </w:pPr>
            <w:r>
              <w:t>BlackBerry Email</w:t>
            </w:r>
          </w:p>
        </w:tc>
        <w:tc>
          <w:tcPr>
            <w:tcW w:w="2088" w:type="pct"/>
          </w:tcPr>
          <w:p w14:paraId="2E8BBD5A" w14:textId="77777777" w:rsidR="000D07EA" w:rsidRDefault="00BE7C89">
            <w:pPr>
              <w:pStyle w:val="BodyText"/>
              <w:spacing w:before="100" w:after="100"/>
            </w:pPr>
            <w:r>
              <w:t>No</w:t>
            </w:r>
          </w:p>
        </w:tc>
      </w:tr>
      <w:tr w:rsidR="000D07EA" w14:paraId="50D0EE95" w14:textId="77777777">
        <w:tc>
          <w:tcPr>
            <w:tcW w:w="2912" w:type="pct"/>
          </w:tcPr>
          <w:p w14:paraId="12E85CC7" w14:textId="77777777" w:rsidR="000D07EA" w:rsidRDefault="00BE7C89">
            <w:pPr>
              <w:pStyle w:val="BodyText"/>
              <w:spacing w:before="100" w:after="100"/>
            </w:pPr>
            <w:r>
              <w:t>Optus Zoo Browsing</w:t>
            </w:r>
          </w:p>
        </w:tc>
        <w:tc>
          <w:tcPr>
            <w:tcW w:w="2088" w:type="pct"/>
          </w:tcPr>
          <w:p w14:paraId="773BEBC5" w14:textId="77777777" w:rsidR="000D07EA" w:rsidRDefault="00BE7C89">
            <w:pPr>
              <w:pStyle w:val="BodyText"/>
              <w:spacing w:before="100" w:after="100"/>
            </w:pPr>
            <w:r>
              <w:t>No</w:t>
            </w:r>
          </w:p>
        </w:tc>
      </w:tr>
      <w:tr w:rsidR="000D07EA" w14:paraId="73F479F0" w14:textId="77777777">
        <w:tc>
          <w:tcPr>
            <w:tcW w:w="2912" w:type="pct"/>
          </w:tcPr>
          <w:p w14:paraId="7A5DBA71" w14:textId="77777777" w:rsidR="000D07EA" w:rsidRDefault="00BE7C89">
            <w:pPr>
              <w:pStyle w:val="BodyText"/>
              <w:spacing w:before="100" w:after="100"/>
            </w:pPr>
            <w:r>
              <w:t>Optus Zoo Downloads</w:t>
            </w:r>
          </w:p>
        </w:tc>
        <w:tc>
          <w:tcPr>
            <w:tcW w:w="2088" w:type="pct"/>
          </w:tcPr>
          <w:p w14:paraId="78C68BF7" w14:textId="77777777" w:rsidR="000D07EA" w:rsidRDefault="00BE7C89">
            <w:pPr>
              <w:pStyle w:val="BodyText"/>
              <w:spacing w:before="100" w:after="100"/>
            </w:pPr>
            <w:r>
              <w:t>No</w:t>
            </w:r>
          </w:p>
        </w:tc>
      </w:tr>
      <w:tr w:rsidR="000D07EA" w14:paraId="21BF33B3" w14:textId="77777777">
        <w:tc>
          <w:tcPr>
            <w:tcW w:w="2912" w:type="pct"/>
          </w:tcPr>
          <w:p w14:paraId="04F6EC18" w14:textId="77777777" w:rsidR="000D07EA" w:rsidRDefault="00BE7C89">
            <w:pPr>
              <w:pStyle w:val="BodyText"/>
              <w:spacing w:before="100" w:after="100"/>
            </w:pPr>
            <w:r>
              <w:t>966* Zoo</w:t>
            </w:r>
          </w:p>
        </w:tc>
        <w:tc>
          <w:tcPr>
            <w:tcW w:w="2088" w:type="pct"/>
          </w:tcPr>
          <w:p w14:paraId="0FCC0A98" w14:textId="77777777" w:rsidR="000D07EA" w:rsidRDefault="00BE7C89">
            <w:pPr>
              <w:pStyle w:val="BodyText"/>
              <w:spacing w:before="100" w:after="100"/>
            </w:pPr>
            <w:r>
              <w:t>No</w:t>
            </w:r>
          </w:p>
        </w:tc>
      </w:tr>
      <w:tr w:rsidR="000D07EA" w14:paraId="408E0954" w14:textId="77777777">
        <w:tc>
          <w:tcPr>
            <w:tcW w:w="2912" w:type="pct"/>
          </w:tcPr>
          <w:p w14:paraId="3F2F22A2" w14:textId="77777777" w:rsidR="000D07EA" w:rsidRDefault="00BE7C89">
            <w:pPr>
              <w:pStyle w:val="BodyText"/>
              <w:spacing w:before="100" w:after="100"/>
            </w:pPr>
            <w:r>
              <w:lastRenderedPageBreak/>
              <w:t>Mobile Internet usage and VPN</w:t>
            </w:r>
          </w:p>
        </w:tc>
        <w:tc>
          <w:tcPr>
            <w:tcW w:w="2088" w:type="pct"/>
          </w:tcPr>
          <w:p w14:paraId="0E507B12" w14:textId="77777777" w:rsidR="000D07EA" w:rsidRDefault="00BE7C89">
            <w:pPr>
              <w:pStyle w:val="BodyText"/>
              <w:spacing w:before="100" w:after="100"/>
            </w:pPr>
            <w:r>
              <w:t>No</w:t>
            </w:r>
          </w:p>
        </w:tc>
      </w:tr>
      <w:tr w:rsidR="000D07EA" w14:paraId="1929E50D" w14:textId="77777777">
        <w:tc>
          <w:tcPr>
            <w:tcW w:w="2912" w:type="pct"/>
          </w:tcPr>
          <w:p w14:paraId="2408A04D" w14:textId="77777777" w:rsidR="000D07EA" w:rsidRDefault="00BE7C89">
            <w:pPr>
              <w:pStyle w:val="BodyText"/>
              <w:spacing w:before="100" w:after="100"/>
            </w:pPr>
            <w:r>
              <w:t>Data used while roaming internationally</w:t>
            </w:r>
          </w:p>
        </w:tc>
        <w:tc>
          <w:tcPr>
            <w:tcW w:w="2088" w:type="pct"/>
          </w:tcPr>
          <w:p w14:paraId="79FA7A11" w14:textId="77777777" w:rsidR="000D07EA" w:rsidRDefault="00BE7C89">
            <w:pPr>
              <w:pStyle w:val="BodyText"/>
              <w:spacing w:before="100" w:after="100"/>
            </w:pPr>
            <w:r>
              <w:t>No</w:t>
            </w:r>
          </w:p>
        </w:tc>
      </w:tr>
      <w:tr w:rsidR="000D07EA" w14:paraId="05353DB2" w14:textId="77777777">
        <w:tc>
          <w:tcPr>
            <w:tcW w:w="2912" w:type="pct"/>
          </w:tcPr>
          <w:p w14:paraId="7744D566" w14:textId="77777777" w:rsidR="000D07EA" w:rsidRDefault="00BE7C89">
            <w:pPr>
              <w:pStyle w:val="BodyText"/>
              <w:spacing w:before="100" w:after="100"/>
            </w:pPr>
            <w:r>
              <w:t>Content Packs</w:t>
            </w:r>
          </w:p>
        </w:tc>
        <w:tc>
          <w:tcPr>
            <w:tcW w:w="2088" w:type="pct"/>
          </w:tcPr>
          <w:p w14:paraId="26BB944E" w14:textId="77777777" w:rsidR="000D07EA" w:rsidRDefault="00BE7C89">
            <w:pPr>
              <w:pStyle w:val="BodyText"/>
              <w:spacing w:before="100" w:after="100"/>
            </w:pPr>
            <w:r>
              <w:t>No</w:t>
            </w:r>
          </w:p>
        </w:tc>
      </w:tr>
      <w:tr w:rsidR="000D07EA" w14:paraId="4ACCFDDF" w14:textId="77777777">
        <w:tc>
          <w:tcPr>
            <w:tcW w:w="2912" w:type="pct"/>
          </w:tcPr>
          <w:p w14:paraId="668C8278" w14:textId="77777777" w:rsidR="000D07EA" w:rsidRDefault="00BE7C89">
            <w:pPr>
              <w:pStyle w:val="BodyText"/>
              <w:spacing w:before="100" w:after="100"/>
            </w:pPr>
            <w:r>
              <w:t>Mobile Instant Messaging – IM</w:t>
            </w:r>
          </w:p>
        </w:tc>
        <w:tc>
          <w:tcPr>
            <w:tcW w:w="2088" w:type="pct"/>
          </w:tcPr>
          <w:p w14:paraId="37762743" w14:textId="77777777" w:rsidR="000D07EA" w:rsidRDefault="00BE7C89">
            <w:pPr>
              <w:pStyle w:val="BodyText"/>
              <w:spacing w:before="100" w:after="100"/>
            </w:pPr>
            <w:r>
              <w:t>No</w:t>
            </w:r>
          </w:p>
        </w:tc>
      </w:tr>
      <w:tr w:rsidR="000D07EA" w14:paraId="311818A9" w14:textId="77777777">
        <w:tc>
          <w:tcPr>
            <w:tcW w:w="2912" w:type="pct"/>
          </w:tcPr>
          <w:p w14:paraId="35342742" w14:textId="77777777" w:rsidR="000D07EA" w:rsidRDefault="00BE7C89">
            <w:pPr>
              <w:pStyle w:val="BodyText"/>
              <w:spacing w:before="100" w:after="100"/>
            </w:pPr>
            <w:r>
              <w:t>TrueLocal Usage</w:t>
            </w:r>
          </w:p>
        </w:tc>
        <w:tc>
          <w:tcPr>
            <w:tcW w:w="2088" w:type="pct"/>
          </w:tcPr>
          <w:p w14:paraId="2CD2E140" w14:textId="77777777" w:rsidR="000D07EA" w:rsidRDefault="00BE7C89">
            <w:pPr>
              <w:pStyle w:val="BodyText"/>
              <w:spacing w:before="100" w:after="100"/>
            </w:pPr>
            <w:r>
              <w:t>No</w:t>
            </w:r>
          </w:p>
        </w:tc>
      </w:tr>
      <w:tr w:rsidR="000D07EA" w14:paraId="115B8010" w14:textId="77777777">
        <w:tc>
          <w:tcPr>
            <w:tcW w:w="2912" w:type="pct"/>
          </w:tcPr>
          <w:p w14:paraId="0476DF05" w14:textId="77777777" w:rsidR="000D07EA" w:rsidRDefault="00BE7C89">
            <w:pPr>
              <w:pStyle w:val="BodyText"/>
              <w:spacing w:before="100" w:after="100"/>
            </w:pPr>
            <w:r>
              <w:t>Directory Assistance – 1223</w:t>
            </w:r>
          </w:p>
        </w:tc>
        <w:tc>
          <w:tcPr>
            <w:tcW w:w="2088" w:type="pct"/>
          </w:tcPr>
          <w:p w14:paraId="5F566B34" w14:textId="77777777" w:rsidR="000D07EA" w:rsidRDefault="00BE7C89">
            <w:pPr>
              <w:pStyle w:val="BodyText"/>
              <w:spacing w:before="100" w:after="100"/>
            </w:pPr>
            <w:r>
              <w:t>No</w:t>
            </w:r>
          </w:p>
        </w:tc>
      </w:tr>
      <w:tr w:rsidR="000D07EA" w14:paraId="61668C51" w14:textId="77777777">
        <w:tc>
          <w:tcPr>
            <w:tcW w:w="2912" w:type="pct"/>
          </w:tcPr>
          <w:p w14:paraId="7E4C94F0" w14:textId="77777777" w:rsidR="000D07EA" w:rsidRDefault="00BE7C89">
            <w:pPr>
              <w:pStyle w:val="BodyText"/>
              <w:spacing w:before="100" w:after="100"/>
            </w:pPr>
            <w:r>
              <w:t>19xx Numbers</w:t>
            </w:r>
          </w:p>
        </w:tc>
        <w:tc>
          <w:tcPr>
            <w:tcW w:w="2088" w:type="pct"/>
          </w:tcPr>
          <w:p w14:paraId="5AFAC50E" w14:textId="77777777" w:rsidR="000D07EA" w:rsidRDefault="00BE7C89">
            <w:pPr>
              <w:pStyle w:val="BodyText"/>
              <w:spacing w:before="100" w:after="100"/>
            </w:pPr>
            <w:r>
              <w:t>No</w:t>
            </w:r>
          </w:p>
        </w:tc>
      </w:tr>
      <w:tr w:rsidR="000D07EA" w14:paraId="1DF90DF1" w14:textId="77777777">
        <w:tc>
          <w:tcPr>
            <w:tcW w:w="2912" w:type="pct"/>
          </w:tcPr>
          <w:p w14:paraId="3621DE49" w14:textId="77777777" w:rsidR="000D07EA" w:rsidRDefault="00BE7C89">
            <w:pPr>
              <w:pStyle w:val="BodyText"/>
              <w:spacing w:before="100" w:after="100"/>
            </w:pPr>
            <w:r>
              <w:t>1800, 13 and 1300 Numbers</w:t>
            </w:r>
          </w:p>
        </w:tc>
        <w:tc>
          <w:tcPr>
            <w:tcW w:w="2088" w:type="pct"/>
          </w:tcPr>
          <w:p w14:paraId="4C596EB6" w14:textId="77777777" w:rsidR="000D07EA" w:rsidRDefault="00BE7C89">
            <w:pPr>
              <w:pStyle w:val="BodyText"/>
              <w:spacing w:before="100" w:after="100"/>
            </w:pPr>
            <w:r>
              <w:t>Yes</w:t>
            </w:r>
          </w:p>
        </w:tc>
      </w:tr>
      <w:tr w:rsidR="000D07EA" w14:paraId="393B8BD7" w14:textId="77777777">
        <w:tc>
          <w:tcPr>
            <w:tcW w:w="2912" w:type="pct"/>
          </w:tcPr>
          <w:p w14:paraId="76989783" w14:textId="77777777" w:rsidR="000D07EA" w:rsidRDefault="00BE7C89">
            <w:pPr>
              <w:pStyle w:val="BodyText"/>
              <w:spacing w:before="100" w:after="100"/>
            </w:pPr>
            <w:r>
              <w:t>124YES(937)</w:t>
            </w:r>
          </w:p>
        </w:tc>
        <w:tc>
          <w:tcPr>
            <w:tcW w:w="2088" w:type="pct"/>
          </w:tcPr>
          <w:p w14:paraId="56F968EF" w14:textId="77777777" w:rsidR="000D07EA" w:rsidRDefault="00BE7C89">
            <w:pPr>
              <w:pStyle w:val="BodyText"/>
              <w:spacing w:before="100" w:after="100"/>
            </w:pPr>
            <w:r>
              <w:t>Yes</w:t>
            </w:r>
          </w:p>
        </w:tc>
      </w:tr>
      <w:tr w:rsidR="000D07EA" w14:paraId="34328D0D" w14:textId="77777777">
        <w:tc>
          <w:tcPr>
            <w:tcW w:w="2912" w:type="pct"/>
          </w:tcPr>
          <w:p w14:paraId="3C7089FA" w14:textId="77777777" w:rsidR="000D07EA" w:rsidRDefault="00BE7C89">
            <w:pPr>
              <w:pStyle w:val="BodyText"/>
              <w:spacing w:before="100" w:after="100"/>
            </w:pPr>
            <w:r>
              <w:t>Fax and Data</w:t>
            </w:r>
          </w:p>
        </w:tc>
        <w:tc>
          <w:tcPr>
            <w:tcW w:w="2088" w:type="pct"/>
          </w:tcPr>
          <w:p w14:paraId="446A119D" w14:textId="77777777" w:rsidR="000D07EA" w:rsidRDefault="00BE7C89">
            <w:pPr>
              <w:pStyle w:val="BodyText"/>
              <w:spacing w:before="100" w:after="100"/>
            </w:pPr>
            <w:r>
              <w:t>No</w:t>
            </w:r>
          </w:p>
        </w:tc>
      </w:tr>
      <w:tr w:rsidR="000D07EA" w14:paraId="25598EBF" w14:textId="77777777">
        <w:tc>
          <w:tcPr>
            <w:tcW w:w="2912" w:type="pct"/>
          </w:tcPr>
          <w:p w14:paraId="1259FD79" w14:textId="77777777" w:rsidR="000D07EA" w:rsidRDefault="00BE7C89">
            <w:pPr>
              <w:pStyle w:val="BodyText"/>
              <w:spacing w:before="100" w:after="100"/>
            </w:pPr>
            <w:r>
              <w:t>Insurance</w:t>
            </w:r>
          </w:p>
        </w:tc>
        <w:tc>
          <w:tcPr>
            <w:tcW w:w="2088" w:type="pct"/>
          </w:tcPr>
          <w:p w14:paraId="215DC4F4" w14:textId="77777777" w:rsidR="000D07EA" w:rsidRDefault="00BE7C89">
            <w:pPr>
              <w:pStyle w:val="BodyText"/>
              <w:spacing w:before="100" w:after="100"/>
            </w:pPr>
            <w:r>
              <w:t>No</w:t>
            </w:r>
          </w:p>
        </w:tc>
      </w:tr>
      <w:tr w:rsidR="000D07EA" w14:paraId="4384A17F" w14:textId="77777777">
        <w:tc>
          <w:tcPr>
            <w:tcW w:w="2912" w:type="pct"/>
          </w:tcPr>
          <w:p w14:paraId="77C60183" w14:textId="77777777" w:rsidR="000D07EA" w:rsidRDefault="00BE7C89">
            <w:pPr>
              <w:pStyle w:val="BodyText"/>
              <w:spacing w:before="100" w:after="100"/>
            </w:pPr>
            <w:r>
              <w:t>Surepage Diversions</w:t>
            </w:r>
          </w:p>
        </w:tc>
        <w:tc>
          <w:tcPr>
            <w:tcW w:w="2088" w:type="pct"/>
          </w:tcPr>
          <w:p w14:paraId="0234ED6A" w14:textId="77777777" w:rsidR="000D07EA" w:rsidRDefault="00BE7C89">
            <w:pPr>
              <w:pStyle w:val="BodyText"/>
              <w:spacing w:before="100" w:after="100"/>
            </w:pPr>
            <w:r>
              <w:t>Yes</w:t>
            </w:r>
          </w:p>
        </w:tc>
      </w:tr>
      <w:tr w:rsidR="000D07EA" w14:paraId="0BF79A53" w14:textId="77777777">
        <w:tc>
          <w:tcPr>
            <w:tcW w:w="2912" w:type="pct"/>
          </w:tcPr>
          <w:p w14:paraId="52346280" w14:textId="77777777" w:rsidR="000D07EA" w:rsidRDefault="00BE7C89">
            <w:pPr>
              <w:pStyle w:val="BodyText"/>
              <w:spacing w:before="100" w:after="100"/>
            </w:pPr>
            <w:r>
              <w:t>Surepage usage and access</w:t>
            </w:r>
          </w:p>
        </w:tc>
        <w:tc>
          <w:tcPr>
            <w:tcW w:w="2088" w:type="pct"/>
          </w:tcPr>
          <w:p w14:paraId="3EB39F6B" w14:textId="77777777" w:rsidR="000D07EA" w:rsidRDefault="00BE7C89">
            <w:pPr>
              <w:pStyle w:val="BodyText"/>
              <w:spacing w:before="100" w:after="100"/>
            </w:pPr>
            <w:r>
              <w:t>No</w:t>
            </w:r>
          </w:p>
        </w:tc>
      </w:tr>
      <w:tr w:rsidR="000D07EA" w14:paraId="332C0956" w14:textId="77777777">
        <w:tc>
          <w:tcPr>
            <w:tcW w:w="2912" w:type="pct"/>
          </w:tcPr>
          <w:p w14:paraId="34E81C73" w14:textId="77777777" w:rsidR="000D07EA" w:rsidRDefault="00BE7C89">
            <w:pPr>
              <w:pStyle w:val="BodyText"/>
              <w:spacing w:before="100" w:after="100"/>
            </w:pPr>
            <w:r>
              <w:t>Handset Payments</w:t>
            </w:r>
          </w:p>
        </w:tc>
        <w:tc>
          <w:tcPr>
            <w:tcW w:w="2088" w:type="pct"/>
          </w:tcPr>
          <w:p w14:paraId="47982764" w14:textId="77777777" w:rsidR="000D07EA" w:rsidRDefault="00BE7C89">
            <w:pPr>
              <w:pStyle w:val="BodyText"/>
              <w:spacing w:before="100" w:after="100"/>
            </w:pPr>
            <w:r>
              <w:t>No</w:t>
            </w:r>
          </w:p>
        </w:tc>
      </w:tr>
      <w:tr w:rsidR="000D07EA" w14:paraId="18E1FF8B" w14:textId="77777777">
        <w:tc>
          <w:tcPr>
            <w:tcW w:w="2912" w:type="pct"/>
          </w:tcPr>
          <w:p w14:paraId="3B6EF232" w14:textId="77777777" w:rsidR="000D07EA" w:rsidRDefault="00BE7C89">
            <w:pPr>
              <w:pStyle w:val="BodyText"/>
              <w:spacing w:before="100" w:after="100"/>
            </w:pPr>
            <w:r>
              <w:t>Calls to Satellite</w:t>
            </w:r>
          </w:p>
        </w:tc>
        <w:tc>
          <w:tcPr>
            <w:tcW w:w="2088" w:type="pct"/>
          </w:tcPr>
          <w:p w14:paraId="2A4E4CB8" w14:textId="77777777" w:rsidR="000D07EA" w:rsidRDefault="00BE7C89">
            <w:pPr>
              <w:pStyle w:val="BodyText"/>
              <w:spacing w:before="100" w:after="100"/>
            </w:pPr>
            <w:r>
              <w:t>No</w:t>
            </w:r>
          </w:p>
        </w:tc>
      </w:tr>
      <w:tr w:rsidR="000D07EA" w14:paraId="333EE648" w14:textId="77777777">
        <w:tc>
          <w:tcPr>
            <w:tcW w:w="2912" w:type="pct"/>
          </w:tcPr>
          <w:p w14:paraId="31154306" w14:textId="77777777" w:rsidR="000D07EA" w:rsidRDefault="00BE7C89">
            <w:pPr>
              <w:pStyle w:val="BodyText"/>
              <w:spacing w:before="100" w:after="100"/>
            </w:pPr>
            <w:r>
              <w:t>VoIP services</w:t>
            </w:r>
          </w:p>
        </w:tc>
        <w:tc>
          <w:tcPr>
            <w:tcW w:w="2088" w:type="pct"/>
          </w:tcPr>
          <w:p w14:paraId="17B91A9E" w14:textId="77777777" w:rsidR="000D07EA" w:rsidRDefault="00BE7C89">
            <w:pPr>
              <w:pStyle w:val="BodyText"/>
              <w:spacing w:before="100" w:after="100"/>
            </w:pPr>
            <w:r>
              <w:t>No</w:t>
            </w:r>
          </w:p>
        </w:tc>
      </w:tr>
    </w:tbl>
    <w:p w14:paraId="0F152B8E" w14:textId="77777777" w:rsidR="000D07EA" w:rsidRDefault="000D07EA">
      <w:pPr>
        <w:pStyle w:val="BodyText"/>
        <w:ind w:left="1440"/>
        <w:rPr>
          <w:rFonts w:eastAsia="Times New Roman"/>
          <w:b/>
          <w:bCs/>
          <w:color w:val="000000"/>
          <w:szCs w:val="22"/>
        </w:rPr>
      </w:pPr>
    </w:p>
    <w:p w14:paraId="3A34A06E" w14:textId="77777777" w:rsidR="000D07EA" w:rsidRDefault="000D07EA">
      <w:pPr>
        <w:pStyle w:val="BodyText"/>
        <w:ind w:left="1440"/>
        <w:rPr>
          <w:rFonts w:eastAsia="Times New Roman"/>
          <w:b/>
          <w:bCs/>
          <w:color w:val="000000"/>
          <w:szCs w:val="22"/>
        </w:rPr>
        <w:sectPr w:rsidR="000D07EA">
          <w:headerReference w:type="default" r:id="rId109"/>
          <w:footerReference w:type="default" r:id="rId110"/>
          <w:pgSz w:w="11900" w:h="16840"/>
          <w:pgMar w:top="851" w:right="851" w:bottom="851" w:left="851" w:header="461" w:footer="288" w:gutter="0"/>
          <w:cols w:space="708"/>
          <w:docGrid w:linePitch="360"/>
        </w:sectPr>
      </w:pPr>
    </w:p>
    <w:p w14:paraId="0FFB7E7F" w14:textId="77777777" w:rsidR="000D07EA" w:rsidRDefault="00BE7C89">
      <w:pPr>
        <w:pStyle w:val="BodyText"/>
        <w:rPr>
          <w:rFonts w:eastAsia="Times New Roman"/>
          <w:b/>
          <w:bCs/>
          <w:i/>
          <w:color w:val="000000"/>
          <w:szCs w:val="22"/>
        </w:rPr>
      </w:pPr>
      <w:r>
        <w:rPr>
          <w:rFonts w:eastAsia="Times New Roman"/>
          <w:b/>
          <w:bCs/>
          <w:i/>
          <w:color w:val="000000"/>
          <w:szCs w:val="22"/>
        </w:rPr>
        <w:lastRenderedPageBreak/>
        <w:t>Pricing Plans Table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01"/>
        <w:gridCol w:w="2266"/>
        <w:gridCol w:w="2266"/>
        <w:gridCol w:w="2266"/>
        <w:gridCol w:w="2266"/>
        <w:gridCol w:w="2263"/>
      </w:tblGrid>
      <w:tr w:rsidR="000D07EA" w14:paraId="0185754E" w14:textId="77777777">
        <w:tc>
          <w:tcPr>
            <w:tcW w:w="1256" w:type="pct"/>
          </w:tcPr>
          <w:p w14:paraId="3E307C25" w14:textId="77777777" w:rsidR="000D07EA" w:rsidRDefault="00BE7C89">
            <w:pPr>
              <w:pStyle w:val="BodyText"/>
              <w:spacing w:before="100" w:after="100"/>
              <w:rPr>
                <w:b/>
                <w:i/>
                <w:color w:val="000000"/>
              </w:rPr>
            </w:pPr>
            <w:r>
              <w:rPr>
                <w:b/>
                <w:i/>
              </w:rPr>
              <w:t>Charge Type</w:t>
            </w:r>
          </w:p>
        </w:tc>
        <w:tc>
          <w:tcPr>
            <w:tcW w:w="749" w:type="pct"/>
          </w:tcPr>
          <w:p w14:paraId="65175F25" w14:textId="77777777" w:rsidR="000D07EA" w:rsidRDefault="00BE7C89">
            <w:pPr>
              <w:pStyle w:val="BodyText"/>
              <w:spacing w:before="100" w:after="100"/>
              <w:jc w:val="center"/>
              <w:rPr>
                <w:b/>
              </w:rPr>
            </w:pPr>
            <w:r>
              <w:rPr>
                <w:b/>
              </w:rPr>
              <w:t>'yes' Business</w:t>
            </w:r>
            <w:r>
              <w:rPr>
                <w:b/>
              </w:rPr>
              <w:br/>
              <w:t>Smart Cap 49</w:t>
            </w:r>
            <w:r>
              <w:rPr>
                <w:b/>
              </w:rPr>
              <w:br/>
              <w:t>Plan</w:t>
            </w:r>
          </w:p>
        </w:tc>
        <w:tc>
          <w:tcPr>
            <w:tcW w:w="749" w:type="pct"/>
          </w:tcPr>
          <w:p w14:paraId="4CAA0820" w14:textId="77777777" w:rsidR="000D07EA" w:rsidRDefault="00BE7C89">
            <w:pPr>
              <w:pStyle w:val="BodyText"/>
              <w:spacing w:before="100" w:after="100"/>
              <w:jc w:val="center"/>
              <w:rPr>
                <w:b/>
              </w:rPr>
            </w:pPr>
            <w:r>
              <w:rPr>
                <w:b/>
              </w:rPr>
              <w:t>'yes' Business</w:t>
            </w:r>
            <w:r>
              <w:rPr>
                <w:b/>
              </w:rPr>
              <w:br/>
              <w:t>Smart Cap 79</w:t>
            </w:r>
            <w:r>
              <w:rPr>
                <w:b/>
              </w:rPr>
              <w:br/>
              <w:t>Plan</w:t>
            </w:r>
          </w:p>
        </w:tc>
        <w:tc>
          <w:tcPr>
            <w:tcW w:w="749" w:type="pct"/>
          </w:tcPr>
          <w:p w14:paraId="32068CDE" w14:textId="77777777" w:rsidR="000D07EA" w:rsidRDefault="00BE7C89">
            <w:pPr>
              <w:pStyle w:val="BodyText"/>
              <w:spacing w:before="100" w:after="100"/>
              <w:jc w:val="center"/>
              <w:rPr>
                <w:b/>
              </w:rPr>
            </w:pPr>
            <w:r>
              <w:rPr>
                <w:b/>
              </w:rPr>
              <w:t>'yes' Business</w:t>
            </w:r>
            <w:r>
              <w:rPr>
                <w:b/>
              </w:rPr>
              <w:br/>
              <w:t>Smart Cap 99</w:t>
            </w:r>
            <w:r>
              <w:rPr>
                <w:b/>
              </w:rPr>
              <w:br/>
              <w:t>Plan</w:t>
            </w:r>
          </w:p>
        </w:tc>
        <w:tc>
          <w:tcPr>
            <w:tcW w:w="749" w:type="pct"/>
          </w:tcPr>
          <w:p w14:paraId="4056E0F0" w14:textId="77777777" w:rsidR="000D07EA" w:rsidRDefault="00BE7C89">
            <w:pPr>
              <w:pStyle w:val="BodyText"/>
              <w:spacing w:before="100" w:after="100"/>
              <w:jc w:val="center"/>
              <w:rPr>
                <w:b/>
              </w:rPr>
            </w:pPr>
            <w:r>
              <w:rPr>
                <w:b/>
              </w:rPr>
              <w:t>'yes' Business</w:t>
            </w:r>
            <w:r>
              <w:rPr>
                <w:b/>
              </w:rPr>
              <w:br/>
              <w:t>Smart 149</w:t>
            </w:r>
            <w:r>
              <w:rPr>
                <w:b/>
              </w:rPr>
              <w:br/>
              <w:t>Plan</w:t>
            </w:r>
          </w:p>
        </w:tc>
        <w:tc>
          <w:tcPr>
            <w:tcW w:w="749" w:type="pct"/>
          </w:tcPr>
          <w:p w14:paraId="60002B2E" w14:textId="77777777" w:rsidR="000D07EA" w:rsidRDefault="00BE7C89">
            <w:pPr>
              <w:pStyle w:val="BodyText"/>
              <w:spacing w:before="100" w:after="100"/>
              <w:jc w:val="center"/>
              <w:rPr>
                <w:b/>
              </w:rPr>
            </w:pPr>
            <w:r>
              <w:rPr>
                <w:b/>
              </w:rPr>
              <w:t>'yes' Business</w:t>
            </w:r>
            <w:r>
              <w:rPr>
                <w:b/>
              </w:rPr>
              <w:br/>
              <w:t>Smart 199 Plan</w:t>
            </w:r>
          </w:p>
        </w:tc>
      </w:tr>
      <w:tr w:rsidR="000D07EA" w14:paraId="6C6CEC4A" w14:textId="77777777">
        <w:trPr>
          <w:trHeight w:val="60"/>
        </w:trPr>
        <w:tc>
          <w:tcPr>
            <w:tcW w:w="1256" w:type="pct"/>
          </w:tcPr>
          <w:p w14:paraId="77F1F2E5" w14:textId="77777777" w:rsidR="000D07EA" w:rsidRDefault="00BE7C89">
            <w:pPr>
              <w:pStyle w:val="BodyText"/>
              <w:spacing w:before="100" w:after="100"/>
              <w:rPr>
                <w:b/>
                <w:i/>
              </w:rPr>
            </w:pPr>
            <w:r>
              <w:rPr>
                <w:b/>
                <w:i/>
              </w:rPr>
              <w:t>Minimum Monthly Commitment</w:t>
            </w:r>
          </w:p>
        </w:tc>
        <w:tc>
          <w:tcPr>
            <w:tcW w:w="749" w:type="pct"/>
          </w:tcPr>
          <w:p w14:paraId="180038ED" w14:textId="77777777" w:rsidR="000D07EA" w:rsidRDefault="00BE7C89">
            <w:pPr>
              <w:pStyle w:val="BodyText"/>
              <w:spacing w:before="100" w:after="100"/>
              <w:jc w:val="center"/>
            </w:pPr>
            <w:r>
              <w:t>$44.54</w:t>
            </w:r>
            <w:r>
              <w:br/>
              <w:t>($49)</w:t>
            </w:r>
          </w:p>
        </w:tc>
        <w:tc>
          <w:tcPr>
            <w:tcW w:w="749" w:type="pct"/>
          </w:tcPr>
          <w:p w14:paraId="5B94932B" w14:textId="77777777" w:rsidR="000D07EA" w:rsidRDefault="00BE7C89">
            <w:pPr>
              <w:pStyle w:val="BodyText"/>
              <w:spacing w:before="100" w:after="100"/>
              <w:jc w:val="center"/>
            </w:pPr>
            <w:r>
              <w:t>$71.81</w:t>
            </w:r>
            <w:r>
              <w:br/>
              <w:t>($79)</w:t>
            </w:r>
          </w:p>
        </w:tc>
        <w:tc>
          <w:tcPr>
            <w:tcW w:w="749" w:type="pct"/>
          </w:tcPr>
          <w:p w14:paraId="6DDEC5DD" w14:textId="77777777" w:rsidR="000D07EA" w:rsidRDefault="00BE7C89">
            <w:pPr>
              <w:pStyle w:val="BodyText"/>
              <w:spacing w:before="100" w:after="100"/>
              <w:jc w:val="center"/>
            </w:pPr>
            <w:r>
              <w:t>$90</w:t>
            </w:r>
            <w:r>
              <w:br/>
              <w:t>($99)</w:t>
            </w:r>
          </w:p>
        </w:tc>
        <w:tc>
          <w:tcPr>
            <w:tcW w:w="749" w:type="pct"/>
          </w:tcPr>
          <w:p w14:paraId="1659A90C" w14:textId="77777777" w:rsidR="000D07EA" w:rsidRDefault="00BE7C89">
            <w:pPr>
              <w:pStyle w:val="BodyText"/>
              <w:spacing w:before="100" w:after="100"/>
              <w:jc w:val="center"/>
            </w:pPr>
            <w:r>
              <w:t>$135.45</w:t>
            </w:r>
            <w:r>
              <w:br/>
              <w:t>($149)</w:t>
            </w:r>
          </w:p>
        </w:tc>
        <w:tc>
          <w:tcPr>
            <w:tcW w:w="749" w:type="pct"/>
          </w:tcPr>
          <w:p w14:paraId="08B6EB48" w14:textId="77777777" w:rsidR="000D07EA" w:rsidRDefault="00BE7C89">
            <w:pPr>
              <w:pStyle w:val="BodyText"/>
              <w:spacing w:before="100" w:after="100"/>
              <w:jc w:val="center"/>
            </w:pPr>
            <w:r>
              <w:t>$180.90</w:t>
            </w:r>
            <w:r>
              <w:br/>
              <w:t>($199)</w:t>
            </w:r>
          </w:p>
        </w:tc>
      </w:tr>
      <w:tr w:rsidR="000D07EA" w14:paraId="2A26B488" w14:textId="77777777">
        <w:tc>
          <w:tcPr>
            <w:tcW w:w="1256" w:type="pct"/>
            <w:tcBorders>
              <w:bottom w:val="nil"/>
            </w:tcBorders>
          </w:tcPr>
          <w:p w14:paraId="29B1C97F" w14:textId="77777777" w:rsidR="000D07EA" w:rsidRDefault="00BE7C89">
            <w:pPr>
              <w:pStyle w:val="BodyText"/>
              <w:spacing w:before="100" w:after="100"/>
              <w:rPr>
                <w:b/>
              </w:rPr>
            </w:pPr>
            <w:r>
              <w:rPr>
                <w:b/>
              </w:rPr>
              <w:t xml:space="preserve">Included call component </w:t>
            </w:r>
          </w:p>
        </w:tc>
        <w:tc>
          <w:tcPr>
            <w:tcW w:w="749" w:type="pct"/>
            <w:tcBorders>
              <w:bottom w:val="nil"/>
            </w:tcBorders>
          </w:tcPr>
          <w:p w14:paraId="248BD54B" w14:textId="77777777" w:rsidR="000D07EA" w:rsidRDefault="00BE7C89">
            <w:pPr>
              <w:pStyle w:val="BodyText"/>
              <w:spacing w:before="100" w:after="100"/>
              <w:jc w:val="center"/>
            </w:pPr>
            <w:r>
              <w:t>$272.73</w:t>
            </w:r>
            <w:r>
              <w:br/>
              <w:t>($300)</w:t>
            </w:r>
          </w:p>
        </w:tc>
        <w:tc>
          <w:tcPr>
            <w:tcW w:w="749" w:type="pct"/>
            <w:tcBorders>
              <w:bottom w:val="nil"/>
            </w:tcBorders>
          </w:tcPr>
          <w:p w14:paraId="23827504" w14:textId="77777777" w:rsidR="000D07EA" w:rsidRDefault="00BE7C89">
            <w:pPr>
              <w:pStyle w:val="BodyText"/>
              <w:spacing w:before="100" w:after="100"/>
              <w:jc w:val="center"/>
            </w:pPr>
            <w:r>
              <w:t>$500</w:t>
            </w:r>
            <w:r>
              <w:br/>
              <w:t>($550)</w:t>
            </w:r>
          </w:p>
        </w:tc>
        <w:tc>
          <w:tcPr>
            <w:tcW w:w="749" w:type="pct"/>
            <w:tcBorders>
              <w:bottom w:val="nil"/>
            </w:tcBorders>
          </w:tcPr>
          <w:p w14:paraId="5ECFDAF7" w14:textId="77777777" w:rsidR="000D07EA" w:rsidRDefault="00BE7C89">
            <w:pPr>
              <w:pStyle w:val="BodyText"/>
              <w:spacing w:before="100" w:after="100"/>
              <w:jc w:val="center"/>
            </w:pPr>
            <w:r>
              <w:t>$681.82</w:t>
            </w:r>
            <w:r>
              <w:br/>
              <w:t>($750)</w:t>
            </w:r>
          </w:p>
        </w:tc>
        <w:tc>
          <w:tcPr>
            <w:tcW w:w="749" w:type="pct"/>
            <w:tcBorders>
              <w:bottom w:val="nil"/>
            </w:tcBorders>
          </w:tcPr>
          <w:p w14:paraId="67101EA1" w14:textId="77777777" w:rsidR="000D07EA" w:rsidRDefault="00BE7C89">
            <w:pPr>
              <w:pStyle w:val="BodyText"/>
              <w:spacing w:before="100" w:after="100"/>
              <w:jc w:val="center"/>
            </w:pPr>
            <w:r>
              <w:t>$1090.91</w:t>
            </w:r>
            <w:r>
              <w:br/>
              <w:t>($1200)</w:t>
            </w:r>
          </w:p>
        </w:tc>
        <w:tc>
          <w:tcPr>
            <w:tcW w:w="749" w:type="pct"/>
            <w:tcBorders>
              <w:bottom w:val="nil"/>
            </w:tcBorders>
          </w:tcPr>
          <w:p w14:paraId="7073EBB7" w14:textId="77777777" w:rsidR="000D07EA" w:rsidRDefault="00BE7C89">
            <w:pPr>
              <w:pStyle w:val="BodyText"/>
              <w:spacing w:before="100" w:after="100"/>
              <w:jc w:val="center"/>
            </w:pPr>
            <w:r>
              <w:t>$1727.28</w:t>
            </w:r>
            <w:r>
              <w:br/>
              <w:t>($1900)</w:t>
            </w:r>
          </w:p>
        </w:tc>
      </w:tr>
      <w:tr w:rsidR="000D07EA" w14:paraId="6FBB925C" w14:textId="77777777">
        <w:trPr>
          <w:trHeight w:val="60"/>
        </w:trPr>
        <w:tc>
          <w:tcPr>
            <w:tcW w:w="1256" w:type="pct"/>
            <w:tcBorders>
              <w:bottom w:val="nil"/>
            </w:tcBorders>
          </w:tcPr>
          <w:p w14:paraId="29E8925C" w14:textId="77777777" w:rsidR="000D07EA" w:rsidRDefault="00BE7C89">
            <w:pPr>
              <w:pStyle w:val="BodyText"/>
              <w:spacing w:before="100" w:after="100"/>
            </w:pPr>
            <w:r>
              <w:rPr>
                <w:b/>
              </w:rPr>
              <w:t xml:space="preserve">Standard Call Rate </w:t>
            </w:r>
            <w:r>
              <w:t>(per 30 seconds)</w:t>
            </w:r>
          </w:p>
          <w:p w14:paraId="5A439BCD" w14:textId="77777777" w:rsidR="000D07EA" w:rsidRDefault="00BE7C89">
            <w:pPr>
              <w:pStyle w:val="BodyText"/>
              <w:spacing w:before="100" w:after="100"/>
              <w:rPr>
                <w:color w:val="000000"/>
              </w:rPr>
            </w:pPr>
            <w:r>
              <w:rPr>
                <w:i/>
              </w:rPr>
              <w:t xml:space="preserve">Local calls, National long distance, national video calls </w:t>
            </w:r>
          </w:p>
        </w:tc>
        <w:tc>
          <w:tcPr>
            <w:tcW w:w="749" w:type="pct"/>
            <w:tcBorders>
              <w:bottom w:val="nil"/>
            </w:tcBorders>
          </w:tcPr>
          <w:p w14:paraId="6EBCF324" w14:textId="77777777" w:rsidR="000D07EA" w:rsidRDefault="00BE7C89">
            <w:pPr>
              <w:pStyle w:val="BodyText"/>
              <w:spacing w:before="100" w:after="100"/>
              <w:jc w:val="center"/>
            </w:pPr>
            <w:r>
              <w:t>$0.36</w:t>
            </w:r>
            <w:r>
              <w:br/>
              <w:t>($0.40)</w:t>
            </w:r>
          </w:p>
          <w:p w14:paraId="61C8ACF4" w14:textId="77777777" w:rsidR="000D07EA" w:rsidRDefault="000D07EA">
            <w:pPr>
              <w:pStyle w:val="BodyText"/>
              <w:spacing w:before="100" w:after="100"/>
              <w:jc w:val="center"/>
              <w:rPr>
                <w:b/>
              </w:rPr>
            </w:pPr>
          </w:p>
        </w:tc>
        <w:tc>
          <w:tcPr>
            <w:tcW w:w="749" w:type="pct"/>
            <w:tcBorders>
              <w:bottom w:val="nil"/>
            </w:tcBorders>
          </w:tcPr>
          <w:p w14:paraId="6A9FF6A9" w14:textId="77777777" w:rsidR="000D07EA" w:rsidRDefault="00BE7C89">
            <w:pPr>
              <w:pStyle w:val="BodyText"/>
              <w:spacing w:before="100" w:after="100"/>
              <w:jc w:val="center"/>
            </w:pPr>
            <w:r>
              <w:t>$0.31</w:t>
            </w:r>
            <w:r>
              <w:br/>
              <w:t>($0.35)</w:t>
            </w:r>
          </w:p>
          <w:p w14:paraId="15C6B26D" w14:textId="77777777" w:rsidR="000D07EA" w:rsidRDefault="000D07EA">
            <w:pPr>
              <w:pStyle w:val="BodyText"/>
              <w:spacing w:before="100" w:after="100"/>
              <w:jc w:val="center"/>
            </w:pPr>
          </w:p>
        </w:tc>
        <w:tc>
          <w:tcPr>
            <w:tcW w:w="749" w:type="pct"/>
            <w:tcBorders>
              <w:bottom w:val="nil"/>
            </w:tcBorders>
          </w:tcPr>
          <w:p w14:paraId="02B7AAD6" w14:textId="77777777" w:rsidR="000D07EA" w:rsidRDefault="00BE7C89">
            <w:pPr>
              <w:pStyle w:val="BodyText"/>
              <w:spacing w:before="100" w:after="100"/>
              <w:jc w:val="center"/>
            </w:pPr>
            <w:r>
              <w:t>$0.31</w:t>
            </w:r>
            <w:r>
              <w:br/>
              <w:t>($0.35)</w:t>
            </w:r>
          </w:p>
          <w:p w14:paraId="5B217FCC" w14:textId="77777777" w:rsidR="000D07EA" w:rsidRDefault="000D07EA">
            <w:pPr>
              <w:pStyle w:val="BodyText"/>
              <w:spacing w:before="100" w:after="100"/>
              <w:jc w:val="center"/>
            </w:pPr>
          </w:p>
        </w:tc>
        <w:tc>
          <w:tcPr>
            <w:tcW w:w="749" w:type="pct"/>
            <w:tcBorders>
              <w:bottom w:val="nil"/>
            </w:tcBorders>
          </w:tcPr>
          <w:p w14:paraId="2F30ADD3" w14:textId="77777777" w:rsidR="000D07EA" w:rsidRDefault="00BE7C89">
            <w:pPr>
              <w:pStyle w:val="BodyText"/>
              <w:spacing w:before="100" w:after="100"/>
              <w:jc w:val="center"/>
            </w:pPr>
            <w:r>
              <w:t>$0.31</w:t>
            </w:r>
            <w:r>
              <w:br/>
              <w:t>($0.35)</w:t>
            </w:r>
          </w:p>
          <w:p w14:paraId="798933AB" w14:textId="77777777" w:rsidR="000D07EA" w:rsidRDefault="000D07EA">
            <w:pPr>
              <w:pStyle w:val="BodyText"/>
              <w:spacing w:before="100" w:after="100"/>
              <w:jc w:val="center"/>
              <w:rPr>
                <w:b/>
              </w:rPr>
            </w:pPr>
          </w:p>
        </w:tc>
        <w:tc>
          <w:tcPr>
            <w:tcW w:w="749" w:type="pct"/>
            <w:tcBorders>
              <w:bottom w:val="nil"/>
            </w:tcBorders>
          </w:tcPr>
          <w:p w14:paraId="1F9013EB" w14:textId="77777777" w:rsidR="000D07EA" w:rsidRDefault="00BE7C89">
            <w:pPr>
              <w:pStyle w:val="BodyText"/>
              <w:spacing w:before="100" w:after="100"/>
              <w:jc w:val="center"/>
            </w:pPr>
            <w:r>
              <w:t>$0.31</w:t>
            </w:r>
            <w:r>
              <w:br/>
              <w:t>($0.35)</w:t>
            </w:r>
          </w:p>
          <w:p w14:paraId="7558EE51" w14:textId="77777777" w:rsidR="000D07EA" w:rsidRDefault="000D07EA">
            <w:pPr>
              <w:pStyle w:val="BodyText"/>
              <w:spacing w:before="100" w:after="100"/>
              <w:jc w:val="center"/>
              <w:rPr>
                <w:b/>
              </w:rPr>
            </w:pPr>
          </w:p>
        </w:tc>
      </w:tr>
      <w:tr w:rsidR="000D07EA" w14:paraId="4FDBB44A" w14:textId="77777777">
        <w:trPr>
          <w:trHeight w:val="60"/>
        </w:trPr>
        <w:tc>
          <w:tcPr>
            <w:tcW w:w="1256" w:type="pct"/>
          </w:tcPr>
          <w:p w14:paraId="09EAB3DC" w14:textId="77777777" w:rsidR="000D07EA" w:rsidRDefault="00BE7C89">
            <w:pPr>
              <w:pStyle w:val="BodyText"/>
              <w:spacing w:before="100" w:after="100"/>
              <w:rPr>
                <w:b/>
                <w:i/>
              </w:rPr>
            </w:pPr>
            <w:r>
              <w:rPr>
                <w:b/>
                <w:i/>
              </w:rPr>
              <w:t>Flagfall</w:t>
            </w:r>
          </w:p>
        </w:tc>
        <w:tc>
          <w:tcPr>
            <w:tcW w:w="749" w:type="pct"/>
          </w:tcPr>
          <w:p w14:paraId="0C02A9B6" w14:textId="77777777" w:rsidR="000D07EA" w:rsidRDefault="00BE7C89">
            <w:pPr>
              <w:pStyle w:val="BodyText"/>
              <w:spacing w:before="100" w:after="100"/>
              <w:jc w:val="center"/>
            </w:pPr>
            <w:r>
              <w:t>$0.31</w:t>
            </w:r>
            <w:r>
              <w:br/>
              <w:t>($0.35)</w:t>
            </w:r>
          </w:p>
        </w:tc>
        <w:tc>
          <w:tcPr>
            <w:tcW w:w="749" w:type="pct"/>
          </w:tcPr>
          <w:p w14:paraId="5D3553BA" w14:textId="77777777" w:rsidR="000D07EA" w:rsidRDefault="00BE7C89">
            <w:pPr>
              <w:pStyle w:val="BodyText"/>
              <w:spacing w:before="100" w:after="100"/>
              <w:jc w:val="center"/>
            </w:pPr>
            <w:r>
              <w:t>$0.31</w:t>
            </w:r>
            <w:r>
              <w:br/>
              <w:t>($0.35)</w:t>
            </w:r>
          </w:p>
        </w:tc>
        <w:tc>
          <w:tcPr>
            <w:tcW w:w="749" w:type="pct"/>
          </w:tcPr>
          <w:p w14:paraId="61D9F1A4" w14:textId="77777777" w:rsidR="000D07EA" w:rsidRDefault="00BE7C89">
            <w:pPr>
              <w:pStyle w:val="BodyText"/>
              <w:spacing w:before="100" w:after="100"/>
              <w:jc w:val="center"/>
            </w:pPr>
            <w:r>
              <w:t>$0.31</w:t>
            </w:r>
            <w:r>
              <w:br/>
              <w:t>($0.35)</w:t>
            </w:r>
          </w:p>
        </w:tc>
        <w:tc>
          <w:tcPr>
            <w:tcW w:w="749" w:type="pct"/>
          </w:tcPr>
          <w:p w14:paraId="01181013" w14:textId="77777777" w:rsidR="000D07EA" w:rsidRDefault="00BE7C89">
            <w:pPr>
              <w:pStyle w:val="BodyText"/>
              <w:spacing w:before="100" w:after="100"/>
              <w:jc w:val="center"/>
            </w:pPr>
            <w:r>
              <w:t>$0.31</w:t>
            </w:r>
            <w:r>
              <w:br/>
              <w:t>($0.35)</w:t>
            </w:r>
          </w:p>
        </w:tc>
        <w:tc>
          <w:tcPr>
            <w:tcW w:w="749" w:type="pct"/>
          </w:tcPr>
          <w:p w14:paraId="132D672C" w14:textId="77777777" w:rsidR="000D07EA" w:rsidRDefault="00BE7C89">
            <w:pPr>
              <w:pStyle w:val="BodyText"/>
              <w:spacing w:before="100" w:after="100"/>
              <w:jc w:val="center"/>
            </w:pPr>
            <w:r>
              <w:t>$0.31</w:t>
            </w:r>
            <w:r>
              <w:br/>
              <w:t>($0.35)</w:t>
            </w:r>
          </w:p>
        </w:tc>
      </w:tr>
      <w:tr w:rsidR="000D07EA" w14:paraId="45A2517A" w14:textId="77777777">
        <w:trPr>
          <w:trHeight w:val="60"/>
        </w:trPr>
        <w:tc>
          <w:tcPr>
            <w:tcW w:w="1256" w:type="pct"/>
          </w:tcPr>
          <w:p w14:paraId="3AA04DCB" w14:textId="77777777" w:rsidR="000D07EA" w:rsidRDefault="00BE7C89">
            <w:pPr>
              <w:pStyle w:val="BodyText"/>
              <w:spacing w:before="100" w:after="100"/>
              <w:rPr>
                <w:b/>
                <w:i/>
              </w:rPr>
            </w:pPr>
            <w:r>
              <w:rPr>
                <w:b/>
                <w:i/>
              </w:rPr>
              <w:t xml:space="preserve">Minimum term </w:t>
            </w:r>
          </w:p>
        </w:tc>
        <w:tc>
          <w:tcPr>
            <w:tcW w:w="749" w:type="pct"/>
          </w:tcPr>
          <w:p w14:paraId="32D52AE1" w14:textId="77777777" w:rsidR="000D07EA" w:rsidRDefault="00BE7C89">
            <w:pPr>
              <w:pStyle w:val="BodyText"/>
              <w:spacing w:before="100" w:after="100"/>
              <w:jc w:val="center"/>
            </w:pPr>
            <w:r>
              <w:t>Monthly or 12 Months or 24 Months</w:t>
            </w:r>
          </w:p>
        </w:tc>
        <w:tc>
          <w:tcPr>
            <w:tcW w:w="749" w:type="pct"/>
          </w:tcPr>
          <w:p w14:paraId="36DAD42D" w14:textId="77777777" w:rsidR="000D07EA" w:rsidRDefault="00BE7C89">
            <w:pPr>
              <w:pStyle w:val="BodyText"/>
              <w:spacing w:before="100" w:after="100"/>
              <w:jc w:val="center"/>
            </w:pPr>
            <w:r>
              <w:t>Monthly or 12 Months or 24 Months</w:t>
            </w:r>
          </w:p>
        </w:tc>
        <w:tc>
          <w:tcPr>
            <w:tcW w:w="749" w:type="pct"/>
          </w:tcPr>
          <w:p w14:paraId="040AA568" w14:textId="77777777" w:rsidR="000D07EA" w:rsidRDefault="00BE7C89">
            <w:pPr>
              <w:pStyle w:val="BodyText"/>
              <w:spacing w:before="100" w:after="100"/>
              <w:jc w:val="center"/>
            </w:pPr>
            <w:r>
              <w:t>Monthly or 12 Months or 24 Months</w:t>
            </w:r>
          </w:p>
        </w:tc>
        <w:tc>
          <w:tcPr>
            <w:tcW w:w="749" w:type="pct"/>
          </w:tcPr>
          <w:p w14:paraId="27783F34" w14:textId="77777777" w:rsidR="000D07EA" w:rsidRDefault="00BE7C89">
            <w:pPr>
              <w:pStyle w:val="BodyText"/>
              <w:spacing w:before="100" w:after="100"/>
              <w:jc w:val="center"/>
            </w:pPr>
            <w:r>
              <w:t>Monthly or 12 Months or 24 Months</w:t>
            </w:r>
          </w:p>
        </w:tc>
        <w:tc>
          <w:tcPr>
            <w:tcW w:w="749" w:type="pct"/>
          </w:tcPr>
          <w:p w14:paraId="4B1D7F1D" w14:textId="77777777" w:rsidR="000D07EA" w:rsidRDefault="00BE7C89">
            <w:pPr>
              <w:pStyle w:val="BodyText"/>
              <w:spacing w:before="100" w:after="100"/>
              <w:jc w:val="center"/>
            </w:pPr>
            <w:r>
              <w:t>Monthly or 12 Months or 24 Months</w:t>
            </w:r>
          </w:p>
        </w:tc>
      </w:tr>
    </w:tbl>
    <w:p w14:paraId="7F1C9C45" w14:textId="77777777" w:rsidR="000D07EA" w:rsidRDefault="00BE7C89">
      <w:pPr>
        <w:pStyle w:val="BodyText"/>
        <w:spacing w:after="0"/>
        <w:rPr>
          <w:rFonts w:eastAsia="Times New Roman"/>
          <w:bCs/>
          <w:color w:val="000000"/>
          <w:sz w:val="16"/>
          <w:szCs w:val="16"/>
        </w:rPr>
      </w:pPr>
      <w:r>
        <w:rPr>
          <w:rFonts w:eastAsia="Times New Roman"/>
          <w:bCs/>
          <w:color w:val="000000"/>
          <w:sz w:val="16"/>
          <w:szCs w:val="16"/>
        </w:rPr>
        <w:t>Please note:</w:t>
      </w:r>
    </w:p>
    <w:p w14:paraId="07A3F2F0" w14:textId="77777777" w:rsidR="000D07EA" w:rsidRDefault="00BE7C89">
      <w:pPr>
        <w:pStyle w:val="Heading8"/>
        <w:numPr>
          <w:ilvl w:val="0"/>
          <w:numId w:val="0"/>
        </w:numPr>
        <w:spacing w:after="0"/>
        <w:ind w:left="720"/>
        <w:rPr>
          <w:sz w:val="16"/>
          <w:szCs w:val="16"/>
        </w:rPr>
      </w:pPr>
      <w:r>
        <w:rPr>
          <w:sz w:val="16"/>
          <w:szCs w:val="16"/>
        </w:rPr>
        <w:t>(i)</w:t>
      </w:r>
      <w:r>
        <w:rPr>
          <w:sz w:val="16"/>
          <w:szCs w:val="16"/>
        </w:rPr>
        <w:tab/>
        <w:t>"SmartFleet" and "BusinessTime" call rates may apply.</w:t>
      </w:r>
    </w:p>
    <w:p w14:paraId="37AB9C02" w14:textId="77777777" w:rsidR="000D07EA" w:rsidRDefault="00BE7C89">
      <w:pPr>
        <w:pStyle w:val="Heading8"/>
        <w:numPr>
          <w:ilvl w:val="0"/>
          <w:numId w:val="0"/>
        </w:numPr>
        <w:spacing w:after="0"/>
        <w:ind w:left="720"/>
      </w:pPr>
      <w:r>
        <w:rPr>
          <w:sz w:val="16"/>
          <w:szCs w:val="16"/>
        </w:rPr>
        <w:t>(ii)</w:t>
      </w:r>
      <w:r>
        <w:rPr>
          <w:sz w:val="16"/>
          <w:szCs w:val="16"/>
        </w:rPr>
        <w:tab/>
        <w:t>Minimum Monthly Commitment applies regardless of your calls and services usage.</w:t>
      </w:r>
    </w:p>
    <w:p w14:paraId="4D8CC2C1" w14:textId="77777777" w:rsidR="000D07EA" w:rsidRDefault="000D07EA">
      <w:pPr>
        <w:pStyle w:val="BodyText"/>
        <w:rPr>
          <w:rFonts w:eastAsia="Times New Roman"/>
          <w:bCs/>
          <w:color w:val="000000"/>
          <w:szCs w:val="22"/>
        </w:rPr>
      </w:pPr>
    </w:p>
    <w:p w14:paraId="2C1851A3" w14:textId="77777777" w:rsidR="000D07EA" w:rsidRDefault="000D07EA">
      <w:pPr>
        <w:pStyle w:val="BodyText"/>
        <w:ind w:left="1440"/>
        <w:rPr>
          <w:rFonts w:eastAsia="Times New Roman"/>
          <w:b/>
          <w:bCs/>
          <w:color w:val="000000"/>
          <w:szCs w:val="22"/>
        </w:rPr>
        <w:sectPr w:rsidR="000D07EA">
          <w:headerReference w:type="default" r:id="rId111"/>
          <w:footerReference w:type="default" r:id="rId112"/>
          <w:pgSz w:w="16840" w:h="11900" w:orient="landscape"/>
          <w:pgMar w:top="851" w:right="851" w:bottom="851" w:left="851" w:header="461" w:footer="288" w:gutter="0"/>
          <w:cols w:space="708"/>
          <w:docGrid w:linePitch="360"/>
        </w:sectPr>
      </w:pPr>
    </w:p>
    <w:p w14:paraId="3C00A6CB" w14:textId="77777777" w:rsidR="000D07EA" w:rsidRDefault="00BE7C89">
      <w:pPr>
        <w:pStyle w:val="Heading6"/>
        <w:ind w:left="0" w:firstLine="0"/>
      </w:pPr>
      <w:r>
        <w:lastRenderedPageBreak/>
        <w:t xml:space="preserve">What happens if the </w:t>
      </w:r>
      <w:r>
        <w:rPr>
          <w:i/>
        </w:rPr>
        <w:t>service</w:t>
      </w:r>
      <w:r>
        <w:t xml:space="preserve"> is </w:t>
      </w:r>
      <w:r>
        <w:rPr>
          <w:i/>
        </w:rPr>
        <w:t>cancelled</w:t>
      </w:r>
      <w:r>
        <w:t xml:space="preserve"> early?</w:t>
      </w:r>
    </w:p>
    <w:p w14:paraId="000B85A7" w14:textId="77777777" w:rsidR="000D07EA" w:rsidRDefault="00BE7C89">
      <w:pPr>
        <w:pStyle w:val="Heading7"/>
      </w:pPr>
      <w:r>
        <w:t>If</w:t>
      </w:r>
      <w:r>
        <w:rPr>
          <w:i/>
        </w:rPr>
        <w:t xml:space="preserve"> the</w:t>
      </w:r>
      <w:r>
        <w:t xml:space="preserve"> </w:t>
      </w:r>
      <w:r>
        <w:rPr>
          <w:i/>
        </w:rPr>
        <w:t>service</w:t>
      </w:r>
      <w:r>
        <w:t xml:space="preserve"> </w:t>
      </w:r>
      <w:r>
        <w:rPr>
          <w:i/>
        </w:rPr>
        <w:t>is cancelled</w:t>
      </w:r>
      <w:r>
        <w:t xml:space="preserve"> before the expiry of the </w:t>
      </w:r>
      <w:r>
        <w:rPr>
          <w:i/>
        </w:rPr>
        <w:t>minimum term</w:t>
      </w:r>
      <w:r>
        <w:t xml:space="preserve">, </w:t>
      </w:r>
      <w:r>
        <w:rPr>
          <w:i/>
        </w:rPr>
        <w:t>you</w:t>
      </w:r>
      <w:r>
        <w:t xml:space="preserve"> will be required to pay </w:t>
      </w:r>
      <w:r>
        <w:rPr>
          <w:i/>
        </w:rPr>
        <w:t>us</w:t>
      </w:r>
      <w:r>
        <w:t>:</w:t>
      </w:r>
    </w:p>
    <w:p w14:paraId="55130B38" w14:textId="77777777" w:rsidR="000D07EA" w:rsidRDefault="00BE7C89">
      <w:pPr>
        <w:pStyle w:val="Heading8"/>
      </w:pPr>
      <w:r>
        <w:t>any usage charges incurred up to, and including, the c</w:t>
      </w:r>
      <w:r>
        <w:rPr>
          <w:i/>
        </w:rPr>
        <w:t>ancellation date</w:t>
      </w:r>
      <w:r>
        <w:t>; plus</w:t>
      </w:r>
    </w:p>
    <w:p w14:paraId="56A23BFC" w14:textId="77777777" w:rsidR="000D07EA" w:rsidRDefault="00BE7C89">
      <w:pPr>
        <w:pStyle w:val="Heading8"/>
      </w:pPr>
      <w:r>
        <w:t xml:space="preserve">the </w:t>
      </w:r>
      <w:r>
        <w:rPr>
          <w:i/>
        </w:rPr>
        <w:t>cancellation fee</w:t>
      </w:r>
      <w:r>
        <w:t xml:space="preserve"> set out in the table below (unless under clause 2A of the </w:t>
      </w:r>
      <w:hyperlink r:id="rId113" w:history="1">
        <w:r>
          <w:rPr>
            <w:rStyle w:val="Hyperlink"/>
            <w:i/>
          </w:rPr>
          <w:t>SMB terms</w:t>
        </w:r>
      </w:hyperlink>
      <w:r>
        <w:t xml:space="preserve">, </w:t>
      </w:r>
      <w:r>
        <w:rPr>
          <w:i/>
        </w:rPr>
        <w:t>you</w:t>
      </w:r>
      <w:r>
        <w:t xml:space="preserve"> are entitled to </w:t>
      </w:r>
      <w:r>
        <w:rPr>
          <w:i/>
        </w:rPr>
        <w:t>cancel the service</w:t>
      </w:r>
      <w:r>
        <w:t xml:space="preserve"> without incurring a </w:t>
      </w:r>
      <w:r>
        <w:rPr>
          <w:i/>
        </w:rPr>
        <w:t>cancellation fee</w:t>
      </w:r>
      <w:r>
        <w:t>); plus</w:t>
      </w:r>
    </w:p>
    <w:p w14:paraId="28E41574" w14:textId="77777777" w:rsidR="000D07EA" w:rsidRDefault="00BE7C89">
      <w:pPr>
        <w:pStyle w:val="Heading8"/>
      </w:pPr>
      <w:r>
        <w:t xml:space="preserve">the sum of unpaid </w:t>
      </w:r>
      <w:r>
        <w:rPr>
          <w:i/>
        </w:rPr>
        <w:t>equipment charges</w:t>
      </w:r>
      <w:r>
        <w:t xml:space="preserve"> owing on </w:t>
      </w:r>
      <w:r>
        <w:rPr>
          <w:i/>
        </w:rPr>
        <w:t>your mobile phone</w:t>
      </w:r>
      <w:r>
        <w:t xml:space="preserve"> under the </w:t>
      </w:r>
      <w:r>
        <w:rPr>
          <w:i/>
        </w:rPr>
        <w:t>mobile equipment payment plan</w:t>
      </w:r>
      <w:r>
        <w:t xml:space="preserve"> (if any).</w:t>
      </w:r>
    </w:p>
    <w:p w14:paraId="5117D3FD" w14:textId="77777777" w:rsidR="000D07EA" w:rsidRDefault="00BE7C89">
      <w:pPr>
        <w:pStyle w:val="Heading7"/>
      </w:pPr>
      <w:r>
        <w:t xml:space="preserve">The </w:t>
      </w:r>
      <w:r>
        <w:rPr>
          <w:i/>
        </w:rPr>
        <w:t>cancellation fee</w:t>
      </w:r>
      <w:r>
        <w:t xml:space="preserve"> payable under paragraph </w:t>
      </w:r>
      <w:r w:rsidR="00EE7426" w:rsidRPr="00272628">
        <w:t>78</w:t>
      </w:r>
      <w:r w:rsidRPr="00272628">
        <w:t>.5(a) (if any</w:t>
      </w:r>
      <w:r>
        <w:t xml:space="preserve">) is calculated as follows: </w:t>
      </w:r>
    </w:p>
    <w:p w14:paraId="1A2C6A61" w14:textId="77777777" w:rsidR="000D07EA" w:rsidRDefault="00BE7C89">
      <w:pPr>
        <w:pStyle w:val="Heading8"/>
      </w:pPr>
      <w:r>
        <w:t xml:space="preserve">If </w:t>
      </w:r>
      <w:r>
        <w:rPr>
          <w:i/>
        </w:rPr>
        <w:t>you</w:t>
      </w:r>
      <w:r>
        <w:t xml:space="preserve"> are on a 24 month </w:t>
      </w:r>
      <w:r>
        <w:rPr>
          <w:i/>
        </w:rPr>
        <w:t>pricing plan</w:t>
      </w:r>
      <w:r>
        <w:t xml:space="preserve">, the </w:t>
      </w:r>
      <w:r>
        <w:rPr>
          <w:i/>
        </w:rPr>
        <w:t>cancellation fee</w:t>
      </w:r>
      <w:r>
        <w:t xml:space="preserve"> between months 0-12 is:</w:t>
      </w:r>
    </w:p>
    <w:p w14:paraId="34F9BA12" w14:textId="77777777" w:rsidR="000D07EA" w:rsidRDefault="00BE7C89">
      <w:pPr>
        <w:pStyle w:val="Heading9"/>
        <w:rPr>
          <w:b/>
          <w:i/>
        </w:rPr>
      </w:pPr>
      <w:r>
        <w:rPr>
          <w:b/>
          <w:i/>
        </w:rPr>
        <w:t>For customers who sign up before 1 July 2007:</w:t>
      </w:r>
    </w:p>
    <w:tbl>
      <w:tblPr>
        <w:tblW w:w="4300" w:type="pct"/>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4"/>
        <w:gridCol w:w="1735"/>
        <w:gridCol w:w="1735"/>
        <w:gridCol w:w="1735"/>
        <w:gridCol w:w="1733"/>
      </w:tblGrid>
      <w:tr w:rsidR="000D07EA" w14:paraId="4ECD6881" w14:textId="77777777">
        <w:trPr>
          <w:trHeight w:val="60"/>
        </w:trPr>
        <w:tc>
          <w:tcPr>
            <w:tcW w:w="1041" w:type="pct"/>
          </w:tcPr>
          <w:p w14:paraId="6B640C2B" w14:textId="77777777" w:rsidR="000D07EA" w:rsidRDefault="00BE7C89">
            <w:pPr>
              <w:pStyle w:val="BodyText"/>
              <w:spacing w:before="100" w:after="100"/>
              <w:jc w:val="center"/>
              <w:rPr>
                <w:b/>
              </w:rPr>
            </w:pPr>
            <w:r>
              <w:rPr>
                <w:b/>
              </w:rPr>
              <w:t>'yes' Business Smart 49 Plan</w:t>
            </w:r>
          </w:p>
        </w:tc>
        <w:tc>
          <w:tcPr>
            <w:tcW w:w="990" w:type="pct"/>
          </w:tcPr>
          <w:p w14:paraId="7833C055" w14:textId="77777777" w:rsidR="000D07EA" w:rsidRDefault="00BE7C89">
            <w:pPr>
              <w:pStyle w:val="BodyText"/>
              <w:spacing w:before="100" w:after="100"/>
              <w:jc w:val="center"/>
              <w:rPr>
                <w:b/>
              </w:rPr>
            </w:pPr>
            <w:r>
              <w:rPr>
                <w:b/>
              </w:rPr>
              <w:t>'yes' Business Smart 79 Plan</w:t>
            </w:r>
          </w:p>
        </w:tc>
        <w:tc>
          <w:tcPr>
            <w:tcW w:w="990" w:type="pct"/>
          </w:tcPr>
          <w:p w14:paraId="746680AD" w14:textId="77777777" w:rsidR="000D07EA" w:rsidRDefault="00BE7C89">
            <w:pPr>
              <w:pStyle w:val="BodyText"/>
              <w:spacing w:before="100" w:after="100"/>
              <w:jc w:val="center"/>
              <w:rPr>
                <w:b/>
              </w:rPr>
            </w:pPr>
            <w:r>
              <w:rPr>
                <w:b/>
              </w:rPr>
              <w:t>'yes' Business Smart 99 Plan</w:t>
            </w:r>
          </w:p>
        </w:tc>
        <w:tc>
          <w:tcPr>
            <w:tcW w:w="990" w:type="pct"/>
          </w:tcPr>
          <w:p w14:paraId="1B635A2C" w14:textId="77777777" w:rsidR="000D07EA" w:rsidRDefault="00BE7C89">
            <w:pPr>
              <w:pStyle w:val="BodyText"/>
              <w:spacing w:before="100" w:after="100"/>
              <w:jc w:val="center"/>
              <w:rPr>
                <w:b/>
              </w:rPr>
            </w:pPr>
            <w:r>
              <w:rPr>
                <w:b/>
              </w:rPr>
              <w:t>'yes' Business Smart 149 Plan</w:t>
            </w:r>
          </w:p>
        </w:tc>
        <w:tc>
          <w:tcPr>
            <w:tcW w:w="990" w:type="pct"/>
          </w:tcPr>
          <w:p w14:paraId="4D86FE0F" w14:textId="77777777" w:rsidR="000D07EA" w:rsidRDefault="00BE7C89">
            <w:pPr>
              <w:pStyle w:val="BodyText"/>
              <w:spacing w:before="100" w:after="100"/>
              <w:jc w:val="center"/>
              <w:rPr>
                <w:b/>
              </w:rPr>
            </w:pPr>
            <w:r>
              <w:rPr>
                <w:b/>
              </w:rPr>
              <w:t>'yes' Business Smart 199 Plan</w:t>
            </w:r>
          </w:p>
        </w:tc>
      </w:tr>
      <w:tr w:rsidR="000D07EA" w14:paraId="57B7C978" w14:textId="77777777">
        <w:tc>
          <w:tcPr>
            <w:tcW w:w="1041" w:type="pct"/>
          </w:tcPr>
          <w:p w14:paraId="392EFBA6" w14:textId="77777777" w:rsidR="000D07EA" w:rsidRDefault="00BE7C89">
            <w:pPr>
              <w:pStyle w:val="BodyText"/>
              <w:spacing w:before="100" w:after="100"/>
              <w:jc w:val="center"/>
            </w:pPr>
            <w:r>
              <w:t>$359.09</w:t>
            </w:r>
            <w:r>
              <w:br/>
              <w:t>($395)</w:t>
            </w:r>
          </w:p>
        </w:tc>
        <w:tc>
          <w:tcPr>
            <w:tcW w:w="990" w:type="pct"/>
          </w:tcPr>
          <w:p w14:paraId="5A78E087" w14:textId="77777777" w:rsidR="000D07EA" w:rsidRDefault="00BE7C89">
            <w:pPr>
              <w:pStyle w:val="BodyText"/>
              <w:spacing w:before="100" w:after="100"/>
              <w:jc w:val="center"/>
            </w:pPr>
            <w:r>
              <w:t>$372.72</w:t>
            </w:r>
            <w:r>
              <w:br/>
              <w:t>($410)</w:t>
            </w:r>
          </w:p>
        </w:tc>
        <w:tc>
          <w:tcPr>
            <w:tcW w:w="990" w:type="pct"/>
          </w:tcPr>
          <w:p w14:paraId="6A4A70FC" w14:textId="77777777" w:rsidR="000D07EA" w:rsidRDefault="00BE7C89">
            <w:pPr>
              <w:pStyle w:val="BodyText"/>
              <w:spacing w:before="100" w:after="100"/>
              <w:jc w:val="center"/>
            </w:pPr>
            <w:r>
              <w:t>$395.45</w:t>
            </w:r>
            <w:r>
              <w:br/>
              <w:t>($435)</w:t>
            </w:r>
          </w:p>
        </w:tc>
        <w:tc>
          <w:tcPr>
            <w:tcW w:w="990" w:type="pct"/>
          </w:tcPr>
          <w:p w14:paraId="44DD5A80" w14:textId="77777777" w:rsidR="000D07EA" w:rsidRDefault="00BE7C89">
            <w:pPr>
              <w:pStyle w:val="BodyText"/>
              <w:spacing w:before="100" w:after="100"/>
              <w:jc w:val="center"/>
            </w:pPr>
            <w:r>
              <w:t>$463.63</w:t>
            </w:r>
            <w:r>
              <w:br/>
              <w:t>($510)</w:t>
            </w:r>
          </w:p>
        </w:tc>
        <w:tc>
          <w:tcPr>
            <w:tcW w:w="990" w:type="pct"/>
          </w:tcPr>
          <w:p w14:paraId="7AE5AA00" w14:textId="77777777" w:rsidR="000D07EA" w:rsidRDefault="00BE7C89">
            <w:pPr>
              <w:pStyle w:val="BodyText"/>
              <w:spacing w:before="100" w:after="100"/>
              <w:jc w:val="center"/>
            </w:pPr>
            <w:r>
              <w:t>$509.09</w:t>
            </w:r>
            <w:r>
              <w:br/>
              <w:t>($560)</w:t>
            </w:r>
          </w:p>
        </w:tc>
      </w:tr>
    </w:tbl>
    <w:p w14:paraId="40B8EA05" w14:textId="77777777" w:rsidR="000D07EA" w:rsidRDefault="00BE7C89">
      <w:pPr>
        <w:pStyle w:val="Heading9"/>
        <w:numPr>
          <w:ilvl w:val="0"/>
          <w:numId w:val="0"/>
        </w:numPr>
        <w:spacing w:before="240"/>
        <w:ind w:left="1440"/>
      </w:pPr>
      <w:r>
        <w:t xml:space="preserve">And for </w:t>
      </w:r>
      <w:r>
        <w:rPr>
          <w:i/>
        </w:rPr>
        <w:t>cancellations</w:t>
      </w:r>
      <w:r>
        <w:t xml:space="preserve"> between months 13-24, an amount in accordance with the following calculations: for months 13-15, 80% of the </w:t>
      </w:r>
      <w:r>
        <w:rPr>
          <w:i/>
        </w:rPr>
        <w:t>cancellation fee</w:t>
      </w:r>
      <w:r>
        <w:t xml:space="preserve">; for months 16-18, 60% of the </w:t>
      </w:r>
      <w:r>
        <w:rPr>
          <w:i/>
        </w:rPr>
        <w:t>cancellation fee</w:t>
      </w:r>
      <w:r>
        <w:t xml:space="preserve">; for months 19-21, 40% of the </w:t>
      </w:r>
      <w:r>
        <w:rPr>
          <w:i/>
        </w:rPr>
        <w:t>cancellation fee</w:t>
      </w:r>
      <w:r>
        <w:t xml:space="preserve">; for months 22-24, 20% of the </w:t>
      </w:r>
      <w:r>
        <w:rPr>
          <w:i/>
        </w:rPr>
        <w:t>cancellation fee</w:t>
      </w:r>
      <w:r>
        <w:t>.</w:t>
      </w:r>
    </w:p>
    <w:p w14:paraId="10F68B19" w14:textId="77777777" w:rsidR="000D07EA" w:rsidRDefault="00BE7C89">
      <w:pPr>
        <w:pStyle w:val="Heading9"/>
        <w:rPr>
          <w:b/>
          <w:i/>
        </w:rPr>
      </w:pPr>
      <w:r>
        <w:rPr>
          <w:b/>
          <w:i/>
        </w:rPr>
        <w:t>For customers who sign up on and from 1 July 2007:</w:t>
      </w:r>
    </w:p>
    <w:tbl>
      <w:tblPr>
        <w:tblW w:w="4300" w:type="pct"/>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4"/>
        <w:gridCol w:w="1735"/>
        <w:gridCol w:w="1735"/>
        <w:gridCol w:w="1735"/>
        <w:gridCol w:w="1733"/>
      </w:tblGrid>
      <w:tr w:rsidR="000D07EA" w14:paraId="1E05436A" w14:textId="77777777">
        <w:tc>
          <w:tcPr>
            <w:tcW w:w="1041" w:type="pct"/>
          </w:tcPr>
          <w:p w14:paraId="5D430A48" w14:textId="77777777" w:rsidR="000D07EA" w:rsidRDefault="00BE7C89">
            <w:pPr>
              <w:pStyle w:val="BodyText"/>
              <w:spacing w:before="100" w:after="100"/>
              <w:jc w:val="center"/>
              <w:rPr>
                <w:b/>
              </w:rPr>
            </w:pPr>
            <w:r>
              <w:rPr>
                <w:b/>
              </w:rPr>
              <w:t>'yes'</w:t>
            </w:r>
            <w:r>
              <w:rPr>
                <w:b/>
              </w:rPr>
              <w:br/>
              <w:t>Business</w:t>
            </w:r>
            <w:r>
              <w:rPr>
                <w:b/>
              </w:rPr>
              <w:br/>
              <w:t>Smart 49</w:t>
            </w:r>
            <w:r>
              <w:rPr>
                <w:b/>
              </w:rPr>
              <w:br/>
              <w:t>Plan</w:t>
            </w:r>
          </w:p>
        </w:tc>
        <w:tc>
          <w:tcPr>
            <w:tcW w:w="990" w:type="pct"/>
          </w:tcPr>
          <w:p w14:paraId="6FEE61F1" w14:textId="77777777" w:rsidR="000D07EA" w:rsidRDefault="00BE7C89">
            <w:pPr>
              <w:pStyle w:val="BodyText"/>
              <w:spacing w:before="100" w:after="100"/>
              <w:jc w:val="center"/>
              <w:rPr>
                <w:b/>
              </w:rPr>
            </w:pPr>
            <w:r>
              <w:rPr>
                <w:b/>
              </w:rPr>
              <w:t>'yes'</w:t>
            </w:r>
            <w:r>
              <w:rPr>
                <w:b/>
              </w:rPr>
              <w:br/>
              <w:t>Business</w:t>
            </w:r>
            <w:r>
              <w:rPr>
                <w:b/>
              </w:rPr>
              <w:br/>
              <w:t>Smart 79</w:t>
            </w:r>
            <w:r>
              <w:rPr>
                <w:b/>
              </w:rPr>
              <w:br/>
              <w:t>Plan</w:t>
            </w:r>
          </w:p>
        </w:tc>
        <w:tc>
          <w:tcPr>
            <w:tcW w:w="990" w:type="pct"/>
          </w:tcPr>
          <w:p w14:paraId="27304912" w14:textId="77777777" w:rsidR="000D07EA" w:rsidRDefault="00BE7C89">
            <w:pPr>
              <w:pStyle w:val="BodyText"/>
              <w:spacing w:before="100" w:after="100"/>
              <w:jc w:val="center"/>
              <w:rPr>
                <w:b/>
              </w:rPr>
            </w:pPr>
            <w:r>
              <w:rPr>
                <w:b/>
              </w:rPr>
              <w:t>'yes'</w:t>
            </w:r>
            <w:r>
              <w:rPr>
                <w:b/>
              </w:rPr>
              <w:br/>
              <w:t>Business</w:t>
            </w:r>
            <w:r>
              <w:rPr>
                <w:b/>
              </w:rPr>
              <w:br/>
              <w:t>Smart 99</w:t>
            </w:r>
            <w:r>
              <w:rPr>
                <w:b/>
              </w:rPr>
              <w:br/>
              <w:t>Plan</w:t>
            </w:r>
          </w:p>
        </w:tc>
        <w:tc>
          <w:tcPr>
            <w:tcW w:w="990" w:type="pct"/>
          </w:tcPr>
          <w:p w14:paraId="02700E63" w14:textId="77777777" w:rsidR="000D07EA" w:rsidRDefault="00BE7C89">
            <w:pPr>
              <w:pStyle w:val="BodyText"/>
              <w:spacing w:before="100" w:after="100"/>
              <w:jc w:val="center"/>
              <w:rPr>
                <w:b/>
              </w:rPr>
            </w:pPr>
            <w:r>
              <w:rPr>
                <w:b/>
              </w:rPr>
              <w:t>'yes'</w:t>
            </w:r>
            <w:r>
              <w:rPr>
                <w:b/>
              </w:rPr>
              <w:br/>
              <w:t>Business</w:t>
            </w:r>
            <w:r>
              <w:rPr>
                <w:b/>
              </w:rPr>
              <w:br/>
              <w:t>Smart 149</w:t>
            </w:r>
            <w:r>
              <w:rPr>
                <w:b/>
              </w:rPr>
              <w:br/>
              <w:t>Plan</w:t>
            </w:r>
          </w:p>
        </w:tc>
        <w:tc>
          <w:tcPr>
            <w:tcW w:w="990" w:type="pct"/>
          </w:tcPr>
          <w:p w14:paraId="1FE48D16" w14:textId="77777777" w:rsidR="000D07EA" w:rsidRDefault="00BE7C89">
            <w:pPr>
              <w:pStyle w:val="BodyText"/>
              <w:spacing w:before="100" w:after="100"/>
              <w:jc w:val="center"/>
              <w:rPr>
                <w:b/>
              </w:rPr>
            </w:pPr>
            <w:r>
              <w:rPr>
                <w:b/>
              </w:rPr>
              <w:t>'yes'</w:t>
            </w:r>
            <w:r>
              <w:rPr>
                <w:b/>
              </w:rPr>
              <w:br/>
              <w:t>Business</w:t>
            </w:r>
            <w:r>
              <w:rPr>
                <w:b/>
              </w:rPr>
              <w:br/>
              <w:t>Smart 199</w:t>
            </w:r>
            <w:r>
              <w:rPr>
                <w:b/>
              </w:rPr>
              <w:br/>
              <w:t>Plan</w:t>
            </w:r>
          </w:p>
        </w:tc>
      </w:tr>
      <w:tr w:rsidR="000D07EA" w14:paraId="5306DECB" w14:textId="77777777">
        <w:tc>
          <w:tcPr>
            <w:tcW w:w="1041" w:type="pct"/>
          </w:tcPr>
          <w:p w14:paraId="4AF7E963" w14:textId="77777777" w:rsidR="000D07EA" w:rsidRDefault="00BE7C89">
            <w:pPr>
              <w:pStyle w:val="BodyText"/>
              <w:spacing w:before="100" w:after="100"/>
              <w:jc w:val="center"/>
            </w:pPr>
            <w:r>
              <w:t>$454.54</w:t>
            </w:r>
            <w:r>
              <w:br/>
              <w:t>($500)</w:t>
            </w:r>
          </w:p>
        </w:tc>
        <w:tc>
          <w:tcPr>
            <w:tcW w:w="990" w:type="pct"/>
          </w:tcPr>
          <w:p w14:paraId="23C1576E" w14:textId="77777777" w:rsidR="000D07EA" w:rsidRDefault="00BE7C89">
            <w:pPr>
              <w:pStyle w:val="BodyText"/>
              <w:spacing w:before="100" w:after="100"/>
              <w:jc w:val="center"/>
            </w:pPr>
            <w:r>
              <w:t>$572.72</w:t>
            </w:r>
            <w:r>
              <w:br/>
              <w:t>($630)</w:t>
            </w:r>
          </w:p>
        </w:tc>
        <w:tc>
          <w:tcPr>
            <w:tcW w:w="990" w:type="pct"/>
          </w:tcPr>
          <w:p w14:paraId="4B43CFFB" w14:textId="77777777" w:rsidR="000D07EA" w:rsidRDefault="00BE7C89">
            <w:pPr>
              <w:pStyle w:val="BodyText"/>
              <w:spacing w:before="100" w:after="100"/>
              <w:jc w:val="center"/>
            </w:pPr>
            <w:r>
              <w:t>$613.63</w:t>
            </w:r>
            <w:r>
              <w:br/>
              <w:t>($675)</w:t>
            </w:r>
          </w:p>
        </w:tc>
        <w:tc>
          <w:tcPr>
            <w:tcW w:w="990" w:type="pct"/>
          </w:tcPr>
          <w:p w14:paraId="038EB2CB" w14:textId="77777777" w:rsidR="000D07EA" w:rsidRDefault="00BE7C89">
            <w:pPr>
              <w:pStyle w:val="BodyText"/>
              <w:spacing w:before="100" w:after="100"/>
              <w:jc w:val="center"/>
            </w:pPr>
            <w:r>
              <w:t>$681.81</w:t>
            </w:r>
            <w:r>
              <w:br/>
              <w:t>($750)</w:t>
            </w:r>
          </w:p>
        </w:tc>
        <w:tc>
          <w:tcPr>
            <w:tcW w:w="990" w:type="pct"/>
          </w:tcPr>
          <w:p w14:paraId="146DCAB9" w14:textId="77777777" w:rsidR="000D07EA" w:rsidRDefault="00BE7C89">
            <w:pPr>
              <w:pStyle w:val="BodyText"/>
              <w:spacing w:before="100" w:after="100"/>
              <w:jc w:val="center"/>
            </w:pPr>
            <w:r>
              <w:t>$750</w:t>
            </w:r>
            <w:r>
              <w:br/>
              <w:t>($825)</w:t>
            </w:r>
          </w:p>
        </w:tc>
      </w:tr>
    </w:tbl>
    <w:p w14:paraId="499DE571" w14:textId="77777777" w:rsidR="000D07EA" w:rsidRDefault="00BE7C89">
      <w:pPr>
        <w:pStyle w:val="BodyText"/>
        <w:spacing w:before="240"/>
        <w:ind w:left="1440"/>
      </w:pPr>
      <w:r>
        <w:t xml:space="preserve">And for </w:t>
      </w:r>
      <w:r>
        <w:rPr>
          <w:i/>
        </w:rPr>
        <w:t>cancellations</w:t>
      </w:r>
      <w:r>
        <w:t xml:space="preserve"> between months 13-24, an amount in accordance with the following calculations: for months 13-15, 80% of the </w:t>
      </w:r>
      <w:r>
        <w:rPr>
          <w:i/>
        </w:rPr>
        <w:t>cancellation fee</w:t>
      </w:r>
      <w:r>
        <w:t xml:space="preserve">; for months 16-18, 60% of the </w:t>
      </w:r>
      <w:r>
        <w:rPr>
          <w:i/>
        </w:rPr>
        <w:t>cancellation fee</w:t>
      </w:r>
      <w:r>
        <w:t xml:space="preserve">; for months 19-21, 40% of the </w:t>
      </w:r>
      <w:r>
        <w:rPr>
          <w:i/>
        </w:rPr>
        <w:t>cancellation fee</w:t>
      </w:r>
      <w:r>
        <w:t xml:space="preserve">; for months 22-24, 20% of the </w:t>
      </w:r>
      <w:r>
        <w:rPr>
          <w:i/>
        </w:rPr>
        <w:t>cancellation fee</w:t>
      </w:r>
      <w:r>
        <w:t xml:space="preserve">. </w:t>
      </w:r>
    </w:p>
    <w:p w14:paraId="4977F5C5" w14:textId="77777777" w:rsidR="000D07EA" w:rsidRDefault="00BE7C89">
      <w:pPr>
        <w:pStyle w:val="Heading8"/>
      </w:pPr>
      <w:r>
        <w:t xml:space="preserve">If </w:t>
      </w:r>
      <w:r>
        <w:rPr>
          <w:i/>
        </w:rPr>
        <w:t>you</w:t>
      </w:r>
      <w:r>
        <w:t xml:space="preserve"> are on a 12 month </w:t>
      </w:r>
      <w:r>
        <w:rPr>
          <w:i/>
        </w:rPr>
        <w:t>pricing plan</w:t>
      </w:r>
      <w:r>
        <w:t xml:space="preserve">, the </w:t>
      </w:r>
      <w:r>
        <w:rPr>
          <w:i/>
        </w:rPr>
        <w:t>cancellation fee</w:t>
      </w:r>
      <w:r>
        <w:t xml:space="preserve"> between months 0-6 is:</w:t>
      </w:r>
    </w:p>
    <w:tbl>
      <w:tblPr>
        <w:tblW w:w="4300" w:type="pct"/>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4"/>
        <w:gridCol w:w="1735"/>
        <w:gridCol w:w="1735"/>
        <w:gridCol w:w="1735"/>
        <w:gridCol w:w="1733"/>
      </w:tblGrid>
      <w:tr w:rsidR="000D07EA" w14:paraId="65926704" w14:textId="77777777">
        <w:tc>
          <w:tcPr>
            <w:tcW w:w="1041" w:type="pct"/>
          </w:tcPr>
          <w:p w14:paraId="1A1C589E" w14:textId="77777777" w:rsidR="000D07EA" w:rsidRDefault="00BE7C89">
            <w:pPr>
              <w:pStyle w:val="BodyText"/>
              <w:spacing w:before="100" w:after="100"/>
              <w:jc w:val="center"/>
              <w:rPr>
                <w:b/>
              </w:rPr>
            </w:pPr>
            <w:r>
              <w:rPr>
                <w:b/>
              </w:rPr>
              <w:t>'yes' Business Smart 49 Plan</w:t>
            </w:r>
          </w:p>
        </w:tc>
        <w:tc>
          <w:tcPr>
            <w:tcW w:w="990" w:type="pct"/>
          </w:tcPr>
          <w:p w14:paraId="4C8054E7" w14:textId="77777777" w:rsidR="000D07EA" w:rsidRDefault="00BE7C89">
            <w:pPr>
              <w:pStyle w:val="BodyText"/>
              <w:spacing w:before="100" w:after="100"/>
              <w:jc w:val="center"/>
              <w:rPr>
                <w:b/>
              </w:rPr>
            </w:pPr>
            <w:r>
              <w:rPr>
                <w:b/>
              </w:rPr>
              <w:t>'yes' Business Smart 79 Plan</w:t>
            </w:r>
          </w:p>
        </w:tc>
        <w:tc>
          <w:tcPr>
            <w:tcW w:w="990" w:type="pct"/>
          </w:tcPr>
          <w:p w14:paraId="724601E6" w14:textId="77777777" w:rsidR="000D07EA" w:rsidRDefault="00BE7C89">
            <w:pPr>
              <w:pStyle w:val="BodyText"/>
              <w:spacing w:before="100" w:after="100"/>
              <w:jc w:val="center"/>
              <w:rPr>
                <w:b/>
              </w:rPr>
            </w:pPr>
            <w:r>
              <w:rPr>
                <w:b/>
              </w:rPr>
              <w:t>'yes' Business Smart 99 Plan</w:t>
            </w:r>
          </w:p>
        </w:tc>
        <w:tc>
          <w:tcPr>
            <w:tcW w:w="990" w:type="pct"/>
          </w:tcPr>
          <w:p w14:paraId="02C3C88C" w14:textId="77777777" w:rsidR="000D07EA" w:rsidRDefault="00BE7C89">
            <w:pPr>
              <w:pStyle w:val="BodyText"/>
              <w:spacing w:before="100" w:after="100"/>
              <w:jc w:val="center"/>
              <w:rPr>
                <w:b/>
              </w:rPr>
            </w:pPr>
            <w:r>
              <w:rPr>
                <w:b/>
              </w:rPr>
              <w:t>'yes' Business Smart 149 Plan</w:t>
            </w:r>
          </w:p>
        </w:tc>
        <w:tc>
          <w:tcPr>
            <w:tcW w:w="990" w:type="pct"/>
          </w:tcPr>
          <w:p w14:paraId="2BF15D3B" w14:textId="77777777" w:rsidR="000D07EA" w:rsidRDefault="00BE7C89">
            <w:pPr>
              <w:pStyle w:val="BodyText"/>
              <w:spacing w:before="100" w:after="100"/>
              <w:jc w:val="center"/>
              <w:rPr>
                <w:b/>
              </w:rPr>
            </w:pPr>
            <w:r>
              <w:rPr>
                <w:b/>
              </w:rPr>
              <w:t>'yes' Business Smart 199 Plan</w:t>
            </w:r>
          </w:p>
        </w:tc>
      </w:tr>
      <w:tr w:rsidR="000D07EA" w14:paraId="2BA52DAA" w14:textId="77777777">
        <w:tc>
          <w:tcPr>
            <w:tcW w:w="1041" w:type="pct"/>
          </w:tcPr>
          <w:p w14:paraId="3C86F957" w14:textId="77777777" w:rsidR="000D07EA" w:rsidRDefault="00BE7C89">
            <w:pPr>
              <w:pStyle w:val="BodyText"/>
              <w:spacing w:before="100" w:after="100"/>
              <w:jc w:val="center"/>
            </w:pPr>
            <w:r>
              <w:t>$236.36</w:t>
            </w:r>
            <w:r>
              <w:br/>
              <w:t>($260)</w:t>
            </w:r>
          </w:p>
        </w:tc>
        <w:tc>
          <w:tcPr>
            <w:tcW w:w="990" w:type="pct"/>
          </w:tcPr>
          <w:p w14:paraId="2118663C" w14:textId="77777777" w:rsidR="000D07EA" w:rsidRDefault="00BE7C89">
            <w:pPr>
              <w:pStyle w:val="BodyText"/>
              <w:spacing w:before="100" w:after="100"/>
              <w:jc w:val="center"/>
            </w:pPr>
            <w:r>
              <w:t>$246.36</w:t>
            </w:r>
            <w:r>
              <w:br/>
              <w:t>($271)</w:t>
            </w:r>
          </w:p>
        </w:tc>
        <w:tc>
          <w:tcPr>
            <w:tcW w:w="990" w:type="pct"/>
          </w:tcPr>
          <w:p w14:paraId="4016C74A" w14:textId="77777777" w:rsidR="000D07EA" w:rsidRDefault="00BE7C89">
            <w:pPr>
              <w:pStyle w:val="BodyText"/>
              <w:spacing w:before="100" w:after="100"/>
              <w:jc w:val="center"/>
            </w:pPr>
            <w:r>
              <w:t>$277.27</w:t>
            </w:r>
            <w:r>
              <w:br/>
              <w:t>($305)</w:t>
            </w:r>
          </w:p>
        </w:tc>
        <w:tc>
          <w:tcPr>
            <w:tcW w:w="990" w:type="pct"/>
          </w:tcPr>
          <w:p w14:paraId="44E84444" w14:textId="77777777" w:rsidR="000D07EA" w:rsidRDefault="00BE7C89">
            <w:pPr>
              <w:pStyle w:val="BodyText"/>
              <w:spacing w:before="100" w:after="100"/>
              <w:jc w:val="center"/>
            </w:pPr>
            <w:r>
              <w:t>$348.18</w:t>
            </w:r>
            <w:r>
              <w:br/>
              <w:t>($383)</w:t>
            </w:r>
          </w:p>
        </w:tc>
        <w:tc>
          <w:tcPr>
            <w:tcW w:w="990" w:type="pct"/>
          </w:tcPr>
          <w:p w14:paraId="1D8FAB23" w14:textId="77777777" w:rsidR="000D07EA" w:rsidRDefault="00BE7C89">
            <w:pPr>
              <w:pStyle w:val="BodyText"/>
              <w:spacing w:before="100" w:after="100"/>
              <w:jc w:val="center"/>
            </w:pPr>
            <w:r>
              <w:t>$407.27</w:t>
            </w:r>
            <w:r>
              <w:br/>
              <w:t>($448)</w:t>
            </w:r>
          </w:p>
        </w:tc>
      </w:tr>
    </w:tbl>
    <w:p w14:paraId="7AD5A553" w14:textId="77777777" w:rsidR="000D07EA" w:rsidRDefault="00BE7C89">
      <w:pPr>
        <w:pStyle w:val="BodyText"/>
        <w:spacing w:before="240"/>
        <w:ind w:left="1440"/>
      </w:pPr>
      <w:r>
        <w:t xml:space="preserve">And for </w:t>
      </w:r>
      <w:r>
        <w:rPr>
          <w:i/>
        </w:rPr>
        <w:t>cancellations</w:t>
      </w:r>
      <w:r>
        <w:t xml:space="preserve"> between months 7-12, an amount in accordance with the following calculations: for months 7-9, 70% of the </w:t>
      </w:r>
      <w:r>
        <w:rPr>
          <w:i/>
        </w:rPr>
        <w:t>cancellation fee</w:t>
      </w:r>
      <w:r>
        <w:t xml:space="preserve">; for months 10-12, 40% of the </w:t>
      </w:r>
      <w:r>
        <w:rPr>
          <w:i/>
        </w:rPr>
        <w:t>cancellation fee</w:t>
      </w:r>
      <w:r>
        <w:t xml:space="preserve">. </w:t>
      </w:r>
    </w:p>
    <w:p w14:paraId="713467CC" w14:textId="77777777" w:rsidR="000D07EA" w:rsidRDefault="00BE7C89">
      <w:pPr>
        <w:pStyle w:val="Heading6"/>
        <w:ind w:left="0" w:firstLine="0"/>
      </w:pPr>
      <w:r>
        <w:t xml:space="preserve">Optus SMB Rewards </w:t>
      </w:r>
    </w:p>
    <w:p w14:paraId="027EE6B0" w14:textId="77777777" w:rsidR="000D07EA" w:rsidRDefault="00BE7C89">
      <w:pPr>
        <w:pStyle w:val="Heading7"/>
        <w:rPr>
          <w:b/>
          <w:bCs/>
          <w:color w:val="000000"/>
          <w:szCs w:val="22"/>
        </w:rPr>
      </w:pPr>
      <w:r>
        <w:rPr>
          <w:rStyle w:val="Heading7Char"/>
          <w:b/>
        </w:rPr>
        <w:t>Optus 'yes' Business Rewards</w:t>
      </w:r>
      <w:r>
        <w:rPr>
          <w:rStyle w:val="Heading7Char"/>
        </w:rPr>
        <w:t xml:space="preserve"> is a </w:t>
      </w:r>
      <w:r>
        <w:rPr>
          <w:rStyle w:val="Heading7Char"/>
          <w:i/>
        </w:rPr>
        <w:t>special</w:t>
      </w:r>
      <w:r>
        <w:rPr>
          <w:rStyle w:val="Heading7Char"/>
        </w:rPr>
        <w:t xml:space="preserve"> available to </w:t>
      </w:r>
      <w:r>
        <w:rPr>
          <w:rStyle w:val="Heading7Char"/>
          <w:i/>
        </w:rPr>
        <w:t>small or medium business customers</w:t>
      </w:r>
      <w:r>
        <w:rPr>
          <w:rStyle w:val="Heading7Char"/>
        </w:rPr>
        <w:t xml:space="preserve"> who connect to the </w:t>
      </w:r>
      <w:r>
        <w:rPr>
          <w:rStyle w:val="Heading7Char"/>
          <w:i/>
        </w:rPr>
        <w:t>service</w:t>
      </w:r>
      <w:r>
        <w:rPr>
          <w:rStyle w:val="Heading7Char"/>
        </w:rPr>
        <w:t xml:space="preserve"> on an eligible </w:t>
      </w:r>
      <w:r>
        <w:rPr>
          <w:rStyle w:val="Heading7Char"/>
          <w:i/>
        </w:rPr>
        <w:t>pricing plan</w:t>
      </w:r>
      <w:r>
        <w:rPr>
          <w:rStyle w:val="Heading7Char"/>
        </w:rPr>
        <w:t xml:space="preserve"> after 23 November 2005. It involves more </w:t>
      </w:r>
      <w:r>
        <w:rPr>
          <w:rStyle w:val="Heading7Char"/>
        </w:rPr>
        <w:lastRenderedPageBreak/>
        <w:t xml:space="preserve">than one </w:t>
      </w:r>
      <w:r>
        <w:rPr>
          <w:rStyle w:val="Heading7Char"/>
          <w:i/>
        </w:rPr>
        <w:t>service</w:t>
      </w:r>
      <w:r>
        <w:rPr>
          <w:rStyle w:val="Heading7Char"/>
        </w:rPr>
        <w:t xml:space="preserve"> and each of the services </w:t>
      </w:r>
      <w:r>
        <w:rPr>
          <w:rStyle w:val="Heading7Char"/>
          <w:i/>
        </w:rPr>
        <w:t>you</w:t>
      </w:r>
      <w:r>
        <w:rPr>
          <w:rStyle w:val="Heading7Char"/>
        </w:rPr>
        <w:t xml:space="preserve"> select as part of </w:t>
      </w:r>
      <w:r>
        <w:rPr>
          <w:rStyle w:val="Heading7Char"/>
          <w:i/>
        </w:rPr>
        <w:t>your</w:t>
      </w:r>
      <w:r>
        <w:rPr>
          <w:rStyle w:val="Heading7Char"/>
        </w:rPr>
        <w:t xml:space="preserve"> package is provided to </w:t>
      </w:r>
      <w:r>
        <w:rPr>
          <w:rStyle w:val="Heading7Char"/>
          <w:i/>
        </w:rPr>
        <w:t>you</w:t>
      </w:r>
      <w:r>
        <w:rPr>
          <w:rStyle w:val="Heading7Char"/>
        </w:rPr>
        <w:t xml:space="preserve"> by the relevant Optus company on the terms and conditions of the </w:t>
      </w:r>
      <w:r>
        <w:rPr>
          <w:rStyle w:val="Heading7Char"/>
          <w:i/>
        </w:rPr>
        <w:t>agreement</w:t>
      </w:r>
      <w:r>
        <w:rPr>
          <w:rStyle w:val="Heading7Char"/>
        </w:rPr>
        <w:t xml:space="preserve"> for the supply of that </w:t>
      </w:r>
      <w:r>
        <w:rPr>
          <w:rStyle w:val="Heading7Char"/>
          <w:i/>
        </w:rPr>
        <w:t>service</w:t>
      </w:r>
      <w:r>
        <w:rPr>
          <w:rStyle w:val="Heading7Char"/>
        </w:rPr>
        <w:t xml:space="preserve">. Details of the various packages available and of any additional terms and conditions that apply to 'yes' Business Rewards are set out in </w:t>
      </w:r>
      <w:hyperlink r:id="rId114" w:history="1">
        <w:r>
          <w:rPr>
            <w:rStyle w:val="Hyperlink"/>
            <w:i/>
          </w:rPr>
          <w:t>Appendix IB</w:t>
        </w:r>
      </w:hyperlink>
      <w:r>
        <w:rPr>
          <w:b/>
          <w:bCs/>
          <w:color w:val="000000"/>
          <w:szCs w:val="22"/>
        </w:rPr>
        <w:t>.</w:t>
      </w:r>
    </w:p>
    <w:p w14:paraId="59649EDD" w14:textId="77777777" w:rsidR="000D07EA" w:rsidRDefault="00BE7C89">
      <w:pPr>
        <w:pStyle w:val="Heading6"/>
        <w:ind w:left="0" w:firstLine="0"/>
      </w:pPr>
      <w:r>
        <w:t>Business Bonus</w:t>
      </w:r>
    </w:p>
    <w:p w14:paraId="042F7595" w14:textId="77777777" w:rsidR="000D07EA" w:rsidRDefault="00BE7C89">
      <w:pPr>
        <w:pStyle w:val="Heading7"/>
      </w:pPr>
      <w:r>
        <w:t xml:space="preserve">If </w:t>
      </w:r>
      <w:r>
        <w:rPr>
          <w:i/>
        </w:rPr>
        <w:t>you</w:t>
      </w:r>
      <w:r>
        <w:t xml:space="preserve"> do not purchase or receive new discounted mobile hardware from either </w:t>
      </w:r>
      <w:r>
        <w:rPr>
          <w:i/>
        </w:rPr>
        <w:t>us</w:t>
      </w:r>
      <w:r>
        <w:t xml:space="preserve"> or an Optus dealer, partner or reseller when connecting to an 'yes' Business Smart Cap </w:t>
      </w:r>
      <w:r>
        <w:rPr>
          <w:i/>
        </w:rPr>
        <w:t>pricing plan</w:t>
      </w:r>
      <w:r>
        <w:t xml:space="preserve"> with a 12 or 24 month </w:t>
      </w:r>
      <w:r>
        <w:rPr>
          <w:i/>
        </w:rPr>
        <w:t>minimum term you</w:t>
      </w:r>
      <w:r>
        <w:t xml:space="preserve"> are eligible for a credit called "BYO Bonus" on </w:t>
      </w:r>
      <w:r>
        <w:rPr>
          <w:i/>
        </w:rPr>
        <w:t>your mobile phone</w:t>
      </w:r>
      <w:r>
        <w:t xml:space="preserve"> tax invoice/account.</w:t>
      </w:r>
      <w:r>
        <w:rPr>
          <w:b/>
        </w:rPr>
        <w:t xml:space="preserve"> (For the avoidance of doubt, </w:t>
      </w:r>
      <w:r>
        <w:rPr>
          <w:b/>
          <w:i/>
        </w:rPr>
        <w:t>you</w:t>
      </w:r>
      <w:r>
        <w:rPr>
          <w:b/>
        </w:rPr>
        <w:t xml:space="preserve"> will not be eligible for any "BYO Bonus" credit if, at the time </w:t>
      </w:r>
      <w:r>
        <w:rPr>
          <w:b/>
          <w:i/>
        </w:rPr>
        <w:t>you</w:t>
      </w:r>
      <w:r>
        <w:rPr>
          <w:b/>
        </w:rPr>
        <w:t xml:space="preserve"> enter into the </w:t>
      </w:r>
      <w:r>
        <w:rPr>
          <w:b/>
          <w:i/>
        </w:rPr>
        <w:t>agreement</w:t>
      </w:r>
      <w:r>
        <w:rPr>
          <w:b/>
        </w:rPr>
        <w:t xml:space="preserve"> for the </w:t>
      </w:r>
      <w:r>
        <w:rPr>
          <w:b/>
          <w:i/>
        </w:rPr>
        <w:t>service</w:t>
      </w:r>
      <w:r>
        <w:rPr>
          <w:b/>
        </w:rPr>
        <w:t xml:space="preserve"> with </w:t>
      </w:r>
      <w:r>
        <w:rPr>
          <w:b/>
          <w:i/>
        </w:rPr>
        <w:t>us you</w:t>
      </w:r>
      <w:r>
        <w:rPr>
          <w:b/>
        </w:rPr>
        <w:t xml:space="preserve"> purchase or receive mobile hardware under a separate agreement with an Optus dealer, partner or reseller.)</w:t>
      </w:r>
      <w:r>
        <w:t xml:space="preserve"> The credit will be applied to </w:t>
      </w:r>
      <w:r>
        <w:rPr>
          <w:i/>
        </w:rPr>
        <w:t>your</w:t>
      </w:r>
      <w:r>
        <w:t xml:space="preserve"> account in the first or second month of your contract and will be equal to your Minimum monthly commitment you will still receive your full included value. Customers who select a 12 month plan will receive 1 "BYO Bonus" where as customers who select a 24 month plan will receive 2 "BYO Bonus". This credit is not redeemable for cash or refundable upon </w:t>
      </w:r>
      <w:r>
        <w:rPr>
          <w:i/>
        </w:rPr>
        <w:t xml:space="preserve">cancellation </w:t>
      </w:r>
      <w:r>
        <w:t>of</w:t>
      </w:r>
      <w:r>
        <w:rPr>
          <w:i/>
        </w:rPr>
        <w:t xml:space="preserve"> your agreement</w:t>
      </w:r>
      <w:r>
        <w:t>.</w:t>
      </w:r>
    </w:p>
    <w:p w14:paraId="2BBE91D3" w14:textId="77777777" w:rsidR="000D07EA" w:rsidRDefault="00BE7C89">
      <w:pPr>
        <w:pStyle w:val="Heading4"/>
        <w:ind w:left="720" w:hanging="720"/>
      </w:pPr>
      <w:bookmarkStart w:id="207" w:name="_Toc62644620"/>
      <w:r>
        <w:t>'yes' Business Smart Cap Plans 6+ (49, 79, 99, 149, 199)</w:t>
      </w:r>
      <w:bookmarkEnd w:id="207"/>
    </w:p>
    <w:p w14:paraId="48ED0413" w14:textId="77777777" w:rsidR="000D07EA" w:rsidRDefault="00BE7C89">
      <w:pPr>
        <w:pStyle w:val="Heading6"/>
        <w:ind w:left="0" w:firstLine="0"/>
      </w:pPr>
      <w:r>
        <w:t>Eligibility</w:t>
      </w:r>
    </w:p>
    <w:p w14:paraId="47C21E20" w14:textId="77777777" w:rsidR="000D07EA" w:rsidRDefault="00BE7C89">
      <w:pPr>
        <w:pStyle w:val="Heading7"/>
      </w:pPr>
      <w:r>
        <w:t xml:space="preserve">The 'yes' Business Smart Cap </w:t>
      </w:r>
      <w:r>
        <w:rPr>
          <w:i/>
        </w:rPr>
        <w:t>pricing plan</w:t>
      </w:r>
      <w:r>
        <w:t xml:space="preserve">s are available under special offers to customers </w:t>
      </w:r>
      <w:r>
        <w:rPr>
          <w:i/>
        </w:rPr>
        <w:t>we</w:t>
      </w:r>
      <w:r>
        <w:t xml:space="preserve"> classify as </w:t>
      </w:r>
      <w:r>
        <w:rPr>
          <w:i/>
        </w:rPr>
        <w:t>small or medium business</w:t>
      </w:r>
      <w:r>
        <w:t xml:space="preserve"> customers. </w:t>
      </w:r>
    </w:p>
    <w:p w14:paraId="7D0A8790" w14:textId="77777777" w:rsidR="000D07EA" w:rsidRDefault="00BE7C89">
      <w:pPr>
        <w:pStyle w:val="Heading7"/>
      </w:pPr>
      <w:r>
        <w:t xml:space="preserve">Customers ordering a </w:t>
      </w:r>
      <w:r>
        <w:rPr>
          <w:i/>
        </w:rPr>
        <w:t>mobile phone</w:t>
      </w:r>
      <w:r>
        <w:t xml:space="preserve"> with an </w:t>
      </w:r>
      <w:r>
        <w:rPr>
          <w:i/>
        </w:rPr>
        <w:t>Optus SIM card</w:t>
      </w:r>
      <w:r>
        <w:t xml:space="preserve"> on the 'yes' Business Smart Cap </w:t>
      </w:r>
      <w:r>
        <w:rPr>
          <w:i/>
        </w:rPr>
        <w:t>pricing plan</w:t>
      </w:r>
      <w:r>
        <w:t xml:space="preserve"> must be connected to that </w:t>
      </w:r>
      <w:r>
        <w:rPr>
          <w:i/>
        </w:rPr>
        <w:t>pricing plan</w:t>
      </w:r>
      <w:r>
        <w:t xml:space="preserve"> and activated within 14 days after delivery.</w:t>
      </w:r>
    </w:p>
    <w:p w14:paraId="17FFACA1" w14:textId="77777777" w:rsidR="000D07EA" w:rsidRDefault="00BE7C89">
      <w:pPr>
        <w:pStyle w:val="Heading7"/>
      </w:pPr>
      <w:r>
        <w:rPr>
          <w:i/>
        </w:rPr>
        <w:t>You</w:t>
      </w:r>
      <w:r>
        <w:t xml:space="preserve"> must have at least 6 </w:t>
      </w:r>
      <w:r>
        <w:rPr>
          <w:i/>
        </w:rPr>
        <w:t>services</w:t>
      </w:r>
      <w:r>
        <w:t xml:space="preserve"> activated and maintained for the duration of the </w:t>
      </w:r>
      <w:r>
        <w:rPr>
          <w:i/>
        </w:rPr>
        <w:t>minimum term</w:t>
      </w:r>
      <w:r>
        <w:t xml:space="preserve">. If the number of </w:t>
      </w:r>
      <w:r>
        <w:rPr>
          <w:i/>
        </w:rPr>
        <w:t>services</w:t>
      </w:r>
      <w:r>
        <w:t xml:space="preserve"> on </w:t>
      </w:r>
      <w:r>
        <w:rPr>
          <w:i/>
        </w:rPr>
        <w:t>your</w:t>
      </w:r>
      <w:r>
        <w:t xml:space="preserve"> account falls below 6 </w:t>
      </w:r>
      <w:r>
        <w:rPr>
          <w:i/>
        </w:rPr>
        <w:t>services</w:t>
      </w:r>
      <w:r>
        <w:t xml:space="preserve"> Optus reserves the right to switch your remaining </w:t>
      </w:r>
      <w:r>
        <w:rPr>
          <w:i/>
        </w:rPr>
        <w:t>services</w:t>
      </w:r>
      <w:r>
        <w:t xml:space="preserve"> onto the 'yes' Business Smart Cap plan (set out in section 31 of this Standard Pricing Plan) with the minimum monthly spend equal to that of your 'yes' Business Smart Cap 6+ plan and the rates for that 'yes' Business Smart Cap plan will then apply to those remaining </w:t>
      </w:r>
      <w:r>
        <w:rPr>
          <w:i/>
        </w:rPr>
        <w:t>services</w:t>
      </w:r>
      <w:r>
        <w:t>.</w:t>
      </w:r>
    </w:p>
    <w:p w14:paraId="468E6625" w14:textId="77777777" w:rsidR="000D07EA" w:rsidRDefault="00BE7C89">
      <w:pPr>
        <w:pStyle w:val="Heading6"/>
        <w:ind w:left="0" w:firstLine="0"/>
      </w:pPr>
      <w:r>
        <w:t xml:space="preserve">Is it a </w:t>
      </w:r>
      <w:r>
        <w:rPr>
          <w:i/>
        </w:rPr>
        <w:t>fixed length agreement</w:t>
      </w:r>
      <w:r>
        <w:t>?</w:t>
      </w:r>
    </w:p>
    <w:p w14:paraId="5FF1621F" w14:textId="77777777" w:rsidR="000D07EA" w:rsidRDefault="00BE7C89">
      <w:pPr>
        <w:pStyle w:val="Heading7"/>
      </w:pPr>
      <w:r>
        <w:t xml:space="preserve">To connect to the 'yes' Business Smart Cap </w:t>
      </w:r>
      <w:r>
        <w:rPr>
          <w:i/>
        </w:rPr>
        <w:t>pricing plans you</w:t>
      </w:r>
      <w:r>
        <w:t xml:space="preserve"> must agree to enter into a </w:t>
      </w:r>
      <w:r>
        <w:rPr>
          <w:i/>
        </w:rPr>
        <w:t>fixed length agreement</w:t>
      </w:r>
      <w:r>
        <w:t xml:space="preserve"> for a </w:t>
      </w:r>
      <w:r>
        <w:rPr>
          <w:i/>
        </w:rPr>
        <w:t>minimum term</w:t>
      </w:r>
      <w:r>
        <w:t xml:space="preserve"> as specified below, up to 5 years, or such other term as </w:t>
      </w:r>
      <w:r>
        <w:rPr>
          <w:i/>
        </w:rPr>
        <w:t>you</w:t>
      </w:r>
      <w:r>
        <w:t xml:space="preserve"> and </w:t>
      </w:r>
      <w:r>
        <w:rPr>
          <w:i/>
        </w:rPr>
        <w:t>we</w:t>
      </w:r>
      <w:r>
        <w:t xml:space="preserve"> agree (</w:t>
      </w:r>
      <w:r>
        <w:rPr>
          <w:i/>
        </w:rPr>
        <w:t>minimum term</w:t>
      </w:r>
      <w:r>
        <w:t>).</w:t>
      </w:r>
    </w:p>
    <w:p w14:paraId="4A4E2072" w14:textId="77777777" w:rsidR="000D07EA" w:rsidRDefault="00BE7C89">
      <w:pPr>
        <w:pStyle w:val="Heading6"/>
        <w:ind w:left="0" w:firstLine="0"/>
      </w:pPr>
      <w:r>
        <w:t xml:space="preserve">What </w:t>
      </w:r>
      <w:r>
        <w:rPr>
          <w:i/>
        </w:rPr>
        <w:t>you</w:t>
      </w:r>
      <w:r>
        <w:t xml:space="preserve"> have to pay </w:t>
      </w:r>
      <w:r>
        <w:rPr>
          <w:i/>
        </w:rPr>
        <w:t>us</w:t>
      </w:r>
    </w:p>
    <w:p w14:paraId="323F7F72" w14:textId="77777777" w:rsidR="000D07EA" w:rsidRDefault="00BE7C89">
      <w:pPr>
        <w:pStyle w:val="Heading7"/>
      </w:pPr>
      <w:r>
        <w:t xml:space="preserve">If </w:t>
      </w:r>
      <w:r>
        <w:rPr>
          <w:i/>
        </w:rPr>
        <w:t>yo</w:t>
      </w:r>
      <w:r>
        <w:t xml:space="preserve">u connect to these </w:t>
      </w:r>
      <w:r>
        <w:rPr>
          <w:i/>
        </w:rPr>
        <w:t>pricing plans</w:t>
      </w:r>
      <w:r>
        <w:t xml:space="preserve"> </w:t>
      </w:r>
      <w:r>
        <w:rPr>
          <w:i/>
        </w:rPr>
        <w:t>you</w:t>
      </w:r>
      <w:r>
        <w:t xml:space="preserve"> are also required to incur usage charges each month (</w:t>
      </w:r>
      <w:r>
        <w:rPr>
          <w:i/>
        </w:rPr>
        <w:t>Optus SIM cards</w:t>
      </w:r>
      <w:r>
        <w:t xml:space="preserve"> which do not incur usage are not permitted). </w:t>
      </w:r>
    </w:p>
    <w:p w14:paraId="4908FD93" w14:textId="77777777" w:rsidR="000D07EA" w:rsidRDefault="00BE7C89">
      <w:pPr>
        <w:pStyle w:val="Heading7"/>
      </w:pPr>
      <w:r>
        <w:t xml:space="preserve">If activation or usage does not occur, </w:t>
      </w:r>
      <w:r>
        <w:rPr>
          <w:i/>
        </w:rPr>
        <w:t>we</w:t>
      </w:r>
      <w:r>
        <w:t xml:space="preserve"> may </w:t>
      </w:r>
      <w:r>
        <w:rPr>
          <w:i/>
        </w:rPr>
        <w:t>cancel</w:t>
      </w:r>
      <w:r>
        <w:t xml:space="preserve"> the </w:t>
      </w:r>
      <w:r>
        <w:rPr>
          <w:i/>
        </w:rPr>
        <w:t>agreemen</w:t>
      </w:r>
      <w:r>
        <w:t xml:space="preserve">t and </w:t>
      </w:r>
      <w:r>
        <w:rPr>
          <w:i/>
        </w:rPr>
        <w:t>you</w:t>
      </w:r>
      <w:r>
        <w:t xml:space="preserve"> will be required to pay </w:t>
      </w:r>
      <w:r>
        <w:rPr>
          <w:i/>
        </w:rPr>
        <w:t>us</w:t>
      </w:r>
      <w:r>
        <w:t xml:space="preserve"> the relevant </w:t>
      </w:r>
      <w:r>
        <w:rPr>
          <w:i/>
        </w:rPr>
        <w:t>cancellation fee</w:t>
      </w:r>
      <w:r>
        <w:t xml:space="preserve">, if applicable, specified in the table in paragraph </w:t>
      </w:r>
      <w:r w:rsidR="00EE7426" w:rsidRPr="00272628">
        <w:t>79</w:t>
      </w:r>
      <w:r w:rsidRPr="00272628">
        <w:t>.5 below</w:t>
      </w:r>
      <w:r>
        <w:t>.</w:t>
      </w:r>
    </w:p>
    <w:p w14:paraId="78F4BCFA" w14:textId="77777777" w:rsidR="000D07EA" w:rsidRDefault="00BE7C89">
      <w:pPr>
        <w:pStyle w:val="Heading6"/>
        <w:ind w:left="0" w:firstLine="0"/>
      </w:pPr>
      <w:r>
        <w:t>Pricing</w:t>
      </w:r>
    </w:p>
    <w:p w14:paraId="6002B516" w14:textId="77777777" w:rsidR="000D07EA" w:rsidRDefault="00BE7C89">
      <w:pPr>
        <w:pStyle w:val="Heading7"/>
      </w:pPr>
      <w:r>
        <w:t xml:space="preserve">The 'yes' Business Smart Cap </w:t>
      </w:r>
      <w:r>
        <w:rPr>
          <w:i/>
        </w:rPr>
        <w:t>pricing plans</w:t>
      </w:r>
      <w:r>
        <w:t xml:space="preserve"> include </w:t>
      </w:r>
      <w:r>
        <w:rPr>
          <w:i/>
        </w:rPr>
        <w:t>flagfall</w:t>
      </w:r>
      <w:r>
        <w:t xml:space="preserve"> per call as specified in the table below, for </w:t>
      </w:r>
      <w:r>
        <w:rPr>
          <w:i/>
        </w:rPr>
        <w:t>local calls</w:t>
      </w:r>
      <w:r>
        <w:t xml:space="preserve"> and </w:t>
      </w:r>
      <w:r>
        <w:rPr>
          <w:i/>
        </w:rPr>
        <w:t>national long distance calls</w:t>
      </w:r>
      <w:r>
        <w:t xml:space="preserve"> and calls to </w:t>
      </w:r>
      <w:r>
        <w:rPr>
          <w:i/>
        </w:rPr>
        <w:t>mobile phones</w:t>
      </w:r>
      <w:r>
        <w:t xml:space="preserve">. So the charge for these calls is the </w:t>
      </w:r>
      <w:r>
        <w:rPr>
          <w:i/>
        </w:rPr>
        <w:t>flagfall</w:t>
      </w:r>
      <w:r>
        <w:t xml:space="preserve"> plus the relevant rate multiplied by the duration of the call. The </w:t>
      </w:r>
      <w:r>
        <w:rPr>
          <w:i/>
        </w:rPr>
        <w:t>flagfa</w:t>
      </w:r>
      <w:r>
        <w:t>ll is not applicable to calls made under the "SmartFleet" or "Business Time" call rates.</w:t>
      </w:r>
    </w:p>
    <w:p w14:paraId="62E9E6FB" w14:textId="77777777" w:rsidR="000D07EA" w:rsidRDefault="00BE7C89">
      <w:pPr>
        <w:pStyle w:val="Heading7"/>
      </w:pPr>
      <w:r>
        <w:t>'yes' Business Smart Cap (YBSC)</w:t>
      </w:r>
      <w:r>
        <w:rPr>
          <w:i/>
        </w:rPr>
        <w:t xml:space="preserve"> pricing plans</w:t>
      </w:r>
      <w:r>
        <w:t xml:space="preserve"> include: </w:t>
      </w:r>
    </w:p>
    <w:p w14:paraId="424F0ACB" w14:textId="77777777" w:rsidR="000D07EA" w:rsidRDefault="00BE7C89">
      <w:pPr>
        <w:pStyle w:val="Heading8"/>
      </w:pPr>
      <w:r>
        <w:t>Unlimited Voicemail - voicemail deposits and retrievals at no charge. Fair Go Policy (</w:t>
      </w:r>
      <w:hyperlink r:id="rId115" w:history="1">
        <w:r>
          <w:rPr>
            <w:rStyle w:val="Hyperlink"/>
            <w:i/>
          </w:rPr>
          <w:t>Appendix S</w:t>
        </w:r>
      </w:hyperlink>
      <w:r>
        <w:t xml:space="preserve">) applies. </w:t>
      </w:r>
    </w:p>
    <w:p w14:paraId="6D5DDEE4" w14:textId="77777777" w:rsidR="000D07EA" w:rsidRDefault="00BE7C89">
      <w:pPr>
        <w:pStyle w:val="Heading8"/>
      </w:pPr>
      <w:r>
        <w:lastRenderedPageBreak/>
        <w:t>A choice between 2 offers called "SmartFleet" or "BusinessTime". Customers must choose an offer or no offer will be added:</w:t>
      </w:r>
    </w:p>
    <w:p w14:paraId="453CC62A" w14:textId="77777777" w:rsidR="000D07EA" w:rsidRDefault="00BE7C89">
      <w:pPr>
        <w:pStyle w:val="Heading9"/>
      </w:pPr>
      <w:r>
        <w:t xml:space="preserve">The "SmartFleet" call rate applies to calls to another YBSC, 'yes' Business Smart (YBS), 'yes' Business Fleet (BF) or inBusiness Edge (inBE) </w:t>
      </w:r>
      <w:r>
        <w:rPr>
          <w:i/>
        </w:rPr>
        <w:t>service</w:t>
      </w:r>
      <w:r>
        <w:t xml:space="preserve"> on the same customer account number. Calls are charged at $0. No </w:t>
      </w:r>
      <w:r>
        <w:rPr>
          <w:i/>
        </w:rPr>
        <w:t xml:space="preserve">flagfall </w:t>
      </w:r>
      <w:r>
        <w:t xml:space="preserve">applies. Excludes calls to Optus Pre-Paid, Satellite and service provider customers. Applies to calls made and received in Australia. "SmartFleet" Promotion available until 31/07/07 unless withdrawn earlier. </w:t>
      </w:r>
      <w:r w:rsidR="00503F23">
        <w:t xml:space="preserve">The </w:t>
      </w:r>
      <w:r>
        <w:t xml:space="preserve">Fair Go Policy applies (see </w:t>
      </w:r>
      <w:hyperlink r:id="rId116" w:history="1">
        <w:r w:rsidRPr="00DD7FB0">
          <w:rPr>
            <w:rStyle w:val="Hyperlink"/>
            <w:i/>
          </w:rPr>
          <w:t xml:space="preserve">Appendix </w:t>
        </w:r>
        <w:r w:rsidR="00DD7FB0" w:rsidRPr="00DD7FB0">
          <w:rPr>
            <w:rStyle w:val="Hyperlink"/>
            <w:i/>
          </w:rPr>
          <w:t>S</w:t>
        </w:r>
      </w:hyperlink>
      <w:r>
        <w:t xml:space="preserve">). Note: Standard call exclusions (see section 1 of this </w:t>
      </w:r>
      <w:r>
        <w:rPr>
          <w:i/>
        </w:rPr>
        <w:t>standard pricing table</w:t>
      </w:r>
      <w:r>
        <w:t>) apply to the "SmartFleet" call rates.</w:t>
      </w:r>
    </w:p>
    <w:p w14:paraId="478B247B" w14:textId="77777777" w:rsidR="000D07EA" w:rsidRDefault="00BE7C89">
      <w:pPr>
        <w:pStyle w:val="Heading9"/>
      </w:pPr>
      <w:r>
        <w:t xml:space="preserve">Upon request, customers may set up a BusinessTime (BT) offer. Only three BT services per YBSC mobile service are permitted. If </w:t>
      </w:r>
      <w:r>
        <w:rPr>
          <w:i/>
        </w:rPr>
        <w:t>you</w:t>
      </w:r>
      <w:r>
        <w:t xml:space="preserve"> combine </w:t>
      </w:r>
      <w:r>
        <w:rPr>
          <w:i/>
        </w:rPr>
        <w:t>your</w:t>
      </w:r>
      <w:r>
        <w:t xml:space="preserve"> YBSC service with a currently available Optus Business Phone and / or DSL </w:t>
      </w:r>
      <w:r>
        <w:rPr>
          <w:i/>
        </w:rPr>
        <w:t>you</w:t>
      </w:r>
      <w:r>
        <w:t xml:space="preserve"> can nominate 5 numbers. The numbers can be eligible Optus GSM mobile(s) and / or standard fixed line(s), as defined by Optus and cannot be a 13, 1300, 1800 or 1900 number. Calls must be made and received in Australia. For the first 5 minutes of a BT call, eligible Optus </w:t>
      </w:r>
      <w:r>
        <w:rPr>
          <w:i/>
        </w:rPr>
        <w:t xml:space="preserve">mobile phones on your </w:t>
      </w:r>
      <w:r>
        <w:t xml:space="preserve">account are charged $0. After the first 5 minutes the standard call rate that corresponds with </w:t>
      </w:r>
      <w:r>
        <w:rPr>
          <w:i/>
        </w:rPr>
        <w:t>your</w:t>
      </w:r>
      <w:r>
        <w:t xml:space="preserve"> selected YBSC rate plan will apply. Please allow up to 48 hours for the activation of your BT service. BT Promotion available until 31/12/07 unless withdrawn earlier. </w:t>
      </w:r>
      <w:r w:rsidR="00503F23">
        <w:t xml:space="preserve">The </w:t>
      </w:r>
      <w:r>
        <w:t xml:space="preserve">Fair Go Policy applies. </w:t>
      </w:r>
    </w:p>
    <w:p w14:paraId="400359C0" w14:textId="77777777" w:rsidR="000D07EA" w:rsidRDefault="00BE7C89">
      <w:pPr>
        <w:pStyle w:val="Heading7"/>
      </w:pPr>
      <w:r>
        <w:rPr>
          <w:rStyle w:val="Heading6Char"/>
          <w:b/>
        </w:rPr>
        <w:t>International Calls:</w:t>
      </w:r>
      <w:r>
        <w:rPr>
          <w:rStyle w:val="Heading6Char"/>
        </w:rPr>
        <w:t xml:space="preserve"> For the period prior to 6 June 2010, international calls from your YBSC</w:t>
      </w:r>
      <w:r>
        <w:t xml:space="preserve"> mobile will be charged at the 'yes' International Rate and will be charged at per 30 second rates. Flagfall of 27c applies per call. Excludes video calls. </w:t>
      </w:r>
    </w:p>
    <w:p w14:paraId="5B96F723" w14:textId="77777777" w:rsidR="000D07EA" w:rsidRDefault="00BE7C89">
      <w:pPr>
        <w:pStyle w:val="BodyText"/>
        <w:ind w:left="1440"/>
      </w:pPr>
      <w:r>
        <w:t xml:space="preserve">From 6 June 2010 (inclusive), international calls from </w:t>
      </w:r>
      <w:r>
        <w:rPr>
          <w:i/>
        </w:rPr>
        <w:t>your</w:t>
      </w:r>
      <w:r>
        <w:t xml:space="preserve"> YBSC mobile will be charged at the 'yes' Business International rates and will be charged at per 30 second rates. Flagfall of 35c applies per call. Excludes video calls. For more information on the 'yes' Business International call rates please refer to </w:t>
      </w:r>
      <w:hyperlink r:id="rId117" w:history="1">
        <w:r>
          <w:rPr>
            <w:rStyle w:val="Hyperlink"/>
            <w:i/>
          </w:rPr>
          <w:t>Appendix J</w:t>
        </w:r>
      </w:hyperlink>
      <w:r>
        <w:t>.</w:t>
      </w:r>
    </w:p>
    <w:p w14:paraId="4993D221" w14:textId="77777777" w:rsidR="000D07EA" w:rsidRDefault="00BE7C89">
      <w:pPr>
        <w:pStyle w:val="Heading7"/>
        <w:rPr>
          <w:rStyle w:val="Heading6Char"/>
        </w:rPr>
      </w:pPr>
      <w:r>
        <w:rPr>
          <w:rStyle w:val="Heading6Char"/>
          <w:b/>
        </w:rPr>
        <w:t>Bolt Ons:</w:t>
      </w:r>
      <w:r>
        <w:rPr>
          <w:rStyle w:val="Heading6Char"/>
        </w:rPr>
        <w:t xml:space="preserve"> Upon request, </w:t>
      </w:r>
      <w:r>
        <w:rPr>
          <w:rStyle w:val="Heading6Char"/>
          <w:i/>
        </w:rPr>
        <w:t>you</w:t>
      </w:r>
      <w:r>
        <w:rPr>
          <w:rStyle w:val="Heading6Char"/>
        </w:rPr>
        <w:t xml:space="preserve"> may select Bolt Ons for an additional $5 per pack, per month per</w:t>
      </w:r>
      <w:r>
        <w:t xml:space="preserve"> </w:t>
      </w:r>
      <w:r>
        <w:rPr>
          <w:rStyle w:val="Heading6Char"/>
        </w:rPr>
        <w:t xml:space="preserve">service. </w:t>
      </w:r>
    </w:p>
    <w:p w14:paraId="46F122B7" w14:textId="77777777" w:rsidR="000D07EA" w:rsidRDefault="00BE7C89">
      <w:pPr>
        <w:pStyle w:val="Heading8"/>
      </w:pPr>
      <w:r>
        <w:rPr>
          <w:b/>
        </w:rPr>
        <w:t>SurePage Bolt On:</w:t>
      </w:r>
      <w:r>
        <w:t xml:space="preserve"> Pay $5 extra per month to receive 20 SurePage messages. Each additional message costs 50c. </w:t>
      </w:r>
    </w:p>
    <w:p w14:paraId="2BCDA172" w14:textId="77777777" w:rsidR="000D07EA" w:rsidRDefault="00BE7C89">
      <w:pPr>
        <w:pStyle w:val="Heading8"/>
      </w:pPr>
      <w:r>
        <w:rPr>
          <w:b/>
        </w:rPr>
        <w:t>International:</w:t>
      </w:r>
      <w:r>
        <w:t xml:space="preserve"> Pay $5 extra per month for $3 for 10 minute calls to the top 8 countries of NZ, USA, UK, Canada, Hong Kong, Singapore, Ireland and Italy. Flagfall of 27c applies per call prior to 6 June 2010. From 6 June 2010 (inclusive), flagfall of 35c applies per call. Calls going over 10 minutes will be charged the $3.00 plus any subsequent 30 seconds:</w:t>
      </w:r>
    </w:p>
    <w:p w14:paraId="0AB75986" w14:textId="77777777" w:rsidR="000D07EA" w:rsidRDefault="00BE7C89">
      <w:pPr>
        <w:pStyle w:val="Heading9"/>
      </w:pPr>
      <w:r>
        <w:t xml:space="preserve">at the 'yes' international rates for the period prior to 6 June 2010; and </w:t>
      </w:r>
    </w:p>
    <w:p w14:paraId="36F22B9E" w14:textId="77777777" w:rsidR="000D07EA" w:rsidRDefault="00BE7C89">
      <w:pPr>
        <w:pStyle w:val="Heading9"/>
      </w:pPr>
      <w:r>
        <w:t xml:space="preserve">at the 'yes' Business International rates, from 6 June 2010 (inclusive). </w:t>
      </w:r>
    </w:p>
    <w:p w14:paraId="0380203F" w14:textId="77777777" w:rsidR="000D07EA" w:rsidRDefault="00BE7C89">
      <w:pPr>
        <w:pStyle w:val="BodyText"/>
        <w:spacing w:before="240"/>
        <w:ind w:left="2160"/>
      </w:pPr>
      <w:r>
        <w:t xml:space="preserve">For more information on the 'yes' Business International call rates please refer to </w:t>
      </w:r>
      <w:hyperlink r:id="rId118" w:history="1">
        <w:r>
          <w:rPr>
            <w:rStyle w:val="Hyperlink"/>
            <w:i/>
          </w:rPr>
          <w:t>Appendix J</w:t>
        </w:r>
      </w:hyperlink>
      <w:r>
        <w:t>.</w:t>
      </w:r>
    </w:p>
    <w:p w14:paraId="6561CE2D" w14:textId="77777777" w:rsidR="000D07EA" w:rsidRDefault="00BE7C89">
      <w:pPr>
        <w:pStyle w:val="Heading7"/>
      </w:pPr>
      <w:r>
        <w:rPr>
          <w:b/>
        </w:rPr>
        <w:t>Mobile Data Plans:</w:t>
      </w:r>
      <w:r>
        <w:t xml:space="preserve"> Pay as </w:t>
      </w:r>
      <w:r>
        <w:rPr>
          <w:i/>
        </w:rPr>
        <w:t>you</w:t>
      </w:r>
      <w:r>
        <w:t xml:space="preserve"> go each month at 1.5c per KB capped at $5 for up to 5MB. If you go over 5MB, charges start again at 0.3¢/Kb. Upon request, </w:t>
      </w:r>
      <w:r>
        <w:rPr>
          <w:i/>
        </w:rPr>
        <w:t>you</w:t>
      </w:r>
      <w:r>
        <w:t xml:space="preserve"> may select one of the 5MB, 30MB, 50MB or 75MB data plans. </w:t>
      </w:r>
      <w:r>
        <w:rPr>
          <w:i/>
        </w:rPr>
        <w:t>You</w:t>
      </w:r>
      <w:r>
        <w:t xml:space="preserve"> will be required to pay each month the minimum monthly spend for the specific data plan </w:t>
      </w:r>
      <w:r>
        <w:rPr>
          <w:i/>
        </w:rPr>
        <w:t>you</w:t>
      </w:r>
      <w:r>
        <w:t xml:space="preserve"> choose. Not available as part of the cap for YBSC plans. </w:t>
      </w:r>
      <w:r>
        <w:rPr>
          <w:i/>
        </w:rPr>
        <w:t>You</w:t>
      </w:r>
      <w:r>
        <w:t xml:space="preserve"> are required to use a GPRS capable device. SMS Alerts, Ring Tones, Screen Logos, Picture Messages, Mobile Games, MMS Select Standard and MMS Select Premium content charges are also additional charges.</w:t>
      </w:r>
    </w:p>
    <w:p w14:paraId="742F8483" w14:textId="77777777" w:rsidR="000D07EA" w:rsidRDefault="00BE7C89">
      <w:pPr>
        <w:pStyle w:val="Heading7"/>
      </w:pPr>
      <w:r>
        <w:t>Table 1A below indicates whether a particular call type is an 'eligible call' which counts towards the Minimum Monthly Charge of your selected Plan.</w:t>
      </w:r>
    </w:p>
    <w:p w14:paraId="5DFB9292" w14:textId="77777777" w:rsidR="000D07EA" w:rsidRDefault="00BE7C89">
      <w:pPr>
        <w:pStyle w:val="BodyText"/>
        <w:ind w:left="1440"/>
        <w:rPr>
          <w:b/>
        </w:rPr>
      </w:pPr>
      <w:r>
        <w:rPr>
          <w:b/>
        </w:rPr>
        <w:lastRenderedPageBreak/>
        <w:t>Table 1A</w:t>
      </w:r>
    </w:p>
    <w:tbl>
      <w:tblPr>
        <w:tblW w:w="8910" w:type="dxa"/>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81"/>
        <w:gridCol w:w="4829"/>
      </w:tblGrid>
      <w:tr w:rsidR="000D07EA" w14:paraId="259D47D9" w14:textId="77777777">
        <w:trPr>
          <w:tblHeader/>
        </w:trPr>
        <w:tc>
          <w:tcPr>
            <w:tcW w:w="4081" w:type="dxa"/>
          </w:tcPr>
          <w:p w14:paraId="1732C3FB" w14:textId="77777777" w:rsidR="000D07EA" w:rsidRDefault="00BE7C89">
            <w:pPr>
              <w:pStyle w:val="BodyText"/>
              <w:spacing w:before="100" w:after="100"/>
              <w:rPr>
                <w:b/>
              </w:rPr>
            </w:pPr>
            <w:r>
              <w:rPr>
                <w:b/>
              </w:rPr>
              <w:t>Call Type</w:t>
            </w:r>
          </w:p>
        </w:tc>
        <w:tc>
          <w:tcPr>
            <w:tcW w:w="4829" w:type="dxa"/>
          </w:tcPr>
          <w:p w14:paraId="11953EF7" w14:textId="77777777" w:rsidR="000D07EA" w:rsidRDefault="00BE7C89">
            <w:pPr>
              <w:pStyle w:val="BodyText"/>
              <w:spacing w:before="100" w:after="100"/>
              <w:rPr>
                <w:b/>
              </w:rPr>
            </w:pPr>
            <w:r>
              <w:rPr>
                <w:b/>
              </w:rPr>
              <w:t>Eligible Call</w:t>
            </w:r>
          </w:p>
        </w:tc>
      </w:tr>
      <w:tr w:rsidR="000D07EA" w14:paraId="2D14526E" w14:textId="77777777">
        <w:tc>
          <w:tcPr>
            <w:tcW w:w="4081" w:type="dxa"/>
          </w:tcPr>
          <w:p w14:paraId="1DDA1990" w14:textId="77777777" w:rsidR="000D07EA" w:rsidRDefault="00BE7C89">
            <w:pPr>
              <w:pStyle w:val="BodyText"/>
              <w:spacing w:before="100" w:after="100"/>
            </w:pPr>
            <w:r>
              <w:t>National Voice Calls</w:t>
            </w:r>
          </w:p>
        </w:tc>
        <w:tc>
          <w:tcPr>
            <w:tcW w:w="4829" w:type="dxa"/>
          </w:tcPr>
          <w:p w14:paraId="531378F6" w14:textId="77777777" w:rsidR="000D07EA" w:rsidRDefault="00BE7C89">
            <w:pPr>
              <w:pStyle w:val="BodyText"/>
              <w:spacing w:before="100" w:after="100"/>
            </w:pPr>
            <w:r>
              <w:t>Yes</w:t>
            </w:r>
          </w:p>
        </w:tc>
      </w:tr>
      <w:tr w:rsidR="000D07EA" w14:paraId="67F4A85A" w14:textId="77777777">
        <w:tc>
          <w:tcPr>
            <w:tcW w:w="4081" w:type="dxa"/>
          </w:tcPr>
          <w:p w14:paraId="7FAB105C" w14:textId="77777777" w:rsidR="000D07EA" w:rsidRDefault="00BE7C89">
            <w:pPr>
              <w:pStyle w:val="BodyText"/>
              <w:spacing w:before="100" w:after="100"/>
            </w:pPr>
            <w:r>
              <w:t>National Video Calls</w:t>
            </w:r>
          </w:p>
        </w:tc>
        <w:tc>
          <w:tcPr>
            <w:tcW w:w="4829" w:type="dxa"/>
          </w:tcPr>
          <w:p w14:paraId="609FA7C9" w14:textId="77777777" w:rsidR="000D07EA" w:rsidRDefault="00BE7C89">
            <w:pPr>
              <w:pStyle w:val="BodyText"/>
              <w:spacing w:before="100" w:after="100"/>
            </w:pPr>
            <w:r>
              <w:t>Yes</w:t>
            </w:r>
          </w:p>
        </w:tc>
      </w:tr>
      <w:tr w:rsidR="000D07EA" w14:paraId="042E1373" w14:textId="77777777">
        <w:tc>
          <w:tcPr>
            <w:tcW w:w="4081" w:type="dxa"/>
          </w:tcPr>
          <w:p w14:paraId="2FEB78D6" w14:textId="77777777" w:rsidR="000D07EA" w:rsidRDefault="00BE7C89">
            <w:pPr>
              <w:pStyle w:val="BodyText"/>
              <w:spacing w:before="100" w:after="100"/>
            </w:pPr>
            <w:r>
              <w:t xml:space="preserve">International Voice Calls </w:t>
            </w:r>
          </w:p>
          <w:p w14:paraId="7787720C" w14:textId="77777777" w:rsidR="000D07EA" w:rsidRDefault="00BE7C89">
            <w:pPr>
              <w:pStyle w:val="BodyText"/>
              <w:spacing w:before="100" w:after="100"/>
            </w:pPr>
            <w:r>
              <w:t>(including calls to national fixed or GSM mobile services that then divert/switch or re-route overseas)</w:t>
            </w:r>
          </w:p>
        </w:tc>
        <w:tc>
          <w:tcPr>
            <w:tcW w:w="4829" w:type="dxa"/>
          </w:tcPr>
          <w:p w14:paraId="222F1B11" w14:textId="77777777" w:rsidR="000D07EA" w:rsidRDefault="00BE7C89">
            <w:pPr>
              <w:pStyle w:val="BodyText"/>
              <w:spacing w:before="100" w:after="100"/>
            </w:pPr>
            <w:r>
              <w:t>No</w:t>
            </w:r>
          </w:p>
        </w:tc>
      </w:tr>
      <w:tr w:rsidR="000D07EA" w14:paraId="0A6C2D87" w14:textId="77777777">
        <w:tc>
          <w:tcPr>
            <w:tcW w:w="4081" w:type="dxa"/>
          </w:tcPr>
          <w:p w14:paraId="76ACE60F" w14:textId="77777777" w:rsidR="000D07EA" w:rsidRDefault="00BE7C89">
            <w:pPr>
              <w:pStyle w:val="BodyText"/>
              <w:spacing w:before="100" w:after="100"/>
            </w:pPr>
            <w:r>
              <w:t>International Video Calls</w:t>
            </w:r>
          </w:p>
          <w:p w14:paraId="6202D1FF" w14:textId="77777777" w:rsidR="000D07EA" w:rsidRDefault="00BE7C89">
            <w:pPr>
              <w:pStyle w:val="BodyText"/>
              <w:spacing w:before="100" w:after="100"/>
            </w:pPr>
            <w:r>
              <w:t>(including calls to national fixed or GSM mobile services that then divert/switch or re-route overseas)</w:t>
            </w:r>
          </w:p>
        </w:tc>
        <w:tc>
          <w:tcPr>
            <w:tcW w:w="4829" w:type="dxa"/>
          </w:tcPr>
          <w:p w14:paraId="213F09EB" w14:textId="77777777" w:rsidR="000D07EA" w:rsidRDefault="00BE7C89">
            <w:pPr>
              <w:pStyle w:val="BodyText"/>
              <w:spacing w:before="100" w:after="100"/>
            </w:pPr>
            <w:r>
              <w:t>No</w:t>
            </w:r>
          </w:p>
        </w:tc>
      </w:tr>
      <w:tr w:rsidR="000D07EA" w14:paraId="4548FCB4" w14:textId="77777777">
        <w:tc>
          <w:tcPr>
            <w:tcW w:w="4081" w:type="dxa"/>
          </w:tcPr>
          <w:p w14:paraId="731B4D83" w14:textId="77777777" w:rsidR="000D07EA" w:rsidRDefault="00BE7C89">
            <w:pPr>
              <w:pStyle w:val="BodyText"/>
              <w:spacing w:before="100" w:after="100"/>
            </w:pPr>
            <w:r>
              <w:t>Premium Video</w:t>
            </w:r>
          </w:p>
        </w:tc>
        <w:tc>
          <w:tcPr>
            <w:tcW w:w="4829" w:type="dxa"/>
          </w:tcPr>
          <w:p w14:paraId="797980A4" w14:textId="77777777" w:rsidR="000D07EA" w:rsidRDefault="00BE7C89">
            <w:pPr>
              <w:pStyle w:val="BodyText"/>
              <w:spacing w:before="100" w:after="100"/>
            </w:pPr>
            <w:r>
              <w:t>No</w:t>
            </w:r>
          </w:p>
        </w:tc>
      </w:tr>
      <w:tr w:rsidR="000D07EA" w14:paraId="6C5CC9F1" w14:textId="77777777">
        <w:tc>
          <w:tcPr>
            <w:tcW w:w="4081" w:type="dxa"/>
          </w:tcPr>
          <w:p w14:paraId="1C13593D" w14:textId="77777777" w:rsidR="000D07EA" w:rsidRDefault="00BE7C89">
            <w:pPr>
              <w:pStyle w:val="BodyText"/>
              <w:spacing w:before="100" w:after="100"/>
            </w:pPr>
            <w:r>
              <w:t>Content Video</w:t>
            </w:r>
          </w:p>
        </w:tc>
        <w:tc>
          <w:tcPr>
            <w:tcW w:w="4829" w:type="dxa"/>
          </w:tcPr>
          <w:p w14:paraId="2D533674" w14:textId="77777777" w:rsidR="000D07EA" w:rsidRDefault="00BE7C89">
            <w:pPr>
              <w:pStyle w:val="BodyText"/>
              <w:spacing w:before="100" w:after="100"/>
            </w:pPr>
            <w:r>
              <w:t>No</w:t>
            </w:r>
          </w:p>
        </w:tc>
      </w:tr>
      <w:tr w:rsidR="000D07EA" w14:paraId="2A5F8A1D" w14:textId="77777777">
        <w:tc>
          <w:tcPr>
            <w:tcW w:w="4081" w:type="dxa"/>
          </w:tcPr>
          <w:p w14:paraId="3EBC1F88" w14:textId="77777777" w:rsidR="000D07EA" w:rsidRDefault="00BE7C89">
            <w:pPr>
              <w:pStyle w:val="BodyText"/>
              <w:spacing w:before="100" w:after="100"/>
            </w:pPr>
            <w:r>
              <w:t>National Standard SMS</w:t>
            </w:r>
          </w:p>
        </w:tc>
        <w:tc>
          <w:tcPr>
            <w:tcW w:w="4829" w:type="dxa"/>
          </w:tcPr>
          <w:p w14:paraId="52127D58" w14:textId="77777777" w:rsidR="000D07EA" w:rsidRDefault="00BE7C89">
            <w:pPr>
              <w:pStyle w:val="BodyText"/>
              <w:spacing w:before="100" w:after="100"/>
            </w:pPr>
            <w:r>
              <w:t>Yes</w:t>
            </w:r>
          </w:p>
        </w:tc>
      </w:tr>
      <w:tr w:rsidR="000D07EA" w14:paraId="120EA0B5" w14:textId="77777777">
        <w:tc>
          <w:tcPr>
            <w:tcW w:w="4081" w:type="dxa"/>
          </w:tcPr>
          <w:p w14:paraId="2E4238A7" w14:textId="77777777" w:rsidR="000D07EA" w:rsidRDefault="00BE7C89">
            <w:pPr>
              <w:pStyle w:val="BodyText"/>
              <w:spacing w:before="100" w:after="100"/>
            </w:pPr>
            <w:r>
              <w:t>International SMS</w:t>
            </w:r>
          </w:p>
        </w:tc>
        <w:tc>
          <w:tcPr>
            <w:tcW w:w="4829" w:type="dxa"/>
          </w:tcPr>
          <w:p w14:paraId="3D842866" w14:textId="77777777" w:rsidR="000D07EA" w:rsidRDefault="00BE7C89">
            <w:pPr>
              <w:pStyle w:val="BodyText"/>
              <w:spacing w:before="100" w:after="100"/>
            </w:pPr>
            <w:r>
              <w:t>Yes</w:t>
            </w:r>
          </w:p>
        </w:tc>
      </w:tr>
      <w:tr w:rsidR="000D07EA" w14:paraId="7C2DDE7E" w14:textId="77777777">
        <w:tc>
          <w:tcPr>
            <w:tcW w:w="4081" w:type="dxa"/>
          </w:tcPr>
          <w:p w14:paraId="5637F673" w14:textId="77777777" w:rsidR="000D07EA" w:rsidRDefault="00BE7C89">
            <w:pPr>
              <w:pStyle w:val="BodyText"/>
              <w:spacing w:before="100" w:after="100"/>
            </w:pPr>
            <w:r>
              <w:t>Premium SMS</w:t>
            </w:r>
          </w:p>
        </w:tc>
        <w:tc>
          <w:tcPr>
            <w:tcW w:w="4829" w:type="dxa"/>
          </w:tcPr>
          <w:p w14:paraId="3BF68A8C" w14:textId="77777777" w:rsidR="000D07EA" w:rsidRDefault="00BE7C89">
            <w:pPr>
              <w:pStyle w:val="BodyText"/>
              <w:spacing w:before="100" w:after="100"/>
            </w:pPr>
            <w:r>
              <w:t>No</w:t>
            </w:r>
          </w:p>
        </w:tc>
      </w:tr>
      <w:tr w:rsidR="000D07EA" w14:paraId="3C119379" w14:textId="77777777">
        <w:tc>
          <w:tcPr>
            <w:tcW w:w="4081" w:type="dxa"/>
          </w:tcPr>
          <w:p w14:paraId="06BD8C7A" w14:textId="77777777" w:rsidR="000D07EA" w:rsidRDefault="00BE7C89">
            <w:pPr>
              <w:pStyle w:val="BodyText"/>
              <w:spacing w:before="100" w:after="100"/>
            </w:pPr>
            <w:r>
              <w:t>National MMS</w:t>
            </w:r>
          </w:p>
        </w:tc>
        <w:tc>
          <w:tcPr>
            <w:tcW w:w="4829" w:type="dxa"/>
          </w:tcPr>
          <w:p w14:paraId="30C2CBCF" w14:textId="77777777" w:rsidR="000D07EA" w:rsidRDefault="00BE7C89">
            <w:pPr>
              <w:pStyle w:val="BodyText"/>
              <w:spacing w:before="100" w:after="100"/>
            </w:pPr>
            <w:r>
              <w:t>Yes</w:t>
            </w:r>
          </w:p>
        </w:tc>
      </w:tr>
      <w:tr w:rsidR="000D07EA" w14:paraId="2F32F535" w14:textId="77777777">
        <w:tc>
          <w:tcPr>
            <w:tcW w:w="4081" w:type="dxa"/>
          </w:tcPr>
          <w:p w14:paraId="0953698B" w14:textId="77777777" w:rsidR="000D07EA" w:rsidRDefault="00BE7C89">
            <w:pPr>
              <w:pStyle w:val="BodyText"/>
              <w:spacing w:before="100" w:after="100"/>
            </w:pPr>
            <w:r>
              <w:t>International MMS</w:t>
            </w:r>
          </w:p>
        </w:tc>
        <w:tc>
          <w:tcPr>
            <w:tcW w:w="4829" w:type="dxa"/>
          </w:tcPr>
          <w:p w14:paraId="6004B224" w14:textId="77777777" w:rsidR="000D07EA" w:rsidRDefault="00BE7C89">
            <w:pPr>
              <w:pStyle w:val="BodyText"/>
              <w:spacing w:before="100" w:after="100"/>
            </w:pPr>
            <w:r>
              <w:t>Yes</w:t>
            </w:r>
          </w:p>
        </w:tc>
      </w:tr>
      <w:tr w:rsidR="000D07EA" w14:paraId="22B7C172" w14:textId="77777777">
        <w:tc>
          <w:tcPr>
            <w:tcW w:w="4081" w:type="dxa"/>
          </w:tcPr>
          <w:p w14:paraId="50F5BBD5" w14:textId="77777777" w:rsidR="000D07EA" w:rsidRDefault="00BE7C89">
            <w:pPr>
              <w:pStyle w:val="BodyText"/>
              <w:spacing w:before="100" w:after="100"/>
            </w:pPr>
            <w:r>
              <w:t>Premium MMS</w:t>
            </w:r>
          </w:p>
        </w:tc>
        <w:tc>
          <w:tcPr>
            <w:tcW w:w="4829" w:type="dxa"/>
          </w:tcPr>
          <w:p w14:paraId="7E33C273" w14:textId="77777777" w:rsidR="000D07EA" w:rsidRDefault="00BE7C89">
            <w:pPr>
              <w:pStyle w:val="BodyText"/>
              <w:spacing w:before="100" w:after="100"/>
            </w:pPr>
            <w:r>
              <w:t>No</w:t>
            </w:r>
          </w:p>
        </w:tc>
      </w:tr>
      <w:tr w:rsidR="000D07EA" w14:paraId="446CD0AD" w14:textId="77777777">
        <w:tc>
          <w:tcPr>
            <w:tcW w:w="4081" w:type="dxa"/>
          </w:tcPr>
          <w:p w14:paraId="7E84FC11" w14:textId="77777777" w:rsidR="000D07EA" w:rsidRDefault="00BE7C89">
            <w:pPr>
              <w:pStyle w:val="BodyText"/>
              <w:spacing w:before="100" w:after="100"/>
            </w:pPr>
            <w:r>
              <w:t>Voicemail Diversions</w:t>
            </w:r>
          </w:p>
        </w:tc>
        <w:tc>
          <w:tcPr>
            <w:tcW w:w="4829" w:type="dxa"/>
          </w:tcPr>
          <w:p w14:paraId="4EC70738" w14:textId="77777777" w:rsidR="000D07EA" w:rsidRDefault="00BE7C89">
            <w:pPr>
              <w:pStyle w:val="BodyText"/>
              <w:spacing w:before="100" w:after="100"/>
            </w:pPr>
            <w:r>
              <w:t>Yes</w:t>
            </w:r>
          </w:p>
        </w:tc>
      </w:tr>
      <w:tr w:rsidR="000D07EA" w14:paraId="790635CB" w14:textId="77777777">
        <w:tc>
          <w:tcPr>
            <w:tcW w:w="4081" w:type="dxa"/>
          </w:tcPr>
          <w:p w14:paraId="1D8E54D1" w14:textId="77777777" w:rsidR="000D07EA" w:rsidRDefault="00BE7C89">
            <w:pPr>
              <w:pStyle w:val="BodyText"/>
              <w:spacing w:before="100" w:after="100"/>
            </w:pPr>
            <w:r>
              <w:t>Voicemail Deposit and Retrievals</w:t>
            </w:r>
          </w:p>
        </w:tc>
        <w:tc>
          <w:tcPr>
            <w:tcW w:w="4829" w:type="dxa"/>
          </w:tcPr>
          <w:p w14:paraId="785892D7" w14:textId="77777777" w:rsidR="000D07EA" w:rsidRDefault="00BE7C89">
            <w:pPr>
              <w:pStyle w:val="BodyText"/>
              <w:spacing w:before="100" w:after="100"/>
            </w:pPr>
            <w:r>
              <w:t>Yes</w:t>
            </w:r>
          </w:p>
        </w:tc>
      </w:tr>
      <w:tr w:rsidR="000D07EA" w14:paraId="4B71CD3A" w14:textId="77777777">
        <w:tc>
          <w:tcPr>
            <w:tcW w:w="4081" w:type="dxa"/>
          </w:tcPr>
          <w:p w14:paraId="7E4A97F7" w14:textId="77777777" w:rsidR="000D07EA" w:rsidRDefault="00BE7C89">
            <w:pPr>
              <w:pStyle w:val="BodyText"/>
              <w:spacing w:before="100" w:after="100"/>
            </w:pPr>
            <w:r>
              <w:t>International Roaming and Diversions</w:t>
            </w:r>
          </w:p>
        </w:tc>
        <w:tc>
          <w:tcPr>
            <w:tcW w:w="4829" w:type="dxa"/>
          </w:tcPr>
          <w:p w14:paraId="0EB4DC3D" w14:textId="77777777" w:rsidR="000D07EA" w:rsidRDefault="00BE7C89">
            <w:pPr>
              <w:pStyle w:val="BodyText"/>
              <w:spacing w:before="100" w:after="100"/>
            </w:pPr>
            <w:r>
              <w:t>No</w:t>
            </w:r>
          </w:p>
        </w:tc>
      </w:tr>
      <w:tr w:rsidR="000D07EA" w14:paraId="39BE7FBD" w14:textId="77777777">
        <w:tc>
          <w:tcPr>
            <w:tcW w:w="4081" w:type="dxa"/>
          </w:tcPr>
          <w:p w14:paraId="67DB0555" w14:textId="77777777" w:rsidR="000D07EA" w:rsidRDefault="00BE7C89">
            <w:pPr>
              <w:pStyle w:val="BodyText"/>
              <w:spacing w:before="100" w:after="100"/>
            </w:pPr>
            <w:r>
              <w:t>Video Conferencing</w:t>
            </w:r>
          </w:p>
        </w:tc>
        <w:tc>
          <w:tcPr>
            <w:tcW w:w="4829" w:type="dxa"/>
          </w:tcPr>
          <w:p w14:paraId="586870DC" w14:textId="77777777" w:rsidR="000D07EA" w:rsidRDefault="00BE7C89">
            <w:pPr>
              <w:pStyle w:val="BodyText"/>
              <w:spacing w:before="100" w:after="100"/>
            </w:pPr>
            <w:r>
              <w:t>No</w:t>
            </w:r>
          </w:p>
        </w:tc>
      </w:tr>
      <w:tr w:rsidR="000D07EA" w14:paraId="0AF2A6F0" w14:textId="77777777">
        <w:tc>
          <w:tcPr>
            <w:tcW w:w="4081" w:type="dxa"/>
          </w:tcPr>
          <w:p w14:paraId="5C374B01" w14:textId="77777777" w:rsidR="000D07EA" w:rsidRDefault="00BE7C89">
            <w:pPr>
              <w:pStyle w:val="BodyText"/>
              <w:spacing w:before="100" w:after="100"/>
            </w:pPr>
            <w:r>
              <w:t>BlackBerry Email</w:t>
            </w:r>
          </w:p>
        </w:tc>
        <w:tc>
          <w:tcPr>
            <w:tcW w:w="4829" w:type="dxa"/>
          </w:tcPr>
          <w:p w14:paraId="50453AEE" w14:textId="77777777" w:rsidR="000D07EA" w:rsidRDefault="00BE7C89">
            <w:pPr>
              <w:pStyle w:val="BodyText"/>
              <w:spacing w:before="100" w:after="100"/>
            </w:pPr>
            <w:r>
              <w:t>No</w:t>
            </w:r>
          </w:p>
        </w:tc>
      </w:tr>
      <w:tr w:rsidR="000D07EA" w14:paraId="6BFAE01E" w14:textId="77777777">
        <w:tc>
          <w:tcPr>
            <w:tcW w:w="4081" w:type="dxa"/>
          </w:tcPr>
          <w:p w14:paraId="19FAFCF0" w14:textId="77777777" w:rsidR="000D07EA" w:rsidRDefault="00BE7C89">
            <w:pPr>
              <w:pStyle w:val="BodyText"/>
              <w:spacing w:before="100" w:after="100"/>
            </w:pPr>
            <w:r>
              <w:t>Optus Zoo Browsing</w:t>
            </w:r>
          </w:p>
        </w:tc>
        <w:tc>
          <w:tcPr>
            <w:tcW w:w="4829" w:type="dxa"/>
          </w:tcPr>
          <w:p w14:paraId="4CC63C0F" w14:textId="77777777" w:rsidR="000D07EA" w:rsidRDefault="00BE7C89">
            <w:pPr>
              <w:pStyle w:val="BodyText"/>
              <w:spacing w:before="100" w:after="100"/>
            </w:pPr>
            <w:r>
              <w:t>No</w:t>
            </w:r>
          </w:p>
        </w:tc>
      </w:tr>
      <w:tr w:rsidR="000D07EA" w14:paraId="05A4C7EE" w14:textId="77777777">
        <w:tc>
          <w:tcPr>
            <w:tcW w:w="4081" w:type="dxa"/>
          </w:tcPr>
          <w:p w14:paraId="1274C27B" w14:textId="77777777" w:rsidR="000D07EA" w:rsidRDefault="00BE7C89">
            <w:pPr>
              <w:pStyle w:val="BodyText"/>
              <w:spacing w:before="100" w:after="100"/>
            </w:pPr>
            <w:r>
              <w:t>Optus Zoo Downloads</w:t>
            </w:r>
          </w:p>
        </w:tc>
        <w:tc>
          <w:tcPr>
            <w:tcW w:w="4829" w:type="dxa"/>
          </w:tcPr>
          <w:p w14:paraId="2455AB99" w14:textId="77777777" w:rsidR="000D07EA" w:rsidRDefault="00BE7C89">
            <w:pPr>
              <w:pStyle w:val="BodyText"/>
              <w:spacing w:before="100" w:after="100"/>
            </w:pPr>
            <w:r>
              <w:t>No</w:t>
            </w:r>
          </w:p>
        </w:tc>
      </w:tr>
      <w:tr w:rsidR="000D07EA" w14:paraId="031A9930" w14:textId="77777777">
        <w:tc>
          <w:tcPr>
            <w:tcW w:w="4081" w:type="dxa"/>
          </w:tcPr>
          <w:p w14:paraId="1D96A38B" w14:textId="77777777" w:rsidR="000D07EA" w:rsidRDefault="00BE7C89">
            <w:pPr>
              <w:pStyle w:val="BodyText"/>
              <w:spacing w:before="100" w:after="100"/>
            </w:pPr>
            <w:r>
              <w:t>966* Zoo</w:t>
            </w:r>
          </w:p>
        </w:tc>
        <w:tc>
          <w:tcPr>
            <w:tcW w:w="4829" w:type="dxa"/>
          </w:tcPr>
          <w:p w14:paraId="370CDA2C" w14:textId="77777777" w:rsidR="000D07EA" w:rsidRDefault="00BE7C89">
            <w:pPr>
              <w:pStyle w:val="BodyText"/>
              <w:spacing w:before="100" w:after="100"/>
            </w:pPr>
            <w:r>
              <w:t>No</w:t>
            </w:r>
          </w:p>
        </w:tc>
      </w:tr>
      <w:tr w:rsidR="000D07EA" w14:paraId="4C43E0EE" w14:textId="77777777">
        <w:tc>
          <w:tcPr>
            <w:tcW w:w="4081" w:type="dxa"/>
          </w:tcPr>
          <w:p w14:paraId="2E7379B1" w14:textId="77777777" w:rsidR="000D07EA" w:rsidRDefault="00BE7C89">
            <w:pPr>
              <w:pStyle w:val="BodyText"/>
              <w:spacing w:before="100" w:after="100"/>
            </w:pPr>
            <w:r>
              <w:t>Mobile Internet usage and VPN</w:t>
            </w:r>
          </w:p>
        </w:tc>
        <w:tc>
          <w:tcPr>
            <w:tcW w:w="4829" w:type="dxa"/>
          </w:tcPr>
          <w:p w14:paraId="1F103813" w14:textId="77777777" w:rsidR="000D07EA" w:rsidRDefault="00BE7C89">
            <w:pPr>
              <w:pStyle w:val="BodyText"/>
              <w:spacing w:before="100" w:after="100"/>
            </w:pPr>
            <w:r>
              <w:t>No</w:t>
            </w:r>
          </w:p>
        </w:tc>
      </w:tr>
      <w:tr w:rsidR="000D07EA" w14:paraId="0E29102C" w14:textId="77777777">
        <w:tc>
          <w:tcPr>
            <w:tcW w:w="4081" w:type="dxa"/>
          </w:tcPr>
          <w:p w14:paraId="6318F4DB" w14:textId="77777777" w:rsidR="000D07EA" w:rsidRDefault="00BE7C89">
            <w:pPr>
              <w:pStyle w:val="BodyText"/>
              <w:spacing w:before="100" w:after="100"/>
            </w:pPr>
            <w:r>
              <w:t>Data used while roaming internationally</w:t>
            </w:r>
          </w:p>
        </w:tc>
        <w:tc>
          <w:tcPr>
            <w:tcW w:w="4829" w:type="dxa"/>
          </w:tcPr>
          <w:p w14:paraId="4F767310" w14:textId="77777777" w:rsidR="000D07EA" w:rsidRDefault="00BE7C89">
            <w:pPr>
              <w:pStyle w:val="BodyText"/>
              <w:spacing w:before="100" w:after="100"/>
            </w:pPr>
            <w:r>
              <w:t>No</w:t>
            </w:r>
          </w:p>
        </w:tc>
      </w:tr>
      <w:tr w:rsidR="000D07EA" w14:paraId="1CAD9E9E" w14:textId="77777777">
        <w:tc>
          <w:tcPr>
            <w:tcW w:w="4081" w:type="dxa"/>
          </w:tcPr>
          <w:p w14:paraId="585E15EA" w14:textId="77777777" w:rsidR="000D07EA" w:rsidRDefault="00BE7C89">
            <w:pPr>
              <w:pStyle w:val="BodyText"/>
              <w:spacing w:before="100" w:after="100"/>
            </w:pPr>
            <w:r>
              <w:t>Content Packs</w:t>
            </w:r>
          </w:p>
        </w:tc>
        <w:tc>
          <w:tcPr>
            <w:tcW w:w="4829" w:type="dxa"/>
          </w:tcPr>
          <w:p w14:paraId="2C7B991C" w14:textId="77777777" w:rsidR="000D07EA" w:rsidRDefault="00BE7C89">
            <w:pPr>
              <w:pStyle w:val="BodyText"/>
              <w:spacing w:before="100" w:after="100"/>
            </w:pPr>
            <w:r>
              <w:t>No</w:t>
            </w:r>
          </w:p>
        </w:tc>
      </w:tr>
      <w:tr w:rsidR="000D07EA" w14:paraId="7B4AB22B" w14:textId="77777777">
        <w:tc>
          <w:tcPr>
            <w:tcW w:w="4081" w:type="dxa"/>
          </w:tcPr>
          <w:p w14:paraId="4BAAC5E6" w14:textId="77777777" w:rsidR="000D07EA" w:rsidRDefault="00BE7C89">
            <w:pPr>
              <w:pStyle w:val="BodyText"/>
              <w:spacing w:before="100" w:after="100"/>
            </w:pPr>
            <w:r>
              <w:t>Mobile Instant Messaging – IM</w:t>
            </w:r>
          </w:p>
        </w:tc>
        <w:tc>
          <w:tcPr>
            <w:tcW w:w="4829" w:type="dxa"/>
          </w:tcPr>
          <w:p w14:paraId="7176F2BA" w14:textId="77777777" w:rsidR="000D07EA" w:rsidRDefault="00BE7C89">
            <w:pPr>
              <w:pStyle w:val="BodyText"/>
              <w:spacing w:before="100" w:after="100"/>
            </w:pPr>
            <w:r>
              <w:t>No</w:t>
            </w:r>
          </w:p>
        </w:tc>
      </w:tr>
      <w:tr w:rsidR="000D07EA" w14:paraId="33940C8B" w14:textId="77777777">
        <w:tc>
          <w:tcPr>
            <w:tcW w:w="4081" w:type="dxa"/>
          </w:tcPr>
          <w:p w14:paraId="7BA20B56" w14:textId="77777777" w:rsidR="000D07EA" w:rsidRDefault="00BE7C89">
            <w:pPr>
              <w:pStyle w:val="BodyText"/>
              <w:spacing w:before="100" w:after="100"/>
            </w:pPr>
            <w:r>
              <w:t>TrueLocal Usage</w:t>
            </w:r>
          </w:p>
        </w:tc>
        <w:tc>
          <w:tcPr>
            <w:tcW w:w="4829" w:type="dxa"/>
          </w:tcPr>
          <w:p w14:paraId="1299DBDB" w14:textId="77777777" w:rsidR="000D07EA" w:rsidRDefault="00BE7C89">
            <w:pPr>
              <w:pStyle w:val="BodyText"/>
              <w:spacing w:before="100" w:after="100"/>
            </w:pPr>
            <w:r>
              <w:t>No</w:t>
            </w:r>
          </w:p>
        </w:tc>
      </w:tr>
      <w:tr w:rsidR="000D07EA" w14:paraId="2D545380" w14:textId="77777777">
        <w:tc>
          <w:tcPr>
            <w:tcW w:w="4081" w:type="dxa"/>
          </w:tcPr>
          <w:p w14:paraId="51B1FBE0" w14:textId="77777777" w:rsidR="000D07EA" w:rsidRDefault="00BE7C89">
            <w:pPr>
              <w:pStyle w:val="BodyText"/>
              <w:spacing w:before="100" w:after="100"/>
            </w:pPr>
            <w:r>
              <w:t>Directory Assistance – 1223</w:t>
            </w:r>
          </w:p>
        </w:tc>
        <w:tc>
          <w:tcPr>
            <w:tcW w:w="4829" w:type="dxa"/>
          </w:tcPr>
          <w:p w14:paraId="34188FE0" w14:textId="77777777" w:rsidR="000D07EA" w:rsidRDefault="00BE7C89">
            <w:pPr>
              <w:pStyle w:val="BodyText"/>
              <w:spacing w:before="100" w:after="100"/>
            </w:pPr>
            <w:r>
              <w:t>No</w:t>
            </w:r>
          </w:p>
        </w:tc>
      </w:tr>
      <w:tr w:rsidR="000D07EA" w14:paraId="06223DAF" w14:textId="77777777">
        <w:tc>
          <w:tcPr>
            <w:tcW w:w="4081" w:type="dxa"/>
          </w:tcPr>
          <w:p w14:paraId="17142826" w14:textId="77777777" w:rsidR="000D07EA" w:rsidRDefault="00BE7C89">
            <w:pPr>
              <w:pStyle w:val="BodyText"/>
              <w:spacing w:before="100" w:after="100"/>
            </w:pPr>
            <w:r>
              <w:lastRenderedPageBreak/>
              <w:t>19xx Numbers</w:t>
            </w:r>
          </w:p>
        </w:tc>
        <w:tc>
          <w:tcPr>
            <w:tcW w:w="4829" w:type="dxa"/>
          </w:tcPr>
          <w:p w14:paraId="7B54FAB0" w14:textId="77777777" w:rsidR="000D07EA" w:rsidRDefault="00BE7C89">
            <w:pPr>
              <w:pStyle w:val="BodyText"/>
              <w:spacing w:before="100" w:after="100"/>
            </w:pPr>
            <w:r>
              <w:t>No</w:t>
            </w:r>
          </w:p>
        </w:tc>
      </w:tr>
      <w:tr w:rsidR="000D07EA" w14:paraId="19DEFF6C" w14:textId="77777777">
        <w:tc>
          <w:tcPr>
            <w:tcW w:w="4081" w:type="dxa"/>
          </w:tcPr>
          <w:p w14:paraId="6AA50CE8" w14:textId="77777777" w:rsidR="000D07EA" w:rsidRDefault="00BE7C89">
            <w:pPr>
              <w:pStyle w:val="BodyText"/>
              <w:spacing w:before="100" w:after="100"/>
            </w:pPr>
            <w:r>
              <w:t>1800, 13 and 1300 Numbers</w:t>
            </w:r>
          </w:p>
        </w:tc>
        <w:tc>
          <w:tcPr>
            <w:tcW w:w="4829" w:type="dxa"/>
          </w:tcPr>
          <w:p w14:paraId="58ED122C" w14:textId="77777777" w:rsidR="000D07EA" w:rsidRDefault="00BE7C89">
            <w:pPr>
              <w:pStyle w:val="BodyText"/>
              <w:spacing w:before="100" w:after="100"/>
            </w:pPr>
            <w:r>
              <w:t>Yes</w:t>
            </w:r>
          </w:p>
        </w:tc>
      </w:tr>
      <w:tr w:rsidR="000D07EA" w14:paraId="1D7D0875" w14:textId="77777777">
        <w:tc>
          <w:tcPr>
            <w:tcW w:w="4081" w:type="dxa"/>
          </w:tcPr>
          <w:p w14:paraId="1AF9991E" w14:textId="77777777" w:rsidR="000D07EA" w:rsidRDefault="00BE7C89">
            <w:pPr>
              <w:pStyle w:val="BodyText"/>
              <w:spacing w:before="100" w:after="100"/>
            </w:pPr>
            <w:r>
              <w:t>124YES(937)</w:t>
            </w:r>
          </w:p>
        </w:tc>
        <w:tc>
          <w:tcPr>
            <w:tcW w:w="4829" w:type="dxa"/>
          </w:tcPr>
          <w:p w14:paraId="7473E74A" w14:textId="77777777" w:rsidR="000D07EA" w:rsidRDefault="00BE7C89">
            <w:pPr>
              <w:pStyle w:val="BodyText"/>
              <w:spacing w:before="100" w:after="100"/>
            </w:pPr>
            <w:r>
              <w:t>Yes</w:t>
            </w:r>
          </w:p>
        </w:tc>
      </w:tr>
      <w:tr w:rsidR="000D07EA" w14:paraId="6BB81743" w14:textId="77777777">
        <w:tc>
          <w:tcPr>
            <w:tcW w:w="4081" w:type="dxa"/>
          </w:tcPr>
          <w:p w14:paraId="60BA2CAB" w14:textId="77777777" w:rsidR="000D07EA" w:rsidRDefault="00BE7C89">
            <w:pPr>
              <w:pStyle w:val="BodyText"/>
              <w:spacing w:before="100" w:after="100"/>
            </w:pPr>
            <w:r>
              <w:t>Fax and Data</w:t>
            </w:r>
          </w:p>
        </w:tc>
        <w:tc>
          <w:tcPr>
            <w:tcW w:w="4829" w:type="dxa"/>
          </w:tcPr>
          <w:p w14:paraId="615096DA" w14:textId="77777777" w:rsidR="000D07EA" w:rsidRDefault="00BE7C89">
            <w:pPr>
              <w:pStyle w:val="BodyText"/>
              <w:spacing w:before="100" w:after="100"/>
            </w:pPr>
            <w:r>
              <w:t>No</w:t>
            </w:r>
          </w:p>
        </w:tc>
      </w:tr>
      <w:tr w:rsidR="000D07EA" w14:paraId="1A0BE987" w14:textId="77777777">
        <w:tc>
          <w:tcPr>
            <w:tcW w:w="4081" w:type="dxa"/>
          </w:tcPr>
          <w:p w14:paraId="10615F07" w14:textId="77777777" w:rsidR="000D07EA" w:rsidRDefault="00BE7C89">
            <w:pPr>
              <w:pStyle w:val="BodyText"/>
              <w:spacing w:before="100" w:after="100"/>
            </w:pPr>
            <w:r>
              <w:t>Insurance</w:t>
            </w:r>
          </w:p>
        </w:tc>
        <w:tc>
          <w:tcPr>
            <w:tcW w:w="4829" w:type="dxa"/>
          </w:tcPr>
          <w:p w14:paraId="0287426C" w14:textId="77777777" w:rsidR="000D07EA" w:rsidRDefault="00BE7C89">
            <w:pPr>
              <w:pStyle w:val="BodyText"/>
              <w:spacing w:before="100" w:after="100"/>
            </w:pPr>
            <w:r>
              <w:t>No</w:t>
            </w:r>
          </w:p>
        </w:tc>
      </w:tr>
      <w:tr w:rsidR="000D07EA" w14:paraId="4644C620" w14:textId="77777777">
        <w:tc>
          <w:tcPr>
            <w:tcW w:w="4081" w:type="dxa"/>
          </w:tcPr>
          <w:p w14:paraId="560A8DAD" w14:textId="77777777" w:rsidR="000D07EA" w:rsidRDefault="00BE7C89">
            <w:pPr>
              <w:pStyle w:val="BodyText"/>
              <w:spacing w:before="100" w:after="100"/>
            </w:pPr>
            <w:r>
              <w:t>Surepage Diversions</w:t>
            </w:r>
          </w:p>
        </w:tc>
        <w:tc>
          <w:tcPr>
            <w:tcW w:w="4829" w:type="dxa"/>
          </w:tcPr>
          <w:p w14:paraId="6DEA0813" w14:textId="77777777" w:rsidR="000D07EA" w:rsidRDefault="00BE7C89">
            <w:pPr>
              <w:pStyle w:val="BodyText"/>
              <w:spacing w:before="100" w:after="100"/>
            </w:pPr>
            <w:r>
              <w:t>Yes</w:t>
            </w:r>
          </w:p>
        </w:tc>
      </w:tr>
      <w:tr w:rsidR="000D07EA" w14:paraId="1328EA7F" w14:textId="77777777">
        <w:tc>
          <w:tcPr>
            <w:tcW w:w="4081" w:type="dxa"/>
          </w:tcPr>
          <w:p w14:paraId="577191F7" w14:textId="77777777" w:rsidR="000D07EA" w:rsidRDefault="00BE7C89">
            <w:pPr>
              <w:pStyle w:val="BodyText"/>
              <w:spacing w:before="100" w:after="100"/>
            </w:pPr>
            <w:r>
              <w:t>Surepage usage and access</w:t>
            </w:r>
          </w:p>
        </w:tc>
        <w:tc>
          <w:tcPr>
            <w:tcW w:w="4829" w:type="dxa"/>
          </w:tcPr>
          <w:p w14:paraId="3AF9907D" w14:textId="77777777" w:rsidR="000D07EA" w:rsidRDefault="00BE7C89">
            <w:pPr>
              <w:pStyle w:val="BodyText"/>
              <w:spacing w:before="100" w:after="100"/>
            </w:pPr>
            <w:r>
              <w:t>No</w:t>
            </w:r>
          </w:p>
        </w:tc>
      </w:tr>
      <w:tr w:rsidR="000D07EA" w14:paraId="03B1A40C" w14:textId="77777777">
        <w:tc>
          <w:tcPr>
            <w:tcW w:w="4081" w:type="dxa"/>
          </w:tcPr>
          <w:p w14:paraId="23B8D0DF" w14:textId="77777777" w:rsidR="000D07EA" w:rsidRDefault="00BE7C89">
            <w:pPr>
              <w:pStyle w:val="BodyText"/>
              <w:spacing w:before="100" w:after="100"/>
            </w:pPr>
            <w:r>
              <w:t>Handset Payments</w:t>
            </w:r>
          </w:p>
        </w:tc>
        <w:tc>
          <w:tcPr>
            <w:tcW w:w="4829" w:type="dxa"/>
          </w:tcPr>
          <w:p w14:paraId="0431C079" w14:textId="77777777" w:rsidR="000D07EA" w:rsidRDefault="00BE7C89">
            <w:pPr>
              <w:pStyle w:val="BodyText"/>
              <w:spacing w:before="100" w:after="100"/>
            </w:pPr>
            <w:r>
              <w:t>No</w:t>
            </w:r>
          </w:p>
        </w:tc>
      </w:tr>
      <w:tr w:rsidR="000D07EA" w14:paraId="0701F650" w14:textId="77777777">
        <w:tc>
          <w:tcPr>
            <w:tcW w:w="4081" w:type="dxa"/>
          </w:tcPr>
          <w:p w14:paraId="50EF1BC7" w14:textId="77777777" w:rsidR="000D07EA" w:rsidRDefault="00BE7C89">
            <w:pPr>
              <w:pStyle w:val="BodyText"/>
              <w:spacing w:before="100" w:after="100"/>
            </w:pPr>
            <w:r>
              <w:t>Calls to Satellite</w:t>
            </w:r>
          </w:p>
        </w:tc>
        <w:tc>
          <w:tcPr>
            <w:tcW w:w="4829" w:type="dxa"/>
          </w:tcPr>
          <w:p w14:paraId="00097CB6" w14:textId="77777777" w:rsidR="000D07EA" w:rsidRDefault="00BE7C89">
            <w:pPr>
              <w:pStyle w:val="BodyText"/>
              <w:spacing w:before="100" w:after="100"/>
            </w:pPr>
            <w:r>
              <w:t>No</w:t>
            </w:r>
          </w:p>
        </w:tc>
      </w:tr>
      <w:tr w:rsidR="000D07EA" w14:paraId="2B1A0EC5" w14:textId="77777777">
        <w:tc>
          <w:tcPr>
            <w:tcW w:w="4081" w:type="dxa"/>
          </w:tcPr>
          <w:p w14:paraId="71530446" w14:textId="77777777" w:rsidR="000D07EA" w:rsidRDefault="00BE7C89">
            <w:pPr>
              <w:pStyle w:val="BodyText"/>
              <w:spacing w:before="100" w:after="100"/>
            </w:pPr>
            <w:r>
              <w:t>VoIP services</w:t>
            </w:r>
          </w:p>
        </w:tc>
        <w:tc>
          <w:tcPr>
            <w:tcW w:w="4829" w:type="dxa"/>
          </w:tcPr>
          <w:p w14:paraId="18D7D52E" w14:textId="77777777" w:rsidR="000D07EA" w:rsidRDefault="00BE7C89">
            <w:pPr>
              <w:pStyle w:val="BodyText"/>
              <w:spacing w:before="100" w:after="100"/>
            </w:pPr>
            <w:r>
              <w:t>No</w:t>
            </w:r>
          </w:p>
        </w:tc>
      </w:tr>
    </w:tbl>
    <w:p w14:paraId="21B552DE" w14:textId="77777777" w:rsidR="000D07EA" w:rsidRDefault="000D07EA">
      <w:pPr>
        <w:sectPr w:rsidR="000D07EA">
          <w:headerReference w:type="default" r:id="rId119"/>
          <w:footerReference w:type="default" r:id="rId120"/>
          <w:pgSz w:w="11900" w:h="16840"/>
          <w:pgMar w:top="851" w:right="851" w:bottom="851" w:left="851" w:header="461" w:footer="288" w:gutter="0"/>
          <w:cols w:space="708"/>
          <w:docGrid w:linePitch="360"/>
        </w:sectPr>
      </w:pPr>
    </w:p>
    <w:p w14:paraId="4438C413" w14:textId="77777777" w:rsidR="000D07EA" w:rsidRDefault="00BE7C89">
      <w:pPr>
        <w:pStyle w:val="BodyText"/>
        <w:rPr>
          <w:b/>
          <w:i/>
        </w:rPr>
      </w:pPr>
      <w:r>
        <w:rPr>
          <w:b/>
          <w:i/>
        </w:rPr>
        <w:lastRenderedPageBreak/>
        <w:t>Pricing Plans Table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51"/>
        <w:gridCol w:w="2136"/>
        <w:gridCol w:w="2136"/>
        <w:gridCol w:w="2136"/>
        <w:gridCol w:w="2136"/>
        <w:gridCol w:w="2133"/>
      </w:tblGrid>
      <w:tr w:rsidR="000D07EA" w14:paraId="4CB02A70" w14:textId="77777777">
        <w:tc>
          <w:tcPr>
            <w:tcW w:w="1471" w:type="pct"/>
          </w:tcPr>
          <w:p w14:paraId="50C6D3EF" w14:textId="77777777" w:rsidR="000D07EA" w:rsidRDefault="00BE7C89">
            <w:pPr>
              <w:pStyle w:val="BodyText"/>
              <w:spacing w:before="100" w:after="100"/>
              <w:rPr>
                <w:b/>
                <w:i/>
                <w:color w:val="000000"/>
              </w:rPr>
            </w:pPr>
            <w:r>
              <w:rPr>
                <w:b/>
                <w:i/>
              </w:rPr>
              <w:t>Charge Type</w:t>
            </w:r>
          </w:p>
        </w:tc>
        <w:tc>
          <w:tcPr>
            <w:tcW w:w="706" w:type="pct"/>
          </w:tcPr>
          <w:p w14:paraId="76BD5927" w14:textId="77777777" w:rsidR="000D07EA" w:rsidRDefault="00BE7C89">
            <w:pPr>
              <w:pStyle w:val="BodyText"/>
              <w:spacing w:before="100" w:after="100"/>
              <w:jc w:val="center"/>
              <w:rPr>
                <w:b/>
              </w:rPr>
            </w:pPr>
            <w:r>
              <w:rPr>
                <w:b/>
              </w:rPr>
              <w:t>'yes' Business Smart Cap 49 Plan</w:t>
            </w:r>
          </w:p>
        </w:tc>
        <w:tc>
          <w:tcPr>
            <w:tcW w:w="706" w:type="pct"/>
          </w:tcPr>
          <w:p w14:paraId="59122B7F" w14:textId="77777777" w:rsidR="000D07EA" w:rsidRDefault="00BE7C89">
            <w:pPr>
              <w:pStyle w:val="BodyText"/>
              <w:spacing w:before="100" w:after="100"/>
              <w:jc w:val="center"/>
              <w:rPr>
                <w:b/>
              </w:rPr>
            </w:pPr>
            <w:r>
              <w:rPr>
                <w:b/>
              </w:rPr>
              <w:t>'yes' Business Smart Cap 79 Plan</w:t>
            </w:r>
          </w:p>
        </w:tc>
        <w:tc>
          <w:tcPr>
            <w:tcW w:w="706" w:type="pct"/>
          </w:tcPr>
          <w:p w14:paraId="291B8A91" w14:textId="77777777" w:rsidR="000D07EA" w:rsidRDefault="00BE7C89">
            <w:pPr>
              <w:pStyle w:val="BodyText"/>
              <w:spacing w:before="100" w:after="100"/>
              <w:jc w:val="center"/>
              <w:rPr>
                <w:b/>
              </w:rPr>
            </w:pPr>
            <w:r>
              <w:rPr>
                <w:b/>
              </w:rPr>
              <w:t>'yes' Business Smart Cap 99 Plan</w:t>
            </w:r>
          </w:p>
        </w:tc>
        <w:tc>
          <w:tcPr>
            <w:tcW w:w="706" w:type="pct"/>
          </w:tcPr>
          <w:p w14:paraId="209FB7F1" w14:textId="77777777" w:rsidR="000D07EA" w:rsidRDefault="00BE7C89">
            <w:pPr>
              <w:pStyle w:val="BodyText"/>
              <w:spacing w:before="100" w:after="100"/>
              <w:jc w:val="center"/>
              <w:rPr>
                <w:b/>
              </w:rPr>
            </w:pPr>
            <w:r>
              <w:rPr>
                <w:b/>
              </w:rPr>
              <w:t>'yes' Business Smart 149 Plan</w:t>
            </w:r>
          </w:p>
        </w:tc>
        <w:tc>
          <w:tcPr>
            <w:tcW w:w="706" w:type="pct"/>
          </w:tcPr>
          <w:p w14:paraId="2A60552B" w14:textId="77777777" w:rsidR="000D07EA" w:rsidRDefault="00BE7C89">
            <w:pPr>
              <w:pStyle w:val="BodyText"/>
              <w:spacing w:before="100" w:after="100"/>
              <w:jc w:val="center"/>
              <w:rPr>
                <w:b/>
              </w:rPr>
            </w:pPr>
            <w:r>
              <w:rPr>
                <w:b/>
              </w:rPr>
              <w:t>'yes' Business Smart 199 Plan</w:t>
            </w:r>
          </w:p>
        </w:tc>
      </w:tr>
      <w:tr w:rsidR="000D07EA" w14:paraId="3BC1505D" w14:textId="77777777">
        <w:tc>
          <w:tcPr>
            <w:tcW w:w="1471" w:type="pct"/>
          </w:tcPr>
          <w:p w14:paraId="1D58E009" w14:textId="77777777" w:rsidR="000D07EA" w:rsidRDefault="00BE7C89">
            <w:pPr>
              <w:pStyle w:val="BodyText"/>
              <w:spacing w:before="100" w:after="100"/>
              <w:rPr>
                <w:b/>
                <w:i/>
              </w:rPr>
            </w:pPr>
            <w:r>
              <w:rPr>
                <w:b/>
                <w:i/>
              </w:rPr>
              <w:t>Minimum Monthly Commitment</w:t>
            </w:r>
          </w:p>
        </w:tc>
        <w:tc>
          <w:tcPr>
            <w:tcW w:w="706" w:type="pct"/>
          </w:tcPr>
          <w:p w14:paraId="75976879" w14:textId="77777777" w:rsidR="000D07EA" w:rsidRDefault="00BE7C89">
            <w:pPr>
              <w:pStyle w:val="BodyText"/>
              <w:spacing w:before="100" w:after="100"/>
              <w:jc w:val="center"/>
            </w:pPr>
            <w:r>
              <w:t>$44.54</w:t>
            </w:r>
            <w:r>
              <w:br/>
              <w:t>($49)</w:t>
            </w:r>
          </w:p>
        </w:tc>
        <w:tc>
          <w:tcPr>
            <w:tcW w:w="706" w:type="pct"/>
          </w:tcPr>
          <w:p w14:paraId="4C8FD46E" w14:textId="77777777" w:rsidR="000D07EA" w:rsidRDefault="00BE7C89">
            <w:pPr>
              <w:pStyle w:val="BodyText"/>
              <w:spacing w:before="100" w:after="100"/>
              <w:jc w:val="center"/>
            </w:pPr>
            <w:r>
              <w:t>$64.46</w:t>
            </w:r>
            <w:r>
              <w:br/>
              <w:t>($79)</w:t>
            </w:r>
          </w:p>
        </w:tc>
        <w:tc>
          <w:tcPr>
            <w:tcW w:w="706" w:type="pct"/>
          </w:tcPr>
          <w:p w14:paraId="44D55E25" w14:textId="77777777" w:rsidR="000D07EA" w:rsidRDefault="00BE7C89">
            <w:pPr>
              <w:pStyle w:val="BodyText"/>
              <w:spacing w:before="100" w:after="100"/>
              <w:jc w:val="center"/>
            </w:pPr>
            <w:r>
              <w:t>$90</w:t>
            </w:r>
            <w:r>
              <w:br/>
              <w:t>($99)</w:t>
            </w:r>
          </w:p>
        </w:tc>
        <w:tc>
          <w:tcPr>
            <w:tcW w:w="706" w:type="pct"/>
          </w:tcPr>
          <w:p w14:paraId="488997A5" w14:textId="77777777" w:rsidR="000D07EA" w:rsidRDefault="00BE7C89">
            <w:pPr>
              <w:pStyle w:val="BodyText"/>
              <w:spacing w:before="100" w:after="100"/>
              <w:jc w:val="center"/>
            </w:pPr>
            <w:r>
              <w:t>$135.45</w:t>
            </w:r>
            <w:r>
              <w:br/>
              <w:t>($149)</w:t>
            </w:r>
          </w:p>
        </w:tc>
        <w:tc>
          <w:tcPr>
            <w:tcW w:w="706" w:type="pct"/>
          </w:tcPr>
          <w:p w14:paraId="618B657D" w14:textId="77777777" w:rsidR="000D07EA" w:rsidRDefault="00BE7C89">
            <w:pPr>
              <w:pStyle w:val="BodyText"/>
              <w:spacing w:before="100" w:after="100"/>
              <w:jc w:val="center"/>
            </w:pPr>
            <w:r>
              <w:t>$180.90</w:t>
            </w:r>
            <w:r>
              <w:br/>
              <w:t>($199)</w:t>
            </w:r>
          </w:p>
        </w:tc>
      </w:tr>
      <w:tr w:rsidR="000D07EA" w14:paraId="4F410F86" w14:textId="77777777">
        <w:trPr>
          <w:trHeight w:val="60"/>
        </w:trPr>
        <w:tc>
          <w:tcPr>
            <w:tcW w:w="1471" w:type="pct"/>
          </w:tcPr>
          <w:p w14:paraId="0234E578" w14:textId="77777777" w:rsidR="000D07EA" w:rsidRDefault="00BE7C89">
            <w:pPr>
              <w:pStyle w:val="BodyText"/>
              <w:spacing w:before="100" w:after="100"/>
              <w:rPr>
                <w:b/>
              </w:rPr>
            </w:pPr>
            <w:r>
              <w:rPr>
                <w:b/>
              </w:rPr>
              <w:t xml:space="preserve">Included call component </w:t>
            </w:r>
          </w:p>
        </w:tc>
        <w:tc>
          <w:tcPr>
            <w:tcW w:w="706" w:type="pct"/>
          </w:tcPr>
          <w:p w14:paraId="4253CC5D" w14:textId="77777777" w:rsidR="000D07EA" w:rsidRDefault="00BE7C89">
            <w:pPr>
              <w:pStyle w:val="BodyText"/>
              <w:spacing w:before="100" w:after="100"/>
              <w:jc w:val="center"/>
            </w:pPr>
            <w:r>
              <w:t>$272.73</w:t>
            </w:r>
            <w:r>
              <w:br/>
              <w:t>($300)</w:t>
            </w:r>
          </w:p>
        </w:tc>
        <w:tc>
          <w:tcPr>
            <w:tcW w:w="706" w:type="pct"/>
          </w:tcPr>
          <w:p w14:paraId="23D3E63A" w14:textId="77777777" w:rsidR="000D07EA" w:rsidRDefault="00BE7C89">
            <w:pPr>
              <w:pStyle w:val="BodyText"/>
              <w:spacing w:before="100" w:after="100"/>
              <w:jc w:val="center"/>
            </w:pPr>
            <w:r>
              <w:t>$500</w:t>
            </w:r>
            <w:r>
              <w:br/>
              <w:t>($550)</w:t>
            </w:r>
          </w:p>
        </w:tc>
        <w:tc>
          <w:tcPr>
            <w:tcW w:w="706" w:type="pct"/>
          </w:tcPr>
          <w:p w14:paraId="133412C5" w14:textId="77777777" w:rsidR="000D07EA" w:rsidRDefault="00BE7C89">
            <w:pPr>
              <w:pStyle w:val="BodyText"/>
              <w:spacing w:before="100" w:after="100"/>
              <w:jc w:val="center"/>
            </w:pPr>
            <w:r>
              <w:t>$681.82</w:t>
            </w:r>
            <w:r>
              <w:br/>
              <w:t>($750)</w:t>
            </w:r>
          </w:p>
        </w:tc>
        <w:tc>
          <w:tcPr>
            <w:tcW w:w="706" w:type="pct"/>
          </w:tcPr>
          <w:p w14:paraId="4FC0BEEC" w14:textId="77777777" w:rsidR="000D07EA" w:rsidRDefault="00BE7C89">
            <w:pPr>
              <w:pStyle w:val="BodyText"/>
              <w:spacing w:before="100" w:after="100"/>
              <w:jc w:val="center"/>
            </w:pPr>
            <w:r>
              <w:t>$1090.91</w:t>
            </w:r>
            <w:r>
              <w:br/>
              <w:t>($1200)</w:t>
            </w:r>
          </w:p>
        </w:tc>
        <w:tc>
          <w:tcPr>
            <w:tcW w:w="706" w:type="pct"/>
          </w:tcPr>
          <w:p w14:paraId="306935C8" w14:textId="77777777" w:rsidR="000D07EA" w:rsidRDefault="00BE7C89">
            <w:pPr>
              <w:pStyle w:val="BodyText"/>
              <w:spacing w:before="100" w:after="100"/>
              <w:jc w:val="center"/>
            </w:pPr>
            <w:r>
              <w:t>$1727.28</w:t>
            </w:r>
            <w:r>
              <w:br/>
              <w:t>($1900)</w:t>
            </w:r>
          </w:p>
        </w:tc>
      </w:tr>
      <w:tr w:rsidR="000D07EA" w14:paraId="1798527E" w14:textId="77777777">
        <w:trPr>
          <w:trHeight w:val="60"/>
        </w:trPr>
        <w:tc>
          <w:tcPr>
            <w:tcW w:w="1471" w:type="pct"/>
          </w:tcPr>
          <w:p w14:paraId="0DFD67AB" w14:textId="77777777" w:rsidR="000D07EA" w:rsidRDefault="00BE7C89">
            <w:pPr>
              <w:pStyle w:val="BodyText"/>
              <w:spacing w:before="100" w:after="100"/>
            </w:pPr>
            <w:r>
              <w:rPr>
                <w:b/>
              </w:rPr>
              <w:t xml:space="preserve">Standard Call Rate </w:t>
            </w:r>
            <w:r>
              <w:t>(per 30 seconds)</w:t>
            </w:r>
          </w:p>
          <w:p w14:paraId="4D7EB262" w14:textId="77777777" w:rsidR="000D07EA" w:rsidRDefault="00BE7C89">
            <w:pPr>
              <w:pStyle w:val="BodyText"/>
              <w:spacing w:before="100" w:after="100"/>
              <w:rPr>
                <w:color w:val="000000"/>
              </w:rPr>
            </w:pPr>
            <w:r>
              <w:rPr>
                <w:i/>
              </w:rPr>
              <w:t xml:space="preserve">Local calls, National long distance, national video calls </w:t>
            </w:r>
          </w:p>
        </w:tc>
        <w:tc>
          <w:tcPr>
            <w:tcW w:w="706" w:type="pct"/>
          </w:tcPr>
          <w:p w14:paraId="108E3A56" w14:textId="77777777" w:rsidR="000D07EA" w:rsidRDefault="00BE7C89">
            <w:pPr>
              <w:pStyle w:val="BodyText"/>
              <w:spacing w:before="100" w:after="100"/>
              <w:jc w:val="center"/>
            </w:pPr>
            <w:r>
              <w:t>0.31</w:t>
            </w:r>
            <w:r>
              <w:br/>
              <w:t>($0.35)</w:t>
            </w:r>
          </w:p>
          <w:p w14:paraId="3B60BBD3" w14:textId="77777777" w:rsidR="000D07EA" w:rsidRDefault="000D07EA">
            <w:pPr>
              <w:pStyle w:val="BodyText"/>
              <w:spacing w:before="100" w:after="100"/>
              <w:jc w:val="center"/>
              <w:rPr>
                <w:b/>
              </w:rPr>
            </w:pPr>
          </w:p>
        </w:tc>
        <w:tc>
          <w:tcPr>
            <w:tcW w:w="706" w:type="pct"/>
          </w:tcPr>
          <w:p w14:paraId="09126B8B" w14:textId="77777777" w:rsidR="000D07EA" w:rsidRDefault="00BE7C89">
            <w:pPr>
              <w:pStyle w:val="BodyText"/>
              <w:spacing w:before="100" w:after="100"/>
              <w:jc w:val="center"/>
            </w:pPr>
            <w:r>
              <w:t>$0.27</w:t>
            </w:r>
            <w:r>
              <w:br/>
              <w:t>($0.30)</w:t>
            </w:r>
          </w:p>
          <w:p w14:paraId="22B45777" w14:textId="77777777" w:rsidR="000D07EA" w:rsidRDefault="000D07EA">
            <w:pPr>
              <w:pStyle w:val="BodyText"/>
              <w:spacing w:before="100" w:after="100"/>
              <w:jc w:val="center"/>
            </w:pPr>
          </w:p>
        </w:tc>
        <w:tc>
          <w:tcPr>
            <w:tcW w:w="706" w:type="pct"/>
          </w:tcPr>
          <w:p w14:paraId="7B8C2AE5" w14:textId="77777777" w:rsidR="000D07EA" w:rsidRDefault="00BE7C89">
            <w:pPr>
              <w:pStyle w:val="BodyText"/>
              <w:spacing w:before="100" w:after="100"/>
              <w:jc w:val="center"/>
            </w:pPr>
            <w:r>
              <w:t>$0.27</w:t>
            </w:r>
            <w:r>
              <w:br/>
              <w:t>($0.30)</w:t>
            </w:r>
          </w:p>
          <w:p w14:paraId="4B569C03" w14:textId="77777777" w:rsidR="000D07EA" w:rsidRDefault="000D07EA">
            <w:pPr>
              <w:pStyle w:val="BodyText"/>
              <w:spacing w:before="100" w:after="100"/>
              <w:jc w:val="center"/>
            </w:pPr>
          </w:p>
        </w:tc>
        <w:tc>
          <w:tcPr>
            <w:tcW w:w="706" w:type="pct"/>
          </w:tcPr>
          <w:p w14:paraId="54ABECA4" w14:textId="77777777" w:rsidR="000D07EA" w:rsidRDefault="00BE7C89">
            <w:pPr>
              <w:pStyle w:val="BodyText"/>
              <w:spacing w:before="100" w:after="100"/>
              <w:jc w:val="center"/>
            </w:pPr>
            <w:r>
              <w:t>$0.27</w:t>
            </w:r>
            <w:r>
              <w:br/>
              <w:t>($0.30)</w:t>
            </w:r>
          </w:p>
          <w:p w14:paraId="62A22957" w14:textId="77777777" w:rsidR="000D07EA" w:rsidRDefault="000D07EA">
            <w:pPr>
              <w:pStyle w:val="BodyText"/>
              <w:spacing w:before="100" w:after="100"/>
              <w:jc w:val="center"/>
              <w:rPr>
                <w:b/>
              </w:rPr>
            </w:pPr>
          </w:p>
        </w:tc>
        <w:tc>
          <w:tcPr>
            <w:tcW w:w="706" w:type="pct"/>
          </w:tcPr>
          <w:p w14:paraId="0218DFAD" w14:textId="77777777" w:rsidR="000D07EA" w:rsidRDefault="00BE7C89">
            <w:pPr>
              <w:pStyle w:val="BodyText"/>
              <w:spacing w:before="100" w:after="100"/>
              <w:jc w:val="center"/>
            </w:pPr>
            <w:r>
              <w:t>$0.27</w:t>
            </w:r>
            <w:r>
              <w:br/>
              <w:t>($0.30)</w:t>
            </w:r>
          </w:p>
          <w:p w14:paraId="0F49A700" w14:textId="77777777" w:rsidR="000D07EA" w:rsidRDefault="000D07EA">
            <w:pPr>
              <w:pStyle w:val="BodyText"/>
              <w:spacing w:before="100" w:after="100"/>
              <w:jc w:val="center"/>
              <w:rPr>
                <w:b/>
              </w:rPr>
            </w:pPr>
          </w:p>
        </w:tc>
      </w:tr>
      <w:tr w:rsidR="000D07EA" w14:paraId="45B0CF15" w14:textId="77777777">
        <w:tc>
          <w:tcPr>
            <w:tcW w:w="1471" w:type="pct"/>
          </w:tcPr>
          <w:p w14:paraId="49A16BB0" w14:textId="77777777" w:rsidR="000D07EA" w:rsidRDefault="00BE7C89">
            <w:pPr>
              <w:pStyle w:val="BodyText"/>
              <w:spacing w:before="100" w:after="100"/>
              <w:rPr>
                <w:b/>
                <w:i/>
              </w:rPr>
            </w:pPr>
            <w:r>
              <w:rPr>
                <w:b/>
                <w:i/>
              </w:rPr>
              <w:t>Flagfall</w:t>
            </w:r>
          </w:p>
        </w:tc>
        <w:tc>
          <w:tcPr>
            <w:tcW w:w="706" w:type="pct"/>
          </w:tcPr>
          <w:p w14:paraId="50AD1674" w14:textId="77777777" w:rsidR="000D07EA" w:rsidRDefault="00BE7C89">
            <w:pPr>
              <w:pStyle w:val="BodyText"/>
              <w:spacing w:before="100" w:after="100"/>
              <w:jc w:val="center"/>
            </w:pPr>
            <w:r>
              <w:t>$0.31</w:t>
            </w:r>
            <w:r>
              <w:br/>
              <w:t>($0.35)</w:t>
            </w:r>
          </w:p>
        </w:tc>
        <w:tc>
          <w:tcPr>
            <w:tcW w:w="706" w:type="pct"/>
          </w:tcPr>
          <w:p w14:paraId="1B433FFA" w14:textId="77777777" w:rsidR="000D07EA" w:rsidRDefault="00BE7C89">
            <w:pPr>
              <w:pStyle w:val="BodyText"/>
              <w:spacing w:before="100" w:after="100"/>
              <w:jc w:val="center"/>
            </w:pPr>
            <w:r>
              <w:t>$0.31</w:t>
            </w:r>
            <w:r>
              <w:br/>
              <w:t>($0.35)</w:t>
            </w:r>
          </w:p>
        </w:tc>
        <w:tc>
          <w:tcPr>
            <w:tcW w:w="706" w:type="pct"/>
          </w:tcPr>
          <w:p w14:paraId="7DFA1982" w14:textId="77777777" w:rsidR="000D07EA" w:rsidRDefault="00BE7C89">
            <w:pPr>
              <w:pStyle w:val="BodyText"/>
              <w:spacing w:before="100" w:after="100"/>
              <w:jc w:val="center"/>
            </w:pPr>
            <w:r>
              <w:t>$0.31</w:t>
            </w:r>
            <w:r>
              <w:br/>
              <w:t>($0.35)</w:t>
            </w:r>
          </w:p>
        </w:tc>
        <w:tc>
          <w:tcPr>
            <w:tcW w:w="706" w:type="pct"/>
          </w:tcPr>
          <w:p w14:paraId="7EB17933" w14:textId="77777777" w:rsidR="000D07EA" w:rsidRDefault="00BE7C89">
            <w:pPr>
              <w:pStyle w:val="BodyText"/>
              <w:spacing w:before="100" w:after="100"/>
              <w:jc w:val="center"/>
            </w:pPr>
            <w:r>
              <w:t>$0.31</w:t>
            </w:r>
            <w:r>
              <w:br/>
              <w:t>($0.35)</w:t>
            </w:r>
          </w:p>
        </w:tc>
        <w:tc>
          <w:tcPr>
            <w:tcW w:w="706" w:type="pct"/>
          </w:tcPr>
          <w:p w14:paraId="798385CC" w14:textId="77777777" w:rsidR="000D07EA" w:rsidRDefault="00BE7C89">
            <w:pPr>
              <w:pStyle w:val="BodyText"/>
              <w:spacing w:before="100" w:after="100"/>
              <w:jc w:val="center"/>
            </w:pPr>
            <w:r>
              <w:t>$0.31</w:t>
            </w:r>
            <w:r>
              <w:br/>
              <w:t>($0.35)</w:t>
            </w:r>
          </w:p>
        </w:tc>
      </w:tr>
      <w:tr w:rsidR="000D07EA" w14:paraId="61B79BFA" w14:textId="77777777">
        <w:tc>
          <w:tcPr>
            <w:tcW w:w="1471" w:type="pct"/>
          </w:tcPr>
          <w:p w14:paraId="2B0528BB" w14:textId="77777777" w:rsidR="000D07EA" w:rsidRDefault="00BE7C89">
            <w:pPr>
              <w:pStyle w:val="BodyText"/>
              <w:spacing w:before="100" w:after="100"/>
              <w:rPr>
                <w:b/>
                <w:i/>
              </w:rPr>
            </w:pPr>
            <w:r>
              <w:rPr>
                <w:b/>
                <w:i/>
              </w:rPr>
              <w:t xml:space="preserve">Minimum term </w:t>
            </w:r>
          </w:p>
        </w:tc>
        <w:tc>
          <w:tcPr>
            <w:tcW w:w="706" w:type="pct"/>
          </w:tcPr>
          <w:p w14:paraId="7FF84813" w14:textId="77777777" w:rsidR="000D07EA" w:rsidRDefault="00BE7C89">
            <w:pPr>
              <w:pStyle w:val="BodyText"/>
              <w:spacing w:before="100" w:after="100"/>
              <w:jc w:val="center"/>
            </w:pPr>
            <w:r>
              <w:t>Monthly or 12 Months or 24 Months</w:t>
            </w:r>
          </w:p>
        </w:tc>
        <w:tc>
          <w:tcPr>
            <w:tcW w:w="706" w:type="pct"/>
          </w:tcPr>
          <w:p w14:paraId="72F1FF4E" w14:textId="77777777" w:rsidR="000D07EA" w:rsidRDefault="00BE7C89">
            <w:pPr>
              <w:pStyle w:val="BodyText"/>
              <w:spacing w:before="100" w:after="100"/>
              <w:jc w:val="center"/>
            </w:pPr>
            <w:r>
              <w:t>Monthly or 12 Months or 24 Months</w:t>
            </w:r>
          </w:p>
        </w:tc>
        <w:tc>
          <w:tcPr>
            <w:tcW w:w="706" w:type="pct"/>
          </w:tcPr>
          <w:p w14:paraId="48DC3DA9" w14:textId="77777777" w:rsidR="000D07EA" w:rsidRDefault="00BE7C89">
            <w:pPr>
              <w:pStyle w:val="BodyText"/>
              <w:spacing w:before="100" w:after="100"/>
              <w:jc w:val="center"/>
            </w:pPr>
            <w:r>
              <w:t>Monthly or 12 Months or 24 Months</w:t>
            </w:r>
          </w:p>
        </w:tc>
        <w:tc>
          <w:tcPr>
            <w:tcW w:w="706" w:type="pct"/>
          </w:tcPr>
          <w:p w14:paraId="44364CA5" w14:textId="77777777" w:rsidR="000D07EA" w:rsidRDefault="00BE7C89">
            <w:pPr>
              <w:pStyle w:val="BodyText"/>
              <w:spacing w:before="100" w:after="100"/>
              <w:jc w:val="center"/>
            </w:pPr>
            <w:r>
              <w:t>Monthly or 12 Months or 24 Months</w:t>
            </w:r>
          </w:p>
        </w:tc>
        <w:tc>
          <w:tcPr>
            <w:tcW w:w="706" w:type="pct"/>
          </w:tcPr>
          <w:p w14:paraId="72271E05" w14:textId="77777777" w:rsidR="000D07EA" w:rsidRDefault="00BE7C89">
            <w:pPr>
              <w:pStyle w:val="BodyText"/>
              <w:spacing w:before="100" w:after="100"/>
              <w:jc w:val="center"/>
            </w:pPr>
            <w:r>
              <w:t>Monthly or 12 Months or 24 Months</w:t>
            </w:r>
          </w:p>
        </w:tc>
      </w:tr>
    </w:tbl>
    <w:p w14:paraId="5BE7B0E4" w14:textId="77777777" w:rsidR="000D07EA" w:rsidRDefault="00BE7C89">
      <w:pPr>
        <w:pStyle w:val="BodyText"/>
        <w:spacing w:after="0"/>
        <w:rPr>
          <w:sz w:val="16"/>
          <w:szCs w:val="16"/>
        </w:rPr>
      </w:pPr>
      <w:r>
        <w:rPr>
          <w:sz w:val="16"/>
          <w:szCs w:val="16"/>
        </w:rPr>
        <w:t xml:space="preserve">Please note: </w:t>
      </w:r>
    </w:p>
    <w:p w14:paraId="627A0A52" w14:textId="77777777" w:rsidR="000D07EA" w:rsidRDefault="00BE7C89">
      <w:pPr>
        <w:pStyle w:val="BodyText"/>
        <w:spacing w:after="0"/>
        <w:ind w:left="720"/>
        <w:rPr>
          <w:sz w:val="16"/>
          <w:szCs w:val="16"/>
        </w:rPr>
      </w:pPr>
      <w:r>
        <w:rPr>
          <w:sz w:val="16"/>
          <w:szCs w:val="16"/>
        </w:rPr>
        <w:t>(i)</w:t>
      </w:r>
      <w:r>
        <w:rPr>
          <w:sz w:val="16"/>
          <w:szCs w:val="16"/>
        </w:rPr>
        <w:tab/>
        <w:t>"SmartFleet" and "BusinessTime" call rates may apply.</w:t>
      </w:r>
    </w:p>
    <w:p w14:paraId="7EEAD06A" w14:textId="77777777" w:rsidR="000D07EA" w:rsidRDefault="00BE7C89">
      <w:pPr>
        <w:pStyle w:val="BodyText"/>
        <w:spacing w:after="0"/>
        <w:ind w:left="720"/>
        <w:rPr>
          <w:sz w:val="16"/>
          <w:szCs w:val="16"/>
        </w:rPr>
      </w:pPr>
      <w:r>
        <w:rPr>
          <w:sz w:val="16"/>
          <w:szCs w:val="16"/>
        </w:rPr>
        <w:t>(ii)</w:t>
      </w:r>
      <w:r>
        <w:rPr>
          <w:sz w:val="16"/>
          <w:szCs w:val="16"/>
        </w:rPr>
        <w:tab/>
        <w:t>Minimum Monthly Commitment applies regardless of your calls and services usage.</w:t>
      </w:r>
    </w:p>
    <w:p w14:paraId="114A708A" w14:textId="77777777" w:rsidR="000D07EA" w:rsidRDefault="000D07EA">
      <w:pPr>
        <w:rPr>
          <w:sz w:val="20"/>
          <w:szCs w:val="20"/>
        </w:rPr>
      </w:pPr>
    </w:p>
    <w:p w14:paraId="6FCC25B0" w14:textId="77777777" w:rsidR="000D07EA" w:rsidRDefault="000D07EA">
      <w:pPr>
        <w:sectPr w:rsidR="000D07EA">
          <w:headerReference w:type="default" r:id="rId121"/>
          <w:footerReference w:type="default" r:id="rId122"/>
          <w:pgSz w:w="16840" w:h="11900" w:orient="landscape"/>
          <w:pgMar w:top="851" w:right="851" w:bottom="851" w:left="851" w:header="461" w:footer="288" w:gutter="0"/>
          <w:cols w:space="708"/>
          <w:docGrid w:linePitch="360"/>
        </w:sectPr>
      </w:pPr>
    </w:p>
    <w:p w14:paraId="05CEBCB0" w14:textId="77777777" w:rsidR="000D07EA" w:rsidRDefault="00BE7C89">
      <w:pPr>
        <w:pStyle w:val="Heading6"/>
        <w:ind w:left="0" w:firstLine="0"/>
      </w:pPr>
      <w:r>
        <w:lastRenderedPageBreak/>
        <w:t xml:space="preserve">What happens if the </w:t>
      </w:r>
      <w:r>
        <w:rPr>
          <w:i/>
        </w:rPr>
        <w:t>service</w:t>
      </w:r>
      <w:r>
        <w:t xml:space="preserve"> is </w:t>
      </w:r>
      <w:r>
        <w:rPr>
          <w:i/>
        </w:rPr>
        <w:t>cancelled</w:t>
      </w:r>
      <w:r>
        <w:t xml:space="preserve"> early?</w:t>
      </w:r>
    </w:p>
    <w:p w14:paraId="67296734" w14:textId="77777777" w:rsidR="000D07EA" w:rsidRDefault="00BE7C89">
      <w:pPr>
        <w:pStyle w:val="Heading7"/>
      </w:pPr>
      <w:r>
        <w:t xml:space="preserve">If </w:t>
      </w:r>
      <w:r>
        <w:rPr>
          <w:i/>
        </w:rPr>
        <w:t>the service is cancelled</w:t>
      </w:r>
      <w:r>
        <w:t xml:space="preserve"> before the expiry of the </w:t>
      </w:r>
      <w:r>
        <w:rPr>
          <w:i/>
        </w:rPr>
        <w:t>minimum term, you</w:t>
      </w:r>
      <w:r>
        <w:t xml:space="preserve"> will be required to pay us:</w:t>
      </w:r>
    </w:p>
    <w:p w14:paraId="3A6929BB" w14:textId="77777777" w:rsidR="000D07EA" w:rsidRDefault="00BE7C89">
      <w:pPr>
        <w:pStyle w:val="Heading8"/>
      </w:pPr>
      <w:r>
        <w:t xml:space="preserve">any usage charges incurred up to, and including, the </w:t>
      </w:r>
      <w:r>
        <w:rPr>
          <w:i/>
        </w:rPr>
        <w:t>cancellation date</w:t>
      </w:r>
      <w:r>
        <w:t>; plus</w:t>
      </w:r>
    </w:p>
    <w:p w14:paraId="6F72BDBA" w14:textId="77777777" w:rsidR="000D07EA" w:rsidRDefault="00BE7C89">
      <w:pPr>
        <w:pStyle w:val="Heading8"/>
      </w:pPr>
      <w:r>
        <w:t xml:space="preserve">the </w:t>
      </w:r>
      <w:r>
        <w:rPr>
          <w:i/>
        </w:rPr>
        <w:t>cancellation fee</w:t>
      </w:r>
      <w:r>
        <w:t xml:space="preserve"> set out in the table below unless under clause 2A of the </w:t>
      </w:r>
      <w:hyperlink r:id="rId123" w:history="1">
        <w:r>
          <w:rPr>
            <w:rStyle w:val="Hyperlink"/>
            <w:rFonts w:eastAsia="MS Gothic"/>
            <w:i/>
          </w:rPr>
          <w:t>SMB terms</w:t>
        </w:r>
      </w:hyperlink>
      <w:r>
        <w:t xml:space="preserve">, </w:t>
      </w:r>
      <w:r>
        <w:rPr>
          <w:i/>
        </w:rPr>
        <w:t>you</w:t>
      </w:r>
      <w:r>
        <w:t xml:space="preserve"> are entitled to </w:t>
      </w:r>
      <w:r>
        <w:rPr>
          <w:i/>
        </w:rPr>
        <w:t>cancel the service</w:t>
      </w:r>
      <w:r>
        <w:t xml:space="preserve"> without incurring a </w:t>
      </w:r>
      <w:r>
        <w:rPr>
          <w:i/>
        </w:rPr>
        <w:t>cancellation fee</w:t>
      </w:r>
      <w:r>
        <w:t>); plus</w:t>
      </w:r>
    </w:p>
    <w:p w14:paraId="1FE57DC3" w14:textId="77777777" w:rsidR="000D07EA" w:rsidRDefault="00BE7C89">
      <w:pPr>
        <w:pStyle w:val="Heading8"/>
      </w:pPr>
      <w:r>
        <w:t xml:space="preserve">the sum of unpaid </w:t>
      </w:r>
      <w:r>
        <w:rPr>
          <w:i/>
        </w:rPr>
        <w:t>equipment charges owing on your mobile phone</w:t>
      </w:r>
      <w:r>
        <w:t xml:space="preserve"> under the </w:t>
      </w:r>
      <w:r>
        <w:rPr>
          <w:i/>
        </w:rPr>
        <w:t>mobile equipment payment plan</w:t>
      </w:r>
      <w:r>
        <w:t xml:space="preserve"> (if any).</w:t>
      </w:r>
    </w:p>
    <w:p w14:paraId="4216589D" w14:textId="77777777" w:rsidR="000D07EA" w:rsidRDefault="00BE7C89">
      <w:pPr>
        <w:pStyle w:val="Heading7"/>
      </w:pPr>
      <w:r>
        <w:t xml:space="preserve">The </w:t>
      </w:r>
      <w:r>
        <w:rPr>
          <w:i/>
        </w:rPr>
        <w:t>cancellation fee</w:t>
      </w:r>
      <w:r>
        <w:t xml:space="preserve"> payable under paragraph </w:t>
      </w:r>
      <w:r w:rsidR="00EE7426" w:rsidRPr="00272628">
        <w:t>79</w:t>
      </w:r>
      <w:r w:rsidRPr="00272628">
        <w:t xml:space="preserve">.5(a) (if </w:t>
      </w:r>
      <w:r>
        <w:t xml:space="preserve">any) is calculated as follows: </w:t>
      </w:r>
    </w:p>
    <w:p w14:paraId="6E525068" w14:textId="77777777" w:rsidR="000D07EA" w:rsidRDefault="00BE7C89">
      <w:pPr>
        <w:pStyle w:val="Heading8"/>
      </w:pPr>
      <w:r>
        <w:t xml:space="preserve">If you are on a 24 month </w:t>
      </w:r>
      <w:r>
        <w:rPr>
          <w:i/>
        </w:rPr>
        <w:t>pricing plan</w:t>
      </w:r>
      <w:r>
        <w:t xml:space="preserve">, the </w:t>
      </w:r>
      <w:r>
        <w:rPr>
          <w:i/>
        </w:rPr>
        <w:t>cancellation fee</w:t>
      </w:r>
      <w:r>
        <w:t xml:space="preserve"> between months 0-12 is:</w:t>
      </w:r>
    </w:p>
    <w:p w14:paraId="66E389A9" w14:textId="77777777" w:rsidR="000D07EA" w:rsidRDefault="00BE7C89">
      <w:pPr>
        <w:pStyle w:val="Heading9"/>
      </w:pPr>
      <w:r>
        <w:rPr>
          <w:i/>
        </w:rPr>
        <w:t>For customers who sign up before 1 July 2007</w:t>
      </w:r>
      <w:r>
        <w:t>:</w:t>
      </w:r>
    </w:p>
    <w:tbl>
      <w:tblPr>
        <w:tblW w:w="8910" w:type="dxa"/>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854"/>
        <w:gridCol w:w="1764"/>
        <w:gridCol w:w="1764"/>
        <w:gridCol w:w="1764"/>
        <w:gridCol w:w="1764"/>
      </w:tblGrid>
      <w:tr w:rsidR="000D07EA" w14:paraId="46998660" w14:textId="77777777">
        <w:tc>
          <w:tcPr>
            <w:tcW w:w="1854" w:type="dxa"/>
          </w:tcPr>
          <w:p w14:paraId="4224F72E" w14:textId="77777777" w:rsidR="000D07EA" w:rsidRDefault="00BE7C89">
            <w:pPr>
              <w:pStyle w:val="BodyText"/>
              <w:spacing w:before="100" w:after="100"/>
              <w:rPr>
                <w:b/>
              </w:rPr>
            </w:pPr>
            <w:r>
              <w:rPr>
                <w:b/>
              </w:rPr>
              <w:t>'yes' Business Smart 49 Plan</w:t>
            </w:r>
          </w:p>
        </w:tc>
        <w:tc>
          <w:tcPr>
            <w:tcW w:w="1764" w:type="dxa"/>
          </w:tcPr>
          <w:p w14:paraId="1F2B70EF" w14:textId="77777777" w:rsidR="000D07EA" w:rsidRDefault="00BE7C89">
            <w:pPr>
              <w:pStyle w:val="BodyText"/>
              <w:spacing w:before="100" w:after="100"/>
              <w:rPr>
                <w:b/>
              </w:rPr>
            </w:pPr>
            <w:r>
              <w:rPr>
                <w:b/>
              </w:rPr>
              <w:t>'yes' Business Smart 79 Plan</w:t>
            </w:r>
          </w:p>
        </w:tc>
        <w:tc>
          <w:tcPr>
            <w:tcW w:w="1764" w:type="dxa"/>
          </w:tcPr>
          <w:p w14:paraId="609856C4" w14:textId="77777777" w:rsidR="000D07EA" w:rsidRDefault="00BE7C89">
            <w:pPr>
              <w:pStyle w:val="BodyText"/>
              <w:spacing w:before="100" w:after="100"/>
              <w:rPr>
                <w:b/>
              </w:rPr>
            </w:pPr>
            <w:r>
              <w:rPr>
                <w:b/>
              </w:rPr>
              <w:t>'yes' Business Smart 99 Plan</w:t>
            </w:r>
          </w:p>
        </w:tc>
        <w:tc>
          <w:tcPr>
            <w:tcW w:w="1764" w:type="dxa"/>
          </w:tcPr>
          <w:p w14:paraId="4F458427" w14:textId="77777777" w:rsidR="000D07EA" w:rsidRDefault="00BE7C89">
            <w:pPr>
              <w:pStyle w:val="BodyText"/>
              <w:spacing w:before="100" w:after="100"/>
              <w:rPr>
                <w:b/>
              </w:rPr>
            </w:pPr>
            <w:r>
              <w:rPr>
                <w:b/>
              </w:rPr>
              <w:t>'yes' Business Smart 149 Plan</w:t>
            </w:r>
          </w:p>
        </w:tc>
        <w:tc>
          <w:tcPr>
            <w:tcW w:w="1764" w:type="dxa"/>
          </w:tcPr>
          <w:p w14:paraId="38EBBC09" w14:textId="77777777" w:rsidR="000D07EA" w:rsidRDefault="00BE7C89">
            <w:pPr>
              <w:pStyle w:val="BodyText"/>
              <w:spacing w:before="100" w:after="100"/>
              <w:rPr>
                <w:b/>
              </w:rPr>
            </w:pPr>
            <w:r>
              <w:rPr>
                <w:b/>
              </w:rPr>
              <w:t>'yes' Business Smart 199 Plan</w:t>
            </w:r>
          </w:p>
        </w:tc>
      </w:tr>
      <w:tr w:rsidR="000D07EA" w14:paraId="448000F6" w14:textId="77777777">
        <w:tc>
          <w:tcPr>
            <w:tcW w:w="1854" w:type="dxa"/>
          </w:tcPr>
          <w:p w14:paraId="0AC4FA4D" w14:textId="77777777" w:rsidR="000D07EA" w:rsidRDefault="00BE7C89">
            <w:pPr>
              <w:pStyle w:val="BodyText"/>
              <w:spacing w:before="100" w:after="100"/>
              <w:jc w:val="center"/>
            </w:pPr>
            <w:r>
              <w:t>$359.09</w:t>
            </w:r>
            <w:r>
              <w:br/>
              <w:t>($395)</w:t>
            </w:r>
          </w:p>
        </w:tc>
        <w:tc>
          <w:tcPr>
            <w:tcW w:w="1764" w:type="dxa"/>
          </w:tcPr>
          <w:p w14:paraId="41C32541" w14:textId="77777777" w:rsidR="000D07EA" w:rsidRDefault="00BE7C89">
            <w:pPr>
              <w:pStyle w:val="BodyText"/>
              <w:spacing w:before="100" w:after="100"/>
              <w:jc w:val="center"/>
            </w:pPr>
            <w:r>
              <w:t>$372.72</w:t>
            </w:r>
            <w:r>
              <w:br/>
              <w:t>($410)</w:t>
            </w:r>
          </w:p>
        </w:tc>
        <w:tc>
          <w:tcPr>
            <w:tcW w:w="1764" w:type="dxa"/>
          </w:tcPr>
          <w:p w14:paraId="7678FAD0" w14:textId="77777777" w:rsidR="000D07EA" w:rsidRDefault="00BE7C89">
            <w:pPr>
              <w:pStyle w:val="BodyText"/>
              <w:spacing w:before="100" w:after="100"/>
              <w:jc w:val="center"/>
            </w:pPr>
            <w:r>
              <w:t>$395.45</w:t>
            </w:r>
            <w:r>
              <w:br/>
              <w:t>($435)</w:t>
            </w:r>
          </w:p>
        </w:tc>
        <w:tc>
          <w:tcPr>
            <w:tcW w:w="1764" w:type="dxa"/>
          </w:tcPr>
          <w:p w14:paraId="1A3AF35A" w14:textId="77777777" w:rsidR="000D07EA" w:rsidRDefault="00BE7C89">
            <w:pPr>
              <w:pStyle w:val="BodyText"/>
              <w:spacing w:before="100" w:after="100"/>
              <w:jc w:val="center"/>
            </w:pPr>
            <w:r>
              <w:t>$463.63</w:t>
            </w:r>
            <w:r>
              <w:br/>
              <w:t>($510)</w:t>
            </w:r>
          </w:p>
        </w:tc>
        <w:tc>
          <w:tcPr>
            <w:tcW w:w="1764" w:type="dxa"/>
          </w:tcPr>
          <w:p w14:paraId="62968BD9" w14:textId="77777777" w:rsidR="000D07EA" w:rsidRDefault="00BE7C89">
            <w:pPr>
              <w:pStyle w:val="BodyText"/>
              <w:spacing w:before="100" w:after="100"/>
              <w:jc w:val="center"/>
            </w:pPr>
            <w:r>
              <w:t>$509.09</w:t>
            </w:r>
            <w:r>
              <w:br/>
              <w:t>($560)</w:t>
            </w:r>
          </w:p>
        </w:tc>
      </w:tr>
    </w:tbl>
    <w:p w14:paraId="7DB1C43E" w14:textId="77777777" w:rsidR="000D07EA" w:rsidRDefault="00BE7C89">
      <w:pPr>
        <w:pStyle w:val="BodyText"/>
        <w:spacing w:before="240"/>
        <w:ind w:left="1440"/>
      </w:pPr>
      <w:r>
        <w:t xml:space="preserve">And for </w:t>
      </w:r>
      <w:r>
        <w:rPr>
          <w:i/>
        </w:rPr>
        <w:t>cancellations</w:t>
      </w:r>
      <w:r>
        <w:t xml:space="preserve"> between months 13-24, an additional amount in accordance with the following calculations: for months 13-15, 80% of the </w:t>
      </w:r>
      <w:r>
        <w:rPr>
          <w:i/>
        </w:rPr>
        <w:t>cancellation fee</w:t>
      </w:r>
      <w:r>
        <w:t xml:space="preserve">; for months 16-18, 60% of the </w:t>
      </w:r>
      <w:r>
        <w:rPr>
          <w:i/>
        </w:rPr>
        <w:t>cancellation fee</w:t>
      </w:r>
      <w:r>
        <w:t xml:space="preserve">; for months 19-21, 40% of the </w:t>
      </w:r>
      <w:r>
        <w:rPr>
          <w:i/>
        </w:rPr>
        <w:t>cancellation fee</w:t>
      </w:r>
      <w:r>
        <w:t xml:space="preserve">; for months 22-24, 20% of the </w:t>
      </w:r>
      <w:r>
        <w:rPr>
          <w:i/>
        </w:rPr>
        <w:t>cancellation fee</w:t>
      </w:r>
      <w:r>
        <w:t xml:space="preserve">. </w:t>
      </w:r>
    </w:p>
    <w:p w14:paraId="27C2676D" w14:textId="77777777" w:rsidR="000D07EA" w:rsidRDefault="00BE7C89">
      <w:pPr>
        <w:pStyle w:val="Heading9"/>
      </w:pPr>
      <w:r>
        <w:rPr>
          <w:i/>
        </w:rPr>
        <w:t>For customers who sign up on and from 1 July 2007</w:t>
      </w:r>
      <w:r>
        <w:t>:</w:t>
      </w:r>
    </w:p>
    <w:tbl>
      <w:tblPr>
        <w:tblW w:w="8910" w:type="dxa"/>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4"/>
        <w:gridCol w:w="1764"/>
        <w:gridCol w:w="1764"/>
        <w:gridCol w:w="1764"/>
        <w:gridCol w:w="1764"/>
      </w:tblGrid>
      <w:tr w:rsidR="000D07EA" w14:paraId="1D351873" w14:textId="77777777">
        <w:tc>
          <w:tcPr>
            <w:tcW w:w="1854" w:type="dxa"/>
          </w:tcPr>
          <w:p w14:paraId="68067F76" w14:textId="77777777" w:rsidR="000D07EA" w:rsidRDefault="00BE7C89">
            <w:pPr>
              <w:pStyle w:val="BodyText"/>
              <w:spacing w:before="100" w:after="100"/>
              <w:jc w:val="center"/>
              <w:rPr>
                <w:b/>
              </w:rPr>
            </w:pPr>
            <w:r>
              <w:rPr>
                <w:b/>
              </w:rPr>
              <w:t>'yes' Business Smart 49 Plan</w:t>
            </w:r>
          </w:p>
        </w:tc>
        <w:tc>
          <w:tcPr>
            <w:tcW w:w="1764" w:type="dxa"/>
          </w:tcPr>
          <w:p w14:paraId="5C54BAEA" w14:textId="77777777" w:rsidR="000D07EA" w:rsidRDefault="00BE7C89">
            <w:pPr>
              <w:pStyle w:val="BodyText"/>
              <w:spacing w:before="100" w:after="100"/>
              <w:jc w:val="center"/>
              <w:rPr>
                <w:b/>
              </w:rPr>
            </w:pPr>
            <w:r>
              <w:rPr>
                <w:b/>
              </w:rPr>
              <w:t>'yes' Business Smart 79 Plan</w:t>
            </w:r>
          </w:p>
        </w:tc>
        <w:tc>
          <w:tcPr>
            <w:tcW w:w="1764" w:type="dxa"/>
          </w:tcPr>
          <w:p w14:paraId="3993962C" w14:textId="77777777" w:rsidR="000D07EA" w:rsidRDefault="00BE7C89">
            <w:pPr>
              <w:pStyle w:val="BodyText"/>
              <w:spacing w:before="100" w:after="100"/>
              <w:jc w:val="center"/>
              <w:rPr>
                <w:b/>
              </w:rPr>
            </w:pPr>
            <w:r>
              <w:rPr>
                <w:b/>
              </w:rPr>
              <w:t>'yes' Business Smart 99 Plan</w:t>
            </w:r>
          </w:p>
        </w:tc>
        <w:tc>
          <w:tcPr>
            <w:tcW w:w="1764" w:type="dxa"/>
          </w:tcPr>
          <w:p w14:paraId="6DF4F6CA" w14:textId="77777777" w:rsidR="000D07EA" w:rsidRDefault="00BE7C89">
            <w:pPr>
              <w:pStyle w:val="BodyText"/>
              <w:spacing w:before="100" w:after="100"/>
              <w:jc w:val="center"/>
              <w:rPr>
                <w:b/>
              </w:rPr>
            </w:pPr>
            <w:r>
              <w:rPr>
                <w:b/>
              </w:rPr>
              <w:t>'yes' Business Smart 149 Plan</w:t>
            </w:r>
          </w:p>
        </w:tc>
        <w:tc>
          <w:tcPr>
            <w:tcW w:w="1764" w:type="dxa"/>
          </w:tcPr>
          <w:p w14:paraId="69AC974B" w14:textId="77777777" w:rsidR="000D07EA" w:rsidRDefault="00BE7C89">
            <w:pPr>
              <w:pStyle w:val="BodyText"/>
              <w:spacing w:before="100" w:after="100"/>
              <w:jc w:val="center"/>
              <w:rPr>
                <w:b/>
              </w:rPr>
            </w:pPr>
            <w:r>
              <w:rPr>
                <w:b/>
              </w:rPr>
              <w:t>'yes' Business Smart 199 Plan</w:t>
            </w:r>
          </w:p>
        </w:tc>
      </w:tr>
      <w:tr w:rsidR="000D07EA" w14:paraId="01A1BB5A" w14:textId="77777777">
        <w:tc>
          <w:tcPr>
            <w:tcW w:w="1854" w:type="dxa"/>
          </w:tcPr>
          <w:p w14:paraId="18F7C574" w14:textId="77777777" w:rsidR="000D07EA" w:rsidRDefault="00BE7C89">
            <w:pPr>
              <w:pStyle w:val="BodyText"/>
              <w:spacing w:before="100" w:after="100"/>
              <w:jc w:val="center"/>
            </w:pPr>
            <w:r>
              <w:t>$454.54</w:t>
            </w:r>
            <w:r>
              <w:br/>
              <w:t>($500)</w:t>
            </w:r>
          </w:p>
        </w:tc>
        <w:tc>
          <w:tcPr>
            <w:tcW w:w="1764" w:type="dxa"/>
          </w:tcPr>
          <w:p w14:paraId="745EA62A" w14:textId="77777777" w:rsidR="000D07EA" w:rsidRDefault="00BE7C89">
            <w:pPr>
              <w:pStyle w:val="BodyText"/>
              <w:spacing w:before="100" w:after="100"/>
              <w:jc w:val="center"/>
            </w:pPr>
            <w:r>
              <w:t>$572.72</w:t>
            </w:r>
            <w:r>
              <w:br/>
              <w:t>($630)</w:t>
            </w:r>
          </w:p>
        </w:tc>
        <w:tc>
          <w:tcPr>
            <w:tcW w:w="1764" w:type="dxa"/>
          </w:tcPr>
          <w:p w14:paraId="6E198DD8" w14:textId="77777777" w:rsidR="000D07EA" w:rsidRDefault="00BE7C89">
            <w:pPr>
              <w:pStyle w:val="BodyText"/>
              <w:spacing w:before="100" w:after="100"/>
              <w:jc w:val="center"/>
            </w:pPr>
            <w:r>
              <w:t>$613.63</w:t>
            </w:r>
            <w:r>
              <w:br/>
              <w:t>($675)</w:t>
            </w:r>
          </w:p>
        </w:tc>
        <w:tc>
          <w:tcPr>
            <w:tcW w:w="1764" w:type="dxa"/>
          </w:tcPr>
          <w:p w14:paraId="65638995" w14:textId="77777777" w:rsidR="000D07EA" w:rsidRDefault="00BE7C89">
            <w:pPr>
              <w:pStyle w:val="BodyText"/>
              <w:spacing w:before="100" w:after="100"/>
              <w:jc w:val="center"/>
            </w:pPr>
            <w:r>
              <w:t>$681.81</w:t>
            </w:r>
            <w:r>
              <w:br/>
              <w:t>($750)</w:t>
            </w:r>
          </w:p>
        </w:tc>
        <w:tc>
          <w:tcPr>
            <w:tcW w:w="1764" w:type="dxa"/>
          </w:tcPr>
          <w:p w14:paraId="36A20B8C" w14:textId="77777777" w:rsidR="000D07EA" w:rsidRDefault="00BE7C89">
            <w:pPr>
              <w:pStyle w:val="BodyText"/>
              <w:spacing w:before="100" w:after="100"/>
              <w:jc w:val="center"/>
            </w:pPr>
            <w:r>
              <w:t>$750</w:t>
            </w:r>
            <w:r>
              <w:br/>
              <w:t>($825)</w:t>
            </w:r>
          </w:p>
        </w:tc>
      </w:tr>
    </w:tbl>
    <w:p w14:paraId="349D15BB" w14:textId="77777777" w:rsidR="000D07EA" w:rsidRDefault="00BE7C89">
      <w:pPr>
        <w:pStyle w:val="BodyText"/>
        <w:spacing w:before="240"/>
        <w:ind w:left="1440"/>
      </w:pPr>
      <w:r>
        <w:t xml:space="preserve">And for </w:t>
      </w:r>
      <w:r>
        <w:rPr>
          <w:i/>
        </w:rPr>
        <w:t xml:space="preserve">cancellations </w:t>
      </w:r>
      <w:r>
        <w:t xml:space="preserve">between months 13-24, an additional amount in accordance with the following calculations: for months 13-15, 80% of the </w:t>
      </w:r>
      <w:r>
        <w:rPr>
          <w:i/>
        </w:rPr>
        <w:t>cancellation fee</w:t>
      </w:r>
      <w:r>
        <w:t xml:space="preserve">; for months 16-18, 60% of the </w:t>
      </w:r>
      <w:r>
        <w:rPr>
          <w:i/>
        </w:rPr>
        <w:t>cancellation fee</w:t>
      </w:r>
      <w:r>
        <w:t xml:space="preserve">; for months 19-21, 40% of the </w:t>
      </w:r>
      <w:r>
        <w:rPr>
          <w:i/>
        </w:rPr>
        <w:t>cancellation fee</w:t>
      </w:r>
      <w:r>
        <w:t xml:space="preserve">; for months 22-24, 20% of the </w:t>
      </w:r>
      <w:r>
        <w:rPr>
          <w:i/>
        </w:rPr>
        <w:t>cancellation fee</w:t>
      </w:r>
      <w:r>
        <w:t>.</w:t>
      </w:r>
    </w:p>
    <w:p w14:paraId="09577CF5" w14:textId="77777777" w:rsidR="000D07EA" w:rsidRDefault="00BE7C89">
      <w:pPr>
        <w:pStyle w:val="Heading8"/>
      </w:pPr>
      <w:r>
        <w:t xml:space="preserve">If </w:t>
      </w:r>
      <w:r>
        <w:rPr>
          <w:i/>
        </w:rPr>
        <w:t xml:space="preserve">you </w:t>
      </w:r>
      <w:r>
        <w:t xml:space="preserve">are on a 12 month </w:t>
      </w:r>
      <w:r>
        <w:rPr>
          <w:i/>
        </w:rPr>
        <w:t>pricing plan</w:t>
      </w:r>
      <w:r>
        <w:t xml:space="preserve">, the </w:t>
      </w:r>
      <w:r>
        <w:rPr>
          <w:i/>
        </w:rPr>
        <w:t xml:space="preserve">cancellation fee </w:t>
      </w:r>
      <w:r>
        <w:t>between months 0-6 is:</w:t>
      </w:r>
    </w:p>
    <w:tbl>
      <w:tblPr>
        <w:tblW w:w="8910" w:type="dxa"/>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4"/>
        <w:gridCol w:w="1764"/>
        <w:gridCol w:w="1764"/>
        <w:gridCol w:w="1764"/>
        <w:gridCol w:w="1764"/>
      </w:tblGrid>
      <w:tr w:rsidR="000D07EA" w14:paraId="02B279F3" w14:textId="77777777">
        <w:tc>
          <w:tcPr>
            <w:tcW w:w="1854" w:type="dxa"/>
            <w:hideMark/>
          </w:tcPr>
          <w:p w14:paraId="7C616FB2" w14:textId="77777777" w:rsidR="000D07EA" w:rsidRDefault="00BE7C89">
            <w:pPr>
              <w:pStyle w:val="BodyText"/>
              <w:spacing w:before="100" w:after="100"/>
              <w:jc w:val="center"/>
              <w:rPr>
                <w:b/>
                <w:sz w:val="24"/>
                <w:lang w:val="en-AU" w:eastAsia="en-AU"/>
              </w:rPr>
            </w:pPr>
            <w:r>
              <w:rPr>
                <w:b/>
              </w:rPr>
              <w:t>'yes' Business Smart 49 Plan</w:t>
            </w:r>
          </w:p>
        </w:tc>
        <w:tc>
          <w:tcPr>
            <w:tcW w:w="1764" w:type="dxa"/>
            <w:hideMark/>
          </w:tcPr>
          <w:p w14:paraId="4106FA0F" w14:textId="77777777" w:rsidR="000D07EA" w:rsidRDefault="00BE7C89">
            <w:pPr>
              <w:pStyle w:val="BodyText"/>
              <w:spacing w:before="100" w:after="100"/>
              <w:jc w:val="center"/>
              <w:rPr>
                <w:b/>
                <w:sz w:val="24"/>
                <w:lang w:val="en-AU" w:eastAsia="en-AU"/>
              </w:rPr>
            </w:pPr>
            <w:r>
              <w:rPr>
                <w:b/>
              </w:rPr>
              <w:t>'yes' Business Smart 79 Plan</w:t>
            </w:r>
          </w:p>
        </w:tc>
        <w:tc>
          <w:tcPr>
            <w:tcW w:w="1764" w:type="dxa"/>
            <w:hideMark/>
          </w:tcPr>
          <w:p w14:paraId="43B3F361" w14:textId="77777777" w:rsidR="000D07EA" w:rsidRDefault="00BE7C89">
            <w:pPr>
              <w:pStyle w:val="BodyText"/>
              <w:spacing w:before="100" w:after="100"/>
              <w:jc w:val="center"/>
              <w:rPr>
                <w:b/>
                <w:sz w:val="24"/>
                <w:lang w:val="en-AU" w:eastAsia="en-AU"/>
              </w:rPr>
            </w:pPr>
            <w:r>
              <w:rPr>
                <w:b/>
              </w:rPr>
              <w:t>'yes' Business Smart 99 Plan</w:t>
            </w:r>
          </w:p>
        </w:tc>
        <w:tc>
          <w:tcPr>
            <w:tcW w:w="1764" w:type="dxa"/>
            <w:hideMark/>
          </w:tcPr>
          <w:p w14:paraId="698CB996" w14:textId="77777777" w:rsidR="000D07EA" w:rsidRDefault="00BE7C89">
            <w:pPr>
              <w:pStyle w:val="BodyText"/>
              <w:spacing w:before="100" w:after="100"/>
              <w:jc w:val="center"/>
              <w:rPr>
                <w:b/>
                <w:sz w:val="24"/>
                <w:lang w:val="en-AU" w:eastAsia="en-AU"/>
              </w:rPr>
            </w:pPr>
            <w:r>
              <w:rPr>
                <w:b/>
              </w:rPr>
              <w:t>'yes' Business Smart 149 Plan</w:t>
            </w:r>
          </w:p>
        </w:tc>
        <w:tc>
          <w:tcPr>
            <w:tcW w:w="1764" w:type="dxa"/>
            <w:hideMark/>
          </w:tcPr>
          <w:p w14:paraId="56B8982A" w14:textId="77777777" w:rsidR="000D07EA" w:rsidRDefault="00BE7C89">
            <w:pPr>
              <w:pStyle w:val="BodyText"/>
              <w:spacing w:before="100" w:after="100"/>
              <w:jc w:val="center"/>
              <w:rPr>
                <w:b/>
                <w:sz w:val="24"/>
                <w:lang w:val="en-AU" w:eastAsia="en-AU"/>
              </w:rPr>
            </w:pPr>
            <w:r>
              <w:rPr>
                <w:b/>
              </w:rPr>
              <w:t>'yes' Business Smart 199 Plan</w:t>
            </w:r>
          </w:p>
        </w:tc>
      </w:tr>
      <w:tr w:rsidR="000D07EA" w14:paraId="33989967" w14:textId="77777777">
        <w:tc>
          <w:tcPr>
            <w:tcW w:w="1854" w:type="dxa"/>
            <w:hideMark/>
          </w:tcPr>
          <w:p w14:paraId="13FD07F7" w14:textId="77777777" w:rsidR="000D07EA" w:rsidRDefault="00BE7C89">
            <w:pPr>
              <w:pStyle w:val="BodyText"/>
              <w:spacing w:before="100" w:after="100"/>
              <w:jc w:val="center"/>
              <w:rPr>
                <w:sz w:val="24"/>
                <w:lang w:val="en-AU" w:eastAsia="en-AU"/>
              </w:rPr>
            </w:pPr>
            <w:r>
              <w:t>$236.36</w:t>
            </w:r>
            <w:r>
              <w:br/>
              <w:t>($260)</w:t>
            </w:r>
          </w:p>
        </w:tc>
        <w:tc>
          <w:tcPr>
            <w:tcW w:w="1764" w:type="dxa"/>
            <w:hideMark/>
          </w:tcPr>
          <w:p w14:paraId="6D275A68" w14:textId="77777777" w:rsidR="000D07EA" w:rsidRDefault="00BE7C89">
            <w:pPr>
              <w:pStyle w:val="BodyText"/>
              <w:spacing w:before="100" w:after="100"/>
              <w:jc w:val="center"/>
              <w:rPr>
                <w:lang w:val="en-AU" w:eastAsia="en-AU"/>
              </w:rPr>
            </w:pPr>
            <w:r>
              <w:t>$246.36</w:t>
            </w:r>
            <w:r>
              <w:br/>
              <w:t>($271)</w:t>
            </w:r>
          </w:p>
        </w:tc>
        <w:tc>
          <w:tcPr>
            <w:tcW w:w="1764" w:type="dxa"/>
            <w:hideMark/>
          </w:tcPr>
          <w:p w14:paraId="19C44A29" w14:textId="77777777" w:rsidR="000D07EA" w:rsidRDefault="00BE7C89">
            <w:pPr>
              <w:pStyle w:val="BodyText"/>
              <w:spacing w:before="100" w:after="100"/>
              <w:jc w:val="center"/>
              <w:rPr>
                <w:lang w:val="en-AU" w:eastAsia="en-AU"/>
              </w:rPr>
            </w:pPr>
            <w:r>
              <w:t>$277.27</w:t>
            </w:r>
            <w:r>
              <w:br/>
              <w:t>($305)</w:t>
            </w:r>
          </w:p>
        </w:tc>
        <w:tc>
          <w:tcPr>
            <w:tcW w:w="1764" w:type="dxa"/>
            <w:hideMark/>
          </w:tcPr>
          <w:p w14:paraId="1A5DBC79" w14:textId="77777777" w:rsidR="000D07EA" w:rsidRDefault="00BE7C89">
            <w:pPr>
              <w:pStyle w:val="BodyText"/>
              <w:spacing w:before="100" w:after="100"/>
              <w:jc w:val="center"/>
              <w:rPr>
                <w:sz w:val="24"/>
                <w:lang w:val="en-AU" w:eastAsia="en-AU"/>
              </w:rPr>
            </w:pPr>
            <w:r>
              <w:t>$348.18</w:t>
            </w:r>
            <w:r>
              <w:br/>
              <w:t>($383)</w:t>
            </w:r>
          </w:p>
        </w:tc>
        <w:tc>
          <w:tcPr>
            <w:tcW w:w="1764" w:type="dxa"/>
            <w:hideMark/>
          </w:tcPr>
          <w:p w14:paraId="19141C91" w14:textId="77777777" w:rsidR="000D07EA" w:rsidRDefault="00BE7C89">
            <w:pPr>
              <w:pStyle w:val="BodyText"/>
              <w:spacing w:before="100" w:after="100"/>
              <w:jc w:val="center"/>
              <w:rPr>
                <w:sz w:val="24"/>
                <w:lang w:val="en-AU" w:eastAsia="en-AU"/>
              </w:rPr>
            </w:pPr>
            <w:r>
              <w:t>$407.27</w:t>
            </w:r>
            <w:r>
              <w:br/>
              <w:t>($448)</w:t>
            </w:r>
          </w:p>
        </w:tc>
      </w:tr>
    </w:tbl>
    <w:p w14:paraId="0041DD23" w14:textId="77777777" w:rsidR="000D07EA" w:rsidRDefault="00BE7C89">
      <w:pPr>
        <w:pStyle w:val="BodyText"/>
        <w:spacing w:before="240"/>
        <w:ind w:left="1440"/>
      </w:pPr>
      <w:r>
        <w:t xml:space="preserve">And for </w:t>
      </w:r>
      <w:r>
        <w:rPr>
          <w:i/>
        </w:rPr>
        <w:t xml:space="preserve">cancellations </w:t>
      </w:r>
      <w:r>
        <w:t xml:space="preserve">between months 7-12, an amount in accordance with the following calculations: for months 7-9, 70% of the </w:t>
      </w:r>
      <w:r>
        <w:rPr>
          <w:i/>
        </w:rPr>
        <w:t>cancellation fee</w:t>
      </w:r>
      <w:r>
        <w:t xml:space="preserve">; for months 10-12, 40% of the </w:t>
      </w:r>
      <w:r>
        <w:rPr>
          <w:i/>
        </w:rPr>
        <w:t>cancellation fee</w:t>
      </w:r>
      <w:r>
        <w:t xml:space="preserve">. </w:t>
      </w:r>
    </w:p>
    <w:p w14:paraId="79CD3D96" w14:textId="77777777" w:rsidR="000D07EA" w:rsidRDefault="00BE7C89">
      <w:pPr>
        <w:pStyle w:val="Heading6"/>
        <w:ind w:left="0" w:firstLine="0"/>
      </w:pPr>
      <w:bookmarkStart w:id="208" w:name="_Toc397941051"/>
      <w:bookmarkStart w:id="209" w:name="_Toc219870447"/>
      <w:r>
        <w:t>Optus SMB Rewards</w:t>
      </w:r>
      <w:bookmarkEnd w:id="208"/>
      <w:bookmarkEnd w:id="209"/>
      <w:r>
        <w:t xml:space="preserve"> </w:t>
      </w:r>
    </w:p>
    <w:p w14:paraId="51C09456" w14:textId="77777777" w:rsidR="000D07EA" w:rsidRDefault="00BE7C89">
      <w:pPr>
        <w:pStyle w:val="Heading7"/>
      </w:pPr>
      <w:r>
        <w:rPr>
          <w:b/>
        </w:rPr>
        <w:t xml:space="preserve">Optus 'yes' Business </w:t>
      </w:r>
      <w:r>
        <w:rPr>
          <w:b/>
          <w:bCs/>
        </w:rPr>
        <w:t xml:space="preserve">Rewards </w:t>
      </w:r>
      <w:r>
        <w:t xml:space="preserve">is a </w:t>
      </w:r>
      <w:r>
        <w:rPr>
          <w:i/>
          <w:iCs/>
        </w:rPr>
        <w:t xml:space="preserve">special </w:t>
      </w:r>
      <w:r>
        <w:t xml:space="preserve">available to </w:t>
      </w:r>
      <w:r>
        <w:rPr>
          <w:i/>
          <w:iCs/>
        </w:rPr>
        <w:t xml:space="preserve">small or medium business customers </w:t>
      </w:r>
      <w:r>
        <w:t>who connect to the</w:t>
      </w:r>
      <w:r>
        <w:rPr>
          <w:i/>
          <w:iCs/>
        </w:rPr>
        <w:t xml:space="preserve"> service </w:t>
      </w:r>
      <w:r>
        <w:t xml:space="preserve">on an eligible </w:t>
      </w:r>
      <w:r>
        <w:rPr>
          <w:i/>
          <w:iCs/>
        </w:rPr>
        <w:t xml:space="preserve">pricing plan </w:t>
      </w:r>
      <w:r>
        <w:t>after 23 November 2005. It</w:t>
      </w:r>
      <w:r>
        <w:rPr>
          <w:i/>
          <w:iCs/>
        </w:rPr>
        <w:t xml:space="preserve"> </w:t>
      </w:r>
      <w:r>
        <w:t xml:space="preserve">involves more than one </w:t>
      </w:r>
      <w:r>
        <w:rPr>
          <w:i/>
          <w:iCs/>
        </w:rPr>
        <w:t>service</w:t>
      </w:r>
      <w:r>
        <w:t xml:space="preserve"> and each of the services </w:t>
      </w:r>
      <w:r>
        <w:rPr>
          <w:i/>
          <w:iCs/>
        </w:rPr>
        <w:t>you</w:t>
      </w:r>
      <w:r>
        <w:t xml:space="preserve"> select as part of </w:t>
      </w:r>
      <w:r>
        <w:rPr>
          <w:i/>
          <w:iCs/>
        </w:rPr>
        <w:t>you</w:t>
      </w:r>
      <w:r>
        <w:t xml:space="preserve">r package is provided to </w:t>
      </w:r>
      <w:r>
        <w:rPr>
          <w:i/>
          <w:iCs/>
        </w:rPr>
        <w:t>you</w:t>
      </w:r>
      <w:r>
        <w:t xml:space="preserve"> by the relevant Optus company on the terms and conditions of the </w:t>
      </w:r>
      <w:r>
        <w:rPr>
          <w:i/>
          <w:iCs/>
        </w:rPr>
        <w:t>agreement</w:t>
      </w:r>
      <w:r>
        <w:t xml:space="preserve"> for the supply of that </w:t>
      </w:r>
      <w:r>
        <w:rPr>
          <w:i/>
          <w:iCs/>
        </w:rPr>
        <w:lastRenderedPageBreak/>
        <w:t>service.</w:t>
      </w:r>
      <w:r>
        <w:t xml:space="preserve"> Details of the various packages available and of any additional terms and conditions that apply to 'yes' Business Rewards are set out in </w:t>
      </w:r>
      <w:hyperlink r:id="rId124" w:history="1">
        <w:r>
          <w:rPr>
            <w:rStyle w:val="Hyperlink"/>
            <w:rFonts w:eastAsia="MS Gothic"/>
            <w:i/>
          </w:rPr>
          <w:t>Appendix IB</w:t>
        </w:r>
      </w:hyperlink>
      <w:r>
        <w:t xml:space="preserve">. </w:t>
      </w:r>
    </w:p>
    <w:p w14:paraId="64077E3B" w14:textId="77777777" w:rsidR="000D07EA" w:rsidRDefault="00BE7C89">
      <w:pPr>
        <w:pStyle w:val="Heading6"/>
        <w:ind w:left="0" w:firstLine="0"/>
      </w:pPr>
      <w:bookmarkStart w:id="210" w:name="_Toc397941052"/>
      <w:bookmarkStart w:id="211" w:name="_Toc219870448"/>
      <w:r>
        <w:t>Business Bonus</w:t>
      </w:r>
      <w:bookmarkEnd w:id="210"/>
      <w:bookmarkEnd w:id="211"/>
    </w:p>
    <w:p w14:paraId="0E829938" w14:textId="77777777" w:rsidR="000D07EA" w:rsidRDefault="00BE7C89">
      <w:pPr>
        <w:pStyle w:val="Heading7"/>
      </w:pPr>
      <w:r>
        <w:t xml:space="preserve">If </w:t>
      </w:r>
      <w:r>
        <w:rPr>
          <w:i/>
        </w:rPr>
        <w:t xml:space="preserve">you </w:t>
      </w:r>
      <w:r>
        <w:t xml:space="preserve">do not purchase or receive new discounted mobile hardware from either </w:t>
      </w:r>
      <w:r>
        <w:rPr>
          <w:i/>
        </w:rPr>
        <w:t>us</w:t>
      </w:r>
      <w:r>
        <w:t xml:space="preserve"> or an Optus dealer, partner or reseller when connecting to an 'yes' Business Smart Cap </w:t>
      </w:r>
      <w:r>
        <w:rPr>
          <w:i/>
        </w:rPr>
        <w:t>pricing plan</w:t>
      </w:r>
      <w:r>
        <w:t xml:space="preserve"> with a 12 or 24 month </w:t>
      </w:r>
      <w:r>
        <w:rPr>
          <w:i/>
        </w:rPr>
        <w:t>minimum term</w:t>
      </w:r>
      <w:r>
        <w:t xml:space="preserve"> </w:t>
      </w:r>
      <w:r>
        <w:rPr>
          <w:i/>
        </w:rPr>
        <w:t>you</w:t>
      </w:r>
      <w:r>
        <w:t xml:space="preserve"> are eligible for a credit called "BYO Bonus" on </w:t>
      </w:r>
      <w:r>
        <w:rPr>
          <w:i/>
        </w:rPr>
        <w:t>your</w:t>
      </w:r>
      <w:r>
        <w:t xml:space="preserve"> </w:t>
      </w:r>
      <w:r>
        <w:rPr>
          <w:i/>
        </w:rPr>
        <w:t>mobile phone</w:t>
      </w:r>
      <w:r>
        <w:t xml:space="preserve"> tax invoice/account. </w:t>
      </w:r>
      <w:r>
        <w:rPr>
          <w:b/>
        </w:rPr>
        <w:t xml:space="preserve">(For the avoidance of doubt, </w:t>
      </w:r>
      <w:r>
        <w:rPr>
          <w:b/>
          <w:i/>
        </w:rPr>
        <w:t>you</w:t>
      </w:r>
      <w:r>
        <w:rPr>
          <w:b/>
        </w:rPr>
        <w:t xml:space="preserve"> will not be eligible for any "BYO Bonus" credit if, at the time </w:t>
      </w:r>
      <w:r>
        <w:rPr>
          <w:b/>
          <w:i/>
        </w:rPr>
        <w:t>you</w:t>
      </w:r>
      <w:r>
        <w:rPr>
          <w:b/>
        </w:rPr>
        <w:t xml:space="preserve"> enter into the </w:t>
      </w:r>
      <w:r>
        <w:rPr>
          <w:b/>
          <w:i/>
        </w:rPr>
        <w:t>agreement</w:t>
      </w:r>
      <w:r>
        <w:rPr>
          <w:b/>
        </w:rPr>
        <w:t xml:space="preserve"> for the </w:t>
      </w:r>
      <w:r>
        <w:rPr>
          <w:b/>
          <w:i/>
        </w:rPr>
        <w:t>service</w:t>
      </w:r>
      <w:r>
        <w:rPr>
          <w:b/>
        </w:rPr>
        <w:t xml:space="preserve"> with </w:t>
      </w:r>
      <w:r>
        <w:rPr>
          <w:b/>
          <w:i/>
        </w:rPr>
        <w:t>us</w:t>
      </w:r>
      <w:r>
        <w:rPr>
          <w:b/>
        </w:rPr>
        <w:t xml:space="preserve"> </w:t>
      </w:r>
      <w:r>
        <w:rPr>
          <w:b/>
          <w:i/>
        </w:rPr>
        <w:t>you</w:t>
      </w:r>
      <w:r>
        <w:rPr>
          <w:b/>
        </w:rPr>
        <w:t xml:space="preserve"> purchase or receive mobile hardware under a separate agreement with an Optus dealer, partner or reseller.)</w:t>
      </w:r>
      <w:r>
        <w:t xml:space="preserve"> The credit will be applied to </w:t>
      </w:r>
      <w:r>
        <w:rPr>
          <w:i/>
        </w:rPr>
        <w:t>your</w:t>
      </w:r>
      <w:r>
        <w:t xml:space="preserve"> account in the first or second month of your contract and will be equal to your Minium Monthly commitment you will still receive your included value. Customers who select a 12 month plan will receive 1 "BYO Bonus" where customers who select a 24 month plan will receive 2 "BYO Bonus" This credit is not redeemable for cash or refundable upon </w:t>
      </w:r>
      <w:r>
        <w:rPr>
          <w:i/>
        </w:rPr>
        <w:t>cancellation</w:t>
      </w:r>
      <w:r>
        <w:t xml:space="preserve"> of </w:t>
      </w:r>
      <w:r>
        <w:rPr>
          <w:i/>
        </w:rPr>
        <w:t>your</w:t>
      </w:r>
      <w:r>
        <w:t xml:space="preserve"> </w:t>
      </w:r>
      <w:r>
        <w:rPr>
          <w:i/>
        </w:rPr>
        <w:t>agreement</w:t>
      </w:r>
      <w:r>
        <w:t xml:space="preserve">. </w:t>
      </w:r>
    </w:p>
    <w:p w14:paraId="433CAF84" w14:textId="77777777" w:rsidR="000D07EA" w:rsidRDefault="00BE7C89">
      <w:pPr>
        <w:pStyle w:val="Heading4"/>
        <w:ind w:left="720" w:hanging="720"/>
      </w:pPr>
      <w:bookmarkStart w:id="212" w:name="_Toc455147599"/>
      <w:bookmarkStart w:id="213" w:name="_Toc397941053"/>
      <w:bookmarkStart w:id="214" w:name="_Toc219870449"/>
      <w:bookmarkStart w:id="215" w:name="_Toc62644621"/>
      <w:r>
        <w:t>'yes' Business Share Mobile Cap Plans (45, 65, 85)</w:t>
      </w:r>
      <w:bookmarkEnd w:id="212"/>
      <w:bookmarkEnd w:id="213"/>
      <w:bookmarkEnd w:id="214"/>
      <w:bookmarkEnd w:id="215"/>
    </w:p>
    <w:p w14:paraId="0A26414F" w14:textId="77777777" w:rsidR="000D07EA" w:rsidRDefault="00BE7C89">
      <w:pPr>
        <w:pStyle w:val="Heading6"/>
        <w:ind w:left="0" w:firstLine="0"/>
      </w:pPr>
      <w:bookmarkStart w:id="216" w:name="_Toc397941054"/>
      <w:bookmarkStart w:id="217" w:name="_Toc219870450"/>
      <w:r>
        <w:t>Eligibility</w:t>
      </w:r>
      <w:bookmarkEnd w:id="216"/>
      <w:bookmarkEnd w:id="217"/>
    </w:p>
    <w:p w14:paraId="78A42BD1" w14:textId="77777777" w:rsidR="000D07EA" w:rsidRDefault="00BE7C89">
      <w:pPr>
        <w:pStyle w:val="Heading7"/>
      </w:pPr>
      <w:r>
        <w:t xml:space="preserve">The 'yes' Business Share Mobile Cap </w:t>
      </w:r>
      <w:r>
        <w:rPr>
          <w:i/>
        </w:rPr>
        <w:t xml:space="preserve">pricing plans </w:t>
      </w:r>
      <w:r>
        <w:t xml:space="preserve">are available under special offers to customers </w:t>
      </w:r>
      <w:r>
        <w:rPr>
          <w:i/>
        </w:rPr>
        <w:t>we</w:t>
      </w:r>
      <w:r>
        <w:t xml:space="preserve"> classify as </w:t>
      </w:r>
      <w:r>
        <w:rPr>
          <w:i/>
        </w:rPr>
        <w:t>small or medium business</w:t>
      </w:r>
      <w:r>
        <w:t xml:space="preserve"> customers. </w:t>
      </w:r>
    </w:p>
    <w:p w14:paraId="4D31F300" w14:textId="77777777" w:rsidR="000D07EA" w:rsidRDefault="00BE7C89">
      <w:pPr>
        <w:pStyle w:val="Heading7"/>
      </w:pPr>
      <w:r>
        <w:t xml:space="preserve">Customers ordering a </w:t>
      </w:r>
      <w:r>
        <w:rPr>
          <w:i/>
        </w:rPr>
        <w:t xml:space="preserve">mobile phone </w:t>
      </w:r>
      <w:r>
        <w:t xml:space="preserve">with an </w:t>
      </w:r>
      <w:r>
        <w:rPr>
          <w:i/>
        </w:rPr>
        <w:t>Optus SIM card</w:t>
      </w:r>
      <w:r>
        <w:t xml:space="preserve"> on the 'yes' Business Share Mobile Cap </w:t>
      </w:r>
      <w:r>
        <w:rPr>
          <w:i/>
        </w:rPr>
        <w:t>pricing plan</w:t>
      </w:r>
      <w:r>
        <w:t xml:space="preserve"> must be connected to that </w:t>
      </w:r>
      <w:r>
        <w:rPr>
          <w:i/>
        </w:rPr>
        <w:t xml:space="preserve">pricing plan </w:t>
      </w:r>
      <w:r>
        <w:t>and activated within 14 days after delivery.</w:t>
      </w:r>
    </w:p>
    <w:p w14:paraId="10442D6E" w14:textId="77777777" w:rsidR="000D07EA" w:rsidRDefault="00BE7C89">
      <w:pPr>
        <w:pStyle w:val="Heading6"/>
        <w:ind w:left="0" w:firstLine="0"/>
      </w:pPr>
      <w:bookmarkStart w:id="218" w:name="_Toc397941055"/>
      <w:bookmarkStart w:id="219" w:name="_Toc219870451"/>
      <w:r>
        <w:t xml:space="preserve">Is it a </w:t>
      </w:r>
      <w:r>
        <w:rPr>
          <w:i/>
        </w:rPr>
        <w:t>fixed length agreement</w:t>
      </w:r>
      <w:r>
        <w:t>?</w:t>
      </w:r>
      <w:bookmarkEnd w:id="218"/>
      <w:bookmarkEnd w:id="219"/>
    </w:p>
    <w:p w14:paraId="228F940D" w14:textId="77777777" w:rsidR="000D07EA" w:rsidRDefault="00BE7C89">
      <w:pPr>
        <w:pStyle w:val="Heading7"/>
      </w:pPr>
      <w:r>
        <w:t xml:space="preserve">To connect to the 'yes' Business Share Mobile Cap </w:t>
      </w:r>
      <w:r>
        <w:rPr>
          <w:i/>
        </w:rPr>
        <w:t>pricing plans you</w:t>
      </w:r>
      <w:r>
        <w:t xml:space="preserve"> must agree to enter into a </w:t>
      </w:r>
      <w:r>
        <w:rPr>
          <w:i/>
        </w:rPr>
        <w:t xml:space="preserve">fixed length agreement </w:t>
      </w:r>
      <w:r>
        <w:t xml:space="preserve">for a </w:t>
      </w:r>
      <w:r>
        <w:rPr>
          <w:i/>
        </w:rPr>
        <w:t>minimum term</w:t>
      </w:r>
      <w:r>
        <w:t xml:space="preserve"> as specified below, up to 5 years, or such other term as </w:t>
      </w:r>
      <w:r>
        <w:rPr>
          <w:i/>
        </w:rPr>
        <w:t>you</w:t>
      </w:r>
      <w:r>
        <w:t xml:space="preserve"> and </w:t>
      </w:r>
      <w:r>
        <w:rPr>
          <w:i/>
        </w:rPr>
        <w:t>we</w:t>
      </w:r>
      <w:r>
        <w:t xml:space="preserve"> agree (</w:t>
      </w:r>
      <w:r>
        <w:rPr>
          <w:i/>
        </w:rPr>
        <w:t>minimum term</w:t>
      </w:r>
      <w:r>
        <w:t>).</w:t>
      </w:r>
    </w:p>
    <w:p w14:paraId="792F8E50" w14:textId="77777777" w:rsidR="000D07EA" w:rsidRDefault="00BE7C89">
      <w:pPr>
        <w:pStyle w:val="Heading6"/>
        <w:ind w:left="0" w:firstLine="0"/>
      </w:pPr>
      <w:bookmarkStart w:id="220" w:name="_Toc397941056"/>
      <w:bookmarkStart w:id="221" w:name="_Toc219870452"/>
      <w:r>
        <w:t xml:space="preserve">What </w:t>
      </w:r>
      <w:r>
        <w:rPr>
          <w:i/>
        </w:rPr>
        <w:t>you</w:t>
      </w:r>
      <w:r>
        <w:t xml:space="preserve"> have to pay </w:t>
      </w:r>
      <w:r>
        <w:rPr>
          <w:i/>
        </w:rPr>
        <w:t>us</w:t>
      </w:r>
      <w:bookmarkEnd w:id="220"/>
      <w:bookmarkEnd w:id="221"/>
    </w:p>
    <w:p w14:paraId="307379DE" w14:textId="77777777" w:rsidR="000D07EA" w:rsidRDefault="00BE7C89">
      <w:pPr>
        <w:pStyle w:val="Heading7"/>
      </w:pPr>
      <w:r>
        <w:t>You</w:t>
      </w:r>
      <w:r>
        <w:rPr>
          <w:i/>
        </w:rPr>
        <w:t xml:space="preserve"> </w:t>
      </w:r>
      <w:r>
        <w:t xml:space="preserve">will be charged a monthly service charge as set out in Table 1 below per </w:t>
      </w:r>
      <w:r>
        <w:rPr>
          <w:i/>
        </w:rPr>
        <w:t>service</w:t>
      </w:r>
      <w:r>
        <w:t xml:space="preserve"> for </w:t>
      </w:r>
      <w:r>
        <w:rPr>
          <w:i/>
        </w:rPr>
        <w:t xml:space="preserve">your </w:t>
      </w:r>
      <w:r>
        <w:t xml:space="preserve">use of the </w:t>
      </w:r>
      <w:r>
        <w:rPr>
          <w:i/>
        </w:rPr>
        <w:t>service</w:t>
      </w:r>
      <w:r>
        <w:t xml:space="preserve"> depending on the 'yes' Business Share</w:t>
      </w:r>
      <w:r>
        <w:rPr>
          <w:vertAlign w:val="superscript"/>
        </w:rPr>
        <w:t xml:space="preserve">TM </w:t>
      </w:r>
      <w:r>
        <w:rPr>
          <w:bCs/>
        </w:rPr>
        <w:t>Mobile</w:t>
      </w:r>
      <w:r>
        <w:rPr>
          <w:i/>
        </w:rPr>
        <w:t xml:space="preserve"> </w:t>
      </w:r>
      <w:r>
        <w:t xml:space="preserve">Cap Plan </w:t>
      </w:r>
      <w:r>
        <w:rPr>
          <w:i/>
        </w:rPr>
        <w:t xml:space="preserve">you </w:t>
      </w:r>
      <w:r>
        <w:t>choose.</w:t>
      </w:r>
    </w:p>
    <w:p w14:paraId="5916F537" w14:textId="77777777" w:rsidR="000D07EA" w:rsidRDefault="00BE7C89">
      <w:pPr>
        <w:pStyle w:val="Heading7"/>
      </w:pPr>
      <w:r>
        <w:rPr>
          <w:i/>
        </w:rPr>
        <w:t xml:space="preserve">You </w:t>
      </w:r>
      <w:r>
        <w:t xml:space="preserve">must pay </w:t>
      </w:r>
      <w:r>
        <w:rPr>
          <w:i/>
        </w:rPr>
        <w:t>us</w:t>
      </w:r>
      <w:r>
        <w:t xml:space="preserve"> the minimum monthly charge each month even if </w:t>
      </w:r>
      <w:r>
        <w:rPr>
          <w:i/>
        </w:rPr>
        <w:t xml:space="preserve">you </w:t>
      </w:r>
      <w:r>
        <w:t xml:space="preserve">have not used up </w:t>
      </w:r>
      <w:r>
        <w:rPr>
          <w:i/>
        </w:rPr>
        <w:t xml:space="preserve">your </w:t>
      </w:r>
      <w:r>
        <w:t>monthly included value in a particular month, and the amount of included calls</w:t>
      </w:r>
      <w:r>
        <w:rPr>
          <w:b/>
        </w:rPr>
        <w:t xml:space="preserve"> </w:t>
      </w:r>
      <w:r>
        <w:t xml:space="preserve">made in that month falls below the minimum monthly charge for </w:t>
      </w:r>
      <w:r>
        <w:rPr>
          <w:i/>
        </w:rPr>
        <w:t xml:space="preserve">your pricing plan. </w:t>
      </w:r>
    </w:p>
    <w:p w14:paraId="60CA2854" w14:textId="77777777" w:rsidR="000D07EA" w:rsidRDefault="00BE7C89">
      <w:pPr>
        <w:pStyle w:val="Heading7"/>
        <w:rPr>
          <w:i/>
        </w:rPr>
      </w:pPr>
      <w:r>
        <w:t xml:space="preserve">The calls that are eligible for the included call component are national voice, national video calls, national SMS, national MMS, PTT, Voicemail, 124YES(937). Some call types are not eligible for the included call component such as International Calls, International Roaming, Directory Assistance, Group SMS and 1900 calls. </w:t>
      </w:r>
    </w:p>
    <w:p w14:paraId="467A0731" w14:textId="77777777" w:rsidR="000D07EA" w:rsidRDefault="00BE7C89">
      <w:pPr>
        <w:pStyle w:val="Heading7"/>
      </w:pPr>
      <w:r>
        <w:t xml:space="preserve">You will not be charged for eligible included calls that you make in a month until the value of </w:t>
      </w:r>
      <w:r>
        <w:rPr>
          <w:i/>
        </w:rPr>
        <w:t>your</w:t>
      </w:r>
      <w:r>
        <w:t xml:space="preserve"> included calls</w:t>
      </w:r>
      <w:r>
        <w:rPr>
          <w:b/>
        </w:rPr>
        <w:t xml:space="preserve"> </w:t>
      </w:r>
      <w:r>
        <w:t>reaches your pricing plan's monthly included value, as set out in the table below.</w:t>
      </w:r>
    </w:p>
    <w:p w14:paraId="5272B320" w14:textId="77777777" w:rsidR="000D07EA" w:rsidRDefault="00BE7C89">
      <w:pPr>
        <w:pStyle w:val="Heading7"/>
      </w:pPr>
      <w:r>
        <w:rPr>
          <w:i/>
        </w:rPr>
        <w:t xml:space="preserve">You </w:t>
      </w:r>
      <w:r>
        <w:t>must pay for</w:t>
      </w:r>
    </w:p>
    <w:p w14:paraId="154EA1AD" w14:textId="77777777" w:rsidR="000D07EA" w:rsidRDefault="00BE7C89">
      <w:pPr>
        <w:pStyle w:val="Heading8"/>
      </w:pPr>
      <w:r>
        <w:t>any calls that are not eligible included calls and</w:t>
      </w:r>
    </w:p>
    <w:p w14:paraId="049D3587" w14:textId="77777777" w:rsidR="000D07EA" w:rsidRDefault="00BE7C89">
      <w:pPr>
        <w:pStyle w:val="Heading8"/>
      </w:pPr>
      <w:r>
        <w:t>any eligible included calls that are made beyond the</w:t>
      </w:r>
      <w:r>
        <w:rPr>
          <w:i/>
        </w:rPr>
        <w:t xml:space="preserve"> </w:t>
      </w:r>
      <w:r>
        <w:t xml:space="preserve">monthly included value of </w:t>
      </w:r>
      <w:r>
        <w:rPr>
          <w:i/>
        </w:rPr>
        <w:t>your pricing plan</w:t>
      </w:r>
    </w:p>
    <w:p w14:paraId="1E1B410E" w14:textId="77777777" w:rsidR="000D07EA" w:rsidRDefault="00BE7C89">
      <w:pPr>
        <w:pStyle w:val="Heading7"/>
      </w:pPr>
      <w:r>
        <w:rPr>
          <w:snapToGrid w:val="0"/>
        </w:rPr>
        <w:t>Any unused portion of the monthly included value expires at the end of each month. This means that it does not roll over into following month.</w:t>
      </w:r>
    </w:p>
    <w:p w14:paraId="169B74BB" w14:textId="77777777" w:rsidR="000D07EA" w:rsidRDefault="00BE7C89">
      <w:pPr>
        <w:pStyle w:val="Heading7"/>
      </w:pPr>
      <w:r>
        <w:t xml:space="preserve">If activation or usage does not occur, </w:t>
      </w:r>
      <w:r>
        <w:rPr>
          <w:i/>
        </w:rPr>
        <w:t xml:space="preserve">we </w:t>
      </w:r>
      <w:r>
        <w:t xml:space="preserve">may </w:t>
      </w:r>
      <w:r>
        <w:rPr>
          <w:i/>
        </w:rPr>
        <w:t xml:space="preserve">cancel </w:t>
      </w:r>
      <w:r>
        <w:t xml:space="preserve">the </w:t>
      </w:r>
      <w:r>
        <w:rPr>
          <w:i/>
        </w:rPr>
        <w:t xml:space="preserve">agreement </w:t>
      </w:r>
      <w:r>
        <w:t xml:space="preserve">and </w:t>
      </w:r>
      <w:r>
        <w:rPr>
          <w:i/>
        </w:rPr>
        <w:t xml:space="preserve">you </w:t>
      </w:r>
      <w:r>
        <w:t xml:space="preserve">will be required to pay </w:t>
      </w:r>
      <w:r>
        <w:rPr>
          <w:i/>
        </w:rPr>
        <w:t>us</w:t>
      </w:r>
      <w:r>
        <w:t xml:space="preserve"> the relevant </w:t>
      </w:r>
      <w:r>
        <w:rPr>
          <w:i/>
        </w:rPr>
        <w:t>cancellation</w:t>
      </w:r>
      <w:r>
        <w:t xml:space="preserve"> </w:t>
      </w:r>
      <w:r>
        <w:rPr>
          <w:i/>
        </w:rPr>
        <w:t>fee</w:t>
      </w:r>
      <w:r>
        <w:t>, if applicable, specified in the table below.</w:t>
      </w:r>
    </w:p>
    <w:p w14:paraId="64D9D7B6" w14:textId="77777777" w:rsidR="000D07EA" w:rsidRDefault="00BE7C89">
      <w:pPr>
        <w:pStyle w:val="Heading6"/>
        <w:ind w:left="0" w:firstLine="0"/>
      </w:pPr>
      <w:bookmarkStart w:id="222" w:name="_Toc397941057"/>
      <w:bookmarkStart w:id="223" w:name="_Toc219870453"/>
      <w:r>
        <w:lastRenderedPageBreak/>
        <w:t>Pricing</w:t>
      </w:r>
      <w:bookmarkEnd w:id="222"/>
      <w:bookmarkEnd w:id="223"/>
    </w:p>
    <w:p w14:paraId="143560A6" w14:textId="77777777" w:rsidR="000D07EA" w:rsidRDefault="00BE7C89">
      <w:pPr>
        <w:pStyle w:val="Heading7"/>
        <w:rPr>
          <w:b/>
        </w:rPr>
      </w:pPr>
      <w:r>
        <w:t xml:space="preserve">The 'yes' Business Share Mobile Cap </w:t>
      </w:r>
      <w:r>
        <w:rPr>
          <w:i/>
        </w:rPr>
        <w:t xml:space="preserve">pricing plans </w:t>
      </w:r>
      <w:r>
        <w:t xml:space="preserve">include a </w:t>
      </w:r>
      <w:r>
        <w:rPr>
          <w:i/>
        </w:rPr>
        <w:t xml:space="preserve">flagfall </w:t>
      </w:r>
      <w:r>
        <w:t xml:space="preserve">per call as specified in the table below, for </w:t>
      </w:r>
      <w:r>
        <w:rPr>
          <w:i/>
        </w:rPr>
        <w:t>local calls</w:t>
      </w:r>
      <w:r>
        <w:t xml:space="preserve"> and </w:t>
      </w:r>
      <w:r>
        <w:rPr>
          <w:i/>
        </w:rPr>
        <w:t>national long distance</w:t>
      </w:r>
      <w:r>
        <w:t xml:space="preserve"> </w:t>
      </w:r>
      <w:r>
        <w:rPr>
          <w:i/>
        </w:rPr>
        <w:t>calls</w:t>
      </w:r>
      <w:r>
        <w:t xml:space="preserve"> and calls to </w:t>
      </w:r>
      <w:r>
        <w:rPr>
          <w:i/>
        </w:rPr>
        <w:t>mobile phones</w:t>
      </w:r>
      <w:r>
        <w:t xml:space="preserve">. So the charge for these calls is the </w:t>
      </w:r>
      <w:r>
        <w:rPr>
          <w:i/>
        </w:rPr>
        <w:t xml:space="preserve">flagfall </w:t>
      </w:r>
      <w:r>
        <w:t xml:space="preserve">plus the relevant rate multiplied by the duration of the call. The </w:t>
      </w:r>
      <w:r>
        <w:rPr>
          <w:i/>
        </w:rPr>
        <w:t xml:space="preserve">flagfall </w:t>
      </w:r>
      <w:r>
        <w:t>is not applicable to calls made under the "SmartFleet Bolt On" call rates.</w:t>
      </w:r>
    </w:p>
    <w:p w14:paraId="5EC979A0" w14:textId="77777777" w:rsidR="000D07EA" w:rsidRDefault="00BE7C89">
      <w:pPr>
        <w:pStyle w:val="Heading7"/>
        <w:rPr>
          <w:b/>
        </w:rPr>
      </w:pPr>
      <w:r>
        <w:rPr>
          <w:b/>
        </w:rPr>
        <w:t>SuperShare</w:t>
      </w:r>
      <w:r>
        <w:rPr>
          <w:b/>
          <w:vertAlign w:val="superscript"/>
        </w:rPr>
        <w:t>TM</w:t>
      </w:r>
      <w:r>
        <w:rPr>
          <w:b/>
        </w:rPr>
        <w:t xml:space="preserve">: </w:t>
      </w:r>
    </w:p>
    <w:p w14:paraId="724BC73D" w14:textId="77777777" w:rsidR="000D07EA" w:rsidRDefault="00BE7C89">
      <w:pPr>
        <w:pStyle w:val="Heading8"/>
      </w:pPr>
      <w:r>
        <w:t xml:space="preserve">This is a </w:t>
      </w:r>
      <w:r>
        <w:rPr>
          <w:i/>
        </w:rPr>
        <w:t>special</w:t>
      </w:r>
      <w:r>
        <w:t xml:space="preserve"> available to </w:t>
      </w:r>
      <w:r>
        <w:rPr>
          <w:i/>
        </w:rPr>
        <w:t xml:space="preserve">you </w:t>
      </w:r>
      <w:r>
        <w:t xml:space="preserve">if </w:t>
      </w:r>
      <w:r>
        <w:rPr>
          <w:i/>
        </w:rPr>
        <w:t xml:space="preserve">you </w:t>
      </w:r>
    </w:p>
    <w:p w14:paraId="60276060" w14:textId="77777777" w:rsidR="000D07EA" w:rsidRDefault="00BE7C89">
      <w:pPr>
        <w:pStyle w:val="Heading9"/>
      </w:pPr>
      <w:r>
        <w:t>are a small or medium business customer;</w:t>
      </w:r>
    </w:p>
    <w:p w14:paraId="61A92E65" w14:textId="77777777" w:rsidR="000D07EA" w:rsidRDefault="00BE7C89">
      <w:pPr>
        <w:pStyle w:val="Heading9"/>
        <w:rPr>
          <w:i/>
        </w:rPr>
      </w:pPr>
      <w:r>
        <w:t xml:space="preserve">are opening a new account with </w:t>
      </w:r>
      <w:r>
        <w:rPr>
          <w:i/>
        </w:rPr>
        <w:t xml:space="preserve">us; </w:t>
      </w:r>
    </w:p>
    <w:p w14:paraId="3265CBA2" w14:textId="77777777" w:rsidR="000D07EA" w:rsidRDefault="00BE7C89">
      <w:pPr>
        <w:pStyle w:val="Heading9"/>
      </w:pPr>
      <w:r>
        <w:t xml:space="preserve">connect </w:t>
      </w:r>
      <w:r>
        <w:rPr>
          <w:i/>
        </w:rPr>
        <w:t xml:space="preserve">your </w:t>
      </w:r>
      <w:r>
        <w:t>service(s) on eligible 'yes' Business Share</w:t>
      </w:r>
      <w:r>
        <w:rPr>
          <w:vertAlign w:val="superscript"/>
        </w:rPr>
        <w:t>TM</w:t>
      </w:r>
      <w:r>
        <w:t xml:space="preserve"> Plans; and</w:t>
      </w:r>
    </w:p>
    <w:p w14:paraId="0641D1C2" w14:textId="77777777" w:rsidR="000D07EA" w:rsidRDefault="00BE7C89">
      <w:pPr>
        <w:pStyle w:val="Heading9"/>
      </w:pPr>
      <w:r>
        <w:t>each service is connected in the same account name, address and ABN/ACN/ABRN.</w:t>
      </w:r>
    </w:p>
    <w:p w14:paraId="2618B307" w14:textId="77777777" w:rsidR="000D07EA" w:rsidRDefault="00BE7C89">
      <w:pPr>
        <w:pStyle w:val="Heading8"/>
      </w:pPr>
      <w:r>
        <w:rPr>
          <w:i/>
        </w:rPr>
        <w:t xml:space="preserve">Your </w:t>
      </w:r>
      <w:r>
        <w:t xml:space="preserve">monthly included value is shared between any of </w:t>
      </w:r>
      <w:r>
        <w:rPr>
          <w:i/>
        </w:rPr>
        <w:t xml:space="preserve">your </w:t>
      </w:r>
      <w:r>
        <w:t>active services that are connected on eligible 'yes' Business Share</w:t>
      </w:r>
      <w:r>
        <w:rPr>
          <w:vertAlign w:val="superscript"/>
        </w:rPr>
        <w:t>TM</w:t>
      </w:r>
      <w:r>
        <w:t xml:space="preserve"> plans. Eligible 'yes' Business Share</w:t>
      </w:r>
      <w:r>
        <w:rPr>
          <w:vertAlign w:val="superscript"/>
        </w:rPr>
        <w:t>TM</w:t>
      </w:r>
      <w:r>
        <w:t xml:space="preserve"> plans are available as follows:</w:t>
      </w:r>
    </w:p>
    <w:p w14:paraId="1C98EC30" w14:textId="77777777" w:rsidR="000D07EA" w:rsidRDefault="00BE7C89">
      <w:pPr>
        <w:pStyle w:val="Heading9"/>
      </w:pPr>
      <w:r>
        <w:t xml:space="preserve">With the Optus Mobile Digital Service on the 'yes' Business Share Mobile Cap Plan (with or without the Mobile Data Bolt-On, where available) and/or on the </w:t>
      </w:r>
      <w:r>
        <w:rPr>
          <w:bCs/>
        </w:rPr>
        <w:t>'yes' Business Share BlackBerry Internet Solution Plan or on the 'yes' Business Share BlackBerry Enterprise Solution Plan</w:t>
      </w:r>
    </w:p>
    <w:p w14:paraId="31A99C58" w14:textId="77777777" w:rsidR="000D07EA" w:rsidRDefault="00BE7C89">
      <w:pPr>
        <w:pStyle w:val="Heading9"/>
      </w:pPr>
      <w:r>
        <w:t>With the Optus Wireless Internet Service on the 'yes' Business Share Wireless Broadband Plan;</w:t>
      </w:r>
    </w:p>
    <w:p w14:paraId="52DFAA91" w14:textId="77777777" w:rsidR="000D07EA" w:rsidRDefault="00BE7C89">
      <w:pPr>
        <w:pStyle w:val="Heading9"/>
      </w:pPr>
      <w:r>
        <w:t>With the Optus Local Direct Service on the 'yes' Business Share Phone Cap Plan; and/or</w:t>
      </w:r>
    </w:p>
    <w:p w14:paraId="699F6B45" w14:textId="77777777" w:rsidR="000D07EA" w:rsidRDefault="00BE7C89">
      <w:pPr>
        <w:pStyle w:val="Heading9"/>
      </w:pPr>
      <w:r>
        <w:t>With the Optus ipPhone Premier Service on the 'yes' Business Share ipPhone Premier Cap Plan.</w:t>
      </w:r>
    </w:p>
    <w:p w14:paraId="23E313CE" w14:textId="77777777" w:rsidR="000D07EA" w:rsidRDefault="00BE7C89">
      <w:pPr>
        <w:pStyle w:val="Heading8"/>
      </w:pPr>
      <w:r>
        <w:t>For technical and commercial reasons not all eligible customers will be able to be connected to 'yes' Business Share</w:t>
      </w:r>
      <w:r>
        <w:rPr>
          <w:vertAlign w:val="superscript"/>
        </w:rPr>
        <w:t>TM</w:t>
      </w:r>
      <w:r>
        <w:t xml:space="preserve"> plans. </w:t>
      </w:r>
    </w:p>
    <w:p w14:paraId="597B823A" w14:textId="77777777" w:rsidR="000D07EA" w:rsidRDefault="00BE7C89">
      <w:pPr>
        <w:pStyle w:val="Heading8"/>
      </w:pPr>
      <w:r>
        <w:rPr>
          <w:snapToGrid w:val="0"/>
        </w:rPr>
        <w:t>Any unused portion of the monthly included value which is eligible to SuperShare expires at the end of each month. This means that it does not roll over into following month.</w:t>
      </w:r>
    </w:p>
    <w:p w14:paraId="723FD458" w14:textId="77777777" w:rsidR="000D07EA" w:rsidRDefault="00BE7C89">
      <w:pPr>
        <w:pStyle w:val="Heading8"/>
      </w:pPr>
      <w:r>
        <w:t>Standard call charges apply once you exceed your monthly included value which is eligible to Supershare.</w:t>
      </w:r>
    </w:p>
    <w:p w14:paraId="15C215AE" w14:textId="77777777" w:rsidR="000D07EA" w:rsidRDefault="00BE7C89">
      <w:pPr>
        <w:pStyle w:val="Heading8"/>
      </w:pPr>
      <w:r>
        <w:t xml:space="preserve">If </w:t>
      </w:r>
      <w:r>
        <w:rPr>
          <w:i/>
        </w:rPr>
        <w:t xml:space="preserve">you </w:t>
      </w:r>
      <w:r>
        <w:t>are a 'yes' Business Share</w:t>
      </w:r>
      <w:r>
        <w:rPr>
          <w:vertAlign w:val="superscript"/>
        </w:rPr>
        <w:t>TM</w:t>
      </w:r>
      <w:r>
        <w:t xml:space="preserve"> customer</w:t>
      </w:r>
      <w:r>
        <w:rPr>
          <w:i/>
        </w:rPr>
        <w:t>,</w:t>
      </w:r>
      <w:r>
        <w:t xml:space="preserve"> </w:t>
      </w:r>
      <w:r>
        <w:rPr>
          <w:i/>
        </w:rPr>
        <w:t xml:space="preserve">you </w:t>
      </w:r>
      <w:r>
        <w:t xml:space="preserve">are not entitled to 'yes' Business Rewards benefits or any other Rewards. </w:t>
      </w:r>
    </w:p>
    <w:p w14:paraId="51C6624B" w14:textId="77777777" w:rsidR="000D07EA" w:rsidRDefault="00BE7C89">
      <w:pPr>
        <w:pStyle w:val="Heading8"/>
      </w:pPr>
      <w:r>
        <w:t>Any monthly included value which is eligible to SuperShare is calculated by reference to the dollar value, rather than by reference to any MB/GB monthly included value.</w:t>
      </w:r>
    </w:p>
    <w:p w14:paraId="42B5A5EC" w14:textId="77777777" w:rsidR="000D07EA" w:rsidRDefault="00BE7C89">
      <w:pPr>
        <w:pStyle w:val="BodyText"/>
        <w:ind w:left="1440"/>
        <w:rPr>
          <w:b/>
        </w:rPr>
      </w:pPr>
      <w:r>
        <w:rPr>
          <w:b/>
        </w:rPr>
        <w:t xml:space="preserve">Table 1 – Pricing applicable for customers who connected to the 'yes' Business Share Mobile </w:t>
      </w:r>
      <w:r>
        <w:rPr>
          <w:b/>
          <w:i/>
        </w:rPr>
        <w:t>pricing plans</w:t>
      </w:r>
      <w:r>
        <w:rPr>
          <w:b/>
        </w:rPr>
        <w:t xml:space="preserve"> between 27 November 2007 and 4 May 2008. </w:t>
      </w:r>
    </w:p>
    <w:tbl>
      <w:tblPr>
        <w:tblW w:w="8820" w:type="dxa"/>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3420"/>
        <w:gridCol w:w="1800"/>
        <w:gridCol w:w="1800"/>
        <w:gridCol w:w="1800"/>
      </w:tblGrid>
      <w:tr w:rsidR="000D07EA" w14:paraId="5D0C1D50" w14:textId="77777777">
        <w:trPr>
          <w:tblHeader/>
        </w:trPr>
        <w:tc>
          <w:tcPr>
            <w:tcW w:w="3420" w:type="dxa"/>
            <w:hideMark/>
          </w:tcPr>
          <w:p w14:paraId="4DAB1DEF" w14:textId="77777777" w:rsidR="000D07EA" w:rsidRDefault="00BE7C89">
            <w:pPr>
              <w:pStyle w:val="BodyText"/>
              <w:spacing w:before="100" w:after="100"/>
              <w:rPr>
                <w:b/>
                <w:i/>
                <w:color w:val="000000"/>
                <w:lang w:val="en-AU" w:eastAsia="en-AU"/>
              </w:rPr>
            </w:pPr>
            <w:r>
              <w:rPr>
                <w:b/>
                <w:i/>
              </w:rPr>
              <w:t>Charge Type</w:t>
            </w:r>
          </w:p>
        </w:tc>
        <w:tc>
          <w:tcPr>
            <w:tcW w:w="1800" w:type="dxa"/>
            <w:hideMark/>
          </w:tcPr>
          <w:p w14:paraId="38A83370" w14:textId="77777777" w:rsidR="000D07EA" w:rsidRDefault="00BE7C89">
            <w:pPr>
              <w:pStyle w:val="BodyText"/>
              <w:spacing w:before="100" w:after="100"/>
              <w:jc w:val="center"/>
              <w:rPr>
                <w:b/>
                <w:sz w:val="24"/>
                <w:lang w:val="en-AU" w:eastAsia="en-AU"/>
              </w:rPr>
            </w:pPr>
            <w:r>
              <w:rPr>
                <w:b/>
              </w:rPr>
              <w:t>'yes' Business Share Mobile Cap 45 Plan</w:t>
            </w:r>
          </w:p>
        </w:tc>
        <w:tc>
          <w:tcPr>
            <w:tcW w:w="1800" w:type="dxa"/>
            <w:hideMark/>
          </w:tcPr>
          <w:p w14:paraId="27CA32D2" w14:textId="77777777" w:rsidR="000D07EA" w:rsidRDefault="00BE7C89">
            <w:pPr>
              <w:pStyle w:val="BodyText"/>
              <w:spacing w:before="100" w:after="100"/>
              <w:jc w:val="center"/>
              <w:rPr>
                <w:b/>
                <w:sz w:val="24"/>
                <w:lang w:val="en-AU" w:eastAsia="en-AU"/>
              </w:rPr>
            </w:pPr>
            <w:r>
              <w:rPr>
                <w:b/>
              </w:rPr>
              <w:t>'yes' Business Share Mobile Cap 65 Plan</w:t>
            </w:r>
          </w:p>
        </w:tc>
        <w:tc>
          <w:tcPr>
            <w:tcW w:w="1800" w:type="dxa"/>
            <w:hideMark/>
          </w:tcPr>
          <w:p w14:paraId="130C61AE" w14:textId="77777777" w:rsidR="000D07EA" w:rsidRDefault="00BE7C89">
            <w:pPr>
              <w:pStyle w:val="BodyText"/>
              <w:spacing w:before="100" w:after="100"/>
              <w:jc w:val="center"/>
              <w:rPr>
                <w:b/>
                <w:sz w:val="24"/>
                <w:lang w:val="en-AU" w:eastAsia="en-AU"/>
              </w:rPr>
            </w:pPr>
            <w:r>
              <w:rPr>
                <w:b/>
              </w:rPr>
              <w:t>'yes' Business Share Mobile Cap 85 Plan</w:t>
            </w:r>
          </w:p>
        </w:tc>
      </w:tr>
      <w:tr w:rsidR="000D07EA" w14:paraId="3E6E00F2" w14:textId="77777777">
        <w:tc>
          <w:tcPr>
            <w:tcW w:w="3420" w:type="dxa"/>
            <w:hideMark/>
          </w:tcPr>
          <w:p w14:paraId="34CD5C62" w14:textId="77777777" w:rsidR="000D07EA" w:rsidRDefault="00BE7C89">
            <w:pPr>
              <w:pStyle w:val="BodyText"/>
              <w:spacing w:before="100" w:after="100"/>
              <w:rPr>
                <w:b/>
                <w:i/>
                <w:sz w:val="24"/>
                <w:lang w:val="en-AU" w:eastAsia="en-AU"/>
              </w:rPr>
            </w:pPr>
            <w:r>
              <w:rPr>
                <w:b/>
                <w:i/>
              </w:rPr>
              <w:t>Minimum Monthly Commitment</w:t>
            </w:r>
          </w:p>
        </w:tc>
        <w:tc>
          <w:tcPr>
            <w:tcW w:w="1800" w:type="dxa"/>
            <w:hideMark/>
          </w:tcPr>
          <w:p w14:paraId="455DD8AB" w14:textId="77777777" w:rsidR="000D07EA" w:rsidRDefault="00BE7C89">
            <w:pPr>
              <w:pStyle w:val="BodyText"/>
              <w:spacing w:before="100" w:after="100"/>
              <w:jc w:val="center"/>
              <w:rPr>
                <w:sz w:val="24"/>
                <w:lang w:val="en-AU" w:eastAsia="en-AU"/>
              </w:rPr>
            </w:pPr>
            <w:r>
              <w:t>$40.90</w:t>
            </w:r>
            <w:r>
              <w:br/>
              <w:t>($45.00)</w:t>
            </w:r>
          </w:p>
        </w:tc>
        <w:tc>
          <w:tcPr>
            <w:tcW w:w="1800" w:type="dxa"/>
            <w:hideMark/>
          </w:tcPr>
          <w:p w14:paraId="3C4DF362" w14:textId="77777777" w:rsidR="000D07EA" w:rsidRDefault="00BE7C89">
            <w:pPr>
              <w:pStyle w:val="BodyText"/>
              <w:spacing w:before="100" w:after="100"/>
              <w:jc w:val="center"/>
              <w:rPr>
                <w:sz w:val="24"/>
                <w:lang w:val="en-AU" w:eastAsia="en-AU"/>
              </w:rPr>
            </w:pPr>
            <w:r>
              <w:t>$59.09</w:t>
            </w:r>
            <w:r>
              <w:br/>
              <w:t>($65.00)</w:t>
            </w:r>
          </w:p>
        </w:tc>
        <w:tc>
          <w:tcPr>
            <w:tcW w:w="1800" w:type="dxa"/>
            <w:hideMark/>
          </w:tcPr>
          <w:p w14:paraId="157ED996" w14:textId="77777777" w:rsidR="000D07EA" w:rsidRDefault="00BE7C89">
            <w:pPr>
              <w:pStyle w:val="BodyText"/>
              <w:spacing w:before="100" w:after="100"/>
              <w:jc w:val="center"/>
              <w:rPr>
                <w:sz w:val="24"/>
                <w:lang w:val="en-AU" w:eastAsia="en-AU"/>
              </w:rPr>
            </w:pPr>
            <w:r>
              <w:t>$77.27</w:t>
            </w:r>
            <w:r>
              <w:br/>
              <w:t>($85.00)</w:t>
            </w:r>
          </w:p>
        </w:tc>
      </w:tr>
      <w:tr w:rsidR="000D07EA" w14:paraId="4D29D3E9" w14:textId="77777777">
        <w:tc>
          <w:tcPr>
            <w:tcW w:w="3420" w:type="dxa"/>
            <w:hideMark/>
          </w:tcPr>
          <w:p w14:paraId="1D271943" w14:textId="77777777" w:rsidR="000D07EA" w:rsidRDefault="00BE7C89">
            <w:pPr>
              <w:pStyle w:val="BodyText"/>
              <w:spacing w:before="100" w:after="100"/>
              <w:rPr>
                <w:b/>
                <w:sz w:val="24"/>
                <w:lang w:val="en-AU" w:eastAsia="en-AU"/>
              </w:rPr>
            </w:pPr>
            <w:r>
              <w:rPr>
                <w:b/>
              </w:rPr>
              <w:lastRenderedPageBreak/>
              <w:t>Included Value</w:t>
            </w:r>
          </w:p>
        </w:tc>
        <w:tc>
          <w:tcPr>
            <w:tcW w:w="1800" w:type="dxa"/>
            <w:hideMark/>
          </w:tcPr>
          <w:p w14:paraId="0000CE8D" w14:textId="77777777" w:rsidR="000D07EA" w:rsidRDefault="00BE7C89">
            <w:pPr>
              <w:pStyle w:val="BodyText"/>
              <w:spacing w:before="100" w:after="100"/>
              <w:jc w:val="center"/>
              <w:rPr>
                <w:sz w:val="24"/>
                <w:lang w:val="en-AU" w:eastAsia="en-AU"/>
              </w:rPr>
            </w:pPr>
            <w:r>
              <w:t>$163.63</w:t>
            </w:r>
            <w:r>
              <w:br/>
              <w:t>($180.00)</w:t>
            </w:r>
          </w:p>
        </w:tc>
        <w:tc>
          <w:tcPr>
            <w:tcW w:w="1800" w:type="dxa"/>
            <w:hideMark/>
          </w:tcPr>
          <w:p w14:paraId="3A0094F8" w14:textId="77777777" w:rsidR="000D07EA" w:rsidRDefault="00BE7C89">
            <w:pPr>
              <w:pStyle w:val="BodyText"/>
              <w:spacing w:before="100" w:after="100"/>
              <w:jc w:val="center"/>
              <w:rPr>
                <w:sz w:val="24"/>
                <w:lang w:val="en-AU" w:eastAsia="en-AU"/>
              </w:rPr>
            </w:pPr>
            <w:r>
              <w:t>$272.72</w:t>
            </w:r>
            <w:r>
              <w:br/>
              <w:t>($300.00)</w:t>
            </w:r>
          </w:p>
        </w:tc>
        <w:tc>
          <w:tcPr>
            <w:tcW w:w="1800" w:type="dxa"/>
            <w:hideMark/>
          </w:tcPr>
          <w:p w14:paraId="435FCC35" w14:textId="77777777" w:rsidR="000D07EA" w:rsidRDefault="00BE7C89">
            <w:pPr>
              <w:pStyle w:val="BodyText"/>
              <w:spacing w:before="100" w:after="100"/>
              <w:jc w:val="center"/>
              <w:rPr>
                <w:sz w:val="24"/>
                <w:lang w:val="en-AU" w:eastAsia="en-AU"/>
              </w:rPr>
            </w:pPr>
            <w:r>
              <w:t>$381.81</w:t>
            </w:r>
            <w:r>
              <w:br/>
              <w:t>($420.00)</w:t>
            </w:r>
          </w:p>
        </w:tc>
      </w:tr>
      <w:tr w:rsidR="000D07EA" w14:paraId="5B65F20C" w14:textId="77777777">
        <w:trPr>
          <w:trHeight w:val="60"/>
        </w:trPr>
        <w:tc>
          <w:tcPr>
            <w:tcW w:w="3420" w:type="dxa"/>
            <w:hideMark/>
          </w:tcPr>
          <w:p w14:paraId="58B3767F" w14:textId="77777777" w:rsidR="000D07EA" w:rsidRDefault="00BE7C89">
            <w:pPr>
              <w:pStyle w:val="BodyText"/>
              <w:spacing w:before="100" w:after="100"/>
              <w:rPr>
                <w:sz w:val="24"/>
                <w:lang w:val="en-AU" w:eastAsia="en-AU"/>
              </w:rPr>
            </w:pPr>
            <w:r>
              <w:rPr>
                <w:b/>
              </w:rPr>
              <w:t xml:space="preserve">Standard Call Rate </w:t>
            </w:r>
            <w:r>
              <w:t>(per 30 seconds)</w:t>
            </w:r>
          </w:p>
          <w:p w14:paraId="77D5D2B4" w14:textId="77777777" w:rsidR="000D07EA" w:rsidRDefault="00BE7C89">
            <w:pPr>
              <w:pStyle w:val="BodyText"/>
              <w:spacing w:before="100" w:after="100"/>
              <w:rPr>
                <w:color w:val="000000"/>
                <w:sz w:val="24"/>
                <w:lang w:val="en-AU" w:eastAsia="en-AU"/>
              </w:rPr>
            </w:pPr>
            <w:r>
              <w:rPr>
                <w:i/>
              </w:rPr>
              <w:t>Local calls, National long distance, national video calls</w:t>
            </w:r>
          </w:p>
        </w:tc>
        <w:tc>
          <w:tcPr>
            <w:tcW w:w="1800" w:type="dxa"/>
            <w:hideMark/>
          </w:tcPr>
          <w:p w14:paraId="61014B29" w14:textId="77777777" w:rsidR="000D07EA" w:rsidRDefault="00BE7C89">
            <w:pPr>
              <w:pStyle w:val="BodyText"/>
              <w:spacing w:before="100" w:after="100"/>
              <w:jc w:val="center"/>
              <w:rPr>
                <w:sz w:val="24"/>
                <w:lang w:val="en-AU" w:eastAsia="en-AU"/>
              </w:rPr>
            </w:pPr>
            <w:r>
              <w:t>$0.363</w:t>
            </w:r>
            <w:r>
              <w:br/>
              <w:t>($0.40)</w:t>
            </w:r>
          </w:p>
        </w:tc>
        <w:tc>
          <w:tcPr>
            <w:tcW w:w="1800" w:type="dxa"/>
            <w:hideMark/>
          </w:tcPr>
          <w:p w14:paraId="09AD42D5" w14:textId="77777777" w:rsidR="000D07EA" w:rsidRDefault="00BE7C89">
            <w:pPr>
              <w:pStyle w:val="BodyText"/>
              <w:spacing w:before="100" w:after="100"/>
              <w:jc w:val="center"/>
              <w:rPr>
                <w:sz w:val="24"/>
                <w:lang w:val="en-AU" w:eastAsia="en-AU"/>
              </w:rPr>
            </w:pPr>
            <w:r>
              <w:t>$0.318</w:t>
            </w:r>
            <w:r>
              <w:br/>
              <w:t>($0.35)</w:t>
            </w:r>
          </w:p>
        </w:tc>
        <w:tc>
          <w:tcPr>
            <w:tcW w:w="1800" w:type="dxa"/>
            <w:hideMark/>
          </w:tcPr>
          <w:p w14:paraId="56E99E2C" w14:textId="77777777" w:rsidR="000D07EA" w:rsidRDefault="00BE7C89">
            <w:pPr>
              <w:pStyle w:val="BodyText"/>
              <w:spacing w:before="100" w:after="100"/>
              <w:jc w:val="center"/>
              <w:rPr>
                <w:sz w:val="24"/>
                <w:lang w:val="en-AU" w:eastAsia="en-AU"/>
              </w:rPr>
            </w:pPr>
            <w:r>
              <w:t>$0.318</w:t>
            </w:r>
            <w:r>
              <w:br/>
              <w:t>($0.35)</w:t>
            </w:r>
          </w:p>
        </w:tc>
      </w:tr>
      <w:tr w:rsidR="000D07EA" w14:paraId="73A39AA3" w14:textId="77777777">
        <w:trPr>
          <w:trHeight w:val="60"/>
        </w:trPr>
        <w:tc>
          <w:tcPr>
            <w:tcW w:w="3420" w:type="dxa"/>
            <w:hideMark/>
          </w:tcPr>
          <w:p w14:paraId="71039E0F" w14:textId="77777777" w:rsidR="000D07EA" w:rsidRDefault="00BE7C89">
            <w:pPr>
              <w:pStyle w:val="BodyText"/>
              <w:spacing w:before="100" w:after="100"/>
              <w:rPr>
                <w:b/>
                <w:i/>
                <w:sz w:val="24"/>
                <w:lang w:val="en-AU" w:eastAsia="en-AU"/>
              </w:rPr>
            </w:pPr>
            <w:r>
              <w:rPr>
                <w:b/>
                <w:i/>
              </w:rPr>
              <w:t>Flagfall</w:t>
            </w:r>
          </w:p>
        </w:tc>
        <w:tc>
          <w:tcPr>
            <w:tcW w:w="1800" w:type="dxa"/>
            <w:hideMark/>
          </w:tcPr>
          <w:p w14:paraId="32D38E46" w14:textId="77777777" w:rsidR="000D07EA" w:rsidRDefault="00BE7C89">
            <w:pPr>
              <w:pStyle w:val="BodyText"/>
              <w:spacing w:before="100" w:after="100"/>
              <w:jc w:val="center"/>
            </w:pPr>
            <w:r>
              <w:t>$0.318</w:t>
            </w:r>
            <w:r>
              <w:br/>
              <w:t>($0.35)</w:t>
            </w:r>
          </w:p>
        </w:tc>
        <w:tc>
          <w:tcPr>
            <w:tcW w:w="1800" w:type="dxa"/>
            <w:hideMark/>
          </w:tcPr>
          <w:p w14:paraId="7905F1C3" w14:textId="77777777" w:rsidR="000D07EA" w:rsidRDefault="00BE7C89">
            <w:pPr>
              <w:pStyle w:val="BodyText"/>
              <w:spacing w:before="100" w:after="100"/>
              <w:jc w:val="center"/>
              <w:rPr>
                <w:sz w:val="24"/>
                <w:lang w:val="en-AU" w:eastAsia="en-AU"/>
              </w:rPr>
            </w:pPr>
            <w:r>
              <w:t>$0.318</w:t>
            </w:r>
            <w:r>
              <w:br/>
              <w:t>($0.35)</w:t>
            </w:r>
          </w:p>
        </w:tc>
        <w:tc>
          <w:tcPr>
            <w:tcW w:w="1800" w:type="dxa"/>
            <w:hideMark/>
          </w:tcPr>
          <w:p w14:paraId="7418B9FA" w14:textId="77777777" w:rsidR="000D07EA" w:rsidRDefault="00BE7C89">
            <w:pPr>
              <w:pStyle w:val="BodyText"/>
              <w:spacing w:before="100" w:after="100"/>
              <w:jc w:val="center"/>
              <w:rPr>
                <w:sz w:val="24"/>
                <w:lang w:val="en-AU" w:eastAsia="en-AU"/>
              </w:rPr>
            </w:pPr>
            <w:r>
              <w:t>$0.318</w:t>
            </w:r>
            <w:r>
              <w:br/>
              <w:t>($0.35)</w:t>
            </w:r>
          </w:p>
        </w:tc>
      </w:tr>
      <w:tr w:rsidR="000D07EA" w14:paraId="7D90E3A6" w14:textId="77777777">
        <w:tc>
          <w:tcPr>
            <w:tcW w:w="3420" w:type="dxa"/>
            <w:hideMark/>
          </w:tcPr>
          <w:p w14:paraId="667051EE" w14:textId="77777777" w:rsidR="000D07EA" w:rsidRDefault="00BE7C89">
            <w:pPr>
              <w:pStyle w:val="BodyText"/>
              <w:spacing w:before="100" w:after="100"/>
              <w:rPr>
                <w:b/>
                <w:i/>
                <w:sz w:val="24"/>
                <w:lang w:val="en-AU" w:eastAsia="en-AU"/>
              </w:rPr>
            </w:pPr>
            <w:r>
              <w:rPr>
                <w:b/>
                <w:i/>
              </w:rPr>
              <w:t xml:space="preserve">Minimum term </w:t>
            </w:r>
          </w:p>
        </w:tc>
        <w:tc>
          <w:tcPr>
            <w:tcW w:w="1800" w:type="dxa"/>
            <w:hideMark/>
          </w:tcPr>
          <w:p w14:paraId="7E03F4E5" w14:textId="77777777" w:rsidR="000D07EA" w:rsidRDefault="00BE7C89">
            <w:pPr>
              <w:pStyle w:val="BodyText"/>
              <w:spacing w:before="100" w:after="100"/>
              <w:jc w:val="center"/>
              <w:rPr>
                <w:sz w:val="24"/>
                <w:lang w:val="en-AU" w:eastAsia="en-AU"/>
              </w:rPr>
            </w:pPr>
            <w:r>
              <w:t>Monthly or 12 or 24 Months</w:t>
            </w:r>
          </w:p>
        </w:tc>
        <w:tc>
          <w:tcPr>
            <w:tcW w:w="1800" w:type="dxa"/>
            <w:hideMark/>
          </w:tcPr>
          <w:p w14:paraId="78D6E26F" w14:textId="77777777" w:rsidR="000D07EA" w:rsidRDefault="00BE7C89">
            <w:pPr>
              <w:pStyle w:val="BodyText"/>
              <w:spacing w:before="100" w:after="100"/>
              <w:jc w:val="center"/>
              <w:rPr>
                <w:sz w:val="24"/>
                <w:lang w:val="en-AU" w:eastAsia="en-AU"/>
              </w:rPr>
            </w:pPr>
            <w:r>
              <w:t>Monthly or 12 or 24 Months</w:t>
            </w:r>
          </w:p>
        </w:tc>
        <w:tc>
          <w:tcPr>
            <w:tcW w:w="1800" w:type="dxa"/>
            <w:hideMark/>
          </w:tcPr>
          <w:p w14:paraId="66B9B63B" w14:textId="77777777" w:rsidR="000D07EA" w:rsidRDefault="00BE7C89">
            <w:pPr>
              <w:pStyle w:val="BodyText"/>
              <w:spacing w:before="100" w:after="100"/>
              <w:jc w:val="center"/>
              <w:rPr>
                <w:sz w:val="24"/>
                <w:lang w:val="en-AU" w:eastAsia="en-AU"/>
              </w:rPr>
            </w:pPr>
            <w:r>
              <w:t>Monthly or 12 or 24 Months</w:t>
            </w:r>
          </w:p>
        </w:tc>
      </w:tr>
      <w:tr w:rsidR="000D07EA" w14:paraId="0F76F7C5" w14:textId="77777777">
        <w:tc>
          <w:tcPr>
            <w:tcW w:w="3420" w:type="dxa"/>
            <w:hideMark/>
          </w:tcPr>
          <w:p w14:paraId="3A7A5EED" w14:textId="77777777" w:rsidR="000D07EA" w:rsidRDefault="00BE7C89">
            <w:pPr>
              <w:pStyle w:val="BodyText"/>
              <w:spacing w:before="100" w:after="100"/>
              <w:rPr>
                <w:b/>
                <w:i/>
                <w:sz w:val="24"/>
                <w:lang w:val="en-AU" w:eastAsia="en-AU"/>
              </w:rPr>
            </w:pPr>
            <w:r>
              <w:rPr>
                <w:b/>
                <w:i/>
              </w:rPr>
              <w:t>Eligible for Supershare?</w:t>
            </w:r>
          </w:p>
        </w:tc>
        <w:tc>
          <w:tcPr>
            <w:tcW w:w="1800" w:type="dxa"/>
            <w:hideMark/>
          </w:tcPr>
          <w:p w14:paraId="03987B40" w14:textId="77777777" w:rsidR="000D07EA" w:rsidRDefault="00BE7C89">
            <w:pPr>
              <w:pStyle w:val="BodyText"/>
              <w:spacing w:before="100" w:after="100"/>
              <w:jc w:val="center"/>
              <w:rPr>
                <w:sz w:val="24"/>
                <w:lang w:val="en-AU" w:eastAsia="en-AU"/>
              </w:rPr>
            </w:pPr>
            <w:r>
              <w:t>Yes</w:t>
            </w:r>
          </w:p>
        </w:tc>
        <w:tc>
          <w:tcPr>
            <w:tcW w:w="1800" w:type="dxa"/>
            <w:hideMark/>
          </w:tcPr>
          <w:p w14:paraId="0BBCEEDD" w14:textId="77777777" w:rsidR="000D07EA" w:rsidRDefault="00BE7C89">
            <w:pPr>
              <w:pStyle w:val="BodyText"/>
              <w:spacing w:before="100" w:after="100"/>
              <w:jc w:val="center"/>
              <w:rPr>
                <w:sz w:val="24"/>
                <w:lang w:val="en-AU" w:eastAsia="en-AU"/>
              </w:rPr>
            </w:pPr>
            <w:r>
              <w:t>Yes</w:t>
            </w:r>
          </w:p>
        </w:tc>
        <w:tc>
          <w:tcPr>
            <w:tcW w:w="1800" w:type="dxa"/>
            <w:hideMark/>
          </w:tcPr>
          <w:p w14:paraId="6A2458FE" w14:textId="77777777" w:rsidR="000D07EA" w:rsidRDefault="00BE7C89">
            <w:pPr>
              <w:pStyle w:val="BodyText"/>
              <w:spacing w:before="100" w:after="100"/>
              <w:jc w:val="center"/>
              <w:rPr>
                <w:sz w:val="24"/>
                <w:lang w:val="en-AU" w:eastAsia="en-AU"/>
              </w:rPr>
            </w:pPr>
            <w:r>
              <w:t>Yes</w:t>
            </w:r>
          </w:p>
        </w:tc>
      </w:tr>
    </w:tbl>
    <w:p w14:paraId="620BFED4" w14:textId="77777777" w:rsidR="000D07EA" w:rsidRDefault="000D07EA">
      <w:pPr>
        <w:pStyle w:val="BodyText"/>
        <w:ind w:left="1440"/>
      </w:pPr>
    </w:p>
    <w:p w14:paraId="013C090D" w14:textId="77777777" w:rsidR="000D07EA" w:rsidRDefault="00BE7C89">
      <w:pPr>
        <w:pStyle w:val="BodyText"/>
        <w:ind w:left="1440"/>
        <w:rPr>
          <w:b/>
        </w:rPr>
      </w:pPr>
      <w:r>
        <w:rPr>
          <w:b/>
        </w:rPr>
        <w:t xml:space="preserve">Table 2 – Pricing applicable for customers who connected to the 'yes' Business Share Mobile </w:t>
      </w:r>
      <w:r>
        <w:rPr>
          <w:b/>
          <w:i/>
        </w:rPr>
        <w:t>pricing plans</w:t>
      </w:r>
      <w:r>
        <w:rPr>
          <w:b/>
        </w:rPr>
        <w:t xml:space="preserve"> from 5 May 2008. </w:t>
      </w:r>
    </w:p>
    <w:tbl>
      <w:tblPr>
        <w:tblW w:w="8820" w:type="dxa"/>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3420"/>
        <w:gridCol w:w="1800"/>
        <w:gridCol w:w="1800"/>
        <w:gridCol w:w="1800"/>
      </w:tblGrid>
      <w:tr w:rsidR="000D07EA" w14:paraId="150596BA" w14:textId="77777777">
        <w:trPr>
          <w:trHeight w:val="327"/>
        </w:trPr>
        <w:tc>
          <w:tcPr>
            <w:tcW w:w="3420" w:type="dxa"/>
            <w:hideMark/>
          </w:tcPr>
          <w:p w14:paraId="7733D8C3" w14:textId="77777777" w:rsidR="000D07EA" w:rsidRDefault="00BE7C89">
            <w:pPr>
              <w:pStyle w:val="BodyText"/>
              <w:spacing w:before="100" w:after="100"/>
              <w:rPr>
                <w:color w:val="000000"/>
                <w:lang w:val="en-AU" w:eastAsia="en-AU"/>
              </w:rPr>
            </w:pPr>
            <w:r>
              <w:t>Charge Type</w:t>
            </w:r>
          </w:p>
        </w:tc>
        <w:tc>
          <w:tcPr>
            <w:tcW w:w="1800" w:type="dxa"/>
            <w:hideMark/>
          </w:tcPr>
          <w:p w14:paraId="1B0FB504" w14:textId="77777777" w:rsidR="000D07EA" w:rsidRDefault="00BE7C89">
            <w:pPr>
              <w:pStyle w:val="BodyText"/>
              <w:spacing w:before="100" w:after="100"/>
              <w:jc w:val="center"/>
              <w:rPr>
                <w:b/>
                <w:sz w:val="24"/>
                <w:lang w:val="en-AU" w:eastAsia="en-AU"/>
              </w:rPr>
            </w:pPr>
            <w:r>
              <w:rPr>
                <w:b/>
              </w:rPr>
              <w:t>'yes' Business Share Mobile Cap 45 Plan</w:t>
            </w:r>
          </w:p>
        </w:tc>
        <w:tc>
          <w:tcPr>
            <w:tcW w:w="1800" w:type="dxa"/>
            <w:hideMark/>
          </w:tcPr>
          <w:p w14:paraId="44A0295A" w14:textId="77777777" w:rsidR="000D07EA" w:rsidRDefault="00BE7C89">
            <w:pPr>
              <w:pStyle w:val="BodyText"/>
              <w:spacing w:before="100" w:after="100"/>
              <w:jc w:val="center"/>
              <w:rPr>
                <w:b/>
                <w:sz w:val="24"/>
                <w:lang w:val="en-AU" w:eastAsia="en-AU"/>
              </w:rPr>
            </w:pPr>
            <w:r>
              <w:rPr>
                <w:b/>
              </w:rPr>
              <w:t>'yes' Business Share Mobile Cap 65 Plan</w:t>
            </w:r>
          </w:p>
        </w:tc>
        <w:tc>
          <w:tcPr>
            <w:tcW w:w="1800" w:type="dxa"/>
            <w:hideMark/>
          </w:tcPr>
          <w:p w14:paraId="4F5F45CD" w14:textId="77777777" w:rsidR="000D07EA" w:rsidRDefault="00BE7C89">
            <w:pPr>
              <w:pStyle w:val="BodyText"/>
              <w:spacing w:before="100" w:after="100"/>
              <w:jc w:val="center"/>
              <w:rPr>
                <w:b/>
                <w:sz w:val="24"/>
                <w:lang w:val="en-AU" w:eastAsia="en-AU"/>
              </w:rPr>
            </w:pPr>
            <w:r>
              <w:rPr>
                <w:b/>
              </w:rPr>
              <w:t>'yes' Business Share Mobile Cap 85 Plan</w:t>
            </w:r>
          </w:p>
        </w:tc>
      </w:tr>
      <w:tr w:rsidR="000D07EA" w14:paraId="44C6FDC9" w14:textId="77777777">
        <w:trPr>
          <w:trHeight w:val="60"/>
        </w:trPr>
        <w:tc>
          <w:tcPr>
            <w:tcW w:w="3420" w:type="dxa"/>
            <w:hideMark/>
          </w:tcPr>
          <w:p w14:paraId="12741B77" w14:textId="77777777" w:rsidR="000D07EA" w:rsidRDefault="00BE7C89">
            <w:pPr>
              <w:pStyle w:val="BodyText"/>
              <w:spacing w:before="100" w:after="100"/>
              <w:rPr>
                <w:b/>
                <w:i/>
                <w:sz w:val="24"/>
                <w:lang w:val="en-AU" w:eastAsia="en-AU"/>
              </w:rPr>
            </w:pPr>
            <w:r>
              <w:rPr>
                <w:b/>
                <w:i/>
              </w:rPr>
              <w:t>Minimum Monthly Commitment</w:t>
            </w:r>
          </w:p>
        </w:tc>
        <w:tc>
          <w:tcPr>
            <w:tcW w:w="1800" w:type="dxa"/>
            <w:hideMark/>
          </w:tcPr>
          <w:p w14:paraId="0B4E590F" w14:textId="77777777" w:rsidR="000D07EA" w:rsidRDefault="00BE7C89">
            <w:pPr>
              <w:pStyle w:val="BodyText"/>
              <w:spacing w:before="100" w:after="100"/>
              <w:jc w:val="center"/>
              <w:rPr>
                <w:sz w:val="24"/>
                <w:lang w:val="en-AU" w:eastAsia="en-AU"/>
              </w:rPr>
            </w:pPr>
            <w:r>
              <w:t>$40.90</w:t>
            </w:r>
            <w:r>
              <w:br/>
              <w:t>($45.00)</w:t>
            </w:r>
          </w:p>
        </w:tc>
        <w:tc>
          <w:tcPr>
            <w:tcW w:w="1800" w:type="dxa"/>
            <w:hideMark/>
          </w:tcPr>
          <w:p w14:paraId="57BB4A19" w14:textId="77777777" w:rsidR="000D07EA" w:rsidRDefault="00BE7C89">
            <w:pPr>
              <w:pStyle w:val="BodyText"/>
              <w:spacing w:before="100" w:after="100"/>
              <w:jc w:val="center"/>
              <w:rPr>
                <w:sz w:val="24"/>
                <w:lang w:val="en-AU" w:eastAsia="en-AU"/>
              </w:rPr>
            </w:pPr>
            <w:r>
              <w:t>$59.09</w:t>
            </w:r>
            <w:r>
              <w:br/>
              <w:t>($65.00)</w:t>
            </w:r>
          </w:p>
        </w:tc>
        <w:tc>
          <w:tcPr>
            <w:tcW w:w="1800" w:type="dxa"/>
            <w:hideMark/>
          </w:tcPr>
          <w:p w14:paraId="47167D05" w14:textId="77777777" w:rsidR="000D07EA" w:rsidRDefault="00BE7C89">
            <w:pPr>
              <w:pStyle w:val="BodyText"/>
              <w:spacing w:before="100" w:after="100"/>
              <w:jc w:val="center"/>
              <w:rPr>
                <w:sz w:val="24"/>
                <w:lang w:val="en-AU" w:eastAsia="en-AU"/>
              </w:rPr>
            </w:pPr>
            <w:r>
              <w:t>$77.27</w:t>
            </w:r>
            <w:r>
              <w:br/>
              <w:t>($85.00)</w:t>
            </w:r>
          </w:p>
        </w:tc>
      </w:tr>
      <w:tr w:rsidR="000D07EA" w14:paraId="43C5CD9E" w14:textId="77777777">
        <w:tc>
          <w:tcPr>
            <w:tcW w:w="3420" w:type="dxa"/>
            <w:hideMark/>
          </w:tcPr>
          <w:p w14:paraId="2102E11D" w14:textId="77777777" w:rsidR="000D07EA" w:rsidRDefault="00BE7C89">
            <w:pPr>
              <w:pStyle w:val="BodyText"/>
              <w:spacing w:before="100" w:after="100"/>
              <w:rPr>
                <w:b/>
                <w:sz w:val="24"/>
                <w:lang w:val="en-AU" w:eastAsia="en-AU"/>
              </w:rPr>
            </w:pPr>
            <w:r>
              <w:rPr>
                <w:b/>
              </w:rPr>
              <w:t>Included Value</w:t>
            </w:r>
          </w:p>
        </w:tc>
        <w:tc>
          <w:tcPr>
            <w:tcW w:w="1800" w:type="dxa"/>
            <w:hideMark/>
          </w:tcPr>
          <w:p w14:paraId="0682C7E4" w14:textId="77777777" w:rsidR="000D07EA" w:rsidRDefault="00BE7C89">
            <w:pPr>
              <w:pStyle w:val="BodyText"/>
              <w:spacing w:before="100" w:after="100"/>
              <w:jc w:val="center"/>
              <w:rPr>
                <w:sz w:val="24"/>
                <w:lang w:val="en-AU" w:eastAsia="en-AU"/>
              </w:rPr>
            </w:pPr>
            <w:r>
              <w:t>$181.82</w:t>
            </w:r>
            <w:r>
              <w:br/>
              <w:t>($200.00)</w:t>
            </w:r>
          </w:p>
        </w:tc>
        <w:tc>
          <w:tcPr>
            <w:tcW w:w="1800" w:type="dxa"/>
            <w:hideMark/>
          </w:tcPr>
          <w:p w14:paraId="623B2BB3" w14:textId="77777777" w:rsidR="000D07EA" w:rsidRDefault="00BE7C89">
            <w:pPr>
              <w:pStyle w:val="BodyText"/>
              <w:spacing w:before="100" w:after="100"/>
              <w:jc w:val="center"/>
              <w:rPr>
                <w:sz w:val="24"/>
                <w:lang w:val="en-AU" w:eastAsia="en-AU"/>
              </w:rPr>
            </w:pPr>
            <w:r>
              <w:t>$272.72</w:t>
            </w:r>
            <w:r>
              <w:br/>
              <w:t>($300.00)</w:t>
            </w:r>
          </w:p>
        </w:tc>
        <w:tc>
          <w:tcPr>
            <w:tcW w:w="1800" w:type="dxa"/>
            <w:hideMark/>
          </w:tcPr>
          <w:p w14:paraId="130862DF" w14:textId="77777777" w:rsidR="000D07EA" w:rsidRDefault="00BE7C89">
            <w:pPr>
              <w:pStyle w:val="BodyText"/>
              <w:spacing w:before="100" w:after="100"/>
              <w:jc w:val="center"/>
              <w:rPr>
                <w:sz w:val="24"/>
                <w:lang w:val="en-AU" w:eastAsia="en-AU"/>
              </w:rPr>
            </w:pPr>
            <w:r>
              <w:t>$381.81</w:t>
            </w:r>
            <w:r>
              <w:br/>
              <w:t>($420.00)</w:t>
            </w:r>
          </w:p>
        </w:tc>
      </w:tr>
      <w:tr w:rsidR="000D07EA" w14:paraId="79D44802" w14:textId="77777777">
        <w:tc>
          <w:tcPr>
            <w:tcW w:w="3420" w:type="dxa"/>
            <w:hideMark/>
          </w:tcPr>
          <w:p w14:paraId="166E009D" w14:textId="77777777" w:rsidR="000D07EA" w:rsidRDefault="00BE7C89">
            <w:pPr>
              <w:pStyle w:val="BodyText"/>
              <w:spacing w:before="100" w:after="100"/>
              <w:rPr>
                <w:sz w:val="24"/>
                <w:lang w:val="en-AU" w:eastAsia="en-AU"/>
              </w:rPr>
            </w:pPr>
            <w:r>
              <w:rPr>
                <w:b/>
              </w:rPr>
              <w:t xml:space="preserve">Standard Call Rate </w:t>
            </w:r>
            <w:r>
              <w:t>(per 30 seconds)</w:t>
            </w:r>
          </w:p>
          <w:p w14:paraId="151A5530" w14:textId="77777777" w:rsidR="000D07EA" w:rsidRDefault="00BE7C89">
            <w:pPr>
              <w:pStyle w:val="BodyText"/>
              <w:spacing w:before="100" w:after="100"/>
              <w:rPr>
                <w:color w:val="000000"/>
                <w:sz w:val="24"/>
                <w:lang w:val="en-AU" w:eastAsia="en-AU"/>
              </w:rPr>
            </w:pPr>
            <w:r>
              <w:rPr>
                <w:i/>
              </w:rPr>
              <w:t>Local calls, National long distance, national video calls</w:t>
            </w:r>
          </w:p>
        </w:tc>
        <w:tc>
          <w:tcPr>
            <w:tcW w:w="1800" w:type="dxa"/>
            <w:hideMark/>
          </w:tcPr>
          <w:p w14:paraId="2E42D739" w14:textId="77777777" w:rsidR="000D07EA" w:rsidRDefault="00BE7C89">
            <w:pPr>
              <w:pStyle w:val="BodyText"/>
              <w:spacing w:before="100" w:after="100"/>
              <w:jc w:val="center"/>
              <w:rPr>
                <w:sz w:val="24"/>
                <w:lang w:val="en-AU" w:eastAsia="en-AU"/>
              </w:rPr>
            </w:pPr>
            <w:r>
              <w:t>$0.318</w:t>
            </w:r>
            <w:r>
              <w:br/>
              <w:t>($0.35)</w:t>
            </w:r>
          </w:p>
        </w:tc>
        <w:tc>
          <w:tcPr>
            <w:tcW w:w="1800" w:type="dxa"/>
            <w:hideMark/>
          </w:tcPr>
          <w:p w14:paraId="554775CE" w14:textId="77777777" w:rsidR="000D07EA" w:rsidRDefault="00BE7C89">
            <w:pPr>
              <w:pStyle w:val="BodyText"/>
              <w:spacing w:before="100" w:after="100"/>
              <w:jc w:val="center"/>
              <w:rPr>
                <w:sz w:val="24"/>
                <w:lang w:val="en-AU" w:eastAsia="en-AU"/>
              </w:rPr>
            </w:pPr>
            <w:r>
              <w:t>$0.273</w:t>
            </w:r>
            <w:r>
              <w:br/>
              <w:t>($0.30)</w:t>
            </w:r>
          </w:p>
        </w:tc>
        <w:tc>
          <w:tcPr>
            <w:tcW w:w="1800" w:type="dxa"/>
            <w:hideMark/>
          </w:tcPr>
          <w:p w14:paraId="317F4058" w14:textId="77777777" w:rsidR="000D07EA" w:rsidRDefault="00BE7C89">
            <w:pPr>
              <w:pStyle w:val="BodyText"/>
              <w:spacing w:before="100" w:after="100"/>
              <w:jc w:val="center"/>
              <w:rPr>
                <w:sz w:val="24"/>
                <w:lang w:val="en-AU" w:eastAsia="en-AU"/>
              </w:rPr>
            </w:pPr>
            <w:r>
              <w:t>$0.273</w:t>
            </w:r>
            <w:r>
              <w:br/>
              <w:t>($0.30)</w:t>
            </w:r>
          </w:p>
        </w:tc>
      </w:tr>
      <w:tr w:rsidR="000D07EA" w14:paraId="03D2680A" w14:textId="77777777">
        <w:trPr>
          <w:trHeight w:val="60"/>
        </w:trPr>
        <w:tc>
          <w:tcPr>
            <w:tcW w:w="3420" w:type="dxa"/>
            <w:hideMark/>
          </w:tcPr>
          <w:p w14:paraId="5FDB5EF9" w14:textId="77777777" w:rsidR="000D07EA" w:rsidRDefault="00BE7C89">
            <w:pPr>
              <w:pStyle w:val="BodyText"/>
              <w:spacing w:before="100" w:after="100"/>
              <w:rPr>
                <w:b/>
                <w:i/>
                <w:sz w:val="24"/>
                <w:lang w:val="en-AU" w:eastAsia="en-AU"/>
              </w:rPr>
            </w:pPr>
            <w:r>
              <w:rPr>
                <w:b/>
                <w:i/>
              </w:rPr>
              <w:t>Flagfall</w:t>
            </w:r>
          </w:p>
        </w:tc>
        <w:tc>
          <w:tcPr>
            <w:tcW w:w="1800" w:type="dxa"/>
            <w:hideMark/>
          </w:tcPr>
          <w:p w14:paraId="7DD7662C" w14:textId="77777777" w:rsidR="000D07EA" w:rsidRDefault="00BE7C89">
            <w:pPr>
              <w:pStyle w:val="BodyText"/>
              <w:spacing w:before="100" w:after="100"/>
              <w:jc w:val="center"/>
              <w:rPr>
                <w:sz w:val="24"/>
                <w:lang w:val="en-AU" w:eastAsia="en-AU"/>
              </w:rPr>
            </w:pPr>
            <w:r>
              <w:t>$0.225</w:t>
            </w:r>
            <w:r>
              <w:br/>
              <w:t>($0.25)</w:t>
            </w:r>
          </w:p>
        </w:tc>
        <w:tc>
          <w:tcPr>
            <w:tcW w:w="1800" w:type="dxa"/>
            <w:hideMark/>
          </w:tcPr>
          <w:p w14:paraId="4B779F85" w14:textId="77777777" w:rsidR="000D07EA" w:rsidRDefault="00BE7C89">
            <w:pPr>
              <w:pStyle w:val="BodyText"/>
              <w:spacing w:before="100" w:after="100"/>
              <w:jc w:val="center"/>
              <w:rPr>
                <w:sz w:val="24"/>
                <w:lang w:val="en-AU" w:eastAsia="en-AU"/>
              </w:rPr>
            </w:pPr>
            <w:r>
              <w:t>$0.225</w:t>
            </w:r>
            <w:r>
              <w:br/>
              <w:t>($0.25)</w:t>
            </w:r>
          </w:p>
        </w:tc>
        <w:tc>
          <w:tcPr>
            <w:tcW w:w="1800" w:type="dxa"/>
            <w:hideMark/>
          </w:tcPr>
          <w:p w14:paraId="472F7CC5" w14:textId="77777777" w:rsidR="000D07EA" w:rsidRDefault="00BE7C89">
            <w:pPr>
              <w:pStyle w:val="BodyText"/>
              <w:spacing w:before="100" w:after="100"/>
              <w:jc w:val="center"/>
              <w:rPr>
                <w:sz w:val="24"/>
                <w:lang w:val="en-AU" w:eastAsia="en-AU"/>
              </w:rPr>
            </w:pPr>
            <w:r>
              <w:t>$0.225</w:t>
            </w:r>
            <w:r>
              <w:br/>
              <w:t>($0.25)</w:t>
            </w:r>
          </w:p>
        </w:tc>
      </w:tr>
      <w:tr w:rsidR="000D07EA" w14:paraId="1CC2E15F" w14:textId="77777777">
        <w:trPr>
          <w:trHeight w:val="60"/>
        </w:trPr>
        <w:tc>
          <w:tcPr>
            <w:tcW w:w="3420" w:type="dxa"/>
            <w:hideMark/>
          </w:tcPr>
          <w:p w14:paraId="39EDEC46" w14:textId="77777777" w:rsidR="000D07EA" w:rsidRDefault="00BE7C89">
            <w:pPr>
              <w:pStyle w:val="BodyText"/>
              <w:spacing w:before="100" w:after="100"/>
              <w:rPr>
                <w:b/>
                <w:i/>
                <w:sz w:val="24"/>
                <w:lang w:val="en-AU" w:eastAsia="en-AU"/>
              </w:rPr>
            </w:pPr>
            <w:r>
              <w:rPr>
                <w:b/>
                <w:i/>
              </w:rPr>
              <w:t xml:space="preserve">Minimum term </w:t>
            </w:r>
          </w:p>
        </w:tc>
        <w:tc>
          <w:tcPr>
            <w:tcW w:w="1800" w:type="dxa"/>
            <w:hideMark/>
          </w:tcPr>
          <w:p w14:paraId="778E0C72" w14:textId="77777777" w:rsidR="000D07EA" w:rsidRDefault="00BE7C89">
            <w:pPr>
              <w:pStyle w:val="BodyText"/>
              <w:spacing w:before="100" w:after="100"/>
              <w:jc w:val="center"/>
              <w:rPr>
                <w:sz w:val="24"/>
                <w:lang w:val="en-AU" w:eastAsia="en-AU"/>
              </w:rPr>
            </w:pPr>
            <w:r>
              <w:t>Monthly or 12 or 24 Months</w:t>
            </w:r>
          </w:p>
        </w:tc>
        <w:tc>
          <w:tcPr>
            <w:tcW w:w="1800" w:type="dxa"/>
            <w:hideMark/>
          </w:tcPr>
          <w:p w14:paraId="1F807B82" w14:textId="77777777" w:rsidR="000D07EA" w:rsidRDefault="00BE7C89">
            <w:pPr>
              <w:pStyle w:val="BodyText"/>
              <w:spacing w:before="100" w:after="100"/>
              <w:jc w:val="center"/>
              <w:rPr>
                <w:sz w:val="24"/>
                <w:lang w:val="en-AU" w:eastAsia="en-AU"/>
              </w:rPr>
            </w:pPr>
            <w:r>
              <w:t>Monthly or 12 or 24 Months</w:t>
            </w:r>
          </w:p>
        </w:tc>
        <w:tc>
          <w:tcPr>
            <w:tcW w:w="1800" w:type="dxa"/>
            <w:hideMark/>
          </w:tcPr>
          <w:p w14:paraId="1F0EFB14" w14:textId="77777777" w:rsidR="000D07EA" w:rsidRDefault="00BE7C89">
            <w:pPr>
              <w:pStyle w:val="BodyText"/>
              <w:spacing w:before="100" w:after="100"/>
              <w:jc w:val="center"/>
              <w:rPr>
                <w:sz w:val="24"/>
                <w:lang w:val="en-AU" w:eastAsia="en-AU"/>
              </w:rPr>
            </w:pPr>
            <w:r>
              <w:t>Monthly or 12 or 24 Months</w:t>
            </w:r>
          </w:p>
        </w:tc>
      </w:tr>
      <w:tr w:rsidR="000D07EA" w14:paraId="5EB32B5F" w14:textId="77777777">
        <w:trPr>
          <w:trHeight w:val="60"/>
        </w:trPr>
        <w:tc>
          <w:tcPr>
            <w:tcW w:w="3420" w:type="dxa"/>
            <w:hideMark/>
          </w:tcPr>
          <w:p w14:paraId="7B4CA857" w14:textId="77777777" w:rsidR="000D07EA" w:rsidRDefault="00BE7C89">
            <w:pPr>
              <w:pStyle w:val="BodyText"/>
              <w:spacing w:before="100" w:after="100"/>
              <w:rPr>
                <w:b/>
                <w:i/>
                <w:sz w:val="24"/>
                <w:lang w:val="en-AU" w:eastAsia="en-AU"/>
              </w:rPr>
            </w:pPr>
            <w:r>
              <w:rPr>
                <w:b/>
                <w:i/>
              </w:rPr>
              <w:t>Eligible for Supershare?</w:t>
            </w:r>
          </w:p>
        </w:tc>
        <w:tc>
          <w:tcPr>
            <w:tcW w:w="1800" w:type="dxa"/>
            <w:hideMark/>
          </w:tcPr>
          <w:p w14:paraId="46E2FF9A" w14:textId="77777777" w:rsidR="000D07EA" w:rsidRDefault="00BE7C89">
            <w:pPr>
              <w:pStyle w:val="BodyText"/>
              <w:spacing w:before="100" w:after="100"/>
              <w:jc w:val="center"/>
              <w:rPr>
                <w:sz w:val="24"/>
                <w:lang w:val="en-AU" w:eastAsia="en-AU"/>
              </w:rPr>
            </w:pPr>
            <w:r>
              <w:t>Yes</w:t>
            </w:r>
          </w:p>
        </w:tc>
        <w:tc>
          <w:tcPr>
            <w:tcW w:w="1800" w:type="dxa"/>
            <w:hideMark/>
          </w:tcPr>
          <w:p w14:paraId="0D74834D" w14:textId="77777777" w:rsidR="000D07EA" w:rsidRDefault="00BE7C89">
            <w:pPr>
              <w:pStyle w:val="BodyText"/>
              <w:spacing w:before="100" w:after="100"/>
              <w:jc w:val="center"/>
              <w:rPr>
                <w:sz w:val="24"/>
                <w:lang w:val="en-AU" w:eastAsia="en-AU"/>
              </w:rPr>
            </w:pPr>
            <w:r>
              <w:t>Yes</w:t>
            </w:r>
          </w:p>
        </w:tc>
        <w:tc>
          <w:tcPr>
            <w:tcW w:w="1800" w:type="dxa"/>
            <w:hideMark/>
          </w:tcPr>
          <w:p w14:paraId="49DDD7F8" w14:textId="77777777" w:rsidR="000D07EA" w:rsidRDefault="00BE7C89">
            <w:pPr>
              <w:pStyle w:val="BodyText"/>
              <w:spacing w:before="100" w:after="100"/>
              <w:jc w:val="center"/>
              <w:rPr>
                <w:sz w:val="24"/>
                <w:lang w:val="en-AU" w:eastAsia="en-AU"/>
              </w:rPr>
            </w:pPr>
            <w:r>
              <w:t>Yes</w:t>
            </w:r>
          </w:p>
        </w:tc>
      </w:tr>
    </w:tbl>
    <w:p w14:paraId="1A93B308" w14:textId="77777777" w:rsidR="000D07EA" w:rsidRDefault="000D07EA">
      <w:pPr>
        <w:pStyle w:val="BodyText"/>
        <w:ind w:left="720"/>
        <w:rPr>
          <w:snapToGrid w:val="0"/>
        </w:rPr>
      </w:pPr>
    </w:p>
    <w:p w14:paraId="2F47F361" w14:textId="77777777" w:rsidR="000D07EA" w:rsidRDefault="00BE7C89">
      <w:pPr>
        <w:pStyle w:val="Heading7"/>
        <w:rPr>
          <w:b/>
          <w:snapToGrid w:val="0"/>
        </w:rPr>
      </w:pPr>
      <w:r>
        <w:rPr>
          <w:b/>
        </w:rPr>
        <w:t xml:space="preserve">Calling Offer Bolt On Packs: </w:t>
      </w:r>
    </w:p>
    <w:p w14:paraId="76508FED" w14:textId="77777777" w:rsidR="000D07EA" w:rsidRDefault="00BE7C89">
      <w:pPr>
        <w:pStyle w:val="Heading8"/>
        <w:rPr>
          <w:szCs w:val="20"/>
        </w:rPr>
      </w:pPr>
      <w:r>
        <w:rPr>
          <w:i/>
        </w:rPr>
        <w:t>You</w:t>
      </w:r>
      <w:r>
        <w:t xml:space="preserve"> may select Bolt Ons for an additional monthly fee per pack per </w:t>
      </w:r>
      <w:r>
        <w:rPr>
          <w:i/>
        </w:rPr>
        <w:t>service</w:t>
      </w:r>
      <w:r>
        <w:t xml:space="preserve">. </w:t>
      </w:r>
    </w:p>
    <w:p w14:paraId="0BAE6013" w14:textId="77777777" w:rsidR="000D07EA" w:rsidRDefault="00BE7C89">
      <w:pPr>
        <w:pStyle w:val="Heading8"/>
      </w:pPr>
      <w:r>
        <w:rPr>
          <w:i/>
        </w:rPr>
        <w:t xml:space="preserve">Your </w:t>
      </w:r>
      <w:r>
        <w:t xml:space="preserve">spend on Calling Offer Bolt On Packs does not count towards </w:t>
      </w:r>
      <w:r>
        <w:rPr>
          <w:i/>
        </w:rPr>
        <w:t>your</w:t>
      </w:r>
      <w:r>
        <w:t xml:space="preserve"> SuperShare</w:t>
      </w:r>
      <w:r>
        <w:rPr>
          <w:vertAlign w:val="superscript"/>
        </w:rPr>
        <w:t xml:space="preserve">TM </w:t>
      </w:r>
      <w:r>
        <w:t xml:space="preserve">monthly included value. </w:t>
      </w:r>
    </w:p>
    <w:p w14:paraId="3BA87ED0" w14:textId="77777777" w:rsidR="000D07EA" w:rsidRDefault="00503F23">
      <w:pPr>
        <w:pStyle w:val="Heading8"/>
        <w:rPr>
          <w:snapToGrid w:val="0"/>
        </w:rPr>
      </w:pPr>
      <w:r>
        <w:t xml:space="preserve">The </w:t>
      </w:r>
      <w:r w:rsidR="00BE7C89">
        <w:t xml:space="preserve">Fair Go Policy applies (see </w:t>
      </w:r>
      <w:hyperlink r:id="rId125" w:history="1">
        <w:r w:rsidR="00BE7C89" w:rsidRPr="00DD7FB0">
          <w:rPr>
            <w:rStyle w:val="Hyperlink"/>
            <w:i/>
          </w:rPr>
          <w:t xml:space="preserve">Appendix </w:t>
        </w:r>
        <w:r w:rsidR="00DD7FB0" w:rsidRPr="00DD7FB0">
          <w:rPr>
            <w:rStyle w:val="Hyperlink"/>
            <w:i/>
          </w:rPr>
          <w:t>S</w:t>
        </w:r>
      </w:hyperlink>
      <w:r w:rsidR="00BE7C89">
        <w:rPr>
          <w:i/>
        </w:rPr>
        <w:t>)</w:t>
      </w:r>
      <w:r w:rsidR="00BE7C89">
        <w:t>.</w:t>
      </w:r>
    </w:p>
    <w:p w14:paraId="4A15B718" w14:textId="77777777" w:rsidR="000D07EA" w:rsidRDefault="00BE7C89">
      <w:pPr>
        <w:pStyle w:val="Heading8"/>
        <w:rPr>
          <w:b/>
          <w:snapToGrid w:val="0"/>
        </w:rPr>
      </w:pPr>
      <w:r>
        <w:rPr>
          <w:b/>
          <w:snapToGrid w:val="0"/>
        </w:rPr>
        <w:t xml:space="preserve">SmartFleet Bolt On: </w:t>
      </w:r>
    </w:p>
    <w:p w14:paraId="3E1E0323" w14:textId="77777777" w:rsidR="000D07EA" w:rsidRDefault="00BE7C89">
      <w:pPr>
        <w:pStyle w:val="Heading9"/>
        <w:rPr>
          <w:snapToGrid w:val="0"/>
        </w:rPr>
      </w:pPr>
      <w:r>
        <w:rPr>
          <w:snapToGrid w:val="0"/>
        </w:rPr>
        <w:t xml:space="preserve">Pay a monthly fee of $5 to receive the Smart Fleet Bolt On. </w:t>
      </w:r>
    </w:p>
    <w:p w14:paraId="206B3361" w14:textId="77777777" w:rsidR="000D07EA" w:rsidRDefault="00BE7C89">
      <w:pPr>
        <w:pStyle w:val="Heading9"/>
      </w:pPr>
      <w:r>
        <w:rPr>
          <w:i/>
          <w:snapToGrid w:val="0"/>
        </w:rPr>
        <w:lastRenderedPageBreak/>
        <w:t xml:space="preserve">You </w:t>
      </w:r>
      <w:r>
        <w:rPr>
          <w:snapToGrid w:val="0"/>
        </w:rPr>
        <w:t>will not be charged for calls, SMS, MMS made</w:t>
      </w:r>
      <w:r>
        <w:rPr>
          <w:b/>
          <w:snapToGrid w:val="0"/>
        </w:rPr>
        <w:t xml:space="preserve"> </w:t>
      </w:r>
      <w:r>
        <w:t xml:space="preserve">to another Optus mobile service that is connected on the 'yes' Business Smart </w:t>
      </w:r>
      <w:r>
        <w:rPr>
          <w:i/>
        </w:rPr>
        <w:t>pricing plan</w:t>
      </w:r>
      <w:r>
        <w:t xml:space="preserve">, 'yes' Business Smart cap </w:t>
      </w:r>
      <w:r>
        <w:rPr>
          <w:i/>
        </w:rPr>
        <w:t>pricing plan</w:t>
      </w:r>
      <w:r>
        <w:t xml:space="preserve">, 'yes' Business Fleet </w:t>
      </w:r>
      <w:r>
        <w:rPr>
          <w:i/>
        </w:rPr>
        <w:t>pricing plan</w:t>
      </w:r>
      <w:r>
        <w:t xml:space="preserve"> or inBusiness Edge </w:t>
      </w:r>
      <w:r>
        <w:rPr>
          <w:i/>
        </w:rPr>
        <w:t xml:space="preserve">pricing plan </w:t>
      </w:r>
      <w:r>
        <w:t>on the same customer account number. Applies to calls made and received in Australia</w:t>
      </w:r>
    </w:p>
    <w:p w14:paraId="4B9EC5A9" w14:textId="77777777" w:rsidR="000D07EA" w:rsidRDefault="00BE7C89">
      <w:pPr>
        <w:pStyle w:val="Heading9"/>
      </w:pPr>
      <w:r>
        <w:t xml:space="preserve">No </w:t>
      </w:r>
      <w:r>
        <w:rPr>
          <w:i/>
        </w:rPr>
        <w:t>flagfall</w:t>
      </w:r>
      <w:r>
        <w:t xml:space="preserve"> applies. </w:t>
      </w:r>
    </w:p>
    <w:p w14:paraId="2511D1CB" w14:textId="77777777" w:rsidR="000D07EA" w:rsidRDefault="00BE7C89">
      <w:pPr>
        <w:pStyle w:val="Heading9"/>
      </w:pPr>
      <w:r>
        <w:t xml:space="preserve">Excludes video calls, International calls, premium and third party SMS and MMS, calls to Optus Pre-Paid, Satellite and service provider customers. </w:t>
      </w:r>
    </w:p>
    <w:p w14:paraId="37AA13B7" w14:textId="77777777" w:rsidR="000D07EA" w:rsidRDefault="00BE7C89">
      <w:pPr>
        <w:pStyle w:val="Heading9"/>
      </w:pPr>
      <w:r>
        <w:t xml:space="preserve">Promotion available until 31/06/08 unless withdrawn earlier. </w:t>
      </w:r>
    </w:p>
    <w:p w14:paraId="12C32B73" w14:textId="77777777" w:rsidR="000D07EA" w:rsidRDefault="00BE7C89">
      <w:pPr>
        <w:pStyle w:val="Heading8"/>
        <w:rPr>
          <w:b/>
          <w:snapToGrid w:val="0"/>
        </w:rPr>
      </w:pPr>
      <w:r>
        <w:rPr>
          <w:b/>
        </w:rPr>
        <w:t xml:space="preserve">VoiceMail Bolt On: </w:t>
      </w:r>
    </w:p>
    <w:p w14:paraId="646697B1" w14:textId="77777777" w:rsidR="000D07EA" w:rsidRDefault="00BE7C89">
      <w:pPr>
        <w:pStyle w:val="Heading9"/>
      </w:pPr>
      <w:r>
        <w:t xml:space="preserve">Pay </w:t>
      </w:r>
      <w:r>
        <w:rPr>
          <w:snapToGrid w:val="0"/>
        </w:rPr>
        <w:t xml:space="preserve">a monthly fee of </w:t>
      </w:r>
      <w:r>
        <w:t xml:space="preserve">$5 to receive unlimited VoiceMail deposits and retrievals at no charge. </w:t>
      </w:r>
    </w:p>
    <w:p w14:paraId="4ED654FD" w14:textId="77777777" w:rsidR="000D07EA" w:rsidRDefault="00BE7C89">
      <w:pPr>
        <w:pStyle w:val="Heading9"/>
        <w:rPr>
          <w:snapToGrid w:val="0"/>
        </w:rPr>
      </w:pPr>
      <w:r>
        <w:t>Fair Go Policy (</w:t>
      </w:r>
      <w:hyperlink r:id="rId126" w:history="1">
        <w:r>
          <w:rPr>
            <w:rStyle w:val="Hyperlink"/>
            <w:i/>
          </w:rPr>
          <w:t>Appendix S</w:t>
        </w:r>
      </w:hyperlink>
      <w:r>
        <w:t>) applies.</w:t>
      </w:r>
    </w:p>
    <w:p w14:paraId="0F875923" w14:textId="77777777" w:rsidR="000D07EA" w:rsidRDefault="00BE7C89">
      <w:pPr>
        <w:pStyle w:val="Heading8"/>
        <w:rPr>
          <w:b/>
          <w:snapToGrid w:val="0"/>
        </w:rPr>
      </w:pPr>
      <w:r>
        <w:rPr>
          <w:b/>
        </w:rPr>
        <w:t xml:space="preserve">International Bolt On: </w:t>
      </w:r>
    </w:p>
    <w:p w14:paraId="5673446B" w14:textId="77777777" w:rsidR="000D07EA" w:rsidRDefault="00BE7C89">
      <w:pPr>
        <w:pStyle w:val="BodyText"/>
        <w:ind w:left="2160"/>
      </w:pPr>
      <w:r>
        <w:t xml:space="preserve">Pay </w:t>
      </w:r>
      <w:r>
        <w:rPr>
          <w:snapToGrid w:val="0"/>
        </w:rPr>
        <w:t xml:space="preserve">a monthly fee of </w:t>
      </w:r>
      <w:r>
        <w:t xml:space="preserve">$5 and </w:t>
      </w:r>
      <w:r>
        <w:rPr>
          <w:i/>
        </w:rPr>
        <w:t xml:space="preserve">you </w:t>
      </w:r>
      <w:r>
        <w:t>will only pay $3 for calls of up to 10 minutes to the top 15 countries of Canada China, Germany, Hong Kong, India, Indonesia, Italy. Japan, Malaysia, Philippines, Singapore, South Africa, Thailand, Vietnam and UK. Calls in excess of 10 minutes will be charged the $3.00 plus:</w:t>
      </w:r>
    </w:p>
    <w:p w14:paraId="1F149943" w14:textId="77777777" w:rsidR="000D07EA" w:rsidRDefault="00BE7C89">
      <w:pPr>
        <w:pStyle w:val="Heading8"/>
      </w:pPr>
      <w:r>
        <w:t>For the period prior to 6 June 2010, the relevant 'yes' international rate per 30 seconds thereafter. Flagfall of 27c per call applies.</w:t>
      </w:r>
    </w:p>
    <w:p w14:paraId="74485164" w14:textId="77777777" w:rsidR="000D07EA" w:rsidRDefault="00BE7C89">
      <w:pPr>
        <w:pStyle w:val="Heading8"/>
        <w:rPr>
          <w:snapToGrid w:val="0"/>
        </w:rPr>
      </w:pPr>
      <w:r>
        <w:rPr>
          <w:snapToGrid w:val="0"/>
        </w:rPr>
        <w:t xml:space="preserve">From 6 June 2010 (inclusive), the relevant 'yes' Business International rate per 30 seconds thereafter plus flagfall of 35c per call. </w:t>
      </w:r>
      <w:r>
        <w:t xml:space="preserve">For more information on the 'yes' Business International call rates please refer to </w:t>
      </w:r>
      <w:hyperlink r:id="rId127" w:history="1">
        <w:r>
          <w:rPr>
            <w:rStyle w:val="Hyperlink"/>
            <w:rFonts w:eastAsia="MS Gothic"/>
            <w:i/>
          </w:rPr>
          <w:t>Appendix J</w:t>
        </w:r>
      </w:hyperlink>
      <w:r>
        <w:rPr>
          <w:i/>
        </w:rPr>
        <w:t>.</w:t>
      </w:r>
    </w:p>
    <w:p w14:paraId="1567500F" w14:textId="77777777" w:rsidR="000D07EA" w:rsidRDefault="00BE7C89">
      <w:pPr>
        <w:pStyle w:val="Heading8"/>
        <w:rPr>
          <w:b/>
          <w:snapToGrid w:val="0"/>
        </w:rPr>
      </w:pPr>
      <w:r>
        <w:rPr>
          <w:b/>
        </w:rPr>
        <w:t xml:space="preserve">Mobile IM Bolt On: </w:t>
      </w:r>
    </w:p>
    <w:p w14:paraId="37770420" w14:textId="77777777" w:rsidR="000D07EA" w:rsidRDefault="00BE7C89">
      <w:pPr>
        <w:pStyle w:val="Heading9"/>
      </w:pPr>
      <w:r>
        <w:t xml:space="preserve">Pay </w:t>
      </w:r>
      <w:r>
        <w:rPr>
          <w:snapToGrid w:val="0"/>
        </w:rPr>
        <w:t xml:space="preserve">a monthly fee of </w:t>
      </w:r>
      <w:r>
        <w:t>$5.95 for unlimited Mobile IM usage.</w:t>
      </w:r>
    </w:p>
    <w:p w14:paraId="6BE60DB3" w14:textId="77777777" w:rsidR="000D07EA" w:rsidRDefault="00BE7C89">
      <w:pPr>
        <w:pStyle w:val="Heading9"/>
      </w:pPr>
      <w:r>
        <w:rPr>
          <w:i/>
        </w:rPr>
        <w:t xml:space="preserve">You </w:t>
      </w:r>
      <w:r>
        <w:t>will need to sign up and receive user credentials from MSN messenger and/or Yahoo messenger on the Internet.</w:t>
      </w:r>
    </w:p>
    <w:p w14:paraId="73A87034" w14:textId="77777777" w:rsidR="000D07EA" w:rsidRDefault="00BE7C89">
      <w:pPr>
        <w:pStyle w:val="Heading9"/>
      </w:pPr>
      <w:r>
        <w:rPr>
          <w:i/>
        </w:rPr>
        <w:t xml:space="preserve">You </w:t>
      </w:r>
      <w:r>
        <w:t>must have a compatible handset.</w:t>
      </w:r>
    </w:p>
    <w:p w14:paraId="1FE5758D" w14:textId="77777777" w:rsidR="000D07EA" w:rsidRDefault="00BE7C89">
      <w:pPr>
        <w:pStyle w:val="Heading9"/>
        <w:rPr>
          <w:snapToGrid w:val="0"/>
        </w:rPr>
      </w:pPr>
      <w:r>
        <w:t>Fair Go Policy (</w:t>
      </w:r>
      <w:hyperlink r:id="rId128" w:history="1">
        <w:r>
          <w:rPr>
            <w:rStyle w:val="Hyperlink"/>
            <w:i/>
          </w:rPr>
          <w:t>Appendix S</w:t>
        </w:r>
      </w:hyperlink>
      <w:r>
        <w:t>) applies.</w:t>
      </w:r>
    </w:p>
    <w:p w14:paraId="40DB6309" w14:textId="77777777" w:rsidR="000D07EA" w:rsidRDefault="00BE7C89">
      <w:pPr>
        <w:pStyle w:val="Heading8"/>
        <w:rPr>
          <w:b/>
          <w:snapToGrid w:val="0"/>
        </w:rPr>
      </w:pPr>
      <w:r>
        <w:rPr>
          <w:b/>
        </w:rPr>
        <w:t xml:space="preserve">SurePage Bolt On: </w:t>
      </w:r>
    </w:p>
    <w:p w14:paraId="3B732EAE" w14:textId="77777777" w:rsidR="000D07EA" w:rsidRDefault="00BE7C89">
      <w:pPr>
        <w:pStyle w:val="Heading9"/>
      </w:pPr>
      <w:r>
        <w:t xml:space="preserve">Pay </w:t>
      </w:r>
      <w:r>
        <w:rPr>
          <w:snapToGrid w:val="0"/>
        </w:rPr>
        <w:t xml:space="preserve">a monthly fee of </w:t>
      </w:r>
      <w:r>
        <w:t xml:space="preserve">$5 to receive 20 SurePage messages per month for no charge. </w:t>
      </w:r>
    </w:p>
    <w:p w14:paraId="4CD29DF4" w14:textId="77777777" w:rsidR="000D07EA" w:rsidRDefault="00BE7C89">
      <w:pPr>
        <w:pStyle w:val="Heading9"/>
        <w:rPr>
          <w:snapToGrid w:val="0"/>
        </w:rPr>
      </w:pPr>
      <w:r>
        <w:t xml:space="preserve">Each additional message will be charged at 50c per message. </w:t>
      </w:r>
    </w:p>
    <w:p w14:paraId="47028430" w14:textId="77777777" w:rsidR="000D07EA" w:rsidRDefault="00BE7C89">
      <w:pPr>
        <w:pStyle w:val="Heading7"/>
        <w:rPr>
          <w:b/>
          <w:u w:val="single"/>
        </w:rPr>
      </w:pPr>
      <w:r>
        <w:rPr>
          <w:b/>
        </w:rPr>
        <w:t xml:space="preserve">Mobile Data Plans and Bolt Ons: </w:t>
      </w:r>
    </w:p>
    <w:p w14:paraId="46960A84" w14:textId="77777777" w:rsidR="000D07EA" w:rsidRDefault="00BE7C89">
      <w:pPr>
        <w:pStyle w:val="Heading8"/>
      </w:pPr>
      <w:r>
        <w:rPr>
          <w:i/>
        </w:rPr>
        <w:t xml:space="preserve">You </w:t>
      </w:r>
      <w:r>
        <w:t xml:space="preserve">can </w:t>
      </w:r>
    </w:p>
    <w:p w14:paraId="051E4512" w14:textId="77777777" w:rsidR="000D07EA" w:rsidRDefault="00BE7C89">
      <w:pPr>
        <w:pStyle w:val="Heading9"/>
      </w:pPr>
      <w:r>
        <w:t>pay for data usage as you go each month at 1.5c per KB capped at $5 for up to 5MB, and if you exceed 5MB of usage, charges start again at. 0.3¢ per Kb; or</w:t>
      </w:r>
    </w:p>
    <w:p w14:paraId="754C7237" w14:textId="77777777" w:rsidR="000D07EA" w:rsidRDefault="00BE7C89">
      <w:pPr>
        <w:pStyle w:val="Heading9"/>
      </w:pPr>
      <w:r>
        <w:t>select one of the mobile data plans set out in Table 2 below, for an additional monthly charge.</w:t>
      </w:r>
    </w:p>
    <w:p w14:paraId="10C6AE68" w14:textId="77777777" w:rsidR="000D07EA" w:rsidRDefault="00BE7C89">
      <w:pPr>
        <w:pStyle w:val="Heading8"/>
        <w:rPr>
          <w:u w:val="single"/>
        </w:rPr>
      </w:pPr>
      <w:r>
        <w:t xml:space="preserve">If you do not select one of the mobile data plans set out in Table 2 below, you will be charged for mobile data usage in accordance with the default mobile data plan. </w:t>
      </w:r>
    </w:p>
    <w:p w14:paraId="311D7A2A" w14:textId="77777777" w:rsidR="000D07EA" w:rsidRDefault="00BE7C89">
      <w:pPr>
        <w:pStyle w:val="Heading8"/>
        <w:rPr>
          <w:u w:val="single"/>
        </w:rPr>
      </w:pPr>
      <w:r>
        <w:rPr>
          <w:i/>
        </w:rPr>
        <w:lastRenderedPageBreak/>
        <w:t xml:space="preserve">You </w:t>
      </w:r>
      <w:r>
        <w:t xml:space="preserve">must pay the monthly access fee as relevant each month for the data plan </w:t>
      </w:r>
      <w:r>
        <w:rPr>
          <w:i/>
        </w:rPr>
        <w:t xml:space="preserve">you </w:t>
      </w:r>
      <w:r>
        <w:t xml:space="preserve">have chosen, irrespective of </w:t>
      </w:r>
      <w:r>
        <w:rPr>
          <w:i/>
        </w:rPr>
        <w:t xml:space="preserve">your </w:t>
      </w:r>
      <w:r>
        <w:t>data usage in that month.</w:t>
      </w:r>
    </w:p>
    <w:p w14:paraId="52E46171" w14:textId="77777777" w:rsidR="000D07EA" w:rsidRDefault="00BE7C89">
      <w:pPr>
        <w:pStyle w:val="Heading8"/>
        <w:rPr>
          <w:u w:val="single"/>
        </w:rPr>
      </w:pPr>
      <w:r>
        <w:rPr>
          <w:i/>
        </w:rPr>
        <w:t xml:space="preserve">You </w:t>
      </w:r>
      <w:r>
        <w:t xml:space="preserve">will need a GPRS capable device. </w:t>
      </w:r>
    </w:p>
    <w:p w14:paraId="1E7B1122" w14:textId="77777777" w:rsidR="000D07EA" w:rsidRDefault="00BE7C89">
      <w:pPr>
        <w:pStyle w:val="Heading8"/>
        <w:rPr>
          <w:u w:val="single"/>
        </w:rPr>
      </w:pPr>
      <w:r>
        <w:t xml:space="preserve">SMS Alerts, Ring Tones, Screen Logos, Picture Messages, Mobile Games, MMS Select Standard and MMS Select Premium content charges are charged in addition to </w:t>
      </w:r>
      <w:r>
        <w:rPr>
          <w:i/>
        </w:rPr>
        <w:t xml:space="preserve">your </w:t>
      </w:r>
      <w:r>
        <w:t>monthly access fee.</w:t>
      </w:r>
    </w:p>
    <w:p w14:paraId="724CFA19" w14:textId="77777777" w:rsidR="000D07EA" w:rsidRDefault="00BE7C89">
      <w:pPr>
        <w:pStyle w:val="Heading8"/>
        <w:rPr>
          <w:snapToGrid w:val="0"/>
        </w:rPr>
      </w:pPr>
      <w:r>
        <w:t>Roaming charges apply for data usage whilst overseas</w:t>
      </w:r>
    </w:p>
    <w:p w14:paraId="0E238C7E" w14:textId="77777777" w:rsidR="000D07EA" w:rsidRDefault="00BE7C89">
      <w:pPr>
        <w:pStyle w:val="BodyText"/>
        <w:ind w:left="1440"/>
        <w:rPr>
          <w:b/>
          <w:snapToGrid w:val="0"/>
        </w:rPr>
      </w:pPr>
      <w:r>
        <w:rPr>
          <w:b/>
        </w:rPr>
        <w:t>Table 2</w:t>
      </w:r>
    </w:p>
    <w:tbl>
      <w:tblPr>
        <w:tblW w:w="8820" w:type="dxa"/>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070"/>
        <w:gridCol w:w="1687"/>
        <w:gridCol w:w="1688"/>
        <w:gridCol w:w="1687"/>
        <w:gridCol w:w="1688"/>
      </w:tblGrid>
      <w:tr w:rsidR="000D07EA" w14:paraId="0BC12B4A" w14:textId="77777777">
        <w:tc>
          <w:tcPr>
            <w:tcW w:w="2070" w:type="dxa"/>
            <w:hideMark/>
          </w:tcPr>
          <w:p w14:paraId="04D1778C" w14:textId="77777777" w:rsidR="000D07EA" w:rsidRDefault="00BE7C89">
            <w:pPr>
              <w:pStyle w:val="BodyText"/>
              <w:spacing w:before="100" w:after="100"/>
              <w:jc w:val="center"/>
              <w:rPr>
                <w:b/>
                <w:sz w:val="24"/>
                <w:lang w:val="en-AU" w:eastAsia="en-AU"/>
              </w:rPr>
            </w:pPr>
            <w:r>
              <w:rPr>
                <w:b/>
              </w:rPr>
              <w:t>Mobile Data Plan</w:t>
            </w:r>
          </w:p>
        </w:tc>
        <w:tc>
          <w:tcPr>
            <w:tcW w:w="1687" w:type="dxa"/>
            <w:hideMark/>
          </w:tcPr>
          <w:p w14:paraId="72E3EB0E" w14:textId="77777777" w:rsidR="000D07EA" w:rsidRDefault="00BE7C89">
            <w:pPr>
              <w:pStyle w:val="BodyText"/>
              <w:spacing w:before="100" w:after="100"/>
              <w:jc w:val="center"/>
              <w:rPr>
                <w:b/>
                <w:sz w:val="24"/>
                <w:lang w:val="en-AU" w:eastAsia="en-AU"/>
              </w:rPr>
            </w:pPr>
            <w:r>
              <w:rPr>
                <w:b/>
              </w:rPr>
              <w:t>Monthly access fee</w:t>
            </w:r>
          </w:p>
        </w:tc>
        <w:tc>
          <w:tcPr>
            <w:tcW w:w="1688" w:type="dxa"/>
            <w:hideMark/>
          </w:tcPr>
          <w:p w14:paraId="2CBD76F1" w14:textId="77777777" w:rsidR="000D07EA" w:rsidRDefault="00BE7C89">
            <w:pPr>
              <w:pStyle w:val="BodyText"/>
              <w:spacing w:before="100" w:after="100"/>
              <w:jc w:val="center"/>
              <w:rPr>
                <w:b/>
                <w:sz w:val="24"/>
                <w:lang w:val="en-AU" w:eastAsia="en-AU"/>
              </w:rPr>
            </w:pPr>
            <w:r>
              <w:rPr>
                <w:b/>
              </w:rPr>
              <w:t>Included data</w:t>
            </w:r>
          </w:p>
        </w:tc>
        <w:tc>
          <w:tcPr>
            <w:tcW w:w="1687" w:type="dxa"/>
          </w:tcPr>
          <w:p w14:paraId="7B88C2F4" w14:textId="77777777" w:rsidR="000D07EA" w:rsidRDefault="00BE7C89">
            <w:pPr>
              <w:pStyle w:val="BodyText"/>
              <w:spacing w:before="100" w:after="100"/>
              <w:jc w:val="center"/>
              <w:rPr>
                <w:b/>
                <w:sz w:val="24"/>
                <w:lang w:val="en-AU" w:eastAsia="en-AU"/>
              </w:rPr>
            </w:pPr>
            <w:r>
              <w:rPr>
                <w:b/>
              </w:rPr>
              <w:t>Excess usage charges</w:t>
            </w:r>
            <w:r>
              <w:rPr>
                <w:b/>
              </w:rPr>
              <w:br/>
              <w:t>(per Kb)</w:t>
            </w:r>
          </w:p>
        </w:tc>
        <w:tc>
          <w:tcPr>
            <w:tcW w:w="1688" w:type="dxa"/>
            <w:hideMark/>
          </w:tcPr>
          <w:p w14:paraId="48AC0ED0" w14:textId="77777777" w:rsidR="000D07EA" w:rsidRDefault="00BE7C89">
            <w:pPr>
              <w:pStyle w:val="BodyText"/>
              <w:spacing w:before="100" w:after="100"/>
              <w:jc w:val="center"/>
              <w:rPr>
                <w:b/>
                <w:sz w:val="24"/>
                <w:lang w:val="en-AU" w:eastAsia="en-AU"/>
              </w:rPr>
            </w:pPr>
            <w:r>
              <w:rPr>
                <w:b/>
              </w:rPr>
              <w:t>Supershare</w:t>
            </w:r>
          </w:p>
        </w:tc>
      </w:tr>
      <w:tr w:rsidR="000D07EA" w14:paraId="75A4860C" w14:textId="77777777">
        <w:tc>
          <w:tcPr>
            <w:tcW w:w="2070" w:type="dxa"/>
            <w:hideMark/>
          </w:tcPr>
          <w:p w14:paraId="0CA674AD" w14:textId="77777777" w:rsidR="000D07EA" w:rsidRDefault="00BE7C89">
            <w:pPr>
              <w:pStyle w:val="BodyText"/>
              <w:spacing w:before="100" w:after="100"/>
              <w:rPr>
                <w:b/>
                <w:sz w:val="24"/>
                <w:lang w:val="en-AU" w:eastAsia="en-AU"/>
              </w:rPr>
            </w:pPr>
            <w:r>
              <w:rPr>
                <w:b/>
              </w:rPr>
              <w:t>Default</w:t>
            </w:r>
          </w:p>
        </w:tc>
        <w:tc>
          <w:tcPr>
            <w:tcW w:w="1687" w:type="dxa"/>
          </w:tcPr>
          <w:p w14:paraId="68D6CC90" w14:textId="77777777" w:rsidR="000D07EA" w:rsidRDefault="00BE7C89">
            <w:pPr>
              <w:pStyle w:val="BodyText"/>
              <w:spacing w:before="100" w:after="100"/>
              <w:jc w:val="center"/>
              <w:rPr>
                <w:sz w:val="24"/>
                <w:lang w:val="en-AU" w:eastAsia="en-AU"/>
              </w:rPr>
            </w:pPr>
            <w:r>
              <w:t xml:space="preserve">No monthly access fee. </w:t>
            </w:r>
            <w:r>
              <w:rPr>
                <w:i/>
              </w:rPr>
              <w:t xml:space="preserve">You </w:t>
            </w:r>
            <w:r>
              <w:t>will be charged at 1.5c/Kb up to 5 MB</w:t>
            </w:r>
          </w:p>
        </w:tc>
        <w:tc>
          <w:tcPr>
            <w:tcW w:w="1688" w:type="dxa"/>
          </w:tcPr>
          <w:p w14:paraId="1372A79A" w14:textId="77777777" w:rsidR="000D07EA" w:rsidRDefault="00BE7C89">
            <w:pPr>
              <w:pStyle w:val="BodyText"/>
              <w:spacing w:before="100" w:after="100"/>
              <w:jc w:val="center"/>
              <w:rPr>
                <w:sz w:val="24"/>
                <w:lang w:val="en-AU" w:eastAsia="en-AU"/>
              </w:rPr>
            </w:pPr>
            <w:r>
              <w:t>n/a</w:t>
            </w:r>
          </w:p>
        </w:tc>
        <w:tc>
          <w:tcPr>
            <w:tcW w:w="1687" w:type="dxa"/>
          </w:tcPr>
          <w:p w14:paraId="30947904" w14:textId="77777777" w:rsidR="000D07EA" w:rsidRDefault="00BE7C89">
            <w:pPr>
              <w:pStyle w:val="BodyText"/>
              <w:spacing w:before="100" w:after="100"/>
              <w:jc w:val="center"/>
              <w:rPr>
                <w:sz w:val="24"/>
                <w:lang w:val="en-AU" w:eastAsia="en-AU"/>
              </w:rPr>
            </w:pPr>
            <w:r>
              <w:t>0.3c</w:t>
            </w:r>
          </w:p>
        </w:tc>
        <w:tc>
          <w:tcPr>
            <w:tcW w:w="1688" w:type="dxa"/>
          </w:tcPr>
          <w:p w14:paraId="4AF35F86" w14:textId="77777777" w:rsidR="000D07EA" w:rsidRDefault="00BE7C89">
            <w:pPr>
              <w:pStyle w:val="BodyText"/>
              <w:spacing w:before="100" w:after="100"/>
              <w:jc w:val="center"/>
              <w:rPr>
                <w:sz w:val="24"/>
                <w:lang w:val="en-AU" w:eastAsia="en-AU"/>
              </w:rPr>
            </w:pPr>
            <w:r>
              <w:t>No</w:t>
            </w:r>
          </w:p>
        </w:tc>
      </w:tr>
      <w:tr w:rsidR="000D07EA" w14:paraId="53FC8C35" w14:textId="77777777">
        <w:tc>
          <w:tcPr>
            <w:tcW w:w="2070" w:type="dxa"/>
            <w:hideMark/>
          </w:tcPr>
          <w:p w14:paraId="43B7698E" w14:textId="77777777" w:rsidR="000D07EA" w:rsidRDefault="00BE7C89">
            <w:pPr>
              <w:pStyle w:val="BodyText"/>
              <w:spacing w:before="100" w:after="100"/>
              <w:rPr>
                <w:b/>
                <w:sz w:val="24"/>
                <w:lang w:val="en-AU" w:eastAsia="en-AU"/>
              </w:rPr>
            </w:pPr>
            <w:r>
              <w:rPr>
                <w:b/>
              </w:rPr>
              <w:t>25MB</w:t>
            </w:r>
          </w:p>
        </w:tc>
        <w:tc>
          <w:tcPr>
            <w:tcW w:w="1687" w:type="dxa"/>
          </w:tcPr>
          <w:p w14:paraId="6E593557" w14:textId="77777777" w:rsidR="000D07EA" w:rsidRDefault="00BE7C89">
            <w:pPr>
              <w:pStyle w:val="BodyText"/>
              <w:spacing w:before="100" w:after="100"/>
              <w:jc w:val="center"/>
              <w:rPr>
                <w:sz w:val="24"/>
                <w:lang w:val="en-AU" w:eastAsia="en-AU"/>
              </w:rPr>
            </w:pPr>
            <w:r>
              <w:t>$10</w:t>
            </w:r>
          </w:p>
        </w:tc>
        <w:tc>
          <w:tcPr>
            <w:tcW w:w="1688" w:type="dxa"/>
            <w:hideMark/>
          </w:tcPr>
          <w:p w14:paraId="6F6032C1" w14:textId="77777777" w:rsidR="000D07EA" w:rsidRDefault="00BE7C89">
            <w:pPr>
              <w:pStyle w:val="BodyText"/>
              <w:spacing w:before="100" w:after="100"/>
              <w:jc w:val="center"/>
              <w:rPr>
                <w:sz w:val="24"/>
                <w:lang w:val="en-AU" w:eastAsia="en-AU"/>
              </w:rPr>
            </w:pPr>
            <w:r>
              <w:t>25MB</w:t>
            </w:r>
          </w:p>
        </w:tc>
        <w:tc>
          <w:tcPr>
            <w:tcW w:w="1687" w:type="dxa"/>
            <w:hideMark/>
          </w:tcPr>
          <w:p w14:paraId="58880289" w14:textId="77777777" w:rsidR="000D07EA" w:rsidRDefault="00BE7C89">
            <w:pPr>
              <w:pStyle w:val="BodyText"/>
              <w:spacing w:before="100" w:after="100"/>
              <w:jc w:val="center"/>
              <w:rPr>
                <w:sz w:val="24"/>
                <w:lang w:val="en-AU" w:eastAsia="en-AU"/>
              </w:rPr>
            </w:pPr>
            <w:r>
              <w:t>0.3c</w:t>
            </w:r>
          </w:p>
        </w:tc>
        <w:tc>
          <w:tcPr>
            <w:tcW w:w="1688" w:type="dxa"/>
            <w:hideMark/>
          </w:tcPr>
          <w:p w14:paraId="74D61550" w14:textId="77777777" w:rsidR="000D07EA" w:rsidRDefault="00BE7C89">
            <w:pPr>
              <w:pStyle w:val="BodyText"/>
              <w:spacing w:before="100" w:after="100"/>
              <w:jc w:val="center"/>
              <w:rPr>
                <w:sz w:val="24"/>
                <w:lang w:val="en-AU" w:eastAsia="en-AU"/>
              </w:rPr>
            </w:pPr>
            <w:r>
              <w:t>Yes</w:t>
            </w:r>
          </w:p>
        </w:tc>
      </w:tr>
      <w:tr w:rsidR="000D07EA" w14:paraId="3BAD5D7A" w14:textId="77777777">
        <w:tc>
          <w:tcPr>
            <w:tcW w:w="2070" w:type="dxa"/>
            <w:hideMark/>
          </w:tcPr>
          <w:p w14:paraId="1A9BA7B2" w14:textId="77777777" w:rsidR="000D07EA" w:rsidRDefault="00BE7C89">
            <w:pPr>
              <w:pStyle w:val="BodyText"/>
              <w:spacing w:before="100" w:after="100"/>
              <w:rPr>
                <w:b/>
                <w:sz w:val="24"/>
                <w:lang w:val="en-AU" w:eastAsia="en-AU"/>
              </w:rPr>
            </w:pPr>
            <w:r>
              <w:rPr>
                <w:b/>
              </w:rPr>
              <w:t>75MB</w:t>
            </w:r>
          </w:p>
        </w:tc>
        <w:tc>
          <w:tcPr>
            <w:tcW w:w="1687" w:type="dxa"/>
          </w:tcPr>
          <w:p w14:paraId="607D145B" w14:textId="77777777" w:rsidR="000D07EA" w:rsidRDefault="00BE7C89">
            <w:pPr>
              <w:pStyle w:val="BodyText"/>
              <w:spacing w:before="100" w:after="100"/>
              <w:jc w:val="center"/>
              <w:rPr>
                <w:sz w:val="24"/>
                <w:lang w:val="en-AU" w:eastAsia="en-AU"/>
              </w:rPr>
            </w:pPr>
            <w:r>
              <w:t>$20</w:t>
            </w:r>
          </w:p>
        </w:tc>
        <w:tc>
          <w:tcPr>
            <w:tcW w:w="1688" w:type="dxa"/>
            <w:hideMark/>
          </w:tcPr>
          <w:p w14:paraId="3982C5D8" w14:textId="77777777" w:rsidR="000D07EA" w:rsidRDefault="00BE7C89">
            <w:pPr>
              <w:pStyle w:val="BodyText"/>
              <w:spacing w:before="100" w:after="100"/>
              <w:jc w:val="center"/>
              <w:rPr>
                <w:sz w:val="24"/>
                <w:lang w:val="en-AU" w:eastAsia="en-AU"/>
              </w:rPr>
            </w:pPr>
            <w:r>
              <w:t>75MB</w:t>
            </w:r>
          </w:p>
        </w:tc>
        <w:tc>
          <w:tcPr>
            <w:tcW w:w="1687" w:type="dxa"/>
            <w:hideMark/>
          </w:tcPr>
          <w:p w14:paraId="68ECC0B0" w14:textId="77777777" w:rsidR="000D07EA" w:rsidRDefault="00BE7C89">
            <w:pPr>
              <w:pStyle w:val="BodyText"/>
              <w:spacing w:before="100" w:after="100"/>
              <w:jc w:val="center"/>
              <w:rPr>
                <w:sz w:val="24"/>
                <w:lang w:val="en-AU" w:eastAsia="en-AU"/>
              </w:rPr>
            </w:pPr>
            <w:r>
              <w:t>0.3c</w:t>
            </w:r>
          </w:p>
        </w:tc>
        <w:tc>
          <w:tcPr>
            <w:tcW w:w="1688" w:type="dxa"/>
            <w:hideMark/>
          </w:tcPr>
          <w:p w14:paraId="5DA91C3E" w14:textId="77777777" w:rsidR="000D07EA" w:rsidRDefault="00BE7C89">
            <w:pPr>
              <w:pStyle w:val="BodyText"/>
              <w:spacing w:before="100" w:after="100"/>
              <w:jc w:val="center"/>
              <w:rPr>
                <w:sz w:val="24"/>
                <w:lang w:val="en-AU" w:eastAsia="en-AU"/>
              </w:rPr>
            </w:pPr>
            <w:r>
              <w:t>Yes</w:t>
            </w:r>
          </w:p>
        </w:tc>
      </w:tr>
      <w:tr w:rsidR="000D07EA" w14:paraId="508BCC5B" w14:textId="77777777">
        <w:tc>
          <w:tcPr>
            <w:tcW w:w="2070" w:type="dxa"/>
            <w:hideMark/>
          </w:tcPr>
          <w:p w14:paraId="04E7DAD4" w14:textId="77777777" w:rsidR="000D07EA" w:rsidRDefault="00BE7C89">
            <w:pPr>
              <w:pStyle w:val="BodyText"/>
              <w:spacing w:before="100" w:after="100"/>
              <w:rPr>
                <w:b/>
                <w:sz w:val="24"/>
                <w:lang w:val="en-AU" w:eastAsia="en-AU"/>
              </w:rPr>
            </w:pPr>
            <w:r>
              <w:rPr>
                <w:b/>
              </w:rPr>
              <w:t>150MB</w:t>
            </w:r>
          </w:p>
        </w:tc>
        <w:tc>
          <w:tcPr>
            <w:tcW w:w="1687" w:type="dxa"/>
            <w:hideMark/>
          </w:tcPr>
          <w:p w14:paraId="4DC2B1C2" w14:textId="77777777" w:rsidR="000D07EA" w:rsidRDefault="00BE7C89">
            <w:pPr>
              <w:pStyle w:val="BodyText"/>
              <w:spacing w:before="100" w:after="100"/>
              <w:jc w:val="center"/>
              <w:rPr>
                <w:sz w:val="24"/>
                <w:lang w:val="en-AU" w:eastAsia="en-AU"/>
              </w:rPr>
            </w:pPr>
            <w:r>
              <w:t>$30</w:t>
            </w:r>
          </w:p>
        </w:tc>
        <w:tc>
          <w:tcPr>
            <w:tcW w:w="1688" w:type="dxa"/>
            <w:hideMark/>
          </w:tcPr>
          <w:p w14:paraId="412A48E7" w14:textId="77777777" w:rsidR="000D07EA" w:rsidRDefault="00BE7C89">
            <w:pPr>
              <w:pStyle w:val="BodyText"/>
              <w:spacing w:before="100" w:after="100"/>
              <w:jc w:val="center"/>
              <w:rPr>
                <w:sz w:val="24"/>
                <w:lang w:val="en-AU" w:eastAsia="en-AU"/>
              </w:rPr>
            </w:pPr>
            <w:r>
              <w:t>150MB</w:t>
            </w:r>
          </w:p>
        </w:tc>
        <w:tc>
          <w:tcPr>
            <w:tcW w:w="1687" w:type="dxa"/>
            <w:hideMark/>
          </w:tcPr>
          <w:p w14:paraId="0E3B8F34" w14:textId="77777777" w:rsidR="000D07EA" w:rsidRDefault="00BE7C89">
            <w:pPr>
              <w:pStyle w:val="BodyText"/>
              <w:spacing w:before="100" w:after="100"/>
              <w:jc w:val="center"/>
              <w:rPr>
                <w:sz w:val="24"/>
                <w:lang w:val="en-AU" w:eastAsia="en-AU"/>
              </w:rPr>
            </w:pPr>
            <w:r>
              <w:t>0.3c</w:t>
            </w:r>
          </w:p>
        </w:tc>
        <w:tc>
          <w:tcPr>
            <w:tcW w:w="1688" w:type="dxa"/>
            <w:hideMark/>
          </w:tcPr>
          <w:p w14:paraId="1DF163BB" w14:textId="77777777" w:rsidR="000D07EA" w:rsidRDefault="00BE7C89">
            <w:pPr>
              <w:pStyle w:val="BodyText"/>
              <w:spacing w:before="100" w:after="100"/>
              <w:jc w:val="center"/>
              <w:rPr>
                <w:sz w:val="24"/>
                <w:lang w:val="en-AU" w:eastAsia="en-AU"/>
              </w:rPr>
            </w:pPr>
            <w:r>
              <w:t>Yes</w:t>
            </w:r>
          </w:p>
        </w:tc>
      </w:tr>
    </w:tbl>
    <w:p w14:paraId="1E2BAD95" w14:textId="77777777" w:rsidR="000D07EA" w:rsidRDefault="00BE7C89">
      <w:pPr>
        <w:pStyle w:val="Heading6"/>
        <w:spacing w:before="240"/>
        <w:ind w:left="0" w:firstLine="0"/>
        <w:rPr>
          <w:b/>
          <w:lang w:val="en-AU"/>
        </w:rPr>
      </w:pPr>
      <w:bookmarkStart w:id="224" w:name="_Toc397941058"/>
      <w:bookmarkStart w:id="225" w:name="_Toc219870454"/>
      <w:r>
        <w:t xml:space="preserve">What happens if the </w:t>
      </w:r>
      <w:r>
        <w:rPr>
          <w:i/>
        </w:rPr>
        <w:t xml:space="preserve">service </w:t>
      </w:r>
      <w:r>
        <w:t>is</w:t>
      </w:r>
      <w:r>
        <w:rPr>
          <w:i/>
        </w:rPr>
        <w:t xml:space="preserve"> cancelled </w:t>
      </w:r>
      <w:r>
        <w:t>early?</w:t>
      </w:r>
      <w:bookmarkEnd w:id="224"/>
      <w:bookmarkEnd w:id="225"/>
    </w:p>
    <w:p w14:paraId="0CAEDD89" w14:textId="77777777" w:rsidR="000D07EA" w:rsidRDefault="00BE7C89">
      <w:pPr>
        <w:pStyle w:val="Heading7"/>
      </w:pPr>
      <w:r>
        <w:t xml:space="preserve">If </w:t>
      </w:r>
      <w:r>
        <w:rPr>
          <w:i/>
        </w:rPr>
        <w:t>the service</w:t>
      </w:r>
      <w:r>
        <w:t xml:space="preserve"> </w:t>
      </w:r>
      <w:r>
        <w:rPr>
          <w:i/>
        </w:rPr>
        <w:t xml:space="preserve">is cancelled </w:t>
      </w:r>
      <w:r>
        <w:t xml:space="preserve">before the expiry of the </w:t>
      </w:r>
      <w:r>
        <w:rPr>
          <w:i/>
        </w:rPr>
        <w:t xml:space="preserve">minimum term, you </w:t>
      </w:r>
      <w:r>
        <w:t xml:space="preserve">will be required to pay </w:t>
      </w:r>
      <w:r>
        <w:rPr>
          <w:i/>
        </w:rPr>
        <w:t>us</w:t>
      </w:r>
      <w:r>
        <w:t>:</w:t>
      </w:r>
    </w:p>
    <w:p w14:paraId="2B759149" w14:textId="77777777" w:rsidR="000D07EA" w:rsidRDefault="00BE7C89">
      <w:pPr>
        <w:pStyle w:val="Heading8"/>
      </w:pPr>
      <w:r>
        <w:t xml:space="preserve">any usage charges incurred up to, and including, the </w:t>
      </w:r>
      <w:r>
        <w:rPr>
          <w:i/>
        </w:rPr>
        <w:t xml:space="preserve">cancellation date; </w:t>
      </w:r>
      <w:r>
        <w:t>plus</w:t>
      </w:r>
    </w:p>
    <w:p w14:paraId="5853600E" w14:textId="77777777" w:rsidR="000D07EA" w:rsidRDefault="00BE7C89">
      <w:pPr>
        <w:pStyle w:val="Heading8"/>
      </w:pPr>
      <w:r>
        <w:t xml:space="preserve">the </w:t>
      </w:r>
      <w:r>
        <w:rPr>
          <w:i/>
        </w:rPr>
        <w:t xml:space="preserve">cancellation fee </w:t>
      </w:r>
      <w:r>
        <w:t xml:space="preserve">set out in the table below (unless under clause 2A of the </w:t>
      </w:r>
      <w:hyperlink r:id="rId129" w:history="1">
        <w:r>
          <w:rPr>
            <w:rStyle w:val="Hyperlink"/>
            <w:rFonts w:eastAsia="MS Gothic"/>
            <w:i/>
          </w:rPr>
          <w:t>SMB terms</w:t>
        </w:r>
      </w:hyperlink>
      <w:r>
        <w:rPr>
          <w:i/>
        </w:rPr>
        <w:t xml:space="preserve">, you </w:t>
      </w:r>
      <w:r>
        <w:t xml:space="preserve">are entitled to </w:t>
      </w:r>
      <w:r>
        <w:rPr>
          <w:i/>
        </w:rPr>
        <w:t xml:space="preserve">cancel the service </w:t>
      </w:r>
      <w:r>
        <w:t xml:space="preserve">without incurring a </w:t>
      </w:r>
      <w:r>
        <w:rPr>
          <w:i/>
        </w:rPr>
        <w:t>cancellation fee)</w:t>
      </w:r>
      <w:r>
        <w:t>; plus</w:t>
      </w:r>
    </w:p>
    <w:p w14:paraId="1198DE51" w14:textId="77777777" w:rsidR="000D07EA" w:rsidRDefault="00BE7C89">
      <w:pPr>
        <w:pStyle w:val="Heading8"/>
      </w:pPr>
      <w:r>
        <w:t xml:space="preserve">the sum of unpaid </w:t>
      </w:r>
      <w:r>
        <w:rPr>
          <w:i/>
        </w:rPr>
        <w:t xml:space="preserve">equipment charges </w:t>
      </w:r>
      <w:r>
        <w:t xml:space="preserve">owing on </w:t>
      </w:r>
      <w:r>
        <w:rPr>
          <w:i/>
        </w:rPr>
        <w:t xml:space="preserve">your mobile phone </w:t>
      </w:r>
      <w:r>
        <w:t xml:space="preserve">under the </w:t>
      </w:r>
      <w:r>
        <w:rPr>
          <w:i/>
        </w:rPr>
        <w:t xml:space="preserve">mobile equipment payment plan </w:t>
      </w:r>
      <w:r>
        <w:t xml:space="preserve">(if any). </w:t>
      </w:r>
    </w:p>
    <w:p w14:paraId="30958C1D" w14:textId="77777777" w:rsidR="000D07EA" w:rsidRDefault="00BE7C89">
      <w:pPr>
        <w:pStyle w:val="Heading7"/>
      </w:pPr>
      <w:r>
        <w:t xml:space="preserve">The </w:t>
      </w:r>
      <w:r>
        <w:rPr>
          <w:i/>
        </w:rPr>
        <w:t xml:space="preserve">cancellation fee </w:t>
      </w:r>
      <w:r>
        <w:t xml:space="preserve">payable under paragraph </w:t>
      </w:r>
      <w:r w:rsidR="00390D08" w:rsidRPr="00272628">
        <w:t>80</w:t>
      </w:r>
      <w:r w:rsidRPr="00272628">
        <w:t>.5(a) (if any</w:t>
      </w:r>
      <w:r>
        <w:t xml:space="preserve">) is calculated as follows: </w:t>
      </w:r>
    </w:p>
    <w:p w14:paraId="742D0155" w14:textId="77777777" w:rsidR="000D07EA" w:rsidRDefault="00BE7C89">
      <w:pPr>
        <w:pStyle w:val="BodyText"/>
        <w:ind w:left="1440"/>
      </w:pPr>
      <w:r>
        <w:t xml:space="preserve">If </w:t>
      </w:r>
      <w:r>
        <w:rPr>
          <w:i/>
        </w:rPr>
        <w:t xml:space="preserve">you </w:t>
      </w:r>
      <w:r>
        <w:t xml:space="preserve">are on a 24 month </w:t>
      </w:r>
      <w:r>
        <w:rPr>
          <w:i/>
        </w:rPr>
        <w:t>pricing plan:</w:t>
      </w:r>
    </w:p>
    <w:tbl>
      <w:tblPr>
        <w:tblW w:w="8705" w:type="dxa"/>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880"/>
        <w:gridCol w:w="1941"/>
        <w:gridCol w:w="1942"/>
        <w:gridCol w:w="1942"/>
      </w:tblGrid>
      <w:tr w:rsidR="000D07EA" w14:paraId="5FA893EB" w14:textId="77777777">
        <w:trPr>
          <w:tblHeader/>
        </w:trPr>
        <w:tc>
          <w:tcPr>
            <w:tcW w:w="2880" w:type="dxa"/>
            <w:tcBorders>
              <w:top w:val="single" w:sz="4" w:space="0" w:color="auto"/>
              <w:left w:val="single" w:sz="4" w:space="0" w:color="auto"/>
              <w:bottom w:val="single" w:sz="4" w:space="0" w:color="auto"/>
              <w:right w:val="single" w:sz="4" w:space="0" w:color="auto"/>
            </w:tcBorders>
            <w:hideMark/>
          </w:tcPr>
          <w:p w14:paraId="7D99210C" w14:textId="77777777" w:rsidR="000D07EA" w:rsidRDefault="00BE7C89">
            <w:pPr>
              <w:pStyle w:val="BodyText"/>
              <w:spacing w:before="100" w:after="100"/>
              <w:rPr>
                <w:b/>
              </w:rPr>
            </w:pPr>
            <w:r>
              <w:rPr>
                <w:b/>
              </w:rPr>
              <w:t xml:space="preserve">When the </w:t>
            </w:r>
            <w:r>
              <w:rPr>
                <w:b/>
                <w:i/>
              </w:rPr>
              <w:t>service is cancelled</w:t>
            </w:r>
          </w:p>
        </w:tc>
        <w:tc>
          <w:tcPr>
            <w:tcW w:w="1941" w:type="dxa"/>
            <w:tcBorders>
              <w:top w:val="single" w:sz="4" w:space="0" w:color="auto"/>
              <w:left w:val="single" w:sz="4" w:space="0" w:color="auto"/>
              <w:bottom w:val="single" w:sz="4" w:space="0" w:color="auto"/>
              <w:right w:val="single" w:sz="4" w:space="0" w:color="auto"/>
            </w:tcBorders>
            <w:hideMark/>
          </w:tcPr>
          <w:p w14:paraId="7695BD45" w14:textId="77777777" w:rsidR="000D07EA" w:rsidRDefault="00BE7C89">
            <w:pPr>
              <w:pStyle w:val="BodyText"/>
              <w:spacing w:before="100" w:after="100"/>
              <w:jc w:val="center"/>
              <w:rPr>
                <w:b/>
              </w:rPr>
            </w:pPr>
            <w:r>
              <w:rPr>
                <w:b/>
              </w:rPr>
              <w:t>'yes' Business Share Mobile Cap 45 Plan</w:t>
            </w:r>
          </w:p>
        </w:tc>
        <w:tc>
          <w:tcPr>
            <w:tcW w:w="1942" w:type="dxa"/>
            <w:tcBorders>
              <w:top w:val="single" w:sz="4" w:space="0" w:color="auto"/>
              <w:left w:val="single" w:sz="4" w:space="0" w:color="auto"/>
              <w:bottom w:val="single" w:sz="4" w:space="0" w:color="auto"/>
              <w:right w:val="single" w:sz="4" w:space="0" w:color="auto"/>
            </w:tcBorders>
            <w:hideMark/>
          </w:tcPr>
          <w:p w14:paraId="698B0044" w14:textId="77777777" w:rsidR="000D07EA" w:rsidRDefault="00BE7C89">
            <w:pPr>
              <w:pStyle w:val="BodyText"/>
              <w:spacing w:before="100" w:after="100"/>
              <w:jc w:val="center"/>
              <w:rPr>
                <w:b/>
              </w:rPr>
            </w:pPr>
            <w:r>
              <w:rPr>
                <w:b/>
              </w:rPr>
              <w:t>'yes' Business Share Mobile Cap 65 Plan</w:t>
            </w:r>
          </w:p>
        </w:tc>
        <w:tc>
          <w:tcPr>
            <w:tcW w:w="1942" w:type="dxa"/>
            <w:tcBorders>
              <w:top w:val="single" w:sz="4" w:space="0" w:color="auto"/>
              <w:left w:val="single" w:sz="4" w:space="0" w:color="auto"/>
              <w:bottom w:val="single" w:sz="4" w:space="0" w:color="auto"/>
              <w:right w:val="single" w:sz="4" w:space="0" w:color="auto"/>
            </w:tcBorders>
            <w:hideMark/>
          </w:tcPr>
          <w:p w14:paraId="149628D1" w14:textId="77777777" w:rsidR="000D07EA" w:rsidRDefault="00BE7C89">
            <w:pPr>
              <w:pStyle w:val="BodyText"/>
              <w:spacing w:before="100" w:after="100"/>
              <w:jc w:val="center"/>
              <w:rPr>
                <w:b/>
              </w:rPr>
            </w:pPr>
            <w:r>
              <w:rPr>
                <w:b/>
              </w:rPr>
              <w:t>'yes' Business Share Mobile Cap 85 Plan</w:t>
            </w:r>
          </w:p>
        </w:tc>
      </w:tr>
      <w:tr w:rsidR="000D07EA" w14:paraId="12013E39" w14:textId="77777777">
        <w:tc>
          <w:tcPr>
            <w:tcW w:w="2880" w:type="dxa"/>
            <w:tcBorders>
              <w:top w:val="single" w:sz="4" w:space="0" w:color="auto"/>
              <w:left w:val="single" w:sz="4" w:space="0" w:color="auto"/>
              <w:bottom w:val="single" w:sz="4" w:space="0" w:color="auto"/>
              <w:right w:val="single" w:sz="4" w:space="0" w:color="auto"/>
            </w:tcBorders>
            <w:hideMark/>
          </w:tcPr>
          <w:p w14:paraId="613F8ED6" w14:textId="77777777" w:rsidR="000D07EA" w:rsidRDefault="00BE7C89">
            <w:pPr>
              <w:pStyle w:val="BodyText"/>
              <w:spacing w:before="100" w:after="100"/>
            </w:pPr>
            <w:r>
              <w:t xml:space="preserve">During the first 12 months - Initial </w:t>
            </w:r>
            <w:r>
              <w:rPr>
                <w:i/>
              </w:rPr>
              <w:t>cancellation fee</w:t>
            </w:r>
          </w:p>
        </w:tc>
        <w:tc>
          <w:tcPr>
            <w:tcW w:w="1941" w:type="dxa"/>
            <w:tcBorders>
              <w:top w:val="single" w:sz="4" w:space="0" w:color="auto"/>
              <w:left w:val="single" w:sz="4" w:space="0" w:color="auto"/>
              <w:bottom w:val="single" w:sz="4" w:space="0" w:color="auto"/>
              <w:right w:val="single" w:sz="4" w:space="0" w:color="auto"/>
            </w:tcBorders>
            <w:hideMark/>
          </w:tcPr>
          <w:p w14:paraId="5E579A3B" w14:textId="77777777" w:rsidR="000D07EA" w:rsidRDefault="00BE7C89">
            <w:pPr>
              <w:pStyle w:val="BodyText"/>
              <w:spacing w:before="100" w:after="100"/>
            </w:pPr>
            <w:r>
              <w:t>$350 ($385)</w:t>
            </w:r>
          </w:p>
        </w:tc>
        <w:tc>
          <w:tcPr>
            <w:tcW w:w="1942" w:type="dxa"/>
            <w:tcBorders>
              <w:top w:val="single" w:sz="4" w:space="0" w:color="auto"/>
              <w:left w:val="single" w:sz="4" w:space="0" w:color="auto"/>
              <w:bottom w:val="single" w:sz="4" w:space="0" w:color="auto"/>
              <w:right w:val="single" w:sz="4" w:space="0" w:color="auto"/>
            </w:tcBorders>
            <w:hideMark/>
          </w:tcPr>
          <w:p w14:paraId="61C4B840" w14:textId="77777777" w:rsidR="000D07EA" w:rsidRDefault="00BE7C89">
            <w:pPr>
              <w:pStyle w:val="BodyText"/>
              <w:spacing w:before="100" w:after="100"/>
            </w:pPr>
            <w:r>
              <w:t>$409.09 ($450)</w:t>
            </w:r>
          </w:p>
        </w:tc>
        <w:tc>
          <w:tcPr>
            <w:tcW w:w="1942" w:type="dxa"/>
            <w:tcBorders>
              <w:top w:val="single" w:sz="4" w:space="0" w:color="auto"/>
              <w:left w:val="single" w:sz="4" w:space="0" w:color="auto"/>
              <w:bottom w:val="single" w:sz="4" w:space="0" w:color="auto"/>
              <w:right w:val="single" w:sz="4" w:space="0" w:color="auto"/>
            </w:tcBorders>
            <w:hideMark/>
          </w:tcPr>
          <w:p w14:paraId="52DD61E4" w14:textId="77777777" w:rsidR="000D07EA" w:rsidRDefault="00BE7C89">
            <w:pPr>
              <w:pStyle w:val="BodyText"/>
              <w:spacing w:before="100" w:after="100"/>
            </w:pPr>
            <w:r>
              <w:t>$454.54 ($500)</w:t>
            </w:r>
          </w:p>
        </w:tc>
      </w:tr>
      <w:tr w:rsidR="000D07EA" w14:paraId="7F9F0E5B" w14:textId="77777777">
        <w:tc>
          <w:tcPr>
            <w:tcW w:w="2880" w:type="dxa"/>
            <w:tcBorders>
              <w:top w:val="single" w:sz="4" w:space="0" w:color="auto"/>
              <w:left w:val="single" w:sz="4" w:space="0" w:color="auto"/>
              <w:bottom w:val="single" w:sz="4" w:space="0" w:color="auto"/>
              <w:right w:val="single" w:sz="4" w:space="0" w:color="auto"/>
            </w:tcBorders>
            <w:hideMark/>
          </w:tcPr>
          <w:p w14:paraId="54BCD4BE" w14:textId="77777777" w:rsidR="000D07EA" w:rsidRDefault="00BE7C89">
            <w:pPr>
              <w:pStyle w:val="BodyText"/>
              <w:spacing w:before="100" w:after="100"/>
            </w:pPr>
            <w:r>
              <w:t xml:space="preserve">Months 13 – 15 (80% of Initial </w:t>
            </w:r>
            <w:r>
              <w:rPr>
                <w:i/>
              </w:rPr>
              <w:t>cancellation fee</w:t>
            </w:r>
            <w:r>
              <w:t>)</w:t>
            </w:r>
          </w:p>
        </w:tc>
        <w:tc>
          <w:tcPr>
            <w:tcW w:w="1941" w:type="dxa"/>
            <w:tcBorders>
              <w:top w:val="single" w:sz="4" w:space="0" w:color="auto"/>
              <w:left w:val="single" w:sz="4" w:space="0" w:color="auto"/>
              <w:bottom w:val="single" w:sz="4" w:space="0" w:color="auto"/>
              <w:right w:val="single" w:sz="4" w:space="0" w:color="auto"/>
            </w:tcBorders>
            <w:hideMark/>
          </w:tcPr>
          <w:p w14:paraId="6B3A542A" w14:textId="77777777" w:rsidR="000D07EA" w:rsidRDefault="00BE7C89">
            <w:pPr>
              <w:pStyle w:val="BodyText"/>
              <w:spacing w:before="100" w:after="100"/>
            </w:pPr>
            <w:r>
              <w:t>$280 ($308)</w:t>
            </w:r>
          </w:p>
        </w:tc>
        <w:tc>
          <w:tcPr>
            <w:tcW w:w="1942" w:type="dxa"/>
            <w:tcBorders>
              <w:top w:val="single" w:sz="4" w:space="0" w:color="auto"/>
              <w:left w:val="single" w:sz="4" w:space="0" w:color="auto"/>
              <w:bottom w:val="single" w:sz="4" w:space="0" w:color="auto"/>
              <w:right w:val="single" w:sz="4" w:space="0" w:color="auto"/>
            </w:tcBorders>
            <w:hideMark/>
          </w:tcPr>
          <w:p w14:paraId="37BBB29D" w14:textId="77777777" w:rsidR="000D07EA" w:rsidRDefault="00BE7C89">
            <w:pPr>
              <w:pStyle w:val="BodyText"/>
              <w:spacing w:before="100" w:after="100"/>
            </w:pPr>
            <w:r>
              <w:t>$327.27 ($360)</w:t>
            </w:r>
          </w:p>
        </w:tc>
        <w:tc>
          <w:tcPr>
            <w:tcW w:w="1942" w:type="dxa"/>
            <w:tcBorders>
              <w:top w:val="single" w:sz="4" w:space="0" w:color="auto"/>
              <w:left w:val="single" w:sz="4" w:space="0" w:color="auto"/>
              <w:bottom w:val="single" w:sz="4" w:space="0" w:color="auto"/>
              <w:right w:val="single" w:sz="4" w:space="0" w:color="auto"/>
            </w:tcBorders>
            <w:hideMark/>
          </w:tcPr>
          <w:p w14:paraId="36C0057B" w14:textId="77777777" w:rsidR="000D07EA" w:rsidRDefault="00BE7C89">
            <w:pPr>
              <w:pStyle w:val="BodyText"/>
              <w:spacing w:before="100" w:after="100"/>
            </w:pPr>
            <w:r>
              <w:t>$363.63 ($400)</w:t>
            </w:r>
          </w:p>
        </w:tc>
      </w:tr>
      <w:tr w:rsidR="000D07EA" w14:paraId="19405D35" w14:textId="77777777">
        <w:tc>
          <w:tcPr>
            <w:tcW w:w="2880" w:type="dxa"/>
            <w:tcBorders>
              <w:top w:val="single" w:sz="4" w:space="0" w:color="auto"/>
              <w:left w:val="single" w:sz="4" w:space="0" w:color="auto"/>
              <w:bottom w:val="single" w:sz="4" w:space="0" w:color="auto"/>
              <w:right w:val="single" w:sz="4" w:space="0" w:color="auto"/>
            </w:tcBorders>
            <w:hideMark/>
          </w:tcPr>
          <w:p w14:paraId="13F6AEA0" w14:textId="77777777" w:rsidR="000D07EA" w:rsidRDefault="00BE7C89">
            <w:pPr>
              <w:pStyle w:val="BodyText"/>
              <w:spacing w:before="100" w:after="100"/>
            </w:pPr>
            <w:r>
              <w:t xml:space="preserve">Months 16 – 18 (60% of the Initial </w:t>
            </w:r>
            <w:r>
              <w:rPr>
                <w:i/>
              </w:rPr>
              <w:t>cancellation fee</w:t>
            </w:r>
            <w:r>
              <w:t>)</w:t>
            </w:r>
          </w:p>
        </w:tc>
        <w:tc>
          <w:tcPr>
            <w:tcW w:w="1941" w:type="dxa"/>
            <w:tcBorders>
              <w:top w:val="single" w:sz="4" w:space="0" w:color="auto"/>
              <w:left w:val="single" w:sz="4" w:space="0" w:color="auto"/>
              <w:bottom w:val="single" w:sz="4" w:space="0" w:color="auto"/>
              <w:right w:val="single" w:sz="4" w:space="0" w:color="auto"/>
            </w:tcBorders>
            <w:hideMark/>
          </w:tcPr>
          <w:p w14:paraId="7995E373" w14:textId="77777777" w:rsidR="000D07EA" w:rsidRDefault="00BE7C89">
            <w:pPr>
              <w:pStyle w:val="BodyText"/>
              <w:spacing w:before="100" w:after="100"/>
            </w:pPr>
            <w:r>
              <w:t>$210 ($231)</w:t>
            </w:r>
          </w:p>
        </w:tc>
        <w:tc>
          <w:tcPr>
            <w:tcW w:w="1942" w:type="dxa"/>
            <w:tcBorders>
              <w:top w:val="single" w:sz="4" w:space="0" w:color="auto"/>
              <w:left w:val="single" w:sz="4" w:space="0" w:color="auto"/>
              <w:bottom w:val="single" w:sz="4" w:space="0" w:color="auto"/>
              <w:right w:val="single" w:sz="4" w:space="0" w:color="auto"/>
            </w:tcBorders>
            <w:hideMark/>
          </w:tcPr>
          <w:p w14:paraId="06439CE1" w14:textId="77777777" w:rsidR="000D07EA" w:rsidRDefault="00BE7C89">
            <w:pPr>
              <w:pStyle w:val="BodyText"/>
              <w:spacing w:before="100" w:after="100"/>
            </w:pPr>
            <w:r>
              <w:t>$245.45 ($270)</w:t>
            </w:r>
          </w:p>
        </w:tc>
        <w:tc>
          <w:tcPr>
            <w:tcW w:w="1942" w:type="dxa"/>
            <w:tcBorders>
              <w:top w:val="single" w:sz="4" w:space="0" w:color="auto"/>
              <w:left w:val="single" w:sz="4" w:space="0" w:color="auto"/>
              <w:bottom w:val="single" w:sz="4" w:space="0" w:color="auto"/>
              <w:right w:val="single" w:sz="4" w:space="0" w:color="auto"/>
            </w:tcBorders>
            <w:hideMark/>
          </w:tcPr>
          <w:p w14:paraId="6AE61F01" w14:textId="77777777" w:rsidR="000D07EA" w:rsidRDefault="00BE7C89">
            <w:pPr>
              <w:pStyle w:val="BodyText"/>
              <w:spacing w:before="100" w:after="100"/>
            </w:pPr>
            <w:r>
              <w:t>$272.72 ($300)</w:t>
            </w:r>
          </w:p>
        </w:tc>
      </w:tr>
      <w:tr w:rsidR="000D07EA" w14:paraId="006ABB6C" w14:textId="77777777">
        <w:tc>
          <w:tcPr>
            <w:tcW w:w="2880" w:type="dxa"/>
            <w:tcBorders>
              <w:top w:val="single" w:sz="4" w:space="0" w:color="auto"/>
              <w:left w:val="single" w:sz="4" w:space="0" w:color="auto"/>
              <w:bottom w:val="single" w:sz="4" w:space="0" w:color="auto"/>
              <w:right w:val="single" w:sz="4" w:space="0" w:color="auto"/>
            </w:tcBorders>
            <w:hideMark/>
          </w:tcPr>
          <w:p w14:paraId="554466D6" w14:textId="77777777" w:rsidR="000D07EA" w:rsidRDefault="00BE7C89">
            <w:pPr>
              <w:pStyle w:val="BodyText"/>
              <w:spacing w:before="100" w:after="100"/>
            </w:pPr>
            <w:r>
              <w:t xml:space="preserve">Months 19 – 21 (40% of the Initial </w:t>
            </w:r>
            <w:r>
              <w:rPr>
                <w:i/>
              </w:rPr>
              <w:t>cancellation fee</w:t>
            </w:r>
            <w:r>
              <w:t>)</w:t>
            </w:r>
          </w:p>
        </w:tc>
        <w:tc>
          <w:tcPr>
            <w:tcW w:w="1941" w:type="dxa"/>
            <w:tcBorders>
              <w:top w:val="single" w:sz="4" w:space="0" w:color="auto"/>
              <w:left w:val="single" w:sz="4" w:space="0" w:color="auto"/>
              <w:bottom w:val="single" w:sz="4" w:space="0" w:color="auto"/>
              <w:right w:val="single" w:sz="4" w:space="0" w:color="auto"/>
            </w:tcBorders>
            <w:hideMark/>
          </w:tcPr>
          <w:p w14:paraId="3C29FC81" w14:textId="77777777" w:rsidR="000D07EA" w:rsidRDefault="00BE7C89">
            <w:pPr>
              <w:pStyle w:val="BodyText"/>
              <w:spacing w:before="100" w:after="100"/>
            </w:pPr>
            <w:r>
              <w:t>$140 ($154)</w:t>
            </w:r>
          </w:p>
        </w:tc>
        <w:tc>
          <w:tcPr>
            <w:tcW w:w="1942" w:type="dxa"/>
            <w:tcBorders>
              <w:top w:val="single" w:sz="4" w:space="0" w:color="auto"/>
              <w:left w:val="single" w:sz="4" w:space="0" w:color="auto"/>
              <w:bottom w:val="single" w:sz="4" w:space="0" w:color="auto"/>
              <w:right w:val="single" w:sz="4" w:space="0" w:color="auto"/>
            </w:tcBorders>
            <w:hideMark/>
          </w:tcPr>
          <w:p w14:paraId="31C8B5C2" w14:textId="77777777" w:rsidR="000D07EA" w:rsidRDefault="00BE7C89">
            <w:pPr>
              <w:pStyle w:val="BodyText"/>
              <w:spacing w:before="100" w:after="100"/>
            </w:pPr>
            <w:r>
              <w:t>$163.64 ($180)</w:t>
            </w:r>
          </w:p>
        </w:tc>
        <w:tc>
          <w:tcPr>
            <w:tcW w:w="1942" w:type="dxa"/>
            <w:tcBorders>
              <w:top w:val="single" w:sz="4" w:space="0" w:color="auto"/>
              <w:left w:val="single" w:sz="4" w:space="0" w:color="auto"/>
              <w:bottom w:val="single" w:sz="4" w:space="0" w:color="auto"/>
              <w:right w:val="single" w:sz="4" w:space="0" w:color="auto"/>
            </w:tcBorders>
            <w:hideMark/>
          </w:tcPr>
          <w:p w14:paraId="7BF1A598" w14:textId="77777777" w:rsidR="000D07EA" w:rsidRDefault="00BE7C89">
            <w:pPr>
              <w:pStyle w:val="BodyText"/>
              <w:spacing w:before="100" w:after="100"/>
            </w:pPr>
            <w:r>
              <w:t>$181.82 ($200)</w:t>
            </w:r>
          </w:p>
        </w:tc>
      </w:tr>
      <w:tr w:rsidR="000D07EA" w14:paraId="5AD53AC4" w14:textId="77777777">
        <w:tc>
          <w:tcPr>
            <w:tcW w:w="2880" w:type="dxa"/>
            <w:tcBorders>
              <w:top w:val="single" w:sz="4" w:space="0" w:color="auto"/>
              <w:left w:val="single" w:sz="4" w:space="0" w:color="auto"/>
              <w:bottom w:val="single" w:sz="4" w:space="0" w:color="auto"/>
              <w:right w:val="single" w:sz="4" w:space="0" w:color="auto"/>
            </w:tcBorders>
            <w:hideMark/>
          </w:tcPr>
          <w:p w14:paraId="19A4D3D0" w14:textId="77777777" w:rsidR="000D07EA" w:rsidRDefault="00BE7C89">
            <w:pPr>
              <w:pStyle w:val="BodyText"/>
              <w:spacing w:before="100" w:after="100"/>
            </w:pPr>
            <w:r>
              <w:lastRenderedPageBreak/>
              <w:t xml:space="preserve">Months 22 – 24 (20% of the Initial </w:t>
            </w:r>
            <w:r>
              <w:rPr>
                <w:i/>
              </w:rPr>
              <w:t>cancellation fee</w:t>
            </w:r>
            <w:r>
              <w:t>)</w:t>
            </w:r>
          </w:p>
        </w:tc>
        <w:tc>
          <w:tcPr>
            <w:tcW w:w="1941" w:type="dxa"/>
            <w:tcBorders>
              <w:top w:val="single" w:sz="4" w:space="0" w:color="auto"/>
              <w:left w:val="single" w:sz="4" w:space="0" w:color="auto"/>
              <w:bottom w:val="single" w:sz="4" w:space="0" w:color="auto"/>
              <w:right w:val="single" w:sz="4" w:space="0" w:color="auto"/>
            </w:tcBorders>
            <w:hideMark/>
          </w:tcPr>
          <w:p w14:paraId="635E812B" w14:textId="77777777" w:rsidR="000D07EA" w:rsidRDefault="00BE7C89">
            <w:pPr>
              <w:pStyle w:val="BodyText"/>
              <w:spacing w:before="100" w:after="100"/>
            </w:pPr>
            <w:r>
              <w:t>$70 ($77)</w:t>
            </w:r>
          </w:p>
        </w:tc>
        <w:tc>
          <w:tcPr>
            <w:tcW w:w="1942" w:type="dxa"/>
            <w:tcBorders>
              <w:top w:val="single" w:sz="4" w:space="0" w:color="auto"/>
              <w:left w:val="single" w:sz="4" w:space="0" w:color="auto"/>
              <w:bottom w:val="single" w:sz="4" w:space="0" w:color="auto"/>
              <w:right w:val="single" w:sz="4" w:space="0" w:color="auto"/>
            </w:tcBorders>
            <w:hideMark/>
          </w:tcPr>
          <w:p w14:paraId="3B8E3337" w14:textId="77777777" w:rsidR="000D07EA" w:rsidRDefault="00BE7C89">
            <w:pPr>
              <w:pStyle w:val="BodyText"/>
              <w:spacing w:before="100" w:after="100"/>
            </w:pPr>
            <w:r>
              <w:t>$81.82  ($90)</w:t>
            </w:r>
          </w:p>
        </w:tc>
        <w:tc>
          <w:tcPr>
            <w:tcW w:w="1942" w:type="dxa"/>
            <w:tcBorders>
              <w:top w:val="single" w:sz="4" w:space="0" w:color="auto"/>
              <w:left w:val="single" w:sz="4" w:space="0" w:color="auto"/>
              <w:bottom w:val="single" w:sz="4" w:space="0" w:color="auto"/>
              <w:right w:val="single" w:sz="4" w:space="0" w:color="auto"/>
            </w:tcBorders>
            <w:hideMark/>
          </w:tcPr>
          <w:p w14:paraId="594F8604" w14:textId="77777777" w:rsidR="000D07EA" w:rsidRDefault="00BE7C89">
            <w:pPr>
              <w:pStyle w:val="BodyText"/>
              <w:spacing w:before="100" w:after="100"/>
            </w:pPr>
            <w:r>
              <w:t>$90.91 ($100)</w:t>
            </w:r>
          </w:p>
        </w:tc>
      </w:tr>
    </w:tbl>
    <w:p w14:paraId="413C5FF3" w14:textId="77777777" w:rsidR="000D07EA" w:rsidRDefault="000D07EA">
      <w:pPr>
        <w:pStyle w:val="BodyText"/>
        <w:ind w:left="1440"/>
      </w:pPr>
    </w:p>
    <w:p w14:paraId="4439B296" w14:textId="77777777" w:rsidR="000D07EA" w:rsidRDefault="00BE7C89">
      <w:pPr>
        <w:pStyle w:val="BodyText"/>
        <w:ind w:left="1440"/>
        <w:rPr>
          <w:lang w:val="en-AU"/>
        </w:rPr>
      </w:pPr>
      <w:r>
        <w:t xml:space="preserve">If </w:t>
      </w:r>
      <w:r>
        <w:rPr>
          <w:i/>
        </w:rPr>
        <w:t xml:space="preserve">you </w:t>
      </w:r>
      <w:r>
        <w:t xml:space="preserve">are on a 12 month </w:t>
      </w:r>
      <w:r>
        <w:rPr>
          <w:i/>
        </w:rPr>
        <w:t>pricing plan:</w:t>
      </w:r>
      <w:r>
        <w:t>:</w:t>
      </w:r>
    </w:p>
    <w:tbl>
      <w:tblPr>
        <w:tblW w:w="8730" w:type="dxa"/>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950"/>
        <w:gridCol w:w="1950"/>
        <w:gridCol w:w="1950"/>
      </w:tblGrid>
      <w:tr w:rsidR="000D07EA" w14:paraId="5A4A214D" w14:textId="77777777">
        <w:tc>
          <w:tcPr>
            <w:tcW w:w="2880" w:type="dxa"/>
            <w:tcBorders>
              <w:top w:val="single" w:sz="4" w:space="0" w:color="auto"/>
              <w:left w:val="single" w:sz="4" w:space="0" w:color="auto"/>
              <w:bottom w:val="single" w:sz="4" w:space="0" w:color="auto"/>
              <w:right w:val="single" w:sz="4" w:space="0" w:color="auto"/>
            </w:tcBorders>
            <w:hideMark/>
          </w:tcPr>
          <w:p w14:paraId="7484FF01" w14:textId="77777777" w:rsidR="000D07EA" w:rsidRDefault="00BE7C89">
            <w:pPr>
              <w:pStyle w:val="BodyText"/>
              <w:spacing w:before="100" w:after="100"/>
              <w:rPr>
                <w:b/>
              </w:rPr>
            </w:pPr>
            <w:r>
              <w:rPr>
                <w:b/>
              </w:rPr>
              <w:t xml:space="preserve">When the </w:t>
            </w:r>
            <w:r>
              <w:rPr>
                <w:b/>
                <w:i/>
              </w:rPr>
              <w:t>service is cancelled</w:t>
            </w:r>
          </w:p>
        </w:tc>
        <w:tc>
          <w:tcPr>
            <w:tcW w:w="1950" w:type="dxa"/>
            <w:tcBorders>
              <w:top w:val="single" w:sz="4" w:space="0" w:color="auto"/>
              <w:left w:val="single" w:sz="4" w:space="0" w:color="auto"/>
              <w:bottom w:val="single" w:sz="4" w:space="0" w:color="auto"/>
              <w:right w:val="single" w:sz="4" w:space="0" w:color="auto"/>
            </w:tcBorders>
            <w:hideMark/>
          </w:tcPr>
          <w:p w14:paraId="2D37B363" w14:textId="77777777" w:rsidR="000D07EA" w:rsidRDefault="00BE7C89">
            <w:pPr>
              <w:pStyle w:val="BodyText"/>
              <w:spacing w:before="100" w:after="100"/>
              <w:rPr>
                <w:b/>
                <w:sz w:val="22"/>
                <w:lang w:val="en-AU"/>
              </w:rPr>
            </w:pPr>
            <w:r>
              <w:rPr>
                <w:b/>
              </w:rPr>
              <w:t>'yes' Business Share Mobile Cap 45 Plan</w:t>
            </w:r>
          </w:p>
        </w:tc>
        <w:tc>
          <w:tcPr>
            <w:tcW w:w="1950" w:type="dxa"/>
            <w:tcBorders>
              <w:top w:val="single" w:sz="4" w:space="0" w:color="auto"/>
              <w:left w:val="single" w:sz="4" w:space="0" w:color="auto"/>
              <w:bottom w:val="single" w:sz="4" w:space="0" w:color="auto"/>
              <w:right w:val="single" w:sz="4" w:space="0" w:color="auto"/>
            </w:tcBorders>
            <w:hideMark/>
          </w:tcPr>
          <w:p w14:paraId="4CE9B7B4" w14:textId="77777777" w:rsidR="000D07EA" w:rsidRDefault="00BE7C89">
            <w:pPr>
              <w:pStyle w:val="BodyText"/>
              <w:spacing w:before="100" w:after="100"/>
              <w:rPr>
                <w:b/>
                <w:sz w:val="22"/>
                <w:lang w:val="en-AU"/>
              </w:rPr>
            </w:pPr>
            <w:r>
              <w:rPr>
                <w:b/>
              </w:rPr>
              <w:t>'yes' Business Share Mobile Cap 65 Plan</w:t>
            </w:r>
          </w:p>
        </w:tc>
        <w:tc>
          <w:tcPr>
            <w:tcW w:w="1950" w:type="dxa"/>
            <w:tcBorders>
              <w:top w:val="single" w:sz="4" w:space="0" w:color="auto"/>
              <w:left w:val="single" w:sz="4" w:space="0" w:color="auto"/>
              <w:bottom w:val="single" w:sz="4" w:space="0" w:color="auto"/>
              <w:right w:val="single" w:sz="4" w:space="0" w:color="auto"/>
            </w:tcBorders>
            <w:hideMark/>
          </w:tcPr>
          <w:p w14:paraId="3D394CF5" w14:textId="77777777" w:rsidR="000D07EA" w:rsidRDefault="00BE7C89">
            <w:pPr>
              <w:pStyle w:val="BodyText"/>
              <w:spacing w:before="100" w:after="100"/>
              <w:rPr>
                <w:b/>
                <w:sz w:val="22"/>
                <w:lang w:val="en-AU"/>
              </w:rPr>
            </w:pPr>
            <w:r>
              <w:rPr>
                <w:b/>
              </w:rPr>
              <w:t>'yes' Business Share Mobile Cap 85 Plan</w:t>
            </w:r>
          </w:p>
        </w:tc>
      </w:tr>
      <w:tr w:rsidR="000D07EA" w14:paraId="3241D962" w14:textId="77777777">
        <w:tc>
          <w:tcPr>
            <w:tcW w:w="2880" w:type="dxa"/>
            <w:tcBorders>
              <w:top w:val="single" w:sz="4" w:space="0" w:color="auto"/>
              <w:left w:val="single" w:sz="4" w:space="0" w:color="auto"/>
              <w:bottom w:val="single" w:sz="4" w:space="0" w:color="auto"/>
              <w:right w:val="single" w:sz="4" w:space="0" w:color="auto"/>
            </w:tcBorders>
            <w:hideMark/>
          </w:tcPr>
          <w:p w14:paraId="68EC800E" w14:textId="77777777" w:rsidR="000D07EA" w:rsidRDefault="00BE7C89">
            <w:pPr>
              <w:pStyle w:val="BodyText"/>
              <w:spacing w:before="100" w:after="100"/>
            </w:pPr>
            <w:r>
              <w:t xml:space="preserve">During the first 6 months - Initial </w:t>
            </w:r>
            <w:r>
              <w:rPr>
                <w:i/>
              </w:rPr>
              <w:t>cancellation fee</w:t>
            </w:r>
          </w:p>
        </w:tc>
        <w:tc>
          <w:tcPr>
            <w:tcW w:w="1950" w:type="dxa"/>
            <w:tcBorders>
              <w:top w:val="single" w:sz="4" w:space="0" w:color="auto"/>
              <w:left w:val="single" w:sz="4" w:space="0" w:color="auto"/>
              <w:bottom w:val="single" w:sz="4" w:space="0" w:color="auto"/>
              <w:right w:val="single" w:sz="4" w:space="0" w:color="auto"/>
            </w:tcBorders>
            <w:hideMark/>
          </w:tcPr>
          <w:p w14:paraId="53F9874E" w14:textId="77777777" w:rsidR="000D07EA" w:rsidRDefault="00BE7C89">
            <w:pPr>
              <w:pStyle w:val="BodyText"/>
              <w:spacing w:before="100" w:after="100"/>
              <w:rPr>
                <w:lang w:val="en-AU"/>
              </w:rPr>
            </w:pPr>
            <w:r>
              <w:t>$227.27 ($250)</w:t>
            </w:r>
          </w:p>
        </w:tc>
        <w:tc>
          <w:tcPr>
            <w:tcW w:w="1950" w:type="dxa"/>
            <w:tcBorders>
              <w:top w:val="single" w:sz="4" w:space="0" w:color="auto"/>
              <w:left w:val="single" w:sz="4" w:space="0" w:color="auto"/>
              <w:bottom w:val="single" w:sz="4" w:space="0" w:color="auto"/>
              <w:right w:val="single" w:sz="4" w:space="0" w:color="auto"/>
            </w:tcBorders>
            <w:hideMark/>
          </w:tcPr>
          <w:p w14:paraId="26C89C98" w14:textId="77777777" w:rsidR="000D07EA" w:rsidRDefault="00BE7C89">
            <w:pPr>
              <w:pStyle w:val="BodyText"/>
              <w:spacing w:before="100" w:after="100"/>
              <w:rPr>
                <w:lang w:val="en-AU"/>
              </w:rPr>
            </w:pPr>
            <w:r>
              <w:t>$240.90 ($265)</w:t>
            </w:r>
          </w:p>
        </w:tc>
        <w:tc>
          <w:tcPr>
            <w:tcW w:w="1950" w:type="dxa"/>
            <w:tcBorders>
              <w:top w:val="single" w:sz="4" w:space="0" w:color="auto"/>
              <w:left w:val="single" w:sz="4" w:space="0" w:color="auto"/>
              <w:bottom w:val="single" w:sz="4" w:space="0" w:color="auto"/>
              <w:right w:val="single" w:sz="4" w:space="0" w:color="auto"/>
            </w:tcBorders>
            <w:hideMark/>
          </w:tcPr>
          <w:p w14:paraId="792C4437" w14:textId="77777777" w:rsidR="000D07EA" w:rsidRDefault="00BE7C89">
            <w:pPr>
              <w:pStyle w:val="BodyText"/>
              <w:spacing w:before="100" w:after="100"/>
              <w:rPr>
                <w:lang w:val="en-AU"/>
              </w:rPr>
            </w:pPr>
            <w:r>
              <w:t>$254.54 ($280)</w:t>
            </w:r>
          </w:p>
        </w:tc>
      </w:tr>
      <w:tr w:rsidR="000D07EA" w14:paraId="40FD437D" w14:textId="77777777">
        <w:tc>
          <w:tcPr>
            <w:tcW w:w="2880" w:type="dxa"/>
            <w:tcBorders>
              <w:top w:val="single" w:sz="4" w:space="0" w:color="auto"/>
              <w:left w:val="single" w:sz="4" w:space="0" w:color="auto"/>
              <w:bottom w:val="single" w:sz="4" w:space="0" w:color="auto"/>
              <w:right w:val="single" w:sz="4" w:space="0" w:color="auto"/>
            </w:tcBorders>
            <w:hideMark/>
          </w:tcPr>
          <w:p w14:paraId="233D518E" w14:textId="77777777" w:rsidR="000D07EA" w:rsidRDefault="00BE7C89">
            <w:pPr>
              <w:pStyle w:val="BodyText"/>
              <w:spacing w:before="100" w:after="100"/>
              <w:rPr>
                <w:lang w:val="en-AU"/>
              </w:rPr>
            </w:pPr>
            <w:r>
              <w:t xml:space="preserve">Months 7 - 9 (70% of Initial </w:t>
            </w:r>
            <w:r>
              <w:rPr>
                <w:i/>
              </w:rPr>
              <w:t>cancellation fee</w:t>
            </w:r>
            <w:r>
              <w:t>)</w:t>
            </w:r>
          </w:p>
        </w:tc>
        <w:tc>
          <w:tcPr>
            <w:tcW w:w="1950" w:type="dxa"/>
            <w:tcBorders>
              <w:top w:val="single" w:sz="4" w:space="0" w:color="auto"/>
              <w:left w:val="single" w:sz="4" w:space="0" w:color="auto"/>
              <w:bottom w:val="single" w:sz="4" w:space="0" w:color="auto"/>
              <w:right w:val="single" w:sz="4" w:space="0" w:color="auto"/>
            </w:tcBorders>
            <w:hideMark/>
          </w:tcPr>
          <w:p w14:paraId="026E7CF9" w14:textId="77777777" w:rsidR="000D07EA" w:rsidRDefault="00BE7C89">
            <w:pPr>
              <w:pStyle w:val="BodyText"/>
              <w:spacing w:before="100" w:after="100"/>
              <w:rPr>
                <w:lang w:val="en-AU"/>
              </w:rPr>
            </w:pPr>
            <w:r>
              <w:t>$159.09 ($175)</w:t>
            </w:r>
          </w:p>
        </w:tc>
        <w:tc>
          <w:tcPr>
            <w:tcW w:w="1950" w:type="dxa"/>
            <w:tcBorders>
              <w:top w:val="single" w:sz="4" w:space="0" w:color="auto"/>
              <w:left w:val="single" w:sz="4" w:space="0" w:color="auto"/>
              <w:bottom w:val="single" w:sz="4" w:space="0" w:color="auto"/>
              <w:right w:val="single" w:sz="4" w:space="0" w:color="auto"/>
            </w:tcBorders>
            <w:hideMark/>
          </w:tcPr>
          <w:p w14:paraId="63BCFB67" w14:textId="77777777" w:rsidR="000D07EA" w:rsidRDefault="00BE7C89">
            <w:pPr>
              <w:pStyle w:val="BodyText"/>
              <w:spacing w:before="100" w:after="100"/>
              <w:rPr>
                <w:lang w:val="en-AU"/>
              </w:rPr>
            </w:pPr>
            <w:r>
              <w:t>$168.63 ($185.49)</w:t>
            </w:r>
          </w:p>
        </w:tc>
        <w:tc>
          <w:tcPr>
            <w:tcW w:w="1950" w:type="dxa"/>
            <w:tcBorders>
              <w:top w:val="single" w:sz="4" w:space="0" w:color="auto"/>
              <w:left w:val="single" w:sz="4" w:space="0" w:color="auto"/>
              <w:bottom w:val="single" w:sz="4" w:space="0" w:color="auto"/>
              <w:right w:val="single" w:sz="4" w:space="0" w:color="auto"/>
            </w:tcBorders>
            <w:hideMark/>
          </w:tcPr>
          <w:p w14:paraId="640578EF" w14:textId="77777777" w:rsidR="000D07EA" w:rsidRDefault="00BE7C89">
            <w:pPr>
              <w:pStyle w:val="BodyText"/>
              <w:spacing w:before="100" w:after="100"/>
              <w:rPr>
                <w:lang w:val="en-AU"/>
              </w:rPr>
            </w:pPr>
            <w:r>
              <w:t>$178.18 ($196)</w:t>
            </w:r>
          </w:p>
        </w:tc>
      </w:tr>
      <w:tr w:rsidR="000D07EA" w14:paraId="1AB8645C" w14:textId="77777777">
        <w:tc>
          <w:tcPr>
            <w:tcW w:w="2880" w:type="dxa"/>
            <w:tcBorders>
              <w:top w:val="single" w:sz="4" w:space="0" w:color="auto"/>
              <w:left w:val="single" w:sz="4" w:space="0" w:color="auto"/>
              <w:bottom w:val="single" w:sz="4" w:space="0" w:color="auto"/>
              <w:right w:val="single" w:sz="4" w:space="0" w:color="auto"/>
            </w:tcBorders>
            <w:hideMark/>
          </w:tcPr>
          <w:p w14:paraId="4F12E402" w14:textId="77777777" w:rsidR="000D07EA" w:rsidRDefault="00BE7C89">
            <w:pPr>
              <w:pStyle w:val="BodyText"/>
              <w:spacing w:before="100" w:after="100"/>
            </w:pPr>
            <w:r>
              <w:t xml:space="preserve">Months 10 – 12 (40% of the Initial </w:t>
            </w:r>
            <w:r>
              <w:rPr>
                <w:i/>
              </w:rPr>
              <w:t>cancellation fee</w:t>
            </w:r>
            <w:r>
              <w:t>)</w:t>
            </w:r>
          </w:p>
        </w:tc>
        <w:tc>
          <w:tcPr>
            <w:tcW w:w="1950" w:type="dxa"/>
            <w:tcBorders>
              <w:top w:val="single" w:sz="4" w:space="0" w:color="auto"/>
              <w:left w:val="single" w:sz="4" w:space="0" w:color="auto"/>
              <w:bottom w:val="single" w:sz="4" w:space="0" w:color="auto"/>
              <w:right w:val="single" w:sz="4" w:space="0" w:color="auto"/>
            </w:tcBorders>
            <w:hideMark/>
          </w:tcPr>
          <w:p w14:paraId="22C1F326" w14:textId="77777777" w:rsidR="000D07EA" w:rsidRDefault="00BE7C89">
            <w:pPr>
              <w:pStyle w:val="BodyText"/>
              <w:spacing w:before="100" w:after="100"/>
              <w:rPr>
                <w:lang w:val="en-AU"/>
              </w:rPr>
            </w:pPr>
            <w:r>
              <w:t>$90.91 ($100)</w:t>
            </w:r>
          </w:p>
        </w:tc>
        <w:tc>
          <w:tcPr>
            <w:tcW w:w="1950" w:type="dxa"/>
            <w:tcBorders>
              <w:top w:val="single" w:sz="4" w:space="0" w:color="auto"/>
              <w:left w:val="single" w:sz="4" w:space="0" w:color="auto"/>
              <w:bottom w:val="single" w:sz="4" w:space="0" w:color="auto"/>
              <w:right w:val="single" w:sz="4" w:space="0" w:color="auto"/>
            </w:tcBorders>
            <w:hideMark/>
          </w:tcPr>
          <w:p w14:paraId="0599CB28" w14:textId="77777777" w:rsidR="000D07EA" w:rsidRDefault="00BE7C89">
            <w:pPr>
              <w:pStyle w:val="BodyText"/>
              <w:spacing w:before="100" w:after="100"/>
              <w:rPr>
                <w:lang w:val="en-AU"/>
              </w:rPr>
            </w:pPr>
            <w:r>
              <w:t>$240.94 ($265.03)</w:t>
            </w:r>
          </w:p>
        </w:tc>
        <w:tc>
          <w:tcPr>
            <w:tcW w:w="1950" w:type="dxa"/>
            <w:tcBorders>
              <w:top w:val="single" w:sz="4" w:space="0" w:color="auto"/>
              <w:left w:val="single" w:sz="4" w:space="0" w:color="auto"/>
              <w:bottom w:val="single" w:sz="4" w:space="0" w:color="auto"/>
              <w:right w:val="single" w:sz="4" w:space="0" w:color="auto"/>
            </w:tcBorders>
            <w:hideMark/>
          </w:tcPr>
          <w:p w14:paraId="7813628B" w14:textId="77777777" w:rsidR="000D07EA" w:rsidRDefault="00BE7C89">
            <w:pPr>
              <w:pStyle w:val="BodyText"/>
              <w:spacing w:before="100" w:after="100"/>
              <w:rPr>
                <w:lang w:val="en-AU"/>
              </w:rPr>
            </w:pPr>
            <w:r>
              <w:t>$101.92 ($112.10)</w:t>
            </w:r>
          </w:p>
        </w:tc>
      </w:tr>
    </w:tbl>
    <w:p w14:paraId="2EEEEC9F" w14:textId="77777777" w:rsidR="000D07EA" w:rsidRDefault="000D07EA">
      <w:pPr>
        <w:pStyle w:val="BodyText"/>
      </w:pPr>
      <w:bookmarkStart w:id="226" w:name="_Toc455147600"/>
      <w:bookmarkStart w:id="227" w:name="_Toc397941059"/>
      <w:bookmarkStart w:id="228" w:name="_Toc221442649"/>
    </w:p>
    <w:p w14:paraId="1EF86961" w14:textId="77777777" w:rsidR="000D07EA" w:rsidRDefault="00BE7C89">
      <w:pPr>
        <w:pStyle w:val="Heading4"/>
        <w:ind w:left="720" w:hanging="720"/>
        <w:rPr>
          <w:lang w:val="en-AU"/>
        </w:rPr>
      </w:pPr>
      <w:bookmarkStart w:id="229" w:name="_Toc62644622"/>
      <w:r>
        <w:t>Business Internet Cap Plans (59)</w:t>
      </w:r>
      <w:bookmarkEnd w:id="226"/>
      <w:bookmarkEnd w:id="227"/>
      <w:bookmarkEnd w:id="228"/>
      <w:bookmarkEnd w:id="229"/>
    </w:p>
    <w:p w14:paraId="3AEF6B01" w14:textId="77777777" w:rsidR="000D07EA" w:rsidRDefault="00BE7C89">
      <w:pPr>
        <w:pStyle w:val="Heading6"/>
        <w:ind w:left="0" w:firstLine="0"/>
      </w:pPr>
      <w:bookmarkStart w:id="230" w:name="_Toc397941060"/>
      <w:bookmarkStart w:id="231" w:name="_Toc221442650"/>
      <w:r>
        <w:t>Eligibility</w:t>
      </w:r>
      <w:bookmarkEnd w:id="230"/>
      <w:bookmarkEnd w:id="231"/>
    </w:p>
    <w:p w14:paraId="0DE8EB1F" w14:textId="77777777" w:rsidR="000D07EA" w:rsidRDefault="00BE7C89">
      <w:pPr>
        <w:pStyle w:val="Heading7"/>
      </w:pPr>
      <w:r>
        <w:t xml:space="preserve">The Business Internet Cap Plan </w:t>
      </w:r>
      <w:r>
        <w:rPr>
          <w:i/>
        </w:rPr>
        <w:t xml:space="preserve">pricing plans </w:t>
      </w:r>
      <w:r>
        <w:t xml:space="preserve">are available under special offers to customers </w:t>
      </w:r>
      <w:r>
        <w:rPr>
          <w:i/>
        </w:rPr>
        <w:t>we</w:t>
      </w:r>
      <w:r>
        <w:t xml:space="preserve"> classify as </w:t>
      </w:r>
      <w:r>
        <w:rPr>
          <w:i/>
        </w:rPr>
        <w:t>small or medium business</w:t>
      </w:r>
      <w:r>
        <w:t xml:space="preserve"> customers. </w:t>
      </w:r>
    </w:p>
    <w:p w14:paraId="3B90AB00" w14:textId="77777777" w:rsidR="000D07EA" w:rsidRDefault="00BE7C89">
      <w:pPr>
        <w:pStyle w:val="Heading7"/>
      </w:pPr>
      <w:r>
        <w:t xml:space="preserve">Customers ordering a </w:t>
      </w:r>
      <w:r>
        <w:rPr>
          <w:i/>
        </w:rPr>
        <w:t xml:space="preserve">mobile phone </w:t>
      </w:r>
      <w:r>
        <w:t xml:space="preserve">with an </w:t>
      </w:r>
      <w:r>
        <w:rPr>
          <w:i/>
        </w:rPr>
        <w:t>Optus SIM card</w:t>
      </w:r>
      <w:r>
        <w:t xml:space="preserve"> on the Business Internet Cap Plan </w:t>
      </w:r>
      <w:r>
        <w:rPr>
          <w:i/>
        </w:rPr>
        <w:t>pricing plan</w:t>
      </w:r>
      <w:r>
        <w:t xml:space="preserve"> must be connected to that </w:t>
      </w:r>
      <w:r>
        <w:rPr>
          <w:i/>
        </w:rPr>
        <w:t xml:space="preserve">pricing plan </w:t>
      </w:r>
      <w:r>
        <w:t>and activated within 14 days after delivery.</w:t>
      </w:r>
    </w:p>
    <w:p w14:paraId="37FCF551" w14:textId="77777777" w:rsidR="000D07EA" w:rsidRDefault="00BE7C89">
      <w:pPr>
        <w:pStyle w:val="Heading7"/>
      </w:pPr>
      <w:r>
        <w:t>The</w:t>
      </w:r>
      <w:r>
        <w:rPr>
          <w:bCs/>
        </w:rPr>
        <w:t xml:space="preserve"> Business Internet Cap Plans are only a</w:t>
      </w:r>
      <w:r>
        <w:rPr>
          <w:rStyle w:val="Emphasis"/>
          <w:i w:val="0"/>
        </w:rPr>
        <w:t xml:space="preserve">vailable to </w:t>
      </w:r>
      <w:r>
        <w:rPr>
          <w:rStyle w:val="Emphasis"/>
        </w:rPr>
        <w:t>you</w:t>
      </w:r>
      <w:r>
        <w:rPr>
          <w:rStyle w:val="Emphasis"/>
          <w:i w:val="0"/>
        </w:rPr>
        <w:t xml:space="preserve"> if </w:t>
      </w:r>
      <w:r>
        <w:rPr>
          <w:rStyle w:val="Emphasis"/>
        </w:rPr>
        <w:t xml:space="preserve">you </w:t>
      </w:r>
      <w:r>
        <w:rPr>
          <w:rStyle w:val="Emphasis"/>
          <w:i w:val="0"/>
        </w:rPr>
        <w:t xml:space="preserve">use an eligible handset which remains connected on this plan. If eligible handset is no longer used and connected on the Business Internet Cap Plan then Optus will transfer </w:t>
      </w:r>
      <w:r>
        <w:rPr>
          <w:rStyle w:val="Emphasis"/>
        </w:rPr>
        <w:t>your</w:t>
      </w:r>
      <w:r>
        <w:rPr>
          <w:rStyle w:val="Emphasis"/>
          <w:i w:val="0"/>
        </w:rPr>
        <w:t xml:space="preserve"> service to an equivalent non Business Internet Cap rate plan;</w:t>
      </w:r>
    </w:p>
    <w:p w14:paraId="7E5C07DA" w14:textId="77777777" w:rsidR="000D07EA" w:rsidRDefault="00BE7C89">
      <w:pPr>
        <w:pStyle w:val="Heading7"/>
      </w:pPr>
      <w:r>
        <w:rPr>
          <w:snapToGrid w:val="0"/>
        </w:rPr>
        <w:t xml:space="preserve">If </w:t>
      </w:r>
      <w:r>
        <w:rPr>
          <w:i/>
          <w:snapToGrid w:val="0"/>
        </w:rPr>
        <w:t xml:space="preserve">you </w:t>
      </w:r>
      <w:r>
        <w:rPr>
          <w:snapToGrid w:val="0"/>
        </w:rPr>
        <w:t xml:space="preserve">are an existing customer </w:t>
      </w:r>
      <w:r>
        <w:rPr>
          <w:i/>
          <w:snapToGrid w:val="0"/>
        </w:rPr>
        <w:t xml:space="preserve">you </w:t>
      </w:r>
      <w:r>
        <w:rPr>
          <w:snapToGrid w:val="0"/>
        </w:rPr>
        <w:t xml:space="preserve">may only transfer to the Business Internet Cap Plans with </w:t>
      </w:r>
      <w:r>
        <w:rPr>
          <w:i/>
          <w:snapToGrid w:val="0"/>
        </w:rPr>
        <w:t xml:space="preserve">our </w:t>
      </w:r>
      <w:r>
        <w:rPr>
          <w:snapToGrid w:val="0"/>
        </w:rPr>
        <w:t>approval</w:t>
      </w:r>
      <w:r>
        <w:rPr>
          <w:snapToGrid w:val="0"/>
          <w:sz w:val="16"/>
          <w:szCs w:val="16"/>
        </w:rPr>
        <w:t>.</w:t>
      </w:r>
    </w:p>
    <w:p w14:paraId="2BA637D3" w14:textId="77777777" w:rsidR="000D07EA" w:rsidRDefault="00BE7C89">
      <w:pPr>
        <w:pStyle w:val="Heading6"/>
        <w:ind w:left="0" w:firstLine="0"/>
        <w:rPr>
          <w:i/>
        </w:rPr>
      </w:pPr>
      <w:bookmarkStart w:id="232" w:name="_Toc397941061"/>
      <w:bookmarkStart w:id="233" w:name="_Toc221442651"/>
      <w:r>
        <w:rPr>
          <w:i/>
          <w:snapToGrid w:val="0"/>
        </w:rPr>
        <w:t>Minimum Term</w:t>
      </w:r>
      <w:bookmarkEnd w:id="232"/>
      <w:bookmarkEnd w:id="233"/>
    </w:p>
    <w:p w14:paraId="22B8566C" w14:textId="77777777" w:rsidR="000D07EA" w:rsidRDefault="00BE7C89">
      <w:pPr>
        <w:pStyle w:val="Heading7"/>
      </w:pPr>
      <w:r>
        <w:rPr>
          <w:i/>
        </w:rPr>
        <w:t>You</w:t>
      </w:r>
      <w:r>
        <w:t xml:space="preserve"> must agree to either a </w:t>
      </w:r>
      <w:r>
        <w:rPr>
          <w:i/>
        </w:rPr>
        <w:t>non-fixed length agreement</w:t>
      </w:r>
      <w:r>
        <w:t xml:space="preserve"> or a </w:t>
      </w:r>
      <w:r>
        <w:rPr>
          <w:i/>
        </w:rPr>
        <w:t>fixed length agreement</w:t>
      </w:r>
      <w:r>
        <w:t xml:space="preserve"> with a 12 month or 24 month </w:t>
      </w:r>
      <w:r>
        <w:rPr>
          <w:i/>
        </w:rPr>
        <w:t>minimum term</w:t>
      </w:r>
      <w:r>
        <w:t xml:space="preserve">. </w:t>
      </w:r>
    </w:p>
    <w:p w14:paraId="14D82CA0" w14:textId="77777777" w:rsidR="000D07EA" w:rsidRDefault="00BE7C89">
      <w:pPr>
        <w:pStyle w:val="Heading7"/>
      </w:pPr>
      <w:r>
        <w:rPr>
          <w:i/>
        </w:rPr>
        <w:t>You</w:t>
      </w:r>
      <w:r>
        <w:t xml:space="preserve"> may purchase an eligible handset with a 24 month </w:t>
      </w:r>
      <w:r>
        <w:rPr>
          <w:i/>
        </w:rPr>
        <w:t>equipment term</w:t>
      </w:r>
      <w:r>
        <w:t xml:space="preserve"> under a </w:t>
      </w:r>
      <w:r>
        <w:rPr>
          <w:i/>
        </w:rPr>
        <w:t>mobile equipment payment plan</w:t>
      </w:r>
      <w:r>
        <w:t xml:space="preserve"> on a 24 month </w:t>
      </w:r>
      <w:r>
        <w:rPr>
          <w:i/>
        </w:rPr>
        <w:t>fixed length agreement</w:t>
      </w:r>
      <w:r>
        <w:t xml:space="preserve">. If you agree to a 24 month </w:t>
      </w:r>
      <w:r>
        <w:rPr>
          <w:i/>
        </w:rPr>
        <w:t>fixed length agreement</w:t>
      </w:r>
      <w:r>
        <w:t xml:space="preserve"> the price of </w:t>
      </w:r>
      <w:r>
        <w:rPr>
          <w:i/>
        </w:rPr>
        <w:t>mobile phones</w:t>
      </w:r>
      <w:r>
        <w:t xml:space="preserve"> available is less than if </w:t>
      </w:r>
      <w:r>
        <w:rPr>
          <w:i/>
        </w:rPr>
        <w:t>you</w:t>
      </w:r>
      <w:r>
        <w:t xml:space="preserve"> only agree to a </w:t>
      </w:r>
      <w:r>
        <w:rPr>
          <w:i/>
        </w:rPr>
        <w:t>non-fixed length agreement</w:t>
      </w:r>
      <w:r>
        <w:t xml:space="preserve">. </w:t>
      </w:r>
    </w:p>
    <w:p w14:paraId="4434C33A" w14:textId="77777777" w:rsidR="000D07EA" w:rsidRDefault="00BE7C89">
      <w:pPr>
        <w:pStyle w:val="Heading7"/>
      </w:pPr>
      <w:r>
        <w:rPr>
          <w:i/>
        </w:rPr>
        <w:t>You</w:t>
      </w:r>
      <w:r>
        <w:t xml:space="preserve"> may purchase an eligible handset with a 12 month </w:t>
      </w:r>
      <w:r>
        <w:rPr>
          <w:i/>
        </w:rPr>
        <w:t>equipment term</w:t>
      </w:r>
      <w:r>
        <w:t xml:space="preserve"> under a </w:t>
      </w:r>
      <w:r>
        <w:rPr>
          <w:i/>
        </w:rPr>
        <w:t>mobile equipment payment plan</w:t>
      </w:r>
      <w:r>
        <w:t xml:space="preserve"> on a 12 month </w:t>
      </w:r>
      <w:r>
        <w:rPr>
          <w:i/>
        </w:rPr>
        <w:t>fixed length agreement</w:t>
      </w:r>
      <w:r>
        <w:t xml:space="preserve">. If you agree to a 12 month </w:t>
      </w:r>
      <w:r>
        <w:rPr>
          <w:i/>
        </w:rPr>
        <w:t>fixed length agreement</w:t>
      </w:r>
      <w:r>
        <w:t xml:space="preserve"> the price of </w:t>
      </w:r>
      <w:r>
        <w:rPr>
          <w:i/>
        </w:rPr>
        <w:t>mobile phones</w:t>
      </w:r>
      <w:r>
        <w:t xml:space="preserve"> available is less than if you only agree to a </w:t>
      </w:r>
      <w:r>
        <w:rPr>
          <w:i/>
        </w:rPr>
        <w:t>non-fixed length agreement</w:t>
      </w:r>
      <w:r>
        <w:t xml:space="preserve">. </w:t>
      </w:r>
    </w:p>
    <w:p w14:paraId="37325E63" w14:textId="77777777" w:rsidR="000D07EA" w:rsidRDefault="00BE7C89">
      <w:pPr>
        <w:pStyle w:val="Heading6"/>
        <w:ind w:left="0" w:firstLine="0"/>
      </w:pPr>
      <w:bookmarkStart w:id="234" w:name="_Toc397941062"/>
      <w:bookmarkStart w:id="235" w:name="_Toc221442652"/>
      <w:r>
        <w:t xml:space="preserve">What </w:t>
      </w:r>
      <w:r>
        <w:rPr>
          <w:i/>
        </w:rPr>
        <w:t>you</w:t>
      </w:r>
      <w:r>
        <w:t xml:space="preserve"> have to pay </w:t>
      </w:r>
      <w:r>
        <w:rPr>
          <w:i/>
        </w:rPr>
        <w:t>us</w:t>
      </w:r>
      <w:bookmarkEnd w:id="234"/>
      <w:bookmarkEnd w:id="235"/>
    </w:p>
    <w:p w14:paraId="225BDF66" w14:textId="77777777" w:rsidR="000D07EA" w:rsidRDefault="00BE7C89">
      <w:pPr>
        <w:pStyle w:val="Heading7"/>
      </w:pPr>
      <w:r>
        <w:lastRenderedPageBreak/>
        <w:t xml:space="preserve">If </w:t>
      </w:r>
      <w:r>
        <w:rPr>
          <w:i/>
        </w:rPr>
        <w:t xml:space="preserve">you </w:t>
      </w:r>
      <w:r>
        <w:t xml:space="preserve">connect to these </w:t>
      </w:r>
      <w:r>
        <w:rPr>
          <w:i/>
        </w:rPr>
        <w:t>pricing plans</w:t>
      </w:r>
      <w:r>
        <w:t xml:space="preserve"> </w:t>
      </w:r>
      <w:r>
        <w:rPr>
          <w:i/>
        </w:rPr>
        <w:t>you</w:t>
      </w:r>
      <w:r>
        <w:t xml:space="preserve"> are also required to incur usage charges each month (</w:t>
      </w:r>
      <w:r>
        <w:rPr>
          <w:i/>
        </w:rPr>
        <w:t xml:space="preserve">Optus SIM cards </w:t>
      </w:r>
      <w:r>
        <w:t xml:space="preserve">which do not incur usage are not permitted). </w:t>
      </w:r>
    </w:p>
    <w:p w14:paraId="399600F4" w14:textId="77777777" w:rsidR="000D07EA" w:rsidRDefault="00BE7C89">
      <w:pPr>
        <w:pStyle w:val="Heading7"/>
      </w:pPr>
      <w:r>
        <w:t xml:space="preserve">If activation or usage does not occur, </w:t>
      </w:r>
      <w:r>
        <w:rPr>
          <w:i/>
        </w:rPr>
        <w:t xml:space="preserve">we </w:t>
      </w:r>
      <w:r>
        <w:t xml:space="preserve">may </w:t>
      </w:r>
      <w:r>
        <w:rPr>
          <w:i/>
        </w:rPr>
        <w:t xml:space="preserve">cancel </w:t>
      </w:r>
      <w:r>
        <w:t xml:space="preserve">the </w:t>
      </w:r>
      <w:r>
        <w:rPr>
          <w:i/>
        </w:rPr>
        <w:t xml:space="preserve">agreement </w:t>
      </w:r>
      <w:r>
        <w:t xml:space="preserve">and </w:t>
      </w:r>
      <w:r>
        <w:rPr>
          <w:i/>
        </w:rPr>
        <w:t xml:space="preserve">you </w:t>
      </w:r>
      <w:r>
        <w:t xml:space="preserve">will be required to pay </w:t>
      </w:r>
      <w:r>
        <w:rPr>
          <w:i/>
        </w:rPr>
        <w:t>us</w:t>
      </w:r>
      <w:r>
        <w:t xml:space="preserve"> the relevant </w:t>
      </w:r>
      <w:r>
        <w:rPr>
          <w:i/>
        </w:rPr>
        <w:t>cancellation</w:t>
      </w:r>
      <w:r>
        <w:t xml:space="preserve"> </w:t>
      </w:r>
      <w:r>
        <w:rPr>
          <w:i/>
        </w:rPr>
        <w:t>fee</w:t>
      </w:r>
      <w:r>
        <w:t>, if applicable, specified in paragraph</w:t>
      </w:r>
      <w:r>
        <w:rPr>
          <w:color w:val="FF0000"/>
        </w:rPr>
        <w:t xml:space="preserve"> </w:t>
      </w:r>
      <w:r w:rsidR="00390D08" w:rsidRPr="00272628">
        <w:t>81</w:t>
      </w:r>
      <w:r w:rsidRPr="00272628">
        <w:t>.4 below</w:t>
      </w:r>
      <w:r>
        <w:t>.</w:t>
      </w:r>
    </w:p>
    <w:p w14:paraId="4AAF739F" w14:textId="77777777" w:rsidR="000D07EA" w:rsidRDefault="00BE7C89">
      <w:pPr>
        <w:pStyle w:val="Heading7"/>
      </w:pPr>
      <w:r>
        <w:t xml:space="preserve">Subject to paragraphs </w:t>
      </w:r>
      <w:r>
        <w:fldChar w:fldCharType="begin"/>
      </w:r>
      <w:r>
        <w:instrText xml:space="preserve"> REF _Ref461548254 \n \h </w:instrText>
      </w:r>
      <w:r>
        <w:fldChar w:fldCharType="separate"/>
      </w:r>
      <w:r w:rsidR="0004083A">
        <w:t>(e)</w:t>
      </w:r>
      <w:r>
        <w:fldChar w:fldCharType="end"/>
      </w:r>
      <w:r>
        <w:t xml:space="preserve">, </w:t>
      </w:r>
      <w:r>
        <w:fldChar w:fldCharType="begin"/>
      </w:r>
      <w:r>
        <w:instrText xml:space="preserve"> REF _Ref461548266 \n \h </w:instrText>
      </w:r>
      <w:r>
        <w:fldChar w:fldCharType="separate"/>
      </w:r>
      <w:r w:rsidR="0004083A">
        <w:t>(f)</w:t>
      </w:r>
      <w:r>
        <w:fldChar w:fldCharType="end"/>
      </w:r>
      <w:r>
        <w:t xml:space="preserve"> and </w:t>
      </w:r>
      <w:r>
        <w:fldChar w:fldCharType="begin"/>
      </w:r>
      <w:r>
        <w:instrText xml:space="preserve"> REF _Ref461548269 \n \h </w:instrText>
      </w:r>
      <w:r>
        <w:fldChar w:fldCharType="separate"/>
      </w:r>
      <w:r w:rsidR="0004083A">
        <w:t>(g)</w:t>
      </w:r>
      <w:r>
        <w:fldChar w:fldCharType="end"/>
      </w:r>
      <w:r>
        <w:t xml:space="preserve"> below </w:t>
      </w:r>
      <w:r>
        <w:rPr>
          <w:i/>
        </w:rPr>
        <w:t xml:space="preserve">you </w:t>
      </w:r>
      <w:r>
        <w:t xml:space="preserve">must pay </w:t>
      </w:r>
      <w:r>
        <w:rPr>
          <w:i/>
        </w:rPr>
        <w:t xml:space="preserve">us </w:t>
      </w:r>
      <w:r>
        <w:t xml:space="preserve">for use of the </w:t>
      </w:r>
      <w:r>
        <w:rPr>
          <w:i/>
        </w:rPr>
        <w:t xml:space="preserve">service </w:t>
      </w:r>
      <w:r>
        <w:t xml:space="preserve">at the rates set out in </w:t>
      </w:r>
      <w:hyperlink r:id="rId130" w:history="1">
        <w:r>
          <w:rPr>
            <w:rStyle w:val="Hyperlink"/>
            <w:rFonts w:eastAsia="MS Gothic"/>
          </w:rPr>
          <w:t>Section 1</w:t>
        </w:r>
      </w:hyperlink>
      <w:r>
        <w:t xml:space="preserve"> of this </w:t>
      </w:r>
      <w:r>
        <w:rPr>
          <w:i/>
        </w:rPr>
        <w:t xml:space="preserve">standard pricing table </w:t>
      </w:r>
      <w:r>
        <w:t xml:space="preserve">and for </w:t>
      </w:r>
      <w:r>
        <w:rPr>
          <w:i/>
        </w:rPr>
        <w:t xml:space="preserve">value added service features </w:t>
      </w:r>
      <w:r>
        <w:t xml:space="preserve">at the rates set out in </w:t>
      </w:r>
      <w:hyperlink r:id="rId131" w:history="1">
        <w:r>
          <w:rPr>
            <w:rStyle w:val="Hyperlink"/>
            <w:rFonts w:eastAsia="MS Gothic"/>
          </w:rPr>
          <w:t>Appendix Y</w:t>
        </w:r>
      </w:hyperlink>
      <w:r>
        <w:t xml:space="preserve"> Value Added Service Features</w:t>
      </w:r>
      <w:r>
        <w:rPr>
          <w:i/>
        </w:rPr>
        <w:t xml:space="preserve">. </w:t>
      </w:r>
    </w:p>
    <w:p w14:paraId="47F37294" w14:textId="77777777" w:rsidR="000D07EA" w:rsidRDefault="00BE7C89">
      <w:pPr>
        <w:pStyle w:val="Heading7"/>
        <w:rPr>
          <w:b/>
        </w:rPr>
      </w:pPr>
      <w:r>
        <w:t xml:space="preserve">If there is a </w:t>
      </w:r>
      <w:r>
        <w:rPr>
          <w:i/>
        </w:rPr>
        <w:t xml:space="preserve">flagfall </w:t>
      </w:r>
      <w:r>
        <w:t xml:space="preserve">or call connection charge for a particular call type, the charge for these calls is the </w:t>
      </w:r>
      <w:r>
        <w:rPr>
          <w:i/>
        </w:rPr>
        <w:t xml:space="preserve">flagfall </w:t>
      </w:r>
      <w:r>
        <w:t xml:space="preserve">charge plus the relevant rate for the call multiplied by the duration of the call. The </w:t>
      </w:r>
      <w:r>
        <w:rPr>
          <w:i/>
        </w:rPr>
        <w:t xml:space="preserve">flagfall </w:t>
      </w:r>
      <w:r>
        <w:t>is not applicable to calls made under the "SmartFleet" or "Business Time" call rates.</w:t>
      </w:r>
    </w:p>
    <w:p w14:paraId="617F6D1B" w14:textId="77777777" w:rsidR="000D07EA" w:rsidRDefault="00BE7C89">
      <w:pPr>
        <w:pStyle w:val="Heading7"/>
        <w:rPr>
          <w:b/>
        </w:rPr>
      </w:pPr>
      <w:bookmarkStart w:id="236" w:name="_Ref461548254"/>
      <w:r>
        <w:rPr>
          <w:b/>
        </w:rPr>
        <w:t>The Cap</w:t>
      </w:r>
      <w:bookmarkEnd w:id="236"/>
      <w:r>
        <w:rPr>
          <w:b/>
        </w:rPr>
        <w:t xml:space="preserve"> </w:t>
      </w:r>
    </w:p>
    <w:p w14:paraId="7089A0BD" w14:textId="77777777" w:rsidR="000D07EA" w:rsidRDefault="00BE7C89">
      <w:pPr>
        <w:pStyle w:val="Heading8"/>
      </w:pPr>
      <w:r>
        <w:t xml:space="preserve">Under the Business Internet Cap Plan, a cap applies when the value of </w:t>
      </w:r>
      <w:r>
        <w:rPr>
          <w:b/>
        </w:rPr>
        <w:t xml:space="preserve">eligible calls </w:t>
      </w:r>
      <w:r>
        <w:rPr>
          <w:i/>
        </w:rPr>
        <w:t xml:space="preserve">you </w:t>
      </w:r>
      <w:r>
        <w:t xml:space="preserve">make in a month reaches </w:t>
      </w:r>
      <w:r>
        <w:rPr>
          <w:i/>
        </w:rPr>
        <w:t xml:space="preserve">your pricing plan's </w:t>
      </w:r>
      <w:r>
        <w:rPr>
          <w:b/>
        </w:rPr>
        <w:t xml:space="preserve">cap start. </w:t>
      </w:r>
      <w:r>
        <w:t xml:space="preserve">Once </w:t>
      </w:r>
      <w:r>
        <w:rPr>
          <w:i/>
        </w:rPr>
        <w:t xml:space="preserve">your </w:t>
      </w:r>
      <w:r>
        <w:t xml:space="preserve">eligible call spend reaches the cap start, additional eligible calls made in that month are free until the value of </w:t>
      </w:r>
      <w:r>
        <w:rPr>
          <w:i/>
        </w:rPr>
        <w:t xml:space="preserve">your </w:t>
      </w:r>
      <w:r>
        <w:t xml:space="preserve">eligible calls reach </w:t>
      </w:r>
      <w:r>
        <w:rPr>
          <w:i/>
        </w:rPr>
        <w:t xml:space="preserve">your pricing plan's </w:t>
      </w:r>
      <w:r>
        <w:rPr>
          <w:b/>
        </w:rPr>
        <w:t>cap limit</w:t>
      </w:r>
      <w:r>
        <w:t xml:space="preserve">. </w:t>
      </w:r>
    </w:p>
    <w:p w14:paraId="6AE85D22" w14:textId="77777777" w:rsidR="000D07EA" w:rsidRDefault="00BE7C89">
      <w:pPr>
        <w:pStyle w:val="Heading8"/>
      </w:pPr>
      <w:r>
        <w:t>The '</w:t>
      </w:r>
      <w:r>
        <w:rPr>
          <w:b/>
        </w:rPr>
        <w:t xml:space="preserve">cap start' </w:t>
      </w:r>
      <w:r>
        <w:t>and '</w:t>
      </w:r>
      <w:r>
        <w:rPr>
          <w:b/>
        </w:rPr>
        <w:t xml:space="preserve">cap limit' </w:t>
      </w:r>
      <w:r>
        <w:t xml:space="preserve">for the Business Internet Cap $59 Plan is set out in Table 3A below. </w:t>
      </w:r>
    </w:p>
    <w:p w14:paraId="6F49BF89" w14:textId="77777777" w:rsidR="000D07EA" w:rsidRDefault="00BE7C89">
      <w:pPr>
        <w:pStyle w:val="Heading8"/>
      </w:pPr>
      <w:r>
        <w:t xml:space="preserve">The call types that are </w:t>
      </w:r>
      <w:r>
        <w:rPr>
          <w:b/>
        </w:rPr>
        <w:t>'eligible calls'</w:t>
      </w:r>
      <w:r>
        <w:t xml:space="preserve"> for the Business Internet Cap $59 Plan is defined in Table 1A below. </w:t>
      </w:r>
    </w:p>
    <w:p w14:paraId="7B45D10B" w14:textId="77777777" w:rsidR="000D07EA" w:rsidRDefault="00BE7C89">
      <w:pPr>
        <w:pStyle w:val="Heading8"/>
      </w:pPr>
      <w:r>
        <w:rPr>
          <w:i/>
        </w:rPr>
        <w:t xml:space="preserve">You </w:t>
      </w:r>
      <w:r>
        <w:t>must pay for any calls that are not eligible calls.</w:t>
      </w:r>
    </w:p>
    <w:p w14:paraId="407190F3" w14:textId="77777777" w:rsidR="000D07EA" w:rsidRDefault="00BE7C89">
      <w:pPr>
        <w:pStyle w:val="Heading8"/>
      </w:pPr>
      <w:r>
        <w:rPr>
          <w:i/>
        </w:rPr>
        <w:t xml:space="preserve">You </w:t>
      </w:r>
      <w:r>
        <w:t xml:space="preserve">must pay </w:t>
      </w:r>
      <w:r>
        <w:rPr>
          <w:i/>
        </w:rPr>
        <w:t xml:space="preserve">us </w:t>
      </w:r>
      <w:r>
        <w:t xml:space="preserve">call charges for eligible calls made beyond the cap limit of </w:t>
      </w:r>
      <w:r>
        <w:rPr>
          <w:i/>
        </w:rPr>
        <w:t xml:space="preserve">your </w:t>
      </w:r>
      <w:r>
        <w:t>Business Internet Cap $59 Plan.</w:t>
      </w:r>
    </w:p>
    <w:p w14:paraId="5FD2A127" w14:textId="77777777" w:rsidR="000D07EA" w:rsidRDefault="00BE7C89">
      <w:pPr>
        <w:pStyle w:val="Heading8"/>
      </w:pPr>
      <w:r>
        <w:rPr>
          <w:snapToGrid w:val="0"/>
        </w:rPr>
        <w:t>Any unused portion of the cap expires at the end of each month. This means that it does not roll over into following month.</w:t>
      </w:r>
    </w:p>
    <w:p w14:paraId="2E7D3E12" w14:textId="77777777" w:rsidR="000D07EA" w:rsidRDefault="00BE7C89">
      <w:pPr>
        <w:pStyle w:val="Heading7"/>
        <w:rPr>
          <w:b/>
        </w:rPr>
      </w:pPr>
      <w:bookmarkStart w:id="237" w:name="_Ref461548266"/>
      <w:r>
        <w:rPr>
          <w:b/>
        </w:rPr>
        <w:t>Minimum Monthly Charge and Included Calls</w:t>
      </w:r>
      <w:bookmarkEnd w:id="237"/>
    </w:p>
    <w:p w14:paraId="15C2F768" w14:textId="77777777" w:rsidR="000D07EA" w:rsidRDefault="00BE7C89">
      <w:pPr>
        <w:pStyle w:val="Heading8"/>
      </w:pPr>
      <w:r>
        <w:t xml:space="preserve">Each Business Internet Cap Plan has a Minimum Monthly Charge amount that </w:t>
      </w:r>
      <w:r>
        <w:rPr>
          <w:i/>
        </w:rPr>
        <w:t xml:space="preserve">you </w:t>
      </w:r>
      <w:r>
        <w:t xml:space="preserve">must pay us each month. </w:t>
      </w:r>
    </w:p>
    <w:p w14:paraId="739A1377" w14:textId="77777777" w:rsidR="000D07EA" w:rsidRDefault="00BE7C89">
      <w:pPr>
        <w:pStyle w:val="Heading8"/>
      </w:pPr>
      <w:r>
        <w:t xml:space="preserve">If </w:t>
      </w:r>
      <w:r>
        <w:rPr>
          <w:i/>
        </w:rPr>
        <w:t xml:space="preserve">you </w:t>
      </w:r>
      <w:r>
        <w:t xml:space="preserve">do not make enough eligible calls in a month to reach </w:t>
      </w:r>
      <w:r>
        <w:rPr>
          <w:i/>
        </w:rPr>
        <w:t xml:space="preserve">your pricing plan's </w:t>
      </w:r>
      <w:r>
        <w:t xml:space="preserve">cap start (or Minimum Monthly Charge) </w:t>
      </w:r>
      <w:r>
        <w:rPr>
          <w:i/>
        </w:rPr>
        <w:t xml:space="preserve">you </w:t>
      </w:r>
      <w:r>
        <w:t xml:space="preserve">must still pay </w:t>
      </w:r>
      <w:r>
        <w:rPr>
          <w:i/>
        </w:rPr>
        <w:t>us your pricing plan's</w:t>
      </w:r>
      <w:r>
        <w:t xml:space="preserve"> Minimum Monthly Charge for that month.</w:t>
      </w:r>
    </w:p>
    <w:p w14:paraId="78E9AF64" w14:textId="77777777" w:rsidR="000D07EA" w:rsidRDefault="00BE7C89">
      <w:pPr>
        <w:pStyle w:val="Heading8"/>
      </w:pPr>
      <w:r>
        <w:t>The amount of the Minimum Monthly Charge and included calls for the Business Internet Cap $59 Plan is set out in Table 3A and 2A below.</w:t>
      </w:r>
    </w:p>
    <w:p w14:paraId="37FA9693" w14:textId="77777777" w:rsidR="000D07EA" w:rsidRDefault="00BE7C89">
      <w:pPr>
        <w:pStyle w:val="Heading8"/>
      </w:pPr>
      <w:r>
        <w:rPr>
          <w:i/>
        </w:rPr>
        <w:t xml:space="preserve">You </w:t>
      </w:r>
      <w:r>
        <w:t>must pay for any calls that are not eligible calls.</w:t>
      </w:r>
    </w:p>
    <w:p w14:paraId="236F5A00" w14:textId="77777777" w:rsidR="000D07EA" w:rsidRDefault="00BE7C89">
      <w:pPr>
        <w:pStyle w:val="Heading7"/>
        <w:rPr>
          <w:b/>
        </w:rPr>
      </w:pPr>
      <w:bookmarkStart w:id="238" w:name="_Ref461548269"/>
      <w:r>
        <w:rPr>
          <w:b/>
        </w:rPr>
        <w:t>Other Business Internet Cap $59 Plan Offers and Conditions</w:t>
      </w:r>
      <w:bookmarkEnd w:id="238"/>
    </w:p>
    <w:p w14:paraId="01DC6841" w14:textId="77777777" w:rsidR="000D07EA" w:rsidRDefault="00BE7C89">
      <w:pPr>
        <w:pStyle w:val="Heading8"/>
      </w:pPr>
      <w:r>
        <w:t>Upon connection to the Business Internet Cap $59 Plan, customers will get "Unlimited Voicemail" and will have a choice between 2 calling offers called "SmartFleet" or "BusinessTime". Customers must choose a calling offer or no calling offer will be added:</w:t>
      </w:r>
    </w:p>
    <w:p w14:paraId="7F982634" w14:textId="77777777" w:rsidR="000D07EA" w:rsidRDefault="00BE7C89">
      <w:pPr>
        <w:pStyle w:val="Heading9"/>
      </w:pPr>
      <w:r>
        <w:t>Unlimited Voicemail</w:t>
      </w:r>
    </w:p>
    <w:p w14:paraId="0AFE99A0" w14:textId="77777777" w:rsidR="000D07EA" w:rsidRDefault="00BE7C89" w:rsidP="00972274">
      <w:pPr>
        <w:pStyle w:val="BodyText"/>
        <w:numPr>
          <w:ilvl w:val="0"/>
          <w:numId w:val="39"/>
        </w:numPr>
        <w:ind w:left="3600" w:hanging="720"/>
      </w:pPr>
      <w:r>
        <w:t xml:space="preserve">Under the Unlimited Voicemail Offer, customers may receive unlimited voicemail deposits and make unlimited voicemail retrievals within Australia at no charge. </w:t>
      </w:r>
    </w:p>
    <w:p w14:paraId="64583590" w14:textId="77777777" w:rsidR="000D07EA" w:rsidRDefault="00BE7C89" w:rsidP="00972274">
      <w:pPr>
        <w:pStyle w:val="BodyText"/>
        <w:numPr>
          <w:ilvl w:val="0"/>
          <w:numId w:val="39"/>
        </w:numPr>
        <w:ind w:left="3600" w:hanging="720"/>
      </w:pPr>
      <w:r>
        <w:t>Diversion charges still apply.</w:t>
      </w:r>
    </w:p>
    <w:p w14:paraId="270BB61F" w14:textId="77777777" w:rsidR="000D07EA" w:rsidRDefault="00BE7C89" w:rsidP="00972274">
      <w:pPr>
        <w:pStyle w:val="BodyText"/>
        <w:numPr>
          <w:ilvl w:val="0"/>
          <w:numId w:val="39"/>
        </w:numPr>
        <w:ind w:left="3600" w:hanging="720"/>
      </w:pPr>
      <w:r>
        <w:lastRenderedPageBreak/>
        <w:t>Fair Go Policy (</w:t>
      </w:r>
      <w:hyperlink r:id="rId132" w:history="1">
        <w:r>
          <w:rPr>
            <w:rStyle w:val="Hyperlink"/>
            <w:i/>
          </w:rPr>
          <w:t>Appendix S</w:t>
        </w:r>
      </w:hyperlink>
      <w:r>
        <w:t>) applies.</w:t>
      </w:r>
    </w:p>
    <w:p w14:paraId="075690D1" w14:textId="77777777" w:rsidR="000D07EA" w:rsidRDefault="00BE7C89">
      <w:pPr>
        <w:pStyle w:val="Heading9"/>
      </w:pPr>
      <w:r>
        <w:t>SmartFleet calling offer</w:t>
      </w:r>
    </w:p>
    <w:p w14:paraId="1EFE5554" w14:textId="77777777" w:rsidR="000D07EA" w:rsidRDefault="00BE7C89" w:rsidP="00972274">
      <w:pPr>
        <w:pStyle w:val="BodyText"/>
        <w:numPr>
          <w:ilvl w:val="0"/>
          <w:numId w:val="40"/>
        </w:numPr>
        <w:ind w:left="3600" w:hanging="720"/>
      </w:pPr>
      <w:r>
        <w:t xml:space="preserve">The "SmartFleet" call rate applies to calls to another GSM mobile </w:t>
      </w:r>
      <w:r>
        <w:rPr>
          <w:i/>
        </w:rPr>
        <w:t>service</w:t>
      </w:r>
      <w:r>
        <w:t xml:space="preserve"> on the same customer account number. Calls are charged at $0. </w:t>
      </w:r>
    </w:p>
    <w:p w14:paraId="1E1C4239" w14:textId="77777777" w:rsidR="000D07EA" w:rsidRDefault="00BE7C89" w:rsidP="00972274">
      <w:pPr>
        <w:pStyle w:val="BodyText"/>
        <w:numPr>
          <w:ilvl w:val="0"/>
          <w:numId w:val="40"/>
        </w:numPr>
        <w:ind w:left="3600" w:hanging="720"/>
      </w:pPr>
      <w:r>
        <w:t xml:space="preserve">No </w:t>
      </w:r>
      <w:r>
        <w:rPr>
          <w:i/>
        </w:rPr>
        <w:t>flagfall</w:t>
      </w:r>
      <w:r>
        <w:t xml:space="preserve"> applies. </w:t>
      </w:r>
    </w:p>
    <w:p w14:paraId="3D253BDB" w14:textId="77777777" w:rsidR="000D07EA" w:rsidRDefault="00BE7C89" w:rsidP="00972274">
      <w:pPr>
        <w:pStyle w:val="BodyText"/>
        <w:numPr>
          <w:ilvl w:val="0"/>
          <w:numId w:val="40"/>
        </w:numPr>
        <w:ind w:left="3600" w:hanging="720"/>
      </w:pPr>
      <w:r>
        <w:t xml:space="preserve">Excludes calls to Optus Pre-Paid, Satellite and service provider customers. Applies to calls made and received in Australia. </w:t>
      </w:r>
    </w:p>
    <w:p w14:paraId="58760E68" w14:textId="77777777" w:rsidR="000D07EA" w:rsidRDefault="00BE7C89" w:rsidP="00972274">
      <w:pPr>
        <w:pStyle w:val="BodyText"/>
        <w:numPr>
          <w:ilvl w:val="0"/>
          <w:numId w:val="40"/>
        </w:numPr>
        <w:ind w:left="3600" w:hanging="720"/>
      </w:pPr>
      <w:r>
        <w:t>Fair Go Policy (</w:t>
      </w:r>
      <w:hyperlink r:id="rId133" w:history="1">
        <w:r>
          <w:rPr>
            <w:rStyle w:val="Hyperlink"/>
            <w:i/>
          </w:rPr>
          <w:t>Appendix S</w:t>
        </w:r>
      </w:hyperlink>
      <w:r>
        <w:t xml:space="preserve">) applies. </w:t>
      </w:r>
    </w:p>
    <w:p w14:paraId="4413A16B" w14:textId="77777777" w:rsidR="000D07EA" w:rsidRDefault="00BE7C89" w:rsidP="00972274">
      <w:pPr>
        <w:pStyle w:val="BodyText"/>
        <w:numPr>
          <w:ilvl w:val="0"/>
          <w:numId w:val="40"/>
        </w:numPr>
        <w:ind w:left="3600" w:hanging="720"/>
      </w:pPr>
      <w:r>
        <w:t xml:space="preserve">Standard call exclusions (see section 1 of this </w:t>
      </w:r>
      <w:r>
        <w:rPr>
          <w:i/>
        </w:rPr>
        <w:t>standard pricing table</w:t>
      </w:r>
      <w:r>
        <w:t>) apply to the "SmartFleet" call rates.</w:t>
      </w:r>
    </w:p>
    <w:p w14:paraId="40246674" w14:textId="77777777" w:rsidR="000D07EA" w:rsidRDefault="00BE7C89">
      <w:pPr>
        <w:pStyle w:val="Heading9"/>
        <w:rPr>
          <w:snapToGrid w:val="0"/>
        </w:rPr>
      </w:pPr>
      <w:r>
        <w:rPr>
          <w:snapToGrid w:val="0"/>
        </w:rPr>
        <w:t>BusinessTime calling offer</w:t>
      </w:r>
    </w:p>
    <w:p w14:paraId="4F7B4F26" w14:textId="77777777" w:rsidR="000D07EA" w:rsidRDefault="00BE7C89" w:rsidP="00972274">
      <w:pPr>
        <w:pStyle w:val="BodyText"/>
        <w:numPr>
          <w:ilvl w:val="0"/>
          <w:numId w:val="41"/>
        </w:numPr>
        <w:ind w:left="3600" w:hanging="720"/>
      </w:pPr>
      <w:r>
        <w:t xml:space="preserve">Upon request, customers may set up a BusinessTime (BT) offer. </w:t>
      </w:r>
    </w:p>
    <w:p w14:paraId="48984AEF" w14:textId="77777777" w:rsidR="000D07EA" w:rsidRDefault="00BE7C89" w:rsidP="00972274">
      <w:pPr>
        <w:pStyle w:val="BodyText"/>
        <w:numPr>
          <w:ilvl w:val="0"/>
          <w:numId w:val="41"/>
        </w:numPr>
        <w:ind w:left="3600" w:hanging="720"/>
      </w:pPr>
      <w:r>
        <w:t xml:space="preserve">Only three BT services per mobile service are permitted. </w:t>
      </w:r>
    </w:p>
    <w:p w14:paraId="157F7C68" w14:textId="77777777" w:rsidR="000D07EA" w:rsidRDefault="00BE7C89" w:rsidP="00972274">
      <w:pPr>
        <w:pStyle w:val="BodyText"/>
        <w:numPr>
          <w:ilvl w:val="0"/>
          <w:numId w:val="41"/>
        </w:numPr>
        <w:ind w:left="3600" w:hanging="720"/>
      </w:pPr>
      <w:r>
        <w:t>If you combine your mobile service with a currently available Optus Business Phone and / or DSL</w:t>
      </w:r>
      <w:r>
        <w:rPr>
          <w:i/>
        </w:rPr>
        <w:t xml:space="preserve"> you</w:t>
      </w:r>
      <w:r>
        <w:t xml:space="preserve"> can nominate 5 numbers. </w:t>
      </w:r>
    </w:p>
    <w:p w14:paraId="56D4637E" w14:textId="77777777" w:rsidR="000D07EA" w:rsidRDefault="00BE7C89" w:rsidP="00972274">
      <w:pPr>
        <w:pStyle w:val="BodyText"/>
        <w:numPr>
          <w:ilvl w:val="0"/>
          <w:numId w:val="41"/>
        </w:numPr>
        <w:ind w:left="3600" w:hanging="720"/>
      </w:pPr>
      <w:r>
        <w:t xml:space="preserve">The nominated numbers can be eligible Optus GSM mobile(s) and / or standard fixed line(s), as defined by Optus and cannot be a 13, 1300, 1800 or 1900 number. </w:t>
      </w:r>
    </w:p>
    <w:p w14:paraId="2CF9BE14" w14:textId="77777777" w:rsidR="000D07EA" w:rsidRDefault="00BE7C89" w:rsidP="00972274">
      <w:pPr>
        <w:pStyle w:val="BodyText"/>
        <w:numPr>
          <w:ilvl w:val="0"/>
          <w:numId w:val="41"/>
        </w:numPr>
        <w:ind w:left="3600" w:hanging="720"/>
      </w:pPr>
      <w:r>
        <w:t xml:space="preserve">Calls must be made and received in Australia. </w:t>
      </w:r>
    </w:p>
    <w:p w14:paraId="03FDCEED" w14:textId="77777777" w:rsidR="000D07EA" w:rsidRDefault="00BE7C89" w:rsidP="00972274">
      <w:pPr>
        <w:pStyle w:val="BodyText"/>
        <w:numPr>
          <w:ilvl w:val="0"/>
          <w:numId w:val="41"/>
        </w:numPr>
        <w:ind w:left="3600" w:hanging="720"/>
        <w:rPr>
          <w:snapToGrid w:val="0"/>
        </w:rPr>
      </w:pPr>
      <w:r>
        <w:t xml:space="preserve">For the first 5 minutes of a BT call, eligible Optus </w:t>
      </w:r>
      <w:r>
        <w:rPr>
          <w:i/>
        </w:rPr>
        <w:t>mobile phones</w:t>
      </w:r>
      <w:r>
        <w:t xml:space="preserve"> on </w:t>
      </w:r>
      <w:r>
        <w:rPr>
          <w:i/>
        </w:rPr>
        <w:t>your</w:t>
      </w:r>
      <w:r>
        <w:t xml:space="preserve"> account are charged $0. After the first 5 minutes the standard call rate that corresponds with your mobile rate plan will apply. </w:t>
      </w:r>
    </w:p>
    <w:p w14:paraId="3AF7FC6A" w14:textId="77777777" w:rsidR="000D07EA" w:rsidRDefault="00BE7C89" w:rsidP="00972274">
      <w:pPr>
        <w:pStyle w:val="BodyText"/>
        <w:numPr>
          <w:ilvl w:val="0"/>
          <w:numId w:val="41"/>
        </w:numPr>
        <w:ind w:left="3600" w:hanging="720"/>
      </w:pPr>
      <w:r>
        <w:t xml:space="preserve">No </w:t>
      </w:r>
      <w:r>
        <w:rPr>
          <w:i/>
        </w:rPr>
        <w:t xml:space="preserve">flagfall </w:t>
      </w:r>
      <w:r>
        <w:t xml:space="preserve">applies. </w:t>
      </w:r>
    </w:p>
    <w:p w14:paraId="569B4FB0" w14:textId="77777777" w:rsidR="000D07EA" w:rsidRDefault="00BE7C89" w:rsidP="00972274">
      <w:pPr>
        <w:pStyle w:val="BodyText"/>
        <w:numPr>
          <w:ilvl w:val="0"/>
          <w:numId w:val="41"/>
        </w:numPr>
        <w:ind w:left="3600" w:hanging="720"/>
      </w:pPr>
      <w:r>
        <w:t xml:space="preserve">Please allow up to 48 hours for the activation of </w:t>
      </w:r>
      <w:r>
        <w:rPr>
          <w:i/>
        </w:rPr>
        <w:t>your</w:t>
      </w:r>
      <w:r>
        <w:t xml:space="preserve"> BT service. </w:t>
      </w:r>
    </w:p>
    <w:p w14:paraId="1F4D0355" w14:textId="77777777" w:rsidR="000D07EA" w:rsidRDefault="00BE7C89" w:rsidP="00972274">
      <w:pPr>
        <w:pStyle w:val="BodyText"/>
        <w:numPr>
          <w:ilvl w:val="0"/>
          <w:numId w:val="41"/>
        </w:numPr>
        <w:ind w:left="3600" w:hanging="720"/>
        <w:rPr>
          <w:snapToGrid w:val="0"/>
        </w:rPr>
      </w:pPr>
      <w:r>
        <w:t>Fair Go Policy (</w:t>
      </w:r>
      <w:hyperlink r:id="rId134" w:history="1">
        <w:r>
          <w:rPr>
            <w:rStyle w:val="Hyperlink"/>
            <w:i/>
          </w:rPr>
          <w:t>Appendix S</w:t>
        </w:r>
      </w:hyperlink>
      <w:r>
        <w:t xml:space="preserve">) applies. </w:t>
      </w:r>
    </w:p>
    <w:p w14:paraId="68859909" w14:textId="77777777" w:rsidR="000D07EA" w:rsidRDefault="00BE7C89">
      <w:pPr>
        <w:pStyle w:val="Heading8"/>
      </w:pPr>
      <w:r>
        <w:rPr>
          <w:b/>
        </w:rPr>
        <w:t>International Calls:</w:t>
      </w:r>
      <w:r>
        <w:t xml:space="preserve"> For the period prior to 6 June 2010, international calls from your mobile will be charged at the 'yes' International Rate and will be charged at per 30 second rates. Flagfall of 27c applies per call. Excludes video calls. </w:t>
      </w:r>
    </w:p>
    <w:p w14:paraId="684CE135" w14:textId="77777777" w:rsidR="000D07EA" w:rsidRDefault="00BE7C89">
      <w:pPr>
        <w:pStyle w:val="BodyText"/>
        <w:ind w:left="2160"/>
      </w:pPr>
      <w:r>
        <w:rPr>
          <w:snapToGrid w:val="0"/>
        </w:rPr>
        <w:t xml:space="preserve">From 6 June 2010 (inclusive), </w:t>
      </w:r>
      <w:r>
        <w:t>international calls from your mobile will be charged at the</w:t>
      </w:r>
      <w:r>
        <w:rPr>
          <w:snapToGrid w:val="0"/>
        </w:rPr>
        <w:t xml:space="preserve"> 'yes' Business International rate and will be charged at per 30 second rates. Flagfall of 35c applies per call. </w:t>
      </w:r>
      <w:r>
        <w:t xml:space="preserve">Excludes video calls. For more information on the 'yes' Business International call rates please refer to </w:t>
      </w:r>
      <w:hyperlink r:id="rId135" w:history="1">
        <w:r>
          <w:rPr>
            <w:rStyle w:val="Hyperlink"/>
            <w:i/>
          </w:rPr>
          <w:t>Appendix J</w:t>
        </w:r>
      </w:hyperlink>
      <w:r>
        <w:rPr>
          <w:i/>
        </w:rPr>
        <w:t>.</w:t>
      </w:r>
    </w:p>
    <w:p w14:paraId="6868A084" w14:textId="77777777" w:rsidR="000D07EA" w:rsidRDefault="00BE7C89">
      <w:pPr>
        <w:pStyle w:val="Heading8"/>
        <w:rPr>
          <w:snapToGrid w:val="0"/>
        </w:rPr>
      </w:pPr>
      <w:r>
        <w:rPr>
          <w:b/>
        </w:rPr>
        <w:t xml:space="preserve">Bolt Ons: </w:t>
      </w:r>
      <w:r>
        <w:t xml:space="preserve">Upon request, </w:t>
      </w:r>
      <w:r>
        <w:rPr>
          <w:i/>
        </w:rPr>
        <w:t>you</w:t>
      </w:r>
      <w:r>
        <w:t xml:space="preserve"> may select Bolt Ons for an additional $5 per pack, per month per service.</w:t>
      </w:r>
      <w:r>
        <w:rPr>
          <w:b/>
        </w:rPr>
        <w:t xml:space="preserve"> </w:t>
      </w:r>
    </w:p>
    <w:p w14:paraId="10E2E83C" w14:textId="77777777" w:rsidR="000D07EA" w:rsidRDefault="00BE7C89">
      <w:pPr>
        <w:pStyle w:val="Heading9"/>
        <w:rPr>
          <w:snapToGrid w:val="0"/>
        </w:rPr>
      </w:pPr>
      <w:r>
        <w:rPr>
          <w:b/>
        </w:rPr>
        <w:t>SurePage Bolt On:</w:t>
      </w:r>
      <w:r>
        <w:t xml:space="preserve"> Pay $5 extra per month to receive 20 SurePage messages. Each additional message costs 50c. Diversion charges still apply.</w:t>
      </w:r>
    </w:p>
    <w:p w14:paraId="6BF3F812" w14:textId="77777777" w:rsidR="000D07EA" w:rsidRDefault="00BE7C89">
      <w:pPr>
        <w:pStyle w:val="Heading9"/>
        <w:rPr>
          <w:snapToGrid w:val="0"/>
        </w:rPr>
      </w:pPr>
      <w:r>
        <w:rPr>
          <w:b/>
        </w:rPr>
        <w:t>International:</w:t>
      </w:r>
      <w:r>
        <w:t xml:space="preserve"> Pay $5 extra per month for $3 for 10 minute calls to the top 8 countries of NZ, USA, UK, Canada, Hong Kong, Singapore, Ireland and Italy. Calls going over 10 minutes will be charged the $3.00 plus any subsequent 30 seconds:</w:t>
      </w:r>
    </w:p>
    <w:p w14:paraId="0980C62D" w14:textId="77777777" w:rsidR="000D07EA" w:rsidRDefault="00BE7C89" w:rsidP="00972274">
      <w:pPr>
        <w:pStyle w:val="BodyText"/>
        <w:numPr>
          <w:ilvl w:val="0"/>
          <w:numId w:val="42"/>
        </w:numPr>
        <w:ind w:left="3600" w:hanging="720"/>
      </w:pPr>
      <w:r>
        <w:t>at the 'yes' international rates plus 27c Flagfall applies per call for the period prior to 6 June 2010,;</w:t>
      </w:r>
    </w:p>
    <w:p w14:paraId="2C3F54BC" w14:textId="77777777" w:rsidR="000D07EA" w:rsidRDefault="00BE7C89" w:rsidP="00972274">
      <w:pPr>
        <w:pStyle w:val="BodyText"/>
        <w:numPr>
          <w:ilvl w:val="0"/>
          <w:numId w:val="42"/>
        </w:numPr>
        <w:ind w:left="3600" w:hanging="720"/>
        <w:rPr>
          <w:snapToGrid w:val="0"/>
        </w:rPr>
      </w:pPr>
      <w:r>
        <w:lastRenderedPageBreak/>
        <w:t xml:space="preserve">at 'yes' Business International rates plus 35c flagfall applies per call from 6 June 2010 (inclusive). For more information on the 'yes' Business International call rates please refer to </w:t>
      </w:r>
      <w:hyperlink r:id="rId136" w:history="1">
        <w:r>
          <w:rPr>
            <w:rStyle w:val="Hyperlink"/>
            <w:i/>
          </w:rPr>
          <w:t>Appendix J</w:t>
        </w:r>
      </w:hyperlink>
      <w:r>
        <w:rPr>
          <w:i/>
        </w:rPr>
        <w:t>.</w:t>
      </w:r>
    </w:p>
    <w:p w14:paraId="14A28678" w14:textId="77777777" w:rsidR="000D07EA" w:rsidRDefault="00BE7C89">
      <w:pPr>
        <w:pStyle w:val="Heading8"/>
      </w:pPr>
      <w:r>
        <w:t>The Fair Go Policy (</w:t>
      </w:r>
      <w:hyperlink r:id="rId137" w:history="1">
        <w:r>
          <w:rPr>
            <w:rStyle w:val="Hyperlink"/>
            <w:i/>
          </w:rPr>
          <w:t>Appendix S</w:t>
        </w:r>
      </w:hyperlink>
      <w:r>
        <w:t xml:space="preserve">) applies to: </w:t>
      </w:r>
    </w:p>
    <w:p w14:paraId="3A0D58B9" w14:textId="77777777" w:rsidR="000D07EA" w:rsidRDefault="00BE7C89">
      <w:pPr>
        <w:pStyle w:val="Heading9"/>
      </w:pPr>
      <w:r>
        <w:t xml:space="preserve">Voice Over Internet Protocol (VOIP) services up to 10 megabytes per month. </w:t>
      </w:r>
    </w:p>
    <w:p w14:paraId="2D1194B7" w14:textId="77777777" w:rsidR="000D07EA" w:rsidRDefault="00BE7C89">
      <w:pPr>
        <w:pStyle w:val="Heading9"/>
      </w:pPr>
      <w:r>
        <w:t xml:space="preserve">Voice Over Internet Protocol (VOIP) services will be charged at 1.5c per kilobyte of usage, capped at $9.90 per month until </w:t>
      </w:r>
      <w:r>
        <w:rPr>
          <w:i/>
        </w:rPr>
        <w:t>you</w:t>
      </w:r>
      <w:r>
        <w:t xml:space="preserve"> reach 5 megabytes of usage in that month, after which </w:t>
      </w:r>
      <w:r>
        <w:rPr>
          <w:i/>
        </w:rPr>
        <w:t>you</w:t>
      </w:r>
      <w:r>
        <w:t xml:space="preserve"> will be charged at 0.3c per kilobyte of usage for the remainder of that month.</w:t>
      </w:r>
    </w:p>
    <w:p w14:paraId="1682EC5A" w14:textId="77777777" w:rsidR="000D07EA" w:rsidRDefault="00BE7C89">
      <w:pPr>
        <w:pStyle w:val="Heading9"/>
      </w:pPr>
      <w:r>
        <w:t>BusinessTime usage of up to 1000 minutes per month.</w:t>
      </w:r>
    </w:p>
    <w:p w14:paraId="37B1F131" w14:textId="77777777" w:rsidR="000D07EA" w:rsidRDefault="00BE7C89">
      <w:pPr>
        <w:pStyle w:val="Heading9"/>
      </w:pPr>
      <w:r>
        <w:t>SmartFleet usage of up to 1000 minutes and 1000 SMS/MMS per month.</w:t>
      </w:r>
    </w:p>
    <w:p w14:paraId="407EBCFE" w14:textId="77777777" w:rsidR="000D07EA" w:rsidRDefault="00BE7C89">
      <w:pPr>
        <w:pStyle w:val="Heading9"/>
      </w:pPr>
      <w:r>
        <w:t>International usage of up to 300 minutes per month</w:t>
      </w:r>
    </w:p>
    <w:p w14:paraId="59252E18" w14:textId="77777777" w:rsidR="000D07EA" w:rsidRDefault="00BE7C89">
      <w:pPr>
        <w:pStyle w:val="Heading7"/>
        <w:rPr>
          <w:b/>
        </w:rPr>
      </w:pPr>
      <w:r>
        <w:rPr>
          <w:b/>
        </w:rPr>
        <w:t>Eligible Calls, Messages and Pricing Plans</w:t>
      </w:r>
    </w:p>
    <w:p w14:paraId="0266360D" w14:textId="77777777" w:rsidR="000D07EA" w:rsidRDefault="00BE7C89">
      <w:pPr>
        <w:pStyle w:val="BodyText"/>
        <w:ind w:left="1440"/>
      </w:pPr>
      <w:r>
        <w:t xml:space="preserve">Table 1A below indicates whether a particular call types is an 'eligible call' which counts towards the cap of </w:t>
      </w:r>
      <w:r>
        <w:rPr>
          <w:i/>
        </w:rPr>
        <w:t xml:space="preserve">your </w:t>
      </w:r>
      <w:r>
        <w:t xml:space="preserve">Business Internet Cap $59 Plan. </w:t>
      </w:r>
    </w:p>
    <w:p w14:paraId="26343058" w14:textId="77777777" w:rsidR="000D07EA" w:rsidRDefault="00BE7C89">
      <w:pPr>
        <w:pStyle w:val="BodyText"/>
        <w:ind w:left="1440"/>
      </w:pPr>
      <w:r>
        <w:t xml:space="preserve">Table 2A below indicates whether a particular data type is 'eligible data usage' which counts towards the data value of Business Internet Cap $59 Plan. </w:t>
      </w:r>
    </w:p>
    <w:p w14:paraId="3B2F6C79" w14:textId="77777777" w:rsidR="000D07EA" w:rsidRDefault="00BE7C89">
      <w:pPr>
        <w:pStyle w:val="BodyText"/>
        <w:ind w:left="1440"/>
      </w:pPr>
      <w:r>
        <w:t xml:space="preserve">Table 3A below contains pricing details of </w:t>
      </w:r>
      <w:r>
        <w:rPr>
          <w:i/>
        </w:rPr>
        <w:t>you</w:t>
      </w:r>
      <w:r>
        <w:t xml:space="preserve">r Business Internet Cap $59 Plan. </w:t>
      </w:r>
    </w:p>
    <w:p w14:paraId="256139E5" w14:textId="77777777" w:rsidR="000D07EA" w:rsidRDefault="00BE7C89">
      <w:pPr>
        <w:pStyle w:val="BodyText"/>
        <w:ind w:left="1440"/>
        <w:rPr>
          <w:b/>
        </w:rPr>
      </w:pPr>
      <w:r>
        <w:rPr>
          <w:b/>
        </w:rPr>
        <w:t>Table 1A – Eligible Calls</w:t>
      </w:r>
    </w:p>
    <w:tbl>
      <w:tblPr>
        <w:tblW w:w="8910" w:type="dxa"/>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81"/>
        <w:gridCol w:w="4829"/>
      </w:tblGrid>
      <w:tr w:rsidR="000D07EA" w14:paraId="6E277842" w14:textId="77777777">
        <w:trPr>
          <w:tblHeader/>
        </w:trPr>
        <w:tc>
          <w:tcPr>
            <w:tcW w:w="4081" w:type="dxa"/>
            <w:tcBorders>
              <w:top w:val="single" w:sz="4" w:space="0" w:color="auto"/>
              <w:left w:val="single" w:sz="4" w:space="0" w:color="auto"/>
              <w:bottom w:val="single" w:sz="4" w:space="0" w:color="auto"/>
              <w:right w:val="single" w:sz="4" w:space="0" w:color="auto"/>
            </w:tcBorders>
            <w:hideMark/>
          </w:tcPr>
          <w:p w14:paraId="1DF6DB2A" w14:textId="77777777" w:rsidR="000D07EA" w:rsidRDefault="00BE7C89">
            <w:pPr>
              <w:pStyle w:val="BodyText"/>
              <w:spacing w:before="100" w:after="100"/>
              <w:rPr>
                <w:b/>
                <w:lang w:val="en-AU"/>
              </w:rPr>
            </w:pPr>
            <w:r>
              <w:rPr>
                <w:b/>
              </w:rPr>
              <w:t>Call Type</w:t>
            </w:r>
          </w:p>
        </w:tc>
        <w:tc>
          <w:tcPr>
            <w:tcW w:w="4829" w:type="dxa"/>
            <w:tcBorders>
              <w:top w:val="single" w:sz="4" w:space="0" w:color="auto"/>
              <w:left w:val="single" w:sz="4" w:space="0" w:color="auto"/>
              <w:bottom w:val="single" w:sz="4" w:space="0" w:color="auto"/>
              <w:right w:val="single" w:sz="4" w:space="0" w:color="auto"/>
            </w:tcBorders>
            <w:hideMark/>
          </w:tcPr>
          <w:p w14:paraId="22428CFD" w14:textId="77777777" w:rsidR="000D07EA" w:rsidRDefault="00BE7C89">
            <w:pPr>
              <w:pStyle w:val="BodyText"/>
              <w:spacing w:before="100" w:after="100"/>
              <w:rPr>
                <w:b/>
                <w:lang w:val="en-AU"/>
              </w:rPr>
            </w:pPr>
            <w:r>
              <w:rPr>
                <w:b/>
              </w:rPr>
              <w:t>Eligible Call</w:t>
            </w:r>
          </w:p>
        </w:tc>
      </w:tr>
      <w:tr w:rsidR="000D07EA" w14:paraId="52EB1F70" w14:textId="77777777">
        <w:tc>
          <w:tcPr>
            <w:tcW w:w="4081" w:type="dxa"/>
            <w:tcBorders>
              <w:top w:val="single" w:sz="4" w:space="0" w:color="auto"/>
              <w:left w:val="single" w:sz="4" w:space="0" w:color="auto"/>
              <w:bottom w:val="single" w:sz="4" w:space="0" w:color="auto"/>
              <w:right w:val="single" w:sz="4" w:space="0" w:color="auto"/>
            </w:tcBorders>
            <w:hideMark/>
          </w:tcPr>
          <w:p w14:paraId="7B3D7E93" w14:textId="77777777" w:rsidR="000D07EA" w:rsidRDefault="00BE7C89">
            <w:pPr>
              <w:pStyle w:val="BodyText"/>
              <w:spacing w:before="100" w:after="100"/>
              <w:rPr>
                <w:lang w:val="en-AU"/>
              </w:rPr>
            </w:pPr>
            <w:r>
              <w:t>National Voice Calls</w:t>
            </w:r>
          </w:p>
        </w:tc>
        <w:tc>
          <w:tcPr>
            <w:tcW w:w="4829" w:type="dxa"/>
            <w:tcBorders>
              <w:top w:val="single" w:sz="4" w:space="0" w:color="auto"/>
              <w:left w:val="single" w:sz="4" w:space="0" w:color="auto"/>
              <w:bottom w:val="single" w:sz="4" w:space="0" w:color="auto"/>
              <w:right w:val="single" w:sz="4" w:space="0" w:color="auto"/>
            </w:tcBorders>
            <w:hideMark/>
          </w:tcPr>
          <w:p w14:paraId="012DBE53" w14:textId="77777777" w:rsidR="000D07EA" w:rsidRDefault="00BE7C89">
            <w:pPr>
              <w:pStyle w:val="BodyText"/>
              <w:spacing w:before="100" w:after="100"/>
              <w:rPr>
                <w:lang w:val="en-AU"/>
              </w:rPr>
            </w:pPr>
            <w:r>
              <w:t>Yes</w:t>
            </w:r>
          </w:p>
        </w:tc>
      </w:tr>
      <w:tr w:rsidR="000D07EA" w14:paraId="6F53F13A" w14:textId="77777777">
        <w:tc>
          <w:tcPr>
            <w:tcW w:w="4081" w:type="dxa"/>
            <w:tcBorders>
              <w:top w:val="single" w:sz="4" w:space="0" w:color="auto"/>
              <w:left w:val="single" w:sz="4" w:space="0" w:color="auto"/>
              <w:bottom w:val="single" w:sz="4" w:space="0" w:color="auto"/>
              <w:right w:val="single" w:sz="4" w:space="0" w:color="auto"/>
            </w:tcBorders>
            <w:hideMark/>
          </w:tcPr>
          <w:p w14:paraId="2121E8C0" w14:textId="77777777" w:rsidR="000D07EA" w:rsidRDefault="00BE7C89">
            <w:pPr>
              <w:pStyle w:val="BodyText"/>
              <w:spacing w:before="100" w:after="100"/>
              <w:rPr>
                <w:sz w:val="24"/>
                <w:szCs w:val="20"/>
                <w:lang w:val="en-AU"/>
              </w:rPr>
            </w:pPr>
            <w:r>
              <w:t xml:space="preserve">International Voice Calls </w:t>
            </w:r>
          </w:p>
          <w:p w14:paraId="2CEAE39F" w14:textId="77777777" w:rsidR="000D07EA" w:rsidRDefault="00BE7C89">
            <w:pPr>
              <w:pStyle w:val="BodyText"/>
              <w:spacing w:before="100" w:after="100"/>
              <w:rPr>
                <w:lang w:val="en-AU"/>
              </w:rPr>
            </w:pPr>
            <w:r>
              <w:t>(including calls to national fixed or GSM mobile services that then divert/switch or re-route overseas)</w:t>
            </w:r>
          </w:p>
        </w:tc>
        <w:tc>
          <w:tcPr>
            <w:tcW w:w="4829" w:type="dxa"/>
            <w:tcBorders>
              <w:top w:val="single" w:sz="4" w:space="0" w:color="auto"/>
              <w:left w:val="single" w:sz="4" w:space="0" w:color="auto"/>
              <w:bottom w:val="single" w:sz="4" w:space="0" w:color="auto"/>
              <w:right w:val="single" w:sz="4" w:space="0" w:color="auto"/>
            </w:tcBorders>
            <w:hideMark/>
          </w:tcPr>
          <w:p w14:paraId="4A2B0462" w14:textId="77777777" w:rsidR="000D07EA" w:rsidRDefault="00BE7C89">
            <w:pPr>
              <w:pStyle w:val="BodyText"/>
              <w:spacing w:before="100" w:after="100"/>
              <w:rPr>
                <w:lang w:val="en-AU"/>
              </w:rPr>
            </w:pPr>
            <w:r>
              <w:t>No</w:t>
            </w:r>
          </w:p>
        </w:tc>
      </w:tr>
      <w:tr w:rsidR="000D07EA" w14:paraId="376045A1" w14:textId="77777777">
        <w:tc>
          <w:tcPr>
            <w:tcW w:w="4081" w:type="dxa"/>
            <w:tcBorders>
              <w:top w:val="single" w:sz="4" w:space="0" w:color="auto"/>
              <w:left w:val="single" w:sz="4" w:space="0" w:color="auto"/>
              <w:bottom w:val="single" w:sz="4" w:space="0" w:color="auto"/>
              <w:right w:val="single" w:sz="4" w:space="0" w:color="auto"/>
            </w:tcBorders>
            <w:hideMark/>
          </w:tcPr>
          <w:p w14:paraId="025A1ECF" w14:textId="77777777" w:rsidR="000D07EA" w:rsidRDefault="00BE7C89">
            <w:pPr>
              <w:pStyle w:val="BodyText"/>
              <w:spacing w:before="100" w:after="100"/>
              <w:rPr>
                <w:lang w:val="en-AU"/>
              </w:rPr>
            </w:pPr>
            <w:r>
              <w:t>National Standard SMS</w:t>
            </w:r>
          </w:p>
        </w:tc>
        <w:tc>
          <w:tcPr>
            <w:tcW w:w="4829" w:type="dxa"/>
            <w:tcBorders>
              <w:top w:val="single" w:sz="4" w:space="0" w:color="auto"/>
              <w:left w:val="single" w:sz="4" w:space="0" w:color="auto"/>
              <w:bottom w:val="single" w:sz="4" w:space="0" w:color="auto"/>
              <w:right w:val="single" w:sz="4" w:space="0" w:color="auto"/>
            </w:tcBorders>
            <w:hideMark/>
          </w:tcPr>
          <w:p w14:paraId="565C8B7E" w14:textId="77777777" w:rsidR="000D07EA" w:rsidRDefault="00BE7C89">
            <w:pPr>
              <w:pStyle w:val="BodyText"/>
              <w:spacing w:before="100" w:after="100"/>
              <w:rPr>
                <w:lang w:val="en-AU"/>
              </w:rPr>
            </w:pPr>
            <w:r>
              <w:t>Yes</w:t>
            </w:r>
          </w:p>
        </w:tc>
      </w:tr>
      <w:tr w:rsidR="000D07EA" w14:paraId="678312E8" w14:textId="77777777">
        <w:tc>
          <w:tcPr>
            <w:tcW w:w="4081" w:type="dxa"/>
            <w:tcBorders>
              <w:top w:val="single" w:sz="4" w:space="0" w:color="auto"/>
              <w:left w:val="single" w:sz="4" w:space="0" w:color="auto"/>
              <w:bottom w:val="single" w:sz="4" w:space="0" w:color="auto"/>
              <w:right w:val="single" w:sz="4" w:space="0" w:color="auto"/>
            </w:tcBorders>
            <w:hideMark/>
          </w:tcPr>
          <w:p w14:paraId="035C0EB4" w14:textId="77777777" w:rsidR="000D07EA" w:rsidRDefault="00BE7C89">
            <w:pPr>
              <w:pStyle w:val="BodyText"/>
              <w:spacing w:before="100" w:after="100"/>
              <w:rPr>
                <w:lang w:val="en-AU"/>
              </w:rPr>
            </w:pPr>
            <w:r>
              <w:t>International SMS</w:t>
            </w:r>
          </w:p>
        </w:tc>
        <w:tc>
          <w:tcPr>
            <w:tcW w:w="4829" w:type="dxa"/>
            <w:tcBorders>
              <w:top w:val="single" w:sz="4" w:space="0" w:color="auto"/>
              <w:left w:val="single" w:sz="4" w:space="0" w:color="auto"/>
              <w:bottom w:val="single" w:sz="4" w:space="0" w:color="auto"/>
              <w:right w:val="single" w:sz="4" w:space="0" w:color="auto"/>
            </w:tcBorders>
            <w:hideMark/>
          </w:tcPr>
          <w:p w14:paraId="7DACC15D" w14:textId="77777777" w:rsidR="000D07EA" w:rsidRDefault="00BE7C89">
            <w:pPr>
              <w:pStyle w:val="BodyText"/>
              <w:spacing w:before="100" w:after="100"/>
              <w:rPr>
                <w:lang w:val="en-AU"/>
              </w:rPr>
            </w:pPr>
            <w:r>
              <w:t>Yes</w:t>
            </w:r>
          </w:p>
        </w:tc>
      </w:tr>
      <w:tr w:rsidR="000D07EA" w14:paraId="2F82B858" w14:textId="77777777">
        <w:tc>
          <w:tcPr>
            <w:tcW w:w="4081" w:type="dxa"/>
            <w:tcBorders>
              <w:top w:val="single" w:sz="4" w:space="0" w:color="auto"/>
              <w:left w:val="single" w:sz="4" w:space="0" w:color="auto"/>
              <w:bottom w:val="single" w:sz="4" w:space="0" w:color="auto"/>
              <w:right w:val="single" w:sz="4" w:space="0" w:color="auto"/>
            </w:tcBorders>
            <w:hideMark/>
          </w:tcPr>
          <w:p w14:paraId="2A792D84" w14:textId="77777777" w:rsidR="000D07EA" w:rsidRDefault="00BE7C89">
            <w:pPr>
              <w:pStyle w:val="BodyText"/>
              <w:spacing w:before="100" w:after="100"/>
              <w:rPr>
                <w:lang w:val="en-AU"/>
              </w:rPr>
            </w:pPr>
            <w:r>
              <w:t>Voicemail Diversions</w:t>
            </w:r>
          </w:p>
        </w:tc>
        <w:tc>
          <w:tcPr>
            <w:tcW w:w="4829" w:type="dxa"/>
            <w:tcBorders>
              <w:top w:val="single" w:sz="4" w:space="0" w:color="auto"/>
              <w:left w:val="single" w:sz="4" w:space="0" w:color="auto"/>
              <w:bottom w:val="single" w:sz="4" w:space="0" w:color="auto"/>
              <w:right w:val="single" w:sz="4" w:space="0" w:color="auto"/>
            </w:tcBorders>
            <w:hideMark/>
          </w:tcPr>
          <w:p w14:paraId="05D3F5A0" w14:textId="77777777" w:rsidR="000D07EA" w:rsidRDefault="00BE7C89">
            <w:pPr>
              <w:pStyle w:val="BodyText"/>
              <w:spacing w:before="100" w:after="100"/>
              <w:rPr>
                <w:lang w:val="en-AU"/>
              </w:rPr>
            </w:pPr>
            <w:r>
              <w:t>Yes</w:t>
            </w:r>
          </w:p>
        </w:tc>
      </w:tr>
      <w:tr w:rsidR="000D07EA" w14:paraId="29D1AEF8" w14:textId="77777777">
        <w:tc>
          <w:tcPr>
            <w:tcW w:w="4081" w:type="dxa"/>
            <w:tcBorders>
              <w:top w:val="single" w:sz="4" w:space="0" w:color="auto"/>
              <w:left w:val="single" w:sz="4" w:space="0" w:color="auto"/>
              <w:bottom w:val="single" w:sz="4" w:space="0" w:color="auto"/>
              <w:right w:val="single" w:sz="4" w:space="0" w:color="auto"/>
            </w:tcBorders>
            <w:hideMark/>
          </w:tcPr>
          <w:p w14:paraId="44E6CACE" w14:textId="77777777" w:rsidR="000D07EA" w:rsidRDefault="00BE7C89">
            <w:pPr>
              <w:pStyle w:val="BodyText"/>
              <w:spacing w:before="100" w:after="100"/>
              <w:rPr>
                <w:lang w:val="en-AU"/>
              </w:rPr>
            </w:pPr>
            <w:r>
              <w:t>Voicemail Deposit and Retrievals</w:t>
            </w:r>
          </w:p>
        </w:tc>
        <w:tc>
          <w:tcPr>
            <w:tcW w:w="4829" w:type="dxa"/>
            <w:tcBorders>
              <w:top w:val="single" w:sz="4" w:space="0" w:color="auto"/>
              <w:left w:val="single" w:sz="4" w:space="0" w:color="auto"/>
              <w:bottom w:val="single" w:sz="4" w:space="0" w:color="auto"/>
              <w:right w:val="single" w:sz="4" w:space="0" w:color="auto"/>
            </w:tcBorders>
            <w:hideMark/>
          </w:tcPr>
          <w:p w14:paraId="64FF1B92" w14:textId="77777777" w:rsidR="000D07EA" w:rsidRDefault="00BE7C89">
            <w:pPr>
              <w:pStyle w:val="BodyText"/>
              <w:spacing w:before="100" w:after="100"/>
              <w:rPr>
                <w:lang w:val="en-AU"/>
              </w:rPr>
            </w:pPr>
            <w:r>
              <w:t>Yes</w:t>
            </w:r>
          </w:p>
        </w:tc>
      </w:tr>
      <w:tr w:rsidR="000D07EA" w14:paraId="6BFEC95D" w14:textId="77777777">
        <w:tc>
          <w:tcPr>
            <w:tcW w:w="4081" w:type="dxa"/>
            <w:tcBorders>
              <w:top w:val="single" w:sz="4" w:space="0" w:color="auto"/>
              <w:left w:val="single" w:sz="4" w:space="0" w:color="auto"/>
              <w:bottom w:val="single" w:sz="4" w:space="0" w:color="auto"/>
              <w:right w:val="single" w:sz="4" w:space="0" w:color="auto"/>
            </w:tcBorders>
            <w:hideMark/>
          </w:tcPr>
          <w:p w14:paraId="6C322E64" w14:textId="77777777" w:rsidR="000D07EA" w:rsidRDefault="00BE7C89">
            <w:pPr>
              <w:pStyle w:val="BodyText"/>
              <w:spacing w:before="100" w:after="100"/>
              <w:rPr>
                <w:lang w:val="en-AU"/>
              </w:rPr>
            </w:pPr>
            <w:r>
              <w:t>International Roaming and Diversions</w:t>
            </w:r>
          </w:p>
        </w:tc>
        <w:tc>
          <w:tcPr>
            <w:tcW w:w="4829" w:type="dxa"/>
            <w:tcBorders>
              <w:top w:val="single" w:sz="4" w:space="0" w:color="auto"/>
              <w:left w:val="single" w:sz="4" w:space="0" w:color="auto"/>
              <w:bottom w:val="single" w:sz="4" w:space="0" w:color="auto"/>
              <w:right w:val="single" w:sz="4" w:space="0" w:color="auto"/>
            </w:tcBorders>
            <w:hideMark/>
          </w:tcPr>
          <w:p w14:paraId="5C2AAB69" w14:textId="77777777" w:rsidR="000D07EA" w:rsidRDefault="00BE7C89">
            <w:pPr>
              <w:pStyle w:val="BodyText"/>
              <w:spacing w:before="100" w:after="100"/>
              <w:rPr>
                <w:lang w:val="en-AU"/>
              </w:rPr>
            </w:pPr>
            <w:r>
              <w:t>No</w:t>
            </w:r>
          </w:p>
        </w:tc>
      </w:tr>
      <w:tr w:rsidR="000D07EA" w14:paraId="6C5A9B6A" w14:textId="77777777">
        <w:tc>
          <w:tcPr>
            <w:tcW w:w="4081" w:type="dxa"/>
            <w:tcBorders>
              <w:top w:val="single" w:sz="4" w:space="0" w:color="auto"/>
              <w:left w:val="single" w:sz="4" w:space="0" w:color="auto"/>
              <w:bottom w:val="single" w:sz="4" w:space="0" w:color="auto"/>
              <w:right w:val="single" w:sz="4" w:space="0" w:color="auto"/>
            </w:tcBorders>
            <w:hideMark/>
          </w:tcPr>
          <w:p w14:paraId="287FD60B" w14:textId="77777777" w:rsidR="000D07EA" w:rsidRDefault="00BE7C89">
            <w:pPr>
              <w:pStyle w:val="BodyText"/>
              <w:spacing w:before="100" w:after="100"/>
              <w:rPr>
                <w:lang w:val="en-AU"/>
              </w:rPr>
            </w:pPr>
            <w:r>
              <w:t>Optus iZoo Browsing</w:t>
            </w:r>
          </w:p>
        </w:tc>
        <w:tc>
          <w:tcPr>
            <w:tcW w:w="4829" w:type="dxa"/>
            <w:tcBorders>
              <w:top w:val="single" w:sz="4" w:space="0" w:color="auto"/>
              <w:left w:val="single" w:sz="4" w:space="0" w:color="auto"/>
              <w:bottom w:val="single" w:sz="4" w:space="0" w:color="auto"/>
              <w:right w:val="single" w:sz="4" w:space="0" w:color="auto"/>
            </w:tcBorders>
            <w:hideMark/>
          </w:tcPr>
          <w:p w14:paraId="4B433525" w14:textId="77777777" w:rsidR="000D07EA" w:rsidRDefault="00BE7C89">
            <w:pPr>
              <w:pStyle w:val="BodyText"/>
              <w:spacing w:before="100" w:after="100"/>
              <w:rPr>
                <w:lang w:val="en-AU"/>
              </w:rPr>
            </w:pPr>
            <w:r>
              <w:t>No</w:t>
            </w:r>
          </w:p>
        </w:tc>
      </w:tr>
      <w:tr w:rsidR="000D07EA" w14:paraId="54FC2D8D" w14:textId="77777777">
        <w:tc>
          <w:tcPr>
            <w:tcW w:w="4081" w:type="dxa"/>
            <w:tcBorders>
              <w:top w:val="single" w:sz="4" w:space="0" w:color="auto"/>
              <w:left w:val="single" w:sz="4" w:space="0" w:color="auto"/>
              <w:bottom w:val="single" w:sz="4" w:space="0" w:color="auto"/>
              <w:right w:val="single" w:sz="4" w:space="0" w:color="auto"/>
            </w:tcBorders>
            <w:hideMark/>
          </w:tcPr>
          <w:p w14:paraId="6B091C94" w14:textId="77777777" w:rsidR="000D07EA" w:rsidRDefault="00BE7C89">
            <w:pPr>
              <w:pStyle w:val="BodyText"/>
              <w:spacing w:before="100" w:after="100"/>
              <w:rPr>
                <w:lang w:val="en-AU"/>
              </w:rPr>
            </w:pPr>
            <w:r>
              <w:t>Optus iZoo Downloads</w:t>
            </w:r>
          </w:p>
        </w:tc>
        <w:tc>
          <w:tcPr>
            <w:tcW w:w="4829" w:type="dxa"/>
            <w:tcBorders>
              <w:top w:val="single" w:sz="4" w:space="0" w:color="auto"/>
              <w:left w:val="single" w:sz="4" w:space="0" w:color="auto"/>
              <w:bottom w:val="single" w:sz="4" w:space="0" w:color="auto"/>
              <w:right w:val="single" w:sz="4" w:space="0" w:color="auto"/>
            </w:tcBorders>
            <w:hideMark/>
          </w:tcPr>
          <w:p w14:paraId="579A4955" w14:textId="77777777" w:rsidR="000D07EA" w:rsidRDefault="00BE7C89">
            <w:pPr>
              <w:pStyle w:val="BodyText"/>
              <w:spacing w:before="100" w:after="100"/>
              <w:rPr>
                <w:lang w:val="en-AU"/>
              </w:rPr>
            </w:pPr>
            <w:r>
              <w:t>No</w:t>
            </w:r>
          </w:p>
        </w:tc>
      </w:tr>
      <w:tr w:rsidR="000D07EA" w14:paraId="7E5C1673" w14:textId="77777777">
        <w:tc>
          <w:tcPr>
            <w:tcW w:w="4081" w:type="dxa"/>
            <w:tcBorders>
              <w:top w:val="single" w:sz="4" w:space="0" w:color="auto"/>
              <w:left w:val="single" w:sz="4" w:space="0" w:color="auto"/>
              <w:bottom w:val="single" w:sz="4" w:space="0" w:color="auto"/>
              <w:right w:val="single" w:sz="4" w:space="0" w:color="auto"/>
            </w:tcBorders>
            <w:hideMark/>
          </w:tcPr>
          <w:p w14:paraId="696C54BC" w14:textId="77777777" w:rsidR="000D07EA" w:rsidRDefault="00BE7C89">
            <w:pPr>
              <w:pStyle w:val="BodyText"/>
              <w:spacing w:before="100" w:after="100"/>
              <w:rPr>
                <w:lang w:val="en-AU"/>
              </w:rPr>
            </w:pPr>
            <w:r>
              <w:t>966* iZoo</w:t>
            </w:r>
          </w:p>
        </w:tc>
        <w:tc>
          <w:tcPr>
            <w:tcW w:w="4829" w:type="dxa"/>
            <w:tcBorders>
              <w:top w:val="single" w:sz="4" w:space="0" w:color="auto"/>
              <w:left w:val="single" w:sz="4" w:space="0" w:color="auto"/>
              <w:bottom w:val="single" w:sz="4" w:space="0" w:color="auto"/>
              <w:right w:val="single" w:sz="4" w:space="0" w:color="auto"/>
            </w:tcBorders>
            <w:hideMark/>
          </w:tcPr>
          <w:p w14:paraId="7BFB9A51" w14:textId="77777777" w:rsidR="000D07EA" w:rsidRDefault="00BE7C89">
            <w:pPr>
              <w:pStyle w:val="BodyText"/>
              <w:spacing w:before="100" w:after="100"/>
              <w:rPr>
                <w:lang w:val="en-AU"/>
              </w:rPr>
            </w:pPr>
            <w:r>
              <w:t>No</w:t>
            </w:r>
          </w:p>
        </w:tc>
      </w:tr>
      <w:tr w:rsidR="000D07EA" w14:paraId="1F6995A1" w14:textId="77777777">
        <w:tc>
          <w:tcPr>
            <w:tcW w:w="4081" w:type="dxa"/>
            <w:tcBorders>
              <w:top w:val="single" w:sz="4" w:space="0" w:color="auto"/>
              <w:left w:val="single" w:sz="4" w:space="0" w:color="auto"/>
              <w:bottom w:val="single" w:sz="4" w:space="0" w:color="auto"/>
              <w:right w:val="single" w:sz="4" w:space="0" w:color="auto"/>
            </w:tcBorders>
            <w:hideMark/>
          </w:tcPr>
          <w:p w14:paraId="2DD631E4" w14:textId="77777777" w:rsidR="000D07EA" w:rsidRDefault="00BE7C89">
            <w:pPr>
              <w:pStyle w:val="BodyText"/>
              <w:spacing w:before="100" w:after="100"/>
              <w:rPr>
                <w:lang w:val="en-AU"/>
              </w:rPr>
            </w:pPr>
            <w:r>
              <w:t>Mobile Internet usage</w:t>
            </w:r>
          </w:p>
        </w:tc>
        <w:tc>
          <w:tcPr>
            <w:tcW w:w="4829" w:type="dxa"/>
            <w:tcBorders>
              <w:top w:val="single" w:sz="4" w:space="0" w:color="auto"/>
              <w:left w:val="single" w:sz="4" w:space="0" w:color="auto"/>
              <w:bottom w:val="single" w:sz="4" w:space="0" w:color="auto"/>
              <w:right w:val="single" w:sz="4" w:space="0" w:color="auto"/>
            </w:tcBorders>
            <w:hideMark/>
          </w:tcPr>
          <w:p w14:paraId="0D44B1E7" w14:textId="77777777" w:rsidR="000D07EA" w:rsidRDefault="00BE7C89">
            <w:pPr>
              <w:pStyle w:val="BodyText"/>
              <w:spacing w:before="100" w:after="100"/>
              <w:rPr>
                <w:lang w:val="en-AU"/>
              </w:rPr>
            </w:pPr>
            <w:r>
              <w:t>No</w:t>
            </w:r>
          </w:p>
        </w:tc>
      </w:tr>
      <w:tr w:rsidR="000D07EA" w14:paraId="3E5A93D9" w14:textId="77777777">
        <w:tc>
          <w:tcPr>
            <w:tcW w:w="4081" w:type="dxa"/>
            <w:tcBorders>
              <w:top w:val="single" w:sz="4" w:space="0" w:color="auto"/>
              <w:left w:val="single" w:sz="4" w:space="0" w:color="auto"/>
              <w:bottom w:val="single" w:sz="4" w:space="0" w:color="auto"/>
              <w:right w:val="single" w:sz="4" w:space="0" w:color="auto"/>
            </w:tcBorders>
            <w:hideMark/>
          </w:tcPr>
          <w:p w14:paraId="309E097F" w14:textId="77777777" w:rsidR="000D07EA" w:rsidRDefault="00BE7C89">
            <w:pPr>
              <w:pStyle w:val="BodyText"/>
              <w:spacing w:before="100" w:after="100"/>
              <w:rPr>
                <w:lang w:val="en-AU"/>
              </w:rPr>
            </w:pPr>
            <w:r>
              <w:t>Data used while roaming internationally</w:t>
            </w:r>
          </w:p>
        </w:tc>
        <w:tc>
          <w:tcPr>
            <w:tcW w:w="4829" w:type="dxa"/>
            <w:tcBorders>
              <w:top w:val="single" w:sz="4" w:space="0" w:color="auto"/>
              <w:left w:val="single" w:sz="4" w:space="0" w:color="auto"/>
              <w:bottom w:val="single" w:sz="4" w:space="0" w:color="auto"/>
              <w:right w:val="single" w:sz="4" w:space="0" w:color="auto"/>
            </w:tcBorders>
            <w:hideMark/>
          </w:tcPr>
          <w:p w14:paraId="39DF15F8" w14:textId="77777777" w:rsidR="000D07EA" w:rsidRDefault="00BE7C89">
            <w:pPr>
              <w:pStyle w:val="BodyText"/>
              <w:spacing w:before="100" w:after="100"/>
              <w:rPr>
                <w:lang w:val="en-AU"/>
              </w:rPr>
            </w:pPr>
            <w:r>
              <w:t>No</w:t>
            </w:r>
          </w:p>
        </w:tc>
      </w:tr>
      <w:tr w:rsidR="000D07EA" w14:paraId="13D2BE0A" w14:textId="77777777">
        <w:tc>
          <w:tcPr>
            <w:tcW w:w="4081" w:type="dxa"/>
            <w:tcBorders>
              <w:top w:val="single" w:sz="4" w:space="0" w:color="auto"/>
              <w:left w:val="single" w:sz="4" w:space="0" w:color="auto"/>
              <w:bottom w:val="single" w:sz="4" w:space="0" w:color="auto"/>
              <w:right w:val="single" w:sz="4" w:space="0" w:color="auto"/>
            </w:tcBorders>
            <w:hideMark/>
          </w:tcPr>
          <w:p w14:paraId="33E6D3FC" w14:textId="77777777" w:rsidR="000D07EA" w:rsidRDefault="00BE7C89">
            <w:pPr>
              <w:pStyle w:val="BodyText"/>
              <w:keepNext/>
              <w:spacing w:before="100" w:after="100"/>
              <w:rPr>
                <w:lang w:val="en-AU"/>
              </w:rPr>
            </w:pPr>
            <w:r>
              <w:lastRenderedPageBreak/>
              <w:t>Content Packs</w:t>
            </w:r>
          </w:p>
        </w:tc>
        <w:tc>
          <w:tcPr>
            <w:tcW w:w="4829" w:type="dxa"/>
            <w:tcBorders>
              <w:top w:val="single" w:sz="4" w:space="0" w:color="auto"/>
              <w:left w:val="single" w:sz="4" w:space="0" w:color="auto"/>
              <w:bottom w:val="single" w:sz="4" w:space="0" w:color="auto"/>
              <w:right w:val="single" w:sz="4" w:space="0" w:color="auto"/>
            </w:tcBorders>
            <w:hideMark/>
          </w:tcPr>
          <w:p w14:paraId="395F3075" w14:textId="77777777" w:rsidR="000D07EA" w:rsidRDefault="00BE7C89">
            <w:pPr>
              <w:pStyle w:val="BodyText"/>
              <w:keepNext/>
              <w:spacing w:before="100" w:after="100"/>
              <w:rPr>
                <w:lang w:val="en-AU"/>
              </w:rPr>
            </w:pPr>
            <w:r>
              <w:t>No</w:t>
            </w:r>
          </w:p>
        </w:tc>
      </w:tr>
      <w:tr w:rsidR="000D07EA" w14:paraId="6E5F305E" w14:textId="77777777">
        <w:tc>
          <w:tcPr>
            <w:tcW w:w="4081" w:type="dxa"/>
            <w:tcBorders>
              <w:top w:val="single" w:sz="4" w:space="0" w:color="auto"/>
              <w:left w:val="single" w:sz="4" w:space="0" w:color="auto"/>
              <w:bottom w:val="single" w:sz="4" w:space="0" w:color="auto"/>
              <w:right w:val="single" w:sz="4" w:space="0" w:color="auto"/>
            </w:tcBorders>
            <w:hideMark/>
          </w:tcPr>
          <w:p w14:paraId="16D14EB1" w14:textId="77777777" w:rsidR="000D07EA" w:rsidRDefault="00BE7C89">
            <w:pPr>
              <w:pStyle w:val="BodyText"/>
              <w:spacing w:before="100" w:after="100"/>
              <w:rPr>
                <w:lang w:val="en-AU"/>
              </w:rPr>
            </w:pPr>
            <w:r>
              <w:t>TrueLocal Usage</w:t>
            </w:r>
          </w:p>
        </w:tc>
        <w:tc>
          <w:tcPr>
            <w:tcW w:w="4829" w:type="dxa"/>
            <w:tcBorders>
              <w:top w:val="single" w:sz="4" w:space="0" w:color="auto"/>
              <w:left w:val="single" w:sz="4" w:space="0" w:color="auto"/>
              <w:bottom w:val="single" w:sz="4" w:space="0" w:color="auto"/>
              <w:right w:val="single" w:sz="4" w:space="0" w:color="auto"/>
            </w:tcBorders>
            <w:hideMark/>
          </w:tcPr>
          <w:p w14:paraId="76C49398" w14:textId="77777777" w:rsidR="000D07EA" w:rsidRDefault="00BE7C89">
            <w:pPr>
              <w:pStyle w:val="BodyText"/>
              <w:spacing w:before="100" w:after="100"/>
              <w:rPr>
                <w:lang w:val="en-AU"/>
              </w:rPr>
            </w:pPr>
            <w:r>
              <w:t>No</w:t>
            </w:r>
          </w:p>
        </w:tc>
      </w:tr>
      <w:tr w:rsidR="000D07EA" w14:paraId="715AF2BD" w14:textId="77777777">
        <w:tc>
          <w:tcPr>
            <w:tcW w:w="4081" w:type="dxa"/>
            <w:tcBorders>
              <w:top w:val="single" w:sz="4" w:space="0" w:color="auto"/>
              <w:left w:val="single" w:sz="4" w:space="0" w:color="auto"/>
              <w:bottom w:val="single" w:sz="4" w:space="0" w:color="auto"/>
              <w:right w:val="single" w:sz="4" w:space="0" w:color="auto"/>
            </w:tcBorders>
            <w:hideMark/>
          </w:tcPr>
          <w:p w14:paraId="54CF739E" w14:textId="77777777" w:rsidR="000D07EA" w:rsidRDefault="00BE7C89">
            <w:pPr>
              <w:pStyle w:val="BodyText"/>
              <w:spacing w:before="100" w:after="100"/>
              <w:rPr>
                <w:lang w:val="en-AU"/>
              </w:rPr>
            </w:pPr>
            <w:r>
              <w:t>Directory Assistance – 1223</w:t>
            </w:r>
          </w:p>
        </w:tc>
        <w:tc>
          <w:tcPr>
            <w:tcW w:w="4829" w:type="dxa"/>
            <w:tcBorders>
              <w:top w:val="single" w:sz="4" w:space="0" w:color="auto"/>
              <w:left w:val="single" w:sz="4" w:space="0" w:color="auto"/>
              <w:bottom w:val="single" w:sz="4" w:space="0" w:color="auto"/>
              <w:right w:val="single" w:sz="4" w:space="0" w:color="auto"/>
            </w:tcBorders>
            <w:hideMark/>
          </w:tcPr>
          <w:p w14:paraId="35935CC6" w14:textId="77777777" w:rsidR="000D07EA" w:rsidRDefault="00BE7C89">
            <w:pPr>
              <w:pStyle w:val="BodyText"/>
              <w:spacing w:before="100" w:after="100"/>
              <w:rPr>
                <w:lang w:val="en-AU"/>
              </w:rPr>
            </w:pPr>
            <w:r>
              <w:t>No</w:t>
            </w:r>
          </w:p>
        </w:tc>
      </w:tr>
      <w:tr w:rsidR="000D07EA" w14:paraId="4617CEF4" w14:textId="77777777">
        <w:tc>
          <w:tcPr>
            <w:tcW w:w="4081" w:type="dxa"/>
            <w:tcBorders>
              <w:top w:val="single" w:sz="4" w:space="0" w:color="auto"/>
              <w:left w:val="single" w:sz="4" w:space="0" w:color="auto"/>
              <w:bottom w:val="single" w:sz="4" w:space="0" w:color="auto"/>
              <w:right w:val="single" w:sz="4" w:space="0" w:color="auto"/>
            </w:tcBorders>
            <w:hideMark/>
          </w:tcPr>
          <w:p w14:paraId="491F428F" w14:textId="77777777" w:rsidR="000D07EA" w:rsidRDefault="00BE7C89">
            <w:pPr>
              <w:pStyle w:val="BodyText"/>
              <w:spacing w:before="100" w:after="100"/>
              <w:rPr>
                <w:lang w:val="en-AU"/>
              </w:rPr>
            </w:pPr>
            <w:r>
              <w:t>19xx Numbers</w:t>
            </w:r>
          </w:p>
        </w:tc>
        <w:tc>
          <w:tcPr>
            <w:tcW w:w="4829" w:type="dxa"/>
            <w:tcBorders>
              <w:top w:val="single" w:sz="4" w:space="0" w:color="auto"/>
              <w:left w:val="single" w:sz="4" w:space="0" w:color="auto"/>
              <w:bottom w:val="single" w:sz="4" w:space="0" w:color="auto"/>
              <w:right w:val="single" w:sz="4" w:space="0" w:color="auto"/>
            </w:tcBorders>
            <w:hideMark/>
          </w:tcPr>
          <w:p w14:paraId="4F493234" w14:textId="77777777" w:rsidR="000D07EA" w:rsidRDefault="00BE7C89">
            <w:pPr>
              <w:pStyle w:val="BodyText"/>
              <w:spacing w:before="100" w:after="100"/>
              <w:rPr>
                <w:lang w:val="en-AU"/>
              </w:rPr>
            </w:pPr>
            <w:r>
              <w:t>No</w:t>
            </w:r>
          </w:p>
        </w:tc>
      </w:tr>
      <w:tr w:rsidR="000D07EA" w14:paraId="002C4DDD" w14:textId="77777777">
        <w:tc>
          <w:tcPr>
            <w:tcW w:w="4081" w:type="dxa"/>
            <w:tcBorders>
              <w:top w:val="single" w:sz="4" w:space="0" w:color="auto"/>
              <w:left w:val="single" w:sz="4" w:space="0" w:color="auto"/>
              <w:bottom w:val="single" w:sz="4" w:space="0" w:color="auto"/>
              <w:right w:val="single" w:sz="4" w:space="0" w:color="auto"/>
            </w:tcBorders>
            <w:hideMark/>
          </w:tcPr>
          <w:p w14:paraId="1A6B4D38" w14:textId="77777777" w:rsidR="000D07EA" w:rsidRDefault="00BE7C89">
            <w:pPr>
              <w:pStyle w:val="BodyText"/>
              <w:spacing w:before="100" w:after="100"/>
              <w:rPr>
                <w:lang w:val="en-AU"/>
              </w:rPr>
            </w:pPr>
            <w:r>
              <w:t>1800, 13 and 1300 Numbers</w:t>
            </w:r>
          </w:p>
        </w:tc>
        <w:tc>
          <w:tcPr>
            <w:tcW w:w="4829" w:type="dxa"/>
            <w:tcBorders>
              <w:top w:val="single" w:sz="4" w:space="0" w:color="auto"/>
              <w:left w:val="single" w:sz="4" w:space="0" w:color="auto"/>
              <w:bottom w:val="single" w:sz="4" w:space="0" w:color="auto"/>
              <w:right w:val="single" w:sz="4" w:space="0" w:color="auto"/>
            </w:tcBorders>
            <w:hideMark/>
          </w:tcPr>
          <w:p w14:paraId="217E2A5F" w14:textId="77777777" w:rsidR="000D07EA" w:rsidRDefault="00BE7C89">
            <w:pPr>
              <w:pStyle w:val="BodyText"/>
              <w:spacing w:before="100" w:after="100"/>
              <w:rPr>
                <w:lang w:val="en-AU"/>
              </w:rPr>
            </w:pPr>
            <w:r>
              <w:t>Yes</w:t>
            </w:r>
          </w:p>
        </w:tc>
      </w:tr>
      <w:tr w:rsidR="000D07EA" w14:paraId="3883775C" w14:textId="77777777">
        <w:tc>
          <w:tcPr>
            <w:tcW w:w="4081" w:type="dxa"/>
            <w:tcBorders>
              <w:top w:val="single" w:sz="4" w:space="0" w:color="auto"/>
              <w:left w:val="single" w:sz="4" w:space="0" w:color="auto"/>
              <w:bottom w:val="single" w:sz="4" w:space="0" w:color="auto"/>
              <w:right w:val="single" w:sz="4" w:space="0" w:color="auto"/>
            </w:tcBorders>
            <w:hideMark/>
          </w:tcPr>
          <w:p w14:paraId="3EB3D879" w14:textId="77777777" w:rsidR="000D07EA" w:rsidRDefault="00BE7C89">
            <w:pPr>
              <w:pStyle w:val="BodyText"/>
              <w:spacing w:before="100" w:after="100"/>
              <w:rPr>
                <w:lang w:val="en-AU"/>
              </w:rPr>
            </w:pPr>
            <w:r>
              <w:t>124YES(937)</w:t>
            </w:r>
          </w:p>
        </w:tc>
        <w:tc>
          <w:tcPr>
            <w:tcW w:w="4829" w:type="dxa"/>
            <w:tcBorders>
              <w:top w:val="single" w:sz="4" w:space="0" w:color="auto"/>
              <w:left w:val="single" w:sz="4" w:space="0" w:color="auto"/>
              <w:bottom w:val="single" w:sz="4" w:space="0" w:color="auto"/>
              <w:right w:val="single" w:sz="4" w:space="0" w:color="auto"/>
            </w:tcBorders>
            <w:hideMark/>
          </w:tcPr>
          <w:p w14:paraId="148474D9" w14:textId="77777777" w:rsidR="000D07EA" w:rsidRDefault="00BE7C89">
            <w:pPr>
              <w:pStyle w:val="BodyText"/>
              <w:spacing w:before="100" w:after="100"/>
              <w:rPr>
                <w:lang w:val="en-AU"/>
              </w:rPr>
            </w:pPr>
            <w:r>
              <w:t>Yes</w:t>
            </w:r>
          </w:p>
        </w:tc>
      </w:tr>
      <w:tr w:rsidR="000D07EA" w14:paraId="0095DA59" w14:textId="77777777">
        <w:tc>
          <w:tcPr>
            <w:tcW w:w="4081" w:type="dxa"/>
            <w:tcBorders>
              <w:top w:val="single" w:sz="4" w:space="0" w:color="auto"/>
              <w:left w:val="single" w:sz="4" w:space="0" w:color="auto"/>
              <w:bottom w:val="single" w:sz="4" w:space="0" w:color="auto"/>
              <w:right w:val="single" w:sz="4" w:space="0" w:color="auto"/>
            </w:tcBorders>
            <w:hideMark/>
          </w:tcPr>
          <w:p w14:paraId="2686C5B0" w14:textId="77777777" w:rsidR="000D07EA" w:rsidRDefault="00BE7C89">
            <w:pPr>
              <w:pStyle w:val="BodyText"/>
              <w:spacing w:before="100" w:after="100"/>
              <w:rPr>
                <w:lang w:val="en-AU"/>
              </w:rPr>
            </w:pPr>
            <w:r>
              <w:t>Fax and Data</w:t>
            </w:r>
          </w:p>
        </w:tc>
        <w:tc>
          <w:tcPr>
            <w:tcW w:w="4829" w:type="dxa"/>
            <w:tcBorders>
              <w:top w:val="single" w:sz="4" w:space="0" w:color="auto"/>
              <w:left w:val="single" w:sz="4" w:space="0" w:color="auto"/>
              <w:bottom w:val="single" w:sz="4" w:space="0" w:color="auto"/>
              <w:right w:val="single" w:sz="4" w:space="0" w:color="auto"/>
            </w:tcBorders>
            <w:hideMark/>
          </w:tcPr>
          <w:p w14:paraId="1B5AAC6F" w14:textId="77777777" w:rsidR="000D07EA" w:rsidRDefault="00BE7C89">
            <w:pPr>
              <w:pStyle w:val="BodyText"/>
              <w:spacing w:before="100" w:after="100"/>
              <w:rPr>
                <w:lang w:val="en-AU"/>
              </w:rPr>
            </w:pPr>
            <w:r>
              <w:t>No</w:t>
            </w:r>
          </w:p>
        </w:tc>
      </w:tr>
      <w:tr w:rsidR="000D07EA" w14:paraId="64F53F38" w14:textId="77777777">
        <w:tc>
          <w:tcPr>
            <w:tcW w:w="4081" w:type="dxa"/>
            <w:tcBorders>
              <w:top w:val="single" w:sz="4" w:space="0" w:color="auto"/>
              <w:left w:val="single" w:sz="4" w:space="0" w:color="auto"/>
              <w:bottom w:val="single" w:sz="4" w:space="0" w:color="auto"/>
              <w:right w:val="single" w:sz="4" w:space="0" w:color="auto"/>
            </w:tcBorders>
            <w:hideMark/>
          </w:tcPr>
          <w:p w14:paraId="0FE62868" w14:textId="77777777" w:rsidR="000D07EA" w:rsidRDefault="00BE7C89">
            <w:pPr>
              <w:pStyle w:val="BodyText"/>
              <w:spacing w:before="100" w:after="100"/>
              <w:rPr>
                <w:lang w:val="en-AU"/>
              </w:rPr>
            </w:pPr>
            <w:r>
              <w:t>Insurance</w:t>
            </w:r>
          </w:p>
        </w:tc>
        <w:tc>
          <w:tcPr>
            <w:tcW w:w="4829" w:type="dxa"/>
            <w:tcBorders>
              <w:top w:val="single" w:sz="4" w:space="0" w:color="auto"/>
              <w:left w:val="single" w:sz="4" w:space="0" w:color="auto"/>
              <w:bottom w:val="single" w:sz="4" w:space="0" w:color="auto"/>
              <w:right w:val="single" w:sz="4" w:space="0" w:color="auto"/>
            </w:tcBorders>
            <w:hideMark/>
          </w:tcPr>
          <w:p w14:paraId="0BA8C75F" w14:textId="77777777" w:rsidR="000D07EA" w:rsidRDefault="00BE7C89">
            <w:pPr>
              <w:pStyle w:val="BodyText"/>
              <w:spacing w:before="100" w:after="100"/>
              <w:rPr>
                <w:lang w:val="en-AU"/>
              </w:rPr>
            </w:pPr>
            <w:r>
              <w:t>No</w:t>
            </w:r>
          </w:p>
        </w:tc>
      </w:tr>
      <w:tr w:rsidR="000D07EA" w14:paraId="59ED2DEF" w14:textId="77777777">
        <w:tc>
          <w:tcPr>
            <w:tcW w:w="4081" w:type="dxa"/>
            <w:tcBorders>
              <w:top w:val="single" w:sz="4" w:space="0" w:color="auto"/>
              <w:left w:val="single" w:sz="4" w:space="0" w:color="auto"/>
              <w:bottom w:val="single" w:sz="4" w:space="0" w:color="auto"/>
              <w:right w:val="single" w:sz="4" w:space="0" w:color="auto"/>
            </w:tcBorders>
            <w:hideMark/>
          </w:tcPr>
          <w:p w14:paraId="2F873647" w14:textId="77777777" w:rsidR="000D07EA" w:rsidRDefault="00BE7C89">
            <w:pPr>
              <w:pStyle w:val="BodyText"/>
              <w:spacing w:before="100" w:after="100"/>
              <w:rPr>
                <w:lang w:val="en-AU"/>
              </w:rPr>
            </w:pPr>
            <w:r>
              <w:t>Surepage Diversions</w:t>
            </w:r>
          </w:p>
        </w:tc>
        <w:tc>
          <w:tcPr>
            <w:tcW w:w="4829" w:type="dxa"/>
            <w:tcBorders>
              <w:top w:val="single" w:sz="4" w:space="0" w:color="auto"/>
              <w:left w:val="single" w:sz="4" w:space="0" w:color="auto"/>
              <w:bottom w:val="single" w:sz="4" w:space="0" w:color="auto"/>
              <w:right w:val="single" w:sz="4" w:space="0" w:color="auto"/>
            </w:tcBorders>
            <w:hideMark/>
          </w:tcPr>
          <w:p w14:paraId="713A0560" w14:textId="77777777" w:rsidR="000D07EA" w:rsidRDefault="00BE7C89">
            <w:pPr>
              <w:pStyle w:val="BodyText"/>
              <w:spacing w:before="100" w:after="100"/>
              <w:rPr>
                <w:lang w:val="en-AU"/>
              </w:rPr>
            </w:pPr>
            <w:r>
              <w:t>Yes</w:t>
            </w:r>
          </w:p>
        </w:tc>
      </w:tr>
      <w:tr w:rsidR="000D07EA" w14:paraId="24CF9942" w14:textId="77777777">
        <w:tc>
          <w:tcPr>
            <w:tcW w:w="4081" w:type="dxa"/>
            <w:tcBorders>
              <w:top w:val="single" w:sz="4" w:space="0" w:color="auto"/>
              <w:left w:val="single" w:sz="4" w:space="0" w:color="auto"/>
              <w:bottom w:val="single" w:sz="4" w:space="0" w:color="auto"/>
              <w:right w:val="single" w:sz="4" w:space="0" w:color="auto"/>
            </w:tcBorders>
            <w:hideMark/>
          </w:tcPr>
          <w:p w14:paraId="7B07FF9D" w14:textId="77777777" w:rsidR="000D07EA" w:rsidRDefault="00BE7C89">
            <w:pPr>
              <w:pStyle w:val="BodyText"/>
              <w:spacing w:before="100" w:after="100"/>
              <w:rPr>
                <w:lang w:val="en-AU"/>
              </w:rPr>
            </w:pPr>
            <w:r>
              <w:t>Surepage usage and access</w:t>
            </w:r>
          </w:p>
        </w:tc>
        <w:tc>
          <w:tcPr>
            <w:tcW w:w="4829" w:type="dxa"/>
            <w:tcBorders>
              <w:top w:val="single" w:sz="4" w:space="0" w:color="auto"/>
              <w:left w:val="single" w:sz="4" w:space="0" w:color="auto"/>
              <w:bottom w:val="single" w:sz="4" w:space="0" w:color="auto"/>
              <w:right w:val="single" w:sz="4" w:space="0" w:color="auto"/>
            </w:tcBorders>
            <w:hideMark/>
          </w:tcPr>
          <w:p w14:paraId="7CE62969" w14:textId="77777777" w:rsidR="000D07EA" w:rsidRDefault="00BE7C89">
            <w:pPr>
              <w:pStyle w:val="BodyText"/>
              <w:spacing w:before="100" w:after="100"/>
              <w:rPr>
                <w:lang w:val="en-AU"/>
              </w:rPr>
            </w:pPr>
            <w:r>
              <w:t>No</w:t>
            </w:r>
          </w:p>
        </w:tc>
      </w:tr>
      <w:tr w:rsidR="000D07EA" w14:paraId="76B87E54" w14:textId="77777777">
        <w:tc>
          <w:tcPr>
            <w:tcW w:w="4081" w:type="dxa"/>
            <w:tcBorders>
              <w:top w:val="single" w:sz="4" w:space="0" w:color="auto"/>
              <w:left w:val="single" w:sz="4" w:space="0" w:color="auto"/>
              <w:bottom w:val="single" w:sz="4" w:space="0" w:color="auto"/>
              <w:right w:val="single" w:sz="4" w:space="0" w:color="auto"/>
            </w:tcBorders>
            <w:hideMark/>
          </w:tcPr>
          <w:p w14:paraId="4B37330C" w14:textId="77777777" w:rsidR="000D07EA" w:rsidRDefault="00BE7C89">
            <w:pPr>
              <w:pStyle w:val="BodyText"/>
              <w:spacing w:before="100" w:after="100"/>
              <w:rPr>
                <w:lang w:val="en-AU"/>
              </w:rPr>
            </w:pPr>
            <w:r>
              <w:t>Handset Payments</w:t>
            </w:r>
          </w:p>
        </w:tc>
        <w:tc>
          <w:tcPr>
            <w:tcW w:w="4829" w:type="dxa"/>
            <w:tcBorders>
              <w:top w:val="single" w:sz="4" w:space="0" w:color="auto"/>
              <w:left w:val="single" w:sz="4" w:space="0" w:color="auto"/>
              <w:bottom w:val="single" w:sz="4" w:space="0" w:color="auto"/>
              <w:right w:val="single" w:sz="4" w:space="0" w:color="auto"/>
            </w:tcBorders>
            <w:hideMark/>
          </w:tcPr>
          <w:p w14:paraId="1FAE246F" w14:textId="77777777" w:rsidR="000D07EA" w:rsidRDefault="00BE7C89">
            <w:pPr>
              <w:pStyle w:val="BodyText"/>
              <w:spacing w:before="100" w:after="100"/>
              <w:rPr>
                <w:lang w:val="en-AU"/>
              </w:rPr>
            </w:pPr>
            <w:r>
              <w:t>No</w:t>
            </w:r>
          </w:p>
        </w:tc>
      </w:tr>
      <w:tr w:rsidR="000D07EA" w14:paraId="12144C2A" w14:textId="77777777">
        <w:tc>
          <w:tcPr>
            <w:tcW w:w="4081" w:type="dxa"/>
            <w:tcBorders>
              <w:top w:val="single" w:sz="4" w:space="0" w:color="auto"/>
              <w:left w:val="single" w:sz="4" w:space="0" w:color="auto"/>
              <w:bottom w:val="single" w:sz="4" w:space="0" w:color="auto"/>
              <w:right w:val="single" w:sz="4" w:space="0" w:color="auto"/>
            </w:tcBorders>
            <w:hideMark/>
          </w:tcPr>
          <w:p w14:paraId="1ED34BB6" w14:textId="77777777" w:rsidR="000D07EA" w:rsidRDefault="00BE7C89">
            <w:pPr>
              <w:pStyle w:val="BodyText"/>
              <w:spacing w:before="100" w:after="100"/>
              <w:rPr>
                <w:lang w:val="en-AU"/>
              </w:rPr>
            </w:pPr>
            <w:r>
              <w:t>Calls to Satellite</w:t>
            </w:r>
          </w:p>
        </w:tc>
        <w:tc>
          <w:tcPr>
            <w:tcW w:w="4829" w:type="dxa"/>
            <w:tcBorders>
              <w:top w:val="single" w:sz="4" w:space="0" w:color="auto"/>
              <w:left w:val="single" w:sz="4" w:space="0" w:color="auto"/>
              <w:bottom w:val="single" w:sz="4" w:space="0" w:color="auto"/>
              <w:right w:val="single" w:sz="4" w:space="0" w:color="auto"/>
            </w:tcBorders>
            <w:hideMark/>
          </w:tcPr>
          <w:p w14:paraId="2B0C4DE0" w14:textId="77777777" w:rsidR="000D07EA" w:rsidRDefault="00BE7C89">
            <w:pPr>
              <w:pStyle w:val="BodyText"/>
              <w:spacing w:before="100" w:after="100"/>
              <w:rPr>
                <w:lang w:val="en-AU"/>
              </w:rPr>
            </w:pPr>
            <w:r>
              <w:t>No</w:t>
            </w:r>
          </w:p>
        </w:tc>
      </w:tr>
      <w:tr w:rsidR="000D07EA" w14:paraId="29829797" w14:textId="77777777">
        <w:tc>
          <w:tcPr>
            <w:tcW w:w="4081" w:type="dxa"/>
            <w:tcBorders>
              <w:top w:val="single" w:sz="4" w:space="0" w:color="auto"/>
              <w:left w:val="single" w:sz="4" w:space="0" w:color="auto"/>
              <w:bottom w:val="single" w:sz="4" w:space="0" w:color="auto"/>
              <w:right w:val="single" w:sz="4" w:space="0" w:color="auto"/>
            </w:tcBorders>
            <w:hideMark/>
          </w:tcPr>
          <w:p w14:paraId="2FBAAD2B" w14:textId="77777777" w:rsidR="000D07EA" w:rsidRDefault="00BE7C89">
            <w:pPr>
              <w:pStyle w:val="BodyText"/>
              <w:spacing w:before="100" w:after="100"/>
              <w:rPr>
                <w:lang w:val="en-AU"/>
              </w:rPr>
            </w:pPr>
            <w:r>
              <w:t>VoIP services</w:t>
            </w:r>
          </w:p>
        </w:tc>
        <w:tc>
          <w:tcPr>
            <w:tcW w:w="4829" w:type="dxa"/>
            <w:tcBorders>
              <w:top w:val="single" w:sz="4" w:space="0" w:color="auto"/>
              <w:left w:val="single" w:sz="4" w:space="0" w:color="auto"/>
              <w:bottom w:val="single" w:sz="4" w:space="0" w:color="auto"/>
              <w:right w:val="single" w:sz="4" w:space="0" w:color="auto"/>
            </w:tcBorders>
            <w:hideMark/>
          </w:tcPr>
          <w:p w14:paraId="27921028" w14:textId="77777777" w:rsidR="000D07EA" w:rsidRDefault="00BE7C89">
            <w:pPr>
              <w:pStyle w:val="BodyText"/>
              <w:spacing w:before="100" w:after="100"/>
              <w:rPr>
                <w:lang w:val="en-AU"/>
              </w:rPr>
            </w:pPr>
            <w:r>
              <w:t>No</w:t>
            </w:r>
          </w:p>
        </w:tc>
      </w:tr>
    </w:tbl>
    <w:p w14:paraId="11FE3328" w14:textId="77777777" w:rsidR="000D07EA" w:rsidRDefault="000D07EA">
      <w:pPr>
        <w:pStyle w:val="BodyText"/>
        <w:ind w:left="720"/>
      </w:pPr>
    </w:p>
    <w:p w14:paraId="5FFD3AF4" w14:textId="77777777" w:rsidR="000D07EA" w:rsidRDefault="00BE7C89">
      <w:pPr>
        <w:pStyle w:val="BodyText"/>
        <w:ind w:left="1440"/>
        <w:rPr>
          <w:b/>
        </w:rPr>
      </w:pPr>
      <w:r>
        <w:rPr>
          <w:b/>
        </w:rPr>
        <w:t>Table 2A</w:t>
      </w:r>
    </w:p>
    <w:tbl>
      <w:tblPr>
        <w:tblW w:w="8910" w:type="dxa"/>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81"/>
        <w:gridCol w:w="4829"/>
      </w:tblGrid>
      <w:tr w:rsidR="000D07EA" w14:paraId="750F0DE9" w14:textId="77777777">
        <w:trPr>
          <w:tblHeader/>
        </w:trPr>
        <w:tc>
          <w:tcPr>
            <w:tcW w:w="4081" w:type="dxa"/>
            <w:hideMark/>
          </w:tcPr>
          <w:p w14:paraId="10CB900A" w14:textId="77777777" w:rsidR="000D07EA" w:rsidRDefault="00BE7C89">
            <w:pPr>
              <w:pStyle w:val="BodyText"/>
              <w:spacing w:before="100" w:after="100"/>
              <w:rPr>
                <w:b/>
                <w:lang w:val="en-AU"/>
              </w:rPr>
            </w:pPr>
            <w:r>
              <w:rPr>
                <w:b/>
              </w:rPr>
              <w:t>Call Type</w:t>
            </w:r>
          </w:p>
        </w:tc>
        <w:tc>
          <w:tcPr>
            <w:tcW w:w="4829" w:type="dxa"/>
            <w:hideMark/>
          </w:tcPr>
          <w:p w14:paraId="6C618A99" w14:textId="77777777" w:rsidR="000D07EA" w:rsidRDefault="00BE7C89">
            <w:pPr>
              <w:pStyle w:val="BodyText"/>
              <w:spacing w:before="100" w:after="100"/>
              <w:rPr>
                <w:b/>
                <w:lang w:val="en-AU"/>
              </w:rPr>
            </w:pPr>
            <w:r>
              <w:rPr>
                <w:b/>
              </w:rPr>
              <w:t>Eligible Data</w:t>
            </w:r>
          </w:p>
        </w:tc>
      </w:tr>
      <w:tr w:rsidR="000D07EA" w14:paraId="5C94711B" w14:textId="77777777">
        <w:tc>
          <w:tcPr>
            <w:tcW w:w="4081" w:type="dxa"/>
            <w:hideMark/>
          </w:tcPr>
          <w:p w14:paraId="5D958713" w14:textId="77777777" w:rsidR="000D07EA" w:rsidRDefault="00BE7C89">
            <w:pPr>
              <w:pStyle w:val="BodyText"/>
              <w:spacing w:before="100" w:after="100"/>
              <w:rPr>
                <w:lang w:val="en-AU"/>
              </w:rPr>
            </w:pPr>
            <w:r>
              <w:t>National Voice Calls</w:t>
            </w:r>
          </w:p>
        </w:tc>
        <w:tc>
          <w:tcPr>
            <w:tcW w:w="4829" w:type="dxa"/>
            <w:hideMark/>
          </w:tcPr>
          <w:p w14:paraId="4C6BBF3D" w14:textId="77777777" w:rsidR="000D07EA" w:rsidRDefault="00BE7C89">
            <w:pPr>
              <w:pStyle w:val="BodyText"/>
              <w:spacing w:before="100" w:after="100"/>
              <w:rPr>
                <w:lang w:val="en-AU"/>
              </w:rPr>
            </w:pPr>
            <w:r>
              <w:t>No</w:t>
            </w:r>
          </w:p>
        </w:tc>
      </w:tr>
      <w:tr w:rsidR="000D07EA" w14:paraId="19936009" w14:textId="77777777">
        <w:tc>
          <w:tcPr>
            <w:tcW w:w="4081" w:type="dxa"/>
            <w:hideMark/>
          </w:tcPr>
          <w:p w14:paraId="45C412DE" w14:textId="77777777" w:rsidR="000D07EA" w:rsidRDefault="00BE7C89">
            <w:pPr>
              <w:pStyle w:val="BodyText"/>
              <w:spacing w:before="100" w:after="100"/>
              <w:rPr>
                <w:sz w:val="24"/>
                <w:szCs w:val="20"/>
                <w:lang w:val="en-AU"/>
              </w:rPr>
            </w:pPr>
            <w:r>
              <w:t xml:space="preserve">International Voice Calls </w:t>
            </w:r>
          </w:p>
          <w:p w14:paraId="0E14A45F" w14:textId="77777777" w:rsidR="000D07EA" w:rsidRDefault="00BE7C89">
            <w:pPr>
              <w:pStyle w:val="BodyText"/>
              <w:spacing w:before="100" w:after="100"/>
              <w:rPr>
                <w:lang w:val="en-AU"/>
              </w:rPr>
            </w:pPr>
            <w:r>
              <w:t>(including calls to national fixed or GSM mobile services that then divert/switch or re-route overseas)</w:t>
            </w:r>
          </w:p>
        </w:tc>
        <w:tc>
          <w:tcPr>
            <w:tcW w:w="4829" w:type="dxa"/>
            <w:hideMark/>
          </w:tcPr>
          <w:p w14:paraId="48F27C32" w14:textId="77777777" w:rsidR="000D07EA" w:rsidRDefault="00BE7C89">
            <w:pPr>
              <w:pStyle w:val="BodyText"/>
              <w:spacing w:before="100" w:after="100"/>
              <w:rPr>
                <w:lang w:val="en-AU"/>
              </w:rPr>
            </w:pPr>
            <w:r>
              <w:t>No</w:t>
            </w:r>
          </w:p>
        </w:tc>
      </w:tr>
      <w:tr w:rsidR="000D07EA" w14:paraId="46355CDF" w14:textId="77777777">
        <w:tc>
          <w:tcPr>
            <w:tcW w:w="4081" w:type="dxa"/>
            <w:hideMark/>
          </w:tcPr>
          <w:p w14:paraId="45D7F2E4" w14:textId="77777777" w:rsidR="000D07EA" w:rsidRDefault="00BE7C89">
            <w:pPr>
              <w:pStyle w:val="BodyText"/>
              <w:spacing w:before="100" w:after="100"/>
              <w:rPr>
                <w:lang w:val="en-AU"/>
              </w:rPr>
            </w:pPr>
            <w:r>
              <w:t>National Standard SMS</w:t>
            </w:r>
          </w:p>
        </w:tc>
        <w:tc>
          <w:tcPr>
            <w:tcW w:w="4829" w:type="dxa"/>
            <w:hideMark/>
          </w:tcPr>
          <w:p w14:paraId="088DE275" w14:textId="77777777" w:rsidR="000D07EA" w:rsidRDefault="00BE7C89">
            <w:pPr>
              <w:pStyle w:val="BodyText"/>
              <w:spacing w:before="100" w:after="100"/>
              <w:rPr>
                <w:lang w:val="en-AU"/>
              </w:rPr>
            </w:pPr>
            <w:r>
              <w:t>No</w:t>
            </w:r>
          </w:p>
        </w:tc>
      </w:tr>
      <w:tr w:rsidR="000D07EA" w14:paraId="31B1D428" w14:textId="77777777">
        <w:tc>
          <w:tcPr>
            <w:tcW w:w="4081" w:type="dxa"/>
            <w:hideMark/>
          </w:tcPr>
          <w:p w14:paraId="0838C3F6" w14:textId="77777777" w:rsidR="000D07EA" w:rsidRDefault="00BE7C89">
            <w:pPr>
              <w:pStyle w:val="BodyText"/>
              <w:spacing w:before="100" w:after="100"/>
              <w:rPr>
                <w:lang w:val="en-AU"/>
              </w:rPr>
            </w:pPr>
            <w:r>
              <w:t>International SMS</w:t>
            </w:r>
          </w:p>
        </w:tc>
        <w:tc>
          <w:tcPr>
            <w:tcW w:w="4829" w:type="dxa"/>
            <w:hideMark/>
          </w:tcPr>
          <w:p w14:paraId="04C26BE5" w14:textId="77777777" w:rsidR="000D07EA" w:rsidRDefault="00BE7C89">
            <w:pPr>
              <w:pStyle w:val="BodyText"/>
              <w:spacing w:before="100" w:after="100"/>
              <w:rPr>
                <w:lang w:val="en-AU"/>
              </w:rPr>
            </w:pPr>
            <w:r>
              <w:t>No</w:t>
            </w:r>
          </w:p>
        </w:tc>
      </w:tr>
      <w:tr w:rsidR="000D07EA" w14:paraId="47C06BF8" w14:textId="77777777">
        <w:tc>
          <w:tcPr>
            <w:tcW w:w="4081" w:type="dxa"/>
            <w:hideMark/>
          </w:tcPr>
          <w:p w14:paraId="0E24E391" w14:textId="77777777" w:rsidR="000D07EA" w:rsidRDefault="00BE7C89">
            <w:pPr>
              <w:pStyle w:val="BodyText"/>
              <w:spacing w:before="100" w:after="100"/>
              <w:rPr>
                <w:lang w:val="en-AU"/>
              </w:rPr>
            </w:pPr>
            <w:r>
              <w:t>Premium SMS</w:t>
            </w:r>
          </w:p>
        </w:tc>
        <w:tc>
          <w:tcPr>
            <w:tcW w:w="4829" w:type="dxa"/>
            <w:hideMark/>
          </w:tcPr>
          <w:p w14:paraId="383AEDC5" w14:textId="77777777" w:rsidR="000D07EA" w:rsidRDefault="00BE7C89">
            <w:pPr>
              <w:pStyle w:val="BodyText"/>
              <w:spacing w:before="100" w:after="100"/>
              <w:rPr>
                <w:lang w:val="en-AU"/>
              </w:rPr>
            </w:pPr>
            <w:r>
              <w:t>No</w:t>
            </w:r>
          </w:p>
        </w:tc>
      </w:tr>
      <w:tr w:rsidR="000D07EA" w14:paraId="153CD3FA" w14:textId="77777777">
        <w:tc>
          <w:tcPr>
            <w:tcW w:w="4081" w:type="dxa"/>
            <w:hideMark/>
          </w:tcPr>
          <w:p w14:paraId="3BFAD4EC" w14:textId="77777777" w:rsidR="000D07EA" w:rsidRDefault="00BE7C89">
            <w:pPr>
              <w:pStyle w:val="BodyText"/>
              <w:spacing w:before="100" w:after="100"/>
              <w:rPr>
                <w:lang w:val="en-AU"/>
              </w:rPr>
            </w:pPr>
            <w:r>
              <w:t>Voicemail Diversions</w:t>
            </w:r>
          </w:p>
        </w:tc>
        <w:tc>
          <w:tcPr>
            <w:tcW w:w="4829" w:type="dxa"/>
            <w:hideMark/>
          </w:tcPr>
          <w:p w14:paraId="20C734AF" w14:textId="77777777" w:rsidR="000D07EA" w:rsidRDefault="00BE7C89">
            <w:pPr>
              <w:pStyle w:val="BodyText"/>
              <w:spacing w:before="100" w:after="100"/>
              <w:rPr>
                <w:lang w:val="en-AU"/>
              </w:rPr>
            </w:pPr>
            <w:r>
              <w:t>No</w:t>
            </w:r>
          </w:p>
        </w:tc>
      </w:tr>
      <w:tr w:rsidR="000D07EA" w14:paraId="2E06B0C3" w14:textId="77777777">
        <w:tc>
          <w:tcPr>
            <w:tcW w:w="4081" w:type="dxa"/>
            <w:hideMark/>
          </w:tcPr>
          <w:p w14:paraId="599CCC59" w14:textId="77777777" w:rsidR="000D07EA" w:rsidRDefault="00BE7C89">
            <w:pPr>
              <w:pStyle w:val="BodyText"/>
              <w:spacing w:before="100" w:after="100"/>
              <w:rPr>
                <w:lang w:val="en-AU"/>
              </w:rPr>
            </w:pPr>
            <w:r>
              <w:t>Voicemail Deposits and Retrievals</w:t>
            </w:r>
          </w:p>
        </w:tc>
        <w:tc>
          <w:tcPr>
            <w:tcW w:w="4829" w:type="dxa"/>
            <w:hideMark/>
          </w:tcPr>
          <w:p w14:paraId="6F586AD0" w14:textId="77777777" w:rsidR="000D07EA" w:rsidRDefault="00BE7C89">
            <w:pPr>
              <w:pStyle w:val="BodyText"/>
              <w:spacing w:before="100" w:after="100"/>
              <w:rPr>
                <w:lang w:val="en-AU"/>
              </w:rPr>
            </w:pPr>
            <w:r>
              <w:t>No</w:t>
            </w:r>
          </w:p>
        </w:tc>
      </w:tr>
      <w:tr w:rsidR="000D07EA" w14:paraId="4ECEB26E" w14:textId="77777777">
        <w:tc>
          <w:tcPr>
            <w:tcW w:w="4081" w:type="dxa"/>
            <w:hideMark/>
          </w:tcPr>
          <w:p w14:paraId="51B804C7" w14:textId="77777777" w:rsidR="000D07EA" w:rsidRDefault="00BE7C89">
            <w:pPr>
              <w:pStyle w:val="BodyText"/>
              <w:spacing w:before="100" w:after="100"/>
              <w:rPr>
                <w:lang w:val="en-AU"/>
              </w:rPr>
            </w:pPr>
            <w:r>
              <w:t>International Roaming and Diversions</w:t>
            </w:r>
          </w:p>
        </w:tc>
        <w:tc>
          <w:tcPr>
            <w:tcW w:w="4829" w:type="dxa"/>
            <w:hideMark/>
          </w:tcPr>
          <w:p w14:paraId="1B9C1B44" w14:textId="77777777" w:rsidR="000D07EA" w:rsidRDefault="00BE7C89">
            <w:pPr>
              <w:pStyle w:val="BodyText"/>
              <w:spacing w:before="100" w:after="100"/>
              <w:rPr>
                <w:lang w:val="en-AU"/>
              </w:rPr>
            </w:pPr>
            <w:r>
              <w:t>No</w:t>
            </w:r>
          </w:p>
        </w:tc>
      </w:tr>
      <w:tr w:rsidR="000D07EA" w14:paraId="12218979" w14:textId="77777777">
        <w:tc>
          <w:tcPr>
            <w:tcW w:w="4081" w:type="dxa"/>
            <w:hideMark/>
          </w:tcPr>
          <w:p w14:paraId="6A9FFEAC" w14:textId="77777777" w:rsidR="000D07EA" w:rsidRDefault="00BE7C89">
            <w:pPr>
              <w:pStyle w:val="BodyText"/>
              <w:spacing w:before="100" w:after="100"/>
              <w:rPr>
                <w:lang w:val="en-AU"/>
              </w:rPr>
            </w:pPr>
            <w:r>
              <w:t>Optus Zoo Browsing</w:t>
            </w:r>
          </w:p>
        </w:tc>
        <w:tc>
          <w:tcPr>
            <w:tcW w:w="4829" w:type="dxa"/>
            <w:hideMark/>
          </w:tcPr>
          <w:p w14:paraId="16FA0F16" w14:textId="77777777" w:rsidR="000D07EA" w:rsidRDefault="00BE7C89">
            <w:pPr>
              <w:pStyle w:val="BodyText"/>
              <w:spacing w:before="100" w:after="100"/>
              <w:rPr>
                <w:lang w:val="en-AU"/>
              </w:rPr>
            </w:pPr>
            <w:r>
              <w:t>Yes, up to the monthly included data amount specified in the Pricing Plan table below</w:t>
            </w:r>
          </w:p>
        </w:tc>
      </w:tr>
      <w:tr w:rsidR="000D07EA" w14:paraId="3FAE6632" w14:textId="77777777">
        <w:tc>
          <w:tcPr>
            <w:tcW w:w="4081" w:type="dxa"/>
            <w:hideMark/>
          </w:tcPr>
          <w:p w14:paraId="2BA3AF90" w14:textId="77777777" w:rsidR="000D07EA" w:rsidRDefault="00BE7C89">
            <w:pPr>
              <w:pStyle w:val="BodyText"/>
              <w:spacing w:before="100" w:after="100"/>
              <w:rPr>
                <w:lang w:val="en-AU"/>
              </w:rPr>
            </w:pPr>
            <w:r>
              <w:t>Optus Zoo Downloads</w:t>
            </w:r>
          </w:p>
        </w:tc>
        <w:tc>
          <w:tcPr>
            <w:tcW w:w="4829" w:type="dxa"/>
            <w:hideMark/>
          </w:tcPr>
          <w:p w14:paraId="41930187" w14:textId="77777777" w:rsidR="000D07EA" w:rsidRDefault="00BE7C89">
            <w:pPr>
              <w:pStyle w:val="BodyText"/>
              <w:spacing w:before="100" w:after="100"/>
              <w:rPr>
                <w:lang w:val="en-AU"/>
              </w:rPr>
            </w:pPr>
            <w:r>
              <w:t>No</w:t>
            </w:r>
          </w:p>
        </w:tc>
      </w:tr>
      <w:tr w:rsidR="000D07EA" w14:paraId="50532562" w14:textId="77777777">
        <w:tc>
          <w:tcPr>
            <w:tcW w:w="4081" w:type="dxa"/>
            <w:hideMark/>
          </w:tcPr>
          <w:p w14:paraId="209350F3" w14:textId="77777777" w:rsidR="000D07EA" w:rsidRDefault="00BE7C89">
            <w:pPr>
              <w:pStyle w:val="BodyText"/>
              <w:spacing w:before="100" w:after="100"/>
              <w:rPr>
                <w:lang w:val="en-AU"/>
              </w:rPr>
            </w:pPr>
            <w:r>
              <w:t>966* Zoo</w:t>
            </w:r>
          </w:p>
        </w:tc>
        <w:tc>
          <w:tcPr>
            <w:tcW w:w="4829" w:type="dxa"/>
            <w:hideMark/>
          </w:tcPr>
          <w:p w14:paraId="4E954A60" w14:textId="77777777" w:rsidR="000D07EA" w:rsidRDefault="00BE7C89">
            <w:pPr>
              <w:pStyle w:val="BodyText"/>
              <w:spacing w:before="100" w:after="100"/>
              <w:rPr>
                <w:lang w:val="en-AU"/>
              </w:rPr>
            </w:pPr>
            <w:r>
              <w:t>No</w:t>
            </w:r>
          </w:p>
        </w:tc>
      </w:tr>
      <w:tr w:rsidR="000D07EA" w14:paraId="6228AF38" w14:textId="77777777">
        <w:tc>
          <w:tcPr>
            <w:tcW w:w="4081" w:type="dxa"/>
            <w:hideMark/>
          </w:tcPr>
          <w:p w14:paraId="20CDF8A5" w14:textId="77777777" w:rsidR="000D07EA" w:rsidRDefault="00BE7C89">
            <w:pPr>
              <w:pStyle w:val="BodyText"/>
              <w:keepNext/>
              <w:spacing w:before="100" w:after="100"/>
              <w:rPr>
                <w:lang w:val="en-AU"/>
              </w:rPr>
            </w:pPr>
            <w:r>
              <w:lastRenderedPageBreak/>
              <w:t>Mobile Internet Usage</w:t>
            </w:r>
          </w:p>
        </w:tc>
        <w:tc>
          <w:tcPr>
            <w:tcW w:w="4829" w:type="dxa"/>
            <w:hideMark/>
          </w:tcPr>
          <w:p w14:paraId="18C895D4" w14:textId="77777777" w:rsidR="000D07EA" w:rsidRDefault="00BE7C89">
            <w:pPr>
              <w:pStyle w:val="BodyText"/>
              <w:keepNext/>
              <w:spacing w:before="100" w:after="100"/>
              <w:rPr>
                <w:lang w:val="en-AU"/>
              </w:rPr>
            </w:pPr>
            <w:r>
              <w:t>Yes, up to the monthly included data amount specified in the Pricing Plan table below</w:t>
            </w:r>
          </w:p>
        </w:tc>
      </w:tr>
      <w:tr w:rsidR="000D07EA" w14:paraId="202F85DE" w14:textId="77777777">
        <w:tc>
          <w:tcPr>
            <w:tcW w:w="4081" w:type="dxa"/>
            <w:hideMark/>
          </w:tcPr>
          <w:p w14:paraId="4DD6E2F1" w14:textId="77777777" w:rsidR="000D07EA" w:rsidRDefault="00BE7C89">
            <w:pPr>
              <w:pStyle w:val="BodyText"/>
              <w:keepNext/>
              <w:spacing w:before="100" w:after="100"/>
              <w:rPr>
                <w:lang w:val="en-AU"/>
              </w:rPr>
            </w:pPr>
            <w:r>
              <w:t>Data used while roaming internationally</w:t>
            </w:r>
          </w:p>
        </w:tc>
        <w:tc>
          <w:tcPr>
            <w:tcW w:w="4829" w:type="dxa"/>
            <w:hideMark/>
          </w:tcPr>
          <w:p w14:paraId="47CD0B18" w14:textId="77777777" w:rsidR="000D07EA" w:rsidRDefault="00BE7C89">
            <w:pPr>
              <w:pStyle w:val="BodyText"/>
              <w:keepNext/>
              <w:spacing w:before="100" w:after="100"/>
              <w:rPr>
                <w:lang w:val="en-AU"/>
              </w:rPr>
            </w:pPr>
            <w:r>
              <w:t>No</w:t>
            </w:r>
          </w:p>
        </w:tc>
      </w:tr>
      <w:tr w:rsidR="000D07EA" w14:paraId="52781258" w14:textId="77777777">
        <w:tc>
          <w:tcPr>
            <w:tcW w:w="4081" w:type="dxa"/>
            <w:hideMark/>
          </w:tcPr>
          <w:p w14:paraId="5A2F4993" w14:textId="77777777" w:rsidR="000D07EA" w:rsidRDefault="00BE7C89">
            <w:pPr>
              <w:pStyle w:val="BodyText"/>
              <w:spacing w:before="100" w:after="100"/>
              <w:rPr>
                <w:lang w:val="en-AU"/>
              </w:rPr>
            </w:pPr>
            <w:r>
              <w:t>Content Packs</w:t>
            </w:r>
          </w:p>
        </w:tc>
        <w:tc>
          <w:tcPr>
            <w:tcW w:w="4829" w:type="dxa"/>
            <w:hideMark/>
          </w:tcPr>
          <w:p w14:paraId="63266185" w14:textId="77777777" w:rsidR="000D07EA" w:rsidRDefault="00BE7C89">
            <w:pPr>
              <w:pStyle w:val="BodyText"/>
              <w:spacing w:before="100" w:after="100"/>
              <w:rPr>
                <w:lang w:val="en-AU"/>
              </w:rPr>
            </w:pPr>
            <w:r>
              <w:t>No</w:t>
            </w:r>
          </w:p>
        </w:tc>
      </w:tr>
      <w:tr w:rsidR="000D07EA" w14:paraId="1AFBB912" w14:textId="77777777">
        <w:tc>
          <w:tcPr>
            <w:tcW w:w="4081" w:type="dxa"/>
            <w:hideMark/>
          </w:tcPr>
          <w:p w14:paraId="63648A71" w14:textId="77777777" w:rsidR="000D07EA" w:rsidRDefault="00BE7C89">
            <w:pPr>
              <w:pStyle w:val="BodyText"/>
              <w:spacing w:before="100" w:after="100"/>
              <w:rPr>
                <w:lang w:val="en-AU"/>
              </w:rPr>
            </w:pPr>
            <w:r>
              <w:t>TrueLocal Usage</w:t>
            </w:r>
          </w:p>
        </w:tc>
        <w:tc>
          <w:tcPr>
            <w:tcW w:w="4829" w:type="dxa"/>
            <w:hideMark/>
          </w:tcPr>
          <w:p w14:paraId="231FEE0A" w14:textId="77777777" w:rsidR="000D07EA" w:rsidRDefault="00BE7C89">
            <w:pPr>
              <w:pStyle w:val="BodyText"/>
              <w:spacing w:before="100" w:after="100"/>
              <w:rPr>
                <w:lang w:val="en-AU"/>
              </w:rPr>
            </w:pPr>
            <w:r>
              <w:t>No</w:t>
            </w:r>
          </w:p>
        </w:tc>
      </w:tr>
      <w:tr w:rsidR="000D07EA" w14:paraId="69C82456" w14:textId="77777777">
        <w:tc>
          <w:tcPr>
            <w:tcW w:w="4081" w:type="dxa"/>
            <w:hideMark/>
          </w:tcPr>
          <w:p w14:paraId="45F7AD4C" w14:textId="77777777" w:rsidR="000D07EA" w:rsidRDefault="00BE7C89">
            <w:pPr>
              <w:pStyle w:val="BodyText"/>
              <w:spacing w:before="100" w:after="100"/>
              <w:rPr>
                <w:lang w:val="en-AU"/>
              </w:rPr>
            </w:pPr>
            <w:r>
              <w:t>Directory Assistance – 1223</w:t>
            </w:r>
          </w:p>
        </w:tc>
        <w:tc>
          <w:tcPr>
            <w:tcW w:w="4829" w:type="dxa"/>
            <w:hideMark/>
          </w:tcPr>
          <w:p w14:paraId="49C01A92" w14:textId="77777777" w:rsidR="000D07EA" w:rsidRDefault="00BE7C89">
            <w:pPr>
              <w:pStyle w:val="BodyText"/>
              <w:spacing w:before="100" w:after="100"/>
              <w:rPr>
                <w:lang w:val="en-AU"/>
              </w:rPr>
            </w:pPr>
            <w:r>
              <w:t>No</w:t>
            </w:r>
          </w:p>
        </w:tc>
      </w:tr>
      <w:tr w:rsidR="000D07EA" w14:paraId="5B9D2CE1" w14:textId="77777777">
        <w:tc>
          <w:tcPr>
            <w:tcW w:w="4081" w:type="dxa"/>
            <w:hideMark/>
          </w:tcPr>
          <w:p w14:paraId="3E26D427" w14:textId="77777777" w:rsidR="000D07EA" w:rsidRDefault="00BE7C89">
            <w:pPr>
              <w:pStyle w:val="BodyText"/>
              <w:spacing w:before="100" w:after="100"/>
              <w:rPr>
                <w:lang w:val="en-AU"/>
              </w:rPr>
            </w:pPr>
            <w:r>
              <w:t>19xx Numbers</w:t>
            </w:r>
          </w:p>
        </w:tc>
        <w:tc>
          <w:tcPr>
            <w:tcW w:w="4829" w:type="dxa"/>
            <w:hideMark/>
          </w:tcPr>
          <w:p w14:paraId="72A5BEFF" w14:textId="77777777" w:rsidR="000D07EA" w:rsidRDefault="00BE7C89">
            <w:pPr>
              <w:pStyle w:val="BodyText"/>
              <w:spacing w:before="100" w:after="100"/>
              <w:rPr>
                <w:lang w:val="en-AU"/>
              </w:rPr>
            </w:pPr>
            <w:r>
              <w:t>No</w:t>
            </w:r>
          </w:p>
        </w:tc>
      </w:tr>
      <w:tr w:rsidR="000D07EA" w14:paraId="4F0A7C64" w14:textId="77777777">
        <w:tc>
          <w:tcPr>
            <w:tcW w:w="4081" w:type="dxa"/>
            <w:hideMark/>
          </w:tcPr>
          <w:p w14:paraId="37CF9179" w14:textId="77777777" w:rsidR="000D07EA" w:rsidRDefault="00BE7C89">
            <w:pPr>
              <w:pStyle w:val="BodyText"/>
              <w:spacing w:before="100" w:after="100"/>
              <w:rPr>
                <w:lang w:val="en-AU"/>
              </w:rPr>
            </w:pPr>
            <w:r>
              <w:t>1800, 13 and 1300 Numbers</w:t>
            </w:r>
          </w:p>
        </w:tc>
        <w:tc>
          <w:tcPr>
            <w:tcW w:w="4829" w:type="dxa"/>
            <w:hideMark/>
          </w:tcPr>
          <w:p w14:paraId="310CB1B7" w14:textId="77777777" w:rsidR="000D07EA" w:rsidRDefault="00BE7C89">
            <w:pPr>
              <w:pStyle w:val="BodyText"/>
              <w:spacing w:before="100" w:after="100"/>
              <w:rPr>
                <w:lang w:val="en-AU"/>
              </w:rPr>
            </w:pPr>
            <w:r>
              <w:t>No</w:t>
            </w:r>
          </w:p>
        </w:tc>
      </w:tr>
      <w:tr w:rsidR="000D07EA" w14:paraId="77D84E27" w14:textId="77777777">
        <w:tc>
          <w:tcPr>
            <w:tcW w:w="4081" w:type="dxa"/>
            <w:hideMark/>
          </w:tcPr>
          <w:p w14:paraId="6052EA08" w14:textId="77777777" w:rsidR="000D07EA" w:rsidRDefault="00BE7C89">
            <w:pPr>
              <w:pStyle w:val="BodyText"/>
              <w:spacing w:before="100" w:after="100"/>
              <w:rPr>
                <w:lang w:val="en-AU"/>
              </w:rPr>
            </w:pPr>
            <w:r>
              <w:t>124YES(937)</w:t>
            </w:r>
          </w:p>
        </w:tc>
        <w:tc>
          <w:tcPr>
            <w:tcW w:w="4829" w:type="dxa"/>
            <w:hideMark/>
          </w:tcPr>
          <w:p w14:paraId="67E92FB6" w14:textId="77777777" w:rsidR="000D07EA" w:rsidRDefault="00BE7C89">
            <w:pPr>
              <w:pStyle w:val="BodyText"/>
              <w:spacing w:before="100" w:after="100"/>
              <w:rPr>
                <w:lang w:val="en-AU"/>
              </w:rPr>
            </w:pPr>
            <w:r>
              <w:t>No</w:t>
            </w:r>
          </w:p>
        </w:tc>
      </w:tr>
      <w:tr w:rsidR="000D07EA" w14:paraId="3E5D3BDC" w14:textId="77777777">
        <w:tc>
          <w:tcPr>
            <w:tcW w:w="4081" w:type="dxa"/>
            <w:hideMark/>
          </w:tcPr>
          <w:p w14:paraId="403B23BB" w14:textId="77777777" w:rsidR="000D07EA" w:rsidRDefault="00BE7C89">
            <w:pPr>
              <w:pStyle w:val="BodyText"/>
              <w:spacing w:before="100" w:after="100"/>
              <w:rPr>
                <w:lang w:val="en-AU"/>
              </w:rPr>
            </w:pPr>
            <w:r>
              <w:t>Fax and Data</w:t>
            </w:r>
          </w:p>
        </w:tc>
        <w:tc>
          <w:tcPr>
            <w:tcW w:w="4829" w:type="dxa"/>
            <w:hideMark/>
          </w:tcPr>
          <w:p w14:paraId="37D696A0" w14:textId="77777777" w:rsidR="000D07EA" w:rsidRDefault="00BE7C89">
            <w:pPr>
              <w:pStyle w:val="BodyText"/>
              <w:spacing w:before="100" w:after="100"/>
              <w:rPr>
                <w:lang w:val="en-AU"/>
              </w:rPr>
            </w:pPr>
            <w:r>
              <w:t>No</w:t>
            </w:r>
          </w:p>
        </w:tc>
      </w:tr>
      <w:tr w:rsidR="000D07EA" w14:paraId="4BAD619C" w14:textId="77777777">
        <w:tc>
          <w:tcPr>
            <w:tcW w:w="4081" w:type="dxa"/>
            <w:hideMark/>
          </w:tcPr>
          <w:p w14:paraId="19CE488E" w14:textId="77777777" w:rsidR="000D07EA" w:rsidRDefault="00BE7C89">
            <w:pPr>
              <w:pStyle w:val="BodyText"/>
              <w:spacing w:before="100" w:after="100"/>
              <w:rPr>
                <w:lang w:val="en-AU"/>
              </w:rPr>
            </w:pPr>
            <w:r>
              <w:t>Insurance</w:t>
            </w:r>
          </w:p>
        </w:tc>
        <w:tc>
          <w:tcPr>
            <w:tcW w:w="4829" w:type="dxa"/>
            <w:hideMark/>
          </w:tcPr>
          <w:p w14:paraId="19C23D10" w14:textId="77777777" w:rsidR="000D07EA" w:rsidRDefault="00BE7C89">
            <w:pPr>
              <w:pStyle w:val="BodyText"/>
              <w:spacing w:before="100" w:after="100"/>
              <w:rPr>
                <w:lang w:val="en-AU"/>
              </w:rPr>
            </w:pPr>
            <w:r>
              <w:t>No</w:t>
            </w:r>
          </w:p>
        </w:tc>
      </w:tr>
      <w:tr w:rsidR="000D07EA" w14:paraId="29F24BCE" w14:textId="77777777">
        <w:tc>
          <w:tcPr>
            <w:tcW w:w="4081" w:type="dxa"/>
            <w:hideMark/>
          </w:tcPr>
          <w:p w14:paraId="55866C7F" w14:textId="77777777" w:rsidR="000D07EA" w:rsidRDefault="00BE7C89">
            <w:pPr>
              <w:pStyle w:val="BodyText"/>
              <w:spacing w:before="100" w:after="100"/>
              <w:rPr>
                <w:lang w:val="en-AU"/>
              </w:rPr>
            </w:pPr>
            <w:r>
              <w:t>Surepage Diversions</w:t>
            </w:r>
          </w:p>
        </w:tc>
        <w:tc>
          <w:tcPr>
            <w:tcW w:w="4829" w:type="dxa"/>
            <w:hideMark/>
          </w:tcPr>
          <w:p w14:paraId="20FD2146" w14:textId="77777777" w:rsidR="000D07EA" w:rsidRDefault="00BE7C89">
            <w:pPr>
              <w:pStyle w:val="BodyText"/>
              <w:spacing w:before="100" w:after="100"/>
              <w:rPr>
                <w:lang w:val="en-AU"/>
              </w:rPr>
            </w:pPr>
            <w:r>
              <w:t>No</w:t>
            </w:r>
          </w:p>
        </w:tc>
      </w:tr>
      <w:tr w:rsidR="000D07EA" w14:paraId="35EE6209" w14:textId="77777777">
        <w:tc>
          <w:tcPr>
            <w:tcW w:w="4081" w:type="dxa"/>
            <w:hideMark/>
          </w:tcPr>
          <w:p w14:paraId="4F52DB5A" w14:textId="77777777" w:rsidR="000D07EA" w:rsidRDefault="00BE7C89">
            <w:pPr>
              <w:pStyle w:val="BodyText"/>
              <w:spacing w:before="100" w:after="100"/>
              <w:rPr>
                <w:lang w:val="en-AU"/>
              </w:rPr>
            </w:pPr>
            <w:r>
              <w:t>Surepage Usage and Access</w:t>
            </w:r>
          </w:p>
        </w:tc>
        <w:tc>
          <w:tcPr>
            <w:tcW w:w="4829" w:type="dxa"/>
            <w:hideMark/>
          </w:tcPr>
          <w:p w14:paraId="38B5EA68" w14:textId="77777777" w:rsidR="000D07EA" w:rsidRDefault="00BE7C89">
            <w:pPr>
              <w:pStyle w:val="BodyText"/>
              <w:spacing w:before="100" w:after="100"/>
              <w:rPr>
                <w:lang w:val="en-AU"/>
              </w:rPr>
            </w:pPr>
            <w:r>
              <w:t>No</w:t>
            </w:r>
          </w:p>
        </w:tc>
      </w:tr>
      <w:tr w:rsidR="000D07EA" w14:paraId="18A58188" w14:textId="77777777">
        <w:tc>
          <w:tcPr>
            <w:tcW w:w="4081" w:type="dxa"/>
            <w:hideMark/>
          </w:tcPr>
          <w:p w14:paraId="1533CD56" w14:textId="77777777" w:rsidR="000D07EA" w:rsidRDefault="00BE7C89">
            <w:pPr>
              <w:pStyle w:val="BodyText"/>
              <w:spacing w:before="100" w:after="100"/>
              <w:rPr>
                <w:lang w:val="en-AU"/>
              </w:rPr>
            </w:pPr>
            <w:r>
              <w:t>Handset Payments</w:t>
            </w:r>
          </w:p>
        </w:tc>
        <w:tc>
          <w:tcPr>
            <w:tcW w:w="4829" w:type="dxa"/>
            <w:hideMark/>
          </w:tcPr>
          <w:p w14:paraId="7F591C74" w14:textId="77777777" w:rsidR="000D07EA" w:rsidRDefault="00BE7C89">
            <w:pPr>
              <w:pStyle w:val="BodyText"/>
              <w:spacing w:before="100" w:after="100"/>
              <w:rPr>
                <w:lang w:val="en-AU"/>
              </w:rPr>
            </w:pPr>
            <w:r>
              <w:t>No</w:t>
            </w:r>
          </w:p>
        </w:tc>
      </w:tr>
      <w:tr w:rsidR="000D07EA" w14:paraId="672C30A5" w14:textId="77777777">
        <w:tc>
          <w:tcPr>
            <w:tcW w:w="4081" w:type="dxa"/>
            <w:hideMark/>
          </w:tcPr>
          <w:p w14:paraId="20670DC2" w14:textId="77777777" w:rsidR="000D07EA" w:rsidRDefault="00BE7C89">
            <w:pPr>
              <w:pStyle w:val="BodyText"/>
              <w:spacing w:before="100" w:after="100"/>
              <w:rPr>
                <w:lang w:val="en-AU"/>
              </w:rPr>
            </w:pPr>
            <w:r>
              <w:t>Calls to Satellite</w:t>
            </w:r>
          </w:p>
        </w:tc>
        <w:tc>
          <w:tcPr>
            <w:tcW w:w="4829" w:type="dxa"/>
            <w:hideMark/>
          </w:tcPr>
          <w:p w14:paraId="2C878CAA" w14:textId="77777777" w:rsidR="000D07EA" w:rsidRDefault="00BE7C89">
            <w:pPr>
              <w:pStyle w:val="BodyText"/>
              <w:spacing w:before="100" w:after="100"/>
              <w:rPr>
                <w:lang w:val="en-AU"/>
              </w:rPr>
            </w:pPr>
            <w:r>
              <w:t>No</w:t>
            </w:r>
          </w:p>
        </w:tc>
      </w:tr>
      <w:tr w:rsidR="000D07EA" w14:paraId="7481146D" w14:textId="77777777">
        <w:tc>
          <w:tcPr>
            <w:tcW w:w="4081" w:type="dxa"/>
            <w:hideMark/>
          </w:tcPr>
          <w:p w14:paraId="25531072" w14:textId="77777777" w:rsidR="000D07EA" w:rsidRDefault="00BE7C89">
            <w:pPr>
              <w:pStyle w:val="BodyText"/>
              <w:spacing w:before="100" w:after="100"/>
              <w:rPr>
                <w:lang w:val="en-AU"/>
              </w:rPr>
            </w:pPr>
            <w:r>
              <w:t>VoIP Services</w:t>
            </w:r>
          </w:p>
        </w:tc>
        <w:tc>
          <w:tcPr>
            <w:tcW w:w="4829" w:type="dxa"/>
            <w:hideMark/>
          </w:tcPr>
          <w:p w14:paraId="7EAAAB78" w14:textId="77777777" w:rsidR="000D07EA" w:rsidRDefault="00BE7C89">
            <w:pPr>
              <w:pStyle w:val="BodyText"/>
              <w:spacing w:before="100" w:after="100"/>
              <w:rPr>
                <w:lang w:val="en-AU"/>
              </w:rPr>
            </w:pPr>
            <w:r>
              <w:t>No</w:t>
            </w:r>
          </w:p>
        </w:tc>
      </w:tr>
    </w:tbl>
    <w:p w14:paraId="16F980ED" w14:textId="77777777" w:rsidR="000D07EA" w:rsidRDefault="000D07EA">
      <w:pPr>
        <w:pStyle w:val="BodyText"/>
      </w:pPr>
    </w:p>
    <w:p w14:paraId="7CD3CA27" w14:textId="77777777" w:rsidR="000D07EA" w:rsidRDefault="00BE7C89">
      <w:pPr>
        <w:pStyle w:val="BodyText"/>
        <w:ind w:left="1440"/>
        <w:rPr>
          <w:b/>
        </w:rPr>
      </w:pPr>
      <w:r>
        <w:rPr>
          <w:b/>
        </w:rPr>
        <w:t>TABLE 3A – Charges and Cap Amounts for the Business Internet Cap $59</w:t>
      </w:r>
    </w:p>
    <w:tbl>
      <w:tblPr>
        <w:tblW w:w="8912" w:type="dxa"/>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0"/>
        <w:gridCol w:w="4772"/>
      </w:tblGrid>
      <w:tr w:rsidR="000D07EA" w14:paraId="11D71B80" w14:textId="77777777">
        <w:trPr>
          <w:trHeight w:val="60"/>
          <w:tblHeader/>
        </w:trPr>
        <w:tc>
          <w:tcPr>
            <w:tcW w:w="4140" w:type="dxa"/>
            <w:hideMark/>
          </w:tcPr>
          <w:p w14:paraId="63FF3400" w14:textId="77777777" w:rsidR="000D07EA" w:rsidRDefault="00BE7C89">
            <w:pPr>
              <w:pStyle w:val="BodyText"/>
              <w:spacing w:before="100" w:after="100"/>
              <w:rPr>
                <w:b/>
                <w:sz w:val="24"/>
                <w:lang w:val="en-AU" w:eastAsia="ko-KR"/>
              </w:rPr>
            </w:pPr>
            <w:r>
              <w:rPr>
                <w:b/>
                <w:lang w:eastAsia="ko-KR"/>
              </w:rPr>
              <w:t>Month to Month, 12 and 24 Month Plans</w:t>
            </w:r>
          </w:p>
        </w:tc>
        <w:tc>
          <w:tcPr>
            <w:tcW w:w="4772" w:type="dxa"/>
            <w:hideMark/>
          </w:tcPr>
          <w:p w14:paraId="507ACB53" w14:textId="77777777" w:rsidR="000D07EA" w:rsidRDefault="00BE7C89">
            <w:pPr>
              <w:pStyle w:val="BodyText"/>
              <w:spacing w:before="100" w:after="100"/>
              <w:rPr>
                <w:sz w:val="24"/>
                <w:lang w:val="en-AU" w:eastAsia="ko-KR"/>
              </w:rPr>
            </w:pPr>
            <w:r>
              <w:t>Business Internet Cap $59</w:t>
            </w:r>
          </w:p>
        </w:tc>
      </w:tr>
      <w:tr w:rsidR="000D07EA" w14:paraId="2E623AA5" w14:textId="77777777">
        <w:trPr>
          <w:trHeight w:val="381"/>
        </w:trPr>
        <w:tc>
          <w:tcPr>
            <w:tcW w:w="4140" w:type="dxa"/>
            <w:hideMark/>
          </w:tcPr>
          <w:p w14:paraId="0446CA01" w14:textId="77777777" w:rsidR="000D07EA" w:rsidRDefault="00BE7C89">
            <w:pPr>
              <w:pStyle w:val="BodyText"/>
              <w:spacing w:before="100" w:after="100"/>
              <w:rPr>
                <w:b/>
                <w:sz w:val="24"/>
                <w:lang w:val="en-AU" w:eastAsia="ko-KR"/>
              </w:rPr>
            </w:pPr>
            <w:r>
              <w:rPr>
                <w:b/>
                <w:lang w:eastAsia="ko-KR"/>
              </w:rPr>
              <w:t>Cap Start</w:t>
            </w:r>
          </w:p>
        </w:tc>
        <w:tc>
          <w:tcPr>
            <w:tcW w:w="4772" w:type="dxa"/>
            <w:hideMark/>
          </w:tcPr>
          <w:p w14:paraId="2AC04D4D" w14:textId="77777777" w:rsidR="000D07EA" w:rsidRDefault="00BE7C89">
            <w:pPr>
              <w:pStyle w:val="BodyText"/>
              <w:spacing w:before="100" w:after="100"/>
              <w:rPr>
                <w:sz w:val="24"/>
                <w:lang w:val="en-AU" w:eastAsia="ko-KR"/>
              </w:rPr>
            </w:pPr>
            <w:r>
              <w:rPr>
                <w:lang w:eastAsia="ko-KR"/>
              </w:rPr>
              <w:t>$59</w:t>
            </w:r>
          </w:p>
        </w:tc>
      </w:tr>
      <w:tr w:rsidR="000D07EA" w14:paraId="761CAF33" w14:textId="77777777">
        <w:trPr>
          <w:trHeight w:val="413"/>
        </w:trPr>
        <w:tc>
          <w:tcPr>
            <w:tcW w:w="4140" w:type="dxa"/>
            <w:hideMark/>
          </w:tcPr>
          <w:p w14:paraId="0970A436" w14:textId="77777777" w:rsidR="000D07EA" w:rsidRDefault="00BE7C89">
            <w:pPr>
              <w:pStyle w:val="BodyText"/>
              <w:spacing w:before="100" w:after="100"/>
              <w:rPr>
                <w:b/>
                <w:sz w:val="24"/>
                <w:lang w:val="en-AU" w:eastAsia="ko-KR"/>
              </w:rPr>
            </w:pPr>
            <w:r>
              <w:rPr>
                <w:b/>
                <w:lang w:eastAsia="ko-KR"/>
              </w:rPr>
              <w:t>Cap Limit</w:t>
            </w:r>
          </w:p>
        </w:tc>
        <w:tc>
          <w:tcPr>
            <w:tcW w:w="4772" w:type="dxa"/>
            <w:hideMark/>
          </w:tcPr>
          <w:p w14:paraId="41585E0B" w14:textId="77777777" w:rsidR="000D07EA" w:rsidRDefault="00BE7C89">
            <w:pPr>
              <w:pStyle w:val="BodyText"/>
              <w:spacing w:before="100" w:after="100"/>
              <w:rPr>
                <w:sz w:val="24"/>
                <w:lang w:val="en-AU" w:eastAsia="ko-KR"/>
              </w:rPr>
            </w:pPr>
            <w:r>
              <w:rPr>
                <w:lang w:eastAsia="ko-KR"/>
              </w:rPr>
              <w:t>$350</w:t>
            </w:r>
          </w:p>
        </w:tc>
      </w:tr>
      <w:tr w:rsidR="000D07EA" w14:paraId="59F3B1FF" w14:textId="77777777">
        <w:trPr>
          <w:trHeight w:val="60"/>
        </w:trPr>
        <w:tc>
          <w:tcPr>
            <w:tcW w:w="4140" w:type="dxa"/>
            <w:hideMark/>
          </w:tcPr>
          <w:p w14:paraId="457A2440" w14:textId="77777777" w:rsidR="000D07EA" w:rsidRDefault="00BE7C89">
            <w:pPr>
              <w:pStyle w:val="BodyText"/>
              <w:spacing w:before="100" w:after="100"/>
              <w:rPr>
                <w:b/>
                <w:sz w:val="24"/>
                <w:lang w:val="en-AU" w:eastAsia="ko-KR"/>
              </w:rPr>
            </w:pPr>
            <w:r>
              <w:rPr>
                <w:b/>
                <w:lang w:eastAsia="ko-KR"/>
              </w:rPr>
              <w:t>Minimum Monthly charge</w:t>
            </w:r>
          </w:p>
        </w:tc>
        <w:tc>
          <w:tcPr>
            <w:tcW w:w="4772" w:type="dxa"/>
            <w:hideMark/>
          </w:tcPr>
          <w:p w14:paraId="79CD744D" w14:textId="77777777" w:rsidR="000D07EA" w:rsidRDefault="00BE7C89">
            <w:pPr>
              <w:pStyle w:val="BodyText"/>
              <w:spacing w:before="100" w:after="100"/>
              <w:rPr>
                <w:sz w:val="24"/>
                <w:lang w:val="en-AU" w:eastAsia="ko-KR"/>
              </w:rPr>
            </w:pPr>
            <w:r>
              <w:rPr>
                <w:lang w:eastAsia="ko-KR"/>
              </w:rPr>
              <w:t>$59</w:t>
            </w:r>
          </w:p>
        </w:tc>
      </w:tr>
      <w:tr w:rsidR="000D07EA" w14:paraId="27DA98C1" w14:textId="77777777">
        <w:trPr>
          <w:trHeight w:val="60"/>
        </w:trPr>
        <w:tc>
          <w:tcPr>
            <w:tcW w:w="4140" w:type="dxa"/>
            <w:hideMark/>
          </w:tcPr>
          <w:p w14:paraId="75005F92" w14:textId="77777777" w:rsidR="000D07EA" w:rsidRDefault="00BE7C89">
            <w:pPr>
              <w:pStyle w:val="BodyText"/>
              <w:spacing w:before="100" w:after="100"/>
              <w:rPr>
                <w:b/>
                <w:sz w:val="24"/>
                <w:lang w:val="en-AU" w:eastAsia="ko-KR"/>
              </w:rPr>
            </w:pPr>
            <w:r>
              <w:rPr>
                <w:b/>
                <w:lang w:eastAsia="ko-KR"/>
              </w:rPr>
              <w:t>Monthly included Mobile Internet Data</w:t>
            </w:r>
          </w:p>
        </w:tc>
        <w:tc>
          <w:tcPr>
            <w:tcW w:w="4772" w:type="dxa"/>
            <w:hideMark/>
          </w:tcPr>
          <w:p w14:paraId="2A5F5F5F" w14:textId="77777777" w:rsidR="000D07EA" w:rsidRDefault="00BE7C89">
            <w:pPr>
              <w:pStyle w:val="BodyText"/>
              <w:spacing w:before="100" w:after="100"/>
              <w:rPr>
                <w:sz w:val="24"/>
                <w:lang w:val="en-AU" w:eastAsia="ko-KR"/>
              </w:rPr>
            </w:pPr>
            <w:r>
              <w:rPr>
                <w:lang w:eastAsia="ko-KR"/>
              </w:rPr>
              <w:t>500MB</w:t>
            </w:r>
          </w:p>
        </w:tc>
      </w:tr>
      <w:tr w:rsidR="000D07EA" w14:paraId="680C08BC" w14:textId="77777777">
        <w:trPr>
          <w:trHeight w:val="60"/>
        </w:trPr>
        <w:tc>
          <w:tcPr>
            <w:tcW w:w="4140" w:type="dxa"/>
            <w:hideMark/>
          </w:tcPr>
          <w:p w14:paraId="0822E468" w14:textId="77777777" w:rsidR="000D07EA" w:rsidRDefault="00BE7C89">
            <w:pPr>
              <w:pStyle w:val="BodyText"/>
              <w:spacing w:before="100" w:after="100"/>
              <w:rPr>
                <w:b/>
                <w:sz w:val="24"/>
                <w:lang w:val="en-AU" w:eastAsia="ko-KR"/>
              </w:rPr>
            </w:pPr>
            <w:r>
              <w:rPr>
                <w:b/>
                <w:lang w:eastAsia="ko-KR"/>
              </w:rPr>
              <w:t xml:space="preserve">National Voice call charges </w:t>
            </w:r>
            <w:r>
              <w:rPr>
                <w:lang w:eastAsia="ko-KR"/>
              </w:rPr>
              <w:t>(per 30 seconds)</w:t>
            </w:r>
          </w:p>
        </w:tc>
        <w:tc>
          <w:tcPr>
            <w:tcW w:w="4772" w:type="dxa"/>
            <w:hideMark/>
          </w:tcPr>
          <w:p w14:paraId="3DA1176A" w14:textId="77777777" w:rsidR="000D07EA" w:rsidRDefault="00BE7C89">
            <w:pPr>
              <w:pStyle w:val="BodyText"/>
              <w:spacing w:before="100" w:after="100"/>
              <w:rPr>
                <w:sz w:val="24"/>
                <w:lang w:val="en-AU" w:eastAsia="ko-KR"/>
              </w:rPr>
            </w:pPr>
            <w:r>
              <w:rPr>
                <w:lang w:eastAsia="ko-KR"/>
              </w:rPr>
              <w:t>$0.40</w:t>
            </w:r>
          </w:p>
        </w:tc>
      </w:tr>
      <w:tr w:rsidR="000D07EA" w14:paraId="37E120CD" w14:textId="77777777">
        <w:trPr>
          <w:trHeight w:val="60"/>
        </w:trPr>
        <w:tc>
          <w:tcPr>
            <w:tcW w:w="4140" w:type="dxa"/>
            <w:hideMark/>
          </w:tcPr>
          <w:p w14:paraId="30B7FC39" w14:textId="77777777" w:rsidR="000D07EA" w:rsidRDefault="00BE7C89">
            <w:pPr>
              <w:pStyle w:val="BodyText"/>
              <w:spacing w:before="100" w:after="100"/>
              <w:rPr>
                <w:b/>
                <w:sz w:val="24"/>
                <w:lang w:val="en-AU" w:eastAsia="ko-KR"/>
              </w:rPr>
            </w:pPr>
            <w:r>
              <w:rPr>
                <w:b/>
                <w:i/>
                <w:iCs/>
                <w:lang w:eastAsia="ko-KR"/>
              </w:rPr>
              <w:t>Flagfall</w:t>
            </w:r>
            <w:r>
              <w:rPr>
                <w:b/>
                <w:lang w:eastAsia="ko-KR"/>
              </w:rPr>
              <w:t xml:space="preserve"> for national voice calls (Call Connection Charge) </w:t>
            </w:r>
          </w:p>
        </w:tc>
        <w:tc>
          <w:tcPr>
            <w:tcW w:w="4772" w:type="dxa"/>
            <w:hideMark/>
          </w:tcPr>
          <w:p w14:paraId="1D53EE13" w14:textId="77777777" w:rsidR="000D07EA" w:rsidRDefault="00BE7C89">
            <w:pPr>
              <w:pStyle w:val="BodyText"/>
              <w:spacing w:before="100" w:after="100"/>
              <w:rPr>
                <w:sz w:val="24"/>
                <w:lang w:val="en-AU" w:eastAsia="ko-KR"/>
              </w:rPr>
            </w:pPr>
            <w:r>
              <w:rPr>
                <w:lang w:eastAsia="ko-KR"/>
              </w:rPr>
              <w:t>$0.35</w:t>
            </w:r>
          </w:p>
        </w:tc>
      </w:tr>
      <w:tr w:rsidR="000D07EA" w14:paraId="746841D1" w14:textId="77777777">
        <w:trPr>
          <w:trHeight w:val="60"/>
        </w:trPr>
        <w:tc>
          <w:tcPr>
            <w:tcW w:w="4140" w:type="dxa"/>
            <w:hideMark/>
          </w:tcPr>
          <w:p w14:paraId="52B42067" w14:textId="77777777" w:rsidR="000D07EA" w:rsidRDefault="00BE7C89">
            <w:pPr>
              <w:pStyle w:val="BodyText"/>
              <w:spacing w:before="100" w:after="100"/>
              <w:rPr>
                <w:b/>
                <w:sz w:val="24"/>
                <w:lang w:val="en-AU" w:eastAsia="ko-KR"/>
              </w:rPr>
            </w:pPr>
            <w:r>
              <w:rPr>
                <w:b/>
                <w:lang w:eastAsia="ko-KR"/>
              </w:rPr>
              <w:t>Other call charges (for example international calls, calls to mobiles)</w:t>
            </w:r>
          </w:p>
        </w:tc>
        <w:tc>
          <w:tcPr>
            <w:tcW w:w="4772" w:type="dxa"/>
            <w:hideMark/>
          </w:tcPr>
          <w:p w14:paraId="634BF7A4" w14:textId="77777777" w:rsidR="000D07EA" w:rsidRDefault="00BE7C89">
            <w:pPr>
              <w:pStyle w:val="BodyText"/>
              <w:spacing w:before="100" w:after="100"/>
              <w:rPr>
                <w:sz w:val="24"/>
                <w:lang w:val="en-AU" w:eastAsia="ko-KR"/>
              </w:rPr>
            </w:pPr>
            <w:r>
              <w:rPr>
                <w:lang w:eastAsia="ko-KR"/>
              </w:rPr>
              <w:t xml:space="preserve">See section 1 of this </w:t>
            </w:r>
            <w:r>
              <w:rPr>
                <w:i/>
                <w:iCs/>
                <w:lang w:eastAsia="ko-KR"/>
              </w:rPr>
              <w:t>standard pricing table</w:t>
            </w:r>
            <w:r>
              <w:rPr>
                <w:lang w:eastAsia="ko-KR"/>
              </w:rPr>
              <w:t xml:space="preserve"> and Appendix Y (Value Added Service Features) </w:t>
            </w:r>
          </w:p>
        </w:tc>
      </w:tr>
      <w:tr w:rsidR="000D07EA" w14:paraId="2E0BB24D" w14:textId="77777777">
        <w:trPr>
          <w:trHeight w:val="60"/>
        </w:trPr>
        <w:tc>
          <w:tcPr>
            <w:tcW w:w="4140" w:type="dxa"/>
            <w:hideMark/>
          </w:tcPr>
          <w:p w14:paraId="5EB1D6B3" w14:textId="77777777" w:rsidR="000D07EA" w:rsidRDefault="00BE7C89">
            <w:pPr>
              <w:pStyle w:val="BodyText"/>
              <w:spacing w:before="100" w:after="100"/>
              <w:rPr>
                <w:b/>
                <w:sz w:val="24"/>
                <w:lang w:val="en-AU" w:eastAsia="ko-KR"/>
              </w:rPr>
            </w:pPr>
            <w:r>
              <w:rPr>
                <w:b/>
                <w:lang w:eastAsia="ko-KR"/>
              </w:rPr>
              <w:t xml:space="preserve">Other conditions </w:t>
            </w:r>
            <w:r>
              <w:rPr>
                <w:lang w:eastAsia="ko-KR"/>
              </w:rPr>
              <w:t xml:space="preserve">(for details see </w:t>
            </w:r>
            <w:r w:rsidRPr="00272628">
              <w:rPr>
                <w:lang w:eastAsia="ko-KR"/>
              </w:rPr>
              <w:t xml:space="preserve">paragraph </w:t>
            </w:r>
            <w:r w:rsidR="00390D08" w:rsidRPr="00272628">
              <w:rPr>
                <w:lang w:eastAsia="ko-KR"/>
              </w:rPr>
              <w:t>81</w:t>
            </w:r>
            <w:r w:rsidRPr="00272628">
              <w:rPr>
                <w:lang w:eastAsia="ko-KR"/>
              </w:rPr>
              <w:t>.3(</w:t>
            </w:r>
            <w:r w:rsidR="00390D08" w:rsidRPr="00272628">
              <w:rPr>
                <w:lang w:eastAsia="ko-KR"/>
              </w:rPr>
              <w:t>g</w:t>
            </w:r>
            <w:r w:rsidRPr="00272628">
              <w:rPr>
                <w:lang w:eastAsia="ko-KR"/>
              </w:rPr>
              <w:t>) above)</w:t>
            </w:r>
          </w:p>
        </w:tc>
        <w:tc>
          <w:tcPr>
            <w:tcW w:w="4772" w:type="dxa"/>
            <w:hideMark/>
          </w:tcPr>
          <w:p w14:paraId="678680E5" w14:textId="77777777" w:rsidR="000D07EA" w:rsidRDefault="00BE7C89">
            <w:pPr>
              <w:pStyle w:val="BodyText"/>
              <w:spacing w:before="100" w:after="100"/>
              <w:rPr>
                <w:sz w:val="24"/>
                <w:lang w:val="en-AU" w:eastAsia="ko-KR"/>
              </w:rPr>
            </w:pPr>
            <w:r>
              <w:t>Fair Go Policy (</w:t>
            </w:r>
            <w:hyperlink r:id="rId138" w:history="1">
              <w:r>
                <w:rPr>
                  <w:rStyle w:val="Hyperlink"/>
                  <w:i/>
                </w:rPr>
                <w:t>Appendix S</w:t>
              </w:r>
            </w:hyperlink>
            <w:r>
              <w:t>)</w:t>
            </w:r>
            <w:r>
              <w:rPr>
                <w:lang w:eastAsia="ko-KR"/>
              </w:rPr>
              <w:t xml:space="preserve"> applies to 'unreasonable use' </w:t>
            </w:r>
          </w:p>
        </w:tc>
      </w:tr>
      <w:tr w:rsidR="000D07EA" w14:paraId="7188366C" w14:textId="77777777">
        <w:trPr>
          <w:trHeight w:val="1129"/>
        </w:trPr>
        <w:tc>
          <w:tcPr>
            <w:tcW w:w="4140" w:type="dxa"/>
            <w:hideMark/>
          </w:tcPr>
          <w:p w14:paraId="11C3F709" w14:textId="77777777" w:rsidR="000D07EA" w:rsidRDefault="00BE7C89">
            <w:pPr>
              <w:pStyle w:val="BodyText"/>
              <w:keepNext/>
              <w:spacing w:before="100" w:after="100"/>
              <w:rPr>
                <w:b/>
                <w:sz w:val="24"/>
                <w:lang w:val="en-AU" w:eastAsia="ko-KR"/>
              </w:rPr>
            </w:pPr>
            <w:r>
              <w:rPr>
                <w:b/>
                <w:lang w:eastAsia="ko-KR"/>
              </w:rPr>
              <w:lastRenderedPageBreak/>
              <w:t xml:space="preserve">Minimum Total Cost of the Business Internet Cap Plan over a 24 month </w:t>
            </w:r>
            <w:r>
              <w:rPr>
                <w:b/>
                <w:i/>
                <w:iCs/>
                <w:lang w:eastAsia="ko-KR"/>
              </w:rPr>
              <w:t>minimum term (</w:t>
            </w:r>
            <w:r>
              <w:rPr>
                <w:b/>
                <w:lang w:eastAsia="ko-KR"/>
              </w:rPr>
              <w:t xml:space="preserve">plus the cost of </w:t>
            </w:r>
            <w:r>
              <w:rPr>
                <w:b/>
                <w:i/>
                <w:iCs/>
                <w:lang w:eastAsia="ko-KR"/>
              </w:rPr>
              <w:t xml:space="preserve">equipment charges </w:t>
            </w:r>
            <w:r>
              <w:rPr>
                <w:b/>
                <w:lang w:eastAsia="ko-KR"/>
              </w:rPr>
              <w:t xml:space="preserve">for any </w:t>
            </w:r>
            <w:r>
              <w:rPr>
                <w:b/>
                <w:i/>
                <w:iCs/>
                <w:lang w:eastAsia="ko-KR"/>
              </w:rPr>
              <w:t xml:space="preserve">mobile phone you </w:t>
            </w:r>
            <w:r>
              <w:rPr>
                <w:b/>
                <w:lang w:eastAsia="ko-KR"/>
              </w:rPr>
              <w:t>purchase from us, if any)</w:t>
            </w:r>
          </w:p>
        </w:tc>
        <w:tc>
          <w:tcPr>
            <w:tcW w:w="4772" w:type="dxa"/>
            <w:hideMark/>
          </w:tcPr>
          <w:p w14:paraId="25E8DD8D" w14:textId="77777777" w:rsidR="000D07EA" w:rsidRDefault="00BE7C89">
            <w:pPr>
              <w:pStyle w:val="BodyText"/>
              <w:keepNext/>
              <w:spacing w:before="100" w:after="100"/>
              <w:rPr>
                <w:sz w:val="24"/>
                <w:lang w:val="en-AU" w:eastAsia="ko-KR"/>
              </w:rPr>
            </w:pPr>
            <w:r>
              <w:rPr>
                <w:lang w:eastAsia="ko-KR"/>
              </w:rPr>
              <w:t>$1,416</w:t>
            </w:r>
          </w:p>
        </w:tc>
      </w:tr>
      <w:tr w:rsidR="000D07EA" w14:paraId="03F20B03" w14:textId="77777777">
        <w:trPr>
          <w:trHeight w:val="1250"/>
        </w:trPr>
        <w:tc>
          <w:tcPr>
            <w:tcW w:w="4140" w:type="dxa"/>
            <w:hideMark/>
          </w:tcPr>
          <w:p w14:paraId="119CC306" w14:textId="77777777" w:rsidR="000D07EA" w:rsidRDefault="00BE7C89">
            <w:pPr>
              <w:pStyle w:val="BodyText"/>
              <w:spacing w:before="100" w:after="100"/>
              <w:rPr>
                <w:b/>
                <w:sz w:val="24"/>
                <w:lang w:val="en-AU" w:eastAsia="ko-KR"/>
              </w:rPr>
            </w:pPr>
            <w:r>
              <w:rPr>
                <w:b/>
                <w:lang w:eastAsia="ko-KR"/>
              </w:rPr>
              <w:t xml:space="preserve">Minimum Total Cost of the Business Internet Cap Plan over a 12 month </w:t>
            </w:r>
            <w:r>
              <w:rPr>
                <w:b/>
                <w:i/>
                <w:iCs/>
                <w:lang w:eastAsia="ko-KR"/>
              </w:rPr>
              <w:t>minimum term (</w:t>
            </w:r>
            <w:r>
              <w:rPr>
                <w:b/>
                <w:lang w:eastAsia="ko-KR"/>
              </w:rPr>
              <w:t xml:space="preserve">plus the cost of </w:t>
            </w:r>
            <w:r>
              <w:rPr>
                <w:b/>
                <w:i/>
                <w:iCs/>
                <w:lang w:eastAsia="ko-KR"/>
              </w:rPr>
              <w:t xml:space="preserve">equipment charges </w:t>
            </w:r>
            <w:r>
              <w:rPr>
                <w:b/>
                <w:lang w:eastAsia="ko-KR"/>
              </w:rPr>
              <w:t xml:space="preserve">for any </w:t>
            </w:r>
            <w:r>
              <w:rPr>
                <w:b/>
                <w:i/>
                <w:iCs/>
                <w:lang w:eastAsia="ko-KR"/>
              </w:rPr>
              <w:t xml:space="preserve">mobile phone you </w:t>
            </w:r>
            <w:r>
              <w:rPr>
                <w:b/>
                <w:lang w:eastAsia="ko-KR"/>
              </w:rPr>
              <w:t>purchase from us, if any)</w:t>
            </w:r>
          </w:p>
        </w:tc>
        <w:tc>
          <w:tcPr>
            <w:tcW w:w="4772" w:type="dxa"/>
            <w:hideMark/>
          </w:tcPr>
          <w:p w14:paraId="45F28556" w14:textId="77777777" w:rsidR="000D07EA" w:rsidRDefault="00BE7C89">
            <w:pPr>
              <w:pStyle w:val="BodyText"/>
              <w:spacing w:before="100" w:after="100"/>
              <w:rPr>
                <w:sz w:val="24"/>
                <w:lang w:val="en-AU" w:eastAsia="ko-KR"/>
              </w:rPr>
            </w:pPr>
            <w:r>
              <w:rPr>
                <w:lang w:eastAsia="ko-KR"/>
              </w:rPr>
              <w:t>$708</w:t>
            </w:r>
          </w:p>
        </w:tc>
      </w:tr>
    </w:tbl>
    <w:p w14:paraId="779D329A" w14:textId="77777777" w:rsidR="000D07EA" w:rsidRDefault="00BE7C89">
      <w:pPr>
        <w:pStyle w:val="BodyText"/>
        <w:spacing w:after="0"/>
        <w:ind w:left="1440"/>
        <w:rPr>
          <w:sz w:val="16"/>
          <w:szCs w:val="16"/>
        </w:rPr>
      </w:pPr>
      <w:r>
        <w:rPr>
          <w:sz w:val="16"/>
          <w:szCs w:val="16"/>
        </w:rPr>
        <w:t xml:space="preserve">Please note: </w:t>
      </w:r>
    </w:p>
    <w:p w14:paraId="64AB26D8" w14:textId="77777777" w:rsidR="000D07EA" w:rsidRDefault="00BE7C89">
      <w:pPr>
        <w:pStyle w:val="BodyText"/>
        <w:spacing w:after="0"/>
        <w:ind w:left="2160"/>
        <w:rPr>
          <w:sz w:val="16"/>
          <w:szCs w:val="16"/>
        </w:rPr>
      </w:pPr>
      <w:r>
        <w:rPr>
          <w:sz w:val="16"/>
          <w:szCs w:val="16"/>
        </w:rPr>
        <w:t>(i)</w:t>
      </w:r>
      <w:r>
        <w:rPr>
          <w:sz w:val="16"/>
          <w:szCs w:val="16"/>
        </w:rPr>
        <w:tab/>
        <w:t>"SmartFleet" and "BusinessTime" call rates may apply.</w:t>
      </w:r>
    </w:p>
    <w:p w14:paraId="14FE11B3" w14:textId="77777777" w:rsidR="000D07EA" w:rsidRDefault="00BE7C89">
      <w:pPr>
        <w:pStyle w:val="BodyText"/>
        <w:ind w:left="2160"/>
        <w:rPr>
          <w:sz w:val="16"/>
          <w:szCs w:val="16"/>
        </w:rPr>
      </w:pPr>
      <w:r>
        <w:rPr>
          <w:sz w:val="16"/>
          <w:szCs w:val="16"/>
        </w:rPr>
        <w:t>(ii)</w:t>
      </w:r>
      <w:r>
        <w:rPr>
          <w:sz w:val="16"/>
          <w:szCs w:val="16"/>
        </w:rPr>
        <w:tab/>
        <w:t>Minimum Monthly Commitment applies regardless of your calls and services usage.</w:t>
      </w:r>
    </w:p>
    <w:p w14:paraId="71F9C2B6" w14:textId="77777777" w:rsidR="000D07EA" w:rsidRDefault="00BE7C89">
      <w:pPr>
        <w:pStyle w:val="Heading6"/>
        <w:ind w:left="0" w:firstLine="0"/>
      </w:pPr>
      <w:bookmarkStart w:id="239" w:name="_Toc397941063"/>
      <w:bookmarkStart w:id="240" w:name="_Toc221442653"/>
      <w:r>
        <w:t xml:space="preserve">What happens if the </w:t>
      </w:r>
      <w:r>
        <w:rPr>
          <w:i/>
        </w:rPr>
        <w:t xml:space="preserve">service </w:t>
      </w:r>
      <w:r>
        <w:t>is</w:t>
      </w:r>
      <w:r>
        <w:rPr>
          <w:i/>
        </w:rPr>
        <w:t xml:space="preserve"> cancelled </w:t>
      </w:r>
      <w:r>
        <w:t>early?</w:t>
      </w:r>
      <w:bookmarkEnd w:id="239"/>
      <w:bookmarkEnd w:id="240"/>
    </w:p>
    <w:p w14:paraId="15AFB349" w14:textId="77777777" w:rsidR="000D07EA" w:rsidRDefault="00BE7C89">
      <w:pPr>
        <w:pStyle w:val="Heading7"/>
      </w:pPr>
      <w:r>
        <w:t xml:space="preserve">If </w:t>
      </w:r>
      <w:r>
        <w:rPr>
          <w:i/>
        </w:rPr>
        <w:t>the service</w:t>
      </w:r>
      <w:r>
        <w:t xml:space="preserve"> </w:t>
      </w:r>
      <w:r>
        <w:rPr>
          <w:i/>
        </w:rPr>
        <w:t xml:space="preserve">is cancelled </w:t>
      </w:r>
      <w:r>
        <w:t xml:space="preserve">before the expiry of the </w:t>
      </w:r>
      <w:r>
        <w:rPr>
          <w:i/>
        </w:rPr>
        <w:t xml:space="preserve">minimum term, you </w:t>
      </w:r>
      <w:r>
        <w:t xml:space="preserve">will be required to pay </w:t>
      </w:r>
      <w:r>
        <w:rPr>
          <w:i/>
        </w:rPr>
        <w:t>us</w:t>
      </w:r>
      <w:r>
        <w:t>:</w:t>
      </w:r>
    </w:p>
    <w:p w14:paraId="107DB20B" w14:textId="77777777" w:rsidR="000D07EA" w:rsidRDefault="00BE7C89">
      <w:pPr>
        <w:pStyle w:val="Heading8"/>
      </w:pPr>
      <w:r>
        <w:t xml:space="preserve">any usage charges incurred up to, and including, the </w:t>
      </w:r>
      <w:r>
        <w:rPr>
          <w:i/>
        </w:rPr>
        <w:t xml:space="preserve">cancellation date; </w:t>
      </w:r>
      <w:r>
        <w:t>plus</w:t>
      </w:r>
    </w:p>
    <w:p w14:paraId="4123FE27" w14:textId="77777777" w:rsidR="000D07EA" w:rsidRDefault="00BE7C89">
      <w:pPr>
        <w:pStyle w:val="Heading8"/>
      </w:pPr>
      <w:r>
        <w:t xml:space="preserve">the </w:t>
      </w:r>
      <w:r>
        <w:rPr>
          <w:i/>
        </w:rPr>
        <w:t xml:space="preserve">cancellation fee </w:t>
      </w:r>
      <w:r>
        <w:t xml:space="preserve">set out in the table below (unless under clause 2A of the </w:t>
      </w:r>
      <w:hyperlink r:id="rId139" w:history="1">
        <w:r>
          <w:rPr>
            <w:rStyle w:val="Hyperlink"/>
            <w:rFonts w:eastAsia="MS Gothic"/>
            <w:i/>
          </w:rPr>
          <w:t>SMB terms</w:t>
        </w:r>
      </w:hyperlink>
      <w:r>
        <w:rPr>
          <w:i/>
        </w:rPr>
        <w:t xml:space="preserve">, you </w:t>
      </w:r>
      <w:r>
        <w:t xml:space="preserve">are entitled to </w:t>
      </w:r>
      <w:r>
        <w:rPr>
          <w:i/>
        </w:rPr>
        <w:t xml:space="preserve">cancel the service </w:t>
      </w:r>
      <w:r>
        <w:t xml:space="preserve">without incurring a </w:t>
      </w:r>
      <w:r>
        <w:rPr>
          <w:i/>
        </w:rPr>
        <w:t>cancellation fee)</w:t>
      </w:r>
      <w:r>
        <w:t>; plus</w:t>
      </w:r>
    </w:p>
    <w:p w14:paraId="1CD9F3D0" w14:textId="77777777" w:rsidR="000D07EA" w:rsidRDefault="00BE7C89">
      <w:pPr>
        <w:pStyle w:val="Heading8"/>
      </w:pPr>
      <w:r>
        <w:t xml:space="preserve">the sum of unpaid </w:t>
      </w:r>
      <w:r>
        <w:rPr>
          <w:i/>
        </w:rPr>
        <w:t xml:space="preserve">equipment charges </w:t>
      </w:r>
      <w:r>
        <w:t xml:space="preserve">owing on </w:t>
      </w:r>
      <w:r>
        <w:rPr>
          <w:i/>
        </w:rPr>
        <w:t xml:space="preserve">your mobile phone </w:t>
      </w:r>
      <w:r>
        <w:t xml:space="preserve">under the </w:t>
      </w:r>
      <w:r>
        <w:rPr>
          <w:i/>
        </w:rPr>
        <w:t xml:space="preserve">mobile equipment payment plan </w:t>
      </w:r>
      <w:r>
        <w:t>(if any).</w:t>
      </w:r>
    </w:p>
    <w:p w14:paraId="706B3DA3" w14:textId="77777777" w:rsidR="000D07EA" w:rsidRDefault="00BE7C89">
      <w:pPr>
        <w:pStyle w:val="Heading7"/>
      </w:pPr>
      <w:r>
        <w:t xml:space="preserve">The </w:t>
      </w:r>
      <w:r>
        <w:rPr>
          <w:i/>
        </w:rPr>
        <w:t xml:space="preserve">cancellation fee </w:t>
      </w:r>
      <w:r>
        <w:t xml:space="preserve">payable under paragraph </w:t>
      </w:r>
      <w:r w:rsidR="00390D08" w:rsidRPr="00272628">
        <w:t>81</w:t>
      </w:r>
      <w:r w:rsidRPr="00272628">
        <w:t xml:space="preserve">.4(a) (if </w:t>
      </w:r>
      <w:r>
        <w:t>any) is calculated as follows:</w:t>
      </w:r>
    </w:p>
    <w:p w14:paraId="5D289691" w14:textId="77777777" w:rsidR="000D07EA" w:rsidRDefault="00BE7C89">
      <w:pPr>
        <w:pStyle w:val="Heading8"/>
      </w:pPr>
      <w:r>
        <w:t xml:space="preserve">If </w:t>
      </w:r>
      <w:r>
        <w:rPr>
          <w:i/>
        </w:rPr>
        <w:t xml:space="preserve">you </w:t>
      </w:r>
      <w:r>
        <w:t xml:space="preserve">are on a 24 month </w:t>
      </w:r>
      <w:r>
        <w:rPr>
          <w:i/>
        </w:rPr>
        <w:t>pricing plan</w:t>
      </w:r>
      <w:r>
        <w:t xml:space="preserve">, the </w:t>
      </w:r>
      <w:r>
        <w:rPr>
          <w:i/>
        </w:rPr>
        <w:t xml:space="preserve">cancellation fee </w:t>
      </w:r>
      <w:r>
        <w:t xml:space="preserve">between months 0-12 is $630 and for </w:t>
      </w:r>
      <w:r>
        <w:rPr>
          <w:i/>
        </w:rPr>
        <w:t xml:space="preserve">cancellations </w:t>
      </w:r>
      <w:r>
        <w:t xml:space="preserve">between months 13-24, an amount in accordance with the following calculations: for months 13-15, 80% of the </w:t>
      </w:r>
      <w:r>
        <w:rPr>
          <w:i/>
        </w:rPr>
        <w:t>cancellation fee</w:t>
      </w:r>
      <w:r>
        <w:t xml:space="preserve">; for months 16-18, 60% of the </w:t>
      </w:r>
      <w:r>
        <w:rPr>
          <w:i/>
        </w:rPr>
        <w:t>cancellation fee</w:t>
      </w:r>
      <w:r>
        <w:t xml:space="preserve">; for months 19-21, 40% of the </w:t>
      </w:r>
      <w:r>
        <w:rPr>
          <w:i/>
        </w:rPr>
        <w:t>cancellation fee</w:t>
      </w:r>
      <w:r>
        <w:t xml:space="preserve">; for months 22-24, 20% of the </w:t>
      </w:r>
      <w:r>
        <w:rPr>
          <w:i/>
        </w:rPr>
        <w:t>cancellation fee</w:t>
      </w:r>
      <w:r>
        <w:t>.</w:t>
      </w:r>
    </w:p>
    <w:p w14:paraId="7925185B" w14:textId="77777777" w:rsidR="000D07EA" w:rsidRDefault="00BE7C89">
      <w:pPr>
        <w:pStyle w:val="Heading8"/>
      </w:pPr>
      <w:r>
        <w:t xml:space="preserve">If you are on a 12 month pricing plan, the cancellation fee between months 0-6 is $395 and for cancellations between months 7-12, an amount in accordance with the following calculations: for months 7-9, 70% of the cancellation fee; for months 10-12, 40% of the cancellation fee. </w:t>
      </w:r>
    </w:p>
    <w:p w14:paraId="1F24598A" w14:textId="77777777" w:rsidR="000D07EA" w:rsidRDefault="00BE7C89">
      <w:pPr>
        <w:pStyle w:val="Heading6"/>
        <w:ind w:left="0" w:firstLine="0"/>
      </w:pPr>
      <w:bookmarkStart w:id="241" w:name="_Toc397941064"/>
      <w:bookmarkStart w:id="242" w:name="_Toc221442654"/>
      <w:r>
        <w:t>Optus SMB Rewards</w:t>
      </w:r>
      <w:bookmarkEnd w:id="241"/>
      <w:bookmarkEnd w:id="242"/>
      <w:r>
        <w:t xml:space="preserve"> </w:t>
      </w:r>
    </w:p>
    <w:p w14:paraId="508BCDFC" w14:textId="77777777" w:rsidR="000D07EA" w:rsidRDefault="00BE7C89">
      <w:pPr>
        <w:pStyle w:val="Heading7"/>
      </w:pPr>
      <w:r>
        <w:rPr>
          <w:b/>
        </w:rPr>
        <w:t xml:space="preserve">Optus 'yes' Business </w:t>
      </w:r>
      <w:r>
        <w:rPr>
          <w:b/>
          <w:bCs/>
        </w:rPr>
        <w:t xml:space="preserve">Rewards </w:t>
      </w:r>
      <w:r>
        <w:t xml:space="preserve">is a </w:t>
      </w:r>
      <w:r>
        <w:rPr>
          <w:i/>
          <w:iCs/>
        </w:rPr>
        <w:t xml:space="preserve">special </w:t>
      </w:r>
      <w:r>
        <w:t xml:space="preserve">available to </w:t>
      </w:r>
      <w:r>
        <w:rPr>
          <w:i/>
          <w:iCs/>
        </w:rPr>
        <w:t xml:space="preserve">small or medium business customers </w:t>
      </w:r>
      <w:r>
        <w:t>who connect to the</w:t>
      </w:r>
      <w:r>
        <w:rPr>
          <w:i/>
          <w:iCs/>
        </w:rPr>
        <w:t xml:space="preserve"> service </w:t>
      </w:r>
      <w:r>
        <w:t xml:space="preserve">on an eligible </w:t>
      </w:r>
      <w:r>
        <w:rPr>
          <w:i/>
          <w:iCs/>
        </w:rPr>
        <w:t xml:space="preserve">pricing plan </w:t>
      </w:r>
      <w:r>
        <w:t>after 23 November 2005. It</w:t>
      </w:r>
      <w:r>
        <w:rPr>
          <w:i/>
          <w:iCs/>
        </w:rPr>
        <w:t xml:space="preserve"> </w:t>
      </w:r>
      <w:r>
        <w:t xml:space="preserve">involves more than one </w:t>
      </w:r>
      <w:r>
        <w:rPr>
          <w:i/>
          <w:iCs/>
        </w:rPr>
        <w:t>service</w:t>
      </w:r>
      <w:r>
        <w:t xml:space="preserve"> and each of the services </w:t>
      </w:r>
      <w:r>
        <w:rPr>
          <w:i/>
          <w:iCs/>
        </w:rPr>
        <w:t>you</w:t>
      </w:r>
      <w:r>
        <w:t xml:space="preserve"> select as part of </w:t>
      </w:r>
      <w:r>
        <w:rPr>
          <w:i/>
          <w:iCs/>
        </w:rPr>
        <w:t>you</w:t>
      </w:r>
      <w:r>
        <w:t xml:space="preserve">r package is provided to </w:t>
      </w:r>
      <w:r>
        <w:rPr>
          <w:i/>
          <w:iCs/>
        </w:rPr>
        <w:t>you</w:t>
      </w:r>
      <w:r>
        <w:t xml:space="preserve"> by the relevant Optus company on the terms and conditions of the </w:t>
      </w:r>
      <w:r>
        <w:rPr>
          <w:i/>
          <w:iCs/>
        </w:rPr>
        <w:t>agreement</w:t>
      </w:r>
      <w:r>
        <w:t xml:space="preserve"> for the supply of that </w:t>
      </w:r>
      <w:r>
        <w:rPr>
          <w:i/>
          <w:iCs/>
        </w:rPr>
        <w:t>service.</w:t>
      </w:r>
      <w:r>
        <w:t xml:space="preserve"> Details of the various packages available and of any additional terms and conditions that apply to 'yes' Business Rewards are set out in </w:t>
      </w:r>
      <w:hyperlink r:id="rId140" w:history="1">
        <w:r>
          <w:rPr>
            <w:rStyle w:val="Hyperlink"/>
            <w:rFonts w:eastAsia="MS Gothic"/>
            <w:i/>
          </w:rPr>
          <w:t>Appendix IB</w:t>
        </w:r>
      </w:hyperlink>
      <w:r>
        <w:t xml:space="preserve">. </w:t>
      </w:r>
    </w:p>
    <w:p w14:paraId="1E6A27FF" w14:textId="77777777" w:rsidR="000D07EA" w:rsidRDefault="00BE7C89">
      <w:pPr>
        <w:pStyle w:val="Heading6"/>
        <w:ind w:left="0" w:firstLine="0"/>
      </w:pPr>
      <w:bookmarkStart w:id="243" w:name="_Toc397941065"/>
      <w:bookmarkStart w:id="244" w:name="_Toc221442655"/>
      <w:r>
        <w:t>Business Bonus</w:t>
      </w:r>
      <w:bookmarkEnd w:id="243"/>
      <w:bookmarkEnd w:id="244"/>
    </w:p>
    <w:p w14:paraId="698D273E" w14:textId="77777777" w:rsidR="000D07EA" w:rsidRDefault="00BE7C89">
      <w:pPr>
        <w:pStyle w:val="Heading7"/>
      </w:pPr>
      <w:r>
        <w:t xml:space="preserve">If you do not purchase or receive new discounted mobile hardware from either us or an Optus dealer, partner or reseller when connecting to a Business Internet Cap pricing plan with a 12 or 24 month minimum term you are eligible for a monthly credit called "Smart BYO Bonus" on your mobile phone tax invoice/account. (For the avoidance of doubt, you will not be eligible for any "BYO Bonus" credit if, at the time you enter into the agreement for the service with us you purchase or receive mobile hardware under a separate agreement with an Optus dealer, partner or reseller.) The credit will be applied to your account in the first or second month of your contract and will be equal to your Minimum monthly commitment. You will still receive your full included value. Customers who select a 12 month plan will receive 1 "Smart BYO Bonus" whereas customers who </w:t>
      </w:r>
      <w:r>
        <w:lastRenderedPageBreak/>
        <w:t>select a 24 month plan will receive 2 "Smart BYO Bonus". This credit is not redeemable for cash or refundable upon cancellation</w:t>
      </w:r>
    </w:p>
    <w:p w14:paraId="67276BE8" w14:textId="77777777" w:rsidR="000D07EA" w:rsidRDefault="00BE7C89">
      <w:pPr>
        <w:pStyle w:val="Heading4"/>
      </w:pPr>
      <w:bookmarkStart w:id="245" w:name="_Toc222296822"/>
      <w:bookmarkStart w:id="246" w:name="_Toc455147601"/>
      <w:bookmarkStart w:id="247" w:name="_Toc397941066"/>
      <w:bookmarkStart w:id="248" w:name="_Toc62644623"/>
      <w:r>
        <w:t>'yes' Business Cap Plans (Incorporating 'yes' Business $49 Cap Plan, 'yes' Business $59 Cap Plan, 'yes' Business $79 Cap Plan) (SMB Plans), Effective from 3 May 2009</w:t>
      </w:r>
      <w:bookmarkEnd w:id="245"/>
      <w:r>
        <w:t>.</w:t>
      </w:r>
      <w:bookmarkEnd w:id="246"/>
      <w:bookmarkEnd w:id="247"/>
      <w:bookmarkEnd w:id="248"/>
    </w:p>
    <w:p w14:paraId="6E63A32E" w14:textId="77777777" w:rsidR="000D07EA" w:rsidRDefault="00BE7C89">
      <w:pPr>
        <w:pStyle w:val="Heading6"/>
        <w:ind w:left="0" w:firstLine="0"/>
      </w:pPr>
      <w:bookmarkStart w:id="249" w:name="_Toc397941067"/>
      <w:bookmarkStart w:id="250" w:name="_Toc222296823"/>
      <w:r>
        <w:t>Eligibility</w:t>
      </w:r>
      <w:bookmarkEnd w:id="249"/>
      <w:bookmarkEnd w:id="250"/>
    </w:p>
    <w:p w14:paraId="7F781E3C" w14:textId="77777777" w:rsidR="000D07EA" w:rsidRDefault="00BE7C89">
      <w:pPr>
        <w:pStyle w:val="BodyText"/>
        <w:ind w:left="710"/>
      </w:pPr>
      <w:r>
        <w:t xml:space="preserve">The 'yes' Business Cap Plans are available to eligible, credit approved Optus small or medium business customers, as defined by Optus, connecting to the </w:t>
      </w:r>
      <w:r>
        <w:rPr>
          <w:i/>
        </w:rPr>
        <w:t>service</w:t>
      </w:r>
      <w:r>
        <w:t xml:space="preserve"> on the following terms:</w:t>
      </w:r>
    </w:p>
    <w:p w14:paraId="3E2CCDD2" w14:textId="77777777" w:rsidR="000D07EA" w:rsidRDefault="00BE7C89">
      <w:pPr>
        <w:pStyle w:val="Heading7"/>
      </w:pPr>
      <w:bookmarkStart w:id="251" w:name="_Toc222296824"/>
      <w:r>
        <w:t>Optus Service Providers' customers are excluded; and</w:t>
      </w:r>
    </w:p>
    <w:p w14:paraId="57E0CC07" w14:textId="77777777" w:rsidR="000D07EA" w:rsidRDefault="00BE7C89">
      <w:pPr>
        <w:pStyle w:val="Heading7"/>
      </w:pPr>
      <w:r>
        <w:rPr>
          <w:snapToGrid w:val="0"/>
        </w:rPr>
        <w:t xml:space="preserve">If </w:t>
      </w:r>
      <w:r>
        <w:rPr>
          <w:i/>
          <w:snapToGrid w:val="0"/>
        </w:rPr>
        <w:t xml:space="preserve">you </w:t>
      </w:r>
      <w:r>
        <w:rPr>
          <w:snapToGrid w:val="0"/>
        </w:rPr>
        <w:t xml:space="preserve">are an existing customer </w:t>
      </w:r>
      <w:r>
        <w:rPr>
          <w:i/>
          <w:snapToGrid w:val="0"/>
        </w:rPr>
        <w:t xml:space="preserve">you </w:t>
      </w:r>
      <w:r>
        <w:rPr>
          <w:snapToGrid w:val="0"/>
        </w:rPr>
        <w:t xml:space="preserve">may only transfer to the 'yes' Business Cap Plans with </w:t>
      </w:r>
      <w:r>
        <w:rPr>
          <w:i/>
          <w:snapToGrid w:val="0"/>
        </w:rPr>
        <w:t xml:space="preserve">our </w:t>
      </w:r>
      <w:r>
        <w:rPr>
          <w:snapToGrid w:val="0"/>
        </w:rPr>
        <w:t>approval</w:t>
      </w:r>
      <w:r>
        <w:rPr>
          <w:snapToGrid w:val="0"/>
          <w:sz w:val="16"/>
          <w:szCs w:val="16"/>
        </w:rPr>
        <w:t>.</w:t>
      </w:r>
    </w:p>
    <w:p w14:paraId="6600011B" w14:textId="77777777" w:rsidR="000D07EA" w:rsidRDefault="00BE7C89">
      <w:pPr>
        <w:pStyle w:val="Heading6"/>
        <w:ind w:left="0" w:firstLine="0"/>
      </w:pPr>
      <w:bookmarkStart w:id="252" w:name="_Toc397941068"/>
      <w:r>
        <w:t>Minimum Term</w:t>
      </w:r>
      <w:bookmarkEnd w:id="251"/>
      <w:bookmarkEnd w:id="252"/>
    </w:p>
    <w:p w14:paraId="29375D79" w14:textId="77777777" w:rsidR="000D07EA" w:rsidRDefault="00BE7C89">
      <w:pPr>
        <w:pStyle w:val="Heading7"/>
      </w:pPr>
      <w:bookmarkStart w:id="253" w:name="_Toc222296825"/>
      <w:r>
        <w:t xml:space="preserve">You must agree to either a </w:t>
      </w:r>
      <w:r>
        <w:rPr>
          <w:i/>
        </w:rPr>
        <w:t>non-fixed length agreement or a fixed length agreement</w:t>
      </w:r>
      <w:r>
        <w:t xml:space="preserve"> with a 12 month or 24 month </w:t>
      </w:r>
      <w:r>
        <w:rPr>
          <w:i/>
        </w:rPr>
        <w:t>minimum term</w:t>
      </w:r>
      <w:r>
        <w:t xml:space="preserve">. </w:t>
      </w:r>
    </w:p>
    <w:p w14:paraId="4C09BDAD" w14:textId="77777777" w:rsidR="000D07EA" w:rsidRDefault="00BE7C89">
      <w:pPr>
        <w:pStyle w:val="Heading7"/>
      </w:pPr>
      <w:r>
        <w:t xml:space="preserve">The 'yes' Business $59 Cap Plan is only available on a fixed length agreement with a 12 month or 24 month </w:t>
      </w:r>
      <w:r>
        <w:rPr>
          <w:i/>
        </w:rPr>
        <w:t>minimum term</w:t>
      </w:r>
      <w:r>
        <w:t xml:space="preserve">. </w:t>
      </w:r>
    </w:p>
    <w:p w14:paraId="2CBE8412" w14:textId="77777777" w:rsidR="000D07EA" w:rsidRDefault="00BE7C89">
      <w:pPr>
        <w:pStyle w:val="Heading7"/>
      </w:pPr>
      <w:r>
        <w:rPr>
          <w:i/>
        </w:rPr>
        <w:t>You</w:t>
      </w:r>
      <w:r>
        <w:t xml:space="preserve"> may purchase a </w:t>
      </w:r>
      <w:r>
        <w:rPr>
          <w:i/>
        </w:rPr>
        <w:t>mobile phone</w:t>
      </w:r>
      <w:r>
        <w:t xml:space="preserve"> with a 12 month or 24 month </w:t>
      </w:r>
      <w:r>
        <w:rPr>
          <w:i/>
        </w:rPr>
        <w:t>equipment term</w:t>
      </w:r>
      <w:r>
        <w:t xml:space="preserve"> under a </w:t>
      </w:r>
      <w:r>
        <w:rPr>
          <w:i/>
        </w:rPr>
        <w:t>mobile equipment payment plan</w:t>
      </w:r>
      <w:r>
        <w:t xml:space="preserve"> depending on </w:t>
      </w:r>
      <w:r>
        <w:rPr>
          <w:i/>
        </w:rPr>
        <w:t>your</w:t>
      </w:r>
      <w:r>
        <w:t xml:space="preserve"> contract plan. If you agree to a 24 month </w:t>
      </w:r>
      <w:r>
        <w:rPr>
          <w:i/>
        </w:rPr>
        <w:t>minimum term</w:t>
      </w:r>
      <w:r>
        <w:t xml:space="preserve"> the price of </w:t>
      </w:r>
      <w:r>
        <w:rPr>
          <w:i/>
        </w:rPr>
        <w:t>mobile phones</w:t>
      </w:r>
      <w:r>
        <w:t xml:space="preserve"> available is less than if you only agree to a </w:t>
      </w:r>
      <w:r>
        <w:rPr>
          <w:i/>
        </w:rPr>
        <w:t>non-fixed length agreement</w:t>
      </w:r>
      <w:r>
        <w:t xml:space="preserve">. If </w:t>
      </w:r>
      <w:r>
        <w:rPr>
          <w:i/>
        </w:rPr>
        <w:t>you</w:t>
      </w:r>
      <w:r>
        <w:t xml:space="preserve"> agree to a 12 month </w:t>
      </w:r>
      <w:r>
        <w:rPr>
          <w:i/>
        </w:rPr>
        <w:t xml:space="preserve">minimum term </w:t>
      </w:r>
      <w:r>
        <w:t xml:space="preserve">the price of </w:t>
      </w:r>
      <w:r>
        <w:rPr>
          <w:i/>
        </w:rPr>
        <w:t>mobile phones</w:t>
      </w:r>
      <w:r>
        <w:t xml:space="preserve"> available is less than if you only agree to a </w:t>
      </w:r>
      <w:r>
        <w:rPr>
          <w:i/>
        </w:rPr>
        <w:t>non-fixed length agreement</w:t>
      </w:r>
      <w:r>
        <w:t>.</w:t>
      </w:r>
    </w:p>
    <w:p w14:paraId="23DD616F" w14:textId="77777777" w:rsidR="000D07EA" w:rsidRDefault="00BE7C89">
      <w:pPr>
        <w:pStyle w:val="Heading6"/>
        <w:ind w:left="0" w:firstLine="0"/>
      </w:pPr>
      <w:bookmarkStart w:id="254" w:name="_Toc397941069"/>
      <w:r>
        <w:t>What you have to pay us</w:t>
      </w:r>
      <w:bookmarkEnd w:id="253"/>
      <w:bookmarkEnd w:id="254"/>
    </w:p>
    <w:p w14:paraId="7EEFB051" w14:textId="77777777" w:rsidR="000D07EA" w:rsidRDefault="00BE7C89">
      <w:pPr>
        <w:pStyle w:val="Heading7"/>
      </w:pPr>
      <w:r>
        <w:t xml:space="preserve">Subject to paragraphs </w:t>
      </w:r>
      <w:r>
        <w:fldChar w:fldCharType="begin"/>
      </w:r>
      <w:r>
        <w:instrText xml:space="preserve"> REF _Ref461548331 \n \h </w:instrText>
      </w:r>
      <w:r>
        <w:fldChar w:fldCharType="separate"/>
      </w:r>
      <w:r w:rsidR="0004083A">
        <w:t>(c)</w:t>
      </w:r>
      <w:r>
        <w:fldChar w:fldCharType="end"/>
      </w:r>
      <w:r>
        <w:t xml:space="preserve">, </w:t>
      </w:r>
      <w:r>
        <w:fldChar w:fldCharType="begin"/>
      </w:r>
      <w:r>
        <w:instrText xml:space="preserve"> REF _Ref461548334 \n \h </w:instrText>
      </w:r>
      <w:r>
        <w:fldChar w:fldCharType="separate"/>
      </w:r>
      <w:r w:rsidR="0004083A">
        <w:t>(d)</w:t>
      </w:r>
      <w:r>
        <w:fldChar w:fldCharType="end"/>
      </w:r>
      <w:r>
        <w:t xml:space="preserve"> and </w:t>
      </w:r>
      <w:r>
        <w:fldChar w:fldCharType="begin"/>
      </w:r>
      <w:r>
        <w:instrText xml:space="preserve"> REF _Ref461548336 \n \h </w:instrText>
      </w:r>
      <w:r>
        <w:fldChar w:fldCharType="separate"/>
      </w:r>
      <w:r w:rsidR="0004083A">
        <w:t>(e)</w:t>
      </w:r>
      <w:r>
        <w:fldChar w:fldCharType="end"/>
      </w:r>
      <w:r>
        <w:t xml:space="preserve"> below </w:t>
      </w:r>
      <w:r>
        <w:rPr>
          <w:i/>
        </w:rPr>
        <w:t xml:space="preserve">you </w:t>
      </w:r>
      <w:r>
        <w:t xml:space="preserve">must pay </w:t>
      </w:r>
      <w:r>
        <w:rPr>
          <w:i/>
        </w:rPr>
        <w:t xml:space="preserve">us </w:t>
      </w:r>
      <w:r>
        <w:t xml:space="preserve">for use of the </w:t>
      </w:r>
      <w:r>
        <w:rPr>
          <w:i/>
        </w:rPr>
        <w:t xml:space="preserve">service </w:t>
      </w:r>
      <w:r>
        <w:t xml:space="preserve">at the rates set out in </w:t>
      </w:r>
      <w:hyperlink r:id="rId141" w:history="1">
        <w:r>
          <w:rPr>
            <w:rStyle w:val="Hyperlink"/>
            <w:rFonts w:eastAsia="MS Gothic"/>
          </w:rPr>
          <w:t>Section 1</w:t>
        </w:r>
      </w:hyperlink>
      <w:r>
        <w:t xml:space="preserve"> of this </w:t>
      </w:r>
      <w:r>
        <w:rPr>
          <w:i/>
        </w:rPr>
        <w:t xml:space="preserve">standard pricing table </w:t>
      </w:r>
      <w:r>
        <w:t xml:space="preserve">and for </w:t>
      </w:r>
      <w:r>
        <w:rPr>
          <w:i/>
        </w:rPr>
        <w:t xml:space="preserve">value added service features </w:t>
      </w:r>
      <w:r>
        <w:t xml:space="preserve">at the rates set out in </w:t>
      </w:r>
      <w:hyperlink r:id="rId142" w:history="1">
        <w:r>
          <w:rPr>
            <w:rStyle w:val="Hyperlink"/>
            <w:rFonts w:eastAsia="MS Gothic"/>
          </w:rPr>
          <w:t>Appendix Y</w:t>
        </w:r>
      </w:hyperlink>
      <w:r>
        <w:t xml:space="preserve"> Value Added Service Features</w:t>
      </w:r>
      <w:r>
        <w:rPr>
          <w:i/>
        </w:rPr>
        <w:t xml:space="preserve">. </w:t>
      </w:r>
    </w:p>
    <w:p w14:paraId="4C4C2131" w14:textId="77777777" w:rsidR="000D07EA" w:rsidRDefault="00BE7C89">
      <w:pPr>
        <w:pStyle w:val="Heading7"/>
      </w:pPr>
      <w:r>
        <w:t xml:space="preserve">If there is a </w:t>
      </w:r>
      <w:r>
        <w:rPr>
          <w:i/>
        </w:rPr>
        <w:t xml:space="preserve">flagfall </w:t>
      </w:r>
      <w:r>
        <w:t xml:space="preserve">or call connection charge for a particular call type, the charge for these calls is the </w:t>
      </w:r>
      <w:r>
        <w:rPr>
          <w:i/>
        </w:rPr>
        <w:t xml:space="preserve">flagfall </w:t>
      </w:r>
      <w:r>
        <w:t>charge plus the relevant rate for the call multiplied by the duration of the call.</w:t>
      </w:r>
    </w:p>
    <w:p w14:paraId="1FA221C1" w14:textId="77777777" w:rsidR="000D07EA" w:rsidRDefault="00BE7C89">
      <w:pPr>
        <w:pStyle w:val="Heading7"/>
        <w:rPr>
          <w:b/>
        </w:rPr>
      </w:pPr>
      <w:bookmarkStart w:id="255" w:name="_Ref461548331"/>
      <w:r>
        <w:rPr>
          <w:b/>
        </w:rPr>
        <w:t>The Cap</w:t>
      </w:r>
      <w:bookmarkEnd w:id="255"/>
      <w:r>
        <w:rPr>
          <w:b/>
        </w:rPr>
        <w:t xml:space="preserve"> </w:t>
      </w:r>
    </w:p>
    <w:p w14:paraId="29F5B17F" w14:textId="77777777" w:rsidR="000D07EA" w:rsidRDefault="00BE7C89">
      <w:pPr>
        <w:pStyle w:val="Heading8"/>
      </w:pPr>
      <w:r>
        <w:t xml:space="preserve">Under the 'yes' Business Cap Plans, a cap applies when the value of </w:t>
      </w:r>
      <w:r>
        <w:rPr>
          <w:b/>
        </w:rPr>
        <w:t xml:space="preserve">eligible calls and text </w:t>
      </w:r>
      <w:r>
        <w:rPr>
          <w:i/>
        </w:rPr>
        <w:t xml:space="preserve">you </w:t>
      </w:r>
      <w:r>
        <w:t xml:space="preserve">make in a month reaches </w:t>
      </w:r>
      <w:r>
        <w:rPr>
          <w:i/>
        </w:rPr>
        <w:t xml:space="preserve">your pricing plan's </w:t>
      </w:r>
      <w:r>
        <w:rPr>
          <w:b/>
        </w:rPr>
        <w:t xml:space="preserve">cap start. </w:t>
      </w:r>
      <w:r>
        <w:t xml:space="preserve">Once </w:t>
      </w:r>
      <w:r>
        <w:rPr>
          <w:i/>
        </w:rPr>
        <w:t xml:space="preserve">your </w:t>
      </w:r>
      <w:r>
        <w:t xml:space="preserve">eligible calls and text spend reaches the cap start, additional eligible calls and text made in that month are free until the value of </w:t>
      </w:r>
      <w:r>
        <w:rPr>
          <w:i/>
        </w:rPr>
        <w:t xml:space="preserve">your </w:t>
      </w:r>
      <w:r>
        <w:t xml:space="preserve">eligible calls and text reach </w:t>
      </w:r>
      <w:r>
        <w:rPr>
          <w:i/>
        </w:rPr>
        <w:t xml:space="preserve">your pricing plan's </w:t>
      </w:r>
      <w:r>
        <w:rPr>
          <w:b/>
        </w:rPr>
        <w:t>Total Cap Value</w:t>
      </w:r>
      <w:r>
        <w:t xml:space="preserve">. </w:t>
      </w:r>
    </w:p>
    <w:p w14:paraId="51A71A72" w14:textId="77777777" w:rsidR="000D07EA" w:rsidRDefault="00BE7C89">
      <w:pPr>
        <w:pStyle w:val="Heading8"/>
      </w:pPr>
      <w:r>
        <w:t>The '</w:t>
      </w:r>
      <w:r>
        <w:rPr>
          <w:b/>
        </w:rPr>
        <w:t xml:space="preserve">cap start' </w:t>
      </w:r>
      <w:r>
        <w:t>and '</w:t>
      </w:r>
      <w:r>
        <w:rPr>
          <w:b/>
        </w:rPr>
        <w:t xml:space="preserve">Total Cap Value' </w:t>
      </w:r>
      <w:r>
        <w:t xml:space="preserve">for each 'yes' Business Cap Plan is set out in Table 2A below. </w:t>
      </w:r>
    </w:p>
    <w:p w14:paraId="12AE61EE" w14:textId="77777777" w:rsidR="000D07EA" w:rsidRDefault="00BE7C89">
      <w:pPr>
        <w:pStyle w:val="Heading8"/>
      </w:pPr>
      <w:r>
        <w:t xml:space="preserve">The call types that are </w:t>
      </w:r>
      <w:r>
        <w:rPr>
          <w:b/>
        </w:rPr>
        <w:t>'eligible calls and text'</w:t>
      </w:r>
      <w:r>
        <w:t xml:space="preserve"> for each 'yes' Business Cap Plan is defined in Table 1A below. </w:t>
      </w:r>
    </w:p>
    <w:p w14:paraId="46EFAB1F" w14:textId="77777777" w:rsidR="000D07EA" w:rsidRDefault="00BE7C89">
      <w:pPr>
        <w:pStyle w:val="Heading8"/>
      </w:pPr>
      <w:r>
        <w:rPr>
          <w:i/>
        </w:rPr>
        <w:t xml:space="preserve">You </w:t>
      </w:r>
      <w:r>
        <w:t>must pay for any calls that are not eligible calls and text.</w:t>
      </w:r>
    </w:p>
    <w:p w14:paraId="73849EEC" w14:textId="77777777" w:rsidR="000D07EA" w:rsidRDefault="00BE7C89">
      <w:pPr>
        <w:pStyle w:val="Heading8"/>
      </w:pPr>
      <w:r>
        <w:rPr>
          <w:i/>
        </w:rPr>
        <w:t xml:space="preserve">You </w:t>
      </w:r>
      <w:r>
        <w:t xml:space="preserve">must pay </w:t>
      </w:r>
      <w:r>
        <w:rPr>
          <w:i/>
        </w:rPr>
        <w:t xml:space="preserve">us </w:t>
      </w:r>
      <w:r>
        <w:t xml:space="preserve">call charges for eligible calls and text made beyond the Total Cap Value of </w:t>
      </w:r>
      <w:r>
        <w:rPr>
          <w:i/>
        </w:rPr>
        <w:t xml:space="preserve">your </w:t>
      </w:r>
      <w:r>
        <w:t>'yes' Business Cap Plan.</w:t>
      </w:r>
    </w:p>
    <w:p w14:paraId="41D1BBB2" w14:textId="77777777" w:rsidR="000D07EA" w:rsidRDefault="00BE7C89">
      <w:pPr>
        <w:pStyle w:val="Heading8"/>
      </w:pPr>
      <w:r>
        <w:rPr>
          <w:snapToGrid w:val="0"/>
        </w:rPr>
        <w:t>Any unused portion of the cap expires at the end of each month. This means that it does not roll over into following month.</w:t>
      </w:r>
    </w:p>
    <w:p w14:paraId="261A6E29" w14:textId="77777777" w:rsidR="000D07EA" w:rsidRDefault="00BE7C89">
      <w:pPr>
        <w:pStyle w:val="Heading7"/>
        <w:rPr>
          <w:b/>
        </w:rPr>
      </w:pPr>
      <w:bookmarkStart w:id="256" w:name="_Ref461548334"/>
      <w:r>
        <w:rPr>
          <w:b/>
        </w:rPr>
        <w:lastRenderedPageBreak/>
        <w:t>Optus2AnyOne Value</w:t>
      </w:r>
      <w:bookmarkEnd w:id="256"/>
    </w:p>
    <w:p w14:paraId="5F00F435" w14:textId="77777777" w:rsidR="000D07EA" w:rsidRDefault="00BE7C89">
      <w:pPr>
        <w:pStyle w:val="Heading8"/>
      </w:pPr>
      <w:r>
        <w:t>Under the 'yes' Business Cap Plans, as part of the Total Cap Value, customers receive "Optus2AnyOne Value" and "Optus2Optus Value".</w:t>
      </w:r>
    </w:p>
    <w:p w14:paraId="42A582E0" w14:textId="77777777" w:rsidR="000D07EA" w:rsidRDefault="00BE7C89">
      <w:pPr>
        <w:pStyle w:val="Heading8"/>
      </w:pPr>
      <w:r>
        <w:t xml:space="preserve">Customers must utilise the "Optus2AnyOne Value" before being able to access the "Optus2Optus Value". </w:t>
      </w:r>
    </w:p>
    <w:p w14:paraId="629A9B3F" w14:textId="77777777" w:rsidR="000D07EA" w:rsidRDefault="00BE7C89">
      <w:pPr>
        <w:pStyle w:val="Heading8"/>
      </w:pPr>
      <w:r>
        <w:t>The amount of the "Optus2AnyOne Value" included for each 'yes' Business Cap Plan is set out in Table 2A below.</w:t>
      </w:r>
    </w:p>
    <w:p w14:paraId="6042B1DA" w14:textId="77777777" w:rsidR="000D07EA" w:rsidRDefault="00BE7C89">
      <w:pPr>
        <w:pStyle w:val="Heading8"/>
      </w:pPr>
      <w:r>
        <w:t xml:space="preserve">The call types that are </w:t>
      </w:r>
      <w:r>
        <w:rPr>
          <w:b/>
        </w:rPr>
        <w:t>'eligible calls and text'</w:t>
      </w:r>
      <w:r>
        <w:t xml:space="preserve"> for each 'yes' Business Cap Plan under the "Optus2AnyOne Value" are defined in Table 1A below.</w:t>
      </w:r>
    </w:p>
    <w:p w14:paraId="79ADDC99" w14:textId="77777777" w:rsidR="000D07EA" w:rsidRDefault="00BE7C89">
      <w:pPr>
        <w:pStyle w:val="Heading8"/>
      </w:pPr>
      <w:r>
        <w:rPr>
          <w:i/>
        </w:rPr>
        <w:t xml:space="preserve">You </w:t>
      </w:r>
      <w:r>
        <w:t xml:space="preserve">must pay </w:t>
      </w:r>
      <w:r>
        <w:rPr>
          <w:i/>
        </w:rPr>
        <w:t xml:space="preserve">us </w:t>
      </w:r>
      <w:r>
        <w:t xml:space="preserve">call charges for eligible calls and text made beyond the available "Optus2AnyOne Value". </w:t>
      </w:r>
    </w:p>
    <w:p w14:paraId="1DF4C2B5" w14:textId="77777777" w:rsidR="000D07EA" w:rsidRDefault="00BE7C89">
      <w:pPr>
        <w:pStyle w:val="Heading8"/>
      </w:pPr>
      <w:r>
        <w:rPr>
          <w:snapToGrid w:val="0"/>
        </w:rPr>
        <w:t>Any unused portion of the "Optus2AnyOne Value" expires at the end of each month. This means that it does not roll over into the following month.</w:t>
      </w:r>
    </w:p>
    <w:p w14:paraId="51DE6D99" w14:textId="77777777" w:rsidR="000D07EA" w:rsidRDefault="00BE7C89">
      <w:pPr>
        <w:pStyle w:val="Heading7"/>
        <w:rPr>
          <w:b/>
        </w:rPr>
      </w:pPr>
      <w:bookmarkStart w:id="257" w:name="_Ref461548336"/>
      <w:r>
        <w:rPr>
          <w:b/>
        </w:rPr>
        <w:t>Optus2Optus Value</w:t>
      </w:r>
      <w:bookmarkEnd w:id="257"/>
    </w:p>
    <w:p w14:paraId="5D1F6A3C" w14:textId="77777777" w:rsidR="000D07EA" w:rsidRDefault="00BE7C89">
      <w:pPr>
        <w:pStyle w:val="Heading8"/>
      </w:pPr>
      <w:r>
        <w:t>Under the 'yes' Business Cap Plans, as part of the Total Cap Value, customers receive "Optus2AnyOne Value" and "Optus2Optus Value".</w:t>
      </w:r>
    </w:p>
    <w:p w14:paraId="193B6FF8" w14:textId="77777777" w:rsidR="000D07EA" w:rsidRDefault="00BE7C89">
      <w:pPr>
        <w:pStyle w:val="Heading8"/>
      </w:pPr>
      <w:r>
        <w:t xml:space="preserve">Customers must utilise the "Optus2AnyOne Value" before being able to access the "Optus2Optus Value". </w:t>
      </w:r>
    </w:p>
    <w:p w14:paraId="18432D5A" w14:textId="77777777" w:rsidR="000D07EA" w:rsidRDefault="00BE7C89">
      <w:pPr>
        <w:pStyle w:val="Heading8"/>
      </w:pPr>
      <w:r>
        <w:t xml:space="preserve">"Optus2Optus Value" may be used for standard national calls and text to other Optus GSM Mobile Customers and to "Selected Optus Fixed Lines". </w:t>
      </w:r>
    </w:p>
    <w:p w14:paraId="642F8845" w14:textId="77777777" w:rsidR="000D07EA" w:rsidRDefault="00BE7C89">
      <w:pPr>
        <w:pStyle w:val="Heading8"/>
      </w:pPr>
      <w:r>
        <w:t>The amount of the "Optus2Optus Value" included for each 'yes' Business Cap Plan is set out in Table 2A below.</w:t>
      </w:r>
    </w:p>
    <w:p w14:paraId="0E8BB036" w14:textId="77777777" w:rsidR="000D07EA" w:rsidRDefault="00BE7C89">
      <w:pPr>
        <w:pStyle w:val="Heading8"/>
      </w:pPr>
      <w:r>
        <w:t>The call and text types that are included in the "Optus2Optus Value" for each 'yes' Business Cap Plan are defined in Table 1B below.</w:t>
      </w:r>
    </w:p>
    <w:p w14:paraId="1FF3C5BC" w14:textId="77777777" w:rsidR="000D07EA" w:rsidRDefault="00BE7C89">
      <w:pPr>
        <w:pStyle w:val="Heading8"/>
      </w:pPr>
      <w:r>
        <w:t>"Selected Optus Fixed Lines" include Fixed Line Phones on the Optus Local Access Direct or Local Access Telephony networks. It excludes calls to Optus Local Access Resale (LAR) customers.</w:t>
      </w:r>
    </w:p>
    <w:p w14:paraId="65F58706" w14:textId="77777777" w:rsidR="000D07EA" w:rsidRDefault="00BE7C89">
      <w:pPr>
        <w:pStyle w:val="Heading8"/>
      </w:pPr>
      <w:r>
        <w:rPr>
          <w:i/>
        </w:rPr>
        <w:t xml:space="preserve">You </w:t>
      </w:r>
      <w:r>
        <w:t xml:space="preserve">must pay </w:t>
      </w:r>
      <w:r>
        <w:rPr>
          <w:i/>
        </w:rPr>
        <w:t xml:space="preserve">us </w:t>
      </w:r>
      <w:r>
        <w:t>call charges for eligible calls and text made beyond the available "Optus2Optus Value".</w:t>
      </w:r>
    </w:p>
    <w:p w14:paraId="1749E732" w14:textId="77777777" w:rsidR="000D07EA" w:rsidRDefault="00BE7C89">
      <w:pPr>
        <w:pStyle w:val="Heading8"/>
      </w:pPr>
      <w:r>
        <w:rPr>
          <w:snapToGrid w:val="0"/>
        </w:rPr>
        <w:t>Any unused portion of the "Optus2Optus Value" expires at the end of each month. This means that it does not roll over into the following month.</w:t>
      </w:r>
    </w:p>
    <w:p w14:paraId="09371FDE" w14:textId="77777777" w:rsidR="000D07EA" w:rsidRDefault="00BE7C89">
      <w:pPr>
        <w:pStyle w:val="Heading7"/>
        <w:rPr>
          <w:b/>
        </w:rPr>
      </w:pPr>
      <w:r>
        <w:rPr>
          <w:b/>
        </w:rPr>
        <w:t>Minimum Monthly Charge and Included Calls and Text</w:t>
      </w:r>
    </w:p>
    <w:p w14:paraId="22CE2BB1" w14:textId="77777777" w:rsidR="000D07EA" w:rsidRDefault="00BE7C89">
      <w:pPr>
        <w:pStyle w:val="Heading8"/>
      </w:pPr>
      <w:r>
        <w:t xml:space="preserve">Each 'yes' Business Cap Plan has a Minimum Monthly Charge amount that </w:t>
      </w:r>
      <w:r>
        <w:rPr>
          <w:i/>
        </w:rPr>
        <w:t xml:space="preserve">you </w:t>
      </w:r>
      <w:r>
        <w:t>must pay us each month.</w:t>
      </w:r>
    </w:p>
    <w:p w14:paraId="5A6EE6F0" w14:textId="77777777" w:rsidR="000D07EA" w:rsidRDefault="00BE7C89">
      <w:pPr>
        <w:pStyle w:val="Heading8"/>
      </w:pPr>
      <w:r>
        <w:t xml:space="preserve">If </w:t>
      </w:r>
      <w:r>
        <w:rPr>
          <w:i/>
        </w:rPr>
        <w:t xml:space="preserve">you </w:t>
      </w:r>
      <w:r>
        <w:t xml:space="preserve">do not make enough eligible calls and text in a month to reach </w:t>
      </w:r>
      <w:r>
        <w:rPr>
          <w:i/>
        </w:rPr>
        <w:t xml:space="preserve">your pricing plan's </w:t>
      </w:r>
      <w:r>
        <w:t xml:space="preserve">cap start (or Minimum Monthly Charge) </w:t>
      </w:r>
      <w:r>
        <w:rPr>
          <w:i/>
        </w:rPr>
        <w:t xml:space="preserve">you </w:t>
      </w:r>
      <w:r>
        <w:t xml:space="preserve">must still pay </w:t>
      </w:r>
      <w:r>
        <w:rPr>
          <w:i/>
        </w:rPr>
        <w:t>us your pricing plan's</w:t>
      </w:r>
      <w:r>
        <w:t xml:space="preserve"> Minimum Monthly Charge for that month.</w:t>
      </w:r>
    </w:p>
    <w:p w14:paraId="6B9E6385" w14:textId="77777777" w:rsidR="000D07EA" w:rsidRDefault="00BE7C89">
      <w:pPr>
        <w:pStyle w:val="Heading8"/>
      </w:pPr>
      <w:r>
        <w:t>The amount of the Minimum Monthly Charge and included calls for each 'yes' Business Cap Plan is set out in Table 2A below.</w:t>
      </w:r>
    </w:p>
    <w:p w14:paraId="365CD975" w14:textId="77777777" w:rsidR="000D07EA" w:rsidRDefault="00BE7C89">
      <w:pPr>
        <w:pStyle w:val="Heading8"/>
      </w:pPr>
      <w:r>
        <w:rPr>
          <w:i/>
        </w:rPr>
        <w:t xml:space="preserve">You </w:t>
      </w:r>
      <w:r>
        <w:t>must pay for any calls that are not eligible calls.</w:t>
      </w:r>
    </w:p>
    <w:p w14:paraId="230F25F6" w14:textId="77777777" w:rsidR="000D07EA" w:rsidRDefault="00BE7C89">
      <w:pPr>
        <w:pStyle w:val="Heading7"/>
        <w:rPr>
          <w:b/>
        </w:rPr>
      </w:pPr>
      <w:r>
        <w:rPr>
          <w:b/>
        </w:rPr>
        <w:t>Other 'yes' Business Cap Plan Conditions and Offers</w:t>
      </w:r>
    </w:p>
    <w:p w14:paraId="17301AA6" w14:textId="77777777" w:rsidR="000D07EA" w:rsidRDefault="00BE7C89">
      <w:pPr>
        <w:pStyle w:val="Heading8"/>
      </w:pPr>
      <w:r>
        <w:rPr>
          <w:rStyle w:val="BodyTextChar"/>
        </w:rPr>
        <w:lastRenderedPageBreak/>
        <w:t xml:space="preserve">The </w:t>
      </w:r>
      <w:r>
        <w:t>Fair Go Policy (</w:t>
      </w:r>
      <w:hyperlink r:id="rId143" w:history="1">
        <w:r>
          <w:rPr>
            <w:rStyle w:val="Hyperlink"/>
            <w:i/>
          </w:rPr>
          <w:t>Appendix S</w:t>
        </w:r>
      </w:hyperlink>
      <w:r>
        <w:t>)</w:t>
      </w:r>
      <w:r>
        <w:rPr>
          <w:rStyle w:val="BodyTextChar"/>
        </w:rPr>
        <w:t xml:space="preserve"> applies to: PTT Usage up to 150 minutes per month, Mobile IM on the pay as you go rate up to 1Mb per day on the monthly option up to 10MB per month, Voice Over Internet Protocol (VOIP) services up to 10 megabytes per month. </w:t>
      </w:r>
      <w:r>
        <w:t xml:space="preserve">Please refer to </w:t>
      </w:r>
      <w:hyperlink r:id="rId144" w:history="1">
        <w:r w:rsidR="00240FE1">
          <w:rPr>
            <w:rStyle w:val="Hyperlink"/>
            <w:i/>
          </w:rPr>
          <w:t>Appendix S</w:t>
        </w:r>
      </w:hyperlink>
      <w:r>
        <w:rPr>
          <w:i/>
        </w:rPr>
        <w:t>.</w:t>
      </w:r>
    </w:p>
    <w:p w14:paraId="2B7B0256" w14:textId="77777777" w:rsidR="000D07EA" w:rsidRDefault="00BE7C89">
      <w:pPr>
        <w:pStyle w:val="Heading8"/>
      </w:pPr>
      <w:r>
        <w:t xml:space="preserve">Voice Over Internet Protocol (VOIP) services (other than PTT) will be charged at 1.5c per kilobyte of usage, capped at $9.90 per month until </w:t>
      </w:r>
      <w:r>
        <w:rPr>
          <w:i/>
        </w:rPr>
        <w:t xml:space="preserve">you </w:t>
      </w:r>
      <w:r>
        <w:t xml:space="preserve">reach 5 megabytes of usage in that month, after which </w:t>
      </w:r>
      <w:r>
        <w:rPr>
          <w:i/>
        </w:rPr>
        <w:t xml:space="preserve">you </w:t>
      </w:r>
      <w:r>
        <w:t>will be charged at 0.3c per kilobyte of usage for the remainder of that month</w:t>
      </w:r>
    </w:p>
    <w:p w14:paraId="29156147" w14:textId="77777777" w:rsidR="000D07EA" w:rsidRDefault="00BE7C89">
      <w:pPr>
        <w:pStyle w:val="Heading8"/>
      </w:pPr>
      <w:r>
        <w:t>Use of the Unlimited SMS and MMS offer is only applicable for standard SMS and MMS sent and received within Australia. Offer excludes International SMS and MMS, Premium SMS and MMS, Group and Email SMS and MMS and Instant Messaging (IM). The unlimited SMS and MMS offer only applies to standard personal/business SMS and MMS. Fair Go Policy (</w:t>
      </w:r>
      <w:hyperlink r:id="rId145" w:history="1">
        <w:r>
          <w:rPr>
            <w:rStyle w:val="Hyperlink"/>
            <w:i/>
          </w:rPr>
          <w:t>Appendix S</w:t>
        </w:r>
      </w:hyperlink>
      <w:r>
        <w:t>) Applies.</w:t>
      </w:r>
    </w:p>
    <w:p w14:paraId="3441B7F0" w14:textId="77777777" w:rsidR="000D07EA" w:rsidRDefault="00BE7C89">
      <w:pPr>
        <w:pStyle w:val="Heading7"/>
        <w:rPr>
          <w:b/>
        </w:rPr>
      </w:pPr>
      <w:bookmarkStart w:id="258" w:name="_Toc222296826"/>
      <w:r>
        <w:rPr>
          <w:b/>
        </w:rPr>
        <w:t xml:space="preserve">Additional inclusions and </w:t>
      </w:r>
      <w:bookmarkEnd w:id="258"/>
      <w:r>
        <w:rPr>
          <w:b/>
        </w:rPr>
        <w:t>options</w:t>
      </w:r>
    </w:p>
    <w:p w14:paraId="583A2F2E" w14:textId="77777777" w:rsidR="000D07EA" w:rsidRDefault="00BE7C89">
      <w:pPr>
        <w:pStyle w:val="Heading8"/>
      </w:pPr>
      <w:r>
        <w:t xml:space="preserve">Upon connection to the 'yes' Business Cap plans </w:t>
      </w:r>
      <w:r>
        <w:rPr>
          <w:i/>
        </w:rPr>
        <w:t>you</w:t>
      </w:r>
      <w:r>
        <w:t xml:space="preserve"> will receive </w:t>
      </w:r>
      <w:r>
        <w:rPr>
          <w:b/>
        </w:rPr>
        <w:t>Unlimited Voicemail</w:t>
      </w:r>
      <w:r>
        <w:t xml:space="preserve"> and will be able to choose 1 of the following 2 calling options: </w:t>
      </w:r>
      <w:r>
        <w:rPr>
          <w:b/>
        </w:rPr>
        <w:t>BusinessTime</w:t>
      </w:r>
      <w:r>
        <w:t xml:space="preserve"> or </w:t>
      </w:r>
      <w:r>
        <w:rPr>
          <w:b/>
        </w:rPr>
        <w:t>SmartFleet.</w:t>
      </w:r>
    </w:p>
    <w:p w14:paraId="4B30CC01" w14:textId="77777777" w:rsidR="000D07EA" w:rsidRDefault="00BE7C89">
      <w:pPr>
        <w:pStyle w:val="Heading8"/>
      </w:pPr>
      <w:r>
        <w:rPr>
          <w:b/>
        </w:rPr>
        <w:t xml:space="preserve">Unlimited Voicemail: </w:t>
      </w:r>
      <w:r>
        <w:t>Applies to Voicemail Deposits and Retrievals, diversion charges still apply. Subject to</w:t>
      </w:r>
      <w:r w:rsidR="00240FE1">
        <w:t xml:space="preserve"> the </w:t>
      </w:r>
      <w:r>
        <w:t>Fair Go Policy (</w:t>
      </w:r>
      <w:hyperlink r:id="rId146" w:history="1">
        <w:r>
          <w:rPr>
            <w:rStyle w:val="Hyperlink"/>
            <w:i/>
          </w:rPr>
          <w:t>Appendix S</w:t>
        </w:r>
      </w:hyperlink>
      <w:r>
        <w:t>).</w:t>
      </w:r>
    </w:p>
    <w:p w14:paraId="2A0F2977" w14:textId="77777777" w:rsidR="000D07EA" w:rsidRDefault="00BE7C89">
      <w:pPr>
        <w:pStyle w:val="Heading8"/>
      </w:pPr>
      <w:r>
        <w:rPr>
          <w:b/>
        </w:rPr>
        <w:t>BusinessTime</w:t>
      </w:r>
      <w:r>
        <w:t xml:space="preserve">: 1. Upon request, </w:t>
      </w:r>
      <w:r>
        <w:rPr>
          <w:i/>
        </w:rPr>
        <w:t>you</w:t>
      </w:r>
      <w:r>
        <w:t xml:space="preserve"> may choose to set up a BusinessTime (BT) service. 2. Only 3 BT numbers per 'yes' Business Cap service can be nominated unless </w:t>
      </w:r>
      <w:r>
        <w:rPr>
          <w:i/>
        </w:rPr>
        <w:t>you</w:t>
      </w:r>
      <w:r>
        <w:t xml:space="preserve"> combine </w:t>
      </w:r>
      <w:r>
        <w:rPr>
          <w:i/>
        </w:rPr>
        <w:t>your</w:t>
      </w:r>
      <w:r>
        <w:t xml:space="preserve"> 'yes' Business Cap service with Optus Business Phone and/or DSL in which case </w:t>
      </w:r>
      <w:r>
        <w:rPr>
          <w:i/>
        </w:rPr>
        <w:t>you</w:t>
      </w:r>
      <w:r>
        <w:t xml:space="preserve"> can nominate 5 numbers. 3. The nominated numbers must be eligible Optus GSM mobile(s) and/or fixed line(s), as defined by Optus and cannot be a 13, 1300, 1800 or 19XX numbers. 4. Calls must be made and received within Australia. 5. After the first 5 minutes of each call, standard call rates apply. 6. </w:t>
      </w:r>
      <w:r>
        <w:rPr>
          <w:i/>
        </w:rPr>
        <w:t>You</w:t>
      </w:r>
      <w:r>
        <w:t xml:space="preserve"> may change </w:t>
      </w:r>
      <w:r>
        <w:rPr>
          <w:i/>
        </w:rPr>
        <w:t>your</w:t>
      </w:r>
      <w:r>
        <w:t xml:space="preserve"> nominated numbers no more than once per month. 7. Allow up to 48 hours for activation or changes to </w:t>
      </w:r>
      <w:r>
        <w:rPr>
          <w:i/>
        </w:rPr>
        <w:t>your</w:t>
      </w:r>
      <w:r>
        <w:t xml:space="preserve"> BT service. 8. </w:t>
      </w:r>
      <w:r w:rsidR="00240FE1">
        <w:t xml:space="preserve">The </w:t>
      </w:r>
      <w:r>
        <w:t>Fair Go Policy (</w:t>
      </w:r>
      <w:hyperlink r:id="rId147" w:history="1">
        <w:r>
          <w:rPr>
            <w:rStyle w:val="Hyperlink"/>
            <w:i/>
          </w:rPr>
          <w:t>Appendix S</w:t>
        </w:r>
      </w:hyperlink>
      <w:r>
        <w:t>) applies for BusinessTime usage and currently allows up to 1000 minutes per month.</w:t>
      </w:r>
    </w:p>
    <w:p w14:paraId="22B691AD" w14:textId="77777777" w:rsidR="000D07EA" w:rsidRDefault="00BE7C89">
      <w:pPr>
        <w:pStyle w:val="Heading8"/>
      </w:pPr>
      <w:r>
        <w:rPr>
          <w:b/>
        </w:rPr>
        <w:t>SmartFleet</w:t>
      </w:r>
      <w:r>
        <w:t xml:space="preserve">: If </w:t>
      </w:r>
      <w:r>
        <w:rPr>
          <w:i/>
        </w:rPr>
        <w:t>you</w:t>
      </w:r>
      <w:r>
        <w:t xml:space="preserve"> choose this option </w:t>
      </w:r>
      <w:r>
        <w:rPr>
          <w:i/>
        </w:rPr>
        <w:t>you</w:t>
      </w:r>
      <w:r>
        <w:t xml:space="preserve"> get free national calls, Standard SMS and MMS 24/7 to other mobiles on </w:t>
      </w:r>
      <w:r>
        <w:rPr>
          <w:i/>
        </w:rPr>
        <w:t xml:space="preserve">your </w:t>
      </w:r>
      <w:r>
        <w:t>Optus business account. 1. Applies to calls and Standard SMS and MMS made and received within Australia to another mobile number on the same customer account number, no flagfall applies. 2. Some exclusions apply, including calls to Optus Pre-Paid, Satellite, service provider customers, Video and International calls, Premium and Third Party SMS and MMS. 3. Fair Go Policy (</w:t>
      </w:r>
      <w:hyperlink r:id="rId148" w:history="1">
        <w:r>
          <w:rPr>
            <w:rStyle w:val="Hyperlink"/>
            <w:i/>
          </w:rPr>
          <w:t>Appendix S</w:t>
        </w:r>
      </w:hyperlink>
      <w:r>
        <w:t>) applies for SmartFleet usage and currently allows up to 1,000 minutes and 1,000 SMS or MMS per month. If no calling option is chosen then standard call rates will apply for all call types mentioned in these calling offers.</w:t>
      </w:r>
    </w:p>
    <w:p w14:paraId="50FF4C59" w14:textId="77777777" w:rsidR="000D07EA" w:rsidRDefault="00BE7C89">
      <w:pPr>
        <w:pStyle w:val="Heading7"/>
        <w:rPr>
          <w:b/>
        </w:rPr>
      </w:pPr>
      <w:r>
        <w:rPr>
          <w:b/>
        </w:rPr>
        <w:t>Unlimited SMS &amp; MMS Offer on the 'yes' Business $59 Cap Plan and 'yes' Business $79 Cap Plan</w:t>
      </w:r>
    </w:p>
    <w:p w14:paraId="6D20DC81" w14:textId="77777777" w:rsidR="000D07EA" w:rsidRDefault="00BE7C89">
      <w:pPr>
        <w:pStyle w:val="Heading8"/>
      </w:pPr>
      <w:r>
        <w:t xml:space="preserve">Under the 'yes' Business $59 and 'yes' Business $79 Cap Plans </w:t>
      </w:r>
      <w:r>
        <w:rPr>
          <w:i/>
        </w:rPr>
        <w:t xml:space="preserve">you </w:t>
      </w:r>
      <w:r>
        <w:t>may receive the Unlimited SMS &amp; MMS Offer and may send unlimited standard national SMS and MMS to GSM mobiles within Australia.</w:t>
      </w:r>
    </w:p>
    <w:p w14:paraId="20B82977" w14:textId="77777777" w:rsidR="000D07EA" w:rsidRDefault="00BE7C89">
      <w:pPr>
        <w:pStyle w:val="Heading8"/>
      </w:pPr>
      <w:r>
        <w:t>Unlimited SMS &amp; MMS offer excludes International SMS and MMS, Premium SMS and MMS, Group and Email SMS and MMS and Instant Messaging (IM).</w:t>
      </w:r>
    </w:p>
    <w:p w14:paraId="541B8396" w14:textId="77777777" w:rsidR="000D07EA" w:rsidRDefault="00BE7C89">
      <w:pPr>
        <w:pStyle w:val="Heading8"/>
      </w:pPr>
      <w:r>
        <w:rPr>
          <w:i/>
        </w:rPr>
        <w:t xml:space="preserve">You </w:t>
      </w:r>
      <w:r>
        <w:t>must pay for any messages that are not eligible messages.</w:t>
      </w:r>
    </w:p>
    <w:p w14:paraId="3E93E4AA" w14:textId="77777777" w:rsidR="000D07EA" w:rsidRDefault="00BE7C89">
      <w:pPr>
        <w:pStyle w:val="Heading8"/>
      </w:pPr>
      <w:r>
        <w:rPr>
          <w:snapToGrid w:val="0"/>
        </w:rPr>
        <w:t>Any unused portion of the plan expires at the end of each month. This means that it does not roll over into following month.</w:t>
      </w:r>
    </w:p>
    <w:p w14:paraId="4AB8190F" w14:textId="77777777" w:rsidR="000D07EA" w:rsidRDefault="00BE7C89">
      <w:pPr>
        <w:pStyle w:val="Heading8"/>
      </w:pPr>
      <w:r>
        <w:lastRenderedPageBreak/>
        <w:t>The unlimited SMS &amp; MMS offer only applies for personal or business use only. Fair Go Policy (</w:t>
      </w:r>
      <w:hyperlink r:id="rId149" w:history="1">
        <w:r>
          <w:rPr>
            <w:rStyle w:val="Hyperlink"/>
            <w:i/>
          </w:rPr>
          <w:t>Appendix S</w:t>
        </w:r>
      </w:hyperlink>
      <w:r>
        <w:t xml:space="preserve">) applies. </w:t>
      </w:r>
    </w:p>
    <w:p w14:paraId="13A64359" w14:textId="77777777" w:rsidR="000D07EA" w:rsidRDefault="00BE7C89">
      <w:pPr>
        <w:pStyle w:val="Heading7"/>
        <w:rPr>
          <w:b/>
        </w:rPr>
      </w:pPr>
      <w:r>
        <w:rPr>
          <w:b/>
        </w:rPr>
        <w:t>Eligible Calls and Pricing Plans</w:t>
      </w:r>
    </w:p>
    <w:p w14:paraId="6C725A36" w14:textId="77777777" w:rsidR="000D07EA" w:rsidRDefault="00BE7C89">
      <w:pPr>
        <w:pStyle w:val="Heading8"/>
      </w:pPr>
      <w:r>
        <w:t xml:space="preserve">Table 1A below indicates whether particular call types are an 'eligible call and text' which count towards the Optus2AnyOne Value and Minimum Monthly Charge of </w:t>
      </w:r>
      <w:r>
        <w:rPr>
          <w:i/>
        </w:rPr>
        <w:t xml:space="preserve">your </w:t>
      </w:r>
      <w:r>
        <w:t>selected 'yes' Business Cap Plan.</w:t>
      </w:r>
    </w:p>
    <w:p w14:paraId="79FBC240" w14:textId="77777777" w:rsidR="000D07EA" w:rsidRDefault="00BE7C89">
      <w:pPr>
        <w:pStyle w:val="Heading8"/>
      </w:pPr>
      <w:r>
        <w:t xml:space="preserve">Table 1B below indicates whether particular call types are an 'eligible call and text' which count towards the Optus2Optus Value </w:t>
      </w:r>
      <w:r>
        <w:rPr>
          <w:i/>
        </w:rPr>
        <w:t xml:space="preserve">you </w:t>
      </w:r>
      <w:r>
        <w:t xml:space="preserve">receive as part of </w:t>
      </w:r>
      <w:r>
        <w:rPr>
          <w:i/>
        </w:rPr>
        <w:t xml:space="preserve">your </w:t>
      </w:r>
      <w:r>
        <w:t>selected 'yes' Business Cap Plan.</w:t>
      </w:r>
    </w:p>
    <w:p w14:paraId="4A57FC2C" w14:textId="77777777" w:rsidR="000D07EA" w:rsidRDefault="00BE7C89">
      <w:pPr>
        <w:pStyle w:val="Heading8"/>
      </w:pPr>
      <w:r>
        <w:t>Table 2A below contains details of each 'yes' Business Cap Plan for new connections from 3 May 2009.</w:t>
      </w:r>
    </w:p>
    <w:p w14:paraId="2C72059E" w14:textId="77777777" w:rsidR="000D07EA" w:rsidRDefault="00BE7C89">
      <w:pPr>
        <w:pStyle w:val="BodyText"/>
        <w:ind w:left="1440"/>
        <w:rPr>
          <w:b/>
        </w:rPr>
      </w:pPr>
      <w:r>
        <w:rPr>
          <w:b/>
        </w:rPr>
        <w:t>Table 1A – "Optus2AnyOne Value" - Eligible Calls and Text - Effective 3 May 2009</w:t>
      </w:r>
    </w:p>
    <w:tbl>
      <w:tblPr>
        <w:tblW w:w="4229"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924"/>
        <w:gridCol w:w="3693"/>
      </w:tblGrid>
      <w:tr w:rsidR="000D07EA" w14:paraId="329D9DCF" w14:textId="77777777">
        <w:trPr>
          <w:trHeight w:val="102"/>
          <w:tblHeader/>
        </w:trPr>
        <w:tc>
          <w:tcPr>
            <w:tcW w:w="2857" w:type="pct"/>
          </w:tcPr>
          <w:p w14:paraId="2D4E4BE0" w14:textId="77777777" w:rsidR="000D07EA" w:rsidRDefault="00BE7C89">
            <w:pPr>
              <w:pStyle w:val="BodyText"/>
              <w:spacing w:before="100" w:after="100"/>
              <w:rPr>
                <w:b/>
                <w:bCs/>
              </w:rPr>
            </w:pPr>
            <w:r>
              <w:rPr>
                <w:b/>
                <w:bCs/>
              </w:rPr>
              <w:t>Call Type</w:t>
            </w:r>
          </w:p>
        </w:tc>
        <w:tc>
          <w:tcPr>
            <w:tcW w:w="2143" w:type="pct"/>
          </w:tcPr>
          <w:p w14:paraId="2FC1A32C" w14:textId="77777777" w:rsidR="000D07EA" w:rsidRDefault="00BE7C89">
            <w:pPr>
              <w:pStyle w:val="BodyText"/>
              <w:spacing w:before="100" w:after="100"/>
              <w:jc w:val="center"/>
              <w:rPr>
                <w:b/>
                <w:bCs/>
              </w:rPr>
            </w:pPr>
            <w:r>
              <w:rPr>
                <w:b/>
                <w:bCs/>
              </w:rPr>
              <w:t>Eligible Call</w:t>
            </w:r>
          </w:p>
        </w:tc>
      </w:tr>
      <w:tr w:rsidR="000D07EA" w14:paraId="243D51EB" w14:textId="77777777">
        <w:trPr>
          <w:trHeight w:val="60"/>
        </w:trPr>
        <w:tc>
          <w:tcPr>
            <w:tcW w:w="2857" w:type="pct"/>
          </w:tcPr>
          <w:p w14:paraId="63BBEB55" w14:textId="77777777" w:rsidR="000D07EA" w:rsidRDefault="00BE7C89">
            <w:pPr>
              <w:pStyle w:val="BodyText"/>
              <w:spacing w:before="100" w:after="100"/>
            </w:pPr>
            <w:r>
              <w:t>National Voice Calls</w:t>
            </w:r>
          </w:p>
        </w:tc>
        <w:tc>
          <w:tcPr>
            <w:tcW w:w="2143" w:type="pct"/>
          </w:tcPr>
          <w:p w14:paraId="3B40139D" w14:textId="77777777" w:rsidR="000D07EA" w:rsidRDefault="00BE7C89">
            <w:pPr>
              <w:pStyle w:val="BodyText"/>
              <w:spacing w:before="100" w:after="100"/>
              <w:jc w:val="center"/>
            </w:pPr>
            <w:r>
              <w:t>Yes</w:t>
            </w:r>
          </w:p>
        </w:tc>
      </w:tr>
      <w:tr w:rsidR="000D07EA" w14:paraId="4277D805" w14:textId="77777777">
        <w:trPr>
          <w:trHeight w:val="247"/>
        </w:trPr>
        <w:tc>
          <w:tcPr>
            <w:tcW w:w="2857" w:type="pct"/>
          </w:tcPr>
          <w:p w14:paraId="5F7C5CB7" w14:textId="77777777" w:rsidR="000D07EA" w:rsidRDefault="00BE7C89">
            <w:pPr>
              <w:pStyle w:val="BodyText"/>
              <w:spacing w:before="100" w:after="100"/>
            </w:pPr>
            <w:r>
              <w:t>International Voice Calls</w:t>
            </w:r>
          </w:p>
          <w:p w14:paraId="40FDC919" w14:textId="77777777" w:rsidR="000D07EA" w:rsidRDefault="00BE7C89">
            <w:pPr>
              <w:pStyle w:val="BodyText"/>
              <w:spacing w:before="100" w:after="100"/>
            </w:pPr>
            <w:r>
              <w:rPr>
                <w:snapToGrid w:val="0"/>
              </w:rPr>
              <w:t>(includes calls to national fixed or GSM mobile services that then divert/switch or re-route overseas)</w:t>
            </w:r>
          </w:p>
        </w:tc>
        <w:tc>
          <w:tcPr>
            <w:tcW w:w="2143" w:type="pct"/>
          </w:tcPr>
          <w:p w14:paraId="63189E25" w14:textId="77777777" w:rsidR="000D07EA" w:rsidRDefault="00BE7C89">
            <w:pPr>
              <w:pStyle w:val="BodyText"/>
              <w:spacing w:before="100" w:after="100"/>
              <w:jc w:val="center"/>
            </w:pPr>
            <w:r>
              <w:t>No</w:t>
            </w:r>
          </w:p>
        </w:tc>
      </w:tr>
      <w:tr w:rsidR="000D07EA" w14:paraId="5659B67A" w14:textId="77777777">
        <w:trPr>
          <w:trHeight w:val="60"/>
        </w:trPr>
        <w:tc>
          <w:tcPr>
            <w:tcW w:w="2857" w:type="pct"/>
          </w:tcPr>
          <w:p w14:paraId="0AA704D9" w14:textId="77777777" w:rsidR="000D07EA" w:rsidRDefault="00BE7C89">
            <w:pPr>
              <w:pStyle w:val="BodyText"/>
              <w:spacing w:before="100" w:after="100"/>
            </w:pPr>
            <w:r>
              <w:t>National Video Calls</w:t>
            </w:r>
          </w:p>
        </w:tc>
        <w:tc>
          <w:tcPr>
            <w:tcW w:w="2143" w:type="pct"/>
          </w:tcPr>
          <w:p w14:paraId="4471A1D1" w14:textId="77777777" w:rsidR="000D07EA" w:rsidRDefault="00BE7C89">
            <w:pPr>
              <w:pStyle w:val="BodyText"/>
              <w:spacing w:before="100" w:after="100"/>
              <w:jc w:val="center"/>
            </w:pPr>
            <w:r>
              <w:t>Yes</w:t>
            </w:r>
          </w:p>
        </w:tc>
      </w:tr>
      <w:tr w:rsidR="000D07EA" w14:paraId="49E7E73D" w14:textId="77777777">
        <w:trPr>
          <w:trHeight w:val="247"/>
        </w:trPr>
        <w:tc>
          <w:tcPr>
            <w:tcW w:w="2857" w:type="pct"/>
          </w:tcPr>
          <w:p w14:paraId="4ABA4135" w14:textId="77777777" w:rsidR="000D07EA" w:rsidRDefault="00BE7C89">
            <w:pPr>
              <w:pStyle w:val="BodyText"/>
              <w:spacing w:before="100" w:after="100"/>
            </w:pPr>
            <w:r>
              <w:t>International Video Calls</w:t>
            </w:r>
          </w:p>
          <w:p w14:paraId="666474C1" w14:textId="77777777" w:rsidR="000D07EA" w:rsidRDefault="00BE7C89">
            <w:pPr>
              <w:pStyle w:val="BodyText"/>
              <w:spacing w:before="100" w:after="100"/>
            </w:pPr>
            <w:r>
              <w:rPr>
                <w:snapToGrid w:val="0"/>
              </w:rPr>
              <w:t>(includes calls to national fixed or GSM mobile services that then divert/switch or re-route overseas)</w:t>
            </w:r>
          </w:p>
        </w:tc>
        <w:tc>
          <w:tcPr>
            <w:tcW w:w="2143" w:type="pct"/>
          </w:tcPr>
          <w:p w14:paraId="36DFFC89" w14:textId="77777777" w:rsidR="000D07EA" w:rsidRDefault="00BE7C89">
            <w:pPr>
              <w:pStyle w:val="BodyText"/>
              <w:spacing w:before="100" w:after="100"/>
              <w:jc w:val="center"/>
            </w:pPr>
            <w:r>
              <w:t>No</w:t>
            </w:r>
          </w:p>
        </w:tc>
      </w:tr>
      <w:tr w:rsidR="000D07EA" w14:paraId="08941E6A" w14:textId="77777777">
        <w:trPr>
          <w:trHeight w:val="60"/>
        </w:trPr>
        <w:tc>
          <w:tcPr>
            <w:tcW w:w="2857" w:type="pct"/>
          </w:tcPr>
          <w:p w14:paraId="609EF656" w14:textId="77777777" w:rsidR="000D07EA" w:rsidRDefault="00BE7C89">
            <w:pPr>
              <w:pStyle w:val="BodyText"/>
              <w:spacing w:before="100" w:after="100"/>
            </w:pPr>
            <w:r>
              <w:t>National and International SMS</w:t>
            </w:r>
          </w:p>
        </w:tc>
        <w:tc>
          <w:tcPr>
            <w:tcW w:w="2143" w:type="pct"/>
          </w:tcPr>
          <w:p w14:paraId="4D5D1FA7" w14:textId="77777777" w:rsidR="000D07EA" w:rsidRDefault="00BE7C89">
            <w:pPr>
              <w:pStyle w:val="BodyText"/>
              <w:spacing w:before="100" w:after="100"/>
              <w:jc w:val="center"/>
            </w:pPr>
            <w:r>
              <w:t>Yes</w:t>
            </w:r>
          </w:p>
        </w:tc>
      </w:tr>
      <w:tr w:rsidR="000D07EA" w14:paraId="38B02F5A" w14:textId="77777777">
        <w:trPr>
          <w:trHeight w:val="60"/>
        </w:trPr>
        <w:tc>
          <w:tcPr>
            <w:tcW w:w="2857" w:type="pct"/>
          </w:tcPr>
          <w:p w14:paraId="355F8CB2" w14:textId="77777777" w:rsidR="000D07EA" w:rsidRDefault="00BE7C89">
            <w:pPr>
              <w:pStyle w:val="BodyText"/>
              <w:spacing w:before="100" w:after="100"/>
            </w:pPr>
            <w:r>
              <w:t>Push to Talk (PTT)</w:t>
            </w:r>
          </w:p>
        </w:tc>
        <w:tc>
          <w:tcPr>
            <w:tcW w:w="2143" w:type="pct"/>
          </w:tcPr>
          <w:p w14:paraId="2DA54761" w14:textId="77777777" w:rsidR="000D07EA" w:rsidRDefault="00BE7C89">
            <w:pPr>
              <w:pStyle w:val="BodyText"/>
              <w:spacing w:before="100" w:after="100"/>
              <w:jc w:val="center"/>
            </w:pPr>
            <w:r>
              <w:t>Yes. Fair Go Policy (</w:t>
            </w:r>
            <w:hyperlink r:id="rId150" w:history="1">
              <w:r>
                <w:rPr>
                  <w:rStyle w:val="Hyperlink"/>
                  <w:i/>
                </w:rPr>
                <w:t>Appendix S</w:t>
              </w:r>
            </w:hyperlink>
            <w:r>
              <w:t>) of up to 150 minutes a month applies.</w:t>
            </w:r>
          </w:p>
        </w:tc>
      </w:tr>
      <w:tr w:rsidR="000D07EA" w14:paraId="382B1570" w14:textId="77777777">
        <w:trPr>
          <w:trHeight w:val="247"/>
        </w:trPr>
        <w:tc>
          <w:tcPr>
            <w:tcW w:w="2857" w:type="pct"/>
          </w:tcPr>
          <w:p w14:paraId="5A1564BD" w14:textId="77777777" w:rsidR="000D07EA" w:rsidRDefault="00BE7C89">
            <w:pPr>
              <w:pStyle w:val="BodyText"/>
              <w:spacing w:before="100" w:after="100"/>
            </w:pPr>
            <w:r>
              <w:t>Voicemail Diversions</w:t>
            </w:r>
          </w:p>
        </w:tc>
        <w:tc>
          <w:tcPr>
            <w:tcW w:w="2143" w:type="pct"/>
          </w:tcPr>
          <w:p w14:paraId="01C686B9" w14:textId="77777777" w:rsidR="000D07EA" w:rsidRDefault="00BE7C89">
            <w:pPr>
              <w:pStyle w:val="BodyText"/>
              <w:spacing w:before="100" w:after="100"/>
              <w:jc w:val="center"/>
            </w:pPr>
            <w:r>
              <w:t>Yes</w:t>
            </w:r>
          </w:p>
        </w:tc>
      </w:tr>
      <w:tr w:rsidR="000D07EA" w14:paraId="6AAF031F" w14:textId="77777777">
        <w:trPr>
          <w:trHeight w:val="60"/>
        </w:trPr>
        <w:tc>
          <w:tcPr>
            <w:tcW w:w="2857" w:type="pct"/>
          </w:tcPr>
          <w:p w14:paraId="67E2464D" w14:textId="77777777" w:rsidR="000D07EA" w:rsidRDefault="00BE7C89">
            <w:pPr>
              <w:pStyle w:val="BodyText"/>
              <w:spacing w:before="100" w:after="100"/>
            </w:pPr>
            <w:r>
              <w:t>Voicemail Deposit and Retrievals</w:t>
            </w:r>
          </w:p>
        </w:tc>
        <w:tc>
          <w:tcPr>
            <w:tcW w:w="2143" w:type="pct"/>
          </w:tcPr>
          <w:p w14:paraId="6EAFD5EE" w14:textId="77777777" w:rsidR="000D07EA" w:rsidRDefault="00BE7C89">
            <w:pPr>
              <w:pStyle w:val="BodyText"/>
              <w:spacing w:before="100" w:after="100"/>
              <w:jc w:val="center"/>
            </w:pPr>
            <w:r>
              <w:t>Yes</w:t>
            </w:r>
          </w:p>
        </w:tc>
      </w:tr>
      <w:tr w:rsidR="000D07EA" w14:paraId="381DF8B2" w14:textId="77777777">
        <w:trPr>
          <w:trHeight w:val="247"/>
        </w:trPr>
        <w:tc>
          <w:tcPr>
            <w:tcW w:w="2857" w:type="pct"/>
          </w:tcPr>
          <w:p w14:paraId="5717993F" w14:textId="77777777" w:rsidR="000D07EA" w:rsidRDefault="00BE7C89">
            <w:pPr>
              <w:pStyle w:val="BodyText"/>
              <w:spacing w:before="100" w:after="100"/>
            </w:pPr>
            <w:r>
              <w:t>International Roaming &amp; Diversion</w:t>
            </w:r>
          </w:p>
        </w:tc>
        <w:tc>
          <w:tcPr>
            <w:tcW w:w="2143" w:type="pct"/>
          </w:tcPr>
          <w:p w14:paraId="3F5EEFB0" w14:textId="77777777" w:rsidR="000D07EA" w:rsidRDefault="00BE7C89">
            <w:pPr>
              <w:pStyle w:val="BodyText"/>
              <w:spacing w:before="100" w:after="100"/>
              <w:jc w:val="center"/>
            </w:pPr>
            <w:r>
              <w:t>No</w:t>
            </w:r>
          </w:p>
        </w:tc>
      </w:tr>
      <w:tr w:rsidR="000D07EA" w14:paraId="50DFFD38" w14:textId="77777777">
        <w:trPr>
          <w:trHeight w:val="247"/>
        </w:trPr>
        <w:tc>
          <w:tcPr>
            <w:tcW w:w="2857" w:type="pct"/>
          </w:tcPr>
          <w:p w14:paraId="70DAA29F" w14:textId="77777777" w:rsidR="000D07EA" w:rsidRDefault="00BE7C89">
            <w:pPr>
              <w:pStyle w:val="BodyText"/>
              <w:spacing w:before="100" w:after="100"/>
            </w:pPr>
            <w:r>
              <w:t>Premium SMS</w:t>
            </w:r>
          </w:p>
        </w:tc>
        <w:tc>
          <w:tcPr>
            <w:tcW w:w="2143" w:type="pct"/>
          </w:tcPr>
          <w:p w14:paraId="0E9DA56D" w14:textId="77777777" w:rsidR="000D07EA" w:rsidRDefault="00BE7C89">
            <w:pPr>
              <w:pStyle w:val="BodyText"/>
              <w:spacing w:before="100" w:after="100"/>
              <w:jc w:val="center"/>
            </w:pPr>
            <w:r>
              <w:t>No</w:t>
            </w:r>
          </w:p>
        </w:tc>
      </w:tr>
      <w:tr w:rsidR="000D07EA" w14:paraId="721A1E7C" w14:textId="77777777">
        <w:trPr>
          <w:trHeight w:val="247"/>
        </w:trPr>
        <w:tc>
          <w:tcPr>
            <w:tcW w:w="2857" w:type="pct"/>
          </w:tcPr>
          <w:p w14:paraId="3C023725" w14:textId="77777777" w:rsidR="000D07EA" w:rsidRDefault="00BE7C89">
            <w:pPr>
              <w:pStyle w:val="BodyText"/>
              <w:spacing w:before="100" w:after="100"/>
            </w:pPr>
            <w:r>
              <w:t xml:space="preserve">Premium Video </w:t>
            </w:r>
          </w:p>
        </w:tc>
        <w:tc>
          <w:tcPr>
            <w:tcW w:w="2143" w:type="pct"/>
          </w:tcPr>
          <w:p w14:paraId="3C0A4C33" w14:textId="77777777" w:rsidR="000D07EA" w:rsidRDefault="00BE7C89">
            <w:pPr>
              <w:pStyle w:val="BodyText"/>
              <w:spacing w:before="100" w:after="100"/>
              <w:jc w:val="center"/>
            </w:pPr>
            <w:r>
              <w:t>No</w:t>
            </w:r>
          </w:p>
        </w:tc>
      </w:tr>
      <w:tr w:rsidR="000D07EA" w14:paraId="4E2B4A89" w14:textId="77777777">
        <w:trPr>
          <w:trHeight w:val="247"/>
        </w:trPr>
        <w:tc>
          <w:tcPr>
            <w:tcW w:w="2857" w:type="pct"/>
          </w:tcPr>
          <w:p w14:paraId="6F1072B4" w14:textId="77777777" w:rsidR="000D07EA" w:rsidRDefault="00BE7C89">
            <w:pPr>
              <w:pStyle w:val="BodyText"/>
              <w:spacing w:before="100" w:after="100"/>
            </w:pPr>
            <w:r>
              <w:t xml:space="preserve">Video Conferencing </w:t>
            </w:r>
          </w:p>
        </w:tc>
        <w:tc>
          <w:tcPr>
            <w:tcW w:w="2143" w:type="pct"/>
          </w:tcPr>
          <w:p w14:paraId="650D66BD" w14:textId="77777777" w:rsidR="000D07EA" w:rsidRDefault="00BE7C89">
            <w:pPr>
              <w:pStyle w:val="BodyText"/>
              <w:spacing w:before="100" w:after="100"/>
              <w:jc w:val="center"/>
            </w:pPr>
            <w:r>
              <w:t>No</w:t>
            </w:r>
          </w:p>
        </w:tc>
      </w:tr>
      <w:tr w:rsidR="000D07EA" w14:paraId="1C046B92" w14:textId="77777777">
        <w:trPr>
          <w:trHeight w:val="247"/>
        </w:trPr>
        <w:tc>
          <w:tcPr>
            <w:tcW w:w="2857" w:type="pct"/>
          </w:tcPr>
          <w:p w14:paraId="6DD7367E" w14:textId="77777777" w:rsidR="000D07EA" w:rsidRDefault="00BE7C89">
            <w:pPr>
              <w:pStyle w:val="BodyText"/>
              <w:spacing w:before="100" w:after="100"/>
            </w:pPr>
            <w:r>
              <w:t>National MMS</w:t>
            </w:r>
          </w:p>
        </w:tc>
        <w:tc>
          <w:tcPr>
            <w:tcW w:w="2143" w:type="pct"/>
          </w:tcPr>
          <w:p w14:paraId="74527FF9" w14:textId="77777777" w:rsidR="000D07EA" w:rsidRDefault="00BE7C89">
            <w:pPr>
              <w:pStyle w:val="BodyText"/>
              <w:spacing w:before="100" w:after="100"/>
              <w:jc w:val="center"/>
            </w:pPr>
            <w:r>
              <w:t>Yes</w:t>
            </w:r>
          </w:p>
        </w:tc>
      </w:tr>
      <w:tr w:rsidR="000D07EA" w14:paraId="26FF1A0B" w14:textId="77777777">
        <w:trPr>
          <w:trHeight w:val="247"/>
        </w:trPr>
        <w:tc>
          <w:tcPr>
            <w:tcW w:w="2857" w:type="pct"/>
          </w:tcPr>
          <w:p w14:paraId="709F7A1B" w14:textId="77777777" w:rsidR="000D07EA" w:rsidRDefault="00BE7C89">
            <w:pPr>
              <w:pStyle w:val="BodyText"/>
              <w:spacing w:before="100" w:after="100"/>
            </w:pPr>
            <w:r>
              <w:t>International MMS</w:t>
            </w:r>
          </w:p>
        </w:tc>
        <w:tc>
          <w:tcPr>
            <w:tcW w:w="2143" w:type="pct"/>
          </w:tcPr>
          <w:p w14:paraId="311C553F" w14:textId="77777777" w:rsidR="000D07EA" w:rsidRDefault="00BE7C89">
            <w:pPr>
              <w:pStyle w:val="BodyText"/>
              <w:spacing w:before="100" w:after="100"/>
              <w:jc w:val="center"/>
            </w:pPr>
            <w:r>
              <w:t>No</w:t>
            </w:r>
          </w:p>
        </w:tc>
      </w:tr>
      <w:tr w:rsidR="000D07EA" w14:paraId="2B467662" w14:textId="77777777">
        <w:trPr>
          <w:trHeight w:val="247"/>
        </w:trPr>
        <w:tc>
          <w:tcPr>
            <w:tcW w:w="2857" w:type="pct"/>
          </w:tcPr>
          <w:p w14:paraId="2396EEC4" w14:textId="77777777" w:rsidR="000D07EA" w:rsidRDefault="00BE7C89">
            <w:pPr>
              <w:pStyle w:val="BodyText"/>
              <w:spacing w:before="100" w:after="100"/>
            </w:pPr>
            <w:r>
              <w:t>Optus Zoo Browsing</w:t>
            </w:r>
          </w:p>
        </w:tc>
        <w:tc>
          <w:tcPr>
            <w:tcW w:w="2143" w:type="pct"/>
          </w:tcPr>
          <w:p w14:paraId="705295B7" w14:textId="77777777" w:rsidR="000D07EA" w:rsidRDefault="00BE7C89">
            <w:pPr>
              <w:pStyle w:val="BodyText"/>
              <w:spacing w:before="100" w:after="100"/>
              <w:jc w:val="center"/>
            </w:pPr>
            <w:r>
              <w:t>No</w:t>
            </w:r>
          </w:p>
        </w:tc>
      </w:tr>
      <w:tr w:rsidR="000D07EA" w14:paraId="46C648F5" w14:textId="77777777">
        <w:trPr>
          <w:trHeight w:val="60"/>
        </w:trPr>
        <w:tc>
          <w:tcPr>
            <w:tcW w:w="2857" w:type="pct"/>
          </w:tcPr>
          <w:p w14:paraId="49384C77" w14:textId="77777777" w:rsidR="000D07EA" w:rsidRDefault="00BE7C89">
            <w:pPr>
              <w:pStyle w:val="BodyText"/>
              <w:spacing w:before="100" w:after="100"/>
            </w:pPr>
            <w:r>
              <w:t>Optus Zoo Downloads</w:t>
            </w:r>
          </w:p>
        </w:tc>
        <w:tc>
          <w:tcPr>
            <w:tcW w:w="2143" w:type="pct"/>
          </w:tcPr>
          <w:p w14:paraId="0FDA5A48" w14:textId="77777777" w:rsidR="000D07EA" w:rsidRDefault="00BE7C89">
            <w:pPr>
              <w:pStyle w:val="BodyText"/>
              <w:spacing w:before="100" w:after="100"/>
              <w:jc w:val="center"/>
            </w:pPr>
            <w:r>
              <w:t>No</w:t>
            </w:r>
          </w:p>
        </w:tc>
      </w:tr>
      <w:tr w:rsidR="000D07EA" w14:paraId="428A9E4D" w14:textId="77777777">
        <w:trPr>
          <w:trHeight w:val="60"/>
        </w:trPr>
        <w:tc>
          <w:tcPr>
            <w:tcW w:w="2857" w:type="pct"/>
          </w:tcPr>
          <w:p w14:paraId="3FE9BFD0" w14:textId="77777777" w:rsidR="000D07EA" w:rsidRDefault="00BE7C89">
            <w:pPr>
              <w:pStyle w:val="BodyText"/>
              <w:spacing w:before="100" w:after="100"/>
            </w:pPr>
            <w:r>
              <w:t>966* Zoo</w:t>
            </w:r>
          </w:p>
        </w:tc>
        <w:tc>
          <w:tcPr>
            <w:tcW w:w="2143" w:type="pct"/>
          </w:tcPr>
          <w:p w14:paraId="05705C1E" w14:textId="77777777" w:rsidR="000D07EA" w:rsidRDefault="00BE7C89">
            <w:pPr>
              <w:pStyle w:val="BodyText"/>
              <w:spacing w:before="100" w:after="100"/>
              <w:jc w:val="center"/>
            </w:pPr>
            <w:r>
              <w:t>No</w:t>
            </w:r>
          </w:p>
        </w:tc>
      </w:tr>
      <w:tr w:rsidR="000D07EA" w14:paraId="74710345" w14:textId="77777777">
        <w:trPr>
          <w:trHeight w:val="60"/>
        </w:trPr>
        <w:tc>
          <w:tcPr>
            <w:tcW w:w="2857" w:type="pct"/>
          </w:tcPr>
          <w:p w14:paraId="5AE7BAAD" w14:textId="77777777" w:rsidR="000D07EA" w:rsidRDefault="00BE7C89">
            <w:pPr>
              <w:pStyle w:val="BodyText"/>
              <w:spacing w:before="100" w:after="100"/>
            </w:pPr>
            <w:r>
              <w:t>Data used whilst roaming internationally</w:t>
            </w:r>
          </w:p>
        </w:tc>
        <w:tc>
          <w:tcPr>
            <w:tcW w:w="2143" w:type="pct"/>
          </w:tcPr>
          <w:p w14:paraId="06F15C5D" w14:textId="77777777" w:rsidR="000D07EA" w:rsidRDefault="00BE7C89">
            <w:pPr>
              <w:pStyle w:val="BodyText"/>
              <w:spacing w:before="100" w:after="100"/>
              <w:jc w:val="center"/>
            </w:pPr>
            <w:r>
              <w:t>No</w:t>
            </w:r>
          </w:p>
        </w:tc>
      </w:tr>
      <w:tr w:rsidR="000D07EA" w14:paraId="18DB7F36" w14:textId="77777777">
        <w:trPr>
          <w:trHeight w:val="102"/>
        </w:trPr>
        <w:tc>
          <w:tcPr>
            <w:tcW w:w="2857" w:type="pct"/>
          </w:tcPr>
          <w:p w14:paraId="2E9763B5" w14:textId="77777777" w:rsidR="000D07EA" w:rsidRDefault="00BE7C89">
            <w:pPr>
              <w:pStyle w:val="BodyText"/>
              <w:spacing w:before="100" w:after="100"/>
            </w:pPr>
            <w:r>
              <w:lastRenderedPageBreak/>
              <w:t xml:space="preserve">Directory Assistance – 1223 </w:t>
            </w:r>
          </w:p>
        </w:tc>
        <w:tc>
          <w:tcPr>
            <w:tcW w:w="2143" w:type="pct"/>
          </w:tcPr>
          <w:p w14:paraId="00D8D121" w14:textId="77777777" w:rsidR="000D07EA" w:rsidRDefault="00BE7C89">
            <w:pPr>
              <w:pStyle w:val="BodyText"/>
              <w:spacing w:before="100" w:after="100"/>
              <w:jc w:val="center"/>
            </w:pPr>
            <w:r>
              <w:t>No</w:t>
            </w:r>
          </w:p>
        </w:tc>
      </w:tr>
      <w:tr w:rsidR="000D07EA" w14:paraId="5B15C7EC" w14:textId="77777777">
        <w:trPr>
          <w:trHeight w:val="247"/>
        </w:trPr>
        <w:tc>
          <w:tcPr>
            <w:tcW w:w="2857" w:type="pct"/>
          </w:tcPr>
          <w:p w14:paraId="37ABF224" w14:textId="77777777" w:rsidR="000D07EA" w:rsidRDefault="00BE7C89">
            <w:pPr>
              <w:pStyle w:val="BodyText"/>
              <w:spacing w:before="100" w:after="100"/>
            </w:pPr>
            <w:r>
              <w:t>19XX Numbers</w:t>
            </w:r>
          </w:p>
        </w:tc>
        <w:tc>
          <w:tcPr>
            <w:tcW w:w="2143" w:type="pct"/>
          </w:tcPr>
          <w:p w14:paraId="5A7524E8" w14:textId="77777777" w:rsidR="000D07EA" w:rsidRDefault="00BE7C89">
            <w:pPr>
              <w:pStyle w:val="BodyText"/>
              <w:spacing w:before="100" w:after="100"/>
              <w:jc w:val="center"/>
            </w:pPr>
            <w:r>
              <w:t>No</w:t>
            </w:r>
          </w:p>
        </w:tc>
      </w:tr>
      <w:tr w:rsidR="000D07EA" w14:paraId="140E1937" w14:textId="77777777">
        <w:trPr>
          <w:trHeight w:val="247"/>
        </w:trPr>
        <w:tc>
          <w:tcPr>
            <w:tcW w:w="2857" w:type="pct"/>
          </w:tcPr>
          <w:p w14:paraId="6DA39B4C" w14:textId="77777777" w:rsidR="000D07EA" w:rsidRDefault="00BE7C89">
            <w:pPr>
              <w:pStyle w:val="BodyText"/>
              <w:spacing w:before="100" w:after="100"/>
            </w:pPr>
            <w:r>
              <w:t>1800 and 1300 numbers</w:t>
            </w:r>
          </w:p>
        </w:tc>
        <w:tc>
          <w:tcPr>
            <w:tcW w:w="2143" w:type="pct"/>
          </w:tcPr>
          <w:p w14:paraId="3889A866" w14:textId="77777777" w:rsidR="000D07EA" w:rsidRDefault="00BE7C89">
            <w:pPr>
              <w:pStyle w:val="BodyText"/>
              <w:spacing w:before="100" w:after="100"/>
              <w:jc w:val="center"/>
            </w:pPr>
            <w:r>
              <w:t>Yes</w:t>
            </w:r>
          </w:p>
        </w:tc>
      </w:tr>
      <w:tr w:rsidR="000D07EA" w14:paraId="585C0A4B" w14:textId="77777777">
        <w:trPr>
          <w:trHeight w:val="247"/>
        </w:trPr>
        <w:tc>
          <w:tcPr>
            <w:tcW w:w="2857" w:type="pct"/>
          </w:tcPr>
          <w:p w14:paraId="7BEA0361" w14:textId="77777777" w:rsidR="000D07EA" w:rsidRDefault="00BE7C89">
            <w:pPr>
              <w:pStyle w:val="BodyText"/>
              <w:spacing w:before="100" w:after="100"/>
            </w:pPr>
            <w:r>
              <w:t>124YES(937)</w:t>
            </w:r>
          </w:p>
        </w:tc>
        <w:tc>
          <w:tcPr>
            <w:tcW w:w="2143" w:type="pct"/>
          </w:tcPr>
          <w:p w14:paraId="5B90AD7A" w14:textId="77777777" w:rsidR="000D07EA" w:rsidRDefault="00BE7C89">
            <w:pPr>
              <w:pStyle w:val="BodyText"/>
              <w:spacing w:before="100" w:after="100"/>
              <w:jc w:val="center"/>
            </w:pPr>
            <w:r>
              <w:t>No</w:t>
            </w:r>
          </w:p>
        </w:tc>
      </w:tr>
      <w:tr w:rsidR="000D07EA" w14:paraId="7533745B" w14:textId="77777777">
        <w:trPr>
          <w:trHeight w:val="262"/>
        </w:trPr>
        <w:tc>
          <w:tcPr>
            <w:tcW w:w="2857" w:type="pct"/>
          </w:tcPr>
          <w:p w14:paraId="5E03CB71" w14:textId="77777777" w:rsidR="000D07EA" w:rsidRDefault="00BE7C89">
            <w:pPr>
              <w:pStyle w:val="BodyText"/>
              <w:spacing w:before="100" w:after="100"/>
            </w:pPr>
            <w:r>
              <w:t>Insurance</w:t>
            </w:r>
          </w:p>
        </w:tc>
        <w:tc>
          <w:tcPr>
            <w:tcW w:w="2143" w:type="pct"/>
          </w:tcPr>
          <w:p w14:paraId="52A092FA" w14:textId="77777777" w:rsidR="000D07EA" w:rsidRDefault="00BE7C89">
            <w:pPr>
              <w:pStyle w:val="BodyText"/>
              <w:spacing w:before="100" w:after="100"/>
              <w:jc w:val="center"/>
            </w:pPr>
            <w:r>
              <w:t>No</w:t>
            </w:r>
          </w:p>
        </w:tc>
      </w:tr>
      <w:tr w:rsidR="000D07EA" w14:paraId="4F8F5E52" w14:textId="77777777">
        <w:trPr>
          <w:trHeight w:val="262"/>
        </w:trPr>
        <w:tc>
          <w:tcPr>
            <w:tcW w:w="2857" w:type="pct"/>
          </w:tcPr>
          <w:p w14:paraId="5203CAB5" w14:textId="77777777" w:rsidR="000D07EA" w:rsidRDefault="00BE7C89">
            <w:pPr>
              <w:pStyle w:val="BodyText"/>
              <w:spacing w:before="100" w:after="100"/>
            </w:pPr>
            <w:r>
              <w:t>Handset Payments</w:t>
            </w:r>
          </w:p>
        </w:tc>
        <w:tc>
          <w:tcPr>
            <w:tcW w:w="2143" w:type="pct"/>
          </w:tcPr>
          <w:p w14:paraId="76846122" w14:textId="77777777" w:rsidR="000D07EA" w:rsidRDefault="00BE7C89">
            <w:pPr>
              <w:pStyle w:val="BodyText"/>
              <w:spacing w:before="100" w:after="100"/>
              <w:jc w:val="center"/>
            </w:pPr>
            <w:r>
              <w:t>No</w:t>
            </w:r>
          </w:p>
        </w:tc>
      </w:tr>
      <w:tr w:rsidR="000D07EA" w14:paraId="0CBB7F1A" w14:textId="77777777">
        <w:trPr>
          <w:trHeight w:val="262"/>
        </w:trPr>
        <w:tc>
          <w:tcPr>
            <w:tcW w:w="2857" w:type="pct"/>
          </w:tcPr>
          <w:p w14:paraId="4A224B20" w14:textId="77777777" w:rsidR="000D07EA" w:rsidRDefault="00BE7C89">
            <w:pPr>
              <w:pStyle w:val="BodyText"/>
              <w:spacing w:before="100" w:after="100"/>
            </w:pPr>
            <w:r>
              <w:t>Content Packs (unless specified in promotions)</w:t>
            </w:r>
          </w:p>
        </w:tc>
        <w:tc>
          <w:tcPr>
            <w:tcW w:w="2143" w:type="pct"/>
          </w:tcPr>
          <w:p w14:paraId="20A8F493" w14:textId="77777777" w:rsidR="000D07EA" w:rsidRDefault="00BE7C89">
            <w:pPr>
              <w:pStyle w:val="BodyText"/>
              <w:spacing w:before="100" w:after="100"/>
              <w:jc w:val="center"/>
            </w:pPr>
            <w:r>
              <w:t>No</w:t>
            </w:r>
          </w:p>
        </w:tc>
      </w:tr>
      <w:tr w:rsidR="000D07EA" w14:paraId="4197952F" w14:textId="77777777">
        <w:trPr>
          <w:trHeight w:val="262"/>
        </w:trPr>
        <w:tc>
          <w:tcPr>
            <w:tcW w:w="2857" w:type="pct"/>
          </w:tcPr>
          <w:p w14:paraId="1007B7CE" w14:textId="77777777" w:rsidR="000D07EA" w:rsidRDefault="00BE7C89">
            <w:pPr>
              <w:pStyle w:val="BodyText"/>
              <w:spacing w:before="100" w:after="100"/>
            </w:pPr>
            <w:r>
              <w:t>Mobile Internet usage</w:t>
            </w:r>
          </w:p>
        </w:tc>
        <w:tc>
          <w:tcPr>
            <w:tcW w:w="2143" w:type="pct"/>
          </w:tcPr>
          <w:p w14:paraId="13230586" w14:textId="77777777" w:rsidR="000D07EA" w:rsidRDefault="00BE7C89">
            <w:pPr>
              <w:pStyle w:val="BodyText"/>
              <w:spacing w:before="100" w:after="100"/>
              <w:jc w:val="center"/>
            </w:pPr>
            <w:r>
              <w:t>No</w:t>
            </w:r>
          </w:p>
        </w:tc>
      </w:tr>
      <w:tr w:rsidR="000D07EA" w14:paraId="7AF5DEA2" w14:textId="77777777">
        <w:trPr>
          <w:trHeight w:val="262"/>
        </w:trPr>
        <w:tc>
          <w:tcPr>
            <w:tcW w:w="2857" w:type="pct"/>
          </w:tcPr>
          <w:p w14:paraId="6F430C0E" w14:textId="77777777" w:rsidR="000D07EA" w:rsidRDefault="00BE7C89">
            <w:pPr>
              <w:pStyle w:val="BodyText"/>
              <w:spacing w:before="100" w:after="100"/>
            </w:pPr>
            <w:r>
              <w:t>Mobile IM (Instant Messenger)</w:t>
            </w:r>
          </w:p>
        </w:tc>
        <w:tc>
          <w:tcPr>
            <w:tcW w:w="2143" w:type="pct"/>
          </w:tcPr>
          <w:p w14:paraId="7A326912" w14:textId="77777777" w:rsidR="000D07EA" w:rsidRDefault="00BE7C89">
            <w:pPr>
              <w:pStyle w:val="BodyText"/>
              <w:spacing w:before="100" w:after="100"/>
              <w:jc w:val="center"/>
            </w:pPr>
            <w:r>
              <w:t>No</w:t>
            </w:r>
          </w:p>
        </w:tc>
      </w:tr>
      <w:tr w:rsidR="000D07EA" w14:paraId="24D6FEBB" w14:textId="77777777">
        <w:trPr>
          <w:trHeight w:val="262"/>
        </w:trPr>
        <w:tc>
          <w:tcPr>
            <w:tcW w:w="2857" w:type="pct"/>
          </w:tcPr>
          <w:p w14:paraId="456AD9DF" w14:textId="77777777" w:rsidR="000D07EA" w:rsidRDefault="00BE7C89">
            <w:pPr>
              <w:pStyle w:val="BodyText"/>
              <w:spacing w:before="100" w:after="100"/>
            </w:pPr>
            <w:r>
              <w:t xml:space="preserve">TruLocal Usage </w:t>
            </w:r>
          </w:p>
        </w:tc>
        <w:tc>
          <w:tcPr>
            <w:tcW w:w="2143" w:type="pct"/>
          </w:tcPr>
          <w:p w14:paraId="2F3524F1" w14:textId="77777777" w:rsidR="000D07EA" w:rsidRDefault="00BE7C89">
            <w:pPr>
              <w:pStyle w:val="BodyText"/>
              <w:spacing w:before="100" w:after="100"/>
              <w:jc w:val="center"/>
            </w:pPr>
            <w:r>
              <w:t>No</w:t>
            </w:r>
          </w:p>
        </w:tc>
      </w:tr>
      <w:tr w:rsidR="000D07EA" w14:paraId="7551A248" w14:textId="77777777">
        <w:trPr>
          <w:trHeight w:val="262"/>
        </w:trPr>
        <w:tc>
          <w:tcPr>
            <w:tcW w:w="2857" w:type="pct"/>
          </w:tcPr>
          <w:p w14:paraId="66F702DB" w14:textId="77777777" w:rsidR="000D07EA" w:rsidRDefault="00BE7C89">
            <w:pPr>
              <w:pStyle w:val="BodyText"/>
              <w:spacing w:before="100" w:after="100"/>
            </w:pPr>
            <w:r>
              <w:t>VOIP services</w:t>
            </w:r>
          </w:p>
        </w:tc>
        <w:tc>
          <w:tcPr>
            <w:tcW w:w="2143" w:type="pct"/>
          </w:tcPr>
          <w:p w14:paraId="2D356ADE" w14:textId="77777777" w:rsidR="000D07EA" w:rsidRDefault="00BE7C89">
            <w:pPr>
              <w:pStyle w:val="BodyText"/>
              <w:spacing w:before="100" w:after="100"/>
              <w:jc w:val="center"/>
            </w:pPr>
            <w:r>
              <w:t>No</w:t>
            </w:r>
          </w:p>
        </w:tc>
      </w:tr>
      <w:tr w:rsidR="000D07EA" w14:paraId="585B4AA6" w14:textId="77777777">
        <w:trPr>
          <w:trHeight w:val="262"/>
        </w:trPr>
        <w:tc>
          <w:tcPr>
            <w:tcW w:w="2857" w:type="pct"/>
          </w:tcPr>
          <w:p w14:paraId="57CBA9FA" w14:textId="77777777" w:rsidR="000D07EA" w:rsidRDefault="00BE7C89">
            <w:pPr>
              <w:pStyle w:val="BodyText"/>
              <w:spacing w:before="100" w:after="100"/>
            </w:pPr>
            <w:r>
              <w:t xml:space="preserve">Calls to Satellite </w:t>
            </w:r>
          </w:p>
        </w:tc>
        <w:tc>
          <w:tcPr>
            <w:tcW w:w="2143" w:type="pct"/>
          </w:tcPr>
          <w:p w14:paraId="3B44C58B" w14:textId="77777777" w:rsidR="000D07EA" w:rsidRDefault="00BE7C89">
            <w:pPr>
              <w:pStyle w:val="BodyText"/>
              <w:spacing w:before="100" w:after="100"/>
              <w:jc w:val="center"/>
            </w:pPr>
            <w:r>
              <w:t>No</w:t>
            </w:r>
          </w:p>
        </w:tc>
      </w:tr>
    </w:tbl>
    <w:p w14:paraId="414BA463" w14:textId="77777777" w:rsidR="000D07EA" w:rsidRDefault="000D07EA">
      <w:pPr>
        <w:pStyle w:val="BodyText"/>
        <w:rPr>
          <w:b/>
        </w:rPr>
      </w:pPr>
    </w:p>
    <w:p w14:paraId="0DEE3AE4" w14:textId="77777777" w:rsidR="000D07EA" w:rsidRDefault="00BE7C89">
      <w:pPr>
        <w:pStyle w:val="BodyText"/>
        <w:ind w:left="1440"/>
        <w:rPr>
          <w:b/>
        </w:rPr>
      </w:pPr>
      <w:r>
        <w:rPr>
          <w:b/>
        </w:rPr>
        <w:t>Table 1B – "Optus2Optus Value" -</w:t>
      </w:r>
      <w:r>
        <w:t xml:space="preserve"> may be used for standard calls and text to other Optus GSM Mobile Customers and to Selected Optus Fixed Lines. Customers must utilise the "Optus2AnyOne Value" before being able to access the "Optus2Optus Value"</w:t>
      </w:r>
    </w:p>
    <w:tbl>
      <w:tblPr>
        <w:tblW w:w="4229"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924"/>
        <w:gridCol w:w="3693"/>
      </w:tblGrid>
      <w:tr w:rsidR="000D07EA" w14:paraId="431E367F" w14:textId="77777777">
        <w:trPr>
          <w:trHeight w:val="494"/>
          <w:tblHeader/>
        </w:trPr>
        <w:tc>
          <w:tcPr>
            <w:tcW w:w="2857" w:type="pct"/>
          </w:tcPr>
          <w:p w14:paraId="0755F6E7" w14:textId="77777777" w:rsidR="000D07EA" w:rsidRDefault="00BE7C89">
            <w:pPr>
              <w:pStyle w:val="BodyText"/>
              <w:spacing w:before="100" w:after="100"/>
              <w:rPr>
                <w:b/>
                <w:bCs/>
              </w:rPr>
            </w:pPr>
            <w:r>
              <w:rPr>
                <w:b/>
                <w:bCs/>
              </w:rPr>
              <w:t>Call Type</w:t>
            </w:r>
          </w:p>
        </w:tc>
        <w:tc>
          <w:tcPr>
            <w:tcW w:w="2143" w:type="pct"/>
          </w:tcPr>
          <w:p w14:paraId="07EDA6A1" w14:textId="77777777" w:rsidR="000D07EA" w:rsidRDefault="00BE7C89">
            <w:pPr>
              <w:pStyle w:val="BodyText"/>
              <w:spacing w:before="100" w:after="100"/>
              <w:jc w:val="center"/>
              <w:rPr>
                <w:b/>
                <w:bCs/>
              </w:rPr>
            </w:pPr>
            <w:r>
              <w:rPr>
                <w:b/>
                <w:bCs/>
              </w:rPr>
              <w:t>Eligible Call</w:t>
            </w:r>
          </w:p>
        </w:tc>
      </w:tr>
      <w:tr w:rsidR="000D07EA" w14:paraId="4A8FB50F" w14:textId="77777777">
        <w:trPr>
          <w:trHeight w:val="247"/>
        </w:trPr>
        <w:tc>
          <w:tcPr>
            <w:tcW w:w="2857" w:type="pct"/>
          </w:tcPr>
          <w:p w14:paraId="791D6EF7" w14:textId="77777777" w:rsidR="000D07EA" w:rsidRDefault="00BE7C89">
            <w:pPr>
              <w:pStyle w:val="BodyText"/>
              <w:spacing w:before="100" w:after="100"/>
            </w:pPr>
            <w:r>
              <w:t>National Voice Calls (including Optus resellers)</w:t>
            </w:r>
          </w:p>
        </w:tc>
        <w:tc>
          <w:tcPr>
            <w:tcW w:w="2143" w:type="pct"/>
          </w:tcPr>
          <w:p w14:paraId="7936E8D9" w14:textId="77777777" w:rsidR="000D07EA" w:rsidRDefault="00BE7C89">
            <w:pPr>
              <w:pStyle w:val="BodyText"/>
              <w:spacing w:before="100" w:after="100"/>
              <w:jc w:val="center"/>
            </w:pPr>
            <w:r>
              <w:t>Yes</w:t>
            </w:r>
          </w:p>
        </w:tc>
      </w:tr>
      <w:tr w:rsidR="000D07EA" w14:paraId="13186C2C" w14:textId="77777777">
        <w:trPr>
          <w:trHeight w:val="247"/>
        </w:trPr>
        <w:tc>
          <w:tcPr>
            <w:tcW w:w="2857" w:type="pct"/>
          </w:tcPr>
          <w:p w14:paraId="0621CD68" w14:textId="77777777" w:rsidR="000D07EA" w:rsidRDefault="00BE7C89">
            <w:pPr>
              <w:pStyle w:val="BodyText"/>
              <w:spacing w:before="100" w:after="100"/>
            </w:pPr>
            <w:r>
              <w:t>International Voice Calls</w:t>
            </w:r>
          </w:p>
          <w:p w14:paraId="59D1B0CC" w14:textId="77777777" w:rsidR="000D07EA" w:rsidRDefault="00BE7C89">
            <w:pPr>
              <w:pStyle w:val="BodyText"/>
              <w:spacing w:before="100" w:after="100"/>
            </w:pPr>
            <w:r>
              <w:rPr>
                <w:snapToGrid w:val="0"/>
              </w:rPr>
              <w:t>(includes calls to national fixed or GSM mobile services that then divert/switch or re-route overseas)</w:t>
            </w:r>
          </w:p>
        </w:tc>
        <w:tc>
          <w:tcPr>
            <w:tcW w:w="2143" w:type="pct"/>
          </w:tcPr>
          <w:p w14:paraId="5C786DC8" w14:textId="77777777" w:rsidR="000D07EA" w:rsidRDefault="00BE7C89">
            <w:pPr>
              <w:pStyle w:val="BodyText"/>
              <w:spacing w:before="100" w:after="100"/>
              <w:jc w:val="center"/>
            </w:pPr>
            <w:r>
              <w:t>No</w:t>
            </w:r>
          </w:p>
        </w:tc>
      </w:tr>
      <w:tr w:rsidR="000D07EA" w14:paraId="74FE5EE7" w14:textId="77777777">
        <w:trPr>
          <w:trHeight w:val="247"/>
        </w:trPr>
        <w:tc>
          <w:tcPr>
            <w:tcW w:w="2857" w:type="pct"/>
          </w:tcPr>
          <w:p w14:paraId="2AFA97A5" w14:textId="77777777" w:rsidR="000D07EA" w:rsidRDefault="00BE7C89">
            <w:pPr>
              <w:pStyle w:val="BodyText"/>
              <w:spacing w:before="100" w:after="100"/>
            </w:pPr>
            <w:r>
              <w:t>National Video Calls (including Optus resellers)</w:t>
            </w:r>
          </w:p>
        </w:tc>
        <w:tc>
          <w:tcPr>
            <w:tcW w:w="2143" w:type="pct"/>
          </w:tcPr>
          <w:p w14:paraId="6A986F9A" w14:textId="77777777" w:rsidR="000D07EA" w:rsidRDefault="00BE7C89">
            <w:pPr>
              <w:pStyle w:val="BodyText"/>
              <w:spacing w:before="100" w:after="100"/>
              <w:jc w:val="center"/>
            </w:pPr>
            <w:r>
              <w:t>Yes</w:t>
            </w:r>
          </w:p>
        </w:tc>
      </w:tr>
      <w:tr w:rsidR="000D07EA" w14:paraId="2E2A4422" w14:textId="77777777">
        <w:trPr>
          <w:trHeight w:val="247"/>
        </w:trPr>
        <w:tc>
          <w:tcPr>
            <w:tcW w:w="2857" w:type="pct"/>
          </w:tcPr>
          <w:p w14:paraId="5D8BBCB3" w14:textId="77777777" w:rsidR="000D07EA" w:rsidRDefault="00BE7C89">
            <w:pPr>
              <w:pStyle w:val="BodyText"/>
              <w:spacing w:before="100" w:after="100"/>
            </w:pPr>
            <w:r>
              <w:t>International Video Calls</w:t>
            </w:r>
          </w:p>
          <w:p w14:paraId="54D317BC" w14:textId="77777777" w:rsidR="000D07EA" w:rsidRDefault="00BE7C89">
            <w:pPr>
              <w:pStyle w:val="BodyText"/>
              <w:spacing w:before="100" w:after="100"/>
            </w:pPr>
            <w:r>
              <w:rPr>
                <w:snapToGrid w:val="0"/>
              </w:rPr>
              <w:t>(includes calls to national fixed or GSM mobile services that then divert/switch or re-route overseas)</w:t>
            </w:r>
          </w:p>
        </w:tc>
        <w:tc>
          <w:tcPr>
            <w:tcW w:w="2143" w:type="pct"/>
          </w:tcPr>
          <w:p w14:paraId="4142790A" w14:textId="77777777" w:rsidR="000D07EA" w:rsidRDefault="00BE7C89">
            <w:pPr>
              <w:pStyle w:val="BodyText"/>
              <w:spacing w:before="100" w:after="100"/>
              <w:jc w:val="center"/>
            </w:pPr>
            <w:r>
              <w:t>No</w:t>
            </w:r>
          </w:p>
        </w:tc>
      </w:tr>
      <w:tr w:rsidR="000D07EA" w14:paraId="5CE70FFB" w14:textId="77777777">
        <w:trPr>
          <w:trHeight w:val="247"/>
        </w:trPr>
        <w:tc>
          <w:tcPr>
            <w:tcW w:w="2857" w:type="pct"/>
          </w:tcPr>
          <w:p w14:paraId="26849B7A" w14:textId="77777777" w:rsidR="000D07EA" w:rsidRDefault="00BE7C89">
            <w:pPr>
              <w:pStyle w:val="BodyText"/>
              <w:spacing w:before="100" w:after="100"/>
            </w:pPr>
            <w:r>
              <w:t>National SMS (including Optus resellers but excluding Virgin Mobile)</w:t>
            </w:r>
          </w:p>
        </w:tc>
        <w:tc>
          <w:tcPr>
            <w:tcW w:w="2143" w:type="pct"/>
          </w:tcPr>
          <w:p w14:paraId="484D69F7" w14:textId="77777777" w:rsidR="000D07EA" w:rsidRDefault="00BE7C89">
            <w:pPr>
              <w:pStyle w:val="BodyText"/>
              <w:spacing w:before="100" w:after="100"/>
              <w:jc w:val="center"/>
            </w:pPr>
            <w:r>
              <w:t>Yes</w:t>
            </w:r>
          </w:p>
        </w:tc>
      </w:tr>
      <w:tr w:rsidR="000D07EA" w14:paraId="65646CBF" w14:textId="77777777">
        <w:trPr>
          <w:trHeight w:val="247"/>
        </w:trPr>
        <w:tc>
          <w:tcPr>
            <w:tcW w:w="2857" w:type="pct"/>
          </w:tcPr>
          <w:p w14:paraId="275CF590" w14:textId="77777777" w:rsidR="000D07EA" w:rsidRDefault="00BE7C89">
            <w:pPr>
              <w:pStyle w:val="BodyText"/>
              <w:spacing w:before="100" w:after="100"/>
            </w:pPr>
            <w:r>
              <w:t xml:space="preserve">International SMS </w:t>
            </w:r>
          </w:p>
        </w:tc>
        <w:tc>
          <w:tcPr>
            <w:tcW w:w="2143" w:type="pct"/>
          </w:tcPr>
          <w:p w14:paraId="344565F0" w14:textId="77777777" w:rsidR="000D07EA" w:rsidRDefault="00BE7C89">
            <w:pPr>
              <w:pStyle w:val="BodyText"/>
              <w:spacing w:before="100" w:after="100"/>
              <w:jc w:val="center"/>
            </w:pPr>
            <w:r>
              <w:t>No</w:t>
            </w:r>
          </w:p>
        </w:tc>
      </w:tr>
      <w:tr w:rsidR="000D07EA" w14:paraId="2DD54427" w14:textId="77777777">
        <w:trPr>
          <w:trHeight w:val="247"/>
        </w:trPr>
        <w:tc>
          <w:tcPr>
            <w:tcW w:w="2857" w:type="pct"/>
          </w:tcPr>
          <w:p w14:paraId="58ACBCF1" w14:textId="77777777" w:rsidR="000D07EA" w:rsidRDefault="00BE7C89">
            <w:pPr>
              <w:pStyle w:val="BodyText"/>
              <w:spacing w:before="100" w:after="100"/>
            </w:pPr>
            <w:r>
              <w:t>Push to Talk (PTT)</w:t>
            </w:r>
          </w:p>
        </w:tc>
        <w:tc>
          <w:tcPr>
            <w:tcW w:w="2143" w:type="pct"/>
          </w:tcPr>
          <w:p w14:paraId="75D9566B" w14:textId="77777777" w:rsidR="000D07EA" w:rsidRDefault="00BE7C89" w:rsidP="00536F8B">
            <w:pPr>
              <w:pStyle w:val="BodyText"/>
            </w:pPr>
            <w:r>
              <w:t xml:space="preserve">Yes. </w:t>
            </w:r>
            <w:r w:rsidR="00240FE1">
              <w:t xml:space="preserve">The </w:t>
            </w:r>
            <w:r>
              <w:t>Fair Go Policy of up to 150 minutes a month applies.</w:t>
            </w:r>
          </w:p>
        </w:tc>
      </w:tr>
      <w:tr w:rsidR="000D07EA" w14:paraId="52E73F10" w14:textId="77777777">
        <w:trPr>
          <w:trHeight w:val="247"/>
        </w:trPr>
        <w:tc>
          <w:tcPr>
            <w:tcW w:w="2857" w:type="pct"/>
          </w:tcPr>
          <w:p w14:paraId="69A45A9E" w14:textId="77777777" w:rsidR="000D07EA" w:rsidRDefault="00BE7C89">
            <w:pPr>
              <w:pStyle w:val="BodyText"/>
              <w:spacing w:before="100" w:after="100"/>
            </w:pPr>
            <w:r>
              <w:t>Voicemail Diversions</w:t>
            </w:r>
          </w:p>
        </w:tc>
        <w:tc>
          <w:tcPr>
            <w:tcW w:w="2143" w:type="pct"/>
          </w:tcPr>
          <w:p w14:paraId="6135400E" w14:textId="77777777" w:rsidR="000D07EA" w:rsidRDefault="00BE7C89">
            <w:pPr>
              <w:pStyle w:val="BodyText"/>
              <w:spacing w:before="100" w:after="100"/>
              <w:jc w:val="center"/>
            </w:pPr>
            <w:r>
              <w:t>No</w:t>
            </w:r>
          </w:p>
        </w:tc>
      </w:tr>
      <w:tr w:rsidR="000D07EA" w14:paraId="401C2314" w14:textId="77777777">
        <w:trPr>
          <w:trHeight w:val="509"/>
        </w:trPr>
        <w:tc>
          <w:tcPr>
            <w:tcW w:w="2857" w:type="pct"/>
          </w:tcPr>
          <w:p w14:paraId="0C6B2AD2" w14:textId="77777777" w:rsidR="000D07EA" w:rsidRDefault="00BE7C89">
            <w:pPr>
              <w:pStyle w:val="BodyText"/>
              <w:spacing w:before="100" w:after="100"/>
            </w:pPr>
            <w:r>
              <w:t>Voicemail Deposit and Retrievals</w:t>
            </w:r>
          </w:p>
        </w:tc>
        <w:tc>
          <w:tcPr>
            <w:tcW w:w="2143" w:type="pct"/>
          </w:tcPr>
          <w:p w14:paraId="0656843F" w14:textId="77777777" w:rsidR="000D07EA" w:rsidRDefault="00BE7C89">
            <w:pPr>
              <w:pStyle w:val="BodyText"/>
              <w:spacing w:before="100" w:after="100"/>
              <w:jc w:val="center"/>
            </w:pPr>
            <w:r>
              <w:t>No</w:t>
            </w:r>
          </w:p>
        </w:tc>
      </w:tr>
      <w:tr w:rsidR="000D07EA" w14:paraId="520A2A69" w14:textId="77777777">
        <w:trPr>
          <w:trHeight w:val="247"/>
        </w:trPr>
        <w:tc>
          <w:tcPr>
            <w:tcW w:w="2857" w:type="pct"/>
          </w:tcPr>
          <w:p w14:paraId="127A86F7" w14:textId="77777777" w:rsidR="000D07EA" w:rsidRDefault="00BE7C89">
            <w:pPr>
              <w:pStyle w:val="BodyText"/>
              <w:spacing w:before="100" w:after="100"/>
            </w:pPr>
            <w:r>
              <w:t>International Roaming</w:t>
            </w:r>
          </w:p>
        </w:tc>
        <w:tc>
          <w:tcPr>
            <w:tcW w:w="2143" w:type="pct"/>
          </w:tcPr>
          <w:p w14:paraId="01987D43" w14:textId="77777777" w:rsidR="000D07EA" w:rsidRDefault="00BE7C89">
            <w:pPr>
              <w:pStyle w:val="BodyText"/>
              <w:spacing w:before="100" w:after="100"/>
              <w:jc w:val="center"/>
            </w:pPr>
            <w:r>
              <w:t>No</w:t>
            </w:r>
          </w:p>
        </w:tc>
      </w:tr>
      <w:tr w:rsidR="000D07EA" w14:paraId="48FD1BC7" w14:textId="77777777">
        <w:trPr>
          <w:trHeight w:val="247"/>
        </w:trPr>
        <w:tc>
          <w:tcPr>
            <w:tcW w:w="2857" w:type="pct"/>
          </w:tcPr>
          <w:p w14:paraId="6B09EB64" w14:textId="77777777" w:rsidR="000D07EA" w:rsidRDefault="00BE7C89">
            <w:pPr>
              <w:pStyle w:val="BodyText"/>
              <w:spacing w:before="100" w:after="100"/>
            </w:pPr>
            <w:r>
              <w:lastRenderedPageBreak/>
              <w:t>Premium SMS</w:t>
            </w:r>
          </w:p>
        </w:tc>
        <w:tc>
          <w:tcPr>
            <w:tcW w:w="2143" w:type="pct"/>
          </w:tcPr>
          <w:p w14:paraId="76983A2F" w14:textId="77777777" w:rsidR="000D07EA" w:rsidRDefault="00BE7C89">
            <w:pPr>
              <w:pStyle w:val="BodyText"/>
              <w:spacing w:before="100" w:after="100"/>
              <w:jc w:val="center"/>
            </w:pPr>
            <w:r>
              <w:t>No</w:t>
            </w:r>
          </w:p>
        </w:tc>
      </w:tr>
      <w:tr w:rsidR="000D07EA" w14:paraId="23D36BD3" w14:textId="77777777">
        <w:trPr>
          <w:trHeight w:val="247"/>
        </w:trPr>
        <w:tc>
          <w:tcPr>
            <w:tcW w:w="2857" w:type="pct"/>
          </w:tcPr>
          <w:p w14:paraId="311F8121" w14:textId="77777777" w:rsidR="000D07EA" w:rsidRDefault="00BE7C89">
            <w:pPr>
              <w:pStyle w:val="BodyText"/>
              <w:keepNext/>
              <w:spacing w:before="100" w:after="100"/>
            </w:pPr>
            <w:r>
              <w:t>National MMS (including Optus resellers but excluding Virgin Mobile)</w:t>
            </w:r>
          </w:p>
        </w:tc>
        <w:tc>
          <w:tcPr>
            <w:tcW w:w="2143" w:type="pct"/>
          </w:tcPr>
          <w:p w14:paraId="20A98EAE" w14:textId="77777777" w:rsidR="000D07EA" w:rsidRDefault="00BE7C89">
            <w:pPr>
              <w:pStyle w:val="BodyText"/>
              <w:keepNext/>
              <w:spacing w:before="100" w:after="100"/>
              <w:jc w:val="center"/>
            </w:pPr>
            <w:r>
              <w:t>Yes</w:t>
            </w:r>
          </w:p>
        </w:tc>
      </w:tr>
      <w:tr w:rsidR="000D07EA" w14:paraId="68FED3FF" w14:textId="77777777">
        <w:trPr>
          <w:trHeight w:val="247"/>
        </w:trPr>
        <w:tc>
          <w:tcPr>
            <w:tcW w:w="2857" w:type="pct"/>
          </w:tcPr>
          <w:p w14:paraId="00DC437D" w14:textId="77777777" w:rsidR="000D07EA" w:rsidRDefault="00BE7C89">
            <w:pPr>
              <w:pStyle w:val="BodyText"/>
              <w:spacing w:before="100" w:after="100"/>
            </w:pPr>
            <w:r>
              <w:t>International MMS</w:t>
            </w:r>
          </w:p>
        </w:tc>
        <w:tc>
          <w:tcPr>
            <w:tcW w:w="2143" w:type="pct"/>
          </w:tcPr>
          <w:p w14:paraId="1D15D0FA" w14:textId="77777777" w:rsidR="000D07EA" w:rsidRDefault="00BE7C89">
            <w:pPr>
              <w:pStyle w:val="BodyText"/>
              <w:spacing w:before="100" w:after="100"/>
              <w:jc w:val="center"/>
            </w:pPr>
            <w:r>
              <w:t>No</w:t>
            </w:r>
          </w:p>
        </w:tc>
      </w:tr>
      <w:tr w:rsidR="000D07EA" w14:paraId="0BCFA2CA" w14:textId="77777777">
        <w:trPr>
          <w:trHeight w:val="247"/>
        </w:trPr>
        <w:tc>
          <w:tcPr>
            <w:tcW w:w="2857" w:type="pct"/>
          </w:tcPr>
          <w:p w14:paraId="1317C66D" w14:textId="77777777" w:rsidR="000D07EA" w:rsidRDefault="00BE7C89">
            <w:pPr>
              <w:pStyle w:val="BodyText"/>
              <w:spacing w:before="100" w:after="100"/>
            </w:pPr>
            <w:r>
              <w:t>Optus Zoo Browsing</w:t>
            </w:r>
          </w:p>
        </w:tc>
        <w:tc>
          <w:tcPr>
            <w:tcW w:w="2143" w:type="pct"/>
          </w:tcPr>
          <w:p w14:paraId="12240B3B" w14:textId="77777777" w:rsidR="000D07EA" w:rsidRDefault="00BE7C89">
            <w:pPr>
              <w:pStyle w:val="BodyText"/>
              <w:spacing w:before="100" w:after="100"/>
              <w:jc w:val="center"/>
            </w:pPr>
            <w:r>
              <w:t>No</w:t>
            </w:r>
          </w:p>
        </w:tc>
      </w:tr>
      <w:tr w:rsidR="000D07EA" w14:paraId="12FBF879" w14:textId="77777777">
        <w:trPr>
          <w:trHeight w:val="494"/>
        </w:trPr>
        <w:tc>
          <w:tcPr>
            <w:tcW w:w="2857" w:type="pct"/>
          </w:tcPr>
          <w:p w14:paraId="37A4D662" w14:textId="77777777" w:rsidR="000D07EA" w:rsidRDefault="00BE7C89">
            <w:pPr>
              <w:pStyle w:val="BodyText"/>
              <w:spacing w:before="100" w:after="100"/>
            </w:pPr>
            <w:r>
              <w:t>Optus Zoo Downloads</w:t>
            </w:r>
          </w:p>
        </w:tc>
        <w:tc>
          <w:tcPr>
            <w:tcW w:w="2143" w:type="pct"/>
          </w:tcPr>
          <w:p w14:paraId="49C12D84" w14:textId="77777777" w:rsidR="000D07EA" w:rsidRDefault="00BE7C89">
            <w:pPr>
              <w:pStyle w:val="BodyText"/>
              <w:spacing w:before="100" w:after="100"/>
              <w:jc w:val="center"/>
            </w:pPr>
            <w:r>
              <w:t>No</w:t>
            </w:r>
          </w:p>
        </w:tc>
      </w:tr>
      <w:tr w:rsidR="000D07EA" w14:paraId="641B0347" w14:textId="77777777">
        <w:trPr>
          <w:trHeight w:val="494"/>
        </w:trPr>
        <w:tc>
          <w:tcPr>
            <w:tcW w:w="2857" w:type="pct"/>
          </w:tcPr>
          <w:p w14:paraId="6777F36D" w14:textId="77777777" w:rsidR="000D07EA" w:rsidRDefault="00BE7C89">
            <w:pPr>
              <w:pStyle w:val="BodyText"/>
              <w:spacing w:before="100" w:after="100"/>
            </w:pPr>
            <w:r>
              <w:t xml:space="preserve">Directory Assistance – 1223 </w:t>
            </w:r>
          </w:p>
        </w:tc>
        <w:tc>
          <w:tcPr>
            <w:tcW w:w="2143" w:type="pct"/>
          </w:tcPr>
          <w:p w14:paraId="7FC282A5" w14:textId="77777777" w:rsidR="000D07EA" w:rsidRDefault="00BE7C89">
            <w:pPr>
              <w:pStyle w:val="BodyText"/>
              <w:spacing w:before="100" w:after="100"/>
              <w:jc w:val="center"/>
            </w:pPr>
            <w:r>
              <w:t>No</w:t>
            </w:r>
          </w:p>
        </w:tc>
      </w:tr>
      <w:tr w:rsidR="000D07EA" w14:paraId="586D9B2C" w14:textId="77777777">
        <w:trPr>
          <w:trHeight w:val="247"/>
        </w:trPr>
        <w:tc>
          <w:tcPr>
            <w:tcW w:w="2857" w:type="pct"/>
          </w:tcPr>
          <w:p w14:paraId="7B59A710" w14:textId="77777777" w:rsidR="000D07EA" w:rsidRDefault="00BE7C89">
            <w:pPr>
              <w:pStyle w:val="BodyText"/>
              <w:spacing w:before="100" w:after="100"/>
            </w:pPr>
            <w:r>
              <w:t>19XX Numbers</w:t>
            </w:r>
          </w:p>
        </w:tc>
        <w:tc>
          <w:tcPr>
            <w:tcW w:w="2143" w:type="pct"/>
          </w:tcPr>
          <w:p w14:paraId="396AFCB6" w14:textId="77777777" w:rsidR="000D07EA" w:rsidRDefault="00BE7C89">
            <w:pPr>
              <w:pStyle w:val="BodyText"/>
              <w:spacing w:before="100" w:after="100"/>
              <w:jc w:val="center"/>
            </w:pPr>
            <w:r>
              <w:t>No</w:t>
            </w:r>
          </w:p>
        </w:tc>
      </w:tr>
      <w:tr w:rsidR="000D07EA" w14:paraId="12D1D20B" w14:textId="77777777">
        <w:trPr>
          <w:trHeight w:val="247"/>
        </w:trPr>
        <w:tc>
          <w:tcPr>
            <w:tcW w:w="2857" w:type="pct"/>
          </w:tcPr>
          <w:p w14:paraId="7FE6C4A4" w14:textId="77777777" w:rsidR="000D07EA" w:rsidRDefault="00BE7C89">
            <w:pPr>
              <w:pStyle w:val="BodyText"/>
              <w:spacing w:before="100" w:after="100"/>
            </w:pPr>
            <w:r>
              <w:t>1800 and 1300 numbers</w:t>
            </w:r>
          </w:p>
        </w:tc>
        <w:tc>
          <w:tcPr>
            <w:tcW w:w="2143" w:type="pct"/>
          </w:tcPr>
          <w:p w14:paraId="5312C9BA" w14:textId="77777777" w:rsidR="000D07EA" w:rsidRDefault="00BE7C89">
            <w:pPr>
              <w:pStyle w:val="BodyText"/>
              <w:spacing w:before="100" w:after="100"/>
              <w:jc w:val="center"/>
            </w:pPr>
            <w:r>
              <w:t>Yes</w:t>
            </w:r>
          </w:p>
        </w:tc>
      </w:tr>
      <w:tr w:rsidR="000D07EA" w14:paraId="4DAD10C6" w14:textId="77777777">
        <w:trPr>
          <w:trHeight w:val="247"/>
        </w:trPr>
        <w:tc>
          <w:tcPr>
            <w:tcW w:w="2857" w:type="pct"/>
          </w:tcPr>
          <w:p w14:paraId="1673B1F0" w14:textId="77777777" w:rsidR="000D07EA" w:rsidRDefault="00BE7C89">
            <w:pPr>
              <w:pStyle w:val="BodyText"/>
              <w:spacing w:before="100" w:after="100"/>
            </w:pPr>
            <w:r>
              <w:t>124YES(937)</w:t>
            </w:r>
          </w:p>
        </w:tc>
        <w:tc>
          <w:tcPr>
            <w:tcW w:w="2143" w:type="pct"/>
          </w:tcPr>
          <w:p w14:paraId="6F7DF1AB" w14:textId="77777777" w:rsidR="000D07EA" w:rsidRDefault="00BE7C89">
            <w:pPr>
              <w:pStyle w:val="BodyText"/>
              <w:spacing w:before="100" w:after="100"/>
              <w:jc w:val="center"/>
            </w:pPr>
            <w:r>
              <w:t>No</w:t>
            </w:r>
          </w:p>
        </w:tc>
      </w:tr>
      <w:tr w:rsidR="000D07EA" w14:paraId="595A6CBF" w14:textId="77777777">
        <w:trPr>
          <w:trHeight w:val="262"/>
        </w:trPr>
        <w:tc>
          <w:tcPr>
            <w:tcW w:w="2857" w:type="pct"/>
          </w:tcPr>
          <w:p w14:paraId="03696C40" w14:textId="77777777" w:rsidR="000D07EA" w:rsidRDefault="00BE7C89">
            <w:pPr>
              <w:pStyle w:val="BodyText"/>
              <w:spacing w:before="100" w:after="100"/>
            </w:pPr>
            <w:r>
              <w:t>Insurance</w:t>
            </w:r>
          </w:p>
        </w:tc>
        <w:tc>
          <w:tcPr>
            <w:tcW w:w="2143" w:type="pct"/>
          </w:tcPr>
          <w:p w14:paraId="7E6A9170" w14:textId="77777777" w:rsidR="000D07EA" w:rsidRDefault="00BE7C89">
            <w:pPr>
              <w:pStyle w:val="BodyText"/>
              <w:spacing w:before="100" w:after="100"/>
              <w:jc w:val="center"/>
            </w:pPr>
            <w:r>
              <w:t>No</w:t>
            </w:r>
          </w:p>
        </w:tc>
      </w:tr>
      <w:tr w:rsidR="000D07EA" w14:paraId="77DFDA34" w14:textId="77777777">
        <w:trPr>
          <w:trHeight w:val="262"/>
        </w:trPr>
        <w:tc>
          <w:tcPr>
            <w:tcW w:w="2857" w:type="pct"/>
          </w:tcPr>
          <w:p w14:paraId="7D0ACD59" w14:textId="77777777" w:rsidR="000D07EA" w:rsidRDefault="00BE7C89">
            <w:pPr>
              <w:pStyle w:val="BodyText"/>
              <w:spacing w:before="100" w:after="100"/>
            </w:pPr>
            <w:r>
              <w:t>Handset Payments</w:t>
            </w:r>
          </w:p>
        </w:tc>
        <w:tc>
          <w:tcPr>
            <w:tcW w:w="2143" w:type="pct"/>
          </w:tcPr>
          <w:p w14:paraId="2274DA1A" w14:textId="77777777" w:rsidR="000D07EA" w:rsidRDefault="00BE7C89">
            <w:pPr>
              <w:pStyle w:val="BodyText"/>
              <w:spacing w:before="100" w:after="100"/>
              <w:jc w:val="center"/>
            </w:pPr>
            <w:r>
              <w:t>No</w:t>
            </w:r>
          </w:p>
        </w:tc>
      </w:tr>
      <w:tr w:rsidR="000D07EA" w14:paraId="756E3B50" w14:textId="77777777">
        <w:trPr>
          <w:trHeight w:val="262"/>
        </w:trPr>
        <w:tc>
          <w:tcPr>
            <w:tcW w:w="2857" w:type="pct"/>
          </w:tcPr>
          <w:p w14:paraId="61C2F706" w14:textId="77777777" w:rsidR="000D07EA" w:rsidRDefault="00BE7C89">
            <w:pPr>
              <w:pStyle w:val="BodyText"/>
              <w:spacing w:before="100" w:after="100"/>
            </w:pPr>
            <w:r>
              <w:t>Content Packs (unless specified in promotions)</w:t>
            </w:r>
          </w:p>
        </w:tc>
        <w:tc>
          <w:tcPr>
            <w:tcW w:w="2143" w:type="pct"/>
          </w:tcPr>
          <w:p w14:paraId="0F8B7E05" w14:textId="77777777" w:rsidR="000D07EA" w:rsidRDefault="00BE7C89">
            <w:pPr>
              <w:pStyle w:val="BodyText"/>
              <w:spacing w:before="100" w:after="100"/>
              <w:jc w:val="center"/>
            </w:pPr>
            <w:r>
              <w:t>No</w:t>
            </w:r>
          </w:p>
        </w:tc>
      </w:tr>
      <w:tr w:rsidR="000D07EA" w14:paraId="53F74769" w14:textId="77777777">
        <w:trPr>
          <w:trHeight w:val="262"/>
        </w:trPr>
        <w:tc>
          <w:tcPr>
            <w:tcW w:w="2857" w:type="pct"/>
          </w:tcPr>
          <w:p w14:paraId="20E6606E" w14:textId="77777777" w:rsidR="000D07EA" w:rsidRDefault="00BE7C89">
            <w:pPr>
              <w:pStyle w:val="BodyText"/>
              <w:spacing w:before="100" w:after="100"/>
            </w:pPr>
            <w:r>
              <w:t>Mobile Internet usage</w:t>
            </w:r>
          </w:p>
        </w:tc>
        <w:tc>
          <w:tcPr>
            <w:tcW w:w="2143" w:type="pct"/>
          </w:tcPr>
          <w:p w14:paraId="410E12E2" w14:textId="77777777" w:rsidR="000D07EA" w:rsidRDefault="00BE7C89">
            <w:pPr>
              <w:pStyle w:val="BodyText"/>
              <w:spacing w:before="100" w:after="100"/>
              <w:jc w:val="center"/>
            </w:pPr>
            <w:r>
              <w:t>No</w:t>
            </w:r>
          </w:p>
        </w:tc>
      </w:tr>
      <w:tr w:rsidR="000D07EA" w14:paraId="3BEBAC1C" w14:textId="77777777">
        <w:trPr>
          <w:trHeight w:val="262"/>
        </w:trPr>
        <w:tc>
          <w:tcPr>
            <w:tcW w:w="2857" w:type="pct"/>
          </w:tcPr>
          <w:p w14:paraId="507B62C8" w14:textId="77777777" w:rsidR="000D07EA" w:rsidRDefault="00BE7C89">
            <w:pPr>
              <w:pStyle w:val="BodyText"/>
              <w:spacing w:before="100" w:after="100"/>
            </w:pPr>
            <w:r>
              <w:t>Mobile IM (Instant Messenger)</w:t>
            </w:r>
          </w:p>
        </w:tc>
        <w:tc>
          <w:tcPr>
            <w:tcW w:w="2143" w:type="pct"/>
          </w:tcPr>
          <w:p w14:paraId="2889721E" w14:textId="77777777" w:rsidR="000D07EA" w:rsidRDefault="00BE7C89">
            <w:pPr>
              <w:pStyle w:val="BodyText"/>
              <w:spacing w:before="100" w:after="100"/>
              <w:jc w:val="center"/>
            </w:pPr>
            <w:r>
              <w:t>No</w:t>
            </w:r>
          </w:p>
        </w:tc>
      </w:tr>
      <w:tr w:rsidR="000D07EA" w14:paraId="2BAC140F" w14:textId="77777777">
        <w:trPr>
          <w:trHeight w:val="262"/>
        </w:trPr>
        <w:tc>
          <w:tcPr>
            <w:tcW w:w="2857" w:type="pct"/>
          </w:tcPr>
          <w:p w14:paraId="5B368563" w14:textId="77777777" w:rsidR="000D07EA" w:rsidRDefault="00BE7C89">
            <w:pPr>
              <w:pStyle w:val="BodyText"/>
              <w:spacing w:before="100" w:after="100"/>
            </w:pPr>
            <w:r>
              <w:t>TruLocal usage</w:t>
            </w:r>
          </w:p>
        </w:tc>
        <w:tc>
          <w:tcPr>
            <w:tcW w:w="2143" w:type="pct"/>
          </w:tcPr>
          <w:p w14:paraId="55A81149" w14:textId="77777777" w:rsidR="000D07EA" w:rsidRDefault="00BE7C89">
            <w:pPr>
              <w:pStyle w:val="BodyText"/>
              <w:spacing w:before="100" w:after="100"/>
              <w:jc w:val="center"/>
            </w:pPr>
            <w:r>
              <w:t>No</w:t>
            </w:r>
          </w:p>
        </w:tc>
      </w:tr>
      <w:tr w:rsidR="000D07EA" w14:paraId="29C8EE0F" w14:textId="77777777">
        <w:trPr>
          <w:trHeight w:val="262"/>
        </w:trPr>
        <w:tc>
          <w:tcPr>
            <w:tcW w:w="2857" w:type="pct"/>
          </w:tcPr>
          <w:p w14:paraId="038A4491" w14:textId="77777777" w:rsidR="000D07EA" w:rsidRDefault="00BE7C89">
            <w:pPr>
              <w:pStyle w:val="BodyText"/>
              <w:spacing w:before="100" w:after="100"/>
            </w:pPr>
            <w:r>
              <w:t>VOIP services</w:t>
            </w:r>
          </w:p>
        </w:tc>
        <w:tc>
          <w:tcPr>
            <w:tcW w:w="2143" w:type="pct"/>
          </w:tcPr>
          <w:p w14:paraId="6A751C3B" w14:textId="77777777" w:rsidR="000D07EA" w:rsidRDefault="00BE7C89">
            <w:pPr>
              <w:pStyle w:val="BodyText"/>
              <w:spacing w:before="100" w:after="100"/>
              <w:jc w:val="center"/>
            </w:pPr>
            <w:r>
              <w:t>No</w:t>
            </w:r>
          </w:p>
        </w:tc>
      </w:tr>
    </w:tbl>
    <w:p w14:paraId="1C617B23" w14:textId="77777777" w:rsidR="000D07EA" w:rsidRDefault="000D07EA">
      <w:pPr>
        <w:pStyle w:val="BodyText"/>
        <w:rPr>
          <w:b/>
        </w:rPr>
      </w:pPr>
    </w:p>
    <w:p w14:paraId="62BD9E57" w14:textId="77777777" w:rsidR="000D07EA" w:rsidRDefault="00BE7C89">
      <w:pPr>
        <w:pStyle w:val="BodyText"/>
        <w:ind w:left="1440"/>
        <w:rPr>
          <w:b/>
        </w:rPr>
      </w:pPr>
      <w:r>
        <w:rPr>
          <w:b/>
        </w:rPr>
        <w:t>TABLE 2A – Charges and Cap Amounts for the 'yes' Business Cap Plans – Effective 3 May 2009</w:t>
      </w:r>
    </w:p>
    <w:tbl>
      <w:tblPr>
        <w:tblW w:w="4229"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399"/>
        <w:gridCol w:w="1406"/>
        <w:gridCol w:w="1406"/>
        <w:gridCol w:w="1406"/>
      </w:tblGrid>
      <w:tr w:rsidR="000D07EA" w14:paraId="4A6A3CEC" w14:textId="77777777">
        <w:trPr>
          <w:tblHeader/>
        </w:trPr>
        <w:tc>
          <w:tcPr>
            <w:tcW w:w="2552" w:type="pct"/>
          </w:tcPr>
          <w:p w14:paraId="1F706B64" w14:textId="77777777" w:rsidR="000D07EA" w:rsidRDefault="000D07EA">
            <w:pPr>
              <w:pStyle w:val="BodyText"/>
              <w:spacing w:before="100" w:after="100"/>
              <w:rPr>
                <w:b/>
              </w:rPr>
            </w:pPr>
          </w:p>
        </w:tc>
        <w:tc>
          <w:tcPr>
            <w:tcW w:w="816" w:type="pct"/>
          </w:tcPr>
          <w:p w14:paraId="36D49181" w14:textId="77777777" w:rsidR="000D07EA" w:rsidRDefault="00BE7C89">
            <w:pPr>
              <w:pStyle w:val="BodyText"/>
              <w:spacing w:before="100" w:after="100"/>
              <w:jc w:val="center"/>
              <w:rPr>
                <w:b/>
              </w:rPr>
            </w:pPr>
            <w:r>
              <w:rPr>
                <w:b/>
              </w:rPr>
              <w:t>'yes' Business $49 Cap</w:t>
            </w:r>
          </w:p>
        </w:tc>
        <w:tc>
          <w:tcPr>
            <w:tcW w:w="816" w:type="pct"/>
          </w:tcPr>
          <w:p w14:paraId="13DEC1DB" w14:textId="77777777" w:rsidR="000D07EA" w:rsidRDefault="00BE7C89">
            <w:pPr>
              <w:pStyle w:val="BodyText"/>
              <w:spacing w:before="100" w:after="100"/>
              <w:jc w:val="center"/>
              <w:rPr>
                <w:b/>
              </w:rPr>
            </w:pPr>
            <w:r>
              <w:rPr>
                <w:b/>
              </w:rPr>
              <w:t>'yes' Business $59 Cap</w:t>
            </w:r>
          </w:p>
        </w:tc>
        <w:tc>
          <w:tcPr>
            <w:tcW w:w="816" w:type="pct"/>
          </w:tcPr>
          <w:p w14:paraId="63BFA6AE" w14:textId="77777777" w:rsidR="000D07EA" w:rsidRDefault="00BE7C89">
            <w:pPr>
              <w:pStyle w:val="BodyText"/>
              <w:spacing w:before="100" w:after="100"/>
              <w:jc w:val="center"/>
              <w:rPr>
                <w:b/>
              </w:rPr>
            </w:pPr>
            <w:r>
              <w:rPr>
                <w:b/>
              </w:rPr>
              <w:t>'yes' Business $79 Cap</w:t>
            </w:r>
          </w:p>
        </w:tc>
      </w:tr>
      <w:tr w:rsidR="000D07EA" w14:paraId="46E4B4B3" w14:textId="77777777">
        <w:tc>
          <w:tcPr>
            <w:tcW w:w="2552" w:type="pct"/>
          </w:tcPr>
          <w:p w14:paraId="68B01029" w14:textId="77777777" w:rsidR="000D07EA" w:rsidRDefault="00BE7C89">
            <w:pPr>
              <w:pStyle w:val="BodyText"/>
              <w:spacing w:before="100" w:after="100"/>
              <w:rPr>
                <w:b/>
              </w:rPr>
            </w:pPr>
            <w:r>
              <w:rPr>
                <w:b/>
              </w:rPr>
              <w:t>Cap Start</w:t>
            </w:r>
          </w:p>
        </w:tc>
        <w:tc>
          <w:tcPr>
            <w:tcW w:w="816" w:type="pct"/>
          </w:tcPr>
          <w:p w14:paraId="4568DA59" w14:textId="77777777" w:rsidR="000D07EA" w:rsidRDefault="00BE7C89">
            <w:pPr>
              <w:pStyle w:val="BodyText"/>
              <w:spacing w:before="100" w:after="100"/>
              <w:jc w:val="center"/>
            </w:pPr>
            <w:r>
              <w:t>$49</w:t>
            </w:r>
          </w:p>
        </w:tc>
        <w:tc>
          <w:tcPr>
            <w:tcW w:w="816" w:type="pct"/>
          </w:tcPr>
          <w:p w14:paraId="628D5FEC" w14:textId="77777777" w:rsidR="000D07EA" w:rsidRDefault="00BE7C89">
            <w:pPr>
              <w:pStyle w:val="BodyText"/>
              <w:spacing w:before="100" w:after="100"/>
              <w:jc w:val="center"/>
            </w:pPr>
            <w:r>
              <w:t>$59</w:t>
            </w:r>
          </w:p>
        </w:tc>
        <w:tc>
          <w:tcPr>
            <w:tcW w:w="816" w:type="pct"/>
          </w:tcPr>
          <w:p w14:paraId="64A5C789" w14:textId="77777777" w:rsidR="000D07EA" w:rsidRDefault="00BE7C89">
            <w:pPr>
              <w:pStyle w:val="BodyText"/>
              <w:spacing w:before="100" w:after="100"/>
              <w:jc w:val="center"/>
            </w:pPr>
            <w:r>
              <w:t>$79</w:t>
            </w:r>
          </w:p>
        </w:tc>
      </w:tr>
      <w:tr w:rsidR="000D07EA" w14:paraId="66FE8B52" w14:textId="77777777">
        <w:tc>
          <w:tcPr>
            <w:tcW w:w="2552" w:type="pct"/>
          </w:tcPr>
          <w:p w14:paraId="4EF52060" w14:textId="77777777" w:rsidR="000D07EA" w:rsidRDefault="00BE7C89">
            <w:pPr>
              <w:pStyle w:val="BodyText"/>
              <w:spacing w:before="100" w:after="100"/>
              <w:rPr>
                <w:b/>
              </w:rPr>
            </w:pPr>
            <w:r>
              <w:rPr>
                <w:b/>
              </w:rPr>
              <w:t>Total Cap Value</w:t>
            </w:r>
          </w:p>
        </w:tc>
        <w:tc>
          <w:tcPr>
            <w:tcW w:w="816" w:type="pct"/>
          </w:tcPr>
          <w:p w14:paraId="2CE7EB8D" w14:textId="77777777" w:rsidR="000D07EA" w:rsidRDefault="00BE7C89">
            <w:pPr>
              <w:pStyle w:val="BodyText"/>
              <w:spacing w:before="100" w:after="100"/>
              <w:jc w:val="center"/>
            </w:pPr>
            <w:r>
              <w:t>$680</w:t>
            </w:r>
          </w:p>
        </w:tc>
        <w:tc>
          <w:tcPr>
            <w:tcW w:w="816" w:type="pct"/>
          </w:tcPr>
          <w:p w14:paraId="5844508B" w14:textId="77777777" w:rsidR="000D07EA" w:rsidRDefault="00BE7C89">
            <w:pPr>
              <w:pStyle w:val="BodyText"/>
              <w:spacing w:before="100" w:after="100"/>
              <w:jc w:val="center"/>
            </w:pPr>
            <w:r>
              <w:t>$680</w:t>
            </w:r>
          </w:p>
        </w:tc>
        <w:tc>
          <w:tcPr>
            <w:tcW w:w="816" w:type="pct"/>
          </w:tcPr>
          <w:p w14:paraId="4FD2D9E8" w14:textId="77777777" w:rsidR="000D07EA" w:rsidRDefault="00BE7C89">
            <w:pPr>
              <w:pStyle w:val="BodyText"/>
              <w:spacing w:before="100" w:after="100"/>
              <w:jc w:val="center"/>
            </w:pPr>
            <w:r>
              <w:t>$1250</w:t>
            </w:r>
          </w:p>
        </w:tc>
      </w:tr>
      <w:tr w:rsidR="000D07EA" w14:paraId="0A8FB77D" w14:textId="77777777">
        <w:tc>
          <w:tcPr>
            <w:tcW w:w="2552" w:type="pct"/>
          </w:tcPr>
          <w:p w14:paraId="4E33B429" w14:textId="77777777" w:rsidR="000D07EA" w:rsidRDefault="00BE7C89">
            <w:pPr>
              <w:pStyle w:val="BodyText"/>
              <w:spacing w:before="100" w:after="100"/>
              <w:rPr>
                <w:b/>
              </w:rPr>
            </w:pPr>
            <w:r>
              <w:rPr>
                <w:b/>
              </w:rPr>
              <w:t>"Optus2AnyOne Value"</w:t>
            </w:r>
          </w:p>
        </w:tc>
        <w:tc>
          <w:tcPr>
            <w:tcW w:w="816" w:type="pct"/>
          </w:tcPr>
          <w:p w14:paraId="30936DE6" w14:textId="77777777" w:rsidR="000D07EA" w:rsidRDefault="00BE7C89">
            <w:pPr>
              <w:pStyle w:val="BodyText"/>
              <w:spacing w:before="100" w:after="100"/>
              <w:jc w:val="center"/>
            </w:pPr>
            <w:r>
              <w:t>$330</w:t>
            </w:r>
          </w:p>
        </w:tc>
        <w:tc>
          <w:tcPr>
            <w:tcW w:w="816" w:type="pct"/>
          </w:tcPr>
          <w:p w14:paraId="22EBE4B4" w14:textId="77777777" w:rsidR="000D07EA" w:rsidRDefault="00BE7C89">
            <w:pPr>
              <w:pStyle w:val="BodyText"/>
              <w:spacing w:before="100" w:after="100"/>
              <w:jc w:val="center"/>
            </w:pPr>
            <w:r>
              <w:t>$330</w:t>
            </w:r>
          </w:p>
        </w:tc>
        <w:tc>
          <w:tcPr>
            <w:tcW w:w="816" w:type="pct"/>
          </w:tcPr>
          <w:p w14:paraId="4EB18031" w14:textId="77777777" w:rsidR="000D07EA" w:rsidRDefault="00BE7C89">
            <w:pPr>
              <w:pStyle w:val="BodyText"/>
              <w:spacing w:before="100" w:after="100"/>
              <w:jc w:val="center"/>
            </w:pPr>
            <w:r>
              <w:t>$610</w:t>
            </w:r>
          </w:p>
        </w:tc>
      </w:tr>
      <w:tr w:rsidR="000D07EA" w14:paraId="1B783C8A" w14:textId="77777777">
        <w:tc>
          <w:tcPr>
            <w:tcW w:w="2552" w:type="pct"/>
          </w:tcPr>
          <w:p w14:paraId="467EE82A" w14:textId="77777777" w:rsidR="000D07EA" w:rsidRDefault="00BE7C89">
            <w:pPr>
              <w:pStyle w:val="BodyText"/>
              <w:spacing w:before="100" w:after="100"/>
              <w:rPr>
                <w:b/>
              </w:rPr>
            </w:pPr>
            <w:r>
              <w:rPr>
                <w:b/>
              </w:rPr>
              <w:t xml:space="preserve">"Optus2Optus Value" - </w:t>
            </w:r>
            <w:r>
              <w:t>may be used for standard national calls and text to other Optus GSM Mobile Customers and to Selected Optus Fixed Lines. Customers must utilise the "Optus2AnyOne Value" before being able to access the "Optus2Optus Value"</w:t>
            </w:r>
          </w:p>
        </w:tc>
        <w:tc>
          <w:tcPr>
            <w:tcW w:w="816" w:type="pct"/>
          </w:tcPr>
          <w:p w14:paraId="0D9D5E1D" w14:textId="77777777" w:rsidR="000D07EA" w:rsidRDefault="00BE7C89">
            <w:pPr>
              <w:pStyle w:val="BodyText"/>
              <w:spacing w:before="100" w:after="100"/>
              <w:jc w:val="center"/>
            </w:pPr>
            <w:r>
              <w:t>$350</w:t>
            </w:r>
          </w:p>
        </w:tc>
        <w:tc>
          <w:tcPr>
            <w:tcW w:w="816" w:type="pct"/>
          </w:tcPr>
          <w:p w14:paraId="6930439E" w14:textId="77777777" w:rsidR="000D07EA" w:rsidRDefault="00BE7C89">
            <w:pPr>
              <w:pStyle w:val="BodyText"/>
              <w:spacing w:before="100" w:after="100"/>
              <w:jc w:val="center"/>
            </w:pPr>
            <w:r>
              <w:t>$350</w:t>
            </w:r>
          </w:p>
        </w:tc>
        <w:tc>
          <w:tcPr>
            <w:tcW w:w="816" w:type="pct"/>
          </w:tcPr>
          <w:p w14:paraId="7B9EF05E" w14:textId="77777777" w:rsidR="000D07EA" w:rsidRDefault="00BE7C89">
            <w:pPr>
              <w:pStyle w:val="BodyText"/>
              <w:spacing w:before="100" w:after="100"/>
              <w:jc w:val="center"/>
            </w:pPr>
            <w:r>
              <w:t>$640</w:t>
            </w:r>
          </w:p>
        </w:tc>
      </w:tr>
      <w:tr w:rsidR="000D07EA" w14:paraId="1AC3C55D" w14:textId="77777777">
        <w:tc>
          <w:tcPr>
            <w:tcW w:w="2552" w:type="pct"/>
          </w:tcPr>
          <w:p w14:paraId="6EB72D4E" w14:textId="77777777" w:rsidR="000D07EA" w:rsidRDefault="00BE7C89">
            <w:pPr>
              <w:pStyle w:val="BodyText"/>
              <w:spacing w:before="100" w:after="100"/>
              <w:rPr>
                <w:b/>
              </w:rPr>
            </w:pPr>
            <w:r>
              <w:rPr>
                <w:b/>
              </w:rPr>
              <w:t>Unlimited National SMS and MMS</w:t>
            </w:r>
          </w:p>
        </w:tc>
        <w:tc>
          <w:tcPr>
            <w:tcW w:w="816" w:type="pct"/>
          </w:tcPr>
          <w:p w14:paraId="04520BDD" w14:textId="77777777" w:rsidR="000D07EA" w:rsidRDefault="00BE7C89">
            <w:pPr>
              <w:pStyle w:val="BodyText"/>
              <w:spacing w:before="100" w:after="100"/>
              <w:jc w:val="center"/>
            </w:pPr>
            <w:r>
              <w:t>No</w:t>
            </w:r>
          </w:p>
        </w:tc>
        <w:tc>
          <w:tcPr>
            <w:tcW w:w="816" w:type="pct"/>
          </w:tcPr>
          <w:p w14:paraId="5A9DE0F2" w14:textId="77777777" w:rsidR="000D07EA" w:rsidRDefault="00BE7C89">
            <w:pPr>
              <w:pStyle w:val="BodyText"/>
              <w:spacing w:before="100" w:after="100"/>
              <w:jc w:val="center"/>
            </w:pPr>
            <w:r>
              <w:t>Yes</w:t>
            </w:r>
          </w:p>
        </w:tc>
        <w:tc>
          <w:tcPr>
            <w:tcW w:w="816" w:type="pct"/>
          </w:tcPr>
          <w:p w14:paraId="75CB7E93" w14:textId="77777777" w:rsidR="000D07EA" w:rsidRDefault="00BE7C89">
            <w:pPr>
              <w:pStyle w:val="BodyText"/>
              <w:spacing w:before="100" w:after="100"/>
              <w:jc w:val="center"/>
            </w:pPr>
            <w:r>
              <w:t>Yes</w:t>
            </w:r>
          </w:p>
        </w:tc>
      </w:tr>
      <w:tr w:rsidR="000D07EA" w14:paraId="74AC1907" w14:textId="77777777">
        <w:tc>
          <w:tcPr>
            <w:tcW w:w="2552" w:type="pct"/>
          </w:tcPr>
          <w:p w14:paraId="63775348" w14:textId="77777777" w:rsidR="000D07EA" w:rsidRDefault="00BE7C89">
            <w:pPr>
              <w:pStyle w:val="BodyText"/>
              <w:spacing w:before="100" w:after="100"/>
              <w:rPr>
                <w:b/>
              </w:rPr>
            </w:pPr>
            <w:r>
              <w:rPr>
                <w:b/>
              </w:rPr>
              <w:t>Minimum Monthly charge</w:t>
            </w:r>
          </w:p>
        </w:tc>
        <w:tc>
          <w:tcPr>
            <w:tcW w:w="816" w:type="pct"/>
          </w:tcPr>
          <w:p w14:paraId="73C2CA78" w14:textId="77777777" w:rsidR="000D07EA" w:rsidRDefault="00BE7C89">
            <w:pPr>
              <w:pStyle w:val="BodyText"/>
              <w:spacing w:before="100" w:after="100"/>
              <w:jc w:val="center"/>
            </w:pPr>
            <w:r>
              <w:t>$49</w:t>
            </w:r>
          </w:p>
        </w:tc>
        <w:tc>
          <w:tcPr>
            <w:tcW w:w="816" w:type="pct"/>
          </w:tcPr>
          <w:p w14:paraId="12DE4B38" w14:textId="77777777" w:rsidR="000D07EA" w:rsidRDefault="00BE7C89">
            <w:pPr>
              <w:pStyle w:val="BodyText"/>
              <w:spacing w:before="100" w:after="100"/>
              <w:jc w:val="center"/>
            </w:pPr>
            <w:r>
              <w:t>$59</w:t>
            </w:r>
          </w:p>
        </w:tc>
        <w:tc>
          <w:tcPr>
            <w:tcW w:w="816" w:type="pct"/>
          </w:tcPr>
          <w:p w14:paraId="74F84CED" w14:textId="77777777" w:rsidR="000D07EA" w:rsidRDefault="00BE7C89">
            <w:pPr>
              <w:pStyle w:val="BodyText"/>
              <w:spacing w:before="100" w:after="100"/>
              <w:jc w:val="center"/>
            </w:pPr>
            <w:r>
              <w:t>$79</w:t>
            </w:r>
          </w:p>
        </w:tc>
      </w:tr>
      <w:tr w:rsidR="000D07EA" w14:paraId="6B930D61" w14:textId="77777777">
        <w:tc>
          <w:tcPr>
            <w:tcW w:w="2552" w:type="pct"/>
          </w:tcPr>
          <w:p w14:paraId="09492858" w14:textId="77777777" w:rsidR="000D07EA" w:rsidRDefault="00BE7C89">
            <w:pPr>
              <w:pStyle w:val="BodyText"/>
              <w:keepNext/>
              <w:spacing w:before="100" w:after="100"/>
              <w:rPr>
                <w:b/>
              </w:rPr>
            </w:pPr>
            <w:r>
              <w:rPr>
                <w:b/>
              </w:rPr>
              <w:lastRenderedPageBreak/>
              <w:t>National Voice call charges</w:t>
            </w:r>
            <w:r>
              <w:t xml:space="preserve"> (per minute)</w:t>
            </w:r>
          </w:p>
        </w:tc>
        <w:tc>
          <w:tcPr>
            <w:tcW w:w="816" w:type="pct"/>
          </w:tcPr>
          <w:p w14:paraId="569D62C0" w14:textId="77777777" w:rsidR="000D07EA" w:rsidRDefault="00BE7C89">
            <w:pPr>
              <w:pStyle w:val="BodyText"/>
              <w:keepNext/>
              <w:spacing w:before="100" w:after="100"/>
              <w:jc w:val="center"/>
            </w:pPr>
            <w:r>
              <w:t>$0.80</w:t>
            </w:r>
          </w:p>
        </w:tc>
        <w:tc>
          <w:tcPr>
            <w:tcW w:w="816" w:type="pct"/>
          </w:tcPr>
          <w:p w14:paraId="6EE25516" w14:textId="77777777" w:rsidR="000D07EA" w:rsidRDefault="00BE7C89">
            <w:pPr>
              <w:pStyle w:val="BodyText"/>
              <w:keepNext/>
              <w:spacing w:before="100" w:after="100"/>
              <w:jc w:val="center"/>
            </w:pPr>
            <w:r>
              <w:t>$0.80</w:t>
            </w:r>
          </w:p>
        </w:tc>
        <w:tc>
          <w:tcPr>
            <w:tcW w:w="816" w:type="pct"/>
          </w:tcPr>
          <w:p w14:paraId="7BE71810" w14:textId="77777777" w:rsidR="000D07EA" w:rsidRDefault="00BE7C89">
            <w:pPr>
              <w:pStyle w:val="BodyText"/>
              <w:keepNext/>
              <w:spacing w:before="100" w:after="100"/>
              <w:jc w:val="center"/>
            </w:pPr>
            <w:r>
              <w:t>$0.78</w:t>
            </w:r>
          </w:p>
        </w:tc>
      </w:tr>
      <w:tr w:rsidR="000D07EA" w14:paraId="2A90D10D" w14:textId="77777777">
        <w:tc>
          <w:tcPr>
            <w:tcW w:w="2552" w:type="pct"/>
          </w:tcPr>
          <w:p w14:paraId="03752DEA" w14:textId="77777777" w:rsidR="000D07EA" w:rsidRDefault="00BE7C89">
            <w:pPr>
              <w:pStyle w:val="BodyText"/>
              <w:spacing w:before="100" w:after="100"/>
            </w:pPr>
            <w:r>
              <w:rPr>
                <w:b/>
                <w:i/>
              </w:rPr>
              <w:t>Flagfall</w:t>
            </w:r>
            <w:r>
              <w:rPr>
                <w:b/>
              </w:rPr>
              <w:t xml:space="preserve"> for national voice calls (Call Connection Charge) </w:t>
            </w:r>
          </w:p>
        </w:tc>
        <w:tc>
          <w:tcPr>
            <w:tcW w:w="816" w:type="pct"/>
          </w:tcPr>
          <w:p w14:paraId="416F1E3C" w14:textId="77777777" w:rsidR="000D07EA" w:rsidRDefault="00BE7C89">
            <w:pPr>
              <w:pStyle w:val="BodyText"/>
              <w:spacing w:before="100" w:after="100"/>
              <w:jc w:val="center"/>
            </w:pPr>
            <w:r>
              <w:t>$0.35</w:t>
            </w:r>
          </w:p>
        </w:tc>
        <w:tc>
          <w:tcPr>
            <w:tcW w:w="816" w:type="pct"/>
          </w:tcPr>
          <w:p w14:paraId="5EE7AE6D" w14:textId="77777777" w:rsidR="000D07EA" w:rsidRDefault="00BE7C89">
            <w:pPr>
              <w:pStyle w:val="BodyText"/>
              <w:spacing w:before="100" w:after="100"/>
              <w:jc w:val="center"/>
            </w:pPr>
            <w:r>
              <w:t>$0.35</w:t>
            </w:r>
          </w:p>
        </w:tc>
        <w:tc>
          <w:tcPr>
            <w:tcW w:w="816" w:type="pct"/>
          </w:tcPr>
          <w:p w14:paraId="791B6223" w14:textId="77777777" w:rsidR="000D07EA" w:rsidRDefault="00BE7C89">
            <w:pPr>
              <w:pStyle w:val="BodyText"/>
              <w:spacing w:before="100" w:after="100"/>
              <w:jc w:val="center"/>
            </w:pPr>
            <w:r>
              <w:t>$0.35</w:t>
            </w:r>
          </w:p>
        </w:tc>
      </w:tr>
      <w:tr w:rsidR="000D07EA" w14:paraId="1ACB9821" w14:textId="77777777">
        <w:tc>
          <w:tcPr>
            <w:tcW w:w="2552" w:type="pct"/>
          </w:tcPr>
          <w:p w14:paraId="10B0AEC6" w14:textId="77777777" w:rsidR="000D07EA" w:rsidRDefault="00BE7C89">
            <w:pPr>
              <w:pStyle w:val="BodyText"/>
              <w:keepNext/>
              <w:spacing w:before="100" w:after="100"/>
              <w:rPr>
                <w:b/>
              </w:rPr>
            </w:pPr>
            <w:r>
              <w:rPr>
                <w:b/>
              </w:rPr>
              <w:t xml:space="preserve">National SMS Charges </w:t>
            </w:r>
            <w:r>
              <w:t>(for standard SMS of up to 160 characters)</w:t>
            </w:r>
          </w:p>
        </w:tc>
        <w:tc>
          <w:tcPr>
            <w:tcW w:w="816" w:type="pct"/>
          </w:tcPr>
          <w:p w14:paraId="652DAD9B" w14:textId="77777777" w:rsidR="000D07EA" w:rsidRDefault="00BE7C89">
            <w:pPr>
              <w:pStyle w:val="BodyText"/>
              <w:keepNext/>
              <w:spacing w:before="100" w:after="100"/>
              <w:jc w:val="center"/>
            </w:pPr>
            <w:r>
              <w:t>$0.25</w:t>
            </w:r>
          </w:p>
        </w:tc>
        <w:tc>
          <w:tcPr>
            <w:tcW w:w="816" w:type="pct"/>
          </w:tcPr>
          <w:p w14:paraId="2469FEAF" w14:textId="77777777" w:rsidR="000D07EA" w:rsidRDefault="00BE7C89">
            <w:pPr>
              <w:pStyle w:val="BodyText"/>
              <w:keepNext/>
              <w:spacing w:before="100" w:after="100"/>
              <w:jc w:val="center"/>
            </w:pPr>
            <w:r>
              <w:t>$0.25</w:t>
            </w:r>
          </w:p>
        </w:tc>
        <w:tc>
          <w:tcPr>
            <w:tcW w:w="816" w:type="pct"/>
          </w:tcPr>
          <w:p w14:paraId="115C3E38" w14:textId="77777777" w:rsidR="000D07EA" w:rsidRDefault="00BE7C89">
            <w:pPr>
              <w:pStyle w:val="BodyText"/>
              <w:keepNext/>
              <w:spacing w:before="100" w:after="100"/>
              <w:jc w:val="center"/>
            </w:pPr>
            <w:r>
              <w:t>$0.25</w:t>
            </w:r>
          </w:p>
        </w:tc>
      </w:tr>
      <w:tr w:rsidR="000D07EA" w14:paraId="4C236B87" w14:textId="77777777">
        <w:tc>
          <w:tcPr>
            <w:tcW w:w="2552" w:type="pct"/>
          </w:tcPr>
          <w:p w14:paraId="0F97DCCB" w14:textId="77777777" w:rsidR="000D07EA" w:rsidRDefault="00BE7C89">
            <w:pPr>
              <w:pStyle w:val="BodyText"/>
              <w:spacing w:before="100" w:after="100"/>
              <w:rPr>
                <w:b/>
              </w:rPr>
            </w:pPr>
            <w:r>
              <w:rPr>
                <w:b/>
              </w:rPr>
              <w:t>National Photo Message (per message)</w:t>
            </w:r>
          </w:p>
        </w:tc>
        <w:tc>
          <w:tcPr>
            <w:tcW w:w="816" w:type="pct"/>
          </w:tcPr>
          <w:p w14:paraId="4FFE1111" w14:textId="77777777" w:rsidR="000D07EA" w:rsidRDefault="00BE7C89">
            <w:pPr>
              <w:pStyle w:val="BodyText"/>
              <w:spacing w:before="100" w:after="100"/>
              <w:jc w:val="center"/>
            </w:pPr>
            <w:r>
              <w:t>$0.25</w:t>
            </w:r>
          </w:p>
        </w:tc>
        <w:tc>
          <w:tcPr>
            <w:tcW w:w="816" w:type="pct"/>
          </w:tcPr>
          <w:p w14:paraId="60E1914A" w14:textId="77777777" w:rsidR="000D07EA" w:rsidRDefault="00BE7C89">
            <w:pPr>
              <w:pStyle w:val="BodyText"/>
              <w:spacing w:before="100" w:after="100"/>
              <w:jc w:val="center"/>
            </w:pPr>
            <w:r>
              <w:t>$0.25</w:t>
            </w:r>
          </w:p>
        </w:tc>
        <w:tc>
          <w:tcPr>
            <w:tcW w:w="816" w:type="pct"/>
          </w:tcPr>
          <w:p w14:paraId="488FB519" w14:textId="77777777" w:rsidR="000D07EA" w:rsidRDefault="00BE7C89">
            <w:pPr>
              <w:pStyle w:val="BodyText"/>
              <w:spacing w:before="100" w:after="100"/>
              <w:jc w:val="center"/>
            </w:pPr>
            <w:r>
              <w:t>$0.25</w:t>
            </w:r>
          </w:p>
        </w:tc>
      </w:tr>
      <w:tr w:rsidR="000D07EA" w14:paraId="5066EF80" w14:textId="77777777">
        <w:tc>
          <w:tcPr>
            <w:tcW w:w="2552" w:type="pct"/>
          </w:tcPr>
          <w:p w14:paraId="05E10605" w14:textId="77777777" w:rsidR="000D07EA" w:rsidRDefault="00BE7C89">
            <w:pPr>
              <w:pStyle w:val="BodyText"/>
              <w:spacing w:before="100" w:after="100"/>
              <w:rPr>
                <w:b/>
              </w:rPr>
            </w:pPr>
            <w:r>
              <w:rPr>
                <w:b/>
              </w:rPr>
              <w:t>National Video Calling (per minute)</w:t>
            </w:r>
          </w:p>
        </w:tc>
        <w:tc>
          <w:tcPr>
            <w:tcW w:w="816" w:type="pct"/>
          </w:tcPr>
          <w:p w14:paraId="24B0977B" w14:textId="77777777" w:rsidR="000D07EA" w:rsidRDefault="00BE7C89">
            <w:pPr>
              <w:pStyle w:val="BodyText"/>
              <w:spacing w:before="100" w:after="100"/>
              <w:jc w:val="center"/>
            </w:pPr>
            <w:r>
              <w:t>$1.00</w:t>
            </w:r>
          </w:p>
        </w:tc>
        <w:tc>
          <w:tcPr>
            <w:tcW w:w="816" w:type="pct"/>
          </w:tcPr>
          <w:p w14:paraId="25AFFCDD" w14:textId="77777777" w:rsidR="000D07EA" w:rsidRDefault="00BE7C89">
            <w:pPr>
              <w:pStyle w:val="BodyText"/>
              <w:spacing w:before="100" w:after="100"/>
              <w:jc w:val="center"/>
            </w:pPr>
            <w:r>
              <w:t>$1.00</w:t>
            </w:r>
          </w:p>
        </w:tc>
        <w:tc>
          <w:tcPr>
            <w:tcW w:w="816" w:type="pct"/>
          </w:tcPr>
          <w:p w14:paraId="6B846015" w14:textId="77777777" w:rsidR="000D07EA" w:rsidRDefault="00BE7C89">
            <w:pPr>
              <w:pStyle w:val="BodyText"/>
              <w:spacing w:before="100" w:after="100"/>
              <w:jc w:val="center"/>
            </w:pPr>
            <w:r>
              <w:t>$1.00</w:t>
            </w:r>
          </w:p>
        </w:tc>
      </w:tr>
      <w:tr w:rsidR="000D07EA" w14:paraId="4061BC72" w14:textId="77777777">
        <w:tc>
          <w:tcPr>
            <w:tcW w:w="2552" w:type="pct"/>
          </w:tcPr>
          <w:p w14:paraId="17FEF4AB" w14:textId="77777777" w:rsidR="000D07EA" w:rsidRDefault="00BE7C89">
            <w:pPr>
              <w:pStyle w:val="BodyText"/>
              <w:spacing w:before="100" w:after="100"/>
              <w:rPr>
                <w:b/>
              </w:rPr>
            </w:pPr>
            <w:r>
              <w:rPr>
                <w:b/>
                <w:i/>
              </w:rPr>
              <w:t xml:space="preserve">Flagfall </w:t>
            </w:r>
            <w:r>
              <w:rPr>
                <w:b/>
              </w:rPr>
              <w:t>for National Video Calls (per call)</w:t>
            </w:r>
          </w:p>
        </w:tc>
        <w:tc>
          <w:tcPr>
            <w:tcW w:w="816" w:type="pct"/>
          </w:tcPr>
          <w:p w14:paraId="2AFCFE91" w14:textId="77777777" w:rsidR="000D07EA" w:rsidRDefault="00BE7C89">
            <w:pPr>
              <w:pStyle w:val="BodyText"/>
              <w:spacing w:before="100" w:after="100"/>
              <w:jc w:val="center"/>
            </w:pPr>
            <w:r>
              <w:t>$0.35</w:t>
            </w:r>
          </w:p>
        </w:tc>
        <w:tc>
          <w:tcPr>
            <w:tcW w:w="816" w:type="pct"/>
          </w:tcPr>
          <w:p w14:paraId="46BECE3A" w14:textId="77777777" w:rsidR="000D07EA" w:rsidRDefault="00BE7C89">
            <w:pPr>
              <w:pStyle w:val="BodyText"/>
              <w:spacing w:before="100" w:after="100"/>
              <w:jc w:val="center"/>
            </w:pPr>
            <w:r>
              <w:t>$0.35</w:t>
            </w:r>
          </w:p>
        </w:tc>
        <w:tc>
          <w:tcPr>
            <w:tcW w:w="816" w:type="pct"/>
          </w:tcPr>
          <w:p w14:paraId="20FA60D6" w14:textId="77777777" w:rsidR="000D07EA" w:rsidRDefault="00BE7C89">
            <w:pPr>
              <w:pStyle w:val="BodyText"/>
              <w:spacing w:before="100" w:after="100"/>
              <w:jc w:val="center"/>
            </w:pPr>
            <w:r>
              <w:t>$0.35</w:t>
            </w:r>
          </w:p>
        </w:tc>
      </w:tr>
      <w:tr w:rsidR="000D07EA" w14:paraId="2CBA548E" w14:textId="77777777">
        <w:tc>
          <w:tcPr>
            <w:tcW w:w="2552" w:type="pct"/>
          </w:tcPr>
          <w:p w14:paraId="00873EEE" w14:textId="77777777" w:rsidR="000D07EA" w:rsidRDefault="00BE7C89">
            <w:pPr>
              <w:pStyle w:val="BodyText"/>
              <w:spacing w:before="100" w:after="100"/>
              <w:rPr>
                <w:b/>
                <w:i/>
              </w:rPr>
            </w:pPr>
            <w:r>
              <w:rPr>
                <w:b/>
              </w:rPr>
              <w:t>Other call charges (for example international calls, calls to mobiles)</w:t>
            </w:r>
          </w:p>
        </w:tc>
        <w:tc>
          <w:tcPr>
            <w:tcW w:w="2448" w:type="pct"/>
            <w:gridSpan w:val="3"/>
          </w:tcPr>
          <w:p w14:paraId="5F85D7F2" w14:textId="77777777" w:rsidR="000D07EA" w:rsidRDefault="00BE7C89">
            <w:pPr>
              <w:pStyle w:val="BodyText"/>
              <w:spacing w:before="100" w:after="100"/>
              <w:jc w:val="center"/>
            </w:pPr>
            <w:r>
              <w:t xml:space="preserve">See section 1 of this </w:t>
            </w:r>
            <w:r>
              <w:rPr>
                <w:i/>
              </w:rPr>
              <w:t>standard pricing table</w:t>
            </w:r>
            <w:r>
              <w:t xml:space="preserve"> and Appendix Y (Value Added Service Features)</w:t>
            </w:r>
          </w:p>
        </w:tc>
      </w:tr>
      <w:tr w:rsidR="000D07EA" w14:paraId="34E7A3DF" w14:textId="77777777">
        <w:tc>
          <w:tcPr>
            <w:tcW w:w="2552" w:type="pct"/>
          </w:tcPr>
          <w:p w14:paraId="034A9146" w14:textId="77777777" w:rsidR="000D07EA" w:rsidRDefault="00BE7C89">
            <w:pPr>
              <w:pStyle w:val="BodyText"/>
              <w:spacing w:before="100" w:after="100"/>
              <w:rPr>
                <w:b/>
              </w:rPr>
            </w:pPr>
            <w:r>
              <w:rPr>
                <w:b/>
              </w:rPr>
              <w:t xml:space="preserve">Other conditions </w:t>
            </w:r>
            <w:r>
              <w:t xml:space="preserve">(for details see paragraph </w:t>
            </w:r>
            <w:r w:rsidR="00390D08" w:rsidRPr="00272628">
              <w:t>82</w:t>
            </w:r>
            <w:r w:rsidRPr="00272628">
              <w:t>.3(g) above</w:t>
            </w:r>
            <w:r>
              <w:t>)</w:t>
            </w:r>
          </w:p>
        </w:tc>
        <w:tc>
          <w:tcPr>
            <w:tcW w:w="2448" w:type="pct"/>
            <w:gridSpan w:val="3"/>
          </w:tcPr>
          <w:p w14:paraId="5EB3DB0E" w14:textId="77777777" w:rsidR="000D07EA" w:rsidRDefault="00BE7C89">
            <w:pPr>
              <w:pStyle w:val="BodyText"/>
              <w:spacing w:before="100" w:after="100"/>
              <w:jc w:val="center"/>
            </w:pPr>
            <w:r>
              <w:t>Fair Go Policy (</w:t>
            </w:r>
            <w:hyperlink r:id="rId151" w:history="1">
              <w:r>
                <w:rPr>
                  <w:rStyle w:val="Hyperlink"/>
                  <w:i/>
                </w:rPr>
                <w:t>Appendix S</w:t>
              </w:r>
            </w:hyperlink>
            <w:r>
              <w:t>) applies to 'excessive use' or 'unreasonable use'.</w:t>
            </w:r>
          </w:p>
        </w:tc>
      </w:tr>
      <w:tr w:rsidR="000D07EA" w14:paraId="6705FFD0" w14:textId="77777777">
        <w:tc>
          <w:tcPr>
            <w:tcW w:w="2552" w:type="pct"/>
          </w:tcPr>
          <w:p w14:paraId="35866F30" w14:textId="77777777" w:rsidR="000D07EA" w:rsidRDefault="00BE7C89">
            <w:pPr>
              <w:pStyle w:val="BodyText"/>
              <w:spacing w:before="100" w:after="100"/>
              <w:rPr>
                <w:b/>
              </w:rPr>
            </w:pPr>
            <w:r>
              <w:rPr>
                <w:b/>
              </w:rPr>
              <w:t>Available on Non Fixed Contract (Month to Month)</w:t>
            </w:r>
          </w:p>
        </w:tc>
        <w:tc>
          <w:tcPr>
            <w:tcW w:w="816" w:type="pct"/>
          </w:tcPr>
          <w:p w14:paraId="016461BA" w14:textId="77777777" w:rsidR="000D07EA" w:rsidRDefault="00BE7C89">
            <w:pPr>
              <w:pStyle w:val="BodyText"/>
              <w:spacing w:before="100" w:after="100"/>
              <w:jc w:val="center"/>
            </w:pPr>
            <w:r>
              <w:t>Yes</w:t>
            </w:r>
          </w:p>
        </w:tc>
        <w:tc>
          <w:tcPr>
            <w:tcW w:w="816" w:type="pct"/>
          </w:tcPr>
          <w:p w14:paraId="0305D585" w14:textId="77777777" w:rsidR="000D07EA" w:rsidRDefault="00BE7C89">
            <w:pPr>
              <w:pStyle w:val="BodyText"/>
              <w:spacing w:before="100" w:after="100"/>
              <w:jc w:val="center"/>
            </w:pPr>
            <w:r>
              <w:t>No</w:t>
            </w:r>
          </w:p>
        </w:tc>
        <w:tc>
          <w:tcPr>
            <w:tcW w:w="816" w:type="pct"/>
          </w:tcPr>
          <w:p w14:paraId="11DD0498" w14:textId="77777777" w:rsidR="000D07EA" w:rsidRDefault="00BE7C89">
            <w:pPr>
              <w:pStyle w:val="BodyText"/>
              <w:spacing w:before="100" w:after="100"/>
              <w:jc w:val="center"/>
            </w:pPr>
            <w:r>
              <w:t>Yes</w:t>
            </w:r>
          </w:p>
        </w:tc>
      </w:tr>
      <w:tr w:rsidR="000D07EA" w14:paraId="4F6BC550" w14:textId="77777777">
        <w:tc>
          <w:tcPr>
            <w:tcW w:w="2552" w:type="pct"/>
          </w:tcPr>
          <w:p w14:paraId="6C33AFC8" w14:textId="77777777" w:rsidR="000D07EA" w:rsidRDefault="00BE7C89">
            <w:pPr>
              <w:pStyle w:val="BodyText"/>
              <w:spacing w:before="100" w:after="100"/>
              <w:rPr>
                <w:b/>
              </w:rPr>
            </w:pPr>
            <w:r>
              <w:rPr>
                <w:b/>
              </w:rPr>
              <w:t>Available on a Fixed Term Contract (12 or 24 Months)</w:t>
            </w:r>
          </w:p>
        </w:tc>
        <w:tc>
          <w:tcPr>
            <w:tcW w:w="816" w:type="pct"/>
          </w:tcPr>
          <w:p w14:paraId="15EB6C51" w14:textId="77777777" w:rsidR="000D07EA" w:rsidRDefault="00BE7C89">
            <w:pPr>
              <w:pStyle w:val="BodyText"/>
              <w:spacing w:before="100" w:after="100"/>
              <w:jc w:val="center"/>
            </w:pPr>
            <w:r>
              <w:t>Yes</w:t>
            </w:r>
          </w:p>
        </w:tc>
        <w:tc>
          <w:tcPr>
            <w:tcW w:w="816" w:type="pct"/>
          </w:tcPr>
          <w:p w14:paraId="03A71F32" w14:textId="77777777" w:rsidR="000D07EA" w:rsidRDefault="00BE7C89">
            <w:pPr>
              <w:pStyle w:val="BodyText"/>
              <w:spacing w:before="100" w:after="100"/>
              <w:jc w:val="center"/>
            </w:pPr>
            <w:r>
              <w:t>Yes</w:t>
            </w:r>
          </w:p>
        </w:tc>
        <w:tc>
          <w:tcPr>
            <w:tcW w:w="816" w:type="pct"/>
          </w:tcPr>
          <w:p w14:paraId="3D646461" w14:textId="77777777" w:rsidR="000D07EA" w:rsidRDefault="00BE7C89">
            <w:pPr>
              <w:pStyle w:val="BodyText"/>
              <w:spacing w:before="100" w:after="100"/>
              <w:jc w:val="center"/>
            </w:pPr>
            <w:r>
              <w:t>Yes</w:t>
            </w:r>
          </w:p>
        </w:tc>
      </w:tr>
      <w:tr w:rsidR="000D07EA" w14:paraId="2C4B34A3" w14:textId="77777777">
        <w:tc>
          <w:tcPr>
            <w:tcW w:w="2552" w:type="pct"/>
          </w:tcPr>
          <w:p w14:paraId="747D735D" w14:textId="77777777" w:rsidR="000D07EA" w:rsidRDefault="00BE7C89">
            <w:pPr>
              <w:pStyle w:val="BodyText"/>
              <w:spacing w:before="100" w:after="100"/>
              <w:rPr>
                <w:b/>
              </w:rPr>
            </w:pPr>
            <w:r>
              <w:rPr>
                <w:b/>
              </w:rPr>
              <w:t xml:space="preserve">Minimum Total Cost of the 'yes' Business Cap Plan over a 24 month </w:t>
            </w:r>
            <w:r>
              <w:rPr>
                <w:b/>
                <w:i/>
              </w:rPr>
              <w:t xml:space="preserve">minimum term </w:t>
            </w:r>
            <w:r>
              <w:rPr>
                <w:b/>
              </w:rPr>
              <w:t>(amount stated excludes any handset repayments)</w:t>
            </w:r>
          </w:p>
        </w:tc>
        <w:tc>
          <w:tcPr>
            <w:tcW w:w="816" w:type="pct"/>
          </w:tcPr>
          <w:p w14:paraId="0BBFA6CE" w14:textId="77777777" w:rsidR="000D07EA" w:rsidRDefault="00BE7C89">
            <w:pPr>
              <w:pStyle w:val="BodyText"/>
              <w:spacing w:before="100" w:after="100"/>
              <w:jc w:val="center"/>
            </w:pPr>
            <w:r>
              <w:t>$1176</w:t>
            </w:r>
          </w:p>
        </w:tc>
        <w:tc>
          <w:tcPr>
            <w:tcW w:w="816" w:type="pct"/>
          </w:tcPr>
          <w:p w14:paraId="526EF597" w14:textId="77777777" w:rsidR="000D07EA" w:rsidRDefault="00BE7C89">
            <w:pPr>
              <w:pStyle w:val="BodyText"/>
              <w:spacing w:before="100" w:after="100"/>
              <w:jc w:val="center"/>
            </w:pPr>
            <w:r>
              <w:t>$1416</w:t>
            </w:r>
          </w:p>
        </w:tc>
        <w:tc>
          <w:tcPr>
            <w:tcW w:w="816" w:type="pct"/>
          </w:tcPr>
          <w:p w14:paraId="05D08A02" w14:textId="77777777" w:rsidR="000D07EA" w:rsidRDefault="00BE7C89">
            <w:pPr>
              <w:pStyle w:val="BodyText"/>
              <w:spacing w:before="100" w:after="100"/>
              <w:jc w:val="center"/>
            </w:pPr>
            <w:r>
              <w:t>$1896</w:t>
            </w:r>
          </w:p>
        </w:tc>
      </w:tr>
      <w:tr w:rsidR="000D07EA" w14:paraId="11A51A22" w14:textId="77777777">
        <w:tc>
          <w:tcPr>
            <w:tcW w:w="2552" w:type="pct"/>
          </w:tcPr>
          <w:p w14:paraId="5C2F16BF" w14:textId="77777777" w:rsidR="000D07EA" w:rsidRDefault="00BE7C89">
            <w:pPr>
              <w:pStyle w:val="BodyText"/>
              <w:spacing w:before="100" w:after="100"/>
              <w:rPr>
                <w:b/>
              </w:rPr>
            </w:pPr>
            <w:r>
              <w:rPr>
                <w:b/>
              </w:rPr>
              <w:t xml:space="preserve">Minimum Total Cost of the 'yes' Business Cap Plan over a 12 month </w:t>
            </w:r>
            <w:r>
              <w:rPr>
                <w:b/>
                <w:i/>
              </w:rPr>
              <w:t xml:space="preserve">minimum term </w:t>
            </w:r>
            <w:r>
              <w:rPr>
                <w:b/>
              </w:rPr>
              <w:t>(amount stated excludes any handset repayments)</w:t>
            </w:r>
          </w:p>
        </w:tc>
        <w:tc>
          <w:tcPr>
            <w:tcW w:w="816" w:type="pct"/>
          </w:tcPr>
          <w:p w14:paraId="15888CCF" w14:textId="77777777" w:rsidR="000D07EA" w:rsidRDefault="00BE7C89">
            <w:pPr>
              <w:pStyle w:val="BodyText"/>
              <w:spacing w:before="100" w:after="100"/>
              <w:jc w:val="center"/>
            </w:pPr>
            <w:r>
              <w:t>$588</w:t>
            </w:r>
          </w:p>
        </w:tc>
        <w:tc>
          <w:tcPr>
            <w:tcW w:w="816" w:type="pct"/>
          </w:tcPr>
          <w:p w14:paraId="328E987F" w14:textId="77777777" w:rsidR="000D07EA" w:rsidRDefault="00BE7C89">
            <w:pPr>
              <w:pStyle w:val="BodyText"/>
              <w:spacing w:before="100" w:after="100"/>
              <w:jc w:val="center"/>
            </w:pPr>
            <w:r>
              <w:t>$708</w:t>
            </w:r>
          </w:p>
        </w:tc>
        <w:tc>
          <w:tcPr>
            <w:tcW w:w="816" w:type="pct"/>
          </w:tcPr>
          <w:p w14:paraId="237D1BED" w14:textId="77777777" w:rsidR="000D07EA" w:rsidRDefault="00BE7C89">
            <w:pPr>
              <w:pStyle w:val="BodyText"/>
              <w:spacing w:before="100" w:after="100"/>
              <w:jc w:val="center"/>
            </w:pPr>
            <w:r>
              <w:t>$948</w:t>
            </w:r>
          </w:p>
        </w:tc>
      </w:tr>
    </w:tbl>
    <w:p w14:paraId="05E84553" w14:textId="77777777" w:rsidR="000D07EA" w:rsidRDefault="000D07EA">
      <w:pPr>
        <w:pStyle w:val="BodyText"/>
      </w:pPr>
      <w:bookmarkStart w:id="259" w:name="_Toc238859143"/>
      <w:bookmarkStart w:id="260" w:name="_Toc397941070"/>
      <w:bookmarkStart w:id="261" w:name="_Toc222296827"/>
    </w:p>
    <w:p w14:paraId="3AB832C1" w14:textId="77777777" w:rsidR="000D07EA" w:rsidRDefault="00BE7C89">
      <w:pPr>
        <w:pStyle w:val="Heading6"/>
        <w:ind w:left="0" w:firstLine="0"/>
      </w:pPr>
      <w:r>
        <w:t>BYO Options (effective from 4 October 2009)</w:t>
      </w:r>
      <w:bookmarkEnd w:id="259"/>
      <w:bookmarkEnd w:id="260"/>
    </w:p>
    <w:p w14:paraId="477FF965" w14:textId="77777777" w:rsidR="000D07EA" w:rsidRDefault="00BE7C89">
      <w:pPr>
        <w:pStyle w:val="Heading7"/>
      </w:pPr>
      <w:r>
        <w:t>Eligibility</w:t>
      </w:r>
    </w:p>
    <w:p w14:paraId="138F6505" w14:textId="77777777" w:rsidR="000D07EA" w:rsidRDefault="00BE7C89">
      <w:pPr>
        <w:pStyle w:val="Heading8"/>
      </w:pPr>
      <w:r>
        <w:t>"BYO Options" as listed in Table 3A below, are available to customers who connect to a 'yes' Business Cap plan over 12 months and either connect their</w:t>
      </w:r>
      <w:r>
        <w:rPr>
          <w:i/>
        </w:rPr>
        <w:t xml:space="preserve"> </w:t>
      </w:r>
      <w:r>
        <w:t xml:space="preserve">own </w:t>
      </w:r>
      <w:r>
        <w:rPr>
          <w:i/>
        </w:rPr>
        <w:t xml:space="preserve">mobile phone </w:t>
      </w:r>
      <w:r>
        <w:t xml:space="preserve">or purchase a </w:t>
      </w:r>
      <w:r>
        <w:rPr>
          <w:i/>
        </w:rPr>
        <w:t xml:space="preserve">mobile phone </w:t>
      </w:r>
      <w:r>
        <w:t xml:space="preserve">from </w:t>
      </w:r>
      <w:r>
        <w:rPr>
          <w:i/>
        </w:rPr>
        <w:t xml:space="preserve">us </w:t>
      </w:r>
      <w:r>
        <w:t xml:space="preserve">under a </w:t>
      </w:r>
      <w:r>
        <w:rPr>
          <w:i/>
        </w:rPr>
        <w:t>mobile equipment payment plan</w:t>
      </w:r>
      <w:r>
        <w:t>.</w:t>
      </w:r>
    </w:p>
    <w:p w14:paraId="7F2335AC" w14:textId="77777777" w:rsidR="000D07EA" w:rsidRDefault="00BE7C89">
      <w:pPr>
        <w:pStyle w:val="Heading7"/>
      </w:pPr>
      <w:r>
        <w:t>By signing up over 12 months on the 'yes' Business Cap plans you can select one of the four BYO Options available to each plan listed in Table 3A.</w:t>
      </w:r>
    </w:p>
    <w:p w14:paraId="04CF04EB" w14:textId="77777777" w:rsidR="000D07EA" w:rsidRDefault="00BE7C89">
      <w:pPr>
        <w:pStyle w:val="Heading7"/>
      </w:pPr>
      <w:r>
        <w:t xml:space="preserve">At the end of the 12 months term </w:t>
      </w:r>
      <w:r>
        <w:rPr>
          <w:i/>
        </w:rPr>
        <w:t>you</w:t>
      </w:r>
      <w:r>
        <w:t xml:space="preserve"> will no longer receive your selected BYO Option. To continue to receive the BYO Option </w:t>
      </w:r>
      <w:r>
        <w:rPr>
          <w:i/>
        </w:rPr>
        <w:t>you</w:t>
      </w:r>
      <w:r>
        <w:t xml:space="preserve"> may recontract for a further 12 months.</w:t>
      </w:r>
    </w:p>
    <w:p w14:paraId="14FC618C" w14:textId="77777777" w:rsidR="000D07EA" w:rsidRDefault="00BE7C89">
      <w:pPr>
        <w:pStyle w:val="Heading7"/>
        <w:rPr>
          <w:sz w:val="22"/>
          <w:szCs w:val="22"/>
        </w:rPr>
      </w:pPr>
      <w:r>
        <w:t>Customers may request to change between BYO Options once per bill cycle. Changes between BYO options will be pro-rated from the date the change occurs. To change between BYO Options customer can call Optus Customer Service on</w:t>
      </w:r>
      <w:r>
        <w:rPr>
          <w:szCs w:val="20"/>
        </w:rPr>
        <w:t xml:space="preserve"> </w:t>
      </w:r>
      <w:r>
        <w:rPr>
          <w:rStyle w:val="Strong"/>
          <w:color w:val="000000"/>
          <w:szCs w:val="20"/>
        </w:rPr>
        <w:t>133 343.</w:t>
      </w:r>
    </w:p>
    <w:p w14:paraId="3136F7D9" w14:textId="77777777" w:rsidR="000D07EA" w:rsidRDefault="00BE7C89">
      <w:pPr>
        <w:pStyle w:val="BodyText"/>
        <w:keepNext/>
        <w:spacing w:before="240"/>
        <w:ind w:left="720"/>
        <w:rPr>
          <w:b/>
        </w:rPr>
      </w:pPr>
      <w:r>
        <w:rPr>
          <w:b/>
        </w:rPr>
        <w:lastRenderedPageBreak/>
        <w:t>Table 3A</w:t>
      </w:r>
    </w:p>
    <w:p w14:paraId="24CF1E52" w14:textId="77777777" w:rsidR="000D07EA" w:rsidRDefault="00BE7C89">
      <w:pPr>
        <w:pStyle w:val="BodyText"/>
        <w:keepNext/>
        <w:spacing w:before="240"/>
        <w:ind w:left="720"/>
      </w:pPr>
      <w:r>
        <w:t xml:space="preserve">Customers who select a BYO Option can select </w:t>
      </w:r>
      <w:r>
        <w:rPr>
          <w:b/>
        </w:rPr>
        <w:t>one</w:t>
      </w:r>
      <w:r>
        <w:t xml:space="preserve"> of the following</w:t>
      </w: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3341"/>
        <w:gridCol w:w="2040"/>
        <w:gridCol w:w="2040"/>
        <w:gridCol w:w="2040"/>
      </w:tblGrid>
      <w:tr w:rsidR="000D07EA" w14:paraId="2F9D3D71" w14:textId="77777777">
        <w:tc>
          <w:tcPr>
            <w:tcW w:w="1766" w:type="pct"/>
          </w:tcPr>
          <w:p w14:paraId="38CAE524" w14:textId="77777777" w:rsidR="000D07EA" w:rsidRDefault="00BE7C89">
            <w:pPr>
              <w:pStyle w:val="BodyText"/>
              <w:spacing w:before="100" w:after="100"/>
              <w:rPr>
                <w:b/>
              </w:rPr>
            </w:pPr>
            <w:r>
              <w:rPr>
                <w:b/>
              </w:rPr>
              <w:t>BYO Option</w:t>
            </w:r>
            <w:r>
              <w:rPr>
                <w:b/>
              </w:rPr>
              <w:br/>
              <w:t>(Per Month)</w:t>
            </w:r>
          </w:p>
        </w:tc>
        <w:tc>
          <w:tcPr>
            <w:tcW w:w="1078" w:type="pct"/>
          </w:tcPr>
          <w:p w14:paraId="5AC55624" w14:textId="77777777" w:rsidR="000D07EA" w:rsidRDefault="00BE7C89">
            <w:pPr>
              <w:pStyle w:val="BodyText"/>
              <w:spacing w:before="100" w:after="100"/>
              <w:jc w:val="center"/>
              <w:rPr>
                <w:b/>
              </w:rPr>
            </w:pPr>
            <w:r>
              <w:rPr>
                <w:b/>
              </w:rPr>
              <w:t>'yes' Business $49 Cap</w:t>
            </w:r>
          </w:p>
        </w:tc>
        <w:tc>
          <w:tcPr>
            <w:tcW w:w="1078" w:type="pct"/>
          </w:tcPr>
          <w:p w14:paraId="5F868888" w14:textId="77777777" w:rsidR="000D07EA" w:rsidRDefault="00BE7C89">
            <w:pPr>
              <w:pStyle w:val="BodyText"/>
              <w:spacing w:before="100" w:after="100"/>
              <w:jc w:val="center"/>
              <w:rPr>
                <w:b/>
              </w:rPr>
            </w:pPr>
            <w:r>
              <w:rPr>
                <w:b/>
              </w:rPr>
              <w:t>'yes' Business $59 Cap</w:t>
            </w:r>
          </w:p>
        </w:tc>
        <w:tc>
          <w:tcPr>
            <w:tcW w:w="1078" w:type="pct"/>
          </w:tcPr>
          <w:p w14:paraId="4730A0FF" w14:textId="77777777" w:rsidR="000D07EA" w:rsidRDefault="00BE7C89">
            <w:pPr>
              <w:pStyle w:val="BodyText"/>
              <w:spacing w:before="100" w:after="100"/>
              <w:jc w:val="center"/>
              <w:rPr>
                <w:b/>
              </w:rPr>
            </w:pPr>
            <w:r>
              <w:rPr>
                <w:b/>
              </w:rPr>
              <w:t>'yes' Business $79 Cap</w:t>
            </w:r>
          </w:p>
        </w:tc>
      </w:tr>
      <w:tr w:rsidR="000D07EA" w14:paraId="3B82A4C4" w14:textId="77777777">
        <w:tc>
          <w:tcPr>
            <w:tcW w:w="1766" w:type="pct"/>
          </w:tcPr>
          <w:p w14:paraId="3E4AD39F" w14:textId="77777777" w:rsidR="000D07EA" w:rsidRDefault="00BE7C89">
            <w:pPr>
              <w:pStyle w:val="BodyText"/>
              <w:spacing w:before="100" w:after="100"/>
              <w:rPr>
                <w:b/>
                <w:i/>
              </w:rPr>
            </w:pPr>
            <w:r>
              <w:t>Standard National SMS/MMS Pack</w:t>
            </w:r>
          </w:p>
        </w:tc>
        <w:tc>
          <w:tcPr>
            <w:tcW w:w="1078" w:type="pct"/>
          </w:tcPr>
          <w:p w14:paraId="57A53DBF" w14:textId="77777777" w:rsidR="000D07EA" w:rsidRDefault="00BE7C89">
            <w:pPr>
              <w:pStyle w:val="BodyText"/>
              <w:spacing w:before="100" w:after="100"/>
              <w:jc w:val="center"/>
            </w:pPr>
            <w:r>
              <w:t>Unlimited* SMS/MMS</w:t>
            </w:r>
          </w:p>
        </w:tc>
        <w:tc>
          <w:tcPr>
            <w:tcW w:w="1078" w:type="pct"/>
          </w:tcPr>
          <w:p w14:paraId="793EB10F" w14:textId="77777777" w:rsidR="000D07EA" w:rsidRDefault="00BE7C89">
            <w:pPr>
              <w:pStyle w:val="BodyText"/>
              <w:spacing w:before="100" w:after="100"/>
              <w:jc w:val="center"/>
            </w:pPr>
            <w:r>
              <w:t>NA</w:t>
            </w:r>
          </w:p>
        </w:tc>
        <w:tc>
          <w:tcPr>
            <w:tcW w:w="1078" w:type="pct"/>
          </w:tcPr>
          <w:p w14:paraId="751B8322" w14:textId="77777777" w:rsidR="000D07EA" w:rsidRDefault="00BE7C89">
            <w:pPr>
              <w:pStyle w:val="BodyText"/>
              <w:spacing w:before="100" w:after="100"/>
              <w:jc w:val="center"/>
            </w:pPr>
            <w:r>
              <w:t>NA</w:t>
            </w:r>
          </w:p>
        </w:tc>
      </w:tr>
      <w:tr w:rsidR="000D07EA" w14:paraId="1BE3F84F" w14:textId="77777777">
        <w:tc>
          <w:tcPr>
            <w:tcW w:w="1766" w:type="pct"/>
          </w:tcPr>
          <w:p w14:paraId="1DF7BEF5" w14:textId="77777777" w:rsidR="000D07EA" w:rsidRDefault="00BE7C89">
            <w:pPr>
              <w:pStyle w:val="BodyText"/>
              <w:spacing w:before="100" w:after="100"/>
              <w:rPr>
                <w:b/>
              </w:rPr>
            </w:pPr>
            <w:r>
              <w:t>Optus2AnyOne</w:t>
            </w:r>
            <w:r>
              <w:rPr>
                <w:b/>
              </w:rPr>
              <w:t xml:space="preserve"> Value</w:t>
            </w:r>
          </w:p>
        </w:tc>
        <w:tc>
          <w:tcPr>
            <w:tcW w:w="1078" w:type="pct"/>
          </w:tcPr>
          <w:p w14:paraId="446588FB" w14:textId="77777777" w:rsidR="000D07EA" w:rsidRDefault="00BE7C89">
            <w:pPr>
              <w:pStyle w:val="BodyText"/>
              <w:spacing w:before="100" w:after="100"/>
              <w:jc w:val="center"/>
            </w:pPr>
            <w:r>
              <w:t>$170</w:t>
            </w:r>
          </w:p>
        </w:tc>
        <w:tc>
          <w:tcPr>
            <w:tcW w:w="1078" w:type="pct"/>
          </w:tcPr>
          <w:p w14:paraId="0644E612" w14:textId="77777777" w:rsidR="000D07EA" w:rsidRDefault="00BE7C89">
            <w:pPr>
              <w:pStyle w:val="BodyText"/>
              <w:spacing w:before="100" w:after="100"/>
              <w:jc w:val="center"/>
            </w:pPr>
            <w:r>
              <w:t>$270</w:t>
            </w:r>
          </w:p>
        </w:tc>
        <w:tc>
          <w:tcPr>
            <w:tcW w:w="1078" w:type="pct"/>
          </w:tcPr>
          <w:p w14:paraId="1C3AEEB3" w14:textId="77777777" w:rsidR="000D07EA" w:rsidRDefault="00BE7C89">
            <w:pPr>
              <w:pStyle w:val="BodyText"/>
              <w:spacing w:before="100" w:after="100"/>
              <w:jc w:val="center"/>
            </w:pPr>
            <w:r>
              <w:t>$290</w:t>
            </w:r>
          </w:p>
        </w:tc>
      </w:tr>
      <w:tr w:rsidR="000D07EA" w14:paraId="272AD1BF" w14:textId="77777777">
        <w:tc>
          <w:tcPr>
            <w:tcW w:w="1766" w:type="pct"/>
          </w:tcPr>
          <w:p w14:paraId="13B9B9C8" w14:textId="77777777" w:rsidR="000D07EA" w:rsidRDefault="00BE7C89">
            <w:pPr>
              <w:pStyle w:val="BodyText"/>
              <w:spacing w:before="100" w:after="100"/>
              <w:rPr>
                <w:b/>
              </w:rPr>
            </w:pPr>
            <w:r>
              <w:t>International Value</w:t>
            </w:r>
          </w:p>
        </w:tc>
        <w:tc>
          <w:tcPr>
            <w:tcW w:w="1078" w:type="pct"/>
          </w:tcPr>
          <w:p w14:paraId="5718E148" w14:textId="77777777" w:rsidR="000D07EA" w:rsidRDefault="00BE7C89">
            <w:pPr>
              <w:pStyle w:val="BodyText"/>
              <w:spacing w:before="100" w:after="100"/>
              <w:jc w:val="center"/>
            </w:pPr>
            <w:r>
              <w:rPr>
                <w:rFonts w:cs="Arial"/>
                <w:lang w:eastAsia="en-AU"/>
              </w:rPr>
              <w:t>$50 value for International Calls &amp; International SMS</w:t>
            </w:r>
          </w:p>
        </w:tc>
        <w:tc>
          <w:tcPr>
            <w:tcW w:w="1078" w:type="pct"/>
          </w:tcPr>
          <w:p w14:paraId="708766C3" w14:textId="77777777" w:rsidR="000D07EA" w:rsidRDefault="00BE7C89">
            <w:pPr>
              <w:pStyle w:val="BodyText"/>
              <w:spacing w:before="100" w:after="100"/>
              <w:jc w:val="center"/>
            </w:pPr>
            <w:r>
              <w:rPr>
                <w:rFonts w:cs="Arial"/>
                <w:lang w:eastAsia="en-AU"/>
              </w:rPr>
              <w:t>$180 value for International Calls &amp; International SMS</w:t>
            </w:r>
          </w:p>
        </w:tc>
        <w:tc>
          <w:tcPr>
            <w:tcW w:w="1078" w:type="pct"/>
          </w:tcPr>
          <w:p w14:paraId="157E3E5A" w14:textId="77777777" w:rsidR="000D07EA" w:rsidRDefault="00BE7C89">
            <w:pPr>
              <w:pStyle w:val="BodyText"/>
              <w:spacing w:before="100" w:after="100"/>
              <w:jc w:val="center"/>
            </w:pPr>
            <w:r>
              <w:rPr>
                <w:rFonts w:cs="Arial"/>
                <w:lang w:eastAsia="en-AU"/>
              </w:rPr>
              <w:t>$180 value for International Calls &amp; International SMS</w:t>
            </w:r>
          </w:p>
        </w:tc>
      </w:tr>
      <w:tr w:rsidR="000D07EA" w14:paraId="0E971963" w14:textId="77777777">
        <w:tc>
          <w:tcPr>
            <w:tcW w:w="1766" w:type="pct"/>
            <w:tcBorders>
              <w:top w:val="single" w:sz="4" w:space="0" w:color="auto"/>
              <w:left w:val="single" w:sz="4" w:space="0" w:color="auto"/>
              <w:bottom w:val="single" w:sz="4" w:space="0" w:color="auto"/>
              <w:right w:val="single" w:sz="4" w:space="0" w:color="auto"/>
            </w:tcBorders>
          </w:tcPr>
          <w:p w14:paraId="30BD5811" w14:textId="77777777" w:rsidR="000D07EA" w:rsidRDefault="00BE7C89">
            <w:pPr>
              <w:pStyle w:val="BodyText"/>
              <w:spacing w:before="100" w:after="100"/>
              <w:rPr>
                <w:b/>
              </w:rPr>
            </w:pPr>
            <w:r>
              <w:t>Internet Value Pack</w:t>
            </w:r>
          </w:p>
        </w:tc>
        <w:tc>
          <w:tcPr>
            <w:tcW w:w="1078" w:type="pct"/>
            <w:tcBorders>
              <w:top w:val="single" w:sz="4" w:space="0" w:color="auto"/>
              <w:left w:val="single" w:sz="4" w:space="0" w:color="auto"/>
              <w:bottom w:val="single" w:sz="4" w:space="0" w:color="auto"/>
              <w:right w:val="single" w:sz="4" w:space="0" w:color="auto"/>
            </w:tcBorders>
          </w:tcPr>
          <w:p w14:paraId="6AE8492F" w14:textId="77777777" w:rsidR="000D07EA" w:rsidRDefault="00BE7C89">
            <w:pPr>
              <w:pStyle w:val="BodyText"/>
              <w:spacing w:before="100" w:after="100"/>
              <w:jc w:val="center"/>
            </w:pPr>
            <w:r>
              <w:t>500MB</w:t>
            </w:r>
          </w:p>
        </w:tc>
        <w:tc>
          <w:tcPr>
            <w:tcW w:w="1078" w:type="pct"/>
            <w:tcBorders>
              <w:top w:val="single" w:sz="4" w:space="0" w:color="auto"/>
              <w:left w:val="single" w:sz="4" w:space="0" w:color="auto"/>
              <w:bottom w:val="single" w:sz="4" w:space="0" w:color="auto"/>
              <w:right w:val="single" w:sz="4" w:space="0" w:color="auto"/>
            </w:tcBorders>
          </w:tcPr>
          <w:p w14:paraId="6C4C7513" w14:textId="77777777" w:rsidR="000D07EA" w:rsidRDefault="00BE7C89">
            <w:pPr>
              <w:pStyle w:val="BodyText"/>
              <w:spacing w:before="100" w:after="100"/>
              <w:jc w:val="center"/>
            </w:pPr>
            <w:r>
              <w:t>1GB</w:t>
            </w:r>
          </w:p>
        </w:tc>
        <w:tc>
          <w:tcPr>
            <w:tcW w:w="1078" w:type="pct"/>
            <w:tcBorders>
              <w:top w:val="single" w:sz="4" w:space="0" w:color="auto"/>
              <w:left w:val="single" w:sz="4" w:space="0" w:color="auto"/>
              <w:bottom w:val="single" w:sz="4" w:space="0" w:color="auto"/>
              <w:right w:val="single" w:sz="4" w:space="0" w:color="auto"/>
            </w:tcBorders>
          </w:tcPr>
          <w:p w14:paraId="4C345469" w14:textId="77777777" w:rsidR="000D07EA" w:rsidRDefault="00BE7C89">
            <w:pPr>
              <w:pStyle w:val="BodyText"/>
              <w:spacing w:before="100" w:after="100"/>
              <w:jc w:val="center"/>
            </w:pPr>
            <w:r>
              <w:t>1GB</w:t>
            </w:r>
          </w:p>
        </w:tc>
      </w:tr>
      <w:tr w:rsidR="000D07EA" w14:paraId="3869FC0D" w14:textId="77777777">
        <w:tc>
          <w:tcPr>
            <w:tcW w:w="1766" w:type="pct"/>
            <w:tcBorders>
              <w:top w:val="single" w:sz="4" w:space="0" w:color="auto"/>
              <w:left w:val="single" w:sz="4" w:space="0" w:color="auto"/>
              <w:bottom w:val="single" w:sz="4" w:space="0" w:color="auto"/>
              <w:right w:val="single" w:sz="4" w:space="0" w:color="auto"/>
            </w:tcBorders>
          </w:tcPr>
          <w:p w14:paraId="55B5AB41" w14:textId="77777777" w:rsidR="000D07EA" w:rsidRDefault="00BE7C89">
            <w:pPr>
              <w:pStyle w:val="BodyText"/>
              <w:spacing w:before="100" w:after="100"/>
            </w:pPr>
            <w:r>
              <w:t>BlackBerry Internet Service</w:t>
            </w:r>
          </w:p>
        </w:tc>
        <w:tc>
          <w:tcPr>
            <w:tcW w:w="1078" w:type="pct"/>
            <w:tcBorders>
              <w:top w:val="single" w:sz="4" w:space="0" w:color="auto"/>
              <w:left w:val="single" w:sz="4" w:space="0" w:color="auto"/>
              <w:bottom w:val="single" w:sz="4" w:space="0" w:color="auto"/>
              <w:right w:val="single" w:sz="4" w:space="0" w:color="auto"/>
            </w:tcBorders>
          </w:tcPr>
          <w:p w14:paraId="3577B09C" w14:textId="77777777" w:rsidR="000D07EA" w:rsidRDefault="00BE7C89">
            <w:pPr>
              <w:pStyle w:val="BodyText"/>
              <w:spacing w:before="100" w:after="100"/>
              <w:jc w:val="center"/>
            </w:pPr>
            <w:r>
              <w:t>N/A</w:t>
            </w:r>
          </w:p>
        </w:tc>
        <w:tc>
          <w:tcPr>
            <w:tcW w:w="1078" w:type="pct"/>
            <w:tcBorders>
              <w:top w:val="single" w:sz="4" w:space="0" w:color="auto"/>
              <w:left w:val="single" w:sz="4" w:space="0" w:color="auto"/>
              <w:bottom w:val="single" w:sz="4" w:space="0" w:color="auto"/>
              <w:right w:val="single" w:sz="4" w:space="0" w:color="auto"/>
            </w:tcBorders>
          </w:tcPr>
          <w:p w14:paraId="4BBF1BE6" w14:textId="77777777" w:rsidR="000D07EA" w:rsidRDefault="00BE7C89">
            <w:pPr>
              <w:pStyle w:val="BodyText"/>
              <w:spacing w:before="100" w:after="100"/>
              <w:jc w:val="center"/>
            </w:pPr>
            <w:r>
              <w:t>Unlimited Email * and 512MB of Handset Browsing and Applications that require a data connection</w:t>
            </w:r>
          </w:p>
        </w:tc>
        <w:tc>
          <w:tcPr>
            <w:tcW w:w="1078" w:type="pct"/>
            <w:tcBorders>
              <w:top w:val="single" w:sz="4" w:space="0" w:color="auto"/>
              <w:left w:val="single" w:sz="4" w:space="0" w:color="auto"/>
              <w:bottom w:val="single" w:sz="4" w:space="0" w:color="auto"/>
              <w:right w:val="single" w:sz="4" w:space="0" w:color="auto"/>
            </w:tcBorders>
          </w:tcPr>
          <w:p w14:paraId="7D9E2E7A" w14:textId="77777777" w:rsidR="000D07EA" w:rsidRDefault="00BE7C89">
            <w:pPr>
              <w:pStyle w:val="BodyText"/>
              <w:spacing w:before="100" w:after="100"/>
              <w:jc w:val="center"/>
            </w:pPr>
            <w:r>
              <w:t>Unlimited Email * and 512MB of Handset Browsing and Applications that require a data connection</w:t>
            </w:r>
          </w:p>
        </w:tc>
      </w:tr>
    </w:tbl>
    <w:p w14:paraId="54F750C5" w14:textId="77777777" w:rsidR="000D07EA" w:rsidRDefault="00BE7C89">
      <w:pPr>
        <w:pStyle w:val="BodyText"/>
        <w:spacing w:after="0"/>
        <w:ind w:left="720"/>
        <w:rPr>
          <w:b/>
        </w:rPr>
      </w:pPr>
      <w:bookmarkStart w:id="262" w:name="_Toc245871409"/>
      <w:bookmarkStart w:id="263" w:name="_Toc251836004"/>
      <w:bookmarkStart w:id="264" w:name="_Toc261008608"/>
      <w:bookmarkStart w:id="265" w:name="_Toc263425808"/>
      <w:r>
        <w:rPr>
          <w:b/>
        </w:rPr>
        <w:t>* Fair Go Policy (</w:t>
      </w:r>
      <w:hyperlink r:id="rId152" w:history="1">
        <w:r>
          <w:rPr>
            <w:rStyle w:val="Hyperlink"/>
            <w:b/>
            <w:i/>
          </w:rPr>
          <w:t>Appendix S</w:t>
        </w:r>
      </w:hyperlink>
      <w:r>
        <w:rPr>
          <w:b/>
        </w:rPr>
        <w:t>) applies.</w:t>
      </w:r>
      <w:bookmarkEnd w:id="262"/>
      <w:bookmarkEnd w:id="263"/>
      <w:bookmarkEnd w:id="264"/>
      <w:bookmarkEnd w:id="265"/>
    </w:p>
    <w:p w14:paraId="2EE26B70" w14:textId="77777777" w:rsidR="000D07EA" w:rsidRDefault="000D07EA">
      <w:pPr>
        <w:pStyle w:val="BodyText"/>
      </w:pPr>
    </w:p>
    <w:p w14:paraId="3F40614F" w14:textId="77777777" w:rsidR="000D07EA" w:rsidRDefault="00BE7C89">
      <w:pPr>
        <w:pStyle w:val="Heading7"/>
        <w:rPr>
          <w:b/>
        </w:rPr>
      </w:pPr>
      <w:r>
        <w:rPr>
          <w:b/>
        </w:rPr>
        <w:t>Standard National SMS &amp; MMS Pack (BYO Option)</w:t>
      </w:r>
    </w:p>
    <w:p w14:paraId="23E1E154" w14:textId="77777777" w:rsidR="000D07EA" w:rsidRDefault="00BE7C89">
      <w:pPr>
        <w:pStyle w:val="Heading8"/>
      </w:pPr>
      <w:r>
        <w:t xml:space="preserve">The Standard National SMS/MMS Pack BYO Option allows </w:t>
      </w:r>
      <w:r>
        <w:rPr>
          <w:i/>
        </w:rPr>
        <w:t>you</w:t>
      </w:r>
      <w:r>
        <w:t xml:space="preserve"> to send a specified amount of standard national SMS and MMS to GSM mobiles within Australia, as stated in Table 3A.</w:t>
      </w:r>
    </w:p>
    <w:p w14:paraId="2B8E0DE3" w14:textId="77777777" w:rsidR="000D07EA" w:rsidRDefault="00BE7C89">
      <w:pPr>
        <w:pStyle w:val="Heading8"/>
      </w:pPr>
      <w:r>
        <w:t>Offer excludes International SMS and MMS, Premium SMS and Instant Messaging (IM)..</w:t>
      </w:r>
    </w:p>
    <w:p w14:paraId="03B7840D" w14:textId="77777777" w:rsidR="000D07EA" w:rsidRDefault="00BE7C89">
      <w:pPr>
        <w:pStyle w:val="Heading8"/>
      </w:pPr>
      <w:r>
        <w:rPr>
          <w:i/>
        </w:rPr>
        <w:t xml:space="preserve">You </w:t>
      </w:r>
      <w:r>
        <w:t>must pay for any messages that are not eligible messages or usage exceeding the specified amount stated in Table 3A.</w:t>
      </w:r>
    </w:p>
    <w:p w14:paraId="32519E3F" w14:textId="77777777" w:rsidR="000D07EA" w:rsidRDefault="00BE7C89">
      <w:pPr>
        <w:pStyle w:val="Heading8"/>
      </w:pPr>
      <w:r>
        <w:rPr>
          <w:snapToGrid w:val="0"/>
        </w:rPr>
        <w:t>Any unused portion of the plan expires at the end of each month. This means that it does not roll over into following month.</w:t>
      </w:r>
    </w:p>
    <w:p w14:paraId="0030A138" w14:textId="77777777" w:rsidR="000D07EA" w:rsidRDefault="00BE7C89">
      <w:pPr>
        <w:pStyle w:val="Heading8"/>
      </w:pPr>
      <w:r>
        <w:t>The standard national SMS &amp; MMS pack applies for personal use only and is not to be used for commercial purposes. Fair Go Policy (</w:t>
      </w:r>
      <w:hyperlink r:id="rId153" w:history="1">
        <w:r>
          <w:rPr>
            <w:rStyle w:val="Hyperlink"/>
            <w:i/>
          </w:rPr>
          <w:t>Appendix S</w:t>
        </w:r>
      </w:hyperlink>
      <w:r>
        <w:t>) applies.</w:t>
      </w:r>
    </w:p>
    <w:p w14:paraId="64A59C03" w14:textId="77777777" w:rsidR="000D07EA" w:rsidRDefault="00BE7C89">
      <w:pPr>
        <w:pStyle w:val="Heading7"/>
        <w:rPr>
          <w:b/>
        </w:rPr>
      </w:pPr>
      <w:r>
        <w:rPr>
          <w:b/>
        </w:rPr>
        <w:t>additional Optus2AnyOne Value (BYO Option)</w:t>
      </w:r>
    </w:p>
    <w:p w14:paraId="405F018C" w14:textId="77777777" w:rsidR="000D07EA" w:rsidRDefault="00BE7C89">
      <w:pPr>
        <w:pStyle w:val="Heading8"/>
      </w:pPr>
      <w:r>
        <w:t>The additional "Optus2AnyOne Value BYO Option is an additional call and text value. Customers may select the additional "Optus2AnyOne Value" to be added as their BYO Option. The amount of additional value of the "Optus2AnyOne Value" is stated in Table 3A. If this option is chosen, the additional value will be combined with the "Optus2AnyOne Value" that comes with the 'yes' Cap plan.</w:t>
      </w:r>
    </w:p>
    <w:p w14:paraId="17CB33A6" w14:textId="77777777" w:rsidR="000D07EA" w:rsidRDefault="00BE7C89">
      <w:pPr>
        <w:pStyle w:val="Heading8"/>
      </w:pPr>
      <w:r>
        <w:t xml:space="preserve">Customers must utilise the combined "Optus2AnyOne Value" before being able to access the "Optus2Optus Value". </w:t>
      </w:r>
    </w:p>
    <w:p w14:paraId="69892E56" w14:textId="77777777" w:rsidR="000D07EA" w:rsidRDefault="00BE7C89">
      <w:pPr>
        <w:pStyle w:val="Heading8"/>
      </w:pPr>
      <w:r>
        <w:t xml:space="preserve">The call types that are </w:t>
      </w:r>
      <w:r>
        <w:rPr>
          <w:b/>
        </w:rPr>
        <w:t>'eligible calls and text'</w:t>
      </w:r>
      <w:r>
        <w:t xml:space="preserve"> for each 'yes' Cap Plan under the combined "Optus2AnyOne Value" are defined in Table 1A above</w:t>
      </w:r>
    </w:p>
    <w:p w14:paraId="4EC37A93" w14:textId="77777777" w:rsidR="000D07EA" w:rsidRDefault="00BE7C89">
      <w:pPr>
        <w:pStyle w:val="Heading8"/>
      </w:pPr>
      <w:r>
        <w:rPr>
          <w:i/>
        </w:rPr>
        <w:t xml:space="preserve">You </w:t>
      </w:r>
      <w:r>
        <w:t xml:space="preserve">must pay </w:t>
      </w:r>
      <w:r>
        <w:rPr>
          <w:i/>
        </w:rPr>
        <w:t xml:space="preserve">us </w:t>
      </w:r>
      <w:r>
        <w:t xml:space="preserve">call charges for eligible calls and text made beyond the available combined "Optus2AnyOne Value". </w:t>
      </w:r>
    </w:p>
    <w:p w14:paraId="3C42315E" w14:textId="77777777" w:rsidR="000D07EA" w:rsidRDefault="00BE7C89">
      <w:pPr>
        <w:pStyle w:val="Heading8"/>
      </w:pPr>
      <w:r>
        <w:rPr>
          <w:snapToGrid w:val="0"/>
        </w:rPr>
        <w:lastRenderedPageBreak/>
        <w:t>Any unused portion of the combined "Optus2AnyOne Value" expires at the end of each month. This means that it does not roll over into the following month.</w:t>
      </w:r>
    </w:p>
    <w:p w14:paraId="526CC66D" w14:textId="77777777" w:rsidR="000D07EA" w:rsidRDefault="00BE7C89">
      <w:pPr>
        <w:pStyle w:val="Heading7"/>
        <w:rPr>
          <w:b/>
        </w:rPr>
      </w:pPr>
      <w:r>
        <w:rPr>
          <w:b/>
        </w:rPr>
        <w:t>International Value Packs (BYO Option)</w:t>
      </w:r>
    </w:p>
    <w:p w14:paraId="3205374A" w14:textId="77777777" w:rsidR="000D07EA" w:rsidRDefault="00BE7C89">
      <w:pPr>
        <w:pStyle w:val="Heading8"/>
      </w:pPr>
      <w:r>
        <w:t xml:space="preserve">The International Value Packs BYO Option give </w:t>
      </w:r>
      <w:r>
        <w:rPr>
          <w:i/>
        </w:rPr>
        <w:t xml:space="preserve">you </w:t>
      </w:r>
      <w:r>
        <w:t xml:space="preserve">included value that can be used for international calls and international SMS made from Australia (includes calls to national fixed or GSM mobile services that then divert/switch or re-route overseas). </w:t>
      </w:r>
      <w:r>
        <w:rPr>
          <w:i/>
        </w:rPr>
        <w:t xml:space="preserve">We </w:t>
      </w:r>
      <w:r>
        <w:t xml:space="preserve">will charge </w:t>
      </w:r>
      <w:r>
        <w:rPr>
          <w:i/>
        </w:rPr>
        <w:t xml:space="preserve">you </w:t>
      </w:r>
      <w:r>
        <w:t xml:space="preserve">for calls made to international destinations at Optus' international rates (not including calls to Inmarsat and Iridium) as set out in </w:t>
      </w:r>
      <w:hyperlink r:id="rId154" w:history="1">
        <w:r>
          <w:rPr>
            <w:rStyle w:val="Hyperlink"/>
            <w:i/>
          </w:rPr>
          <w:t>Appendix J</w:t>
        </w:r>
      </w:hyperlink>
      <w:r>
        <w:rPr>
          <w:i/>
        </w:rPr>
        <w:t xml:space="preserve"> </w:t>
      </w:r>
      <w:r>
        <w:t xml:space="preserve">to the </w:t>
      </w:r>
      <w:r>
        <w:rPr>
          <w:i/>
        </w:rPr>
        <w:t>agreement</w:t>
      </w:r>
      <w:r>
        <w:t xml:space="preserve">. </w:t>
      </w:r>
    </w:p>
    <w:p w14:paraId="0D26D6BF" w14:textId="77777777" w:rsidR="000D07EA" w:rsidRDefault="00BE7C89">
      <w:pPr>
        <w:pStyle w:val="Heading8"/>
        <w:numPr>
          <w:ilvl w:val="0"/>
          <w:numId w:val="0"/>
        </w:numPr>
        <w:ind w:left="2160"/>
      </w:pPr>
      <w:r>
        <w:rPr>
          <w:snapToGrid w:val="0"/>
        </w:rPr>
        <w:t xml:space="preserve">From 6 June 2010 (inclusive), 'yes' Business International rates will apply. Flagfall of 35c applies per call. </w:t>
      </w:r>
      <w:r>
        <w:t xml:space="preserve">For more information on the 'yes' Business International call rates please refer to </w:t>
      </w:r>
      <w:hyperlink r:id="rId155" w:history="1">
        <w:r>
          <w:rPr>
            <w:rStyle w:val="Hyperlink"/>
            <w:i/>
          </w:rPr>
          <w:t>Appendix J</w:t>
        </w:r>
      </w:hyperlink>
      <w:r>
        <w:rPr>
          <w:i/>
        </w:rPr>
        <w:t>.</w:t>
      </w:r>
    </w:p>
    <w:p w14:paraId="26090E18" w14:textId="77777777" w:rsidR="000D07EA" w:rsidRDefault="00BE7C89">
      <w:pPr>
        <w:pStyle w:val="Heading8"/>
      </w:pPr>
      <w:r>
        <w:t xml:space="preserve">The included value </w:t>
      </w:r>
      <w:r>
        <w:rPr>
          <w:i/>
        </w:rPr>
        <w:t>you</w:t>
      </w:r>
      <w:r>
        <w:t xml:space="preserve"> receive is defined above in Table 3A.</w:t>
      </w:r>
    </w:p>
    <w:p w14:paraId="446E64BE" w14:textId="77777777" w:rsidR="000D07EA" w:rsidRDefault="00BE7C89">
      <w:pPr>
        <w:pStyle w:val="Heading8"/>
      </w:pPr>
      <w:r>
        <w:t xml:space="preserve">The included value does not include: Voice calls, Voice Mail, Premium and Third Party SMS, MMS, International MMS, Optus Zoo subscription content &amp; Third Party content and applications, 1300, 1900, roaming. Use of these services will be charged at the prevailing rates for </w:t>
      </w:r>
      <w:r>
        <w:rPr>
          <w:i/>
        </w:rPr>
        <w:t>your</w:t>
      </w:r>
      <w:r>
        <w:t xml:space="preserve"> mobile plan or Value Added Service Feature as described in Appendix Y to the agreement.</w:t>
      </w:r>
    </w:p>
    <w:p w14:paraId="5A1BA570" w14:textId="77777777" w:rsidR="000D07EA" w:rsidRDefault="00BE7C89">
      <w:pPr>
        <w:pStyle w:val="Heading8"/>
      </w:pPr>
      <w:r>
        <w:t xml:space="preserve">Excess usage will be charged at the standard international call and international SMS rate for your applicable plan and will apply to any usage over </w:t>
      </w:r>
      <w:r>
        <w:rPr>
          <w:i/>
        </w:rPr>
        <w:t>your</w:t>
      </w:r>
      <w:r>
        <w:t xml:space="preserve"> monthly included value.</w:t>
      </w:r>
    </w:p>
    <w:p w14:paraId="71A6A069" w14:textId="77777777" w:rsidR="000D07EA" w:rsidRDefault="00BE7C89">
      <w:pPr>
        <w:pStyle w:val="Heading7"/>
        <w:rPr>
          <w:b/>
        </w:rPr>
      </w:pPr>
      <w:r>
        <w:rPr>
          <w:b/>
        </w:rPr>
        <w:t>Internet Value Pack (BYO Option)</w:t>
      </w:r>
    </w:p>
    <w:p w14:paraId="2064DD79" w14:textId="77777777" w:rsidR="000D07EA" w:rsidRDefault="00BE7C89">
      <w:pPr>
        <w:pStyle w:val="Heading8"/>
      </w:pPr>
      <w:bookmarkStart w:id="266" w:name="_Toc238859144"/>
      <w:bookmarkStart w:id="267" w:name="_Toc245871410"/>
      <w:bookmarkStart w:id="268" w:name="_Toc251836005"/>
      <w:bookmarkStart w:id="269" w:name="_Toc261008609"/>
      <w:bookmarkStart w:id="270" w:name="_Toc263425809"/>
      <w:r>
        <w:t xml:space="preserve">The Internet Value Pack BYO Option allows </w:t>
      </w:r>
      <w:r>
        <w:rPr>
          <w:i/>
        </w:rPr>
        <w:t>you</w:t>
      </w:r>
      <w:r>
        <w:t xml:space="preserve"> to access the Internet from </w:t>
      </w:r>
      <w:r>
        <w:rPr>
          <w:i/>
        </w:rPr>
        <w:t>your</w:t>
      </w:r>
      <w:r>
        <w:t xml:space="preserve"> Optus 2.5, 3G or 'yes' G network compatible handset.</w:t>
      </w:r>
      <w:bookmarkEnd w:id="266"/>
      <w:bookmarkEnd w:id="267"/>
      <w:bookmarkEnd w:id="268"/>
      <w:bookmarkEnd w:id="269"/>
      <w:bookmarkEnd w:id="270"/>
    </w:p>
    <w:p w14:paraId="58913236" w14:textId="77777777" w:rsidR="000D07EA" w:rsidRDefault="00BE7C89">
      <w:pPr>
        <w:pStyle w:val="Heading8"/>
      </w:pPr>
      <w:r>
        <w:t xml:space="preserve">Internet Value Pack can also be used by iPhone customers for </w:t>
      </w:r>
      <w:r>
        <w:rPr>
          <w:i/>
        </w:rPr>
        <w:t>tethered modem</w:t>
      </w:r>
      <w:r>
        <w:t xml:space="preserve"> when added in conjunction with iPhone as Modem access. (See the </w:t>
      </w:r>
      <w:hyperlink r:id="rId156" w:history="1">
        <w:r w:rsidRPr="00536F8B">
          <w:rPr>
            <w:rStyle w:val="Hyperlink"/>
            <w:i/>
          </w:rPr>
          <w:t>Wireless Internet Pricing Service, Standard Pricing Table</w:t>
        </w:r>
      </w:hyperlink>
      <w:r>
        <w:t xml:space="preserve"> for more details.)</w:t>
      </w:r>
    </w:p>
    <w:p w14:paraId="554037DA" w14:textId="77777777" w:rsidR="000D07EA" w:rsidRDefault="00BE7C89">
      <w:pPr>
        <w:pStyle w:val="Heading8"/>
      </w:pPr>
      <w:r>
        <w:t xml:space="preserve">The </w:t>
      </w:r>
      <w:r>
        <w:rPr>
          <w:i/>
        </w:rPr>
        <w:t>service</w:t>
      </w:r>
      <w:r>
        <w:t xml:space="preserve"> is only available within Optus 3G/HSPA or GSM coverage areas and is subject to </w:t>
      </w:r>
      <w:r>
        <w:rPr>
          <w:i/>
        </w:rPr>
        <w:t>network</w:t>
      </w:r>
      <w:r>
        <w:t xml:space="preserve"> availability.</w:t>
      </w:r>
    </w:p>
    <w:p w14:paraId="1BAB982A" w14:textId="77777777" w:rsidR="000D07EA" w:rsidRDefault="00BE7C89">
      <w:pPr>
        <w:pStyle w:val="Heading8"/>
      </w:pPr>
      <w:r>
        <w:t xml:space="preserve">The included data amount does not include: Voice calls, Voice Mail, International SMS, premium and Third Party SMS, MMS, Optus Zoo subscription content &amp; Third Party content and applications, International MMS, 1300, 1900, Circuit Switched Data and Fax. Use of these services will be charged at the prevailing rates for your mobile plan or </w:t>
      </w:r>
      <w:r>
        <w:rPr>
          <w:i/>
        </w:rPr>
        <w:t>value added service feature</w:t>
      </w:r>
      <w:r>
        <w:t xml:space="preserve"> as described in </w:t>
      </w:r>
      <w:hyperlink r:id="rId157" w:history="1">
        <w:r>
          <w:rPr>
            <w:rStyle w:val="Hyperlink"/>
            <w:i/>
          </w:rPr>
          <w:t>Appendix Y</w:t>
        </w:r>
      </w:hyperlink>
      <w:r>
        <w:t xml:space="preserve"> to the </w:t>
      </w:r>
      <w:r>
        <w:rPr>
          <w:i/>
        </w:rPr>
        <w:t>agreement</w:t>
      </w:r>
      <w:r>
        <w:t>.</w:t>
      </w:r>
    </w:p>
    <w:p w14:paraId="20F9414D" w14:textId="77777777" w:rsidR="000D07EA" w:rsidRDefault="00BE7C89">
      <w:pPr>
        <w:pStyle w:val="Heading8"/>
        <w:rPr>
          <w:sz w:val="22"/>
          <w:szCs w:val="22"/>
        </w:rPr>
      </w:pPr>
      <w:r>
        <w:t>Data is counted in kilobytes, 1024KB=1MB, 1024 MB = 1GB and includes both uploads and downloads.</w:t>
      </w:r>
    </w:p>
    <w:p w14:paraId="154AE9BD" w14:textId="77777777" w:rsidR="000D07EA" w:rsidRDefault="00BE7C89">
      <w:pPr>
        <w:pStyle w:val="Heading8"/>
      </w:pPr>
      <w:r>
        <w:t>If you exceed the included monthly data allowance, excess usage charges will apply as follows: 1.5c/KB capped at $9.90 for the initial 5MB of excess usage. Further usage beyond the 5MB will be charged at 0.3c/KB (charged per kilobyte). If you choose to purchase an additional Yes Business Data bolt on, then the excess usage charges will be charged at $0.15 per MB or part thereof.</w:t>
      </w:r>
    </w:p>
    <w:p w14:paraId="75F5A510" w14:textId="77777777" w:rsidR="000D07EA" w:rsidRDefault="00BE7C89">
      <w:pPr>
        <w:pStyle w:val="Heading8"/>
      </w:pPr>
      <w:r>
        <w:t xml:space="preserve">If the data </w:t>
      </w:r>
      <w:r>
        <w:rPr>
          <w:i/>
        </w:rPr>
        <w:t xml:space="preserve">you </w:t>
      </w:r>
      <w:r>
        <w:t>use in a month falls below the amount of included data,</w:t>
      </w:r>
      <w:r>
        <w:rPr>
          <w:i/>
        </w:rPr>
        <w:t xml:space="preserve"> </w:t>
      </w:r>
      <w:r>
        <w:t>the remaining data is forfeited and it does not roll over into the following month.</w:t>
      </w:r>
    </w:p>
    <w:p w14:paraId="6BCA59DC" w14:textId="77777777" w:rsidR="000D07EA" w:rsidRDefault="00BE7C89">
      <w:pPr>
        <w:pStyle w:val="Heading8"/>
      </w:pPr>
      <w:r>
        <w:t xml:space="preserve">Use of Internet Value Pack is subject to the special liability clauses as set out </w:t>
      </w:r>
      <w:r>
        <w:rPr>
          <w:i/>
        </w:rPr>
        <w:t>Section 9.1 Wireless internet</w:t>
      </w:r>
      <w:r>
        <w:t xml:space="preserve"> of </w:t>
      </w:r>
      <w:hyperlink r:id="rId158" w:history="1">
        <w:r>
          <w:rPr>
            <w:rStyle w:val="Hyperlink"/>
            <w:i/>
          </w:rPr>
          <w:t>Appendix Y</w:t>
        </w:r>
      </w:hyperlink>
      <w:r>
        <w:rPr>
          <w:i/>
        </w:rPr>
        <w:t xml:space="preserve"> and the heading.</w:t>
      </w:r>
    </w:p>
    <w:p w14:paraId="4CE64149" w14:textId="77777777" w:rsidR="000D07EA" w:rsidRDefault="00BE7C89">
      <w:pPr>
        <w:pStyle w:val="Heading7"/>
        <w:rPr>
          <w:b/>
        </w:rPr>
      </w:pPr>
      <w:r>
        <w:rPr>
          <w:b/>
        </w:rPr>
        <w:t>BlackBerry Internet Service (BYO Option)</w:t>
      </w:r>
    </w:p>
    <w:p w14:paraId="38636ACE" w14:textId="77777777" w:rsidR="000D07EA" w:rsidRDefault="00BE7C89">
      <w:pPr>
        <w:pStyle w:val="Heading8"/>
        <w:rPr>
          <w:color w:val="000000"/>
        </w:rPr>
      </w:pPr>
      <w:bookmarkStart w:id="271" w:name="_Toc266085102"/>
      <w:bookmarkStart w:id="272" w:name="_Toc266085805"/>
      <w:bookmarkStart w:id="273" w:name="_Toc266086156"/>
      <w:bookmarkStart w:id="274" w:name="_Toc245871411"/>
      <w:bookmarkStart w:id="275" w:name="_Toc251836006"/>
      <w:bookmarkStart w:id="276" w:name="_Toc261008610"/>
      <w:bookmarkStart w:id="277" w:name="_Toc263425810"/>
      <w:bookmarkEnd w:id="271"/>
      <w:bookmarkEnd w:id="272"/>
      <w:bookmarkEnd w:id="273"/>
      <w:r>
        <w:lastRenderedPageBreak/>
        <w:t xml:space="preserve">BlackBerry Internet Service allows </w:t>
      </w:r>
      <w:r>
        <w:rPr>
          <w:i/>
        </w:rPr>
        <w:t>you</w:t>
      </w:r>
      <w:r>
        <w:t xml:space="preserve"> to access webmail (eg Gmail, Yahoo email, Hotmail, Optusnet Email) and the Internet from </w:t>
      </w:r>
      <w:r>
        <w:rPr>
          <w:i/>
        </w:rPr>
        <w:t>your</w:t>
      </w:r>
      <w:r>
        <w:t xml:space="preserve"> BlackBerry or BlackBerry Connect handset. The BlackBerry Internet Service specifically excludes access to corporate email.</w:t>
      </w:r>
      <w:bookmarkEnd w:id="274"/>
      <w:bookmarkEnd w:id="275"/>
      <w:bookmarkEnd w:id="276"/>
      <w:bookmarkEnd w:id="277"/>
      <w:r>
        <w:t xml:space="preserve"> </w:t>
      </w:r>
    </w:p>
    <w:p w14:paraId="59054025" w14:textId="77777777" w:rsidR="000D07EA" w:rsidRDefault="00BE7C89">
      <w:pPr>
        <w:pStyle w:val="Heading8"/>
        <w:rPr>
          <w:color w:val="000000"/>
        </w:rPr>
      </w:pPr>
      <w:bookmarkStart w:id="278" w:name="_Toc245871412"/>
      <w:bookmarkStart w:id="279" w:name="_Toc251836007"/>
      <w:bookmarkStart w:id="280" w:name="_Toc261008611"/>
      <w:bookmarkStart w:id="281" w:name="_Toc263425811"/>
      <w:r>
        <w:rPr>
          <w:color w:val="000000"/>
        </w:rPr>
        <w:t>Internet browsing is limited to the BlackBerry Browser and/or Internet browser. Browsing from the Optus Zoo browser is specifically excluded.</w:t>
      </w:r>
      <w:bookmarkEnd w:id="278"/>
      <w:bookmarkEnd w:id="279"/>
      <w:bookmarkEnd w:id="280"/>
      <w:bookmarkEnd w:id="281"/>
      <w:r>
        <w:rPr>
          <w:color w:val="000000"/>
        </w:rPr>
        <w:t xml:space="preserve"> </w:t>
      </w:r>
    </w:p>
    <w:p w14:paraId="397AA714" w14:textId="77777777" w:rsidR="000D07EA" w:rsidRDefault="00BE7C89">
      <w:pPr>
        <w:pStyle w:val="Heading8"/>
        <w:rPr>
          <w:color w:val="000000"/>
        </w:rPr>
      </w:pPr>
      <w:bookmarkStart w:id="282" w:name="_Toc245871413"/>
      <w:bookmarkStart w:id="283" w:name="_Toc251836008"/>
      <w:bookmarkStart w:id="284" w:name="_Toc261008612"/>
      <w:bookmarkStart w:id="285" w:name="_Toc263425812"/>
      <w:r>
        <w:t xml:space="preserve">The included data amount does not include: voice calls, voicemail, international SMS, premium and third party SMS, MMS, Optus Zoo subscription content and third party content and applications, international MMS, international Roaming, 1300, 1900. </w:t>
      </w:r>
      <w:r>
        <w:rPr>
          <w:color w:val="000000"/>
        </w:rPr>
        <w:t xml:space="preserve">Use of these services will be charged at the prevailing rates for your mobile voice plan or </w:t>
      </w:r>
      <w:r>
        <w:rPr>
          <w:i/>
          <w:color w:val="000000"/>
        </w:rPr>
        <w:t xml:space="preserve">value added service feature </w:t>
      </w:r>
      <w:r>
        <w:rPr>
          <w:color w:val="000000"/>
        </w:rPr>
        <w:t xml:space="preserve">as described in this </w:t>
      </w:r>
      <w:r>
        <w:rPr>
          <w:i/>
        </w:rPr>
        <w:t>Appendix Y</w:t>
      </w:r>
      <w:r>
        <w:rPr>
          <w:color w:val="000000"/>
        </w:rPr>
        <w:t>.</w:t>
      </w:r>
      <w:bookmarkEnd w:id="282"/>
      <w:bookmarkEnd w:id="283"/>
      <w:bookmarkEnd w:id="284"/>
      <w:bookmarkEnd w:id="285"/>
    </w:p>
    <w:p w14:paraId="316889BA" w14:textId="77777777" w:rsidR="000D07EA" w:rsidRDefault="00BE7C89">
      <w:pPr>
        <w:pStyle w:val="Heading8"/>
        <w:rPr>
          <w:sz w:val="22"/>
          <w:szCs w:val="22"/>
        </w:rPr>
      </w:pPr>
      <w:r>
        <w:t xml:space="preserve">If you exceed the included monthly data allowance for handset browsing and/or applications that require a data connection, excess usage charges of 0.5c/KB or part thereof apply </w:t>
      </w:r>
    </w:p>
    <w:p w14:paraId="127867C9" w14:textId="77777777" w:rsidR="000D07EA" w:rsidRDefault="00BE7C89">
      <w:pPr>
        <w:pStyle w:val="Heading6"/>
        <w:ind w:left="0" w:firstLine="0"/>
      </w:pPr>
      <w:bookmarkStart w:id="286" w:name="_Toc397941071"/>
      <w:r>
        <w:t xml:space="preserve">What happens if the </w:t>
      </w:r>
      <w:r>
        <w:rPr>
          <w:i/>
        </w:rPr>
        <w:t xml:space="preserve">service is cancelled </w:t>
      </w:r>
      <w:r>
        <w:t>early?</w:t>
      </w:r>
      <w:bookmarkEnd w:id="261"/>
      <w:bookmarkEnd w:id="286"/>
    </w:p>
    <w:p w14:paraId="30323AE0" w14:textId="77777777" w:rsidR="000D07EA" w:rsidRDefault="00BE7C89">
      <w:pPr>
        <w:pStyle w:val="Heading7"/>
      </w:pPr>
      <w:r>
        <w:t xml:space="preserve">If </w:t>
      </w:r>
      <w:r>
        <w:rPr>
          <w:i/>
        </w:rPr>
        <w:t>the service</w:t>
      </w:r>
      <w:r>
        <w:t xml:space="preserve"> </w:t>
      </w:r>
      <w:r>
        <w:rPr>
          <w:i/>
        </w:rPr>
        <w:t xml:space="preserve">is cancelled </w:t>
      </w:r>
      <w:r>
        <w:t xml:space="preserve">before the expiry of the </w:t>
      </w:r>
      <w:r>
        <w:rPr>
          <w:i/>
        </w:rPr>
        <w:t xml:space="preserve">minimum term, you </w:t>
      </w:r>
      <w:r>
        <w:t xml:space="preserve">will be required to pay </w:t>
      </w:r>
      <w:r>
        <w:rPr>
          <w:i/>
        </w:rPr>
        <w:t>us</w:t>
      </w:r>
      <w:r>
        <w:t>:</w:t>
      </w:r>
    </w:p>
    <w:p w14:paraId="12096757" w14:textId="77777777" w:rsidR="000D07EA" w:rsidRDefault="00BE7C89">
      <w:pPr>
        <w:pStyle w:val="Heading8"/>
      </w:pPr>
      <w:r>
        <w:t xml:space="preserve">any usage charges incurred up to, and including, the </w:t>
      </w:r>
      <w:r>
        <w:rPr>
          <w:i/>
        </w:rPr>
        <w:t xml:space="preserve">cancellation date; </w:t>
      </w:r>
      <w:r>
        <w:t>plus</w:t>
      </w:r>
    </w:p>
    <w:p w14:paraId="0DCE1E6B" w14:textId="77777777" w:rsidR="000D07EA" w:rsidRDefault="00BE7C89">
      <w:pPr>
        <w:pStyle w:val="Heading8"/>
      </w:pPr>
      <w:r>
        <w:t xml:space="preserve">the </w:t>
      </w:r>
      <w:r>
        <w:rPr>
          <w:i/>
        </w:rPr>
        <w:t xml:space="preserve">cancellation fee </w:t>
      </w:r>
      <w:r>
        <w:t xml:space="preserve">set in paragraph </w:t>
      </w:r>
      <w:r>
        <w:fldChar w:fldCharType="begin"/>
      </w:r>
      <w:r>
        <w:instrText xml:space="preserve"> REF _Ref461548407 \n \h </w:instrText>
      </w:r>
      <w:r>
        <w:fldChar w:fldCharType="separate"/>
      </w:r>
      <w:r w:rsidR="0004083A">
        <w:t>(c)</w:t>
      </w:r>
      <w:r>
        <w:fldChar w:fldCharType="end"/>
      </w:r>
      <w:r>
        <w:t xml:space="preserve"> below (unless under clause 2A of the </w:t>
      </w:r>
      <w:hyperlink r:id="rId159" w:history="1">
        <w:r>
          <w:rPr>
            <w:rStyle w:val="Hyperlink"/>
            <w:i/>
          </w:rPr>
          <w:t>SMB terms,</w:t>
        </w:r>
      </w:hyperlink>
      <w:r>
        <w:rPr>
          <w:i/>
        </w:rPr>
        <w:t xml:space="preserve"> you </w:t>
      </w:r>
      <w:r>
        <w:t xml:space="preserve">are entitled to </w:t>
      </w:r>
      <w:r>
        <w:rPr>
          <w:i/>
        </w:rPr>
        <w:t xml:space="preserve">cancel the service </w:t>
      </w:r>
      <w:r>
        <w:t xml:space="preserve">without incurring a </w:t>
      </w:r>
      <w:r>
        <w:rPr>
          <w:i/>
        </w:rPr>
        <w:t>cancellation fee)</w:t>
      </w:r>
      <w:r>
        <w:t>; plus</w:t>
      </w:r>
    </w:p>
    <w:p w14:paraId="3771AFFC" w14:textId="77777777" w:rsidR="000D07EA" w:rsidRDefault="00BE7C89">
      <w:pPr>
        <w:pStyle w:val="Heading8"/>
      </w:pPr>
      <w:r>
        <w:t xml:space="preserve">the sum of unpaid </w:t>
      </w:r>
      <w:r>
        <w:rPr>
          <w:i/>
        </w:rPr>
        <w:t xml:space="preserve">equipment charges </w:t>
      </w:r>
      <w:r>
        <w:t xml:space="preserve">owing on </w:t>
      </w:r>
      <w:r>
        <w:rPr>
          <w:i/>
        </w:rPr>
        <w:t xml:space="preserve">your mobile phone </w:t>
      </w:r>
      <w:r>
        <w:t xml:space="preserve">under the </w:t>
      </w:r>
      <w:r>
        <w:rPr>
          <w:i/>
        </w:rPr>
        <w:t xml:space="preserve">mobile equipment payment plan </w:t>
      </w:r>
      <w:r>
        <w:t>(if any)</w:t>
      </w:r>
      <w:r>
        <w:rPr>
          <w:i/>
        </w:rPr>
        <w:t>.</w:t>
      </w:r>
    </w:p>
    <w:p w14:paraId="1F792A78" w14:textId="77777777" w:rsidR="000D07EA" w:rsidRDefault="00BE7C89">
      <w:pPr>
        <w:pStyle w:val="Heading7"/>
      </w:pPr>
      <w:r>
        <w:t xml:space="preserve">The </w:t>
      </w:r>
      <w:r>
        <w:rPr>
          <w:i/>
        </w:rPr>
        <w:t>cancellation fee</w:t>
      </w:r>
      <w:r>
        <w:t xml:space="preserve"> for a 24 month Contract is calculated as a fixed amount if the </w:t>
      </w:r>
      <w:r>
        <w:rPr>
          <w:i/>
        </w:rPr>
        <w:t xml:space="preserve">service </w:t>
      </w:r>
      <w:r>
        <w:t xml:space="preserve">is </w:t>
      </w:r>
      <w:r>
        <w:rPr>
          <w:i/>
        </w:rPr>
        <w:t xml:space="preserve">cancelled </w:t>
      </w:r>
      <w:r>
        <w:t xml:space="preserve">during the first 12 months of the </w:t>
      </w:r>
      <w:r>
        <w:rPr>
          <w:i/>
        </w:rPr>
        <w:t>minimum term</w:t>
      </w:r>
      <w:r>
        <w:t xml:space="preserve"> and then a pro-rata reduction of that fee (indicated as a percentage in brackets in the first column of the table below) if the </w:t>
      </w:r>
      <w:r>
        <w:rPr>
          <w:i/>
        </w:rPr>
        <w:t xml:space="preserve">service </w:t>
      </w:r>
      <w:r>
        <w:t xml:space="preserve">is </w:t>
      </w:r>
      <w:r>
        <w:rPr>
          <w:i/>
        </w:rPr>
        <w:t xml:space="preserve">cancelled </w:t>
      </w:r>
      <w:r>
        <w:t xml:space="preserve">during the second year of the </w:t>
      </w:r>
      <w:r>
        <w:rPr>
          <w:i/>
        </w:rPr>
        <w:t>minimum term</w:t>
      </w:r>
      <w:r>
        <w:t>.</w:t>
      </w:r>
    </w:p>
    <w:p w14:paraId="065F01DB" w14:textId="77777777" w:rsidR="000D07EA" w:rsidRDefault="00BE7C89">
      <w:pPr>
        <w:pStyle w:val="Heading7"/>
      </w:pPr>
      <w:bookmarkStart w:id="287" w:name="_Ref461548407"/>
      <w:r>
        <w:t xml:space="preserve">The </w:t>
      </w:r>
      <w:r>
        <w:rPr>
          <w:i/>
        </w:rPr>
        <w:t>cancellation fee</w:t>
      </w:r>
      <w:r>
        <w:t xml:space="preserve"> for a 12 month Contract is calculated as a fixed amount if the </w:t>
      </w:r>
      <w:r>
        <w:rPr>
          <w:i/>
        </w:rPr>
        <w:t xml:space="preserve">service </w:t>
      </w:r>
      <w:r>
        <w:t xml:space="preserve">is </w:t>
      </w:r>
      <w:r>
        <w:rPr>
          <w:i/>
        </w:rPr>
        <w:t xml:space="preserve">cancelled </w:t>
      </w:r>
      <w:r>
        <w:t xml:space="preserve">during the first 6 months of the </w:t>
      </w:r>
      <w:r>
        <w:rPr>
          <w:i/>
        </w:rPr>
        <w:t>minimum term</w:t>
      </w:r>
      <w:r>
        <w:t xml:space="preserve"> and then a pro-rata reduction of that fee (indicated as a percentage in brackets in the first column of the table below) if the </w:t>
      </w:r>
      <w:r>
        <w:rPr>
          <w:i/>
        </w:rPr>
        <w:t xml:space="preserve">service </w:t>
      </w:r>
      <w:r>
        <w:t xml:space="preserve">is </w:t>
      </w:r>
      <w:r>
        <w:rPr>
          <w:i/>
        </w:rPr>
        <w:t xml:space="preserve">cancelled </w:t>
      </w:r>
      <w:r>
        <w:t xml:space="preserve">during the last 6 months of the </w:t>
      </w:r>
      <w:r>
        <w:rPr>
          <w:i/>
        </w:rPr>
        <w:t>minimum term</w:t>
      </w:r>
      <w:r>
        <w:t>.</w:t>
      </w:r>
      <w:bookmarkEnd w:id="287"/>
    </w:p>
    <w:tbl>
      <w:tblPr>
        <w:tblW w:w="4617"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4924"/>
        <w:gridCol w:w="1494"/>
        <w:gridCol w:w="1494"/>
        <w:gridCol w:w="1496"/>
      </w:tblGrid>
      <w:tr w:rsidR="000D07EA" w14:paraId="0EFA2E60" w14:textId="77777777">
        <w:tc>
          <w:tcPr>
            <w:tcW w:w="2617" w:type="pct"/>
          </w:tcPr>
          <w:p w14:paraId="05D6F43F" w14:textId="77777777" w:rsidR="000D07EA" w:rsidRDefault="00BE7C89">
            <w:pPr>
              <w:pStyle w:val="BodyText"/>
              <w:spacing w:before="100" w:after="100"/>
              <w:rPr>
                <w:b/>
                <w:i/>
              </w:rPr>
            </w:pPr>
            <w:r>
              <w:rPr>
                <w:b/>
              </w:rPr>
              <w:t xml:space="preserve">When the </w:t>
            </w:r>
            <w:r>
              <w:rPr>
                <w:b/>
                <w:i/>
              </w:rPr>
              <w:t>service</w:t>
            </w:r>
            <w:r>
              <w:rPr>
                <w:b/>
              </w:rPr>
              <w:t xml:space="preserve"> is </w:t>
            </w:r>
            <w:r>
              <w:rPr>
                <w:b/>
                <w:i/>
              </w:rPr>
              <w:t>cancelled</w:t>
            </w:r>
          </w:p>
        </w:tc>
        <w:tc>
          <w:tcPr>
            <w:tcW w:w="2383" w:type="pct"/>
            <w:gridSpan w:val="3"/>
          </w:tcPr>
          <w:p w14:paraId="2264C584" w14:textId="77777777" w:rsidR="000D07EA" w:rsidRDefault="00BE7C89">
            <w:pPr>
              <w:pStyle w:val="BodyText"/>
              <w:spacing w:before="100" w:after="100"/>
              <w:jc w:val="center"/>
              <w:rPr>
                <w:b/>
                <w:i/>
              </w:rPr>
            </w:pPr>
            <w:r>
              <w:rPr>
                <w:b/>
                <w:i/>
              </w:rPr>
              <w:t>Cancellation Fee</w:t>
            </w:r>
          </w:p>
        </w:tc>
      </w:tr>
      <w:tr w:rsidR="000D07EA" w14:paraId="3779559A" w14:textId="77777777">
        <w:tc>
          <w:tcPr>
            <w:tcW w:w="2617" w:type="pct"/>
          </w:tcPr>
          <w:p w14:paraId="2ED1CF0D" w14:textId="77777777" w:rsidR="000D07EA" w:rsidRDefault="000D07EA">
            <w:pPr>
              <w:pStyle w:val="BodyText"/>
              <w:spacing w:before="100" w:after="100"/>
            </w:pPr>
          </w:p>
        </w:tc>
        <w:tc>
          <w:tcPr>
            <w:tcW w:w="2383" w:type="pct"/>
            <w:gridSpan w:val="3"/>
          </w:tcPr>
          <w:p w14:paraId="4200E5B6" w14:textId="77777777" w:rsidR="000D07EA" w:rsidRDefault="00BE7C89">
            <w:pPr>
              <w:pStyle w:val="BodyText"/>
              <w:spacing w:before="100" w:after="100"/>
              <w:jc w:val="center"/>
              <w:rPr>
                <w:b/>
              </w:rPr>
            </w:pPr>
            <w:r>
              <w:rPr>
                <w:b/>
              </w:rPr>
              <w:t>'yes' Business Cap Plan – 24 Month Contract</w:t>
            </w:r>
          </w:p>
        </w:tc>
      </w:tr>
      <w:tr w:rsidR="000D07EA" w14:paraId="146A0806" w14:textId="77777777">
        <w:tc>
          <w:tcPr>
            <w:tcW w:w="2617" w:type="pct"/>
          </w:tcPr>
          <w:p w14:paraId="44D5D0A8" w14:textId="77777777" w:rsidR="000D07EA" w:rsidRDefault="000D07EA">
            <w:pPr>
              <w:pStyle w:val="BodyText"/>
              <w:spacing w:before="100" w:after="100"/>
            </w:pPr>
          </w:p>
        </w:tc>
        <w:tc>
          <w:tcPr>
            <w:tcW w:w="794" w:type="pct"/>
          </w:tcPr>
          <w:p w14:paraId="59B2A375" w14:textId="77777777" w:rsidR="000D07EA" w:rsidRDefault="00BE7C89">
            <w:pPr>
              <w:pStyle w:val="BodyText"/>
              <w:spacing w:before="100" w:after="100"/>
              <w:jc w:val="center"/>
              <w:rPr>
                <w:b/>
              </w:rPr>
            </w:pPr>
            <w:r>
              <w:rPr>
                <w:b/>
              </w:rPr>
              <w:t>'yes' Business $49 Cap</w:t>
            </w:r>
          </w:p>
        </w:tc>
        <w:tc>
          <w:tcPr>
            <w:tcW w:w="794" w:type="pct"/>
          </w:tcPr>
          <w:p w14:paraId="3535A4F5" w14:textId="77777777" w:rsidR="000D07EA" w:rsidRDefault="00BE7C89">
            <w:pPr>
              <w:pStyle w:val="BodyText"/>
              <w:spacing w:before="100" w:after="100"/>
              <w:jc w:val="center"/>
              <w:rPr>
                <w:b/>
              </w:rPr>
            </w:pPr>
            <w:r>
              <w:rPr>
                <w:b/>
              </w:rPr>
              <w:t>'yes' Business $59 Cap</w:t>
            </w:r>
          </w:p>
        </w:tc>
        <w:tc>
          <w:tcPr>
            <w:tcW w:w="794" w:type="pct"/>
          </w:tcPr>
          <w:p w14:paraId="66062298" w14:textId="77777777" w:rsidR="000D07EA" w:rsidRDefault="00BE7C89">
            <w:pPr>
              <w:pStyle w:val="BodyText"/>
              <w:spacing w:before="100" w:after="100"/>
              <w:jc w:val="center"/>
              <w:rPr>
                <w:b/>
              </w:rPr>
            </w:pPr>
            <w:r>
              <w:rPr>
                <w:b/>
              </w:rPr>
              <w:t>'yes' Business $79 Cap</w:t>
            </w:r>
          </w:p>
        </w:tc>
      </w:tr>
      <w:tr w:rsidR="000D07EA" w14:paraId="78259CB4" w14:textId="77777777">
        <w:tc>
          <w:tcPr>
            <w:tcW w:w="2617" w:type="pct"/>
          </w:tcPr>
          <w:p w14:paraId="42C289BF" w14:textId="77777777" w:rsidR="000D07EA" w:rsidRDefault="00BE7C89">
            <w:pPr>
              <w:pStyle w:val="BodyText"/>
              <w:spacing w:before="100" w:after="100"/>
              <w:rPr>
                <w:b/>
              </w:rPr>
            </w:pPr>
            <w:r>
              <w:rPr>
                <w:b/>
              </w:rPr>
              <w:t xml:space="preserve">During the first 12 months - Initial </w:t>
            </w:r>
            <w:r>
              <w:rPr>
                <w:b/>
                <w:i/>
              </w:rPr>
              <w:t>cancellation fee</w:t>
            </w:r>
          </w:p>
        </w:tc>
        <w:tc>
          <w:tcPr>
            <w:tcW w:w="794" w:type="pct"/>
          </w:tcPr>
          <w:p w14:paraId="3C2B4DBD" w14:textId="77777777" w:rsidR="000D07EA" w:rsidRDefault="00BE7C89">
            <w:pPr>
              <w:pStyle w:val="BodyText"/>
              <w:spacing w:before="100" w:after="100"/>
              <w:jc w:val="center"/>
            </w:pPr>
            <w:r>
              <w:t>$590</w:t>
            </w:r>
          </w:p>
        </w:tc>
        <w:tc>
          <w:tcPr>
            <w:tcW w:w="794" w:type="pct"/>
          </w:tcPr>
          <w:p w14:paraId="64520DF8" w14:textId="77777777" w:rsidR="000D07EA" w:rsidRDefault="00BE7C89">
            <w:pPr>
              <w:pStyle w:val="BodyText"/>
              <w:spacing w:before="100" w:after="100"/>
              <w:jc w:val="center"/>
            </w:pPr>
            <w:r>
              <w:t>$690</w:t>
            </w:r>
          </w:p>
        </w:tc>
        <w:tc>
          <w:tcPr>
            <w:tcW w:w="794" w:type="pct"/>
          </w:tcPr>
          <w:p w14:paraId="3AEED9C8" w14:textId="77777777" w:rsidR="000D07EA" w:rsidRDefault="00BE7C89">
            <w:pPr>
              <w:pStyle w:val="BodyText"/>
              <w:spacing w:before="100" w:after="100"/>
              <w:jc w:val="center"/>
            </w:pPr>
            <w:r>
              <w:t>$785</w:t>
            </w:r>
          </w:p>
        </w:tc>
      </w:tr>
      <w:tr w:rsidR="000D07EA" w14:paraId="239E4775" w14:textId="77777777">
        <w:tc>
          <w:tcPr>
            <w:tcW w:w="2617" w:type="pct"/>
          </w:tcPr>
          <w:p w14:paraId="55F9976E" w14:textId="77777777" w:rsidR="000D07EA" w:rsidRDefault="00BE7C89">
            <w:pPr>
              <w:pStyle w:val="BodyText"/>
              <w:spacing w:before="100" w:after="100"/>
              <w:rPr>
                <w:b/>
              </w:rPr>
            </w:pPr>
            <w:r>
              <w:rPr>
                <w:b/>
              </w:rPr>
              <w:t xml:space="preserve">Months 13 – 15 (80% of Initial </w:t>
            </w:r>
            <w:r>
              <w:rPr>
                <w:b/>
                <w:i/>
              </w:rPr>
              <w:t>cancellation fee</w:t>
            </w:r>
            <w:r>
              <w:rPr>
                <w:b/>
              </w:rPr>
              <w:t>)</w:t>
            </w:r>
          </w:p>
        </w:tc>
        <w:tc>
          <w:tcPr>
            <w:tcW w:w="794" w:type="pct"/>
          </w:tcPr>
          <w:p w14:paraId="6333427B" w14:textId="77777777" w:rsidR="000D07EA" w:rsidRDefault="00BE7C89">
            <w:pPr>
              <w:pStyle w:val="BodyText"/>
              <w:spacing w:before="100" w:after="100"/>
              <w:jc w:val="center"/>
            </w:pPr>
            <w:r>
              <w:t>$472</w:t>
            </w:r>
          </w:p>
        </w:tc>
        <w:tc>
          <w:tcPr>
            <w:tcW w:w="794" w:type="pct"/>
          </w:tcPr>
          <w:p w14:paraId="408A5BA0" w14:textId="77777777" w:rsidR="000D07EA" w:rsidRDefault="00BE7C89">
            <w:pPr>
              <w:pStyle w:val="BodyText"/>
              <w:spacing w:before="100" w:after="100"/>
              <w:jc w:val="center"/>
            </w:pPr>
            <w:r>
              <w:t>$552</w:t>
            </w:r>
          </w:p>
        </w:tc>
        <w:tc>
          <w:tcPr>
            <w:tcW w:w="794" w:type="pct"/>
          </w:tcPr>
          <w:p w14:paraId="16E9D508" w14:textId="77777777" w:rsidR="000D07EA" w:rsidRDefault="00BE7C89">
            <w:pPr>
              <w:pStyle w:val="BodyText"/>
              <w:spacing w:before="100" w:after="100"/>
              <w:jc w:val="center"/>
            </w:pPr>
            <w:r>
              <w:t>$628</w:t>
            </w:r>
          </w:p>
        </w:tc>
      </w:tr>
      <w:tr w:rsidR="000D07EA" w14:paraId="425245A3" w14:textId="77777777">
        <w:tc>
          <w:tcPr>
            <w:tcW w:w="2617" w:type="pct"/>
          </w:tcPr>
          <w:p w14:paraId="0A282C26" w14:textId="77777777" w:rsidR="000D07EA" w:rsidRDefault="00BE7C89">
            <w:pPr>
              <w:pStyle w:val="BodyText"/>
              <w:spacing w:before="100" w:after="100"/>
              <w:rPr>
                <w:b/>
              </w:rPr>
            </w:pPr>
            <w:r>
              <w:rPr>
                <w:b/>
              </w:rPr>
              <w:t xml:space="preserve">Months 16 – 18 (60% of the Initial </w:t>
            </w:r>
            <w:r>
              <w:rPr>
                <w:b/>
                <w:i/>
              </w:rPr>
              <w:t>cancellation fee</w:t>
            </w:r>
            <w:r>
              <w:rPr>
                <w:b/>
              </w:rPr>
              <w:t>)</w:t>
            </w:r>
          </w:p>
        </w:tc>
        <w:tc>
          <w:tcPr>
            <w:tcW w:w="794" w:type="pct"/>
          </w:tcPr>
          <w:p w14:paraId="42325CB6" w14:textId="77777777" w:rsidR="000D07EA" w:rsidRDefault="00BE7C89">
            <w:pPr>
              <w:pStyle w:val="BodyText"/>
              <w:spacing w:before="100" w:after="100"/>
              <w:jc w:val="center"/>
            </w:pPr>
            <w:r>
              <w:t>$354</w:t>
            </w:r>
          </w:p>
        </w:tc>
        <w:tc>
          <w:tcPr>
            <w:tcW w:w="794" w:type="pct"/>
          </w:tcPr>
          <w:p w14:paraId="211B80B8" w14:textId="77777777" w:rsidR="000D07EA" w:rsidRDefault="00BE7C89">
            <w:pPr>
              <w:pStyle w:val="BodyText"/>
              <w:spacing w:before="100" w:after="100"/>
              <w:jc w:val="center"/>
            </w:pPr>
            <w:r>
              <w:t>$414</w:t>
            </w:r>
          </w:p>
        </w:tc>
        <w:tc>
          <w:tcPr>
            <w:tcW w:w="794" w:type="pct"/>
          </w:tcPr>
          <w:p w14:paraId="3725DB13" w14:textId="77777777" w:rsidR="000D07EA" w:rsidRDefault="00BE7C89">
            <w:pPr>
              <w:pStyle w:val="BodyText"/>
              <w:spacing w:before="100" w:after="100"/>
              <w:jc w:val="center"/>
            </w:pPr>
            <w:r>
              <w:t>$471</w:t>
            </w:r>
          </w:p>
        </w:tc>
      </w:tr>
      <w:tr w:rsidR="000D07EA" w14:paraId="4DB3F10A" w14:textId="77777777">
        <w:tc>
          <w:tcPr>
            <w:tcW w:w="2617" w:type="pct"/>
          </w:tcPr>
          <w:p w14:paraId="694660F8" w14:textId="77777777" w:rsidR="000D07EA" w:rsidRDefault="00BE7C89">
            <w:pPr>
              <w:pStyle w:val="BodyText"/>
              <w:spacing w:before="100" w:after="100"/>
              <w:rPr>
                <w:b/>
              </w:rPr>
            </w:pPr>
            <w:r>
              <w:rPr>
                <w:b/>
              </w:rPr>
              <w:t xml:space="preserve">Months 19 – 21 (40% of the Initial </w:t>
            </w:r>
            <w:r>
              <w:rPr>
                <w:b/>
                <w:i/>
              </w:rPr>
              <w:t>cancellation fee</w:t>
            </w:r>
            <w:r>
              <w:rPr>
                <w:b/>
              </w:rPr>
              <w:t>)</w:t>
            </w:r>
          </w:p>
        </w:tc>
        <w:tc>
          <w:tcPr>
            <w:tcW w:w="794" w:type="pct"/>
          </w:tcPr>
          <w:p w14:paraId="4C02F35E" w14:textId="77777777" w:rsidR="000D07EA" w:rsidRDefault="00BE7C89">
            <w:pPr>
              <w:pStyle w:val="BodyText"/>
              <w:spacing w:before="100" w:after="100"/>
              <w:jc w:val="center"/>
            </w:pPr>
            <w:r>
              <w:t>$236</w:t>
            </w:r>
          </w:p>
        </w:tc>
        <w:tc>
          <w:tcPr>
            <w:tcW w:w="794" w:type="pct"/>
          </w:tcPr>
          <w:p w14:paraId="283F3EDB" w14:textId="77777777" w:rsidR="000D07EA" w:rsidRDefault="00BE7C89">
            <w:pPr>
              <w:pStyle w:val="BodyText"/>
              <w:spacing w:before="100" w:after="100"/>
              <w:jc w:val="center"/>
            </w:pPr>
            <w:r>
              <w:t>$276</w:t>
            </w:r>
          </w:p>
        </w:tc>
        <w:tc>
          <w:tcPr>
            <w:tcW w:w="794" w:type="pct"/>
          </w:tcPr>
          <w:p w14:paraId="1D5B2C01" w14:textId="77777777" w:rsidR="000D07EA" w:rsidRDefault="00BE7C89">
            <w:pPr>
              <w:pStyle w:val="BodyText"/>
              <w:spacing w:before="100" w:after="100"/>
              <w:jc w:val="center"/>
            </w:pPr>
            <w:r>
              <w:t>$314</w:t>
            </w:r>
          </w:p>
        </w:tc>
      </w:tr>
      <w:tr w:rsidR="000D07EA" w14:paraId="7605B015" w14:textId="77777777">
        <w:tc>
          <w:tcPr>
            <w:tcW w:w="2617" w:type="pct"/>
          </w:tcPr>
          <w:p w14:paraId="0B32DBD6" w14:textId="77777777" w:rsidR="000D07EA" w:rsidRDefault="00BE7C89">
            <w:pPr>
              <w:pStyle w:val="BodyText"/>
              <w:spacing w:before="100" w:after="100"/>
              <w:rPr>
                <w:b/>
              </w:rPr>
            </w:pPr>
            <w:r>
              <w:rPr>
                <w:b/>
              </w:rPr>
              <w:t>Months 22 – 24 (20% of the Initial cancellation fee)</w:t>
            </w:r>
          </w:p>
        </w:tc>
        <w:tc>
          <w:tcPr>
            <w:tcW w:w="794" w:type="pct"/>
          </w:tcPr>
          <w:p w14:paraId="392853FE" w14:textId="77777777" w:rsidR="000D07EA" w:rsidRDefault="00BE7C89">
            <w:pPr>
              <w:pStyle w:val="BodyText"/>
              <w:spacing w:before="100" w:after="100"/>
              <w:jc w:val="center"/>
            </w:pPr>
            <w:r>
              <w:t>$118</w:t>
            </w:r>
          </w:p>
        </w:tc>
        <w:tc>
          <w:tcPr>
            <w:tcW w:w="794" w:type="pct"/>
          </w:tcPr>
          <w:p w14:paraId="5B2B1A67" w14:textId="77777777" w:rsidR="000D07EA" w:rsidRDefault="00BE7C89">
            <w:pPr>
              <w:pStyle w:val="BodyText"/>
              <w:spacing w:before="100" w:after="100"/>
              <w:jc w:val="center"/>
            </w:pPr>
            <w:r>
              <w:t>$138</w:t>
            </w:r>
          </w:p>
        </w:tc>
        <w:tc>
          <w:tcPr>
            <w:tcW w:w="794" w:type="pct"/>
          </w:tcPr>
          <w:p w14:paraId="1FA0C72C" w14:textId="77777777" w:rsidR="000D07EA" w:rsidRDefault="00BE7C89">
            <w:pPr>
              <w:pStyle w:val="BodyText"/>
              <w:spacing w:before="100" w:after="100"/>
              <w:jc w:val="center"/>
            </w:pPr>
            <w:r>
              <w:t>$157</w:t>
            </w:r>
          </w:p>
        </w:tc>
      </w:tr>
    </w:tbl>
    <w:p w14:paraId="5341124F" w14:textId="77777777" w:rsidR="000D07EA" w:rsidRDefault="000D07EA">
      <w:pPr>
        <w:pStyle w:val="BodyText"/>
        <w:spacing w:before="240"/>
      </w:pPr>
    </w:p>
    <w:tbl>
      <w:tblPr>
        <w:tblW w:w="4617"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4922"/>
        <w:gridCol w:w="1494"/>
        <w:gridCol w:w="1494"/>
        <w:gridCol w:w="1498"/>
      </w:tblGrid>
      <w:tr w:rsidR="000D07EA" w14:paraId="2F0D573C" w14:textId="77777777">
        <w:tc>
          <w:tcPr>
            <w:tcW w:w="2616" w:type="pct"/>
          </w:tcPr>
          <w:p w14:paraId="02684422" w14:textId="77777777" w:rsidR="000D07EA" w:rsidRDefault="00BE7C89">
            <w:pPr>
              <w:pStyle w:val="BodyText"/>
              <w:spacing w:before="100" w:after="100"/>
              <w:rPr>
                <w:b/>
                <w:i/>
              </w:rPr>
            </w:pPr>
            <w:r>
              <w:rPr>
                <w:b/>
              </w:rPr>
              <w:t xml:space="preserve">When the </w:t>
            </w:r>
            <w:r>
              <w:rPr>
                <w:b/>
                <w:i/>
              </w:rPr>
              <w:t>service</w:t>
            </w:r>
            <w:r>
              <w:rPr>
                <w:b/>
              </w:rPr>
              <w:t xml:space="preserve"> is </w:t>
            </w:r>
            <w:r>
              <w:rPr>
                <w:b/>
                <w:i/>
              </w:rPr>
              <w:t>cancelled</w:t>
            </w:r>
          </w:p>
        </w:tc>
        <w:tc>
          <w:tcPr>
            <w:tcW w:w="2384" w:type="pct"/>
            <w:gridSpan w:val="3"/>
          </w:tcPr>
          <w:p w14:paraId="750A813F" w14:textId="77777777" w:rsidR="000D07EA" w:rsidRDefault="00BE7C89">
            <w:pPr>
              <w:pStyle w:val="BodyText"/>
              <w:spacing w:before="100" w:after="100"/>
              <w:jc w:val="center"/>
              <w:rPr>
                <w:b/>
                <w:i/>
              </w:rPr>
            </w:pPr>
            <w:r>
              <w:rPr>
                <w:b/>
                <w:i/>
              </w:rPr>
              <w:t>Cancellation Fee</w:t>
            </w:r>
          </w:p>
        </w:tc>
      </w:tr>
      <w:tr w:rsidR="000D07EA" w14:paraId="6835EF38" w14:textId="77777777">
        <w:tc>
          <w:tcPr>
            <w:tcW w:w="2616" w:type="pct"/>
          </w:tcPr>
          <w:p w14:paraId="2DD86141" w14:textId="77777777" w:rsidR="000D07EA" w:rsidRDefault="000D07EA">
            <w:pPr>
              <w:pStyle w:val="BodyText"/>
              <w:spacing w:before="100" w:after="100"/>
              <w:rPr>
                <w:b/>
              </w:rPr>
            </w:pPr>
          </w:p>
        </w:tc>
        <w:tc>
          <w:tcPr>
            <w:tcW w:w="2384" w:type="pct"/>
            <w:gridSpan w:val="3"/>
          </w:tcPr>
          <w:p w14:paraId="6117C6E3" w14:textId="77777777" w:rsidR="000D07EA" w:rsidRDefault="00BE7C89">
            <w:pPr>
              <w:pStyle w:val="BodyText"/>
              <w:spacing w:before="100" w:after="100"/>
              <w:jc w:val="center"/>
              <w:rPr>
                <w:b/>
              </w:rPr>
            </w:pPr>
            <w:r>
              <w:rPr>
                <w:b/>
              </w:rPr>
              <w:t>'yes' Business Cap Plan – 12 Month Contract</w:t>
            </w:r>
          </w:p>
        </w:tc>
      </w:tr>
      <w:tr w:rsidR="000D07EA" w14:paraId="3CA395A8" w14:textId="77777777">
        <w:tc>
          <w:tcPr>
            <w:tcW w:w="2616" w:type="pct"/>
          </w:tcPr>
          <w:p w14:paraId="782721BD" w14:textId="77777777" w:rsidR="000D07EA" w:rsidRDefault="000D07EA">
            <w:pPr>
              <w:pStyle w:val="BodyText"/>
              <w:spacing w:before="100" w:after="100"/>
              <w:rPr>
                <w:b/>
              </w:rPr>
            </w:pPr>
          </w:p>
        </w:tc>
        <w:tc>
          <w:tcPr>
            <w:tcW w:w="794" w:type="pct"/>
          </w:tcPr>
          <w:p w14:paraId="10464D2B" w14:textId="77777777" w:rsidR="000D07EA" w:rsidRDefault="00BE7C89">
            <w:pPr>
              <w:pStyle w:val="BodyText"/>
              <w:spacing w:before="100" w:after="100"/>
              <w:jc w:val="center"/>
              <w:rPr>
                <w:b/>
              </w:rPr>
            </w:pPr>
            <w:r>
              <w:rPr>
                <w:b/>
              </w:rPr>
              <w:t>'yes' Business $49 Cap</w:t>
            </w:r>
          </w:p>
        </w:tc>
        <w:tc>
          <w:tcPr>
            <w:tcW w:w="794" w:type="pct"/>
          </w:tcPr>
          <w:p w14:paraId="740B27AF" w14:textId="77777777" w:rsidR="000D07EA" w:rsidRDefault="00BE7C89">
            <w:pPr>
              <w:pStyle w:val="BodyText"/>
              <w:spacing w:before="100" w:after="100"/>
              <w:jc w:val="center"/>
              <w:rPr>
                <w:b/>
              </w:rPr>
            </w:pPr>
            <w:r>
              <w:rPr>
                <w:b/>
              </w:rPr>
              <w:t>'yes' Business $59 Cap</w:t>
            </w:r>
          </w:p>
        </w:tc>
        <w:tc>
          <w:tcPr>
            <w:tcW w:w="795" w:type="pct"/>
          </w:tcPr>
          <w:p w14:paraId="6AFE6633" w14:textId="77777777" w:rsidR="000D07EA" w:rsidRDefault="00BE7C89">
            <w:pPr>
              <w:pStyle w:val="BodyText"/>
              <w:spacing w:before="100" w:after="100"/>
              <w:jc w:val="center"/>
              <w:rPr>
                <w:b/>
              </w:rPr>
            </w:pPr>
            <w:r>
              <w:rPr>
                <w:b/>
              </w:rPr>
              <w:t>'yes' Business $79 Cap</w:t>
            </w:r>
          </w:p>
        </w:tc>
      </w:tr>
      <w:tr w:rsidR="000D07EA" w14:paraId="79E72FCB" w14:textId="77777777">
        <w:tc>
          <w:tcPr>
            <w:tcW w:w="2616" w:type="pct"/>
          </w:tcPr>
          <w:p w14:paraId="6AB133DB" w14:textId="77777777" w:rsidR="000D07EA" w:rsidRDefault="00BE7C89">
            <w:pPr>
              <w:pStyle w:val="BodyText"/>
              <w:spacing w:before="100" w:after="100"/>
              <w:rPr>
                <w:b/>
                <w:i/>
              </w:rPr>
            </w:pPr>
            <w:r>
              <w:rPr>
                <w:b/>
              </w:rPr>
              <w:t xml:space="preserve">During the first 6 months – Initial </w:t>
            </w:r>
            <w:r>
              <w:rPr>
                <w:b/>
                <w:i/>
              </w:rPr>
              <w:t>cancellation fee</w:t>
            </w:r>
          </w:p>
        </w:tc>
        <w:tc>
          <w:tcPr>
            <w:tcW w:w="794" w:type="pct"/>
          </w:tcPr>
          <w:p w14:paraId="2B1F52FE" w14:textId="77777777" w:rsidR="000D07EA" w:rsidRDefault="00BE7C89">
            <w:pPr>
              <w:pStyle w:val="BodyText"/>
              <w:spacing w:before="100" w:after="100"/>
              <w:jc w:val="center"/>
            </w:pPr>
            <w:r>
              <w:t>$335</w:t>
            </w:r>
          </w:p>
        </w:tc>
        <w:tc>
          <w:tcPr>
            <w:tcW w:w="794" w:type="pct"/>
          </w:tcPr>
          <w:p w14:paraId="6BBFAC78" w14:textId="77777777" w:rsidR="000D07EA" w:rsidRDefault="00BE7C89">
            <w:pPr>
              <w:pStyle w:val="BodyText"/>
              <w:spacing w:before="100" w:after="100"/>
              <w:jc w:val="center"/>
            </w:pPr>
            <w:r>
              <w:t>$385</w:t>
            </w:r>
          </w:p>
        </w:tc>
        <w:tc>
          <w:tcPr>
            <w:tcW w:w="795" w:type="pct"/>
          </w:tcPr>
          <w:p w14:paraId="33485B66" w14:textId="77777777" w:rsidR="000D07EA" w:rsidRDefault="00BE7C89">
            <w:pPr>
              <w:pStyle w:val="BodyText"/>
              <w:spacing w:before="100" w:after="100"/>
              <w:jc w:val="center"/>
            </w:pPr>
            <w:r>
              <w:t>$445</w:t>
            </w:r>
          </w:p>
        </w:tc>
      </w:tr>
      <w:tr w:rsidR="000D07EA" w14:paraId="2B18A109" w14:textId="77777777">
        <w:tc>
          <w:tcPr>
            <w:tcW w:w="2616" w:type="pct"/>
            <w:tcBorders>
              <w:bottom w:val="single" w:sz="4" w:space="0" w:color="auto"/>
            </w:tcBorders>
          </w:tcPr>
          <w:p w14:paraId="3521737C" w14:textId="77777777" w:rsidR="000D07EA" w:rsidRDefault="00BE7C89">
            <w:pPr>
              <w:pStyle w:val="BodyText"/>
              <w:spacing w:before="100" w:after="100"/>
              <w:rPr>
                <w:b/>
              </w:rPr>
            </w:pPr>
            <w:r>
              <w:rPr>
                <w:b/>
              </w:rPr>
              <w:t xml:space="preserve">Months 7 - 9 (70% of Initial </w:t>
            </w:r>
            <w:r>
              <w:rPr>
                <w:b/>
                <w:i/>
              </w:rPr>
              <w:t>cancellation fee</w:t>
            </w:r>
            <w:r>
              <w:rPr>
                <w:b/>
              </w:rPr>
              <w:t>)</w:t>
            </w:r>
          </w:p>
        </w:tc>
        <w:tc>
          <w:tcPr>
            <w:tcW w:w="794" w:type="pct"/>
            <w:tcBorders>
              <w:bottom w:val="single" w:sz="4" w:space="0" w:color="auto"/>
            </w:tcBorders>
          </w:tcPr>
          <w:p w14:paraId="5F5835E2" w14:textId="77777777" w:rsidR="000D07EA" w:rsidRDefault="00BE7C89">
            <w:pPr>
              <w:pStyle w:val="BodyText"/>
              <w:spacing w:before="100" w:after="100"/>
              <w:jc w:val="center"/>
            </w:pPr>
            <w:r>
              <w:t>$234.50</w:t>
            </w:r>
          </w:p>
        </w:tc>
        <w:tc>
          <w:tcPr>
            <w:tcW w:w="794" w:type="pct"/>
            <w:tcBorders>
              <w:bottom w:val="single" w:sz="4" w:space="0" w:color="auto"/>
            </w:tcBorders>
          </w:tcPr>
          <w:p w14:paraId="56181723" w14:textId="77777777" w:rsidR="000D07EA" w:rsidRDefault="00BE7C89">
            <w:pPr>
              <w:pStyle w:val="BodyText"/>
              <w:spacing w:before="100" w:after="100"/>
              <w:jc w:val="center"/>
            </w:pPr>
            <w:r>
              <w:t>$269.50</w:t>
            </w:r>
          </w:p>
        </w:tc>
        <w:tc>
          <w:tcPr>
            <w:tcW w:w="795" w:type="pct"/>
            <w:tcBorders>
              <w:bottom w:val="single" w:sz="4" w:space="0" w:color="auto"/>
            </w:tcBorders>
          </w:tcPr>
          <w:p w14:paraId="753C731A" w14:textId="77777777" w:rsidR="000D07EA" w:rsidRDefault="00BE7C89">
            <w:pPr>
              <w:pStyle w:val="BodyText"/>
              <w:spacing w:before="100" w:after="100"/>
              <w:jc w:val="center"/>
            </w:pPr>
            <w:r>
              <w:t>$311.50</w:t>
            </w:r>
          </w:p>
        </w:tc>
      </w:tr>
      <w:tr w:rsidR="000D07EA" w14:paraId="677403F7" w14:textId="77777777">
        <w:tc>
          <w:tcPr>
            <w:tcW w:w="2616" w:type="pct"/>
            <w:tcBorders>
              <w:bottom w:val="single" w:sz="6" w:space="0" w:color="auto"/>
            </w:tcBorders>
          </w:tcPr>
          <w:p w14:paraId="6AE6A205" w14:textId="77777777" w:rsidR="000D07EA" w:rsidRDefault="00BE7C89">
            <w:pPr>
              <w:pStyle w:val="BodyText"/>
              <w:spacing w:before="100" w:after="100"/>
              <w:rPr>
                <w:b/>
              </w:rPr>
            </w:pPr>
            <w:r>
              <w:rPr>
                <w:b/>
              </w:rPr>
              <w:t xml:space="preserve">Months 10 – 12 (40% of the Initial </w:t>
            </w:r>
            <w:r>
              <w:rPr>
                <w:b/>
                <w:i/>
              </w:rPr>
              <w:t>cancellation fee</w:t>
            </w:r>
            <w:r>
              <w:rPr>
                <w:b/>
              </w:rPr>
              <w:t>)</w:t>
            </w:r>
          </w:p>
        </w:tc>
        <w:tc>
          <w:tcPr>
            <w:tcW w:w="794" w:type="pct"/>
            <w:tcBorders>
              <w:bottom w:val="single" w:sz="6" w:space="0" w:color="auto"/>
            </w:tcBorders>
          </w:tcPr>
          <w:p w14:paraId="2CE28C29" w14:textId="77777777" w:rsidR="000D07EA" w:rsidRDefault="00BE7C89">
            <w:pPr>
              <w:pStyle w:val="BodyText"/>
              <w:spacing w:before="100" w:after="100"/>
              <w:jc w:val="center"/>
            </w:pPr>
            <w:r>
              <w:t>$134</w:t>
            </w:r>
          </w:p>
        </w:tc>
        <w:tc>
          <w:tcPr>
            <w:tcW w:w="794" w:type="pct"/>
            <w:tcBorders>
              <w:bottom w:val="single" w:sz="6" w:space="0" w:color="auto"/>
            </w:tcBorders>
          </w:tcPr>
          <w:p w14:paraId="0A27BB91" w14:textId="77777777" w:rsidR="000D07EA" w:rsidRDefault="00BE7C89">
            <w:pPr>
              <w:pStyle w:val="BodyText"/>
              <w:spacing w:before="100" w:after="100"/>
              <w:jc w:val="center"/>
            </w:pPr>
            <w:r>
              <w:t>$154</w:t>
            </w:r>
          </w:p>
        </w:tc>
        <w:tc>
          <w:tcPr>
            <w:tcW w:w="795" w:type="pct"/>
            <w:tcBorders>
              <w:bottom w:val="single" w:sz="6" w:space="0" w:color="auto"/>
            </w:tcBorders>
          </w:tcPr>
          <w:p w14:paraId="315365C5" w14:textId="77777777" w:rsidR="000D07EA" w:rsidRDefault="00BE7C89">
            <w:pPr>
              <w:pStyle w:val="BodyText"/>
              <w:spacing w:before="100" w:after="100"/>
              <w:jc w:val="center"/>
            </w:pPr>
            <w:r>
              <w:t>$178</w:t>
            </w:r>
          </w:p>
        </w:tc>
      </w:tr>
    </w:tbl>
    <w:p w14:paraId="68C90CEB" w14:textId="77777777" w:rsidR="000D07EA" w:rsidRDefault="000D07EA">
      <w:pPr>
        <w:pStyle w:val="BodyText"/>
        <w:spacing w:before="240"/>
        <w:ind w:left="1440"/>
      </w:pPr>
    </w:p>
    <w:tbl>
      <w:tblPr>
        <w:tblW w:w="4617"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4924"/>
        <w:gridCol w:w="1494"/>
        <w:gridCol w:w="1494"/>
        <w:gridCol w:w="1496"/>
      </w:tblGrid>
      <w:tr w:rsidR="000D07EA" w14:paraId="7D63E459" w14:textId="77777777">
        <w:tc>
          <w:tcPr>
            <w:tcW w:w="2617" w:type="pct"/>
            <w:tcBorders>
              <w:top w:val="single" w:sz="6" w:space="0" w:color="auto"/>
            </w:tcBorders>
          </w:tcPr>
          <w:p w14:paraId="04018CAF" w14:textId="77777777" w:rsidR="000D07EA" w:rsidRDefault="00BE7C89">
            <w:pPr>
              <w:pStyle w:val="BodyText"/>
              <w:spacing w:before="100" w:after="100"/>
              <w:rPr>
                <w:b/>
                <w:i/>
              </w:rPr>
            </w:pPr>
            <w:r>
              <w:rPr>
                <w:b/>
              </w:rPr>
              <w:t xml:space="preserve">When the </w:t>
            </w:r>
            <w:r>
              <w:rPr>
                <w:b/>
                <w:i/>
              </w:rPr>
              <w:t>service</w:t>
            </w:r>
            <w:r>
              <w:rPr>
                <w:b/>
              </w:rPr>
              <w:t xml:space="preserve"> is </w:t>
            </w:r>
            <w:r>
              <w:rPr>
                <w:b/>
                <w:i/>
              </w:rPr>
              <w:t>cancelled</w:t>
            </w:r>
          </w:p>
        </w:tc>
        <w:tc>
          <w:tcPr>
            <w:tcW w:w="2383" w:type="pct"/>
            <w:gridSpan w:val="3"/>
            <w:tcBorders>
              <w:top w:val="single" w:sz="6" w:space="0" w:color="auto"/>
            </w:tcBorders>
          </w:tcPr>
          <w:p w14:paraId="4A7ECBF9" w14:textId="77777777" w:rsidR="000D07EA" w:rsidRDefault="00BE7C89">
            <w:pPr>
              <w:pStyle w:val="BodyText"/>
              <w:spacing w:before="100" w:after="100"/>
              <w:jc w:val="center"/>
            </w:pPr>
            <w:r>
              <w:rPr>
                <w:b/>
                <w:i/>
              </w:rPr>
              <w:t>Cancellation Fee</w:t>
            </w:r>
          </w:p>
        </w:tc>
      </w:tr>
      <w:tr w:rsidR="000D07EA" w14:paraId="575B7CC7" w14:textId="77777777">
        <w:tc>
          <w:tcPr>
            <w:tcW w:w="2617" w:type="pct"/>
          </w:tcPr>
          <w:p w14:paraId="7C3C22D0" w14:textId="77777777" w:rsidR="000D07EA" w:rsidRDefault="000D07EA">
            <w:pPr>
              <w:pStyle w:val="BodyText"/>
              <w:spacing w:before="100" w:after="100"/>
              <w:rPr>
                <w:b/>
              </w:rPr>
            </w:pPr>
          </w:p>
        </w:tc>
        <w:tc>
          <w:tcPr>
            <w:tcW w:w="2383" w:type="pct"/>
            <w:gridSpan w:val="3"/>
          </w:tcPr>
          <w:p w14:paraId="2A1088C3" w14:textId="77777777" w:rsidR="000D07EA" w:rsidRDefault="00BE7C89">
            <w:pPr>
              <w:pStyle w:val="BodyText"/>
              <w:spacing w:before="100" w:after="100"/>
              <w:jc w:val="center"/>
            </w:pPr>
            <w:r>
              <w:rPr>
                <w:b/>
              </w:rPr>
              <w:t>'yes' Business Cap Plan (BYO Option)– 12 Month Contract</w:t>
            </w:r>
          </w:p>
        </w:tc>
      </w:tr>
      <w:tr w:rsidR="000D07EA" w14:paraId="54E0EB3B" w14:textId="77777777">
        <w:tc>
          <w:tcPr>
            <w:tcW w:w="2617" w:type="pct"/>
          </w:tcPr>
          <w:p w14:paraId="6BCEB342" w14:textId="77777777" w:rsidR="000D07EA" w:rsidRDefault="000D07EA">
            <w:pPr>
              <w:pStyle w:val="BodyText"/>
              <w:spacing w:before="100" w:after="100"/>
              <w:rPr>
                <w:b/>
              </w:rPr>
            </w:pPr>
          </w:p>
        </w:tc>
        <w:tc>
          <w:tcPr>
            <w:tcW w:w="794" w:type="pct"/>
          </w:tcPr>
          <w:p w14:paraId="73BFEA6D" w14:textId="77777777" w:rsidR="000D07EA" w:rsidRDefault="00BE7C89">
            <w:pPr>
              <w:pStyle w:val="BodyText"/>
              <w:spacing w:before="100" w:after="100"/>
              <w:jc w:val="center"/>
              <w:rPr>
                <w:b/>
              </w:rPr>
            </w:pPr>
            <w:r>
              <w:rPr>
                <w:b/>
              </w:rPr>
              <w:t>'yes' Business $49 Cap</w:t>
            </w:r>
          </w:p>
        </w:tc>
        <w:tc>
          <w:tcPr>
            <w:tcW w:w="794" w:type="pct"/>
          </w:tcPr>
          <w:p w14:paraId="249156C1" w14:textId="77777777" w:rsidR="000D07EA" w:rsidRDefault="00BE7C89">
            <w:pPr>
              <w:pStyle w:val="BodyText"/>
              <w:spacing w:before="100" w:after="100"/>
              <w:jc w:val="center"/>
              <w:rPr>
                <w:b/>
              </w:rPr>
            </w:pPr>
            <w:r>
              <w:rPr>
                <w:b/>
              </w:rPr>
              <w:t>'yes' Business $49 Cap</w:t>
            </w:r>
          </w:p>
        </w:tc>
        <w:tc>
          <w:tcPr>
            <w:tcW w:w="794" w:type="pct"/>
          </w:tcPr>
          <w:p w14:paraId="76B9E707" w14:textId="77777777" w:rsidR="000D07EA" w:rsidRDefault="00BE7C89">
            <w:pPr>
              <w:pStyle w:val="BodyText"/>
              <w:spacing w:before="100" w:after="100"/>
              <w:jc w:val="center"/>
              <w:rPr>
                <w:b/>
              </w:rPr>
            </w:pPr>
            <w:r>
              <w:rPr>
                <w:b/>
              </w:rPr>
              <w:t>'yes' Business $49 Cap</w:t>
            </w:r>
          </w:p>
        </w:tc>
      </w:tr>
      <w:tr w:rsidR="000D07EA" w14:paraId="4FADEF74" w14:textId="77777777">
        <w:tc>
          <w:tcPr>
            <w:tcW w:w="2617" w:type="pct"/>
          </w:tcPr>
          <w:p w14:paraId="53AD21A8" w14:textId="77777777" w:rsidR="000D07EA" w:rsidRDefault="00BE7C89">
            <w:pPr>
              <w:pStyle w:val="BodyText"/>
              <w:spacing w:before="100" w:after="100"/>
              <w:rPr>
                <w:b/>
                <w:i/>
              </w:rPr>
            </w:pPr>
            <w:r>
              <w:rPr>
                <w:b/>
              </w:rPr>
              <w:t xml:space="preserve">During the first 6 months – Initial </w:t>
            </w:r>
            <w:r>
              <w:rPr>
                <w:b/>
                <w:i/>
              </w:rPr>
              <w:t>cancellation fee</w:t>
            </w:r>
          </w:p>
        </w:tc>
        <w:tc>
          <w:tcPr>
            <w:tcW w:w="794" w:type="pct"/>
          </w:tcPr>
          <w:p w14:paraId="33F10119" w14:textId="77777777" w:rsidR="000D07EA" w:rsidRDefault="00BE7C89">
            <w:pPr>
              <w:pStyle w:val="BodyText"/>
              <w:spacing w:before="100" w:after="100"/>
              <w:jc w:val="center"/>
            </w:pPr>
            <w:r>
              <w:t>$165.00</w:t>
            </w:r>
          </w:p>
        </w:tc>
        <w:tc>
          <w:tcPr>
            <w:tcW w:w="794" w:type="pct"/>
          </w:tcPr>
          <w:p w14:paraId="3FC3F878" w14:textId="77777777" w:rsidR="000D07EA" w:rsidRDefault="00BE7C89">
            <w:pPr>
              <w:pStyle w:val="BodyText"/>
              <w:spacing w:before="100" w:after="100"/>
              <w:jc w:val="center"/>
            </w:pPr>
            <w:r>
              <w:t>$180.00</w:t>
            </w:r>
          </w:p>
        </w:tc>
        <w:tc>
          <w:tcPr>
            <w:tcW w:w="794" w:type="pct"/>
          </w:tcPr>
          <w:p w14:paraId="5C1FEC02" w14:textId="77777777" w:rsidR="000D07EA" w:rsidRDefault="00BE7C89">
            <w:pPr>
              <w:pStyle w:val="BodyText"/>
              <w:spacing w:before="100" w:after="100"/>
              <w:jc w:val="center"/>
            </w:pPr>
            <w:r>
              <w:t>$185.00</w:t>
            </w:r>
          </w:p>
        </w:tc>
      </w:tr>
      <w:tr w:rsidR="000D07EA" w14:paraId="47FC253A" w14:textId="77777777">
        <w:tc>
          <w:tcPr>
            <w:tcW w:w="2617" w:type="pct"/>
          </w:tcPr>
          <w:p w14:paraId="5EC8101A" w14:textId="77777777" w:rsidR="000D07EA" w:rsidRDefault="00BE7C89">
            <w:pPr>
              <w:pStyle w:val="BodyText"/>
              <w:spacing w:before="100" w:after="100"/>
              <w:rPr>
                <w:b/>
              </w:rPr>
            </w:pPr>
            <w:r>
              <w:rPr>
                <w:b/>
              </w:rPr>
              <w:t xml:space="preserve">Months 7 - 9 (70% of Initial </w:t>
            </w:r>
            <w:r>
              <w:rPr>
                <w:b/>
                <w:i/>
              </w:rPr>
              <w:t>cancellation fee</w:t>
            </w:r>
            <w:r>
              <w:rPr>
                <w:b/>
              </w:rPr>
              <w:t>)</w:t>
            </w:r>
          </w:p>
        </w:tc>
        <w:tc>
          <w:tcPr>
            <w:tcW w:w="794" w:type="pct"/>
          </w:tcPr>
          <w:p w14:paraId="3C1EA2EB" w14:textId="77777777" w:rsidR="000D07EA" w:rsidRDefault="00BE7C89">
            <w:pPr>
              <w:pStyle w:val="BodyText"/>
              <w:spacing w:before="100" w:after="100"/>
              <w:jc w:val="center"/>
            </w:pPr>
            <w:r>
              <w:t>$115.50</w:t>
            </w:r>
          </w:p>
        </w:tc>
        <w:tc>
          <w:tcPr>
            <w:tcW w:w="794" w:type="pct"/>
          </w:tcPr>
          <w:p w14:paraId="7E5CD34E" w14:textId="77777777" w:rsidR="000D07EA" w:rsidRDefault="00BE7C89">
            <w:pPr>
              <w:pStyle w:val="BodyText"/>
              <w:spacing w:before="100" w:after="100"/>
              <w:jc w:val="center"/>
            </w:pPr>
            <w:r>
              <w:t>$126.00</w:t>
            </w:r>
          </w:p>
        </w:tc>
        <w:tc>
          <w:tcPr>
            <w:tcW w:w="794" w:type="pct"/>
          </w:tcPr>
          <w:p w14:paraId="4A23518B" w14:textId="77777777" w:rsidR="000D07EA" w:rsidRDefault="00BE7C89">
            <w:pPr>
              <w:pStyle w:val="BodyText"/>
              <w:spacing w:before="100" w:after="100"/>
              <w:jc w:val="center"/>
            </w:pPr>
            <w:r>
              <w:t>$129.50</w:t>
            </w:r>
          </w:p>
        </w:tc>
      </w:tr>
      <w:tr w:rsidR="000D07EA" w14:paraId="6502EB58" w14:textId="77777777">
        <w:tc>
          <w:tcPr>
            <w:tcW w:w="2617" w:type="pct"/>
          </w:tcPr>
          <w:p w14:paraId="2F2CF2D8" w14:textId="77777777" w:rsidR="000D07EA" w:rsidRDefault="00BE7C89">
            <w:pPr>
              <w:pStyle w:val="BodyText"/>
              <w:spacing w:before="100" w:after="100"/>
              <w:rPr>
                <w:b/>
              </w:rPr>
            </w:pPr>
            <w:r>
              <w:rPr>
                <w:b/>
              </w:rPr>
              <w:t xml:space="preserve">Months 10 – 12 (40% of the Initial </w:t>
            </w:r>
            <w:r>
              <w:rPr>
                <w:b/>
                <w:i/>
              </w:rPr>
              <w:t>cancellation fee</w:t>
            </w:r>
            <w:r>
              <w:rPr>
                <w:b/>
              </w:rPr>
              <w:t>)</w:t>
            </w:r>
          </w:p>
        </w:tc>
        <w:tc>
          <w:tcPr>
            <w:tcW w:w="794" w:type="pct"/>
          </w:tcPr>
          <w:p w14:paraId="6A6D1AF6" w14:textId="77777777" w:rsidR="000D07EA" w:rsidRDefault="00BE7C89">
            <w:pPr>
              <w:pStyle w:val="BodyText"/>
              <w:spacing w:before="100" w:after="100"/>
              <w:jc w:val="center"/>
            </w:pPr>
            <w:r>
              <w:t>$66.00</w:t>
            </w:r>
          </w:p>
        </w:tc>
        <w:tc>
          <w:tcPr>
            <w:tcW w:w="794" w:type="pct"/>
          </w:tcPr>
          <w:p w14:paraId="76B04F0B" w14:textId="77777777" w:rsidR="000D07EA" w:rsidRDefault="00BE7C89">
            <w:pPr>
              <w:pStyle w:val="BodyText"/>
              <w:spacing w:before="100" w:after="100"/>
              <w:jc w:val="center"/>
            </w:pPr>
            <w:r>
              <w:t>$72.00</w:t>
            </w:r>
          </w:p>
        </w:tc>
        <w:tc>
          <w:tcPr>
            <w:tcW w:w="794" w:type="pct"/>
          </w:tcPr>
          <w:p w14:paraId="64D5469D" w14:textId="77777777" w:rsidR="000D07EA" w:rsidRDefault="00BE7C89">
            <w:pPr>
              <w:pStyle w:val="BodyText"/>
              <w:spacing w:before="100" w:after="100"/>
              <w:jc w:val="center"/>
            </w:pPr>
            <w:r>
              <w:t>$74.00</w:t>
            </w:r>
          </w:p>
        </w:tc>
      </w:tr>
    </w:tbl>
    <w:p w14:paraId="3C0B87E7" w14:textId="77777777" w:rsidR="000D07EA" w:rsidRDefault="000D07EA">
      <w:pPr>
        <w:pStyle w:val="BodyText"/>
      </w:pPr>
      <w:bookmarkStart w:id="288" w:name="_Toc229194056"/>
      <w:bookmarkStart w:id="289" w:name="_Toc397941072"/>
      <w:bookmarkStart w:id="290" w:name="_Toc455147602"/>
    </w:p>
    <w:p w14:paraId="21698934" w14:textId="77777777" w:rsidR="000D07EA" w:rsidRDefault="00BE7C89">
      <w:pPr>
        <w:pStyle w:val="Heading4"/>
      </w:pPr>
      <w:bookmarkStart w:id="291" w:name="_Toc62644624"/>
      <w:r>
        <w:t>'yes' Business Cap iPhone Plans (Incorporating 'yes' Business $49 Cap iPhone Plan, 'yes' Business $59 Cap iPhone Plan, 'yes' Business $79 Cap iPhone Plan) (SMB Plans), Effective from 26 June 2009.</w:t>
      </w:r>
      <w:bookmarkEnd w:id="288"/>
      <w:bookmarkEnd w:id="289"/>
      <w:bookmarkEnd w:id="290"/>
      <w:bookmarkEnd w:id="291"/>
    </w:p>
    <w:p w14:paraId="68C15306" w14:textId="77777777" w:rsidR="000D07EA" w:rsidRDefault="00BE7C89">
      <w:pPr>
        <w:pStyle w:val="Heading6"/>
        <w:ind w:left="0" w:firstLine="0"/>
      </w:pPr>
      <w:bookmarkStart w:id="292" w:name="_Toc229194057"/>
      <w:bookmarkStart w:id="293" w:name="_Toc397941073"/>
      <w:r>
        <w:t>Eligibility</w:t>
      </w:r>
      <w:bookmarkEnd w:id="292"/>
      <w:bookmarkEnd w:id="293"/>
    </w:p>
    <w:p w14:paraId="5B9B03CA" w14:textId="77777777" w:rsidR="000D07EA" w:rsidRDefault="00BE7C89">
      <w:pPr>
        <w:pStyle w:val="BodyText"/>
        <w:ind w:left="720"/>
      </w:pPr>
      <w:r>
        <w:t xml:space="preserve">The 'yes' Business Cap iPhone Plans are available to eligible, credit approved Optus </w:t>
      </w:r>
      <w:r>
        <w:rPr>
          <w:i/>
        </w:rPr>
        <w:t>small or medium business customers</w:t>
      </w:r>
      <w:r>
        <w:t xml:space="preserve">, as defined by Optus, connecting to the </w:t>
      </w:r>
      <w:r>
        <w:rPr>
          <w:i/>
        </w:rPr>
        <w:t>service</w:t>
      </w:r>
      <w:r>
        <w:t xml:space="preserve"> on the following terms:</w:t>
      </w:r>
    </w:p>
    <w:p w14:paraId="64ED4AD3" w14:textId="77777777" w:rsidR="000D07EA" w:rsidRDefault="00BE7C89">
      <w:pPr>
        <w:pStyle w:val="Heading7"/>
      </w:pPr>
      <w:r>
        <w:t>Optus Service Providers' customers are excluded; and</w:t>
      </w:r>
    </w:p>
    <w:p w14:paraId="7E5C76D0" w14:textId="77777777" w:rsidR="000D07EA" w:rsidRDefault="00BE7C89">
      <w:pPr>
        <w:pStyle w:val="Heading7"/>
      </w:pPr>
      <w:r>
        <w:rPr>
          <w:snapToGrid w:val="0"/>
        </w:rPr>
        <w:t xml:space="preserve">If </w:t>
      </w:r>
      <w:r>
        <w:rPr>
          <w:i/>
          <w:snapToGrid w:val="0"/>
        </w:rPr>
        <w:t xml:space="preserve">you </w:t>
      </w:r>
      <w:r>
        <w:rPr>
          <w:snapToGrid w:val="0"/>
        </w:rPr>
        <w:t xml:space="preserve">are an existing customer </w:t>
      </w:r>
      <w:r>
        <w:rPr>
          <w:i/>
          <w:snapToGrid w:val="0"/>
        </w:rPr>
        <w:t xml:space="preserve">you </w:t>
      </w:r>
      <w:r>
        <w:rPr>
          <w:snapToGrid w:val="0"/>
        </w:rPr>
        <w:t xml:space="preserve">may only transfer to the 'yes' Business Cap iPhone Plans with </w:t>
      </w:r>
      <w:r>
        <w:rPr>
          <w:i/>
          <w:snapToGrid w:val="0"/>
        </w:rPr>
        <w:t xml:space="preserve">our </w:t>
      </w:r>
      <w:r>
        <w:rPr>
          <w:snapToGrid w:val="0"/>
        </w:rPr>
        <w:t>approval</w:t>
      </w:r>
      <w:r>
        <w:rPr>
          <w:snapToGrid w:val="0"/>
          <w:sz w:val="16"/>
          <w:szCs w:val="16"/>
        </w:rPr>
        <w:t>.</w:t>
      </w:r>
    </w:p>
    <w:p w14:paraId="3C46F490" w14:textId="77777777" w:rsidR="000D07EA" w:rsidRDefault="00BE7C89">
      <w:pPr>
        <w:pStyle w:val="Heading7"/>
        <w:rPr>
          <w:rStyle w:val="Emphasis"/>
          <w:i w:val="0"/>
          <w:iCs w:val="0"/>
        </w:rPr>
      </w:pPr>
      <w:r>
        <w:t>The</w:t>
      </w:r>
      <w:r>
        <w:rPr>
          <w:bCs/>
        </w:rPr>
        <w:t xml:space="preserve"> 'yes' Business Cap iPhone Plans are only a</w:t>
      </w:r>
      <w:r>
        <w:rPr>
          <w:rStyle w:val="Emphasis"/>
          <w:i w:val="0"/>
        </w:rPr>
        <w:t xml:space="preserve">vailable to </w:t>
      </w:r>
      <w:r>
        <w:rPr>
          <w:rStyle w:val="Emphasis"/>
        </w:rPr>
        <w:t>you</w:t>
      </w:r>
      <w:r>
        <w:rPr>
          <w:rStyle w:val="Emphasis"/>
          <w:i w:val="0"/>
        </w:rPr>
        <w:t xml:space="preserve"> if </w:t>
      </w:r>
      <w:r>
        <w:rPr>
          <w:rStyle w:val="Emphasis"/>
        </w:rPr>
        <w:t xml:space="preserve">you </w:t>
      </w:r>
      <w:r>
        <w:rPr>
          <w:rStyle w:val="Emphasis"/>
          <w:i w:val="0"/>
        </w:rPr>
        <w:t xml:space="preserve">use an iPhone handset which remains connected on this plan. If </w:t>
      </w:r>
      <w:r>
        <w:rPr>
          <w:rStyle w:val="Emphasis"/>
        </w:rPr>
        <w:t>your</w:t>
      </w:r>
      <w:r>
        <w:rPr>
          <w:rStyle w:val="Emphasis"/>
          <w:i w:val="0"/>
        </w:rPr>
        <w:t xml:space="preserve"> iPhone handset is no longer used and connected on the 'yes' Business Cap iPhone Plan then Optus will transfer </w:t>
      </w:r>
      <w:r>
        <w:rPr>
          <w:rStyle w:val="Emphasis"/>
        </w:rPr>
        <w:t>your</w:t>
      </w:r>
      <w:r>
        <w:rPr>
          <w:rStyle w:val="Emphasis"/>
          <w:i w:val="0"/>
        </w:rPr>
        <w:t xml:space="preserve"> service to an equivalent non iPhone Cap rate plan.</w:t>
      </w:r>
    </w:p>
    <w:p w14:paraId="0920FA7A" w14:textId="77777777" w:rsidR="000D07EA" w:rsidRDefault="00BE7C89">
      <w:pPr>
        <w:pStyle w:val="Heading6"/>
        <w:ind w:left="0" w:firstLine="0"/>
      </w:pPr>
      <w:bookmarkStart w:id="294" w:name="_Toc397941074"/>
      <w:r>
        <w:t>Blocking access to a number</w:t>
      </w:r>
      <w:bookmarkEnd w:id="294"/>
    </w:p>
    <w:p w14:paraId="5135DCB5" w14:textId="77777777" w:rsidR="000D07EA" w:rsidRDefault="00BE7C89">
      <w:pPr>
        <w:pStyle w:val="BodyText"/>
        <w:ind w:left="720"/>
      </w:pPr>
      <w:r>
        <w:lastRenderedPageBreak/>
        <w:t xml:space="preserve">In addition to what is stated in clause 11 of the service description ("Access Restrictions"), </w:t>
      </w:r>
      <w:r>
        <w:rPr>
          <w:i/>
        </w:rPr>
        <w:t>we</w:t>
      </w:r>
      <w:r>
        <w:t xml:space="preserve"> may block access to a number (other than an emergency service number) if </w:t>
      </w:r>
      <w:r>
        <w:rPr>
          <w:i/>
        </w:rPr>
        <w:t>we</w:t>
      </w:r>
      <w:r>
        <w:t xml:space="preserve"> reasonably require this to be done for technical, operational or commercial reasons. </w:t>
      </w:r>
    </w:p>
    <w:p w14:paraId="1A60E30C" w14:textId="77777777" w:rsidR="000D07EA" w:rsidRDefault="00BE7C89">
      <w:pPr>
        <w:pStyle w:val="Heading6"/>
        <w:ind w:left="0" w:firstLine="0"/>
        <w:rPr>
          <w:i/>
        </w:rPr>
      </w:pPr>
      <w:bookmarkStart w:id="295" w:name="_Toc229194058"/>
      <w:bookmarkStart w:id="296" w:name="_Toc397941075"/>
      <w:r>
        <w:rPr>
          <w:i/>
        </w:rPr>
        <w:t>Minimum Term</w:t>
      </w:r>
      <w:bookmarkEnd w:id="295"/>
      <w:bookmarkEnd w:id="296"/>
    </w:p>
    <w:p w14:paraId="11F30E4A" w14:textId="77777777" w:rsidR="000D07EA" w:rsidRDefault="00BE7C89">
      <w:pPr>
        <w:pStyle w:val="Heading7"/>
      </w:pPr>
      <w:r>
        <w:rPr>
          <w:i/>
        </w:rPr>
        <w:t>You</w:t>
      </w:r>
      <w:r>
        <w:t xml:space="preserve"> must agree to either a </w:t>
      </w:r>
      <w:r>
        <w:rPr>
          <w:i/>
        </w:rPr>
        <w:t>non-fixed length agreement</w:t>
      </w:r>
      <w:r>
        <w:t xml:space="preserve"> or a </w:t>
      </w:r>
      <w:r>
        <w:rPr>
          <w:i/>
        </w:rPr>
        <w:t>fixed length agreement</w:t>
      </w:r>
      <w:r>
        <w:t xml:space="preserve"> with a 12 month, 24 month or 36 month </w:t>
      </w:r>
      <w:r>
        <w:rPr>
          <w:i/>
        </w:rPr>
        <w:t>minimum term</w:t>
      </w:r>
      <w:r>
        <w:t>.</w:t>
      </w:r>
    </w:p>
    <w:p w14:paraId="3477F8F0" w14:textId="77777777" w:rsidR="000D07EA" w:rsidRDefault="00BE7C89">
      <w:pPr>
        <w:pStyle w:val="Heading7"/>
      </w:pPr>
      <w:r>
        <w:t xml:space="preserve">The 'yes' Business $59 Cap iPhone Plan is only available on a </w:t>
      </w:r>
      <w:r>
        <w:rPr>
          <w:i/>
        </w:rPr>
        <w:t>fixed length agreement</w:t>
      </w:r>
      <w:r>
        <w:t xml:space="preserve"> with a 12 month or 24 month </w:t>
      </w:r>
      <w:r>
        <w:rPr>
          <w:i/>
        </w:rPr>
        <w:t>minimum term</w:t>
      </w:r>
      <w:r>
        <w:t>.</w:t>
      </w:r>
    </w:p>
    <w:p w14:paraId="7995D0AC" w14:textId="77777777" w:rsidR="000D07EA" w:rsidRDefault="00BE7C89">
      <w:pPr>
        <w:pStyle w:val="Heading7"/>
      </w:pPr>
      <w:r>
        <w:t xml:space="preserve">The 'yes' Business $79 Cap iPhone Plan is also available on a </w:t>
      </w:r>
      <w:r>
        <w:rPr>
          <w:i/>
          <w:iCs/>
        </w:rPr>
        <w:t>fixed length agreement</w:t>
      </w:r>
      <w:r>
        <w:t xml:space="preserve"> with a 36 month </w:t>
      </w:r>
      <w:r>
        <w:rPr>
          <w:i/>
          <w:iCs/>
        </w:rPr>
        <w:t>minimum term</w:t>
      </w:r>
      <w:r>
        <w:t>.</w:t>
      </w:r>
    </w:p>
    <w:p w14:paraId="03734D40" w14:textId="77777777" w:rsidR="000D07EA" w:rsidRDefault="00BE7C89">
      <w:pPr>
        <w:pStyle w:val="Heading7"/>
      </w:pPr>
      <w:r>
        <w:rPr>
          <w:i/>
        </w:rPr>
        <w:t>You</w:t>
      </w:r>
      <w:r>
        <w:t xml:space="preserve"> may purchase an iPhone </w:t>
      </w:r>
      <w:r>
        <w:rPr>
          <w:i/>
        </w:rPr>
        <w:t>mobile phone</w:t>
      </w:r>
      <w:r>
        <w:t xml:space="preserve"> with a 12 month, 24 month or 36 month </w:t>
      </w:r>
      <w:r>
        <w:rPr>
          <w:i/>
        </w:rPr>
        <w:t>equipment</w:t>
      </w:r>
      <w:r>
        <w:t xml:space="preserve"> </w:t>
      </w:r>
      <w:r>
        <w:rPr>
          <w:i/>
        </w:rPr>
        <w:t>term</w:t>
      </w:r>
      <w:r>
        <w:t xml:space="preserve"> under a </w:t>
      </w:r>
      <w:r>
        <w:rPr>
          <w:i/>
        </w:rPr>
        <w:t>mobile equipment payment plan</w:t>
      </w:r>
      <w:r>
        <w:t xml:space="preserve"> depending on </w:t>
      </w:r>
      <w:r>
        <w:rPr>
          <w:i/>
        </w:rPr>
        <w:t>your</w:t>
      </w:r>
      <w:r>
        <w:t xml:space="preserve"> contract plan. If </w:t>
      </w:r>
      <w:r>
        <w:rPr>
          <w:i/>
        </w:rPr>
        <w:t>you</w:t>
      </w:r>
      <w:r>
        <w:t xml:space="preserve"> agree to a 36 month </w:t>
      </w:r>
      <w:r>
        <w:rPr>
          <w:i/>
        </w:rPr>
        <w:t>minimum term</w:t>
      </w:r>
      <w:r>
        <w:t xml:space="preserve"> the price of </w:t>
      </w:r>
      <w:r>
        <w:rPr>
          <w:i/>
        </w:rPr>
        <w:t>mobile phones</w:t>
      </w:r>
      <w:r>
        <w:t xml:space="preserve"> available is less than if </w:t>
      </w:r>
      <w:r>
        <w:rPr>
          <w:i/>
        </w:rPr>
        <w:t>you</w:t>
      </w:r>
      <w:r>
        <w:t xml:space="preserve"> only agree to a </w:t>
      </w:r>
      <w:r>
        <w:rPr>
          <w:i/>
        </w:rPr>
        <w:t>non-fixed length agreement</w:t>
      </w:r>
      <w:r>
        <w:t xml:space="preserve">. If </w:t>
      </w:r>
      <w:r>
        <w:rPr>
          <w:i/>
        </w:rPr>
        <w:t>you</w:t>
      </w:r>
      <w:r>
        <w:t xml:space="preserve"> agree to a 24 month </w:t>
      </w:r>
      <w:r>
        <w:rPr>
          <w:i/>
        </w:rPr>
        <w:t>minimum term</w:t>
      </w:r>
      <w:r>
        <w:t xml:space="preserve"> the price of </w:t>
      </w:r>
      <w:r>
        <w:rPr>
          <w:i/>
        </w:rPr>
        <w:t>mobile phones</w:t>
      </w:r>
      <w:r>
        <w:t xml:space="preserve"> available is less than if </w:t>
      </w:r>
      <w:r>
        <w:rPr>
          <w:i/>
        </w:rPr>
        <w:t>you</w:t>
      </w:r>
      <w:r>
        <w:t xml:space="preserve"> only agree to a </w:t>
      </w:r>
      <w:r>
        <w:rPr>
          <w:i/>
        </w:rPr>
        <w:t>non-fixed length agreement</w:t>
      </w:r>
      <w:r>
        <w:t xml:space="preserve">. If </w:t>
      </w:r>
      <w:r>
        <w:rPr>
          <w:i/>
        </w:rPr>
        <w:t>you</w:t>
      </w:r>
      <w:r>
        <w:t xml:space="preserve"> agree to a 12 month </w:t>
      </w:r>
      <w:r>
        <w:rPr>
          <w:i/>
        </w:rPr>
        <w:t>minimum term</w:t>
      </w:r>
      <w:r>
        <w:t xml:space="preserve"> the price of </w:t>
      </w:r>
      <w:r>
        <w:rPr>
          <w:i/>
        </w:rPr>
        <w:t>mobile phones</w:t>
      </w:r>
      <w:r>
        <w:t xml:space="preserve"> available is less than if </w:t>
      </w:r>
      <w:r>
        <w:rPr>
          <w:i/>
        </w:rPr>
        <w:t>you</w:t>
      </w:r>
      <w:r>
        <w:t xml:space="preserve"> only agree to a </w:t>
      </w:r>
      <w:r>
        <w:rPr>
          <w:i/>
        </w:rPr>
        <w:t>non-fixed</w:t>
      </w:r>
      <w:r>
        <w:t xml:space="preserve"> </w:t>
      </w:r>
      <w:r>
        <w:rPr>
          <w:i/>
        </w:rPr>
        <w:t>length agreement</w:t>
      </w:r>
      <w:r>
        <w:t>.</w:t>
      </w:r>
    </w:p>
    <w:p w14:paraId="79673FFA" w14:textId="77777777" w:rsidR="000D07EA" w:rsidRDefault="00BE7C89">
      <w:pPr>
        <w:pStyle w:val="Heading6"/>
        <w:ind w:left="0" w:firstLine="0"/>
      </w:pPr>
      <w:bookmarkStart w:id="297" w:name="_Toc229194059"/>
      <w:bookmarkStart w:id="298" w:name="_Toc397941076"/>
      <w:r>
        <w:t xml:space="preserve">What </w:t>
      </w:r>
      <w:r>
        <w:rPr>
          <w:i/>
        </w:rPr>
        <w:t>you</w:t>
      </w:r>
      <w:r>
        <w:t xml:space="preserve"> have to pay </w:t>
      </w:r>
      <w:r>
        <w:rPr>
          <w:i/>
        </w:rPr>
        <w:t>us</w:t>
      </w:r>
      <w:bookmarkEnd w:id="297"/>
      <w:bookmarkEnd w:id="298"/>
    </w:p>
    <w:p w14:paraId="090E4EB6" w14:textId="77777777" w:rsidR="000D07EA" w:rsidRDefault="00BE7C89">
      <w:pPr>
        <w:pStyle w:val="Heading7"/>
      </w:pPr>
      <w:r>
        <w:t xml:space="preserve">Subject to paragraphs </w:t>
      </w:r>
      <w:r>
        <w:fldChar w:fldCharType="begin"/>
      </w:r>
      <w:r>
        <w:instrText xml:space="preserve"> REF _Ref461548431 \n \h </w:instrText>
      </w:r>
      <w:r>
        <w:fldChar w:fldCharType="separate"/>
      </w:r>
      <w:r w:rsidR="0004083A">
        <w:t>(c)</w:t>
      </w:r>
      <w:r>
        <w:fldChar w:fldCharType="end"/>
      </w:r>
      <w:r>
        <w:t xml:space="preserve">, </w:t>
      </w:r>
      <w:r>
        <w:fldChar w:fldCharType="begin"/>
      </w:r>
      <w:r>
        <w:instrText xml:space="preserve"> REF _Ref461548434 \n \h </w:instrText>
      </w:r>
      <w:r>
        <w:fldChar w:fldCharType="separate"/>
      </w:r>
      <w:r w:rsidR="0004083A">
        <w:t>(d)</w:t>
      </w:r>
      <w:r>
        <w:fldChar w:fldCharType="end"/>
      </w:r>
      <w:r>
        <w:t xml:space="preserve"> and </w:t>
      </w:r>
      <w:r>
        <w:fldChar w:fldCharType="begin"/>
      </w:r>
      <w:r>
        <w:instrText xml:space="preserve"> REF _Ref461548437 \n \h </w:instrText>
      </w:r>
      <w:r>
        <w:fldChar w:fldCharType="separate"/>
      </w:r>
      <w:r w:rsidR="0004083A">
        <w:t>(e)</w:t>
      </w:r>
      <w:r>
        <w:fldChar w:fldCharType="end"/>
      </w:r>
      <w:r>
        <w:t xml:space="preserve"> below, </w:t>
      </w:r>
      <w:r>
        <w:rPr>
          <w:i/>
        </w:rPr>
        <w:t xml:space="preserve">you </w:t>
      </w:r>
      <w:r>
        <w:t xml:space="preserve">must pay </w:t>
      </w:r>
      <w:r>
        <w:rPr>
          <w:i/>
        </w:rPr>
        <w:t xml:space="preserve">us </w:t>
      </w:r>
      <w:r>
        <w:t xml:space="preserve">for use of the </w:t>
      </w:r>
      <w:r>
        <w:rPr>
          <w:i/>
        </w:rPr>
        <w:t xml:space="preserve">service </w:t>
      </w:r>
      <w:r>
        <w:t xml:space="preserve">at the rates set out in </w:t>
      </w:r>
      <w:hyperlink r:id="rId160" w:history="1">
        <w:r>
          <w:rPr>
            <w:rStyle w:val="Hyperlink"/>
          </w:rPr>
          <w:t>Section 1</w:t>
        </w:r>
      </w:hyperlink>
      <w:r>
        <w:t xml:space="preserve"> of this </w:t>
      </w:r>
      <w:r>
        <w:rPr>
          <w:i/>
        </w:rPr>
        <w:t xml:space="preserve">standard pricing table </w:t>
      </w:r>
      <w:r>
        <w:t xml:space="preserve">and for </w:t>
      </w:r>
      <w:r>
        <w:rPr>
          <w:i/>
        </w:rPr>
        <w:t xml:space="preserve">value added service features </w:t>
      </w:r>
      <w:r>
        <w:t xml:space="preserve">at the rates set out in </w:t>
      </w:r>
      <w:hyperlink r:id="rId161" w:history="1">
        <w:r>
          <w:rPr>
            <w:rStyle w:val="Hyperlink"/>
          </w:rPr>
          <w:t>Appendix Y</w:t>
        </w:r>
      </w:hyperlink>
      <w:r>
        <w:t xml:space="preserve"> Value Added Service Features</w:t>
      </w:r>
      <w:r>
        <w:rPr>
          <w:i/>
        </w:rPr>
        <w:t>.</w:t>
      </w:r>
    </w:p>
    <w:p w14:paraId="04EE5D62" w14:textId="77777777" w:rsidR="000D07EA" w:rsidRDefault="00BE7C89">
      <w:pPr>
        <w:pStyle w:val="Heading7"/>
        <w:rPr>
          <w:b/>
        </w:rPr>
      </w:pPr>
      <w:r>
        <w:t xml:space="preserve">If there is a </w:t>
      </w:r>
      <w:r>
        <w:rPr>
          <w:i/>
        </w:rPr>
        <w:t xml:space="preserve">flagfall </w:t>
      </w:r>
      <w:r>
        <w:t xml:space="preserve">or call connection charge for a particular call type, the charge for these calls is the </w:t>
      </w:r>
      <w:r>
        <w:rPr>
          <w:i/>
        </w:rPr>
        <w:t xml:space="preserve">flagfall </w:t>
      </w:r>
      <w:r>
        <w:t xml:space="preserve">charge plus the relevant rate for the call multiplied by the duration of the call. The </w:t>
      </w:r>
      <w:r>
        <w:rPr>
          <w:i/>
        </w:rPr>
        <w:t xml:space="preserve">flagfall </w:t>
      </w:r>
      <w:r>
        <w:t>is not applicable to calls made under the "SmartFleet" or "Business Time" call rates.</w:t>
      </w:r>
    </w:p>
    <w:p w14:paraId="47813418" w14:textId="77777777" w:rsidR="000D07EA" w:rsidRDefault="00BE7C89">
      <w:pPr>
        <w:pStyle w:val="Heading7"/>
        <w:rPr>
          <w:b/>
        </w:rPr>
      </w:pPr>
      <w:bookmarkStart w:id="299" w:name="_Ref461548431"/>
      <w:r>
        <w:rPr>
          <w:b/>
        </w:rPr>
        <w:t>The Cap</w:t>
      </w:r>
      <w:bookmarkEnd w:id="299"/>
    </w:p>
    <w:p w14:paraId="42B85F1A" w14:textId="77777777" w:rsidR="000D07EA" w:rsidRDefault="00BE7C89">
      <w:pPr>
        <w:pStyle w:val="Heading8"/>
      </w:pPr>
      <w:r>
        <w:t xml:space="preserve">Under the 'yes' Business Cap iPhone Plans, a cap applies when the value of </w:t>
      </w:r>
      <w:r>
        <w:rPr>
          <w:b/>
        </w:rPr>
        <w:t xml:space="preserve">eligible calls and text </w:t>
      </w:r>
      <w:r>
        <w:rPr>
          <w:i/>
        </w:rPr>
        <w:t xml:space="preserve">you </w:t>
      </w:r>
      <w:r>
        <w:t xml:space="preserve">make in a month reaches </w:t>
      </w:r>
      <w:r>
        <w:rPr>
          <w:i/>
        </w:rPr>
        <w:t xml:space="preserve">your pricing plan's </w:t>
      </w:r>
      <w:r>
        <w:rPr>
          <w:b/>
        </w:rPr>
        <w:t xml:space="preserve">cap start. </w:t>
      </w:r>
      <w:r>
        <w:t xml:space="preserve">Once </w:t>
      </w:r>
      <w:r>
        <w:rPr>
          <w:i/>
        </w:rPr>
        <w:t xml:space="preserve">your </w:t>
      </w:r>
      <w:r>
        <w:t xml:space="preserve">eligible calls and text spend reaches the cap start, additional eligible calls and text made in that month are free until the value of </w:t>
      </w:r>
      <w:r>
        <w:rPr>
          <w:i/>
        </w:rPr>
        <w:t xml:space="preserve">your </w:t>
      </w:r>
      <w:r>
        <w:t xml:space="preserve">eligible calls and text reach </w:t>
      </w:r>
      <w:r>
        <w:rPr>
          <w:i/>
        </w:rPr>
        <w:t xml:space="preserve">your pricing plan's </w:t>
      </w:r>
      <w:r>
        <w:rPr>
          <w:b/>
        </w:rPr>
        <w:t>Total Cap Value</w:t>
      </w:r>
      <w:r>
        <w:t>.</w:t>
      </w:r>
    </w:p>
    <w:p w14:paraId="36252EE1" w14:textId="77777777" w:rsidR="000D07EA" w:rsidRDefault="00BE7C89">
      <w:pPr>
        <w:pStyle w:val="Heading8"/>
      </w:pPr>
      <w:r>
        <w:t>The '</w:t>
      </w:r>
      <w:r>
        <w:rPr>
          <w:b/>
        </w:rPr>
        <w:t xml:space="preserve">cap start' </w:t>
      </w:r>
      <w:r>
        <w:t>and '</w:t>
      </w:r>
      <w:r>
        <w:rPr>
          <w:b/>
        </w:rPr>
        <w:t xml:space="preserve">Total Cap Value' </w:t>
      </w:r>
      <w:r>
        <w:t>for each 'yes' Business Cap iPhone Plan are set out in Table 2A below.</w:t>
      </w:r>
    </w:p>
    <w:p w14:paraId="4B843DB0" w14:textId="77777777" w:rsidR="000D07EA" w:rsidRDefault="00BE7C89">
      <w:pPr>
        <w:pStyle w:val="Heading8"/>
      </w:pPr>
      <w:r>
        <w:t xml:space="preserve">The call types that are </w:t>
      </w:r>
      <w:r>
        <w:rPr>
          <w:b/>
        </w:rPr>
        <w:t>'eligible calls and text'</w:t>
      </w:r>
      <w:r>
        <w:t xml:space="preserve"> for each 'yes' Business Cap iPhone Plan are defined in Table 1A below.</w:t>
      </w:r>
    </w:p>
    <w:p w14:paraId="2B3F5B83" w14:textId="77777777" w:rsidR="000D07EA" w:rsidRDefault="00BE7C89">
      <w:pPr>
        <w:pStyle w:val="Heading8"/>
      </w:pPr>
      <w:r>
        <w:rPr>
          <w:i/>
        </w:rPr>
        <w:t xml:space="preserve">You </w:t>
      </w:r>
      <w:r>
        <w:t>must pay for any calls that are not eligible calls and text.</w:t>
      </w:r>
    </w:p>
    <w:p w14:paraId="38A66A83" w14:textId="77777777" w:rsidR="000D07EA" w:rsidRDefault="00BE7C89">
      <w:pPr>
        <w:pStyle w:val="Heading8"/>
      </w:pPr>
      <w:r>
        <w:rPr>
          <w:i/>
        </w:rPr>
        <w:t xml:space="preserve">You </w:t>
      </w:r>
      <w:r>
        <w:t xml:space="preserve">must pay </w:t>
      </w:r>
      <w:r>
        <w:rPr>
          <w:i/>
        </w:rPr>
        <w:t xml:space="preserve">us </w:t>
      </w:r>
      <w:r>
        <w:t xml:space="preserve">call charges for eligible calls and text made beyond the Total Cap Value of </w:t>
      </w:r>
      <w:r>
        <w:rPr>
          <w:i/>
        </w:rPr>
        <w:t xml:space="preserve">your </w:t>
      </w:r>
      <w:r>
        <w:t>'yes' Business Cap iPhone Plan.</w:t>
      </w:r>
    </w:p>
    <w:p w14:paraId="6350E6B9" w14:textId="77777777" w:rsidR="000D07EA" w:rsidRDefault="00BE7C89">
      <w:pPr>
        <w:pStyle w:val="Heading8"/>
      </w:pPr>
      <w:r>
        <w:rPr>
          <w:snapToGrid w:val="0"/>
        </w:rPr>
        <w:t>Any unused portion of the cap expires at the end of each month. This means that it does not roll over into following month.</w:t>
      </w:r>
    </w:p>
    <w:p w14:paraId="31B03DD2" w14:textId="77777777" w:rsidR="000D07EA" w:rsidRDefault="00BE7C89">
      <w:pPr>
        <w:pStyle w:val="Heading7"/>
        <w:rPr>
          <w:b/>
        </w:rPr>
      </w:pPr>
      <w:bookmarkStart w:id="300" w:name="_Ref461548434"/>
      <w:r>
        <w:rPr>
          <w:b/>
        </w:rPr>
        <w:t>Optus2AnyOne Value</w:t>
      </w:r>
      <w:bookmarkEnd w:id="300"/>
    </w:p>
    <w:p w14:paraId="5140695F" w14:textId="77777777" w:rsidR="000D07EA" w:rsidRDefault="00BE7C89">
      <w:pPr>
        <w:pStyle w:val="Heading8"/>
      </w:pPr>
      <w:r>
        <w:t>Under the 'yes' Business Cap iPhone Plans, as part of the Total Cap Value, customers receive "Optus2AnyOne Value" and "Optus2Optus Value".</w:t>
      </w:r>
    </w:p>
    <w:p w14:paraId="2F173150" w14:textId="77777777" w:rsidR="000D07EA" w:rsidRDefault="00BE7C89">
      <w:pPr>
        <w:pStyle w:val="Heading8"/>
      </w:pPr>
      <w:r>
        <w:t xml:space="preserve">Customers must utilise the "Optus2AnyOne Value" before being able to access the "Optus2Optus Value". </w:t>
      </w:r>
    </w:p>
    <w:p w14:paraId="27CB8EB3" w14:textId="77777777" w:rsidR="000D07EA" w:rsidRDefault="00BE7C89">
      <w:pPr>
        <w:pStyle w:val="Heading8"/>
      </w:pPr>
      <w:r>
        <w:lastRenderedPageBreak/>
        <w:t>The amount of the "Optus2AnyOne Value" included for each 'yes' Business Cap iPhone Plan is set out in Table 2A below.</w:t>
      </w:r>
    </w:p>
    <w:p w14:paraId="472E2B30" w14:textId="77777777" w:rsidR="000D07EA" w:rsidRDefault="00BE7C89">
      <w:pPr>
        <w:pStyle w:val="Heading8"/>
      </w:pPr>
      <w:r>
        <w:t xml:space="preserve">The call types that are </w:t>
      </w:r>
      <w:r>
        <w:rPr>
          <w:b/>
        </w:rPr>
        <w:t>'eligible calls and text'</w:t>
      </w:r>
      <w:r>
        <w:t xml:space="preserve"> for each 'yes' Business Cap iPhone Plan under the "Optus2AnyOne Value" are defined in Table 1A below.</w:t>
      </w:r>
    </w:p>
    <w:p w14:paraId="513BB930" w14:textId="77777777" w:rsidR="000D07EA" w:rsidRDefault="00BE7C89">
      <w:pPr>
        <w:pStyle w:val="Heading8"/>
      </w:pPr>
      <w:r>
        <w:rPr>
          <w:i/>
        </w:rPr>
        <w:t xml:space="preserve">You </w:t>
      </w:r>
      <w:r>
        <w:t xml:space="preserve">must pay </w:t>
      </w:r>
      <w:r>
        <w:rPr>
          <w:i/>
        </w:rPr>
        <w:t xml:space="preserve">us </w:t>
      </w:r>
      <w:r>
        <w:t>call charges for eligible calls and text made beyond the available "Optus2AnyOne Value".</w:t>
      </w:r>
    </w:p>
    <w:p w14:paraId="7B3C3DBA" w14:textId="77777777" w:rsidR="000D07EA" w:rsidRDefault="00BE7C89">
      <w:pPr>
        <w:pStyle w:val="Heading8"/>
      </w:pPr>
      <w:r>
        <w:rPr>
          <w:snapToGrid w:val="0"/>
        </w:rPr>
        <w:t>Any unused portion of the "Optus2AnyOne Value" expires at the end of each month. This means that it does not roll over into the following month.</w:t>
      </w:r>
    </w:p>
    <w:p w14:paraId="5118F9DC" w14:textId="77777777" w:rsidR="000D07EA" w:rsidRDefault="00BE7C89">
      <w:pPr>
        <w:pStyle w:val="Heading7"/>
        <w:rPr>
          <w:b/>
        </w:rPr>
      </w:pPr>
      <w:bookmarkStart w:id="301" w:name="_Ref461548437"/>
      <w:r>
        <w:rPr>
          <w:b/>
        </w:rPr>
        <w:t>Optus2Optus Value</w:t>
      </w:r>
      <w:bookmarkEnd w:id="301"/>
    </w:p>
    <w:p w14:paraId="46365F56" w14:textId="77777777" w:rsidR="000D07EA" w:rsidRDefault="00BE7C89">
      <w:pPr>
        <w:pStyle w:val="Heading8"/>
      </w:pPr>
      <w:r>
        <w:t>Under the 'yes' Business Cap iPhone Plans, as part of the Total Cap Value, customers receive "Optus2AnyOne Value" and "Optus2Optus Value".</w:t>
      </w:r>
    </w:p>
    <w:p w14:paraId="2EF44E18" w14:textId="77777777" w:rsidR="000D07EA" w:rsidRDefault="00BE7C89">
      <w:pPr>
        <w:pStyle w:val="Heading8"/>
      </w:pPr>
      <w:r>
        <w:t>Customers must utilise the "Optus2AnyOne Value" before being able to access the "Optus2Optus Value".</w:t>
      </w:r>
    </w:p>
    <w:p w14:paraId="6D64BF1D" w14:textId="77777777" w:rsidR="000D07EA" w:rsidRDefault="00BE7C89">
      <w:pPr>
        <w:pStyle w:val="Heading8"/>
      </w:pPr>
      <w:r>
        <w:t>"Optus2Optus Value" may be used for standard national calls and text to other Optus GSM Mobile Customers and to "Selected Optus Fixed Lines".</w:t>
      </w:r>
    </w:p>
    <w:p w14:paraId="4D04B7EA" w14:textId="77777777" w:rsidR="000D07EA" w:rsidRDefault="00BE7C89">
      <w:pPr>
        <w:pStyle w:val="Heading8"/>
      </w:pPr>
      <w:r>
        <w:t>The amount of the "Optus2Optus Value" included for each 'yes' Business Cap iPhone Plan is set out in Table 2A below.</w:t>
      </w:r>
    </w:p>
    <w:p w14:paraId="491079ED" w14:textId="77777777" w:rsidR="000D07EA" w:rsidRDefault="00BE7C89">
      <w:pPr>
        <w:pStyle w:val="Heading8"/>
      </w:pPr>
      <w:r>
        <w:t>The call and text types that are included in the "Optus2Optus Value" for each 'yes' Business Cap iPhone Plan are defined in Table 1B below.</w:t>
      </w:r>
    </w:p>
    <w:p w14:paraId="182264D9" w14:textId="77777777" w:rsidR="000D07EA" w:rsidRDefault="00BE7C89">
      <w:pPr>
        <w:pStyle w:val="Heading8"/>
      </w:pPr>
      <w:r>
        <w:t>"Selected Optus Fixed Lines" include Fixed Line Phones on the Optus Local Access Direct or Local Access Telephony networks. It excludes calls to Optus Local Access Resale (LAR) customers.</w:t>
      </w:r>
    </w:p>
    <w:p w14:paraId="7A8393F2" w14:textId="77777777" w:rsidR="000D07EA" w:rsidRDefault="00BE7C89">
      <w:pPr>
        <w:pStyle w:val="Heading8"/>
      </w:pPr>
      <w:r>
        <w:rPr>
          <w:i/>
        </w:rPr>
        <w:t xml:space="preserve">You </w:t>
      </w:r>
      <w:r>
        <w:t xml:space="preserve">must pay </w:t>
      </w:r>
      <w:r>
        <w:rPr>
          <w:i/>
        </w:rPr>
        <w:t xml:space="preserve">us </w:t>
      </w:r>
      <w:r>
        <w:t>call charges for eligible calls and text made beyond the available "Optus2Optus Value".</w:t>
      </w:r>
    </w:p>
    <w:p w14:paraId="24CFB72F" w14:textId="77777777" w:rsidR="000D07EA" w:rsidRDefault="00BE7C89">
      <w:pPr>
        <w:pStyle w:val="Heading8"/>
      </w:pPr>
      <w:r>
        <w:rPr>
          <w:snapToGrid w:val="0"/>
        </w:rPr>
        <w:t>Any unused portion of the "Optus2Optus Value" expires at the end of each month. This means that it does not roll over into the following month.</w:t>
      </w:r>
    </w:p>
    <w:p w14:paraId="4FB33AC0" w14:textId="77777777" w:rsidR="000D07EA" w:rsidRDefault="00BE7C89">
      <w:pPr>
        <w:pStyle w:val="Heading7"/>
        <w:rPr>
          <w:b/>
        </w:rPr>
      </w:pPr>
      <w:r>
        <w:rPr>
          <w:b/>
        </w:rPr>
        <w:t>Minimum Monthly Charge and Included Calls and Text</w:t>
      </w:r>
    </w:p>
    <w:p w14:paraId="29E1A5D4" w14:textId="77777777" w:rsidR="000D07EA" w:rsidRDefault="00BE7C89">
      <w:pPr>
        <w:pStyle w:val="Heading8"/>
      </w:pPr>
      <w:r>
        <w:t xml:space="preserve">Each 'yes' Business Cap iPhone Plan has a Minimum Monthly Charge amount that </w:t>
      </w:r>
      <w:r>
        <w:rPr>
          <w:i/>
        </w:rPr>
        <w:t xml:space="preserve">you </w:t>
      </w:r>
      <w:r>
        <w:t xml:space="preserve">must pay </w:t>
      </w:r>
      <w:r>
        <w:rPr>
          <w:i/>
        </w:rPr>
        <w:t>us</w:t>
      </w:r>
      <w:r>
        <w:t xml:space="preserve"> each month.</w:t>
      </w:r>
    </w:p>
    <w:p w14:paraId="50A373D5" w14:textId="77777777" w:rsidR="000D07EA" w:rsidRDefault="00BE7C89">
      <w:pPr>
        <w:pStyle w:val="Heading8"/>
      </w:pPr>
      <w:r>
        <w:t xml:space="preserve">If </w:t>
      </w:r>
      <w:r>
        <w:rPr>
          <w:i/>
        </w:rPr>
        <w:t xml:space="preserve">you </w:t>
      </w:r>
      <w:r>
        <w:t xml:space="preserve">do not make enough eligible calls and text in a month to reach </w:t>
      </w:r>
      <w:r>
        <w:rPr>
          <w:i/>
        </w:rPr>
        <w:t xml:space="preserve">your pricing plan's </w:t>
      </w:r>
      <w:r>
        <w:t xml:space="preserve">cap start (or Minimum Monthly Charge) </w:t>
      </w:r>
      <w:r>
        <w:rPr>
          <w:i/>
        </w:rPr>
        <w:t xml:space="preserve">you </w:t>
      </w:r>
      <w:r>
        <w:t xml:space="preserve">must still pay </w:t>
      </w:r>
      <w:r>
        <w:rPr>
          <w:i/>
        </w:rPr>
        <w:t>us your pricing plan's</w:t>
      </w:r>
      <w:r>
        <w:t xml:space="preserve"> Minimum Monthly Charge for that month.</w:t>
      </w:r>
    </w:p>
    <w:p w14:paraId="299F869A" w14:textId="77777777" w:rsidR="000D07EA" w:rsidRDefault="00BE7C89">
      <w:pPr>
        <w:pStyle w:val="Heading8"/>
      </w:pPr>
      <w:r>
        <w:t>The amount of the Minimum Monthly Charge and included calls for each 'yes' Business Cap iPhone Plan is set out in Table 2A below.</w:t>
      </w:r>
    </w:p>
    <w:p w14:paraId="67FB7BB7" w14:textId="77777777" w:rsidR="000D07EA" w:rsidRDefault="00BE7C89">
      <w:pPr>
        <w:pStyle w:val="Heading8"/>
      </w:pPr>
      <w:r>
        <w:rPr>
          <w:i/>
        </w:rPr>
        <w:t xml:space="preserve">You </w:t>
      </w:r>
      <w:r>
        <w:t>must pay for any calls that are not eligible calls.</w:t>
      </w:r>
    </w:p>
    <w:p w14:paraId="35C5F70B" w14:textId="77777777" w:rsidR="000D07EA" w:rsidRDefault="00BE7C89">
      <w:pPr>
        <w:pStyle w:val="Heading7"/>
        <w:rPr>
          <w:b/>
        </w:rPr>
      </w:pPr>
      <w:r>
        <w:rPr>
          <w:b/>
        </w:rPr>
        <w:t>Other 'yes' Business Cap iPhone Plan Conditions and Offers</w:t>
      </w:r>
    </w:p>
    <w:p w14:paraId="06A3397D" w14:textId="77777777" w:rsidR="000D07EA" w:rsidRDefault="00BE7C89">
      <w:pPr>
        <w:pStyle w:val="Heading8"/>
      </w:pPr>
      <w:r>
        <w:t>The Fair Go Policy (</w:t>
      </w:r>
      <w:hyperlink r:id="rId162" w:history="1">
        <w:r>
          <w:rPr>
            <w:rStyle w:val="Hyperlink"/>
            <w:i/>
          </w:rPr>
          <w:t>Appendix S</w:t>
        </w:r>
      </w:hyperlink>
      <w:r>
        <w:t xml:space="preserve">) applies to: PTT Usage and currently allows up to 150 minutes per month, Voice Over Internet Protocol (VOIP) services up to 10 megabytes per month. Please refer to </w:t>
      </w:r>
      <w:hyperlink r:id="rId163" w:history="1">
        <w:r w:rsidR="00240FE1">
          <w:rPr>
            <w:rStyle w:val="Hyperlink"/>
            <w:i/>
          </w:rPr>
          <w:t>Appendix S</w:t>
        </w:r>
      </w:hyperlink>
      <w:r w:rsidRPr="00240FE1">
        <w:t>.</w:t>
      </w:r>
    </w:p>
    <w:p w14:paraId="3EE137BE" w14:textId="77777777" w:rsidR="000D07EA" w:rsidRDefault="00BE7C89">
      <w:pPr>
        <w:pStyle w:val="Heading8"/>
      </w:pPr>
      <w:r>
        <w:t xml:space="preserve">Voice Over Internet Protocol (VOIP) services (other than PTT) will be charged at 1.5c per kilobyte of usage, capped at $9.90 per month until </w:t>
      </w:r>
      <w:r>
        <w:rPr>
          <w:i/>
        </w:rPr>
        <w:t>you</w:t>
      </w:r>
      <w:r>
        <w:t xml:space="preserve"> reach 5 megabytes of usage in that month, after which </w:t>
      </w:r>
      <w:r>
        <w:rPr>
          <w:i/>
        </w:rPr>
        <w:t>you</w:t>
      </w:r>
      <w:r>
        <w:t xml:space="preserve"> will be charged at 0.3c per kilobyte of usage for the remainder of that month.</w:t>
      </w:r>
    </w:p>
    <w:p w14:paraId="61244ADD" w14:textId="77777777" w:rsidR="000D07EA" w:rsidRDefault="00BE7C89">
      <w:pPr>
        <w:pStyle w:val="Heading8"/>
      </w:pPr>
      <w:r>
        <w:lastRenderedPageBreak/>
        <w:t>Use of the Unlimited SMS and MMS offer is only applicable for standard SMS and MMS sent and received within Australia. Offer excludes International SMS and MMS, Premium SMS and MMS, Group and Email SMS and MMS and Instant Messaging (IM). The unlimited SMS and MMS offer only applies to standard personal/business SMS and MMS. Fair Go Policy (</w:t>
      </w:r>
      <w:hyperlink r:id="rId164" w:history="1">
        <w:r>
          <w:rPr>
            <w:rStyle w:val="Hyperlink"/>
            <w:i/>
          </w:rPr>
          <w:t>Appendix S</w:t>
        </w:r>
      </w:hyperlink>
      <w:r>
        <w:t>) applies.</w:t>
      </w:r>
    </w:p>
    <w:p w14:paraId="4858EE21" w14:textId="77777777" w:rsidR="000D07EA" w:rsidRDefault="00BE7C89">
      <w:pPr>
        <w:pStyle w:val="Heading7"/>
        <w:keepNext/>
        <w:rPr>
          <w:b/>
        </w:rPr>
      </w:pPr>
      <w:r>
        <w:rPr>
          <w:b/>
        </w:rPr>
        <w:t>Additional inclusions and options</w:t>
      </w:r>
    </w:p>
    <w:p w14:paraId="16B44CC5" w14:textId="77777777" w:rsidR="000D07EA" w:rsidRDefault="00BE7C89">
      <w:pPr>
        <w:pStyle w:val="Heading8"/>
        <w:keepNext/>
      </w:pPr>
      <w:r>
        <w:t xml:space="preserve">Upon connection to the 'yes' Business Cap iPhone plans </w:t>
      </w:r>
      <w:r>
        <w:rPr>
          <w:i/>
        </w:rPr>
        <w:t>you</w:t>
      </w:r>
      <w:r>
        <w:t xml:space="preserve"> will receive </w:t>
      </w:r>
      <w:r>
        <w:rPr>
          <w:b/>
        </w:rPr>
        <w:t>Unlimited Voicemail</w:t>
      </w:r>
      <w:r>
        <w:t xml:space="preserve"> and will be able to choose 1 of the following 2 calling options: </w:t>
      </w:r>
      <w:r>
        <w:rPr>
          <w:b/>
        </w:rPr>
        <w:t>BusinessTime</w:t>
      </w:r>
      <w:r>
        <w:t xml:space="preserve"> or </w:t>
      </w:r>
      <w:r>
        <w:rPr>
          <w:b/>
        </w:rPr>
        <w:t>SmartFleet.</w:t>
      </w:r>
    </w:p>
    <w:p w14:paraId="1DF1E0CF" w14:textId="77777777" w:rsidR="000D07EA" w:rsidRDefault="00BE7C89">
      <w:pPr>
        <w:pStyle w:val="Heading8"/>
      </w:pPr>
      <w:r>
        <w:rPr>
          <w:b/>
        </w:rPr>
        <w:t xml:space="preserve">Unlimited Voicemail: </w:t>
      </w:r>
      <w:r>
        <w:t>Applies to Voicemail Deposits and Retrievals. Diversion charges still apply. Subject to Fair Go Policy (</w:t>
      </w:r>
      <w:hyperlink r:id="rId165" w:history="1">
        <w:r>
          <w:rPr>
            <w:rStyle w:val="Hyperlink"/>
            <w:i/>
          </w:rPr>
          <w:t>Appendix S</w:t>
        </w:r>
      </w:hyperlink>
      <w:r>
        <w:t>).</w:t>
      </w:r>
    </w:p>
    <w:p w14:paraId="634A245D" w14:textId="77777777" w:rsidR="000D07EA" w:rsidRDefault="00BE7C89">
      <w:pPr>
        <w:pStyle w:val="Heading8"/>
      </w:pPr>
      <w:r>
        <w:rPr>
          <w:b/>
        </w:rPr>
        <w:t>BusinessTime</w:t>
      </w:r>
      <w:r>
        <w:t xml:space="preserve">: 1. Upon request, </w:t>
      </w:r>
      <w:r>
        <w:rPr>
          <w:i/>
        </w:rPr>
        <w:t>you</w:t>
      </w:r>
      <w:r>
        <w:t xml:space="preserve"> may choose to set up a BusinessTime (BT) service. 2. Only 3 BT numbers per 'yes' Business Cap iPhone service can be nominated unless </w:t>
      </w:r>
      <w:r>
        <w:rPr>
          <w:i/>
        </w:rPr>
        <w:t>you</w:t>
      </w:r>
      <w:r>
        <w:t xml:space="preserve"> combine </w:t>
      </w:r>
      <w:r>
        <w:rPr>
          <w:i/>
        </w:rPr>
        <w:t>your</w:t>
      </w:r>
      <w:r>
        <w:t xml:space="preserve"> 'yes' Business Cap iPhone service with Optus Business Phone and/or DSL in which case </w:t>
      </w:r>
      <w:r>
        <w:rPr>
          <w:i/>
        </w:rPr>
        <w:t>you</w:t>
      </w:r>
      <w:r>
        <w:t xml:space="preserve"> can nominate 5 numbers. 3. The nominated numbers must be eligible Optus GSM mobile(s) and/or fixed line(s), as defined by Optus and cannot be a 13, 1300, 1800 or 19XX numbers. 4. Calls must be made and received within Australia. 5. After the first 5 minutes of each call, standard call rates apply. 6. </w:t>
      </w:r>
      <w:r>
        <w:rPr>
          <w:i/>
        </w:rPr>
        <w:t>You</w:t>
      </w:r>
      <w:r>
        <w:t xml:space="preserve"> may change </w:t>
      </w:r>
      <w:r>
        <w:rPr>
          <w:i/>
        </w:rPr>
        <w:t>your</w:t>
      </w:r>
      <w:r>
        <w:t xml:space="preserve"> nominated numbers no more than once per month. 7. Allow up to 48 hours for activation or changes to </w:t>
      </w:r>
      <w:r>
        <w:rPr>
          <w:i/>
        </w:rPr>
        <w:t>your</w:t>
      </w:r>
      <w:r>
        <w:t xml:space="preserve"> BT service. 8. Fair Go Policy (</w:t>
      </w:r>
      <w:hyperlink r:id="rId166" w:history="1">
        <w:r>
          <w:rPr>
            <w:rStyle w:val="Hyperlink"/>
            <w:i/>
          </w:rPr>
          <w:t>Appendix S</w:t>
        </w:r>
      </w:hyperlink>
      <w:r>
        <w:t>) applies for BusinessTime usage and currently allows up to 1,000 minutes per month.</w:t>
      </w:r>
    </w:p>
    <w:p w14:paraId="2E61E259" w14:textId="77777777" w:rsidR="000D07EA" w:rsidRDefault="00BE7C89">
      <w:pPr>
        <w:pStyle w:val="Heading8"/>
      </w:pPr>
      <w:r>
        <w:rPr>
          <w:b/>
        </w:rPr>
        <w:t>SmartFleet</w:t>
      </w:r>
      <w:r>
        <w:t xml:space="preserve">: If </w:t>
      </w:r>
      <w:r>
        <w:rPr>
          <w:i/>
        </w:rPr>
        <w:t>you</w:t>
      </w:r>
      <w:r>
        <w:t xml:space="preserve"> choose this option </w:t>
      </w:r>
      <w:r>
        <w:rPr>
          <w:i/>
        </w:rPr>
        <w:t>you</w:t>
      </w:r>
      <w:r>
        <w:t xml:space="preserve"> get free standard national calls, national standard SMS and MMS 24/7 to other mobiles on </w:t>
      </w:r>
      <w:r>
        <w:rPr>
          <w:i/>
        </w:rPr>
        <w:t xml:space="preserve">your </w:t>
      </w:r>
      <w:r>
        <w:t>Optus business account. 1. Applies to calls and Standard SMS and MMS made and received within Australia to another mobile number on the same customer account number, no flagfall applies. 2. Some exclusions apply, including calls to Optus Pre-Paid, Satellite, service provider customers, Video and International calls, Premium and Third Party SMS and MMS. 3. Fair Go Policy (</w:t>
      </w:r>
      <w:hyperlink r:id="rId167" w:history="1">
        <w:r>
          <w:rPr>
            <w:rStyle w:val="Hyperlink"/>
            <w:i/>
          </w:rPr>
          <w:t>Appendix S</w:t>
        </w:r>
      </w:hyperlink>
      <w:r>
        <w:t xml:space="preserve">) applies for SmartFleet usage and currently allows up to 1,000 minutes and 1,000 SMS or MMS per month. If no calling option is chosen then standard call rates will apply for all call types mentioned in these calling offers. </w:t>
      </w:r>
    </w:p>
    <w:p w14:paraId="7C352CA5" w14:textId="77777777" w:rsidR="000D07EA" w:rsidRDefault="00BE7C89">
      <w:pPr>
        <w:pStyle w:val="Heading7"/>
        <w:rPr>
          <w:b/>
        </w:rPr>
      </w:pPr>
      <w:r>
        <w:rPr>
          <w:b/>
        </w:rPr>
        <w:t>Unlimited SMS &amp; MMS Offer on the 'yes' Business $59 Cap iPhone Plan and 'yes' Business $79 Cap iPhone Plan</w:t>
      </w:r>
    </w:p>
    <w:p w14:paraId="1EFEBE9D" w14:textId="77777777" w:rsidR="000D07EA" w:rsidRDefault="00BE7C89">
      <w:pPr>
        <w:pStyle w:val="Heading8"/>
      </w:pPr>
      <w:r>
        <w:t xml:space="preserve">Under the 'yes' Business $59 Cap iPhone Plan and 'yes' Business $79 Cap iPhone Plan </w:t>
      </w:r>
      <w:r>
        <w:rPr>
          <w:i/>
        </w:rPr>
        <w:t xml:space="preserve">you </w:t>
      </w:r>
      <w:r>
        <w:t>may receive the Unlimited SMS &amp; MMS Offer and may send unlimited standard national SMS and MMS to GSM mobiles within Australia.</w:t>
      </w:r>
    </w:p>
    <w:p w14:paraId="2DE34C80" w14:textId="77777777" w:rsidR="000D07EA" w:rsidRDefault="00BE7C89">
      <w:pPr>
        <w:pStyle w:val="Heading8"/>
      </w:pPr>
      <w:r>
        <w:t xml:space="preserve">Unlimited SMS &amp; MMS offer excludes International SMS and MMS, Premium SMS and MMS, and Group and Email SMS and MMS. </w:t>
      </w:r>
    </w:p>
    <w:p w14:paraId="03FA9E93" w14:textId="77777777" w:rsidR="000D07EA" w:rsidRDefault="00BE7C89">
      <w:pPr>
        <w:pStyle w:val="Heading8"/>
      </w:pPr>
      <w:r>
        <w:rPr>
          <w:i/>
        </w:rPr>
        <w:t xml:space="preserve">You </w:t>
      </w:r>
      <w:r>
        <w:t>must pay for any messages that are not eligible messages.</w:t>
      </w:r>
    </w:p>
    <w:p w14:paraId="40A2193C" w14:textId="77777777" w:rsidR="000D07EA" w:rsidRDefault="00BE7C89">
      <w:pPr>
        <w:pStyle w:val="Heading8"/>
      </w:pPr>
      <w:r>
        <w:rPr>
          <w:snapToGrid w:val="0"/>
        </w:rPr>
        <w:t>Any unused portion of the plan expires at the end of each month. This means that it does not roll over into following month.</w:t>
      </w:r>
    </w:p>
    <w:p w14:paraId="25AEF69A" w14:textId="77777777" w:rsidR="000D07EA" w:rsidRDefault="00BE7C89">
      <w:pPr>
        <w:pStyle w:val="Heading8"/>
      </w:pPr>
      <w:r>
        <w:t>The unlimited SMS &amp; MMS offer only applies for personal or business use only. Fair Go Policy (</w:t>
      </w:r>
      <w:hyperlink r:id="rId168" w:history="1">
        <w:r>
          <w:rPr>
            <w:rStyle w:val="Hyperlink"/>
            <w:i/>
          </w:rPr>
          <w:t>Appendix S</w:t>
        </w:r>
      </w:hyperlink>
      <w:r>
        <w:t>) applies.</w:t>
      </w:r>
    </w:p>
    <w:p w14:paraId="443749B0" w14:textId="77777777" w:rsidR="000D07EA" w:rsidRDefault="00BE7C89">
      <w:pPr>
        <w:pStyle w:val="Heading7"/>
        <w:rPr>
          <w:b/>
        </w:rPr>
      </w:pPr>
      <w:r>
        <w:rPr>
          <w:b/>
        </w:rPr>
        <w:t>$10 monthly access fee credit on the 'yes' Business $79 Cap iPhone Plan with 36 month fixed term contract</w:t>
      </w:r>
    </w:p>
    <w:p w14:paraId="1812B351" w14:textId="77777777" w:rsidR="000D07EA" w:rsidRDefault="00BE7C89">
      <w:pPr>
        <w:pStyle w:val="Heading8"/>
      </w:pPr>
      <w:r>
        <w:t xml:space="preserve">Under the 'yes' Business $79 Cap iPhone Plan with a 36 month fixed term contract, every month during the term of your contract, </w:t>
      </w:r>
      <w:r>
        <w:rPr>
          <w:i/>
        </w:rPr>
        <w:t>you</w:t>
      </w:r>
      <w:r>
        <w:t xml:space="preserve"> will receive a $10 credit against your monthly access fee.</w:t>
      </w:r>
    </w:p>
    <w:p w14:paraId="2075DDC1" w14:textId="77777777" w:rsidR="000D07EA" w:rsidRDefault="00BE7C89">
      <w:pPr>
        <w:pStyle w:val="Heading8"/>
      </w:pPr>
      <w:r>
        <w:lastRenderedPageBreak/>
        <w:t xml:space="preserve">This offer is only available if </w:t>
      </w:r>
      <w:r>
        <w:rPr>
          <w:i/>
        </w:rPr>
        <w:t>you</w:t>
      </w:r>
      <w:r>
        <w:t xml:space="preserve"> connect to a 'yes' Business $79 Cap iPhone Plan with a 36 month fixed term contract from 6 December 2009.</w:t>
      </w:r>
    </w:p>
    <w:p w14:paraId="64C8F8D9" w14:textId="77777777" w:rsidR="000D07EA" w:rsidRDefault="00BE7C89">
      <w:pPr>
        <w:pStyle w:val="Heading8"/>
      </w:pPr>
      <w:r>
        <w:rPr>
          <w:i/>
        </w:rPr>
        <w:t>You</w:t>
      </w:r>
      <w:r>
        <w:t xml:space="preserve"> will receive the $10 monthly access fee credit against </w:t>
      </w:r>
      <w:r>
        <w:rPr>
          <w:i/>
        </w:rPr>
        <w:t>your</w:t>
      </w:r>
      <w:r>
        <w:t xml:space="preserve"> monthly access fee during the term of </w:t>
      </w:r>
      <w:r>
        <w:rPr>
          <w:i/>
        </w:rPr>
        <w:t>your</w:t>
      </w:r>
      <w:r>
        <w:t xml:space="preserve"> contract.</w:t>
      </w:r>
    </w:p>
    <w:p w14:paraId="0CFF7E78" w14:textId="77777777" w:rsidR="000D07EA" w:rsidRDefault="00BE7C89">
      <w:pPr>
        <w:pStyle w:val="Heading8"/>
      </w:pPr>
      <w:r>
        <w:t xml:space="preserve">At the end of the 36 month fixed term contract the $10 monthly access fee credit will expire. To continue to receive the $10 monthly access fee credit </w:t>
      </w:r>
      <w:r>
        <w:rPr>
          <w:i/>
        </w:rPr>
        <w:t>you</w:t>
      </w:r>
      <w:r>
        <w:t xml:space="preserve"> will be required to recontract for a further 36 months.</w:t>
      </w:r>
    </w:p>
    <w:p w14:paraId="40A368B5" w14:textId="77777777" w:rsidR="000D07EA" w:rsidRDefault="00BE7C89">
      <w:pPr>
        <w:pStyle w:val="Heading7"/>
        <w:rPr>
          <w:b/>
        </w:rPr>
      </w:pPr>
      <w:r>
        <w:rPr>
          <w:b/>
        </w:rPr>
        <w:t>Included Data</w:t>
      </w:r>
    </w:p>
    <w:p w14:paraId="57F4BA8C" w14:textId="77777777" w:rsidR="000D07EA" w:rsidRDefault="00BE7C89">
      <w:pPr>
        <w:pStyle w:val="Heading8"/>
      </w:pPr>
      <w:r>
        <w:rPr>
          <w:i/>
        </w:rPr>
        <w:t>Your</w:t>
      </w:r>
      <w:r>
        <w:t xml:space="preserve"> 'yes' Business Cap iPhone Plan also includes data to access services on Optus iZoo, as well as browsing the Internet from </w:t>
      </w:r>
      <w:r>
        <w:rPr>
          <w:i/>
        </w:rPr>
        <w:t>your</w:t>
      </w:r>
      <w:r>
        <w:t xml:space="preserve"> mobile. </w:t>
      </w:r>
    </w:p>
    <w:p w14:paraId="62A5820C" w14:textId="77777777" w:rsidR="000D07EA" w:rsidRDefault="00BE7C89">
      <w:pPr>
        <w:pStyle w:val="Heading8"/>
      </w:pPr>
      <w:r>
        <w:t xml:space="preserve">The data types included on </w:t>
      </w:r>
      <w:r>
        <w:rPr>
          <w:i/>
        </w:rPr>
        <w:t>your</w:t>
      </w:r>
      <w:r>
        <w:t xml:space="preserve"> 'yes' Business Cap iPhone Plan are defined in Table 1C below.</w:t>
      </w:r>
    </w:p>
    <w:p w14:paraId="027AE380" w14:textId="77777777" w:rsidR="000D07EA" w:rsidRDefault="00BE7C89">
      <w:pPr>
        <w:pStyle w:val="Heading8"/>
      </w:pPr>
      <w:r>
        <w:t>The amount of data included for each 'yes' Business Cap iPhone Plan is set out in Table 2A below.</w:t>
      </w:r>
    </w:p>
    <w:p w14:paraId="3F765082" w14:textId="77777777" w:rsidR="000D07EA" w:rsidRDefault="00BE7C89">
      <w:pPr>
        <w:pStyle w:val="Heading8"/>
      </w:pPr>
      <w:r>
        <w:t xml:space="preserve">Included data on </w:t>
      </w:r>
      <w:r>
        <w:rPr>
          <w:i/>
        </w:rPr>
        <w:t>your</w:t>
      </w:r>
      <w:r>
        <w:t xml:space="preserve"> 'yes' Business Cap iPhone plan does not include data use when the iPhone is used as a tethered modem, unless </w:t>
      </w:r>
      <w:r>
        <w:rPr>
          <w:i/>
        </w:rPr>
        <w:t>you</w:t>
      </w:r>
      <w:r>
        <w:t xml:space="preserve"> have selected Bus iPhone as Modem Access. </w:t>
      </w:r>
    </w:p>
    <w:p w14:paraId="38FB6F1C" w14:textId="77777777" w:rsidR="000D07EA" w:rsidRDefault="00BE7C89">
      <w:pPr>
        <w:pStyle w:val="Heading8"/>
      </w:pPr>
      <w:r>
        <w:t xml:space="preserve">If </w:t>
      </w:r>
      <w:r>
        <w:rPr>
          <w:i/>
        </w:rPr>
        <w:t>you</w:t>
      </w:r>
      <w:r>
        <w:t xml:space="preserve"> exceed </w:t>
      </w:r>
      <w:r>
        <w:rPr>
          <w:i/>
        </w:rPr>
        <w:t>your</w:t>
      </w:r>
      <w:r>
        <w:t xml:space="preserve"> plan's included monthly data allowance, excess usage charges will not be part of </w:t>
      </w:r>
      <w:r>
        <w:rPr>
          <w:i/>
        </w:rPr>
        <w:t>your</w:t>
      </w:r>
      <w:r>
        <w:t xml:space="preserve"> Optus2AnyOne value or </w:t>
      </w:r>
      <w:r>
        <w:rPr>
          <w:i/>
        </w:rPr>
        <w:t>your</w:t>
      </w:r>
      <w:r>
        <w:t xml:space="preserve"> Optus2Optus Value and will be charged at $0.35 per MB or part thereof. Any unused data allowance cannot be rolled over.</w:t>
      </w:r>
    </w:p>
    <w:p w14:paraId="20E25486" w14:textId="77777777" w:rsidR="000D07EA" w:rsidRDefault="00BE7C89">
      <w:pPr>
        <w:pStyle w:val="Heading7"/>
        <w:rPr>
          <w:b/>
        </w:rPr>
      </w:pPr>
      <w:r>
        <w:rPr>
          <w:b/>
        </w:rPr>
        <w:t>Additional benefit – Free Access to Optus WiFi Hotspots (Free Wi-Fi Benefit).</w:t>
      </w:r>
    </w:p>
    <w:p w14:paraId="25D159DF" w14:textId="77777777" w:rsidR="000D07EA" w:rsidRDefault="00BE7C89">
      <w:pPr>
        <w:pStyle w:val="Heading8"/>
      </w:pPr>
      <w:r>
        <w:t>Customers who connect their Apple iPhone to an Optus iPhone rate plan will receive free WiFi from any Optus WiFi hotspot.</w:t>
      </w:r>
    </w:p>
    <w:p w14:paraId="6B717489" w14:textId="77777777" w:rsidR="000D07EA" w:rsidRDefault="00BE7C89">
      <w:pPr>
        <w:pStyle w:val="Heading8"/>
      </w:pPr>
      <w:r>
        <w:t xml:space="preserve">The service provides </w:t>
      </w:r>
      <w:r>
        <w:rPr>
          <w:i/>
        </w:rPr>
        <w:t>you</w:t>
      </w:r>
      <w:r>
        <w:t xml:space="preserve"> with access, via a fixed wireless IP network extension to the Optus IP Network, to the Internet and related services, such as email and the world wide web on an on-demand basis.</w:t>
      </w:r>
    </w:p>
    <w:p w14:paraId="7A909245" w14:textId="77777777" w:rsidR="000D07EA" w:rsidRDefault="00BE7C89">
      <w:pPr>
        <w:pStyle w:val="Heading8"/>
      </w:pPr>
      <w:r>
        <w:t xml:space="preserve">Optus may immediately suspend, downgrade or cancel the Free Wi-Fi Benefit in a variety of circumstances, including but not limited to the following: </w:t>
      </w:r>
      <w:r>
        <w:rPr>
          <w:i/>
        </w:rPr>
        <w:t>you</w:t>
      </w:r>
      <w:r>
        <w:t xml:space="preserve"> misuse the Service; non- compliant Equipment is used; there is an unusually high use of the Service; </w:t>
      </w:r>
      <w:r>
        <w:rPr>
          <w:i/>
        </w:rPr>
        <w:t>you</w:t>
      </w:r>
      <w:r>
        <w:t xml:space="preserve"> fail to pay any charges to Optus; </w:t>
      </w:r>
      <w:r>
        <w:rPr>
          <w:i/>
        </w:rPr>
        <w:t>you</w:t>
      </w:r>
      <w:r>
        <w:t xml:space="preserve"> become insolvent; or, if, for technical or commercial reasons, Optus' Wi-Fi network is no longer operational or available.</w:t>
      </w:r>
    </w:p>
    <w:p w14:paraId="17484D7E" w14:textId="77777777" w:rsidR="000D07EA" w:rsidRDefault="00BE7C89">
      <w:pPr>
        <w:pStyle w:val="Heading8"/>
      </w:pPr>
      <w:r>
        <w:t>Not all content located on Optus iZoo will be available when using the Apple iPhone over the Optus WiFi connection. Availability and performance of Optus hot-spots can vary.</w:t>
      </w:r>
    </w:p>
    <w:p w14:paraId="4BD187F4" w14:textId="77777777" w:rsidR="000D07EA" w:rsidRDefault="00BE7C89">
      <w:pPr>
        <w:pStyle w:val="Heading7"/>
        <w:rPr>
          <w:b/>
        </w:rPr>
      </w:pPr>
      <w:r>
        <w:rPr>
          <w:b/>
        </w:rPr>
        <w:t>Eligible Calls and Pricing Plans</w:t>
      </w:r>
    </w:p>
    <w:p w14:paraId="405989C9" w14:textId="77777777" w:rsidR="000D07EA" w:rsidRDefault="00BE7C89">
      <w:pPr>
        <w:pStyle w:val="Heading8"/>
      </w:pPr>
      <w:r>
        <w:t xml:space="preserve">Table 1A below indicates whether particular call types are an 'eligible call and text' which count towards the Optus2AnyOne Value and Minimum Monthly Charge of </w:t>
      </w:r>
      <w:r>
        <w:rPr>
          <w:i/>
        </w:rPr>
        <w:t xml:space="preserve">your </w:t>
      </w:r>
      <w:r>
        <w:t>selected 'yes' Business Cap iPhone Plan.</w:t>
      </w:r>
    </w:p>
    <w:p w14:paraId="4607BE4F" w14:textId="77777777" w:rsidR="000D07EA" w:rsidRDefault="00BE7C89">
      <w:pPr>
        <w:pStyle w:val="Heading8"/>
      </w:pPr>
      <w:r>
        <w:t xml:space="preserve">Table 1B below indicates whether particular call types are an 'eligible call and text' which count towards the Optus2Optus Value </w:t>
      </w:r>
      <w:r>
        <w:rPr>
          <w:i/>
        </w:rPr>
        <w:t xml:space="preserve">you </w:t>
      </w:r>
      <w:r>
        <w:t xml:space="preserve">receive as part of </w:t>
      </w:r>
      <w:r>
        <w:rPr>
          <w:i/>
        </w:rPr>
        <w:t xml:space="preserve">your </w:t>
      </w:r>
      <w:r>
        <w:t>selected 'yes' Business Cap iPhone Plan.</w:t>
      </w:r>
    </w:p>
    <w:p w14:paraId="321CB1D2" w14:textId="77777777" w:rsidR="000D07EA" w:rsidRDefault="00BE7C89">
      <w:pPr>
        <w:pStyle w:val="Heading8"/>
      </w:pPr>
      <w:r>
        <w:t>Table 1C below indicates whether a particular data type is 'eligible data usage' which counts towards the included data allowance of your selected Plan.</w:t>
      </w:r>
    </w:p>
    <w:p w14:paraId="11DE85F5" w14:textId="77777777" w:rsidR="000D07EA" w:rsidRDefault="00BE7C89">
      <w:pPr>
        <w:pStyle w:val="Heading8"/>
      </w:pPr>
      <w:r>
        <w:t>Table 2A below contains details of each 'yes' Business Cap iPhone Plan for new connections from 26 June 2009.</w:t>
      </w:r>
    </w:p>
    <w:p w14:paraId="20C5B21E" w14:textId="77777777" w:rsidR="000D07EA" w:rsidRDefault="00BE7C89">
      <w:pPr>
        <w:pStyle w:val="BodyText"/>
        <w:keepNext/>
        <w:ind w:left="720"/>
        <w:rPr>
          <w:b/>
        </w:rPr>
      </w:pPr>
      <w:r>
        <w:rPr>
          <w:b/>
        </w:rPr>
        <w:lastRenderedPageBreak/>
        <w:t>Table 1A – "Optus2AnyOne Value" - Eligible Calls and Text - Effective 26 June 2009</w:t>
      </w:r>
    </w:p>
    <w:tbl>
      <w:tblPr>
        <w:tblW w:w="4617"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451"/>
        <w:gridCol w:w="3957"/>
      </w:tblGrid>
      <w:tr w:rsidR="000D07EA" w14:paraId="229FD3A9" w14:textId="77777777">
        <w:trPr>
          <w:trHeight w:val="494"/>
          <w:tblHeader/>
        </w:trPr>
        <w:tc>
          <w:tcPr>
            <w:tcW w:w="2897" w:type="pct"/>
          </w:tcPr>
          <w:p w14:paraId="5B4EDF85" w14:textId="77777777" w:rsidR="000D07EA" w:rsidRDefault="00BE7C89">
            <w:pPr>
              <w:pStyle w:val="BodyText"/>
              <w:keepNext/>
              <w:spacing w:before="100" w:after="100"/>
              <w:rPr>
                <w:b/>
                <w:bCs/>
              </w:rPr>
            </w:pPr>
            <w:r>
              <w:rPr>
                <w:b/>
                <w:bCs/>
              </w:rPr>
              <w:t>Call Type</w:t>
            </w:r>
          </w:p>
        </w:tc>
        <w:tc>
          <w:tcPr>
            <w:tcW w:w="2103" w:type="pct"/>
          </w:tcPr>
          <w:p w14:paraId="7BE1DB1D" w14:textId="77777777" w:rsidR="000D07EA" w:rsidRDefault="00BE7C89">
            <w:pPr>
              <w:pStyle w:val="BodyText"/>
              <w:keepNext/>
              <w:spacing w:before="100" w:after="100"/>
              <w:jc w:val="center"/>
              <w:rPr>
                <w:b/>
                <w:bCs/>
              </w:rPr>
            </w:pPr>
            <w:r>
              <w:rPr>
                <w:b/>
                <w:bCs/>
              </w:rPr>
              <w:t>Eligible Call</w:t>
            </w:r>
          </w:p>
        </w:tc>
      </w:tr>
      <w:tr w:rsidR="000D07EA" w14:paraId="4781DDD7" w14:textId="77777777">
        <w:trPr>
          <w:trHeight w:val="247"/>
        </w:trPr>
        <w:tc>
          <w:tcPr>
            <w:tcW w:w="2897" w:type="pct"/>
          </w:tcPr>
          <w:p w14:paraId="6887B210" w14:textId="77777777" w:rsidR="000D07EA" w:rsidRDefault="00BE7C89">
            <w:pPr>
              <w:pStyle w:val="BodyText"/>
              <w:spacing w:before="100" w:after="100"/>
            </w:pPr>
            <w:r>
              <w:t>National Voice Calls</w:t>
            </w:r>
          </w:p>
        </w:tc>
        <w:tc>
          <w:tcPr>
            <w:tcW w:w="2103" w:type="pct"/>
          </w:tcPr>
          <w:p w14:paraId="38C70E71" w14:textId="77777777" w:rsidR="000D07EA" w:rsidRDefault="00BE7C89">
            <w:pPr>
              <w:pStyle w:val="BodyText"/>
              <w:spacing w:before="100" w:after="100"/>
              <w:jc w:val="center"/>
            </w:pPr>
            <w:r>
              <w:t>Yes</w:t>
            </w:r>
          </w:p>
        </w:tc>
      </w:tr>
      <w:tr w:rsidR="000D07EA" w14:paraId="13BD3BAD" w14:textId="77777777">
        <w:trPr>
          <w:trHeight w:val="247"/>
        </w:trPr>
        <w:tc>
          <w:tcPr>
            <w:tcW w:w="2897" w:type="pct"/>
          </w:tcPr>
          <w:p w14:paraId="5C28644F" w14:textId="77777777" w:rsidR="000D07EA" w:rsidRDefault="00BE7C89">
            <w:pPr>
              <w:pStyle w:val="BodyText"/>
              <w:spacing w:before="100" w:after="100"/>
            </w:pPr>
            <w:r>
              <w:t>International Voice Calls</w:t>
            </w:r>
          </w:p>
          <w:p w14:paraId="149D176C" w14:textId="77777777" w:rsidR="000D07EA" w:rsidRDefault="00BE7C89">
            <w:pPr>
              <w:pStyle w:val="BodyText"/>
              <w:spacing w:before="100" w:after="100"/>
            </w:pPr>
            <w:r>
              <w:rPr>
                <w:snapToGrid w:val="0"/>
              </w:rPr>
              <w:t>(includes calls to national fixed or GSM mobile services that then divert/switch or re-route overseas)</w:t>
            </w:r>
          </w:p>
        </w:tc>
        <w:tc>
          <w:tcPr>
            <w:tcW w:w="2103" w:type="pct"/>
          </w:tcPr>
          <w:p w14:paraId="69985336" w14:textId="77777777" w:rsidR="000D07EA" w:rsidRDefault="00BE7C89">
            <w:pPr>
              <w:pStyle w:val="BodyText"/>
              <w:spacing w:before="100" w:after="100"/>
              <w:jc w:val="center"/>
            </w:pPr>
            <w:r>
              <w:t>No</w:t>
            </w:r>
          </w:p>
        </w:tc>
      </w:tr>
      <w:tr w:rsidR="000D07EA" w14:paraId="26845D30" w14:textId="77777777">
        <w:trPr>
          <w:trHeight w:val="247"/>
        </w:trPr>
        <w:tc>
          <w:tcPr>
            <w:tcW w:w="2897" w:type="pct"/>
          </w:tcPr>
          <w:p w14:paraId="5DA71564" w14:textId="77777777" w:rsidR="000D07EA" w:rsidRDefault="00BE7C89">
            <w:pPr>
              <w:pStyle w:val="BodyText"/>
              <w:spacing w:before="100" w:after="100"/>
            </w:pPr>
            <w:r>
              <w:t>National Video Calls</w:t>
            </w:r>
          </w:p>
        </w:tc>
        <w:tc>
          <w:tcPr>
            <w:tcW w:w="2103" w:type="pct"/>
          </w:tcPr>
          <w:p w14:paraId="6DEC8A59" w14:textId="77777777" w:rsidR="000D07EA" w:rsidRDefault="00BE7C89">
            <w:pPr>
              <w:pStyle w:val="BodyText"/>
              <w:spacing w:before="100" w:after="100"/>
              <w:jc w:val="center"/>
            </w:pPr>
            <w:r>
              <w:t>Yes</w:t>
            </w:r>
          </w:p>
        </w:tc>
      </w:tr>
      <w:tr w:rsidR="000D07EA" w14:paraId="1FDF6445" w14:textId="77777777">
        <w:trPr>
          <w:trHeight w:val="247"/>
        </w:trPr>
        <w:tc>
          <w:tcPr>
            <w:tcW w:w="2897" w:type="pct"/>
          </w:tcPr>
          <w:p w14:paraId="3EF7C0CC" w14:textId="77777777" w:rsidR="000D07EA" w:rsidRDefault="00BE7C89">
            <w:pPr>
              <w:pStyle w:val="BodyText"/>
              <w:spacing w:before="100" w:after="100"/>
            </w:pPr>
            <w:r>
              <w:t>International Video Calls</w:t>
            </w:r>
          </w:p>
          <w:p w14:paraId="41AC1B17" w14:textId="77777777" w:rsidR="000D07EA" w:rsidRDefault="00BE7C89">
            <w:pPr>
              <w:pStyle w:val="BodyText"/>
              <w:spacing w:before="100" w:after="100"/>
            </w:pPr>
            <w:r>
              <w:rPr>
                <w:snapToGrid w:val="0"/>
              </w:rPr>
              <w:t>(includes calls to national fixed or GSM mobile services that then divert/switch or re-route overseas)</w:t>
            </w:r>
          </w:p>
        </w:tc>
        <w:tc>
          <w:tcPr>
            <w:tcW w:w="2103" w:type="pct"/>
          </w:tcPr>
          <w:p w14:paraId="0298180D" w14:textId="77777777" w:rsidR="000D07EA" w:rsidRDefault="00BE7C89">
            <w:pPr>
              <w:pStyle w:val="BodyText"/>
              <w:spacing w:before="100" w:after="100"/>
              <w:jc w:val="center"/>
            </w:pPr>
            <w:r>
              <w:t>No</w:t>
            </w:r>
          </w:p>
        </w:tc>
      </w:tr>
      <w:tr w:rsidR="000D07EA" w14:paraId="0DC2C352" w14:textId="77777777">
        <w:trPr>
          <w:trHeight w:val="247"/>
        </w:trPr>
        <w:tc>
          <w:tcPr>
            <w:tcW w:w="2897" w:type="pct"/>
          </w:tcPr>
          <w:p w14:paraId="581671BA" w14:textId="77777777" w:rsidR="000D07EA" w:rsidRDefault="00BE7C89">
            <w:pPr>
              <w:pStyle w:val="BodyText"/>
              <w:spacing w:before="100" w:after="100"/>
            </w:pPr>
            <w:r>
              <w:t>National and International SMS</w:t>
            </w:r>
          </w:p>
        </w:tc>
        <w:tc>
          <w:tcPr>
            <w:tcW w:w="2103" w:type="pct"/>
          </w:tcPr>
          <w:p w14:paraId="7015C210" w14:textId="77777777" w:rsidR="000D07EA" w:rsidRDefault="00BE7C89">
            <w:pPr>
              <w:pStyle w:val="BodyText"/>
              <w:spacing w:before="100" w:after="100"/>
              <w:jc w:val="center"/>
            </w:pPr>
            <w:r>
              <w:t>Yes</w:t>
            </w:r>
          </w:p>
        </w:tc>
      </w:tr>
      <w:tr w:rsidR="000D07EA" w14:paraId="3E1EBE05" w14:textId="77777777">
        <w:trPr>
          <w:trHeight w:val="247"/>
        </w:trPr>
        <w:tc>
          <w:tcPr>
            <w:tcW w:w="2897" w:type="pct"/>
          </w:tcPr>
          <w:p w14:paraId="03CBDCA9" w14:textId="77777777" w:rsidR="000D07EA" w:rsidRDefault="00BE7C89">
            <w:pPr>
              <w:pStyle w:val="BodyText"/>
              <w:spacing w:before="100" w:after="100"/>
            </w:pPr>
            <w:r>
              <w:t>Voicemail Diversions</w:t>
            </w:r>
          </w:p>
        </w:tc>
        <w:tc>
          <w:tcPr>
            <w:tcW w:w="2103" w:type="pct"/>
          </w:tcPr>
          <w:p w14:paraId="3EDCF7E4" w14:textId="77777777" w:rsidR="000D07EA" w:rsidRDefault="00BE7C89">
            <w:pPr>
              <w:pStyle w:val="BodyText"/>
              <w:spacing w:before="100" w:after="100"/>
              <w:jc w:val="center"/>
            </w:pPr>
            <w:r>
              <w:t>Yes</w:t>
            </w:r>
          </w:p>
        </w:tc>
      </w:tr>
      <w:tr w:rsidR="000D07EA" w14:paraId="47E6AD7B" w14:textId="77777777">
        <w:trPr>
          <w:trHeight w:val="509"/>
        </w:trPr>
        <w:tc>
          <w:tcPr>
            <w:tcW w:w="2897" w:type="pct"/>
          </w:tcPr>
          <w:p w14:paraId="3C6C97A3" w14:textId="77777777" w:rsidR="000D07EA" w:rsidRDefault="00BE7C89">
            <w:pPr>
              <w:pStyle w:val="BodyText"/>
              <w:spacing w:before="100" w:after="100"/>
            </w:pPr>
            <w:r>
              <w:t>Voicemail Deposit and Retrievals</w:t>
            </w:r>
          </w:p>
        </w:tc>
        <w:tc>
          <w:tcPr>
            <w:tcW w:w="2103" w:type="pct"/>
          </w:tcPr>
          <w:p w14:paraId="2D022F8B" w14:textId="77777777" w:rsidR="000D07EA" w:rsidRDefault="00BE7C89">
            <w:pPr>
              <w:pStyle w:val="BodyText"/>
              <w:spacing w:before="100" w:after="100"/>
              <w:jc w:val="center"/>
            </w:pPr>
            <w:r>
              <w:t>Yes</w:t>
            </w:r>
          </w:p>
        </w:tc>
      </w:tr>
      <w:tr w:rsidR="000D07EA" w14:paraId="7C9D2C8B" w14:textId="77777777">
        <w:trPr>
          <w:trHeight w:val="247"/>
        </w:trPr>
        <w:tc>
          <w:tcPr>
            <w:tcW w:w="2897" w:type="pct"/>
          </w:tcPr>
          <w:p w14:paraId="779A142F" w14:textId="77777777" w:rsidR="000D07EA" w:rsidRDefault="00BE7C89">
            <w:pPr>
              <w:pStyle w:val="BodyText"/>
              <w:spacing w:before="100" w:after="100"/>
            </w:pPr>
            <w:r>
              <w:t>International Roaming &amp; Diversion</w:t>
            </w:r>
          </w:p>
        </w:tc>
        <w:tc>
          <w:tcPr>
            <w:tcW w:w="2103" w:type="pct"/>
          </w:tcPr>
          <w:p w14:paraId="6D053A5E" w14:textId="77777777" w:rsidR="000D07EA" w:rsidRDefault="00BE7C89">
            <w:pPr>
              <w:pStyle w:val="BodyText"/>
              <w:spacing w:before="100" w:after="100"/>
              <w:jc w:val="center"/>
            </w:pPr>
            <w:r>
              <w:t>No</w:t>
            </w:r>
          </w:p>
        </w:tc>
      </w:tr>
      <w:tr w:rsidR="000D07EA" w14:paraId="2DEE2A7A" w14:textId="77777777">
        <w:trPr>
          <w:trHeight w:val="247"/>
        </w:trPr>
        <w:tc>
          <w:tcPr>
            <w:tcW w:w="2897" w:type="pct"/>
          </w:tcPr>
          <w:p w14:paraId="34C2CF33" w14:textId="77777777" w:rsidR="000D07EA" w:rsidRDefault="00BE7C89">
            <w:pPr>
              <w:pStyle w:val="BodyText"/>
              <w:spacing w:before="100" w:after="100"/>
            </w:pPr>
            <w:r>
              <w:t>Premium SMS</w:t>
            </w:r>
          </w:p>
        </w:tc>
        <w:tc>
          <w:tcPr>
            <w:tcW w:w="2103" w:type="pct"/>
          </w:tcPr>
          <w:p w14:paraId="3093B75D" w14:textId="77777777" w:rsidR="000D07EA" w:rsidRDefault="00BE7C89">
            <w:pPr>
              <w:pStyle w:val="BodyText"/>
              <w:spacing w:before="100" w:after="100"/>
              <w:jc w:val="center"/>
            </w:pPr>
            <w:r>
              <w:t>No</w:t>
            </w:r>
          </w:p>
        </w:tc>
      </w:tr>
      <w:tr w:rsidR="000D07EA" w14:paraId="72483BF5" w14:textId="77777777">
        <w:trPr>
          <w:trHeight w:val="247"/>
        </w:trPr>
        <w:tc>
          <w:tcPr>
            <w:tcW w:w="2897" w:type="pct"/>
          </w:tcPr>
          <w:p w14:paraId="24E04CEF" w14:textId="77777777" w:rsidR="000D07EA" w:rsidRDefault="00BE7C89">
            <w:pPr>
              <w:pStyle w:val="BodyText"/>
              <w:spacing w:before="100" w:after="100"/>
            </w:pPr>
            <w:r>
              <w:t xml:space="preserve">Premium Video </w:t>
            </w:r>
          </w:p>
        </w:tc>
        <w:tc>
          <w:tcPr>
            <w:tcW w:w="2103" w:type="pct"/>
          </w:tcPr>
          <w:p w14:paraId="4BF432A8" w14:textId="77777777" w:rsidR="000D07EA" w:rsidRDefault="00BE7C89">
            <w:pPr>
              <w:pStyle w:val="BodyText"/>
              <w:spacing w:before="100" w:after="100"/>
              <w:jc w:val="center"/>
            </w:pPr>
            <w:r>
              <w:t>No</w:t>
            </w:r>
          </w:p>
        </w:tc>
      </w:tr>
      <w:tr w:rsidR="000D07EA" w14:paraId="1BB585B5" w14:textId="77777777">
        <w:trPr>
          <w:trHeight w:val="247"/>
        </w:trPr>
        <w:tc>
          <w:tcPr>
            <w:tcW w:w="2897" w:type="pct"/>
          </w:tcPr>
          <w:p w14:paraId="5831198B" w14:textId="77777777" w:rsidR="000D07EA" w:rsidRDefault="00BE7C89">
            <w:pPr>
              <w:pStyle w:val="BodyText"/>
              <w:spacing w:before="100" w:after="100"/>
            </w:pPr>
            <w:r>
              <w:t xml:space="preserve">Video Conferencing </w:t>
            </w:r>
          </w:p>
        </w:tc>
        <w:tc>
          <w:tcPr>
            <w:tcW w:w="2103" w:type="pct"/>
          </w:tcPr>
          <w:p w14:paraId="6EADC6EE" w14:textId="77777777" w:rsidR="000D07EA" w:rsidRDefault="00BE7C89">
            <w:pPr>
              <w:pStyle w:val="BodyText"/>
              <w:spacing w:before="100" w:after="100"/>
              <w:jc w:val="center"/>
            </w:pPr>
            <w:r>
              <w:t>No</w:t>
            </w:r>
          </w:p>
        </w:tc>
      </w:tr>
      <w:tr w:rsidR="000D07EA" w14:paraId="263D9767" w14:textId="77777777">
        <w:trPr>
          <w:trHeight w:val="247"/>
        </w:trPr>
        <w:tc>
          <w:tcPr>
            <w:tcW w:w="2897" w:type="pct"/>
          </w:tcPr>
          <w:p w14:paraId="1DD7444D" w14:textId="77777777" w:rsidR="000D07EA" w:rsidRDefault="00BE7C89">
            <w:pPr>
              <w:pStyle w:val="BodyText"/>
              <w:spacing w:before="100" w:after="100"/>
            </w:pPr>
            <w:r>
              <w:t>National MMS</w:t>
            </w:r>
          </w:p>
        </w:tc>
        <w:tc>
          <w:tcPr>
            <w:tcW w:w="2103" w:type="pct"/>
          </w:tcPr>
          <w:p w14:paraId="666405C0" w14:textId="77777777" w:rsidR="000D07EA" w:rsidRDefault="00BE7C89">
            <w:pPr>
              <w:pStyle w:val="BodyText"/>
              <w:spacing w:before="100" w:after="100"/>
              <w:jc w:val="center"/>
            </w:pPr>
            <w:r>
              <w:t>Yes</w:t>
            </w:r>
          </w:p>
        </w:tc>
      </w:tr>
      <w:tr w:rsidR="000D07EA" w14:paraId="2235AF96" w14:textId="77777777">
        <w:trPr>
          <w:trHeight w:val="247"/>
        </w:trPr>
        <w:tc>
          <w:tcPr>
            <w:tcW w:w="2897" w:type="pct"/>
          </w:tcPr>
          <w:p w14:paraId="23E61F8A" w14:textId="77777777" w:rsidR="000D07EA" w:rsidRDefault="00BE7C89">
            <w:pPr>
              <w:pStyle w:val="BodyText"/>
              <w:spacing w:before="100" w:after="100"/>
            </w:pPr>
            <w:r>
              <w:t>International MMS</w:t>
            </w:r>
          </w:p>
        </w:tc>
        <w:tc>
          <w:tcPr>
            <w:tcW w:w="2103" w:type="pct"/>
          </w:tcPr>
          <w:p w14:paraId="4E54B1CC" w14:textId="77777777" w:rsidR="000D07EA" w:rsidRDefault="00BE7C89">
            <w:pPr>
              <w:pStyle w:val="BodyText"/>
              <w:spacing w:before="100" w:after="100"/>
              <w:jc w:val="center"/>
            </w:pPr>
            <w:r>
              <w:t>No</w:t>
            </w:r>
          </w:p>
        </w:tc>
      </w:tr>
      <w:tr w:rsidR="000D07EA" w14:paraId="31BD8701" w14:textId="77777777">
        <w:trPr>
          <w:trHeight w:val="247"/>
        </w:trPr>
        <w:tc>
          <w:tcPr>
            <w:tcW w:w="2897" w:type="pct"/>
          </w:tcPr>
          <w:p w14:paraId="009DC41E" w14:textId="77777777" w:rsidR="000D07EA" w:rsidRDefault="00BE7C89">
            <w:pPr>
              <w:pStyle w:val="BodyText"/>
              <w:spacing w:before="100" w:after="100"/>
            </w:pPr>
            <w:r>
              <w:t>Optus iZoo Browsing*</w:t>
            </w:r>
          </w:p>
        </w:tc>
        <w:tc>
          <w:tcPr>
            <w:tcW w:w="2103" w:type="pct"/>
          </w:tcPr>
          <w:p w14:paraId="3F797656" w14:textId="77777777" w:rsidR="000D07EA" w:rsidRDefault="00BE7C89">
            <w:pPr>
              <w:pStyle w:val="BodyText"/>
              <w:spacing w:before="100" w:after="100"/>
              <w:jc w:val="center"/>
            </w:pPr>
            <w:r>
              <w:t>No</w:t>
            </w:r>
          </w:p>
        </w:tc>
      </w:tr>
      <w:tr w:rsidR="000D07EA" w14:paraId="3289FDF1" w14:textId="77777777">
        <w:trPr>
          <w:trHeight w:val="494"/>
        </w:trPr>
        <w:tc>
          <w:tcPr>
            <w:tcW w:w="2897" w:type="pct"/>
          </w:tcPr>
          <w:p w14:paraId="4EF0F46C" w14:textId="77777777" w:rsidR="000D07EA" w:rsidRDefault="00BE7C89">
            <w:pPr>
              <w:pStyle w:val="BodyText"/>
              <w:spacing w:before="100" w:after="100"/>
            </w:pPr>
            <w:r>
              <w:t>Optus Zoo Downloads*</w:t>
            </w:r>
          </w:p>
        </w:tc>
        <w:tc>
          <w:tcPr>
            <w:tcW w:w="2103" w:type="pct"/>
          </w:tcPr>
          <w:p w14:paraId="0CDDC2E2" w14:textId="77777777" w:rsidR="000D07EA" w:rsidRDefault="00BE7C89">
            <w:pPr>
              <w:pStyle w:val="BodyText"/>
              <w:spacing w:before="100" w:after="100"/>
              <w:jc w:val="center"/>
            </w:pPr>
            <w:r>
              <w:t>No</w:t>
            </w:r>
          </w:p>
        </w:tc>
      </w:tr>
      <w:tr w:rsidR="000D07EA" w14:paraId="4EA610A9" w14:textId="77777777">
        <w:trPr>
          <w:trHeight w:val="494"/>
        </w:trPr>
        <w:tc>
          <w:tcPr>
            <w:tcW w:w="2897" w:type="pct"/>
          </w:tcPr>
          <w:p w14:paraId="72DFD5F9" w14:textId="77777777" w:rsidR="000D07EA" w:rsidRDefault="00BE7C89">
            <w:pPr>
              <w:pStyle w:val="BodyText"/>
              <w:spacing w:before="100" w:after="100"/>
            </w:pPr>
            <w:r>
              <w:t>966* Zoo</w:t>
            </w:r>
          </w:p>
        </w:tc>
        <w:tc>
          <w:tcPr>
            <w:tcW w:w="2103" w:type="pct"/>
          </w:tcPr>
          <w:p w14:paraId="10209FFB" w14:textId="77777777" w:rsidR="000D07EA" w:rsidRDefault="00BE7C89">
            <w:pPr>
              <w:pStyle w:val="BodyText"/>
              <w:spacing w:before="100" w:after="100"/>
              <w:jc w:val="center"/>
            </w:pPr>
            <w:r>
              <w:t>No</w:t>
            </w:r>
          </w:p>
        </w:tc>
      </w:tr>
      <w:tr w:rsidR="000D07EA" w14:paraId="3B261DCA" w14:textId="77777777">
        <w:trPr>
          <w:trHeight w:val="494"/>
        </w:trPr>
        <w:tc>
          <w:tcPr>
            <w:tcW w:w="2897" w:type="pct"/>
          </w:tcPr>
          <w:p w14:paraId="53DA113D" w14:textId="77777777" w:rsidR="000D07EA" w:rsidRDefault="00BE7C89">
            <w:pPr>
              <w:pStyle w:val="BodyText"/>
              <w:spacing w:before="100" w:after="100"/>
            </w:pPr>
            <w:r>
              <w:t>Data used whilst roaming internationally</w:t>
            </w:r>
          </w:p>
        </w:tc>
        <w:tc>
          <w:tcPr>
            <w:tcW w:w="2103" w:type="pct"/>
          </w:tcPr>
          <w:p w14:paraId="6FD435F0" w14:textId="77777777" w:rsidR="000D07EA" w:rsidRDefault="00BE7C89">
            <w:pPr>
              <w:pStyle w:val="BodyText"/>
              <w:spacing w:before="100" w:after="100"/>
              <w:jc w:val="center"/>
            </w:pPr>
            <w:r>
              <w:t>No</w:t>
            </w:r>
          </w:p>
        </w:tc>
      </w:tr>
      <w:tr w:rsidR="000D07EA" w14:paraId="71933D92" w14:textId="77777777">
        <w:trPr>
          <w:trHeight w:val="494"/>
        </w:trPr>
        <w:tc>
          <w:tcPr>
            <w:tcW w:w="2897" w:type="pct"/>
          </w:tcPr>
          <w:p w14:paraId="4051B3E9" w14:textId="77777777" w:rsidR="000D07EA" w:rsidRDefault="00BE7C89">
            <w:pPr>
              <w:pStyle w:val="BodyText"/>
              <w:spacing w:before="100" w:after="100"/>
            </w:pPr>
            <w:r>
              <w:t xml:space="preserve">Directory Assistance – 1223 </w:t>
            </w:r>
          </w:p>
        </w:tc>
        <w:tc>
          <w:tcPr>
            <w:tcW w:w="2103" w:type="pct"/>
          </w:tcPr>
          <w:p w14:paraId="196FD035" w14:textId="77777777" w:rsidR="000D07EA" w:rsidRDefault="00BE7C89">
            <w:pPr>
              <w:pStyle w:val="BodyText"/>
              <w:spacing w:before="100" w:after="100"/>
              <w:jc w:val="center"/>
            </w:pPr>
            <w:r>
              <w:t>No</w:t>
            </w:r>
          </w:p>
        </w:tc>
      </w:tr>
      <w:tr w:rsidR="000D07EA" w14:paraId="4E8D532E" w14:textId="77777777">
        <w:trPr>
          <w:trHeight w:val="247"/>
        </w:trPr>
        <w:tc>
          <w:tcPr>
            <w:tcW w:w="2897" w:type="pct"/>
          </w:tcPr>
          <w:p w14:paraId="38ADEC59" w14:textId="77777777" w:rsidR="000D07EA" w:rsidRDefault="00BE7C89">
            <w:pPr>
              <w:pStyle w:val="BodyText"/>
              <w:spacing w:before="100" w:after="100"/>
            </w:pPr>
            <w:r>
              <w:t>19XX Numbers</w:t>
            </w:r>
          </w:p>
        </w:tc>
        <w:tc>
          <w:tcPr>
            <w:tcW w:w="2103" w:type="pct"/>
          </w:tcPr>
          <w:p w14:paraId="0350D1CD" w14:textId="77777777" w:rsidR="000D07EA" w:rsidRDefault="00BE7C89">
            <w:pPr>
              <w:pStyle w:val="BodyText"/>
              <w:spacing w:before="100" w:after="100"/>
              <w:jc w:val="center"/>
            </w:pPr>
            <w:r>
              <w:t>No</w:t>
            </w:r>
          </w:p>
        </w:tc>
      </w:tr>
      <w:tr w:rsidR="000D07EA" w14:paraId="06352909" w14:textId="77777777">
        <w:trPr>
          <w:trHeight w:val="247"/>
        </w:trPr>
        <w:tc>
          <w:tcPr>
            <w:tcW w:w="2897" w:type="pct"/>
          </w:tcPr>
          <w:p w14:paraId="1EBCDDE9" w14:textId="77777777" w:rsidR="000D07EA" w:rsidRDefault="00BE7C89">
            <w:pPr>
              <w:pStyle w:val="BodyText"/>
              <w:spacing w:before="100" w:after="100"/>
            </w:pPr>
            <w:r>
              <w:t>1800 and 1300 numbers</w:t>
            </w:r>
          </w:p>
        </w:tc>
        <w:tc>
          <w:tcPr>
            <w:tcW w:w="2103" w:type="pct"/>
          </w:tcPr>
          <w:p w14:paraId="4E9A0817" w14:textId="77777777" w:rsidR="000D07EA" w:rsidRDefault="00BE7C89">
            <w:pPr>
              <w:pStyle w:val="BodyText"/>
              <w:spacing w:before="100" w:after="100"/>
              <w:jc w:val="center"/>
            </w:pPr>
            <w:r>
              <w:t>Yes</w:t>
            </w:r>
          </w:p>
        </w:tc>
      </w:tr>
      <w:tr w:rsidR="000D07EA" w14:paraId="77C9A25D" w14:textId="77777777">
        <w:trPr>
          <w:trHeight w:val="247"/>
        </w:trPr>
        <w:tc>
          <w:tcPr>
            <w:tcW w:w="2897" w:type="pct"/>
          </w:tcPr>
          <w:p w14:paraId="4073E71B" w14:textId="77777777" w:rsidR="000D07EA" w:rsidRDefault="00BE7C89">
            <w:pPr>
              <w:pStyle w:val="BodyText"/>
              <w:spacing w:before="100" w:after="100"/>
            </w:pPr>
            <w:r>
              <w:t>124YES(937)</w:t>
            </w:r>
          </w:p>
        </w:tc>
        <w:tc>
          <w:tcPr>
            <w:tcW w:w="2103" w:type="pct"/>
          </w:tcPr>
          <w:p w14:paraId="3975D06C" w14:textId="77777777" w:rsidR="000D07EA" w:rsidRDefault="00BE7C89">
            <w:pPr>
              <w:pStyle w:val="BodyText"/>
              <w:spacing w:before="100" w:after="100"/>
              <w:jc w:val="center"/>
            </w:pPr>
            <w:r>
              <w:t>No</w:t>
            </w:r>
          </w:p>
        </w:tc>
      </w:tr>
      <w:tr w:rsidR="000D07EA" w14:paraId="5459A9DB" w14:textId="77777777">
        <w:trPr>
          <w:trHeight w:val="262"/>
        </w:trPr>
        <w:tc>
          <w:tcPr>
            <w:tcW w:w="2897" w:type="pct"/>
          </w:tcPr>
          <w:p w14:paraId="0D66AF8B" w14:textId="77777777" w:rsidR="000D07EA" w:rsidRDefault="00BE7C89">
            <w:pPr>
              <w:pStyle w:val="BodyText"/>
              <w:spacing w:before="100" w:after="100"/>
            </w:pPr>
            <w:r>
              <w:t>Insurance</w:t>
            </w:r>
          </w:p>
        </w:tc>
        <w:tc>
          <w:tcPr>
            <w:tcW w:w="2103" w:type="pct"/>
          </w:tcPr>
          <w:p w14:paraId="37690E62" w14:textId="77777777" w:rsidR="000D07EA" w:rsidRDefault="00BE7C89">
            <w:pPr>
              <w:pStyle w:val="BodyText"/>
              <w:spacing w:before="100" w:after="100"/>
              <w:jc w:val="center"/>
            </w:pPr>
            <w:r>
              <w:t>No</w:t>
            </w:r>
          </w:p>
        </w:tc>
      </w:tr>
      <w:tr w:rsidR="000D07EA" w14:paraId="01102CFF" w14:textId="77777777">
        <w:trPr>
          <w:trHeight w:val="262"/>
        </w:trPr>
        <w:tc>
          <w:tcPr>
            <w:tcW w:w="2897" w:type="pct"/>
          </w:tcPr>
          <w:p w14:paraId="0ED611C0" w14:textId="77777777" w:rsidR="000D07EA" w:rsidRDefault="00BE7C89">
            <w:pPr>
              <w:pStyle w:val="BodyText"/>
              <w:spacing w:before="100" w:after="100"/>
            </w:pPr>
            <w:r>
              <w:t>Handset Payments</w:t>
            </w:r>
          </w:p>
        </w:tc>
        <w:tc>
          <w:tcPr>
            <w:tcW w:w="2103" w:type="pct"/>
          </w:tcPr>
          <w:p w14:paraId="4573A866" w14:textId="77777777" w:rsidR="000D07EA" w:rsidRDefault="00BE7C89">
            <w:pPr>
              <w:pStyle w:val="BodyText"/>
              <w:spacing w:before="100" w:after="100"/>
              <w:jc w:val="center"/>
            </w:pPr>
            <w:r>
              <w:t>No</w:t>
            </w:r>
          </w:p>
        </w:tc>
      </w:tr>
      <w:tr w:rsidR="000D07EA" w14:paraId="7018CB36" w14:textId="77777777">
        <w:trPr>
          <w:trHeight w:val="262"/>
        </w:trPr>
        <w:tc>
          <w:tcPr>
            <w:tcW w:w="2897" w:type="pct"/>
          </w:tcPr>
          <w:p w14:paraId="649AE13D" w14:textId="77777777" w:rsidR="000D07EA" w:rsidRDefault="00BE7C89">
            <w:pPr>
              <w:pStyle w:val="BodyText"/>
              <w:spacing w:before="100" w:after="100"/>
            </w:pPr>
            <w:r>
              <w:t>Content Packs (unless specified in promotions)</w:t>
            </w:r>
          </w:p>
        </w:tc>
        <w:tc>
          <w:tcPr>
            <w:tcW w:w="2103" w:type="pct"/>
          </w:tcPr>
          <w:p w14:paraId="24BFE09E" w14:textId="77777777" w:rsidR="000D07EA" w:rsidRDefault="00BE7C89">
            <w:pPr>
              <w:pStyle w:val="BodyText"/>
              <w:spacing w:before="100" w:after="100"/>
              <w:jc w:val="center"/>
            </w:pPr>
            <w:r>
              <w:t>No</w:t>
            </w:r>
          </w:p>
        </w:tc>
      </w:tr>
      <w:tr w:rsidR="000D07EA" w14:paraId="1D1B3BF6" w14:textId="77777777">
        <w:trPr>
          <w:trHeight w:val="262"/>
        </w:trPr>
        <w:tc>
          <w:tcPr>
            <w:tcW w:w="2897" w:type="pct"/>
          </w:tcPr>
          <w:p w14:paraId="0238D134" w14:textId="77777777" w:rsidR="000D07EA" w:rsidRDefault="00BE7C89">
            <w:pPr>
              <w:pStyle w:val="BodyText"/>
              <w:spacing w:before="100" w:after="100"/>
            </w:pPr>
            <w:r>
              <w:t>Mobile Internet usage</w:t>
            </w:r>
          </w:p>
        </w:tc>
        <w:tc>
          <w:tcPr>
            <w:tcW w:w="2103" w:type="pct"/>
          </w:tcPr>
          <w:p w14:paraId="58BE71A9" w14:textId="77777777" w:rsidR="000D07EA" w:rsidRDefault="00BE7C89">
            <w:pPr>
              <w:pStyle w:val="BodyText"/>
              <w:spacing w:before="100" w:after="100"/>
              <w:jc w:val="center"/>
            </w:pPr>
            <w:r>
              <w:t>No</w:t>
            </w:r>
          </w:p>
        </w:tc>
      </w:tr>
      <w:tr w:rsidR="000D07EA" w14:paraId="06F46FDF" w14:textId="77777777">
        <w:trPr>
          <w:trHeight w:val="262"/>
        </w:trPr>
        <w:tc>
          <w:tcPr>
            <w:tcW w:w="2897" w:type="pct"/>
          </w:tcPr>
          <w:p w14:paraId="38D8157F" w14:textId="77777777" w:rsidR="000D07EA" w:rsidRDefault="00BE7C89">
            <w:pPr>
              <w:pStyle w:val="BodyText"/>
              <w:spacing w:before="100" w:after="100"/>
            </w:pPr>
            <w:r>
              <w:t>Mobile IM (Instant Messenger)</w:t>
            </w:r>
          </w:p>
        </w:tc>
        <w:tc>
          <w:tcPr>
            <w:tcW w:w="2103" w:type="pct"/>
          </w:tcPr>
          <w:p w14:paraId="54BD8DC4" w14:textId="77777777" w:rsidR="000D07EA" w:rsidRDefault="00BE7C89">
            <w:pPr>
              <w:pStyle w:val="BodyText"/>
              <w:spacing w:before="100" w:after="100"/>
              <w:jc w:val="center"/>
            </w:pPr>
            <w:r>
              <w:t>No</w:t>
            </w:r>
          </w:p>
        </w:tc>
      </w:tr>
      <w:tr w:rsidR="000D07EA" w14:paraId="1577F7F0" w14:textId="77777777">
        <w:trPr>
          <w:trHeight w:val="262"/>
        </w:trPr>
        <w:tc>
          <w:tcPr>
            <w:tcW w:w="2897" w:type="pct"/>
          </w:tcPr>
          <w:p w14:paraId="6A74856B" w14:textId="77777777" w:rsidR="000D07EA" w:rsidRDefault="00BE7C89">
            <w:pPr>
              <w:pStyle w:val="BodyText"/>
              <w:spacing w:before="100" w:after="100"/>
            </w:pPr>
            <w:r>
              <w:lastRenderedPageBreak/>
              <w:t xml:space="preserve">TruLocal Usage </w:t>
            </w:r>
          </w:p>
        </w:tc>
        <w:tc>
          <w:tcPr>
            <w:tcW w:w="2103" w:type="pct"/>
          </w:tcPr>
          <w:p w14:paraId="132F37AF" w14:textId="77777777" w:rsidR="000D07EA" w:rsidRDefault="00BE7C89">
            <w:pPr>
              <w:pStyle w:val="BodyText"/>
              <w:spacing w:before="100" w:after="100"/>
              <w:jc w:val="center"/>
            </w:pPr>
            <w:r>
              <w:t>No</w:t>
            </w:r>
          </w:p>
        </w:tc>
      </w:tr>
      <w:tr w:rsidR="000D07EA" w14:paraId="08B856D8" w14:textId="77777777">
        <w:trPr>
          <w:trHeight w:val="262"/>
        </w:trPr>
        <w:tc>
          <w:tcPr>
            <w:tcW w:w="2897" w:type="pct"/>
          </w:tcPr>
          <w:p w14:paraId="366F70FA" w14:textId="77777777" w:rsidR="000D07EA" w:rsidRDefault="00BE7C89">
            <w:pPr>
              <w:pStyle w:val="BodyText"/>
              <w:spacing w:before="100" w:after="100"/>
            </w:pPr>
            <w:r>
              <w:t>VOIP services</w:t>
            </w:r>
          </w:p>
        </w:tc>
        <w:tc>
          <w:tcPr>
            <w:tcW w:w="2103" w:type="pct"/>
          </w:tcPr>
          <w:p w14:paraId="6C4E08E6" w14:textId="77777777" w:rsidR="000D07EA" w:rsidRDefault="00BE7C89">
            <w:pPr>
              <w:pStyle w:val="BodyText"/>
              <w:spacing w:before="100" w:after="100"/>
              <w:jc w:val="center"/>
            </w:pPr>
            <w:r>
              <w:t>No</w:t>
            </w:r>
          </w:p>
        </w:tc>
      </w:tr>
      <w:tr w:rsidR="000D07EA" w14:paraId="09036244" w14:textId="77777777">
        <w:trPr>
          <w:trHeight w:val="262"/>
        </w:trPr>
        <w:tc>
          <w:tcPr>
            <w:tcW w:w="2897" w:type="pct"/>
          </w:tcPr>
          <w:p w14:paraId="22E8568A" w14:textId="77777777" w:rsidR="000D07EA" w:rsidRDefault="00BE7C89">
            <w:pPr>
              <w:pStyle w:val="BodyText"/>
              <w:spacing w:before="100" w:after="100"/>
            </w:pPr>
            <w:r>
              <w:t xml:space="preserve">Calls to Satellite </w:t>
            </w:r>
          </w:p>
        </w:tc>
        <w:tc>
          <w:tcPr>
            <w:tcW w:w="2103" w:type="pct"/>
          </w:tcPr>
          <w:p w14:paraId="464CBD35" w14:textId="77777777" w:rsidR="000D07EA" w:rsidRDefault="00BE7C89">
            <w:pPr>
              <w:pStyle w:val="BodyText"/>
              <w:spacing w:before="100" w:after="100"/>
              <w:jc w:val="center"/>
            </w:pPr>
            <w:r>
              <w:t>No</w:t>
            </w:r>
          </w:p>
        </w:tc>
      </w:tr>
    </w:tbl>
    <w:p w14:paraId="61DD6D2B" w14:textId="77777777" w:rsidR="000D07EA" w:rsidRDefault="000D07EA">
      <w:pPr>
        <w:pStyle w:val="BodyText"/>
      </w:pPr>
    </w:p>
    <w:p w14:paraId="06B1F9BE" w14:textId="77777777" w:rsidR="000D07EA" w:rsidRDefault="00BE7C89">
      <w:pPr>
        <w:pStyle w:val="BodyText"/>
        <w:ind w:left="720"/>
      </w:pPr>
      <w:r>
        <w:t xml:space="preserve">The particular 'Eligible Calls' and 'Eligible Data' features available to </w:t>
      </w:r>
      <w:r>
        <w:rPr>
          <w:i/>
        </w:rPr>
        <w:t>you</w:t>
      </w:r>
      <w:r>
        <w:t xml:space="preserve"> will vary depending on the particular iPhone or software version </w:t>
      </w:r>
      <w:r>
        <w:rPr>
          <w:i/>
        </w:rPr>
        <w:t>you</w:t>
      </w:r>
      <w:r>
        <w:t xml:space="preserve"> use.</w:t>
      </w:r>
    </w:p>
    <w:p w14:paraId="74C6AFCF" w14:textId="77777777" w:rsidR="000D07EA" w:rsidRDefault="00BE7C89">
      <w:pPr>
        <w:pStyle w:val="BodyText"/>
        <w:spacing w:before="240"/>
        <w:ind w:left="720"/>
      </w:pPr>
      <w:r>
        <w:rPr>
          <w:b/>
        </w:rPr>
        <w:t>Table 1B – "Optus2Optus Value" -</w:t>
      </w:r>
      <w:r>
        <w:t xml:space="preserve"> may be used for standard calls and text to other Optus GSM Mobile Customers and to Selected Optus Fixed Lines. Customers must utilise the "Optus2AnyOne Value" before being able to access the "Optus2Optus Value"</w:t>
      </w:r>
    </w:p>
    <w:tbl>
      <w:tblPr>
        <w:tblW w:w="4617"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451"/>
        <w:gridCol w:w="3957"/>
      </w:tblGrid>
      <w:tr w:rsidR="000D07EA" w14:paraId="5EAD19B3" w14:textId="77777777">
        <w:trPr>
          <w:trHeight w:val="494"/>
          <w:tblHeader/>
        </w:trPr>
        <w:tc>
          <w:tcPr>
            <w:tcW w:w="2897" w:type="pct"/>
          </w:tcPr>
          <w:p w14:paraId="05538479" w14:textId="77777777" w:rsidR="000D07EA" w:rsidRDefault="00BE7C89">
            <w:pPr>
              <w:pStyle w:val="BodyText"/>
              <w:spacing w:before="100" w:after="100"/>
              <w:rPr>
                <w:b/>
                <w:bCs/>
              </w:rPr>
            </w:pPr>
            <w:r>
              <w:rPr>
                <w:b/>
                <w:bCs/>
              </w:rPr>
              <w:t>Call Type</w:t>
            </w:r>
          </w:p>
        </w:tc>
        <w:tc>
          <w:tcPr>
            <w:tcW w:w="2103" w:type="pct"/>
          </w:tcPr>
          <w:p w14:paraId="700DDB90" w14:textId="77777777" w:rsidR="000D07EA" w:rsidRDefault="00BE7C89">
            <w:pPr>
              <w:pStyle w:val="BodyText"/>
              <w:spacing w:before="100" w:after="100"/>
              <w:jc w:val="center"/>
              <w:rPr>
                <w:b/>
                <w:bCs/>
              </w:rPr>
            </w:pPr>
            <w:r>
              <w:rPr>
                <w:b/>
                <w:bCs/>
              </w:rPr>
              <w:t>Eligible Call</w:t>
            </w:r>
          </w:p>
        </w:tc>
      </w:tr>
      <w:tr w:rsidR="000D07EA" w14:paraId="390D029E" w14:textId="77777777">
        <w:trPr>
          <w:trHeight w:val="247"/>
        </w:trPr>
        <w:tc>
          <w:tcPr>
            <w:tcW w:w="2897" w:type="pct"/>
          </w:tcPr>
          <w:p w14:paraId="31BFC191" w14:textId="77777777" w:rsidR="000D07EA" w:rsidRDefault="00BE7C89">
            <w:pPr>
              <w:pStyle w:val="BodyText"/>
              <w:spacing w:before="100" w:after="100"/>
            </w:pPr>
            <w:r>
              <w:t>National Voice Calls (including Optus resellers)</w:t>
            </w:r>
          </w:p>
        </w:tc>
        <w:tc>
          <w:tcPr>
            <w:tcW w:w="2103" w:type="pct"/>
          </w:tcPr>
          <w:p w14:paraId="2471B3D7" w14:textId="77777777" w:rsidR="000D07EA" w:rsidRDefault="00BE7C89">
            <w:pPr>
              <w:pStyle w:val="BodyText"/>
              <w:spacing w:before="100" w:after="100"/>
              <w:jc w:val="center"/>
            </w:pPr>
            <w:r>
              <w:t>Yes</w:t>
            </w:r>
          </w:p>
        </w:tc>
      </w:tr>
      <w:tr w:rsidR="000D07EA" w14:paraId="09145650" w14:textId="77777777">
        <w:trPr>
          <w:trHeight w:val="247"/>
        </w:trPr>
        <w:tc>
          <w:tcPr>
            <w:tcW w:w="2897" w:type="pct"/>
          </w:tcPr>
          <w:p w14:paraId="432A3420" w14:textId="77777777" w:rsidR="000D07EA" w:rsidRDefault="00BE7C89">
            <w:pPr>
              <w:pStyle w:val="BodyText"/>
              <w:spacing w:before="100" w:after="100"/>
            </w:pPr>
            <w:r>
              <w:t>International Voice Calls</w:t>
            </w:r>
          </w:p>
          <w:p w14:paraId="451E8977" w14:textId="77777777" w:rsidR="000D07EA" w:rsidRDefault="00BE7C89">
            <w:pPr>
              <w:pStyle w:val="BodyText"/>
              <w:spacing w:before="100" w:after="100"/>
            </w:pPr>
            <w:r>
              <w:rPr>
                <w:snapToGrid w:val="0"/>
              </w:rPr>
              <w:t>(includes calls to national fixed or GSM mobile services that then divert/switch or re-route overseas)</w:t>
            </w:r>
          </w:p>
        </w:tc>
        <w:tc>
          <w:tcPr>
            <w:tcW w:w="2103" w:type="pct"/>
          </w:tcPr>
          <w:p w14:paraId="3F8C6BE7" w14:textId="77777777" w:rsidR="000D07EA" w:rsidRDefault="00BE7C89">
            <w:pPr>
              <w:pStyle w:val="BodyText"/>
              <w:spacing w:before="100" w:after="100"/>
              <w:jc w:val="center"/>
            </w:pPr>
            <w:r>
              <w:t>No</w:t>
            </w:r>
          </w:p>
        </w:tc>
      </w:tr>
      <w:tr w:rsidR="000D07EA" w14:paraId="6D769C3F" w14:textId="77777777">
        <w:trPr>
          <w:trHeight w:val="247"/>
        </w:trPr>
        <w:tc>
          <w:tcPr>
            <w:tcW w:w="2897" w:type="pct"/>
          </w:tcPr>
          <w:p w14:paraId="6C3FE2EC" w14:textId="77777777" w:rsidR="000D07EA" w:rsidRDefault="00BE7C89">
            <w:pPr>
              <w:pStyle w:val="BodyText"/>
              <w:spacing w:before="100" w:after="100"/>
            </w:pPr>
            <w:r>
              <w:t>National Video Calls (including Optus resellers)</w:t>
            </w:r>
          </w:p>
        </w:tc>
        <w:tc>
          <w:tcPr>
            <w:tcW w:w="2103" w:type="pct"/>
          </w:tcPr>
          <w:p w14:paraId="69F169D9" w14:textId="77777777" w:rsidR="000D07EA" w:rsidRDefault="00BE7C89">
            <w:pPr>
              <w:pStyle w:val="BodyText"/>
              <w:spacing w:before="100" w:after="100"/>
              <w:jc w:val="center"/>
            </w:pPr>
            <w:r>
              <w:t>Yes</w:t>
            </w:r>
          </w:p>
        </w:tc>
      </w:tr>
      <w:tr w:rsidR="000D07EA" w14:paraId="7333A6CD" w14:textId="77777777">
        <w:trPr>
          <w:trHeight w:val="247"/>
        </w:trPr>
        <w:tc>
          <w:tcPr>
            <w:tcW w:w="2897" w:type="pct"/>
          </w:tcPr>
          <w:p w14:paraId="7A5504BC" w14:textId="77777777" w:rsidR="000D07EA" w:rsidRDefault="00BE7C89">
            <w:pPr>
              <w:pStyle w:val="BodyText"/>
              <w:spacing w:before="100" w:after="100"/>
            </w:pPr>
            <w:r>
              <w:t>International Video Calls</w:t>
            </w:r>
          </w:p>
          <w:p w14:paraId="2AA39736" w14:textId="77777777" w:rsidR="000D07EA" w:rsidRDefault="00BE7C89">
            <w:pPr>
              <w:pStyle w:val="BodyText"/>
              <w:spacing w:before="100" w:after="100"/>
            </w:pPr>
            <w:r>
              <w:rPr>
                <w:snapToGrid w:val="0"/>
              </w:rPr>
              <w:t>(includes calls to national fixed or GSM mobile services that then divert/switch or re-route overseas)</w:t>
            </w:r>
          </w:p>
        </w:tc>
        <w:tc>
          <w:tcPr>
            <w:tcW w:w="2103" w:type="pct"/>
          </w:tcPr>
          <w:p w14:paraId="60ECB048" w14:textId="77777777" w:rsidR="000D07EA" w:rsidRDefault="00BE7C89">
            <w:pPr>
              <w:pStyle w:val="BodyText"/>
              <w:spacing w:before="100" w:after="100"/>
              <w:jc w:val="center"/>
            </w:pPr>
            <w:r>
              <w:t>No</w:t>
            </w:r>
          </w:p>
        </w:tc>
      </w:tr>
      <w:tr w:rsidR="000D07EA" w14:paraId="0CD0DA59" w14:textId="77777777">
        <w:trPr>
          <w:trHeight w:val="247"/>
        </w:trPr>
        <w:tc>
          <w:tcPr>
            <w:tcW w:w="2897" w:type="pct"/>
          </w:tcPr>
          <w:p w14:paraId="1F92EEDA" w14:textId="77777777" w:rsidR="000D07EA" w:rsidRDefault="00BE7C89">
            <w:pPr>
              <w:pStyle w:val="BodyText"/>
              <w:spacing w:before="100" w:after="100"/>
            </w:pPr>
            <w:r>
              <w:t>National SMS (including Optus resellers but excluding Virgin Mobile)</w:t>
            </w:r>
          </w:p>
        </w:tc>
        <w:tc>
          <w:tcPr>
            <w:tcW w:w="2103" w:type="pct"/>
          </w:tcPr>
          <w:p w14:paraId="62E1D5B8" w14:textId="77777777" w:rsidR="000D07EA" w:rsidRDefault="00BE7C89">
            <w:pPr>
              <w:pStyle w:val="BodyText"/>
              <w:spacing w:before="100" w:after="100"/>
              <w:jc w:val="center"/>
            </w:pPr>
            <w:r>
              <w:t>Yes</w:t>
            </w:r>
          </w:p>
        </w:tc>
      </w:tr>
      <w:tr w:rsidR="000D07EA" w14:paraId="1F8FEA4A" w14:textId="77777777">
        <w:trPr>
          <w:trHeight w:val="247"/>
        </w:trPr>
        <w:tc>
          <w:tcPr>
            <w:tcW w:w="2897" w:type="pct"/>
          </w:tcPr>
          <w:p w14:paraId="43554E64" w14:textId="77777777" w:rsidR="000D07EA" w:rsidRDefault="00BE7C89">
            <w:pPr>
              <w:pStyle w:val="BodyText"/>
              <w:spacing w:before="100" w:after="100"/>
            </w:pPr>
            <w:r>
              <w:t xml:space="preserve">International SMS </w:t>
            </w:r>
          </w:p>
        </w:tc>
        <w:tc>
          <w:tcPr>
            <w:tcW w:w="2103" w:type="pct"/>
          </w:tcPr>
          <w:p w14:paraId="3AAD25CD" w14:textId="77777777" w:rsidR="000D07EA" w:rsidRDefault="00BE7C89">
            <w:pPr>
              <w:pStyle w:val="BodyText"/>
              <w:spacing w:before="100" w:after="100"/>
              <w:jc w:val="center"/>
            </w:pPr>
            <w:r>
              <w:t>No</w:t>
            </w:r>
          </w:p>
        </w:tc>
      </w:tr>
      <w:tr w:rsidR="000D07EA" w14:paraId="23F32884" w14:textId="77777777">
        <w:trPr>
          <w:trHeight w:val="247"/>
        </w:trPr>
        <w:tc>
          <w:tcPr>
            <w:tcW w:w="2897" w:type="pct"/>
          </w:tcPr>
          <w:p w14:paraId="6F1BD0ED" w14:textId="77777777" w:rsidR="000D07EA" w:rsidRDefault="00BE7C89">
            <w:pPr>
              <w:pStyle w:val="BodyText"/>
              <w:spacing w:before="100" w:after="100"/>
            </w:pPr>
            <w:r>
              <w:t>Push to Talk (PTT)</w:t>
            </w:r>
          </w:p>
        </w:tc>
        <w:tc>
          <w:tcPr>
            <w:tcW w:w="2103" w:type="pct"/>
          </w:tcPr>
          <w:p w14:paraId="192B0F35" w14:textId="77777777" w:rsidR="000D07EA" w:rsidRDefault="00BE7C89">
            <w:pPr>
              <w:pStyle w:val="BodyText"/>
              <w:spacing w:before="100" w:after="100"/>
              <w:jc w:val="center"/>
            </w:pPr>
            <w:r>
              <w:t>Yes. Fair Go Policy (</w:t>
            </w:r>
            <w:hyperlink r:id="rId169" w:history="1">
              <w:r>
                <w:rPr>
                  <w:rStyle w:val="Hyperlink"/>
                  <w:i/>
                </w:rPr>
                <w:t>Appendix S</w:t>
              </w:r>
            </w:hyperlink>
            <w:r>
              <w:t>) of up to 150 minutes a month applies.</w:t>
            </w:r>
          </w:p>
        </w:tc>
      </w:tr>
      <w:tr w:rsidR="000D07EA" w14:paraId="2A5DF7AC" w14:textId="77777777">
        <w:trPr>
          <w:trHeight w:val="247"/>
        </w:trPr>
        <w:tc>
          <w:tcPr>
            <w:tcW w:w="2897" w:type="pct"/>
          </w:tcPr>
          <w:p w14:paraId="426615A3" w14:textId="77777777" w:rsidR="000D07EA" w:rsidRDefault="00BE7C89">
            <w:pPr>
              <w:pStyle w:val="BodyText"/>
              <w:spacing w:before="100" w:after="100"/>
            </w:pPr>
            <w:r>
              <w:t>Voicemail Diversions</w:t>
            </w:r>
          </w:p>
        </w:tc>
        <w:tc>
          <w:tcPr>
            <w:tcW w:w="2103" w:type="pct"/>
          </w:tcPr>
          <w:p w14:paraId="6158E534" w14:textId="77777777" w:rsidR="000D07EA" w:rsidRDefault="00BE7C89">
            <w:pPr>
              <w:pStyle w:val="BodyText"/>
              <w:spacing w:before="100" w:after="100"/>
              <w:jc w:val="center"/>
            </w:pPr>
            <w:r>
              <w:t>No</w:t>
            </w:r>
          </w:p>
        </w:tc>
      </w:tr>
      <w:tr w:rsidR="000D07EA" w14:paraId="3C276C42" w14:textId="77777777">
        <w:trPr>
          <w:trHeight w:val="60"/>
        </w:trPr>
        <w:tc>
          <w:tcPr>
            <w:tcW w:w="2897" w:type="pct"/>
          </w:tcPr>
          <w:p w14:paraId="71F35E05" w14:textId="77777777" w:rsidR="000D07EA" w:rsidRDefault="00BE7C89">
            <w:pPr>
              <w:pStyle w:val="BodyText"/>
              <w:spacing w:before="100" w:after="100"/>
            </w:pPr>
            <w:r>
              <w:t>Voicemail Deposit and Retrievals</w:t>
            </w:r>
          </w:p>
        </w:tc>
        <w:tc>
          <w:tcPr>
            <w:tcW w:w="2103" w:type="pct"/>
          </w:tcPr>
          <w:p w14:paraId="206ACC2C" w14:textId="77777777" w:rsidR="000D07EA" w:rsidRDefault="00BE7C89">
            <w:pPr>
              <w:pStyle w:val="BodyText"/>
              <w:spacing w:before="100" w:after="100"/>
              <w:jc w:val="center"/>
            </w:pPr>
            <w:r>
              <w:t>No</w:t>
            </w:r>
          </w:p>
        </w:tc>
      </w:tr>
      <w:tr w:rsidR="000D07EA" w14:paraId="6D1C7DE1" w14:textId="77777777">
        <w:trPr>
          <w:trHeight w:val="247"/>
        </w:trPr>
        <w:tc>
          <w:tcPr>
            <w:tcW w:w="2897" w:type="pct"/>
          </w:tcPr>
          <w:p w14:paraId="4F70E343" w14:textId="77777777" w:rsidR="000D07EA" w:rsidRDefault="00BE7C89">
            <w:pPr>
              <w:pStyle w:val="BodyText"/>
              <w:spacing w:before="100" w:after="100"/>
            </w:pPr>
            <w:r>
              <w:t>International Roaming</w:t>
            </w:r>
          </w:p>
        </w:tc>
        <w:tc>
          <w:tcPr>
            <w:tcW w:w="2103" w:type="pct"/>
          </w:tcPr>
          <w:p w14:paraId="38CB5F87" w14:textId="77777777" w:rsidR="000D07EA" w:rsidRDefault="00BE7C89">
            <w:pPr>
              <w:pStyle w:val="BodyText"/>
              <w:spacing w:before="100" w:after="100"/>
              <w:jc w:val="center"/>
            </w:pPr>
            <w:r>
              <w:t>No</w:t>
            </w:r>
          </w:p>
        </w:tc>
      </w:tr>
      <w:tr w:rsidR="000D07EA" w14:paraId="1D3CEC9A" w14:textId="77777777">
        <w:trPr>
          <w:trHeight w:val="247"/>
        </w:trPr>
        <w:tc>
          <w:tcPr>
            <w:tcW w:w="2897" w:type="pct"/>
          </w:tcPr>
          <w:p w14:paraId="791617A5" w14:textId="77777777" w:rsidR="000D07EA" w:rsidRDefault="00BE7C89">
            <w:pPr>
              <w:pStyle w:val="BodyText"/>
              <w:spacing w:before="100" w:after="100"/>
            </w:pPr>
            <w:r>
              <w:t>Premium SMS</w:t>
            </w:r>
          </w:p>
        </w:tc>
        <w:tc>
          <w:tcPr>
            <w:tcW w:w="2103" w:type="pct"/>
          </w:tcPr>
          <w:p w14:paraId="5F961F55" w14:textId="77777777" w:rsidR="000D07EA" w:rsidRDefault="00BE7C89">
            <w:pPr>
              <w:pStyle w:val="BodyText"/>
              <w:spacing w:before="100" w:after="100"/>
              <w:jc w:val="center"/>
            </w:pPr>
            <w:r>
              <w:t>No</w:t>
            </w:r>
          </w:p>
        </w:tc>
      </w:tr>
      <w:tr w:rsidR="000D07EA" w14:paraId="443C2F4B" w14:textId="77777777">
        <w:trPr>
          <w:trHeight w:val="60"/>
        </w:trPr>
        <w:tc>
          <w:tcPr>
            <w:tcW w:w="2897" w:type="pct"/>
          </w:tcPr>
          <w:p w14:paraId="454D98ED" w14:textId="77777777" w:rsidR="000D07EA" w:rsidRDefault="00BE7C89">
            <w:pPr>
              <w:pStyle w:val="BodyText"/>
              <w:spacing w:before="100" w:after="100"/>
            </w:pPr>
            <w:r>
              <w:t>National MMS (including Optus resellers but excluding Virgin Mobile)</w:t>
            </w:r>
          </w:p>
        </w:tc>
        <w:tc>
          <w:tcPr>
            <w:tcW w:w="2103" w:type="pct"/>
          </w:tcPr>
          <w:p w14:paraId="4CF092CA" w14:textId="77777777" w:rsidR="000D07EA" w:rsidRDefault="00BE7C89">
            <w:pPr>
              <w:pStyle w:val="BodyText"/>
              <w:spacing w:before="100" w:after="100"/>
              <w:jc w:val="center"/>
            </w:pPr>
            <w:r>
              <w:t>Yes</w:t>
            </w:r>
          </w:p>
        </w:tc>
      </w:tr>
      <w:tr w:rsidR="000D07EA" w14:paraId="5CAEF223" w14:textId="77777777">
        <w:trPr>
          <w:trHeight w:val="247"/>
        </w:trPr>
        <w:tc>
          <w:tcPr>
            <w:tcW w:w="2897" w:type="pct"/>
          </w:tcPr>
          <w:p w14:paraId="53EF16E7" w14:textId="77777777" w:rsidR="000D07EA" w:rsidRDefault="00BE7C89">
            <w:pPr>
              <w:pStyle w:val="BodyText"/>
              <w:spacing w:before="100" w:after="100"/>
            </w:pPr>
            <w:r>
              <w:t>International MMS</w:t>
            </w:r>
          </w:p>
        </w:tc>
        <w:tc>
          <w:tcPr>
            <w:tcW w:w="2103" w:type="pct"/>
          </w:tcPr>
          <w:p w14:paraId="164E80C6" w14:textId="77777777" w:rsidR="000D07EA" w:rsidRDefault="00BE7C89">
            <w:pPr>
              <w:pStyle w:val="BodyText"/>
              <w:spacing w:before="100" w:after="100"/>
              <w:jc w:val="center"/>
            </w:pPr>
            <w:r>
              <w:t>No</w:t>
            </w:r>
          </w:p>
        </w:tc>
      </w:tr>
      <w:tr w:rsidR="000D07EA" w14:paraId="7F5F2B52" w14:textId="77777777">
        <w:trPr>
          <w:trHeight w:val="247"/>
        </w:trPr>
        <w:tc>
          <w:tcPr>
            <w:tcW w:w="2897" w:type="pct"/>
          </w:tcPr>
          <w:p w14:paraId="3E8C0A1F" w14:textId="77777777" w:rsidR="000D07EA" w:rsidRDefault="00BE7C89">
            <w:pPr>
              <w:pStyle w:val="BodyText"/>
              <w:spacing w:before="100" w:after="100"/>
            </w:pPr>
            <w:r>
              <w:t>Optus Zoo Browsing*</w:t>
            </w:r>
          </w:p>
        </w:tc>
        <w:tc>
          <w:tcPr>
            <w:tcW w:w="2103" w:type="pct"/>
          </w:tcPr>
          <w:p w14:paraId="1D6D2633" w14:textId="77777777" w:rsidR="000D07EA" w:rsidRDefault="00BE7C89">
            <w:pPr>
              <w:pStyle w:val="BodyText"/>
              <w:spacing w:before="100" w:after="100"/>
              <w:jc w:val="center"/>
            </w:pPr>
            <w:r>
              <w:t>No</w:t>
            </w:r>
          </w:p>
        </w:tc>
      </w:tr>
      <w:tr w:rsidR="000D07EA" w14:paraId="71B9DFE3" w14:textId="77777777">
        <w:trPr>
          <w:trHeight w:val="60"/>
        </w:trPr>
        <w:tc>
          <w:tcPr>
            <w:tcW w:w="2897" w:type="pct"/>
          </w:tcPr>
          <w:p w14:paraId="010DDCDB" w14:textId="77777777" w:rsidR="000D07EA" w:rsidRDefault="00BE7C89">
            <w:pPr>
              <w:pStyle w:val="BodyText"/>
              <w:spacing w:before="100" w:after="100"/>
            </w:pPr>
            <w:r>
              <w:t>Optus Zoo Downloads*</w:t>
            </w:r>
          </w:p>
        </w:tc>
        <w:tc>
          <w:tcPr>
            <w:tcW w:w="2103" w:type="pct"/>
          </w:tcPr>
          <w:p w14:paraId="0BDE7EF9" w14:textId="77777777" w:rsidR="000D07EA" w:rsidRDefault="00BE7C89">
            <w:pPr>
              <w:pStyle w:val="BodyText"/>
              <w:spacing w:before="100" w:after="100"/>
              <w:jc w:val="center"/>
            </w:pPr>
            <w:r>
              <w:t>No</w:t>
            </w:r>
          </w:p>
        </w:tc>
      </w:tr>
      <w:tr w:rsidR="000D07EA" w14:paraId="3E227EB4" w14:textId="77777777">
        <w:trPr>
          <w:trHeight w:val="60"/>
        </w:trPr>
        <w:tc>
          <w:tcPr>
            <w:tcW w:w="2897" w:type="pct"/>
          </w:tcPr>
          <w:p w14:paraId="02CEED1C" w14:textId="77777777" w:rsidR="000D07EA" w:rsidRDefault="00BE7C89">
            <w:pPr>
              <w:pStyle w:val="BodyText"/>
              <w:spacing w:before="100" w:after="100"/>
            </w:pPr>
            <w:r>
              <w:t xml:space="preserve">Directory Assistance – 1223 </w:t>
            </w:r>
          </w:p>
        </w:tc>
        <w:tc>
          <w:tcPr>
            <w:tcW w:w="2103" w:type="pct"/>
          </w:tcPr>
          <w:p w14:paraId="576AFAC0" w14:textId="77777777" w:rsidR="000D07EA" w:rsidRDefault="00BE7C89">
            <w:pPr>
              <w:pStyle w:val="BodyText"/>
              <w:spacing w:before="100" w:after="100"/>
              <w:jc w:val="center"/>
            </w:pPr>
            <w:r>
              <w:t>No</w:t>
            </w:r>
          </w:p>
        </w:tc>
      </w:tr>
      <w:tr w:rsidR="000D07EA" w14:paraId="28A83B78" w14:textId="77777777">
        <w:trPr>
          <w:trHeight w:val="247"/>
        </w:trPr>
        <w:tc>
          <w:tcPr>
            <w:tcW w:w="2897" w:type="pct"/>
          </w:tcPr>
          <w:p w14:paraId="4C639FE6" w14:textId="77777777" w:rsidR="000D07EA" w:rsidRDefault="00BE7C89">
            <w:pPr>
              <w:pStyle w:val="BodyText"/>
              <w:spacing w:before="100" w:after="100"/>
            </w:pPr>
            <w:r>
              <w:t>19XX Numbers</w:t>
            </w:r>
          </w:p>
        </w:tc>
        <w:tc>
          <w:tcPr>
            <w:tcW w:w="2103" w:type="pct"/>
          </w:tcPr>
          <w:p w14:paraId="24FA1299" w14:textId="77777777" w:rsidR="000D07EA" w:rsidRDefault="00BE7C89">
            <w:pPr>
              <w:pStyle w:val="BodyText"/>
              <w:spacing w:before="100" w:after="100"/>
              <w:jc w:val="center"/>
            </w:pPr>
            <w:r>
              <w:t>No</w:t>
            </w:r>
          </w:p>
        </w:tc>
      </w:tr>
      <w:tr w:rsidR="000D07EA" w14:paraId="06BF674E" w14:textId="77777777">
        <w:trPr>
          <w:trHeight w:val="247"/>
        </w:trPr>
        <w:tc>
          <w:tcPr>
            <w:tcW w:w="2897" w:type="pct"/>
          </w:tcPr>
          <w:p w14:paraId="58FE33CC" w14:textId="77777777" w:rsidR="000D07EA" w:rsidRDefault="00BE7C89">
            <w:pPr>
              <w:pStyle w:val="BodyText"/>
              <w:spacing w:before="100" w:after="100"/>
            </w:pPr>
            <w:r>
              <w:lastRenderedPageBreak/>
              <w:t>1800 and 1300 numbers</w:t>
            </w:r>
          </w:p>
        </w:tc>
        <w:tc>
          <w:tcPr>
            <w:tcW w:w="2103" w:type="pct"/>
          </w:tcPr>
          <w:p w14:paraId="2B1604B5" w14:textId="77777777" w:rsidR="000D07EA" w:rsidRDefault="00BE7C89">
            <w:pPr>
              <w:pStyle w:val="BodyText"/>
              <w:spacing w:before="100" w:after="100"/>
              <w:jc w:val="center"/>
            </w:pPr>
            <w:r>
              <w:t>Yes</w:t>
            </w:r>
          </w:p>
        </w:tc>
      </w:tr>
      <w:tr w:rsidR="000D07EA" w14:paraId="64C6CE9C" w14:textId="77777777">
        <w:trPr>
          <w:trHeight w:val="247"/>
        </w:trPr>
        <w:tc>
          <w:tcPr>
            <w:tcW w:w="2897" w:type="pct"/>
          </w:tcPr>
          <w:p w14:paraId="77EABCC0" w14:textId="77777777" w:rsidR="000D07EA" w:rsidRDefault="00BE7C89">
            <w:pPr>
              <w:pStyle w:val="BodyText"/>
              <w:spacing w:before="100" w:after="100"/>
            </w:pPr>
            <w:r>
              <w:t>124YES(937)</w:t>
            </w:r>
          </w:p>
        </w:tc>
        <w:tc>
          <w:tcPr>
            <w:tcW w:w="2103" w:type="pct"/>
          </w:tcPr>
          <w:p w14:paraId="03581268" w14:textId="77777777" w:rsidR="000D07EA" w:rsidRDefault="00BE7C89">
            <w:pPr>
              <w:pStyle w:val="BodyText"/>
              <w:spacing w:before="100" w:after="100"/>
              <w:jc w:val="center"/>
            </w:pPr>
            <w:r>
              <w:t>No</w:t>
            </w:r>
          </w:p>
        </w:tc>
      </w:tr>
      <w:tr w:rsidR="000D07EA" w14:paraId="0E057F52" w14:textId="77777777">
        <w:trPr>
          <w:trHeight w:val="262"/>
        </w:trPr>
        <w:tc>
          <w:tcPr>
            <w:tcW w:w="2897" w:type="pct"/>
          </w:tcPr>
          <w:p w14:paraId="39F124AB" w14:textId="77777777" w:rsidR="000D07EA" w:rsidRDefault="00BE7C89">
            <w:pPr>
              <w:pStyle w:val="BodyText"/>
              <w:spacing w:before="100" w:after="100"/>
            </w:pPr>
            <w:r>
              <w:t>Insurance</w:t>
            </w:r>
          </w:p>
        </w:tc>
        <w:tc>
          <w:tcPr>
            <w:tcW w:w="2103" w:type="pct"/>
          </w:tcPr>
          <w:p w14:paraId="73188078" w14:textId="77777777" w:rsidR="000D07EA" w:rsidRDefault="00BE7C89">
            <w:pPr>
              <w:pStyle w:val="BodyText"/>
              <w:spacing w:before="100" w:after="100"/>
              <w:jc w:val="center"/>
            </w:pPr>
            <w:r>
              <w:t>No</w:t>
            </w:r>
          </w:p>
        </w:tc>
      </w:tr>
      <w:tr w:rsidR="000D07EA" w14:paraId="75B393E5" w14:textId="77777777">
        <w:trPr>
          <w:trHeight w:val="262"/>
        </w:trPr>
        <w:tc>
          <w:tcPr>
            <w:tcW w:w="2897" w:type="pct"/>
          </w:tcPr>
          <w:p w14:paraId="03F22CDB" w14:textId="77777777" w:rsidR="000D07EA" w:rsidRDefault="00BE7C89">
            <w:pPr>
              <w:pStyle w:val="BodyText"/>
              <w:spacing w:before="100" w:after="100"/>
            </w:pPr>
            <w:r>
              <w:t>Handset Payments</w:t>
            </w:r>
          </w:p>
        </w:tc>
        <w:tc>
          <w:tcPr>
            <w:tcW w:w="2103" w:type="pct"/>
          </w:tcPr>
          <w:p w14:paraId="7CAF8CA5" w14:textId="77777777" w:rsidR="000D07EA" w:rsidRDefault="00BE7C89">
            <w:pPr>
              <w:pStyle w:val="BodyText"/>
              <w:spacing w:before="100" w:after="100"/>
              <w:jc w:val="center"/>
            </w:pPr>
            <w:r>
              <w:t>No</w:t>
            </w:r>
          </w:p>
        </w:tc>
      </w:tr>
      <w:tr w:rsidR="000D07EA" w14:paraId="77D2F600" w14:textId="77777777">
        <w:trPr>
          <w:trHeight w:val="262"/>
        </w:trPr>
        <w:tc>
          <w:tcPr>
            <w:tcW w:w="2897" w:type="pct"/>
          </w:tcPr>
          <w:p w14:paraId="053D9F12" w14:textId="77777777" w:rsidR="000D07EA" w:rsidRDefault="00BE7C89">
            <w:pPr>
              <w:pStyle w:val="BodyText"/>
              <w:spacing w:before="100" w:after="100"/>
            </w:pPr>
            <w:r>
              <w:t>Content Packs (unless specified in promotions)</w:t>
            </w:r>
          </w:p>
        </w:tc>
        <w:tc>
          <w:tcPr>
            <w:tcW w:w="2103" w:type="pct"/>
          </w:tcPr>
          <w:p w14:paraId="280C3827" w14:textId="77777777" w:rsidR="000D07EA" w:rsidRDefault="00BE7C89">
            <w:pPr>
              <w:pStyle w:val="BodyText"/>
              <w:spacing w:before="100" w:after="100"/>
              <w:jc w:val="center"/>
            </w:pPr>
            <w:r>
              <w:t>No</w:t>
            </w:r>
          </w:p>
        </w:tc>
      </w:tr>
      <w:tr w:rsidR="000D07EA" w14:paraId="742F3771" w14:textId="77777777">
        <w:trPr>
          <w:trHeight w:val="262"/>
        </w:trPr>
        <w:tc>
          <w:tcPr>
            <w:tcW w:w="2897" w:type="pct"/>
          </w:tcPr>
          <w:p w14:paraId="733442ED" w14:textId="77777777" w:rsidR="000D07EA" w:rsidRDefault="00BE7C89">
            <w:pPr>
              <w:pStyle w:val="BodyText"/>
              <w:spacing w:before="100" w:after="100"/>
            </w:pPr>
            <w:r>
              <w:t>Mobile Internet usage</w:t>
            </w:r>
          </w:p>
        </w:tc>
        <w:tc>
          <w:tcPr>
            <w:tcW w:w="2103" w:type="pct"/>
          </w:tcPr>
          <w:p w14:paraId="36F871B7" w14:textId="77777777" w:rsidR="000D07EA" w:rsidRDefault="00BE7C89">
            <w:pPr>
              <w:pStyle w:val="BodyText"/>
              <w:spacing w:before="100" w:after="100"/>
              <w:jc w:val="center"/>
            </w:pPr>
            <w:r>
              <w:t>No</w:t>
            </w:r>
          </w:p>
        </w:tc>
      </w:tr>
      <w:tr w:rsidR="000D07EA" w14:paraId="4DE92083" w14:textId="77777777">
        <w:trPr>
          <w:trHeight w:val="262"/>
        </w:trPr>
        <w:tc>
          <w:tcPr>
            <w:tcW w:w="2897" w:type="pct"/>
          </w:tcPr>
          <w:p w14:paraId="526EF292" w14:textId="77777777" w:rsidR="000D07EA" w:rsidRDefault="00BE7C89">
            <w:pPr>
              <w:pStyle w:val="BodyText"/>
              <w:spacing w:before="100" w:after="100"/>
            </w:pPr>
            <w:r>
              <w:t>Mobile IM (Instant Messenger)</w:t>
            </w:r>
          </w:p>
        </w:tc>
        <w:tc>
          <w:tcPr>
            <w:tcW w:w="2103" w:type="pct"/>
          </w:tcPr>
          <w:p w14:paraId="055CA315" w14:textId="77777777" w:rsidR="000D07EA" w:rsidRDefault="00BE7C89">
            <w:pPr>
              <w:pStyle w:val="BodyText"/>
              <w:spacing w:before="100" w:after="100"/>
              <w:jc w:val="center"/>
            </w:pPr>
            <w:r>
              <w:t>No</w:t>
            </w:r>
          </w:p>
        </w:tc>
      </w:tr>
      <w:tr w:rsidR="000D07EA" w14:paraId="4CD94088" w14:textId="77777777">
        <w:trPr>
          <w:trHeight w:val="262"/>
        </w:trPr>
        <w:tc>
          <w:tcPr>
            <w:tcW w:w="2897" w:type="pct"/>
          </w:tcPr>
          <w:p w14:paraId="03913129" w14:textId="77777777" w:rsidR="000D07EA" w:rsidRDefault="00BE7C89">
            <w:pPr>
              <w:pStyle w:val="BodyText"/>
              <w:spacing w:before="100" w:after="100"/>
            </w:pPr>
            <w:r>
              <w:t>TruLocal usage</w:t>
            </w:r>
          </w:p>
        </w:tc>
        <w:tc>
          <w:tcPr>
            <w:tcW w:w="2103" w:type="pct"/>
          </w:tcPr>
          <w:p w14:paraId="7417B720" w14:textId="77777777" w:rsidR="000D07EA" w:rsidRDefault="00BE7C89">
            <w:pPr>
              <w:pStyle w:val="BodyText"/>
              <w:spacing w:before="100" w:after="100"/>
              <w:jc w:val="center"/>
            </w:pPr>
            <w:r>
              <w:t>No</w:t>
            </w:r>
          </w:p>
        </w:tc>
      </w:tr>
      <w:tr w:rsidR="000D07EA" w14:paraId="3FB95699" w14:textId="77777777">
        <w:trPr>
          <w:trHeight w:val="262"/>
        </w:trPr>
        <w:tc>
          <w:tcPr>
            <w:tcW w:w="2897" w:type="pct"/>
          </w:tcPr>
          <w:p w14:paraId="458D8FA0" w14:textId="77777777" w:rsidR="000D07EA" w:rsidRDefault="00BE7C89">
            <w:pPr>
              <w:pStyle w:val="BodyText"/>
              <w:spacing w:before="100" w:after="100"/>
            </w:pPr>
            <w:r>
              <w:t>VOIP services</w:t>
            </w:r>
          </w:p>
        </w:tc>
        <w:tc>
          <w:tcPr>
            <w:tcW w:w="2103" w:type="pct"/>
          </w:tcPr>
          <w:p w14:paraId="62CBCE61" w14:textId="77777777" w:rsidR="000D07EA" w:rsidRDefault="00BE7C89">
            <w:pPr>
              <w:pStyle w:val="BodyText"/>
              <w:spacing w:before="100" w:after="100"/>
              <w:jc w:val="center"/>
            </w:pPr>
            <w:r>
              <w:t>No</w:t>
            </w:r>
          </w:p>
        </w:tc>
      </w:tr>
    </w:tbl>
    <w:p w14:paraId="443C12FC" w14:textId="77777777" w:rsidR="000D07EA" w:rsidRDefault="000D07EA">
      <w:pPr>
        <w:pStyle w:val="BodyText"/>
        <w:ind w:left="720"/>
      </w:pPr>
    </w:p>
    <w:p w14:paraId="4FB11A7F" w14:textId="77777777" w:rsidR="000D07EA" w:rsidRDefault="00BE7C89">
      <w:pPr>
        <w:pStyle w:val="BodyText"/>
        <w:ind w:left="720"/>
      </w:pPr>
      <w:r>
        <w:t xml:space="preserve">The particular 'Eligible Calls' and 'Eligible Data' features available to </w:t>
      </w:r>
      <w:r>
        <w:rPr>
          <w:i/>
        </w:rPr>
        <w:t>you</w:t>
      </w:r>
      <w:r>
        <w:t xml:space="preserve"> will vary depending on the particular iPhone or software version </w:t>
      </w:r>
      <w:r>
        <w:rPr>
          <w:i/>
        </w:rPr>
        <w:t>you</w:t>
      </w:r>
      <w:r>
        <w:t xml:space="preserve"> use.</w:t>
      </w:r>
    </w:p>
    <w:p w14:paraId="585268E1" w14:textId="77777777" w:rsidR="000D07EA" w:rsidRDefault="00BE7C89">
      <w:pPr>
        <w:pStyle w:val="BodyText"/>
        <w:spacing w:before="240"/>
        <w:ind w:left="720"/>
        <w:rPr>
          <w:b/>
        </w:rPr>
      </w:pPr>
      <w:r>
        <w:rPr>
          <w:b/>
        </w:rPr>
        <w:t>Table 1C – Eligible Data Type - Effective 26 June 2009</w:t>
      </w:r>
    </w:p>
    <w:tbl>
      <w:tblPr>
        <w:tblW w:w="4617"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451"/>
        <w:gridCol w:w="3957"/>
      </w:tblGrid>
      <w:tr w:rsidR="000D07EA" w14:paraId="689D980D" w14:textId="77777777">
        <w:trPr>
          <w:trHeight w:val="494"/>
          <w:tblHeader/>
        </w:trPr>
        <w:tc>
          <w:tcPr>
            <w:tcW w:w="2897" w:type="pct"/>
          </w:tcPr>
          <w:p w14:paraId="6C8E6B68" w14:textId="77777777" w:rsidR="000D07EA" w:rsidRDefault="00BE7C89">
            <w:pPr>
              <w:pStyle w:val="BodyText"/>
              <w:spacing w:before="100" w:after="100"/>
              <w:rPr>
                <w:b/>
                <w:bCs/>
              </w:rPr>
            </w:pPr>
            <w:r>
              <w:rPr>
                <w:b/>
                <w:bCs/>
              </w:rPr>
              <w:t>Call Type</w:t>
            </w:r>
          </w:p>
        </w:tc>
        <w:tc>
          <w:tcPr>
            <w:tcW w:w="2103" w:type="pct"/>
          </w:tcPr>
          <w:p w14:paraId="2EBB75A9" w14:textId="77777777" w:rsidR="000D07EA" w:rsidRDefault="00BE7C89">
            <w:pPr>
              <w:pStyle w:val="BodyText"/>
              <w:spacing w:before="100" w:after="100"/>
              <w:jc w:val="center"/>
              <w:rPr>
                <w:b/>
                <w:bCs/>
              </w:rPr>
            </w:pPr>
            <w:r>
              <w:rPr>
                <w:b/>
                <w:bCs/>
              </w:rPr>
              <w:t>Eligible Call</w:t>
            </w:r>
          </w:p>
        </w:tc>
      </w:tr>
      <w:tr w:rsidR="000D07EA" w14:paraId="2C97C6C1" w14:textId="77777777">
        <w:trPr>
          <w:trHeight w:val="247"/>
        </w:trPr>
        <w:tc>
          <w:tcPr>
            <w:tcW w:w="2897" w:type="pct"/>
          </w:tcPr>
          <w:p w14:paraId="00DF2BC1" w14:textId="77777777" w:rsidR="000D07EA" w:rsidRDefault="00BE7C89">
            <w:pPr>
              <w:pStyle w:val="BodyText"/>
              <w:spacing w:before="100" w:after="100"/>
            </w:pPr>
            <w:r>
              <w:t>National Voice Calls (including Optus resellers)</w:t>
            </w:r>
          </w:p>
        </w:tc>
        <w:tc>
          <w:tcPr>
            <w:tcW w:w="2103" w:type="pct"/>
          </w:tcPr>
          <w:p w14:paraId="0C9E365A" w14:textId="77777777" w:rsidR="000D07EA" w:rsidRDefault="00BE7C89">
            <w:pPr>
              <w:pStyle w:val="BodyText"/>
              <w:spacing w:before="100" w:after="100"/>
              <w:jc w:val="center"/>
            </w:pPr>
            <w:r>
              <w:t>No</w:t>
            </w:r>
          </w:p>
        </w:tc>
      </w:tr>
      <w:tr w:rsidR="000D07EA" w14:paraId="41C4B26E" w14:textId="77777777">
        <w:trPr>
          <w:trHeight w:val="247"/>
        </w:trPr>
        <w:tc>
          <w:tcPr>
            <w:tcW w:w="2897" w:type="pct"/>
          </w:tcPr>
          <w:p w14:paraId="55B0B7F6" w14:textId="77777777" w:rsidR="000D07EA" w:rsidRDefault="00BE7C89">
            <w:pPr>
              <w:pStyle w:val="BodyText"/>
              <w:spacing w:before="100" w:after="100"/>
            </w:pPr>
            <w:r>
              <w:t>International Voice Calls</w:t>
            </w:r>
          </w:p>
          <w:p w14:paraId="778E3264" w14:textId="77777777" w:rsidR="000D07EA" w:rsidRDefault="00BE7C89">
            <w:pPr>
              <w:pStyle w:val="BodyText"/>
              <w:spacing w:before="100" w:after="100"/>
            </w:pPr>
            <w:r>
              <w:rPr>
                <w:snapToGrid w:val="0"/>
              </w:rPr>
              <w:t>(includes calls to national fixed or GSM mobile services that then divert/switch or re-route overseas)</w:t>
            </w:r>
          </w:p>
        </w:tc>
        <w:tc>
          <w:tcPr>
            <w:tcW w:w="2103" w:type="pct"/>
          </w:tcPr>
          <w:p w14:paraId="25301C91" w14:textId="77777777" w:rsidR="000D07EA" w:rsidRDefault="00BE7C89">
            <w:pPr>
              <w:pStyle w:val="BodyText"/>
              <w:spacing w:before="100" w:after="100"/>
              <w:jc w:val="center"/>
            </w:pPr>
            <w:r>
              <w:t>No</w:t>
            </w:r>
          </w:p>
        </w:tc>
      </w:tr>
      <w:tr w:rsidR="000D07EA" w14:paraId="462D380F" w14:textId="77777777">
        <w:trPr>
          <w:trHeight w:val="247"/>
        </w:trPr>
        <w:tc>
          <w:tcPr>
            <w:tcW w:w="2897" w:type="pct"/>
          </w:tcPr>
          <w:p w14:paraId="31FDF1F0" w14:textId="77777777" w:rsidR="000D07EA" w:rsidRDefault="00BE7C89">
            <w:pPr>
              <w:pStyle w:val="BodyText"/>
              <w:spacing w:before="100" w:after="100"/>
            </w:pPr>
            <w:r>
              <w:t>National Video Calls (including Optus resellers)</w:t>
            </w:r>
          </w:p>
        </w:tc>
        <w:tc>
          <w:tcPr>
            <w:tcW w:w="2103" w:type="pct"/>
          </w:tcPr>
          <w:p w14:paraId="76376511" w14:textId="77777777" w:rsidR="000D07EA" w:rsidRDefault="00BE7C89">
            <w:pPr>
              <w:pStyle w:val="BodyText"/>
              <w:spacing w:before="100" w:after="100"/>
              <w:jc w:val="center"/>
            </w:pPr>
            <w:r>
              <w:t>No</w:t>
            </w:r>
          </w:p>
        </w:tc>
      </w:tr>
      <w:tr w:rsidR="000D07EA" w14:paraId="3CF9B6C4" w14:textId="77777777">
        <w:trPr>
          <w:trHeight w:val="247"/>
        </w:trPr>
        <w:tc>
          <w:tcPr>
            <w:tcW w:w="2897" w:type="pct"/>
          </w:tcPr>
          <w:p w14:paraId="4FCC6D17" w14:textId="77777777" w:rsidR="000D07EA" w:rsidRDefault="00BE7C89">
            <w:pPr>
              <w:pStyle w:val="BodyText"/>
              <w:spacing w:before="100" w:after="100"/>
            </w:pPr>
            <w:r>
              <w:t>International Video Calls</w:t>
            </w:r>
          </w:p>
          <w:p w14:paraId="7081FCCB" w14:textId="77777777" w:rsidR="000D07EA" w:rsidRDefault="00BE7C89">
            <w:pPr>
              <w:pStyle w:val="BodyText"/>
              <w:spacing w:before="100" w:after="100"/>
            </w:pPr>
            <w:r>
              <w:rPr>
                <w:snapToGrid w:val="0"/>
              </w:rPr>
              <w:t>(includes calls to national fixed or GSM mobile services that then divert/switch or re-route overseas)</w:t>
            </w:r>
          </w:p>
        </w:tc>
        <w:tc>
          <w:tcPr>
            <w:tcW w:w="2103" w:type="pct"/>
          </w:tcPr>
          <w:p w14:paraId="45CBF819" w14:textId="77777777" w:rsidR="000D07EA" w:rsidRDefault="00BE7C89">
            <w:pPr>
              <w:pStyle w:val="BodyText"/>
              <w:spacing w:before="100" w:after="100"/>
              <w:jc w:val="center"/>
            </w:pPr>
            <w:r>
              <w:t>No</w:t>
            </w:r>
          </w:p>
        </w:tc>
      </w:tr>
      <w:tr w:rsidR="000D07EA" w14:paraId="7D0A8006" w14:textId="77777777">
        <w:trPr>
          <w:trHeight w:val="247"/>
        </w:trPr>
        <w:tc>
          <w:tcPr>
            <w:tcW w:w="2897" w:type="pct"/>
          </w:tcPr>
          <w:p w14:paraId="52E55551" w14:textId="77777777" w:rsidR="000D07EA" w:rsidRDefault="00BE7C89">
            <w:pPr>
              <w:pStyle w:val="BodyText"/>
              <w:spacing w:before="100" w:after="100"/>
            </w:pPr>
            <w:r>
              <w:t>National SMS (including Optus resellers but excluding Virgin Mobile)</w:t>
            </w:r>
          </w:p>
        </w:tc>
        <w:tc>
          <w:tcPr>
            <w:tcW w:w="2103" w:type="pct"/>
          </w:tcPr>
          <w:p w14:paraId="4306F5A4" w14:textId="77777777" w:rsidR="000D07EA" w:rsidRDefault="00BE7C89">
            <w:pPr>
              <w:pStyle w:val="BodyText"/>
              <w:spacing w:before="100" w:after="100"/>
              <w:jc w:val="center"/>
            </w:pPr>
            <w:r>
              <w:t>No</w:t>
            </w:r>
          </w:p>
        </w:tc>
      </w:tr>
      <w:tr w:rsidR="000D07EA" w14:paraId="7AE67B35" w14:textId="77777777">
        <w:trPr>
          <w:trHeight w:val="247"/>
        </w:trPr>
        <w:tc>
          <w:tcPr>
            <w:tcW w:w="2897" w:type="pct"/>
          </w:tcPr>
          <w:p w14:paraId="16DE5227" w14:textId="77777777" w:rsidR="000D07EA" w:rsidRDefault="00BE7C89">
            <w:pPr>
              <w:pStyle w:val="BodyText"/>
              <w:spacing w:before="100" w:after="100"/>
            </w:pPr>
            <w:r>
              <w:t xml:space="preserve">International SMS </w:t>
            </w:r>
          </w:p>
        </w:tc>
        <w:tc>
          <w:tcPr>
            <w:tcW w:w="2103" w:type="pct"/>
          </w:tcPr>
          <w:p w14:paraId="6A027244" w14:textId="77777777" w:rsidR="000D07EA" w:rsidRDefault="00BE7C89">
            <w:pPr>
              <w:pStyle w:val="BodyText"/>
              <w:spacing w:before="100" w:after="100"/>
              <w:jc w:val="center"/>
            </w:pPr>
            <w:r>
              <w:t>No</w:t>
            </w:r>
          </w:p>
        </w:tc>
      </w:tr>
      <w:tr w:rsidR="000D07EA" w14:paraId="7FD5DC4E" w14:textId="77777777">
        <w:trPr>
          <w:trHeight w:val="247"/>
        </w:trPr>
        <w:tc>
          <w:tcPr>
            <w:tcW w:w="2897" w:type="pct"/>
          </w:tcPr>
          <w:p w14:paraId="77119EA8" w14:textId="77777777" w:rsidR="000D07EA" w:rsidRDefault="00BE7C89">
            <w:pPr>
              <w:pStyle w:val="BodyText"/>
              <w:spacing w:before="100" w:after="100"/>
            </w:pPr>
            <w:r>
              <w:t>Voicemail Diversions</w:t>
            </w:r>
          </w:p>
        </w:tc>
        <w:tc>
          <w:tcPr>
            <w:tcW w:w="2103" w:type="pct"/>
          </w:tcPr>
          <w:p w14:paraId="7A007D5A" w14:textId="77777777" w:rsidR="000D07EA" w:rsidRDefault="00BE7C89">
            <w:pPr>
              <w:pStyle w:val="BodyText"/>
              <w:spacing w:before="100" w:after="100"/>
              <w:jc w:val="center"/>
            </w:pPr>
            <w:r>
              <w:t>No</w:t>
            </w:r>
          </w:p>
        </w:tc>
      </w:tr>
      <w:tr w:rsidR="000D07EA" w14:paraId="7DA998E5" w14:textId="77777777">
        <w:trPr>
          <w:trHeight w:val="509"/>
        </w:trPr>
        <w:tc>
          <w:tcPr>
            <w:tcW w:w="2897" w:type="pct"/>
          </w:tcPr>
          <w:p w14:paraId="4A718ADB" w14:textId="77777777" w:rsidR="000D07EA" w:rsidRDefault="00BE7C89">
            <w:pPr>
              <w:pStyle w:val="BodyText"/>
              <w:spacing w:before="100" w:after="100"/>
            </w:pPr>
            <w:r>
              <w:t>Voicemail Deposit and Retrievals</w:t>
            </w:r>
          </w:p>
        </w:tc>
        <w:tc>
          <w:tcPr>
            <w:tcW w:w="2103" w:type="pct"/>
          </w:tcPr>
          <w:p w14:paraId="00E8CA68" w14:textId="77777777" w:rsidR="000D07EA" w:rsidRDefault="00BE7C89">
            <w:pPr>
              <w:pStyle w:val="BodyText"/>
              <w:spacing w:before="100" w:after="100"/>
              <w:jc w:val="center"/>
            </w:pPr>
            <w:r>
              <w:t>No</w:t>
            </w:r>
          </w:p>
        </w:tc>
      </w:tr>
      <w:tr w:rsidR="000D07EA" w14:paraId="7163EE3D" w14:textId="77777777">
        <w:trPr>
          <w:trHeight w:val="247"/>
        </w:trPr>
        <w:tc>
          <w:tcPr>
            <w:tcW w:w="2897" w:type="pct"/>
          </w:tcPr>
          <w:p w14:paraId="6E5B9455" w14:textId="77777777" w:rsidR="000D07EA" w:rsidRDefault="00BE7C89">
            <w:pPr>
              <w:pStyle w:val="BodyText"/>
              <w:spacing w:before="100" w:after="100"/>
            </w:pPr>
            <w:r>
              <w:t>International Roaming</w:t>
            </w:r>
          </w:p>
        </w:tc>
        <w:tc>
          <w:tcPr>
            <w:tcW w:w="2103" w:type="pct"/>
          </w:tcPr>
          <w:p w14:paraId="4A567218" w14:textId="77777777" w:rsidR="000D07EA" w:rsidRDefault="00BE7C89">
            <w:pPr>
              <w:pStyle w:val="BodyText"/>
              <w:spacing w:before="100" w:after="100"/>
              <w:jc w:val="center"/>
            </w:pPr>
            <w:r>
              <w:t>No</w:t>
            </w:r>
          </w:p>
        </w:tc>
      </w:tr>
      <w:tr w:rsidR="000D07EA" w14:paraId="19ACF1FD" w14:textId="77777777">
        <w:trPr>
          <w:trHeight w:val="247"/>
        </w:trPr>
        <w:tc>
          <w:tcPr>
            <w:tcW w:w="2897" w:type="pct"/>
          </w:tcPr>
          <w:p w14:paraId="21B78D1A" w14:textId="77777777" w:rsidR="000D07EA" w:rsidRDefault="00BE7C89">
            <w:pPr>
              <w:pStyle w:val="BodyText"/>
              <w:spacing w:before="100" w:after="100"/>
            </w:pPr>
            <w:r>
              <w:t>Premium SMS</w:t>
            </w:r>
          </w:p>
        </w:tc>
        <w:tc>
          <w:tcPr>
            <w:tcW w:w="2103" w:type="pct"/>
          </w:tcPr>
          <w:p w14:paraId="19ACEA80" w14:textId="77777777" w:rsidR="000D07EA" w:rsidRDefault="00BE7C89">
            <w:pPr>
              <w:pStyle w:val="BodyText"/>
              <w:spacing w:before="100" w:after="100"/>
              <w:jc w:val="center"/>
            </w:pPr>
            <w:r>
              <w:t>No</w:t>
            </w:r>
          </w:p>
        </w:tc>
      </w:tr>
      <w:tr w:rsidR="000D07EA" w14:paraId="70759566" w14:textId="77777777">
        <w:trPr>
          <w:trHeight w:val="247"/>
        </w:trPr>
        <w:tc>
          <w:tcPr>
            <w:tcW w:w="2897" w:type="pct"/>
          </w:tcPr>
          <w:p w14:paraId="1ACC4750" w14:textId="77777777" w:rsidR="000D07EA" w:rsidRDefault="00BE7C89">
            <w:pPr>
              <w:pStyle w:val="BodyText"/>
              <w:spacing w:before="100" w:after="100"/>
            </w:pPr>
            <w:r>
              <w:t>National MMS (including Optus resellers but excluding Virgin Mobile)</w:t>
            </w:r>
          </w:p>
        </w:tc>
        <w:tc>
          <w:tcPr>
            <w:tcW w:w="2103" w:type="pct"/>
          </w:tcPr>
          <w:p w14:paraId="29D877B8" w14:textId="77777777" w:rsidR="000D07EA" w:rsidRDefault="00BE7C89">
            <w:pPr>
              <w:pStyle w:val="BodyText"/>
              <w:spacing w:before="100" w:after="100"/>
              <w:jc w:val="center"/>
            </w:pPr>
            <w:r>
              <w:t>No</w:t>
            </w:r>
          </w:p>
        </w:tc>
      </w:tr>
      <w:tr w:rsidR="000D07EA" w14:paraId="38008849" w14:textId="77777777">
        <w:trPr>
          <w:trHeight w:val="247"/>
        </w:trPr>
        <w:tc>
          <w:tcPr>
            <w:tcW w:w="2897" w:type="pct"/>
          </w:tcPr>
          <w:p w14:paraId="69F155CD" w14:textId="77777777" w:rsidR="000D07EA" w:rsidRDefault="00BE7C89">
            <w:pPr>
              <w:pStyle w:val="BodyText"/>
              <w:spacing w:before="100" w:after="100"/>
            </w:pPr>
            <w:r>
              <w:t>International MMS</w:t>
            </w:r>
          </w:p>
        </w:tc>
        <w:tc>
          <w:tcPr>
            <w:tcW w:w="2103" w:type="pct"/>
          </w:tcPr>
          <w:p w14:paraId="6A757B1A" w14:textId="77777777" w:rsidR="000D07EA" w:rsidRDefault="00BE7C89">
            <w:pPr>
              <w:pStyle w:val="BodyText"/>
              <w:spacing w:before="100" w:after="100"/>
              <w:jc w:val="center"/>
            </w:pPr>
            <w:r>
              <w:t>No</w:t>
            </w:r>
          </w:p>
        </w:tc>
      </w:tr>
      <w:tr w:rsidR="000D07EA" w14:paraId="0EF42164" w14:textId="77777777">
        <w:trPr>
          <w:trHeight w:val="247"/>
        </w:trPr>
        <w:tc>
          <w:tcPr>
            <w:tcW w:w="2897" w:type="pct"/>
          </w:tcPr>
          <w:p w14:paraId="07792B52" w14:textId="77777777" w:rsidR="000D07EA" w:rsidRDefault="00BE7C89">
            <w:pPr>
              <w:pStyle w:val="BodyText"/>
              <w:spacing w:before="100" w:after="100"/>
            </w:pPr>
            <w:r>
              <w:t>Optus Zoo Browsing*</w:t>
            </w:r>
          </w:p>
        </w:tc>
        <w:tc>
          <w:tcPr>
            <w:tcW w:w="2103" w:type="pct"/>
          </w:tcPr>
          <w:p w14:paraId="4E7F9140" w14:textId="77777777" w:rsidR="000D07EA" w:rsidRDefault="00BE7C89">
            <w:pPr>
              <w:pStyle w:val="BodyText"/>
              <w:spacing w:before="100" w:after="100"/>
              <w:jc w:val="center"/>
            </w:pPr>
            <w:r>
              <w:t>Yes</w:t>
            </w:r>
          </w:p>
        </w:tc>
      </w:tr>
      <w:tr w:rsidR="000D07EA" w14:paraId="4A8692F9" w14:textId="77777777">
        <w:trPr>
          <w:trHeight w:val="494"/>
        </w:trPr>
        <w:tc>
          <w:tcPr>
            <w:tcW w:w="2897" w:type="pct"/>
          </w:tcPr>
          <w:p w14:paraId="46B1A456" w14:textId="77777777" w:rsidR="000D07EA" w:rsidRDefault="00BE7C89">
            <w:pPr>
              <w:pStyle w:val="BodyText"/>
              <w:spacing w:before="100" w:after="100"/>
            </w:pPr>
            <w:r>
              <w:lastRenderedPageBreak/>
              <w:t>Optus Zoo Downloads</w:t>
            </w:r>
          </w:p>
        </w:tc>
        <w:tc>
          <w:tcPr>
            <w:tcW w:w="2103" w:type="pct"/>
          </w:tcPr>
          <w:p w14:paraId="27FA5B20" w14:textId="77777777" w:rsidR="000D07EA" w:rsidRDefault="00BE7C89">
            <w:pPr>
              <w:pStyle w:val="BodyText"/>
              <w:spacing w:before="100" w:after="100"/>
              <w:jc w:val="center"/>
            </w:pPr>
            <w:r>
              <w:t>No</w:t>
            </w:r>
          </w:p>
        </w:tc>
      </w:tr>
      <w:tr w:rsidR="000D07EA" w14:paraId="17A0AF4A" w14:textId="77777777">
        <w:trPr>
          <w:trHeight w:val="494"/>
        </w:trPr>
        <w:tc>
          <w:tcPr>
            <w:tcW w:w="2897" w:type="pct"/>
          </w:tcPr>
          <w:p w14:paraId="27C124B6" w14:textId="77777777" w:rsidR="000D07EA" w:rsidRDefault="00BE7C89">
            <w:pPr>
              <w:pStyle w:val="BodyText"/>
              <w:spacing w:before="100" w:after="100"/>
            </w:pPr>
            <w:r>
              <w:t xml:space="preserve">Directory Assistance – 1223 </w:t>
            </w:r>
          </w:p>
        </w:tc>
        <w:tc>
          <w:tcPr>
            <w:tcW w:w="2103" w:type="pct"/>
          </w:tcPr>
          <w:p w14:paraId="37AA342F" w14:textId="77777777" w:rsidR="000D07EA" w:rsidRDefault="00BE7C89">
            <w:pPr>
              <w:pStyle w:val="BodyText"/>
              <w:spacing w:before="100" w:after="100"/>
              <w:jc w:val="center"/>
            </w:pPr>
            <w:r>
              <w:t>No</w:t>
            </w:r>
          </w:p>
        </w:tc>
      </w:tr>
      <w:tr w:rsidR="000D07EA" w14:paraId="1232D2D4" w14:textId="77777777">
        <w:trPr>
          <w:trHeight w:val="247"/>
        </w:trPr>
        <w:tc>
          <w:tcPr>
            <w:tcW w:w="2897" w:type="pct"/>
          </w:tcPr>
          <w:p w14:paraId="0A7176EA" w14:textId="77777777" w:rsidR="000D07EA" w:rsidRDefault="00BE7C89">
            <w:pPr>
              <w:pStyle w:val="BodyText"/>
              <w:spacing w:before="100" w:after="100"/>
            </w:pPr>
            <w:r>
              <w:t>19XX Numbers</w:t>
            </w:r>
          </w:p>
        </w:tc>
        <w:tc>
          <w:tcPr>
            <w:tcW w:w="2103" w:type="pct"/>
          </w:tcPr>
          <w:p w14:paraId="3DEB97FE" w14:textId="77777777" w:rsidR="000D07EA" w:rsidRDefault="00BE7C89">
            <w:pPr>
              <w:pStyle w:val="BodyText"/>
              <w:spacing w:before="100" w:after="100"/>
              <w:jc w:val="center"/>
            </w:pPr>
            <w:r>
              <w:t>No</w:t>
            </w:r>
          </w:p>
        </w:tc>
      </w:tr>
      <w:tr w:rsidR="000D07EA" w14:paraId="099E1247" w14:textId="77777777">
        <w:trPr>
          <w:trHeight w:val="247"/>
        </w:trPr>
        <w:tc>
          <w:tcPr>
            <w:tcW w:w="2897" w:type="pct"/>
          </w:tcPr>
          <w:p w14:paraId="42CEC38A" w14:textId="77777777" w:rsidR="000D07EA" w:rsidRDefault="00BE7C89">
            <w:pPr>
              <w:pStyle w:val="BodyText"/>
              <w:spacing w:before="100" w:after="100"/>
            </w:pPr>
            <w:r>
              <w:t>1800 and 1300 numbers</w:t>
            </w:r>
          </w:p>
        </w:tc>
        <w:tc>
          <w:tcPr>
            <w:tcW w:w="2103" w:type="pct"/>
          </w:tcPr>
          <w:p w14:paraId="11306BA3" w14:textId="77777777" w:rsidR="000D07EA" w:rsidRDefault="00BE7C89">
            <w:pPr>
              <w:pStyle w:val="BodyText"/>
              <w:spacing w:before="100" w:after="100"/>
              <w:jc w:val="center"/>
            </w:pPr>
            <w:r>
              <w:t>No</w:t>
            </w:r>
          </w:p>
        </w:tc>
      </w:tr>
      <w:tr w:rsidR="000D07EA" w14:paraId="32D63458" w14:textId="77777777">
        <w:trPr>
          <w:trHeight w:val="247"/>
        </w:trPr>
        <w:tc>
          <w:tcPr>
            <w:tcW w:w="2897" w:type="pct"/>
          </w:tcPr>
          <w:p w14:paraId="102FDAE7" w14:textId="77777777" w:rsidR="000D07EA" w:rsidRDefault="00BE7C89">
            <w:pPr>
              <w:pStyle w:val="BodyText"/>
              <w:spacing w:before="100" w:after="100"/>
            </w:pPr>
            <w:r>
              <w:t>124YES(937)</w:t>
            </w:r>
          </w:p>
        </w:tc>
        <w:tc>
          <w:tcPr>
            <w:tcW w:w="2103" w:type="pct"/>
          </w:tcPr>
          <w:p w14:paraId="16ED90BC" w14:textId="77777777" w:rsidR="000D07EA" w:rsidRDefault="00BE7C89">
            <w:pPr>
              <w:pStyle w:val="BodyText"/>
              <w:spacing w:before="100" w:after="100"/>
              <w:jc w:val="center"/>
            </w:pPr>
            <w:r>
              <w:t>No</w:t>
            </w:r>
          </w:p>
        </w:tc>
      </w:tr>
      <w:tr w:rsidR="000D07EA" w14:paraId="1B0FF6D7" w14:textId="77777777">
        <w:trPr>
          <w:trHeight w:val="262"/>
        </w:trPr>
        <w:tc>
          <w:tcPr>
            <w:tcW w:w="2897" w:type="pct"/>
          </w:tcPr>
          <w:p w14:paraId="5EA2E8B6" w14:textId="77777777" w:rsidR="000D07EA" w:rsidRDefault="00BE7C89">
            <w:pPr>
              <w:pStyle w:val="BodyText"/>
              <w:spacing w:before="100" w:after="100"/>
            </w:pPr>
            <w:r>
              <w:t>Insurance</w:t>
            </w:r>
          </w:p>
        </w:tc>
        <w:tc>
          <w:tcPr>
            <w:tcW w:w="2103" w:type="pct"/>
          </w:tcPr>
          <w:p w14:paraId="2AC678AB" w14:textId="77777777" w:rsidR="000D07EA" w:rsidRDefault="00BE7C89">
            <w:pPr>
              <w:pStyle w:val="BodyText"/>
              <w:spacing w:before="100" w:after="100"/>
              <w:jc w:val="center"/>
            </w:pPr>
            <w:r>
              <w:t>No</w:t>
            </w:r>
          </w:p>
        </w:tc>
      </w:tr>
      <w:tr w:rsidR="000D07EA" w14:paraId="175E5C02" w14:textId="77777777">
        <w:trPr>
          <w:trHeight w:val="262"/>
        </w:trPr>
        <w:tc>
          <w:tcPr>
            <w:tcW w:w="2897" w:type="pct"/>
          </w:tcPr>
          <w:p w14:paraId="4E7D4ADB" w14:textId="77777777" w:rsidR="000D07EA" w:rsidRDefault="00BE7C89">
            <w:pPr>
              <w:pStyle w:val="BodyText"/>
              <w:spacing w:before="100" w:after="100"/>
            </w:pPr>
            <w:r>
              <w:t>Handset Payments</w:t>
            </w:r>
          </w:p>
        </w:tc>
        <w:tc>
          <w:tcPr>
            <w:tcW w:w="2103" w:type="pct"/>
          </w:tcPr>
          <w:p w14:paraId="37AD889A" w14:textId="77777777" w:rsidR="000D07EA" w:rsidRDefault="00BE7C89">
            <w:pPr>
              <w:pStyle w:val="BodyText"/>
              <w:spacing w:before="100" w:after="100"/>
              <w:jc w:val="center"/>
            </w:pPr>
            <w:r>
              <w:t>No</w:t>
            </w:r>
          </w:p>
        </w:tc>
      </w:tr>
      <w:tr w:rsidR="000D07EA" w14:paraId="3072F15B" w14:textId="77777777">
        <w:trPr>
          <w:trHeight w:val="262"/>
        </w:trPr>
        <w:tc>
          <w:tcPr>
            <w:tcW w:w="2897" w:type="pct"/>
          </w:tcPr>
          <w:p w14:paraId="19FC66F6" w14:textId="77777777" w:rsidR="000D07EA" w:rsidRDefault="00BE7C89">
            <w:pPr>
              <w:pStyle w:val="BodyText"/>
              <w:spacing w:before="100" w:after="100"/>
            </w:pPr>
            <w:r>
              <w:t>Content Packs (unless specified in promotions)</w:t>
            </w:r>
          </w:p>
        </w:tc>
        <w:tc>
          <w:tcPr>
            <w:tcW w:w="2103" w:type="pct"/>
          </w:tcPr>
          <w:p w14:paraId="0306A19F" w14:textId="77777777" w:rsidR="000D07EA" w:rsidRDefault="00BE7C89">
            <w:pPr>
              <w:pStyle w:val="BodyText"/>
              <w:spacing w:before="100" w:after="100"/>
              <w:jc w:val="center"/>
            </w:pPr>
            <w:r>
              <w:t>No</w:t>
            </w:r>
          </w:p>
        </w:tc>
      </w:tr>
      <w:tr w:rsidR="000D07EA" w14:paraId="42567DFE" w14:textId="77777777">
        <w:trPr>
          <w:trHeight w:val="262"/>
        </w:trPr>
        <w:tc>
          <w:tcPr>
            <w:tcW w:w="2897" w:type="pct"/>
          </w:tcPr>
          <w:p w14:paraId="44A20A6D" w14:textId="77777777" w:rsidR="000D07EA" w:rsidRDefault="00BE7C89">
            <w:pPr>
              <w:pStyle w:val="BodyText"/>
              <w:spacing w:before="100" w:after="100"/>
            </w:pPr>
            <w:r>
              <w:t>Mobile Internet usage*</w:t>
            </w:r>
          </w:p>
        </w:tc>
        <w:tc>
          <w:tcPr>
            <w:tcW w:w="2103" w:type="pct"/>
          </w:tcPr>
          <w:p w14:paraId="1776C454" w14:textId="77777777" w:rsidR="000D07EA" w:rsidRDefault="00BE7C89">
            <w:pPr>
              <w:pStyle w:val="BodyText"/>
              <w:spacing w:before="100" w:after="100"/>
              <w:jc w:val="center"/>
            </w:pPr>
            <w:r>
              <w:t>Yes</w:t>
            </w:r>
          </w:p>
        </w:tc>
      </w:tr>
      <w:tr w:rsidR="000D07EA" w14:paraId="74A6218F" w14:textId="77777777">
        <w:trPr>
          <w:trHeight w:val="262"/>
        </w:trPr>
        <w:tc>
          <w:tcPr>
            <w:tcW w:w="2897" w:type="pct"/>
          </w:tcPr>
          <w:p w14:paraId="0B2C4AF3" w14:textId="77777777" w:rsidR="000D07EA" w:rsidRDefault="00BE7C89">
            <w:pPr>
              <w:pStyle w:val="BodyText"/>
              <w:spacing w:before="100" w:after="100"/>
            </w:pPr>
            <w:r>
              <w:t>Mobile IM (Instant Messenger)</w:t>
            </w:r>
          </w:p>
        </w:tc>
        <w:tc>
          <w:tcPr>
            <w:tcW w:w="2103" w:type="pct"/>
          </w:tcPr>
          <w:p w14:paraId="3D43FF4E" w14:textId="77777777" w:rsidR="000D07EA" w:rsidRDefault="00BE7C89">
            <w:pPr>
              <w:pStyle w:val="BodyText"/>
              <w:spacing w:before="100" w:after="100"/>
              <w:jc w:val="center"/>
            </w:pPr>
            <w:r>
              <w:t>No</w:t>
            </w:r>
          </w:p>
        </w:tc>
      </w:tr>
      <w:tr w:rsidR="000D07EA" w14:paraId="499C95EC" w14:textId="77777777">
        <w:trPr>
          <w:trHeight w:val="262"/>
        </w:trPr>
        <w:tc>
          <w:tcPr>
            <w:tcW w:w="2897" w:type="pct"/>
          </w:tcPr>
          <w:p w14:paraId="24625D11" w14:textId="77777777" w:rsidR="000D07EA" w:rsidRDefault="00BE7C89">
            <w:pPr>
              <w:pStyle w:val="BodyText"/>
              <w:spacing w:before="100" w:after="100"/>
            </w:pPr>
            <w:r>
              <w:t>TruLocal usage</w:t>
            </w:r>
          </w:p>
        </w:tc>
        <w:tc>
          <w:tcPr>
            <w:tcW w:w="2103" w:type="pct"/>
          </w:tcPr>
          <w:p w14:paraId="6C99213A" w14:textId="77777777" w:rsidR="000D07EA" w:rsidRDefault="00BE7C89">
            <w:pPr>
              <w:pStyle w:val="BodyText"/>
              <w:spacing w:before="100" w:after="100"/>
              <w:jc w:val="center"/>
            </w:pPr>
            <w:r>
              <w:t>No</w:t>
            </w:r>
          </w:p>
        </w:tc>
      </w:tr>
      <w:tr w:rsidR="000D07EA" w14:paraId="46C054D9" w14:textId="77777777">
        <w:trPr>
          <w:trHeight w:val="262"/>
        </w:trPr>
        <w:tc>
          <w:tcPr>
            <w:tcW w:w="2897" w:type="pct"/>
          </w:tcPr>
          <w:p w14:paraId="17304F49" w14:textId="77777777" w:rsidR="000D07EA" w:rsidRDefault="00BE7C89">
            <w:pPr>
              <w:pStyle w:val="BodyText"/>
              <w:spacing w:before="100" w:after="100"/>
            </w:pPr>
            <w:r>
              <w:t>VOIP services</w:t>
            </w:r>
          </w:p>
        </w:tc>
        <w:tc>
          <w:tcPr>
            <w:tcW w:w="2103" w:type="pct"/>
          </w:tcPr>
          <w:p w14:paraId="335E611D" w14:textId="77777777" w:rsidR="000D07EA" w:rsidRDefault="00BE7C89">
            <w:pPr>
              <w:pStyle w:val="BodyText"/>
              <w:spacing w:before="100" w:after="100"/>
              <w:jc w:val="center"/>
            </w:pPr>
            <w:r>
              <w:t>No</w:t>
            </w:r>
          </w:p>
        </w:tc>
      </w:tr>
    </w:tbl>
    <w:p w14:paraId="5B83F554" w14:textId="77777777" w:rsidR="000D07EA" w:rsidRDefault="000D07EA">
      <w:pPr>
        <w:pStyle w:val="BodyText"/>
      </w:pPr>
    </w:p>
    <w:p w14:paraId="706771F4" w14:textId="77777777" w:rsidR="000D07EA" w:rsidRDefault="00BE7C89">
      <w:pPr>
        <w:pStyle w:val="BodyText"/>
        <w:ind w:left="720"/>
      </w:pPr>
      <w:r>
        <w:t xml:space="preserve">The particular 'Eligible Calls' and 'Eligible Data' features available to </w:t>
      </w:r>
      <w:r>
        <w:rPr>
          <w:i/>
        </w:rPr>
        <w:t>you</w:t>
      </w:r>
      <w:r>
        <w:t xml:space="preserve"> will vary depending on the particular iPhone or software version </w:t>
      </w:r>
      <w:r>
        <w:rPr>
          <w:i/>
        </w:rPr>
        <w:t>you</w:t>
      </w:r>
      <w:r>
        <w:t xml:space="preserve"> use.</w:t>
      </w:r>
    </w:p>
    <w:p w14:paraId="4B8B80B2" w14:textId="77777777" w:rsidR="000D07EA" w:rsidRDefault="00BE7C89">
      <w:pPr>
        <w:pStyle w:val="BodyText"/>
        <w:ind w:left="720"/>
      </w:pPr>
      <w:bookmarkStart w:id="302" w:name="OLE_LINK1"/>
      <w:r>
        <w:t xml:space="preserve">* Included data on </w:t>
      </w:r>
      <w:r>
        <w:rPr>
          <w:i/>
        </w:rPr>
        <w:t>your</w:t>
      </w:r>
      <w:r>
        <w:t xml:space="preserve"> 'yes' Business Cap for iPhone Plan is not available when the iPhone is used as a tethered modem, unless </w:t>
      </w:r>
      <w:r>
        <w:rPr>
          <w:i/>
        </w:rPr>
        <w:t>you</w:t>
      </w:r>
      <w:r>
        <w:t xml:space="preserve"> have selected Bus iPhone as Modem access</w:t>
      </w:r>
      <w:bookmarkEnd w:id="302"/>
      <w:r>
        <w:t>.</w:t>
      </w:r>
    </w:p>
    <w:p w14:paraId="41D50B99" w14:textId="77777777" w:rsidR="000D07EA" w:rsidRDefault="00BE7C89">
      <w:pPr>
        <w:pStyle w:val="BodyText"/>
        <w:spacing w:before="240"/>
        <w:ind w:left="720"/>
        <w:rPr>
          <w:b/>
        </w:rPr>
      </w:pPr>
      <w:r>
        <w:rPr>
          <w:b/>
        </w:rPr>
        <w:t>TABLE 2A – Charges and Cap Amounts for the 'yes' Business Cap iPhone Plans – Effective 26 June 2009</w:t>
      </w:r>
    </w:p>
    <w:tbl>
      <w:tblPr>
        <w:tblW w:w="4617"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217"/>
        <w:gridCol w:w="1731"/>
        <w:gridCol w:w="1731"/>
        <w:gridCol w:w="1729"/>
      </w:tblGrid>
      <w:tr w:rsidR="000D07EA" w14:paraId="28317C12" w14:textId="77777777">
        <w:trPr>
          <w:tblHeader/>
        </w:trPr>
        <w:tc>
          <w:tcPr>
            <w:tcW w:w="2241" w:type="pct"/>
            <w:tcBorders>
              <w:top w:val="single" w:sz="4" w:space="0" w:color="auto"/>
              <w:left w:val="single" w:sz="4" w:space="0" w:color="auto"/>
              <w:bottom w:val="single" w:sz="4" w:space="0" w:color="auto"/>
              <w:right w:val="single" w:sz="4" w:space="0" w:color="auto"/>
            </w:tcBorders>
          </w:tcPr>
          <w:p w14:paraId="252ACBBE" w14:textId="77777777" w:rsidR="000D07EA" w:rsidRDefault="000D07EA">
            <w:pPr>
              <w:pStyle w:val="BodyText"/>
              <w:spacing w:before="100" w:after="100"/>
              <w:rPr>
                <w:b/>
              </w:rPr>
            </w:pPr>
          </w:p>
        </w:tc>
        <w:tc>
          <w:tcPr>
            <w:tcW w:w="920" w:type="pct"/>
            <w:tcBorders>
              <w:top w:val="single" w:sz="4" w:space="0" w:color="auto"/>
              <w:left w:val="single" w:sz="4" w:space="0" w:color="auto"/>
              <w:bottom w:val="single" w:sz="4" w:space="0" w:color="auto"/>
              <w:right w:val="single" w:sz="4" w:space="0" w:color="auto"/>
            </w:tcBorders>
          </w:tcPr>
          <w:p w14:paraId="75D705B9" w14:textId="77777777" w:rsidR="000D07EA" w:rsidRDefault="00BE7C89">
            <w:pPr>
              <w:pStyle w:val="BodyText"/>
              <w:spacing w:before="100" w:after="100"/>
              <w:rPr>
                <w:b/>
              </w:rPr>
            </w:pPr>
            <w:r>
              <w:rPr>
                <w:b/>
              </w:rPr>
              <w:t>'yes' Business $49 Cap iPhone</w:t>
            </w:r>
          </w:p>
        </w:tc>
        <w:tc>
          <w:tcPr>
            <w:tcW w:w="920" w:type="pct"/>
            <w:tcBorders>
              <w:top w:val="single" w:sz="4" w:space="0" w:color="auto"/>
              <w:left w:val="single" w:sz="4" w:space="0" w:color="auto"/>
              <w:bottom w:val="single" w:sz="4" w:space="0" w:color="auto"/>
              <w:right w:val="single" w:sz="4" w:space="0" w:color="auto"/>
            </w:tcBorders>
          </w:tcPr>
          <w:p w14:paraId="550371E8" w14:textId="77777777" w:rsidR="000D07EA" w:rsidRDefault="00BE7C89">
            <w:pPr>
              <w:pStyle w:val="BodyText"/>
              <w:spacing w:before="100" w:after="100"/>
              <w:rPr>
                <w:b/>
              </w:rPr>
            </w:pPr>
            <w:r>
              <w:rPr>
                <w:b/>
              </w:rPr>
              <w:t>'yes' Business $59 Cap iPhone</w:t>
            </w:r>
          </w:p>
        </w:tc>
        <w:tc>
          <w:tcPr>
            <w:tcW w:w="920" w:type="pct"/>
            <w:tcBorders>
              <w:top w:val="single" w:sz="4" w:space="0" w:color="auto"/>
              <w:left w:val="single" w:sz="4" w:space="0" w:color="auto"/>
              <w:bottom w:val="single" w:sz="4" w:space="0" w:color="auto"/>
              <w:right w:val="single" w:sz="4" w:space="0" w:color="auto"/>
            </w:tcBorders>
          </w:tcPr>
          <w:p w14:paraId="0035BA1C" w14:textId="77777777" w:rsidR="000D07EA" w:rsidRDefault="00BE7C89">
            <w:pPr>
              <w:pStyle w:val="BodyText"/>
              <w:spacing w:before="100" w:after="100"/>
              <w:rPr>
                <w:b/>
              </w:rPr>
            </w:pPr>
            <w:r>
              <w:rPr>
                <w:b/>
              </w:rPr>
              <w:t>'yes' Business $79 Cap iPhone</w:t>
            </w:r>
          </w:p>
        </w:tc>
      </w:tr>
      <w:tr w:rsidR="000D07EA" w14:paraId="118C273C" w14:textId="77777777">
        <w:tc>
          <w:tcPr>
            <w:tcW w:w="2241" w:type="pct"/>
            <w:tcBorders>
              <w:top w:val="single" w:sz="4" w:space="0" w:color="auto"/>
              <w:left w:val="single" w:sz="4" w:space="0" w:color="auto"/>
              <w:bottom w:val="single" w:sz="4" w:space="0" w:color="auto"/>
              <w:right w:val="single" w:sz="4" w:space="0" w:color="auto"/>
            </w:tcBorders>
          </w:tcPr>
          <w:p w14:paraId="0D71855A" w14:textId="77777777" w:rsidR="000D07EA" w:rsidRDefault="00BE7C89">
            <w:pPr>
              <w:pStyle w:val="BodyText"/>
              <w:spacing w:before="100" w:after="100"/>
              <w:rPr>
                <w:b/>
              </w:rPr>
            </w:pPr>
            <w:r>
              <w:rPr>
                <w:b/>
              </w:rPr>
              <w:t>Cap Start per month</w:t>
            </w:r>
          </w:p>
        </w:tc>
        <w:tc>
          <w:tcPr>
            <w:tcW w:w="920" w:type="pct"/>
            <w:tcBorders>
              <w:top w:val="single" w:sz="4" w:space="0" w:color="auto"/>
              <w:left w:val="single" w:sz="4" w:space="0" w:color="auto"/>
              <w:bottom w:val="single" w:sz="4" w:space="0" w:color="auto"/>
              <w:right w:val="single" w:sz="4" w:space="0" w:color="auto"/>
            </w:tcBorders>
          </w:tcPr>
          <w:p w14:paraId="57158225" w14:textId="77777777" w:rsidR="000D07EA" w:rsidRDefault="00BE7C89">
            <w:pPr>
              <w:pStyle w:val="BodyText"/>
              <w:spacing w:before="100" w:after="100"/>
              <w:jc w:val="center"/>
            </w:pPr>
            <w:r>
              <w:t>$49</w:t>
            </w:r>
          </w:p>
        </w:tc>
        <w:tc>
          <w:tcPr>
            <w:tcW w:w="920" w:type="pct"/>
            <w:tcBorders>
              <w:top w:val="single" w:sz="4" w:space="0" w:color="auto"/>
              <w:left w:val="single" w:sz="4" w:space="0" w:color="auto"/>
              <w:bottom w:val="single" w:sz="4" w:space="0" w:color="auto"/>
              <w:right w:val="single" w:sz="4" w:space="0" w:color="auto"/>
            </w:tcBorders>
          </w:tcPr>
          <w:p w14:paraId="6F2EA4F9" w14:textId="77777777" w:rsidR="000D07EA" w:rsidRDefault="00BE7C89">
            <w:pPr>
              <w:pStyle w:val="BodyText"/>
              <w:spacing w:before="100" w:after="100"/>
              <w:jc w:val="center"/>
            </w:pPr>
            <w:r>
              <w:t>$59</w:t>
            </w:r>
          </w:p>
        </w:tc>
        <w:tc>
          <w:tcPr>
            <w:tcW w:w="920" w:type="pct"/>
            <w:tcBorders>
              <w:top w:val="single" w:sz="4" w:space="0" w:color="auto"/>
              <w:left w:val="single" w:sz="4" w:space="0" w:color="auto"/>
              <w:bottom w:val="single" w:sz="4" w:space="0" w:color="auto"/>
              <w:right w:val="single" w:sz="4" w:space="0" w:color="auto"/>
            </w:tcBorders>
          </w:tcPr>
          <w:p w14:paraId="6B7BD4FF" w14:textId="77777777" w:rsidR="000D07EA" w:rsidRDefault="00BE7C89">
            <w:pPr>
              <w:pStyle w:val="BodyText"/>
              <w:spacing w:before="100" w:after="100"/>
              <w:jc w:val="center"/>
            </w:pPr>
            <w:r>
              <w:t>$79</w:t>
            </w:r>
          </w:p>
          <w:p w14:paraId="08A73440" w14:textId="77777777" w:rsidR="000D07EA" w:rsidRDefault="00BE7C89">
            <w:pPr>
              <w:pStyle w:val="BodyText"/>
              <w:spacing w:before="100" w:after="100"/>
              <w:jc w:val="center"/>
            </w:pPr>
            <w:r>
              <w:t>($69 when on a 36 month fixed term contract)</w:t>
            </w:r>
          </w:p>
        </w:tc>
      </w:tr>
      <w:tr w:rsidR="000D07EA" w14:paraId="42EDAC8E" w14:textId="77777777">
        <w:tc>
          <w:tcPr>
            <w:tcW w:w="2241" w:type="pct"/>
            <w:tcBorders>
              <w:top w:val="single" w:sz="4" w:space="0" w:color="auto"/>
              <w:left w:val="single" w:sz="4" w:space="0" w:color="auto"/>
              <w:bottom w:val="single" w:sz="4" w:space="0" w:color="auto"/>
              <w:right w:val="single" w:sz="4" w:space="0" w:color="auto"/>
            </w:tcBorders>
          </w:tcPr>
          <w:p w14:paraId="48C9F42D" w14:textId="77777777" w:rsidR="000D07EA" w:rsidRDefault="00BE7C89">
            <w:pPr>
              <w:pStyle w:val="BodyText"/>
              <w:spacing w:before="100" w:after="100"/>
              <w:rPr>
                <w:b/>
              </w:rPr>
            </w:pPr>
            <w:r>
              <w:rPr>
                <w:b/>
              </w:rPr>
              <w:t>Total Cap Value per month</w:t>
            </w:r>
          </w:p>
        </w:tc>
        <w:tc>
          <w:tcPr>
            <w:tcW w:w="920" w:type="pct"/>
            <w:tcBorders>
              <w:top w:val="single" w:sz="4" w:space="0" w:color="auto"/>
              <w:left w:val="single" w:sz="4" w:space="0" w:color="auto"/>
              <w:bottom w:val="single" w:sz="4" w:space="0" w:color="auto"/>
              <w:right w:val="single" w:sz="4" w:space="0" w:color="auto"/>
            </w:tcBorders>
          </w:tcPr>
          <w:p w14:paraId="06A931DA" w14:textId="77777777" w:rsidR="000D07EA" w:rsidRDefault="00BE7C89">
            <w:pPr>
              <w:pStyle w:val="BodyText"/>
              <w:spacing w:before="100" w:after="100"/>
              <w:jc w:val="center"/>
            </w:pPr>
            <w:r>
              <w:t>$680</w:t>
            </w:r>
          </w:p>
        </w:tc>
        <w:tc>
          <w:tcPr>
            <w:tcW w:w="920" w:type="pct"/>
            <w:tcBorders>
              <w:top w:val="single" w:sz="4" w:space="0" w:color="auto"/>
              <w:left w:val="single" w:sz="4" w:space="0" w:color="auto"/>
              <w:bottom w:val="single" w:sz="4" w:space="0" w:color="auto"/>
              <w:right w:val="single" w:sz="4" w:space="0" w:color="auto"/>
            </w:tcBorders>
          </w:tcPr>
          <w:p w14:paraId="23EA20F5" w14:textId="77777777" w:rsidR="000D07EA" w:rsidRDefault="00BE7C89">
            <w:pPr>
              <w:pStyle w:val="BodyText"/>
              <w:spacing w:before="100" w:after="100"/>
              <w:jc w:val="center"/>
            </w:pPr>
            <w:r>
              <w:t>$680</w:t>
            </w:r>
          </w:p>
        </w:tc>
        <w:tc>
          <w:tcPr>
            <w:tcW w:w="920" w:type="pct"/>
            <w:tcBorders>
              <w:top w:val="single" w:sz="4" w:space="0" w:color="auto"/>
              <w:left w:val="single" w:sz="4" w:space="0" w:color="auto"/>
              <w:bottom w:val="single" w:sz="4" w:space="0" w:color="auto"/>
              <w:right w:val="single" w:sz="4" w:space="0" w:color="auto"/>
            </w:tcBorders>
          </w:tcPr>
          <w:p w14:paraId="67FF29A6" w14:textId="77777777" w:rsidR="000D07EA" w:rsidRDefault="00BE7C89">
            <w:pPr>
              <w:pStyle w:val="BodyText"/>
              <w:spacing w:before="100" w:after="100"/>
              <w:jc w:val="center"/>
            </w:pPr>
            <w:r>
              <w:t>$1250</w:t>
            </w:r>
          </w:p>
        </w:tc>
      </w:tr>
      <w:tr w:rsidR="000D07EA" w14:paraId="03DE3EAA" w14:textId="77777777">
        <w:tc>
          <w:tcPr>
            <w:tcW w:w="2241" w:type="pct"/>
            <w:tcBorders>
              <w:top w:val="single" w:sz="4" w:space="0" w:color="auto"/>
              <w:left w:val="single" w:sz="4" w:space="0" w:color="auto"/>
              <w:bottom w:val="single" w:sz="4" w:space="0" w:color="auto"/>
              <w:right w:val="single" w:sz="4" w:space="0" w:color="auto"/>
            </w:tcBorders>
          </w:tcPr>
          <w:p w14:paraId="3301A8F7" w14:textId="77777777" w:rsidR="000D07EA" w:rsidRDefault="00BE7C89">
            <w:pPr>
              <w:pStyle w:val="BodyText"/>
              <w:spacing w:before="100" w:after="100"/>
              <w:rPr>
                <w:b/>
              </w:rPr>
            </w:pPr>
            <w:r>
              <w:rPr>
                <w:b/>
              </w:rPr>
              <w:t>"Optus2AnyOne Value" per month</w:t>
            </w:r>
          </w:p>
        </w:tc>
        <w:tc>
          <w:tcPr>
            <w:tcW w:w="920" w:type="pct"/>
            <w:tcBorders>
              <w:top w:val="single" w:sz="4" w:space="0" w:color="auto"/>
              <w:left w:val="single" w:sz="4" w:space="0" w:color="auto"/>
              <w:bottom w:val="single" w:sz="4" w:space="0" w:color="auto"/>
              <w:right w:val="single" w:sz="4" w:space="0" w:color="auto"/>
            </w:tcBorders>
          </w:tcPr>
          <w:p w14:paraId="61BBDC5A" w14:textId="77777777" w:rsidR="000D07EA" w:rsidRDefault="00BE7C89">
            <w:pPr>
              <w:pStyle w:val="BodyText"/>
              <w:spacing w:before="100" w:after="100"/>
              <w:jc w:val="center"/>
            </w:pPr>
            <w:r>
              <w:t>$330</w:t>
            </w:r>
          </w:p>
        </w:tc>
        <w:tc>
          <w:tcPr>
            <w:tcW w:w="920" w:type="pct"/>
            <w:tcBorders>
              <w:top w:val="single" w:sz="4" w:space="0" w:color="auto"/>
              <w:left w:val="single" w:sz="4" w:space="0" w:color="auto"/>
              <w:bottom w:val="single" w:sz="4" w:space="0" w:color="auto"/>
              <w:right w:val="single" w:sz="4" w:space="0" w:color="auto"/>
            </w:tcBorders>
          </w:tcPr>
          <w:p w14:paraId="7F01539D" w14:textId="77777777" w:rsidR="000D07EA" w:rsidRDefault="00BE7C89">
            <w:pPr>
              <w:pStyle w:val="BodyText"/>
              <w:spacing w:before="100" w:after="100"/>
              <w:jc w:val="center"/>
            </w:pPr>
            <w:r>
              <w:t>$330</w:t>
            </w:r>
          </w:p>
        </w:tc>
        <w:tc>
          <w:tcPr>
            <w:tcW w:w="920" w:type="pct"/>
            <w:tcBorders>
              <w:top w:val="single" w:sz="4" w:space="0" w:color="auto"/>
              <w:left w:val="single" w:sz="4" w:space="0" w:color="auto"/>
              <w:bottom w:val="single" w:sz="4" w:space="0" w:color="auto"/>
              <w:right w:val="single" w:sz="4" w:space="0" w:color="auto"/>
            </w:tcBorders>
          </w:tcPr>
          <w:p w14:paraId="70F1B5F4" w14:textId="77777777" w:rsidR="000D07EA" w:rsidRDefault="00BE7C89">
            <w:pPr>
              <w:pStyle w:val="BodyText"/>
              <w:spacing w:before="100" w:after="100"/>
              <w:jc w:val="center"/>
            </w:pPr>
            <w:r>
              <w:t>$610</w:t>
            </w:r>
          </w:p>
        </w:tc>
      </w:tr>
      <w:tr w:rsidR="000D07EA" w14:paraId="518229B4" w14:textId="77777777">
        <w:tc>
          <w:tcPr>
            <w:tcW w:w="2241" w:type="pct"/>
            <w:tcBorders>
              <w:top w:val="single" w:sz="4" w:space="0" w:color="auto"/>
              <w:left w:val="single" w:sz="4" w:space="0" w:color="auto"/>
              <w:bottom w:val="single" w:sz="4" w:space="0" w:color="auto"/>
              <w:right w:val="single" w:sz="4" w:space="0" w:color="auto"/>
            </w:tcBorders>
          </w:tcPr>
          <w:p w14:paraId="0016BE54" w14:textId="77777777" w:rsidR="000D07EA" w:rsidRDefault="00BE7C89">
            <w:pPr>
              <w:pStyle w:val="BodyText"/>
              <w:spacing w:before="100" w:after="100"/>
              <w:rPr>
                <w:b/>
              </w:rPr>
            </w:pPr>
            <w:r>
              <w:rPr>
                <w:b/>
              </w:rPr>
              <w:t xml:space="preserve">"Optus2Optus Value" per month - </w:t>
            </w:r>
            <w:r>
              <w:t>may be used for standard national calls and text to other Optus GSM Mobile Customers and to Selected Optus Fixed Lines. Customers must utilise the "Optus2AnyOne Value" before being able to access the "Optus2Optus Value"</w:t>
            </w:r>
          </w:p>
        </w:tc>
        <w:tc>
          <w:tcPr>
            <w:tcW w:w="920" w:type="pct"/>
            <w:tcBorders>
              <w:top w:val="single" w:sz="4" w:space="0" w:color="auto"/>
              <w:left w:val="single" w:sz="4" w:space="0" w:color="auto"/>
              <w:bottom w:val="single" w:sz="4" w:space="0" w:color="auto"/>
              <w:right w:val="single" w:sz="4" w:space="0" w:color="auto"/>
            </w:tcBorders>
          </w:tcPr>
          <w:p w14:paraId="03904355" w14:textId="77777777" w:rsidR="000D07EA" w:rsidRDefault="00BE7C89">
            <w:pPr>
              <w:pStyle w:val="BodyText"/>
              <w:spacing w:before="100" w:after="100"/>
              <w:jc w:val="center"/>
            </w:pPr>
            <w:r>
              <w:t>$350</w:t>
            </w:r>
          </w:p>
        </w:tc>
        <w:tc>
          <w:tcPr>
            <w:tcW w:w="920" w:type="pct"/>
            <w:tcBorders>
              <w:top w:val="single" w:sz="4" w:space="0" w:color="auto"/>
              <w:left w:val="single" w:sz="4" w:space="0" w:color="auto"/>
              <w:bottom w:val="single" w:sz="4" w:space="0" w:color="auto"/>
              <w:right w:val="single" w:sz="4" w:space="0" w:color="auto"/>
            </w:tcBorders>
          </w:tcPr>
          <w:p w14:paraId="5073CACD" w14:textId="77777777" w:rsidR="000D07EA" w:rsidRDefault="00BE7C89">
            <w:pPr>
              <w:pStyle w:val="BodyText"/>
              <w:spacing w:before="100" w:after="100"/>
              <w:jc w:val="center"/>
            </w:pPr>
            <w:r>
              <w:t>$350</w:t>
            </w:r>
          </w:p>
        </w:tc>
        <w:tc>
          <w:tcPr>
            <w:tcW w:w="920" w:type="pct"/>
            <w:tcBorders>
              <w:top w:val="single" w:sz="4" w:space="0" w:color="auto"/>
              <w:left w:val="single" w:sz="4" w:space="0" w:color="auto"/>
              <w:bottom w:val="single" w:sz="4" w:space="0" w:color="auto"/>
              <w:right w:val="single" w:sz="4" w:space="0" w:color="auto"/>
            </w:tcBorders>
          </w:tcPr>
          <w:p w14:paraId="05380771" w14:textId="77777777" w:rsidR="000D07EA" w:rsidRDefault="00BE7C89">
            <w:pPr>
              <w:pStyle w:val="BodyText"/>
              <w:spacing w:before="100" w:after="100"/>
              <w:jc w:val="center"/>
            </w:pPr>
            <w:r>
              <w:t>$640</w:t>
            </w:r>
          </w:p>
        </w:tc>
      </w:tr>
      <w:tr w:rsidR="000D07EA" w14:paraId="38B1EAC2" w14:textId="77777777">
        <w:tc>
          <w:tcPr>
            <w:tcW w:w="2241" w:type="pct"/>
            <w:tcBorders>
              <w:top w:val="single" w:sz="4" w:space="0" w:color="auto"/>
              <w:left w:val="single" w:sz="4" w:space="0" w:color="auto"/>
              <w:bottom w:val="single" w:sz="4" w:space="0" w:color="auto"/>
              <w:right w:val="single" w:sz="4" w:space="0" w:color="auto"/>
            </w:tcBorders>
          </w:tcPr>
          <w:p w14:paraId="0986CC50" w14:textId="77777777" w:rsidR="000D07EA" w:rsidRDefault="00BE7C89">
            <w:pPr>
              <w:pStyle w:val="BodyText"/>
              <w:spacing w:before="100" w:after="100"/>
              <w:rPr>
                <w:b/>
              </w:rPr>
            </w:pPr>
            <w:r>
              <w:rPr>
                <w:b/>
              </w:rPr>
              <w:t>Monthly included Mobile Internet Data*</w:t>
            </w:r>
          </w:p>
        </w:tc>
        <w:tc>
          <w:tcPr>
            <w:tcW w:w="920" w:type="pct"/>
            <w:tcBorders>
              <w:top w:val="single" w:sz="4" w:space="0" w:color="auto"/>
              <w:left w:val="single" w:sz="4" w:space="0" w:color="auto"/>
              <w:bottom w:val="single" w:sz="4" w:space="0" w:color="auto"/>
              <w:right w:val="single" w:sz="4" w:space="0" w:color="auto"/>
            </w:tcBorders>
          </w:tcPr>
          <w:p w14:paraId="1358DE73" w14:textId="77777777" w:rsidR="000D07EA" w:rsidRDefault="00BE7C89">
            <w:pPr>
              <w:pStyle w:val="BodyText"/>
              <w:spacing w:before="100" w:after="100"/>
              <w:jc w:val="center"/>
            </w:pPr>
            <w:r>
              <w:t>250MB</w:t>
            </w:r>
          </w:p>
        </w:tc>
        <w:tc>
          <w:tcPr>
            <w:tcW w:w="920" w:type="pct"/>
            <w:tcBorders>
              <w:top w:val="single" w:sz="4" w:space="0" w:color="auto"/>
              <w:left w:val="single" w:sz="4" w:space="0" w:color="auto"/>
              <w:bottom w:val="single" w:sz="4" w:space="0" w:color="auto"/>
              <w:right w:val="single" w:sz="4" w:space="0" w:color="auto"/>
            </w:tcBorders>
          </w:tcPr>
          <w:p w14:paraId="535A9CE5" w14:textId="77777777" w:rsidR="000D07EA" w:rsidRDefault="00BE7C89">
            <w:pPr>
              <w:pStyle w:val="BodyText"/>
              <w:spacing w:before="100" w:after="100"/>
              <w:jc w:val="center"/>
            </w:pPr>
            <w:r>
              <w:t>700MB</w:t>
            </w:r>
          </w:p>
        </w:tc>
        <w:tc>
          <w:tcPr>
            <w:tcW w:w="920" w:type="pct"/>
            <w:tcBorders>
              <w:top w:val="single" w:sz="4" w:space="0" w:color="auto"/>
              <w:left w:val="single" w:sz="4" w:space="0" w:color="auto"/>
              <w:bottom w:val="single" w:sz="4" w:space="0" w:color="auto"/>
              <w:right w:val="single" w:sz="4" w:space="0" w:color="auto"/>
            </w:tcBorders>
          </w:tcPr>
          <w:p w14:paraId="5641E318" w14:textId="77777777" w:rsidR="000D07EA" w:rsidRDefault="00BE7C89">
            <w:pPr>
              <w:pStyle w:val="BodyText"/>
              <w:spacing w:before="100" w:after="100"/>
              <w:jc w:val="center"/>
            </w:pPr>
            <w:r>
              <w:t>1GB</w:t>
            </w:r>
          </w:p>
        </w:tc>
      </w:tr>
      <w:tr w:rsidR="000D07EA" w14:paraId="162C60E6" w14:textId="77777777">
        <w:tc>
          <w:tcPr>
            <w:tcW w:w="2241" w:type="pct"/>
            <w:tcBorders>
              <w:top w:val="single" w:sz="4" w:space="0" w:color="auto"/>
              <w:left w:val="single" w:sz="4" w:space="0" w:color="auto"/>
              <w:bottom w:val="single" w:sz="4" w:space="0" w:color="auto"/>
              <w:right w:val="single" w:sz="4" w:space="0" w:color="auto"/>
            </w:tcBorders>
          </w:tcPr>
          <w:p w14:paraId="1C87E28E" w14:textId="77777777" w:rsidR="000D07EA" w:rsidRDefault="00BE7C89">
            <w:pPr>
              <w:pStyle w:val="BodyText"/>
              <w:spacing w:before="100" w:after="100"/>
              <w:rPr>
                <w:b/>
              </w:rPr>
            </w:pPr>
            <w:r>
              <w:rPr>
                <w:b/>
              </w:rPr>
              <w:t>Unlimited National SMS and MMS</w:t>
            </w:r>
          </w:p>
        </w:tc>
        <w:tc>
          <w:tcPr>
            <w:tcW w:w="920" w:type="pct"/>
            <w:tcBorders>
              <w:top w:val="single" w:sz="4" w:space="0" w:color="auto"/>
              <w:left w:val="single" w:sz="4" w:space="0" w:color="auto"/>
              <w:bottom w:val="single" w:sz="4" w:space="0" w:color="auto"/>
              <w:right w:val="single" w:sz="4" w:space="0" w:color="auto"/>
            </w:tcBorders>
          </w:tcPr>
          <w:p w14:paraId="240B1F67" w14:textId="77777777" w:rsidR="000D07EA" w:rsidRDefault="00BE7C89">
            <w:pPr>
              <w:pStyle w:val="BodyText"/>
              <w:spacing w:before="100" w:after="100"/>
              <w:jc w:val="center"/>
            </w:pPr>
            <w:r>
              <w:t>No</w:t>
            </w:r>
          </w:p>
        </w:tc>
        <w:tc>
          <w:tcPr>
            <w:tcW w:w="920" w:type="pct"/>
            <w:tcBorders>
              <w:top w:val="single" w:sz="4" w:space="0" w:color="auto"/>
              <w:left w:val="single" w:sz="4" w:space="0" w:color="auto"/>
              <w:bottom w:val="single" w:sz="4" w:space="0" w:color="auto"/>
              <w:right w:val="single" w:sz="4" w:space="0" w:color="auto"/>
            </w:tcBorders>
          </w:tcPr>
          <w:p w14:paraId="59C086A3" w14:textId="77777777" w:rsidR="000D07EA" w:rsidRDefault="00BE7C89">
            <w:pPr>
              <w:pStyle w:val="BodyText"/>
              <w:spacing w:before="100" w:after="100"/>
              <w:jc w:val="center"/>
            </w:pPr>
            <w:r>
              <w:t>Yes</w:t>
            </w:r>
          </w:p>
        </w:tc>
        <w:tc>
          <w:tcPr>
            <w:tcW w:w="920" w:type="pct"/>
            <w:tcBorders>
              <w:top w:val="single" w:sz="4" w:space="0" w:color="auto"/>
              <w:left w:val="single" w:sz="4" w:space="0" w:color="auto"/>
              <w:bottom w:val="single" w:sz="4" w:space="0" w:color="auto"/>
              <w:right w:val="single" w:sz="4" w:space="0" w:color="auto"/>
            </w:tcBorders>
          </w:tcPr>
          <w:p w14:paraId="49F9FB59" w14:textId="77777777" w:rsidR="000D07EA" w:rsidRDefault="00BE7C89">
            <w:pPr>
              <w:pStyle w:val="BodyText"/>
              <w:spacing w:before="100" w:after="100"/>
              <w:jc w:val="center"/>
            </w:pPr>
            <w:r>
              <w:t>Yes</w:t>
            </w:r>
          </w:p>
        </w:tc>
      </w:tr>
      <w:tr w:rsidR="000D07EA" w14:paraId="74355718" w14:textId="77777777">
        <w:tc>
          <w:tcPr>
            <w:tcW w:w="2241" w:type="pct"/>
            <w:tcBorders>
              <w:top w:val="single" w:sz="4" w:space="0" w:color="auto"/>
              <w:left w:val="single" w:sz="4" w:space="0" w:color="auto"/>
              <w:bottom w:val="single" w:sz="4" w:space="0" w:color="auto"/>
              <w:right w:val="single" w:sz="4" w:space="0" w:color="auto"/>
            </w:tcBorders>
          </w:tcPr>
          <w:p w14:paraId="3F8E09AF" w14:textId="77777777" w:rsidR="000D07EA" w:rsidRDefault="00BE7C89">
            <w:pPr>
              <w:pStyle w:val="BodyText"/>
              <w:spacing w:before="100" w:after="100"/>
              <w:rPr>
                <w:b/>
              </w:rPr>
            </w:pPr>
            <w:r>
              <w:rPr>
                <w:b/>
              </w:rPr>
              <w:lastRenderedPageBreak/>
              <w:t>Minimum Monthly charge</w:t>
            </w:r>
          </w:p>
        </w:tc>
        <w:tc>
          <w:tcPr>
            <w:tcW w:w="920" w:type="pct"/>
            <w:tcBorders>
              <w:top w:val="single" w:sz="4" w:space="0" w:color="auto"/>
              <w:left w:val="single" w:sz="4" w:space="0" w:color="auto"/>
              <w:bottom w:val="single" w:sz="4" w:space="0" w:color="auto"/>
              <w:right w:val="single" w:sz="4" w:space="0" w:color="auto"/>
            </w:tcBorders>
          </w:tcPr>
          <w:p w14:paraId="471645E8" w14:textId="77777777" w:rsidR="000D07EA" w:rsidRDefault="00BE7C89">
            <w:pPr>
              <w:pStyle w:val="BodyText"/>
              <w:spacing w:before="100" w:after="100"/>
              <w:jc w:val="center"/>
            </w:pPr>
            <w:r>
              <w:t>$49</w:t>
            </w:r>
          </w:p>
        </w:tc>
        <w:tc>
          <w:tcPr>
            <w:tcW w:w="920" w:type="pct"/>
            <w:tcBorders>
              <w:top w:val="single" w:sz="4" w:space="0" w:color="auto"/>
              <w:left w:val="single" w:sz="4" w:space="0" w:color="auto"/>
              <w:bottom w:val="single" w:sz="4" w:space="0" w:color="auto"/>
              <w:right w:val="single" w:sz="4" w:space="0" w:color="auto"/>
            </w:tcBorders>
          </w:tcPr>
          <w:p w14:paraId="3C84AC20" w14:textId="77777777" w:rsidR="000D07EA" w:rsidRDefault="00BE7C89">
            <w:pPr>
              <w:pStyle w:val="BodyText"/>
              <w:spacing w:before="100" w:after="100"/>
              <w:jc w:val="center"/>
            </w:pPr>
            <w:r>
              <w:t>$59</w:t>
            </w:r>
          </w:p>
        </w:tc>
        <w:tc>
          <w:tcPr>
            <w:tcW w:w="920" w:type="pct"/>
            <w:tcBorders>
              <w:top w:val="single" w:sz="4" w:space="0" w:color="auto"/>
              <w:left w:val="single" w:sz="4" w:space="0" w:color="auto"/>
              <w:bottom w:val="single" w:sz="4" w:space="0" w:color="auto"/>
              <w:right w:val="single" w:sz="4" w:space="0" w:color="auto"/>
            </w:tcBorders>
          </w:tcPr>
          <w:p w14:paraId="48CC0F1B" w14:textId="77777777" w:rsidR="000D07EA" w:rsidRDefault="00BE7C89">
            <w:pPr>
              <w:pStyle w:val="BodyText"/>
              <w:spacing w:before="100" w:after="100"/>
              <w:jc w:val="center"/>
            </w:pPr>
            <w:r>
              <w:t>$79</w:t>
            </w:r>
          </w:p>
          <w:p w14:paraId="576C6396" w14:textId="77777777" w:rsidR="000D07EA" w:rsidRDefault="00BE7C89">
            <w:pPr>
              <w:pStyle w:val="BodyText"/>
              <w:spacing w:before="100" w:after="100"/>
              <w:jc w:val="center"/>
            </w:pPr>
            <w:r>
              <w:t>($69 when on a 36 month fixed term contract)</w:t>
            </w:r>
          </w:p>
        </w:tc>
      </w:tr>
      <w:tr w:rsidR="000D07EA" w14:paraId="48D436F3" w14:textId="77777777">
        <w:tc>
          <w:tcPr>
            <w:tcW w:w="2241" w:type="pct"/>
            <w:tcBorders>
              <w:top w:val="single" w:sz="4" w:space="0" w:color="auto"/>
              <w:left w:val="single" w:sz="4" w:space="0" w:color="auto"/>
              <w:bottom w:val="single" w:sz="4" w:space="0" w:color="auto"/>
              <w:right w:val="single" w:sz="4" w:space="0" w:color="auto"/>
            </w:tcBorders>
          </w:tcPr>
          <w:p w14:paraId="3D5B193F" w14:textId="77777777" w:rsidR="000D07EA" w:rsidRDefault="00BE7C89">
            <w:pPr>
              <w:pStyle w:val="BodyText"/>
              <w:spacing w:before="100" w:after="100"/>
              <w:rPr>
                <w:b/>
              </w:rPr>
            </w:pPr>
            <w:r>
              <w:rPr>
                <w:b/>
              </w:rPr>
              <w:t>National Voice call charges</w:t>
            </w:r>
            <w:r>
              <w:t xml:space="preserve"> (per minute)</w:t>
            </w:r>
          </w:p>
        </w:tc>
        <w:tc>
          <w:tcPr>
            <w:tcW w:w="920" w:type="pct"/>
            <w:tcBorders>
              <w:top w:val="single" w:sz="4" w:space="0" w:color="auto"/>
              <w:left w:val="single" w:sz="4" w:space="0" w:color="auto"/>
              <w:bottom w:val="single" w:sz="4" w:space="0" w:color="auto"/>
              <w:right w:val="single" w:sz="4" w:space="0" w:color="auto"/>
            </w:tcBorders>
          </w:tcPr>
          <w:p w14:paraId="6AE46485" w14:textId="77777777" w:rsidR="000D07EA" w:rsidRDefault="00BE7C89">
            <w:pPr>
              <w:pStyle w:val="BodyText"/>
              <w:spacing w:before="100" w:after="100"/>
              <w:jc w:val="center"/>
            </w:pPr>
            <w:r>
              <w:t>$0.80</w:t>
            </w:r>
          </w:p>
        </w:tc>
        <w:tc>
          <w:tcPr>
            <w:tcW w:w="920" w:type="pct"/>
            <w:tcBorders>
              <w:top w:val="single" w:sz="4" w:space="0" w:color="auto"/>
              <w:left w:val="single" w:sz="4" w:space="0" w:color="auto"/>
              <w:bottom w:val="single" w:sz="4" w:space="0" w:color="auto"/>
              <w:right w:val="single" w:sz="4" w:space="0" w:color="auto"/>
            </w:tcBorders>
          </w:tcPr>
          <w:p w14:paraId="56F12BF7" w14:textId="77777777" w:rsidR="000D07EA" w:rsidRDefault="00BE7C89">
            <w:pPr>
              <w:pStyle w:val="BodyText"/>
              <w:spacing w:before="100" w:after="100"/>
              <w:jc w:val="center"/>
            </w:pPr>
            <w:r>
              <w:t>$0.80</w:t>
            </w:r>
          </w:p>
        </w:tc>
        <w:tc>
          <w:tcPr>
            <w:tcW w:w="920" w:type="pct"/>
            <w:tcBorders>
              <w:top w:val="single" w:sz="4" w:space="0" w:color="auto"/>
              <w:left w:val="single" w:sz="4" w:space="0" w:color="auto"/>
              <w:bottom w:val="single" w:sz="4" w:space="0" w:color="auto"/>
              <w:right w:val="single" w:sz="4" w:space="0" w:color="auto"/>
            </w:tcBorders>
          </w:tcPr>
          <w:p w14:paraId="7D308110" w14:textId="77777777" w:rsidR="000D07EA" w:rsidRDefault="00BE7C89">
            <w:pPr>
              <w:pStyle w:val="BodyText"/>
              <w:spacing w:before="100" w:after="100"/>
              <w:jc w:val="center"/>
            </w:pPr>
            <w:r>
              <w:t>$0.78</w:t>
            </w:r>
          </w:p>
        </w:tc>
      </w:tr>
      <w:tr w:rsidR="000D07EA" w14:paraId="40C16A61" w14:textId="77777777">
        <w:tc>
          <w:tcPr>
            <w:tcW w:w="2241" w:type="pct"/>
            <w:tcBorders>
              <w:top w:val="single" w:sz="4" w:space="0" w:color="auto"/>
              <w:left w:val="single" w:sz="4" w:space="0" w:color="auto"/>
              <w:bottom w:val="single" w:sz="4" w:space="0" w:color="auto"/>
              <w:right w:val="single" w:sz="4" w:space="0" w:color="auto"/>
            </w:tcBorders>
          </w:tcPr>
          <w:p w14:paraId="104CF719" w14:textId="77777777" w:rsidR="000D07EA" w:rsidRDefault="00BE7C89">
            <w:pPr>
              <w:pStyle w:val="BodyText"/>
              <w:spacing w:before="100" w:after="100"/>
            </w:pPr>
            <w:r>
              <w:rPr>
                <w:b/>
                <w:i/>
              </w:rPr>
              <w:t>Flagfall</w:t>
            </w:r>
            <w:r>
              <w:rPr>
                <w:b/>
              </w:rPr>
              <w:t xml:space="preserve"> for national voice calls (Call Connection Charge)</w:t>
            </w:r>
          </w:p>
        </w:tc>
        <w:tc>
          <w:tcPr>
            <w:tcW w:w="920" w:type="pct"/>
            <w:tcBorders>
              <w:top w:val="single" w:sz="4" w:space="0" w:color="auto"/>
              <w:left w:val="single" w:sz="4" w:space="0" w:color="auto"/>
              <w:bottom w:val="single" w:sz="4" w:space="0" w:color="auto"/>
              <w:right w:val="single" w:sz="4" w:space="0" w:color="auto"/>
            </w:tcBorders>
          </w:tcPr>
          <w:p w14:paraId="73B0465B" w14:textId="77777777" w:rsidR="000D07EA" w:rsidRDefault="00BE7C89">
            <w:pPr>
              <w:pStyle w:val="BodyText"/>
              <w:spacing w:before="100" w:after="100"/>
              <w:jc w:val="center"/>
            </w:pPr>
            <w:r>
              <w:t>$0.35</w:t>
            </w:r>
          </w:p>
        </w:tc>
        <w:tc>
          <w:tcPr>
            <w:tcW w:w="920" w:type="pct"/>
            <w:tcBorders>
              <w:top w:val="single" w:sz="4" w:space="0" w:color="auto"/>
              <w:left w:val="single" w:sz="4" w:space="0" w:color="auto"/>
              <w:bottom w:val="single" w:sz="4" w:space="0" w:color="auto"/>
              <w:right w:val="single" w:sz="4" w:space="0" w:color="auto"/>
            </w:tcBorders>
          </w:tcPr>
          <w:p w14:paraId="4C880DD0" w14:textId="77777777" w:rsidR="000D07EA" w:rsidRDefault="00BE7C89">
            <w:pPr>
              <w:pStyle w:val="BodyText"/>
              <w:spacing w:before="100" w:after="100"/>
              <w:jc w:val="center"/>
            </w:pPr>
            <w:r>
              <w:t>$0.35</w:t>
            </w:r>
          </w:p>
        </w:tc>
        <w:tc>
          <w:tcPr>
            <w:tcW w:w="920" w:type="pct"/>
            <w:tcBorders>
              <w:top w:val="single" w:sz="4" w:space="0" w:color="auto"/>
              <w:left w:val="single" w:sz="4" w:space="0" w:color="auto"/>
              <w:bottom w:val="single" w:sz="4" w:space="0" w:color="auto"/>
              <w:right w:val="single" w:sz="4" w:space="0" w:color="auto"/>
            </w:tcBorders>
          </w:tcPr>
          <w:p w14:paraId="1A86CF0A" w14:textId="77777777" w:rsidR="000D07EA" w:rsidRDefault="00BE7C89">
            <w:pPr>
              <w:pStyle w:val="BodyText"/>
              <w:spacing w:before="100" w:after="100"/>
              <w:jc w:val="center"/>
            </w:pPr>
            <w:r>
              <w:t>$0.35</w:t>
            </w:r>
          </w:p>
        </w:tc>
      </w:tr>
      <w:tr w:rsidR="000D07EA" w14:paraId="7930F297" w14:textId="77777777">
        <w:tc>
          <w:tcPr>
            <w:tcW w:w="2241" w:type="pct"/>
            <w:tcBorders>
              <w:top w:val="single" w:sz="4" w:space="0" w:color="auto"/>
              <w:left w:val="single" w:sz="4" w:space="0" w:color="auto"/>
              <w:bottom w:val="single" w:sz="4" w:space="0" w:color="auto"/>
              <w:right w:val="single" w:sz="4" w:space="0" w:color="auto"/>
            </w:tcBorders>
          </w:tcPr>
          <w:p w14:paraId="571AEA79" w14:textId="77777777" w:rsidR="000D07EA" w:rsidRDefault="00BE7C89">
            <w:pPr>
              <w:pStyle w:val="BodyText"/>
              <w:spacing w:before="100" w:after="100"/>
              <w:rPr>
                <w:b/>
              </w:rPr>
            </w:pPr>
            <w:r>
              <w:rPr>
                <w:b/>
              </w:rPr>
              <w:t xml:space="preserve">National SMS Charges </w:t>
            </w:r>
            <w:r>
              <w:t>(for standard SMS of up to 160 characters)</w:t>
            </w:r>
          </w:p>
        </w:tc>
        <w:tc>
          <w:tcPr>
            <w:tcW w:w="920" w:type="pct"/>
            <w:tcBorders>
              <w:top w:val="single" w:sz="4" w:space="0" w:color="auto"/>
              <w:left w:val="single" w:sz="4" w:space="0" w:color="auto"/>
              <w:bottom w:val="single" w:sz="4" w:space="0" w:color="auto"/>
              <w:right w:val="single" w:sz="4" w:space="0" w:color="auto"/>
            </w:tcBorders>
          </w:tcPr>
          <w:p w14:paraId="3EA1F8A0" w14:textId="77777777" w:rsidR="000D07EA" w:rsidRDefault="00BE7C89">
            <w:pPr>
              <w:pStyle w:val="BodyText"/>
              <w:spacing w:before="100" w:after="100"/>
              <w:jc w:val="center"/>
            </w:pPr>
            <w:r>
              <w:t>$0.25</w:t>
            </w:r>
          </w:p>
        </w:tc>
        <w:tc>
          <w:tcPr>
            <w:tcW w:w="920" w:type="pct"/>
            <w:tcBorders>
              <w:top w:val="single" w:sz="4" w:space="0" w:color="auto"/>
              <w:left w:val="single" w:sz="4" w:space="0" w:color="auto"/>
              <w:bottom w:val="single" w:sz="4" w:space="0" w:color="auto"/>
              <w:right w:val="single" w:sz="4" w:space="0" w:color="auto"/>
            </w:tcBorders>
          </w:tcPr>
          <w:p w14:paraId="66CBF5B4" w14:textId="77777777" w:rsidR="000D07EA" w:rsidRDefault="00BE7C89">
            <w:pPr>
              <w:pStyle w:val="BodyText"/>
              <w:spacing w:before="100" w:after="100"/>
              <w:jc w:val="center"/>
            </w:pPr>
            <w:r>
              <w:t>$0.25</w:t>
            </w:r>
          </w:p>
        </w:tc>
        <w:tc>
          <w:tcPr>
            <w:tcW w:w="920" w:type="pct"/>
            <w:tcBorders>
              <w:top w:val="single" w:sz="4" w:space="0" w:color="auto"/>
              <w:left w:val="single" w:sz="4" w:space="0" w:color="auto"/>
              <w:bottom w:val="single" w:sz="4" w:space="0" w:color="auto"/>
              <w:right w:val="single" w:sz="4" w:space="0" w:color="auto"/>
            </w:tcBorders>
          </w:tcPr>
          <w:p w14:paraId="399DE397" w14:textId="77777777" w:rsidR="000D07EA" w:rsidRDefault="00BE7C89">
            <w:pPr>
              <w:pStyle w:val="BodyText"/>
              <w:spacing w:before="100" w:after="100"/>
              <w:jc w:val="center"/>
            </w:pPr>
            <w:r>
              <w:t>$0.25</w:t>
            </w:r>
          </w:p>
        </w:tc>
      </w:tr>
      <w:tr w:rsidR="000D07EA" w14:paraId="658A3213" w14:textId="77777777">
        <w:tc>
          <w:tcPr>
            <w:tcW w:w="2241" w:type="pct"/>
            <w:tcBorders>
              <w:top w:val="single" w:sz="4" w:space="0" w:color="auto"/>
              <w:left w:val="single" w:sz="4" w:space="0" w:color="auto"/>
              <w:bottom w:val="single" w:sz="4" w:space="0" w:color="auto"/>
              <w:right w:val="single" w:sz="4" w:space="0" w:color="auto"/>
            </w:tcBorders>
          </w:tcPr>
          <w:p w14:paraId="65D789C8" w14:textId="77777777" w:rsidR="000D07EA" w:rsidRDefault="00BE7C89">
            <w:pPr>
              <w:pStyle w:val="BodyText"/>
              <w:spacing w:before="100" w:after="100"/>
              <w:rPr>
                <w:b/>
              </w:rPr>
            </w:pPr>
            <w:r>
              <w:rPr>
                <w:b/>
              </w:rPr>
              <w:t>National Photo Message (per message)</w:t>
            </w:r>
          </w:p>
        </w:tc>
        <w:tc>
          <w:tcPr>
            <w:tcW w:w="920" w:type="pct"/>
            <w:tcBorders>
              <w:top w:val="single" w:sz="4" w:space="0" w:color="auto"/>
              <w:left w:val="single" w:sz="4" w:space="0" w:color="auto"/>
              <w:bottom w:val="single" w:sz="4" w:space="0" w:color="auto"/>
              <w:right w:val="single" w:sz="4" w:space="0" w:color="auto"/>
            </w:tcBorders>
          </w:tcPr>
          <w:p w14:paraId="18CDB279" w14:textId="77777777" w:rsidR="000D07EA" w:rsidRDefault="00BE7C89">
            <w:pPr>
              <w:pStyle w:val="BodyText"/>
              <w:spacing w:before="100" w:after="100"/>
              <w:jc w:val="center"/>
            </w:pPr>
            <w:r>
              <w:t>$0.25</w:t>
            </w:r>
          </w:p>
        </w:tc>
        <w:tc>
          <w:tcPr>
            <w:tcW w:w="920" w:type="pct"/>
            <w:tcBorders>
              <w:top w:val="single" w:sz="4" w:space="0" w:color="auto"/>
              <w:left w:val="single" w:sz="4" w:space="0" w:color="auto"/>
              <w:bottom w:val="single" w:sz="4" w:space="0" w:color="auto"/>
              <w:right w:val="single" w:sz="4" w:space="0" w:color="auto"/>
            </w:tcBorders>
          </w:tcPr>
          <w:p w14:paraId="26448641" w14:textId="77777777" w:rsidR="000D07EA" w:rsidRDefault="00BE7C89">
            <w:pPr>
              <w:pStyle w:val="BodyText"/>
              <w:spacing w:before="100" w:after="100"/>
              <w:jc w:val="center"/>
            </w:pPr>
            <w:r>
              <w:t>$0.25</w:t>
            </w:r>
          </w:p>
        </w:tc>
        <w:tc>
          <w:tcPr>
            <w:tcW w:w="920" w:type="pct"/>
            <w:tcBorders>
              <w:top w:val="single" w:sz="4" w:space="0" w:color="auto"/>
              <w:left w:val="single" w:sz="4" w:space="0" w:color="auto"/>
              <w:bottom w:val="single" w:sz="4" w:space="0" w:color="auto"/>
              <w:right w:val="single" w:sz="4" w:space="0" w:color="auto"/>
            </w:tcBorders>
          </w:tcPr>
          <w:p w14:paraId="2DDF2B3B" w14:textId="77777777" w:rsidR="000D07EA" w:rsidRDefault="00BE7C89">
            <w:pPr>
              <w:pStyle w:val="BodyText"/>
              <w:spacing w:before="100" w:after="100"/>
              <w:jc w:val="center"/>
            </w:pPr>
            <w:r>
              <w:t>$0.25</w:t>
            </w:r>
          </w:p>
        </w:tc>
      </w:tr>
      <w:tr w:rsidR="000D07EA" w14:paraId="5166D2CF" w14:textId="77777777">
        <w:tc>
          <w:tcPr>
            <w:tcW w:w="2241" w:type="pct"/>
            <w:tcBorders>
              <w:top w:val="single" w:sz="4" w:space="0" w:color="auto"/>
              <w:left w:val="single" w:sz="4" w:space="0" w:color="auto"/>
              <w:bottom w:val="single" w:sz="4" w:space="0" w:color="auto"/>
              <w:right w:val="single" w:sz="4" w:space="0" w:color="auto"/>
            </w:tcBorders>
          </w:tcPr>
          <w:p w14:paraId="01AFF339" w14:textId="77777777" w:rsidR="000D07EA" w:rsidRDefault="00BE7C89">
            <w:pPr>
              <w:pStyle w:val="BodyText"/>
              <w:spacing w:before="100" w:after="100"/>
              <w:rPr>
                <w:b/>
              </w:rPr>
            </w:pPr>
            <w:r>
              <w:rPr>
                <w:b/>
              </w:rPr>
              <w:t>National Video Calling (per minute)</w:t>
            </w:r>
          </w:p>
        </w:tc>
        <w:tc>
          <w:tcPr>
            <w:tcW w:w="920" w:type="pct"/>
            <w:tcBorders>
              <w:top w:val="single" w:sz="4" w:space="0" w:color="auto"/>
              <w:left w:val="single" w:sz="4" w:space="0" w:color="auto"/>
              <w:bottom w:val="single" w:sz="4" w:space="0" w:color="auto"/>
              <w:right w:val="single" w:sz="4" w:space="0" w:color="auto"/>
            </w:tcBorders>
          </w:tcPr>
          <w:p w14:paraId="56128FE6" w14:textId="77777777" w:rsidR="000D07EA" w:rsidRDefault="00BE7C89">
            <w:pPr>
              <w:pStyle w:val="BodyText"/>
              <w:spacing w:before="100" w:after="100"/>
              <w:jc w:val="center"/>
            </w:pPr>
            <w:r>
              <w:t>$1.00</w:t>
            </w:r>
          </w:p>
        </w:tc>
        <w:tc>
          <w:tcPr>
            <w:tcW w:w="920" w:type="pct"/>
            <w:tcBorders>
              <w:top w:val="single" w:sz="4" w:space="0" w:color="auto"/>
              <w:left w:val="single" w:sz="4" w:space="0" w:color="auto"/>
              <w:bottom w:val="single" w:sz="4" w:space="0" w:color="auto"/>
              <w:right w:val="single" w:sz="4" w:space="0" w:color="auto"/>
            </w:tcBorders>
          </w:tcPr>
          <w:p w14:paraId="21273B42" w14:textId="77777777" w:rsidR="000D07EA" w:rsidRDefault="00BE7C89">
            <w:pPr>
              <w:pStyle w:val="BodyText"/>
              <w:spacing w:before="100" w:after="100"/>
              <w:jc w:val="center"/>
            </w:pPr>
            <w:r>
              <w:t>$1.00</w:t>
            </w:r>
          </w:p>
        </w:tc>
        <w:tc>
          <w:tcPr>
            <w:tcW w:w="920" w:type="pct"/>
            <w:tcBorders>
              <w:top w:val="single" w:sz="4" w:space="0" w:color="auto"/>
              <w:left w:val="single" w:sz="4" w:space="0" w:color="auto"/>
              <w:bottom w:val="single" w:sz="4" w:space="0" w:color="auto"/>
              <w:right w:val="single" w:sz="4" w:space="0" w:color="auto"/>
            </w:tcBorders>
          </w:tcPr>
          <w:p w14:paraId="79190F24" w14:textId="77777777" w:rsidR="000D07EA" w:rsidRDefault="00BE7C89">
            <w:pPr>
              <w:pStyle w:val="BodyText"/>
              <w:spacing w:before="100" w:after="100"/>
              <w:jc w:val="center"/>
            </w:pPr>
            <w:r>
              <w:t>$1.00</w:t>
            </w:r>
          </w:p>
        </w:tc>
      </w:tr>
      <w:tr w:rsidR="000D07EA" w14:paraId="4DFC8979" w14:textId="77777777">
        <w:tc>
          <w:tcPr>
            <w:tcW w:w="2241" w:type="pct"/>
            <w:tcBorders>
              <w:top w:val="single" w:sz="4" w:space="0" w:color="auto"/>
              <w:left w:val="single" w:sz="4" w:space="0" w:color="auto"/>
              <w:bottom w:val="single" w:sz="4" w:space="0" w:color="auto"/>
              <w:right w:val="single" w:sz="4" w:space="0" w:color="auto"/>
            </w:tcBorders>
          </w:tcPr>
          <w:p w14:paraId="70B23D6B" w14:textId="77777777" w:rsidR="000D07EA" w:rsidRDefault="00BE7C89">
            <w:pPr>
              <w:pStyle w:val="BodyText"/>
              <w:spacing w:before="100" w:after="100"/>
              <w:rPr>
                <w:b/>
              </w:rPr>
            </w:pPr>
            <w:r>
              <w:rPr>
                <w:b/>
                <w:i/>
              </w:rPr>
              <w:t xml:space="preserve">Flagfall </w:t>
            </w:r>
            <w:r>
              <w:rPr>
                <w:b/>
              </w:rPr>
              <w:t>for National Video Calls (per call)</w:t>
            </w:r>
          </w:p>
        </w:tc>
        <w:tc>
          <w:tcPr>
            <w:tcW w:w="920" w:type="pct"/>
            <w:tcBorders>
              <w:top w:val="single" w:sz="4" w:space="0" w:color="auto"/>
              <w:left w:val="single" w:sz="4" w:space="0" w:color="auto"/>
              <w:bottom w:val="single" w:sz="4" w:space="0" w:color="auto"/>
              <w:right w:val="single" w:sz="4" w:space="0" w:color="auto"/>
            </w:tcBorders>
          </w:tcPr>
          <w:p w14:paraId="00EB1322" w14:textId="77777777" w:rsidR="000D07EA" w:rsidRDefault="00BE7C89">
            <w:pPr>
              <w:pStyle w:val="BodyText"/>
              <w:spacing w:before="100" w:after="100"/>
              <w:jc w:val="center"/>
            </w:pPr>
            <w:r>
              <w:t>$0.35</w:t>
            </w:r>
          </w:p>
        </w:tc>
        <w:tc>
          <w:tcPr>
            <w:tcW w:w="920" w:type="pct"/>
            <w:tcBorders>
              <w:top w:val="single" w:sz="4" w:space="0" w:color="auto"/>
              <w:left w:val="single" w:sz="4" w:space="0" w:color="auto"/>
              <w:bottom w:val="single" w:sz="4" w:space="0" w:color="auto"/>
              <w:right w:val="single" w:sz="4" w:space="0" w:color="auto"/>
            </w:tcBorders>
          </w:tcPr>
          <w:p w14:paraId="5549AA22" w14:textId="77777777" w:rsidR="000D07EA" w:rsidRDefault="00BE7C89">
            <w:pPr>
              <w:pStyle w:val="BodyText"/>
              <w:spacing w:before="100" w:after="100"/>
              <w:jc w:val="center"/>
            </w:pPr>
            <w:r>
              <w:t>$0.35</w:t>
            </w:r>
          </w:p>
        </w:tc>
        <w:tc>
          <w:tcPr>
            <w:tcW w:w="920" w:type="pct"/>
            <w:tcBorders>
              <w:top w:val="single" w:sz="4" w:space="0" w:color="auto"/>
              <w:left w:val="single" w:sz="4" w:space="0" w:color="auto"/>
              <w:bottom w:val="single" w:sz="4" w:space="0" w:color="auto"/>
              <w:right w:val="single" w:sz="4" w:space="0" w:color="auto"/>
            </w:tcBorders>
          </w:tcPr>
          <w:p w14:paraId="0610CFB2" w14:textId="77777777" w:rsidR="000D07EA" w:rsidRDefault="00BE7C89">
            <w:pPr>
              <w:pStyle w:val="BodyText"/>
              <w:spacing w:before="100" w:after="100"/>
              <w:jc w:val="center"/>
            </w:pPr>
            <w:r>
              <w:t>$0.35</w:t>
            </w:r>
          </w:p>
        </w:tc>
      </w:tr>
      <w:tr w:rsidR="000D07EA" w14:paraId="7C47D125" w14:textId="77777777">
        <w:tc>
          <w:tcPr>
            <w:tcW w:w="2241" w:type="pct"/>
            <w:tcBorders>
              <w:top w:val="single" w:sz="4" w:space="0" w:color="auto"/>
              <w:left w:val="single" w:sz="4" w:space="0" w:color="auto"/>
              <w:bottom w:val="single" w:sz="4" w:space="0" w:color="auto"/>
              <w:right w:val="single" w:sz="4" w:space="0" w:color="auto"/>
            </w:tcBorders>
          </w:tcPr>
          <w:p w14:paraId="6C32CE6E" w14:textId="77777777" w:rsidR="000D07EA" w:rsidRDefault="00BE7C89">
            <w:pPr>
              <w:pStyle w:val="BodyText"/>
              <w:spacing w:before="100" w:after="100"/>
              <w:rPr>
                <w:b/>
                <w:i/>
              </w:rPr>
            </w:pPr>
            <w:r>
              <w:rPr>
                <w:b/>
              </w:rPr>
              <w:t>Other call charges (for example international calls, calls to mobiles)</w:t>
            </w:r>
          </w:p>
        </w:tc>
        <w:tc>
          <w:tcPr>
            <w:tcW w:w="2759" w:type="pct"/>
            <w:gridSpan w:val="3"/>
            <w:tcBorders>
              <w:top w:val="single" w:sz="4" w:space="0" w:color="auto"/>
              <w:left w:val="single" w:sz="4" w:space="0" w:color="auto"/>
              <w:bottom w:val="single" w:sz="4" w:space="0" w:color="auto"/>
              <w:right w:val="single" w:sz="4" w:space="0" w:color="auto"/>
            </w:tcBorders>
          </w:tcPr>
          <w:p w14:paraId="74264C3E" w14:textId="77777777" w:rsidR="000D07EA" w:rsidRDefault="00BE7C89">
            <w:pPr>
              <w:pStyle w:val="BodyText"/>
              <w:spacing w:before="100" w:after="100"/>
              <w:jc w:val="center"/>
            </w:pPr>
            <w:r>
              <w:t xml:space="preserve">See section 1 of this </w:t>
            </w:r>
            <w:r>
              <w:rPr>
                <w:i/>
              </w:rPr>
              <w:t>standard pricing table</w:t>
            </w:r>
            <w:r>
              <w:t xml:space="preserve"> and Appendix Y (Value Added Service Features)</w:t>
            </w:r>
          </w:p>
        </w:tc>
      </w:tr>
      <w:tr w:rsidR="000D07EA" w14:paraId="0B931C9A" w14:textId="77777777">
        <w:tc>
          <w:tcPr>
            <w:tcW w:w="2241" w:type="pct"/>
            <w:tcBorders>
              <w:top w:val="single" w:sz="4" w:space="0" w:color="auto"/>
              <w:left w:val="single" w:sz="4" w:space="0" w:color="auto"/>
              <w:bottom w:val="single" w:sz="4" w:space="0" w:color="auto"/>
              <w:right w:val="single" w:sz="4" w:space="0" w:color="auto"/>
            </w:tcBorders>
          </w:tcPr>
          <w:p w14:paraId="6A2F6490" w14:textId="77777777" w:rsidR="000D07EA" w:rsidRDefault="00BE7C89">
            <w:pPr>
              <w:pStyle w:val="BodyText"/>
              <w:spacing w:before="100" w:after="100"/>
              <w:rPr>
                <w:rFonts w:cs="Arial"/>
                <w:b/>
                <w:szCs w:val="20"/>
              </w:rPr>
            </w:pPr>
            <w:r>
              <w:rPr>
                <w:rFonts w:cs="Arial"/>
                <w:b/>
                <w:szCs w:val="20"/>
              </w:rPr>
              <w:t xml:space="preserve">Other conditions </w:t>
            </w:r>
            <w:r>
              <w:rPr>
                <w:rFonts w:cs="Arial"/>
                <w:szCs w:val="20"/>
              </w:rPr>
              <w:t xml:space="preserve">(for details see paragraph </w:t>
            </w:r>
            <w:r w:rsidR="00390D08" w:rsidRPr="00272628">
              <w:rPr>
                <w:rFonts w:cs="Arial"/>
                <w:szCs w:val="20"/>
              </w:rPr>
              <w:t>83</w:t>
            </w:r>
            <w:r w:rsidRPr="00272628">
              <w:rPr>
                <w:rFonts w:cs="Arial"/>
                <w:szCs w:val="20"/>
              </w:rPr>
              <w:t>.4(g) above</w:t>
            </w:r>
            <w:r>
              <w:rPr>
                <w:rFonts w:cs="Arial"/>
                <w:szCs w:val="20"/>
              </w:rPr>
              <w:t>)</w:t>
            </w:r>
          </w:p>
        </w:tc>
        <w:tc>
          <w:tcPr>
            <w:tcW w:w="2759" w:type="pct"/>
            <w:gridSpan w:val="3"/>
            <w:tcBorders>
              <w:top w:val="single" w:sz="4" w:space="0" w:color="auto"/>
              <w:left w:val="single" w:sz="4" w:space="0" w:color="auto"/>
              <w:bottom w:val="single" w:sz="4" w:space="0" w:color="auto"/>
              <w:right w:val="single" w:sz="4" w:space="0" w:color="auto"/>
            </w:tcBorders>
          </w:tcPr>
          <w:p w14:paraId="3731C659" w14:textId="77777777" w:rsidR="000D07EA" w:rsidRDefault="00BE7C89">
            <w:pPr>
              <w:pStyle w:val="BodyText"/>
              <w:spacing w:before="100" w:after="100"/>
              <w:jc w:val="center"/>
            </w:pPr>
            <w:r>
              <w:t>Fair Go Policy (</w:t>
            </w:r>
            <w:hyperlink r:id="rId170" w:history="1">
              <w:r>
                <w:rPr>
                  <w:rStyle w:val="Hyperlink"/>
                  <w:i/>
                </w:rPr>
                <w:t>Appendix S</w:t>
              </w:r>
            </w:hyperlink>
            <w:r>
              <w:t>) applies to 'excessive use' or 'unreasonable use'.</w:t>
            </w:r>
          </w:p>
        </w:tc>
      </w:tr>
      <w:tr w:rsidR="000D07EA" w14:paraId="5C3BB6B4" w14:textId="77777777">
        <w:tc>
          <w:tcPr>
            <w:tcW w:w="2241" w:type="pct"/>
            <w:tcBorders>
              <w:top w:val="single" w:sz="4" w:space="0" w:color="auto"/>
              <w:left w:val="single" w:sz="4" w:space="0" w:color="auto"/>
              <w:bottom w:val="single" w:sz="4" w:space="0" w:color="auto"/>
              <w:right w:val="single" w:sz="4" w:space="0" w:color="auto"/>
            </w:tcBorders>
          </w:tcPr>
          <w:p w14:paraId="25BCF260" w14:textId="77777777" w:rsidR="000D07EA" w:rsidRDefault="00BE7C89">
            <w:pPr>
              <w:pStyle w:val="BodyText"/>
              <w:spacing w:before="100" w:after="100"/>
              <w:rPr>
                <w:b/>
              </w:rPr>
            </w:pPr>
            <w:r>
              <w:rPr>
                <w:b/>
              </w:rPr>
              <w:t>Available on Non Fixed Contract (Month to Month)</w:t>
            </w:r>
          </w:p>
        </w:tc>
        <w:tc>
          <w:tcPr>
            <w:tcW w:w="920" w:type="pct"/>
            <w:tcBorders>
              <w:top w:val="single" w:sz="4" w:space="0" w:color="auto"/>
              <w:left w:val="single" w:sz="4" w:space="0" w:color="auto"/>
              <w:bottom w:val="single" w:sz="4" w:space="0" w:color="auto"/>
              <w:right w:val="single" w:sz="4" w:space="0" w:color="auto"/>
            </w:tcBorders>
          </w:tcPr>
          <w:p w14:paraId="5CAB09B7" w14:textId="77777777" w:rsidR="000D07EA" w:rsidRDefault="00BE7C89">
            <w:pPr>
              <w:pStyle w:val="BodyText"/>
              <w:spacing w:before="100" w:after="100"/>
              <w:jc w:val="center"/>
            </w:pPr>
            <w:r>
              <w:t>Yes</w:t>
            </w:r>
          </w:p>
        </w:tc>
        <w:tc>
          <w:tcPr>
            <w:tcW w:w="920" w:type="pct"/>
            <w:tcBorders>
              <w:top w:val="single" w:sz="4" w:space="0" w:color="auto"/>
              <w:left w:val="single" w:sz="4" w:space="0" w:color="auto"/>
              <w:bottom w:val="single" w:sz="4" w:space="0" w:color="auto"/>
              <w:right w:val="single" w:sz="4" w:space="0" w:color="auto"/>
            </w:tcBorders>
          </w:tcPr>
          <w:p w14:paraId="28A09E34" w14:textId="77777777" w:rsidR="000D07EA" w:rsidRDefault="00BE7C89">
            <w:pPr>
              <w:pStyle w:val="BodyText"/>
              <w:spacing w:before="100" w:after="100"/>
              <w:jc w:val="center"/>
            </w:pPr>
            <w:r>
              <w:t>No</w:t>
            </w:r>
          </w:p>
        </w:tc>
        <w:tc>
          <w:tcPr>
            <w:tcW w:w="920" w:type="pct"/>
            <w:tcBorders>
              <w:top w:val="single" w:sz="4" w:space="0" w:color="auto"/>
              <w:left w:val="single" w:sz="4" w:space="0" w:color="auto"/>
              <w:bottom w:val="single" w:sz="4" w:space="0" w:color="auto"/>
              <w:right w:val="single" w:sz="4" w:space="0" w:color="auto"/>
            </w:tcBorders>
          </w:tcPr>
          <w:p w14:paraId="34E1F9DF" w14:textId="77777777" w:rsidR="000D07EA" w:rsidRDefault="00BE7C89">
            <w:pPr>
              <w:pStyle w:val="BodyText"/>
              <w:spacing w:before="100" w:after="100"/>
              <w:jc w:val="center"/>
            </w:pPr>
            <w:r>
              <w:t>Yes</w:t>
            </w:r>
          </w:p>
        </w:tc>
      </w:tr>
      <w:tr w:rsidR="000D07EA" w14:paraId="56CE8BA5" w14:textId="77777777">
        <w:tc>
          <w:tcPr>
            <w:tcW w:w="2241" w:type="pct"/>
            <w:tcBorders>
              <w:top w:val="single" w:sz="4" w:space="0" w:color="auto"/>
              <w:left w:val="single" w:sz="4" w:space="0" w:color="auto"/>
              <w:bottom w:val="single" w:sz="4" w:space="0" w:color="auto"/>
              <w:right w:val="single" w:sz="4" w:space="0" w:color="auto"/>
            </w:tcBorders>
          </w:tcPr>
          <w:p w14:paraId="79DCF74C" w14:textId="77777777" w:rsidR="000D07EA" w:rsidRDefault="00BE7C89">
            <w:pPr>
              <w:pStyle w:val="BodyText"/>
              <w:spacing w:before="100" w:after="100"/>
              <w:rPr>
                <w:b/>
              </w:rPr>
            </w:pPr>
            <w:r>
              <w:rPr>
                <w:b/>
              </w:rPr>
              <w:t>Available on a Fixed Term Contract (12 or 24 Months)</w:t>
            </w:r>
          </w:p>
        </w:tc>
        <w:tc>
          <w:tcPr>
            <w:tcW w:w="920" w:type="pct"/>
            <w:tcBorders>
              <w:top w:val="single" w:sz="4" w:space="0" w:color="auto"/>
              <w:left w:val="single" w:sz="4" w:space="0" w:color="auto"/>
              <w:bottom w:val="single" w:sz="4" w:space="0" w:color="auto"/>
              <w:right w:val="single" w:sz="4" w:space="0" w:color="auto"/>
            </w:tcBorders>
          </w:tcPr>
          <w:p w14:paraId="2D080BA2" w14:textId="77777777" w:rsidR="000D07EA" w:rsidRDefault="00BE7C89">
            <w:pPr>
              <w:pStyle w:val="BodyText"/>
              <w:spacing w:before="100" w:after="100"/>
              <w:jc w:val="center"/>
            </w:pPr>
            <w:r>
              <w:t>Yes</w:t>
            </w:r>
          </w:p>
        </w:tc>
        <w:tc>
          <w:tcPr>
            <w:tcW w:w="920" w:type="pct"/>
            <w:tcBorders>
              <w:top w:val="single" w:sz="4" w:space="0" w:color="auto"/>
              <w:left w:val="single" w:sz="4" w:space="0" w:color="auto"/>
              <w:bottom w:val="single" w:sz="4" w:space="0" w:color="auto"/>
              <w:right w:val="single" w:sz="4" w:space="0" w:color="auto"/>
            </w:tcBorders>
          </w:tcPr>
          <w:p w14:paraId="28B3046B" w14:textId="77777777" w:rsidR="000D07EA" w:rsidRDefault="00BE7C89">
            <w:pPr>
              <w:pStyle w:val="BodyText"/>
              <w:spacing w:before="100" w:after="100"/>
              <w:jc w:val="center"/>
            </w:pPr>
            <w:r>
              <w:t>Yes</w:t>
            </w:r>
          </w:p>
        </w:tc>
        <w:tc>
          <w:tcPr>
            <w:tcW w:w="920" w:type="pct"/>
            <w:tcBorders>
              <w:top w:val="single" w:sz="4" w:space="0" w:color="auto"/>
              <w:left w:val="single" w:sz="4" w:space="0" w:color="auto"/>
              <w:bottom w:val="single" w:sz="4" w:space="0" w:color="auto"/>
              <w:right w:val="single" w:sz="4" w:space="0" w:color="auto"/>
            </w:tcBorders>
          </w:tcPr>
          <w:p w14:paraId="76BD4A0B" w14:textId="77777777" w:rsidR="000D07EA" w:rsidRDefault="00BE7C89">
            <w:pPr>
              <w:pStyle w:val="BodyText"/>
              <w:spacing w:before="100" w:after="100"/>
              <w:jc w:val="center"/>
            </w:pPr>
            <w:r>
              <w:t>Yes</w:t>
            </w:r>
          </w:p>
        </w:tc>
      </w:tr>
      <w:tr w:rsidR="000D07EA" w14:paraId="75405D48" w14:textId="77777777">
        <w:tc>
          <w:tcPr>
            <w:tcW w:w="2241" w:type="pct"/>
            <w:tcBorders>
              <w:top w:val="single" w:sz="4" w:space="0" w:color="auto"/>
              <w:left w:val="single" w:sz="4" w:space="0" w:color="auto"/>
              <w:bottom w:val="single" w:sz="4" w:space="0" w:color="auto"/>
              <w:right w:val="single" w:sz="4" w:space="0" w:color="auto"/>
            </w:tcBorders>
          </w:tcPr>
          <w:p w14:paraId="4CD01853" w14:textId="77777777" w:rsidR="000D07EA" w:rsidRDefault="00BE7C89">
            <w:pPr>
              <w:pStyle w:val="BodyText"/>
              <w:spacing w:before="100" w:after="100"/>
              <w:rPr>
                <w:b/>
              </w:rPr>
            </w:pPr>
            <w:r>
              <w:rPr>
                <w:b/>
              </w:rPr>
              <w:t>Available on a Fixed Term Contract (36 Months)</w:t>
            </w:r>
          </w:p>
        </w:tc>
        <w:tc>
          <w:tcPr>
            <w:tcW w:w="920" w:type="pct"/>
            <w:tcBorders>
              <w:top w:val="single" w:sz="4" w:space="0" w:color="auto"/>
              <w:left w:val="single" w:sz="4" w:space="0" w:color="auto"/>
              <w:bottom w:val="single" w:sz="4" w:space="0" w:color="auto"/>
              <w:right w:val="single" w:sz="4" w:space="0" w:color="auto"/>
            </w:tcBorders>
          </w:tcPr>
          <w:p w14:paraId="66420AC2" w14:textId="77777777" w:rsidR="000D07EA" w:rsidRDefault="00BE7C89">
            <w:pPr>
              <w:pStyle w:val="BodyText"/>
              <w:spacing w:before="100" w:after="100"/>
              <w:jc w:val="center"/>
            </w:pPr>
            <w:r>
              <w:t>No</w:t>
            </w:r>
          </w:p>
        </w:tc>
        <w:tc>
          <w:tcPr>
            <w:tcW w:w="920" w:type="pct"/>
            <w:tcBorders>
              <w:top w:val="single" w:sz="4" w:space="0" w:color="auto"/>
              <w:left w:val="single" w:sz="4" w:space="0" w:color="auto"/>
              <w:bottom w:val="single" w:sz="4" w:space="0" w:color="auto"/>
              <w:right w:val="single" w:sz="4" w:space="0" w:color="auto"/>
            </w:tcBorders>
          </w:tcPr>
          <w:p w14:paraId="0EA38FD1" w14:textId="77777777" w:rsidR="000D07EA" w:rsidRDefault="00BE7C89">
            <w:pPr>
              <w:pStyle w:val="BodyText"/>
              <w:spacing w:before="100" w:after="100"/>
              <w:jc w:val="center"/>
            </w:pPr>
            <w:r>
              <w:t>No</w:t>
            </w:r>
          </w:p>
        </w:tc>
        <w:tc>
          <w:tcPr>
            <w:tcW w:w="920" w:type="pct"/>
            <w:tcBorders>
              <w:top w:val="single" w:sz="4" w:space="0" w:color="auto"/>
              <w:left w:val="single" w:sz="4" w:space="0" w:color="auto"/>
              <w:bottom w:val="single" w:sz="4" w:space="0" w:color="auto"/>
              <w:right w:val="single" w:sz="4" w:space="0" w:color="auto"/>
            </w:tcBorders>
          </w:tcPr>
          <w:p w14:paraId="33D10883" w14:textId="77777777" w:rsidR="000D07EA" w:rsidRDefault="00BE7C89">
            <w:pPr>
              <w:pStyle w:val="BodyText"/>
              <w:spacing w:before="100" w:after="100"/>
              <w:jc w:val="center"/>
            </w:pPr>
            <w:r>
              <w:t>Yes</w:t>
            </w:r>
          </w:p>
        </w:tc>
      </w:tr>
      <w:tr w:rsidR="000D07EA" w14:paraId="2FF644FA" w14:textId="77777777">
        <w:tc>
          <w:tcPr>
            <w:tcW w:w="2241" w:type="pct"/>
            <w:tcBorders>
              <w:top w:val="single" w:sz="4" w:space="0" w:color="auto"/>
              <w:left w:val="single" w:sz="4" w:space="0" w:color="auto"/>
              <w:bottom w:val="single" w:sz="4" w:space="0" w:color="auto"/>
              <w:right w:val="single" w:sz="4" w:space="0" w:color="auto"/>
            </w:tcBorders>
          </w:tcPr>
          <w:p w14:paraId="41478F3D" w14:textId="77777777" w:rsidR="000D07EA" w:rsidRDefault="00BE7C89">
            <w:pPr>
              <w:pStyle w:val="BodyText"/>
              <w:spacing w:before="100" w:after="100"/>
              <w:rPr>
                <w:b/>
              </w:rPr>
            </w:pPr>
            <w:r>
              <w:rPr>
                <w:b/>
              </w:rPr>
              <w:t xml:space="preserve">Minimum Total Cost of the 'yes' Business Cap iPhone Plan over a 36 month </w:t>
            </w:r>
            <w:r>
              <w:rPr>
                <w:b/>
                <w:i/>
              </w:rPr>
              <w:t>minimum term (</w:t>
            </w:r>
            <w:r>
              <w:rPr>
                <w:b/>
              </w:rPr>
              <w:t>amount stated excludes any handset repayments)</w:t>
            </w:r>
          </w:p>
        </w:tc>
        <w:tc>
          <w:tcPr>
            <w:tcW w:w="920" w:type="pct"/>
            <w:tcBorders>
              <w:top w:val="single" w:sz="4" w:space="0" w:color="auto"/>
              <w:left w:val="single" w:sz="4" w:space="0" w:color="auto"/>
              <w:bottom w:val="single" w:sz="4" w:space="0" w:color="auto"/>
              <w:right w:val="single" w:sz="4" w:space="0" w:color="auto"/>
            </w:tcBorders>
          </w:tcPr>
          <w:p w14:paraId="714EE934" w14:textId="77777777" w:rsidR="000D07EA" w:rsidRDefault="00BE7C89">
            <w:pPr>
              <w:pStyle w:val="BodyText"/>
              <w:spacing w:before="100" w:after="100"/>
              <w:jc w:val="center"/>
            </w:pPr>
            <w:r>
              <w:t>N/A</w:t>
            </w:r>
          </w:p>
        </w:tc>
        <w:tc>
          <w:tcPr>
            <w:tcW w:w="920" w:type="pct"/>
            <w:tcBorders>
              <w:top w:val="single" w:sz="4" w:space="0" w:color="auto"/>
              <w:left w:val="single" w:sz="4" w:space="0" w:color="auto"/>
              <w:bottom w:val="single" w:sz="4" w:space="0" w:color="auto"/>
              <w:right w:val="single" w:sz="4" w:space="0" w:color="auto"/>
            </w:tcBorders>
          </w:tcPr>
          <w:p w14:paraId="7B556C1E" w14:textId="77777777" w:rsidR="000D07EA" w:rsidRDefault="00BE7C89">
            <w:pPr>
              <w:pStyle w:val="BodyText"/>
              <w:spacing w:before="100" w:after="100"/>
              <w:jc w:val="center"/>
            </w:pPr>
            <w:r>
              <w:t>N/A</w:t>
            </w:r>
          </w:p>
        </w:tc>
        <w:tc>
          <w:tcPr>
            <w:tcW w:w="920" w:type="pct"/>
            <w:tcBorders>
              <w:top w:val="single" w:sz="4" w:space="0" w:color="auto"/>
              <w:left w:val="single" w:sz="4" w:space="0" w:color="auto"/>
              <w:bottom w:val="single" w:sz="4" w:space="0" w:color="auto"/>
              <w:right w:val="single" w:sz="4" w:space="0" w:color="auto"/>
            </w:tcBorders>
          </w:tcPr>
          <w:p w14:paraId="1721C166" w14:textId="77777777" w:rsidR="000D07EA" w:rsidRDefault="00BE7C89">
            <w:pPr>
              <w:pStyle w:val="BodyText"/>
              <w:spacing w:before="100" w:after="100"/>
              <w:jc w:val="center"/>
            </w:pPr>
            <w:r>
              <w:t>$2484</w:t>
            </w:r>
          </w:p>
          <w:p w14:paraId="05051B55" w14:textId="77777777" w:rsidR="000D07EA" w:rsidRDefault="00BE7C89">
            <w:pPr>
              <w:pStyle w:val="BodyText"/>
              <w:spacing w:before="100" w:after="100"/>
              <w:jc w:val="center"/>
            </w:pPr>
            <w:r>
              <w:t>(includes $10 monthly access fee credit)</w:t>
            </w:r>
          </w:p>
        </w:tc>
      </w:tr>
      <w:tr w:rsidR="000D07EA" w14:paraId="7BAB0A3B" w14:textId="77777777">
        <w:tc>
          <w:tcPr>
            <w:tcW w:w="2241" w:type="pct"/>
            <w:tcBorders>
              <w:top w:val="single" w:sz="4" w:space="0" w:color="auto"/>
              <w:left w:val="single" w:sz="4" w:space="0" w:color="auto"/>
              <w:bottom w:val="single" w:sz="4" w:space="0" w:color="auto"/>
              <w:right w:val="single" w:sz="4" w:space="0" w:color="auto"/>
            </w:tcBorders>
          </w:tcPr>
          <w:p w14:paraId="15C0EE09" w14:textId="77777777" w:rsidR="000D07EA" w:rsidRDefault="00BE7C89">
            <w:pPr>
              <w:pStyle w:val="BodyText"/>
              <w:spacing w:before="100" w:after="100"/>
              <w:rPr>
                <w:b/>
              </w:rPr>
            </w:pPr>
            <w:r>
              <w:rPr>
                <w:b/>
              </w:rPr>
              <w:t xml:space="preserve">Minimum Total Cost of the 'yes' Business Cap iPhone Plan over a 24 month </w:t>
            </w:r>
            <w:r>
              <w:rPr>
                <w:b/>
                <w:i/>
              </w:rPr>
              <w:t>minimum term (</w:t>
            </w:r>
            <w:r>
              <w:rPr>
                <w:b/>
              </w:rPr>
              <w:t>amount stated excludes any handset repayments)</w:t>
            </w:r>
          </w:p>
        </w:tc>
        <w:tc>
          <w:tcPr>
            <w:tcW w:w="920" w:type="pct"/>
            <w:tcBorders>
              <w:top w:val="single" w:sz="4" w:space="0" w:color="auto"/>
              <w:left w:val="single" w:sz="4" w:space="0" w:color="auto"/>
              <w:bottom w:val="single" w:sz="4" w:space="0" w:color="auto"/>
              <w:right w:val="single" w:sz="4" w:space="0" w:color="auto"/>
            </w:tcBorders>
          </w:tcPr>
          <w:p w14:paraId="25788020" w14:textId="77777777" w:rsidR="000D07EA" w:rsidRDefault="00BE7C89">
            <w:pPr>
              <w:pStyle w:val="BodyText"/>
              <w:spacing w:before="100" w:after="100"/>
              <w:jc w:val="center"/>
            </w:pPr>
            <w:r>
              <w:t>$1176</w:t>
            </w:r>
          </w:p>
        </w:tc>
        <w:tc>
          <w:tcPr>
            <w:tcW w:w="920" w:type="pct"/>
            <w:tcBorders>
              <w:top w:val="single" w:sz="4" w:space="0" w:color="auto"/>
              <w:left w:val="single" w:sz="4" w:space="0" w:color="auto"/>
              <w:bottom w:val="single" w:sz="4" w:space="0" w:color="auto"/>
              <w:right w:val="single" w:sz="4" w:space="0" w:color="auto"/>
            </w:tcBorders>
          </w:tcPr>
          <w:p w14:paraId="1AD80F96" w14:textId="77777777" w:rsidR="000D07EA" w:rsidRDefault="00BE7C89">
            <w:pPr>
              <w:pStyle w:val="BodyText"/>
              <w:spacing w:before="100" w:after="100"/>
              <w:jc w:val="center"/>
            </w:pPr>
            <w:r>
              <w:t>$1416</w:t>
            </w:r>
          </w:p>
        </w:tc>
        <w:tc>
          <w:tcPr>
            <w:tcW w:w="920" w:type="pct"/>
            <w:tcBorders>
              <w:top w:val="single" w:sz="4" w:space="0" w:color="auto"/>
              <w:left w:val="single" w:sz="4" w:space="0" w:color="auto"/>
              <w:bottom w:val="single" w:sz="4" w:space="0" w:color="auto"/>
              <w:right w:val="single" w:sz="4" w:space="0" w:color="auto"/>
            </w:tcBorders>
          </w:tcPr>
          <w:p w14:paraId="6DDABDAA" w14:textId="77777777" w:rsidR="000D07EA" w:rsidRDefault="00BE7C89">
            <w:pPr>
              <w:pStyle w:val="BodyText"/>
              <w:spacing w:before="100" w:after="100"/>
              <w:jc w:val="center"/>
            </w:pPr>
            <w:r>
              <w:t>$1896</w:t>
            </w:r>
          </w:p>
        </w:tc>
      </w:tr>
      <w:tr w:rsidR="000D07EA" w14:paraId="660D4D15" w14:textId="77777777">
        <w:tc>
          <w:tcPr>
            <w:tcW w:w="2241" w:type="pct"/>
            <w:tcBorders>
              <w:top w:val="single" w:sz="4" w:space="0" w:color="auto"/>
              <w:left w:val="single" w:sz="4" w:space="0" w:color="auto"/>
              <w:bottom w:val="single" w:sz="4" w:space="0" w:color="auto"/>
              <w:right w:val="single" w:sz="4" w:space="0" w:color="auto"/>
            </w:tcBorders>
          </w:tcPr>
          <w:p w14:paraId="6BB473CA" w14:textId="77777777" w:rsidR="000D07EA" w:rsidRDefault="00BE7C89">
            <w:pPr>
              <w:pStyle w:val="BodyText"/>
              <w:spacing w:before="100" w:after="100"/>
              <w:rPr>
                <w:b/>
              </w:rPr>
            </w:pPr>
            <w:r>
              <w:rPr>
                <w:b/>
              </w:rPr>
              <w:t xml:space="preserve">Minimum Total Cost of the 'yes' Business Cap iPhone Plan over a 12 month </w:t>
            </w:r>
            <w:r>
              <w:rPr>
                <w:b/>
                <w:i/>
              </w:rPr>
              <w:t>minimum term (</w:t>
            </w:r>
            <w:r>
              <w:rPr>
                <w:b/>
              </w:rPr>
              <w:t>amount stated excludes any handset repayments)</w:t>
            </w:r>
          </w:p>
        </w:tc>
        <w:tc>
          <w:tcPr>
            <w:tcW w:w="920" w:type="pct"/>
            <w:tcBorders>
              <w:top w:val="single" w:sz="4" w:space="0" w:color="auto"/>
              <w:left w:val="single" w:sz="4" w:space="0" w:color="auto"/>
              <w:bottom w:val="single" w:sz="4" w:space="0" w:color="auto"/>
              <w:right w:val="single" w:sz="4" w:space="0" w:color="auto"/>
            </w:tcBorders>
          </w:tcPr>
          <w:p w14:paraId="04CAFE0E" w14:textId="77777777" w:rsidR="000D07EA" w:rsidRDefault="00BE7C89">
            <w:pPr>
              <w:pStyle w:val="BodyText"/>
              <w:spacing w:before="100" w:after="100"/>
              <w:jc w:val="center"/>
            </w:pPr>
            <w:r>
              <w:t>$588</w:t>
            </w:r>
          </w:p>
        </w:tc>
        <w:tc>
          <w:tcPr>
            <w:tcW w:w="920" w:type="pct"/>
            <w:tcBorders>
              <w:top w:val="single" w:sz="4" w:space="0" w:color="auto"/>
              <w:left w:val="single" w:sz="4" w:space="0" w:color="auto"/>
              <w:bottom w:val="single" w:sz="4" w:space="0" w:color="auto"/>
              <w:right w:val="single" w:sz="4" w:space="0" w:color="auto"/>
            </w:tcBorders>
          </w:tcPr>
          <w:p w14:paraId="7A810153" w14:textId="77777777" w:rsidR="000D07EA" w:rsidRDefault="00BE7C89">
            <w:pPr>
              <w:pStyle w:val="BodyText"/>
              <w:spacing w:before="100" w:after="100"/>
              <w:jc w:val="center"/>
            </w:pPr>
            <w:r>
              <w:t>$708</w:t>
            </w:r>
          </w:p>
        </w:tc>
        <w:tc>
          <w:tcPr>
            <w:tcW w:w="920" w:type="pct"/>
            <w:tcBorders>
              <w:top w:val="single" w:sz="4" w:space="0" w:color="auto"/>
              <w:left w:val="single" w:sz="4" w:space="0" w:color="auto"/>
              <w:bottom w:val="single" w:sz="4" w:space="0" w:color="auto"/>
              <w:right w:val="single" w:sz="4" w:space="0" w:color="auto"/>
            </w:tcBorders>
          </w:tcPr>
          <w:p w14:paraId="421CCDBB" w14:textId="77777777" w:rsidR="000D07EA" w:rsidRDefault="00BE7C89">
            <w:pPr>
              <w:pStyle w:val="BodyText"/>
              <w:spacing w:before="100" w:after="100"/>
              <w:jc w:val="center"/>
            </w:pPr>
            <w:r>
              <w:t>$948</w:t>
            </w:r>
          </w:p>
        </w:tc>
      </w:tr>
    </w:tbl>
    <w:p w14:paraId="275309C7" w14:textId="77777777" w:rsidR="000D07EA" w:rsidRDefault="00BE7C89">
      <w:pPr>
        <w:pStyle w:val="BodyText"/>
        <w:spacing w:after="0"/>
        <w:ind w:left="720"/>
        <w:rPr>
          <w:sz w:val="16"/>
          <w:szCs w:val="16"/>
        </w:rPr>
      </w:pPr>
      <w:bookmarkStart w:id="303" w:name="_Toc229194060"/>
      <w:r>
        <w:rPr>
          <w:sz w:val="16"/>
          <w:szCs w:val="16"/>
        </w:rPr>
        <w:t xml:space="preserve">* Included data on </w:t>
      </w:r>
      <w:r>
        <w:rPr>
          <w:i/>
          <w:sz w:val="16"/>
          <w:szCs w:val="16"/>
        </w:rPr>
        <w:t>your</w:t>
      </w:r>
      <w:r>
        <w:rPr>
          <w:sz w:val="16"/>
          <w:szCs w:val="16"/>
        </w:rPr>
        <w:t xml:space="preserve"> 'yes' Business Cap for iPhone Plan is not available when the iPhone is used as a tethered modem, unless </w:t>
      </w:r>
      <w:r>
        <w:rPr>
          <w:i/>
          <w:sz w:val="16"/>
          <w:szCs w:val="16"/>
        </w:rPr>
        <w:t>you</w:t>
      </w:r>
      <w:r>
        <w:rPr>
          <w:sz w:val="16"/>
          <w:szCs w:val="16"/>
        </w:rPr>
        <w:t xml:space="preserve"> have selected </w:t>
      </w:r>
      <w:r>
        <w:rPr>
          <w:iCs/>
          <w:sz w:val="16"/>
          <w:szCs w:val="16"/>
        </w:rPr>
        <w:t>Bus</w:t>
      </w:r>
      <w:r>
        <w:rPr>
          <w:sz w:val="16"/>
          <w:szCs w:val="16"/>
        </w:rPr>
        <w:t xml:space="preserve"> iPhone as Modem Access.</w:t>
      </w:r>
    </w:p>
    <w:p w14:paraId="37AAE764" w14:textId="77777777" w:rsidR="000D07EA" w:rsidRDefault="00BE7C89">
      <w:pPr>
        <w:pStyle w:val="Heading6"/>
        <w:spacing w:before="240"/>
        <w:ind w:left="0" w:firstLine="0"/>
      </w:pPr>
      <w:bookmarkStart w:id="304" w:name="_Toc397941077"/>
      <w:r>
        <w:t>BYO Options (effective from 24 January 2010)</w:t>
      </w:r>
      <w:bookmarkEnd w:id="304"/>
    </w:p>
    <w:p w14:paraId="327BC7D6" w14:textId="77777777" w:rsidR="000D07EA" w:rsidRDefault="00BE7C89">
      <w:pPr>
        <w:pStyle w:val="Heading7"/>
      </w:pPr>
      <w:r>
        <w:t>Eligibility</w:t>
      </w:r>
    </w:p>
    <w:p w14:paraId="51AE34C8" w14:textId="77777777" w:rsidR="000D07EA" w:rsidRDefault="00BE7C89">
      <w:pPr>
        <w:pStyle w:val="Heading8"/>
      </w:pPr>
      <w:r>
        <w:t xml:space="preserve">"BYO Options" as listed in Table 3A below, are available to </w:t>
      </w:r>
      <w:r>
        <w:rPr>
          <w:i/>
        </w:rPr>
        <w:t>Optus small or medium business</w:t>
      </w:r>
      <w:r>
        <w:t xml:space="preserve"> customers who connect to a 'yes' Business Cap iPhone plan over 12 months and </w:t>
      </w:r>
      <w:r>
        <w:lastRenderedPageBreak/>
        <w:t xml:space="preserve">either connect their own iPhone or purchase an iPhone from </w:t>
      </w:r>
      <w:r>
        <w:rPr>
          <w:i/>
        </w:rPr>
        <w:t xml:space="preserve">us </w:t>
      </w:r>
      <w:r>
        <w:t xml:space="preserve">under a </w:t>
      </w:r>
      <w:r>
        <w:rPr>
          <w:i/>
        </w:rPr>
        <w:t>mobile equipment payment plan</w:t>
      </w:r>
      <w:r>
        <w:t>.</w:t>
      </w:r>
    </w:p>
    <w:p w14:paraId="232BC6E8" w14:textId="77777777" w:rsidR="000D07EA" w:rsidRDefault="00BE7C89">
      <w:pPr>
        <w:pStyle w:val="Heading7"/>
      </w:pPr>
      <w:r>
        <w:t>By signing up over 12 months on the 'yes' Business Cap iPhone plans you can select one of the four BYO Options available to each plan listed in Table 3A.</w:t>
      </w:r>
    </w:p>
    <w:p w14:paraId="617A7B7C" w14:textId="77777777" w:rsidR="000D07EA" w:rsidRDefault="00BE7C89">
      <w:pPr>
        <w:pStyle w:val="Heading7"/>
      </w:pPr>
      <w:r>
        <w:t>At the end of the 12 months term you will no longer receive your selected BYO Option. To continue to receive the BYO Option you may recontract for a further 12 months.</w:t>
      </w:r>
    </w:p>
    <w:p w14:paraId="32E02FA5" w14:textId="77777777" w:rsidR="000D07EA" w:rsidRDefault="00BE7C89">
      <w:pPr>
        <w:pStyle w:val="Heading7"/>
      </w:pPr>
      <w:r>
        <w:t xml:space="preserve">Customers may request to change between BYO Options once per bill cycle. Changes between BYO options will be pro-rated from the date the change occurs. To change between BYO Options customer can call Optus Customer Service on </w:t>
      </w:r>
      <w:r>
        <w:rPr>
          <w:b/>
          <w:bCs/>
        </w:rPr>
        <w:t>133 93</w:t>
      </w:r>
      <w:r>
        <w:rPr>
          <w:b/>
        </w:rPr>
        <w:t>7</w:t>
      </w:r>
      <w:r>
        <w:t>.</w:t>
      </w:r>
    </w:p>
    <w:p w14:paraId="5D90A07C" w14:textId="77777777" w:rsidR="000D07EA" w:rsidRDefault="00BE7C89">
      <w:pPr>
        <w:pStyle w:val="BodyText"/>
        <w:ind w:left="720"/>
        <w:rPr>
          <w:b/>
        </w:rPr>
      </w:pPr>
      <w:r>
        <w:rPr>
          <w:b/>
        </w:rPr>
        <w:t>Table 3A</w:t>
      </w:r>
    </w:p>
    <w:p w14:paraId="1069A332" w14:textId="77777777" w:rsidR="000D07EA" w:rsidRDefault="00BE7C89">
      <w:pPr>
        <w:pStyle w:val="BodyText"/>
        <w:ind w:left="720"/>
        <w:rPr>
          <w:b/>
        </w:rPr>
      </w:pPr>
      <w:r>
        <w:t xml:space="preserve">Customers who select a BYO Option can select </w:t>
      </w:r>
      <w:r>
        <w:rPr>
          <w:b/>
        </w:rPr>
        <w:t>one</w:t>
      </w:r>
      <w:r>
        <w:t xml:space="preserve"> of the following</w:t>
      </w:r>
    </w:p>
    <w:tbl>
      <w:tblPr>
        <w:tblW w:w="4574" w:type="pct"/>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3095"/>
        <w:gridCol w:w="2075"/>
        <w:gridCol w:w="2075"/>
        <w:gridCol w:w="2075"/>
      </w:tblGrid>
      <w:tr w:rsidR="000D07EA" w14:paraId="63674029" w14:textId="77777777">
        <w:tc>
          <w:tcPr>
            <w:tcW w:w="1661" w:type="pct"/>
          </w:tcPr>
          <w:p w14:paraId="3FA66917" w14:textId="77777777" w:rsidR="000D07EA" w:rsidRDefault="00BE7C89">
            <w:pPr>
              <w:pStyle w:val="BodyText"/>
              <w:spacing w:before="100" w:after="100"/>
              <w:rPr>
                <w:b/>
              </w:rPr>
            </w:pPr>
            <w:r>
              <w:rPr>
                <w:b/>
              </w:rPr>
              <w:t>BYO Option</w:t>
            </w:r>
          </w:p>
          <w:p w14:paraId="6E1A6C79" w14:textId="77777777" w:rsidR="000D07EA" w:rsidRDefault="00BE7C89">
            <w:pPr>
              <w:pStyle w:val="BodyText"/>
              <w:spacing w:before="100" w:after="100"/>
              <w:rPr>
                <w:b/>
              </w:rPr>
            </w:pPr>
            <w:r>
              <w:rPr>
                <w:b/>
              </w:rPr>
              <w:t>(Per Month)</w:t>
            </w:r>
          </w:p>
        </w:tc>
        <w:tc>
          <w:tcPr>
            <w:tcW w:w="1113" w:type="pct"/>
          </w:tcPr>
          <w:p w14:paraId="06C044FD" w14:textId="77777777" w:rsidR="000D07EA" w:rsidRDefault="00BE7C89">
            <w:pPr>
              <w:pStyle w:val="BodyText"/>
              <w:spacing w:before="100" w:after="100"/>
              <w:jc w:val="center"/>
              <w:rPr>
                <w:b/>
              </w:rPr>
            </w:pPr>
            <w:r>
              <w:rPr>
                <w:b/>
              </w:rPr>
              <w:t>'yes' Business $49 Cap iPhone</w:t>
            </w:r>
          </w:p>
        </w:tc>
        <w:tc>
          <w:tcPr>
            <w:tcW w:w="1113" w:type="pct"/>
          </w:tcPr>
          <w:p w14:paraId="19234819" w14:textId="77777777" w:rsidR="000D07EA" w:rsidRDefault="00BE7C89">
            <w:pPr>
              <w:pStyle w:val="BodyText"/>
              <w:spacing w:before="100" w:after="100"/>
              <w:jc w:val="center"/>
              <w:rPr>
                <w:b/>
              </w:rPr>
            </w:pPr>
            <w:r>
              <w:rPr>
                <w:b/>
              </w:rPr>
              <w:t>'yes' Business $59 Cap iPhone</w:t>
            </w:r>
          </w:p>
        </w:tc>
        <w:tc>
          <w:tcPr>
            <w:tcW w:w="1113" w:type="pct"/>
          </w:tcPr>
          <w:p w14:paraId="7991A4AB" w14:textId="77777777" w:rsidR="000D07EA" w:rsidRDefault="00BE7C89">
            <w:pPr>
              <w:pStyle w:val="BodyText"/>
              <w:spacing w:before="100" w:after="100"/>
              <w:jc w:val="center"/>
              <w:rPr>
                <w:b/>
              </w:rPr>
            </w:pPr>
            <w:r>
              <w:rPr>
                <w:b/>
              </w:rPr>
              <w:t>'yes' Business $79 Cap iPhone</w:t>
            </w:r>
          </w:p>
        </w:tc>
      </w:tr>
      <w:tr w:rsidR="000D07EA" w14:paraId="077C7C6F" w14:textId="77777777">
        <w:tc>
          <w:tcPr>
            <w:tcW w:w="1661" w:type="pct"/>
          </w:tcPr>
          <w:p w14:paraId="0B155178" w14:textId="77777777" w:rsidR="000D07EA" w:rsidRDefault="00BE7C89">
            <w:pPr>
              <w:pStyle w:val="BodyText"/>
              <w:spacing w:before="100" w:after="100"/>
              <w:rPr>
                <w:b/>
                <w:i/>
              </w:rPr>
            </w:pPr>
            <w:r>
              <w:t>Standard National SMS/MMS Pack</w:t>
            </w:r>
          </w:p>
        </w:tc>
        <w:tc>
          <w:tcPr>
            <w:tcW w:w="1113" w:type="pct"/>
          </w:tcPr>
          <w:p w14:paraId="4BE323A3" w14:textId="77777777" w:rsidR="000D07EA" w:rsidRDefault="00BE7C89">
            <w:pPr>
              <w:pStyle w:val="BodyText"/>
              <w:spacing w:before="100" w:after="100"/>
              <w:jc w:val="center"/>
            </w:pPr>
            <w:r>
              <w:t>Unlimited* SMS/MMS</w:t>
            </w:r>
          </w:p>
        </w:tc>
        <w:tc>
          <w:tcPr>
            <w:tcW w:w="1113" w:type="pct"/>
          </w:tcPr>
          <w:p w14:paraId="63DB0326" w14:textId="77777777" w:rsidR="000D07EA" w:rsidRDefault="00BE7C89">
            <w:pPr>
              <w:pStyle w:val="BodyText"/>
              <w:spacing w:before="100" w:after="100"/>
              <w:jc w:val="center"/>
            </w:pPr>
            <w:r>
              <w:t>NA</w:t>
            </w:r>
          </w:p>
        </w:tc>
        <w:tc>
          <w:tcPr>
            <w:tcW w:w="1113" w:type="pct"/>
          </w:tcPr>
          <w:p w14:paraId="6414A7F6" w14:textId="77777777" w:rsidR="000D07EA" w:rsidRDefault="00BE7C89">
            <w:pPr>
              <w:pStyle w:val="BodyText"/>
              <w:spacing w:before="100" w:after="100"/>
              <w:jc w:val="center"/>
            </w:pPr>
            <w:r>
              <w:t>NA</w:t>
            </w:r>
          </w:p>
        </w:tc>
      </w:tr>
      <w:tr w:rsidR="000D07EA" w14:paraId="54774553" w14:textId="77777777">
        <w:tc>
          <w:tcPr>
            <w:tcW w:w="1661" w:type="pct"/>
          </w:tcPr>
          <w:p w14:paraId="4DBE6FA9" w14:textId="77777777" w:rsidR="000D07EA" w:rsidRDefault="00BE7C89">
            <w:pPr>
              <w:pStyle w:val="BodyText"/>
              <w:spacing w:before="100" w:after="100"/>
              <w:rPr>
                <w:b/>
              </w:rPr>
            </w:pPr>
            <w:r>
              <w:t>Optus2AnyOne</w:t>
            </w:r>
            <w:r>
              <w:rPr>
                <w:b/>
              </w:rPr>
              <w:t xml:space="preserve"> </w:t>
            </w:r>
            <w:r>
              <w:rPr>
                <w:bCs/>
              </w:rPr>
              <w:t>Value</w:t>
            </w:r>
          </w:p>
        </w:tc>
        <w:tc>
          <w:tcPr>
            <w:tcW w:w="1113" w:type="pct"/>
          </w:tcPr>
          <w:p w14:paraId="1DCE8F39" w14:textId="77777777" w:rsidR="000D07EA" w:rsidRDefault="00BE7C89">
            <w:pPr>
              <w:pStyle w:val="BodyText"/>
              <w:spacing w:before="100" w:after="100"/>
              <w:jc w:val="center"/>
            </w:pPr>
            <w:r>
              <w:t>$170</w:t>
            </w:r>
          </w:p>
        </w:tc>
        <w:tc>
          <w:tcPr>
            <w:tcW w:w="1113" w:type="pct"/>
          </w:tcPr>
          <w:p w14:paraId="1859359B" w14:textId="77777777" w:rsidR="000D07EA" w:rsidRDefault="00BE7C89">
            <w:pPr>
              <w:pStyle w:val="BodyText"/>
              <w:spacing w:before="100" w:after="100"/>
              <w:jc w:val="center"/>
            </w:pPr>
            <w:r>
              <w:t>$270</w:t>
            </w:r>
          </w:p>
        </w:tc>
        <w:tc>
          <w:tcPr>
            <w:tcW w:w="1113" w:type="pct"/>
          </w:tcPr>
          <w:p w14:paraId="316A421E" w14:textId="77777777" w:rsidR="000D07EA" w:rsidRDefault="00BE7C89">
            <w:pPr>
              <w:pStyle w:val="BodyText"/>
              <w:spacing w:before="100" w:after="100"/>
              <w:jc w:val="center"/>
            </w:pPr>
            <w:r>
              <w:t>$290</w:t>
            </w:r>
          </w:p>
        </w:tc>
      </w:tr>
      <w:tr w:rsidR="000D07EA" w14:paraId="271865A8" w14:textId="77777777">
        <w:tc>
          <w:tcPr>
            <w:tcW w:w="1661" w:type="pct"/>
          </w:tcPr>
          <w:p w14:paraId="7EAB657A" w14:textId="77777777" w:rsidR="000D07EA" w:rsidRDefault="00BE7C89">
            <w:pPr>
              <w:pStyle w:val="BodyText"/>
              <w:spacing w:before="100" w:after="100"/>
              <w:rPr>
                <w:b/>
              </w:rPr>
            </w:pPr>
            <w:r>
              <w:t>International Value</w:t>
            </w:r>
          </w:p>
        </w:tc>
        <w:tc>
          <w:tcPr>
            <w:tcW w:w="1113" w:type="pct"/>
          </w:tcPr>
          <w:p w14:paraId="106101D8" w14:textId="77777777" w:rsidR="000D07EA" w:rsidRDefault="00BE7C89">
            <w:pPr>
              <w:pStyle w:val="BodyText"/>
              <w:spacing w:before="100" w:after="100"/>
              <w:jc w:val="center"/>
            </w:pPr>
            <w:r>
              <w:rPr>
                <w:rFonts w:cs="Arial"/>
                <w:lang w:eastAsia="en-AU"/>
              </w:rPr>
              <w:t xml:space="preserve">$50 value for </w:t>
            </w:r>
            <w:r>
              <w:rPr>
                <w:rFonts w:cs="Arial"/>
                <w:lang w:eastAsia="en-AU"/>
              </w:rPr>
              <w:br/>
              <w:t>International Calls &amp; International SMS</w:t>
            </w:r>
          </w:p>
        </w:tc>
        <w:tc>
          <w:tcPr>
            <w:tcW w:w="1113" w:type="pct"/>
          </w:tcPr>
          <w:p w14:paraId="74906D25" w14:textId="77777777" w:rsidR="000D07EA" w:rsidRDefault="00BE7C89">
            <w:pPr>
              <w:pStyle w:val="BodyText"/>
              <w:spacing w:before="100" w:after="100"/>
              <w:jc w:val="center"/>
            </w:pPr>
            <w:r>
              <w:rPr>
                <w:rFonts w:cs="Arial"/>
                <w:lang w:eastAsia="en-AU"/>
              </w:rPr>
              <w:t xml:space="preserve">$180 value for </w:t>
            </w:r>
            <w:r>
              <w:rPr>
                <w:rFonts w:cs="Arial"/>
                <w:lang w:eastAsia="en-AU"/>
              </w:rPr>
              <w:br/>
              <w:t>International Calls &amp; International SMS</w:t>
            </w:r>
          </w:p>
        </w:tc>
        <w:tc>
          <w:tcPr>
            <w:tcW w:w="1113" w:type="pct"/>
          </w:tcPr>
          <w:p w14:paraId="63B80EB0" w14:textId="77777777" w:rsidR="000D07EA" w:rsidRDefault="00BE7C89">
            <w:pPr>
              <w:pStyle w:val="BodyText"/>
              <w:spacing w:before="100" w:after="100"/>
              <w:jc w:val="center"/>
            </w:pPr>
            <w:r>
              <w:rPr>
                <w:rFonts w:cs="Arial"/>
                <w:lang w:eastAsia="en-AU"/>
              </w:rPr>
              <w:t xml:space="preserve">$180 value for </w:t>
            </w:r>
            <w:r>
              <w:rPr>
                <w:rFonts w:cs="Arial"/>
                <w:lang w:eastAsia="en-AU"/>
              </w:rPr>
              <w:br/>
              <w:t>International Calls &amp; International SMS</w:t>
            </w:r>
          </w:p>
        </w:tc>
      </w:tr>
      <w:tr w:rsidR="000D07EA" w14:paraId="2CA0AECF" w14:textId="77777777">
        <w:tc>
          <w:tcPr>
            <w:tcW w:w="1661" w:type="pct"/>
            <w:tcBorders>
              <w:top w:val="single" w:sz="4" w:space="0" w:color="auto"/>
              <w:left w:val="single" w:sz="4" w:space="0" w:color="auto"/>
              <w:bottom w:val="single" w:sz="4" w:space="0" w:color="auto"/>
              <w:right w:val="single" w:sz="4" w:space="0" w:color="auto"/>
            </w:tcBorders>
          </w:tcPr>
          <w:p w14:paraId="6E00B133" w14:textId="77777777" w:rsidR="000D07EA" w:rsidRDefault="00BE7C89">
            <w:pPr>
              <w:pStyle w:val="BodyText"/>
              <w:spacing w:before="100" w:after="100"/>
              <w:rPr>
                <w:b/>
              </w:rPr>
            </w:pPr>
            <w:r>
              <w:t>Internet Value Pack</w:t>
            </w:r>
          </w:p>
        </w:tc>
        <w:tc>
          <w:tcPr>
            <w:tcW w:w="1113" w:type="pct"/>
            <w:tcBorders>
              <w:top w:val="single" w:sz="4" w:space="0" w:color="auto"/>
              <w:left w:val="single" w:sz="4" w:space="0" w:color="auto"/>
              <w:bottom w:val="single" w:sz="4" w:space="0" w:color="auto"/>
              <w:right w:val="single" w:sz="4" w:space="0" w:color="auto"/>
            </w:tcBorders>
          </w:tcPr>
          <w:p w14:paraId="2B9AE332" w14:textId="77777777" w:rsidR="000D07EA" w:rsidRDefault="00BE7C89">
            <w:pPr>
              <w:pStyle w:val="BodyText"/>
              <w:spacing w:before="100" w:after="100"/>
              <w:jc w:val="center"/>
            </w:pPr>
            <w:r>
              <w:t>500MB</w:t>
            </w:r>
          </w:p>
        </w:tc>
        <w:tc>
          <w:tcPr>
            <w:tcW w:w="1113" w:type="pct"/>
            <w:tcBorders>
              <w:top w:val="single" w:sz="4" w:space="0" w:color="auto"/>
              <w:left w:val="single" w:sz="4" w:space="0" w:color="auto"/>
              <w:bottom w:val="single" w:sz="4" w:space="0" w:color="auto"/>
              <w:right w:val="single" w:sz="4" w:space="0" w:color="auto"/>
            </w:tcBorders>
          </w:tcPr>
          <w:p w14:paraId="700ABDC4" w14:textId="77777777" w:rsidR="000D07EA" w:rsidRDefault="00BE7C89">
            <w:pPr>
              <w:pStyle w:val="BodyText"/>
              <w:spacing w:before="100" w:after="100"/>
              <w:jc w:val="center"/>
            </w:pPr>
            <w:r>
              <w:t>1GB</w:t>
            </w:r>
          </w:p>
        </w:tc>
        <w:tc>
          <w:tcPr>
            <w:tcW w:w="1113" w:type="pct"/>
            <w:tcBorders>
              <w:top w:val="single" w:sz="4" w:space="0" w:color="auto"/>
              <w:left w:val="single" w:sz="4" w:space="0" w:color="auto"/>
              <w:bottom w:val="single" w:sz="4" w:space="0" w:color="auto"/>
              <w:right w:val="single" w:sz="4" w:space="0" w:color="auto"/>
            </w:tcBorders>
          </w:tcPr>
          <w:p w14:paraId="671F08C7" w14:textId="77777777" w:rsidR="000D07EA" w:rsidRDefault="00BE7C89">
            <w:pPr>
              <w:pStyle w:val="BodyText"/>
              <w:spacing w:before="100" w:after="100"/>
              <w:jc w:val="center"/>
            </w:pPr>
            <w:r>
              <w:t>1GB</w:t>
            </w:r>
          </w:p>
        </w:tc>
      </w:tr>
    </w:tbl>
    <w:p w14:paraId="2B5EFFFC" w14:textId="77777777" w:rsidR="000D07EA" w:rsidRDefault="00BE7C89">
      <w:pPr>
        <w:pStyle w:val="BodyText"/>
        <w:spacing w:after="0"/>
        <w:ind w:left="720"/>
        <w:rPr>
          <w:sz w:val="16"/>
          <w:szCs w:val="16"/>
        </w:rPr>
      </w:pPr>
      <w:bookmarkStart w:id="305" w:name="_Toc251836016"/>
      <w:bookmarkStart w:id="306" w:name="_Toc261008620"/>
      <w:r>
        <w:rPr>
          <w:sz w:val="16"/>
          <w:szCs w:val="16"/>
        </w:rPr>
        <w:t>* Fair Go Policy (</w:t>
      </w:r>
      <w:hyperlink r:id="rId171" w:history="1">
        <w:r>
          <w:rPr>
            <w:rStyle w:val="Hyperlink"/>
            <w:i/>
            <w:sz w:val="16"/>
            <w:szCs w:val="16"/>
          </w:rPr>
          <w:t>Appendix S</w:t>
        </w:r>
      </w:hyperlink>
      <w:r>
        <w:rPr>
          <w:sz w:val="16"/>
          <w:szCs w:val="16"/>
        </w:rPr>
        <w:t>) applies.</w:t>
      </w:r>
      <w:bookmarkEnd w:id="305"/>
      <w:bookmarkEnd w:id="306"/>
    </w:p>
    <w:p w14:paraId="768F36A4" w14:textId="77777777" w:rsidR="000D07EA" w:rsidRDefault="00BE7C89">
      <w:pPr>
        <w:pStyle w:val="Heading7"/>
        <w:spacing w:before="240"/>
        <w:rPr>
          <w:b/>
        </w:rPr>
      </w:pPr>
      <w:r>
        <w:rPr>
          <w:b/>
        </w:rPr>
        <w:t>Standard National SMS &amp; MMS Pack (BYO Option)</w:t>
      </w:r>
    </w:p>
    <w:p w14:paraId="6F303872" w14:textId="77777777" w:rsidR="000D07EA" w:rsidRDefault="00BE7C89">
      <w:pPr>
        <w:pStyle w:val="Heading8"/>
      </w:pPr>
      <w:r>
        <w:t xml:space="preserve">The Standard National SMS/MMS Pack BYO Option allows </w:t>
      </w:r>
      <w:r>
        <w:rPr>
          <w:i/>
        </w:rPr>
        <w:t>you</w:t>
      </w:r>
      <w:r>
        <w:t xml:space="preserve"> to send a specified amount of standard national SMS and MMS to GSM mobiles within Australia, as stated in Table 3A.</w:t>
      </w:r>
    </w:p>
    <w:p w14:paraId="27F26BD2" w14:textId="77777777" w:rsidR="000D07EA" w:rsidRDefault="00BE7C89">
      <w:pPr>
        <w:pStyle w:val="Heading8"/>
      </w:pPr>
      <w:r>
        <w:t>Offer excludes International SMS and MMS, Premium SMS and MMS, Group and Email SMS and MMS.</w:t>
      </w:r>
    </w:p>
    <w:p w14:paraId="1A1F1B40" w14:textId="77777777" w:rsidR="000D07EA" w:rsidRDefault="00BE7C89">
      <w:pPr>
        <w:pStyle w:val="Heading8"/>
      </w:pPr>
      <w:r>
        <w:rPr>
          <w:i/>
        </w:rPr>
        <w:t xml:space="preserve">You </w:t>
      </w:r>
      <w:r>
        <w:t>must pay for any messages that are not eligible messages or usage exceeding the specified amount stated in Table 3A.</w:t>
      </w:r>
    </w:p>
    <w:p w14:paraId="3665366D" w14:textId="77777777" w:rsidR="000D07EA" w:rsidRDefault="00BE7C89">
      <w:pPr>
        <w:pStyle w:val="Heading8"/>
      </w:pPr>
      <w:r>
        <w:rPr>
          <w:snapToGrid w:val="0"/>
        </w:rPr>
        <w:t>Any unused portion of the plan expires at the end of each month. This means that it does not roll over into following month.</w:t>
      </w:r>
    </w:p>
    <w:p w14:paraId="63E5B4B5" w14:textId="77777777" w:rsidR="000D07EA" w:rsidRDefault="00BE7C89">
      <w:pPr>
        <w:pStyle w:val="Heading8"/>
      </w:pPr>
      <w:r>
        <w:t>The standard national SMS &amp; MMS pack applies for personal or business use only. Fair Go Policy (</w:t>
      </w:r>
      <w:hyperlink r:id="rId172" w:history="1">
        <w:r>
          <w:rPr>
            <w:rStyle w:val="Hyperlink"/>
            <w:i/>
          </w:rPr>
          <w:t>Appendix S</w:t>
        </w:r>
      </w:hyperlink>
      <w:r>
        <w:t>) applies.</w:t>
      </w:r>
    </w:p>
    <w:p w14:paraId="7E527E09" w14:textId="77777777" w:rsidR="000D07EA" w:rsidRDefault="00BE7C89">
      <w:pPr>
        <w:pStyle w:val="Heading7"/>
        <w:rPr>
          <w:b/>
        </w:rPr>
      </w:pPr>
      <w:r>
        <w:rPr>
          <w:b/>
        </w:rPr>
        <w:t>Additional Optus2AnyOne Value (BYO Option)</w:t>
      </w:r>
    </w:p>
    <w:p w14:paraId="3DBA09E5" w14:textId="77777777" w:rsidR="000D07EA" w:rsidRDefault="00BE7C89">
      <w:pPr>
        <w:pStyle w:val="Heading8"/>
      </w:pPr>
      <w:r>
        <w:t>The additional "Optus2AnyOne Value BYO Option is an additional call and text value. Customers may select the additional "Optus2AnyOne Value" to be added as their BYO Option. The amount of the additional "Optus2AnyOne Value" is stated in Table 3A. If this option is chosen, the additional value will be combined with the "Optus2AnyOne Value" that comes with the 'yes' Business Cap iPhone plan.</w:t>
      </w:r>
    </w:p>
    <w:p w14:paraId="251A5BF4" w14:textId="77777777" w:rsidR="000D07EA" w:rsidRDefault="00BE7C89">
      <w:pPr>
        <w:pStyle w:val="Heading8"/>
      </w:pPr>
      <w:r>
        <w:t>Customers must utilise the combined "Optus2AnyOne Value" before being able to access the "Optus2Optus Value".</w:t>
      </w:r>
    </w:p>
    <w:p w14:paraId="7F46573C" w14:textId="77777777" w:rsidR="000D07EA" w:rsidRDefault="00BE7C89">
      <w:pPr>
        <w:pStyle w:val="Heading8"/>
      </w:pPr>
      <w:r>
        <w:lastRenderedPageBreak/>
        <w:t xml:space="preserve">The call types that are </w:t>
      </w:r>
      <w:r>
        <w:rPr>
          <w:b/>
        </w:rPr>
        <w:t>'eligible calls and text'</w:t>
      </w:r>
      <w:r>
        <w:t xml:space="preserve"> for each 'yes' Business Cap iPhone Plan under the combined "Optus2AnyOne Value" are defined in Table 1A above</w:t>
      </w:r>
    </w:p>
    <w:p w14:paraId="488D9075" w14:textId="77777777" w:rsidR="000D07EA" w:rsidRDefault="00BE7C89">
      <w:pPr>
        <w:pStyle w:val="Heading8"/>
      </w:pPr>
      <w:r>
        <w:rPr>
          <w:i/>
        </w:rPr>
        <w:t xml:space="preserve">You </w:t>
      </w:r>
      <w:r>
        <w:t xml:space="preserve">must pay </w:t>
      </w:r>
      <w:r>
        <w:rPr>
          <w:i/>
        </w:rPr>
        <w:t xml:space="preserve">us </w:t>
      </w:r>
      <w:r>
        <w:t>call charges for eligible calls and text made beyond the available combined "Optus2AnyOne Value".</w:t>
      </w:r>
    </w:p>
    <w:p w14:paraId="79EBB57D" w14:textId="77777777" w:rsidR="000D07EA" w:rsidRDefault="00BE7C89">
      <w:pPr>
        <w:pStyle w:val="Heading8"/>
      </w:pPr>
      <w:r>
        <w:rPr>
          <w:snapToGrid w:val="0"/>
        </w:rPr>
        <w:t>Any unused portion of the combined "Optus2AnyOne Value" expires at the end of each month. This means that it does not roll over into the following month.</w:t>
      </w:r>
    </w:p>
    <w:p w14:paraId="629E6635" w14:textId="77777777" w:rsidR="000D07EA" w:rsidRDefault="00BE7C89">
      <w:pPr>
        <w:pStyle w:val="Heading7"/>
        <w:rPr>
          <w:b/>
        </w:rPr>
      </w:pPr>
      <w:r>
        <w:rPr>
          <w:b/>
        </w:rPr>
        <w:t>International Value (BYO Option)</w:t>
      </w:r>
    </w:p>
    <w:p w14:paraId="71C3EB5F" w14:textId="77777777" w:rsidR="000D07EA" w:rsidRDefault="00BE7C89">
      <w:pPr>
        <w:pStyle w:val="Heading8"/>
      </w:pPr>
      <w:r>
        <w:t xml:space="preserve">The International Value BYO Option give </w:t>
      </w:r>
      <w:r>
        <w:rPr>
          <w:i/>
        </w:rPr>
        <w:t xml:space="preserve">you </w:t>
      </w:r>
      <w:r>
        <w:t xml:space="preserve">included value that can be used for international calls and international SMS made from Australia (includes calls to national fixed or GSM mobile services that then divert/switch or re-route overseas). </w:t>
      </w:r>
      <w:r>
        <w:rPr>
          <w:i/>
        </w:rPr>
        <w:t xml:space="preserve">We </w:t>
      </w:r>
      <w:r>
        <w:t xml:space="preserve">will charge </w:t>
      </w:r>
      <w:r>
        <w:rPr>
          <w:i/>
        </w:rPr>
        <w:t xml:space="preserve">you </w:t>
      </w:r>
      <w:r>
        <w:t xml:space="preserve">for calls made to international destinations at Optus' international rates (not including calls to Satellite) as set out in </w:t>
      </w:r>
      <w:hyperlink r:id="rId173" w:history="1">
        <w:r>
          <w:rPr>
            <w:rStyle w:val="Hyperlink"/>
            <w:i/>
          </w:rPr>
          <w:t>Appendix J</w:t>
        </w:r>
      </w:hyperlink>
      <w:r>
        <w:rPr>
          <w:i/>
        </w:rPr>
        <w:t xml:space="preserve"> </w:t>
      </w:r>
      <w:r>
        <w:t xml:space="preserve">to the </w:t>
      </w:r>
      <w:r>
        <w:rPr>
          <w:i/>
        </w:rPr>
        <w:t>agreement</w:t>
      </w:r>
      <w:r>
        <w:t xml:space="preserve">. </w:t>
      </w:r>
    </w:p>
    <w:p w14:paraId="04299FD7" w14:textId="77777777" w:rsidR="000D07EA" w:rsidRDefault="00BE7C89">
      <w:pPr>
        <w:pStyle w:val="Heading8"/>
      </w:pPr>
      <w:r>
        <w:rPr>
          <w:snapToGrid w:val="0"/>
        </w:rPr>
        <w:t xml:space="preserve">From 6 June 2010 (inclusive), 'yes' Business International rates will apply. Flagfall of 35c applies per call. </w:t>
      </w:r>
      <w:r>
        <w:t xml:space="preserve">For more information on the 'yes' Business International call rates please refer to </w:t>
      </w:r>
      <w:hyperlink r:id="rId174" w:history="1">
        <w:r>
          <w:rPr>
            <w:rStyle w:val="Hyperlink"/>
            <w:i/>
          </w:rPr>
          <w:t>Appendix J</w:t>
        </w:r>
      </w:hyperlink>
      <w:r>
        <w:rPr>
          <w:i/>
        </w:rPr>
        <w:t>.</w:t>
      </w:r>
    </w:p>
    <w:p w14:paraId="4BE5A630" w14:textId="77777777" w:rsidR="000D07EA" w:rsidRDefault="00BE7C89">
      <w:pPr>
        <w:pStyle w:val="Heading8"/>
      </w:pPr>
      <w:r>
        <w:t xml:space="preserve">The included value </w:t>
      </w:r>
      <w:r>
        <w:rPr>
          <w:i/>
        </w:rPr>
        <w:t>you</w:t>
      </w:r>
      <w:r>
        <w:t xml:space="preserve"> receive is defined above in Table 3A.</w:t>
      </w:r>
    </w:p>
    <w:p w14:paraId="44256A49" w14:textId="77777777" w:rsidR="000D07EA" w:rsidRDefault="00BE7C89">
      <w:pPr>
        <w:pStyle w:val="Heading8"/>
      </w:pPr>
      <w:r>
        <w:t xml:space="preserve">The included value does not include: Voice calls, Voice Mail, Premium and Third Party SMS, MMS, International MMS, Optus Zoo subscription content &amp; Third Party content and applications, 1300, 1900, roaming. Use of these services will be charged at the prevailing rates for your mobile plan or </w:t>
      </w:r>
      <w:r>
        <w:rPr>
          <w:i/>
        </w:rPr>
        <w:t>Value Added Service Feature</w:t>
      </w:r>
      <w:r>
        <w:t xml:space="preserve"> as described in </w:t>
      </w:r>
      <w:hyperlink r:id="rId175" w:history="1">
        <w:r>
          <w:rPr>
            <w:rStyle w:val="Hyperlink"/>
            <w:i/>
            <w:iCs w:val="0"/>
          </w:rPr>
          <w:t>Appendix Y</w:t>
        </w:r>
      </w:hyperlink>
      <w:r>
        <w:t xml:space="preserve"> to the </w:t>
      </w:r>
      <w:r>
        <w:rPr>
          <w:i/>
        </w:rPr>
        <w:t>agreement</w:t>
      </w:r>
      <w:r>
        <w:t>.</w:t>
      </w:r>
    </w:p>
    <w:p w14:paraId="6A6B4D1B" w14:textId="77777777" w:rsidR="000D07EA" w:rsidRDefault="00BE7C89">
      <w:pPr>
        <w:pStyle w:val="Heading8"/>
      </w:pPr>
      <w:r>
        <w:t xml:space="preserve">Excess usage will be charged at the standard international call and international SMS rate for your applicable plan and will apply to any usage over </w:t>
      </w:r>
      <w:r>
        <w:rPr>
          <w:i/>
        </w:rPr>
        <w:t>your</w:t>
      </w:r>
      <w:r>
        <w:t xml:space="preserve"> monthly included value. </w:t>
      </w:r>
    </w:p>
    <w:p w14:paraId="3179F5CD" w14:textId="77777777" w:rsidR="000D07EA" w:rsidRDefault="00BE7C89">
      <w:pPr>
        <w:pStyle w:val="Heading7"/>
        <w:rPr>
          <w:b/>
        </w:rPr>
      </w:pPr>
      <w:r>
        <w:rPr>
          <w:b/>
        </w:rPr>
        <w:t>Internet Value (BYO Option)</w:t>
      </w:r>
    </w:p>
    <w:p w14:paraId="2ED79004" w14:textId="77777777" w:rsidR="000D07EA" w:rsidRDefault="00BE7C89">
      <w:pPr>
        <w:pStyle w:val="Heading8"/>
      </w:pPr>
      <w:r>
        <w:t xml:space="preserve">The Internet Value BYO Option allows </w:t>
      </w:r>
      <w:r>
        <w:rPr>
          <w:i/>
        </w:rPr>
        <w:t>you</w:t>
      </w:r>
      <w:r>
        <w:t xml:space="preserve"> to access the Internet from </w:t>
      </w:r>
      <w:r>
        <w:rPr>
          <w:i/>
        </w:rPr>
        <w:t>your</w:t>
      </w:r>
      <w:r>
        <w:t xml:space="preserve"> iPhone. The Internet Value BYO Option can also be used for </w:t>
      </w:r>
      <w:r>
        <w:rPr>
          <w:i/>
        </w:rPr>
        <w:t>tethered modem</w:t>
      </w:r>
      <w:r>
        <w:t xml:space="preserve"> when added in conjunction with iPhone as Modem access. (See the </w:t>
      </w:r>
      <w:hyperlink r:id="rId176" w:history="1">
        <w:r w:rsidRPr="00536F8B">
          <w:rPr>
            <w:rStyle w:val="Hyperlink"/>
            <w:i/>
            <w:iCs w:val="0"/>
          </w:rPr>
          <w:t>Wireless Internet Pricing Service, Standard Pricing Table</w:t>
        </w:r>
      </w:hyperlink>
      <w:r>
        <w:t xml:space="preserve"> for more details.)</w:t>
      </w:r>
    </w:p>
    <w:p w14:paraId="1EBCBB6D" w14:textId="77777777" w:rsidR="000D07EA" w:rsidRDefault="00BE7C89">
      <w:pPr>
        <w:pStyle w:val="Heading8"/>
      </w:pPr>
      <w:r>
        <w:t xml:space="preserve">The </w:t>
      </w:r>
      <w:r>
        <w:rPr>
          <w:i/>
        </w:rPr>
        <w:t>service</w:t>
      </w:r>
      <w:r>
        <w:t xml:space="preserve"> is only available within Optus 3G/HSPA or GSM coverage areas and is subject to </w:t>
      </w:r>
      <w:r>
        <w:rPr>
          <w:i/>
        </w:rPr>
        <w:t>network</w:t>
      </w:r>
      <w:r>
        <w:t xml:space="preserve"> availability.</w:t>
      </w:r>
    </w:p>
    <w:p w14:paraId="496F137F" w14:textId="77777777" w:rsidR="000D07EA" w:rsidRDefault="00BE7C89">
      <w:pPr>
        <w:pStyle w:val="Heading8"/>
      </w:pPr>
      <w:r>
        <w:t xml:space="preserve">The included data amount does not include: Voice calls, Voice Mail, International SMS, premium and Third Party SMS, MMS, Optus Zoo subscription content &amp; Third Party content and applications, International MMS, 1300, 1900, Circuit Switched Data and Fax. Use of these services will be charged at the prevailing rates for your mobile plan or </w:t>
      </w:r>
      <w:r>
        <w:rPr>
          <w:i/>
        </w:rPr>
        <w:t>value added service feature</w:t>
      </w:r>
      <w:r>
        <w:t xml:space="preserve"> as described in </w:t>
      </w:r>
      <w:hyperlink r:id="rId177" w:history="1">
        <w:r>
          <w:rPr>
            <w:rStyle w:val="Hyperlink"/>
            <w:i/>
            <w:iCs w:val="0"/>
          </w:rPr>
          <w:t>Appendix Y</w:t>
        </w:r>
      </w:hyperlink>
      <w:r>
        <w:t xml:space="preserve"> to the </w:t>
      </w:r>
      <w:r>
        <w:rPr>
          <w:i/>
        </w:rPr>
        <w:t>agreement</w:t>
      </w:r>
      <w:r>
        <w:t>.</w:t>
      </w:r>
    </w:p>
    <w:p w14:paraId="454BD33E" w14:textId="77777777" w:rsidR="000D07EA" w:rsidRDefault="00BE7C89">
      <w:pPr>
        <w:pStyle w:val="Heading8"/>
      </w:pPr>
      <w:r>
        <w:t>Data is counted in kilobytes, 1024KB=1MB, 1024 MB = 1GB and includes both uploads and downloads.</w:t>
      </w:r>
    </w:p>
    <w:p w14:paraId="08F3BEC7" w14:textId="77777777" w:rsidR="000D07EA" w:rsidRDefault="00BE7C89">
      <w:pPr>
        <w:pStyle w:val="Heading8"/>
      </w:pPr>
      <w:r>
        <w:t>If you exceed the included monthly data allowance, excess usage charges will be charged at $0.35 per MB or part thereof.</w:t>
      </w:r>
    </w:p>
    <w:p w14:paraId="09EA9630" w14:textId="77777777" w:rsidR="000D07EA" w:rsidRDefault="00BE7C89">
      <w:pPr>
        <w:pStyle w:val="Heading8"/>
      </w:pPr>
      <w:r>
        <w:t xml:space="preserve">If the data </w:t>
      </w:r>
      <w:r>
        <w:rPr>
          <w:i/>
        </w:rPr>
        <w:t xml:space="preserve">you </w:t>
      </w:r>
      <w:r>
        <w:t>use in a month falls below the amount of included data,</w:t>
      </w:r>
      <w:r>
        <w:rPr>
          <w:i/>
        </w:rPr>
        <w:t xml:space="preserve"> </w:t>
      </w:r>
      <w:r>
        <w:t>the remaining data is forfeited and it does not roll over into the following month.</w:t>
      </w:r>
    </w:p>
    <w:p w14:paraId="07906444" w14:textId="77777777" w:rsidR="000D07EA" w:rsidRDefault="00BE7C89">
      <w:pPr>
        <w:pStyle w:val="Heading8"/>
      </w:pPr>
      <w:r>
        <w:t xml:space="preserve">Use of Internet Value is subject to the special liability clauses as set out in </w:t>
      </w:r>
      <w:r>
        <w:rPr>
          <w:i/>
        </w:rPr>
        <w:t>Section 9.4 Mobile Internet Pack</w:t>
      </w:r>
      <w:r>
        <w:t xml:space="preserve"> of </w:t>
      </w:r>
      <w:hyperlink r:id="rId178" w:history="1">
        <w:r>
          <w:rPr>
            <w:rStyle w:val="Hyperlink"/>
            <w:i/>
            <w:iCs w:val="0"/>
          </w:rPr>
          <w:t>Appendix Y</w:t>
        </w:r>
      </w:hyperlink>
      <w:r>
        <w:rPr>
          <w:i/>
        </w:rPr>
        <w:t>.</w:t>
      </w:r>
    </w:p>
    <w:p w14:paraId="49633A5A" w14:textId="77777777" w:rsidR="000D07EA" w:rsidRDefault="00BE7C89">
      <w:pPr>
        <w:pStyle w:val="Heading6"/>
        <w:ind w:left="0" w:firstLine="0"/>
      </w:pPr>
      <w:bookmarkStart w:id="307" w:name="_Toc397941078"/>
      <w:r>
        <w:t xml:space="preserve">What happens if the </w:t>
      </w:r>
      <w:r>
        <w:rPr>
          <w:i/>
        </w:rPr>
        <w:t xml:space="preserve">service is cancelled </w:t>
      </w:r>
      <w:r>
        <w:t>early?</w:t>
      </w:r>
      <w:bookmarkEnd w:id="303"/>
      <w:bookmarkEnd w:id="307"/>
    </w:p>
    <w:p w14:paraId="7EC26AA1" w14:textId="77777777" w:rsidR="000D07EA" w:rsidRDefault="00BE7C89">
      <w:pPr>
        <w:pStyle w:val="Heading7"/>
      </w:pPr>
      <w:r>
        <w:t xml:space="preserve">If </w:t>
      </w:r>
      <w:r>
        <w:rPr>
          <w:i/>
        </w:rPr>
        <w:t>the service</w:t>
      </w:r>
      <w:r>
        <w:t xml:space="preserve"> </w:t>
      </w:r>
      <w:r>
        <w:rPr>
          <w:i/>
        </w:rPr>
        <w:t xml:space="preserve">is cancelled </w:t>
      </w:r>
      <w:r>
        <w:t xml:space="preserve">before the expiry of the </w:t>
      </w:r>
      <w:r>
        <w:rPr>
          <w:i/>
        </w:rPr>
        <w:t xml:space="preserve">minimum term, you </w:t>
      </w:r>
      <w:r>
        <w:t xml:space="preserve">will be required to pay </w:t>
      </w:r>
      <w:r>
        <w:rPr>
          <w:i/>
        </w:rPr>
        <w:t>us</w:t>
      </w:r>
      <w:r>
        <w:t>:</w:t>
      </w:r>
    </w:p>
    <w:p w14:paraId="03819DD3" w14:textId="77777777" w:rsidR="000D07EA" w:rsidRDefault="00BE7C89">
      <w:pPr>
        <w:pStyle w:val="Heading8"/>
      </w:pPr>
      <w:r>
        <w:lastRenderedPageBreak/>
        <w:t xml:space="preserve">any usage charges incurred up to, and including, the </w:t>
      </w:r>
      <w:r>
        <w:rPr>
          <w:i/>
        </w:rPr>
        <w:t>cancellation date</w:t>
      </w:r>
      <w:r>
        <w:t>; plus</w:t>
      </w:r>
    </w:p>
    <w:p w14:paraId="1E905A88" w14:textId="77777777" w:rsidR="000D07EA" w:rsidRDefault="00BE7C89">
      <w:pPr>
        <w:pStyle w:val="Heading8"/>
      </w:pPr>
      <w:r>
        <w:t xml:space="preserve">the </w:t>
      </w:r>
      <w:r>
        <w:rPr>
          <w:i/>
        </w:rPr>
        <w:t>cancellation fee</w:t>
      </w:r>
      <w:r>
        <w:t xml:space="preserve"> set in paragraph </w:t>
      </w:r>
      <w:r>
        <w:fldChar w:fldCharType="begin"/>
      </w:r>
      <w:r>
        <w:instrText xml:space="preserve"> REF _Ref461548590 \n \h </w:instrText>
      </w:r>
      <w:r>
        <w:fldChar w:fldCharType="separate"/>
      </w:r>
      <w:r w:rsidR="0004083A">
        <w:t>(c)</w:t>
      </w:r>
      <w:r>
        <w:fldChar w:fldCharType="end"/>
      </w:r>
      <w:r>
        <w:t xml:space="preserve"> below (unless under clause 2A of the </w:t>
      </w:r>
      <w:hyperlink r:id="rId179" w:history="1">
        <w:r>
          <w:rPr>
            <w:rStyle w:val="Hyperlink"/>
            <w:i/>
          </w:rPr>
          <w:t>SMB terms</w:t>
        </w:r>
      </w:hyperlink>
      <w:r>
        <w:t xml:space="preserve">, </w:t>
      </w:r>
      <w:r>
        <w:rPr>
          <w:i/>
        </w:rPr>
        <w:t>you</w:t>
      </w:r>
      <w:r>
        <w:t xml:space="preserve"> are entitled to </w:t>
      </w:r>
      <w:r>
        <w:rPr>
          <w:i/>
        </w:rPr>
        <w:t>cancel the service</w:t>
      </w:r>
      <w:r>
        <w:t xml:space="preserve"> without incurring a </w:t>
      </w:r>
      <w:r>
        <w:rPr>
          <w:i/>
        </w:rPr>
        <w:t>cancellation fee</w:t>
      </w:r>
      <w:r>
        <w:t>); plus</w:t>
      </w:r>
    </w:p>
    <w:p w14:paraId="22EDD3B2" w14:textId="77777777" w:rsidR="000D07EA" w:rsidRDefault="00BE7C89">
      <w:pPr>
        <w:pStyle w:val="Heading8"/>
      </w:pPr>
      <w:r>
        <w:t xml:space="preserve">the sum of unpaid </w:t>
      </w:r>
      <w:r>
        <w:rPr>
          <w:i/>
        </w:rPr>
        <w:t>equipment charges</w:t>
      </w:r>
      <w:r>
        <w:t xml:space="preserve"> owing on </w:t>
      </w:r>
      <w:r>
        <w:rPr>
          <w:i/>
        </w:rPr>
        <w:t>your mobile phone</w:t>
      </w:r>
      <w:r>
        <w:t xml:space="preserve"> under the </w:t>
      </w:r>
      <w:r>
        <w:rPr>
          <w:i/>
        </w:rPr>
        <w:t>mobile equipment payment plan</w:t>
      </w:r>
      <w:r>
        <w:t xml:space="preserve"> (if any).</w:t>
      </w:r>
    </w:p>
    <w:p w14:paraId="18DF27A9" w14:textId="77777777" w:rsidR="000D07EA" w:rsidRDefault="00BE7C89">
      <w:pPr>
        <w:pStyle w:val="Heading7"/>
      </w:pPr>
      <w:r>
        <w:t xml:space="preserve">The </w:t>
      </w:r>
      <w:r>
        <w:rPr>
          <w:i/>
        </w:rPr>
        <w:t>cancellation fee</w:t>
      </w:r>
      <w:r>
        <w:t xml:space="preserve"> for a 36 month Contract is calculated as a fixed amount if the </w:t>
      </w:r>
      <w:r>
        <w:rPr>
          <w:i/>
        </w:rPr>
        <w:t xml:space="preserve">service </w:t>
      </w:r>
      <w:r>
        <w:t xml:space="preserve">is </w:t>
      </w:r>
      <w:r>
        <w:rPr>
          <w:i/>
        </w:rPr>
        <w:t xml:space="preserve">cancelled </w:t>
      </w:r>
      <w:r>
        <w:t xml:space="preserve">during the first 18 months of the </w:t>
      </w:r>
      <w:r>
        <w:rPr>
          <w:i/>
        </w:rPr>
        <w:t>minimum term</w:t>
      </w:r>
      <w:r>
        <w:t xml:space="preserve"> and then a pro-rata reduction of that fee (indicated as a percentage in brackets in the first column of the table below) if the </w:t>
      </w:r>
      <w:r>
        <w:rPr>
          <w:i/>
        </w:rPr>
        <w:t xml:space="preserve">service </w:t>
      </w:r>
      <w:r>
        <w:t xml:space="preserve">is </w:t>
      </w:r>
      <w:r>
        <w:rPr>
          <w:i/>
        </w:rPr>
        <w:t xml:space="preserve">cancelled </w:t>
      </w:r>
      <w:r>
        <w:t xml:space="preserve">during the last 18 months of the </w:t>
      </w:r>
      <w:r>
        <w:rPr>
          <w:i/>
        </w:rPr>
        <w:t>minimum term</w:t>
      </w:r>
      <w:r>
        <w:t>.</w:t>
      </w:r>
    </w:p>
    <w:p w14:paraId="4401499F" w14:textId="77777777" w:rsidR="000D07EA" w:rsidRDefault="00BE7C89">
      <w:pPr>
        <w:pStyle w:val="Heading7"/>
      </w:pPr>
      <w:bookmarkStart w:id="308" w:name="_Ref461548590"/>
      <w:r>
        <w:t xml:space="preserve">The </w:t>
      </w:r>
      <w:r>
        <w:rPr>
          <w:i/>
        </w:rPr>
        <w:t>cancellation fee</w:t>
      </w:r>
      <w:r>
        <w:t xml:space="preserve"> for a 24 month Contract is calculated as a fixed amount if the </w:t>
      </w:r>
      <w:r>
        <w:rPr>
          <w:i/>
        </w:rPr>
        <w:t xml:space="preserve">service </w:t>
      </w:r>
      <w:r>
        <w:t xml:space="preserve">is </w:t>
      </w:r>
      <w:r>
        <w:rPr>
          <w:i/>
        </w:rPr>
        <w:t xml:space="preserve">cancelled </w:t>
      </w:r>
      <w:r>
        <w:t xml:space="preserve">during the first 12 months of the </w:t>
      </w:r>
      <w:r>
        <w:rPr>
          <w:i/>
        </w:rPr>
        <w:t>minimum term</w:t>
      </w:r>
      <w:r>
        <w:t xml:space="preserve"> and then a pro-rata reduction of that fee (indicated as a percentage in brackets in the first column of the table below) if the </w:t>
      </w:r>
      <w:r>
        <w:rPr>
          <w:i/>
        </w:rPr>
        <w:t xml:space="preserve">service </w:t>
      </w:r>
      <w:r>
        <w:t xml:space="preserve">is </w:t>
      </w:r>
      <w:r>
        <w:rPr>
          <w:i/>
        </w:rPr>
        <w:t xml:space="preserve">cancelled </w:t>
      </w:r>
      <w:r>
        <w:t xml:space="preserve">during the second year of the </w:t>
      </w:r>
      <w:r>
        <w:rPr>
          <w:i/>
        </w:rPr>
        <w:t>minimum term</w:t>
      </w:r>
      <w:r>
        <w:t>.</w:t>
      </w:r>
      <w:bookmarkEnd w:id="308"/>
    </w:p>
    <w:p w14:paraId="007240B1" w14:textId="77777777" w:rsidR="000D07EA" w:rsidRDefault="00BE7C89">
      <w:pPr>
        <w:pStyle w:val="Heading7"/>
      </w:pPr>
      <w:r>
        <w:t xml:space="preserve">The </w:t>
      </w:r>
      <w:r>
        <w:rPr>
          <w:i/>
        </w:rPr>
        <w:t>cancellation fee</w:t>
      </w:r>
      <w:r>
        <w:t xml:space="preserve"> for a 12 month Contract is calculated as a fixed amount if the </w:t>
      </w:r>
      <w:r>
        <w:rPr>
          <w:i/>
        </w:rPr>
        <w:t xml:space="preserve">service </w:t>
      </w:r>
      <w:r>
        <w:t xml:space="preserve">is </w:t>
      </w:r>
      <w:r>
        <w:rPr>
          <w:i/>
        </w:rPr>
        <w:t xml:space="preserve">cancelled </w:t>
      </w:r>
      <w:r>
        <w:t xml:space="preserve">during the first 6 months of the </w:t>
      </w:r>
      <w:r>
        <w:rPr>
          <w:i/>
        </w:rPr>
        <w:t>minimum term</w:t>
      </w:r>
      <w:r>
        <w:t xml:space="preserve"> and then a pro-rata reduction of that fee (indicated as a percentage in brackets in the first column of the table below) if the </w:t>
      </w:r>
      <w:r>
        <w:rPr>
          <w:i/>
        </w:rPr>
        <w:t xml:space="preserve">service </w:t>
      </w:r>
      <w:r>
        <w:t xml:space="preserve">is </w:t>
      </w:r>
      <w:r>
        <w:rPr>
          <w:i/>
        </w:rPr>
        <w:t xml:space="preserve">cancelled </w:t>
      </w:r>
      <w:r>
        <w:t xml:space="preserve">during the last 6 months of the </w:t>
      </w:r>
      <w:r>
        <w:rPr>
          <w:i/>
        </w:rPr>
        <w:t>minimum term</w:t>
      </w:r>
      <w:r>
        <w:t>.</w:t>
      </w:r>
    </w:p>
    <w:tbl>
      <w:tblPr>
        <w:tblW w:w="4617"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5101"/>
        <w:gridCol w:w="4307"/>
      </w:tblGrid>
      <w:tr w:rsidR="000D07EA" w14:paraId="68E97A31" w14:textId="77777777">
        <w:tc>
          <w:tcPr>
            <w:tcW w:w="2711" w:type="pct"/>
          </w:tcPr>
          <w:p w14:paraId="3A28774E" w14:textId="77777777" w:rsidR="000D07EA" w:rsidRDefault="00BE7C89">
            <w:pPr>
              <w:pStyle w:val="BodyText"/>
              <w:spacing w:before="100" w:after="100"/>
              <w:rPr>
                <w:b/>
                <w:i/>
              </w:rPr>
            </w:pPr>
            <w:r>
              <w:rPr>
                <w:b/>
              </w:rPr>
              <w:t xml:space="preserve">When the </w:t>
            </w:r>
            <w:r>
              <w:rPr>
                <w:b/>
                <w:i/>
              </w:rPr>
              <w:t>service</w:t>
            </w:r>
            <w:r>
              <w:rPr>
                <w:b/>
              </w:rPr>
              <w:t xml:space="preserve"> is </w:t>
            </w:r>
            <w:r>
              <w:rPr>
                <w:b/>
                <w:i/>
              </w:rPr>
              <w:t>cancelled</w:t>
            </w:r>
          </w:p>
        </w:tc>
        <w:tc>
          <w:tcPr>
            <w:tcW w:w="2289" w:type="pct"/>
          </w:tcPr>
          <w:p w14:paraId="3D75BD3C" w14:textId="77777777" w:rsidR="000D07EA" w:rsidRDefault="00BE7C89">
            <w:pPr>
              <w:pStyle w:val="BodyText"/>
              <w:spacing w:before="100" w:after="100"/>
              <w:jc w:val="center"/>
              <w:rPr>
                <w:b/>
                <w:i/>
              </w:rPr>
            </w:pPr>
            <w:r>
              <w:rPr>
                <w:b/>
                <w:i/>
              </w:rPr>
              <w:t>Cancellation Fee</w:t>
            </w:r>
          </w:p>
        </w:tc>
      </w:tr>
      <w:tr w:rsidR="000D07EA" w14:paraId="5DF22558" w14:textId="77777777">
        <w:tc>
          <w:tcPr>
            <w:tcW w:w="2711" w:type="pct"/>
          </w:tcPr>
          <w:p w14:paraId="60018A02" w14:textId="77777777" w:rsidR="000D07EA" w:rsidRDefault="000D07EA">
            <w:pPr>
              <w:pStyle w:val="BodyText"/>
              <w:spacing w:before="100" w:after="100"/>
            </w:pPr>
          </w:p>
        </w:tc>
        <w:tc>
          <w:tcPr>
            <w:tcW w:w="2289" w:type="pct"/>
          </w:tcPr>
          <w:p w14:paraId="36185142" w14:textId="77777777" w:rsidR="000D07EA" w:rsidRDefault="00BE7C89">
            <w:pPr>
              <w:pStyle w:val="BodyText"/>
              <w:spacing w:before="100" w:after="100"/>
              <w:jc w:val="center"/>
              <w:rPr>
                <w:b/>
              </w:rPr>
            </w:pPr>
            <w:r>
              <w:rPr>
                <w:b/>
              </w:rPr>
              <w:t>'yes' Business Cap iPhone Plans – 36 Month Contract</w:t>
            </w:r>
          </w:p>
        </w:tc>
      </w:tr>
      <w:tr w:rsidR="000D07EA" w14:paraId="02DB7AE2" w14:textId="77777777">
        <w:tc>
          <w:tcPr>
            <w:tcW w:w="2711" w:type="pct"/>
          </w:tcPr>
          <w:p w14:paraId="2D8F8F0A" w14:textId="77777777" w:rsidR="000D07EA" w:rsidRDefault="000D07EA">
            <w:pPr>
              <w:pStyle w:val="BodyText"/>
              <w:spacing w:before="100" w:after="100"/>
            </w:pPr>
          </w:p>
        </w:tc>
        <w:tc>
          <w:tcPr>
            <w:tcW w:w="2289" w:type="pct"/>
          </w:tcPr>
          <w:p w14:paraId="776F45F3" w14:textId="77777777" w:rsidR="000D07EA" w:rsidRDefault="00BE7C89">
            <w:pPr>
              <w:pStyle w:val="BodyText"/>
              <w:spacing w:before="100" w:after="100"/>
              <w:jc w:val="center"/>
              <w:rPr>
                <w:b/>
              </w:rPr>
            </w:pPr>
            <w:r>
              <w:rPr>
                <w:b/>
              </w:rPr>
              <w:t>'yes' Business $79 Cap iPhone</w:t>
            </w:r>
          </w:p>
        </w:tc>
      </w:tr>
      <w:tr w:rsidR="000D07EA" w14:paraId="3B33BC46" w14:textId="77777777">
        <w:tc>
          <w:tcPr>
            <w:tcW w:w="2711" w:type="pct"/>
          </w:tcPr>
          <w:p w14:paraId="3905F077" w14:textId="77777777" w:rsidR="000D07EA" w:rsidRDefault="00BE7C89">
            <w:pPr>
              <w:pStyle w:val="BodyText"/>
              <w:spacing w:before="100" w:after="100"/>
              <w:rPr>
                <w:b/>
              </w:rPr>
            </w:pPr>
            <w:r>
              <w:rPr>
                <w:b/>
              </w:rPr>
              <w:t xml:space="preserve">During the first 18 months - Initial </w:t>
            </w:r>
            <w:r>
              <w:rPr>
                <w:b/>
                <w:i/>
              </w:rPr>
              <w:t>cancellation fee</w:t>
            </w:r>
          </w:p>
        </w:tc>
        <w:tc>
          <w:tcPr>
            <w:tcW w:w="2289" w:type="pct"/>
          </w:tcPr>
          <w:p w14:paraId="33E6E032" w14:textId="77777777" w:rsidR="000D07EA" w:rsidRDefault="00BE7C89">
            <w:pPr>
              <w:pStyle w:val="BodyText"/>
              <w:spacing w:before="100" w:after="100"/>
              <w:jc w:val="center"/>
            </w:pPr>
            <w:r>
              <w:t>$1150</w:t>
            </w:r>
          </w:p>
        </w:tc>
      </w:tr>
      <w:tr w:rsidR="000D07EA" w14:paraId="56C1772D" w14:textId="77777777">
        <w:tc>
          <w:tcPr>
            <w:tcW w:w="2711" w:type="pct"/>
          </w:tcPr>
          <w:p w14:paraId="4ACAA8AA" w14:textId="77777777" w:rsidR="000D07EA" w:rsidRDefault="00BE7C89">
            <w:pPr>
              <w:pStyle w:val="BodyText"/>
              <w:spacing w:before="100" w:after="100"/>
              <w:rPr>
                <w:b/>
              </w:rPr>
            </w:pPr>
            <w:r>
              <w:rPr>
                <w:b/>
              </w:rPr>
              <w:t xml:space="preserve">Months 19 – 21 (85% of Initial </w:t>
            </w:r>
            <w:r>
              <w:rPr>
                <w:b/>
                <w:i/>
              </w:rPr>
              <w:t>cancellation fee</w:t>
            </w:r>
            <w:r>
              <w:rPr>
                <w:b/>
              </w:rPr>
              <w:t>)</w:t>
            </w:r>
          </w:p>
        </w:tc>
        <w:tc>
          <w:tcPr>
            <w:tcW w:w="2289" w:type="pct"/>
          </w:tcPr>
          <w:p w14:paraId="5BB5566D" w14:textId="77777777" w:rsidR="000D07EA" w:rsidRDefault="00BE7C89">
            <w:pPr>
              <w:pStyle w:val="BodyText"/>
              <w:spacing w:before="100" w:after="100"/>
              <w:jc w:val="center"/>
            </w:pPr>
            <w:r>
              <w:t>$977.50</w:t>
            </w:r>
          </w:p>
        </w:tc>
      </w:tr>
      <w:tr w:rsidR="000D07EA" w14:paraId="45849926" w14:textId="77777777">
        <w:tc>
          <w:tcPr>
            <w:tcW w:w="2711" w:type="pct"/>
          </w:tcPr>
          <w:p w14:paraId="5705E28C" w14:textId="77777777" w:rsidR="000D07EA" w:rsidRDefault="00BE7C89">
            <w:pPr>
              <w:pStyle w:val="BodyText"/>
              <w:spacing w:before="100" w:after="100"/>
              <w:rPr>
                <w:b/>
              </w:rPr>
            </w:pPr>
            <w:r>
              <w:rPr>
                <w:b/>
              </w:rPr>
              <w:t xml:space="preserve">Months 22 – 24 (70% of the Initial </w:t>
            </w:r>
            <w:r>
              <w:rPr>
                <w:b/>
                <w:i/>
              </w:rPr>
              <w:t>cancellation fee</w:t>
            </w:r>
            <w:r>
              <w:rPr>
                <w:b/>
              </w:rPr>
              <w:t>)</w:t>
            </w:r>
          </w:p>
        </w:tc>
        <w:tc>
          <w:tcPr>
            <w:tcW w:w="2289" w:type="pct"/>
          </w:tcPr>
          <w:p w14:paraId="17D0EF9A" w14:textId="77777777" w:rsidR="000D07EA" w:rsidRDefault="00BE7C89">
            <w:pPr>
              <w:pStyle w:val="BodyText"/>
              <w:spacing w:before="100" w:after="100"/>
              <w:jc w:val="center"/>
            </w:pPr>
            <w:r>
              <w:t>$805</w:t>
            </w:r>
          </w:p>
        </w:tc>
      </w:tr>
      <w:tr w:rsidR="000D07EA" w14:paraId="695B4C43" w14:textId="77777777">
        <w:tc>
          <w:tcPr>
            <w:tcW w:w="2711" w:type="pct"/>
          </w:tcPr>
          <w:p w14:paraId="0AF4151C" w14:textId="77777777" w:rsidR="000D07EA" w:rsidRDefault="00BE7C89">
            <w:pPr>
              <w:pStyle w:val="BodyText"/>
              <w:spacing w:before="100" w:after="100"/>
              <w:rPr>
                <w:b/>
              </w:rPr>
            </w:pPr>
            <w:r>
              <w:rPr>
                <w:b/>
              </w:rPr>
              <w:t xml:space="preserve">Months 25 – 27 (55% of the Initial </w:t>
            </w:r>
            <w:r>
              <w:rPr>
                <w:b/>
                <w:i/>
              </w:rPr>
              <w:t>cancellation fee</w:t>
            </w:r>
            <w:r>
              <w:rPr>
                <w:b/>
              </w:rPr>
              <w:t>)</w:t>
            </w:r>
          </w:p>
        </w:tc>
        <w:tc>
          <w:tcPr>
            <w:tcW w:w="2289" w:type="pct"/>
          </w:tcPr>
          <w:p w14:paraId="50DA7F87" w14:textId="77777777" w:rsidR="000D07EA" w:rsidRDefault="00BE7C89">
            <w:pPr>
              <w:pStyle w:val="BodyText"/>
              <w:spacing w:before="100" w:after="100"/>
              <w:jc w:val="center"/>
            </w:pPr>
            <w:r>
              <w:t>$632.50</w:t>
            </w:r>
          </w:p>
        </w:tc>
      </w:tr>
      <w:tr w:rsidR="000D07EA" w14:paraId="50F91A3E" w14:textId="77777777">
        <w:tc>
          <w:tcPr>
            <w:tcW w:w="2711" w:type="pct"/>
          </w:tcPr>
          <w:p w14:paraId="6E898798" w14:textId="77777777" w:rsidR="000D07EA" w:rsidRDefault="00BE7C89">
            <w:pPr>
              <w:pStyle w:val="BodyText"/>
              <w:spacing w:before="100" w:after="100"/>
              <w:rPr>
                <w:b/>
              </w:rPr>
            </w:pPr>
            <w:r>
              <w:rPr>
                <w:b/>
              </w:rPr>
              <w:t>Months 28 – 30 (40% of the Initial cancellation fee)</w:t>
            </w:r>
          </w:p>
        </w:tc>
        <w:tc>
          <w:tcPr>
            <w:tcW w:w="2289" w:type="pct"/>
          </w:tcPr>
          <w:p w14:paraId="2D23C995" w14:textId="77777777" w:rsidR="000D07EA" w:rsidRDefault="00BE7C89">
            <w:pPr>
              <w:pStyle w:val="BodyText"/>
              <w:spacing w:before="100" w:after="100"/>
              <w:jc w:val="center"/>
            </w:pPr>
            <w:r>
              <w:t>$460</w:t>
            </w:r>
          </w:p>
        </w:tc>
      </w:tr>
      <w:tr w:rsidR="000D07EA" w14:paraId="7CE5979A" w14:textId="77777777">
        <w:tc>
          <w:tcPr>
            <w:tcW w:w="2711" w:type="pct"/>
          </w:tcPr>
          <w:p w14:paraId="7F709071" w14:textId="77777777" w:rsidR="000D07EA" w:rsidRDefault="00BE7C89">
            <w:pPr>
              <w:pStyle w:val="BodyText"/>
              <w:spacing w:before="100" w:after="100"/>
              <w:rPr>
                <w:b/>
              </w:rPr>
            </w:pPr>
            <w:r>
              <w:rPr>
                <w:b/>
              </w:rPr>
              <w:t>Months 31 – 33 (25% of the Initial cancellation fee)</w:t>
            </w:r>
          </w:p>
        </w:tc>
        <w:tc>
          <w:tcPr>
            <w:tcW w:w="2289" w:type="pct"/>
          </w:tcPr>
          <w:p w14:paraId="1C6229AD" w14:textId="77777777" w:rsidR="000D07EA" w:rsidRDefault="00BE7C89">
            <w:pPr>
              <w:pStyle w:val="BodyText"/>
              <w:spacing w:before="100" w:after="100"/>
              <w:jc w:val="center"/>
            </w:pPr>
            <w:r>
              <w:t>$287.50</w:t>
            </w:r>
          </w:p>
        </w:tc>
      </w:tr>
      <w:tr w:rsidR="000D07EA" w14:paraId="02FCDF71" w14:textId="77777777">
        <w:tc>
          <w:tcPr>
            <w:tcW w:w="2711" w:type="pct"/>
          </w:tcPr>
          <w:p w14:paraId="0EF5F346" w14:textId="77777777" w:rsidR="000D07EA" w:rsidRDefault="00BE7C89">
            <w:pPr>
              <w:pStyle w:val="BodyText"/>
              <w:spacing w:before="100" w:after="100"/>
              <w:rPr>
                <w:b/>
              </w:rPr>
            </w:pPr>
            <w:r>
              <w:rPr>
                <w:b/>
              </w:rPr>
              <w:t>Months 34 – 36 (10% of the Initial cancellation fee)</w:t>
            </w:r>
          </w:p>
        </w:tc>
        <w:tc>
          <w:tcPr>
            <w:tcW w:w="2289" w:type="pct"/>
          </w:tcPr>
          <w:p w14:paraId="0C826F84" w14:textId="77777777" w:rsidR="000D07EA" w:rsidRDefault="00BE7C89">
            <w:pPr>
              <w:pStyle w:val="BodyText"/>
              <w:spacing w:before="100" w:after="100"/>
              <w:jc w:val="center"/>
            </w:pPr>
            <w:r>
              <w:t>$115</w:t>
            </w:r>
          </w:p>
        </w:tc>
      </w:tr>
    </w:tbl>
    <w:p w14:paraId="3A14A647" w14:textId="77777777" w:rsidR="000D07EA" w:rsidRDefault="000D07EA">
      <w:pPr>
        <w:pStyle w:val="BodyText"/>
        <w:ind w:left="1440"/>
      </w:pPr>
    </w:p>
    <w:tbl>
      <w:tblPr>
        <w:tblW w:w="4617"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4483"/>
        <w:gridCol w:w="1643"/>
        <w:gridCol w:w="1643"/>
        <w:gridCol w:w="1639"/>
      </w:tblGrid>
      <w:tr w:rsidR="000D07EA" w14:paraId="00988991" w14:textId="77777777">
        <w:trPr>
          <w:tblHeader/>
        </w:trPr>
        <w:tc>
          <w:tcPr>
            <w:tcW w:w="2383" w:type="pct"/>
            <w:tcBorders>
              <w:top w:val="single" w:sz="4" w:space="0" w:color="auto"/>
              <w:left w:val="single" w:sz="4" w:space="0" w:color="auto"/>
              <w:bottom w:val="single" w:sz="4" w:space="0" w:color="auto"/>
              <w:right w:val="single" w:sz="4" w:space="0" w:color="auto"/>
            </w:tcBorders>
          </w:tcPr>
          <w:p w14:paraId="453BBC6D" w14:textId="77777777" w:rsidR="000D07EA" w:rsidRDefault="00BE7C89">
            <w:pPr>
              <w:pStyle w:val="BodyText"/>
              <w:spacing w:before="100" w:after="100"/>
              <w:rPr>
                <w:b/>
                <w:i/>
              </w:rPr>
            </w:pPr>
            <w:r>
              <w:rPr>
                <w:b/>
              </w:rPr>
              <w:t xml:space="preserve">When the </w:t>
            </w:r>
            <w:r>
              <w:rPr>
                <w:b/>
                <w:i/>
              </w:rPr>
              <w:t>service</w:t>
            </w:r>
            <w:r>
              <w:rPr>
                <w:b/>
              </w:rPr>
              <w:t xml:space="preserve"> is </w:t>
            </w:r>
            <w:r>
              <w:rPr>
                <w:b/>
                <w:i/>
              </w:rPr>
              <w:t>cancelled</w:t>
            </w:r>
          </w:p>
        </w:tc>
        <w:tc>
          <w:tcPr>
            <w:tcW w:w="2617" w:type="pct"/>
            <w:gridSpan w:val="3"/>
            <w:tcBorders>
              <w:top w:val="single" w:sz="4" w:space="0" w:color="auto"/>
              <w:left w:val="single" w:sz="4" w:space="0" w:color="auto"/>
              <w:bottom w:val="single" w:sz="4" w:space="0" w:color="auto"/>
              <w:right w:val="single" w:sz="4" w:space="0" w:color="auto"/>
            </w:tcBorders>
          </w:tcPr>
          <w:p w14:paraId="1FB868C8" w14:textId="77777777" w:rsidR="000D07EA" w:rsidRDefault="00BE7C89">
            <w:pPr>
              <w:pStyle w:val="BodyText"/>
              <w:spacing w:before="100" w:after="100"/>
              <w:jc w:val="center"/>
              <w:rPr>
                <w:b/>
                <w:i/>
              </w:rPr>
            </w:pPr>
            <w:r>
              <w:rPr>
                <w:b/>
                <w:i/>
              </w:rPr>
              <w:t>Cancellation Fee</w:t>
            </w:r>
          </w:p>
        </w:tc>
      </w:tr>
      <w:tr w:rsidR="000D07EA" w14:paraId="7329B5DE" w14:textId="77777777">
        <w:trPr>
          <w:trHeight w:val="60"/>
          <w:tblHeader/>
        </w:trPr>
        <w:tc>
          <w:tcPr>
            <w:tcW w:w="2383" w:type="pct"/>
            <w:tcBorders>
              <w:top w:val="single" w:sz="4" w:space="0" w:color="auto"/>
              <w:left w:val="single" w:sz="4" w:space="0" w:color="auto"/>
              <w:bottom w:val="single" w:sz="4" w:space="0" w:color="auto"/>
              <w:right w:val="single" w:sz="4" w:space="0" w:color="auto"/>
            </w:tcBorders>
          </w:tcPr>
          <w:p w14:paraId="76E22908" w14:textId="77777777" w:rsidR="000D07EA" w:rsidRDefault="000D07EA">
            <w:pPr>
              <w:pStyle w:val="BodyText"/>
              <w:spacing w:before="100" w:after="100"/>
            </w:pPr>
          </w:p>
        </w:tc>
        <w:tc>
          <w:tcPr>
            <w:tcW w:w="2617" w:type="pct"/>
            <w:gridSpan w:val="3"/>
            <w:tcBorders>
              <w:top w:val="single" w:sz="4" w:space="0" w:color="auto"/>
              <w:left w:val="single" w:sz="4" w:space="0" w:color="auto"/>
              <w:bottom w:val="single" w:sz="4" w:space="0" w:color="auto"/>
              <w:right w:val="single" w:sz="4" w:space="0" w:color="auto"/>
            </w:tcBorders>
          </w:tcPr>
          <w:p w14:paraId="5D4D224C" w14:textId="77777777" w:rsidR="000D07EA" w:rsidRDefault="00BE7C89">
            <w:pPr>
              <w:pStyle w:val="BodyText"/>
              <w:spacing w:before="100" w:after="100"/>
              <w:jc w:val="center"/>
              <w:rPr>
                <w:b/>
              </w:rPr>
            </w:pPr>
            <w:r>
              <w:rPr>
                <w:b/>
              </w:rPr>
              <w:t>'yes' Business Cap iPhone Plan – 24 Month Contract</w:t>
            </w:r>
          </w:p>
        </w:tc>
      </w:tr>
      <w:tr w:rsidR="000D07EA" w14:paraId="7B6DBA7B" w14:textId="77777777">
        <w:trPr>
          <w:tblHeader/>
        </w:trPr>
        <w:tc>
          <w:tcPr>
            <w:tcW w:w="2383" w:type="pct"/>
            <w:tcBorders>
              <w:top w:val="single" w:sz="4" w:space="0" w:color="auto"/>
              <w:left w:val="single" w:sz="4" w:space="0" w:color="auto"/>
              <w:bottom w:val="single" w:sz="4" w:space="0" w:color="auto"/>
              <w:right w:val="single" w:sz="4" w:space="0" w:color="auto"/>
            </w:tcBorders>
          </w:tcPr>
          <w:p w14:paraId="2232F3F2" w14:textId="77777777" w:rsidR="000D07EA" w:rsidRDefault="000D07EA">
            <w:pPr>
              <w:pStyle w:val="BodyText"/>
              <w:spacing w:before="100" w:after="100"/>
            </w:pPr>
          </w:p>
        </w:tc>
        <w:tc>
          <w:tcPr>
            <w:tcW w:w="873" w:type="pct"/>
            <w:tcBorders>
              <w:top w:val="single" w:sz="4" w:space="0" w:color="auto"/>
              <w:left w:val="single" w:sz="4" w:space="0" w:color="auto"/>
              <w:bottom w:val="single" w:sz="4" w:space="0" w:color="auto"/>
              <w:right w:val="single" w:sz="4" w:space="0" w:color="auto"/>
            </w:tcBorders>
          </w:tcPr>
          <w:p w14:paraId="17C54CC7" w14:textId="77777777" w:rsidR="000D07EA" w:rsidRDefault="00BE7C89">
            <w:pPr>
              <w:pStyle w:val="BodyText"/>
              <w:spacing w:before="100" w:after="100"/>
              <w:jc w:val="center"/>
              <w:rPr>
                <w:b/>
              </w:rPr>
            </w:pPr>
            <w:r>
              <w:rPr>
                <w:b/>
              </w:rPr>
              <w:t>'yes' Business $49 Cap iPhone</w:t>
            </w:r>
          </w:p>
        </w:tc>
        <w:tc>
          <w:tcPr>
            <w:tcW w:w="873" w:type="pct"/>
            <w:tcBorders>
              <w:top w:val="single" w:sz="4" w:space="0" w:color="auto"/>
              <w:left w:val="single" w:sz="4" w:space="0" w:color="auto"/>
              <w:bottom w:val="single" w:sz="4" w:space="0" w:color="auto"/>
              <w:right w:val="single" w:sz="4" w:space="0" w:color="auto"/>
            </w:tcBorders>
          </w:tcPr>
          <w:p w14:paraId="071F3B2C" w14:textId="77777777" w:rsidR="000D07EA" w:rsidRDefault="00BE7C89">
            <w:pPr>
              <w:pStyle w:val="BodyText"/>
              <w:spacing w:before="100" w:after="100"/>
              <w:jc w:val="center"/>
              <w:rPr>
                <w:b/>
              </w:rPr>
            </w:pPr>
            <w:r>
              <w:rPr>
                <w:b/>
              </w:rPr>
              <w:t>'yes' Business $59 Cap iPhone</w:t>
            </w:r>
          </w:p>
        </w:tc>
        <w:tc>
          <w:tcPr>
            <w:tcW w:w="872" w:type="pct"/>
            <w:tcBorders>
              <w:top w:val="single" w:sz="4" w:space="0" w:color="auto"/>
              <w:left w:val="single" w:sz="4" w:space="0" w:color="auto"/>
              <w:bottom w:val="single" w:sz="4" w:space="0" w:color="auto"/>
              <w:right w:val="single" w:sz="4" w:space="0" w:color="auto"/>
            </w:tcBorders>
          </w:tcPr>
          <w:p w14:paraId="542DC865" w14:textId="77777777" w:rsidR="000D07EA" w:rsidRDefault="00BE7C89">
            <w:pPr>
              <w:pStyle w:val="BodyText"/>
              <w:spacing w:before="100" w:after="100"/>
              <w:jc w:val="center"/>
              <w:rPr>
                <w:b/>
              </w:rPr>
            </w:pPr>
            <w:r>
              <w:rPr>
                <w:b/>
              </w:rPr>
              <w:t>'yes' Business $79 Cap iPhone</w:t>
            </w:r>
          </w:p>
        </w:tc>
      </w:tr>
      <w:tr w:rsidR="000D07EA" w14:paraId="63780AB3" w14:textId="77777777">
        <w:tc>
          <w:tcPr>
            <w:tcW w:w="2383" w:type="pct"/>
            <w:tcBorders>
              <w:top w:val="single" w:sz="4" w:space="0" w:color="auto"/>
              <w:left w:val="single" w:sz="4" w:space="0" w:color="auto"/>
              <w:bottom w:val="single" w:sz="4" w:space="0" w:color="auto"/>
              <w:right w:val="single" w:sz="4" w:space="0" w:color="auto"/>
            </w:tcBorders>
          </w:tcPr>
          <w:p w14:paraId="3B980130" w14:textId="77777777" w:rsidR="000D07EA" w:rsidRDefault="00BE7C89">
            <w:pPr>
              <w:pStyle w:val="BodyText"/>
              <w:spacing w:before="100" w:after="100"/>
              <w:rPr>
                <w:b/>
              </w:rPr>
            </w:pPr>
            <w:r>
              <w:rPr>
                <w:b/>
              </w:rPr>
              <w:t xml:space="preserve">During the first 12 months - Initial </w:t>
            </w:r>
            <w:r>
              <w:rPr>
                <w:b/>
                <w:i/>
              </w:rPr>
              <w:t>cancellation fee</w:t>
            </w:r>
          </w:p>
        </w:tc>
        <w:tc>
          <w:tcPr>
            <w:tcW w:w="873" w:type="pct"/>
            <w:tcBorders>
              <w:top w:val="single" w:sz="4" w:space="0" w:color="auto"/>
              <w:left w:val="single" w:sz="4" w:space="0" w:color="auto"/>
              <w:bottom w:val="single" w:sz="4" w:space="0" w:color="auto"/>
              <w:right w:val="single" w:sz="4" w:space="0" w:color="auto"/>
            </w:tcBorders>
          </w:tcPr>
          <w:p w14:paraId="517255B2" w14:textId="77777777" w:rsidR="000D07EA" w:rsidRDefault="00BE7C89">
            <w:pPr>
              <w:pStyle w:val="BodyText"/>
              <w:spacing w:before="100" w:after="100"/>
              <w:jc w:val="center"/>
            </w:pPr>
            <w:r>
              <w:t>$705</w:t>
            </w:r>
          </w:p>
        </w:tc>
        <w:tc>
          <w:tcPr>
            <w:tcW w:w="873" w:type="pct"/>
            <w:tcBorders>
              <w:top w:val="single" w:sz="4" w:space="0" w:color="auto"/>
              <w:left w:val="single" w:sz="4" w:space="0" w:color="auto"/>
              <w:bottom w:val="single" w:sz="4" w:space="0" w:color="auto"/>
              <w:right w:val="single" w:sz="4" w:space="0" w:color="auto"/>
            </w:tcBorders>
          </w:tcPr>
          <w:p w14:paraId="2A4E5D8A" w14:textId="77777777" w:rsidR="000D07EA" w:rsidRDefault="00BE7C89">
            <w:pPr>
              <w:pStyle w:val="BodyText"/>
              <w:spacing w:before="100" w:after="100"/>
              <w:jc w:val="center"/>
            </w:pPr>
            <w:r>
              <w:t>$895</w:t>
            </w:r>
          </w:p>
        </w:tc>
        <w:tc>
          <w:tcPr>
            <w:tcW w:w="872" w:type="pct"/>
            <w:tcBorders>
              <w:top w:val="single" w:sz="4" w:space="0" w:color="auto"/>
              <w:left w:val="single" w:sz="4" w:space="0" w:color="auto"/>
              <w:bottom w:val="single" w:sz="4" w:space="0" w:color="auto"/>
              <w:right w:val="single" w:sz="4" w:space="0" w:color="auto"/>
            </w:tcBorders>
          </w:tcPr>
          <w:p w14:paraId="1B6742BD" w14:textId="77777777" w:rsidR="000D07EA" w:rsidRDefault="00BE7C89">
            <w:pPr>
              <w:pStyle w:val="BodyText"/>
              <w:spacing w:before="100" w:after="100"/>
              <w:jc w:val="center"/>
            </w:pPr>
            <w:r>
              <w:t>$910</w:t>
            </w:r>
          </w:p>
        </w:tc>
      </w:tr>
      <w:tr w:rsidR="000D07EA" w14:paraId="6EAAA336" w14:textId="77777777">
        <w:tc>
          <w:tcPr>
            <w:tcW w:w="2383" w:type="pct"/>
            <w:tcBorders>
              <w:top w:val="single" w:sz="4" w:space="0" w:color="auto"/>
              <w:left w:val="single" w:sz="4" w:space="0" w:color="auto"/>
              <w:bottom w:val="single" w:sz="4" w:space="0" w:color="auto"/>
              <w:right w:val="single" w:sz="4" w:space="0" w:color="auto"/>
            </w:tcBorders>
          </w:tcPr>
          <w:p w14:paraId="0F3F5E28" w14:textId="77777777" w:rsidR="000D07EA" w:rsidRDefault="00BE7C89">
            <w:pPr>
              <w:pStyle w:val="BodyText"/>
              <w:spacing w:before="100" w:after="100"/>
              <w:rPr>
                <w:b/>
              </w:rPr>
            </w:pPr>
            <w:r>
              <w:rPr>
                <w:b/>
              </w:rPr>
              <w:t xml:space="preserve">Months 13 – 15 (80% of Initial </w:t>
            </w:r>
            <w:r>
              <w:rPr>
                <w:b/>
                <w:i/>
              </w:rPr>
              <w:t>cancellation fee</w:t>
            </w:r>
            <w:r>
              <w:rPr>
                <w:b/>
              </w:rPr>
              <w:t>)</w:t>
            </w:r>
          </w:p>
        </w:tc>
        <w:tc>
          <w:tcPr>
            <w:tcW w:w="873" w:type="pct"/>
            <w:tcBorders>
              <w:top w:val="single" w:sz="4" w:space="0" w:color="auto"/>
              <w:left w:val="single" w:sz="4" w:space="0" w:color="auto"/>
              <w:bottom w:val="single" w:sz="4" w:space="0" w:color="auto"/>
              <w:right w:val="single" w:sz="4" w:space="0" w:color="auto"/>
            </w:tcBorders>
          </w:tcPr>
          <w:p w14:paraId="0D0BD1F1" w14:textId="77777777" w:rsidR="000D07EA" w:rsidRDefault="00BE7C89">
            <w:pPr>
              <w:pStyle w:val="BodyText"/>
              <w:spacing w:before="100" w:after="100"/>
              <w:jc w:val="center"/>
            </w:pPr>
            <w:r>
              <w:t>$564</w:t>
            </w:r>
          </w:p>
        </w:tc>
        <w:tc>
          <w:tcPr>
            <w:tcW w:w="873" w:type="pct"/>
            <w:tcBorders>
              <w:top w:val="single" w:sz="4" w:space="0" w:color="auto"/>
              <w:left w:val="single" w:sz="4" w:space="0" w:color="auto"/>
              <w:bottom w:val="single" w:sz="4" w:space="0" w:color="auto"/>
              <w:right w:val="single" w:sz="4" w:space="0" w:color="auto"/>
            </w:tcBorders>
          </w:tcPr>
          <w:p w14:paraId="1981C0E0" w14:textId="77777777" w:rsidR="000D07EA" w:rsidRDefault="00BE7C89">
            <w:pPr>
              <w:pStyle w:val="BodyText"/>
              <w:spacing w:before="100" w:after="100"/>
              <w:jc w:val="center"/>
            </w:pPr>
            <w:r>
              <w:t>$716</w:t>
            </w:r>
          </w:p>
        </w:tc>
        <w:tc>
          <w:tcPr>
            <w:tcW w:w="872" w:type="pct"/>
            <w:tcBorders>
              <w:top w:val="single" w:sz="4" w:space="0" w:color="auto"/>
              <w:left w:val="single" w:sz="4" w:space="0" w:color="auto"/>
              <w:bottom w:val="single" w:sz="4" w:space="0" w:color="auto"/>
              <w:right w:val="single" w:sz="4" w:space="0" w:color="auto"/>
            </w:tcBorders>
          </w:tcPr>
          <w:p w14:paraId="21D11F4D" w14:textId="77777777" w:rsidR="000D07EA" w:rsidRDefault="00BE7C89">
            <w:pPr>
              <w:pStyle w:val="BodyText"/>
              <w:spacing w:before="100" w:after="100"/>
              <w:jc w:val="center"/>
            </w:pPr>
            <w:r>
              <w:t>$728</w:t>
            </w:r>
          </w:p>
        </w:tc>
      </w:tr>
      <w:tr w:rsidR="000D07EA" w14:paraId="48A5388A" w14:textId="77777777">
        <w:tc>
          <w:tcPr>
            <w:tcW w:w="2383" w:type="pct"/>
            <w:tcBorders>
              <w:top w:val="single" w:sz="4" w:space="0" w:color="auto"/>
              <w:left w:val="single" w:sz="4" w:space="0" w:color="auto"/>
              <w:bottom w:val="single" w:sz="4" w:space="0" w:color="auto"/>
              <w:right w:val="single" w:sz="4" w:space="0" w:color="auto"/>
            </w:tcBorders>
          </w:tcPr>
          <w:p w14:paraId="23445172" w14:textId="77777777" w:rsidR="000D07EA" w:rsidRDefault="00BE7C89">
            <w:pPr>
              <w:pStyle w:val="BodyText"/>
              <w:spacing w:before="100" w:after="100"/>
              <w:rPr>
                <w:b/>
              </w:rPr>
            </w:pPr>
            <w:r>
              <w:rPr>
                <w:b/>
              </w:rPr>
              <w:lastRenderedPageBreak/>
              <w:t xml:space="preserve">Months 16 – 18 (60% of the Initial </w:t>
            </w:r>
            <w:r>
              <w:rPr>
                <w:b/>
                <w:i/>
              </w:rPr>
              <w:t>cancellation fee</w:t>
            </w:r>
            <w:r>
              <w:rPr>
                <w:b/>
              </w:rPr>
              <w:t>)</w:t>
            </w:r>
          </w:p>
        </w:tc>
        <w:tc>
          <w:tcPr>
            <w:tcW w:w="873" w:type="pct"/>
            <w:tcBorders>
              <w:top w:val="single" w:sz="4" w:space="0" w:color="auto"/>
              <w:left w:val="single" w:sz="4" w:space="0" w:color="auto"/>
              <w:bottom w:val="single" w:sz="4" w:space="0" w:color="auto"/>
              <w:right w:val="single" w:sz="4" w:space="0" w:color="auto"/>
            </w:tcBorders>
          </w:tcPr>
          <w:p w14:paraId="0EF53B96" w14:textId="77777777" w:rsidR="000D07EA" w:rsidRDefault="00BE7C89">
            <w:pPr>
              <w:pStyle w:val="BodyText"/>
              <w:spacing w:before="100" w:after="100"/>
              <w:jc w:val="center"/>
            </w:pPr>
            <w:r>
              <w:t>$423</w:t>
            </w:r>
          </w:p>
        </w:tc>
        <w:tc>
          <w:tcPr>
            <w:tcW w:w="873" w:type="pct"/>
            <w:tcBorders>
              <w:top w:val="single" w:sz="4" w:space="0" w:color="auto"/>
              <w:left w:val="single" w:sz="4" w:space="0" w:color="auto"/>
              <w:bottom w:val="single" w:sz="4" w:space="0" w:color="auto"/>
              <w:right w:val="single" w:sz="4" w:space="0" w:color="auto"/>
            </w:tcBorders>
          </w:tcPr>
          <w:p w14:paraId="70FBB3AB" w14:textId="77777777" w:rsidR="000D07EA" w:rsidRDefault="00BE7C89">
            <w:pPr>
              <w:pStyle w:val="BodyText"/>
              <w:spacing w:before="100" w:after="100"/>
              <w:jc w:val="center"/>
            </w:pPr>
            <w:r>
              <w:t>$537</w:t>
            </w:r>
          </w:p>
        </w:tc>
        <w:tc>
          <w:tcPr>
            <w:tcW w:w="872" w:type="pct"/>
            <w:tcBorders>
              <w:top w:val="single" w:sz="4" w:space="0" w:color="auto"/>
              <w:left w:val="single" w:sz="4" w:space="0" w:color="auto"/>
              <w:bottom w:val="single" w:sz="4" w:space="0" w:color="auto"/>
              <w:right w:val="single" w:sz="4" w:space="0" w:color="auto"/>
            </w:tcBorders>
          </w:tcPr>
          <w:p w14:paraId="0328A095" w14:textId="77777777" w:rsidR="000D07EA" w:rsidRDefault="00BE7C89">
            <w:pPr>
              <w:pStyle w:val="BodyText"/>
              <w:spacing w:before="100" w:after="100"/>
              <w:jc w:val="center"/>
            </w:pPr>
            <w:r>
              <w:t>$546</w:t>
            </w:r>
          </w:p>
        </w:tc>
      </w:tr>
      <w:tr w:rsidR="000D07EA" w14:paraId="0C7CB29C" w14:textId="77777777">
        <w:tc>
          <w:tcPr>
            <w:tcW w:w="2383" w:type="pct"/>
            <w:tcBorders>
              <w:top w:val="single" w:sz="4" w:space="0" w:color="auto"/>
              <w:left w:val="single" w:sz="4" w:space="0" w:color="auto"/>
              <w:bottom w:val="single" w:sz="4" w:space="0" w:color="auto"/>
              <w:right w:val="single" w:sz="4" w:space="0" w:color="auto"/>
            </w:tcBorders>
          </w:tcPr>
          <w:p w14:paraId="0576D9C2" w14:textId="77777777" w:rsidR="000D07EA" w:rsidRDefault="00BE7C89">
            <w:pPr>
              <w:pStyle w:val="BodyText"/>
              <w:spacing w:before="100" w:after="100"/>
              <w:rPr>
                <w:b/>
              </w:rPr>
            </w:pPr>
            <w:r>
              <w:rPr>
                <w:b/>
              </w:rPr>
              <w:t xml:space="preserve">Months 19 – 21 (40% of the Initial </w:t>
            </w:r>
            <w:r>
              <w:rPr>
                <w:b/>
                <w:i/>
              </w:rPr>
              <w:t>cancellation fee</w:t>
            </w:r>
            <w:r>
              <w:rPr>
                <w:b/>
              </w:rPr>
              <w:t>)</w:t>
            </w:r>
          </w:p>
        </w:tc>
        <w:tc>
          <w:tcPr>
            <w:tcW w:w="873" w:type="pct"/>
            <w:tcBorders>
              <w:top w:val="single" w:sz="4" w:space="0" w:color="auto"/>
              <w:left w:val="single" w:sz="4" w:space="0" w:color="auto"/>
              <w:bottom w:val="single" w:sz="4" w:space="0" w:color="auto"/>
              <w:right w:val="single" w:sz="4" w:space="0" w:color="auto"/>
            </w:tcBorders>
          </w:tcPr>
          <w:p w14:paraId="3B8CA6DE" w14:textId="77777777" w:rsidR="000D07EA" w:rsidRDefault="00BE7C89">
            <w:pPr>
              <w:pStyle w:val="BodyText"/>
              <w:spacing w:before="100" w:after="100"/>
              <w:jc w:val="center"/>
            </w:pPr>
            <w:r>
              <w:t>$282</w:t>
            </w:r>
          </w:p>
        </w:tc>
        <w:tc>
          <w:tcPr>
            <w:tcW w:w="873" w:type="pct"/>
            <w:tcBorders>
              <w:top w:val="single" w:sz="4" w:space="0" w:color="auto"/>
              <w:left w:val="single" w:sz="4" w:space="0" w:color="auto"/>
              <w:bottom w:val="single" w:sz="4" w:space="0" w:color="auto"/>
              <w:right w:val="single" w:sz="4" w:space="0" w:color="auto"/>
            </w:tcBorders>
          </w:tcPr>
          <w:p w14:paraId="1DEA5FC1" w14:textId="77777777" w:rsidR="000D07EA" w:rsidRDefault="00BE7C89">
            <w:pPr>
              <w:pStyle w:val="BodyText"/>
              <w:spacing w:before="100" w:after="100"/>
              <w:jc w:val="center"/>
            </w:pPr>
            <w:r>
              <w:t>$358</w:t>
            </w:r>
          </w:p>
        </w:tc>
        <w:tc>
          <w:tcPr>
            <w:tcW w:w="872" w:type="pct"/>
            <w:tcBorders>
              <w:top w:val="single" w:sz="4" w:space="0" w:color="auto"/>
              <w:left w:val="single" w:sz="4" w:space="0" w:color="auto"/>
              <w:bottom w:val="single" w:sz="4" w:space="0" w:color="auto"/>
              <w:right w:val="single" w:sz="4" w:space="0" w:color="auto"/>
            </w:tcBorders>
          </w:tcPr>
          <w:p w14:paraId="43681F11" w14:textId="77777777" w:rsidR="000D07EA" w:rsidRDefault="00BE7C89">
            <w:pPr>
              <w:pStyle w:val="BodyText"/>
              <w:spacing w:before="100" w:after="100"/>
              <w:jc w:val="center"/>
            </w:pPr>
            <w:r>
              <w:t>$364</w:t>
            </w:r>
          </w:p>
        </w:tc>
      </w:tr>
      <w:tr w:rsidR="000D07EA" w14:paraId="10BCD1BC" w14:textId="77777777">
        <w:tc>
          <w:tcPr>
            <w:tcW w:w="2383" w:type="pct"/>
            <w:tcBorders>
              <w:top w:val="single" w:sz="4" w:space="0" w:color="auto"/>
              <w:left w:val="single" w:sz="4" w:space="0" w:color="auto"/>
              <w:bottom w:val="single" w:sz="4" w:space="0" w:color="auto"/>
              <w:right w:val="single" w:sz="4" w:space="0" w:color="auto"/>
            </w:tcBorders>
          </w:tcPr>
          <w:p w14:paraId="26DCBF93" w14:textId="77777777" w:rsidR="000D07EA" w:rsidRDefault="00BE7C89">
            <w:pPr>
              <w:pStyle w:val="BodyText"/>
              <w:spacing w:before="100" w:after="100"/>
              <w:rPr>
                <w:b/>
              </w:rPr>
            </w:pPr>
            <w:r>
              <w:rPr>
                <w:b/>
              </w:rPr>
              <w:t>Months 22 – 24 (20% of the Initial cancellation fee)</w:t>
            </w:r>
          </w:p>
        </w:tc>
        <w:tc>
          <w:tcPr>
            <w:tcW w:w="873" w:type="pct"/>
            <w:tcBorders>
              <w:top w:val="single" w:sz="4" w:space="0" w:color="auto"/>
              <w:left w:val="single" w:sz="4" w:space="0" w:color="auto"/>
              <w:bottom w:val="single" w:sz="4" w:space="0" w:color="auto"/>
              <w:right w:val="single" w:sz="4" w:space="0" w:color="auto"/>
            </w:tcBorders>
          </w:tcPr>
          <w:p w14:paraId="7DAE2704" w14:textId="77777777" w:rsidR="000D07EA" w:rsidRDefault="00BE7C89">
            <w:pPr>
              <w:pStyle w:val="BodyText"/>
              <w:spacing w:before="100" w:after="100"/>
              <w:jc w:val="center"/>
            </w:pPr>
            <w:r>
              <w:t>$141</w:t>
            </w:r>
          </w:p>
        </w:tc>
        <w:tc>
          <w:tcPr>
            <w:tcW w:w="873" w:type="pct"/>
            <w:tcBorders>
              <w:top w:val="single" w:sz="4" w:space="0" w:color="auto"/>
              <w:left w:val="single" w:sz="4" w:space="0" w:color="auto"/>
              <w:bottom w:val="single" w:sz="4" w:space="0" w:color="auto"/>
              <w:right w:val="single" w:sz="4" w:space="0" w:color="auto"/>
            </w:tcBorders>
          </w:tcPr>
          <w:p w14:paraId="1D1BC2A3" w14:textId="77777777" w:rsidR="000D07EA" w:rsidRDefault="00BE7C89">
            <w:pPr>
              <w:pStyle w:val="BodyText"/>
              <w:spacing w:before="100" w:after="100"/>
              <w:jc w:val="center"/>
            </w:pPr>
            <w:r>
              <w:t>$179</w:t>
            </w:r>
          </w:p>
        </w:tc>
        <w:tc>
          <w:tcPr>
            <w:tcW w:w="872" w:type="pct"/>
            <w:tcBorders>
              <w:top w:val="single" w:sz="4" w:space="0" w:color="auto"/>
              <w:left w:val="single" w:sz="4" w:space="0" w:color="auto"/>
              <w:bottom w:val="single" w:sz="4" w:space="0" w:color="auto"/>
              <w:right w:val="single" w:sz="4" w:space="0" w:color="auto"/>
            </w:tcBorders>
          </w:tcPr>
          <w:p w14:paraId="4D069632" w14:textId="77777777" w:rsidR="000D07EA" w:rsidRDefault="00BE7C89">
            <w:pPr>
              <w:pStyle w:val="BodyText"/>
              <w:spacing w:before="100" w:after="100"/>
              <w:jc w:val="center"/>
            </w:pPr>
            <w:r>
              <w:t>$182</w:t>
            </w:r>
          </w:p>
        </w:tc>
      </w:tr>
    </w:tbl>
    <w:p w14:paraId="36C6DD68" w14:textId="77777777" w:rsidR="000D07EA" w:rsidRDefault="000D07EA">
      <w:pPr>
        <w:pStyle w:val="BodyText"/>
        <w:ind w:left="1440"/>
      </w:pPr>
    </w:p>
    <w:tbl>
      <w:tblPr>
        <w:tblW w:w="4574"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4486"/>
        <w:gridCol w:w="1612"/>
        <w:gridCol w:w="1612"/>
        <w:gridCol w:w="1610"/>
      </w:tblGrid>
      <w:tr w:rsidR="000D07EA" w14:paraId="2369787C" w14:textId="77777777">
        <w:tc>
          <w:tcPr>
            <w:tcW w:w="2406" w:type="pct"/>
            <w:tcBorders>
              <w:top w:val="single" w:sz="4" w:space="0" w:color="auto"/>
              <w:left w:val="single" w:sz="4" w:space="0" w:color="auto"/>
              <w:bottom w:val="single" w:sz="4" w:space="0" w:color="auto"/>
              <w:right w:val="single" w:sz="4" w:space="0" w:color="auto"/>
            </w:tcBorders>
            <w:shd w:val="clear" w:color="auto" w:fill="auto"/>
          </w:tcPr>
          <w:p w14:paraId="0628BCE5" w14:textId="77777777" w:rsidR="000D07EA" w:rsidRDefault="00BE7C89">
            <w:pPr>
              <w:pStyle w:val="BodyText"/>
              <w:spacing w:before="100" w:after="100"/>
              <w:rPr>
                <w:b/>
                <w:i/>
              </w:rPr>
            </w:pPr>
            <w:r>
              <w:rPr>
                <w:b/>
              </w:rPr>
              <w:t xml:space="preserve">When the </w:t>
            </w:r>
            <w:r>
              <w:rPr>
                <w:b/>
                <w:i/>
              </w:rPr>
              <w:t>service</w:t>
            </w:r>
            <w:r>
              <w:rPr>
                <w:b/>
              </w:rPr>
              <w:t xml:space="preserve"> is </w:t>
            </w:r>
            <w:r>
              <w:rPr>
                <w:b/>
                <w:i/>
              </w:rPr>
              <w:t>cancelled</w:t>
            </w:r>
          </w:p>
        </w:tc>
        <w:tc>
          <w:tcPr>
            <w:tcW w:w="2594" w:type="pct"/>
            <w:gridSpan w:val="3"/>
            <w:tcBorders>
              <w:top w:val="single" w:sz="4" w:space="0" w:color="auto"/>
              <w:left w:val="single" w:sz="4" w:space="0" w:color="auto"/>
              <w:bottom w:val="single" w:sz="4" w:space="0" w:color="auto"/>
              <w:right w:val="single" w:sz="4" w:space="0" w:color="auto"/>
            </w:tcBorders>
            <w:shd w:val="clear" w:color="auto" w:fill="auto"/>
          </w:tcPr>
          <w:p w14:paraId="63E3560F" w14:textId="77777777" w:rsidR="000D07EA" w:rsidRDefault="00BE7C89">
            <w:pPr>
              <w:pStyle w:val="BodyText"/>
              <w:spacing w:before="100" w:after="100"/>
              <w:jc w:val="center"/>
              <w:rPr>
                <w:b/>
                <w:i/>
              </w:rPr>
            </w:pPr>
            <w:r>
              <w:rPr>
                <w:b/>
                <w:i/>
              </w:rPr>
              <w:t>Cancellation Fee</w:t>
            </w:r>
          </w:p>
        </w:tc>
      </w:tr>
      <w:tr w:rsidR="000D07EA" w14:paraId="727A89DE" w14:textId="77777777">
        <w:tc>
          <w:tcPr>
            <w:tcW w:w="2406" w:type="pct"/>
            <w:tcBorders>
              <w:top w:val="single" w:sz="4" w:space="0" w:color="auto"/>
              <w:left w:val="single" w:sz="4" w:space="0" w:color="auto"/>
              <w:bottom w:val="single" w:sz="4" w:space="0" w:color="auto"/>
              <w:right w:val="single" w:sz="4" w:space="0" w:color="auto"/>
            </w:tcBorders>
            <w:shd w:val="clear" w:color="auto" w:fill="auto"/>
          </w:tcPr>
          <w:p w14:paraId="203FEA44" w14:textId="77777777" w:rsidR="000D07EA" w:rsidRDefault="000D07EA">
            <w:pPr>
              <w:pStyle w:val="BodyText"/>
              <w:spacing w:before="100" w:after="100"/>
              <w:rPr>
                <w:b/>
              </w:rPr>
            </w:pPr>
          </w:p>
        </w:tc>
        <w:tc>
          <w:tcPr>
            <w:tcW w:w="2594" w:type="pct"/>
            <w:gridSpan w:val="3"/>
            <w:tcBorders>
              <w:top w:val="single" w:sz="4" w:space="0" w:color="auto"/>
              <w:left w:val="single" w:sz="4" w:space="0" w:color="auto"/>
              <w:bottom w:val="single" w:sz="4" w:space="0" w:color="auto"/>
              <w:right w:val="single" w:sz="4" w:space="0" w:color="auto"/>
            </w:tcBorders>
            <w:shd w:val="clear" w:color="auto" w:fill="auto"/>
          </w:tcPr>
          <w:p w14:paraId="4F0AF58A" w14:textId="77777777" w:rsidR="000D07EA" w:rsidRDefault="00BE7C89">
            <w:pPr>
              <w:pStyle w:val="BodyText"/>
              <w:spacing w:before="100" w:after="100"/>
              <w:jc w:val="center"/>
              <w:rPr>
                <w:b/>
              </w:rPr>
            </w:pPr>
            <w:r>
              <w:rPr>
                <w:b/>
              </w:rPr>
              <w:t>'yes' Business Cap iPhone Plan – 12 Month Contract</w:t>
            </w:r>
          </w:p>
        </w:tc>
      </w:tr>
      <w:tr w:rsidR="000D07EA" w14:paraId="130562CF" w14:textId="77777777">
        <w:tc>
          <w:tcPr>
            <w:tcW w:w="2406" w:type="pct"/>
            <w:tcBorders>
              <w:top w:val="single" w:sz="4" w:space="0" w:color="auto"/>
              <w:left w:val="single" w:sz="4" w:space="0" w:color="auto"/>
              <w:bottom w:val="single" w:sz="4" w:space="0" w:color="auto"/>
              <w:right w:val="single" w:sz="4" w:space="0" w:color="auto"/>
            </w:tcBorders>
            <w:shd w:val="clear" w:color="auto" w:fill="auto"/>
          </w:tcPr>
          <w:p w14:paraId="62080893" w14:textId="77777777" w:rsidR="000D07EA" w:rsidRDefault="000D07EA">
            <w:pPr>
              <w:pStyle w:val="BodyText"/>
              <w:spacing w:before="100" w:after="100"/>
              <w:rPr>
                <w:b/>
              </w:rPr>
            </w:pPr>
          </w:p>
        </w:tc>
        <w:tc>
          <w:tcPr>
            <w:tcW w:w="865" w:type="pct"/>
            <w:tcBorders>
              <w:top w:val="single" w:sz="4" w:space="0" w:color="auto"/>
              <w:left w:val="single" w:sz="4" w:space="0" w:color="auto"/>
              <w:bottom w:val="single" w:sz="4" w:space="0" w:color="auto"/>
              <w:right w:val="single" w:sz="4" w:space="0" w:color="auto"/>
            </w:tcBorders>
            <w:shd w:val="clear" w:color="auto" w:fill="auto"/>
          </w:tcPr>
          <w:p w14:paraId="693DE437" w14:textId="77777777" w:rsidR="000D07EA" w:rsidRDefault="00BE7C89">
            <w:pPr>
              <w:pStyle w:val="BodyText"/>
              <w:spacing w:before="100" w:after="100"/>
              <w:jc w:val="center"/>
              <w:rPr>
                <w:b/>
              </w:rPr>
            </w:pPr>
            <w:r>
              <w:rPr>
                <w:b/>
              </w:rPr>
              <w:t>'yes' Business $49 Cap</w:t>
            </w:r>
          </w:p>
        </w:tc>
        <w:tc>
          <w:tcPr>
            <w:tcW w:w="865" w:type="pct"/>
            <w:tcBorders>
              <w:top w:val="single" w:sz="4" w:space="0" w:color="auto"/>
              <w:left w:val="single" w:sz="4" w:space="0" w:color="auto"/>
              <w:bottom w:val="single" w:sz="4" w:space="0" w:color="auto"/>
              <w:right w:val="single" w:sz="4" w:space="0" w:color="auto"/>
            </w:tcBorders>
            <w:shd w:val="clear" w:color="auto" w:fill="auto"/>
          </w:tcPr>
          <w:p w14:paraId="0668F2A4" w14:textId="77777777" w:rsidR="000D07EA" w:rsidRDefault="00BE7C89">
            <w:pPr>
              <w:pStyle w:val="BodyText"/>
              <w:spacing w:before="100" w:after="100"/>
              <w:jc w:val="center"/>
              <w:rPr>
                <w:b/>
              </w:rPr>
            </w:pPr>
            <w:r>
              <w:rPr>
                <w:b/>
              </w:rPr>
              <w:t>'yes' Business $59 Cap</w:t>
            </w:r>
          </w:p>
        </w:tc>
        <w:tc>
          <w:tcPr>
            <w:tcW w:w="865" w:type="pct"/>
            <w:tcBorders>
              <w:top w:val="single" w:sz="4" w:space="0" w:color="auto"/>
              <w:left w:val="single" w:sz="4" w:space="0" w:color="auto"/>
              <w:bottom w:val="single" w:sz="4" w:space="0" w:color="auto"/>
              <w:right w:val="single" w:sz="4" w:space="0" w:color="auto"/>
            </w:tcBorders>
            <w:shd w:val="clear" w:color="auto" w:fill="auto"/>
          </w:tcPr>
          <w:p w14:paraId="03313D32" w14:textId="77777777" w:rsidR="000D07EA" w:rsidRDefault="00BE7C89">
            <w:pPr>
              <w:pStyle w:val="BodyText"/>
              <w:spacing w:before="100" w:after="100"/>
              <w:jc w:val="center"/>
              <w:rPr>
                <w:b/>
              </w:rPr>
            </w:pPr>
            <w:r>
              <w:rPr>
                <w:b/>
              </w:rPr>
              <w:t>'yes' Business $79 Cap</w:t>
            </w:r>
          </w:p>
        </w:tc>
      </w:tr>
      <w:tr w:rsidR="000D07EA" w14:paraId="6F680562" w14:textId="77777777">
        <w:tc>
          <w:tcPr>
            <w:tcW w:w="2406" w:type="pct"/>
            <w:tcBorders>
              <w:top w:val="single" w:sz="4" w:space="0" w:color="auto"/>
              <w:left w:val="single" w:sz="4" w:space="0" w:color="auto"/>
              <w:bottom w:val="single" w:sz="4" w:space="0" w:color="auto"/>
              <w:right w:val="single" w:sz="4" w:space="0" w:color="auto"/>
            </w:tcBorders>
            <w:shd w:val="clear" w:color="auto" w:fill="auto"/>
          </w:tcPr>
          <w:p w14:paraId="50AC6928" w14:textId="77777777" w:rsidR="000D07EA" w:rsidRDefault="00BE7C89">
            <w:pPr>
              <w:pStyle w:val="BodyText"/>
              <w:spacing w:before="100" w:after="100"/>
              <w:rPr>
                <w:b/>
                <w:i/>
              </w:rPr>
            </w:pPr>
            <w:r>
              <w:rPr>
                <w:b/>
              </w:rPr>
              <w:t xml:space="preserve">During the first 6 months – Initial </w:t>
            </w:r>
            <w:r>
              <w:rPr>
                <w:b/>
                <w:i/>
              </w:rPr>
              <w:t>cancellation fee</w:t>
            </w:r>
          </w:p>
        </w:tc>
        <w:tc>
          <w:tcPr>
            <w:tcW w:w="865" w:type="pct"/>
            <w:tcBorders>
              <w:top w:val="single" w:sz="4" w:space="0" w:color="auto"/>
              <w:left w:val="single" w:sz="4" w:space="0" w:color="auto"/>
              <w:bottom w:val="single" w:sz="4" w:space="0" w:color="auto"/>
              <w:right w:val="single" w:sz="4" w:space="0" w:color="auto"/>
            </w:tcBorders>
            <w:shd w:val="clear" w:color="auto" w:fill="auto"/>
          </w:tcPr>
          <w:p w14:paraId="014AF8BB" w14:textId="77777777" w:rsidR="000D07EA" w:rsidRDefault="00BE7C89">
            <w:pPr>
              <w:pStyle w:val="BodyText"/>
              <w:spacing w:before="100" w:after="100"/>
              <w:jc w:val="center"/>
            </w:pPr>
            <w:r>
              <w:t>$430</w:t>
            </w:r>
          </w:p>
        </w:tc>
        <w:tc>
          <w:tcPr>
            <w:tcW w:w="865" w:type="pct"/>
            <w:tcBorders>
              <w:top w:val="single" w:sz="4" w:space="0" w:color="auto"/>
              <w:left w:val="single" w:sz="4" w:space="0" w:color="auto"/>
              <w:bottom w:val="single" w:sz="4" w:space="0" w:color="auto"/>
              <w:right w:val="single" w:sz="4" w:space="0" w:color="auto"/>
            </w:tcBorders>
            <w:shd w:val="clear" w:color="auto" w:fill="auto"/>
          </w:tcPr>
          <w:p w14:paraId="3434BF34" w14:textId="77777777" w:rsidR="000D07EA" w:rsidRDefault="00BE7C89">
            <w:pPr>
              <w:pStyle w:val="BodyText"/>
              <w:spacing w:before="100" w:after="100"/>
              <w:jc w:val="center"/>
            </w:pPr>
            <w:r>
              <w:t>$520</w:t>
            </w:r>
          </w:p>
        </w:tc>
        <w:tc>
          <w:tcPr>
            <w:tcW w:w="865" w:type="pct"/>
            <w:tcBorders>
              <w:top w:val="single" w:sz="4" w:space="0" w:color="auto"/>
              <w:left w:val="single" w:sz="4" w:space="0" w:color="auto"/>
              <w:bottom w:val="single" w:sz="4" w:space="0" w:color="auto"/>
              <w:right w:val="single" w:sz="4" w:space="0" w:color="auto"/>
            </w:tcBorders>
            <w:shd w:val="clear" w:color="auto" w:fill="auto"/>
          </w:tcPr>
          <w:p w14:paraId="6697FA3E" w14:textId="77777777" w:rsidR="000D07EA" w:rsidRDefault="00BE7C89">
            <w:pPr>
              <w:pStyle w:val="BodyText"/>
              <w:spacing w:before="100" w:after="100"/>
              <w:jc w:val="center"/>
            </w:pPr>
            <w:r>
              <w:t>$535</w:t>
            </w:r>
          </w:p>
        </w:tc>
      </w:tr>
      <w:tr w:rsidR="000D07EA" w14:paraId="1A845029" w14:textId="77777777">
        <w:tc>
          <w:tcPr>
            <w:tcW w:w="2406" w:type="pct"/>
            <w:tcBorders>
              <w:top w:val="single" w:sz="4" w:space="0" w:color="auto"/>
              <w:left w:val="single" w:sz="4" w:space="0" w:color="auto"/>
              <w:bottom w:val="single" w:sz="4" w:space="0" w:color="auto"/>
              <w:right w:val="single" w:sz="4" w:space="0" w:color="auto"/>
            </w:tcBorders>
            <w:shd w:val="clear" w:color="auto" w:fill="auto"/>
          </w:tcPr>
          <w:p w14:paraId="04A3757E" w14:textId="77777777" w:rsidR="000D07EA" w:rsidRDefault="00BE7C89">
            <w:pPr>
              <w:pStyle w:val="BodyText"/>
              <w:spacing w:before="100" w:after="100"/>
              <w:rPr>
                <w:b/>
              </w:rPr>
            </w:pPr>
            <w:r>
              <w:rPr>
                <w:b/>
              </w:rPr>
              <w:t xml:space="preserve">Months 7 - 9 (70% of Initial </w:t>
            </w:r>
            <w:r>
              <w:rPr>
                <w:b/>
                <w:i/>
              </w:rPr>
              <w:t>cancellation fee</w:t>
            </w:r>
            <w:r>
              <w:rPr>
                <w:b/>
              </w:rPr>
              <w:t>)</w:t>
            </w:r>
          </w:p>
        </w:tc>
        <w:tc>
          <w:tcPr>
            <w:tcW w:w="865" w:type="pct"/>
            <w:tcBorders>
              <w:top w:val="single" w:sz="4" w:space="0" w:color="auto"/>
              <w:left w:val="single" w:sz="4" w:space="0" w:color="auto"/>
              <w:bottom w:val="single" w:sz="4" w:space="0" w:color="auto"/>
              <w:right w:val="single" w:sz="4" w:space="0" w:color="auto"/>
            </w:tcBorders>
            <w:shd w:val="clear" w:color="auto" w:fill="auto"/>
          </w:tcPr>
          <w:p w14:paraId="0DDF240A" w14:textId="77777777" w:rsidR="000D07EA" w:rsidRDefault="00BE7C89">
            <w:pPr>
              <w:pStyle w:val="BodyText"/>
              <w:spacing w:before="100" w:after="100"/>
              <w:jc w:val="center"/>
            </w:pPr>
            <w:r>
              <w:t>$301</w:t>
            </w:r>
          </w:p>
        </w:tc>
        <w:tc>
          <w:tcPr>
            <w:tcW w:w="865" w:type="pct"/>
            <w:tcBorders>
              <w:top w:val="single" w:sz="4" w:space="0" w:color="auto"/>
              <w:left w:val="single" w:sz="4" w:space="0" w:color="auto"/>
              <w:bottom w:val="single" w:sz="4" w:space="0" w:color="auto"/>
              <w:right w:val="single" w:sz="4" w:space="0" w:color="auto"/>
            </w:tcBorders>
            <w:shd w:val="clear" w:color="auto" w:fill="auto"/>
          </w:tcPr>
          <w:p w14:paraId="44764F20" w14:textId="77777777" w:rsidR="000D07EA" w:rsidRDefault="00BE7C89">
            <w:pPr>
              <w:pStyle w:val="BodyText"/>
              <w:spacing w:before="100" w:after="100"/>
              <w:jc w:val="center"/>
            </w:pPr>
            <w:r>
              <w:t>$364</w:t>
            </w:r>
          </w:p>
        </w:tc>
        <w:tc>
          <w:tcPr>
            <w:tcW w:w="865" w:type="pct"/>
            <w:tcBorders>
              <w:top w:val="single" w:sz="4" w:space="0" w:color="auto"/>
              <w:left w:val="single" w:sz="4" w:space="0" w:color="auto"/>
              <w:bottom w:val="single" w:sz="4" w:space="0" w:color="auto"/>
              <w:right w:val="single" w:sz="4" w:space="0" w:color="auto"/>
            </w:tcBorders>
            <w:shd w:val="clear" w:color="auto" w:fill="auto"/>
          </w:tcPr>
          <w:p w14:paraId="09C66102" w14:textId="77777777" w:rsidR="000D07EA" w:rsidRDefault="00BE7C89">
            <w:pPr>
              <w:pStyle w:val="BodyText"/>
              <w:spacing w:before="100" w:after="100"/>
              <w:jc w:val="center"/>
            </w:pPr>
            <w:r>
              <w:t>$374.50</w:t>
            </w:r>
          </w:p>
        </w:tc>
      </w:tr>
      <w:tr w:rsidR="000D07EA" w14:paraId="6125CD58" w14:textId="77777777">
        <w:tc>
          <w:tcPr>
            <w:tcW w:w="2406" w:type="pct"/>
            <w:tcBorders>
              <w:top w:val="single" w:sz="4" w:space="0" w:color="auto"/>
              <w:left w:val="single" w:sz="4" w:space="0" w:color="auto"/>
              <w:bottom w:val="single" w:sz="4" w:space="0" w:color="auto"/>
              <w:right w:val="single" w:sz="4" w:space="0" w:color="auto"/>
            </w:tcBorders>
            <w:shd w:val="clear" w:color="auto" w:fill="auto"/>
          </w:tcPr>
          <w:p w14:paraId="610404D7" w14:textId="77777777" w:rsidR="000D07EA" w:rsidRDefault="00BE7C89">
            <w:pPr>
              <w:pStyle w:val="BodyText"/>
              <w:spacing w:before="100" w:after="100"/>
              <w:rPr>
                <w:b/>
              </w:rPr>
            </w:pPr>
            <w:r>
              <w:rPr>
                <w:b/>
              </w:rPr>
              <w:t xml:space="preserve">Months 10 – 12 (40% of the Initial </w:t>
            </w:r>
            <w:r>
              <w:rPr>
                <w:b/>
                <w:i/>
              </w:rPr>
              <w:t>cancellation fee</w:t>
            </w:r>
            <w:r>
              <w:rPr>
                <w:b/>
              </w:rPr>
              <w:t>)</w:t>
            </w:r>
          </w:p>
        </w:tc>
        <w:tc>
          <w:tcPr>
            <w:tcW w:w="865" w:type="pct"/>
            <w:tcBorders>
              <w:top w:val="single" w:sz="4" w:space="0" w:color="auto"/>
              <w:left w:val="single" w:sz="4" w:space="0" w:color="auto"/>
              <w:bottom w:val="single" w:sz="4" w:space="0" w:color="auto"/>
              <w:right w:val="single" w:sz="4" w:space="0" w:color="auto"/>
            </w:tcBorders>
            <w:shd w:val="clear" w:color="auto" w:fill="auto"/>
          </w:tcPr>
          <w:p w14:paraId="723AA509" w14:textId="77777777" w:rsidR="000D07EA" w:rsidRDefault="00BE7C89">
            <w:pPr>
              <w:pStyle w:val="BodyText"/>
              <w:spacing w:before="100" w:after="100"/>
              <w:jc w:val="center"/>
            </w:pPr>
            <w:r>
              <w:t>$172</w:t>
            </w:r>
          </w:p>
        </w:tc>
        <w:tc>
          <w:tcPr>
            <w:tcW w:w="865" w:type="pct"/>
            <w:tcBorders>
              <w:top w:val="single" w:sz="4" w:space="0" w:color="auto"/>
              <w:left w:val="single" w:sz="4" w:space="0" w:color="auto"/>
              <w:bottom w:val="single" w:sz="4" w:space="0" w:color="auto"/>
              <w:right w:val="single" w:sz="4" w:space="0" w:color="auto"/>
            </w:tcBorders>
            <w:shd w:val="clear" w:color="auto" w:fill="auto"/>
          </w:tcPr>
          <w:p w14:paraId="4EDA50EA" w14:textId="77777777" w:rsidR="000D07EA" w:rsidRDefault="00BE7C89">
            <w:pPr>
              <w:pStyle w:val="BodyText"/>
              <w:spacing w:before="100" w:after="100"/>
              <w:jc w:val="center"/>
            </w:pPr>
            <w:r>
              <w:t>$208</w:t>
            </w:r>
          </w:p>
        </w:tc>
        <w:tc>
          <w:tcPr>
            <w:tcW w:w="865" w:type="pct"/>
            <w:tcBorders>
              <w:top w:val="single" w:sz="4" w:space="0" w:color="auto"/>
              <w:left w:val="single" w:sz="4" w:space="0" w:color="auto"/>
              <w:bottom w:val="single" w:sz="4" w:space="0" w:color="auto"/>
              <w:right w:val="single" w:sz="4" w:space="0" w:color="auto"/>
            </w:tcBorders>
            <w:shd w:val="clear" w:color="auto" w:fill="auto"/>
          </w:tcPr>
          <w:p w14:paraId="285F0A95" w14:textId="77777777" w:rsidR="000D07EA" w:rsidRDefault="00BE7C89">
            <w:pPr>
              <w:pStyle w:val="BodyText"/>
              <w:spacing w:before="100" w:after="100"/>
              <w:jc w:val="center"/>
            </w:pPr>
            <w:r>
              <w:t>$214</w:t>
            </w:r>
          </w:p>
        </w:tc>
      </w:tr>
    </w:tbl>
    <w:p w14:paraId="0243934C" w14:textId="77777777" w:rsidR="000D07EA" w:rsidRDefault="000D07EA">
      <w:pPr>
        <w:pStyle w:val="BodyText"/>
        <w:ind w:left="1440"/>
      </w:pPr>
    </w:p>
    <w:tbl>
      <w:tblPr>
        <w:tblW w:w="4574"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4485"/>
        <w:gridCol w:w="1553"/>
        <w:gridCol w:w="1642"/>
        <w:gridCol w:w="1640"/>
      </w:tblGrid>
      <w:tr w:rsidR="000D07EA" w14:paraId="79E28540" w14:textId="77777777">
        <w:tc>
          <w:tcPr>
            <w:tcW w:w="2406" w:type="pct"/>
          </w:tcPr>
          <w:p w14:paraId="7576746B" w14:textId="77777777" w:rsidR="000D07EA" w:rsidRDefault="00BE7C89">
            <w:pPr>
              <w:pStyle w:val="BodyText"/>
              <w:spacing w:before="100" w:after="100"/>
              <w:rPr>
                <w:b/>
                <w:i/>
              </w:rPr>
            </w:pPr>
            <w:r>
              <w:rPr>
                <w:b/>
              </w:rPr>
              <w:t xml:space="preserve">When the </w:t>
            </w:r>
            <w:r>
              <w:rPr>
                <w:b/>
                <w:i/>
              </w:rPr>
              <w:t>service</w:t>
            </w:r>
            <w:r>
              <w:rPr>
                <w:b/>
              </w:rPr>
              <w:t xml:space="preserve"> is </w:t>
            </w:r>
            <w:r>
              <w:rPr>
                <w:b/>
                <w:i/>
              </w:rPr>
              <w:t>cancelled</w:t>
            </w:r>
          </w:p>
        </w:tc>
        <w:tc>
          <w:tcPr>
            <w:tcW w:w="2594" w:type="pct"/>
            <w:gridSpan w:val="3"/>
          </w:tcPr>
          <w:p w14:paraId="5C5D1459" w14:textId="77777777" w:rsidR="000D07EA" w:rsidRDefault="00BE7C89">
            <w:pPr>
              <w:pStyle w:val="BodyText"/>
              <w:spacing w:before="100" w:after="100"/>
              <w:jc w:val="center"/>
              <w:rPr>
                <w:b/>
                <w:i/>
              </w:rPr>
            </w:pPr>
            <w:r>
              <w:rPr>
                <w:b/>
                <w:i/>
              </w:rPr>
              <w:t>Cancellation Fee</w:t>
            </w:r>
          </w:p>
        </w:tc>
      </w:tr>
      <w:tr w:rsidR="000D07EA" w14:paraId="629D0E6F" w14:textId="77777777">
        <w:tc>
          <w:tcPr>
            <w:tcW w:w="2406" w:type="pct"/>
          </w:tcPr>
          <w:p w14:paraId="021EF02D" w14:textId="77777777" w:rsidR="000D07EA" w:rsidRDefault="000D07EA">
            <w:pPr>
              <w:pStyle w:val="BodyText"/>
              <w:spacing w:before="100" w:after="100"/>
              <w:rPr>
                <w:b/>
              </w:rPr>
            </w:pPr>
          </w:p>
        </w:tc>
        <w:tc>
          <w:tcPr>
            <w:tcW w:w="2594" w:type="pct"/>
            <w:gridSpan w:val="3"/>
          </w:tcPr>
          <w:p w14:paraId="77F08EA3" w14:textId="77777777" w:rsidR="000D07EA" w:rsidRDefault="00BE7C89">
            <w:pPr>
              <w:pStyle w:val="BodyText"/>
              <w:spacing w:before="100" w:after="100"/>
              <w:jc w:val="center"/>
              <w:rPr>
                <w:b/>
              </w:rPr>
            </w:pPr>
            <w:r>
              <w:rPr>
                <w:b/>
              </w:rPr>
              <w:t>'yes' Business Cap iPhone Plan - BYO Option (12 Month Contract)</w:t>
            </w:r>
          </w:p>
        </w:tc>
      </w:tr>
      <w:tr w:rsidR="000D07EA" w14:paraId="01303BF7" w14:textId="77777777">
        <w:tc>
          <w:tcPr>
            <w:tcW w:w="2406" w:type="pct"/>
          </w:tcPr>
          <w:p w14:paraId="3E3F959C" w14:textId="77777777" w:rsidR="000D07EA" w:rsidRDefault="000D07EA">
            <w:pPr>
              <w:pStyle w:val="BodyText"/>
              <w:spacing w:before="100" w:after="100"/>
              <w:rPr>
                <w:b/>
              </w:rPr>
            </w:pPr>
          </w:p>
        </w:tc>
        <w:tc>
          <w:tcPr>
            <w:tcW w:w="833" w:type="pct"/>
          </w:tcPr>
          <w:p w14:paraId="285B60FC" w14:textId="77777777" w:rsidR="000D07EA" w:rsidRDefault="00BE7C89">
            <w:pPr>
              <w:pStyle w:val="BodyText"/>
              <w:spacing w:before="100" w:after="100"/>
              <w:jc w:val="center"/>
              <w:rPr>
                <w:b/>
              </w:rPr>
            </w:pPr>
            <w:r>
              <w:rPr>
                <w:b/>
              </w:rPr>
              <w:t>'yes' Business $49 Cap iPhone</w:t>
            </w:r>
          </w:p>
        </w:tc>
        <w:tc>
          <w:tcPr>
            <w:tcW w:w="881" w:type="pct"/>
          </w:tcPr>
          <w:p w14:paraId="54A458D2" w14:textId="77777777" w:rsidR="000D07EA" w:rsidRDefault="00BE7C89">
            <w:pPr>
              <w:pStyle w:val="BodyText"/>
              <w:spacing w:before="100" w:after="100"/>
              <w:jc w:val="center"/>
              <w:rPr>
                <w:b/>
              </w:rPr>
            </w:pPr>
            <w:r>
              <w:rPr>
                <w:b/>
              </w:rPr>
              <w:t>'yes' Business $59 Cap iPhone</w:t>
            </w:r>
          </w:p>
        </w:tc>
        <w:tc>
          <w:tcPr>
            <w:tcW w:w="881" w:type="pct"/>
          </w:tcPr>
          <w:p w14:paraId="3FF04FBF" w14:textId="77777777" w:rsidR="000D07EA" w:rsidRDefault="00BE7C89">
            <w:pPr>
              <w:pStyle w:val="BodyText"/>
              <w:spacing w:before="100" w:after="100"/>
              <w:jc w:val="center"/>
              <w:rPr>
                <w:b/>
              </w:rPr>
            </w:pPr>
            <w:r>
              <w:rPr>
                <w:b/>
              </w:rPr>
              <w:t>'yes' Business $79 Cap iPhone</w:t>
            </w:r>
          </w:p>
        </w:tc>
      </w:tr>
      <w:tr w:rsidR="000D07EA" w14:paraId="23F84F35" w14:textId="77777777">
        <w:tc>
          <w:tcPr>
            <w:tcW w:w="2406" w:type="pct"/>
          </w:tcPr>
          <w:p w14:paraId="32792396" w14:textId="77777777" w:rsidR="000D07EA" w:rsidRDefault="00BE7C89">
            <w:pPr>
              <w:pStyle w:val="BodyText"/>
              <w:spacing w:before="100" w:after="100"/>
              <w:rPr>
                <w:b/>
                <w:i/>
              </w:rPr>
            </w:pPr>
            <w:r>
              <w:rPr>
                <w:b/>
              </w:rPr>
              <w:t xml:space="preserve">During the first 6 months – Initial </w:t>
            </w:r>
            <w:r>
              <w:rPr>
                <w:b/>
                <w:i/>
              </w:rPr>
              <w:t>cancellation fee</w:t>
            </w:r>
          </w:p>
        </w:tc>
        <w:tc>
          <w:tcPr>
            <w:tcW w:w="833" w:type="pct"/>
          </w:tcPr>
          <w:p w14:paraId="6C56F573" w14:textId="77777777" w:rsidR="000D07EA" w:rsidRDefault="00BE7C89">
            <w:pPr>
              <w:pStyle w:val="BodyText"/>
              <w:spacing w:before="100" w:after="100"/>
              <w:jc w:val="center"/>
            </w:pPr>
            <w:r>
              <w:t>$165.00</w:t>
            </w:r>
          </w:p>
        </w:tc>
        <w:tc>
          <w:tcPr>
            <w:tcW w:w="881" w:type="pct"/>
          </w:tcPr>
          <w:p w14:paraId="5F133ED0" w14:textId="77777777" w:rsidR="000D07EA" w:rsidRDefault="00BE7C89">
            <w:pPr>
              <w:pStyle w:val="BodyText"/>
              <w:spacing w:before="100" w:after="100"/>
              <w:jc w:val="center"/>
            </w:pPr>
            <w:r>
              <w:t>$180.00</w:t>
            </w:r>
          </w:p>
        </w:tc>
        <w:tc>
          <w:tcPr>
            <w:tcW w:w="881" w:type="pct"/>
          </w:tcPr>
          <w:p w14:paraId="005DA7BB" w14:textId="77777777" w:rsidR="000D07EA" w:rsidRDefault="00BE7C89">
            <w:pPr>
              <w:pStyle w:val="BodyText"/>
              <w:spacing w:before="100" w:after="100"/>
              <w:jc w:val="center"/>
            </w:pPr>
            <w:r>
              <w:t>$185.00</w:t>
            </w:r>
          </w:p>
        </w:tc>
      </w:tr>
      <w:tr w:rsidR="000D07EA" w14:paraId="6C9C369E" w14:textId="77777777">
        <w:tc>
          <w:tcPr>
            <w:tcW w:w="2406" w:type="pct"/>
          </w:tcPr>
          <w:p w14:paraId="0803666C" w14:textId="77777777" w:rsidR="000D07EA" w:rsidRDefault="00BE7C89">
            <w:pPr>
              <w:pStyle w:val="BodyText"/>
              <w:spacing w:before="100" w:after="100"/>
              <w:rPr>
                <w:b/>
              </w:rPr>
            </w:pPr>
            <w:r>
              <w:rPr>
                <w:b/>
              </w:rPr>
              <w:t xml:space="preserve">Months 7 - 9 (70% of Initial </w:t>
            </w:r>
            <w:r>
              <w:rPr>
                <w:b/>
                <w:i/>
              </w:rPr>
              <w:t>cancellation fee</w:t>
            </w:r>
            <w:r>
              <w:rPr>
                <w:b/>
              </w:rPr>
              <w:t>)</w:t>
            </w:r>
          </w:p>
        </w:tc>
        <w:tc>
          <w:tcPr>
            <w:tcW w:w="833" w:type="pct"/>
          </w:tcPr>
          <w:p w14:paraId="057CE7A6" w14:textId="77777777" w:rsidR="000D07EA" w:rsidRDefault="00BE7C89">
            <w:pPr>
              <w:pStyle w:val="BodyText"/>
              <w:spacing w:before="100" w:after="100"/>
              <w:jc w:val="center"/>
            </w:pPr>
            <w:r>
              <w:t>$115.50</w:t>
            </w:r>
          </w:p>
        </w:tc>
        <w:tc>
          <w:tcPr>
            <w:tcW w:w="881" w:type="pct"/>
          </w:tcPr>
          <w:p w14:paraId="23CF7771" w14:textId="77777777" w:rsidR="000D07EA" w:rsidRDefault="00BE7C89">
            <w:pPr>
              <w:pStyle w:val="BodyText"/>
              <w:spacing w:before="100" w:after="100"/>
              <w:jc w:val="center"/>
            </w:pPr>
            <w:r>
              <w:t>$126.00</w:t>
            </w:r>
          </w:p>
        </w:tc>
        <w:tc>
          <w:tcPr>
            <w:tcW w:w="881" w:type="pct"/>
          </w:tcPr>
          <w:p w14:paraId="6925DD00" w14:textId="77777777" w:rsidR="000D07EA" w:rsidRDefault="00BE7C89">
            <w:pPr>
              <w:pStyle w:val="BodyText"/>
              <w:spacing w:before="100" w:after="100"/>
              <w:jc w:val="center"/>
            </w:pPr>
            <w:r>
              <w:t>$129.50</w:t>
            </w:r>
          </w:p>
        </w:tc>
      </w:tr>
      <w:tr w:rsidR="000D07EA" w14:paraId="08ADB9C2" w14:textId="77777777">
        <w:tc>
          <w:tcPr>
            <w:tcW w:w="2406" w:type="pct"/>
          </w:tcPr>
          <w:p w14:paraId="3FE841A3" w14:textId="77777777" w:rsidR="000D07EA" w:rsidRDefault="00BE7C89">
            <w:pPr>
              <w:pStyle w:val="BodyText"/>
              <w:spacing w:before="100" w:after="100"/>
              <w:rPr>
                <w:b/>
              </w:rPr>
            </w:pPr>
            <w:r>
              <w:rPr>
                <w:b/>
              </w:rPr>
              <w:t xml:space="preserve">Months 10 – 12 (40% of the Initial </w:t>
            </w:r>
            <w:r>
              <w:rPr>
                <w:b/>
                <w:i/>
              </w:rPr>
              <w:t>cancellation fee</w:t>
            </w:r>
            <w:r>
              <w:rPr>
                <w:b/>
              </w:rPr>
              <w:t>)</w:t>
            </w:r>
          </w:p>
        </w:tc>
        <w:tc>
          <w:tcPr>
            <w:tcW w:w="833" w:type="pct"/>
          </w:tcPr>
          <w:p w14:paraId="4C2AD5F8" w14:textId="77777777" w:rsidR="000D07EA" w:rsidRDefault="00BE7C89">
            <w:pPr>
              <w:pStyle w:val="BodyText"/>
              <w:spacing w:before="100" w:after="100"/>
              <w:jc w:val="center"/>
            </w:pPr>
            <w:r>
              <w:t>$66.00</w:t>
            </w:r>
          </w:p>
        </w:tc>
        <w:tc>
          <w:tcPr>
            <w:tcW w:w="881" w:type="pct"/>
          </w:tcPr>
          <w:p w14:paraId="225F5713" w14:textId="77777777" w:rsidR="000D07EA" w:rsidRDefault="00BE7C89">
            <w:pPr>
              <w:pStyle w:val="BodyText"/>
              <w:spacing w:before="100" w:after="100"/>
              <w:jc w:val="center"/>
            </w:pPr>
            <w:r>
              <w:t>$72.00</w:t>
            </w:r>
          </w:p>
        </w:tc>
        <w:tc>
          <w:tcPr>
            <w:tcW w:w="881" w:type="pct"/>
          </w:tcPr>
          <w:p w14:paraId="3E9C2E6C" w14:textId="77777777" w:rsidR="000D07EA" w:rsidRDefault="00BE7C89">
            <w:pPr>
              <w:pStyle w:val="BodyText"/>
              <w:spacing w:before="100" w:after="100"/>
              <w:jc w:val="center"/>
            </w:pPr>
            <w:r>
              <w:t>$74.00</w:t>
            </w:r>
          </w:p>
        </w:tc>
      </w:tr>
    </w:tbl>
    <w:p w14:paraId="0BBBF6C3" w14:textId="77777777" w:rsidR="000D07EA" w:rsidRDefault="000D07EA">
      <w:pPr>
        <w:pStyle w:val="BodyText"/>
      </w:pPr>
      <w:bookmarkStart w:id="309" w:name="_Toc236744292"/>
      <w:bookmarkStart w:id="310" w:name="_Toc397941079"/>
      <w:bookmarkStart w:id="311" w:name="_Toc455147603"/>
    </w:p>
    <w:p w14:paraId="44F63B8E" w14:textId="77777777" w:rsidR="000D07EA" w:rsidRDefault="00BE7C89">
      <w:pPr>
        <w:pStyle w:val="Heading4"/>
      </w:pPr>
      <w:bookmarkStart w:id="312" w:name="_Toc62644625"/>
      <w:r>
        <w:t>Business Select Plans</w:t>
      </w:r>
      <w:bookmarkEnd w:id="309"/>
      <w:bookmarkEnd w:id="310"/>
      <w:bookmarkEnd w:id="311"/>
      <w:bookmarkEnd w:id="312"/>
    </w:p>
    <w:p w14:paraId="35579093" w14:textId="77777777" w:rsidR="000D07EA" w:rsidRDefault="00BE7C89">
      <w:pPr>
        <w:pStyle w:val="Heading6"/>
        <w:ind w:left="0" w:firstLine="0"/>
        <w:rPr>
          <w:b/>
        </w:rPr>
      </w:pPr>
      <w:bookmarkStart w:id="313" w:name="_Toc236744293"/>
      <w:bookmarkStart w:id="314" w:name="_Toc397941080"/>
      <w:r>
        <w:t>Eligibility</w:t>
      </w:r>
      <w:bookmarkEnd w:id="313"/>
      <w:bookmarkEnd w:id="314"/>
    </w:p>
    <w:p w14:paraId="7B523702" w14:textId="77777777" w:rsidR="000D07EA" w:rsidRDefault="00BE7C89">
      <w:pPr>
        <w:pStyle w:val="Heading7"/>
      </w:pPr>
      <w:r>
        <w:lastRenderedPageBreak/>
        <w:t xml:space="preserve">The Business Select </w:t>
      </w:r>
      <w:r>
        <w:rPr>
          <w:i/>
        </w:rPr>
        <w:t>pricing plans</w:t>
      </w:r>
      <w:r>
        <w:t xml:space="preserve"> are only available under special offers to customers </w:t>
      </w:r>
      <w:r>
        <w:rPr>
          <w:i/>
        </w:rPr>
        <w:t xml:space="preserve">we </w:t>
      </w:r>
      <w:r>
        <w:t>classify as business customers.</w:t>
      </w:r>
    </w:p>
    <w:p w14:paraId="1C153F3D" w14:textId="77777777" w:rsidR="000D07EA" w:rsidRDefault="00BE7C89">
      <w:pPr>
        <w:pStyle w:val="Heading7"/>
      </w:pPr>
      <w:r>
        <w:t xml:space="preserve">To be eligible, </w:t>
      </w:r>
      <w:r>
        <w:rPr>
          <w:i/>
        </w:rPr>
        <w:t>you</w:t>
      </w:r>
      <w:r>
        <w:t xml:space="preserve"> must have a fleet of at least 20 mobile phones (</w:t>
      </w:r>
      <w:r>
        <w:rPr>
          <w:i/>
        </w:rPr>
        <w:t>Optus SIM card</w:t>
      </w:r>
      <w:r>
        <w:t xml:space="preserve">s) in </w:t>
      </w:r>
      <w:r>
        <w:rPr>
          <w:i/>
        </w:rPr>
        <w:t>your</w:t>
      </w:r>
      <w:r>
        <w:t xml:space="preserve"> account or a fleet of any other number approved by </w:t>
      </w:r>
      <w:r>
        <w:rPr>
          <w:i/>
        </w:rPr>
        <w:t xml:space="preserve">us </w:t>
      </w:r>
      <w:r>
        <w:t xml:space="preserve">at </w:t>
      </w:r>
      <w:r>
        <w:rPr>
          <w:i/>
        </w:rPr>
        <w:t xml:space="preserve">our </w:t>
      </w:r>
      <w:r>
        <w:t xml:space="preserve">discretion. If </w:t>
      </w:r>
      <w:r>
        <w:rPr>
          <w:i/>
        </w:rPr>
        <w:t>you</w:t>
      </w:r>
      <w:r>
        <w:t xml:space="preserve"> cease to have a fleet of 20 </w:t>
      </w:r>
      <w:r>
        <w:rPr>
          <w:i/>
        </w:rPr>
        <w:t>Optus SIM card</w:t>
      </w:r>
      <w:r>
        <w:t xml:space="preserve">s or other approved fleet of </w:t>
      </w:r>
      <w:r>
        <w:rPr>
          <w:i/>
        </w:rPr>
        <w:t xml:space="preserve">Optus SIM cards, </w:t>
      </w:r>
      <w:r>
        <w:t xml:space="preserve">connected to </w:t>
      </w:r>
      <w:r>
        <w:rPr>
          <w:i/>
        </w:rPr>
        <w:t>your</w:t>
      </w:r>
      <w:r>
        <w:t xml:space="preserve"> account, </w:t>
      </w:r>
      <w:r>
        <w:rPr>
          <w:i/>
        </w:rPr>
        <w:t>you</w:t>
      </w:r>
      <w:r>
        <w:t xml:space="preserve"> may be transferred to another </w:t>
      </w:r>
      <w:r>
        <w:rPr>
          <w:i/>
        </w:rPr>
        <w:t>pricing plan</w:t>
      </w:r>
      <w:r>
        <w:t xml:space="preserve"> at </w:t>
      </w:r>
      <w:r>
        <w:rPr>
          <w:i/>
        </w:rPr>
        <w:t xml:space="preserve">our </w:t>
      </w:r>
      <w:r>
        <w:t>discretion.</w:t>
      </w:r>
    </w:p>
    <w:p w14:paraId="7627D635" w14:textId="77777777" w:rsidR="000D07EA" w:rsidRDefault="00BE7C89">
      <w:pPr>
        <w:pStyle w:val="Heading7"/>
      </w:pPr>
      <w:r>
        <w:t>If</w:t>
      </w:r>
      <w:r>
        <w:rPr>
          <w:i/>
        </w:rPr>
        <w:t xml:space="preserve"> you</w:t>
      </w:r>
      <w:r>
        <w:t xml:space="preserve"> connect to a Business Select </w:t>
      </w:r>
      <w:r>
        <w:rPr>
          <w:i/>
        </w:rPr>
        <w:t>pricing plan</w:t>
      </w:r>
      <w:r>
        <w:t xml:space="preserve"> </w:t>
      </w:r>
      <w:r>
        <w:rPr>
          <w:i/>
        </w:rPr>
        <w:t xml:space="preserve">you </w:t>
      </w:r>
      <w:r>
        <w:t xml:space="preserve">agree to connect to the specific </w:t>
      </w:r>
      <w:r>
        <w:rPr>
          <w:i/>
        </w:rPr>
        <w:t xml:space="preserve">pricing plans </w:t>
      </w:r>
      <w:r>
        <w:t xml:space="preserve">of </w:t>
      </w:r>
      <w:r>
        <w:rPr>
          <w:i/>
        </w:rPr>
        <w:t xml:space="preserve">your </w:t>
      </w:r>
      <w:r>
        <w:t xml:space="preserve">choice from the Business Select suite of </w:t>
      </w:r>
      <w:r>
        <w:rPr>
          <w:i/>
        </w:rPr>
        <w:t>pricing plans</w:t>
      </w:r>
      <w:r>
        <w:t xml:space="preserve"> set out in Table 1B below, based in each case on an agreed average minimum monthly call spend per user across all </w:t>
      </w:r>
      <w:r>
        <w:rPr>
          <w:i/>
        </w:rPr>
        <w:t>Optus SIM card</w:t>
      </w:r>
      <w:r>
        <w:t xml:space="preserve">s connected to </w:t>
      </w:r>
      <w:r>
        <w:rPr>
          <w:i/>
        </w:rPr>
        <w:t>your</w:t>
      </w:r>
      <w:r>
        <w:t xml:space="preserve"> account. Calls are charged at the rates set out in Table 1B.</w:t>
      </w:r>
    </w:p>
    <w:p w14:paraId="7151A14B" w14:textId="77777777" w:rsidR="000D07EA" w:rsidRDefault="00BE7C89">
      <w:pPr>
        <w:pStyle w:val="Heading6"/>
        <w:ind w:left="0" w:firstLine="0"/>
      </w:pPr>
      <w:bookmarkStart w:id="315" w:name="_Toc236744294"/>
      <w:bookmarkStart w:id="316" w:name="_Toc397941081"/>
      <w:r>
        <w:t xml:space="preserve">Is it a </w:t>
      </w:r>
      <w:r>
        <w:rPr>
          <w:i/>
        </w:rPr>
        <w:t>fixed length agreement</w:t>
      </w:r>
      <w:r>
        <w:t>?</w:t>
      </w:r>
      <w:bookmarkEnd w:id="315"/>
      <w:bookmarkEnd w:id="316"/>
    </w:p>
    <w:p w14:paraId="63A5A5C4" w14:textId="77777777" w:rsidR="000D07EA" w:rsidRDefault="00BE7C89">
      <w:pPr>
        <w:pStyle w:val="Heading7"/>
      </w:pPr>
      <w:r>
        <w:t xml:space="preserve">To connect to any of the Business Select </w:t>
      </w:r>
      <w:r>
        <w:rPr>
          <w:i/>
        </w:rPr>
        <w:t>pricing plans</w:t>
      </w:r>
      <w:r>
        <w:t xml:space="preserve"> </w:t>
      </w:r>
      <w:r>
        <w:rPr>
          <w:i/>
        </w:rPr>
        <w:t xml:space="preserve">you </w:t>
      </w:r>
      <w:r>
        <w:t xml:space="preserve">must agree to enter into a </w:t>
      </w:r>
      <w:r>
        <w:rPr>
          <w:i/>
        </w:rPr>
        <w:t xml:space="preserve">fixed length agreement </w:t>
      </w:r>
      <w:r>
        <w:t xml:space="preserve">for a </w:t>
      </w:r>
      <w:r>
        <w:rPr>
          <w:i/>
        </w:rPr>
        <w:t xml:space="preserve">minimum term </w:t>
      </w:r>
      <w:r>
        <w:t xml:space="preserve">as specified in Table 1B below, up to a maximum term of 2 years, or such other term as </w:t>
      </w:r>
      <w:r>
        <w:rPr>
          <w:i/>
        </w:rPr>
        <w:t xml:space="preserve">you </w:t>
      </w:r>
      <w:r>
        <w:t xml:space="preserve">and </w:t>
      </w:r>
      <w:r>
        <w:rPr>
          <w:i/>
        </w:rPr>
        <w:t xml:space="preserve">we </w:t>
      </w:r>
      <w:r>
        <w:t>agree in writing (</w:t>
      </w:r>
      <w:r>
        <w:rPr>
          <w:i/>
        </w:rPr>
        <w:t>minimum term</w:t>
      </w:r>
      <w:r>
        <w:t>).</w:t>
      </w:r>
    </w:p>
    <w:p w14:paraId="64D54337" w14:textId="77777777" w:rsidR="000D07EA" w:rsidRDefault="00BE7C89">
      <w:pPr>
        <w:pStyle w:val="Heading6"/>
        <w:ind w:left="0" w:firstLine="0"/>
      </w:pPr>
      <w:bookmarkStart w:id="317" w:name="_Toc236744295"/>
      <w:bookmarkStart w:id="318" w:name="_Toc397941082"/>
      <w:r>
        <w:t xml:space="preserve">What </w:t>
      </w:r>
      <w:r>
        <w:rPr>
          <w:i/>
        </w:rPr>
        <w:t xml:space="preserve">you </w:t>
      </w:r>
      <w:r>
        <w:t xml:space="preserve">must pay </w:t>
      </w:r>
      <w:r>
        <w:rPr>
          <w:i/>
        </w:rPr>
        <w:t>us</w:t>
      </w:r>
      <w:bookmarkEnd w:id="317"/>
      <w:bookmarkEnd w:id="318"/>
    </w:p>
    <w:p w14:paraId="64808E36" w14:textId="77777777" w:rsidR="000D07EA" w:rsidRDefault="00BE7C89">
      <w:pPr>
        <w:pStyle w:val="Heading7"/>
      </w:pPr>
      <w:r>
        <w:t xml:space="preserve">Each month </w:t>
      </w:r>
      <w:r>
        <w:rPr>
          <w:i/>
        </w:rPr>
        <w:t xml:space="preserve">you </w:t>
      </w:r>
      <w:r>
        <w:t xml:space="preserve">will pay the monthly </w:t>
      </w:r>
      <w:r>
        <w:rPr>
          <w:i/>
        </w:rPr>
        <w:t xml:space="preserve">minimum monthly spend </w:t>
      </w:r>
      <w:r>
        <w:t xml:space="preserve">for all </w:t>
      </w:r>
      <w:r>
        <w:rPr>
          <w:i/>
        </w:rPr>
        <w:t>Optus SIM card</w:t>
      </w:r>
      <w:r>
        <w:t xml:space="preserve">s connected to the relevant Business Select </w:t>
      </w:r>
      <w:r>
        <w:rPr>
          <w:i/>
        </w:rPr>
        <w:t>pricing plan</w:t>
      </w:r>
      <w:r>
        <w:t xml:space="preserve"> on </w:t>
      </w:r>
      <w:r>
        <w:rPr>
          <w:i/>
        </w:rPr>
        <w:t xml:space="preserve">your </w:t>
      </w:r>
      <w:r>
        <w:t>account, regardless of the actual call charges incurred.</w:t>
      </w:r>
    </w:p>
    <w:p w14:paraId="32DCA9C6" w14:textId="77777777" w:rsidR="000D07EA" w:rsidRDefault="00BE7C89">
      <w:pPr>
        <w:pStyle w:val="Heading7"/>
      </w:pPr>
      <w:r>
        <w:t xml:space="preserve">There will be a component of included calls upon payment of the monthly </w:t>
      </w:r>
      <w:r>
        <w:rPr>
          <w:i/>
        </w:rPr>
        <w:t>minimum monthly spend</w:t>
      </w:r>
      <w:r>
        <w:t xml:space="preserve"> as specified in Table 1B below.</w:t>
      </w:r>
    </w:p>
    <w:p w14:paraId="5669E9F2" w14:textId="77777777" w:rsidR="000D07EA" w:rsidRDefault="00BE7C89">
      <w:pPr>
        <w:pStyle w:val="Heading7"/>
      </w:pPr>
      <w:r>
        <w:rPr>
          <w:i/>
        </w:rPr>
        <w:t xml:space="preserve">You </w:t>
      </w:r>
      <w:r>
        <w:t xml:space="preserve">will not be charged for calls made in any one month on a per call basis per user until the value of those calls exceeds the value of the included call component of </w:t>
      </w:r>
      <w:r>
        <w:rPr>
          <w:i/>
        </w:rPr>
        <w:t>your pricing plan</w:t>
      </w:r>
      <w:r>
        <w:t>.</w:t>
      </w:r>
    </w:p>
    <w:p w14:paraId="3840BAA9" w14:textId="77777777" w:rsidR="000D07EA" w:rsidRDefault="00BE7C89">
      <w:pPr>
        <w:pStyle w:val="Heading6"/>
        <w:ind w:left="0" w:firstLine="0"/>
      </w:pPr>
      <w:bookmarkStart w:id="319" w:name="_Toc236744296"/>
      <w:bookmarkStart w:id="320" w:name="_Toc397941083"/>
      <w:r>
        <w:t>Pricing</w:t>
      </w:r>
      <w:bookmarkEnd w:id="319"/>
      <w:bookmarkEnd w:id="320"/>
    </w:p>
    <w:p w14:paraId="2645C5C1" w14:textId="77777777" w:rsidR="000D07EA" w:rsidRDefault="00BE7C89">
      <w:pPr>
        <w:pStyle w:val="Heading7"/>
      </w:pPr>
      <w:r>
        <w:t xml:space="preserve">The Business Select </w:t>
      </w:r>
      <w:r>
        <w:rPr>
          <w:i/>
        </w:rPr>
        <w:t xml:space="preserve">pricing plans </w:t>
      </w:r>
      <w:r>
        <w:t xml:space="preserve">include a </w:t>
      </w:r>
      <w:r>
        <w:rPr>
          <w:i/>
        </w:rPr>
        <w:t xml:space="preserve">flagfall </w:t>
      </w:r>
      <w:r>
        <w:t xml:space="preserve">per call as specified Table 1B below, for </w:t>
      </w:r>
      <w:r>
        <w:rPr>
          <w:i/>
        </w:rPr>
        <w:t>local calls</w:t>
      </w:r>
      <w:r>
        <w:t xml:space="preserve"> and </w:t>
      </w:r>
      <w:r>
        <w:rPr>
          <w:i/>
        </w:rPr>
        <w:t>national calls</w:t>
      </w:r>
      <w:r>
        <w:t xml:space="preserve"> and calls to </w:t>
      </w:r>
      <w:r>
        <w:rPr>
          <w:i/>
        </w:rPr>
        <w:t>mobile phones</w:t>
      </w:r>
      <w:r>
        <w:t xml:space="preserve">. So the charge for these calls is the </w:t>
      </w:r>
      <w:r>
        <w:rPr>
          <w:i/>
        </w:rPr>
        <w:t xml:space="preserve">flagfall </w:t>
      </w:r>
      <w:r>
        <w:t xml:space="preserve">plus the relevant rate multiplied by the duration of the call. Calls are billed per second. The </w:t>
      </w:r>
      <w:r>
        <w:rPr>
          <w:i/>
        </w:rPr>
        <w:t xml:space="preserve">flagfall </w:t>
      </w:r>
      <w:r>
        <w:t>is not applicable to calls made under the "SmartFleet", "Biz Select 'yes' Time", "Biz Select,"Back2Business" "Biz Select Back2Business Bundling", Biz Select 7 to 7 Fixed" and "Biz Select 7 to 7 Mobile" call rates.</w:t>
      </w:r>
    </w:p>
    <w:p w14:paraId="5DC04737" w14:textId="77777777" w:rsidR="000D07EA" w:rsidRDefault="00BE7C89">
      <w:pPr>
        <w:pStyle w:val="Heading7"/>
      </w:pPr>
      <w:r>
        <w:t xml:space="preserve">All Business Select </w:t>
      </w:r>
      <w:r>
        <w:rPr>
          <w:i/>
        </w:rPr>
        <w:t>pricing plans</w:t>
      </w:r>
      <w:r>
        <w:t xml:space="preserve"> include the "</w:t>
      </w:r>
      <w:r>
        <w:rPr>
          <w:b/>
        </w:rPr>
        <w:t>SmartFleet</w:t>
      </w:r>
      <w:r>
        <w:t xml:space="preserve">" call rate. It applies to all standard national calls and standard national SMS and MMS to another minimum monthly spend GSM mobile </w:t>
      </w:r>
      <w:r>
        <w:rPr>
          <w:i/>
        </w:rPr>
        <w:t>service</w:t>
      </w:r>
      <w:r>
        <w:t xml:space="preserve"> on the same customer account number. Calls are charged at $0. No </w:t>
      </w:r>
      <w:r>
        <w:rPr>
          <w:i/>
        </w:rPr>
        <w:t>flagfall</w:t>
      </w:r>
      <w:r>
        <w:t xml:space="preserve"> applies. Excludes calls to Optus Pre-Paid, Cap plans, Satellite plans and service provider customers. Fair Go Policy (</w:t>
      </w:r>
      <w:hyperlink r:id="rId180" w:history="1">
        <w:r>
          <w:rPr>
            <w:rStyle w:val="Hyperlink"/>
            <w:i/>
          </w:rPr>
          <w:t>Appendix S</w:t>
        </w:r>
      </w:hyperlink>
      <w:r>
        <w:t xml:space="preserve">) applies. Note: Standard call exclusions (see section 1 of this </w:t>
      </w:r>
      <w:r>
        <w:rPr>
          <w:i/>
        </w:rPr>
        <w:t>standard pricing table</w:t>
      </w:r>
      <w:r>
        <w:t>) apply to the "</w:t>
      </w:r>
      <w:r>
        <w:rPr>
          <w:b/>
        </w:rPr>
        <w:t>SmartFleet</w:t>
      </w:r>
      <w:r>
        <w:t>" call rates. Applies to calls made and received in Australia.</w:t>
      </w:r>
    </w:p>
    <w:p w14:paraId="3478FB79" w14:textId="77777777" w:rsidR="000D07EA" w:rsidRDefault="00BE7C89">
      <w:pPr>
        <w:pStyle w:val="Heading7"/>
      </w:pPr>
      <w:r>
        <w:t xml:space="preserve">Business Select </w:t>
      </w:r>
      <w:r>
        <w:rPr>
          <w:i/>
        </w:rPr>
        <w:t>pricing plans</w:t>
      </w:r>
      <w:r>
        <w:t xml:space="preserve"> include "</w:t>
      </w:r>
      <w:r>
        <w:rPr>
          <w:b/>
        </w:rPr>
        <w:t>FleetShare</w:t>
      </w:r>
      <w:r>
        <w:t xml:space="preserve">". It shares the minimum monthly spend among GSM mobile services on the same customer account number. It excludes all Optus Pre-Paid, Cap plans, Satellite plans, service provider customers, Mobile Data, Optus Wireless Broadband, Optus Mobile Broadband, Business Mobile Broadband and Blackberry plans. Only plans with Minimum monthly spend are eligible. </w:t>
      </w:r>
    </w:p>
    <w:p w14:paraId="2054196A" w14:textId="77777777" w:rsidR="000D07EA" w:rsidRDefault="00BE7C89">
      <w:pPr>
        <w:pStyle w:val="Heading7"/>
      </w:pPr>
      <w:r>
        <w:t>Upon request, customers may elect to purchase a "</w:t>
      </w:r>
      <w:r>
        <w:rPr>
          <w:b/>
        </w:rPr>
        <w:t>Biz Select</w:t>
      </w:r>
      <w:r>
        <w:t xml:space="preserve"> Back2Business" Value pack with their standard pricing plan on selected services within their fleet: This Value Pack is charged at $5.00 per month/per service which will entitle you to service: pay 30c for 10 minute calls to 3 nominated numbers, 24 x 7. No flagfall applies. Only 3 B2B numbers per Business Select service are allowed. The 3 nominated numbers must be either eligible Optus GSM mobile(s) and / Australian or fixed line(s), as defined by Optus and cannot be a 13, 1300, 1800 or 1900 number. Calls must be made and received within Australia and excludes video calls. After the first 10 minutes standard call rates apply. </w:t>
      </w:r>
      <w:r>
        <w:rPr>
          <w:i/>
        </w:rPr>
        <w:t>You</w:t>
      </w:r>
      <w:r>
        <w:t xml:space="preserve"> may change </w:t>
      </w:r>
      <w:r>
        <w:rPr>
          <w:i/>
        </w:rPr>
        <w:t>your</w:t>
      </w:r>
      <w:r>
        <w:t xml:space="preserve"> nominated numbers no more than once per month. Allow up to 48 hours for activation or changes to </w:t>
      </w:r>
      <w:r>
        <w:rPr>
          <w:i/>
        </w:rPr>
        <w:t>your</w:t>
      </w:r>
      <w:r>
        <w:t xml:space="preserve"> Biz Select Back2Business Value </w:t>
      </w:r>
      <w:r>
        <w:lastRenderedPageBreak/>
        <w:t>Pack. Fair Go Policy (</w:t>
      </w:r>
      <w:hyperlink r:id="rId181" w:history="1">
        <w:r>
          <w:rPr>
            <w:rStyle w:val="Hyperlink"/>
          </w:rPr>
          <w:t>Appendix S</w:t>
        </w:r>
      </w:hyperlink>
      <w:r>
        <w:t xml:space="preserve">) applies. Customers that elect to purchase the Biz Select Back2Business Value Pack will no longer be eligible to purchase the </w:t>
      </w:r>
      <w:r>
        <w:rPr>
          <w:b/>
        </w:rPr>
        <w:t>Biz Select Back2Business Bundling, Biz Select 'yes' Time, Biz Select 7 to 7 Mobile</w:t>
      </w:r>
      <w:r>
        <w:t xml:space="preserve"> or the </w:t>
      </w:r>
      <w:r>
        <w:rPr>
          <w:b/>
        </w:rPr>
        <w:t>Biz Select 7 to 7 Fixed</w:t>
      </w:r>
      <w:r>
        <w:t xml:space="preserve"> Value Packs.</w:t>
      </w:r>
    </w:p>
    <w:p w14:paraId="555FC3C9" w14:textId="77777777" w:rsidR="000D07EA" w:rsidRDefault="00BE7C89">
      <w:pPr>
        <w:pStyle w:val="BodyText"/>
        <w:ind w:left="1440"/>
      </w:pPr>
      <w:r>
        <w:t xml:space="preserve">If bundling Business Select mobile services with either an Optus Multiline service, Optus Directline service, Optus IP VPN service, Optus Evolve Internet service or a Business Mobile Broadband fleet with 10 or more services under the </w:t>
      </w:r>
      <w:r>
        <w:rPr>
          <w:i/>
        </w:rPr>
        <w:t>Optus Business Bundles program</w:t>
      </w:r>
      <w:r>
        <w:t>, customers may elect to purchase a "</w:t>
      </w:r>
      <w:r>
        <w:rPr>
          <w:b/>
        </w:rPr>
        <w:t>Biz Select Back2Business Bundling</w:t>
      </w:r>
      <w:r>
        <w:t xml:space="preserve">" Value pack with their standard pricing plan on selected services within their fleet: This Value Pack is charged at $5.00 per month/per service which will entitle you to pay 0c for 10 minute calls to 3 nominated numbers, 24 x 7. No flagfall applies. Only 3 Back2Business numbers per Business Select service. The 3 nominated numbers must be either eligible Optus GSM mobile(s) and / or Australian fixed line(s), as defined by Optus and cannot be a 13, 1300, 1800 or 1900 number. Calls must be made and received within Australia and excludes video calls. After the first 10 minutes standard call rates apply. </w:t>
      </w:r>
      <w:r>
        <w:rPr>
          <w:i/>
        </w:rPr>
        <w:t>You</w:t>
      </w:r>
      <w:r>
        <w:t xml:space="preserve"> may change </w:t>
      </w:r>
      <w:r>
        <w:rPr>
          <w:i/>
        </w:rPr>
        <w:t>your</w:t>
      </w:r>
      <w:r>
        <w:t xml:space="preserve"> nominated numbers no more than once per month. Allow up to 48 hours for activation or changes to </w:t>
      </w:r>
      <w:r>
        <w:rPr>
          <w:i/>
        </w:rPr>
        <w:t>your</w:t>
      </w:r>
      <w:r>
        <w:t xml:space="preserve"> Biz Select Back2Business Bundling Value Pack. Fair Go Policy (</w:t>
      </w:r>
      <w:hyperlink r:id="rId182" w:history="1">
        <w:r>
          <w:rPr>
            <w:rStyle w:val="Hyperlink"/>
          </w:rPr>
          <w:t>Appendix S</w:t>
        </w:r>
      </w:hyperlink>
      <w:r>
        <w:t xml:space="preserve">) applies. Customers that elect to purchase the </w:t>
      </w:r>
      <w:r>
        <w:rPr>
          <w:b/>
        </w:rPr>
        <w:t>Biz Select Back2Business Bundling</w:t>
      </w:r>
      <w:r>
        <w:t xml:space="preserve"> Value Pack will no longer be eligible to purchase the </w:t>
      </w:r>
      <w:r>
        <w:rPr>
          <w:b/>
        </w:rPr>
        <w:t>Biz Select Back2Business, Biz Select 'yes' Time, Biz Select 7 to 7 Mobile</w:t>
      </w:r>
      <w:r>
        <w:t xml:space="preserve"> or the </w:t>
      </w:r>
      <w:r>
        <w:rPr>
          <w:b/>
        </w:rPr>
        <w:t>Biz Select 7 to 7 Fixed</w:t>
      </w:r>
      <w:r>
        <w:t xml:space="preserve"> Value Packs.</w:t>
      </w:r>
    </w:p>
    <w:p w14:paraId="55E6CC69" w14:textId="77777777" w:rsidR="000D07EA" w:rsidRDefault="00BE7C89">
      <w:pPr>
        <w:pStyle w:val="Heading7"/>
      </w:pPr>
      <w:r>
        <w:t>Upon request, customers may elect to purchase a "</w:t>
      </w:r>
      <w:r>
        <w:rPr>
          <w:b/>
        </w:rPr>
        <w:t>Biz Select SMS/MMS</w:t>
      </w:r>
      <w:r>
        <w:t>" Value pack with their standard pricing plan on selected services within their fleet: This Value Pack is charged at $5.00 per month/per service which will entitle you to receive $5.00 worth of standard SMS/MMS value each month and then pay 12.c for each SMS and 25c for each MMS sent.</w:t>
      </w:r>
    </w:p>
    <w:p w14:paraId="123CC28C" w14:textId="77777777" w:rsidR="000D07EA" w:rsidRDefault="00BE7C89">
      <w:pPr>
        <w:pStyle w:val="Heading7"/>
      </w:pPr>
      <w:r>
        <w:t>Upon request, customers may elect to purchase a "</w:t>
      </w:r>
      <w:r>
        <w:rPr>
          <w:b/>
        </w:rPr>
        <w:t>Biz Select</w:t>
      </w:r>
      <w:r>
        <w:t xml:space="preserve"> '</w:t>
      </w:r>
      <w:r>
        <w:rPr>
          <w:b/>
        </w:rPr>
        <w:t>yes</w:t>
      </w:r>
      <w:r>
        <w:t xml:space="preserve">' </w:t>
      </w:r>
      <w:r>
        <w:rPr>
          <w:b/>
        </w:rPr>
        <w:t>Time</w:t>
      </w:r>
      <w:r>
        <w:t>" Value pack with their standard pricing plan on selected services within their fleet: This Value Pack is charged at $5.00 per month/per service which will entitle you to call any Optus GSM service between 8pm and Midnight, Monday to Sunday and you will be charged 0c for the first 20 minutes of each call. After the first 20 minutes, standard call charges apply. Fair Go Policy (</w:t>
      </w:r>
      <w:hyperlink r:id="rId183" w:history="1">
        <w:r>
          <w:rPr>
            <w:rStyle w:val="Hyperlink"/>
          </w:rPr>
          <w:t>Appendix S</w:t>
        </w:r>
      </w:hyperlink>
      <w:r>
        <w:t>) applies. If you elect to purchase the Biz Select 'yes' Time value Pack, you will no longer be eligible to purchase either the '</w:t>
      </w:r>
      <w:r>
        <w:rPr>
          <w:b/>
        </w:rPr>
        <w:t>Biz Select Back2Business, Biz Select Back2Business Bundling, Biz Select 7 to 7 Mobile or Biz Select 7 to 7 Fixed</w:t>
      </w:r>
      <w:r>
        <w:t xml:space="preserve"> Value </w:t>
      </w:r>
    </w:p>
    <w:p w14:paraId="400025A3" w14:textId="77777777" w:rsidR="000D07EA" w:rsidRDefault="00BE7C89">
      <w:pPr>
        <w:pStyle w:val="Heading7"/>
      </w:pPr>
      <w:r>
        <w:t>Upon request, customers may elect to purchase a "</w:t>
      </w:r>
      <w:r>
        <w:rPr>
          <w:b/>
        </w:rPr>
        <w:t>Biz Select Voicemail</w:t>
      </w:r>
      <w:r>
        <w:t xml:space="preserve">" Value Pack with their standard pricing plan on selected services within their fleet: This Value Pack is charged at $5.00 per month/per service which will entitle you to receive Unlimited Voicemail deposits &amp; Retrievals. </w:t>
      </w:r>
    </w:p>
    <w:p w14:paraId="60B0C191" w14:textId="77777777" w:rsidR="000D07EA" w:rsidRDefault="00BE7C89">
      <w:pPr>
        <w:pStyle w:val="Heading7"/>
      </w:pPr>
      <w:r>
        <w:t>Upon request, customers may elect to purchase a "</w:t>
      </w:r>
      <w:r>
        <w:rPr>
          <w:b/>
        </w:rPr>
        <w:t>Biz Select Voice to Text</w:t>
      </w:r>
      <w:r>
        <w:t>" Value pack with their standard pricing plan on selected services within their fleet, provided they also have an active Voicemail box set up on each relevant mobile service: This Value Pack is charged at $6.99 per month/per service which will entitle you to receive Unlimited Voice to Text message conversions. If you elect to dial into your VoiceMail box and listen to your messages, you may do so but retrieval charges are not included as part of your monthly Voice to Text subscription and will be charged at the standard Voicemail retrieval rate.</w:t>
      </w:r>
    </w:p>
    <w:p w14:paraId="77FED255" w14:textId="77777777" w:rsidR="000D07EA" w:rsidRDefault="00BE7C89">
      <w:pPr>
        <w:pStyle w:val="Heading7"/>
      </w:pPr>
      <w:r>
        <w:t>Upon request, customers may elect to purchase a "</w:t>
      </w:r>
      <w:r>
        <w:rPr>
          <w:b/>
        </w:rPr>
        <w:t>Biz Select 0c Flagfall</w:t>
      </w:r>
      <w:r>
        <w:t>" Value pack with their standard pricing plan on selected services within their fleet: This Value Pack is charged at $5.00 per month/per service which will entitle you to pay no Flagfall charges.</w:t>
      </w:r>
    </w:p>
    <w:p w14:paraId="05D7EDFC" w14:textId="77777777" w:rsidR="000D07EA" w:rsidRDefault="00BE7C89">
      <w:pPr>
        <w:pStyle w:val="Heading7"/>
      </w:pPr>
      <w:r>
        <w:t>Upon request, customers may elect to purchase a "</w:t>
      </w:r>
      <w:r>
        <w:rPr>
          <w:b/>
        </w:rPr>
        <w:t>Biz Select 0c Flagfall &amp; VoiceMail</w:t>
      </w:r>
      <w:r>
        <w:t>" Value pack with their standard pricing plan on selected services within their fleet: This Value Pack is charged at $7.00 per month/per service which is a discounted price compared to purchasing both the Biz Select 0c Flagfall and the Biz Select Unlimited VoiceMail Value Packs separately. This Value Pack will will entitle you to pay no Flagfall charges as well as receive Unlimited standard Voicemail deposits &amp; retrievals.</w:t>
      </w:r>
    </w:p>
    <w:p w14:paraId="47D18DA0" w14:textId="77777777" w:rsidR="000D07EA" w:rsidRDefault="00BE7C89">
      <w:pPr>
        <w:pStyle w:val="Heading7"/>
      </w:pPr>
      <w:r>
        <w:t>Upon request, customers may elect to purchase an "</w:t>
      </w:r>
      <w:r>
        <w:rPr>
          <w:b/>
        </w:rPr>
        <w:t>International Calls</w:t>
      </w:r>
      <w:r>
        <w:t xml:space="preserve">" Value pack with their standard pricing plan on selected services within their fleet: These Value Pack are charged per service/per month and will entitle you to receive additional calling value each month to be used for </w:t>
      </w:r>
      <w:r>
        <w:lastRenderedPageBreak/>
        <w:t xml:space="preserve">making calls from your Optus Mobile service within Australia to any overseas number. Pricing and included value information for each </w:t>
      </w:r>
      <w:r>
        <w:rPr>
          <w:b/>
        </w:rPr>
        <w:t>International Calls</w:t>
      </w:r>
      <w:r>
        <w:t xml:space="preserve"> Value Pack is contained in </w:t>
      </w:r>
      <w:r>
        <w:rPr>
          <w:i/>
        </w:rPr>
        <w:t>Appendix Y</w:t>
      </w:r>
      <w:r>
        <w:t>.</w:t>
      </w:r>
    </w:p>
    <w:p w14:paraId="4D330BFD" w14:textId="77777777" w:rsidR="000D07EA" w:rsidRDefault="00BE7C89">
      <w:pPr>
        <w:pStyle w:val="Heading7"/>
      </w:pPr>
      <w:r>
        <w:t>Upon request, customers may elect to purchase a "</w:t>
      </w:r>
      <w:r>
        <w:rPr>
          <w:b/>
        </w:rPr>
        <w:t>Business International</w:t>
      </w:r>
      <w:r>
        <w:t xml:space="preserve"> Value pack with their standard pricing plan on selected services within their fleet: These Value Pack are charged per service/per month and will entitle you to receive additional calling value each month to be used for making calls from your Optus Mobile service within Australia to any overseas number. Pricing and included value information for each </w:t>
      </w:r>
      <w:r>
        <w:rPr>
          <w:b/>
        </w:rPr>
        <w:t>Business International</w:t>
      </w:r>
      <w:r>
        <w:t xml:space="preserve"> Pack is contained in Appendix Y –.</w:t>
      </w:r>
    </w:p>
    <w:p w14:paraId="3A5FD316" w14:textId="77777777" w:rsidR="000D07EA" w:rsidRDefault="00BE7C89">
      <w:pPr>
        <w:pStyle w:val="Heading7"/>
        <w:rPr>
          <w:i/>
        </w:rPr>
      </w:pPr>
      <w:r>
        <w:t>Upon request, customers may elect to purchase an "</w:t>
      </w:r>
      <w:r>
        <w:rPr>
          <w:b/>
        </w:rPr>
        <w:t>Business Roaming</w:t>
      </w:r>
      <w:r>
        <w:t xml:space="preserve">" Pack with their standard pricing plan on selected services within their fleet: These Value Pack are charged per service/per month and will entitle you to receive additional calling value each month to be used for making calls from your Optus Mobile service within Australia to any overseas number. Pricing and included value information for each </w:t>
      </w:r>
      <w:r>
        <w:rPr>
          <w:b/>
        </w:rPr>
        <w:t>Business Roaming</w:t>
      </w:r>
      <w:r>
        <w:t xml:space="preserve"> Pack is contained in </w:t>
      </w:r>
      <w:r>
        <w:rPr>
          <w:i/>
        </w:rPr>
        <w:t>Appendix Y – Value Added Services Features 12.4</w:t>
      </w:r>
      <w:r>
        <w:t>.</w:t>
      </w:r>
    </w:p>
    <w:p w14:paraId="0931B53C" w14:textId="77777777" w:rsidR="000D07EA" w:rsidRDefault="00BE7C89">
      <w:pPr>
        <w:pStyle w:val="Heading7"/>
      </w:pPr>
      <w:r>
        <w:t>At Optus' discretion, we may from time to time, allow eligible customers to purchase a "</w:t>
      </w:r>
      <w:r>
        <w:rPr>
          <w:b/>
        </w:rPr>
        <w:t>7 to 7 Mobile</w:t>
      </w:r>
      <w:r>
        <w:t>" Value Pack with their standard pricing plan on selected services within their fleet: This Value Pack is charged at $5.00 per service/per month and allows you to make calls from your mobile within Australia to any other Australian GSM mobile charged at 30c for the first 10 minutes, 24 hours a day, 7 days a week. After the first 10 minutes, standard call rates apply.</w:t>
      </w:r>
    </w:p>
    <w:p w14:paraId="530261CA" w14:textId="77777777" w:rsidR="000D07EA" w:rsidRDefault="00BE7C89">
      <w:pPr>
        <w:pStyle w:val="Heading7"/>
      </w:pPr>
      <w:r>
        <w:t>At Optus' discretion, we may from time to time, allow eligible customers to purchase a "</w:t>
      </w:r>
      <w:r>
        <w:rPr>
          <w:b/>
        </w:rPr>
        <w:t>7 to 7 Fixed</w:t>
      </w:r>
      <w:r>
        <w:t>" Value Pack with their standard pricing plan on selected services within their fleet: This Value Pack is charged at $5.00 per service/per month and allows you to make calls from your mobile within Australia to any other Australian Fixed Line number charged at 30c for the first 10 minutes, 24 hours a day, 7 days a week. After the first 10 minutes, standard call rates apply.</w:t>
      </w:r>
    </w:p>
    <w:p w14:paraId="1D6E558E" w14:textId="77777777" w:rsidR="000D07EA" w:rsidRDefault="00BE7C89">
      <w:pPr>
        <w:pStyle w:val="Heading7"/>
      </w:pPr>
      <w:r>
        <w:t>Table 1A below indicates whether a particular call type is an 'eligible call' which counts towards the Minimum Monthly Spend of your selected Plan.</w:t>
      </w:r>
    </w:p>
    <w:p w14:paraId="2CD4F3E4" w14:textId="77777777" w:rsidR="000D07EA" w:rsidRDefault="00BE7C89">
      <w:pPr>
        <w:pStyle w:val="BodyText"/>
        <w:ind w:left="720"/>
        <w:rPr>
          <w:b/>
        </w:rPr>
      </w:pPr>
      <w:r>
        <w:rPr>
          <w:b/>
        </w:rPr>
        <w:t>Table 1A</w:t>
      </w:r>
    </w:p>
    <w:tbl>
      <w:tblPr>
        <w:tblW w:w="4645" w:type="pct"/>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6"/>
        <w:gridCol w:w="4689"/>
      </w:tblGrid>
      <w:tr w:rsidR="000D07EA" w14:paraId="3C3DA865" w14:textId="77777777">
        <w:trPr>
          <w:tblHeader/>
        </w:trPr>
        <w:tc>
          <w:tcPr>
            <w:tcW w:w="2523" w:type="pct"/>
          </w:tcPr>
          <w:p w14:paraId="009D3A5D" w14:textId="77777777" w:rsidR="000D07EA" w:rsidRDefault="00BE7C89">
            <w:pPr>
              <w:pStyle w:val="BodyText"/>
              <w:spacing w:before="100" w:after="100"/>
              <w:rPr>
                <w:b/>
              </w:rPr>
            </w:pPr>
            <w:r>
              <w:rPr>
                <w:b/>
              </w:rPr>
              <w:t>Call Type</w:t>
            </w:r>
          </w:p>
        </w:tc>
        <w:tc>
          <w:tcPr>
            <w:tcW w:w="2477" w:type="pct"/>
          </w:tcPr>
          <w:p w14:paraId="2AD4AEAB" w14:textId="77777777" w:rsidR="000D07EA" w:rsidRDefault="00BE7C89">
            <w:pPr>
              <w:pStyle w:val="BodyText"/>
              <w:spacing w:before="100" w:after="100"/>
              <w:rPr>
                <w:b/>
              </w:rPr>
            </w:pPr>
            <w:r>
              <w:rPr>
                <w:b/>
              </w:rPr>
              <w:t>Eligible Call</w:t>
            </w:r>
          </w:p>
        </w:tc>
      </w:tr>
      <w:tr w:rsidR="000D07EA" w14:paraId="16BA2515" w14:textId="77777777">
        <w:tc>
          <w:tcPr>
            <w:tcW w:w="2523" w:type="pct"/>
          </w:tcPr>
          <w:p w14:paraId="2471FA9B" w14:textId="77777777" w:rsidR="000D07EA" w:rsidRDefault="00BE7C89">
            <w:pPr>
              <w:pStyle w:val="BodyText"/>
              <w:spacing w:before="100" w:after="100"/>
            </w:pPr>
            <w:r>
              <w:t>National Voice Calls</w:t>
            </w:r>
          </w:p>
        </w:tc>
        <w:tc>
          <w:tcPr>
            <w:tcW w:w="2477" w:type="pct"/>
          </w:tcPr>
          <w:p w14:paraId="43A7C840" w14:textId="77777777" w:rsidR="000D07EA" w:rsidRDefault="00BE7C89">
            <w:pPr>
              <w:pStyle w:val="BodyText"/>
              <w:spacing w:before="100" w:after="100"/>
            </w:pPr>
            <w:r>
              <w:t>Yes</w:t>
            </w:r>
          </w:p>
        </w:tc>
      </w:tr>
      <w:tr w:rsidR="000D07EA" w14:paraId="7D10D190" w14:textId="77777777">
        <w:tc>
          <w:tcPr>
            <w:tcW w:w="2523" w:type="pct"/>
          </w:tcPr>
          <w:p w14:paraId="7E2D4455" w14:textId="77777777" w:rsidR="000D07EA" w:rsidRDefault="00BE7C89">
            <w:pPr>
              <w:pStyle w:val="BodyText"/>
              <w:spacing w:before="100" w:after="100"/>
            </w:pPr>
            <w:r>
              <w:t>National Video Calls</w:t>
            </w:r>
          </w:p>
        </w:tc>
        <w:tc>
          <w:tcPr>
            <w:tcW w:w="2477" w:type="pct"/>
          </w:tcPr>
          <w:p w14:paraId="29A36971" w14:textId="77777777" w:rsidR="000D07EA" w:rsidRDefault="00BE7C89">
            <w:pPr>
              <w:pStyle w:val="BodyText"/>
              <w:spacing w:before="100" w:after="100"/>
            </w:pPr>
            <w:r>
              <w:t>Yes</w:t>
            </w:r>
          </w:p>
        </w:tc>
      </w:tr>
      <w:tr w:rsidR="000D07EA" w14:paraId="4FDF405C" w14:textId="77777777">
        <w:tc>
          <w:tcPr>
            <w:tcW w:w="2523" w:type="pct"/>
          </w:tcPr>
          <w:p w14:paraId="09448664" w14:textId="77777777" w:rsidR="000D07EA" w:rsidRDefault="00BE7C89">
            <w:pPr>
              <w:pStyle w:val="BodyText"/>
              <w:spacing w:before="100" w:after="100"/>
            </w:pPr>
            <w:r>
              <w:t xml:space="preserve">International Voice Calls </w:t>
            </w:r>
          </w:p>
          <w:p w14:paraId="24E44E39" w14:textId="77777777" w:rsidR="000D07EA" w:rsidRDefault="00BE7C89">
            <w:pPr>
              <w:pStyle w:val="BodyText"/>
              <w:spacing w:before="100" w:after="100"/>
            </w:pPr>
            <w:r>
              <w:t>(including calls to national fixed or GSM mobile services that then divert/switch or re-route overseas)</w:t>
            </w:r>
          </w:p>
        </w:tc>
        <w:tc>
          <w:tcPr>
            <w:tcW w:w="2477" w:type="pct"/>
          </w:tcPr>
          <w:p w14:paraId="65999468" w14:textId="77777777" w:rsidR="000D07EA" w:rsidRDefault="00BE7C89">
            <w:pPr>
              <w:pStyle w:val="BodyText"/>
              <w:spacing w:before="100" w:after="100"/>
            </w:pPr>
            <w:r>
              <w:t>No</w:t>
            </w:r>
          </w:p>
        </w:tc>
      </w:tr>
      <w:tr w:rsidR="000D07EA" w14:paraId="3581713D" w14:textId="77777777">
        <w:tc>
          <w:tcPr>
            <w:tcW w:w="2523" w:type="pct"/>
          </w:tcPr>
          <w:p w14:paraId="42B4D673" w14:textId="77777777" w:rsidR="000D07EA" w:rsidRDefault="00BE7C89">
            <w:pPr>
              <w:pStyle w:val="BodyText"/>
              <w:spacing w:before="100" w:after="100"/>
            </w:pPr>
            <w:r>
              <w:t>International Video Calls</w:t>
            </w:r>
          </w:p>
          <w:p w14:paraId="2E93C921" w14:textId="77777777" w:rsidR="000D07EA" w:rsidRDefault="00BE7C89">
            <w:pPr>
              <w:pStyle w:val="BodyText"/>
              <w:spacing w:before="100" w:after="100"/>
            </w:pPr>
            <w:r>
              <w:t>(including calls to national fixed or GSM mobile services that then divert/switch or re-route overseas)</w:t>
            </w:r>
          </w:p>
        </w:tc>
        <w:tc>
          <w:tcPr>
            <w:tcW w:w="2477" w:type="pct"/>
          </w:tcPr>
          <w:p w14:paraId="7697B82C" w14:textId="77777777" w:rsidR="000D07EA" w:rsidRDefault="00BE7C89">
            <w:pPr>
              <w:pStyle w:val="BodyText"/>
              <w:spacing w:before="100" w:after="100"/>
            </w:pPr>
            <w:r>
              <w:t>No</w:t>
            </w:r>
          </w:p>
        </w:tc>
      </w:tr>
      <w:tr w:rsidR="000D07EA" w14:paraId="555CB944" w14:textId="77777777">
        <w:tc>
          <w:tcPr>
            <w:tcW w:w="2523" w:type="pct"/>
          </w:tcPr>
          <w:p w14:paraId="41E1F160" w14:textId="77777777" w:rsidR="000D07EA" w:rsidRDefault="00BE7C89">
            <w:pPr>
              <w:pStyle w:val="BodyText"/>
              <w:spacing w:before="100" w:after="100"/>
            </w:pPr>
            <w:r>
              <w:t>Premium Video</w:t>
            </w:r>
          </w:p>
        </w:tc>
        <w:tc>
          <w:tcPr>
            <w:tcW w:w="2477" w:type="pct"/>
          </w:tcPr>
          <w:p w14:paraId="13F5BCE8" w14:textId="77777777" w:rsidR="000D07EA" w:rsidRDefault="00BE7C89">
            <w:pPr>
              <w:pStyle w:val="BodyText"/>
              <w:spacing w:before="100" w:after="100"/>
            </w:pPr>
            <w:r>
              <w:t>No</w:t>
            </w:r>
          </w:p>
        </w:tc>
      </w:tr>
      <w:tr w:rsidR="000D07EA" w14:paraId="1D16C201" w14:textId="77777777">
        <w:tc>
          <w:tcPr>
            <w:tcW w:w="2523" w:type="pct"/>
          </w:tcPr>
          <w:p w14:paraId="613C4D41" w14:textId="77777777" w:rsidR="000D07EA" w:rsidRDefault="00BE7C89">
            <w:pPr>
              <w:pStyle w:val="BodyText"/>
              <w:spacing w:before="100" w:after="100"/>
            </w:pPr>
            <w:r>
              <w:t>Content Video</w:t>
            </w:r>
          </w:p>
        </w:tc>
        <w:tc>
          <w:tcPr>
            <w:tcW w:w="2477" w:type="pct"/>
          </w:tcPr>
          <w:p w14:paraId="616C9180" w14:textId="77777777" w:rsidR="000D07EA" w:rsidRDefault="00BE7C89">
            <w:pPr>
              <w:pStyle w:val="BodyText"/>
              <w:spacing w:before="100" w:after="100"/>
            </w:pPr>
            <w:r>
              <w:t>No</w:t>
            </w:r>
          </w:p>
        </w:tc>
      </w:tr>
      <w:tr w:rsidR="000D07EA" w14:paraId="5D60B091" w14:textId="77777777">
        <w:tc>
          <w:tcPr>
            <w:tcW w:w="2523" w:type="pct"/>
          </w:tcPr>
          <w:p w14:paraId="0D1D666D" w14:textId="77777777" w:rsidR="000D07EA" w:rsidRDefault="00BE7C89">
            <w:pPr>
              <w:pStyle w:val="BodyText"/>
              <w:spacing w:before="100" w:after="100"/>
            </w:pPr>
            <w:r>
              <w:t>National Standard SMS</w:t>
            </w:r>
          </w:p>
        </w:tc>
        <w:tc>
          <w:tcPr>
            <w:tcW w:w="2477" w:type="pct"/>
          </w:tcPr>
          <w:p w14:paraId="3BEF10B4" w14:textId="77777777" w:rsidR="000D07EA" w:rsidRDefault="00BE7C89">
            <w:pPr>
              <w:pStyle w:val="BodyText"/>
              <w:spacing w:before="100" w:after="100"/>
            </w:pPr>
            <w:r>
              <w:t>Yes</w:t>
            </w:r>
          </w:p>
        </w:tc>
      </w:tr>
      <w:tr w:rsidR="000D07EA" w14:paraId="414747D8" w14:textId="77777777">
        <w:tc>
          <w:tcPr>
            <w:tcW w:w="2523" w:type="pct"/>
          </w:tcPr>
          <w:p w14:paraId="61628915" w14:textId="77777777" w:rsidR="000D07EA" w:rsidRDefault="00BE7C89">
            <w:pPr>
              <w:pStyle w:val="BodyText"/>
              <w:spacing w:before="100" w:after="100"/>
            </w:pPr>
            <w:r>
              <w:t>International SMS</w:t>
            </w:r>
          </w:p>
        </w:tc>
        <w:tc>
          <w:tcPr>
            <w:tcW w:w="2477" w:type="pct"/>
          </w:tcPr>
          <w:p w14:paraId="1C31E5BD" w14:textId="77777777" w:rsidR="000D07EA" w:rsidRDefault="00BE7C89">
            <w:pPr>
              <w:pStyle w:val="BodyText"/>
              <w:spacing w:before="100" w:after="100"/>
            </w:pPr>
            <w:r>
              <w:t>No</w:t>
            </w:r>
          </w:p>
        </w:tc>
      </w:tr>
      <w:tr w:rsidR="000D07EA" w14:paraId="34F78480" w14:textId="77777777">
        <w:tc>
          <w:tcPr>
            <w:tcW w:w="2523" w:type="pct"/>
          </w:tcPr>
          <w:p w14:paraId="669C0E8C" w14:textId="77777777" w:rsidR="000D07EA" w:rsidRDefault="00BE7C89">
            <w:pPr>
              <w:pStyle w:val="BodyText"/>
              <w:spacing w:before="100" w:after="100"/>
            </w:pPr>
            <w:r>
              <w:t>Premium SMS</w:t>
            </w:r>
          </w:p>
        </w:tc>
        <w:tc>
          <w:tcPr>
            <w:tcW w:w="2477" w:type="pct"/>
          </w:tcPr>
          <w:p w14:paraId="0BE6EBFA" w14:textId="77777777" w:rsidR="000D07EA" w:rsidRDefault="00BE7C89">
            <w:pPr>
              <w:pStyle w:val="BodyText"/>
              <w:spacing w:before="100" w:after="100"/>
            </w:pPr>
            <w:r>
              <w:t>No</w:t>
            </w:r>
          </w:p>
        </w:tc>
      </w:tr>
      <w:tr w:rsidR="000D07EA" w14:paraId="28D63D1C" w14:textId="77777777">
        <w:tc>
          <w:tcPr>
            <w:tcW w:w="2523" w:type="pct"/>
          </w:tcPr>
          <w:p w14:paraId="16A30290" w14:textId="77777777" w:rsidR="000D07EA" w:rsidRDefault="00BE7C89">
            <w:pPr>
              <w:pStyle w:val="BodyText"/>
              <w:spacing w:before="100" w:after="100"/>
            </w:pPr>
            <w:r>
              <w:t>National MMS</w:t>
            </w:r>
          </w:p>
        </w:tc>
        <w:tc>
          <w:tcPr>
            <w:tcW w:w="2477" w:type="pct"/>
          </w:tcPr>
          <w:p w14:paraId="06A5FC8C" w14:textId="77777777" w:rsidR="000D07EA" w:rsidRDefault="00BE7C89">
            <w:pPr>
              <w:pStyle w:val="BodyText"/>
              <w:spacing w:before="100" w:after="100"/>
            </w:pPr>
            <w:r>
              <w:t>Yes</w:t>
            </w:r>
          </w:p>
        </w:tc>
      </w:tr>
      <w:tr w:rsidR="000D07EA" w14:paraId="16D926C9" w14:textId="77777777">
        <w:tc>
          <w:tcPr>
            <w:tcW w:w="2523" w:type="pct"/>
          </w:tcPr>
          <w:p w14:paraId="3DF32221" w14:textId="77777777" w:rsidR="000D07EA" w:rsidRDefault="00BE7C89">
            <w:pPr>
              <w:pStyle w:val="BodyText"/>
              <w:spacing w:before="100" w:after="100"/>
            </w:pPr>
            <w:r>
              <w:lastRenderedPageBreak/>
              <w:t>International MMS</w:t>
            </w:r>
          </w:p>
        </w:tc>
        <w:tc>
          <w:tcPr>
            <w:tcW w:w="2477" w:type="pct"/>
          </w:tcPr>
          <w:p w14:paraId="3371265A" w14:textId="77777777" w:rsidR="000D07EA" w:rsidRDefault="00BE7C89">
            <w:pPr>
              <w:pStyle w:val="BodyText"/>
              <w:spacing w:before="100" w:after="100"/>
            </w:pPr>
            <w:r>
              <w:t>No</w:t>
            </w:r>
          </w:p>
        </w:tc>
      </w:tr>
      <w:tr w:rsidR="000D07EA" w14:paraId="58D2605C" w14:textId="77777777">
        <w:tc>
          <w:tcPr>
            <w:tcW w:w="2523" w:type="pct"/>
          </w:tcPr>
          <w:p w14:paraId="23B1A990" w14:textId="77777777" w:rsidR="000D07EA" w:rsidRDefault="00BE7C89">
            <w:pPr>
              <w:pStyle w:val="BodyText"/>
              <w:spacing w:before="100" w:after="100"/>
            </w:pPr>
            <w:r>
              <w:t>Premium MMS</w:t>
            </w:r>
          </w:p>
        </w:tc>
        <w:tc>
          <w:tcPr>
            <w:tcW w:w="2477" w:type="pct"/>
          </w:tcPr>
          <w:p w14:paraId="71C2CA28" w14:textId="77777777" w:rsidR="000D07EA" w:rsidRDefault="00BE7C89">
            <w:pPr>
              <w:pStyle w:val="BodyText"/>
              <w:spacing w:before="100" w:after="100"/>
            </w:pPr>
            <w:r>
              <w:t>No</w:t>
            </w:r>
          </w:p>
        </w:tc>
      </w:tr>
      <w:tr w:rsidR="000D07EA" w14:paraId="44DF420A" w14:textId="77777777">
        <w:tc>
          <w:tcPr>
            <w:tcW w:w="2523" w:type="pct"/>
          </w:tcPr>
          <w:p w14:paraId="19C77EC5" w14:textId="77777777" w:rsidR="000D07EA" w:rsidRDefault="00BE7C89">
            <w:pPr>
              <w:pStyle w:val="BodyText"/>
              <w:spacing w:before="100" w:after="100"/>
            </w:pPr>
            <w:r>
              <w:t>National Diversions</w:t>
            </w:r>
          </w:p>
        </w:tc>
        <w:tc>
          <w:tcPr>
            <w:tcW w:w="2477" w:type="pct"/>
          </w:tcPr>
          <w:p w14:paraId="1556FAC6" w14:textId="77777777" w:rsidR="000D07EA" w:rsidRDefault="00BE7C89">
            <w:pPr>
              <w:pStyle w:val="BodyText"/>
              <w:spacing w:before="100" w:after="100"/>
            </w:pPr>
            <w:r>
              <w:t>Yes</w:t>
            </w:r>
          </w:p>
        </w:tc>
      </w:tr>
      <w:tr w:rsidR="000D07EA" w14:paraId="0207FFA6" w14:textId="77777777">
        <w:tc>
          <w:tcPr>
            <w:tcW w:w="2523" w:type="pct"/>
          </w:tcPr>
          <w:p w14:paraId="43F557BE" w14:textId="77777777" w:rsidR="000D07EA" w:rsidRDefault="00BE7C89">
            <w:pPr>
              <w:pStyle w:val="BodyText"/>
              <w:spacing w:before="100" w:after="100"/>
            </w:pPr>
            <w:r>
              <w:t>Voicemail Deposit and Retrievals</w:t>
            </w:r>
          </w:p>
        </w:tc>
        <w:tc>
          <w:tcPr>
            <w:tcW w:w="2477" w:type="pct"/>
          </w:tcPr>
          <w:p w14:paraId="3633F342" w14:textId="77777777" w:rsidR="000D07EA" w:rsidRDefault="00BE7C89">
            <w:pPr>
              <w:pStyle w:val="BodyText"/>
              <w:spacing w:before="100" w:after="100"/>
            </w:pPr>
            <w:r>
              <w:t>Yes</w:t>
            </w:r>
          </w:p>
        </w:tc>
      </w:tr>
      <w:tr w:rsidR="000D07EA" w14:paraId="04CA14B0" w14:textId="77777777">
        <w:tc>
          <w:tcPr>
            <w:tcW w:w="2523" w:type="pct"/>
          </w:tcPr>
          <w:p w14:paraId="07E74086" w14:textId="77777777" w:rsidR="000D07EA" w:rsidRDefault="00BE7C89">
            <w:pPr>
              <w:pStyle w:val="BodyText"/>
              <w:spacing w:before="100" w:after="100"/>
            </w:pPr>
            <w:r>
              <w:t>International Roaming and Diversions</w:t>
            </w:r>
          </w:p>
        </w:tc>
        <w:tc>
          <w:tcPr>
            <w:tcW w:w="2477" w:type="pct"/>
          </w:tcPr>
          <w:p w14:paraId="4DA31784" w14:textId="77777777" w:rsidR="000D07EA" w:rsidRDefault="00BE7C89">
            <w:pPr>
              <w:pStyle w:val="BodyText"/>
              <w:spacing w:before="100" w:after="100"/>
            </w:pPr>
            <w:r>
              <w:t>No</w:t>
            </w:r>
          </w:p>
        </w:tc>
      </w:tr>
      <w:tr w:rsidR="000D07EA" w14:paraId="3D42C283" w14:textId="77777777">
        <w:tc>
          <w:tcPr>
            <w:tcW w:w="2523" w:type="pct"/>
          </w:tcPr>
          <w:p w14:paraId="57886426" w14:textId="77777777" w:rsidR="000D07EA" w:rsidRDefault="00BE7C89">
            <w:pPr>
              <w:pStyle w:val="BodyText"/>
              <w:spacing w:before="100" w:after="100"/>
            </w:pPr>
            <w:r>
              <w:t>Video Conferencing</w:t>
            </w:r>
          </w:p>
        </w:tc>
        <w:tc>
          <w:tcPr>
            <w:tcW w:w="2477" w:type="pct"/>
          </w:tcPr>
          <w:p w14:paraId="2676F932" w14:textId="77777777" w:rsidR="000D07EA" w:rsidRDefault="00BE7C89">
            <w:pPr>
              <w:pStyle w:val="BodyText"/>
              <w:spacing w:before="100" w:after="100"/>
            </w:pPr>
            <w:r>
              <w:t>No</w:t>
            </w:r>
          </w:p>
        </w:tc>
      </w:tr>
      <w:tr w:rsidR="000D07EA" w14:paraId="6EBB283B" w14:textId="77777777">
        <w:tc>
          <w:tcPr>
            <w:tcW w:w="2523" w:type="pct"/>
          </w:tcPr>
          <w:p w14:paraId="452D0324" w14:textId="77777777" w:rsidR="000D07EA" w:rsidRDefault="00BE7C89">
            <w:pPr>
              <w:pStyle w:val="BodyText"/>
              <w:spacing w:before="100" w:after="100"/>
            </w:pPr>
            <w:r>
              <w:t>BlackBerry Email</w:t>
            </w:r>
          </w:p>
        </w:tc>
        <w:tc>
          <w:tcPr>
            <w:tcW w:w="2477" w:type="pct"/>
          </w:tcPr>
          <w:p w14:paraId="6ADE56F7" w14:textId="77777777" w:rsidR="000D07EA" w:rsidRDefault="00BE7C89">
            <w:pPr>
              <w:pStyle w:val="BodyText"/>
              <w:spacing w:before="100" w:after="100"/>
            </w:pPr>
            <w:r>
              <w:t>No</w:t>
            </w:r>
          </w:p>
        </w:tc>
      </w:tr>
      <w:tr w:rsidR="000D07EA" w14:paraId="6C18A796" w14:textId="77777777">
        <w:tc>
          <w:tcPr>
            <w:tcW w:w="2523" w:type="pct"/>
          </w:tcPr>
          <w:p w14:paraId="1D034BDB" w14:textId="77777777" w:rsidR="000D07EA" w:rsidRDefault="00BE7C89">
            <w:pPr>
              <w:pStyle w:val="BodyText"/>
              <w:spacing w:before="100" w:after="100"/>
            </w:pPr>
            <w:r>
              <w:t>Optus Zoo Browsing</w:t>
            </w:r>
          </w:p>
        </w:tc>
        <w:tc>
          <w:tcPr>
            <w:tcW w:w="2477" w:type="pct"/>
          </w:tcPr>
          <w:p w14:paraId="2281E41B" w14:textId="77777777" w:rsidR="000D07EA" w:rsidRDefault="00BE7C89">
            <w:pPr>
              <w:pStyle w:val="BodyText"/>
              <w:spacing w:before="100" w:after="100"/>
            </w:pPr>
            <w:r>
              <w:t>No</w:t>
            </w:r>
          </w:p>
        </w:tc>
      </w:tr>
      <w:tr w:rsidR="000D07EA" w14:paraId="74AFEAD8" w14:textId="77777777">
        <w:tc>
          <w:tcPr>
            <w:tcW w:w="2523" w:type="pct"/>
          </w:tcPr>
          <w:p w14:paraId="08E22626" w14:textId="77777777" w:rsidR="000D07EA" w:rsidRDefault="00BE7C89">
            <w:pPr>
              <w:pStyle w:val="BodyText"/>
              <w:spacing w:before="100" w:after="100"/>
            </w:pPr>
            <w:r>
              <w:t>Optus Zoo Downloads</w:t>
            </w:r>
          </w:p>
        </w:tc>
        <w:tc>
          <w:tcPr>
            <w:tcW w:w="2477" w:type="pct"/>
          </w:tcPr>
          <w:p w14:paraId="66DE2EA2" w14:textId="77777777" w:rsidR="000D07EA" w:rsidRDefault="00BE7C89">
            <w:pPr>
              <w:pStyle w:val="BodyText"/>
              <w:spacing w:before="100" w:after="100"/>
            </w:pPr>
            <w:r>
              <w:t>No</w:t>
            </w:r>
          </w:p>
        </w:tc>
      </w:tr>
      <w:tr w:rsidR="000D07EA" w14:paraId="346CDB79" w14:textId="77777777">
        <w:tc>
          <w:tcPr>
            <w:tcW w:w="2523" w:type="pct"/>
          </w:tcPr>
          <w:p w14:paraId="1BD15330" w14:textId="77777777" w:rsidR="000D07EA" w:rsidRDefault="00BE7C89">
            <w:pPr>
              <w:pStyle w:val="BodyText"/>
              <w:spacing w:before="100" w:after="100"/>
            </w:pPr>
            <w:r>
              <w:t>966* Zoo</w:t>
            </w:r>
          </w:p>
        </w:tc>
        <w:tc>
          <w:tcPr>
            <w:tcW w:w="2477" w:type="pct"/>
          </w:tcPr>
          <w:p w14:paraId="48710F82" w14:textId="77777777" w:rsidR="000D07EA" w:rsidRDefault="00BE7C89">
            <w:pPr>
              <w:pStyle w:val="BodyText"/>
              <w:spacing w:before="100" w:after="100"/>
            </w:pPr>
            <w:r>
              <w:t>No</w:t>
            </w:r>
          </w:p>
        </w:tc>
      </w:tr>
      <w:tr w:rsidR="000D07EA" w14:paraId="60D29072" w14:textId="77777777">
        <w:tc>
          <w:tcPr>
            <w:tcW w:w="2523" w:type="pct"/>
          </w:tcPr>
          <w:p w14:paraId="4F2C845A" w14:textId="77777777" w:rsidR="000D07EA" w:rsidRDefault="00BE7C89">
            <w:pPr>
              <w:pStyle w:val="BodyText"/>
              <w:spacing w:before="100" w:after="100"/>
            </w:pPr>
            <w:r>
              <w:t>Mobile Internet usage</w:t>
            </w:r>
          </w:p>
        </w:tc>
        <w:tc>
          <w:tcPr>
            <w:tcW w:w="2477" w:type="pct"/>
          </w:tcPr>
          <w:p w14:paraId="79DE50E6" w14:textId="77777777" w:rsidR="000D07EA" w:rsidRDefault="00BE7C89">
            <w:pPr>
              <w:pStyle w:val="BodyText"/>
              <w:spacing w:before="100" w:after="100"/>
            </w:pPr>
            <w:r>
              <w:t>No</w:t>
            </w:r>
          </w:p>
        </w:tc>
      </w:tr>
      <w:tr w:rsidR="000D07EA" w14:paraId="1E1A33CE" w14:textId="77777777">
        <w:tc>
          <w:tcPr>
            <w:tcW w:w="2523" w:type="pct"/>
          </w:tcPr>
          <w:p w14:paraId="08FC603A" w14:textId="77777777" w:rsidR="000D07EA" w:rsidRDefault="00BE7C89">
            <w:pPr>
              <w:pStyle w:val="BodyText"/>
              <w:spacing w:before="100" w:after="100"/>
            </w:pPr>
            <w:r>
              <w:t>Data used while roaming internationally</w:t>
            </w:r>
          </w:p>
        </w:tc>
        <w:tc>
          <w:tcPr>
            <w:tcW w:w="2477" w:type="pct"/>
          </w:tcPr>
          <w:p w14:paraId="55043961" w14:textId="77777777" w:rsidR="000D07EA" w:rsidRDefault="00BE7C89">
            <w:pPr>
              <w:pStyle w:val="BodyText"/>
              <w:spacing w:before="100" w:after="100"/>
            </w:pPr>
            <w:r>
              <w:t>No</w:t>
            </w:r>
          </w:p>
        </w:tc>
      </w:tr>
      <w:tr w:rsidR="000D07EA" w14:paraId="5C473F16" w14:textId="77777777">
        <w:tc>
          <w:tcPr>
            <w:tcW w:w="2523" w:type="pct"/>
          </w:tcPr>
          <w:p w14:paraId="6E421916" w14:textId="77777777" w:rsidR="000D07EA" w:rsidRDefault="00BE7C89">
            <w:pPr>
              <w:pStyle w:val="BodyText"/>
              <w:spacing w:before="100" w:after="100"/>
            </w:pPr>
            <w:r>
              <w:t>Content Packs</w:t>
            </w:r>
          </w:p>
        </w:tc>
        <w:tc>
          <w:tcPr>
            <w:tcW w:w="2477" w:type="pct"/>
          </w:tcPr>
          <w:p w14:paraId="78C9441F" w14:textId="77777777" w:rsidR="000D07EA" w:rsidRDefault="00BE7C89">
            <w:pPr>
              <w:pStyle w:val="BodyText"/>
              <w:spacing w:before="100" w:after="100"/>
            </w:pPr>
            <w:r>
              <w:t>No</w:t>
            </w:r>
          </w:p>
        </w:tc>
      </w:tr>
      <w:tr w:rsidR="000D07EA" w14:paraId="17E41572" w14:textId="77777777">
        <w:tc>
          <w:tcPr>
            <w:tcW w:w="2523" w:type="pct"/>
          </w:tcPr>
          <w:p w14:paraId="344C2980" w14:textId="77777777" w:rsidR="000D07EA" w:rsidRDefault="00BE7C89">
            <w:pPr>
              <w:pStyle w:val="BodyText"/>
              <w:spacing w:before="100" w:after="100"/>
            </w:pPr>
            <w:r>
              <w:t>Mobile Instant Messaging – IM</w:t>
            </w:r>
          </w:p>
        </w:tc>
        <w:tc>
          <w:tcPr>
            <w:tcW w:w="2477" w:type="pct"/>
          </w:tcPr>
          <w:p w14:paraId="68E0ECAA" w14:textId="77777777" w:rsidR="000D07EA" w:rsidRDefault="00BE7C89">
            <w:pPr>
              <w:pStyle w:val="BodyText"/>
              <w:spacing w:before="100" w:after="100"/>
            </w:pPr>
            <w:r>
              <w:t>No</w:t>
            </w:r>
          </w:p>
        </w:tc>
      </w:tr>
      <w:tr w:rsidR="000D07EA" w14:paraId="022C8169" w14:textId="77777777">
        <w:tc>
          <w:tcPr>
            <w:tcW w:w="2523" w:type="pct"/>
          </w:tcPr>
          <w:p w14:paraId="2417682B" w14:textId="77777777" w:rsidR="000D07EA" w:rsidRDefault="00BE7C89">
            <w:pPr>
              <w:pStyle w:val="BodyText"/>
              <w:spacing w:before="100" w:after="100"/>
            </w:pPr>
            <w:r>
              <w:t>TrueLocal Usage</w:t>
            </w:r>
          </w:p>
        </w:tc>
        <w:tc>
          <w:tcPr>
            <w:tcW w:w="2477" w:type="pct"/>
          </w:tcPr>
          <w:p w14:paraId="3104047A" w14:textId="77777777" w:rsidR="000D07EA" w:rsidRDefault="00BE7C89">
            <w:pPr>
              <w:pStyle w:val="BodyText"/>
              <w:spacing w:before="100" w:after="100"/>
            </w:pPr>
            <w:r>
              <w:t>No</w:t>
            </w:r>
          </w:p>
        </w:tc>
      </w:tr>
      <w:tr w:rsidR="000D07EA" w14:paraId="5494813B" w14:textId="77777777">
        <w:tc>
          <w:tcPr>
            <w:tcW w:w="2523" w:type="pct"/>
          </w:tcPr>
          <w:p w14:paraId="006D3865" w14:textId="77777777" w:rsidR="000D07EA" w:rsidRDefault="00BE7C89">
            <w:pPr>
              <w:pStyle w:val="BodyText"/>
              <w:spacing w:before="100" w:after="100"/>
            </w:pPr>
            <w:r>
              <w:t>Directory Assistance – 1223</w:t>
            </w:r>
          </w:p>
        </w:tc>
        <w:tc>
          <w:tcPr>
            <w:tcW w:w="2477" w:type="pct"/>
          </w:tcPr>
          <w:p w14:paraId="7919245A" w14:textId="77777777" w:rsidR="000D07EA" w:rsidRDefault="00BE7C89">
            <w:pPr>
              <w:pStyle w:val="BodyText"/>
              <w:spacing w:before="100" w:after="100"/>
            </w:pPr>
            <w:r>
              <w:t>No</w:t>
            </w:r>
          </w:p>
        </w:tc>
      </w:tr>
      <w:tr w:rsidR="000D07EA" w14:paraId="1BDB6D78" w14:textId="77777777">
        <w:tc>
          <w:tcPr>
            <w:tcW w:w="2523" w:type="pct"/>
          </w:tcPr>
          <w:p w14:paraId="602E9ADC" w14:textId="77777777" w:rsidR="000D07EA" w:rsidRDefault="00BE7C89">
            <w:pPr>
              <w:pStyle w:val="BodyText"/>
              <w:spacing w:before="100" w:after="100"/>
            </w:pPr>
            <w:r>
              <w:t>19xx Numbers</w:t>
            </w:r>
          </w:p>
        </w:tc>
        <w:tc>
          <w:tcPr>
            <w:tcW w:w="2477" w:type="pct"/>
          </w:tcPr>
          <w:p w14:paraId="76F7CF5F" w14:textId="77777777" w:rsidR="000D07EA" w:rsidRDefault="00BE7C89">
            <w:pPr>
              <w:pStyle w:val="BodyText"/>
              <w:spacing w:before="100" w:after="100"/>
            </w:pPr>
            <w:r>
              <w:t>No</w:t>
            </w:r>
          </w:p>
        </w:tc>
      </w:tr>
      <w:tr w:rsidR="000D07EA" w14:paraId="03E765FC" w14:textId="77777777">
        <w:tc>
          <w:tcPr>
            <w:tcW w:w="2523" w:type="pct"/>
          </w:tcPr>
          <w:p w14:paraId="4C03551B" w14:textId="77777777" w:rsidR="000D07EA" w:rsidRDefault="00BE7C89">
            <w:pPr>
              <w:pStyle w:val="BodyText"/>
              <w:spacing w:before="100" w:after="100"/>
            </w:pPr>
            <w:r>
              <w:t>1800, 13 and 1300 Numbers</w:t>
            </w:r>
          </w:p>
        </w:tc>
        <w:tc>
          <w:tcPr>
            <w:tcW w:w="2477" w:type="pct"/>
          </w:tcPr>
          <w:p w14:paraId="36E4D5B6" w14:textId="77777777" w:rsidR="000D07EA" w:rsidRDefault="00BE7C89">
            <w:pPr>
              <w:pStyle w:val="BodyText"/>
              <w:spacing w:before="100" w:after="100"/>
            </w:pPr>
            <w:r>
              <w:t>Yes</w:t>
            </w:r>
          </w:p>
        </w:tc>
      </w:tr>
      <w:tr w:rsidR="000D07EA" w14:paraId="69105F63" w14:textId="77777777">
        <w:tc>
          <w:tcPr>
            <w:tcW w:w="2523" w:type="pct"/>
          </w:tcPr>
          <w:p w14:paraId="5F40373B" w14:textId="77777777" w:rsidR="000D07EA" w:rsidRDefault="00BE7C89">
            <w:pPr>
              <w:pStyle w:val="BodyText"/>
              <w:spacing w:before="100" w:after="100"/>
            </w:pPr>
            <w:r>
              <w:t>124YES(937)</w:t>
            </w:r>
          </w:p>
        </w:tc>
        <w:tc>
          <w:tcPr>
            <w:tcW w:w="2477" w:type="pct"/>
          </w:tcPr>
          <w:p w14:paraId="3D93C599" w14:textId="77777777" w:rsidR="000D07EA" w:rsidRDefault="00BE7C89">
            <w:pPr>
              <w:pStyle w:val="BodyText"/>
              <w:spacing w:before="100" w:after="100"/>
            </w:pPr>
            <w:r>
              <w:t>Yes</w:t>
            </w:r>
          </w:p>
        </w:tc>
      </w:tr>
      <w:tr w:rsidR="000D07EA" w14:paraId="4C507891" w14:textId="77777777">
        <w:tc>
          <w:tcPr>
            <w:tcW w:w="2523" w:type="pct"/>
          </w:tcPr>
          <w:p w14:paraId="34284CE1" w14:textId="77777777" w:rsidR="000D07EA" w:rsidRDefault="00BE7C89">
            <w:pPr>
              <w:pStyle w:val="BodyText"/>
              <w:spacing w:before="100" w:after="100"/>
            </w:pPr>
            <w:r>
              <w:t>Fax and Data</w:t>
            </w:r>
          </w:p>
        </w:tc>
        <w:tc>
          <w:tcPr>
            <w:tcW w:w="2477" w:type="pct"/>
          </w:tcPr>
          <w:p w14:paraId="091A2D82" w14:textId="77777777" w:rsidR="000D07EA" w:rsidRDefault="00BE7C89">
            <w:pPr>
              <w:pStyle w:val="BodyText"/>
              <w:spacing w:before="100" w:after="100"/>
            </w:pPr>
            <w:r>
              <w:t>No</w:t>
            </w:r>
          </w:p>
        </w:tc>
      </w:tr>
      <w:tr w:rsidR="000D07EA" w14:paraId="6CE93928" w14:textId="77777777">
        <w:tc>
          <w:tcPr>
            <w:tcW w:w="2523" w:type="pct"/>
          </w:tcPr>
          <w:p w14:paraId="462E3030" w14:textId="77777777" w:rsidR="000D07EA" w:rsidRDefault="00BE7C89">
            <w:pPr>
              <w:pStyle w:val="BodyText"/>
              <w:spacing w:before="100" w:after="100"/>
            </w:pPr>
            <w:r>
              <w:t>Insurance</w:t>
            </w:r>
          </w:p>
        </w:tc>
        <w:tc>
          <w:tcPr>
            <w:tcW w:w="2477" w:type="pct"/>
          </w:tcPr>
          <w:p w14:paraId="74FB6F49" w14:textId="77777777" w:rsidR="000D07EA" w:rsidRDefault="00BE7C89">
            <w:pPr>
              <w:pStyle w:val="BodyText"/>
              <w:spacing w:before="100" w:after="100"/>
            </w:pPr>
            <w:r>
              <w:t>No</w:t>
            </w:r>
          </w:p>
        </w:tc>
      </w:tr>
      <w:tr w:rsidR="000D07EA" w14:paraId="3CA69D47" w14:textId="77777777">
        <w:tc>
          <w:tcPr>
            <w:tcW w:w="2523" w:type="pct"/>
          </w:tcPr>
          <w:p w14:paraId="4A429443" w14:textId="77777777" w:rsidR="000D07EA" w:rsidRDefault="00BE7C89">
            <w:pPr>
              <w:pStyle w:val="BodyText"/>
              <w:spacing w:before="100" w:after="100"/>
            </w:pPr>
            <w:r>
              <w:t>Surepage usage and access</w:t>
            </w:r>
          </w:p>
        </w:tc>
        <w:tc>
          <w:tcPr>
            <w:tcW w:w="2477" w:type="pct"/>
          </w:tcPr>
          <w:p w14:paraId="773EBB5C" w14:textId="77777777" w:rsidR="000D07EA" w:rsidRDefault="00BE7C89">
            <w:pPr>
              <w:pStyle w:val="BodyText"/>
              <w:spacing w:before="100" w:after="100"/>
            </w:pPr>
            <w:r>
              <w:t>No</w:t>
            </w:r>
          </w:p>
        </w:tc>
      </w:tr>
      <w:tr w:rsidR="000D07EA" w14:paraId="1A4A5080" w14:textId="77777777">
        <w:tc>
          <w:tcPr>
            <w:tcW w:w="2523" w:type="pct"/>
          </w:tcPr>
          <w:p w14:paraId="5EEC7326" w14:textId="77777777" w:rsidR="000D07EA" w:rsidRDefault="00BE7C89">
            <w:pPr>
              <w:pStyle w:val="BodyText"/>
              <w:spacing w:before="100" w:after="100"/>
            </w:pPr>
            <w:r>
              <w:t>Handset Payments</w:t>
            </w:r>
          </w:p>
        </w:tc>
        <w:tc>
          <w:tcPr>
            <w:tcW w:w="2477" w:type="pct"/>
          </w:tcPr>
          <w:p w14:paraId="300A6826" w14:textId="77777777" w:rsidR="000D07EA" w:rsidRDefault="00BE7C89">
            <w:pPr>
              <w:pStyle w:val="BodyText"/>
              <w:spacing w:before="100" w:after="100"/>
            </w:pPr>
            <w:r>
              <w:t>No</w:t>
            </w:r>
          </w:p>
        </w:tc>
      </w:tr>
      <w:tr w:rsidR="000D07EA" w14:paraId="0D739D4F" w14:textId="77777777">
        <w:tc>
          <w:tcPr>
            <w:tcW w:w="2523" w:type="pct"/>
          </w:tcPr>
          <w:p w14:paraId="2FFEF80C" w14:textId="77777777" w:rsidR="000D07EA" w:rsidRDefault="00BE7C89">
            <w:pPr>
              <w:pStyle w:val="BodyText"/>
              <w:spacing w:before="100" w:after="100"/>
            </w:pPr>
            <w:r>
              <w:t>Calls to Satellite</w:t>
            </w:r>
          </w:p>
        </w:tc>
        <w:tc>
          <w:tcPr>
            <w:tcW w:w="2477" w:type="pct"/>
          </w:tcPr>
          <w:p w14:paraId="637EAB04" w14:textId="77777777" w:rsidR="000D07EA" w:rsidRDefault="00BE7C89">
            <w:pPr>
              <w:pStyle w:val="BodyText"/>
              <w:spacing w:before="100" w:after="100"/>
            </w:pPr>
            <w:r>
              <w:t>No</w:t>
            </w:r>
          </w:p>
        </w:tc>
      </w:tr>
      <w:tr w:rsidR="000D07EA" w14:paraId="605CBCDF" w14:textId="77777777">
        <w:tc>
          <w:tcPr>
            <w:tcW w:w="2523" w:type="pct"/>
          </w:tcPr>
          <w:p w14:paraId="2766A5E9" w14:textId="77777777" w:rsidR="000D07EA" w:rsidRDefault="00BE7C89">
            <w:pPr>
              <w:pStyle w:val="BodyText"/>
              <w:spacing w:before="100" w:after="100"/>
            </w:pPr>
            <w:r>
              <w:t>VoIP services</w:t>
            </w:r>
          </w:p>
        </w:tc>
        <w:tc>
          <w:tcPr>
            <w:tcW w:w="2477" w:type="pct"/>
          </w:tcPr>
          <w:p w14:paraId="27F796B1" w14:textId="77777777" w:rsidR="000D07EA" w:rsidRDefault="00BE7C89">
            <w:pPr>
              <w:pStyle w:val="BodyText"/>
              <w:spacing w:before="100" w:after="100"/>
            </w:pPr>
            <w:r>
              <w:t>No</w:t>
            </w:r>
          </w:p>
        </w:tc>
      </w:tr>
    </w:tbl>
    <w:p w14:paraId="60C6962B" w14:textId="77777777" w:rsidR="000D07EA" w:rsidRDefault="000D07EA">
      <w:pPr>
        <w:pStyle w:val="BodyText"/>
        <w:rPr>
          <w:b/>
        </w:rPr>
      </w:pPr>
    </w:p>
    <w:p w14:paraId="3D7BE3AF" w14:textId="77777777" w:rsidR="000D07EA" w:rsidRDefault="00BE7C89">
      <w:pPr>
        <w:pStyle w:val="BodyText"/>
        <w:keepNext/>
        <w:ind w:left="720"/>
        <w:rPr>
          <w:b/>
        </w:rPr>
      </w:pPr>
      <w:r>
        <w:rPr>
          <w:b/>
        </w:rPr>
        <w:t xml:space="preserve">Table 1B - Business Select </w:t>
      </w:r>
      <w:r>
        <w:rPr>
          <w:b/>
          <w:i/>
        </w:rPr>
        <w:t>pricing plans</w:t>
      </w:r>
    </w:p>
    <w:tbl>
      <w:tblPr>
        <w:tblW w:w="4645" w:type="pct"/>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72"/>
        <w:gridCol w:w="1119"/>
        <w:gridCol w:w="1119"/>
        <w:gridCol w:w="1119"/>
        <w:gridCol w:w="1119"/>
        <w:gridCol w:w="1117"/>
      </w:tblGrid>
      <w:tr w:rsidR="000D07EA" w14:paraId="58B1892C" w14:textId="77777777">
        <w:trPr>
          <w:tblHeader/>
        </w:trPr>
        <w:tc>
          <w:tcPr>
            <w:tcW w:w="2046" w:type="pct"/>
            <w:shd w:val="clear" w:color="auto" w:fill="auto"/>
            <w:vAlign w:val="center"/>
          </w:tcPr>
          <w:p w14:paraId="54DA9846" w14:textId="77777777" w:rsidR="000D07EA" w:rsidRDefault="00BE7C89">
            <w:pPr>
              <w:pStyle w:val="BodyText"/>
              <w:keepNext/>
              <w:spacing w:before="100" w:after="100"/>
              <w:rPr>
                <w:b/>
                <w:i/>
              </w:rPr>
            </w:pPr>
            <w:r>
              <w:rPr>
                <w:b/>
                <w:i/>
              </w:rPr>
              <w:t xml:space="preserve">Pricing plan </w:t>
            </w:r>
          </w:p>
        </w:tc>
        <w:tc>
          <w:tcPr>
            <w:tcW w:w="591" w:type="pct"/>
            <w:shd w:val="clear" w:color="auto" w:fill="auto"/>
            <w:vAlign w:val="center"/>
          </w:tcPr>
          <w:p w14:paraId="61109E41" w14:textId="77777777" w:rsidR="000D07EA" w:rsidRDefault="00BE7C89">
            <w:pPr>
              <w:pStyle w:val="BodyText"/>
              <w:keepNext/>
              <w:spacing w:before="100" w:after="100"/>
              <w:jc w:val="center"/>
              <w:rPr>
                <w:b/>
              </w:rPr>
            </w:pPr>
            <w:r>
              <w:rPr>
                <w:b/>
              </w:rPr>
              <w:t>20</w:t>
            </w:r>
          </w:p>
        </w:tc>
        <w:tc>
          <w:tcPr>
            <w:tcW w:w="591" w:type="pct"/>
            <w:shd w:val="clear" w:color="auto" w:fill="auto"/>
            <w:vAlign w:val="center"/>
          </w:tcPr>
          <w:p w14:paraId="559401DF" w14:textId="77777777" w:rsidR="000D07EA" w:rsidRDefault="00BE7C89">
            <w:pPr>
              <w:pStyle w:val="BodyText"/>
              <w:keepNext/>
              <w:spacing w:before="100" w:after="100"/>
              <w:jc w:val="center"/>
              <w:rPr>
                <w:b/>
              </w:rPr>
            </w:pPr>
            <w:r>
              <w:rPr>
                <w:b/>
              </w:rPr>
              <w:t>30</w:t>
            </w:r>
          </w:p>
        </w:tc>
        <w:tc>
          <w:tcPr>
            <w:tcW w:w="591" w:type="pct"/>
            <w:shd w:val="clear" w:color="auto" w:fill="auto"/>
            <w:vAlign w:val="center"/>
          </w:tcPr>
          <w:p w14:paraId="2A18B52F" w14:textId="77777777" w:rsidR="000D07EA" w:rsidRDefault="00BE7C89">
            <w:pPr>
              <w:pStyle w:val="BodyText"/>
              <w:keepNext/>
              <w:spacing w:before="100" w:after="100"/>
              <w:jc w:val="center"/>
              <w:rPr>
                <w:b/>
              </w:rPr>
            </w:pPr>
            <w:r>
              <w:rPr>
                <w:b/>
              </w:rPr>
              <w:t>50</w:t>
            </w:r>
          </w:p>
        </w:tc>
        <w:tc>
          <w:tcPr>
            <w:tcW w:w="591" w:type="pct"/>
            <w:shd w:val="clear" w:color="auto" w:fill="auto"/>
            <w:vAlign w:val="center"/>
          </w:tcPr>
          <w:p w14:paraId="10EB9881" w14:textId="77777777" w:rsidR="000D07EA" w:rsidRDefault="00BE7C89">
            <w:pPr>
              <w:pStyle w:val="BodyText"/>
              <w:keepNext/>
              <w:spacing w:before="100" w:after="100"/>
              <w:jc w:val="center"/>
              <w:rPr>
                <w:b/>
              </w:rPr>
            </w:pPr>
            <w:r>
              <w:rPr>
                <w:b/>
              </w:rPr>
              <w:t>70</w:t>
            </w:r>
          </w:p>
        </w:tc>
        <w:tc>
          <w:tcPr>
            <w:tcW w:w="591" w:type="pct"/>
            <w:shd w:val="clear" w:color="auto" w:fill="auto"/>
            <w:vAlign w:val="center"/>
          </w:tcPr>
          <w:p w14:paraId="39464AD4" w14:textId="77777777" w:rsidR="000D07EA" w:rsidRDefault="00BE7C89">
            <w:pPr>
              <w:pStyle w:val="BodyText"/>
              <w:keepNext/>
              <w:spacing w:before="100" w:after="100"/>
              <w:jc w:val="center"/>
              <w:rPr>
                <w:b/>
              </w:rPr>
            </w:pPr>
            <w:r>
              <w:rPr>
                <w:b/>
              </w:rPr>
              <w:t>100</w:t>
            </w:r>
          </w:p>
        </w:tc>
      </w:tr>
      <w:tr w:rsidR="000D07EA" w14:paraId="738F4ED5" w14:textId="77777777">
        <w:tc>
          <w:tcPr>
            <w:tcW w:w="2046" w:type="pct"/>
            <w:shd w:val="clear" w:color="auto" w:fill="auto"/>
          </w:tcPr>
          <w:p w14:paraId="2DE834E0" w14:textId="77777777" w:rsidR="000D07EA" w:rsidRDefault="00BE7C89">
            <w:pPr>
              <w:pStyle w:val="BodyText"/>
              <w:spacing w:before="100" w:after="100"/>
              <w:rPr>
                <w:b/>
              </w:rPr>
            </w:pPr>
            <w:r>
              <w:rPr>
                <w:b/>
              </w:rPr>
              <w:t>Minimum monthly spend (per service)</w:t>
            </w:r>
          </w:p>
        </w:tc>
        <w:tc>
          <w:tcPr>
            <w:tcW w:w="591" w:type="pct"/>
            <w:shd w:val="clear" w:color="auto" w:fill="auto"/>
            <w:vAlign w:val="center"/>
          </w:tcPr>
          <w:p w14:paraId="404151B0" w14:textId="77777777" w:rsidR="000D07EA" w:rsidRDefault="00BE7C89">
            <w:pPr>
              <w:pStyle w:val="BodyText"/>
              <w:spacing w:before="100" w:after="100"/>
              <w:jc w:val="center"/>
            </w:pPr>
            <w:r>
              <w:t>$20</w:t>
            </w:r>
          </w:p>
        </w:tc>
        <w:tc>
          <w:tcPr>
            <w:tcW w:w="591" w:type="pct"/>
            <w:shd w:val="clear" w:color="auto" w:fill="auto"/>
            <w:vAlign w:val="center"/>
          </w:tcPr>
          <w:p w14:paraId="24E79E63" w14:textId="77777777" w:rsidR="000D07EA" w:rsidRDefault="00BE7C89">
            <w:pPr>
              <w:pStyle w:val="BodyText"/>
              <w:spacing w:before="100" w:after="100"/>
              <w:jc w:val="center"/>
            </w:pPr>
            <w:r>
              <w:t>$30</w:t>
            </w:r>
          </w:p>
        </w:tc>
        <w:tc>
          <w:tcPr>
            <w:tcW w:w="591" w:type="pct"/>
            <w:shd w:val="clear" w:color="auto" w:fill="auto"/>
            <w:vAlign w:val="center"/>
          </w:tcPr>
          <w:p w14:paraId="64B40073" w14:textId="77777777" w:rsidR="000D07EA" w:rsidRDefault="00BE7C89">
            <w:pPr>
              <w:pStyle w:val="BodyText"/>
              <w:spacing w:before="100" w:after="100"/>
              <w:jc w:val="center"/>
            </w:pPr>
            <w:r>
              <w:t>$50</w:t>
            </w:r>
          </w:p>
        </w:tc>
        <w:tc>
          <w:tcPr>
            <w:tcW w:w="591" w:type="pct"/>
            <w:shd w:val="clear" w:color="auto" w:fill="auto"/>
            <w:vAlign w:val="center"/>
          </w:tcPr>
          <w:p w14:paraId="6882165D" w14:textId="77777777" w:rsidR="000D07EA" w:rsidRDefault="00BE7C89">
            <w:pPr>
              <w:pStyle w:val="BodyText"/>
              <w:spacing w:before="100" w:after="100"/>
              <w:jc w:val="center"/>
            </w:pPr>
            <w:r>
              <w:t>$70</w:t>
            </w:r>
          </w:p>
        </w:tc>
        <w:tc>
          <w:tcPr>
            <w:tcW w:w="591" w:type="pct"/>
            <w:shd w:val="clear" w:color="auto" w:fill="auto"/>
            <w:vAlign w:val="center"/>
          </w:tcPr>
          <w:p w14:paraId="61A0DEC6" w14:textId="77777777" w:rsidR="000D07EA" w:rsidRDefault="00BE7C89">
            <w:pPr>
              <w:pStyle w:val="BodyText"/>
              <w:spacing w:before="100" w:after="100"/>
              <w:jc w:val="center"/>
            </w:pPr>
            <w:r>
              <w:t>$100</w:t>
            </w:r>
          </w:p>
        </w:tc>
      </w:tr>
      <w:tr w:rsidR="000D07EA" w14:paraId="3C253564" w14:textId="77777777">
        <w:tc>
          <w:tcPr>
            <w:tcW w:w="2046" w:type="pct"/>
            <w:shd w:val="clear" w:color="auto" w:fill="auto"/>
          </w:tcPr>
          <w:p w14:paraId="5BD039B6" w14:textId="77777777" w:rsidR="000D07EA" w:rsidRDefault="00BE7C89">
            <w:pPr>
              <w:pStyle w:val="BodyText"/>
              <w:spacing w:before="100" w:after="100"/>
              <w:rPr>
                <w:b/>
              </w:rPr>
            </w:pPr>
            <w:r>
              <w:rPr>
                <w:b/>
                <w:i/>
              </w:rPr>
              <w:t>Flagfall</w:t>
            </w:r>
            <w:r>
              <w:rPr>
                <w:b/>
              </w:rPr>
              <w:t xml:space="preserve"> per call</w:t>
            </w:r>
          </w:p>
        </w:tc>
        <w:tc>
          <w:tcPr>
            <w:tcW w:w="591" w:type="pct"/>
            <w:shd w:val="clear" w:color="auto" w:fill="auto"/>
            <w:vAlign w:val="center"/>
          </w:tcPr>
          <w:p w14:paraId="5E42F087" w14:textId="77777777" w:rsidR="000D07EA" w:rsidRDefault="00BE7C89">
            <w:pPr>
              <w:pStyle w:val="BodyText"/>
              <w:spacing w:before="100" w:after="100"/>
              <w:jc w:val="center"/>
            </w:pPr>
            <w:r>
              <w:t>11c</w:t>
            </w:r>
          </w:p>
        </w:tc>
        <w:tc>
          <w:tcPr>
            <w:tcW w:w="591" w:type="pct"/>
            <w:shd w:val="clear" w:color="auto" w:fill="auto"/>
            <w:vAlign w:val="center"/>
          </w:tcPr>
          <w:p w14:paraId="49125D15" w14:textId="77777777" w:rsidR="000D07EA" w:rsidRDefault="00BE7C89">
            <w:pPr>
              <w:pStyle w:val="BodyText"/>
              <w:spacing w:before="100" w:after="100"/>
              <w:jc w:val="center"/>
            </w:pPr>
            <w:r>
              <w:t>11c</w:t>
            </w:r>
          </w:p>
        </w:tc>
        <w:tc>
          <w:tcPr>
            <w:tcW w:w="591" w:type="pct"/>
            <w:shd w:val="clear" w:color="auto" w:fill="auto"/>
            <w:vAlign w:val="center"/>
          </w:tcPr>
          <w:p w14:paraId="6089DA00" w14:textId="77777777" w:rsidR="000D07EA" w:rsidRDefault="00BE7C89">
            <w:pPr>
              <w:pStyle w:val="BodyText"/>
              <w:spacing w:before="100" w:after="100"/>
              <w:jc w:val="center"/>
            </w:pPr>
            <w:r>
              <w:t>10c</w:t>
            </w:r>
          </w:p>
        </w:tc>
        <w:tc>
          <w:tcPr>
            <w:tcW w:w="591" w:type="pct"/>
            <w:shd w:val="clear" w:color="auto" w:fill="auto"/>
            <w:vAlign w:val="center"/>
          </w:tcPr>
          <w:p w14:paraId="237D1701" w14:textId="77777777" w:rsidR="000D07EA" w:rsidRDefault="00BE7C89">
            <w:pPr>
              <w:pStyle w:val="BodyText"/>
              <w:spacing w:before="100" w:after="100"/>
              <w:jc w:val="center"/>
            </w:pPr>
            <w:r>
              <w:t>10c</w:t>
            </w:r>
          </w:p>
        </w:tc>
        <w:tc>
          <w:tcPr>
            <w:tcW w:w="591" w:type="pct"/>
            <w:shd w:val="clear" w:color="auto" w:fill="auto"/>
            <w:vAlign w:val="center"/>
          </w:tcPr>
          <w:p w14:paraId="10E85583" w14:textId="77777777" w:rsidR="000D07EA" w:rsidRDefault="00BE7C89">
            <w:pPr>
              <w:pStyle w:val="BodyText"/>
              <w:spacing w:before="100" w:after="100"/>
              <w:jc w:val="center"/>
            </w:pPr>
            <w:r>
              <w:t>10c</w:t>
            </w:r>
          </w:p>
        </w:tc>
      </w:tr>
      <w:tr w:rsidR="000D07EA" w14:paraId="629FC77E" w14:textId="77777777">
        <w:tc>
          <w:tcPr>
            <w:tcW w:w="2046" w:type="pct"/>
            <w:shd w:val="clear" w:color="auto" w:fill="auto"/>
          </w:tcPr>
          <w:p w14:paraId="7A7E1D02" w14:textId="77777777" w:rsidR="000D07EA" w:rsidRDefault="00BE7C89">
            <w:pPr>
              <w:pStyle w:val="BodyText"/>
              <w:spacing w:before="100" w:after="100"/>
              <w:rPr>
                <w:b/>
              </w:rPr>
            </w:pPr>
            <w:r>
              <w:rPr>
                <w:b/>
              </w:rPr>
              <w:lastRenderedPageBreak/>
              <w:t>National Calls</w:t>
            </w:r>
            <w:r>
              <w:rPr>
                <w:b/>
                <w:vertAlign w:val="superscript"/>
              </w:rPr>
              <w:t xml:space="preserve"> </w:t>
            </w:r>
            <w:r>
              <w:rPr>
                <w:b/>
                <w:vertAlign w:val="superscript"/>
              </w:rPr>
              <w:sym w:font="Symbol" w:char="F0D9"/>
            </w:r>
          </w:p>
        </w:tc>
        <w:tc>
          <w:tcPr>
            <w:tcW w:w="591" w:type="pct"/>
            <w:shd w:val="clear" w:color="auto" w:fill="auto"/>
            <w:vAlign w:val="center"/>
          </w:tcPr>
          <w:p w14:paraId="532BD434" w14:textId="77777777" w:rsidR="000D07EA" w:rsidRDefault="00BE7C89">
            <w:pPr>
              <w:pStyle w:val="BodyText"/>
              <w:spacing w:before="100" w:after="100"/>
              <w:jc w:val="center"/>
            </w:pPr>
            <w:r>
              <w:t>25c</w:t>
            </w:r>
          </w:p>
        </w:tc>
        <w:tc>
          <w:tcPr>
            <w:tcW w:w="591" w:type="pct"/>
            <w:shd w:val="clear" w:color="auto" w:fill="auto"/>
            <w:vAlign w:val="center"/>
          </w:tcPr>
          <w:p w14:paraId="5378C01B" w14:textId="77777777" w:rsidR="000D07EA" w:rsidRDefault="00BE7C89">
            <w:pPr>
              <w:pStyle w:val="BodyText"/>
              <w:spacing w:before="100" w:after="100"/>
              <w:jc w:val="center"/>
            </w:pPr>
            <w:r>
              <w:t>21c</w:t>
            </w:r>
          </w:p>
        </w:tc>
        <w:tc>
          <w:tcPr>
            <w:tcW w:w="591" w:type="pct"/>
            <w:shd w:val="clear" w:color="auto" w:fill="auto"/>
            <w:vAlign w:val="center"/>
          </w:tcPr>
          <w:p w14:paraId="5A6EB741" w14:textId="77777777" w:rsidR="000D07EA" w:rsidRDefault="00BE7C89">
            <w:pPr>
              <w:pStyle w:val="BodyText"/>
              <w:spacing w:before="100" w:after="100"/>
              <w:jc w:val="center"/>
            </w:pPr>
            <w:r>
              <w:t>16c</w:t>
            </w:r>
          </w:p>
        </w:tc>
        <w:tc>
          <w:tcPr>
            <w:tcW w:w="591" w:type="pct"/>
            <w:shd w:val="clear" w:color="auto" w:fill="auto"/>
            <w:vAlign w:val="center"/>
          </w:tcPr>
          <w:p w14:paraId="64792495" w14:textId="77777777" w:rsidR="000D07EA" w:rsidRDefault="00BE7C89">
            <w:pPr>
              <w:pStyle w:val="BodyText"/>
              <w:spacing w:before="100" w:after="100"/>
              <w:jc w:val="center"/>
            </w:pPr>
            <w:r>
              <w:t>15c</w:t>
            </w:r>
          </w:p>
        </w:tc>
        <w:tc>
          <w:tcPr>
            <w:tcW w:w="591" w:type="pct"/>
            <w:shd w:val="clear" w:color="auto" w:fill="auto"/>
            <w:vAlign w:val="center"/>
          </w:tcPr>
          <w:p w14:paraId="167D5E85" w14:textId="77777777" w:rsidR="000D07EA" w:rsidRDefault="00BE7C89">
            <w:pPr>
              <w:pStyle w:val="BodyText"/>
              <w:spacing w:before="100" w:after="100"/>
              <w:jc w:val="center"/>
            </w:pPr>
            <w:r>
              <w:t>14c</w:t>
            </w:r>
          </w:p>
        </w:tc>
      </w:tr>
      <w:tr w:rsidR="000D07EA" w14:paraId="3A8279C1" w14:textId="77777777">
        <w:trPr>
          <w:cantSplit/>
        </w:trPr>
        <w:tc>
          <w:tcPr>
            <w:tcW w:w="2046" w:type="pct"/>
            <w:shd w:val="clear" w:color="auto" w:fill="auto"/>
          </w:tcPr>
          <w:p w14:paraId="26B508F0" w14:textId="77777777" w:rsidR="000D07EA" w:rsidRDefault="00BE7C89">
            <w:pPr>
              <w:pStyle w:val="BodyText"/>
              <w:spacing w:before="100" w:after="100"/>
              <w:rPr>
                <w:b/>
              </w:rPr>
            </w:pPr>
            <w:r>
              <w:rPr>
                <w:b/>
              </w:rPr>
              <w:t>SmartFleet</w:t>
            </w:r>
            <w:r>
              <w:rPr>
                <w:b/>
                <w:vertAlign w:val="superscript"/>
              </w:rPr>
              <w:sym w:font="Symbol" w:char="F02B"/>
            </w:r>
          </w:p>
        </w:tc>
        <w:tc>
          <w:tcPr>
            <w:tcW w:w="2954" w:type="pct"/>
            <w:gridSpan w:val="5"/>
            <w:shd w:val="clear" w:color="auto" w:fill="auto"/>
            <w:vAlign w:val="center"/>
          </w:tcPr>
          <w:p w14:paraId="0A24A2B4" w14:textId="77777777" w:rsidR="000D07EA" w:rsidRDefault="00BE7C89">
            <w:pPr>
              <w:pStyle w:val="BodyText"/>
              <w:spacing w:before="100" w:after="100"/>
              <w:jc w:val="center"/>
            </w:pPr>
            <w:r>
              <w:t>Free calls, SMS and MMS 24 x 7 to other mobiles on your business account</w:t>
            </w:r>
          </w:p>
        </w:tc>
      </w:tr>
      <w:tr w:rsidR="000D07EA" w14:paraId="43E67A74" w14:textId="77777777">
        <w:tc>
          <w:tcPr>
            <w:tcW w:w="2046" w:type="pct"/>
            <w:shd w:val="clear" w:color="auto" w:fill="auto"/>
          </w:tcPr>
          <w:p w14:paraId="3A85BAF4" w14:textId="77777777" w:rsidR="000D07EA" w:rsidRDefault="00BE7C89">
            <w:pPr>
              <w:pStyle w:val="BodyText"/>
              <w:spacing w:before="100" w:after="100"/>
              <w:rPr>
                <w:b/>
                <w:i/>
              </w:rPr>
            </w:pPr>
            <w:r>
              <w:rPr>
                <w:b/>
                <w:i/>
              </w:rPr>
              <w:t>Minimum term</w:t>
            </w:r>
          </w:p>
        </w:tc>
        <w:tc>
          <w:tcPr>
            <w:tcW w:w="2954" w:type="pct"/>
            <w:gridSpan w:val="5"/>
            <w:shd w:val="clear" w:color="auto" w:fill="auto"/>
            <w:vAlign w:val="center"/>
          </w:tcPr>
          <w:p w14:paraId="3761F450" w14:textId="77777777" w:rsidR="000D07EA" w:rsidRDefault="00BE7C89">
            <w:pPr>
              <w:pStyle w:val="BodyText"/>
              <w:spacing w:before="100" w:after="100"/>
              <w:jc w:val="center"/>
            </w:pPr>
            <w:r>
              <w:t>12 or 24 months</w:t>
            </w:r>
          </w:p>
        </w:tc>
      </w:tr>
    </w:tbl>
    <w:p w14:paraId="7BF4825D" w14:textId="77777777" w:rsidR="000D07EA" w:rsidRDefault="00BE7C89">
      <w:pPr>
        <w:pStyle w:val="BodyText"/>
        <w:spacing w:after="0"/>
        <w:ind w:left="720"/>
        <w:rPr>
          <w:sz w:val="16"/>
          <w:szCs w:val="16"/>
        </w:rPr>
      </w:pPr>
      <w:r>
        <w:rPr>
          <w:sz w:val="16"/>
          <w:szCs w:val="16"/>
        </w:rPr>
        <w:t>Note: All rates are per 30 seconds unless otherwise noted.</w:t>
      </w:r>
    </w:p>
    <w:p w14:paraId="6E3A1BE6" w14:textId="77777777" w:rsidR="000D07EA" w:rsidRDefault="00BE7C89">
      <w:pPr>
        <w:pStyle w:val="BodyText"/>
        <w:spacing w:after="0"/>
        <w:ind w:left="720"/>
        <w:rPr>
          <w:sz w:val="16"/>
          <w:szCs w:val="16"/>
        </w:rPr>
      </w:pPr>
      <w:r>
        <w:rPr>
          <w:sz w:val="16"/>
          <w:szCs w:val="16"/>
        </w:rPr>
        <w:t>^ Billed per second.</w:t>
      </w:r>
    </w:p>
    <w:p w14:paraId="464D38F8" w14:textId="77777777" w:rsidR="000D07EA" w:rsidRDefault="00BE7C89">
      <w:pPr>
        <w:pStyle w:val="BodyText"/>
        <w:ind w:left="720"/>
        <w:rPr>
          <w:sz w:val="16"/>
          <w:szCs w:val="16"/>
        </w:rPr>
      </w:pPr>
      <w:r>
        <w:rPr>
          <w:sz w:val="16"/>
          <w:szCs w:val="16"/>
        </w:rPr>
        <w:t xml:space="preserve">+ No </w:t>
      </w:r>
      <w:r>
        <w:rPr>
          <w:i/>
          <w:sz w:val="16"/>
          <w:szCs w:val="16"/>
        </w:rPr>
        <w:t>flagfall</w:t>
      </w:r>
      <w:r>
        <w:rPr>
          <w:sz w:val="16"/>
          <w:szCs w:val="16"/>
        </w:rPr>
        <w:t xml:space="preserve"> applies. </w:t>
      </w:r>
    </w:p>
    <w:p w14:paraId="1B8F6A06" w14:textId="77777777" w:rsidR="000D07EA" w:rsidRDefault="00BE7C89">
      <w:pPr>
        <w:pStyle w:val="BodyText"/>
        <w:ind w:left="720"/>
      </w:pPr>
      <w:r>
        <w:t xml:space="preserve">If a different minimum monthly </w:t>
      </w:r>
      <w:r>
        <w:rPr>
          <w:i/>
        </w:rPr>
        <w:t>spend</w:t>
      </w:r>
      <w:r>
        <w:t xml:space="preserve"> is agreed with </w:t>
      </w:r>
      <w:r>
        <w:rPr>
          <w:i/>
        </w:rPr>
        <w:t>you</w:t>
      </w:r>
      <w:r>
        <w:t xml:space="preserve">, the monthly charge will be adjusted accordingly. The standard call exclusions (see </w:t>
      </w:r>
      <w:hyperlink r:id="rId184" w:history="1">
        <w:r>
          <w:rPr>
            <w:rStyle w:val="Hyperlink"/>
            <w:sz w:val="16"/>
            <w:szCs w:val="16"/>
          </w:rPr>
          <w:t>section 1</w:t>
        </w:r>
      </w:hyperlink>
      <w:r>
        <w:t xml:space="preserve"> of this </w:t>
      </w:r>
      <w:r>
        <w:rPr>
          <w:i/>
        </w:rPr>
        <w:t>standard pricing table</w:t>
      </w:r>
      <w:r>
        <w:t>) apply to the monthly included calls.</w:t>
      </w:r>
    </w:p>
    <w:p w14:paraId="67E3192E" w14:textId="77777777" w:rsidR="000D07EA" w:rsidRDefault="00BE7C89">
      <w:pPr>
        <w:pStyle w:val="Heading6"/>
        <w:ind w:left="0" w:firstLine="0"/>
      </w:pPr>
      <w:r>
        <w:t xml:space="preserve">What happens if the </w:t>
      </w:r>
      <w:r>
        <w:rPr>
          <w:i/>
        </w:rPr>
        <w:t>service</w:t>
      </w:r>
      <w:r>
        <w:t xml:space="preserve"> is </w:t>
      </w:r>
      <w:r>
        <w:rPr>
          <w:i/>
        </w:rPr>
        <w:t>cancelled</w:t>
      </w:r>
      <w:r>
        <w:t xml:space="preserve"> early?</w:t>
      </w:r>
    </w:p>
    <w:p w14:paraId="0E49F1F9" w14:textId="77777777" w:rsidR="000D07EA" w:rsidRDefault="00BE7C89">
      <w:pPr>
        <w:pStyle w:val="Heading7"/>
      </w:pPr>
      <w:r>
        <w:t xml:space="preserve">If </w:t>
      </w:r>
      <w:r>
        <w:rPr>
          <w:i/>
        </w:rPr>
        <w:t>you</w:t>
      </w:r>
      <w:r>
        <w:t xml:space="preserve"> cease to be an approved company </w:t>
      </w:r>
      <w:r>
        <w:rPr>
          <w:i/>
        </w:rPr>
        <w:t>you</w:t>
      </w:r>
      <w:r>
        <w:t xml:space="preserve"> may be transferred to another </w:t>
      </w:r>
      <w:r>
        <w:rPr>
          <w:i/>
        </w:rPr>
        <w:t>pricing plan</w:t>
      </w:r>
      <w:r>
        <w:t xml:space="preserve"> at </w:t>
      </w:r>
      <w:r>
        <w:rPr>
          <w:i/>
        </w:rPr>
        <w:t>our</w:t>
      </w:r>
      <w:r>
        <w:t xml:space="preserve"> discretion, or may be allowed to remain on this </w:t>
      </w:r>
      <w:r>
        <w:rPr>
          <w:i/>
        </w:rPr>
        <w:t>pricing plan</w:t>
      </w:r>
      <w:r>
        <w:t xml:space="preserve"> with the additional discounts and other benefits removed.</w:t>
      </w:r>
    </w:p>
    <w:p w14:paraId="45D4A563" w14:textId="77777777" w:rsidR="000D07EA" w:rsidRDefault="00BE7C89">
      <w:pPr>
        <w:pStyle w:val="Heading7"/>
      </w:pPr>
      <w:r>
        <w:t xml:space="preserve">If </w:t>
      </w:r>
      <w:r>
        <w:rPr>
          <w:i/>
        </w:rPr>
        <w:t>the service</w:t>
      </w:r>
      <w:r>
        <w:t xml:space="preserve"> </w:t>
      </w:r>
      <w:r>
        <w:rPr>
          <w:i/>
        </w:rPr>
        <w:t>is cancelled</w:t>
      </w:r>
      <w:r>
        <w:t xml:space="preserve"> before the expiry of the </w:t>
      </w:r>
      <w:r>
        <w:rPr>
          <w:i/>
        </w:rPr>
        <w:t>minimum term</w:t>
      </w:r>
      <w:r>
        <w:t xml:space="preserve">, </w:t>
      </w:r>
      <w:r>
        <w:rPr>
          <w:i/>
        </w:rPr>
        <w:t>you</w:t>
      </w:r>
      <w:r>
        <w:t xml:space="preserve"> will be required to pay </w:t>
      </w:r>
      <w:r>
        <w:rPr>
          <w:i/>
        </w:rPr>
        <w:t>us</w:t>
      </w:r>
      <w:r>
        <w:t>:</w:t>
      </w:r>
    </w:p>
    <w:p w14:paraId="09D9AF32" w14:textId="77777777" w:rsidR="000D07EA" w:rsidRDefault="00BE7C89">
      <w:pPr>
        <w:pStyle w:val="Heading8"/>
      </w:pPr>
      <w:r>
        <w:t xml:space="preserve">any usage charges incurred up to, and including, </w:t>
      </w:r>
      <w:r>
        <w:rPr>
          <w:i/>
        </w:rPr>
        <w:t>the cancellation date</w:t>
      </w:r>
      <w:r>
        <w:t>; plus</w:t>
      </w:r>
    </w:p>
    <w:p w14:paraId="7F22B7AC" w14:textId="77777777" w:rsidR="000D07EA" w:rsidRDefault="00BE7C89">
      <w:pPr>
        <w:pStyle w:val="Heading8"/>
      </w:pPr>
      <w:r>
        <w:t xml:space="preserve">the </w:t>
      </w:r>
      <w:r>
        <w:rPr>
          <w:i/>
        </w:rPr>
        <w:t>cancellation fee</w:t>
      </w:r>
      <w:r>
        <w:t xml:space="preserve"> set out in the table below (unless under clause 2A of the </w:t>
      </w:r>
      <w:hyperlink r:id="rId185" w:history="1">
        <w:r>
          <w:rPr>
            <w:rStyle w:val="Hyperlink"/>
            <w:i/>
          </w:rPr>
          <w:t>SMB terms</w:t>
        </w:r>
      </w:hyperlink>
      <w:r>
        <w:t xml:space="preserve">, </w:t>
      </w:r>
      <w:r>
        <w:rPr>
          <w:i/>
        </w:rPr>
        <w:t>you</w:t>
      </w:r>
      <w:r>
        <w:t xml:space="preserve"> are entitled to </w:t>
      </w:r>
      <w:r>
        <w:rPr>
          <w:i/>
        </w:rPr>
        <w:t>cancel the service</w:t>
      </w:r>
      <w:r>
        <w:t xml:space="preserve"> without incurring a </w:t>
      </w:r>
      <w:r>
        <w:rPr>
          <w:i/>
        </w:rPr>
        <w:t>cancellation fee</w:t>
      </w:r>
      <w:r>
        <w:t>); plus</w:t>
      </w:r>
    </w:p>
    <w:p w14:paraId="71ED4F9F" w14:textId="77777777" w:rsidR="000D07EA" w:rsidRDefault="00BE7C89">
      <w:pPr>
        <w:pStyle w:val="Heading8"/>
      </w:pPr>
      <w:r>
        <w:t xml:space="preserve">the sum of unpaid </w:t>
      </w:r>
      <w:r>
        <w:rPr>
          <w:i/>
        </w:rPr>
        <w:t>equipment charges</w:t>
      </w:r>
      <w:r>
        <w:t xml:space="preserve"> owing on </w:t>
      </w:r>
      <w:r>
        <w:rPr>
          <w:i/>
        </w:rPr>
        <w:t>your mobile phone</w:t>
      </w:r>
      <w:r>
        <w:t xml:space="preserve"> under the </w:t>
      </w:r>
      <w:r>
        <w:rPr>
          <w:i/>
        </w:rPr>
        <w:t>mobile equipment payment plan</w:t>
      </w:r>
      <w:r>
        <w:t xml:space="preserve"> (if any).</w:t>
      </w:r>
    </w:p>
    <w:p w14:paraId="381476A1" w14:textId="77777777" w:rsidR="000D07EA" w:rsidRDefault="00BE7C89">
      <w:pPr>
        <w:pStyle w:val="Heading7"/>
      </w:pPr>
      <w:r>
        <w:t xml:space="preserve">Some special promotions may vary the minimum call spend requirement or discounts available, and variation will not be taken into account when determining the </w:t>
      </w:r>
      <w:r>
        <w:rPr>
          <w:i/>
        </w:rPr>
        <w:t>cancellation fee</w:t>
      </w:r>
      <w:r>
        <w:t>.</w:t>
      </w:r>
    </w:p>
    <w:p w14:paraId="0417DFAD" w14:textId="77777777" w:rsidR="000D07EA" w:rsidRDefault="00BE7C89">
      <w:pPr>
        <w:pStyle w:val="Heading7"/>
      </w:pPr>
      <w:r>
        <w:t xml:space="preserve">The </w:t>
      </w:r>
      <w:r>
        <w:rPr>
          <w:i/>
        </w:rPr>
        <w:t>cancellation fee</w:t>
      </w:r>
      <w:r>
        <w:t xml:space="preserve"> payable under paragraph </w:t>
      </w:r>
      <w:r w:rsidR="00390D08" w:rsidRPr="00272628">
        <w:t>84</w:t>
      </w:r>
      <w:r w:rsidRPr="00272628">
        <w:t>.5(b) (</w:t>
      </w:r>
      <w:r>
        <w:t>if any) is calculated as follows:</w:t>
      </w:r>
    </w:p>
    <w:p w14:paraId="22EC9384" w14:textId="77777777" w:rsidR="000D07EA" w:rsidRDefault="00BE7C89">
      <w:pPr>
        <w:pStyle w:val="Heading8"/>
      </w:pPr>
      <w:r>
        <w:t xml:space="preserve">If </w:t>
      </w:r>
      <w:r>
        <w:rPr>
          <w:i/>
        </w:rPr>
        <w:t>you</w:t>
      </w:r>
      <w:r>
        <w:t xml:space="preserve"> are on a 24 month </w:t>
      </w:r>
      <w:r>
        <w:rPr>
          <w:i/>
        </w:rPr>
        <w:t>pricing plan</w:t>
      </w:r>
      <w:r>
        <w:t xml:space="preserve">, the </w:t>
      </w:r>
      <w:r>
        <w:rPr>
          <w:i/>
        </w:rPr>
        <w:t>cancellation fee</w:t>
      </w:r>
      <w:r>
        <w:t xml:space="preserve"> between months 0-12 is:</w:t>
      </w:r>
    </w:p>
    <w:tbl>
      <w:tblPr>
        <w:tblW w:w="3954" w:type="pct"/>
        <w:tblInd w:w="2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81"/>
        <w:gridCol w:w="1594"/>
        <w:gridCol w:w="1594"/>
        <w:gridCol w:w="1594"/>
        <w:gridCol w:w="1594"/>
      </w:tblGrid>
      <w:tr w:rsidR="000D07EA" w14:paraId="65A70AC2" w14:textId="77777777">
        <w:tc>
          <w:tcPr>
            <w:tcW w:w="1044" w:type="pct"/>
          </w:tcPr>
          <w:p w14:paraId="68E3F41C" w14:textId="77777777" w:rsidR="000D07EA" w:rsidRDefault="00BE7C89">
            <w:pPr>
              <w:pStyle w:val="BodyText"/>
              <w:spacing w:before="100" w:after="100"/>
              <w:jc w:val="center"/>
              <w:rPr>
                <w:b/>
              </w:rPr>
            </w:pPr>
            <w:r>
              <w:rPr>
                <w:b/>
              </w:rPr>
              <w:t>Business Select</w:t>
            </w:r>
            <w:r>
              <w:rPr>
                <w:b/>
              </w:rPr>
              <w:br/>
              <w:t>20 Plan</w:t>
            </w:r>
          </w:p>
        </w:tc>
        <w:tc>
          <w:tcPr>
            <w:tcW w:w="989" w:type="pct"/>
          </w:tcPr>
          <w:p w14:paraId="0C18C91E" w14:textId="77777777" w:rsidR="000D07EA" w:rsidRDefault="00BE7C89">
            <w:pPr>
              <w:pStyle w:val="BodyText"/>
              <w:spacing w:before="100" w:after="100"/>
              <w:jc w:val="center"/>
              <w:rPr>
                <w:b/>
              </w:rPr>
            </w:pPr>
            <w:r>
              <w:rPr>
                <w:b/>
              </w:rPr>
              <w:t>Business Select</w:t>
            </w:r>
            <w:r>
              <w:rPr>
                <w:b/>
              </w:rPr>
              <w:br/>
              <w:t>30 Plan</w:t>
            </w:r>
          </w:p>
        </w:tc>
        <w:tc>
          <w:tcPr>
            <w:tcW w:w="989" w:type="pct"/>
          </w:tcPr>
          <w:p w14:paraId="2DE82970" w14:textId="77777777" w:rsidR="000D07EA" w:rsidRDefault="00BE7C89">
            <w:pPr>
              <w:pStyle w:val="BodyText"/>
              <w:spacing w:before="100" w:after="100"/>
              <w:jc w:val="center"/>
              <w:rPr>
                <w:b/>
              </w:rPr>
            </w:pPr>
            <w:r>
              <w:rPr>
                <w:b/>
              </w:rPr>
              <w:t>Business Select</w:t>
            </w:r>
            <w:r>
              <w:rPr>
                <w:b/>
              </w:rPr>
              <w:br/>
              <w:t>50 Plan</w:t>
            </w:r>
          </w:p>
        </w:tc>
        <w:tc>
          <w:tcPr>
            <w:tcW w:w="989" w:type="pct"/>
          </w:tcPr>
          <w:p w14:paraId="3E8A879A" w14:textId="77777777" w:rsidR="000D07EA" w:rsidRDefault="00BE7C89">
            <w:pPr>
              <w:pStyle w:val="BodyText"/>
              <w:spacing w:before="100" w:after="100"/>
              <w:jc w:val="center"/>
              <w:rPr>
                <w:b/>
              </w:rPr>
            </w:pPr>
            <w:r>
              <w:rPr>
                <w:b/>
              </w:rPr>
              <w:t>Business Select</w:t>
            </w:r>
            <w:r>
              <w:rPr>
                <w:b/>
              </w:rPr>
              <w:br/>
              <w:t>70 Plan</w:t>
            </w:r>
          </w:p>
        </w:tc>
        <w:tc>
          <w:tcPr>
            <w:tcW w:w="989" w:type="pct"/>
          </w:tcPr>
          <w:p w14:paraId="6380F795" w14:textId="77777777" w:rsidR="000D07EA" w:rsidRDefault="00BE7C89">
            <w:pPr>
              <w:pStyle w:val="BodyText"/>
              <w:spacing w:before="100" w:after="100"/>
              <w:jc w:val="center"/>
              <w:rPr>
                <w:b/>
              </w:rPr>
            </w:pPr>
            <w:r>
              <w:rPr>
                <w:b/>
              </w:rPr>
              <w:t>Business Select 100 Plan</w:t>
            </w:r>
          </w:p>
        </w:tc>
      </w:tr>
      <w:tr w:rsidR="000D07EA" w14:paraId="34CFCE20" w14:textId="77777777">
        <w:tc>
          <w:tcPr>
            <w:tcW w:w="1044" w:type="pct"/>
          </w:tcPr>
          <w:p w14:paraId="5454A970" w14:textId="77777777" w:rsidR="000D07EA" w:rsidRDefault="00BE7C89">
            <w:pPr>
              <w:pStyle w:val="BodyText"/>
              <w:spacing w:before="100" w:after="100"/>
              <w:jc w:val="center"/>
            </w:pPr>
            <w:r>
              <w:t>$278</w:t>
            </w:r>
          </w:p>
        </w:tc>
        <w:tc>
          <w:tcPr>
            <w:tcW w:w="989" w:type="pct"/>
          </w:tcPr>
          <w:p w14:paraId="4EF51C48" w14:textId="77777777" w:rsidR="000D07EA" w:rsidRDefault="00BE7C89">
            <w:pPr>
              <w:pStyle w:val="BodyText"/>
              <w:spacing w:before="100" w:after="100"/>
              <w:jc w:val="center"/>
            </w:pPr>
            <w:r>
              <w:t>$340</w:t>
            </w:r>
          </w:p>
        </w:tc>
        <w:tc>
          <w:tcPr>
            <w:tcW w:w="989" w:type="pct"/>
          </w:tcPr>
          <w:p w14:paraId="2C4AD3E5" w14:textId="77777777" w:rsidR="000D07EA" w:rsidRDefault="00BE7C89">
            <w:pPr>
              <w:pStyle w:val="BodyText"/>
              <w:spacing w:before="100" w:after="100"/>
              <w:jc w:val="center"/>
            </w:pPr>
            <w:r>
              <w:t>$557</w:t>
            </w:r>
          </w:p>
        </w:tc>
        <w:tc>
          <w:tcPr>
            <w:tcW w:w="989" w:type="pct"/>
          </w:tcPr>
          <w:p w14:paraId="4DAFB495" w14:textId="77777777" w:rsidR="000D07EA" w:rsidRDefault="00BE7C89">
            <w:pPr>
              <w:pStyle w:val="BodyText"/>
              <w:spacing w:before="100" w:after="100"/>
              <w:jc w:val="center"/>
            </w:pPr>
            <w:r>
              <w:t>$741</w:t>
            </w:r>
          </w:p>
        </w:tc>
        <w:tc>
          <w:tcPr>
            <w:tcW w:w="989" w:type="pct"/>
          </w:tcPr>
          <w:p w14:paraId="68AFA167" w14:textId="77777777" w:rsidR="000D07EA" w:rsidRDefault="00BE7C89">
            <w:pPr>
              <w:pStyle w:val="BodyText"/>
              <w:spacing w:before="100" w:after="100"/>
              <w:jc w:val="center"/>
            </w:pPr>
            <w:r>
              <w:t>$905</w:t>
            </w:r>
          </w:p>
        </w:tc>
      </w:tr>
    </w:tbl>
    <w:p w14:paraId="23237612" w14:textId="77777777" w:rsidR="000D07EA" w:rsidRDefault="000D07EA">
      <w:pPr>
        <w:pStyle w:val="BodyText"/>
        <w:ind w:left="1440"/>
      </w:pPr>
    </w:p>
    <w:p w14:paraId="22755F37" w14:textId="77777777" w:rsidR="000D07EA" w:rsidRDefault="00BE7C89">
      <w:pPr>
        <w:pStyle w:val="BodyText"/>
        <w:ind w:left="1440"/>
      </w:pPr>
      <w:r>
        <w:t xml:space="preserve">And for </w:t>
      </w:r>
      <w:r>
        <w:rPr>
          <w:i/>
        </w:rPr>
        <w:t>cancellations</w:t>
      </w:r>
      <w:r>
        <w:t xml:space="preserve"> between months 13-24, an amount in accordance with the following calculations: for months 13-15, 80% of the </w:t>
      </w:r>
      <w:r>
        <w:rPr>
          <w:i/>
        </w:rPr>
        <w:t>cancellation fee</w:t>
      </w:r>
      <w:r>
        <w:t xml:space="preserve">; for months 16-18, 60% of the </w:t>
      </w:r>
      <w:r>
        <w:rPr>
          <w:i/>
        </w:rPr>
        <w:t>cancellation fee</w:t>
      </w:r>
      <w:r>
        <w:t xml:space="preserve">; for months 19-21, 40% of the </w:t>
      </w:r>
      <w:r>
        <w:rPr>
          <w:i/>
        </w:rPr>
        <w:t>cancellation fee</w:t>
      </w:r>
      <w:r>
        <w:t xml:space="preserve">; for months 22-24, 20% of the </w:t>
      </w:r>
      <w:r>
        <w:rPr>
          <w:i/>
        </w:rPr>
        <w:t>cancellation fee</w:t>
      </w:r>
      <w:r>
        <w:t>.</w:t>
      </w:r>
    </w:p>
    <w:p w14:paraId="0BD2902F" w14:textId="77777777" w:rsidR="000D07EA" w:rsidRDefault="00BE7C89">
      <w:pPr>
        <w:pStyle w:val="Heading8"/>
        <w:keepNext/>
      </w:pPr>
      <w:r>
        <w:t xml:space="preserve">If </w:t>
      </w:r>
      <w:r>
        <w:rPr>
          <w:i/>
        </w:rPr>
        <w:t>you</w:t>
      </w:r>
      <w:r>
        <w:t xml:space="preserve"> are on a 12 month </w:t>
      </w:r>
      <w:r>
        <w:rPr>
          <w:i/>
        </w:rPr>
        <w:t>pricing plan</w:t>
      </w:r>
      <w:r>
        <w:t xml:space="preserve">, the </w:t>
      </w:r>
      <w:r>
        <w:rPr>
          <w:i/>
        </w:rPr>
        <w:t>cancellation fee</w:t>
      </w:r>
      <w:r>
        <w:t xml:space="preserve"> between months 0-6 is:</w:t>
      </w:r>
    </w:p>
    <w:tbl>
      <w:tblPr>
        <w:tblW w:w="3954" w:type="pct"/>
        <w:tblInd w:w="2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81"/>
        <w:gridCol w:w="1594"/>
        <w:gridCol w:w="1594"/>
        <w:gridCol w:w="1594"/>
        <w:gridCol w:w="1594"/>
      </w:tblGrid>
      <w:tr w:rsidR="000D07EA" w14:paraId="72C630D1" w14:textId="77777777">
        <w:tc>
          <w:tcPr>
            <w:tcW w:w="1044" w:type="pct"/>
          </w:tcPr>
          <w:p w14:paraId="27F20E54" w14:textId="77777777" w:rsidR="000D07EA" w:rsidRDefault="00BE7C89">
            <w:pPr>
              <w:pStyle w:val="BodyText"/>
              <w:keepNext/>
              <w:keepLines/>
              <w:spacing w:before="100" w:after="100"/>
              <w:jc w:val="center"/>
              <w:rPr>
                <w:b/>
              </w:rPr>
            </w:pPr>
            <w:r>
              <w:rPr>
                <w:b/>
              </w:rPr>
              <w:t>Business Select</w:t>
            </w:r>
            <w:r>
              <w:rPr>
                <w:b/>
              </w:rPr>
              <w:br/>
              <w:t>20 Plan</w:t>
            </w:r>
          </w:p>
        </w:tc>
        <w:tc>
          <w:tcPr>
            <w:tcW w:w="989" w:type="pct"/>
          </w:tcPr>
          <w:p w14:paraId="0C1C6949" w14:textId="77777777" w:rsidR="000D07EA" w:rsidRDefault="00BE7C89">
            <w:pPr>
              <w:pStyle w:val="BodyText"/>
              <w:keepNext/>
              <w:keepLines/>
              <w:spacing w:before="100" w:after="100"/>
              <w:jc w:val="center"/>
              <w:rPr>
                <w:b/>
              </w:rPr>
            </w:pPr>
            <w:r>
              <w:rPr>
                <w:b/>
              </w:rPr>
              <w:t>Business Select</w:t>
            </w:r>
            <w:r>
              <w:rPr>
                <w:b/>
              </w:rPr>
              <w:br/>
              <w:t>30 Plan</w:t>
            </w:r>
          </w:p>
        </w:tc>
        <w:tc>
          <w:tcPr>
            <w:tcW w:w="989" w:type="pct"/>
          </w:tcPr>
          <w:p w14:paraId="38FFD4E9" w14:textId="77777777" w:rsidR="000D07EA" w:rsidRDefault="00BE7C89">
            <w:pPr>
              <w:pStyle w:val="BodyText"/>
              <w:keepNext/>
              <w:keepLines/>
              <w:spacing w:before="100" w:after="100"/>
              <w:jc w:val="center"/>
              <w:rPr>
                <w:b/>
              </w:rPr>
            </w:pPr>
            <w:r>
              <w:rPr>
                <w:b/>
              </w:rPr>
              <w:t>Business Select</w:t>
            </w:r>
            <w:r>
              <w:rPr>
                <w:b/>
              </w:rPr>
              <w:br/>
              <w:t>50 Plan</w:t>
            </w:r>
          </w:p>
        </w:tc>
        <w:tc>
          <w:tcPr>
            <w:tcW w:w="989" w:type="pct"/>
          </w:tcPr>
          <w:p w14:paraId="4997BBBF" w14:textId="77777777" w:rsidR="000D07EA" w:rsidRDefault="00BE7C89">
            <w:pPr>
              <w:pStyle w:val="BodyText"/>
              <w:keepNext/>
              <w:keepLines/>
              <w:spacing w:before="100" w:after="100"/>
              <w:jc w:val="center"/>
              <w:rPr>
                <w:b/>
              </w:rPr>
            </w:pPr>
            <w:r>
              <w:rPr>
                <w:b/>
              </w:rPr>
              <w:t>Business Select</w:t>
            </w:r>
            <w:r>
              <w:rPr>
                <w:b/>
              </w:rPr>
              <w:br/>
              <w:t>70 Plan</w:t>
            </w:r>
          </w:p>
        </w:tc>
        <w:tc>
          <w:tcPr>
            <w:tcW w:w="989" w:type="pct"/>
          </w:tcPr>
          <w:p w14:paraId="5D0A64B4" w14:textId="77777777" w:rsidR="000D07EA" w:rsidRDefault="00BE7C89">
            <w:pPr>
              <w:pStyle w:val="BodyText"/>
              <w:keepNext/>
              <w:keepLines/>
              <w:spacing w:before="100" w:after="100"/>
              <w:jc w:val="center"/>
              <w:rPr>
                <w:b/>
              </w:rPr>
            </w:pPr>
            <w:r>
              <w:rPr>
                <w:b/>
              </w:rPr>
              <w:t>Business Select 100 Plan</w:t>
            </w:r>
          </w:p>
        </w:tc>
      </w:tr>
      <w:tr w:rsidR="000D07EA" w14:paraId="5E558F84" w14:textId="77777777">
        <w:tc>
          <w:tcPr>
            <w:tcW w:w="1044" w:type="pct"/>
          </w:tcPr>
          <w:p w14:paraId="384BC38D" w14:textId="77777777" w:rsidR="000D07EA" w:rsidRDefault="00BE7C89">
            <w:pPr>
              <w:pStyle w:val="BodyText"/>
              <w:spacing w:before="100" w:after="100"/>
              <w:jc w:val="center"/>
            </w:pPr>
            <w:r>
              <w:t>$208</w:t>
            </w:r>
          </w:p>
        </w:tc>
        <w:tc>
          <w:tcPr>
            <w:tcW w:w="989" w:type="pct"/>
          </w:tcPr>
          <w:p w14:paraId="4D99DB5A" w14:textId="77777777" w:rsidR="000D07EA" w:rsidRDefault="00BE7C89">
            <w:pPr>
              <w:pStyle w:val="BodyText"/>
              <w:spacing w:before="100" w:after="100"/>
              <w:jc w:val="center"/>
            </w:pPr>
            <w:r>
              <w:t>$242</w:t>
            </w:r>
          </w:p>
        </w:tc>
        <w:tc>
          <w:tcPr>
            <w:tcW w:w="989" w:type="pct"/>
          </w:tcPr>
          <w:p w14:paraId="2280F173" w14:textId="77777777" w:rsidR="000D07EA" w:rsidRDefault="00BE7C89">
            <w:pPr>
              <w:pStyle w:val="BodyText"/>
              <w:spacing w:before="100" w:after="100"/>
              <w:jc w:val="center"/>
            </w:pPr>
            <w:r>
              <w:t>$386</w:t>
            </w:r>
          </w:p>
        </w:tc>
        <w:tc>
          <w:tcPr>
            <w:tcW w:w="989" w:type="pct"/>
          </w:tcPr>
          <w:p w14:paraId="47BB95E1" w14:textId="77777777" w:rsidR="000D07EA" w:rsidRDefault="00BE7C89">
            <w:pPr>
              <w:pStyle w:val="BodyText"/>
              <w:spacing w:before="100" w:after="100"/>
              <w:jc w:val="center"/>
            </w:pPr>
            <w:r>
              <w:t>$458</w:t>
            </w:r>
          </w:p>
        </w:tc>
        <w:tc>
          <w:tcPr>
            <w:tcW w:w="989" w:type="pct"/>
          </w:tcPr>
          <w:p w14:paraId="0271AF0F" w14:textId="77777777" w:rsidR="000D07EA" w:rsidRDefault="00BE7C89">
            <w:pPr>
              <w:pStyle w:val="BodyText"/>
              <w:spacing w:before="100" w:after="100"/>
              <w:jc w:val="center"/>
            </w:pPr>
            <w:r>
              <w:t>$554</w:t>
            </w:r>
          </w:p>
        </w:tc>
      </w:tr>
    </w:tbl>
    <w:p w14:paraId="136F9639" w14:textId="77777777" w:rsidR="000D07EA" w:rsidRDefault="000D07EA">
      <w:pPr>
        <w:pStyle w:val="BodyText"/>
        <w:ind w:left="1440"/>
      </w:pPr>
    </w:p>
    <w:p w14:paraId="3AE2B5F7" w14:textId="77777777" w:rsidR="000D07EA" w:rsidRDefault="00BE7C89">
      <w:pPr>
        <w:pStyle w:val="BodyText"/>
        <w:ind w:left="1440"/>
      </w:pPr>
      <w:r>
        <w:lastRenderedPageBreak/>
        <w:t xml:space="preserve">And for </w:t>
      </w:r>
      <w:r>
        <w:rPr>
          <w:i/>
        </w:rPr>
        <w:t>cancellations</w:t>
      </w:r>
      <w:r>
        <w:t xml:space="preserve"> between months 7-12, an amount in accordance with the following calculations: for months 7-9, 70% of the </w:t>
      </w:r>
      <w:r>
        <w:rPr>
          <w:i/>
        </w:rPr>
        <w:t>cancellation fee</w:t>
      </w:r>
      <w:r>
        <w:t xml:space="preserve">; for months 10-12, 40% of the </w:t>
      </w:r>
      <w:r>
        <w:rPr>
          <w:i/>
        </w:rPr>
        <w:t>cancellation fee</w:t>
      </w:r>
      <w:r>
        <w:t>.</w:t>
      </w:r>
    </w:p>
    <w:p w14:paraId="266B937B" w14:textId="77777777" w:rsidR="000D07EA" w:rsidRDefault="00BE7C89">
      <w:pPr>
        <w:pStyle w:val="Heading6"/>
        <w:ind w:left="0" w:firstLine="0"/>
      </w:pPr>
      <w:r>
        <w:t xml:space="preserve">Optus SMB Rewards </w:t>
      </w:r>
    </w:p>
    <w:p w14:paraId="0805ABDB" w14:textId="77777777" w:rsidR="000D07EA" w:rsidRDefault="00BE7C89">
      <w:pPr>
        <w:pStyle w:val="Heading7"/>
      </w:pPr>
      <w:r>
        <w:rPr>
          <w:b/>
        </w:rPr>
        <w:t>Optus Business Bundles</w:t>
      </w:r>
      <w:r>
        <w:t xml:space="preserve"> is a </w:t>
      </w:r>
      <w:r>
        <w:rPr>
          <w:i/>
        </w:rPr>
        <w:t>special offer</w:t>
      </w:r>
      <w:r>
        <w:t xml:space="preserve"> available to </w:t>
      </w:r>
      <w:r>
        <w:rPr>
          <w:i/>
        </w:rPr>
        <w:t>small or medium business customers</w:t>
      </w:r>
      <w:r>
        <w:t xml:space="preserve"> who bundle their Optus </w:t>
      </w:r>
      <w:r>
        <w:rPr>
          <w:i/>
        </w:rPr>
        <w:t>mobile service</w:t>
      </w:r>
      <w:r>
        <w:t xml:space="preserve"> on an eligible </w:t>
      </w:r>
      <w:r>
        <w:rPr>
          <w:i/>
        </w:rPr>
        <w:t>pricing plan</w:t>
      </w:r>
      <w:r>
        <w:t xml:space="preserve"> on or after 23 November 2005with either an Optus Multiline, Optus Directline, Optus IP VPN, Optus Evolve Internet or a Fleet of 10 or more Business Mobile Broadband services and elect to purchase the Back2Business Bundling Value Pack to receive the Back2Business Bundling discount.</w:t>
      </w:r>
    </w:p>
    <w:p w14:paraId="5C9E9FB0" w14:textId="77777777" w:rsidR="000D07EA" w:rsidRDefault="00BE7C89">
      <w:pPr>
        <w:pStyle w:val="Heading6"/>
        <w:ind w:left="0" w:firstLine="0"/>
      </w:pPr>
      <w:r>
        <w:t xml:space="preserve">Handset Credit Fund </w:t>
      </w:r>
    </w:p>
    <w:p w14:paraId="4C610671" w14:textId="77777777" w:rsidR="000D07EA" w:rsidRDefault="00BE7C89">
      <w:pPr>
        <w:pStyle w:val="Heading7"/>
      </w:pPr>
      <w:r>
        <w:t xml:space="preserve">The Handset Credit fund is a special offer available to customers who are eligible for and connect to a Business Select plan. It allows </w:t>
      </w:r>
      <w:r>
        <w:rPr>
          <w:i/>
        </w:rPr>
        <w:t>you</w:t>
      </w:r>
      <w:r>
        <w:t xml:space="preserve"> to purchase mobile phones and accessories from Optus at any period throughout your contract; it cannot be used for any other purpose other than the purchase of handsets and accessories from </w:t>
      </w:r>
      <w:r>
        <w:rPr>
          <w:i/>
        </w:rPr>
        <w:t>us</w:t>
      </w:r>
      <w:r>
        <w:t xml:space="preserve">. </w:t>
      </w:r>
    </w:p>
    <w:p w14:paraId="4140FF48" w14:textId="77777777" w:rsidR="000D07EA" w:rsidRDefault="00BE7C89">
      <w:pPr>
        <w:pStyle w:val="Heading7"/>
      </w:pPr>
      <w:r>
        <w:t xml:space="preserve">The amount of the fund will be dependent on the number of phones </w:t>
      </w:r>
      <w:r>
        <w:rPr>
          <w:i/>
        </w:rPr>
        <w:t>you</w:t>
      </w:r>
      <w:r>
        <w:t xml:space="preserve"> connect to Business Select plans and the contract length as per the table below.</w:t>
      </w:r>
    </w:p>
    <w:tbl>
      <w:tblPr>
        <w:tblW w:w="4645" w:type="pct"/>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99"/>
        <w:gridCol w:w="1452"/>
        <w:gridCol w:w="1454"/>
        <w:gridCol w:w="1454"/>
        <w:gridCol w:w="1454"/>
        <w:gridCol w:w="1452"/>
      </w:tblGrid>
      <w:tr w:rsidR="000D07EA" w14:paraId="058402F6" w14:textId="77777777">
        <w:trPr>
          <w:trHeight w:val="60"/>
        </w:trPr>
        <w:tc>
          <w:tcPr>
            <w:tcW w:w="1162" w:type="pct"/>
          </w:tcPr>
          <w:p w14:paraId="758E4C03" w14:textId="77777777" w:rsidR="000D07EA" w:rsidRDefault="000D07EA">
            <w:pPr>
              <w:pStyle w:val="BodyText"/>
              <w:spacing w:before="100" w:after="100"/>
              <w:jc w:val="center"/>
              <w:rPr>
                <w:b/>
              </w:rPr>
            </w:pPr>
          </w:p>
        </w:tc>
        <w:tc>
          <w:tcPr>
            <w:tcW w:w="767" w:type="pct"/>
          </w:tcPr>
          <w:p w14:paraId="6F070DA4" w14:textId="77777777" w:rsidR="000D07EA" w:rsidRDefault="00BE7C89">
            <w:pPr>
              <w:pStyle w:val="BodyText"/>
              <w:spacing w:before="100" w:after="100"/>
              <w:jc w:val="center"/>
              <w:rPr>
                <w:b/>
              </w:rPr>
            </w:pPr>
            <w:r>
              <w:rPr>
                <w:b/>
              </w:rPr>
              <w:t xml:space="preserve">Business </w:t>
            </w:r>
            <w:r>
              <w:rPr>
                <w:b/>
              </w:rPr>
              <w:br/>
              <w:t xml:space="preserve">Select 20 </w:t>
            </w:r>
            <w:r>
              <w:rPr>
                <w:b/>
              </w:rPr>
              <w:br/>
              <w:t>Plan</w:t>
            </w:r>
          </w:p>
        </w:tc>
        <w:tc>
          <w:tcPr>
            <w:tcW w:w="768" w:type="pct"/>
          </w:tcPr>
          <w:p w14:paraId="7CA344D6" w14:textId="77777777" w:rsidR="000D07EA" w:rsidRDefault="00BE7C89">
            <w:pPr>
              <w:pStyle w:val="BodyText"/>
              <w:spacing w:before="100" w:after="100"/>
              <w:jc w:val="center"/>
              <w:rPr>
                <w:b/>
              </w:rPr>
            </w:pPr>
            <w:r>
              <w:rPr>
                <w:b/>
              </w:rPr>
              <w:t xml:space="preserve">Business </w:t>
            </w:r>
            <w:r>
              <w:rPr>
                <w:b/>
              </w:rPr>
              <w:br/>
              <w:t xml:space="preserve">Select 30 </w:t>
            </w:r>
            <w:r>
              <w:rPr>
                <w:b/>
              </w:rPr>
              <w:br/>
              <w:t>Plan</w:t>
            </w:r>
          </w:p>
        </w:tc>
        <w:tc>
          <w:tcPr>
            <w:tcW w:w="768" w:type="pct"/>
          </w:tcPr>
          <w:p w14:paraId="1E94B41D" w14:textId="77777777" w:rsidR="000D07EA" w:rsidRDefault="00BE7C89">
            <w:pPr>
              <w:pStyle w:val="BodyText"/>
              <w:spacing w:before="100" w:after="100"/>
              <w:jc w:val="center"/>
              <w:rPr>
                <w:b/>
              </w:rPr>
            </w:pPr>
            <w:r>
              <w:rPr>
                <w:b/>
              </w:rPr>
              <w:t xml:space="preserve">Business </w:t>
            </w:r>
            <w:r>
              <w:rPr>
                <w:b/>
              </w:rPr>
              <w:br/>
              <w:t xml:space="preserve">Select 50 </w:t>
            </w:r>
            <w:r>
              <w:rPr>
                <w:b/>
              </w:rPr>
              <w:br/>
              <w:t>Plan</w:t>
            </w:r>
          </w:p>
        </w:tc>
        <w:tc>
          <w:tcPr>
            <w:tcW w:w="768" w:type="pct"/>
          </w:tcPr>
          <w:p w14:paraId="49CE8571" w14:textId="77777777" w:rsidR="000D07EA" w:rsidRDefault="00BE7C89">
            <w:pPr>
              <w:pStyle w:val="BodyText"/>
              <w:spacing w:before="100" w:after="100"/>
              <w:jc w:val="center"/>
              <w:rPr>
                <w:b/>
              </w:rPr>
            </w:pPr>
            <w:r>
              <w:rPr>
                <w:b/>
              </w:rPr>
              <w:t xml:space="preserve">Business </w:t>
            </w:r>
            <w:r>
              <w:rPr>
                <w:b/>
              </w:rPr>
              <w:br/>
              <w:t xml:space="preserve">Select 70 </w:t>
            </w:r>
            <w:r>
              <w:rPr>
                <w:b/>
              </w:rPr>
              <w:br/>
              <w:t>Plan</w:t>
            </w:r>
          </w:p>
        </w:tc>
        <w:tc>
          <w:tcPr>
            <w:tcW w:w="767" w:type="pct"/>
          </w:tcPr>
          <w:p w14:paraId="12E20FC7" w14:textId="77777777" w:rsidR="000D07EA" w:rsidRDefault="00BE7C89">
            <w:pPr>
              <w:pStyle w:val="BodyText"/>
              <w:spacing w:before="100" w:after="100"/>
              <w:jc w:val="center"/>
              <w:rPr>
                <w:b/>
              </w:rPr>
            </w:pPr>
            <w:r>
              <w:rPr>
                <w:b/>
              </w:rPr>
              <w:t xml:space="preserve">Business </w:t>
            </w:r>
            <w:r>
              <w:rPr>
                <w:b/>
              </w:rPr>
              <w:br/>
              <w:t xml:space="preserve">Select 100 </w:t>
            </w:r>
            <w:r>
              <w:rPr>
                <w:b/>
              </w:rPr>
              <w:br/>
              <w:t>Plan</w:t>
            </w:r>
          </w:p>
        </w:tc>
      </w:tr>
      <w:tr w:rsidR="000D07EA" w14:paraId="575C3E2F" w14:textId="77777777">
        <w:trPr>
          <w:trHeight w:val="60"/>
        </w:trPr>
        <w:tc>
          <w:tcPr>
            <w:tcW w:w="1162" w:type="pct"/>
          </w:tcPr>
          <w:p w14:paraId="34725DA7" w14:textId="77777777" w:rsidR="000D07EA" w:rsidRDefault="00BE7C89">
            <w:pPr>
              <w:pStyle w:val="BodyText"/>
              <w:spacing w:before="100" w:after="100"/>
              <w:jc w:val="center"/>
              <w:rPr>
                <w:b/>
              </w:rPr>
            </w:pPr>
            <w:r>
              <w:rPr>
                <w:b/>
                <w:bCs/>
                <w:color w:val="000000"/>
              </w:rPr>
              <w:t>24 month Handset Credit Fund</w:t>
            </w:r>
          </w:p>
        </w:tc>
        <w:tc>
          <w:tcPr>
            <w:tcW w:w="767" w:type="pct"/>
            <w:vAlign w:val="center"/>
          </w:tcPr>
          <w:p w14:paraId="227F91AF" w14:textId="77777777" w:rsidR="000D07EA" w:rsidRDefault="00BE7C89">
            <w:pPr>
              <w:pStyle w:val="BodyText"/>
              <w:spacing w:before="100" w:after="100"/>
              <w:jc w:val="center"/>
            </w:pPr>
            <w:r>
              <w:rPr>
                <w:color w:val="000000"/>
              </w:rPr>
              <w:t>$120</w:t>
            </w:r>
          </w:p>
        </w:tc>
        <w:tc>
          <w:tcPr>
            <w:tcW w:w="768" w:type="pct"/>
            <w:vAlign w:val="center"/>
          </w:tcPr>
          <w:p w14:paraId="13049B07" w14:textId="77777777" w:rsidR="000D07EA" w:rsidRDefault="00BE7C89">
            <w:pPr>
              <w:pStyle w:val="BodyText"/>
              <w:spacing w:before="100" w:after="100"/>
              <w:jc w:val="center"/>
            </w:pPr>
            <w:r>
              <w:t>$160</w:t>
            </w:r>
          </w:p>
        </w:tc>
        <w:tc>
          <w:tcPr>
            <w:tcW w:w="768" w:type="pct"/>
            <w:vAlign w:val="center"/>
          </w:tcPr>
          <w:p w14:paraId="32BC14B7" w14:textId="77777777" w:rsidR="000D07EA" w:rsidRDefault="00BE7C89">
            <w:pPr>
              <w:pStyle w:val="BodyText"/>
              <w:spacing w:before="100" w:after="100"/>
              <w:jc w:val="center"/>
            </w:pPr>
            <w:r>
              <w:t>$290</w:t>
            </w:r>
          </w:p>
        </w:tc>
        <w:tc>
          <w:tcPr>
            <w:tcW w:w="768" w:type="pct"/>
            <w:vAlign w:val="center"/>
          </w:tcPr>
          <w:p w14:paraId="74737AA8" w14:textId="77777777" w:rsidR="000D07EA" w:rsidRDefault="00BE7C89">
            <w:pPr>
              <w:pStyle w:val="BodyText"/>
              <w:spacing w:before="100" w:after="100"/>
              <w:jc w:val="center"/>
            </w:pPr>
            <w:r>
              <w:rPr>
                <w:color w:val="000000"/>
              </w:rPr>
              <w:t>$415</w:t>
            </w:r>
          </w:p>
        </w:tc>
        <w:tc>
          <w:tcPr>
            <w:tcW w:w="767" w:type="pct"/>
            <w:vAlign w:val="center"/>
          </w:tcPr>
          <w:p w14:paraId="0D35787E" w14:textId="77777777" w:rsidR="000D07EA" w:rsidRDefault="00BE7C89">
            <w:pPr>
              <w:pStyle w:val="BodyText"/>
              <w:spacing w:before="100" w:after="100"/>
              <w:jc w:val="center"/>
            </w:pPr>
            <w:r>
              <w:rPr>
                <w:color w:val="000000"/>
              </w:rPr>
              <w:t>$515</w:t>
            </w:r>
          </w:p>
        </w:tc>
      </w:tr>
      <w:tr w:rsidR="000D07EA" w14:paraId="1A4D4C48" w14:textId="77777777">
        <w:tc>
          <w:tcPr>
            <w:tcW w:w="1162" w:type="pct"/>
          </w:tcPr>
          <w:p w14:paraId="08CA64B3" w14:textId="77777777" w:rsidR="000D07EA" w:rsidRDefault="00BE7C89">
            <w:pPr>
              <w:pStyle w:val="BodyText"/>
              <w:spacing w:before="100" w:after="100"/>
              <w:jc w:val="center"/>
              <w:rPr>
                <w:b/>
              </w:rPr>
            </w:pPr>
            <w:r>
              <w:rPr>
                <w:b/>
                <w:bCs/>
                <w:color w:val="000000"/>
              </w:rPr>
              <w:t>12 month Handset Credit Fund</w:t>
            </w:r>
          </w:p>
        </w:tc>
        <w:tc>
          <w:tcPr>
            <w:tcW w:w="767" w:type="pct"/>
            <w:vAlign w:val="center"/>
          </w:tcPr>
          <w:p w14:paraId="5785CF6A" w14:textId="77777777" w:rsidR="000D07EA" w:rsidRDefault="00BE7C89">
            <w:pPr>
              <w:pStyle w:val="BodyText"/>
              <w:spacing w:before="100" w:after="100"/>
              <w:jc w:val="center"/>
            </w:pPr>
            <w:r>
              <w:rPr>
                <w:color w:val="000000"/>
              </w:rPr>
              <w:t>$64</w:t>
            </w:r>
          </w:p>
        </w:tc>
        <w:tc>
          <w:tcPr>
            <w:tcW w:w="768" w:type="pct"/>
            <w:vAlign w:val="center"/>
          </w:tcPr>
          <w:p w14:paraId="4372EBAD" w14:textId="77777777" w:rsidR="000D07EA" w:rsidRDefault="00BE7C89">
            <w:pPr>
              <w:pStyle w:val="BodyText"/>
              <w:spacing w:before="100" w:after="100"/>
              <w:jc w:val="center"/>
            </w:pPr>
            <w:r>
              <w:rPr>
                <w:color w:val="000000"/>
              </w:rPr>
              <w:t>$84</w:t>
            </w:r>
          </w:p>
        </w:tc>
        <w:tc>
          <w:tcPr>
            <w:tcW w:w="768" w:type="pct"/>
            <w:vAlign w:val="center"/>
          </w:tcPr>
          <w:p w14:paraId="2AC82158" w14:textId="77777777" w:rsidR="000D07EA" w:rsidRDefault="00BE7C89">
            <w:pPr>
              <w:pStyle w:val="BodyText"/>
              <w:spacing w:before="100" w:after="100"/>
              <w:jc w:val="center"/>
            </w:pPr>
            <w:r>
              <w:rPr>
                <w:color w:val="000000"/>
              </w:rPr>
              <w:t>$148</w:t>
            </w:r>
          </w:p>
        </w:tc>
        <w:tc>
          <w:tcPr>
            <w:tcW w:w="768" w:type="pct"/>
            <w:vAlign w:val="center"/>
          </w:tcPr>
          <w:p w14:paraId="5AB3EA1C" w14:textId="77777777" w:rsidR="000D07EA" w:rsidRDefault="00BE7C89">
            <w:pPr>
              <w:pStyle w:val="BodyText"/>
              <w:spacing w:before="100" w:after="100"/>
              <w:jc w:val="center"/>
            </w:pPr>
            <w:r>
              <w:rPr>
                <w:color w:val="000000"/>
              </w:rPr>
              <w:t>$184</w:t>
            </w:r>
          </w:p>
        </w:tc>
        <w:tc>
          <w:tcPr>
            <w:tcW w:w="767" w:type="pct"/>
            <w:vAlign w:val="center"/>
          </w:tcPr>
          <w:p w14:paraId="43291667" w14:textId="77777777" w:rsidR="000D07EA" w:rsidRDefault="00BE7C89">
            <w:pPr>
              <w:pStyle w:val="BodyText"/>
              <w:spacing w:before="100" w:after="100"/>
              <w:jc w:val="center"/>
            </w:pPr>
            <w:r>
              <w:rPr>
                <w:color w:val="000000"/>
              </w:rPr>
              <w:t>$228</w:t>
            </w:r>
          </w:p>
        </w:tc>
      </w:tr>
    </w:tbl>
    <w:p w14:paraId="227417FC" w14:textId="77777777" w:rsidR="000D07EA" w:rsidRDefault="00BE7C89">
      <w:pPr>
        <w:pStyle w:val="Heading7"/>
        <w:spacing w:before="240"/>
      </w:pPr>
      <w:r>
        <w:t xml:space="preserve">You may use the Handset Credit Fund deposited into your account to purchase handsets listed in the Optus fulfilment price list as amended by </w:t>
      </w:r>
      <w:r>
        <w:rPr>
          <w:i/>
        </w:rPr>
        <w:t>us</w:t>
      </w:r>
      <w:r>
        <w:t xml:space="preserve"> from time to time. This list is available to you upon request.</w:t>
      </w:r>
    </w:p>
    <w:p w14:paraId="5AC8F05E" w14:textId="77777777" w:rsidR="000D07EA" w:rsidRDefault="00BE7C89">
      <w:pPr>
        <w:pStyle w:val="Heading7"/>
      </w:pPr>
      <w:r>
        <w:t xml:space="preserve">Optus Business Select customers also receive exclusive access to our Handset Value Pack range which allows you to use funds from your Handset Credit Fund to purchase handsets in bulk pack sizes of either 5, 10 or 20 handsets at a substantially reduced rate compared to purchasing each handset individually through the e-fulfilment process. Handsets purchased in Handset Value Packs require you to have an equal number of mobile services active on your account and these services must have an active Mobile Data bolt on attached. </w:t>
      </w:r>
    </w:p>
    <w:p w14:paraId="69BA2D79" w14:textId="77777777" w:rsidR="000D07EA" w:rsidRDefault="00BE7C89">
      <w:pPr>
        <w:pStyle w:val="Heading7"/>
      </w:pPr>
      <w:r>
        <w:t>If the purchase price for products that you order is greater than the Handset Credit credit remaining in your account, you must pay any difference for those products by manually topping up your Handset Credit account with the required funds.</w:t>
      </w:r>
    </w:p>
    <w:p w14:paraId="266F674E" w14:textId="77777777" w:rsidR="000D07EA" w:rsidRDefault="00BE7C89">
      <w:pPr>
        <w:pStyle w:val="Heading7"/>
      </w:pPr>
      <w:r>
        <w:t>The value of the Handset Credit is not redeemable for cash and may not be transferred or used for any other purposes (for instance, it may not be used to pay for service charges, minimum monthly call spend or call costs, cannot be used against cancellation fees). If your account is cancelled for any reason any unused credit will be forfeited.</w:t>
      </w:r>
    </w:p>
    <w:p w14:paraId="1ADAE7D7" w14:textId="77777777" w:rsidR="000D07EA" w:rsidRDefault="00BE7C89">
      <w:pPr>
        <w:pStyle w:val="Heading4"/>
      </w:pPr>
      <w:bookmarkStart w:id="321" w:name="_Toc62644626"/>
      <w:r>
        <w:t>Timeless Business Plans (Incorporating Timeless Business $99 + $14.99 Mobile Internet Plan, Smart Data or Blackberry Bolt On, Timeless Business $119 Plan and Timeless Business $129 Plan)</w:t>
      </w:r>
      <w:bookmarkEnd w:id="321"/>
    </w:p>
    <w:p w14:paraId="5AFCE80A" w14:textId="77777777" w:rsidR="000D07EA" w:rsidRDefault="00BE7C89">
      <w:pPr>
        <w:pStyle w:val="Heading6"/>
        <w:ind w:left="0" w:firstLine="0"/>
      </w:pPr>
      <w:r>
        <w:t>Eligibility</w:t>
      </w:r>
    </w:p>
    <w:p w14:paraId="335EA5AB" w14:textId="77777777" w:rsidR="000D07EA" w:rsidRDefault="00BE7C89">
      <w:pPr>
        <w:pStyle w:val="Heading7"/>
      </w:pPr>
      <w:r>
        <w:t xml:space="preserve">The Timeless Business Plans are available to customers </w:t>
      </w:r>
      <w:r>
        <w:rPr>
          <w:i/>
        </w:rPr>
        <w:t>we</w:t>
      </w:r>
      <w:r>
        <w:t xml:space="preserve"> classify as </w:t>
      </w:r>
      <w:r>
        <w:rPr>
          <w:i/>
        </w:rPr>
        <w:t>small or medium business</w:t>
      </w:r>
      <w:r>
        <w:t xml:space="preserve"> customers. This offer may be withdrawn at any time without notice. </w:t>
      </w:r>
    </w:p>
    <w:p w14:paraId="51066963" w14:textId="77777777" w:rsidR="000D07EA" w:rsidRDefault="00BE7C89">
      <w:pPr>
        <w:pStyle w:val="Heading7"/>
      </w:pPr>
      <w:r>
        <w:lastRenderedPageBreak/>
        <w:t xml:space="preserve">Customers ordering a </w:t>
      </w:r>
      <w:r>
        <w:rPr>
          <w:i/>
        </w:rPr>
        <w:t>mobile phone</w:t>
      </w:r>
      <w:r>
        <w:t xml:space="preserve"> with an </w:t>
      </w:r>
      <w:r>
        <w:rPr>
          <w:i/>
        </w:rPr>
        <w:t>Optus SIM card</w:t>
      </w:r>
      <w:r>
        <w:t xml:space="preserve"> on Timeless Business </w:t>
      </w:r>
      <w:r>
        <w:rPr>
          <w:i/>
        </w:rPr>
        <w:t>pricing plan</w:t>
      </w:r>
      <w:r>
        <w:t xml:space="preserve"> must be connected to that </w:t>
      </w:r>
      <w:r>
        <w:rPr>
          <w:i/>
        </w:rPr>
        <w:t>pricing plan</w:t>
      </w:r>
      <w:r>
        <w:t xml:space="preserve"> and activated within 14 days after delivery.</w:t>
      </w:r>
    </w:p>
    <w:p w14:paraId="7E05D3C0" w14:textId="77777777" w:rsidR="000D07EA" w:rsidRDefault="00BE7C89">
      <w:pPr>
        <w:pStyle w:val="Heading6"/>
        <w:ind w:left="0" w:firstLine="0"/>
        <w:rPr>
          <w:i/>
        </w:rPr>
      </w:pPr>
      <w:r>
        <w:rPr>
          <w:i/>
        </w:rPr>
        <w:t>Minimum Term</w:t>
      </w:r>
    </w:p>
    <w:p w14:paraId="40997652" w14:textId="77777777" w:rsidR="000D07EA" w:rsidRDefault="00BE7C89">
      <w:pPr>
        <w:pStyle w:val="Heading7"/>
      </w:pPr>
      <w:r>
        <w:rPr>
          <w:i/>
        </w:rPr>
        <w:t>You</w:t>
      </w:r>
      <w:r>
        <w:t xml:space="preserve"> must agree to either a </w:t>
      </w:r>
      <w:r>
        <w:rPr>
          <w:i/>
        </w:rPr>
        <w:t>non-fixed</w:t>
      </w:r>
      <w:r>
        <w:t xml:space="preserve"> </w:t>
      </w:r>
      <w:r>
        <w:rPr>
          <w:i/>
        </w:rPr>
        <w:t>length</w:t>
      </w:r>
      <w:r>
        <w:t xml:space="preserve"> </w:t>
      </w:r>
      <w:r>
        <w:rPr>
          <w:i/>
        </w:rPr>
        <w:t>agreement</w:t>
      </w:r>
      <w:r>
        <w:t xml:space="preserve"> or a </w:t>
      </w:r>
      <w:r>
        <w:rPr>
          <w:i/>
        </w:rPr>
        <w:t>fixed</w:t>
      </w:r>
      <w:r>
        <w:t xml:space="preserve"> </w:t>
      </w:r>
      <w:r>
        <w:rPr>
          <w:i/>
        </w:rPr>
        <w:t>length</w:t>
      </w:r>
      <w:r>
        <w:t xml:space="preserve"> </w:t>
      </w:r>
      <w:r>
        <w:rPr>
          <w:i/>
        </w:rPr>
        <w:t>agreement</w:t>
      </w:r>
      <w:r>
        <w:t xml:space="preserve"> with a 12 month or 24 month </w:t>
      </w:r>
      <w:r>
        <w:rPr>
          <w:i/>
        </w:rPr>
        <w:t>minimum</w:t>
      </w:r>
      <w:r>
        <w:t xml:space="preserve"> </w:t>
      </w:r>
      <w:r>
        <w:rPr>
          <w:i/>
        </w:rPr>
        <w:t>term</w:t>
      </w:r>
      <w:r>
        <w:t xml:space="preserve">. </w:t>
      </w:r>
    </w:p>
    <w:p w14:paraId="5A5CEE25" w14:textId="77777777" w:rsidR="000D07EA" w:rsidRDefault="00BE7C89">
      <w:pPr>
        <w:pStyle w:val="Heading7"/>
      </w:pPr>
      <w:r>
        <w:rPr>
          <w:i/>
        </w:rPr>
        <w:t>You</w:t>
      </w:r>
      <w:r>
        <w:t xml:space="preserve"> may purchase a </w:t>
      </w:r>
      <w:r>
        <w:rPr>
          <w:i/>
        </w:rPr>
        <w:t>mobile</w:t>
      </w:r>
      <w:r>
        <w:t xml:space="preserve"> </w:t>
      </w:r>
      <w:r>
        <w:rPr>
          <w:i/>
        </w:rPr>
        <w:t>phone</w:t>
      </w:r>
      <w:r>
        <w:t xml:space="preserve"> with a 24 month </w:t>
      </w:r>
      <w:r>
        <w:rPr>
          <w:i/>
        </w:rPr>
        <w:t>equipment</w:t>
      </w:r>
      <w:r>
        <w:t xml:space="preserve"> </w:t>
      </w:r>
      <w:r>
        <w:rPr>
          <w:i/>
        </w:rPr>
        <w:t>term</w:t>
      </w:r>
      <w:r>
        <w:t xml:space="preserve"> under a </w:t>
      </w:r>
      <w:r>
        <w:rPr>
          <w:i/>
        </w:rPr>
        <w:t>mobile</w:t>
      </w:r>
      <w:r>
        <w:t xml:space="preserve"> </w:t>
      </w:r>
      <w:r>
        <w:rPr>
          <w:i/>
        </w:rPr>
        <w:t>equipment</w:t>
      </w:r>
      <w:r>
        <w:t xml:space="preserve"> </w:t>
      </w:r>
      <w:r>
        <w:rPr>
          <w:i/>
        </w:rPr>
        <w:t>payment</w:t>
      </w:r>
      <w:r>
        <w:t xml:space="preserve"> </w:t>
      </w:r>
      <w:r>
        <w:rPr>
          <w:i/>
        </w:rPr>
        <w:t>plan</w:t>
      </w:r>
      <w:r>
        <w:t xml:space="preserve"> on a 24 month </w:t>
      </w:r>
      <w:r>
        <w:rPr>
          <w:i/>
        </w:rPr>
        <w:t>fixed</w:t>
      </w:r>
      <w:r>
        <w:t xml:space="preserve"> </w:t>
      </w:r>
      <w:r>
        <w:rPr>
          <w:i/>
        </w:rPr>
        <w:t>length</w:t>
      </w:r>
      <w:r>
        <w:t xml:space="preserve"> </w:t>
      </w:r>
      <w:r>
        <w:rPr>
          <w:i/>
        </w:rPr>
        <w:t>agreement</w:t>
      </w:r>
      <w:r>
        <w:t xml:space="preserve">. If </w:t>
      </w:r>
      <w:r>
        <w:rPr>
          <w:i/>
        </w:rPr>
        <w:t>you</w:t>
      </w:r>
      <w:r>
        <w:t xml:space="preserve"> agree to a 24 month </w:t>
      </w:r>
      <w:r>
        <w:rPr>
          <w:i/>
        </w:rPr>
        <w:t>fixed</w:t>
      </w:r>
      <w:r>
        <w:t xml:space="preserve"> </w:t>
      </w:r>
      <w:r>
        <w:rPr>
          <w:i/>
        </w:rPr>
        <w:t>length</w:t>
      </w:r>
      <w:r>
        <w:t xml:space="preserve"> </w:t>
      </w:r>
      <w:r>
        <w:rPr>
          <w:i/>
        </w:rPr>
        <w:t>agreement</w:t>
      </w:r>
      <w:r>
        <w:t xml:space="preserve"> the price of </w:t>
      </w:r>
      <w:r>
        <w:rPr>
          <w:i/>
        </w:rPr>
        <w:t>mobile</w:t>
      </w:r>
      <w:r>
        <w:t xml:space="preserve"> </w:t>
      </w:r>
      <w:r>
        <w:rPr>
          <w:i/>
        </w:rPr>
        <w:t>phones</w:t>
      </w:r>
      <w:r>
        <w:t xml:space="preserve"> available is less than if </w:t>
      </w:r>
      <w:r>
        <w:rPr>
          <w:i/>
        </w:rPr>
        <w:t>you</w:t>
      </w:r>
      <w:r>
        <w:t xml:space="preserve"> only agree to a </w:t>
      </w:r>
      <w:r>
        <w:rPr>
          <w:i/>
        </w:rPr>
        <w:t>non-fixed</w:t>
      </w:r>
      <w:r>
        <w:t xml:space="preserve"> </w:t>
      </w:r>
      <w:r>
        <w:rPr>
          <w:i/>
        </w:rPr>
        <w:t>length</w:t>
      </w:r>
      <w:r>
        <w:t xml:space="preserve"> </w:t>
      </w:r>
      <w:r>
        <w:rPr>
          <w:i/>
        </w:rPr>
        <w:t>agreement</w:t>
      </w:r>
      <w:r>
        <w:t xml:space="preserve">. </w:t>
      </w:r>
    </w:p>
    <w:p w14:paraId="3A28F0C9" w14:textId="77777777" w:rsidR="000D07EA" w:rsidRDefault="00BE7C89">
      <w:pPr>
        <w:pStyle w:val="Heading7"/>
      </w:pPr>
      <w:r>
        <w:rPr>
          <w:i/>
        </w:rPr>
        <w:t>You</w:t>
      </w:r>
      <w:r>
        <w:t xml:space="preserve"> may purchase a </w:t>
      </w:r>
      <w:r>
        <w:rPr>
          <w:i/>
        </w:rPr>
        <w:t>mobile</w:t>
      </w:r>
      <w:r>
        <w:t xml:space="preserve"> </w:t>
      </w:r>
      <w:r>
        <w:rPr>
          <w:i/>
        </w:rPr>
        <w:t>phone</w:t>
      </w:r>
      <w:r>
        <w:t xml:space="preserve"> with a 12 month </w:t>
      </w:r>
      <w:r>
        <w:rPr>
          <w:i/>
        </w:rPr>
        <w:t>equipment</w:t>
      </w:r>
      <w:r>
        <w:t xml:space="preserve"> </w:t>
      </w:r>
      <w:r>
        <w:rPr>
          <w:i/>
        </w:rPr>
        <w:t>term</w:t>
      </w:r>
      <w:r>
        <w:t xml:space="preserve"> under a </w:t>
      </w:r>
      <w:r>
        <w:rPr>
          <w:i/>
        </w:rPr>
        <w:t>mobile</w:t>
      </w:r>
      <w:r>
        <w:t xml:space="preserve"> </w:t>
      </w:r>
      <w:r>
        <w:rPr>
          <w:i/>
        </w:rPr>
        <w:t>equipment</w:t>
      </w:r>
      <w:r>
        <w:t xml:space="preserve"> </w:t>
      </w:r>
      <w:r>
        <w:rPr>
          <w:i/>
        </w:rPr>
        <w:t>payment</w:t>
      </w:r>
      <w:r>
        <w:t xml:space="preserve"> </w:t>
      </w:r>
      <w:r>
        <w:rPr>
          <w:i/>
        </w:rPr>
        <w:t>plan</w:t>
      </w:r>
      <w:r>
        <w:t xml:space="preserve"> on a 12 month </w:t>
      </w:r>
      <w:r>
        <w:rPr>
          <w:i/>
        </w:rPr>
        <w:t>fixed</w:t>
      </w:r>
      <w:r>
        <w:t xml:space="preserve"> </w:t>
      </w:r>
      <w:r>
        <w:rPr>
          <w:i/>
        </w:rPr>
        <w:t>length</w:t>
      </w:r>
      <w:r>
        <w:t xml:space="preserve"> </w:t>
      </w:r>
      <w:r>
        <w:rPr>
          <w:i/>
        </w:rPr>
        <w:t>agreement</w:t>
      </w:r>
      <w:r>
        <w:t xml:space="preserve">. If you agree to a 12 month </w:t>
      </w:r>
      <w:r>
        <w:rPr>
          <w:i/>
        </w:rPr>
        <w:t>fixed</w:t>
      </w:r>
      <w:r>
        <w:t xml:space="preserve"> </w:t>
      </w:r>
      <w:r>
        <w:rPr>
          <w:i/>
        </w:rPr>
        <w:t>length</w:t>
      </w:r>
      <w:r>
        <w:t xml:space="preserve"> </w:t>
      </w:r>
      <w:r>
        <w:rPr>
          <w:i/>
        </w:rPr>
        <w:t>agreement</w:t>
      </w:r>
      <w:r>
        <w:t xml:space="preserve"> the price of </w:t>
      </w:r>
      <w:r>
        <w:rPr>
          <w:i/>
        </w:rPr>
        <w:t>mobile</w:t>
      </w:r>
      <w:r>
        <w:t xml:space="preserve"> </w:t>
      </w:r>
      <w:r>
        <w:rPr>
          <w:i/>
        </w:rPr>
        <w:t>phones</w:t>
      </w:r>
      <w:r>
        <w:t xml:space="preserve"> available is less than if </w:t>
      </w:r>
      <w:r>
        <w:rPr>
          <w:i/>
        </w:rPr>
        <w:t>you</w:t>
      </w:r>
      <w:r>
        <w:t xml:space="preserve"> only agree to a </w:t>
      </w:r>
      <w:r>
        <w:rPr>
          <w:i/>
        </w:rPr>
        <w:t>non-fixed</w:t>
      </w:r>
      <w:r>
        <w:t xml:space="preserve"> </w:t>
      </w:r>
      <w:r>
        <w:rPr>
          <w:i/>
        </w:rPr>
        <w:t>length</w:t>
      </w:r>
      <w:r>
        <w:t xml:space="preserve"> </w:t>
      </w:r>
      <w:r>
        <w:rPr>
          <w:i/>
        </w:rPr>
        <w:t>agreement</w:t>
      </w:r>
      <w:r>
        <w:t xml:space="preserve">. </w:t>
      </w:r>
    </w:p>
    <w:p w14:paraId="4FAA25B6" w14:textId="77777777" w:rsidR="000D07EA" w:rsidRDefault="00BE7C89">
      <w:pPr>
        <w:pStyle w:val="Heading6"/>
        <w:ind w:left="0" w:firstLine="0"/>
      </w:pPr>
      <w:r>
        <w:t>What you have to pay us</w:t>
      </w:r>
    </w:p>
    <w:p w14:paraId="4D759706" w14:textId="77777777" w:rsidR="000D07EA" w:rsidRDefault="00BE7C89">
      <w:pPr>
        <w:pStyle w:val="Heading7"/>
      </w:pPr>
      <w:r>
        <w:t xml:space="preserve">If </w:t>
      </w:r>
      <w:r>
        <w:rPr>
          <w:i/>
        </w:rPr>
        <w:t>you</w:t>
      </w:r>
      <w:r>
        <w:t xml:space="preserve"> connect to this </w:t>
      </w:r>
      <w:r>
        <w:rPr>
          <w:i/>
        </w:rPr>
        <w:t>pricing</w:t>
      </w:r>
      <w:r>
        <w:t xml:space="preserve"> </w:t>
      </w:r>
      <w:r>
        <w:rPr>
          <w:i/>
        </w:rPr>
        <w:t>plan</w:t>
      </w:r>
      <w:r>
        <w:t xml:space="preserve"> </w:t>
      </w:r>
      <w:r>
        <w:rPr>
          <w:i/>
        </w:rPr>
        <w:t>you</w:t>
      </w:r>
      <w:r>
        <w:t xml:space="preserve"> are also required to incur usage charges each month (</w:t>
      </w:r>
      <w:r>
        <w:rPr>
          <w:i/>
        </w:rPr>
        <w:t>Optus</w:t>
      </w:r>
      <w:r>
        <w:t xml:space="preserve"> </w:t>
      </w:r>
      <w:r>
        <w:rPr>
          <w:i/>
        </w:rPr>
        <w:t>SIM</w:t>
      </w:r>
      <w:r>
        <w:t xml:space="preserve"> </w:t>
      </w:r>
      <w:r>
        <w:rPr>
          <w:i/>
        </w:rPr>
        <w:t>cards</w:t>
      </w:r>
      <w:r>
        <w:t xml:space="preserve"> which do not incur usage are not permitted). </w:t>
      </w:r>
    </w:p>
    <w:p w14:paraId="332FAE34" w14:textId="77777777" w:rsidR="000D07EA" w:rsidRDefault="00BE7C89">
      <w:pPr>
        <w:pStyle w:val="Heading7"/>
      </w:pPr>
      <w:r>
        <w:t xml:space="preserve">If activation or usage does not occur, </w:t>
      </w:r>
      <w:r>
        <w:rPr>
          <w:i/>
        </w:rPr>
        <w:t>we</w:t>
      </w:r>
      <w:r>
        <w:t xml:space="preserve"> may </w:t>
      </w:r>
      <w:r>
        <w:rPr>
          <w:i/>
        </w:rPr>
        <w:t>cancel</w:t>
      </w:r>
      <w:r>
        <w:t xml:space="preserve"> the </w:t>
      </w:r>
      <w:r>
        <w:rPr>
          <w:i/>
        </w:rPr>
        <w:t>agreement</w:t>
      </w:r>
      <w:r>
        <w:t xml:space="preserve"> and </w:t>
      </w:r>
      <w:r>
        <w:rPr>
          <w:i/>
        </w:rPr>
        <w:t>you</w:t>
      </w:r>
      <w:r>
        <w:t xml:space="preserve"> will be required to pay </w:t>
      </w:r>
      <w:r>
        <w:rPr>
          <w:i/>
        </w:rPr>
        <w:t>us</w:t>
      </w:r>
      <w:r>
        <w:t xml:space="preserve"> the relevant </w:t>
      </w:r>
      <w:r>
        <w:rPr>
          <w:i/>
        </w:rPr>
        <w:t>cancellation</w:t>
      </w:r>
      <w:r>
        <w:t xml:space="preserve"> </w:t>
      </w:r>
      <w:r>
        <w:rPr>
          <w:i/>
        </w:rPr>
        <w:t>fee</w:t>
      </w:r>
      <w:r>
        <w:t xml:space="preserve">, if applicable, specified in the table in paragraph </w:t>
      </w:r>
      <w:r w:rsidR="00E17E77" w:rsidRPr="00272628">
        <w:t>85</w:t>
      </w:r>
      <w:r w:rsidRPr="00272628">
        <w:t>.5 below</w:t>
      </w:r>
      <w:r>
        <w:t>.</w:t>
      </w:r>
    </w:p>
    <w:p w14:paraId="473ABF61" w14:textId="77777777" w:rsidR="000D07EA" w:rsidRDefault="00BE7C89">
      <w:pPr>
        <w:pStyle w:val="Heading7"/>
      </w:pPr>
      <w:r>
        <w:t xml:space="preserve">Subject to paragraphs </w:t>
      </w:r>
      <w:r>
        <w:fldChar w:fldCharType="begin"/>
      </w:r>
      <w:r>
        <w:instrText xml:space="preserve"> REF _Ref461548643 \n \h </w:instrText>
      </w:r>
      <w:r>
        <w:fldChar w:fldCharType="separate"/>
      </w:r>
      <w:r w:rsidR="0004083A">
        <w:t>(e)</w:t>
      </w:r>
      <w:r>
        <w:fldChar w:fldCharType="end"/>
      </w:r>
      <w:r>
        <w:t xml:space="preserve">, </w:t>
      </w:r>
      <w:r>
        <w:fldChar w:fldCharType="begin"/>
      </w:r>
      <w:r>
        <w:instrText xml:space="preserve"> REF _Ref461548647 \n \h </w:instrText>
      </w:r>
      <w:r>
        <w:fldChar w:fldCharType="separate"/>
      </w:r>
      <w:r w:rsidR="0004083A">
        <w:t>(f)</w:t>
      </w:r>
      <w:r>
        <w:fldChar w:fldCharType="end"/>
      </w:r>
      <w:r>
        <w:t xml:space="preserve"> and </w:t>
      </w:r>
      <w:r>
        <w:fldChar w:fldCharType="begin"/>
      </w:r>
      <w:r>
        <w:instrText xml:space="preserve"> REF _Ref461548650 \n \h </w:instrText>
      </w:r>
      <w:r>
        <w:fldChar w:fldCharType="separate"/>
      </w:r>
      <w:r w:rsidR="0004083A">
        <w:t>(g)</w:t>
      </w:r>
      <w:r>
        <w:fldChar w:fldCharType="end"/>
      </w:r>
      <w:r>
        <w:t xml:space="preserve"> below </w:t>
      </w:r>
      <w:r>
        <w:rPr>
          <w:i/>
        </w:rPr>
        <w:t>you</w:t>
      </w:r>
      <w:r>
        <w:t xml:space="preserve"> must pay </w:t>
      </w:r>
      <w:r>
        <w:rPr>
          <w:i/>
        </w:rPr>
        <w:t>us</w:t>
      </w:r>
      <w:r>
        <w:t xml:space="preserve"> for use of the </w:t>
      </w:r>
      <w:r>
        <w:rPr>
          <w:i/>
        </w:rPr>
        <w:t>service</w:t>
      </w:r>
      <w:r>
        <w:t xml:space="preserve"> at the rates set out in </w:t>
      </w:r>
      <w:hyperlink r:id="rId186" w:history="1">
        <w:r>
          <w:rPr>
            <w:rStyle w:val="Hyperlink"/>
          </w:rPr>
          <w:t>Section 1</w:t>
        </w:r>
      </w:hyperlink>
      <w:r>
        <w:t xml:space="preserve"> of this </w:t>
      </w:r>
      <w:r>
        <w:rPr>
          <w:i/>
        </w:rPr>
        <w:t>standard</w:t>
      </w:r>
      <w:r>
        <w:t xml:space="preserve"> </w:t>
      </w:r>
      <w:r>
        <w:rPr>
          <w:i/>
        </w:rPr>
        <w:t>pricing</w:t>
      </w:r>
      <w:r>
        <w:t xml:space="preserve"> </w:t>
      </w:r>
      <w:r>
        <w:rPr>
          <w:i/>
        </w:rPr>
        <w:t>table</w:t>
      </w:r>
      <w:r>
        <w:t xml:space="preserve"> and for </w:t>
      </w:r>
      <w:r>
        <w:rPr>
          <w:i/>
        </w:rPr>
        <w:t>value</w:t>
      </w:r>
      <w:r>
        <w:t xml:space="preserve"> </w:t>
      </w:r>
      <w:r>
        <w:rPr>
          <w:i/>
        </w:rPr>
        <w:t>added</w:t>
      </w:r>
      <w:r>
        <w:t xml:space="preserve"> </w:t>
      </w:r>
      <w:r>
        <w:rPr>
          <w:i/>
        </w:rPr>
        <w:t>service</w:t>
      </w:r>
      <w:r>
        <w:t xml:space="preserve"> </w:t>
      </w:r>
      <w:r>
        <w:rPr>
          <w:i/>
        </w:rPr>
        <w:t>features</w:t>
      </w:r>
      <w:r>
        <w:t xml:space="preserve"> at the rates set out in </w:t>
      </w:r>
      <w:hyperlink r:id="rId187" w:history="1">
        <w:r>
          <w:rPr>
            <w:rStyle w:val="Hyperlink"/>
          </w:rPr>
          <w:t>Appendix Y</w:t>
        </w:r>
      </w:hyperlink>
      <w:r>
        <w:t xml:space="preserve"> Value Added Service Features. </w:t>
      </w:r>
    </w:p>
    <w:p w14:paraId="33CCD8CF" w14:textId="77777777" w:rsidR="000D07EA" w:rsidRDefault="00BE7C89">
      <w:pPr>
        <w:pStyle w:val="Heading7"/>
      </w:pPr>
      <w:r>
        <w:t xml:space="preserve">If there is a </w:t>
      </w:r>
      <w:r>
        <w:rPr>
          <w:i/>
        </w:rPr>
        <w:t>flagfall</w:t>
      </w:r>
      <w:r>
        <w:t xml:space="preserve"> or call connection charge for a particular call type, the charge for these calls is the </w:t>
      </w:r>
      <w:r>
        <w:rPr>
          <w:i/>
        </w:rPr>
        <w:t>flagfall</w:t>
      </w:r>
      <w:r>
        <w:t xml:space="preserve"> charge plus the relevant rate for the call multiplied by the duration of the call. </w:t>
      </w:r>
    </w:p>
    <w:p w14:paraId="54A65E9B" w14:textId="77777777" w:rsidR="000D07EA" w:rsidRDefault="00BE7C89">
      <w:pPr>
        <w:pStyle w:val="Heading7"/>
        <w:rPr>
          <w:b/>
        </w:rPr>
      </w:pPr>
      <w:bookmarkStart w:id="322" w:name="_Ref461548643"/>
      <w:r>
        <w:rPr>
          <w:b/>
        </w:rPr>
        <w:t>Unlimited Call, Text and Voicemail Offer</w:t>
      </w:r>
      <w:bookmarkEnd w:id="322"/>
      <w:r>
        <w:rPr>
          <w:b/>
        </w:rPr>
        <w:t xml:space="preserve"> </w:t>
      </w:r>
    </w:p>
    <w:p w14:paraId="0D883F3F" w14:textId="77777777" w:rsidR="000D07EA" w:rsidRDefault="00BE7C89">
      <w:pPr>
        <w:pStyle w:val="Heading8"/>
      </w:pPr>
      <w:r>
        <w:t>Under the Timeless Business $129 Plan, customers will receive Unlimited Standard National Voice Calls and diversions, Video Calls, standard national SMS and MMS, PTT up to 150 minutes a month, Voicemail diversions, deposits and retrievals.</w:t>
      </w:r>
    </w:p>
    <w:p w14:paraId="3EEF0CAF" w14:textId="77777777" w:rsidR="000D07EA" w:rsidRDefault="00BE7C89">
      <w:pPr>
        <w:pStyle w:val="Heading8"/>
      </w:pPr>
      <w:r>
        <w:t>Under the Timeless Business $99 + $14.99 Mobile Internet plan, Smart Data or Blackberry Bolt On or Timeless Business $119 Plan, customers will receive Unlimited Standard National Voice Calls and diversions, Video Calls, PTT up to 150 minutes a month and will have a choice between 2 offers called "Unlimited SMS" or "Unlimited Voicemail". Customers must choose an offer or no offer will be added:</w:t>
      </w:r>
    </w:p>
    <w:p w14:paraId="73C66346" w14:textId="77777777" w:rsidR="000D07EA" w:rsidRDefault="00BE7C89">
      <w:pPr>
        <w:pStyle w:val="Heading9"/>
        <w:keepNext/>
      </w:pPr>
      <w:r>
        <w:t>Unlimited SMS Offer</w:t>
      </w:r>
    </w:p>
    <w:p w14:paraId="1CDB5C22" w14:textId="77777777" w:rsidR="000D07EA" w:rsidRDefault="00BE7C89" w:rsidP="00972274">
      <w:pPr>
        <w:pStyle w:val="BodyText"/>
        <w:numPr>
          <w:ilvl w:val="0"/>
          <w:numId w:val="43"/>
        </w:numPr>
        <w:ind w:hanging="720"/>
      </w:pPr>
      <w:r>
        <w:t>Under the Unlimited SMS Offer, customers may send unlimited standard national SMS to GSM mobiles within Australia.</w:t>
      </w:r>
    </w:p>
    <w:p w14:paraId="266A46D1" w14:textId="77777777" w:rsidR="000D07EA" w:rsidRDefault="00BE7C89" w:rsidP="00972274">
      <w:pPr>
        <w:pStyle w:val="BodyText"/>
        <w:numPr>
          <w:ilvl w:val="0"/>
          <w:numId w:val="43"/>
        </w:numPr>
        <w:ind w:hanging="720"/>
      </w:pPr>
      <w:r>
        <w:t>Unlimited SMS offer excludes International SMS and MMS, National MMS, Premium SMS and Instant Messaging (IM).</w:t>
      </w:r>
    </w:p>
    <w:p w14:paraId="562B77D2" w14:textId="77777777" w:rsidR="000D07EA" w:rsidRDefault="00BE7C89" w:rsidP="00972274">
      <w:pPr>
        <w:pStyle w:val="BodyText"/>
        <w:numPr>
          <w:ilvl w:val="0"/>
          <w:numId w:val="43"/>
        </w:numPr>
        <w:ind w:hanging="720"/>
      </w:pPr>
      <w:r>
        <w:t>You must pay for any messages that are not eligible messages.</w:t>
      </w:r>
    </w:p>
    <w:p w14:paraId="5CA0A075" w14:textId="77777777" w:rsidR="000D07EA" w:rsidRDefault="00BE7C89" w:rsidP="00972274">
      <w:pPr>
        <w:pStyle w:val="BodyText"/>
        <w:numPr>
          <w:ilvl w:val="0"/>
          <w:numId w:val="43"/>
        </w:numPr>
        <w:ind w:hanging="720"/>
      </w:pPr>
      <w:r>
        <w:t>Any unused portion of the plan expires at the end of each month. This means that it does not roll over into following month.</w:t>
      </w:r>
    </w:p>
    <w:p w14:paraId="19389B4C" w14:textId="77777777" w:rsidR="000D07EA" w:rsidRDefault="00BE7C89" w:rsidP="00972274">
      <w:pPr>
        <w:pStyle w:val="BodyText"/>
        <w:numPr>
          <w:ilvl w:val="0"/>
          <w:numId w:val="43"/>
        </w:numPr>
        <w:ind w:hanging="720"/>
      </w:pPr>
      <w:r>
        <w:t xml:space="preserve">The unlimited SMS offer only applies for standard personal/business use. </w:t>
      </w:r>
    </w:p>
    <w:p w14:paraId="2BAA7094" w14:textId="77777777" w:rsidR="000D07EA" w:rsidRDefault="00BE7C89">
      <w:pPr>
        <w:pStyle w:val="Heading9"/>
      </w:pPr>
      <w:r>
        <w:t>Unlimited Voicemail Offer</w:t>
      </w:r>
    </w:p>
    <w:p w14:paraId="44AD998F" w14:textId="77777777" w:rsidR="000D07EA" w:rsidRDefault="00BE7C89" w:rsidP="00972274">
      <w:pPr>
        <w:pStyle w:val="BodyText"/>
        <w:numPr>
          <w:ilvl w:val="0"/>
          <w:numId w:val="44"/>
        </w:numPr>
        <w:ind w:hanging="720"/>
      </w:pPr>
      <w:r>
        <w:lastRenderedPageBreak/>
        <w:t xml:space="preserve">Under the Unlimited Voicemail Offer, customers may receive unlimited voicemail deposits and make unlimited voicemail retrievals within Australia at no charge. </w:t>
      </w:r>
    </w:p>
    <w:p w14:paraId="52E8DAD7" w14:textId="77777777" w:rsidR="000D07EA" w:rsidRDefault="00BE7C89" w:rsidP="00972274">
      <w:pPr>
        <w:pStyle w:val="BodyText"/>
        <w:numPr>
          <w:ilvl w:val="0"/>
          <w:numId w:val="44"/>
        </w:numPr>
        <w:ind w:hanging="720"/>
      </w:pPr>
      <w:r>
        <w:t>Diversion charges may still apply.</w:t>
      </w:r>
    </w:p>
    <w:p w14:paraId="4A20466B" w14:textId="77777777" w:rsidR="000D07EA" w:rsidRDefault="00BE7C89" w:rsidP="00972274">
      <w:pPr>
        <w:pStyle w:val="BodyText"/>
        <w:numPr>
          <w:ilvl w:val="0"/>
          <w:numId w:val="44"/>
        </w:numPr>
        <w:ind w:hanging="720"/>
      </w:pPr>
      <w:r>
        <w:t>Fair Go Policy (</w:t>
      </w:r>
      <w:hyperlink r:id="rId188" w:history="1">
        <w:r>
          <w:rPr>
            <w:rStyle w:val="Hyperlink"/>
          </w:rPr>
          <w:t>Appendix S</w:t>
        </w:r>
      </w:hyperlink>
      <w:r>
        <w:t>) applies.</w:t>
      </w:r>
    </w:p>
    <w:p w14:paraId="533A4851" w14:textId="77777777" w:rsidR="000D07EA" w:rsidRDefault="00BE7C89">
      <w:pPr>
        <w:pStyle w:val="Heading8"/>
      </w:pPr>
      <w:r>
        <w:t xml:space="preserve">The call and message types that are </w:t>
      </w:r>
      <w:r>
        <w:rPr>
          <w:b/>
        </w:rPr>
        <w:t>'eligible calls'</w:t>
      </w:r>
      <w:r>
        <w:t xml:space="preserve"> and </w:t>
      </w:r>
      <w:r>
        <w:rPr>
          <w:b/>
        </w:rPr>
        <w:t>'eligible messages'</w:t>
      </w:r>
      <w:r>
        <w:t xml:space="preserve"> for each Timeless Business Plan are defined in Table 1A and below. </w:t>
      </w:r>
    </w:p>
    <w:p w14:paraId="7DF53645" w14:textId="77777777" w:rsidR="000D07EA" w:rsidRDefault="00BE7C89">
      <w:pPr>
        <w:pStyle w:val="Heading8"/>
      </w:pPr>
      <w:r>
        <w:rPr>
          <w:i/>
        </w:rPr>
        <w:t>You</w:t>
      </w:r>
      <w:r>
        <w:t xml:space="preserve"> must pay for any calls or messages that are not eligible calls or messages.</w:t>
      </w:r>
    </w:p>
    <w:p w14:paraId="432FF605" w14:textId="77777777" w:rsidR="000D07EA" w:rsidRDefault="00BE7C89">
      <w:pPr>
        <w:pStyle w:val="Heading8"/>
      </w:pPr>
      <w:r>
        <w:t>Any unused portion of the plan expires at the end of each month. This means that it does not roll over into following month.</w:t>
      </w:r>
    </w:p>
    <w:p w14:paraId="21FDE886" w14:textId="77777777" w:rsidR="000D07EA" w:rsidRDefault="00BE7C89">
      <w:pPr>
        <w:pStyle w:val="Heading7"/>
        <w:rPr>
          <w:b/>
        </w:rPr>
      </w:pPr>
      <w:bookmarkStart w:id="323" w:name="_Ref461548647"/>
      <w:r>
        <w:rPr>
          <w:b/>
        </w:rPr>
        <w:t>Minimum Monthly Charge</w:t>
      </w:r>
      <w:bookmarkEnd w:id="323"/>
    </w:p>
    <w:p w14:paraId="24CE13D4" w14:textId="77777777" w:rsidR="000D07EA" w:rsidRDefault="00BE7C89">
      <w:pPr>
        <w:pStyle w:val="Heading8"/>
      </w:pPr>
      <w:r>
        <w:t xml:space="preserve">Each Timeless Business Plan has a Minimum Monthly Charge amount that </w:t>
      </w:r>
      <w:r>
        <w:rPr>
          <w:i/>
        </w:rPr>
        <w:t>you</w:t>
      </w:r>
      <w:r>
        <w:t xml:space="preserve"> must pay us each month. </w:t>
      </w:r>
    </w:p>
    <w:p w14:paraId="10DB79DF" w14:textId="77777777" w:rsidR="000D07EA" w:rsidRDefault="00BE7C89">
      <w:pPr>
        <w:pStyle w:val="Heading8"/>
      </w:pPr>
      <w:r>
        <w:t xml:space="preserve">If </w:t>
      </w:r>
      <w:r>
        <w:rPr>
          <w:i/>
        </w:rPr>
        <w:t>you</w:t>
      </w:r>
      <w:r>
        <w:t xml:space="preserve"> do not make enough eligible calls or messages in a month to reach </w:t>
      </w:r>
      <w:r>
        <w:rPr>
          <w:i/>
        </w:rPr>
        <w:t>your</w:t>
      </w:r>
      <w:r>
        <w:t xml:space="preserve"> </w:t>
      </w:r>
      <w:r>
        <w:rPr>
          <w:i/>
        </w:rPr>
        <w:t>pricing</w:t>
      </w:r>
      <w:r>
        <w:t xml:space="preserve"> </w:t>
      </w:r>
      <w:r>
        <w:rPr>
          <w:i/>
        </w:rPr>
        <w:t>plan's</w:t>
      </w:r>
      <w:r>
        <w:t xml:space="preserve"> cap start (or Minimum Monthly Charge) </w:t>
      </w:r>
      <w:r>
        <w:rPr>
          <w:i/>
        </w:rPr>
        <w:t>you</w:t>
      </w:r>
      <w:r>
        <w:t xml:space="preserve"> must still pay </w:t>
      </w:r>
      <w:r>
        <w:rPr>
          <w:i/>
        </w:rPr>
        <w:t>us</w:t>
      </w:r>
      <w:r>
        <w:t xml:space="preserve"> </w:t>
      </w:r>
      <w:r>
        <w:rPr>
          <w:i/>
        </w:rPr>
        <w:t>your</w:t>
      </w:r>
      <w:r>
        <w:t xml:space="preserve"> </w:t>
      </w:r>
      <w:r>
        <w:rPr>
          <w:i/>
        </w:rPr>
        <w:t>pricing</w:t>
      </w:r>
      <w:r>
        <w:t xml:space="preserve"> </w:t>
      </w:r>
      <w:r>
        <w:rPr>
          <w:i/>
        </w:rPr>
        <w:t>plan's</w:t>
      </w:r>
      <w:r>
        <w:t xml:space="preserve"> Minimum Monthly Charge for that month.</w:t>
      </w:r>
    </w:p>
    <w:p w14:paraId="4EDF08EC" w14:textId="77777777" w:rsidR="000D07EA" w:rsidRDefault="00BE7C89">
      <w:pPr>
        <w:pStyle w:val="Heading8"/>
      </w:pPr>
      <w:r>
        <w:t>The amount of the Minimum Monthly Charge for each Timeless Business Plan is set out in Table 3A below.</w:t>
      </w:r>
    </w:p>
    <w:p w14:paraId="5D662651" w14:textId="77777777" w:rsidR="000D07EA" w:rsidRDefault="00BE7C89">
      <w:pPr>
        <w:pStyle w:val="Heading8"/>
      </w:pPr>
      <w:r>
        <w:t>You must pay for any calls that are not eligible calls.</w:t>
      </w:r>
    </w:p>
    <w:p w14:paraId="32D8D070" w14:textId="77777777" w:rsidR="000D07EA" w:rsidRDefault="00BE7C89">
      <w:pPr>
        <w:pStyle w:val="Heading7"/>
        <w:rPr>
          <w:b/>
        </w:rPr>
      </w:pPr>
      <w:bookmarkStart w:id="324" w:name="_Ref461548650"/>
      <w:r>
        <w:rPr>
          <w:b/>
        </w:rPr>
        <w:t>Other Timeless Business Plan Conditions and Offers</w:t>
      </w:r>
      <w:bookmarkEnd w:id="324"/>
    </w:p>
    <w:p w14:paraId="42C11874" w14:textId="77777777" w:rsidR="000D07EA" w:rsidRDefault="00BE7C89">
      <w:pPr>
        <w:pStyle w:val="Heading8"/>
      </w:pPr>
      <w:r>
        <w:rPr>
          <w:b/>
        </w:rPr>
        <w:t>International Calls</w:t>
      </w:r>
      <w:r>
        <w:t>: For the period prior to 6 June 2010, international calls from your mobile will be charged at the 'yes' International Rate and will be charged at per 30 second rates. Flagfall of 27c applies per call. Excludes video calls.</w:t>
      </w:r>
    </w:p>
    <w:p w14:paraId="04D3E3B9" w14:textId="77777777" w:rsidR="000D07EA" w:rsidRDefault="00BE7C89">
      <w:pPr>
        <w:pStyle w:val="BodyText"/>
        <w:ind w:left="2160"/>
      </w:pPr>
      <w:r>
        <w:t xml:space="preserve">From 6 June 2010 (inclusive), international calls from your mobile will be charged at the 'yes' Business International rate and will be charged at per 30 second rates. Flagfall of 35c applies per call. For more information on the 'yes' Business International call rates please refer to </w:t>
      </w:r>
      <w:hyperlink r:id="rId189" w:history="1">
        <w:r>
          <w:rPr>
            <w:rStyle w:val="Hyperlink"/>
            <w:i/>
          </w:rPr>
          <w:t>Appendix J</w:t>
        </w:r>
      </w:hyperlink>
      <w:r>
        <w:t>.</w:t>
      </w:r>
    </w:p>
    <w:p w14:paraId="4FD3F1EB" w14:textId="77777777" w:rsidR="000D07EA" w:rsidRDefault="00BE7C89">
      <w:pPr>
        <w:pStyle w:val="Heading8"/>
      </w:pPr>
      <w:r>
        <w:rPr>
          <w:b/>
        </w:rPr>
        <w:t>13/1300/1800 Calls</w:t>
      </w:r>
      <w:r>
        <w:t xml:space="preserve">: These calls will be charged as per the pricing table </w:t>
      </w:r>
      <w:r>
        <w:rPr>
          <w:b/>
          <w:i/>
        </w:rPr>
        <w:t>TABLE 3A – Charges for the Timeless Business Plans</w:t>
      </w:r>
      <w:r>
        <w:t xml:space="preserve"> below </w:t>
      </w:r>
    </w:p>
    <w:p w14:paraId="10F4A9AD" w14:textId="77777777" w:rsidR="000D07EA" w:rsidRDefault="00BE7C89">
      <w:pPr>
        <w:pStyle w:val="Heading8"/>
        <w:keepNext/>
      </w:pPr>
      <w:r>
        <w:rPr>
          <w:b/>
        </w:rPr>
        <w:t>Bolt Ons:</w:t>
      </w:r>
      <w:r>
        <w:t xml:space="preserve"> Upon request, </w:t>
      </w:r>
      <w:r>
        <w:rPr>
          <w:i/>
        </w:rPr>
        <w:t>you</w:t>
      </w:r>
      <w:r>
        <w:t xml:space="preserve"> may select Bolt Ons for an additional $5 per pack, per month per service. </w:t>
      </w:r>
    </w:p>
    <w:p w14:paraId="151E1B81" w14:textId="77777777" w:rsidR="000D07EA" w:rsidRDefault="00BE7C89">
      <w:pPr>
        <w:pStyle w:val="Heading9"/>
      </w:pPr>
      <w:r>
        <w:rPr>
          <w:b/>
        </w:rPr>
        <w:t>SurePage Bolt On:</w:t>
      </w:r>
      <w:r>
        <w:t xml:space="preserve"> Pay $5 extra per month to receive 20 SurePage messages. Each additional message costs 50c. Diversion charges may still apply.</w:t>
      </w:r>
    </w:p>
    <w:p w14:paraId="3F11EC8B" w14:textId="77777777" w:rsidR="000D07EA" w:rsidRDefault="00BE7C89">
      <w:pPr>
        <w:pStyle w:val="Heading9"/>
      </w:pPr>
      <w:r>
        <w:rPr>
          <w:b/>
        </w:rPr>
        <w:t>International:</w:t>
      </w:r>
      <w:r>
        <w:t xml:space="preserve"> Pay $5 extra per month for $3 for 10 minute calls to the top 8 countries of NZ, USA, UK, Canada, Hong Kong, Singapore, Ireland and Italy. Calls going over 10 minutes will be charged the $3.00 plus any subsequent 30 seconds:</w:t>
      </w:r>
    </w:p>
    <w:p w14:paraId="2DAC71AE" w14:textId="77777777" w:rsidR="000D07EA" w:rsidRDefault="00BE7C89" w:rsidP="00972274">
      <w:pPr>
        <w:pStyle w:val="BodyText"/>
        <w:numPr>
          <w:ilvl w:val="0"/>
          <w:numId w:val="45"/>
        </w:numPr>
        <w:ind w:hanging="720"/>
      </w:pPr>
      <w:r>
        <w:t>at the 'yes' international rates for the period prior to 6 June 2010 plus 27c Flagfall applies per call.</w:t>
      </w:r>
    </w:p>
    <w:p w14:paraId="4B91EA3D" w14:textId="77777777" w:rsidR="000D07EA" w:rsidRDefault="00BE7C89" w:rsidP="00972274">
      <w:pPr>
        <w:pStyle w:val="BodyText"/>
        <w:numPr>
          <w:ilvl w:val="0"/>
          <w:numId w:val="45"/>
        </w:numPr>
        <w:ind w:hanging="720"/>
      </w:pPr>
      <w:r>
        <w:t xml:space="preserve">at the 'yes' Business International rates from 6 June 2010 (inclusive) plus 35c flagfall applies per call. For more information on the 'yes' Business International call rates please refer to </w:t>
      </w:r>
      <w:hyperlink r:id="rId190" w:history="1">
        <w:r>
          <w:rPr>
            <w:rStyle w:val="Hyperlink"/>
            <w:i/>
          </w:rPr>
          <w:t>Appendix J</w:t>
        </w:r>
      </w:hyperlink>
      <w:r>
        <w:t>.</w:t>
      </w:r>
    </w:p>
    <w:p w14:paraId="37D411AF" w14:textId="77777777" w:rsidR="000D07EA" w:rsidRDefault="00BE7C89">
      <w:pPr>
        <w:pStyle w:val="Heading8"/>
      </w:pPr>
      <w:r>
        <w:rPr>
          <w:b/>
        </w:rPr>
        <w:t>Mobile Data Plans:</w:t>
      </w:r>
      <w:r>
        <w:t xml:space="preserve"> Pay as </w:t>
      </w:r>
      <w:r>
        <w:rPr>
          <w:i/>
        </w:rPr>
        <w:t>you</w:t>
      </w:r>
      <w:r>
        <w:t xml:space="preserve"> go each month at 1.5¢ per KB capped at $5 for up to 5MB. If </w:t>
      </w:r>
      <w:r>
        <w:rPr>
          <w:i/>
        </w:rPr>
        <w:t>you</w:t>
      </w:r>
      <w:r>
        <w:t xml:space="preserve"> go over 5MB, charges start again at 0.3¢/KB. Upon request, </w:t>
      </w:r>
      <w:r>
        <w:rPr>
          <w:i/>
        </w:rPr>
        <w:t>you</w:t>
      </w:r>
      <w:r>
        <w:t xml:space="preserve"> may select </w:t>
      </w:r>
      <w:r>
        <w:lastRenderedPageBreak/>
        <w:t xml:space="preserve">one of the 1GB, 2GB or 6GB data plans. </w:t>
      </w:r>
      <w:r>
        <w:rPr>
          <w:i/>
        </w:rPr>
        <w:t>You</w:t>
      </w:r>
      <w:r>
        <w:t xml:space="preserve"> will be required to pay each month the minimum monthly spend for the specific data plan </w:t>
      </w:r>
      <w:r>
        <w:rPr>
          <w:i/>
        </w:rPr>
        <w:t>you</w:t>
      </w:r>
      <w:r>
        <w:t xml:space="preserve"> choose. Not available as part of the cap for the plan. </w:t>
      </w:r>
      <w:r>
        <w:rPr>
          <w:i/>
        </w:rPr>
        <w:t>You</w:t>
      </w:r>
      <w:r>
        <w:t xml:space="preserve"> are required to use a GPRS capable device. SMS Alerts, Ring Tones, Screen Logos, Picture Messages, Mobile Games, MMS Select Standard and MMS Select Premium content charges are also additional charges. </w:t>
      </w:r>
    </w:p>
    <w:p w14:paraId="5DB73326" w14:textId="77777777" w:rsidR="000D07EA" w:rsidRDefault="00BE7C89">
      <w:pPr>
        <w:pStyle w:val="Heading8"/>
      </w:pPr>
      <w:r>
        <w:t>The Fair Go Policy (</w:t>
      </w:r>
      <w:hyperlink r:id="rId191" w:history="1">
        <w:r>
          <w:rPr>
            <w:rStyle w:val="Hyperlink"/>
            <w:i/>
          </w:rPr>
          <w:t>Appendix S</w:t>
        </w:r>
      </w:hyperlink>
      <w:r>
        <w:t xml:space="preserve">) applies to: </w:t>
      </w:r>
    </w:p>
    <w:p w14:paraId="58322B12" w14:textId="77777777" w:rsidR="000D07EA" w:rsidRDefault="00BE7C89">
      <w:pPr>
        <w:pStyle w:val="Heading9"/>
      </w:pPr>
      <w:r>
        <w:t xml:space="preserve">Voice Over Internet Protocol (VOIP) services up to 10 megabytes per month. Please refer to </w:t>
      </w:r>
      <w:hyperlink r:id="rId192" w:history="1">
        <w:r w:rsidRPr="00DD7FB0">
          <w:rPr>
            <w:rStyle w:val="Hyperlink"/>
            <w:i/>
          </w:rPr>
          <w:t xml:space="preserve">Appendix </w:t>
        </w:r>
        <w:r w:rsidR="00DD7FB0" w:rsidRPr="00DD7FB0">
          <w:rPr>
            <w:rStyle w:val="Hyperlink"/>
            <w:i/>
          </w:rPr>
          <w:t>S</w:t>
        </w:r>
      </w:hyperlink>
      <w:r>
        <w:t>.</w:t>
      </w:r>
    </w:p>
    <w:p w14:paraId="17AB2B75" w14:textId="77777777" w:rsidR="000D07EA" w:rsidRDefault="00BE7C89">
      <w:pPr>
        <w:pStyle w:val="Heading9"/>
      </w:pPr>
      <w:r>
        <w:t xml:space="preserve">Voice Over Internet Protocol (VOIP) services (other than PTT) will be charged at 1.5c per kilobyte of usage, capped at $9.90 per month until </w:t>
      </w:r>
      <w:r>
        <w:rPr>
          <w:i/>
        </w:rPr>
        <w:t>you</w:t>
      </w:r>
      <w:r>
        <w:t xml:space="preserve"> reach 5 megabytes of usage in that month, after which </w:t>
      </w:r>
      <w:r>
        <w:rPr>
          <w:i/>
        </w:rPr>
        <w:t>you</w:t>
      </w:r>
      <w:r>
        <w:t xml:space="preserve"> will be charged at 0.3c per kilobyte of usage for the remainder of that month.</w:t>
      </w:r>
    </w:p>
    <w:p w14:paraId="1CAED9C9" w14:textId="77777777" w:rsidR="000D07EA" w:rsidRDefault="00BE7C89">
      <w:pPr>
        <w:pStyle w:val="Heading9"/>
      </w:pPr>
      <w:r>
        <w:t>Push to Talk (PTT) usage of up to 150 minutes per month.</w:t>
      </w:r>
    </w:p>
    <w:p w14:paraId="7AE5A2EC" w14:textId="77777777" w:rsidR="000D07EA" w:rsidRDefault="00BE7C89">
      <w:pPr>
        <w:pStyle w:val="Heading9"/>
      </w:pPr>
      <w:r>
        <w:t>Mobile IM on the pay as you go rate up to 1MB per day, on the monthly option up to 10MB per month,</w:t>
      </w:r>
    </w:p>
    <w:p w14:paraId="56A82CB2" w14:textId="77777777" w:rsidR="000D07EA" w:rsidRDefault="00BE7C89">
      <w:pPr>
        <w:pStyle w:val="Heading9"/>
      </w:pPr>
      <w:r>
        <w:t xml:space="preserve">Use of unlimited text is for standard personal/business use only. </w:t>
      </w:r>
    </w:p>
    <w:p w14:paraId="0CC79756" w14:textId="77777777" w:rsidR="000D07EA" w:rsidRDefault="00BE7C89">
      <w:pPr>
        <w:pStyle w:val="Heading9"/>
      </w:pPr>
      <w:r>
        <w:t>International usage of up to 300 minutes per month</w:t>
      </w:r>
    </w:p>
    <w:p w14:paraId="60057C95" w14:textId="77777777" w:rsidR="000D07EA" w:rsidRDefault="00BE7C89">
      <w:pPr>
        <w:pStyle w:val="Heading7"/>
        <w:rPr>
          <w:b/>
        </w:rPr>
      </w:pPr>
      <w:r>
        <w:rPr>
          <w:b/>
        </w:rPr>
        <w:t>Eligible Calls, Messages and Pricing Plans</w:t>
      </w:r>
    </w:p>
    <w:p w14:paraId="4D893EC3" w14:textId="77777777" w:rsidR="000D07EA" w:rsidRDefault="00BE7C89">
      <w:pPr>
        <w:pStyle w:val="BodyText"/>
        <w:ind w:left="1440"/>
      </w:pPr>
      <w:r>
        <w:t xml:space="preserve">Table 1A below indicates whether a particular call type is an 'eligible call' which is Unlimited in the Timeless Business Plan and Minimum Monthly Charge of </w:t>
      </w:r>
      <w:r>
        <w:rPr>
          <w:i/>
        </w:rPr>
        <w:t>your</w:t>
      </w:r>
      <w:r>
        <w:t xml:space="preserve"> selected Timeless Business Plan.</w:t>
      </w:r>
    </w:p>
    <w:p w14:paraId="2539A87E" w14:textId="77777777" w:rsidR="000D07EA" w:rsidRDefault="00BE7C89">
      <w:pPr>
        <w:pStyle w:val="BodyText"/>
        <w:ind w:left="1440"/>
      </w:pPr>
      <w:r>
        <w:t xml:space="preserve">Table 2A below indicates whether a particular data type is 'eligible data usage' which counts towards the data value of </w:t>
      </w:r>
      <w:r>
        <w:rPr>
          <w:i/>
        </w:rPr>
        <w:t>your</w:t>
      </w:r>
      <w:r>
        <w:t xml:space="preserve"> selected Timeless Business Plan. </w:t>
      </w:r>
    </w:p>
    <w:p w14:paraId="3001A199" w14:textId="77777777" w:rsidR="000D07EA" w:rsidRDefault="00BE7C89">
      <w:pPr>
        <w:pStyle w:val="BodyText"/>
        <w:ind w:left="1440"/>
      </w:pPr>
      <w:r>
        <w:t>Table 3A below contains pricing details of each Timeless Business Plan.</w:t>
      </w:r>
    </w:p>
    <w:p w14:paraId="49A12A6C" w14:textId="77777777" w:rsidR="000D07EA" w:rsidRDefault="00BE7C89">
      <w:pPr>
        <w:pStyle w:val="BodyText"/>
        <w:spacing w:before="240"/>
        <w:ind w:left="1440"/>
        <w:rPr>
          <w:b/>
        </w:rPr>
      </w:pPr>
      <w:r>
        <w:rPr>
          <w:b/>
        </w:rPr>
        <w:t>Table 1A – Eligible Calls</w:t>
      </w:r>
    </w:p>
    <w:tbl>
      <w:tblPr>
        <w:tblW w:w="4285"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409"/>
        <w:gridCol w:w="4322"/>
      </w:tblGrid>
      <w:tr w:rsidR="000D07EA" w14:paraId="405B3B5A" w14:textId="77777777">
        <w:trPr>
          <w:tblHeader/>
        </w:trPr>
        <w:tc>
          <w:tcPr>
            <w:tcW w:w="2525" w:type="pct"/>
          </w:tcPr>
          <w:p w14:paraId="46E541C8" w14:textId="77777777" w:rsidR="000D07EA" w:rsidRDefault="00BE7C89">
            <w:pPr>
              <w:pStyle w:val="BodyText"/>
              <w:spacing w:before="100" w:after="100"/>
              <w:rPr>
                <w:b/>
              </w:rPr>
            </w:pPr>
            <w:r>
              <w:rPr>
                <w:b/>
              </w:rPr>
              <w:t>Call Type</w:t>
            </w:r>
          </w:p>
        </w:tc>
        <w:tc>
          <w:tcPr>
            <w:tcW w:w="2475" w:type="pct"/>
          </w:tcPr>
          <w:p w14:paraId="6419799C" w14:textId="77777777" w:rsidR="000D07EA" w:rsidRDefault="00BE7C89">
            <w:pPr>
              <w:pStyle w:val="BodyText"/>
              <w:spacing w:before="100" w:after="100"/>
              <w:rPr>
                <w:b/>
              </w:rPr>
            </w:pPr>
            <w:r>
              <w:rPr>
                <w:b/>
              </w:rPr>
              <w:t xml:space="preserve">Eligible Call </w:t>
            </w:r>
          </w:p>
        </w:tc>
      </w:tr>
      <w:tr w:rsidR="000D07EA" w14:paraId="2B260133" w14:textId="77777777">
        <w:tc>
          <w:tcPr>
            <w:tcW w:w="2525" w:type="pct"/>
          </w:tcPr>
          <w:p w14:paraId="0700B1D5" w14:textId="77777777" w:rsidR="000D07EA" w:rsidRDefault="00BE7C89">
            <w:pPr>
              <w:pStyle w:val="BodyText"/>
              <w:spacing w:before="100" w:after="100"/>
            </w:pPr>
            <w:r>
              <w:t>National Voice Calls &amp; Diversions</w:t>
            </w:r>
          </w:p>
        </w:tc>
        <w:tc>
          <w:tcPr>
            <w:tcW w:w="2475" w:type="pct"/>
          </w:tcPr>
          <w:p w14:paraId="40B2EC74" w14:textId="77777777" w:rsidR="000D07EA" w:rsidRDefault="00BE7C89">
            <w:pPr>
              <w:pStyle w:val="BodyText"/>
              <w:spacing w:before="100" w:after="100"/>
            </w:pPr>
            <w:r>
              <w:t>Yes</w:t>
            </w:r>
          </w:p>
        </w:tc>
      </w:tr>
      <w:tr w:rsidR="000D07EA" w14:paraId="1532B472" w14:textId="77777777">
        <w:tc>
          <w:tcPr>
            <w:tcW w:w="2525" w:type="pct"/>
          </w:tcPr>
          <w:p w14:paraId="6C08B9F2" w14:textId="77777777" w:rsidR="000D07EA" w:rsidRDefault="00BE7C89">
            <w:pPr>
              <w:pStyle w:val="BodyText"/>
              <w:spacing w:before="100" w:after="100"/>
            </w:pPr>
            <w:r>
              <w:t>National Video Calls</w:t>
            </w:r>
          </w:p>
        </w:tc>
        <w:tc>
          <w:tcPr>
            <w:tcW w:w="2475" w:type="pct"/>
          </w:tcPr>
          <w:p w14:paraId="25D27080" w14:textId="77777777" w:rsidR="000D07EA" w:rsidRDefault="00BE7C89">
            <w:pPr>
              <w:pStyle w:val="BodyText"/>
              <w:spacing w:before="100" w:after="100"/>
            </w:pPr>
            <w:r>
              <w:t>Yes</w:t>
            </w:r>
          </w:p>
        </w:tc>
      </w:tr>
      <w:tr w:rsidR="000D07EA" w14:paraId="5C9C0F89" w14:textId="77777777">
        <w:tc>
          <w:tcPr>
            <w:tcW w:w="2525" w:type="pct"/>
          </w:tcPr>
          <w:p w14:paraId="55413A00" w14:textId="77777777" w:rsidR="000D07EA" w:rsidRDefault="00BE7C89">
            <w:pPr>
              <w:pStyle w:val="BodyText"/>
              <w:spacing w:before="100" w:after="100"/>
            </w:pPr>
            <w:r>
              <w:t>International Voice Calls</w:t>
            </w:r>
          </w:p>
          <w:p w14:paraId="425B01DE" w14:textId="77777777" w:rsidR="000D07EA" w:rsidRDefault="00BE7C89">
            <w:pPr>
              <w:pStyle w:val="BodyText"/>
              <w:spacing w:before="100" w:after="100"/>
            </w:pPr>
            <w:r>
              <w:t>(including calls to national fixed or GSM mobile services that then divert/switch or re-route overseas)</w:t>
            </w:r>
          </w:p>
        </w:tc>
        <w:tc>
          <w:tcPr>
            <w:tcW w:w="2475" w:type="pct"/>
          </w:tcPr>
          <w:p w14:paraId="386382C2" w14:textId="77777777" w:rsidR="000D07EA" w:rsidRDefault="00BE7C89">
            <w:pPr>
              <w:pStyle w:val="BodyText"/>
              <w:spacing w:before="100" w:after="100"/>
            </w:pPr>
            <w:r>
              <w:t xml:space="preserve">No </w:t>
            </w:r>
          </w:p>
        </w:tc>
      </w:tr>
      <w:tr w:rsidR="000D07EA" w14:paraId="3ADA6DA7" w14:textId="77777777">
        <w:tc>
          <w:tcPr>
            <w:tcW w:w="2525" w:type="pct"/>
          </w:tcPr>
          <w:p w14:paraId="6A0CEA69" w14:textId="77777777" w:rsidR="000D07EA" w:rsidRDefault="00BE7C89">
            <w:pPr>
              <w:pStyle w:val="BodyText"/>
              <w:spacing w:before="100" w:after="100"/>
            </w:pPr>
            <w:r>
              <w:t>International Video Calls</w:t>
            </w:r>
          </w:p>
          <w:p w14:paraId="0C89B0B7" w14:textId="77777777" w:rsidR="000D07EA" w:rsidRDefault="00BE7C89">
            <w:pPr>
              <w:pStyle w:val="BodyText"/>
              <w:spacing w:before="100" w:after="100"/>
            </w:pPr>
            <w:r>
              <w:t>(including calls to national fixed or GSM mobile services that then divert/switch or re-route overseas)</w:t>
            </w:r>
          </w:p>
        </w:tc>
        <w:tc>
          <w:tcPr>
            <w:tcW w:w="2475" w:type="pct"/>
          </w:tcPr>
          <w:p w14:paraId="194D058B" w14:textId="77777777" w:rsidR="000D07EA" w:rsidRDefault="00BE7C89">
            <w:pPr>
              <w:pStyle w:val="BodyText"/>
              <w:spacing w:before="100" w:after="100"/>
            </w:pPr>
            <w:r>
              <w:t>No</w:t>
            </w:r>
          </w:p>
        </w:tc>
      </w:tr>
      <w:tr w:rsidR="000D07EA" w14:paraId="2174F86E" w14:textId="77777777">
        <w:tc>
          <w:tcPr>
            <w:tcW w:w="2525" w:type="pct"/>
          </w:tcPr>
          <w:p w14:paraId="68AD766F" w14:textId="77777777" w:rsidR="000D07EA" w:rsidRDefault="00BE7C89">
            <w:pPr>
              <w:pStyle w:val="BodyText"/>
              <w:spacing w:before="100" w:after="100"/>
            </w:pPr>
            <w:r>
              <w:t>National Standard SMS</w:t>
            </w:r>
          </w:p>
        </w:tc>
        <w:tc>
          <w:tcPr>
            <w:tcW w:w="2475" w:type="pct"/>
          </w:tcPr>
          <w:p w14:paraId="61A56733" w14:textId="77777777" w:rsidR="000D07EA" w:rsidRDefault="00BE7C89">
            <w:pPr>
              <w:pStyle w:val="BodyText"/>
              <w:spacing w:before="100" w:after="100"/>
            </w:pPr>
            <w:r>
              <w:t>Yes for the Timeless Business $129 and only if you selected the Unlimited SMS offer on the other Timeless Business plans.</w:t>
            </w:r>
          </w:p>
        </w:tc>
      </w:tr>
      <w:tr w:rsidR="000D07EA" w14:paraId="2B2C3332" w14:textId="77777777">
        <w:tc>
          <w:tcPr>
            <w:tcW w:w="2525" w:type="pct"/>
          </w:tcPr>
          <w:p w14:paraId="1F6B52D4" w14:textId="77777777" w:rsidR="000D07EA" w:rsidRDefault="00BE7C89">
            <w:pPr>
              <w:pStyle w:val="BodyText"/>
              <w:spacing w:before="100" w:after="100"/>
            </w:pPr>
            <w:r>
              <w:t>International SMS</w:t>
            </w:r>
          </w:p>
        </w:tc>
        <w:tc>
          <w:tcPr>
            <w:tcW w:w="2475" w:type="pct"/>
          </w:tcPr>
          <w:p w14:paraId="735551B3" w14:textId="77777777" w:rsidR="000D07EA" w:rsidRDefault="00BE7C89">
            <w:pPr>
              <w:pStyle w:val="BodyText"/>
              <w:spacing w:before="100" w:after="100"/>
            </w:pPr>
            <w:r>
              <w:t>No</w:t>
            </w:r>
          </w:p>
        </w:tc>
      </w:tr>
      <w:tr w:rsidR="000D07EA" w14:paraId="25417B5D" w14:textId="77777777">
        <w:tc>
          <w:tcPr>
            <w:tcW w:w="2525" w:type="pct"/>
          </w:tcPr>
          <w:p w14:paraId="59B4BFAF" w14:textId="77777777" w:rsidR="000D07EA" w:rsidRDefault="00BE7C89">
            <w:pPr>
              <w:pStyle w:val="BodyText"/>
              <w:spacing w:before="100" w:after="100"/>
            </w:pPr>
            <w:r>
              <w:t>National MMS</w:t>
            </w:r>
          </w:p>
        </w:tc>
        <w:tc>
          <w:tcPr>
            <w:tcW w:w="2475" w:type="pct"/>
          </w:tcPr>
          <w:p w14:paraId="062A7119" w14:textId="77777777" w:rsidR="000D07EA" w:rsidRDefault="00BE7C89">
            <w:pPr>
              <w:pStyle w:val="BodyText"/>
              <w:spacing w:before="100" w:after="100"/>
            </w:pPr>
            <w:r>
              <w:t>Yes</w:t>
            </w:r>
          </w:p>
        </w:tc>
      </w:tr>
      <w:tr w:rsidR="000D07EA" w14:paraId="5A47E609" w14:textId="77777777">
        <w:tc>
          <w:tcPr>
            <w:tcW w:w="2525" w:type="pct"/>
          </w:tcPr>
          <w:p w14:paraId="5C2669DD" w14:textId="77777777" w:rsidR="000D07EA" w:rsidRDefault="00BE7C89">
            <w:pPr>
              <w:pStyle w:val="BodyText"/>
              <w:spacing w:before="100" w:after="100"/>
            </w:pPr>
            <w:r>
              <w:lastRenderedPageBreak/>
              <w:t>International MMS</w:t>
            </w:r>
          </w:p>
        </w:tc>
        <w:tc>
          <w:tcPr>
            <w:tcW w:w="2475" w:type="pct"/>
          </w:tcPr>
          <w:p w14:paraId="48B81D46" w14:textId="77777777" w:rsidR="000D07EA" w:rsidRDefault="00BE7C89">
            <w:pPr>
              <w:pStyle w:val="BodyText"/>
              <w:spacing w:before="100" w:after="100"/>
            </w:pPr>
            <w:r>
              <w:t>No</w:t>
            </w:r>
          </w:p>
        </w:tc>
      </w:tr>
      <w:tr w:rsidR="000D07EA" w14:paraId="539DA48F" w14:textId="77777777">
        <w:tc>
          <w:tcPr>
            <w:tcW w:w="2525" w:type="pct"/>
          </w:tcPr>
          <w:p w14:paraId="1350DEC9" w14:textId="77777777" w:rsidR="000D07EA" w:rsidRDefault="00BE7C89">
            <w:pPr>
              <w:pStyle w:val="BodyText"/>
              <w:spacing w:before="100" w:after="100"/>
            </w:pPr>
            <w:r>
              <w:t>Voicemail Diversions</w:t>
            </w:r>
          </w:p>
        </w:tc>
        <w:tc>
          <w:tcPr>
            <w:tcW w:w="2475" w:type="pct"/>
          </w:tcPr>
          <w:p w14:paraId="207F6DA2" w14:textId="77777777" w:rsidR="000D07EA" w:rsidRDefault="00BE7C89">
            <w:pPr>
              <w:pStyle w:val="BodyText"/>
              <w:spacing w:before="100" w:after="100"/>
            </w:pPr>
            <w:r>
              <w:t>Yes</w:t>
            </w:r>
          </w:p>
        </w:tc>
      </w:tr>
      <w:tr w:rsidR="000D07EA" w14:paraId="6826CAE0" w14:textId="77777777">
        <w:tc>
          <w:tcPr>
            <w:tcW w:w="2525" w:type="pct"/>
          </w:tcPr>
          <w:p w14:paraId="61BEF171" w14:textId="77777777" w:rsidR="000D07EA" w:rsidRDefault="00BE7C89">
            <w:pPr>
              <w:pStyle w:val="BodyText"/>
              <w:spacing w:before="100" w:after="100"/>
            </w:pPr>
            <w:r>
              <w:t>Voicemail Deposit and Retrievals</w:t>
            </w:r>
          </w:p>
        </w:tc>
        <w:tc>
          <w:tcPr>
            <w:tcW w:w="2475" w:type="pct"/>
          </w:tcPr>
          <w:p w14:paraId="754160AD" w14:textId="77777777" w:rsidR="000D07EA" w:rsidRDefault="00BE7C89">
            <w:pPr>
              <w:pStyle w:val="BodyText"/>
              <w:spacing w:before="100" w:after="100"/>
            </w:pPr>
            <w:r>
              <w:t>Yes for the Timeless Business $129 and only if you selected the Unlimited Voicemail offer on the other Timeless Business plans.</w:t>
            </w:r>
          </w:p>
        </w:tc>
      </w:tr>
      <w:tr w:rsidR="000D07EA" w14:paraId="49C022C1" w14:textId="77777777">
        <w:tc>
          <w:tcPr>
            <w:tcW w:w="2525" w:type="pct"/>
          </w:tcPr>
          <w:p w14:paraId="3341E14C" w14:textId="77777777" w:rsidR="000D07EA" w:rsidRDefault="00BE7C89">
            <w:pPr>
              <w:pStyle w:val="BodyText"/>
              <w:spacing w:before="100" w:after="100"/>
            </w:pPr>
            <w:r>
              <w:t>International Roaming and Diversion</w:t>
            </w:r>
          </w:p>
        </w:tc>
        <w:tc>
          <w:tcPr>
            <w:tcW w:w="2475" w:type="pct"/>
          </w:tcPr>
          <w:p w14:paraId="016CE5FF" w14:textId="77777777" w:rsidR="000D07EA" w:rsidRDefault="00BE7C89">
            <w:pPr>
              <w:pStyle w:val="BodyText"/>
              <w:spacing w:before="100" w:after="100"/>
            </w:pPr>
            <w:r>
              <w:t>No</w:t>
            </w:r>
          </w:p>
        </w:tc>
      </w:tr>
      <w:tr w:rsidR="000D07EA" w14:paraId="63232C0F" w14:textId="77777777">
        <w:tc>
          <w:tcPr>
            <w:tcW w:w="2525" w:type="pct"/>
          </w:tcPr>
          <w:p w14:paraId="6B022C04" w14:textId="77777777" w:rsidR="000D07EA" w:rsidRDefault="00BE7C89">
            <w:pPr>
              <w:pStyle w:val="BodyText"/>
              <w:spacing w:before="100" w:after="100"/>
            </w:pPr>
            <w:r>
              <w:t>Premium SMS</w:t>
            </w:r>
          </w:p>
        </w:tc>
        <w:tc>
          <w:tcPr>
            <w:tcW w:w="2475" w:type="pct"/>
          </w:tcPr>
          <w:p w14:paraId="4D5F7BF4" w14:textId="77777777" w:rsidR="000D07EA" w:rsidRDefault="00BE7C89">
            <w:pPr>
              <w:pStyle w:val="BodyText"/>
              <w:spacing w:before="100" w:after="100"/>
            </w:pPr>
            <w:r>
              <w:t>No</w:t>
            </w:r>
          </w:p>
        </w:tc>
      </w:tr>
      <w:tr w:rsidR="000D07EA" w14:paraId="2813854A" w14:textId="77777777">
        <w:tc>
          <w:tcPr>
            <w:tcW w:w="2525" w:type="pct"/>
          </w:tcPr>
          <w:p w14:paraId="575E3548" w14:textId="77777777" w:rsidR="000D07EA" w:rsidRDefault="00BE7C89">
            <w:pPr>
              <w:pStyle w:val="BodyText"/>
              <w:spacing w:before="100" w:after="100"/>
            </w:pPr>
            <w:r>
              <w:t>Premium Video</w:t>
            </w:r>
          </w:p>
        </w:tc>
        <w:tc>
          <w:tcPr>
            <w:tcW w:w="2475" w:type="pct"/>
          </w:tcPr>
          <w:p w14:paraId="542EF255" w14:textId="77777777" w:rsidR="000D07EA" w:rsidRDefault="00BE7C89">
            <w:pPr>
              <w:pStyle w:val="BodyText"/>
              <w:spacing w:before="100" w:after="100"/>
            </w:pPr>
            <w:r>
              <w:t>No</w:t>
            </w:r>
          </w:p>
        </w:tc>
      </w:tr>
      <w:tr w:rsidR="000D07EA" w14:paraId="5BF59B90" w14:textId="77777777">
        <w:tc>
          <w:tcPr>
            <w:tcW w:w="2525" w:type="pct"/>
          </w:tcPr>
          <w:p w14:paraId="0FED3CA1" w14:textId="77777777" w:rsidR="000D07EA" w:rsidRDefault="00BE7C89">
            <w:pPr>
              <w:pStyle w:val="BodyText"/>
              <w:spacing w:before="100" w:after="100"/>
            </w:pPr>
            <w:r>
              <w:t>Video Conferencing</w:t>
            </w:r>
          </w:p>
        </w:tc>
        <w:tc>
          <w:tcPr>
            <w:tcW w:w="2475" w:type="pct"/>
          </w:tcPr>
          <w:p w14:paraId="1B3BB0AD" w14:textId="77777777" w:rsidR="000D07EA" w:rsidRDefault="00BE7C89">
            <w:pPr>
              <w:pStyle w:val="BodyText"/>
              <w:spacing w:before="100" w:after="100"/>
            </w:pPr>
            <w:r>
              <w:t>No</w:t>
            </w:r>
          </w:p>
        </w:tc>
      </w:tr>
      <w:tr w:rsidR="000D07EA" w14:paraId="41D9E3B6" w14:textId="77777777">
        <w:tc>
          <w:tcPr>
            <w:tcW w:w="2525" w:type="pct"/>
          </w:tcPr>
          <w:p w14:paraId="785DBE6C" w14:textId="77777777" w:rsidR="000D07EA" w:rsidRDefault="00BE7C89">
            <w:pPr>
              <w:pStyle w:val="BodyText"/>
              <w:spacing w:before="100" w:after="100"/>
            </w:pPr>
            <w:r>
              <w:t>Optus iZoo Browsing</w:t>
            </w:r>
          </w:p>
        </w:tc>
        <w:tc>
          <w:tcPr>
            <w:tcW w:w="2475" w:type="pct"/>
          </w:tcPr>
          <w:p w14:paraId="3F5F30A4" w14:textId="77777777" w:rsidR="000D07EA" w:rsidRDefault="00BE7C89">
            <w:pPr>
              <w:pStyle w:val="BodyText"/>
              <w:spacing w:before="100" w:after="100"/>
            </w:pPr>
            <w:r>
              <w:t>No</w:t>
            </w:r>
          </w:p>
        </w:tc>
      </w:tr>
      <w:tr w:rsidR="000D07EA" w14:paraId="6CA577B8" w14:textId="77777777">
        <w:tc>
          <w:tcPr>
            <w:tcW w:w="2525" w:type="pct"/>
          </w:tcPr>
          <w:p w14:paraId="5F0198AE" w14:textId="77777777" w:rsidR="000D07EA" w:rsidRDefault="00BE7C89">
            <w:pPr>
              <w:pStyle w:val="BodyText"/>
              <w:spacing w:before="100" w:after="100"/>
            </w:pPr>
            <w:r>
              <w:t>Optus iZoo Downloads</w:t>
            </w:r>
          </w:p>
        </w:tc>
        <w:tc>
          <w:tcPr>
            <w:tcW w:w="2475" w:type="pct"/>
          </w:tcPr>
          <w:p w14:paraId="5B4B23B3" w14:textId="77777777" w:rsidR="000D07EA" w:rsidRDefault="00BE7C89">
            <w:pPr>
              <w:pStyle w:val="BodyText"/>
              <w:spacing w:before="100" w:after="100"/>
            </w:pPr>
            <w:r>
              <w:t>No</w:t>
            </w:r>
          </w:p>
        </w:tc>
      </w:tr>
      <w:tr w:rsidR="000D07EA" w14:paraId="4D69848A" w14:textId="77777777">
        <w:tc>
          <w:tcPr>
            <w:tcW w:w="2525" w:type="pct"/>
          </w:tcPr>
          <w:p w14:paraId="22EECB0D" w14:textId="77777777" w:rsidR="000D07EA" w:rsidRDefault="00BE7C89">
            <w:pPr>
              <w:pStyle w:val="BodyText"/>
              <w:spacing w:before="100" w:after="100"/>
            </w:pPr>
            <w:r>
              <w:t>966* Zoo</w:t>
            </w:r>
          </w:p>
        </w:tc>
        <w:tc>
          <w:tcPr>
            <w:tcW w:w="2475" w:type="pct"/>
          </w:tcPr>
          <w:p w14:paraId="3DF07948" w14:textId="77777777" w:rsidR="000D07EA" w:rsidRDefault="00BE7C89">
            <w:pPr>
              <w:pStyle w:val="BodyText"/>
              <w:spacing w:before="100" w:after="100"/>
            </w:pPr>
            <w:r>
              <w:t>No</w:t>
            </w:r>
          </w:p>
        </w:tc>
      </w:tr>
      <w:tr w:rsidR="000D07EA" w14:paraId="628FE939" w14:textId="77777777">
        <w:tc>
          <w:tcPr>
            <w:tcW w:w="2525" w:type="pct"/>
          </w:tcPr>
          <w:p w14:paraId="640E839D" w14:textId="77777777" w:rsidR="000D07EA" w:rsidRDefault="00BE7C89">
            <w:pPr>
              <w:pStyle w:val="BodyText"/>
              <w:spacing w:before="100" w:after="100"/>
            </w:pPr>
            <w:r>
              <w:t>Mobile Internet usage</w:t>
            </w:r>
          </w:p>
        </w:tc>
        <w:tc>
          <w:tcPr>
            <w:tcW w:w="2475" w:type="pct"/>
          </w:tcPr>
          <w:p w14:paraId="1BDC03F1" w14:textId="77777777" w:rsidR="000D07EA" w:rsidRDefault="00BE7C89">
            <w:pPr>
              <w:pStyle w:val="BodyText"/>
              <w:spacing w:before="100" w:after="100"/>
            </w:pPr>
            <w:r>
              <w:t>No</w:t>
            </w:r>
          </w:p>
        </w:tc>
      </w:tr>
      <w:tr w:rsidR="000D07EA" w14:paraId="76CC3EFA" w14:textId="77777777">
        <w:tc>
          <w:tcPr>
            <w:tcW w:w="2525" w:type="pct"/>
          </w:tcPr>
          <w:p w14:paraId="45F32425" w14:textId="77777777" w:rsidR="000D07EA" w:rsidRDefault="00BE7C89">
            <w:pPr>
              <w:pStyle w:val="BodyText"/>
              <w:spacing w:before="100" w:after="100"/>
            </w:pPr>
            <w:r>
              <w:t>Data Used while Roaming Internationally</w:t>
            </w:r>
          </w:p>
        </w:tc>
        <w:tc>
          <w:tcPr>
            <w:tcW w:w="2475" w:type="pct"/>
          </w:tcPr>
          <w:p w14:paraId="1BBE83A0" w14:textId="77777777" w:rsidR="000D07EA" w:rsidRDefault="00BE7C89">
            <w:pPr>
              <w:pStyle w:val="BodyText"/>
              <w:spacing w:before="100" w:after="100"/>
            </w:pPr>
            <w:r>
              <w:t>No</w:t>
            </w:r>
          </w:p>
        </w:tc>
      </w:tr>
      <w:tr w:rsidR="000D07EA" w14:paraId="09584346" w14:textId="77777777">
        <w:tc>
          <w:tcPr>
            <w:tcW w:w="2525" w:type="pct"/>
          </w:tcPr>
          <w:p w14:paraId="14990352" w14:textId="77777777" w:rsidR="000D07EA" w:rsidRDefault="00BE7C89">
            <w:pPr>
              <w:pStyle w:val="BodyText"/>
              <w:spacing w:before="100" w:after="100"/>
            </w:pPr>
            <w:r>
              <w:t>Content Packs (unless specified in promotions)</w:t>
            </w:r>
          </w:p>
        </w:tc>
        <w:tc>
          <w:tcPr>
            <w:tcW w:w="2475" w:type="pct"/>
          </w:tcPr>
          <w:p w14:paraId="4D211610" w14:textId="77777777" w:rsidR="000D07EA" w:rsidRDefault="00BE7C89">
            <w:pPr>
              <w:pStyle w:val="BodyText"/>
              <w:spacing w:before="100" w:after="100"/>
            </w:pPr>
            <w:r>
              <w:t>No</w:t>
            </w:r>
          </w:p>
        </w:tc>
      </w:tr>
      <w:tr w:rsidR="000D07EA" w14:paraId="11116713" w14:textId="77777777">
        <w:tc>
          <w:tcPr>
            <w:tcW w:w="2525" w:type="pct"/>
          </w:tcPr>
          <w:p w14:paraId="1A1997A5" w14:textId="77777777" w:rsidR="000D07EA" w:rsidRDefault="00BE7C89">
            <w:pPr>
              <w:pStyle w:val="BodyText"/>
              <w:spacing w:before="100" w:after="100"/>
            </w:pPr>
            <w:r>
              <w:t>Mobile Instant Messaging – IM</w:t>
            </w:r>
          </w:p>
        </w:tc>
        <w:tc>
          <w:tcPr>
            <w:tcW w:w="2475" w:type="pct"/>
          </w:tcPr>
          <w:p w14:paraId="62DB45CB" w14:textId="77777777" w:rsidR="000D07EA" w:rsidRDefault="00BE7C89">
            <w:pPr>
              <w:pStyle w:val="BodyText"/>
              <w:spacing w:before="100" w:after="100"/>
            </w:pPr>
            <w:r>
              <w:t>No</w:t>
            </w:r>
          </w:p>
        </w:tc>
      </w:tr>
      <w:tr w:rsidR="000D07EA" w14:paraId="72600923" w14:textId="77777777">
        <w:tc>
          <w:tcPr>
            <w:tcW w:w="2525" w:type="pct"/>
          </w:tcPr>
          <w:p w14:paraId="63ABEDB6" w14:textId="77777777" w:rsidR="000D07EA" w:rsidRDefault="00BE7C89">
            <w:pPr>
              <w:pStyle w:val="BodyText"/>
              <w:spacing w:before="100" w:after="100"/>
            </w:pPr>
            <w:r>
              <w:t>TrueLocal Usage</w:t>
            </w:r>
          </w:p>
        </w:tc>
        <w:tc>
          <w:tcPr>
            <w:tcW w:w="2475" w:type="pct"/>
          </w:tcPr>
          <w:p w14:paraId="55CB4698" w14:textId="77777777" w:rsidR="000D07EA" w:rsidRDefault="00BE7C89">
            <w:pPr>
              <w:pStyle w:val="BodyText"/>
              <w:spacing w:before="100" w:after="100"/>
            </w:pPr>
            <w:r>
              <w:t>No</w:t>
            </w:r>
          </w:p>
        </w:tc>
      </w:tr>
      <w:tr w:rsidR="000D07EA" w14:paraId="36A45EBF" w14:textId="77777777">
        <w:tc>
          <w:tcPr>
            <w:tcW w:w="2525" w:type="pct"/>
          </w:tcPr>
          <w:p w14:paraId="694B6E56" w14:textId="77777777" w:rsidR="000D07EA" w:rsidRDefault="00BE7C89">
            <w:pPr>
              <w:pStyle w:val="BodyText"/>
              <w:spacing w:before="100" w:after="100"/>
            </w:pPr>
            <w:r>
              <w:t xml:space="preserve">Directory Assistance- 1223 </w:t>
            </w:r>
          </w:p>
        </w:tc>
        <w:tc>
          <w:tcPr>
            <w:tcW w:w="2475" w:type="pct"/>
          </w:tcPr>
          <w:p w14:paraId="0DD4C55E" w14:textId="77777777" w:rsidR="000D07EA" w:rsidRDefault="00BE7C89">
            <w:pPr>
              <w:pStyle w:val="BodyText"/>
              <w:spacing w:before="100" w:after="100"/>
            </w:pPr>
            <w:r>
              <w:t>No</w:t>
            </w:r>
          </w:p>
        </w:tc>
      </w:tr>
      <w:tr w:rsidR="000D07EA" w14:paraId="35753BE1" w14:textId="77777777">
        <w:tc>
          <w:tcPr>
            <w:tcW w:w="2525" w:type="pct"/>
          </w:tcPr>
          <w:p w14:paraId="5AD396AF" w14:textId="77777777" w:rsidR="000D07EA" w:rsidRDefault="00BE7C89">
            <w:pPr>
              <w:pStyle w:val="BodyText"/>
              <w:spacing w:before="100" w:after="100"/>
            </w:pPr>
            <w:r>
              <w:t>19XX Numbers</w:t>
            </w:r>
          </w:p>
        </w:tc>
        <w:tc>
          <w:tcPr>
            <w:tcW w:w="2475" w:type="pct"/>
          </w:tcPr>
          <w:p w14:paraId="0248947D" w14:textId="77777777" w:rsidR="000D07EA" w:rsidRDefault="00BE7C89">
            <w:pPr>
              <w:pStyle w:val="BodyText"/>
              <w:spacing w:before="100" w:after="100"/>
            </w:pPr>
            <w:r>
              <w:t>No</w:t>
            </w:r>
          </w:p>
        </w:tc>
      </w:tr>
      <w:tr w:rsidR="000D07EA" w14:paraId="1589A2AA" w14:textId="77777777">
        <w:tc>
          <w:tcPr>
            <w:tcW w:w="2525" w:type="pct"/>
          </w:tcPr>
          <w:p w14:paraId="6D86F09E" w14:textId="77777777" w:rsidR="000D07EA" w:rsidRDefault="00BE7C89">
            <w:pPr>
              <w:pStyle w:val="BodyText"/>
              <w:spacing w:before="100" w:after="100"/>
            </w:pPr>
            <w:r>
              <w:t>1800, 13 and 1300 numbers</w:t>
            </w:r>
          </w:p>
        </w:tc>
        <w:tc>
          <w:tcPr>
            <w:tcW w:w="2475" w:type="pct"/>
          </w:tcPr>
          <w:p w14:paraId="6CC9D1FC" w14:textId="77777777" w:rsidR="000D07EA" w:rsidRDefault="00BE7C89">
            <w:pPr>
              <w:pStyle w:val="BodyText"/>
              <w:spacing w:before="100" w:after="100"/>
            </w:pPr>
            <w:r>
              <w:t>No</w:t>
            </w:r>
          </w:p>
        </w:tc>
      </w:tr>
      <w:tr w:rsidR="000D07EA" w14:paraId="046F3320" w14:textId="77777777">
        <w:tc>
          <w:tcPr>
            <w:tcW w:w="2525" w:type="pct"/>
          </w:tcPr>
          <w:p w14:paraId="5C321FCF" w14:textId="77777777" w:rsidR="000D07EA" w:rsidRDefault="00BE7C89">
            <w:pPr>
              <w:pStyle w:val="BodyText"/>
              <w:spacing w:before="100" w:after="100"/>
            </w:pPr>
            <w:r>
              <w:t>124YES(937)</w:t>
            </w:r>
          </w:p>
        </w:tc>
        <w:tc>
          <w:tcPr>
            <w:tcW w:w="2475" w:type="pct"/>
          </w:tcPr>
          <w:p w14:paraId="09FB300E" w14:textId="77777777" w:rsidR="000D07EA" w:rsidRDefault="00BE7C89">
            <w:pPr>
              <w:pStyle w:val="BodyText"/>
              <w:spacing w:before="100" w:after="100"/>
            </w:pPr>
            <w:r>
              <w:t>No</w:t>
            </w:r>
          </w:p>
        </w:tc>
      </w:tr>
      <w:tr w:rsidR="000D07EA" w14:paraId="5ECA70DD" w14:textId="77777777">
        <w:tc>
          <w:tcPr>
            <w:tcW w:w="2525" w:type="pct"/>
          </w:tcPr>
          <w:p w14:paraId="39090248" w14:textId="77777777" w:rsidR="000D07EA" w:rsidRDefault="00BE7C89">
            <w:pPr>
              <w:pStyle w:val="BodyText"/>
              <w:spacing w:before="100" w:after="100"/>
            </w:pPr>
            <w:r>
              <w:t>Insurance</w:t>
            </w:r>
          </w:p>
        </w:tc>
        <w:tc>
          <w:tcPr>
            <w:tcW w:w="2475" w:type="pct"/>
          </w:tcPr>
          <w:p w14:paraId="29A94BB7" w14:textId="77777777" w:rsidR="000D07EA" w:rsidRDefault="00BE7C89">
            <w:pPr>
              <w:pStyle w:val="BodyText"/>
              <w:spacing w:before="100" w:after="100"/>
            </w:pPr>
            <w:r>
              <w:t>No</w:t>
            </w:r>
          </w:p>
        </w:tc>
      </w:tr>
      <w:tr w:rsidR="000D07EA" w14:paraId="1E7E5ED9" w14:textId="77777777">
        <w:tc>
          <w:tcPr>
            <w:tcW w:w="2525" w:type="pct"/>
          </w:tcPr>
          <w:p w14:paraId="1758AFC5" w14:textId="77777777" w:rsidR="000D07EA" w:rsidRDefault="00BE7C89">
            <w:pPr>
              <w:pStyle w:val="BodyText"/>
              <w:keepNext/>
              <w:spacing w:before="100" w:after="100"/>
            </w:pPr>
            <w:r>
              <w:t>Handset Payments</w:t>
            </w:r>
          </w:p>
        </w:tc>
        <w:tc>
          <w:tcPr>
            <w:tcW w:w="2475" w:type="pct"/>
          </w:tcPr>
          <w:p w14:paraId="405BD81B" w14:textId="77777777" w:rsidR="000D07EA" w:rsidRDefault="00BE7C89">
            <w:pPr>
              <w:pStyle w:val="BodyText"/>
              <w:keepNext/>
              <w:spacing w:before="100" w:after="100"/>
            </w:pPr>
            <w:r>
              <w:t>No</w:t>
            </w:r>
          </w:p>
        </w:tc>
      </w:tr>
      <w:tr w:rsidR="000D07EA" w14:paraId="5465C329" w14:textId="77777777">
        <w:tc>
          <w:tcPr>
            <w:tcW w:w="2525" w:type="pct"/>
          </w:tcPr>
          <w:p w14:paraId="710978E8" w14:textId="77777777" w:rsidR="000D07EA" w:rsidRDefault="00BE7C89">
            <w:pPr>
              <w:pStyle w:val="BodyText"/>
              <w:spacing w:before="100" w:after="100"/>
            </w:pPr>
            <w:r>
              <w:t>Calls to Satellite</w:t>
            </w:r>
          </w:p>
        </w:tc>
        <w:tc>
          <w:tcPr>
            <w:tcW w:w="2475" w:type="pct"/>
          </w:tcPr>
          <w:p w14:paraId="13704077" w14:textId="77777777" w:rsidR="000D07EA" w:rsidRDefault="00BE7C89">
            <w:pPr>
              <w:pStyle w:val="BodyText"/>
              <w:spacing w:before="100" w:after="100"/>
            </w:pPr>
            <w:r>
              <w:t>No</w:t>
            </w:r>
          </w:p>
        </w:tc>
      </w:tr>
      <w:tr w:rsidR="000D07EA" w14:paraId="76176021" w14:textId="77777777">
        <w:tc>
          <w:tcPr>
            <w:tcW w:w="2525" w:type="pct"/>
          </w:tcPr>
          <w:p w14:paraId="5EFCE2FF" w14:textId="77777777" w:rsidR="000D07EA" w:rsidRDefault="00BE7C89">
            <w:pPr>
              <w:pStyle w:val="BodyText"/>
              <w:spacing w:before="100" w:after="100"/>
            </w:pPr>
            <w:r>
              <w:t>VOIP services</w:t>
            </w:r>
          </w:p>
        </w:tc>
        <w:tc>
          <w:tcPr>
            <w:tcW w:w="2475" w:type="pct"/>
          </w:tcPr>
          <w:p w14:paraId="269D2814" w14:textId="77777777" w:rsidR="000D07EA" w:rsidRDefault="00BE7C89">
            <w:pPr>
              <w:pStyle w:val="BodyText"/>
              <w:spacing w:before="100" w:after="100"/>
            </w:pPr>
            <w:r>
              <w:t>No</w:t>
            </w:r>
          </w:p>
        </w:tc>
      </w:tr>
    </w:tbl>
    <w:p w14:paraId="79CFBC29" w14:textId="77777777" w:rsidR="000D07EA" w:rsidRDefault="000D07EA">
      <w:pPr>
        <w:pStyle w:val="BodyText"/>
      </w:pPr>
    </w:p>
    <w:p w14:paraId="31725992" w14:textId="77777777" w:rsidR="000D07EA" w:rsidRDefault="00BE7C89">
      <w:pPr>
        <w:pStyle w:val="BodyText"/>
        <w:keepNext/>
        <w:spacing w:before="240"/>
        <w:ind w:left="1440"/>
        <w:rPr>
          <w:b/>
        </w:rPr>
      </w:pPr>
      <w:r>
        <w:rPr>
          <w:b/>
        </w:rPr>
        <w:t>Table 2A – Eligible Data</w:t>
      </w:r>
    </w:p>
    <w:tbl>
      <w:tblPr>
        <w:tblW w:w="4297"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422"/>
        <w:gridCol w:w="4334"/>
      </w:tblGrid>
      <w:tr w:rsidR="000D07EA" w14:paraId="7C0C034F" w14:textId="77777777">
        <w:trPr>
          <w:trHeight w:val="60"/>
          <w:tblHeader/>
        </w:trPr>
        <w:tc>
          <w:tcPr>
            <w:tcW w:w="2525" w:type="pct"/>
          </w:tcPr>
          <w:p w14:paraId="0AE30671" w14:textId="77777777" w:rsidR="000D07EA" w:rsidRDefault="00BE7C89">
            <w:pPr>
              <w:pStyle w:val="BodyText"/>
              <w:keepNext/>
              <w:spacing w:before="100" w:after="100"/>
              <w:rPr>
                <w:b/>
              </w:rPr>
            </w:pPr>
            <w:r>
              <w:rPr>
                <w:b/>
              </w:rPr>
              <w:t>Call Type</w:t>
            </w:r>
          </w:p>
        </w:tc>
        <w:tc>
          <w:tcPr>
            <w:tcW w:w="2475" w:type="pct"/>
          </w:tcPr>
          <w:p w14:paraId="427ACCB5" w14:textId="77777777" w:rsidR="000D07EA" w:rsidRDefault="00BE7C89">
            <w:pPr>
              <w:pStyle w:val="BodyText"/>
              <w:keepNext/>
              <w:spacing w:before="100" w:after="100"/>
              <w:rPr>
                <w:b/>
              </w:rPr>
            </w:pPr>
            <w:r>
              <w:rPr>
                <w:b/>
              </w:rPr>
              <w:t xml:space="preserve">Eligible Data </w:t>
            </w:r>
          </w:p>
        </w:tc>
      </w:tr>
      <w:tr w:rsidR="000D07EA" w14:paraId="7AD9B5E8" w14:textId="77777777">
        <w:trPr>
          <w:trHeight w:val="247"/>
        </w:trPr>
        <w:tc>
          <w:tcPr>
            <w:tcW w:w="2525" w:type="pct"/>
          </w:tcPr>
          <w:p w14:paraId="73E7D971" w14:textId="77777777" w:rsidR="000D07EA" w:rsidRDefault="00BE7C89">
            <w:pPr>
              <w:pStyle w:val="BodyText"/>
              <w:spacing w:before="100" w:after="100"/>
            </w:pPr>
            <w:r>
              <w:t>National Voice Calls &amp; Diversions</w:t>
            </w:r>
          </w:p>
        </w:tc>
        <w:tc>
          <w:tcPr>
            <w:tcW w:w="2475" w:type="pct"/>
          </w:tcPr>
          <w:p w14:paraId="208DCC0C" w14:textId="77777777" w:rsidR="000D07EA" w:rsidRDefault="00BE7C89">
            <w:pPr>
              <w:pStyle w:val="BodyText"/>
              <w:spacing w:before="100" w:after="100"/>
            </w:pPr>
            <w:r>
              <w:t>No</w:t>
            </w:r>
          </w:p>
        </w:tc>
      </w:tr>
      <w:tr w:rsidR="000D07EA" w14:paraId="33513D16" w14:textId="77777777">
        <w:trPr>
          <w:trHeight w:val="247"/>
        </w:trPr>
        <w:tc>
          <w:tcPr>
            <w:tcW w:w="2525" w:type="pct"/>
          </w:tcPr>
          <w:p w14:paraId="0D248569" w14:textId="77777777" w:rsidR="000D07EA" w:rsidRDefault="00BE7C89">
            <w:pPr>
              <w:pStyle w:val="BodyText"/>
              <w:spacing w:before="100" w:after="100"/>
            </w:pPr>
            <w:r>
              <w:t>National Video Calls</w:t>
            </w:r>
          </w:p>
        </w:tc>
        <w:tc>
          <w:tcPr>
            <w:tcW w:w="2475" w:type="pct"/>
          </w:tcPr>
          <w:p w14:paraId="4D1ED7FF" w14:textId="77777777" w:rsidR="000D07EA" w:rsidRDefault="00BE7C89">
            <w:pPr>
              <w:pStyle w:val="BodyText"/>
              <w:spacing w:before="100" w:after="100"/>
            </w:pPr>
            <w:r>
              <w:t>No</w:t>
            </w:r>
          </w:p>
        </w:tc>
      </w:tr>
      <w:tr w:rsidR="000D07EA" w14:paraId="5FFC9703" w14:textId="77777777">
        <w:trPr>
          <w:trHeight w:val="247"/>
        </w:trPr>
        <w:tc>
          <w:tcPr>
            <w:tcW w:w="2525" w:type="pct"/>
          </w:tcPr>
          <w:p w14:paraId="4EA13A9A" w14:textId="77777777" w:rsidR="000D07EA" w:rsidRDefault="00BE7C89">
            <w:pPr>
              <w:pStyle w:val="BodyText"/>
              <w:spacing w:before="100" w:after="100"/>
            </w:pPr>
            <w:r>
              <w:t>International Voice Calls</w:t>
            </w:r>
          </w:p>
          <w:p w14:paraId="1A51F5F9" w14:textId="77777777" w:rsidR="000D07EA" w:rsidRDefault="00BE7C89">
            <w:pPr>
              <w:pStyle w:val="BodyText"/>
              <w:spacing w:before="100" w:after="100"/>
            </w:pPr>
            <w:r>
              <w:lastRenderedPageBreak/>
              <w:t>(including calls to national fixed or GSM mobile services that then divert/switch or re-route overseas)</w:t>
            </w:r>
          </w:p>
        </w:tc>
        <w:tc>
          <w:tcPr>
            <w:tcW w:w="2475" w:type="pct"/>
          </w:tcPr>
          <w:p w14:paraId="555604A2" w14:textId="77777777" w:rsidR="000D07EA" w:rsidRDefault="00BE7C89">
            <w:pPr>
              <w:pStyle w:val="BodyText"/>
              <w:spacing w:before="100" w:after="100"/>
            </w:pPr>
            <w:r>
              <w:lastRenderedPageBreak/>
              <w:t xml:space="preserve">No </w:t>
            </w:r>
          </w:p>
        </w:tc>
      </w:tr>
      <w:tr w:rsidR="000D07EA" w14:paraId="7176FEB6" w14:textId="77777777">
        <w:trPr>
          <w:trHeight w:val="247"/>
        </w:trPr>
        <w:tc>
          <w:tcPr>
            <w:tcW w:w="2525" w:type="pct"/>
          </w:tcPr>
          <w:p w14:paraId="783A37F6" w14:textId="77777777" w:rsidR="000D07EA" w:rsidRDefault="00BE7C89">
            <w:pPr>
              <w:pStyle w:val="BodyText"/>
              <w:spacing w:before="100" w:after="100"/>
            </w:pPr>
            <w:r>
              <w:t>International Video Calls</w:t>
            </w:r>
          </w:p>
          <w:p w14:paraId="6C81CB74" w14:textId="77777777" w:rsidR="000D07EA" w:rsidRDefault="00BE7C89">
            <w:pPr>
              <w:pStyle w:val="BodyText"/>
              <w:spacing w:before="100" w:after="100"/>
            </w:pPr>
            <w:r>
              <w:t>(including calls to national fixed or GSM mobile services that then divert/switch or re-route overseas)</w:t>
            </w:r>
          </w:p>
        </w:tc>
        <w:tc>
          <w:tcPr>
            <w:tcW w:w="2475" w:type="pct"/>
          </w:tcPr>
          <w:p w14:paraId="4A672158" w14:textId="77777777" w:rsidR="000D07EA" w:rsidRDefault="00BE7C89">
            <w:pPr>
              <w:pStyle w:val="BodyText"/>
              <w:spacing w:before="100" w:after="100"/>
            </w:pPr>
            <w:r>
              <w:t>No</w:t>
            </w:r>
          </w:p>
        </w:tc>
      </w:tr>
      <w:tr w:rsidR="000D07EA" w14:paraId="7742FF8F" w14:textId="77777777">
        <w:trPr>
          <w:trHeight w:val="247"/>
        </w:trPr>
        <w:tc>
          <w:tcPr>
            <w:tcW w:w="2525" w:type="pct"/>
          </w:tcPr>
          <w:p w14:paraId="7D1692D6" w14:textId="77777777" w:rsidR="000D07EA" w:rsidRDefault="00BE7C89">
            <w:pPr>
              <w:pStyle w:val="BodyText"/>
              <w:spacing w:before="100" w:after="100"/>
            </w:pPr>
            <w:r>
              <w:t>National Standard SMS</w:t>
            </w:r>
          </w:p>
        </w:tc>
        <w:tc>
          <w:tcPr>
            <w:tcW w:w="2475" w:type="pct"/>
          </w:tcPr>
          <w:p w14:paraId="660C0C5B" w14:textId="77777777" w:rsidR="000D07EA" w:rsidRDefault="00BE7C89">
            <w:pPr>
              <w:pStyle w:val="BodyText"/>
              <w:spacing w:before="100" w:after="100"/>
            </w:pPr>
            <w:r>
              <w:t>No</w:t>
            </w:r>
          </w:p>
        </w:tc>
      </w:tr>
      <w:tr w:rsidR="000D07EA" w14:paraId="17589077" w14:textId="77777777">
        <w:trPr>
          <w:trHeight w:val="247"/>
        </w:trPr>
        <w:tc>
          <w:tcPr>
            <w:tcW w:w="2525" w:type="pct"/>
          </w:tcPr>
          <w:p w14:paraId="6052FE7E" w14:textId="77777777" w:rsidR="000D07EA" w:rsidRDefault="00BE7C89">
            <w:pPr>
              <w:pStyle w:val="BodyText"/>
              <w:spacing w:before="100" w:after="100"/>
            </w:pPr>
            <w:r>
              <w:t>International SMS</w:t>
            </w:r>
          </w:p>
        </w:tc>
        <w:tc>
          <w:tcPr>
            <w:tcW w:w="2475" w:type="pct"/>
          </w:tcPr>
          <w:p w14:paraId="6AFA1731" w14:textId="77777777" w:rsidR="000D07EA" w:rsidRDefault="00BE7C89">
            <w:pPr>
              <w:pStyle w:val="BodyText"/>
              <w:spacing w:before="100" w:after="100"/>
            </w:pPr>
            <w:r>
              <w:t>No</w:t>
            </w:r>
          </w:p>
        </w:tc>
      </w:tr>
      <w:tr w:rsidR="000D07EA" w14:paraId="18B4E8EE" w14:textId="77777777">
        <w:trPr>
          <w:trHeight w:val="247"/>
        </w:trPr>
        <w:tc>
          <w:tcPr>
            <w:tcW w:w="2525" w:type="pct"/>
          </w:tcPr>
          <w:p w14:paraId="3BAADACE" w14:textId="77777777" w:rsidR="000D07EA" w:rsidRDefault="00BE7C89">
            <w:pPr>
              <w:pStyle w:val="BodyText"/>
              <w:spacing w:before="100" w:after="100"/>
            </w:pPr>
            <w:r>
              <w:t>National MMS</w:t>
            </w:r>
          </w:p>
        </w:tc>
        <w:tc>
          <w:tcPr>
            <w:tcW w:w="2475" w:type="pct"/>
          </w:tcPr>
          <w:p w14:paraId="2498E5CE" w14:textId="77777777" w:rsidR="000D07EA" w:rsidRDefault="00BE7C89">
            <w:pPr>
              <w:pStyle w:val="BodyText"/>
              <w:spacing w:before="100" w:after="100"/>
            </w:pPr>
            <w:r>
              <w:t>No</w:t>
            </w:r>
          </w:p>
        </w:tc>
      </w:tr>
      <w:tr w:rsidR="000D07EA" w14:paraId="3CE0D207" w14:textId="77777777">
        <w:trPr>
          <w:trHeight w:val="247"/>
        </w:trPr>
        <w:tc>
          <w:tcPr>
            <w:tcW w:w="2525" w:type="pct"/>
          </w:tcPr>
          <w:p w14:paraId="6F58A4CF" w14:textId="77777777" w:rsidR="000D07EA" w:rsidRDefault="00BE7C89">
            <w:pPr>
              <w:pStyle w:val="BodyText"/>
              <w:spacing w:before="100" w:after="100"/>
            </w:pPr>
            <w:r>
              <w:t>International MMS</w:t>
            </w:r>
          </w:p>
        </w:tc>
        <w:tc>
          <w:tcPr>
            <w:tcW w:w="2475" w:type="pct"/>
          </w:tcPr>
          <w:p w14:paraId="36B79BCD" w14:textId="77777777" w:rsidR="000D07EA" w:rsidRDefault="00BE7C89">
            <w:pPr>
              <w:pStyle w:val="BodyText"/>
              <w:spacing w:before="100" w:after="100"/>
            </w:pPr>
            <w:r>
              <w:t>No</w:t>
            </w:r>
          </w:p>
        </w:tc>
      </w:tr>
      <w:tr w:rsidR="000D07EA" w14:paraId="0AB838CD" w14:textId="77777777">
        <w:trPr>
          <w:trHeight w:val="247"/>
        </w:trPr>
        <w:tc>
          <w:tcPr>
            <w:tcW w:w="2525" w:type="pct"/>
          </w:tcPr>
          <w:p w14:paraId="17E6261F" w14:textId="77777777" w:rsidR="000D07EA" w:rsidRDefault="00BE7C89">
            <w:pPr>
              <w:pStyle w:val="BodyText"/>
              <w:spacing w:before="100" w:after="100"/>
            </w:pPr>
            <w:r>
              <w:t>Voicemail Diversions</w:t>
            </w:r>
          </w:p>
        </w:tc>
        <w:tc>
          <w:tcPr>
            <w:tcW w:w="2475" w:type="pct"/>
          </w:tcPr>
          <w:p w14:paraId="735122FD" w14:textId="77777777" w:rsidR="000D07EA" w:rsidRDefault="00BE7C89">
            <w:pPr>
              <w:pStyle w:val="BodyText"/>
              <w:spacing w:before="100" w:after="100"/>
            </w:pPr>
            <w:r>
              <w:t>No</w:t>
            </w:r>
          </w:p>
        </w:tc>
      </w:tr>
      <w:tr w:rsidR="000D07EA" w14:paraId="0EE0E98D" w14:textId="77777777">
        <w:trPr>
          <w:trHeight w:val="509"/>
        </w:trPr>
        <w:tc>
          <w:tcPr>
            <w:tcW w:w="2525" w:type="pct"/>
          </w:tcPr>
          <w:p w14:paraId="5867D1BC" w14:textId="77777777" w:rsidR="000D07EA" w:rsidRDefault="00BE7C89">
            <w:pPr>
              <w:pStyle w:val="BodyText"/>
              <w:spacing w:before="100" w:after="100"/>
            </w:pPr>
            <w:r>
              <w:t>Voicemail Deposit and Retrievals</w:t>
            </w:r>
          </w:p>
        </w:tc>
        <w:tc>
          <w:tcPr>
            <w:tcW w:w="2475" w:type="pct"/>
          </w:tcPr>
          <w:p w14:paraId="21E5FB28" w14:textId="77777777" w:rsidR="000D07EA" w:rsidRDefault="00BE7C89">
            <w:pPr>
              <w:pStyle w:val="BodyText"/>
              <w:spacing w:before="100" w:after="100"/>
            </w:pPr>
            <w:r>
              <w:t>No</w:t>
            </w:r>
          </w:p>
        </w:tc>
      </w:tr>
      <w:tr w:rsidR="000D07EA" w14:paraId="54FCE7C1" w14:textId="77777777">
        <w:trPr>
          <w:trHeight w:val="247"/>
        </w:trPr>
        <w:tc>
          <w:tcPr>
            <w:tcW w:w="2525" w:type="pct"/>
          </w:tcPr>
          <w:p w14:paraId="656C8CA7" w14:textId="77777777" w:rsidR="000D07EA" w:rsidRDefault="00BE7C89">
            <w:pPr>
              <w:pStyle w:val="BodyText"/>
              <w:spacing w:before="100" w:after="100"/>
            </w:pPr>
            <w:r>
              <w:t>International Roaming and Diversion</w:t>
            </w:r>
          </w:p>
        </w:tc>
        <w:tc>
          <w:tcPr>
            <w:tcW w:w="2475" w:type="pct"/>
          </w:tcPr>
          <w:p w14:paraId="105CD8FC" w14:textId="77777777" w:rsidR="000D07EA" w:rsidRDefault="00BE7C89">
            <w:pPr>
              <w:pStyle w:val="BodyText"/>
              <w:spacing w:before="100" w:after="100"/>
            </w:pPr>
            <w:r>
              <w:t>No</w:t>
            </w:r>
          </w:p>
        </w:tc>
      </w:tr>
      <w:tr w:rsidR="000D07EA" w14:paraId="23E2330D" w14:textId="77777777">
        <w:trPr>
          <w:trHeight w:val="247"/>
        </w:trPr>
        <w:tc>
          <w:tcPr>
            <w:tcW w:w="2525" w:type="pct"/>
          </w:tcPr>
          <w:p w14:paraId="0553B766" w14:textId="77777777" w:rsidR="000D07EA" w:rsidRDefault="00BE7C89">
            <w:pPr>
              <w:pStyle w:val="BodyText"/>
              <w:spacing w:before="100" w:after="100"/>
            </w:pPr>
            <w:r>
              <w:t>Premium SMS</w:t>
            </w:r>
          </w:p>
        </w:tc>
        <w:tc>
          <w:tcPr>
            <w:tcW w:w="2475" w:type="pct"/>
          </w:tcPr>
          <w:p w14:paraId="77AF8730" w14:textId="77777777" w:rsidR="000D07EA" w:rsidRDefault="00BE7C89">
            <w:pPr>
              <w:pStyle w:val="BodyText"/>
              <w:spacing w:before="100" w:after="100"/>
            </w:pPr>
            <w:r>
              <w:t>No</w:t>
            </w:r>
          </w:p>
        </w:tc>
      </w:tr>
      <w:tr w:rsidR="000D07EA" w14:paraId="3C42DABE" w14:textId="77777777">
        <w:trPr>
          <w:trHeight w:val="247"/>
        </w:trPr>
        <w:tc>
          <w:tcPr>
            <w:tcW w:w="2525" w:type="pct"/>
          </w:tcPr>
          <w:p w14:paraId="37CD41E1" w14:textId="77777777" w:rsidR="000D07EA" w:rsidRDefault="00BE7C89">
            <w:pPr>
              <w:pStyle w:val="BodyText"/>
              <w:spacing w:before="100" w:after="100"/>
            </w:pPr>
            <w:r>
              <w:t>Premium Video</w:t>
            </w:r>
          </w:p>
        </w:tc>
        <w:tc>
          <w:tcPr>
            <w:tcW w:w="2475" w:type="pct"/>
          </w:tcPr>
          <w:p w14:paraId="58652B81" w14:textId="77777777" w:rsidR="000D07EA" w:rsidRDefault="00BE7C89">
            <w:pPr>
              <w:pStyle w:val="BodyText"/>
              <w:spacing w:before="100" w:after="100"/>
            </w:pPr>
            <w:r>
              <w:t>No</w:t>
            </w:r>
          </w:p>
        </w:tc>
      </w:tr>
      <w:tr w:rsidR="000D07EA" w14:paraId="6D6A6378" w14:textId="77777777">
        <w:trPr>
          <w:trHeight w:val="247"/>
        </w:trPr>
        <w:tc>
          <w:tcPr>
            <w:tcW w:w="2525" w:type="pct"/>
          </w:tcPr>
          <w:p w14:paraId="6BCE6D8F" w14:textId="77777777" w:rsidR="000D07EA" w:rsidRDefault="00BE7C89">
            <w:pPr>
              <w:pStyle w:val="BodyText"/>
              <w:spacing w:before="100" w:after="100"/>
            </w:pPr>
            <w:r>
              <w:t>Video Conferencing</w:t>
            </w:r>
          </w:p>
        </w:tc>
        <w:tc>
          <w:tcPr>
            <w:tcW w:w="2475" w:type="pct"/>
          </w:tcPr>
          <w:p w14:paraId="694DEC2D" w14:textId="77777777" w:rsidR="000D07EA" w:rsidRDefault="00BE7C89">
            <w:pPr>
              <w:pStyle w:val="BodyText"/>
              <w:spacing w:before="100" w:after="100"/>
            </w:pPr>
            <w:r>
              <w:t>No</w:t>
            </w:r>
          </w:p>
        </w:tc>
      </w:tr>
      <w:tr w:rsidR="000D07EA" w14:paraId="4F6C09A5" w14:textId="77777777">
        <w:trPr>
          <w:trHeight w:val="247"/>
        </w:trPr>
        <w:tc>
          <w:tcPr>
            <w:tcW w:w="2525" w:type="pct"/>
          </w:tcPr>
          <w:p w14:paraId="2576ECBB" w14:textId="77777777" w:rsidR="000D07EA" w:rsidRDefault="00BE7C89">
            <w:pPr>
              <w:pStyle w:val="BodyText"/>
              <w:spacing w:before="100" w:after="100"/>
            </w:pPr>
            <w:r>
              <w:t>Optus iZoo Browsing</w:t>
            </w:r>
          </w:p>
        </w:tc>
        <w:tc>
          <w:tcPr>
            <w:tcW w:w="2475" w:type="pct"/>
          </w:tcPr>
          <w:p w14:paraId="5E647868" w14:textId="77777777" w:rsidR="000D07EA" w:rsidRDefault="00BE7C89">
            <w:pPr>
              <w:pStyle w:val="BodyText"/>
              <w:spacing w:before="100" w:after="100"/>
            </w:pPr>
            <w:r>
              <w:t>Yes, up to the monthly included data amount of your selected bolt on for the Timeless Business $99 when you take the $14.99 Mobile Internet Pack a Smart Data or BlackBerry bolt on and specified in Table 3A for the Timeless Business $129 Plan (2GB)</w:t>
            </w:r>
          </w:p>
        </w:tc>
      </w:tr>
      <w:tr w:rsidR="000D07EA" w14:paraId="5E570F2E" w14:textId="77777777">
        <w:trPr>
          <w:trHeight w:val="494"/>
        </w:trPr>
        <w:tc>
          <w:tcPr>
            <w:tcW w:w="2525" w:type="pct"/>
          </w:tcPr>
          <w:p w14:paraId="7EBACCF0" w14:textId="77777777" w:rsidR="000D07EA" w:rsidRDefault="00BE7C89">
            <w:pPr>
              <w:pStyle w:val="BodyText"/>
              <w:spacing w:before="100" w:after="100"/>
            </w:pPr>
            <w:r>
              <w:t>Optus iZoo Downloads</w:t>
            </w:r>
          </w:p>
        </w:tc>
        <w:tc>
          <w:tcPr>
            <w:tcW w:w="2475" w:type="pct"/>
          </w:tcPr>
          <w:p w14:paraId="5F5516C3" w14:textId="77777777" w:rsidR="000D07EA" w:rsidRDefault="00BE7C89">
            <w:pPr>
              <w:pStyle w:val="BodyText"/>
              <w:spacing w:before="100" w:after="100"/>
            </w:pPr>
            <w:r>
              <w:t>No</w:t>
            </w:r>
          </w:p>
        </w:tc>
      </w:tr>
      <w:tr w:rsidR="000D07EA" w14:paraId="585C3AF1" w14:textId="77777777">
        <w:trPr>
          <w:trHeight w:val="494"/>
        </w:trPr>
        <w:tc>
          <w:tcPr>
            <w:tcW w:w="2525" w:type="pct"/>
          </w:tcPr>
          <w:p w14:paraId="4CEE3778" w14:textId="77777777" w:rsidR="000D07EA" w:rsidRDefault="00BE7C89">
            <w:pPr>
              <w:pStyle w:val="BodyText"/>
              <w:spacing w:before="100" w:after="100"/>
            </w:pPr>
            <w:r>
              <w:t>966* Zoo</w:t>
            </w:r>
          </w:p>
        </w:tc>
        <w:tc>
          <w:tcPr>
            <w:tcW w:w="2475" w:type="pct"/>
          </w:tcPr>
          <w:p w14:paraId="69D2D5AD" w14:textId="77777777" w:rsidR="000D07EA" w:rsidRDefault="00BE7C89">
            <w:pPr>
              <w:pStyle w:val="BodyText"/>
              <w:spacing w:before="100" w:after="100"/>
            </w:pPr>
            <w:r>
              <w:t>No</w:t>
            </w:r>
          </w:p>
        </w:tc>
      </w:tr>
      <w:tr w:rsidR="000D07EA" w14:paraId="54A80626" w14:textId="77777777">
        <w:trPr>
          <w:trHeight w:val="494"/>
        </w:trPr>
        <w:tc>
          <w:tcPr>
            <w:tcW w:w="2525" w:type="pct"/>
          </w:tcPr>
          <w:p w14:paraId="654E1B5F" w14:textId="77777777" w:rsidR="000D07EA" w:rsidRDefault="00BE7C89">
            <w:pPr>
              <w:pStyle w:val="BodyText"/>
              <w:spacing w:before="100" w:after="100"/>
            </w:pPr>
            <w:r>
              <w:t>Mobile Internet usage</w:t>
            </w:r>
          </w:p>
        </w:tc>
        <w:tc>
          <w:tcPr>
            <w:tcW w:w="2475" w:type="pct"/>
          </w:tcPr>
          <w:p w14:paraId="007CF3F7" w14:textId="77777777" w:rsidR="000D07EA" w:rsidRDefault="00BE7C89">
            <w:pPr>
              <w:pStyle w:val="BodyText"/>
              <w:spacing w:before="100" w:after="100"/>
            </w:pPr>
            <w:r>
              <w:t>Yes, up to the monthly included data amount of your selected bolt on for the Timeless Business $99 when you take the $14.99 Mobile Internet Pack a Smart Data or BlackBerry bolt on and specified in Table 3A for the Timeless Business $129 Plan (2GB)</w:t>
            </w:r>
          </w:p>
        </w:tc>
      </w:tr>
      <w:tr w:rsidR="000D07EA" w14:paraId="1D0E9C58" w14:textId="77777777">
        <w:trPr>
          <w:trHeight w:val="494"/>
        </w:trPr>
        <w:tc>
          <w:tcPr>
            <w:tcW w:w="2525" w:type="pct"/>
          </w:tcPr>
          <w:p w14:paraId="4D00BB38" w14:textId="77777777" w:rsidR="000D07EA" w:rsidRDefault="00BE7C89">
            <w:pPr>
              <w:pStyle w:val="BodyText"/>
              <w:keepNext/>
              <w:spacing w:before="100" w:after="100"/>
            </w:pPr>
            <w:r>
              <w:t>Data Used while Roaming Internationally</w:t>
            </w:r>
          </w:p>
        </w:tc>
        <w:tc>
          <w:tcPr>
            <w:tcW w:w="2475" w:type="pct"/>
          </w:tcPr>
          <w:p w14:paraId="301B295D" w14:textId="77777777" w:rsidR="000D07EA" w:rsidRDefault="00BE7C89">
            <w:pPr>
              <w:pStyle w:val="BodyText"/>
              <w:keepNext/>
              <w:spacing w:before="100" w:after="100"/>
            </w:pPr>
            <w:r>
              <w:t>No</w:t>
            </w:r>
          </w:p>
        </w:tc>
      </w:tr>
      <w:tr w:rsidR="000D07EA" w14:paraId="29073340" w14:textId="77777777">
        <w:trPr>
          <w:trHeight w:val="264"/>
        </w:trPr>
        <w:tc>
          <w:tcPr>
            <w:tcW w:w="2525" w:type="pct"/>
          </w:tcPr>
          <w:p w14:paraId="5490A15A" w14:textId="77777777" w:rsidR="000D07EA" w:rsidRDefault="00BE7C89">
            <w:pPr>
              <w:pStyle w:val="BodyText"/>
              <w:keepNext/>
              <w:spacing w:before="100" w:after="100"/>
            </w:pPr>
            <w:r>
              <w:t>Content Packs (unless specified in promotions)</w:t>
            </w:r>
          </w:p>
        </w:tc>
        <w:tc>
          <w:tcPr>
            <w:tcW w:w="2475" w:type="pct"/>
          </w:tcPr>
          <w:p w14:paraId="4B8ADB2D" w14:textId="77777777" w:rsidR="000D07EA" w:rsidRDefault="00BE7C89">
            <w:pPr>
              <w:pStyle w:val="BodyText"/>
              <w:keepNext/>
              <w:spacing w:before="100" w:after="100"/>
            </w:pPr>
            <w:r>
              <w:t>No</w:t>
            </w:r>
          </w:p>
        </w:tc>
      </w:tr>
      <w:tr w:rsidR="000D07EA" w14:paraId="597CF02F" w14:textId="77777777">
        <w:trPr>
          <w:trHeight w:val="494"/>
        </w:trPr>
        <w:tc>
          <w:tcPr>
            <w:tcW w:w="2525" w:type="pct"/>
          </w:tcPr>
          <w:p w14:paraId="1445F94A" w14:textId="77777777" w:rsidR="000D07EA" w:rsidRDefault="00BE7C89">
            <w:pPr>
              <w:pStyle w:val="BodyText"/>
              <w:spacing w:before="100" w:after="100"/>
            </w:pPr>
            <w:r>
              <w:t>Mobile Instant Messaging – IM</w:t>
            </w:r>
          </w:p>
        </w:tc>
        <w:tc>
          <w:tcPr>
            <w:tcW w:w="2475" w:type="pct"/>
          </w:tcPr>
          <w:p w14:paraId="5B7959F5" w14:textId="77777777" w:rsidR="000D07EA" w:rsidRDefault="00BE7C89">
            <w:pPr>
              <w:pStyle w:val="BodyText"/>
              <w:spacing w:before="100" w:after="100"/>
            </w:pPr>
            <w:r>
              <w:t>No</w:t>
            </w:r>
          </w:p>
        </w:tc>
      </w:tr>
      <w:tr w:rsidR="000D07EA" w14:paraId="0159B4CE" w14:textId="77777777">
        <w:trPr>
          <w:trHeight w:val="494"/>
        </w:trPr>
        <w:tc>
          <w:tcPr>
            <w:tcW w:w="2525" w:type="pct"/>
          </w:tcPr>
          <w:p w14:paraId="29170F4C" w14:textId="77777777" w:rsidR="000D07EA" w:rsidRDefault="00BE7C89">
            <w:pPr>
              <w:pStyle w:val="BodyText"/>
              <w:spacing w:before="100" w:after="100"/>
            </w:pPr>
            <w:r>
              <w:t>TrueLocal Usage</w:t>
            </w:r>
          </w:p>
        </w:tc>
        <w:tc>
          <w:tcPr>
            <w:tcW w:w="2475" w:type="pct"/>
          </w:tcPr>
          <w:p w14:paraId="74B29060" w14:textId="77777777" w:rsidR="000D07EA" w:rsidRDefault="00BE7C89">
            <w:pPr>
              <w:pStyle w:val="BodyText"/>
              <w:spacing w:before="100" w:after="100"/>
            </w:pPr>
            <w:r>
              <w:t>No</w:t>
            </w:r>
          </w:p>
        </w:tc>
      </w:tr>
      <w:tr w:rsidR="000D07EA" w14:paraId="22B96EE7" w14:textId="77777777">
        <w:trPr>
          <w:trHeight w:val="494"/>
        </w:trPr>
        <w:tc>
          <w:tcPr>
            <w:tcW w:w="2525" w:type="pct"/>
          </w:tcPr>
          <w:p w14:paraId="6979F51C" w14:textId="77777777" w:rsidR="000D07EA" w:rsidRDefault="00BE7C89">
            <w:pPr>
              <w:pStyle w:val="BodyText"/>
              <w:spacing w:before="100" w:after="100"/>
            </w:pPr>
            <w:r>
              <w:t xml:space="preserve">Directory Assistance- 1223 </w:t>
            </w:r>
          </w:p>
        </w:tc>
        <w:tc>
          <w:tcPr>
            <w:tcW w:w="2475" w:type="pct"/>
          </w:tcPr>
          <w:p w14:paraId="06BD2ECF" w14:textId="77777777" w:rsidR="000D07EA" w:rsidRDefault="00BE7C89">
            <w:pPr>
              <w:pStyle w:val="BodyText"/>
              <w:spacing w:before="100" w:after="100"/>
            </w:pPr>
            <w:r>
              <w:t>No</w:t>
            </w:r>
          </w:p>
        </w:tc>
      </w:tr>
      <w:tr w:rsidR="000D07EA" w14:paraId="40BF7D96" w14:textId="77777777">
        <w:trPr>
          <w:trHeight w:val="247"/>
        </w:trPr>
        <w:tc>
          <w:tcPr>
            <w:tcW w:w="2525" w:type="pct"/>
          </w:tcPr>
          <w:p w14:paraId="3EE05422" w14:textId="77777777" w:rsidR="000D07EA" w:rsidRDefault="00BE7C89">
            <w:pPr>
              <w:pStyle w:val="BodyText"/>
              <w:spacing w:before="100" w:after="100"/>
            </w:pPr>
            <w:r>
              <w:t>19XX Numbers</w:t>
            </w:r>
          </w:p>
        </w:tc>
        <w:tc>
          <w:tcPr>
            <w:tcW w:w="2475" w:type="pct"/>
          </w:tcPr>
          <w:p w14:paraId="3F086961" w14:textId="77777777" w:rsidR="000D07EA" w:rsidRDefault="00BE7C89">
            <w:pPr>
              <w:pStyle w:val="BodyText"/>
              <w:spacing w:before="100" w:after="100"/>
            </w:pPr>
            <w:r>
              <w:t>No</w:t>
            </w:r>
          </w:p>
        </w:tc>
      </w:tr>
      <w:tr w:rsidR="000D07EA" w14:paraId="06FAA79B" w14:textId="77777777">
        <w:trPr>
          <w:trHeight w:val="247"/>
        </w:trPr>
        <w:tc>
          <w:tcPr>
            <w:tcW w:w="2525" w:type="pct"/>
          </w:tcPr>
          <w:p w14:paraId="0D41CB0C" w14:textId="77777777" w:rsidR="000D07EA" w:rsidRDefault="00BE7C89">
            <w:pPr>
              <w:pStyle w:val="BodyText"/>
              <w:spacing w:before="100" w:after="100"/>
            </w:pPr>
            <w:r>
              <w:lastRenderedPageBreak/>
              <w:t>1800, 13 and 1300 numbers</w:t>
            </w:r>
          </w:p>
        </w:tc>
        <w:tc>
          <w:tcPr>
            <w:tcW w:w="2475" w:type="pct"/>
          </w:tcPr>
          <w:p w14:paraId="30173FE3" w14:textId="77777777" w:rsidR="000D07EA" w:rsidRDefault="00BE7C89">
            <w:pPr>
              <w:pStyle w:val="BodyText"/>
              <w:spacing w:before="100" w:after="100"/>
            </w:pPr>
            <w:r>
              <w:t>No</w:t>
            </w:r>
          </w:p>
        </w:tc>
      </w:tr>
      <w:tr w:rsidR="000D07EA" w14:paraId="70227C92" w14:textId="77777777">
        <w:trPr>
          <w:trHeight w:val="247"/>
        </w:trPr>
        <w:tc>
          <w:tcPr>
            <w:tcW w:w="2525" w:type="pct"/>
          </w:tcPr>
          <w:p w14:paraId="58FCAB5E" w14:textId="77777777" w:rsidR="000D07EA" w:rsidRDefault="00BE7C89">
            <w:pPr>
              <w:pStyle w:val="BodyText"/>
              <w:spacing w:before="100" w:after="100"/>
            </w:pPr>
            <w:r>
              <w:t>124YES(937)</w:t>
            </w:r>
          </w:p>
        </w:tc>
        <w:tc>
          <w:tcPr>
            <w:tcW w:w="2475" w:type="pct"/>
          </w:tcPr>
          <w:p w14:paraId="7047089E" w14:textId="77777777" w:rsidR="000D07EA" w:rsidRDefault="00BE7C89">
            <w:pPr>
              <w:pStyle w:val="BodyText"/>
              <w:spacing w:before="100" w:after="100"/>
            </w:pPr>
            <w:r>
              <w:t>No</w:t>
            </w:r>
          </w:p>
        </w:tc>
      </w:tr>
      <w:tr w:rsidR="000D07EA" w14:paraId="32611DB9" w14:textId="77777777">
        <w:trPr>
          <w:trHeight w:val="262"/>
        </w:trPr>
        <w:tc>
          <w:tcPr>
            <w:tcW w:w="2525" w:type="pct"/>
          </w:tcPr>
          <w:p w14:paraId="7611F1E2" w14:textId="77777777" w:rsidR="000D07EA" w:rsidRDefault="00BE7C89">
            <w:pPr>
              <w:pStyle w:val="BodyText"/>
              <w:spacing w:before="100" w:after="100"/>
            </w:pPr>
            <w:r>
              <w:t>Insurance</w:t>
            </w:r>
          </w:p>
        </w:tc>
        <w:tc>
          <w:tcPr>
            <w:tcW w:w="2475" w:type="pct"/>
          </w:tcPr>
          <w:p w14:paraId="29796D41" w14:textId="77777777" w:rsidR="000D07EA" w:rsidRDefault="00BE7C89">
            <w:pPr>
              <w:pStyle w:val="BodyText"/>
              <w:spacing w:before="100" w:after="100"/>
            </w:pPr>
            <w:r>
              <w:t>No</w:t>
            </w:r>
          </w:p>
        </w:tc>
      </w:tr>
      <w:tr w:rsidR="000D07EA" w14:paraId="67037B2C" w14:textId="77777777">
        <w:trPr>
          <w:trHeight w:val="262"/>
        </w:trPr>
        <w:tc>
          <w:tcPr>
            <w:tcW w:w="2525" w:type="pct"/>
          </w:tcPr>
          <w:p w14:paraId="52BE0425" w14:textId="77777777" w:rsidR="000D07EA" w:rsidRDefault="00BE7C89">
            <w:pPr>
              <w:pStyle w:val="BodyText"/>
              <w:spacing w:before="100" w:after="100"/>
            </w:pPr>
            <w:r>
              <w:t>Handset Payments</w:t>
            </w:r>
          </w:p>
        </w:tc>
        <w:tc>
          <w:tcPr>
            <w:tcW w:w="2475" w:type="pct"/>
          </w:tcPr>
          <w:p w14:paraId="5EB1D349" w14:textId="77777777" w:rsidR="000D07EA" w:rsidRDefault="00BE7C89">
            <w:pPr>
              <w:pStyle w:val="BodyText"/>
              <w:spacing w:before="100" w:after="100"/>
            </w:pPr>
            <w:r>
              <w:t>No</w:t>
            </w:r>
          </w:p>
        </w:tc>
      </w:tr>
      <w:tr w:rsidR="000D07EA" w14:paraId="78AF5CF5" w14:textId="77777777">
        <w:trPr>
          <w:trHeight w:val="262"/>
        </w:trPr>
        <w:tc>
          <w:tcPr>
            <w:tcW w:w="2525" w:type="pct"/>
          </w:tcPr>
          <w:p w14:paraId="0B993728" w14:textId="77777777" w:rsidR="000D07EA" w:rsidRDefault="00BE7C89">
            <w:pPr>
              <w:pStyle w:val="BodyText"/>
              <w:spacing w:before="100" w:after="100"/>
            </w:pPr>
            <w:r>
              <w:t>Calls to Satellite</w:t>
            </w:r>
          </w:p>
        </w:tc>
        <w:tc>
          <w:tcPr>
            <w:tcW w:w="2475" w:type="pct"/>
          </w:tcPr>
          <w:p w14:paraId="0FE5A9CA" w14:textId="77777777" w:rsidR="000D07EA" w:rsidRDefault="00BE7C89">
            <w:pPr>
              <w:pStyle w:val="BodyText"/>
              <w:spacing w:before="100" w:after="100"/>
            </w:pPr>
            <w:r>
              <w:t>No</w:t>
            </w:r>
          </w:p>
        </w:tc>
      </w:tr>
      <w:tr w:rsidR="000D07EA" w14:paraId="37B3EE48" w14:textId="77777777">
        <w:trPr>
          <w:trHeight w:val="262"/>
        </w:trPr>
        <w:tc>
          <w:tcPr>
            <w:tcW w:w="2525" w:type="pct"/>
          </w:tcPr>
          <w:p w14:paraId="7A8E1424" w14:textId="77777777" w:rsidR="000D07EA" w:rsidRDefault="00BE7C89">
            <w:pPr>
              <w:pStyle w:val="BodyText"/>
              <w:spacing w:before="100" w:after="100"/>
            </w:pPr>
            <w:r>
              <w:t>VOIP services</w:t>
            </w:r>
          </w:p>
        </w:tc>
        <w:tc>
          <w:tcPr>
            <w:tcW w:w="2475" w:type="pct"/>
          </w:tcPr>
          <w:p w14:paraId="37A7B412" w14:textId="77777777" w:rsidR="000D07EA" w:rsidRDefault="00BE7C89">
            <w:pPr>
              <w:pStyle w:val="BodyText"/>
              <w:spacing w:before="100" w:after="100"/>
            </w:pPr>
            <w:r>
              <w:t>No</w:t>
            </w:r>
          </w:p>
        </w:tc>
      </w:tr>
    </w:tbl>
    <w:p w14:paraId="0CC90E89" w14:textId="77777777" w:rsidR="000D07EA" w:rsidRDefault="000D07EA">
      <w:pPr>
        <w:pStyle w:val="BodyText"/>
      </w:pPr>
    </w:p>
    <w:p w14:paraId="183F5119" w14:textId="77777777" w:rsidR="000D07EA" w:rsidRDefault="00BE7C89">
      <w:pPr>
        <w:pStyle w:val="BodyText"/>
        <w:spacing w:before="240"/>
        <w:ind w:left="1440"/>
        <w:rPr>
          <w:b/>
        </w:rPr>
      </w:pPr>
      <w:r>
        <w:rPr>
          <w:b/>
        </w:rPr>
        <w:t>TABLE 3A – Charges for the Timeless Business Plans</w:t>
      </w:r>
    </w:p>
    <w:tbl>
      <w:tblPr>
        <w:tblW w:w="4300" w:type="pct"/>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7"/>
        <w:gridCol w:w="1833"/>
        <w:gridCol w:w="1835"/>
        <w:gridCol w:w="1837"/>
      </w:tblGrid>
      <w:tr w:rsidR="000D07EA" w14:paraId="76A9EA83" w14:textId="77777777">
        <w:trPr>
          <w:trHeight w:val="475"/>
          <w:tblHeader/>
        </w:trPr>
        <w:tc>
          <w:tcPr>
            <w:tcW w:w="1859" w:type="pct"/>
          </w:tcPr>
          <w:p w14:paraId="5016EFD1" w14:textId="77777777" w:rsidR="000D07EA" w:rsidRDefault="00BE7C89">
            <w:pPr>
              <w:pStyle w:val="BodyText"/>
              <w:spacing w:before="100" w:after="100"/>
              <w:rPr>
                <w:b/>
                <w:lang w:eastAsia="ko-KR"/>
              </w:rPr>
            </w:pPr>
            <w:r>
              <w:rPr>
                <w:b/>
                <w:lang w:eastAsia="ko-KR"/>
              </w:rPr>
              <w:t>12 and 24 Month Plans</w:t>
            </w:r>
          </w:p>
        </w:tc>
        <w:tc>
          <w:tcPr>
            <w:tcW w:w="1046" w:type="pct"/>
          </w:tcPr>
          <w:p w14:paraId="1AFB068F" w14:textId="77777777" w:rsidR="000D07EA" w:rsidRDefault="00BE7C89">
            <w:pPr>
              <w:pStyle w:val="BodyText"/>
              <w:spacing w:before="100" w:after="100"/>
              <w:jc w:val="center"/>
              <w:rPr>
                <w:b/>
                <w:lang w:eastAsia="ko-KR"/>
              </w:rPr>
            </w:pPr>
            <w:r>
              <w:rPr>
                <w:b/>
              </w:rPr>
              <w:t>Timeless Business $99 when you take the $14.99 Mobile Internet Pack A Smart Data or BlackBerry Bolt on*</w:t>
            </w:r>
          </w:p>
        </w:tc>
        <w:tc>
          <w:tcPr>
            <w:tcW w:w="1047" w:type="pct"/>
          </w:tcPr>
          <w:p w14:paraId="2B37696D" w14:textId="77777777" w:rsidR="000D07EA" w:rsidRDefault="00BE7C89">
            <w:pPr>
              <w:pStyle w:val="BodyText"/>
              <w:spacing w:before="100" w:after="100"/>
              <w:jc w:val="center"/>
              <w:rPr>
                <w:b/>
                <w:lang w:eastAsia="ko-KR"/>
              </w:rPr>
            </w:pPr>
            <w:r>
              <w:rPr>
                <w:b/>
                <w:lang w:eastAsia="ko-KR"/>
              </w:rPr>
              <w:t>Timeless Business $119 Plan</w:t>
            </w:r>
          </w:p>
        </w:tc>
        <w:tc>
          <w:tcPr>
            <w:tcW w:w="1047" w:type="pct"/>
          </w:tcPr>
          <w:p w14:paraId="07D44D66" w14:textId="77777777" w:rsidR="000D07EA" w:rsidRDefault="00BE7C89">
            <w:pPr>
              <w:pStyle w:val="BodyText"/>
              <w:spacing w:before="100" w:after="100"/>
              <w:jc w:val="center"/>
              <w:rPr>
                <w:b/>
                <w:lang w:eastAsia="ko-KR"/>
              </w:rPr>
            </w:pPr>
            <w:r>
              <w:rPr>
                <w:b/>
                <w:lang w:eastAsia="ko-KR"/>
              </w:rPr>
              <w:t>Timeless Business $129 Plan</w:t>
            </w:r>
          </w:p>
        </w:tc>
      </w:tr>
      <w:tr w:rsidR="000D07EA" w14:paraId="524E7E39" w14:textId="77777777">
        <w:trPr>
          <w:trHeight w:val="705"/>
        </w:trPr>
        <w:tc>
          <w:tcPr>
            <w:tcW w:w="1859" w:type="pct"/>
          </w:tcPr>
          <w:p w14:paraId="6F96A716" w14:textId="77777777" w:rsidR="000D07EA" w:rsidRDefault="00BE7C89">
            <w:pPr>
              <w:pStyle w:val="BodyText"/>
              <w:spacing w:before="100" w:after="100"/>
              <w:rPr>
                <w:b/>
                <w:lang w:eastAsia="ko-KR"/>
              </w:rPr>
            </w:pPr>
            <w:r>
              <w:rPr>
                <w:b/>
                <w:lang w:eastAsia="ko-KR"/>
              </w:rPr>
              <w:t>Minimum Monthly charge</w:t>
            </w:r>
          </w:p>
        </w:tc>
        <w:tc>
          <w:tcPr>
            <w:tcW w:w="1046" w:type="pct"/>
          </w:tcPr>
          <w:p w14:paraId="0194EECF" w14:textId="77777777" w:rsidR="000D07EA" w:rsidRDefault="00BE7C89">
            <w:pPr>
              <w:pStyle w:val="BodyText"/>
              <w:spacing w:before="100" w:after="100"/>
              <w:jc w:val="center"/>
              <w:rPr>
                <w:lang w:eastAsia="ko-KR"/>
              </w:rPr>
            </w:pPr>
            <w:r>
              <w:rPr>
                <w:lang w:eastAsia="ko-KR"/>
              </w:rPr>
              <w:t>$113.99 (when taken with the $14.99 Mobile Internet Pack)</w:t>
            </w:r>
          </w:p>
        </w:tc>
        <w:tc>
          <w:tcPr>
            <w:tcW w:w="1047" w:type="pct"/>
          </w:tcPr>
          <w:p w14:paraId="499A1965" w14:textId="77777777" w:rsidR="000D07EA" w:rsidRDefault="00BE7C89">
            <w:pPr>
              <w:pStyle w:val="BodyText"/>
              <w:spacing w:before="100" w:after="100"/>
              <w:jc w:val="center"/>
              <w:rPr>
                <w:lang w:eastAsia="ko-KR"/>
              </w:rPr>
            </w:pPr>
            <w:r>
              <w:rPr>
                <w:lang w:eastAsia="ko-KR"/>
              </w:rPr>
              <w:t>$119</w:t>
            </w:r>
          </w:p>
        </w:tc>
        <w:tc>
          <w:tcPr>
            <w:tcW w:w="1047" w:type="pct"/>
          </w:tcPr>
          <w:p w14:paraId="37CD1940" w14:textId="77777777" w:rsidR="000D07EA" w:rsidRDefault="00BE7C89">
            <w:pPr>
              <w:pStyle w:val="BodyText"/>
              <w:spacing w:before="100" w:after="100"/>
              <w:jc w:val="center"/>
              <w:rPr>
                <w:lang w:eastAsia="ko-KR"/>
              </w:rPr>
            </w:pPr>
            <w:r>
              <w:rPr>
                <w:lang w:eastAsia="ko-KR"/>
              </w:rPr>
              <w:t>$129</w:t>
            </w:r>
          </w:p>
        </w:tc>
      </w:tr>
      <w:tr w:rsidR="000D07EA" w14:paraId="03378B20" w14:textId="77777777">
        <w:trPr>
          <w:trHeight w:val="60"/>
        </w:trPr>
        <w:tc>
          <w:tcPr>
            <w:tcW w:w="1859" w:type="pct"/>
          </w:tcPr>
          <w:p w14:paraId="284D1F9C" w14:textId="77777777" w:rsidR="000D07EA" w:rsidRDefault="00BE7C89">
            <w:pPr>
              <w:pStyle w:val="BodyText"/>
              <w:spacing w:before="100" w:after="100"/>
              <w:rPr>
                <w:b/>
                <w:lang w:eastAsia="ko-KR"/>
              </w:rPr>
            </w:pPr>
            <w:r>
              <w:rPr>
                <w:b/>
                <w:lang w:eastAsia="ko-KR"/>
              </w:rPr>
              <w:t>Monthly included Mobile Internet Data</w:t>
            </w:r>
          </w:p>
        </w:tc>
        <w:tc>
          <w:tcPr>
            <w:tcW w:w="1046" w:type="pct"/>
          </w:tcPr>
          <w:p w14:paraId="31C2616A" w14:textId="77777777" w:rsidR="000D07EA" w:rsidRDefault="00BE7C89">
            <w:pPr>
              <w:pStyle w:val="BodyText"/>
              <w:spacing w:before="100" w:after="100"/>
              <w:jc w:val="center"/>
              <w:rPr>
                <w:lang w:eastAsia="ko-KR"/>
              </w:rPr>
            </w:pPr>
            <w:r>
              <w:rPr>
                <w:lang w:eastAsia="ko-KR"/>
              </w:rPr>
              <w:t>1GB (for the $14.99 Mobile Internet Pack)</w:t>
            </w:r>
          </w:p>
        </w:tc>
        <w:tc>
          <w:tcPr>
            <w:tcW w:w="1047" w:type="pct"/>
          </w:tcPr>
          <w:p w14:paraId="091FECC3" w14:textId="77777777" w:rsidR="000D07EA" w:rsidRDefault="00BE7C89">
            <w:pPr>
              <w:pStyle w:val="BodyText"/>
              <w:spacing w:before="100" w:after="100"/>
              <w:jc w:val="center"/>
              <w:rPr>
                <w:lang w:eastAsia="ko-KR"/>
              </w:rPr>
            </w:pPr>
            <w:r>
              <w:rPr>
                <w:lang w:eastAsia="ko-KR"/>
              </w:rPr>
              <w:t>NIL</w:t>
            </w:r>
          </w:p>
        </w:tc>
        <w:tc>
          <w:tcPr>
            <w:tcW w:w="1047" w:type="pct"/>
          </w:tcPr>
          <w:p w14:paraId="28CAB2BB" w14:textId="77777777" w:rsidR="000D07EA" w:rsidRDefault="00BE7C89">
            <w:pPr>
              <w:pStyle w:val="BodyText"/>
              <w:spacing w:before="100" w:after="100"/>
              <w:jc w:val="center"/>
              <w:rPr>
                <w:lang w:eastAsia="ko-KR"/>
              </w:rPr>
            </w:pPr>
            <w:r>
              <w:rPr>
                <w:lang w:eastAsia="ko-KR"/>
              </w:rPr>
              <w:t>2GB</w:t>
            </w:r>
          </w:p>
        </w:tc>
      </w:tr>
      <w:tr w:rsidR="000D07EA" w14:paraId="535FB8DF" w14:textId="77777777">
        <w:trPr>
          <w:trHeight w:val="515"/>
        </w:trPr>
        <w:tc>
          <w:tcPr>
            <w:tcW w:w="1859" w:type="pct"/>
          </w:tcPr>
          <w:p w14:paraId="04E10047" w14:textId="77777777" w:rsidR="000D07EA" w:rsidRDefault="00BE7C89">
            <w:pPr>
              <w:pStyle w:val="BodyText"/>
              <w:spacing w:before="100" w:after="100"/>
              <w:rPr>
                <w:b/>
                <w:lang w:eastAsia="ko-KR"/>
              </w:rPr>
            </w:pPr>
            <w:r>
              <w:rPr>
                <w:b/>
                <w:lang w:eastAsia="ko-KR"/>
              </w:rPr>
              <w:t xml:space="preserve">National Voice call charges </w:t>
            </w:r>
            <w:r>
              <w:rPr>
                <w:lang w:eastAsia="ko-KR"/>
              </w:rPr>
              <w:t>(per 30 seconds)</w:t>
            </w:r>
          </w:p>
        </w:tc>
        <w:tc>
          <w:tcPr>
            <w:tcW w:w="1046" w:type="pct"/>
          </w:tcPr>
          <w:p w14:paraId="46D4595E" w14:textId="77777777" w:rsidR="000D07EA" w:rsidRDefault="00BE7C89">
            <w:pPr>
              <w:pStyle w:val="BodyText"/>
              <w:spacing w:before="100" w:after="100"/>
              <w:jc w:val="center"/>
              <w:rPr>
                <w:lang w:eastAsia="ko-KR"/>
              </w:rPr>
            </w:pPr>
            <w:r>
              <w:rPr>
                <w:lang w:eastAsia="ko-KR"/>
              </w:rPr>
              <w:t>NIL</w:t>
            </w:r>
          </w:p>
        </w:tc>
        <w:tc>
          <w:tcPr>
            <w:tcW w:w="1047" w:type="pct"/>
          </w:tcPr>
          <w:p w14:paraId="5B75571C" w14:textId="77777777" w:rsidR="000D07EA" w:rsidRDefault="00BE7C89">
            <w:pPr>
              <w:pStyle w:val="BodyText"/>
              <w:spacing w:before="100" w:after="100"/>
              <w:jc w:val="center"/>
              <w:rPr>
                <w:lang w:eastAsia="ko-KR"/>
              </w:rPr>
            </w:pPr>
            <w:r>
              <w:rPr>
                <w:lang w:eastAsia="ko-KR"/>
              </w:rPr>
              <w:t>NIL</w:t>
            </w:r>
          </w:p>
        </w:tc>
        <w:tc>
          <w:tcPr>
            <w:tcW w:w="1047" w:type="pct"/>
          </w:tcPr>
          <w:p w14:paraId="3F9BB446" w14:textId="77777777" w:rsidR="000D07EA" w:rsidRDefault="00BE7C89">
            <w:pPr>
              <w:pStyle w:val="BodyText"/>
              <w:spacing w:before="100" w:after="100"/>
              <w:jc w:val="center"/>
              <w:rPr>
                <w:lang w:eastAsia="ko-KR"/>
              </w:rPr>
            </w:pPr>
            <w:r>
              <w:rPr>
                <w:lang w:eastAsia="ko-KR"/>
              </w:rPr>
              <w:t>NIL</w:t>
            </w:r>
          </w:p>
        </w:tc>
      </w:tr>
      <w:tr w:rsidR="000D07EA" w14:paraId="1BA0A2F4" w14:textId="77777777">
        <w:trPr>
          <w:trHeight w:val="675"/>
        </w:trPr>
        <w:tc>
          <w:tcPr>
            <w:tcW w:w="1859" w:type="pct"/>
          </w:tcPr>
          <w:p w14:paraId="1A441BE1" w14:textId="77777777" w:rsidR="000D07EA" w:rsidRDefault="00BE7C89">
            <w:pPr>
              <w:pStyle w:val="BodyText"/>
              <w:spacing w:before="100" w:after="100"/>
              <w:rPr>
                <w:b/>
                <w:lang w:eastAsia="ko-KR"/>
              </w:rPr>
            </w:pPr>
            <w:r>
              <w:rPr>
                <w:b/>
                <w:i/>
                <w:iCs/>
                <w:lang w:eastAsia="ko-KR"/>
              </w:rPr>
              <w:t>Flagfall</w:t>
            </w:r>
            <w:r>
              <w:rPr>
                <w:b/>
                <w:lang w:eastAsia="ko-KR"/>
              </w:rPr>
              <w:t xml:space="preserve"> for national voice calls (Call Connection Charge) </w:t>
            </w:r>
          </w:p>
        </w:tc>
        <w:tc>
          <w:tcPr>
            <w:tcW w:w="1046" w:type="pct"/>
          </w:tcPr>
          <w:p w14:paraId="41EE4A8C" w14:textId="77777777" w:rsidR="000D07EA" w:rsidRDefault="00BE7C89">
            <w:pPr>
              <w:pStyle w:val="BodyText"/>
              <w:spacing w:before="100" w:after="100"/>
              <w:jc w:val="center"/>
              <w:rPr>
                <w:lang w:eastAsia="ko-KR"/>
              </w:rPr>
            </w:pPr>
            <w:r>
              <w:rPr>
                <w:lang w:eastAsia="ko-KR"/>
              </w:rPr>
              <w:t>NIL</w:t>
            </w:r>
          </w:p>
        </w:tc>
        <w:tc>
          <w:tcPr>
            <w:tcW w:w="1047" w:type="pct"/>
          </w:tcPr>
          <w:p w14:paraId="6DAEC575" w14:textId="77777777" w:rsidR="000D07EA" w:rsidRDefault="00BE7C89">
            <w:pPr>
              <w:pStyle w:val="BodyText"/>
              <w:spacing w:before="100" w:after="100"/>
              <w:jc w:val="center"/>
              <w:rPr>
                <w:lang w:eastAsia="ko-KR"/>
              </w:rPr>
            </w:pPr>
            <w:r>
              <w:rPr>
                <w:lang w:eastAsia="ko-KR"/>
              </w:rPr>
              <w:t>NIL</w:t>
            </w:r>
          </w:p>
        </w:tc>
        <w:tc>
          <w:tcPr>
            <w:tcW w:w="1047" w:type="pct"/>
          </w:tcPr>
          <w:p w14:paraId="64DA0938" w14:textId="77777777" w:rsidR="000D07EA" w:rsidRDefault="00BE7C89">
            <w:pPr>
              <w:pStyle w:val="BodyText"/>
              <w:spacing w:before="100" w:after="100"/>
              <w:jc w:val="center"/>
              <w:rPr>
                <w:lang w:eastAsia="ko-KR"/>
              </w:rPr>
            </w:pPr>
            <w:r>
              <w:rPr>
                <w:lang w:eastAsia="ko-KR"/>
              </w:rPr>
              <w:t>NIL</w:t>
            </w:r>
          </w:p>
        </w:tc>
      </w:tr>
      <w:tr w:rsidR="000D07EA" w14:paraId="31E7A18A" w14:textId="77777777">
        <w:trPr>
          <w:trHeight w:val="890"/>
        </w:trPr>
        <w:tc>
          <w:tcPr>
            <w:tcW w:w="1859" w:type="pct"/>
          </w:tcPr>
          <w:p w14:paraId="7C983CE9" w14:textId="77777777" w:rsidR="000D07EA" w:rsidRDefault="00BE7C89">
            <w:pPr>
              <w:pStyle w:val="BodyText"/>
              <w:spacing w:before="100" w:after="100"/>
              <w:rPr>
                <w:b/>
                <w:lang w:eastAsia="ko-KR"/>
              </w:rPr>
            </w:pPr>
            <w:r>
              <w:rPr>
                <w:b/>
                <w:lang w:eastAsia="ko-KR"/>
              </w:rPr>
              <w:t>13/1300 Calls</w:t>
            </w:r>
          </w:p>
        </w:tc>
        <w:tc>
          <w:tcPr>
            <w:tcW w:w="1046" w:type="pct"/>
          </w:tcPr>
          <w:p w14:paraId="7765A16A" w14:textId="77777777" w:rsidR="000D07EA" w:rsidRDefault="00BE7C89">
            <w:pPr>
              <w:pStyle w:val="BodyText"/>
              <w:spacing w:before="100" w:after="100"/>
              <w:jc w:val="center"/>
              <w:rPr>
                <w:lang w:eastAsia="ko-KR"/>
              </w:rPr>
            </w:pPr>
            <w:r>
              <w:rPr>
                <w:lang w:eastAsia="ko-KR"/>
              </w:rPr>
              <w:t>0.35 Flagfall</w:t>
            </w:r>
          </w:p>
          <w:p w14:paraId="10EE5992" w14:textId="77777777" w:rsidR="000D07EA" w:rsidRDefault="00BE7C89">
            <w:pPr>
              <w:pStyle w:val="BodyText"/>
              <w:spacing w:before="100" w:after="100"/>
              <w:jc w:val="center"/>
              <w:rPr>
                <w:lang w:eastAsia="ko-KR"/>
              </w:rPr>
            </w:pPr>
            <w:r>
              <w:rPr>
                <w:lang w:eastAsia="ko-KR"/>
              </w:rPr>
              <w:t>0.35c per 30 seconds</w:t>
            </w:r>
          </w:p>
        </w:tc>
        <w:tc>
          <w:tcPr>
            <w:tcW w:w="1047" w:type="pct"/>
          </w:tcPr>
          <w:p w14:paraId="22EEE579" w14:textId="77777777" w:rsidR="000D07EA" w:rsidRDefault="00BE7C89">
            <w:pPr>
              <w:pStyle w:val="BodyText"/>
              <w:spacing w:before="100" w:after="100"/>
              <w:jc w:val="center"/>
              <w:rPr>
                <w:lang w:eastAsia="ko-KR"/>
              </w:rPr>
            </w:pPr>
            <w:r>
              <w:rPr>
                <w:lang w:eastAsia="ko-KR"/>
              </w:rPr>
              <w:t>0.35 Flagfall</w:t>
            </w:r>
          </w:p>
          <w:p w14:paraId="41E6059C" w14:textId="77777777" w:rsidR="000D07EA" w:rsidRDefault="00BE7C89">
            <w:pPr>
              <w:pStyle w:val="BodyText"/>
              <w:spacing w:before="100" w:after="100"/>
              <w:jc w:val="center"/>
              <w:rPr>
                <w:lang w:eastAsia="ko-KR"/>
              </w:rPr>
            </w:pPr>
            <w:r>
              <w:rPr>
                <w:lang w:eastAsia="ko-KR"/>
              </w:rPr>
              <w:t>0.35c per 30 seconds</w:t>
            </w:r>
          </w:p>
        </w:tc>
        <w:tc>
          <w:tcPr>
            <w:tcW w:w="1047" w:type="pct"/>
          </w:tcPr>
          <w:p w14:paraId="3072036B" w14:textId="77777777" w:rsidR="000D07EA" w:rsidRDefault="00BE7C89">
            <w:pPr>
              <w:pStyle w:val="BodyText"/>
              <w:spacing w:before="100" w:after="100"/>
              <w:jc w:val="center"/>
              <w:rPr>
                <w:lang w:eastAsia="ko-KR"/>
              </w:rPr>
            </w:pPr>
            <w:r>
              <w:rPr>
                <w:lang w:eastAsia="ko-KR"/>
              </w:rPr>
              <w:t>0.35 Flagfall</w:t>
            </w:r>
          </w:p>
          <w:p w14:paraId="20FA003B" w14:textId="77777777" w:rsidR="000D07EA" w:rsidRDefault="00BE7C89">
            <w:pPr>
              <w:pStyle w:val="BodyText"/>
              <w:spacing w:before="100" w:after="100"/>
              <w:jc w:val="center"/>
              <w:rPr>
                <w:lang w:eastAsia="ko-KR"/>
              </w:rPr>
            </w:pPr>
            <w:r>
              <w:rPr>
                <w:lang w:eastAsia="ko-KR"/>
              </w:rPr>
              <w:t>0.35c per 30 seconds</w:t>
            </w:r>
          </w:p>
        </w:tc>
      </w:tr>
      <w:tr w:rsidR="000D07EA" w14:paraId="250293B2" w14:textId="77777777">
        <w:trPr>
          <w:trHeight w:val="60"/>
        </w:trPr>
        <w:tc>
          <w:tcPr>
            <w:tcW w:w="1859" w:type="pct"/>
          </w:tcPr>
          <w:p w14:paraId="1E2CF743" w14:textId="77777777" w:rsidR="000D07EA" w:rsidRDefault="00BE7C89">
            <w:pPr>
              <w:pStyle w:val="BodyText"/>
              <w:keepNext/>
              <w:spacing w:before="100" w:after="100"/>
              <w:rPr>
                <w:b/>
                <w:lang w:eastAsia="ko-KR"/>
              </w:rPr>
            </w:pPr>
            <w:r>
              <w:rPr>
                <w:b/>
                <w:lang w:eastAsia="ko-KR"/>
              </w:rPr>
              <w:t>1800 Calls</w:t>
            </w:r>
          </w:p>
        </w:tc>
        <w:tc>
          <w:tcPr>
            <w:tcW w:w="1046" w:type="pct"/>
          </w:tcPr>
          <w:p w14:paraId="3E168DCC" w14:textId="77777777" w:rsidR="000D07EA" w:rsidRDefault="00BE7C89">
            <w:pPr>
              <w:pStyle w:val="BodyText"/>
              <w:keepNext/>
              <w:spacing w:before="100" w:after="100"/>
              <w:jc w:val="center"/>
              <w:rPr>
                <w:lang w:eastAsia="ko-KR"/>
              </w:rPr>
            </w:pPr>
            <w:r>
              <w:rPr>
                <w:lang w:eastAsia="ko-KR"/>
              </w:rPr>
              <w:t>0.11c per 30 seconds peak (7am-7pm)</w:t>
            </w:r>
          </w:p>
          <w:p w14:paraId="024A9764" w14:textId="77777777" w:rsidR="000D07EA" w:rsidRDefault="00BE7C89">
            <w:pPr>
              <w:pStyle w:val="BodyText"/>
              <w:keepNext/>
              <w:spacing w:before="100" w:after="100"/>
              <w:jc w:val="center"/>
              <w:rPr>
                <w:lang w:eastAsia="ko-KR"/>
              </w:rPr>
            </w:pPr>
            <w:r>
              <w:rPr>
                <w:lang w:eastAsia="ko-KR"/>
              </w:rPr>
              <w:t>0.055c per 30 secs off peak (7pm-7am)</w:t>
            </w:r>
          </w:p>
        </w:tc>
        <w:tc>
          <w:tcPr>
            <w:tcW w:w="1047" w:type="pct"/>
          </w:tcPr>
          <w:p w14:paraId="029E875C" w14:textId="77777777" w:rsidR="000D07EA" w:rsidRDefault="00BE7C89">
            <w:pPr>
              <w:pStyle w:val="BodyText"/>
              <w:keepNext/>
              <w:spacing w:before="100" w:after="100"/>
              <w:jc w:val="center"/>
              <w:rPr>
                <w:lang w:eastAsia="ko-KR"/>
              </w:rPr>
            </w:pPr>
            <w:r>
              <w:rPr>
                <w:lang w:eastAsia="ko-KR"/>
              </w:rPr>
              <w:t>0.11c per 30 seconds peak (7am-7pm)</w:t>
            </w:r>
          </w:p>
          <w:p w14:paraId="16BB9876" w14:textId="77777777" w:rsidR="000D07EA" w:rsidRDefault="00BE7C89">
            <w:pPr>
              <w:pStyle w:val="BodyText"/>
              <w:keepNext/>
              <w:spacing w:before="100" w:after="100"/>
              <w:jc w:val="center"/>
              <w:rPr>
                <w:lang w:eastAsia="ko-KR"/>
              </w:rPr>
            </w:pPr>
            <w:r>
              <w:rPr>
                <w:lang w:eastAsia="ko-KR"/>
              </w:rPr>
              <w:t>0.055c per 30 secs off peak (7pm-7am)</w:t>
            </w:r>
          </w:p>
        </w:tc>
        <w:tc>
          <w:tcPr>
            <w:tcW w:w="1047" w:type="pct"/>
          </w:tcPr>
          <w:p w14:paraId="35D4AEA5" w14:textId="77777777" w:rsidR="000D07EA" w:rsidRDefault="00BE7C89">
            <w:pPr>
              <w:pStyle w:val="BodyText"/>
              <w:keepNext/>
              <w:spacing w:before="100" w:after="100"/>
              <w:jc w:val="center"/>
              <w:rPr>
                <w:lang w:eastAsia="ko-KR"/>
              </w:rPr>
            </w:pPr>
            <w:r>
              <w:rPr>
                <w:lang w:eastAsia="ko-KR"/>
              </w:rPr>
              <w:t>0.11c per 30 seconds peak (7am-7pm)</w:t>
            </w:r>
          </w:p>
          <w:p w14:paraId="3B3CC29B" w14:textId="77777777" w:rsidR="000D07EA" w:rsidRDefault="00BE7C89">
            <w:pPr>
              <w:pStyle w:val="BodyText"/>
              <w:keepNext/>
              <w:spacing w:before="100" w:after="100"/>
              <w:jc w:val="center"/>
              <w:rPr>
                <w:lang w:eastAsia="ko-KR"/>
              </w:rPr>
            </w:pPr>
            <w:r>
              <w:rPr>
                <w:lang w:eastAsia="ko-KR"/>
              </w:rPr>
              <w:t>0.055c per 30 secs off peak (7pm-7am)</w:t>
            </w:r>
          </w:p>
        </w:tc>
      </w:tr>
      <w:tr w:rsidR="000D07EA" w14:paraId="20CA1719" w14:textId="77777777">
        <w:trPr>
          <w:trHeight w:val="890"/>
        </w:trPr>
        <w:tc>
          <w:tcPr>
            <w:tcW w:w="1859" w:type="pct"/>
          </w:tcPr>
          <w:p w14:paraId="6EE8CFE7" w14:textId="77777777" w:rsidR="000D07EA" w:rsidRDefault="00BE7C89">
            <w:pPr>
              <w:pStyle w:val="BodyText"/>
              <w:spacing w:before="100" w:after="100"/>
              <w:rPr>
                <w:b/>
                <w:i/>
                <w:iCs/>
                <w:lang w:eastAsia="ko-KR"/>
              </w:rPr>
            </w:pPr>
            <w:r>
              <w:rPr>
                <w:b/>
                <w:lang w:eastAsia="ko-KR"/>
              </w:rPr>
              <w:t xml:space="preserve">National Standard SMS Charges </w:t>
            </w:r>
            <w:r>
              <w:rPr>
                <w:lang w:eastAsia="ko-KR"/>
              </w:rPr>
              <w:t>(for standard SMS of up to 160 characters)</w:t>
            </w:r>
          </w:p>
        </w:tc>
        <w:tc>
          <w:tcPr>
            <w:tcW w:w="1046" w:type="pct"/>
          </w:tcPr>
          <w:p w14:paraId="747CD29E" w14:textId="77777777" w:rsidR="000D07EA" w:rsidRDefault="00BE7C89">
            <w:pPr>
              <w:pStyle w:val="BodyText"/>
              <w:spacing w:before="100" w:after="100"/>
              <w:jc w:val="center"/>
              <w:rPr>
                <w:lang w:eastAsia="ko-KR"/>
              </w:rPr>
            </w:pPr>
            <w:r>
              <w:rPr>
                <w:lang w:eastAsia="ko-KR"/>
              </w:rPr>
              <w:t>NIL if Unlimited Text offer is selected, 25c otherwise</w:t>
            </w:r>
          </w:p>
        </w:tc>
        <w:tc>
          <w:tcPr>
            <w:tcW w:w="1047" w:type="pct"/>
          </w:tcPr>
          <w:p w14:paraId="73A8E16B" w14:textId="77777777" w:rsidR="000D07EA" w:rsidRDefault="00BE7C89">
            <w:pPr>
              <w:pStyle w:val="BodyText"/>
              <w:spacing w:before="100" w:after="100"/>
              <w:jc w:val="center"/>
              <w:rPr>
                <w:lang w:eastAsia="ko-KR"/>
              </w:rPr>
            </w:pPr>
            <w:r>
              <w:rPr>
                <w:lang w:eastAsia="ko-KR"/>
              </w:rPr>
              <w:t>NIL if Unlimited Text offer is selected, 25c otherwise</w:t>
            </w:r>
          </w:p>
        </w:tc>
        <w:tc>
          <w:tcPr>
            <w:tcW w:w="1047" w:type="pct"/>
          </w:tcPr>
          <w:p w14:paraId="30DCC6F9" w14:textId="77777777" w:rsidR="000D07EA" w:rsidRDefault="00BE7C89">
            <w:pPr>
              <w:pStyle w:val="BodyText"/>
              <w:spacing w:before="100" w:after="100"/>
              <w:jc w:val="center"/>
              <w:rPr>
                <w:lang w:eastAsia="ko-KR"/>
              </w:rPr>
            </w:pPr>
            <w:r>
              <w:rPr>
                <w:lang w:eastAsia="ko-KR"/>
              </w:rPr>
              <w:t>NIL</w:t>
            </w:r>
          </w:p>
        </w:tc>
      </w:tr>
      <w:tr w:rsidR="000D07EA" w14:paraId="3EFA11D7" w14:textId="77777777">
        <w:trPr>
          <w:trHeight w:val="60"/>
        </w:trPr>
        <w:tc>
          <w:tcPr>
            <w:tcW w:w="1859" w:type="pct"/>
          </w:tcPr>
          <w:p w14:paraId="03E4EF5B" w14:textId="77777777" w:rsidR="000D07EA" w:rsidRDefault="00BE7C89">
            <w:pPr>
              <w:pStyle w:val="BodyText"/>
              <w:spacing w:before="100" w:after="100"/>
              <w:rPr>
                <w:b/>
                <w:lang w:eastAsia="ko-KR"/>
              </w:rPr>
            </w:pPr>
            <w:r>
              <w:rPr>
                <w:b/>
                <w:lang w:eastAsia="ko-KR"/>
              </w:rPr>
              <w:lastRenderedPageBreak/>
              <w:t>Other call charges (for example international calls, calls to mobiles)</w:t>
            </w:r>
          </w:p>
        </w:tc>
        <w:tc>
          <w:tcPr>
            <w:tcW w:w="3141" w:type="pct"/>
            <w:gridSpan w:val="3"/>
          </w:tcPr>
          <w:p w14:paraId="00BF1E4D" w14:textId="77777777" w:rsidR="000D07EA" w:rsidRDefault="00BE7C89">
            <w:pPr>
              <w:pStyle w:val="BodyText"/>
              <w:spacing w:before="100" w:after="100"/>
              <w:rPr>
                <w:lang w:eastAsia="ko-KR"/>
              </w:rPr>
            </w:pPr>
            <w:r>
              <w:rPr>
                <w:lang w:eastAsia="ko-KR"/>
              </w:rPr>
              <w:t xml:space="preserve">See section 1 of this </w:t>
            </w:r>
            <w:r>
              <w:rPr>
                <w:i/>
                <w:iCs/>
                <w:lang w:eastAsia="ko-KR"/>
              </w:rPr>
              <w:t>standard pricing table</w:t>
            </w:r>
            <w:r>
              <w:rPr>
                <w:lang w:eastAsia="ko-KR"/>
              </w:rPr>
              <w:t xml:space="preserve"> and Appendix Y (Value Added Service Features) </w:t>
            </w:r>
          </w:p>
        </w:tc>
      </w:tr>
      <w:tr w:rsidR="000D07EA" w14:paraId="1334F16A" w14:textId="77777777">
        <w:trPr>
          <w:trHeight w:val="60"/>
        </w:trPr>
        <w:tc>
          <w:tcPr>
            <w:tcW w:w="1859" w:type="pct"/>
          </w:tcPr>
          <w:p w14:paraId="1A8B42D8" w14:textId="77777777" w:rsidR="000D07EA" w:rsidRDefault="00BE7C89">
            <w:pPr>
              <w:pStyle w:val="BodyText"/>
              <w:spacing w:before="100" w:after="100"/>
              <w:rPr>
                <w:b/>
                <w:lang w:eastAsia="ko-KR"/>
              </w:rPr>
            </w:pPr>
            <w:r>
              <w:rPr>
                <w:b/>
                <w:lang w:eastAsia="ko-KR"/>
              </w:rPr>
              <w:t xml:space="preserve">Other conditions </w:t>
            </w:r>
            <w:r>
              <w:rPr>
                <w:lang w:eastAsia="ko-KR"/>
              </w:rPr>
              <w:t xml:space="preserve">(for details see </w:t>
            </w:r>
            <w:r w:rsidRPr="00272628">
              <w:rPr>
                <w:lang w:eastAsia="ko-KR"/>
              </w:rPr>
              <w:t xml:space="preserve">paragraph </w:t>
            </w:r>
            <w:r w:rsidR="00E17E77" w:rsidRPr="00272628">
              <w:rPr>
                <w:lang w:eastAsia="ko-KR"/>
              </w:rPr>
              <w:t>85</w:t>
            </w:r>
            <w:r w:rsidRPr="00272628">
              <w:rPr>
                <w:lang w:eastAsia="ko-KR"/>
              </w:rPr>
              <w:t>.3(g) above)</w:t>
            </w:r>
          </w:p>
        </w:tc>
        <w:tc>
          <w:tcPr>
            <w:tcW w:w="3141" w:type="pct"/>
            <w:gridSpan w:val="3"/>
          </w:tcPr>
          <w:p w14:paraId="6B902053" w14:textId="77777777" w:rsidR="000D07EA" w:rsidRDefault="00BE7C89">
            <w:pPr>
              <w:pStyle w:val="BodyText"/>
              <w:spacing w:before="100" w:after="100"/>
              <w:rPr>
                <w:lang w:eastAsia="ko-KR"/>
              </w:rPr>
            </w:pPr>
            <w:r>
              <w:rPr>
                <w:lang w:eastAsia="ko-KR"/>
              </w:rPr>
              <w:t>Fair Go Policy (</w:t>
            </w:r>
            <w:hyperlink r:id="rId193" w:history="1">
              <w:r>
                <w:rPr>
                  <w:rStyle w:val="Hyperlink"/>
                  <w:lang w:eastAsia="ko-KR"/>
                </w:rPr>
                <w:t>Appendix S</w:t>
              </w:r>
            </w:hyperlink>
            <w:r>
              <w:rPr>
                <w:lang w:eastAsia="ko-KR"/>
              </w:rPr>
              <w:t xml:space="preserve">) applies to 'unreasonable use'. </w:t>
            </w:r>
          </w:p>
        </w:tc>
      </w:tr>
      <w:tr w:rsidR="000D07EA" w14:paraId="732D7F8F" w14:textId="77777777">
        <w:trPr>
          <w:trHeight w:val="1250"/>
        </w:trPr>
        <w:tc>
          <w:tcPr>
            <w:tcW w:w="1859" w:type="pct"/>
          </w:tcPr>
          <w:p w14:paraId="711E1A4A" w14:textId="77777777" w:rsidR="000D07EA" w:rsidRDefault="00BE7C89">
            <w:pPr>
              <w:pStyle w:val="BodyText"/>
              <w:spacing w:before="100" w:after="100"/>
              <w:rPr>
                <w:b/>
                <w:lang w:eastAsia="ko-KR"/>
              </w:rPr>
            </w:pPr>
            <w:r>
              <w:rPr>
                <w:b/>
                <w:lang w:eastAsia="ko-KR"/>
              </w:rPr>
              <w:t xml:space="preserve">Minimum Total Cost of the Timeless Business Plan over a 24 month </w:t>
            </w:r>
            <w:r>
              <w:rPr>
                <w:b/>
                <w:i/>
                <w:iCs/>
                <w:lang w:eastAsia="ko-KR"/>
              </w:rPr>
              <w:t>minimum term (</w:t>
            </w:r>
            <w:r>
              <w:rPr>
                <w:b/>
                <w:lang w:eastAsia="ko-KR"/>
              </w:rPr>
              <w:t xml:space="preserve">excluding the cost of </w:t>
            </w:r>
            <w:r>
              <w:rPr>
                <w:b/>
                <w:i/>
                <w:iCs/>
                <w:lang w:eastAsia="ko-KR"/>
              </w:rPr>
              <w:t xml:space="preserve">equipment charges </w:t>
            </w:r>
            <w:r>
              <w:rPr>
                <w:b/>
                <w:lang w:eastAsia="ko-KR"/>
              </w:rPr>
              <w:t xml:space="preserve">for any </w:t>
            </w:r>
            <w:r>
              <w:rPr>
                <w:b/>
                <w:i/>
                <w:iCs/>
                <w:lang w:eastAsia="ko-KR"/>
              </w:rPr>
              <w:t xml:space="preserve">mobile phone you </w:t>
            </w:r>
            <w:r>
              <w:rPr>
                <w:b/>
                <w:lang w:eastAsia="ko-KR"/>
              </w:rPr>
              <w:t>purchase from us, if any)</w:t>
            </w:r>
          </w:p>
        </w:tc>
        <w:tc>
          <w:tcPr>
            <w:tcW w:w="1046" w:type="pct"/>
          </w:tcPr>
          <w:p w14:paraId="2AE37E39" w14:textId="77777777" w:rsidR="000D07EA" w:rsidRDefault="00BE7C89">
            <w:pPr>
              <w:pStyle w:val="BodyText"/>
              <w:spacing w:before="100" w:after="100"/>
              <w:rPr>
                <w:lang w:eastAsia="ko-KR"/>
              </w:rPr>
            </w:pPr>
            <w:r>
              <w:rPr>
                <w:lang w:eastAsia="ko-KR"/>
              </w:rPr>
              <w:t>$2,734.80</w:t>
            </w:r>
          </w:p>
        </w:tc>
        <w:tc>
          <w:tcPr>
            <w:tcW w:w="1047" w:type="pct"/>
          </w:tcPr>
          <w:p w14:paraId="746E1590" w14:textId="77777777" w:rsidR="000D07EA" w:rsidRDefault="00BE7C89">
            <w:pPr>
              <w:pStyle w:val="BodyText"/>
              <w:spacing w:before="100" w:after="100"/>
              <w:rPr>
                <w:lang w:eastAsia="ko-KR"/>
              </w:rPr>
            </w:pPr>
            <w:r>
              <w:rPr>
                <w:lang w:eastAsia="ko-KR"/>
              </w:rPr>
              <w:t>$2,856</w:t>
            </w:r>
          </w:p>
        </w:tc>
        <w:tc>
          <w:tcPr>
            <w:tcW w:w="1047" w:type="pct"/>
          </w:tcPr>
          <w:p w14:paraId="3E3E32BE" w14:textId="77777777" w:rsidR="000D07EA" w:rsidRDefault="00BE7C89">
            <w:pPr>
              <w:pStyle w:val="BodyText"/>
              <w:spacing w:before="100" w:after="100"/>
              <w:rPr>
                <w:lang w:eastAsia="ko-KR"/>
              </w:rPr>
            </w:pPr>
            <w:r>
              <w:rPr>
                <w:lang w:eastAsia="ko-KR"/>
              </w:rPr>
              <w:t>$3,096</w:t>
            </w:r>
          </w:p>
        </w:tc>
      </w:tr>
      <w:tr w:rsidR="000D07EA" w14:paraId="165AE2A4" w14:textId="77777777">
        <w:trPr>
          <w:trHeight w:val="1329"/>
        </w:trPr>
        <w:tc>
          <w:tcPr>
            <w:tcW w:w="1859" w:type="pct"/>
          </w:tcPr>
          <w:p w14:paraId="3383774D" w14:textId="77777777" w:rsidR="000D07EA" w:rsidRDefault="00BE7C89">
            <w:pPr>
              <w:pStyle w:val="BodyText"/>
              <w:spacing w:before="100" w:after="100"/>
              <w:rPr>
                <w:b/>
                <w:lang w:eastAsia="ko-KR"/>
              </w:rPr>
            </w:pPr>
            <w:r>
              <w:rPr>
                <w:b/>
                <w:lang w:eastAsia="ko-KR"/>
              </w:rPr>
              <w:t xml:space="preserve">Minimum Total Cost of the Timeless Business Plan over a 12 month </w:t>
            </w:r>
            <w:r>
              <w:rPr>
                <w:b/>
                <w:i/>
                <w:iCs/>
                <w:lang w:eastAsia="ko-KR"/>
              </w:rPr>
              <w:t>minimum term (</w:t>
            </w:r>
            <w:r>
              <w:rPr>
                <w:b/>
                <w:lang w:eastAsia="ko-KR"/>
              </w:rPr>
              <w:t xml:space="preserve">excluding the cost of </w:t>
            </w:r>
            <w:r>
              <w:rPr>
                <w:b/>
                <w:i/>
                <w:iCs/>
                <w:lang w:eastAsia="ko-KR"/>
              </w:rPr>
              <w:t xml:space="preserve">equipment charges </w:t>
            </w:r>
            <w:r>
              <w:rPr>
                <w:b/>
                <w:lang w:eastAsia="ko-KR"/>
              </w:rPr>
              <w:t xml:space="preserve">for any </w:t>
            </w:r>
            <w:r>
              <w:rPr>
                <w:b/>
                <w:i/>
                <w:iCs/>
                <w:lang w:eastAsia="ko-KR"/>
              </w:rPr>
              <w:t xml:space="preserve">mobile phone you </w:t>
            </w:r>
            <w:r>
              <w:rPr>
                <w:b/>
                <w:lang w:eastAsia="ko-KR"/>
              </w:rPr>
              <w:t>purchase from us, if any)</w:t>
            </w:r>
          </w:p>
        </w:tc>
        <w:tc>
          <w:tcPr>
            <w:tcW w:w="1046" w:type="pct"/>
          </w:tcPr>
          <w:p w14:paraId="5584A39B" w14:textId="77777777" w:rsidR="000D07EA" w:rsidRDefault="00BE7C89">
            <w:pPr>
              <w:pStyle w:val="BodyText"/>
              <w:spacing w:before="100" w:after="100"/>
              <w:rPr>
                <w:lang w:eastAsia="ko-KR"/>
              </w:rPr>
            </w:pPr>
            <w:r>
              <w:rPr>
                <w:lang w:eastAsia="ko-KR"/>
              </w:rPr>
              <w:t>$1,367.40</w:t>
            </w:r>
          </w:p>
        </w:tc>
        <w:tc>
          <w:tcPr>
            <w:tcW w:w="1047" w:type="pct"/>
          </w:tcPr>
          <w:p w14:paraId="5C855AF5" w14:textId="77777777" w:rsidR="000D07EA" w:rsidRDefault="00BE7C89">
            <w:pPr>
              <w:pStyle w:val="BodyText"/>
              <w:spacing w:before="100" w:after="100"/>
              <w:rPr>
                <w:lang w:eastAsia="ko-KR"/>
              </w:rPr>
            </w:pPr>
            <w:r>
              <w:rPr>
                <w:lang w:eastAsia="ko-KR"/>
              </w:rPr>
              <w:t>$1,428</w:t>
            </w:r>
          </w:p>
        </w:tc>
        <w:tc>
          <w:tcPr>
            <w:tcW w:w="1047" w:type="pct"/>
          </w:tcPr>
          <w:p w14:paraId="02FF4731" w14:textId="77777777" w:rsidR="000D07EA" w:rsidRDefault="00BE7C89">
            <w:pPr>
              <w:pStyle w:val="BodyText"/>
              <w:spacing w:before="100" w:after="100"/>
              <w:rPr>
                <w:lang w:eastAsia="ko-KR"/>
              </w:rPr>
            </w:pPr>
            <w:r>
              <w:rPr>
                <w:lang w:eastAsia="ko-KR"/>
              </w:rPr>
              <w:t>$1,548</w:t>
            </w:r>
          </w:p>
        </w:tc>
      </w:tr>
    </w:tbl>
    <w:p w14:paraId="37B57E21" w14:textId="77777777" w:rsidR="000D07EA" w:rsidRDefault="00BE7C89">
      <w:pPr>
        <w:pStyle w:val="BodyText"/>
        <w:ind w:left="1440"/>
        <w:rPr>
          <w:sz w:val="16"/>
          <w:szCs w:val="16"/>
        </w:rPr>
      </w:pPr>
      <w:r>
        <w:rPr>
          <w:sz w:val="16"/>
          <w:szCs w:val="16"/>
        </w:rPr>
        <w:t>* The Timeless Business $99 Plan when you take the $14.99 Mobile Internet Pack a Smart Data or BlackBerry Bolt on is only available as a package and is not available separately.</w:t>
      </w:r>
    </w:p>
    <w:p w14:paraId="48B48C95" w14:textId="77777777" w:rsidR="000D07EA" w:rsidRDefault="00BE7C89">
      <w:pPr>
        <w:pStyle w:val="BodyText"/>
        <w:ind w:left="1440"/>
        <w:rPr>
          <w:b/>
        </w:rPr>
      </w:pPr>
      <w:r>
        <w:rPr>
          <w:b/>
        </w:rPr>
        <w:t>Table 4B – Minimum Total Cost of the 119 and 129 Business Timeless Plans</w:t>
      </w:r>
    </w:p>
    <w:tbl>
      <w:tblPr>
        <w:tblW w:w="0" w:type="auto"/>
        <w:tblInd w:w="1458" w:type="dxa"/>
        <w:tblLayout w:type="fixed"/>
        <w:tblLook w:val="0000" w:firstRow="0" w:lastRow="0" w:firstColumn="0" w:lastColumn="0" w:noHBand="0" w:noVBand="0"/>
      </w:tblPr>
      <w:tblGrid>
        <w:gridCol w:w="4140"/>
        <w:gridCol w:w="2430"/>
        <w:gridCol w:w="2386"/>
      </w:tblGrid>
      <w:tr w:rsidR="000D07EA" w14:paraId="56F0C4F2" w14:textId="77777777">
        <w:trPr>
          <w:trHeight w:val="60"/>
          <w:tblHeader/>
        </w:trPr>
        <w:tc>
          <w:tcPr>
            <w:tcW w:w="4140" w:type="dxa"/>
            <w:tcBorders>
              <w:top w:val="single" w:sz="4" w:space="0" w:color="auto"/>
              <w:left w:val="single" w:sz="4" w:space="0" w:color="auto"/>
              <w:bottom w:val="single" w:sz="4" w:space="0" w:color="auto"/>
              <w:right w:val="single" w:sz="4" w:space="0" w:color="auto"/>
            </w:tcBorders>
          </w:tcPr>
          <w:p w14:paraId="51820CBD" w14:textId="77777777" w:rsidR="000D07EA" w:rsidRDefault="00BE7C89">
            <w:pPr>
              <w:pStyle w:val="BodyText"/>
              <w:spacing w:before="100" w:after="100"/>
              <w:rPr>
                <w:b/>
                <w:lang w:eastAsia="ko-KR"/>
              </w:rPr>
            </w:pPr>
            <w:r>
              <w:rPr>
                <w:b/>
                <w:lang w:eastAsia="ko-KR"/>
              </w:rPr>
              <w:t>12 and 24 Month Plans</w:t>
            </w:r>
          </w:p>
        </w:tc>
        <w:tc>
          <w:tcPr>
            <w:tcW w:w="2430" w:type="dxa"/>
            <w:tcBorders>
              <w:top w:val="single" w:sz="4" w:space="0" w:color="auto"/>
              <w:left w:val="nil"/>
              <w:bottom w:val="single" w:sz="4" w:space="0" w:color="auto"/>
              <w:right w:val="single" w:sz="4" w:space="0" w:color="auto"/>
            </w:tcBorders>
            <w:noWrap/>
          </w:tcPr>
          <w:p w14:paraId="052F9BFC" w14:textId="77777777" w:rsidR="000D07EA" w:rsidRDefault="00BE7C89">
            <w:pPr>
              <w:pStyle w:val="BodyText"/>
              <w:spacing w:before="100" w:after="100"/>
              <w:jc w:val="center"/>
              <w:rPr>
                <w:lang w:eastAsia="ko-KR"/>
              </w:rPr>
            </w:pPr>
            <w:r>
              <w:rPr>
                <w:lang w:eastAsia="ko-KR"/>
              </w:rPr>
              <w:t>Timeless Business $119 Plan</w:t>
            </w:r>
          </w:p>
        </w:tc>
        <w:tc>
          <w:tcPr>
            <w:tcW w:w="2386" w:type="dxa"/>
            <w:tcBorders>
              <w:top w:val="single" w:sz="4" w:space="0" w:color="auto"/>
              <w:left w:val="nil"/>
              <w:bottom w:val="single" w:sz="4" w:space="0" w:color="auto"/>
              <w:right w:val="single" w:sz="4" w:space="0" w:color="auto"/>
            </w:tcBorders>
            <w:noWrap/>
          </w:tcPr>
          <w:p w14:paraId="0E7FC68D" w14:textId="77777777" w:rsidR="000D07EA" w:rsidRDefault="00BE7C89">
            <w:pPr>
              <w:pStyle w:val="BodyText"/>
              <w:spacing w:before="100" w:after="100"/>
              <w:jc w:val="center"/>
              <w:rPr>
                <w:lang w:eastAsia="ko-KR"/>
              </w:rPr>
            </w:pPr>
            <w:r>
              <w:rPr>
                <w:lang w:eastAsia="ko-KR"/>
              </w:rPr>
              <w:t>Timeless Business $129 Plan</w:t>
            </w:r>
          </w:p>
        </w:tc>
      </w:tr>
      <w:tr w:rsidR="000D07EA" w14:paraId="37F564C7" w14:textId="77777777">
        <w:trPr>
          <w:trHeight w:val="417"/>
        </w:trPr>
        <w:tc>
          <w:tcPr>
            <w:tcW w:w="4140" w:type="dxa"/>
            <w:tcBorders>
              <w:top w:val="single" w:sz="4" w:space="0" w:color="auto"/>
              <w:left w:val="single" w:sz="4" w:space="0" w:color="auto"/>
              <w:bottom w:val="single" w:sz="4" w:space="0" w:color="auto"/>
              <w:right w:val="single" w:sz="4" w:space="0" w:color="auto"/>
            </w:tcBorders>
          </w:tcPr>
          <w:p w14:paraId="6DC05AD1" w14:textId="77777777" w:rsidR="000D07EA" w:rsidRDefault="00BE7C89">
            <w:pPr>
              <w:pStyle w:val="BodyText"/>
              <w:spacing w:before="100" w:after="100"/>
              <w:rPr>
                <w:b/>
                <w:lang w:eastAsia="ko-KR"/>
              </w:rPr>
            </w:pPr>
            <w:r>
              <w:rPr>
                <w:b/>
                <w:lang w:eastAsia="ko-KR"/>
              </w:rPr>
              <w:t xml:space="preserve">Minimum Total Cost of the Timeless Business Plan over a 24 month </w:t>
            </w:r>
            <w:r>
              <w:rPr>
                <w:b/>
                <w:i/>
                <w:iCs/>
                <w:lang w:eastAsia="ko-KR"/>
              </w:rPr>
              <w:t>minimum term (</w:t>
            </w:r>
            <w:r>
              <w:rPr>
                <w:b/>
                <w:lang w:eastAsia="ko-KR"/>
              </w:rPr>
              <w:t xml:space="preserve">excluding the cost of </w:t>
            </w:r>
            <w:r>
              <w:rPr>
                <w:b/>
                <w:i/>
                <w:iCs/>
                <w:lang w:eastAsia="ko-KR"/>
              </w:rPr>
              <w:t xml:space="preserve">equipment charges </w:t>
            </w:r>
            <w:r>
              <w:rPr>
                <w:b/>
                <w:lang w:eastAsia="ko-KR"/>
              </w:rPr>
              <w:t xml:space="preserve">for any </w:t>
            </w:r>
            <w:r>
              <w:rPr>
                <w:b/>
                <w:i/>
                <w:iCs/>
                <w:lang w:eastAsia="ko-KR"/>
              </w:rPr>
              <w:t xml:space="preserve">mobile phone you </w:t>
            </w:r>
            <w:r>
              <w:rPr>
                <w:b/>
                <w:lang w:eastAsia="ko-KR"/>
              </w:rPr>
              <w:t>purchase from us, if any)</w:t>
            </w:r>
          </w:p>
        </w:tc>
        <w:tc>
          <w:tcPr>
            <w:tcW w:w="2430" w:type="dxa"/>
            <w:tcBorders>
              <w:top w:val="single" w:sz="4" w:space="0" w:color="auto"/>
              <w:left w:val="nil"/>
              <w:bottom w:val="single" w:sz="4" w:space="0" w:color="auto"/>
              <w:right w:val="single" w:sz="4" w:space="0" w:color="auto"/>
            </w:tcBorders>
            <w:noWrap/>
          </w:tcPr>
          <w:p w14:paraId="0768FB24" w14:textId="77777777" w:rsidR="000D07EA" w:rsidRDefault="00BE7C89">
            <w:pPr>
              <w:pStyle w:val="BodyText"/>
              <w:spacing w:before="100" w:after="100"/>
              <w:jc w:val="center"/>
              <w:rPr>
                <w:lang w:eastAsia="ko-KR"/>
              </w:rPr>
            </w:pPr>
            <w:r>
              <w:rPr>
                <w:lang w:eastAsia="ko-KR"/>
              </w:rPr>
              <w:t>$2,856</w:t>
            </w:r>
          </w:p>
        </w:tc>
        <w:tc>
          <w:tcPr>
            <w:tcW w:w="2386" w:type="dxa"/>
            <w:tcBorders>
              <w:top w:val="single" w:sz="4" w:space="0" w:color="auto"/>
              <w:left w:val="nil"/>
              <w:bottom w:val="single" w:sz="4" w:space="0" w:color="auto"/>
              <w:right w:val="single" w:sz="4" w:space="0" w:color="auto"/>
            </w:tcBorders>
            <w:noWrap/>
          </w:tcPr>
          <w:p w14:paraId="61774741" w14:textId="77777777" w:rsidR="000D07EA" w:rsidRDefault="00BE7C89">
            <w:pPr>
              <w:pStyle w:val="BodyText"/>
              <w:spacing w:before="100" w:after="100"/>
              <w:jc w:val="center"/>
              <w:rPr>
                <w:lang w:eastAsia="ko-KR"/>
              </w:rPr>
            </w:pPr>
            <w:r>
              <w:rPr>
                <w:lang w:eastAsia="ko-KR"/>
              </w:rPr>
              <w:t>$3,096</w:t>
            </w:r>
          </w:p>
        </w:tc>
      </w:tr>
      <w:tr w:rsidR="000D07EA" w14:paraId="40406FD8" w14:textId="77777777">
        <w:trPr>
          <w:trHeight w:val="777"/>
        </w:trPr>
        <w:tc>
          <w:tcPr>
            <w:tcW w:w="4140" w:type="dxa"/>
            <w:tcBorders>
              <w:top w:val="single" w:sz="4" w:space="0" w:color="auto"/>
              <w:left w:val="single" w:sz="4" w:space="0" w:color="auto"/>
              <w:bottom w:val="single" w:sz="4" w:space="0" w:color="auto"/>
              <w:right w:val="single" w:sz="4" w:space="0" w:color="auto"/>
            </w:tcBorders>
          </w:tcPr>
          <w:p w14:paraId="5C27E9CD" w14:textId="77777777" w:rsidR="000D07EA" w:rsidRDefault="00BE7C89">
            <w:pPr>
              <w:pStyle w:val="BodyText"/>
              <w:keepNext/>
              <w:spacing w:before="100" w:after="100"/>
              <w:rPr>
                <w:b/>
                <w:lang w:eastAsia="ko-KR"/>
              </w:rPr>
            </w:pPr>
            <w:r>
              <w:rPr>
                <w:b/>
                <w:lang w:eastAsia="ko-KR"/>
              </w:rPr>
              <w:t xml:space="preserve">Minimum Total Cost of the Timeless Business Plan over a 12 month </w:t>
            </w:r>
            <w:r>
              <w:rPr>
                <w:b/>
                <w:i/>
                <w:iCs/>
                <w:lang w:eastAsia="ko-KR"/>
              </w:rPr>
              <w:t>minimum term (</w:t>
            </w:r>
            <w:r>
              <w:rPr>
                <w:b/>
                <w:lang w:eastAsia="ko-KR"/>
              </w:rPr>
              <w:t xml:space="preserve">excluding the cost of </w:t>
            </w:r>
            <w:r>
              <w:rPr>
                <w:b/>
                <w:i/>
                <w:iCs/>
                <w:lang w:eastAsia="ko-KR"/>
              </w:rPr>
              <w:t xml:space="preserve">equipment charges </w:t>
            </w:r>
            <w:r>
              <w:rPr>
                <w:b/>
                <w:lang w:eastAsia="ko-KR"/>
              </w:rPr>
              <w:t xml:space="preserve">for any </w:t>
            </w:r>
            <w:r>
              <w:rPr>
                <w:b/>
                <w:i/>
                <w:iCs/>
                <w:lang w:eastAsia="ko-KR"/>
              </w:rPr>
              <w:t xml:space="preserve">mobile phone you </w:t>
            </w:r>
            <w:r>
              <w:rPr>
                <w:b/>
                <w:lang w:eastAsia="ko-KR"/>
              </w:rPr>
              <w:t>purchase from us, if any)</w:t>
            </w:r>
          </w:p>
        </w:tc>
        <w:tc>
          <w:tcPr>
            <w:tcW w:w="2430" w:type="dxa"/>
            <w:tcBorders>
              <w:top w:val="single" w:sz="4" w:space="0" w:color="auto"/>
              <w:left w:val="nil"/>
              <w:bottom w:val="single" w:sz="4" w:space="0" w:color="auto"/>
              <w:right w:val="single" w:sz="4" w:space="0" w:color="auto"/>
            </w:tcBorders>
            <w:noWrap/>
          </w:tcPr>
          <w:p w14:paraId="02415091" w14:textId="77777777" w:rsidR="000D07EA" w:rsidRDefault="00BE7C89">
            <w:pPr>
              <w:pStyle w:val="BodyText"/>
              <w:keepNext/>
              <w:spacing w:before="100" w:after="100"/>
              <w:jc w:val="center"/>
              <w:rPr>
                <w:lang w:eastAsia="ko-KR"/>
              </w:rPr>
            </w:pPr>
            <w:r>
              <w:rPr>
                <w:lang w:eastAsia="ko-KR"/>
              </w:rPr>
              <w:t>$1,428</w:t>
            </w:r>
          </w:p>
        </w:tc>
        <w:tc>
          <w:tcPr>
            <w:tcW w:w="2386" w:type="dxa"/>
            <w:tcBorders>
              <w:top w:val="single" w:sz="4" w:space="0" w:color="auto"/>
              <w:left w:val="nil"/>
              <w:bottom w:val="single" w:sz="4" w:space="0" w:color="auto"/>
              <w:right w:val="single" w:sz="4" w:space="0" w:color="auto"/>
            </w:tcBorders>
            <w:noWrap/>
          </w:tcPr>
          <w:p w14:paraId="1EBC7E27" w14:textId="77777777" w:rsidR="000D07EA" w:rsidRDefault="00BE7C89">
            <w:pPr>
              <w:pStyle w:val="BodyText"/>
              <w:keepNext/>
              <w:spacing w:before="100" w:after="100"/>
              <w:jc w:val="center"/>
              <w:rPr>
                <w:lang w:eastAsia="ko-KR"/>
              </w:rPr>
            </w:pPr>
            <w:r>
              <w:rPr>
                <w:lang w:eastAsia="ko-KR"/>
              </w:rPr>
              <w:t>$1,548</w:t>
            </w:r>
          </w:p>
        </w:tc>
      </w:tr>
    </w:tbl>
    <w:p w14:paraId="030F7B80" w14:textId="77777777" w:rsidR="000D07EA" w:rsidRDefault="00BE7C89">
      <w:pPr>
        <w:pStyle w:val="Heading6"/>
        <w:spacing w:before="240"/>
        <w:ind w:left="0" w:firstLine="0"/>
      </w:pPr>
      <w:r>
        <w:rPr>
          <w:rStyle w:val="Heading6Char"/>
        </w:rPr>
        <w:t>BYO</w:t>
      </w:r>
      <w:r>
        <w:t xml:space="preserve"> Options (effective from 4 October 2009)</w:t>
      </w:r>
    </w:p>
    <w:p w14:paraId="0401A2AA" w14:textId="77777777" w:rsidR="000D07EA" w:rsidRDefault="00BE7C89">
      <w:pPr>
        <w:pStyle w:val="Heading7"/>
      </w:pPr>
      <w:r>
        <w:t>Eligibility</w:t>
      </w:r>
    </w:p>
    <w:p w14:paraId="4DC9F9F9" w14:textId="77777777" w:rsidR="000D07EA" w:rsidRDefault="00BE7C89">
      <w:pPr>
        <w:pStyle w:val="BodyText"/>
        <w:ind w:left="1440"/>
      </w:pPr>
      <w:r>
        <w:t xml:space="preserve">"BYO Options" as listed in Table 5A and 5B below, are available to </w:t>
      </w:r>
      <w:r>
        <w:rPr>
          <w:i/>
        </w:rPr>
        <w:t>Optus small or medium business</w:t>
      </w:r>
      <w:r>
        <w:t xml:space="preserve"> customers who connect to a 'yes' Business Timeless plan over 12 months and either connect </w:t>
      </w:r>
      <w:r>
        <w:rPr>
          <w:i/>
        </w:rPr>
        <w:t>your</w:t>
      </w:r>
      <w:r>
        <w:t xml:space="preserve"> own </w:t>
      </w:r>
      <w:r>
        <w:rPr>
          <w:i/>
        </w:rPr>
        <w:t>mobile phone</w:t>
      </w:r>
      <w:r>
        <w:t xml:space="preserve"> or purchase a </w:t>
      </w:r>
      <w:r>
        <w:rPr>
          <w:i/>
        </w:rPr>
        <w:t>mobile phone</w:t>
      </w:r>
      <w:r>
        <w:t xml:space="preserve"> from </w:t>
      </w:r>
      <w:r>
        <w:rPr>
          <w:i/>
        </w:rPr>
        <w:t xml:space="preserve">us </w:t>
      </w:r>
      <w:r>
        <w:t xml:space="preserve">under a </w:t>
      </w:r>
      <w:r>
        <w:rPr>
          <w:i/>
        </w:rPr>
        <w:t>mobile equipment payment plan</w:t>
      </w:r>
      <w:r>
        <w:t>.</w:t>
      </w:r>
    </w:p>
    <w:p w14:paraId="5887A85A" w14:textId="77777777" w:rsidR="000D07EA" w:rsidRDefault="00BE7C89">
      <w:pPr>
        <w:pStyle w:val="Heading7"/>
      </w:pPr>
      <w:r>
        <w:lastRenderedPageBreak/>
        <w:t>By signing up over 12 months on the 'yes' Business Timeless plans you will receive the BYO Option applicable to your plan in Table 5A and a choice of 1 BYO Option applicable to your plan in Table 5B.</w:t>
      </w:r>
    </w:p>
    <w:p w14:paraId="67526C9E" w14:textId="77777777" w:rsidR="000D07EA" w:rsidRDefault="00BE7C89">
      <w:pPr>
        <w:pStyle w:val="Heading7"/>
      </w:pPr>
      <w:r>
        <w:t xml:space="preserve">At the end of the 12 months term </w:t>
      </w:r>
      <w:r>
        <w:rPr>
          <w:i/>
        </w:rPr>
        <w:t>you</w:t>
      </w:r>
      <w:r>
        <w:t xml:space="preserve"> will no longer receive your selected BYO Options. To continue to receive the BYO Option </w:t>
      </w:r>
      <w:r>
        <w:rPr>
          <w:i/>
        </w:rPr>
        <w:t>you</w:t>
      </w:r>
      <w:r>
        <w:t xml:space="preserve"> may recontract for a further 12 months.</w:t>
      </w:r>
    </w:p>
    <w:p w14:paraId="601DE720" w14:textId="77777777" w:rsidR="000D07EA" w:rsidRDefault="00BE7C89">
      <w:pPr>
        <w:pStyle w:val="Heading7"/>
      </w:pPr>
      <w:r>
        <w:t xml:space="preserve">Customers may request to change between BYO Options once per bill cycle. Changes between BYO options will be pro-rated from the date the change occurs. To change between BYO Options customer can call Optus Customer Service on </w:t>
      </w:r>
      <w:r>
        <w:rPr>
          <w:b/>
        </w:rPr>
        <w:t>133 343</w:t>
      </w:r>
      <w:r>
        <w:t>.</w:t>
      </w:r>
    </w:p>
    <w:p w14:paraId="7638AEE2" w14:textId="77777777" w:rsidR="000D07EA" w:rsidRDefault="00BE7C89">
      <w:pPr>
        <w:pStyle w:val="BodyText"/>
        <w:ind w:left="720"/>
        <w:rPr>
          <w:b/>
        </w:rPr>
      </w:pPr>
      <w:r>
        <w:rPr>
          <w:b/>
        </w:rPr>
        <w:t>Table 5A</w:t>
      </w:r>
    </w:p>
    <w:p w14:paraId="779A0265" w14:textId="77777777" w:rsidR="000D07EA" w:rsidRDefault="00BE7C89">
      <w:pPr>
        <w:pStyle w:val="BodyText"/>
        <w:ind w:left="720"/>
      </w:pPr>
      <w:r>
        <w:t>Customers who select a BYO Option will receive the following Access Fee credit.</w:t>
      </w:r>
    </w:p>
    <w:tbl>
      <w:tblPr>
        <w:tblW w:w="4645" w:type="pct"/>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3"/>
        <w:gridCol w:w="2344"/>
        <w:gridCol w:w="2344"/>
        <w:gridCol w:w="2344"/>
      </w:tblGrid>
      <w:tr w:rsidR="000D07EA" w14:paraId="44C1E2C7" w14:textId="77777777">
        <w:tc>
          <w:tcPr>
            <w:tcW w:w="1285" w:type="pct"/>
          </w:tcPr>
          <w:p w14:paraId="6A5AC4EA" w14:textId="77777777" w:rsidR="000D07EA" w:rsidRDefault="00BE7C89">
            <w:pPr>
              <w:pStyle w:val="BodyText"/>
              <w:spacing w:before="100" w:after="100"/>
              <w:jc w:val="center"/>
              <w:rPr>
                <w:b/>
              </w:rPr>
            </w:pPr>
            <w:r>
              <w:rPr>
                <w:b/>
              </w:rPr>
              <w:t>BYO Option (Per Month)</w:t>
            </w:r>
          </w:p>
        </w:tc>
        <w:tc>
          <w:tcPr>
            <w:tcW w:w="1238" w:type="pct"/>
          </w:tcPr>
          <w:p w14:paraId="37413853" w14:textId="77777777" w:rsidR="000D07EA" w:rsidRDefault="00BE7C89">
            <w:pPr>
              <w:pStyle w:val="BodyText"/>
              <w:spacing w:before="100" w:after="100"/>
              <w:jc w:val="center"/>
              <w:rPr>
                <w:b/>
              </w:rPr>
            </w:pPr>
            <w:r>
              <w:rPr>
                <w:b/>
              </w:rPr>
              <w:t>'yes' Business Timeless $99 when you take the $14.99 Mobile Internet Pack</w:t>
            </w:r>
          </w:p>
        </w:tc>
        <w:tc>
          <w:tcPr>
            <w:tcW w:w="1238" w:type="pct"/>
          </w:tcPr>
          <w:p w14:paraId="5C1A9088" w14:textId="77777777" w:rsidR="000D07EA" w:rsidRDefault="00BE7C89">
            <w:pPr>
              <w:pStyle w:val="BodyText"/>
              <w:spacing w:before="100" w:after="100"/>
              <w:jc w:val="center"/>
              <w:rPr>
                <w:b/>
              </w:rPr>
            </w:pPr>
            <w:r>
              <w:rPr>
                <w:b/>
                <w:bCs/>
                <w:lang w:eastAsia="ko-KR"/>
              </w:rPr>
              <w:t>'yes' Business Timeless $119 Plan</w:t>
            </w:r>
          </w:p>
        </w:tc>
        <w:tc>
          <w:tcPr>
            <w:tcW w:w="1238" w:type="pct"/>
          </w:tcPr>
          <w:p w14:paraId="02279D15" w14:textId="77777777" w:rsidR="000D07EA" w:rsidRDefault="00BE7C89">
            <w:pPr>
              <w:pStyle w:val="BodyText"/>
              <w:spacing w:before="100" w:after="100"/>
              <w:jc w:val="center"/>
              <w:rPr>
                <w:b/>
              </w:rPr>
            </w:pPr>
            <w:r>
              <w:rPr>
                <w:b/>
                <w:bCs/>
                <w:lang w:eastAsia="ko-KR"/>
              </w:rPr>
              <w:t>'yes' Business Timeless $129 Plan</w:t>
            </w:r>
          </w:p>
        </w:tc>
      </w:tr>
      <w:tr w:rsidR="000D07EA" w14:paraId="705CA468" w14:textId="77777777">
        <w:tc>
          <w:tcPr>
            <w:tcW w:w="1285" w:type="pct"/>
          </w:tcPr>
          <w:p w14:paraId="5D25D651" w14:textId="77777777" w:rsidR="000D07EA" w:rsidRDefault="00BE7C89">
            <w:pPr>
              <w:pStyle w:val="BodyText"/>
              <w:spacing w:before="100" w:after="100"/>
              <w:rPr>
                <w:i/>
              </w:rPr>
            </w:pPr>
            <w:r>
              <w:t>Access Fee Credit</w:t>
            </w:r>
          </w:p>
        </w:tc>
        <w:tc>
          <w:tcPr>
            <w:tcW w:w="1238" w:type="pct"/>
          </w:tcPr>
          <w:p w14:paraId="0F9BD318" w14:textId="77777777" w:rsidR="000D07EA" w:rsidRDefault="00BE7C89">
            <w:pPr>
              <w:pStyle w:val="BodyText"/>
              <w:spacing w:before="100" w:after="100"/>
              <w:jc w:val="center"/>
            </w:pPr>
            <w:r>
              <w:t>$15 monthly credit</w:t>
            </w:r>
          </w:p>
        </w:tc>
        <w:tc>
          <w:tcPr>
            <w:tcW w:w="1238" w:type="pct"/>
          </w:tcPr>
          <w:p w14:paraId="67FE083F" w14:textId="77777777" w:rsidR="000D07EA" w:rsidRDefault="00BE7C89">
            <w:pPr>
              <w:pStyle w:val="BodyText"/>
              <w:spacing w:before="100" w:after="100"/>
              <w:jc w:val="center"/>
            </w:pPr>
            <w:r>
              <w:t>$15 monthly credit</w:t>
            </w:r>
          </w:p>
        </w:tc>
        <w:tc>
          <w:tcPr>
            <w:tcW w:w="1238" w:type="pct"/>
          </w:tcPr>
          <w:p w14:paraId="178F5280" w14:textId="77777777" w:rsidR="000D07EA" w:rsidRDefault="00BE7C89">
            <w:pPr>
              <w:pStyle w:val="BodyText"/>
              <w:spacing w:before="100" w:after="100"/>
              <w:jc w:val="center"/>
            </w:pPr>
            <w:r>
              <w:t>$20 monthly credit</w:t>
            </w:r>
          </w:p>
        </w:tc>
      </w:tr>
    </w:tbl>
    <w:p w14:paraId="2D1C148E" w14:textId="77777777" w:rsidR="000D07EA" w:rsidRDefault="000D07EA">
      <w:pPr>
        <w:pStyle w:val="BodyText"/>
      </w:pPr>
    </w:p>
    <w:p w14:paraId="294D5F48" w14:textId="77777777" w:rsidR="000D07EA" w:rsidRDefault="00BE7C89">
      <w:pPr>
        <w:pStyle w:val="Heading7"/>
      </w:pPr>
      <w:r>
        <w:t>Access Fee Credit (BYO Option)</w:t>
      </w:r>
    </w:p>
    <w:p w14:paraId="184D22E1" w14:textId="77777777" w:rsidR="000D07EA" w:rsidRDefault="00BE7C89">
      <w:pPr>
        <w:pStyle w:val="Heading8"/>
      </w:pPr>
      <w:r>
        <w:t xml:space="preserve">Under the BYO Option </w:t>
      </w:r>
      <w:r>
        <w:rPr>
          <w:i/>
        </w:rPr>
        <w:t>you</w:t>
      </w:r>
      <w:r>
        <w:t xml:space="preserve"> will receive a monthly credit for 12 months to the amount specified in Table 5A above. This amount is a reduction to your monthly Access Fee and cannot be refunded, redeemed for cash, rolled over or applied for another purpose, even if the </w:t>
      </w:r>
      <w:r>
        <w:rPr>
          <w:i/>
        </w:rPr>
        <w:t>service</w:t>
      </w:r>
      <w:r>
        <w:t xml:space="preserve"> is </w:t>
      </w:r>
      <w:r>
        <w:rPr>
          <w:i/>
        </w:rPr>
        <w:t>cancelled</w:t>
      </w:r>
      <w:r>
        <w:t>.</w:t>
      </w:r>
    </w:p>
    <w:p w14:paraId="623FBD6B" w14:textId="77777777" w:rsidR="000D07EA" w:rsidRDefault="00BE7C89">
      <w:pPr>
        <w:pStyle w:val="Heading8"/>
      </w:pPr>
      <w:r>
        <w:t>If your access fee is pro-rated in any given month then the Access Fee Credit will also be pro-rated.</w:t>
      </w:r>
    </w:p>
    <w:p w14:paraId="4252AE1A" w14:textId="77777777" w:rsidR="000D07EA" w:rsidRDefault="00BE7C89">
      <w:pPr>
        <w:pStyle w:val="BodyText"/>
        <w:ind w:left="720"/>
        <w:rPr>
          <w:b/>
        </w:rPr>
      </w:pPr>
      <w:r>
        <w:rPr>
          <w:b/>
        </w:rPr>
        <w:t>Table 5B</w:t>
      </w:r>
    </w:p>
    <w:p w14:paraId="78EDFB6D" w14:textId="77777777" w:rsidR="000D07EA" w:rsidRDefault="00BE7C89">
      <w:pPr>
        <w:pStyle w:val="BodyText"/>
        <w:ind w:left="720"/>
      </w:pPr>
      <w:r>
        <w:t>Customers who select a BYO Option will also receive a choice of one the following BYO Options.</w:t>
      </w:r>
    </w:p>
    <w:tbl>
      <w:tblPr>
        <w:tblW w:w="4645" w:type="pct"/>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3"/>
        <w:gridCol w:w="2344"/>
        <w:gridCol w:w="2344"/>
        <w:gridCol w:w="2344"/>
      </w:tblGrid>
      <w:tr w:rsidR="000D07EA" w14:paraId="59EDD90A" w14:textId="77777777">
        <w:tc>
          <w:tcPr>
            <w:tcW w:w="1285" w:type="pct"/>
          </w:tcPr>
          <w:p w14:paraId="5CD37896" w14:textId="77777777" w:rsidR="000D07EA" w:rsidRDefault="00BE7C89">
            <w:pPr>
              <w:pStyle w:val="BodyText"/>
              <w:spacing w:before="100" w:after="100"/>
              <w:jc w:val="center"/>
              <w:rPr>
                <w:b/>
              </w:rPr>
            </w:pPr>
            <w:r>
              <w:rPr>
                <w:b/>
              </w:rPr>
              <w:t>BYO Option</w:t>
            </w:r>
          </w:p>
          <w:p w14:paraId="37C5F33A" w14:textId="77777777" w:rsidR="000D07EA" w:rsidRDefault="00BE7C89">
            <w:pPr>
              <w:pStyle w:val="BodyText"/>
              <w:spacing w:before="100" w:after="100"/>
              <w:jc w:val="center"/>
              <w:rPr>
                <w:b/>
              </w:rPr>
            </w:pPr>
            <w:r>
              <w:rPr>
                <w:b/>
              </w:rPr>
              <w:t>(Per Month)</w:t>
            </w:r>
          </w:p>
        </w:tc>
        <w:tc>
          <w:tcPr>
            <w:tcW w:w="1238" w:type="pct"/>
          </w:tcPr>
          <w:p w14:paraId="4010BEA7" w14:textId="77777777" w:rsidR="000D07EA" w:rsidRDefault="00BE7C89">
            <w:pPr>
              <w:pStyle w:val="BodyText"/>
              <w:spacing w:before="100" w:after="100"/>
              <w:jc w:val="center"/>
              <w:rPr>
                <w:b/>
              </w:rPr>
            </w:pPr>
            <w:r>
              <w:rPr>
                <w:b/>
              </w:rPr>
              <w:t>'yes' Business Timeless $99 when you take the $14.99 Mobile Internet Pack Plan</w:t>
            </w:r>
          </w:p>
        </w:tc>
        <w:tc>
          <w:tcPr>
            <w:tcW w:w="1238" w:type="pct"/>
          </w:tcPr>
          <w:p w14:paraId="5D6EEA8D" w14:textId="77777777" w:rsidR="000D07EA" w:rsidRDefault="00BE7C89">
            <w:pPr>
              <w:pStyle w:val="BodyText"/>
              <w:spacing w:before="100" w:after="100"/>
              <w:jc w:val="center"/>
              <w:rPr>
                <w:b/>
              </w:rPr>
            </w:pPr>
            <w:r>
              <w:rPr>
                <w:b/>
                <w:bCs/>
                <w:lang w:eastAsia="ko-KR"/>
              </w:rPr>
              <w:t>'yes' Business Timeless $119 Plan</w:t>
            </w:r>
          </w:p>
        </w:tc>
        <w:tc>
          <w:tcPr>
            <w:tcW w:w="1238" w:type="pct"/>
          </w:tcPr>
          <w:p w14:paraId="032913EB" w14:textId="77777777" w:rsidR="000D07EA" w:rsidRDefault="00BE7C89">
            <w:pPr>
              <w:pStyle w:val="BodyText"/>
              <w:spacing w:before="100" w:after="100"/>
              <w:jc w:val="center"/>
              <w:rPr>
                <w:b/>
              </w:rPr>
            </w:pPr>
            <w:r>
              <w:rPr>
                <w:b/>
                <w:bCs/>
                <w:lang w:eastAsia="ko-KR"/>
              </w:rPr>
              <w:t>'yes' Business Timeless $129 Plan</w:t>
            </w:r>
          </w:p>
        </w:tc>
      </w:tr>
      <w:tr w:rsidR="000D07EA" w14:paraId="443A4FF9" w14:textId="77777777">
        <w:tc>
          <w:tcPr>
            <w:tcW w:w="1285" w:type="pct"/>
            <w:tcBorders>
              <w:top w:val="single" w:sz="4" w:space="0" w:color="auto"/>
              <w:left w:val="single" w:sz="4" w:space="0" w:color="auto"/>
              <w:bottom w:val="single" w:sz="4" w:space="0" w:color="auto"/>
              <w:right w:val="single" w:sz="4" w:space="0" w:color="auto"/>
            </w:tcBorders>
          </w:tcPr>
          <w:p w14:paraId="14AC3718" w14:textId="77777777" w:rsidR="000D07EA" w:rsidRDefault="00BE7C89">
            <w:pPr>
              <w:pStyle w:val="BodyText"/>
              <w:spacing w:before="100" w:after="100"/>
              <w:rPr>
                <w:b/>
              </w:rPr>
            </w:pPr>
            <w:r>
              <w:rPr>
                <w:b/>
              </w:rPr>
              <w:t xml:space="preserve">Internet Value Pack </w:t>
            </w:r>
          </w:p>
          <w:p w14:paraId="2DCA51C3" w14:textId="77777777" w:rsidR="000D07EA" w:rsidRDefault="00BE7C89">
            <w:pPr>
              <w:pStyle w:val="BodyText"/>
              <w:spacing w:before="100" w:after="100"/>
              <w:rPr>
                <w:b/>
              </w:rPr>
            </w:pPr>
            <w:r>
              <w:rPr>
                <w:b/>
              </w:rPr>
              <w:t xml:space="preserve">(BYO Option) </w:t>
            </w:r>
          </w:p>
          <w:p w14:paraId="45AF689A" w14:textId="77777777" w:rsidR="000D07EA" w:rsidRDefault="000D07EA">
            <w:pPr>
              <w:pStyle w:val="BodyText"/>
              <w:spacing w:before="100" w:after="100"/>
              <w:rPr>
                <w:b/>
              </w:rPr>
            </w:pPr>
          </w:p>
        </w:tc>
        <w:tc>
          <w:tcPr>
            <w:tcW w:w="1238" w:type="pct"/>
            <w:tcBorders>
              <w:top w:val="single" w:sz="4" w:space="0" w:color="auto"/>
              <w:left w:val="single" w:sz="4" w:space="0" w:color="auto"/>
              <w:bottom w:val="single" w:sz="4" w:space="0" w:color="auto"/>
              <w:right w:val="single" w:sz="4" w:space="0" w:color="auto"/>
            </w:tcBorders>
          </w:tcPr>
          <w:p w14:paraId="754CAFB6" w14:textId="77777777" w:rsidR="000D07EA" w:rsidRDefault="00BE7C89">
            <w:pPr>
              <w:pStyle w:val="BodyText"/>
              <w:spacing w:before="100" w:after="100"/>
              <w:jc w:val="center"/>
              <w:rPr>
                <w:b/>
              </w:rPr>
            </w:pPr>
            <w:r>
              <w:rPr>
                <w:b/>
              </w:rPr>
              <w:t>1GB per month</w:t>
            </w:r>
          </w:p>
        </w:tc>
        <w:tc>
          <w:tcPr>
            <w:tcW w:w="1238" w:type="pct"/>
            <w:tcBorders>
              <w:top w:val="single" w:sz="4" w:space="0" w:color="auto"/>
              <w:left w:val="single" w:sz="4" w:space="0" w:color="auto"/>
              <w:bottom w:val="single" w:sz="4" w:space="0" w:color="auto"/>
              <w:right w:val="single" w:sz="4" w:space="0" w:color="auto"/>
            </w:tcBorders>
          </w:tcPr>
          <w:p w14:paraId="19FDDC2B" w14:textId="77777777" w:rsidR="000D07EA" w:rsidRDefault="00BE7C89">
            <w:pPr>
              <w:pStyle w:val="BodyText"/>
              <w:spacing w:before="100" w:after="100"/>
              <w:jc w:val="center"/>
              <w:rPr>
                <w:b/>
                <w:bCs/>
                <w:lang w:eastAsia="ko-KR"/>
              </w:rPr>
            </w:pPr>
            <w:r>
              <w:rPr>
                <w:b/>
                <w:bCs/>
                <w:lang w:eastAsia="ko-KR"/>
              </w:rPr>
              <w:t>1GB per month</w:t>
            </w:r>
          </w:p>
        </w:tc>
        <w:tc>
          <w:tcPr>
            <w:tcW w:w="1238" w:type="pct"/>
            <w:tcBorders>
              <w:top w:val="single" w:sz="4" w:space="0" w:color="auto"/>
              <w:left w:val="single" w:sz="4" w:space="0" w:color="auto"/>
              <w:bottom w:val="single" w:sz="4" w:space="0" w:color="auto"/>
              <w:right w:val="single" w:sz="4" w:space="0" w:color="auto"/>
            </w:tcBorders>
          </w:tcPr>
          <w:p w14:paraId="3AF42B9F" w14:textId="77777777" w:rsidR="000D07EA" w:rsidRDefault="00BE7C89">
            <w:pPr>
              <w:pStyle w:val="BodyText"/>
              <w:spacing w:before="100" w:after="100"/>
              <w:jc w:val="center"/>
              <w:rPr>
                <w:b/>
                <w:bCs/>
                <w:lang w:eastAsia="ko-KR"/>
              </w:rPr>
            </w:pPr>
            <w:r>
              <w:rPr>
                <w:b/>
                <w:bCs/>
                <w:lang w:eastAsia="ko-KR"/>
              </w:rPr>
              <w:t>1GB per month</w:t>
            </w:r>
          </w:p>
        </w:tc>
      </w:tr>
      <w:tr w:rsidR="000D07EA" w14:paraId="48AFD420" w14:textId="77777777">
        <w:tc>
          <w:tcPr>
            <w:tcW w:w="1285" w:type="pct"/>
            <w:tcBorders>
              <w:top w:val="single" w:sz="4" w:space="0" w:color="auto"/>
              <w:left w:val="single" w:sz="4" w:space="0" w:color="auto"/>
              <w:bottom w:val="single" w:sz="4" w:space="0" w:color="auto"/>
              <w:right w:val="single" w:sz="4" w:space="0" w:color="auto"/>
            </w:tcBorders>
          </w:tcPr>
          <w:p w14:paraId="0C1ADBCD" w14:textId="77777777" w:rsidR="000D07EA" w:rsidRDefault="00BE7C89">
            <w:pPr>
              <w:pStyle w:val="BodyText"/>
              <w:spacing w:before="100" w:after="100"/>
              <w:rPr>
                <w:b/>
              </w:rPr>
            </w:pPr>
            <w:r>
              <w:rPr>
                <w:b/>
              </w:rPr>
              <w:t xml:space="preserve">BlackBerry Internet Service (BYO Option) </w:t>
            </w:r>
          </w:p>
          <w:p w14:paraId="7D6F00DD" w14:textId="77777777" w:rsidR="000D07EA" w:rsidRDefault="000D07EA">
            <w:pPr>
              <w:pStyle w:val="BodyText"/>
              <w:spacing w:before="100" w:after="100"/>
              <w:rPr>
                <w:b/>
              </w:rPr>
            </w:pPr>
          </w:p>
        </w:tc>
        <w:tc>
          <w:tcPr>
            <w:tcW w:w="1238" w:type="pct"/>
            <w:tcBorders>
              <w:top w:val="single" w:sz="4" w:space="0" w:color="auto"/>
              <w:left w:val="single" w:sz="4" w:space="0" w:color="auto"/>
              <w:bottom w:val="single" w:sz="4" w:space="0" w:color="auto"/>
              <w:right w:val="single" w:sz="4" w:space="0" w:color="auto"/>
            </w:tcBorders>
          </w:tcPr>
          <w:p w14:paraId="268123BC" w14:textId="77777777" w:rsidR="000D07EA" w:rsidRDefault="00BE7C89">
            <w:pPr>
              <w:pStyle w:val="BodyText"/>
              <w:spacing w:before="100" w:after="100"/>
              <w:jc w:val="center"/>
              <w:rPr>
                <w:b/>
              </w:rPr>
            </w:pPr>
            <w:r>
              <w:rPr>
                <w:b/>
              </w:rPr>
              <w:t>Unlimited Email</w:t>
            </w:r>
            <w:bookmarkStart w:id="325" w:name="OLE_LINK2"/>
            <w:r>
              <w:rPr>
                <w:b/>
              </w:rPr>
              <w:t>*</w:t>
            </w:r>
            <w:bookmarkEnd w:id="325"/>
            <w:r>
              <w:rPr>
                <w:b/>
              </w:rPr>
              <w:t xml:space="preserve"> and 512 MB of handset browsing and applications that require a data connection</w:t>
            </w:r>
          </w:p>
        </w:tc>
        <w:tc>
          <w:tcPr>
            <w:tcW w:w="1238" w:type="pct"/>
            <w:tcBorders>
              <w:top w:val="single" w:sz="4" w:space="0" w:color="auto"/>
              <w:left w:val="single" w:sz="4" w:space="0" w:color="auto"/>
              <w:bottom w:val="single" w:sz="4" w:space="0" w:color="auto"/>
              <w:right w:val="single" w:sz="4" w:space="0" w:color="auto"/>
            </w:tcBorders>
          </w:tcPr>
          <w:p w14:paraId="4344AA1B" w14:textId="77777777" w:rsidR="000D07EA" w:rsidRDefault="00BE7C89">
            <w:pPr>
              <w:pStyle w:val="BodyText"/>
              <w:spacing w:before="100" w:after="100"/>
              <w:jc w:val="center"/>
              <w:rPr>
                <w:b/>
                <w:bCs/>
                <w:lang w:eastAsia="ko-KR"/>
              </w:rPr>
            </w:pPr>
            <w:r>
              <w:rPr>
                <w:b/>
                <w:bCs/>
                <w:lang w:eastAsia="ko-KR"/>
              </w:rPr>
              <w:t>Unlimited Email* and 512 MB of handset browsing and applications that require a data connection</w:t>
            </w:r>
          </w:p>
        </w:tc>
        <w:tc>
          <w:tcPr>
            <w:tcW w:w="1238" w:type="pct"/>
            <w:tcBorders>
              <w:top w:val="single" w:sz="4" w:space="0" w:color="auto"/>
              <w:left w:val="single" w:sz="4" w:space="0" w:color="auto"/>
              <w:bottom w:val="single" w:sz="4" w:space="0" w:color="auto"/>
              <w:right w:val="single" w:sz="4" w:space="0" w:color="auto"/>
            </w:tcBorders>
          </w:tcPr>
          <w:p w14:paraId="3C3E9A3C" w14:textId="77777777" w:rsidR="000D07EA" w:rsidRDefault="00BE7C89">
            <w:pPr>
              <w:pStyle w:val="BodyText"/>
              <w:spacing w:before="100" w:after="100"/>
              <w:jc w:val="center"/>
              <w:rPr>
                <w:b/>
                <w:bCs/>
                <w:lang w:eastAsia="ko-KR"/>
              </w:rPr>
            </w:pPr>
            <w:r>
              <w:rPr>
                <w:b/>
                <w:bCs/>
                <w:lang w:eastAsia="ko-KR"/>
              </w:rPr>
              <w:t>Unlimited Email* and 512 MB of handset browsing and applications that require a data connection</w:t>
            </w:r>
          </w:p>
        </w:tc>
      </w:tr>
      <w:tr w:rsidR="000D07EA" w14:paraId="0DDA3ECA" w14:textId="77777777">
        <w:tc>
          <w:tcPr>
            <w:tcW w:w="1285" w:type="pct"/>
            <w:tcBorders>
              <w:top w:val="single" w:sz="4" w:space="0" w:color="auto"/>
              <w:left w:val="single" w:sz="4" w:space="0" w:color="auto"/>
              <w:bottom w:val="single" w:sz="4" w:space="0" w:color="auto"/>
              <w:right w:val="single" w:sz="4" w:space="0" w:color="auto"/>
            </w:tcBorders>
          </w:tcPr>
          <w:p w14:paraId="1C69B1C9" w14:textId="77777777" w:rsidR="000D07EA" w:rsidRDefault="00BE7C89">
            <w:pPr>
              <w:pStyle w:val="BodyText"/>
              <w:spacing w:before="100" w:after="100"/>
              <w:rPr>
                <w:b/>
              </w:rPr>
            </w:pPr>
            <w:r>
              <w:rPr>
                <w:b/>
              </w:rPr>
              <w:t xml:space="preserve">BlackBerry Enterprise Service </w:t>
            </w:r>
          </w:p>
          <w:p w14:paraId="1DD61D8D" w14:textId="77777777" w:rsidR="000D07EA" w:rsidRDefault="00BE7C89">
            <w:pPr>
              <w:pStyle w:val="BodyText"/>
              <w:spacing w:before="100" w:after="100"/>
            </w:pPr>
            <w:r>
              <w:rPr>
                <w:b/>
              </w:rPr>
              <w:t xml:space="preserve">(BYO Option) </w:t>
            </w:r>
          </w:p>
        </w:tc>
        <w:tc>
          <w:tcPr>
            <w:tcW w:w="1238" w:type="pct"/>
            <w:tcBorders>
              <w:top w:val="single" w:sz="4" w:space="0" w:color="auto"/>
              <w:left w:val="single" w:sz="4" w:space="0" w:color="auto"/>
              <w:bottom w:val="single" w:sz="4" w:space="0" w:color="auto"/>
              <w:right w:val="single" w:sz="4" w:space="0" w:color="auto"/>
            </w:tcBorders>
          </w:tcPr>
          <w:p w14:paraId="3A38602C" w14:textId="77777777" w:rsidR="000D07EA" w:rsidRDefault="00BE7C89">
            <w:pPr>
              <w:pStyle w:val="BodyText"/>
              <w:spacing w:before="100" w:after="100"/>
              <w:jc w:val="center"/>
              <w:rPr>
                <w:b/>
              </w:rPr>
            </w:pPr>
            <w:r>
              <w:rPr>
                <w:b/>
              </w:rPr>
              <w:t>N/A</w:t>
            </w:r>
          </w:p>
        </w:tc>
        <w:tc>
          <w:tcPr>
            <w:tcW w:w="1238" w:type="pct"/>
            <w:tcBorders>
              <w:top w:val="single" w:sz="4" w:space="0" w:color="auto"/>
              <w:left w:val="single" w:sz="4" w:space="0" w:color="auto"/>
              <w:bottom w:val="single" w:sz="4" w:space="0" w:color="auto"/>
              <w:right w:val="single" w:sz="4" w:space="0" w:color="auto"/>
            </w:tcBorders>
          </w:tcPr>
          <w:p w14:paraId="1FCE496F" w14:textId="77777777" w:rsidR="000D07EA" w:rsidRDefault="00BE7C89">
            <w:pPr>
              <w:pStyle w:val="BodyText"/>
              <w:spacing w:before="100" w:after="100"/>
              <w:jc w:val="center"/>
              <w:rPr>
                <w:b/>
                <w:bCs/>
                <w:lang w:eastAsia="ko-KR"/>
              </w:rPr>
            </w:pPr>
            <w:r>
              <w:rPr>
                <w:b/>
                <w:bCs/>
                <w:lang w:eastAsia="ko-KR"/>
              </w:rPr>
              <w:t>N/A</w:t>
            </w:r>
          </w:p>
        </w:tc>
        <w:tc>
          <w:tcPr>
            <w:tcW w:w="1238" w:type="pct"/>
            <w:tcBorders>
              <w:top w:val="single" w:sz="4" w:space="0" w:color="auto"/>
              <w:left w:val="single" w:sz="4" w:space="0" w:color="auto"/>
              <w:bottom w:val="single" w:sz="4" w:space="0" w:color="auto"/>
              <w:right w:val="single" w:sz="4" w:space="0" w:color="auto"/>
            </w:tcBorders>
          </w:tcPr>
          <w:p w14:paraId="47E3EBCF" w14:textId="77777777" w:rsidR="000D07EA" w:rsidRDefault="00BE7C89">
            <w:pPr>
              <w:pStyle w:val="BodyText"/>
              <w:spacing w:before="100" w:after="100"/>
              <w:jc w:val="center"/>
              <w:rPr>
                <w:b/>
                <w:bCs/>
                <w:lang w:eastAsia="ko-KR"/>
              </w:rPr>
            </w:pPr>
            <w:r>
              <w:rPr>
                <w:b/>
                <w:bCs/>
                <w:lang w:eastAsia="ko-KR"/>
              </w:rPr>
              <w:t>1MB</w:t>
            </w:r>
          </w:p>
        </w:tc>
      </w:tr>
    </w:tbl>
    <w:p w14:paraId="08A79604" w14:textId="77777777" w:rsidR="000D07EA" w:rsidRDefault="00BE7C89">
      <w:pPr>
        <w:pStyle w:val="BodyText"/>
        <w:ind w:left="720"/>
        <w:rPr>
          <w:sz w:val="16"/>
          <w:szCs w:val="16"/>
        </w:rPr>
      </w:pPr>
      <w:r>
        <w:rPr>
          <w:sz w:val="16"/>
          <w:szCs w:val="16"/>
        </w:rPr>
        <w:t>* Fair Go Policy (</w:t>
      </w:r>
      <w:hyperlink r:id="rId194" w:history="1">
        <w:r>
          <w:rPr>
            <w:rStyle w:val="Hyperlink"/>
            <w:sz w:val="16"/>
            <w:szCs w:val="16"/>
          </w:rPr>
          <w:t>Appendix S</w:t>
        </w:r>
      </w:hyperlink>
      <w:r>
        <w:rPr>
          <w:sz w:val="16"/>
          <w:szCs w:val="16"/>
        </w:rPr>
        <w:t>) applies</w:t>
      </w:r>
    </w:p>
    <w:p w14:paraId="2032C7A2" w14:textId="77777777" w:rsidR="000D07EA" w:rsidRDefault="00BE7C89">
      <w:pPr>
        <w:pStyle w:val="Heading7"/>
        <w:rPr>
          <w:b/>
        </w:rPr>
      </w:pPr>
      <w:r>
        <w:rPr>
          <w:b/>
        </w:rPr>
        <w:lastRenderedPageBreak/>
        <w:t xml:space="preserve">Internet Value Pack (BYO Option) </w:t>
      </w:r>
    </w:p>
    <w:p w14:paraId="572163D2" w14:textId="77777777" w:rsidR="000D07EA" w:rsidRDefault="00BE7C89">
      <w:pPr>
        <w:pStyle w:val="Heading8"/>
      </w:pPr>
      <w:r>
        <w:t xml:space="preserve">The Internet Value Pack BYO Option allows </w:t>
      </w:r>
      <w:r>
        <w:rPr>
          <w:i/>
        </w:rPr>
        <w:t>you</w:t>
      </w:r>
      <w:r>
        <w:t xml:space="preserve"> to access the Internet from </w:t>
      </w:r>
      <w:r>
        <w:rPr>
          <w:i/>
        </w:rPr>
        <w:t>your</w:t>
      </w:r>
      <w:r>
        <w:t xml:space="preserve"> Optus 2.5, 3G or 'yes' G network compatible handset. </w:t>
      </w:r>
    </w:p>
    <w:p w14:paraId="36FF648D" w14:textId="77777777" w:rsidR="000D07EA" w:rsidRDefault="00BE7C89">
      <w:pPr>
        <w:pStyle w:val="Heading8"/>
      </w:pPr>
      <w:r>
        <w:t xml:space="preserve">Internet Value Pack can also be used by iPhone customers for tethered modem when added in conjunction with iPhone as Modem access. (See the </w:t>
      </w:r>
      <w:hyperlink r:id="rId195" w:history="1">
        <w:r>
          <w:rPr>
            <w:rStyle w:val="Hyperlink"/>
            <w:i/>
          </w:rPr>
          <w:t>Wireless Internet Pricing Service, Standard Pricing Table</w:t>
        </w:r>
      </w:hyperlink>
      <w:r>
        <w:t xml:space="preserve"> for more details.)</w:t>
      </w:r>
    </w:p>
    <w:p w14:paraId="7EC15953" w14:textId="77777777" w:rsidR="000D07EA" w:rsidRDefault="00BE7C89">
      <w:pPr>
        <w:pStyle w:val="Heading8"/>
      </w:pPr>
      <w:r>
        <w:t xml:space="preserve">The </w:t>
      </w:r>
      <w:r>
        <w:rPr>
          <w:i/>
        </w:rPr>
        <w:t>service</w:t>
      </w:r>
      <w:r>
        <w:t xml:space="preserve"> is only available within Optus 3G/HSPA or GSM coverage areas and is subject to </w:t>
      </w:r>
      <w:r>
        <w:rPr>
          <w:i/>
        </w:rPr>
        <w:t>network</w:t>
      </w:r>
      <w:r>
        <w:t xml:space="preserve"> availability.</w:t>
      </w:r>
    </w:p>
    <w:p w14:paraId="5A8CB8C4" w14:textId="77777777" w:rsidR="000D07EA" w:rsidRDefault="00BE7C89">
      <w:pPr>
        <w:pStyle w:val="Heading8"/>
      </w:pPr>
      <w:r>
        <w:t xml:space="preserve">The included data amount does not include: Voice calls, Voice Mail, International SMS, premium and Third Party SMS, MMS, Optus Zoo subscription content &amp; Third Party content and applications, International MMS, 1300, 1900, Circuit Switched Data and Fax. Use of these services will be charged at the prevailing rates for your mobile plan or </w:t>
      </w:r>
      <w:r>
        <w:rPr>
          <w:i/>
        </w:rPr>
        <w:t>value added service feature</w:t>
      </w:r>
      <w:r>
        <w:t xml:space="preserve"> as described in </w:t>
      </w:r>
      <w:hyperlink r:id="rId196" w:history="1">
        <w:r>
          <w:rPr>
            <w:rStyle w:val="Hyperlink"/>
            <w:i/>
          </w:rPr>
          <w:t>Appendix Y</w:t>
        </w:r>
      </w:hyperlink>
      <w:r>
        <w:t xml:space="preserve"> to the </w:t>
      </w:r>
      <w:r>
        <w:rPr>
          <w:i/>
        </w:rPr>
        <w:t>agreement</w:t>
      </w:r>
      <w:r>
        <w:t>.</w:t>
      </w:r>
    </w:p>
    <w:p w14:paraId="63991B88" w14:textId="77777777" w:rsidR="000D07EA" w:rsidRDefault="00BE7C89">
      <w:pPr>
        <w:pStyle w:val="Heading8"/>
      </w:pPr>
      <w:r>
        <w:t>Data is counted in kilobytes, 1024KB=1MB, 1024 MB = 1GB and includes both uploads and downloads.</w:t>
      </w:r>
    </w:p>
    <w:p w14:paraId="03C21291" w14:textId="77777777" w:rsidR="000D07EA" w:rsidRDefault="00BE7C89">
      <w:pPr>
        <w:pStyle w:val="Heading8"/>
      </w:pPr>
      <w:r>
        <w:t>If you exceed the included monthly data allowance, excess usage charges will apply as follows: 1.5c/KB capped at $9.90 for the initial 5MB of excess usage. Further usage beyond the 5MB will be charged at 0.3c/KB (charged per kilobyte). If you choose to purchase an additional Yes Business Data bolt on, then the excess usage charges will be charged at $0.15 per MB or part thereof.</w:t>
      </w:r>
    </w:p>
    <w:p w14:paraId="474EF634" w14:textId="77777777" w:rsidR="000D07EA" w:rsidRDefault="00BE7C89">
      <w:pPr>
        <w:pStyle w:val="Heading8"/>
      </w:pPr>
      <w:r>
        <w:t xml:space="preserve">If the data </w:t>
      </w:r>
      <w:r>
        <w:rPr>
          <w:i/>
        </w:rPr>
        <w:t>you</w:t>
      </w:r>
      <w:r>
        <w:t xml:space="preserve"> use in a month falls below the amount of included data, the remaining data is forfeited and it does not roll over into the following month.</w:t>
      </w:r>
    </w:p>
    <w:p w14:paraId="3B480534" w14:textId="77777777" w:rsidR="000D07EA" w:rsidRDefault="00BE7C89">
      <w:pPr>
        <w:pStyle w:val="Heading8"/>
      </w:pPr>
      <w:r>
        <w:t xml:space="preserve">Use of Internet Value Pack is subject to the special liability clauses as set out in Section 9.1 Wireless internet of </w:t>
      </w:r>
      <w:hyperlink r:id="rId197" w:history="1">
        <w:r>
          <w:rPr>
            <w:rStyle w:val="Hyperlink"/>
            <w:i/>
          </w:rPr>
          <w:t>Appendix Y</w:t>
        </w:r>
      </w:hyperlink>
      <w:r>
        <w:t>.</w:t>
      </w:r>
    </w:p>
    <w:p w14:paraId="54FC6D56" w14:textId="77777777" w:rsidR="000D07EA" w:rsidRDefault="00BE7C89">
      <w:pPr>
        <w:pStyle w:val="Heading7"/>
        <w:rPr>
          <w:b/>
        </w:rPr>
      </w:pPr>
      <w:r>
        <w:rPr>
          <w:b/>
        </w:rPr>
        <w:t xml:space="preserve">*BlackBerry Internet Service (BYO Option) </w:t>
      </w:r>
    </w:p>
    <w:p w14:paraId="72FB6716" w14:textId="77777777" w:rsidR="000D07EA" w:rsidRDefault="00BE7C89">
      <w:pPr>
        <w:pStyle w:val="Heading8"/>
      </w:pPr>
      <w:r>
        <w:t xml:space="preserve">BlackBerry Internet Service allows </w:t>
      </w:r>
      <w:r>
        <w:rPr>
          <w:i/>
        </w:rPr>
        <w:t>you</w:t>
      </w:r>
      <w:r>
        <w:t xml:space="preserve"> to access webmail (eg Gmail, Yahoo email, Hotmail, Optusnet Email) and the Internet from your BlackBerry or BlackBerry Connect handset. The BlackBerry Internet Service specifically excludes access to corporate email.</w:t>
      </w:r>
    </w:p>
    <w:p w14:paraId="31AEB7F2" w14:textId="77777777" w:rsidR="000D07EA" w:rsidRDefault="00BE7C89">
      <w:pPr>
        <w:pStyle w:val="Heading8"/>
      </w:pPr>
      <w:r>
        <w:t xml:space="preserve">Internet browsing is limited to the BlackBerry Browser and/or Internet browser. Browsing from the Optus Zoo browser is specifically excluded. </w:t>
      </w:r>
    </w:p>
    <w:p w14:paraId="16D3899F" w14:textId="77777777" w:rsidR="000D07EA" w:rsidRDefault="00BE7C89">
      <w:pPr>
        <w:pStyle w:val="Heading8"/>
      </w:pPr>
      <w:r>
        <w:t xml:space="preserve">The included data amount does not include: voice calls, voicemail, international SMS, premium and third party SMS, MMS, Optus Zoo subscription content and third party content and applications, international MMS, international Roaming, 1300, 1900. Use of these services will be charged at the prevailing rates for your mobile voice plan or </w:t>
      </w:r>
      <w:r>
        <w:rPr>
          <w:i/>
        </w:rPr>
        <w:t>value added service feature</w:t>
      </w:r>
      <w:r>
        <w:t xml:space="preserve"> as described in this </w:t>
      </w:r>
      <w:r>
        <w:rPr>
          <w:i/>
        </w:rPr>
        <w:t>Appendix Y</w:t>
      </w:r>
      <w:r>
        <w:t>.</w:t>
      </w:r>
    </w:p>
    <w:p w14:paraId="4C534FE9" w14:textId="77777777" w:rsidR="000D07EA" w:rsidRDefault="00BE7C89">
      <w:pPr>
        <w:pStyle w:val="Heading8"/>
      </w:pPr>
      <w:r>
        <w:t xml:space="preserve">If you exceed the included monthly data allowance for handset browsing and/or applications that require a data connection, excess usage charges of 0.5c/KB or part thereof. </w:t>
      </w:r>
    </w:p>
    <w:p w14:paraId="332D6B7F" w14:textId="77777777" w:rsidR="000D07EA" w:rsidRDefault="00BE7C89">
      <w:pPr>
        <w:pStyle w:val="Heading8"/>
      </w:pPr>
      <w:r>
        <w:t>If the data you use in a month falls below the amount of included data, the remaining data is forfeited and it does not roll over into the following month.</w:t>
      </w:r>
    </w:p>
    <w:p w14:paraId="7081B669" w14:textId="77777777" w:rsidR="000D07EA" w:rsidRDefault="00BE7C89">
      <w:pPr>
        <w:pStyle w:val="Heading7"/>
        <w:keepNext/>
        <w:rPr>
          <w:b/>
        </w:rPr>
      </w:pPr>
      <w:r>
        <w:rPr>
          <w:b/>
        </w:rPr>
        <w:t xml:space="preserve">BlackBerry Enterprise Service (BYO Option) </w:t>
      </w:r>
    </w:p>
    <w:p w14:paraId="3B3FBABA" w14:textId="77777777" w:rsidR="000D07EA" w:rsidRDefault="00BE7C89">
      <w:pPr>
        <w:pStyle w:val="Heading8"/>
      </w:pPr>
      <w:r>
        <w:t xml:space="preserve">BlackBerry Enterprise Service allows you to access your corporate email and the Internet from your BlackBerry or BlackBerry Connect handset. </w:t>
      </w:r>
    </w:p>
    <w:p w14:paraId="16EB50A8" w14:textId="77777777" w:rsidR="000D07EA" w:rsidRDefault="00BE7C89">
      <w:pPr>
        <w:pStyle w:val="Heading8"/>
      </w:pPr>
      <w:r>
        <w:t xml:space="preserve">Internet browsing is limited to the BlackBerry Browser and/or Internet browser. Browsing from the Optus Zoo browser is specifically excluded. </w:t>
      </w:r>
    </w:p>
    <w:p w14:paraId="5C8203C3" w14:textId="77777777" w:rsidR="000D07EA" w:rsidRDefault="00BE7C89">
      <w:pPr>
        <w:pStyle w:val="Heading8"/>
      </w:pPr>
      <w:r>
        <w:lastRenderedPageBreak/>
        <w:t xml:space="preserve">The included data amount does not include: voice calls, voicemail, international SMS, premium and third party SMS, MMS, Optus Zoo subscription content and third party content and applications, international MMS, international Roaming, 1300, 1900. Use of these services will be charged at the prevailing rates for your mobile voice plan or value added service feature as described in this Appendix Y. </w:t>
      </w:r>
    </w:p>
    <w:p w14:paraId="02D73BAA" w14:textId="77777777" w:rsidR="000D07EA" w:rsidRDefault="00BE7C89">
      <w:pPr>
        <w:pStyle w:val="Heading8"/>
      </w:pPr>
      <w:r>
        <w:t xml:space="preserve">If you exceed the included monthly data allowance, excess usage charges will apply of $0.005/KB. </w:t>
      </w:r>
    </w:p>
    <w:p w14:paraId="1618AAD9" w14:textId="77777777" w:rsidR="000D07EA" w:rsidRDefault="00BE7C89">
      <w:pPr>
        <w:pStyle w:val="Heading8"/>
      </w:pPr>
      <w:r>
        <w:t>If the data you use in a month falls below the amount of included data, the remaining data is forfeited and it does not roll over into the following month.</w:t>
      </w:r>
    </w:p>
    <w:p w14:paraId="4B5F0241" w14:textId="77777777" w:rsidR="000D07EA" w:rsidRDefault="00BE7C89">
      <w:pPr>
        <w:pStyle w:val="Heading6"/>
        <w:ind w:left="0" w:firstLine="0"/>
      </w:pPr>
      <w:r>
        <w:t xml:space="preserve">What happens if the </w:t>
      </w:r>
      <w:r>
        <w:rPr>
          <w:i/>
        </w:rPr>
        <w:t>service is cancelled</w:t>
      </w:r>
      <w:r>
        <w:t xml:space="preserve"> early? </w:t>
      </w:r>
    </w:p>
    <w:p w14:paraId="16E643AB" w14:textId="77777777" w:rsidR="000D07EA" w:rsidRDefault="00BE7C89">
      <w:pPr>
        <w:pStyle w:val="Heading7"/>
      </w:pPr>
      <w:r>
        <w:t>If the service is cancelled before the expiry of the minimum term, you will be required to pay us:</w:t>
      </w:r>
    </w:p>
    <w:p w14:paraId="1ABEB89C" w14:textId="77777777" w:rsidR="000D07EA" w:rsidRDefault="00BE7C89">
      <w:pPr>
        <w:pStyle w:val="Heading8"/>
      </w:pPr>
      <w:r>
        <w:t xml:space="preserve">(any usage charges incurred up to, and including, the </w:t>
      </w:r>
      <w:r>
        <w:rPr>
          <w:i/>
        </w:rPr>
        <w:t>cancellation date</w:t>
      </w:r>
      <w:r>
        <w:t>; plus</w:t>
      </w:r>
    </w:p>
    <w:p w14:paraId="21BD0912" w14:textId="77777777" w:rsidR="000D07EA" w:rsidRDefault="00BE7C89">
      <w:pPr>
        <w:pStyle w:val="Heading8"/>
      </w:pPr>
      <w:r>
        <w:t xml:space="preserve">the </w:t>
      </w:r>
      <w:r>
        <w:rPr>
          <w:i/>
        </w:rPr>
        <w:t>cancellation fee</w:t>
      </w:r>
      <w:r>
        <w:t xml:space="preserve"> set out in the table below (unless under clause 2A of the </w:t>
      </w:r>
      <w:hyperlink r:id="rId198" w:history="1">
        <w:r>
          <w:rPr>
            <w:rStyle w:val="Hyperlink"/>
            <w:i/>
          </w:rPr>
          <w:t>SMB terms</w:t>
        </w:r>
      </w:hyperlink>
      <w:r>
        <w:t xml:space="preserve">, you are entitled to </w:t>
      </w:r>
      <w:r>
        <w:rPr>
          <w:i/>
        </w:rPr>
        <w:t>cancel the service</w:t>
      </w:r>
      <w:r>
        <w:t xml:space="preserve"> without incurring a </w:t>
      </w:r>
      <w:r>
        <w:rPr>
          <w:i/>
        </w:rPr>
        <w:t>cancellation fee</w:t>
      </w:r>
      <w:r>
        <w:t>); plus</w:t>
      </w:r>
    </w:p>
    <w:p w14:paraId="6C11CD8E" w14:textId="77777777" w:rsidR="000D07EA" w:rsidRDefault="00BE7C89">
      <w:pPr>
        <w:pStyle w:val="Heading8"/>
      </w:pPr>
      <w:r>
        <w:t xml:space="preserve">the sum of unpaid </w:t>
      </w:r>
      <w:r>
        <w:rPr>
          <w:i/>
        </w:rPr>
        <w:t>equipment charges</w:t>
      </w:r>
      <w:r>
        <w:t xml:space="preserve"> owing on </w:t>
      </w:r>
      <w:r>
        <w:rPr>
          <w:i/>
        </w:rPr>
        <w:t>your mobile phone</w:t>
      </w:r>
      <w:r>
        <w:t xml:space="preserve"> under the </w:t>
      </w:r>
      <w:r>
        <w:rPr>
          <w:i/>
        </w:rPr>
        <w:t>mobile equipment payment plan</w:t>
      </w:r>
      <w:r>
        <w:t xml:space="preserve"> (if any).</w:t>
      </w:r>
    </w:p>
    <w:p w14:paraId="0207AE83" w14:textId="77777777" w:rsidR="000D07EA" w:rsidRDefault="00BE7C89">
      <w:pPr>
        <w:pStyle w:val="Heading7"/>
      </w:pPr>
      <w:r>
        <w:t xml:space="preserve">The </w:t>
      </w:r>
      <w:r>
        <w:rPr>
          <w:i/>
        </w:rPr>
        <w:t>cancellation fee</w:t>
      </w:r>
      <w:r>
        <w:t xml:space="preserve"> payable under paragraph </w:t>
      </w:r>
      <w:r w:rsidR="00E17E77" w:rsidRPr="00272628">
        <w:t>85</w:t>
      </w:r>
      <w:r w:rsidRPr="00272628">
        <w:t xml:space="preserve">.5(a)(ii) </w:t>
      </w:r>
      <w:r>
        <w:t>(if any) is calculated as follows:</w:t>
      </w:r>
    </w:p>
    <w:p w14:paraId="7BBE76AF" w14:textId="77777777" w:rsidR="000D07EA" w:rsidRDefault="00BE7C89">
      <w:pPr>
        <w:pStyle w:val="Heading8"/>
      </w:pPr>
      <w:r>
        <w:t xml:space="preserve">If </w:t>
      </w:r>
      <w:r>
        <w:rPr>
          <w:i/>
        </w:rPr>
        <w:t>you</w:t>
      </w:r>
      <w:r>
        <w:t xml:space="preserve"> are on a 24 month </w:t>
      </w:r>
      <w:r>
        <w:rPr>
          <w:i/>
        </w:rPr>
        <w:t>pricing plan</w:t>
      </w:r>
      <w:r>
        <w:t xml:space="preserve">, the </w:t>
      </w:r>
      <w:r>
        <w:rPr>
          <w:i/>
        </w:rPr>
        <w:t>cancellation fee</w:t>
      </w:r>
      <w:r>
        <w:t xml:space="preserve"> between months 0-12 is</w:t>
      </w:r>
    </w:p>
    <w:tbl>
      <w:tblPr>
        <w:tblW w:w="3954" w:type="pct"/>
        <w:tblInd w:w="2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4"/>
        <w:gridCol w:w="2656"/>
        <w:gridCol w:w="2657"/>
      </w:tblGrid>
      <w:tr w:rsidR="000D07EA" w14:paraId="754A4088" w14:textId="77777777">
        <w:tc>
          <w:tcPr>
            <w:tcW w:w="1703" w:type="pct"/>
          </w:tcPr>
          <w:p w14:paraId="54DC0007" w14:textId="77777777" w:rsidR="000D07EA" w:rsidRDefault="00BE7C89">
            <w:pPr>
              <w:pStyle w:val="BodyText"/>
              <w:spacing w:before="100" w:after="100"/>
              <w:jc w:val="center"/>
              <w:rPr>
                <w:b/>
                <w:bCs/>
                <w:lang w:eastAsia="ko-KR"/>
              </w:rPr>
            </w:pPr>
            <w:r>
              <w:rPr>
                <w:b/>
              </w:rPr>
              <w:t>Timeless Business $99 when you take the $14.99 Mobile Internet Pack A Smart Data or BlackBerry Bolt on</w:t>
            </w:r>
          </w:p>
        </w:tc>
        <w:tc>
          <w:tcPr>
            <w:tcW w:w="1648" w:type="pct"/>
          </w:tcPr>
          <w:p w14:paraId="16F9DF0B" w14:textId="77777777" w:rsidR="000D07EA" w:rsidRDefault="00BE7C89">
            <w:pPr>
              <w:pStyle w:val="BodyText"/>
              <w:spacing w:before="100" w:after="100"/>
              <w:jc w:val="center"/>
              <w:rPr>
                <w:b/>
                <w:bCs/>
                <w:lang w:eastAsia="ko-KR"/>
              </w:rPr>
            </w:pPr>
            <w:r>
              <w:rPr>
                <w:b/>
                <w:bCs/>
                <w:lang w:eastAsia="ko-KR"/>
              </w:rPr>
              <w:t>Timeless Business $119 Plan</w:t>
            </w:r>
          </w:p>
        </w:tc>
        <w:tc>
          <w:tcPr>
            <w:tcW w:w="1649" w:type="pct"/>
          </w:tcPr>
          <w:p w14:paraId="0AEE5BF3" w14:textId="77777777" w:rsidR="000D07EA" w:rsidRDefault="00BE7C89">
            <w:pPr>
              <w:pStyle w:val="BodyText"/>
              <w:spacing w:before="100" w:after="100"/>
              <w:jc w:val="center"/>
              <w:rPr>
                <w:b/>
                <w:bCs/>
                <w:lang w:eastAsia="ko-KR"/>
              </w:rPr>
            </w:pPr>
            <w:r>
              <w:rPr>
                <w:b/>
                <w:bCs/>
                <w:lang w:eastAsia="ko-KR"/>
              </w:rPr>
              <w:t>Timeless Business $129 Plan</w:t>
            </w:r>
          </w:p>
        </w:tc>
      </w:tr>
      <w:tr w:rsidR="000D07EA" w14:paraId="7CEF6C75" w14:textId="77777777">
        <w:tc>
          <w:tcPr>
            <w:tcW w:w="1703" w:type="pct"/>
          </w:tcPr>
          <w:p w14:paraId="3C9A97A5" w14:textId="77777777" w:rsidR="000D07EA" w:rsidRDefault="00BE7C89">
            <w:pPr>
              <w:pStyle w:val="BodyText"/>
              <w:spacing w:before="100" w:after="100"/>
              <w:jc w:val="center"/>
            </w:pPr>
            <w:r>
              <w:t>$900</w:t>
            </w:r>
          </w:p>
        </w:tc>
        <w:tc>
          <w:tcPr>
            <w:tcW w:w="1648" w:type="pct"/>
          </w:tcPr>
          <w:p w14:paraId="11B860B2" w14:textId="77777777" w:rsidR="000D07EA" w:rsidRDefault="00BE7C89">
            <w:pPr>
              <w:pStyle w:val="BodyText"/>
              <w:spacing w:before="100" w:after="100"/>
              <w:jc w:val="center"/>
            </w:pPr>
            <w:r>
              <w:t>$1,000</w:t>
            </w:r>
          </w:p>
        </w:tc>
        <w:tc>
          <w:tcPr>
            <w:tcW w:w="1649" w:type="pct"/>
          </w:tcPr>
          <w:p w14:paraId="696258A4" w14:textId="77777777" w:rsidR="000D07EA" w:rsidRDefault="00BE7C89">
            <w:pPr>
              <w:pStyle w:val="BodyText"/>
              <w:spacing w:before="100" w:after="100"/>
              <w:jc w:val="center"/>
            </w:pPr>
            <w:r>
              <w:t>$1,100</w:t>
            </w:r>
          </w:p>
        </w:tc>
      </w:tr>
    </w:tbl>
    <w:p w14:paraId="0820BF64" w14:textId="77777777" w:rsidR="000D07EA" w:rsidRDefault="000D07EA">
      <w:pPr>
        <w:pStyle w:val="BodyText"/>
      </w:pPr>
    </w:p>
    <w:p w14:paraId="6B5B0E9B" w14:textId="77777777" w:rsidR="000D07EA" w:rsidRDefault="00BE7C89">
      <w:pPr>
        <w:pStyle w:val="BodyText"/>
        <w:ind w:left="2160"/>
      </w:pPr>
      <w:r>
        <w:t xml:space="preserve">And for </w:t>
      </w:r>
      <w:r>
        <w:rPr>
          <w:i/>
        </w:rPr>
        <w:t>cancellations</w:t>
      </w:r>
      <w:r>
        <w:t xml:space="preserve"> between months 13-24, an amount in accordance with the following calculations: for months 13-15, 80% of the </w:t>
      </w:r>
      <w:r>
        <w:rPr>
          <w:i/>
        </w:rPr>
        <w:t>cancellation fee</w:t>
      </w:r>
      <w:r>
        <w:t xml:space="preserve">; for months 16-18, 60% of the </w:t>
      </w:r>
      <w:r>
        <w:rPr>
          <w:i/>
        </w:rPr>
        <w:t>cancellation fee</w:t>
      </w:r>
      <w:r>
        <w:t xml:space="preserve">; for months 19-21, 40% of the </w:t>
      </w:r>
      <w:r>
        <w:rPr>
          <w:i/>
        </w:rPr>
        <w:t>cancellation fee</w:t>
      </w:r>
      <w:r>
        <w:t xml:space="preserve">; for months 22-24, 20% of the </w:t>
      </w:r>
      <w:r>
        <w:rPr>
          <w:i/>
        </w:rPr>
        <w:t>cancellation fee</w:t>
      </w:r>
      <w:r>
        <w:t>.</w:t>
      </w:r>
    </w:p>
    <w:p w14:paraId="1F4C41C1" w14:textId="77777777" w:rsidR="000D07EA" w:rsidRDefault="00BE7C89">
      <w:pPr>
        <w:pStyle w:val="Heading8"/>
        <w:keepNext/>
      </w:pPr>
      <w:r>
        <w:t xml:space="preserve">If you are on a 12 month pricing plan, the cancellation fee between months 0-6 is </w:t>
      </w:r>
    </w:p>
    <w:tbl>
      <w:tblPr>
        <w:tblW w:w="3954" w:type="pct"/>
        <w:tblInd w:w="2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4"/>
        <w:gridCol w:w="2656"/>
        <w:gridCol w:w="2657"/>
      </w:tblGrid>
      <w:tr w:rsidR="000D07EA" w14:paraId="68B9A35C" w14:textId="77777777">
        <w:tc>
          <w:tcPr>
            <w:tcW w:w="1703" w:type="pct"/>
          </w:tcPr>
          <w:p w14:paraId="4B833CE3" w14:textId="77777777" w:rsidR="000D07EA" w:rsidRDefault="00BE7C89">
            <w:pPr>
              <w:pStyle w:val="BodyText"/>
              <w:keepNext/>
              <w:spacing w:before="100" w:after="100"/>
              <w:jc w:val="center"/>
              <w:rPr>
                <w:b/>
                <w:bCs/>
                <w:lang w:eastAsia="ko-KR"/>
              </w:rPr>
            </w:pPr>
            <w:r>
              <w:rPr>
                <w:b/>
              </w:rPr>
              <w:t>Timeless Business $99 when you take the $14.99 Mobile Internet Pack A Smart Data or BlackBerry Bolt on</w:t>
            </w:r>
          </w:p>
        </w:tc>
        <w:tc>
          <w:tcPr>
            <w:tcW w:w="1648" w:type="pct"/>
          </w:tcPr>
          <w:p w14:paraId="04C3BE04" w14:textId="77777777" w:rsidR="000D07EA" w:rsidRDefault="00BE7C89">
            <w:pPr>
              <w:pStyle w:val="BodyText"/>
              <w:keepNext/>
              <w:spacing w:before="100" w:after="100"/>
              <w:jc w:val="center"/>
              <w:rPr>
                <w:b/>
                <w:bCs/>
                <w:lang w:eastAsia="ko-KR"/>
              </w:rPr>
            </w:pPr>
            <w:r>
              <w:rPr>
                <w:b/>
                <w:bCs/>
                <w:lang w:eastAsia="ko-KR"/>
              </w:rPr>
              <w:t>Timeless Business $119 Plan</w:t>
            </w:r>
          </w:p>
        </w:tc>
        <w:tc>
          <w:tcPr>
            <w:tcW w:w="1649" w:type="pct"/>
          </w:tcPr>
          <w:p w14:paraId="645D41FE" w14:textId="77777777" w:rsidR="000D07EA" w:rsidRDefault="00BE7C89">
            <w:pPr>
              <w:pStyle w:val="BodyText"/>
              <w:keepNext/>
              <w:spacing w:before="100" w:after="100"/>
              <w:jc w:val="center"/>
              <w:rPr>
                <w:b/>
                <w:bCs/>
                <w:lang w:eastAsia="ko-KR"/>
              </w:rPr>
            </w:pPr>
            <w:r>
              <w:rPr>
                <w:b/>
                <w:bCs/>
                <w:lang w:eastAsia="ko-KR"/>
              </w:rPr>
              <w:t>Timeless Business $129 Plan</w:t>
            </w:r>
          </w:p>
        </w:tc>
      </w:tr>
      <w:tr w:rsidR="000D07EA" w14:paraId="3225727C" w14:textId="77777777">
        <w:tc>
          <w:tcPr>
            <w:tcW w:w="1703" w:type="pct"/>
          </w:tcPr>
          <w:p w14:paraId="34BCE474" w14:textId="77777777" w:rsidR="000D07EA" w:rsidRDefault="00BE7C89">
            <w:pPr>
              <w:pStyle w:val="BodyText"/>
              <w:spacing w:before="100" w:after="100"/>
              <w:jc w:val="center"/>
            </w:pPr>
            <w:r>
              <w:t>$550</w:t>
            </w:r>
          </w:p>
        </w:tc>
        <w:tc>
          <w:tcPr>
            <w:tcW w:w="1648" w:type="pct"/>
          </w:tcPr>
          <w:p w14:paraId="4D94FC6C" w14:textId="77777777" w:rsidR="000D07EA" w:rsidRDefault="00BE7C89">
            <w:pPr>
              <w:pStyle w:val="BodyText"/>
              <w:spacing w:before="100" w:after="100"/>
              <w:jc w:val="center"/>
            </w:pPr>
            <w:r>
              <w:t>$600</w:t>
            </w:r>
          </w:p>
        </w:tc>
        <w:tc>
          <w:tcPr>
            <w:tcW w:w="1649" w:type="pct"/>
          </w:tcPr>
          <w:p w14:paraId="67A4A39B" w14:textId="77777777" w:rsidR="000D07EA" w:rsidRDefault="00BE7C89">
            <w:pPr>
              <w:pStyle w:val="BodyText"/>
              <w:spacing w:before="100" w:after="100"/>
              <w:jc w:val="center"/>
            </w:pPr>
            <w:r>
              <w:t>$650</w:t>
            </w:r>
          </w:p>
        </w:tc>
      </w:tr>
    </w:tbl>
    <w:p w14:paraId="61A5DE94" w14:textId="77777777" w:rsidR="000D07EA" w:rsidRDefault="000D07EA">
      <w:pPr>
        <w:pStyle w:val="BodyText"/>
      </w:pPr>
    </w:p>
    <w:p w14:paraId="3358C44F" w14:textId="77777777" w:rsidR="000D07EA" w:rsidRDefault="00BE7C89">
      <w:pPr>
        <w:pStyle w:val="BodyText"/>
        <w:ind w:left="2160"/>
      </w:pPr>
      <w:r>
        <w:t xml:space="preserve">And for </w:t>
      </w:r>
      <w:r>
        <w:rPr>
          <w:i/>
        </w:rPr>
        <w:t>cancellations</w:t>
      </w:r>
      <w:r>
        <w:t xml:space="preserve"> between months 7-12, an amount in accordance with the following calculations: for months 7-9, 70% of the </w:t>
      </w:r>
      <w:r>
        <w:rPr>
          <w:i/>
        </w:rPr>
        <w:t>cancellation</w:t>
      </w:r>
      <w:r>
        <w:t xml:space="preserve"> </w:t>
      </w:r>
      <w:r>
        <w:rPr>
          <w:i/>
        </w:rPr>
        <w:t>fee</w:t>
      </w:r>
      <w:r>
        <w:t xml:space="preserve">; for months 10-12, 40% of the </w:t>
      </w:r>
      <w:r>
        <w:rPr>
          <w:i/>
        </w:rPr>
        <w:t>cancellation</w:t>
      </w:r>
      <w:r>
        <w:t xml:space="preserve"> </w:t>
      </w:r>
      <w:r>
        <w:rPr>
          <w:i/>
        </w:rPr>
        <w:t>fee</w:t>
      </w:r>
      <w:r>
        <w:t>.</w:t>
      </w:r>
    </w:p>
    <w:p w14:paraId="6F6FDDCB" w14:textId="77777777" w:rsidR="000D07EA" w:rsidRDefault="00BE7C89">
      <w:pPr>
        <w:pStyle w:val="Heading8"/>
      </w:pPr>
      <w:r>
        <w:t>If you are on a 12 month BYO pricing plan from the 5th October 2009, the cancellation fee between months 0-6 is</w:t>
      </w:r>
    </w:p>
    <w:tbl>
      <w:tblPr>
        <w:tblW w:w="3954" w:type="pct"/>
        <w:tblInd w:w="2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4"/>
        <w:gridCol w:w="2656"/>
        <w:gridCol w:w="2657"/>
      </w:tblGrid>
      <w:tr w:rsidR="000D07EA" w14:paraId="1155B228" w14:textId="77777777">
        <w:tc>
          <w:tcPr>
            <w:tcW w:w="1703" w:type="pct"/>
          </w:tcPr>
          <w:p w14:paraId="319C9F72" w14:textId="77777777" w:rsidR="000D07EA" w:rsidRDefault="00BE7C89">
            <w:pPr>
              <w:pStyle w:val="BodyText"/>
              <w:spacing w:before="100" w:after="100"/>
              <w:rPr>
                <w:b/>
              </w:rPr>
            </w:pPr>
            <w:r>
              <w:rPr>
                <w:b/>
              </w:rPr>
              <w:lastRenderedPageBreak/>
              <w:t>'yes' Business Timeless $99 when you take the $14.99 Mobile Internet Pack</w:t>
            </w:r>
          </w:p>
        </w:tc>
        <w:tc>
          <w:tcPr>
            <w:tcW w:w="1648" w:type="pct"/>
          </w:tcPr>
          <w:p w14:paraId="609DA510" w14:textId="77777777" w:rsidR="000D07EA" w:rsidRDefault="00BE7C89">
            <w:pPr>
              <w:pStyle w:val="BodyText"/>
              <w:spacing w:before="100" w:after="100"/>
              <w:rPr>
                <w:b/>
              </w:rPr>
            </w:pPr>
            <w:r>
              <w:rPr>
                <w:b/>
                <w:bCs/>
                <w:lang w:eastAsia="ko-KR"/>
              </w:rPr>
              <w:t>'yes' Business Timeless $119 Plan</w:t>
            </w:r>
          </w:p>
        </w:tc>
        <w:tc>
          <w:tcPr>
            <w:tcW w:w="1649" w:type="pct"/>
          </w:tcPr>
          <w:p w14:paraId="1AD2500D" w14:textId="77777777" w:rsidR="000D07EA" w:rsidRDefault="00BE7C89">
            <w:pPr>
              <w:pStyle w:val="BodyText"/>
              <w:spacing w:before="100" w:after="100"/>
              <w:rPr>
                <w:b/>
              </w:rPr>
            </w:pPr>
            <w:r>
              <w:rPr>
                <w:b/>
                <w:bCs/>
                <w:lang w:eastAsia="ko-KR"/>
              </w:rPr>
              <w:t>'yes' Business Timeless $129 Plan</w:t>
            </w:r>
          </w:p>
        </w:tc>
      </w:tr>
      <w:tr w:rsidR="000D07EA" w14:paraId="058F256A" w14:textId="77777777">
        <w:tc>
          <w:tcPr>
            <w:tcW w:w="1703" w:type="pct"/>
          </w:tcPr>
          <w:p w14:paraId="1FA05B2F" w14:textId="77777777" w:rsidR="000D07EA" w:rsidRDefault="00BE7C89">
            <w:pPr>
              <w:pStyle w:val="BodyText"/>
              <w:spacing w:before="100" w:after="100"/>
            </w:pPr>
            <w:r>
              <w:t>$195.00</w:t>
            </w:r>
          </w:p>
        </w:tc>
        <w:tc>
          <w:tcPr>
            <w:tcW w:w="1648" w:type="pct"/>
          </w:tcPr>
          <w:p w14:paraId="65D6EBD2" w14:textId="77777777" w:rsidR="000D07EA" w:rsidRDefault="00BE7C89">
            <w:pPr>
              <w:pStyle w:val="BodyText"/>
              <w:spacing w:before="100" w:after="100"/>
            </w:pPr>
            <w:r>
              <w:t>$195.00</w:t>
            </w:r>
          </w:p>
        </w:tc>
        <w:tc>
          <w:tcPr>
            <w:tcW w:w="1649" w:type="pct"/>
          </w:tcPr>
          <w:p w14:paraId="0121B7A7" w14:textId="77777777" w:rsidR="000D07EA" w:rsidRDefault="00BE7C89">
            <w:pPr>
              <w:pStyle w:val="BodyText"/>
              <w:spacing w:before="100" w:after="100"/>
            </w:pPr>
            <w:r>
              <w:t>$200.00</w:t>
            </w:r>
          </w:p>
        </w:tc>
      </w:tr>
    </w:tbl>
    <w:p w14:paraId="5F9AF945" w14:textId="77777777" w:rsidR="000D07EA" w:rsidRDefault="000D07EA">
      <w:pPr>
        <w:pStyle w:val="BodyText"/>
      </w:pPr>
    </w:p>
    <w:p w14:paraId="5759C662" w14:textId="77777777" w:rsidR="000D07EA" w:rsidRDefault="00BE7C89">
      <w:pPr>
        <w:pStyle w:val="BodyText"/>
        <w:ind w:left="2160"/>
      </w:pPr>
      <w:r>
        <w:t>And for cancellations between months 7-12, an amount in accordance with the following calculations: for months 7-9, 70% of the cancellation fee; for months 10-12, 40% of the cancellation fee.</w:t>
      </w:r>
    </w:p>
    <w:p w14:paraId="2A1C70EC" w14:textId="77777777" w:rsidR="000D07EA" w:rsidRDefault="00BE7C89">
      <w:pPr>
        <w:pStyle w:val="Heading6"/>
        <w:ind w:left="0" w:firstLine="0"/>
      </w:pPr>
      <w:r>
        <w:t xml:space="preserve">Optus SMB Rewards </w:t>
      </w:r>
    </w:p>
    <w:p w14:paraId="2024E6FA" w14:textId="77777777" w:rsidR="000D07EA" w:rsidRDefault="00BE7C89">
      <w:pPr>
        <w:pStyle w:val="BodyText"/>
        <w:ind w:left="720"/>
      </w:pPr>
      <w:r>
        <w:t xml:space="preserve">Optus 'yes' Business Rewards is a </w:t>
      </w:r>
      <w:r>
        <w:rPr>
          <w:i/>
        </w:rPr>
        <w:t>special</w:t>
      </w:r>
      <w:r>
        <w:t xml:space="preserve"> available to </w:t>
      </w:r>
      <w:r>
        <w:rPr>
          <w:i/>
        </w:rPr>
        <w:t>small or medium business customers</w:t>
      </w:r>
      <w:r>
        <w:t xml:space="preserve"> who connect to the </w:t>
      </w:r>
      <w:r>
        <w:rPr>
          <w:i/>
        </w:rPr>
        <w:t>service</w:t>
      </w:r>
      <w:r>
        <w:t xml:space="preserve"> on an eligible </w:t>
      </w:r>
      <w:r>
        <w:rPr>
          <w:i/>
        </w:rPr>
        <w:t>pricing plan</w:t>
      </w:r>
      <w:r>
        <w:t xml:space="preserve"> after 23 November 2005. It involves more than one </w:t>
      </w:r>
      <w:r>
        <w:rPr>
          <w:i/>
        </w:rPr>
        <w:t>service</w:t>
      </w:r>
      <w:r>
        <w:t xml:space="preserve"> and each of the services </w:t>
      </w:r>
      <w:r>
        <w:rPr>
          <w:i/>
        </w:rPr>
        <w:t>you</w:t>
      </w:r>
      <w:r>
        <w:t xml:space="preserve"> select as part of </w:t>
      </w:r>
      <w:r>
        <w:rPr>
          <w:i/>
        </w:rPr>
        <w:t>your</w:t>
      </w:r>
      <w:r>
        <w:t xml:space="preserve"> package is provided to </w:t>
      </w:r>
      <w:r>
        <w:rPr>
          <w:i/>
        </w:rPr>
        <w:t>you</w:t>
      </w:r>
      <w:r>
        <w:t xml:space="preserve"> by the relevant Optus company on the terms and conditions of the </w:t>
      </w:r>
      <w:r>
        <w:rPr>
          <w:i/>
        </w:rPr>
        <w:t>agreement</w:t>
      </w:r>
      <w:r>
        <w:t xml:space="preserve"> for the supply of that </w:t>
      </w:r>
      <w:r>
        <w:rPr>
          <w:i/>
        </w:rPr>
        <w:t>service</w:t>
      </w:r>
      <w:r>
        <w:t xml:space="preserve">. Details of the various packages available and of any additional terms and conditions that apply to 'yes' Business Rewards are set out in </w:t>
      </w:r>
      <w:hyperlink r:id="rId199" w:history="1">
        <w:r>
          <w:rPr>
            <w:rStyle w:val="Hyperlink"/>
            <w:i/>
          </w:rPr>
          <w:t>Appendix IB</w:t>
        </w:r>
      </w:hyperlink>
      <w:r>
        <w:t>.</w:t>
      </w:r>
    </w:p>
    <w:p w14:paraId="42BDC51C" w14:textId="77777777" w:rsidR="000D07EA" w:rsidRDefault="00BE7C89">
      <w:pPr>
        <w:pStyle w:val="Heading6"/>
        <w:ind w:left="0" w:firstLine="0"/>
      </w:pPr>
      <w:r>
        <w:t>Business Bonus (for customers who connect before 1st October 2009)</w:t>
      </w:r>
    </w:p>
    <w:p w14:paraId="053F972C" w14:textId="77777777" w:rsidR="000D07EA" w:rsidRDefault="00BE7C89">
      <w:pPr>
        <w:pStyle w:val="BodyText"/>
        <w:ind w:left="720"/>
      </w:pPr>
      <w:r>
        <w:t xml:space="preserve">If </w:t>
      </w:r>
      <w:r>
        <w:rPr>
          <w:i/>
        </w:rPr>
        <w:t>you</w:t>
      </w:r>
      <w:r>
        <w:t xml:space="preserve"> do not purchase or receive new discounted mobile hardware from either </w:t>
      </w:r>
      <w:r>
        <w:rPr>
          <w:i/>
        </w:rPr>
        <w:t>us</w:t>
      </w:r>
      <w:r>
        <w:t xml:space="preserve"> or an Optus dealer, partner or reseller when connecting to the Timeless Business </w:t>
      </w:r>
      <w:r>
        <w:rPr>
          <w:i/>
        </w:rPr>
        <w:t>pricing plan</w:t>
      </w:r>
      <w:r>
        <w:t xml:space="preserve"> with a 12 or 24 month </w:t>
      </w:r>
      <w:r>
        <w:rPr>
          <w:i/>
        </w:rPr>
        <w:t>minimum term you</w:t>
      </w:r>
      <w:r>
        <w:t xml:space="preserve"> are eligible for a credit called "BYO Bonus" on </w:t>
      </w:r>
      <w:r>
        <w:rPr>
          <w:i/>
        </w:rPr>
        <w:t>your mobile phone</w:t>
      </w:r>
      <w:r>
        <w:t xml:space="preserve"> tax invoice/account. (For the avoidance of doubt, </w:t>
      </w:r>
      <w:r>
        <w:rPr>
          <w:i/>
        </w:rPr>
        <w:t>you</w:t>
      </w:r>
      <w:r>
        <w:t xml:space="preserve"> will not be eligible for any "BYO Bonus" credit if, at the time </w:t>
      </w:r>
      <w:r>
        <w:rPr>
          <w:i/>
        </w:rPr>
        <w:t>you</w:t>
      </w:r>
      <w:r>
        <w:t xml:space="preserve"> enter into the </w:t>
      </w:r>
      <w:r>
        <w:rPr>
          <w:i/>
        </w:rPr>
        <w:t>agreement</w:t>
      </w:r>
      <w:r>
        <w:t xml:space="preserve"> for the </w:t>
      </w:r>
      <w:r>
        <w:rPr>
          <w:i/>
        </w:rPr>
        <w:t>service</w:t>
      </w:r>
      <w:r>
        <w:t xml:space="preserve"> with </w:t>
      </w:r>
      <w:r>
        <w:rPr>
          <w:i/>
        </w:rPr>
        <w:t>us you</w:t>
      </w:r>
      <w:r>
        <w:t xml:space="preserve"> purchase or receive mobile hardware under a separate agreement with an Optus dealer, partner or reseller.) The credit will be applied to </w:t>
      </w:r>
      <w:r>
        <w:rPr>
          <w:i/>
        </w:rPr>
        <w:t>your</w:t>
      </w:r>
      <w:r>
        <w:t xml:space="preserve"> account in the first or second month of your contract and will be equal to your Minimum monthly commitment. </w:t>
      </w:r>
      <w:r>
        <w:rPr>
          <w:i/>
        </w:rPr>
        <w:t>You</w:t>
      </w:r>
      <w:r>
        <w:t xml:space="preserve"> will still receive your full included value. Customers who select a 12 month plan will receive 1 "BYO Bonus" where as customers who select a 24 month plan will receive 2 "BYO Bonus". This credit is not redeemable for cash or refundable upon </w:t>
      </w:r>
      <w:r>
        <w:rPr>
          <w:i/>
        </w:rPr>
        <w:t>cancellation of your agreement</w:t>
      </w:r>
      <w:r>
        <w:t>.</w:t>
      </w:r>
    </w:p>
    <w:p w14:paraId="739717D9" w14:textId="77777777" w:rsidR="000D07EA" w:rsidRDefault="00BE7C89">
      <w:pPr>
        <w:pStyle w:val="Heading4"/>
      </w:pPr>
      <w:bookmarkStart w:id="326" w:name="_Toc62644627"/>
      <w:r>
        <w:t>Timeless Business Plans for iPhone 3G (Incorporating Timeless Business $99 Plan + $14.99 Mobile Internet Pack or Smart Data Bolt on for iPhone 3G, Timeless Business $119 Plan for iPhone 3G, Timeless Business $129 Plan For iPhone 3G)</w:t>
      </w:r>
      <w:bookmarkEnd w:id="326"/>
    </w:p>
    <w:p w14:paraId="067AC7C3" w14:textId="77777777" w:rsidR="000D07EA" w:rsidRDefault="00BE7C89">
      <w:pPr>
        <w:pStyle w:val="Heading6"/>
        <w:ind w:left="0" w:firstLine="0"/>
      </w:pPr>
      <w:r>
        <w:t>Eligibility</w:t>
      </w:r>
    </w:p>
    <w:p w14:paraId="2F4E34EB" w14:textId="77777777" w:rsidR="000D07EA" w:rsidRDefault="00BE7C89">
      <w:pPr>
        <w:pStyle w:val="Heading7"/>
      </w:pPr>
      <w:r>
        <w:t xml:space="preserve">The Timeless Business Plans for iPhone 3G are available to customers we classify as </w:t>
      </w:r>
      <w:r>
        <w:rPr>
          <w:i/>
        </w:rPr>
        <w:t>small or medium business</w:t>
      </w:r>
      <w:r>
        <w:t xml:space="preserve"> customers. This offer may be withdrawn at any time without notice. </w:t>
      </w:r>
    </w:p>
    <w:p w14:paraId="6650F43C" w14:textId="77777777" w:rsidR="000D07EA" w:rsidRDefault="00BE7C89">
      <w:pPr>
        <w:pStyle w:val="Heading7"/>
      </w:pPr>
      <w:r>
        <w:t xml:space="preserve">Customers ordering a </w:t>
      </w:r>
      <w:r>
        <w:rPr>
          <w:i/>
        </w:rPr>
        <w:t>mobile phone</w:t>
      </w:r>
      <w:r>
        <w:t xml:space="preserve"> with an </w:t>
      </w:r>
      <w:r>
        <w:rPr>
          <w:i/>
        </w:rPr>
        <w:t>Optus SIM card</w:t>
      </w:r>
      <w:r>
        <w:t xml:space="preserve"> on Timeless Business for iPhone 3G </w:t>
      </w:r>
      <w:r>
        <w:rPr>
          <w:i/>
        </w:rPr>
        <w:t>pricing plan</w:t>
      </w:r>
      <w:r>
        <w:t xml:space="preserve"> must be connected to that </w:t>
      </w:r>
      <w:r>
        <w:rPr>
          <w:i/>
        </w:rPr>
        <w:t>pricing plan</w:t>
      </w:r>
      <w:r>
        <w:t xml:space="preserve"> and activated within 14 days after delivery.</w:t>
      </w:r>
    </w:p>
    <w:p w14:paraId="4AB68BF8" w14:textId="77777777" w:rsidR="000D07EA" w:rsidRDefault="00BE7C89">
      <w:pPr>
        <w:pStyle w:val="Heading7"/>
      </w:pPr>
      <w:r>
        <w:t xml:space="preserve">The Timeless Business Plans for iPhone 3G are only available to </w:t>
      </w:r>
      <w:r>
        <w:rPr>
          <w:i/>
        </w:rPr>
        <w:t>you</w:t>
      </w:r>
      <w:r>
        <w:t xml:space="preserve"> if </w:t>
      </w:r>
      <w:r>
        <w:rPr>
          <w:i/>
        </w:rPr>
        <w:t>you</w:t>
      </w:r>
      <w:r>
        <w:t xml:space="preserve"> use an iPhone handset which remains connected on this plan. If </w:t>
      </w:r>
      <w:r>
        <w:rPr>
          <w:i/>
        </w:rPr>
        <w:t>your</w:t>
      </w:r>
      <w:r>
        <w:t xml:space="preserve"> iPhone handset is no longer used and connected on the Timeless Business for iPhone 3G Plan then Optus will transfer </w:t>
      </w:r>
      <w:r>
        <w:rPr>
          <w:i/>
        </w:rPr>
        <w:t>your</w:t>
      </w:r>
      <w:r>
        <w:t xml:space="preserve"> service to an equivalent non iPhone Timeless Business rate plan</w:t>
      </w:r>
    </w:p>
    <w:p w14:paraId="582491B1" w14:textId="77777777" w:rsidR="000D07EA" w:rsidRDefault="00BE7C89">
      <w:pPr>
        <w:pStyle w:val="Heading6"/>
        <w:ind w:left="0" w:firstLine="0"/>
        <w:rPr>
          <w:i/>
        </w:rPr>
      </w:pPr>
      <w:r>
        <w:rPr>
          <w:i/>
        </w:rPr>
        <w:t>Minimum Term</w:t>
      </w:r>
    </w:p>
    <w:p w14:paraId="0DF62306" w14:textId="77777777" w:rsidR="000D07EA" w:rsidRDefault="00BE7C89">
      <w:pPr>
        <w:pStyle w:val="Heading7"/>
      </w:pPr>
      <w:r>
        <w:t xml:space="preserve">You must agree to either a non-fixed length agreement or a fixed length agreement with a 12 month or 24 month minimum term. </w:t>
      </w:r>
    </w:p>
    <w:p w14:paraId="36AA49FD" w14:textId="77777777" w:rsidR="000D07EA" w:rsidRDefault="00BE7C89">
      <w:pPr>
        <w:pStyle w:val="Heading7"/>
      </w:pPr>
      <w:r>
        <w:t xml:space="preserve">You may purchase an iPhone 3G mobile phone with a 24 month equipment term under a mobile equipment payment plan on a 24 month fixed length agreement. If you agree to a 24 month fixed </w:t>
      </w:r>
      <w:r>
        <w:lastRenderedPageBreak/>
        <w:t>length agreement the price of mobile phones available is less than if you only agree to a non-fixed length agreement.</w:t>
      </w:r>
    </w:p>
    <w:p w14:paraId="3DE53A37" w14:textId="77777777" w:rsidR="000D07EA" w:rsidRDefault="00BE7C89">
      <w:pPr>
        <w:pStyle w:val="Heading7"/>
      </w:pPr>
      <w:r>
        <w:t>You may purchase an iPhone 3G mobile phone with a 12 month equipment term under a mobile equipment payment plan on a 12 month fixed length agreement. If you agree to a 12 month fixed length agreement the price of mobile phones available is less than if you only agree to a non-fixed length agreement.</w:t>
      </w:r>
    </w:p>
    <w:p w14:paraId="1DF71883" w14:textId="77777777" w:rsidR="000D07EA" w:rsidRDefault="00BE7C89">
      <w:pPr>
        <w:pStyle w:val="Heading6"/>
        <w:ind w:left="0" w:firstLine="0"/>
      </w:pPr>
      <w:r>
        <w:t xml:space="preserve">What </w:t>
      </w:r>
      <w:r>
        <w:rPr>
          <w:i/>
        </w:rPr>
        <w:t>you</w:t>
      </w:r>
      <w:r>
        <w:t xml:space="preserve"> have to pay </w:t>
      </w:r>
      <w:r>
        <w:rPr>
          <w:i/>
        </w:rPr>
        <w:t>us</w:t>
      </w:r>
    </w:p>
    <w:p w14:paraId="2B742CD6" w14:textId="77777777" w:rsidR="000D07EA" w:rsidRDefault="00BE7C89">
      <w:pPr>
        <w:pStyle w:val="Heading7"/>
      </w:pPr>
      <w:r>
        <w:t xml:space="preserve">If you connect to this </w:t>
      </w:r>
      <w:r>
        <w:rPr>
          <w:i/>
        </w:rPr>
        <w:t>pricing plan</w:t>
      </w:r>
      <w:r>
        <w:t xml:space="preserve"> you are also required to incur usage charges each month (</w:t>
      </w:r>
      <w:r>
        <w:rPr>
          <w:i/>
        </w:rPr>
        <w:t>Optus SIM cards</w:t>
      </w:r>
      <w:r>
        <w:t xml:space="preserve"> which do not incur usage are not permitted). </w:t>
      </w:r>
    </w:p>
    <w:p w14:paraId="22E8E004" w14:textId="77777777" w:rsidR="000D07EA" w:rsidRDefault="00BE7C89">
      <w:pPr>
        <w:pStyle w:val="Heading7"/>
      </w:pPr>
      <w:r>
        <w:t xml:space="preserve">If activation or usage does not occur, </w:t>
      </w:r>
      <w:r>
        <w:rPr>
          <w:i/>
        </w:rPr>
        <w:t>we</w:t>
      </w:r>
      <w:r>
        <w:t xml:space="preserve"> may </w:t>
      </w:r>
      <w:r>
        <w:rPr>
          <w:i/>
        </w:rPr>
        <w:t>cancel</w:t>
      </w:r>
      <w:r>
        <w:t xml:space="preserve"> the </w:t>
      </w:r>
      <w:r>
        <w:rPr>
          <w:i/>
        </w:rPr>
        <w:t>agreement</w:t>
      </w:r>
      <w:r>
        <w:t xml:space="preserve"> and </w:t>
      </w:r>
      <w:r>
        <w:rPr>
          <w:i/>
        </w:rPr>
        <w:t>you</w:t>
      </w:r>
      <w:r>
        <w:t xml:space="preserve"> will be required to pay </w:t>
      </w:r>
      <w:r>
        <w:rPr>
          <w:i/>
        </w:rPr>
        <w:t>us</w:t>
      </w:r>
      <w:r>
        <w:t xml:space="preserve"> the relevant </w:t>
      </w:r>
      <w:r>
        <w:rPr>
          <w:i/>
        </w:rPr>
        <w:t>cancellation fee</w:t>
      </w:r>
      <w:r>
        <w:t xml:space="preserve">, if applicable, specified in the table in </w:t>
      </w:r>
      <w:r w:rsidRPr="00272628">
        <w:t xml:space="preserve">paragraph </w:t>
      </w:r>
      <w:r w:rsidR="00927AED" w:rsidRPr="00272628">
        <w:t>86</w:t>
      </w:r>
      <w:r w:rsidRPr="00272628">
        <w:t xml:space="preserve">.5 </w:t>
      </w:r>
      <w:r>
        <w:t>below.</w:t>
      </w:r>
    </w:p>
    <w:p w14:paraId="5AE6BDDD" w14:textId="77777777" w:rsidR="000D07EA" w:rsidRDefault="00BE7C89">
      <w:pPr>
        <w:pStyle w:val="Heading7"/>
      </w:pPr>
      <w:r>
        <w:t xml:space="preserve">Subject to paragraphs </w:t>
      </w:r>
      <w:r>
        <w:fldChar w:fldCharType="begin"/>
      </w:r>
      <w:r>
        <w:instrText xml:space="preserve"> REF _Ref461548761 \n \h </w:instrText>
      </w:r>
      <w:r>
        <w:fldChar w:fldCharType="separate"/>
      </w:r>
      <w:r w:rsidR="0004083A">
        <w:t>(e)</w:t>
      </w:r>
      <w:r>
        <w:fldChar w:fldCharType="end"/>
      </w:r>
      <w:r>
        <w:t xml:space="preserve">, </w:t>
      </w:r>
      <w:r>
        <w:fldChar w:fldCharType="begin"/>
      </w:r>
      <w:r>
        <w:instrText xml:space="preserve"> REF _Ref461548764 \n \h </w:instrText>
      </w:r>
      <w:r>
        <w:fldChar w:fldCharType="separate"/>
      </w:r>
      <w:r w:rsidR="0004083A">
        <w:t>(f)</w:t>
      </w:r>
      <w:r>
        <w:fldChar w:fldCharType="end"/>
      </w:r>
      <w:r>
        <w:t xml:space="preserve"> and </w:t>
      </w:r>
      <w:r>
        <w:fldChar w:fldCharType="begin"/>
      </w:r>
      <w:r>
        <w:instrText xml:space="preserve"> REF _Ref461548768 \n \h </w:instrText>
      </w:r>
      <w:r>
        <w:fldChar w:fldCharType="separate"/>
      </w:r>
      <w:r w:rsidR="0004083A">
        <w:t>(g)</w:t>
      </w:r>
      <w:r>
        <w:fldChar w:fldCharType="end"/>
      </w:r>
      <w:r>
        <w:t xml:space="preserve"> below </w:t>
      </w:r>
      <w:r>
        <w:rPr>
          <w:i/>
        </w:rPr>
        <w:t>you</w:t>
      </w:r>
      <w:r>
        <w:t xml:space="preserve"> must pay </w:t>
      </w:r>
      <w:r>
        <w:rPr>
          <w:i/>
        </w:rPr>
        <w:t>us</w:t>
      </w:r>
      <w:r>
        <w:t xml:space="preserve"> for use of the </w:t>
      </w:r>
      <w:r>
        <w:rPr>
          <w:i/>
        </w:rPr>
        <w:t>service</w:t>
      </w:r>
      <w:r>
        <w:t xml:space="preserve"> at the rates set out in </w:t>
      </w:r>
      <w:hyperlink r:id="rId200" w:history="1">
        <w:r>
          <w:rPr>
            <w:rStyle w:val="Hyperlink"/>
          </w:rPr>
          <w:t>Section 1</w:t>
        </w:r>
      </w:hyperlink>
      <w:r>
        <w:t xml:space="preserve"> of this </w:t>
      </w:r>
      <w:r>
        <w:rPr>
          <w:i/>
        </w:rPr>
        <w:t>standard pricing table</w:t>
      </w:r>
      <w:r>
        <w:t xml:space="preserve"> and for </w:t>
      </w:r>
      <w:r>
        <w:rPr>
          <w:i/>
        </w:rPr>
        <w:t>value added service features</w:t>
      </w:r>
      <w:r>
        <w:t xml:space="preserve"> at the rates set out in </w:t>
      </w:r>
      <w:hyperlink r:id="rId201" w:history="1">
        <w:r>
          <w:rPr>
            <w:rStyle w:val="Hyperlink"/>
            <w:i/>
          </w:rPr>
          <w:t>Appendix Y</w:t>
        </w:r>
      </w:hyperlink>
      <w:r>
        <w:t xml:space="preserve"> Value Added Service Features. </w:t>
      </w:r>
    </w:p>
    <w:p w14:paraId="610E9AE7" w14:textId="77777777" w:rsidR="000D07EA" w:rsidRDefault="00BE7C89">
      <w:pPr>
        <w:pStyle w:val="Heading7"/>
      </w:pPr>
      <w:r>
        <w:t xml:space="preserve">If there is a </w:t>
      </w:r>
      <w:r>
        <w:rPr>
          <w:i/>
        </w:rPr>
        <w:t>flagfall</w:t>
      </w:r>
      <w:r>
        <w:t xml:space="preserve"> or call connection charge for a particular call type, the charge for these calls is the </w:t>
      </w:r>
      <w:r>
        <w:rPr>
          <w:i/>
        </w:rPr>
        <w:t>flagfall</w:t>
      </w:r>
      <w:r>
        <w:t xml:space="preserve"> charge plus the relevant rate for the call multiplied by the duration of the call.</w:t>
      </w:r>
    </w:p>
    <w:p w14:paraId="08598509" w14:textId="77777777" w:rsidR="000D07EA" w:rsidRDefault="00BE7C89">
      <w:pPr>
        <w:pStyle w:val="Heading7"/>
        <w:rPr>
          <w:b/>
        </w:rPr>
      </w:pPr>
      <w:bookmarkStart w:id="327" w:name="_Ref461548761"/>
      <w:r>
        <w:rPr>
          <w:b/>
        </w:rPr>
        <w:t>Unlimited Call, SMS and Voicemail Offer</w:t>
      </w:r>
      <w:bookmarkEnd w:id="327"/>
    </w:p>
    <w:p w14:paraId="6D515A12" w14:textId="77777777" w:rsidR="000D07EA" w:rsidRDefault="00BE7C89">
      <w:pPr>
        <w:pStyle w:val="Heading8"/>
      </w:pPr>
      <w:r>
        <w:t>Under the Timeless Business $129 for iPhone 3G Plan, customers will receive Unlimited Standard National Voice and Video Calls, standard national SMS and MMS, national diversions and voicemail deposits and retrievals. Customers also receive Push to Talk as part of the included value currently for up to 150 minutes per month (Fair Go Policy (</w:t>
      </w:r>
      <w:hyperlink r:id="rId202" w:history="1">
        <w:r>
          <w:rPr>
            <w:rStyle w:val="Hyperlink"/>
            <w:i/>
          </w:rPr>
          <w:t>Appendix S</w:t>
        </w:r>
      </w:hyperlink>
      <w:r>
        <w:t xml:space="preserve">) applies). Available features will vary depending on </w:t>
      </w:r>
      <w:r>
        <w:rPr>
          <w:i/>
        </w:rPr>
        <w:t>your</w:t>
      </w:r>
      <w:r>
        <w:t xml:space="preserve"> iPhone or software version. The particular 'Eligible Calls' and 'Eligible Data' features available to </w:t>
      </w:r>
      <w:r>
        <w:rPr>
          <w:i/>
        </w:rPr>
        <w:t>you</w:t>
      </w:r>
      <w:r>
        <w:t xml:space="preserve"> will vary depending on the particular iPhone or software version </w:t>
      </w:r>
      <w:r>
        <w:rPr>
          <w:i/>
        </w:rPr>
        <w:t>you</w:t>
      </w:r>
      <w:r>
        <w:t xml:space="preserve"> use. </w:t>
      </w:r>
    </w:p>
    <w:p w14:paraId="64F96065" w14:textId="77777777" w:rsidR="000D07EA" w:rsidRDefault="00BE7C89">
      <w:pPr>
        <w:pStyle w:val="Heading8"/>
      </w:pPr>
      <w:r>
        <w:t>Under the Timeless Business $99 + $14.99 Mobile Internet plan or, Smart Data Bolt On for iPhone 3G or Timeless Business $119 for iPhone 3G Plan, customers will receive Unlimited Standard National Voice and Video Calls, unlimited standard national MMS and will have a choice between 2 offers called "Unlimited SMS" or "Unlimited Voicemail". Customers also receive Push to Talk as part of the included value currently for up to 150 minutes per month (Fair Go Policy (</w:t>
      </w:r>
      <w:hyperlink r:id="rId203" w:history="1">
        <w:r>
          <w:rPr>
            <w:rStyle w:val="Hyperlink"/>
            <w:i/>
          </w:rPr>
          <w:t>Appendix S</w:t>
        </w:r>
      </w:hyperlink>
      <w:r>
        <w:t xml:space="preserve">) applies). Available features will vary depending on </w:t>
      </w:r>
      <w:r>
        <w:rPr>
          <w:i/>
        </w:rPr>
        <w:t>your</w:t>
      </w:r>
      <w:r>
        <w:t xml:space="preserve"> iPhone or software version. The particular 'Eligible Calls' and 'Eligible Data' features available to </w:t>
      </w:r>
      <w:r>
        <w:rPr>
          <w:i/>
        </w:rPr>
        <w:t>you</w:t>
      </w:r>
      <w:r>
        <w:t xml:space="preserve"> will vary depending on the particular iPhone or software version </w:t>
      </w:r>
      <w:r>
        <w:rPr>
          <w:i/>
        </w:rPr>
        <w:t>you</w:t>
      </w:r>
      <w:r>
        <w:t xml:space="preserve"> use.</w:t>
      </w:r>
    </w:p>
    <w:p w14:paraId="4DF3E645" w14:textId="77777777" w:rsidR="000D07EA" w:rsidRDefault="00BE7C89">
      <w:pPr>
        <w:pStyle w:val="Heading8"/>
      </w:pPr>
      <w:r>
        <w:t>Customers must choose an offer or no offer will be added:</w:t>
      </w:r>
    </w:p>
    <w:p w14:paraId="20D5CE45" w14:textId="77777777" w:rsidR="000D07EA" w:rsidRDefault="00BE7C89">
      <w:pPr>
        <w:pStyle w:val="Heading9"/>
      </w:pPr>
      <w:r>
        <w:t>Unlimited SMS Offer</w:t>
      </w:r>
    </w:p>
    <w:p w14:paraId="4556E171" w14:textId="77777777" w:rsidR="000D07EA" w:rsidRDefault="00BE7C89" w:rsidP="00972274">
      <w:pPr>
        <w:pStyle w:val="BodyText"/>
        <w:numPr>
          <w:ilvl w:val="0"/>
          <w:numId w:val="46"/>
        </w:numPr>
        <w:ind w:hanging="720"/>
      </w:pPr>
      <w:r>
        <w:t>Under the Unlimited SMS Offer, customers may send unlimited standard national SMS to GSM mobiles within Australia.</w:t>
      </w:r>
    </w:p>
    <w:p w14:paraId="3113849E" w14:textId="77777777" w:rsidR="000D07EA" w:rsidRDefault="00BE7C89" w:rsidP="00972274">
      <w:pPr>
        <w:pStyle w:val="BodyText"/>
        <w:numPr>
          <w:ilvl w:val="0"/>
          <w:numId w:val="46"/>
        </w:numPr>
        <w:ind w:hanging="720"/>
      </w:pPr>
      <w:r>
        <w:t>Unlimited SMS offer excludes International SMS and MMS, National MMS, Premium SMS and Instant Messaging (IM).</w:t>
      </w:r>
    </w:p>
    <w:p w14:paraId="54D36FB3" w14:textId="77777777" w:rsidR="000D07EA" w:rsidRDefault="00BE7C89" w:rsidP="00972274">
      <w:pPr>
        <w:pStyle w:val="BodyText"/>
        <w:numPr>
          <w:ilvl w:val="0"/>
          <w:numId w:val="46"/>
        </w:numPr>
        <w:ind w:hanging="720"/>
      </w:pPr>
      <w:r>
        <w:rPr>
          <w:i/>
        </w:rPr>
        <w:t>You</w:t>
      </w:r>
      <w:r>
        <w:t xml:space="preserve"> must pay for any messages that are not eligible messages.</w:t>
      </w:r>
    </w:p>
    <w:p w14:paraId="4E70F8BF" w14:textId="77777777" w:rsidR="000D07EA" w:rsidRDefault="00BE7C89" w:rsidP="00972274">
      <w:pPr>
        <w:pStyle w:val="BodyText"/>
        <w:numPr>
          <w:ilvl w:val="0"/>
          <w:numId w:val="46"/>
        </w:numPr>
        <w:ind w:hanging="720"/>
      </w:pPr>
      <w:r>
        <w:t>Any unused portion of the plan expires at the end of each month. This means that it does not roll over into following month.</w:t>
      </w:r>
    </w:p>
    <w:p w14:paraId="5F03A59B" w14:textId="77777777" w:rsidR="000D07EA" w:rsidRDefault="00BE7C89" w:rsidP="00972274">
      <w:pPr>
        <w:pStyle w:val="BodyText"/>
        <w:numPr>
          <w:ilvl w:val="0"/>
          <w:numId w:val="46"/>
        </w:numPr>
        <w:ind w:hanging="720"/>
      </w:pPr>
      <w:r>
        <w:t>The unlimited SMS offer only applies for standard personal/business use.</w:t>
      </w:r>
    </w:p>
    <w:p w14:paraId="29F50C91" w14:textId="77777777" w:rsidR="000D07EA" w:rsidRDefault="00BE7C89">
      <w:pPr>
        <w:pStyle w:val="Heading9"/>
      </w:pPr>
      <w:r>
        <w:t>Unlimited Voicemail Offer</w:t>
      </w:r>
    </w:p>
    <w:p w14:paraId="38EFE7AD" w14:textId="77777777" w:rsidR="000D07EA" w:rsidRDefault="00BE7C89" w:rsidP="00972274">
      <w:pPr>
        <w:pStyle w:val="BodyText"/>
        <w:numPr>
          <w:ilvl w:val="0"/>
          <w:numId w:val="47"/>
        </w:numPr>
        <w:ind w:hanging="720"/>
      </w:pPr>
      <w:r>
        <w:lastRenderedPageBreak/>
        <w:t>Under the Unlimited Voicemail Offer, customers may receive unlimited voicemail deposits and make unlimited voicemail retrievals within Australia at no charge.</w:t>
      </w:r>
    </w:p>
    <w:p w14:paraId="669798E2" w14:textId="77777777" w:rsidR="000D07EA" w:rsidRDefault="00BE7C89" w:rsidP="00972274">
      <w:pPr>
        <w:pStyle w:val="BodyText"/>
        <w:numPr>
          <w:ilvl w:val="0"/>
          <w:numId w:val="47"/>
        </w:numPr>
        <w:ind w:hanging="720"/>
      </w:pPr>
      <w:r>
        <w:t>Fair Go Policy (</w:t>
      </w:r>
      <w:hyperlink r:id="rId204" w:history="1">
        <w:r>
          <w:rPr>
            <w:rStyle w:val="Hyperlink"/>
          </w:rPr>
          <w:t>Appendix S</w:t>
        </w:r>
      </w:hyperlink>
      <w:r>
        <w:t>) applies.</w:t>
      </w:r>
    </w:p>
    <w:p w14:paraId="60D1096A" w14:textId="77777777" w:rsidR="000D07EA" w:rsidRDefault="00BE7C89">
      <w:pPr>
        <w:pStyle w:val="Heading8"/>
      </w:pPr>
      <w:r>
        <w:t xml:space="preserve">The call and message types that are </w:t>
      </w:r>
      <w:r>
        <w:rPr>
          <w:b/>
        </w:rPr>
        <w:t xml:space="preserve">'eligible calls' </w:t>
      </w:r>
      <w:r>
        <w:t xml:space="preserve">and </w:t>
      </w:r>
      <w:r>
        <w:rPr>
          <w:b/>
        </w:rPr>
        <w:t>'eligible messages'</w:t>
      </w:r>
      <w:r>
        <w:t xml:space="preserve"> for each Timeless Business Plan for iPhone 3G are defined in Table 1A and below. </w:t>
      </w:r>
    </w:p>
    <w:p w14:paraId="4E631640" w14:textId="77777777" w:rsidR="000D07EA" w:rsidRDefault="00BE7C89">
      <w:pPr>
        <w:pStyle w:val="Heading8"/>
      </w:pPr>
      <w:r>
        <w:rPr>
          <w:i/>
        </w:rPr>
        <w:t>You</w:t>
      </w:r>
      <w:r>
        <w:t xml:space="preserve"> must pay for any calls or messages that are not eligible calls or messages.</w:t>
      </w:r>
    </w:p>
    <w:p w14:paraId="4A5980EC" w14:textId="77777777" w:rsidR="000D07EA" w:rsidRDefault="00BE7C89">
      <w:pPr>
        <w:pStyle w:val="Heading8"/>
      </w:pPr>
      <w:r>
        <w:t>Any unused portion of the plan expires at the end of each month. This means that it does not roll over into following month.</w:t>
      </w:r>
    </w:p>
    <w:p w14:paraId="66B3B83F" w14:textId="77777777" w:rsidR="000D07EA" w:rsidRDefault="00BE7C89">
      <w:pPr>
        <w:pStyle w:val="Heading7"/>
        <w:rPr>
          <w:b/>
        </w:rPr>
      </w:pPr>
      <w:bookmarkStart w:id="328" w:name="_Ref461548764"/>
      <w:r>
        <w:rPr>
          <w:b/>
        </w:rPr>
        <w:t>Minimum Monthly Charge</w:t>
      </w:r>
      <w:bookmarkEnd w:id="328"/>
    </w:p>
    <w:p w14:paraId="17B032EA" w14:textId="77777777" w:rsidR="000D07EA" w:rsidRDefault="00BE7C89">
      <w:pPr>
        <w:pStyle w:val="Heading8"/>
      </w:pPr>
      <w:r>
        <w:t xml:space="preserve">Each Timeless Business Plan for iPhone 3G has a Minimum Monthly Charge amount that </w:t>
      </w:r>
      <w:r>
        <w:rPr>
          <w:i/>
        </w:rPr>
        <w:t>you</w:t>
      </w:r>
      <w:r>
        <w:t xml:space="preserve"> must pay us each month. </w:t>
      </w:r>
    </w:p>
    <w:p w14:paraId="5D9DEF4E" w14:textId="77777777" w:rsidR="000D07EA" w:rsidRDefault="00BE7C89">
      <w:pPr>
        <w:pStyle w:val="Heading8"/>
      </w:pPr>
      <w:r>
        <w:t xml:space="preserve">If </w:t>
      </w:r>
      <w:r>
        <w:rPr>
          <w:i/>
        </w:rPr>
        <w:t>you</w:t>
      </w:r>
      <w:r>
        <w:t xml:space="preserve"> do not make enough eligible calls or messages in a month to reach </w:t>
      </w:r>
      <w:r>
        <w:rPr>
          <w:i/>
        </w:rPr>
        <w:t>your pricing plan's</w:t>
      </w:r>
      <w:r>
        <w:t xml:space="preserve"> cap start (or Minimum Monthly Charge) </w:t>
      </w:r>
      <w:r>
        <w:rPr>
          <w:i/>
        </w:rPr>
        <w:t>you</w:t>
      </w:r>
      <w:r>
        <w:t xml:space="preserve"> must still pay </w:t>
      </w:r>
      <w:r>
        <w:rPr>
          <w:i/>
        </w:rPr>
        <w:t>us your pricing plan's</w:t>
      </w:r>
      <w:r>
        <w:t xml:space="preserve"> the Minimum Monthly Charge for that month.</w:t>
      </w:r>
    </w:p>
    <w:p w14:paraId="0EF27B4D" w14:textId="77777777" w:rsidR="000D07EA" w:rsidRDefault="00BE7C89">
      <w:pPr>
        <w:pStyle w:val="Heading8"/>
      </w:pPr>
      <w:r>
        <w:t>The amount of the Minimum Monthly Charge for each Timeless Business Plan for iPhone 3G is set out in Table 3A below.</w:t>
      </w:r>
    </w:p>
    <w:p w14:paraId="0770E509" w14:textId="77777777" w:rsidR="000D07EA" w:rsidRDefault="00BE7C89">
      <w:pPr>
        <w:pStyle w:val="Heading8"/>
      </w:pPr>
      <w:r>
        <w:t>You must pay for any calls that are not eligible calls.</w:t>
      </w:r>
    </w:p>
    <w:p w14:paraId="110F3641" w14:textId="77777777" w:rsidR="000D07EA" w:rsidRDefault="00BE7C89">
      <w:pPr>
        <w:pStyle w:val="Heading7"/>
        <w:rPr>
          <w:b/>
        </w:rPr>
      </w:pPr>
      <w:bookmarkStart w:id="329" w:name="_Ref461548768"/>
      <w:r>
        <w:rPr>
          <w:b/>
        </w:rPr>
        <w:t>Other Timeless Business Plan for iPhone 3G Conditions and Offers</w:t>
      </w:r>
      <w:bookmarkEnd w:id="329"/>
    </w:p>
    <w:p w14:paraId="0FA126FF" w14:textId="77777777" w:rsidR="000D07EA" w:rsidRDefault="00BE7C89">
      <w:pPr>
        <w:pStyle w:val="Heading8"/>
      </w:pPr>
      <w:r>
        <w:rPr>
          <w:b/>
        </w:rPr>
        <w:t>International Calls</w:t>
      </w:r>
      <w:r>
        <w:t>: For the period prior to 6 June 2010, international calls from your mobile will be charged at the 'yes' International Rate" and will be charged at per 30 second rates. Flagfall of 27c applies per call. Excludes video calls.</w:t>
      </w:r>
    </w:p>
    <w:p w14:paraId="3461ADC6" w14:textId="77777777" w:rsidR="000D07EA" w:rsidRDefault="00BE7C89">
      <w:pPr>
        <w:pStyle w:val="BodyText"/>
        <w:ind w:left="2160"/>
      </w:pPr>
      <w:r>
        <w:t xml:space="preserve">From 6 June 2010 (inclusive), international calls from your mobile will be charged at the 'yes' Business International rate and will be charged at per 30 second rates. Flagfall of 35c applies per call. For more information on the 'yes' Business International call rates please refer to </w:t>
      </w:r>
      <w:hyperlink r:id="rId205" w:history="1">
        <w:r>
          <w:rPr>
            <w:rStyle w:val="Hyperlink"/>
            <w:i/>
          </w:rPr>
          <w:t>Appendix J</w:t>
        </w:r>
      </w:hyperlink>
      <w:r>
        <w:t xml:space="preserve">. </w:t>
      </w:r>
    </w:p>
    <w:p w14:paraId="2254540E" w14:textId="77777777" w:rsidR="000D07EA" w:rsidRDefault="00BE7C89">
      <w:pPr>
        <w:pStyle w:val="Heading8"/>
      </w:pPr>
      <w:r>
        <w:rPr>
          <w:b/>
        </w:rPr>
        <w:t>13/1300/1800 Calls</w:t>
      </w:r>
      <w:r>
        <w:t xml:space="preserve">: These calls will be charged as per the pricing table </w:t>
      </w:r>
      <w:r>
        <w:rPr>
          <w:b/>
          <w:i/>
        </w:rPr>
        <w:t>Table 3A – Charges for the Timeless Business Plans for iPhone 3G</w:t>
      </w:r>
      <w:r>
        <w:t xml:space="preserve"> below </w:t>
      </w:r>
    </w:p>
    <w:p w14:paraId="18296FBC" w14:textId="77777777" w:rsidR="000D07EA" w:rsidRDefault="00BE7C89">
      <w:pPr>
        <w:pStyle w:val="Heading8"/>
      </w:pPr>
      <w:r>
        <w:rPr>
          <w:b/>
        </w:rPr>
        <w:t>Bolt Ons:</w:t>
      </w:r>
      <w:r>
        <w:t xml:space="preserve"> Upon request, </w:t>
      </w:r>
      <w:r>
        <w:rPr>
          <w:i/>
        </w:rPr>
        <w:t>you</w:t>
      </w:r>
      <w:r>
        <w:t xml:space="preserve"> may select Bolt Ons for an additional $5 per pack, per month per service. </w:t>
      </w:r>
    </w:p>
    <w:p w14:paraId="08B04030" w14:textId="77777777" w:rsidR="000D07EA" w:rsidRDefault="00BE7C89">
      <w:pPr>
        <w:pStyle w:val="Heading9"/>
      </w:pPr>
      <w:r>
        <w:rPr>
          <w:b/>
        </w:rPr>
        <w:t>SurePage Bolt On:</w:t>
      </w:r>
      <w:r>
        <w:t xml:space="preserve"> Pay $5 extra per month to receive 20 SurePage messages. Each additional message costs 50c. Diversion charges may still apply.</w:t>
      </w:r>
    </w:p>
    <w:p w14:paraId="6C9B3073" w14:textId="77777777" w:rsidR="000D07EA" w:rsidRDefault="00BE7C89">
      <w:pPr>
        <w:pStyle w:val="Heading9"/>
      </w:pPr>
      <w:r>
        <w:rPr>
          <w:b/>
        </w:rPr>
        <w:t>International:</w:t>
      </w:r>
      <w:r>
        <w:t xml:space="preserve"> Pay $5 extra per month for $3 for 10 minute calls to the top 8 countries of NZ, USA, UK, Canada, Hong Kong, Singapore, Ireland and Italy. Calls going over 10 minutes will be charged the $3.00 plus any subsequent 30 seconds:</w:t>
      </w:r>
    </w:p>
    <w:p w14:paraId="189EA2C4" w14:textId="77777777" w:rsidR="000D07EA" w:rsidRDefault="00BE7C89" w:rsidP="00972274">
      <w:pPr>
        <w:pStyle w:val="BodyText"/>
        <w:numPr>
          <w:ilvl w:val="0"/>
          <w:numId w:val="48"/>
        </w:numPr>
        <w:ind w:hanging="720"/>
      </w:pPr>
      <w:r>
        <w:t>at the 'yes' international rates plus 27c flagfall per call applies for the period prior to 6 June 2010.</w:t>
      </w:r>
    </w:p>
    <w:p w14:paraId="18D6FDC4" w14:textId="77777777" w:rsidR="000D07EA" w:rsidRDefault="00BE7C89" w:rsidP="00972274">
      <w:pPr>
        <w:pStyle w:val="BodyText"/>
        <w:numPr>
          <w:ilvl w:val="0"/>
          <w:numId w:val="48"/>
        </w:numPr>
        <w:ind w:hanging="720"/>
      </w:pPr>
      <w:r>
        <w:t xml:space="preserve">at the 'yes' Business International rates plus 35 c flagfall per call applies from 6 June 2010 (inclusive). For more information on the 'yes' Business International call rates please refer to </w:t>
      </w:r>
      <w:hyperlink r:id="rId206" w:history="1">
        <w:r>
          <w:rPr>
            <w:rStyle w:val="Hyperlink"/>
            <w:i/>
          </w:rPr>
          <w:t>Appendix J</w:t>
        </w:r>
      </w:hyperlink>
      <w:r>
        <w:t>.</w:t>
      </w:r>
    </w:p>
    <w:p w14:paraId="0AD20366" w14:textId="77777777" w:rsidR="000D07EA" w:rsidRDefault="00BE7C89">
      <w:pPr>
        <w:pStyle w:val="Heading8"/>
      </w:pPr>
      <w:r>
        <w:t>The Fair Go Policy (</w:t>
      </w:r>
      <w:hyperlink r:id="rId207" w:history="1">
        <w:r>
          <w:rPr>
            <w:rStyle w:val="Hyperlink"/>
            <w:i/>
          </w:rPr>
          <w:t>Appendix S</w:t>
        </w:r>
      </w:hyperlink>
      <w:r>
        <w:t xml:space="preserve">) applies to: </w:t>
      </w:r>
    </w:p>
    <w:p w14:paraId="35D92690" w14:textId="77777777" w:rsidR="000D07EA" w:rsidRDefault="00BE7C89">
      <w:pPr>
        <w:pStyle w:val="Heading9"/>
      </w:pPr>
      <w:r>
        <w:t xml:space="preserve">Voice Over Internet Protocol (VOIP) services up to 10 megabytes per month Please refer to </w:t>
      </w:r>
      <w:hyperlink r:id="rId208" w:history="1">
        <w:r w:rsidRPr="00240FE1">
          <w:rPr>
            <w:rStyle w:val="Hyperlink"/>
            <w:i/>
          </w:rPr>
          <w:t xml:space="preserve">Appendix </w:t>
        </w:r>
        <w:r w:rsidR="00240FE1" w:rsidRPr="00240FE1">
          <w:rPr>
            <w:rStyle w:val="Hyperlink"/>
          </w:rPr>
          <w:t>S</w:t>
        </w:r>
      </w:hyperlink>
      <w:r>
        <w:t>.</w:t>
      </w:r>
    </w:p>
    <w:p w14:paraId="66A9393A" w14:textId="77777777" w:rsidR="000D07EA" w:rsidRDefault="00BE7C89">
      <w:pPr>
        <w:pStyle w:val="Heading9"/>
      </w:pPr>
      <w:r>
        <w:lastRenderedPageBreak/>
        <w:t xml:space="preserve">Voice Over Internet Protocol (VOIP) services (other than PTT) will be charged at 1.5c per kilobyte of usage, capped at $9.90 per month until </w:t>
      </w:r>
      <w:r>
        <w:rPr>
          <w:i/>
        </w:rPr>
        <w:t>you</w:t>
      </w:r>
      <w:r>
        <w:t xml:space="preserve"> reach 5 megabytes of usage in that month, after which </w:t>
      </w:r>
      <w:r>
        <w:rPr>
          <w:i/>
        </w:rPr>
        <w:t>you</w:t>
      </w:r>
      <w:r>
        <w:t xml:space="preserve"> will be charged at 0.3c per kilobyte of usage for the remainder of that month.</w:t>
      </w:r>
    </w:p>
    <w:p w14:paraId="05055AE3" w14:textId="77777777" w:rsidR="000D07EA" w:rsidRDefault="00BE7C89">
      <w:pPr>
        <w:pStyle w:val="Heading9"/>
      </w:pPr>
      <w:r>
        <w:t xml:space="preserve">Use of unlimited SMS is for standard personal/business use only. </w:t>
      </w:r>
    </w:p>
    <w:p w14:paraId="397C70C3" w14:textId="77777777" w:rsidR="000D07EA" w:rsidRDefault="00BE7C89">
      <w:pPr>
        <w:pStyle w:val="Heading9"/>
      </w:pPr>
      <w:r>
        <w:t>International usage of up to 300 minutes per month</w:t>
      </w:r>
    </w:p>
    <w:p w14:paraId="75FEA873" w14:textId="77777777" w:rsidR="000D07EA" w:rsidRDefault="00BE7C89">
      <w:pPr>
        <w:pStyle w:val="Heading7"/>
      </w:pPr>
      <w:r>
        <w:t>A</w:t>
      </w:r>
      <w:r>
        <w:rPr>
          <w:b/>
        </w:rPr>
        <w:t xml:space="preserve">dditional benefit – Free Access to Optus WiFi Hotspots (Free Wi-Fi Benefit). </w:t>
      </w:r>
    </w:p>
    <w:p w14:paraId="45914C26" w14:textId="77777777" w:rsidR="000D07EA" w:rsidRDefault="00BE7C89">
      <w:pPr>
        <w:pStyle w:val="Heading8"/>
      </w:pPr>
      <w:r>
        <w:t xml:space="preserve">Customers who connect their Apple iPhone to an Optus iPhone rate plan will receive free WiFi from any Optus WiFi hotspot. </w:t>
      </w:r>
    </w:p>
    <w:p w14:paraId="722317C2" w14:textId="77777777" w:rsidR="000D07EA" w:rsidRDefault="00BE7C89">
      <w:pPr>
        <w:pStyle w:val="Heading8"/>
      </w:pPr>
      <w:r>
        <w:t xml:space="preserve">The service provides </w:t>
      </w:r>
      <w:r>
        <w:rPr>
          <w:i/>
        </w:rPr>
        <w:t>you</w:t>
      </w:r>
      <w:r>
        <w:t xml:space="preserve"> with access, via a fixed wireless IP network extension to the Optus IP Network, to the Internet and related services, such as email and the world wide web on an on-demand basis. </w:t>
      </w:r>
    </w:p>
    <w:p w14:paraId="47535208" w14:textId="77777777" w:rsidR="000D07EA" w:rsidRDefault="00BE7C89">
      <w:pPr>
        <w:pStyle w:val="Heading8"/>
      </w:pPr>
      <w:r>
        <w:t xml:space="preserve">Optus may immediately suspend, downgrade or cancel the Free Wi-Fi Benefit in a variety of circumstances, including but not limited to the following: </w:t>
      </w:r>
      <w:r>
        <w:rPr>
          <w:i/>
        </w:rPr>
        <w:t>you</w:t>
      </w:r>
      <w:r>
        <w:t xml:space="preserve"> misuse the Service; non- compliant Equipment is used; there is an unusually high use of the Service; </w:t>
      </w:r>
      <w:r>
        <w:rPr>
          <w:i/>
        </w:rPr>
        <w:t>you</w:t>
      </w:r>
      <w:r>
        <w:t xml:space="preserve"> fail to pay any charges to Optus; </w:t>
      </w:r>
      <w:r>
        <w:rPr>
          <w:i/>
        </w:rPr>
        <w:t>you</w:t>
      </w:r>
      <w:r>
        <w:t xml:space="preserve"> become insolvent; or, if, for technical or commercial reasons, Optus' Wi-Fi network is no longer operational or available. </w:t>
      </w:r>
    </w:p>
    <w:p w14:paraId="627ECDC1" w14:textId="77777777" w:rsidR="000D07EA" w:rsidRDefault="00BE7C89">
      <w:pPr>
        <w:pStyle w:val="Heading8"/>
      </w:pPr>
      <w:r>
        <w:t>Not all content located on Optus iZoo will be available when using the Apple iPhone over the Optus WiFi connection. Availability and performance of Optus hot-spots can vary.</w:t>
      </w:r>
    </w:p>
    <w:p w14:paraId="35A83E94" w14:textId="77777777" w:rsidR="000D07EA" w:rsidRDefault="00BE7C89">
      <w:pPr>
        <w:pStyle w:val="Heading7"/>
        <w:rPr>
          <w:b/>
        </w:rPr>
      </w:pPr>
      <w:r>
        <w:rPr>
          <w:b/>
        </w:rPr>
        <w:t>Eligible Calls, Messages and Pricing Plans</w:t>
      </w:r>
    </w:p>
    <w:p w14:paraId="127588F6" w14:textId="77777777" w:rsidR="000D07EA" w:rsidRDefault="00BE7C89">
      <w:pPr>
        <w:pStyle w:val="BodyText"/>
        <w:ind w:left="1440"/>
      </w:pPr>
      <w:r>
        <w:t xml:space="preserve">Table 1A below indicates whether a particular call type is an 'eligible call' which is Unlimited in the Timeless Business Plan for iPhone 3G </w:t>
      </w:r>
    </w:p>
    <w:p w14:paraId="42140D00" w14:textId="77777777" w:rsidR="000D07EA" w:rsidRDefault="00BE7C89">
      <w:pPr>
        <w:pStyle w:val="BodyText"/>
        <w:ind w:left="1440"/>
      </w:pPr>
      <w:r>
        <w:t xml:space="preserve">Table 2A below indicates whether a particular call types is 'eligible data usage' which counts towards the data value of </w:t>
      </w:r>
      <w:r>
        <w:rPr>
          <w:i/>
        </w:rPr>
        <w:t>your</w:t>
      </w:r>
      <w:r>
        <w:t xml:space="preserve"> selected Timeless Business Plan for iPhone 3G. </w:t>
      </w:r>
    </w:p>
    <w:p w14:paraId="1643855B" w14:textId="77777777" w:rsidR="000D07EA" w:rsidRDefault="00BE7C89">
      <w:pPr>
        <w:pStyle w:val="BodyText"/>
        <w:ind w:left="1440"/>
      </w:pPr>
      <w:r>
        <w:t xml:space="preserve">Table 3A below contains details of each Timeless Business Plan for iPhone 3G </w:t>
      </w:r>
    </w:p>
    <w:p w14:paraId="375FAB0F" w14:textId="77777777" w:rsidR="000D07EA" w:rsidRDefault="00BE7C89">
      <w:pPr>
        <w:pStyle w:val="BodyText"/>
        <w:ind w:left="1440"/>
        <w:rPr>
          <w:b/>
        </w:rPr>
      </w:pPr>
      <w:r>
        <w:rPr>
          <w:b/>
        </w:rPr>
        <w:t>Table 1A – Eligible calls</w:t>
      </w:r>
    </w:p>
    <w:tbl>
      <w:tblPr>
        <w:tblW w:w="4285"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409"/>
        <w:gridCol w:w="4322"/>
      </w:tblGrid>
      <w:tr w:rsidR="000D07EA" w14:paraId="42DC42CE" w14:textId="77777777">
        <w:trPr>
          <w:tblHeader/>
        </w:trPr>
        <w:tc>
          <w:tcPr>
            <w:tcW w:w="2525" w:type="pct"/>
          </w:tcPr>
          <w:p w14:paraId="6C321E5C" w14:textId="77777777" w:rsidR="000D07EA" w:rsidRDefault="00BE7C89">
            <w:pPr>
              <w:pStyle w:val="BodyText"/>
              <w:spacing w:before="100" w:after="100"/>
              <w:rPr>
                <w:b/>
              </w:rPr>
            </w:pPr>
            <w:r>
              <w:rPr>
                <w:b/>
              </w:rPr>
              <w:t>Call Type</w:t>
            </w:r>
          </w:p>
        </w:tc>
        <w:tc>
          <w:tcPr>
            <w:tcW w:w="2475" w:type="pct"/>
          </w:tcPr>
          <w:p w14:paraId="59C3AD4D" w14:textId="77777777" w:rsidR="000D07EA" w:rsidRDefault="00BE7C89">
            <w:pPr>
              <w:pStyle w:val="BodyText"/>
              <w:spacing w:before="100" w:after="100"/>
              <w:rPr>
                <w:b/>
              </w:rPr>
            </w:pPr>
            <w:r>
              <w:rPr>
                <w:b/>
              </w:rPr>
              <w:t xml:space="preserve">Eligible Call </w:t>
            </w:r>
          </w:p>
        </w:tc>
      </w:tr>
      <w:tr w:rsidR="000D07EA" w14:paraId="1B45FBE3" w14:textId="77777777">
        <w:tc>
          <w:tcPr>
            <w:tcW w:w="2525" w:type="pct"/>
          </w:tcPr>
          <w:p w14:paraId="16FBBEE4" w14:textId="77777777" w:rsidR="000D07EA" w:rsidRDefault="00BE7C89">
            <w:pPr>
              <w:pStyle w:val="BodyText"/>
              <w:spacing w:before="100" w:after="100"/>
            </w:pPr>
            <w:r>
              <w:t>National Voice and Video Calls</w:t>
            </w:r>
          </w:p>
        </w:tc>
        <w:tc>
          <w:tcPr>
            <w:tcW w:w="2475" w:type="pct"/>
          </w:tcPr>
          <w:p w14:paraId="52D6F370" w14:textId="77777777" w:rsidR="000D07EA" w:rsidRDefault="00BE7C89">
            <w:pPr>
              <w:pStyle w:val="BodyText"/>
              <w:spacing w:before="100" w:after="100"/>
            </w:pPr>
            <w:r>
              <w:t>Yes</w:t>
            </w:r>
          </w:p>
        </w:tc>
      </w:tr>
      <w:tr w:rsidR="000D07EA" w14:paraId="79AB6450" w14:textId="77777777">
        <w:tc>
          <w:tcPr>
            <w:tcW w:w="2525" w:type="pct"/>
          </w:tcPr>
          <w:p w14:paraId="66DCF207" w14:textId="77777777" w:rsidR="000D07EA" w:rsidRDefault="00BE7C89">
            <w:pPr>
              <w:pStyle w:val="BodyText"/>
              <w:spacing w:before="100" w:after="100"/>
            </w:pPr>
            <w:r>
              <w:t>International Voice and Video Calls</w:t>
            </w:r>
          </w:p>
          <w:p w14:paraId="453DEA15" w14:textId="77777777" w:rsidR="000D07EA" w:rsidRDefault="00BE7C89">
            <w:pPr>
              <w:pStyle w:val="BodyText"/>
              <w:spacing w:before="100" w:after="100"/>
            </w:pPr>
            <w:r>
              <w:t>(including calls to national fixed or GSM mobile services that then divert/switch or re-route overseas)</w:t>
            </w:r>
          </w:p>
        </w:tc>
        <w:tc>
          <w:tcPr>
            <w:tcW w:w="2475" w:type="pct"/>
          </w:tcPr>
          <w:p w14:paraId="734A04E9" w14:textId="77777777" w:rsidR="000D07EA" w:rsidRDefault="00BE7C89">
            <w:pPr>
              <w:pStyle w:val="BodyText"/>
              <w:spacing w:before="100" w:after="100"/>
            </w:pPr>
            <w:r>
              <w:t xml:space="preserve">No </w:t>
            </w:r>
          </w:p>
        </w:tc>
      </w:tr>
      <w:tr w:rsidR="000D07EA" w14:paraId="62405C82" w14:textId="77777777">
        <w:tc>
          <w:tcPr>
            <w:tcW w:w="2525" w:type="pct"/>
          </w:tcPr>
          <w:p w14:paraId="3F345310" w14:textId="77777777" w:rsidR="000D07EA" w:rsidRDefault="00BE7C89">
            <w:pPr>
              <w:pStyle w:val="BodyText"/>
              <w:spacing w:before="100" w:after="100"/>
            </w:pPr>
            <w:r>
              <w:t>Premium Video</w:t>
            </w:r>
          </w:p>
        </w:tc>
        <w:tc>
          <w:tcPr>
            <w:tcW w:w="2475" w:type="pct"/>
          </w:tcPr>
          <w:p w14:paraId="55636C58" w14:textId="77777777" w:rsidR="000D07EA" w:rsidRDefault="00BE7C89">
            <w:pPr>
              <w:pStyle w:val="BodyText"/>
              <w:spacing w:before="100" w:after="100"/>
            </w:pPr>
            <w:r>
              <w:t>No</w:t>
            </w:r>
          </w:p>
        </w:tc>
      </w:tr>
      <w:tr w:rsidR="000D07EA" w14:paraId="1CE83E15" w14:textId="77777777">
        <w:tc>
          <w:tcPr>
            <w:tcW w:w="2525" w:type="pct"/>
          </w:tcPr>
          <w:p w14:paraId="5A29E0AF" w14:textId="77777777" w:rsidR="000D07EA" w:rsidRDefault="00BE7C89">
            <w:pPr>
              <w:pStyle w:val="BodyText"/>
              <w:spacing w:before="100" w:after="100"/>
            </w:pPr>
            <w:r>
              <w:t>Content Video</w:t>
            </w:r>
          </w:p>
        </w:tc>
        <w:tc>
          <w:tcPr>
            <w:tcW w:w="2475" w:type="pct"/>
          </w:tcPr>
          <w:p w14:paraId="139D8446" w14:textId="77777777" w:rsidR="000D07EA" w:rsidRDefault="00BE7C89">
            <w:pPr>
              <w:pStyle w:val="BodyText"/>
              <w:spacing w:before="100" w:after="100"/>
            </w:pPr>
            <w:r>
              <w:t>No</w:t>
            </w:r>
          </w:p>
        </w:tc>
      </w:tr>
      <w:tr w:rsidR="000D07EA" w14:paraId="62EC7842" w14:textId="77777777">
        <w:tc>
          <w:tcPr>
            <w:tcW w:w="2525" w:type="pct"/>
          </w:tcPr>
          <w:p w14:paraId="14A27E81" w14:textId="77777777" w:rsidR="000D07EA" w:rsidRDefault="00BE7C89">
            <w:pPr>
              <w:pStyle w:val="BodyText"/>
              <w:spacing w:before="100" w:after="100"/>
            </w:pPr>
            <w:r>
              <w:t>National Standard SMS</w:t>
            </w:r>
          </w:p>
        </w:tc>
        <w:tc>
          <w:tcPr>
            <w:tcW w:w="2475" w:type="pct"/>
          </w:tcPr>
          <w:p w14:paraId="38DBCA4B" w14:textId="77777777" w:rsidR="000D07EA" w:rsidRDefault="00BE7C89">
            <w:pPr>
              <w:pStyle w:val="BodyText"/>
              <w:spacing w:before="100" w:after="100"/>
            </w:pPr>
            <w:r>
              <w:t>Yes for the Timeless Business $129 Plan for iPhone 3G and only if you selected the Unlimited SMS offer on the other Timeless Business plans for iPhone 3G.</w:t>
            </w:r>
          </w:p>
        </w:tc>
      </w:tr>
      <w:tr w:rsidR="000D07EA" w14:paraId="343F56CD" w14:textId="77777777">
        <w:tc>
          <w:tcPr>
            <w:tcW w:w="2525" w:type="pct"/>
          </w:tcPr>
          <w:p w14:paraId="24CE7417" w14:textId="77777777" w:rsidR="000D07EA" w:rsidRDefault="00BE7C89">
            <w:pPr>
              <w:pStyle w:val="BodyText"/>
              <w:spacing w:before="100" w:after="100"/>
            </w:pPr>
            <w:r>
              <w:t>International SMS</w:t>
            </w:r>
          </w:p>
        </w:tc>
        <w:tc>
          <w:tcPr>
            <w:tcW w:w="2475" w:type="pct"/>
          </w:tcPr>
          <w:p w14:paraId="1F48505A" w14:textId="77777777" w:rsidR="000D07EA" w:rsidRDefault="00BE7C89">
            <w:pPr>
              <w:pStyle w:val="BodyText"/>
              <w:spacing w:before="100" w:after="100"/>
            </w:pPr>
            <w:r>
              <w:t>No</w:t>
            </w:r>
          </w:p>
        </w:tc>
      </w:tr>
      <w:tr w:rsidR="000D07EA" w14:paraId="1DD679C6" w14:textId="77777777">
        <w:tc>
          <w:tcPr>
            <w:tcW w:w="2525" w:type="pct"/>
          </w:tcPr>
          <w:p w14:paraId="7CF1C299" w14:textId="77777777" w:rsidR="000D07EA" w:rsidRDefault="00BE7C89">
            <w:pPr>
              <w:pStyle w:val="BodyText"/>
              <w:spacing w:before="100" w:after="100"/>
            </w:pPr>
            <w:r>
              <w:t>Premium SMS</w:t>
            </w:r>
          </w:p>
        </w:tc>
        <w:tc>
          <w:tcPr>
            <w:tcW w:w="2475" w:type="pct"/>
          </w:tcPr>
          <w:p w14:paraId="61C35666" w14:textId="77777777" w:rsidR="000D07EA" w:rsidRDefault="00BE7C89">
            <w:pPr>
              <w:pStyle w:val="BodyText"/>
              <w:spacing w:before="100" w:after="100"/>
            </w:pPr>
            <w:r>
              <w:t>No</w:t>
            </w:r>
          </w:p>
        </w:tc>
      </w:tr>
      <w:tr w:rsidR="000D07EA" w14:paraId="46C70B64" w14:textId="77777777">
        <w:tc>
          <w:tcPr>
            <w:tcW w:w="2525" w:type="pct"/>
          </w:tcPr>
          <w:p w14:paraId="480A57ED" w14:textId="77777777" w:rsidR="000D07EA" w:rsidRDefault="00BE7C89">
            <w:pPr>
              <w:pStyle w:val="BodyText"/>
              <w:spacing w:before="100" w:after="100"/>
            </w:pPr>
            <w:r>
              <w:t>National Standard MMS</w:t>
            </w:r>
          </w:p>
        </w:tc>
        <w:tc>
          <w:tcPr>
            <w:tcW w:w="2475" w:type="pct"/>
          </w:tcPr>
          <w:p w14:paraId="4FDC0560" w14:textId="77777777" w:rsidR="000D07EA" w:rsidRDefault="00BE7C89">
            <w:pPr>
              <w:pStyle w:val="BodyText"/>
              <w:spacing w:before="100" w:after="100"/>
            </w:pPr>
            <w:r>
              <w:t>No</w:t>
            </w:r>
          </w:p>
        </w:tc>
      </w:tr>
      <w:tr w:rsidR="000D07EA" w14:paraId="365EC1E4" w14:textId="77777777">
        <w:tc>
          <w:tcPr>
            <w:tcW w:w="2525" w:type="pct"/>
          </w:tcPr>
          <w:p w14:paraId="5D0CDB29" w14:textId="77777777" w:rsidR="000D07EA" w:rsidRDefault="00BE7C89">
            <w:pPr>
              <w:pStyle w:val="BodyText"/>
              <w:spacing w:before="100" w:after="100"/>
            </w:pPr>
            <w:r>
              <w:lastRenderedPageBreak/>
              <w:t>International MMS</w:t>
            </w:r>
          </w:p>
        </w:tc>
        <w:tc>
          <w:tcPr>
            <w:tcW w:w="2475" w:type="pct"/>
          </w:tcPr>
          <w:p w14:paraId="514099F2" w14:textId="77777777" w:rsidR="000D07EA" w:rsidRDefault="00BE7C89">
            <w:pPr>
              <w:pStyle w:val="BodyText"/>
              <w:spacing w:before="100" w:after="100"/>
            </w:pPr>
            <w:r>
              <w:t>No</w:t>
            </w:r>
          </w:p>
        </w:tc>
      </w:tr>
      <w:tr w:rsidR="000D07EA" w14:paraId="5CF7CA67" w14:textId="77777777">
        <w:tc>
          <w:tcPr>
            <w:tcW w:w="2525" w:type="pct"/>
          </w:tcPr>
          <w:p w14:paraId="6C410DA9" w14:textId="77777777" w:rsidR="000D07EA" w:rsidRDefault="00BE7C89">
            <w:pPr>
              <w:pStyle w:val="BodyText"/>
              <w:spacing w:before="100" w:after="100"/>
            </w:pPr>
            <w:r>
              <w:t>Premium MMS</w:t>
            </w:r>
          </w:p>
        </w:tc>
        <w:tc>
          <w:tcPr>
            <w:tcW w:w="2475" w:type="pct"/>
          </w:tcPr>
          <w:p w14:paraId="16B5F153" w14:textId="77777777" w:rsidR="000D07EA" w:rsidRDefault="00BE7C89">
            <w:pPr>
              <w:pStyle w:val="BodyText"/>
              <w:spacing w:before="100" w:after="100"/>
            </w:pPr>
            <w:r>
              <w:t>No</w:t>
            </w:r>
          </w:p>
        </w:tc>
      </w:tr>
      <w:tr w:rsidR="000D07EA" w14:paraId="38403C7F" w14:textId="77777777">
        <w:tc>
          <w:tcPr>
            <w:tcW w:w="2525" w:type="pct"/>
          </w:tcPr>
          <w:p w14:paraId="291CB5AC" w14:textId="77777777" w:rsidR="000D07EA" w:rsidRDefault="00BE7C89">
            <w:pPr>
              <w:pStyle w:val="BodyText"/>
              <w:spacing w:before="100" w:after="100"/>
            </w:pPr>
            <w:r>
              <w:t>National Diversions</w:t>
            </w:r>
          </w:p>
        </w:tc>
        <w:tc>
          <w:tcPr>
            <w:tcW w:w="2475" w:type="pct"/>
          </w:tcPr>
          <w:p w14:paraId="4D7262AC" w14:textId="77777777" w:rsidR="000D07EA" w:rsidRDefault="00BE7C89">
            <w:pPr>
              <w:pStyle w:val="BodyText"/>
              <w:spacing w:before="100" w:after="100"/>
            </w:pPr>
            <w:r>
              <w:t>Yes</w:t>
            </w:r>
          </w:p>
        </w:tc>
      </w:tr>
      <w:tr w:rsidR="000D07EA" w14:paraId="730D4D19" w14:textId="77777777">
        <w:tc>
          <w:tcPr>
            <w:tcW w:w="2525" w:type="pct"/>
          </w:tcPr>
          <w:p w14:paraId="135DB014" w14:textId="77777777" w:rsidR="000D07EA" w:rsidRDefault="00BE7C89">
            <w:pPr>
              <w:pStyle w:val="BodyText"/>
              <w:spacing w:before="100" w:after="100"/>
            </w:pPr>
            <w:r>
              <w:t>Voicemail Deposit and Retrievals</w:t>
            </w:r>
          </w:p>
        </w:tc>
        <w:tc>
          <w:tcPr>
            <w:tcW w:w="2475" w:type="pct"/>
          </w:tcPr>
          <w:p w14:paraId="0C389DE0" w14:textId="77777777" w:rsidR="000D07EA" w:rsidRDefault="00BE7C89">
            <w:pPr>
              <w:pStyle w:val="BodyText"/>
              <w:spacing w:before="100" w:after="100"/>
            </w:pPr>
            <w:r>
              <w:t>Yes for the Timeless Business $129 Plan for iPhone 3G and only if you selected the Unlimited SMS offer on the other Timeless Business plans for iPhone 3G.</w:t>
            </w:r>
          </w:p>
        </w:tc>
      </w:tr>
      <w:tr w:rsidR="000D07EA" w14:paraId="3BF4EED5" w14:textId="77777777">
        <w:tc>
          <w:tcPr>
            <w:tcW w:w="2525" w:type="pct"/>
          </w:tcPr>
          <w:p w14:paraId="6053B729" w14:textId="77777777" w:rsidR="000D07EA" w:rsidRDefault="00BE7C89">
            <w:pPr>
              <w:pStyle w:val="BodyText"/>
              <w:spacing w:before="100" w:after="100"/>
            </w:pPr>
            <w:r>
              <w:t>International Roaming and Diversion</w:t>
            </w:r>
          </w:p>
        </w:tc>
        <w:tc>
          <w:tcPr>
            <w:tcW w:w="2475" w:type="pct"/>
          </w:tcPr>
          <w:p w14:paraId="06A67C23" w14:textId="77777777" w:rsidR="000D07EA" w:rsidRDefault="00BE7C89">
            <w:pPr>
              <w:pStyle w:val="BodyText"/>
              <w:spacing w:before="100" w:after="100"/>
            </w:pPr>
            <w:r>
              <w:t>No</w:t>
            </w:r>
          </w:p>
        </w:tc>
      </w:tr>
      <w:tr w:rsidR="000D07EA" w14:paraId="12D340FE" w14:textId="77777777">
        <w:tc>
          <w:tcPr>
            <w:tcW w:w="2525" w:type="pct"/>
          </w:tcPr>
          <w:p w14:paraId="3E7B29FC" w14:textId="77777777" w:rsidR="000D07EA" w:rsidRDefault="00BE7C89">
            <w:pPr>
              <w:pStyle w:val="BodyText"/>
              <w:spacing w:before="100" w:after="100"/>
            </w:pPr>
            <w:r>
              <w:t>Video Conferencing</w:t>
            </w:r>
          </w:p>
        </w:tc>
        <w:tc>
          <w:tcPr>
            <w:tcW w:w="2475" w:type="pct"/>
          </w:tcPr>
          <w:p w14:paraId="160682C3" w14:textId="77777777" w:rsidR="000D07EA" w:rsidRDefault="00BE7C89">
            <w:pPr>
              <w:pStyle w:val="BodyText"/>
              <w:spacing w:before="100" w:after="100"/>
            </w:pPr>
            <w:r>
              <w:t>No</w:t>
            </w:r>
          </w:p>
        </w:tc>
      </w:tr>
      <w:tr w:rsidR="000D07EA" w14:paraId="211ECB5F" w14:textId="77777777">
        <w:tc>
          <w:tcPr>
            <w:tcW w:w="2525" w:type="pct"/>
          </w:tcPr>
          <w:p w14:paraId="4D71150F" w14:textId="77777777" w:rsidR="000D07EA" w:rsidRDefault="00BE7C89">
            <w:pPr>
              <w:pStyle w:val="BodyText"/>
              <w:spacing w:before="100" w:after="100"/>
            </w:pPr>
            <w:r>
              <w:t>BlackBerry Email</w:t>
            </w:r>
          </w:p>
        </w:tc>
        <w:tc>
          <w:tcPr>
            <w:tcW w:w="2475" w:type="pct"/>
          </w:tcPr>
          <w:p w14:paraId="0641B08D" w14:textId="77777777" w:rsidR="000D07EA" w:rsidRDefault="00BE7C89">
            <w:pPr>
              <w:pStyle w:val="BodyText"/>
              <w:spacing w:before="100" w:after="100"/>
            </w:pPr>
            <w:r>
              <w:t>No</w:t>
            </w:r>
          </w:p>
        </w:tc>
      </w:tr>
      <w:tr w:rsidR="000D07EA" w14:paraId="2E83CD25" w14:textId="77777777">
        <w:tc>
          <w:tcPr>
            <w:tcW w:w="2525" w:type="pct"/>
          </w:tcPr>
          <w:p w14:paraId="356CAD31" w14:textId="77777777" w:rsidR="000D07EA" w:rsidRDefault="00BE7C89">
            <w:pPr>
              <w:pStyle w:val="BodyText"/>
              <w:spacing w:before="100" w:after="100"/>
            </w:pPr>
            <w:r>
              <w:t>Optus iZoo Browsing*</w:t>
            </w:r>
          </w:p>
        </w:tc>
        <w:tc>
          <w:tcPr>
            <w:tcW w:w="2475" w:type="pct"/>
          </w:tcPr>
          <w:p w14:paraId="253CF4B0" w14:textId="77777777" w:rsidR="000D07EA" w:rsidRDefault="00BE7C89">
            <w:pPr>
              <w:pStyle w:val="BodyText"/>
              <w:spacing w:before="100" w:after="100"/>
            </w:pPr>
            <w:r>
              <w:t>Yes, up to the monthly included data amount of your selected bolt on for the Timeless Business $99 when you take the $14.99 Mobile Internet Pack or a Smart Data bolt on plan for iPhone 3G and specified in Table 3A for the Timeless Business $129 Plan for iPhone 3G (3GB)</w:t>
            </w:r>
          </w:p>
        </w:tc>
      </w:tr>
      <w:tr w:rsidR="000D07EA" w14:paraId="06DB7B7A" w14:textId="77777777">
        <w:tc>
          <w:tcPr>
            <w:tcW w:w="2525" w:type="pct"/>
          </w:tcPr>
          <w:p w14:paraId="1161C9AE" w14:textId="77777777" w:rsidR="000D07EA" w:rsidRDefault="00BE7C89">
            <w:pPr>
              <w:pStyle w:val="BodyText"/>
              <w:spacing w:before="100" w:after="100"/>
            </w:pPr>
            <w:r>
              <w:t>Optus iZoo Downloads</w:t>
            </w:r>
          </w:p>
        </w:tc>
        <w:tc>
          <w:tcPr>
            <w:tcW w:w="2475" w:type="pct"/>
          </w:tcPr>
          <w:p w14:paraId="6F82C564" w14:textId="77777777" w:rsidR="000D07EA" w:rsidRDefault="00BE7C89">
            <w:pPr>
              <w:pStyle w:val="BodyText"/>
              <w:spacing w:before="100" w:after="100"/>
            </w:pPr>
            <w:r>
              <w:t>No</w:t>
            </w:r>
          </w:p>
        </w:tc>
      </w:tr>
      <w:tr w:rsidR="000D07EA" w14:paraId="47D6922C" w14:textId="77777777">
        <w:tc>
          <w:tcPr>
            <w:tcW w:w="2525" w:type="pct"/>
          </w:tcPr>
          <w:p w14:paraId="2D1CAB66" w14:textId="77777777" w:rsidR="000D07EA" w:rsidRDefault="00BE7C89">
            <w:pPr>
              <w:pStyle w:val="BodyText"/>
              <w:spacing w:before="100" w:after="100"/>
            </w:pPr>
            <w:r>
              <w:t>966* Zoo</w:t>
            </w:r>
          </w:p>
        </w:tc>
        <w:tc>
          <w:tcPr>
            <w:tcW w:w="2475" w:type="pct"/>
          </w:tcPr>
          <w:p w14:paraId="3FE824BF" w14:textId="77777777" w:rsidR="000D07EA" w:rsidRDefault="00BE7C89">
            <w:pPr>
              <w:pStyle w:val="BodyText"/>
              <w:spacing w:before="100" w:after="100"/>
            </w:pPr>
            <w:r>
              <w:t>No</w:t>
            </w:r>
          </w:p>
        </w:tc>
      </w:tr>
      <w:tr w:rsidR="000D07EA" w14:paraId="542DFB1D" w14:textId="77777777">
        <w:tc>
          <w:tcPr>
            <w:tcW w:w="2525" w:type="pct"/>
          </w:tcPr>
          <w:p w14:paraId="0DB27336" w14:textId="77777777" w:rsidR="000D07EA" w:rsidRDefault="00BE7C89">
            <w:pPr>
              <w:pStyle w:val="BodyText"/>
              <w:spacing w:before="100" w:after="100"/>
            </w:pPr>
            <w:r>
              <w:t>Mobile Internet usage*</w:t>
            </w:r>
          </w:p>
        </w:tc>
        <w:tc>
          <w:tcPr>
            <w:tcW w:w="2475" w:type="pct"/>
          </w:tcPr>
          <w:p w14:paraId="11FA8E33" w14:textId="77777777" w:rsidR="000D07EA" w:rsidRDefault="00BE7C89">
            <w:pPr>
              <w:pStyle w:val="BodyText"/>
              <w:spacing w:before="100" w:after="100"/>
            </w:pPr>
            <w:r>
              <w:t>Yes, up to the monthly included data amount of your selected bolt on for the Timeless Business $99 when you take the $14.99 Mobile Internet Pack or a Smart Data bolt on plan for iPhone 3G and specified in Table 3A for the Timeless Business $129 Plan for iPhone 3G (3GB)</w:t>
            </w:r>
          </w:p>
        </w:tc>
      </w:tr>
      <w:tr w:rsidR="000D07EA" w14:paraId="55017D1B" w14:textId="77777777">
        <w:tc>
          <w:tcPr>
            <w:tcW w:w="2525" w:type="pct"/>
          </w:tcPr>
          <w:p w14:paraId="03077768" w14:textId="77777777" w:rsidR="000D07EA" w:rsidRDefault="00BE7C89">
            <w:pPr>
              <w:pStyle w:val="BodyText"/>
              <w:spacing w:before="100" w:after="100"/>
            </w:pPr>
            <w:r>
              <w:t>Data Used while Roaming Internationally</w:t>
            </w:r>
          </w:p>
        </w:tc>
        <w:tc>
          <w:tcPr>
            <w:tcW w:w="2475" w:type="pct"/>
          </w:tcPr>
          <w:p w14:paraId="507C8B86" w14:textId="77777777" w:rsidR="000D07EA" w:rsidRDefault="00BE7C89">
            <w:pPr>
              <w:pStyle w:val="BodyText"/>
              <w:spacing w:before="100" w:after="100"/>
            </w:pPr>
            <w:r>
              <w:t>No</w:t>
            </w:r>
          </w:p>
        </w:tc>
      </w:tr>
      <w:tr w:rsidR="000D07EA" w14:paraId="09D56DCF" w14:textId="77777777">
        <w:tc>
          <w:tcPr>
            <w:tcW w:w="2525" w:type="pct"/>
          </w:tcPr>
          <w:p w14:paraId="35295518" w14:textId="77777777" w:rsidR="000D07EA" w:rsidRDefault="00BE7C89">
            <w:pPr>
              <w:pStyle w:val="BodyText"/>
              <w:spacing w:before="100" w:after="100"/>
            </w:pPr>
            <w:r>
              <w:t xml:space="preserve">Content Packs </w:t>
            </w:r>
          </w:p>
        </w:tc>
        <w:tc>
          <w:tcPr>
            <w:tcW w:w="2475" w:type="pct"/>
          </w:tcPr>
          <w:p w14:paraId="0DB23CDC" w14:textId="77777777" w:rsidR="000D07EA" w:rsidRDefault="00BE7C89">
            <w:pPr>
              <w:pStyle w:val="BodyText"/>
              <w:spacing w:before="100" w:after="100"/>
            </w:pPr>
            <w:r>
              <w:t>No</w:t>
            </w:r>
          </w:p>
        </w:tc>
      </w:tr>
      <w:tr w:rsidR="000D07EA" w14:paraId="578A26A3" w14:textId="77777777">
        <w:tc>
          <w:tcPr>
            <w:tcW w:w="2525" w:type="pct"/>
          </w:tcPr>
          <w:p w14:paraId="5BE26647" w14:textId="77777777" w:rsidR="000D07EA" w:rsidRDefault="00BE7C89">
            <w:pPr>
              <w:pStyle w:val="BodyText"/>
              <w:spacing w:before="100" w:after="100"/>
            </w:pPr>
            <w:r>
              <w:t xml:space="preserve">Mobile Instant Messaging – IM </w:t>
            </w:r>
          </w:p>
        </w:tc>
        <w:tc>
          <w:tcPr>
            <w:tcW w:w="2475" w:type="pct"/>
          </w:tcPr>
          <w:p w14:paraId="177AA7F5" w14:textId="77777777" w:rsidR="000D07EA" w:rsidRDefault="00BE7C89">
            <w:pPr>
              <w:pStyle w:val="BodyText"/>
              <w:spacing w:before="100" w:after="100"/>
            </w:pPr>
            <w:r>
              <w:t>No</w:t>
            </w:r>
          </w:p>
        </w:tc>
      </w:tr>
      <w:tr w:rsidR="000D07EA" w14:paraId="584C7D6F" w14:textId="77777777">
        <w:tc>
          <w:tcPr>
            <w:tcW w:w="2525" w:type="pct"/>
          </w:tcPr>
          <w:p w14:paraId="69F923BD" w14:textId="77777777" w:rsidR="000D07EA" w:rsidRDefault="00BE7C89">
            <w:pPr>
              <w:pStyle w:val="BodyText"/>
              <w:spacing w:before="100" w:after="100"/>
            </w:pPr>
            <w:r>
              <w:t>TrueLocal Usage</w:t>
            </w:r>
          </w:p>
        </w:tc>
        <w:tc>
          <w:tcPr>
            <w:tcW w:w="2475" w:type="pct"/>
          </w:tcPr>
          <w:p w14:paraId="15DCF26A" w14:textId="77777777" w:rsidR="000D07EA" w:rsidRDefault="00BE7C89">
            <w:pPr>
              <w:pStyle w:val="BodyText"/>
              <w:spacing w:before="100" w:after="100"/>
            </w:pPr>
            <w:r>
              <w:t>No</w:t>
            </w:r>
          </w:p>
        </w:tc>
      </w:tr>
      <w:tr w:rsidR="000D07EA" w14:paraId="3039F4A1" w14:textId="77777777">
        <w:tc>
          <w:tcPr>
            <w:tcW w:w="2525" w:type="pct"/>
          </w:tcPr>
          <w:p w14:paraId="0974FC9F" w14:textId="77777777" w:rsidR="000D07EA" w:rsidRDefault="00BE7C89">
            <w:pPr>
              <w:pStyle w:val="BodyText"/>
              <w:spacing w:before="100" w:after="100"/>
            </w:pPr>
            <w:r>
              <w:t xml:space="preserve">Directory Assistance- 1223 </w:t>
            </w:r>
          </w:p>
        </w:tc>
        <w:tc>
          <w:tcPr>
            <w:tcW w:w="2475" w:type="pct"/>
          </w:tcPr>
          <w:p w14:paraId="680C0573" w14:textId="77777777" w:rsidR="000D07EA" w:rsidRDefault="00BE7C89">
            <w:pPr>
              <w:pStyle w:val="BodyText"/>
              <w:spacing w:before="100" w:after="100"/>
            </w:pPr>
            <w:r>
              <w:t>No</w:t>
            </w:r>
          </w:p>
        </w:tc>
      </w:tr>
      <w:tr w:rsidR="000D07EA" w14:paraId="6872C29A" w14:textId="77777777">
        <w:tc>
          <w:tcPr>
            <w:tcW w:w="2525" w:type="pct"/>
          </w:tcPr>
          <w:p w14:paraId="3A6A94E3" w14:textId="77777777" w:rsidR="000D07EA" w:rsidRDefault="00BE7C89">
            <w:pPr>
              <w:pStyle w:val="BodyText"/>
              <w:spacing w:before="100" w:after="100"/>
            </w:pPr>
            <w:r>
              <w:t>19XX Numbers</w:t>
            </w:r>
          </w:p>
        </w:tc>
        <w:tc>
          <w:tcPr>
            <w:tcW w:w="2475" w:type="pct"/>
          </w:tcPr>
          <w:p w14:paraId="25DE9E7C" w14:textId="77777777" w:rsidR="000D07EA" w:rsidRDefault="00BE7C89">
            <w:pPr>
              <w:pStyle w:val="BodyText"/>
              <w:spacing w:before="100" w:after="100"/>
            </w:pPr>
            <w:r>
              <w:t>No</w:t>
            </w:r>
          </w:p>
        </w:tc>
      </w:tr>
      <w:tr w:rsidR="000D07EA" w14:paraId="0D194A90" w14:textId="77777777">
        <w:tc>
          <w:tcPr>
            <w:tcW w:w="2525" w:type="pct"/>
          </w:tcPr>
          <w:p w14:paraId="15A079B2" w14:textId="77777777" w:rsidR="000D07EA" w:rsidRDefault="00BE7C89">
            <w:pPr>
              <w:pStyle w:val="BodyText"/>
              <w:spacing w:before="100" w:after="100"/>
            </w:pPr>
            <w:r>
              <w:t>1800, 13 and 1300 numbers</w:t>
            </w:r>
          </w:p>
        </w:tc>
        <w:tc>
          <w:tcPr>
            <w:tcW w:w="2475" w:type="pct"/>
          </w:tcPr>
          <w:p w14:paraId="48695CC8" w14:textId="77777777" w:rsidR="000D07EA" w:rsidRDefault="00BE7C89">
            <w:pPr>
              <w:pStyle w:val="BodyText"/>
              <w:spacing w:before="100" w:after="100"/>
            </w:pPr>
            <w:r>
              <w:t>No</w:t>
            </w:r>
          </w:p>
        </w:tc>
      </w:tr>
      <w:tr w:rsidR="000D07EA" w14:paraId="5A2A1CBA" w14:textId="77777777">
        <w:tc>
          <w:tcPr>
            <w:tcW w:w="2525" w:type="pct"/>
          </w:tcPr>
          <w:p w14:paraId="1E4E2AFD" w14:textId="77777777" w:rsidR="000D07EA" w:rsidRDefault="00BE7C89">
            <w:pPr>
              <w:pStyle w:val="BodyText"/>
              <w:spacing w:before="100" w:after="100"/>
            </w:pPr>
            <w:r>
              <w:t>124YES(937)</w:t>
            </w:r>
          </w:p>
        </w:tc>
        <w:tc>
          <w:tcPr>
            <w:tcW w:w="2475" w:type="pct"/>
          </w:tcPr>
          <w:p w14:paraId="37D3F9FC" w14:textId="77777777" w:rsidR="000D07EA" w:rsidRDefault="00BE7C89">
            <w:pPr>
              <w:pStyle w:val="BodyText"/>
              <w:spacing w:before="100" w:after="100"/>
            </w:pPr>
            <w:r>
              <w:t>No</w:t>
            </w:r>
          </w:p>
        </w:tc>
      </w:tr>
      <w:tr w:rsidR="000D07EA" w14:paraId="0A192B85" w14:textId="77777777">
        <w:tc>
          <w:tcPr>
            <w:tcW w:w="2525" w:type="pct"/>
          </w:tcPr>
          <w:p w14:paraId="1C9CDFCB" w14:textId="77777777" w:rsidR="000D07EA" w:rsidRDefault="00BE7C89">
            <w:pPr>
              <w:pStyle w:val="BodyText"/>
              <w:spacing w:before="100" w:after="100"/>
            </w:pPr>
            <w:r>
              <w:t>Insurance</w:t>
            </w:r>
          </w:p>
        </w:tc>
        <w:tc>
          <w:tcPr>
            <w:tcW w:w="2475" w:type="pct"/>
          </w:tcPr>
          <w:p w14:paraId="49422884" w14:textId="77777777" w:rsidR="000D07EA" w:rsidRDefault="00BE7C89">
            <w:pPr>
              <w:pStyle w:val="BodyText"/>
              <w:spacing w:before="100" w:after="100"/>
            </w:pPr>
            <w:r>
              <w:t>No</w:t>
            </w:r>
          </w:p>
        </w:tc>
      </w:tr>
      <w:tr w:rsidR="000D07EA" w14:paraId="737DD93A" w14:textId="77777777">
        <w:tc>
          <w:tcPr>
            <w:tcW w:w="2525" w:type="pct"/>
          </w:tcPr>
          <w:p w14:paraId="02A73F73" w14:textId="77777777" w:rsidR="000D07EA" w:rsidRDefault="00BE7C89">
            <w:pPr>
              <w:pStyle w:val="BodyText"/>
              <w:spacing w:before="100" w:after="100"/>
            </w:pPr>
            <w:r>
              <w:t>Surepage usage and access</w:t>
            </w:r>
          </w:p>
        </w:tc>
        <w:tc>
          <w:tcPr>
            <w:tcW w:w="2475" w:type="pct"/>
          </w:tcPr>
          <w:p w14:paraId="6539BFBE" w14:textId="77777777" w:rsidR="000D07EA" w:rsidRDefault="00BE7C89">
            <w:pPr>
              <w:pStyle w:val="BodyText"/>
              <w:spacing w:before="100" w:after="100"/>
            </w:pPr>
            <w:r>
              <w:t>No</w:t>
            </w:r>
          </w:p>
        </w:tc>
      </w:tr>
      <w:tr w:rsidR="000D07EA" w14:paraId="62052CED" w14:textId="77777777">
        <w:tc>
          <w:tcPr>
            <w:tcW w:w="2525" w:type="pct"/>
          </w:tcPr>
          <w:p w14:paraId="3E038AEB" w14:textId="77777777" w:rsidR="000D07EA" w:rsidRDefault="00BE7C89">
            <w:pPr>
              <w:pStyle w:val="BodyText"/>
              <w:spacing w:before="100" w:after="100"/>
            </w:pPr>
            <w:r>
              <w:t>Handset Payments</w:t>
            </w:r>
          </w:p>
        </w:tc>
        <w:tc>
          <w:tcPr>
            <w:tcW w:w="2475" w:type="pct"/>
          </w:tcPr>
          <w:p w14:paraId="28F53529" w14:textId="77777777" w:rsidR="000D07EA" w:rsidRDefault="00BE7C89">
            <w:pPr>
              <w:pStyle w:val="BodyText"/>
              <w:spacing w:before="100" w:after="100"/>
            </w:pPr>
            <w:r>
              <w:t>No</w:t>
            </w:r>
          </w:p>
        </w:tc>
      </w:tr>
      <w:tr w:rsidR="000D07EA" w14:paraId="7633B786" w14:textId="77777777">
        <w:tc>
          <w:tcPr>
            <w:tcW w:w="2525" w:type="pct"/>
          </w:tcPr>
          <w:p w14:paraId="7B99616D" w14:textId="77777777" w:rsidR="000D07EA" w:rsidRDefault="00BE7C89">
            <w:pPr>
              <w:pStyle w:val="BodyText"/>
              <w:spacing w:before="100" w:after="100"/>
            </w:pPr>
            <w:r>
              <w:t>Calls to Satellite</w:t>
            </w:r>
          </w:p>
        </w:tc>
        <w:tc>
          <w:tcPr>
            <w:tcW w:w="2475" w:type="pct"/>
          </w:tcPr>
          <w:p w14:paraId="463B90ED" w14:textId="77777777" w:rsidR="000D07EA" w:rsidRDefault="00BE7C89">
            <w:pPr>
              <w:pStyle w:val="BodyText"/>
              <w:spacing w:before="100" w:after="100"/>
            </w:pPr>
            <w:r>
              <w:t>No</w:t>
            </w:r>
          </w:p>
        </w:tc>
      </w:tr>
      <w:tr w:rsidR="000D07EA" w14:paraId="4810FAFC" w14:textId="77777777">
        <w:tc>
          <w:tcPr>
            <w:tcW w:w="2525" w:type="pct"/>
          </w:tcPr>
          <w:p w14:paraId="3914914E" w14:textId="77777777" w:rsidR="000D07EA" w:rsidRDefault="00BE7C89">
            <w:pPr>
              <w:pStyle w:val="BodyText"/>
              <w:spacing w:before="100" w:after="100"/>
            </w:pPr>
            <w:r>
              <w:lastRenderedPageBreak/>
              <w:t>VOIP services</w:t>
            </w:r>
          </w:p>
        </w:tc>
        <w:tc>
          <w:tcPr>
            <w:tcW w:w="2475" w:type="pct"/>
          </w:tcPr>
          <w:p w14:paraId="65174077" w14:textId="77777777" w:rsidR="000D07EA" w:rsidRDefault="00BE7C89">
            <w:pPr>
              <w:pStyle w:val="BodyText"/>
              <w:spacing w:before="100" w:after="100"/>
            </w:pPr>
            <w:r>
              <w:t>No</w:t>
            </w:r>
          </w:p>
        </w:tc>
      </w:tr>
    </w:tbl>
    <w:p w14:paraId="4E7962A6" w14:textId="77777777" w:rsidR="000D07EA" w:rsidRDefault="000D07EA">
      <w:pPr>
        <w:pStyle w:val="BodyText"/>
        <w:ind w:left="720"/>
      </w:pPr>
    </w:p>
    <w:p w14:paraId="21CA50A0" w14:textId="77777777" w:rsidR="000D07EA" w:rsidRDefault="00BE7C89">
      <w:pPr>
        <w:pStyle w:val="BodyText"/>
        <w:ind w:left="1440"/>
      </w:pPr>
      <w:r>
        <w:t xml:space="preserve">The particular 'Eligible Calls' and 'Eligible Data' features available to </w:t>
      </w:r>
      <w:r>
        <w:rPr>
          <w:i/>
        </w:rPr>
        <w:t>you</w:t>
      </w:r>
      <w:r>
        <w:t xml:space="preserve"> will vary depending on the particular iPhone or software version </w:t>
      </w:r>
      <w:r>
        <w:rPr>
          <w:i/>
        </w:rPr>
        <w:t>you</w:t>
      </w:r>
      <w:r>
        <w:t xml:space="preserve"> use.</w:t>
      </w:r>
    </w:p>
    <w:p w14:paraId="6983C730" w14:textId="77777777" w:rsidR="000D07EA" w:rsidRDefault="00BE7C89">
      <w:pPr>
        <w:pStyle w:val="BodyText"/>
        <w:ind w:left="1440"/>
      </w:pPr>
      <w:r>
        <w:t xml:space="preserve">* Included data on </w:t>
      </w:r>
      <w:r>
        <w:rPr>
          <w:i/>
        </w:rPr>
        <w:t>your</w:t>
      </w:r>
      <w:r>
        <w:t xml:space="preserve"> Timeless Business Plans for iPhone 3G is not available when the iPhone is used as a </w:t>
      </w:r>
      <w:r>
        <w:rPr>
          <w:i/>
        </w:rPr>
        <w:t>tethered</w:t>
      </w:r>
      <w:r>
        <w:t xml:space="preserve"> </w:t>
      </w:r>
      <w:r>
        <w:rPr>
          <w:i/>
        </w:rPr>
        <w:t>modem</w:t>
      </w:r>
      <w:r>
        <w:t xml:space="preserve">, unless </w:t>
      </w:r>
      <w:r>
        <w:rPr>
          <w:i/>
        </w:rPr>
        <w:t>you</w:t>
      </w:r>
      <w:r>
        <w:t xml:space="preserve"> have selected Bus iPhone as Modem access.</w:t>
      </w:r>
    </w:p>
    <w:p w14:paraId="7F7D7E0F" w14:textId="77777777" w:rsidR="000D07EA" w:rsidRDefault="00BE7C89">
      <w:pPr>
        <w:pStyle w:val="BodyText"/>
        <w:keepNext/>
        <w:ind w:left="1440"/>
        <w:rPr>
          <w:b/>
        </w:rPr>
      </w:pPr>
      <w:r>
        <w:rPr>
          <w:b/>
        </w:rPr>
        <w:t>TABLE 2A - Eligible Data</w:t>
      </w:r>
    </w:p>
    <w:tbl>
      <w:tblPr>
        <w:tblW w:w="4297"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422"/>
        <w:gridCol w:w="4334"/>
      </w:tblGrid>
      <w:tr w:rsidR="000D07EA" w14:paraId="06D99E88" w14:textId="77777777">
        <w:trPr>
          <w:tblHeader/>
        </w:trPr>
        <w:tc>
          <w:tcPr>
            <w:tcW w:w="2525" w:type="pct"/>
          </w:tcPr>
          <w:p w14:paraId="0C5A0ECC" w14:textId="77777777" w:rsidR="000D07EA" w:rsidRDefault="00BE7C89">
            <w:pPr>
              <w:pStyle w:val="BodyText"/>
              <w:keepNext/>
              <w:spacing w:before="100" w:after="100"/>
              <w:rPr>
                <w:b/>
              </w:rPr>
            </w:pPr>
            <w:r>
              <w:rPr>
                <w:b/>
              </w:rPr>
              <w:t>Call Type</w:t>
            </w:r>
          </w:p>
        </w:tc>
        <w:tc>
          <w:tcPr>
            <w:tcW w:w="2475" w:type="pct"/>
          </w:tcPr>
          <w:p w14:paraId="75F659A2" w14:textId="77777777" w:rsidR="000D07EA" w:rsidRDefault="00BE7C89">
            <w:pPr>
              <w:pStyle w:val="BodyText"/>
              <w:keepNext/>
              <w:spacing w:before="100" w:after="100"/>
              <w:rPr>
                <w:b/>
              </w:rPr>
            </w:pPr>
            <w:r>
              <w:rPr>
                <w:b/>
              </w:rPr>
              <w:t>Eligible Data</w:t>
            </w:r>
          </w:p>
        </w:tc>
      </w:tr>
      <w:tr w:rsidR="000D07EA" w14:paraId="2EB88E91" w14:textId="77777777">
        <w:tc>
          <w:tcPr>
            <w:tcW w:w="2525" w:type="pct"/>
          </w:tcPr>
          <w:p w14:paraId="65A3727D" w14:textId="77777777" w:rsidR="000D07EA" w:rsidRDefault="00BE7C89">
            <w:pPr>
              <w:pStyle w:val="BodyText"/>
              <w:keepNext/>
              <w:spacing w:before="100" w:after="100"/>
            </w:pPr>
            <w:r>
              <w:t>National Voice and Video Calls</w:t>
            </w:r>
          </w:p>
        </w:tc>
        <w:tc>
          <w:tcPr>
            <w:tcW w:w="2475" w:type="pct"/>
          </w:tcPr>
          <w:p w14:paraId="4A6C1042" w14:textId="77777777" w:rsidR="000D07EA" w:rsidRDefault="00BE7C89">
            <w:pPr>
              <w:pStyle w:val="BodyText"/>
              <w:keepNext/>
              <w:spacing w:before="100" w:after="100"/>
            </w:pPr>
            <w:r>
              <w:t>No</w:t>
            </w:r>
          </w:p>
        </w:tc>
      </w:tr>
      <w:tr w:rsidR="000D07EA" w14:paraId="02FA76F7" w14:textId="77777777">
        <w:tc>
          <w:tcPr>
            <w:tcW w:w="2525" w:type="pct"/>
          </w:tcPr>
          <w:p w14:paraId="79421B4D" w14:textId="77777777" w:rsidR="000D07EA" w:rsidRDefault="00BE7C89">
            <w:pPr>
              <w:pStyle w:val="BodyText"/>
              <w:spacing w:before="100" w:after="100"/>
            </w:pPr>
            <w:r>
              <w:t>International Voice and Video Calls</w:t>
            </w:r>
          </w:p>
          <w:p w14:paraId="781E55E0" w14:textId="77777777" w:rsidR="000D07EA" w:rsidRDefault="00BE7C89">
            <w:pPr>
              <w:pStyle w:val="BodyText"/>
              <w:spacing w:before="100" w:after="100"/>
            </w:pPr>
            <w:r>
              <w:t>(including calls to national fixed or GSM mobile services that then divert/switch or re-route overseas)</w:t>
            </w:r>
          </w:p>
        </w:tc>
        <w:tc>
          <w:tcPr>
            <w:tcW w:w="2475" w:type="pct"/>
          </w:tcPr>
          <w:p w14:paraId="3ED16AC9" w14:textId="77777777" w:rsidR="000D07EA" w:rsidRDefault="00BE7C89">
            <w:pPr>
              <w:pStyle w:val="BodyText"/>
              <w:spacing w:before="100" w:after="100"/>
            </w:pPr>
            <w:r>
              <w:t xml:space="preserve">No </w:t>
            </w:r>
          </w:p>
        </w:tc>
      </w:tr>
      <w:tr w:rsidR="000D07EA" w14:paraId="7CE14E5A" w14:textId="77777777">
        <w:tc>
          <w:tcPr>
            <w:tcW w:w="2525" w:type="pct"/>
          </w:tcPr>
          <w:p w14:paraId="5DB2A251" w14:textId="77777777" w:rsidR="000D07EA" w:rsidRDefault="00BE7C89">
            <w:pPr>
              <w:pStyle w:val="BodyText"/>
              <w:spacing w:before="100" w:after="100"/>
            </w:pPr>
            <w:r>
              <w:t>Premium Video</w:t>
            </w:r>
          </w:p>
        </w:tc>
        <w:tc>
          <w:tcPr>
            <w:tcW w:w="2475" w:type="pct"/>
          </w:tcPr>
          <w:p w14:paraId="2909ED4C" w14:textId="77777777" w:rsidR="000D07EA" w:rsidRDefault="00BE7C89">
            <w:pPr>
              <w:pStyle w:val="BodyText"/>
              <w:spacing w:before="100" w:after="100"/>
            </w:pPr>
            <w:r>
              <w:t>No</w:t>
            </w:r>
          </w:p>
        </w:tc>
      </w:tr>
      <w:tr w:rsidR="000D07EA" w14:paraId="12BAADB1" w14:textId="77777777">
        <w:tc>
          <w:tcPr>
            <w:tcW w:w="2525" w:type="pct"/>
          </w:tcPr>
          <w:p w14:paraId="6A87D96A" w14:textId="77777777" w:rsidR="000D07EA" w:rsidRDefault="00BE7C89">
            <w:pPr>
              <w:pStyle w:val="BodyText"/>
              <w:spacing w:before="100" w:after="100"/>
            </w:pPr>
            <w:r>
              <w:t>Content Video</w:t>
            </w:r>
          </w:p>
        </w:tc>
        <w:tc>
          <w:tcPr>
            <w:tcW w:w="2475" w:type="pct"/>
          </w:tcPr>
          <w:p w14:paraId="78ACA81F" w14:textId="77777777" w:rsidR="000D07EA" w:rsidRDefault="00BE7C89">
            <w:pPr>
              <w:pStyle w:val="BodyText"/>
              <w:spacing w:before="100" w:after="100"/>
            </w:pPr>
            <w:r>
              <w:t>No</w:t>
            </w:r>
          </w:p>
        </w:tc>
      </w:tr>
      <w:tr w:rsidR="000D07EA" w14:paraId="7EDE5B4F" w14:textId="77777777">
        <w:tc>
          <w:tcPr>
            <w:tcW w:w="2525" w:type="pct"/>
          </w:tcPr>
          <w:p w14:paraId="1EA61FAB" w14:textId="77777777" w:rsidR="000D07EA" w:rsidRDefault="00BE7C89">
            <w:pPr>
              <w:pStyle w:val="BodyText"/>
              <w:spacing w:before="100" w:after="100"/>
            </w:pPr>
            <w:r>
              <w:t>National Standard SMS</w:t>
            </w:r>
          </w:p>
        </w:tc>
        <w:tc>
          <w:tcPr>
            <w:tcW w:w="2475" w:type="pct"/>
          </w:tcPr>
          <w:p w14:paraId="661997B8" w14:textId="77777777" w:rsidR="000D07EA" w:rsidRDefault="00BE7C89">
            <w:pPr>
              <w:pStyle w:val="BodyText"/>
              <w:spacing w:before="100" w:after="100"/>
            </w:pPr>
            <w:r>
              <w:t>No</w:t>
            </w:r>
          </w:p>
        </w:tc>
      </w:tr>
      <w:tr w:rsidR="000D07EA" w14:paraId="21DC6F25" w14:textId="77777777">
        <w:tc>
          <w:tcPr>
            <w:tcW w:w="2525" w:type="pct"/>
          </w:tcPr>
          <w:p w14:paraId="3361F45D" w14:textId="77777777" w:rsidR="000D07EA" w:rsidRDefault="00BE7C89">
            <w:pPr>
              <w:pStyle w:val="BodyText"/>
              <w:spacing w:before="100" w:after="100"/>
            </w:pPr>
            <w:r>
              <w:t>International SMS</w:t>
            </w:r>
          </w:p>
        </w:tc>
        <w:tc>
          <w:tcPr>
            <w:tcW w:w="2475" w:type="pct"/>
          </w:tcPr>
          <w:p w14:paraId="4FE867A1" w14:textId="77777777" w:rsidR="000D07EA" w:rsidRDefault="00BE7C89">
            <w:pPr>
              <w:pStyle w:val="BodyText"/>
              <w:spacing w:before="100" w:after="100"/>
            </w:pPr>
            <w:r>
              <w:t>No</w:t>
            </w:r>
          </w:p>
        </w:tc>
      </w:tr>
      <w:tr w:rsidR="000D07EA" w14:paraId="52EDE0CD" w14:textId="77777777">
        <w:tc>
          <w:tcPr>
            <w:tcW w:w="2525" w:type="pct"/>
          </w:tcPr>
          <w:p w14:paraId="20A0A83F" w14:textId="77777777" w:rsidR="000D07EA" w:rsidRDefault="00BE7C89">
            <w:pPr>
              <w:pStyle w:val="BodyText"/>
              <w:spacing w:before="100" w:after="100"/>
            </w:pPr>
            <w:r>
              <w:t>Premium SMS</w:t>
            </w:r>
          </w:p>
        </w:tc>
        <w:tc>
          <w:tcPr>
            <w:tcW w:w="2475" w:type="pct"/>
          </w:tcPr>
          <w:p w14:paraId="4E634F81" w14:textId="77777777" w:rsidR="000D07EA" w:rsidRDefault="00BE7C89">
            <w:pPr>
              <w:pStyle w:val="BodyText"/>
              <w:spacing w:before="100" w:after="100"/>
            </w:pPr>
            <w:r>
              <w:t>No</w:t>
            </w:r>
          </w:p>
        </w:tc>
      </w:tr>
      <w:tr w:rsidR="000D07EA" w14:paraId="1CEF81AF" w14:textId="77777777">
        <w:tc>
          <w:tcPr>
            <w:tcW w:w="2525" w:type="pct"/>
          </w:tcPr>
          <w:p w14:paraId="0AD6099E" w14:textId="77777777" w:rsidR="000D07EA" w:rsidRDefault="00BE7C89">
            <w:pPr>
              <w:pStyle w:val="BodyText"/>
              <w:spacing w:before="100" w:after="100"/>
            </w:pPr>
            <w:r>
              <w:t>National Standard MMS</w:t>
            </w:r>
          </w:p>
        </w:tc>
        <w:tc>
          <w:tcPr>
            <w:tcW w:w="2475" w:type="pct"/>
          </w:tcPr>
          <w:p w14:paraId="503BB083" w14:textId="77777777" w:rsidR="000D07EA" w:rsidRDefault="00BE7C89">
            <w:pPr>
              <w:pStyle w:val="BodyText"/>
              <w:spacing w:before="100" w:after="100"/>
            </w:pPr>
            <w:r>
              <w:t>No</w:t>
            </w:r>
          </w:p>
        </w:tc>
      </w:tr>
      <w:tr w:rsidR="000D07EA" w14:paraId="79FB50F8" w14:textId="77777777">
        <w:tc>
          <w:tcPr>
            <w:tcW w:w="2525" w:type="pct"/>
          </w:tcPr>
          <w:p w14:paraId="2B4EE639" w14:textId="77777777" w:rsidR="000D07EA" w:rsidRDefault="00BE7C89">
            <w:pPr>
              <w:pStyle w:val="BodyText"/>
              <w:spacing w:before="100" w:after="100"/>
            </w:pPr>
            <w:r>
              <w:t>International MMS</w:t>
            </w:r>
          </w:p>
        </w:tc>
        <w:tc>
          <w:tcPr>
            <w:tcW w:w="2475" w:type="pct"/>
          </w:tcPr>
          <w:p w14:paraId="0CE2F5C5" w14:textId="77777777" w:rsidR="000D07EA" w:rsidRDefault="00BE7C89">
            <w:pPr>
              <w:pStyle w:val="BodyText"/>
              <w:spacing w:before="100" w:after="100"/>
            </w:pPr>
            <w:r>
              <w:t>No</w:t>
            </w:r>
          </w:p>
        </w:tc>
      </w:tr>
      <w:tr w:rsidR="000D07EA" w14:paraId="49B6D3DC" w14:textId="77777777">
        <w:tc>
          <w:tcPr>
            <w:tcW w:w="2525" w:type="pct"/>
          </w:tcPr>
          <w:p w14:paraId="395E2218" w14:textId="77777777" w:rsidR="000D07EA" w:rsidRDefault="00BE7C89">
            <w:pPr>
              <w:pStyle w:val="BodyText"/>
              <w:spacing w:before="100" w:after="100"/>
            </w:pPr>
            <w:r>
              <w:t>Premium MMS</w:t>
            </w:r>
          </w:p>
        </w:tc>
        <w:tc>
          <w:tcPr>
            <w:tcW w:w="2475" w:type="pct"/>
          </w:tcPr>
          <w:p w14:paraId="6B4ED10D" w14:textId="77777777" w:rsidR="000D07EA" w:rsidRDefault="00BE7C89">
            <w:pPr>
              <w:pStyle w:val="BodyText"/>
              <w:spacing w:before="100" w:after="100"/>
            </w:pPr>
            <w:r>
              <w:t>No</w:t>
            </w:r>
          </w:p>
        </w:tc>
      </w:tr>
      <w:tr w:rsidR="000D07EA" w14:paraId="1B96265E" w14:textId="77777777">
        <w:tc>
          <w:tcPr>
            <w:tcW w:w="2525" w:type="pct"/>
          </w:tcPr>
          <w:p w14:paraId="05EA8DBF" w14:textId="77777777" w:rsidR="000D07EA" w:rsidRDefault="00BE7C89">
            <w:pPr>
              <w:pStyle w:val="BodyText"/>
              <w:spacing w:before="100" w:after="100"/>
            </w:pPr>
            <w:r>
              <w:t>National Diversions</w:t>
            </w:r>
          </w:p>
        </w:tc>
        <w:tc>
          <w:tcPr>
            <w:tcW w:w="2475" w:type="pct"/>
          </w:tcPr>
          <w:p w14:paraId="124C7E4E" w14:textId="77777777" w:rsidR="000D07EA" w:rsidRDefault="00BE7C89">
            <w:pPr>
              <w:pStyle w:val="BodyText"/>
              <w:spacing w:before="100" w:after="100"/>
            </w:pPr>
            <w:r>
              <w:t>No</w:t>
            </w:r>
          </w:p>
        </w:tc>
      </w:tr>
      <w:tr w:rsidR="000D07EA" w14:paraId="4F802356" w14:textId="77777777">
        <w:tc>
          <w:tcPr>
            <w:tcW w:w="2525" w:type="pct"/>
          </w:tcPr>
          <w:p w14:paraId="6A4AA82E" w14:textId="77777777" w:rsidR="000D07EA" w:rsidRDefault="00BE7C89">
            <w:pPr>
              <w:pStyle w:val="BodyText"/>
              <w:spacing w:before="100" w:after="100"/>
            </w:pPr>
            <w:r>
              <w:t>Voicemail Deposit and Retrievals</w:t>
            </w:r>
          </w:p>
        </w:tc>
        <w:tc>
          <w:tcPr>
            <w:tcW w:w="2475" w:type="pct"/>
          </w:tcPr>
          <w:p w14:paraId="4D22EA37" w14:textId="77777777" w:rsidR="000D07EA" w:rsidRDefault="00BE7C89">
            <w:pPr>
              <w:pStyle w:val="BodyText"/>
              <w:spacing w:before="100" w:after="100"/>
            </w:pPr>
            <w:r>
              <w:t>No</w:t>
            </w:r>
          </w:p>
        </w:tc>
      </w:tr>
      <w:tr w:rsidR="000D07EA" w14:paraId="3ACB9675" w14:textId="77777777">
        <w:tc>
          <w:tcPr>
            <w:tcW w:w="2525" w:type="pct"/>
          </w:tcPr>
          <w:p w14:paraId="01D86E8A" w14:textId="77777777" w:rsidR="000D07EA" w:rsidRDefault="00BE7C89">
            <w:pPr>
              <w:pStyle w:val="BodyText"/>
              <w:spacing w:before="100" w:after="100"/>
            </w:pPr>
            <w:r>
              <w:t>International Roaming and Diversion</w:t>
            </w:r>
          </w:p>
        </w:tc>
        <w:tc>
          <w:tcPr>
            <w:tcW w:w="2475" w:type="pct"/>
          </w:tcPr>
          <w:p w14:paraId="671564DE" w14:textId="77777777" w:rsidR="000D07EA" w:rsidRDefault="00BE7C89">
            <w:pPr>
              <w:pStyle w:val="BodyText"/>
              <w:spacing w:before="100" w:after="100"/>
            </w:pPr>
            <w:r>
              <w:t>No</w:t>
            </w:r>
          </w:p>
        </w:tc>
      </w:tr>
      <w:tr w:rsidR="000D07EA" w14:paraId="14267DCE" w14:textId="77777777">
        <w:tc>
          <w:tcPr>
            <w:tcW w:w="2525" w:type="pct"/>
          </w:tcPr>
          <w:p w14:paraId="2F57D003" w14:textId="77777777" w:rsidR="000D07EA" w:rsidRDefault="00BE7C89">
            <w:pPr>
              <w:pStyle w:val="BodyText"/>
              <w:spacing w:before="100" w:after="100"/>
            </w:pPr>
            <w:r>
              <w:t>Video Conferencing</w:t>
            </w:r>
          </w:p>
        </w:tc>
        <w:tc>
          <w:tcPr>
            <w:tcW w:w="2475" w:type="pct"/>
          </w:tcPr>
          <w:p w14:paraId="56D3BDD5" w14:textId="77777777" w:rsidR="000D07EA" w:rsidRDefault="00BE7C89">
            <w:pPr>
              <w:pStyle w:val="BodyText"/>
              <w:spacing w:before="100" w:after="100"/>
            </w:pPr>
            <w:r>
              <w:t>No</w:t>
            </w:r>
          </w:p>
        </w:tc>
      </w:tr>
      <w:tr w:rsidR="000D07EA" w14:paraId="67324CDE" w14:textId="77777777">
        <w:tc>
          <w:tcPr>
            <w:tcW w:w="2525" w:type="pct"/>
          </w:tcPr>
          <w:p w14:paraId="23B5111E" w14:textId="77777777" w:rsidR="000D07EA" w:rsidRDefault="00BE7C89">
            <w:pPr>
              <w:pStyle w:val="BodyText"/>
              <w:spacing w:before="100" w:after="100"/>
            </w:pPr>
            <w:r>
              <w:t>BlackBerry Email</w:t>
            </w:r>
          </w:p>
        </w:tc>
        <w:tc>
          <w:tcPr>
            <w:tcW w:w="2475" w:type="pct"/>
          </w:tcPr>
          <w:p w14:paraId="745E7819" w14:textId="77777777" w:rsidR="000D07EA" w:rsidRDefault="00BE7C89">
            <w:pPr>
              <w:pStyle w:val="BodyText"/>
              <w:spacing w:before="100" w:after="100"/>
            </w:pPr>
            <w:r>
              <w:t>No</w:t>
            </w:r>
          </w:p>
        </w:tc>
      </w:tr>
      <w:tr w:rsidR="000D07EA" w14:paraId="41156BD7" w14:textId="77777777">
        <w:tc>
          <w:tcPr>
            <w:tcW w:w="2525" w:type="pct"/>
          </w:tcPr>
          <w:p w14:paraId="0FBBCF2C" w14:textId="77777777" w:rsidR="000D07EA" w:rsidRDefault="00BE7C89">
            <w:pPr>
              <w:pStyle w:val="BodyText"/>
              <w:spacing w:before="100" w:after="100"/>
            </w:pPr>
            <w:r>
              <w:t>Optus iZoo Browsing*</w:t>
            </w:r>
          </w:p>
        </w:tc>
        <w:tc>
          <w:tcPr>
            <w:tcW w:w="2475" w:type="pct"/>
          </w:tcPr>
          <w:p w14:paraId="33077B64" w14:textId="77777777" w:rsidR="000D07EA" w:rsidRDefault="00BE7C89">
            <w:pPr>
              <w:pStyle w:val="BodyText"/>
              <w:spacing w:before="100" w:after="100"/>
            </w:pPr>
            <w:r>
              <w:t>Yes, up to the monthly included data amount specified in Table 3A for the Timeless Business Plans for iPhone 3G</w:t>
            </w:r>
          </w:p>
        </w:tc>
      </w:tr>
      <w:tr w:rsidR="000D07EA" w14:paraId="575188FB" w14:textId="77777777">
        <w:tc>
          <w:tcPr>
            <w:tcW w:w="2525" w:type="pct"/>
          </w:tcPr>
          <w:p w14:paraId="6DD70001" w14:textId="77777777" w:rsidR="000D07EA" w:rsidRDefault="00BE7C89">
            <w:pPr>
              <w:pStyle w:val="BodyText"/>
              <w:spacing w:before="100" w:after="100"/>
            </w:pPr>
            <w:r>
              <w:t>Optus iZoo Downloads</w:t>
            </w:r>
          </w:p>
        </w:tc>
        <w:tc>
          <w:tcPr>
            <w:tcW w:w="2475" w:type="pct"/>
          </w:tcPr>
          <w:p w14:paraId="6C280B97" w14:textId="77777777" w:rsidR="000D07EA" w:rsidRDefault="00BE7C89">
            <w:pPr>
              <w:pStyle w:val="BodyText"/>
              <w:spacing w:before="100" w:after="100"/>
            </w:pPr>
            <w:r>
              <w:t>No</w:t>
            </w:r>
          </w:p>
        </w:tc>
      </w:tr>
      <w:tr w:rsidR="000D07EA" w14:paraId="66A3FF7B" w14:textId="77777777">
        <w:tc>
          <w:tcPr>
            <w:tcW w:w="2525" w:type="pct"/>
          </w:tcPr>
          <w:p w14:paraId="6E00D907" w14:textId="77777777" w:rsidR="000D07EA" w:rsidRDefault="00BE7C89">
            <w:pPr>
              <w:pStyle w:val="BodyText"/>
              <w:spacing w:before="100" w:after="100"/>
            </w:pPr>
            <w:r>
              <w:t>966* Zoo</w:t>
            </w:r>
          </w:p>
        </w:tc>
        <w:tc>
          <w:tcPr>
            <w:tcW w:w="2475" w:type="pct"/>
          </w:tcPr>
          <w:p w14:paraId="3192C533" w14:textId="77777777" w:rsidR="000D07EA" w:rsidRDefault="00BE7C89">
            <w:pPr>
              <w:pStyle w:val="BodyText"/>
              <w:spacing w:before="100" w:after="100"/>
            </w:pPr>
            <w:r>
              <w:t>No</w:t>
            </w:r>
          </w:p>
        </w:tc>
      </w:tr>
      <w:tr w:rsidR="000D07EA" w14:paraId="5AAA8D73" w14:textId="77777777">
        <w:tc>
          <w:tcPr>
            <w:tcW w:w="2525" w:type="pct"/>
          </w:tcPr>
          <w:p w14:paraId="3C8CF63D" w14:textId="77777777" w:rsidR="000D07EA" w:rsidRDefault="00BE7C89">
            <w:pPr>
              <w:pStyle w:val="BodyText"/>
              <w:spacing w:before="100" w:after="100"/>
            </w:pPr>
            <w:r>
              <w:t>Mobile Internet usage*</w:t>
            </w:r>
          </w:p>
        </w:tc>
        <w:tc>
          <w:tcPr>
            <w:tcW w:w="2475" w:type="pct"/>
          </w:tcPr>
          <w:p w14:paraId="06CF52DD" w14:textId="77777777" w:rsidR="000D07EA" w:rsidRDefault="00BE7C89">
            <w:pPr>
              <w:pStyle w:val="BodyText"/>
              <w:spacing w:before="100" w:after="100"/>
            </w:pPr>
            <w:r>
              <w:t>Yes, up to the included data amount for the Timeless Business Plans for iPhone 3G</w:t>
            </w:r>
          </w:p>
        </w:tc>
      </w:tr>
      <w:tr w:rsidR="000D07EA" w14:paraId="74FBC7AD" w14:textId="77777777">
        <w:tc>
          <w:tcPr>
            <w:tcW w:w="2525" w:type="pct"/>
          </w:tcPr>
          <w:p w14:paraId="5C015236" w14:textId="77777777" w:rsidR="000D07EA" w:rsidRDefault="00BE7C89">
            <w:pPr>
              <w:pStyle w:val="BodyText"/>
              <w:spacing w:before="100" w:after="100"/>
            </w:pPr>
            <w:r>
              <w:t>Data Used while Roaming Internationally</w:t>
            </w:r>
          </w:p>
        </w:tc>
        <w:tc>
          <w:tcPr>
            <w:tcW w:w="2475" w:type="pct"/>
          </w:tcPr>
          <w:p w14:paraId="39BBCEDD" w14:textId="77777777" w:rsidR="000D07EA" w:rsidRDefault="00BE7C89">
            <w:pPr>
              <w:pStyle w:val="BodyText"/>
              <w:spacing w:before="100" w:after="100"/>
            </w:pPr>
            <w:r>
              <w:t>No</w:t>
            </w:r>
          </w:p>
        </w:tc>
      </w:tr>
      <w:tr w:rsidR="000D07EA" w14:paraId="20DE50DD" w14:textId="77777777">
        <w:tc>
          <w:tcPr>
            <w:tcW w:w="2525" w:type="pct"/>
          </w:tcPr>
          <w:p w14:paraId="7A283E6A" w14:textId="77777777" w:rsidR="000D07EA" w:rsidRDefault="00BE7C89">
            <w:pPr>
              <w:pStyle w:val="BodyText"/>
              <w:spacing w:before="100" w:after="100"/>
            </w:pPr>
            <w:r>
              <w:lastRenderedPageBreak/>
              <w:t xml:space="preserve">Content Packs </w:t>
            </w:r>
          </w:p>
        </w:tc>
        <w:tc>
          <w:tcPr>
            <w:tcW w:w="2475" w:type="pct"/>
          </w:tcPr>
          <w:p w14:paraId="74EF7166" w14:textId="77777777" w:rsidR="000D07EA" w:rsidRDefault="00BE7C89">
            <w:pPr>
              <w:pStyle w:val="BodyText"/>
              <w:spacing w:before="100" w:after="100"/>
            </w:pPr>
            <w:r>
              <w:t>No</w:t>
            </w:r>
          </w:p>
        </w:tc>
      </w:tr>
      <w:tr w:rsidR="000D07EA" w14:paraId="5F1E562E" w14:textId="77777777">
        <w:tc>
          <w:tcPr>
            <w:tcW w:w="2525" w:type="pct"/>
          </w:tcPr>
          <w:p w14:paraId="0BD0FD0A" w14:textId="77777777" w:rsidR="000D07EA" w:rsidRDefault="00BE7C89">
            <w:pPr>
              <w:pStyle w:val="BodyText"/>
              <w:spacing w:before="100" w:after="100"/>
            </w:pPr>
            <w:r>
              <w:t>Mobile Instant Messaging - IM</w:t>
            </w:r>
          </w:p>
        </w:tc>
        <w:tc>
          <w:tcPr>
            <w:tcW w:w="2475" w:type="pct"/>
          </w:tcPr>
          <w:p w14:paraId="6B88186F" w14:textId="77777777" w:rsidR="000D07EA" w:rsidRDefault="00BE7C89">
            <w:pPr>
              <w:pStyle w:val="BodyText"/>
              <w:spacing w:before="100" w:after="100"/>
            </w:pPr>
            <w:r>
              <w:t>No</w:t>
            </w:r>
          </w:p>
        </w:tc>
      </w:tr>
      <w:tr w:rsidR="000D07EA" w14:paraId="08BFB65F" w14:textId="77777777">
        <w:tc>
          <w:tcPr>
            <w:tcW w:w="2525" w:type="pct"/>
          </w:tcPr>
          <w:p w14:paraId="29DD064B" w14:textId="77777777" w:rsidR="000D07EA" w:rsidRDefault="00BE7C89">
            <w:pPr>
              <w:pStyle w:val="BodyText"/>
              <w:spacing w:before="100" w:after="100"/>
            </w:pPr>
            <w:r>
              <w:t>TrueLocal Usage</w:t>
            </w:r>
          </w:p>
        </w:tc>
        <w:tc>
          <w:tcPr>
            <w:tcW w:w="2475" w:type="pct"/>
          </w:tcPr>
          <w:p w14:paraId="1F472E16" w14:textId="77777777" w:rsidR="000D07EA" w:rsidRDefault="00BE7C89">
            <w:pPr>
              <w:pStyle w:val="BodyText"/>
              <w:spacing w:before="100" w:after="100"/>
            </w:pPr>
            <w:r>
              <w:t>No</w:t>
            </w:r>
          </w:p>
        </w:tc>
      </w:tr>
      <w:tr w:rsidR="000D07EA" w14:paraId="212D4961" w14:textId="77777777">
        <w:tc>
          <w:tcPr>
            <w:tcW w:w="2525" w:type="pct"/>
          </w:tcPr>
          <w:p w14:paraId="3DC40CB7" w14:textId="77777777" w:rsidR="000D07EA" w:rsidRDefault="00BE7C89">
            <w:pPr>
              <w:pStyle w:val="BodyText"/>
              <w:spacing w:before="100" w:after="100"/>
            </w:pPr>
            <w:r>
              <w:t xml:space="preserve">Directory Assistance- 1223 </w:t>
            </w:r>
          </w:p>
        </w:tc>
        <w:tc>
          <w:tcPr>
            <w:tcW w:w="2475" w:type="pct"/>
          </w:tcPr>
          <w:p w14:paraId="252896C8" w14:textId="77777777" w:rsidR="000D07EA" w:rsidRDefault="00BE7C89">
            <w:pPr>
              <w:pStyle w:val="BodyText"/>
              <w:spacing w:before="100" w:after="100"/>
            </w:pPr>
            <w:r>
              <w:t>No</w:t>
            </w:r>
          </w:p>
        </w:tc>
      </w:tr>
      <w:tr w:rsidR="000D07EA" w14:paraId="764E42D1" w14:textId="77777777">
        <w:tc>
          <w:tcPr>
            <w:tcW w:w="2525" w:type="pct"/>
          </w:tcPr>
          <w:p w14:paraId="6164D618" w14:textId="77777777" w:rsidR="000D07EA" w:rsidRDefault="00BE7C89">
            <w:pPr>
              <w:pStyle w:val="BodyText"/>
              <w:spacing w:before="100" w:after="100"/>
            </w:pPr>
            <w:r>
              <w:t>19XX Numbers</w:t>
            </w:r>
          </w:p>
        </w:tc>
        <w:tc>
          <w:tcPr>
            <w:tcW w:w="2475" w:type="pct"/>
          </w:tcPr>
          <w:p w14:paraId="747637F9" w14:textId="77777777" w:rsidR="000D07EA" w:rsidRDefault="00BE7C89">
            <w:pPr>
              <w:pStyle w:val="BodyText"/>
              <w:spacing w:before="100" w:after="100"/>
            </w:pPr>
            <w:r>
              <w:t>No</w:t>
            </w:r>
          </w:p>
        </w:tc>
      </w:tr>
      <w:tr w:rsidR="000D07EA" w14:paraId="02380FBD" w14:textId="77777777">
        <w:tc>
          <w:tcPr>
            <w:tcW w:w="2525" w:type="pct"/>
          </w:tcPr>
          <w:p w14:paraId="33663367" w14:textId="77777777" w:rsidR="000D07EA" w:rsidRDefault="00BE7C89">
            <w:pPr>
              <w:pStyle w:val="BodyText"/>
              <w:spacing w:before="100" w:after="100"/>
            </w:pPr>
            <w:r>
              <w:t>1800, 13 and 1300 numbers</w:t>
            </w:r>
          </w:p>
        </w:tc>
        <w:tc>
          <w:tcPr>
            <w:tcW w:w="2475" w:type="pct"/>
          </w:tcPr>
          <w:p w14:paraId="72CECA69" w14:textId="77777777" w:rsidR="000D07EA" w:rsidRDefault="00BE7C89">
            <w:pPr>
              <w:pStyle w:val="BodyText"/>
              <w:spacing w:before="100" w:after="100"/>
            </w:pPr>
            <w:r>
              <w:t>No</w:t>
            </w:r>
          </w:p>
        </w:tc>
      </w:tr>
      <w:tr w:rsidR="000D07EA" w14:paraId="65355ACD" w14:textId="77777777">
        <w:tc>
          <w:tcPr>
            <w:tcW w:w="2525" w:type="pct"/>
          </w:tcPr>
          <w:p w14:paraId="3BC08739" w14:textId="77777777" w:rsidR="000D07EA" w:rsidRDefault="00BE7C89">
            <w:pPr>
              <w:pStyle w:val="BodyText"/>
              <w:spacing w:before="100" w:after="100"/>
            </w:pPr>
            <w:r>
              <w:t>124YES(937)</w:t>
            </w:r>
          </w:p>
        </w:tc>
        <w:tc>
          <w:tcPr>
            <w:tcW w:w="2475" w:type="pct"/>
          </w:tcPr>
          <w:p w14:paraId="64106D13" w14:textId="77777777" w:rsidR="000D07EA" w:rsidRDefault="00BE7C89">
            <w:pPr>
              <w:pStyle w:val="BodyText"/>
              <w:spacing w:before="100" w:after="100"/>
            </w:pPr>
            <w:r>
              <w:t>No</w:t>
            </w:r>
          </w:p>
        </w:tc>
      </w:tr>
      <w:tr w:rsidR="000D07EA" w14:paraId="5FE91F11" w14:textId="77777777">
        <w:tc>
          <w:tcPr>
            <w:tcW w:w="2525" w:type="pct"/>
          </w:tcPr>
          <w:p w14:paraId="4AE94FB3" w14:textId="77777777" w:rsidR="000D07EA" w:rsidRDefault="00BE7C89">
            <w:pPr>
              <w:pStyle w:val="BodyText"/>
              <w:spacing w:before="100" w:after="100"/>
            </w:pPr>
            <w:r>
              <w:t>Insurance</w:t>
            </w:r>
          </w:p>
        </w:tc>
        <w:tc>
          <w:tcPr>
            <w:tcW w:w="2475" w:type="pct"/>
          </w:tcPr>
          <w:p w14:paraId="73A36F13" w14:textId="77777777" w:rsidR="000D07EA" w:rsidRDefault="00BE7C89">
            <w:pPr>
              <w:pStyle w:val="BodyText"/>
              <w:spacing w:before="100" w:after="100"/>
            </w:pPr>
            <w:r>
              <w:t>No</w:t>
            </w:r>
          </w:p>
        </w:tc>
      </w:tr>
      <w:tr w:rsidR="000D07EA" w14:paraId="2ED916BD" w14:textId="77777777">
        <w:tc>
          <w:tcPr>
            <w:tcW w:w="2525" w:type="pct"/>
          </w:tcPr>
          <w:p w14:paraId="0D59B010" w14:textId="77777777" w:rsidR="000D07EA" w:rsidRDefault="00BE7C89">
            <w:pPr>
              <w:pStyle w:val="BodyText"/>
              <w:spacing w:before="100" w:after="100"/>
            </w:pPr>
            <w:r>
              <w:t>Surepage Usage and Access</w:t>
            </w:r>
          </w:p>
        </w:tc>
        <w:tc>
          <w:tcPr>
            <w:tcW w:w="2475" w:type="pct"/>
          </w:tcPr>
          <w:p w14:paraId="44C403F8" w14:textId="77777777" w:rsidR="000D07EA" w:rsidRDefault="00BE7C89">
            <w:pPr>
              <w:pStyle w:val="BodyText"/>
              <w:spacing w:before="100" w:after="100"/>
            </w:pPr>
            <w:r>
              <w:t>No</w:t>
            </w:r>
          </w:p>
        </w:tc>
      </w:tr>
      <w:tr w:rsidR="000D07EA" w14:paraId="0BC0EEEB" w14:textId="77777777">
        <w:tc>
          <w:tcPr>
            <w:tcW w:w="2525" w:type="pct"/>
          </w:tcPr>
          <w:p w14:paraId="594A1BBD" w14:textId="77777777" w:rsidR="000D07EA" w:rsidRDefault="00BE7C89">
            <w:pPr>
              <w:pStyle w:val="BodyText"/>
              <w:spacing w:before="100" w:after="100"/>
            </w:pPr>
            <w:r>
              <w:t>Handset Payments</w:t>
            </w:r>
          </w:p>
        </w:tc>
        <w:tc>
          <w:tcPr>
            <w:tcW w:w="2475" w:type="pct"/>
          </w:tcPr>
          <w:p w14:paraId="0B16FBA7" w14:textId="77777777" w:rsidR="000D07EA" w:rsidRDefault="00BE7C89">
            <w:pPr>
              <w:pStyle w:val="BodyText"/>
              <w:spacing w:before="100" w:after="100"/>
            </w:pPr>
            <w:r>
              <w:t>No</w:t>
            </w:r>
          </w:p>
        </w:tc>
      </w:tr>
      <w:tr w:rsidR="000D07EA" w14:paraId="2A89D0F0" w14:textId="77777777">
        <w:tc>
          <w:tcPr>
            <w:tcW w:w="2525" w:type="pct"/>
          </w:tcPr>
          <w:p w14:paraId="039A5829" w14:textId="77777777" w:rsidR="000D07EA" w:rsidRDefault="00BE7C89">
            <w:pPr>
              <w:pStyle w:val="BodyText"/>
              <w:spacing w:before="100" w:after="100"/>
            </w:pPr>
            <w:r>
              <w:t>Calls to Satellite</w:t>
            </w:r>
          </w:p>
        </w:tc>
        <w:tc>
          <w:tcPr>
            <w:tcW w:w="2475" w:type="pct"/>
          </w:tcPr>
          <w:p w14:paraId="5334C581" w14:textId="77777777" w:rsidR="000D07EA" w:rsidRDefault="00BE7C89">
            <w:pPr>
              <w:pStyle w:val="BodyText"/>
              <w:spacing w:before="100" w:after="100"/>
            </w:pPr>
            <w:r>
              <w:t>No</w:t>
            </w:r>
          </w:p>
        </w:tc>
      </w:tr>
      <w:tr w:rsidR="000D07EA" w14:paraId="308EA8C1" w14:textId="77777777">
        <w:tc>
          <w:tcPr>
            <w:tcW w:w="2525" w:type="pct"/>
          </w:tcPr>
          <w:p w14:paraId="04215052" w14:textId="77777777" w:rsidR="000D07EA" w:rsidRDefault="00BE7C89">
            <w:pPr>
              <w:pStyle w:val="BodyText"/>
              <w:spacing w:before="100" w:after="100"/>
            </w:pPr>
            <w:r>
              <w:t>VOIP services</w:t>
            </w:r>
          </w:p>
        </w:tc>
        <w:tc>
          <w:tcPr>
            <w:tcW w:w="2475" w:type="pct"/>
          </w:tcPr>
          <w:p w14:paraId="0D13180F" w14:textId="77777777" w:rsidR="000D07EA" w:rsidRDefault="00BE7C89">
            <w:pPr>
              <w:pStyle w:val="BodyText"/>
              <w:spacing w:before="100" w:after="100"/>
            </w:pPr>
            <w:r>
              <w:t>No</w:t>
            </w:r>
          </w:p>
        </w:tc>
      </w:tr>
    </w:tbl>
    <w:p w14:paraId="6BECBB85" w14:textId="77777777" w:rsidR="000D07EA" w:rsidRDefault="000D07EA">
      <w:pPr>
        <w:pStyle w:val="BodyText"/>
      </w:pPr>
    </w:p>
    <w:p w14:paraId="73E2BB20" w14:textId="77777777" w:rsidR="000D07EA" w:rsidRDefault="00BE7C89">
      <w:pPr>
        <w:pStyle w:val="BodyText"/>
        <w:ind w:left="1440"/>
      </w:pPr>
      <w:r>
        <w:t xml:space="preserve">The particular 'Eligible Calls' and 'Eligible Data' features available to you will vary depending on the particular iPhone or software version </w:t>
      </w:r>
      <w:r>
        <w:rPr>
          <w:i/>
        </w:rPr>
        <w:t>you</w:t>
      </w:r>
      <w:r>
        <w:t xml:space="preserve"> use.</w:t>
      </w:r>
    </w:p>
    <w:p w14:paraId="5C31A459" w14:textId="77777777" w:rsidR="000D07EA" w:rsidRDefault="00BE7C89">
      <w:pPr>
        <w:pStyle w:val="BodyText"/>
        <w:ind w:left="1440"/>
      </w:pPr>
      <w:r>
        <w:t xml:space="preserve">* Included data on </w:t>
      </w:r>
      <w:r>
        <w:rPr>
          <w:i/>
        </w:rPr>
        <w:t>your</w:t>
      </w:r>
      <w:r>
        <w:t xml:space="preserve"> Timeless Business Plans for iPhone 3G is not available when the iPhone is used as a </w:t>
      </w:r>
      <w:r>
        <w:rPr>
          <w:i/>
        </w:rPr>
        <w:t>tethered</w:t>
      </w:r>
      <w:r>
        <w:t xml:space="preserve"> </w:t>
      </w:r>
      <w:r>
        <w:rPr>
          <w:i/>
        </w:rPr>
        <w:t>modem</w:t>
      </w:r>
      <w:r>
        <w:t xml:space="preserve">, unless </w:t>
      </w:r>
      <w:r>
        <w:rPr>
          <w:i/>
        </w:rPr>
        <w:t>you</w:t>
      </w:r>
      <w:r>
        <w:t xml:space="preserve"> have selected Bus iPhone as Modem access.</w:t>
      </w:r>
    </w:p>
    <w:p w14:paraId="777ACF8F" w14:textId="77777777" w:rsidR="000D07EA" w:rsidRDefault="00BE7C89">
      <w:pPr>
        <w:pStyle w:val="BodyText"/>
        <w:ind w:left="1440"/>
        <w:rPr>
          <w:b/>
        </w:rPr>
      </w:pPr>
      <w:r>
        <w:rPr>
          <w:b/>
        </w:rPr>
        <w:t>TABLE 3A – Charges and Amounts for the Timeless Business Plans for iPhone 3G</w:t>
      </w:r>
    </w:p>
    <w:tbl>
      <w:tblPr>
        <w:tblW w:w="4300" w:type="pct"/>
        <w:tblInd w:w="1458" w:type="dxa"/>
        <w:tblLayout w:type="fixed"/>
        <w:tblLook w:val="0000" w:firstRow="0" w:lastRow="0" w:firstColumn="0" w:lastColumn="0" w:noHBand="0" w:noVBand="0"/>
      </w:tblPr>
      <w:tblGrid>
        <w:gridCol w:w="2993"/>
        <w:gridCol w:w="1924"/>
        <w:gridCol w:w="1924"/>
        <w:gridCol w:w="1921"/>
      </w:tblGrid>
      <w:tr w:rsidR="000D07EA" w14:paraId="2751FBAB" w14:textId="77777777">
        <w:trPr>
          <w:trHeight w:val="930"/>
          <w:tblHeader/>
        </w:trPr>
        <w:tc>
          <w:tcPr>
            <w:tcW w:w="1708" w:type="pct"/>
            <w:tcBorders>
              <w:top w:val="single" w:sz="4" w:space="0" w:color="auto"/>
              <w:left w:val="single" w:sz="4" w:space="0" w:color="auto"/>
              <w:bottom w:val="single" w:sz="4" w:space="0" w:color="auto"/>
              <w:right w:val="single" w:sz="4" w:space="0" w:color="auto"/>
            </w:tcBorders>
          </w:tcPr>
          <w:p w14:paraId="3D798A00" w14:textId="77777777" w:rsidR="000D07EA" w:rsidRDefault="00BE7C89">
            <w:pPr>
              <w:pStyle w:val="BodyText"/>
              <w:spacing w:before="100" w:after="100"/>
              <w:rPr>
                <w:b/>
              </w:rPr>
            </w:pPr>
            <w:r>
              <w:rPr>
                <w:b/>
              </w:rPr>
              <w:t> 24 Month Plans</w:t>
            </w:r>
          </w:p>
        </w:tc>
        <w:tc>
          <w:tcPr>
            <w:tcW w:w="1098" w:type="pct"/>
            <w:tcBorders>
              <w:top w:val="single" w:sz="4" w:space="0" w:color="auto"/>
              <w:left w:val="nil"/>
              <w:bottom w:val="single" w:sz="4" w:space="0" w:color="auto"/>
              <w:right w:val="single" w:sz="4" w:space="0" w:color="auto"/>
            </w:tcBorders>
          </w:tcPr>
          <w:p w14:paraId="7AAFEEF3" w14:textId="77777777" w:rsidR="000D07EA" w:rsidRDefault="00BE7C89">
            <w:pPr>
              <w:pStyle w:val="BodyText"/>
              <w:spacing w:before="100" w:after="100"/>
              <w:jc w:val="center"/>
              <w:rPr>
                <w:b/>
                <w:bCs/>
              </w:rPr>
            </w:pPr>
            <w:r>
              <w:rPr>
                <w:b/>
                <w:bCs/>
              </w:rPr>
              <w:t>Timeless Business $99 when you take the $14.99 Mobile Internet Pack or Smart Data Bolt On for iPhone 3G*</w:t>
            </w:r>
          </w:p>
        </w:tc>
        <w:tc>
          <w:tcPr>
            <w:tcW w:w="1098" w:type="pct"/>
            <w:tcBorders>
              <w:top w:val="single" w:sz="4" w:space="0" w:color="auto"/>
              <w:left w:val="nil"/>
              <w:bottom w:val="single" w:sz="4" w:space="0" w:color="auto"/>
              <w:right w:val="single" w:sz="4" w:space="0" w:color="auto"/>
            </w:tcBorders>
          </w:tcPr>
          <w:p w14:paraId="4A6ECF05" w14:textId="77777777" w:rsidR="000D07EA" w:rsidRDefault="00BE7C89">
            <w:pPr>
              <w:pStyle w:val="BodyText"/>
              <w:spacing w:before="100" w:after="100"/>
              <w:jc w:val="center"/>
              <w:rPr>
                <w:b/>
                <w:bCs/>
              </w:rPr>
            </w:pPr>
            <w:r>
              <w:rPr>
                <w:b/>
                <w:bCs/>
              </w:rPr>
              <w:t>Timeless Business $119 Plan for iPhone 3G</w:t>
            </w:r>
          </w:p>
        </w:tc>
        <w:tc>
          <w:tcPr>
            <w:tcW w:w="1097" w:type="pct"/>
            <w:tcBorders>
              <w:top w:val="single" w:sz="4" w:space="0" w:color="auto"/>
              <w:left w:val="nil"/>
              <w:bottom w:val="single" w:sz="4" w:space="0" w:color="auto"/>
              <w:right w:val="single" w:sz="4" w:space="0" w:color="auto"/>
            </w:tcBorders>
          </w:tcPr>
          <w:p w14:paraId="1808DEA4" w14:textId="77777777" w:rsidR="000D07EA" w:rsidRDefault="00BE7C89">
            <w:pPr>
              <w:pStyle w:val="BodyText"/>
              <w:spacing w:before="100" w:after="100"/>
              <w:jc w:val="center"/>
              <w:rPr>
                <w:b/>
                <w:bCs/>
              </w:rPr>
            </w:pPr>
            <w:r>
              <w:rPr>
                <w:b/>
                <w:bCs/>
              </w:rPr>
              <w:t>Timeless Business $129 Plan for iPhone 3G</w:t>
            </w:r>
          </w:p>
        </w:tc>
      </w:tr>
      <w:tr w:rsidR="000D07EA" w14:paraId="41B3A9B9" w14:textId="77777777">
        <w:trPr>
          <w:trHeight w:val="330"/>
        </w:trPr>
        <w:tc>
          <w:tcPr>
            <w:tcW w:w="1708" w:type="pct"/>
            <w:tcBorders>
              <w:top w:val="nil"/>
              <w:left w:val="single" w:sz="4" w:space="0" w:color="auto"/>
              <w:bottom w:val="single" w:sz="4" w:space="0" w:color="auto"/>
              <w:right w:val="single" w:sz="4" w:space="0" w:color="auto"/>
            </w:tcBorders>
            <w:vAlign w:val="bottom"/>
          </w:tcPr>
          <w:p w14:paraId="0F308A8B" w14:textId="77777777" w:rsidR="000D07EA" w:rsidRDefault="00BE7C89">
            <w:pPr>
              <w:pStyle w:val="BodyText"/>
              <w:spacing w:before="100" w:after="100"/>
              <w:rPr>
                <w:b/>
                <w:bCs/>
              </w:rPr>
            </w:pPr>
            <w:r>
              <w:rPr>
                <w:b/>
                <w:bCs/>
              </w:rPr>
              <w:t xml:space="preserve">Minimum monthly spend </w:t>
            </w:r>
          </w:p>
        </w:tc>
        <w:tc>
          <w:tcPr>
            <w:tcW w:w="1098" w:type="pct"/>
            <w:tcBorders>
              <w:top w:val="nil"/>
              <w:left w:val="nil"/>
              <w:bottom w:val="single" w:sz="4" w:space="0" w:color="auto"/>
              <w:right w:val="single" w:sz="4" w:space="0" w:color="auto"/>
            </w:tcBorders>
          </w:tcPr>
          <w:p w14:paraId="543FAB8B" w14:textId="77777777" w:rsidR="000D07EA" w:rsidRDefault="00BE7C89">
            <w:pPr>
              <w:pStyle w:val="BodyText"/>
              <w:spacing w:before="100" w:after="100"/>
              <w:jc w:val="center"/>
            </w:pPr>
            <w:r>
              <w:t>$113.99</w:t>
            </w:r>
          </w:p>
        </w:tc>
        <w:tc>
          <w:tcPr>
            <w:tcW w:w="1098" w:type="pct"/>
            <w:tcBorders>
              <w:top w:val="nil"/>
              <w:left w:val="nil"/>
              <w:bottom w:val="single" w:sz="4" w:space="0" w:color="auto"/>
              <w:right w:val="single" w:sz="4" w:space="0" w:color="auto"/>
            </w:tcBorders>
          </w:tcPr>
          <w:p w14:paraId="29A4E46A" w14:textId="77777777" w:rsidR="000D07EA" w:rsidRDefault="00BE7C89">
            <w:pPr>
              <w:pStyle w:val="BodyText"/>
              <w:spacing w:before="100" w:after="100"/>
              <w:jc w:val="center"/>
            </w:pPr>
            <w:r>
              <w:t>$119</w:t>
            </w:r>
          </w:p>
        </w:tc>
        <w:tc>
          <w:tcPr>
            <w:tcW w:w="1097" w:type="pct"/>
            <w:tcBorders>
              <w:top w:val="nil"/>
              <w:left w:val="nil"/>
              <w:bottom w:val="single" w:sz="4" w:space="0" w:color="auto"/>
              <w:right w:val="single" w:sz="4" w:space="0" w:color="auto"/>
            </w:tcBorders>
          </w:tcPr>
          <w:p w14:paraId="35DB8615" w14:textId="77777777" w:rsidR="000D07EA" w:rsidRDefault="00BE7C89">
            <w:pPr>
              <w:pStyle w:val="BodyText"/>
              <w:spacing w:before="100" w:after="100"/>
              <w:jc w:val="center"/>
            </w:pPr>
            <w:r>
              <w:t>$129</w:t>
            </w:r>
          </w:p>
        </w:tc>
      </w:tr>
      <w:tr w:rsidR="000D07EA" w14:paraId="5FAE9BDA" w14:textId="77777777">
        <w:trPr>
          <w:trHeight w:val="375"/>
        </w:trPr>
        <w:tc>
          <w:tcPr>
            <w:tcW w:w="1708" w:type="pct"/>
            <w:tcBorders>
              <w:top w:val="nil"/>
              <w:left w:val="single" w:sz="4" w:space="0" w:color="auto"/>
              <w:bottom w:val="single" w:sz="4" w:space="0" w:color="auto"/>
              <w:right w:val="single" w:sz="4" w:space="0" w:color="auto"/>
            </w:tcBorders>
            <w:vAlign w:val="bottom"/>
          </w:tcPr>
          <w:p w14:paraId="2482ECBC" w14:textId="77777777" w:rsidR="000D07EA" w:rsidRDefault="00BE7C89">
            <w:pPr>
              <w:pStyle w:val="BodyText"/>
              <w:spacing w:before="100" w:after="100"/>
              <w:rPr>
                <w:b/>
                <w:bCs/>
              </w:rPr>
            </w:pPr>
            <w:r>
              <w:rPr>
                <w:b/>
                <w:bCs/>
              </w:rPr>
              <w:t xml:space="preserve">Included Value - Calls </w:t>
            </w:r>
          </w:p>
        </w:tc>
        <w:tc>
          <w:tcPr>
            <w:tcW w:w="1098" w:type="pct"/>
            <w:tcBorders>
              <w:top w:val="nil"/>
              <w:left w:val="nil"/>
              <w:bottom w:val="single" w:sz="4" w:space="0" w:color="auto"/>
              <w:right w:val="single" w:sz="4" w:space="0" w:color="auto"/>
            </w:tcBorders>
          </w:tcPr>
          <w:p w14:paraId="4DC0A98F" w14:textId="77777777" w:rsidR="000D07EA" w:rsidRDefault="00BE7C89">
            <w:pPr>
              <w:pStyle w:val="BodyText"/>
              <w:spacing w:before="100" w:after="100"/>
              <w:jc w:val="center"/>
            </w:pPr>
            <w:r>
              <w:t>NA</w:t>
            </w:r>
          </w:p>
        </w:tc>
        <w:tc>
          <w:tcPr>
            <w:tcW w:w="1098" w:type="pct"/>
            <w:tcBorders>
              <w:top w:val="nil"/>
              <w:left w:val="nil"/>
              <w:bottom w:val="single" w:sz="4" w:space="0" w:color="auto"/>
              <w:right w:val="single" w:sz="4" w:space="0" w:color="auto"/>
            </w:tcBorders>
          </w:tcPr>
          <w:p w14:paraId="7335B4CE" w14:textId="77777777" w:rsidR="000D07EA" w:rsidRDefault="00BE7C89">
            <w:pPr>
              <w:pStyle w:val="BodyText"/>
              <w:spacing w:before="100" w:after="100"/>
              <w:jc w:val="center"/>
            </w:pPr>
            <w:r>
              <w:t>NA</w:t>
            </w:r>
          </w:p>
        </w:tc>
        <w:tc>
          <w:tcPr>
            <w:tcW w:w="1097" w:type="pct"/>
            <w:tcBorders>
              <w:top w:val="nil"/>
              <w:left w:val="nil"/>
              <w:bottom w:val="single" w:sz="4" w:space="0" w:color="auto"/>
              <w:right w:val="single" w:sz="4" w:space="0" w:color="auto"/>
            </w:tcBorders>
          </w:tcPr>
          <w:p w14:paraId="6E662537" w14:textId="77777777" w:rsidR="000D07EA" w:rsidRDefault="00BE7C89">
            <w:pPr>
              <w:pStyle w:val="BodyText"/>
              <w:spacing w:before="100" w:after="100"/>
              <w:jc w:val="center"/>
            </w:pPr>
            <w:r>
              <w:t>NA</w:t>
            </w:r>
          </w:p>
        </w:tc>
      </w:tr>
      <w:tr w:rsidR="000D07EA" w14:paraId="271FEEE5" w14:textId="77777777">
        <w:trPr>
          <w:trHeight w:val="1317"/>
        </w:trPr>
        <w:tc>
          <w:tcPr>
            <w:tcW w:w="1708" w:type="pct"/>
            <w:tcBorders>
              <w:top w:val="nil"/>
              <w:left w:val="single" w:sz="4" w:space="0" w:color="auto"/>
              <w:bottom w:val="single" w:sz="4" w:space="0" w:color="auto"/>
              <w:right w:val="single" w:sz="4" w:space="0" w:color="auto"/>
            </w:tcBorders>
            <w:vAlign w:val="bottom"/>
          </w:tcPr>
          <w:p w14:paraId="489DD130" w14:textId="77777777" w:rsidR="000D07EA" w:rsidRDefault="00BE7C89">
            <w:pPr>
              <w:pStyle w:val="BodyText"/>
              <w:spacing w:before="100" w:after="100"/>
              <w:rPr>
                <w:b/>
                <w:bCs/>
              </w:rPr>
            </w:pPr>
            <w:r>
              <w:rPr>
                <w:b/>
                <w:bCs/>
              </w:rPr>
              <w:t xml:space="preserve">Monthly Included Mobile Internet Data </w:t>
            </w:r>
          </w:p>
        </w:tc>
        <w:tc>
          <w:tcPr>
            <w:tcW w:w="1098" w:type="pct"/>
            <w:tcBorders>
              <w:top w:val="nil"/>
              <w:left w:val="nil"/>
              <w:bottom w:val="single" w:sz="4" w:space="0" w:color="auto"/>
              <w:right w:val="single" w:sz="4" w:space="0" w:color="auto"/>
            </w:tcBorders>
          </w:tcPr>
          <w:p w14:paraId="696EF3DB" w14:textId="77777777" w:rsidR="000D07EA" w:rsidRDefault="00BE7C89">
            <w:pPr>
              <w:pStyle w:val="BodyText"/>
              <w:spacing w:before="100" w:after="100"/>
              <w:jc w:val="center"/>
            </w:pPr>
            <w:r>
              <w:t>1GB of Mobile Internet Data with the $14.99 Mobile Internet Pack.</w:t>
            </w:r>
          </w:p>
          <w:p w14:paraId="608DF518" w14:textId="77777777" w:rsidR="000D07EA" w:rsidRDefault="00BE7C89">
            <w:pPr>
              <w:pStyle w:val="BodyText"/>
              <w:spacing w:before="100" w:after="100"/>
              <w:jc w:val="center"/>
            </w:pPr>
            <w:r>
              <w:rPr>
                <w:u w:val="single"/>
              </w:rPr>
              <w:t>Plus</w:t>
            </w:r>
            <w:r>
              <w:t xml:space="preserve"> </w:t>
            </w:r>
            <w:r>
              <w:rPr>
                <w:u w:val="single"/>
              </w:rPr>
              <w:t>an additional</w:t>
            </w:r>
            <w:r>
              <w:t xml:space="preserve"> 1GB of mobile internet data value (total 2GB)</w:t>
            </w:r>
          </w:p>
        </w:tc>
        <w:tc>
          <w:tcPr>
            <w:tcW w:w="1098" w:type="pct"/>
            <w:tcBorders>
              <w:top w:val="nil"/>
              <w:left w:val="nil"/>
              <w:bottom w:val="single" w:sz="4" w:space="0" w:color="auto"/>
              <w:right w:val="single" w:sz="4" w:space="0" w:color="auto"/>
            </w:tcBorders>
          </w:tcPr>
          <w:p w14:paraId="41008012" w14:textId="77777777" w:rsidR="000D07EA" w:rsidRDefault="00BE7C89">
            <w:pPr>
              <w:pStyle w:val="BodyText"/>
              <w:spacing w:before="100" w:after="100"/>
              <w:jc w:val="center"/>
            </w:pPr>
            <w:r>
              <w:t>1GB</w:t>
            </w:r>
          </w:p>
        </w:tc>
        <w:tc>
          <w:tcPr>
            <w:tcW w:w="1097" w:type="pct"/>
            <w:tcBorders>
              <w:top w:val="nil"/>
              <w:left w:val="nil"/>
              <w:bottom w:val="single" w:sz="4" w:space="0" w:color="auto"/>
              <w:right w:val="single" w:sz="4" w:space="0" w:color="auto"/>
            </w:tcBorders>
          </w:tcPr>
          <w:p w14:paraId="4B3E1106" w14:textId="77777777" w:rsidR="000D07EA" w:rsidRDefault="00BE7C89">
            <w:pPr>
              <w:pStyle w:val="BodyText"/>
              <w:spacing w:before="100" w:after="100"/>
              <w:jc w:val="center"/>
            </w:pPr>
            <w:r>
              <w:t xml:space="preserve">2GB of Mobile Internet Data Value </w:t>
            </w:r>
            <w:r>
              <w:rPr>
                <w:u w:val="single"/>
              </w:rPr>
              <w:t>Plus an additional</w:t>
            </w:r>
            <w:r>
              <w:t xml:space="preserve"> 1GB of mobile internet data value (total 3GB)</w:t>
            </w:r>
          </w:p>
        </w:tc>
      </w:tr>
      <w:tr w:rsidR="000D07EA" w14:paraId="785C974B" w14:textId="77777777">
        <w:trPr>
          <w:trHeight w:val="60"/>
        </w:trPr>
        <w:tc>
          <w:tcPr>
            <w:tcW w:w="1708" w:type="pct"/>
            <w:tcBorders>
              <w:top w:val="nil"/>
              <w:left w:val="single" w:sz="4" w:space="0" w:color="auto"/>
              <w:bottom w:val="single" w:sz="4" w:space="0" w:color="auto"/>
              <w:right w:val="single" w:sz="4" w:space="0" w:color="auto"/>
            </w:tcBorders>
            <w:vAlign w:val="bottom"/>
          </w:tcPr>
          <w:p w14:paraId="0F1C8742" w14:textId="77777777" w:rsidR="000D07EA" w:rsidRDefault="00BE7C89">
            <w:pPr>
              <w:pStyle w:val="BodyText"/>
              <w:spacing w:before="100" w:after="100"/>
              <w:rPr>
                <w:b/>
                <w:bCs/>
              </w:rPr>
            </w:pPr>
            <w:r>
              <w:rPr>
                <w:b/>
                <w:bCs/>
              </w:rPr>
              <w:t>National voice call charges</w:t>
            </w:r>
            <w:r>
              <w:rPr>
                <w:b/>
              </w:rPr>
              <w:t xml:space="preserve"> </w:t>
            </w:r>
            <w:r>
              <w:t>(per 30 secs)</w:t>
            </w:r>
          </w:p>
        </w:tc>
        <w:tc>
          <w:tcPr>
            <w:tcW w:w="1098" w:type="pct"/>
            <w:tcBorders>
              <w:top w:val="nil"/>
              <w:left w:val="nil"/>
              <w:bottom w:val="single" w:sz="4" w:space="0" w:color="auto"/>
              <w:right w:val="single" w:sz="4" w:space="0" w:color="auto"/>
            </w:tcBorders>
          </w:tcPr>
          <w:p w14:paraId="547DAE11" w14:textId="77777777" w:rsidR="000D07EA" w:rsidRDefault="00BE7C89">
            <w:pPr>
              <w:pStyle w:val="BodyText"/>
              <w:spacing w:before="100" w:after="100"/>
              <w:jc w:val="center"/>
            </w:pPr>
            <w:r>
              <w:t>NA</w:t>
            </w:r>
          </w:p>
        </w:tc>
        <w:tc>
          <w:tcPr>
            <w:tcW w:w="1098" w:type="pct"/>
            <w:tcBorders>
              <w:top w:val="nil"/>
              <w:left w:val="nil"/>
              <w:bottom w:val="single" w:sz="4" w:space="0" w:color="auto"/>
              <w:right w:val="single" w:sz="4" w:space="0" w:color="auto"/>
            </w:tcBorders>
          </w:tcPr>
          <w:p w14:paraId="748B99C4" w14:textId="77777777" w:rsidR="000D07EA" w:rsidRDefault="00BE7C89">
            <w:pPr>
              <w:pStyle w:val="BodyText"/>
              <w:spacing w:before="100" w:after="100"/>
              <w:jc w:val="center"/>
            </w:pPr>
            <w:r>
              <w:t>NA</w:t>
            </w:r>
          </w:p>
        </w:tc>
        <w:tc>
          <w:tcPr>
            <w:tcW w:w="1097" w:type="pct"/>
            <w:tcBorders>
              <w:top w:val="nil"/>
              <w:left w:val="nil"/>
              <w:bottom w:val="single" w:sz="4" w:space="0" w:color="auto"/>
              <w:right w:val="single" w:sz="4" w:space="0" w:color="auto"/>
            </w:tcBorders>
          </w:tcPr>
          <w:p w14:paraId="2A96DB02" w14:textId="77777777" w:rsidR="000D07EA" w:rsidRDefault="00BE7C89">
            <w:pPr>
              <w:pStyle w:val="BodyText"/>
              <w:spacing w:before="100" w:after="100"/>
              <w:jc w:val="center"/>
            </w:pPr>
            <w:r>
              <w:t>NA</w:t>
            </w:r>
          </w:p>
        </w:tc>
      </w:tr>
      <w:tr w:rsidR="000D07EA" w14:paraId="5F4B9272" w14:textId="77777777">
        <w:trPr>
          <w:trHeight w:val="60"/>
        </w:trPr>
        <w:tc>
          <w:tcPr>
            <w:tcW w:w="1708" w:type="pct"/>
            <w:tcBorders>
              <w:top w:val="nil"/>
              <w:left w:val="single" w:sz="4" w:space="0" w:color="auto"/>
              <w:bottom w:val="single" w:sz="4" w:space="0" w:color="auto"/>
              <w:right w:val="single" w:sz="4" w:space="0" w:color="auto"/>
            </w:tcBorders>
            <w:vAlign w:val="bottom"/>
          </w:tcPr>
          <w:p w14:paraId="13250199" w14:textId="77777777" w:rsidR="000D07EA" w:rsidRDefault="00BE7C89">
            <w:pPr>
              <w:pStyle w:val="BodyText"/>
              <w:spacing w:before="100" w:after="100"/>
              <w:rPr>
                <w:b/>
                <w:bCs/>
              </w:rPr>
            </w:pPr>
            <w:r>
              <w:rPr>
                <w:b/>
                <w:bCs/>
              </w:rPr>
              <w:lastRenderedPageBreak/>
              <w:t xml:space="preserve">Flagfall for national voice calls </w:t>
            </w:r>
            <w:r>
              <w:t>(per call)</w:t>
            </w:r>
          </w:p>
        </w:tc>
        <w:tc>
          <w:tcPr>
            <w:tcW w:w="1098" w:type="pct"/>
            <w:tcBorders>
              <w:top w:val="nil"/>
              <w:left w:val="nil"/>
              <w:bottom w:val="single" w:sz="4" w:space="0" w:color="auto"/>
              <w:right w:val="single" w:sz="4" w:space="0" w:color="auto"/>
            </w:tcBorders>
          </w:tcPr>
          <w:p w14:paraId="0DBB0D0C" w14:textId="77777777" w:rsidR="000D07EA" w:rsidRDefault="00BE7C89">
            <w:pPr>
              <w:pStyle w:val="BodyText"/>
              <w:spacing w:before="100" w:after="100"/>
              <w:jc w:val="center"/>
            </w:pPr>
            <w:r>
              <w:t>NA</w:t>
            </w:r>
          </w:p>
        </w:tc>
        <w:tc>
          <w:tcPr>
            <w:tcW w:w="1098" w:type="pct"/>
            <w:tcBorders>
              <w:top w:val="nil"/>
              <w:left w:val="nil"/>
              <w:bottom w:val="single" w:sz="4" w:space="0" w:color="auto"/>
              <w:right w:val="single" w:sz="4" w:space="0" w:color="auto"/>
            </w:tcBorders>
          </w:tcPr>
          <w:p w14:paraId="5BF03D41" w14:textId="77777777" w:rsidR="000D07EA" w:rsidRDefault="00BE7C89">
            <w:pPr>
              <w:pStyle w:val="BodyText"/>
              <w:spacing w:before="100" w:after="100"/>
              <w:jc w:val="center"/>
            </w:pPr>
            <w:r>
              <w:t>NA</w:t>
            </w:r>
          </w:p>
        </w:tc>
        <w:tc>
          <w:tcPr>
            <w:tcW w:w="1097" w:type="pct"/>
            <w:tcBorders>
              <w:top w:val="nil"/>
              <w:left w:val="nil"/>
              <w:bottom w:val="single" w:sz="4" w:space="0" w:color="auto"/>
              <w:right w:val="single" w:sz="4" w:space="0" w:color="auto"/>
            </w:tcBorders>
          </w:tcPr>
          <w:p w14:paraId="2A6AD3C9" w14:textId="77777777" w:rsidR="000D07EA" w:rsidRDefault="00BE7C89">
            <w:pPr>
              <w:pStyle w:val="BodyText"/>
              <w:spacing w:before="100" w:after="100"/>
              <w:jc w:val="center"/>
            </w:pPr>
            <w:r>
              <w:t>NA</w:t>
            </w:r>
          </w:p>
        </w:tc>
      </w:tr>
      <w:tr w:rsidR="000D07EA" w14:paraId="71709D27" w14:textId="77777777">
        <w:trPr>
          <w:trHeight w:val="765"/>
        </w:trPr>
        <w:tc>
          <w:tcPr>
            <w:tcW w:w="1708" w:type="pct"/>
            <w:tcBorders>
              <w:top w:val="nil"/>
              <w:left w:val="single" w:sz="4" w:space="0" w:color="auto"/>
              <w:bottom w:val="single" w:sz="4" w:space="0" w:color="auto"/>
              <w:right w:val="single" w:sz="4" w:space="0" w:color="auto"/>
            </w:tcBorders>
          </w:tcPr>
          <w:p w14:paraId="713E03BE" w14:textId="77777777" w:rsidR="000D07EA" w:rsidRDefault="00BE7C89">
            <w:pPr>
              <w:pStyle w:val="BodyText"/>
              <w:spacing w:before="100" w:after="100"/>
              <w:rPr>
                <w:b/>
                <w:bCs/>
              </w:rPr>
            </w:pPr>
            <w:r>
              <w:rPr>
                <w:b/>
                <w:bCs/>
                <w:lang w:eastAsia="ko-KR"/>
              </w:rPr>
              <w:t>13/1300Calls</w:t>
            </w:r>
          </w:p>
        </w:tc>
        <w:tc>
          <w:tcPr>
            <w:tcW w:w="1098" w:type="pct"/>
            <w:tcBorders>
              <w:top w:val="nil"/>
              <w:left w:val="nil"/>
              <w:bottom w:val="single" w:sz="4" w:space="0" w:color="auto"/>
              <w:right w:val="single" w:sz="4" w:space="0" w:color="auto"/>
            </w:tcBorders>
          </w:tcPr>
          <w:p w14:paraId="7322722D" w14:textId="77777777" w:rsidR="000D07EA" w:rsidRDefault="00BE7C89">
            <w:pPr>
              <w:pStyle w:val="BodyText"/>
              <w:spacing w:before="100" w:after="100"/>
              <w:jc w:val="center"/>
              <w:rPr>
                <w:lang w:eastAsia="ko-KR"/>
              </w:rPr>
            </w:pPr>
            <w:r>
              <w:rPr>
                <w:lang w:eastAsia="ko-KR"/>
              </w:rPr>
              <w:t>0.35 Flagfall</w:t>
            </w:r>
          </w:p>
          <w:p w14:paraId="0B8326C1" w14:textId="77777777" w:rsidR="000D07EA" w:rsidRDefault="00BE7C89">
            <w:pPr>
              <w:pStyle w:val="BodyText"/>
              <w:spacing w:before="100" w:after="100"/>
              <w:jc w:val="center"/>
              <w:rPr>
                <w:lang w:eastAsia="ko-KR"/>
              </w:rPr>
            </w:pPr>
            <w:r>
              <w:rPr>
                <w:lang w:eastAsia="ko-KR"/>
              </w:rPr>
              <w:t>0.35c per 30 seconds</w:t>
            </w:r>
          </w:p>
        </w:tc>
        <w:tc>
          <w:tcPr>
            <w:tcW w:w="1098" w:type="pct"/>
            <w:tcBorders>
              <w:top w:val="nil"/>
              <w:left w:val="nil"/>
              <w:bottom w:val="single" w:sz="4" w:space="0" w:color="auto"/>
              <w:right w:val="single" w:sz="4" w:space="0" w:color="auto"/>
            </w:tcBorders>
          </w:tcPr>
          <w:p w14:paraId="41727E13" w14:textId="77777777" w:rsidR="000D07EA" w:rsidRDefault="00BE7C89">
            <w:pPr>
              <w:pStyle w:val="BodyText"/>
              <w:spacing w:before="100" w:after="100"/>
              <w:jc w:val="center"/>
              <w:rPr>
                <w:lang w:eastAsia="ko-KR"/>
              </w:rPr>
            </w:pPr>
            <w:r>
              <w:rPr>
                <w:lang w:eastAsia="ko-KR"/>
              </w:rPr>
              <w:t>0.35 Flagfall</w:t>
            </w:r>
          </w:p>
          <w:p w14:paraId="605B6F13" w14:textId="77777777" w:rsidR="000D07EA" w:rsidRDefault="00BE7C89">
            <w:pPr>
              <w:pStyle w:val="BodyText"/>
              <w:spacing w:before="100" w:after="100"/>
              <w:jc w:val="center"/>
              <w:rPr>
                <w:lang w:eastAsia="ko-KR"/>
              </w:rPr>
            </w:pPr>
            <w:r>
              <w:rPr>
                <w:lang w:eastAsia="ko-KR"/>
              </w:rPr>
              <w:t>0.35c per 30 seconds</w:t>
            </w:r>
          </w:p>
        </w:tc>
        <w:tc>
          <w:tcPr>
            <w:tcW w:w="1097" w:type="pct"/>
            <w:tcBorders>
              <w:top w:val="nil"/>
              <w:left w:val="nil"/>
              <w:bottom w:val="single" w:sz="4" w:space="0" w:color="auto"/>
              <w:right w:val="single" w:sz="4" w:space="0" w:color="auto"/>
            </w:tcBorders>
          </w:tcPr>
          <w:p w14:paraId="2EC11361" w14:textId="77777777" w:rsidR="000D07EA" w:rsidRDefault="00BE7C89">
            <w:pPr>
              <w:pStyle w:val="BodyText"/>
              <w:spacing w:before="100" w:after="100"/>
              <w:jc w:val="center"/>
              <w:rPr>
                <w:lang w:eastAsia="ko-KR"/>
              </w:rPr>
            </w:pPr>
            <w:r>
              <w:rPr>
                <w:lang w:eastAsia="ko-KR"/>
              </w:rPr>
              <w:t>0.35 Flagfall</w:t>
            </w:r>
          </w:p>
          <w:p w14:paraId="40114429" w14:textId="77777777" w:rsidR="000D07EA" w:rsidRDefault="00BE7C89">
            <w:pPr>
              <w:pStyle w:val="BodyText"/>
              <w:spacing w:before="100" w:after="100"/>
              <w:jc w:val="center"/>
            </w:pPr>
            <w:r>
              <w:rPr>
                <w:lang w:eastAsia="ko-KR"/>
              </w:rPr>
              <w:t>0.35c per 30 seconds</w:t>
            </w:r>
          </w:p>
        </w:tc>
      </w:tr>
      <w:tr w:rsidR="000D07EA" w14:paraId="51BFA710" w14:textId="77777777">
        <w:trPr>
          <w:trHeight w:val="765"/>
        </w:trPr>
        <w:tc>
          <w:tcPr>
            <w:tcW w:w="1708" w:type="pct"/>
            <w:tcBorders>
              <w:top w:val="nil"/>
              <w:left w:val="single" w:sz="4" w:space="0" w:color="auto"/>
              <w:bottom w:val="single" w:sz="4" w:space="0" w:color="auto"/>
              <w:right w:val="single" w:sz="4" w:space="0" w:color="auto"/>
            </w:tcBorders>
          </w:tcPr>
          <w:p w14:paraId="0849CD38" w14:textId="77777777" w:rsidR="000D07EA" w:rsidRDefault="00BE7C89">
            <w:pPr>
              <w:pStyle w:val="BodyText"/>
              <w:spacing w:before="100" w:after="100"/>
              <w:rPr>
                <w:b/>
                <w:bCs/>
              </w:rPr>
            </w:pPr>
            <w:r>
              <w:rPr>
                <w:b/>
                <w:bCs/>
                <w:lang w:eastAsia="ko-KR"/>
              </w:rPr>
              <w:t>1800 Calls</w:t>
            </w:r>
          </w:p>
        </w:tc>
        <w:tc>
          <w:tcPr>
            <w:tcW w:w="1098" w:type="pct"/>
            <w:tcBorders>
              <w:top w:val="nil"/>
              <w:left w:val="nil"/>
              <w:bottom w:val="single" w:sz="4" w:space="0" w:color="auto"/>
              <w:right w:val="single" w:sz="4" w:space="0" w:color="auto"/>
            </w:tcBorders>
          </w:tcPr>
          <w:p w14:paraId="12528E20" w14:textId="77777777" w:rsidR="000D07EA" w:rsidRDefault="00BE7C89">
            <w:pPr>
              <w:pStyle w:val="BodyText"/>
              <w:spacing w:before="100" w:after="100"/>
              <w:jc w:val="center"/>
              <w:rPr>
                <w:lang w:eastAsia="ko-KR"/>
              </w:rPr>
            </w:pPr>
            <w:r>
              <w:rPr>
                <w:lang w:eastAsia="ko-KR"/>
              </w:rPr>
              <w:t>0.11c per 30 seconds peak (7am-7pm)</w:t>
            </w:r>
          </w:p>
          <w:p w14:paraId="04231E9F" w14:textId="77777777" w:rsidR="000D07EA" w:rsidRDefault="00BE7C89">
            <w:pPr>
              <w:pStyle w:val="BodyText"/>
              <w:spacing w:before="100" w:after="100"/>
              <w:jc w:val="center"/>
              <w:rPr>
                <w:lang w:eastAsia="ko-KR"/>
              </w:rPr>
            </w:pPr>
            <w:r>
              <w:rPr>
                <w:lang w:eastAsia="ko-KR"/>
              </w:rPr>
              <w:t>0.055c per 30 secs off peak (7pm-7am)</w:t>
            </w:r>
          </w:p>
        </w:tc>
        <w:tc>
          <w:tcPr>
            <w:tcW w:w="1098" w:type="pct"/>
            <w:tcBorders>
              <w:top w:val="nil"/>
              <w:left w:val="nil"/>
              <w:bottom w:val="single" w:sz="4" w:space="0" w:color="auto"/>
              <w:right w:val="single" w:sz="4" w:space="0" w:color="auto"/>
            </w:tcBorders>
          </w:tcPr>
          <w:p w14:paraId="525A67B1" w14:textId="77777777" w:rsidR="000D07EA" w:rsidRDefault="00BE7C89">
            <w:pPr>
              <w:pStyle w:val="BodyText"/>
              <w:spacing w:before="100" w:after="100"/>
              <w:jc w:val="center"/>
              <w:rPr>
                <w:lang w:eastAsia="ko-KR"/>
              </w:rPr>
            </w:pPr>
            <w:r>
              <w:rPr>
                <w:lang w:eastAsia="ko-KR"/>
              </w:rPr>
              <w:t>0.11c per 30 seconds peak (7am-7pm)</w:t>
            </w:r>
          </w:p>
          <w:p w14:paraId="7148D866" w14:textId="77777777" w:rsidR="000D07EA" w:rsidRDefault="00BE7C89">
            <w:pPr>
              <w:pStyle w:val="BodyText"/>
              <w:spacing w:before="100" w:after="100"/>
              <w:jc w:val="center"/>
              <w:rPr>
                <w:lang w:eastAsia="ko-KR"/>
              </w:rPr>
            </w:pPr>
            <w:r>
              <w:rPr>
                <w:lang w:eastAsia="ko-KR"/>
              </w:rPr>
              <w:t>0.055c per 30 secs off peak (7pm-7am)</w:t>
            </w:r>
          </w:p>
        </w:tc>
        <w:tc>
          <w:tcPr>
            <w:tcW w:w="1097" w:type="pct"/>
            <w:tcBorders>
              <w:top w:val="nil"/>
              <w:left w:val="nil"/>
              <w:bottom w:val="single" w:sz="4" w:space="0" w:color="auto"/>
              <w:right w:val="single" w:sz="4" w:space="0" w:color="auto"/>
            </w:tcBorders>
          </w:tcPr>
          <w:p w14:paraId="12A2BEDD" w14:textId="77777777" w:rsidR="000D07EA" w:rsidRDefault="00BE7C89">
            <w:pPr>
              <w:pStyle w:val="BodyText"/>
              <w:spacing w:before="100" w:after="100"/>
              <w:jc w:val="center"/>
              <w:rPr>
                <w:lang w:eastAsia="ko-KR"/>
              </w:rPr>
            </w:pPr>
            <w:r>
              <w:rPr>
                <w:lang w:eastAsia="ko-KR"/>
              </w:rPr>
              <w:t>0.11c per 30 seconds peak (7am-7pm)</w:t>
            </w:r>
          </w:p>
          <w:p w14:paraId="0880D6DE" w14:textId="77777777" w:rsidR="000D07EA" w:rsidRDefault="00BE7C89">
            <w:pPr>
              <w:pStyle w:val="BodyText"/>
              <w:spacing w:before="100" w:after="100"/>
              <w:jc w:val="center"/>
            </w:pPr>
            <w:r>
              <w:rPr>
                <w:lang w:eastAsia="ko-KR"/>
              </w:rPr>
              <w:t>0.055c per 30 secs off peak (7pm-7am)</w:t>
            </w:r>
          </w:p>
        </w:tc>
      </w:tr>
      <w:tr w:rsidR="000D07EA" w14:paraId="670F684E" w14:textId="77777777">
        <w:trPr>
          <w:trHeight w:val="765"/>
        </w:trPr>
        <w:tc>
          <w:tcPr>
            <w:tcW w:w="1708" w:type="pct"/>
            <w:tcBorders>
              <w:top w:val="nil"/>
              <w:left w:val="single" w:sz="4" w:space="0" w:color="auto"/>
              <w:bottom w:val="single" w:sz="4" w:space="0" w:color="auto"/>
              <w:right w:val="single" w:sz="4" w:space="0" w:color="auto"/>
            </w:tcBorders>
            <w:vAlign w:val="bottom"/>
          </w:tcPr>
          <w:p w14:paraId="4078F54B" w14:textId="77777777" w:rsidR="000D07EA" w:rsidRDefault="00BE7C89">
            <w:pPr>
              <w:pStyle w:val="BodyText"/>
              <w:spacing w:before="100" w:after="100"/>
              <w:rPr>
                <w:b/>
                <w:bCs/>
              </w:rPr>
            </w:pPr>
            <w:r>
              <w:rPr>
                <w:b/>
                <w:bCs/>
              </w:rPr>
              <w:t xml:space="preserve">National Text </w:t>
            </w:r>
            <w:r>
              <w:t>(per message of 160 characters)</w:t>
            </w:r>
            <w:r>
              <w:rPr>
                <w:b/>
              </w:rPr>
              <w:t xml:space="preserve"> </w:t>
            </w:r>
          </w:p>
        </w:tc>
        <w:tc>
          <w:tcPr>
            <w:tcW w:w="1098" w:type="pct"/>
            <w:tcBorders>
              <w:top w:val="nil"/>
              <w:left w:val="nil"/>
              <w:bottom w:val="single" w:sz="4" w:space="0" w:color="auto"/>
              <w:right w:val="single" w:sz="4" w:space="0" w:color="auto"/>
            </w:tcBorders>
          </w:tcPr>
          <w:p w14:paraId="7B6707F9" w14:textId="77777777" w:rsidR="000D07EA" w:rsidRDefault="00BE7C89">
            <w:pPr>
              <w:pStyle w:val="BodyText"/>
              <w:spacing w:before="100" w:after="100"/>
              <w:jc w:val="center"/>
            </w:pPr>
            <w:r>
              <w:rPr>
                <w:lang w:eastAsia="ko-KR"/>
              </w:rPr>
              <w:t>NA if Unlimited SMS offer is selected, 25c otherwise</w:t>
            </w:r>
          </w:p>
        </w:tc>
        <w:tc>
          <w:tcPr>
            <w:tcW w:w="1098" w:type="pct"/>
            <w:tcBorders>
              <w:top w:val="nil"/>
              <w:left w:val="nil"/>
              <w:bottom w:val="single" w:sz="4" w:space="0" w:color="auto"/>
              <w:right w:val="single" w:sz="4" w:space="0" w:color="auto"/>
            </w:tcBorders>
          </w:tcPr>
          <w:p w14:paraId="3AA9D178" w14:textId="77777777" w:rsidR="000D07EA" w:rsidRDefault="00BE7C89">
            <w:pPr>
              <w:pStyle w:val="BodyText"/>
              <w:spacing w:before="100" w:after="100"/>
              <w:jc w:val="center"/>
            </w:pPr>
            <w:r>
              <w:rPr>
                <w:lang w:eastAsia="ko-KR"/>
              </w:rPr>
              <w:t>NA if Unlimited SMS offer is selected, 25c otherwise</w:t>
            </w:r>
          </w:p>
        </w:tc>
        <w:tc>
          <w:tcPr>
            <w:tcW w:w="1097" w:type="pct"/>
            <w:tcBorders>
              <w:top w:val="nil"/>
              <w:left w:val="nil"/>
              <w:bottom w:val="single" w:sz="4" w:space="0" w:color="auto"/>
              <w:right w:val="single" w:sz="4" w:space="0" w:color="auto"/>
            </w:tcBorders>
          </w:tcPr>
          <w:p w14:paraId="1FD5C5BB" w14:textId="77777777" w:rsidR="000D07EA" w:rsidRDefault="00BE7C89">
            <w:pPr>
              <w:pStyle w:val="BodyText"/>
              <w:spacing w:before="100" w:after="100"/>
              <w:jc w:val="center"/>
            </w:pPr>
            <w:r>
              <w:t>NA</w:t>
            </w:r>
          </w:p>
        </w:tc>
      </w:tr>
      <w:tr w:rsidR="000D07EA" w14:paraId="3017B88E" w14:textId="77777777">
        <w:trPr>
          <w:trHeight w:val="60"/>
        </w:trPr>
        <w:tc>
          <w:tcPr>
            <w:tcW w:w="1708" w:type="pct"/>
            <w:tcBorders>
              <w:top w:val="single" w:sz="4" w:space="0" w:color="auto"/>
              <w:left w:val="single" w:sz="4" w:space="0" w:color="auto"/>
              <w:bottom w:val="single" w:sz="4" w:space="0" w:color="auto"/>
              <w:right w:val="single" w:sz="4" w:space="0" w:color="auto"/>
            </w:tcBorders>
          </w:tcPr>
          <w:p w14:paraId="55215C37" w14:textId="77777777" w:rsidR="000D07EA" w:rsidRDefault="00BE7C89">
            <w:pPr>
              <w:pStyle w:val="BodyText"/>
              <w:spacing w:before="100" w:after="100"/>
              <w:rPr>
                <w:b/>
                <w:bCs/>
              </w:rPr>
            </w:pPr>
            <w:r>
              <w:rPr>
                <w:b/>
                <w:bCs/>
              </w:rPr>
              <w:t xml:space="preserve">Other call charges (for example international calls, calls to mobiles) </w:t>
            </w:r>
          </w:p>
        </w:tc>
        <w:tc>
          <w:tcPr>
            <w:tcW w:w="3292" w:type="pct"/>
            <w:gridSpan w:val="3"/>
            <w:tcBorders>
              <w:top w:val="single" w:sz="4" w:space="0" w:color="auto"/>
              <w:left w:val="nil"/>
              <w:bottom w:val="single" w:sz="4" w:space="0" w:color="auto"/>
              <w:right w:val="single" w:sz="4" w:space="0" w:color="auto"/>
            </w:tcBorders>
            <w:noWrap/>
          </w:tcPr>
          <w:p w14:paraId="7BDB88B0" w14:textId="77777777" w:rsidR="000D07EA" w:rsidRDefault="00BE7C89">
            <w:pPr>
              <w:pStyle w:val="BodyText"/>
              <w:spacing w:before="100" w:after="100"/>
              <w:jc w:val="center"/>
            </w:pPr>
            <w:r>
              <w:rPr>
                <w:lang w:eastAsia="ko-KR"/>
              </w:rPr>
              <w:t xml:space="preserve">See section 1 of this </w:t>
            </w:r>
            <w:r>
              <w:rPr>
                <w:i/>
                <w:iCs/>
                <w:lang w:eastAsia="ko-KR"/>
              </w:rPr>
              <w:t>standard pricing table</w:t>
            </w:r>
            <w:r>
              <w:rPr>
                <w:lang w:eastAsia="ko-KR"/>
              </w:rPr>
              <w:t xml:space="preserve"> and Appendix Y (Value Added Service Features)</w:t>
            </w:r>
          </w:p>
        </w:tc>
      </w:tr>
      <w:tr w:rsidR="000D07EA" w14:paraId="40F18405" w14:textId="77777777">
        <w:trPr>
          <w:trHeight w:val="60"/>
        </w:trPr>
        <w:tc>
          <w:tcPr>
            <w:tcW w:w="1708" w:type="pct"/>
            <w:tcBorders>
              <w:top w:val="single" w:sz="4" w:space="0" w:color="auto"/>
              <w:left w:val="single" w:sz="4" w:space="0" w:color="auto"/>
              <w:bottom w:val="single" w:sz="4" w:space="0" w:color="auto"/>
              <w:right w:val="single" w:sz="4" w:space="0" w:color="auto"/>
            </w:tcBorders>
          </w:tcPr>
          <w:p w14:paraId="190FF9BA" w14:textId="77777777" w:rsidR="000D07EA" w:rsidRDefault="00BE7C89">
            <w:pPr>
              <w:pStyle w:val="BodyText"/>
              <w:spacing w:before="100" w:after="100"/>
              <w:rPr>
                <w:b/>
                <w:bCs/>
              </w:rPr>
            </w:pPr>
            <w:r>
              <w:rPr>
                <w:b/>
                <w:bCs/>
                <w:lang w:eastAsia="ko-KR"/>
              </w:rPr>
              <w:t xml:space="preserve">Other conditions </w:t>
            </w:r>
            <w:r>
              <w:rPr>
                <w:lang w:eastAsia="ko-KR"/>
              </w:rPr>
              <w:t xml:space="preserve">(for details see paragraph </w:t>
            </w:r>
            <w:r w:rsidR="00927AED" w:rsidRPr="00272628">
              <w:rPr>
                <w:lang w:eastAsia="ko-KR"/>
              </w:rPr>
              <w:t>86</w:t>
            </w:r>
            <w:r w:rsidRPr="00272628">
              <w:rPr>
                <w:lang w:eastAsia="ko-KR"/>
              </w:rPr>
              <w:t xml:space="preserve">.3(g) </w:t>
            </w:r>
            <w:r>
              <w:rPr>
                <w:lang w:eastAsia="ko-KR"/>
              </w:rPr>
              <w:t>above)</w:t>
            </w:r>
          </w:p>
        </w:tc>
        <w:tc>
          <w:tcPr>
            <w:tcW w:w="3292" w:type="pct"/>
            <w:gridSpan w:val="3"/>
            <w:tcBorders>
              <w:top w:val="single" w:sz="4" w:space="0" w:color="auto"/>
              <w:left w:val="nil"/>
              <w:bottom w:val="single" w:sz="4" w:space="0" w:color="auto"/>
              <w:right w:val="single" w:sz="4" w:space="0" w:color="auto"/>
            </w:tcBorders>
            <w:noWrap/>
          </w:tcPr>
          <w:p w14:paraId="14EC1BC1" w14:textId="77777777" w:rsidR="000D07EA" w:rsidRDefault="00BE7C89">
            <w:pPr>
              <w:pStyle w:val="BodyText"/>
              <w:spacing w:before="100" w:after="100"/>
              <w:jc w:val="center"/>
            </w:pPr>
            <w:r>
              <w:rPr>
                <w:lang w:eastAsia="ko-KR"/>
              </w:rPr>
              <w:t>Fair Go Policy (</w:t>
            </w:r>
            <w:hyperlink r:id="rId209" w:history="1">
              <w:r>
                <w:rPr>
                  <w:rStyle w:val="Hyperlink"/>
                  <w:lang w:eastAsia="ko-KR"/>
                </w:rPr>
                <w:t>Appendix S</w:t>
              </w:r>
            </w:hyperlink>
            <w:r>
              <w:rPr>
                <w:lang w:eastAsia="ko-KR"/>
              </w:rPr>
              <w:t>) applies to 'unreasonable use'.</w:t>
            </w:r>
          </w:p>
        </w:tc>
      </w:tr>
      <w:tr w:rsidR="000D07EA" w14:paraId="2DF6FA0B" w14:textId="77777777">
        <w:trPr>
          <w:trHeight w:val="1755"/>
        </w:trPr>
        <w:tc>
          <w:tcPr>
            <w:tcW w:w="1708" w:type="pct"/>
            <w:tcBorders>
              <w:top w:val="single" w:sz="4" w:space="0" w:color="auto"/>
              <w:left w:val="single" w:sz="4" w:space="0" w:color="auto"/>
              <w:bottom w:val="single" w:sz="4" w:space="0" w:color="auto"/>
              <w:right w:val="single" w:sz="4" w:space="0" w:color="auto"/>
            </w:tcBorders>
          </w:tcPr>
          <w:p w14:paraId="0C62838B" w14:textId="77777777" w:rsidR="000D07EA" w:rsidRDefault="00BE7C89">
            <w:pPr>
              <w:pStyle w:val="BodyText"/>
              <w:spacing w:before="100" w:after="100"/>
              <w:rPr>
                <w:b/>
                <w:bCs/>
                <w:lang w:eastAsia="ko-KR"/>
              </w:rPr>
            </w:pPr>
            <w:r>
              <w:rPr>
                <w:b/>
                <w:bCs/>
                <w:lang w:eastAsia="ko-KR"/>
              </w:rPr>
              <w:t xml:space="preserve">Minimum Total Cost of the Timeless Business Plan for iPhone 3G over a 24 month </w:t>
            </w:r>
            <w:r>
              <w:rPr>
                <w:b/>
                <w:bCs/>
                <w:i/>
                <w:iCs/>
                <w:lang w:eastAsia="ko-KR"/>
              </w:rPr>
              <w:t>minimum term (</w:t>
            </w:r>
            <w:r>
              <w:rPr>
                <w:b/>
                <w:bCs/>
                <w:lang w:eastAsia="ko-KR"/>
              </w:rPr>
              <w:t xml:space="preserve">excludes the cost of </w:t>
            </w:r>
            <w:r>
              <w:rPr>
                <w:b/>
                <w:bCs/>
                <w:i/>
                <w:iCs/>
                <w:lang w:eastAsia="ko-KR"/>
              </w:rPr>
              <w:t xml:space="preserve">equipment charges </w:t>
            </w:r>
            <w:r>
              <w:rPr>
                <w:b/>
                <w:bCs/>
                <w:lang w:eastAsia="ko-KR"/>
              </w:rPr>
              <w:t xml:space="preserve">for any </w:t>
            </w:r>
            <w:r>
              <w:rPr>
                <w:b/>
                <w:bCs/>
                <w:i/>
                <w:iCs/>
                <w:lang w:eastAsia="ko-KR"/>
              </w:rPr>
              <w:t xml:space="preserve">mobile phone you </w:t>
            </w:r>
            <w:r>
              <w:rPr>
                <w:b/>
                <w:bCs/>
                <w:lang w:eastAsia="ko-KR"/>
              </w:rPr>
              <w:t>purchase from us, if any)</w:t>
            </w:r>
          </w:p>
        </w:tc>
        <w:tc>
          <w:tcPr>
            <w:tcW w:w="1098" w:type="pct"/>
            <w:tcBorders>
              <w:top w:val="single" w:sz="4" w:space="0" w:color="auto"/>
              <w:left w:val="nil"/>
              <w:bottom w:val="single" w:sz="4" w:space="0" w:color="auto"/>
              <w:right w:val="single" w:sz="4" w:space="0" w:color="auto"/>
            </w:tcBorders>
            <w:noWrap/>
          </w:tcPr>
          <w:p w14:paraId="3A5D292A" w14:textId="77777777" w:rsidR="000D07EA" w:rsidRDefault="00BE7C89">
            <w:pPr>
              <w:pStyle w:val="BodyText"/>
              <w:spacing w:before="100" w:after="100"/>
              <w:jc w:val="center"/>
              <w:rPr>
                <w:lang w:eastAsia="ko-KR"/>
              </w:rPr>
            </w:pPr>
            <w:r>
              <w:rPr>
                <w:lang w:eastAsia="ko-KR"/>
              </w:rPr>
              <w:t>$2,734.80</w:t>
            </w:r>
          </w:p>
        </w:tc>
        <w:tc>
          <w:tcPr>
            <w:tcW w:w="1098" w:type="pct"/>
            <w:tcBorders>
              <w:top w:val="single" w:sz="4" w:space="0" w:color="auto"/>
              <w:left w:val="nil"/>
              <w:bottom w:val="single" w:sz="4" w:space="0" w:color="auto"/>
              <w:right w:val="single" w:sz="4" w:space="0" w:color="auto"/>
            </w:tcBorders>
            <w:noWrap/>
          </w:tcPr>
          <w:p w14:paraId="2300F68B" w14:textId="77777777" w:rsidR="000D07EA" w:rsidRDefault="00BE7C89">
            <w:pPr>
              <w:pStyle w:val="BodyText"/>
              <w:spacing w:before="100" w:after="100"/>
              <w:jc w:val="center"/>
              <w:rPr>
                <w:lang w:eastAsia="ko-KR"/>
              </w:rPr>
            </w:pPr>
            <w:r>
              <w:rPr>
                <w:lang w:eastAsia="ko-KR"/>
              </w:rPr>
              <w:t>$2,856</w:t>
            </w:r>
          </w:p>
        </w:tc>
        <w:tc>
          <w:tcPr>
            <w:tcW w:w="1097" w:type="pct"/>
            <w:tcBorders>
              <w:top w:val="single" w:sz="4" w:space="0" w:color="auto"/>
              <w:left w:val="nil"/>
              <w:bottom w:val="single" w:sz="4" w:space="0" w:color="auto"/>
              <w:right w:val="single" w:sz="4" w:space="0" w:color="auto"/>
            </w:tcBorders>
            <w:noWrap/>
          </w:tcPr>
          <w:p w14:paraId="76FEF481" w14:textId="77777777" w:rsidR="000D07EA" w:rsidRDefault="00BE7C89">
            <w:pPr>
              <w:pStyle w:val="BodyText"/>
              <w:spacing w:before="100" w:after="100"/>
              <w:jc w:val="center"/>
              <w:rPr>
                <w:lang w:eastAsia="ko-KR"/>
              </w:rPr>
            </w:pPr>
            <w:r>
              <w:rPr>
                <w:lang w:eastAsia="ko-KR"/>
              </w:rPr>
              <w:t>$3,096</w:t>
            </w:r>
          </w:p>
        </w:tc>
      </w:tr>
      <w:tr w:rsidR="000D07EA" w14:paraId="6E353F75" w14:textId="77777777">
        <w:trPr>
          <w:trHeight w:val="1755"/>
        </w:trPr>
        <w:tc>
          <w:tcPr>
            <w:tcW w:w="1708" w:type="pct"/>
            <w:tcBorders>
              <w:top w:val="single" w:sz="4" w:space="0" w:color="auto"/>
              <w:left w:val="single" w:sz="4" w:space="0" w:color="auto"/>
              <w:bottom w:val="single" w:sz="4" w:space="0" w:color="auto"/>
              <w:right w:val="single" w:sz="4" w:space="0" w:color="auto"/>
            </w:tcBorders>
          </w:tcPr>
          <w:p w14:paraId="76E3312A" w14:textId="77777777" w:rsidR="000D07EA" w:rsidRDefault="00BE7C89">
            <w:pPr>
              <w:pStyle w:val="BodyText"/>
              <w:spacing w:before="100" w:after="100"/>
              <w:rPr>
                <w:b/>
                <w:bCs/>
                <w:lang w:eastAsia="ko-KR"/>
              </w:rPr>
            </w:pPr>
            <w:r>
              <w:rPr>
                <w:b/>
                <w:bCs/>
                <w:lang w:eastAsia="ko-KR"/>
              </w:rPr>
              <w:t xml:space="preserve">Minimum Total Cost of the Timeless Business Plan for iPhone 3G over a 12 month </w:t>
            </w:r>
            <w:r>
              <w:rPr>
                <w:b/>
                <w:bCs/>
                <w:i/>
                <w:iCs/>
                <w:lang w:eastAsia="ko-KR"/>
              </w:rPr>
              <w:t>minimum term (</w:t>
            </w:r>
            <w:r>
              <w:rPr>
                <w:b/>
                <w:bCs/>
                <w:lang w:eastAsia="ko-KR"/>
              </w:rPr>
              <w:t xml:space="preserve">excludes the cost of </w:t>
            </w:r>
            <w:r>
              <w:rPr>
                <w:b/>
                <w:bCs/>
                <w:i/>
                <w:iCs/>
                <w:lang w:eastAsia="ko-KR"/>
              </w:rPr>
              <w:t xml:space="preserve">equipment charges </w:t>
            </w:r>
            <w:r>
              <w:rPr>
                <w:b/>
                <w:bCs/>
                <w:lang w:eastAsia="ko-KR"/>
              </w:rPr>
              <w:t xml:space="preserve">for any </w:t>
            </w:r>
            <w:r>
              <w:rPr>
                <w:b/>
                <w:bCs/>
                <w:i/>
                <w:iCs/>
                <w:lang w:eastAsia="ko-KR"/>
              </w:rPr>
              <w:t xml:space="preserve">mobile phone you </w:t>
            </w:r>
            <w:r>
              <w:rPr>
                <w:b/>
                <w:bCs/>
                <w:lang w:eastAsia="ko-KR"/>
              </w:rPr>
              <w:t>purchase from us, if any)</w:t>
            </w:r>
          </w:p>
        </w:tc>
        <w:tc>
          <w:tcPr>
            <w:tcW w:w="1098" w:type="pct"/>
            <w:tcBorders>
              <w:top w:val="single" w:sz="4" w:space="0" w:color="auto"/>
              <w:left w:val="nil"/>
              <w:bottom w:val="single" w:sz="4" w:space="0" w:color="auto"/>
              <w:right w:val="single" w:sz="4" w:space="0" w:color="auto"/>
            </w:tcBorders>
            <w:noWrap/>
          </w:tcPr>
          <w:p w14:paraId="04E208CE" w14:textId="77777777" w:rsidR="000D07EA" w:rsidRDefault="00BE7C89">
            <w:pPr>
              <w:pStyle w:val="BodyText"/>
              <w:spacing w:before="100" w:after="100"/>
              <w:jc w:val="center"/>
              <w:rPr>
                <w:lang w:eastAsia="ko-KR"/>
              </w:rPr>
            </w:pPr>
            <w:r>
              <w:rPr>
                <w:lang w:eastAsia="ko-KR"/>
              </w:rPr>
              <w:t>$1,367.40</w:t>
            </w:r>
          </w:p>
        </w:tc>
        <w:tc>
          <w:tcPr>
            <w:tcW w:w="1098" w:type="pct"/>
            <w:tcBorders>
              <w:top w:val="single" w:sz="4" w:space="0" w:color="auto"/>
              <w:left w:val="nil"/>
              <w:bottom w:val="single" w:sz="4" w:space="0" w:color="auto"/>
              <w:right w:val="single" w:sz="4" w:space="0" w:color="auto"/>
            </w:tcBorders>
            <w:noWrap/>
          </w:tcPr>
          <w:p w14:paraId="6E7873B7" w14:textId="77777777" w:rsidR="000D07EA" w:rsidRDefault="00BE7C89">
            <w:pPr>
              <w:pStyle w:val="BodyText"/>
              <w:spacing w:before="100" w:after="100"/>
              <w:jc w:val="center"/>
              <w:rPr>
                <w:lang w:eastAsia="ko-KR"/>
              </w:rPr>
            </w:pPr>
            <w:r>
              <w:rPr>
                <w:lang w:eastAsia="ko-KR"/>
              </w:rPr>
              <w:t>$1,428</w:t>
            </w:r>
          </w:p>
        </w:tc>
        <w:tc>
          <w:tcPr>
            <w:tcW w:w="1097" w:type="pct"/>
            <w:tcBorders>
              <w:top w:val="single" w:sz="4" w:space="0" w:color="auto"/>
              <w:left w:val="nil"/>
              <w:bottom w:val="single" w:sz="4" w:space="0" w:color="auto"/>
              <w:right w:val="single" w:sz="4" w:space="0" w:color="auto"/>
            </w:tcBorders>
            <w:noWrap/>
          </w:tcPr>
          <w:p w14:paraId="1DFC2C1E" w14:textId="77777777" w:rsidR="000D07EA" w:rsidRDefault="00BE7C89">
            <w:pPr>
              <w:pStyle w:val="BodyText"/>
              <w:spacing w:before="100" w:after="100"/>
              <w:jc w:val="center"/>
              <w:rPr>
                <w:lang w:eastAsia="ko-KR"/>
              </w:rPr>
            </w:pPr>
            <w:r>
              <w:rPr>
                <w:lang w:eastAsia="ko-KR"/>
              </w:rPr>
              <w:t>$1,548</w:t>
            </w:r>
          </w:p>
        </w:tc>
      </w:tr>
    </w:tbl>
    <w:p w14:paraId="0BD04D10" w14:textId="77777777" w:rsidR="000D07EA" w:rsidRDefault="00BE7C89">
      <w:pPr>
        <w:pStyle w:val="BodyText"/>
        <w:ind w:left="1440"/>
        <w:rPr>
          <w:sz w:val="16"/>
          <w:szCs w:val="16"/>
        </w:rPr>
      </w:pPr>
      <w:r>
        <w:rPr>
          <w:sz w:val="16"/>
          <w:szCs w:val="16"/>
        </w:rPr>
        <w:t>* The Timeless Business $99 Plan when you take the $14.99 Mobile Internet Pack or a Smart Data Bolt on for iPhone 3G is only available as a package and is not available separately.</w:t>
      </w:r>
    </w:p>
    <w:p w14:paraId="51292578" w14:textId="77777777" w:rsidR="000D07EA" w:rsidRDefault="00BE7C89">
      <w:pPr>
        <w:pStyle w:val="Heading6"/>
        <w:ind w:left="0" w:firstLine="0"/>
      </w:pPr>
      <w:r>
        <w:t>BYO Bonuses (effective from 24 January 2010)</w:t>
      </w:r>
    </w:p>
    <w:p w14:paraId="328F5173" w14:textId="77777777" w:rsidR="000D07EA" w:rsidRDefault="00BE7C89">
      <w:pPr>
        <w:pStyle w:val="Heading7"/>
      </w:pPr>
      <w:r>
        <w:t>Eligibility</w:t>
      </w:r>
    </w:p>
    <w:p w14:paraId="3F346EFC" w14:textId="77777777" w:rsidR="000D07EA" w:rsidRDefault="00BE7C89">
      <w:pPr>
        <w:pStyle w:val="Heading8"/>
      </w:pPr>
      <w:r>
        <w:t xml:space="preserve">"BYO Bonuses" as listed in Table 4A below, are available to </w:t>
      </w:r>
      <w:r>
        <w:rPr>
          <w:i/>
        </w:rPr>
        <w:t>Optus small or medium business</w:t>
      </w:r>
      <w:r>
        <w:t xml:space="preserve"> customers who connect to Timeless Business iPhone plan over 12 months and </w:t>
      </w:r>
      <w:r>
        <w:lastRenderedPageBreak/>
        <w:t xml:space="preserve">either connect their own iPhone or purchase an iPhone from us under a </w:t>
      </w:r>
      <w:r>
        <w:rPr>
          <w:i/>
        </w:rPr>
        <w:t>mobile equipment payment plan</w:t>
      </w:r>
      <w:r>
        <w:t>.</w:t>
      </w:r>
    </w:p>
    <w:p w14:paraId="59929AF4" w14:textId="77777777" w:rsidR="000D07EA" w:rsidRDefault="00BE7C89">
      <w:pPr>
        <w:pStyle w:val="Heading7"/>
      </w:pPr>
      <w:bookmarkStart w:id="330" w:name="_Ref461549655"/>
      <w:r>
        <w:t xml:space="preserve">As a part of the Timeless Business iPhone plans you will receive both BYO Bonuses listed in Table 4A and as set out in section </w:t>
      </w:r>
      <w:r>
        <w:fldChar w:fldCharType="begin"/>
      </w:r>
      <w:r>
        <w:instrText xml:space="preserve"> REF _Ref461548847 \n \h </w:instrText>
      </w:r>
      <w:r>
        <w:fldChar w:fldCharType="separate"/>
      </w:r>
      <w:r w:rsidR="0004083A">
        <w:t>(d)</w:t>
      </w:r>
      <w:r>
        <w:fldChar w:fldCharType="end"/>
      </w:r>
      <w:r>
        <w:t xml:space="preserve"> and </w:t>
      </w:r>
      <w:r>
        <w:fldChar w:fldCharType="begin"/>
      </w:r>
      <w:r>
        <w:instrText xml:space="preserve"> REF _Ref461548850 \n \h </w:instrText>
      </w:r>
      <w:r>
        <w:fldChar w:fldCharType="separate"/>
      </w:r>
      <w:r w:rsidR="0004083A">
        <w:t>(e)</w:t>
      </w:r>
      <w:r>
        <w:fldChar w:fldCharType="end"/>
      </w:r>
      <w:r>
        <w:t>.</w:t>
      </w:r>
      <w:bookmarkEnd w:id="330"/>
    </w:p>
    <w:p w14:paraId="684F6193" w14:textId="77777777" w:rsidR="000D07EA" w:rsidRDefault="00BE7C89">
      <w:pPr>
        <w:pStyle w:val="Heading7"/>
      </w:pPr>
      <w:r>
        <w:t xml:space="preserve">At the end of the 12 months term </w:t>
      </w:r>
      <w:r>
        <w:rPr>
          <w:i/>
        </w:rPr>
        <w:t>you</w:t>
      </w:r>
      <w:r>
        <w:t xml:space="preserve"> will no longer receive the BYO Bonuses, to continue to receive the BYO Bonuses you may recontract for a further 12 months.</w:t>
      </w:r>
    </w:p>
    <w:p w14:paraId="485F2390" w14:textId="77777777" w:rsidR="000D07EA" w:rsidRDefault="00BE7C89">
      <w:pPr>
        <w:pStyle w:val="BodyText"/>
        <w:keepNext/>
        <w:ind w:left="720"/>
        <w:rPr>
          <w:b/>
        </w:rPr>
      </w:pPr>
      <w:r>
        <w:rPr>
          <w:b/>
        </w:rPr>
        <w:t>Table 4A</w:t>
      </w:r>
    </w:p>
    <w:p w14:paraId="04E41904" w14:textId="77777777" w:rsidR="000D07EA" w:rsidRDefault="00BE7C89">
      <w:pPr>
        <w:pStyle w:val="BodyText"/>
        <w:keepNext/>
        <w:ind w:left="720"/>
      </w:pPr>
      <w:r>
        <w:t>Customers who are eligible for the BYO Bonuses will receive the following</w:t>
      </w:r>
    </w:p>
    <w:tbl>
      <w:tblPr>
        <w:tblW w:w="4645" w:type="pct"/>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3"/>
        <w:gridCol w:w="2344"/>
        <w:gridCol w:w="2344"/>
        <w:gridCol w:w="2344"/>
      </w:tblGrid>
      <w:tr w:rsidR="000D07EA" w14:paraId="46A6A744" w14:textId="77777777">
        <w:tc>
          <w:tcPr>
            <w:tcW w:w="1285" w:type="pct"/>
          </w:tcPr>
          <w:p w14:paraId="3DA06FCB" w14:textId="77777777" w:rsidR="000D07EA" w:rsidRDefault="00BE7C89">
            <w:pPr>
              <w:pStyle w:val="BodyText"/>
              <w:keepNext/>
              <w:keepLines/>
              <w:spacing w:before="100" w:after="100"/>
              <w:rPr>
                <w:b/>
              </w:rPr>
            </w:pPr>
            <w:r>
              <w:rPr>
                <w:b/>
              </w:rPr>
              <w:t>BYO Bonuses</w:t>
            </w:r>
          </w:p>
        </w:tc>
        <w:tc>
          <w:tcPr>
            <w:tcW w:w="1238" w:type="pct"/>
          </w:tcPr>
          <w:p w14:paraId="4EED8135" w14:textId="77777777" w:rsidR="000D07EA" w:rsidRDefault="00BE7C89">
            <w:pPr>
              <w:pStyle w:val="BodyText"/>
              <w:keepNext/>
              <w:keepLines/>
              <w:spacing w:before="100" w:after="100"/>
              <w:jc w:val="center"/>
              <w:rPr>
                <w:b/>
              </w:rPr>
            </w:pPr>
            <w:r>
              <w:rPr>
                <w:b/>
              </w:rPr>
              <w:t>Timeless Business $99 when you take the $14.99 Mobile Internet Pack Plan for iPhone*</w:t>
            </w:r>
          </w:p>
        </w:tc>
        <w:tc>
          <w:tcPr>
            <w:tcW w:w="1238" w:type="pct"/>
          </w:tcPr>
          <w:p w14:paraId="0882AC84" w14:textId="77777777" w:rsidR="000D07EA" w:rsidRDefault="00BE7C89">
            <w:pPr>
              <w:pStyle w:val="BodyText"/>
              <w:keepNext/>
              <w:keepLines/>
              <w:spacing w:before="100" w:after="100"/>
              <w:jc w:val="center"/>
              <w:rPr>
                <w:b/>
              </w:rPr>
            </w:pPr>
            <w:r>
              <w:rPr>
                <w:b/>
                <w:bCs/>
                <w:lang w:eastAsia="ko-KR"/>
              </w:rPr>
              <w:t>Timeless Business $119 Plan for iPhone</w:t>
            </w:r>
          </w:p>
        </w:tc>
        <w:tc>
          <w:tcPr>
            <w:tcW w:w="1238" w:type="pct"/>
          </w:tcPr>
          <w:p w14:paraId="18210AC3" w14:textId="77777777" w:rsidR="000D07EA" w:rsidRDefault="00BE7C89">
            <w:pPr>
              <w:pStyle w:val="BodyText"/>
              <w:keepNext/>
              <w:keepLines/>
              <w:spacing w:before="100" w:after="100"/>
              <w:jc w:val="center"/>
              <w:rPr>
                <w:b/>
              </w:rPr>
            </w:pPr>
            <w:r>
              <w:rPr>
                <w:b/>
                <w:bCs/>
                <w:lang w:eastAsia="ko-KR"/>
              </w:rPr>
              <w:t>Timeless Business $129 Plan for iPhone</w:t>
            </w:r>
          </w:p>
        </w:tc>
      </w:tr>
      <w:tr w:rsidR="000D07EA" w14:paraId="1296B223" w14:textId="77777777">
        <w:tc>
          <w:tcPr>
            <w:tcW w:w="1285" w:type="pct"/>
          </w:tcPr>
          <w:p w14:paraId="026BC009" w14:textId="77777777" w:rsidR="000D07EA" w:rsidRDefault="00BE7C89">
            <w:pPr>
              <w:pStyle w:val="BodyText"/>
              <w:keepNext/>
              <w:keepLines/>
              <w:spacing w:before="100" w:after="100"/>
              <w:rPr>
                <w:i/>
              </w:rPr>
            </w:pPr>
            <w:r>
              <w:t>Access Fee Credit</w:t>
            </w:r>
          </w:p>
        </w:tc>
        <w:tc>
          <w:tcPr>
            <w:tcW w:w="1238" w:type="pct"/>
          </w:tcPr>
          <w:p w14:paraId="7AB2D50F" w14:textId="77777777" w:rsidR="000D07EA" w:rsidRDefault="00BE7C89">
            <w:pPr>
              <w:pStyle w:val="BodyText"/>
              <w:keepNext/>
              <w:keepLines/>
              <w:spacing w:before="100" w:after="100"/>
              <w:jc w:val="center"/>
            </w:pPr>
            <w:r>
              <w:t>$15 monthly credit</w:t>
            </w:r>
          </w:p>
        </w:tc>
        <w:tc>
          <w:tcPr>
            <w:tcW w:w="1238" w:type="pct"/>
          </w:tcPr>
          <w:p w14:paraId="39A49EB5" w14:textId="77777777" w:rsidR="000D07EA" w:rsidRDefault="00BE7C89">
            <w:pPr>
              <w:pStyle w:val="BodyText"/>
              <w:keepNext/>
              <w:keepLines/>
              <w:spacing w:before="100" w:after="100"/>
              <w:jc w:val="center"/>
            </w:pPr>
            <w:r>
              <w:t>$15 monthly credit</w:t>
            </w:r>
          </w:p>
        </w:tc>
        <w:tc>
          <w:tcPr>
            <w:tcW w:w="1238" w:type="pct"/>
          </w:tcPr>
          <w:p w14:paraId="7B6952B4" w14:textId="77777777" w:rsidR="000D07EA" w:rsidRDefault="00BE7C89">
            <w:pPr>
              <w:pStyle w:val="BodyText"/>
              <w:keepNext/>
              <w:keepLines/>
              <w:spacing w:before="100" w:after="100"/>
              <w:jc w:val="center"/>
            </w:pPr>
            <w:r>
              <w:t>$20 monthly credit</w:t>
            </w:r>
          </w:p>
        </w:tc>
      </w:tr>
      <w:tr w:rsidR="000D07EA" w14:paraId="7C117242" w14:textId="77777777">
        <w:tc>
          <w:tcPr>
            <w:tcW w:w="1285" w:type="pct"/>
          </w:tcPr>
          <w:p w14:paraId="3A3CAE2D" w14:textId="77777777" w:rsidR="000D07EA" w:rsidRDefault="00BE7C89">
            <w:pPr>
              <w:pStyle w:val="BodyText"/>
              <w:spacing w:before="100" w:after="100"/>
            </w:pPr>
            <w:r>
              <w:t>Internet Value Pack</w:t>
            </w:r>
          </w:p>
        </w:tc>
        <w:tc>
          <w:tcPr>
            <w:tcW w:w="1238" w:type="pct"/>
          </w:tcPr>
          <w:p w14:paraId="44F2B66F" w14:textId="77777777" w:rsidR="000D07EA" w:rsidRDefault="00BE7C89">
            <w:pPr>
              <w:pStyle w:val="BodyText"/>
              <w:spacing w:before="100" w:after="100"/>
              <w:jc w:val="center"/>
            </w:pPr>
            <w:r>
              <w:t>1GB per month</w:t>
            </w:r>
          </w:p>
        </w:tc>
        <w:tc>
          <w:tcPr>
            <w:tcW w:w="1238" w:type="pct"/>
          </w:tcPr>
          <w:p w14:paraId="2E4DA21B" w14:textId="77777777" w:rsidR="000D07EA" w:rsidRDefault="00BE7C89">
            <w:pPr>
              <w:pStyle w:val="BodyText"/>
              <w:spacing w:before="100" w:after="100"/>
              <w:jc w:val="center"/>
            </w:pPr>
            <w:r>
              <w:t>1GB per month</w:t>
            </w:r>
          </w:p>
        </w:tc>
        <w:tc>
          <w:tcPr>
            <w:tcW w:w="1238" w:type="pct"/>
          </w:tcPr>
          <w:p w14:paraId="7350C138" w14:textId="77777777" w:rsidR="000D07EA" w:rsidRDefault="00BE7C89">
            <w:pPr>
              <w:pStyle w:val="BodyText"/>
              <w:spacing w:before="100" w:after="100"/>
              <w:jc w:val="center"/>
            </w:pPr>
            <w:r>
              <w:t>1GB per month</w:t>
            </w:r>
          </w:p>
        </w:tc>
      </w:tr>
    </w:tbl>
    <w:p w14:paraId="445943FD" w14:textId="77777777" w:rsidR="000D07EA" w:rsidRDefault="00BE7C89">
      <w:pPr>
        <w:pStyle w:val="BodyText"/>
        <w:spacing w:after="0"/>
        <w:ind w:left="720"/>
        <w:rPr>
          <w:sz w:val="16"/>
          <w:szCs w:val="16"/>
        </w:rPr>
      </w:pPr>
      <w:r>
        <w:rPr>
          <w:sz w:val="16"/>
          <w:szCs w:val="16"/>
        </w:rPr>
        <w:t>* The Timeless Business $99 – BYO Bonuses Plan when you take the $14.99 Mobile Internet Pack for iPhone is only available as a package and is not available separately.</w:t>
      </w:r>
    </w:p>
    <w:p w14:paraId="2F921E0C" w14:textId="77777777" w:rsidR="000D07EA" w:rsidRDefault="000D07EA">
      <w:pPr>
        <w:pStyle w:val="BodyText"/>
      </w:pPr>
    </w:p>
    <w:p w14:paraId="139783BC" w14:textId="77777777" w:rsidR="000D07EA" w:rsidRDefault="00BE7C89">
      <w:pPr>
        <w:pStyle w:val="Heading7"/>
        <w:rPr>
          <w:b/>
        </w:rPr>
      </w:pPr>
      <w:bookmarkStart w:id="331" w:name="_Ref461548847"/>
      <w:r>
        <w:rPr>
          <w:b/>
        </w:rPr>
        <w:t>Access Fee Credit (BYO Bonus)</w:t>
      </w:r>
      <w:bookmarkEnd w:id="331"/>
    </w:p>
    <w:p w14:paraId="36A580D0" w14:textId="77777777" w:rsidR="000D07EA" w:rsidRDefault="00BE7C89">
      <w:pPr>
        <w:pStyle w:val="Heading8"/>
      </w:pPr>
      <w:r>
        <w:t xml:space="preserve">Under the BYO Bonuses </w:t>
      </w:r>
      <w:r>
        <w:rPr>
          <w:i/>
        </w:rPr>
        <w:t>you</w:t>
      </w:r>
      <w:r>
        <w:t xml:space="preserve"> will receive a monthly credit for 12 months to the amount specified in Table 4A above. This amount is a reduction to your monthly Access Fee and cannot be refunded, redeemed for cash, rolled over or applied for another purpose, even if the </w:t>
      </w:r>
      <w:r>
        <w:rPr>
          <w:i/>
        </w:rPr>
        <w:t>service</w:t>
      </w:r>
      <w:r>
        <w:t xml:space="preserve"> is </w:t>
      </w:r>
      <w:r>
        <w:rPr>
          <w:i/>
        </w:rPr>
        <w:t>cancelled</w:t>
      </w:r>
      <w:r>
        <w:t>.</w:t>
      </w:r>
    </w:p>
    <w:p w14:paraId="064B8A47" w14:textId="77777777" w:rsidR="000D07EA" w:rsidRDefault="00BE7C89">
      <w:pPr>
        <w:pStyle w:val="Heading8"/>
      </w:pPr>
      <w:r>
        <w:t>If your access fee is pro-rated in any given month then the Access Fee Credit will also be pro-rated.</w:t>
      </w:r>
    </w:p>
    <w:p w14:paraId="1B0469B0" w14:textId="77777777" w:rsidR="000D07EA" w:rsidRDefault="00BE7C89">
      <w:pPr>
        <w:pStyle w:val="Heading7"/>
        <w:rPr>
          <w:b/>
        </w:rPr>
      </w:pPr>
      <w:bookmarkStart w:id="332" w:name="_Ref461548850"/>
      <w:r>
        <w:rPr>
          <w:b/>
        </w:rPr>
        <w:t>Internet Value Pack (BYO Bonus)</w:t>
      </w:r>
      <w:bookmarkEnd w:id="332"/>
    </w:p>
    <w:p w14:paraId="135738A4" w14:textId="77777777" w:rsidR="000D07EA" w:rsidRDefault="00BE7C89">
      <w:pPr>
        <w:pStyle w:val="Heading8"/>
      </w:pPr>
      <w:r>
        <w:t xml:space="preserve">The Internet Value Pack BYO Bonus allows you to access the Internet from </w:t>
      </w:r>
      <w:r>
        <w:rPr>
          <w:i/>
        </w:rPr>
        <w:t>your</w:t>
      </w:r>
      <w:r>
        <w:t xml:space="preserve"> iPhone. </w:t>
      </w:r>
    </w:p>
    <w:p w14:paraId="1424ABCB" w14:textId="77777777" w:rsidR="000D07EA" w:rsidRDefault="00BE7C89">
      <w:pPr>
        <w:pStyle w:val="BodyText"/>
        <w:ind w:left="2160"/>
      </w:pPr>
      <w:r>
        <w:t xml:space="preserve">Internet Value Pack can be used for </w:t>
      </w:r>
      <w:r>
        <w:rPr>
          <w:i/>
        </w:rPr>
        <w:t>tethered</w:t>
      </w:r>
      <w:r>
        <w:t xml:space="preserve"> </w:t>
      </w:r>
      <w:r>
        <w:rPr>
          <w:i/>
        </w:rPr>
        <w:t>modem</w:t>
      </w:r>
      <w:r>
        <w:t xml:space="preserve"> when added in conjunction with Bus iPhone as Modem access. (See the</w:t>
      </w:r>
      <w:hyperlink r:id="rId210" w:history="1">
        <w:r w:rsidRPr="00B64C56">
          <w:rPr>
            <w:rStyle w:val="Hyperlink"/>
          </w:rPr>
          <w:t xml:space="preserve"> </w:t>
        </w:r>
        <w:r w:rsidRPr="00B64C56">
          <w:rPr>
            <w:rStyle w:val="Hyperlink"/>
            <w:i/>
          </w:rPr>
          <w:t>Wireless Internet Pricing Service, Standard Pricing Table</w:t>
        </w:r>
      </w:hyperlink>
      <w:r w:rsidRPr="00536F8B">
        <w:t xml:space="preserve"> </w:t>
      </w:r>
      <w:r>
        <w:t>for more details.)</w:t>
      </w:r>
    </w:p>
    <w:p w14:paraId="5DDF57C5" w14:textId="77777777" w:rsidR="000D07EA" w:rsidRDefault="00BE7C89">
      <w:pPr>
        <w:pStyle w:val="Heading8"/>
      </w:pPr>
      <w:r>
        <w:t xml:space="preserve">The </w:t>
      </w:r>
      <w:r>
        <w:rPr>
          <w:i/>
        </w:rPr>
        <w:t>service</w:t>
      </w:r>
      <w:r>
        <w:t xml:space="preserve"> is only available within Optus 3G/HSPA or GSM coverage areas and is subject to </w:t>
      </w:r>
      <w:r>
        <w:rPr>
          <w:i/>
        </w:rPr>
        <w:t>network</w:t>
      </w:r>
      <w:r>
        <w:t xml:space="preserve"> availability.</w:t>
      </w:r>
    </w:p>
    <w:p w14:paraId="5C371647" w14:textId="77777777" w:rsidR="000D07EA" w:rsidRDefault="00BE7C89">
      <w:pPr>
        <w:pStyle w:val="Heading8"/>
      </w:pPr>
      <w:r>
        <w:t xml:space="preserve">The included data amount does not include: Voice calls, Voice Mail, International SMS, premium and Third Party SMS, MMS, Optus Zoo subscription content &amp; Third Party content and applications, International MMS, 1300, 1900, Circuit Switched Data and Fax. Use of these services will be charged at the prevailing rates for your mobile plan or </w:t>
      </w:r>
      <w:r>
        <w:rPr>
          <w:i/>
        </w:rPr>
        <w:t>value added service feature</w:t>
      </w:r>
      <w:r>
        <w:t xml:space="preserve"> as described in </w:t>
      </w:r>
      <w:hyperlink r:id="rId211" w:history="1">
        <w:r>
          <w:rPr>
            <w:rStyle w:val="Hyperlink"/>
            <w:i/>
          </w:rPr>
          <w:t>Appendix Y</w:t>
        </w:r>
      </w:hyperlink>
      <w:r>
        <w:t xml:space="preserve"> to the </w:t>
      </w:r>
      <w:r>
        <w:rPr>
          <w:i/>
        </w:rPr>
        <w:t>agreement</w:t>
      </w:r>
      <w:r>
        <w:t>.</w:t>
      </w:r>
    </w:p>
    <w:p w14:paraId="485E8958" w14:textId="77777777" w:rsidR="000D07EA" w:rsidRDefault="00BE7C89">
      <w:pPr>
        <w:pStyle w:val="Heading8"/>
      </w:pPr>
      <w:r>
        <w:t>Data is counted in kilobytes, 1024KB=1MB, 1024 MB = 1GB and includes both uploads and downloads.</w:t>
      </w:r>
    </w:p>
    <w:p w14:paraId="6DC7CFDB" w14:textId="77777777" w:rsidR="000D07EA" w:rsidRDefault="00BE7C89">
      <w:pPr>
        <w:pStyle w:val="Heading8"/>
      </w:pPr>
      <w:r>
        <w:t>If you exceed the included monthly data allowance, excess usage charges will be charged at $0.35 per MB or part thereof.</w:t>
      </w:r>
    </w:p>
    <w:p w14:paraId="257DEB10" w14:textId="77777777" w:rsidR="000D07EA" w:rsidRDefault="00BE7C89">
      <w:pPr>
        <w:pStyle w:val="Heading8"/>
      </w:pPr>
      <w:r>
        <w:t xml:space="preserve">If the data </w:t>
      </w:r>
      <w:r>
        <w:rPr>
          <w:i/>
        </w:rPr>
        <w:t>you</w:t>
      </w:r>
      <w:r>
        <w:t xml:space="preserve"> use in a month falls below the amount of included data, the remaining data is forfeited and it does not roll over into the following month.</w:t>
      </w:r>
    </w:p>
    <w:p w14:paraId="6AAF8ADE" w14:textId="77777777" w:rsidR="000D07EA" w:rsidRDefault="00BE7C89">
      <w:pPr>
        <w:pStyle w:val="Heading8"/>
      </w:pPr>
      <w:r>
        <w:lastRenderedPageBreak/>
        <w:t xml:space="preserve">Use of Internet Value Pack is subject to the special liability clauses as set out in </w:t>
      </w:r>
      <w:r>
        <w:rPr>
          <w:i/>
        </w:rPr>
        <w:t xml:space="preserve">Section 9.4 Mobile Internet Pack </w:t>
      </w:r>
      <w:r>
        <w:t xml:space="preserve">of </w:t>
      </w:r>
      <w:hyperlink r:id="rId212" w:history="1">
        <w:r>
          <w:rPr>
            <w:rStyle w:val="Hyperlink"/>
            <w:i/>
          </w:rPr>
          <w:t>Appendix Y</w:t>
        </w:r>
      </w:hyperlink>
      <w:r>
        <w:t>.</w:t>
      </w:r>
    </w:p>
    <w:p w14:paraId="6B6F607B" w14:textId="77777777" w:rsidR="000D07EA" w:rsidRDefault="00BE7C89">
      <w:pPr>
        <w:pStyle w:val="Heading6"/>
        <w:ind w:left="0" w:firstLine="0"/>
      </w:pPr>
      <w:r>
        <w:t>What happens if the service is cancelled early?</w:t>
      </w:r>
    </w:p>
    <w:p w14:paraId="2AD535DD" w14:textId="77777777" w:rsidR="000D07EA" w:rsidRDefault="00BE7C89">
      <w:pPr>
        <w:pStyle w:val="Heading7"/>
      </w:pPr>
      <w:r>
        <w:t xml:space="preserve">If </w:t>
      </w:r>
      <w:r>
        <w:rPr>
          <w:i/>
        </w:rPr>
        <w:t>the</w:t>
      </w:r>
      <w:r>
        <w:t xml:space="preserve"> </w:t>
      </w:r>
      <w:r>
        <w:rPr>
          <w:i/>
        </w:rPr>
        <w:t>service</w:t>
      </w:r>
      <w:r>
        <w:t xml:space="preserve"> </w:t>
      </w:r>
      <w:r>
        <w:rPr>
          <w:i/>
        </w:rPr>
        <w:t>is</w:t>
      </w:r>
      <w:r>
        <w:t xml:space="preserve"> </w:t>
      </w:r>
      <w:r>
        <w:rPr>
          <w:i/>
        </w:rPr>
        <w:t>cancelled</w:t>
      </w:r>
      <w:r>
        <w:t xml:space="preserve"> before the expiry of the </w:t>
      </w:r>
      <w:r>
        <w:rPr>
          <w:i/>
        </w:rPr>
        <w:t>minimum</w:t>
      </w:r>
      <w:r>
        <w:t xml:space="preserve"> </w:t>
      </w:r>
      <w:r>
        <w:rPr>
          <w:i/>
        </w:rPr>
        <w:t>term</w:t>
      </w:r>
      <w:r>
        <w:t xml:space="preserve">, you will be required to pay </w:t>
      </w:r>
      <w:r>
        <w:rPr>
          <w:i/>
        </w:rPr>
        <w:t>us</w:t>
      </w:r>
      <w:r>
        <w:t>:</w:t>
      </w:r>
    </w:p>
    <w:p w14:paraId="50801768" w14:textId="77777777" w:rsidR="000D07EA" w:rsidRDefault="00BE7C89">
      <w:pPr>
        <w:pStyle w:val="Heading8"/>
      </w:pPr>
      <w:r>
        <w:t xml:space="preserve">any usage charges incurred up to, and including, the </w:t>
      </w:r>
      <w:r>
        <w:rPr>
          <w:i/>
        </w:rPr>
        <w:t>cancellation</w:t>
      </w:r>
      <w:r>
        <w:t xml:space="preserve"> </w:t>
      </w:r>
      <w:r>
        <w:rPr>
          <w:i/>
        </w:rPr>
        <w:t>date</w:t>
      </w:r>
      <w:r>
        <w:t>; plus</w:t>
      </w:r>
    </w:p>
    <w:p w14:paraId="5D0ECC7E" w14:textId="77777777" w:rsidR="000D07EA" w:rsidRDefault="00BE7C89">
      <w:pPr>
        <w:pStyle w:val="Heading8"/>
      </w:pPr>
      <w:r>
        <w:t xml:space="preserve">the </w:t>
      </w:r>
      <w:r>
        <w:rPr>
          <w:i/>
        </w:rPr>
        <w:t>cancellation</w:t>
      </w:r>
      <w:r>
        <w:t xml:space="preserve"> </w:t>
      </w:r>
      <w:r>
        <w:rPr>
          <w:i/>
        </w:rPr>
        <w:t>fee</w:t>
      </w:r>
      <w:r>
        <w:t xml:space="preserve"> set out in the table below (unless under clause 2A of the </w:t>
      </w:r>
      <w:hyperlink r:id="rId213" w:history="1">
        <w:r>
          <w:rPr>
            <w:rStyle w:val="Hyperlink"/>
            <w:i/>
          </w:rPr>
          <w:t>SMB terms</w:t>
        </w:r>
      </w:hyperlink>
      <w:r>
        <w:t xml:space="preserve">, </w:t>
      </w:r>
      <w:r>
        <w:rPr>
          <w:i/>
        </w:rPr>
        <w:t>you</w:t>
      </w:r>
      <w:r>
        <w:t xml:space="preserve"> are entitled to </w:t>
      </w:r>
      <w:r>
        <w:rPr>
          <w:i/>
        </w:rPr>
        <w:t>cancel</w:t>
      </w:r>
      <w:r>
        <w:t xml:space="preserve"> </w:t>
      </w:r>
      <w:r>
        <w:rPr>
          <w:i/>
        </w:rPr>
        <w:t>the</w:t>
      </w:r>
      <w:r>
        <w:t xml:space="preserve"> </w:t>
      </w:r>
      <w:r>
        <w:rPr>
          <w:i/>
        </w:rPr>
        <w:t>service</w:t>
      </w:r>
      <w:r>
        <w:t xml:space="preserve"> without incurring a cancellation fee); plus</w:t>
      </w:r>
    </w:p>
    <w:p w14:paraId="1BC7E434" w14:textId="77777777" w:rsidR="000D07EA" w:rsidRDefault="00BE7C89">
      <w:pPr>
        <w:pStyle w:val="Heading8"/>
      </w:pPr>
      <w:r>
        <w:t xml:space="preserve">the sum of unpaid </w:t>
      </w:r>
      <w:r>
        <w:rPr>
          <w:i/>
        </w:rPr>
        <w:t>equipment</w:t>
      </w:r>
      <w:r>
        <w:t xml:space="preserve"> </w:t>
      </w:r>
      <w:r>
        <w:rPr>
          <w:i/>
        </w:rPr>
        <w:t>charges</w:t>
      </w:r>
      <w:r>
        <w:t xml:space="preserve"> owing on </w:t>
      </w:r>
      <w:r>
        <w:rPr>
          <w:i/>
        </w:rPr>
        <w:t>your</w:t>
      </w:r>
      <w:r>
        <w:t xml:space="preserve"> </w:t>
      </w:r>
      <w:r>
        <w:rPr>
          <w:i/>
        </w:rPr>
        <w:t>mobile</w:t>
      </w:r>
      <w:r>
        <w:t xml:space="preserve"> </w:t>
      </w:r>
      <w:r>
        <w:rPr>
          <w:i/>
        </w:rPr>
        <w:t>phone</w:t>
      </w:r>
      <w:r>
        <w:t xml:space="preserve"> under the </w:t>
      </w:r>
      <w:r>
        <w:rPr>
          <w:i/>
        </w:rPr>
        <w:t>mobile</w:t>
      </w:r>
      <w:r>
        <w:t xml:space="preserve"> </w:t>
      </w:r>
      <w:r>
        <w:rPr>
          <w:i/>
        </w:rPr>
        <w:t>equipment</w:t>
      </w:r>
      <w:r>
        <w:t xml:space="preserve"> </w:t>
      </w:r>
      <w:r>
        <w:rPr>
          <w:i/>
        </w:rPr>
        <w:t>payment</w:t>
      </w:r>
      <w:r>
        <w:t xml:space="preserve"> </w:t>
      </w:r>
      <w:r>
        <w:rPr>
          <w:i/>
        </w:rPr>
        <w:t>plan</w:t>
      </w:r>
      <w:r>
        <w:t xml:space="preserve"> (if any).</w:t>
      </w:r>
    </w:p>
    <w:p w14:paraId="5E8A5DFB" w14:textId="77777777" w:rsidR="000D07EA" w:rsidRDefault="00BE7C89">
      <w:pPr>
        <w:pStyle w:val="Heading7"/>
      </w:pPr>
      <w:r>
        <w:t xml:space="preserve">The </w:t>
      </w:r>
      <w:r>
        <w:rPr>
          <w:i/>
        </w:rPr>
        <w:t>cancellation</w:t>
      </w:r>
      <w:r>
        <w:t xml:space="preserve"> </w:t>
      </w:r>
      <w:r>
        <w:rPr>
          <w:i/>
        </w:rPr>
        <w:t>fee</w:t>
      </w:r>
      <w:r>
        <w:t xml:space="preserve"> payable under paragraph </w:t>
      </w:r>
      <w:r w:rsidR="00927AED" w:rsidRPr="00272628">
        <w:t>86</w:t>
      </w:r>
      <w:r w:rsidRPr="00272628">
        <w:t>.5(a)(ii) (</w:t>
      </w:r>
      <w:r>
        <w:t xml:space="preserve">if any) is calculated as follows: </w:t>
      </w:r>
    </w:p>
    <w:p w14:paraId="7D443DC5" w14:textId="77777777" w:rsidR="000D07EA" w:rsidRDefault="00BE7C89">
      <w:pPr>
        <w:pStyle w:val="Heading8"/>
      </w:pPr>
      <w:r>
        <w:t xml:space="preserve">If </w:t>
      </w:r>
      <w:r>
        <w:rPr>
          <w:i/>
        </w:rPr>
        <w:t>you</w:t>
      </w:r>
      <w:r>
        <w:t xml:space="preserve"> are on a 24 month </w:t>
      </w:r>
      <w:r>
        <w:rPr>
          <w:i/>
        </w:rPr>
        <w:t>pricing</w:t>
      </w:r>
      <w:r>
        <w:t xml:space="preserve"> </w:t>
      </w:r>
      <w:r>
        <w:rPr>
          <w:i/>
        </w:rPr>
        <w:t>plan</w:t>
      </w:r>
      <w:r>
        <w:t xml:space="preserve">, the </w:t>
      </w:r>
      <w:r>
        <w:rPr>
          <w:i/>
        </w:rPr>
        <w:t>cancellation</w:t>
      </w:r>
      <w:r>
        <w:t xml:space="preserve"> </w:t>
      </w:r>
      <w:r>
        <w:rPr>
          <w:i/>
        </w:rPr>
        <w:t>fee</w:t>
      </w:r>
      <w:r>
        <w:t xml:space="preserve"> between months 0-12 is</w:t>
      </w:r>
    </w:p>
    <w:tbl>
      <w:tblPr>
        <w:tblW w:w="3954" w:type="pct"/>
        <w:tblInd w:w="2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4"/>
        <w:gridCol w:w="2656"/>
        <w:gridCol w:w="2657"/>
      </w:tblGrid>
      <w:tr w:rsidR="000D07EA" w14:paraId="27B5C087" w14:textId="77777777">
        <w:tc>
          <w:tcPr>
            <w:tcW w:w="1703" w:type="pct"/>
          </w:tcPr>
          <w:p w14:paraId="3E02BBBB" w14:textId="77777777" w:rsidR="000D07EA" w:rsidRDefault="00BE7C89">
            <w:pPr>
              <w:pStyle w:val="BodyText"/>
              <w:spacing w:before="100" w:after="100"/>
              <w:jc w:val="center"/>
              <w:rPr>
                <w:b/>
                <w:bCs/>
                <w:lang w:eastAsia="ko-KR"/>
              </w:rPr>
            </w:pPr>
            <w:r>
              <w:rPr>
                <w:b/>
              </w:rPr>
              <w:t>Timeless Business $99 when you take the $14.99 Mobile Internet Pack or a Smart Data Bolt on for iPhone 3G</w:t>
            </w:r>
          </w:p>
        </w:tc>
        <w:tc>
          <w:tcPr>
            <w:tcW w:w="1648" w:type="pct"/>
          </w:tcPr>
          <w:p w14:paraId="09E8D6DE" w14:textId="77777777" w:rsidR="000D07EA" w:rsidRDefault="00BE7C89">
            <w:pPr>
              <w:pStyle w:val="BodyText"/>
              <w:spacing w:before="100" w:after="100"/>
              <w:jc w:val="center"/>
              <w:rPr>
                <w:b/>
                <w:bCs/>
                <w:lang w:eastAsia="ko-KR"/>
              </w:rPr>
            </w:pPr>
            <w:r>
              <w:rPr>
                <w:b/>
                <w:bCs/>
                <w:lang w:eastAsia="ko-KR"/>
              </w:rPr>
              <w:t>Timeless Business $119 Plan</w:t>
            </w:r>
          </w:p>
        </w:tc>
        <w:tc>
          <w:tcPr>
            <w:tcW w:w="1649" w:type="pct"/>
          </w:tcPr>
          <w:p w14:paraId="4487C5A2" w14:textId="77777777" w:rsidR="000D07EA" w:rsidRDefault="00BE7C89">
            <w:pPr>
              <w:pStyle w:val="BodyText"/>
              <w:spacing w:before="100" w:after="100"/>
              <w:jc w:val="center"/>
              <w:rPr>
                <w:b/>
                <w:bCs/>
                <w:lang w:eastAsia="ko-KR"/>
              </w:rPr>
            </w:pPr>
            <w:r>
              <w:rPr>
                <w:b/>
                <w:bCs/>
                <w:lang w:eastAsia="ko-KR"/>
              </w:rPr>
              <w:t>Timeless Business $129 Plan</w:t>
            </w:r>
          </w:p>
        </w:tc>
      </w:tr>
      <w:tr w:rsidR="000D07EA" w14:paraId="6D2F4157" w14:textId="77777777">
        <w:tc>
          <w:tcPr>
            <w:tcW w:w="1703" w:type="pct"/>
          </w:tcPr>
          <w:p w14:paraId="02A7CB5F" w14:textId="77777777" w:rsidR="000D07EA" w:rsidRDefault="00BE7C89">
            <w:pPr>
              <w:pStyle w:val="BodyText"/>
              <w:spacing w:before="100" w:after="100"/>
              <w:jc w:val="center"/>
            </w:pPr>
            <w:r>
              <w:t>$1,150</w:t>
            </w:r>
          </w:p>
        </w:tc>
        <w:tc>
          <w:tcPr>
            <w:tcW w:w="1648" w:type="pct"/>
          </w:tcPr>
          <w:p w14:paraId="7A31A432" w14:textId="77777777" w:rsidR="000D07EA" w:rsidRDefault="00BE7C89">
            <w:pPr>
              <w:pStyle w:val="BodyText"/>
              <w:spacing w:before="100" w:after="100"/>
              <w:jc w:val="center"/>
            </w:pPr>
            <w:r>
              <w:t>$1,150</w:t>
            </w:r>
          </w:p>
        </w:tc>
        <w:tc>
          <w:tcPr>
            <w:tcW w:w="1649" w:type="pct"/>
          </w:tcPr>
          <w:p w14:paraId="5D750435" w14:textId="77777777" w:rsidR="000D07EA" w:rsidRDefault="00BE7C89">
            <w:pPr>
              <w:pStyle w:val="BodyText"/>
              <w:spacing w:before="100" w:after="100"/>
              <w:jc w:val="center"/>
            </w:pPr>
            <w:r>
              <w:t>$1,200</w:t>
            </w:r>
          </w:p>
        </w:tc>
      </w:tr>
    </w:tbl>
    <w:p w14:paraId="48EA8983" w14:textId="77777777" w:rsidR="000D07EA" w:rsidRDefault="00BE7C89">
      <w:pPr>
        <w:pStyle w:val="BodyText"/>
        <w:spacing w:before="240"/>
        <w:ind w:left="1440"/>
      </w:pPr>
      <w:r>
        <w:t xml:space="preserve">And for </w:t>
      </w:r>
      <w:r>
        <w:rPr>
          <w:i/>
        </w:rPr>
        <w:t>cancellations</w:t>
      </w:r>
      <w:r>
        <w:t xml:space="preserve"> between months 13-24, an amount in accordance with the following calculations: for months 13-15, 80% of the </w:t>
      </w:r>
      <w:r>
        <w:rPr>
          <w:i/>
        </w:rPr>
        <w:t>cancellation</w:t>
      </w:r>
      <w:r>
        <w:t xml:space="preserve"> </w:t>
      </w:r>
      <w:r>
        <w:rPr>
          <w:i/>
        </w:rPr>
        <w:t>fee</w:t>
      </w:r>
      <w:r>
        <w:t xml:space="preserve">; for months 16-18, 60% of the </w:t>
      </w:r>
      <w:r>
        <w:rPr>
          <w:i/>
        </w:rPr>
        <w:t>cancellation</w:t>
      </w:r>
      <w:r>
        <w:t xml:space="preserve"> </w:t>
      </w:r>
      <w:r>
        <w:rPr>
          <w:i/>
        </w:rPr>
        <w:t>fee</w:t>
      </w:r>
      <w:r>
        <w:t xml:space="preserve">; for months 19-21, 40% of the </w:t>
      </w:r>
      <w:r>
        <w:rPr>
          <w:i/>
        </w:rPr>
        <w:t>cancellation</w:t>
      </w:r>
      <w:r>
        <w:t xml:space="preserve"> </w:t>
      </w:r>
      <w:r>
        <w:rPr>
          <w:i/>
        </w:rPr>
        <w:t>fee</w:t>
      </w:r>
      <w:r>
        <w:t xml:space="preserve">; for months 22-24, 20% of the </w:t>
      </w:r>
      <w:r>
        <w:rPr>
          <w:i/>
        </w:rPr>
        <w:t>cancellation</w:t>
      </w:r>
      <w:r>
        <w:t xml:space="preserve"> </w:t>
      </w:r>
      <w:r>
        <w:rPr>
          <w:i/>
        </w:rPr>
        <w:t>fee</w:t>
      </w:r>
      <w:r>
        <w:t>.</w:t>
      </w:r>
    </w:p>
    <w:p w14:paraId="68AA376F" w14:textId="77777777" w:rsidR="000D07EA" w:rsidRDefault="00BE7C89">
      <w:pPr>
        <w:pStyle w:val="Heading8"/>
      </w:pPr>
      <w:r>
        <w:t>If you are on a 12 month pricing plan, the cancellation fee between months 0-6 is</w:t>
      </w:r>
    </w:p>
    <w:tbl>
      <w:tblPr>
        <w:tblW w:w="3954" w:type="pct"/>
        <w:tblInd w:w="2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4"/>
        <w:gridCol w:w="2656"/>
        <w:gridCol w:w="2657"/>
      </w:tblGrid>
      <w:tr w:rsidR="000D07EA" w14:paraId="0C9A363A" w14:textId="77777777">
        <w:tc>
          <w:tcPr>
            <w:tcW w:w="1703" w:type="pct"/>
          </w:tcPr>
          <w:p w14:paraId="651D9D26" w14:textId="77777777" w:rsidR="000D07EA" w:rsidRDefault="00BE7C89">
            <w:pPr>
              <w:pStyle w:val="BodyText"/>
              <w:spacing w:before="100" w:after="100"/>
              <w:jc w:val="center"/>
              <w:rPr>
                <w:b/>
                <w:bCs/>
                <w:lang w:eastAsia="ko-KR"/>
              </w:rPr>
            </w:pPr>
            <w:r>
              <w:rPr>
                <w:b/>
              </w:rPr>
              <w:t>Timeless Business $99 when you take the $14.99 Mobile Internet Pack or a Smart Data Bolt on</w:t>
            </w:r>
          </w:p>
        </w:tc>
        <w:tc>
          <w:tcPr>
            <w:tcW w:w="1648" w:type="pct"/>
          </w:tcPr>
          <w:p w14:paraId="3C22B65D" w14:textId="77777777" w:rsidR="000D07EA" w:rsidRDefault="00BE7C89">
            <w:pPr>
              <w:pStyle w:val="BodyText"/>
              <w:spacing w:before="100" w:after="100"/>
              <w:jc w:val="center"/>
              <w:rPr>
                <w:b/>
                <w:bCs/>
                <w:lang w:eastAsia="ko-KR"/>
              </w:rPr>
            </w:pPr>
            <w:r>
              <w:rPr>
                <w:b/>
                <w:bCs/>
                <w:lang w:eastAsia="ko-KR"/>
              </w:rPr>
              <w:t>Timeless Business $119 Plan</w:t>
            </w:r>
          </w:p>
        </w:tc>
        <w:tc>
          <w:tcPr>
            <w:tcW w:w="1649" w:type="pct"/>
          </w:tcPr>
          <w:p w14:paraId="1ABAD56B" w14:textId="77777777" w:rsidR="000D07EA" w:rsidRDefault="00BE7C89">
            <w:pPr>
              <w:pStyle w:val="BodyText"/>
              <w:spacing w:before="100" w:after="100"/>
              <w:jc w:val="center"/>
              <w:rPr>
                <w:b/>
                <w:bCs/>
                <w:lang w:eastAsia="ko-KR"/>
              </w:rPr>
            </w:pPr>
            <w:r>
              <w:rPr>
                <w:b/>
                <w:bCs/>
                <w:lang w:eastAsia="ko-KR"/>
              </w:rPr>
              <w:t>Timeless Business $129 Plan</w:t>
            </w:r>
          </w:p>
        </w:tc>
      </w:tr>
      <w:tr w:rsidR="000D07EA" w14:paraId="342C61DE" w14:textId="77777777">
        <w:tc>
          <w:tcPr>
            <w:tcW w:w="1703" w:type="pct"/>
          </w:tcPr>
          <w:p w14:paraId="131F0612" w14:textId="77777777" w:rsidR="000D07EA" w:rsidRDefault="00BE7C89">
            <w:pPr>
              <w:pStyle w:val="BodyText"/>
              <w:spacing w:before="100" w:after="100"/>
              <w:jc w:val="center"/>
            </w:pPr>
            <w:r>
              <w:t>$680</w:t>
            </w:r>
          </w:p>
        </w:tc>
        <w:tc>
          <w:tcPr>
            <w:tcW w:w="1648" w:type="pct"/>
          </w:tcPr>
          <w:p w14:paraId="2838A074" w14:textId="77777777" w:rsidR="000D07EA" w:rsidRDefault="00BE7C89">
            <w:pPr>
              <w:pStyle w:val="BodyText"/>
              <w:spacing w:before="100" w:after="100"/>
              <w:jc w:val="center"/>
            </w:pPr>
            <w:r>
              <w:t>$680</w:t>
            </w:r>
          </w:p>
        </w:tc>
        <w:tc>
          <w:tcPr>
            <w:tcW w:w="1649" w:type="pct"/>
          </w:tcPr>
          <w:p w14:paraId="1F7059A9" w14:textId="77777777" w:rsidR="000D07EA" w:rsidRDefault="00BE7C89">
            <w:pPr>
              <w:pStyle w:val="BodyText"/>
              <w:spacing w:before="100" w:after="100"/>
              <w:jc w:val="center"/>
            </w:pPr>
            <w:r>
              <w:t>$720</w:t>
            </w:r>
          </w:p>
        </w:tc>
      </w:tr>
    </w:tbl>
    <w:p w14:paraId="25B34157" w14:textId="77777777" w:rsidR="000D07EA" w:rsidRDefault="00BE7C89">
      <w:pPr>
        <w:pStyle w:val="BodyText"/>
        <w:spacing w:before="240"/>
        <w:ind w:left="1440"/>
      </w:pPr>
      <w:r>
        <w:t>And for cancellations between months 7-12, an amount in accordance with the following calculations: for months 7-9, 70% of the cancellation fee; for months 10-12, 40% of the cancellation fee.</w:t>
      </w:r>
    </w:p>
    <w:p w14:paraId="68DE6937" w14:textId="77777777" w:rsidR="000D07EA" w:rsidRDefault="00BE7C89">
      <w:pPr>
        <w:pStyle w:val="Heading8"/>
      </w:pPr>
      <w:r>
        <w:t>If you are on a 12 month Timeless Business Plan for iPhone 3G BYO pricing plan, the cancellation fee between months 0-6 is:</w:t>
      </w:r>
    </w:p>
    <w:tbl>
      <w:tblPr>
        <w:tblW w:w="3954" w:type="pct"/>
        <w:tblInd w:w="2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4"/>
        <w:gridCol w:w="2656"/>
        <w:gridCol w:w="2657"/>
      </w:tblGrid>
      <w:tr w:rsidR="000D07EA" w14:paraId="34243D88" w14:textId="77777777">
        <w:tc>
          <w:tcPr>
            <w:tcW w:w="1703" w:type="pct"/>
          </w:tcPr>
          <w:p w14:paraId="37774F2E" w14:textId="77777777" w:rsidR="000D07EA" w:rsidRDefault="00BE7C89">
            <w:pPr>
              <w:pStyle w:val="BodyText"/>
              <w:spacing w:before="100" w:after="100"/>
              <w:jc w:val="center"/>
              <w:rPr>
                <w:b/>
                <w:bCs/>
                <w:lang w:eastAsia="ko-KR"/>
              </w:rPr>
            </w:pPr>
            <w:r>
              <w:rPr>
                <w:b/>
              </w:rPr>
              <w:t>Timeless Business $99 – BYO Bonuses when you take the $14.99 Mobile Internet Pack or a Smart Data Bolt on for iPhone 3G</w:t>
            </w:r>
          </w:p>
        </w:tc>
        <w:tc>
          <w:tcPr>
            <w:tcW w:w="1648" w:type="pct"/>
          </w:tcPr>
          <w:p w14:paraId="77255646" w14:textId="77777777" w:rsidR="000D07EA" w:rsidRDefault="00BE7C89">
            <w:pPr>
              <w:pStyle w:val="BodyText"/>
              <w:spacing w:before="100" w:after="100"/>
              <w:jc w:val="center"/>
              <w:rPr>
                <w:b/>
                <w:bCs/>
                <w:lang w:eastAsia="ko-KR"/>
              </w:rPr>
            </w:pPr>
            <w:r>
              <w:rPr>
                <w:b/>
                <w:bCs/>
                <w:lang w:eastAsia="ko-KR"/>
              </w:rPr>
              <w:t xml:space="preserve">Timeless Business $119 </w:t>
            </w:r>
            <w:r>
              <w:rPr>
                <w:b/>
              </w:rPr>
              <w:t>– BYO Bonuses</w:t>
            </w:r>
            <w:r>
              <w:rPr>
                <w:b/>
                <w:bCs/>
                <w:lang w:eastAsia="ko-KR"/>
              </w:rPr>
              <w:t xml:space="preserve"> Plan for iPhone3G</w:t>
            </w:r>
          </w:p>
        </w:tc>
        <w:tc>
          <w:tcPr>
            <w:tcW w:w="1649" w:type="pct"/>
          </w:tcPr>
          <w:p w14:paraId="6E6BAEF7" w14:textId="77777777" w:rsidR="000D07EA" w:rsidRDefault="00BE7C89">
            <w:pPr>
              <w:pStyle w:val="BodyText"/>
              <w:spacing w:before="100" w:after="100"/>
              <w:jc w:val="center"/>
              <w:rPr>
                <w:b/>
                <w:bCs/>
                <w:lang w:eastAsia="ko-KR"/>
              </w:rPr>
            </w:pPr>
            <w:r>
              <w:rPr>
                <w:b/>
                <w:bCs/>
                <w:lang w:eastAsia="ko-KR"/>
              </w:rPr>
              <w:t xml:space="preserve">Timeless Business $129 </w:t>
            </w:r>
            <w:r>
              <w:rPr>
                <w:b/>
              </w:rPr>
              <w:t>– BYO Bonuses</w:t>
            </w:r>
            <w:r>
              <w:rPr>
                <w:b/>
                <w:bCs/>
                <w:lang w:eastAsia="ko-KR"/>
              </w:rPr>
              <w:t xml:space="preserve"> Plan for iPhone 3G</w:t>
            </w:r>
          </w:p>
        </w:tc>
      </w:tr>
      <w:tr w:rsidR="000D07EA" w14:paraId="2411357A" w14:textId="77777777">
        <w:tc>
          <w:tcPr>
            <w:tcW w:w="1703" w:type="pct"/>
          </w:tcPr>
          <w:p w14:paraId="6D59515C" w14:textId="77777777" w:rsidR="000D07EA" w:rsidRDefault="00BE7C89">
            <w:pPr>
              <w:pStyle w:val="BodyText"/>
              <w:spacing w:before="100" w:after="100"/>
              <w:jc w:val="center"/>
            </w:pPr>
            <w:r>
              <w:t>$195</w:t>
            </w:r>
          </w:p>
        </w:tc>
        <w:tc>
          <w:tcPr>
            <w:tcW w:w="1648" w:type="pct"/>
          </w:tcPr>
          <w:p w14:paraId="16933727" w14:textId="77777777" w:rsidR="000D07EA" w:rsidRDefault="00BE7C89">
            <w:pPr>
              <w:pStyle w:val="BodyText"/>
              <w:spacing w:before="100" w:after="100"/>
              <w:jc w:val="center"/>
            </w:pPr>
            <w:r>
              <w:t>$195</w:t>
            </w:r>
          </w:p>
        </w:tc>
        <w:tc>
          <w:tcPr>
            <w:tcW w:w="1649" w:type="pct"/>
          </w:tcPr>
          <w:p w14:paraId="28B7890B" w14:textId="77777777" w:rsidR="000D07EA" w:rsidRDefault="00BE7C89">
            <w:pPr>
              <w:pStyle w:val="BodyText"/>
              <w:spacing w:before="100" w:after="100"/>
              <w:jc w:val="center"/>
            </w:pPr>
            <w:r>
              <w:t>$200</w:t>
            </w:r>
          </w:p>
        </w:tc>
      </w:tr>
    </w:tbl>
    <w:p w14:paraId="433D51ED" w14:textId="77777777" w:rsidR="000D07EA" w:rsidRDefault="00BE7C89">
      <w:pPr>
        <w:pStyle w:val="BodyText"/>
        <w:spacing w:before="240"/>
        <w:ind w:left="1440"/>
      </w:pPr>
      <w:r>
        <w:lastRenderedPageBreak/>
        <w:t>And for cancellations between months 7-12, an amount in accordance with the following calculations: for months 7-9, 70% of the cancellation fee; for months 10-12, 40% of the cancellation fee.</w:t>
      </w:r>
    </w:p>
    <w:p w14:paraId="227CCB50" w14:textId="77777777" w:rsidR="000D07EA" w:rsidRDefault="00BE7C89">
      <w:pPr>
        <w:pStyle w:val="Heading6"/>
        <w:ind w:left="0" w:firstLine="0"/>
      </w:pPr>
      <w:r>
        <w:t>Optus SMB Rewards</w:t>
      </w:r>
    </w:p>
    <w:p w14:paraId="28908A37" w14:textId="77777777" w:rsidR="000D07EA" w:rsidRDefault="00BE7C89">
      <w:pPr>
        <w:pStyle w:val="BodyText"/>
        <w:ind w:left="720"/>
      </w:pPr>
      <w:r>
        <w:t xml:space="preserve">Optus 'yes' Business Rewards is a </w:t>
      </w:r>
      <w:r>
        <w:rPr>
          <w:i/>
        </w:rPr>
        <w:t>special</w:t>
      </w:r>
      <w:r>
        <w:t xml:space="preserve"> available to </w:t>
      </w:r>
      <w:r>
        <w:rPr>
          <w:i/>
        </w:rPr>
        <w:t>small</w:t>
      </w:r>
      <w:r>
        <w:t xml:space="preserve"> </w:t>
      </w:r>
      <w:r>
        <w:rPr>
          <w:i/>
        </w:rPr>
        <w:t>or</w:t>
      </w:r>
      <w:r>
        <w:t xml:space="preserve"> </w:t>
      </w:r>
      <w:r>
        <w:rPr>
          <w:i/>
        </w:rPr>
        <w:t>medium</w:t>
      </w:r>
      <w:r>
        <w:t xml:space="preserve"> </w:t>
      </w:r>
      <w:r>
        <w:rPr>
          <w:i/>
        </w:rPr>
        <w:t>business</w:t>
      </w:r>
      <w:r>
        <w:t xml:space="preserve"> </w:t>
      </w:r>
      <w:r>
        <w:rPr>
          <w:i/>
        </w:rPr>
        <w:t>customers</w:t>
      </w:r>
      <w:r>
        <w:t xml:space="preserve"> who connect to the </w:t>
      </w:r>
      <w:r>
        <w:rPr>
          <w:i/>
        </w:rPr>
        <w:t>service</w:t>
      </w:r>
      <w:r>
        <w:t xml:space="preserve"> on an eligible </w:t>
      </w:r>
      <w:r>
        <w:rPr>
          <w:i/>
        </w:rPr>
        <w:t>pricing</w:t>
      </w:r>
      <w:r>
        <w:t xml:space="preserve"> </w:t>
      </w:r>
      <w:r>
        <w:rPr>
          <w:i/>
        </w:rPr>
        <w:t>plan</w:t>
      </w:r>
      <w:r>
        <w:t xml:space="preserve"> after 23 November 2005. It involves more than one </w:t>
      </w:r>
      <w:r>
        <w:rPr>
          <w:i/>
        </w:rPr>
        <w:t>service</w:t>
      </w:r>
      <w:r>
        <w:t xml:space="preserve"> and each of the services </w:t>
      </w:r>
      <w:r>
        <w:rPr>
          <w:i/>
        </w:rPr>
        <w:t>you</w:t>
      </w:r>
      <w:r>
        <w:t xml:space="preserve"> select as part of </w:t>
      </w:r>
      <w:r>
        <w:rPr>
          <w:i/>
        </w:rPr>
        <w:t>your</w:t>
      </w:r>
      <w:r>
        <w:t xml:space="preserve"> package is provided to </w:t>
      </w:r>
      <w:r>
        <w:rPr>
          <w:i/>
        </w:rPr>
        <w:t>you</w:t>
      </w:r>
      <w:r>
        <w:t xml:space="preserve"> by the relevant Optus company on the terms and conditions of the </w:t>
      </w:r>
      <w:r>
        <w:rPr>
          <w:i/>
        </w:rPr>
        <w:t>agreement</w:t>
      </w:r>
      <w:r>
        <w:t xml:space="preserve"> for the supply of that </w:t>
      </w:r>
      <w:r>
        <w:rPr>
          <w:i/>
        </w:rPr>
        <w:t>service</w:t>
      </w:r>
      <w:r>
        <w:t xml:space="preserve">. Details of the various packages available and of any additional terms and conditions that apply to 'yes' Business Rewards are set out in </w:t>
      </w:r>
      <w:hyperlink r:id="rId214" w:history="1">
        <w:r>
          <w:rPr>
            <w:rStyle w:val="Hyperlink"/>
            <w:i/>
          </w:rPr>
          <w:t>Appendix</w:t>
        </w:r>
        <w:r>
          <w:rPr>
            <w:rStyle w:val="Hyperlink"/>
          </w:rPr>
          <w:t xml:space="preserve"> </w:t>
        </w:r>
        <w:r>
          <w:rPr>
            <w:rStyle w:val="Hyperlink"/>
            <w:i/>
          </w:rPr>
          <w:t>IB</w:t>
        </w:r>
      </w:hyperlink>
      <w:r>
        <w:t>.</w:t>
      </w:r>
    </w:p>
    <w:p w14:paraId="4C1324C4" w14:textId="77777777" w:rsidR="000D07EA" w:rsidRDefault="00BE7C89">
      <w:pPr>
        <w:pStyle w:val="Heading6"/>
        <w:keepNext/>
        <w:ind w:left="0" w:firstLine="0"/>
      </w:pPr>
      <w:r>
        <w:t>Business Bonus</w:t>
      </w:r>
    </w:p>
    <w:p w14:paraId="1576434E" w14:textId="77777777" w:rsidR="000D07EA" w:rsidRDefault="00BE7C89">
      <w:pPr>
        <w:pStyle w:val="BodyText"/>
        <w:ind w:left="720"/>
      </w:pPr>
      <w:r>
        <w:t xml:space="preserve">If </w:t>
      </w:r>
      <w:r>
        <w:rPr>
          <w:i/>
        </w:rPr>
        <w:t>you</w:t>
      </w:r>
      <w:r>
        <w:t xml:space="preserve"> do not purchase or receive new discounted mobile hardware from either </w:t>
      </w:r>
      <w:r>
        <w:rPr>
          <w:i/>
        </w:rPr>
        <w:t>us</w:t>
      </w:r>
      <w:r>
        <w:t xml:space="preserve"> or an Optus dealer, partner or reseller when connecting to the Timeless Business for iPhone 3G </w:t>
      </w:r>
      <w:r>
        <w:rPr>
          <w:i/>
        </w:rPr>
        <w:t>pricing</w:t>
      </w:r>
      <w:r>
        <w:t xml:space="preserve"> </w:t>
      </w:r>
      <w:r>
        <w:rPr>
          <w:i/>
        </w:rPr>
        <w:t>plan</w:t>
      </w:r>
      <w:r>
        <w:t xml:space="preserve"> with a 12 or 24 month </w:t>
      </w:r>
      <w:r>
        <w:rPr>
          <w:i/>
        </w:rPr>
        <w:t>minimum</w:t>
      </w:r>
      <w:r>
        <w:t xml:space="preserve"> </w:t>
      </w:r>
      <w:r>
        <w:rPr>
          <w:i/>
        </w:rPr>
        <w:t>term</w:t>
      </w:r>
      <w:r>
        <w:t xml:space="preserve"> </w:t>
      </w:r>
      <w:r>
        <w:rPr>
          <w:i/>
        </w:rPr>
        <w:t>you</w:t>
      </w:r>
      <w:r>
        <w:t xml:space="preserve"> are eligible for a credit called "BYO Bonus" on </w:t>
      </w:r>
      <w:r>
        <w:rPr>
          <w:i/>
        </w:rPr>
        <w:t>your</w:t>
      </w:r>
      <w:r>
        <w:t xml:space="preserve"> </w:t>
      </w:r>
      <w:r>
        <w:rPr>
          <w:i/>
        </w:rPr>
        <w:t>mobile</w:t>
      </w:r>
      <w:r>
        <w:t xml:space="preserve"> </w:t>
      </w:r>
      <w:r>
        <w:rPr>
          <w:i/>
        </w:rPr>
        <w:t>phone</w:t>
      </w:r>
      <w:r>
        <w:t xml:space="preserve"> tax invoice/account. (For the avoidance of doubt, </w:t>
      </w:r>
      <w:r>
        <w:rPr>
          <w:i/>
        </w:rPr>
        <w:t>you</w:t>
      </w:r>
      <w:r>
        <w:t xml:space="preserve"> will not be eligible for any "BYO Bonus" credit if, at the time </w:t>
      </w:r>
      <w:r>
        <w:rPr>
          <w:i/>
        </w:rPr>
        <w:t>you</w:t>
      </w:r>
      <w:r>
        <w:t xml:space="preserve"> enter into the </w:t>
      </w:r>
      <w:r>
        <w:rPr>
          <w:i/>
        </w:rPr>
        <w:t>agreement</w:t>
      </w:r>
      <w:r>
        <w:t xml:space="preserve"> for the </w:t>
      </w:r>
      <w:r>
        <w:rPr>
          <w:i/>
        </w:rPr>
        <w:t>service</w:t>
      </w:r>
      <w:r>
        <w:t xml:space="preserve"> with </w:t>
      </w:r>
      <w:r>
        <w:rPr>
          <w:i/>
        </w:rPr>
        <w:t>us</w:t>
      </w:r>
      <w:r>
        <w:t xml:space="preserve"> </w:t>
      </w:r>
      <w:r>
        <w:rPr>
          <w:i/>
        </w:rPr>
        <w:t>you</w:t>
      </w:r>
      <w:r>
        <w:t xml:space="preserve"> purchase or receive mobile hardware under a separate agreement with an Optus dealer, partner or reseller.) The credit will be applied to </w:t>
      </w:r>
      <w:r>
        <w:rPr>
          <w:i/>
        </w:rPr>
        <w:t>your</w:t>
      </w:r>
      <w:r>
        <w:t xml:space="preserve"> account in the first or second month of your contract and will be equal to your Minimum monthly commitment. </w:t>
      </w:r>
      <w:r>
        <w:rPr>
          <w:i/>
        </w:rPr>
        <w:t>You</w:t>
      </w:r>
      <w:r>
        <w:t xml:space="preserve"> will still receive your full included value. Customers who select a 12 month plan will receive 1 "BYO Bonus" where as customers who select a 24 month plan will receive 2 "BYO Bonus". This credit is not redeemable for cash or refundable upon </w:t>
      </w:r>
      <w:r>
        <w:rPr>
          <w:i/>
        </w:rPr>
        <w:t>cancellation</w:t>
      </w:r>
      <w:r>
        <w:t xml:space="preserve"> of </w:t>
      </w:r>
      <w:r>
        <w:rPr>
          <w:i/>
        </w:rPr>
        <w:t>your</w:t>
      </w:r>
      <w:r>
        <w:t xml:space="preserve"> </w:t>
      </w:r>
      <w:r>
        <w:rPr>
          <w:i/>
        </w:rPr>
        <w:t>agreement</w:t>
      </w:r>
      <w:r>
        <w:t>.</w:t>
      </w:r>
    </w:p>
    <w:p w14:paraId="7500C17A" w14:textId="77777777" w:rsidR="000D07EA" w:rsidRDefault="00BE7C89">
      <w:pPr>
        <w:pStyle w:val="Heading4"/>
      </w:pPr>
      <w:bookmarkStart w:id="333" w:name="_Toc62644628"/>
      <w:r>
        <w:t>Bus Business Internet Plans (Incorporating Timeless Business Internet $99 Plan + $14.99 Mobile Internet Pack or 'yes' Business Data Bolt On, Timeless Business Internet $129 Plan)</w:t>
      </w:r>
      <w:bookmarkEnd w:id="333"/>
    </w:p>
    <w:p w14:paraId="390B63BA" w14:textId="77777777" w:rsidR="000D07EA" w:rsidRDefault="00BE7C89">
      <w:pPr>
        <w:pStyle w:val="Heading6"/>
        <w:ind w:left="0" w:firstLine="0"/>
      </w:pPr>
      <w:r>
        <w:t>Eligibility</w:t>
      </w:r>
    </w:p>
    <w:p w14:paraId="04FD9A89" w14:textId="77777777" w:rsidR="000D07EA" w:rsidRDefault="00BE7C89">
      <w:pPr>
        <w:pStyle w:val="Heading7"/>
      </w:pPr>
      <w:r>
        <w:t xml:space="preserve">The Timeless Business Internet Plans are available to customers </w:t>
      </w:r>
      <w:r>
        <w:rPr>
          <w:i/>
        </w:rPr>
        <w:t>we</w:t>
      </w:r>
      <w:r>
        <w:t xml:space="preserve"> classify as </w:t>
      </w:r>
      <w:r>
        <w:rPr>
          <w:i/>
        </w:rPr>
        <w:t>small or medium business</w:t>
      </w:r>
      <w:r>
        <w:t xml:space="preserve"> customers. </w:t>
      </w:r>
    </w:p>
    <w:p w14:paraId="101E2395" w14:textId="77777777" w:rsidR="000D07EA" w:rsidRDefault="00BE7C89">
      <w:pPr>
        <w:pStyle w:val="Heading7"/>
      </w:pPr>
      <w:r>
        <w:t xml:space="preserve">Customers ordering a </w:t>
      </w:r>
      <w:r>
        <w:rPr>
          <w:i/>
        </w:rPr>
        <w:t>mobile phone</w:t>
      </w:r>
      <w:r>
        <w:t xml:space="preserve"> with an </w:t>
      </w:r>
      <w:r>
        <w:rPr>
          <w:i/>
        </w:rPr>
        <w:t>Optus SIM card</w:t>
      </w:r>
      <w:r>
        <w:t xml:space="preserve"> on Timeless Business Internet </w:t>
      </w:r>
      <w:r>
        <w:rPr>
          <w:i/>
        </w:rPr>
        <w:t>pricing plan</w:t>
      </w:r>
      <w:r>
        <w:t xml:space="preserve"> must be connected to that </w:t>
      </w:r>
      <w:r>
        <w:rPr>
          <w:i/>
        </w:rPr>
        <w:t>pricing plan</w:t>
      </w:r>
      <w:r>
        <w:t xml:space="preserve"> and activated within 14 days after delivery.</w:t>
      </w:r>
    </w:p>
    <w:p w14:paraId="6F47CC3D" w14:textId="77777777" w:rsidR="000D07EA" w:rsidRDefault="00BE7C89">
      <w:pPr>
        <w:pStyle w:val="Heading7"/>
      </w:pPr>
      <w:r>
        <w:t xml:space="preserve">The Timeless Business Internet Plans are only available to </w:t>
      </w:r>
      <w:r>
        <w:rPr>
          <w:i/>
        </w:rPr>
        <w:t>you</w:t>
      </w:r>
      <w:r>
        <w:t xml:space="preserve"> if </w:t>
      </w:r>
      <w:r>
        <w:rPr>
          <w:i/>
        </w:rPr>
        <w:t>you</w:t>
      </w:r>
      <w:r>
        <w:t xml:space="preserve"> use an eligible handset which remains connected on this plan. If </w:t>
      </w:r>
      <w:r>
        <w:rPr>
          <w:i/>
        </w:rPr>
        <w:t>your</w:t>
      </w:r>
      <w:r>
        <w:t xml:space="preserve"> eligible handset is no longer used and connected on the Timeless Business Internet Plan then Optus will transfer </w:t>
      </w:r>
      <w:r>
        <w:rPr>
          <w:i/>
        </w:rPr>
        <w:t>your</w:t>
      </w:r>
      <w:r>
        <w:t xml:space="preserve"> service to an equivalent non Timeless Business Internet rate plan</w:t>
      </w:r>
    </w:p>
    <w:p w14:paraId="30733A72" w14:textId="77777777" w:rsidR="000D07EA" w:rsidRDefault="00BE7C89">
      <w:pPr>
        <w:pStyle w:val="Heading6"/>
        <w:ind w:left="0" w:firstLine="0"/>
        <w:rPr>
          <w:i/>
        </w:rPr>
      </w:pPr>
      <w:r>
        <w:rPr>
          <w:i/>
        </w:rPr>
        <w:t>Minimum Term</w:t>
      </w:r>
    </w:p>
    <w:p w14:paraId="4F95EBAC" w14:textId="77777777" w:rsidR="000D07EA" w:rsidRDefault="00BE7C89">
      <w:pPr>
        <w:pStyle w:val="Heading7"/>
      </w:pPr>
      <w:r>
        <w:rPr>
          <w:i/>
        </w:rPr>
        <w:t>You</w:t>
      </w:r>
      <w:r>
        <w:t xml:space="preserve"> must agree to either a </w:t>
      </w:r>
      <w:r>
        <w:rPr>
          <w:i/>
        </w:rPr>
        <w:t>non-fixed length agreement</w:t>
      </w:r>
      <w:r>
        <w:t xml:space="preserve"> or a </w:t>
      </w:r>
      <w:r>
        <w:rPr>
          <w:i/>
        </w:rPr>
        <w:t>fixed length agreement</w:t>
      </w:r>
      <w:r>
        <w:t xml:space="preserve"> with a 12 month or 24 month </w:t>
      </w:r>
      <w:r>
        <w:rPr>
          <w:i/>
        </w:rPr>
        <w:t>minimum term</w:t>
      </w:r>
      <w:r>
        <w:t xml:space="preserve">. </w:t>
      </w:r>
    </w:p>
    <w:p w14:paraId="457F1188" w14:textId="77777777" w:rsidR="000D07EA" w:rsidRDefault="00BE7C89">
      <w:pPr>
        <w:pStyle w:val="Heading7"/>
      </w:pPr>
      <w:r>
        <w:rPr>
          <w:i/>
        </w:rPr>
        <w:t>You</w:t>
      </w:r>
      <w:r>
        <w:t xml:space="preserve"> may purchase an eligible handset with a 24 month </w:t>
      </w:r>
      <w:r>
        <w:rPr>
          <w:i/>
        </w:rPr>
        <w:t>equipment</w:t>
      </w:r>
      <w:r>
        <w:t xml:space="preserve"> </w:t>
      </w:r>
      <w:r>
        <w:rPr>
          <w:i/>
        </w:rPr>
        <w:t>term</w:t>
      </w:r>
      <w:r>
        <w:t xml:space="preserve"> under a </w:t>
      </w:r>
      <w:r>
        <w:rPr>
          <w:i/>
        </w:rPr>
        <w:t>mobile</w:t>
      </w:r>
      <w:r>
        <w:t xml:space="preserve"> </w:t>
      </w:r>
      <w:r>
        <w:rPr>
          <w:i/>
        </w:rPr>
        <w:t>equipment</w:t>
      </w:r>
      <w:r>
        <w:t xml:space="preserve"> </w:t>
      </w:r>
      <w:r>
        <w:rPr>
          <w:i/>
        </w:rPr>
        <w:t>payment</w:t>
      </w:r>
      <w:r>
        <w:t xml:space="preserve"> </w:t>
      </w:r>
      <w:r>
        <w:rPr>
          <w:i/>
        </w:rPr>
        <w:t>plan</w:t>
      </w:r>
      <w:r>
        <w:t xml:space="preserve"> on a 24 month </w:t>
      </w:r>
      <w:r>
        <w:rPr>
          <w:i/>
        </w:rPr>
        <w:t>fixed</w:t>
      </w:r>
      <w:r>
        <w:t xml:space="preserve"> </w:t>
      </w:r>
      <w:r>
        <w:rPr>
          <w:i/>
        </w:rPr>
        <w:t>length</w:t>
      </w:r>
      <w:r>
        <w:t xml:space="preserve"> </w:t>
      </w:r>
      <w:r>
        <w:rPr>
          <w:i/>
        </w:rPr>
        <w:t>agreement</w:t>
      </w:r>
      <w:r>
        <w:t xml:space="preserve">. If </w:t>
      </w:r>
      <w:r>
        <w:rPr>
          <w:i/>
        </w:rPr>
        <w:t>you</w:t>
      </w:r>
      <w:r>
        <w:t xml:space="preserve"> agree to a 24 month </w:t>
      </w:r>
      <w:r>
        <w:rPr>
          <w:i/>
        </w:rPr>
        <w:t>fixed</w:t>
      </w:r>
      <w:r>
        <w:t xml:space="preserve"> </w:t>
      </w:r>
      <w:r>
        <w:rPr>
          <w:i/>
        </w:rPr>
        <w:t>length</w:t>
      </w:r>
      <w:r>
        <w:t xml:space="preserve"> </w:t>
      </w:r>
      <w:r>
        <w:rPr>
          <w:i/>
        </w:rPr>
        <w:t>agreement</w:t>
      </w:r>
      <w:r>
        <w:t xml:space="preserve"> the price of </w:t>
      </w:r>
      <w:r>
        <w:rPr>
          <w:i/>
        </w:rPr>
        <w:t>mobile</w:t>
      </w:r>
      <w:r>
        <w:t xml:space="preserve"> </w:t>
      </w:r>
      <w:r>
        <w:rPr>
          <w:i/>
        </w:rPr>
        <w:t>phones</w:t>
      </w:r>
      <w:r>
        <w:t xml:space="preserve"> available is less than if </w:t>
      </w:r>
      <w:r>
        <w:rPr>
          <w:i/>
        </w:rPr>
        <w:t>you</w:t>
      </w:r>
      <w:r>
        <w:t xml:space="preserve"> only agree to a </w:t>
      </w:r>
      <w:r>
        <w:rPr>
          <w:i/>
        </w:rPr>
        <w:t>non-fixed</w:t>
      </w:r>
      <w:r>
        <w:t xml:space="preserve"> </w:t>
      </w:r>
      <w:r>
        <w:rPr>
          <w:i/>
        </w:rPr>
        <w:t>length</w:t>
      </w:r>
      <w:r>
        <w:t xml:space="preserve"> </w:t>
      </w:r>
      <w:r>
        <w:rPr>
          <w:i/>
        </w:rPr>
        <w:t>agreement</w:t>
      </w:r>
      <w:r>
        <w:t xml:space="preserve">. </w:t>
      </w:r>
    </w:p>
    <w:p w14:paraId="36D06566" w14:textId="77777777" w:rsidR="000D07EA" w:rsidRDefault="00BE7C89">
      <w:pPr>
        <w:pStyle w:val="Heading7"/>
      </w:pPr>
      <w:r>
        <w:t xml:space="preserve">You may purchase an eligible handset with a 12 month </w:t>
      </w:r>
      <w:r>
        <w:rPr>
          <w:i/>
        </w:rPr>
        <w:t>equipment</w:t>
      </w:r>
      <w:r>
        <w:t xml:space="preserve"> </w:t>
      </w:r>
      <w:r>
        <w:rPr>
          <w:i/>
        </w:rPr>
        <w:t>term</w:t>
      </w:r>
      <w:r>
        <w:t xml:space="preserve"> under a </w:t>
      </w:r>
      <w:r>
        <w:rPr>
          <w:i/>
        </w:rPr>
        <w:t>mobile</w:t>
      </w:r>
      <w:r>
        <w:t xml:space="preserve"> </w:t>
      </w:r>
      <w:r>
        <w:rPr>
          <w:i/>
        </w:rPr>
        <w:t>equipment</w:t>
      </w:r>
      <w:r>
        <w:t xml:space="preserve"> </w:t>
      </w:r>
      <w:r>
        <w:rPr>
          <w:i/>
        </w:rPr>
        <w:t>payment</w:t>
      </w:r>
      <w:r>
        <w:t xml:space="preserve"> </w:t>
      </w:r>
      <w:r>
        <w:rPr>
          <w:i/>
        </w:rPr>
        <w:t>plan</w:t>
      </w:r>
      <w:r>
        <w:t xml:space="preserve"> on a 12 month </w:t>
      </w:r>
      <w:r>
        <w:rPr>
          <w:i/>
        </w:rPr>
        <w:t>fixed</w:t>
      </w:r>
      <w:r>
        <w:t xml:space="preserve"> </w:t>
      </w:r>
      <w:r>
        <w:rPr>
          <w:i/>
        </w:rPr>
        <w:t>length</w:t>
      </w:r>
      <w:r>
        <w:t xml:space="preserve"> </w:t>
      </w:r>
      <w:r>
        <w:rPr>
          <w:i/>
        </w:rPr>
        <w:t>agreement</w:t>
      </w:r>
      <w:r>
        <w:t xml:space="preserve">. If </w:t>
      </w:r>
      <w:r>
        <w:rPr>
          <w:i/>
        </w:rPr>
        <w:t>you</w:t>
      </w:r>
      <w:r>
        <w:t xml:space="preserve"> agree to a 12 month </w:t>
      </w:r>
      <w:r>
        <w:rPr>
          <w:i/>
        </w:rPr>
        <w:t>fixed</w:t>
      </w:r>
      <w:r>
        <w:t xml:space="preserve"> </w:t>
      </w:r>
      <w:r>
        <w:rPr>
          <w:i/>
        </w:rPr>
        <w:t>length</w:t>
      </w:r>
      <w:r>
        <w:t xml:space="preserve"> </w:t>
      </w:r>
      <w:r>
        <w:rPr>
          <w:i/>
        </w:rPr>
        <w:t>agreement</w:t>
      </w:r>
      <w:r>
        <w:t xml:space="preserve"> the price of </w:t>
      </w:r>
      <w:r>
        <w:rPr>
          <w:i/>
        </w:rPr>
        <w:t>mobile</w:t>
      </w:r>
      <w:r>
        <w:t xml:space="preserve"> </w:t>
      </w:r>
      <w:r>
        <w:rPr>
          <w:i/>
        </w:rPr>
        <w:t>phones</w:t>
      </w:r>
      <w:r>
        <w:t xml:space="preserve"> available is less than if </w:t>
      </w:r>
      <w:r>
        <w:rPr>
          <w:i/>
        </w:rPr>
        <w:t>you</w:t>
      </w:r>
      <w:r>
        <w:t xml:space="preserve"> only agree to a </w:t>
      </w:r>
      <w:r>
        <w:rPr>
          <w:i/>
        </w:rPr>
        <w:t>non-fixed</w:t>
      </w:r>
      <w:r>
        <w:t xml:space="preserve"> </w:t>
      </w:r>
      <w:r>
        <w:rPr>
          <w:i/>
        </w:rPr>
        <w:t>length</w:t>
      </w:r>
      <w:r>
        <w:t xml:space="preserve"> </w:t>
      </w:r>
      <w:r>
        <w:rPr>
          <w:i/>
        </w:rPr>
        <w:t>agreement</w:t>
      </w:r>
      <w:r>
        <w:t>.</w:t>
      </w:r>
    </w:p>
    <w:p w14:paraId="73CECF78" w14:textId="77777777" w:rsidR="000D07EA" w:rsidRDefault="00BE7C89">
      <w:pPr>
        <w:pStyle w:val="Heading6"/>
        <w:ind w:left="0" w:firstLine="0"/>
      </w:pPr>
      <w:r>
        <w:t xml:space="preserve">What </w:t>
      </w:r>
      <w:r>
        <w:rPr>
          <w:i/>
        </w:rPr>
        <w:t>you</w:t>
      </w:r>
      <w:r>
        <w:t xml:space="preserve"> have to pay </w:t>
      </w:r>
      <w:r>
        <w:rPr>
          <w:i/>
        </w:rPr>
        <w:t>us</w:t>
      </w:r>
    </w:p>
    <w:p w14:paraId="5FFA317E" w14:textId="77777777" w:rsidR="000D07EA" w:rsidRDefault="00BE7C89">
      <w:pPr>
        <w:pStyle w:val="Heading7"/>
      </w:pPr>
      <w:r>
        <w:lastRenderedPageBreak/>
        <w:t xml:space="preserve">If </w:t>
      </w:r>
      <w:r>
        <w:rPr>
          <w:i/>
        </w:rPr>
        <w:t>you</w:t>
      </w:r>
      <w:r>
        <w:t xml:space="preserve"> connect to this </w:t>
      </w:r>
      <w:r>
        <w:rPr>
          <w:i/>
        </w:rPr>
        <w:t>pricing</w:t>
      </w:r>
      <w:r>
        <w:t xml:space="preserve"> </w:t>
      </w:r>
      <w:r>
        <w:rPr>
          <w:i/>
        </w:rPr>
        <w:t>plan</w:t>
      </w:r>
      <w:r>
        <w:t xml:space="preserve"> </w:t>
      </w:r>
      <w:r>
        <w:rPr>
          <w:i/>
        </w:rPr>
        <w:t>you</w:t>
      </w:r>
      <w:r>
        <w:t xml:space="preserve"> are also required to incur usage charges each month (</w:t>
      </w:r>
      <w:r>
        <w:rPr>
          <w:i/>
        </w:rPr>
        <w:t>Optus</w:t>
      </w:r>
      <w:r>
        <w:t xml:space="preserve"> </w:t>
      </w:r>
      <w:r>
        <w:rPr>
          <w:i/>
        </w:rPr>
        <w:t>SIM</w:t>
      </w:r>
      <w:r>
        <w:t xml:space="preserve"> </w:t>
      </w:r>
      <w:r>
        <w:rPr>
          <w:i/>
        </w:rPr>
        <w:t>cards</w:t>
      </w:r>
      <w:r>
        <w:t xml:space="preserve"> which do not incur usage are not permitted). </w:t>
      </w:r>
    </w:p>
    <w:p w14:paraId="1C499534" w14:textId="77777777" w:rsidR="000D07EA" w:rsidRDefault="00BE7C89">
      <w:pPr>
        <w:pStyle w:val="Heading7"/>
      </w:pPr>
      <w:r>
        <w:t xml:space="preserve">If activation or usage does not occur, </w:t>
      </w:r>
      <w:r>
        <w:rPr>
          <w:i/>
        </w:rPr>
        <w:t>we</w:t>
      </w:r>
      <w:r>
        <w:t xml:space="preserve"> may </w:t>
      </w:r>
      <w:r>
        <w:rPr>
          <w:i/>
        </w:rPr>
        <w:t>cancel</w:t>
      </w:r>
      <w:r>
        <w:t xml:space="preserve"> the </w:t>
      </w:r>
      <w:r>
        <w:rPr>
          <w:i/>
        </w:rPr>
        <w:t>agreement</w:t>
      </w:r>
      <w:r>
        <w:t xml:space="preserve"> and </w:t>
      </w:r>
      <w:r>
        <w:rPr>
          <w:i/>
        </w:rPr>
        <w:t>you</w:t>
      </w:r>
      <w:r>
        <w:t xml:space="preserve"> will be required to pay us the relevant </w:t>
      </w:r>
      <w:r>
        <w:rPr>
          <w:i/>
        </w:rPr>
        <w:t>cancellation</w:t>
      </w:r>
      <w:r>
        <w:t xml:space="preserve"> </w:t>
      </w:r>
      <w:r>
        <w:rPr>
          <w:i/>
        </w:rPr>
        <w:t>fee</w:t>
      </w:r>
      <w:r>
        <w:t xml:space="preserve">, if applicable, specified in the table in paragraph </w:t>
      </w:r>
      <w:r w:rsidR="00927AED" w:rsidRPr="00272628">
        <w:t>87</w:t>
      </w:r>
      <w:r w:rsidRPr="00272628">
        <w:t>.4 below</w:t>
      </w:r>
      <w:r>
        <w:t>.</w:t>
      </w:r>
    </w:p>
    <w:p w14:paraId="4DEDAAFB" w14:textId="77777777" w:rsidR="000D07EA" w:rsidRDefault="00BE7C89">
      <w:pPr>
        <w:pStyle w:val="Heading7"/>
      </w:pPr>
      <w:r>
        <w:t xml:space="preserve">Subject to paragraphs </w:t>
      </w:r>
      <w:r>
        <w:fldChar w:fldCharType="begin"/>
      </w:r>
      <w:r>
        <w:instrText xml:space="preserve"> REF _Ref461548923 \n \h </w:instrText>
      </w:r>
      <w:r>
        <w:fldChar w:fldCharType="separate"/>
      </w:r>
      <w:r w:rsidR="0004083A">
        <w:t>(e)</w:t>
      </w:r>
      <w:r>
        <w:fldChar w:fldCharType="end"/>
      </w:r>
      <w:r>
        <w:t xml:space="preserve">, </w:t>
      </w:r>
      <w:r>
        <w:fldChar w:fldCharType="begin"/>
      </w:r>
      <w:r>
        <w:instrText xml:space="preserve"> REF _Ref461548927 \n \h </w:instrText>
      </w:r>
      <w:r>
        <w:fldChar w:fldCharType="separate"/>
      </w:r>
      <w:r w:rsidR="0004083A">
        <w:t>(f)</w:t>
      </w:r>
      <w:r>
        <w:fldChar w:fldCharType="end"/>
      </w:r>
      <w:r>
        <w:t xml:space="preserve"> and </w:t>
      </w:r>
      <w:r>
        <w:fldChar w:fldCharType="begin"/>
      </w:r>
      <w:r>
        <w:instrText xml:space="preserve"> REF _Ref461548931 \n \h </w:instrText>
      </w:r>
      <w:r>
        <w:fldChar w:fldCharType="separate"/>
      </w:r>
      <w:r w:rsidR="0004083A">
        <w:t>(g)</w:t>
      </w:r>
      <w:r>
        <w:fldChar w:fldCharType="end"/>
      </w:r>
      <w:r>
        <w:t xml:space="preserve"> below </w:t>
      </w:r>
      <w:r>
        <w:rPr>
          <w:i/>
        </w:rPr>
        <w:t>you</w:t>
      </w:r>
      <w:r>
        <w:t xml:space="preserve"> must pay </w:t>
      </w:r>
      <w:r>
        <w:rPr>
          <w:i/>
        </w:rPr>
        <w:t>us</w:t>
      </w:r>
      <w:r>
        <w:t xml:space="preserve"> for use of the </w:t>
      </w:r>
      <w:r>
        <w:rPr>
          <w:i/>
        </w:rPr>
        <w:t>service</w:t>
      </w:r>
      <w:r>
        <w:t xml:space="preserve"> at the rates set out in </w:t>
      </w:r>
      <w:hyperlink r:id="rId215" w:history="1">
        <w:r>
          <w:rPr>
            <w:rStyle w:val="Hyperlink"/>
          </w:rPr>
          <w:t>Section 1</w:t>
        </w:r>
      </w:hyperlink>
      <w:r>
        <w:t xml:space="preserve"> of this </w:t>
      </w:r>
      <w:r>
        <w:rPr>
          <w:i/>
        </w:rPr>
        <w:t>standard</w:t>
      </w:r>
      <w:r>
        <w:t xml:space="preserve"> </w:t>
      </w:r>
      <w:r>
        <w:rPr>
          <w:i/>
        </w:rPr>
        <w:t>pricing</w:t>
      </w:r>
      <w:r>
        <w:t xml:space="preserve"> </w:t>
      </w:r>
      <w:r>
        <w:rPr>
          <w:i/>
        </w:rPr>
        <w:t>table</w:t>
      </w:r>
      <w:r>
        <w:t xml:space="preserve"> and for </w:t>
      </w:r>
      <w:r>
        <w:rPr>
          <w:i/>
        </w:rPr>
        <w:t>value</w:t>
      </w:r>
      <w:r>
        <w:t xml:space="preserve"> </w:t>
      </w:r>
      <w:r>
        <w:rPr>
          <w:i/>
        </w:rPr>
        <w:t>added</w:t>
      </w:r>
      <w:r>
        <w:t xml:space="preserve"> </w:t>
      </w:r>
      <w:r>
        <w:rPr>
          <w:i/>
        </w:rPr>
        <w:t>service</w:t>
      </w:r>
      <w:r>
        <w:t xml:space="preserve"> </w:t>
      </w:r>
      <w:r>
        <w:rPr>
          <w:i/>
        </w:rPr>
        <w:t>features</w:t>
      </w:r>
      <w:r>
        <w:t xml:space="preserve"> at the rates set out in </w:t>
      </w:r>
      <w:hyperlink r:id="rId216" w:history="1">
        <w:r>
          <w:rPr>
            <w:rStyle w:val="Hyperlink"/>
          </w:rPr>
          <w:t>Appendix Y</w:t>
        </w:r>
      </w:hyperlink>
      <w:r>
        <w:t xml:space="preserve"> Value Added Service Features. </w:t>
      </w:r>
    </w:p>
    <w:p w14:paraId="31C536C7" w14:textId="77777777" w:rsidR="000D07EA" w:rsidRDefault="00BE7C89">
      <w:pPr>
        <w:pStyle w:val="Heading7"/>
      </w:pPr>
      <w:r>
        <w:t xml:space="preserve">If there is a </w:t>
      </w:r>
      <w:r>
        <w:rPr>
          <w:i/>
        </w:rPr>
        <w:t>flagfall</w:t>
      </w:r>
      <w:r>
        <w:t xml:space="preserve"> or call connection charge for a particular call type, the charge for these calls is the </w:t>
      </w:r>
      <w:r>
        <w:rPr>
          <w:i/>
        </w:rPr>
        <w:t>flagfall</w:t>
      </w:r>
      <w:r>
        <w:t xml:space="preserve"> charge plus the relevant rate for the call multiplied by the duration of the call. </w:t>
      </w:r>
    </w:p>
    <w:p w14:paraId="75D330BA" w14:textId="77777777" w:rsidR="000D07EA" w:rsidRDefault="00BE7C89">
      <w:pPr>
        <w:pStyle w:val="Heading7"/>
        <w:keepNext/>
        <w:rPr>
          <w:b/>
        </w:rPr>
      </w:pPr>
      <w:bookmarkStart w:id="334" w:name="_Ref461548923"/>
      <w:r>
        <w:rPr>
          <w:b/>
        </w:rPr>
        <w:t>Unlimited Call, Text and Voicemail Offer</w:t>
      </w:r>
      <w:bookmarkEnd w:id="334"/>
      <w:r>
        <w:rPr>
          <w:b/>
        </w:rPr>
        <w:t xml:space="preserve"> </w:t>
      </w:r>
    </w:p>
    <w:p w14:paraId="420157DD" w14:textId="77777777" w:rsidR="000D07EA" w:rsidRDefault="00BE7C89">
      <w:pPr>
        <w:pStyle w:val="Heading8"/>
      </w:pPr>
      <w:r>
        <w:t>Under the Timeless Business Internet $129 Plan, customers will receive Unlimited Standard National Voice Calls, SMS, Voicemail diversions, deposits and retrievals.</w:t>
      </w:r>
    </w:p>
    <w:p w14:paraId="4894A2B6" w14:textId="77777777" w:rsidR="000D07EA" w:rsidRDefault="00BE7C89">
      <w:pPr>
        <w:pStyle w:val="Heading8"/>
      </w:pPr>
      <w:r>
        <w:t>Under the Timeless Business Internet $99 + $14.99 Mobile Internet plan or 'yes' Business Data Bolt On, customers will receive Unlimited Standard National Voice Calls and will have a choice between 2 offers called "Unlimited Text" or "Unlimited Voicemail". Customers must choose an offer or no offer will be added:</w:t>
      </w:r>
    </w:p>
    <w:p w14:paraId="0932E967" w14:textId="77777777" w:rsidR="000D07EA" w:rsidRDefault="00BE7C89">
      <w:pPr>
        <w:pStyle w:val="Heading9"/>
      </w:pPr>
      <w:r>
        <w:t>Unlimited Text Offer</w:t>
      </w:r>
    </w:p>
    <w:p w14:paraId="0130BA43" w14:textId="77777777" w:rsidR="000D07EA" w:rsidRDefault="00BE7C89" w:rsidP="00972274">
      <w:pPr>
        <w:pStyle w:val="BodyText"/>
        <w:numPr>
          <w:ilvl w:val="0"/>
          <w:numId w:val="49"/>
        </w:numPr>
        <w:ind w:hanging="720"/>
      </w:pPr>
      <w:r>
        <w:t>Under the Unlimited Text Offer, customers may send unlimited standard national SMS to GSM mobiles within Australia.</w:t>
      </w:r>
    </w:p>
    <w:p w14:paraId="45664567" w14:textId="77777777" w:rsidR="000D07EA" w:rsidRDefault="00BE7C89" w:rsidP="00972274">
      <w:pPr>
        <w:pStyle w:val="BodyText"/>
        <w:numPr>
          <w:ilvl w:val="0"/>
          <w:numId w:val="49"/>
        </w:numPr>
        <w:ind w:hanging="720"/>
      </w:pPr>
      <w:r>
        <w:t>Unlimited Text offer excludes International SMS and MMS, National MMS, Premium SMS and Instant Messaging (IM).</w:t>
      </w:r>
    </w:p>
    <w:p w14:paraId="7F814892" w14:textId="77777777" w:rsidR="000D07EA" w:rsidRDefault="00BE7C89" w:rsidP="00972274">
      <w:pPr>
        <w:pStyle w:val="BodyText"/>
        <w:numPr>
          <w:ilvl w:val="0"/>
          <w:numId w:val="49"/>
        </w:numPr>
        <w:ind w:hanging="720"/>
      </w:pPr>
      <w:r>
        <w:t>You must pay for any messages that are not eligible messages.</w:t>
      </w:r>
    </w:p>
    <w:p w14:paraId="1DCA11A3" w14:textId="77777777" w:rsidR="000D07EA" w:rsidRDefault="00BE7C89" w:rsidP="00972274">
      <w:pPr>
        <w:pStyle w:val="BodyText"/>
        <w:numPr>
          <w:ilvl w:val="0"/>
          <w:numId w:val="49"/>
        </w:numPr>
        <w:ind w:hanging="720"/>
      </w:pPr>
      <w:r>
        <w:t>The unlimited SMS offer only applies for standard personal/business use.</w:t>
      </w:r>
    </w:p>
    <w:p w14:paraId="6C1352C9" w14:textId="77777777" w:rsidR="000D07EA" w:rsidRDefault="00BE7C89" w:rsidP="00972274">
      <w:pPr>
        <w:pStyle w:val="BodyText"/>
        <w:numPr>
          <w:ilvl w:val="0"/>
          <w:numId w:val="49"/>
        </w:numPr>
        <w:ind w:hanging="720"/>
      </w:pPr>
      <w:r>
        <w:t>Fair Go Policy (</w:t>
      </w:r>
      <w:hyperlink r:id="rId217" w:history="1">
        <w:r>
          <w:rPr>
            <w:rStyle w:val="Hyperlink"/>
          </w:rPr>
          <w:t>Appendix S</w:t>
        </w:r>
      </w:hyperlink>
      <w:r>
        <w:t>) applies.</w:t>
      </w:r>
    </w:p>
    <w:p w14:paraId="3C5BC82E" w14:textId="77777777" w:rsidR="000D07EA" w:rsidRDefault="00BE7C89">
      <w:pPr>
        <w:pStyle w:val="Heading9"/>
      </w:pPr>
      <w:r>
        <w:t>Unlimited Voicemail Offer</w:t>
      </w:r>
    </w:p>
    <w:p w14:paraId="281B5A90" w14:textId="77777777" w:rsidR="000D07EA" w:rsidRDefault="00BE7C89" w:rsidP="00972274">
      <w:pPr>
        <w:pStyle w:val="BodyText"/>
        <w:numPr>
          <w:ilvl w:val="0"/>
          <w:numId w:val="50"/>
        </w:numPr>
        <w:ind w:hanging="720"/>
      </w:pPr>
      <w:r>
        <w:t xml:space="preserve">Under the Unlimited Voicemail Offer, customers may receive unlimited voicemail deposits and make unlimited voicemail retrievals within Australia at no charge. </w:t>
      </w:r>
    </w:p>
    <w:p w14:paraId="3C6E1596" w14:textId="77777777" w:rsidR="000D07EA" w:rsidRDefault="00BE7C89" w:rsidP="00972274">
      <w:pPr>
        <w:pStyle w:val="BodyText"/>
        <w:numPr>
          <w:ilvl w:val="0"/>
          <w:numId w:val="50"/>
        </w:numPr>
        <w:ind w:hanging="720"/>
      </w:pPr>
      <w:r>
        <w:t>Diversion charges still apply.</w:t>
      </w:r>
    </w:p>
    <w:p w14:paraId="663EFC13" w14:textId="77777777" w:rsidR="000D07EA" w:rsidRDefault="00BE7C89" w:rsidP="00972274">
      <w:pPr>
        <w:pStyle w:val="BodyText"/>
        <w:numPr>
          <w:ilvl w:val="0"/>
          <w:numId w:val="50"/>
        </w:numPr>
        <w:ind w:hanging="720"/>
      </w:pPr>
      <w:r>
        <w:t>Fair Go Policy (</w:t>
      </w:r>
      <w:hyperlink r:id="rId218" w:history="1">
        <w:r>
          <w:rPr>
            <w:rStyle w:val="Hyperlink"/>
            <w:i/>
          </w:rPr>
          <w:t>Appendix S</w:t>
        </w:r>
      </w:hyperlink>
      <w:r>
        <w:t>) applies.</w:t>
      </w:r>
    </w:p>
    <w:p w14:paraId="195943EA" w14:textId="77777777" w:rsidR="000D07EA" w:rsidRDefault="00BE7C89">
      <w:pPr>
        <w:pStyle w:val="Heading8"/>
      </w:pPr>
      <w:r>
        <w:t xml:space="preserve">The call and message types that are </w:t>
      </w:r>
      <w:r>
        <w:rPr>
          <w:b/>
        </w:rPr>
        <w:t>'eligible calls'</w:t>
      </w:r>
      <w:r>
        <w:t xml:space="preserve"> and </w:t>
      </w:r>
      <w:r>
        <w:rPr>
          <w:b/>
        </w:rPr>
        <w:t>'eligible messages'</w:t>
      </w:r>
      <w:r>
        <w:t xml:space="preserve"> for each Timeless Business Internet Plan are defined in Table 1A and below. </w:t>
      </w:r>
    </w:p>
    <w:p w14:paraId="108F27C6" w14:textId="77777777" w:rsidR="000D07EA" w:rsidRDefault="00BE7C89">
      <w:pPr>
        <w:pStyle w:val="Heading8"/>
      </w:pPr>
      <w:r>
        <w:rPr>
          <w:i/>
        </w:rPr>
        <w:t>You</w:t>
      </w:r>
      <w:r>
        <w:t xml:space="preserve"> must pay for any calls or messages that are not eligible calls or messages.</w:t>
      </w:r>
    </w:p>
    <w:p w14:paraId="5EF5A082" w14:textId="77777777" w:rsidR="000D07EA" w:rsidRDefault="00BE7C89">
      <w:pPr>
        <w:pStyle w:val="Heading7"/>
        <w:keepNext/>
        <w:rPr>
          <w:b/>
        </w:rPr>
      </w:pPr>
      <w:bookmarkStart w:id="335" w:name="_Ref461548927"/>
      <w:r>
        <w:rPr>
          <w:b/>
        </w:rPr>
        <w:t>Minimum Monthly Charge</w:t>
      </w:r>
      <w:bookmarkEnd w:id="335"/>
    </w:p>
    <w:p w14:paraId="101B834E" w14:textId="77777777" w:rsidR="000D07EA" w:rsidRDefault="00BE7C89">
      <w:pPr>
        <w:pStyle w:val="Heading8"/>
      </w:pPr>
      <w:r>
        <w:t xml:space="preserve">Each Timeless Business Internet Plan has a Minimum Monthly Charge amount that </w:t>
      </w:r>
      <w:r>
        <w:rPr>
          <w:i/>
        </w:rPr>
        <w:t>you</w:t>
      </w:r>
      <w:r>
        <w:t xml:space="preserve"> must pay us each month. </w:t>
      </w:r>
    </w:p>
    <w:p w14:paraId="0A890647" w14:textId="77777777" w:rsidR="000D07EA" w:rsidRDefault="00BE7C89">
      <w:pPr>
        <w:pStyle w:val="Heading8"/>
      </w:pPr>
      <w:r>
        <w:t xml:space="preserve">If </w:t>
      </w:r>
      <w:r>
        <w:rPr>
          <w:i/>
        </w:rPr>
        <w:t>you</w:t>
      </w:r>
      <w:r>
        <w:t xml:space="preserve"> do not make enough eligible calls or messages in a month to reach </w:t>
      </w:r>
      <w:r>
        <w:rPr>
          <w:i/>
        </w:rPr>
        <w:t>your</w:t>
      </w:r>
      <w:r>
        <w:t xml:space="preserve"> Minimum Monthly Charge </w:t>
      </w:r>
      <w:r>
        <w:rPr>
          <w:i/>
        </w:rPr>
        <w:t>you</w:t>
      </w:r>
      <w:r>
        <w:t xml:space="preserve"> must still pay </w:t>
      </w:r>
      <w:r>
        <w:rPr>
          <w:i/>
        </w:rPr>
        <w:t>us</w:t>
      </w:r>
      <w:r>
        <w:t xml:space="preserve"> </w:t>
      </w:r>
      <w:r>
        <w:rPr>
          <w:i/>
        </w:rPr>
        <w:t>your</w:t>
      </w:r>
      <w:r>
        <w:t xml:space="preserve"> </w:t>
      </w:r>
      <w:r>
        <w:rPr>
          <w:i/>
        </w:rPr>
        <w:t>pricing</w:t>
      </w:r>
      <w:r>
        <w:t xml:space="preserve"> </w:t>
      </w:r>
      <w:r>
        <w:rPr>
          <w:i/>
        </w:rPr>
        <w:t>plan's</w:t>
      </w:r>
      <w:r>
        <w:t xml:space="preserve"> the Minimum Monthly Charge for that month.</w:t>
      </w:r>
    </w:p>
    <w:p w14:paraId="45C29B73" w14:textId="77777777" w:rsidR="000D07EA" w:rsidRDefault="00BE7C89">
      <w:pPr>
        <w:pStyle w:val="Heading8"/>
      </w:pPr>
      <w:r>
        <w:t>The amount of the Minimum Monthly Charge for each Timeless Business Internet Plan is set out in Table 3A below.</w:t>
      </w:r>
    </w:p>
    <w:p w14:paraId="55D25375" w14:textId="77777777" w:rsidR="000D07EA" w:rsidRDefault="00BE7C89">
      <w:pPr>
        <w:pStyle w:val="Heading8"/>
      </w:pPr>
      <w:r>
        <w:rPr>
          <w:i/>
        </w:rPr>
        <w:lastRenderedPageBreak/>
        <w:t>You</w:t>
      </w:r>
      <w:r>
        <w:t xml:space="preserve"> must pay for any calls that are not eligible calls.</w:t>
      </w:r>
    </w:p>
    <w:p w14:paraId="00D890B1" w14:textId="77777777" w:rsidR="000D07EA" w:rsidRDefault="00BE7C89">
      <w:pPr>
        <w:pStyle w:val="Heading7"/>
        <w:rPr>
          <w:b/>
        </w:rPr>
      </w:pPr>
      <w:bookmarkStart w:id="336" w:name="_Ref461548931"/>
      <w:r>
        <w:rPr>
          <w:b/>
        </w:rPr>
        <w:t>Other Timeless Business Internet Plan Conditions and Offers</w:t>
      </w:r>
      <w:bookmarkEnd w:id="336"/>
    </w:p>
    <w:p w14:paraId="0F3379F8" w14:textId="77777777" w:rsidR="000D07EA" w:rsidRDefault="00BE7C89">
      <w:pPr>
        <w:pStyle w:val="Heading8"/>
      </w:pPr>
      <w:r>
        <w:rPr>
          <w:b/>
        </w:rPr>
        <w:t>International Calls</w:t>
      </w:r>
      <w:r>
        <w:t>: For the period prior to 6 June 2010, international calls from your mobile will be charged at the 'yes' International rates and will be charged at per 30 second rates. Flagfall of 27c applies per call. Excludes video calls.</w:t>
      </w:r>
    </w:p>
    <w:p w14:paraId="44DAE441" w14:textId="77777777" w:rsidR="000D07EA" w:rsidRDefault="00BE7C89">
      <w:pPr>
        <w:pStyle w:val="BodyText"/>
        <w:ind w:left="2160"/>
      </w:pPr>
      <w:r>
        <w:t xml:space="preserve">From 6 June 2010 (inclusive), international calls from your mobile will be charged at the 'yes' Business International rate and will be charged at per 30 second rates. Flagfall of 35c applies per call. For more information on the 'yes' Business International call rates please refer to </w:t>
      </w:r>
      <w:hyperlink r:id="rId219" w:history="1">
        <w:r>
          <w:rPr>
            <w:rStyle w:val="Hyperlink"/>
            <w:i/>
          </w:rPr>
          <w:t>Appendix J</w:t>
        </w:r>
      </w:hyperlink>
      <w:r>
        <w:t xml:space="preserve">. </w:t>
      </w:r>
    </w:p>
    <w:p w14:paraId="1C7369B2" w14:textId="77777777" w:rsidR="000D07EA" w:rsidRDefault="00BE7C89">
      <w:pPr>
        <w:pStyle w:val="Heading8"/>
      </w:pPr>
      <w:r>
        <w:rPr>
          <w:b/>
        </w:rPr>
        <w:t>Bolt Ons:</w:t>
      </w:r>
      <w:r>
        <w:t xml:space="preserve"> Upon request, you may select Bolt Ons for an additional $5 per pack, per month per service. </w:t>
      </w:r>
    </w:p>
    <w:p w14:paraId="12AA85D1" w14:textId="77777777" w:rsidR="000D07EA" w:rsidRDefault="00BE7C89">
      <w:pPr>
        <w:pStyle w:val="Heading9"/>
      </w:pPr>
      <w:r>
        <w:rPr>
          <w:b/>
        </w:rPr>
        <w:t>SurePage Bolt On:</w:t>
      </w:r>
      <w:r>
        <w:t xml:space="preserve"> Pay $5 extra per month to receive 20 SurePage messages. Each additional message costs 50c. Diversion charges still apply.</w:t>
      </w:r>
    </w:p>
    <w:p w14:paraId="32DC6696" w14:textId="77777777" w:rsidR="000D07EA" w:rsidRDefault="00BE7C89">
      <w:pPr>
        <w:pStyle w:val="Heading9"/>
      </w:pPr>
      <w:r>
        <w:rPr>
          <w:b/>
        </w:rPr>
        <w:t>International:</w:t>
      </w:r>
      <w:r>
        <w:t xml:space="preserve"> Pay $5 extra per month for $3 for 10 minute calls to the top 8 countries of NZ, USA, UK, Canada, Hong Kong, Singapore, Ireland and Italy. Calls going over 10 minutes will be charged the $3.00 plus any subsequent 30 seconds:</w:t>
      </w:r>
    </w:p>
    <w:p w14:paraId="4C586328" w14:textId="77777777" w:rsidR="000D07EA" w:rsidRDefault="00BE7C89" w:rsidP="00972274">
      <w:pPr>
        <w:pStyle w:val="BodyText"/>
        <w:numPr>
          <w:ilvl w:val="0"/>
          <w:numId w:val="51"/>
        </w:numPr>
        <w:ind w:hanging="720"/>
      </w:pPr>
      <w:r>
        <w:t>at the 'yes' international rates plus 27c flagfall applies per call for the period prior to 6 June 2010.</w:t>
      </w:r>
    </w:p>
    <w:p w14:paraId="75E0C720" w14:textId="77777777" w:rsidR="000D07EA" w:rsidRDefault="00BE7C89" w:rsidP="00972274">
      <w:pPr>
        <w:pStyle w:val="BodyText"/>
        <w:numPr>
          <w:ilvl w:val="0"/>
          <w:numId w:val="51"/>
        </w:numPr>
        <w:ind w:hanging="720"/>
      </w:pPr>
      <w:r>
        <w:t xml:space="preserve">at the 'yes' Business International rates plus 35c flagfall per call applies from 6 June 2010 (inclusive). For more information on the 'yes' Business International call rates please refer to </w:t>
      </w:r>
      <w:hyperlink r:id="rId220" w:history="1">
        <w:r>
          <w:rPr>
            <w:rStyle w:val="Hyperlink"/>
            <w:i/>
          </w:rPr>
          <w:t>Appendix J</w:t>
        </w:r>
      </w:hyperlink>
      <w:r>
        <w:t>.</w:t>
      </w:r>
    </w:p>
    <w:p w14:paraId="4B440F69" w14:textId="77777777" w:rsidR="000D07EA" w:rsidRDefault="00BE7C89">
      <w:pPr>
        <w:pStyle w:val="Heading8"/>
      </w:pPr>
      <w:r>
        <w:t>The Fair Go Policy (</w:t>
      </w:r>
      <w:hyperlink r:id="rId221" w:history="1">
        <w:r>
          <w:rPr>
            <w:rStyle w:val="Hyperlink"/>
            <w:i/>
          </w:rPr>
          <w:t>Appendix S</w:t>
        </w:r>
      </w:hyperlink>
      <w:r>
        <w:t xml:space="preserve">) applies to: </w:t>
      </w:r>
    </w:p>
    <w:p w14:paraId="0D10017F" w14:textId="77777777" w:rsidR="000D07EA" w:rsidRDefault="00BE7C89">
      <w:pPr>
        <w:pStyle w:val="Heading9"/>
      </w:pPr>
      <w:r>
        <w:t xml:space="preserve">Voice Over Internet Protocol (VOIP) services up to 10 megabytes per month. Please refer to </w:t>
      </w:r>
      <w:hyperlink r:id="rId222" w:history="1">
        <w:r w:rsidR="00B64C56">
          <w:rPr>
            <w:rStyle w:val="Hyperlink"/>
            <w:i/>
          </w:rPr>
          <w:t>Appendix S</w:t>
        </w:r>
      </w:hyperlink>
      <w:r>
        <w:t>.</w:t>
      </w:r>
    </w:p>
    <w:p w14:paraId="3A160A27" w14:textId="77777777" w:rsidR="000D07EA" w:rsidRDefault="00BE7C89">
      <w:pPr>
        <w:pStyle w:val="Heading9"/>
      </w:pPr>
      <w:r>
        <w:t xml:space="preserve">Voice Over Internet Protocol (VOIP) services (other than PTT) will be charged at 1.5c per kilobyte of usage, capped at $9.90 per month until </w:t>
      </w:r>
      <w:r>
        <w:rPr>
          <w:i/>
        </w:rPr>
        <w:t>you</w:t>
      </w:r>
      <w:r>
        <w:t xml:space="preserve"> reach 5 megabytes of usage in that month, after which </w:t>
      </w:r>
      <w:r>
        <w:rPr>
          <w:i/>
        </w:rPr>
        <w:t>you</w:t>
      </w:r>
      <w:r>
        <w:t xml:space="preserve"> will be charged at 0.3c per kilobyte of usage for the remainder of that month.</w:t>
      </w:r>
    </w:p>
    <w:p w14:paraId="7A9049AA" w14:textId="77777777" w:rsidR="000D07EA" w:rsidRDefault="00BE7C89">
      <w:pPr>
        <w:pStyle w:val="Heading9"/>
      </w:pPr>
      <w:r>
        <w:t xml:space="preserve">Use of unlimited text is for standard personal/business use only. </w:t>
      </w:r>
    </w:p>
    <w:p w14:paraId="0C66F440" w14:textId="77777777" w:rsidR="000D07EA" w:rsidRDefault="00BE7C89">
      <w:pPr>
        <w:pStyle w:val="Heading9"/>
      </w:pPr>
      <w:r>
        <w:t>International usage of up to 300 minutes per month</w:t>
      </w:r>
    </w:p>
    <w:p w14:paraId="64B4E788" w14:textId="77777777" w:rsidR="000D07EA" w:rsidRDefault="00BE7C89">
      <w:pPr>
        <w:pStyle w:val="Heading7"/>
        <w:rPr>
          <w:b/>
        </w:rPr>
      </w:pPr>
      <w:r>
        <w:rPr>
          <w:b/>
        </w:rPr>
        <w:t>Eligible Calls, Messages and Pricing Plans</w:t>
      </w:r>
    </w:p>
    <w:p w14:paraId="0B2333A9" w14:textId="77777777" w:rsidR="000D07EA" w:rsidRDefault="00BE7C89">
      <w:pPr>
        <w:pStyle w:val="BodyText"/>
        <w:ind w:left="1440"/>
      </w:pPr>
      <w:r>
        <w:t xml:space="preserve">Table 1A below indicates whether a particular call type is an 'eligible call' which is Unlimited in the Timeless Business Internet Plans </w:t>
      </w:r>
    </w:p>
    <w:p w14:paraId="60819968" w14:textId="77777777" w:rsidR="000D07EA" w:rsidRDefault="00BE7C89">
      <w:pPr>
        <w:pStyle w:val="BodyText"/>
        <w:ind w:left="1440"/>
      </w:pPr>
      <w:r>
        <w:t xml:space="preserve">Table 2A below indicates whether a particular call types is 'eligible data usage' which counts towards the data value of </w:t>
      </w:r>
      <w:r>
        <w:rPr>
          <w:i/>
        </w:rPr>
        <w:t>your</w:t>
      </w:r>
      <w:r>
        <w:t xml:space="preserve"> selected Timeless Business Internet Plan. </w:t>
      </w:r>
    </w:p>
    <w:p w14:paraId="66E721C4" w14:textId="77777777" w:rsidR="000D07EA" w:rsidRDefault="00BE7C89">
      <w:pPr>
        <w:pStyle w:val="BodyText"/>
        <w:ind w:left="1440"/>
      </w:pPr>
      <w:r>
        <w:t xml:space="preserve">Table 3A below contains details of each Timeless Business Internet. </w:t>
      </w:r>
    </w:p>
    <w:p w14:paraId="4C074720" w14:textId="77777777" w:rsidR="000D07EA" w:rsidRDefault="00BE7C89">
      <w:pPr>
        <w:pStyle w:val="BodyText"/>
        <w:ind w:left="1440"/>
        <w:rPr>
          <w:b/>
        </w:rPr>
      </w:pPr>
      <w:r>
        <w:rPr>
          <w:b/>
        </w:rPr>
        <w:t>Table 1A – Eligible calls</w:t>
      </w:r>
    </w:p>
    <w:tbl>
      <w:tblPr>
        <w:tblW w:w="4297"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422"/>
        <w:gridCol w:w="4334"/>
      </w:tblGrid>
      <w:tr w:rsidR="000D07EA" w14:paraId="7392500B" w14:textId="77777777">
        <w:trPr>
          <w:tblHeader/>
        </w:trPr>
        <w:tc>
          <w:tcPr>
            <w:tcW w:w="2525" w:type="pct"/>
          </w:tcPr>
          <w:p w14:paraId="4E40782E" w14:textId="77777777" w:rsidR="000D07EA" w:rsidRDefault="00BE7C89">
            <w:pPr>
              <w:pStyle w:val="BodyText"/>
              <w:spacing w:before="100" w:after="100"/>
              <w:rPr>
                <w:b/>
              </w:rPr>
            </w:pPr>
            <w:r>
              <w:rPr>
                <w:b/>
              </w:rPr>
              <w:t>Call Type</w:t>
            </w:r>
          </w:p>
        </w:tc>
        <w:tc>
          <w:tcPr>
            <w:tcW w:w="2475" w:type="pct"/>
          </w:tcPr>
          <w:p w14:paraId="1A4F6996" w14:textId="77777777" w:rsidR="000D07EA" w:rsidRDefault="00BE7C89">
            <w:pPr>
              <w:pStyle w:val="BodyText"/>
              <w:spacing w:before="100" w:after="100"/>
              <w:rPr>
                <w:b/>
              </w:rPr>
            </w:pPr>
            <w:r>
              <w:rPr>
                <w:b/>
              </w:rPr>
              <w:t xml:space="preserve">Eligible Call </w:t>
            </w:r>
          </w:p>
        </w:tc>
      </w:tr>
      <w:tr w:rsidR="000D07EA" w14:paraId="6AA54268" w14:textId="77777777">
        <w:tc>
          <w:tcPr>
            <w:tcW w:w="2525" w:type="pct"/>
          </w:tcPr>
          <w:p w14:paraId="4F15AACF" w14:textId="77777777" w:rsidR="000D07EA" w:rsidRDefault="00BE7C89">
            <w:pPr>
              <w:pStyle w:val="BodyText"/>
              <w:spacing w:before="100" w:after="100"/>
            </w:pPr>
            <w:r>
              <w:t>National Voice Calls</w:t>
            </w:r>
          </w:p>
        </w:tc>
        <w:tc>
          <w:tcPr>
            <w:tcW w:w="2475" w:type="pct"/>
          </w:tcPr>
          <w:p w14:paraId="0D46A7EF" w14:textId="77777777" w:rsidR="000D07EA" w:rsidRDefault="00BE7C89">
            <w:pPr>
              <w:pStyle w:val="BodyText"/>
              <w:spacing w:before="100" w:after="100"/>
            </w:pPr>
            <w:r>
              <w:t>Yes</w:t>
            </w:r>
          </w:p>
        </w:tc>
      </w:tr>
      <w:tr w:rsidR="000D07EA" w14:paraId="098E6EA9" w14:textId="77777777">
        <w:tc>
          <w:tcPr>
            <w:tcW w:w="2525" w:type="pct"/>
          </w:tcPr>
          <w:p w14:paraId="60F16DAA" w14:textId="77777777" w:rsidR="000D07EA" w:rsidRDefault="00BE7C89">
            <w:pPr>
              <w:pStyle w:val="BodyText"/>
              <w:spacing w:before="100" w:after="100"/>
            </w:pPr>
            <w:r>
              <w:t>International Voice Calls</w:t>
            </w:r>
          </w:p>
          <w:p w14:paraId="29090374" w14:textId="77777777" w:rsidR="000D07EA" w:rsidRDefault="00BE7C89">
            <w:pPr>
              <w:pStyle w:val="BodyText"/>
              <w:spacing w:before="100" w:after="100"/>
            </w:pPr>
            <w:r>
              <w:lastRenderedPageBreak/>
              <w:t>(including calls to national fixed or GSM mobile services that then divert/switch or re-route overseas)</w:t>
            </w:r>
          </w:p>
        </w:tc>
        <w:tc>
          <w:tcPr>
            <w:tcW w:w="2475" w:type="pct"/>
          </w:tcPr>
          <w:p w14:paraId="59D633CF" w14:textId="77777777" w:rsidR="000D07EA" w:rsidRDefault="00BE7C89">
            <w:pPr>
              <w:pStyle w:val="BodyText"/>
              <w:spacing w:before="100" w:after="100"/>
            </w:pPr>
            <w:r>
              <w:lastRenderedPageBreak/>
              <w:t xml:space="preserve">No </w:t>
            </w:r>
          </w:p>
        </w:tc>
      </w:tr>
      <w:tr w:rsidR="000D07EA" w14:paraId="5333111D" w14:textId="77777777">
        <w:tc>
          <w:tcPr>
            <w:tcW w:w="2525" w:type="pct"/>
          </w:tcPr>
          <w:p w14:paraId="3837F06F" w14:textId="77777777" w:rsidR="000D07EA" w:rsidRDefault="00BE7C89">
            <w:pPr>
              <w:pStyle w:val="BodyText"/>
              <w:spacing w:before="100" w:after="100"/>
            </w:pPr>
            <w:r>
              <w:t>National Standard SMS</w:t>
            </w:r>
          </w:p>
        </w:tc>
        <w:tc>
          <w:tcPr>
            <w:tcW w:w="2475" w:type="pct"/>
          </w:tcPr>
          <w:p w14:paraId="550F9E27" w14:textId="77777777" w:rsidR="000D07EA" w:rsidRDefault="00BE7C89">
            <w:pPr>
              <w:pStyle w:val="BodyText"/>
              <w:spacing w:before="100" w:after="100"/>
            </w:pPr>
            <w:r>
              <w:t>Yes for the Timeless Business Internet $129 Plan and only if you selected the Unlimited Text offer on the other Timeless Business Internet Plan.</w:t>
            </w:r>
          </w:p>
        </w:tc>
      </w:tr>
      <w:tr w:rsidR="000D07EA" w14:paraId="132770FD" w14:textId="77777777">
        <w:tc>
          <w:tcPr>
            <w:tcW w:w="2525" w:type="pct"/>
          </w:tcPr>
          <w:p w14:paraId="6924624B" w14:textId="77777777" w:rsidR="000D07EA" w:rsidRDefault="00BE7C89">
            <w:pPr>
              <w:pStyle w:val="BodyText"/>
              <w:spacing w:before="100" w:after="100"/>
            </w:pPr>
            <w:r>
              <w:t>International SMS</w:t>
            </w:r>
          </w:p>
        </w:tc>
        <w:tc>
          <w:tcPr>
            <w:tcW w:w="2475" w:type="pct"/>
          </w:tcPr>
          <w:p w14:paraId="33DBD281" w14:textId="77777777" w:rsidR="000D07EA" w:rsidRDefault="00BE7C89">
            <w:pPr>
              <w:pStyle w:val="BodyText"/>
              <w:spacing w:before="100" w:after="100"/>
            </w:pPr>
            <w:r>
              <w:t>No</w:t>
            </w:r>
          </w:p>
        </w:tc>
      </w:tr>
      <w:tr w:rsidR="000D07EA" w14:paraId="24E6F262" w14:textId="77777777">
        <w:tc>
          <w:tcPr>
            <w:tcW w:w="2525" w:type="pct"/>
          </w:tcPr>
          <w:p w14:paraId="6B265061" w14:textId="77777777" w:rsidR="000D07EA" w:rsidRDefault="00BE7C89">
            <w:pPr>
              <w:pStyle w:val="BodyText"/>
              <w:spacing w:before="100" w:after="100"/>
            </w:pPr>
            <w:r>
              <w:t>Voicemail Diversions</w:t>
            </w:r>
          </w:p>
        </w:tc>
        <w:tc>
          <w:tcPr>
            <w:tcW w:w="2475" w:type="pct"/>
          </w:tcPr>
          <w:p w14:paraId="37E69B77" w14:textId="77777777" w:rsidR="000D07EA" w:rsidRDefault="00BE7C89">
            <w:pPr>
              <w:pStyle w:val="BodyText"/>
              <w:spacing w:before="100" w:after="100"/>
            </w:pPr>
            <w:r>
              <w:t>Yes</w:t>
            </w:r>
          </w:p>
        </w:tc>
      </w:tr>
      <w:tr w:rsidR="000D07EA" w14:paraId="43836252" w14:textId="77777777">
        <w:tc>
          <w:tcPr>
            <w:tcW w:w="2525" w:type="pct"/>
          </w:tcPr>
          <w:p w14:paraId="4AED5E63" w14:textId="77777777" w:rsidR="000D07EA" w:rsidRDefault="00BE7C89">
            <w:pPr>
              <w:pStyle w:val="BodyText"/>
              <w:keepNext/>
              <w:spacing w:before="100" w:after="100"/>
            </w:pPr>
            <w:r>
              <w:t>Voicemail Deposit and Retrievals</w:t>
            </w:r>
          </w:p>
        </w:tc>
        <w:tc>
          <w:tcPr>
            <w:tcW w:w="2475" w:type="pct"/>
          </w:tcPr>
          <w:p w14:paraId="0F4ACC11" w14:textId="77777777" w:rsidR="000D07EA" w:rsidRDefault="00BE7C89">
            <w:pPr>
              <w:pStyle w:val="BodyText"/>
              <w:keepNext/>
              <w:spacing w:before="100" w:after="100"/>
            </w:pPr>
            <w:r>
              <w:t>Yes for the Timeless Business Internet $129 Plan and only if you selected the Unlimited Text offer on the other Timeless Business Internet Plan.</w:t>
            </w:r>
          </w:p>
        </w:tc>
      </w:tr>
      <w:tr w:rsidR="000D07EA" w14:paraId="4B855FE8" w14:textId="77777777">
        <w:tc>
          <w:tcPr>
            <w:tcW w:w="2525" w:type="pct"/>
          </w:tcPr>
          <w:p w14:paraId="225FBBD5" w14:textId="77777777" w:rsidR="000D07EA" w:rsidRDefault="00BE7C89">
            <w:pPr>
              <w:pStyle w:val="BodyText"/>
              <w:spacing w:before="100" w:after="100"/>
            </w:pPr>
            <w:r>
              <w:t>International Roaming and Diversion</w:t>
            </w:r>
          </w:p>
        </w:tc>
        <w:tc>
          <w:tcPr>
            <w:tcW w:w="2475" w:type="pct"/>
          </w:tcPr>
          <w:p w14:paraId="4DB59E43" w14:textId="77777777" w:rsidR="000D07EA" w:rsidRDefault="00BE7C89">
            <w:pPr>
              <w:pStyle w:val="BodyText"/>
              <w:spacing w:before="100" w:after="100"/>
            </w:pPr>
            <w:r>
              <w:t>No</w:t>
            </w:r>
          </w:p>
        </w:tc>
      </w:tr>
      <w:tr w:rsidR="000D07EA" w14:paraId="7A18794C" w14:textId="77777777">
        <w:tc>
          <w:tcPr>
            <w:tcW w:w="2525" w:type="pct"/>
          </w:tcPr>
          <w:p w14:paraId="56BD32E1" w14:textId="77777777" w:rsidR="000D07EA" w:rsidRDefault="00BE7C89">
            <w:pPr>
              <w:pStyle w:val="BodyText"/>
              <w:spacing w:before="100" w:after="100"/>
            </w:pPr>
            <w:r>
              <w:t>Premium SMS</w:t>
            </w:r>
          </w:p>
        </w:tc>
        <w:tc>
          <w:tcPr>
            <w:tcW w:w="2475" w:type="pct"/>
          </w:tcPr>
          <w:p w14:paraId="3355B549" w14:textId="77777777" w:rsidR="000D07EA" w:rsidRDefault="00BE7C89">
            <w:pPr>
              <w:pStyle w:val="BodyText"/>
              <w:spacing w:before="100" w:after="100"/>
            </w:pPr>
            <w:r>
              <w:t>No</w:t>
            </w:r>
          </w:p>
        </w:tc>
      </w:tr>
      <w:tr w:rsidR="000D07EA" w14:paraId="77873366" w14:textId="77777777">
        <w:tc>
          <w:tcPr>
            <w:tcW w:w="2525" w:type="pct"/>
          </w:tcPr>
          <w:p w14:paraId="17F25944" w14:textId="77777777" w:rsidR="000D07EA" w:rsidRDefault="00BE7C89">
            <w:pPr>
              <w:pStyle w:val="BodyText"/>
              <w:spacing w:before="100" w:after="100"/>
            </w:pPr>
            <w:r>
              <w:t>Premium Video</w:t>
            </w:r>
          </w:p>
        </w:tc>
        <w:tc>
          <w:tcPr>
            <w:tcW w:w="2475" w:type="pct"/>
          </w:tcPr>
          <w:p w14:paraId="47573488" w14:textId="77777777" w:rsidR="000D07EA" w:rsidRDefault="00BE7C89">
            <w:pPr>
              <w:pStyle w:val="BodyText"/>
              <w:spacing w:before="100" w:after="100"/>
            </w:pPr>
            <w:r>
              <w:t>No</w:t>
            </w:r>
          </w:p>
        </w:tc>
      </w:tr>
      <w:tr w:rsidR="000D07EA" w14:paraId="685A363E" w14:textId="77777777">
        <w:tc>
          <w:tcPr>
            <w:tcW w:w="2525" w:type="pct"/>
          </w:tcPr>
          <w:p w14:paraId="18CBC2C6" w14:textId="77777777" w:rsidR="000D07EA" w:rsidRDefault="00BE7C89">
            <w:pPr>
              <w:pStyle w:val="BodyText"/>
              <w:spacing w:before="100" w:after="100"/>
            </w:pPr>
            <w:r>
              <w:t>Video Conferencing</w:t>
            </w:r>
          </w:p>
        </w:tc>
        <w:tc>
          <w:tcPr>
            <w:tcW w:w="2475" w:type="pct"/>
          </w:tcPr>
          <w:p w14:paraId="5BFBDD00" w14:textId="77777777" w:rsidR="000D07EA" w:rsidRDefault="00BE7C89">
            <w:pPr>
              <w:pStyle w:val="BodyText"/>
              <w:spacing w:before="100" w:after="100"/>
            </w:pPr>
            <w:r>
              <w:t>No</w:t>
            </w:r>
          </w:p>
        </w:tc>
      </w:tr>
      <w:tr w:rsidR="000D07EA" w14:paraId="6C920650" w14:textId="77777777">
        <w:tc>
          <w:tcPr>
            <w:tcW w:w="2525" w:type="pct"/>
          </w:tcPr>
          <w:p w14:paraId="67DFE248" w14:textId="77777777" w:rsidR="000D07EA" w:rsidRDefault="00BE7C89">
            <w:pPr>
              <w:pStyle w:val="BodyText"/>
              <w:spacing w:before="100" w:after="100"/>
            </w:pPr>
            <w:r>
              <w:t>Optus iZoo Browsing</w:t>
            </w:r>
          </w:p>
        </w:tc>
        <w:tc>
          <w:tcPr>
            <w:tcW w:w="2475" w:type="pct"/>
          </w:tcPr>
          <w:p w14:paraId="12F8C45E" w14:textId="77777777" w:rsidR="000D07EA" w:rsidRDefault="00BE7C89">
            <w:pPr>
              <w:pStyle w:val="BodyText"/>
              <w:spacing w:before="100" w:after="100"/>
            </w:pPr>
            <w:r>
              <w:t>No</w:t>
            </w:r>
          </w:p>
        </w:tc>
      </w:tr>
      <w:tr w:rsidR="000D07EA" w14:paraId="0CA646FE" w14:textId="77777777">
        <w:tc>
          <w:tcPr>
            <w:tcW w:w="2525" w:type="pct"/>
          </w:tcPr>
          <w:p w14:paraId="390925CC" w14:textId="77777777" w:rsidR="000D07EA" w:rsidRDefault="00BE7C89">
            <w:pPr>
              <w:pStyle w:val="BodyText"/>
              <w:spacing w:before="100" w:after="100"/>
            </w:pPr>
            <w:r>
              <w:t>Optus iZoo Downloads</w:t>
            </w:r>
          </w:p>
        </w:tc>
        <w:tc>
          <w:tcPr>
            <w:tcW w:w="2475" w:type="pct"/>
          </w:tcPr>
          <w:p w14:paraId="2EFBCAF8" w14:textId="77777777" w:rsidR="000D07EA" w:rsidRDefault="00BE7C89">
            <w:pPr>
              <w:pStyle w:val="BodyText"/>
              <w:spacing w:before="100" w:after="100"/>
            </w:pPr>
            <w:r>
              <w:t>No</w:t>
            </w:r>
          </w:p>
        </w:tc>
      </w:tr>
      <w:tr w:rsidR="000D07EA" w14:paraId="7AEF8D86" w14:textId="77777777">
        <w:tc>
          <w:tcPr>
            <w:tcW w:w="2525" w:type="pct"/>
          </w:tcPr>
          <w:p w14:paraId="61FE28E8" w14:textId="77777777" w:rsidR="000D07EA" w:rsidRDefault="00BE7C89">
            <w:pPr>
              <w:pStyle w:val="BodyText"/>
              <w:spacing w:before="100" w:after="100"/>
            </w:pPr>
            <w:r>
              <w:t>966* Zoo</w:t>
            </w:r>
          </w:p>
        </w:tc>
        <w:tc>
          <w:tcPr>
            <w:tcW w:w="2475" w:type="pct"/>
          </w:tcPr>
          <w:p w14:paraId="6E7433AE" w14:textId="77777777" w:rsidR="000D07EA" w:rsidRDefault="00BE7C89">
            <w:pPr>
              <w:pStyle w:val="BodyText"/>
              <w:spacing w:before="100" w:after="100"/>
            </w:pPr>
            <w:r>
              <w:t>No</w:t>
            </w:r>
          </w:p>
        </w:tc>
      </w:tr>
      <w:tr w:rsidR="000D07EA" w14:paraId="61DF768E" w14:textId="77777777">
        <w:tc>
          <w:tcPr>
            <w:tcW w:w="2525" w:type="pct"/>
          </w:tcPr>
          <w:p w14:paraId="53153C7F" w14:textId="77777777" w:rsidR="000D07EA" w:rsidRDefault="00BE7C89">
            <w:pPr>
              <w:pStyle w:val="BodyText"/>
              <w:spacing w:before="100" w:after="100"/>
            </w:pPr>
            <w:r>
              <w:t>Mobile Internet usage</w:t>
            </w:r>
          </w:p>
        </w:tc>
        <w:tc>
          <w:tcPr>
            <w:tcW w:w="2475" w:type="pct"/>
          </w:tcPr>
          <w:p w14:paraId="70BEC6D9" w14:textId="77777777" w:rsidR="000D07EA" w:rsidRDefault="00BE7C89">
            <w:pPr>
              <w:pStyle w:val="BodyText"/>
              <w:spacing w:before="100" w:after="100"/>
            </w:pPr>
            <w:r>
              <w:t>No</w:t>
            </w:r>
          </w:p>
        </w:tc>
      </w:tr>
      <w:tr w:rsidR="000D07EA" w14:paraId="05641017" w14:textId="77777777">
        <w:tc>
          <w:tcPr>
            <w:tcW w:w="2525" w:type="pct"/>
          </w:tcPr>
          <w:p w14:paraId="54D40C03" w14:textId="77777777" w:rsidR="000D07EA" w:rsidRDefault="00BE7C89">
            <w:pPr>
              <w:pStyle w:val="BodyText"/>
              <w:spacing w:before="100" w:after="100"/>
            </w:pPr>
            <w:r>
              <w:t>Data Used while Roaming Internationally</w:t>
            </w:r>
          </w:p>
        </w:tc>
        <w:tc>
          <w:tcPr>
            <w:tcW w:w="2475" w:type="pct"/>
          </w:tcPr>
          <w:p w14:paraId="65DDB48A" w14:textId="77777777" w:rsidR="000D07EA" w:rsidRDefault="00BE7C89">
            <w:pPr>
              <w:pStyle w:val="BodyText"/>
              <w:spacing w:before="100" w:after="100"/>
            </w:pPr>
            <w:r>
              <w:t>No</w:t>
            </w:r>
          </w:p>
        </w:tc>
      </w:tr>
      <w:tr w:rsidR="000D07EA" w14:paraId="61656145" w14:textId="77777777">
        <w:tc>
          <w:tcPr>
            <w:tcW w:w="2525" w:type="pct"/>
          </w:tcPr>
          <w:p w14:paraId="6ACA02CB" w14:textId="77777777" w:rsidR="000D07EA" w:rsidRDefault="00BE7C89">
            <w:pPr>
              <w:pStyle w:val="BodyText"/>
              <w:spacing w:before="100" w:after="100"/>
            </w:pPr>
            <w:r>
              <w:t>Content Packs (unless specified in promotions)</w:t>
            </w:r>
          </w:p>
        </w:tc>
        <w:tc>
          <w:tcPr>
            <w:tcW w:w="2475" w:type="pct"/>
          </w:tcPr>
          <w:p w14:paraId="62DA07AD" w14:textId="77777777" w:rsidR="000D07EA" w:rsidRDefault="00BE7C89">
            <w:pPr>
              <w:pStyle w:val="BodyText"/>
              <w:spacing w:before="100" w:after="100"/>
            </w:pPr>
            <w:r>
              <w:t>No</w:t>
            </w:r>
          </w:p>
        </w:tc>
      </w:tr>
      <w:tr w:rsidR="000D07EA" w14:paraId="270A7E37" w14:textId="77777777">
        <w:tc>
          <w:tcPr>
            <w:tcW w:w="2525" w:type="pct"/>
          </w:tcPr>
          <w:p w14:paraId="095183B7" w14:textId="77777777" w:rsidR="000D07EA" w:rsidRDefault="00BE7C89">
            <w:pPr>
              <w:pStyle w:val="BodyText"/>
              <w:spacing w:before="100" w:after="100"/>
            </w:pPr>
            <w:r>
              <w:t>TrueLocal Usage</w:t>
            </w:r>
          </w:p>
        </w:tc>
        <w:tc>
          <w:tcPr>
            <w:tcW w:w="2475" w:type="pct"/>
          </w:tcPr>
          <w:p w14:paraId="1736A952" w14:textId="77777777" w:rsidR="000D07EA" w:rsidRDefault="00BE7C89">
            <w:pPr>
              <w:pStyle w:val="BodyText"/>
              <w:spacing w:before="100" w:after="100"/>
            </w:pPr>
            <w:r>
              <w:t>No</w:t>
            </w:r>
          </w:p>
        </w:tc>
      </w:tr>
      <w:tr w:rsidR="000D07EA" w14:paraId="32632290" w14:textId="77777777">
        <w:tc>
          <w:tcPr>
            <w:tcW w:w="2525" w:type="pct"/>
          </w:tcPr>
          <w:p w14:paraId="5898CC23" w14:textId="77777777" w:rsidR="000D07EA" w:rsidRDefault="00BE7C89">
            <w:pPr>
              <w:pStyle w:val="BodyText"/>
              <w:spacing w:before="100" w:after="100"/>
            </w:pPr>
            <w:r>
              <w:t xml:space="preserve">Directory Assistance- 1223 </w:t>
            </w:r>
          </w:p>
        </w:tc>
        <w:tc>
          <w:tcPr>
            <w:tcW w:w="2475" w:type="pct"/>
          </w:tcPr>
          <w:p w14:paraId="78DC317B" w14:textId="77777777" w:rsidR="000D07EA" w:rsidRDefault="00BE7C89">
            <w:pPr>
              <w:pStyle w:val="BodyText"/>
              <w:spacing w:before="100" w:after="100"/>
            </w:pPr>
            <w:r>
              <w:t>No</w:t>
            </w:r>
          </w:p>
        </w:tc>
      </w:tr>
      <w:tr w:rsidR="000D07EA" w14:paraId="6C844463" w14:textId="77777777">
        <w:tc>
          <w:tcPr>
            <w:tcW w:w="2525" w:type="pct"/>
          </w:tcPr>
          <w:p w14:paraId="2031B0ED" w14:textId="77777777" w:rsidR="000D07EA" w:rsidRDefault="00BE7C89">
            <w:pPr>
              <w:pStyle w:val="BodyText"/>
              <w:spacing w:before="100" w:after="100"/>
            </w:pPr>
            <w:r>
              <w:t>19XX Numbers</w:t>
            </w:r>
          </w:p>
        </w:tc>
        <w:tc>
          <w:tcPr>
            <w:tcW w:w="2475" w:type="pct"/>
          </w:tcPr>
          <w:p w14:paraId="2D5D39EF" w14:textId="77777777" w:rsidR="000D07EA" w:rsidRDefault="00BE7C89">
            <w:pPr>
              <w:pStyle w:val="BodyText"/>
              <w:spacing w:before="100" w:after="100"/>
            </w:pPr>
            <w:r>
              <w:t>No</w:t>
            </w:r>
          </w:p>
        </w:tc>
      </w:tr>
      <w:tr w:rsidR="000D07EA" w14:paraId="00219FDC" w14:textId="77777777">
        <w:tc>
          <w:tcPr>
            <w:tcW w:w="2525" w:type="pct"/>
          </w:tcPr>
          <w:p w14:paraId="29407D82" w14:textId="77777777" w:rsidR="000D07EA" w:rsidRDefault="00BE7C89">
            <w:pPr>
              <w:pStyle w:val="BodyText"/>
              <w:spacing w:before="100" w:after="100"/>
            </w:pPr>
            <w:r>
              <w:t>1800, 13 and 1300 numbers</w:t>
            </w:r>
          </w:p>
        </w:tc>
        <w:tc>
          <w:tcPr>
            <w:tcW w:w="2475" w:type="pct"/>
          </w:tcPr>
          <w:p w14:paraId="2A1B9B4D" w14:textId="77777777" w:rsidR="000D07EA" w:rsidRDefault="00BE7C89">
            <w:pPr>
              <w:pStyle w:val="BodyText"/>
              <w:spacing w:before="100" w:after="100"/>
            </w:pPr>
            <w:r>
              <w:t>No</w:t>
            </w:r>
          </w:p>
        </w:tc>
      </w:tr>
      <w:tr w:rsidR="000D07EA" w14:paraId="098D04C1" w14:textId="77777777">
        <w:tc>
          <w:tcPr>
            <w:tcW w:w="2525" w:type="pct"/>
          </w:tcPr>
          <w:p w14:paraId="24FE67F5" w14:textId="77777777" w:rsidR="000D07EA" w:rsidRDefault="00BE7C89">
            <w:pPr>
              <w:pStyle w:val="BodyText"/>
              <w:spacing w:before="100" w:after="100"/>
            </w:pPr>
            <w:r>
              <w:t>124YES(937)</w:t>
            </w:r>
          </w:p>
        </w:tc>
        <w:tc>
          <w:tcPr>
            <w:tcW w:w="2475" w:type="pct"/>
          </w:tcPr>
          <w:p w14:paraId="4EE6DBD9" w14:textId="77777777" w:rsidR="000D07EA" w:rsidRDefault="00BE7C89">
            <w:pPr>
              <w:pStyle w:val="BodyText"/>
              <w:spacing w:before="100" w:after="100"/>
            </w:pPr>
            <w:r>
              <w:t>No</w:t>
            </w:r>
          </w:p>
        </w:tc>
      </w:tr>
      <w:tr w:rsidR="000D07EA" w14:paraId="0C30BE6B" w14:textId="77777777">
        <w:tc>
          <w:tcPr>
            <w:tcW w:w="2525" w:type="pct"/>
          </w:tcPr>
          <w:p w14:paraId="01FC0954" w14:textId="77777777" w:rsidR="000D07EA" w:rsidRDefault="00BE7C89">
            <w:pPr>
              <w:pStyle w:val="BodyText"/>
              <w:spacing w:before="100" w:after="100"/>
            </w:pPr>
            <w:r>
              <w:t>Insurance</w:t>
            </w:r>
          </w:p>
        </w:tc>
        <w:tc>
          <w:tcPr>
            <w:tcW w:w="2475" w:type="pct"/>
          </w:tcPr>
          <w:p w14:paraId="3CFE8B3F" w14:textId="77777777" w:rsidR="000D07EA" w:rsidRDefault="00BE7C89">
            <w:pPr>
              <w:pStyle w:val="BodyText"/>
              <w:spacing w:before="100" w:after="100"/>
            </w:pPr>
            <w:r>
              <w:t>No</w:t>
            </w:r>
          </w:p>
        </w:tc>
      </w:tr>
      <w:tr w:rsidR="000D07EA" w14:paraId="79762A0C" w14:textId="77777777">
        <w:tc>
          <w:tcPr>
            <w:tcW w:w="2525" w:type="pct"/>
          </w:tcPr>
          <w:p w14:paraId="4505C0C6" w14:textId="77777777" w:rsidR="000D07EA" w:rsidRDefault="00BE7C89">
            <w:pPr>
              <w:pStyle w:val="BodyText"/>
              <w:spacing w:before="100" w:after="100"/>
            </w:pPr>
            <w:r>
              <w:t>Handset Payments</w:t>
            </w:r>
          </w:p>
        </w:tc>
        <w:tc>
          <w:tcPr>
            <w:tcW w:w="2475" w:type="pct"/>
          </w:tcPr>
          <w:p w14:paraId="08C144B9" w14:textId="77777777" w:rsidR="000D07EA" w:rsidRDefault="00BE7C89">
            <w:pPr>
              <w:pStyle w:val="BodyText"/>
              <w:spacing w:before="100" w:after="100"/>
            </w:pPr>
            <w:r>
              <w:t>No</w:t>
            </w:r>
          </w:p>
        </w:tc>
      </w:tr>
      <w:tr w:rsidR="000D07EA" w14:paraId="3F87A03C" w14:textId="77777777">
        <w:tc>
          <w:tcPr>
            <w:tcW w:w="2525" w:type="pct"/>
          </w:tcPr>
          <w:p w14:paraId="4537FB15" w14:textId="77777777" w:rsidR="000D07EA" w:rsidRDefault="00BE7C89">
            <w:pPr>
              <w:pStyle w:val="BodyText"/>
              <w:spacing w:before="100" w:after="100"/>
            </w:pPr>
            <w:r>
              <w:t>Calls to Satellite</w:t>
            </w:r>
          </w:p>
        </w:tc>
        <w:tc>
          <w:tcPr>
            <w:tcW w:w="2475" w:type="pct"/>
          </w:tcPr>
          <w:p w14:paraId="0FA81DB0" w14:textId="77777777" w:rsidR="000D07EA" w:rsidRDefault="00BE7C89">
            <w:pPr>
              <w:pStyle w:val="BodyText"/>
              <w:spacing w:before="100" w:after="100"/>
            </w:pPr>
            <w:r>
              <w:t>No</w:t>
            </w:r>
          </w:p>
        </w:tc>
      </w:tr>
      <w:tr w:rsidR="000D07EA" w14:paraId="11981404" w14:textId="77777777">
        <w:tc>
          <w:tcPr>
            <w:tcW w:w="2525" w:type="pct"/>
          </w:tcPr>
          <w:p w14:paraId="511AF995" w14:textId="77777777" w:rsidR="000D07EA" w:rsidRDefault="00BE7C89">
            <w:pPr>
              <w:pStyle w:val="BodyText"/>
              <w:spacing w:before="100" w:after="100"/>
            </w:pPr>
            <w:r>
              <w:t>VOIP services</w:t>
            </w:r>
          </w:p>
        </w:tc>
        <w:tc>
          <w:tcPr>
            <w:tcW w:w="2475" w:type="pct"/>
          </w:tcPr>
          <w:p w14:paraId="12E5B687" w14:textId="77777777" w:rsidR="000D07EA" w:rsidRDefault="00BE7C89">
            <w:pPr>
              <w:pStyle w:val="BodyText"/>
              <w:spacing w:before="100" w:after="100"/>
            </w:pPr>
            <w:r>
              <w:t>No</w:t>
            </w:r>
          </w:p>
        </w:tc>
      </w:tr>
    </w:tbl>
    <w:p w14:paraId="12448F0F" w14:textId="77777777" w:rsidR="000D07EA" w:rsidRDefault="000D07EA">
      <w:pPr>
        <w:pStyle w:val="BodyText"/>
      </w:pPr>
    </w:p>
    <w:p w14:paraId="6B30EF5D" w14:textId="77777777" w:rsidR="000D07EA" w:rsidRDefault="00BE7C89">
      <w:pPr>
        <w:pStyle w:val="BodyText"/>
        <w:spacing w:before="240"/>
        <w:ind w:left="1440"/>
        <w:rPr>
          <w:b/>
        </w:rPr>
      </w:pPr>
      <w:r>
        <w:rPr>
          <w:b/>
        </w:rPr>
        <w:t>TABLE 2A - Eligible Data</w:t>
      </w:r>
    </w:p>
    <w:tbl>
      <w:tblPr>
        <w:tblW w:w="4297"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422"/>
        <w:gridCol w:w="4334"/>
      </w:tblGrid>
      <w:tr w:rsidR="000D07EA" w14:paraId="5FA95AC7" w14:textId="77777777">
        <w:trPr>
          <w:tblHeader/>
        </w:trPr>
        <w:tc>
          <w:tcPr>
            <w:tcW w:w="2525" w:type="pct"/>
          </w:tcPr>
          <w:p w14:paraId="4F5BB679" w14:textId="77777777" w:rsidR="000D07EA" w:rsidRDefault="00BE7C89">
            <w:pPr>
              <w:pStyle w:val="BodyText"/>
              <w:spacing w:before="100" w:after="100"/>
              <w:rPr>
                <w:b/>
              </w:rPr>
            </w:pPr>
            <w:r>
              <w:rPr>
                <w:b/>
              </w:rPr>
              <w:lastRenderedPageBreak/>
              <w:t>Call Type</w:t>
            </w:r>
          </w:p>
        </w:tc>
        <w:tc>
          <w:tcPr>
            <w:tcW w:w="2475" w:type="pct"/>
          </w:tcPr>
          <w:p w14:paraId="0C742B2F" w14:textId="77777777" w:rsidR="000D07EA" w:rsidRDefault="00BE7C89">
            <w:pPr>
              <w:pStyle w:val="BodyText"/>
              <w:spacing w:before="100" w:after="100"/>
              <w:rPr>
                <w:b/>
              </w:rPr>
            </w:pPr>
            <w:r>
              <w:rPr>
                <w:b/>
              </w:rPr>
              <w:t>Eligible Data</w:t>
            </w:r>
          </w:p>
        </w:tc>
      </w:tr>
      <w:tr w:rsidR="000D07EA" w14:paraId="42C19FDA" w14:textId="77777777">
        <w:tc>
          <w:tcPr>
            <w:tcW w:w="2525" w:type="pct"/>
          </w:tcPr>
          <w:p w14:paraId="7F0C60AD" w14:textId="77777777" w:rsidR="000D07EA" w:rsidRDefault="00BE7C89">
            <w:pPr>
              <w:pStyle w:val="BodyText"/>
              <w:spacing w:before="100" w:after="100"/>
            </w:pPr>
            <w:r>
              <w:t>National Voice Calls</w:t>
            </w:r>
          </w:p>
        </w:tc>
        <w:tc>
          <w:tcPr>
            <w:tcW w:w="2475" w:type="pct"/>
          </w:tcPr>
          <w:p w14:paraId="18E5CBA1" w14:textId="77777777" w:rsidR="000D07EA" w:rsidRDefault="00BE7C89">
            <w:pPr>
              <w:pStyle w:val="BodyText"/>
              <w:spacing w:before="100" w:after="100"/>
            </w:pPr>
            <w:r>
              <w:t>No</w:t>
            </w:r>
          </w:p>
        </w:tc>
      </w:tr>
      <w:tr w:rsidR="000D07EA" w14:paraId="78EF5ED0" w14:textId="77777777">
        <w:tc>
          <w:tcPr>
            <w:tcW w:w="2525" w:type="pct"/>
          </w:tcPr>
          <w:p w14:paraId="191E4929" w14:textId="77777777" w:rsidR="000D07EA" w:rsidRDefault="00BE7C89">
            <w:pPr>
              <w:pStyle w:val="BodyText"/>
              <w:spacing w:before="100" w:after="100"/>
            </w:pPr>
            <w:r>
              <w:t>International Voice Calls</w:t>
            </w:r>
          </w:p>
          <w:p w14:paraId="39E97101" w14:textId="77777777" w:rsidR="000D07EA" w:rsidRDefault="00BE7C89">
            <w:pPr>
              <w:pStyle w:val="BodyText"/>
              <w:spacing w:before="100" w:after="100"/>
            </w:pPr>
            <w:r>
              <w:t>(including calls to national fixed or GSM mobile services that then divert/switch or re-route overseas)</w:t>
            </w:r>
          </w:p>
        </w:tc>
        <w:tc>
          <w:tcPr>
            <w:tcW w:w="2475" w:type="pct"/>
          </w:tcPr>
          <w:p w14:paraId="4BA0F54D" w14:textId="77777777" w:rsidR="000D07EA" w:rsidRDefault="00BE7C89">
            <w:pPr>
              <w:pStyle w:val="BodyText"/>
              <w:spacing w:before="100" w:after="100"/>
            </w:pPr>
            <w:r>
              <w:t xml:space="preserve">No </w:t>
            </w:r>
          </w:p>
        </w:tc>
      </w:tr>
      <w:tr w:rsidR="000D07EA" w14:paraId="799ED2C5" w14:textId="77777777">
        <w:tc>
          <w:tcPr>
            <w:tcW w:w="2525" w:type="pct"/>
          </w:tcPr>
          <w:p w14:paraId="12155B95" w14:textId="77777777" w:rsidR="000D07EA" w:rsidRDefault="00BE7C89">
            <w:pPr>
              <w:pStyle w:val="BodyText"/>
              <w:keepNext/>
              <w:spacing w:before="100" w:after="100"/>
            </w:pPr>
            <w:r>
              <w:t>International Video Calls</w:t>
            </w:r>
          </w:p>
          <w:p w14:paraId="58672D15" w14:textId="77777777" w:rsidR="000D07EA" w:rsidRDefault="00BE7C89">
            <w:pPr>
              <w:pStyle w:val="BodyText"/>
              <w:keepNext/>
              <w:spacing w:before="100" w:after="100"/>
            </w:pPr>
            <w:r>
              <w:t>(including calls to national fixed or GSM mobile services that then divert/switch or re-route overseas)</w:t>
            </w:r>
          </w:p>
        </w:tc>
        <w:tc>
          <w:tcPr>
            <w:tcW w:w="2475" w:type="pct"/>
          </w:tcPr>
          <w:p w14:paraId="09396330" w14:textId="77777777" w:rsidR="000D07EA" w:rsidRDefault="00BE7C89">
            <w:pPr>
              <w:pStyle w:val="BodyText"/>
              <w:keepNext/>
              <w:spacing w:before="100" w:after="100"/>
            </w:pPr>
            <w:r>
              <w:t>No</w:t>
            </w:r>
          </w:p>
        </w:tc>
      </w:tr>
      <w:tr w:rsidR="000D07EA" w14:paraId="79961E6E" w14:textId="77777777">
        <w:tc>
          <w:tcPr>
            <w:tcW w:w="2525" w:type="pct"/>
          </w:tcPr>
          <w:p w14:paraId="5D08C175" w14:textId="77777777" w:rsidR="000D07EA" w:rsidRDefault="00BE7C89">
            <w:pPr>
              <w:pStyle w:val="BodyText"/>
              <w:spacing w:before="100" w:after="100"/>
            </w:pPr>
            <w:r>
              <w:t>National Standard SMS</w:t>
            </w:r>
          </w:p>
        </w:tc>
        <w:tc>
          <w:tcPr>
            <w:tcW w:w="2475" w:type="pct"/>
          </w:tcPr>
          <w:p w14:paraId="33F282F1" w14:textId="77777777" w:rsidR="000D07EA" w:rsidRDefault="00BE7C89">
            <w:pPr>
              <w:pStyle w:val="BodyText"/>
              <w:spacing w:before="100" w:after="100"/>
            </w:pPr>
            <w:r>
              <w:t>No</w:t>
            </w:r>
          </w:p>
        </w:tc>
      </w:tr>
      <w:tr w:rsidR="000D07EA" w14:paraId="2FB5EF20" w14:textId="77777777">
        <w:tc>
          <w:tcPr>
            <w:tcW w:w="2525" w:type="pct"/>
          </w:tcPr>
          <w:p w14:paraId="0F1A5BB9" w14:textId="77777777" w:rsidR="000D07EA" w:rsidRDefault="00BE7C89">
            <w:pPr>
              <w:pStyle w:val="BodyText"/>
              <w:spacing w:before="100" w:after="100"/>
            </w:pPr>
            <w:r>
              <w:t>International SMS</w:t>
            </w:r>
          </w:p>
        </w:tc>
        <w:tc>
          <w:tcPr>
            <w:tcW w:w="2475" w:type="pct"/>
          </w:tcPr>
          <w:p w14:paraId="013D8221" w14:textId="77777777" w:rsidR="000D07EA" w:rsidRDefault="00BE7C89">
            <w:pPr>
              <w:pStyle w:val="BodyText"/>
              <w:spacing w:before="100" w:after="100"/>
            </w:pPr>
            <w:r>
              <w:t>No</w:t>
            </w:r>
          </w:p>
        </w:tc>
      </w:tr>
      <w:tr w:rsidR="000D07EA" w14:paraId="516B477D" w14:textId="77777777">
        <w:tc>
          <w:tcPr>
            <w:tcW w:w="2525" w:type="pct"/>
          </w:tcPr>
          <w:p w14:paraId="71A36EDF" w14:textId="77777777" w:rsidR="000D07EA" w:rsidRDefault="00BE7C89">
            <w:pPr>
              <w:pStyle w:val="BodyText"/>
              <w:spacing w:before="100" w:after="100"/>
            </w:pPr>
            <w:r>
              <w:t>Voicemail Diversions</w:t>
            </w:r>
          </w:p>
        </w:tc>
        <w:tc>
          <w:tcPr>
            <w:tcW w:w="2475" w:type="pct"/>
          </w:tcPr>
          <w:p w14:paraId="25E15AF6" w14:textId="77777777" w:rsidR="000D07EA" w:rsidRDefault="00BE7C89">
            <w:pPr>
              <w:pStyle w:val="BodyText"/>
              <w:spacing w:before="100" w:after="100"/>
            </w:pPr>
            <w:r>
              <w:t>No</w:t>
            </w:r>
          </w:p>
        </w:tc>
      </w:tr>
      <w:tr w:rsidR="000D07EA" w14:paraId="3E01B664" w14:textId="77777777">
        <w:tc>
          <w:tcPr>
            <w:tcW w:w="2525" w:type="pct"/>
          </w:tcPr>
          <w:p w14:paraId="1BA26220" w14:textId="77777777" w:rsidR="000D07EA" w:rsidRDefault="00BE7C89">
            <w:pPr>
              <w:pStyle w:val="BodyText"/>
              <w:spacing w:before="100" w:after="100"/>
            </w:pPr>
            <w:r>
              <w:t>Voicemail Deposit and Retrievals</w:t>
            </w:r>
          </w:p>
        </w:tc>
        <w:tc>
          <w:tcPr>
            <w:tcW w:w="2475" w:type="pct"/>
          </w:tcPr>
          <w:p w14:paraId="3F9B25B0" w14:textId="77777777" w:rsidR="000D07EA" w:rsidRDefault="00BE7C89">
            <w:pPr>
              <w:pStyle w:val="BodyText"/>
              <w:spacing w:before="100" w:after="100"/>
            </w:pPr>
            <w:r>
              <w:t>No</w:t>
            </w:r>
          </w:p>
        </w:tc>
      </w:tr>
      <w:tr w:rsidR="000D07EA" w14:paraId="6EDA98EA" w14:textId="77777777">
        <w:tc>
          <w:tcPr>
            <w:tcW w:w="2525" w:type="pct"/>
          </w:tcPr>
          <w:p w14:paraId="62BEF1EB" w14:textId="77777777" w:rsidR="000D07EA" w:rsidRDefault="00BE7C89">
            <w:pPr>
              <w:pStyle w:val="BodyText"/>
              <w:spacing w:before="100" w:after="100"/>
            </w:pPr>
            <w:r>
              <w:t>International Roaming and Diversion</w:t>
            </w:r>
          </w:p>
        </w:tc>
        <w:tc>
          <w:tcPr>
            <w:tcW w:w="2475" w:type="pct"/>
          </w:tcPr>
          <w:p w14:paraId="5253AB2C" w14:textId="77777777" w:rsidR="000D07EA" w:rsidRDefault="00BE7C89">
            <w:pPr>
              <w:pStyle w:val="BodyText"/>
              <w:spacing w:before="100" w:after="100"/>
            </w:pPr>
            <w:r>
              <w:t>No</w:t>
            </w:r>
          </w:p>
        </w:tc>
      </w:tr>
      <w:tr w:rsidR="000D07EA" w14:paraId="67B77D5C" w14:textId="77777777">
        <w:tc>
          <w:tcPr>
            <w:tcW w:w="2525" w:type="pct"/>
          </w:tcPr>
          <w:p w14:paraId="5329325B" w14:textId="77777777" w:rsidR="000D07EA" w:rsidRDefault="00BE7C89">
            <w:pPr>
              <w:pStyle w:val="BodyText"/>
              <w:spacing w:before="100" w:after="100"/>
            </w:pPr>
            <w:r>
              <w:t>Premium SMS</w:t>
            </w:r>
          </w:p>
        </w:tc>
        <w:tc>
          <w:tcPr>
            <w:tcW w:w="2475" w:type="pct"/>
          </w:tcPr>
          <w:p w14:paraId="6E7DB5E1" w14:textId="77777777" w:rsidR="000D07EA" w:rsidRDefault="00BE7C89">
            <w:pPr>
              <w:pStyle w:val="BodyText"/>
              <w:spacing w:before="100" w:after="100"/>
            </w:pPr>
            <w:r>
              <w:t>No</w:t>
            </w:r>
          </w:p>
        </w:tc>
      </w:tr>
      <w:tr w:rsidR="000D07EA" w14:paraId="4D05300D" w14:textId="77777777">
        <w:tc>
          <w:tcPr>
            <w:tcW w:w="2525" w:type="pct"/>
          </w:tcPr>
          <w:p w14:paraId="05511FBF" w14:textId="77777777" w:rsidR="000D07EA" w:rsidRDefault="00BE7C89">
            <w:pPr>
              <w:pStyle w:val="BodyText"/>
              <w:spacing w:before="100" w:after="100"/>
            </w:pPr>
            <w:r>
              <w:t>Premium Video</w:t>
            </w:r>
          </w:p>
        </w:tc>
        <w:tc>
          <w:tcPr>
            <w:tcW w:w="2475" w:type="pct"/>
          </w:tcPr>
          <w:p w14:paraId="143B9664" w14:textId="77777777" w:rsidR="000D07EA" w:rsidRDefault="00BE7C89">
            <w:pPr>
              <w:pStyle w:val="BodyText"/>
              <w:spacing w:before="100" w:after="100"/>
            </w:pPr>
            <w:r>
              <w:t>No</w:t>
            </w:r>
          </w:p>
        </w:tc>
      </w:tr>
      <w:tr w:rsidR="000D07EA" w14:paraId="2ECB76B5" w14:textId="77777777">
        <w:tc>
          <w:tcPr>
            <w:tcW w:w="2525" w:type="pct"/>
          </w:tcPr>
          <w:p w14:paraId="5B1145A0" w14:textId="77777777" w:rsidR="000D07EA" w:rsidRDefault="00BE7C89">
            <w:pPr>
              <w:pStyle w:val="BodyText"/>
              <w:spacing w:before="100" w:after="100"/>
            </w:pPr>
            <w:r>
              <w:t>Video Conferencing</w:t>
            </w:r>
          </w:p>
        </w:tc>
        <w:tc>
          <w:tcPr>
            <w:tcW w:w="2475" w:type="pct"/>
          </w:tcPr>
          <w:p w14:paraId="40A90256" w14:textId="77777777" w:rsidR="000D07EA" w:rsidRDefault="00BE7C89">
            <w:pPr>
              <w:pStyle w:val="BodyText"/>
              <w:spacing w:before="100" w:after="100"/>
            </w:pPr>
            <w:r>
              <w:t>No</w:t>
            </w:r>
          </w:p>
        </w:tc>
      </w:tr>
      <w:tr w:rsidR="000D07EA" w14:paraId="470065FF" w14:textId="77777777">
        <w:tc>
          <w:tcPr>
            <w:tcW w:w="2525" w:type="pct"/>
          </w:tcPr>
          <w:p w14:paraId="4E95D2F2" w14:textId="77777777" w:rsidR="000D07EA" w:rsidRDefault="00BE7C89">
            <w:pPr>
              <w:pStyle w:val="BodyText"/>
              <w:spacing w:before="100" w:after="100"/>
            </w:pPr>
            <w:r>
              <w:t>Optus iZoo Browsing</w:t>
            </w:r>
          </w:p>
        </w:tc>
        <w:tc>
          <w:tcPr>
            <w:tcW w:w="2475" w:type="pct"/>
          </w:tcPr>
          <w:p w14:paraId="64CA7BE8" w14:textId="77777777" w:rsidR="000D07EA" w:rsidRDefault="00BE7C89">
            <w:pPr>
              <w:pStyle w:val="BodyText"/>
              <w:spacing w:before="100" w:after="100"/>
            </w:pPr>
            <w:r>
              <w:t>Yes, up to the monthly included data amount specified in Table 3A for the Timeless Business Internet Plans</w:t>
            </w:r>
          </w:p>
        </w:tc>
      </w:tr>
      <w:tr w:rsidR="000D07EA" w14:paraId="40F3F899" w14:textId="77777777">
        <w:tc>
          <w:tcPr>
            <w:tcW w:w="2525" w:type="pct"/>
          </w:tcPr>
          <w:p w14:paraId="7555C4FF" w14:textId="77777777" w:rsidR="000D07EA" w:rsidRDefault="00BE7C89">
            <w:pPr>
              <w:pStyle w:val="BodyText"/>
              <w:spacing w:before="100" w:after="100"/>
            </w:pPr>
            <w:r>
              <w:t>Optus iZoo Downloads</w:t>
            </w:r>
          </w:p>
        </w:tc>
        <w:tc>
          <w:tcPr>
            <w:tcW w:w="2475" w:type="pct"/>
          </w:tcPr>
          <w:p w14:paraId="767350E9" w14:textId="77777777" w:rsidR="000D07EA" w:rsidRDefault="00BE7C89">
            <w:pPr>
              <w:pStyle w:val="BodyText"/>
              <w:spacing w:before="100" w:after="100"/>
            </w:pPr>
            <w:r>
              <w:t>No</w:t>
            </w:r>
          </w:p>
        </w:tc>
      </w:tr>
      <w:tr w:rsidR="000D07EA" w14:paraId="2F1AADA6" w14:textId="77777777">
        <w:tc>
          <w:tcPr>
            <w:tcW w:w="2525" w:type="pct"/>
          </w:tcPr>
          <w:p w14:paraId="6A94EC75" w14:textId="77777777" w:rsidR="000D07EA" w:rsidRDefault="00BE7C89">
            <w:pPr>
              <w:pStyle w:val="BodyText"/>
              <w:spacing w:before="100" w:after="100"/>
            </w:pPr>
            <w:r>
              <w:t>966* Zoo</w:t>
            </w:r>
          </w:p>
        </w:tc>
        <w:tc>
          <w:tcPr>
            <w:tcW w:w="2475" w:type="pct"/>
          </w:tcPr>
          <w:p w14:paraId="6E402D67" w14:textId="77777777" w:rsidR="000D07EA" w:rsidRDefault="00BE7C89">
            <w:pPr>
              <w:pStyle w:val="BodyText"/>
              <w:spacing w:before="100" w:after="100"/>
            </w:pPr>
            <w:r>
              <w:t>No</w:t>
            </w:r>
          </w:p>
        </w:tc>
      </w:tr>
      <w:tr w:rsidR="000D07EA" w14:paraId="4871FF9A" w14:textId="77777777">
        <w:tc>
          <w:tcPr>
            <w:tcW w:w="2525" w:type="pct"/>
          </w:tcPr>
          <w:p w14:paraId="2D847C11" w14:textId="77777777" w:rsidR="000D07EA" w:rsidRDefault="00BE7C89">
            <w:pPr>
              <w:pStyle w:val="BodyText"/>
              <w:spacing w:before="100" w:after="100"/>
            </w:pPr>
            <w:r>
              <w:t>Mobile Internet usage</w:t>
            </w:r>
          </w:p>
        </w:tc>
        <w:tc>
          <w:tcPr>
            <w:tcW w:w="2475" w:type="pct"/>
          </w:tcPr>
          <w:p w14:paraId="4E986BF2" w14:textId="77777777" w:rsidR="000D07EA" w:rsidRDefault="00BE7C89">
            <w:pPr>
              <w:pStyle w:val="BodyText"/>
              <w:spacing w:before="100" w:after="100"/>
            </w:pPr>
            <w:r>
              <w:t>Yes, up to the monthly included data amount specified in Table 3A for the Timeless Business Internet Plans</w:t>
            </w:r>
          </w:p>
        </w:tc>
      </w:tr>
      <w:tr w:rsidR="000D07EA" w14:paraId="2A44DB14" w14:textId="77777777">
        <w:tc>
          <w:tcPr>
            <w:tcW w:w="2525" w:type="pct"/>
          </w:tcPr>
          <w:p w14:paraId="586784DF" w14:textId="77777777" w:rsidR="000D07EA" w:rsidRDefault="00BE7C89">
            <w:pPr>
              <w:pStyle w:val="BodyText"/>
              <w:spacing w:before="100" w:after="100"/>
            </w:pPr>
            <w:r>
              <w:t>Data Used while Roaming Internationally</w:t>
            </w:r>
          </w:p>
        </w:tc>
        <w:tc>
          <w:tcPr>
            <w:tcW w:w="2475" w:type="pct"/>
          </w:tcPr>
          <w:p w14:paraId="16613542" w14:textId="77777777" w:rsidR="000D07EA" w:rsidRDefault="00BE7C89">
            <w:pPr>
              <w:pStyle w:val="BodyText"/>
              <w:spacing w:before="100" w:after="100"/>
            </w:pPr>
            <w:r>
              <w:t>No</w:t>
            </w:r>
          </w:p>
        </w:tc>
      </w:tr>
      <w:tr w:rsidR="000D07EA" w14:paraId="3DAB0CF7" w14:textId="77777777">
        <w:tc>
          <w:tcPr>
            <w:tcW w:w="2525" w:type="pct"/>
          </w:tcPr>
          <w:p w14:paraId="2E95474A" w14:textId="77777777" w:rsidR="000D07EA" w:rsidRDefault="00BE7C89">
            <w:pPr>
              <w:pStyle w:val="BodyText"/>
              <w:spacing w:before="100" w:after="100"/>
            </w:pPr>
            <w:r>
              <w:t>Content Packs (unless specified in promotions)</w:t>
            </w:r>
          </w:p>
        </w:tc>
        <w:tc>
          <w:tcPr>
            <w:tcW w:w="2475" w:type="pct"/>
          </w:tcPr>
          <w:p w14:paraId="2FDC9E20" w14:textId="77777777" w:rsidR="000D07EA" w:rsidRDefault="00BE7C89">
            <w:pPr>
              <w:pStyle w:val="BodyText"/>
              <w:spacing w:before="100" w:after="100"/>
            </w:pPr>
            <w:r>
              <w:t>No</w:t>
            </w:r>
          </w:p>
        </w:tc>
      </w:tr>
      <w:tr w:rsidR="000D07EA" w14:paraId="7484B0FA" w14:textId="77777777">
        <w:tc>
          <w:tcPr>
            <w:tcW w:w="2525" w:type="pct"/>
          </w:tcPr>
          <w:p w14:paraId="661D2350" w14:textId="77777777" w:rsidR="000D07EA" w:rsidRDefault="00BE7C89">
            <w:pPr>
              <w:pStyle w:val="BodyText"/>
              <w:spacing w:before="100" w:after="100"/>
            </w:pPr>
            <w:r>
              <w:t>TrueLocal Usage</w:t>
            </w:r>
          </w:p>
        </w:tc>
        <w:tc>
          <w:tcPr>
            <w:tcW w:w="2475" w:type="pct"/>
          </w:tcPr>
          <w:p w14:paraId="06E0AE20" w14:textId="77777777" w:rsidR="000D07EA" w:rsidRDefault="00BE7C89">
            <w:pPr>
              <w:pStyle w:val="BodyText"/>
              <w:spacing w:before="100" w:after="100"/>
            </w:pPr>
            <w:r>
              <w:t>No</w:t>
            </w:r>
          </w:p>
        </w:tc>
      </w:tr>
      <w:tr w:rsidR="000D07EA" w14:paraId="114CB9D4" w14:textId="77777777">
        <w:tc>
          <w:tcPr>
            <w:tcW w:w="2525" w:type="pct"/>
          </w:tcPr>
          <w:p w14:paraId="21865F3B" w14:textId="77777777" w:rsidR="000D07EA" w:rsidRDefault="00BE7C89">
            <w:pPr>
              <w:pStyle w:val="BodyText"/>
              <w:spacing w:before="100" w:after="100"/>
            </w:pPr>
            <w:r>
              <w:t xml:space="preserve">Directory Assistance- 1223 </w:t>
            </w:r>
          </w:p>
        </w:tc>
        <w:tc>
          <w:tcPr>
            <w:tcW w:w="2475" w:type="pct"/>
          </w:tcPr>
          <w:p w14:paraId="3B003061" w14:textId="77777777" w:rsidR="000D07EA" w:rsidRDefault="00BE7C89">
            <w:pPr>
              <w:pStyle w:val="BodyText"/>
              <w:spacing w:before="100" w:after="100"/>
            </w:pPr>
            <w:r>
              <w:t>No</w:t>
            </w:r>
          </w:p>
        </w:tc>
      </w:tr>
      <w:tr w:rsidR="000D07EA" w14:paraId="439B66A9" w14:textId="77777777">
        <w:tc>
          <w:tcPr>
            <w:tcW w:w="2525" w:type="pct"/>
          </w:tcPr>
          <w:p w14:paraId="4781C385" w14:textId="77777777" w:rsidR="000D07EA" w:rsidRDefault="00BE7C89">
            <w:pPr>
              <w:pStyle w:val="BodyText"/>
              <w:spacing w:before="100" w:after="100"/>
            </w:pPr>
            <w:r>
              <w:t>19XX Numbers</w:t>
            </w:r>
          </w:p>
        </w:tc>
        <w:tc>
          <w:tcPr>
            <w:tcW w:w="2475" w:type="pct"/>
          </w:tcPr>
          <w:p w14:paraId="5836A66C" w14:textId="77777777" w:rsidR="000D07EA" w:rsidRDefault="00BE7C89">
            <w:pPr>
              <w:pStyle w:val="BodyText"/>
              <w:spacing w:before="100" w:after="100"/>
            </w:pPr>
            <w:r>
              <w:t>No</w:t>
            </w:r>
          </w:p>
        </w:tc>
      </w:tr>
      <w:tr w:rsidR="000D07EA" w14:paraId="5AE6F125" w14:textId="77777777">
        <w:tc>
          <w:tcPr>
            <w:tcW w:w="2525" w:type="pct"/>
          </w:tcPr>
          <w:p w14:paraId="3BBE2AAD" w14:textId="77777777" w:rsidR="000D07EA" w:rsidRDefault="00BE7C89">
            <w:pPr>
              <w:pStyle w:val="BodyText"/>
              <w:spacing w:before="100" w:after="100"/>
            </w:pPr>
            <w:r>
              <w:t>1800, 13 and 1300 numbers</w:t>
            </w:r>
          </w:p>
        </w:tc>
        <w:tc>
          <w:tcPr>
            <w:tcW w:w="2475" w:type="pct"/>
          </w:tcPr>
          <w:p w14:paraId="0977FB0E" w14:textId="77777777" w:rsidR="000D07EA" w:rsidRDefault="00BE7C89">
            <w:pPr>
              <w:pStyle w:val="BodyText"/>
              <w:spacing w:before="100" w:after="100"/>
            </w:pPr>
            <w:r>
              <w:t>No</w:t>
            </w:r>
          </w:p>
        </w:tc>
      </w:tr>
      <w:tr w:rsidR="000D07EA" w14:paraId="5E79193A" w14:textId="77777777">
        <w:tc>
          <w:tcPr>
            <w:tcW w:w="2525" w:type="pct"/>
          </w:tcPr>
          <w:p w14:paraId="68BE06F5" w14:textId="77777777" w:rsidR="000D07EA" w:rsidRDefault="00BE7C89">
            <w:pPr>
              <w:pStyle w:val="BodyText"/>
              <w:spacing w:before="100" w:after="100"/>
            </w:pPr>
            <w:r>
              <w:t>124YES(937)</w:t>
            </w:r>
          </w:p>
        </w:tc>
        <w:tc>
          <w:tcPr>
            <w:tcW w:w="2475" w:type="pct"/>
          </w:tcPr>
          <w:p w14:paraId="5D1DE222" w14:textId="77777777" w:rsidR="000D07EA" w:rsidRDefault="00BE7C89">
            <w:pPr>
              <w:pStyle w:val="BodyText"/>
              <w:spacing w:before="100" w:after="100"/>
            </w:pPr>
            <w:r>
              <w:t>No</w:t>
            </w:r>
          </w:p>
        </w:tc>
      </w:tr>
      <w:tr w:rsidR="000D07EA" w14:paraId="565243D6" w14:textId="77777777">
        <w:tc>
          <w:tcPr>
            <w:tcW w:w="2525" w:type="pct"/>
          </w:tcPr>
          <w:p w14:paraId="66C9AEF8" w14:textId="77777777" w:rsidR="000D07EA" w:rsidRDefault="00BE7C89">
            <w:pPr>
              <w:pStyle w:val="BodyText"/>
              <w:spacing w:before="100" w:after="100"/>
            </w:pPr>
            <w:r>
              <w:t>Insurance</w:t>
            </w:r>
          </w:p>
        </w:tc>
        <w:tc>
          <w:tcPr>
            <w:tcW w:w="2475" w:type="pct"/>
          </w:tcPr>
          <w:p w14:paraId="624A4552" w14:textId="77777777" w:rsidR="000D07EA" w:rsidRDefault="00BE7C89">
            <w:pPr>
              <w:pStyle w:val="BodyText"/>
              <w:spacing w:before="100" w:after="100"/>
            </w:pPr>
            <w:r>
              <w:t>No</w:t>
            </w:r>
          </w:p>
        </w:tc>
      </w:tr>
      <w:tr w:rsidR="000D07EA" w14:paraId="491CA3E8" w14:textId="77777777">
        <w:tc>
          <w:tcPr>
            <w:tcW w:w="2525" w:type="pct"/>
          </w:tcPr>
          <w:p w14:paraId="2D015BE9" w14:textId="77777777" w:rsidR="000D07EA" w:rsidRDefault="00BE7C89">
            <w:pPr>
              <w:pStyle w:val="BodyText"/>
              <w:spacing w:before="100" w:after="100"/>
            </w:pPr>
            <w:r>
              <w:t>Handset Payments</w:t>
            </w:r>
          </w:p>
        </w:tc>
        <w:tc>
          <w:tcPr>
            <w:tcW w:w="2475" w:type="pct"/>
          </w:tcPr>
          <w:p w14:paraId="282FB417" w14:textId="77777777" w:rsidR="000D07EA" w:rsidRDefault="00BE7C89">
            <w:pPr>
              <w:pStyle w:val="BodyText"/>
              <w:spacing w:before="100" w:after="100"/>
            </w:pPr>
            <w:r>
              <w:t>No</w:t>
            </w:r>
          </w:p>
        </w:tc>
      </w:tr>
      <w:tr w:rsidR="000D07EA" w14:paraId="21B65B66" w14:textId="77777777">
        <w:tc>
          <w:tcPr>
            <w:tcW w:w="2525" w:type="pct"/>
          </w:tcPr>
          <w:p w14:paraId="6AC8D50B" w14:textId="77777777" w:rsidR="000D07EA" w:rsidRDefault="00BE7C89">
            <w:pPr>
              <w:pStyle w:val="BodyText"/>
              <w:spacing w:before="100" w:after="100"/>
            </w:pPr>
            <w:r>
              <w:t>Calls to Satellite</w:t>
            </w:r>
          </w:p>
        </w:tc>
        <w:tc>
          <w:tcPr>
            <w:tcW w:w="2475" w:type="pct"/>
          </w:tcPr>
          <w:p w14:paraId="35A1F810" w14:textId="77777777" w:rsidR="000D07EA" w:rsidRDefault="00BE7C89">
            <w:pPr>
              <w:pStyle w:val="BodyText"/>
              <w:spacing w:before="100" w:after="100"/>
            </w:pPr>
            <w:r>
              <w:t>No</w:t>
            </w:r>
          </w:p>
        </w:tc>
      </w:tr>
      <w:tr w:rsidR="000D07EA" w14:paraId="2AC41414" w14:textId="77777777">
        <w:tc>
          <w:tcPr>
            <w:tcW w:w="2525" w:type="pct"/>
          </w:tcPr>
          <w:p w14:paraId="6BDD2CDF" w14:textId="77777777" w:rsidR="000D07EA" w:rsidRDefault="00BE7C89">
            <w:pPr>
              <w:pStyle w:val="BodyText"/>
              <w:spacing w:before="100" w:after="100"/>
            </w:pPr>
            <w:r>
              <w:lastRenderedPageBreak/>
              <w:t>VOIP services</w:t>
            </w:r>
          </w:p>
        </w:tc>
        <w:tc>
          <w:tcPr>
            <w:tcW w:w="2475" w:type="pct"/>
          </w:tcPr>
          <w:p w14:paraId="1F0F5888" w14:textId="77777777" w:rsidR="000D07EA" w:rsidRDefault="00BE7C89">
            <w:pPr>
              <w:pStyle w:val="BodyText"/>
              <w:spacing w:before="100" w:after="100"/>
            </w:pPr>
            <w:r>
              <w:t>No</w:t>
            </w:r>
          </w:p>
        </w:tc>
      </w:tr>
    </w:tbl>
    <w:p w14:paraId="3F42FF5C" w14:textId="77777777" w:rsidR="000D07EA" w:rsidRDefault="000D07EA">
      <w:pPr>
        <w:pStyle w:val="BodyText"/>
      </w:pPr>
    </w:p>
    <w:p w14:paraId="084B39D4" w14:textId="77777777" w:rsidR="000D07EA" w:rsidRDefault="00BE7C89">
      <w:pPr>
        <w:pStyle w:val="BodyText"/>
        <w:keepNext/>
        <w:spacing w:before="240"/>
        <w:ind w:left="1440"/>
        <w:rPr>
          <w:b/>
        </w:rPr>
      </w:pPr>
      <w:r>
        <w:rPr>
          <w:b/>
        </w:rPr>
        <w:t>Table 3A – Charges and Amounts for the Timeless Business Internet Plans</w:t>
      </w:r>
    </w:p>
    <w:tbl>
      <w:tblPr>
        <w:tblW w:w="4300" w:type="pct"/>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39"/>
        <w:gridCol w:w="2313"/>
        <w:gridCol w:w="2310"/>
      </w:tblGrid>
      <w:tr w:rsidR="000D07EA" w14:paraId="14A1F926" w14:textId="77777777">
        <w:trPr>
          <w:trHeight w:val="930"/>
          <w:tblHeader/>
        </w:trPr>
        <w:tc>
          <w:tcPr>
            <w:tcW w:w="2362" w:type="pct"/>
          </w:tcPr>
          <w:p w14:paraId="48F61F7B" w14:textId="77777777" w:rsidR="000D07EA" w:rsidRDefault="00BE7C89">
            <w:pPr>
              <w:pStyle w:val="BodyText"/>
              <w:spacing w:before="100" w:after="100"/>
              <w:rPr>
                <w:b/>
              </w:rPr>
            </w:pPr>
            <w:r>
              <w:rPr>
                <w:b/>
              </w:rPr>
              <w:t>Month to Month, 12 or 24 Month Plans</w:t>
            </w:r>
          </w:p>
        </w:tc>
        <w:tc>
          <w:tcPr>
            <w:tcW w:w="1320" w:type="pct"/>
          </w:tcPr>
          <w:p w14:paraId="252284A2" w14:textId="77777777" w:rsidR="000D07EA" w:rsidRDefault="00BE7C89">
            <w:pPr>
              <w:pStyle w:val="BodyText"/>
              <w:spacing w:before="100" w:after="100"/>
              <w:jc w:val="center"/>
              <w:rPr>
                <w:b/>
                <w:bCs/>
              </w:rPr>
            </w:pPr>
            <w:r>
              <w:rPr>
                <w:b/>
                <w:bCs/>
              </w:rPr>
              <w:t>Timeless Business Internet $99 when you take the $14.99 Mobile Internet Pack or 'yes' Business Data Bolt On*</w:t>
            </w:r>
          </w:p>
        </w:tc>
        <w:tc>
          <w:tcPr>
            <w:tcW w:w="1319" w:type="pct"/>
          </w:tcPr>
          <w:p w14:paraId="3846F140" w14:textId="77777777" w:rsidR="000D07EA" w:rsidRDefault="00BE7C89">
            <w:pPr>
              <w:pStyle w:val="BodyText"/>
              <w:spacing w:before="100" w:after="100"/>
              <w:jc w:val="center"/>
              <w:rPr>
                <w:b/>
                <w:bCs/>
              </w:rPr>
            </w:pPr>
            <w:r>
              <w:rPr>
                <w:b/>
                <w:bCs/>
              </w:rPr>
              <w:t>Timeless Business Internet $129 Plan</w:t>
            </w:r>
          </w:p>
        </w:tc>
      </w:tr>
      <w:tr w:rsidR="000D07EA" w14:paraId="66B87A1F" w14:textId="77777777">
        <w:trPr>
          <w:trHeight w:val="330"/>
        </w:trPr>
        <w:tc>
          <w:tcPr>
            <w:tcW w:w="2362" w:type="pct"/>
          </w:tcPr>
          <w:p w14:paraId="24DFD291" w14:textId="77777777" w:rsidR="000D07EA" w:rsidRDefault="00BE7C89">
            <w:pPr>
              <w:pStyle w:val="BodyText"/>
              <w:spacing w:before="100" w:after="100"/>
              <w:rPr>
                <w:b/>
                <w:bCs/>
              </w:rPr>
            </w:pPr>
            <w:r>
              <w:rPr>
                <w:b/>
                <w:bCs/>
              </w:rPr>
              <w:t xml:space="preserve">Minimum monthly spend </w:t>
            </w:r>
          </w:p>
        </w:tc>
        <w:tc>
          <w:tcPr>
            <w:tcW w:w="1320" w:type="pct"/>
          </w:tcPr>
          <w:p w14:paraId="399DBB26" w14:textId="77777777" w:rsidR="000D07EA" w:rsidRDefault="00BE7C89">
            <w:pPr>
              <w:pStyle w:val="BodyText"/>
              <w:spacing w:before="100" w:after="100"/>
              <w:jc w:val="center"/>
            </w:pPr>
            <w:r>
              <w:t>$113.99</w:t>
            </w:r>
          </w:p>
        </w:tc>
        <w:tc>
          <w:tcPr>
            <w:tcW w:w="1319" w:type="pct"/>
          </w:tcPr>
          <w:p w14:paraId="73217CAA" w14:textId="77777777" w:rsidR="000D07EA" w:rsidRDefault="00BE7C89">
            <w:pPr>
              <w:pStyle w:val="BodyText"/>
              <w:spacing w:before="100" w:after="100"/>
              <w:jc w:val="center"/>
            </w:pPr>
            <w:r>
              <w:t>$129</w:t>
            </w:r>
          </w:p>
        </w:tc>
      </w:tr>
      <w:tr w:rsidR="000D07EA" w14:paraId="70A70A6F" w14:textId="77777777">
        <w:trPr>
          <w:trHeight w:val="375"/>
        </w:trPr>
        <w:tc>
          <w:tcPr>
            <w:tcW w:w="2362" w:type="pct"/>
          </w:tcPr>
          <w:p w14:paraId="4E31D48C" w14:textId="77777777" w:rsidR="000D07EA" w:rsidRDefault="00BE7C89">
            <w:pPr>
              <w:pStyle w:val="BodyText"/>
              <w:spacing w:before="100" w:after="100"/>
              <w:rPr>
                <w:b/>
                <w:bCs/>
              </w:rPr>
            </w:pPr>
            <w:r>
              <w:rPr>
                <w:b/>
                <w:bCs/>
              </w:rPr>
              <w:t xml:space="preserve">Included Value - Calls </w:t>
            </w:r>
          </w:p>
        </w:tc>
        <w:tc>
          <w:tcPr>
            <w:tcW w:w="1320" w:type="pct"/>
          </w:tcPr>
          <w:p w14:paraId="68B3DE2A" w14:textId="77777777" w:rsidR="000D07EA" w:rsidRDefault="00BE7C89">
            <w:pPr>
              <w:pStyle w:val="BodyText"/>
              <w:spacing w:before="100" w:after="100"/>
              <w:jc w:val="center"/>
            </w:pPr>
            <w:r>
              <w:t>NA</w:t>
            </w:r>
          </w:p>
        </w:tc>
        <w:tc>
          <w:tcPr>
            <w:tcW w:w="1319" w:type="pct"/>
          </w:tcPr>
          <w:p w14:paraId="575EF342" w14:textId="77777777" w:rsidR="000D07EA" w:rsidRDefault="00BE7C89">
            <w:pPr>
              <w:pStyle w:val="BodyText"/>
              <w:spacing w:before="100" w:after="100"/>
              <w:jc w:val="center"/>
            </w:pPr>
            <w:r>
              <w:t>NA</w:t>
            </w:r>
          </w:p>
        </w:tc>
      </w:tr>
      <w:tr w:rsidR="000D07EA" w14:paraId="5FD4D0AD" w14:textId="77777777">
        <w:trPr>
          <w:trHeight w:val="60"/>
        </w:trPr>
        <w:tc>
          <w:tcPr>
            <w:tcW w:w="2362" w:type="pct"/>
          </w:tcPr>
          <w:p w14:paraId="53482DE6" w14:textId="77777777" w:rsidR="000D07EA" w:rsidRDefault="00BE7C89">
            <w:pPr>
              <w:pStyle w:val="BodyText"/>
              <w:spacing w:before="100" w:after="100"/>
              <w:rPr>
                <w:b/>
                <w:bCs/>
              </w:rPr>
            </w:pPr>
            <w:r>
              <w:rPr>
                <w:b/>
                <w:bCs/>
              </w:rPr>
              <w:t xml:space="preserve">Monthly Included Mobile Internet Data </w:t>
            </w:r>
          </w:p>
        </w:tc>
        <w:tc>
          <w:tcPr>
            <w:tcW w:w="1320" w:type="pct"/>
          </w:tcPr>
          <w:p w14:paraId="1315A7D9" w14:textId="77777777" w:rsidR="000D07EA" w:rsidRDefault="00BE7C89">
            <w:pPr>
              <w:pStyle w:val="BodyText"/>
              <w:spacing w:before="100" w:after="100"/>
              <w:jc w:val="center"/>
            </w:pPr>
            <w:r>
              <w:t>Minimum of 200MB of Mobile Internet Data with the $14.99 Mobile Internet Pack.</w:t>
            </w:r>
          </w:p>
          <w:p w14:paraId="40D4FAC3" w14:textId="77777777" w:rsidR="000D07EA" w:rsidRDefault="00BE7C89">
            <w:pPr>
              <w:pStyle w:val="BodyText"/>
              <w:spacing w:before="100" w:after="100"/>
              <w:jc w:val="center"/>
            </w:pPr>
            <w:r>
              <w:rPr>
                <w:u w:val="single"/>
              </w:rPr>
              <w:t>Plus</w:t>
            </w:r>
            <w:r>
              <w:t xml:space="preserve"> </w:t>
            </w:r>
            <w:r>
              <w:rPr>
                <w:u w:val="single"/>
              </w:rPr>
              <w:t>an additional</w:t>
            </w:r>
            <w:r>
              <w:t xml:space="preserve"> 1Gb of mobile internet data value (total 1.2GB)</w:t>
            </w:r>
          </w:p>
        </w:tc>
        <w:tc>
          <w:tcPr>
            <w:tcW w:w="1319" w:type="pct"/>
          </w:tcPr>
          <w:p w14:paraId="45A4D6E4" w14:textId="77777777" w:rsidR="000D07EA" w:rsidRDefault="00BE7C89">
            <w:pPr>
              <w:pStyle w:val="BodyText"/>
              <w:spacing w:before="100" w:after="100"/>
              <w:jc w:val="center"/>
            </w:pPr>
            <w:r>
              <w:t xml:space="preserve">2Gb of Mobile Internet Data Value </w:t>
            </w:r>
            <w:r>
              <w:rPr>
                <w:u w:val="single"/>
              </w:rPr>
              <w:t>Plus an additional</w:t>
            </w:r>
            <w:r>
              <w:t xml:space="preserve"> 1Gb of mobile internet data value (total 3GB)</w:t>
            </w:r>
          </w:p>
        </w:tc>
      </w:tr>
      <w:tr w:rsidR="000D07EA" w14:paraId="01B77250" w14:textId="77777777">
        <w:trPr>
          <w:trHeight w:val="60"/>
        </w:trPr>
        <w:tc>
          <w:tcPr>
            <w:tcW w:w="2362" w:type="pct"/>
          </w:tcPr>
          <w:p w14:paraId="0256739D" w14:textId="77777777" w:rsidR="000D07EA" w:rsidRDefault="00BE7C89">
            <w:pPr>
              <w:pStyle w:val="BodyText"/>
              <w:spacing w:before="100" w:after="100"/>
              <w:rPr>
                <w:b/>
                <w:bCs/>
              </w:rPr>
            </w:pPr>
            <w:r>
              <w:rPr>
                <w:b/>
                <w:bCs/>
              </w:rPr>
              <w:t>National voice call charges</w:t>
            </w:r>
            <w:r>
              <w:rPr>
                <w:b/>
              </w:rPr>
              <w:t xml:space="preserve"> </w:t>
            </w:r>
            <w:r>
              <w:t>(per 30 secs)</w:t>
            </w:r>
          </w:p>
        </w:tc>
        <w:tc>
          <w:tcPr>
            <w:tcW w:w="1320" w:type="pct"/>
          </w:tcPr>
          <w:p w14:paraId="499DFDB0" w14:textId="77777777" w:rsidR="000D07EA" w:rsidRDefault="00BE7C89">
            <w:pPr>
              <w:pStyle w:val="BodyText"/>
              <w:spacing w:before="100" w:after="100"/>
              <w:jc w:val="center"/>
            </w:pPr>
            <w:r>
              <w:t>NA</w:t>
            </w:r>
          </w:p>
        </w:tc>
        <w:tc>
          <w:tcPr>
            <w:tcW w:w="1319" w:type="pct"/>
          </w:tcPr>
          <w:p w14:paraId="4D1A36DC" w14:textId="77777777" w:rsidR="000D07EA" w:rsidRDefault="00BE7C89">
            <w:pPr>
              <w:pStyle w:val="BodyText"/>
              <w:spacing w:before="100" w:after="100"/>
              <w:jc w:val="center"/>
            </w:pPr>
            <w:r>
              <w:t>NA</w:t>
            </w:r>
          </w:p>
        </w:tc>
      </w:tr>
      <w:tr w:rsidR="000D07EA" w14:paraId="5BBD14D0" w14:textId="77777777">
        <w:trPr>
          <w:trHeight w:val="517"/>
        </w:trPr>
        <w:tc>
          <w:tcPr>
            <w:tcW w:w="2362" w:type="pct"/>
          </w:tcPr>
          <w:p w14:paraId="75A9191D" w14:textId="77777777" w:rsidR="000D07EA" w:rsidRDefault="00BE7C89">
            <w:pPr>
              <w:pStyle w:val="BodyText"/>
              <w:spacing w:before="100" w:after="100"/>
              <w:rPr>
                <w:b/>
                <w:bCs/>
              </w:rPr>
            </w:pPr>
            <w:r>
              <w:rPr>
                <w:b/>
                <w:bCs/>
              </w:rPr>
              <w:t xml:space="preserve">Flagfall for national voice calls </w:t>
            </w:r>
            <w:r>
              <w:t>(per call)</w:t>
            </w:r>
          </w:p>
        </w:tc>
        <w:tc>
          <w:tcPr>
            <w:tcW w:w="1320" w:type="pct"/>
          </w:tcPr>
          <w:p w14:paraId="73355443" w14:textId="77777777" w:rsidR="000D07EA" w:rsidRDefault="00BE7C89">
            <w:pPr>
              <w:pStyle w:val="BodyText"/>
              <w:spacing w:before="100" w:after="100"/>
              <w:jc w:val="center"/>
            </w:pPr>
            <w:r>
              <w:t>NA</w:t>
            </w:r>
          </w:p>
        </w:tc>
        <w:tc>
          <w:tcPr>
            <w:tcW w:w="1319" w:type="pct"/>
          </w:tcPr>
          <w:p w14:paraId="5FEE804E" w14:textId="77777777" w:rsidR="000D07EA" w:rsidRDefault="00BE7C89">
            <w:pPr>
              <w:pStyle w:val="BodyText"/>
              <w:spacing w:before="100" w:after="100"/>
              <w:jc w:val="center"/>
            </w:pPr>
            <w:r>
              <w:t>NA</w:t>
            </w:r>
          </w:p>
        </w:tc>
      </w:tr>
      <w:tr w:rsidR="000D07EA" w14:paraId="561C0EB4" w14:textId="77777777">
        <w:trPr>
          <w:trHeight w:val="424"/>
        </w:trPr>
        <w:tc>
          <w:tcPr>
            <w:tcW w:w="2362" w:type="pct"/>
          </w:tcPr>
          <w:p w14:paraId="7FD45FA7" w14:textId="77777777" w:rsidR="000D07EA" w:rsidRDefault="00BE7C89">
            <w:pPr>
              <w:pStyle w:val="BodyText"/>
              <w:spacing w:before="100" w:after="100"/>
              <w:rPr>
                <w:b/>
                <w:bCs/>
              </w:rPr>
            </w:pPr>
            <w:r>
              <w:rPr>
                <w:b/>
                <w:bCs/>
              </w:rPr>
              <w:t xml:space="preserve">National Text </w:t>
            </w:r>
            <w:r>
              <w:t xml:space="preserve">(per message of 160 characters) </w:t>
            </w:r>
          </w:p>
        </w:tc>
        <w:tc>
          <w:tcPr>
            <w:tcW w:w="1320" w:type="pct"/>
          </w:tcPr>
          <w:p w14:paraId="11667FAF" w14:textId="77777777" w:rsidR="000D07EA" w:rsidRDefault="00BE7C89">
            <w:pPr>
              <w:pStyle w:val="BodyText"/>
              <w:spacing w:before="100" w:after="100"/>
              <w:jc w:val="center"/>
            </w:pPr>
            <w:r>
              <w:rPr>
                <w:lang w:eastAsia="ko-KR"/>
              </w:rPr>
              <w:t>NA if Unlimited Text offer is selected, 25c otherwise</w:t>
            </w:r>
          </w:p>
        </w:tc>
        <w:tc>
          <w:tcPr>
            <w:tcW w:w="1319" w:type="pct"/>
          </w:tcPr>
          <w:p w14:paraId="243D1359" w14:textId="77777777" w:rsidR="000D07EA" w:rsidRDefault="00BE7C89">
            <w:pPr>
              <w:pStyle w:val="BodyText"/>
              <w:spacing w:before="100" w:after="100"/>
              <w:jc w:val="center"/>
            </w:pPr>
            <w:r>
              <w:t>NA</w:t>
            </w:r>
          </w:p>
        </w:tc>
      </w:tr>
      <w:tr w:rsidR="000D07EA" w14:paraId="2B68A88C" w14:textId="77777777">
        <w:trPr>
          <w:trHeight w:val="765"/>
        </w:trPr>
        <w:tc>
          <w:tcPr>
            <w:tcW w:w="2362" w:type="pct"/>
          </w:tcPr>
          <w:p w14:paraId="0D6CF346" w14:textId="77777777" w:rsidR="000D07EA" w:rsidRDefault="00BE7C89">
            <w:pPr>
              <w:pStyle w:val="BodyText"/>
              <w:spacing w:before="100" w:after="100"/>
              <w:rPr>
                <w:b/>
                <w:bCs/>
              </w:rPr>
            </w:pPr>
            <w:r>
              <w:rPr>
                <w:b/>
                <w:bCs/>
              </w:rPr>
              <w:t>Other call charges (for example international calls, calls to mobiles)</w:t>
            </w:r>
          </w:p>
        </w:tc>
        <w:tc>
          <w:tcPr>
            <w:tcW w:w="2638" w:type="pct"/>
            <w:gridSpan w:val="2"/>
          </w:tcPr>
          <w:p w14:paraId="27BD7CC7" w14:textId="77777777" w:rsidR="000D07EA" w:rsidRDefault="00BE7C89">
            <w:pPr>
              <w:pStyle w:val="BodyText"/>
              <w:spacing w:before="100" w:after="100"/>
              <w:jc w:val="center"/>
            </w:pPr>
            <w:r>
              <w:rPr>
                <w:lang w:eastAsia="ko-KR"/>
              </w:rPr>
              <w:t xml:space="preserve">See section 1 of this </w:t>
            </w:r>
            <w:r>
              <w:rPr>
                <w:i/>
                <w:iCs/>
                <w:lang w:eastAsia="ko-KR"/>
              </w:rPr>
              <w:t>standard pricing table</w:t>
            </w:r>
            <w:r>
              <w:rPr>
                <w:lang w:eastAsia="ko-KR"/>
              </w:rPr>
              <w:t xml:space="preserve"> and Appendix Y (Value Added Service Features)</w:t>
            </w:r>
          </w:p>
        </w:tc>
      </w:tr>
      <w:tr w:rsidR="000D07EA" w14:paraId="2D183A17" w14:textId="77777777">
        <w:trPr>
          <w:trHeight w:val="557"/>
        </w:trPr>
        <w:tc>
          <w:tcPr>
            <w:tcW w:w="2362" w:type="pct"/>
          </w:tcPr>
          <w:p w14:paraId="6916DCEC" w14:textId="77777777" w:rsidR="000D07EA" w:rsidRDefault="00BE7C89">
            <w:pPr>
              <w:pStyle w:val="BodyText"/>
              <w:spacing w:before="100" w:after="100"/>
              <w:rPr>
                <w:b/>
                <w:bCs/>
              </w:rPr>
            </w:pPr>
            <w:r>
              <w:rPr>
                <w:b/>
                <w:bCs/>
                <w:lang w:eastAsia="ko-KR"/>
              </w:rPr>
              <w:t xml:space="preserve">Other conditions </w:t>
            </w:r>
            <w:r>
              <w:rPr>
                <w:lang w:eastAsia="ko-KR"/>
              </w:rPr>
              <w:t xml:space="preserve">(for details see paragraph </w:t>
            </w:r>
            <w:r w:rsidR="00927AED" w:rsidRPr="00272628">
              <w:rPr>
                <w:lang w:eastAsia="ko-KR"/>
              </w:rPr>
              <w:t>87</w:t>
            </w:r>
            <w:r w:rsidRPr="00272628">
              <w:rPr>
                <w:lang w:eastAsia="ko-KR"/>
              </w:rPr>
              <w:t>.3(g) above</w:t>
            </w:r>
            <w:r>
              <w:rPr>
                <w:lang w:eastAsia="ko-KR"/>
              </w:rPr>
              <w:t>)</w:t>
            </w:r>
          </w:p>
        </w:tc>
        <w:tc>
          <w:tcPr>
            <w:tcW w:w="2638" w:type="pct"/>
            <w:gridSpan w:val="2"/>
          </w:tcPr>
          <w:p w14:paraId="2D263050" w14:textId="77777777" w:rsidR="000D07EA" w:rsidRDefault="00BE7C89">
            <w:pPr>
              <w:pStyle w:val="BodyText"/>
              <w:spacing w:before="100" w:after="100"/>
              <w:jc w:val="center"/>
            </w:pPr>
            <w:r>
              <w:rPr>
                <w:lang w:eastAsia="ko-KR"/>
              </w:rPr>
              <w:t>Fair Go Policy (</w:t>
            </w:r>
            <w:hyperlink r:id="rId223" w:history="1">
              <w:r>
                <w:rPr>
                  <w:rStyle w:val="Hyperlink"/>
                  <w:lang w:eastAsia="ko-KR"/>
                </w:rPr>
                <w:t>Appendix S</w:t>
              </w:r>
            </w:hyperlink>
            <w:r>
              <w:rPr>
                <w:lang w:eastAsia="ko-KR"/>
              </w:rPr>
              <w:t>) applies to 'unreasonable use'</w:t>
            </w:r>
          </w:p>
        </w:tc>
      </w:tr>
      <w:tr w:rsidR="000D07EA" w14:paraId="409D4631" w14:textId="77777777">
        <w:trPr>
          <w:trHeight w:val="1213"/>
        </w:trPr>
        <w:tc>
          <w:tcPr>
            <w:tcW w:w="2362" w:type="pct"/>
          </w:tcPr>
          <w:p w14:paraId="157953B5" w14:textId="77777777" w:rsidR="000D07EA" w:rsidRDefault="00BE7C89">
            <w:pPr>
              <w:pStyle w:val="BodyText"/>
              <w:spacing w:before="100" w:after="100"/>
              <w:rPr>
                <w:b/>
                <w:bCs/>
                <w:lang w:eastAsia="ko-KR"/>
              </w:rPr>
            </w:pPr>
            <w:r>
              <w:rPr>
                <w:b/>
                <w:bCs/>
                <w:lang w:eastAsia="ko-KR"/>
              </w:rPr>
              <w:t xml:space="preserve">Minimum Total Cost of the Timeless Business Internet Plan over a 24 month </w:t>
            </w:r>
            <w:r>
              <w:rPr>
                <w:b/>
                <w:bCs/>
                <w:i/>
                <w:iCs/>
                <w:lang w:eastAsia="ko-KR"/>
              </w:rPr>
              <w:t>minimum term (</w:t>
            </w:r>
            <w:r>
              <w:rPr>
                <w:b/>
                <w:bCs/>
                <w:lang w:eastAsia="ko-KR"/>
              </w:rPr>
              <w:t xml:space="preserve">excludes the cost of </w:t>
            </w:r>
            <w:r>
              <w:rPr>
                <w:b/>
                <w:bCs/>
                <w:i/>
                <w:iCs/>
                <w:lang w:eastAsia="ko-KR"/>
              </w:rPr>
              <w:t xml:space="preserve">equipment charges </w:t>
            </w:r>
            <w:r>
              <w:rPr>
                <w:b/>
                <w:bCs/>
                <w:lang w:eastAsia="ko-KR"/>
              </w:rPr>
              <w:t xml:space="preserve">for any </w:t>
            </w:r>
            <w:r>
              <w:rPr>
                <w:b/>
                <w:bCs/>
                <w:i/>
                <w:iCs/>
                <w:lang w:eastAsia="ko-KR"/>
              </w:rPr>
              <w:t xml:space="preserve">mobile phone you </w:t>
            </w:r>
            <w:r>
              <w:rPr>
                <w:b/>
                <w:bCs/>
                <w:lang w:eastAsia="ko-KR"/>
              </w:rPr>
              <w:t>purchase from us, if any)</w:t>
            </w:r>
          </w:p>
        </w:tc>
        <w:tc>
          <w:tcPr>
            <w:tcW w:w="1320" w:type="pct"/>
            <w:noWrap/>
          </w:tcPr>
          <w:p w14:paraId="6A8D07F0" w14:textId="77777777" w:rsidR="000D07EA" w:rsidRDefault="00BE7C89">
            <w:pPr>
              <w:pStyle w:val="BodyText"/>
              <w:spacing w:before="100" w:after="100"/>
              <w:jc w:val="center"/>
              <w:rPr>
                <w:lang w:eastAsia="ko-KR"/>
              </w:rPr>
            </w:pPr>
            <w:r>
              <w:rPr>
                <w:lang w:eastAsia="ko-KR"/>
              </w:rPr>
              <w:t>$2,735.76</w:t>
            </w:r>
          </w:p>
        </w:tc>
        <w:tc>
          <w:tcPr>
            <w:tcW w:w="1319" w:type="pct"/>
            <w:noWrap/>
          </w:tcPr>
          <w:p w14:paraId="3F768370" w14:textId="77777777" w:rsidR="000D07EA" w:rsidRDefault="00BE7C89">
            <w:pPr>
              <w:pStyle w:val="BodyText"/>
              <w:spacing w:before="100" w:after="100"/>
              <w:jc w:val="center"/>
              <w:rPr>
                <w:lang w:eastAsia="ko-KR"/>
              </w:rPr>
            </w:pPr>
            <w:r>
              <w:rPr>
                <w:lang w:eastAsia="ko-KR"/>
              </w:rPr>
              <w:t>$3,096</w:t>
            </w:r>
          </w:p>
        </w:tc>
      </w:tr>
      <w:tr w:rsidR="000D07EA" w14:paraId="1F698417" w14:textId="77777777">
        <w:trPr>
          <w:trHeight w:val="349"/>
        </w:trPr>
        <w:tc>
          <w:tcPr>
            <w:tcW w:w="2362" w:type="pct"/>
          </w:tcPr>
          <w:p w14:paraId="6C9A8BDB" w14:textId="77777777" w:rsidR="000D07EA" w:rsidRDefault="00BE7C89">
            <w:pPr>
              <w:pStyle w:val="BodyText"/>
              <w:spacing w:before="100" w:after="100"/>
              <w:rPr>
                <w:b/>
                <w:bCs/>
                <w:lang w:eastAsia="ko-KR"/>
              </w:rPr>
            </w:pPr>
            <w:r>
              <w:rPr>
                <w:b/>
                <w:bCs/>
                <w:lang w:eastAsia="ko-KR"/>
              </w:rPr>
              <w:t xml:space="preserve">Minimum Total Cost of the Timeless Business Internet Plan over a 12 month </w:t>
            </w:r>
            <w:r>
              <w:rPr>
                <w:b/>
                <w:bCs/>
                <w:i/>
                <w:iCs/>
                <w:lang w:eastAsia="ko-KR"/>
              </w:rPr>
              <w:t>minimum term (</w:t>
            </w:r>
            <w:r>
              <w:rPr>
                <w:b/>
                <w:bCs/>
                <w:lang w:eastAsia="ko-KR"/>
              </w:rPr>
              <w:t xml:space="preserve">excludes the cost of </w:t>
            </w:r>
            <w:r>
              <w:rPr>
                <w:b/>
                <w:bCs/>
                <w:i/>
                <w:iCs/>
                <w:lang w:eastAsia="ko-KR"/>
              </w:rPr>
              <w:t xml:space="preserve">equipment charges </w:t>
            </w:r>
            <w:r>
              <w:rPr>
                <w:b/>
                <w:bCs/>
                <w:lang w:eastAsia="ko-KR"/>
              </w:rPr>
              <w:t xml:space="preserve">for any </w:t>
            </w:r>
            <w:r>
              <w:rPr>
                <w:b/>
                <w:bCs/>
                <w:i/>
                <w:iCs/>
                <w:lang w:eastAsia="ko-KR"/>
              </w:rPr>
              <w:t xml:space="preserve">mobile phone you </w:t>
            </w:r>
            <w:r>
              <w:rPr>
                <w:b/>
                <w:bCs/>
                <w:lang w:eastAsia="ko-KR"/>
              </w:rPr>
              <w:t>purchase from us, if any)</w:t>
            </w:r>
          </w:p>
        </w:tc>
        <w:tc>
          <w:tcPr>
            <w:tcW w:w="1320" w:type="pct"/>
            <w:noWrap/>
          </w:tcPr>
          <w:p w14:paraId="7FF44A63" w14:textId="77777777" w:rsidR="000D07EA" w:rsidRDefault="00BE7C89">
            <w:pPr>
              <w:pStyle w:val="BodyText"/>
              <w:spacing w:before="100" w:after="100"/>
              <w:jc w:val="center"/>
              <w:rPr>
                <w:lang w:eastAsia="ko-KR"/>
              </w:rPr>
            </w:pPr>
            <w:r>
              <w:rPr>
                <w:lang w:eastAsia="ko-KR"/>
              </w:rPr>
              <w:t>$1,367.88</w:t>
            </w:r>
          </w:p>
        </w:tc>
        <w:tc>
          <w:tcPr>
            <w:tcW w:w="1319" w:type="pct"/>
            <w:noWrap/>
          </w:tcPr>
          <w:p w14:paraId="59D6C5A7" w14:textId="77777777" w:rsidR="000D07EA" w:rsidRDefault="00BE7C89">
            <w:pPr>
              <w:pStyle w:val="BodyText"/>
              <w:spacing w:before="100" w:after="100"/>
              <w:jc w:val="center"/>
              <w:rPr>
                <w:lang w:eastAsia="ko-KR"/>
              </w:rPr>
            </w:pPr>
            <w:r>
              <w:rPr>
                <w:lang w:eastAsia="ko-KR"/>
              </w:rPr>
              <w:t>$1,548</w:t>
            </w:r>
          </w:p>
        </w:tc>
      </w:tr>
    </w:tbl>
    <w:p w14:paraId="2DFD39D4" w14:textId="77777777" w:rsidR="000D07EA" w:rsidRDefault="00BE7C89">
      <w:pPr>
        <w:pStyle w:val="BodyText"/>
        <w:ind w:left="1440"/>
        <w:rPr>
          <w:sz w:val="16"/>
          <w:szCs w:val="16"/>
        </w:rPr>
      </w:pPr>
      <w:r>
        <w:rPr>
          <w:sz w:val="16"/>
          <w:szCs w:val="16"/>
        </w:rPr>
        <w:t>* The Timeless Business Internet $99 Plan when you take the $14.99 Mobile Internet Pack or a 'yes' Business Data Bolt on is only available as a package and is not available separately.</w:t>
      </w:r>
    </w:p>
    <w:p w14:paraId="66A03AD4" w14:textId="77777777" w:rsidR="000D07EA" w:rsidRDefault="00BE7C89">
      <w:pPr>
        <w:pStyle w:val="Heading6"/>
        <w:ind w:left="0" w:firstLine="0"/>
      </w:pPr>
      <w:r>
        <w:t>What happens if the service is cancelled early?</w:t>
      </w:r>
    </w:p>
    <w:p w14:paraId="2BFDB56D" w14:textId="77777777" w:rsidR="000D07EA" w:rsidRDefault="00BE7C89">
      <w:pPr>
        <w:pStyle w:val="Heading7"/>
      </w:pPr>
      <w:r>
        <w:t xml:space="preserve">If </w:t>
      </w:r>
      <w:r>
        <w:rPr>
          <w:i/>
        </w:rPr>
        <w:t>the</w:t>
      </w:r>
      <w:r>
        <w:t xml:space="preserve"> </w:t>
      </w:r>
      <w:r>
        <w:rPr>
          <w:i/>
        </w:rPr>
        <w:t>service</w:t>
      </w:r>
      <w:r>
        <w:t xml:space="preserve"> </w:t>
      </w:r>
      <w:r>
        <w:rPr>
          <w:i/>
        </w:rPr>
        <w:t>is</w:t>
      </w:r>
      <w:r>
        <w:t xml:space="preserve"> </w:t>
      </w:r>
      <w:r>
        <w:rPr>
          <w:i/>
        </w:rPr>
        <w:t>cancelled</w:t>
      </w:r>
      <w:r>
        <w:t xml:space="preserve"> before the expiry of the </w:t>
      </w:r>
      <w:r>
        <w:rPr>
          <w:i/>
        </w:rPr>
        <w:t>minimum</w:t>
      </w:r>
      <w:r>
        <w:t xml:space="preserve"> </w:t>
      </w:r>
      <w:r>
        <w:rPr>
          <w:i/>
        </w:rPr>
        <w:t>term</w:t>
      </w:r>
      <w:r>
        <w:t xml:space="preserve">, you will be required to pay </w:t>
      </w:r>
      <w:r>
        <w:rPr>
          <w:i/>
        </w:rPr>
        <w:t>us</w:t>
      </w:r>
      <w:r>
        <w:t>:</w:t>
      </w:r>
    </w:p>
    <w:p w14:paraId="3F25EB58" w14:textId="77777777" w:rsidR="000D07EA" w:rsidRDefault="00BE7C89">
      <w:pPr>
        <w:pStyle w:val="Heading8"/>
      </w:pPr>
      <w:r>
        <w:t xml:space="preserve">any usage charges incurred up to, and including, the </w:t>
      </w:r>
      <w:r>
        <w:rPr>
          <w:i/>
        </w:rPr>
        <w:t>cancellation</w:t>
      </w:r>
      <w:r>
        <w:t xml:space="preserve"> </w:t>
      </w:r>
      <w:r>
        <w:rPr>
          <w:i/>
        </w:rPr>
        <w:t>date</w:t>
      </w:r>
      <w:r>
        <w:t>; plus</w:t>
      </w:r>
    </w:p>
    <w:p w14:paraId="2CC25328" w14:textId="77777777" w:rsidR="000D07EA" w:rsidRDefault="00BE7C89">
      <w:pPr>
        <w:pStyle w:val="Heading8"/>
      </w:pPr>
      <w:r>
        <w:lastRenderedPageBreak/>
        <w:t xml:space="preserve">the </w:t>
      </w:r>
      <w:r>
        <w:rPr>
          <w:i/>
        </w:rPr>
        <w:t>cancellation</w:t>
      </w:r>
      <w:r>
        <w:t xml:space="preserve"> </w:t>
      </w:r>
      <w:r>
        <w:rPr>
          <w:i/>
        </w:rPr>
        <w:t>fee</w:t>
      </w:r>
      <w:r>
        <w:t xml:space="preserve"> set out in the table below (unless under clause 2A of the </w:t>
      </w:r>
      <w:hyperlink r:id="rId224" w:history="1">
        <w:r>
          <w:rPr>
            <w:rStyle w:val="Hyperlink"/>
            <w:i/>
          </w:rPr>
          <w:t>SMB</w:t>
        </w:r>
        <w:r>
          <w:rPr>
            <w:rStyle w:val="Hyperlink"/>
          </w:rPr>
          <w:t xml:space="preserve"> </w:t>
        </w:r>
        <w:r>
          <w:rPr>
            <w:rStyle w:val="Hyperlink"/>
            <w:i/>
          </w:rPr>
          <w:t>terms</w:t>
        </w:r>
      </w:hyperlink>
      <w:r>
        <w:t xml:space="preserve">, </w:t>
      </w:r>
      <w:r>
        <w:rPr>
          <w:i/>
        </w:rPr>
        <w:t>you</w:t>
      </w:r>
      <w:r>
        <w:t xml:space="preserve"> are entitled to </w:t>
      </w:r>
      <w:r>
        <w:rPr>
          <w:i/>
        </w:rPr>
        <w:t>cancel</w:t>
      </w:r>
      <w:r>
        <w:t xml:space="preserve"> </w:t>
      </w:r>
      <w:r>
        <w:rPr>
          <w:i/>
        </w:rPr>
        <w:t>the</w:t>
      </w:r>
      <w:r>
        <w:t xml:space="preserve"> </w:t>
      </w:r>
      <w:r>
        <w:rPr>
          <w:i/>
        </w:rPr>
        <w:t>service</w:t>
      </w:r>
      <w:r>
        <w:t xml:space="preserve"> without incurring a </w:t>
      </w:r>
      <w:r>
        <w:rPr>
          <w:i/>
        </w:rPr>
        <w:t>cancellation</w:t>
      </w:r>
      <w:r>
        <w:t xml:space="preserve"> </w:t>
      </w:r>
      <w:r>
        <w:rPr>
          <w:i/>
        </w:rPr>
        <w:t>fee</w:t>
      </w:r>
      <w:r>
        <w:t>); plus</w:t>
      </w:r>
    </w:p>
    <w:p w14:paraId="35FCE43F" w14:textId="77777777" w:rsidR="000D07EA" w:rsidRDefault="00BE7C89">
      <w:pPr>
        <w:pStyle w:val="Heading8"/>
      </w:pPr>
      <w:r>
        <w:t xml:space="preserve">the sum of unpaid </w:t>
      </w:r>
      <w:r>
        <w:rPr>
          <w:i/>
        </w:rPr>
        <w:t>equipment</w:t>
      </w:r>
      <w:r>
        <w:t xml:space="preserve"> </w:t>
      </w:r>
      <w:r>
        <w:rPr>
          <w:i/>
        </w:rPr>
        <w:t>charges</w:t>
      </w:r>
      <w:r>
        <w:t xml:space="preserve"> owing on </w:t>
      </w:r>
      <w:r>
        <w:rPr>
          <w:i/>
        </w:rPr>
        <w:t>your</w:t>
      </w:r>
      <w:r>
        <w:t xml:space="preserve"> </w:t>
      </w:r>
      <w:r>
        <w:rPr>
          <w:i/>
        </w:rPr>
        <w:t>mobile</w:t>
      </w:r>
      <w:r>
        <w:t xml:space="preserve"> </w:t>
      </w:r>
      <w:r>
        <w:rPr>
          <w:i/>
        </w:rPr>
        <w:t>phone</w:t>
      </w:r>
      <w:r>
        <w:t xml:space="preserve"> under the </w:t>
      </w:r>
      <w:r>
        <w:rPr>
          <w:i/>
        </w:rPr>
        <w:t>mobile</w:t>
      </w:r>
      <w:r>
        <w:t xml:space="preserve"> </w:t>
      </w:r>
      <w:r>
        <w:rPr>
          <w:i/>
        </w:rPr>
        <w:t>equipment</w:t>
      </w:r>
      <w:r>
        <w:t xml:space="preserve"> </w:t>
      </w:r>
      <w:r>
        <w:rPr>
          <w:i/>
        </w:rPr>
        <w:t>payment</w:t>
      </w:r>
      <w:r>
        <w:t xml:space="preserve"> </w:t>
      </w:r>
      <w:r>
        <w:rPr>
          <w:i/>
        </w:rPr>
        <w:t>plan</w:t>
      </w:r>
      <w:r>
        <w:t xml:space="preserve"> (if any)</w:t>
      </w:r>
    </w:p>
    <w:p w14:paraId="41CD2000" w14:textId="77777777" w:rsidR="000D07EA" w:rsidRDefault="00BE7C89">
      <w:pPr>
        <w:pStyle w:val="Heading7"/>
      </w:pPr>
      <w:r>
        <w:t xml:space="preserve">The </w:t>
      </w:r>
      <w:r>
        <w:rPr>
          <w:i/>
        </w:rPr>
        <w:t>cancellation</w:t>
      </w:r>
      <w:r>
        <w:t xml:space="preserve"> </w:t>
      </w:r>
      <w:r>
        <w:rPr>
          <w:i/>
        </w:rPr>
        <w:t>fee</w:t>
      </w:r>
      <w:r>
        <w:t xml:space="preserve"> payable under paragraph </w:t>
      </w:r>
      <w:r w:rsidR="002624E4" w:rsidRPr="002624E4">
        <w:rPr>
          <w:color w:val="000000" w:themeColor="text1"/>
        </w:rPr>
        <w:t>87</w:t>
      </w:r>
      <w:r w:rsidRPr="002624E4">
        <w:rPr>
          <w:color w:val="000000" w:themeColor="text1"/>
        </w:rPr>
        <w:t xml:space="preserve">.4(a)(ii) </w:t>
      </w:r>
      <w:r>
        <w:t xml:space="preserve">(if any) is calculated as follows: </w:t>
      </w:r>
    </w:p>
    <w:p w14:paraId="7551750A" w14:textId="77777777" w:rsidR="000D07EA" w:rsidRDefault="00BE7C89">
      <w:pPr>
        <w:pStyle w:val="Heading8"/>
      </w:pPr>
      <w:r>
        <w:t xml:space="preserve">If </w:t>
      </w:r>
      <w:r>
        <w:rPr>
          <w:i/>
        </w:rPr>
        <w:t>you</w:t>
      </w:r>
      <w:r>
        <w:t xml:space="preserve"> are on a 24 month </w:t>
      </w:r>
      <w:r>
        <w:rPr>
          <w:i/>
        </w:rPr>
        <w:t>pricing</w:t>
      </w:r>
      <w:r>
        <w:t xml:space="preserve"> </w:t>
      </w:r>
      <w:r>
        <w:rPr>
          <w:i/>
        </w:rPr>
        <w:t>plan</w:t>
      </w:r>
      <w:r>
        <w:t xml:space="preserve">, the </w:t>
      </w:r>
      <w:r>
        <w:rPr>
          <w:i/>
        </w:rPr>
        <w:t>cancellation</w:t>
      </w:r>
      <w:r>
        <w:t xml:space="preserve"> </w:t>
      </w:r>
      <w:r>
        <w:rPr>
          <w:i/>
        </w:rPr>
        <w:t>fee</w:t>
      </w:r>
      <w:r>
        <w:t xml:space="preserve"> between months 0-12 is</w:t>
      </w:r>
    </w:p>
    <w:tbl>
      <w:tblPr>
        <w:tblW w:w="3954" w:type="pct"/>
        <w:tblInd w:w="2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2"/>
        <w:gridCol w:w="3985"/>
      </w:tblGrid>
      <w:tr w:rsidR="000D07EA" w14:paraId="751B4790" w14:textId="77777777">
        <w:tc>
          <w:tcPr>
            <w:tcW w:w="2527" w:type="pct"/>
          </w:tcPr>
          <w:p w14:paraId="5104070E" w14:textId="77777777" w:rsidR="000D07EA" w:rsidRDefault="00BE7C89">
            <w:pPr>
              <w:pStyle w:val="BodyText"/>
              <w:spacing w:before="100" w:after="100"/>
              <w:jc w:val="center"/>
              <w:rPr>
                <w:b/>
                <w:bCs/>
                <w:lang w:eastAsia="ko-KR"/>
              </w:rPr>
            </w:pPr>
            <w:r>
              <w:rPr>
                <w:b/>
              </w:rPr>
              <w:t>Timeless Business Internet $99 when you take the $14.99 Mobile Internet Pack or a 'yes' Business Data Bolt on</w:t>
            </w:r>
          </w:p>
        </w:tc>
        <w:tc>
          <w:tcPr>
            <w:tcW w:w="2473" w:type="pct"/>
          </w:tcPr>
          <w:p w14:paraId="228F78D5" w14:textId="77777777" w:rsidR="000D07EA" w:rsidRDefault="00BE7C89">
            <w:pPr>
              <w:pStyle w:val="BodyText"/>
              <w:spacing w:before="100" w:after="100"/>
              <w:jc w:val="center"/>
              <w:rPr>
                <w:b/>
                <w:bCs/>
                <w:lang w:eastAsia="ko-KR"/>
              </w:rPr>
            </w:pPr>
            <w:r>
              <w:rPr>
                <w:b/>
                <w:bCs/>
                <w:lang w:eastAsia="ko-KR"/>
              </w:rPr>
              <w:t>Timeless Business $129 Plan</w:t>
            </w:r>
          </w:p>
        </w:tc>
      </w:tr>
      <w:tr w:rsidR="000D07EA" w14:paraId="3C8E22F7" w14:textId="77777777">
        <w:tc>
          <w:tcPr>
            <w:tcW w:w="2527" w:type="pct"/>
          </w:tcPr>
          <w:p w14:paraId="32954464" w14:textId="77777777" w:rsidR="000D07EA" w:rsidRDefault="00BE7C89">
            <w:pPr>
              <w:pStyle w:val="BodyText"/>
              <w:spacing w:before="100" w:after="100"/>
              <w:jc w:val="center"/>
            </w:pPr>
            <w:r>
              <w:t>$915</w:t>
            </w:r>
          </w:p>
        </w:tc>
        <w:tc>
          <w:tcPr>
            <w:tcW w:w="2473" w:type="pct"/>
          </w:tcPr>
          <w:p w14:paraId="236D8B85" w14:textId="77777777" w:rsidR="000D07EA" w:rsidRDefault="00BE7C89">
            <w:pPr>
              <w:pStyle w:val="BodyText"/>
              <w:spacing w:before="100" w:after="100"/>
              <w:jc w:val="center"/>
            </w:pPr>
            <w:r>
              <w:t>$1,035</w:t>
            </w:r>
          </w:p>
        </w:tc>
      </w:tr>
    </w:tbl>
    <w:p w14:paraId="33E039AB" w14:textId="77777777" w:rsidR="000D07EA" w:rsidRDefault="00BE7C89">
      <w:pPr>
        <w:pStyle w:val="BodyText"/>
        <w:spacing w:before="240"/>
        <w:ind w:left="2160"/>
      </w:pPr>
      <w:r>
        <w:t xml:space="preserve">And for </w:t>
      </w:r>
      <w:r>
        <w:rPr>
          <w:i/>
        </w:rPr>
        <w:t>cancellations</w:t>
      </w:r>
      <w:r>
        <w:t xml:space="preserve"> between months 13-24, an amount in accordance with the following calculations: for months 13-15, 80% of the </w:t>
      </w:r>
      <w:r>
        <w:rPr>
          <w:i/>
        </w:rPr>
        <w:t>cancellation</w:t>
      </w:r>
      <w:r>
        <w:t xml:space="preserve"> </w:t>
      </w:r>
      <w:r>
        <w:rPr>
          <w:i/>
        </w:rPr>
        <w:t>fee</w:t>
      </w:r>
      <w:r>
        <w:t xml:space="preserve">; for months 16-18, 60% of the </w:t>
      </w:r>
      <w:r>
        <w:rPr>
          <w:i/>
        </w:rPr>
        <w:t>cancellation</w:t>
      </w:r>
      <w:r>
        <w:t xml:space="preserve"> </w:t>
      </w:r>
      <w:r>
        <w:rPr>
          <w:i/>
        </w:rPr>
        <w:t>fee</w:t>
      </w:r>
      <w:r>
        <w:t xml:space="preserve">; for months 19-21, 40% of the </w:t>
      </w:r>
      <w:r>
        <w:rPr>
          <w:i/>
        </w:rPr>
        <w:t>cancellation</w:t>
      </w:r>
      <w:r>
        <w:t xml:space="preserve"> </w:t>
      </w:r>
      <w:r>
        <w:rPr>
          <w:i/>
        </w:rPr>
        <w:t>fee</w:t>
      </w:r>
      <w:r>
        <w:t xml:space="preserve">; for months 22-24, 20% of the </w:t>
      </w:r>
      <w:r>
        <w:rPr>
          <w:i/>
        </w:rPr>
        <w:t>cancellation</w:t>
      </w:r>
      <w:r>
        <w:t xml:space="preserve"> </w:t>
      </w:r>
      <w:r>
        <w:rPr>
          <w:i/>
        </w:rPr>
        <w:t>fee</w:t>
      </w:r>
      <w:r>
        <w:t>.</w:t>
      </w:r>
    </w:p>
    <w:p w14:paraId="3C112A17" w14:textId="77777777" w:rsidR="000D07EA" w:rsidRDefault="00BE7C89">
      <w:pPr>
        <w:pStyle w:val="Heading8"/>
      </w:pPr>
      <w:r>
        <w:t xml:space="preserve">If you are on a 12 month pricing plan, the cancellation fee between months 0-6 is </w:t>
      </w:r>
    </w:p>
    <w:tbl>
      <w:tblPr>
        <w:tblW w:w="3954" w:type="pct"/>
        <w:tblInd w:w="2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2"/>
        <w:gridCol w:w="3985"/>
      </w:tblGrid>
      <w:tr w:rsidR="000D07EA" w14:paraId="5594F939" w14:textId="77777777">
        <w:tc>
          <w:tcPr>
            <w:tcW w:w="2527" w:type="pct"/>
          </w:tcPr>
          <w:p w14:paraId="79888D71" w14:textId="77777777" w:rsidR="000D07EA" w:rsidRDefault="00BE7C89">
            <w:pPr>
              <w:pStyle w:val="BodyText"/>
              <w:spacing w:before="100" w:after="100"/>
              <w:jc w:val="center"/>
              <w:rPr>
                <w:b/>
                <w:bCs/>
                <w:lang w:eastAsia="ko-KR"/>
              </w:rPr>
            </w:pPr>
            <w:r>
              <w:rPr>
                <w:b/>
              </w:rPr>
              <w:t>Timeless Business Internet $99 when you take the $14.99 Mobile Internet Pack or a 'yes' Business Data Bolt on</w:t>
            </w:r>
          </w:p>
        </w:tc>
        <w:tc>
          <w:tcPr>
            <w:tcW w:w="2473" w:type="pct"/>
          </w:tcPr>
          <w:p w14:paraId="06A72722" w14:textId="77777777" w:rsidR="000D07EA" w:rsidRDefault="00BE7C89">
            <w:pPr>
              <w:pStyle w:val="BodyText"/>
              <w:spacing w:before="100" w:after="100"/>
              <w:jc w:val="center"/>
              <w:rPr>
                <w:b/>
                <w:bCs/>
                <w:lang w:eastAsia="ko-KR"/>
              </w:rPr>
            </w:pPr>
            <w:r>
              <w:rPr>
                <w:b/>
                <w:bCs/>
                <w:lang w:eastAsia="ko-KR"/>
              </w:rPr>
              <w:t>Timeless Business $129 Plan</w:t>
            </w:r>
          </w:p>
        </w:tc>
      </w:tr>
      <w:tr w:rsidR="000D07EA" w14:paraId="2D31B43B" w14:textId="77777777">
        <w:tc>
          <w:tcPr>
            <w:tcW w:w="2527" w:type="pct"/>
          </w:tcPr>
          <w:p w14:paraId="4F29F08C" w14:textId="77777777" w:rsidR="000D07EA" w:rsidRDefault="00BE7C89">
            <w:pPr>
              <w:pStyle w:val="BodyText"/>
              <w:spacing w:before="100" w:after="100"/>
              <w:jc w:val="center"/>
            </w:pPr>
            <w:r>
              <w:t>$550</w:t>
            </w:r>
          </w:p>
        </w:tc>
        <w:tc>
          <w:tcPr>
            <w:tcW w:w="2473" w:type="pct"/>
          </w:tcPr>
          <w:p w14:paraId="16FE19D5" w14:textId="77777777" w:rsidR="000D07EA" w:rsidRDefault="00BE7C89">
            <w:pPr>
              <w:pStyle w:val="BodyText"/>
              <w:spacing w:before="100" w:after="100"/>
              <w:jc w:val="center"/>
            </w:pPr>
            <w:r>
              <w:t>$615</w:t>
            </w:r>
          </w:p>
        </w:tc>
      </w:tr>
    </w:tbl>
    <w:p w14:paraId="66DC0995" w14:textId="77777777" w:rsidR="000D07EA" w:rsidRDefault="00BE7C89">
      <w:pPr>
        <w:pStyle w:val="BodyText"/>
        <w:spacing w:before="240"/>
        <w:ind w:left="2160"/>
      </w:pPr>
      <w:r>
        <w:t xml:space="preserve">And for cancellations between months 7-12, an amount in accordance with the following calculations: for months 7-9, 70% of the cancellation fee; for months 10-12, 40% of the cancellation fee. </w:t>
      </w:r>
    </w:p>
    <w:p w14:paraId="22688447" w14:textId="77777777" w:rsidR="000D07EA" w:rsidRDefault="00BE7C89">
      <w:pPr>
        <w:pStyle w:val="Heading6"/>
        <w:ind w:left="0" w:firstLine="0"/>
      </w:pPr>
      <w:r>
        <w:t>Optus SMB Rewards</w:t>
      </w:r>
    </w:p>
    <w:p w14:paraId="1EA767E5" w14:textId="77777777" w:rsidR="000D07EA" w:rsidRDefault="00BE7C89">
      <w:pPr>
        <w:pStyle w:val="BodyText"/>
        <w:ind w:left="720"/>
      </w:pPr>
      <w:r>
        <w:t xml:space="preserve">Optus 'yes' Business Rewards is a </w:t>
      </w:r>
      <w:r>
        <w:rPr>
          <w:i/>
        </w:rPr>
        <w:t xml:space="preserve">special </w:t>
      </w:r>
      <w:r>
        <w:t xml:space="preserve">available to </w:t>
      </w:r>
      <w:r>
        <w:rPr>
          <w:i/>
        </w:rPr>
        <w:t xml:space="preserve">small or medium business customers </w:t>
      </w:r>
      <w:r>
        <w:t xml:space="preserve">who connect to the </w:t>
      </w:r>
      <w:r>
        <w:rPr>
          <w:i/>
        </w:rPr>
        <w:t xml:space="preserve">service </w:t>
      </w:r>
      <w:r>
        <w:t xml:space="preserve">on an eligible </w:t>
      </w:r>
      <w:r>
        <w:rPr>
          <w:i/>
        </w:rPr>
        <w:t xml:space="preserve">pricing plan </w:t>
      </w:r>
      <w:r>
        <w:t xml:space="preserve">after 23 November 2005. It involves more than one </w:t>
      </w:r>
      <w:r>
        <w:rPr>
          <w:i/>
        </w:rPr>
        <w:t xml:space="preserve">service </w:t>
      </w:r>
      <w:r>
        <w:t xml:space="preserve">and each of the services </w:t>
      </w:r>
      <w:r>
        <w:rPr>
          <w:i/>
        </w:rPr>
        <w:t xml:space="preserve">you </w:t>
      </w:r>
      <w:r>
        <w:t xml:space="preserve">select as part of </w:t>
      </w:r>
      <w:r>
        <w:rPr>
          <w:i/>
        </w:rPr>
        <w:t xml:space="preserve">your </w:t>
      </w:r>
      <w:r>
        <w:t xml:space="preserve">package is provided to </w:t>
      </w:r>
      <w:r>
        <w:rPr>
          <w:i/>
        </w:rPr>
        <w:t xml:space="preserve">you </w:t>
      </w:r>
      <w:r>
        <w:t xml:space="preserve">by the relevant Optus company on the terms and conditions of the </w:t>
      </w:r>
      <w:r>
        <w:rPr>
          <w:i/>
        </w:rPr>
        <w:t xml:space="preserve">agreement </w:t>
      </w:r>
      <w:r>
        <w:t xml:space="preserve">for the supply of that </w:t>
      </w:r>
      <w:r>
        <w:rPr>
          <w:i/>
        </w:rPr>
        <w:t>service</w:t>
      </w:r>
      <w:r>
        <w:t xml:space="preserve">. Details of the various packages available and of any additional terms and conditions that apply to 'yes' Business Rewards are set out in </w:t>
      </w:r>
      <w:hyperlink r:id="rId225" w:history="1">
        <w:r>
          <w:rPr>
            <w:rStyle w:val="Hyperlink"/>
            <w:i/>
          </w:rPr>
          <w:t>Appendix IB</w:t>
        </w:r>
      </w:hyperlink>
      <w:r>
        <w:rPr>
          <w:i/>
        </w:rPr>
        <w:t>.</w:t>
      </w:r>
    </w:p>
    <w:p w14:paraId="17497657" w14:textId="77777777" w:rsidR="000D07EA" w:rsidRDefault="00BE7C89">
      <w:pPr>
        <w:pStyle w:val="Heading6"/>
        <w:keepNext/>
        <w:ind w:left="0" w:firstLine="0"/>
      </w:pPr>
      <w:r>
        <w:t xml:space="preserve">Business Bonus </w:t>
      </w:r>
    </w:p>
    <w:p w14:paraId="784D9948" w14:textId="77777777" w:rsidR="000D07EA" w:rsidRDefault="00BE7C89">
      <w:pPr>
        <w:pStyle w:val="BodyText"/>
        <w:ind w:left="720"/>
      </w:pPr>
      <w:r>
        <w:t xml:space="preserve">If </w:t>
      </w:r>
      <w:r>
        <w:rPr>
          <w:i/>
        </w:rPr>
        <w:t>you</w:t>
      </w:r>
      <w:r>
        <w:t xml:space="preserve"> do not purchase or receive new discounted mobile hardware from either </w:t>
      </w:r>
      <w:r>
        <w:rPr>
          <w:i/>
        </w:rPr>
        <w:t>us</w:t>
      </w:r>
      <w:r>
        <w:t xml:space="preserve"> or an Optus dealer, partner or reseller when connecting to the Timeless Business Internet </w:t>
      </w:r>
      <w:r>
        <w:rPr>
          <w:i/>
        </w:rPr>
        <w:t>pricing</w:t>
      </w:r>
      <w:r>
        <w:t xml:space="preserve"> </w:t>
      </w:r>
      <w:r>
        <w:rPr>
          <w:i/>
        </w:rPr>
        <w:t>plan</w:t>
      </w:r>
      <w:r>
        <w:t xml:space="preserve"> with a 12 or 24 month </w:t>
      </w:r>
      <w:r>
        <w:rPr>
          <w:i/>
        </w:rPr>
        <w:t>minimum</w:t>
      </w:r>
      <w:r>
        <w:t xml:space="preserve"> </w:t>
      </w:r>
      <w:r>
        <w:rPr>
          <w:i/>
        </w:rPr>
        <w:t>term</w:t>
      </w:r>
      <w:r>
        <w:t xml:space="preserve"> </w:t>
      </w:r>
      <w:r>
        <w:rPr>
          <w:i/>
        </w:rPr>
        <w:t>you</w:t>
      </w:r>
      <w:r>
        <w:t xml:space="preserve"> are eligible for a credit called "BYO Bonus" on </w:t>
      </w:r>
      <w:r>
        <w:rPr>
          <w:i/>
        </w:rPr>
        <w:t>your</w:t>
      </w:r>
      <w:r>
        <w:t xml:space="preserve"> </w:t>
      </w:r>
      <w:r>
        <w:rPr>
          <w:i/>
        </w:rPr>
        <w:t>mobile</w:t>
      </w:r>
      <w:r>
        <w:t xml:space="preserve"> </w:t>
      </w:r>
      <w:r>
        <w:rPr>
          <w:i/>
        </w:rPr>
        <w:t>phone</w:t>
      </w:r>
      <w:r>
        <w:t xml:space="preserve"> tax invoice/account. (For the avoidance of doubt, </w:t>
      </w:r>
      <w:r>
        <w:rPr>
          <w:i/>
        </w:rPr>
        <w:t>you</w:t>
      </w:r>
      <w:r>
        <w:t xml:space="preserve"> will not be eligible for any "BYO Bonus" credit if, at the time </w:t>
      </w:r>
      <w:r>
        <w:rPr>
          <w:i/>
        </w:rPr>
        <w:t>you</w:t>
      </w:r>
      <w:r>
        <w:t xml:space="preserve"> enter into the </w:t>
      </w:r>
      <w:r>
        <w:rPr>
          <w:i/>
        </w:rPr>
        <w:t>agreement</w:t>
      </w:r>
      <w:r>
        <w:t xml:space="preserve"> for the </w:t>
      </w:r>
      <w:r>
        <w:rPr>
          <w:i/>
        </w:rPr>
        <w:t>service</w:t>
      </w:r>
      <w:r>
        <w:t xml:space="preserve"> with </w:t>
      </w:r>
      <w:r>
        <w:rPr>
          <w:i/>
        </w:rPr>
        <w:t>us</w:t>
      </w:r>
      <w:r>
        <w:t xml:space="preserve"> </w:t>
      </w:r>
      <w:r>
        <w:rPr>
          <w:i/>
        </w:rPr>
        <w:t>you</w:t>
      </w:r>
      <w:r>
        <w:t xml:space="preserve"> purchase or receive mobile hardware under a separate agreement with an Optus dealer, partner or reseller.) The credit will be applied to </w:t>
      </w:r>
      <w:r>
        <w:rPr>
          <w:i/>
        </w:rPr>
        <w:t>your</w:t>
      </w:r>
      <w:r>
        <w:t xml:space="preserve"> account in the first or second month of your contract and will be equal to your Minimum monthly commitment. </w:t>
      </w:r>
      <w:r>
        <w:rPr>
          <w:i/>
        </w:rPr>
        <w:t>You</w:t>
      </w:r>
      <w:r>
        <w:t xml:space="preserve"> will still receive your full included value. Customers who select a 12 month plan will receive 1 "BYO Bonus" where as customers who select a 24 month plan will receive 2 "BYO Bonus". This credit is not redeemable for cash or refundable upon </w:t>
      </w:r>
      <w:r>
        <w:rPr>
          <w:i/>
        </w:rPr>
        <w:t>cancellation</w:t>
      </w:r>
      <w:r>
        <w:t xml:space="preserve"> </w:t>
      </w:r>
      <w:r>
        <w:rPr>
          <w:i/>
        </w:rPr>
        <w:t>of</w:t>
      </w:r>
      <w:r>
        <w:t xml:space="preserve"> </w:t>
      </w:r>
      <w:r>
        <w:rPr>
          <w:i/>
        </w:rPr>
        <w:t>your</w:t>
      </w:r>
      <w:r>
        <w:t xml:space="preserve"> </w:t>
      </w:r>
      <w:r>
        <w:rPr>
          <w:i/>
        </w:rPr>
        <w:t>agreement</w:t>
      </w:r>
      <w:r>
        <w:t>.</w:t>
      </w:r>
    </w:p>
    <w:p w14:paraId="53FE4967" w14:textId="77777777" w:rsidR="000D07EA" w:rsidRDefault="00BE7C89">
      <w:pPr>
        <w:pStyle w:val="Heading4"/>
      </w:pPr>
      <w:bookmarkStart w:id="337" w:name="_Toc62644629"/>
      <w:r>
        <w:lastRenderedPageBreak/>
        <w:t>Business Timeless Max Plans (Incorporating $99 Business Timeless Max, $115 Business Timeless Max, $129 Business Timeless Max) Effective from 9 May 2010.</w:t>
      </w:r>
      <w:bookmarkEnd w:id="337"/>
      <w:r>
        <w:t xml:space="preserve"> </w:t>
      </w:r>
    </w:p>
    <w:p w14:paraId="5D52E422" w14:textId="77777777" w:rsidR="000D07EA" w:rsidRDefault="00BE7C89">
      <w:pPr>
        <w:pStyle w:val="Heading6"/>
        <w:ind w:left="0" w:firstLine="0"/>
      </w:pPr>
      <w:r>
        <w:t>Eligibility</w:t>
      </w:r>
    </w:p>
    <w:p w14:paraId="5006E5E2" w14:textId="77777777" w:rsidR="000D07EA" w:rsidRDefault="00BE7C89">
      <w:pPr>
        <w:pStyle w:val="BodyText"/>
        <w:ind w:left="720"/>
      </w:pPr>
      <w:r>
        <w:t xml:space="preserve">The Business Timeless Max Plans are only available to customers </w:t>
      </w:r>
      <w:r>
        <w:rPr>
          <w:i/>
        </w:rPr>
        <w:t>we</w:t>
      </w:r>
      <w:r>
        <w:t xml:space="preserve"> classify as </w:t>
      </w:r>
      <w:r>
        <w:rPr>
          <w:i/>
        </w:rPr>
        <w:t>small</w:t>
      </w:r>
      <w:r>
        <w:t xml:space="preserve"> </w:t>
      </w:r>
      <w:r>
        <w:rPr>
          <w:i/>
        </w:rPr>
        <w:t>or</w:t>
      </w:r>
      <w:r>
        <w:t xml:space="preserve"> </w:t>
      </w:r>
      <w:r>
        <w:rPr>
          <w:i/>
        </w:rPr>
        <w:t>medium</w:t>
      </w:r>
      <w:r>
        <w:t xml:space="preserve"> </w:t>
      </w:r>
      <w:r>
        <w:rPr>
          <w:i/>
        </w:rPr>
        <w:t>business</w:t>
      </w:r>
      <w:r>
        <w:t xml:space="preserve"> customers who apply to connect to the service on the following terms:</w:t>
      </w:r>
    </w:p>
    <w:p w14:paraId="33AE00C5" w14:textId="77777777" w:rsidR="000D07EA" w:rsidRDefault="00BE7C89">
      <w:pPr>
        <w:pStyle w:val="Heading7"/>
      </w:pPr>
      <w:r>
        <w:rPr>
          <w:i/>
        </w:rPr>
        <w:t>You</w:t>
      </w:r>
      <w:r>
        <w:t xml:space="preserve"> must pass the Optus Credit assessment and be accepted by Optus;</w:t>
      </w:r>
    </w:p>
    <w:p w14:paraId="35604E19" w14:textId="77777777" w:rsidR="000D07EA" w:rsidRDefault="00BE7C89">
      <w:pPr>
        <w:pStyle w:val="Heading7"/>
      </w:pPr>
      <w:r>
        <w:t>Optus Service Providers' customers are excluded; and</w:t>
      </w:r>
    </w:p>
    <w:p w14:paraId="4AA0E854" w14:textId="77777777" w:rsidR="000D07EA" w:rsidRDefault="00BE7C89">
      <w:pPr>
        <w:pStyle w:val="Heading7"/>
      </w:pPr>
      <w:r>
        <w:t xml:space="preserve">If </w:t>
      </w:r>
      <w:r>
        <w:rPr>
          <w:i/>
        </w:rPr>
        <w:t>you</w:t>
      </w:r>
      <w:r>
        <w:t xml:space="preserve"> are an existing customer </w:t>
      </w:r>
      <w:r>
        <w:rPr>
          <w:i/>
        </w:rPr>
        <w:t>you</w:t>
      </w:r>
      <w:r>
        <w:t xml:space="preserve"> may only transfer to the Business Timeless Max Plan with </w:t>
      </w:r>
      <w:r>
        <w:rPr>
          <w:i/>
        </w:rPr>
        <w:t>our</w:t>
      </w:r>
      <w:r>
        <w:t xml:space="preserve"> approval.</w:t>
      </w:r>
    </w:p>
    <w:p w14:paraId="19FDB0CA" w14:textId="77777777" w:rsidR="000D07EA" w:rsidRDefault="00BE7C89">
      <w:pPr>
        <w:pStyle w:val="Heading6"/>
        <w:ind w:left="0" w:firstLine="0"/>
        <w:rPr>
          <w:i/>
        </w:rPr>
      </w:pPr>
      <w:r>
        <w:rPr>
          <w:i/>
        </w:rPr>
        <w:t>Minimum Term</w:t>
      </w:r>
    </w:p>
    <w:p w14:paraId="3473F9CB" w14:textId="77777777" w:rsidR="000D07EA" w:rsidRDefault="00BE7C89">
      <w:pPr>
        <w:pStyle w:val="Heading7"/>
      </w:pPr>
      <w:r>
        <w:rPr>
          <w:i/>
        </w:rPr>
        <w:t>You</w:t>
      </w:r>
      <w:r>
        <w:t xml:space="preserve"> must agree to either a </w:t>
      </w:r>
      <w:r>
        <w:rPr>
          <w:i/>
        </w:rPr>
        <w:t>non-fixed length agreement</w:t>
      </w:r>
      <w:r>
        <w:t xml:space="preserve"> or a </w:t>
      </w:r>
      <w:r>
        <w:rPr>
          <w:i/>
        </w:rPr>
        <w:t>fixed length agreement</w:t>
      </w:r>
      <w:r>
        <w:t xml:space="preserve"> with a 12 month or 24 month minimum term. </w:t>
      </w:r>
    </w:p>
    <w:p w14:paraId="6042B45D" w14:textId="77777777" w:rsidR="000D07EA" w:rsidRDefault="00BE7C89">
      <w:pPr>
        <w:pStyle w:val="Heading7"/>
      </w:pPr>
      <w:r>
        <w:rPr>
          <w:i/>
        </w:rPr>
        <w:t>You</w:t>
      </w:r>
      <w:r>
        <w:t xml:space="preserve"> may purchase a </w:t>
      </w:r>
      <w:r>
        <w:rPr>
          <w:i/>
        </w:rPr>
        <w:t>mobile phone</w:t>
      </w:r>
      <w:r>
        <w:t xml:space="preserve"> with a 24 month </w:t>
      </w:r>
      <w:r>
        <w:rPr>
          <w:i/>
        </w:rPr>
        <w:t>equipment term</w:t>
      </w:r>
      <w:r>
        <w:t xml:space="preserve"> under a </w:t>
      </w:r>
      <w:r>
        <w:rPr>
          <w:i/>
        </w:rPr>
        <w:t>mobile equipment payment plan</w:t>
      </w:r>
      <w:r>
        <w:t xml:space="preserve"> on a 24 month </w:t>
      </w:r>
      <w:r>
        <w:rPr>
          <w:i/>
        </w:rPr>
        <w:t>fixed length agreement</w:t>
      </w:r>
      <w:r>
        <w:t xml:space="preserve">. If </w:t>
      </w:r>
      <w:r>
        <w:rPr>
          <w:i/>
        </w:rPr>
        <w:t>you</w:t>
      </w:r>
      <w:r>
        <w:t xml:space="preserve"> agree to a 24 month </w:t>
      </w:r>
      <w:r>
        <w:rPr>
          <w:i/>
        </w:rPr>
        <w:t>fixed length agreement</w:t>
      </w:r>
      <w:r>
        <w:t xml:space="preserve"> the price of </w:t>
      </w:r>
      <w:r>
        <w:rPr>
          <w:i/>
        </w:rPr>
        <w:t>mobile phones</w:t>
      </w:r>
      <w:r>
        <w:t xml:space="preserve"> available is less than if </w:t>
      </w:r>
      <w:r>
        <w:rPr>
          <w:i/>
        </w:rPr>
        <w:t>you</w:t>
      </w:r>
      <w:r>
        <w:t xml:space="preserve"> only agree to a </w:t>
      </w:r>
      <w:r>
        <w:rPr>
          <w:i/>
        </w:rPr>
        <w:t>non-fixed length agreement</w:t>
      </w:r>
      <w:r>
        <w:t xml:space="preserve">. </w:t>
      </w:r>
    </w:p>
    <w:p w14:paraId="7A0E48E5" w14:textId="77777777" w:rsidR="000D07EA" w:rsidRDefault="00BE7C89">
      <w:pPr>
        <w:pStyle w:val="Heading7"/>
      </w:pPr>
      <w:r>
        <w:rPr>
          <w:i/>
        </w:rPr>
        <w:t>You</w:t>
      </w:r>
      <w:r>
        <w:t xml:space="preserve"> may purchase a </w:t>
      </w:r>
      <w:r>
        <w:rPr>
          <w:i/>
        </w:rPr>
        <w:t>mobile phone</w:t>
      </w:r>
      <w:r>
        <w:t xml:space="preserve"> with a 12 month </w:t>
      </w:r>
      <w:r>
        <w:rPr>
          <w:i/>
        </w:rPr>
        <w:t>equipment term</w:t>
      </w:r>
      <w:r>
        <w:t xml:space="preserve"> under a </w:t>
      </w:r>
      <w:r>
        <w:rPr>
          <w:i/>
        </w:rPr>
        <w:t>mobile equipment payment plan</w:t>
      </w:r>
      <w:r>
        <w:t xml:space="preserve"> on a 12 month </w:t>
      </w:r>
      <w:r>
        <w:rPr>
          <w:i/>
        </w:rPr>
        <w:t>fixed length agreement</w:t>
      </w:r>
      <w:r>
        <w:t xml:space="preserve">. If </w:t>
      </w:r>
      <w:r>
        <w:rPr>
          <w:i/>
        </w:rPr>
        <w:t>you</w:t>
      </w:r>
      <w:r>
        <w:t xml:space="preserve"> agree to a 12 month </w:t>
      </w:r>
      <w:r>
        <w:rPr>
          <w:i/>
        </w:rPr>
        <w:t>fixed length agreement</w:t>
      </w:r>
      <w:r>
        <w:t xml:space="preserve"> the price of </w:t>
      </w:r>
      <w:r>
        <w:rPr>
          <w:i/>
        </w:rPr>
        <w:t>mobile phones</w:t>
      </w:r>
      <w:r>
        <w:t xml:space="preserve"> available is less than if </w:t>
      </w:r>
      <w:r>
        <w:rPr>
          <w:i/>
        </w:rPr>
        <w:t>you</w:t>
      </w:r>
      <w:r>
        <w:t xml:space="preserve"> only agree to a </w:t>
      </w:r>
      <w:r>
        <w:rPr>
          <w:i/>
        </w:rPr>
        <w:t>non-fixed length agreement</w:t>
      </w:r>
      <w:r>
        <w:t xml:space="preserve">. </w:t>
      </w:r>
    </w:p>
    <w:p w14:paraId="110F75BA" w14:textId="77777777" w:rsidR="000D07EA" w:rsidRDefault="00BE7C89">
      <w:pPr>
        <w:pStyle w:val="Heading6"/>
        <w:ind w:left="0" w:firstLine="0"/>
      </w:pPr>
      <w:r>
        <w:t xml:space="preserve">What </w:t>
      </w:r>
      <w:r>
        <w:rPr>
          <w:i/>
        </w:rPr>
        <w:t>you</w:t>
      </w:r>
      <w:r>
        <w:t xml:space="preserve"> have to pay </w:t>
      </w:r>
      <w:r>
        <w:rPr>
          <w:i/>
        </w:rPr>
        <w:t>us</w:t>
      </w:r>
    </w:p>
    <w:p w14:paraId="19240FDA" w14:textId="77777777" w:rsidR="000D07EA" w:rsidRDefault="00BE7C89">
      <w:pPr>
        <w:pStyle w:val="Heading7"/>
      </w:pPr>
      <w:r>
        <w:t xml:space="preserve">Subject to paragraphs </w:t>
      </w:r>
      <w:r>
        <w:fldChar w:fldCharType="begin"/>
      </w:r>
      <w:r>
        <w:instrText xml:space="preserve"> REF _Ref461549456 \n \h </w:instrText>
      </w:r>
      <w:r>
        <w:fldChar w:fldCharType="separate"/>
      </w:r>
      <w:r w:rsidR="0004083A">
        <w:t>(b)</w:t>
      </w:r>
      <w:r>
        <w:fldChar w:fldCharType="end"/>
      </w:r>
      <w:r>
        <w:t xml:space="preserve">, </w:t>
      </w:r>
      <w:r>
        <w:fldChar w:fldCharType="begin"/>
      </w:r>
      <w:r>
        <w:instrText xml:space="preserve"> REF _Ref461549459 \n \h </w:instrText>
      </w:r>
      <w:r>
        <w:fldChar w:fldCharType="separate"/>
      </w:r>
      <w:r w:rsidR="0004083A">
        <w:t>(c)</w:t>
      </w:r>
      <w:r>
        <w:fldChar w:fldCharType="end"/>
      </w:r>
      <w:r>
        <w:t xml:space="preserve">, </w:t>
      </w:r>
      <w:r>
        <w:fldChar w:fldCharType="begin"/>
      </w:r>
      <w:r>
        <w:instrText xml:space="preserve"> REF _Ref461549462 \n \h </w:instrText>
      </w:r>
      <w:r>
        <w:fldChar w:fldCharType="separate"/>
      </w:r>
      <w:r w:rsidR="0004083A">
        <w:t>(d)</w:t>
      </w:r>
      <w:r>
        <w:fldChar w:fldCharType="end"/>
      </w:r>
      <w:r>
        <w:t xml:space="preserve"> and </w:t>
      </w:r>
      <w:r>
        <w:fldChar w:fldCharType="begin"/>
      </w:r>
      <w:r>
        <w:instrText xml:space="preserve"> REF _Ref461549466 \n \h </w:instrText>
      </w:r>
      <w:r>
        <w:fldChar w:fldCharType="separate"/>
      </w:r>
      <w:r w:rsidR="0004083A">
        <w:t>(e)</w:t>
      </w:r>
      <w:r>
        <w:fldChar w:fldCharType="end"/>
      </w:r>
      <w:r>
        <w:t xml:space="preserve"> below </w:t>
      </w:r>
      <w:r>
        <w:rPr>
          <w:i/>
        </w:rPr>
        <w:t>you</w:t>
      </w:r>
      <w:r>
        <w:t xml:space="preserve"> must pay </w:t>
      </w:r>
      <w:r>
        <w:rPr>
          <w:i/>
        </w:rPr>
        <w:t>us</w:t>
      </w:r>
      <w:r>
        <w:t xml:space="preserve"> for use of the </w:t>
      </w:r>
      <w:r>
        <w:rPr>
          <w:i/>
        </w:rPr>
        <w:t>service</w:t>
      </w:r>
      <w:r>
        <w:t xml:space="preserve"> at the rates set out in </w:t>
      </w:r>
      <w:hyperlink r:id="rId226" w:history="1">
        <w:r>
          <w:rPr>
            <w:rStyle w:val="Hyperlink"/>
          </w:rPr>
          <w:t>Section 1</w:t>
        </w:r>
      </w:hyperlink>
      <w:r>
        <w:t xml:space="preserve"> of this </w:t>
      </w:r>
      <w:r>
        <w:rPr>
          <w:i/>
        </w:rPr>
        <w:t>standard pricing table</w:t>
      </w:r>
      <w:r>
        <w:t xml:space="preserve"> and for </w:t>
      </w:r>
      <w:r>
        <w:rPr>
          <w:i/>
        </w:rPr>
        <w:t>value added service features</w:t>
      </w:r>
      <w:r>
        <w:t xml:space="preserve"> at the rates set out in </w:t>
      </w:r>
      <w:hyperlink r:id="rId227" w:history="1">
        <w:r>
          <w:rPr>
            <w:rStyle w:val="Hyperlink"/>
          </w:rPr>
          <w:t>Appendix Y</w:t>
        </w:r>
      </w:hyperlink>
      <w:r>
        <w:t xml:space="preserve"> Value Added Service Features. </w:t>
      </w:r>
    </w:p>
    <w:p w14:paraId="1780E947" w14:textId="77777777" w:rsidR="000D07EA" w:rsidRDefault="00BE7C89">
      <w:pPr>
        <w:pStyle w:val="Heading7"/>
      </w:pPr>
      <w:bookmarkStart w:id="338" w:name="_Ref461549456"/>
      <w:r>
        <w:t xml:space="preserve">If there is a </w:t>
      </w:r>
      <w:r>
        <w:rPr>
          <w:i/>
        </w:rPr>
        <w:t>flagfall</w:t>
      </w:r>
      <w:r>
        <w:t xml:space="preserve"> or call connection charge for a particular call type, the charge for these calls is the </w:t>
      </w:r>
      <w:r>
        <w:rPr>
          <w:i/>
        </w:rPr>
        <w:t>flagfall</w:t>
      </w:r>
      <w:r>
        <w:t xml:space="preserve"> charge plus the relevant rate for the call multiplied by the duration of the call.</w:t>
      </w:r>
      <w:bookmarkEnd w:id="338"/>
      <w:r>
        <w:t xml:space="preserve"> </w:t>
      </w:r>
    </w:p>
    <w:p w14:paraId="4781FC6B" w14:textId="77777777" w:rsidR="000D07EA" w:rsidRDefault="00BE7C89">
      <w:pPr>
        <w:pStyle w:val="Heading7"/>
        <w:rPr>
          <w:b/>
        </w:rPr>
      </w:pPr>
      <w:bookmarkStart w:id="339" w:name="_Ref461549459"/>
      <w:r>
        <w:rPr>
          <w:b/>
        </w:rPr>
        <w:t>Minimum Monthly Charge</w:t>
      </w:r>
      <w:bookmarkEnd w:id="339"/>
    </w:p>
    <w:p w14:paraId="60BD747A" w14:textId="77777777" w:rsidR="000D07EA" w:rsidRDefault="00BE7C89">
      <w:pPr>
        <w:pStyle w:val="Heading8"/>
      </w:pPr>
      <w:r>
        <w:t xml:space="preserve">Each Business Timeless Max Plan has a Minimum Monthly Charge amount that </w:t>
      </w:r>
      <w:r>
        <w:rPr>
          <w:i/>
        </w:rPr>
        <w:t>you</w:t>
      </w:r>
      <w:r>
        <w:t xml:space="preserve"> must pay us each month. </w:t>
      </w:r>
    </w:p>
    <w:p w14:paraId="5F2A63D4" w14:textId="77777777" w:rsidR="000D07EA" w:rsidRDefault="00BE7C89">
      <w:pPr>
        <w:pStyle w:val="Heading8"/>
      </w:pPr>
      <w:r>
        <w:t>The amount of the Minimum Monthly Charge for each Timeless Max Plan is set out in Table 3A below.</w:t>
      </w:r>
    </w:p>
    <w:p w14:paraId="7844B15A" w14:textId="77777777" w:rsidR="000D07EA" w:rsidRDefault="00BE7C89">
      <w:pPr>
        <w:pStyle w:val="Heading8"/>
      </w:pPr>
      <w:r>
        <w:rPr>
          <w:i/>
        </w:rPr>
        <w:t>You</w:t>
      </w:r>
      <w:r>
        <w:t xml:space="preserve"> must pay </w:t>
      </w:r>
      <w:r>
        <w:rPr>
          <w:i/>
        </w:rPr>
        <w:t>us</w:t>
      </w:r>
      <w:r>
        <w:t xml:space="preserve"> for any calls or usage that are not eligible calls or usage.</w:t>
      </w:r>
    </w:p>
    <w:p w14:paraId="7E54B4C4" w14:textId="77777777" w:rsidR="000D07EA" w:rsidRDefault="00BE7C89">
      <w:pPr>
        <w:pStyle w:val="Heading7"/>
        <w:rPr>
          <w:b/>
        </w:rPr>
      </w:pPr>
      <w:bookmarkStart w:id="340" w:name="_Ref461549462"/>
      <w:r>
        <w:rPr>
          <w:b/>
        </w:rPr>
        <w:t>Unlimited Call Offer</w:t>
      </w:r>
      <w:bookmarkEnd w:id="340"/>
      <w:r>
        <w:rPr>
          <w:b/>
        </w:rPr>
        <w:t xml:space="preserve"> </w:t>
      </w:r>
    </w:p>
    <w:p w14:paraId="12A7B2C6" w14:textId="77777777" w:rsidR="000D07EA" w:rsidRDefault="00BE7C89">
      <w:pPr>
        <w:pStyle w:val="Heading8"/>
      </w:pPr>
      <w:r>
        <w:t>Under the Business Timeless Max Plans, customers will receive Unlimited Standard National Voice Calls, Video Calls, MMS, SMS (if Unlimited Text offer is selected or the $129 Business Timeless Max Plan is selected), and Voicemail deposits and retrievals (if Unlimited VoiceMail offer is selected or the $129 Business Timeless Max Plan is selected).</w:t>
      </w:r>
    </w:p>
    <w:p w14:paraId="46821B3D" w14:textId="77777777" w:rsidR="000D07EA" w:rsidRDefault="00BE7C89">
      <w:pPr>
        <w:pStyle w:val="Heading8"/>
      </w:pPr>
      <w:r>
        <w:t xml:space="preserve">The call, message types and usage that are eligible for each Business Timeless Max Plan are defined in Table 1A and 2A below. </w:t>
      </w:r>
    </w:p>
    <w:p w14:paraId="085BCDAD" w14:textId="77777777" w:rsidR="000D07EA" w:rsidRDefault="00BE7C89">
      <w:pPr>
        <w:pStyle w:val="Heading8"/>
      </w:pPr>
      <w:r>
        <w:rPr>
          <w:i/>
        </w:rPr>
        <w:lastRenderedPageBreak/>
        <w:t>You</w:t>
      </w:r>
      <w:r>
        <w:t xml:space="preserve"> must pay for any calls, messages or usage that are not eligible calls or message types.</w:t>
      </w:r>
    </w:p>
    <w:p w14:paraId="44EE2982" w14:textId="77777777" w:rsidR="000D07EA" w:rsidRDefault="00BE7C89">
      <w:pPr>
        <w:pStyle w:val="Heading8"/>
      </w:pPr>
      <w:r>
        <w:t>Any unused portion of the plan expires at the end of each month. This means that it does not roll over into following month.</w:t>
      </w:r>
    </w:p>
    <w:p w14:paraId="7FBB3AE3" w14:textId="77777777" w:rsidR="000D07EA" w:rsidRDefault="00BE7C89">
      <w:pPr>
        <w:pStyle w:val="Heading7"/>
        <w:rPr>
          <w:b/>
        </w:rPr>
      </w:pPr>
      <w:bookmarkStart w:id="341" w:name="_Ref461549466"/>
      <w:r>
        <w:rPr>
          <w:b/>
        </w:rPr>
        <w:t>Unlimited Facebook® and Twitter</w:t>
      </w:r>
      <w:bookmarkEnd w:id="341"/>
    </w:p>
    <w:p w14:paraId="4CCF0E6D" w14:textId="77777777" w:rsidR="000D07EA" w:rsidRDefault="00BE7C89">
      <w:pPr>
        <w:pStyle w:val="Heading8"/>
      </w:pPr>
      <w:bookmarkStart w:id="342" w:name="_Ref461549519"/>
      <w:r>
        <w:rPr>
          <w:i/>
        </w:rPr>
        <w:t>You</w:t>
      </w:r>
      <w:r>
        <w:t xml:space="preserve"> will receive unlimited Facebook® and Twitter.</w:t>
      </w:r>
      <w:bookmarkEnd w:id="342"/>
    </w:p>
    <w:p w14:paraId="3E693E18" w14:textId="77777777" w:rsidR="000D07EA" w:rsidRDefault="00BE7C89">
      <w:pPr>
        <w:pStyle w:val="Heading8"/>
      </w:pPr>
      <w:r>
        <w:t xml:space="preserve">Usage of the services described in paragraph </w:t>
      </w:r>
      <w:r>
        <w:fldChar w:fldCharType="begin"/>
      </w:r>
      <w:r>
        <w:instrText xml:space="preserve"> REF _Ref461549466 \n \h </w:instrText>
      </w:r>
      <w:r>
        <w:fldChar w:fldCharType="separate"/>
      </w:r>
      <w:r w:rsidR="0004083A">
        <w:t>(e)</w:t>
      </w:r>
      <w:r>
        <w:fldChar w:fldCharType="end"/>
      </w:r>
      <w:r>
        <w:fldChar w:fldCharType="begin"/>
      </w:r>
      <w:r>
        <w:instrText xml:space="preserve"> REF _Ref461549519 \n \h </w:instrText>
      </w:r>
      <w:r>
        <w:fldChar w:fldCharType="separate"/>
      </w:r>
      <w:r w:rsidR="0004083A">
        <w:t>(i)</w:t>
      </w:r>
      <w:r>
        <w:fldChar w:fldCharType="end"/>
      </w:r>
      <w:r>
        <w:t xml:space="preserve"> is separate to and is not included in </w:t>
      </w:r>
      <w:r>
        <w:rPr>
          <w:i/>
        </w:rPr>
        <w:t>your</w:t>
      </w:r>
      <w:r>
        <w:t xml:space="preserve"> included Mobile Internet Data Value.</w:t>
      </w:r>
    </w:p>
    <w:p w14:paraId="667FF808" w14:textId="77777777" w:rsidR="000D07EA" w:rsidRDefault="00BE7C89">
      <w:pPr>
        <w:pStyle w:val="Heading8"/>
      </w:pPr>
      <w:r>
        <w:t xml:space="preserve">These features are only available to </w:t>
      </w:r>
      <w:r>
        <w:rPr>
          <w:i/>
        </w:rPr>
        <w:t>you</w:t>
      </w:r>
      <w:r>
        <w:t xml:space="preserve"> if </w:t>
      </w:r>
      <w:r>
        <w:rPr>
          <w:i/>
        </w:rPr>
        <w:t>your</w:t>
      </w:r>
      <w:r>
        <w:t xml:space="preserve"> handset is compatible with the service.</w:t>
      </w:r>
    </w:p>
    <w:p w14:paraId="565B3886" w14:textId="77777777" w:rsidR="000D07EA" w:rsidRDefault="00BE7C89">
      <w:pPr>
        <w:pStyle w:val="Heading8"/>
      </w:pPr>
      <w:r>
        <w:t xml:space="preserve">Use of Unlimited Facebook® and Twitter is only for personal use and/or business use and is not to be used for commercial purposes. Please refer to </w:t>
      </w:r>
      <w:hyperlink r:id="rId228" w:history="1">
        <w:r w:rsidR="00B64C56">
          <w:rPr>
            <w:rStyle w:val="Hyperlink"/>
            <w:i/>
          </w:rPr>
          <w:t>Appendix S</w:t>
        </w:r>
      </w:hyperlink>
      <w:r>
        <w:t xml:space="preserve"> for further details.</w:t>
      </w:r>
    </w:p>
    <w:p w14:paraId="049462EC" w14:textId="77777777" w:rsidR="000D07EA" w:rsidRDefault="00BE7C89">
      <w:pPr>
        <w:pStyle w:val="Heading7"/>
        <w:rPr>
          <w:b/>
        </w:rPr>
      </w:pPr>
      <w:r>
        <w:rPr>
          <w:b/>
        </w:rPr>
        <w:t>Included Mobile Internet Data Value or Unlimited BlackBerry POP3 Email and Browsing</w:t>
      </w:r>
    </w:p>
    <w:p w14:paraId="4BA39CF9" w14:textId="77777777" w:rsidR="000D07EA" w:rsidRDefault="00BE7C89">
      <w:pPr>
        <w:pStyle w:val="Heading8"/>
      </w:pPr>
      <w:r>
        <w:t xml:space="preserve">Under the Business Timeless Max Plans, </w:t>
      </w:r>
      <w:r>
        <w:rPr>
          <w:i/>
        </w:rPr>
        <w:t>you</w:t>
      </w:r>
      <w:r>
        <w:t xml:space="preserve"> can choose from </w:t>
      </w:r>
    </w:p>
    <w:p w14:paraId="5EC9E0DC" w14:textId="77777777" w:rsidR="000D07EA" w:rsidRDefault="00BE7C89">
      <w:pPr>
        <w:pStyle w:val="Heading9"/>
      </w:pPr>
      <w:r>
        <w:t>included Mobile Internet Data Value; or</w:t>
      </w:r>
    </w:p>
    <w:p w14:paraId="01C4410D" w14:textId="77777777" w:rsidR="000D07EA" w:rsidRDefault="00BE7C89">
      <w:pPr>
        <w:pStyle w:val="Heading9"/>
      </w:pPr>
      <w:r>
        <w:t>Unlimited BlackBerry POP3 Email and Browsing</w:t>
      </w:r>
    </w:p>
    <w:p w14:paraId="61003D21" w14:textId="77777777" w:rsidR="000D07EA" w:rsidRDefault="00BE7C89">
      <w:pPr>
        <w:pStyle w:val="Heading8"/>
      </w:pPr>
      <w:r>
        <w:t xml:space="preserve">If </w:t>
      </w:r>
      <w:r>
        <w:rPr>
          <w:i/>
        </w:rPr>
        <w:t>you</w:t>
      </w:r>
      <w:r>
        <w:t xml:space="preserve"> select the included Mobile Internet Data Value option:</w:t>
      </w:r>
    </w:p>
    <w:p w14:paraId="6135F7AD" w14:textId="77777777" w:rsidR="000D07EA" w:rsidRDefault="00BE7C89">
      <w:pPr>
        <w:pStyle w:val="Heading9"/>
      </w:pPr>
      <w:r>
        <w:t>The amount of the "Mobile Internet Data Value" included for each Business Timeless Max Plan is set out in Table 3A below.</w:t>
      </w:r>
    </w:p>
    <w:p w14:paraId="6E6B8CC6" w14:textId="77777777" w:rsidR="000D07EA" w:rsidRDefault="00BE7C89">
      <w:pPr>
        <w:pStyle w:val="Heading9"/>
      </w:pPr>
      <w:r>
        <w:t xml:space="preserve">The usage types that are </w:t>
      </w:r>
      <w:r>
        <w:rPr>
          <w:b/>
        </w:rPr>
        <w:t>'eligible data'</w:t>
      </w:r>
      <w:r>
        <w:t xml:space="preserve"> for each Timeless Max Plan under the included Mobile Internet Data Value are defined in Table 2A below.</w:t>
      </w:r>
    </w:p>
    <w:p w14:paraId="2F047B78" w14:textId="77777777" w:rsidR="000D07EA" w:rsidRDefault="00BE7C89">
      <w:pPr>
        <w:pStyle w:val="Heading9"/>
      </w:pPr>
      <w:r>
        <w:rPr>
          <w:i/>
        </w:rPr>
        <w:t>You</w:t>
      </w:r>
      <w:r>
        <w:t xml:space="preserve"> must pay </w:t>
      </w:r>
      <w:r>
        <w:rPr>
          <w:i/>
        </w:rPr>
        <w:t>us</w:t>
      </w:r>
      <w:r>
        <w:t xml:space="preserve"> excess usage charges for data used beyond the available "Mobile Internet Data Value" as shown in Table 3A below. </w:t>
      </w:r>
    </w:p>
    <w:p w14:paraId="5A018807" w14:textId="77777777" w:rsidR="000D07EA" w:rsidRDefault="00BE7C89">
      <w:pPr>
        <w:pStyle w:val="Heading9"/>
      </w:pPr>
      <w:r>
        <w:t xml:space="preserve">Any unused portion of the "Mobile Internet Data Value" expires at the end of each month and does not rollover into the following month. </w:t>
      </w:r>
    </w:p>
    <w:p w14:paraId="07CC61CB" w14:textId="77777777" w:rsidR="000D07EA" w:rsidRDefault="00BE7C89">
      <w:pPr>
        <w:pStyle w:val="Heading8"/>
      </w:pPr>
      <w:r>
        <w:t xml:space="preserve">If </w:t>
      </w:r>
      <w:r>
        <w:rPr>
          <w:i/>
        </w:rPr>
        <w:t>you</w:t>
      </w:r>
      <w:r>
        <w:t xml:space="preserve"> select the Unlimited BlackBerry POP3 Email and Browsing option:</w:t>
      </w:r>
    </w:p>
    <w:p w14:paraId="46D055C7" w14:textId="77777777" w:rsidR="000D07EA" w:rsidRDefault="00BE7C89">
      <w:pPr>
        <w:pStyle w:val="Heading9"/>
      </w:pPr>
      <w:r>
        <w:rPr>
          <w:i/>
        </w:rPr>
        <w:t>You</w:t>
      </w:r>
      <w:r>
        <w:t xml:space="preserve"> will receive unlimited BlackBerry POP3 Email and Browsing through the BlackBerry Internet Browser or the BlackBerry Browser only and use of applications from Optus and third party applications that require a BlackBerry Data connection.</w:t>
      </w:r>
    </w:p>
    <w:p w14:paraId="41779380" w14:textId="77777777" w:rsidR="000D07EA" w:rsidRDefault="00BE7C89">
      <w:pPr>
        <w:pStyle w:val="Heading9"/>
        <w:rPr>
          <w:lang w:val="en-AU"/>
        </w:rPr>
      </w:pPr>
      <w:r>
        <w:rPr>
          <w:lang w:val="en-AU"/>
        </w:rPr>
        <w:t xml:space="preserve">The usage types that are </w:t>
      </w:r>
      <w:r>
        <w:rPr>
          <w:b/>
          <w:lang w:val="en-AU"/>
        </w:rPr>
        <w:t>'eligible data'</w:t>
      </w:r>
      <w:r>
        <w:rPr>
          <w:lang w:val="en-AU"/>
        </w:rPr>
        <w:t xml:space="preserve"> for each Timeless Max Plan under the Unlimited BlackBerry POP3 Email and Browsing are defined in Table 2B below.</w:t>
      </w:r>
    </w:p>
    <w:p w14:paraId="23627808" w14:textId="77777777" w:rsidR="000D07EA" w:rsidRDefault="00BE7C89">
      <w:pPr>
        <w:pStyle w:val="Heading9"/>
      </w:pPr>
      <w:r>
        <w:t>Use of Unlimited BlackBerry POP3 Email is for personal or business use. Fair Go Policy (</w:t>
      </w:r>
      <w:hyperlink r:id="rId229" w:history="1">
        <w:r>
          <w:rPr>
            <w:rStyle w:val="Hyperlink"/>
            <w:i/>
          </w:rPr>
          <w:t>Appendix S</w:t>
        </w:r>
      </w:hyperlink>
      <w:r>
        <w:t xml:space="preserve">) also applies to unacceptable use. Please refer to </w:t>
      </w:r>
      <w:hyperlink r:id="rId230" w:history="1">
        <w:r w:rsidR="00B64C56">
          <w:rPr>
            <w:rStyle w:val="Hyperlink"/>
            <w:i/>
          </w:rPr>
          <w:t>Appendix S</w:t>
        </w:r>
      </w:hyperlink>
      <w:r>
        <w:t>for further details.</w:t>
      </w:r>
    </w:p>
    <w:p w14:paraId="13A39F47" w14:textId="77777777" w:rsidR="000D07EA" w:rsidRDefault="00BE7C89">
      <w:pPr>
        <w:pStyle w:val="Heading7"/>
        <w:rPr>
          <w:b/>
          <w:lang w:val="en-AU"/>
        </w:rPr>
      </w:pPr>
      <w:r>
        <w:rPr>
          <w:b/>
          <w:lang w:val="en-AU"/>
        </w:rPr>
        <w:t>Included International Value</w:t>
      </w:r>
    </w:p>
    <w:p w14:paraId="07222E81" w14:textId="77777777" w:rsidR="000D07EA" w:rsidRDefault="00BE7C89">
      <w:pPr>
        <w:pStyle w:val="Heading8"/>
        <w:rPr>
          <w:lang w:val="en-AU"/>
        </w:rPr>
      </w:pPr>
      <w:r>
        <w:rPr>
          <w:lang w:val="en-AU"/>
        </w:rPr>
        <w:t xml:space="preserve">On the $115 Business Timeless Max Plan or the $129 Business Timeless Max Plan, </w:t>
      </w:r>
      <w:r>
        <w:rPr>
          <w:i/>
          <w:lang w:val="en-AU"/>
        </w:rPr>
        <w:t>you</w:t>
      </w:r>
      <w:r>
        <w:rPr>
          <w:lang w:val="en-AU"/>
        </w:rPr>
        <w:t xml:space="preserve"> will receive included International Value. The amount of the International Value included for each Timeless Max Plan is set out in Table 3A below.</w:t>
      </w:r>
    </w:p>
    <w:p w14:paraId="455EB7D2" w14:textId="77777777" w:rsidR="000D07EA" w:rsidRDefault="00BE7C89">
      <w:pPr>
        <w:pStyle w:val="Heading8"/>
        <w:rPr>
          <w:lang w:val="en-AU"/>
        </w:rPr>
      </w:pPr>
      <w:r>
        <w:rPr>
          <w:lang w:val="en-AU"/>
        </w:rPr>
        <w:t xml:space="preserve">The usage types that are </w:t>
      </w:r>
      <w:r>
        <w:rPr>
          <w:b/>
          <w:lang w:val="en-AU"/>
        </w:rPr>
        <w:t>'eligible calls and charges'</w:t>
      </w:r>
      <w:r>
        <w:rPr>
          <w:lang w:val="en-AU"/>
        </w:rPr>
        <w:t xml:space="preserve"> for each Timeless Max Plan under the included International Value are defined in Table 2C below.</w:t>
      </w:r>
    </w:p>
    <w:p w14:paraId="5DBECC87" w14:textId="77777777" w:rsidR="000D07EA" w:rsidRDefault="00BE7C89">
      <w:pPr>
        <w:pStyle w:val="Heading8"/>
        <w:rPr>
          <w:lang w:val="en-AU"/>
        </w:rPr>
      </w:pPr>
      <w:r>
        <w:rPr>
          <w:i/>
          <w:lang w:val="en-AU"/>
        </w:rPr>
        <w:lastRenderedPageBreak/>
        <w:t xml:space="preserve">You </w:t>
      </w:r>
      <w:r>
        <w:rPr>
          <w:lang w:val="en-AU"/>
        </w:rPr>
        <w:t xml:space="preserve">must pay </w:t>
      </w:r>
      <w:r>
        <w:rPr>
          <w:i/>
          <w:lang w:val="en-AU"/>
        </w:rPr>
        <w:t xml:space="preserve">us </w:t>
      </w:r>
      <w:r>
        <w:rPr>
          <w:lang w:val="en-AU"/>
        </w:rPr>
        <w:t>for any calls or messages that are not eligible calls or messages under this offer.</w:t>
      </w:r>
    </w:p>
    <w:p w14:paraId="7BB93DB1" w14:textId="77777777" w:rsidR="000D07EA" w:rsidRDefault="00BE7C89">
      <w:pPr>
        <w:pStyle w:val="Heading8"/>
        <w:rPr>
          <w:snapToGrid w:val="0"/>
          <w:lang w:val="en-AU"/>
        </w:rPr>
      </w:pPr>
      <w:r>
        <w:rPr>
          <w:i/>
          <w:lang w:val="en-AU"/>
        </w:rPr>
        <w:t>You</w:t>
      </w:r>
      <w:r>
        <w:rPr>
          <w:lang w:val="en-AU"/>
        </w:rPr>
        <w:t xml:space="preserve"> must pay </w:t>
      </w:r>
      <w:r>
        <w:rPr>
          <w:i/>
          <w:snapToGrid w:val="0"/>
          <w:lang w:val="en-AU"/>
        </w:rPr>
        <w:t xml:space="preserve">us </w:t>
      </w:r>
      <w:r>
        <w:rPr>
          <w:snapToGrid w:val="0"/>
          <w:lang w:val="en-AU"/>
        </w:rPr>
        <w:t xml:space="preserve">for any usage over the included International Value. 'yes' Business International Rates apply. See </w:t>
      </w:r>
      <w:hyperlink r:id="rId231" w:history="1">
        <w:r>
          <w:rPr>
            <w:rStyle w:val="Hyperlink"/>
            <w:snapToGrid w:val="0"/>
            <w:lang w:val="en-AU"/>
          </w:rPr>
          <w:t>Appendix J</w:t>
        </w:r>
      </w:hyperlink>
      <w:r>
        <w:rPr>
          <w:snapToGrid w:val="0"/>
          <w:lang w:val="en-AU"/>
        </w:rPr>
        <w:t xml:space="preserve"> for more information.</w:t>
      </w:r>
    </w:p>
    <w:p w14:paraId="0C80A9AA" w14:textId="77777777" w:rsidR="000D07EA" w:rsidRDefault="00BE7C89">
      <w:pPr>
        <w:pStyle w:val="Heading8"/>
        <w:rPr>
          <w:lang w:val="en-AU"/>
        </w:rPr>
      </w:pPr>
      <w:r>
        <w:rPr>
          <w:snapToGrid w:val="0"/>
          <w:lang w:val="en-AU"/>
        </w:rPr>
        <w:t>Any unused portion of the included International Value expires at the end of each month and does not rollover into the following month.</w:t>
      </w:r>
      <w:bookmarkStart w:id="343" w:name="_Ref258567800"/>
    </w:p>
    <w:p w14:paraId="3EF983B3" w14:textId="77777777" w:rsidR="000D07EA" w:rsidRDefault="00BE7C89">
      <w:pPr>
        <w:pStyle w:val="Heading7"/>
        <w:rPr>
          <w:b/>
          <w:lang w:val="en-AU"/>
        </w:rPr>
      </w:pPr>
      <w:r>
        <w:rPr>
          <w:b/>
          <w:lang w:val="en-AU"/>
        </w:rPr>
        <w:t>Additional benefit – Free Access to Optus WiFi Hotspots (Free Wi-Fi Benefit).</w:t>
      </w:r>
    </w:p>
    <w:p w14:paraId="053E3290" w14:textId="77777777" w:rsidR="000D07EA" w:rsidRDefault="00BE7C89">
      <w:pPr>
        <w:pStyle w:val="Heading8"/>
        <w:rPr>
          <w:lang w:val="en-AU" w:eastAsia="en-AU"/>
        </w:rPr>
      </w:pPr>
      <w:r>
        <w:rPr>
          <w:lang w:val="en-AU" w:eastAsia="en-AU"/>
        </w:rPr>
        <w:t>Customers who connect their Apple iPhone to an Optus iPhone rate plan will receive free WiFi from any Optus WiFi hotspot.</w:t>
      </w:r>
    </w:p>
    <w:p w14:paraId="3E266B32" w14:textId="77777777" w:rsidR="000D07EA" w:rsidRDefault="00BE7C89">
      <w:pPr>
        <w:pStyle w:val="Heading8"/>
        <w:rPr>
          <w:lang w:val="en-AU" w:eastAsia="en-AU"/>
        </w:rPr>
      </w:pPr>
      <w:r>
        <w:rPr>
          <w:lang w:val="en-AU" w:eastAsia="en-AU"/>
        </w:rPr>
        <w:t xml:space="preserve">The service provides </w:t>
      </w:r>
      <w:r>
        <w:rPr>
          <w:i/>
          <w:lang w:val="en-AU" w:eastAsia="en-AU"/>
        </w:rPr>
        <w:t>you</w:t>
      </w:r>
      <w:r>
        <w:rPr>
          <w:lang w:val="en-AU" w:eastAsia="en-AU"/>
        </w:rPr>
        <w:t xml:space="preserve"> with access, via a fixed wireless IP network extension to the Optus IP Network, to the Internet and related services, such as email and the world wide web on an on-demand basis.</w:t>
      </w:r>
    </w:p>
    <w:p w14:paraId="62EB2F6F" w14:textId="77777777" w:rsidR="000D07EA" w:rsidRDefault="00BE7C89">
      <w:pPr>
        <w:pStyle w:val="Heading8"/>
        <w:rPr>
          <w:lang w:val="en-AU" w:eastAsia="en-AU"/>
        </w:rPr>
      </w:pPr>
      <w:r>
        <w:rPr>
          <w:lang w:val="en-AU" w:eastAsia="en-AU"/>
        </w:rPr>
        <w:t xml:space="preserve">Optus may immediately suspend, downgrade or cancel the Free Wi-Fi Benefit in a variety of circumstances, including but not limited to the following: </w:t>
      </w:r>
      <w:r>
        <w:rPr>
          <w:i/>
          <w:lang w:val="en-AU" w:eastAsia="en-AU"/>
        </w:rPr>
        <w:t>you</w:t>
      </w:r>
      <w:r>
        <w:rPr>
          <w:lang w:val="en-AU" w:eastAsia="en-AU"/>
        </w:rPr>
        <w:t xml:space="preserve"> misuse the Service; non- compliant Equipment is used; there is an unusually high use of the Service; </w:t>
      </w:r>
      <w:r>
        <w:rPr>
          <w:i/>
          <w:lang w:val="en-AU" w:eastAsia="en-AU"/>
        </w:rPr>
        <w:t>you</w:t>
      </w:r>
      <w:r>
        <w:rPr>
          <w:lang w:val="en-AU" w:eastAsia="en-AU"/>
        </w:rPr>
        <w:t xml:space="preserve"> fail to pay any charges to Optus; </w:t>
      </w:r>
      <w:r>
        <w:rPr>
          <w:i/>
          <w:lang w:val="en-AU" w:eastAsia="en-AU"/>
        </w:rPr>
        <w:t>you</w:t>
      </w:r>
      <w:r>
        <w:rPr>
          <w:lang w:val="en-AU" w:eastAsia="en-AU"/>
        </w:rPr>
        <w:t xml:space="preserve"> become insolvent; or, if, for technical or commercial reasons, Optus' Wi-Fi network is no longer operational or available.</w:t>
      </w:r>
    </w:p>
    <w:p w14:paraId="7387A018" w14:textId="77777777" w:rsidR="000D07EA" w:rsidRDefault="00BE7C89">
      <w:pPr>
        <w:pStyle w:val="Heading8"/>
        <w:rPr>
          <w:lang w:val="en-AU" w:eastAsia="en-AU"/>
        </w:rPr>
      </w:pPr>
      <w:r>
        <w:rPr>
          <w:lang w:val="en-AU" w:eastAsia="en-AU"/>
        </w:rPr>
        <w:t>Not all content located on Optus iZoo will be available when using the Apple iPhone over the Optus WiFi connection. Availability and performance of Optus hot-spots can vary.</w:t>
      </w:r>
    </w:p>
    <w:p w14:paraId="3515B2B4" w14:textId="77777777" w:rsidR="000D07EA" w:rsidRDefault="00BE7C89">
      <w:pPr>
        <w:pStyle w:val="Heading7"/>
        <w:rPr>
          <w:b/>
          <w:lang w:val="en-AU"/>
        </w:rPr>
      </w:pPr>
      <w:r>
        <w:rPr>
          <w:b/>
          <w:lang w:val="en-AU"/>
        </w:rPr>
        <w:t>Other Business Timeless Max Plan Conditions and Offers</w:t>
      </w:r>
      <w:bookmarkEnd w:id="343"/>
    </w:p>
    <w:p w14:paraId="1C757225" w14:textId="77777777" w:rsidR="000D07EA" w:rsidRDefault="00BE7C89">
      <w:pPr>
        <w:pStyle w:val="Heading8"/>
        <w:rPr>
          <w:lang w:val="en-AU"/>
        </w:rPr>
      </w:pPr>
      <w:r>
        <w:rPr>
          <w:lang w:val="en-AU"/>
        </w:rPr>
        <w:t xml:space="preserve">Available features will vary depending on </w:t>
      </w:r>
      <w:r>
        <w:rPr>
          <w:i/>
          <w:lang w:val="en-AU"/>
        </w:rPr>
        <w:t>your</w:t>
      </w:r>
      <w:r>
        <w:rPr>
          <w:lang w:val="en-AU"/>
        </w:rPr>
        <w:t xml:space="preserve"> handset or software version.</w:t>
      </w:r>
    </w:p>
    <w:p w14:paraId="60A8A53E" w14:textId="77777777" w:rsidR="000D07EA" w:rsidRDefault="00BE7C89">
      <w:pPr>
        <w:pStyle w:val="Heading8"/>
        <w:rPr>
          <w:lang w:val="en-AU"/>
        </w:rPr>
      </w:pPr>
      <w:r>
        <w:rPr>
          <w:lang w:val="en-AU"/>
        </w:rPr>
        <w:t xml:space="preserve">The </w:t>
      </w:r>
      <w:r>
        <w:t>Fair Go Policy (</w:t>
      </w:r>
      <w:hyperlink r:id="rId232" w:history="1">
        <w:r>
          <w:rPr>
            <w:rStyle w:val="Hyperlink"/>
            <w:i/>
          </w:rPr>
          <w:t>Appendix S</w:t>
        </w:r>
      </w:hyperlink>
      <w:r>
        <w:t>)</w:t>
      </w:r>
      <w:r>
        <w:rPr>
          <w:lang w:val="en-AU"/>
        </w:rPr>
        <w:t xml:space="preserve"> applies to:</w:t>
      </w:r>
    </w:p>
    <w:p w14:paraId="40D83761" w14:textId="77777777" w:rsidR="000D07EA" w:rsidRDefault="00BE7C89">
      <w:pPr>
        <w:pStyle w:val="Heading9"/>
      </w:pPr>
      <w:r>
        <w:t xml:space="preserve">Voice Over Internet Protocol (VOIP) services up to 10 megabytes per month. Please refer to </w:t>
      </w:r>
      <w:hyperlink r:id="rId233" w:history="1">
        <w:r w:rsidR="00B64C56">
          <w:rPr>
            <w:rStyle w:val="Hyperlink"/>
            <w:i/>
          </w:rPr>
          <w:t>Appendix S</w:t>
        </w:r>
      </w:hyperlink>
      <w:r>
        <w:t>.</w:t>
      </w:r>
    </w:p>
    <w:p w14:paraId="41D167BE" w14:textId="77777777" w:rsidR="000D07EA" w:rsidRDefault="00BE7C89">
      <w:pPr>
        <w:pStyle w:val="Heading9"/>
      </w:pPr>
      <w:r>
        <w:t xml:space="preserve">Voice Over Internet Protocol (VOIP) services (other than PTT) will be charged at 1.5c per kilobyte of usage, capped at $9.90 per month until </w:t>
      </w:r>
      <w:r>
        <w:rPr>
          <w:i/>
        </w:rPr>
        <w:t>you</w:t>
      </w:r>
      <w:r>
        <w:t xml:space="preserve"> reach 5 megabytes of usage in that month, after which </w:t>
      </w:r>
      <w:r>
        <w:rPr>
          <w:i/>
        </w:rPr>
        <w:t>you</w:t>
      </w:r>
      <w:r>
        <w:t xml:space="preserve"> will be charged at 0.3c per kilobyte of usage for the remainder of that month.</w:t>
      </w:r>
    </w:p>
    <w:p w14:paraId="1985C642" w14:textId="77777777" w:rsidR="000D07EA" w:rsidRDefault="00BE7C89">
      <w:pPr>
        <w:pStyle w:val="Heading9"/>
      </w:pPr>
      <w:r>
        <w:t>Use of unlimited features is for personal or business use.</w:t>
      </w:r>
    </w:p>
    <w:p w14:paraId="3C138A79" w14:textId="77777777" w:rsidR="000D07EA" w:rsidRDefault="00BE7C89">
      <w:pPr>
        <w:pStyle w:val="Heading8"/>
        <w:rPr>
          <w:b/>
        </w:rPr>
      </w:pPr>
      <w:r>
        <w:rPr>
          <w:b/>
        </w:rPr>
        <w:t>Blocking access to a number</w:t>
      </w:r>
    </w:p>
    <w:p w14:paraId="54B41C26" w14:textId="77777777" w:rsidR="000D07EA" w:rsidRDefault="00BE7C89">
      <w:pPr>
        <w:pStyle w:val="BodyText"/>
        <w:ind w:left="2160"/>
        <w:rPr>
          <w:lang w:val="en-AU" w:eastAsia="en-AU"/>
        </w:rPr>
      </w:pPr>
      <w:r>
        <w:rPr>
          <w:lang w:val="en-AU" w:eastAsia="en-AU"/>
        </w:rPr>
        <w:t xml:space="preserve">In addition to what is stated </w:t>
      </w:r>
      <w:r>
        <w:t>in</w:t>
      </w:r>
      <w:r>
        <w:rPr>
          <w:lang w:val="en-AU" w:eastAsia="en-AU"/>
        </w:rPr>
        <w:t xml:space="preserve"> clause 11 of the </w:t>
      </w:r>
      <w:r>
        <w:rPr>
          <w:i/>
          <w:lang w:val="en-AU" w:eastAsia="en-AU"/>
        </w:rPr>
        <w:t>service description</w:t>
      </w:r>
      <w:r>
        <w:rPr>
          <w:lang w:val="en-AU" w:eastAsia="en-AU"/>
        </w:rPr>
        <w:t xml:space="preserve"> ("Access Restrictions"), </w:t>
      </w:r>
      <w:r>
        <w:rPr>
          <w:i/>
          <w:lang w:val="en-AU" w:eastAsia="en-AU"/>
        </w:rPr>
        <w:t>we</w:t>
      </w:r>
      <w:r>
        <w:rPr>
          <w:lang w:val="en-AU" w:eastAsia="en-AU"/>
        </w:rPr>
        <w:t xml:space="preserve"> may block access to a number (other than an emergency service number) if </w:t>
      </w:r>
      <w:r>
        <w:rPr>
          <w:i/>
          <w:lang w:val="en-AU" w:eastAsia="en-AU"/>
        </w:rPr>
        <w:t>we</w:t>
      </w:r>
      <w:r>
        <w:rPr>
          <w:lang w:val="en-AU" w:eastAsia="en-AU"/>
        </w:rPr>
        <w:t xml:space="preserve"> reasonably require this to be done for technical, operational or commercial reasons.</w:t>
      </w:r>
    </w:p>
    <w:p w14:paraId="1CA8AFA1" w14:textId="77777777" w:rsidR="000D07EA" w:rsidRDefault="00BE7C89">
      <w:pPr>
        <w:pStyle w:val="Heading7"/>
        <w:rPr>
          <w:b/>
          <w:lang w:val="en-AU"/>
        </w:rPr>
      </w:pPr>
      <w:r>
        <w:rPr>
          <w:b/>
          <w:lang w:val="en-AU"/>
        </w:rPr>
        <w:t>Eligible Calls, Messages and Pricing Plans</w:t>
      </w:r>
    </w:p>
    <w:p w14:paraId="0E667474" w14:textId="77777777" w:rsidR="000D07EA" w:rsidRDefault="00BE7C89">
      <w:pPr>
        <w:pStyle w:val="BodyText"/>
        <w:ind w:left="1440"/>
        <w:rPr>
          <w:lang w:val="en-AU"/>
        </w:rPr>
      </w:pPr>
      <w:r>
        <w:rPr>
          <w:lang w:val="en-AU"/>
        </w:rPr>
        <w:t>Table 1A below indicates whether a particular call or message type is 'eligible' in the unlimited offer for the Business Timeless Max Plan.</w:t>
      </w:r>
    </w:p>
    <w:p w14:paraId="0B8E4C21" w14:textId="77777777" w:rsidR="000D07EA" w:rsidRDefault="00BE7C89">
      <w:pPr>
        <w:pStyle w:val="BodyText"/>
        <w:ind w:left="1440"/>
        <w:rPr>
          <w:lang w:val="en-AU"/>
        </w:rPr>
      </w:pPr>
      <w:r>
        <w:rPr>
          <w:lang w:val="en-AU"/>
        </w:rPr>
        <w:t xml:space="preserve">Table 2A below indicates whether a particular data type is 'eligible data usage' which counts towards the Included Mobile Internet Data value of </w:t>
      </w:r>
      <w:r>
        <w:rPr>
          <w:i/>
          <w:lang w:val="en-AU"/>
        </w:rPr>
        <w:t xml:space="preserve">your </w:t>
      </w:r>
      <w:r>
        <w:rPr>
          <w:lang w:val="en-AU"/>
        </w:rPr>
        <w:t>selected Business Timeless Max Plan.</w:t>
      </w:r>
    </w:p>
    <w:p w14:paraId="6D0B3420" w14:textId="77777777" w:rsidR="000D07EA" w:rsidRDefault="00BE7C89">
      <w:pPr>
        <w:pStyle w:val="BodyText"/>
        <w:ind w:left="1440"/>
        <w:rPr>
          <w:lang w:val="en-AU"/>
        </w:rPr>
      </w:pPr>
      <w:r>
        <w:rPr>
          <w:lang w:val="en-AU"/>
        </w:rPr>
        <w:t xml:space="preserve">Table 2B below indicates whether a particular data type is 'eligible data usage' which counts towards the Unlimited BlackBerry POP3 Email and Browsing value of </w:t>
      </w:r>
      <w:r>
        <w:rPr>
          <w:i/>
          <w:lang w:val="en-AU"/>
        </w:rPr>
        <w:t xml:space="preserve">your </w:t>
      </w:r>
      <w:r>
        <w:rPr>
          <w:lang w:val="en-AU"/>
        </w:rPr>
        <w:t>selected Timeless Max Plan.</w:t>
      </w:r>
    </w:p>
    <w:p w14:paraId="61DB9AEC" w14:textId="77777777" w:rsidR="000D07EA" w:rsidRDefault="00BE7C89">
      <w:pPr>
        <w:pStyle w:val="BodyText"/>
        <w:ind w:left="1440"/>
        <w:rPr>
          <w:lang w:val="en-AU"/>
        </w:rPr>
      </w:pPr>
      <w:r>
        <w:rPr>
          <w:lang w:val="en-AU"/>
        </w:rPr>
        <w:t xml:space="preserve">Table 2C below indicates whether a particular call type is 'eligible call' which counts towards the included International Value of </w:t>
      </w:r>
      <w:r>
        <w:rPr>
          <w:i/>
          <w:lang w:val="en-AU"/>
        </w:rPr>
        <w:t xml:space="preserve">your </w:t>
      </w:r>
      <w:r>
        <w:rPr>
          <w:lang w:val="en-AU"/>
        </w:rPr>
        <w:t>selected Timeless Max Plan.</w:t>
      </w:r>
    </w:p>
    <w:p w14:paraId="40D32DC5" w14:textId="77777777" w:rsidR="000D07EA" w:rsidRDefault="00BE7C89">
      <w:pPr>
        <w:pStyle w:val="BodyText"/>
        <w:ind w:left="1440"/>
        <w:rPr>
          <w:lang w:val="en-AU"/>
        </w:rPr>
      </w:pPr>
      <w:r>
        <w:rPr>
          <w:lang w:val="en-AU"/>
        </w:rPr>
        <w:lastRenderedPageBreak/>
        <w:t>Table 3A below contains pricing details of each Business Timeless Max Plan.</w:t>
      </w:r>
    </w:p>
    <w:p w14:paraId="008FB6D6" w14:textId="77777777" w:rsidR="000D07EA" w:rsidRDefault="00BE7C89">
      <w:pPr>
        <w:pStyle w:val="BodyText"/>
        <w:ind w:left="1440"/>
        <w:rPr>
          <w:b/>
          <w:lang w:val="en-AU"/>
        </w:rPr>
      </w:pPr>
      <w:r>
        <w:rPr>
          <w:b/>
          <w:lang w:val="en-AU"/>
        </w:rPr>
        <w:t>Table 1A – Eligible Calls</w:t>
      </w:r>
    </w:p>
    <w:tbl>
      <w:tblPr>
        <w:tblW w:w="4297"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428"/>
        <w:gridCol w:w="4328"/>
      </w:tblGrid>
      <w:tr w:rsidR="000D07EA" w14:paraId="39828CE0" w14:textId="77777777">
        <w:trPr>
          <w:tblHeader/>
        </w:trPr>
        <w:tc>
          <w:tcPr>
            <w:tcW w:w="4526" w:type="dxa"/>
          </w:tcPr>
          <w:p w14:paraId="2465E22C" w14:textId="77777777" w:rsidR="000D07EA" w:rsidRDefault="00BE7C89">
            <w:pPr>
              <w:pStyle w:val="BodyText"/>
              <w:spacing w:before="100" w:after="100"/>
              <w:rPr>
                <w:b/>
                <w:lang w:val="en-AU"/>
              </w:rPr>
            </w:pPr>
            <w:r>
              <w:rPr>
                <w:b/>
                <w:lang w:val="en-AU"/>
              </w:rPr>
              <w:t>Call Type</w:t>
            </w:r>
          </w:p>
        </w:tc>
        <w:tc>
          <w:tcPr>
            <w:tcW w:w="4436" w:type="dxa"/>
          </w:tcPr>
          <w:p w14:paraId="73A26ED3" w14:textId="77777777" w:rsidR="000D07EA" w:rsidRDefault="00BE7C89">
            <w:pPr>
              <w:pStyle w:val="BodyText"/>
              <w:spacing w:before="100" w:after="100"/>
              <w:rPr>
                <w:b/>
                <w:lang w:val="en-AU"/>
              </w:rPr>
            </w:pPr>
            <w:r>
              <w:rPr>
                <w:b/>
                <w:lang w:val="en-AU"/>
              </w:rPr>
              <w:t>Eligible Call</w:t>
            </w:r>
          </w:p>
        </w:tc>
      </w:tr>
      <w:tr w:rsidR="000D07EA" w14:paraId="74B07D1E" w14:textId="77777777">
        <w:tc>
          <w:tcPr>
            <w:tcW w:w="4526" w:type="dxa"/>
          </w:tcPr>
          <w:p w14:paraId="6063451D" w14:textId="77777777" w:rsidR="000D07EA" w:rsidRDefault="00BE7C89">
            <w:pPr>
              <w:pStyle w:val="BodyText"/>
              <w:spacing w:before="100" w:after="100"/>
              <w:rPr>
                <w:lang w:val="en-AU"/>
              </w:rPr>
            </w:pPr>
            <w:r>
              <w:rPr>
                <w:lang w:val="en-AU"/>
              </w:rPr>
              <w:t>Standard National Voice Calls</w:t>
            </w:r>
          </w:p>
        </w:tc>
        <w:tc>
          <w:tcPr>
            <w:tcW w:w="4436" w:type="dxa"/>
          </w:tcPr>
          <w:p w14:paraId="5B5F5E46" w14:textId="77777777" w:rsidR="000D07EA" w:rsidRDefault="00BE7C89">
            <w:pPr>
              <w:pStyle w:val="BodyText"/>
              <w:spacing w:before="100" w:after="100"/>
              <w:rPr>
                <w:lang w:val="en-AU"/>
              </w:rPr>
            </w:pPr>
            <w:r>
              <w:rPr>
                <w:lang w:val="en-AU"/>
              </w:rPr>
              <w:t>Yes</w:t>
            </w:r>
          </w:p>
        </w:tc>
      </w:tr>
      <w:tr w:rsidR="000D07EA" w14:paraId="74C3F58A" w14:textId="77777777">
        <w:tc>
          <w:tcPr>
            <w:tcW w:w="4526" w:type="dxa"/>
          </w:tcPr>
          <w:p w14:paraId="31BCD200" w14:textId="77777777" w:rsidR="000D07EA" w:rsidRDefault="00BE7C89">
            <w:pPr>
              <w:pStyle w:val="BodyText"/>
              <w:spacing w:before="100" w:after="100"/>
              <w:rPr>
                <w:lang w:val="en-AU"/>
              </w:rPr>
            </w:pPr>
            <w:r>
              <w:rPr>
                <w:lang w:val="en-AU"/>
              </w:rPr>
              <w:t>Standard National Video Calls</w:t>
            </w:r>
          </w:p>
        </w:tc>
        <w:tc>
          <w:tcPr>
            <w:tcW w:w="4436" w:type="dxa"/>
          </w:tcPr>
          <w:p w14:paraId="33D10545" w14:textId="77777777" w:rsidR="000D07EA" w:rsidRDefault="00BE7C89">
            <w:pPr>
              <w:pStyle w:val="BodyText"/>
              <w:spacing w:before="100" w:after="100"/>
              <w:rPr>
                <w:lang w:val="en-AU"/>
              </w:rPr>
            </w:pPr>
            <w:r>
              <w:rPr>
                <w:lang w:val="en-AU"/>
              </w:rPr>
              <w:t>Yes</w:t>
            </w:r>
          </w:p>
        </w:tc>
      </w:tr>
      <w:tr w:rsidR="000D07EA" w14:paraId="6AB9CF1C" w14:textId="77777777">
        <w:tc>
          <w:tcPr>
            <w:tcW w:w="4526" w:type="dxa"/>
          </w:tcPr>
          <w:p w14:paraId="1CAFA84B" w14:textId="77777777" w:rsidR="000D07EA" w:rsidRDefault="00BE7C89">
            <w:pPr>
              <w:pStyle w:val="BodyText"/>
              <w:keepNext/>
              <w:spacing w:before="100" w:after="100"/>
              <w:rPr>
                <w:lang w:val="en-AU"/>
              </w:rPr>
            </w:pPr>
            <w:r>
              <w:rPr>
                <w:lang w:val="en-AU"/>
              </w:rPr>
              <w:t>International Voice Calls</w:t>
            </w:r>
          </w:p>
          <w:p w14:paraId="19D81426" w14:textId="77777777" w:rsidR="000D07EA" w:rsidRDefault="00BE7C89">
            <w:pPr>
              <w:pStyle w:val="BodyText"/>
              <w:keepNext/>
              <w:spacing w:before="100" w:after="100"/>
              <w:rPr>
                <w:lang w:val="en-AU"/>
              </w:rPr>
            </w:pPr>
            <w:r>
              <w:rPr>
                <w:snapToGrid w:val="0"/>
                <w:lang w:val="en-AU"/>
              </w:rPr>
              <w:t>(includes calls to national fixed or GSM mobile services that then divert/switch or re-route overseas)</w:t>
            </w:r>
          </w:p>
        </w:tc>
        <w:tc>
          <w:tcPr>
            <w:tcW w:w="4436" w:type="dxa"/>
          </w:tcPr>
          <w:p w14:paraId="1189B38C" w14:textId="77777777" w:rsidR="000D07EA" w:rsidRDefault="00BE7C89">
            <w:pPr>
              <w:pStyle w:val="BodyText"/>
              <w:keepNext/>
              <w:spacing w:before="100" w:after="100"/>
              <w:rPr>
                <w:lang w:val="en-AU"/>
              </w:rPr>
            </w:pPr>
            <w:r>
              <w:rPr>
                <w:lang w:val="en-AU"/>
              </w:rPr>
              <w:t xml:space="preserve">No </w:t>
            </w:r>
          </w:p>
        </w:tc>
      </w:tr>
      <w:tr w:rsidR="000D07EA" w14:paraId="47CB3AB7" w14:textId="77777777">
        <w:tc>
          <w:tcPr>
            <w:tcW w:w="4526" w:type="dxa"/>
          </w:tcPr>
          <w:p w14:paraId="754B496C" w14:textId="77777777" w:rsidR="000D07EA" w:rsidRDefault="00BE7C89">
            <w:pPr>
              <w:pStyle w:val="BodyText"/>
              <w:spacing w:before="100" w:after="100"/>
              <w:rPr>
                <w:lang w:val="en-AU"/>
              </w:rPr>
            </w:pPr>
            <w:r>
              <w:rPr>
                <w:lang w:val="en-AU"/>
              </w:rPr>
              <w:t>International Video Calls</w:t>
            </w:r>
          </w:p>
          <w:p w14:paraId="644CB5C9" w14:textId="77777777" w:rsidR="000D07EA" w:rsidRDefault="00BE7C89">
            <w:pPr>
              <w:pStyle w:val="BodyText"/>
              <w:spacing w:before="100" w:after="100"/>
              <w:rPr>
                <w:lang w:val="en-AU"/>
              </w:rPr>
            </w:pPr>
            <w:r>
              <w:rPr>
                <w:snapToGrid w:val="0"/>
                <w:lang w:val="en-AU"/>
              </w:rPr>
              <w:t>(includes calls to national fixed or GSM mobile services that then divert/switch or re-route overseas)</w:t>
            </w:r>
          </w:p>
        </w:tc>
        <w:tc>
          <w:tcPr>
            <w:tcW w:w="4436" w:type="dxa"/>
          </w:tcPr>
          <w:p w14:paraId="6DE6BC1B" w14:textId="77777777" w:rsidR="000D07EA" w:rsidRDefault="00BE7C89">
            <w:pPr>
              <w:pStyle w:val="BodyText"/>
              <w:spacing w:before="100" w:after="100"/>
              <w:rPr>
                <w:lang w:val="en-AU"/>
              </w:rPr>
            </w:pPr>
            <w:r>
              <w:rPr>
                <w:lang w:val="en-AU"/>
              </w:rPr>
              <w:t>No</w:t>
            </w:r>
          </w:p>
        </w:tc>
      </w:tr>
      <w:tr w:rsidR="000D07EA" w14:paraId="3ED2CC61" w14:textId="77777777">
        <w:tc>
          <w:tcPr>
            <w:tcW w:w="4526" w:type="dxa"/>
          </w:tcPr>
          <w:p w14:paraId="5A984F54" w14:textId="77777777" w:rsidR="000D07EA" w:rsidRDefault="00BE7C89">
            <w:pPr>
              <w:pStyle w:val="BodyText"/>
              <w:spacing w:before="100" w:after="100"/>
              <w:rPr>
                <w:lang w:val="en-AU"/>
              </w:rPr>
            </w:pPr>
            <w:r>
              <w:rPr>
                <w:lang w:val="en-AU"/>
              </w:rPr>
              <w:t>Standard National SMS</w:t>
            </w:r>
          </w:p>
        </w:tc>
        <w:tc>
          <w:tcPr>
            <w:tcW w:w="4436" w:type="dxa"/>
          </w:tcPr>
          <w:p w14:paraId="202822FB" w14:textId="77777777" w:rsidR="000D07EA" w:rsidRDefault="00BE7C89">
            <w:pPr>
              <w:pStyle w:val="BodyText"/>
              <w:spacing w:before="100" w:after="100"/>
              <w:rPr>
                <w:lang w:val="en-AU"/>
              </w:rPr>
            </w:pPr>
            <w:r>
              <w:rPr>
                <w:lang w:val="en-AU"/>
              </w:rPr>
              <w:t xml:space="preserve">No, except where the Unlimited Text offer is selected for $99 and $115 Business Timeless Max, or the $129 Business Timeless Max plan is selected. </w:t>
            </w:r>
          </w:p>
        </w:tc>
      </w:tr>
      <w:tr w:rsidR="000D07EA" w14:paraId="070E9426" w14:textId="77777777">
        <w:tc>
          <w:tcPr>
            <w:tcW w:w="4526" w:type="dxa"/>
          </w:tcPr>
          <w:p w14:paraId="37F76CDF" w14:textId="77777777" w:rsidR="000D07EA" w:rsidRDefault="00BE7C89">
            <w:pPr>
              <w:pStyle w:val="BodyText"/>
              <w:spacing w:before="100" w:after="100"/>
              <w:rPr>
                <w:lang w:val="en-AU"/>
              </w:rPr>
            </w:pPr>
            <w:r>
              <w:rPr>
                <w:lang w:val="en-AU"/>
              </w:rPr>
              <w:t>International SMS</w:t>
            </w:r>
          </w:p>
        </w:tc>
        <w:tc>
          <w:tcPr>
            <w:tcW w:w="4436" w:type="dxa"/>
          </w:tcPr>
          <w:p w14:paraId="2A18735E" w14:textId="77777777" w:rsidR="000D07EA" w:rsidRDefault="00BE7C89">
            <w:pPr>
              <w:pStyle w:val="BodyText"/>
              <w:spacing w:before="100" w:after="100"/>
              <w:rPr>
                <w:lang w:val="en-AU"/>
              </w:rPr>
            </w:pPr>
            <w:r>
              <w:rPr>
                <w:lang w:val="en-AU"/>
              </w:rPr>
              <w:t>No</w:t>
            </w:r>
          </w:p>
        </w:tc>
      </w:tr>
      <w:tr w:rsidR="000D07EA" w14:paraId="2955C842" w14:textId="77777777">
        <w:tc>
          <w:tcPr>
            <w:tcW w:w="4526" w:type="dxa"/>
          </w:tcPr>
          <w:p w14:paraId="555635B8" w14:textId="77777777" w:rsidR="000D07EA" w:rsidRDefault="00BE7C89">
            <w:pPr>
              <w:pStyle w:val="BodyText"/>
              <w:spacing w:before="100" w:after="100"/>
              <w:rPr>
                <w:lang w:val="en-AU"/>
              </w:rPr>
            </w:pPr>
            <w:r>
              <w:rPr>
                <w:lang w:val="en-AU"/>
              </w:rPr>
              <w:t>Standard National MMS</w:t>
            </w:r>
          </w:p>
        </w:tc>
        <w:tc>
          <w:tcPr>
            <w:tcW w:w="4436" w:type="dxa"/>
          </w:tcPr>
          <w:p w14:paraId="6757AB5C" w14:textId="77777777" w:rsidR="000D07EA" w:rsidRDefault="00BE7C89">
            <w:pPr>
              <w:pStyle w:val="BodyText"/>
              <w:spacing w:before="100" w:after="100"/>
              <w:rPr>
                <w:lang w:val="en-AU"/>
              </w:rPr>
            </w:pPr>
            <w:r>
              <w:rPr>
                <w:lang w:val="en-AU"/>
              </w:rPr>
              <w:t>Yes</w:t>
            </w:r>
          </w:p>
        </w:tc>
      </w:tr>
      <w:tr w:rsidR="000D07EA" w14:paraId="6DB06F21" w14:textId="77777777">
        <w:tc>
          <w:tcPr>
            <w:tcW w:w="4526" w:type="dxa"/>
          </w:tcPr>
          <w:p w14:paraId="5AF04BAA" w14:textId="77777777" w:rsidR="000D07EA" w:rsidRDefault="00BE7C89">
            <w:pPr>
              <w:pStyle w:val="BodyText"/>
              <w:spacing w:before="100" w:after="100"/>
              <w:rPr>
                <w:lang w:val="en-AU"/>
              </w:rPr>
            </w:pPr>
            <w:r>
              <w:rPr>
                <w:lang w:val="en-AU"/>
              </w:rPr>
              <w:t>International MMS</w:t>
            </w:r>
          </w:p>
        </w:tc>
        <w:tc>
          <w:tcPr>
            <w:tcW w:w="4436" w:type="dxa"/>
          </w:tcPr>
          <w:p w14:paraId="4F93A1BB" w14:textId="77777777" w:rsidR="000D07EA" w:rsidRDefault="00BE7C89">
            <w:pPr>
              <w:pStyle w:val="BodyText"/>
              <w:spacing w:before="100" w:after="100"/>
              <w:rPr>
                <w:lang w:val="en-AU"/>
              </w:rPr>
            </w:pPr>
            <w:r>
              <w:rPr>
                <w:lang w:val="en-AU"/>
              </w:rPr>
              <w:t>No</w:t>
            </w:r>
          </w:p>
        </w:tc>
      </w:tr>
      <w:tr w:rsidR="000D07EA" w14:paraId="2A575D04" w14:textId="77777777">
        <w:tc>
          <w:tcPr>
            <w:tcW w:w="4526" w:type="dxa"/>
          </w:tcPr>
          <w:p w14:paraId="24A429EB" w14:textId="77777777" w:rsidR="000D07EA" w:rsidRDefault="00BE7C89">
            <w:pPr>
              <w:pStyle w:val="BodyText"/>
              <w:spacing w:before="100" w:after="100"/>
              <w:rPr>
                <w:lang w:val="en-AU"/>
              </w:rPr>
            </w:pPr>
            <w:r>
              <w:rPr>
                <w:lang w:val="en-AU"/>
              </w:rPr>
              <w:t>National Diversions</w:t>
            </w:r>
          </w:p>
        </w:tc>
        <w:tc>
          <w:tcPr>
            <w:tcW w:w="4436" w:type="dxa"/>
          </w:tcPr>
          <w:p w14:paraId="48E8E99F" w14:textId="77777777" w:rsidR="000D07EA" w:rsidRDefault="00BE7C89">
            <w:pPr>
              <w:pStyle w:val="BodyText"/>
              <w:spacing w:before="100" w:after="100"/>
              <w:rPr>
                <w:lang w:val="en-AU"/>
              </w:rPr>
            </w:pPr>
            <w:r>
              <w:rPr>
                <w:lang w:val="en-AU"/>
              </w:rPr>
              <w:t>Yes</w:t>
            </w:r>
          </w:p>
        </w:tc>
      </w:tr>
      <w:tr w:rsidR="000D07EA" w14:paraId="79C7B4CA" w14:textId="77777777">
        <w:tc>
          <w:tcPr>
            <w:tcW w:w="4526" w:type="dxa"/>
          </w:tcPr>
          <w:p w14:paraId="74983DA3" w14:textId="77777777" w:rsidR="000D07EA" w:rsidRDefault="00BE7C89">
            <w:pPr>
              <w:pStyle w:val="BodyText"/>
              <w:spacing w:before="100" w:after="100"/>
              <w:rPr>
                <w:lang w:val="en-AU"/>
              </w:rPr>
            </w:pPr>
            <w:r>
              <w:rPr>
                <w:lang w:val="en-AU"/>
              </w:rPr>
              <w:t>Voicemail Diversions</w:t>
            </w:r>
          </w:p>
        </w:tc>
        <w:tc>
          <w:tcPr>
            <w:tcW w:w="4436" w:type="dxa"/>
          </w:tcPr>
          <w:p w14:paraId="0F819898" w14:textId="77777777" w:rsidR="000D07EA" w:rsidRDefault="00BE7C89">
            <w:pPr>
              <w:pStyle w:val="BodyText"/>
              <w:spacing w:before="100" w:after="100"/>
              <w:rPr>
                <w:lang w:val="en-AU"/>
              </w:rPr>
            </w:pPr>
            <w:r>
              <w:rPr>
                <w:lang w:val="en-AU"/>
              </w:rPr>
              <w:t>Yes</w:t>
            </w:r>
          </w:p>
        </w:tc>
      </w:tr>
      <w:tr w:rsidR="000D07EA" w14:paraId="37C34E92" w14:textId="77777777">
        <w:tc>
          <w:tcPr>
            <w:tcW w:w="4526" w:type="dxa"/>
          </w:tcPr>
          <w:p w14:paraId="7D6FA4B6" w14:textId="77777777" w:rsidR="000D07EA" w:rsidRDefault="00BE7C89">
            <w:pPr>
              <w:pStyle w:val="BodyText"/>
              <w:spacing w:before="100" w:after="100"/>
              <w:rPr>
                <w:lang w:val="en-AU"/>
              </w:rPr>
            </w:pPr>
            <w:r>
              <w:rPr>
                <w:lang w:val="en-AU"/>
              </w:rPr>
              <w:t>Voicemail Deposit and Retrievals</w:t>
            </w:r>
          </w:p>
        </w:tc>
        <w:tc>
          <w:tcPr>
            <w:tcW w:w="4436" w:type="dxa"/>
          </w:tcPr>
          <w:p w14:paraId="3F0ED9B8" w14:textId="77777777" w:rsidR="000D07EA" w:rsidRDefault="00BE7C89">
            <w:pPr>
              <w:pStyle w:val="BodyText"/>
              <w:spacing w:before="100" w:after="100"/>
              <w:rPr>
                <w:lang w:val="en-AU"/>
              </w:rPr>
            </w:pPr>
            <w:r>
              <w:rPr>
                <w:lang w:val="en-AU"/>
              </w:rPr>
              <w:t>No, except where the Unlimited VoiceMail offer is selected for $99 and $115 Business Timeless Max, or the $129 Business Timeless Max plan is selected</w:t>
            </w:r>
          </w:p>
        </w:tc>
      </w:tr>
      <w:tr w:rsidR="000D07EA" w14:paraId="06D11EE6" w14:textId="77777777">
        <w:tc>
          <w:tcPr>
            <w:tcW w:w="4526" w:type="dxa"/>
          </w:tcPr>
          <w:p w14:paraId="5AAA1200" w14:textId="77777777" w:rsidR="000D07EA" w:rsidRDefault="00BE7C89">
            <w:pPr>
              <w:pStyle w:val="BodyText"/>
              <w:spacing w:before="100" w:after="100"/>
              <w:rPr>
                <w:lang w:val="en-AU"/>
              </w:rPr>
            </w:pPr>
            <w:r>
              <w:rPr>
                <w:lang w:val="en-AU"/>
              </w:rPr>
              <w:t>International Roaming and Diversion</w:t>
            </w:r>
          </w:p>
        </w:tc>
        <w:tc>
          <w:tcPr>
            <w:tcW w:w="4436" w:type="dxa"/>
          </w:tcPr>
          <w:p w14:paraId="49817778" w14:textId="77777777" w:rsidR="000D07EA" w:rsidRDefault="00BE7C89">
            <w:pPr>
              <w:pStyle w:val="BodyText"/>
              <w:spacing w:before="100" w:after="100"/>
              <w:rPr>
                <w:lang w:val="en-AU"/>
              </w:rPr>
            </w:pPr>
            <w:r>
              <w:rPr>
                <w:lang w:val="en-AU"/>
              </w:rPr>
              <w:t>No</w:t>
            </w:r>
          </w:p>
        </w:tc>
      </w:tr>
      <w:tr w:rsidR="000D07EA" w14:paraId="091EBCE8" w14:textId="77777777">
        <w:tc>
          <w:tcPr>
            <w:tcW w:w="4526" w:type="dxa"/>
          </w:tcPr>
          <w:p w14:paraId="1F9B0B0A" w14:textId="77777777" w:rsidR="000D07EA" w:rsidRDefault="00BE7C89">
            <w:pPr>
              <w:pStyle w:val="BodyText"/>
              <w:spacing w:before="100" w:after="100"/>
              <w:rPr>
                <w:lang w:val="en-AU"/>
              </w:rPr>
            </w:pPr>
            <w:r>
              <w:rPr>
                <w:lang w:val="en-AU"/>
              </w:rPr>
              <w:t>Premium SMS</w:t>
            </w:r>
          </w:p>
        </w:tc>
        <w:tc>
          <w:tcPr>
            <w:tcW w:w="4436" w:type="dxa"/>
          </w:tcPr>
          <w:p w14:paraId="1A033BED" w14:textId="77777777" w:rsidR="000D07EA" w:rsidRDefault="00BE7C89">
            <w:pPr>
              <w:pStyle w:val="BodyText"/>
              <w:spacing w:before="100" w:after="100"/>
              <w:rPr>
                <w:lang w:val="en-AU"/>
              </w:rPr>
            </w:pPr>
            <w:r>
              <w:rPr>
                <w:lang w:val="en-AU"/>
              </w:rPr>
              <w:t>No</w:t>
            </w:r>
          </w:p>
        </w:tc>
      </w:tr>
      <w:tr w:rsidR="000D07EA" w14:paraId="7BE7B0F8" w14:textId="77777777">
        <w:tc>
          <w:tcPr>
            <w:tcW w:w="4526" w:type="dxa"/>
          </w:tcPr>
          <w:p w14:paraId="7B41C088" w14:textId="77777777" w:rsidR="000D07EA" w:rsidRDefault="00BE7C89">
            <w:pPr>
              <w:pStyle w:val="BodyText"/>
              <w:spacing w:before="100" w:after="100"/>
              <w:rPr>
                <w:lang w:val="en-AU"/>
              </w:rPr>
            </w:pPr>
            <w:r>
              <w:rPr>
                <w:lang w:val="en-AU"/>
              </w:rPr>
              <w:t>Premium Video</w:t>
            </w:r>
          </w:p>
        </w:tc>
        <w:tc>
          <w:tcPr>
            <w:tcW w:w="4436" w:type="dxa"/>
          </w:tcPr>
          <w:p w14:paraId="248420B6" w14:textId="77777777" w:rsidR="000D07EA" w:rsidRDefault="00BE7C89">
            <w:pPr>
              <w:pStyle w:val="BodyText"/>
              <w:spacing w:before="100" w:after="100"/>
              <w:rPr>
                <w:lang w:val="en-AU"/>
              </w:rPr>
            </w:pPr>
            <w:r>
              <w:rPr>
                <w:lang w:val="en-AU"/>
              </w:rPr>
              <w:t>No</w:t>
            </w:r>
          </w:p>
        </w:tc>
      </w:tr>
      <w:tr w:rsidR="000D07EA" w14:paraId="6F017A93" w14:textId="77777777">
        <w:tc>
          <w:tcPr>
            <w:tcW w:w="4526" w:type="dxa"/>
          </w:tcPr>
          <w:p w14:paraId="027D058C" w14:textId="77777777" w:rsidR="000D07EA" w:rsidRDefault="00BE7C89">
            <w:pPr>
              <w:pStyle w:val="BodyText"/>
              <w:spacing w:before="100" w:after="100"/>
              <w:rPr>
                <w:lang w:val="en-AU"/>
              </w:rPr>
            </w:pPr>
            <w:r>
              <w:rPr>
                <w:lang w:val="en-AU"/>
              </w:rPr>
              <w:t>Video Conferencing</w:t>
            </w:r>
          </w:p>
        </w:tc>
        <w:tc>
          <w:tcPr>
            <w:tcW w:w="4436" w:type="dxa"/>
          </w:tcPr>
          <w:p w14:paraId="114A6B42" w14:textId="77777777" w:rsidR="000D07EA" w:rsidRDefault="00BE7C89">
            <w:pPr>
              <w:pStyle w:val="BodyText"/>
              <w:spacing w:before="100" w:after="100"/>
              <w:rPr>
                <w:lang w:val="en-AU"/>
              </w:rPr>
            </w:pPr>
            <w:r>
              <w:rPr>
                <w:lang w:val="en-AU"/>
              </w:rPr>
              <w:t>No</w:t>
            </w:r>
          </w:p>
        </w:tc>
      </w:tr>
      <w:tr w:rsidR="000D07EA" w14:paraId="2B316374" w14:textId="77777777">
        <w:tc>
          <w:tcPr>
            <w:tcW w:w="4526" w:type="dxa"/>
          </w:tcPr>
          <w:p w14:paraId="26C841B4" w14:textId="77777777" w:rsidR="000D07EA" w:rsidRDefault="00BE7C89">
            <w:pPr>
              <w:pStyle w:val="BodyText"/>
              <w:spacing w:before="100" w:after="100"/>
              <w:rPr>
                <w:lang w:val="en-AU"/>
              </w:rPr>
            </w:pPr>
            <w:r>
              <w:rPr>
                <w:lang w:val="en-AU"/>
              </w:rPr>
              <w:t>Optus Zoo or Optus iZoo Browsing</w:t>
            </w:r>
          </w:p>
        </w:tc>
        <w:tc>
          <w:tcPr>
            <w:tcW w:w="4436" w:type="dxa"/>
          </w:tcPr>
          <w:p w14:paraId="6B8D6A3C" w14:textId="77777777" w:rsidR="000D07EA" w:rsidRDefault="00BE7C89">
            <w:pPr>
              <w:pStyle w:val="BodyText"/>
              <w:spacing w:before="100" w:after="100"/>
              <w:rPr>
                <w:lang w:val="en-AU"/>
              </w:rPr>
            </w:pPr>
            <w:r>
              <w:rPr>
                <w:lang w:val="en-AU"/>
              </w:rPr>
              <w:t>No</w:t>
            </w:r>
          </w:p>
        </w:tc>
      </w:tr>
      <w:tr w:rsidR="000D07EA" w14:paraId="4E1E3220" w14:textId="77777777">
        <w:tc>
          <w:tcPr>
            <w:tcW w:w="4526" w:type="dxa"/>
          </w:tcPr>
          <w:p w14:paraId="20C12319" w14:textId="77777777" w:rsidR="000D07EA" w:rsidRDefault="00BE7C89">
            <w:pPr>
              <w:pStyle w:val="BodyText"/>
              <w:spacing w:before="100" w:after="100"/>
              <w:rPr>
                <w:lang w:val="en-AU"/>
              </w:rPr>
            </w:pPr>
            <w:r>
              <w:rPr>
                <w:lang w:val="en-AU"/>
              </w:rPr>
              <w:t>Optus Zoo or Optus iZoo Downloads</w:t>
            </w:r>
          </w:p>
        </w:tc>
        <w:tc>
          <w:tcPr>
            <w:tcW w:w="4436" w:type="dxa"/>
          </w:tcPr>
          <w:p w14:paraId="2C6C3446" w14:textId="77777777" w:rsidR="000D07EA" w:rsidRDefault="00BE7C89">
            <w:pPr>
              <w:pStyle w:val="BodyText"/>
              <w:spacing w:before="100" w:after="100"/>
              <w:rPr>
                <w:lang w:val="en-AU"/>
              </w:rPr>
            </w:pPr>
            <w:r>
              <w:rPr>
                <w:lang w:val="en-AU"/>
              </w:rPr>
              <w:t>No</w:t>
            </w:r>
          </w:p>
        </w:tc>
      </w:tr>
      <w:tr w:rsidR="000D07EA" w14:paraId="7E931348" w14:textId="77777777">
        <w:tc>
          <w:tcPr>
            <w:tcW w:w="4526" w:type="dxa"/>
          </w:tcPr>
          <w:p w14:paraId="7775E783" w14:textId="77777777" w:rsidR="000D07EA" w:rsidRDefault="00BE7C89">
            <w:pPr>
              <w:pStyle w:val="BodyText"/>
              <w:spacing w:before="100" w:after="100"/>
              <w:rPr>
                <w:lang w:val="en-AU"/>
              </w:rPr>
            </w:pPr>
            <w:r>
              <w:rPr>
                <w:lang w:val="en-AU"/>
              </w:rPr>
              <w:t>SMS to 966 (Zoo)</w:t>
            </w:r>
          </w:p>
        </w:tc>
        <w:tc>
          <w:tcPr>
            <w:tcW w:w="4436" w:type="dxa"/>
          </w:tcPr>
          <w:p w14:paraId="013F9065" w14:textId="77777777" w:rsidR="000D07EA" w:rsidRDefault="00BE7C89">
            <w:pPr>
              <w:pStyle w:val="BodyText"/>
              <w:spacing w:before="100" w:after="100"/>
              <w:rPr>
                <w:lang w:val="en-AU"/>
              </w:rPr>
            </w:pPr>
            <w:r>
              <w:rPr>
                <w:lang w:val="en-AU"/>
              </w:rPr>
              <w:t>No</w:t>
            </w:r>
          </w:p>
        </w:tc>
      </w:tr>
      <w:tr w:rsidR="000D07EA" w14:paraId="00EB4B81" w14:textId="77777777">
        <w:tc>
          <w:tcPr>
            <w:tcW w:w="4526" w:type="dxa"/>
          </w:tcPr>
          <w:p w14:paraId="6B57B1E2" w14:textId="77777777" w:rsidR="000D07EA" w:rsidRDefault="00BE7C89">
            <w:pPr>
              <w:pStyle w:val="BodyText"/>
              <w:spacing w:before="100" w:after="100"/>
              <w:rPr>
                <w:lang w:val="en-AU"/>
              </w:rPr>
            </w:pPr>
            <w:r>
              <w:rPr>
                <w:lang w:val="en-AU"/>
              </w:rPr>
              <w:t>Mobile Internet usage</w:t>
            </w:r>
          </w:p>
        </w:tc>
        <w:tc>
          <w:tcPr>
            <w:tcW w:w="4436" w:type="dxa"/>
          </w:tcPr>
          <w:p w14:paraId="1E5012BB" w14:textId="77777777" w:rsidR="000D07EA" w:rsidRDefault="00BE7C89">
            <w:pPr>
              <w:pStyle w:val="BodyText"/>
              <w:spacing w:before="100" w:after="100"/>
              <w:rPr>
                <w:lang w:val="en-AU"/>
              </w:rPr>
            </w:pPr>
            <w:r>
              <w:rPr>
                <w:lang w:val="en-AU"/>
              </w:rPr>
              <w:t>No</w:t>
            </w:r>
          </w:p>
        </w:tc>
      </w:tr>
      <w:tr w:rsidR="000D07EA" w14:paraId="072C7604" w14:textId="77777777">
        <w:tc>
          <w:tcPr>
            <w:tcW w:w="4526" w:type="dxa"/>
          </w:tcPr>
          <w:p w14:paraId="5DBC56D9" w14:textId="77777777" w:rsidR="000D07EA" w:rsidRDefault="00BE7C89">
            <w:pPr>
              <w:pStyle w:val="BodyText"/>
              <w:spacing w:before="100" w:after="100"/>
              <w:rPr>
                <w:lang w:val="en-AU"/>
              </w:rPr>
            </w:pPr>
            <w:r>
              <w:rPr>
                <w:lang w:val="en-AU"/>
              </w:rPr>
              <w:t>Data Used while Roaming Internationally</w:t>
            </w:r>
          </w:p>
        </w:tc>
        <w:tc>
          <w:tcPr>
            <w:tcW w:w="4436" w:type="dxa"/>
          </w:tcPr>
          <w:p w14:paraId="1D5CAB83" w14:textId="77777777" w:rsidR="000D07EA" w:rsidRDefault="00BE7C89">
            <w:pPr>
              <w:pStyle w:val="BodyText"/>
              <w:spacing w:before="100" w:after="100"/>
              <w:rPr>
                <w:lang w:val="en-AU"/>
              </w:rPr>
            </w:pPr>
            <w:r>
              <w:rPr>
                <w:lang w:val="en-AU"/>
              </w:rPr>
              <w:t>No</w:t>
            </w:r>
          </w:p>
        </w:tc>
      </w:tr>
      <w:tr w:rsidR="000D07EA" w14:paraId="007BED35" w14:textId="77777777">
        <w:tc>
          <w:tcPr>
            <w:tcW w:w="4526" w:type="dxa"/>
          </w:tcPr>
          <w:p w14:paraId="4FB83E7C" w14:textId="77777777" w:rsidR="000D07EA" w:rsidRDefault="00BE7C89">
            <w:pPr>
              <w:pStyle w:val="BodyText"/>
              <w:spacing w:before="100" w:after="100"/>
              <w:rPr>
                <w:lang w:val="en-AU"/>
              </w:rPr>
            </w:pPr>
            <w:r>
              <w:rPr>
                <w:lang w:val="en-AU"/>
              </w:rPr>
              <w:t>Content Packs (unless specified in promotions)</w:t>
            </w:r>
          </w:p>
        </w:tc>
        <w:tc>
          <w:tcPr>
            <w:tcW w:w="4436" w:type="dxa"/>
          </w:tcPr>
          <w:p w14:paraId="6A41FC60" w14:textId="77777777" w:rsidR="000D07EA" w:rsidRDefault="00BE7C89">
            <w:pPr>
              <w:pStyle w:val="BodyText"/>
              <w:spacing w:before="100" w:after="100"/>
              <w:rPr>
                <w:lang w:val="en-AU"/>
              </w:rPr>
            </w:pPr>
            <w:r>
              <w:rPr>
                <w:lang w:val="en-AU"/>
              </w:rPr>
              <w:t>No</w:t>
            </w:r>
          </w:p>
        </w:tc>
      </w:tr>
      <w:tr w:rsidR="000D07EA" w14:paraId="5668BD6C" w14:textId="77777777">
        <w:tc>
          <w:tcPr>
            <w:tcW w:w="4526" w:type="dxa"/>
          </w:tcPr>
          <w:p w14:paraId="2D47C72C" w14:textId="77777777" w:rsidR="000D07EA" w:rsidRDefault="00BE7C89">
            <w:pPr>
              <w:pStyle w:val="BodyText"/>
              <w:spacing w:before="100" w:after="100"/>
              <w:rPr>
                <w:lang w:val="en-AU"/>
              </w:rPr>
            </w:pPr>
            <w:r>
              <w:rPr>
                <w:lang w:val="en-AU"/>
              </w:rPr>
              <w:t>TrueLocal Usage</w:t>
            </w:r>
          </w:p>
        </w:tc>
        <w:tc>
          <w:tcPr>
            <w:tcW w:w="4436" w:type="dxa"/>
          </w:tcPr>
          <w:p w14:paraId="35B0B050" w14:textId="77777777" w:rsidR="000D07EA" w:rsidRDefault="00BE7C89">
            <w:pPr>
              <w:pStyle w:val="BodyText"/>
              <w:spacing w:before="100" w:after="100"/>
              <w:rPr>
                <w:lang w:val="en-AU"/>
              </w:rPr>
            </w:pPr>
            <w:r>
              <w:rPr>
                <w:lang w:val="en-AU"/>
              </w:rPr>
              <w:t>No</w:t>
            </w:r>
          </w:p>
        </w:tc>
      </w:tr>
      <w:tr w:rsidR="000D07EA" w14:paraId="7BF02967" w14:textId="77777777">
        <w:tc>
          <w:tcPr>
            <w:tcW w:w="4526" w:type="dxa"/>
          </w:tcPr>
          <w:p w14:paraId="0B37BDFE" w14:textId="77777777" w:rsidR="000D07EA" w:rsidRDefault="00BE7C89">
            <w:pPr>
              <w:pStyle w:val="BodyText"/>
              <w:spacing w:before="100" w:after="100"/>
              <w:rPr>
                <w:lang w:val="en-AU"/>
              </w:rPr>
            </w:pPr>
            <w:r>
              <w:rPr>
                <w:lang w:val="en-AU"/>
              </w:rPr>
              <w:lastRenderedPageBreak/>
              <w:t xml:space="preserve">Directory Assistance- 1223 </w:t>
            </w:r>
          </w:p>
        </w:tc>
        <w:tc>
          <w:tcPr>
            <w:tcW w:w="4436" w:type="dxa"/>
          </w:tcPr>
          <w:p w14:paraId="74806002" w14:textId="77777777" w:rsidR="000D07EA" w:rsidRDefault="00BE7C89">
            <w:pPr>
              <w:pStyle w:val="BodyText"/>
              <w:spacing w:before="100" w:after="100"/>
              <w:rPr>
                <w:lang w:val="en-AU"/>
              </w:rPr>
            </w:pPr>
            <w:r>
              <w:rPr>
                <w:lang w:val="en-AU"/>
              </w:rPr>
              <w:t>No</w:t>
            </w:r>
          </w:p>
        </w:tc>
      </w:tr>
      <w:tr w:rsidR="000D07EA" w14:paraId="7A223296" w14:textId="77777777">
        <w:tc>
          <w:tcPr>
            <w:tcW w:w="4526" w:type="dxa"/>
          </w:tcPr>
          <w:p w14:paraId="47715E36" w14:textId="77777777" w:rsidR="000D07EA" w:rsidRDefault="00BE7C89">
            <w:pPr>
              <w:pStyle w:val="BodyText"/>
              <w:spacing w:before="100" w:after="100"/>
              <w:rPr>
                <w:lang w:val="en-AU"/>
              </w:rPr>
            </w:pPr>
            <w:r>
              <w:rPr>
                <w:lang w:val="en-AU"/>
              </w:rPr>
              <w:t>19XX Numbers</w:t>
            </w:r>
          </w:p>
        </w:tc>
        <w:tc>
          <w:tcPr>
            <w:tcW w:w="4436" w:type="dxa"/>
          </w:tcPr>
          <w:p w14:paraId="633818F4" w14:textId="77777777" w:rsidR="000D07EA" w:rsidRDefault="00BE7C89">
            <w:pPr>
              <w:pStyle w:val="BodyText"/>
              <w:spacing w:before="100" w:after="100"/>
              <w:rPr>
                <w:lang w:val="en-AU"/>
              </w:rPr>
            </w:pPr>
            <w:r>
              <w:rPr>
                <w:lang w:val="en-AU"/>
              </w:rPr>
              <w:t>No</w:t>
            </w:r>
          </w:p>
        </w:tc>
      </w:tr>
      <w:tr w:rsidR="000D07EA" w14:paraId="58433B77" w14:textId="77777777">
        <w:tc>
          <w:tcPr>
            <w:tcW w:w="4526" w:type="dxa"/>
          </w:tcPr>
          <w:p w14:paraId="0CFB9E8E" w14:textId="77777777" w:rsidR="000D07EA" w:rsidRDefault="00BE7C89">
            <w:pPr>
              <w:pStyle w:val="BodyText"/>
              <w:spacing w:before="100" w:after="100"/>
              <w:rPr>
                <w:lang w:val="en-AU"/>
              </w:rPr>
            </w:pPr>
            <w:r>
              <w:rPr>
                <w:lang w:val="en-AU"/>
              </w:rPr>
              <w:t>1800, 13 and 1300 numbers</w:t>
            </w:r>
          </w:p>
        </w:tc>
        <w:tc>
          <w:tcPr>
            <w:tcW w:w="4436" w:type="dxa"/>
          </w:tcPr>
          <w:p w14:paraId="2BFE5D04" w14:textId="77777777" w:rsidR="000D07EA" w:rsidRDefault="00BE7C89">
            <w:pPr>
              <w:pStyle w:val="BodyText"/>
              <w:spacing w:before="100" w:after="100"/>
              <w:rPr>
                <w:lang w:val="en-AU"/>
              </w:rPr>
            </w:pPr>
            <w:r>
              <w:rPr>
                <w:lang w:val="en-AU"/>
              </w:rPr>
              <w:t>No</w:t>
            </w:r>
          </w:p>
        </w:tc>
      </w:tr>
      <w:tr w:rsidR="000D07EA" w14:paraId="28218ED6" w14:textId="77777777">
        <w:tc>
          <w:tcPr>
            <w:tcW w:w="4526" w:type="dxa"/>
          </w:tcPr>
          <w:p w14:paraId="264D3C58" w14:textId="77777777" w:rsidR="000D07EA" w:rsidRDefault="00BE7C89">
            <w:pPr>
              <w:pStyle w:val="BodyText"/>
              <w:spacing w:before="100" w:after="100"/>
              <w:rPr>
                <w:lang w:val="en-AU"/>
              </w:rPr>
            </w:pPr>
            <w:r>
              <w:rPr>
                <w:lang w:val="en-AU"/>
              </w:rPr>
              <w:t>124YES(937)</w:t>
            </w:r>
          </w:p>
        </w:tc>
        <w:tc>
          <w:tcPr>
            <w:tcW w:w="4436" w:type="dxa"/>
          </w:tcPr>
          <w:p w14:paraId="7C10B5F6" w14:textId="77777777" w:rsidR="000D07EA" w:rsidRDefault="00BE7C89">
            <w:pPr>
              <w:pStyle w:val="BodyText"/>
              <w:spacing w:before="100" w:after="100"/>
              <w:rPr>
                <w:lang w:val="en-AU"/>
              </w:rPr>
            </w:pPr>
            <w:r>
              <w:rPr>
                <w:lang w:val="en-AU"/>
              </w:rPr>
              <w:t>No</w:t>
            </w:r>
          </w:p>
        </w:tc>
      </w:tr>
      <w:tr w:rsidR="000D07EA" w14:paraId="26BA03C3" w14:textId="77777777">
        <w:tc>
          <w:tcPr>
            <w:tcW w:w="4526" w:type="dxa"/>
          </w:tcPr>
          <w:p w14:paraId="2A7173F2" w14:textId="77777777" w:rsidR="000D07EA" w:rsidRDefault="00BE7C89">
            <w:pPr>
              <w:pStyle w:val="BodyText"/>
              <w:spacing w:before="100" w:after="100"/>
              <w:rPr>
                <w:lang w:val="en-AU"/>
              </w:rPr>
            </w:pPr>
            <w:r>
              <w:rPr>
                <w:lang w:val="en-AU"/>
              </w:rPr>
              <w:t>Insurance</w:t>
            </w:r>
          </w:p>
        </w:tc>
        <w:tc>
          <w:tcPr>
            <w:tcW w:w="4436" w:type="dxa"/>
          </w:tcPr>
          <w:p w14:paraId="5D79DA56" w14:textId="77777777" w:rsidR="000D07EA" w:rsidRDefault="00BE7C89">
            <w:pPr>
              <w:pStyle w:val="BodyText"/>
              <w:spacing w:before="100" w:after="100"/>
              <w:rPr>
                <w:lang w:val="en-AU"/>
              </w:rPr>
            </w:pPr>
            <w:r>
              <w:rPr>
                <w:lang w:val="en-AU"/>
              </w:rPr>
              <w:t>No</w:t>
            </w:r>
          </w:p>
        </w:tc>
      </w:tr>
      <w:tr w:rsidR="000D07EA" w14:paraId="732CC6F9" w14:textId="77777777">
        <w:tc>
          <w:tcPr>
            <w:tcW w:w="4526" w:type="dxa"/>
          </w:tcPr>
          <w:p w14:paraId="492F269B" w14:textId="77777777" w:rsidR="000D07EA" w:rsidRDefault="00BE7C89">
            <w:pPr>
              <w:pStyle w:val="BodyText"/>
              <w:spacing w:before="100" w:after="100"/>
              <w:rPr>
                <w:lang w:val="en-AU"/>
              </w:rPr>
            </w:pPr>
            <w:r>
              <w:rPr>
                <w:lang w:val="en-AU"/>
              </w:rPr>
              <w:t>Handset Payments</w:t>
            </w:r>
          </w:p>
        </w:tc>
        <w:tc>
          <w:tcPr>
            <w:tcW w:w="4436" w:type="dxa"/>
          </w:tcPr>
          <w:p w14:paraId="30E8EF30" w14:textId="77777777" w:rsidR="000D07EA" w:rsidRDefault="00BE7C89">
            <w:pPr>
              <w:pStyle w:val="BodyText"/>
              <w:spacing w:before="100" w:after="100"/>
              <w:rPr>
                <w:lang w:val="en-AU"/>
              </w:rPr>
            </w:pPr>
            <w:r>
              <w:rPr>
                <w:lang w:val="en-AU"/>
              </w:rPr>
              <w:t>No</w:t>
            </w:r>
          </w:p>
        </w:tc>
      </w:tr>
      <w:tr w:rsidR="000D07EA" w14:paraId="2A877BCC" w14:textId="77777777">
        <w:tc>
          <w:tcPr>
            <w:tcW w:w="4526" w:type="dxa"/>
          </w:tcPr>
          <w:p w14:paraId="17DA23B0" w14:textId="77777777" w:rsidR="000D07EA" w:rsidRDefault="00BE7C89">
            <w:pPr>
              <w:pStyle w:val="BodyText"/>
              <w:spacing w:before="100" w:after="100"/>
              <w:rPr>
                <w:lang w:val="en-AU"/>
              </w:rPr>
            </w:pPr>
            <w:r>
              <w:rPr>
                <w:lang w:val="en-AU"/>
              </w:rPr>
              <w:t>Calls to Satellite</w:t>
            </w:r>
          </w:p>
        </w:tc>
        <w:tc>
          <w:tcPr>
            <w:tcW w:w="4436" w:type="dxa"/>
          </w:tcPr>
          <w:p w14:paraId="2697D9B3" w14:textId="77777777" w:rsidR="000D07EA" w:rsidRDefault="00BE7C89">
            <w:pPr>
              <w:pStyle w:val="BodyText"/>
              <w:spacing w:before="100" w:after="100"/>
              <w:rPr>
                <w:lang w:val="en-AU"/>
              </w:rPr>
            </w:pPr>
            <w:r>
              <w:rPr>
                <w:lang w:val="en-AU"/>
              </w:rPr>
              <w:t>No</w:t>
            </w:r>
          </w:p>
        </w:tc>
      </w:tr>
      <w:tr w:rsidR="000D07EA" w14:paraId="6F1CD482" w14:textId="77777777">
        <w:tc>
          <w:tcPr>
            <w:tcW w:w="4526" w:type="dxa"/>
          </w:tcPr>
          <w:p w14:paraId="2AA51DCC" w14:textId="77777777" w:rsidR="000D07EA" w:rsidRDefault="00BE7C89">
            <w:pPr>
              <w:pStyle w:val="BodyText"/>
              <w:spacing w:before="100" w:after="100"/>
              <w:rPr>
                <w:lang w:val="en-AU"/>
              </w:rPr>
            </w:pPr>
            <w:r>
              <w:rPr>
                <w:lang w:val="en-AU"/>
              </w:rPr>
              <w:t>VOIP services</w:t>
            </w:r>
          </w:p>
        </w:tc>
        <w:tc>
          <w:tcPr>
            <w:tcW w:w="4436" w:type="dxa"/>
          </w:tcPr>
          <w:p w14:paraId="1B74E90A" w14:textId="77777777" w:rsidR="000D07EA" w:rsidRDefault="00BE7C89">
            <w:pPr>
              <w:pStyle w:val="BodyText"/>
              <w:spacing w:before="100" w:after="100"/>
              <w:rPr>
                <w:lang w:val="en-AU"/>
              </w:rPr>
            </w:pPr>
            <w:r>
              <w:rPr>
                <w:lang w:val="en-AU"/>
              </w:rPr>
              <w:t>No</w:t>
            </w:r>
          </w:p>
        </w:tc>
      </w:tr>
    </w:tbl>
    <w:p w14:paraId="4011820D" w14:textId="77777777" w:rsidR="000D07EA" w:rsidRDefault="000D07EA">
      <w:pPr>
        <w:pStyle w:val="BodyText"/>
        <w:rPr>
          <w:lang w:val="en-AU"/>
        </w:rPr>
      </w:pPr>
    </w:p>
    <w:p w14:paraId="7AB70C41" w14:textId="77777777" w:rsidR="000D07EA" w:rsidRDefault="00BE7C89">
      <w:pPr>
        <w:pStyle w:val="BodyText"/>
        <w:ind w:left="1440"/>
        <w:rPr>
          <w:b/>
          <w:lang w:val="en-AU"/>
        </w:rPr>
      </w:pPr>
      <w:r>
        <w:rPr>
          <w:b/>
          <w:lang w:val="en-AU"/>
        </w:rPr>
        <w:t>Table 2A – Eligible for the Included Mobile Internet Data</w:t>
      </w:r>
    </w:p>
    <w:tbl>
      <w:tblPr>
        <w:tblW w:w="4297" w:type="pct"/>
        <w:tblInd w:w="1465" w:type="dxa"/>
        <w:tblBorders>
          <w:top w:val="single" w:sz="4" w:space="0" w:color="auto"/>
          <w:left w:val="single" w:sz="4" w:space="0" w:color="auto"/>
          <w:bottom w:val="single" w:sz="6" w:space="0" w:color="auto"/>
          <w:right w:val="single" w:sz="6" w:space="0" w:color="auto"/>
          <w:insideH w:val="single" w:sz="6" w:space="0" w:color="auto"/>
          <w:insideV w:val="single" w:sz="6" w:space="0" w:color="auto"/>
        </w:tblBorders>
        <w:tblCellMar>
          <w:left w:w="115" w:type="dxa"/>
          <w:right w:w="115" w:type="dxa"/>
        </w:tblCellMar>
        <w:tblLook w:val="0000" w:firstRow="0" w:lastRow="0" w:firstColumn="0" w:lastColumn="0" w:noHBand="0" w:noVBand="0"/>
      </w:tblPr>
      <w:tblGrid>
        <w:gridCol w:w="4420"/>
        <w:gridCol w:w="4333"/>
      </w:tblGrid>
      <w:tr w:rsidR="000D07EA" w14:paraId="5C3E6B90" w14:textId="77777777">
        <w:trPr>
          <w:tblHeader/>
        </w:trPr>
        <w:tc>
          <w:tcPr>
            <w:tcW w:w="2525" w:type="pct"/>
          </w:tcPr>
          <w:p w14:paraId="5B5E0A27" w14:textId="77777777" w:rsidR="000D07EA" w:rsidRDefault="00BE7C89">
            <w:pPr>
              <w:pStyle w:val="BodyText"/>
              <w:spacing w:before="100" w:after="100"/>
              <w:rPr>
                <w:b/>
                <w:lang w:val="en-AU"/>
              </w:rPr>
            </w:pPr>
            <w:r>
              <w:rPr>
                <w:b/>
                <w:lang w:val="en-AU"/>
              </w:rPr>
              <w:t>Call Type</w:t>
            </w:r>
          </w:p>
        </w:tc>
        <w:tc>
          <w:tcPr>
            <w:tcW w:w="2475" w:type="pct"/>
          </w:tcPr>
          <w:p w14:paraId="41B873C7" w14:textId="77777777" w:rsidR="000D07EA" w:rsidRDefault="00BE7C89">
            <w:pPr>
              <w:pStyle w:val="BodyText"/>
              <w:spacing w:before="100" w:after="100"/>
              <w:rPr>
                <w:b/>
                <w:lang w:val="en-AU"/>
              </w:rPr>
            </w:pPr>
            <w:r>
              <w:rPr>
                <w:b/>
                <w:lang w:val="en-AU"/>
              </w:rPr>
              <w:t>Eligible Data</w:t>
            </w:r>
          </w:p>
        </w:tc>
      </w:tr>
      <w:tr w:rsidR="000D07EA" w14:paraId="1D4266CA" w14:textId="77777777">
        <w:tc>
          <w:tcPr>
            <w:tcW w:w="2525" w:type="pct"/>
          </w:tcPr>
          <w:p w14:paraId="61B15E15" w14:textId="77777777" w:rsidR="000D07EA" w:rsidRDefault="00BE7C89">
            <w:pPr>
              <w:pStyle w:val="BodyText"/>
              <w:spacing w:before="100" w:after="100"/>
              <w:rPr>
                <w:lang w:val="en-AU"/>
              </w:rPr>
            </w:pPr>
            <w:r>
              <w:rPr>
                <w:lang w:val="en-AU"/>
              </w:rPr>
              <w:t>National Voice Calls</w:t>
            </w:r>
          </w:p>
        </w:tc>
        <w:tc>
          <w:tcPr>
            <w:tcW w:w="2475" w:type="pct"/>
          </w:tcPr>
          <w:p w14:paraId="6C73459C" w14:textId="77777777" w:rsidR="000D07EA" w:rsidRDefault="00BE7C89">
            <w:pPr>
              <w:pStyle w:val="BodyText"/>
              <w:spacing w:before="100" w:after="100"/>
              <w:rPr>
                <w:lang w:val="en-AU"/>
              </w:rPr>
            </w:pPr>
            <w:r>
              <w:rPr>
                <w:lang w:val="en-AU"/>
              </w:rPr>
              <w:t>No</w:t>
            </w:r>
          </w:p>
        </w:tc>
      </w:tr>
      <w:tr w:rsidR="000D07EA" w14:paraId="333880DC" w14:textId="77777777">
        <w:tc>
          <w:tcPr>
            <w:tcW w:w="2525" w:type="pct"/>
          </w:tcPr>
          <w:p w14:paraId="176E0344" w14:textId="77777777" w:rsidR="000D07EA" w:rsidRDefault="00BE7C89">
            <w:pPr>
              <w:pStyle w:val="BodyText"/>
              <w:spacing w:before="100" w:after="100"/>
              <w:rPr>
                <w:lang w:val="en-AU"/>
              </w:rPr>
            </w:pPr>
            <w:r>
              <w:rPr>
                <w:lang w:val="en-AU"/>
              </w:rPr>
              <w:t>National Video Calls</w:t>
            </w:r>
          </w:p>
        </w:tc>
        <w:tc>
          <w:tcPr>
            <w:tcW w:w="2475" w:type="pct"/>
          </w:tcPr>
          <w:p w14:paraId="727FFDCC" w14:textId="77777777" w:rsidR="000D07EA" w:rsidRDefault="00BE7C89">
            <w:pPr>
              <w:pStyle w:val="BodyText"/>
              <w:spacing w:before="100" w:after="100"/>
              <w:rPr>
                <w:lang w:val="en-AU"/>
              </w:rPr>
            </w:pPr>
            <w:r>
              <w:rPr>
                <w:lang w:val="en-AU"/>
              </w:rPr>
              <w:t>No</w:t>
            </w:r>
          </w:p>
        </w:tc>
      </w:tr>
      <w:tr w:rsidR="000D07EA" w14:paraId="2AD8BC85" w14:textId="77777777">
        <w:tc>
          <w:tcPr>
            <w:tcW w:w="2525" w:type="pct"/>
          </w:tcPr>
          <w:p w14:paraId="19B4343E" w14:textId="77777777" w:rsidR="000D07EA" w:rsidRDefault="00BE7C89">
            <w:pPr>
              <w:pStyle w:val="BodyText"/>
              <w:keepNext/>
              <w:spacing w:before="100" w:after="100"/>
              <w:rPr>
                <w:lang w:val="en-AU"/>
              </w:rPr>
            </w:pPr>
            <w:r>
              <w:rPr>
                <w:lang w:val="en-AU"/>
              </w:rPr>
              <w:t>International Voice Calls</w:t>
            </w:r>
          </w:p>
          <w:p w14:paraId="3144EA78" w14:textId="77777777" w:rsidR="000D07EA" w:rsidRDefault="00BE7C89">
            <w:pPr>
              <w:pStyle w:val="BodyText"/>
              <w:keepNext/>
              <w:spacing w:before="100" w:after="100"/>
              <w:rPr>
                <w:lang w:val="en-AU"/>
              </w:rPr>
            </w:pPr>
            <w:r>
              <w:rPr>
                <w:snapToGrid w:val="0"/>
                <w:lang w:val="en-AU"/>
              </w:rPr>
              <w:t>(includes calls to national fixed or GSM mobile services that then divert/switch or re-route overseas)</w:t>
            </w:r>
          </w:p>
        </w:tc>
        <w:tc>
          <w:tcPr>
            <w:tcW w:w="2475" w:type="pct"/>
          </w:tcPr>
          <w:p w14:paraId="3BE3BD0F" w14:textId="77777777" w:rsidR="000D07EA" w:rsidRDefault="00BE7C89">
            <w:pPr>
              <w:pStyle w:val="BodyText"/>
              <w:keepNext/>
              <w:spacing w:before="100" w:after="100"/>
              <w:rPr>
                <w:lang w:val="en-AU"/>
              </w:rPr>
            </w:pPr>
            <w:r>
              <w:rPr>
                <w:lang w:val="en-AU"/>
              </w:rPr>
              <w:t>No</w:t>
            </w:r>
          </w:p>
        </w:tc>
      </w:tr>
      <w:tr w:rsidR="000D07EA" w14:paraId="3155EBB3" w14:textId="77777777">
        <w:tc>
          <w:tcPr>
            <w:tcW w:w="2525" w:type="pct"/>
          </w:tcPr>
          <w:p w14:paraId="57C50C83" w14:textId="77777777" w:rsidR="000D07EA" w:rsidRDefault="00BE7C89">
            <w:pPr>
              <w:pStyle w:val="BodyText"/>
              <w:spacing w:before="100" w:after="100"/>
              <w:rPr>
                <w:lang w:val="en-AU"/>
              </w:rPr>
            </w:pPr>
            <w:r>
              <w:rPr>
                <w:lang w:val="en-AU"/>
              </w:rPr>
              <w:t>International Video Calls</w:t>
            </w:r>
          </w:p>
          <w:p w14:paraId="3D7DE165" w14:textId="77777777" w:rsidR="000D07EA" w:rsidRDefault="00BE7C89">
            <w:pPr>
              <w:pStyle w:val="BodyText"/>
              <w:spacing w:before="100" w:after="100"/>
              <w:rPr>
                <w:lang w:val="en-AU"/>
              </w:rPr>
            </w:pPr>
            <w:r>
              <w:rPr>
                <w:snapToGrid w:val="0"/>
                <w:lang w:val="en-AU"/>
              </w:rPr>
              <w:t>(includes calls to national fixed or GSM mobile services that then divert/switch or re-route overseas)</w:t>
            </w:r>
          </w:p>
        </w:tc>
        <w:tc>
          <w:tcPr>
            <w:tcW w:w="2475" w:type="pct"/>
          </w:tcPr>
          <w:p w14:paraId="213CB76F" w14:textId="77777777" w:rsidR="000D07EA" w:rsidRDefault="00BE7C89">
            <w:pPr>
              <w:pStyle w:val="BodyText"/>
              <w:spacing w:before="100" w:after="100"/>
              <w:rPr>
                <w:lang w:val="en-AU"/>
              </w:rPr>
            </w:pPr>
            <w:r>
              <w:rPr>
                <w:lang w:val="en-AU"/>
              </w:rPr>
              <w:t>No</w:t>
            </w:r>
          </w:p>
        </w:tc>
      </w:tr>
      <w:tr w:rsidR="000D07EA" w14:paraId="2CF5F066" w14:textId="77777777">
        <w:tc>
          <w:tcPr>
            <w:tcW w:w="2525" w:type="pct"/>
          </w:tcPr>
          <w:p w14:paraId="48400BB7" w14:textId="77777777" w:rsidR="000D07EA" w:rsidRDefault="00BE7C89">
            <w:pPr>
              <w:pStyle w:val="BodyText"/>
              <w:spacing w:before="100" w:after="100"/>
              <w:rPr>
                <w:lang w:val="en-AU"/>
              </w:rPr>
            </w:pPr>
            <w:r>
              <w:rPr>
                <w:lang w:val="en-AU"/>
              </w:rPr>
              <w:t>National Standard SMS</w:t>
            </w:r>
          </w:p>
        </w:tc>
        <w:tc>
          <w:tcPr>
            <w:tcW w:w="2475" w:type="pct"/>
          </w:tcPr>
          <w:p w14:paraId="5C0E5594" w14:textId="77777777" w:rsidR="000D07EA" w:rsidRDefault="00BE7C89">
            <w:pPr>
              <w:pStyle w:val="BodyText"/>
              <w:spacing w:before="100" w:after="100"/>
              <w:rPr>
                <w:lang w:val="en-AU"/>
              </w:rPr>
            </w:pPr>
            <w:r>
              <w:rPr>
                <w:lang w:val="en-AU"/>
              </w:rPr>
              <w:t>No</w:t>
            </w:r>
          </w:p>
        </w:tc>
      </w:tr>
      <w:tr w:rsidR="000D07EA" w14:paraId="277573CB" w14:textId="77777777">
        <w:tc>
          <w:tcPr>
            <w:tcW w:w="2525" w:type="pct"/>
          </w:tcPr>
          <w:p w14:paraId="72144687" w14:textId="77777777" w:rsidR="000D07EA" w:rsidRDefault="00BE7C89">
            <w:pPr>
              <w:pStyle w:val="BodyText"/>
              <w:spacing w:before="100" w:after="100"/>
              <w:rPr>
                <w:lang w:val="en-AU"/>
              </w:rPr>
            </w:pPr>
            <w:r>
              <w:rPr>
                <w:lang w:val="en-AU"/>
              </w:rPr>
              <w:t>International SMS</w:t>
            </w:r>
          </w:p>
        </w:tc>
        <w:tc>
          <w:tcPr>
            <w:tcW w:w="2475" w:type="pct"/>
          </w:tcPr>
          <w:p w14:paraId="0EE2A235" w14:textId="77777777" w:rsidR="000D07EA" w:rsidRDefault="00BE7C89">
            <w:pPr>
              <w:pStyle w:val="BodyText"/>
              <w:spacing w:before="100" w:after="100"/>
              <w:rPr>
                <w:lang w:val="en-AU"/>
              </w:rPr>
            </w:pPr>
            <w:r>
              <w:rPr>
                <w:lang w:val="en-AU"/>
              </w:rPr>
              <w:t>No</w:t>
            </w:r>
          </w:p>
        </w:tc>
      </w:tr>
      <w:tr w:rsidR="000D07EA" w14:paraId="3D160FA6" w14:textId="77777777">
        <w:tc>
          <w:tcPr>
            <w:tcW w:w="2525" w:type="pct"/>
          </w:tcPr>
          <w:p w14:paraId="5FE7F07C" w14:textId="77777777" w:rsidR="000D07EA" w:rsidRDefault="00BE7C89">
            <w:pPr>
              <w:pStyle w:val="BodyText"/>
              <w:spacing w:before="100" w:after="100"/>
              <w:rPr>
                <w:lang w:val="en-AU"/>
              </w:rPr>
            </w:pPr>
            <w:r>
              <w:rPr>
                <w:lang w:val="en-AU"/>
              </w:rPr>
              <w:t>National MMS</w:t>
            </w:r>
          </w:p>
        </w:tc>
        <w:tc>
          <w:tcPr>
            <w:tcW w:w="2475" w:type="pct"/>
          </w:tcPr>
          <w:p w14:paraId="6001B8A9" w14:textId="77777777" w:rsidR="000D07EA" w:rsidRDefault="00BE7C89">
            <w:pPr>
              <w:pStyle w:val="BodyText"/>
              <w:spacing w:before="100" w:after="100"/>
              <w:rPr>
                <w:lang w:val="en-AU"/>
              </w:rPr>
            </w:pPr>
            <w:r>
              <w:rPr>
                <w:lang w:val="en-AU"/>
              </w:rPr>
              <w:t>No</w:t>
            </w:r>
          </w:p>
        </w:tc>
      </w:tr>
      <w:tr w:rsidR="000D07EA" w14:paraId="2695C1F5" w14:textId="77777777">
        <w:tc>
          <w:tcPr>
            <w:tcW w:w="2525" w:type="pct"/>
          </w:tcPr>
          <w:p w14:paraId="12632E7F" w14:textId="77777777" w:rsidR="000D07EA" w:rsidRDefault="00BE7C89">
            <w:pPr>
              <w:pStyle w:val="BodyText"/>
              <w:spacing w:before="100" w:after="100"/>
              <w:rPr>
                <w:lang w:val="en-AU"/>
              </w:rPr>
            </w:pPr>
            <w:r>
              <w:rPr>
                <w:lang w:val="en-AU"/>
              </w:rPr>
              <w:t>International MMS</w:t>
            </w:r>
          </w:p>
        </w:tc>
        <w:tc>
          <w:tcPr>
            <w:tcW w:w="2475" w:type="pct"/>
          </w:tcPr>
          <w:p w14:paraId="01FB73CA" w14:textId="77777777" w:rsidR="000D07EA" w:rsidRDefault="00BE7C89">
            <w:pPr>
              <w:pStyle w:val="BodyText"/>
              <w:spacing w:before="100" w:after="100"/>
              <w:rPr>
                <w:lang w:val="en-AU"/>
              </w:rPr>
            </w:pPr>
            <w:r>
              <w:rPr>
                <w:lang w:val="en-AU"/>
              </w:rPr>
              <w:t>No</w:t>
            </w:r>
          </w:p>
        </w:tc>
      </w:tr>
      <w:tr w:rsidR="000D07EA" w14:paraId="671D18DF" w14:textId="77777777">
        <w:tc>
          <w:tcPr>
            <w:tcW w:w="2525" w:type="pct"/>
          </w:tcPr>
          <w:p w14:paraId="5A3EA8F9" w14:textId="77777777" w:rsidR="000D07EA" w:rsidRDefault="00BE7C89">
            <w:pPr>
              <w:pStyle w:val="BodyText"/>
              <w:spacing w:before="100" w:after="100"/>
              <w:rPr>
                <w:lang w:val="en-AU"/>
              </w:rPr>
            </w:pPr>
            <w:r>
              <w:rPr>
                <w:lang w:val="en-AU"/>
              </w:rPr>
              <w:t>Voicemail Diversions</w:t>
            </w:r>
          </w:p>
        </w:tc>
        <w:tc>
          <w:tcPr>
            <w:tcW w:w="2475" w:type="pct"/>
          </w:tcPr>
          <w:p w14:paraId="30E5488D" w14:textId="77777777" w:rsidR="000D07EA" w:rsidRDefault="00BE7C89">
            <w:pPr>
              <w:pStyle w:val="BodyText"/>
              <w:spacing w:before="100" w:after="100"/>
              <w:rPr>
                <w:lang w:val="en-AU"/>
              </w:rPr>
            </w:pPr>
            <w:r>
              <w:rPr>
                <w:lang w:val="en-AU"/>
              </w:rPr>
              <w:t>No</w:t>
            </w:r>
          </w:p>
        </w:tc>
      </w:tr>
      <w:tr w:rsidR="000D07EA" w14:paraId="02C8CF57" w14:textId="77777777">
        <w:tc>
          <w:tcPr>
            <w:tcW w:w="2525" w:type="pct"/>
          </w:tcPr>
          <w:p w14:paraId="62500012" w14:textId="77777777" w:rsidR="000D07EA" w:rsidRDefault="00BE7C89">
            <w:pPr>
              <w:pStyle w:val="BodyText"/>
              <w:spacing w:before="100" w:after="100"/>
              <w:rPr>
                <w:lang w:val="en-AU"/>
              </w:rPr>
            </w:pPr>
            <w:r>
              <w:rPr>
                <w:lang w:val="en-AU"/>
              </w:rPr>
              <w:t>Voicemail Deposit and Retrievals</w:t>
            </w:r>
          </w:p>
        </w:tc>
        <w:tc>
          <w:tcPr>
            <w:tcW w:w="2475" w:type="pct"/>
          </w:tcPr>
          <w:p w14:paraId="321FA34F" w14:textId="77777777" w:rsidR="000D07EA" w:rsidRDefault="00BE7C89">
            <w:pPr>
              <w:pStyle w:val="BodyText"/>
              <w:spacing w:before="100" w:after="100"/>
              <w:rPr>
                <w:lang w:val="en-AU"/>
              </w:rPr>
            </w:pPr>
            <w:r>
              <w:rPr>
                <w:lang w:val="en-AU"/>
              </w:rPr>
              <w:t>No</w:t>
            </w:r>
          </w:p>
        </w:tc>
      </w:tr>
      <w:tr w:rsidR="000D07EA" w14:paraId="7E7276E0" w14:textId="77777777">
        <w:tc>
          <w:tcPr>
            <w:tcW w:w="2525" w:type="pct"/>
          </w:tcPr>
          <w:p w14:paraId="6CC6F493" w14:textId="77777777" w:rsidR="000D07EA" w:rsidRDefault="00BE7C89">
            <w:pPr>
              <w:pStyle w:val="BodyText"/>
              <w:spacing w:before="100" w:after="100"/>
              <w:rPr>
                <w:lang w:val="en-AU"/>
              </w:rPr>
            </w:pPr>
            <w:r>
              <w:rPr>
                <w:lang w:val="en-AU"/>
              </w:rPr>
              <w:t>International Roaming and Diversion</w:t>
            </w:r>
          </w:p>
        </w:tc>
        <w:tc>
          <w:tcPr>
            <w:tcW w:w="2475" w:type="pct"/>
          </w:tcPr>
          <w:p w14:paraId="27A19F8C" w14:textId="77777777" w:rsidR="000D07EA" w:rsidRDefault="00BE7C89">
            <w:pPr>
              <w:pStyle w:val="BodyText"/>
              <w:spacing w:before="100" w:after="100"/>
              <w:rPr>
                <w:lang w:val="en-AU"/>
              </w:rPr>
            </w:pPr>
            <w:r>
              <w:rPr>
                <w:lang w:val="en-AU"/>
              </w:rPr>
              <w:t>No</w:t>
            </w:r>
          </w:p>
        </w:tc>
      </w:tr>
      <w:tr w:rsidR="000D07EA" w14:paraId="1CE5D149" w14:textId="77777777">
        <w:tc>
          <w:tcPr>
            <w:tcW w:w="2525" w:type="pct"/>
          </w:tcPr>
          <w:p w14:paraId="08477859" w14:textId="77777777" w:rsidR="000D07EA" w:rsidRDefault="00BE7C89">
            <w:pPr>
              <w:pStyle w:val="BodyText"/>
              <w:spacing w:before="100" w:after="100"/>
              <w:rPr>
                <w:lang w:val="en-AU"/>
              </w:rPr>
            </w:pPr>
            <w:r>
              <w:rPr>
                <w:lang w:val="en-AU"/>
              </w:rPr>
              <w:t>Premium SMS</w:t>
            </w:r>
          </w:p>
        </w:tc>
        <w:tc>
          <w:tcPr>
            <w:tcW w:w="2475" w:type="pct"/>
          </w:tcPr>
          <w:p w14:paraId="38E0A34F" w14:textId="77777777" w:rsidR="000D07EA" w:rsidRDefault="00BE7C89">
            <w:pPr>
              <w:pStyle w:val="BodyText"/>
              <w:spacing w:before="100" w:after="100"/>
              <w:rPr>
                <w:lang w:val="en-AU"/>
              </w:rPr>
            </w:pPr>
            <w:r>
              <w:rPr>
                <w:lang w:val="en-AU"/>
              </w:rPr>
              <w:t>No</w:t>
            </w:r>
          </w:p>
        </w:tc>
      </w:tr>
      <w:tr w:rsidR="000D07EA" w14:paraId="7EC38512" w14:textId="77777777">
        <w:tc>
          <w:tcPr>
            <w:tcW w:w="2525" w:type="pct"/>
          </w:tcPr>
          <w:p w14:paraId="379AB137" w14:textId="77777777" w:rsidR="000D07EA" w:rsidRDefault="00BE7C89">
            <w:pPr>
              <w:pStyle w:val="BodyText"/>
              <w:spacing w:before="100" w:after="100"/>
              <w:rPr>
                <w:lang w:val="en-AU"/>
              </w:rPr>
            </w:pPr>
            <w:r>
              <w:rPr>
                <w:lang w:val="en-AU"/>
              </w:rPr>
              <w:t>Premium Video</w:t>
            </w:r>
          </w:p>
        </w:tc>
        <w:tc>
          <w:tcPr>
            <w:tcW w:w="2475" w:type="pct"/>
          </w:tcPr>
          <w:p w14:paraId="448D60B3" w14:textId="77777777" w:rsidR="000D07EA" w:rsidRDefault="00BE7C89">
            <w:pPr>
              <w:pStyle w:val="BodyText"/>
              <w:spacing w:before="100" w:after="100"/>
              <w:rPr>
                <w:lang w:val="en-AU"/>
              </w:rPr>
            </w:pPr>
            <w:r>
              <w:rPr>
                <w:lang w:val="en-AU"/>
              </w:rPr>
              <w:t>No</w:t>
            </w:r>
          </w:p>
        </w:tc>
      </w:tr>
      <w:tr w:rsidR="000D07EA" w14:paraId="420B9697" w14:textId="77777777">
        <w:tc>
          <w:tcPr>
            <w:tcW w:w="2525" w:type="pct"/>
          </w:tcPr>
          <w:p w14:paraId="2DD4FFC6" w14:textId="77777777" w:rsidR="000D07EA" w:rsidRDefault="00BE7C89">
            <w:pPr>
              <w:pStyle w:val="BodyText"/>
              <w:spacing w:before="100" w:after="100"/>
              <w:rPr>
                <w:lang w:val="en-AU"/>
              </w:rPr>
            </w:pPr>
            <w:r>
              <w:rPr>
                <w:lang w:val="en-AU"/>
              </w:rPr>
              <w:t>Video Conferencing</w:t>
            </w:r>
          </w:p>
        </w:tc>
        <w:tc>
          <w:tcPr>
            <w:tcW w:w="2475" w:type="pct"/>
          </w:tcPr>
          <w:p w14:paraId="5F6508B3" w14:textId="77777777" w:rsidR="000D07EA" w:rsidRDefault="00BE7C89">
            <w:pPr>
              <w:pStyle w:val="BodyText"/>
              <w:spacing w:before="100" w:after="100"/>
              <w:rPr>
                <w:lang w:val="en-AU"/>
              </w:rPr>
            </w:pPr>
            <w:r>
              <w:rPr>
                <w:lang w:val="en-AU"/>
              </w:rPr>
              <w:t>No</w:t>
            </w:r>
          </w:p>
        </w:tc>
      </w:tr>
      <w:tr w:rsidR="000D07EA" w14:paraId="1389C89A" w14:textId="77777777">
        <w:tc>
          <w:tcPr>
            <w:tcW w:w="2525" w:type="pct"/>
          </w:tcPr>
          <w:p w14:paraId="519CF758" w14:textId="77777777" w:rsidR="000D07EA" w:rsidRDefault="00BE7C89">
            <w:pPr>
              <w:pStyle w:val="BodyText"/>
              <w:spacing w:before="100" w:after="100"/>
              <w:rPr>
                <w:lang w:val="en-AU"/>
              </w:rPr>
            </w:pPr>
            <w:r>
              <w:rPr>
                <w:lang w:val="en-AU"/>
              </w:rPr>
              <w:t>Optus Zoo or Optus iZoo Browsing</w:t>
            </w:r>
          </w:p>
        </w:tc>
        <w:tc>
          <w:tcPr>
            <w:tcW w:w="2475" w:type="pct"/>
          </w:tcPr>
          <w:p w14:paraId="0DC9D8AB" w14:textId="77777777" w:rsidR="000D07EA" w:rsidRDefault="00BE7C89">
            <w:pPr>
              <w:pStyle w:val="BodyText"/>
              <w:spacing w:before="100" w:after="100"/>
              <w:rPr>
                <w:lang w:val="en-AU"/>
              </w:rPr>
            </w:pPr>
            <w:r>
              <w:rPr>
                <w:lang w:val="en-AU"/>
              </w:rPr>
              <w:t>Yes, up to the monthly included data amount specified in Table 3A.</w:t>
            </w:r>
          </w:p>
        </w:tc>
      </w:tr>
      <w:tr w:rsidR="000D07EA" w14:paraId="561C357A" w14:textId="77777777">
        <w:tc>
          <w:tcPr>
            <w:tcW w:w="2525" w:type="pct"/>
          </w:tcPr>
          <w:p w14:paraId="27E1836E" w14:textId="77777777" w:rsidR="000D07EA" w:rsidRDefault="00BE7C89">
            <w:pPr>
              <w:pStyle w:val="BodyText"/>
              <w:spacing w:before="100" w:after="100"/>
              <w:rPr>
                <w:lang w:val="en-AU"/>
              </w:rPr>
            </w:pPr>
            <w:r>
              <w:rPr>
                <w:lang w:val="en-AU"/>
              </w:rPr>
              <w:lastRenderedPageBreak/>
              <w:t>Optus Zoo or Optus iZoo Downloads</w:t>
            </w:r>
          </w:p>
        </w:tc>
        <w:tc>
          <w:tcPr>
            <w:tcW w:w="2475" w:type="pct"/>
          </w:tcPr>
          <w:p w14:paraId="117BD161" w14:textId="77777777" w:rsidR="000D07EA" w:rsidRDefault="00BE7C89">
            <w:pPr>
              <w:pStyle w:val="BodyText"/>
              <w:spacing w:before="100" w:after="100"/>
              <w:rPr>
                <w:lang w:val="en-AU"/>
              </w:rPr>
            </w:pPr>
            <w:r>
              <w:rPr>
                <w:lang w:val="en-AU"/>
              </w:rPr>
              <w:t>No</w:t>
            </w:r>
          </w:p>
        </w:tc>
      </w:tr>
      <w:tr w:rsidR="000D07EA" w14:paraId="00F33403" w14:textId="77777777">
        <w:tc>
          <w:tcPr>
            <w:tcW w:w="2525" w:type="pct"/>
          </w:tcPr>
          <w:p w14:paraId="133C6EDA" w14:textId="77777777" w:rsidR="000D07EA" w:rsidRDefault="00BE7C89">
            <w:pPr>
              <w:pStyle w:val="BodyText"/>
              <w:spacing w:before="100" w:after="100"/>
              <w:rPr>
                <w:lang w:val="en-AU"/>
              </w:rPr>
            </w:pPr>
            <w:r>
              <w:rPr>
                <w:lang w:val="en-AU"/>
              </w:rPr>
              <w:t>SMS to 966 (Zoo)</w:t>
            </w:r>
          </w:p>
        </w:tc>
        <w:tc>
          <w:tcPr>
            <w:tcW w:w="2475" w:type="pct"/>
          </w:tcPr>
          <w:p w14:paraId="10755965" w14:textId="77777777" w:rsidR="000D07EA" w:rsidRDefault="00BE7C89">
            <w:pPr>
              <w:pStyle w:val="BodyText"/>
              <w:spacing w:before="100" w:after="100"/>
              <w:rPr>
                <w:lang w:val="en-AU"/>
              </w:rPr>
            </w:pPr>
            <w:r>
              <w:rPr>
                <w:lang w:val="en-AU"/>
              </w:rPr>
              <w:t>No</w:t>
            </w:r>
          </w:p>
        </w:tc>
      </w:tr>
      <w:tr w:rsidR="000D07EA" w14:paraId="7244AEDD" w14:textId="77777777">
        <w:tc>
          <w:tcPr>
            <w:tcW w:w="2525" w:type="pct"/>
          </w:tcPr>
          <w:p w14:paraId="0D1F1309" w14:textId="77777777" w:rsidR="000D07EA" w:rsidRDefault="00BE7C89">
            <w:pPr>
              <w:pStyle w:val="BodyText"/>
              <w:spacing w:before="100" w:after="100"/>
              <w:rPr>
                <w:lang w:val="en-AU"/>
              </w:rPr>
            </w:pPr>
            <w:r>
              <w:rPr>
                <w:lang w:val="en-AU"/>
              </w:rPr>
              <w:t>Mobile Internet usage</w:t>
            </w:r>
          </w:p>
        </w:tc>
        <w:tc>
          <w:tcPr>
            <w:tcW w:w="2475" w:type="pct"/>
          </w:tcPr>
          <w:p w14:paraId="7C29FFBB" w14:textId="77777777" w:rsidR="000D07EA" w:rsidRDefault="00BE7C89">
            <w:pPr>
              <w:pStyle w:val="BodyText"/>
              <w:spacing w:before="100" w:after="100"/>
              <w:rPr>
                <w:lang w:val="en-AU"/>
              </w:rPr>
            </w:pPr>
            <w:r>
              <w:rPr>
                <w:lang w:val="en-AU"/>
              </w:rPr>
              <w:t>Yes, up to the monthly included data amount specified in Table 3A.</w:t>
            </w:r>
          </w:p>
        </w:tc>
      </w:tr>
      <w:tr w:rsidR="000D07EA" w14:paraId="34F4ED9D" w14:textId="77777777">
        <w:tc>
          <w:tcPr>
            <w:tcW w:w="2525" w:type="pct"/>
          </w:tcPr>
          <w:p w14:paraId="4FF55B88" w14:textId="77777777" w:rsidR="000D07EA" w:rsidRDefault="00BE7C89">
            <w:pPr>
              <w:pStyle w:val="BodyText"/>
              <w:spacing w:before="100" w:after="100"/>
              <w:rPr>
                <w:lang w:val="en-AU"/>
              </w:rPr>
            </w:pPr>
            <w:r>
              <w:rPr>
                <w:lang w:val="en-AU"/>
              </w:rPr>
              <w:t>Mobile as Modem</w:t>
            </w:r>
          </w:p>
        </w:tc>
        <w:tc>
          <w:tcPr>
            <w:tcW w:w="2475" w:type="pct"/>
          </w:tcPr>
          <w:p w14:paraId="12C54501" w14:textId="77777777" w:rsidR="000D07EA" w:rsidRDefault="00BE7C89">
            <w:pPr>
              <w:pStyle w:val="BodyText"/>
              <w:spacing w:before="100" w:after="100"/>
              <w:rPr>
                <w:lang w:val="en-AU"/>
              </w:rPr>
            </w:pPr>
            <w:r>
              <w:rPr>
                <w:lang w:val="en-AU"/>
              </w:rPr>
              <w:t>Yes</w:t>
            </w:r>
          </w:p>
        </w:tc>
      </w:tr>
      <w:tr w:rsidR="000D07EA" w14:paraId="53AA614D" w14:textId="77777777">
        <w:tc>
          <w:tcPr>
            <w:tcW w:w="2525" w:type="pct"/>
          </w:tcPr>
          <w:p w14:paraId="334C66FE" w14:textId="77777777" w:rsidR="000D07EA" w:rsidRDefault="00BE7C89">
            <w:pPr>
              <w:pStyle w:val="BodyText"/>
              <w:spacing w:before="100" w:after="100"/>
              <w:rPr>
                <w:lang w:val="en-AU"/>
              </w:rPr>
            </w:pPr>
            <w:r>
              <w:rPr>
                <w:lang w:val="en-AU"/>
              </w:rPr>
              <w:t>Data Used while Roaming Internationally</w:t>
            </w:r>
          </w:p>
        </w:tc>
        <w:tc>
          <w:tcPr>
            <w:tcW w:w="2475" w:type="pct"/>
          </w:tcPr>
          <w:p w14:paraId="1517F8A4" w14:textId="77777777" w:rsidR="000D07EA" w:rsidRDefault="00BE7C89">
            <w:pPr>
              <w:pStyle w:val="BodyText"/>
              <w:spacing w:before="100" w:after="100"/>
              <w:rPr>
                <w:lang w:val="en-AU"/>
              </w:rPr>
            </w:pPr>
            <w:r>
              <w:rPr>
                <w:lang w:val="en-AU"/>
              </w:rPr>
              <w:t>No</w:t>
            </w:r>
          </w:p>
        </w:tc>
      </w:tr>
      <w:tr w:rsidR="000D07EA" w14:paraId="763F6CF4" w14:textId="77777777">
        <w:tc>
          <w:tcPr>
            <w:tcW w:w="2525" w:type="pct"/>
          </w:tcPr>
          <w:p w14:paraId="4A63A9E1" w14:textId="77777777" w:rsidR="000D07EA" w:rsidRDefault="00BE7C89">
            <w:pPr>
              <w:pStyle w:val="BodyText"/>
              <w:spacing w:before="100" w:after="100"/>
              <w:rPr>
                <w:lang w:val="en-AU"/>
              </w:rPr>
            </w:pPr>
            <w:r>
              <w:rPr>
                <w:lang w:val="en-AU"/>
              </w:rPr>
              <w:t>Content Packs (unless specified in promotions)</w:t>
            </w:r>
          </w:p>
        </w:tc>
        <w:tc>
          <w:tcPr>
            <w:tcW w:w="2475" w:type="pct"/>
          </w:tcPr>
          <w:p w14:paraId="6C78ED95" w14:textId="77777777" w:rsidR="000D07EA" w:rsidRDefault="00BE7C89">
            <w:pPr>
              <w:pStyle w:val="BodyText"/>
              <w:spacing w:before="100" w:after="100"/>
              <w:rPr>
                <w:lang w:val="en-AU"/>
              </w:rPr>
            </w:pPr>
            <w:r>
              <w:rPr>
                <w:lang w:val="en-AU"/>
              </w:rPr>
              <w:t>No</w:t>
            </w:r>
          </w:p>
        </w:tc>
      </w:tr>
      <w:tr w:rsidR="000D07EA" w14:paraId="17F5E8FA" w14:textId="77777777">
        <w:tc>
          <w:tcPr>
            <w:tcW w:w="2525" w:type="pct"/>
          </w:tcPr>
          <w:p w14:paraId="7A43C858" w14:textId="77777777" w:rsidR="000D07EA" w:rsidRDefault="00BE7C89">
            <w:pPr>
              <w:pStyle w:val="BodyText"/>
              <w:spacing w:before="100" w:after="100"/>
              <w:rPr>
                <w:lang w:val="en-AU"/>
              </w:rPr>
            </w:pPr>
            <w:r>
              <w:rPr>
                <w:lang w:val="en-AU"/>
              </w:rPr>
              <w:t>TrueLocal Usage</w:t>
            </w:r>
          </w:p>
        </w:tc>
        <w:tc>
          <w:tcPr>
            <w:tcW w:w="2475" w:type="pct"/>
          </w:tcPr>
          <w:p w14:paraId="1569D3FA" w14:textId="77777777" w:rsidR="000D07EA" w:rsidRDefault="00BE7C89">
            <w:pPr>
              <w:pStyle w:val="BodyText"/>
              <w:spacing w:before="100" w:after="100"/>
              <w:rPr>
                <w:lang w:val="en-AU"/>
              </w:rPr>
            </w:pPr>
            <w:r>
              <w:rPr>
                <w:lang w:val="en-AU"/>
              </w:rPr>
              <w:t>No</w:t>
            </w:r>
          </w:p>
        </w:tc>
      </w:tr>
      <w:tr w:rsidR="000D07EA" w14:paraId="7D54B228" w14:textId="77777777">
        <w:tc>
          <w:tcPr>
            <w:tcW w:w="2525" w:type="pct"/>
          </w:tcPr>
          <w:p w14:paraId="4FF7796A" w14:textId="77777777" w:rsidR="000D07EA" w:rsidRDefault="00BE7C89">
            <w:pPr>
              <w:pStyle w:val="BodyText"/>
              <w:spacing w:before="100" w:after="100"/>
              <w:rPr>
                <w:lang w:val="en-AU"/>
              </w:rPr>
            </w:pPr>
            <w:r>
              <w:rPr>
                <w:lang w:val="en-AU"/>
              </w:rPr>
              <w:t xml:space="preserve">Directory Assistance- 1223 </w:t>
            </w:r>
          </w:p>
        </w:tc>
        <w:tc>
          <w:tcPr>
            <w:tcW w:w="2475" w:type="pct"/>
          </w:tcPr>
          <w:p w14:paraId="63F9B2FE" w14:textId="77777777" w:rsidR="000D07EA" w:rsidRDefault="00BE7C89">
            <w:pPr>
              <w:pStyle w:val="BodyText"/>
              <w:spacing w:before="100" w:after="100"/>
              <w:rPr>
                <w:lang w:val="en-AU"/>
              </w:rPr>
            </w:pPr>
            <w:r>
              <w:rPr>
                <w:lang w:val="en-AU"/>
              </w:rPr>
              <w:t>No</w:t>
            </w:r>
          </w:p>
        </w:tc>
      </w:tr>
      <w:tr w:rsidR="000D07EA" w14:paraId="76FE4958" w14:textId="77777777">
        <w:tc>
          <w:tcPr>
            <w:tcW w:w="2525" w:type="pct"/>
          </w:tcPr>
          <w:p w14:paraId="35439A59" w14:textId="77777777" w:rsidR="000D07EA" w:rsidRDefault="00BE7C89">
            <w:pPr>
              <w:pStyle w:val="BodyText"/>
              <w:spacing w:before="100" w:after="100"/>
              <w:rPr>
                <w:lang w:val="en-AU"/>
              </w:rPr>
            </w:pPr>
            <w:r>
              <w:rPr>
                <w:lang w:val="en-AU"/>
              </w:rPr>
              <w:t>19XX Numbers</w:t>
            </w:r>
          </w:p>
        </w:tc>
        <w:tc>
          <w:tcPr>
            <w:tcW w:w="2475" w:type="pct"/>
          </w:tcPr>
          <w:p w14:paraId="7D851EDF" w14:textId="77777777" w:rsidR="000D07EA" w:rsidRDefault="00BE7C89">
            <w:pPr>
              <w:pStyle w:val="BodyText"/>
              <w:spacing w:before="100" w:after="100"/>
              <w:rPr>
                <w:lang w:val="en-AU"/>
              </w:rPr>
            </w:pPr>
            <w:r>
              <w:rPr>
                <w:lang w:val="en-AU"/>
              </w:rPr>
              <w:t>No</w:t>
            </w:r>
          </w:p>
        </w:tc>
      </w:tr>
      <w:tr w:rsidR="000D07EA" w14:paraId="5F2F9809" w14:textId="77777777">
        <w:tc>
          <w:tcPr>
            <w:tcW w:w="2525" w:type="pct"/>
          </w:tcPr>
          <w:p w14:paraId="1450AA62" w14:textId="77777777" w:rsidR="000D07EA" w:rsidRDefault="00BE7C89">
            <w:pPr>
              <w:pStyle w:val="BodyText"/>
              <w:spacing w:before="100" w:after="100"/>
              <w:rPr>
                <w:lang w:val="en-AU"/>
              </w:rPr>
            </w:pPr>
            <w:r>
              <w:rPr>
                <w:lang w:val="en-AU"/>
              </w:rPr>
              <w:t>1800, 13 and 1300 numbers</w:t>
            </w:r>
          </w:p>
        </w:tc>
        <w:tc>
          <w:tcPr>
            <w:tcW w:w="2475" w:type="pct"/>
          </w:tcPr>
          <w:p w14:paraId="75A53D5A" w14:textId="77777777" w:rsidR="000D07EA" w:rsidRDefault="00BE7C89">
            <w:pPr>
              <w:pStyle w:val="BodyText"/>
              <w:spacing w:before="100" w:after="100"/>
              <w:rPr>
                <w:lang w:val="en-AU"/>
              </w:rPr>
            </w:pPr>
            <w:r>
              <w:rPr>
                <w:lang w:val="en-AU"/>
              </w:rPr>
              <w:t>No</w:t>
            </w:r>
          </w:p>
        </w:tc>
      </w:tr>
      <w:tr w:rsidR="000D07EA" w14:paraId="6AB0075C" w14:textId="77777777">
        <w:tc>
          <w:tcPr>
            <w:tcW w:w="2525" w:type="pct"/>
          </w:tcPr>
          <w:p w14:paraId="3FE8724D" w14:textId="77777777" w:rsidR="000D07EA" w:rsidRDefault="00BE7C89">
            <w:pPr>
              <w:pStyle w:val="BodyText"/>
              <w:spacing w:before="100" w:after="100"/>
              <w:rPr>
                <w:lang w:val="en-AU"/>
              </w:rPr>
            </w:pPr>
            <w:r>
              <w:rPr>
                <w:lang w:val="en-AU"/>
              </w:rPr>
              <w:t>124YES(937)</w:t>
            </w:r>
          </w:p>
        </w:tc>
        <w:tc>
          <w:tcPr>
            <w:tcW w:w="2475" w:type="pct"/>
          </w:tcPr>
          <w:p w14:paraId="5375D66D" w14:textId="77777777" w:rsidR="000D07EA" w:rsidRDefault="00BE7C89">
            <w:pPr>
              <w:pStyle w:val="BodyText"/>
              <w:spacing w:before="100" w:after="100"/>
              <w:rPr>
                <w:lang w:val="en-AU"/>
              </w:rPr>
            </w:pPr>
            <w:r>
              <w:rPr>
                <w:lang w:val="en-AU"/>
              </w:rPr>
              <w:t>No</w:t>
            </w:r>
          </w:p>
        </w:tc>
      </w:tr>
      <w:tr w:rsidR="000D07EA" w14:paraId="4590C505" w14:textId="77777777">
        <w:tc>
          <w:tcPr>
            <w:tcW w:w="2525" w:type="pct"/>
          </w:tcPr>
          <w:p w14:paraId="7E17469C" w14:textId="77777777" w:rsidR="000D07EA" w:rsidRDefault="00BE7C89">
            <w:pPr>
              <w:pStyle w:val="BodyText"/>
              <w:spacing w:before="100" w:after="100"/>
              <w:rPr>
                <w:lang w:val="en-AU"/>
              </w:rPr>
            </w:pPr>
            <w:r>
              <w:rPr>
                <w:lang w:val="en-AU"/>
              </w:rPr>
              <w:t>Insurance</w:t>
            </w:r>
          </w:p>
        </w:tc>
        <w:tc>
          <w:tcPr>
            <w:tcW w:w="2475" w:type="pct"/>
          </w:tcPr>
          <w:p w14:paraId="5DFCC7FB" w14:textId="77777777" w:rsidR="000D07EA" w:rsidRDefault="00BE7C89">
            <w:pPr>
              <w:pStyle w:val="BodyText"/>
              <w:spacing w:before="100" w:after="100"/>
              <w:rPr>
                <w:lang w:val="en-AU"/>
              </w:rPr>
            </w:pPr>
            <w:r>
              <w:rPr>
                <w:lang w:val="en-AU"/>
              </w:rPr>
              <w:t>No</w:t>
            </w:r>
          </w:p>
        </w:tc>
      </w:tr>
      <w:tr w:rsidR="000D07EA" w14:paraId="00743DD5" w14:textId="77777777">
        <w:tc>
          <w:tcPr>
            <w:tcW w:w="2525" w:type="pct"/>
          </w:tcPr>
          <w:p w14:paraId="5DE32CAD" w14:textId="77777777" w:rsidR="000D07EA" w:rsidRDefault="00BE7C89">
            <w:pPr>
              <w:pStyle w:val="BodyText"/>
              <w:spacing w:before="100" w:after="100"/>
              <w:rPr>
                <w:lang w:val="en-AU"/>
              </w:rPr>
            </w:pPr>
            <w:r>
              <w:rPr>
                <w:lang w:val="en-AU"/>
              </w:rPr>
              <w:t>Handset Payments</w:t>
            </w:r>
          </w:p>
        </w:tc>
        <w:tc>
          <w:tcPr>
            <w:tcW w:w="2475" w:type="pct"/>
          </w:tcPr>
          <w:p w14:paraId="6F35DD35" w14:textId="77777777" w:rsidR="000D07EA" w:rsidRDefault="00BE7C89">
            <w:pPr>
              <w:pStyle w:val="BodyText"/>
              <w:spacing w:before="100" w:after="100"/>
              <w:rPr>
                <w:lang w:val="en-AU"/>
              </w:rPr>
            </w:pPr>
            <w:r>
              <w:rPr>
                <w:lang w:val="en-AU"/>
              </w:rPr>
              <w:t>No</w:t>
            </w:r>
          </w:p>
        </w:tc>
      </w:tr>
      <w:tr w:rsidR="000D07EA" w14:paraId="64F6EC81" w14:textId="77777777">
        <w:tc>
          <w:tcPr>
            <w:tcW w:w="2525" w:type="pct"/>
          </w:tcPr>
          <w:p w14:paraId="0674C65C" w14:textId="77777777" w:rsidR="000D07EA" w:rsidRDefault="00BE7C89">
            <w:pPr>
              <w:pStyle w:val="BodyText"/>
              <w:spacing w:before="100" w:after="100"/>
              <w:rPr>
                <w:lang w:val="en-AU"/>
              </w:rPr>
            </w:pPr>
            <w:r>
              <w:rPr>
                <w:lang w:val="en-AU"/>
              </w:rPr>
              <w:t>Calls to MobileSat</w:t>
            </w:r>
          </w:p>
        </w:tc>
        <w:tc>
          <w:tcPr>
            <w:tcW w:w="2475" w:type="pct"/>
          </w:tcPr>
          <w:p w14:paraId="48EA70D1" w14:textId="77777777" w:rsidR="000D07EA" w:rsidRDefault="00BE7C89">
            <w:pPr>
              <w:pStyle w:val="BodyText"/>
              <w:spacing w:before="100" w:after="100"/>
              <w:rPr>
                <w:lang w:val="en-AU"/>
              </w:rPr>
            </w:pPr>
            <w:r>
              <w:rPr>
                <w:lang w:val="en-AU"/>
              </w:rPr>
              <w:t>No</w:t>
            </w:r>
          </w:p>
        </w:tc>
      </w:tr>
      <w:tr w:rsidR="000D07EA" w14:paraId="589DE7E6" w14:textId="77777777">
        <w:tc>
          <w:tcPr>
            <w:tcW w:w="2525" w:type="pct"/>
          </w:tcPr>
          <w:p w14:paraId="6FDC0500" w14:textId="77777777" w:rsidR="000D07EA" w:rsidRDefault="00BE7C89">
            <w:pPr>
              <w:pStyle w:val="BodyText"/>
              <w:spacing w:before="100" w:after="100"/>
              <w:rPr>
                <w:lang w:val="en-AU"/>
              </w:rPr>
            </w:pPr>
            <w:r>
              <w:rPr>
                <w:lang w:val="en-AU"/>
              </w:rPr>
              <w:t>VOIP services</w:t>
            </w:r>
          </w:p>
        </w:tc>
        <w:tc>
          <w:tcPr>
            <w:tcW w:w="2475" w:type="pct"/>
          </w:tcPr>
          <w:p w14:paraId="66B8BFAB" w14:textId="77777777" w:rsidR="000D07EA" w:rsidRDefault="00BE7C89">
            <w:pPr>
              <w:pStyle w:val="BodyText"/>
              <w:spacing w:before="100" w:after="100"/>
              <w:rPr>
                <w:lang w:val="en-AU"/>
              </w:rPr>
            </w:pPr>
            <w:r>
              <w:rPr>
                <w:lang w:val="en-AU"/>
              </w:rPr>
              <w:t>No</w:t>
            </w:r>
          </w:p>
        </w:tc>
      </w:tr>
    </w:tbl>
    <w:p w14:paraId="3CD64828" w14:textId="77777777" w:rsidR="000D07EA" w:rsidRDefault="000D07EA">
      <w:pPr>
        <w:pStyle w:val="BodyText"/>
        <w:rPr>
          <w:lang w:val="en-AU"/>
        </w:rPr>
      </w:pPr>
    </w:p>
    <w:p w14:paraId="039B0C10" w14:textId="77777777" w:rsidR="000D07EA" w:rsidRDefault="00BE7C89">
      <w:pPr>
        <w:pStyle w:val="BodyText"/>
        <w:ind w:left="1440"/>
        <w:rPr>
          <w:b/>
          <w:lang w:val="en-AU" w:eastAsia="en-AU"/>
        </w:rPr>
      </w:pPr>
      <w:r>
        <w:rPr>
          <w:b/>
          <w:lang w:val="en-AU" w:eastAsia="en-AU"/>
        </w:rPr>
        <w:t>Table 2B – Eligible for Unlimited BlackBerry POP3 Email &amp; Browsing</w:t>
      </w:r>
    </w:p>
    <w:tbl>
      <w:tblPr>
        <w:tblW w:w="4297"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422"/>
        <w:gridCol w:w="4334"/>
      </w:tblGrid>
      <w:tr w:rsidR="000D07EA" w14:paraId="454C5529" w14:textId="77777777">
        <w:tc>
          <w:tcPr>
            <w:tcW w:w="2525" w:type="pct"/>
          </w:tcPr>
          <w:p w14:paraId="6E2A7A02" w14:textId="77777777" w:rsidR="000D07EA" w:rsidRDefault="00BE7C89">
            <w:pPr>
              <w:pStyle w:val="BodyText"/>
              <w:spacing w:before="100" w:after="100"/>
              <w:jc w:val="center"/>
              <w:rPr>
                <w:b/>
                <w:snapToGrid w:val="0"/>
                <w:lang w:val="en-AU" w:eastAsia="en-AU"/>
              </w:rPr>
            </w:pPr>
            <w:r>
              <w:rPr>
                <w:b/>
                <w:snapToGrid w:val="0"/>
                <w:lang w:val="en-AU" w:eastAsia="en-AU"/>
              </w:rPr>
              <w:t>Call Type</w:t>
            </w:r>
          </w:p>
        </w:tc>
        <w:tc>
          <w:tcPr>
            <w:tcW w:w="2475" w:type="pct"/>
          </w:tcPr>
          <w:p w14:paraId="6E978168" w14:textId="77777777" w:rsidR="000D07EA" w:rsidRDefault="00BE7C89">
            <w:pPr>
              <w:pStyle w:val="BodyText"/>
              <w:spacing w:before="100" w:after="100"/>
              <w:jc w:val="center"/>
              <w:rPr>
                <w:b/>
                <w:snapToGrid w:val="0"/>
                <w:lang w:val="en-AU" w:eastAsia="en-AU"/>
              </w:rPr>
            </w:pPr>
            <w:r>
              <w:rPr>
                <w:b/>
                <w:snapToGrid w:val="0"/>
                <w:lang w:val="en-AU" w:eastAsia="en-AU"/>
              </w:rPr>
              <w:t>Eligible Data</w:t>
            </w:r>
          </w:p>
        </w:tc>
      </w:tr>
      <w:tr w:rsidR="000D07EA" w14:paraId="4DD613B6" w14:textId="77777777">
        <w:tc>
          <w:tcPr>
            <w:tcW w:w="2525" w:type="pct"/>
          </w:tcPr>
          <w:p w14:paraId="1C6BF2C5" w14:textId="77777777" w:rsidR="000D07EA" w:rsidRDefault="00BE7C89">
            <w:pPr>
              <w:pStyle w:val="BodyText"/>
              <w:spacing w:before="100" w:after="100"/>
              <w:jc w:val="center"/>
              <w:rPr>
                <w:snapToGrid w:val="0"/>
                <w:lang w:val="en-AU" w:eastAsia="en-AU"/>
              </w:rPr>
            </w:pPr>
            <w:r>
              <w:rPr>
                <w:snapToGrid w:val="0"/>
                <w:lang w:val="en-AU" w:eastAsia="en-AU"/>
              </w:rPr>
              <w:t>BlackBerry Email (POP3)</w:t>
            </w:r>
          </w:p>
        </w:tc>
        <w:tc>
          <w:tcPr>
            <w:tcW w:w="2475" w:type="pct"/>
          </w:tcPr>
          <w:p w14:paraId="744D201E" w14:textId="77777777" w:rsidR="000D07EA" w:rsidRDefault="00BE7C89">
            <w:pPr>
              <w:pStyle w:val="BodyText"/>
              <w:spacing w:before="100" w:after="100"/>
              <w:jc w:val="center"/>
              <w:rPr>
                <w:b/>
                <w:snapToGrid w:val="0"/>
                <w:lang w:val="en-AU" w:eastAsia="en-AU"/>
              </w:rPr>
            </w:pPr>
            <w:r>
              <w:rPr>
                <w:b/>
                <w:snapToGrid w:val="0"/>
                <w:lang w:val="en-AU" w:eastAsia="en-AU"/>
              </w:rPr>
              <w:t>Yes</w:t>
            </w:r>
          </w:p>
        </w:tc>
      </w:tr>
      <w:tr w:rsidR="000D07EA" w14:paraId="770CF22D" w14:textId="77777777">
        <w:tc>
          <w:tcPr>
            <w:tcW w:w="2525" w:type="pct"/>
          </w:tcPr>
          <w:p w14:paraId="28BF0DDA" w14:textId="77777777" w:rsidR="000D07EA" w:rsidRDefault="00BE7C89">
            <w:pPr>
              <w:pStyle w:val="BodyText"/>
              <w:spacing w:before="100" w:after="100"/>
              <w:jc w:val="center"/>
              <w:rPr>
                <w:snapToGrid w:val="0"/>
                <w:lang w:val="en-AU" w:eastAsia="en-AU"/>
              </w:rPr>
            </w:pPr>
            <w:r>
              <w:rPr>
                <w:snapToGrid w:val="0"/>
                <w:lang w:val="en-AU" w:eastAsia="en-AU"/>
              </w:rPr>
              <w:t>Internet Browsing through the BlackBerry Browser and/or the BlackBerry Internet Browser</w:t>
            </w:r>
          </w:p>
        </w:tc>
        <w:tc>
          <w:tcPr>
            <w:tcW w:w="2475" w:type="pct"/>
          </w:tcPr>
          <w:p w14:paraId="44832AC7" w14:textId="77777777" w:rsidR="000D07EA" w:rsidRDefault="00BE7C89">
            <w:pPr>
              <w:pStyle w:val="BodyText"/>
              <w:spacing w:before="100" w:after="100"/>
              <w:jc w:val="center"/>
              <w:rPr>
                <w:b/>
                <w:snapToGrid w:val="0"/>
                <w:lang w:val="en-AU" w:eastAsia="en-AU"/>
              </w:rPr>
            </w:pPr>
            <w:r>
              <w:rPr>
                <w:b/>
                <w:snapToGrid w:val="0"/>
                <w:lang w:val="en-AU" w:eastAsia="en-AU"/>
              </w:rPr>
              <w:t>Yes</w:t>
            </w:r>
          </w:p>
        </w:tc>
      </w:tr>
      <w:tr w:rsidR="000D07EA" w14:paraId="53975D36" w14:textId="77777777">
        <w:tc>
          <w:tcPr>
            <w:tcW w:w="2525" w:type="pct"/>
          </w:tcPr>
          <w:p w14:paraId="46B3990A" w14:textId="77777777" w:rsidR="000D07EA" w:rsidRDefault="00BE7C89">
            <w:pPr>
              <w:pStyle w:val="BodyText"/>
              <w:spacing w:before="100" w:after="100"/>
              <w:jc w:val="center"/>
              <w:rPr>
                <w:snapToGrid w:val="0"/>
                <w:lang w:val="en-AU" w:eastAsia="en-AU"/>
              </w:rPr>
            </w:pPr>
            <w:r>
              <w:rPr>
                <w:snapToGrid w:val="0"/>
                <w:lang w:val="en-AU" w:eastAsia="en-AU"/>
              </w:rPr>
              <w:t>Optus Zoo downloads and subscriptions</w:t>
            </w:r>
          </w:p>
        </w:tc>
        <w:tc>
          <w:tcPr>
            <w:tcW w:w="2475" w:type="pct"/>
          </w:tcPr>
          <w:p w14:paraId="7302F5AA" w14:textId="77777777" w:rsidR="000D07EA" w:rsidRDefault="00BE7C89">
            <w:pPr>
              <w:pStyle w:val="BodyText"/>
              <w:spacing w:before="100" w:after="100"/>
              <w:jc w:val="center"/>
              <w:rPr>
                <w:b/>
                <w:lang w:val="en-AU" w:eastAsia="en-AU"/>
              </w:rPr>
            </w:pPr>
            <w:r>
              <w:rPr>
                <w:b/>
                <w:snapToGrid w:val="0"/>
                <w:lang w:val="en-AU" w:eastAsia="en-AU"/>
              </w:rPr>
              <w:t>No</w:t>
            </w:r>
          </w:p>
        </w:tc>
      </w:tr>
      <w:tr w:rsidR="000D07EA" w14:paraId="702945D6" w14:textId="77777777">
        <w:tc>
          <w:tcPr>
            <w:tcW w:w="2525" w:type="pct"/>
          </w:tcPr>
          <w:p w14:paraId="70DFD487" w14:textId="77777777" w:rsidR="000D07EA" w:rsidRDefault="00BE7C89">
            <w:pPr>
              <w:pStyle w:val="BodyText"/>
              <w:spacing w:before="100" w:after="100"/>
              <w:jc w:val="center"/>
              <w:rPr>
                <w:snapToGrid w:val="0"/>
                <w:lang w:val="en-AU" w:eastAsia="en-AU"/>
              </w:rPr>
            </w:pPr>
            <w:r>
              <w:rPr>
                <w:snapToGrid w:val="0"/>
                <w:lang w:val="en-AU" w:eastAsia="en-AU"/>
              </w:rPr>
              <w:t>Optus Zoo GPRS WAP browsing</w:t>
            </w:r>
          </w:p>
        </w:tc>
        <w:tc>
          <w:tcPr>
            <w:tcW w:w="2475" w:type="pct"/>
          </w:tcPr>
          <w:p w14:paraId="55E93F2B" w14:textId="77777777" w:rsidR="000D07EA" w:rsidRDefault="00BE7C89">
            <w:pPr>
              <w:pStyle w:val="BodyText"/>
              <w:spacing w:before="100" w:after="100"/>
              <w:jc w:val="center"/>
              <w:rPr>
                <w:b/>
                <w:snapToGrid w:val="0"/>
                <w:lang w:val="en-AU" w:eastAsia="en-AU"/>
              </w:rPr>
            </w:pPr>
            <w:r>
              <w:rPr>
                <w:b/>
                <w:snapToGrid w:val="0"/>
                <w:lang w:val="en-AU" w:eastAsia="en-AU"/>
              </w:rPr>
              <w:t>No</w:t>
            </w:r>
          </w:p>
        </w:tc>
      </w:tr>
      <w:tr w:rsidR="000D07EA" w14:paraId="0B90D2FD" w14:textId="77777777">
        <w:tc>
          <w:tcPr>
            <w:tcW w:w="2525" w:type="pct"/>
          </w:tcPr>
          <w:p w14:paraId="7A690E30" w14:textId="77777777" w:rsidR="000D07EA" w:rsidRDefault="00BE7C89">
            <w:pPr>
              <w:pStyle w:val="BodyText"/>
              <w:spacing w:before="100" w:after="100"/>
              <w:jc w:val="center"/>
              <w:rPr>
                <w:szCs w:val="20"/>
                <w:lang w:val="en-AU"/>
              </w:rPr>
            </w:pPr>
            <w:r>
              <w:rPr>
                <w:szCs w:val="20"/>
                <w:lang w:val="en-AU"/>
              </w:rPr>
              <w:t>applications from Optus and third party applications that require a BlackBerry Data connection</w:t>
            </w:r>
          </w:p>
        </w:tc>
        <w:tc>
          <w:tcPr>
            <w:tcW w:w="2475" w:type="pct"/>
          </w:tcPr>
          <w:p w14:paraId="2B523390" w14:textId="77777777" w:rsidR="000D07EA" w:rsidRDefault="00BE7C89">
            <w:pPr>
              <w:pStyle w:val="BodyText"/>
              <w:spacing w:before="100" w:after="100"/>
              <w:jc w:val="center"/>
              <w:rPr>
                <w:b/>
                <w:snapToGrid w:val="0"/>
                <w:lang w:val="en-AU" w:eastAsia="en-AU"/>
              </w:rPr>
            </w:pPr>
            <w:r>
              <w:rPr>
                <w:b/>
                <w:snapToGrid w:val="0"/>
                <w:lang w:val="en-AU" w:eastAsia="en-AU"/>
              </w:rPr>
              <w:t>Yes</w:t>
            </w:r>
          </w:p>
        </w:tc>
      </w:tr>
      <w:tr w:rsidR="000D07EA" w14:paraId="52BEA0E6" w14:textId="77777777">
        <w:tc>
          <w:tcPr>
            <w:tcW w:w="2525" w:type="pct"/>
          </w:tcPr>
          <w:p w14:paraId="4DFAE5D0" w14:textId="77777777" w:rsidR="000D07EA" w:rsidRDefault="00BE7C89">
            <w:pPr>
              <w:pStyle w:val="BodyText"/>
              <w:spacing w:before="100" w:after="100"/>
              <w:jc w:val="center"/>
              <w:rPr>
                <w:snapToGrid w:val="0"/>
                <w:lang w:val="en-AU" w:eastAsia="en-AU"/>
              </w:rPr>
            </w:pPr>
            <w:r>
              <w:rPr>
                <w:snapToGrid w:val="0"/>
                <w:lang w:val="en-AU" w:eastAsia="en-AU"/>
              </w:rPr>
              <w:t>All other call types or usage</w:t>
            </w:r>
          </w:p>
        </w:tc>
        <w:tc>
          <w:tcPr>
            <w:tcW w:w="2475" w:type="pct"/>
          </w:tcPr>
          <w:p w14:paraId="2D4F355B" w14:textId="77777777" w:rsidR="000D07EA" w:rsidRDefault="00BE7C89">
            <w:pPr>
              <w:pStyle w:val="BodyText"/>
              <w:spacing w:before="100" w:after="100"/>
              <w:jc w:val="center"/>
              <w:rPr>
                <w:b/>
                <w:snapToGrid w:val="0"/>
                <w:lang w:val="en-AU" w:eastAsia="en-AU"/>
              </w:rPr>
            </w:pPr>
            <w:r>
              <w:rPr>
                <w:b/>
                <w:snapToGrid w:val="0"/>
                <w:lang w:val="en-AU" w:eastAsia="en-AU"/>
              </w:rPr>
              <w:t>No</w:t>
            </w:r>
          </w:p>
        </w:tc>
      </w:tr>
    </w:tbl>
    <w:p w14:paraId="762F8446" w14:textId="77777777" w:rsidR="000D07EA" w:rsidRDefault="000D07EA">
      <w:pPr>
        <w:pStyle w:val="BodyText"/>
      </w:pPr>
    </w:p>
    <w:p w14:paraId="17F260C7" w14:textId="77777777" w:rsidR="000D07EA" w:rsidRDefault="00BE7C89">
      <w:pPr>
        <w:pStyle w:val="BodyText"/>
        <w:ind w:left="1440"/>
        <w:rPr>
          <w:b/>
        </w:rPr>
      </w:pPr>
      <w:r>
        <w:rPr>
          <w:b/>
        </w:rPr>
        <w:t>Table 2C – Eligible for the included International Value</w:t>
      </w:r>
    </w:p>
    <w:tbl>
      <w:tblPr>
        <w:tblW w:w="4297"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422"/>
        <w:gridCol w:w="4334"/>
      </w:tblGrid>
      <w:tr w:rsidR="000D07EA" w14:paraId="6DB059EC" w14:textId="77777777">
        <w:trPr>
          <w:tblHeader/>
        </w:trPr>
        <w:tc>
          <w:tcPr>
            <w:tcW w:w="2525" w:type="pct"/>
          </w:tcPr>
          <w:p w14:paraId="487762C5" w14:textId="77777777" w:rsidR="000D07EA" w:rsidRDefault="00BE7C89">
            <w:pPr>
              <w:pStyle w:val="BodyText"/>
              <w:spacing w:before="100" w:after="100"/>
              <w:rPr>
                <w:b/>
                <w:lang w:val="en-AU"/>
              </w:rPr>
            </w:pPr>
            <w:r>
              <w:rPr>
                <w:b/>
                <w:lang w:val="en-AU"/>
              </w:rPr>
              <w:t>Call Type</w:t>
            </w:r>
          </w:p>
        </w:tc>
        <w:tc>
          <w:tcPr>
            <w:tcW w:w="2475" w:type="pct"/>
          </w:tcPr>
          <w:p w14:paraId="27150D6A" w14:textId="77777777" w:rsidR="000D07EA" w:rsidRDefault="00BE7C89">
            <w:pPr>
              <w:pStyle w:val="BodyText"/>
              <w:spacing w:before="100" w:after="100"/>
              <w:rPr>
                <w:b/>
                <w:lang w:val="en-AU"/>
              </w:rPr>
            </w:pPr>
            <w:r>
              <w:rPr>
                <w:b/>
                <w:lang w:val="en-AU"/>
              </w:rPr>
              <w:t>Eligible Call</w:t>
            </w:r>
          </w:p>
        </w:tc>
      </w:tr>
      <w:tr w:rsidR="000D07EA" w14:paraId="038D6421" w14:textId="77777777">
        <w:tc>
          <w:tcPr>
            <w:tcW w:w="2525" w:type="pct"/>
          </w:tcPr>
          <w:p w14:paraId="21769857" w14:textId="77777777" w:rsidR="000D07EA" w:rsidRDefault="00BE7C89">
            <w:pPr>
              <w:pStyle w:val="BodyText"/>
              <w:spacing w:before="100" w:after="100"/>
              <w:rPr>
                <w:lang w:val="en-AU"/>
              </w:rPr>
            </w:pPr>
            <w:r>
              <w:rPr>
                <w:lang w:val="en-AU"/>
              </w:rPr>
              <w:t>National Voice Calls</w:t>
            </w:r>
          </w:p>
        </w:tc>
        <w:tc>
          <w:tcPr>
            <w:tcW w:w="2475" w:type="pct"/>
          </w:tcPr>
          <w:p w14:paraId="5DBF00C5" w14:textId="77777777" w:rsidR="000D07EA" w:rsidRDefault="00BE7C89">
            <w:pPr>
              <w:pStyle w:val="BodyText"/>
              <w:spacing w:before="100" w:after="100"/>
              <w:rPr>
                <w:lang w:val="en-AU"/>
              </w:rPr>
            </w:pPr>
            <w:r>
              <w:rPr>
                <w:lang w:val="en-AU"/>
              </w:rPr>
              <w:t>No</w:t>
            </w:r>
          </w:p>
        </w:tc>
      </w:tr>
      <w:tr w:rsidR="000D07EA" w14:paraId="2CF91568" w14:textId="77777777">
        <w:tc>
          <w:tcPr>
            <w:tcW w:w="2525" w:type="pct"/>
          </w:tcPr>
          <w:p w14:paraId="6247024E" w14:textId="77777777" w:rsidR="000D07EA" w:rsidRDefault="00BE7C89">
            <w:pPr>
              <w:pStyle w:val="BodyText"/>
              <w:spacing w:before="100" w:after="100"/>
              <w:rPr>
                <w:lang w:val="en-AU"/>
              </w:rPr>
            </w:pPr>
            <w:r>
              <w:rPr>
                <w:lang w:val="en-AU"/>
              </w:rPr>
              <w:lastRenderedPageBreak/>
              <w:t>National Video Calls</w:t>
            </w:r>
          </w:p>
        </w:tc>
        <w:tc>
          <w:tcPr>
            <w:tcW w:w="2475" w:type="pct"/>
          </w:tcPr>
          <w:p w14:paraId="59304CA4" w14:textId="77777777" w:rsidR="000D07EA" w:rsidRDefault="00BE7C89">
            <w:pPr>
              <w:pStyle w:val="BodyText"/>
              <w:spacing w:before="100" w:after="100"/>
              <w:rPr>
                <w:lang w:val="en-AU"/>
              </w:rPr>
            </w:pPr>
            <w:r>
              <w:rPr>
                <w:lang w:val="en-AU"/>
              </w:rPr>
              <w:t>No</w:t>
            </w:r>
          </w:p>
        </w:tc>
      </w:tr>
      <w:tr w:rsidR="000D07EA" w14:paraId="19D5A718" w14:textId="77777777">
        <w:tc>
          <w:tcPr>
            <w:tcW w:w="2525" w:type="pct"/>
          </w:tcPr>
          <w:p w14:paraId="6AB70AD9" w14:textId="77777777" w:rsidR="000D07EA" w:rsidRDefault="00BE7C89">
            <w:pPr>
              <w:pStyle w:val="BodyText"/>
              <w:spacing w:before="100" w:after="100"/>
              <w:rPr>
                <w:lang w:val="en-AU"/>
              </w:rPr>
            </w:pPr>
            <w:r>
              <w:rPr>
                <w:lang w:val="en-AU"/>
              </w:rPr>
              <w:t>International Voice Calls</w:t>
            </w:r>
          </w:p>
          <w:p w14:paraId="0B281F65" w14:textId="77777777" w:rsidR="000D07EA" w:rsidRDefault="00BE7C89">
            <w:pPr>
              <w:pStyle w:val="BodyText"/>
              <w:spacing w:before="100" w:after="100"/>
              <w:rPr>
                <w:lang w:val="en-AU"/>
              </w:rPr>
            </w:pPr>
            <w:r>
              <w:rPr>
                <w:snapToGrid w:val="0"/>
                <w:lang w:val="en-AU"/>
              </w:rPr>
              <w:t>(includes calls to national fixed or GSM mobile services that then divert/switch or re-route overseas)</w:t>
            </w:r>
          </w:p>
        </w:tc>
        <w:tc>
          <w:tcPr>
            <w:tcW w:w="2475" w:type="pct"/>
          </w:tcPr>
          <w:p w14:paraId="1D492323" w14:textId="77777777" w:rsidR="000D07EA" w:rsidRDefault="00BE7C89">
            <w:pPr>
              <w:pStyle w:val="BodyText"/>
              <w:spacing w:before="100" w:after="100"/>
              <w:rPr>
                <w:lang w:val="en-AU"/>
              </w:rPr>
            </w:pPr>
            <w:r>
              <w:rPr>
                <w:lang w:val="en-AU"/>
              </w:rPr>
              <w:t>Yes</w:t>
            </w:r>
          </w:p>
        </w:tc>
      </w:tr>
      <w:tr w:rsidR="000D07EA" w14:paraId="4BDE985F" w14:textId="77777777">
        <w:tc>
          <w:tcPr>
            <w:tcW w:w="2525" w:type="pct"/>
          </w:tcPr>
          <w:p w14:paraId="34781218" w14:textId="77777777" w:rsidR="000D07EA" w:rsidRDefault="00BE7C89">
            <w:pPr>
              <w:pStyle w:val="BodyText"/>
              <w:spacing w:before="100" w:after="100"/>
              <w:rPr>
                <w:lang w:val="en-AU"/>
              </w:rPr>
            </w:pPr>
            <w:r>
              <w:rPr>
                <w:lang w:val="en-AU"/>
              </w:rPr>
              <w:t>International Video Calls</w:t>
            </w:r>
          </w:p>
          <w:p w14:paraId="7D5AFC68" w14:textId="77777777" w:rsidR="000D07EA" w:rsidRDefault="00BE7C89">
            <w:pPr>
              <w:pStyle w:val="BodyText"/>
              <w:spacing w:before="100" w:after="100"/>
              <w:rPr>
                <w:lang w:val="en-AU"/>
              </w:rPr>
            </w:pPr>
            <w:r>
              <w:rPr>
                <w:snapToGrid w:val="0"/>
                <w:lang w:val="en-AU"/>
              </w:rPr>
              <w:t>(includes calls to national fixed or GSM mobile services that then divert/switch or re-route overseas)</w:t>
            </w:r>
          </w:p>
        </w:tc>
        <w:tc>
          <w:tcPr>
            <w:tcW w:w="2475" w:type="pct"/>
          </w:tcPr>
          <w:p w14:paraId="26920BE2" w14:textId="77777777" w:rsidR="000D07EA" w:rsidRDefault="00BE7C89">
            <w:pPr>
              <w:pStyle w:val="BodyText"/>
              <w:spacing w:before="100" w:after="100"/>
              <w:rPr>
                <w:lang w:val="en-AU"/>
              </w:rPr>
            </w:pPr>
            <w:r>
              <w:rPr>
                <w:lang w:val="en-AU"/>
              </w:rPr>
              <w:t>No</w:t>
            </w:r>
          </w:p>
        </w:tc>
      </w:tr>
      <w:tr w:rsidR="000D07EA" w14:paraId="23764395" w14:textId="77777777">
        <w:tc>
          <w:tcPr>
            <w:tcW w:w="2525" w:type="pct"/>
          </w:tcPr>
          <w:p w14:paraId="358841FD" w14:textId="77777777" w:rsidR="000D07EA" w:rsidRDefault="00BE7C89">
            <w:pPr>
              <w:pStyle w:val="BodyText"/>
              <w:spacing w:before="100" w:after="100"/>
              <w:rPr>
                <w:lang w:val="en-AU"/>
              </w:rPr>
            </w:pPr>
            <w:r>
              <w:rPr>
                <w:lang w:val="en-AU"/>
              </w:rPr>
              <w:t>National Standard SMS</w:t>
            </w:r>
          </w:p>
        </w:tc>
        <w:tc>
          <w:tcPr>
            <w:tcW w:w="2475" w:type="pct"/>
          </w:tcPr>
          <w:p w14:paraId="475859B5" w14:textId="77777777" w:rsidR="000D07EA" w:rsidRDefault="00BE7C89">
            <w:pPr>
              <w:pStyle w:val="BodyText"/>
              <w:spacing w:before="100" w:after="100"/>
              <w:rPr>
                <w:lang w:val="en-AU"/>
              </w:rPr>
            </w:pPr>
            <w:r>
              <w:rPr>
                <w:lang w:val="en-AU"/>
              </w:rPr>
              <w:t>No</w:t>
            </w:r>
          </w:p>
        </w:tc>
      </w:tr>
      <w:tr w:rsidR="000D07EA" w14:paraId="775976C2" w14:textId="77777777">
        <w:tc>
          <w:tcPr>
            <w:tcW w:w="2525" w:type="pct"/>
          </w:tcPr>
          <w:p w14:paraId="0B0B61E8" w14:textId="77777777" w:rsidR="000D07EA" w:rsidRDefault="00BE7C89">
            <w:pPr>
              <w:pStyle w:val="BodyText"/>
              <w:spacing w:before="100" w:after="100"/>
              <w:rPr>
                <w:lang w:val="en-AU"/>
              </w:rPr>
            </w:pPr>
            <w:r>
              <w:rPr>
                <w:lang w:val="en-AU"/>
              </w:rPr>
              <w:t>International SMS</w:t>
            </w:r>
          </w:p>
        </w:tc>
        <w:tc>
          <w:tcPr>
            <w:tcW w:w="2475" w:type="pct"/>
          </w:tcPr>
          <w:p w14:paraId="4EB7AC4A" w14:textId="77777777" w:rsidR="000D07EA" w:rsidRDefault="00BE7C89">
            <w:pPr>
              <w:pStyle w:val="BodyText"/>
              <w:spacing w:before="100" w:after="100"/>
              <w:rPr>
                <w:lang w:val="en-AU"/>
              </w:rPr>
            </w:pPr>
            <w:r>
              <w:rPr>
                <w:lang w:val="en-AU"/>
              </w:rPr>
              <w:t>Yes</w:t>
            </w:r>
          </w:p>
        </w:tc>
      </w:tr>
      <w:tr w:rsidR="000D07EA" w14:paraId="0A49DE63" w14:textId="77777777">
        <w:tc>
          <w:tcPr>
            <w:tcW w:w="2525" w:type="pct"/>
          </w:tcPr>
          <w:p w14:paraId="3E2DF58D" w14:textId="77777777" w:rsidR="000D07EA" w:rsidRDefault="00BE7C89">
            <w:pPr>
              <w:pStyle w:val="BodyText"/>
              <w:spacing w:before="100" w:after="100"/>
              <w:rPr>
                <w:lang w:val="en-AU"/>
              </w:rPr>
            </w:pPr>
            <w:r>
              <w:rPr>
                <w:lang w:val="en-AU"/>
              </w:rPr>
              <w:t>National MMS</w:t>
            </w:r>
          </w:p>
        </w:tc>
        <w:tc>
          <w:tcPr>
            <w:tcW w:w="2475" w:type="pct"/>
          </w:tcPr>
          <w:p w14:paraId="0431EC7B" w14:textId="77777777" w:rsidR="000D07EA" w:rsidRDefault="00BE7C89">
            <w:pPr>
              <w:pStyle w:val="BodyText"/>
              <w:spacing w:before="100" w:after="100"/>
              <w:rPr>
                <w:lang w:val="en-AU"/>
              </w:rPr>
            </w:pPr>
            <w:r>
              <w:rPr>
                <w:lang w:val="en-AU"/>
              </w:rPr>
              <w:t>No</w:t>
            </w:r>
          </w:p>
        </w:tc>
      </w:tr>
      <w:tr w:rsidR="000D07EA" w14:paraId="50DE8B02" w14:textId="77777777">
        <w:tc>
          <w:tcPr>
            <w:tcW w:w="2525" w:type="pct"/>
          </w:tcPr>
          <w:p w14:paraId="4EE53C2E" w14:textId="77777777" w:rsidR="000D07EA" w:rsidRDefault="00BE7C89">
            <w:pPr>
              <w:pStyle w:val="BodyText"/>
              <w:spacing w:before="100" w:after="100"/>
              <w:rPr>
                <w:lang w:val="en-AU"/>
              </w:rPr>
            </w:pPr>
            <w:r>
              <w:rPr>
                <w:lang w:val="en-AU"/>
              </w:rPr>
              <w:t>International MMS</w:t>
            </w:r>
          </w:p>
        </w:tc>
        <w:tc>
          <w:tcPr>
            <w:tcW w:w="2475" w:type="pct"/>
          </w:tcPr>
          <w:p w14:paraId="4B427DBD" w14:textId="77777777" w:rsidR="000D07EA" w:rsidRDefault="00BE7C89">
            <w:pPr>
              <w:pStyle w:val="BodyText"/>
              <w:spacing w:before="100" w:after="100"/>
              <w:rPr>
                <w:lang w:val="en-AU"/>
              </w:rPr>
            </w:pPr>
            <w:r>
              <w:rPr>
                <w:lang w:val="en-AU"/>
              </w:rPr>
              <w:t>Yes</w:t>
            </w:r>
          </w:p>
        </w:tc>
      </w:tr>
      <w:tr w:rsidR="000D07EA" w14:paraId="3A164AB7" w14:textId="77777777">
        <w:tc>
          <w:tcPr>
            <w:tcW w:w="2525" w:type="pct"/>
          </w:tcPr>
          <w:p w14:paraId="0487B348" w14:textId="77777777" w:rsidR="000D07EA" w:rsidRDefault="00BE7C89">
            <w:pPr>
              <w:pStyle w:val="BodyText"/>
              <w:spacing w:before="100" w:after="100"/>
              <w:rPr>
                <w:lang w:val="en-AU"/>
              </w:rPr>
            </w:pPr>
            <w:r>
              <w:rPr>
                <w:lang w:val="en-AU"/>
              </w:rPr>
              <w:t>National Diversions</w:t>
            </w:r>
          </w:p>
        </w:tc>
        <w:tc>
          <w:tcPr>
            <w:tcW w:w="2475" w:type="pct"/>
          </w:tcPr>
          <w:p w14:paraId="64F585AE" w14:textId="77777777" w:rsidR="000D07EA" w:rsidRDefault="00BE7C89">
            <w:pPr>
              <w:pStyle w:val="BodyText"/>
              <w:spacing w:before="100" w:after="100"/>
              <w:rPr>
                <w:lang w:val="en-AU"/>
              </w:rPr>
            </w:pPr>
            <w:r>
              <w:rPr>
                <w:lang w:val="en-AU"/>
              </w:rPr>
              <w:t>No</w:t>
            </w:r>
          </w:p>
        </w:tc>
      </w:tr>
      <w:tr w:rsidR="000D07EA" w14:paraId="472E8C1F" w14:textId="77777777">
        <w:tc>
          <w:tcPr>
            <w:tcW w:w="2525" w:type="pct"/>
          </w:tcPr>
          <w:p w14:paraId="043D148B" w14:textId="77777777" w:rsidR="000D07EA" w:rsidRDefault="00BE7C89">
            <w:pPr>
              <w:pStyle w:val="BodyText"/>
              <w:spacing w:before="100" w:after="100"/>
              <w:rPr>
                <w:lang w:val="en-AU"/>
              </w:rPr>
            </w:pPr>
            <w:r>
              <w:rPr>
                <w:lang w:val="en-AU"/>
              </w:rPr>
              <w:t>Voicemail Deposit and Retrievals</w:t>
            </w:r>
          </w:p>
        </w:tc>
        <w:tc>
          <w:tcPr>
            <w:tcW w:w="2475" w:type="pct"/>
          </w:tcPr>
          <w:p w14:paraId="3649C59B" w14:textId="77777777" w:rsidR="000D07EA" w:rsidRDefault="00BE7C89">
            <w:pPr>
              <w:pStyle w:val="BodyText"/>
              <w:spacing w:before="100" w:after="100"/>
              <w:rPr>
                <w:lang w:val="en-AU"/>
              </w:rPr>
            </w:pPr>
            <w:r>
              <w:rPr>
                <w:lang w:val="en-AU"/>
              </w:rPr>
              <w:t>No</w:t>
            </w:r>
          </w:p>
        </w:tc>
      </w:tr>
      <w:tr w:rsidR="000D07EA" w14:paraId="43DD819E" w14:textId="77777777">
        <w:tc>
          <w:tcPr>
            <w:tcW w:w="2525" w:type="pct"/>
          </w:tcPr>
          <w:p w14:paraId="5FC25FAB" w14:textId="77777777" w:rsidR="000D07EA" w:rsidRDefault="00BE7C89">
            <w:pPr>
              <w:pStyle w:val="BodyText"/>
              <w:spacing w:before="100" w:after="100"/>
              <w:rPr>
                <w:lang w:val="en-AU"/>
              </w:rPr>
            </w:pPr>
            <w:r>
              <w:rPr>
                <w:lang w:val="en-AU"/>
              </w:rPr>
              <w:t>International Roaming and Diversion</w:t>
            </w:r>
          </w:p>
        </w:tc>
        <w:tc>
          <w:tcPr>
            <w:tcW w:w="2475" w:type="pct"/>
          </w:tcPr>
          <w:p w14:paraId="3EDD1E3B" w14:textId="77777777" w:rsidR="000D07EA" w:rsidRDefault="00BE7C89">
            <w:pPr>
              <w:pStyle w:val="BodyText"/>
              <w:spacing w:before="100" w:after="100"/>
              <w:rPr>
                <w:lang w:val="en-AU"/>
              </w:rPr>
            </w:pPr>
            <w:r>
              <w:rPr>
                <w:lang w:val="en-AU"/>
              </w:rPr>
              <w:t>No</w:t>
            </w:r>
          </w:p>
        </w:tc>
      </w:tr>
      <w:tr w:rsidR="000D07EA" w14:paraId="053B555F" w14:textId="77777777">
        <w:tc>
          <w:tcPr>
            <w:tcW w:w="2525" w:type="pct"/>
          </w:tcPr>
          <w:p w14:paraId="23C26F7B" w14:textId="77777777" w:rsidR="000D07EA" w:rsidRDefault="00BE7C89">
            <w:pPr>
              <w:pStyle w:val="BodyText"/>
              <w:spacing w:before="100" w:after="100"/>
              <w:rPr>
                <w:lang w:val="en-AU"/>
              </w:rPr>
            </w:pPr>
            <w:r>
              <w:rPr>
                <w:lang w:val="en-AU"/>
              </w:rPr>
              <w:t>Premium SMS</w:t>
            </w:r>
          </w:p>
        </w:tc>
        <w:tc>
          <w:tcPr>
            <w:tcW w:w="2475" w:type="pct"/>
          </w:tcPr>
          <w:p w14:paraId="753B766E" w14:textId="77777777" w:rsidR="000D07EA" w:rsidRDefault="00BE7C89">
            <w:pPr>
              <w:pStyle w:val="BodyText"/>
              <w:spacing w:before="100" w:after="100"/>
              <w:rPr>
                <w:lang w:val="en-AU"/>
              </w:rPr>
            </w:pPr>
            <w:r>
              <w:rPr>
                <w:lang w:val="en-AU"/>
              </w:rPr>
              <w:t>No</w:t>
            </w:r>
          </w:p>
        </w:tc>
      </w:tr>
      <w:tr w:rsidR="000D07EA" w14:paraId="32972B56" w14:textId="77777777">
        <w:tc>
          <w:tcPr>
            <w:tcW w:w="2525" w:type="pct"/>
          </w:tcPr>
          <w:p w14:paraId="5046D748" w14:textId="77777777" w:rsidR="000D07EA" w:rsidRDefault="00BE7C89">
            <w:pPr>
              <w:pStyle w:val="BodyText"/>
              <w:spacing w:before="100" w:after="100"/>
              <w:rPr>
                <w:lang w:val="en-AU"/>
              </w:rPr>
            </w:pPr>
            <w:r>
              <w:rPr>
                <w:lang w:val="en-AU"/>
              </w:rPr>
              <w:t>Premium Video</w:t>
            </w:r>
          </w:p>
        </w:tc>
        <w:tc>
          <w:tcPr>
            <w:tcW w:w="2475" w:type="pct"/>
          </w:tcPr>
          <w:p w14:paraId="48BDC0B8" w14:textId="77777777" w:rsidR="000D07EA" w:rsidRDefault="00BE7C89">
            <w:pPr>
              <w:pStyle w:val="BodyText"/>
              <w:spacing w:before="100" w:after="100"/>
              <w:rPr>
                <w:lang w:val="en-AU"/>
              </w:rPr>
            </w:pPr>
            <w:r>
              <w:rPr>
                <w:lang w:val="en-AU"/>
              </w:rPr>
              <w:t>No</w:t>
            </w:r>
          </w:p>
        </w:tc>
      </w:tr>
      <w:tr w:rsidR="000D07EA" w14:paraId="3AE92F72" w14:textId="77777777">
        <w:tc>
          <w:tcPr>
            <w:tcW w:w="2525" w:type="pct"/>
          </w:tcPr>
          <w:p w14:paraId="6C664992" w14:textId="77777777" w:rsidR="000D07EA" w:rsidRDefault="00BE7C89">
            <w:pPr>
              <w:pStyle w:val="BodyText"/>
              <w:spacing w:before="100" w:after="100"/>
              <w:rPr>
                <w:lang w:val="en-AU"/>
              </w:rPr>
            </w:pPr>
            <w:r>
              <w:rPr>
                <w:lang w:val="en-AU"/>
              </w:rPr>
              <w:t>Video Conferencing</w:t>
            </w:r>
          </w:p>
        </w:tc>
        <w:tc>
          <w:tcPr>
            <w:tcW w:w="2475" w:type="pct"/>
          </w:tcPr>
          <w:p w14:paraId="2B21633F" w14:textId="77777777" w:rsidR="000D07EA" w:rsidRDefault="00BE7C89">
            <w:pPr>
              <w:pStyle w:val="BodyText"/>
              <w:spacing w:before="100" w:after="100"/>
              <w:rPr>
                <w:lang w:val="en-AU"/>
              </w:rPr>
            </w:pPr>
            <w:r>
              <w:rPr>
                <w:lang w:val="en-AU"/>
              </w:rPr>
              <w:t>No</w:t>
            </w:r>
          </w:p>
        </w:tc>
      </w:tr>
      <w:tr w:rsidR="000D07EA" w14:paraId="77A662C1" w14:textId="77777777">
        <w:tc>
          <w:tcPr>
            <w:tcW w:w="2525" w:type="pct"/>
          </w:tcPr>
          <w:p w14:paraId="1ECDEDCD" w14:textId="77777777" w:rsidR="000D07EA" w:rsidRDefault="00BE7C89">
            <w:pPr>
              <w:pStyle w:val="BodyText"/>
              <w:spacing w:before="100" w:after="100"/>
              <w:rPr>
                <w:lang w:val="en-AU"/>
              </w:rPr>
            </w:pPr>
            <w:r>
              <w:rPr>
                <w:lang w:val="en-AU"/>
              </w:rPr>
              <w:t>Optus Zoo or Optus iZoo Browsing</w:t>
            </w:r>
          </w:p>
        </w:tc>
        <w:tc>
          <w:tcPr>
            <w:tcW w:w="2475" w:type="pct"/>
          </w:tcPr>
          <w:p w14:paraId="5D288C97" w14:textId="77777777" w:rsidR="000D07EA" w:rsidRDefault="00BE7C89">
            <w:pPr>
              <w:pStyle w:val="BodyText"/>
              <w:spacing w:before="100" w:after="100"/>
              <w:rPr>
                <w:lang w:val="en-AU"/>
              </w:rPr>
            </w:pPr>
            <w:r>
              <w:rPr>
                <w:lang w:val="en-AU"/>
              </w:rPr>
              <w:t>No</w:t>
            </w:r>
          </w:p>
        </w:tc>
      </w:tr>
      <w:tr w:rsidR="000D07EA" w14:paraId="7FDF4D97" w14:textId="77777777">
        <w:tc>
          <w:tcPr>
            <w:tcW w:w="2525" w:type="pct"/>
          </w:tcPr>
          <w:p w14:paraId="45278784" w14:textId="77777777" w:rsidR="000D07EA" w:rsidRDefault="00BE7C89">
            <w:pPr>
              <w:pStyle w:val="BodyText"/>
              <w:spacing w:before="100" w:after="100"/>
              <w:rPr>
                <w:lang w:val="en-AU"/>
              </w:rPr>
            </w:pPr>
            <w:r>
              <w:rPr>
                <w:lang w:val="en-AU"/>
              </w:rPr>
              <w:t>Optus Zoo or Optus iZoo Downloads</w:t>
            </w:r>
          </w:p>
        </w:tc>
        <w:tc>
          <w:tcPr>
            <w:tcW w:w="2475" w:type="pct"/>
          </w:tcPr>
          <w:p w14:paraId="1886A11B" w14:textId="77777777" w:rsidR="000D07EA" w:rsidRDefault="00BE7C89">
            <w:pPr>
              <w:pStyle w:val="BodyText"/>
              <w:spacing w:before="100" w:after="100"/>
              <w:rPr>
                <w:lang w:val="en-AU"/>
              </w:rPr>
            </w:pPr>
            <w:r>
              <w:rPr>
                <w:lang w:val="en-AU"/>
              </w:rPr>
              <w:t>No</w:t>
            </w:r>
          </w:p>
        </w:tc>
      </w:tr>
      <w:tr w:rsidR="000D07EA" w14:paraId="52ACAFBC" w14:textId="77777777">
        <w:tc>
          <w:tcPr>
            <w:tcW w:w="2525" w:type="pct"/>
          </w:tcPr>
          <w:p w14:paraId="34B09051" w14:textId="77777777" w:rsidR="000D07EA" w:rsidRDefault="00BE7C89">
            <w:pPr>
              <w:pStyle w:val="BodyText"/>
              <w:spacing w:before="100" w:after="100"/>
              <w:rPr>
                <w:lang w:val="en-AU"/>
              </w:rPr>
            </w:pPr>
            <w:r>
              <w:rPr>
                <w:lang w:val="en-AU"/>
              </w:rPr>
              <w:t>SMS to 966 (Zoo)</w:t>
            </w:r>
          </w:p>
        </w:tc>
        <w:tc>
          <w:tcPr>
            <w:tcW w:w="2475" w:type="pct"/>
          </w:tcPr>
          <w:p w14:paraId="749D5401" w14:textId="77777777" w:rsidR="000D07EA" w:rsidRDefault="00BE7C89">
            <w:pPr>
              <w:pStyle w:val="BodyText"/>
              <w:spacing w:before="100" w:after="100"/>
              <w:rPr>
                <w:lang w:val="en-AU"/>
              </w:rPr>
            </w:pPr>
            <w:r>
              <w:rPr>
                <w:lang w:val="en-AU"/>
              </w:rPr>
              <w:t>No</w:t>
            </w:r>
          </w:p>
        </w:tc>
      </w:tr>
      <w:tr w:rsidR="000D07EA" w14:paraId="1DE2766D" w14:textId="77777777">
        <w:tc>
          <w:tcPr>
            <w:tcW w:w="2525" w:type="pct"/>
          </w:tcPr>
          <w:p w14:paraId="45DEA56D" w14:textId="77777777" w:rsidR="000D07EA" w:rsidRDefault="00BE7C89">
            <w:pPr>
              <w:pStyle w:val="BodyText"/>
              <w:spacing w:before="100" w:after="100"/>
              <w:rPr>
                <w:lang w:val="en-AU"/>
              </w:rPr>
            </w:pPr>
            <w:r>
              <w:rPr>
                <w:lang w:val="en-AU"/>
              </w:rPr>
              <w:t>Mobile Internet usage</w:t>
            </w:r>
          </w:p>
        </w:tc>
        <w:tc>
          <w:tcPr>
            <w:tcW w:w="2475" w:type="pct"/>
          </w:tcPr>
          <w:p w14:paraId="097D102E" w14:textId="77777777" w:rsidR="000D07EA" w:rsidRDefault="00BE7C89">
            <w:pPr>
              <w:pStyle w:val="BodyText"/>
              <w:spacing w:before="100" w:after="100"/>
              <w:rPr>
                <w:lang w:val="en-AU"/>
              </w:rPr>
            </w:pPr>
            <w:r>
              <w:rPr>
                <w:lang w:val="en-AU"/>
              </w:rPr>
              <w:t>No</w:t>
            </w:r>
          </w:p>
        </w:tc>
      </w:tr>
      <w:tr w:rsidR="000D07EA" w14:paraId="5F324B10" w14:textId="77777777">
        <w:tc>
          <w:tcPr>
            <w:tcW w:w="2525" w:type="pct"/>
          </w:tcPr>
          <w:p w14:paraId="13E5F28A" w14:textId="77777777" w:rsidR="000D07EA" w:rsidRDefault="00BE7C89">
            <w:pPr>
              <w:pStyle w:val="BodyText"/>
              <w:spacing w:before="100" w:after="100"/>
              <w:rPr>
                <w:lang w:val="en-AU"/>
              </w:rPr>
            </w:pPr>
            <w:r>
              <w:rPr>
                <w:lang w:val="en-AU"/>
              </w:rPr>
              <w:t>Data Used while Roaming Internationally</w:t>
            </w:r>
          </w:p>
        </w:tc>
        <w:tc>
          <w:tcPr>
            <w:tcW w:w="2475" w:type="pct"/>
          </w:tcPr>
          <w:p w14:paraId="779661C9" w14:textId="77777777" w:rsidR="000D07EA" w:rsidRDefault="00BE7C89">
            <w:pPr>
              <w:pStyle w:val="BodyText"/>
              <w:spacing w:before="100" w:after="100"/>
              <w:rPr>
                <w:lang w:val="en-AU"/>
              </w:rPr>
            </w:pPr>
            <w:r>
              <w:rPr>
                <w:lang w:val="en-AU"/>
              </w:rPr>
              <w:t>No</w:t>
            </w:r>
          </w:p>
        </w:tc>
      </w:tr>
      <w:tr w:rsidR="000D07EA" w14:paraId="2279A610" w14:textId="77777777">
        <w:tc>
          <w:tcPr>
            <w:tcW w:w="2525" w:type="pct"/>
          </w:tcPr>
          <w:p w14:paraId="27768625" w14:textId="77777777" w:rsidR="000D07EA" w:rsidRDefault="00BE7C89">
            <w:pPr>
              <w:pStyle w:val="BodyText"/>
              <w:spacing w:before="100" w:after="100"/>
              <w:rPr>
                <w:lang w:val="en-AU"/>
              </w:rPr>
            </w:pPr>
            <w:r>
              <w:rPr>
                <w:lang w:val="en-AU"/>
              </w:rPr>
              <w:t>Content Packs (unless specified in promotions)</w:t>
            </w:r>
          </w:p>
        </w:tc>
        <w:tc>
          <w:tcPr>
            <w:tcW w:w="2475" w:type="pct"/>
          </w:tcPr>
          <w:p w14:paraId="09051169" w14:textId="77777777" w:rsidR="000D07EA" w:rsidRDefault="00BE7C89">
            <w:pPr>
              <w:pStyle w:val="BodyText"/>
              <w:spacing w:before="100" w:after="100"/>
              <w:rPr>
                <w:lang w:val="en-AU"/>
              </w:rPr>
            </w:pPr>
            <w:r>
              <w:rPr>
                <w:lang w:val="en-AU"/>
              </w:rPr>
              <w:t>No</w:t>
            </w:r>
          </w:p>
        </w:tc>
      </w:tr>
      <w:tr w:rsidR="000D07EA" w14:paraId="2F85FC41" w14:textId="77777777">
        <w:tc>
          <w:tcPr>
            <w:tcW w:w="2525" w:type="pct"/>
          </w:tcPr>
          <w:p w14:paraId="2FE48124" w14:textId="77777777" w:rsidR="000D07EA" w:rsidRDefault="00BE7C89">
            <w:pPr>
              <w:pStyle w:val="BodyText"/>
              <w:spacing w:before="100" w:after="100"/>
              <w:rPr>
                <w:lang w:val="en-AU"/>
              </w:rPr>
            </w:pPr>
            <w:r>
              <w:rPr>
                <w:lang w:val="en-AU"/>
              </w:rPr>
              <w:t>TrueLocal Usage</w:t>
            </w:r>
          </w:p>
        </w:tc>
        <w:tc>
          <w:tcPr>
            <w:tcW w:w="2475" w:type="pct"/>
          </w:tcPr>
          <w:p w14:paraId="6C3B06EF" w14:textId="77777777" w:rsidR="000D07EA" w:rsidRDefault="00BE7C89">
            <w:pPr>
              <w:pStyle w:val="BodyText"/>
              <w:spacing w:before="100" w:after="100"/>
              <w:rPr>
                <w:lang w:val="en-AU"/>
              </w:rPr>
            </w:pPr>
            <w:r>
              <w:rPr>
                <w:lang w:val="en-AU"/>
              </w:rPr>
              <w:t>No</w:t>
            </w:r>
          </w:p>
        </w:tc>
      </w:tr>
      <w:tr w:rsidR="000D07EA" w14:paraId="5C52EB04" w14:textId="77777777">
        <w:tc>
          <w:tcPr>
            <w:tcW w:w="2525" w:type="pct"/>
          </w:tcPr>
          <w:p w14:paraId="422B2626" w14:textId="77777777" w:rsidR="000D07EA" w:rsidRDefault="00BE7C89">
            <w:pPr>
              <w:pStyle w:val="BodyText"/>
              <w:spacing w:before="100" w:after="100"/>
              <w:rPr>
                <w:lang w:val="en-AU"/>
              </w:rPr>
            </w:pPr>
            <w:r>
              <w:rPr>
                <w:lang w:val="en-AU"/>
              </w:rPr>
              <w:t xml:space="preserve">Directory Assistance- 1223 </w:t>
            </w:r>
          </w:p>
        </w:tc>
        <w:tc>
          <w:tcPr>
            <w:tcW w:w="2475" w:type="pct"/>
          </w:tcPr>
          <w:p w14:paraId="0C636629" w14:textId="77777777" w:rsidR="000D07EA" w:rsidRDefault="00BE7C89">
            <w:pPr>
              <w:pStyle w:val="BodyText"/>
              <w:spacing w:before="100" w:after="100"/>
              <w:rPr>
                <w:lang w:val="en-AU"/>
              </w:rPr>
            </w:pPr>
            <w:r>
              <w:rPr>
                <w:lang w:val="en-AU"/>
              </w:rPr>
              <w:t>No</w:t>
            </w:r>
          </w:p>
        </w:tc>
      </w:tr>
      <w:tr w:rsidR="000D07EA" w14:paraId="088E601B" w14:textId="77777777">
        <w:tc>
          <w:tcPr>
            <w:tcW w:w="2525" w:type="pct"/>
          </w:tcPr>
          <w:p w14:paraId="740ED42A" w14:textId="77777777" w:rsidR="000D07EA" w:rsidRDefault="00BE7C89">
            <w:pPr>
              <w:pStyle w:val="BodyText"/>
              <w:spacing w:before="100" w:after="100"/>
              <w:rPr>
                <w:lang w:val="en-AU"/>
              </w:rPr>
            </w:pPr>
            <w:r>
              <w:rPr>
                <w:lang w:val="en-AU"/>
              </w:rPr>
              <w:t>19XX Numbers</w:t>
            </w:r>
          </w:p>
        </w:tc>
        <w:tc>
          <w:tcPr>
            <w:tcW w:w="2475" w:type="pct"/>
          </w:tcPr>
          <w:p w14:paraId="77EE35AF" w14:textId="77777777" w:rsidR="000D07EA" w:rsidRDefault="00BE7C89">
            <w:pPr>
              <w:pStyle w:val="BodyText"/>
              <w:spacing w:before="100" w:after="100"/>
              <w:rPr>
                <w:lang w:val="en-AU"/>
              </w:rPr>
            </w:pPr>
            <w:r>
              <w:rPr>
                <w:lang w:val="en-AU"/>
              </w:rPr>
              <w:t>No</w:t>
            </w:r>
          </w:p>
        </w:tc>
      </w:tr>
      <w:tr w:rsidR="000D07EA" w14:paraId="2F0CFB32" w14:textId="77777777">
        <w:tc>
          <w:tcPr>
            <w:tcW w:w="2525" w:type="pct"/>
          </w:tcPr>
          <w:p w14:paraId="5909A414" w14:textId="77777777" w:rsidR="000D07EA" w:rsidRDefault="00BE7C89">
            <w:pPr>
              <w:pStyle w:val="BodyText"/>
              <w:spacing w:before="100" w:after="100"/>
              <w:rPr>
                <w:lang w:val="en-AU"/>
              </w:rPr>
            </w:pPr>
            <w:r>
              <w:rPr>
                <w:lang w:val="en-AU"/>
              </w:rPr>
              <w:t>1800, 13 and 1300 numbers</w:t>
            </w:r>
          </w:p>
        </w:tc>
        <w:tc>
          <w:tcPr>
            <w:tcW w:w="2475" w:type="pct"/>
          </w:tcPr>
          <w:p w14:paraId="61E87CEA" w14:textId="77777777" w:rsidR="000D07EA" w:rsidRDefault="00BE7C89">
            <w:pPr>
              <w:pStyle w:val="BodyText"/>
              <w:spacing w:before="100" w:after="100"/>
              <w:rPr>
                <w:lang w:val="en-AU"/>
              </w:rPr>
            </w:pPr>
            <w:r>
              <w:rPr>
                <w:lang w:val="en-AU"/>
              </w:rPr>
              <w:t>No</w:t>
            </w:r>
          </w:p>
        </w:tc>
      </w:tr>
      <w:tr w:rsidR="000D07EA" w14:paraId="426CC199" w14:textId="77777777">
        <w:tc>
          <w:tcPr>
            <w:tcW w:w="2525" w:type="pct"/>
          </w:tcPr>
          <w:p w14:paraId="200D6D01" w14:textId="77777777" w:rsidR="000D07EA" w:rsidRDefault="00BE7C89">
            <w:pPr>
              <w:pStyle w:val="BodyText"/>
              <w:spacing w:before="100" w:after="100"/>
              <w:rPr>
                <w:lang w:val="en-AU"/>
              </w:rPr>
            </w:pPr>
            <w:r>
              <w:rPr>
                <w:lang w:val="en-AU"/>
              </w:rPr>
              <w:t>124YES(937)</w:t>
            </w:r>
          </w:p>
        </w:tc>
        <w:tc>
          <w:tcPr>
            <w:tcW w:w="2475" w:type="pct"/>
          </w:tcPr>
          <w:p w14:paraId="3E1B8FE9" w14:textId="77777777" w:rsidR="000D07EA" w:rsidRDefault="00BE7C89">
            <w:pPr>
              <w:pStyle w:val="BodyText"/>
              <w:spacing w:before="100" w:after="100"/>
              <w:rPr>
                <w:lang w:val="en-AU"/>
              </w:rPr>
            </w:pPr>
            <w:r>
              <w:rPr>
                <w:lang w:val="en-AU"/>
              </w:rPr>
              <w:t>No</w:t>
            </w:r>
          </w:p>
        </w:tc>
      </w:tr>
      <w:tr w:rsidR="000D07EA" w14:paraId="5A17FC65" w14:textId="77777777">
        <w:tc>
          <w:tcPr>
            <w:tcW w:w="2525" w:type="pct"/>
          </w:tcPr>
          <w:p w14:paraId="614BF042" w14:textId="77777777" w:rsidR="000D07EA" w:rsidRDefault="00BE7C89">
            <w:pPr>
              <w:pStyle w:val="BodyText"/>
              <w:spacing w:before="100" w:after="100"/>
              <w:rPr>
                <w:lang w:val="en-AU"/>
              </w:rPr>
            </w:pPr>
            <w:r>
              <w:rPr>
                <w:lang w:val="en-AU"/>
              </w:rPr>
              <w:t>Insurance</w:t>
            </w:r>
          </w:p>
        </w:tc>
        <w:tc>
          <w:tcPr>
            <w:tcW w:w="2475" w:type="pct"/>
          </w:tcPr>
          <w:p w14:paraId="394D0079" w14:textId="77777777" w:rsidR="000D07EA" w:rsidRDefault="00BE7C89">
            <w:pPr>
              <w:pStyle w:val="BodyText"/>
              <w:spacing w:before="100" w:after="100"/>
              <w:rPr>
                <w:lang w:val="en-AU"/>
              </w:rPr>
            </w:pPr>
            <w:r>
              <w:rPr>
                <w:lang w:val="en-AU"/>
              </w:rPr>
              <w:t>No</w:t>
            </w:r>
          </w:p>
        </w:tc>
      </w:tr>
      <w:tr w:rsidR="000D07EA" w14:paraId="08E30836" w14:textId="77777777">
        <w:tc>
          <w:tcPr>
            <w:tcW w:w="2525" w:type="pct"/>
          </w:tcPr>
          <w:p w14:paraId="653A91BF" w14:textId="77777777" w:rsidR="000D07EA" w:rsidRDefault="00BE7C89">
            <w:pPr>
              <w:pStyle w:val="BodyText"/>
              <w:spacing w:before="100" w:after="100"/>
              <w:rPr>
                <w:lang w:val="en-AU"/>
              </w:rPr>
            </w:pPr>
            <w:r>
              <w:rPr>
                <w:lang w:val="en-AU"/>
              </w:rPr>
              <w:t>Push To Talk (PTT)</w:t>
            </w:r>
          </w:p>
        </w:tc>
        <w:tc>
          <w:tcPr>
            <w:tcW w:w="2475" w:type="pct"/>
          </w:tcPr>
          <w:p w14:paraId="12F62B2D" w14:textId="77777777" w:rsidR="000D07EA" w:rsidRDefault="00BE7C89">
            <w:pPr>
              <w:pStyle w:val="BodyText"/>
              <w:spacing w:before="100" w:after="100"/>
              <w:rPr>
                <w:lang w:val="en-AU"/>
              </w:rPr>
            </w:pPr>
            <w:r>
              <w:rPr>
                <w:lang w:val="en-AU"/>
              </w:rPr>
              <w:t>No</w:t>
            </w:r>
          </w:p>
        </w:tc>
      </w:tr>
      <w:tr w:rsidR="000D07EA" w14:paraId="2E626068" w14:textId="77777777">
        <w:tc>
          <w:tcPr>
            <w:tcW w:w="2525" w:type="pct"/>
          </w:tcPr>
          <w:p w14:paraId="08BEAF33" w14:textId="77777777" w:rsidR="000D07EA" w:rsidRDefault="00BE7C89">
            <w:pPr>
              <w:pStyle w:val="BodyText"/>
              <w:spacing w:before="100" w:after="100"/>
              <w:rPr>
                <w:lang w:val="en-AU"/>
              </w:rPr>
            </w:pPr>
            <w:r>
              <w:rPr>
                <w:lang w:val="en-AU"/>
              </w:rPr>
              <w:t>Calls to MobileSat</w:t>
            </w:r>
          </w:p>
        </w:tc>
        <w:tc>
          <w:tcPr>
            <w:tcW w:w="2475" w:type="pct"/>
          </w:tcPr>
          <w:p w14:paraId="1653F81E" w14:textId="77777777" w:rsidR="000D07EA" w:rsidRDefault="00BE7C89">
            <w:pPr>
              <w:pStyle w:val="BodyText"/>
              <w:spacing w:before="100" w:after="100"/>
              <w:rPr>
                <w:lang w:val="en-AU"/>
              </w:rPr>
            </w:pPr>
            <w:r>
              <w:rPr>
                <w:lang w:val="en-AU"/>
              </w:rPr>
              <w:t>No</w:t>
            </w:r>
          </w:p>
        </w:tc>
      </w:tr>
      <w:tr w:rsidR="000D07EA" w14:paraId="1EF7CB17" w14:textId="77777777">
        <w:tc>
          <w:tcPr>
            <w:tcW w:w="2525" w:type="pct"/>
          </w:tcPr>
          <w:p w14:paraId="0F193087" w14:textId="77777777" w:rsidR="000D07EA" w:rsidRDefault="00BE7C89">
            <w:pPr>
              <w:pStyle w:val="BodyText"/>
              <w:spacing w:before="100" w:after="100"/>
              <w:rPr>
                <w:lang w:val="en-AU"/>
              </w:rPr>
            </w:pPr>
            <w:r>
              <w:rPr>
                <w:lang w:val="en-AU"/>
              </w:rPr>
              <w:lastRenderedPageBreak/>
              <w:t>VOIP services</w:t>
            </w:r>
          </w:p>
        </w:tc>
        <w:tc>
          <w:tcPr>
            <w:tcW w:w="2475" w:type="pct"/>
          </w:tcPr>
          <w:p w14:paraId="54676E1A" w14:textId="77777777" w:rsidR="000D07EA" w:rsidRDefault="00BE7C89">
            <w:pPr>
              <w:pStyle w:val="BodyText"/>
              <w:spacing w:before="100" w:after="100"/>
              <w:rPr>
                <w:lang w:val="en-AU"/>
              </w:rPr>
            </w:pPr>
            <w:r>
              <w:rPr>
                <w:lang w:val="en-AU"/>
              </w:rPr>
              <w:t>No</w:t>
            </w:r>
          </w:p>
        </w:tc>
      </w:tr>
    </w:tbl>
    <w:p w14:paraId="2336FD8F" w14:textId="77777777" w:rsidR="000D07EA" w:rsidRDefault="000D07EA">
      <w:pPr>
        <w:pStyle w:val="BodyText"/>
      </w:pPr>
    </w:p>
    <w:p w14:paraId="0FAA2660" w14:textId="77777777" w:rsidR="000D07EA" w:rsidRDefault="00BE7C89">
      <w:pPr>
        <w:pStyle w:val="BodyText"/>
        <w:ind w:left="1440"/>
        <w:rPr>
          <w:b/>
        </w:rPr>
      </w:pPr>
      <w:r>
        <w:rPr>
          <w:b/>
        </w:rPr>
        <w:t>Table 3A – Charges for the Business Timeless Max Plans</w:t>
      </w:r>
    </w:p>
    <w:tbl>
      <w:tblPr>
        <w:tblW w:w="8956" w:type="dxa"/>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0"/>
        <w:gridCol w:w="1875"/>
        <w:gridCol w:w="938"/>
        <w:gridCol w:w="937"/>
        <w:gridCol w:w="1876"/>
      </w:tblGrid>
      <w:tr w:rsidR="000D07EA" w14:paraId="7D852404" w14:textId="77777777">
        <w:trPr>
          <w:tblHeader/>
        </w:trPr>
        <w:tc>
          <w:tcPr>
            <w:tcW w:w="3330" w:type="dxa"/>
          </w:tcPr>
          <w:p w14:paraId="0D8EF909" w14:textId="77777777" w:rsidR="000D07EA" w:rsidRDefault="00BE7C89">
            <w:pPr>
              <w:pStyle w:val="BodyText"/>
              <w:spacing w:before="100" w:after="100"/>
              <w:jc w:val="center"/>
              <w:rPr>
                <w:b/>
                <w:lang w:val="en-AU" w:eastAsia="en-AU"/>
              </w:rPr>
            </w:pPr>
            <w:r>
              <w:rPr>
                <w:b/>
                <w:lang w:val="en-AU" w:eastAsia="en-AU"/>
              </w:rPr>
              <w:t>M2M, 12 Month, or 24 Month plans</w:t>
            </w:r>
          </w:p>
        </w:tc>
        <w:tc>
          <w:tcPr>
            <w:tcW w:w="1875" w:type="dxa"/>
          </w:tcPr>
          <w:p w14:paraId="40F47EAC" w14:textId="77777777" w:rsidR="000D07EA" w:rsidRDefault="00BE7C89">
            <w:pPr>
              <w:pStyle w:val="BodyText"/>
              <w:spacing w:before="100" w:after="100"/>
              <w:jc w:val="center"/>
              <w:rPr>
                <w:b/>
                <w:lang w:val="en-AU" w:eastAsia="en-AU"/>
              </w:rPr>
            </w:pPr>
            <w:r>
              <w:rPr>
                <w:b/>
                <w:lang w:val="en-AU" w:eastAsia="en-AU"/>
              </w:rPr>
              <w:t>$99 Business Timeless Max Plan</w:t>
            </w:r>
          </w:p>
        </w:tc>
        <w:tc>
          <w:tcPr>
            <w:tcW w:w="1875" w:type="dxa"/>
            <w:gridSpan w:val="2"/>
          </w:tcPr>
          <w:p w14:paraId="7EAC735B" w14:textId="77777777" w:rsidR="000D07EA" w:rsidRDefault="00BE7C89">
            <w:pPr>
              <w:pStyle w:val="BodyText"/>
              <w:spacing w:before="100" w:after="100"/>
              <w:jc w:val="center"/>
              <w:rPr>
                <w:b/>
                <w:lang w:val="en-AU" w:eastAsia="en-AU"/>
              </w:rPr>
            </w:pPr>
            <w:r>
              <w:rPr>
                <w:b/>
                <w:lang w:val="en-AU" w:eastAsia="en-AU"/>
              </w:rPr>
              <w:t>$115 Business Timeless Max Plan</w:t>
            </w:r>
          </w:p>
        </w:tc>
        <w:tc>
          <w:tcPr>
            <w:tcW w:w="1876" w:type="dxa"/>
          </w:tcPr>
          <w:p w14:paraId="38D27952" w14:textId="77777777" w:rsidR="000D07EA" w:rsidRDefault="00BE7C89">
            <w:pPr>
              <w:pStyle w:val="BodyText"/>
              <w:spacing w:before="100" w:after="100"/>
              <w:jc w:val="center"/>
              <w:rPr>
                <w:b/>
                <w:lang w:val="en-AU" w:eastAsia="en-AU"/>
              </w:rPr>
            </w:pPr>
            <w:r>
              <w:rPr>
                <w:b/>
                <w:lang w:val="en-AU" w:eastAsia="en-AU"/>
              </w:rPr>
              <w:t>$129 Business Timeless Max Plan</w:t>
            </w:r>
          </w:p>
        </w:tc>
      </w:tr>
      <w:tr w:rsidR="000D07EA" w14:paraId="5FAEC221" w14:textId="77777777">
        <w:tc>
          <w:tcPr>
            <w:tcW w:w="3330" w:type="dxa"/>
          </w:tcPr>
          <w:p w14:paraId="77C39680" w14:textId="77777777" w:rsidR="000D07EA" w:rsidRDefault="00BE7C89">
            <w:pPr>
              <w:pStyle w:val="BodyText"/>
              <w:spacing w:before="100" w:after="100"/>
              <w:rPr>
                <w:b/>
                <w:lang w:val="en-AU" w:eastAsia="en-AU"/>
              </w:rPr>
            </w:pPr>
            <w:r>
              <w:rPr>
                <w:b/>
                <w:lang w:val="en-AU" w:eastAsia="en-AU"/>
              </w:rPr>
              <w:t>Minimum Monthly charge</w:t>
            </w:r>
          </w:p>
        </w:tc>
        <w:tc>
          <w:tcPr>
            <w:tcW w:w="1875" w:type="dxa"/>
          </w:tcPr>
          <w:p w14:paraId="25719FD1" w14:textId="77777777" w:rsidR="000D07EA" w:rsidRDefault="00BE7C89">
            <w:pPr>
              <w:pStyle w:val="BodyText"/>
              <w:spacing w:before="100" w:after="100"/>
              <w:jc w:val="center"/>
              <w:rPr>
                <w:lang w:val="en-AU" w:eastAsia="en-AU"/>
              </w:rPr>
            </w:pPr>
            <w:r>
              <w:rPr>
                <w:lang w:val="en-AU" w:eastAsia="en-AU"/>
              </w:rPr>
              <w:t>$99</w:t>
            </w:r>
          </w:p>
        </w:tc>
        <w:tc>
          <w:tcPr>
            <w:tcW w:w="1875" w:type="dxa"/>
            <w:gridSpan w:val="2"/>
          </w:tcPr>
          <w:p w14:paraId="130CDD62" w14:textId="77777777" w:rsidR="000D07EA" w:rsidRDefault="00BE7C89">
            <w:pPr>
              <w:pStyle w:val="BodyText"/>
              <w:spacing w:before="100" w:after="100"/>
              <w:jc w:val="center"/>
              <w:rPr>
                <w:lang w:val="en-AU" w:eastAsia="en-AU"/>
              </w:rPr>
            </w:pPr>
            <w:r>
              <w:rPr>
                <w:lang w:val="en-AU" w:eastAsia="en-AU"/>
              </w:rPr>
              <w:t>$115</w:t>
            </w:r>
          </w:p>
        </w:tc>
        <w:tc>
          <w:tcPr>
            <w:tcW w:w="1876" w:type="dxa"/>
          </w:tcPr>
          <w:p w14:paraId="6F95C4E0" w14:textId="77777777" w:rsidR="000D07EA" w:rsidRDefault="00BE7C89">
            <w:pPr>
              <w:pStyle w:val="BodyText"/>
              <w:spacing w:before="100" w:after="100"/>
              <w:jc w:val="center"/>
              <w:rPr>
                <w:lang w:val="en-AU" w:eastAsia="en-AU"/>
              </w:rPr>
            </w:pPr>
            <w:r>
              <w:rPr>
                <w:lang w:val="en-AU" w:eastAsia="en-AU"/>
              </w:rPr>
              <w:t>$129</w:t>
            </w:r>
          </w:p>
        </w:tc>
      </w:tr>
      <w:tr w:rsidR="000D07EA" w14:paraId="2E1D4091" w14:textId="77777777">
        <w:tc>
          <w:tcPr>
            <w:tcW w:w="3330" w:type="dxa"/>
          </w:tcPr>
          <w:p w14:paraId="4E5A5676" w14:textId="77777777" w:rsidR="000D07EA" w:rsidRDefault="00BE7C89">
            <w:pPr>
              <w:pStyle w:val="BodyText"/>
              <w:spacing w:before="100" w:after="100"/>
              <w:rPr>
                <w:b/>
                <w:lang w:val="en-AU" w:eastAsia="en-AU"/>
              </w:rPr>
            </w:pPr>
            <w:r>
              <w:rPr>
                <w:b/>
                <w:lang w:val="en-AU" w:eastAsia="en-AU"/>
              </w:rPr>
              <w:t>Standard local &amp; national calls to Australian fixed lines</w:t>
            </w:r>
          </w:p>
        </w:tc>
        <w:tc>
          <w:tcPr>
            <w:tcW w:w="1875" w:type="dxa"/>
          </w:tcPr>
          <w:p w14:paraId="7AB3CAF9" w14:textId="77777777" w:rsidR="000D07EA" w:rsidRDefault="00BE7C89">
            <w:pPr>
              <w:pStyle w:val="BodyText"/>
              <w:spacing w:before="100" w:after="100"/>
              <w:jc w:val="center"/>
              <w:rPr>
                <w:lang w:val="en-AU" w:eastAsia="en-AU"/>
              </w:rPr>
            </w:pPr>
            <w:r>
              <w:rPr>
                <w:lang w:val="en-AU" w:eastAsia="en-AU"/>
              </w:rPr>
              <w:t>Unlimited</w:t>
            </w:r>
          </w:p>
        </w:tc>
        <w:tc>
          <w:tcPr>
            <w:tcW w:w="1875" w:type="dxa"/>
            <w:gridSpan w:val="2"/>
          </w:tcPr>
          <w:p w14:paraId="5E7EB80D" w14:textId="77777777" w:rsidR="000D07EA" w:rsidRDefault="00BE7C89">
            <w:pPr>
              <w:pStyle w:val="BodyText"/>
              <w:spacing w:before="100" w:after="100"/>
              <w:jc w:val="center"/>
              <w:rPr>
                <w:lang w:val="en-AU" w:eastAsia="en-AU"/>
              </w:rPr>
            </w:pPr>
            <w:r>
              <w:rPr>
                <w:lang w:val="en-AU" w:eastAsia="en-AU"/>
              </w:rPr>
              <w:t>Unlimited</w:t>
            </w:r>
          </w:p>
        </w:tc>
        <w:tc>
          <w:tcPr>
            <w:tcW w:w="1876" w:type="dxa"/>
          </w:tcPr>
          <w:p w14:paraId="3E67C5D5" w14:textId="77777777" w:rsidR="000D07EA" w:rsidRDefault="00BE7C89">
            <w:pPr>
              <w:pStyle w:val="BodyText"/>
              <w:spacing w:before="100" w:after="100"/>
              <w:jc w:val="center"/>
              <w:rPr>
                <w:lang w:val="en-AU" w:eastAsia="en-AU"/>
              </w:rPr>
            </w:pPr>
            <w:r>
              <w:rPr>
                <w:lang w:val="en-AU" w:eastAsia="en-AU"/>
              </w:rPr>
              <w:t>Unlimited</w:t>
            </w:r>
          </w:p>
        </w:tc>
      </w:tr>
      <w:tr w:rsidR="000D07EA" w14:paraId="30745EE3" w14:textId="77777777">
        <w:tc>
          <w:tcPr>
            <w:tcW w:w="3330" w:type="dxa"/>
          </w:tcPr>
          <w:p w14:paraId="3342B964" w14:textId="77777777" w:rsidR="000D07EA" w:rsidRDefault="00BE7C89">
            <w:pPr>
              <w:pStyle w:val="BodyText"/>
              <w:spacing w:before="100" w:after="100"/>
              <w:rPr>
                <w:b/>
                <w:lang w:val="en-AU" w:eastAsia="en-AU"/>
              </w:rPr>
            </w:pPr>
            <w:r>
              <w:rPr>
                <w:b/>
                <w:lang w:val="en-AU" w:eastAsia="en-AU"/>
              </w:rPr>
              <w:t>Standard voice &amp; video calls to any Australian GSM mobile.</w:t>
            </w:r>
          </w:p>
        </w:tc>
        <w:tc>
          <w:tcPr>
            <w:tcW w:w="1875" w:type="dxa"/>
          </w:tcPr>
          <w:p w14:paraId="21CF0C71" w14:textId="77777777" w:rsidR="000D07EA" w:rsidRDefault="00BE7C89">
            <w:pPr>
              <w:pStyle w:val="BodyText"/>
              <w:spacing w:before="100" w:after="100"/>
              <w:jc w:val="center"/>
              <w:rPr>
                <w:lang w:val="en-AU" w:eastAsia="en-AU"/>
              </w:rPr>
            </w:pPr>
            <w:r>
              <w:rPr>
                <w:lang w:val="en-AU" w:eastAsia="en-AU"/>
              </w:rPr>
              <w:t>Unlimited</w:t>
            </w:r>
          </w:p>
        </w:tc>
        <w:tc>
          <w:tcPr>
            <w:tcW w:w="1875" w:type="dxa"/>
            <w:gridSpan w:val="2"/>
          </w:tcPr>
          <w:p w14:paraId="1F1D2019" w14:textId="77777777" w:rsidR="000D07EA" w:rsidRDefault="00BE7C89">
            <w:pPr>
              <w:pStyle w:val="BodyText"/>
              <w:spacing w:before="100" w:after="100"/>
              <w:jc w:val="center"/>
              <w:rPr>
                <w:lang w:val="en-AU" w:eastAsia="en-AU"/>
              </w:rPr>
            </w:pPr>
            <w:r>
              <w:rPr>
                <w:lang w:val="en-AU" w:eastAsia="en-AU"/>
              </w:rPr>
              <w:t>Unlimited</w:t>
            </w:r>
          </w:p>
        </w:tc>
        <w:tc>
          <w:tcPr>
            <w:tcW w:w="1876" w:type="dxa"/>
          </w:tcPr>
          <w:p w14:paraId="3B6518C7" w14:textId="77777777" w:rsidR="000D07EA" w:rsidRDefault="00BE7C89">
            <w:pPr>
              <w:pStyle w:val="BodyText"/>
              <w:spacing w:before="100" w:after="100"/>
              <w:jc w:val="center"/>
              <w:rPr>
                <w:lang w:val="en-AU" w:eastAsia="en-AU"/>
              </w:rPr>
            </w:pPr>
            <w:r>
              <w:rPr>
                <w:lang w:val="en-AU" w:eastAsia="en-AU"/>
              </w:rPr>
              <w:t>Unlimited</w:t>
            </w:r>
          </w:p>
        </w:tc>
      </w:tr>
      <w:tr w:rsidR="000D07EA" w14:paraId="0611BF13" w14:textId="77777777">
        <w:tc>
          <w:tcPr>
            <w:tcW w:w="3330" w:type="dxa"/>
          </w:tcPr>
          <w:p w14:paraId="7B690713" w14:textId="77777777" w:rsidR="000D07EA" w:rsidRDefault="00BE7C89">
            <w:pPr>
              <w:pStyle w:val="BodyText"/>
              <w:spacing w:before="100" w:after="100"/>
              <w:rPr>
                <w:b/>
                <w:lang w:val="en-AU" w:eastAsia="en-AU"/>
              </w:rPr>
            </w:pPr>
            <w:r>
              <w:rPr>
                <w:b/>
                <w:lang w:val="en-AU" w:eastAsia="en-AU"/>
              </w:rPr>
              <w:t>Standard national MMS to any Australian GSM mobile.</w:t>
            </w:r>
          </w:p>
        </w:tc>
        <w:tc>
          <w:tcPr>
            <w:tcW w:w="1875" w:type="dxa"/>
          </w:tcPr>
          <w:p w14:paraId="0741513A" w14:textId="77777777" w:rsidR="000D07EA" w:rsidRDefault="00BE7C89">
            <w:pPr>
              <w:pStyle w:val="BodyText"/>
              <w:spacing w:before="100" w:after="100"/>
              <w:jc w:val="center"/>
              <w:rPr>
                <w:lang w:val="en-AU" w:eastAsia="en-AU"/>
              </w:rPr>
            </w:pPr>
            <w:r>
              <w:rPr>
                <w:lang w:val="en-AU" w:eastAsia="en-AU"/>
              </w:rPr>
              <w:t>Unlimited</w:t>
            </w:r>
          </w:p>
        </w:tc>
        <w:tc>
          <w:tcPr>
            <w:tcW w:w="1875" w:type="dxa"/>
            <w:gridSpan w:val="2"/>
          </w:tcPr>
          <w:p w14:paraId="6FD5D225" w14:textId="77777777" w:rsidR="000D07EA" w:rsidRDefault="00BE7C89">
            <w:pPr>
              <w:pStyle w:val="BodyText"/>
              <w:spacing w:before="100" w:after="100"/>
              <w:jc w:val="center"/>
              <w:rPr>
                <w:lang w:val="en-AU" w:eastAsia="en-AU"/>
              </w:rPr>
            </w:pPr>
            <w:r>
              <w:rPr>
                <w:lang w:val="en-AU" w:eastAsia="en-AU"/>
              </w:rPr>
              <w:t>Unlimited</w:t>
            </w:r>
          </w:p>
        </w:tc>
        <w:tc>
          <w:tcPr>
            <w:tcW w:w="1876" w:type="dxa"/>
          </w:tcPr>
          <w:p w14:paraId="78EBB87E" w14:textId="77777777" w:rsidR="000D07EA" w:rsidRDefault="00BE7C89">
            <w:pPr>
              <w:pStyle w:val="BodyText"/>
              <w:spacing w:before="100" w:after="100"/>
              <w:jc w:val="center"/>
              <w:rPr>
                <w:lang w:val="en-AU" w:eastAsia="en-AU"/>
              </w:rPr>
            </w:pPr>
            <w:r>
              <w:rPr>
                <w:lang w:val="en-AU" w:eastAsia="en-AU"/>
              </w:rPr>
              <w:t>Unlimited</w:t>
            </w:r>
          </w:p>
        </w:tc>
      </w:tr>
      <w:tr w:rsidR="000D07EA" w14:paraId="009C2A3E" w14:textId="77777777">
        <w:tc>
          <w:tcPr>
            <w:tcW w:w="3330" w:type="dxa"/>
          </w:tcPr>
          <w:p w14:paraId="71DBF4C5" w14:textId="77777777" w:rsidR="000D07EA" w:rsidRDefault="00BE7C89">
            <w:pPr>
              <w:pStyle w:val="BodyText"/>
              <w:spacing w:before="100" w:after="100"/>
              <w:rPr>
                <w:b/>
                <w:lang w:val="en-AU" w:eastAsia="en-AU"/>
              </w:rPr>
            </w:pPr>
            <w:r>
              <w:rPr>
                <w:b/>
                <w:lang w:val="en-AU" w:eastAsia="en-AU"/>
              </w:rPr>
              <w:t>Standard national SMS to any Australian GSM mobile.</w:t>
            </w:r>
          </w:p>
        </w:tc>
        <w:tc>
          <w:tcPr>
            <w:tcW w:w="1875" w:type="dxa"/>
          </w:tcPr>
          <w:p w14:paraId="1E4A249A" w14:textId="77777777" w:rsidR="000D07EA" w:rsidRDefault="00BE7C89">
            <w:pPr>
              <w:pStyle w:val="BodyText"/>
              <w:spacing w:before="100" w:after="100"/>
              <w:jc w:val="center"/>
              <w:rPr>
                <w:lang w:val="en-AU" w:eastAsia="en-AU"/>
              </w:rPr>
            </w:pPr>
            <w:r>
              <w:rPr>
                <w:lang w:val="en-AU" w:eastAsia="en-AU"/>
              </w:rPr>
              <w:t>Unlimited if Unlimited Text offer selected</w:t>
            </w:r>
          </w:p>
        </w:tc>
        <w:tc>
          <w:tcPr>
            <w:tcW w:w="1875" w:type="dxa"/>
            <w:gridSpan w:val="2"/>
          </w:tcPr>
          <w:p w14:paraId="1D6AE550" w14:textId="77777777" w:rsidR="000D07EA" w:rsidRDefault="00BE7C89">
            <w:pPr>
              <w:pStyle w:val="BodyText"/>
              <w:spacing w:before="100" w:after="100"/>
              <w:jc w:val="center"/>
              <w:rPr>
                <w:lang w:val="en-AU" w:eastAsia="en-AU"/>
              </w:rPr>
            </w:pPr>
            <w:r>
              <w:rPr>
                <w:lang w:val="en-AU" w:eastAsia="en-AU"/>
              </w:rPr>
              <w:t>Unlimited if Unlimited Text offer selected</w:t>
            </w:r>
          </w:p>
        </w:tc>
        <w:tc>
          <w:tcPr>
            <w:tcW w:w="1876" w:type="dxa"/>
          </w:tcPr>
          <w:p w14:paraId="28EBFED6" w14:textId="77777777" w:rsidR="000D07EA" w:rsidRDefault="00BE7C89">
            <w:pPr>
              <w:pStyle w:val="BodyText"/>
              <w:spacing w:before="100" w:after="100"/>
              <w:jc w:val="center"/>
              <w:rPr>
                <w:lang w:val="en-AU" w:eastAsia="en-AU"/>
              </w:rPr>
            </w:pPr>
            <w:r>
              <w:rPr>
                <w:lang w:val="en-AU" w:eastAsia="en-AU"/>
              </w:rPr>
              <w:t>Unlimited</w:t>
            </w:r>
          </w:p>
        </w:tc>
      </w:tr>
      <w:tr w:rsidR="000D07EA" w14:paraId="0F472120" w14:textId="77777777">
        <w:tc>
          <w:tcPr>
            <w:tcW w:w="3330" w:type="dxa"/>
          </w:tcPr>
          <w:p w14:paraId="020D3F7B" w14:textId="77777777" w:rsidR="000D07EA" w:rsidRDefault="00BE7C89">
            <w:pPr>
              <w:pStyle w:val="BodyText"/>
              <w:spacing w:before="100" w:after="100"/>
              <w:rPr>
                <w:b/>
                <w:lang w:val="en-AU" w:eastAsia="en-AU"/>
              </w:rPr>
            </w:pPr>
            <w:r>
              <w:rPr>
                <w:b/>
                <w:lang w:val="en-AU" w:eastAsia="en-AU"/>
              </w:rPr>
              <w:t>Voicemail deposits and retrievals</w:t>
            </w:r>
          </w:p>
        </w:tc>
        <w:tc>
          <w:tcPr>
            <w:tcW w:w="1875" w:type="dxa"/>
          </w:tcPr>
          <w:p w14:paraId="5148F294" w14:textId="77777777" w:rsidR="000D07EA" w:rsidRDefault="00BE7C89">
            <w:pPr>
              <w:pStyle w:val="BodyText"/>
              <w:spacing w:before="100" w:after="100"/>
              <w:jc w:val="center"/>
              <w:rPr>
                <w:lang w:val="en-AU" w:eastAsia="en-AU"/>
              </w:rPr>
            </w:pPr>
            <w:r>
              <w:rPr>
                <w:lang w:val="en-AU" w:eastAsia="en-AU"/>
              </w:rPr>
              <w:t>Unlimited if Unlimited VoiceMail offer selected</w:t>
            </w:r>
          </w:p>
        </w:tc>
        <w:tc>
          <w:tcPr>
            <w:tcW w:w="1875" w:type="dxa"/>
            <w:gridSpan w:val="2"/>
          </w:tcPr>
          <w:p w14:paraId="768EF323" w14:textId="77777777" w:rsidR="000D07EA" w:rsidRDefault="00BE7C89">
            <w:pPr>
              <w:pStyle w:val="BodyText"/>
              <w:spacing w:before="100" w:after="100"/>
              <w:jc w:val="center"/>
              <w:rPr>
                <w:lang w:val="en-AU" w:eastAsia="en-AU"/>
              </w:rPr>
            </w:pPr>
            <w:r>
              <w:rPr>
                <w:lang w:val="en-AU" w:eastAsia="en-AU"/>
              </w:rPr>
              <w:t>Unlimited if Unlimited VoiceMail offer selected</w:t>
            </w:r>
          </w:p>
        </w:tc>
        <w:tc>
          <w:tcPr>
            <w:tcW w:w="1876" w:type="dxa"/>
          </w:tcPr>
          <w:p w14:paraId="65126F5D" w14:textId="77777777" w:rsidR="000D07EA" w:rsidRDefault="00BE7C89">
            <w:pPr>
              <w:pStyle w:val="BodyText"/>
              <w:spacing w:before="100" w:after="100"/>
              <w:jc w:val="center"/>
              <w:rPr>
                <w:lang w:val="en-AU" w:eastAsia="en-AU"/>
              </w:rPr>
            </w:pPr>
            <w:r>
              <w:rPr>
                <w:lang w:val="en-AU" w:eastAsia="en-AU"/>
              </w:rPr>
              <w:t>Unlimited</w:t>
            </w:r>
          </w:p>
        </w:tc>
      </w:tr>
      <w:tr w:rsidR="000D07EA" w14:paraId="47EEA384" w14:textId="77777777">
        <w:tc>
          <w:tcPr>
            <w:tcW w:w="3330" w:type="dxa"/>
          </w:tcPr>
          <w:p w14:paraId="36CE700A" w14:textId="77777777" w:rsidR="000D07EA" w:rsidRDefault="00BE7C89">
            <w:pPr>
              <w:pStyle w:val="BodyText"/>
              <w:spacing w:before="100" w:after="100"/>
              <w:rPr>
                <w:b/>
                <w:lang w:val="en-AU" w:eastAsia="en-AU"/>
              </w:rPr>
            </w:pPr>
            <w:r>
              <w:rPr>
                <w:b/>
                <w:lang w:val="en-AU" w:eastAsia="en-AU"/>
              </w:rPr>
              <w:t>Facebook</w:t>
            </w:r>
            <w:r>
              <w:rPr>
                <w:rFonts w:cs="Arial"/>
                <w:b/>
                <w:lang w:val="en-AU" w:eastAsia="en-AU"/>
              </w:rPr>
              <w:t>®</w:t>
            </w:r>
            <w:r>
              <w:rPr>
                <w:b/>
                <w:lang w:val="en-AU" w:eastAsia="en-AU"/>
              </w:rPr>
              <w:t xml:space="preserve"> and Twitter</w:t>
            </w:r>
          </w:p>
        </w:tc>
        <w:tc>
          <w:tcPr>
            <w:tcW w:w="1875" w:type="dxa"/>
          </w:tcPr>
          <w:p w14:paraId="28ACF7F1" w14:textId="77777777" w:rsidR="000D07EA" w:rsidRDefault="00BE7C89">
            <w:pPr>
              <w:pStyle w:val="BodyText"/>
              <w:spacing w:before="100" w:after="100"/>
              <w:jc w:val="center"/>
              <w:rPr>
                <w:lang w:val="en-AU" w:eastAsia="en-AU"/>
              </w:rPr>
            </w:pPr>
            <w:r>
              <w:rPr>
                <w:lang w:val="en-AU" w:eastAsia="en-AU"/>
              </w:rPr>
              <w:t>Unlimited</w:t>
            </w:r>
          </w:p>
        </w:tc>
        <w:tc>
          <w:tcPr>
            <w:tcW w:w="1875" w:type="dxa"/>
            <w:gridSpan w:val="2"/>
          </w:tcPr>
          <w:p w14:paraId="0EB096E5" w14:textId="77777777" w:rsidR="000D07EA" w:rsidRDefault="00BE7C89">
            <w:pPr>
              <w:pStyle w:val="BodyText"/>
              <w:spacing w:before="100" w:after="100"/>
              <w:jc w:val="center"/>
              <w:rPr>
                <w:lang w:val="en-AU" w:eastAsia="en-AU"/>
              </w:rPr>
            </w:pPr>
            <w:r>
              <w:rPr>
                <w:lang w:val="en-AU" w:eastAsia="en-AU"/>
              </w:rPr>
              <w:t>Unlimited</w:t>
            </w:r>
          </w:p>
        </w:tc>
        <w:tc>
          <w:tcPr>
            <w:tcW w:w="1876" w:type="dxa"/>
          </w:tcPr>
          <w:p w14:paraId="27998777" w14:textId="77777777" w:rsidR="000D07EA" w:rsidRDefault="00BE7C89">
            <w:pPr>
              <w:pStyle w:val="BodyText"/>
              <w:spacing w:before="100" w:after="100"/>
              <w:jc w:val="center"/>
              <w:rPr>
                <w:lang w:val="en-AU" w:eastAsia="en-AU"/>
              </w:rPr>
            </w:pPr>
            <w:r>
              <w:rPr>
                <w:lang w:val="en-AU" w:eastAsia="en-AU"/>
              </w:rPr>
              <w:t>Unlimited</w:t>
            </w:r>
          </w:p>
        </w:tc>
      </w:tr>
      <w:tr w:rsidR="000D07EA" w14:paraId="3002C4D5" w14:textId="77777777">
        <w:tc>
          <w:tcPr>
            <w:tcW w:w="3330" w:type="dxa"/>
          </w:tcPr>
          <w:p w14:paraId="2903DD24" w14:textId="77777777" w:rsidR="000D07EA" w:rsidRDefault="00BE7C89">
            <w:pPr>
              <w:pStyle w:val="BodyText"/>
              <w:spacing w:before="100" w:after="100"/>
              <w:rPr>
                <w:b/>
                <w:lang w:val="en-AU" w:eastAsia="en-AU"/>
              </w:rPr>
            </w:pPr>
            <w:r>
              <w:rPr>
                <w:b/>
                <w:lang w:val="en-AU" w:eastAsia="en-AU"/>
              </w:rPr>
              <w:t xml:space="preserve">National Voice call charges </w:t>
            </w:r>
            <w:r>
              <w:rPr>
                <w:lang w:val="en-AU" w:eastAsia="en-AU"/>
              </w:rPr>
              <w:t>(per minute)</w:t>
            </w:r>
          </w:p>
        </w:tc>
        <w:tc>
          <w:tcPr>
            <w:tcW w:w="1875" w:type="dxa"/>
          </w:tcPr>
          <w:p w14:paraId="14476DEC" w14:textId="77777777" w:rsidR="000D07EA" w:rsidRDefault="00BE7C89">
            <w:pPr>
              <w:pStyle w:val="BodyText"/>
              <w:spacing w:before="100" w:after="100"/>
              <w:jc w:val="center"/>
              <w:rPr>
                <w:lang w:val="en-AU" w:eastAsia="en-AU"/>
              </w:rPr>
            </w:pPr>
            <w:r>
              <w:rPr>
                <w:lang w:val="en-AU" w:eastAsia="en-AU"/>
              </w:rPr>
              <w:t>$0.76</w:t>
            </w:r>
          </w:p>
        </w:tc>
        <w:tc>
          <w:tcPr>
            <w:tcW w:w="1875" w:type="dxa"/>
            <w:gridSpan w:val="2"/>
          </w:tcPr>
          <w:p w14:paraId="1350A0EC" w14:textId="77777777" w:rsidR="000D07EA" w:rsidRDefault="00BE7C89">
            <w:pPr>
              <w:pStyle w:val="BodyText"/>
              <w:spacing w:before="100" w:after="100"/>
              <w:jc w:val="center"/>
              <w:rPr>
                <w:lang w:val="en-AU" w:eastAsia="en-AU"/>
              </w:rPr>
            </w:pPr>
            <w:r>
              <w:rPr>
                <w:lang w:val="en-AU" w:eastAsia="en-AU"/>
              </w:rPr>
              <w:t>$0.76</w:t>
            </w:r>
          </w:p>
        </w:tc>
        <w:tc>
          <w:tcPr>
            <w:tcW w:w="1876" w:type="dxa"/>
          </w:tcPr>
          <w:p w14:paraId="173A3B54" w14:textId="77777777" w:rsidR="000D07EA" w:rsidRDefault="00BE7C89">
            <w:pPr>
              <w:pStyle w:val="BodyText"/>
              <w:spacing w:before="100" w:after="100"/>
              <w:jc w:val="center"/>
              <w:rPr>
                <w:lang w:val="en-AU" w:eastAsia="en-AU"/>
              </w:rPr>
            </w:pPr>
            <w:r>
              <w:rPr>
                <w:lang w:val="en-AU" w:eastAsia="en-AU"/>
              </w:rPr>
              <w:t>$0.76</w:t>
            </w:r>
          </w:p>
        </w:tc>
      </w:tr>
      <w:tr w:rsidR="000D07EA" w14:paraId="27C37543" w14:textId="77777777">
        <w:tc>
          <w:tcPr>
            <w:tcW w:w="3330" w:type="dxa"/>
          </w:tcPr>
          <w:p w14:paraId="7545E582" w14:textId="77777777" w:rsidR="000D07EA" w:rsidRDefault="00BE7C89">
            <w:pPr>
              <w:pStyle w:val="BodyText"/>
              <w:spacing w:before="100" w:after="100"/>
              <w:rPr>
                <w:b/>
                <w:i/>
                <w:iCs/>
                <w:lang w:val="en-AU" w:eastAsia="en-AU"/>
              </w:rPr>
            </w:pPr>
            <w:r>
              <w:rPr>
                <w:b/>
                <w:i/>
                <w:iCs/>
                <w:lang w:val="en-AU" w:eastAsia="en-AU"/>
              </w:rPr>
              <w:t>Flagfall</w:t>
            </w:r>
            <w:r>
              <w:rPr>
                <w:b/>
                <w:lang w:val="en-AU" w:eastAsia="en-AU"/>
              </w:rPr>
              <w:t xml:space="preserve"> for national voice calls (Call Connection Charge per call) </w:t>
            </w:r>
          </w:p>
        </w:tc>
        <w:tc>
          <w:tcPr>
            <w:tcW w:w="1875" w:type="dxa"/>
          </w:tcPr>
          <w:p w14:paraId="1582AD08" w14:textId="77777777" w:rsidR="000D07EA" w:rsidRDefault="00BE7C89">
            <w:pPr>
              <w:pStyle w:val="BodyText"/>
              <w:spacing w:before="100" w:after="100"/>
              <w:jc w:val="center"/>
              <w:rPr>
                <w:lang w:val="en-AU" w:eastAsia="en-AU"/>
              </w:rPr>
            </w:pPr>
            <w:r>
              <w:rPr>
                <w:lang w:val="en-AU" w:eastAsia="en-AU"/>
              </w:rPr>
              <w:t>$0.35</w:t>
            </w:r>
          </w:p>
        </w:tc>
        <w:tc>
          <w:tcPr>
            <w:tcW w:w="1875" w:type="dxa"/>
            <w:gridSpan w:val="2"/>
          </w:tcPr>
          <w:p w14:paraId="5134C8AC" w14:textId="77777777" w:rsidR="000D07EA" w:rsidRDefault="00BE7C89">
            <w:pPr>
              <w:pStyle w:val="BodyText"/>
              <w:spacing w:before="100" w:after="100"/>
              <w:jc w:val="center"/>
              <w:rPr>
                <w:lang w:val="en-AU" w:eastAsia="en-AU"/>
              </w:rPr>
            </w:pPr>
            <w:r>
              <w:rPr>
                <w:lang w:val="en-AU" w:eastAsia="en-AU"/>
              </w:rPr>
              <w:t>$0.35</w:t>
            </w:r>
          </w:p>
        </w:tc>
        <w:tc>
          <w:tcPr>
            <w:tcW w:w="1876" w:type="dxa"/>
          </w:tcPr>
          <w:p w14:paraId="7103543C" w14:textId="77777777" w:rsidR="000D07EA" w:rsidRDefault="00BE7C89">
            <w:pPr>
              <w:pStyle w:val="BodyText"/>
              <w:spacing w:before="100" w:after="100"/>
              <w:jc w:val="center"/>
              <w:rPr>
                <w:lang w:val="en-AU" w:eastAsia="en-AU"/>
              </w:rPr>
            </w:pPr>
            <w:r>
              <w:rPr>
                <w:lang w:val="en-AU" w:eastAsia="en-AU"/>
              </w:rPr>
              <w:t>$0.35</w:t>
            </w:r>
          </w:p>
        </w:tc>
      </w:tr>
      <w:tr w:rsidR="000D07EA" w14:paraId="0F8BB848" w14:textId="77777777">
        <w:tc>
          <w:tcPr>
            <w:tcW w:w="3330" w:type="dxa"/>
          </w:tcPr>
          <w:p w14:paraId="107661BC" w14:textId="77777777" w:rsidR="000D07EA" w:rsidRDefault="00BE7C89">
            <w:pPr>
              <w:pStyle w:val="BodyText"/>
              <w:spacing w:before="100" w:after="100"/>
              <w:rPr>
                <w:b/>
                <w:lang w:val="en-AU" w:eastAsia="en-AU"/>
              </w:rPr>
            </w:pPr>
            <w:r>
              <w:rPr>
                <w:b/>
                <w:lang w:val="en-AU" w:eastAsia="en-AU"/>
              </w:rPr>
              <w:t xml:space="preserve">International Video call charges </w:t>
            </w:r>
            <w:r>
              <w:rPr>
                <w:lang w:val="en-AU" w:eastAsia="en-AU"/>
              </w:rPr>
              <w:t>(per minute)</w:t>
            </w:r>
          </w:p>
        </w:tc>
        <w:tc>
          <w:tcPr>
            <w:tcW w:w="1875" w:type="dxa"/>
          </w:tcPr>
          <w:p w14:paraId="28902D55" w14:textId="77777777" w:rsidR="000D07EA" w:rsidRDefault="00BE7C89">
            <w:pPr>
              <w:pStyle w:val="BodyText"/>
              <w:spacing w:before="100" w:after="100"/>
              <w:jc w:val="center"/>
              <w:rPr>
                <w:lang w:val="sv-SE" w:eastAsia="en-AU"/>
              </w:rPr>
            </w:pPr>
            <w:r>
              <w:rPr>
                <w:lang w:val="sv-SE" w:eastAsia="en-AU"/>
              </w:rPr>
              <w:t>$1.50 per min plus 35c flagfall</w:t>
            </w:r>
          </w:p>
        </w:tc>
        <w:tc>
          <w:tcPr>
            <w:tcW w:w="1875" w:type="dxa"/>
            <w:gridSpan w:val="2"/>
          </w:tcPr>
          <w:p w14:paraId="3E27ED05" w14:textId="77777777" w:rsidR="000D07EA" w:rsidRDefault="00BE7C89">
            <w:pPr>
              <w:pStyle w:val="BodyText"/>
              <w:spacing w:before="100" w:after="100"/>
              <w:jc w:val="center"/>
              <w:rPr>
                <w:lang w:val="sv-SE" w:eastAsia="en-AU"/>
              </w:rPr>
            </w:pPr>
            <w:r>
              <w:rPr>
                <w:lang w:val="sv-SE" w:eastAsia="en-AU"/>
              </w:rPr>
              <w:t>$1.50 per min plus 35c flagfall</w:t>
            </w:r>
          </w:p>
        </w:tc>
        <w:tc>
          <w:tcPr>
            <w:tcW w:w="1876" w:type="dxa"/>
          </w:tcPr>
          <w:p w14:paraId="1CBCBC2C" w14:textId="77777777" w:rsidR="000D07EA" w:rsidRDefault="00BE7C89">
            <w:pPr>
              <w:pStyle w:val="BodyText"/>
              <w:spacing w:before="100" w:after="100"/>
              <w:jc w:val="center"/>
              <w:rPr>
                <w:lang w:val="sv-SE" w:eastAsia="en-AU"/>
              </w:rPr>
            </w:pPr>
            <w:r>
              <w:rPr>
                <w:lang w:val="sv-SE" w:eastAsia="en-AU"/>
              </w:rPr>
              <w:t>$1.50 per min plus 35c flagfall</w:t>
            </w:r>
          </w:p>
        </w:tc>
      </w:tr>
      <w:tr w:rsidR="000D07EA" w14:paraId="7A42B828" w14:textId="77777777">
        <w:tc>
          <w:tcPr>
            <w:tcW w:w="3330" w:type="dxa"/>
          </w:tcPr>
          <w:p w14:paraId="7E2962E4" w14:textId="77777777" w:rsidR="000D07EA" w:rsidRDefault="00BE7C89">
            <w:pPr>
              <w:pStyle w:val="BodyText"/>
              <w:spacing w:before="100" w:after="100"/>
              <w:rPr>
                <w:b/>
                <w:lang w:val="en-AU" w:eastAsia="en-AU"/>
              </w:rPr>
            </w:pPr>
            <w:r>
              <w:rPr>
                <w:b/>
                <w:lang w:val="en-AU" w:eastAsia="en-AU"/>
              </w:rPr>
              <w:t>International SMS (per message)</w:t>
            </w:r>
          </w:p>
        </w:tc>
        <w:tc>
          <w:tcPr>
            <w:tcW w:w="1875" w:type="dxa"/>
          </w:tcPr>
          <w:p w14:paraId="14C3C2A3" w14:textId="77777777" w:rsidR="000D07EA" w:rsidRDefault="00BE7C89">
            <w:pPr>
              <w:pStyle w:val="BodyText"/>
              <w:spacing w:before="100" w:after="100"/>
              <w:jc w:val="center"/>
              <w:rPr>
                <w:lang w:val="en-AU" w:eastAsia="en-AU"/>
              </w:rPr>
            </w:pPr>
            <w:r>
              <w:rPr>
                <w:lang w:val="en-AU" w:eastAsia="en-AU"/>
              </w:rPr>
              <w:t>$0.50</w:t>
            </w:r>
          </w:p>
        </w:tc>
        <w:tc>
          <w:tcPr>
            <w:tcW w:w="1875" w:type="dxa"/>
            <w:gridSpan w:val="2"/>
          </w:tcPr>
          <w:p w14:paraId="350E99CB" w14:textId="77777777" w:rsidR="000D07EA" w:rsidRDefault="00BE7C89">
            <w:pPr>
              <w:pStyle w:val="BodyText"/>
              <w:spacing w:before="100" w:after="100"/>
              <w:jc w:val="center"/>
              <w:rPr>
                <w:lang w:val="en-AU" w:eastAsia="en-AU"/>
              </w:rPr>
            </w:pPr>
            <w:r>
              <w:rPr>
                <w:lang w:val="en-AU" w:eastAsia="en-AU"/>
              </w:rPr>
              <w:t>$0.50</w:t>
            </w:r>
          </w:p>
        </w:tc>
        <w:tc>
          <w:tcPr>
            <w:tcW w:w="1876" w:type="dxa"/>
          </w:tcPr>
          <w:p w14:paraId="0C2ECB87" w14:textId="77777777" w:rsidR="000D07EA" w:rsidRDefault="00BE7C89">
            <w:pPr>
              <w:pStyle w:val="BodyText"/>
              <w:spacing w:before="100" w:after="100"/>
              <w:jc w:val="center"/>
              <w:rPr>
                <w:lang w:val="en-AU" w:eastAsia="en-AU"/>
              </w:rPr>
            </w:pPr>
            <w:r>
              <w:rPr>
                <w:lang w:val="en-AU" w:eastAsia="en-AU"/>
              </w:rPr>
              <w:t>$0.50</w:t>
            </w:r>
          </w:p>
        </w:tc>
      </w:tr>
      <w:tr w:rsidR="000D07EA" w14:paraId="50E9CBBD" w14:textId="77777777">
        <w:tc>
          <w:tcPr>
            <w:tcW w:w="3330" w:type="dxa"/>
          </w:tcPr>
          <w:p w14:paraId="6C9FC69F" w14:textId="77777777" w:rsidR="000D07EA" w:rsidRDefault="00BE7C89">
            <w:pPr>
              <w:pStyle w:val="BodyText"/>
              <w:spacing w:before="100" w:after="100"/>
              <w:rPr>
                <w:b/>
                <w:lang w:val="en-AU" w:eastAsia="en-AU"/>
              </w:rPr>
            </w:pPr>
            <w:r>
              <w:rPr>
                <w:b/>
                <w:lang w:val="en-AU" w:eastAsia="en-AU"/>
              </w:rPr>
              <w:t>International MMS (per message)</w:t>
            </w:r>
          </w:p>
        </w:tc>
        <w:tc>
          <w:tcPr>
            <w:tcW w:w="1875" w:type="dxa"/>
          </w:tcPr>
          <w:p w14:paraId="4893B7C6" w14:textId="77777777" w:rsidR="000D07EA" w:rsidRDefault="00BE7C89">
            <w:pPr>
              <w:pStyle w:val="BodyText"/>
              <w:spacing w:before="100" w:after="100"/>
              <w:jc w:val="center"/>
              <w:rPr>
                <w:lang w:val="en-AU" w:eastAsia="en-AU"/>
              </w:rPr>
            </w:pPr>
            <w:r>
              <w:rPr>
                <w:lang w:val="en-AU" w:eastAsia="en-AU"/>
              </w:rPr>
              <w:t>$0.75</w:t>
            </w:r>
          </w:p>
        </w:tc>
        <w:tc>
          <w:tcPr>
            <w:tcW w:w="1875" w:type="dxa"/>
            <w:gridSpan w:val="2"/>
          </w:tcPr>
          <w:p w14:paraId="65FE0410" w14:textId="77777777" w:rsidR="000D07EA" w:rsidRDefault="00BE7C89">
            <w:pPr>
              <w:pStyle w:val="BodyText"/>
              <w:spacing w:before="100" w:after="100"/>
              <w:jc w:val="center"/>
              <w:rPr>
                <w:lang w:val="en-AU" w:eastAsia="en-AU"/>
              </w:rPr>
            </w:pPr>
            <w:r>
              <w:rPr>
                <w:lang w:val="en-AU" w:eastAsia="en-AU"/>
              </w:rPr>
              <w:t>$0.75</w:t>
            </w:r>
          </w:p>
        </w:tc>
        <w:tc>
          <w:tcPr>
            <w:tcW w:w="1876" w:type="dxa"/>
          </w:tcPr>
          <w:p w14:paraId="5CEED18C" w14:textId="77777777" w:rsidR="000D07EA" w:rsidRDefault="00BE7C89">
            <w:pPr>
              <w:pStyle w:val="BodyText"/>
              <w:spacing w:before="100" w:after="100"/>
              <w:jc w:val="center"/>
              <w:rPr>
                <w:lang w:val="en-AU" w:eastAsia="en-AU"/>
              </w:rPr>
            </w:pPr>
            <w:r>
              <w:rPr>
                <w:lang w:val="en-AU" w:eastAsia="en-AU"/>
              </w:rPr>
              <w:t>$0.75</w:t>
            </w:r>
          </w:p>
        </w:tc>
      </w:tr>
      <w:tr w:rsidR="000D07EA" w14:paraId="7034C12E" w14:textId="77777777">
        <w:tc>
          <w:tcPr>
            <w:tcW w:w="3330" w:type="dxa"/>
          </w:tcPr>
          <w:p w14:paraId="3439F05F" w14:textId="77777777" w:rsidR="000D07EA" w:rsidRDefault="00BE7C89">
            <w:pPr>
              <w:pStyle w:val="BodyText"/>
              <w:spacing w:before="100" w:after="100"/>
              <w:rPr>
                <w:b/>
                <w:lang w:val="en-AU" w:eastAsia="en-AU"/>
              </w:rPr>
            </w:pPr>
            <w:r>
              <w:rPr>
                <w:b/>
                <w:lang w:val="en-AU" w:eastAsia="en-AU"/>
              </w:rPr>
              <w:t>Included International Value</w:t>
            </w:r>
          </w:p>
        </w:tc>
        <w:tc>
          <w:tcPr>
            <w:tcW w:w="1875" w:type="dxa"/>
          </w:tcPr>
          <w:p w14:paraId="2DC736C4" w14:textId="77777777" w:rsidR="000D07EA" w:rsidRDefault="00BE7C89">
            <w:pPr>
              <w:pStyle w:val="BodyText"/>
              <w:spacing w:before="100" w:after="100"/>
              <w:jc w:val="center"/>
              <w:rPr>
                <w:lang w:val="en-AU" w:eastAsia="en-AU"/>
              </w:rPr>
            </w:pPr>
            <w:r>
              <w:rPr>
                <w:lang w:val="en-AU" w:eastAsia="en-AU"/>
              </w:rPr>
              <w:t>$0</w:t>
            </w:r>
          </w:p>
        </w:tc>
        <w:tc>
          <w:tcPr>
            <w:tcW w:w="1875" w:type="dxa"/>
            <w:gridSpan w:val="2"/>
          </w:tcPr>
          <w:p w14:paraId="4E8CD744" w14:textId="77777777" w:rsidR="000D07EA" w:rsidRDefault="00BE7C89">
            <w:pPr>
              <w:pStyle w:val="BodyText"/>
              <w:spacing w:before="100" w:after="100"/>
              <w:jc w:val="center"/>
              <w:rPr>
                <w:rFonts w:cs="Arial"/>
                <w:lang w:val="en-AU" w:eastAsia="en-AU"/>
              </w:rPr>
            </w:pPr>
            <w:r>
              <w:rPr>
                <w:rFonts w:cs="Arial"/>
                <w:lang w:val="en-AU" w:eastAsia="en-AU"/>
              </w:rPr>
              <w:t>$40</w:t>
            </w:r>
          </w:p>
        </w:tc>
        <w:tc>
          <w:tcPr>
            <w:tcW w:w="1876" w:type="dxa"/>
          </w:tcPr>
          <w:p w14:paraId="0C2B3249" w14:textId="77777777" w:rsidR="000D07EA" w:rsidRDefault="00BE7C89">
            <w:pPr>
              <w:pStyle w:val="BodyText"/>
              <w:spacing w:before="100" w:after="100"/>
              <w:jc w:val="center"/>
              <w:rPr>
                <w:rFonts w:cs="Arial"/>
                <w:lang w:val="en-AU" w:eastAsia="en-AU"/>
              </w:rPr>
            </w:pPr>
            <w:r>
              <w:rPr>
                <w:rFonts w:cs="Arial"/>
                <w:lang w:val="en-AU" w:eastAsia="en-AU"/>
              </w:rPr>
              <w:t>$100</w:t>
            </w:r>
          </w:p>
        </w:tc>
      </w:tr>
      <w:tr w:rsidR="000D07EA" w14:paraId="515AC6C7" w14:textId="77777777">
        <w:tc>
          <w:tcPr>
            <w:tcW w:w="3330" w:type="dxa"/>
          </w:tcPr>
          <w:p w14:paraId="32E3F76D" w14:textId="77777777" w:rsidR="000D07EA" w:rsidRDefault="00BE7C89">
            <w:pPr>
              <w:pStyle w:val="BodyText"/>
              <w:spacing w:before="100" w:after="100"/>
              <w:rPr>
                <w:b/>
                <w:lang w:val="en-AU" w:eastAsia="en-AU"/>
              </w:rPr>
            </w:pPr>
            <w:r>
              <w:rPr>
                <w:b/>
                <w:lang w:val="en-AU" w:eastAsia="en-AU"/>
              </w:rPr>
              <w:t>International Rates</w:t>
            </w:r>
          </w:p>
        </w:tc>
        <w:tc>
          <w:tcPr>
            <w:tcW w:w="5626" w:type="dxa"/>
            <w:gridSpan w:val="4"/>
          </w:tcPr>
          <w:p w14:paraId="6E97D1DC" w14:textId="77777777" w:rsidR="000D07EA" w:rsidRDefault="00BE7C89">
            <w:pPr>
              <w:pStyle w:val="BodyText"/>
              <w:spacing w:before="100" w:after="100"/>
              <w:jc w:val="center"/>
              <w:rPr>
                <w:lang w:val="en-AU" w:eastAsia="en-AU"/>
              </w:rPr>
            </w:pPr>
            <w:r>
              <w:rPr>
                <w:lang w:val="en-AU" w:eastAsia="en-AU"/>
              </w:rPr>
              <w:t xml:space="preserve">'yes' Business International Rates (see </w:t>
            </w:r>
            <w:hyperlink r:id="rId234" w:history="1">
              <w:r>
                <w:rPr>
                  <w:rStyle w:val="Hyperlink"/>
                  <w:lang w:val="en-AU" w:eastAsia="en-AU"/>
                </w:rPr>
                <w:t>Appendix J)</w:t>
              </w:r>
            </w:hyperlink>
          </w:p>
        </w:tc>
      </w:tr>
      <w:tr w:rsidR="000D07EA" w14:paraId="5BDD25DC" w14:textId="77777777">
        <w:tc>
          <w:tcPr>
            <w:tcW w:w="3330" w:type="dxa"/>
          </w:tcPr>
          <w:p w14:paraId="2288A2D3" w14:textId="77777777" w:rsidR="000D07EA" w:rsidRDefault="00BE7C89">
            <w:pPr>
              <w:pStyle w:val="BodyText"/>
              <w:spacing w:before="100" w:after="100"/>
              <w:rPr>
                <w:b/>
                <w:lang w:val="en-AU" w:eastAsia="en-AU"/>
              </w:rPr>
            </w:pPr>
            <w:r>
              <w:rPr>
                <w:b/>
                <w:lang w:val="en-AU" w:eastAsia="en-AU"/>
              </w:rPr>
              <w:t>VoiceMail</w:t>
            </w:r>
          </w:p>
        </w:tc>
        <w:tc>
          <w:tcPr>
            <w:tcW w:w="2813" w:type="dxa"/>
            <w:gridSpan w:val="2"/>
          </w:tcPr>
          <w:p w14:paraId="6EDB4D05" w14:textId="77777777" w:rsidR="000D07EA" w:rsidRDefault="00BE7C89">
            <w:pPr>
              <w:pStyle w:val="BodyText"/>
              <w:spacing w:before="100" w:after="100"/>
              <w:jc w:val="center"/>
              <w:rPr>
                <w:lang w:val="en-AU" w:eastAsia="en-AU"/>
              </w:rPr>
            </w:pPr>
            <w:r>
              <w:rPr>
                <w:lang w:val="en-AU" w:eastAsia="en-AU"/>
              </w:rPr>
              <w:t>$0 Deposits; $0.30 per 30 seconds Retrieval or Unlimited if Unlimited VoiceMail offer selected.</w:t>
            </w:r>
          </w:p>
        </w:tc>
        <w:tc>
          <w:tcPr>
            <w:tcW w:w="2813" w:type="dxa"/>
            <w:gridSpan w:val="2"/>
          </w:tcPr>
          <w:p w14:paraId="6E26A6E2" w14:textId="77777777" w:rsidR="000D07EA" w:rsidRDefault="00BE7C89">
            <w:pPr>
              <w:pStyle w:val="BodyText"/>
              <w:spacing w:before="100" w:after="100"/>
              <w:jc w:val="center"/>
              <w:rPr>
                <w:rFonts w:cs="Arial"/>
                <w:lang w:val="en-AU" w:eastAsia="en-AU"/>
              </w:rPr>
            </w:pPr>
            <w:r>
              <w:rPr>
                <w:rFonts w:cs="Arial"/>
                <w:lang w:val="en-AU" w:eastAsia="en-AU"/>
              </w:rPr>
              <w:t>Unlimited</w:t>
            </w:r>
          </w:p>
        </w:tc>
      </w:tr>
      <w:tr w:rsidR="000D07EA" w14:paraId="74F19EC7" w14:textId="77777777">
        <w:tc>
          <w:tcPr>
            <w:tcW w:w="3330" w:type="dxa"/>
            <w:vMerge w:val="restart"/>
            <w:vAlign w:val="center"/>
          </w:tcPr>
          <w:p w14:paraId="4E024934" w14:textId="77777777" w:rsidR="000D07EA" w:rsidRDefault="00BE7C89">
            <w:pPr>
              <w:pStyle w:val="BodyText"/>
              <w:spacing w:before="100" w:after="100"/>
              <w:rPr>
                <w:b/>
                <w:lang w:val="en-AU" w:eastAsia="en-AU"/>
              </w:rPr>
            </w:pPr>
            <w:r>
              <w:rPr>
                <w:b/>
                <w:lang w:val="en-AU" w:eastAsia="en-AU"/>
              </w:rPr>
              <w:t>Your Choice Of:</w:t>
            </w:r>
          </w:p>
        </w:tc>
        <w:tc>
          <w:tcPr>
            <w:tcW w:w="1875" w:type="dxa"/>
          </w:tcPr>
          <w:p w14:paraId="48BF3964" w14:textId="77777777" w:rsidR="000D07EA" w:rsidRDefault="00BE7C89">
            <w:pPr>
              <w:pStyle w:val="BodyText"/>
              <w:spacing w:before="100" w:after="100"/>
              <w:jc w:val="center"/>
              <w:rPr>
                <w:lang w:val="en-AU" w:eastAsia="en-AU"/>
              </w:rPr>
            </w:pPr>
            <w:r>
              <w:rPr>
                <w:lang w:val="en-AU" w:eastAsia="en-AU"/>
              </w:rPr>
              <w:t>1.5 GB of Mobile Internet Data</w:t>
            </w:r>
          </w:p>
        </w:tc>
        <w:tc>
          <w:tcPr>
            <w:tcW w:w="1875" w:type="dxa"/>
            <w:gridSpan w:val="2"/>
          </w:tcPr>
          <w:p w14:paraId="6B098193" w14:textId="77777777" w:rsidR="000D07EA" w:rsidRDefault="00BE7C89">
            <w:pPr>
              <w:pStyle w:val="BodyText"/>
              <w:spacing w:before="100" w:after="100"/>
              <w:jc w:val="center"/>
              <w:rPr>
                <w:lang w:val="en-AU" w:eastAsia="en-AU"/>
              </w:rPr>
            </w:pPr>
            <w:r>
              <w:rPr>
                <w:lang w:val="en-AU" w:eastAsia="en-AU"/>
              </w:rPr>
              <w:t>3 GB of Mobile Internet Data</w:t>
            </w:r>
          </w:p>
        </w:tc>
        <w:tc>
          <w:tcPr>
            <w:tcW w:w="1876" w:type="dxa"/>
          </w:tcPr>
          <w:p w14:paraId="66BCD2D8" w14:textId="77777777" w:rsidR="000D07EA" w:rsidRDefault="00BE7C89">
            <w:pPr>
              <w:pStyle w:val="BodyText"/>
              <w:spacing w:before="100" w:after="100"/>
              <w:jc w:val="center"/>
              <w:rPr>
                <w:lang w:val="en-AU" w:eastAsia="en-AU"/>
              </w:rPr>
            </w:pPr>
            <w:r>
              <w:rPr>
                <w:lang w:val="en-AU" w:eastAsia="en-AU"/>
              </w:rPr>
              <w:t>4 GB of Mobile Internet Data</w:t>
            </w:r>
          </w:p>
        </w:tc>
      </w:tr>
      <w:tr w:rsidR="000D07EA" w14:paraId="4D1C4C03" w14:textId="77777777">
        <w:tc>
          <w:tcPr>
            <w:tcW w:w="3330" w:type="dxa"/>
            <w:vMerge/>
            <w:vAlign w:val="center"/>
          </w:tcPr>
          <w:p w14:paraId="74653139" w14:textId="77777777" w:rsidR="000D07EA" w:rsidRDefault="000D07EA">
            <w:pPr>
              <w:pStyle w:val="BodyText"/>
              <w:spacing w:before="100" w:after="100"/>
              <w:rPr>
                <w:b/>
                <w:lang w:val="en-AU" w:eastAsia="en-AU"/>
              </w:rPr>
            </w:pPr>
          </w:p>
        </w:tc>
        <w:tc>
          <w:tcPr>
            <w:tcW w:w="5626" w:type="dxa"/>
            <w:gridSpan w:val="4"/>
          </w:tcPr>
          <w:p w14:paraId="691E5E80" w14:textId="77777777" w:rsidR="000D07EA" w:rsidRDefault="00BE7C89">
            <w:pPr>
              <w:pStyle w:val="BodyText"/>
              <w:spacing w:before="100" w:after="100"/>
              <w:jc w:val="center"/>
              <w:rPr>
                <w:lang w:val="en-AU" w:eastAsia="en-AU"/>
              </w:rPr>
            </w:pPr>
            <w:r>
              <w:rPr>
                <w:lang w:val="en-AU" w:eastAsia="en-AU"/>
              </w:rPr>
              <w:t>OR</w:t>
            </w:r>
          </w:p>
        </w:tc>
      </w:tr>
      <w:tr w:rsidR="000D07EA" w14:paraId="06CC3E80" w14:textId="77777777">
        <w:tc>
          <w:tcPr>
            <w:tcW w:w="3330" w:type="dxa"/>
            <w:vMerge/>
            <w:vAlign w:val="center"/>
          </w:tcPr>
          <w:p w14:paraId="519CDE10" w14:textId="77777777" w:rsidR="000D07EA" w:rsidRDefault="000D07EA">
            <w:pPr>
              <w:pStyle w:val="BodyText"/>
              <w:spacing w:before="100" w:after="100"/>
              <w:rPr>
                <w:b/>
                <w:lang w:val="en-AU" w:eastAsia="en-AU"/>
              </w:rPr>
            </w:pPr>
          </w:p>
        </w:tc>
        <w:tc>
          <w:tcPr>
            <w:tcW w:w="1875" w:type="dxa"/>
          </w:tcPr>
          <w:p w14:paraId="09FFF6E3" w14:textId="77777777" w:rsidR="000D07EA" w:rsidRDefault="00BE7C89">
            <w:pPr>
              <w:pStyle w:val="BodyText"/>
              <w:spacing w:before="100" w:after="100"/>
              <w:jc w:val="center"/>
              <w:rPr>
                <w:lang w:val="en-AU" w:eastAsia="en-AU"/>
              </w:rPr>
            </w:pPr>
            <w:r>
              <w:rPr>
                <w:lang w:val="en-AU" w:eastAsia="en-AU"/>
              </w:rPr>
              <w:t>Unlimited BlackBerry POP3 Email and Browsing</w:t>
            </w:r>
          </w:p>
        </w:tc>
        <w:tc>
          <w:tcPr>
            <w:tcW w:w="1875" w:type="dxa"/>
            <w:gridSpan w:val="2"/>
          </w:tcPr>
          <w:p w14:paraId="3BAF2B98" w14:textId="77777777" w:rsidR="000D07EA" w:rsidRDefault="00BE7C89">
            <w:pPr>
              <w:pStyle w:val="BodyText"/>
              <w:spacing w:before="100" w:after="100"/>
              <w:jc w:val="center"/>
              <w:rPr>
                <w:lang w:val="en-AU" w:eastAsia="en-AU"/>
              </w:rPr>
            </w:pPr>
            <w:r>
              <w:rPr>
                <w:lang w:val="en-AU" w:eastAsia="en-AU"/>
              </w:rPr>
              <w:t>Unlimited BlackBerry POP3 Email and Browsing</w:t>
            </w:r>
          </w:p>
        </w:tc>
        <w:tc>
          <w:tcPr>
            <w:tcW w:w="1876" w:type="dxa"/>
          </w:tcPr>
          <w:p w14:paraId="4A284AD9" w14:textId="77777777" w:rsidR="000D07EA" w:rsidRDefault="00BE7C89">
            <w:pPr>
              <w:pStyle w:val="BodyText"/>
              <w:spacing w:before="100" w:after="100"/>
              <w:jc w:val="center"/>
              <w:rPr>
                <w:lang w:val="en-AU" w:eastAsia="en-AU"/>
              </w:rPr>
            </w:pPr>
            <w:r>
              <w:rPr>
                <w:lang w:val="en-AU" w:eastAsia="en-AU"/>
              </w:rPr>
              <w:t>Unlimited BlackBerry POP3 Email and Browsing</w:t>
            </w:r>
          </w:p>
        </w:tc>
      </w:tr>
      <w:tr w:rsidR="000D07EA" w14:paraId="08CFC915" w14:textId="77777777">
        <w:tc>
          <w:tcPr>
            <w:tcW w:w="3330" w:type="dxa"/>
          </w:tcPr>
          <w:p w14:paraId="64867BE8" w14:textId="77777777" w:rsidR="000D07EA" w:rsidRDefault="00BE7C89">
            <w:pPr>
              <w:pStyle w:val="BodyText"/>
              <w:keepNext/>
              <w:spacing w:before="100" w:after="100"/>
              <w:rPr>
                <w:b/>
                <w:lang w:val="en-AU" w:eastAsia="en-AU"/>
              </w:rPr>
            </w:pPr>
            <w:r>
              <w:rPr>
                <w:b/>
                <w:lang w:val="en-AU" w:eastAsia="en-AU"/>
              </w:rPr>
              <w:t xml:space="preserve">Other call charges </w:t>
            </w:r>
          </w:p>
        </w:tc>
        <w:tc>
          <w:tcPr>
            <w:tcW w:w="5626" w:type="dxa"/>
            <w:gridSpan w:val="4"/>
          </w:tcPr>
          <w:p w14:paraId="164C5118" w14:textId="77777777" w:rsidR="000D07EA" w:rsidRDefault="00BE7C89">
            <w:pPr>
              <w:pStyle w:val="BodyText"/>
              <w:keepNext/>
              <w:spacing w:before="100" w:after="100"/>
              <w:jc w:val="both"/>
              <w:rPr>
                <w:lang w:val="en-AU" w:eastAsia="en-AU"/>
              </w:rPr>
            </w:pPr>
            <w:r>
              <w:rPr>
                <w:lang w:val="en-AU" w:eastAsia="en-AU"/>
              </w:rPr>
              <w:t xml:space="preserve">See section 1 of this </w:t>
            </w:r>
            <w:r>
              <w:rPr>
                <w:i/>
                <w:iCs/>
                <w:lang w:val="en-AU" w:eastAsia="en-AU"/>
              </w:rPr>
              <w:t>standard pricing table</w:t>
            </w:r>
            <w:r>
              <w:rPr>
                <w:lang w:val="en-AU" w:eastAsia="en-AU"/>
              </w:rPr>
              <w:t xml:space="preserve"> and Appendix Y (Value Added Service Features)</w:t>
            </w:r>
          </w:p>
        </w:tc>
      </w:tr>
      <w:tr w:rsidR="000D07EA" w14:paraId="02535491" w14:textId="77777777">
        <w:tc>
          <w:tcPr>
            <w:tcW w:w="3330" w:type="dxa"/>
          </w:tcPr>
          <w:p w14:paraId="2661E96C" w14:textId="77777777" w:rsidR="000D07EA" w:rsidRDefault="00BE7C89">
            <w:pPr>
              <w:pStyle w:val="BodyText"/>
              <w:spacing w:before="100" w:after="100"/>
              <w:rPr>
                <w:b/>
                <w:lang w:val="en-AU" w:eastAsia="en-AU"/>
              </w:rPr>
            </w:pPr>
            <w:r>
              <w:rPr>
                <w:b/>
                <w:lang w:val="en-AU" w:eastAsia="en-AU"/>
              </w:rPr>
              <w:t xml:space="preserve">Other conditions </w:t>
            </w:r>
            <w:r>
              <w:rPr>
                <w:lang w:val="en-AU" w:eastAsia="en-AU"/>
              </w:rPr>
              <w:t xml:space="preserve">(for details see paragraph </w:t>
            </w:r>
            <w:r w:rsidR="002624E4" w:rsidRPr="00272628">
              <w:rPr>
                <w:lang w:val="en-AU" w:eastAsia="en-AU"/>
              </w:rPr>
              <w:t>88</w:t>
            </w:r>
            <w:r w:rsidRPr="00272628">
              <w:rPr>
                <w:lang w:val="en-AU" w:eastAsia="en-AU"/>
              </w:rPr>
              <w:t xml:space="preserve">.3 </w:t>
            </w:r>
            <w:r>
              <w:rPr>
                <w:lang w:val="en-AU" w:eastAsia="en-AU"/>
              </w:rPr>
              <w:t>above)</w:t>
            </w:r>
          </w:p>
        </w:tc>
        <w:tc>
          <w:tcPr>
            <w:tcW w:w="5626" w:type="dxa"/>
            <w:gridSpan w:val="4"/>
          </w:tcPr>
          <w:p w14:paraId="15448FF5" w14:textId="77777777" w:rsidR="000D07EA" w:rsidRDefault="00BE7C89">
            <w:pPr>
              <w:pStyle w:val="BodyText"/>
              <w:spacing w:before="100" w:after="100"/>
              <w:jc w:val="both"/>
              <w:rPr>
                <w:lang w:val="en-AU" w:eastAsia="en-AU"/>
              </w:rPr>
            </w:pPr>
            <w:r>
              <w:t>Fair Go Policy (</w:t>
            </w:r>
            <w:hyperlink r:id="rId235" w:history="1">
              <w:r>
                <w:rPr>
                  <w:rStyle w:val="Hyperlink"/>
                  <w:i/>
                </w:rPr>
                <w:t>Appendix S</w:t>
              </w:r>
            </w:hyperlink>
            <w:r>
              <w:t>)</w:t>
            </w:r>
            <w:r>
              <w:rPr>
                <w:lang w:val="en-AU" w:eastAsia="en-AU"/>
              </w:rPr>
              <w:t xml:space="preserve"> applies to 'unreasonable use', 'unacceptable use', and 'use for any non ordinary purpose'.</w:t>
            </w:r>
          </w:p>
        </w:tc>
      </w:tr>
      <w:tr w:rsidR="000D07EA" w14:paraId="18B1B672" w14:textId="77777777">
        <w:tc>
          <w:tcPr>
            <w:tcW w:w="3330" w:type="dxa"/>
          </w:tcPr>
          <w:p w14:paraId="51DFF8BF" w14:textId="77777777" w:rsidR="000D07EA" w:rsidRDefault="00BE7C89">
            <w:pPr>
              <w:pStyle w:val="BodyText"/>
              <w:spacing w:before="100" w:after="100"/>
              <w:rPr>
                <w:b/>
                <w:lang w:val="en-AU" w:eastAsia="en-AU"/>
              </w:rPr>
            </w:pPr>
            <w:r>
              <w:rPr>
                <w:b/>
                <w:lang w:val="en-AU" w:eastAsia="en-AU"/>
              </w:rPr>
              <w:t xml:space="preserve">Minimum Total Cost of the Optus Business Timeless Max Plan over a 24 month </w:t>
            </w:r>
            <w:r>
              <w:rPr>
                <w:b/>
                <w:i/>
                <w:iCs/>
                <w:lang w:val="en-AU" w:eastAsia="en-AU"/>
              </w:rPr>
              <w:t>minimum term</w:t>
            </w:r>
          </w:p>
        </w:tc>
        <w:tc>
          <w:tcPr>
            <w:tcW w:w="1875" w:type="dxa"/>
          </w:tcPr>
          <w:p w14:paraId="18568877" w14:textId="77777777" w:rsidR="000D07EA" w:rsidRDefault="00BE7C89">
            <w:pPr>
              <w:pStyle w:val="BodyText"/>
              <w:spacing w:before="100" w:after="100"/>
              <w:jc w:val="center"/>
              <w:rPr>
                <w:lang w:val="en-AU" w:eastAsia="en-AU"/>
              </w:rPr>
            </w:pPr>
            <w:r>
              <w:rPr>
                <w:lang w:val="en-AU" w:eastAsia="en-AU"/>
              </w:rPr>
              <w:t>$2,376.00</w:t>
            </w:r>
            <w:r>
              <w:rPr>
                <w:lang w:val="en-AU" w:eastAsia="en-AU"/>
              </w:rPr>
              <w:br/>
            </w:r>
            <w:r>
              <w:rPr>
                <w:i/>
                <w:iCs/>
                <w:lang w:val="en-AU" w:eastAsia="en-AU"/>
              </w:rPr>
              <w:t>(</w:t>
            </w:r>
            <w:r>
              <w:rPr>
                <w:lang w:val="en-AU" w:eastAsia="en-AU"/>
              </w:rPr>
              <w:t xml:space="preserve">plus the cost of </w:t>
            </w:r>
            <w:r>
              <w:rPr>
                <w:i/>
                <w:iCs/>
                <w:lang w:val="en-AU" w:eastAsia="en-AU"/>
              </w:rPr>
              <w:t xml:space="preserve">equipment charges </w:t>
            </w:r>
            <w:r>
              <w:rPr>
                <w:lang w:val="en-AU" w:eastAsia="en-AU"/>
              </w:rPr>
              <w:t xml:space="preserve">for any </w:t>
            </w:r>
            <w:r>
              <w:rPr>
                <w:i/>
                <w:iCs/>
                <w:lang w:val="en-AU" w:eastAsia="en-AU"/>
              </w:rPr>
              <w:t xml:space="preserve">mobile phone you </w:t>
            </w:r>
            <w:r>
              <w:rPr>
                <w:lang w:val="en-AU" w:eastAsia="en-AU"/>
              </w:rPr>
              <w:t>purchase from us, if any)</w:t>
            </w:r>
          </w:p>
        </w:tc>
        <w:tc>
          <w:tcPr>
            <w:tcW w:w="1875" w:type="dxa"/>
            <w:gridSpan w:val="2"/>
          </w:tcPr>
          <w:p w14:paraId="4ABDF5E0" w14:textId="77777777" w:rsidR="000D07EA" w:rsidRDefault="00BE7C89">
            <w:pPr>
              <w:pStyle w:val="BodyText"/>
              <w:spacing w:before="100" w:after="100"/>
              <w:jc w:val="center"/>
              <w:rPr>
                <w:lang w:val="en-AU" w:eastAsia="en-AU"/>
              </w:rPr>
            </w:pPr>
            <w:r>
              <w:rPr>
                <w:lang w:val="en-AU" w:eastAsia="en-AU"/>
              </w:rPr>
              <w:t>$2,760.00</w:t>
            </w:r>
            <w:r>
              <w:rPr>
                <w:lang w:val="en-AU" w:eastAsia="en-AU"/>
              </w:rPr>
              <w:br/>
            </w:r>
            <w:r>
              <w:rPr>
                <w:i/>
                <w:iCs/>
                <w:lang w:val="en-AU" w:eastAsia="en-AU"/>
              </w:rPr>
              <w:t>(</w:t>
            </w:r>
            <w:r>
              <w:rPr>
                <w:lang w:val="en-AU" w:eastAsia="en-AU"/>
              </w:rPr>
              <w:t xml:space="preserve">plus the cost of </w:t>
            </w:r>
            <w:r>
              <w:rPr>
                <w:i/>
                <w:iCs/>
                <w:lang w:val="en-AU" w:eastAsia="en-AU"/>
              </w:rPr>
              <w:t xml:space="preserve">equipment charges </w:t>
            </w:r>
            <w:r>
              <w:rPr>
                <w:lang w:val="en-AU" w:eastAsia="en-AU"/>
              </w:rPr>
              <w:t xml:space="preserve">for any </w:t>
            </w:r>
            <w:r>
              <w:rPr>
                <w:i/>
                <w:iCs/>
                <w:lang w:val="en-AU" w:eastAsia="en-AU"/>
              </w:rPr>
              <w:t xml:space="preserve">mobile phone you </w:t>
            </w:r>
            <w:r>
              <w:rPr>
                <w:lang w:val="en-AU" w:eastAsia="en-AU"/>
              </w:rPr>
              <w:t>purchase from us, if any)</w:t>
            </w:r>
          </w:p>
        </w:tc>
        <w:tc>
          <w:tcPr>
            <w:tcW w:w="1876" w:type="dxa"/>
          </w:tcPr>
          <w:p w14:paraId="748E7880" w14:textId="77777777" w:rsidR="000D07EA" w:rsidRDefault="00BE7C89">
            <w:pPr>
              <w:pStyle w:val="BodyText"/>
              <w:spacing w:before="100" w:after="100"/>
              <w:jc w:val="center"/>
              <w:rPr>
                <w:lang w:val="en-AU" w:eastAsia="en-AU"/>
              </w:rPr>
            </w:pPr>
            <w:r>
              <w:rPr>
                <w:lang w:val="en-AU" w:eastAsia="en-AU"/>
              </w:rPr>
              <w:t>$3,096.00</w:t>
            </w:r>
            <w:r>
              <w:rPr>
                <w:lang w:val="en-AU" w:eastAsia="en-AU"/>
              </w:rPr>
              <w:br/>
            </w:r>
            <w:r>
              <w:rPr>
                <w:i/>
                <w:iCs/>
                <w:lang w:val="en-AU" w:eastAsia="en-AU"/>
              </w:rPr>
              <w:t>(</w:t>
            </w:r>
            <w:r>
              <w:rPr>
                <w:lang w:val="en-AU" w:eastAsia="en-AU"/>
              </w:rPr>
              <w:t xml:space="preserve">plus the cost of </w:t>
            </w:r>
            <w:r>
              <w:rPr>
                <w:i/>
                <w:iCs/>
                <w:lang w:val="en-AU" w:eastAsia="en-AU"/>
              </w:rPr>
              <w:t xml:space="preserve">equipment charges </w:t>
            </w:r>
            <w:r>
              <w:rPr>
                <w:lang w:val="en-AU" w:eastAsia="en-AU"/>
              </w:rPr>
              <w:t xml:space="preserve">for any </w:t>
            </w:r>
            <w:r>
              <w:rPr>
                <w:i/>
                <w:iCs/>
                <w:lang w:val="en-AU" w:eastAsia="en-AU"/>
              </w:rPr>
              <w:t xml:space="preserve">mobile phone you </w:t>
            </w:r>
            <w:r>
              <w:rPr>
                <w:lang w:val="en-AU" w:eastAsia="en-AU"/>
              </w:rPr>
              <w:t>purchase from us, if any)</w:t>
            </w:r>
          </w:p>
        </w:tc>
      </w:tr>
      <w:tr w:rsidR="000D07EA" w14:paraId="5CDA51A3" w14:textId="77777777">
        <w:tc>
          <w:tcPr>
            <w:tcW w:w="3330" w:type="dxa"/>
          </w:tcPr>
          <w:p w14:paraId="74B0F546" w14:textId="77777777" w:rsidR="000D07EA" w:rsidRDefault="00BE7C89">
            <w:pPr>
              <w:pStyle w:val="BodyText"/>
              <w:keepNext/>
              <w:spacing w:before="100" w:after="100"/>
              <w:rPr>
                <w:b/>
                <w:lang w:val="en-AU" w:eastAsia="en-AU"/>
              </w:rPr>
            </w:pPr>
            <w:r>
              <w:rPr>
                <w:b/>
                <w:lang w:val="en-AU" w:eastAsia="en-AU"/>
              </w:rPr>
              <w:t xml:space="preserve">Minimum Total Cost of the Optus Business Timeless Max Plan over a 12 month </w:t>
            </w:r>
            <w:r>
              <w:rPr>
                <w:b/>
                <w:i/>
                <w:iCs/>
                <w:lang w:val="en-AU" w:eastAsia="en-AU"/>
              </w:rPr>
              <w:t>minimum term</w:t>
            </w:r>
          </w:p>
        </w:tc>
        <w:tc>
          <w:tcPr>
            <w:tcW w:w="1875" w:type="dxa"/>
          </w:tcPr>
          <w:p w14:paraId="43BE71AB" w14:textId="77777777" w:rsidR="000D07EA" w:rsidRDefault="00BE7C89">
            <w:pPr>
              <w:pStyle w:val="BodyText"/>
              <w:keepNext/>
              <w:spacing w:before="100" w:after="100"/>
              <w:jc w:val="center"/>
              <w:rPr>
                <w:lang w:val="en-AU" w:eastAsia="en-AU"/>
              </w:rPr>
            </w:pPr>
            <w:r>
              <w:rPr>
                <w:lang w:val="en-AU" w:eastAsia="en-AU"/>
              </w:rPr>
              <w:t>$1,188.00</w:t>
            </w:r>
          </w:p>
          <w:p w14:paraId="7C1B950B" w14:textId="77777777" w:rsidR="000D07EA" w:rsidRDefault="00BE7C89">
            <w:pPr>
              <w:pStyle w:val="BodyText"/>
              <w:keepNext/>
              <w:spacing w:before="100" w:after="100"/>
              <w:jc w:val="center"/>
              <w:rPr>
                <w:lang w:val="en-AU" w:eastAsia="en-AU"/>
              </w:rPr>
            </w:pPr>
            <w:r>
              <w:rPr>
                <w:i/>
                <w:iCs/>
                <w:lang w:val="en-AU" w:eastAsia="en-AU"/>
              </w:rPr>
              <w:t>(</w:t>
            </w:r>
            <w:r>
              <w:rPr>
                <w:lang w:val="en-AU" w:eastAsia="en-AU"/>
              </w:rPr>
              <w:t xml:space="preserve">plus the cost of </w:t>
            </w:r>
            <w:r>
              <w:rPr>
                <w:i/>
                <w:iCs/>
                <w:lang w:val="en-AU" w:eastAsia="en-AU"/>
              </w:rPr>
              <w:t xml:space="preserve">equipment charges </w:t>
            </w:r>
            <w:r>
              <w:rPr>
                <w:lang w:val="en-AU" w:eastAsia="en-AU"/>
              </w:rPr>
              <w:t xml:space="preserve">for any </w:t>
            </w:r>
            <w:r>
              <w:rPr>
                <w:i/>
                <w:iCs/>
                <w:lang w:val="en-AU" w:eastAsia="en-AU"/>
              </w:rPr>
              <w:t xml:space="preserve">mobile phone you </w:t>
            </w:r>
            <w:r>
              <w:rPr>
                <w:lang w:val="en-AU" w:eastAsia="en-AU"/>
              </w:rPr>
              <w:t>purchase from us, if any)</w:t>
            </w:r>
          </w:p>
        </w:tc>
        <w:tc>
          <w:tcPr>
            <w:tcW w:w="1875" w:type="dxa"/>
            <w:gridSpan w:val="2"/>
          </w:tcPr>
          <w:p w14:paraId="4931C4BA" w14:textId="77777777" w:rsidR="000D07EA" w:rsidRDefault="00BE7C89">
            <w:pPr>
              <w:pStyle w:val="BodyText"/>
              <w:keepNext/>
              <w:spacing w:before="100" w:after="100"/>
              <w:jc w:val="center"/>
              <w:rPr>
                <w:lang w:val="en-AU" w:eastAsia="en-AU"/>
              </w:rPr>
            </w:pPr>
            <w:r>
              <w:rPr>
                <w:lang w:val="en-AU" w:eastAsia="en-AU"/>
              </w:rPr>
              <w:t>$1,380.00</w:t>
            </w:r>
          </w:p>
          <w:p w14:paraId="1554E59F" w14:textId="77777777" w:rsidR="000D07EA" w:rsidRDefault="00BE7C89">
            <w:pPr>
              <w:pStyle w:val="BodyText"/>
              <w:keepNext/>
              <w:spacing w:before="100" w:after="100"/>
              <w:jc w:val="center"/>
              <w:rPr>
                <w:lang w:val="en-AU" w:eastAsia="en-AU"/>
              </w:rPr>
            </w:pPr>
            <w:r>
              <w:rPr>
                <w:i/>
                <w:iCs/>
                <w:lang w:val="en-AU" w:eastAsia="en-AU"/>
              </w:rPr>
              <w:t>(</w:t>
            </w:r>
            <w:r>
              <w:rPr>
                <w:lang w:val="en-AU" w:eastAsia="en-AU"/>
              </w:rPr>
              <w:t xml:space="preserve">plus the cost of </w:t>
            </w:r>
            <w:r>
              <w:rPr>
                <w:i/>
                <w:iCs/>
                <w:lang w:val="en-AU" w:eastAsia="en-AU"/>
              </w:rPr>
              <w:t xml:space="preserve">equipment charges </w:t>
            </w:r>
            <w:r>
              <w:rPr>
                <w:lang w:val="en-AU" w:eastAsia="en-AU"/>
              </w:rPr>
              <w:t xml:space="preserve">for any </w:t>
            </w:r>
            <w:r>
              <w:rPr>
                <w:i/>
                <w:iCs/>
                <w:lang w:val="en-AU" w:eastAsia="en-AU"/>
              </w:rPr>
              <w:t xml:space="preserve">mobile phone you </w:t>
            </w:r>
            <w:r>
              <w:rPr>
                <w:lang w:val="en-AU" w:eastAsia="en-AU"/>
              </w:rPr>
              <w:t>purchase from us, if any)</w:t>
            </w:r>
          </w:p>
        </w:tc>
        <w:tc>
          <w:tcPr>
            <w:tcW w:w="1876" w:type="dxa"/>
          </w:tcPr>
          <w:p w14:paraId="74F9B443" w14:textId="77777777" w:rsidR="000D07EA" w:rsidRDefault="00BE7C89">
            <w:pPr>
              <w:pStyle w:val="BodyText"/>
              <w:keepNext/>
              <w:spacing w:before="100" w:after="100"/>
              <w:jc w:val="center"/>
              <w:rPr>
                <w:lang w:val="en-AU" w:eastAsia="en-AU"/>
              </w:rPr>
            </w:pPr>
            <w:r>
              <w:rPr>
                <w:lang w:val="en-AU" w:eastAsia="en-AU"/>
              </w:rPr>
              <w:t>$1,548.00</w:t>
            </w:r>
          </w:p>
          <w:p w14:paraId="2A8574B0" w14:textId="77777777" w:rsidR="000D07EA" w:rsidRDefault="00BE7C89">
            <w:pPr>
              <w:pStyle w:val="BodyText"/>
              <w:keepNext/>
              <w:spacing w:before="100" w:after="100"/>
              <w:jc w:val="center"/>
              <w:rPr>
                <w:lang w:val="en-AU" w:eastAsia="en-AU"/>
              </w:rPr>
            </w:pPr>
            <w:r>
              <w:rPr>
                <w:i/>
                <w:iCs/>
                <w:lang w:val="en-AU" w:eastAsia="en-AU"/>
              </w:rPr>
              <w:t>(</w:t>
            </w:r>
            <w:r>
              <w:rPr>
                <w:lang w:val="en-AU" w:eastAsia="en-AU"/>
              </w:rPr>
              <w:t xml:space="preserve">plus the cost of </w:t>
            </w:r>
            <w:r>
              <w:rPr>
                <w:i/>
                <w:iCs/>
                <w:lang w:val="en-AU" w:eastAsia="en-AU"/>
              </w:rPr>
              <w:t xml:space="preserve">equipment charges </w:t>
            </w:r>
            <w:r>
              <w:rPr>
                <w:lang w:val="en-AU" w:eastAsia="en-AU"/>
              </w:rPr>
              <w:t xml:space="preserve">for any </w:t>
            </w:r>
            <w:r>
              <w:rPr>
                <w:i/>
                <w:iCs/>
                <w:lang w:val="en-AU" w:eastAsia="en-AU"/>
              </w:rPr>
              <w:t xml:space="preserve">mobile phone you </w:t>
            </w:r>
            <w:r>
              <w:rPr>
                <w:lang w:val="en-AU" w:eastAsia="en-AU"/>
              </w:rPr>
              <w:t>purchase from us, if any)</w:t>
            </w:r>
          </w:p>
        </w:tc>
      </w:tr>
    </w:tbl>
    <w:p w14:paraId="3E7AC1EB" w14:textId="77777777" w:rsidR="000D07EA" w:rsidRDefault="000D07EA">
      <w:pPr>
        <w:pStyle w:val="Heading6"/>
        <w:numPr>
          <w:ilvl w:val="0"/>
          <w:numId w:val="0"/>
        </w:numPr>
      </w:pPr>
    </w:p>
    <w:p w14:paraId="066E16D6" w14:textId="77777777" w:rsidR="000D07EA" w:rsidRDefault="00BE7C89">
      <w:pPr>
        <w:pStyle w:val="Heading6"/>
        <w:ind w:left="0" w:firstLine="0"/>
      </w:pPr>
      <w:r>
        <w:t>BYO Bonus</w:t>
      </w:r>
    </w:p>
    <w:p w14:paraId="486EC7A3" w14:textId="77777777" w:rsidR="000D07EA" w:rsidRDefault="00BE7C89">
      <w:pPr>
        <w:pStyle w:val="Heading7"/>
        <w:rPr>
          <w:b/>
        </w:rPr>
      </w:pPr>
      <w:r>
        <w:rPr>
          <w:b/>
          <w:lang w:val="en-AU"/>
        </w:rPr>
        <w:t>Eligibility</w:t>
      </w:r>
    </w:p>
    <w:p w14:paraId="5CEDA562" w14:textId="77777777" w:rsidR="000D07EA" w:rsidRDefault="00BE7C89">
      <w:pPr>
        <w:pStyle w:val="Heading8"/>
      </w:pPr>
      <w:r>
        <w:t xml:space="preserve">The "BYO Bonus" as listed in Table 4A below, is available to customers who connect to a Business Timeless Max Plan over 12 months and either connect their own </w:t>
      </w:r>
      <w:r>
        <w:rPr>
          <w:i/>
        </w:rPr>
        <w:t>mobile phone</w:t>
      </w:r>
      <w:r>
        <w:t xml:space="preserve"> or purchase a </w:t>
      </w:r>
      <w:r>
        <w:rPr>
          <w:i/>
        </w:rPr>
        <w:t>mobile phone</w:t>
      </w:r>
      <w:r>
        <w:t xml:space="preserve"> from </w:t>
      </w:r>
      <w:r>
        <w:rPr>
          <w:i/>
        </w:rPr>
        <w:t>us</w:t>
      </w:r>
      <w:r>
        <w:t xml:space="preserve"> under a </w:t>
      </w:r>
      <w:r>
        <w:rPr>
          <w:i/>
        </w:rPr>
        <w:t>mobile equipment payment plan</w:t>
      </w:r>
      <w:r>
        <w:t>.</w:t>
      </w:r>
    </w:p>
    <w:p w14:paraId="23EE9365" w14:textId="77777777" w:rsidR="000D07EA" w:rsidRDefault="00BE7C89">
      <w:pPr>
        <w:pStyle w:val="Heading8"/>
      </w:pPr>
      <w:r>
        <w:t xml:space="preserve">At the end of the 12 months term </w:t>
      </w:r>
      <w:r>
        <w:rPr>
          <w:i/>
        </w:rPr>
        <w:t>you</w:t>
      </w:r>
      <w:r>
        <w:t xml:space="preserve"> will no longer receive the BYO Bonus. To continue to receive the BYO Bonus </w:t>
      </w:r>
      <w:r>
        <w:rPr>
          <w:i/>
        </w:rPr>
        <w:t>you</w:t>
      </w:r>
      <w:r>
        <w:t xml:space="preserve"> may recontract for a further 12 months.</w:t>
      </w:r>
    </w:p>
    <w:p w14:paraId="129947A9" w14:textId="77777777" w:rsidR="000D07EA" w:rsidRDefault="00BE7C89">
      <w:pPr>
        <w:pStyle w:val="BodyText"/>
        <w:ind w:left="1440"/>
        <w:rPr>
          <w:b/>
        </w:rPr>
      </w:pPr>
      <w:r>
        <w:rPr>
          <w:b/>
        </w:rPr>
        <w:t>Table 4A - BYO Bonus is as follows:</w:t>
      </w:r>
    </w:p>
    <w:tbl>
      <w:tblPr>
        <w:tblW w:w="0" w:type="auto"/>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2"/>
        <w:gridCol w:w="2173"/>
        <w:gridCol w:w="2172"/>
        <w:gridCol w:w="2173"/>
      </w:tblGrid>
      <w:tr w:rsidR="000D07EA" w14:paraId="344BC0B7" w14:textId="77777777">
        <w:tc>
          <w:tcPr>
            <w:tcW w:w="2306" w:type="dxa"/>
            <w:shd w:val="clear" w:color="auto" w:fill="auto"/>
          </w:tcPr>
          <w:p w14:paraId="1D5EDA31" w14:textId="77777777" w:rsidR="000D07EA" w:rsidRDefault="00BE7C89">
            <w:pPr>
              <w:pStyle w:val="BodyText"/>
              <w:spacing w:before="100" w:after="100"/>
              <w:jc w:val="center"/>
            </w:pPr>
            <w:r>
              <w:t>BYO Bonus</w:t>
            </w:r>
          </w:p>
        </w:tc>
        <w:tc>
          <w:tcPr>
            <w:tcW w:w="2217" w:type="dxa"/>
            <w:shd w:val="clear" w:color="auto" w:fill="auto"/>
          </w:tcPr>
          <w:p w14:paraId="5AE53B54" w14:textId="77777777" w:rsidR="000D07EA" w:rsidRDefault="00BE7C89">
            <w:pPr>
              <w:pStyle w:val="BodyText"/>
              <w:spacing w:before="100" w:after="100"/>
              <w:jc w:val="center"/>
              <w:rPr>
                <w:b/>
              </w:rPr>
            </w:pPr>
            <w:r>
              <w:rPr>
                <w:b/>
              </w:rPr>
              <w:t>$99 Business Timeless Max BYO</w:t>
            </w:r>
          </w:p>
        </w:tc>
        <w:tc>
          <w:tcPr>
            <w:tcW w:w="2216" w:type="dxa"/>
            <w:shd w:val="clear" w:color="auto" w:fill="auto"/>
          </w:tcPr>
          <w:p w14:paraId="2721E1D4" w14:textId="77777777" w:rsidR="000D07EA" w:rsidRDefault="00BE7C89">
            <w:pPr>
              <w:pStyle w:val="BodyText"/>
              <w:spacing w:before="100" w:after="100"/>
              <w:jc w:val="center"/>
              <w:rPr>
                <w:b/>
              </w:rPr>
            </w:pPr>
            <w:r>
              <w:rPr>
                <w:b/>
              </w:rPr>
              <w:t>$115 Business Timeless Max BYO</w:t>
            </w:r>
          </w:p>
        </w:tc>
        <w:tc>
          <w:tcPr>
            <w:tcW w:w="2217" w:type="dxa"/>
            <w:shd w:val="clear" w:color="auto" w:fill="auto"/>
          </w:tcPr>
          <w:p w14:paraId="59E15376" w14:textId="77777777" w:rsidR="000D07EA" w:rsidRDefault="00BE7C89">
            <w:pPr>
              <w:pStyle w:val="BodyText"/>
              <w:spacing w:before="100" w:after="100"/>
              <w:jc w:val="center"/>
              <w:rPr>
                <w:b/>
              </w:rPr>
            </w:pPr>
            <w:r>
              <w:rPr>
                <w:b/>
              </w:rPr>
              <w:t>$129 Business Timeless Max BYO</w:t>
            </w:r>
          </w:p>
        </w:tc>
      </w:tr>
      <w:tr w:rsidR="000D07EA" w14:paraId="7129DF55" w14:textId="77777777">
        <w:tc>
          <w:tcPr>
            <w:tcW w:w="2306" w:type="dxa"/>
            <w:shd w:val="clear" w:color="auto" w:fill="auto"/>
          </w:tcPr>
          <w:p w14:paraId="592D0711" w14:textId="77777777" w:rsidR="000D07EA" w:rsidRDefault="00BE7C89">
            <w:pPr>
              <w:pStyle w:val="BodyText"/>
              <w:spacing w:before="100" w:after="100"/>
              <w:jc w:val="center"/>
            </w:pPr>
            <w:r>
              <w:t>BYO Bonus</w:t>
            </w:r>
          </w:p>
        </w:tc>
        <w:tc>
          <w:tcPr>
            <w:tcW w:w="2217" w:type="dxa"/>
            <w:shd w:val="clear" w:color="auto" w:fill="auto"/>
          </w:tcPr>
          <w:p w14:paraId="2F75082B" w14:textId="77777777" w:rsidR="000D07EA" w:rsidRDefault="00BE7C89">
            <w:pPr>
              <w:pStyle w:val="BodyText"/>
              <w:spacing w:before="100" w:after="100"/>
              <w:jc w:val="center"/>
            </w:pPr>
            <w:r>
              <w:t>$10 monthly credit</w:t>
            </w:r>
          </w:p>
        </w:tc>
        <w:tc>
          <w:tcPr>
            <w:tcW w:w="2216" w:type="dxa"/>
            <w:shd w:val="clear" w:color="auto" w:fill="auto"/>
          </w:tcPr>
          <w:p w14:paraId="37C7302A" w14:textId="77777777" w:rsidR="000D07EA" w:rsidRDefault="00BE7C89">
            <w:pPr>
              <w:pStyle w:val="BodyText"/>
              <w:spacing w:before="100" w:after="100"/>
              <w:jc w:val="center"/>
            </w:pPr>
            <w:r>
              <w:t>$15 monthly credit</w:t>
            </w:r>
          </w:p>
        </w:tc>
        <w:tc>
          <w:tcPr>
            <w:tcW w:w="2217" w:type="dxa"/>
            <w:shd w:val="clear" w:color="auto" w:fill="auto"/>
          </w:tcPr>
          <w:p w14:paraId="6F8F8D3A" w14:textId="77777777" w:rsidR="000D07EA" w:rsidRDefault="00BE7C89">
            <w:pPr>
              <w:pStyle w:val="BodyText"/>
              <w:spacing w:before="100" w:after="100"/>
              <w:jc w:val="center"/>
            </w:pPr>
            <w:r>
              <w:t>$20 monthly credit</w:t>
            </w:r>
          </w:p>
        </w:tc>
      </w:tr>
    </w:tbl>
    <w:p w14:paraId="6E69A40E" w14:textId="77777777" w:rsidR="000D07EA" w:rsidRDefault="000D07EA">
      <w:pPr>
        <w:pStyle w:val="BodyText"/>
      </w:pPr>
    </w:p>
    <w:p w14:paraId="65C7A7BE" w14:textId="77777777" w:rsidR="000D07EA" w:rsidRDefault="00BE7C89">
      <w:pPr>
        <w:pStyle w:val="Heading7"/>
        <w:rPr>
          <w:b/>
        </w:rPr>
      </w:pPr>
      <w:r>
        <w:rPr>
          <w:b/>
        </w:rPr>
        <w:t>BYO Bonus</w:t>
      </w:r>
    </w:p>
    <w:p w14:paraId="377B0B33" w14:textId="77777777" w:rsidR="000D07EA" w:rsidRDefault="00BE7C89">
      <w:pPr>
        <w:pStyle w:val="Heading8"/>
      </w:pPr>
      <w:r>
        <w:rPr>
          <w:i/>
        </w:rPr>
        <w:t>You</w:t>
      </w:r>
      <w:r>
        <w:t xml:space="preserve"> will receive a monthly credit for 12 months to the amount specified in Table 4A above. This amount is a reduction to your monthly Access Fee and cannot be refunded, redeemed for cash, rolled over or applied for another purpose, even if the </w:t>
      </w:r>
      <w:r>
        <w:rPr>
          <w:i/>
        </w:rPr>
        <w:t>service</w:t>
      </w:r>
      <w:r>
        <w:t xml:space="preserve"> is </w:t>
      </w:r>
      <w:r>
        <w:rPr>
          <w:i/>
        </w:rPr>
        <w:t>cancelled</w:t>
      </w:r>
      <w:r>
        <w:t>.</w:t>
      </w:r>
    </w:p>
    <w:p w14:paraId="066981F1" w14:textId="77777777" w:rsidR="000D07EA" w:rsidRDefault="00BE7C89">
      <w:pPr>
        <w:pStyle w:val="Heading8"/>
      </w:pPr>
      <w:r>
        <w:lastRenderedPageBreak/>
        <w:t>If your access fee is pro-rated in any given month then the monthly credit will also be pro-rated.</w:t>
      </w:r>
    </w:p>
    <w:p w14:paraId="18AAA8EF" w14:textId="77777777" w:rsidR="000D07EA" w:rsidRDefault="00BE7C89">
      <w:pPr>
        <w:pStyle w:val="Heading6"/>
        <w:ind w:left="0" w:firstLine="0"/>
      </w:pPr>
      <w:r>
        <w:t>What happens if the service is cancelled early?</w:t>
      </w:r>
    </w:p>
    <w:p w14:paraId="661F9D02" w14:textId="77777777" w:rsidR="000D07EA" w:rsidRDefault="00BE7C89">
      <w:pPr>
        <w:pStyle w:val="Heading7"/>
      </w:pPr>
      <w:bookmarkStart w:id="344" w:name="_Ref461549724"/>
      <w:r>
        <w:t xml:space="preserve">If </w:t>
      </w:r>
      <w:r>
        <w:rPr>
          <w:i/>
        </w:rPr>
        <w:t>the service is cancelled</w:t>
      </w:r>
      <w:r>
        <w:t xml:space="preserve"> before the expiry of the </w:t>
      </w:r>
      <w:r>
        <w:rPr>
          <w:i/>
        </w:rPr>
        <w:t>minimum term</w:t>
      </w:r>
      <w:r>
        <w:t xml:space="preserve">, </w:t>
      </w:r>
      <w:r>
        <w:rPr>
          <w:i/>
        </w:rPr>
        <w:t>you</w:t>
      </w:r>
      <w:r>
        <w:t xml:space="preserve"> will be required to pay </w:t>
      </w:r>
      <w:r>
        <w:rPr>
          <w:i/>
        </w:rPr>
        <w:t>us</w:t>
      </w:r>
      <w:r>
        <w:t>:</w:t>
      </w:r>
      <w:bookmarkEnd w:id="344"/>
    </w:p>
    <w:p w14:paraId="65D73ACE" w14:textId="77777777" w:rsidR="000D07EA" w:rsidRDefault="00BE7C89">
      <w:pPr>
        <w:pStyle w:val="Heading8"/>
      </w:pPr>
      <w:bookmarkStart w:id="345" w:name="_Ref461549728"/>
      <w:r>
        <w:t xml:space="preserve">any usage charges incurred up to, and including, the </w:t>
      </w:r>
      <w:r>
        <w:rPr>
          <w:i/>
        </w:rPr>
        <w:t>cancellation date</w:t>
      </w:r>
      <w:r>
        <w:t>; plus</w:t>
      </w:r>
      <w:bookmarkEnd w:id="345"/>
    </w:p>
    <w:p w14:paraId="0CF7CBF4" w14:textId="77777777" w:rsidR="000D07EA" w:rsidRDefault="00BE7C89">
      <w:pPr>
        <w:pStyle w:val="Heading8"/>
      </w:pPr>
      <w:r>
        <w:t xml:space="preserve">the </w:t>
      </w:r>
      <w:r>
        <w:rPr>
          <w:i/>
        </w:rPr>
        <w:t>cancellation fee</w:t>
      </w:r>
      <w:r>
        <w:t xml:space="preserve"> set in paragraph </w:t>
      </w:r>
      <w:r>
        <w:fldChar w:fldCharType="begin"/>
      </w:r>
      <w:r>
        <w:instrText xml:space="preserve"> REF _Ref461549655 \n \h </w:instrText>
      </w:r>
      <w:r>
        <w:fldChar w:fldCharType="separate"/>
      </w:r>
      <w:r w:rsidR="0004083A">
        <w:t>(b)</w:t>
      </w:r>
      <w:r>
        <w:fldChar w:fldCharType="end"/>
      </w:r>
      <w:r>
        <w:t xml:space="preserve"> or </w:t>
      </w:r>
      <w:r>
        <w:fldChar w:fldCharType="begin"/>
      </w:r>
      <w:r>
        <w:instrText xml:space="preserve"> REF _Ref461548847 \n \h </w:instrText>
      </w:r>
      <w:r>
        <w:fldChar w:fldCharType="separate"/>
      </w:r>
      <w:r w:rsidR="0004083A">
        <w:t>(d)</w:t>
      </w:r>
      <w:r>
        <w:fldChar w:fldCharType="end"/>
      </w:r>
      <w:r>
        <w:t xml:space="preserve"> below (unless under clause 2A of the </w:t>
      </w:r>
      <w:r>
        <w:rPr>
          <w:i/>
        </w:rPr>
        <w:t>SMB terms</w:t>
      </w:r>
      <w:r>
        <w:t xml:space="preserve">, </w:t>
      </w:r>
      <w:r>
        <w:rPr>
          <w:i/>
        </w:rPr>
        <w:t>you</w:t>
      </w:r>
      <w:r>
        <w:t xml:space="preserve"> are entitled to </w:t>
      </w:r>
      <w:r>
        <w:rPr>
          <w:i/>
        </w:rPr>
        <w:t>cancel the service</w:t>
      </w:r>
      <w:r>
        <w:t xml:space="preserve"> without incurring a </w:t>
      </w:r>
      <w:r>
        <w:rPr>
          <w:i/>
        </w:rPr>
        <w:t>cancellation fee</w:t>
      </w:r>
      <w:r>
        <w:t xml:space="preserve">); plus </w:t>
      </w:r>
    </w:p>
    <w:p w14:paraId="1957FE53" w14:textId="77777777" w:rsidR="000D07EA" w:rsidRDefault="00BE7C89">
      <w:pPr>
        <w:pStyle w:val="Heading8"/>
      </w:pPr>
      <w:r>
        <w:t>the sum of unpaid equipment charges owing on your mobile phone under the mobile equipment payment plan (if any).</w:t>
      </w:r>
    </w:p>
    <w:p w14:paraId="5FC46FD8" w14:textId="77777777" w:rsidR="000D07EA" w:rsidRDefault="00BE7C89">
      <w:pPr>
        <w:pStyle w:val="Heading7"/>
      </w:pPr>
      <w:r>
        <w:t xml:space="preserve">The </w:t>
      </w:r>
      <w:r>
        <w:rPr>
          <w:i/>
        </w:rPr>
        <w:t>cancellation fee</w:t>
      </w:r>
      <w:r>
        <w:t xml:space="preserve"> for a 12 Month Contract is calculated as a fixed amount if the </w:t>
      </w:r>
      <w:r>
        <w:rPr>
          <w:i/>
        </w:rPr>
        <w:t>service</w:t>
      </w:r>
      <w:r>
        <w:t xml:space="preserve"> is </w:t>
      </w:r>
      <w:r>
        <w:rPr>
          <w:i/>
        </w:rPr>
        <w:t>cancelled</w:t>
      </w:r>
      <w:r>
        <w:t xml:space="preserve"> during the first 6 months of the </w:t>
      </w:r>
      <w:r>
        <w:rPr>
          <w:i/>
        </w:rPr>
        <w:t>minimum term</w:t>
      </w:r>
      <w:r>
        <w:t xml:space="preserve"> and then a pro-rata reduction of that fee (indicated as a </w:t>
      </w:r>
      <w:r>
        <w:rPr>
          <w:lang w:val="en-AU"/>
        </w:rPr>
        <w:t>percentage</w:t>
      </w:r>
      <w:r>
        <w:t xml:space="preserve"> in brackets in the first column of the table below) if the </w:t>
      </w:r>
      <w:r>
        <w:rPr>
          <w:i/>
        </w:rPr>
        <w:t>service</w:t>
      </w:r>
      <w:r>
        <w:t xml:space="preserve"> is </w:t>
      </w:r>
      <w:r>
        <w:rPr>
          <w:i/>
        </w:rPr>
        <w:t>cancelled</w:t>
      </w:r>
      <w:r>
        <w:t xml:space="preserve"> during the last six months of the </w:t>
      </w:r>
      <w:r>
        <w:rPr>
          <w:i/>
        </w:rPr>
        <w:t>minimum term</w:t>
      </w:r>
      <w:r>
        <w:t>.</w:t>
      </w:r>
    </w:p>
    <w:tbl>
      <w:tblPr>
        <w:tblW w:w="4645" w:type="pct"/>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5"/>
        <w:gridCol w:w="2010"/>
        <w:gridCol w:w="2010"/>
        <w:gridCol w:w="2010"/>
      </w:tblGrid>
      <w:tr w:rsidR="000D07EA" w14:paraId="54FA1493" w14:textId="77777777">
        <w:tc>
          <w:tcPr>
            <w:tcW w:w="1814" w:type="pct"/>
          </w:tcPr>
          <w:p w14:paraId="0E03AC6E" w14:textId="77777777" w:rsidR="000D07EA" w:rsidRDefault="00BE7C89">
            <w:pPr>
              <w:pStyle w:val="BodyText"/>
              <w:keepNext/>
              <w:spacing w:before="100" w:after="100"/>
              <w:rPr>
                <w:b/>
              </w:rPr>
            </w:pPr>
            <w:r>
              <w:rPr>
                <w:b/>
              </w:rPr>
              <w:t xml:space="preserve">When the </w:t>
            </w:r>
            <w:r>
              <w:rPr>
                <w:b/>
                <w:i/>
              </w:rPr>
              <w:t>service</w:t>
            </w:r>
            <w:r>
              <w:rPr>
                <w:b/>
              </w:rPr>
              <w:t xml:space="preserve"> is </w:t>
            </w:r>
            <w:r>
              <w:rPr>
                <w:b/>
                <w:i/>
              </w:rPr>
              <w:t>cancelled</w:t>
            </w:r>
          </w:p>
        </w:tc>
        <w:tc>
          <w:tcPr>
            <w:tcW w:w="3186" w:type="pct"/>
            <w:gridSpan w:val="3"/>
          </w:tcPr>
          <w:p w14:paraId="3DFAAE36" w14:textId="77777777" w:rsidR="000D07EA" w:rsidRDefault="00BE7C89">
            <w:pPr>
              <w:pStyle w:val="BodyText"/>
              <w:keepNext/>
              <w:spacing w:before="100" w:after="100"/>
              <w:jc w:val="center"/>
              <w:rPr>
                <w:b/>
                <w:bCs/>
                <w:i/>
                <w:lang w:eastAsia="ko-KR"/>
              </w:rPr>
            </w:pPr>
            <w:r>
              <w:rPr>
                <w:b/>
                <w:i/>
              </w:rPr>
              <w:t>Cancellation Fee</w:t>
            </w:r>
          </w:p>
        </w:tc>
      </w:tr>
      <w:tr w:rsidR="000D07EA" w14:paraId="303375CA" w14:textId="77777777">
        <w:tc>
          <w:tcPr>
            <w:tcW w:w="1814" w:type="pct"/>
          </w:tcPr>
          <w:p w14:paraId="18F425C5" w14:textId="77777777" w:rsidR="000D07EA" w:rsidRDefault="000D07EA">
            <w:pPr>
              <w:pStyle w:val="BodyText"/>
              <w:keepNext/>
              <w:spacing w:before="100" w:after="100"/>
              <w:rPr>
                <w:b/>
              </w:rPr>
            </w:pPr>
          </w:p>
        </w:tc>
        <w:tc>
          <w:tcPr>
            <w:tcW w:w="3186" w:type="pct"/>
            <w:gridSpan w:val="3"/>
          </w:tcPr>
          <w:p w14:paraId="6959AC4A" w14:textId="77777777" w:rsidR="000D07EA" w:rsidRDefault="00BE7C89">
            <w:pPr>
              <w:pStyle w:val="BodyText"/>
              <w:keepNext/>
              <w:spacing w:before="100" w:after="100"/>
              <w:jc w:val="center"/>
              <w:rPr>
                <w:b/>
                <w:bCs/>
                <w:lang w:eastAsia="ko-KR"/>
              </w:rPr>
            </w:pPr>
            <w:r>
              <w:rPr>
                <w:b/>
                <w:bCs/>
                <w:lang w:eastAsia="en-AU"/>
              </w:rPr>
              <w:t>Business</w:t>
            </w:r>
            <w:r>
              <w:rPr>
                <w:b/>
              </w:rPr>
              <w:t xml:space="preserve"> Timeless Max BYO – 12 Month Contract</w:t>
            </w:r>
          </w:p>
        </w:tc>
      </w:tr>
      <w:tr w:rsidR="000D07EA" w14:paraId="57E5F7D3" w14:textId="77777777">
        <w:tc>
          <w:tcPr>
            <w:tcW w:w="1814" w:type="pct"/>
          </w:tcPr>
          <w:p w14:paraId="413A973B" w14:textId="77777777" w:rsidR="000D07EA" w:rsidRDefault="000D07EA">
            <w:pPr>
              <w:pStyle w:val="BodyText"/>
              <w:keepNext/>
              <w:spacing w:before="100" w:after="100"/>
              <w:rPr>
                <w:b/>
              </w:rPr>
            </w:pPr>
          </w:p>
        </w:tc>
        <w:tc>
          <w:tcPr>
            <w:tcW w:w="1062" w:type="pct"/>
          </w:tcPr>
          <w:p w14:paraId="7FC88BE5" w14:textId="77777777" w:rsidR="000D07EA" w:rsidRDefault="00BE7C89">
            <w:pPr>
              <w:pStyle w:val="BodyText"/>
              <w:keepNext/>
              <w:spacing w:before="100" w:after="100"/>
              <w:jc w:val="center"/>
              <w:rPr>
                <w:b/>
              </w:rPr>
            </w:pPr>
            <w:r>
              <w:rPr>
                <w:b/>
                <w:bCs/>
                <w:lang w:eastAsia="en-AU"/>
              </w:rPr>
              <w:t>$99 Business Timeless Max BYO</w:t>
            </w:r>
          </w:p>
        </w:tc>
        <w:tc>
          <w:tcPr>
            <w:tcW w:w="1062" w:type="pct"/>
          </w:tcPr>
          <w:p w14:paraId="4BABCBBF" w14:textId="77777777" w:rsidR="000D07EA" w:rsidRDefault="00BE7C89">
            <w:pPr>
              <w:pStyle w:val="BodyText"/>
              <w:keepNext/>
              <w:spacing w:before="100" w:after="100"/>
              <w:jc w:val="center"/>
              <w:rPr>
                <w:b/>
              </w:rPr>
            </w:pPr>
            <w:r>
              <w:rPr>
                <w:b/>
                <w:bCs/>
                <w:lang w:eastAsia="en-AU"/>
              </w:rPr>
              <w:t>$115 Business Timeless Max BYO</w:t>
            </w:r>
          </w:p>
        </w:tc>
        <w:tc>
          <w:tcPr>
            <w:tcW w:w="1062" w:type="pct"/>
          </w:tcPr>
          <w:p w14:paraId="18B44C76" w14:textId="77777777" w:rsidR="000D07EA" w:rsidRDefault="00BE7C89">
            <w:pPr>
              <w:pStyle w:val="BodyText"/>
              <w:keepNext/>
              <w:spacing w:before="100" w:after="100"/>
              <w:jc w:val="center"/>
              <w:rPr>
                <w:b/>
              </w:rPr>
            </w:pPr>
            <w:r>
              <w:rPr>
                <w:b/>
                <w:bCs/>
                <w:lang w:eastAsia="en-AU"/>
              </w:rPr>
              <w:t>$129 Business Timeless Max BYO</w:t>
            </w:r>
          </w:p>
        </w:tc>
      </w:tr>
      <w:tr w:rsidR="000D07EA" w14:paraId="41204F9D" w14:textId="77777777">
        <w:tc>
          <w:tcPr>
            <w:tcW w:w="1814" w:type="pct"/>
          </w:tcPr>
          <w:p w14:paraId="2C6132E5" w14:textId="77777777" w:rsidR="000D07EA" w:rsidRDefault="00BE7C89">
            <w:pPr>
              <w:pStyle w:val="BodyText"/>
              <w:spacing w:before="100" w:after="100"/>
              <w:rPr>
                <w:b/>
              </w:rPr>
            </w:pPr>
            <w:r>
              <w:rPr>
                <w:b/>
              </w:rPr>
              <w:t xml:space="preserve">During the first 6 months – Initial </w:t>
            </w:r>
            <w:r>
              <w:rPr>
                <w:b/>
                <w:i/>
              </w:rPr>
              <w:t>cancellation fee</w:t>
            </w:r>
          </w:p>
        </w:tc>
        <w:tc>
          <w:tcPr>
            <w:tcW w:w="1062" w:type="pct"/>
          </w:tcPr>
          <w:p w14:paraId="27EA3B7B" w14:textId="77777777" w:rsidR="000D07EA" w:rsidRDefault="00BE7C89">
            <w:pPr>
              <w:pStyle w:val="BodyText"/>
              <w:spacing w:before="100" w:after="100"/>
              <w:jc w:val="center"/>
            </w:pPr>
            <w:r>
              <w:t>$ 185.00</w:t>
            </w:r>
          </w:p>
        </w:tc>
        <w:tc>
          <w:tcPr>
            <w:tcW w:w="1062" w:type="pct"/>
          </w:tcPr>
          <w:p w14:paraId="5FF8B1AD" w14:textId="77777777" w:rsidR="000D07EA" w:rsidRDefault="00BE7C89">
            <w:pPr>
              <w:pStyle w:val="BodyText"/>
              <w:spacing w:before="100" w:after="100"/>
              <w:jc w:val="center"/>
            </w:pPr>
            <w:r>
              <w:t>$ 195.00</w:t>
            </w:r>
          </w:p>
        </w:tc>
        <w:tc>
          <w:tcPr>
            <w:tcW w:w="1062" w:type="pct"/>
          </w:tcPr>
          <w:p w14:paraId="62C52B70" w14:textId="77777777" w:rsidR="000D07EA" w:rsidRDefault="00BE7C89">
            <w:pPr>
              <w:pStyle w:val="BodyText"/>
              <w:spacing w:before="100" w:after="100"/>
              <w:jc w:val="center"/>
            </w:pPr>
            <w:r>
              <w:t>$ 205.00</w:t>
            </w:r>
          </w:p>
        </w:tc>
      </w:tr>
      <w:tr w:rsidR="000D07EA" w14:paraId="5432E565" w14:textId="77777777">
        <w:tc>
          <w:tcPr>
            <w:tcW w:w="1814" w:type="pct"/>
          </w:tcPr>
          <w:p w14:paraId="0F9B1168" w14:textId="77777777" w:rsidR="000D07EA" w:rsidRDefault="00BE7C89">
            <w:pPr>
              <w:pStyle w:val="BodyText"/>
              <w:spacing w:before="100" w:after="100"/>
              <w:rPr>
                <w:b/>
              </w:rPr>
            </w:pPr>
            <w:r>
              <w:rPr>
                <w:b/>
              </w:rPr>
              <w:t xml:space="preserve">Months 7 - 9 (70% of Initial </w:t>
            </w:r>
            <w:r>
              <w:rPr>
                <w:b/>
                <w:i/>
              </w:rPr>
              <w:t>cancellation fee</w:t>
            </w:r>
            <w:r>
              <w:rPr>
                <w:b/>
              </w:rPr>
              <w:t>)</w:t>
            </w:r>
          </w:p>
        </w:tc>
        <w:tc>
          <w:tcPr>
            <w:tcW w:w="1062" w:type="pct"/>
          </w:tcPr>
          <w:p w14:paraId="4AF76E50" w14:textId="77777777" w:rsidR="000D07EA" w:rsidRDefault="00BE7C89">
            <w:pPr>
              <w:pStyle w:val="BodyText"/>
              <w:spacing w:before="100" w:after="100"/>
              <w:jc w:val="center"/>
            </w:pPr>
            <w:r>
              <w:t>$ 130.00</w:t>
            </w:r>
          </w:p>
        </w:tc>
        <w:tc>
          <w:tcPr>
            <w:tcW w:w="1062" w:type="pct"/>
          </w:tcPr>
          <w:p w14:paraId="114FE15C" w14:textId="77777777" w:rsidR="000D07EA" w:rsidRDefault="00BE7C89">
            <w:pPr>
              <w:pStyle w:val="BodyText"/>
              <w:spacing w:before="100" w:after="100"/>
              <w:jc w:val="center"/>
            </w:pPr>
            <w:r>
              <w:t>$ 137.00</w:t>
            </w:r>
          </w:p>
        </w:tc>
        <w:tc>
          <w:tcPr>
            <w:tcW w:w="1062" w:type="pct"/>
          </w:tcPr>
          <w:p w14:paraId="40854849" w14:textId="77777777" w:rsidR="000D07EA" w:rsidRDefault="00BE7C89">
            <w:pPr>
              <w:pStyle w:val="BodyText"/>
              <w:spacing w:before="100" w:after="100"/>
              <w:jc w:val="center"/>
            </w:pPr>
            <w:r>
              <w:t>$ 144</w:t>
            </w:r>
          </w:p>
        </w:tc>
      </w:tr>
      <w:tr w:rsidR="000D07EA" w14:paraId="63EEAD5C" w14:textId="77777777">
        <w:tc>
          <w:tcPr>
            <w:tcW w:w="1814" w:type="pct"/>
          </w:tcPr>
          <w:p w14:paraId="3F973B78" w14:textId="77777777" w:rsidR="000D07EA" w:rsidRDefault="00BE7C89">
            <w:pPr>
              <w:pStyle w:val="BodyText"/>
              <w:spacing w:before="100" w:after="100"/>
              <w:rPr>
                <w:b/>
              </w:rPr>
            </w:pPr>
            <w:r>
              <w:rPr>
                <w:b/>
              </w:rPr>
              <w:t xml:space="preserve">Months 10 – 12 (40% of the Initial </w:t>
            </w:r>
            <w:r>
              <w:rPr>
                <w:b/>
                <w:i/>
              </w:rPr>
              <w:t>cancellation fee</w:t>
            </w:r>
            <w:r>
              <w:rPr>
                <w:b/>
              </w:rPr>
              <w:t>)</w:t>
            </w:r>
          </w:p>
        </w:tc>
        <w:tc>
          <w:tcPr>
            <w:tcW w:w="1062" w:type="pct"/>
          </w:tcPr>
          <w:p w14:paraId="27D13406" w14:textId="77777777" w:rsidR="000D07EA" w:rsidRDefault="00BE7C89">
            <w:pPr>
              <w:pStyle w:val="BodyText"/>
              <w:spacing w:before="100" w:after="100"/>
              <w:jc w:val="center"/>
            </w:pPr>
            <w:r>
              <w:t>$ 52.00</w:t>
            </w:r>
          </w:p>
        </w:tc>
        <w:tc>
          <w:tcPr>
            <w:tcW w:w="1062" w:type="pct"/>
          </w:tcPr>
          <w:p w14:paraId="1FC5A452" w14:textId="77777777" w:rsidR="000D07EA" w:rsidRDefault="00BE7C89">
            <w:pPr>
              <w:pStyle w:val="BodyText"/>
              <w:spacing w:before="100" w:after="100"/>
              <w:jc w:val="center"/>
            </w:pPr>
            <w:r>
              <w:t>$ 55.00</w:t>
            </w:r>
          </w:p>
        </w:tc>
        <w:tc>
          <w:tcPr>
            <w:tcW w:w="1062" w:type="pct"/>
          </w:tcPr>
          <w:p w14:paraId="7C3DA4F8" w14:textId="77777777" w:rsidR="000D07EA" w:rsidRDefault="00BE7C89">
            <w:pPr>
              <w:pStyle w:val="BodyText"/>
              <w:spacing w:before="100" w:after="100"/>
              <w:jc w:val="center"/>
            </w:pPr>
            <w:r>
              <w:t>$ 57.00</w:t>
            </w:r>
          </w:p>
        </w:tc>
      </w:tr>
    </w:tbl>
    <w:p w14:paraId="567D9895" w14:textId="77777777" w:rsidR="000D07EA" w:rsidRDefault="000D07EA">
      <w:pPr>
        <w:pStyle w:val="BodyText"/>
      </w:pPr>
    </w:p>
    <w:tbl>
      <w:tblPr>
        <w:tblW w:w="9630"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2040"/>
        <w:gridCol w:w="2040"/>
        <w:gridCol w:w="2040"/>
      </w:tblGrid>
      <w:tr w:rsidR="000D07EA" w14:paraId="7D9C6D8D" w14:textId="77777777">
        <w:tc>
          <w:tcPr>
            <w:tcW w:w="3510" w:type="dxa"/>
          </w:tcPr>
          <w:p w14:paraId="2B537721" w14:textId="77777777" w:rsidR="000D07EA" w:rsidRDefault="00BE7C89">
            <w:pPr>
              <w:pStyle w:val="BodyText"/>
              <w:keepNext/>
              <w:spacing w:before="100" w:after="100"/>
              <w:rPr>
                <w:b/>
              </w:rPr>
            </w:pPr>
            <w:r>
              <w:rPr>
                <w:b/>
              </w:rPr>
              <w:t xml:space="preserve">When the </w:t>
            </w:r>
            <w:r>
              <w:rPr>
                <w:b/>
                <w:i/>
              </w:rPr>
              <w:t>service</w:t>
            </w:r>
            <w:r>
              <w:rPr>
                <w:b/>
              </w:rPr>
              <w:t xml:space="preserve"> is </w:t>
            </w:r>
            <w:r>
              <w:rPr>
                <w:b/>
                <w:i/>
              </w:rPr>
              <w:t>cancelled</w:t>
            </w:r>
          </w:p>
        </w:tc>
        <w:tc>
          <w:tcPr>
            <w:tcW w:w="6120" w:type="dxa"/>
            <w:gridSpan w:val="3"/>
          </w:tcPr>
          <w:p w14:paraId="3C0DEF27" w14:textId="77777777" w:rsidR="000D07EA" w:rsidRDefault="00BE7C89">
            <w:pPr>
              <w:pStyle w:val="BodyText"/>
              <w:keepNext/>
              <w:spacing w:before="100" w:after="100"/>
              <w:jc w:val="center"/>
              <w:rPr>
                <w:b/>
                <w:i/>
              </w:rPr>
            </w:pPr>
            <w:r>
              <w:rPr>
                <w:b/>
                <w:i/>
              </w:rPr>
              <w:t>Cancellation Fee</w:t>
            </w:r>
          </w:p>
        </w:tc>
      </w:tr>
      <w:tr w:rsidR="000D07EA" w14:paraId="6EDA5C1A" w14:textId="77777777">
        <w:tc>
          <w:tcPr>
            <w:tcW w:w="3510" w:type="dxa"/>
          </w:tcPr>
          <w:p w14:paraId="7523B7E0" w14:textId="77777777" w:rsidR="000D07EA" w:rsidRDefault="000D07EA">
            <w:pPr>
              <w:pStyle w:val="BodyText"/>
              <w:spacing w:before="100" w:after="100"/>
              <w:rPr>
                <w:b/>
              </w:rPr>
            </w:pPr>
          </w:p>
        </w:tc>
        <w:tc>
          <w:tcPr>
            <w:tcW w:w="2040" w:type="dxa"/>
          </w:tcPr>
          <w:p w14:paraId="7651FDBD" w14:textId="77777777" w:rsidR="000D07EA" w:rsidRDefault="00BE7C89">
            <w:pPr>
              <w:pStyle w:val="BodyText"/>
              <w:spacing w:before="100" w:after="100"/>
              <w:jc w:val="center"/>
              <w:rPr>
                <w:b/>
              </w:rPr>
            </w:pPr>
            <w:r>
              <w:rPr>
                <w:b/>
                <w:bCs/>
                <w:lang w:eastAsia="en-AU"/>
              </w:rPr>
              <w:t>$99 Business Timeless Max</w:t>
            </w:r>
          </w:p>
        </w:tc>
        <w:tc>
          <w:tcPr>
            <w:tcW w:w="2040" w:type="dxa"/>
          </w:tcPr>
          <w:p w14:paraId="4280351E" w14:textId="77777777" w:rsidR="000D07EA" w:rsidRDefault="00BE7C89">
            <w:pPr>
              <w:pStyle w:val="BodyText"/>
              <w:spacing w:before="100" w:after="100"/>
              <w:jc w:val="center"/>
              <w:rPr>
                <w:b/>
              </w:rPr>
            </w:pPr>
            <w:r>
              <w:rPr>
                <w:b/>
                <w:bCs/>
                <w:lang w:eastAsia="en-AU"/>
              </w:rPr>
              <w:t>$115 Business Timeless Max</w:t>
            </w:r>
          </w:p>
        </w:tc>
        <w:tc>
          <w:tcPr>
            <w:tcW w:w="2040" w:type="dxa"/>
          </w:tcPr>
          <w:p w14:paraId="4B82AAAC" w14:textId="77777777" w:rsidR="000D07EA" w:rsidRDefault="00BE7C89">
            <w:pPr>
              <w:pStyle w:val="BodyText"/>
              <w:spacing w:before="100" w:after="100"/>
              <w:jc w:val="center"/>
              <w:rPr>
                <w:b/>
              </w:rPr>
            </w:pPr>
            <w:r>
              <w:rPr>
                <w:b/>
                <w:bCs/>
                <w:lang w:eastAsia="en-AU"/>
              </w:rPr>
              <w:t>$129 Business Timeless Max</w:t>
            </w:r>
          </w:p>
        </w:tc>
      </w:tr>
      <w:tr w:rsidR="000D07EA" w14:paraId="4F4C8EE3" w14:textId="77777777">
        <w:tc>
          <w:tcPr>
            <w:tcW w:w="3510" w:type="dxa"/>
          </w:tcPr>
          <w:p w14:paraId="4A0C468F" w14:textId="77777777" w:rsidR="000D07EA" w:rsidRDefault="00BE7C89">
            <w:pPr>
              <w:pStyle w:val="BodyText"/>
              <w:spacing w:before="100" w:after="100"/>
              <w:rPr>
                <w:b/>
              </w:rPr>
            </w:pPr>
            <w:r>
              <w:rPr>
                <w:b/>
              </w:rPr>
              <w:t xml:space="preserve">During the first 6 months – Initial </w:t>
            </w:r>
            <w:r>
              <w:rPr>
                <w:b/>
                <w:i/>
              </w:rPr>
              <w:t>cancellation fee</w:t>
            </w:r>
          </w:p>
        </w:tc>
        <w:tc>
          <w:tcPr>
            <w:tcW w:w="2040" w:type="dxa"/>
          </w:tcPr>
          <w:p w14:paraId="53FBB231" w14:textId="77777777" w:rsidR="000D07EA" w:rsidRDefault="00BE7C89">
            <w:pPr>
              <w:pStyle w:val="BodyText"/>
              <w:spacing w:before="100" w:after="100"/>
              <w:jc w:val="center"/>
            </w:pPr>
            <w:r>
              <w:t>$650</w:t>
            </w:r>
          </w:p>
        </w:tc>
        <w:tc>
          <w:tcPr>
            <w:tcW w:w="2040" w:type="dxa"/>
          </w:tcPr>
          <w:p w14:paraId="79EFDE42" w14:textId="77777777" w:rsidR="000D07EA" w:rsidRDefault="00BE7C89">
            <w:pPr>
              <w:pStyle w:val="BodyText"/>
              <w:spacing w:before="100" w:after="100"/>
              <w:jc w:val="center"/>
            </w:pPr>
            <w:r>
              <w:t>$650</w:t>
            </w:r>
          </w:p>
        </w:tc>
        <w:tc>
          <w:tcPr>
            <w:tcW w:w="2040" w:type="dxa"/>
          </w:tcPr>
          <w:p w14:paraId="022E8FBA" w14:textId="77777777" w:rsidR="000D07EA" w:rsidRDefault="00BE7C89">
            <w:pPr>
              <w:pStyle w:val="BodyText"/>
              <w:spacing w:before="100" w:after="100"/>
              <w:jc w:val="center"/>
            </w:pPr>
            <w:r>
              <w:t>$700</w:t>
            </w:r>
          </w:p>
        </w:tc>
      </w:tr>
      <w:tr w:rsidR="000D07EA" w14:paraId="7573E352" w14:textId="77777777">
        <w:tc>
          <w:tcPr>
            <w:tcW w:w="3510" w:type="dxa"/>
          </w:tcPr>
          <w:p w14:paraId="47127CC6" w14:textId="77777777" w:rsidR="000D07EA" w:rsidRDefault="00BE7C89">
            <w:pPr>
              <w:pStyle w:val="BodyText"/>
              <w:spacing w:before="100" w:after="100"/>
              <w:rPr>
                <w:b/>
              </w:rPr>
            </w:pPr>
            <w:r>
              <w:rPr>
                <w:b/>
              </w:rPr>
              <w:t xml:space="preserve">Months 7 - 9 (70% of Initial </w:t>
            </w:r>
            <w:r>
              <w:rPr>
                <w:b/>
                <w:i/>
              </w:rPr>
              <w:t>cancellation fee</w:t>
            </w:r>
            <w:r>
              <w:rPr>
                <w:b/>
              </w:rPr>
              <w:t>)</w:t>
            </w:r>
          </w:p>
        </w:tc>
        <w:tc>
          <w:tcPr>
            <w:tcW w:w="2040" w:type="dxa"/>
          </w:tcPr>
          <w:p w14:paraId="2B498E66" w14:textId="77777777" w:rsidR="000D07EA" w:rsidRDefault="00BE7C89">
            <w:pPr>
              <w:pStyle w:val="BodyText"/>
              <w:spacing w:before="100" w:after="100"/>
              <w:jc w:val="center"/>
            </w:pPr>
            <w:r>
              <w:t>$455</w:t>
            </w:r>
          </w:p>
        </w:tc>
        <w:tc>
          <w:tcPr>
            <w:tcW w:w="2040" w:type="dxa"/>
          </w:tcPr>
          <w:p w14:paraId="3FE8AA0F" w14:textId="77777777" w:rsidR="000D07EA" w:rsidRDefault="00BE7C89">
            <w:pPr>
              <w:pStyle w:val="BodyText"/>
              <w:spacing w:before="100" w:after="100"/>
              <w:jc w:val="center"/>
            </w:pPr>
            <w:r>
              <w:t>$455</w:t>
            </w:r>
          </w:p>
        </w:tc>
        <w:tc>
          <w:tcPr>
            <w:tcW w:w="2040" w:type="dxa"/>
          </w:tcPr>
          <w:p w14:paraId="5BD0D478" w14:textId="77777777" w:rsidR="000D07EA" w:rsidRDefault="00BE7C89">
            <w:pPr>
              <w:pStyle w:val="BodyText"/>
              <w:spacing w:before="100" w:after="100"/>
              <w:jc w:val="center"/>
            </w:pPr>
            <w:r>
              <w:t>$490</w:t>
            </w:r>
          </w:p>
        </w:tc>
      </w:tr>
      <w:tr w:rsidR="000D07EA" w14:paraId="6F554EB6" w14:textId="77777777">
        <w:tc>
          <w:tcPr>
            <w:tcW w:w="3510" w:type="dxa"/>
          </w:tcPr>
          <w:p w14:paraId="79E4B7EC" w14:textId="77777777" w:rsidR="000D07EA" w:rsidRDefault="00BE7C89">
            <w:pPr>
              <w:pStyle w:val="BodyText"/>
              <w:spacing w:before="100" w:after="100"/>
              <w:rPr>
                <w:b/>
              </w:rPr>
            </w:pPr>
            <w:r>
              <w:rPr>
                <w:b/>
              </w:rPr>
              <w:t xml:space="preserve">Months 10 – 12 (40% of the Initial </w:t>
            </w:r>
            <w:r>
              <w:rPr>
                <w:b/>
                <w:i/>
              </w:rPr>
              <w:t>cancellation fee</w:t>
            </w:r>
            <w:r>
              <w:rPr>
                <w:b/>
              </w:rPr>
              <w:t>)</w:t>
            </w:r>
          </w:p>
        </w:tc>
        <w:tc>
          <w:tcPr>
            <w:tcW w:w="2040" w:type="dxa"/>
          </w:tcPr>
          <w:p w14:paraId="5670D1BE" w14:textId="77777777" w:rsidR="000D07EA" w:rsidRDefault="00BE7C89">
            <w:pPr>
              <w:pStyle w:val="BodyText"/>
              <w:spacing w:before="100" w:after="100"/>
              <w:jc w:val="center"/>
            </w:pPr>
            <w:r>
              <w:t>$182</w:t>
            </w:r>
          </w:p>
        </w:tc>
        <w:tc>
          <w:tcPr>
            <w:tcW w:w="2040" w:type="dxa"/>
          </w:tcPr>
          <w:p w14:paraId="412B4D5A" w14:textId="77777777" w:rsidR="000D07EA" w:rsidRDefault="00BE7C89">
            <w:pPr>
              <w:pStyle w:val="BodyText"/>
              <w:spacing w:before="100" w:after="100"/>
              <w:jc w:val="center"/>
            </w:pPr>
            <w:r>
              <w:t>$182</w:t>
            </w:r>
          </w:p>
        </w:tc>
        <w:tc>
          <w:tcPr>
            <w:tcW w:w="2040" w:type="dxa"/>
          </w:tcPr>
          <w:p w14:paraId="35433BAE" w14:textId="77777777" w:rsidR="000D07EA" w:rsidRDefault="00BE7C89">
            <w:pPr>
              <w:pStyle w:val="BodyText"/>
              <w:spacing w:before="100" w:after="100"/>
              <w:jc w:val="center"/>
            </w:pPr>
            <w:r>
              <w:t>$196</w:t>
            </w:r>
          </w:p>
        </w:tc>
      </w:tr>
    </w:tbl>
    <w:p w14:paraId="36B9876A" w14:textId="77777777" w:rsidR="000D07EA" w:rsidRDefault="000D07EA">
      <w:pPr>
        <w:pStyle w:val="BodyText"/>
      </w:pPr>
    </w:p>
    <w:p w14:paraId="068CCB8C" w14:textId="77777777" w:rsidR="000D07EA" w:rsidRDefault="00BE7C89">
      <w:pPr>
        <w:pStyle w:val="Heading7"/>
      </w:pPr>
      <w:r>
        <w:t xml:space="preserve">If </w:t>
      </w:r>
      <w:r>
        <w:rPr>
          <w:i/>
        </w:rPr>
        <w:t>you</w:t>
      </w:r>
      <w:r>
        <w:t xml:space="preserve"> change the </w:t>
      </w:r>
      <w:r>
        <w:rPr>
          <w:i/>
        </w:rPr>
        <w:t>service</w:t>
      </w:r>
      <w:r>
        <w:t xml:space="preserve"> from a Business Timeless Max BYO plan to an Optus digital mobile plan which includes a digital mobile handset before the expiry of the </w:t>
      </w:r>
      <w:r>
        <w:rPr>
          <w:i/>
        </w:rPr>
        <w:t>minimum term</w:t>
      </w:r>
      <w:r>
        <w:t xml:space="preserve"> of </w:t>
      </w:r>
      <w:r>
        <w:rPr>
          <w:i/>
        </w:rPr>
        <w:t>your</w:t>
      </w:r>
      <w:r>
        <w:t xml:space="preserve"> Business Timeless Max BYO </w:t>
      </w:r>
      <w:r>
        <w:rPr>
          <w:lang w:val="en-AU"/>
        </w:rPr>
        <w:t>plan</w:t>
      </w:r>
      <w:r>
        <w:t xml:space="preserve">, </w:t>
      </w:r>
      <w:r>
        <w:rPr>
          <w:i/>
        </w:rPr>
        <w:t>we</w:t>
      </w:r>
      <w:r>
        <w:t xml:space="preserve"> will waive the cancellation fee set out in paragraph </w:t>
      </w:r>
      <w:r>
        <w:fldChar w:fldCharType="begin"/>
      </w:r>
      <w:r>
        <w:instrText xml:space="preserve"> REF _Ref461548847 \n \h </w:instrText>
      </w:r>
      <w:r>
        <w:fldChar w:fldCharType="separate"/>
      </w:r>
      <w:r w:rsidR="0004083A">
        <w:t>(d)</w:t>
      </w:r>
      <w:r>
        <w:fldChar w:fldCharType="end"/>
      </w:r>
      <w:r>
        <w:t xml:space="preserve"> below. </w:t>
      </w:r>
      <w:r>
        <w:rPr>
          <w:i/>
        </w:rPr>
        <w:t>You</w:t>
      </w:r>
      <w:r>
        <w:t xml:space="preserve"> will be required to pay the charges set out in paragraph </w:t>
      </w:r>
      <w:r>
        <w:fldChar w:fldCharType="begin"/>
      </w:r>
      <w:r>
        <w:instrText xml:space="preserve"> REF _Ref461549724 \n \h </w:instrText>
      </w:r>
      <w:r>
        <w:fldChar w:fldCharType="separate"/>
      </w:r>
      <w:r w:rsidR="0004083A">
        <w:t>(a)</w:t>
      </w:r>
      <w:r>
        <w:fldChar w:fldCharType="end"/>
      </w:r>
      <w:r>
        <w:fldChar w:fldCharType="begin"/>
      </w:r>
      <w:r>
        <w:instrText xml:space="preserve"> REF _Ref461549728 \n \h </w:instrText>
      </w:r>
      <w:r>
        <w:fldChar w:fldCharType="separate"/>
      </w:r>
      <w:r w:rsidR="0004083A">
        <w:t>(i)</w:t>
      </w:r>
      <w:r>
        <w:fldChar w:fldCharType="end"/>
      </w:r>
      <w:r>
        <w:t xml:space="preserve"> and </w:t>
      </w:r>
      <w:r>
        <w:fldChar w:fldCharType="begin"/>
      </w:r>
      <w:r>
        <w:instrText xml:space="preserve"> REF _Ref461549724 \n \h </w:instrText>
      </w:r>
      <w:r>
        <w:fldChar w:fldCharType="separate"/>
      </w:r>
      <w:r w:rsidR="0004083A">
        <w:t>(a)</w:t>
      </w:r>
      <w:r>
        <w:fldChar w:fldCharType="end"/>
      </w:r>
      <w:r>
        <w:fldChar w:fldCharType="begin"/>
      </w:r>
      <w:r>
        <w:instrText xml:space="preserve"> REF _Ref461549732 \n \h </w:instrText>
      </w:r>
      <w:r>
        <w:fldChar w:fldCharType="separate"/>
      </w:r>
      <w:r w:rsidR="0004083A">
        <w:t>(iii)</w:t>
      </w:r>
      <w:r>
        <w:fldChar w:fldCharType="end"/>
      </w:r>
      <w:r>
        <w:t xml:space="preserve"> above.</w:t>
      </w:r>
    </w:p>
    <w:p w14:paraId="62696BC3" w14:textId="77777777" w:rsidR="000D07EA" w:rsidRDefault="00BE7C89">
      <w:pPr>
        <w:pStyle w:val="Heading7"/>
      </w:pPr>
      <w:r>
        <w:t xml:space="preserve">The </w:t>
      </w:r>
      <w:r>
        <w:rPr>
          <w:i/>
        </w:rPr>
        <w:t>cancellation fee</w:t>
      </w:r>
      <w:r>
        <w:t xml:space="preserve"> for a 24 Month Contract is calculated as a fixed amount if the </w:t>
      </w:r>
      <w:r>
        <w:rPr>
          <w:i/>
        </w:rPr>
        <w:t>service</w:t>
      </w:r>
      <w:r>
        <w:t xml:space="preserve"> is </w:t>
      </w:r>
      <w:r>
        <w:rPr>
          <w:i/>
        </w:rPr>
        <w:t>cancelled</w:t>
      </w:r>
      <w:r>
        <w:t xml:space="preserve"> during the first 12 months of the </w:t>
      </w:r>
      <w:r>
        <w:rPr>
          <w:i/>
        </w:rPr>
        <w:t>minimum term</w:t>
      </w:r>
      <w:r>
        <w:t xml:space="preserve"> and then a pro-rata reduction of that fee (indicated as a </w:t>
      </w:r>
      <w:r>
        <w:rPr>
          <w:lang w:val="en-AU"/>
        </w:rPr>
        <w:t>percentage</w:t>
      </w:r>
      <w:r>
        <w:t xml:space="preserve"> in brackets in the first column of the table below) if the </w:t>
      </w:r>
      <w:r>
        <w:rPr>
          <w:i/>
        </w:rPr>
        <w:t>service</w:t>
      </w:r>
      <w:r>
        <w:t xml:space="preserve"> is </w:t>
      </w:r>
      <w:r>
        <w:rPr>
          <w:i/>
        </w:rPr>
        <w:t>cancelled</w:t>
      </w:r>
      <w:r>
        <w:t xml:space="preserve"> during the second year of the </w:t>
      </w:r>
      <w:r>
        <w:rPr>
          <w:i/>
        </w:rPr>
        <w:t>minimum term</w:t>
      </w:r>
      <w:r>
        <w:t>.</w:t>
      </w:r>
    </w:p>
    <w:tbl>
      <w:tblPr>
        <w:tblW w:w="9639"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2043"/>
        <w:gridCol w:w="2043"/>
        <w:gridCol w:w="2043"/>
      </w:tblGrid>
      <w:tr w:rsidR="000D07EA" w14:paraId="0046FA07" w14:textId="77777777">
        <w:trPr>
          <w:tblHeader/>
        </w:trPr>
        <w:tc>
          <w:tcPr>
            <w:tcW w:w="3510" w:type="dxa"/>
          </w:tcPr>
          <w:p w14:paraId="0157F0A2" w14:textId="77777777" w:rsidR="000D07EA" w:rsidRDefault="00BE7C89">
            <w:pPr>
              <w:pStyle w:val="BodyText"/>
              <w:keepNext/>
              <w:spacing w:before="100" w:after="100"/>
              <w:rPr>
                <w:b/>
              </w:rPr>
            </w:pPr>
            <w:r>
              <w:rPr>
                <w:b/>
              </w:rPr>
              <w:lastRenderedPageBreak/>
              <w:t xml:space="preserve">When the </w:t>
            </w:r>
            <w:r>
              <w:rPr>
                <w:b/>
                <w:i/>
              </w:rPr>
              <w:t>service</w:t>
            </w:r>
            <w:r>
              <w:rPr>
                <w:b/>
              </w:rPr>
              <w:t xml:space="preserve"> is </w:t>
            </w:r>
            <w:r>
              <w:rPr>
                <w:b/>
                <w:i/>
              </w:rPr>
              <w:t>cancelled</w:t>
            </w:r>
          </w:p>
        </w:tc>
        <w:tc>
          <w:tcPr>
            <w:tcW w:w="6129" w:type="dxa"/>
            <w:gridSpan w:val="3"/>
          </w:tcPr>
          <w:p w14:paraId="25B733B2" w14:textId="77777777" w:rsidR="000D07EA" w:rsidRDefault="00BE7C89">
            <w:pPr>
              <w:pStyle w:val="BodyText"/>
              <w:keepNext/>
              <w:spacing w:before="100" w:after="100"/>
              <w:jc w:val="center"/>
              <w:rPr>
                <w:b/>
                <w:bCs/>
                <w:i/>
                <w:lang w:eastAsia="ko-KR"/>
              </w:rPr>
            </w:pPr>
            <w:r>
              <w:rPr>
                <w:b/>
                <w:i/>
              </w:rPr>
              <w:t>Cancellation Fee</w:t>
            </w:r>
          </w:p>
        </w:tc>
      </w:tr>
      <w:tr w:rsidR="000D07EA" w14:paraId="4D275EF7" w14:textId="77777777">
        <w:trPr>
          <w:tblHeader/>
        </w:trPr>
        <w:tc>
          <w:tcPr>
            <w:tcW w:w="3510" w:type="dxa"/>
          </w:tcPr>
          <w:p w14:paraId="3DF28CA9" w14:textId="77777777" w:rsidR="000D07EA" w:rsidRDefault="000D07EA">
            <w:pPr>
              <w:pStyle w:val="BodyText"/>
              <w:keepNext/>
              <w:spacing w:before="100" w:after="100"/>
              <w:rPr>
                <w:b/>
              </w:rPr>
            </w:pPr>
          </w:p>
        </w:tc>
        <w:tc>
          <w:tcPr>
            <w:tcW w:w="6129" w:type="dxa"/>
            <w:gridSpan w:val="3"/>
          </w:tcPr>
          <w:p w14:paraId="1D0B14BD" w14:textId="77777777" w:rsidR="000D07EA" w:rsidRDefault="00BE7C89">
            <w:pPr>
              <w:pStyle w:val="BodyText"/>
              <w:keepNext/>
              <w:spacing w:before="100" w:after="100"/>
              <w:jc w:val="center"/>
              <w:rPr>
                <w:b/>
                <w:bCs/>
                <w:lang w:eastAsia="ko-KR"/>
              </w:rPr>
            </w:pPr>
            <w:r>
              <w:rPr>
                <w:b/>
                <w:bCs/>
                <w:lang w:eastAsia="en-AU"/>
              </w:rPr>
              <w:t>Business</w:t>
            </w:r>
            <w:r>
              <w:rPr>
                <w:b/>
              </w:rPr>
              <w:t xml:space="preserve"> Timeless Max– 24 Month Contract</w:t>
            </w:r>
          </w:p>
        </w:tc>
      </w:tr>
      <w:tr w:rsidR="000D07EA" w14:paraId="794A5D49" w14:textId="77777777">
        <w:trPr>
          <w:tblHeader/>
        </w:trPr>
        <w:tc>
          <w:tcPr>
            <w:tcW w:w="3510" w:type="dxa"/>
          </w:tcPr>
          <w:p w14:paraId="7A730E6E" w14:textId="77777777" w:rsidR="000D07EA" w:rsidRDefault="000D07EA">
            <w:pPr>
              <w:pStyle w:val="BodyText"/>
              <w:keepNext/>
              <w:spacing w:before="100" w:after="100"/>
              <w:rPr>
                <w:b/>
              </w:rPr>
            </w:pPr>
          </w:p>
        </w:tc>
        <w:tc>
          <w:tcPr>
            <w:tcW w:w="2043" w:type="dxa"/>
          </w:tcPr>
          <w:p w14:paraId="2AFD96F6" w14:textId="77777777" w:rsidR="000D07EA" w:rsidRDefault="00BE7C89">
            <w:pPr>
              <w:pStyle w:val="BodyText"/>
              <w:keepNext/>
              <w:spacing w:before="100" w:after="100"/>
              <w:jc w:val="center"/>
              <w:rPr>
                <w:b/>
              </w:rPr>
            </w:pPr>
            <w:r>
              <w:rPr>
                <w:b/>
                <w:bCs/>
                <w:lang w:eastAsia="en-AU"/>
              </w:rPr>
              <w:t>$99 Business Timeless Max</w:t>
            </w:r>
          </w:p>
        </w:tc>
        <w:tc>
          <w:tcPr>
            <w:tcW w:w="2043" w:type="dxa"/>
          </w:tcPr>
          <w:p w14:paraId="5D951EBA" w14:textId="77777777" w:rsidR="000D07EA" w:rsidRDefault="00BE7C89">
            <w:pPr>
              <w:pStyle w:val="BodyText"/>
              <w:keepNext/>
              <w:spacing w:before="100" w:after="100"/>
              <w:jc w:val="center"/>
              <w:rPr>
                <w:b/>
              </w:rPr>
            </w:pPr>
            <w:r>
              <w:rPr>
                <w:b/>
                <w:bCs/>
                <w:lang w:eastAsia="en-AU"/>
              </w:rPr>
              <w:t>$115 Business Timeless Max</w:t>
            </w:r>
          </w:p>
        </w:tc>
        <w:tc>
          <w:tcPr>
            <w:tcW w:w="2043" w:type="dxa"/>
          </w:tcPr>
          <w:p w14:paraId="3CC8AAB9" w14:textId="77777777" w:rsidR="000D07EA" w:rsidRDefault="00BE7C89">
            <w:pPr>
              <w:pStyle w:val="BodyText"/>
              <w:keepNext/>
              <w:spacing w:before="100" w:after="100"/>
              <w:jc w:val="center"/>
              <w:rPr>
                <w:b/>
              </w:rPr>
            </w:pPr>
            <w:r>
              <w:rPr>
                <w:b/>
                <w:bCs/>
                <w:lang w:eastAsia="en-AU"/>
              </w:rPr>
              <w:t>$129 Business Timeless Max</w:t>
            </w:r>
          </w:p>
        </w:tc>
      </w:tr>
      <w:tr w:rsidR="000D07EA" w14:paraId="33BA40D3" w14:textId="77777777">
        <w:tc>
          <w:tcPr>
            <w:tcW w:w="3510" w:type="dxa"/>
          </w:tcPr>
          <w:p w14:paraId="34E9B0CE" w14:textId="77777777" w:rsidR="000D07EA" w:rsidRDefault="00BE7C89">
            <w:pPr>
              <w:pStyle w:val="BodyText"/>
              <w:spacing w:before="100" w:after="100"/>
              <w:rPr>
                <w:b/>
              </w:rPr>
            </w:pPr>
            <w:r>
              <w:rPr>
                <w:b/>
              </w:rPr>
              <w:t xml:space="preserve">During the first 12 months – Initial </w:t>
            </w:r>
            <w:r>
              <w:rPr>
                <w:b/>
                <w:i/>
              </w:rPr>
              <w:t>cancellation fee</w:t>
            </w:r>
          </w:p>
        </w:tc>
        <w:tc>
          <w:tcPr>
            <w:tcW w:w="2043" w:type="dxa"/>
          </w:tcPr>
          <w:p w14:paraId="0430AF46" w14:textId="77777777" w:rsidR="000D07EA" w:rsidRDefault="00BE7C89">
            <w:pPr>
              <w:pStyle w:val="BodyText"/>
              <w:spacing w:before="100" w:after="100"/>
              <w:jc w:val="center"/>
            </w:pPr>
            <w:r>
              <w:t>$1,100</w:t>
            </w:r>
          </w:p>
        </w:tc>
        <w:tc>
          <w:tcPr>
            <w:tcW w:w="2043" w:type="dxa"/>
          </w:tcPr>
          <w:p w14:paraId="5AC0BB23" w14:textId="77777777" w:rsidR="000D07EA" w:rsidRDefault="00BE7C89">
            <w:pPr>
              <w:pStyle w:val="BodyText"/>
              <w:spacing w:before="100" w:after="100"/>
              <w:jc w:val="center"/>
            </w:pPr>
            <w:r>
              <w:t>$1,100</w:t>
            </w:r>
          </w:p>
        </w:tc>
        <w:tc>
          <w:tcPr>
            <w:tcW w:w="2043" w:type="dxa"/>
          </w:tcPr>
          <w:p w14:paraId="2ED81C16" w14:textId="77777777" w:rsidR="000D07EA" w:rsidRDefault="00BE7C89">
            <w:pPr>
              <w:pStyle w:val="BodyText"/>
              <w:spacing w:before="100" w:after="100"/>
              <w:jc w:val="center"/>
            </w:pPr>
            <w:r>
              <w:t>$1,200</w:t>
            </w:r>
          </w:p>
        </w:tc>
      </w:tr>
      <w:tr w:rsidR="000D07EA" w14:paraId="160DAF4F" w14:textId="77777777">
        <w:tc>
          <w:tcPr>
            <w:tcW w:w="3510" w:type="dxa"/>
          </w:tcPr>
          <w:p w14:paraId="0B55A769" w14:textId="77777777" w:rsidR="000D07EA" w:rsidRDefault="00BE7C89">
            <w:pPr>
              <w:pStyle w:val="BodyText"/>
              <w:spacing w:before="100" w:after="100"/>
              <w:rPr>
                <w:b/>
              </w:rPr>
            </w:pPr>
            <w:r>
              <w:rPr>
                <w:b/>
              </w:rPr>
              <w:t xml:space="preserve">Months 13 – 15 (80% of Initial </w:t>
            </w:r>
            <w:r>
              <w:rPr>
                <w:b/>
                <w:i/>
              </w:rPr>
              <w:t>cancellation fee</w:t>
            </w:r>
            <w:r>
              <w:rPr>
                <w:b/>
              </w:rPr>
              <w:t>)</w:t>
            </w:r>
          </w:p>
        </w:tc>
        <w:tc>
          <w:tcPr>
            <w:tcW w:w="2043" w:type="dxa"/>
          </w:tcPr>
          <w:p w14:paraId="700428EE" w14:textId="77777777" w:rsidR="000D07EA" w:rsidRDefault="00BE7C89">
            <w:pPr>
              <w:pStyle w:val="BodyText"/>
              <w:spacing w:before="100" w:after="100"/>
              <w:jc w:val="center"/>
            </w:pPr>
            <w:r>
              <w:t>$880</w:t>
            </w:r>
          </w:p>
        </w:tc>
        <w:tc>
          <w:tcPr>
            <w:tcW w:w="2043" w:type="dxa"/>
          </w:tcPr>
          <w:p w14:paraId="6AA31EBB" w14:textId="77777777" w:rsidR="000D07EA" w:rsidRDefault="00BE7C89">
            <w:pPr>
              <w:pStyle w:val="BodyText"/>
              <w:spacing w:before="100" w:after="100"/>
              <w:jc w:val="center"/>
            </w:pPr>
            <w:r>
              <w:t>$880</w:t>
            </w:r>
          </w:p>
        </w:tc>
        <w:tc>
          <w:tcPr>
            <w:tcW w:w="2043" w:type="dxa"/>
          </w:tcPr>
          <w:p w14:paraId="0EDED7E9" w14:textId="77777777" w:rsidR="000D07EA" w:rsidRDefault="00BE7C89">
            <w:pPr>
              <w:pStyle w:val="BodyText"/>
              <w:spacing w:before="100" w:after="100"/>
              <w:jc w:val="center"/>
            </w:pPr>
            <w:r>
              <w:t>$960</w:t>
            </w:r>
          </w:p>
        </w:tc>
      </w:tr>
      <w:tr w:rsidR="000D07EA" w14:paraId="01C0DDF7" w14:textId="77777777">
        <w:tc>
          <w:tcPr>
            <w:tcW w:w="3510" w:type="dxa"/>
          </w:tcPr>
          <w:p w14:paraId="260B1CE1" w14:textId="77777777" w:rsidR="000D07EA" w:rsidRDefault="00BE7C89">
            <w:pPr>
              <w:pStyle w:val="BodyText"/>
              <w:spacing w:before="100" w:after="100"/>
              <w:rPr>
                <w:b/>
              </w:rPr>
            </w:pPr>
            <w:r>
              <w:rPr>
                <w:b/>
              </w:rPr>
              <w:t xml:space="preserve">Months 16 – 18 (60% of the Initial </w:t>
            </w:r>
            <w:r>
              <w:rPr>
                <w:b/>
                <w:i/>
              </w:rPr>
              <w:t>cancellation fee</w:t>
            </w:r>
            <w:r>
              <w:rPr>
                <w:b/>
              </w:rPr>
              <w:t>)</w:t>
            </w:r>
          </w:p>
        </w:tc>
        <w:tc>
          <w:tcPr>
            <w:tcW w:w="2043" w:type="dxa"/>
          </w:tcPr>
          <w:p w14:paraId="135F998A" w14:textId="77777777" w:rsidR="000D07EA" w:rsidRDefault="00BE7C89">
            <w:pPr>
              <w:pStyle w:val="BodyText"/>
              <w:spacing w:before="100" w:after="100"/>
              <w:jc w:val="center"/>
            </w:pPr>
            <w:r>
              <w:t>$660</w:t>
            </w:r>
          </w:p>
        </w:tc>
        <w:tc>
          <w:tcPr>
            <w:tcW w:w="2043" w:type="dxa"/>
          </w:tcPr>
          <w:p w14:paraId="559206A4" w14:textId="77777777" w:rsidR="000D07EA" w:rsidRDefault="00BE7C89">
            <w:pPr>
              <w:pStyle w:val="BodyText"/>
              <w:spacing w:before="100" w:after="100"/>
              <w:jc w:val="center"/>
            </w:pPr>
            <w:r>
              <w:t>$660</w:t>
            </w:r>
          </w:p>
        </w:tc>
        <w:tc>
          <w:tcPr>
            <w:tcW w:w="2043" w:type="dxa"/>
          </w:tcPr>
          <w:p w14:paraId="5E15B4AB" w14:textId="77777777" w:rsidR="000D07EA" w:rsidRDefault="00BE7C89">
            <w:pPr>
              <w:pStyle w:val="BodyText"/>
              <w:spacing w:before="100" w:after="100"/>
              <w:jc w:val="center"/>
            </w:pPr>
            <w:r>
              <w:t>$720</w:t>
            </w:r>
          </w:p>
        </w:tc>
      </w:tr>
      <w:tr w:rsidR="000D07EA" w14:paraId="318F2D2D" w14:textId="77777777">
        <w:tc>
          <w:tcPr>
            <w:tcW w:w="3510" w:type="dxa"/>
          </w:tcPr>
          <w:p w14:paraId="5F0FF80A" w14:textId="77777777" w:rsidR="000D07EA" w:rsidRDefault="00BE7C89">
            <w:pPr>
              <w:pStyle w:val="BodyText"/>
              <w:spacing w:before="100" w:after="100"/>
              <w:rPr>
                <w:b/>
              </w:rPr>
            </w:pPr>
            <w:r>
              <w:rPr>
                <w:b/>
              </w:rPr>
              <w:t xml:space="preserve">Months 19 – 21 (40% of the Initial </w:t>
            </w:r>
            <w:r>
              <w:rPr>
                <w:b/>
                <w:i/>
              </w:rPr>
              <w:t>cancellation fee</w:t>
            </w:r>
            <w:r>
              <w:rPr>
                <w:b/>
              </w:rPr>
              <w:t>)</w:t>
            </w:r>
          </w:p>
        </w:tc>
        <w:tc>
          <w:tcPr>
            <w:tcW w:w="2043" w:type="dxa"/>
          </w:tcPr>
          <w:p w14:paraId="02AB7107" w14:textId="77777777" w:rsidR="000D07EA" w:rsidRDefault="00BE7C89">
            <w:pPr>
              <w:pStyle w:val="BodyText"/>
              <w:spacing w:before="100" w:after="100"/>
              <w:jc w:val="center"/>
            </w:pPr>
            <w:r>
              <w:t>$440</w:t>
            </w:r>
          </w:p>
        </w:tc>
        <w:tc>
          <w:tcPr>
            <w:tcW w:w="2043" w:type="dxa"/>
          </w:tcPr>
          <w:p w14:paraId="061BD869" w14:textId="77777777" w:rsidR="000D07EA" w:rsidRDefault="00BE7C89">
            <w:pPr>
              <w:pStyle w:val="BodyText"/>
              <w:spacing w:before="100" w:after="100"/>
              <w:jc w:val="center"/>
            </w:pPr>
            <w:r>
              <w:t>$440</w:t>
            </w:r>
          </w:p>
        </w:tc>
        <w:tc>
          <w:tcPr>
            <w:tcW w:w="2043" w:type="dxa"/>
          </w:tcPr>
          <w:p w14:paraId="7549F6D5" w14:textId="77777777" w:rsidR="000D07EA" w:rsidRDefault="00BE7C89">
            <w:pPr>
              <w:pStyle w:val="BodyText"/>
              <w:spacing w:before="100" w:after="100"/>
              <w:jc w:val="center"/>
            </w:pPr>
            <w:r>
              <w:t>$480</w:t>
            </w:r>
          </w:p>
        </w:tc>
      </w:tr>
      <w:tr w:rsidR="000D07EA" w14:paraId="63A60804" w14:textId="77777777">
        <w:tc>
          <w:tcPr>
            <w:tcW w:w="3510" w:type="dxa"/>
          </w:tcPr>
          <w:p w14:paraId="5CC4DFF4" w14:textId="77777777" w:rsidR="000D07EA" w:rsidRDefault="00BE7C89">
            <w:pPr>
              <w:pStyle w:val="BodyText"/>
              <w:spacing w:before="100" w:after="100"/>
              <w:rPr>
                <w:b/>
              </w:rPr>
            </w:pPr>
            <w:r>
              <w:rPr>
                <w:b/>
              </w:rPr>
              <w:t xml:space="preserve">Months 22 – 24 (20% of the Initial </w:t>
            </w:r>
            <w:r>
              <w:rPr>
                <w:b/>
                <w:i/>
              </w:rPr>
              <w:t>cancellation fee</w:t>
            </w:r>
            <w:r>
              <w:rPr>
                <w:b/>
              </w:rPr>
              <w:t>)</w:t>
            </w:r>
          </w:p>
        </w:tc>
        <w:tc>
          <w:tcPr>
            <w:tcW w:w="2043" w:type="dxa"/>
          </w:tcPr>
          <w:p w14:paraId="07D06DDC" w14:textId="77777777" w:rsidR="000D07EA" w:rsidRDefault="00BE7C89">
            <w:pPr>
              <w:pStyle w:val="BodyText"/>
              <w:spacing w:before="100" w:after="100"/>
              <w:jc w:val="center"/>
            </w:pPr>
            <w:r>
              <w:t>$220</w:t>
            </w:r>
          </w:p>
        </w:tc>
        <w:tc>
          <w:tcPr>
            <w:tcW w:w="2043" w:type="dxa"/>
          </w:tcPr>
          <w:p w14:paraId="621338B5" w14:textId="77777777" w:rsidR="000D07EA" w:rsidRDefault="00BE7C89">
            <w:pPr>
              <w:pStyle w:val="BodyText"/>
              <w:spacing w:before="100" w:after="100"/>
              <w:jc w:val="center"/>
            </w:pPr>
            <w:r>
              <w:t>$220</w:t>
            </w:r>
          </w:p>
        </w:tc>
        <w:tc>
          <w:tcPr>
            <w:tcW w:w="2043" w:type="dxa"/>
          </w:tcPr>
          <w:p w14:paraId="167362E7" w14:textId="77777777" w:rsidR="000D07EA" w:rsidRDefault="00BE7C89">
            <w:pPr>
              <w:pStyle w:val="BodyText"/>
              <w:spacing w:before="100" w:after="100"/>
              <w:jc w:val="center"/>
            </w:pPr>
            <w:r>
              <w:t>$240</w:t>
            </w:r>
          </w:p>
        </w:tc>
      </w:tr>
    </w:tbl>
    <w:p w14:paraId="738E61F5" w14:textId="77777777" w:rsidR="000D07EA" w:rsidRDefault="000D07EA">
      <w:pPr>
        <w:pStyle w:val="BodyText"/>
        <w:spacing w:after="0"/>
      </w:pPr>
    </w:p>
    <w:p w14:paraId="3850F269" w14:textId="77777777" w:rsidR="000D07EA" w:rsidRDefault="00BE7C89">
      <w:pPr>
        <w:pStyle w:val="Heading4"/>
      </w:pPr>
      <w:bookmarkStart w:id="346" w:name="_Toc62644630"/>
      <w:r>
        <w:t>Business Complete Max Plans (Incorporating $49 Business Complete Max, $59 Business Complete Max, $79 Business Complete Max and $10 Business Complete Max Business Mobile Broadband Plan) Effective from 4 July 2010.</w:t>
      </w:r>
      <w:bookmarkEnd w:id="346"/>
    </w:p>
    <w:p w14:paraId="14706A1C" w14:textId="77777777" w:rsidR="000D07EA" w:rsidRDefault="00BE7C89">
      <w:pPr>
        <w:pStyle w:val="Heading6"/>
        <w:ind w:left="0" w:firstLine="0"/>
      </w:pPr>
      <w:r>
        <w:t>Eligibility</w:t>
      </w:r>
    </w:p>
    <w:p w14:paraId="37A35DFC" w14:textId="77777777" w:rsidR="000D07EA" w:rsidRDefault="00BE7C89">
      <w:pPr>
        <w:pStyle w:val="BodyText"/>
        <w:ind w:left="709"/>
        <w:rPr>
          <w:lang w:val="en-AU"/>
        </w:rPr>
      </w:pPr>
      <w:r>
        <w:rPr>
          <w:lang w:val="en-AU"/>
        </w:rPr>
        <w:t xml:space="preserve">The Business Complete Max plans are only available to customers </w:t>
      </w:r>
      <w:r>
        <w:rPr>
          <w:i/>
          <w:lang w:val="en-AU"/>
        </w:rPr>
        <w:t>we</w:t>
      </w:r>
      <w:r>
        <w:rPr>
          <w:lang w:val="en-AU"/>
        </w:rPr>
        <w:t xml:space="preserve"> classify as </w:t>
      </w:r>
      <w:r>
        <w:rPr>
          <w:i/>
          <w:lang w:val="en-AU"/>
        </w:rPr>
        <w:t>small or medium business</w:t>
      </w:r>
      <w:r>
        <w:rPr>
          <w:lang w:val="en-AU"/>
        </w:rPr>
        <w:t xml:space="preserve"> customers who apply to connect to the service on the following terms:</w:t>
      </w:r>
    </w:p>
    <w:p w14:paraId="11594DAA" w14:textId="77777777" w:rsidR="000D07EA" w:rsidRDefault="00BE7C89">
      <w:pPr>
        <w:pStyle w:val="Heading7"/>
        <w:rPr>
          <w:lang w:val="en-AU"/>
        </w:rPr>
      </w:pPr>
      <w:r>
        <w:rPr>
          <w:snapToGrid w:val="0"/>
          <w:lang w:val="en-AU"/>
        </w:rPr>
        <w:t xml:space="preserve">In order to be and remain eligible for the Business Complete Max Offers, </w:t>
      </w:r>
      <w:r>
        <w:rPr>
          <w:i/>
          <w:snapToGrid w:val="0"/>
          <w:lang w:val="en-AU"/>
        </w:rPr>
        <w:t xml:space="preserve">you </w:t>
      </w:r>
      <w:r>
        <w:rPr>
          <w:snapToGrid w:val="0"/>
          <w:lang w:val="en-AU"/>
        </w:rPr>
        <w:t>must:</w:t>
      </w:r>
    </w:p>
    <w:p w14:paraId="2A052051" w14:textId="77777777" w:rsidR="000D07EA" w:rsidRDefault="00BE7C89">
      <w:pPr>
        <w:pStyle w:val="Heading8"/>
        <w:rPr>
          <w:snapToGrid w:val="0"/>
          <w:lang w:val="en-AU"/>
        </w:rPr>
      </w:pPr>
      <w:r>
        <w:rPr>
          <w:snapToGrid w:val="0"/>
          <w:lang w:val="en-AU"/>
        </w:rPr>
        <w:t>maintain a ratio of at least 1 Optus Mobile Digital Service to 1 Business Mobile Broadband Service (for Customers who elect to take up a Business Mobile Broadband (BMB) Service).</w:t>
      </w:r>
    </w:p>
    <w:p w14:paraId="21B587B0" w14:textId="77777777" w:rsidR="000D07EA" w:rsidRDefault="00BE7C89">
      <w:pPr>
        <w:pStyle w:val="BodyText"/>
        <w:ind w:left="2127"/>
        <w:rPr>
          <w:lang w:val="en-AU"/>
        </w:rPr>
      </w:pPr>
      <w:r>
        <w:rPr>
          <w:lang w:val="en-AU"/>
        </w:rPr>
        <w:t xml:space="preserve">For example </w:t>
      </w:r>
      <w:r>
        <w:rPr>
          <w:i/>
          <w:lang w:val="en-AU"/>
        </w:rPr>
        <w:t>you</w:t>
      </w:r>
      <w:r>
        <w:rPr>
          <w:lang w:val="en-AU"/>
        </w:rPr>
        <w:t xml:space="preserve"> may connect 2 $59 Business Complete Max Mobile Services and 2 $10 Business Complete Max BMB Services or </w:t>
      </w:r>
      <w:r>
        <w:rPr>
          <w:i/>
          <w:lang w:val="en-AU"/>
        </w:rPr>
        <w:t>you</w:t>
      </w:r>
      <w:r>
        <w:rPr>
          <w:lang w:val="en-AU"/>
        </w:rPr>
        <w:t xml:space="preserve"> may connect 2 $59 Business Complete Max Services and 1 $10 Business Complete Max BMB service. However, </w:t>
      </w:r>
      <w:r>
        <w:rPr>
          <w:i/>
          <w:lang w:val="en-AU"/>
        </w:rPr>
        <w:t>you</w:t>
      </w:r>
      <w:r>
        <w:rPr>
          <w:lang w:val="en-AU"/>
        </w:rPr>
        <w:t xml:space="preserve"> may not have 1 $59 Business Complete Max Mobile Service and 2 $10 Business Complete Max BMB Services.</w:t>
      </w:r>
    </w:p>
    <w:p w14:paraId="4C23309F" w14:textId="77777777" w:rsidR="000D07EA" w:rsidRDefault="00BE7C89">
      <w:pPr>
        <w:pStyle w:val="Heading8"/>
        <w:rPr>
          <w:lang w:val="en-AU"/>
        </w:rPr>
      </w:pPr>
      <w:r>
        <w:rPr>
          <w:lang w:val="en-AU"/>
        </w:rPr>
        <w:t>connect all relevant</w:t>
      </w:r>
      <w:r>
        <w:rPr>
          <w:i/>
          <w:lang w:val="en-AU"/>
        </w:rPr>
        <w:t xml:space="preserve"> services</w:t>
      </w:r>
      <w:r>
        <w:rPr>
          <w:lang w:val="en-AU"/>
        </w:rPr>
        <w:t xml:space="preserve"> in the same account holder name and service address, and ABN/CAN/ARBN;</w:t>
      </w:r>
    </w:p>
    <w:p w14:paraId="7D0D1AC0" w14:textId="77777777" w:rsidR="000D07EA" w:rsidRDefault="00BE7C89">
      <w:pPr>
        <w:pStyle w:val="Heading8"/>
        <w:rPr>
          <w:lang w:val="en-AU"/>
        </w:rPr>
      </w:pPr>
      <w:bookmarkStart w:id="347" w:name="_Ref461549732"/>
      <w:r>
        <w:rPr>
          <w:lang w:val="en-AU"/>
        </w:rPr>
        <w:t xml:space="preserve">meet all of the criteria for the particular </w:t>
      </w:r>
      <w:r>
        <w:rPr>
          <w:i/>
          <w:lang w:val="en-AU"/>
        </w:rPr>
        <w:t>services</w:t>
      </w:r>
      <w:r>
        <w:rPr>
          <w:lang w:val="en-AU"/>
        </w:rPr>
        <w:t xml:space="preserve"> as set out in each of the relevant </w:t>
      </w:r>
      <w:r>
        <w:rPr>
          <w:i/>
          <w:lang w:val="en-AU"/>
        </w:rPr>
        <w:t>service descriptions</w:t>
      </w:r>
      <w:r>
        <w:rPr>
          <w:lang w:val="en-AU"/>
        </w:rPr>
        <w:t>; and</w:t>
      </w:r>
      <w:bookmarkEnd w:id="347"/>
    </w:p>
    <w:p w14:paraId="7AC83387" w14:textId="77777777" w:rsidR="000D07EA" w:rsidRDefault="00BE7C89">
      <w:pPr>
        <w:pStyle w:val="Heading8"/>
        <w:rPr>
          <w:lang w:val="en-AU"/>
        </w:rPr>
      </w:pPr>
      <w:r>
        <w:rPr>
          <w:lang w:val="en-AU"/>
        </w:rPr>
        <w:t>receive subscription charges on a monthly single bill.</w:t>
      </w:r>
    </w:p>
    <w:p w14:paraId="6D6DC4F1" w14:textId="77777777" w:rsidR="000D07EA" w:rsidRDefault="00BE7C89">
      <w:pPr>
        <w:pStyle w:val="Heading7"/>
        <w:rPr>
          <w:lang w:val="en-AU"/>
        </w:rPr>
      </w:pPr>
      <w:r>
        <w:rPr>
          <w:snapToGrid w:val="0"/>
          <w:lang w:val="en-AU"/>
        </w:rPr>
        <w:t xml:space="preserve">If </w:t>
      </w:r>
      <w:r>
        <w:rPr>
          <w:i/>
          <w:snapToGrid w:val="0"/>
          <w:lang w:val="en-AU"/>
        </w:rPr>
        <w:t xml:space="preserve">you </w:t>
      </w:r>
      <w:r>
        <w:rPr>
          <w:snapToGrid w:val="0"/>
          <w:lang w:val="en-AU"/>
        </w:rPr>
        <w:t>already have a non-fixed length or fixed length agreement with us for either your Optus Mobile Digital Service(s) and your Optus Mobile Service(s) and you choose to connect as a new customer to our Business Complete Max offer:</w:t>
      </w:r>
    </w:p>
    <w:p w14:paraId="272937FB" w14:textId="77777777" w:rsidR="000D07EA" w:rsidRDefault="00BE7C89">
      <w:pPr>
        <w:pStyle w:val="Heading8"/>
        <w:rPr>
          <w:snapToGrid w:val="0"/>
          <w:lang w:val="en-AU"/>
        </w:rPr>
      </w:pPr>
      <w:r>
        <w:rPr>
          <w:i/>
          <w:snapToGrid w:val="0"/>
          <w:lang w:val="en-AU"/>
        </w:rPr>
        <w:t>We</w:t>
      </w:r>
      <w:r>
        <w:rPr>
          <w:snapToGrid w:val="0"/>
          <w:lang w:val="en-AU"/>
        </w:rPr>
        <w:t xml:space="preserve"> may agree (at </w:t>
      </w:r>
      <w:r>
        <w:rPr>
          <w:i/>
          <w:snapToGrid w:val="0"/>
          <w:lang w:val="en-AU"/>
        </w:rPr>
        <w:t>our</w:t>
      </w:r>
      <w:r>
        <w:rPr>
          <w:snapToGrid w:val="0"/>
          <w:lang w:val="en-AU"/>
        </w:rPr>
        <w:t xml:space="preserve"> discretion) to transfer</w:t>
      </w:r>
      <w:r>
        <w:rPr>
          <w:i/>
          <w:snapToGrid w:val="0"/>
          <w:lang w:val="en-AU"/>
        </w:rPr>
        <w:t xml:space="preserve"> you</w:t>
      </w:r>
      <w:r>
        <w:rPr>
          <w:snapToGrid w:val="0"/>
          <w:lang w:val="en-AU"/>
        </w:rPr>
        <w:t xml:space="preserve"> to the Business Complete Max offer </w:t>
      </w:r>
    </w:p>
    <w:p w14:paraId="73555758" w14:textId="77777777" w:rsidR="000D07EA" w:rsidRDefault="00BE7C89">
      <w:pPr>
        <w:pStyle w:val="Heading8"/>
        <w:rPr>
          <w:lang w:val="en-AU"/>
        </w:rPr>
      </w:pPr>
      <w:r>
        <w:rPr>
          <w:snapToGrid w:val="0"/>
          <w:lang w:val="en-AU"/>
        </w:rPr>
        <w:lastRenderedPageBreak/>
        <w:t>In the case of the above,</w:t>
      </w:r>
      <w:r>
        <w:rPr>
          <w:i/>
          <w:snapToGrid w:val="0"/>
          <w:lang w:val="en-AU"/>
        </w:rPr>
        <w:t xml:space="preserve"> you</w:t>
      </w:r>
      <w:r>
        <w:rPr>
          <w:snapToGrid w:val="0"/>
          <w:lang w:val="en-AU"/>
        </w:rPr>
        <w:t xml:space="preserve"> will start a monthly, 24 month</w:t>
      </w:r>
      <w:r>
        <w:rPr>
          <w:i/>
          <w:snapToGrid w:val="0"/>
          <w:lang w:val="en-AU"/>
        </w:rPr>
        <w:t xml:space="preserve"> minimum term fixed length agreement</w:t>
      </w:r>
      <w:r>
        <w:rPr>
          <w:snapToGrid w:val="0"/>
          <w:lang w:val="en-AU"/>
        </w:rPr>
        <w:t xml:space="preserve"> for the new </w:t>
      </w:r>
      <w:r>
        <w:rPr>
          <w:i/>
          <w:snapToGrid w:val="0"/>
          <w:lang w:val="en-AU"/>
        </w:rPr>
        <w:t>Business Complete Max offer</w:t>
      </w:r>
      <w:r>
        <w:rPr>
          <w:snapToGrid w:val="0"/>
          <w:lang w:val="en-AU"/>
        </w:rPr>
        <w:t>.</w:t>
      </w:r>
    </w:p>
    <w:p w14:paraId="2C04CFE5" w14:textId="77777777" w:rsidR="000D07EA" w:rsidRDefault="00BE7C89">
      <w:pPr>
        <w:pStyle w:val="Heading7"/>
        <w:rPr>
          <w:lang w:val="en-AU"/>
        </w:rPr>
      </w:pPr>
      <w:r>
        <w:rPr>
          <w:snapToGrid w:val="0"/>
          <w:lang w:val="en-AU"/>
        </w:rPr>
        <w:t xml:space="preserve">If </w:t>
      </w:r>
      <w:r>
        <w:rPr>
          <w:i/>
          <w:snapToGrid w:val="0"/>
          <w:lang w:val="en-AU"/>
        </w:rPr>
        <w:t xml:space="preserve">you </w:t>
      </w:r>
      <w:r>
        <w:rPr>
          <w:snapToGrid w:val="0"/>
          <w:lang w:val="en-AU"/>
        </w:rPr>
        <w:t xml:space="preserve">are an existing customer </w:t>
      </w:r>
      <w:r>
        <w:rPr>
          <w:i/>
          <w:snapToGrid w:val="0"/>
          <w:lang w:val="en-AU"/>
        </w:rPr>
        <w:t xml:space="preserve">you </w:t>
      </w:r>
      <w:r>
        <w:rPr>
          <w:snapToGrid w:val="0"/>
          <w:lang w:val="en-AU"/>
        </w:rPr>
        <w:t xml:space="preserve">may only transfer to the Business Complete Max plans with </w:t>
      </w:r>
      <w:r>
        <w:rPr>
          <w:i/>
          <w:snapToGrid w:val="0"/>
          <w:lang w:val="en-AU"/>
        </w:rPr>
        <w:t xml:space="preserve">our </w:t>
      </w:r>
      <w:r>
        <w:rPr>
          <w:snapToGrid w:val="0"/>
          <w:lang w:val="en-AU"/>
        </w:rPr>
        <w:t>approval</w:t>
      </w:r>
    </w:p>
    <w:p w14:paraId="4FA840A8" w14:textId="77777777" w:rsidR="000D07EA" w:rsidRDefault="00BE7C89">
      <w:pPr>
        <w:pStyle w:val="Heading6"/>
        <w:ind w:left="0" w:firstLine="0"/>
        <w:rPr>
          <w:lang w:val="en-AU"/>
        </w:rPr>
      </w:pPr>
      <w:bookmarkStart w:id="348" w:name="_Toc397941123"/>
      <w:bookmarkStart w:id="349" w:name="_Toc260842587"/>
      <w:r>
        <w:rPr>
          <w:lang w:val="en-AU"/>
        </w:rPr>
        <w:t>Blocking access to a number</w:t>
      </w:r>
      <w:bookmarkEnd w:id="348"/>
      <w:bookmarkEnd w:id="349"/>
    </w:p>
    <w:p w14:paraId="04C55D47" w14:textId="77777777" w:rsidR="000D07EA" w:rsidRDefault="00BE7C89">
      <w:pPr>
        <w:pStyle w:val="BodyText"/>
        <w:ind w:left="709"/>
      </w:pPr>
      <w:r>
        <w:rPr>
          <w:rStyle w:val="BodyTextChar"/>
        </w:rPr>
        <w:t>In</w:t>
      </w:r>
      <w:r>
        <w:rPr>
          <w:iCs/>
        </w:rPr>
        <w:t xml:space="preserve"> addition to what is stated in clause 11 of the </w:t>
      </w:r>
      <w:r>
        <w:rPr>
          <w:i/>
          <w:iCs/>
        </w:rPr>
        <w:t>service description ("Access Restrictions"), we</w:t>
      </w:r>
      <w:r>
        <w:t xml:space="preserve"> may block access to a number (other than an emergency service number) if </w:t>
      </w:r>
      <w:r>
        <w:rPr>
          <w:i/>
        </w:rPr>
        <w:t>we</w:t>
      </w:r>
      <w:r>
        <w:t xml:space="preserve"> reasonably require this to be done for technical, operational or commercial reasons.</w:t>
      </w:r>
    </w:p>
    <w:p w14:paraId="22982404" w14:textId="77777777" w:rsidR="000D07EA" w:rsidRDefault="00BE7C89">
      <w:pPr>
        <w:pStyle w:val="Heading6"/>
        <w:ind w:left="0" w:firstLine="0"/>
        <w:rPr>
          <w:lang w:val="en-AU"/>
        </w:rPr>
      </w:pPr>
      <w:bookmarkStart w:id="350" w:name="_Toc397941124"/>
      <w:bookmarkStart w:id="351" w:name="_Toc260842588"/>
      <w:r>
        <w:rPr>
          <w:lang w:val="en-AU"/>
        </w:rPr>
        <w:t>Minimum Term</w:t>
      </w:r>
      <w:bookmarkEnd w:id="350"/>
      <w:bookmarkEnd w:id="351"/>
    </w:p>
    <w:p w14:paraId="41AA8246" w14:textId="77777777" w:rsidR="000D07EA" w:rsidRDefault="00BE7C89">
      <w:pPr>
        <w:pStyle w:val="Heading7"/>
        <w:rPr>
          <w:snapToGrid w:val="0"/>
          <w:lang w:val="en-AU"/>
        </w:rPr>
      </w:pPr>
      <w:r>
        <w:rPr>
          <w:i/>
          <w:lang w:val="en-AU"/>
        </w:rPr>
        <w:t>You</w:t>
      </w:r>
      <w:r>
        <w:rPr>
          <w:lang w:val="en-AU"/>
        </w:rPr>
        <w:t xml:space="preserve"> must agree to a </w:t>
      </w:r>
      <w:r>
        <w:rPr>
          <w:i/>
          <w:lang w:val="en-AU"/>
        </w:rPr>
        <w:t>non-fixed length agreement</w:t>
      </w:r>
      <w:r>
        <w:rPr>
          <w:lang w:val="en-AU"/>
        </w:rPr>
        <w:t xml:space="preserve"> or a </w:t>
      </w:r>
      <w:r>
        <w:rPr>
          <w:i/>
          <w:lang w:val="en-AU"/>
        </w:rPr>
        <w:t>fixed length agreement</w:t>
      </w:r>
      <w:r>
        <w:rPr>
          <w:lang w:val="en-AU"/>
        </w:rPr>
        <w:t xml:space="preserve"> with a 12 month or 24 month </w:t>
      </w:r>
      <w:r>
        <w:rPr>
          <w:i/>
          <w:lang w:val="en-AU"/>
        </w:rPr>
        <w:t>minimum term</w:t>
      </w:r>
      <w:r>
        <w:rPr>
          <w:lang w:val="en-AU"/>
        </w:rPr>
        <w:t>.</w:t>
      </w:r>
    </w:p>
    <w:p w14:paraId="45548295" w14:textId="77777777" w:rsidR="000D07EA" w:rsidRDefault="00BE7C89">
      <w:pPr>
        <w:pStyle w:val="Heading7"/>
        <w:rPr>
          <w:lang w:val="en-AU"/>
        </w:rPr>
      </w:pPr>
      <w:r>
        <w:rPr>
          <w:snapToGrid w:val="0"/>
          <w:lang w:val="en-AU"/>
        </w:rPr>
        <w:t>Customers who elect to take up the Business Mobile Broadband (BMB) hardware must agree to a</w:t>
      </w:r>
      <w:r>
        <w:rPr>
          <w:i/>
          <w:snapToGrid w:val="0"/>
          <w:lang w:val="en-AU"/>
        </w:rPr>
        <w:t xml:space="preserve"> fixed length agreement </w:t>
      </w:r>
      <w:r>
        <w:rPr>
          <w:snapToGrid w:val="0"/>
          <w:lang w:val="en-AU"/>
        </w:rPr>
        <w:t xml:space="preserve">with a 24 month </w:t>
      </w:r>
      <w:r>
        <w:rPr>
          <w:i/>
          <w:snapToGrid w:val="0"/>
          <w:lang w:val="en-AU"/>
        </w:rPr>
        <w:t>minimum term.</w:t>
      </w:r>
    </w:p>
    <w:p w14:paraId="56226F16" w14:textId="77777777" w:rsidR="000D07EA" w:rsidRDefault="00BE7C89">
      <w:pPr>
        <w:pStyle w:val="Heading7"/>
        <w:rPr>
          <w:lang w:val="en-AU"/>
        </w:rPr>
      </w:pPr>
      <w:r>
        <w:rPr>
          <w:i/>
          <w:lang w:val="en-AU"/>
        </w:rPr>
        <w:t xml:space="preserve">You </w:t>
      </w:r>
      <w:r>
        <w:rPr>
          <w:lang w:val="en-AU"/>
        </w:rPr>
        <w:t xml:space="preserve">may purchase a </w:t>
      </w:r>
      <w:r>
        <w:rPr>
          <w:i/>
          <w:lang w:val="en-AU"/>
        </w:rPr>
        <w:t xml:space="preserve">mobile phone </w:t>
      </w:r>
      <w:r>
        <w:rPr>
          <w:lang w:val="en-AU"/>
        </w:rPr>
        <w:t xml:space="preserve">with a 12 month or 24 month </w:t>
      </w:r>
      <w:r>
        <w:rPr>
          <w:i/>
          <w:lang w:val="en-AU"/>
        </w:rPr>
        <w:t xml:space="preserve">equipment term </w:t>
      </w:r>
      <w:r>
        <w:rPr>
          <w:lang w:val="en-AU"/>
        </w:rPr>
        <w:t xml:space="preserve">under a </w:t>
      </w:r>
      <w:r>
        <w:rPr>
          <w:i/>
          <w:lang w:val="en-AU"/>
        </w:rPr>
        <w:t xml:space="preserve">mobile equipment payment plan </w:t>
      </w:r>
      <w:r>
        <w:rPr>
          <w:lang w:val="en-AU"/>
        </w:rPr>
        <w:t xml:space="preserve">depending on </w:t>
      </w:r>
      <w:r>
        <w:rPr>
          <w:i/>
          <w:lang w:val="en-AU"/>
        </w:rPr>
        <w:t xml:space="preserve">your </w:t>
      </w:r>
      <w:r>
        <w:rPr>
          <w:lang w:val="en-AU"/>
        </w:rPr>
        <w:t xml:space="preserve">contract plan. If </w:t>
      </w:r>
      <w:r>
        <w:rPr>
          <w:i/>
          <w:lang w:val="en-AU"/>
        </w:rPr>
        <w:t xml:space="preserve">you </w:t>
      </w:r>
      <w:r>
        <w:rPr>
          <w:lang w:val="en-AU"/>
        </w:rPr>
        <w:t xml:space="preserve">agree to a 24 month </w:t>
      </w:r>
      <w:r>
        <w:rPr>
          <w:i/>
          <w:lang w:val="en-AU"/>
        </w:rPr>
        <w:t xml:space="preserve">minimum term </w:t>
      </w:r>
      <w:r>
        <w:rPr>
          <w:lang w:val="en-AU"/>
        </w:rPr>
        <w:t xml:space="preserve">the price of the </w:t>
      </w:r>
      <w:r>
        <w:rPr>
          <w:i/>
          <w:lang w:val="en-AU"/>
        </w:rPr>
        <w:t xml:space="preserve">mobile phone </w:t>
      </w:r>
      <w:r>
        <w:rPr>
          <w:lang w:val="en-AU"/>
        </w:rPr>
        <w:t xml:space="preserve">available is less than if </w:t>
      </w:r>
      <w:r>
        <w:rPr>
          <w:i/>
          <w:lang w:val="en-AU"/>
        </w:rPr>
        <w:t xml:space="preserve">you </w:t>
      </w:r>
      <w:r>
        <w:rPr>
          <w:lang w:val="en-AU"/>
        </w:rPr>
        <w:t xml:space="preserve">only agree to a </w:t>
      </w:r>
      <w:r>
        <w:rPr>
          <w:i/>
          <w:lang w:val="en-AU"/>
        </w:rPr>
        <w:t>non-fixed length agreement</w:t>
      </w:r>
      <w:r>
        <w:rPr>
          <w:lang w:val="en-AU"/>
        </w:rPr>
        <w:t xml:space="preserve">. If </w:t>
      </w:r>
      <w:r>
        <w:rPr>
          <w:i/>
          <w:lang w:val="en-AU"/>
        </w:rPr>
        <w:t>you</w:t>
      </w:r>
      <w:r>
        <w:rPr>
          <w:lang w:val="en-AU"/>
        </w:rPr>
        <w:t xml:space="preserve"> agree to a 12 month </w:t>
      </w:r>
      <w:r>
        <w:rPr>
          <w:i/>
          <w:lang w:val="en-AU"/>
        </w:rPr>
        <w:t xml:space="preserve">minimum term </w:t>
      </w:r>
      <w:r>
        <w:rPr>
          <w:lang w:val="en-AU"/>
        </w:rPr>
        <w:t xml:space="preserve">the price of the </w:t>
      </w:r>
      <w:r>
        <w:rPr>
          <w:i/>
          <w:lang w:val="en-AU"/>
        </w:rPr>
        <w:t xml:space="preserve">mobile phone </w:t>
      </w:r>
      <w:r>
        <w:rPr>
          <w:lang w:val="en-AU"/>
        </w:rPr>
        <w:t xml:space="preserve">available is less than if </w:t>
      </w:r>
      <w:r>
        <w:rPr>
          <w:i/>
          <w:lang w:val="en-AU"/>
        </w:rPr>
        <w:t xml:space="preserve">you </w:t>
      </w:r>
      <w:r>
        <w:rPr>
          <w:lang w:val="en-AU"/>
        </w:rPr>
        <w:t xml:space="preserve">only agree to a </w:t>
      </w:r>
      <w:r>
        <w:rPr>
          <w:i/>
          <w:lang w:val="en-AU"/>
        </w:rPr>
        <w:t>non-fixed length agreement</w:t>
      </w:r>
      <w:r>
        <w:rPr>
          <w:lang w:val="en-AU"/>
        </w:rPr>
        <w:t>.</w:t>
      </w:r>
    </w:p>
    <w:p w14:paraId="020C7A7C" w14:textId="77777777" w:rsidR="000D07EA" w:rsidRDefault="00BE7C89">
      <w:pPr>
        <w:pStyle w:val="Heading6"/>
        <w:ind w:left="0" w:firstLine="0"/>
        <w:rPr>
          <w:lang w:val="en-AU"/>
        </w:rPr>
      </w:pPr>
      <w:bookmarkStart w:id="352" w:name="_Toc397941125"/>
      <w:bookmarkStart w:id="353" w:name="_Toc256412816"/>
      <w:r>
        <w:rPr>
          <w:lang w:val="en-AU"/>
        </w:rPr>
        <w:t>What happens if you are no longer eligible</w:t>
      </w:r>
      <w:bookmarkEnd w:id="352"/>
      <w:bookmarkEnd w:id="353"/>
    </w:p>
    <w:p w14:paraId="33C39235" w14:textId="77777777" w:rsidR="000D07EA" w:rsidRDefault="00BE7C89">
      <w:pPr>
        <w:pStyle w:val="Heading7"/>
        <w:rPr>
          <w:lang w:val="en-AU"/>
        </w:rPr>
      </w:pPr>
      <w:r>
        <w:rPr>
          <w:lang w:val="en-AU"/>
        </w:rPr>
        <w:t xml:space="preserve">If </w:t>
      </w:r>
      <w:r>
        <w:rPr>
          <w:i/>
          <w:lang w:val="en-AU"/>
        </w:rPr>
        <w:t>you</w:t>
      </w:r>
      <w:r>
        <w:rPr>
          <w:lang w:val="en-AU"/>
        </w:rPr>
        <w:t xml:space="preserve"> are no longer classified as a </w:t>
      </w:r>
      <w:r>
        <w:rPr>
          <w:i/>
          <w:lang w:val="en-AU"/>
        </w:rPr>
        <w:t>small and medium business</w:t>
      </w:r>
      <w:r>
        <w:rPr>
          <w:lang w:val="en-AU"/>
        </w:rPr>
        <w:t xml:space="preserve"> we may at our discretion change </w:t>
      </w:r>
      <w:r>
        <w:rPr>
          <w:i/>
          <w:lang w:val="en-AU"/>
        </w:rPr>
        <w:t>you</w:t>
      </w:r>
      <w:r>
        <w:rPr>
          <w:lang w:val="en-AU"/>
        </w:rPr>
        <w:t xml:space="preserve">r </w:t>
      </w:r>
      <w:r>
        <w:rPr>
          <w:i/>
          <w:lang w:val="en-AU"/>
        </w:rPr>
        <w:t xml:space="preserve">Optus Mobile Digital Service </w:t>
      </w:r>
      <w:r>
        <w:rPr>
          <w:lang w:val="en-AU"/>
        </w:rPr>
        <w:t xml:space="preserve">and </w:t>
      </w:r>
      <w:r>
        <w:rPr>
          <w:i/>
          <w:lang w:val="en-AU"/>
        </w:rPr>
        <w:t>Business Mobile Broadband Service</w:t>
      </w:r>
      <w:r>
        <w:rPr>
          <w:lang w:val="en-AU"/>
        </w:rPr>
        <w:t xml:space="preserve"> to an eligible plan although other service options may be available to </w:t>
      </w:r>
      <w:r>
        <w:rPr>
          <w:i/>
          <w:lang w:val="en-AU"/>
        </w:rPr>
        <w:t xml:space="preserve">you </w:t>
      </w:r>
      <w:r>
        <w:rPr>
          <w:lang w:val="en-AU"/>
        </w:rPr>
        <w:t xml:space="preserve">and </w:t>
      </w:r>
      <w:r>
        <w:rPr>
          <w:i/>
          <w:lang w:val="en-AU"/>
        </w:rPr>
        <w:t>you</w:t>
      </w:r>
      <w:r>
        <w:rPr>
          <w:lang w:val="en-AU"/>
        </w:rPr>
        <w:t xml:space="preserve"> may have to pay </w:t>
      </w:r>
      <w:r>
        <w:rPr>
          <w:i/>
          <w:lang w:val="en-AU"/>
        </w:rPr>
        <w:t>us</w:t>
      </w:r>
      <w:r>
        <w:rPr>
          <w:lang w:val="en-AU"/>
        </w:rPr>
        <w:t xml:space="preserve"> a cancellation fee</w:t>
      </w:r>
      <w:r>
        <w:rPr>
          <w:i/>
          <w:lang w:val="en-AU"/>
        </w:rPr>
        <w:t>.</w:t>
      </w:r>
    </w:p>
    <w:p w14:paraId="70CCC6B5" w14:textId="77777777" w:rsidR="000D07EA" w:rsidRDefault="00BE7C89">
      <w:pPr>
        <w:pStyle w:val="Heading7"/>
        <w:rPr>
          <w:lang w:val="en-AU"/>
        </w:rPr>
      </w:pPr>
      <w:r>
        <w:rPr>
          <w:lang w:val="en-AU"/>
        </w:rPr>
        <w:t xml:space="preserve">If </w:t>
      </w:r>
      <w:r>
        <w:rPr>
          <w:i/>
          <w:lang w:val="en-AU"/>
        </w:rPr>
        <w:t>you</w:t>
      </w:r>
      <w:r>
        <w:rPr>
          <w:lang w:val="en-AU"/>
        </w:rPr>
        <w:t xml:space="preserve"> no longer have </w:t>
      </w:r>
      <w:r>
        <w:rPr>
          <w:i/>
          <w:lang w:val="en-AU"/>
        </w:rPr>
        <w:t>Optus Mobile Digital services</w:t>
      </w:r>
      <w:r>
        <w:rPr>
          <w:lang w:val="en-AU"/>
        </w:rPr>
        <w:t xml:space="preserve"> on </w:t>
      </w:r>
      <w:r>
        <w:rPr>
          <w:i/>
          <w:lang w:val="en-AU"/>
        </w:rPr>
        <w:t xml:space="preserve">your </w:t>
      </w:r>
      <w:r>
        <w:rPr>
          <w:lang w:val="en-AU"/>
        </w:rPr>
        <w:t xml:space="preserve">account connected to a Business Complete Max Offer but have a </w:t>
      </w:r>
      <w:r>
        <w:rPr>
          <w:i/>
          <w:lang w:val="en-AU"/>
        </w:rPr>
        <w:t>Business Mobile Broadband Service</w:t>
      </w:r>
      <w:r>
        <w:rPr>
          <w:lang w:val="en-AU"/>
        </w:rPr>
        <w:t xml:space="preserve"> on a $10 Business Complete Max BMB Offer we may at our discretion change </w:t>
      </w:r>
      <w:r>
        <w:rPr>
          <w:i/>
          <w:lang w:val="en-AU"/>
        </w:rPr>
        <w:t>you</w:t>
      </w:r>
      <w:r>
        <w:rPr>
          <w:lang w:val="en-AU"/>
        </w:rPr>
        <w:t>r Business Mobile Broadband Service price plan to an eligible Business Mobile Broadband Plan.</w:t>
      </w:r>
    </w:p>
    <w:p w14:paraId="7AEFFB39" w14:textId="77777777" w:rsidR="000D07EA" w:rsidRDefault="00BE7C89">
      <w:pPr>
        <w:pStyle w:val="Heading6"/>
        <w:keepNext/>
        <w:ind w:left="0" w:firstLine="0"/>
        <w:rPr>
          <w:lang w:val="en-AU"/>
        </w:rPr>
      </w:pPr>
      <w:bookmarkStart w:id="354" w:name="_Toc397941126"/>
      <w:bookmarkStart w:id="355" w:name="_Toc260842589"/>
      <w:r>
        <w:rPr>
          <w:lang w:val="en-AU"/>
        </w:rPr>
        <w:t>What you have to pay us</w:t>
      </w:r>
      <w:bookmarkEnd w:id="354"/>
      <w:bookmarkEnd w:id="355"/>
    </w:p>
    <w:p w14:paraId="6385A215" w14:textId="77777777" w:rsidR="000D07EA" w:rsidRDefault="00BE7C89">
      <w:pPr>
        <w:pStyle w:val="Heading7"/>
        <w:rPr>
          <w:lang w:val="en-AU"/>
        </w:rPr>
      </w:pPr>
      <w:r>
        <w:rPr>
          <w:lang w:val="en-AU"/>
        </w:rPr>
        <w:t xml:space="preserve">Subject to paragraphs </w:t>
      </w:r>
      <w:r>
        <w:rPr>
          <w:lang w:val="en-AU"/>
        </w:rPr>
        <w:fldChar w:fldCharType="begin"/>
      </w:r>
      <w:r>
        <w:rPr>
          <w:lang w:val="en-AU"/>
        </w:rPr>
        <w:instrText xml:space="preserve"> REF _Ref461549796 \n \h </w:instrText>
      </w:r>
      <w:r>
        <w:rPr>
          <w:lang w:val="en-AU"/>
        </w:rPr>
      </w:r>
      <w:r>
        <w:rPr>
          <w:lang w:val="en-AU"/>
        </w:rPr>
        <w:fldChar w:fldCharType="separate"/>
      </w:r>
      <w:r w:rsidR="0004083A">
        <w:rPr>
          <w:lang w:val="en-AU"/>
        </w:rPr>
        <w:t>(c)</w:t>
      </w:r>
      <w:r>
        <w:rPr>
          <w:lang w:val="en-AU"/>
        </w:rPr>
        <w:fldChar w:fldCharType="end"/>
      </w:r>
      <w:r>
        <w:rPr>
          <w:lang w:val="en-AU"/>
        </w:rPr>
        <w:t xml:space="preserve">, </w:t>
      </w:r>
      <w:r>
        <w:rPr>
          <w:lang w:val="en-AU"/>
        </w:rPr>
        <w:fldChar w:fldCharType="begin"/>
      </w:r>
      <w:r>
        <w:rPr>
          <w:lang w:val="en-AU"/>
        </w:rPr>
        <w:instrText xml:space="preserve"> REF _Ref461549800 \n \h </w:instrText>
      </w:r>
      <w:r>
        <w:rPr>
          <w:lang w:val="en-AU"/>
        </w:rPr>
      </w:r>
      <w:r>
        <w:rPr>
          <w:lang w:val="en-AU"/>
        </w:rPr>
        <w:fldChar w:fldCharType="separate"/>
      </w:r>
      <w:r w:rsidR="0004083A">
        <w:rPr>
          <w:lang w:val="en-AU"/>
        </w:rPr>
        <w:t>(d)</w:t>
      </w:r>
      <w:r>
        <w:rPr>
          <w:lang w:val="en-AU"/>
        </w:rPr>
        <w:fldChar w:fldCharType="end"/>
      </w:r>
      <w:r>
        <w:rPr>
          <w:lang w:val="en-AU"/>
        </w:rPr>
        <w:t xml:space="preserve"> and </w:t>
      </w:r>
      <w:r>
        <w:rPr>
          <w:lang w:val="en-AU"/>
        </w:rPr>
        <w:fldChar w:fldCharType="begin"/>
      </w:r>
      <w:r>
        <w:rPr>
          <w:lang w:val="en-AU"/>
        </w:rPr>
        <w:instrText xml:space="preserve"> REF _Ref461549803 \n \h </w:instrText>
      </w:r>
      <w:r>
        <w:rPr>
          <w:lang w:val="en-AU"/>
        </w:rPr>
      </w:r>
      <w:r>
        <w:rPr>
          <w:lang w:val="en-AU"/>
        </w:rPr>
        <w:fldChar w:fldCharType="separate"/>
      </w:r>
      <w:r w:rsidR="0004083A">
        <w:rPr>
          <w:lang w:val="en-AU"/>
        </w:rPr>
        <w:t>(e)</w:t>
      </w:r>
      <w:r>
        <w:rPr>
          <w:lang w:val="en-AU"/>
        </w:rPr>
        <w:fldChar w:fldCharType="end"/>
      </w:r>
      <w:r>
        <w:rPr>
          <w:lang w:val="en-AU"/>
        </w:rPr>
        <w:t xml:space="preserve"> below </w:t>
      </w:r>
      <w:r>
        <w:rPr>
          <w:i/>
          <w:lang w:val="en-AU"/>
        </w:rPr>
        <w:t xml:space="preserve">you </w:t>
      </w:r>
      <w:r>
        <w:rPr>
          <w:lang w:val="en-AU"/>
        </w:rPr>
        <w:t xml:space="preserve">must pay </w:t>
      </w:r>
      <w:r>
        <w:rPr>
          <w:i/>
          <w:lang w:val="en-AU"/>
        </w:rPr>
        <w:t xml:space="preserve">us </w:t>
      </w:r>
      <w:r>
        <w:rPr>
          <w:lang w:val="en-AU"/>
        </w:rPr>
        <w:t xml:space="preserve">for use of the </w:t>
      </w:r>
      <w:r>
        <w:rPr>
          <w:i/>
          <w:lang w:val="en-AU"/>
        </w:rPr>
        <w:t xml:space="preserve">service </w:t>
      </w:r>
      <w:r>
        <w:rPr>
          <w:lang w:val="en-AU"/>
        </w:rPr>
        <w:t xml:space="preserve">at the rates set out in </w:t>
      </w:r>
      <w:hyperlink r:id="rId236" w:history="1">
        <w:r>
          <w:rPr>
            <w:rStyle w:val="Hyperlink"/>
            <w:rFonts w:eastAsia="MS Gothic"/>
            <w:lang w:val="en-AU"/>
          </w:rPr>
          <w:t>Section 1</w:t>
        </w:r>
      </w:hyperlink>
      <w:r>
        <w:rPr>
          <w:lang w:val="en-AU"/>
        </w:rPr>
        <w:t xml:space="preserve"> of this </w:t>
      </w:r>
      <w:r>
        <w:rPr>
          <w:i/>
          <w:lang w:val="en-AU"/>
        </w:rPr>
        <w:t xml:space="preserve">standard pricing table </w:t>
      </w:r>
      <w:r>
        <w:rPr>
          <w:lang w:val="en-AU"/>
        </w:rPr>
        <w:t xml:space="preserve">and for </w:t>
      </w:r>
      <w:r>
        <w:rPr>
          <w:i/>
          <w:lang w:val="en-AU"/>
        </w:rPr>
        <w:t xml:space="preserve">value added service features </w:t>
      </w:r>
      <w:r>
        <w:rPr>
          <w:lang w:val="en-AU"/>
        </w:rPr>
        <w:t xml:space="preserve">at the rates set out in </w:t>
      </w:r>
      <w:hyperlink r:id="rId237" w:history="1">
        <w:r>
          <w:rPr>
            <w:rStyle w:val="Hyperlink"/>
            <w:rFonts w:eastAsia="MS Gothic"/>
            <w:lang w:val="en-AU"/>
          </w:rPr>
          <w:t>Appendix Y</w:t>
        </w:r>
      </w:hyperlink>
      <w:r>
        <w:rPr>
          <w:lang w:val="en-AU"/>
        </w:rPr>
        <w:t xml:space="preserve"> Value Added Service Features</w:t>
      </w:r>
      <w:r>
        <w:rPr>
          <w:i/>
          <w:lang w:val="en-AU"/>
        </w:rPr>
        <w:t>.</w:t>
      </w:r>
    </w:p>
    <w:p w14:paraId="18A7DA85" w14:textId="77777777" w:rsidR="000D07EA" w:rsidRDefault="00BE7C89">
      <w:pPr>
        <w:pStyle w:val="Heading7"/>
        <w:rPr>
          <w:lang w:val="en-AU"/>
        </w:rPr>
      </w:pPr>
      <w:r>
        <w:rPr>
          <w:lang w:val="en-AU"/>
        </w:rPr>
        <w:t xml:space="preserve">If there is a </w:t>
      </w:r>
      <w:r>
        <w:rPr>
          <w:i/>
          <w:lang w:val="en-AU"/>
        </w:rPr>
        <w:t xml:space="preserve">flagfall </w:t>
      </w:r>
      <w:r>
        <w:rPr>
          <w:lang w:val="en-AU"/>
        </w:rPr>
        <w:t xml:space="preserve">or call connection charge for a particular call type, the charge for these calls is the </w:t>
      </w:r>
      <w:r>
        <w:rPr>
          <w:i/>
          <w:lang w:val="en-AU"/>
        </w:rPr>
        <w:t xml:space="preserve">flagfall </w:t>
      </w:r>
      <w:r>
        <w:rPr>
          <w:lang w:val="en-AU"/>
        </w:rPr>
        <w:t>charge plus the relevant rate for the call multiplied by the duration of the call.</w:t>
      </w:r>
    </w:p>
    <w:p w14:paraId="7A76E074" w14:textId="77777777" w:rsidR="000D07EA" w:rsidRDefault="00BE7C89">
      <w:pPr>
        <w:pStyle w:val="Heading7"/>
        <w:rPr>
          <w:b/>
          <w:lang w:val="en-AU"/>
        </w:rPr>
      </w:pPr>
      <w:bookmarkStart w:id="356" w:name="_Ref461549796"/>
      <w:r>
        <w:rPr>
          <w:b/>
          <w:lang w:val="en-AU"/>
        </w:rPr>
        <w:t>The Cap</w:t>
      </w:r>
      <w:bookmarkEnd w:id="356"/>
    </w:p>
    <w:p w14:paraId="3D8DAE90" w14:textId="77777777" w:rsidR="000D07EA" w:rsidRDefault="00BE7C89">
      <w:pPr>
        <w:pStyle w:val="Heading8"/>
        <w:rPr>
          <w:lang w:val="en-AU"/>
        </w:rPr>
      </w:pPr>
      <w:r>
        <w:rPr>
          <w:lang w:val="en-AU"/>
        </w:rPr>
        <w:t xml:space="preserve">Under the Business Complete Max Plans, a cap applies when the value of </w:t>
      </w:r>
      <w:r>
        <w:rPr>
          <w:b/>
          <w:lang w:val="en-AU"/>
        </w:rPr>
        <w:t xml:space="preserve">eligible calls and text </w:t>
      </w:r>
      <w:r>
        <w:rPr>
          <w:i/>
          <w:lang w:val="en-AU"/>
        </w:rPr>
        <w:t xml:space="preserve">you </w:t>
      </w:r>
      <w:r>
        <w:rPr>
          <w:lang w:val="en-AU"/>
        </w:rPr>
        <w:t xml:space="preserve">make in a month reaches </w:t>
      </w:r>
      <w:r>
        <w:rPr>
          <w:i/>
          <w:lang w:val="en-AU"/>
        </w:rPr>
        <w:t xml:space="preserve">your pricing plan's </w:t>
      </w:r>
      <w:r>
        <w:rPr>
          <w:b/>
          <w:lang w:val="en-AU"/>
        </w:rPr>
        <w:t xml:space="preserve">cap start. </w:t>
      </w:r>
      <w:r>
        <w:rPr>
          <w:lang w:val="en-AU"/>
        </w:rPr>
        <w:t xml:space="preserve">Once </w:t>
      </w:r>
      <w:r>
        <w:rPr>
          <w:i/>
          <w:lang w:val="en-AU"/>
        </w:rPr>
        <w:t xml:space="preserve">your </w:t>
      </w:r>
      <w:r>
        <w:rPr>
          <w:lang w:val="en-AU"/>
        </w:rPr>
        <w:t xml:space="preserve">eligible calls and text spend reaches the cap start, additional eligible calls and text made in that month are included until the value of </w:t>
      </w:r>
      <w:r>
        <w:rPr>
          <w:i/>
          <w:lang w:val="en-AU"/>
        </w:rPr>
        <w:t xml:space="preserve">your </w:t>
      </w:r>
      <w:r>
        <w:rPr>
          <w:lang w:val="en-AU"/>
        </w:rPr>
        <w:t xml:space="preserve">eligible calls and text reach </w:t>
      </w:r>
      <w:r>
        <w:rPr>
          <w:i/>
          <w:lang w:val="en-AU"/>
        </w:rPr>
        <w:t xml:space="preserve">your pricing plan's </w:t>
      </w:r>
      <w:r>
        <w:rPr>
          <w:b/>
          <w:lang w:val="en-AU"/>
        </w:rPr>
        <w:t>Included Cap Value</w:t>
      </w:r>
      <w:r>
        <w:rPr>
          <w:lang w:val="en-AU"/>
        </w:rPr>
        <w:t>.</w:t>
      </w:r>
    </w:p>
    <w:p w14:paraId="7F6E9DDB" w14:textId="77777777" w:rsidR="000D07EA" w:rsidRDefault="00BE7C89">
      <w:pPr>
        <w:pStyle w:val="Heading8"/>
        <w:rPr>
          <w:lang w:val="en-AU"/>
        </w:rPr>
      </w:pPr>
      <w:r>
        <w:rPr>
          <w:lang w:val="en-AU"/>
        </w:rPr>
        <w:t xml:space="preserve">The </w:t>
      </w:r>
      <w:r>
        <w:rPr>
          <w:b/>
          <w:lang w:val="en-AU"/>
        </w:rPr>
        <w:t>'cap start'</w:t>
      </w:r>
      <w:r>
        <w:rPr>
          <w:lang w:val="en-AU"/>
        </w:rPr>
        <w:t xml:space="preserve"> and </w:t>
      </w:r>
      <w:r>
        <w:rPr>
          <w:b/>
          <w:lang w:val="en-AU"/>
        </w:rPr>
        <w:t>'Included Cap Value'</w:t>
      </w:r>
      <w:r>
        <w:rPr>
          <w:lang w:val="en-AU"/>
        </w:rPr>
        <w:t xml:space="preserve"> for each Business Complete Max Plan is set out in Table 2C below. </w:t>
      </w:r>
    </w:p>
    <w:p w14:paraId="51AAC8B4" w14:textId="77777777" w:rsidR="000D07EA" w:rsidRDefault="00BE7C89">
      <w:pPr>
        <w:pStyle w:val="Heading8"/>
        <w:rPr>
          <w:lang w:val="en-AU"/>
        </w:rPr>
      </w:pPr>
      <w:r>
        <w:rPr>
          <w:lang w:val="en-AU"/>
        </w:rPr>
        <w:t xml:space="preserve">The call types that are </w:t>
      </w:r>
      <w:r>
        <w:rPr>
          <w:b/>
          <w:lang w:val="en-AU"/>
        </w:rPr>
        <w:t>'eligible calls and text'</w:t>
      </w:r>
      <w:r>
        <w:rPr>
          <w:lang w:val="en-AU"/>
        </w:rPr>
        <w:t xml:space="preserve"> for each Business Complete Max Plan is defined in Table 1A below. </w:t>
      </w:r>
    </w:p>
    <w:p w14:paraId="1FE27BD5" w14:textId="77777777" w:rsidR="000D07EA" w:rsidRDefault="00BE7C89">
      <w:pPr>
        <w:pStyle w:val="Heading8"/>
        <w:rPr>
          <w:lang w:val="en-AU"/>
        </w:rPr>
      </w:pPr>
      <w:r>
        <w:rPr>
          <w:i/>
          <w:lang w:val="en-AU"/>
        </w:rPr>
        <w:t xml:space="preserve">You </w:t>
      </w:r>
      <w:r>
        <w:rPr>
          <w:lang w:val="en-AU"/>
        </w:rPr>
        <w:t>must pay for any calls that are not eligible calls and text.</w:t>
      </w:r>
    </w:p>
    <w:p w14:paraId="4EB55712" w14:textId="77777777" w:rsidR="000D07EA" w:rsidRDefault="00BE7C89">
      <w:pPr>
        <w:pStyle w:val="Heading8"/>
        <w:rPr>
          <w:lang w:val="en-AU"/>
        </w:rPr>
      </w:pPr>
      <w:r>
        <w:rPr>
          <w:i/>
          <w:lang w:val="en-AU"/>
        </w:rPr>
        <w:lastRenderedPageBreak/>
        <w:t xml:space="preserve">You </w:t>
      </w:r>
      <w:r>
        <w:rPr>
          <w:lang w:val="en-AU"/>
        </w:rPr>
        <w:t xml:space="preserve">must pay </w:t>
      </w:r>
      <w:r>
        <w:rPr>
          <w:i/>
          <w:lang w:val="en-AU"/>
        </w:rPr>
        <w:t xml:space="preserve">us </w:t>
      </w:r>
      <w:r>
        <w:rPr>
          <w:lang w:val="en-AU"/>
        </w:rPr>
        <w:t xml:space="preserve">call charges for eligible calls and text made beyond the Included Cap Value of </w:t>
      </w:r>
      <w:r>
        <w:rPr>
          <w:i/>
          <w:lang w:val="en-AU"/>
        </w:rPr>
        <w:t xml:space="preserve">your </w:t>
      </w:r>
      <w:r>
        <w:rPr>
          <w:lang w:val="en-AU"/>
        </w:rPr>
        <w:t>Business Complete Max Plan.</w:t>
      </w:r>
    </w:p>
    <w:p w14:paraId="1DDA2C53" w14:textId="77777777" w:rsidR="000D07EA" w:rsidRDefault="00BE7C89">
      <w:pPr>
        <w:pStyle w:val="Heading8"/>
        <w:rPr>
          <w:lang w:val="en-AU"/>
        </w:rPr>
      </w:pPr>
      <w:r>
        <w:rPr>
          <w:snapToGrid w:val="0"/>
          <w:lang w:val="en-AU"/>
        </w:rPr>
        <w:t>Any unused portion of the cap expires at the end of each month. This means that it does not roll over into following month.</w:t>
      </w:r>
    </w:p>
    <w:p w14:paraId="55E33D60" w14:textId="77777777" w:rsidR="000D07EA" w:rsidRDefault="00BE7C89">
      <w:pPr>
        <w:pStyle w:val="Heading7"/>
        <w:rPr>
          <w:b/>
          <w:lang w:val="en-AU"/>
        </w:rPr>
      </w:pPr>
      <w:bookmarkStart w:id="357" w:name="_Ref461549800"/>
      <w:r>
        <w:rPr>
          <w:b/>
          <w:lang w:val="en-AU"/>
        </w:rPr>
        <w:t>Included Cap Value</w:t>
      </w:r>
      <w:bookmarkEnd w:id="357"/>
    </w:p>
    <w:p w14:paraId="09B661D2" w14:textId="77777777" w:rsidR="000D07EA" w:rsidRDefault="00BE7C89">
      <w:pPr>
        <w:pStyle w:val="Heading8"/>
        <w:rPr>
          <w:lang w:val="en-AU"/>
        </w:rPr>
      </w:pPr>
      <w:r>
        <w:rPr>
          <w:lang w:val="en-AU"/>
        </w:rPr>
        <w:t xml:space="preserve">Under the Business Complete Max Plans, </w:t>
      </w:r>
      <w:r>
        <w:rPr>
          <w:i/>
          <w:lang w:val="en-AU"/>
        </w:rPr>
        <w:t xml:space="preserve">you </w:t>
      </w:r>
      <w:r>
        <w:rPr>
          <w:lang w:val="en-AU"/>
        </w:rPr>
        <w:t>will receive "Included Cap Value".</w:t>
      </w:r>
    </w:p>
    <w:p w14:paraId="34D375E1" w14:textId="77777777" w:rsidR="000D07EA" w:rsidRDefault="00BE7C89">
      <w:pPr>
        <w:pStyle w:val="Heading8"/>
        <w:rPr>
          <w:lang w:val="en-AU"/>
        </w:rPr>
      </w:pPr>
      <w:r>
        <w:rPr>
          <w:lang w:val="en-AU"/>
        </w:rPr>
        <w:t>The amount of the "Included Cap Value" included for each Business Complete Max plan is set out in Table 2C below.</w:t>
      </w:r>
    </w:p>
    <w:p w14:paraId="2F5E023F" w14:textId="77777777" w:rsidR="000D07EA" w:rsidRDefault="00BE7C89">
      <w:pPr>
        <w:pStyle w:val="Heading8"/>
        <w:rPr>
          <w:lang w:val="en-AU"/>
        </w:rPr>
      </w:pPr>
      <w:r>
        <w:rPr>
          <w:lang w:val="en-AU"/>
        </w:rPr>
        <w:t xml:space="preserve">The call types that are </w:t>
      </w:r>
      <w:r>
        <w:rPr>
          <w:b/>
          <w:lang w:val="en-AU"/>
        </w:rPr>
        <w:t>'eligible calls and text'</w:t>
      </w:r>
      <w:r>
        <w:rPr>
          <w:lang w:val="en-AU"/>
        </w:rPr>
        <w:t xml:space="preserve"> for each Business Complete Max Plan under the "Included Cap Value" are defined in Table 1A below.</w:t>
      </w:r>
    </w:p>
    <w:p w14:paraId="4488E5A1" w14:textId="77777777" w:rsidR="000D07EA" w:rsidRDefault="00BE7C89">
      <w:pPr>
        <w:pStyle w:val="Heading8"/>
        <w:rPr>
          <w:lang w:val="en-AU"/>
        </w:rPr>
      </w:pPr>
      <w:r>
        <w:rPr>
          <w:i/>
          <w:lang w:val="en-AU"/>
        </w:rPr>
        <w:t xml:space="preserve">You </w:t>
      </w:r>
      <w:r>
        <w:rPr>
          <w:lang w:val="en-AU"/>
        </w:rPr>
        <w:t xml:space="preserve">must pay </w:t>
      </w:r>
      <w:r>
        <w:rPr>
          <w:i/>
          <w:lang w:val="en-AU"/>
        </w:rPr>
        <w:t xml:space="preserve">us </w:t>
      </w:r>
      <w:r>
        <w:rPr>
          <w:lang w:val="en-AU"/>
        </w:rPr>
        <w:t xml:space="preserve">call charges for eligible calls and text made beyond the available "Included Cap Value". </w:t>
      </w:r>
    </w:p>
    <w:p w14:paraId="52DE3AE9" w14:textId="77777777" w:rsidR="000D07EA" w:rsidRDefault="00BE7C89">
      <w:pPr>
        <w:pStyle w:val="Heading8"/>
        <w:rPr>
          <w:lang w:val="en-AU"/>
        </w:rPr>
      </w:pPr>
      <w:r>
        <w:rPr>
          <w:snapToGrid w:val="0"/>
          <w:lang w:val="en-AU"/>
        </w:rPr>
        <w:t>Any unused portion of the "Included Cap Value" expires at the end of each month. This means that it does not roll over into the following month.</w:t>
      </w:r>
    </w:p>
    <w:p w14:paraId="3286EC4A" w14:textId="77777777" w:rsidR="000D07EA" w:rsidRDefault="00BE7C89">
      <w:pPr>
        <w:pStyle w:val="Heading7"/>
        <w:rPr>
          <w:b/>
          <w:lang w:val="en-AU"/>
        </w:rPr>
      </w:pPr>
      <w:bookmarkStart w:id="358" w:name="_Ref461549803"/>
      <w:r>
        <w:rPr>
          <w:b/>
          <w:lang w:val="en-AU"/>
        </w:rPr>
        <w:t>Minimum Monthly Charge and Included Calls and Text</w:t>
      </w:r>
      <w:bookmarkEnd w:id="358"/>
      <w:r>
        <w:rPr>
          <w:b/>
          <w:lang w:val="en-AU"/>
        </w:rPr>
        <w:t xml:space="preserve"> </w:t>
      </w:r>
    </w:p>
    <w:p w14:paraId="7D239F15" w14:textId="77777777" w:rsidR="000D07EA" w:rsidRDefault="00BE7C89">
      <w:pPr>
        <w:pStyle w:val="Heading8"/>
        <w:rPr>
          <w:lang w:val="en-AU"/>
        </w:rPr>
      </w:pPr>
      <w:r>
        <w:rPr>
          <w:lang w:val="en-AU"/>
        </w:rPr>
        <w:t xml:space="preserve">Each Business Complete Max Plan has a Minimum Monthly Charge amount that </w:t>
      </w:r>
      <w:r>
        <w:rPr>
          <w:i/>
          <w:lang w:val="en-AU"/>
        </w:rPr>
        <w:t xml:space="preserve">you </w:t>
      </w:r>
      <w:r>
        <w:rPr>
          <w:lang w:val="en-AU"/>
        </w:rPr>
        <w:t xml:space="preserve">must pay </w:t>
      </w:r>
      <w:r>
        <w:rPr>
          <w:i/>
          <w:lang w:val="en-AU"/>
        </w:rPr>
        <w:t>us</w:t>
      </w:r>
      <w:r>
        <w:rPr>
          <w:lang w:val="en-AU"/>
        </w:rPr>
        <w:t xml:space="preserve"> each month. </w:t>
      </w:r>
    </w:p>
    <w:p w14:paraId="5A9ADE6A" w14:textId="77777777" w:rsidR="000D07EA" w:rsidRDefault="00BE7C89">
      <w:pPr>
        <w:pStyle w:val="Heading8"/>
        <w:rPr>
          <w:lang w:val="en-AU"/>
        </w:rPr>
      </w:pPr>
      <w:r>
        <w:rPr>
          <w:lang w:val="en-AU"/>
        </w:rPr>
        <w:t xml:space="preserve">If </w:t>
      </w:r>
      <w:r>
        <w:rPr>
          <w:i/>
          <w:lang w:val="en-AU"/>
        </w:rPr>
        <w:t xml:space="preserve">you </w:t>
      </w:r>
      <w:r>
        <w:rPr>
          <w:lang w:val="en-AU"/>
        </w:rPr>
        <w:t xml:space="preserve">do not make enough eligible calls and text in a month to reach </w:t>
      </w:r>
      <w:r>
        <w:rPr>
          <w:i/>
          <w:lang w:val="en-AU"/>
        </w:rPr>
        <w:t>your pricing plan's cap start</w:t>
      </w:r>
      <w:r>
        <w:rPr>
          <w:lang w:val="en-AU"/>
        </w:rPr>
        <w:t xml:space="preserve"> (or Minimum Monthly Charge) </w:t>
      </w:r>
      <w:r>
        <w:rPr>
          <w:i/>
          <w:lang w:val="en-AU"/>
        </w:rPr>
        <w:t xml:space="preserve">you </w:t>
      </w:r>
      <w:r>
        <w:rPr>
          <w:lang w:val="en-AU"/>
        </w:rPr>
        <w:t xml:space="preserve">must still pay </w:t>
      </w:r>
      <w:r>
        <w:rPr>
          <w:i/>
          <w:lang w:val="en-AU"/>
        </w:rPr>
        <w:t>us your pricing plan's</w:t>
      </w:r>
      <w:r>
        <w:rPr>
          <w:lang w:val="en-AU"/>
        </w:rPr>
        <w:t xml:space="preserve"> Minimum Monthly Charge for that month.</w:t>
      </w:r>
    </w:p>
    <w:p w14:paraId="02537708" w14:textId="77777777" w:rsidR="000D07EA" w:rsidRDefault="00BE7C89">
      <w:pPr>
        <w:pStyle w:val="Heading8"/>
        <w:rPr>
          <w:lang w:val="en-AU"/>
        </w:rPr>
      </w:pPr>
      <w:r>
        <w:rPr>
          <w:lang w:val="en-AU"/>
        </w:rPr>
        <w:t>The amount of the Minimum Monthly Charge and included calls for each Business Complete Max Plan is set out in Table 2C below.</w:t>
      </w:r>
    </w:p>
    <w:p w14:paraId="570A1E4F" w14:textId="77777777" w:rsidR="000D07EA" w:rsidRDefault="00BE7C89">
      <w:pPr>
        <w:pStyle w:val="Heading8"/>
        <w:rPr>
          <w:lang w:val="en-AU"/>
        </w:rPr>
      </w:pPr>
      <w:r>
        <w:rPr>
          <w:i/>
          <w:lang w:val="en-AU"/>
        </w:rPr>
        <w:t xml:space="preserve">You </w:t>
      </w:r>
      <w:r>
        <w:rPr>
          <w:lang w:val="en-AU"/>
        </w:rPr>
        <w:t>must pay for any calls that are not eligible calls.</w:t>
      </w:r>
    </w:p>
    <w:p w14:paraId="3A39A394" w14:textId="77777777" w:rsidR="000D07EA" w:rsidRDefault="00BE7C89">
      <w:pPr>
        <w:pStyle w:val="Heading7"/>
        <w:rPr>
          <w:b/>
          <w:lang w:val="en-AU"/>
        </w:rPr>
      </w:pPr>
      <w:r>
        <w:rPr>
          <w:b/>
          <w:lang w:val="en-AU"/>
        </w:rPr>
        <w:t>Included Mobile Internet Data value or Unlimited BlackBerry POP3 Email and BlackBerry Browsing</w:t>
      </w:r>
    </w:p>
    <w:p w14:paraId="50453E4E" w14:textId="77777777" w:rsidR="000D07EA" w:rsidRDefault="00BE7C89">
      <w:pPr>
        <w:pStyle w:val="Heading8"/>
        <w:keepNext/>
        <w:rPr>
          <w:lang w:val="en-AU"/>
        </w:rPr>
      </w:pPr>
      <w:r>
        <w:rPr>
          <w:lang w:val="en-AU"/>
        </w:rPr>
        <w:t xml:space="preserve">Under the Business Complete Max Plans, </w:t>
      </w:r>
      <w:r>
        <w:rPr>
          <w:i/>
          <w:lang w:val="en-AU"/>
        </w:rPr>
        <w:t>you</w:t>
      </w:r>
      <w:r>
        <w:rPr>
          <w:lang w:val="en-AU"/>
        </w:rPr>
        <w:t xml:space="preserve"> can choose from </w:t>
      </w:r>
    </w:p>
    <w:p w14:paraId="0B741280" w14:textId="77777777" w:rsidR="000D07EA" w:rsidRDefault="00BE7C89">
      <w:pPr>
        <w:pStyle w:val="Heading9"/>
        <w:rPr>
          <w:lang w:val="en-AU"/>
        </w:rPr>
      </w:pPr>
      <w:r>
        <w:rPr>
          <w:lang w:val="en-AU"/>
        </w:rPr>
        <w:t>included Mobile Internet Data Value; or</w:t>
      </w:r>
    </w:p>
    <w:p w14:paraId="7EF67C02" w14:textId="77777777" w:rsidR="000D07EA" w:rsidRDefault="00BE7C89">
      <w:pPr>
        <w:pStyle w:val="Heading9"/>
        <w:rPr>
          <w:lang w:val="en-AU"/>
        </w:rPr>
      </w:pPr>
      <w:r>
        <w:rPr>
          <w:lang w:val="en-AU"/>
        </w:rPr>
        <w:t>Unlimited BlackBerry POP3 Email and BlackBerry Browsing</w:t>
      </w:r>
    </w:p>
    <w:p w14:paraId="51004BD1" w14:textId="77777777" w:rsidR="000D07EA" w:rsidRDefault="00BE7C89">
      <w:pPr>
        <w:pStyle w:val="Heading8"/>
        <w:rPr>
          <w:lang w:val="en-AU"/>
        </w:rPr>
      </w:pPr>
      <w:r>
        <w:rPr>
          <w:lang w:val="en-AU"/>
        </w:rPr>
        <w:t>If you select the included Mobile Internet Data Value option:</w:t>
      </w:r>
    </w:p>
    <w:p w14:paraId="13696AC5" w14:textId="77777777" w:rsidR="000D07EA" w:rsidRDefault="00BE7C89">
      <w:pPr>
        <w:pStyle w:val="Heading9"/>
        <w:rPr>
          <w:lang w:val="en-AU"/>
        </w:rPr>
      </w:pPr>
      <w:r>
        <w:rPr>
          <w:lang w:val="en-AU"/>
        </w:rPr>
        <w:t>The amount of the "Mobile Internet Data Value" included for each Business Complete Max Plan is set out in Table 2C below.</w:t>
      </w:r>
    </w:p>
    <w:p w14:paraId="4E31B2E0" w14:textId="77777777" w:rsidR="000D07EA" w:rsidRDefault="00BE7C89">
      <w:pPr>
        <w:pStyle w:val="Heading9"/>
        <w:rPr>
          <w:lang w:val="en-AU"/>
        </w:rPr>
      </w:pPr>
      <w:r>
        <w:rPr>
          <w:lang w:val="en-AU"/>
        </w:rPr>
        <w:t xml:space="preserve">The usage types that are </w:t>
      </w:r>
      <w:r>
        <w:rPr>
          <w:b/>
          <w:lang w:val="en-AU"/>
        </w:rPr>
        <w:t>'eligible data'</w:t>
      </w:r>
      <w:r>
        <w:rPr>
          <w:lang w:val="en-AU"/>
        </w:rPr>
        <w:t xml:space="preserve"> for each Business Complete Max Plan under the included Mobile Internet Data Value are defined in Table 2A below.</w:t>
      </w:r>
    </w:p>
    <w:p w14:paraId="63A814C3" w14:textId="77777777" w:rsidR="000D07EA" w:rsidRDefault="00BE7C89">
      <w:pPr>
        <w:pStyle w:val="Heading9"/>
        <w:rPr>
          <w:lang w:val="en-AU"/>
        </w:rPr>
      </w:pPr>
      <w:r>
        <w:rPr>
          <w:lang w:val="en-AU"/>
        </w:rPr>
        <w:t>The included data of the Business Complete Max plan can be shared with an eligible Business Mobile Broadband service.</w:t>
      </w:r>
    </w:p>
    <w:p w14:paraId="4231716E" w14:textId="77777777" w:rsidR="000D07EA" w:rsidRDefault="00BE7C89">
      <w:pPr>
        <w:pStyle w:val="Heading9"/>
        <w:rPr>
          <w:lang w:val="en-AU"/>
        </w:rPr>
      </w:pPr>
      <w:r>
        <w:rPr>
          <w:i/>
          <w:lang w:val="en-AU"/>
        </w:rPr>
        <w:t xml:space="preserve">You </w:t>
      </w:r>
      <w:r>
        <w:rPr>
          <w:lang w:val="en-AU"/>
        </w:rPr>
        <w:t xml:space="preserve">must pay </w:t>
      </w:r>
      <w:r>
        <w:rPr>
          <w:i/>
          <w:lang w:val="en-AU"/>
        </w:rPr>
        <w:t xml:space="preserve">us </w:t>
      </w:r>
      <w:r>
        <w:rPr>
          <w:lang w:val="en-AU"/>
        </w:rPr>
        <w:t>excess usage charges for data made beyond the available "Mobile Internet Data Value" as shown in Table 2C below.</w:t>
      </w:r>
    </w:p>
    <w:p w14:paraId="7DD954B6" w14:textId="77777777" w:rsidR="000D07EA" w:rsidRDefault="00BE7C89">
      <w:pPr>
        <w:pStyle w:val="Heading9"/>
        <w:rPr>
          <w:lang w:val="en-AU"/>
        </w:rPr>
      </w:pPr>
      <w:r>
        <w:rPr>
          <w:snapToGrid w:val="0"/>
          <w:lang w:val="en-AU"/>
        </w:rPr>
        <w:t>Any unused portion of the "</w:t>
      </w:r>
      <w:r>
        <w:rPr>
          <w:lang w:val="en-AU"/>
        </w:rPr>
        <w:t>Mobile Internet Data Value</w:t>
      </w:r>
      <w:r>
        <w:rPr>
          <w:snapToGrid w:val="0"/>
          <w:lang w:val="en-AU"/>
        </w:rPr>
        <w:t>" expires at the end of each month and does not rollover into the following month.</w:t>
      </w:r>
    </w:p>
    <w:p w14:paraId="1593BC76" w14:textId="77777777" w:rsidR="000D07EA" w:rsidRDefault="00BE7C89">
      <w:pPr>
        <w:pStyle w:val="Heading8"/>
        <w:rPr>
          <w:lang w:val="en-AU"/>
        </w:rPr>
      </w:pPr>
      <w:r>
        <w:rPr>
          <w:lang w:val="en-AU"/>
        </w:rPr>
        <w:t>If you select the Unlimited BlackBerry POP3 Email and BlackBerry Browsing option:</w:t>
      </w:r>
    </w:p>
    <w:p w14:paraId="5FB1B589" w14:textId="77777777" w:rsidR="000D07EA" w:rsidRDefault="00BE7C89">
      <w:pPr>
        <w:pStyle w:val="Heading9"/>
        <w:rPr>
          <w:lang w:val="en-AU"/>
        </w:rPr>
      </w:pPr>
      <w:r>
        <w:rPr>
          <w:i/>
          <w:lang w:val="en-AU"/>
        </w:rPr>
        <w:lastRenderedPageBreak/>
        <w:t>You</w:t>
      </w:r>
      <w:r>
        <w:rPr>
          <w:lang w:val="en-AU"/>
        </w:rPr>
        <w:t xml:space="preserve"> will receive unlimited BlackBerry POP3 Email and BlackBerry Browsing through the BlackBerry Internet Browser or the BlackBerry Browser only and use of applications from Optus and third party applications that require a BlackBerry Data connection</w:t>
      </w:r>
    </w:p>
    <w:p w14:paraId="3F8E2B3A" w14:textId="77777777" w:rsidR="000D07EA" w:rsidRDefault="00BE7C89">
      <w:pPr>
        <w:pStyle w:val="Heading9"/>
        <w:rPr>
          <w:lang w:val="en-AU"/>
        </w:rPr>
      </w:pPr>
      <w:r>
        <w:rPr>
          <w:i/>
          <w:lang w:val="en-AU"/>
        </w:rPr>
        <w:t xml:space="preserve">You </w:t>
      </w:r>
      <w:r>
        <w:rPr>
          <w:lang w:val="en-AU"/>
        </w:rPr>
        <w:t xml:space="preserve">will also receive an amount of "Mobile Internet Data Value" which is set out in Table 2C below. </w:t>
      </w:r>
    </w:p>
    <w:p w14:paraId="4C1D1D79" w14:textId="77777777" w:rsidR="000D07EA" w:rsidRDefault="00BE7C89">
      <w:pPr>
        <w:pStyle w:val="Heading9"/>
        <w:rPr>
          <w:lang w:val="en-AU"/>
        </w:rPr>
      </w:pPr>
      <w:r>
        <w:rPr>
          <w:lang w:val="en-AU"/>
        </w:rPr>
        <w:t xml:space="preserve">The included data of the Business Complete Max plan can be shared with an eligible Business Mobile Broadband service. </w:t>
      </w:r>
    </w:p>
    <w:p w14:paraId="140076CA" w14:textId="77777777" w:rsidR="000D07EA" w:rsidRDefault="00BE7C89">
      <w:pPr>
        <w:pStyle w:val="Heading9"/>
        <w:rPr>
          <w:lang w:val="en-AU"/>
        </w:rPr>
      </w:pPr>
      <w:r>
        <w:rPr>
          <w:i/>
          <w:lang w:val="en-AU"/>
        </w:rPr>
        <w:t xml:space="preserve">You </w:t>
      </w:r>
      <w:r>
        <w:rPr>
          <w:lang w:val="en-AU"/>
        </w:rPr>
        <w:t xml:space="preserve">must pay </w:t>
      </w:r>
      <w:r>
        <w:rPr>
          <w:i/>
          <w:lang w:val="en-AU"/>
        </w:rPr>
        <w:t xml:space="preserve">us </w:t>
      </w:r>
      <w:r>
        <w:rPr>
          <w:lang w:val="en-AU"/>
        </w:rPr>
        <w:t xml:space="preserve">excess usage charges for data made beyond the available "Mobile Internet Data Value". </w:t>
      </w:r>
    </w:p>
    <w:p w14:paraId="70D9CFF6" w14:textId="77777777" w:rsidR="000D07EA" w:rsidRDefault="00BE7C89">
      <w:pPr>
        <w:pStyle w:val="Heading9"/>
        <w:rPr>
          <w:lang w:val="en-AU"/>
        </w:rPr>
      </w:pPr>
      <w:r>
        <w:rPr>
          <w:snapToGrid w:val="0"/>
          <w:lang w:val="en-AU"/>
        </w:rPr>
        <w:t>Any unused portion of the "</w:t>
      </w:r>
      <w:r>
        <w:rPr>
          <w:lang w:val="en-AU"/>
        </w:rPr>
        <w:t>Mobile Internet Data Value</w:t>
      </w:r>
      <w:r>
        <w:rPr>
          <w:snapToGrid w:val="0"/>
          <w:lang w:val="en-AU"/>
        </w:rPr>
        <w:t>" expires at the end of each month and does not roll over into the following month.</w:t>
      </w:r>
    </w:p>
    <w:p w14:paraId="6F0C137D" w14:textId="77777777" w:rsidR="000D07EA" w:rsidRDefault="00BE7C89">
      <w:pPr>
        <w:pStyle w:val="Heading9"/>
        <w:rPr>
          <w:lang w:val="en-AU"/>
        </w:rPr>
      </w:pPr>
      <w:r>
        <w:rPr>
          <w:lang w:val="en-AU"/>
        </w:rPr>
        <w:t>The usage types that are '</w:t>
      </w:r>
      <w:r>
        <w:rPr>
          <w:b/>
          <w:lang w:val="en-AU"/>
        </w:rPr>
        <w:t>eligible data</w:t>
      </w:r>
      <w:r>
        <w:rPr>
          <w:lang w:val="en-AU"/>
        </w:rPr>
        <w:t>' for each Business Complete Max Plan under the Unlimited BlackBerry POP3 Email and BlackBerry Browsing are defined in Table 2B below.</w:t>
      </w:r>
    </w:p>
    <w:p w14:paraId="3D549DD1" w14:textId="77777777" w:rsidR="000D07EA" w:rsidRDefault="00BE7C89">
      <w:pPr>
        <w:pStyle w:val="Heading9"/>
      </w:pPr>
      <w:r>
        <w:t>Use of Unlimited BlackBerry POP3 Email is for personal or business use. Fair Go Policy (</w:t>
      </w:r>
      <w:hyperlink r:id="rId238" w:history="1">
        <w:r>
          <w:rPr>
            <w:rStyle w:val="Hyperlink"/>
            <w:i/>
          </w:rPr>
          <w:t>Appendix S</w:t>
        </w:r>
      </w:hyperlink>
      <w:r>
        <w:t xml:space="preserve">) also applies to unacceptable use. Please refer to </w:t>
      </w:r>
      <w:hyperlink r:id="rId239" w:history="1">
        <w:r w:rsidR="00B64C56">
          <w:rPr>
            <w:rStyle w:val="Hyperlink"/>
            <w:i/>
          </w:rPr>
          <w:t>Appendix S</w:t>
        </w:r>
      </w:hyperlink>
      <w:r>
        <w:t>for further details</w:t>
      </w:r>
    </w:p>
    <w:p w14:paraId="72373B0E" w14:textId="77777777" w:rsidR="000D07EA" w:rsidRDefault="00BE7C89">
      <w:pPr>
        <w:pStyle w:val="Heading7"/>
        <w:rPr>
          <w:b/>
          <w:snapToGrid w:val="0"/>
          <w:lang w:val="en-AU"/>
        </w:rPr>
      </w:pPr>
      <w:bookmarkStart w:id="359" w:name="_Ref461549843"/>
      <w:r>
        <w:rPr>
          <w:b/>
          <w:snapToGrid w:val="0"/>
          <w:lang w:val="en-AU"/>
        </w:rPr>
        <w:t>Unlimited Facebook®, Twitter, LinkedIn, Ebay, Four Square, MySpace</w:t>
      </w:r>
      <w:bookmarkEnd w:id="359"/>
    </w:p>
    <w:p w14:paraId="4BE18A03" w14:textId="77777777" w:rsidR="000D07EA" w:rsidRDefault="00BE7C89">
      <w:pPr>
        <w:pStyle w:val="Heading8"/>
        <w:rPr>
          <w:snapToGrid w:val="0"/>
          <w:lang w:val="en-AU"/>
        </w:rPr>
      </w:pPr>
      <w:bookmarkStart w:id="360" w:name="_Ref461549847"/>
      <w:r>
        <w:rPr>
          <w:lang w:val="en-AU"/>
        </w:rPr>
        <w:t xml:space="preserve">Under the Business Complete Max Plans, </w:t>
      </w:r>
      <w:r>
        <w:rPr>
          <w:i/>
          <w:lang w:val="en-AU"/>
        </w:rPr>
        <w:t>you</w:t>
      </w:r>
      <w:r>
        <w:rPr>
          <w:lang w:val="en-AU"/>
        </w:rPr>
        <w:t xml:space="preserve"> will receive unlimited </w:t>
      </w:r>
      <w:r>
        <w:rPr>
          <w:snapToGrid w:val="0"/>
          <w:lang w:val="en-AU"/>
        </w:rPr>
        <w:t>Facebook®, Twitter, LinkedIn, Ebay, Four Square, MySpace within Australia.</w:t>
      </w:r>
      <w:bookmarkEnd w:id="360"/>
    </w:p>
    <w:p w14:paraId="26786DBB" w14:textId="77777777" w:rsidR="000D07EA" w:rsidRDefault="00BE7C89">
      <w:pPr>
        <w:pStyle w:val="Heading8"/>
        <w:rPr>
          <w:lang w:val="en-AU"/>
        </w:rPr>
      </w:pPr>
      <w:r>
        <w:rPr>
          <w:lang w:val="en-AU"/>
        </w:rPr>
        <w:t xml:space="preserve">Usage of the services described in paragraph </w:t>
      </w:r>
      <w:r>
        <w:rPr>
          <w:lang w:val="en-AU"/>
        </w:rPr>
        <w:fldChar w:fldCharType="begin"/>
      </w:r>
      <w:r>
        <w:rPr>
          <w:lang w:val="en-AU"/>
        </w:rPr>
        <w:instrText xml:space="preserve"> REF _Ref461549843 \n \h </w:instrText>
      </w:r>
      <w:r>
        <w:rPr>
          <w:lang w:val="en-AU"/>
        </w:rPr>
      </w:r>
      <w:r>
        <w:rPr>
          <w:lang w:val="en-AU"/>
        </w:rPr>
        <w:fldChar w:fldCharType="separate"/>
      </w:r>
      <w:r w:rsidR="0004083A">
        <w:rPr>
          <w:lang w:val="en-AU"/>
        </w:rPr>
        <w:t>(g)</w:t>
      </w:r>
      <w:r>
        <w:rPr>
          <w:lang w:val="en-AU"/>
        </w:rPr>
        <w:fldChar w:fldCharType="end"/>
      </w:r>
      <w:r>
        <w:rPr>
          <w:lang w:val="en-AU"/>
        </w:rPr>
        <w:fldChar w:fldCharType="begin"/>
      </w:r>
      <w:r>
        <w:rPr>
          <w:lang w:val="en-AU"/>
        </w:rPr>
        <w:instrText xml:space="preserve"> REF _Ref461549847 \n \h </w:instrText>
      </w:r>
      <w:r>
        <w:rPr>
          <w:lang w:val="en-AU"/>
        </w:rPr>
      </w:r>
      <w:r>
        <w:rPr>
          <w:lang w:val="en-AU"/>
        </w:rPr>
        <w:fldChar w:fldCharType="separate"/>
      </w:r>
      <w:r w:rsidR="0004083A">
        <w:rPr>
          <w:lang w:val="en-AU"/>
        </w:rPr>
        <w:t>(i)</w:t>
      </w:r>
      <w:r>
        <w:rPr>
          <w:lang w:val="en-AU"/>
        </w:rPr>
        <w:fldChar w:fldCharType="end"/>
      </w:r>
      <w:r>
        <w:rPr>
          <w:lang w:val="en-AU"/>
        </w:rPr>
        <w:t xml:space="preserve"> is separate to and is not included in your "Mobile Internet Data Value" and your Business Max Business Mobile Broadband Service (if applicable) and may be accessed on your mobile handset only. </w:t>
      </w:r>
    </w:p>
    <w:p w14:paraId="75167433" w14:textId="77777777" w:rsidR="000D07EA" w:rsidRDefault="00BE7C89">
      <w:pPr>
        <w:pStyle w:val="Heading8"/>
        <w:rPr>
          <w:lang w:val="en-AU"/>
        </w:rPr>
      </w:pPr>
      <w:r>
        <w:rPr>
          <w:lang w:val="en-AU"/>
        </w:rPr>
        <w:t>These features are only available to you if your handset is compatible with the service.</w:t>
      </w:r>
    </w:p>
    <w:p w14:paraId="7974BD7D" w14:textId="77777777" w:rsidR="000D07EA" w:rsidRDefault="00BE7C89">
      <w:pPr>
        <w:pStyle w:val="Heading8"/>
        <w:rPr>
          <w:lang w:val="en-AU"/>
        </w:rPr>
      </w:pPr>
      <w:r>
        <w:rPr>
          <w:lang w:val="en-AU"/>
        </w:rPr>
        <w:t>Use of Unlimited Facebook®, Twitter, LinkedIn, Ebay, Four Square, and MySpace is for personal or business use. Please refer to</w:t>
      </w:r>
      <w:r w:rsidR="00DD7FB0">
        <w:rPr>
          <w:lang w:val="en-AU"/>
        </w:rPr>
        <w:t xml:space="preserve"> </w:t>
      </w:r>
      <w:hyperlink r:id="rId240" w:history="1">
        <w:r w:rsidR="00DD7FB0" w:rsidRPr="00DD7FB0">
          <w:rPr>
            <w:rStyle w:val="Hyperlink"/>
            <w:lang w:val="en-AU"/>
          </w:rPr>
          <w:t>Appendix S</w:t>
        </w:r>
      </w:hyperlink>
      <w:r>
        <w:rPr>
          <w:lang w:val="en-AU"/>
        </w:rPr>
        <w:t xml:space="preserve"> for further details. </w:t>
      </w:r>
    </w:p>
    <w:p w14:paraId="0E965315" w14:textId="77777777" w:rsidR="000D07EA" w:rsidRDefault="00BE7C89">
      <w:pPr>
        <w:pStyle w:val="Heading7"/>
        <w:rPr>
          <w:b/>
          <w:lang w:val="en-AU"/>
        </w:rPr>
      </w:pPr>
      <w:r>
        <w:rPr>
          <w:b/>
          <w:lang w:val="en-AU"/>
        </w:rPr>
        <w:t>Unlimited SMS &amp; MMS Offer on the $59 Business Complete Max and $79 Business Complete Max Plans</w:t>
      </w:r>
    </w:p>
    <w:p w14:paraId="37FE0B0C" w14:textId="77777777" w:rsidR="000D07EA" w:rsidRDefault="00BE7C89">
      <w:pPr>
        <w:pStyle w:val="Heading8"/>
        <w:rPr>
          <w:lang w:val="en-AU"/>
        </w:rPr>
      </w:pPr>
      <w:r>
        <w:rPr>
          <w:lang w:val="en-AU"/>
        </w:rPr>
        <w:t>Under the $59 Business Complete Max and $79 Business Complete Max</w:t>
      </w:r>
      <w:r>
        <w:rPr>
          <w:b/>
          <w:lang w:val="en-AU"/>
        </w:rPr>
        <w:t xml:space="preserve"> </w:t>
      </w:r>
      <w:r>
        <w:rPr>
          <w:lang w:val="en-AU"/>
        </w:rPr>
        <w:t xml:space="preserve">plans </w:t>
      </w:r>
      <w:r>
        <w:rPr>
          <w:i/>
          <w:lang w:val="en-AU"/>
        </w:rPr>
        <w:t xml:space="preserve">you </w:t>
      </w:r>
      <w:r>
        <w:rPr>
          <w:lang w:val="en-AU"/>
        </w:rPr>
        <w:t>will receive the Unlimited SMS &amp; MMS Offer and may send unlimited standard national SMS and MMS to GSM mobiles within Australia.</w:t>
      </w:r>
    </w:p>
    <w:p w14:paraId="27FA8A9A" w14:textId="77777777" w:rsidR="000D07EA" w:rsidRDefault="00BE7C89">
      <w:pPr>
        <w:pStyle w:val="Heading8"/>
        <w:rPr>
          <w:lang w:val="en-AU"/>
        </w:rPr>
      </w:pPr>
      <w:r>
        <w:rPr>
          <w:lang w:val="en-AU"/>
        </w:rPr>
        <w:t>Unlimited SMS &amp; MMS offer excludes International, Premium, Group and Email SMS and MMS.</w:t>
      </w:r>
    </w:p>
    <w:p w14:paraId="51A3F51C" w14:textId="77777777" w:rsidR="000D07EA" w:rsidRDefault="00BE7C89">
      <w:pPr>
        <w:pStyle w:val="Heading8"/>
        <w:rPr>
          <w:lang w:val="en-AU"/>
        </w:rPr>
      </w:pPr>
      <w:r>
        <w:rPr>
          <w:lang w:val="en-AU"/>
        </w:rPr>
        <w:t>You must pay for any messages that are not eligible messages.</w:t>
      </w:r>
    </w:p>
    <w:p w14:paraId="19FF11BC" w14:textId="77777777" w:rsidR="000D07EA" w:rsidRDefault="00BE7C89">
      <w:pPr>
        <w:pStyle w:val="Heading8"/>
        <w:rPr>
          <w:lang w:val="en-AU"/>
        </w:rPr>
      </w:pPr>
      <w:r>
        <w:rPr>
          <w:lang w:val="en-AU"/>
        </w:rPr>
        <w:t>Any unused portion of the plan expires at the end of each month. This means that it does not roll over into following month.</w:t>
      </w:r>
    </w:p>
    <w:p w14:paraId="6958159D" w14:textId="77777777" w:rsidR="000D07EA" w:rsidRDefault="00BE7C89">
      <w:pPr>
        <w:pStyle w:val="Heading8"/>
        <w:rPr>
          <w:lang w:val="en-AU"/>
        </w:rPr>
      </w:pPr>
      <w:r>
        <w:rPr>
          <w:lang w:val="en-AU"/>
        </w:rPr>
        <w:t xml:space="preserve">The unlimited SMS &amp; MMS offer only applies for personal and business use. For further details refer to </w:t>
      </w:r>
      <w:hyperlink r:id="rId241" w:history="1">
        <w:r w:rsidR="00DD7FB0" w:rsidRPr="00DD7FB0">
          <w:rPr>
            <w:rStyle w:val="Hyperlink"/>
            <w:lang w:val="en-AU"/>
          </w:rPr>
          <w:t>Appendix S</w:t>
        </w:r>
      </w:hyperlink>
      <w:r>
        <w:rPr>
          <w:lang w:val="en-AU"/>
        </w:rPr>
        <w:t>.</w:t>
      </w:r>
    </w:p>
    <w:p w14:paraId="73420A57" w14:textId="77777777" w:rsidR="000D07EA" w:rsidRDefault="00BE7C89">
      <w:pPr>
        <w:pStyle w:val="Heading7"/>
        <w:rPr>
          <w:b/>
          <w:lang w:val="en-AU"/>
        </w:rPr>
      </w:pPr>
      <w:r>
        <w:rPr>
          <w:b/>
          <w:lang w:val="en-AU"/>
        </w:rPr>
        <w:t xml:space="preserve">Upon connection to the Business Complete Max plans </w:t>
      </w:r>
      <w:r>
        <w:rPr>
          <w:b/>
          <w:i/>
          <w:lang w:val="en-AU"/>
        </w:rPr>
        <w:t>you</w:t>
      </w:r>
      <w:r>
        <w:rPr>
          <w:b/>
          <w:lang w:val="en-AU"/>
        </w:rPr>
        <w:t xml:space="preserve"> will receive Unlimited VoiceMail.</w:t>
      </w:r>
    </w:p>
    <w:p w14:paraId="4793916F" w14:textId="77777777" w:rsidR="000D07EA" w:rsidRDefault="00BE7C89">
      <w:pPr>
        <w:pStyle w:val="Heading8"/>
        <w:rPr>
          <w:lang w:val="en-AU"/>
        </w:rPr>
      </w:pPr>
      <w:r>
        <w:rPr>
          <w:lang w:val="en-AU"/>
        </w:rPr>
        <w:t xml:space="preserve">Unlimited VoiceMail applies to VoiceMail Deposits and Retrievals. Diversion charges still apply. Subject to </w:t>
      </w:r>
      <w:r>
        <w:t>Fair Go Policy (</w:t>
      </w:r>
      <w:hyperlink r:id="rId242" w:history="1">
        <w:r>
          <w:rPr>
            <w:rStyle w:val="Hyperlink"/>
            <w:i/>
          </w:rPr>
          <w:t>Appendix S</w:t>
        </w:r>
      </w:hyperlink>
      <w:r>
        <w:t>)</w:t>
      </w:r>
      <w:r>
        <w:rPr>
          <w:lang w:val="en-AU"/>
        </w:rPr>
        <w:t>.</w:t>
      </w:r>
    </w:p>
    <w:p w14:paraId="033F2379" w14:textId="77777777" w:rsidR="000D07EA" w:rsidRDefault="00BE7C89">
      <w:pPr>
        <w:pStyle w:val="Heading7"/>
        <w:rPr>
          <w:lang w:val="en-AU"/>
        </w:rPr>
      </w:pPr>
      <w:r>
        <w:rPr>
          <w:lang w:val="en-AU"/>
        </w:rPr>
        <w:t>Other Business Complete Max Plans Conditions:</w:t>
      </w:r>
    </w:p>
    <w:p w14:paraId="28408BC3" w14:textId="77777777" w:rsidR="000D07EA" w:rsidRDefault="00BE7C89">
      <w:pPr>
        <w:pStyle w:val="Heading8"/>
      </w:pPr>
      <w:r>
        <w:lastRenderedPageBreak/>
        <w:t>The Fair Go Policy (</w:t>
      </w:r>
      <w:hyperlink r:id="rId243" w:history="1">
        <w:r>
          <w:rPr>
            <w:rStyle w:val="Hyperlink"/>
            <w:i/>
          </w:rPr>
          <w:t>Appendix S</w:t>
        </w:r>
      </w:hyperlink>
      <w:r>
        <w:t xml:space="preserve">) applies to Voice Over Internet Protocol (VOIP) services up to 10 megabytes per month. Please refer to </w:t>
      </w:r>
      <w:hyperlink r:id="rId244" w:history="1">
        <w:r w:rsidR="00B64C56">
          <w:rPr>
            <w:rStyle w:val="Hyperlink"/>
            <w:i/>
          </w:rPr>
          <w:t>Appendix S</w:t>
        </w:r>
      </w:hyperlink>
      <w:r>
        <w:t>.</w:t>
      </w:r>
    </w:p>
    <w:p w14:paraId="4F3E7129" w14:textId="77777777" w:rsidR="000D07EA" w:rsidRDefault="00BE7C89">
      <w:pPr>
        <w:pStyle w:val="Heading8"/>
        <w:rPr>
          <w:lang w:val="en-AU"/>
        </w:rPr>
      </w:pPr>
      <w:r>
        <w:rPr>
          <w:lang w:val="en-AU"/>
        </w:rPr>
        <w:t xml:space="preserve">Voice Over Internet Protocol (VOIP) services (other than PTT) will be charged at 1.5c per kilobyte of usage, capped at $9.90 per month until </w:t>
      </w:r>
      <w:r>
        <w:rPr>
          <w:i/>
          <w:lang w:val="en-AU"/>
        </w:rPr>
        <w:t xml:space="preserve">you </w:t>
      </w:r>
      <w:r>
        <w:rPr>
          <w:lang w:val="en-AU"/>
        </w:rPr>
        <w:t xml:space="preserve">reach 5 megabytes of usage in that month, after which </w:t>
      </w:r>
      <w:r>
        <w:rPr>
          <w:i/>
          <w:lang w:val="en-AU"/>
        </w:rPr>
        <w:t xml:space="preserve">you </w:t>
      </w:r>
      <w:r>
        <w:rPr>
          <w:lang w:val="en-AU"/>
        </w:rPr>
        <w:t>will be charged at 0.3c per kilobyte of usage for the remainder of that month.</w:t>
      </w:r>
    </w:p>
    <w:p w14:paraId="29882104" w14:textId="77777777" w:rsidR="000D07EA" w:rsidRDefault="00BE7C89">
      <w:pPr>
        <w:pStyle w:val="Heading8"/>
        <w:rPr>
          <w:lang w:val="en-AU"/>
        </w:rPr>
      </w:pPr>
      <w:r>
        <w:rPr>
          <w:lang w:val="en-AU"/>
        </w:rPr>
        <w:t xml:space="preserve">Available features will vary depending on </w:t>
      </w:r>
      <w:r>
        <w:rPr>
          <w:i/>
          <w:lang w:val="en-AU"/>
        </w:rPr>
        <w:t>your</w:t>
      </w:r>
      <w:r>
        <w:rPr>
          <w:lang w:val="en-AU"/>
        </w:rPr>
        <w:t xml:space="preserve"> handset or software version</w:t>
      </w:r>
    </w:p>
    <w:p w14:paraId="6667583D" w14:textId="77777777" w:rsidR="000D07EA" w:rsidRDefault="00BE7C89">
      <w:pPr>
        <w:pStyle w:val="Heading7"/>
        <w:rPr>
          <w:b/>
          <w:lang w:val="en-AU"/>
        </w:rPr>
      </w:pPr>
      <w:r>
        <w:rPr>
          <w:b/>
          <w:lang w:val="en-AU"/>
        </w:rPr>
        <w:t>Additional discount option – 'yes' for 5</w:t>
      </w:r>
    </w:p>
    <w:p w14:paraId="25B1086F" w14:textId="77777777" w:rsidR="000D07EA" w:rsidRDefault="00BE7C89">
      <w:pPr>
        <w:pStyle w:val="Heading8"/>
        <w:rPr>
          <w:b/>
          <w:lang w:val="en-AU"/>
        </w:rPr>
      </w:pPr>
      <w:r>
        <w:rPr>
          <w:lang w:val="en-AU"/>
        </w:rPr>
        <w:t>I</w:t>
      </w:r>
      <w:r>
        <w:t xml:space="preserve">f </w:t>
      </w:r>
      <w:r>
        <w:rPr>
          <w:i/>
        </w:rPr>
        <w:t xml:space="preserve">you </w:t>
      </w:r>
      <w:r>
        <w:t xml:space="preserve">connect to one of the </w:t>
      </w:r>
      <w:r>
        <w:rPr>
          <w:lang w:val="en-AU"/>
        </w:rPr>
        <w:t>Business Complete Max</w:t>
      </w:r>
      <w:r>
        <w:t xml:space="preserve"> Plans, </w:t>
      </w:r>
      <w:r>
        <w:rPr>
          <w:i/>
        </w:rPr>
        <w:t>you</w:t>
      </w:r>
      <w:r>
        <w:t xml:space="preserve"> will receive the 'yes' for 5 offer where </w:t>
      </w:r>
      <w:r>
        <w:rPr>
          <w:i/>
        </w:rPr>
        <w:t>you</w:t>
      </w:r>
      <w:r>
        <w:rPr>
          <w:i/>
          <w:lang w:val="en-AU"/>
        </w:rPr>
        <w:t xml:space="preserve"> </w:t>
      </w:r>
      <w:r>
        <w:rPr>
          <w:lang w:val="en-AU"/>
        </w:rPr>
        <w:t xml:space="preserve">can make 5 minute voice calls within Australia to other Optus GSM Mobile services on the same customer account number for no additional cost. Limit of 1000 minutes per month applies. Standard call rates of </w:t>
      </w:r>
      <w:r>
        <w:rPr>
          <w:i/>
          <w:lang w:val="en-AU"/>
        </w:rPr>
        <w:t>your</w:t>
      </w:r>
      <w:r>
        <w:rPr>
          <w:lang w:val="en-AU"/>
        </w:rPr>
        <w:t xml:space="preserve"> plan apply after the first 5 minutes. </w:t>
      </w:r>
      <w:r>
        <w:t>Fair Go Policy (</w:t>
      </w:r>
      <w:hyperlink r:id="rId245" w:history="1">
        <w:r>
          <w:rPr>
            <w:rStyle w:val="Hyperlink"/>
            <w:i/>
          </w:rPr>
          <w:t>Appendix S</w:t>
        </w:r>
      </w:hyperlink>
      <w:r>
        <w:t>)</w:t>
      </w:r>
      <w:r>
        <w:rPr>
          <w:lang w:val="en-AU"/>
        </w:rPr>
        <w:t xml:space="preserve"> applies</w:t>
      </w:r>
      <w:r>
        <w:rPr>
          <w:rFonts w:cs="Arial"/>
          <w:lang w:val="en-AU"/>
        </w:rPr>
        <w:t>.</w:t>
      </w:r>
      <w:r>
        <w:rPr>
          <w:lang w:val="en-AU"/>
        </w:rPr>
        <w:t xml:space="preserve"> </w:t>
      </w:r>
    </w:p>
    <w:p w14:paraId="139D4FDC" w14:textId="77777777" w:rsidR="000D07EA" w:rsidRDefault="00BE7C89">
      <w:pPr>
        <w:pStyle w:val="Heading7"/>
        <w:rPr>
          <w:b/>
        </w:rPr>
      </w:pPr>
      <w:r>
        <w:rPr>
          <w:b/>
        </w:rPr>
        <w:t>Eligible Calls and Pricing Plans</w:t>
      </w:r>
    </w:p>
    <w:p w14:paraId="150D73FB" w14:textId="77777777" w:rsidR="000D07EA" w:rsidRDefault="00BE7C89">
      <w:pPr>
        <w:pStyle w:val="BodyText"/>
        <w:ind w:left="1440"/>
      </w:pPr>
      <w:r>
        <w:t xml:space="preserve">Table 1A below indicates whether particular call types are an 'eligible call and text' which count towards the "Included Cap Value" and Minimum Monthly Charge of </w:t>
      </w:r>
      <w:r>
        <w:rPr>
          <w:i/>
        </w:rPr>
        <w:t>your</w:t>
      </w:r>
      <w:r>
        <w:t xml:space="preserve"> selected Business Complete Max Plans. </w:t>
      </w:r>
    </w:p>
    <w:p w14:paraId="40271B7B" w14:textId="77777777" w:rsidR="000D07EA" w:rsidRDefault="00BE7C89">
      <w:pPr>
        <w:pStyle w:val="BodyText"/>
        <w:ind w:left="1440"/>
      </w:pPr>
      <w:r>
        <w:t xml:space="preserve">Table 2A below indicates whether a particular call type is 'eligible data usage' which counts towards the data value of </w:t>
      </w:r>
      <w:r>
        <w:rPr>
          <w:i/>
        </w:rPr>
        <w:t>your</w:t>
      </w:r>
      <w:r>
        <w:t xml:space="preserve"> selected Business Complete Max plan </w:t>
      </w:r>
    </w:p>
    <w:p w14:paraId="37561979" w14:textId="77777777" w:rsidR="000D07EA" w:rsidRDefault="00BE7C89">
      <w:pPr>
        <w:pStyle w:val="BodyText"/>
        <w:ind w:left="1440"/>
      </w:pPr>
      <w:r>
        <w:t xml:space="preserve">Table 2B below indicates whether a particular data type is 'eligible data usage' which counts towards the Unlimited BlackBerry POP3 Email and BlackBerry Browsing value of </w:t>
      </w:r>
      <w:r>
        <w:rPr>
          <w:i/>
        </w:rPr>
        <w:t>your</w:t>
      </w:r>
      <w:r>
        <w:t xml:space="preserve"> selected Timeless Max Plan</w:t>
      </w:r>
    </w:p>
    <w:p w14:paraId="7D1BFDFC" w14:textId="77777777" w:rsidR="000D07EA" w:rsidRDefault="00BE7C89">
      <w:pPr>
        <w:pStyle w:val="BodyText"/>
        <w:ind w:left="1440"/>
      </w:pPr>
      <w:r>
        <w:t>Table 2C below contains details of each Business Complete Max Plans.</w:t>
      </w:r>
    </w:p>
    <w:p w14:paraId="35EBB43E" w14:textId="77777777" w:rsidR="000D07EA" w:rsidRDefault="00BE7C89">
      <w:pPr>
        <w:pStyle w:val="BodyText"/>
        <w:keepNext/>
        <w:ind w:left="1440"/>
        <w:rPr>
          <w:b/>
        </w:rPr>
      </w:pPr>
      <w:r>
        <w:rPr>
          <w:b/>
        </w:rPr>
        <w:t>Table 1A – Eligible Calls and Text for the Included Cap Value</w:t>
      </w:r>
    </w:p>
    <w:tbl>
      <w:tblPr>
        <w:tblW w:w="4297"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422"/>
        <w:gridCol w:w="4334"/>
      </w:tblGrid>
      <w:tr w:rsidR="000D07EA" w14:paraId="1D135985" w14:textId="77777777">
        <w:trPr>
          <w:tblHeader/>
        </w:trPr>
        <w:tc>
          <w:tcPr>
            <w:tcW w:w="2525" w:type="pct"/>
            <w:hideMark/>
          </w:tcPr>
          <w:p w14:paraId="2E6E8691" w14:textId="77777777" w:rsidR="000D07EA" w:rsidRDefault="00BE7C89">
            <w:pPr>
              <w:pStyle w:val="BodyText"/>
              <w:keepNext/>
              <w:spacing w:before="100" w:after="100"/>
              <w:rPr>
                <w:b/>
                <w:lang w:val="en-AU"/>
              </w:rPr>
            </w:pPr>
            <w:r>
              <w:rPr>
                <w:b/>
                <w:lang w:val="en-AU"/>
              </w:rPr>
              <w:t>Call Type</w:t>
            </w:r>
          </w:p>
        </w:tc>
        <w:tc>
          <w:tcPr>
            <w:tcW w:w="2475" w:type="pct"/>
            <w:hideMark/>
          </w:tcPr>
          <w:p w14:paraId="612D2C8F" w14:textId="77777777" w:rsidR="000D07EA" w:rsidRDefault="00BE7C89">
            <w:pPr>
              <w:pStyle w:val="BodyText"/>
              <w:keepNext/>
              <w:spacing w:before="100" w:after="100"/>
              <w:rPr>
                <w:b/>
                <w:lang w:val="en-AU"/>
              </w:rPr>
            </w:pPr>
            <w:r>
              <w:rPr>
                <w:b/>
                <w:lang w:val="en-AU"/>
              </w:rPr>
              <w:t>Eligible Call</w:t>
            </w:r>
          </w:p>
        </w:tc>
      </w:tr>
      <w:tr w:rsidR="000D07EA" w14:paraId="0874395A" w14:textId="77777777">
        <w:tc>
          <w:tcPr>
            <w:tcW w:w="2525" w:type="pct"/>
            <w:hideMark/>
          </w:tcPr>
          <w:p w14:paraId="0A5E088E" w14:textId="77777777" w:rsidR="000D07EA" w:rsidRDefault="00BE7C89">
            <w:pPr>
              <w:pStyle w:val="BodyText"/>
              <w:spacing w:before="100" w:after="100"/>
              <w:rPr>
                <w:lang w:val="en-AU"/>
              </w:rPr>
            </w:pPr>
            <w:r>
              <w:rPr>
                <w:lang w:val="en-AU"/>
              </w:rPr>
              <w:t>National Voice Calls</w:t>
            </w:r>
          </w:p>
        </w:tc>
        <w:tc>
          <w:tcPr>
            <w:tcW w:w="2475" w:type="pct"/>
            <w:hideMark/>
          </w:tcPr>
          <w:p w14:paraId="547ADCC4" w14:textId="77777777" w:rsidR="000D07EA" w:rsidRDefault="00BE7C89">
            <w:pPr>
              <w:pStyle w:val="BodyText"/>
              <w:spacing w:before="100" w:after="100"/>
              <w:rPr>
                <w:lang w:val="en-AU"/>
              </w:rPr>
            </w:pPr>
            <w:r>
              <w:rPr>
                <w:lang w:val="en-AU"/>
              </w:rPr>
              <w:t>Yes</w:t>
            </w:r>
          </w:p>
        </w:tc>
      </w:tr>
      <w:tr w:rsidR="000D07EA" w14:paraId="7531F6AC" w14:textId="77777777">
        <w:tc>
          <w:tcPr>
            <w:tcW w:w="2525" w:type="pct"/>
            <w:hideMark/>
          </w:tcPr>
          <w:p w14:paraId="6DC8E59E" w14:textId="77777777" w:rsidR="000D07EA" w:rsidRDefault="00BE7C89">
            <w:pPr>
              <w:pStyle w:val="BodyText"/>
              <w:spacing w:before="100" w:after="100"/>
              <w:rPr>
                <w:lang w:val="en-AU"/>
              </w:rPr>
            </w:pPr>
            <w:r>
              <w:rPr>
                <w:lang w:val="en-AU"/>
              </w:rPr>
              <w:t>International Voice Calls</w:t>
            </w:r>
          </w:p>
          <w:p w14:paraId="4F1DD9E1" w14:textId="77777777" w:rsidR="000D07EA" w:rsidRDefault="00BE7C89">
            <w:pPr>
              <w:pStyle w:val="BodyText"/>
              <w:spacing w:before="100" w:after="100"/>
              <w:rPr>
                <w:lang w:val="en-AU"/>
              </w:rPr>
            </w:pPr>
            <w:r>
              <w:rPr>
                <w:snapToGrid w:val="0"/>
                <w:lang w:val="en-AU"/>
              </w:rPr>
              <w:t>(includes calls to national fixed or GSM mobile services that then divert/switch or re-route overseas)</w:t>
            </w:r>
          </w:p>
        </w:tc>
        <w:tc>
          <w:tcPr>
            <w:tcW w:w="2475" w:type="pct"/>
            <w:hideMark/>
          </w:tcPr>
          <w:p w14:paraId="473C73C4" w14:textId="77777777" w:rsidR="000D07EA" w:rsidRDefault="00BE7C89">
            <w:pPr>
              <w:pStyle w:val="BodyText"/>
              <w:spacing w:before="100" w:after="100"/>
              <w:rPr>
                <w:lang w:val="en-AU"/>
              </w:rPr>
            </w:pPr>
            <w:r>
              <w:rPr>
                <w:lang w:val="en-AU"/>
              </w:rPr>
              <w:t>No</w:t>
            </w:r>
          </w:p>
        </w:tc>
      </w:tr>
      <w:tr w:rsidR="000D07EA" w14:paraId="21008A58" w14:textId="77777777">
        <w:tc>
          <w:tcPr>
            <w:tcW w:w="2525" w:type="pct"/>
            <w:hideMark/>
          </w:tcPr>
          <w:p w14:paraId="18D127D6" w14:textId="77777777" w:rsidR="000D07EA" w:rsidRDefault="00BE7C89">
            <w:pPr>
              <w:pStyle w:val="BodyText"/>
              <w:spacing w:before="100" w:after="100"/>
              <w:rPr>
                <w:lang w:val="en-AU"/>
              </w:rPr>
            </w:pPr>
            <w:r>
              <w:rPr>
                <w:lang w:val="en-AU"/>
              </w:rPr>
              <w:t>National Video Calls</w:t>
            </w:r>
          </w:p>
        </w:tc>
        <w:tc>
          <w:tcPr>
            <w:tcW w:w="2475" w:type="pct"/>
            <w:hideMark/>
          </w:tcPr>
          <w:p w14:paraId="2AF20041" w14:textId="77777777" w:rsidR="000D07EA" w:rsidRDefault="00BE7C89">
            <w:pPr>
              <w:pStyle w:val="BodyText"/>
              <w:spacing w:before="100" w:after="100"/>
              <w:rPr>
                <w:lang w:val="en-AU"/>
              </w:rPr>
            </w:pPr>
            <w:r>
              <w:rPr>
                <w:lang w:val="en-AU"/>
              </w:rPr>
              <w:t>Yes</w:t>
            </w:r>
          </w:p>
        </w:tc>
      </w:tr>
      <w:tr w:rsidR="000D07EA" w14:paraId="4F4C66D3" w14:textId="77777777">
        <w:tc>
          <w:tcPr>
            <w:tcW w:w="2525" w:type="pct"/>
            <w:hideMark/>
          </w:tcPr>
          <w:p w14:paraId="2CC80572" w14:textId="77777777" w:rsidR="000D07EA" w:rsidRDefault="00BE7C89">
            <w:pPr>
              <w:pStyle w:val="BodyText"/>
              <w:spacing w:before="100" w:after="100"/>
              <w:rPr>
                <w:lang w:val="en-AU"/>
              </w:rPr>
            </w:pPr>
            <w:r>
              <w:rPr>
                <w:lang w:val="en-AU"/>
              </w:rPr>
              <w:t>International Video Calls</w:t>
            </w:r>
          </w:p>
          <w:p w14:paraId="1085B817" w14:textId="77777777" w:rsidR="000D07EA" w:rsidRDefault="00BE7C89">
            <w:pPr>
              <w:pStyle w:val="BodyText"/>
              <w:spacing w:before="100" w:after="100"/>
              <w:rPr>
                <w:lang w:val="en-AU"/>
              </w:rPr>
            </w:pPr>
            <w:r>
              <w:rPr>
                <w:snapToGrid w:val="0"/>
                <w:lang w:val="en-AU"/>
              </w:rPr>
              <w:t>(includes calls to national fixed or GSM mobile services that then divert/switch or re-route overseas)</w:t>
            </w:r>
          </w:p>
        </w:tc>
        <w:tc>
          <w:tcPr>
            <w:tcW w:w="2475" w:type="pct"/>
            <w:hideMark/>
          </w:tcPr>
          <w:p w14:paraId="74F3FD61" w14:textId="77777777" w:rsidR="000D07EA" w:rsidRDefault="00BE7C89">
            <w:pPr>
              <w:pStyle w:val="BodyText"/>
              <w:spacing w:before="100" w:after="100"/>
              <w:rPr>
                <w:lang w:val="en-AU"/>
              </w:rPr>
            </w:pPr>
            <w:r>
              <w:rPr>
                <w:lang w:val="en-AU"/>
              </w:rPr>
              <w:t>No</w:t>
            </w:r>
          </w:p>
        </w:tc>
      </w:tr>
      <w:tr w:rsidR="000D07EA" w14:paraId="3C023061" w14:textId="77777777">
        <w:tc>
          <w:tcPr>
            <w:tcW w:w="2525" w:type="pct"/>
            <w:hideMark/>
          </w:tcPr>
          <w:p w14:paraId="41119EC5" w14:textId="77777777" w:rsidR="000D07EA" w:rsidRDefault="00BE7C89">
            <w:pPr>
              <w:pStyle w:val="BodyText"/>
              <w:spacing w:before="100" w:after="100"/>
              <w:rPr>
                <w:lang w:val="en-AU"/>
              </w:rPr>
            </w:pPr>
            <w:r>
              <w:rPr>
                <w:lang w:val="en-AU"/>
              </w:rPr>
              <w:t>National and International SMS</w:t>
            </w:r>
          </w:p>
        </w:tc>
        <w:tc>
          <w:tcPr>
            <w:tcW w:w="2475" w:type="pct"/>
            <w:hideMark/>
          </w:tcPr>
          <w:p w14:paraId="5C04B78B" w14:textId="77777777" w:rsidR="000D07EA" w:rsidRDefault="00BE7C89">
            <w:pPr>
              <w:pStyle w:val="BodyText"/>
              <w:spacing w:before="100" w:after="100"/>
              <w:rPr>
                <w:lang w:val="en-AU"/>
              </w:rPr>
            </w:pPr>
            <w:r>
              <w:rPr>
                <w:lang w:val="en-AU"/>
              </w:rPr>
              <w:t>Yes</w:t>
            </w:r>
          </w:p>
        </w:tc>
      </w:tr>
      <w:tr w:rsidR="000D07EA" w14:paraId="026AAD58" w14:textId="77777777">
        <w:tc>
          <w:tcPr>
            <w:tcW w:w="2525" w:type="pct"/>
            <w:hideMark/>
          </w:tcPr>
          <w:p w14:paraId="3B06CDC2" w14:textId="77777777" w:rsidR="000D07EA" w:rsidRDefault="00BE7C89">
            <w:pPr>
              <w:pStyle w:val="BodyText"/>
              <w:spacing w:before="100" w:after="100"/>
              <w:rPr>
                <w:lang w:val="en-AU"/>
              </w:rPr>
            </w:pPr>
            <w:r>
              <w:rPr>
                <w:lang w:val="en-AU"/>
              </w:rPr>
              <w:t>Voicemail Diversions</w:t>
            </w:r>
          </w:p>
        </w:tc>
        <w:tc>
          <w:tcPr>
            <w:tcW w:w="2475" w:type="pct"/>
            <w:hideMark/>
          </w:tcPr>
          <w:p w14:paraId="0F10611F" w14:textId="77777777" w:rsidR="000D07EA" w:rsidRDefault="00BE7C89">
            <w:pPr>
              <w:pStyle w:val="BodyText"/>
              <w:spacing w:before="100" w:after="100"/>
              <w:rPr>
                <w:lang w:val="en-AU"/>
              </w:rPr>
            </w:pPr>
            <w:r>
              <w:rPr>
                <w:lang w:val="en-AU"/>
              </w:rPr>
              <w:t>Yes</w:t>
            </w:r>
          </w:p>
        </w:tc>
      </w:tr>
      <w:tr w:rsidR="000D07EA" w14:paraId="7CEB972A" w14:textId="77777777">
        <w:tc>
          <w:tcPr>
            <w:tcW w:w="2525" w:type="pct"/>
            <w:hideMark/>
          </w:tcPr>
          <w:p w14:paraId="5188BC98" w14:textId="77777777" w:rsidR="000D07EA" w:rsidRDefault="00BE7C89">
            <w:pPr>
              <w:pStyle w:val="BodyText"/>
              <w:spacing w:before="100" w:after="100"/>
              <w:rPr>
                <w:lang w:val="en-AU"/>
              </w:rPr>
            </w:pPr>
            <w:r>
              <w:rPr>
                <w:lang w:val="en-AU"/>
              </w:rPr>
              <w:t>Voicemail Deposit and Retrievals</w:t>
            </w:r>
          </w:p>
        </w:tc>
        <w:tc>
          <w:tcPr>
            <w:tcW w:w="2475" w:type="pct"/>
            <w:hideMark/>
          </w:tcPr>
          <w:p w14:paraId="05B7F2D5" w14:textId="77777777" w:rsidR="000D07EA" w:rsidRDefault="00BE7C89">
            <w:pPr>
              <w:pStyle w:val="BodyText"/>
              <w:spacing w:before="100" w:after="100"/>
              <w:rPr>
                <w:lang w:val="en-AU"/>
              </w:rPr>
            </w:pPr>
            <w:r>
              <w:rPr>
                <w:lang w:val="en-AU"/>
              </w:rPr>
              <w:t>Yes</w:t>
            </w:r>
          </w:p>
        </w:tc>
      </w:tr>
      <w:tr w:rsidR="000D07EA" w14:paraId="5025B68D" w14:textId="77777777">
        <w:tc>
          <w:tcPr>
            <w:tcW w:w="2525" w:type="pct"/>
            <w:hideMark/>
          </w:tcPr>
          <w:p w14:paraId="75131287" w14:textId="77777777" w:rsidR="000D07EA" w:rsidRDefault="00BE7C89">
            <w:pPr>
              <w:pStyle w:val="BodyText"/>
              <w:spacing w:before="100" w:after="100"/>
              <w:rPr>
                <w:lang w:val="en-AU"/>
              </w:rPr>
            </w:pPr>
            <w:r>
              <w:rPr>
                <w:lang w:val="en-AU"/>
              </w:rPr>
              <w:t>International Roaming &amp; Diversion</w:t>
            </w:r>
          </w:p>
        </w:tc>
        <w:tc>
          <w:tcPr>
            <w:tcW w:w="2475" w:type="pct"/>
            <w:hideMark/>
          </w:tcPr>
          <w:p w14:paraId="77BAB103" w14:textId="77777777" w:rsidR="000D07EA" w:rsidRDefault="00BE7C89">
            <w:pPr>
              <w:pStyle w:val="BodyText"/>
              <w:spacing w:before="100" w:after="100"/>
              <w:rPr>
                <w:lang w:val="en-AU"/>
              </w:rPr>
            </w:pPr>
            <w:r>
              <w:rPr>
                <w:lang w:val="en-AU"/>
              </w:rPr>
              <w:t>No</w:t>
            </w:r>
          </w:p>
        </w:tc>
      </w:tr>
      <w:tr w:rsidR="000D07EA" w14:paraId="287B4499" w14:textId="77777777">
        <w:tc>
          <w:tcPr>
            <w:tcW w:w="2525" w:type="pct"/>
            <w:hideMark/>
          </w:tcPr>
          <w:p w14:paraId="51D91FCE" w14:textId="77777777" w:rsidR="000D07EA" w:rsidRDefault="00BE7C89">
            <w:pPr>
              <w:pStyle w:val="BodyText"/>
              <w:spacing w:before="100" w:after="100"/>
              <w:rPr>
                <w:lang w:val="en-AU"/>
              </w:rPr>
            </w:pPr>
            <w:r>
              <w:rPr>
                <w:lang w:val="en-AU"/>
              </w:rPr>
              <w:t>Premium SMS</w:t>
            </w:r>
          </w:p>
        </w:tc>
        <w:tc>
          <w:tcPr>
            <w:tcW w:w="2475" w:type="pct"/>
            <w:hideMark/>
          </w:tcPr>
          <w:p w14:paraId="11A600D9" w14:textId="77777777" w:rsidR="000D07EA" w:rsidRDefault="00BE7C89">
            <w:pPr>
              <w:pStyle w:val="BodyText"/>
              <w:spacing w:before="100" w:after="100"/>
              <w:rPr>
                <w:lang w:val="en-AU"/>
              </w:rPr>
            </w:pPr>
            <w:r>
              <w:rPr>
                <w:lang w:val="en-AU"/>
              </w:rPr>
              <w:t>No</w:t>
            </w:r>
          </w:p>
        </w:tc>
      </w:tr>
      <w:tr w:rsidR="000D07EA" w14:paraId="1E936E66" w14:textId="77777777">
        <w:tc>
          <w:tcPr>
            <w:tcW w:w="2525" w:type="pct"/>
            <w:hideMark/>
          </w:tcPr>
          <w:p w14:paraId="1C036B2A" w14:textId="77777777" w:rsidR="000D07EA" w:rsidRDefault="00BE7C89">
            <w:pPr>
              <w:pStyle w:val="BodyText"/>
              <w:spacing w:before="100" w:after="100"/>
              <w:rPr>
                <w:lang w:val="en-AU"/>
              </w:rPr>
            </w:pPr>
            <w:r>
              <w:rPr>
                <w:lang w:val="en-AU"/>
              </w:rPr>
              <w:lastRenderedPageBreak/>
              <w:t xml:space="preserve">Premium Video </w:t>
            </w:r>
          </w:p>
        </w:tc>
        <w:tc>
          <w:tcPr>
            <w:tcW w:w="2475" w:type="pct"/>
            <w:hideMark/>
          </w:tcPr>
          <w:p w14:paraId="4A32EBF8" w14:textId="77777777" w:rsidR="000D07EA" w:rsidRDefault="00BE7C89">
            <w:pPr>
              <w:pStyle w:val="BodyText"/>
              <w:spacing w:before="100" w:after="100"/>
              <w:rPr>
                <w:lang w:val="en-AU"/>
              </w:rPr>
            </w:pPr>
            <w:r>
              <w:rPr>
                <w:lang w:val="en-AU"/>
              </w:rPr>
              <w:t>No</w:t>
            </w:r>
          </w:p>
        </w:tc>
      </w:tr>
      <w:tr w:rsidR="000D07EA" w14:paraId="4BF1D14A" w14:textId="77777777">
        <w:tc>
          <w:tcPr>
            <w:tcW w:w="2525" w:type="pct"/>
            <w:hideMark/>
          </w:tcPr>
          <w:p w14:paraId="18FF08B6" w14:textId="77777777" w:rsidR="000D07EA" w:rsidRDefault="00BE7C89">
            <w:pPr>
              <w:pStyle w:val="BodyText"/>
              <w:spacing w:before="100" w:after="100"/>
              <w:rPr>
                <w:lang w:val="en-AU"/>
              </w:rPr>
            </w:pPr>
            <w:r>
              <w:rPr>
                <w:lang w:val="en-AU"/>
              </w:rPr>
              <w:t xml:space="preserve">Video Conferencing </w:t>
            </w:r>
          </w:p>
        </w:tc>
        <w:tc>
          <w:tcPr>
            <w:tcW w:w="2475" w:type="pct"/>
            <w:hideMark/>
          </w:tcPr>
          <w:p w14:paraId="0AFDF6CD" w14:textId="77777777" w:rsidR="000D07EA" w:rsidRDefault="00BE7C89">
            <w:pPr>
              <w:pStyle w:val="BodyText"/>
              <w:spacing w:before="100" w:after="100"/>
              <w:rPr>
                <w:lang w:val="en-AU"/>
              </w:rPr>
            </w:pPr>
            <w:r>
              <w:rPr>
                <w:lang w:val="en-AU"/>
              </w:rPr>
              <w:t>No</w:t>
            </w:r>
          </w:p>
        </w:tc>
      </w:tr>
      <w:tr w:rsidR="000D07EA" w14:paraId="522BB937" w14:textId="77777777">
        <w:tc>
          <w:tcPr>
            <w:tcW w:w="2525" w:type="pct"/>
            <w:hideMark/>
          </w:tcPr>
          <w:p w14:paraId="16F6F447" w14:textId="77777777" w:rsidR="000D07EA" w:rsidRDefault="00BE7C89">
            <w:pPr>
              <w:pStyle w:val="BodyText"/>
              <w:spacing w:before="100" w:after="100"/>
              <w:rPr>
                <w:lang w:val="en-AU"/>
              </w:rPr>
            </w:pPr>
            <w:r>
              <w:rPr>
                <w:lang w:val="en-AU"/>
              </w:rPr>
              <w:t>National MMS</w:t>
            </w:r>
          </w:p>
        </w:tc>
        <w:tc>
          <w:tcPr>
            <w:tcW w:w="2475" w:type="pct"/>
            <w:hideMark/>
          </w:tcPr>
          <w:p w14:paraId="1B060CF4" w14:textId="77777777" w:rsidR="000D07EA" w:rsidRDefault="00BE7C89">
            <w:pPr>
              <w:pStyle w:val="BodyText"/>
              <w:spacing w:before="100" w:after="100"/>
              <w:rPr>
                <w:lang w:val="en-AU"/>
              </w:rPr>
            </w:pPr>
            <w:r>
              <w:rPr>
                <w:lang w:val="en-AU"/>
              </w:rPr>
              <w:t>Yes</w:t>
            </w:r>
          </w:p>
        </w:tc>
      </w:tr>
      <w:tr w:rsidR="000D07EA" w14:paraId="37B5C01D" w14:textId="77777777">
        <w:tc>
          <w:tcPr>
            <w:tcW w:w="2525" w:type="pct"/>
            <w:hideMark/>
          </w:tcPr>
          <w:p w14:paraId="726D653E" w14:textId="77777777" w:rsidR="000D07EA" w:rsidRDefault="00BE7C89">
            <w:pPr>
              <w:pStyle w:val="BodyText"/>
              <w:spacing w:before="100" w:after="100"/>
              <w:rPr>
                <w:lang w:val="en-AU"/>
              </w:rPr>
            </w:pPr>
            <w:r>
              <w:rPr>
                <w:lang w:val="en-AU"/>
              </w:rPr>
              <w:t>International MMS</w:t>
            </w:r>
          </w:p>
        </w:tc>
        <w:tc>
          <w:tcPr>
            <w:tcW w:w="2475" w:type="pct"/>
            <w:hideMark/>
          </w:tcPr>
          <w:p w14:paraId="69D1FBCC" w14:textId="77777777" w:rsidR="000D07EA" w:rsidRDefault="00BE7C89">
            <w:pPr>
              <w:pStyle w:val="BodyText"/>
              <w:spacing w:before="100" w:after="100"/>
              <w:rPr>
                <w:lang w:val="en-AU"/>
              </w:rPr>
            </w:pPr>
            <w:r>
              <w:rPr>
                <w:lang w:val="en-AU"/>
              </w:rPr>
              <w:t>No</w:t>
            </w:r>
          </w:p>
        </w:tc>
      </w:tr>
      <w:tr w:rsidR="000D07EA" w14:paraId="4BEB7EEB" w14:textId="77777777">
        <w:tc>
          <w:tcPr>
            <w:tcW w:w="2525" w:type="pct"/>
            <w:hideMark/>
          </w:tcPr>
          <w:p w14:paraId="5297EDCE" w14:textId="77777777" w:rsidR="000D07EA" w:rsidRDefault="00BE7C89">
            <w:pPr>
              <w:pStyle w:val="BodyText"/>
              <w:spacing w:before="100" w:after="100"/>
              <w:rPr>
                <w:lang w:val="en-AU"/>
              </w:rPr>
            </w:pPr>
            <w:r>
              <w:rPr>
                <w:lang w:val="en-AU"/>
              </w:rPr>
              <w:t>Optus Zoo or Optus Zoo Browsing</w:t>
            </w:r>
          </w:p>
        </w:tc>
        <w:tc>
          <w:tcPr>
            <w:tcW w:w="2475" w:type="pct"/>
            <w:hideMark/>
          </w:tcPr>
          <w:p w14:paraId="298AC670" w14:textId="77777777" w:rsidR="000D07EA" w:rsidRDefault="00BE7C89">
            <w:pPr>
              <w:pStyle w:val="BodyText"/>
              <w:spacing w:before="100" w:after="100"/>
              <w:rPr>
                <w:lang w:val="en-AU"/>
              </w:rPr>
            </w:pPr>
            <w:r>
              <w:rPr>
                <w:lang w:val="en-AU"/>
              </w:rPr>
              <w:t>No</w:t>
            </w:r>
          </w:p>
        </w:tc>
      </w:tr>
      <w:tr w:rsidR="000D07EA" w14:paraId="46E7E696" w14:textId="77777777">
        <w:tc>
          <w:tcPr>
            <w:tcW w:w="2525" w:type="pct"/>
            <w:hideMark/>
          </w:tcPr>
          <w:p w14:paraId="2470DB1C" w14:textId="77777777" w:rsidR="000D07EA" w:rsidRDefault="00BE7C89">
            <w:pPr>
              <w:pStyle w:val="BodyText"/>
              <w:spacing w:before="100" w:after="100"/>
              <w:rPr>
                <w:lang w:val="en-AU"/>
              </w:rPr>
            </w:pPr>
            <w:r>
              <w:rPr>
                <w:lang w:val="en-AU"/>
              </w:rPr>
              <w:t>Optus Zoo or Optus Zoo Downloads</w:t>
            </w:r>
          </w:p>
        </w:tc>
        <w:tc>
          <w:tcPr>
            <w:tcW w:w="2475" w:type="pct"/>
            <w:hideMark/>
          </w:tcPr>
          <w:p w14:paraId="18927D91" w14:textId="77777777" w:rsidR="000D07EA" w:rsidRDefault="00BE7C89">
            <w:pPr>
              <w:pStyle w:val="BodyText"/>
              <w:spacing w:before="100" w:after="100"/>
              <w:rPr>
                <w:lang w:val="en-AU"/>
              </w:rPr>
            </w:pPr>
            <w:r>
              <w:rPr>
                <w:lang w:val="en-AU"/>
              </w:rPr>
              <w:t>No</w:t>
            </w:r>
          </w:p>
        </w:tc>
      </w:tr>
      <w:tr w:rsidR="000D07EA" w14:paraId="29587122" w14:textId="77777777">
        <w:tc>
          <w:tcPr>
            <w:tcW w:w="2525" w:type="pct"/>
            <w:hideMark/>
          </w:tcPr>
          <w:p w14:paraId="4985EA33" w14:textId="77777777" w:rsidR="000D07EA" w:rsidRDefault="00BE7C89">
            <w:pPr>
              <w:pStyle w:val="BodyText"/>
              <w:spacing w:before="100" w:after="100"/>
              <w:rPr>
                <w:lang w:val="en-AU"/>
              </w:rPr>
            </w:pPr>
            <w:r>
              <w:rPr>
                <w:lang w:val="en-AU"/>
              </w:rPr>
              <w:t>SMS to 966 (Zoo)</w:t>
            </w:r>
          </w:p>
        </w:tc>
        <w:tc>
          <w:tcPr>
            <w:tcW w:w="2475" w:type="pct"/>
            <w:hideMark/>
          </w:tcPr>
          <w:p w14:paraId="31767AF9" w14:textId="77777777" w:rsidR="000D07EA" w:rsidRDefault="00BE7C89">
            <w:pPr>
              <w:pStyle w:val="BodyText"/>
              <w:spacing w:before="100" w:after="100"/>
              <w:rPr>
                <w:lang w:val="en-AU"/>
              </w:rPr>
            </w:pPr>
            <w:r>
              <w:rPr>
                <w:lang w:val="en-AU"/>
              </w:rPr>
              <w:t>No</w:t>
            </w:r>
          </w:p>
        </w:tc>
      </w:tr>
      <w:tr w:rsidR="000D07EA" w14:paraId="5D3C5ADF" w14:textId="77777777">
        <w:tc>
          <w:tcPr>
            <w:tcW w:w="2525" w:type="pct"/>
            <w:hideMark/>
          </w:tcPr>
          <w:p w14:paraId="40F8F48D" w14:textId="77777777" w:rsidR="000D07EA" w:rsidRDefault="00BE7C89">
            <w:pPr>
              <w:pStyle w:val="BodyText"/>
              <w:spacing w:before="100" w:after="100"/>
              <w:rPr>
                <w:lang w:val="en-AU"/>
              </w:rPr>
            </w:pPr>
            <w:r>
              <w:rPr>
                <w:lang w:val="en-AU"/>
              </w:rPr>
              <w:t>Data used whilst roaming internationally</w:t>
            </w:r>
          </w:p>
        </w:tc>
        <w:tc>
          <w:tcPr>
            <w:tcW w:w="2475" w:type="pct"/>
            <w:hideMark/>
          </w:tcPr>
          <w:p w14:paraId="29CA9ED7" w14:textId="77777777" w:rsidR="000D07EA" w:rsidRDefault="00BE7C89">
            <w:pPr>
              <w:pStyle w:val="BodyText"/>
              <w:spacing w:before="100" w:after="100"/>
              <w:rPr>
                <w:lang w:val="en-AU"/>
              </w:rPr>
            </w:pPr>
            <w:r>
              <w:rPr>
                <w:lang w:val="en-AU"/>
              </w:rPr>
              <w:t>No</w:t>
            </w:r>
          </w:p>
        </w:tc>
      </w:tr>
      <w:tr w:rsidR="000D07EA" w14:paraId="1ADD14BB" w14:textId="77777777">
        <w:tc>
          <w:tcPr>
            <w:tcW w:w="2525" w:type="pct"/>
            <w:hideMark/>
          </w:tcPr>
          <w:p w14:paraId="6F7702C3" w14:textId="77777777" w:rsidR="000D07EA" w:rsidRDefault="00BE7C89">
            <w:pPr>
              <w:pStyle w:val="BodyText"/>
              <w:spacing w:before="100" w:after="100"/>
              <w:rPr>
                <w:lang w:val="en-AU"/>
              </w:rPr>
            </w:pPr>
            <w:r>
              <w:rPr>
                <w:lang w:val="en-AU"/>
              </w:rPr>
              <w:t xml:space="preserve">Directory Assistance – 1223 </w:t>
            </w:r>
          </w:p>
        </w:tc>
        <w:tc>
          <w:tcPr>
            <w:tcW w:w="2475" w:type="pct"/>
            <w:hideMark/>
          </w:tcPr>
          <w:p w14:paraId="43B1E64E" w14:textId="77777777" w:rsidR="000D07EA" w:rsidRDefault="00BE7C89">
            <w:pPr>
              <w:pStyle w:val="BodyText"/>
              <w:spacing w:before="100" w:after="100"/>
              <w:rPr>
                <w:lang w:val="en-AU"/>
              </w:rPr>
            </w:pPr>
            <w:r>
              <w:rPr>
                <w:lang w:val="en-AU"/>
              </w:rPr>
              <w:t>Yes</w:t>
            </w:r>
          </w:p>
        </w:tc>
      </w:tr>
      <w:tr w:rsidR="000D07EA" w14:paraId="08C27328" w14:textId="77777777">
        <w:tc>
          <w:tcPr>
            <w:tcW w:w="2525" w:type="pct"/>
            <w:hideMark/>
          </w:tcPr>
          <w:p w14:paraId="2E710DF8" w14:textId="77777777" w:rsidR="000D07EA" w:rsidRDefault="00BE7C89">
            <w:pPr>
              <w:pStyle w:val="BodyText"/>
              <w:spacing w:before="100" w:after="100"/>
              <w:rPr>
                <w:lang w:val="en-AU"/>
              </w:rPr>
            </w:pPr>
            <w:r>
              <w:rPr>
                <w:lang w:val="en-AU"/>
              </w:rPr>
              <w:t>19XX Numbers</w:t>
            </w:r>
          </w:p>
        </w:tc>
        <w:tc>
          <w:tcPr>
            <w:tcW w:w="2475" w:type="pct"/>
            <w:hideMark/>
          </w:tcPr>
          <w:p w14:paraId="4231BA3C" w14:textId="77777777" w:rsidR="000D07EA" w:rsidRDefault="00BE7C89">
            <w:pPr>
              <w:pStyle w:val="BodyText"/>
              <w:spacing w:before="100" w:after="100"/>
              <w:rPr>
                <w:lang w:val="en-AU"/>
              </w:rPr>
            </w:pPr>
            <w:r>
              <w:rPr>
                <w:lang w:val="en-AU"/>
              </w:rPr>
              <w:t>No</w:t>
            </w:r>
          </w:p>
        </w:tc>
      </w:tr>
      <w:tr w:rsidR="000D07EA" w14:paraId="3CB56D89" w14:textId="77777777">
        <w:tc>
          <w:tcPr>
            <w:tcW w:w="2525" w:type="pct"/>
            <w:hideMark/>
          </w:tcPr>
          <w:p w14:paraId="26C87377" w14:textId="77777777" w:rsidR="000D07EA" w:rsidRDefault="00BE7C89">
            <w:pPr>
              <w:pStyle w:val="BodyText"/>
              <w:spacing w:before="100" w:after="100"/>
              <w:rPr>
                <w:lang w:val="en-AU"/>
              </w:rPr>
            </w:pPr>
            <w:r>
              <w:rPr>
                <w:lang w:val="en-AU"/>
              </w:rPr>
              <w:t>1800 and 1300 numbers</w:t>
            </w:r>
          </w:p>
        </w:tc>
        <w:tc>
          <w:tcPr>
            <w:tcW w:w="2475" w:type="pct"/>
            <w:hideMark/>
          </w:tcPr>
          <w:p w14:paraId="73025CF7" w14:textId="77777777" w:rsidR="000D07EA" w:rsidRDefault="00BE7C89">
            <w:pPr>
              <w:pStyle w:val="BodyText"/>
              <w:spacing w:before="100" w:after="100"/>
              <w:rPr>
                <w:lang w:val="en-AU"/>
              </w:rPr>
            </w:pPr>
            <w:r>
              <w:rPr>
                <w:lang w:val="en-AU"/>
              </w:rPr>
              <w:t>Yes</w:t>
            </w:r>
          </w:p>
        </w:tc>
      </w:tr>
      <w:tr w:rsidR="000D07EA" w14:paraId="3FE486AC" w14:textId="77777777">
        <w:tc>
          <w:tcPr>
            <w:tcW w:w="2525" w:type="pct"/>
            <w:hideMark/>
          </w:tcPr>
          <w:p w14:paraId="1737F9B6" w14:textId="77777777" w:rsidR="000D07EA" w:rsidRDefault="00BE7C89">
            <w:pPr>
              <w:pStyle w:val="BodyText"/>
              <w:spacing w:before="100" w:after="100"/>
              <w:rPr>
                <w:lang w:val="en-AU"/>
              </w:rPr>
            </w:pPr>
            <w:r>
              <w:rPr>
                <w:lang w:val="en-AU"/>
              </w:rPr>
              <w:t>124YES(937)</w:t>
            </w:r>
          </w:p>
        </w:tc>
        <w:tc>
          <w:tcPr>
            <w:tcW w:w="2475" w:type="pct"/>
            <w:hideMark/>
          </w:tcPr>
          <w:p w14:paraId="597385E5" w14:textId="77777777" w:rsidR="000D07EA" w:rsidRDefault="00BE7C89">
            <w:pPr>
              <w:pStyle w:val="BodyText"/>
              <w:spacing w:before="100" w:after="100"/>
              <w:rPr>
                <w:lang w:val="en-AU"/>
              </w:rPr>
            </w:pPr>
            <w:r>
              <w:rPr>
                <w:lang w:val="en-AU"/>
              </w:rPr>
              <w:t>No</w:t>
            </w:r>
          </w:p>
        </w:tc>
      </w:tr>
      <w:tr w:rsidR="000D07EA" w14:paraId="0576648E" w14:textId="77777777">
        <w:tc>
          <w:tcPr>
            <w:tcW w:w="2525" w:type="pct"/>
            <w:hideMark/>
          </w:tcPr>
          <w:p w14:paraId="3D0F3E37" w14:textId="77777777" w:rsidR="000D07EA" w:rsidRDefault="00BE7C89">
            <w:pPr>
              <w:pStyle w:val="BodyText"/>
              <w:spacing w:before="100" w:after="100"/>
              <w:rPr>
                <w:lang w:val="en-AU"/>
              </w:rPr>
            </w:pPr>
            <w:r>
              <w:rPr>
                <w:lang w:val="en-AU"/>
              </w:rPr>
              <w:t>Insurance</w:t>
            </w:r>
          </w:p>
        </w:tc>
        <w:tc>
          <w:tcPr>
            <w:tcW w:w="2475" w:type="pct"/>
            <w:hideMark/>
          </w:tcPr>
          <w:p w14:paraId="0CD293A2" w14:textId="77777777" w:rsidR="000D07EA" w:rsidRDefault="00BE7C89">
            <w:pPr>
              <w:pStyle w:val="BodyText"/>
              <w:spacing w:before="100" w:after="100"/>
              <w:rPr>
                <w:lang w:val="en-AU"/>
              </w:rPr>
            </w:pPr>
            <w:r>
              <w:rPr>
                <w:lang w:val="en-AU"/>
              </w:rPr>
              <w:t>No</w:t>
            </w:r>
          </w:p>
        </w:tc>
      </w:tr>
      <w:tr w:rsidR="000D07EA" w14:paraId="23943AF6" w14:textId="77777777">
        <w:tc>
          <w:tcPr>
            <w:tcW w:w="2525" w:type="pct"/>
            <w:hideMark/>
          </w:tcPr>
          <w:p w14:paraId="29FC3FA1" w14:textId="77777777" w:rsidR="000D07EA" w:rsidRDefault="00BE7C89">
            <w:pPr>
              <w:pStyle w:val="BodyText"/>
              <w:spacing w:before="100" w:after="100"/>
              <w:rPr>
                <w:lang w:val="en-AU"/>
              </w:rPr>
            </w:pPr>
            <w:r>
              <w:rPr>
                <w:lang w:val="en-AU"/>
              </w:rPr>
              <w:t>Handset Payments</w:t>
            </w:r>
          </w:p>
        </w:tc>
        <w:tc>
          <w:tcPr>
            <w:tcW w:w="2475" w:type="pct"/>
            <w:hideMark/>
          </w:tcPr>
          <w:p w14:paraId="4D21C520" w14:textId="77777777" w:rsidR="000D07EA" w:rsidRDefault="00BE7C89">
            <w:pPr>
              <w:pStyle w:val="BodyText"/>
              <w:spacing w:before="100" w:after="100"/>
              <w:rPr>
                <w:lang w:val="en-AU"/>
              </w:rPr>
            </w:pPr>
            <w:r>
              <w:rPr>
                <w:lang w:val="en-AU"/>
              </w:rPr>
              <w:t>No</w:t>
            </w:r>
          </w:p>
        </w:tc>
      </w:tr>
      <w:tr w:rsidR="000D07EA" w14:paraId="10971018" w14:textId="77777777">
        <w:tc>
          <w:tcPr>
            <w:tcW w:w="2525" w:type="pct"/>
            <w:hideMark/>
          </w:tcPr>
          <w:p w14:paraId="08A6BD25" w14:textId="77777777" w:rsidR="000D07EA" w:rsidRDefault="00BE7C89">
            <w:pPr>
              <w:pStyle w:val="BodyText"/>
              <w:spacing w:before="100" w:after="100"/>
              <w:rPr>
                <w:lang w:val="en-AU"/>
              </w:rPr>
            </w:pPr>
            <w:r>
              <w:rPr>
                <w:lang w:val="en-AU"/>
              </w:rPr>
              <w:t>Content Packs (unless specified in promotions)</w:t>
            </w:r>
          </w:p>
        </w:tc>
        <w:tc>
          <w:tcPr>
            <w:tcW w:w="2475" w:type="pct"/>
            <w:hideMark/>
          </w:tcPr>
          <w:p w14:paraId="7FB2FCBE" w14:textId="77777777" w:rsidR="000D07EA" w:rsidRDefault="00BE7C89">
            <w:pPr>
              <w:pStyle w:val="BodyText"/>
              <w:spacing w:before="100" w:after="100"/>
              <w:rPr>
                <w:lang w:val="en-AU"/>
              </w:rPr>
            </w:pPr>
            <w:r>
              <w:rPr>
                <w:lang w:val="en-AU"/>
              </w:rPr>
              <w:t>No</w:t>
            </w:r>
          </w:p>
        </w:tc>
      </w:tr>
      <w:tr w:rsidR="000D07EA" w14:paraId="0A3D1323" w14:textId="77777777">
        <w:tc>
          <w:tcPr>
            <w:tcW w:w="2525" w:type="pct"/>
            <w:hideMark/>
          </w:tcPr>
          <w:p w14:paraId="0E5120FE" w14:textId="77777777" w:rsidR="000D07EA" w:rsidRDefault="00BE7C89">
            <w:pPr>
              <w:pStyle w:val="BodyText"/>
              <w:spacing w:before="100" w:after="100"/>
              <w:rPr>
                <w:lang w:val="en-AU"/>
              </w:rPr>
            </w:pPr>
            <w:r>
              <w:rPr>
                <w:lang w:val="en-AU"/>
              </w:rPr>
              <w:t>Mobile Internet usage</w:t>
            </w:r>
          </w:p>
        </w:tc>
        <w:tc>
          <w:tcPr>
            <w:tcW w:w="2475" w:type="pct"/>
            <w:hideMark/>
          </w:tcPr>
          <w:p w14:paraId="596B738F" w14:textId="77777777" w:rsidR="000D07EA" w:rsidRDefault="00BE7C89">
            <w:pPr>
              <w:pStyle w:val="BodyText"/>
              <w:spacing w:before="100" w:after="100"/>
              <w:rPr>
                <w:lang w:val="en-AU"/>
              </w:rPr>
            </w:pPr>
            <w:r>
              <w:rPr>
                <w:lang w:val="en-AU"/>
              </w:rPr>
              <w:t>No</w:t>
            </w:r>
          </w:p>
        </w:tc>
      </w:tr>
      <w:tr w:rsidR="000D07EA" w14:paraId="24B4814F" w14:textId="77777777">
        <w:tc>
          <w:tcPr>
            <w:tcW w:w="2525" w:type="pct"/>
            <w:hideMark/>
          </w:tcPr>
          <w:p w14:paraId="6413E58D" w14:textId="77777777" w:rsidR="000D07EA" w:rsidRDefault="00BE7C89">
            <w:pPr>
              <w:pStyle w:val="BodyText"/>
              <w:spacing w:before="100" w:after="100"/>
              <w:rPr>
                <w:lang w:val="en-AU"/>
              </w:rPr>
            </w:pPr>
            <w:r>
              <w:rPr>
                <w:lang w:val="en-AU"/>
              </w:rPr>
              <w:t xml:space="preserve">True Local Usage </w:t>
            </w:r>
          </w:p>
        </w:tc>
        <w:tc>
          <w:tcPr>
            <w:tcW w:w="2475" w:type="pct"/>
            <w:hideMark/>
          </w:tcPr>
          <w:p w14:paraId="6A5A4922" w14:textId="77777777" w:rsidR="000D07EA" w:rsidRDefault="00BE7C89">
            <w:pPr>
              <w:pStyle w:val="BodyText"/>
              <w:spacing w:before="100" w:after="100"/>
              <w:rPr>
                <w:lang w:val="en-AU"/>
              </w:rPr>
            </w:pPr>
            <w:r>
              <w:rPr>
                <w:lang w:val="en-AU"/>
              </w:rPr>
              <w:t>No</w:t>
            </w:r>
          </w:p>
        </w:tc>
      </w:tr>
      <w:tr w:rsidR="000D07EA" w14:paraId="517322EE" w14:textId="77777777">
        <w:tc>
          <w:tcPr>
            <w:tcW w:w="2525" w:type="pct"/>
            <w:hideMark/>
          </w:tcPr>
          <w:p w14:paraId="3BD17304" w14:textId="77777777" w:rsidR="000D07EA" w:rsidRDefault="00BE7C89">
            <w:pPr>
              <w:pStyle w:val="BodyText"/>
              <w:spacing w:before="100" w:after="100"/>
              <w:rPr>
                <w:lang w:val="en-AU"/>
              </w:rPr>
            </w:pPr>
            <w:r>
              <w:rPr>
                <w:lang w:val="en-AU"/>
              </w:rPr>
              <w:t>VOIP services</w:t>
            </w:r>
          </w:p>
        </w:tc>
        <w:tc>
          <w:tcPr>
            <w:tcW w:w="2475" w:type="pct"/>
            <w:hideMark/>
          </w:tcPr>
          <w:p w14:paraId="6D362695" w14:textId="77777777" w:rsidR="000D07EA" w:rsidRDefault="00BE7C89">
            <w:pPr>
              <w:pStyle w:val="BodyText"/>
              <w:spacing w:before="100" w:after="100"/>
              <w:rPr>
                <w:lang w:val="en-AU"/>
              </w:rPr>
            </w:pPr>
            <w:r>
              <w:rPr>
                <w:lang w:val="en-AU"/>
              </w:rPr>
              <w:t>No</w:t>
            </w:r>
          </w:p>
        </w:tc>
      </w:tr>
      <w:tr w:rsidR="000D07EA" w14:paraId="30F73AC6" w14:textId="77777777">
        <w:tc>
          <w:tcPr>
            <w:tcW w:w="2525" w:type="pct"/>
            <w:hideMark/>
          </w:tcPr>
          <w:p w14:paraId="490FE797" w14:textId="77777777" w:rsidR="000D07EA" w:rsidRDefault="00BE7C89">
            <w:pPr>
              <w:pStyle w:val="BodyText"/>
              <w:spacing w:before="100" w:after="100"/>
              <w:rPr>
                <w:lang w:val="en-AU"/>
              </w:rPr>
            </w:pPr>
            <w:r>
              <w:rPr>
                <w:lang w:val="en-AU"/>
              </w:rPr>
              <w:t xml:space="preserve">Calls to Satellite </w:t>
            </w:r>
          </w:p>
        </w:tc>
        <w:tc>
          <w:tcPr>
            <w:tcW w:w="2475" w:type="pct"/>
            <w:hideMark/>
          </w:tcPr>
          <w:p w14:paraId="0234719D" w14:textId="77777777" w:rsidR="000D07EA" w:rsidRDefault="00BE7C89">
            <w:pPr>
              <w:pStyle w:val="BodyText"/>
              <w:spacing w:before="100" w:after="100"/>
              <w:rPr>
                <w:lang w:val="en-AU"/>
              </w:rPr>
            </w:pPr>
            <w:r>
              <w:rPr>
                <w:lang w:val="en-AU"/>
              </w:rPr>
              <w:t>No</w:t>
            </w:r>
          </w:p>
        </w:tc>
      </w:tr>
      <w:tr w:rsidR="000D07EA" w14:paraId="629E2EFC" w14:textId="77777777">
        <w:tc>
          <w:tcPr>
            <w:tcW w:w="2525" w:type="pct"/>
            <w:hideMark/>
          </w:tcPr>
          <w:p w14:paraId="17969441" w14:textId="77777777" w:rsidR="000D07EA" w:rsidRDefault="00BE7C89">
            <w:pPr>
              <w:pStyle w:val="BodyText"/>
              <w:spacing w:before="100" w:after="100"/>
              <w:rPr>
                <w:lang w:val="en-AU"/>
              </w:rPr>
            </w:pPr>
            <w:r>
              <w:rPr>
                <w:lang w:val="en-AU"/>
              </w:rPr>
              <w:t>Surepage</w:t>
            </w:r>
          </w:p>
        </w:tc>
        <w:tc>
          <w:tcPr>
            <w:tcW w:w="2475" w:type="pct"/>
            <w:hideMark/>
          </w:tcPr>
          <w:p w14:paraId="06C22F53" w14:textId="77777777" w:rsidR="000D07EA" w:rsidRDefault="00BE7C89">
            <w:pPr>
              <w:pStyle w:val="BodyText"/>
              <w:spacing w:before="100" w:after="100"/>
              <w:rPr>
                <w:lang w:val="en-AU"/>
              </w:rPr>
            </w:pPr>
            <w:r>
              <w:rPr>
                <w:lang w:val="en-AU"/>
              </w:rPr>
              <w:t>No</w:t>
            </w:r>
          </w:p>
        </w:tc>
      </w:tr>
    </w:tbl>
    <w:p w14:paraId="697D5D59" w14:textId="77777777" w:rsidR="000D07EA" w:rsidRDefault="000D07EA">
      <w:pPr>
        <w:pStyle w:val="BodyText"/>
      </w:pPr>
    </w:p>
    <w:p w14:paraId="09731D71" w14:textId="77777777" w:rsidR="000D07EA" w:rsidRDefault="00BE7C89">
      <w:pPr>
        <w:pStyle w:val="BodyText"/>
        <w:ind w:left="1440"/>
        <w:rPr>
          <w:b/>
        </w:rPr>
      </w:pPr>
      <w:r>
        <w:rPr>
          <w:b/>
        </w:rPr>
        <w:t>Table 2A – Eligible for the Included Mobile Internet Data</w:t>
      </w:r>
    </w:p>
    <w:tbl>
      <w:tblPr>
        <w:tblW w:w="4297"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422"/>
        <w:gridCol w:w="4334"/>
      </w:tblGrid>
      <w:tr w:rsidR="000D07EA" w14:paraId="03A21B9A" w14:textId="77777777">
        <w:trPr>
          <w:tblHeader/>
        </w:trPr>
        <w:tc>
          <w:tcPr>
            <w:tcW w:w="2525" w:type="pct"/>
            <w:hideMark/>
          </w:tcPr>
          <w:p w14:paraId="203D2011" w14:textId="77777777" w:rsidR="000D07EA" w:rsidRDefault="00BE7C89">
            <w:pPr>
              <w:pStyle w:val="BodyText"/>
              <w:spacing w:before="100" w:after="100"/>
              <w:rPr>
                <w:b/>
                <w:lang w:val="en-AU"/>
              </w:rPr>
            </w:pPr>
            <w:r>
              <w:rPr>
                <w:b/>
                <w:lang w:val="en-AU"/>
              </w:rPr>
              <w:t>Call Type</w:t>
            </w:r>
          </w:p>
        </w:tc>
        <w:tc>
          <w:tcPr>
            <w:tcW w:w="2475" w:type="pct"/>
            <w:hideMark/>
          </w:tcPr>
          <w:p w14:paraId="6403DF80" w14:textId="77777777" w:rsidR="000D07EA" w:rsidRDefault="00BE7C89">
            <w:pPr>
              <w:pStyle w:val="BodyText"/>
              <w:spacing w:before="100" w:after="100"/>
              <w:rPr>
                <w:b/>
                <w:lang w:val="en-AU"/>
              </w:rPr>
            </w:pPr>
            <w:r>
              <w:rPr>
                <w:b/>
                <w:lang w:val="en-AU"/>
              </w:rPr>
              <w:t>Eligible Data</w:t>
            </w:r>
          </w:p>
        </w:tc>
      </w:tr>
      <w:tr w:rsidR="000D07EA" w14:paraId="39986873" w14:textId="77777777">
        <w:tc>
          <w:tcPr>
            <w:tcW w:w="2525" w:type="pct"/>
            <w:hideMark/>
          </w:tcPr>
          <w:p w14:paraId="7D099E36" w14:textId="77777777" w:rsidR="000D07EA" w:rsidRDefault="00BE7C89">
            <w:pPr>
              <w:pStyle w:val="BodyText"/>
              <w:spacing w:before="100" w:after="100"/>
              <w:rPr>
                <w:lang w:val="en-AU"/>
              </w:rPr>
            </w:pPr>
            <w:r>
              <w:rPr>
                <w:lang w:val="en-AU"/>
              </w:rPr>
              <w:t>National Voice and Video Calls</w:t>
            </w:r>
          </w:p>
        </w:tc>
        <w:tc>
          <w:tcPr>
            <w:tcW w:w="2475" w:type="pct"/>
            <w:hideMark/>
          </w:tcPr>
          <w:p w14:paraId="75077174" w14:textId="77777777" w:rsidR="000D07EA" w:rsidRDefault="00BE7C89">
            <w:pPr>
              <w:pStyle w:val="BodyText"/>
              <w:spacing w:before="100" w:after="100"/>
              <w:rPr>
                <w:lang w:val="en-AU"/>
              </w:rPr>
            </w:pPr>
            <w:r>
              <w:rPr>
                <w:lang w:val="en-AU"/>
              </w:rPr>
              <w:t>No</w:t>
            </w:r>
          </w:p>
        </w:tc>
      </w:tr>
      <w:tr w:rsidR="000D07EA" w14:paraId="731287CB" w14:textId="77777777">
        <w:tc>
          <w:tcPr>
            <w:tcW w:w="2525" w:type="pct"/>
            <w:hideMark/>
          </w:tcPr>
          <w:p w14:paraId="26EBE09E" w14:textId="77777777" w:rsidR="000D07EA" w:rsidRDefault="00BE7C89">
            <w:pPr>
              <w:pStyle w:val="BodyText"/>
              <w:spacing w:before="100" w:after="100"/>
              <w:rPr>
                <w:lang w:val="en-AU"/>
              </w:rPr>
            </w:pPr>
            <w:r>
              <w:rPr>
                <w:lang w:val="en-AU"/>
              </w:rPr>
              <w:t>International Voice and Video Calls</w:t>
            </w:r>
          </w:p>
          <w:p w14:paraId="4214C2E6" w14:textId="77777777" w:rsidR="000D07EA" w:rsidRDefault="00BE7C89">
            <w:pPr>
              <w:pStyle w:val="BodyText"/>
              <w:spacing w:before="100" w:after="100"/>
              <w:rPr>
                <w:lang w:val="en-AU"/>
              </w:rPr>
            </w:pPr>
            <w:r>
              <w:rPr>
                <w:lang w:val="en-AU"/>
              </w:rPr>
              <w:t>(including calls to national fixed or GSM mobile services that then divert/switch or re-route overseas)</w:t>
            </w:r>
          </w:p>
        </w:tc>
        <w:tc>
          <w:tcPr>
            <w:tcW w:w="2475" w:type="pct"/>
            <w:hideMark/>
          </w:tcPr>
          <w:p w14:paraId="3185BF8E" w14:textId="77777777" w:rsidR="000D07EA" w:rsidRDefault="00BE7C89">
            <w:pPr>
              <w:pStyle w:val="BodyText"/>
              <w:spacing w:before="100" w:after="100"/>
              <w:rPr>
                <w:lang w:val="en-AU"/>
              </w:rPr>
            </w:pPr>
            <w:r>
              <w:rPr>
                <w:lang w:val="en-AU"/>
              </w:rPr>
              <w:t>No</w:t>
            </w:r>
          </w:p>
        </w:tc>
      </w:tr>
      <w:tr w:rsidR="000D07EA" w14:paraId="6342F2B9" w14:textId="77777777">
        <w:tc>
          <w:tcPr>
            <w:tcW w:w="2525" w:type="pct"/>
            <w:hideMark/>
          </w:tcPr>
          <w:p w14:paraId="28F07574" w14:textId="77777777" w:rsidR="000D07EA" w:rsidRDefault="00BE7C89">
            <w:pPr>
              <w:pStyle w:val="BodyText"/>
              <w:spacing w:before="100" w:after="100"/>
              <w:rPr>
                <w:lang w:val="en-AU"/>
              </w:rPr>
            </w:pPr>
            <w:r>
              <w:rPr>
                <w:lang w:val="en-AU"/>
              </w:rPr>
              <w:t>Premium Video</w:t>
            </w:r>
          </w:p>
        </w:tc>
        <w:tc>
          <w:tcPr>
            <w:tcW w:w="2475" w:type="pct"/>
            <w:hideMark/>
          </w:tcPr>
          <w:p w14:paraId="2BD69C9D" w14:textId="77777777" w:rsidR="000D07EA" w:rsidRDefault="00BE7C89">
            <w:pPr>
              <w:pStyle w:val="BodyText"/>
              <w:spacing w:before="100" w:after="100"/>
              <w:rPr>
                <w:lang w:val="en-AU"/>
              </w:rPr>
            </w:pPr>
            <w:r>
              <w:rPr>
                <w:lang w:val="en-AU"/>
              </w:rPr>
              <w:t>No</w:t>
            </w:r>
          </w:p>
        </w:tc>
      </w:tr>
      <w:tr w:rsidR="000D07EA" w14:paraId="46222536" w14:textId="77777777">
        <w:tc>
          <w:tcPr>
            <w:tcW w:w="2525" w:type="pct"/>
            <w:hideMark/>
          </w:tcPr>
          <w:p w14:paraId="1A668C2F" w14:textId="77777777" w:rsidR="000D07EA" w:rsidRDefault="00BE7C89">
            <w:pPr>
              <w:pStyle w:val="BodyText"/>
              <w:spacing w:before="100" w:after="100"/>
              <w:rPr>
                <w:lang w:val="en-AU"/>
              </w:rPr>
            </w:pPr>
            <w:r>
              <w:rPr>
                <w:lang w:val="en-AU"/>
              </w:rPr>
              <w:t>Content Video</w:t>
            </w:r>
          </w:p>
        </w:tc>
        <w:tc>
          <w:tcPr>
            <w:tcW w:w="2475" w:type="pct"/>
            <w:hideMark/>
          </w:tcPr>
          <w:p w14:paraId="6B1CACE8" w14:textId="77777777" w:rsidR="000D07EA" w:rsidRDefault="00BE7C89">
            <w:pPr>
              <w:pStyle w:val="BodyText"/>
              <w:spacing w:before="100" w:after="100"/>
              <w:rPr>
                <w:lang w:val="en-AU"/>
              </w:rPr>
            </w:pPr>
            <w:r>
              <w:rPr>
                <w:lang w:val="en-AU"/>
              </w:rPr>
              <w:t>No</w:t>
            </w:r>
          </w:p>
        </w:tc>
      </w:tr>
      <w:tr w:rsidR="000D07EA" w14:paraId="2B31BE1B" w14:textId="77777777">
        <w:tc>
          <w:tcPr>
            <w:tcW w:w="2525" w:type="pct"/>
            <w:hideMark/>
          </w:tcPr>
          <w:p w14:paraId="26FA55DF" w14:textId="77777777" w:rsidR="000D07EA" w:rsidRDefault="00BE7C89">
            <w:pPr>
              <w:pStyle w:val="BodyText"/>
              <w:spacing w:before="100" w:after="100"/>
              <w:rPr>
                <w:lang w:val="en-AU"/>
              </w:rPr>
            </w:pPr>
            <w:r>
              <w:rPr>
                <w:lang w:val="en-AU"/>
              </w:rPr>
              <w:t>National Standard SMS</w:t>
            </w:r>
          </w:p>
        </w:tc>
        <w:tc>
          <w:tcPr>
            <w:tcW w:w="2475" w:type="pct"/>
            <w:hideMark/>
          </w:tcPr>
          <w:p w14:paraId="6CBD09E6" w14:textId="77777777" w:rsidR="000D07EA" w:rsidRDefault="00BE7C89">
            <w:pPr>
              <w:pStyle w:val="BodyText"/>
              <w:spacing w:before="100" w:after="100"/>
              <w:rPr>
                <w:lang w:val="en-AU"/>
              </w:rPr>
            </w:pPr>
            <w:r>
              <w:rPr>
                <w:lang w:val="en-AU"/>
              </w:rPr>
              <w:t>No</w:t>
            </w:r>
          </w:p>
        </w:tc>
      </w:tr>
      <w:tr w:rsidR="000D07EA" w14:paraId="5F2788EE" w14:textId="77777777">
        <w:tc>
          <w:tcPr>
            <w:tcW w:w="2525" w:type="pct"/>
            <w:hideMark/>
          </w:tcPr>
          <w:p w14:paraId="2E56EDE6" w14:textId="77777777" w:rsidR="000D07EA" w:rsidRDefault="00BE7C89">
            <w:pPr>
              <w:pStyle w:val="BodyText"/>
              <w:spacing w:before="100" w:after="100"/>
              <w:rPr>
                <w:lang w:val="en-AU"/>
              </w:rPr>
            </w:pPr>
            <w:r>
              <w:rPr>
                <w:lang w:val="en-AU"/>
              </w:rPr>
              <w:t>International SMS</w:t>
            </w:r>
          </w:p>
        </w:tc>
        <w:tc>
          <w:tcPr>
            <w:tcW w:w="2475" w:type="pct"/>
            <w:hideMark/>
          </w:tcPr>
          <w:p w14:paraId="57F14D18" w14:textId="77777777" w:rsidR="000D07EA" w:rsidRDefault="00BE7C89">
            <w:pPr>
              <w:pStyle w:val="BodyText"/>
              <w:spacing w:before="100" w:after="100"/>
              <w:rPr>
                <w:lang w:val="en-AU"/>
              </w:rPr>
            </w:pPr>
            <w:r>
              <w:rPr>
                <w:lang w:val="en-AU"/>
              </w:rPr>
              <w:t>No</w:t>
            </w:r>
          </w:p>
        </w:tc>
      </w:tr>
      <w:tr w:rsidR="000D07EA" w14:paraId="65B1DCE0" w14:textId="77777777">
        <w:tc>
          <w:tcPr>
            <w:tcW w:w="2525" w:type="pct"/>
            <w:hideMark/>
          </w:tcPr>
          <w:p w14:paraId="0ABCEBEE" w14:textId="77777777" w:rsidR="000D07EA" w:rsidRDefault="00BE7C89">
            <w:pPr>
              <w:pStyle w:val="BodyText"/>
              <w:spacing w:before="100" w:after="100"/>
              <w:rPr>
                <w:lang w:val="en-AU"/>
              </w:rPr>
            </w:pPr>
            <w:r>
              <w:rPr>
                <w:lang w:val="en-AU"/>
              </w:rPr>
              <w:lastRenderedPageBreak/>
              <w:t>Premium SMS</w:t>
            </w:r>
          </w:p>
        </w:tc>
        <w:tc>
          <w:tcPr>
            <w:tcW w:w="2475" w:type="pct"/>
            <w:hideMark/>
          </w:tcPr>
          <w:p w14:paraId="0CB3B84B" w14:textId="77777777" w:rsidR="000D07EA" w:rsidRDefault="00BE7C89">
            <w:pPr>
              <w:pStyle w:val="BodyText"/>
              <w:spacing w:before="100" w:after="100"/>
              <w:rPr>
                <w:lang w:val="en-AU"/>
              </w:rPr>
            </w:pPr>
            <w:r>
              <w:rPr>
                <w:lang w:val="en-AU"/>
              </w:rPr>
              <w:t>No</w:t>
            </w:r>
          </w:p>
        </w:tc>
      </w:tr>
      <w:tr w:rsidR="000D07EA" w14:paraId="4B21F5E8" w14:textId="77777777">
        <w:tc>
          <w:tcPr>
            <w:tcW w:w="2525" w:type="pct"/>
            <w:hideMark/>
          </w:tcPr>
          <w:p w14:paraId="73737016" w14:textId="77777777" w:rsidR="000D07EA" w:rsidRDefault="00BE7C89">
            <w:pPr>
              <w:pStyle w:val="BodyText"/>
              <w:spacing w:before="100" w:after="100"/>
              <w:rPr>
                <w:lang w:val="en-AU"/>
              </w:rPr>
            </w:pPr>
            <w:r>
              <w:rPr>
                <w:lang w:val="en-AU"/>
              </w:rPr>
              <w:t>National Standard MMS</w:t>
            </w:r>
          </w:p>
        </w:tc>
        <w:tc>
          <w:tcPr>
            <w:tcW w:w="2475" w:type="pct"/>
            <w:hideMark/>
          </w:tcPr>
          <w:p w14:paraId="2E9FFFB8" w14:textId="77777777" w:rsidR="000D07EA" w:rsidRDefault="00BE7C89">
            <w:pPr>
              <w:pStyle w:val="BodyText"/>
              <w:spacing w:before="100" w:after="100"/>
              <w:rPr>
                <w:lang w:val="en-AU"/>
              </w:rPr>
            </w:pPr>
            <w:r>
              <w:rPr>
                <w:lang w:val="en-AU"/>
              </w:rPr>
              <w:t>No</w:t>
            </w:r>
          </w:p>
        </w:tc>
      </w:tr>
      <w:tr w:rsidR="000D07EA" w14:paraId="1CC97C58" w14:textId="77777777">
        <w:tc>
          <w:tcPr>
            <w:tcW w:w="2525" w:type="pct"/>
            <w:hideMark/>
          </w:tcPr>
          <w:p w14:paraId="70E3AABB" w14:textId="77777777" w:rsidR="000D07EA" w:rsidRDefault="00BE7C89">
            <w:pPr>
              <w:pStyle w:val="BodyText"/>
              <w:spacing w:before="100" w:after="100"/>
              <w:rPr>
                <w:lang w:val="en-AU"/>
              </w:rPr>
            </w:pPr>
            <w:r>
              <w:rPr>
                <w:lang w:val="en-AU"/>
              </w:rPr>
              <w:t>International MMS</w:t>
            </w:r>
          </w:p>
        </w:tc>
        <w:tc>
          <w:tcPr>
            <w:tcW w:w="2475" w:type="pct"/>
            <w:hideMark/>
          </w:tcPr>
          <w:p w14:paraId="6919C5E3" w14:textId="77777777" w:rsidR="000D07EA" w:rsidRDefault="00BE7C89">
            <w:pPr>
              <w:pStyle w:val="BodyText"/>
              <w:spacing w:before="100" w:after="100"/>
              <w:rPr>
                <w:lang w:val="en-AU"/>
              </w:rPr>
            </w:pPr>
            <w:r>
              <w:rPr>
                <w:lang w:val="en-AU"/>
              </w:rPr>
              <w:t>No</w:t>
            </w:r>
          </w:p>
        </w:tc>
      </w:tr>
      <w:tr w:rsidR="000D07EA" w14:paraId="6839DB7A" w14:textId="77777777">
        <w:tc>
          <w:tcPr>
            <w:tcW w:w="2525" w:type="pct"/>
            <w:hideMark/>
          </w:tcPr>
          <w:p w14:paraId="78B3FE80" w14:textId="77777777" w:rsidR="000D07EA" w:rsidRDefault="00BE7C89">
            <w:pPr>
              <w:pStyle w:val="BodyText"/>
              <w:spacing w:before="100" w:after="100"/>
              <w:rPr>
                <w:lang w:val="en-AU"/>
              </w:rPr>
            </w:pPr>
            <w:r>
              <w:rPr>
                <w:lang w:val="en-AU"/>
              </w:rPr>
              <w:t>Premium MMS</w:t>
            </w:r>
          </w:p>
        </w:tc>
        <w:tc>
          <w:tcPr>
            <w:tcW w:w="2475" w:type="pct"/>
            <w:hideMark/>
          </w:tcPr>
          <w:p w14:paraId="2C378018" w14:textId="77777777" w:rsidR="000D07EA" w:rsidRDefault="00BE7C89">
            <w:pPr>
              <w:pStyle w:val="BodyText"/>
              <w:spacing w:before="100" w:after="100"/>
              <w:rPr>
                <w:lang w:val="en-AU"/>
              </w:rPr>
            </w:pPr>
            <w:r>
              <w:rPr>
                <w:lang w:val="en-AU"/>
              </w:rPr>
              <w:t>No</w:t>
            </w:r>
          </w:p>
        </w:tc>
      </w:tr>
      <w:tr w:rsidR="000D07EA" w14:paraId="4CDB31F1" w14:textId="77777777">
        <w:tc>
          <w:tcPr>
            <w:tcW w:w="2525" w:type="pct"/>
            <w:hideMark/>
          </w:tcPr>
          <w:p w14:paraId="0EA5D175" w14:textId="77777777" w:rsidR="000D07EA" w:rsidRDefault="00BE7C89">
            <w:pPr>
              <w:pStyle w:val="BodyText"/>
              <w:spacing w:before="100" w:after="100"/>
              <w:rPr>
                <w:lang w:val="en-AU"/>
              </w:rPr>
            </w:pPr>
            <w:r>
              <w:rPr>
                <w:lang w:val="en-AU"/>
              </w:rPr>
              <w:t>National Diversions</w:t>
            </w:r>
          </w:p>
        </w:tc>
        <w:tc>
          <w:tcPr>
            <w:tcW w:w="2475" w:type="pct"/>
            <w:hideMark/>
          </w:tcPr>
          <w:p w14:paraId="0A612BD5" w14:textId="77777777" w:rsidR="000D07EA" w:rsidRDefault="00BE7C89">
            <w:pPr>
              <w:pStyle w:val="BodyText"/>
              <w:spacing w:before="100" w:after="100"/>
              <w:rPr>
                <w:lang w:val="en-AU"/>
              </w:rPr>
            </w:pPr>
            <w:r>
              <w:rPr>
                <w:lang w:val="en-AU"/>
              </w:rPr>
              <w:t>No</w:t>
            </w:r>
          </w:p>
        </w:tc>
      </w:tr>
      <w:tr w:rsidR="000D07EA" w14:paraId="51E3B8A3" w14:textId="77777777">
        <w:tc>
          <w:tcPr>
            <w:tcW w:w="2525" w:type="pct"/>
            <w:hideMark/>
          </w:tcPr>
          <w:p w14:paraId="1017C0CC" w14:textId="77777777" w:rsidR="000D07EA" w:rsidRDefault="00BE7C89">
            <w:pPr>
              <w:pStyle w:val="BodyText"/>
              <w:spacing w:before="100" w:after="100"/>
              <w:rPr>
                <w:lang w:val="en-AU"/>
              </w:rPr>
            </w:pPr>
            <w:r>
              <w:rPr>
                <w:lang w:val="en-AU"/>
              </w:rPr>
              <w:t>Voicemail Deposit and Retrievals</w:t>
            </w:r>
          </w:p>
        </w:tc>
        <w:tc>
          <w:tcPr>
            <w:tcW w:w="2475" w:type="pct"/>
            <w:hideMark/>
          </w:tcPr>
          <w:p w14:paraId="7A4C0834" w14:textId="77777777" w:rsidR="000D07EA" w:rsidRDefault="00BE7C89">
            <w:pPr>
              <w:pStyle w:val="BodyText"/>
              <w:spacing w:before="100" w:after="100"/>
              <w:rPr>
                <w:lang w:val="en-AU"/>
              </w:rPr>
            </w:pPr>
            <w:r>
              <w:rPr>
                <w:lang w:val="en-AU"/>
              </w:rPr>
              <w:t>No</w:t>
            </w:r>
          </w:p>
        </w:tc>
      </w:tr>
      <w:tr w:rsidR="000D07EA" w14:paraId="72A813F6" w14:textId="77777777">
        <w:tc>
          <w:tcPr>
            <w:tcW w:w="2525" w:type="pct"/>
            <w:hideMark/>
          </w:tcPr>
          <w:p w14:paraId="282F27E6" w14:textId="77777777" w:rsidR="000D07EA" w:rsidRDefault="00BE7C89">
            <w:pPr>
              <w:pStyle w:val="BodyText"/>
              <w:spacing w:before="100" w:after="100"/>
              <w:rPr>
                <w:lang w:val="en-AU"/>
              </w:rPr>
            </w:pPr>
            <w:r>
              <w:rPr>
                <w:lang w:val="en-AU"/>
              </w:rPr>
              <w:t>International Roaming and Diversion</w:t>
            </w:r>
          </w:p>
        </w:tc>
        <w:tc>
          <w:tcPr>
            <w:tcW w:w="2475" w:type="pct"/>
            <w:hideMark/>
          </w:tcPr>
          <w:p w14:paraId="341A5E80" w14:textId="77777777" w:rsidR="000D07EA" w:rsidRDefault="00BE7C89">
            <w:pPr>
              <w:pStyle w:val="BodyText"/>
              <w:spacing w:before="100" w:after="100"/>
              <w:rPr>
                <w:lang w:val="en-AU"/>
              </w:rPr>
            </w:pPr>
            <w:r>
              <w:rPr>
                <w:lang w:val="en-AU"/>
              </w:rPr>
              <w:t>No</w:t>
            </w:r>
          </w:p>
        </w:tc>
      </w:tr>
      <w:tr w:rsidR="000D07EA" w14:paraId="347693AB" w14:textId="77777777">
        <w:tc>
          <w:tcPr>
            <w:tcW w:w="2525" w:type="pct"/>
            <w:hideMark/>
          </w:tcPr>
          <w:p w14:paraId="3512BECD" w14:textId="77777777" w:rsidR="000D07EA" w:rsidRDefault="00BE7C89">
            <w:pPr>
              <w:pStyle w:val="BodyText"/>
              <w:spacing w:before="100" w:after="100"/>
              <w:rPr>
                <w:lang w:val="en-AU"/>
              </w:rPr>
            </w:pPr>
            <w:r>
              <w:rPr>
                <w:lang w:val="en-AU"/>
              </w:rPr>
              <w:t>Video Conferencing</w:t>
            </w:r>
          </w:p>
        </w:tc>
        <w:tc>
          <w:tcPr>
            <w:tcW w:w="2475" w:type="pct"/>
            <w:hideMark/>
          </w:tcPr>
          <w:p w14:paraId="2B2E90D2" w14:textId="77777777" w:rsidR="000D07EA" w:rsidRDefault="00BE7C89">
            <w:pPr>
              <w:pStyle w:val="BodyText"/>
              <w:spacing w:before="100" w:after="100"/>
              <w:rPr>
                <w:lang w:val="en-AU"/>
              </w:rPr>
            </w:pPr>
            <w:r>
              <w:rPr>
                <w:lang w:val="en-AU"/>
              </w:rPr>
              <w:t>No</w:t>
            </w:r>
          </w:p>
        </w:tc>
      </w:tr>
      <w:tr w:rsidR="000D07EA" w14:paraId="3BD2B71D" w14:textId="77777777">
        <w:tc>
          <w:tcPr>
            <w:tcW w:w="2525" w:type="pct"/>
            <w:hideMark/>
          </w:tcPr>
          <w:p w14:paraId="440BD69F" w14:textId="77777777" w:rsidR="000D07EA" w:rsidRDefault="00BE7C89">
            <w:pPr>
              <w:pStyle w:val="BodyText"/>
              <w:spacing w:before="100" w:after="100"/>
              <w:rPr>
                <w:lang w:val="en-AU"/>
              </w:rPr>
            </w:pPr>
            <w:r>
              <w:rPr>
                <w:lang w:val="en-AU"/>
              </w:rPr>
              <w:t>BlackBerry Email</w:t>
            </w:r>
          </w:p>
        </w:tc>
        <w:tc>
          <w:tcPr>
            <w:tcW w:w="2475" w:type="pct"/>
            <w:hideMark/>
          </w:tcPr>
          <w:p w14:paraId="153560E4" w14:textId="77777777" w:rsidR="000D07EA" w:rsidRDefault="00BE7C89">
            <w:pPr>
              <w:pStyle w:val="BodyText"/>
              <w:spacing w:before="100" w:after="100"/>
              <w:rPr>
                <w:lang w:val="en-AU"/>
              </w:rPr>
            </w:pPr>
            <w:r>
              <w:rPr>
                <w:lang w:val="en-AU"/>
              </w:rPr>
              <w:t>No</w:t>
            </w:r>
          </w:p>
        </w:tc>
      </w:tr>
      <w:tr w:rsidR="000D07EA" w14:paraId="6BA3CFA8" w14:textId="77777777">
        <w:tc>
          <w:tcPr>
            <w:tcW w:w="2525" w:type="pct"/>
            <w:hideMark/>
          </w:tcPr>
          <w:p w14:paraId="1DC7946D" w14:textId="77777777" w:rsidR="000D07EA" w:rsidRDefault="00BE7C89">
            <w:pPr>
              <w:pStyle w:val="BodyText"/>
              <w:spacing w:before="100" w:after="100"/>
              <w:rPr>
                <w:lang w:val="en-AU"/>
              </w:rPr>
            </w:pPr>
            <w:r>
              <w:rPr>
                <w:lang w:val="en-AU"/>
              </w:rPr>
              <w:t>Optus Zoo Browsing*</w:t>
            </w:r>
          </w:p>
        </w:tc>
        <w:tc>
          <w:tcPr>
            <w:tcW w:w="2475" w:type="pct"/>
            <w:hideMark/>
          </w:tcPr>
          <w:p w14:paraId="0C95D89E" w14:textId="77777777" w:rsidR="000D07EA" w:rsidRDefault="00BE7C89">
            <w:pPr>
              <w:pStyle w:val="BodyText"/>
              <w:spacing w:before="100" w:after="100"/>
              <w:rPr>
                <w:lang w:val="en-AU"/>
              </w:rPr>
            </w:pPr>
            <w:r>
              <w:rPr>
                <w:lang w:val="en-AU"/>
              </w:rPr>
              <w:t>Yes, up to the monthly included data amount specified in Table 3A.</w:t>
            </w:r>
          </w:p>
        </w:tc>
      </w:tr>
      <w:tr w:rsidR="000D07EA" w14:paraId="1CC7CEE8" w14:textId="77777777">
        <w:tc>
          <w:tcPr>
            <w:tcW w:w="2525" w:type="pct"/>
            <w:hideMark/>
          </w:tcPr>
          <w:p w14:paraId="06624AF5" w14:textId="77777777" w:rsidR="000D07EA" w:rsidRDefault="00BE7C89">
            <w:pPr>
              <w:pStyle w:val="BodyText"/>
              <w:spacing w:before="100" w:after="100"/>
              <w:rPr>
                <w:lang w:val="en-AU"/>
              </w:rPr>
            </w:pPr>
            <w:r>
              <w:rPr>
                <w:lang w:val="en-AU"/>
              </w:rPr>
              <w:t>Optus Zoo Downloads</w:t>
            </w:r>
          </w:p>
        </w:tc>
        <w:tc>
          <w:tcPr>
            <w:tcW w:w="2475" w:type="pct"/>
            <w:hideMark/>
          </w:tcPr>
          <w:p w14:paraId="03E25447" w14:textId="77777777" w:rsidR="000D07EA" w:rsidRDefault="00BE7C89">
            <w:pPr>
              <w:pStyle w:val="BodyText"/>
              <w:spacing w:before="100" w:after="100"/>
              <w:rPr>
                <w:lang w:val="en-AU"/>
              </w:rPr>
            </w:pPr>
            <w:r>
              <w:rPr>
                <w:lang w:val="en-AU"/>
              </w:rPr>
              <w:t>No</w:t>
            </w:r>
          </w:p>
        </w:tc>
      </w:tr>
      <w:tr w:rsidR="000D07EA" w14:paraId="5F11BA7D" w14:textId="77777777">
        <w:tc>
          <w:tcPr>
            <w:tcW w:w="2525" w:type="pct"/>
            <w:hideMark/>
          </w:tcPr>
          <w:p w14:paraId="38596D14" w14:textId="77777777" w:rsidR="000D07EA" w:rsidRDefault="00BE7C89">
            <w:pPr>
              <w:pStyle w:val="BodyText"/>
              <w:spacing w:before="100" w:after="100"/>
              <w:rPr>
                <w:lang w:val="en-AU"/>
              </w:rPr>
            </w:pPr>
            <w:r>
              <w:rPr>
                <w:lang w:val="en-AU"/>
              </w:rPr>
              <w:t>SMS to 966 (Zoo)</w:t>
            </w:r>
          </w:p>
        </w:tc>
        <w:tc>
          <w:tcPr>
            <w:tcW w:w="2475" w:type="pct"/>
            <w:hideMark/>
          </w:tcPr>
          <w:p w14:paraId="59BA6717" w14:textId="77777777" w:rsidR="000D07EA" w:rsidRDefault="00BE7C89">
            <w:pPr>
              <w:pStyle w:val="BodyText"/>
              <w:spacing w:before="100" w:after="100"/>
              <w:rPr>
                <w:lang w:val="en-AU"/>
              </w:rPr>
            </w:pPr>
            <w:r>
              <w:rPr>
                <w:lang w:val="en-AU"/>
              </w:rPr>
              <w:t>No</w:t>
            </w:r>
          </w:p>
        </w:tc>
      </w:tr>
      <w:tr w:rsidR="000D07EA" w14:paraId="6FF8A87F" w14:textId="77777777">
        <w:tc>
          <w:tcPr>
            <w:tcW w:w="2525" w:type="pct"/>
            <w:hideMark/>
          </w:tcPr>
          <w:p w14:paraId="462C4525" w14:textId="77777777" w:rsidR="000D07EA" w:rsidRDefault="00BE7C89">
            <w:pPr>
              <w:pStyle w:val="BodyText"/>
              <w:spacing w:before="100" w:after="100"/>
              <w:rPr>
                <w:lang w:val="en-AU"/>
              </w:rPr>
            </w:pPr>
            <w:r>
              <w:rPr>
                <w:lang w:val="en-AU"/>
              </w:rPr>
              <w:t>Mobile Internet usage*</w:t>
            </w:r>
          </w:p>
        </w:tc>
        <w:tc>
          <w:tcPr>
            <w:tcW w:w="2475" w:type="pct"/>
            <w:hideMark/>
          </w:tcPr>
          <w:p w14:paraId="2B658053" w14:textId="77777777" w:rsidR="000D07EA" w:rsidRDefault="00BE7C89">
            <w:pPr>
              <w:pStyle w:val="BodyText"/>
              <w:spacing w:before="100" w:after="100"/>
              <w:rPr>
                <w:lang w:val="en-AU"/>
              </w:rPr>
            </w:pPr>
            <w:r>
              <w:rPr>
                <w:lang w:val="en-AU"/>
              </w:rPr>
              <w:t>Yes, up to the monthly included data amount specified in Table 3A.</w:t>
            </w:r>
          </w:p>
        </w:tc>
      </w:tr>
      <w:tr w:rsidR="000D07EA" w14:paraId="05F472CD" w14:textId="77777777">
        <w:tc>
          <w:tcPr>
            <w:tcW w:w="2525" w:type="pct"/>
            <w:hideMark/>
          </w:tcPr>
          <w:p w14:paraId="316500C1" w14:textId="77777777" w:rsidR="000D07EA" w:rsidRDefault="00BE7C89">
            <w:pPr>
              <w:pStyle w:val="BodyText"/>
              <w:spacing w:before="100" w:after="100"/>
              <w:rPr>
                <w:lang w:val="en-AU"/>
              </w:rPr>
            </w:pPr>
            <w:r>
              <w:rPr>
                <w:lang w:val="en-AU"/>
              </w:rPr>
              <w:t>Mobile as Modem</w:t>
            </w:r>
          </w:p>
        </w:tc>
        <w:tc>
          <w:tcPr>
            <w:tcW w:w="2475" w:type="pct"/>
            <w:hideMark/>
          </w:tcPr>
          <w:p w14:paraId="0ADAC641" w14:textId="77777777" w:rsidR="000D07EA" w:rsidRDefault="00BE7C89">
            <w:pPr>
              <w:pStyle w:val="BodyText"/>
              <w:spacing w:before="100" w:after="100"/>
              <w:rPr>
                <w:lang w:val="en-AU"/>
              </w:rPr>
            </w:pPr>
            <w:r>
              <w:rPr>
                <w:lang w:val="en-AU"/>
              </w:rPr>
              <w:t>Yes</w:t>
            </w:r>
          </w:p>
        </w:tc>
      </w:tr>
      <w:tr w:rsidR="000D07EA" w14:paraId="35987461" w14:textId="77777777">
        <w:tc>
          <w:tcPr>
            <w:tcW w:w="2525" w:type="pct"/>
            <w:hideMark/>
          </w:tcPr>
          <w:p w14:paraId="0DE4C505" w14:textId="77777777" w:rsidR="000D07EA" w:rsidRDefault="00BE7C89">
            <w:pPr>
              <w:pStyle w:val="BodyText"/>
              <w:spacing w:before="100" w:after="100"/>
              <w:rPr>
                <w:lang w:val="en-AU"/>
              </w:rPr>
            </w:pPr>
            <w:r>
              <w:rPr>
                <w:lang w:val="en-AU"/>
              </w:rPr>
              <w:t>Data Used while Roaming Internationally</w:t>
            </w:r>
          </w:p>
        </w:tc>
        <w:tc>
          <w:tcPr>
            <w:tcW w:w="2475" w:type="pct"/>
            <w:hideMark/>
          </w:tcPr>
          <w:p w14:paraId="1C66FA2E" w14:textId="77777777" w:rsidR="000D07EA" w:rsidRDefault="00BE7C89">
            <w:pPr>
              <w:pStyle w:val="BodyText"/>
              <w:spacing w:before="100" w:after="100"/>
              <w:rPr>
                <w:lang w:val="en-AU"/>
              </w:rPr>
            </w:pPr>
            <w:r>
              <w:rPr>
                <w:lang w:val="en-AU"/>
              </w:rPr>
              <w:t>No</w:t>
            </w:r>
          </w:p>
        </w:tc>
      </w:tr>
      <w:tr w:rsidR="000D07EA" w14:paraId="7B376A1C" w14:textId="77777777">
        <w:tc>
          <w:tcPr>
            <w:tcW w:w="2525" w:type="pct"/>
            <w:hideMark/>
          </w:tcPr>
          <w:p w14:paraId="34B57386" w14:textId="77777777" w:rsidR="000D07EA" w:rsidRDefault="00BE7C89">
            <w:pPr>
              <w:pStyle w:val="BodyText"/>
              <w:spacing w:before="100" w:after="100"/>
              <w:rPr>
                <w:lang w:val="en-AU"/>
              </w:rPr>
            </w:pPr>
            <w:r>
              <w:rPr>
                <w:lang w:val="en-AU"/>
              </w:rPr>
              <w:t xml:space="preserve">Content Packs </w:t>
            </w:r>
          </w:p>
        </w:tc>
        <w:tc>
          <w:tcPr>
            <w:tcW w:w="2475" w:type="pct"/>
            <w:hideMark/>
          </w:tcPr>
          <w:p w14:paraId="301D9DB1" w14:textId="77777777" w:rsidR="000D07EA" w:rsidRDefault="00BE7C89">
            <w:pPr>
              <w:pStyle w:val="BodyText"/>
              <w:spacing w:before="100" w:after="100"/>
              <w:rPr>
                <w:lang w:val="en-AU"/>
              </w:rPr>
            </w:pPr>
            <w:r>
              <w:rPr>
                <w:lang w:val="en-AU"/>
              </w:rPr>
              <w:t>No</w:t>
            </w:r>
          </w:p>
        </w:tc>
      </w:tr>
      <w:tr w:rsidR="000D07EA" w14:paraId="0BF55BD0" w14:textId="77777777">
        <w:tc>
          <w:tcPr>
            <w:tcW w:w="2525" w:type="pct"/>
            <w:hideMark/>
          </w:tcPr>
          <w:p w14:paraId="17EEBA12" w14:textId="77777777" w:rsidR="000D07EA" w:rsidRDefault="00BE7C89">
            <w:pPr>
              <w:pStyle w:val="BodyText"/>
              <w:spacing w:before="100" w:after="100"/>
              <w:rPr>
                <w:lang w:val="en-AU"/>
              </w:rPr>
            </w:pPr>
            <w:r>
              <w:rPr>
                <w:lang w:val="en-AU"/>
              </w:rPr>
              <w:t>TrueLocal Usage</w:t>
            </w:r>
          </w:p>
        </w:tc>
        <w:tc>
          <w:tcPr>
            <w:tcW w:w="2475" w:type="pct"/>
            <w:hideMark/>
          </w:tcPr>
          <w:p w14:paraId="3C650ECB" w14:textId="77777777" w:rsidR="000D07EA" w:rsidRDefault="00BE7C89">
            <w:pPr>
              <w:pStyle w:val="BodyText"/>
              <w:spacing w:before="100" w:after="100"/>
              <w:rPr>
                <w:lang w:val="en-AU"/>
              </w:rPr>
            </w:pPr>
            <w:r>
              <w:rPr>
                <w:lang w:val="en-AU"/>
              </w:rPr>
              <w:t>No</w:t>
            </w:r>
          </w:p>
        </w:tc>
      </w:tr>
      <w:tr w:rsidR="000D07EA" w14:paraId="500C2623" w14:textId="77777777">
        <w:tc>
          <w:tcPr>
            <w:tcW w:w="2525" w:type="pct"/>
            <w:hideMark/>
          </w:tcPr>
          <w:p w14:paraId="5ECFFAC6" w14:textId="77777777" w:rsidR="000D07EA" w:rsidRDefault="00BE7C89">
            <w:pPr>
              <w:pStyle w:val="BodyText"/>
              <w:spacing w:before="100" w:after="100"/>
              <w:rPr>
                <w:lang w:val="en-AU"/>
              </w:rPr>
            </w:pPr>
            <w:r>
              <w:rPr>
                <w:lang w:val="en-AU"/>
              </w:rPr>
              <w:t xml:space="preserve">Directory Assistance- 1223 </w:t>
            </w:r>
          </w:p>
        </w:tc>
        <w:tc>
          <w:tcPr>
            <w:tcW w:w="2475" w:type="pct"/>
            <w:hideMark/>
          </w:tcPr>
          <w:p w14:paraId="6BD47151" w14:textId="77777777" w:rsidR="000D07EA" w:rsidRDefault="00BE7C89">
            <w:pPr>
              <w:pStyle w:val="BodyText"/>
              <w:spacing w:before="100" w:after="100"/>
              <w:rPr>
                <w:lang w:val="en-AU"/>
              </w:rPr>
            </w:pPr>
            <w:r>
              <w:rPr>
                <w:lang w:val="en-AU"/>
              </w:rPr>
              <w:t>No</w:t>
            </w:r>
          </w:p>
        </w:tc>
      </w:tr>
      <w:tr w:rsidR="000D07EA" w14:paraId="2DA58466" w14:textId="77777777">
        <w:tc>
          <w:tcPr>
            <w:tcW w:w="2525" w:type="pct"/>
            <w:hideMark/>
          </w:tcPr>
          <w:p w14:paraId="7D1FF456" w14:textId="77777777" w:rsidR="000D07EA" w:rsidRDefault="00BE7C89">
            <w:pPr>
              <w:pStyle w:val="BodyText"/>
              <w:spacing w:before="100" w:after="100"/>
              <w:rPr>
                <w:lang w:val="en-AU"/>
              </w:rPr>
            </w:pPr>
            <w:r>
              <w:rPr>
                <w:lang w:val="en-AU"/>
              </w:rPr>
              <w:t>19XX Numbers</w:t>
            </w:r>
          </w:p>
        </w:tc>
        <w:tc>
          <w:tcPr>
            <w:tcW w:w="2475" w:type="pct"/>
            <w:hideMark/>
          </w:tcPr>
          <w:p w14:paraId="4DED8F76" w14:textId="77777777" w:rsidR="000D07EA" w:rsidRDefault="00BE7C89">
            <w:pPr>
              <w:pStyle w:val="BodyText"/>
              <w:spacing w:before="100" w:after="100"/>
              <w:rPr>
                <w:lang w:val="en-AU"/>
              </w:rPr>
            </w:pPr>
            <w:r>
              <w:rPr>
                <w:lang w:val="en-AU"/>
              </w:rPr>
              <w:t>No</w:t>
            </w:r>
          </w:p>
        </w:tc>
      </w:tr>
      <w:tr w:rsidR="000D07EA" w14:paraId="73D165A7" w14:textId="77777777">
        <w:tc>
          <w:tcPr>
            <w:tcW w:w="2525" w:type="pct"/>
            <w:hideMark/>
          </w:tcPr>
          <w:p w14:paraId="41D5116D" w14:textId="77777777" w:rsidR="000D07EA" w:rsidRDefault="00BE7C89">
            <w:pPr>
              <w:pStyle w:val="BodyText"/>
              <w:spacing w:before="100" w:after="100"/>
              <w:rPr>
                <w:lang w:val="en-AU"/>
              </w:rPr>
            </w:pPr>
            <w:r>
              <w:rPr>
                <w:lang w:val="en-AU"/>
              </w:rPr>
              <w:t>1800, 13 and 1300 numbers</w:t>
            </w:r>
          </w:p>
        </w:tc>
        <w:tc>
          <w:tcPr>
            <w:tcW w:w="2475" w:type="pct"/>
            <w:hideMark/>
          </w:tcPr>
          <w:p w14:paraId="260A4A4E" w14:textId="77777777" w:rsidR="000D07EA" w:rsidRDefault="00BE7C89">
            <w:pPr>
              <w:pStyle w:val="BodyText"/>
              <w:spacing w:before="100" w:after="100"/>
              <w:rPr>
                <w:lang w:val="en-AU"/>
              </w:rPr>
            </w:pPr>
            <w:r>
              <w:rPr>
                <w:lang w:val="en-AU"/>
              </w:rPr>
              <w:t>No</w:t>
            </w:r>
          </w:p>
        </w:tc>
      </w:tr>
      <w:tr w:rsidR="000D07EA" w14:paraId="5BF21EB5" w14:textId="77777777">
        <w:tc>
          <w:tcPr>
            <w:tcW w:w="2525" w:type="pct"/>
            <w:hideMark/>
          </w:tcPr>
          <w:p w14:paraId="4335B745" w14:textId="77777777" w:rsidR="000D07EA" w:rsidRDefault="00BE7C89">
            <w:pPr>
              <w:pStyle w:val="BodyText"/>
              <w:spacing w:before="100" w:after="100"/>
              <w:rPr>
                <w:lang w:val="en-AU"/>
              </w:rPr>
            </w:pPr>
            <w:r>
              <w:rPr>
                <w:lang w:val="en-AU"/>
              </w:rPr>
              <w:t>124YES(937)</w:t>
            </w:r>
          </w:p>
        </w:tc>
        <w:tc>
          <w:tcPr>
            <w:tcW w:w="2475" w:type="pct"/>
            <w:hideMark/>
          </w:tcPr>
          <w:p w14:paraId="7EC4B8CA" w14:textId="77777777" w:rsidR="000D07EA" w:rsidRDefault="00BE7C89">
            <w:pPr>
              <w:pStyle w:val="BodyText"/>
              <w:spacing w:before="100" w:after="100"/>
              <w:rPr>
                <w:lang w:val="en-AU"/>
              </w:rPr>
            </w:pPr>
            <w:r>
              <w:rPr>
                <w:lang w:val="en-AU"/>
              </w:rPr>
              <w:t>No</w:t>
            </w:r>
          </w:p>
        </w:tc>
      </w:tr>
      <w:tr w:rsidR="000D07EA" w14:paraId="41AC8681" w14:textId="77777777">
        <w:tc>
          <w:tcPr>
            <w:tcW w:w="2525" w:type="pct"/>
            <w:hideMark/>
          </w:tcPr>
          <w:p w14:paraId="7290F35F" w14:textId="77777777" w:rsidR="000D07EA" w:rsidRDefault="00BE7C89">
            <w:pPr>
              <w:pStyle w:val="BodyText"/>
              <w:spacing w:before="100" w:after="100"/>
              <w:rPr>
                <w:lang w:val="en-AU"/>
              </w:rPr>
            </w:pPr>
            <w:r>
              <w:rPr>
                <w:lang w:val="en-AU"/>
              </w:rPr>
              <w:t>Insurance</w:t>
            </w:r>
          </w:p>
        </w:tc>
        <w:tc>
          <w:tcPr>
            <w:tcW w:w="2475" w:type="pct"/>
            <w:hideMark/>
          </w:tcPr>
          <w:p w14:paraId="3DD579C0" w14:textId="77777777" w:rsidR="000D07EA" w:rsidRDefault="00BE7C89">
            <w:pPr>
              <w:pStyle w:val="BodyText"/>
              <w:spacing w:before="100" w:after="100"/>
              <w:rPr>
                <w:lang w:val="en-AU"/>
              </w:rPr>
            </w:pPr>
            <w:r>
              <w:rPr>
                <w:lang w:val="en-AU"/>
              </w:rPr>
              <w:t>No</w:t>
            </w:r>
          </w:p>
        </w:tc>
      </w:tr>
      <w:tr w:rsidR="000D07EA" w14:paraId="130C346F" w14:textId="77777777">
        <w:tc>
          <w:tcPr>
            <w:tcW w:w="2525" w:type="pct"/>
            <w:hideMark/>
          </w:tcPr>
          <w:p w14:paraId="12B0CED8" w14:textId="77777777" w:rsidR="000D07EA" w:rsidRDefault="00BE7C89">
            <w:pPr>
              <w:pStyle w:val="BodyText"/>
              <w:spacing w:before="100" w:after="100"/>
              <w:rPr>
                <w:lang w:val="en-AU"/>
              </w:rPr>
            </w:pPr>
            <w:r>
              <w:rPr>
                <w:lang w:val="en-AU"/>
              </w:rPr>
              <w:t>Handset Payments</w:t>
            </w:r>
          </w:p>
        </w:tc>
        <w:tc>
          <w:tcPr>
            <w:tcW w:w="2475" w:type="pct"/>
            <w:hideMark/>
          </w:tcPr>
          <w:p w14:paraId="23FBEEFD" w14:textId="77777777" w:rsidR="000D07EA" w:rsidRDefault="00BE7C89">
            <w:pPr>
              <w:pStyle w:val="BodyText"/>
              <w:spacing w:before="100" w:after="100"/>
              <w:rPr>
                <w:lang w:val="en-AU"/>
              </w:rPr>
            </w:pPr>
            <w:r>
              <w:rPr>
                <w:lang w:val="en-AU"/>
              </w:rPr>
              <w:t>No</w:t>
            </w:r>
          </w:p>
        </w:tc>
      </w:tr>
      <w:tr w:rsidR="000D07EA" w14:paraId="719E1DF3" w14:textId="77777777">
        <w:tc>
          <w:tcPr>
            <w:tcW w:w="2525" w:type="pct"/>
            <w:hideMark/>
          </w:tcPr>
          <w:p w14:paraId="5644359A" w14:textId="77777777" w:rsidR="000D07EA" w:rsidRDefault="00BE7C89">
            <w:pPr>
              <w:pStyle w:val="BodyText"/>
              <w:spacing w:before="100" w:after="100"/>
              <w:rPr>
                <w:lang w:val="en-AU"/>
              </w:rPr>
            </w:pPr>
            <w:r>
              <w:rPr>
                <w:lang w:val="en-AU"/>
              </w:rPr>
              <w:t>Calls to Satellite</w:t>
            </w:r>
          </w:p>
        </w:tc>
        <w:tc>
          <w:tcPr>
            <w:tcW w:w="2475" w:type="pct"/>
            <w:hideMark/>
          </w:tcPr>
          <w:p w14:paraId="11C94664" w14:textId="77777777" w:rsidR="000D07EA" w:rsidRDefault="00BE7C89">
            <w:pPr>
              <w:pStyle w:val="BodyText"/>
              <w:spacing w:before="100" w:after="100"/>
              <w:rPr>
                <w:lang w:val="en-AU"/>
              </w:rPr>
            </w:pPr>
            <w:r>
              <w:rPr>
                <w:lang w:val="en-AU"/>
              </w:rPr>
              <w:t>No</w:t>
            </w:r>
          </w:p>
        </w:tc>
      </w:tr>
      <w:tr w:rsidR="000D07EA" w14:paraId="54EF6107" w14:textId="77777777">
        <w:tc>
          <w:tcPr>
            <w:tcW w:w="2525" w:type="pct"/>
            <w:hideMark/>
          </w:tcPr>
          <w:p w14:paraId="59EFF93F" w14:textId="77777777" w:rsidR="000D07EA" w:rsidRDefault="00BE7C89">
            <w:pPr>
              <w:pStyle w:val="BodyText"/>
              <w:spacing w:before="100" w:after="100"/>
              <w:rPr>
                <w:lang w:val="en-AU"/>
              </w:rPr>
            </w:pPr>
            <w:r>
              <w:rPr>
                <w:lang w:val="en-AU"/>
              </w:rPr>
              <w:t>VOIP services</w:t>
            </w:r>
          </w:p>
        </w:tc>
        <w:tc>
          <w:tcPr>
            <w:tcW w:w="2475" w:type="pct"/>
            <w:hideMark/>
          </w:tcPr>
          <w:p w14:paraId="6639DD65" w14:textId="77777777" w:rsidR="000D07EA" w:rsidRDefault="00BE7C89">
            <w:pPr>
              <w:pStyle w:val="BodyText"/>
              <w:spacing w:before="100" w:after="100"/>
              <w:rPr>
                <w:lang w:val="en-AU"/>
              </w:rPr>
            </w:pPr>
            <w:r>
              <w:rPr>
                <w:lang w:val="en-AU"/>
              </w:rPr>
              <w:t>No</w:t>
            </w:r>
          </w:p>
        </w:tc>
      </w:tr>
      <w:tr w:rsidR="000D07EA" w14:paraId="56AAD1AC" w14:textId="77777777">
        <w:tc>
          <w:tcPr>
            <w:tcW w:w="2525" w:type="pct"/>
            <w:hideMark/>
          </w:tcPr>
          <w:p w14:paraId="7E6A349D" w14:textId="77777777" w:rsidR="000D07EA" w:rsidRDefault="00BE7C89">
            <w:pPr>
              <w:pStyle w:val="BodyText"/>
              <w:spacing w:before="100" w:after="100"/>
              <w:rPr>
                <w:lang w:val="en-AU"/>
              </w:rPr>
            </w:pPr>
            <w:r>
              <w:rPr>
                <w:lang w:val="en-AU"/>
              </w:rPr>
              <w:t>Surepage</w:t>
            </w:r>
          </w:p>
        </w:tc>
        <w:tc>
          <w:tcPr>
            <w:tcW w:w="2475" w:type="pct"/>
            <w:hideMark/>
          </w:tcPr>
          <w:p w14:paraId="4B715A87" w14:textId="77777777" w:rsidR="000D07EA" w:rsidRDefault="00BE7C89">
            <w:pPr>
              <w:pStyle w:val="BodyText"/>
              <w:spacing w:before="100" w:after="100"/>
              <w:rPr>
                <w:lang w:val="en-AU"/>
              </w:rPr>
            </w:pPr>
            <w:r>
              <w:rPr>
                <w:lang w:val="en-AU"/>
              </w:rPr>
              <w:t>No</w:t>
            </w:r>
          </w:p>
        </w:tc>
      </w:tr>
    </w:tbl>
    <w:p w14:paraId="723A8B26" w14:textId="77777777" w:rsidR="000D07EA" w:rsidRDefault="000D07EA">
      <w:pPr>
        <w:pStyle w:val="BodyText"/>
      </w:pPr>
    </w:p>
    <w:p w14:paraId="4AF91E93" w14:textId="77777777" w:rsidR="000D07EA" w:rsidRDefault="00BE7C89">
      <w:pPr>
        <w:pStyle w:val="BodyText"/>
        <w:keepNext/>
        <w:ind w:left="1440"/>
        <w:rPr>
          <w:b/>
        </w:rPr>
      </w:pPr>
      <w:r>
        <w:rPr>
          <w:b/>
        </w:rPr>
        <w:lastRenderedPageBreak/>
        <w:t>Table 2B – Eligible for Unlimited BlackBerry POP3 Email &amp; Browsing</w:t>
      </w:r>
    </w:p>
    <w:tbl>
      <w:tblPr>
        <w:tblW w:w="4297"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422"/>
        <w:gridCol w:w="4334"/>
      </w:tblGrid>
      <w:tr w:rsidR="000D07EA" w14:paraId="3AEC18A6" w14:textId="77777777">
        <w:trPr>
          <w:tblHeader/>
        </w:trPr>
        <w:tc>
          <w:tcPr>
            <w:tcW w:w="2525" w:type="pct"/>
            <w:hideMark/>
          </w:tcPr>
          <w:p w14:paraId="5216CB49" w14:textId="77777777" w:rsidR="000D07EA" w:rsidRDefault="00BE7C89">
            <w:pPr>
              <w:pStyle w:val="BodyText"/>
              <w:keepNext/>
              <w:spacing w:before="100" w:after="100"/>
              <w:jc w:val="center"/>
              <w:rPr>
                <w:b/>
                <w:snapToGrid w:val="0"/>
                <w:lang w:val="en-AU" w:eastAsia="en-AU"/>
              </w:rPr>
            </w:pPr>
            <w:r>
              <w:rPr>
                <w:b/>
                <w:snapToGrid w:val="0"/>
                <w:lang w:val="en-AU" w:eastAsia="en-AU"/>
              </w:rPr>
              <w:t>Call Type</w:t>
            </w:r>
          </w:p>
        </w:tc>
        <w:tc>
          <w:tcPr>
            <w:tcW w:w="2475" w:type="pct"/>
            <w:hideMark/>
          </w:tcPr>
          <w:p w14:paraId="4F81A036" w14:textId="77777777" w:rsidR="000D07EA" w:rsidRDefault="00BE7C89">
            <w:pPr>
              <w:pStyle w:val="BodyText"/>
              <w:keepNext/>
              <w:spacing w:before="100" w:after="100"/>
              <w:jc w:val="center"/>
              <w:rPr>
                <w:b/>
                <w:snapToGrid w:val="0"/>
                <w:lang w:val="en-AU" w:eastAsia="en-AU"/>
              </w:rPr>
            </w:pPr>
            <w:r>
              <w:rPr>
                <w:b/>
                <w:snapToGrid w:val="0"/>
                <w:lang w:val="en-AU" w:eastAsia="en-AU"/>
              </w:rPr>
              <w:t>Eligible Data</w:t>
            </w:r>
          </w:p>
        </w:tc>
      </w:tr>
      <w:tr w:rsidR="000D07EA" w14:paraId="067A0E5B" w14:textId="77777777">
        <w:tc>
          <w:tcPr>
            <w:tcW w:w="2525" w:type="pct"/>
            <w:hideMark/>
          </w:tcPr>
          <w:p w14:paraId="0E7A7AC4" w14:textId="77777777" w:rsidR="000D07EA" w:rsidRDefault="00BE7C89">
            <w:pPr>
              <w:pStyle w:val="BodyText"/>
              <w:spacing w:before="100" w:after="100"/>
              <w:jc w:val="center"/>
              <w:rPr>
                <w:snapToGrid w:val="0"/>
                <w:lang w:val="en-AU" w:eastAsia="en-AU"/>
              </w:rPr>
            </w:pPr>
            <w:r>
              <w:rPr>
                <w:snapToGrid w:val="0"/>
                <w:lang w:val="en-AU" w:eastAsia="en-AU"/>
              </w:rPr>
              <w:t>BlackBerry Email (POP3)</w:t>
            </w:r>
          </w:p>
        </w:tc>
        <w:tc>
          <w:tcPr>
            <w:tcW w:w="2475" w:type="pct"/>
            <w:hideMark/>
          </w:tcPr>
          <w:p w14:paraId="0BC4583F" w14:textId="77777777" w:rsidR="000D07EA" w:rsidRDefault="00BE7C89">
            <w:pPr>
              <w:pStyle w:val="BodyText"/>
              <w:spacing w:before="100" w:after="100"/>
              <w:jc w:val="center"/>
              <w:rPr>
                <w:b/>
                <w:snapToGrid w:val="0"/>
                <w:lang w:val="en-AU" w:eastAsia="en-AU"/>
              </w:rPr>
            </w:pPr>
            <w:r>
              <w:rPr>
                <w:b/>
                <w:snapToGrid w:val="0"/>
                <w:lang w:val="en-AU" w:eastAsia="en-AU"/>
              </w:rPr>
              <w:t>Yes</w:t>
            </w:r>
          </w:p>
        </w:tc>
      </w:tr>
      <w:tr w:rsidR="000D07EA" w14:paraId="30A0DB80" w14:textId="77777777">
        <w:tc>
          <w:tcPr>
            <w:tcW w:w="2525" w:type="pct"/>
            <w:hideMark/>
          </w:tcPr>
          <w:p w14:paraId="138565A5" w14:textId="77777777" w:rsidR="000D07EA" w:rsidRDefault="00BE7C89">
            <w:pPr>
              <w:pStyle w:val="BodyText"/>
              <w:spacing w:before="100" w:after="100"/>
              <w:jc w:val="center"/>
              <w:rPr>
                <w:snapToGrid w:val="0"/>
                <w:lang w:val="en-AU" w:eastAsia="en-AU"/>
              </w:rPr>
            </w:pPr>
            <w:r>
              <w:rPr>
                <w:snapToGrid w:val="0"/>
                <w:lang w:val="en-AU" w:eastAsia="en-AU"/>
              </w:rPr>
              <w:t>Internet Browsing through the BlackBerry Browser and/or the BlackBerry Internet Browser</w:t>
            </w:r>
          </w:p>
        </w:tc>
        <w:tc>
          <w:tcPr>
            <w:tcW w:w="2475" w:type="pct"/>
            <w:hideMark/>
          </w:tcPr>
          <w:p w14:paraId="7F992156" w14:textId="77777777" w:rsidR="000D07EA" w:rsidRDefault="00BE7C89">
            <w:pPr>
              <w:pStyle w:val="BodyText"/>
              <w:spacing w:before="100" w:after="100"/>
              <w:jc w:val="center"/>
              <w:rPr>
                <w:b/>
                <w:snapToGrid w:val="0"/>
                <w:lang w:val="en-AU" w:eastAsia="en-AU"/>
              </w:rPr>
            </w:pPr>
            <w:r>
              <w:rPr>
                <w:b/>
                <w:snapToGrid w:val="0"/>
                <w:lang w:val="en-AU" w:eastAsia="en-AU"/>
              </w:rPr>
              <w:t>Yes</w:t>
            </w:r>
          </w:p>
        </w:tc>
      </w:tr>
      <w:tr w:rsidR="000D07EA" w14:paraId="633A6A55" w14:textId="77777777">
        <w:tc>
          <w:tcPr>
            <w:tcW w:w="2525" w:type="pct"/>
            <w:hideMark/>
          </w:tcPr>
          <w:p w14:paraId="26118FB3" w14:textId="77777777" w:rsidR="000D07EA" w:rsidRDefault="00BE7C89">
            <w:pPr>
              <w:pStyle w:val="BodyText"/>
              <w:spacing w:before="100" w:after="100"/>
              <w:jc w:val="center"/>
              <w:rPr>
                <w:snapToGrid w:val="0"/>
                <w:lang w:val="en-AU" w:eastAsia="en-AU"/>
              </w:rPr>
            </w:pPr>
            <w:r>
              <w:rPr>
                <w:snapToGrid w:val="0"/>
                <w:lang w:val="en-AU" w:eastAsia="en-AU"/>
              </w:rPr>
              <w:t>Optus Zoo downloads and subscriptions</w:t>
            </w:r>
          </w:p>
        </w:tc>
        <w:tc>
          <w:tcPr>
            <w:tcW w:w="2475" w:type="pct"/>
            <w:hideMark/>
          </w:tcPr>
          <w:p w14:paraId="0AC28379" w14:textId="77777777" w:rsidR="000D07EA" w:rsidRDefault="00BE7C89">
            <w:pPr>
              <w:pStyle w:val="BodyText"/>
              <w:spacing w:before="100" w:after="100"/>
              <w:jc w:val="center"/>
              <w:rPr>
                <w:b/>
                <w:lang w:val="en-AU" w:eastAsia="en-AU"/>
              </w:rPr>
            </w:pPr>
            <w:r>
              <w:rPr>
                <w:b/>
                <w:snapToGrid w:val="0"/>
                <w:lang w:val="en-AU" w:eastAsia="en-AU"/>
              </w:rPr>
              <w:t>No</w:t>
            </w:r>
          </w:p>
        </w:tc>
      </w:tr>
      <w:tr w:rsidR="000D07EA" w14:paraId="222C4C18" w14:textId="77777777">
        <w:tc>
          <w:tcPr>
            <w:tcW w:w="2525" w:type="pct"/>
            <w:hideMark/>
          </w:tcPr>
          <w:p w14:paraId="530E339E" w14:textId="77777777" w:rsidR="000D07EA" w:rsidRDefault="00BE7C89">
            <w:pPr>
              <w:pStyle w:val="BodyText"/>
              <w:spacing w:before="100" w:after="100"/>
              <w:jc w:val="center"/>
              <w:rPr>
                <w:snapToGrid w:val="0"/>
                <w:lang w:val="en-AU" w:eastAsia="en-AU"/>
              </w:rPr>
            </w:pPr>
            <w:r>
              <w:rPr>
                <w:snapToGrid w:val="0"/>
                <w:lang w:val="en-AU" w:eastAsia="en-AU"/>
              </w:rPr>
              <w:t>Optus Zoo GPRS WAP browsing</w:t>
            </w:r>
          </w:p>
        </w:tc>
        <w:tc>
          <w:tcPr>
            <w:tcW w:w="2475" w:type="pct"/>
            <w:hideMark/>
          </w:tcPr>
          <w:p w14:paraId="62DF0E16" w14:textId="77777777" w:rsidR="000D07EA" w:rsidRDefault="00BE7C89">
            <w:pPr>
              <w:pStyle w:val="BodyText"/>
              <w:spacing w:before="100" w:after="100"/>
              <w:jc w:val="center"/>
              <w:rPr>
                <w:b/>
                <w:snapToGrid w:val="0"/>
                <w:lang w:val="en-AU" w:eastAsia="en-AU"/>
              </w:rPr>
            </w:pPr>
            <w:r>
              <w:rPr>
                <w:b/>
                <w:snapToGrid w:val="0"/>
                <w:lang w:val="en-AU" w:eastAsia="en-AU"/>
              </w:rPr>
              <w:t>No</w:t>
            </w:r>
          </w:p>
        </w:tc>
      </w:tr>
      <w:tr w:rsidR="000D07EA" w14:paraId="2807CAC3" w14:textId="77777777">
        <w:tc>
          <w:tcPr>
            <w:tcW w:w="2525" w:type="pct"/>
            <w:hideMark/>
          </w:tcPr>
          <w:p w14:paraId="186FEFFD" w14:textId="77777777" w:rsidR="000D07EA" w:rsidRDefault="00BE7C89">
            <w:pPr>
              <w:pStyle w:val="BodyText"/>
              <w:spacing w:before="100" w:after="100"/>
              <w:jc w:val="center"/>
              <w:rPr>
                <w:szCs w:val="20"/>
                <w:lang w:val="en-AU"/>
              </w:rPr>
            </w:pPr>
            <w:r>
              <w:rPr>
                <w:szCs w:val="20"/>
                <w:lang w:val="en-AU"/>
              </w:rPr>
              <w:t>Applications from Optus and third party applications that require a BlackBerry Data connection</w:t>
            </w:r>
          </w:p>
        </w:tc>
        <w:tc>
          <w:tcPr>
            <w:tcW w:w="2475" w:type="pct"/>
          </w:tcPr>
          <w:p w14:paraId="19568A64" w14:textId="77777777" w:rsidR="000D07EA" w:rsidRDefault="00BE7C89">
            <w:pPr>
              <w:pStyle w:val="BodyText"/>
              <w:spacing w:before="100" w:after="100"/>
              <w:jc w:val="center"/>
              <w:rPr>
                <w:b/>
                <w:snapToGrid w:val="0"/>
                <w:lang w:val="en-AU" w:eastAsia="en-AU"/>
              </w:rPr>
            </w:pPr>
            <w:r>
              <w:rPr>
                <w:b/>
                <w:snapToGrid w:val="0"/>
                <w:lang w:val="en-AU" w:eastAsia="en-AU"/>
              </w:rPr>
              <w:t>Yes</w:t>
            </w:r>
          </w:p>
        </w:tc>
      </w:tr>
      <w:tr w:rsidR="000D07EA" w14:paraId="1901D191" w14:textId="77777777">
        <w:tc>
          <w:tcPr>
            <w:tcW w:w="2525" w:type="pct"/>
            <w:hideMark/>
          </w:tcPr>
          <w:p w14:paraId="4DFA69AA" w14:textId="77777777" w:rsidR="000D07EA" w:rsidRDefault="00BE7C89">
            <w:pPr>
              <w:pStyle w:val="BodyText"/>
              <w:spacing w:before="100" w:after="100"/>
              <w:jc w:val="center"/>
              <w:rPr>
                <w:snapToGrid w:val="0"/>
                <w:lang w:val="en-AU" w:eastAsia="en-AU"/>
              </w:rPr>
            </w:pPr>
            <w:r>
              <w:rPr>
                <w:snapToGrid w:val="0"/>
                <w:lang w:val="en-AU" w:eastAsia="en-AU"/>
              </w:rPr>
              <w:t>All other call types or usage</w:t>
            </w:r>
          </w:p>
        </w:tc>
        <w:tc>
          <w:tcPr>
            <w:tcW w:w="2475" w:type="pct"/>
            <w:hideMark/>
          </w:tcPr>
          <w:p w14:paraId="1AB47BE5" w14:textId="77777777" w:rsidR="000D07EA" w:rsidRDefault="00BE7C89">
            <w:pPr>
              <w:pStyle w:val="BodyText"/>
              <w:spacing w:before="100" w:after="100"/>
              <w:jc w:val="center"/>
              <w:rPr>
                <w:b/>
                <w:snapToGrid w:val="0"/>
                <w:lang w:val="en-AU" w:eastAsia="en-AU"/>
              </w:rPr>
            </w:pPr>
            <w:r>
              <w:rPr>
                <w:b/>
                <w:snapToGrid w:val="0"/>
                <w:lang w:val="en-AU" w:eastAsia="en-AU"/>
              </w:rPr>
              <w:t>No</w:t>
            </w:r>
          </w:p>
        </w:tc>
      </w:tr>
    </w:tbl>
    <w:p w14:paraId="75D16530" w14:textId="77777777" w:rsidR="000D07EA" w:rsidRDefault="000D07EA">
      <w:pPr>
        <w:pStyle w:val="BodyText"/>
      </w:pPr>
    </w:p>
    <w:p w14:paraId="7D23E782" w14:textId="77777777" w:rsidR="000D07EA" w:rsidRDefault="00BE7C89">
      <w:pPr>
        <w:pStyle w:val="BodyText"/>
        <w:jc w:val="center"/>
        <w:rPr>
          <w:b/>
        </w:rPr>
      </w:pPr>
      <w:r>
        <w:rPr>
          <w:b/>
        </w:rPr>
        <w:t>Table 2C – Charges and Cap Amounts for the Business Complete Max Plans</w:t>
      </w:r>
    </w:p>
    <w:tbl>
      <w:tblPr>
        <w:tblW w:w="4300" w:type="pct"/>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1"/>
        <w:gridCol w:w="1761"/>
        <w:gridCol w:w="1761"/>
        <w:gridCol w:w="1759"/>
      </w:tblGrid>
      <w:tr w:rsidR="000D07EA" w14:paraId="26C083F5" w14:textId="77777777">
        <w:trPr>
          <w:tblHeader/>
        </w:trPr>
        <w:tc>
          <w:tcPr>
            <w:tcW w:w="1986" w:type="pct"/>
            <w:hideMark/>
          </w:tcPr>
          <w:p w14:paraId="657556D8" w14:textId="77777777" w:rsidR="000D07EA" w:rsidRDefault="000D07EA">
            <w:pPr>
              <w:pStyle w:val="BodyText"/>
              <w:spacing w:before="100" w:after="100"/>
              <w:rPr>
                <w:lang w:val="en-AU" w:eastAsia="en-AU"/>
              </w:rPr>
            </w:pPr>
          </w:p>
        </w:tc>
        <w:tc>
          <w:tcPr>
            <w:tcW w:w="1005" w:type="pct"/>
            <w:hideMark/>
          </w:tcPr>
          <w:p w14:paraId="6191769B" w14:textId="77777777" w:rsidR="000D07EA" w:rsidRDefault="00BE7C89">
            <w:pPr>
              <w:pStyle w:val="BodyText"/>
              <w:spacing w:before="100" w:after="100"/>
              <w:jc w:val="center"/>
              <w:rPr>
                <w:b/>
                <w:lang w:val="en-AU" w:eastAsia="en-AU"/>
              </w:rPr>
            </w:pPr>
            <w:r>
              <w:rPr>
                <w:b/>
                <w:lang w:val="en-AU" w:eastAsia="en-AU"/>
              </w:rPr>
              <w:t>$49 Business Complete Max</w:t>
            </w:r>
          </w:p>
        </w:tc>
        <w:tc>
          <w:tcPr>
            <w:tcW w:w="1005" w:type="pct"/>
            <w:hideMark/>
          </w:tcPr>
          <w:p w14:paraId="248005DB" w14:textId="77777777" w:rsidR="000D07EA" w:rsidRDefault="00BE7C89">
            <w:pPr>
              <w:pStyle w:val="BodyText"/>
              <w:spacing w:before="100" w:after="100"/>
              <w:jc w:val="center"/>
              <w:rPr>
                <w:b/>
                <w:lang w:val="en-AU" w:eastAsia="en-AU"/>
              </w:rPr>
            </w:pPr>
            <w:r>
              <w:rPr>
                <w:b/>
                <w:lang w:val="en-AU" w:eastAsia="en-AU"/>
              </w:rPr>
              <w:t>$59 Business Complete Max</w:t>
            </w:r>
          </w:p>
        </w:tc>
        <w:tc>
          <w:tcPr>
            <w:tcW w:w="1004" w:type="pct"/>
            <w:hideMark/>
          </w:tcPr>
          <w:p w14:paraId="5E6D6B76" w14:textId="77777777" w:rsidR="000D07EA" w:rsidRDefault="00BE7C89">
            <w:pPr>
              <w:pStyle w:val="BodyText"/>
              <w:spacing w:before="100" w:after="100"/>
              <w:jc w:val="center"/>
              <w:rPr>
                <w:b/>
                <w:lang w:val="en-AU" w:eastAsia="en-AU"/>
              </w:rPr>
            </w:pPr>
            <w:r>
              <w:rPr>
                <w:b/>
                <w:lang w:val="en-AU" w:eastAsia="en-AU"/>
              </w:rPr>
              <w:t>$79 Business Complete Max</w:t>
            </w:r>
          </w:p>
        </w:tc>
      </w:tr>
      <w:tr w:rsidR="000D07EA" w14:paraId="1A436B4D" w14:textId="77777777">
        <w:tc>
          <w:tcPr>
            <w:tcW w:w="1986" w:type="pct"/>
            <w:hideMark/>
          </w:tcPr>
          <w:p w14:paraId="42930BAC" w14:textId="77777777" w:rsidR="000D07EA" w:rsidRDefault="00BE7C89">
            <w:pPr>
              <w:pStyle w:val="BodyText"/>
              <w:spacing w:before="100" w:after="100"/>
              <w:rPr>
                <w:b/>
                <w:lang w:val="en-AU" w:eastAsia="en-AU"/>
              </w:rPr>
            </w:pPr>
            <w:r>
              <w:rPr>
                <w:b/>
                <w:lang w:val="en-AU" w:eastAsia="en-AU"/>
              </w:rPr>
              <w:t>Cap Start</w:t>
            </w:r>
          </w:p>
        </w:tc>
        <w:tc>
          <w:tcPr>
            <w:tcW w:w="1005" w:type="pct"/>
            <w:hideMark/>
          </w:tcPr>
          <w:p w14:paraId="1E338BC5" w14:textId="77777777" w:rsidR="000D07EA" w:rsidRDefault="00BE7C89">
            <w:pPr>
              <w:pStyle w:val="BodyText"/>
              <w:spacing w:before="100" w:after="100"/>
              <w:jc w:val="center"/>
              <w:rPr>
                <w:lang w:val="en-AU" w:eastAsia="en-AU"/>
              </w:rPr>
            </w:pPr>
            <w:r>
              <w:rPr>
                <w:lang w:val="en-AU" w:eastAsia="en-AU"/>
              </w:rPr>
              <w:t>$49</w:t>
            </w:r>
          </w:p>
        </w:tc>
        <w:tc>
          <w:tcPr>
            <w:tcW w:w="1005" w:type="pct"/>
            <w:hideMark/>
          </w:tcPr>
          <w:p w14:paraId="3A85C694" w14:textId="77777777" w:rsidR="000D07EA" w:rsidRDefault="00BE7C89">
            <w:pPr>
              <w:pStyle w:val="BodyText"/>
              <w:spacing w:before="100" w:after="100"/>
              <w:jc w:val="center"/>
              <w:rPr>
                <w:lang w:val="en-AU" w:eastAsia="en-AU"/>
              </w:rPr>
            </w:pPr>
            <w:r>
              <w:rPr>
                <w:lang w:val="en-AU" w:eastAsia="en-AU"/>
              </w:rPr>
              <w:t>$59</w:t>
            </w:r>
          </w:p>
        </w:tc>
        <w:tc>
          <w:tcPr>
            <w:tcW w:w="1004" w:type="pct"/>
            <w:hideMark/>
          </w:tcPr>
          <w:p w14:paraId="391FF694" w14:textId="77777777" w:rsidR="000D07EA" w:rsidRDefault="00BE7C89">
            <w:pPr>
              <w:pStyle w:val="BodyText"/>
              <w:spacing w:before="100" w:after="100"/>
              <w:jc w:val="center"/>
              <w:rPr>
                <w:lang w:val="en-AU" w:eastAsia="en-AU"/>
              </w:rPr>
            </w:pPr>
            <w:r>
              <w:rPr>
                <w:lang w:val="en-AU" w:eastAsia="en-AU"/>
              </w:rPr>
              <w:t>$79</w:t>
            </w:r>
          </w:p>
        </w:tc>
      </w:tr>
      <w:tr w:rsidR="000D07EA" w14:paraId="1514B678" w14:textId="77777777">
        <w:tc>
          <w:tcPr>
            <w:tcW w:w="1986" w:type="pct"/>
            <w:hideMark/>
          </w:tcPr>
          <w:p w14:paraId="27783327" w14:textId="77777777" w:rsidR="000D07EA" w:rsidRDefault="00BE7C89">
            <w:pPr>
              <w:pStyle w:val="BodyText"/>
              <w:spacing w:before="100" w:after="100"/>
              <w:rPr>
                <w:b/>
                <w:lang w:val="en-AU" w:eastAsia="en-AU"/>
              </w:rPr>
            </w:pPr>
            <w:r>
              <w:rPr>
                <w:b/>
                <w:lang w:val="en-AU" w:eastAsia="en-AU"/>
              </w:rPr>
              <w:t>"Included Cap Value" per month</w:t>
            </w:r>
          </w:p>
        </w:tc>
        <w:tc>
          <w:tcPr>
            <w:tcW w:w="1005" w:type="pct"/>
            <w:hideMark/>
          </w:tcPr>
          <w:p w14:paraId="494F3243" w14:textId="77777777" w:rsidR="000D07EA" w:rsidRDefault="00BE7C89">
            <w:pPr>
              <w:pStyle w:val="BodyText"/>
              <w:spacing w:before="100" w:after="100"/>
              <w:jc w:val="center"/>
              <w:rPr>
                <w:lang w:val="en-AU" w:eastAsia="en-AU"/>
              </w:rPr>
            </w:pPr>
            <w:r>
              <w:rPr>
                <w:lang w:val="en-AU" w:eastAsia="en-AU"/>
              </w:rPr>
              <w:t>$420</w:t>
            </w:r>
          </w:p>
        </w:tc>
        <w:tc>
          <w:tcPr>
            <w:tcW w:w="1005" w:type="pct"/>
            <w:hideMark/>
          </w:tcPr>
          <w:p w14:paraId="7E481F09" w14:textId="77777777" w:rsidR="000D07EA" w:rsidRDefault="00BE7C89">
            <w:pPr>
              <w:pStyle w:val="BodyText"/>
              <w:spacing w:before="100" w:after="100"/>
              <w:jc w:val="center"/>
              <w:rPr>
                <w:lang w:val="en-AU" w:eastAsia="en-AU"/>
              </w:rPr>
            </w:pPr>
            <w:r>
              <w:rPr>
                <w:lang w:val="en-AU" w:eastAsia="en-AU"/>
              </w:rPr>
              <w:t>$450</w:t>
            </w:r>
          </w:p>
        </w:tc>
        <w:tc>
          <w:tcPr>
            <w:tcW w:w="1004" w:type="pct"/>
            <w:hideMark/>
          </w:tcPr>
          <w:p w14:paraId="2FDB8F49" w14:textId="77777777" w:rsidR="000D07EA" w:rsidRDefault="00BE7C89">
            <w:pPr>
              <w:pStyle w:val="BodyText"/>
              <w:spacing w:before="100" w:after="100"/>
              <w:jc w:val="center"/>
              <w:rPr>
                <w:lang w:val="en-AU" w:eastAsia="en-AU"/>
              </w:rPr>
            </w:pPr>
            <w:r>
              <w:rPr>
                <w:lang w:val="en-AU" w:eastAsia="en-AU"/>
              </w:rPr>
              <w:t>$800</w:t>
            </w:r>
          </w:p>
        </w:tc>
      </w:tr>
      <w:tr w:rsidR="000D07EA" w14:paraId="2866C7C9" w14:textId="77777777">
        <w:tc>
          <w:tcPr>
            <w:tcW w:w="1986" w:type="pct"/>
            <w:hideMark/>
          </w:tcPr>
          <w:p w14:paraId="56A8CFFE" w14:textId="77777777" w:rsidR="000D07EA" w:rsidRDefault="00BE7C89">
            <w:pPr>
              <w:pStyle w:val="BodyText"/>
              <w:spacing w:before="100" w:after="100"/>
              <w:rPr>
                <w:b/>
                <w:lang w:val="en-AU" w:eastAsia="en-AU"/>
              </w:rPr>
            </w:pPr>
            <w:r>
              <w:rPr>
                <w:b/>
                <w:lang w:val="en-AU" w:eastAsia="en-AU"/>
              </w:rPr>
              <w:t>Unlimited Standard National SMS and MMS</w:t>
            </w:r>
          </w:p>
        </w:tc>
        <w:tc>
          <w:tcPr>
            <w:tcW w:w="1005" w:type="pct"/>
            <w:hideMark/>
          </w:tcPr>
          <w:p w14:paraId="2540182B" w14:textId="77777777" w:rsidR="000D07EA" w:rsidRDefault="00BE7C89">
            <w:pPr>
              <w:pStyle w:val="BodyText"/>
              <w:spacing w:before="100" w:after="100"/>
              <w:jc w:val="center"/>
              <w:rPr>
                <w:lang w:val="en-AU" w:eastAsia="en-AU"/>
              </w:rPr>
            </w:pPr>
            <w:r>
              <w:rPr>
                <w:lang w:val="en-AU" w:eastAsia="en-AU"/>
              </w:rPr>
              <w:t>No</w:t>
            </w:r>
          </w:p>
        </w:tc>
        <w:tc>
          <w:tcPr>
            <w:tcW w:w="1005" w:type="pct"/>
            <w:hideMark/>
          </w:tcPr>
          <w:p w14:paraId="26EBFBBF" w14:textId="77777777" w:rsidR="000D07EA" w:rsidRDefault="00BE7C89">
            <w:pPr>
              <w:pStyle w:val="BodyText"/>
              <w:spacing w:before="100" w:after="100"/>
              <w:jc w:val="center"/>
              <w:rPr>
                <w:lang w:val="en-AU" w:eastAsia="en-AU"/>
              </w:rPr>
            </w:pPr>
            <w:r>
              <w:rPr>
                <w:lang w:val="en-AU" w:eastAsia="en-AU"/>
              </w:rPr>
              <w:t>Yes</w:t>
            </w:r>
          </w:p>
        </w:tc>
        <w:tc>
          <w:tcPr>
            <w:tcW w:w="1004" w:type="pct"/>
            <w:hideMark/>
          </w:tcPr>
          <w:p w14:paraId="462584DC" w14:textId="77777777" w:rsidR="000D07EA" w:rsidRDefault="00BE7C89">
            <w:pPr>
              <w:pStyle w:val="BodyText"/>
              <w:spacing w:before="100" w:after="100"/>
              <w:jc w:val="center"/>
              <w:rPr>
                <w:lang w:val="en-AU" w:eastAsia="en-AU"/>
              </w:rPr>
            </w:pPr>
            <w:r>
              <w:rPr>
                <w:lang w:val="en-AU" w:eastAsia="en-AU"/>
              </w:rPr>
              <w:t>Yes</w:t>
            </w:r>
          </w:p>
        </w:tc>
      </w:tr>
      <w:tr w:rsidR="000D07EA" w14:paraId="4E122CE0" w14:textId="77777777">
        <w:tc>
          <w:tcPr>
            <w:tcW w:w="1986" w:type="pct"/>
            <w:hideMark/>
          </w:tcPr>
          <w:p w14:paraId="0A0B3806" w14:textId="77777777" w:rsidR="000D07EA" w:rsidRDefault="00BE7C89">
            <w:pPr>
              <w:pStyle w:val="BodyText"/>
              <w:spacing w:before="100" w:after="100"/>
              <w:rPr>
                <w:b/>
                <w:lang w:val="en-AU" w:eastAsia="en-AU"/>
              </w:rPr>
            </w:pPr>
            <w:r>
              <w:rPr>
                <w:b/>
                <w:lang w:val="en-AU" w:eastAsia="en-AU"/>
              </w:rPr>
              <w:t xml:space="preserve">Unlimited Facebook®, Twitter, LinkedIn, Ebay, Four Square, MySpace within Australia </w:t>
            </w:r>
          </w:p>
        </w:tc>
        <w:tc>
          <w:tcPr>
            <w:tcW w:w="1005" w:type="pct"/>
            <w:hideMark/>
          </w:tcPr>
          <w:p w14:paraId="6B70F506" w14:textId="77777777" w:rsidR="000D07EA" w:rsidRDefault="00BE7C89">
            <w:pPr>
              <w:pStyle w:val="BodyText"/>
              <w:spacing w:before="100" w:after="100"/>
              <w:jc w:val="center"/>
              <w:rPr>
                <w:lang w:val="en-AU" w:eastAsia="en-AU"/>
              </w:rPr>
            </w:pPr>
            <w:r>
              <w:rPr>
                <w:lang w:val="en-AU" w:eastAsia="en-AU"/>
              </w:rPr>
              <w:t>Yes</w:t>
            </w:r>
          </w:p>
        </w:tc>
        <w:tc>
          <w:tcPr>
            <w:tcW w:w="1005" w:type="pct"/>
            <w:hideMark/>
          </w:tcPr>
          <w:p w14:paraId="6774E5E2" w14:textId="77777777" w:rsidR="000D07EA" w:rsidRDefault="00BE7C89">
            <w:pPr>
              <w:pStyle w:val="BodyText"/>
              <w:spacing w:before="100" w:after="100"/>
              <w:jc w:val="center"/>
              <w:rPr>
                <w:lang w:val="en-AU" w:eastAsia="en-AU"/>
              </w:rPr>
            </w:pPr>
            <w:r>
              <w:rPr>
                <w:lang w:val="en-AU" w:eastAsia="en-AU"/>
              </w:rPr>
              <w:t>Yes</w:t>
            </w:r>
          </w:p>
        </w:tc>
        <w:tc>
          <w:tcPr>
            <w:tcW w:w="1004" w:type="pct"/>
            <w:hideMark/>
          </w:tcPr>
          <w:p w14:paraId="0AA3EEF0" w14:textId="77777777" w:rsidR="000D07EA" w:rsidRDefault="00BE7C89">
            <w:pPr>
              <w:pStyle w:val="BodyText"/>
              <w:spacing w:before="100" w:after="100"/>
              <w:jc w:val="center"/>
              <w:rPr>
                <w:lang w:val="en-AU" w:eastAsia="en-AU"/>
              </w:rPr>
            </w:pPr>
            <w:r>
              <w:rPr>
                <w:lang w:val="en-AU" w:eastAsia="en-AU"/>
              </w:rPr>
              <w:t>Yes</w:t>
            </w:r>
          </w:p>
        </w:tc>
      </w:tr>
      <w:tr w:rsidR="000D07EA" w14:paraId="6ACC8401" w14:textId="77777777">
        <w:tc>
          <w:tcPr>
            <w:tcW w:w="1986" w:type="pct"/>
            <w:hideMark/>
          </w:tcPr>
          <w:p w14:paraId="2A50765A" w14:textId="77777777" w:rsidR="000D07EA" w:rsidRDefault="00BE7C89">
            <w:pPr>
              <w:pStyle w:val="BodyText"/>
              <w:spacing w:before="100" w:after="100"/>
              <w:rPr>
                <w:b/>
                <w:lang w:val="en-AU" w:eastAsia="en-AU"/>
              </w:rPr>
            </w:pPr>
            <w:r>
              <w:rPr>
                <w:b/>
                <w:lang w:val="en-AU" w:eastAsia="en-AU"/>
              </w:rPr>
              <w:t>Minimum Monthly charge</w:t>
            </w:r>
          </w:p>
        </w:tc>
        <w:tc>
          <w:tcPr>
            <w:tcW w:w="1005" w:type="pct"/>
            <w:hideMark/>
          </w:tcPr>
          <w:p w14:paraId="6BD92087" w14:textId="77777777" w:rsidR="000D07EA" w:rsidRDefault="00BE7C89">
            <w:pPr>
              <w:pStyle w:val="BodyText"/>
              <w:spacing w:before="100" w:after="100"/>
              <w:jc w:val="center"/>
              <w:rPr>
                <w:lang w:val="en-AU" w:eastAsia="en-AU"/>
              </w:rPr>
            </w:pPr>
            <w:r>
              <w:rPr>
                <w:lang w:val="en-AU" w:eastAsia="en-AU"/>
              </w:rPr>
              <w:t>$49</w:t>
            </w:r>
          </w:p>
        </w:tc>
        <w:tc>
          <w:tcPr>
            <w:tcW w:w="1005" w:type="pct"/>
            <w:hideMark/>
          </w:tcPr>
          <w:p w14:paraId="03C1BFFA" w14:textId="77777777" w:rsidR="000D07EA" w:rsidRDefault="00BE7C89">
            <w:pPr>
              <w:pStyle w:val="BodyText"/>
              <w:spacing w:before="100" w:after="100"/>
              <w:jc w:val="center"/>
              <w:rPr>
                <w:lang w:val="en-AU" w:eastAsia="en-AU"/>
              </w:rPr>
            </w:pPr>
            <w:r>
              <w:rPr>
                <w:lang w:val="en-AU" w:eastAsia="en-AU"/>
              </w:rPr>
              <w:t>$59</w:t>
            </w:r>
          </w:p>
        </w:tc>
        <w:tc>
          <w:tcPr>
            <w:tcW w:w="1004" w:type="pct"/>
            <w:hideMark/>
          </w:tcPr>
          <w:p w14:paraId="3AEE80B5" w14:textId="77777777" w:rsidR="000D07EA" w:rsidRDefault="00BE7C89">
            <w:pPr>
              <w:pStyle w:val="BodyText"/>
              <w:spacing w:before="100" w:after="100"/>
              <w:jc w:val="center"/>
              <w:rPr>
                <w:lang w:val="en-AU" w:eastAsia="en-AU"/>
              </w:rPr>
            </w:pPr>
            <w:r>
              <w:rPr>
                <w:lang w:val="en-AU" w:eastAsia="en-AU"/>
              </w:rPr>
              <w:t>$79</w:t>
            </w:r>
          </w:p>
        </w:tc>
      </w:tr>
      <w:tr w:rsidR="000D07EA" w14:paraId="7616CAEB" w14:textId="77777777">
        <w:tc>
          <w:tcPr>
            <w:tcW w:w="1986" w:type="pct"/>
            <w:hideMark/>
          </w:tcPr>
          <w:p w14:paraId="42F11BEA" w14:textId="77777777" w:rsidR="000D07EA" w:rsidRDefault="00BE7C89">
            <w:pPr>
              <w:pStyle w:val="BodyText"/>
              <w:spacing w:before="100" w:after="100"/>
              <w:rPr>
                <w:lang w:val="en-AU" w:eastAsia="en-AU"/>
              </w:rPr>
            </w:pPr>
            <w:r>
              <w:rPr>
                <w:b/>
                <w:lang w:val="en-AU" w:eastAsia="en-AU"/>
              </w:rPr>
              <w:t>National Voice call charges</w:t>
            </w:r>
            <w:r>
              <w:rPr>
                <w:lang w:val="en-AU" w:eastAsia="en-AU"/>
              </w:rPr>
              <w:t xml:space="preserve"> (per minute)</w:t>
            </w:r>
          </w:p>
        </w:tc>
        <w:tc>
          <w:tcPr>
            <w:tcW w:w="1005" w:type="pct"/>
            <w:hideMark/>
          </w:tcPr>
          <w:p w14:paraId="36C8BC18" w14:textId="77777777" w:rsidR="000D07EA" w:rsidRDefault="00BE7C89">
            <w:pPr>
              <w:pStyle w:val="BodyText"/>
              <w:spacing w:before="100" w:after="100"/>
              <w:jc w:val="center"/>
              <w:rPr>
                <w:lang w:val="en-AU" w:eastAsia="en-AU"/>
              </w:rPr>
            </w:pPr>
            <w:r>
              <w:rPr>
                <w:lang w:val="en-AU" w:eastAsia="en-AU"/>
              </w:rPr>
              <w:t>$0.80</w:t>
            </w:r>
          </w:p>
        </w:tc>
        <w:tc>
          <w:tcPr>
            <w:tcW w:w="1005" w:type="pct"/>
            <w:hideMark/>
          </w:tcPr>
          <w:p w14:paraId="4DE4C7A0" w14:textId="77777777" w:rsidR="000D07EA" w:rsidRDefault="00BE7C89">
            <w:pPr>
              <w:pStyle w:val="BodyText"/>
              <w:spacing w:before="100" w:after="100"/>
              <w:jc w:val="center"/>
              <w:rPr>
                <w:lang w:val="en-AU" w:eastAsia="en-AU"/>
              </w:rPr>
            </w:pPr>
            <w:r>
              <w:rPr>
                <w:lang w:val="en-AU" w:eastAsia="en-AU"/>
              </w:rPr>
              <w:t>$0.80</w:t>
            </w:r>
          </w:p>
        </w:tc>
        <w:tc>
          <w:tcPr>
            <w:tcW w:w="1004" w:type="pct"/>
            <w:hideMark/>
          </w:tcPr>
          <w:p w14:paraId="5CCB15F9" w14:textId="77777777" w:rsidR="000D07EA" w:rsidRDefault="00BE7C89">
            <w:pPr>
              <w:pStyle w:val="BodyText"/>
              <w:spacing w:before="100" w:after="100"/>
              <w:jc w:val="center"/>
              <w:rPr>
                <w:lang w:val="en-AU" w:eastAsia="en-AU"/>
              </w:rPr>
            </w:pPr>
            <w:r>
              <w:rPr>
                <w:lang w:val="en-AU" w:eastAsia="en-AU"/>
              </w:rPr>
              <w:t>$0.80</w:t>
            </w:r>
          </w:p>
        </w:tc>
      </w:tr>
      <w:tr w:rsidR="000D07EA" w14:paraId="00B6FC0B" w14:textId="77777777">
        <w:tc>
          <w:tcPr>
            <w:tcW w:w="1986" w:type="pct"/>
            <w:hideMark/>
          </w:tcPr>
          <w:p w14:paraId="637394ED" w14:textId="77777777" w:rsidR="000D07EA" w:rsidRDefault="00BE7C89">
            <w:pPr>
              <w:pStyle w:val="BodyText"/>
              <w:spacing w:before="100" w:after="100"/>
              <w:rPr>
                <w:b/>
                <w:i/>
                <w:iCs/>
                <w:lang w:val="en-AU" w:eastAsia="en-AU"/>
              </w:rPr>
            </w:pPr>
            <w:r>
              <w:rPr>
                <w:b/>
                <w:i/>
                <w:iCs/>
                <w:lang w:val="en-AU" w:eastAsia="en-AU"/>
              </w:rPr>
              <w:t>Flagfall</w:t>
            </w:r>
            <w:r>
              <w:rPr>
                <w:b/>
                <w:lang w:val="en-AU" w:eastAsia="en-AU"/>
              </w:rPr>
              <w:t xml:space="preserve"> for national voice calls (Call Connection Charge) </w:t>
            </w:r>
          </w:p>
        </w:tc>
        <w:tc>
          <w:tcPr>
            <w:tcW w:w="1005" w:type="pct"/>
            <w:hideMark/>
          </w:tcPr>
          <w:p w14:paraId="6425362A" w14:textId="77777777" w:rsidR="000D07EA" w:rsidRDefault="00BE7C89">
            <w:pPr>
              <w:pStyle w:val="BodyText"/>
              <w:spacing w:before="100" w:after="100"/>
              <w:jc w:val="center"/>
              <w:rPr>
                <w:b/>
                <w:lang w:val="en-AU" w:eastAsia="en-AU"/>
              </w:rPr>
            </w:pPr>
            <w:r>
              <w:rPr>
                <w:b/>
                <w:lang w:val="en-AU" w:eastAsia="en-AU"/>
              </w:rPr>
              <w:t>$0.35</w:t>
            </w:r>
          </w:p>
        </w:tc>
        <w:tc>
          <w:tcPr>
            <w:tcW w:w="1005" w:type="pct"/>
            <w:hideMark/>
          </w:tcPr>
          <w:p w14:paraId="029BE2F2" w14:textId="77777777" w:rsidR="000D07EA" w:rsidRDefault="00BE7C89">
            <w:pPr>
              <w:pStyle w:val="BodyText"/>
              <w:spacing w:before="100" w:after="100"/>
              <w:jc w:val="center"/>
              <w:rPr>
                <w:b/>
                <w:lang w:val="en-AU" w:eastAsia="en-AU"/>
              </w:rPr>
            </w:pPr>
            <w:r>
              <w:rPr>
                <w:b/>
                <w:lang w:val="en-AU" w:eastAsia="en-AU"/>
              </w:rPr>
              <w:t>$0.35</w:t>
            </w:r>
          </w:p>
        </w:tc>
        <w:tc>
          <w:tcPr>
            <w:tcW w:w="1004" w:type="pct"/>
            <w:hideMark/>
          </w:tcPr>
          <w:p w14:paraId="315E10CB" w14:textId="77777777" w:rsidR="000D07EA" w:rsidRDefault="00BE7C89">
            <w:pPr>
              <w:pStyle w:val="BodyText"/>
              <w:spacing w:before="100" w:after="100"/>
              <w:jc w:val="center"/>
              <w:rPr>
                <w:b/>
                <w:lang w:val="en-AU" w:eastAsia="en-AU"/>
              </w:rPr>
            </w:pPr>
            <w:r>
              <w:rPr>
                <w:b/>
                <w:lang w:val="en-AU" w:eastAsia="en-AU"/>
              </w:rPr>
              <w:t>$0.35</w:t>
            </w:r>
          </w:p>
        </w:tc>
      </w:tr>
      <w:tr w:rsidR="000D07EA" w14:paraId="5E8B4E56" w14:textId="77777777">
        <w:tc>
          <w:tcPr>
            <w:tcW w:w="1986" w:type="pct"/>
            <w:hideMark/>
          </w:tcPr>
          <w:p w14:paraId="06EFD045" w14:textId="77777777" w:rsidR="000D07EA" w:rsidRDefault="00BE7C89">
            <w:pPr>
              <w:pStyle w:val="BodyText"/>
              <w:spacing w:before="100" w:after="100"/>
              <w:rPr>
                <w:lang w:val="en-AU" w:eastAsia="en-AU"/>
              </w:rPr>
            </w:pPr>
            <w:r>
              <w:rPr>
                <w:b/>
                <w:lang w:val="en-AU" w:eastAsia="en-AU"/>
              </w:rPr>
              <w:t>National SMS Charges</w:t>
            </w:r>
            <w:r>
              <w:rPr>
                <w:lang w:val="en-AU" w:eastAsia="en-AU"/>
              </w:rPr>
              <w:t xml:space="preserve"> (for standard SMS of up to 160 characters)</w:t>
            </w:r>
          </w:p>
        </w:tc>
        <w:tc>
          <w:tcPr>
            <w:tcW w:w="1005" w:type="pct"/>
            <w:hideMark/>
          </w:tcPr>
          <w:p w14:paraId="3915A93B" w14:textId="77777777" w:rsidR="000D07EA" w:rsidRDefault="00BE7C89">
            <w:pPr>
              <w:pStyle w:val="BodyText"/>
              <w:spacing w:before="100" w:after="100"/>
              <w:jc w:val="center"/>
              <w:rPr>
                <w:lang w:val="en-AU" w:eastAsia="en-AU"/>
              </w:rPr>
            </w:pPr>
            <w:r>
              <w:rPr>
                <w:lang w:val="en-AU" w:eastAsia="en-AU"/>
              </w:rPr>
              <w:t>$0.25</w:t>
            </w:r>
          </w:p>
        </w:tc>
        <w:tc>
          <w:tcPr>
            <w:tcW w:w="1005" w:type="pct"/>
            <w:hideMark/>
          </w:tcPr>
          <w:p w14:paraId="0F0A0A53" w14:textId="77777777" w:rsidR="000D07EA" w:rsidRDefault="00BE7C89">
            <w:pPr>
              <w:pStyle w:val="BodyText"/>
              <w:spacing w:before="100" w:after="100"/>
              <w:jc w:val="center"/>
              <w:rPr>
                <w:lang w:val="en-AU" w:eastAsia="en-AU"/>
              </w:rPr>
            </w:pPr>
            <w:r>
              <w:rPr>
                <w:lang w:val="en-AU" w:eastAsia="en-AU"/>
              </w:rPr>
              <w:t>Unlimited</w:t>
            </w:r>
          </w:p>
        </w:tc>
        <w:tc>
          <w:tcPr>
            <w:tcW w:w="1004" w:type="pct"/>
            <w:hideMark/>
          </w:tcPr>
          <w:p w14:paraId="0F3AD1B2" w14:textId="77777777" w:rsidR="000D07EA" w:rsidRDefault="00BE7C89">
            <w:pPr>
              <w:pStyle w:val="BodyText"/>
              <w:spacing w:before="100" w:after="100"/>
              <w:jc w:val="center"/>
              <w:rPr>
                <w:lang w:val="en-AU" w:eastAsia="en-AU"/>
              </w:rPr>
            </w:pPr>
            <w:r>
              <w:rPr>
                <w:lang w:val="en-AU" w:eastAsia="en-AU"/>
              </w:rPr>
              <w:t>Unlimited</w:t>
            </w:r>
          </w:p>
        </w:tc>
      </w:tr>
      <w:tr w:rsidR="000D07EA" w14:paraId="49D4FDE9" w14:textId="77777777">
        <w:tc>
          <w:tcPr>
            <w:tcW w:w="1986" w:type="pct"/>
            <w:hideMark/>
          </w:tcPr>
          <w:p w14:paraId="21492DAF" w14:textId="77777777" w:rsidR="000D07EA" w:rsidRDefault="00BE7C89">
            <w:pPr>
              <w:pStyle w:val="BodyText"/>
              <w:spacing w:before="100" w:after="100"/>
              <w:rPr>
                <w:b/>
                <w:lang w:val="en-AU" w:eastAsia="en-AU"/>
              </w:rPr>
            </w:pPr>
            <w:r>
              <w:rPr>
                <w:b/>
                <w:lang w:val="en-AU" w:eastAsia="en-AU"/>
              </w:rPr>
              <w:t>National Photo Message (per message)</w:t>
            </w:r>
          </w:p>
        </w:tc>
        <w:tc>
          <w:tcPr>
            <w:tcW w:w="1005" w:type="pct"/>
            <w:hideMark/>
          </w:tcPr>
          <w:p w14:paraId="0F6A5065" w14:textId="77777777" w:rsidR="000D07EA" w:rsidRDefault="00BE7C89">
            <w:pPr>
              <w:pStyle w:val="BodyText"/>
              <w:spacing w:before="100" w:after="100"/>
              <w:jc w:val="center"/>
              <w:rPr>
                <w:lang w:val="en-AU" w:eastAsia="en-AU"/>
              </w:rPr>
            </w:pPr>
            <w:r>
              <w:rPr>
                <w:lang w:val="en-AU" w:eastAsia="en-AU"/>
              </w:rPr>
              <w:t>$0.50</w:t>
            </w:r>
          </w:p>
        </w:tc>
        <w:tc>
          <w:tcPr>
            <w:tcW w:w="1005" w:type="pct"/>
            <w:hideMark/>
          </w:tcPr>
          <w:p w14:paraId="7C9AE08B" w14:textId="77777777" w:rsidR="000D07EA" w:rsidRDefault="00BE7C89">
            <w:pPr>
              <w:pStyle w:val="BodyText"/>
              <w:spacing w:before="100" w:after="100"/>
              <w:jc w:val="center"/>
              <w:rPr>
                <w:lang w:val="en-AU" w:eastAsia="en-AU"/>
              </w:rPr>
            </w:pPr>
            <w:r>
              <w:rPr>
                <w:lang w:val="en-AU" w:eastAsia="en-AU"/>
              </w:rPr>
              <w:t>Unlimited</w:t>
            </w:r>
          </w:p>
        </w:tc>
        <w:tc>
          <w:tcPr>
            <w:tcW w:w="1004" w:type="pct"/>
            <w:hideMark/>
          </w:tcPr>
          <w:p w14:paraId="5CA53AFE" w14:textId="77777777" w:rsidR="000D07EA" w:rsidRDefault="00BE7C89">
            <w:pPr>
              <w:pStyle w:val="BodyText"/>
              <w:spacing w:before="100" w:after="100"/>
              <w:jc w:val="center"/>
              <w:rPr>
                <w:lang w:val="en-AU" w:eastAsia="en-AU"/>
              </w:rPr>
            </w:pPr>
            <w:r>
              <w:rPr>
                <w:lang w:val="en-AU" w:eastAsia="en-AU"/>
              </w:rPr>
              <w:t>Unlimited</w:t>
            </w:r>
          </w:p>
        </w:tc>
      </w:tr>
      <w:tr w:rsidR="000D07EA" w14:paraId="22FAED9C" w14:textId="77777777">
        <w:tc>
          <w:tcPr>
            <w:tcW w:w="1986" w:type="pct"/>
            <w:hideMark/>
          </w:tcPr>
          <w:p w14:paraId="0B1DB31B" w14:textId="77777777" w:rsidR="000D07EA" w:rsidRDefault="00BE7C89">
            <w:pPr>
              <w:pStyle w:val="BodyText"/>
              <w:spacing w:before="100" w:after="100"/>
              <w:rPr>
                <w:b/>
                <w:lang w:val="en-AU" w:eastAsia="en-AU"/>
              </w:rPr>
            </w:pPr>
            <w:r>
              <w:rPr>
                <w:b/>
                <w:lang w:val="en-AU" w:eastAsia="en-AU"/>
              </w:rPr>
              <w:t>National Video Calling (per minute)</w:t>
            </w:r>
          </w:p>
        </w:tc>
        <w:tc>
          <w:tcPr>
            <w:tcW w:w="1005" w:type="pct"/>
            <w:hideMark/>
          </w:tcPr>
          <w:p w14:paraId="0D6CD606" w14:textId="77777777" w:rsidR="000D07EA" w:rsidRDefault="00BE7C89">
            <w:pPr>
              <w:pStyle w:val="BodyText"/>
              <w:spacing w:before="100" w:after="100"/>
              <w:jc w:val="center"/>
              <w:rPr>
                <w:lang w:val="en-AU" w:eastAsia="en-AU"/>
              </w:rPr>
            </w:pPr>
            <w:r>
              <w:rPr>
                <w:lang w:val="en-AU" w:eastAsia="en-AU"/>
              </w:rPr>
              <w:t>$1.00</w:t>
            </w:r>
          </w:p>
        </w:tc>
        <w:tc>
          <w:tcPr>
            <w:tcW w:w="1005" w:type="pct"/>
            <w:hideMark/>
          </w:tcPr>
          <w:p w14:paraId="235B5509" w14:textId="77777777" w:rsidR="000D07EA" w:rsidRDefault="00BE7C89">
            <w:pPr>
              <w:pStyle w:val="BodyText"/>
              <w:spacing w:before="100" w:after="100"/>
              <w:jc w:val="center"/>
              <w:rPr>
                <w:lang w:val="en-AU" w:eastAsia="en-AU"/>
              </w:rPr>
            </w:pPr>
            <w:r>
              <w:rPr>
                <w:lang w:val="en-AU" w:eastAsia="en-AU"/>
              </w:rPr>
              <w:t>$1.00</w:t>
            </w:r>
          </w:p>
        </w:tc>
        <w:tc>
          <w:tcPr>
            <w:tcW w:w="1004" w:type="pct"/>
            <w:hideMark/>
          </w:tcPr>
          <w:p w14:paraId="01D9FE3C" w14:textId="77777777" w:rsidR="000D07EA" w:rsidRDefault="00BE7C89">
            <w:pPr>
              <w:pStyle w:val="BodyText"/>
              <w:spacing w:before="100" w:after="100"/>
              <w:jc w:val="center"/>
              <w:rPr>
                <w:lang w:val="en-AU" w:eastAsia="en-AU"/>
              </w:rPr>
            </w:pPr>
            <w:r>
              <w:rPr>
                <w:lang w:val="en-AU" w:eastAsia="en-AU"/>
              </w:rPr>
              <w:t>$1.00</w:t>
            </w:r>
          </w:p>
        </w:tc>
      </w:tr>
      <w:tr w:rsidR="000D07EA" w14:paraId="5DDAC020" w14:textId="77777777">
        <w:tc>
          <w:tcPr>
            <w:tcW w:w="1986" w:type="pct"/>
            <w:hideMark/>
          </w:tcPr>
          <w:p w14:paraId="0F7A3ACA" w14:textId="77777777" w:rsidR="000D07EA" w:rsidRDefault="00BE7C89">
            <w:pPr>
              <w:pStyle w:val="BodyText"/>
              <w:spacing w:before="100" w:after="100"/>
              <w:rPr>
                <w:b/>
                <w:i/>
                <w:iCs/>
                <w:lang w:val="en-AU" w:eastAsia="en-AU"/>
              </w:rPr>
            </w:pPr>
            <w:r>
              <w:rPr>
                <w:b/>
                <w:i/>
                <w:iCs/>
                <w:lang w:val="en-AU" w:eastAsia="en-AU"/>
              </w:rPr>
              <w:t xml:space="preserve">Flagfall </w:t>
            </w:r>
            <w:r>
              <w:rPr>
                <w:b/>
                <w:lang w:val="en-AU" w:eastAsia="en-AU"/>
              </w:rPr>
              <w:t>for National Video Calls (per call)</w:t>
            </w:r>
          </w:p>
        </w:tc>
        <w:tc>
          <w:tcPr>
            <w:tcW w:w="1005" w:type="pct"/>
            <w:hideMark/>
          </w:tcPr>
          <w:p w14:paraId="5F2E1BF1" w14:textId="77777777" w:rsidR="000D07EA" w:rsidRDefault="00BE7C89">
            <w:pPr>
              <w:pStyle w:val="BodyText"/>
              <w:spacing w:before="100" w:after="100"/>
              <w:jc w:val="center"/>
              <w:rPr>
                <w:lang w:val="en-AU" w:eastAsia="en-AU"/>
              </w:rPr>
            </w:pPr>
            <w:r>
              <w:rPr>
                <w:lang w:val="en-AU" w:eastAsia="en-AU"/>
              </w:rPr>
              <w:t>$0.35</w:t>
            </w:r>
          </w:p>
        </w:tc>
        <w:tc>
          <w:tcPr>
            <w:tcW w:w="1005" w:type="pct"/>
            <w:hideMark/>
          </w:tcPr>
          <w:p w14:paraId="06F2CE1C" w14:textId="77777777" w:rsidR="000D07EA" w:rsidRDefault="00BE7C89">
            <w:pPr>
              <w:pStyle w:val="BodyText"/>
              <w:spacing w:before="100" w:after="100"/>
              <w:jc w:val="center"/>
              <w:rPr>
                <w:lang w:val="en-AU" w:eastAsia="en-AU"/>
              </w:rPr>
            </w:pPr>
            <w:r>
              <w:rPr>
                <w:lang w:val="en-AU" w:eastAsia="en-AU"/>
              </w:rPr>
              <w:t>$0.35</w:t>
            </w:r>
          </w:p>
        </w:tc>
        <w:tc>
          <w:tcPr>
            <w:tcW w:w="1004" w:type="pct"/>
            <w:hideMark/>
          </w:tcPr>
          <w:p w14:paraId="2BD9CEAE" w14:textId="77777777" w:rsidR="000D07EA" w:rsidRDefault="00BE7C89">
            <w:pPr>
              <w:pStyle w:val="BodyText"/>
              <w:spacing w:before="100" w:after="100"/>
              <w:jc w:val="center"/>
              <w:rPr>
                <w:lang w:val="en-AU" w:eastAsia="en-AU"/>
              </w:rPr>
            </w:pPr>
            <w:r>
              <w:rPr>
                <w:lang w:val="en-AU" w:eastAsia="en-AU"/>
              </w:rPr>
              <w:t>$0.35</w:t>
            </w:r>
          </w:p>
        </w:tc>
      </w:tr>
      <w:tr w:rsidR="000D07EA" w14:paraId="4061E2B0" w14:textId="77777777">
        <w:trPr>
          <w:cantSplit/>
        </w:trPr>
        <w:tc>
          <w:tcPr>
            <w:tcW w:w="1986" w:type="pct"/>
            <w:vMerge w:val="restart"/>
            <w:hideMark/>
          </w:tcPr>
          <w:p w14:paraId="2C098071" w14:textId="77777777" w:rsidR="000D07EA" w:rsidRDefault="00BE7C89">
            <w:pPr>
              <w:pStyle w:val="BodyText"/>
              <w:spacing w:before="100" w:after="100"/>
              <w:rPr>
                <w:b/>
                <w:lang w:val="en-AU" w:eastAsia="en-AU"/>
              </w:rPr>
            </w:pPr>
            <w:r>
              <w:rPr>
                <w:b/>
                <w:lang w:val="en-AU" w:eastAsia="en-AU"/>
              </w:rPr>
              <w:t>Your Choice Of:</w:t>
            </w:r>
          </w:p>
        </w:tc>
        <w:tc>
          <w:tcPr>
            <w:tcW w:w="1005" w:type="pct"/>
            <w:hideMark/>
          </w:tcPr>
          <w:p w14:paraId="03912959" w14:textId="77777777" w:rsidR="000D07EA" w:rsidRDefault="00BE7C89">
            <w:pPr>
              <w:pStyle w:val="BodyText"/>
              <w:spacing w:before="100" w:after="100"/>
              <w:jc w:val="center"/>
              <w:rPr>
                <w:lang w:val="en-AU" w:eastAsia="en-AU"/>
              </w:rPr>
            </w:pPr>
            <w:r>
              <w:rPr>
                <w:lang w:val="en-AU" w:eastAsia="en-AU"/>
              </w:rPr>
              <w:t>500MB of Mobile Internet Data</w:t>
            </w:r>
          </w:p>
        </w:tc>
        <w:tc>
          <w:tcPr>
            <w:tcW w:w="1005" w:type="pct"/>
            <w:hideMark/>
          </w:tcPr>
          <w:p w14:paraId="72EBFAF2" w14:textId="77777777" w:rsidR="000D07EA" w:rsidRDefault="00BE7C89">
            <w:pPr>
              <w:pStyle w:val="BodyText"/>
              <w:spacing w:before="100" w:after="100"/>
              <w:jc w:val="center"/>
              <w:rPr>
                <w:lang w:val="en-AU" w:eastAsia="en-AU"/>
              </w:rPr>
            </w:pPr>
            <w:r>
              <w:rPr>
                <w:lang w:val="en-AU" w:eastAsia="en-AU"/>
              </w:rPr>
              <w:t>1GB of Mobile Internet Data</w:t>
            </w:r>
          </w:p>
        </w:tc>
        <w:tc>
          <w:tcPr>
            <w:tcW w:w="1004" w:type="pct"/>
            <w:hideMark/>
          </w:tcPr>
          <w:p w14:paraId="6206F7EB" w14:textId="77777777" w:rsidR="000D07EA" w:rsidRDefault="00BE7C89">
            <w:pPr>
              <w:pStyle w:val="BodyText"/>
              <w:spacing w:before="100" w:after="100"/>
              <w:jc w:val="center"/>
              <w:rPr>
                <w:lang w:val="en-AU" w:eastAsia="en-AU"/>
              </w:rPr>
            </w:pPr>
            <w:r>
              <w:rPr>
                <w:lang w:val="en-AU" w:eastAsia="en-AU"/>
              </w:rPr>
              <w:t>1.2GB of Mobile Internet Data</w:t>
            </w:r>
          </w:p>
        </w:tc>
      </w:tr>
      <w:tr w:rsidR="000D07EA" w14:paraId="3590657C" w14:textId="77777777">
        <w:trPr>
          <w:cantSplit/>
        </w:trPr>
        <w:tc>
          <w:tcPr>
            <w:tcW w:w="1986" w:type="pct"/>
            <w:vMerge/>
            <w:vAlign w:val="center"/>
            <w:hideMark/>
          </w:tcPr>
          <w:p w14:paraId="06425E7F" w14:textId="77777777" w:rsidR="000D07EA" w:rsidRDefault="000D07EA">
            <w:pPr>
              <w:pStyle w:val="BodyText"/>
              <w:spacing w:before="100" w:after="100"/>
              <w:rPr>
                <w:lang w:val="en-AU" w:eastAsia="en-AU"/>
              </w:rPr>
            </w:pPr>
          </w:p>
        </w:tc>
        <w:tc>
          <w:tcPr>
            <w:tcW w:w="3014" w:type="pct"/>
            <w:gridSpan w:val="3"/>
            <w:hideMark/>
          </w:tcPr>
          <w:p w14:paraId="3B2FD879" w14:textId="77777777" w:rsidR="000D07EA" w:rsidRDefault="00BE7C89">
            <w:pPr>
              <w:pStyle w:val="BodyText"/>
              <w:spacing w:before="100" w:after="100"/>
              <w:jc w:val="center"/>
              <w:rPr>
                <w:lang w:val="en-AU" w:eastAsia="en-AU"/>
              </w:rPr>
            </w:pPr>
            <w:r>
              <w:rPr>
                <w:lang w:val="en-AU" w:eastAsia="en-AU"/>
              </w:rPr>
              <w:t>OR</w:t>
            </w:r>
          </w:p>
        </w:tc>
      </w:tr>
      <w:tr w:rsidR="000D07EA" w14:paraId="6209E183" w14:textId="77777777">
        <w:trPr>
          <w:cantSplit/>
        </w:trPr>
        <w:tc>
          <w:tcPr>
            <w:tcW w:w="1986" w:type="pct"/>
            <w:vMerge/>
            <w:vAlign w:val="center"/>
            <w:hideMark/>
          </w:tcPr>
          <w:p w14:paraId="7F92237B" w14:textId="77777777" w:rsidR="000D07EA" w:rsidRDefault="000D07EA">
            <w:pPr>
              <w:pStyle w:val="BodyText"/>
              <w:spacing w:before="100" w:after="100"/>
              <w:rPr>
                <w:lang w:val="en-AU" w:eastAsia="en-AU"/>
              </w:rPr>
            </w:pPr>
          </w:p>
        </w:tc>
        <w:tc>
          <w:tcPr>
            <w:tcW w:w="1005" w:type="pct"/>
            <w:hideMark/>
          </w:tcPr>
          <w:p w14:paraId="246812EE" w14:textId="77777777" w:rsidR="000D07EA" w:rsidRDefault="00BE7C89">
            <w:pPr>
              <w:pStyle w:val="BodyText"/>
              <w:spacing w:before="100" w:after="100"/>
              <w:jc w:val="center"/>
              <w:rPr>
                <w:lang w:val="en-AU" w:eastAsia="en-AU"/>
              </w:rPr>
            </w:pPr>
            <w:r>
              <w:rPr>
                <w:lang w:val="en-AU" w:eastAsia="en-AU"/>
              </w:rPr>
              <w:t>Unlimited BlackBerry POP3 Email and Browsing plus 50MB of Mobile Internet Data</w:t>
            </w:r>
          </w:p>
        </w:tc>
        <w:tc>
          <w:tcPr>
            <w:tcW w:w="1005" w:type="pct"/>
            <w:hideMark/>
          </w:tcPr>
          <w:p w14:paraId="47AB0801" w14:textId="77777777" w:rsidR="000D07EA" w:rsidRDefault="00BE7C89">
            <w:pPr>
              <w:pStyle w:val="BodyText"/>
              <w:spacing w:before="100" w:after="100"/>
              <w:jc w:val="center"/>
              <w:rPr>
                <w:lang w:val="en-AU" w:eastAsia="en-AU"/>
              </w:rPr>
            </w:pPr>
            <w:r>
              <w:rPr>
                <w:lang w:val="en-AU" w:eastAsia="en-AU"/>
              </w:rPr>
              <w:t>Unlimited BlackBerry POP3 Email and Browsing plus 100MB of Mobile Internet Data</w:t>
            </w:r>
          </w:p>
        </w:tc>
        <w:tc>
          <w:tcPr>
            <w:tcW w:w="1004" w:type="pct"/>
            <w:hideMark/>
          </w:tcPr>
          <w:p w14:paraId="075EFC83" w14:textId="77777777" w:rsidR="000D07EA" w:rsidRDefault="00BE7C89">
            <w:pPr>
              <w:pStyle w:val="BodyText"/>
              <w:spacing w:before="100" w:after="100"/>
              <w:jc w:val="center"/>
              <w:rPr>
                <w:lang w:val="en-AU" w:eastAsia="en-AU"/>
              </w:rPr>
            </w:pPr>
            <w:r>
              <w:rPr>
                <w:lang w:val="en-AU" w:eastAsia="en-AU"/>
              </w:rPr>
              <w:t>Unlimited BlackBerry POP3 Email and Browsing plus 100MB of Mobile Internet Data</w:t>
            </w:r>
          </w:p>
        </w:tc>
      </w:tr>
      <w:tr w:rsidR="000D07EA" w14:paraId="5900CA26" w14:textId="77777777">
        <w:tc>
          <w:tcPr>
            <w:tcW w:w="1986" w:type="pct"/>
            <w:hideMark/>
          </w:tcPr>
          <w:p w14:paraId="301D5A13" w14:textId="77777777" w:rsidR="000D07EA" w:rsidRDefault="00BE7C89">
            <w:pPr>
              <w:pStyle w:val="BodyText"/>
              <w:keepNext/>
              <w:spacing w:before="100" w:after="100"/>
              <w:rPr>
                <w:b/>
                <w:lang w:val="en-AU" w:eastAsia="en-AU"/>
              </w:rPr>
            </w:pPr>
            <w:r>
              <w:rPr>
                <w:b/>
                <w:lang w:val="en-AU" w:eastAsia="en-AU"/>
              </w:rPr>
              <w:t>Other call charges (for example international calls, calls to mobiles)</w:t>
            </w:r>
          </w:p>
        </w:tc>
        <w:tc>
          <w:tcPr>
            <w:tcW w:w="3014" w:type="pct"/>
            <w:gridSpan w:val="3"/>
            <w:hideMark/>
          </w:tcPr>
          <w:p w14:paraId="71154B90" w14:textId="77777777" w:rsidR="000D07EA" w:rsidRDefault="00BE7C89">
            <w:pPr>
              <w:pStyle w:val="BodyText"/>
              <w:keepNext/>
              <w:spacing w:before="100" w:after="100"/>
              <w:jc w:val="center"/>
              <w:rPr>
                <w:lang w:val="en-AU" w:eastAsia="en-AU"/>
              </w:rPr>
            </w:pPr>
            <w:r>
              <w:rPr>
                <w:lang w:val="en-AU" w:eastAsia="en-AU"/>
              </w:rPr>
              <w:t xml:space="preserve">See section 1 of this </w:t>
            </w:r>
            <w:r>
              <w:rPr>
                <w:i/>
                <w:iCs/>
                <w:lang w:val="en-AU" w:eastAsia="en-AU"/>
              </w:rPr>
              <w:t>standard pricing table</w:t>
            </w:r>
            <w:r>
              <w:rPr>
                <w:lang w:val="en-AU" w:eastAsia="en-AU"/>
              </w:rPr>
              <w:t xml:space="preserve"> and </w:t>
            </w:r>
            <w:hyperlink r:id="rId246" w:history="1">
              <w:r>
                <w:rPr>
                  <w:rStyle w:val="Hyperlink"/>
                  <w:i/>
                  <w:lang w:val="en-AU" w:eastAsia="en-AU"/>
                </w:rPr>
                <w:t>Appendix Y</w:t>
              </w:r>
            </w:hyperlink>
            <w:r>
              <w:rPr>
                <w:lang w:val="en-AU" w:eastAsia="en-AU"/>
              </w:rPr>
              <w:t xml:space="preserve"> (Value Added Service Features)</w:t>
            </w:r>
          </w:p>
        </w:tc>
      </w:tr>
      <w:tr w:rsidR="000D07EA" w14:paraId="7E86279C" w14:textId="77777777">
        <w:tc>
          <w:tcPr>
            <w:tcW w:w="1986" w:type="pct"/>
            <w:hideMark/>
          </w:tcPr>
          <w:p w14:paraId="0E57F0F2" w14:textId="77777777" w:rsidR="000D07EA" w:rsidRDefault="00BE7C89">
            <w:pPr>
              <w:pStyle w:val="BodyText"/>
              <w:spacing w:before="100" w:after="100"/>
              <w:rPr>
                <w:lang w:val="en-AU" w:eastAsia="en-AU"/>
              </w:rPr>
            </w:pPr>
            <w:r>
              <w:rPr>
                <w:b/>
                <w:lang w:val="en-AU" w:eastAsia="en-AU"/>
              </w:rPr>
              <w:t>Other conditions</w:t>
            </w:r>
            <w:r>
              <w:rPr>
                <w:lang w:val="en-AU" w:eastAsia="en-AU"/>
              </w:rPr>
              <w:t xml:space="preserve"> (for details see Appendix </w:t>
            </w:r>
            <w:r w:rsidR="00DD7FB0">
              <w:rPr>
                <w:lang w:val="en-AU" w:eastAsia="en-AU"/>
              </w:rPr>
              <w:t>S</w:t>
            </w:r>
            <w:r>
              <w:rPr>
                <w:lang w:val="en-AU" w:eastAsia="en-AU"/>
              </w:rPr>
              <w:t>)</w:t>
            </w:r>
          </w:p>
        </w:tc>
        <w:tc>
          <w:tcPr>
            <w:tcW w:w="3014" w:type="pct"/>
            <w:gridSpan w:val="3"/>
            <w:hideMark/>
          </w:tcPr>
          <w:p w14:paraId="5EC31EEC" w14:textId="77777777" w:rsidR="000D07EA" w:rsidRDefault="00BE7C89">
            <w:pPr>
              <w:pStyle w:val="BodyText"/>
              <w:spacing w:before="100" w:after="100"/>
              <w:jc w:val="center"/>
              <w:rPr>
                <w:lang w:val="en-AU" w:eastAsia="en-AU"/>
              </w:rPr>
            </w:pPr>
            <w:r>
              <w:t>Fair Go Policy (</w:t>
            </w:r>
            <w:hyperlink r:id="rId247" w:history="1">
              <w:r>
                <w:rPr>
                  <w:rStyle w:val="Hyperlink"/>
                  <w:i/>
                </w:rPr>
                <w:t>Appendix S</w:t>
              </w:r>
            </w:hyperlink>
            <w:r>
              <w:t>)</w:t>
            </w:r>
            <w:r>
              <w:rPr>
                <w:lang w:val="en-AU" w:eastAsia="en-AU"/>
              </w:rPr>
              <w:t xml:space="preserve"> applies to 'excessive use,' 'unreasonable use,' and 'unacceptable use'.</w:t>
            </w:r>
          </w:p>
        </w:tc>
      </w:tr>
      <w:tr w:rsidR="000D07EA" w14:paraId="3DF4B973" w14:textId="77777777">
        <w:tc>
          <w:tcPr>
            <w:tcW w:w="1986" w:type="pct"/>
            <w:hideMark/>
          </w:tcPr>
          <w:p w14:paraId="7BAA90BE" w14:textId="77777777" w:rsidR="000D07EA" w:rsidRDefault="00BE7C89">
            <w:pPr>
              <w:pStyle w:val="BodyText"/>
              <w:spacing w:before="100" w:after="100"/>
              <w:rPr>
                <w:b/>
                <w:lang w:val="en-AU" w:eastAsia="en-AU"/>
              </w:rPr>
            </w:pPr>
            <w:r>
              <w:rPr>
                <w:b/>
                <w:lang w:val="en-AU" w:eastAsia="en-AU"/>
              </w:rPr>
              <w:t>Available on Non Fixed Contract (Month to Month)</w:t>
            </w:r>
          </w:p>
        </w:tc>
        <w:tc>
          <w:tcPr>
            <w:tcW w:w="1005" w:type="pct"/>
            <w:hideMark/>
          </w:tcPr>
          <w:p w14:paraId="597FB9A4" w14:textId="77777777" w:rsidR="000D07EA" w:rsidRDefault="00BE7C89">
            <w:pPr>
              <w:pStyle w:val="BodyText"/>
              <w:spacing w:before="100" w:after="100"/>
              <w:jc w:val="center"/>
              <w:rPr>
                <w:lang w:val="en-AU" w:eastAsia="en-AU"/>
              </w:rPr>
            </w:pPr>
            <w:r>
              <w:rPr>
                <w:lang w:val="en-AU" w:eastAsia="en-AU"/>
              </w:rPr>
              <w:t>No</w:t>
            </w:r>
          </w:p>
        </w:tc>
        <w:tc>
          <w:tcPr>
            <w:tcW w:w="1005" w:type="pct"/>
            <w:hideMark/>
          </w:tcPr>
          <w:p w14:paraId="1401A2B8" w14:textId="77777777" w:rsidR="000D07EA" w:rsidRDefault="00BE7C89">
            <w:pPr>
              <w:pStyle w:val="BodyText"/>
              <w:spacing w:before="100" w:after="100"/>
              <w:jc w:val="center"/>
              <w:rPr>
                <w:lang w:val="en-AU" w:eastAsia="en-AU"/>
              </w:rPr>
            </w:pPr>
            <w:r>
              <w:rPr>
                <w:lang w:val="en-AU" w:eastAsia="en-AU"/>
              </w:rPr>
              <w:t>No</w:t>
            </w:r>
          </w:p>
        </w:tc>
        <w:tc>
          <w:tcPr>
            <w:tcW w:w="1004" w:type="pct"/>
            <w:hideMark/>
          </w:tcPr>
          <w:p w14:paraId="1DCC3407" w14:textId="77777777" w:rsidR="000D07EA" w:rsidRDefault="00BE7C89">
            <w:pPr>
              <w:pStyle w:val="BodyText"/>
              <w:spacing w:before="100" w:after="100"/>
              <w:jc w:val="center"/>
              <w:rPr>
                <w:lang w:val="en-AU" w:eastAsia="en-AU"/>
              </w:rPr>
            </w:pPr>
            <w:r>
              <w:rPr>
                <w:lang w:val="en-AU" w:eastAsia="en-AU"/>
              </w:rPr>
              <w:t>No</w:t>
            </w:r>
          </w:p>
        </w:tc>
      </w:tr>
      <w:tr w:rsidR="000D07EA" w14:paraId="7236A2C3" w14:textId="77777777">
        <w:tc>
          <w:tcPr>
            <w:tcW w:w="1986" w:type="pct"/>
            <w:hideMark/>
          </w:tcPr>
          <w:p w14:paraId="707B4080" w14:textId="77777777" w:rsidR="000D07EA" w:rsidRDefault="00BE7C89">
            <w:pPr>
              <w:pStyle w:val="BodyText"/>
              <w:spacing w:before="100" w:after="100"/>
              <w:rPr>
                <w:b/>
                <w:lang w:val="en-AU" w:eastAsia="en-AU"/>
              </w:rPr>
            </w:pPr>
            <w:r>
              <w:rPr>
                <w:b/>
                <w:lang w:val="en-AU" w:eastAsia="en-AU"/>
              </w:rPr>
              <w:t>Available on a Fixed Term Contract (12 or 24 Months)</w:t>
            </w:r>
          </w:p>
        </w:tc>
        <w:tc>
          <w:tcPr>
            <w:tcW w:w="1005" w:type="pct"/>
            <w:hideMark/>
          </w:tcPr>
          <w:p w14:paraId="43665288" w14:textId="77777777" w:rsidR="000D07EA" w:rsidRDefault="00BE7C89">
            <w:pPr>
              <w:pStyle w:val="BodyText"/>
              <w:spacing w:before="100" w:after="100"/>
              <w:jc w:val="center"/>
              <w:rPr>
                <w:lang w:val="en-AU" w:eastAsia="en-AU"/>
              </w:rPr>
            </w:pPr>
            <w:r>
              <w:rPr>
                <w:lang w:val="en-AU" w:eastAsia="en-AU"/>
              </w:rPr>
              <w:t>Yes</w:t>
            </w:r>
          </w:p>
        </w:tc>
        <w:tc>
          <w:tcPr>
            <w:tcW w:w="1005" w:type="pct"/>
            <w:hideMark/>
          </w:tcPr>
          <w:p w14:paraId="4778F1C4" w14:textId="77777777" w:rsidR="000D07EA" w:rsidRDefault="00BE7C89">
            <w:pPr>
              <w:pStyle w:val="BodyText"/>
              <w:spacing w:before="100" w:after="100"/>
              <w:jc w:val="center"/>
              <w:rPr>
                <w:lang w:val="en-AU" w:eastAsia="en-AU"/>
              </w:rPr>
            </w:pPr>
            <w:r>
              <w:rPr>
                <w:lang w:val="en-AU" w:eastAsia="en-AU"/>
              </w:rPr>
              <w:t>Yes</w:t>
            </w:r>
          </w:p>
        </w:tc>
        <w:tc>
          <w:tcPr>
            <w:tcW w:w="1004" w:type="pct"/>
            <w:hideMark/>
          </w:tcPr>
          <w:p w14:paraId="05DFB530" w14:textId="77777777" w:rsidR="000D07EA" w:rsidRDefault="00BE7C89">
            <w:pPr>
              <w:pStyle w:val="BodyText"/>
              <w:spacing w:before="100" w:after="100"/>
              <w:jc w:val="center"/>
              <w:rPr>
                <w:lang w:val="en-AU" w:eastAsia="en-AU"/>
              </w:rPr>
            </w:pPr>
            <w:r>
              <w:rPr>
                <w:lang w:val="en-AU" w:eastAsia="en-AU"/>
              </w:rPr>
              <w:t>Yes</w:t>
            </w:r>
          </w:p>
        </w:tc>
      </w:tr>
      <w:tr w:rsidR="000D07EA" w14:paraId="0A106CA5" w14:textId="77777777">
        <w:tc>
          <w:tcPr>
            <w:tcW w:w="1986" w:type="pct"/>
            <w:hideMark/>
          </w:tcPr>
          <w:p w14:paraId="350F191D" w14:textId="77777777" w:rsidR="000D07EA" w:rsidRDefault="00BE7C89">
            <w:pPr>
              <w:pStyle w:val="BodyText"/>
              <w:spacing w:before="100" w:after="100"/>
              <w:rPr>
                <w:b/>
                <w:lang w:val="en-AU" w:eastAsia="en-AU"/>
              </w:rPr>
            </w:pPr>
            <w:r>
              <w:rPr>
                <w:b/>
                <w:lang w:val="en-AU" w:eastAsia="en-AU"/>
              </w:rPr>
              <w:t xml:space="preserve">Minimum Total Cost of the Business Complete Max Plans over a 24 month </w:t>
            </w:r>
            <w:r>
              <w:rPr>
                <w:b/>
                <w:i/>
                <w:iCs/>
                <w:lang w:val="en-AU" w:eastAsia="en-AU"/>
              </w:rPr>
              <w:t>minimum term (</w:t>
            </w:r>
            <w:r>
              <w:rPr>
                <w:b/>
                <w:lang w:val="en-AU" w:eastAsia="en-AU"/>
              </w:rPr>
              <w:t>amount excludes any handset repayments if any)</w:t>
            </w:r>
          </w:p>
        </w:tc>
        <w:tc>
          <w:tcPr>
            <w:tcW w:w="1005" w:type="pct"/>
            <w:hideMark/>
          </w:tcPr>
          <w:p w14:paraId="1F433432" w14:textId="77777777" w:rsidR="000D07EA" w:rsidRDefault="00BE7C89">
            <w:pPr>
              <w:pStyle w:val="BodyText"/>
              <w:spacing w:before="100" w:after="100"/>
              <w:jc w:val="center"/>
              <w:rPr>
                <w:lang w:val="en-AU" w:eastAsia="en-AU"/>
              </w:rPr>
            </w:pPr>
            <w:r>
              <w:rPr>
                <w:lang w:val="en-AU" w:eastAsia="en-AU"/>
              </w:rPr>
              <w:t>$1,176</w:t>
            </w:r>
          </w:p>
        </w:tc>
        <w:tc>
          <w:tcPr>
            <w:tcW w:w="1005" w:type="pct"/>
            <w:hideMark/>
          </w:tcPr>
          <w:p w14:paraId="703620A7" w14:textId="77777777" w:rsidR="000D07EA" w:rsidRDefault="00BE7C89">
            <w:pPr>
              <w:pStyle w:val="BodyText"/>
              <w:spacing w:before="100" w:after="100"/>
              <w:jc w:val="center"/>
              <w:rPr>
                <w:lang w:val="en-AU" w:eastAsia="en-AU"/>
              </w:rPr>
            </w:pPr>
            <w:r>
              <w:rPr>
                <w:lang w:val="en-AU" w:eastAsia="en-AU"/>
              </w:rPr>
              <w:t>$1,416</w:t>
            </w:r>
          </w:p>
        </w:tc>
        <w:tc>
          <w:tcPr>
            <w:tcW w:w="1004" w:type="pct"/>
            <w:hideMark/>
          </w:tcPr>
          <w:p w14:paraId="678F933D" w14:textId="77777777" w:rsidR="000D07EA" w:rsidRDefault="00BE7C89">
            <w:pPr>
              <w:pStyle w:val="BodyText"/>
              <w:spacing w:before="100" w:after="100"/>
              <w:jc w:val="center"/>
              <w:rPr>
                <w:lang w:val="en-AU" w:eastAsia="en-AU"/>
              </w:rPr>
            </w:pPr>
            <w:r>
              <w:rPr>
                <w:lang w:val="en-AU" w:eastAsia="en-AU"/>
              </w:rPr>
              <w:t>$1,896</w:t>
            </w:r>
          </w:p>
        </w:tc>
      </w:tr>
      <w:tr w:rsidR="000D07EA" w14:paraId="37741E76" w14:textId="77777777">
        <w:tc>
          <w:tcPr>
            <w:tcW w:w="1986" w:type="pct"/>
            <w:hideMark/>
          </w:tcPr>
          <w:p w14:paraId="3324B57B" w14:textId="77777777" w:rsidR="000D07EA" w:rsidRDefault="00BE7C89">
            <w:pPr>
              <w:pStyle w:val="BodyText"/>
              <w:spacing w:before="100" w:after="100"/>
              <w:rPr>
                <w:b/>
                <w:lang w:val="en-AU" w:eastAsia="en-AU"/>
              </w:rPr>
            </w:pPr>
            <w:r>
              <w:rPr>
                <w:b/>
                <w:lang w:val="en-AU" w:eastAsia="en-AU"/>
              </w:rPr>
              <w:t xml:space="preserve">Minimum Total Cost of the Business Complete Max Plans over a 12 month </w:t>
            </w:r>
            <w:r>
              <w:rPr>
                <w:b/>
                <w:i/>
                <w:iCs/>
                <w:lang w:val="en-AU" w:eastAsia="en-AU"/>
              </w:rPr>
              <w:t>minimum term (</w:t>
            </w:r>
            <w:r>
              <w:rPr>
                <w:b/>
                <w:lang w:val="en-AU" w:eastAsia="en-AU"/>
              </w:rPr>
              <w:t>amount excludes any handset repayments if any)</w:t>
            </w:r>
          </w:p>
        </w:tc>
        <w:tc>
          <w:tcPr>
            <w:tcW w:w="1005" w:type="pct"/>
            <w:hideMark/>
          </w:tcPr>
          <w:p w14:paraId="22530AB9" w14:textId="77777777" w:rsidR="000D07EA" w:rsidRDefault="00BE7C89">
            <w:pPr>
              <w:pStyle w:val="BodyText"/>
              <w:spacing w:before="100" w:after="100"/>
              <w:jc w:val="center"/>
              <w:rPr>
                <w:lang w:val="en-AU" w:eastAsia="en-AU"/>
              </w:rPr>
            </w:pPr>
            <w:r>
              <w:rPr>
                <w:lang w:val="en-AU" w:eastAsia="en-AU"/>
              </w:rPr>
              <w:t>$588</w:t>
            </w:r>
          </w:p>
        </w:tc>
        <w:tc>
          <w:tcPr>
            <w:tcW w:w="1005" w:type="pct"/>
            <w:hideMark/>
          </w:tcPr>
          <w:p w14:paraId="66CF2948" w14:textId="77777777" w:rsidR="000D07EA" w:rsidRDefault="00BE7C89">
            <w:pPr>
              <w:pStyle w:val="BodyText"/>
              <w:spacing w:before="100" w:after="100"/>
              <w:jc w:val="center"/>
              <w:rPr>
                <w:lang w:val="en-AU" w:eastAsia="en-AU"/>
              </w:rPr>
            </w:pPr>
            <w:r>
              <w:rPr>
                <w:lang w:val="en-AU" w:eastAsia="en-AU"/>
              </w:rPr>
              <w:t>$708</w:t>
            </w:r>
          </w:p>
        </w:tc>
        <w:tc>
          <w:tcPr>
            <w:tcW w:w="1004" w:type="pct"/>
            <w:hideMark/>
          </w:tcPr>
          <w:p w14:paraId="346F9356" w14:textId="77777777" w:rsidR="000D07EA" w:rsidRDefault="00BE7C89">
            <w:pPr>
              <w:pStyle w:val="BodyText"/>
              <w:spacing w:before="100" w:after="100"/>
              <w:jc w:val="center"/>
              <w:rPr>
                <w:lang w:val="en-AU" w:eastAsia="en-AU"/>
              </w:rPr>
            </w:pPr>
            <w:r>
              <w:rPr>
                <w:lang w:val="en-AU" w:eastAsia="en-AU"/>
              </w:rPr>
              <w:t>$948</w:t>
            </w:r>
          </w:p>
        </w:tc>
      </w:tr>
    </w:tbl>
    <w:p w14:paraId="7CC174FF" w14:textId="77777777" w:rsidR="000D07EA" w:rsidRDefault="000D07EA">
      <w:pPr>
        <w:pStyle w:val="BodyText"/>
      </w:pPr>
    </w:p>
    <w:p w14:paraId="24B25C90" w14:textId="77777777" w:rsidR="000D07EA" w:rsidRDefault="00BE7C89">
      <w:pPr>
        <w:pStyle w:val="Heading6"/>
        <w:ind w:left="0" w:firstLine="0"/>
      </w:pPr>
      <w:r>
        <w:t>BYO Options (effective from 18 July 2010)</w:t>
      </w:r>
    </w:p>
    <w:p w14:paraId="6995D8F3" w14:textId="77777777" w:rsidR="000D07EA" w:rsidRDefault="00BE7C89">
      <w:pPr>
        <w:pStyle w:val="Heading7"/>
      </w:pPr>
      <w:r>
        <w:t>Eligibility</w:t>
      </w:r>
    </w:p>
    <w:p w14:paraId="34B0DDE9" w14:textId="77777777" w:rsidR="000D07EA" w:rsidRDefault="00BE7C89">
      <w:pPr>
        <w:pStyle w:val="Heading8"/>
      </w:pPr>
      <w:r>
        <w:t xml:space="preserve">"BYO Options" as listed in Table 3A below, are available to </w:t>
      </w:r>
      <w:r>
        <w:rPr>
          <w:i/>
        </w:rPr>
        <w:t>Optus small or medium business</w:t>
      </w:r>
      <w:r>
        <w:t xml:space="preserve"> customers who connect to a Business Complete Max plan over 12 months and either connect their</w:t>
      </w:r>
      <w:r>
        <w:rPr>
          <w:i/>
        </w:rPr>
        <w:t xml:space="preserve"> </w:t>
      </w:r>
      <w:r>
        <w:t xml:space="preserve">own </w:t>
      </w:r>
      <w:r>
        <w:rPr>
          <w:i/>
        </w:rPr>
        <w:t xml:space="preserve">mobile phone </w:t>
      </w:r>
      <w:r>
        <w:t xml:space="preserve">or purchase a </w:t>
      </w:r>
      <w:r>
        <w:rPr>
          <w:i/>
        </w:rPr>
        <w:t xml:space="preserve">mobile phone </w:t>
      </w:r>
      <w:r>
        <w:t xml:space="preserve">from </w:t>
      </w:r>
      <w:r>
        <w:rPr>
          <w:i/>
        </w:rPr>
        <w:t xml:space="preserve">us </w:t>
      </w:r>
      <w:r>
        <w:t xml:space="preserve">under a </w:t>
      </w:r>
      <w:r>
        <w:rPr>
          <w:i/>
        </w:rPr>
        <w:t>mobile equipment payment plan</w:t>
      </w:r>
      <w:r>
        <w:t>.</w:t>
      </w:r>
    </w:p>
    <w:p w14:paraId="003E0240" w14:textId="77777777" w:rsidR="000D07EA" w:rsidRDefault="00BE7C89">
      <w:pPr>
        <w:pStyle w:val="Heading7"/>
      </w:pPr>
      <w:r>
        <w:rPr>
          <w:rStyle w:val="Heading7Char"/>
        </w:rPr>
        <w:t>By</w:t>
      </w:r>
      <w:r>
        <w:t xml:space="preserve"> signing up over 12 months on the Business Complete Max plans you can select one of the four BYO Options available to each plan listed in Table 3A.</w:t>
      </w:r>
    </w:p>
    <w:p w14:paraId="65E8F31E" w14:textId="77777777" w:rsidR="000D07EA" w:rsidRDefault="00BE7C89">
      <w:pPr>
        <w:pStyle w:val="Heading7"/>
      </w:pPr>
      <w:r>
        <w:t>At the end of the 12 months term you will no longer receive your selected BYO Option. To continue to receive the BYO Option you may recontract for a further 12 months.</w:t>
      </w:r>
    </w:p>
    <w:p w14:paraId="34C3A3A3" w14:textId="77777777" w:rsidR="000D07EA" w:rsidRDefault="00BE7C89">
      <w:pPr>
        <w:pStyle w:val="Heading7"/>
      </w:pPr>
      <w:r>
        <w:t xml:space="preserve">Customers may request to change between BYO Options once per bill cycle. Changes between BYO options will be pro-rated from the date the change occurs. To change between BYO Options customer can call Optus Customer Service on </w:t>
      </w:r>
      <w:r>
        <w:rPr>
          <w:b/>
        </w:rPr>
        <w:t>133 937</w:t>
      </w:r>
      <w:r>
        <w:t>.</w:t>
      </w:r>
    </w:p>
    <w:p w14:paraId="50696EFE" w14:textId="77777777" w:rsidR="000D07EA" w:rsidRDefault="00BE7C89">
      <w:pPr>
        <w:pStyle w:val="BodyText"/>
        <w:ind w:left="720"/>
        <w:rPr>
          <w:b/>
        </w:rPr>
      </w:pPr>
      <w:r>
        <w:rPr>
          <w:b/>
        </w:rPr>
        <w:t>Table 3A</w:t>
      </w:r>
    </w:p>
    <w:p w14:paraId="77D3EAC0" w14:textId="77777777" w:rsidR="000D07EA" w:rsidRDefault="00BE7C89">
      <w:pPr>
        <w:pStyle w:val="BodyText"/>
        <w:ind w:left="720"/>
      </w:pPr>
      <w:r>
        <w:t xml:space="preserve">Customers who select a BYO Option can select </w:t>
      </w:r>
      <w:r>
        <w:rPr>
          <w:b/>
        </w:rPr>
        <w:t>one</w:t>
      </w:r>
      <w:r>
        <w:t xml:space="preserve"> of the following</w:t>
      </w: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903"/>
        <w:gridCol w:w="2187"/>
        <w:gridCol w:w="2187"/>
        <w:gridCol w:w="2184"/>
      </w:tblGrid>
      <w:tr w:rsidR="000D07EA" w14:paraId="3E86D891" w14:textId="77777777">
        <w:trPr>
          <w:trHeight w:val="237"/>
          <w:tblHeader/>
        </w:trPr>
        <w:tc>
          <w:tcPr>
            <w:tcW w:w="1534" w:type="pct"/>
            <w:hideMark/>
          </w:tcPr>
          <w:p w14:paraId="17E1B7D8" w14:textId="77777777" w:rsidR="000D07EA" w:rsidRDefault="00BE7C89">
            <w:pPr>
              <w:pStyle w:val="BodyText"/>
              <w:spacing w:before="100" w:after="100"/>
              <w:rPr>
                <w:b/>
              </w:rPr>
            </w:pPr>
            <w:r>
              <w:rPr>
                <w:b/>
              </w:rPr>
              <w:lastRenderedPageBreak/>
              <w:t>BYO Option</w:t>
            </w:r>
            <w:r>
              <w:rPr>
                <w:b/>
              </w:rPr>
              <w:br/>
              <w:t>(Per Month)</w:t>
            </w:r>
          </w:p>
        </w:tc>
        <w:tc>
          <w:tcPr>
            <w:tcW w:w="1156" w:type="pct"/>
            <w:hideMark/>
          </w:tcPr>
          <w:p w14:paraId="4956A91E" w14:textId="77777777" w:rsidR="000D07EA" w:rsidRDefault="00BE7C89">
            <w:pPr>
              <w:pStyle w:val="BodyText"/>
              <w:spacing w:before="100" w:after="100"/>
              <w:rPr>
                <w:b/>
              </w:rPr>
            </w:pPr>
            <w:r>
              <w:rPr>
                <w:b/>
              </w:rPr>
              <w:t xml:space="preserve">$49 Business Complete Max </w:t>
            </w:r>
          </w:p>
        </w:tc>
        <w:tc>
          <w:tcPr>
            <w:tcW w:w="1156" w:type="pct"/>
            <w:hideMark/>
          </w:tcPr>
          <w:p w14:paraId="1CA2C0F6" w14:textId="77777777" w:rsidR="000D07EA" w:rsidRDefault="00BE7C89">
            <w:pPr>
              <w:pStyle w:val="BodyText"/>
              <w:spacing w:before="100" w:after="100"/>
              <w:rPr>
                <w:b/>
              </w:rPr>
            </w:pPr>
            <w:r>
              <w:rPr>
                <w:b/>
              </w:rPr>
              <w:t xml:space="preserve">$59 Business Complete Max </w:t>
            </w:r>
          </w:p>
        </w:tc>
        <w:tc>
          <w:tcPr>
            <w:tcW w:w="1155" w:type="pct"/>
            <w:hideMark/>
          </w:tcPr>
          <w:p w14:paraId="2AD167C6" w14:textId="77777777" w:rsidR="000D07EA" w:rsidRDefault="00BE7C89">
            <w:pPr>
              <w:pStyle w:val="BodyText"/>
              <w:spacing w:before="100" w:after="100"/>
              <w:rPr>
                <w:b/>
              </w:rPr>
            </w:pPr>
            <w:r>
              <w:rPr>
                <w:b/>
              </w:rPr>
              <w:t xml:space="preserve">$79 Business Complete Max </w:t>
            </w:r>
          </w:p>
        </w:tc>
      </w:tr>
      <w:tr w:rsidR="000D07EA" w14:paraId="2AF91C9B" w14:textId="77777777">
        <w:tc>
          <w:tcPr>
            <w:tcW w:w="1534" w:type="pct"/>
            <w:hideMark/>
          </w:tcPr>
          <w:p w14:paraId="562F1102" w14:textId="77777777" w:rsidR="000D07EA" w:rsidRDefault="00BE7C89">
            <w:pPr>
              <w:pStyle w:val="BodyText"/>
              <w:spacing w:before="100" w:after="100"/>
            </w:pPr>
            <w:r>
              <w:t>Standard National SMS/MMS Pack</w:t>
            </w:r>
          </w:p>
        </w:tc>
        <w:tc>
          <w:tcPr>
            <w:tcW w:w="1156" w:type="pct"/>
            <w:hideMark/>
          </w:tcPr>
          <w:p w14:paraId="66AC6DDD" w14:textId="77777777" w:rsidR="000D07EA" w:rsidRDefault="00BE7C89">
            <w:pPr>
              <w:pStyle w:val="BodyText"/>
              <w:spacing w:before="100" w:after="100"/>
            </w:pPr>
            <w:r>
              <w:t xml:space="preserve">Unlimited* Standard National SMS/MMS </w:t>
            </w:r>
          </w:p>
        </w:tc>
        <w:tc>
          <w:tcPr>
            <w:tcW w:w="1156" w:type="pct"/>
            <w:hideMark/>
          </w:tcPr>
          <w:p w14:paraId="7FFFA5F3" w14:textId="77777777" w:rsidR="000D07EA" w:rsidRDefault="00BE7C89">
            <w:pPr>
              <w:pStyle w:val="BodyText"/>
              <w:spacing w:before="100" w:after="100"/>
            </w:pPr>
            <w:r>
              <w:t>NA</w:t>
            </w:r>
          </w:p>
        </w:tc>
        <w:tc>
          <w:tcPr>
            <w:tcW w:w="1155" w:type="pct"/>
            <w:hideMark/>
          </w:tcPr>
          <w:p w14:paraId="0D8E6659" w14:textId="77777777" w:rsidR="000D07EA" w:rsidRDefault="00BE7C89">
            <w:pPr>
              <w:pStyle w:val="BodyText"/>
              <w:spacing w:before="100" w:after="100"/>
            </w:pPr>
            <w:r>
              <w:t>NA</w:t>
            </w:r>
          </w:p>
        </w:tc>
      </w:tr>
      <w:tr w:rsidR="000D07EA" w14:paraId="6AB5BDBA" w14:textId="77777777">
        <w:tc>
          <w:tcPr>
            <w:tcW w:w="1534" w:type="pct"/>
            <w:hideMark/>
          </w:tcPr>
          <w:p w14:paraId="31CB2998" w14:textId="77777777" w:rsidR="000D07EA" w:rsidRDefault="00BE7C89">
            <w:pPr>
              <w:pStyle w:val="BodyText"/>
              <w:spacing w:before="100" w:after="100"/>
            </w:pPr>
            <w:r>
              <w:t>Optus2AnyOne Value</w:t>
            </w:r>
          </w:p>
        </w:tc>
        <w:tc>
          <w:tcPr>
            <w:tcW w:w="1156" w:type="pct"/>
            <w:hideMark/>
          </w:tcPr>
          <w:p w14:paraId="5A078A67" w14:textId="77777777" w:rsidR="000D07EA" w:rsidRDefault="00BE7C89">
            <w:pPr>
              <w:pStyle w:val="BodyText"/>
              <w:spacing w:before="100" w:after="100"/>
            </w:pPr>
            <w:r>
              <w:t>$170</w:t>
            </w:r>
          </w:p>
        </w:tc>
        <w:tc>
          <w:tcPr>
            <w:tcW w:w="1156" w:type="pct"/>
            <w:hideMark/>
          </w:tcPr>
          <w:p w14:paraId="6E55779E" w14:textId="77777777" w:rsidR="000D07EA" w:rsidRDefault="00BE7C89">
            <w:pPr>
              <w:pStyle w:val="BodyText"/>
              <w:spacing w:before="100" w:after="100"/>
            </w:pPr>
            <w:r>
              <w:t>$270</w:t>
            </w:r>
          </w:p>
        </w:tc>
        <w:tc>
          <w:tcPr>
            <w:tcW w:w="1155" w:type="pct"/>
            <w:hideMark/>
          </w:tcPr>
          <w:p w14:paraId="5FDADF4F" w14:textId="77777777" w:rsidR="000D07EA" w:rsidRDefault="00BE7C89">
            <w:pPr>
              <w:pStyle w:val="BodyText"/>
              <w:spacing w:before="100" w:after="100"/>
            </w:pPr>
            <w:r>
              <w:t>$290</w:t>
            </w:r>
          </w:p>
        </w:tc>
      </w:tr>
      <w:tr w:rsidR="000D07EA" w14:paraId="1F8C0F0A" w14:textId="77777777">
        <w:tc>
          <w:tcPr>
            <w:tcW w:w="1534" w:type="pct"/>
            <w:hideMark/>
          </w:tcPr>
          <w:p w14:paraId="593C7537" w14:textId="77777777" w:rsidR="000D07EA" w:rsidRDefault="00BE7C89">
            <w:pPr>
              <w:pStyle w:val="BodyText"/>
              <w:keepNext/>
              <w:spacing w:before="100" w:after="100"/>
            </w:pPr>
            <w:r>
              <w:t>International Value</w:t>
            </w:r>
          </w:p>
        </w:tc>
        <w:tc>
          <w:tcPr>
            <w:tcW w:w="1156" w:type="pct"/>
            <w:hideMark/>
          </w:tcPr>
          <w:p w14:paraId="7F69A75A" w14:textId="77777777" w:rsidR="000D07EA" w:rsidRDefault="00BE7C89">
            <w:pPr>
              <w:pStyle w:val="BodyText"/>
              <w:keepNext/>
              <w:spacing w:before="100" w:after="100"/>
            </w:pPr>
            <w:r>
              <w:t xml:space="preserve">$50 value for </w:t>
            </w:r>
            <w:r>
              <w:br/>
              <w:t>International Calls &amp; International SMS</w:t>
            </w:r>
          </w:p>
        </w:tc>
        <w:tc>
          <w:tcPr>
            <w:tcW w:w="1156" w:type="pct"/>
            <w:hideMark/>
          </w:tcPr>
          <w:p w14:paraId="134628E0" w14:textId="77777777" w:rsidR="000D07EA" w:rsidRDefault="00BE7C89">
            <w:pPr>
              <w:pStyle w:val="BodyText"/>
              <w:keepNext/>
              <w:spacing w:before="100" w:after="100"/>
            </w:pPr>
            <w:r>
              <w:t xml:space="preserve">$180 value for </w:t>
            </w:r>
            <w:r>
              <w:br/>
              <w:t>International Calls &amp; International SMS</w:t>
            </w:r>
          </w:p>
        </w:tc>
        <w:tc>
          <w:tcPr>
            <w:tcW w:w="1155" w:type="pct"/>
            <w:hideMark/>
          </w:tcPr>
          <w:p w14:paraId="059AD28D" w14:textId="77777777" w:rsidR="000D07EA" w:rsidRDefault="00BE7C89">
            <w:pPr>
              <w:pStyle w:val="BodyText"/>
              <w:keepNext/>
              <w:spacing w:before="100" w:after="100"/>
            </w:pPr>
            <w:r>
              <w:t xml:space="preserve">$180 value for </w:t>
            </w:r>
            <w:r>
              <w:br/>
              <w:t>International Calls &amp; International SMS</w:t>
            </w:r>
          </w:p>
        </w:tc>
      </w:tr>
      <w:tr w:rsidR="000D07EA" w14:paraId="2DD01538" w14:textId="77777777">
        <w:tc>
          <w:tcPr>
            <w:tcW w:w="1534" w:type="pct"/>
            <w:hideMark/>
          </w:tcPr>
          <w:p w14:paraId="5B29C5BA" w14:textId="77777777" w:rsidR="000D07EA" w:rsidRDefault="00BE7C89">
            <w:pPr>
              <w:pStyle w:val="BodyText"/>
              <w:spacing w:before="100" w:after="100"/>
            </w:pPr>
            <w:r>
              <w:t>Internet Value Pack</w:t>
            </w:r>
          </w:p>
        </w:tc>
        <w:tc>
          <w:tcPr>
            <w:tcW w:w="1156" w:type="pct"/>
            <w:hideMark/>
          </w:tcPr>
          <w:p w14:paraId="6C935B44" w14:textId="77777777" w:rsidR="000D07EA" w:rsidRDefault="00BE7C89">
            <w:pPr>
              <w:pStyle w:val="BodyText"/>
              <w:spacing w:before="100" w:after="100"/>
            </w:pPr>
            <w:r>
              <w:t>500MB</w:t>
            </w:r>
          </w:p>
        </w:tc>
        <w:tc>
          <w:tcPr>
            <w:tcW w:w="1156" w:type="pct"/>
            <w:hideMark/>
          </w:tcPr>
          <w:p w14:paraId="6C2132B7" w14:textId="77777777" w:rsidR="000D07EA" w:rsidRDefault="00BE7C89">
            <w:pPr>
              <w:pStyle w:val="BodyText"/>
              <w:spacing w:before="100" w:after="100"/>
            </w:pPr>
            <w:r>
              <w:t>1GB</w:t>
            </w:r>
          </w:p>
        </w:tc>
        <w:tc>
          <w:tcPr>
            <w:tcW w:w="1155" w:type="pct"/>
            <w:hideMark/>
          </w:tcPr>
          <w:p w14:paraId="50A38FCA" w14:textId="77777777" w:rsidR="000D07EA" w:rsidRDefault="00BE7C89">
            <w:pPr>
              <w:pStyle w:val="BodyText"/>
              <w:spacing w:before="100" w:after="100"/>
            </w:pPr>
            <w:r>
              <w:t>1GB</w:t>
            </w:r>
          </w:p>
        </w:tc>
      </w:tr>
    </w:tbl>
    <w:p w14:paraId="22CAE135" w14:textId="77777777" w:rsidR="000D07EA" w:rsidRDefault="00BE7C89">
      <w:pPr>
        <w:pStyle w:val="BodyText"/>
        <w:spacing w:after="0"/>
        <w:ind w:left="720"/>
        <w:rPr>
          <w:sz w:val="16"/>
          <w:szCs w:val="16"/>
        </w:rPr>
      </w:pPr>
      <w:r>
        <w:rPr>
          <w:sz w:val="16"/>
          <w:szCs w:val="16"/>
        </w:rPr>
        <w:t>* Fair Go Policy (</w:t>
      </w:r>
      <w:hyperlink r:id="rId248" w:history="1">
        <w:r>
          <w:rPr>
            <w:rStyle w:val="Hyperlink"/>
            <w:i/>
            <w:sz w:val="16"/>
            <w:szCs w:val="16"/>
          </w:rPr>
          <w:t>Appendix S</w:t>
        </w:r>
      </w:hyperlink>
      <w:r>
        <w:rPr>
          <w:sz w:val="16"/>
          <w:szCs w:val="16"/>
        </w:rPr>
        <w:t>) applies.</w:t>
      </w:r>
    </w:p>
    <w:p w14:paraId="5C2E7C41" w14:textId="77777777" w:rsidR="000D07EA" w:rsidRDefault="000D07EA">
      <w:pPr>
        <w:pStyle w:val="BodyText"/>
      </w:pPr>
    </w:p>
    <w:p w14:paraId="7E61A6D2" w14:textId="77777777" w:rsidR="000D07EA" w:rsidRDefault="00BE7C89">
      <w:pPr>
        <w:pStyle w:val="Heading7"/>
        <w:rPr>
          <w:b/>
        </w:rPr>
      </w:pPr>
      <w:r>
        <w:rPr>
          <w:b/>
        </w:rPr>
        <w:t>Standard National SMS &amp; MMS Pack (BYO Option)</w:t>
      </w:r>
    </w:p>
    <w:p w14:paraId="0349C4FF" w14:textId="77777777" w:rsidR="000D07EA" w:rsidRDefault="00BE7C89">
      <w:pPr>
        <w:pStyle w:val="Heading8"/>
      </w:pPr>
      <w:r>
        <w:t xml:space="preserve">The Standard National SMS/MMS Pack BYO Option allows </w:t>
      </w:r>
      <w:r>
        <w:rPr>
          <w:i/>
        </w:rPr>
        <w:t>you</w:t>
      </w:r>
      <w:r>
        <w:t xml:space="preserve"> to send a specified amount of standard national SMS and MMS to GSM mobiles within Australia, as stated in Table 3A.</w:t>
      </w:r>
    </w:p>
    <w:p w14:paraId="4017241B" w14:textId="77777777" w:rsidR="000D07EA" w:rsidRDefault="00BE7C89">
      <w:pPr>
        <w:pStyle w:val="Heading8"/>
      </w:pPr>
      <w:r>
        <w:t>Offer excludes International SMS and MMS, Premium SMS and MMS, Group and Email SMS and MMS.</w:t>
      </w:r>
    </w:p>
    <w:p w14:paraId="52D105DD" w14:textId="77777777" w:rsidR="000D07EA" w:rsidRDefault="00BE7C89">
      <w:pPr>
        <w:pStyle w:val="Heading8"/>
      </w:pPr>
      <w:r>
        <w:rPr>
          <w:i/>
        </w:rPr>
        <w:t xml:space="preserve">You </w:t>
      </w:r>
      <w:r>
        <w:t>must pay for any messages that are not eligible messages or usage exceeding the specified amount stated in Table 3A.</w:t>
      </w:r>
    </w:p>
    <w:p w14:paraId="37DAC8E6" w14:textId="77777777" w:rsidR="000D07EA" w:rsidRDefault="00BE7C89">
      <w:pPr>
        <w:pStyle w:val="Heading8"/>
      </w:pPr>
      <w:r>
        <w:rPr>
          <w:snapToGrid w:val="0"/>
        </w:rPr>
        <w:t>Any unused portion of the plan expires at the end of each month. This means that it does not roll over into following month.</w:t>
      </w:r>
    </w:p>
    <w:p w14:paraId="5F5A02AF" w14:textId="77777777" w:rsidR="000D07EA" w:rsidRDefault="00BE7C89">
      <w:pPr>
        <w:pStyle w:val="Heading8"/>
      </w:pPr>
      <w:r>
        <w:t>The standard national SMS &amp; MMS pack applies for personal or business use only. Fair Go Policy (</w:t>
      </w:r>
      <w:hyperlink r:id="rId249" w:history="1">
        <w:r>
          <w:rPr>
            <w:rStyle w:val="Hyperlink"/>
            <w:i/>
          </w:rPr>
          <w:t>Appendix S</w:t>
        </w:r>
      </w:hyperlink>
      <w:r>
        <w:t>) applies.</w:t>
      </w:r>
    </w:p>
    <w:p w14:paraId="1B25D954" w14:textId="77777777" w:rsidR="000D07EA" w:rsidRDefault="00BE7C89">
      <w:pPr>
        <w:pStyle w:val="Heading7"/>
        <w:rPr>
          <w:b/>
        </w:rPr>
      </w:pPr>
      <w:r>
        <w:rPr>
          <w:b/>
        </w:rPr>
        <w:t>Additional Optus2AnyOne Value (BYO Option)</w:t>
      </w:r>
    </w:p>
    <w:p w14:paraId="160F389F" w14:textId="77777777" w:rsidR="000D07EA" w:rsidRDefault="00BE7C89">
      <w:pPr>
        <w:pStyle w:val="Heading8"/>
      </w:pPr>
      <w:r>
        <w:t>The additional "Optus2AnyOne Value" BYO Option is an additional call and text value. Customers may select the additional "Optus2AnyOne Value" to be added as their BYO Option. The amount of the additional "Optus2AnyOne Value" is stated in Table 3A. If this option is chosen, the additional value will be combined with the "Included Cap Value" that comes with the Business Complete Max plan.</w:t>
      </w:r>
    </w:p>
    <w:p w14:paraId="60FBDBB7" w14:textId="77777777" w:rsidR="000D07EA" w:rsidRDefault="00BE7C89">
      <w:pPr>
        <w:pStyle w:val="Heading8"/>
      </w:pPr>
      <w:r>
        <w:t xml:space="preserve">Customers must utilise the combined "Optus2AnyOne Value" and "Included Cap Value" before being able to access any of the "Optus2Optus Value" if applicable. </w:t>
      </w:r>
    </w:p>
    <w:p w14:paraId="3928DEE9" w14:textId="77777777" w:rsidR="000D07EA" w:rsidRDefault="00BE7C89">
      <w:pPr>
        <w:pStyle w:val="Heading8"/>
      </w:pPr>
      <w:r>
        <w:t>The call types that are '</w:t>
      </w:r>
      <w:r>
        <w:rPr>
          <w:b/>
        </w:rPr>
        <w:t>eligible calls and text</w:t>
      </w:r>
      <w:r>
        <w:t>' for each 'yes' Business Complete Max Plan under the combined "Optus2AnyOne Value" and "Included Cap Value" are defined in Table 1A above.</w:t>
      </w:r>
    </w:p>
    <w:p w14:paraId="6FFC6BE8" w14:textId="77777777" w:rsidR="000D07EA" w:rsidRDefault="00BE7C89">
      <w:pPr>
        <w:pStyle w:val="Heading8"/>
      </w:pPr>
      <w:r>
        <w:rPr>
          <w:i/>
        </w:rPr>
        <w:t>You</w:t>
      </w:r>
      <w:r>
        <w:t xml:space="preserve"> must pay </w:t>
      </w:r>
      <w:r>
        <w:rPr>
          <w:i/>
        </w:rPr>
        <w:t>us</w:t>
      </w:r>
      <w:r>
        <w:t xml:space="preserve"> call charges for eligible calls and text made beyond the available combined "Optus2AnyOne Value" and "Included Cap Value". </w:t>
      </w:r>
    </w:p>
    <w:p w14:paraId="41C48643" w14:textId="77777777" w:rsidR="000D07EA" w:rsidRDefault="00BE7C89">
      <w:pPr>
        <w:pStyle w:val="Heading8"/>
      </w:pPr>
      <w:r>
        <w:t>Any unused portion of the combined "Optus2AnyOne Value" and "Included Cap Value" expires at the end of each month. This means that it does not roll over into the following month.</w:t>
      </w:r>
    </w:p>
    <w:p w14:paraId="2B5F903B" w14:textId="77777777" w:rsidR="000D07EA" w:rsidRDefault="00BE7C89">
      <w:pPr>
        <w:pStyle w:val="Heading7"/>
        <w:rPr>
          <w:b/>
        </w:rPr>
      </w:pPr>
      <w:r>
        <w:rPr>
          <w:b/>
        </w:rPr>
        <w:t>International Value (BYO Option)</w:t>
      </w:r>
    </w:p>
    <w:p w14:paraId="0C2D03C0" w14:textId="77777777" w:rsidR="000D07EA" w:rsidRDefault="00BE7C89">
      <w:pPr>
        <w:pStyle w:val="Heading8"/>
      </w:pPr>
      <w:r>
        <w:rPr>
          <w:rStyle w:val="Heading8Char"/>
        </w:rPr>
        <w:t>The</w:t>
      </w:r>
      <w:r>
        <w:t xml:space="preserve"> International Value BYO Option give </w:t>
      </w:r>
      <w:r>
        <w:rPr>
          <w:i/>
        </w:rPr>
        <w:t>you</w:t>
      </w:r>
      <w:r>
        <w:t xml:space="preserve"> included value that can be used for international calls and international SMS made from Australia (includes calls to national fixed or GSM mobile services that then divert/switch or re-route overseas). </w:t>
      </w:r>
      <w:r>
        <w:rPr>
          <w:i/>
        </w:rPr>
        <w:t>We</w:t>
      </w:r>
      <w:r>
        <w:t xml:space="preserve"> will charge </w:t>
      </w:r>
      <w:r>
        <w:rPr>
          <w:i/>
        </w:rPr>
        <w:lastRenderedPageBreak/>
        <w:t>you</w:t>
      </w:r>
      <w:r>
        <w:t xml:space="preserve"> for calls made to international destinations at the 'yes' Business International rates (not including calls to Satellite) as set out in </w:t>
      </w:r>
      <w:hyperlink r:id="rId250" w:history="1">
        <w:r>
          <w:rPr>
            <w:rStyle w:val="Hyperlink"/>
            <w:i/>
          </w:rPr>
          <w:t>Appendix J</w:t>
        </w:r>
      </w:hyperlink>
      <w:r>
        <w:t xml:space="preserve"> to the </w:t>
      </w:r>
      <w:r>
        <w:rPr>
          <w:i/>
        </w:rPr>
        <w:t>agreement</w:t>
      </w:r>
      <w:r>
        <w:t>.</w:t>
      </w:r>
    </w:p>
    <w:p w14:paraId="35F587D6" w14:textId="77777777" w:rsidR="000D07EA" w:rsidRDefault="00BE7C89">
      <w:pPr>
        <w:pStyle w:val="Heading8"/>
      </w:pPr>
      <w:r>
        <w:t xml:space="preserve">The included value </w:t>
      </w:r>
      <w:r>
        <w:rPr>
          <w:i/>
        </w:rPr>
        <w:t>you</w:t>
      </w:r>
      <w:r>
        <w:t xml:space="preserve"> receive is defined above in Table 3A.</w:t>
      </w:r>
    </w:p>
    <w:p w14:paraId="2768E13A" w14:textId="77777777" w:rsidR="000D07EA" w:rsidRDefault="00BE7C89">
      <w:pPr>
        <w:pStyle w:val="Heading8"/>
      </w:pPr>
      <w:r>
        <w:t xml:space="preserve">The included value does not include: Voice calls, Voice Mail, Premium and Third Party SMS, MMS, International MMS, Optus Zoo subscription content &amp; Third Party content and applications, 1300, 1900, roaming. Use of these services will be charged at the prevailing rates for your mobile plan or </w:t>
      </w:r>
      <w:r>
        <w:rPr>
          <w:i/>
        </w:rPr>
        <w:t>Value Added Service Feature</w:t>
      </w:r>
      <w:r>
        <w:t xml:space="preserve"> as described in </w:t>
      </w:r>
      <w:hyperlink r:id="rId251" w:history="1">
        <w:r>
          <w:rPr>
            <w:rStyle w:val="Hyperlink"/>
            <w:i/>
          </w:rPr>
          <w:t>Appendix Y</w:t>
        </w:r>
      </w:hyperlink>
      <w:r>
        <w:t xml:space="preserve"> to the </w:t>
      </w:r>
      <w:r>
        <w:rPr>
          <w:i/>
        </w:rPr>
        <w:t>agreement</w:t>
      </w:r>
      <w:r>
        <w:t>.</w:t>
      </w:r>
    </w:p>
    <w:p w14:paraId="7D9548A8" w14:textId="77777777" w:rsidR="000D07EA" w:rsidRDefault="00BE7C89">
      <w:pPr>
        <w:pStyle w:val="Heading8"/>
      </w:pPr>
      <w:r>
        <w:t xml:space="preserve">Excess usage will be charged at the standard international call and international SMS rate for your applicable plan and will apply to any usage over </w:t>
      </w:r>
      <w:r>
        <w:rPr>
          <w:i/>
        </w:rPr>
        <w:t>your</w:t>
      </w:r>
      <w:r>
        <w:t xml:space="preserve"> monthly included value.</w:t>
      </w:r>
    </w:p>
    <w:p w14:paraId="63114605" w14:textId="77777777" w:rsidR="000D07EA" w:rsidRDefault="00BE7C89">
      <w:pPr>
        <w:pStyle w:val="Heading7"/>
        <w:rPr>
          <w:b/>
        </w:rPr>
      </w:pPr>
      <w:r>
        <w:rPr>
          <w:b/>
        </w:rPr>
        <w:t>Internet Value (BYO Option)</w:t>
      </w:r>
    </w:p>
    <w:p w14:paraId="28B82AB9" w14:textId="77777777" w:rsidR="000D07EA" w:rsidRDefault="00BE7C89">
      <w:pPr>
        <w:pStyle w:val="Heading8"/>
      </w:pPr>
      <w:r>
        <w:rPr>
          <w:rStyle w:val="Heading8Char"/>
        </w:rPr>
        <w:t>The</w:t>
      </w:r>
      <w:r>
        <w:t xml:space="preserve"> Internet Value BYO Option allows </w:t>
      </w:r>
      <w:r>
        <w:rPr>
          <w:i/>
        </w:rPr>
        <w:t>you</w:t>
      </w:r>
      <w:r>
        <w:t xml:space="preserve"> to access the Internet from </w:t>
      </w:r>
      <w:r>
        <w:rPr>
          <w:i/>
        </w:rPr>
        <w:t>your</w:t>
      </w:r>
      <w:r>
        <w:t xml:space="preserve"> iPhone. The Internet Value BYO Option can also be used for </w:t>
      </w:r>
      <w:r>
        <w:rPr>
          <w:i/>
        </w:rPr>
        <w:t>tethered modem</w:t>
      </w:r>
      <w:r>
        <w:t xml:space="preserve"> when added in conjunction with iPhone as Modem access. (See the </w:t>
      </w:r>
      <w:hyperlink r:id="rId252" w:history="1">
        <w:r>
          <w:rPr>
            <w:rStyle w:val="Hyperlink"/>
            <w:rFonts w:eastAsia="MS Gothic"/>
            <w:i/>
          </w:rPr>
          <w:t>Wireless Internet Pricing Service, Standard Pricing Table</w:t>
        </w:r>
      </w:hyperlink>
      <w:r>
        <w:t xml:space="preserve"> for more details.)</w:t>
      </w:r>
    </w:p>
    <w:p w14:paraId="3C4BCD2E" w14:textId="77777777" w:rsidR="000D07EA" w:rsidRDefault="00BE7C89">
      <w:pPr>
        <w:pStyle w:val="Heading8"/>
      </w:pPr>
      <w:r>
        <w:t xml:space="preserve">The </w:t>
      </w:r>
      <w:r>
        <w:rPr>
          <w:i/>
        </w:rPr>
        <w:t>service</w:t>
      </w:r>
      <w:r>
        <w:t xml:space="preserve"> is only available within Optus 3G/HSPA or GSM coverage areas and is subject to </w:t>
      </w:r>
      <w:r>
        <w:rPr>
          <w:i/>
        </w:rPr>
        <w:t>network</w:t>
      </w:r>
      <w:r>
        <w:t xml:space="preserve"> availability.</w:t>
      </w:r>
    </w:p>
    <w:p w14:paraId="430B2C9C" w14:textId="77777777" w:rsidR="000D07EA" w:rsidRDefault="00BE7C89">
      <w:pPr>
        <w:pStyle w:val="Heading8"/>
      </w:pPr>
      <w:r>
        <w:t xml:space="preserve">The included data amount does not include: Voice calls, Voice Mail, International SMS, premium and Third Party SMS, MMS, Optus Zoo subscription content &amp; Third Party content and applications, International MMS, 1300, 1900, Circuit Switched Data and Fax. Use of these services will be charged at the prevailing rates for your mobile plan or </w:t>
      </w:r>
      <w:r>
        <w:rPr>
          <w:i/>
        </w:rPr>
        <w:t>value</w:t>
      </w:r>
      <w:r>
        <w:t xml:space="preserve"> </w:t>
      </w:r>
      <w:r>
        <w:rPr>
          <w:i/>
        </w:rPr>
        <w:t>added</w:t>
      </w:r>
      <w:r>
        <w:t xml:space="preserve"> </w:t>
      </w:r>
      <w:r>
        <w:rPr>
          <w:i/>
        </w:rPr>
        <w:t>service</w:t>
      </w:r>
      <w:r>
        <w:t xml:space="preserve"> </w:t>
      </w:r>
      <w:r>
        <w:rPr>
          <w:i/>
        </w:rPr>
        <w:t>feature</w:t>
      </w:r>
      <w:r>
        <w:t xml:space="preserve"> as described in </w:t>
      </w:r>
      <w:hyperlink r:id="rId253" w:history="1">
        <w:r>
          <w:rPr>
            <w:rStyle w:val="Hyperlink"/>
            <w:i/>
          </w:rPr>
          <w:t>Appendix Y</w:t>
        </w:r>
      </w:hyperlink>
      <w:r>
        <w:t xml:space="preserve"> to the </w:t>
      </w:r>
      <w:r>
        <w:rPr>
          <w:i/>
        </w:rPr>
        <w:t>agreement</w:t>
      </w:r>
      <w:r>
        <w:t>.</w:t>
      </w:r>
    </w:p>
    <w:p w14:paraId="1EBB40C7" w14:textId="77777777" w:rsidR="000D07EA" w:rsidRDefault="00BE7C89">
      <w:pPr>
        <w:pStyle w:val="Heading8"/>
      </w:pPr>
      <w:r>
        <w:t>The included data of the Internet Value BYO Option cannot be shared with an eligible Business Mobile Broadband service.</w:t>
      </w:r>
    </w:p>
    <w:p w14:paraId="10B0DF8C" w14:textId="77777777" w:rsidR="000D07EA" w:rsidRDefault="00BE7C89">
      <w:pPr>
        <w:pStyle w:val="Heading8"/>
      </w:pPr>
      <w:r>
        <w:t>Data is counted in kilobytes, 1024KB=1MB, 1024 MB = 1GB and includes both uploads and downloads.</w:t>
      </w:r>
    </w:p>
    <w:p w14:paraId="6C7CBBBF" w14:textId="77777777" w:rsidR="000D07EA" w:rsidRDefault="00BE7C89">
      <w:pPr>
        <w:pStyle w:val="Heading8"/>
      </w:pPr>
      <w:r>
        <w:t>If you exceed the included monthly data allowance, excess usage charges will be charged at $0.10 per MB or part thereof.</w:t>
      </w:r>
    </w:p>
    <w:p w14:paraId="083B8FF1" w14:textId="77777777" w:rsidR="000D07EA" w:rsidRDefault="00BE7C89">
      <w:pPr>
        <w:pStyle w:val="Heading8"/>
      </w:pPr>
      <w:r>
        <w:t xml:space="preserve">If the data </w:t>
      </w:r>
      <w:r>
        <w:rPr>
          <w:i/>
        </w:rPr>
        <w:t>you</w:t>
      </w:r>
      <w:r>
        <w:t xml:space="preserve"> use in a month falls below the amount of included data, the remaining data is forfeited and it does not roll over into the following month.</w:t>
      </w:r>
    </w:p>
    <w:p w14:paraId="700DC646" w14:textId="77777777" w:rsidR="000D07EA" w:rsidRDefault="00BE7C89">
      <w:pPr>
        <w:pStyle w:val="Heading8"/>
      </w:pPr>
      <w:r>
        <w:t xml:space="preserve">Use of Internet Value is subject to the special liability clauses as set out in </w:t>
      </w:r>
      <w:r>
        <w:rPr>
          <w:i/>
        </w:rPr>
        <w:t>Section 9.4 Mobile Internet Pack</w:t>
      </w:r>
      <w:r>
        <w:t xml:space="preserve"> of </w:t>
      </w:r>
      <w:hyperlink r:id="rId254" w:history="1">
        <w:r>
          <w:rPr>
            <w:rStyle w:val="Hyperlink"/>
            <w:i/>
          </w:rPr>
          <w:t>Appendix Y</w:t>
        </w:r>
      </w:hyperlink>
      <w:r>
        <w:t>.</w:t>
      </w:r>
    </w:p>
    <w:p w14:paraId="5B7C4E55" w14:textId="77777777" w:rsidR="000D07EA" w:rsidRDefault="00BE7C89">
      <w:pPr>
        <w:pStyle w:val="Heading6"/>
        <w:ind w:left="0" w:firstLine="0"/>
      </w:pPr>
      <w:r>
        <w:t xml:space="preserve">What happens if the </w:t>
      </w:r>
      <w:r>
        <w:rPr>
          <w:i/>
        </w:rPr>
        <w:t>service</w:t>
      </w:r>
      <w:r>
        <w:t xml:space="preserve"> </w:t>
      </w:r>
      <w:r>
        <w:rPr>
          <w:i/>
        </w:rPr>
        <w:t>is</w:t>
      </w:r>
      <w:r>
        <w:t xml:space="preserve"> </w:t>
      </w:r>
      <w:r>
        <w:rPr>
          <w:i/>
        </w:rPr>
        <w:t>cancelled</w:t>
      </w:r>
      <w:r>
        <w:t xml:space="preserve"> early? </w:t>
      </w:r>
    </w:p>
    <w:p w14:paraId="4AD60A17" w14:textId="77777777" w:rsidR="000D07EA" w:rsidRDefault="00BE7C89">
      <w:pPr>
        <w:pStyle w:val="Heading7"/>
      </w:pPr>
      <w:r>
        <w:t xml:space="preserve">If </w:t>
      </w:r>
      <w:r>
        <w:rPr>
          <w:i/>
        </w:rPr>
        <w:t>the</w:t>
      </w:r>
      <w:r>
        <w:t xml:space="preserve"> </w:t>
      </w:r>
      <w:r>
        <w:rPr>
          <w:i/>
        </w:rPr>
        <w:t>service</w:t>
      </w:r>
      <w:r>
        <w:t xml:space="preserve"> </w:t>
      </w:r>
      <w:r>
        <w:rPr>
          <w:i/>
        </w:rPr>
        <w:t>is</w:t>
      </w:r>
      <w:r>
        <w:t xml:space="preserve"> </w:t>
      </w:r>
      <w:r>
        <w:rPr>
          <w:i/>
        </w:rPr>
        <w:t>cancelled</w:t>
      </w:r>
      <w:r>
        <w:t xml:space="preserve"> before the expiry of the </w:t>
      </w:r>
      <w:r>
        <w:rPr>
          <w:i/>
        </w:rPr>
        <w:t>minimum</w:t>
      </w:r>
      <w:r>
        <w:t xml:space="preserve"> </w:t>
      </w:r>
      <w:r>
        <w:rPr>
          <w:i/>
        </w:rPr>
        <w:t>term</w:t>
      </w:r>
      <w:r>
        <w:t xml:space="preserve">, </w:t>
      </w:r>
      <w:r>
        <w:rPr>
          <w:i/>
        </w:rPr>
        <w:t>you</w:t>
      </w:r>
      <w:r>
        <w:t xml:space="preserve"> will be required to pay </w:t>
      </w:r>
      <w:r>
        <w:rPr>
          <w:i/>
        </w:rPr>
        <w:t>us</w:t>
      </w:r>
      <w:r>
        <w:t>:</w:t>
      </w:r>
    </w:p>
    <w:p w14:paraId="104DEDD3" w14:textId="77777777" w:rsidR="000D07EA" w:rsidRDefault="00BE7C89">
      <w:pPr>
        <w:pStyle w:val="Heading8"/>
      </w:pPr>
      <w:r>
        <w:t>any usage charges incurred up to, and including, the cancellation date; plus</w:t>
      </w:r>
    </w:p>
    <w:p w14:paraId="18A9667C" w14:textId="77777777" w:rsidR="000D07EA" w:rsidRDefault="00BE7C89">
      <w:pPr>
        <w:pStyle w:val="Heading8"/>
      </w:pPr>
      <w:r>
        <w:t xml:space="preserve">the </w:t>
      </w:r>
      <w:r>
        <w:rPr>
          <w:i/>
        </w:rPr>
        <w:t>cancellation</w:t>
      </w:r>
      <w:r>
        <w:t xml:space="preserve"> </w:t>
      </w:r>
      <w:r>
        <w:rPr>
          <w:i/>
        </w:rPr>
        <w:t>fee</w:t>
      </w:r>
      <w:r>
        <w:t xml:space="preserve"> set in paragraph </w:t>
      </w:r>
      <w:r w:rsidR="002624E4">
        <w:t>89.7</w:t>
      </w:r>
      <w:r w:rsidRPr="00272628">
        <w:t>(</w:t>
      </w:r>
      <w:r w:rsidR="002624E4" w:rsidRPr="00272628">
        <w:t>c</w:t>
      </w:r>
      <w:r w:rsidRPr="00272628">
        <w:t xml:space="preserve">) below </w:t>
      </w:r>
      <w:r>
        <w:t xml:space="preserve">(unless under clause 2A of the </w:t>
      </w:r>
      <w:r>
        <w:rPr>
          <w:i/>
        </w:rPr>
        <w:t>consumer</w:t>
      </w:r>
      <w:r>
        <w:t xml:space="preserve"> </w:t>
      </w:r>
      <w:r>
        <w:rPr>
          <w:i/>
        </w:rPr>
        <w:t>terms</w:t>
      </w:r>
      <w:r>
        <w:t xml:space="preserve">, </w:t>
      </w:r>
      <w:r>
        <w:rPr>
          <w:i/>
        </w:rPr>
        <w:t>you</w:t>
      </w:r>
      <w:r>
        <w:t xml:space="preserve"> are entitled to </w:t>
      </w:r>
      <w:r>
        <w:rPr>
          <w:i/>
        </w:rPr>
        <w:t>cancel</w:t>
      </w:r>
      <w:r>
        <w:t xml:space="preserve"> </w:t>
      </w:r>
      <w:r>
        <w:rPr>
          <w:i/>
        </w:rPr>
        <w:t>the</w:t>
      </w:r>
      <w:r>
        <w:t xml:space="preserve"> </w:t>
      </w:r>
      <w:r>
        <w:rPr>
          <w:i/>
        </w:rPr>
        <w:t>service</w:t>
      </w:r>
      <w:r>
        <w:t xml:space="preserve"> without incurring a </w:t>
      </w:r>
      <w:r>
        <w:rPr>
          <w:i/>
        </w:rPr>
        <w:t>cancellation</w:t>
      </w:r>
      <w:r>
        <w:t xml:space="preserve"> </w:t>
      </w:r>
      <w:r>
        <w:rPr>
          <w:i/>
        </w:rPr>
        <w:t>fee</w:t>
      </w:r>
      <w:r>
        <w:t>); plus</w:t>
      </w:r>
    </w:p>
    <w:p w14:paraId="35CD6AAE" w14:textId="77777777" w:rsidR="000D07EA" w:rsidRDefault="00BE7C89">
      <w:pPr>
        <w:pStyle w:val="Heading8"/>
      </w:pPr>
      <w:r>
        <w:t>the sum of unpaid equipment charges owing on your mobile phone under the mobile equipment payment plan (if any).</w:t>
      </w:r>
    </w:p>
    <w:p w14:paraId="24826191" w14:textId="77777777" w:rsidR="000D07EA" w:rsidRDefault="00BE7C89">
      <w:pPr>
        <w:pStyle w:val="Heading7"/>
      </w:pPr>
      <w:r>
        <w:t xml:space="preserve">The </w:t>
      </w:r>
      <w:r>
        <w:rPr>
          <w:i/>
        </w:rPr>
        <w:t>cancellation</w:t>
      </w:r>
      <w:r>
        <w:t xml:space="preserve"> </w:t>
      </w:r>
      <w:r>
        <w:rPr>
          <w:i/>
        </w:rPr>
        <w:t>fee</w:t>
      </w:r>
      <w:r>
        <w:t xml:space="preserve"> for a 24 month Contract is calculated as a fixed amount if the service is cancelled during the first 12 months of the </w:t>
      </w:r>
      <w:r>
        <w:rPr>
          <w:i/>
        </w:rPr>
        <w:t>minimum</w:t>
      </w:r>
      <w:r>
        <w:t xml:space="preserve"> </w:t>
      </w:r>
      <w:r>
        <w:rPr>
          <w:i/>
        </w:rPr>
        <w:t>term</w:t>
      </w:r>
      <w:r>
        <w:t xml:space="preserve"> and then a pro-rata reduction of that fee (indicated as a percentage in brackets in the first column of the table below) if the service is cancelled during the second year of the </w:t>
      </w:r>
      <w:r>
        <w:rPr>
          <w:i/>
        </w:rPr>
        <w:t>minimum</w:t>
      </w:r>
      <w:r>
        <w:t xml:space="preserve"> </w:t>
      </w:r>
      <w:r>
        <w:rPr>
          <w:i/>
        </w:rPr>
        <w:t>term</w:t>
      </w:r>
      <w:r>
        <w:t>.</w:t>
      </w:r>
    </w:p>
    <w:p w14:paraId="38E5AEAD" w14:textId="77777777" w:rsidR="000D07EA" w:rsidRDefault="00BE7C89">
      <w:pPr>
        <w:pStyle w:val="Heading7"/>
      </w:pPr>
      <w:r>
        <w:lastRenderedPageBreak/>
        <w:t xml:space="preserve">The </w:t>
      </w:r>
      <w:r>
        <w:rPr>
          <w:i/>
        </w:rPr>
        <w:t>cancellation</w:t>
      </w:r>
      <w:r>
        <w:t xml:space="preserve"> </w:t>
      </w:r>
      <w:r>
        <w:rPr>
          <w:i/>
        </w:rPr>
        <w:t>fee</w:t>
      </w:r>
      <w:r>
        <w:t xml:space="preserve"> for a 12 month Contract is calculated as a fixed amount if the service is cancelled during the first 6 months of the </w:t>
      </w:r>
      <w:r>
        <w:rPr>
          <w:i/>
        </w:rPr>
        <w:t>minimum</w:t>
      </w:r>
      <w:r>
        <w:t xml:space="preserve"> </w:t>
      </w:r>
      <w:r>
        <w:rPr>
          <w:i/>
        </w:rPr>
        <w:t>term</w:t>
      </w:r>
      <w:r>
        <w:t xml:space="preserve"> and then a pro-rata reduction of that fee (indicated as a percentage in brackets in the first column of the table below) if the service is cancelled during the last 6 months of the </w:t>
      </w:r>
      <w:r>
        <w:rPr>
          <w:i/>
        </w:rPr>
        <w:t>minimum</w:t>
      </w:r>
      <w:r>
        <w:t xml:space="preserve"> </w:t>
      </w:r>
      <w:r>
        <w:rPr>
          <w:i/>
        </w:rPr>
        <w:t>term</w:t>
      </w:r>
      <w:r>
        <w:t>.</w:t>
      </w:r>
    </w:p>
    <w:tbl>
      <w:tblPr>
        <w:tblW w:w="4645" w:type="pct"/>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0"/>
        <w:gridCol w:w="1848"/>
        <w:gridCol w:w="1848"/>
        <w:gridCol w:w="1849"/>
      </w:tblGrid>
      <w:tr w:rsidR="000D07EA" w14:paraId="6087C4E4" w14:textId="77777777">
        <w:tc>
          <w:tcPr>
            <w:tcW w:w="2071" w:type="pct"/>
            <w:shd w:val="clear" w:color="auto" w:fill="auto"/>
          </w:tcPr>
          <w:p w14:paraId="5E6AE2C3" w14:textId="77777777" w:rsidR="000D07EA" w:rsidRDefault="00BE7C89">
            <w:pPr>
              <w:pStyle w:val="BodyText"/>
              <w:spacing w:before="100" w:after="100"/>
              <w:rPr>
                <w:b/>
                <w:lang w:val="en-AU" w:eastAsia="en-AU"/>
              </w:rPr>
            </w:pPr>
            <w:r>
              <w:rPr>
                <w:b/>
                <w:lang w:val="en-AU" w:eastAsia="en-AU"/>
              </w:rPr>
              <w:t xml:space="preserve">When the </w:t>
            </w:r>
            <w:r>
              <w:rPr>
                <w:b/>
                <w:i/>
                <w:lang w:val="en-AU" w:eastAsia="en-AU"/>
              </w:rPr>
              <w:t>service</w:t>
            </w:r>
            <w:r>
              <w:rPr>
                <w:b/>
                <w:lang w:val="en-AU" w:eastAsia="en-AU"/>
              </w:rPr>
              <w:t xml:space="preserve"> is </w:t>
            </w:r>
            <w:r>
              <w:rPr>
                <w:b/>
                <w:i/>
                <w:lang w:val="en-AU" w:eastAsia="en-AU"/>
              </w:rPr>
              <w:t>cancelled</w:t>
            </w:r>
          </w:p>
        </w:tc>
        <w:tc>
          <w:tcPr>
            <w:tcW w:w="2929" w:type="pct"/>
            <w:gridSpan w:val="3"/>
            <w:shd w:val="clear" w:color="auto" w:fill="auto"/>
          </w:tcPr>
          <w:p w14:paraId="458A2A5B" w14:textId="77777777" w:rsidR="000D07EA" w:rsidRDefault="00BE7C89">
            <w:pPr>
              <w:pStyle w:val="BodyText"/>
              <w:spacing w:before="100" w:after="100"/>
              <w:jc w:val="center"/>
              <w:rPr>
                <w:b/>
                <w:i/>
                <w:lang w:val="en-AU" w:eastAsia="en-AU"/>
              </w:rPr>
            </w:pPr>
            <w:r>
              <w:rPr>
                <w:b/>
                <w:i/>
                <w:lang w:val="en-AU" w:eastAsia="en-AU"/>
              </w:rPr>
              <w:t>Cancellation Fee</w:t>
            </w:r>
          </w:p>
        </w:tc>
      </w:tr>
      <w:tr w:rsidR="000D07EA" w14:paraId="6D62B650" w14:textId="77777777">
        <w:tc>
          <w:tcPr>
            <w:tcW w:w="2071" w:type="pct"/>
            <w:shd w:val="clear" w:color="auto" w:fill="auto"/>
          </w:tcPr>
          <w:p w14:paraId="539944E1" w14:textId="77777777" w:rsidR="000D07EA" w:rsidRDefault="000D07EA">
            <w:pPr>
              <w:pStyle w:val="BodyText"/>
              <w:spacing w:before="100" w:after="100"/>
              <w:rPr>
                <w:lang w:val="en-AU" w:eastAsia="en-AU"/>
              </w:rPr>
            </w:pPr>
          </w:p>
        </w:tc>
        <w:tc>
          <w:tcPr>
            <w:tcW w:w="2929" w:type="pct"/>
            <w:gridSpan w:val="3"/>
            <w:shd w:val="clear" w:color="auto" w:fill="auto"/>
          </w:tcPr>
          <w:p w14:paraId="39F454B7" w14:textId="77777777" w:rsidR="000D07EA" w:rsidRDefault="00BE7C89">
            <w:pPr>
              <w:pStyle w:val="BodyText"/>
              <w:spacing w:before="100" w:after="100"/>
              <w:jc w:val="center"/>
              <w:rPr>
                <w:b/>
                <w:lang w:val="en-AU" w:eastAsia="en-AU"/>
              </w:rPr>
            </w:pPr>
            <w:r>
              <w:rPr>
                <w:b/>
                <w:lang w:val="en-AU" w:eastAsia="en-AU"/>
              </w:rPr>
              <w:t>Business Complete Max Plans – 24 Month Contract</w:t>
            </w:r>
          </w:p>
        </w:tc>
      </w:tr>
      <w:tr w:rsidR="000D07EA" w14:paraId="730C6CFD" w14:textId="77777777">
        <w:tc>
          <w:tcPr>
            <w:tcW w:w="2071" w:type="pct"/>
            <w:shd w:val="clear" w:color="auto" w:fill="auto"/>
          </w:tcPr>
          <w:p w14:paraId="7EF8FFFD" w14:textId="77777777" w:rsidR="000D07EA" w:rsidRDefault="000D07EA">
            <w:pPr>
              <w:pStyle w:val="BodyText"/>
              <w:spacing w:before="100" w:after="100"/>
              <w:rPr>
                <w:lang w:val="en-AU" w:eastAsia="en-AU"/>
              </w:rPr>
            </w:pPr>
          </w:p>
        </w:tc>
        <w:tc>
          <w:tcPr>
            <w:tcW w:w="976" w:type="pct"/>
            <w:shd w:val="clear" w:color="auto" w:fill="auto"/>
          </w:tcPr>
          <w:p w14:paraId="31818087" w14:textId="77777777" w:rsidR="000D07EA" w:rsidRDefault="00BE7C89">
            <w:pPr>
              <w:pStyle w:val="BodyText"/>
              <w:spacing w:before="100" w:after="100"/>
              <w:jc w:val="center"/>
              <w:rPr>
                <w:b/>
                <w:lang w:val="en-AU" w:eastAsia="en-AU"/>
              </w:rPr>
            </w:pPr>
            <w:r>
              <w:rPr>
                <w:b/>
                <w:lang w:val="en-AU" w:eastAsia="en-AU"/>
              </w:rPr>
              <w:t>$49 Business Complete Max</w:t>
            </w:r>
          </w:p>
        </w:tc>
        <w:tc>
          <w:tcPr>
            <w:tcW w:w="976" w:type="pct"/>
            <w:shd w:val="clear" w:color="auto" w:fill="auto"/>
          </w:tcPr>
          <w:p w14:paraId="502C7902" w14:textId="77777777" w:rsidR="000D07EA" w:rsidRDefault="00BE7C89">
            <w:pPr>
              <w:pStyle w:val="BodyText"/>
              <w:spacing w:before="100" w:after="100"/>
              <w:jc w:val="center"/>
              <w:rPr>
                <w:b/>
                <w:lang w:val="en-AU" w:eastAsia="en-AU"/>
              </w:rPr>
            </w:pPr>
            <w:r>
              <w:rPr>
                <w:b/>
                <w:lang w:val="en-AU" w:eastAsia="en-AU"/>
              </w:rPr>
              <w:t>$59 Business Complete Max</w:t>
            </w:r>
          </w:p>
        </w:tc>
        <w:tc>
          <w:tcPr>
            <w:tcW w:w="977" w:type="pct"/>
            <w:shd w:val="clear" w:color="auto" w:fill="auto"/>
          </w:tcPr>
          <w:p w14:paraId="552B23E2" w14:textId="77777777" w:rsidR="000D07EA" w:rsidRDefault="00BE7C89">
            <w:pPr>
              <w:pStyle w:val="BodyText"/>
              <w:spacing w:before="100" w:after="100"/>
              <w:jc w:val="center"/>
              <w:rPr>
                <w:b/>
                <w:lang w:val="en-AU" w:eastAsia="en-AU"/>
              </w:rPr>
            </w:pPr>
            <w:r>
              <w:rPr>
                <w:b/>
                <w:lang w:val="en-AU" w:eastAsia="en-AU"/>
              </w:rPr>
              <w:t>$79 Business Complete Max</w:t>
            </w:r>
          </w:p>
        </w:tc>
      </w:tr>
      <w:tr w:rsidR="000D07EA" w14:paraId="3FC2DA8D" w14:textId="77777777">
        <w:tc>
          <w:tcPr>
            <w:tcW w:w="2071" w:type="pct"/>
            <w:shd w:val="clear" w:color="auto" w:fill="auto"/>
          </w:tcPr>
          <w:p w14:paraId="3EBE2896" w14:textId="77777777" w:rsidR="000D07EA" w:rsidRDefault="00BE7C89">
            <w:pPr>
              <w:pStyle w:val="BodyText"/>
              <w:spacing w:before="100" w:after="100"/>
              <w:rPr>
                <w:b/>
                <w:lang w:val="en-AU" w:eastAsia="en-AU"/>
              </w:rPr>
            </w:pPr>
            <w:r>
              <w:rPr>
                <w:b/>
                <w:lang w:val="en-AU" w:eastAsia="en-AU"/>
              </w:rPr>
              <w:t xml:space="preserve">During the first 12 months – Initial </w:t>
            </w:r>
            <w:r>
              <w:rPr>
                <w:b/>
                <w:i/>
                <w:lang w:val="en-AU" w:eastAsia="en-AU"/>
              </w:rPr>
              <w:t>cancellation fee</w:t>
            </w:r>
          </w:p>
        </w:tc>
        <w:tc>
          <w:tcPr>
            <w:tcW w:w="976" w:type="pct"/>
            <w:shd w:val="clear" w:color="auto" w:fill="auto"/>
          </w:tcPr>
          <w:p w14:paraId="2027D3F1" w14:textId="77777777" w:rsidR="000D07EA" w:rsidRDefault="00BE7C89">
            <w:pPr>
              <w:pStyle w:val="BodyText"/>
              <w:spacing w:before="100" w:after="100"/>
              <w:jc w:val="center"/>
              <w:rPr>
                <w:lang w:val="en-AU" w:eastAsia="en-AU"/>
              </w:rPr>
            </w:pPr>
            <w:r>
              <w:rPr>
                <w:lang w:val="en-AU" w:eastAsia="en-AU"/>
              </w:rPr>
              <w:t>$650</w:t>
            </w:r>
          </w:p>
        </w:tc>
        <w:tc>
          <w:tcPr>
            <w:tcW w:w="976" w:type="pct"/>
            <w:shd w:val="clear" w:color="auto" w:fill="auto"/>
          </w:tcPr>
          <w:p w14:paraId="32FA8909" w14:textId="77777777" w:rsidR="000D07EA" w:rsidRDefault="00BE7C89">
            <w:pPr>
              <w:pStyle w:val="BodyText"/>
              <w:spacing w:before="100" w:after="100"/>
              <w:jc w:val="center"/>
              <w:rPr>
                <w:lang w:val="en-AU" w:eastAsia="en-AU"/>
              </w:rPr>
            </w:pPr>
            <w:r>
              <w:rPr>
                <w:lang w:val="en-AU" w:eastAsia="en-AU"/>
              </w:rPr>
              <w:t>$720</w:t>
            </w:r>
          </w:p>
        </w:tc>
        <w:tc>
          <w:tcPr>
            <w:tcW w:w="977" w:type="pct"/>
            <w:shd w:val="clear" w:color="auto" w:fill="auto"/>
          </w:tcPr>
          <w:p w14:paraId="5067F8DB" w14:textId="77777777" w:rsidR="000D07EA" w:rsidRDefault="00BE7C89">
            <w:pPr>
              <w:pStyle w:val="BodyText"/>
              <w:spacing w:before="100" w:after="100"/>
              <w:jc w:val="center"/>
              <w:rPr>
                <w:lang w:val="en-AU" w:eastAsia="en-AU"/>
              </w:rPr>
            </w:pPr>
            <w:r>
              <w:rPr>
                <w:lang w:val="en-AU" w:eastAsia="en-AU"/>
              </w:rPr>
              <w:t>$840</w:t>
            </w:r>
          </w:p>
        </w:tc>
      </w:tr>
      <w:tr w:rsidR="000D07EA" w14:paraId="04EC8487" w14:textId="77777777">
        <w:tc>
          <w:tcPr>
            <w:tcW w:w="2071" w:type="pct"/>
            <w:shd w:val="clear" w:color="auto" w:fill="auto"/>
          </w:tcPr>
          <w:p w14:paraId="314729C4" w14:textId="77777777" w:rsidR="000D07EA" w:rsidRDefault="00BE7C89">
            <w:pPr>
              <w:pStyle w:val="BodyText"/>
              <w:spacing w:before="100" w:after="100"/>
              <w:rPr>
                <w:b/>
                <w:lang w:val="en-AU" w:eastAsia="en-AU"/>
              </w:rPr>
            </w:pPr>
            <w:r>
              <w:rPr>
                <w:b/>
                <w:lang w:val="en-AU" w:eastAsia="en-AU"/>
              </w:rPr>
              <w:t xml:space="preserve">Months 13 – 15 (80% of Initial </w:t>
            </w:r>
            <w:r>
              <w:rPr>
                <w:b/>
                <w:i/>
                <w:lang w:val="en-AU" w:eastAsia="en-AU"/>
              </w:rPr>
              <w:t>cancellation fee</w:t>
            </w:r>
            <w:r>
              <w:rPr>
                <w:b/>
                <w:lang w:val="en-AU" w:eastAsia="en-AU"/>
              </w:rPr>
              <w:t>)</w:t>
            </w:r>
          </w:p>
        </w:tc>
        <w:tc>
          <w:tcPr>
            <w:tcW w:w="976" w:type="pct"/>
            <w:shd w:val="clear" w:color="auto" w:fill="auto"/>
          </w:tcPr>
          <w:p w14:paraId="121A162E" w14:textId="77777777" w:rsidR="000D07EA" w:rsidRDefault="00BE7C89">
            <w:pPr>
              <w:pStyle w:val="BodyText"/>
              <w:spacing w:before="100" w:after="100"/>
              <w:jc w:val="center"/>
              <w:rPr>
                <w:lang w:val="en-AU" w:eastAsia="en-AU"/>
              </w:rPr>
            </w:pPr>
            <w:r>
              <w:rPr>
                <w:lang w:val="en-AU" w:eastAsia="en-AU"/>
              </w:rPr>
              <w:t>$520</w:t>
            </w:r>
          </w:p>
        </w:tc>
        <w:tc>
          <w:tcPr>
            <w:tcW w:w="976" w:type="pct"/>
            <w:shd w:val="clear" w:color="auto" w:fill="auto"/>
          </w:tcPr>
          <w:p w14:paraId="0DD18B40" w14:textId="77777777" w:rsidR="000D07EA" w:rsidRDefault="00BE7C89">
            <w:pPr>
              <w:pStyle w:val="BodyText"/>
              <w:spacing w:before="100" w:after="100"/>
              <w:jc w:val="center"/>
              <w:rPr>
                <w:lang w:val="en-AU" w:eastAsia="en-AU"/>
              </w:rPr>
            </w:pPr>
            <w:r>
              <w:rPr>
                <w:lang w:val="en-AU" w:eastAsia="en-AU"/>
              </w:rPr>
              <w:t>$576</w:t>
            </w:r>
          </w:p>
        </w:tc>
        <w:tc>
          <w:tcPr>
            <w:tcW w:w="977" w:type="pct"/>
            <w:shd w:val="clear" w:color="auto" w:fill="auto"/>
          </w:tcPr>
          <w:p w14:paraId="3AD7D3FE" w14:textId="77777777" w:rsidR="000D07EA" w:rsidRDefault="00BE7C89">
            <w:pPr>
              <w:pStyle w:val="BodyText"/>
              <w:spacing w:before="100" w:after="100"/>
              <w:jc w:val="center"/>
              <w:rPr>
                <w:lang w:val="en-AU" w:eastAsia="en-AU"/>
              </w:rPr>
            </w:pPr>
            <w:r>
              <w:rPr>
                <w:lang w:val="en-AU" w:eastAsia="en-AU"/>
              </w:rPr>
              <w:t>$672</w:t>
            </w:r>
          </w:p>
        </w:tc>
      </w:tr>
      <w:tr w:rsidR="000D07EA" w14:paraId="24417CC9" w14:textId="77777777">
        <w:tc>
          <w:tcPr>
            <w:tcW w:w="2071" w:type="pct"/>
            <w:shd w:val="clear" w:color="auto" w:fill="auto"/>
          </w:tcPr>
          <w:p w14:paraId="00A4ECF0" w14:textId="77777777" w:rsidR="000D07EA" w:rsidRDefault="00BE7C89">
            <w:pPr>
              <w:pStyle w:val="BodyText"/>
              <w:spacing w:before="100" w:after="100"/>
              <w:rPr>
                <w:b/>
                <w:lang w:val="en-AU" w:eastAsia="en-AU"/>
              </w:rPr>
            </w:pPr>
            <w:r>
              <w:rPr>
                <w:b/>
                <w:lang w:val="en-AU" w:eastAsia="en-AU"/>
              </w:rPr>
              <w:t xml:space="preserve">Months 16 – 18 (60% of the Initial </w:t>
            </w:r>
            <w:r>
              <w:rPr>
                <w:b/>
                <w:i/>
                <w:lang w:val="en-AU" w:eastAsia="en-AU"/>
              </w:rPr>
              <w:t>cancellation fee</w:t>
            </w:r>
            <w:r>
              <w:rPr>
                <w:b/>
                <w:lang w:val="en-AU" w:eastAsia="en-AU"/>
              </w:rPr>
              <w:t>)</w:t>
            </w:r>
          </w:p>
        </w:tc>
        <w:tc>
          <w:tcPr>
            <w:tcW w:w="976" w:type="pct"/>
            <w:shd w:val="clear" w:color="auto" w:fill="auto"/>
          </w:tcPr>
          <w:p w14:paraId="52226803" w14:textId="77777777" w:rsidR="000D07EA" w:rsidRDefault="00BE7C89">
            <w:pPr>
              <w:pStyle w:val="BodyText"/>
              <w:spacing w:before="100" w:after="100"/>
              <w:jc w:val="center"/>
              <w:rPr>
                <w:lang w:val="en-AU" w:eastAsia="en-AU"/>
              </w:rPr>
            </w:pPr>
            <w:r>
              <w:rPr>
                <w:lang w:val="en-AU" w:eastAsia="en-AU"/>
              </w:rPr>
              <w:t>$390</w:t>
            </w:r>
          </w:p>
        </w:tc>
        <w:tc>
          <w:tcPr>
            <w:tcW w:w="976" w:type="pct"/>
            <w:shd w:val="clear" w:color="auto" w:fill="auto"/>
          </w:tcPr>
          <w:p w14:paraId="0CFD171B" w14:textId="77777777" w:rsidR="000D07EA" w:rsidRDefault="00BE7C89">
            <w:pPr>
              <w:pStyle w:val="BodyText"/>
              <w:spacing w:before="100" w:after="100"/>
              <w:jc w:val="center"/>
              <w:rPr>
                <w:lang w:val="en-AU" w:eastAsia="en-AU"/>
              </w:rPr>
            </w:pPr>
            <w:r>
              <w:rPr>
                <w:lang w:val="en-AU" w:eastAsia="en-AU"/>
              </w:rPr>
              <w:t>$432</w:t>
            </w:r>
          </w:p>
        </w:tc>
        <w:tc>
          <w:tcPr>
            <w:tcW w:w="977" w:type="pct"/>
            <w:shd w:val="clear" w:color="auto" w:fill="auto"/>
          </w:tcPr>
          <w:p w14:paraId="646C27D8" w14:textId="77777777" w:rsidR="000D07EA" w:rsidRDefault="00BE7C89">
            <w:pPr>
              <w:pStyle w:val="BodyText"/>
              <w:spacing w:before="100" w:after="100"/>
              <w:jc w:val="center"/>
              <w:rPr>
                <w:lang w:val="en-AU" w:eastAsia="en-AU"/>
              </w:rPr>
            </w:pPr>
            <w:r>
              <w:rPr>
                <w:lang w:val="en-AU" w:eastAsia="en-AU"/>
              </w:rPr>
              <w:t>$504</w:t>
            </w:r>
          </w:p>
        </w:tc>
      </w:tr>
      <w:tr w:rsidR="000D07EA" w14:paraId="179C2F3A" w14:textId="77777777">
        <w:tc>
          <w:tcPr>
            <w:tcW w:w="2071" w:type="pct"/>
            <w:shd w:val="clear" w:color="auto" w:fill="auto"/>
          </w:tcPr>
          <w:p w14:paraId="7F5CF366" w14:textId="77777777" w:rsidR="000D07EA" w:rsidRDefault="00BE7C89">
            <w:pPr>
              <w:pStyle w:val="BodyText"/>
              <w:spacing w:before="100" w:after="100"/>
              <w:rPr>
                <w:b/>
                <w:lang w:val="en-AU" w:eastAsia="en-AU"/>
              </w:rPr>
            </w:pPr>
            <w:r>
              <w:rPr>
                <w:b/>
                <w:lang w:val="en-AU" w:eastAsia="en-AU"/>
              </w:rPr>
              <w:t xml:space="preserve">Months 19 – 21 (40% of the Initial </w:t>
            </w:r>
            <w:r>
              <w:rPr>
                <w:b/>
                <w:i/>
                <w:lang w:val="en-AU" w:eastAsia="en-AU"/>
              </w:rPr>
              <w:t>cancellation fee</w:t>
            </w:r>
            <w:r>
              <w:rPr>
                <w:b/>
                <w:lang w:val="en-AU" w:eastAsia="en-AU"/>
              </w:rPr>
              <w:t>)</w:t>
            </w:r>
          </w:p>
        </w:tc>
        <w:tc>
          <w:tcPr>
            <w:tcW w:w="976" w:type="pct"/>
            <w:shd w:val="clear" w:color="auto" w:fill="auto"/>
          </w:tcPr>
          <w:p w14:paraId="2BF27BBA" w14:textId="77777777" w:rsidR="000D07EA" w:rsidRDefault="00BE7C89">
            <w:pPr>
              <w:pStyle w:val="BodyText"/>
              <w:spacing w:before="100" w:after="100"/>
              <w:jc w:val="center"/>
              <w:rPr>
                <w:lang w:val="en-AU" w:eastAsia="en-AU"/>
              </w:rPr>
            </w:pPr>
            <w:r>
              <w:rPr>
                <w:lang w:val="en-AU" w:eastAsia="en-AU"/>
              </w:rPr>
              <w:t>$260</w:t>
            </w:r>
          </w:p>
        </w:tc>
        <w:tc>
          <w:tcPr>
            <w:tcW w:w="976" w:type="pct"/>
            <w:shd w:val="clear" w:color="auto" w:fill="auto"/>
          </w:tcPr>
          <w:p w14:paraId="10816929" w14:textId="77777777" w:rsidR="000D07EA" w:rsidRDefault="00BE7C89">
            <w:pPr>
              <w:pStyle w:val="BodyText"/>
              <w:spacing w:before="100" w:after="100"/>
              <w:jc w:val="center"/>
              <w:rPr>
                <w:lang w:val="en-AU" w:eastAsia="en-AU"/>
              </w:rPr>
            </w:pPr>
            <w:r>
              <w:rPr>
                <w:lang w:val="en-AU" w:eastAsia="en-AU"/>
              </w:rPr>
              <w:t>$288</w:t>
            </w:r>
          </w:p>
        </w:tc>
        <w:tc>
          <w:tcPr>
            <w:tcW w:w="977" w:type="pct"/>
            <w:shd w:val="clear" w:color="auto" w:fill="auto"/>
          </w:tcPr>
          <w:p w14:paraId="4FAC1486" w14:textId="77777777" w:rsidR="000D07EA" w:rsidRDefault="00BE7C89">
            <w:pPr>
              <w:pStyle w:val="BodyText"/>
              <w:spacing w:before="100" w:after="100"/>
              <w:jc w:val="center"/>
              <w:rPr>
                <w:lang w:val="en-AU" w:eastAsia="en-AU"/>
              </w:rPr>
            </w:pPr>
            <w:r>
              <w:rPr>
                <w:lang w:val="en-AU" w:eastAsia="en-AU"/>
              </w:rPr>
              <w:t>$336</w:t>
            </w:r>
          </w:p>
        </w:tc>
      </w:tr>
      <w:tr w:rsidR="000D07EA" w14:paraId="17E2E641" w14:textId="77777777">
        <w:tc>
          <w:tcPr>
            <w:tcW w:w="2071" w:type="pct"/>
            <w:tcBorders>
              <w:bottom w:val="single" w:sz="4" w:space="0" w:color="auto"/>
            </w:tcBorders>
            <w:shd w:val="clear" w:color="auto" w:fill="auto"/>
          </w:tcPr>
          <w:p w14:paraId="5DCC6FAD" w14:textId="77777777" w:rsidR="000D07EA" w:rsidRDefault="00BE7C89">
            <w:pPr>
              <w:pStyle w:val="BodyText"/>
              <w:spacing w:before="100" w:after="100"/>
              <w:rPr>
                <w:b/>
                <w:lang w:val="en-AU" w:eastAsia="en-AU"/>
              </w:rPr>
            </w:pPr>
            <w:r>
              <w:rPr>
                <w:b/>
                <w:lang w:val="en-AU" w:eastAsia="en-AU"/>
              </w:rPr>
              <w:t>Months 22 – 24 (20% of the Initial cancellation fee)</w:t>
            </w:r>
          </w:p>
        </w:tc>
        <w:tc>
          <w:tcPr>
            <w:tcW w:w="976" w:type="pct"/>
            <w:tcBorders>
              <w:bottom w:val="single" w:sz="4" w:space="0" w:color="auto"/>
            </w:tcBorders>
            <w:shd w:val="clear" w:color="auto" w:fill="auto"/>
          </w:tcPr>
          <w:p w14:paraId="06E5351D" w14:textId="77777777" w:rsidR="000D07EA" w:rsidRDefault="00BE7C89">
            <w:pPr>
              <w:pStyle w:val="BodyText"/>
              <w:spacing w:before="100" w:after="100"/>
              <w:jc w:val="center"/>
              <w:rPr>
                <w:lang w:val="en-AU" w:eastAsia="en-AU"/>
              </w:rPr>
            </w:pPr>
            <w:r>
              <w:rPr>
                <w:lang w:val="en-AU" w:eastAsia="en-AU"/>
              </w:rPr>
              <w:t>$130</w:t>
            </w:r>
          </w:p>
        </w:tc>
        <w:tc>
          <w:tcPr>
            <w:tcW w:w="976" w:type="pct"/>
            <w:tcBorders>
              <w:bottom w:val="single" w:sz="4" w:space="0" w:color="auto"/>
            </w:tcBorders>
            <w:shd w:val="clear" w:color="auto" w:fill="auto"/>
          </w:tcPr>
          <w:p w14:paraId="22335747" w14:textId="77777777" w:rsidR="000D07EA" w:rsidRDefault="00BE7C89">
            <w:pPr>
              <w:pStyle w:val="BodyText"/>
              <w:spacing w:before="100" w:after="100"/>
              <w:jc w:val="center"/>
              <w:rPr>
                <w:lang w:val="en-AU" w:eastAsia="en-AU"/>
              </w:rPr>
            </w:pPr>
            <w:r>
              <w:rPr>
                <w:lang w:val="en-AU" w:eastAsia="en-AU"/>
              </w:rPr>
              <w:t>$144</w:t>
            </w:r>
          </w:p>
        </w:tc>
        <w:tc>
          <w:tcPr>
            <w:tcW w:w="977" w:type="pct"/>
            <w:tcBorders>
              <w:bottom w:val="single" w:sz="4" w:space="0" w:color="auto"/>
            </w:tcBorders>
            <w:shd w:val="clear" w:color="auto" w:fill="auto"/>
          </w:tcPr>
          <w:p w14:paraId="26A80C0C" w14:textId="77777777" w:rsidR="000D07EA" w:rsidRDefault="00BE7C89">
            <w:pPr>
              <w:pStyle w:val="BodyText"/>
              <w:spacing w:before="100" w:after="100"/>
              <w:jc w:val="center"/>
              <w:rPr>
                <w:lang w:val="en-AU" w:eastAsia="en-AU"/>
              </w:rPr>
            </w:pPr>
            <w:r>
              <w:rPr>
                <w:lang w:val="en-AU" w:eastAsia="en-AU"/>
              </w:rPr>
              <w:t>$168</w:t>
            </w:r>
          </w:p>
        </w:tc>
      </w:tr>
    </w:tbl>
    <w:p w14:paraId="76A8006F" w14:textId="77777777" w:rsidR="000D07EA" w:rsidRDefault="000D07EA">
      <w:pPr>
        <w:pStyle w:val="BodyText"/>
      </w:pPr>
    </w:p>
    <w:tbl>
      <w:tblPr>
        <w:tblW w:w="4645" w:type="pct"/>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8"/>
        <w:gridCol w:w="1849"/>
        <w:gridCol w:w="1849"/>
        <w:gridCol w:w="1849"/>
      </w:tblGrid>
      <w:tr w:rsidR="000D07EA" w14:paraId="7611D2B2" w14:textId="77777777">
        <w:trPr>
          <w:tblHeader/>
        </w:trPr>
        <w:tc>
          <w:tcPr>
            <w:tcW w:w="2069" w:type="pct"/>
            <w:shd w:val="clear" w:color="auto" w:fill="auto"/>
          </w:tcPr>
          <w:p w14:paraId="2625A4B4" w14:textId="77777777" w:rsidR="000D07EA" w:rsidRDefault="00BE7C89">
            <w:pPr>
              <w:pStyle w:val="BodyText"/>
              <w:spacing w:before="100" w:after="100"/>
              <w:rPr>
                <w:b/>
                <w:lang w:val="en-AU" w:eastAsia="en-AU"/>
              </w:rPr>
            </w:pPr>
            <w:r>
              <w:rPr>
                <w:b/>
                <w:lang w:val="en-AU" w:eastAsia="en-AU"/>
              </w:rPr>
              <w:t xml:space="preserve">When the </w:t>
            </w:r>
            <w:r>
              <w:rPr>
                <w:b/>
                <w:i/>
                <w:lang w:val="en-AU" w:eastAsia="en-AU"/>
              </w:rPr>
              <w:t>service</w:t>
            </w:r>
            <w:r>
              <w:rPr>
                <w:b/>
                <w:lang w:val="en-AU" w:eastAsia="en-AU"/>
              </w:rPr>
              <w:t xml:space="preserve"> is </w:t>
            </w:r>
            <w:r>
              <w:rPr>
                <w:b/>
                <w:i/>
                <w:lang w:val="en-AU" w:eastAsia="en-AU"/>
              </w:rPr>
              <w:t>cancelled</w:t>
            </w:r>
          </w:p>
        </w:tc>
        <w:tc>
          <w:tcPr>
            <w:tcW w:w="2931" w:type="pct"/>
            <w:gridSpan w:val="3"/>
            <w:shd w:val="clear" w:color="auto" w:fill="auto"/>
          </w:tcPr>
          <w:p w14:paraId="0D2C42F8" w14:textId="77777777" w:rsidR="000D07EA" w:rsidRDefault="00BE7C89">
            <w:pPr>
              <w:pStyle w:val="BodyText"/>
              <w:spacing w:before="100" w:after="100"/>
              <w:jc w:val="center"/>
              <w:rPr>
                <w:b/>
                <w:i/>
                <w:lang w:val="en-AU" w:eastAsia="en-AU"/>
              </w:rPr>
            </w:pPr>
            <w:r>
              <w:rPr>
                <w:b/>
                <w:i/>
                <w:lang w:val="en-AU" w:eastAsia="en-AU"/>
              </w:rPr>
              <w:t>Cancellation Fee</w:t>
            </w:r>
          </w:p>
        </w:tc>
      </w:tr>
      <w:tr w:rsidR="000D07EA" w14:paraId="43E90425" w14:textId="77777777">
        <w:trPr>
          <w:tblHeader/>
        </w:trPr>
        <w:tc>
          <w:tcPr>
            <w:tcW w:w="2069" w:type="pct"/>
            <w:shd w:val="clear" w:color="auto" w:fill="auto"/>
          </w:tcPr>
          <w:p w14:paraId="24CCF61E" w14:textId="77777777" w:rsidR="000D07EA" w:rsidRDefault="000D07EA">
            <w:pPr>
              <w:pStyle w:val="BodyText"/>
              <w:spacing w:before="100" w:after="100"/>
              <w:rPr>
                <w:b/>
                <w:lang w:val="en-AU" w:eastAsia="en-AU"/>
              </w:rPr>
            </w:pPr>
          </w:p>
        </w:tc>
        <w:tc>
          <w:tcPr>
            <w:tcW w:w="2931" w:type="pct"/>
            <w:gridSpan w:val="3"/>
            <w:shd w:val="clear" w:color="auto" w:fill="auto"/>
          </w:tcPr>
          <w:p w14:paraId="660AB5B0" w14:textId="77777777" w:rsidR="000D07EA" w:rsidRDefault="00BE7C89">
            <w:pPr>
              <w:pStyle w:val="BodyText"/>
              <w:spacing w:before="100" w:after="100"/>
              <w:jc w:val="center"/>
              <w:rPr>
                <w:b/>
                <w:lang w:val="en-AU" w:eastAsia="en-AU"/>
              </w:rPr>
            </w:pPr>
            <w:r>
              <w:rPr>
                <w:b/>
                <w:lang w:val="en-AU" w:eastAsia="en-AU"/>
              </w:rPr>
              <w:t>Business Complete Max Plans – 12 Month Contract</w:t>
            </w:r>
          </w:p>
        </w:tc>
      </w:tr>
      <w:tr w:rsidR="000D07EA" w14:paraId="2869CE6A" w14:textId="77777777">
        <w:trPr>
          <w:tblHeader/>
        </w:trPr>
        <w:tc>
          <w:tcPr>
            <w:tcW w:w="2069" w:type="pct"/>
            <w:shd w:val="clear" w:color="auto" w:fill="auto"/>
          </w:tcPr>
          <w:p w14:paraId="5D50C5CC" w14:textId="77777777" w:rsidR="000D07EA" w:rsidRDefault="000D07EA">
            <w:pPr>
              <w:pStyle w:val="BodyText"/>
              <w:spacing w:before="100" w:after="100"/>
              <w:rPr>
                <w:b/>
                <w:lang w:val="en-AU" w:eastAsia="en-AU"/>
              </w:rPr>
            </w:pPr>
          </w:p>
        </w:tc>
        <w:tc>
          <w:tcPr>
            <w:tcW w:w="977" w:type="pct"/>
            <w:shd w:val="clear" w:color="auto" w:fill="auto"/>
          </w:tcPr>
          <w:p w14:paraId="7EC11273" w14:textId="77777777" w:rsidR="000D07EA" w:rsidRDefault="00BE7C89">
            <w:pPr>
              <w:pStyle w:val="BodyText"/>
              <w:spacing w:before="100" w:after="100"/>
              <w:jc w:val="center"/>
              <w:rPr>
                <w:b/>
                <w:lang w:val="en-AU" w:eastAsia="en-AU"/>
              </w:rPr>
            </w:pPr>
            <w:r>
              <w:rPr>
                <w:b/>
                <w:lang w:val="en-AU" w:eastAsia="en-AU"/>
              </w:rPr>
              <w:t>$49 Business Complete Max</w:t>
            </w:r>
          </w:p>
        </w:tc>
        <w:tc>
          <w:tcPr>
            <w:tcW w:w="977" w:type="pct"/>
            <w:shd w:val="clear" w:color="auto" w:fill="auto"/>
          </w:tcPr>
          <w:p w14:paraId="4FEDC2D5" w14:textId="77777777" w:rsidR="000D07EA" w:rsidRDefault="00BE7C89">
            <w:pPr>
              <w:pStyle w:val="BodyText"/>
              <w:spacing w:before="100" w:after="100"/>
              <w:jc w:val="center"/>
              <w:rPr>
                <w:b/>
                <w:lang w:val="en-AU" w:eastAsia="en-AU"/>
              </w:rPr>
            </w:pPr>
            <w:r>
              <w:rPr>
                <w:b/>
                <w:lang w:val="en-AU" w:eastAsia="en-AU"/>
              </w:rPr>
              <w:t>$59 Business Complete Max</w:t>
            </w:r>
          </w:p>
        </w:tc>
        <w:tc>
          <w:tcPr>
            <w:tcW w:w="977" w:type="pct"/>
            <w:shd w:val="clear" w:color="auto" w:fill="auto"/>
          </w:tcPr>
          <w:p w14:paraId="6F58455C" w14:textId="77777777" w:rsidR="000D07EA" w:rsidRDefault="00BE7C89">
            <w:pPr>
              <w:pStyle w:val="BodyText"/>
              <w:spacing w:before="100" w:after="100"/>
              <w:jc w:val="center"/>
              <w:rPr>
                <w:b/>
                <w:lang w:val="en-AU" w:eastAsia="en-AU"/>
              </w:rPr>
            </w:pPr>
            <w:r>
              <w:rPr>
                <w:b/>
                <w:lang w:val="en-AU" w:eastAsia="en-AU"/>
              </w:rPr>
              <w:t>$79 Business Complete Max</w:t>
            </w:r>
          </w:p>
        </w:tc>
      </w:tr>
      <w:tr w:rsidR="000D07EA" w14:paraId="00191551" w14:textId="77777777">
        <w:tc>
          <w:tcPr>
            <w:tcW w:w="2069" w:type="pct"/>
            <w:shd w:val="clear" w:color="auto" w:fill="auto"/>
          </w:tcPr>
          <w:p w14:paraId="7E2072E0" w14:textId="77777777" w:rsidR="000D07EA" w:rsidRDefault="00BE7C89">
            <w:pPr>
              <w:pStyle w:val="BodyText"/>
              <w:spacing w:before="100" w:after="100"/>
              <w:rPr>
                <w:b/>
                <w:lang w:val="en-AU" w:eastAsia="en-AU"/>
              </w:rPr>
            </w:pPr>
            <w:r>
              <w:rPr>
                <w:b/>
                <w:lang w:val="en-AU" w:eastAsia="en-AU"/>
              </w:rPr>
              <w:t xml:space="preserve">During the first 6 months – Initial </w:t>
            </w:r>
            <w:r>
              <w:rPr>
                <w:b/>
                <w:i/>
                <w:lang w:val="en-AU" w:eastAsia="en-AU"/>
              </w:rPr>
              <w:t>cancellation fee</w:t>
            </w:r>
          </w:p>
        </w:tc>
        <w:tc>
          <w:tcPr>
            <w:tcW w:w="977" w:type="pct"/>
            <w:shd w:val="clear" w:color="auto" w:fill="auto"/>
          </w:tcPr>
          <w:p w14:paraId="3DE3E852" w14:textId="77777777" w:rsidR="000D07EA" w:rsidRDefault="00BE7C89">
            <w:pPr>
              <w:pStyle w:val="BodyText"/>
              <w:spacing w:before="100" w:after="100"/>
              <w:jc w:val="center"/>
              <w:rPr>
                <w:lang w:val="en-AU" w:eastAsia="en-AU"/>
              </w:rPr>
            </w:pPr>
            <w:r>
              <w:rPr>
                <w:lang w:val="en-AU" w:eastAsia="en-AU"/>
              </w:rPr>
              <w:t>$420</w:t>
            </w:r>
          </w:p>
        </w:tc>
        <w:tc>
          <w:tcPr>
            <w:tcW w:w="977" w:type="pct"/>
            <w:shd w:val="clear" w:color="auto" w:fill="auto"/>
          </w:tcPr>
          <w:p w14:paraId="6B546FD2" w14:textId="77777777" w:rsidR="000D07EA" w:rsidRDefault="00BE7C89">
            <w:pPr>
              <w:pStyle w:val="BodyText"/>
              <w:spacing w:before="100" w:after="100"/>
              <w:jc w:val="center"/>
              <w:rPr>
                <w:lang w:val="en-AU" w:eastAsia="en-AU"/>
              </w:rPr>
            </w:pPr>
            <w:r>
              <w:rPr>
                <w:lang w:val="en-AU" w:eastAsia="en-AU"/>
              </w:rPr>
              <w:t>$460</w:t>
            </w:r>
          </w:p>
        </w:tc>
        <w:tc>
          <w:tcPr>
            <w:tcW w:w="977" w:type="pct"/>
            <w:shd w:val="clear" w:color="auto" w:fill="auto"/>
          </w:tcPr>
          <w:p w14:paraId="2152C9EC" w14:textId="77777777" w:rsidR="000D07EA" w:rsidRDefault="00BE7C89">
            <w:pPr>
              <w:pStyle w:val="BodyText"/>
              <w:spacing w:before="100" w:after="100"/>
              <w:jc w:val="center"/>
              <w:rPr>
                <w:lang w:val="en-AU" w:eastAsia="en-AU"/>
              </w:rPr>
            </w:pPr>
            <w:r>
              <w:rPr>
                <w:lang w:val="en-AU" w:eastAsia="en-AU"/>
              </w:rPr>
              <w:t>$530</w:t>
            </w:r>
          </w:p>
        </w:tc>
      </w:tr>
      <w:tr w:rsidR="000D07EA" w14:paraId="30DD5239" w14:textId="77777777">
        <w:tc>
          <w:tcPr>
            <w:tcW w:w="2069" w:type="pct"/>
            <w:shd w:val="clear" w:color="auto" w:fill="auto"/>
          </w:tcPr>
          <w:p w14:paraId="5D5368D7" w14:textId="77777777" w:rsidR="000D07EA" w:rsidRDefault="00BE7C89">
            <w:pPr>
              <w:pStyle w:val="BodyText"/>
              <w:spacing w:before="100" w:after="100"/>
              <w:rPr>
                <w:b/>
                <w:lang w:val="en-AU" w:eastAsia="en-AU"/>
              </w:rPr>
            </w:pPr>
            <w:r>
              <w:rPr>
                <w:b/>
                <w:lang w:val="en-AU" w:eastAsia="en-AU"/>
              </w:rPr>
              <w:t xml:space="preserve">Months 7 – 9 (70% of Initial </w:t>
            </w:r>
            <w:r>
              <w:rPr>
                <w:b/>
                <w:i/>
                <w:lang w:val="en-AU" w:eastAsia="en-AU"/>
              </w:rPr>
              <w:t>cancellation fee</w:t>
            </w:r>
            <w:r>
              <w:rPr>
                <w:b/>
                <w:lang w:val="en-AU" w:eastAsia="en-AU"/>
              </w:rPr>
              <w:t>)</w:t>
            </w:r>
          </w:p>
        </w:tc>
        <w:tc>
          <w:tcPr>
            <w:tcW w:w="977" w:type="pct"/>
            <w:shd w:val="clear" w:color="auto" w:fill="auto"/>
          </w:tcPr>
          <w:p w14:paraId="63E9E495" w14:textId="77777777" w:rsidR="000D07EA" w:rsidRDefault="00BE7C89">
            <w:pPr>
              <w:pStyle w:val="BodyText"/>
              <w:spacing w:before="100" w:after="100"/>
              <w:jc w:val="center"/>
              <w:rPr>
                <w:lang w:val="en-AU" w:eastAsia="en-AU"/>
              </w:rPr>
            </w:pPr>
            <w:r>
              <w:rPr>
                <w:lang w:val="en-AU" w:eastAsia="en-AU"/>
              </w:rPr>
              <w:t>$294</w:t>
            </w:r>
          </w:p>
        </w:tc>
        <w:tc>
          <w:tcPr>
            <w:tcW w:w="977" w:type="pct"/>
            <w:shd w:val="clear" w:color="auto" w:fill="auto"/>
          </w:tcPr>
          <w:p w14:paraId="1EF325DC" w14:textId="77777777" w:rsidR="000D07EA" w:rsidRDefault="00BE7C89">
            <w:pPr>
              <w:pStyle w:val="BodyText"/>
              <w:spacing w:before="100" w:after="100"/>
              <w:jc w:val="center"/>
              <w:rPr>
                <w:lang w:val="en-AU" w:eastAsia="en-AU"/>
              </w:rPr>
            </w:pPr>
            <w:r>
              <w:rPr>
                <w:lang w:val="en-AU" w:eastAsia="en-AU"/>
              </w:rPr>
              <w:t>$322</w:t>
            </w:r>
          </w:p>
        </w:tc>
        <w:tc>
          <w:tcPr>
            <w:tcW w:w="977" w:type="pct"/>
            <w:shd w:val="clear" w:color="auto" w:fill="auto"/>
          </w:tcPr>
          <w:p w14:paraId="71003AD1" w14:textId="77777777" w:rsidR="000D07EA" w:rsidRDefault="00BE7C89">
            <w:pPr>
              <w:pStyle w:val="BodyText"/>
              <w:spacing w:before="100" w:after="100"/>
              <w:jc w:val="center"/>
              <w:rPr>
                <w:lang w:val="en-AU" w:eastAsia="en-AU"/>
              </w:rPr>
            </w:pPr>
            <w:r>
              <w:rPr>
                <w:lang w:val="en-AU" w:eastAsia="en-AU"/>
              </w:rPr>
              <w:t>$371</w:t>
            </w:r>
          </w:p>
        </w:tc>
      </w:tr>
      <w:tr w:rsidR="000D07EA" w14:paraId="07CF6CEB" w14:textId="77777777">
        <w:tc>
          <w:tcPr>
            <w:tcW w:w="2069" w:type="pct"/>
            <w:tcBorders>
              <w:bottom w:val="single" w:sz="4" w:space="0" w:color="auto"/>
            </w:tcBorders>
            <w:shd w:val="clear" w:color="auto" w:fill="auto"/>
          </w:tcPr>
          <w:p w14:paraId="35A81692" w14:textId="77777777" w:rsidR="000D07EA" w:rsidRDefault="00BE7C89">
            <w:pPr>
              <w:pStyle w:val="BodyText"/>
              <w:spacing w:before="100" w:after="100"/>
              <w:rPr>
                <w:b/>
                <w:lang w:val="en-AU" w:eastAsia="en-AU"/>
              </w:rPr>
            </w:pPr>
            <w:r>
              <w:rPr>
                <w:b/>
                <w:lang w:val="en-AU" w:eastAsia="en-AU"/>
              </w:rPr>
              <w:t xml:space="preserve">Months 10 – 12 (40% of the Initial </w:t>
            </w:r>
            <w:r>
              <w:rPr>
                <w:b/>
                <w:i/>
                <w:lang w:val="en-AU" w:eastAsia="en-AU"/>
              </w:rPr>
              <w:t>cancellation fee</w:t>
            </w:r>
            <w:r>
              <w:rPr>
                <w:b/>
                <w:lang w:val="en-AU" w:eastAsia="en-AU"/>
              </w:rPr>
              <w:t>)</w:t>
            </w:r>
          </w:p>
        </w:tc>
        <w:tc>
          <w:tcPr>
            <w:tcW w:w="977" w:type="pct"/>
            <w:tcBorders>
              <w:bottom w:val="single" w:sz="4" w:space="0" w:color="auto"/>
            </w:tcBorders>
            <w:shd w:val="clear" w:color="auto" w:fill="auto"/>
          </w:tcPr>
          <w:p w14:paraId="0C76ABEB" w14:textId="77777777" w:rsidR="000D07EA" w:rsidRDefault="00BE7C89">
            <w:pPr>
              <w:pStyle w:val="BodyText"/>
              <w:spacing w:before="100" w:after="100"/>
              <w:jc w:val="center"/>
              <w:rPr>
                <w:lang w:val="en-AU" w:eastAsia="en-AU"/>
              </w:rPr>
            </w:pPr>
            <w:r>
              <w:rPr>
                <w:lang w:val="en-AU" w:eastAsia="en-AU"/>
              </w:rPr>
              <w:t>$168</w:t>
            </w:r>
          </w:p>
        </w:tc>
        <w:tc>
          <w:tcPr>
            <w:tcW w:w="977" w:type="pct"/>
            <w:tcBorders>
              <w:bottom w:val="single" w:sz="4" w:space="0" w:color="auto"/>
            </w:tcBorders>
            <w:shd w:val="clear" w:color="auto" w:fill="auto"/>
          </w:tcPr>
          <w:p w14:paraId="3FAE17C9" w14:textId="77777777" w:rsidR="000D07EA" w:rsidRDefault="00BE7C89">
            <w:pPr>
              <w:pStyle w:val="BodyText"/>
              <w:spacing w:before="100" w:after="100"/>
              <w:jc w:val="center"/>
              <w:rPr>
                <w:lang w:val="en-AU" w:eastAsia="en-AU"/>
              </w:rPr>
            </w:pPr>
            <w:r>
              <w:rPr>
                <w:lang w:val="en-AU" w:eastAsia="en-AU"/>
              </w:rPr>
              <w:t>$184</w:t>
            </w:r>
          </w:p>
        </w:tc>
        <w:tc>
          <w:tcPr>
            <w:tcW w:w="977" w:type="pct"/>
            <w:tcBorders>
              <w:bottom w:val="single" w:sz="4" w:space="0" w:color="auto"/>
            </w:tcBorders>
            <w:shd w:val="clear" w:color="auto" w:fill="auto"/>
          </w:tcPr>
          <w:p w14:paraId="14D34374" w14:textId="77777777" w:rsidR="000D07EA" w:rsidRDefault="00BE7C89">
            <w:pPr>
              <w:pStyle w:val="BodyText"/>
              <w:spacing w:before="100" w:after="100"/>
              <w:jc w:val="center"/>
              <w:rPr>
                <w:lang w:val="en-AU" w:eastAsia="en-AU"/>
              </w:rPr>
            </w:pPr>
            <w:r>
              <w:rPr>
                <w:lang w:val="en-AU" w:eastAsia="en-AU"/>
              </w:rPr>
              <w:t>$212</w:t>
            </w:r>
          </w:p>
        </w:tc>
      </w:tr>
    </w:tbl>
    <w:p w14:paraId="3B923A8E" w14:textId="77777777" w:rsidR="000D07EA" w:rsidRDefault="000D07EA">
      <w:pPr>
        <w:pStyle w:val="BodyText"/>
      </w:pPr>
    </w:p>
    <w:tbl>
      <w:tblPr>
        <w:tblW w:w="4645" w:type="pct"/>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9"/>
        <w:gridCol w:w="1849"/>
        <w:gridCol w:w="1849"/>
        <w:gridCol w:w="1848"/>
      </w:tblGrid>
      <w:tr w:rsidR="000D07EA" w14:paraId="42A2EB2B" w14:textId="77777777">
        <w:trPr>
          <w:tblHeader/>
        </w:trPr>
        <w:tc>
          <w:tcPr>
            <w:tcW w:w="2070" w:type="pct"/>
            <w:shd w:val="clear" w:color="auto" w:fill="auto"/>
          </w:tcPr>
          <w:p w14:paraId="73DD227D" w14:textId="77777777" w:rsidR="000D07EA" w:rsidRDefault="00BE7C89">
            <w:pPr>
              <w:pStyle w:val="BodyText"/>
              <w:keepNext/>
              <w:spacing w:before="100" w:after="100"/>
              <w:rPr>
                <w:b/>
                <w:lang w:val="en-AU" w:eastAsia="en-AU"/>
              </w:rPr>
            </w:pPr>
            <w:r>
              <w:rPr>
                <w:b/>
                <w:lang w:val="en-AU" w:eastAsia="en-AU"/>
              </w:rPr>
              <w:t xml:space="preserve">When the </w:t>
            </w:r>
            <w:r>
              <w:rPr>
                <w:b/>
                <w:i/>
                <w:lang w:val="en-AU" w:eastAsia="en-AU"/>
              </w:rPr>
              <w:t>service</w:t>
            </w:r>
            <w:r>
              <w:rPr>
                <w:b/>
                <w:lang w:val="en-AU" w:eastAsia="en-AU"/>
              </w:rPr>
              <w:t xml:space="preserve"> is </w:t>
            </w:r>
            <w:r>
              <w:rPr>
                <w:b/>
                <w:i/>
                <w:lang w:val="en-AU" w:eastAsia="en-AU"/>
              </w:rPr>
              <w:t>cancelled</w:t>
            </w:r>
          </w:p>
        </w:tc>
        <w:tc>
          <w:tcPr>
            <w:tcW w:w="2930" w:type="pct"/>
            <w:gridSpan w:val="3"/>
            <w:shd w:val="clear" w:color="auto" w:fill="auto"/>
          </w:tcPr>
          <w:p w14:paraId="05810B80" w14:textId="77777777" w:rsidR="000D07EA" w:rsidRDefault="00BE7C89">
            <w:pPr>
              <w:pStyle w:val="BodyText"/>
              <w:keepNext/>
              <w:spacing w:before="100" w:after="100"/>
              <w:jc w:val="center"/>
              <w:rPr>
                <w:b/>
                <w:i/>
                <w:lang w:val="en-AU" w:eastAsia="en-AU"/>
              </w:rPr>
            </w:pPr>
            <w:r>
              <w:rPr>
                <w:b/>
                <w:i/>
                <w:lang w:val="en-AU" w:eastAsia="en-AU"/>
              </w:rPr>
              <w:t>Cancellation Fee</w:t>
            </w:r>
          </w:p>
        </w:tc>
      </w:tr>
      <w:tr w:rsidR="000D07EA" w14:paraId="49B78C22" w14:textId="77777777">
        <w:trPr>
          <w:tblHeader/>
        </w:trPr>
        <w:tc>
          <w:tcPr>
            <w:tcW w:w="2070" w:type="pct"/>
            <w:shd w:val="clear" w:color="auto" w:fill="auto"/>
            <w:vAlign w:val="center"/>
          </w:tcPr>
          <w:p w14:paraId="7F2496E6" w14:textId="77777777" w:rsidR="000D07EA" w:rsidRDefault="000D07EA">
            <w:pPr>
              <w:pStyle w:val="BodyText"/>
              <w:keepNext/>
              <w:spacing w:before="100" w:after="100"/>
              <w:rPr>
                <w:b/>
                <w:lang w:val="en-AU" w:eastAsia="en-AU"/>
              </w:rPr>
            </w:pPr>
          </w:p>
        </w:tc>
        <w:tc>
          <w:tcPr>
            <w:tcW w:w="2930" w:type="pct"/>
            <w:gridSpan w:val="3"/>
            <w:shd w:val="clear" w:color="auto" w:fill="auto"/>
          </w:tcPr>
          <w:p w14:paraId="39BE044B" w14:textId="77777777" w:rsidR="000D07EA" w:rsidRDefault="00BE7C89">
            <w:pPr>
              <w:pStyle w:val="BodyText"/>
              <w:keepNext/>
              <w:spacing w:before="100" w:after="100"/>
              <w:jc w:val="center"/>
              <w:rPr>
                <w:b/>
                <w:lang w:val="en-AU" w:eastAsia="en-AU"/>
              </w:rPr>
            </w:pPr>
            <w:r>
              <w:rPr>
                <w:b/>
                <w:lang w:val="en-AU" w:eastAsia="en-AU"/>
              </w:rPr>
              <w:t>Business Complete Max Plan – BYO Option (12 Month Contract)</w:t>
            </w:r>
          </w:p>
        </w:tc>
      </w:tr>
      <w:tr w:rsidR="000D07EA" w14:paraId="7AFD48CD" w14:textId="77777777">
        <w:trPr>
          <w:tblHeader/>
        </w:trPr>
        <w:tc>
          <w:tcPr>
            <w:tcW w:w="2070" w:type="pct"/>
            <w:shd w:val="clear" w:color="auto" w:fill="auto"/>
            <w:vAlign w:val="center"/>
          </w:tcPr>
          <w:p w14:paraId="2187DADB" w14:textId="77777777" w:rsidR="000D07EA" w:rsidRDefault="000D07EA">
            <w:pPr>
              <w:pStyle w:val="BodyText"/>
              <w:keepNext/>
              <w:spacing w:before="100" w:after="100"/>
              <w:rPr>
                <w:b/>
                <w:lang w:val="en-AU" w:eastAsia="en-AU"/>
              </w:rPr>
            </w:pPr>
          </w:p>
        </w:tc>
        <w:tc>
          <w:tcPr>
            <w:tcW w:w="977" w:type="pct"/>
            <w:shd w:val="clear" w:color="auto" w:fill="auto"/>
          </w:tcPr>
          <w:p w14:paraId="73E3C99D" w14:textId="77777777" w:rsidR="000D07EA" w:rsidRDefault="00BE7C89">
            <w:pPr>
              <w:pStyle w:val="BodyText"/>
              <w:keepNext/>
              <w:spacing w:before="100" w:after="100"/>
              <w:jc w:val="center"/>
              <w:rPr>
                <w:b/>
                <w:lang w:val="en-AU" w:eastAsia="en-AU"/>
              </w:rPr>
            </w:pPr>
            <w:r>
              <w:rPr>
                <w:b/>
                <w:lang w:val="en-AU" w:eastAsia="en-AU"/>
              </w:rPr>
              <w:t>$49 Business Complete Max</w:t>
            </w:r>
          </w:p>
        </w:tc>
        <w:tc>
          <w:tcPr>
            <w:tcW w:w="977" w:type="pct"/>
            <w:shd w:val="clear" w:color="auto" w:fill="auto"/>
          </w:tcPr>
          <w:p w14:paraId="04BA85DF" w14:textId="77777777" w:rsidR="000D07EA" w:rsidRDefault="00BE7C89">
            <w:pPr>
              <w:pStyle w:val="BodyText"/>
              <w:keepNext/>
              <w:spacing w:before="100" w:after="100"/>
              <w:jc w:val="center"/>
              <w:rPr>
                <w:b/>
                <w:lang w:val="en-AU" w:eastAsia="en-AU"/>
              </w:rPr>
            </w:pPr>
            <w:r>
              <w:rPr>
                <w:b/>
                <w:lang w:val="en-AU" w:eastAsia="en-AU"/>
              </w:rPr>
              <w:t>$59 Business Complete Max</w:t>
            </w:r>
          </w:p>
        </w:tc>
        <w:tc>
          <w:tcPr>
            <w:tcW w:w="977" w:type="pct"/>
            <w:shd w:val="clear" w:color="auto" w:fill="auto"/>
          </w:tcPr>
          <w:p w14:paraId="02AE7CFB" w14:textId="77777777" w:rsidR="000D07EA" w:rsidRDefault="00BE7C89">
            <w:pPr>
              <w:pStyle w:val="BodyText"/>
              <w:keepNext/>
              <w:spacing w:before="100" w:after="100"/>
              <w:jc w:val="center"/>
              <w:rPr>
                <w:b/>
                <w:lang w:val="en-AU" w:eastAsia="en-AU"/>
              </w:rPr>
            </w:pPr>
            <w:r>
              <w:rPr>
                <w:b/>
                <w:lang w:val="en-AU" w:eastAsia="en-AU"/>
              </w:rPr>
              <w:t>$79 Business Complete Max</w:t>
            </w:r>
          </w:p>
        </w:tc>
      </w:tr>
      <w:tr w:rsidR="000D07EA" w14:paraId="307DC581" w14:textId="77777777">
        <w:tc>
          <w:tcPr>
            <w:tcW w:w="2070" w:type="pct"/>
            <w:shd w:val="clear" w:color="auto" w:fill="auto"/>
          </w:tcPr>
          <w:p w14:paraId="61DED357" w14:textId="77777777" w:rsidR="000D07EA" w:rsidRDefault="00BE7C89">
            <w:pPr>
              <w:pStyle w:val="BodyText"/>
              <w:spacing w:before="100" w:after="100"/>
              <w:rPr>
                <w:b/>
                <w:lang w:val="en-AU" w:eastAsia="en-AU"/>
              </w:rPr>
            </w:pPr>
            <w:r>
              <w:rPr>
                <w:b/>
                <w:lang w:val="en-AU" w:eastAsia="en-AU"/>
              </w:rPr>
              <w:t xml:space="preserve">During the first 6 months – Initial </w:t>
            </w:r>
            <w:r>
              <w:rPr>
                <w:b/>
                <w:i/>
                <w:lang w:val="en-AU" w:eastAsia="en-AU"/>
              </w:rPr>
              <w:t>cancellation fee</w:t>
            </w:r>
          </w:p>
        </w:tc>
        <w:tc>
          <w:tcPr>
            <w:tcW w:w="977" w:type="pct"/>
            <w:shd w:val="clear" w:color="auto" w:fill="auto"/>
          </w:tcPr>
          <w:p w14:paraId="3C5E8C8B" w14:textId="77777777" w:rsidR="000D07EA" w:rsidRDefault="00BE7C89">
            <w:pPr>
              <w:pStyle w:val="BodyText"/>
              <w:spacing w:before="100" w:after="100"/>
              <w:jc w:val="center"/>
              <w:rPr>
                <w:lang w:val="en-AU" w:eastAsia="en-AU"/>
              </w:rPr>
            </w:pPr>
            <w:r>
              <w:rPr>
                <w:lang w:val="en-AU" w:eastAsia="en-AU"/>
              </w:rPr>
              <w:t>$175.00</w:t>
            </w:r>
          </w:p>
        </w:tc>
        <w:tc>
          <w:tcPr>
            <w:tcW w:w="977" w:type="pct"/>
            <w:shd w:val="clear" w:color="auto" w:fill="auto"/>
          </w:tcPr>
          <w:p w14:paraId="12428578" w14:textId="77777777" w:rsidR="000D07EA" w:rsidRDefault="00BE7C89">
            <w:pPr>
              <w:pStyle w:val="BodyText"/>
              <w:spacing w:before="100" w:after="100"/>
              <w:jc w:val="center"/>
              <w:rPr>
                <w:lang w:val="en-AU" w:eastAsia="en-AU"/>
              </w:rPr>
            </w:pPr>
            <w:r>
              <w:rPr>
                <w:lang w:val="en-AU" w:eastAsia="en-AU"/>
              </w:rPr>
              <w:t>$185.00</w:t>
            </w:r>
          </w:p>
        </w:tc>
        <w:tc>
          <w:tcPr>
            <w:tcW w:w="977" w:type="pct"/>
            <w:shd w:val="clear" w:color="auto" w:fill="auto"/>
          </w:tcPr>
          <w:p w14:paraId="1D06FF53" w14:textId="77777777" w:rsidR="000D07EA" w:rsidRDefault="00BE7C89">
            <w:pPr>
              <w:pStyle w:val="BodyText"/>
              <w:spacing w:before="100" w:after="100"/>
              <w:jc w:val="center"/>
              <w:rPr>
                <w:lang w:val="en-AU" w:eastAsia="en-AU"/>
              </w:rPr>
            </w:pPr>
            <w:r>
              <w:rPr>
                <w:lang w:val="en-AU" w:eastAsia="en-AU"/>
              </w:rPr>
              <w:t>$190.00</w:t>
            </w:r>
          </w:p>
        </w:tc>
      </w:tr>
      <w:tr w:rsidR="000D07EA" w14:paraId="441B2875" w14:textId="77777777">
        <w:tc>
          <w:tcPr>
            <w:tcW w:w="2070" w:type="pct"/>
            <w:shd w:val="clear" w:color="auto" w:fill="auto"/>
          </w:tcPr>
          <w:p w14:paraId="640EC219" w14:textId="77777777" w:rsidR="000D07EA" w:rsidRDefault="00BE7C89">
            <w:pPr>
              <w:pStyle w:val="BodyText"/>
              <w:spacing w:before="100" w:after="100"/>
              <w:rPr>
                <w:b/>
                <w:lang w:val="en-AU" w:eastAsia="en-AU"/>
              </w:rPr>
            </w:pPr>
            <w:r>
              <w:rPr>
                <w:b/>
                <w:lang w:val="en-AU" w:eastAsia="en-AU"/>
              </w:rPr>
              <w:t xml:space="preserve">Months 7 – 9 (70% of Initial </w:t>
            </w:r>
            <w:r>
              <w:rPr>
                <w:b/>
                <w:i/>
                <w:lang w:val="en-AU" w:eastAsia="en-AU"/>
              </w:rPr>
              <w:t>cancellation fee</w:t>
            </w:r>
            <w:r>
              <w:rPr>
                <w:b/>
                <w:lang w:val="en-AU" w:eastAsia="en-AU"/>
              </w:rPr>
              <w:t>)</w:t>
            </w:r>
          </w:p>
        </w:tc>
        <w:tc>
          <w:tcPr>
            <w:tcW w:w="977" w:type="pct"/>
            <w:shd w:val="clear" w:color="auto" w:fill="auto"/>
          </w:tcPr>
          <w:p w14:paraId="253929ED" w14:textId="77777777" w:rsidR="000D07EA" w:rsidRDefault="00BE7C89">
            <w:pPr>
              <w:pStyle w:val="BodyText"/>
              <w:spacing w:before="100" w:after="100"/>
              <w:jc w:val="center"/>
              <w:rPr>
                <w:lang w:val="en-AU" w:eastAsia="en-AU"/>
              </w:rPr>
            </w:pPr>
            <w:r>
              <w:rPr>
                <w:lang w:val="en-AU" w:eastAsia="en-AU"/>
              </w:rPr>
              <w:t>$123.00</w:t>
            </w:r>
          </w:p>
        </w:tc>
        <w:tc>
          <w:tcPr>
            <w:tcW w:w="977" w:type="pct"/>
            <w:shd w:val="clear" w:color="auto" w:fill="auto"/>
          </w:tcPr>
          <w:p w14:paraId="1D0A31B5" w14:textId="77777777" w:rsidR="000D07EA" w:rsidRDefault="00BE7C89">
            <w:pPr>
              <w:pStyle w:val="BodyText"/>
              <w:spacing w:before="100" w:after="100"/>
              <w:jc w:val="center"/>
              <w:rPr>
                <w:lang w:val="en-AU" w:eastAsia="en-AU"/>
              </w:rPr>
            </w:pPr>
            <w:r>
              <w:rPr>
                <w:lang w:val="en-AU" w:eastAsia="en-AU"/>
              </w:rPr>
              <w:t>$130.00</w:t>
            </w:r>
          </w:p>
        </w:tc>
        <w:tc>
          <w:tcPr>
            <w:tcW w:w="977" w:type="pct"/>
            <w:shd w:val="clear" w:color="auto" w:fill="auto"/>
          </w:tcPr>
          <w:p w14:paraId="2B21A09B" w14:textId="77777777" w:rsidR="000D07EA" w:rsidRDefault="00BE7C89">
            <w:pPr>
              <w:pStyle w:val="BodyText"/>
              <w:spacing w:before="100" w:after="100"/>
              <w:jc w:val="center"/>
              <w:rPr>
                <w:lang w:val="en-AU" w:eastAsia="en-AU"/>
              </w:rPr>
            </w:pPr>
            <w:r>
              <w:rPr>
                <w:lang w:val="en-AU" w:eastAsia="en-AU"/>
              </w:rPr>
              <w:t>$133.00</w:t>
            </w:r>
          </w:p>
        </w:tc>
      </w:tr>
      <w:tr w:rsidR="000D07EA" w14:paraId="5E5A5EC7" w14:textId="77777777">
        <w:tc>
          <w:tcPr>
            <w:tcW w:w="2070" w:type="pct"/>
            <w:shd w:val="clear" w:color="auto" w:fill="auto"/>
          </w:tcPr>
          <w:p w14:paraId="60EBFBA6" w14:textId="77777777" w:rsidR="000D07EA" w:rsidRDefault="00BE7C89">
            <w:pPr>
              <w:pStyle w:val="BodyText"/>
              <w:keepNext/>
              <w:spacing w:before="100" w:after="100"/>
              <w:rPr>
                <w:b/>
                <w:lang w:val="en-AU" w:eastAsia="en-AU"/>
              </w:rPr>
            </w:pPr>
            <w:r>
              <w:rPr>
                <w:b/>
                <w:lang w:val="en-AU" w:eastAsia="en-AU"/>
              </w:rPr>
              <w:lastRenderedPageBreak/>
              <w:t xml:space="preserve">Months 10 – 12 (40% of the Initial </w:t>
            </w:r>
            <w:r>
              <w:rPr>
                <w:b/>
                <w:i/>
                <w:lang w:val="en-AU" w:eastAsia="en-AU"/>
              </w:rPr>
              <w:t>cancellation fee</w:t>
            </w:r>
            <w:r>
              <w:rPr>
                <w:b/>
                <w:lang w:val="en-AU" w:eastAsia="en-AU"/>
              </w:rPr>
              <w:t>)</w:t>
            </w:r>
          </w:p>
        </w:tc>
        <w:tc>
          <w:tcPr>
            <w:tcW w:w="977" w:type="pct"/>
            <w:shd w:val="clear" w:color="auto" w:fill="auto"/>
          </w:tcPr>
          <w:p w14:paraId="582205C4" w14:textId="77777777" w:rsidR="000D07EA" w:rsidRDefault="00BE7C89">
            <w:pPr>
              <w:pStyle w:val="BodyText"/>
              <w:keepNext/>
              <w:spacing w:before="100" w:after="100"/>
              <w:jc w:val="center"/>
              <w:rPr>
                <w:lang w:val="en-AU" w:eastAsia="en-AU"/>
              </w:rPr>
            </w:pPr>
            <w:r>
              <w:rPr>
                <w:lang w:val="en-AU" w:eastAsia="en-AU"/>
              </w:rPr>
              <w:t>$70.00</w:t>
            </w:r>
          </w:p>
        </w:tc>
        <w:tc>
          <w:tcPr>
            <w:tcW w:w="977" w:type="pct"/>
            <w:shd w:val="clear" w:color="auto" w:fill="auto"/>
          </w:tcPr>
          <w:p w14:paraId="2C4410B6" w14:textId="77777777" w:rsidR="000D07EA" w:rsidRDefault="00BE7C89">
            <w:pPr>
              <w:pStyle w:val="BodyText"/>
              <w:keepNext/>
              <w:spacing w:before="100" w:after="100"/>
              <w:jc w:val="center"/>
              <w:rPr>
                <w:lang w:val="en-AU" w:eastAsia="en-AU"/>
              </w:rPr>
            </w:pPr>
            <w:r>
              <w:rPr>
                <w:lang w:val="en-AU" w:eastAsia="en-AU"/>
              </w:rPr>
              <w:t>$74.00</w:t>
            </w:r>
          </w:p>
        </w:tc>
        <w:tc>
          <w:tcPr>
            <w:tcW w:w="977" w:type="pct"/>
            <w:shd w:val="clear" w:color="auto" w:fill="auto"/>
          </w:tcPr>
          <w:p w14:paraId="4A41EE28" w14:textId="77777777" w:rsidR="000D07EA" w:rsidRDefault="00BE7C89">
            <w:pPr>
              <w:pStyle w:val="BodyText"/>
              <w:keepNext/>
              <w:spacing w:before="100" w:after="100"/>
              <w:jc w:val="center"/>
              <w:rPr>
                <w:lang w:val="en-AU" w:eastAsia="en-AU"/>
              </w:rPr>
            </w:pPr>
            <w:r>
              <w:rPr>
                <w:lang w:val="en-AU" w:eastAsia="en-AU"/>
              </w:rPr>
              <w:t>$76.00</w:t>
            </w:r>
          </w:p>
        </w:tc>
      </w:tr>
    </w:tbl>
    <w:p w14:paraId="4BF2E7DC" w14:textId="77777777" w:rsidR="000D07EA" w:rsidRDefault="000D07EA">
      <w:pPr>
        <w:pStyle w:val="BodyText"/>
      </w:pPr>
    </w:p>
    <w:p w14:paraId="40B5CE85" w14:textId="77777777" w:rsidR="000D07EA" w:rsidRDefault="00BE7C89">
      <w:pPr>
        <w:pStyle w:val="Heading7"/>
      </w:pPr>
      <w:r>
        <w:t xml:space="preserve">If the </w:t>
      </w:r>
      <w:r>
        <w:rPr>
          <w:i/>
        </w:rPr>
        <w:t>Business Mobile Broadband service</w:t>
      </w:r>
      <w:r>
        <w:t xml:space="preserve"> is cancelled before the expiry of the </w:t>
      </w:r>
      <w:r>
        <w:rPr>
          <w:i/>
        </w:rPr>
        <w:t>minimum term, you</w:t>
      </w:r>
      <w:r>
        <w:t xml:space="preserve"> will be required to pay </w:t>
      </w:r>
      <w:r>
        <w:rPr>
          <w:i/>
        </w:rPr>
        <w:t>us</w:t>
      </w:r>
      <w:r>
        <w:t>;</w:t>
      </w:r>
    </w:p>
    <w:p w14:paraId="19C097DD" w14:textId="77777777" w:rsidR="000D07EA" w:rsidRDefault="00BE7C89">
      <w:pPr>
        <w:pStyle w:val="Heading8"/>
      </w:pPr>
      <w:r>
        <w:t xml:space="preserve">any usage charges incurred up to, and including, the </w:t>
      </w:r>
      <w:r>
        <w:rPr>
          <w:i/>
        </w:rPr>
        <w:t xml:space="preserve">cancellation date; </w:t>
      </w:r>
      <w:r>
        <w:t>plus</w:t>
      </w:r>
    </w:p>
    <w:p w14:paraId="0C8EC112" w14:textId="77777777" w:rsidR="000D07EA" w:rsidRDefault="00BE7C89">
      <w:pPr>
        <w:pStyle w:val="Heading8"/>
      </w:pPr>
      <w:r>
        <w:t>the sum of unpaid equipment charges owing on your mobile phone under the mobile equipment payment plan (if any)</w:t>
      </w:r>
    </w:p>
    <w:p w14:paraId="5B918377" w14:textId="77777777" w:rsidR="000D07EA" w:rsidRDefault="00BE7C89">
      <w:pPr>
        <w:pStyle w:val="Heading6"/>
        <w:ind w:left="0" w:firstLine="0"/>
        <w:rPr>
          <w:i/>
        </w:rPr>
      </w:pPr>
      <w:bookmarkStart w:id="361" w:name="_Toc256412819"/>
      <w:bookmarkStart w:id="362" w:name="_Toc397941129"/>
      <w:r>
        <w:t xml:space="preserve">What happens at the end of the 24 month </w:t>
      </w:r>
      <w:r>
        <w:rPr>
          <w:i/>
        </w:rPr>
        <w:t>minimum term?</w:t>
      </w:r>
      <w:bookmarkEnd w:id="361"/>
      <w:bookmarkEnd w:id="362"/>
    </w:p>
    <w:p w14:paraId="786D4159" w14:textId="77777777" w:rsidR="000D07EA" w:rsidRDefault="00BE7C89">
      <w:pPr>
        <w:pStyle w:val="BodyText"/>
        <w:ind w:left="720"/>
      </w:pPr>
      <w:r>
        <w:rPr>
          <w:i/>
        </w:rPr>
        <w:t xml:space="preserve">We </w:t>
      </w:r>
      <w:r>
        <w:t xml:space="preserve">reserve the right not to offer </w:t>
      </w:r>
      <w:r>
        <w:rPr>
          <w:i/>
        </w:rPr>
        <w:t xml:space="preserve">you </w:t>
      </w:r>
      <w:r>
        <w:t xml:space="preserve">the Business Complete Max offers at the end of </w:t>
      </w:r>
      <w:r>
        <w:rPr>
          <w:i/>
        </w:rPr>
        <w:t xml:space="preserve">your </w:t>
      </w:r>
      <w:r>
        <w:t xml:space="preserve">24 month </w:t>
      </w:r>
      <w:r>
        <w:rPr>
          <w:i/>
        </w:rPr>
        <w:t xml:space="preserve">minimum </w:t>
      </w:r>
      <w:r>
        <w:t xml:space="preserve">term. At that time, if </w:t>
      </w:r>
      <w:r>
        <w:rPr>
          <w:i/>
        </w:rPr>
        <w:t xml:space="preserve">you </w:t>
      </w:r>
      <w:r>
        <w:t xml:space="preserve">haven't given </w:t>
      </w:r>
      <w:r>
        <w:rPr>
          <w:i/>
        </w:rPr>
        <w:t xml:space="preserve">us </w:t>
      </w:r>
      <w:r>
        <w:t xml:space="preserve">notice to change or </w:t>
      </w:r>
      <w:r>
        <w:rPr>
          <w:i/>
        </w:rPr>
        <w:t>cancel the services</w:t>
      </w:r>
      <w:r>
        <w:t>:</w:t>
      </w:r>
    </w:p>
    <w:p w14:paraId="1270DA5D" w14:textId="77777777" w:rsidR="000D07EA" w:rsidRDefault="00BE7C89">
      <w:pPr>
        <w:pStyle w:val="Heading7"/>
      </w:pPr>
      <w:r>
        <w:t xml:space="preserve">the benefits of the Business Complete Max offers may be removed from </w:t>
      </w:r>
      <w:r>
        <w:rPr>
          <w:i/>
        </w:rPr>
        <w:t xml:space="preserve">your </w:t>
      </w:r>
      <w:r>
        <w:t>account; and</w:t>
      </w:r>
    </w:p>
    <w:p w14:paraId="0E75CBF9" w14:textId="77777777" w:rsidR="000D07EA" w:rsidRDefault="00BE7C89">
      <w:pPr>
        <w:pStyle w:val="Heading7"/>
      </w:pPr>
      <w:r>
        <w:rPr>
          <w:i/>
        </w:rPr>
        <w:t xml:space="preserve">we </w:t>
      </w:r>
      <w:r>
        <w:t xml:space="preserve">may move </w:t>
      </w:r>
      <w:r>
        <w:rPr>
          <w:i/>
        </w:rPr>
        <w:t xml:space="preserve">you </w:t>
      </w:r>
      <w:r>
        <w:t xml:space="preserve">to any other current </w:t>
      </w:r>
      <w:r>
        <w:rPr>
          <w:i/>
        </w:rPr>
        <w:t xml:space="preserve">pricing plan </w:t>
      </w:r>
      <w:r>
        <w:t>that is reasonably comparable.</w:t>
      </w:r>
    </w:p>
    <w:p w14:paraId="581ECD0C" w14:textId="77777777" w:rsidR="000D07EA" w:rsidRDefault="00BE7C89">
      <w:pPr>
        <w:pStyle w:val="BodyText"/>
        <w:ind w:left="720"/>
      </w:pPr>
      <w:r>
        <w:rPr>
          <w:i/>
        </w:rPr>
        <w:t xml:space="preserve">We </w:t>
      </w:r>
      <w:r>
        <w:t xml:space="preserve">will tell </w:t>
      </w:r>
      <w:r>
        <w:rPr>
          <w:i/>
        </w:rPr>
        <w:t xml:space="preserve">you </w:t>
      </w:r>
      <w:r>
        <w:t xml:space="preserve">before this happen. </w:t>
      </w:r>
      <w:bookmarkStart w:id="363" w:name="_Toc256412820"/>
    </w:p>
    <w:p w14:paraId="30AD2B0A" w14:textId="77777777" w:rsidR="000D07EA" w:rsidRDefault="00BE7C89">
      <w:pPr>
        <w:pStyle w:val="Heading6"/>
        <w:ind w:left="0" w:firstLine="0"/>
      </w:pPr>
      <w:bookmarkStart w:id="364" w:name="_Toc397941130"/>
      <w:r>
        <w:t>$10 Business Complete Max BMB Plan effective from 4 July 2010</w:t>
      </w:r>
      <w:bookmarkEnd w:id="363"/>
      <w:bookmarkEnd w:id="364"/>
    </w:p>
    <w:p w14:paraId="7E58E4C3" w14:textId="77777777" w:rsidR="000D07EA" w:rsidRDefault="00BE7C89">
      <w:pPr>
        <w:pStyle w:val="Heading7"/>
      </w:pPr>
      <w:r>
        <w:rPr>
          <w:i/>
        </w:rPr>
        <w:t xml:space="preserve">You </w:t>
      </w:r>
      <w:r>
        <w:t xml:space="preserve">must pay </w:t>
      </w:r>
      <w:r>
        <w:rPr>
          <w:i/>
        </w:rPr>
        <w:t xml:space="preserve">us </w:t>
      </w:r>
      <w:r>
        <w:t xml:space="preserve">for use of the </w:t>
      </w:r>
      <w:r>
        <w:rPr>
          <w:i/>
        </w:rPr>
        <w:t xml:space="preserve">service </w:t>
      </w:r>
      <w:r>
        <w:t xml:space="preserve">at the rates set out in Table 7 </w:t>
      </w:r>
    </w:p>
    <w:p w14:paraId="334D0DA5" w14:textId="77777777" w:rsidR="000D07EA" w:rsidRDefault="00BE7C89">
      <w:pPr>
        <w:pStyle w:val="Heading7"/>
        <w:rPr>
          <w:b/>
        </w:rPr>
      </w:pPr>
      <w:r>
        <w:rPr>
          <w:b/>
        </w:rPr>
        <w:t>Minimum Monthly Charge</w:t>
      </w:r>
    </w:p>
    <w:p w14:paraId="2E112FB6" w14:textId="77777777" w:rsidR="000D07EA" w:rsidRDefault="00BE7C89">
      <w:pPr>
        <w:pStyle w:val="Heading8"/>
      </w:pPr>
      <w:r>
        <w:t xml:space="preserve">The Business Max BMB Plan has a Minimum Monthly Charge amount that </w:t>
      </w:r>
      <w:r>
        <w:rPr>
          <w:i/>
        </w:rPr>
        <w:t xml:space="preserve">you </w:t>
      </w:r>
      <w:r>
        <w:t xml:space="preserve">must pay us each month. </w:t>
      </w:r>
    </w:p>
    <w:p w14:paraId="64601881" w14:textId="77777777" w:rsidR="000D07EA" w:rsidRDefault="00BE7C89">
      <w:pPr>
        <w:pStyle w:val="Heading8"/>
      </w:pPr>
      <w:r>
        <w:t>The amount of the Minimum Monthly Charge for each $10 Business Complete Max BMB Plan is set out in Table 7 below.</w:t>
      </w:r>
    </w:p>
    <w:p w14:paraId="55990054" w14:textId="77777777" w:rsidR="000D07EA" w:rsidRDefault="00BE7C89">
      <w:pPr>
        <w:pStyle w:val="Heading8"/>
        <w:rPr>
          <w:b/>
        </w:rPr>
      </w:pPr>
      <w:r>
        <w:rPr>
          <w:i/>
        </w:rPr>
        <w:t>You</w:t>
      </w:r>
      <w:r>
        <w:t xml:space="preserve"> must pay for any calls that are not eligible calls.</w:t>
      </w:r>
    </w:p>
    <w:p w14:paraId="69AE6CD5" w14:textId="77777777" w:rsidR="000D07EA" w:rsidRDefault="00BE7C89">
      <w:pPr>
        <w:pStyle w:val="Heading7"/>
        <w:rPr>
          <w:b/>
        </w:rPr>
      </w:pPr>
      <w:r>
        <w:rPr>
          <w:b/>
        </w:rPr>
        <w:t>Other Conditions and Offers</w:t>
      </w:r>
    </w:p>
    <w:p w14:paraId="63920ACF" w14:textId="77777777" w:rsidR="000D07EA" w:rsidRDefault="00BE7C89">
      <w:pPr>
        <w:pStyle w:val="Heading8"/>
      </w:pPr>
      <w:r>
        <w:t xml:space="preserve">The </w:t>
      </w:r>
      <w:r w:rsidR="00B64C56">
        <w:t>Fair Go</w:t>
      </w:r>
      <w:r>
        <w:t xml:space="preserve"> Policy applies to usage of the </w:t>
      </w:r>
      <w:r>
        <w:rPr>
          <w:i/>
        </w:rPr>
        <w:t>Optus Mobile Internet Service</w:t>
      </w:r>
      <w:r>
        <w:t xml:space="preserve">. Please refer to </w:t>
      </w:r>
      <w:hyperlink r:id="rId255" w:history="1">
        <w:r w:rsidRPr="00B64C56">
          <w:rPr>
            <w:rStyle w:val="Hyperlink"/>
            <w:rFonts w:eastAsia="MS Gothic"/>
          </w:rPr>
          <w:t xml:space="preserve">Appendix </w:t>
        </w:r>
        <w:r w:rsidR="00B64C56" w:rsidRPr="00B64C56">
          <w:rPr>
            <w:rStyle w:val="Hyperlink"/>
          </w:rPr>
          <w:t>S</w:t>
        </w:r>
      </w:hyperlink>
      <w:r>
        <w:t xml:space="preserve"> .</w:t>
      </w:r>
    </w:p>
    <w:p w14:paraId="74B58276" w14:textId="77777777" w:rsidR="000D07EA" w:rsidRDefault="00BE7C89">
      <w:pPr>
        <w:pStyle w:val="Heading8"/>
      </w:pPr>
      <w:r>
        <w:t xml:space="preserve">As per Table 4 below a Business Mobile Broadband Service on a $10 Business Complete Max BMB Plan can only be bundled with the respective Optus Mobile Digital service </w:t>
      </w:r>
    </w:p>
    <w:p w14:paraId="725ACBD8" w14:textId="77777777" w:rsidR="000D07EA" w:rsidRDefault="00BE7C89">
      <w:pPr>
        <w:pStyle w:val="BodyText"/>
        <w:ind w:left="1440"/>
        <w:rPr>
          <w:b/>
        </w:rPr>
      </w:pPr>
      <w:r>
        <w:rPr>
          <w:b/>
        </w:rPr>
        <w:t>Table 4 – Business Mobile Broadband Bundles Options</w:t>
      </w:r>
    </w:p>
    <w:tbl>
      <w:tblPr>
        <w:tblW w:w="4297"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638"/>
        <w:gridCol w:w="2039"/>
        <w:gridCol w:w="2039"/>
        <w:gridCol w:w="2040"/>
      </w:tblGrid>
      <w:tr w:rsidR="000D07EA" w14:paraId="390E2CCE" w14:textId="77777777">
        <w:tc>
          <w:tcPr>
            <w:tcW w:w="1506" w:type="pct"/>
            <w:shd w:val="clear" w:color="auto" w:fill="auto"/>
          </w:tcPr>
          <w:p w14:paraId="204B1BBA" w14:textId="77777777" w:rsidR="000D07EA" w:rsidRDefault="00BE7C89">
            <w:pPr>
              <w:pStyle w:val="BodyText"/>
              <w:spacing w:before="100" w:after="100"/>
              <w:rPr>
                <w:b/>
              </w:rPr>
            </w:pPr>
            <w:r>
              <w:rPr>
                <w:b/>
              </w:rPr>
              <w:t>Optus Mobile Digital Service Plan which can be bundled</w:t>
            </w:r>
          </w:p>
        </w:tc>
        <w:tc>
          <w:tcPr>
            <w:tcW w:w="1164" w:type="pct"/>
            <w:shd w:val="clear" w:color="auto" w:fill="auto"/>
          </w:tcPr>
          <w:p w14:paraId="7C736497" w14:textId="77777777" w:rsidR="000D07EA" w:rsidRDefault="00BE7C89">
            <w:pPr>
              <w:pStyle w:val="BodyText"/>
              <w:spacing w:before="100" w:after="100"/>
              <w:jc w:val="center"/>
            </w:pPr>
            <w:r>
              <w:t>$49 Business Complete Max</w:t>
            </w:r>
          </w:p>
        </w:tc>
        <w:tc>
          <w:tcPr>
            <w:tcW w:w="1164" w:type="pct"/>
            <w:shd w:val="clear" w:color="auto" w:fill="auto"/>
          </w:tcPr>
          <w:p w14:paraId="71E6F3A2" w14:textId="77777777" w:rsidR="000D07EA" w:rsidRDefault="00BE7C89">
            <w:pPr>
              <w:pStyle w:val="BodyText"/>
              <w:spacing w:before="100" w:after="100"/>
              <w:jc w:val="center"/>
            </w:pPr>
            <w:r>
              <w:t>$59 Business Complete Max</w:t>
            </w:r>
          </w:p>
        </w:tc>
        <w:tc>
          <w:tcPr>
            <w:tcW w:w="1165" w:type="pct"/>
            <w:shd w:val="clear" w:color="auto" w:fill="auto"/>
          </w:tcPr>
          <w:p w14:paraId="441D7494" w14:textId="77777777" w:rsidR="000D07EA" w:rsidRDefault="00BE7C89">
            <w:pPr>
              <w:pStyle w:val="BodyText"/>
              <w:spacing w:before="100" w:after="100"/>
              <w:jc w:val="center"/>
            </w:pPr>
            <w:r>
              <w:t>$79 Business Complete Max</w:t>
            </w:r>
          </w:p>
        </w:tc>
      </w:tr>
      <w:tr w:rsidR="000D07EA" w14:paraId="0A84BFE6" w14:textId="77777777">
        <w:tc>
          <w:tcPr>
            <w:tcW w:w="1506" w:type="pct"/>
            <w:shd w:val="clear" w:color="auto" w:fill="auto"/>
          </w:tcPr>
          <w:p w14:paraId="6FD9A8E9" w14:textId="77777777" w:rsidR="000D07EA" w:rsidRDefault="00BE7C89">
            <w:pPr>
              <w:pStyle w:val="BodyText"/>
              <w:spacing w:before="100" w:after="100"/>
              <w:rPr>
                <w:b/>
              </w:rPr>
            </w:pPr>
            <w:r>
              <w:rPr>
                <w:b/>
              </w:rPr>
              <w:t>Business Mobile Broadband Service Plan</w:t>
            </w:r>
          </w:p>
        </w:tc>
        <w:tc>
          <w:tcPr>
            <w:tcW w:w="1164" w:type="pct"/>
            <w:shd w:val="clear" w:color="auto" w:fill="auto"/>
          </w:tcPr>
          <w:p w14:paraId="0C31D6D4" w14:textId="77777777" w:rsidR="000D07EA" w:rsidRDefault="00BE7C89">
            <w:pPr>
              <w:pStyle w:val="BodyText"/>
              <w:spacing w:before="100" w:after="100"/>
              <w:jc w:val="center"/>
            </w:pPr>
            <w:r>
              <w:t>$10 Business Complete Max BMB</w:t>
            </w:r>
          </w:p>
        </w:tc>
        <w:tc>
          <w:tcPr>
            <w:tcW w:w="1164" w:type="pct"/>
            <w:shd w:val="clear" w:color="auto" w:fill="auto"/>
          </w:tcPr>
          <w:p w14:paraId="6F0B30F2" w14:textId="77777777" w:rsidR="000D07EA" w:rsidRDefault="00BE7C89">
            <w:pPr>
              <w:pStyle w:val="BodyText"/>
              <w:spacing w:before="100" w:after="100"/>
              <w:jc w:val="center"/>
            </w:pPr>
            <w:r>
              <w:t>$10 Business Complete Max BMB</w:t>
            </w:r>
          </w:p>
        </w:tc>
        <w:tc>
          <w:tcPr>
            <w:tcW w:w="1165" w:type="pct"/>
            <w:shd w:val="clear" w:color="auto" w:fill="auto"/>
          </w:tcPr>
          <w:p w14:paraId="1B619B05" w14:textId="77777777" w:rsidR="000D07EA" w:rsidRDefault="00BE7C89">
            <w:pPr>
              <w:pStyle w:val="BodyText"/>
              <w:spacing w:before="100" w:after="100"/>
              <w:jc w:val="center"/>
            </w:pPr>
            <w:r>
              <w:t>$10 Business Complete MaxBMB</w:t>
            </w:r>
          </w:p>
        </w:tc>
      </w:tr>
    </w:tbl>
    <w:p w14:paraId="21C28D0F" w14:textId="77777777" w:rsidR="000D07EA" w:rsidRDefault="000D07EA">
      <w:pPr>
        <w:pStyle w:val="BodyText"/>
      </w:pPr>
    </w:p>
    <w:p w14:paraId="3FAA3C42" w14:textId="77777777" w:rsidR="000D07EA" w:rsidRDefault="00BE7C89">
      <w:pPr>
        <w:pStyle w:val="Heading7"/>
        <w:rPr>
          <w:b/>
        </w:rPr>
      </w:pPr>
      <w:r>
        <w:rPr>
          <w:b/>
        </w:rPr>
        <w:t>Equipment</w:t>
      </w:r>
    </w:p>
    <w:p w14:paraId="00D69895" w14:textId="77777777" w:rsidR="000D07EA" w:rsidRDefault="00BE7C89">
      <w:pPr>
        <w:pStyle w:val="Heading8"/>
      </w:pPr>
      <w:r>
        <w:t xml:space="preserve">The Business Complete Max offer includes a credit of up to $10 a month for 24 months which can be used to offset the BMB modem charge. </w:t>
      </w:r>
    </w:p>
    <w:p w14:paraId="43A82F1F" w14:textId="77777777" w:rsidR="000D07EA" w:rsidRDefault="00BE7C89">
      <w:pPr>
        <w:pStyle w:val="Heading8"/>
      </w:pPr>
      <w:r>
        <w:t xml:space="preserve">If </w:t>
      </w:r>
      <w:r>
        <w:rPr>
          <w:i/>
        </w:rPr>
        <w:t>you</w:t>
      </w:r>
      <w:r>
        <w:t xml:space="preserve">r Business Mobile Broadband service is cancelled before the end of the 24 months period </w:t>
      </w:r>
      <w:r>
        <w:rPr>
          <w:i/>
        </w:rPr>
        <w:t>you</w:t>
      </w:r>
      <w:r>
        <w:t xml:space="preserve"> will have to pay any BMB modem charge amount, which is calculated by multiplying the per month figure listed in Table 5 by the number of months remaining in the 24 month period.</w:t>
      </w:r>
    </w:p>
    <w:p w14:paraId="26248B6F" w14:textId="77777777" w:rsidR="000D07EA" w:rsidRDefault="00BE7C89">
      <w:pPr>
        <w:pStyle w:val="BodyText"/>
        <w:keepNext/>
        <w:ind w:left="1440"/>
        <w:rPr>
          <w:b/>
        </w:rPr>
      </w:pPr>
      <w:r>
        <w:rPr>
          <w:b/>
        </w:rPr>
        <w:t>Table 5 – Business Mobile Broadband Hardware charge</w:t>
      </w:r>
    </w:p>
    <w:tbl>
      <w:tblPr>
        <w:tblW w:w="4300" w:type="pct"/>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0"/>
        <w:gridCol w:w="2891"/>
        <w:gridCol w:w="2891"/>
      </w:tblGrid>
      <w:tr w:rsidR="000D07EA" w14:paraId="65E91B1B" w14:textId="77777777">
        <w:tc>
          <w:tcPr>
            <w:tcW w:w="1700" w:type="pct"/>
            <w:shd w:val="clear" w:color="auto" w:fill="auto"/>
          </w:tcPr>
          <w:p w14:paraId="6305F817" w14:textId="77777777" w:rsidR="000D07EA" w:rsidRDefault="00BE7C89">
            <w:pPr>
              <w:pStyle w:val="BodyText"/>
              <w:keepNext/>
              <w:spacing w:before="100" w:after="100"/>
              <w:jc w:val="center"/>
              <w:rPr>
                <w:b/>
              </w:rPr>
            </w:pPr>
            <w:r>
              <w:rPr>
                <w:b/>
              </w:rPr>
              <w:t>Device</w:t>
            </w:r>
          </w:p>
        </w:tc>
        <w:tc>
          <w:tcPr>
            <w:tcW w:w="1650" w:type="pct"/>
            <w:shd w:val="clear" w:color="auto" w:fill="auto"/>
          </w:tcPr>
          <w:p w14:paraId="770B713B" w14:textId="77777777" w:rsidR="000D07EA" w:rsidRDefault="00BE7C89">
            <w:pPr>
              <w:pStyle w:val="BodyText"/>
              <w:keepNext/>
              <w:spacing w:before="100" w:after="100"/>
              <w:jc w:val="center"/>
              <w:rPr>
                <w:b/>
              </w:rPr>
            </w:pPr>
            <w:r>
              <w:rPr>
                <w:b/>
              </w:rPr>
              <w:t>Upfront Cost</w:t>
            </w:r>
          </w:p>
        </w:tc>
        <w:tc>
          <w:tcPr>
            <w:tcW w:w="1650" w:type="pct"/>
            <w:shd w:val="clear" w:color="auto" w:fill="auto"/>
          </w:tcPr>
          <w:p w14:paraId="0D03CD56" w14:textId="77777777" w:rsidR="000D07EA" w:rsidRDefault="00BE7C89">
            <w:pPr>
              <w:pStyle w:val="BodyText"/>
              <w:keepNext/>
              <w:spacing w:before="100" w:after="100"/>
              <w:jc w:val="center"/>
              <w:rPr>
                <w:b/>
              </w:rPr>
            </w:pPr>
            <w:r>
              <w:rPr>
                <w:b/>
              </w:rPr>
              <w:t>OMB Modem Charge (per month)</w:t>
            </w:r>
          </w:p>
        </w:tc>
      </w:tr>
      <w:tr w:rsidR="000D07EA" w14:paraId="1B6D0C02" w14:textId="77777777">
        <w:tc>
          <w:tcPr>
            <w:tcW w:w="1700" w:type="pct"/>
            <w:shd w:val="clear" w:color="auto" w:fill="auto"/>
          </w:tcPr>
          <w:p w14:paraId="3AC1C3DC" w14:textId="77777777" w:rsidR="000D07EA" w:rsidRDefault="00BE7C89">
            <w:pPr>
              <w:pStyle w:val="BodyText"/>
              <w:spacing w:before="100" w:after="100"/>
              <w:jc w:val="center"/>
              <w:rPr>
                <w:b/>
              </w:rPr>
            </w:pPr>
            <w:r>
              <w:rPr>
                <w:b/>
              </w:rPr>
              <w:t>Huawei E1762</w:t>
            </w:r>
          </w:p>
        </w:tc>
        <w:tc>
          <w:tcPr>
            <w:tcW w:w="1650" w:type="pct"/>
            <w:shd w:val="clear" w:color="auto" w:fill="auto"/>
          </w:tcPr>
          <w:p w14:paraId="36839BB9" w14:textId="77777777" w:rsidR="000D07EA" w:rsidRDefault="00BE7C89">
            <w:pPr>
              <w:pStyle w:val="BodyText"/>
              <w:spacing w:before="100" w:after="100"/>
              <w:jc w:val="center"/>
            </w:pPr>
            <w:r>
              <w:t>$149</w:t>
            </w:r>
          </w:p>
        </w:tc>
        <w:tc>
          <w:tcPr>
            <w:tcW w:w="1650" w:type="pct"/>
            <w:shd w:val="clear" w:color="auto" w:fill="auto"/>
          </w:tcPr>
          <w:p w14:paraId="71F9E903" w14:textId="77777777" w:rsidR="000D07EA" w:rsidRDefault="00BE7C89">
            <w:pPr>
              <w:pStyle w:val="BodyText"/>
              <w:spacing w:before="100" w:after="100"/>
              <w:jc w:val="center"/>
            </w:pPr>
            <w:r>
              <w:t>$6.21</w:t>
            </w:r>
          </w:p>
        </w:tc>
      </w:tr>
    </w:tbl>
    <w:p w14:paraId="41725C34" w14:textId="77777777" w:rsidR="000D07EA" w:rsidRDefault="000D07EA">
      <w:pPr>
        <w:pStyle w:val="BodyText"/>
        <w:rPr>
          <w:lang w:val="en-AU"/>
        </w:rPr>
      </w:pPr>
    </w:p>
    <w:p w14:paraId="5B480890" w14:textId="77777777" w:rsidR="000D07EA" w:rsidRDefault="00BE7C89">
      <w:pPr>
        <w:pStyle w:val="Heading7"/>
        <w:rPr>
          <w:b/>
          <w:lang w:val="en-AU"/>
        </w:rPr>
      </w:pPr>
      <w:r>
        <w:rPr>
          <w:b/>
        </w:rPr>
        <w:t>Eligible Calls, Messages and Pricing Plans</w:t>
      </w:r>
    </w:p>
    <w:p w14:paraId="757D55B3" w14:textId="77777777" w:rsidR="000D07EA" w:rsidRDefault="00BE7C89">
      <w:pPr>
        <w:pStyle w:val="BodyText"/>
        <w:ind w:left="1440"/>
      </w:pPr>
      <w:r>
        <w:t xml:space="preserve">Table 6 below indicates whether a particular data type is 'eligible data usage' which counts towards the data value of </w:t>
      </w:r>
      <w:r>
        <w:rPr>
          <w:i/>
        </w:rPr>
        <w:t xml:space="preserve">your </w:t>
      </w:r>
      <w:r>
        <w:t xml:space="preserve">$10 Business Complete Max BMB Plan. </w:t>
      </w:r>
    </w:p>
    <w:p w14:paraId="644DA89D" w14:textId="77777777" w:rsidR="000D07EA" w:rsidRDefault="00BE7C89">
      <w:pPr>
        <w:pStyle w:val="BodyText"/>
        <w:ind w:left="1440"/>
        <w:rPr>
          <w:b/>
        </w:rPr>
      </w:pPr>
      <w:r>
        <w:rPr>
          <w:b/>
        </w:rPr>
        <w:t>Table 6 – Eligible Data</w:t>
      </w:r>
    </w:p>
    <w:tbl>
      <w:tblPr>
        <w:tblW w:w="4300" w:type="pct"/>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5"/>
        <w:gridCol w:w="4337"/>
      </w:tblGrid>
      <w:tr w:rsidR="000D07EA" w14:paraId="51EC4953" w14:textId="77777777">
        <w:trPr>
          <w:tblHeader/>
        </w:trPr>
        <w:tc>
          <w:tcPr>
            <w:tcW w:w="2525" w:type="pct"/>
            <w:shd w:val="clear" w:color="auto" w:fill="auto"/>
            <w:vAlign w:val="center"/>
          </w:tcPr>
          <w:p w14:paraId="124A8127" w14:textId="77777777" w:rsidR="000D07EA" w:rsidRDefault="00BE7C89">
            <w:pPr>
              <w:pStyle w:val="BodyText"/>
              <w:spacing w:before="100" w:after="100"/>
              <w:rPr>
                <w:b/>
              </w:rPr>
            </w:pPr>
            <w:bookmarkStart w:id="365" w:name="_Toc245107329"/>
            <w:bookmarkStart w:id="366" w:name="_Toc256412821"/>
            <w:bookmarkStart w:id="367" w:name="_Toc192959485"/>
            <w:r>
              <w:rPr>
                <w:b/>
              </w:rPr>
              <w:t>Call Type</w:t>
            </w:r>
          </w:p>
        </w:tc>
        <w:tc>
          <w:tcPr>
            <w:tcW w:w="2475" w:type="pct"/>
            <w:shd w:val="clear" w:color="auto" w:fill="auto"/>
            <w:vAlign w:val="center"/>
          </w:tcPr>
          <w:p w14:paraId="4F498125" w14:textId="77777777" w:rsidR="000D07EA" w:rsidRDefault="00BE7C89">
            <w:pPr>
              <w:pStyle w:val="BodyText"/>
              <w:spacing w:before="100" w:after="100"/>
              <w:rPr>
                <w:b/>
              </w:rPr>
            </w:pPr>
            <w:r>
              <w:rPr>
                <w:b/>
              </w:rPr>
              <w:t>Eligible Data</w:t>
            </w:r>
          </w:p>
        </w:tc>
      </w:tr>
      <w:tr w:rsidR="000D07EA" w14:paraId="3AF03A24" w14:textId="77777777">
        <w:tc>
          <w:tcPr>
            <w:tcW w:w="2525" w:type="pct"/>
            <w:shd w:val="clear" w:color="auto" w:fill="auto"/>
            <w:vAlign w:val="center"/>
          </w:tcPr>
          <w:p w14:paraId="70C5C9AB" w14:textId="77777777" w:rsidR="000D07EA" w:rsidRDefault="00BE7C89">
            <w:pPr>
              <w:pStyle w:val="BodyText"/>
              <w:spacing w:before="100" w:after="100"/>
            </w:pPr>
            <w:r>
              <w:t>Standard National Voice Calls</w:t>
            </w:r>
          </w:p>
        </w:tc>
        <w:tc>
          <w:tcPr>
            <w:tcW w:w="2475" w:type="pct"/>
            <w:shd w:val="clear" w:color="auto" w:fill="auto"/>
            <w:vAlign w:val="center"/>
          </w:tcPr>
          <w:p w14:paraId="6ED6A120" w14:textId="77777777" w:rsidR="000D07EA" w:rsidRDefault="00BE7C89">
            <w:pPr>
              <w:pStyle w:val="BodyText"/>
              <w:spacing w:before="100" w:after="100"/>
            </w:pPr>
            <w:r>
              <w:t>No</w:t>
            </w:r>
          </w:p>
        </w:tc>
      </w:tr>
      <w:tr w:rsidR="000D07EA" w14:paraId="145949E4" w14:textId="77777777">
        <w:tc>
          <w:tcPr>
            <w:tcW w:w="2525" w:type="pct"/>
            <w:shd w:val="clear" w:color="auto" w:fill="auto"/>
            <w:vAlign w:val="center"/>
          </w:tcPr>
          <w:p w14:paraId="2CF3581D" w14:textId="77777777" w:rsidR="000D07EA" w:rsidRDefault="00BE7C89">
            <w:pPr>
              <w:pStyle w:val="BodyText"/>
              <w:spacing w:before="100" w:after="100"/>
            </w:pPr>
            <w:r>
              <w:t>Standard National Video Calls</w:t>
            </w:r>
          </w:p>
        </w:tc>
        <w:tc>
          <w:tcPr>
            <w:tcW w:w="2475" w:type="pct"/>
            <w:shd w:val="clear" w:color="auto" w:fill="auto"/>
            <w:vAlign w:val="center"/>
          </w:tcPr>
          <w:p w14:paraId="0E880CA2" w14:textId="77777777" w:rsidR="000D07EA" w:rsidRDefault="00BE7C89">
            <w:pPr>
              <w:pStyle w:val="BodyText"/>
              <w:spacing w:before="100" w:after="100"/>
            </w:pPr>
            <w:r>
              <w:t>No</w:t>
            </w:r>
          </w:p>
        </w:tc>
      </w:tr>
      <w:tr w:rsidR="000D07EA" w14:paraId="7B1D8994" w14:textId="77777777">
        <w:tc>
          <w:tcPr>
            <w:tcW w:w="2525" w:type="pct"/>
            <w:shd w:val="clear" w:color="auto" w:fill="auto"/>
            <w:vAlign w:val="center"/>
          </w:tcPr>
          <w:p w14:paraId="40747BA8" w14:textId="77777777" w:rsidR="000D07EA" w:rsidRDefault="00BE7C89">
            <w:pPr>
              <w:pStyle w:val="BodyText"/>
              <w:spacing w:before="100" w:after="100"/>
            </w:pPr>
            <w:r>
              <w:t>Standard International Video Calls</w:t>
            </w:r>
          </w:p>
        </w:tc>
        <w:tc>
          <w:tcPr>
            <w:tcW w:w="2475" w:type="pct"/>
            <w:shd w:val="clear" w:color="auto" w:fill="auto"/>
            <w:vAlign w:val="center"/>
          </w:tcPr>
          <w:p w14:paraId="4FB8AEFA" w14:textId="77777777" w:rsidR="000D07EA" w:rsidRDefault="00BE7C89">
            <w:pPr>
              <w:pStyle w:val="BodyText"/>
              <w:spacing w:before="100" w:after="100"/>
            </w:pPr>
            <w:r>
              <w:t>No</w:t>
            </w:r>
          </w:p>
        </w:tc>
      </w:tr>
      <w:tr w:rsidR="000D07EA" w14:paraId="38E2FCAE" w14:textId="77777777">
        <w:tc>
          <w:tcPr>
            <w:tcW w:w="2525" w:type="pct"/>
            <w:shd w:val="clear" w:color="auto" w:fill="auto"/>
            <w:vAlign w:val="center"/>
          </w:tcPr>
          <w:p w14:paraId="3733EE06" w14:textId="77777777" w:rsidR="000D07EA" w:rsidRDefault="00BE7C89">
            <w:pPr>
              <w:pStyle w:val="BodyText"/>
              <w:spacing w:before="100" w:after="100"/>
            </w:pPr>
            <w:r>
              <w:t>Standard National SMS</w:t>
            </w:r>
          </w:p>
        </w:tc>
        <w:tc>
          <w:tcPr>
            <w:tcW w:w="2475" w:type="pct"/>
            <w:shd w:val="clear" w:color="auto" w:fill="auto"/>
            <w:vAlign w:val="center"/>
          </w:tcPr>
          <w:p w14:paraId="5E3F2E60" w14:textId="77777777" w:rsidR="000D07EA" w:rsidRDefault="00BE7C89">
            <w:pPr>
              <w:pStyle w:val="BodyText"/>
              <w:spacing w:before="100" w:after="100"/>
            </w:pPr>
            <w:r>
              <w:t>No</w:t>
            </w:r>
          </w:p>
        </w:tc>
      </w:tr>
      <w:tr w:rsidR="000D07EA" w14:paraId="17B59C4C" w14:textId="77777777">
        <w:tc>
          <w:tcPr>
            <w:tcW w:w="2525" w:type="pct"/>
            <w:shd w:val="clear" w:color="auto" w:fill="auto"/>
            <w:vAlign w:val="center"/>
          </w:tcPr>
          <w:p w14:paraId="770476F3" w14:textId="77777777" w:rsidR="000D07EA" w:rsidRDefault="00BE7C89">
            <w:pPr>
              <w:pStyle w:val="BodyText"/>
              <w:spacing w:before="100" w:after="100"/>
            </w:pPr>
            <w:r>
              <w:t>Standard International SMS</w:t>
            </w:r>
          </w:p>
        </w:tc>
        <w:tc>
          <w:tcPr>
            <w:tcW w:w="2475" w:type="pct"/>
            <w:shd w:val="clear" w:color="auto" w:fill="auto"/>
            <w:vAlign w:val="center"/>
          </w:tcPr>
          <w:p w14:paraId="01543D05" w14:textId="77777777" w:rsidR="000D07EA" w:rsidRDefault="00BE7C89">
            <w:pPr>
              <w:pStyle w:val="BodyText"/>
              <w:spacing w:before="100" w:after="100"/>
            </w:pPr>
            <w:r>
              <w:t>No</w:t>
            </w:r>
          </w:p>
        </w:tc>
      </w:tr>
      <w:tr w:rsidR="000D07EA" w14:paraId="065E1D38" w14:textId="77777777">
        <w:tc>
          <w:tcPr>
            <w:tcW w:w="2525" w:type="pct"/>
            <w:shd w:val="clear" w:color="auto" w:fill="auto"/>
            <w:vAlign w:val="center"/>
          </w:tcPr>
          <w:p w14:paraId="2D39BAEC" w14:textId="77777777" w:rsidR="000D07EA" w:rsidRDefault="00BE7C89">
            <w:pPr>
              <w:pStyle w:val="BodyText"/>
              <w:spacing w:before="100" w:after="100"/>
            </w:pPr>
            <w:r>
              <w:t>Standard National MMS</w:t>
            </w:r>
          </w:p>
        </w:tc>
        <w:tc>
          <w:tcPr>
            <w:tcW w:w="2475" w:type="pct"/>
            <w:shd w:val="clear" w:color="auto" w:fill="auto"/>
            <w:vAlign w:val="center"/>
          </w:tcPr>
          <w:p w14:paraId="1AC4AE44" w14:textId="77777777" w:rsidR="000D07EA" w:rsidRDefault="00BE7C89">
            <w:pPr>
              <w:pStyle w:val="BodyText"/>
              <w:spacing w:before="100" w:after="100"/>
            </w:pPr>
            <w:r>
              <w:t>No</w:t>
            </w:r>
          </w:p>
        </w:tc>
      </w:tr>
      <w:tr w:rsidR="000D07EA" w14:paraId="7BF45EAB" w14:textId="77777777">
        <w:tc>
          <w:tcPr>
            <w:tcW w:w="2525" w:type="pct"/>
            <w:shd w:val="clear" w:color="auto" w:fill="auto"/>
            <w:vAlign w:val="center"/>
          </w:tcPr>
          <w:p w14:paraId="63939325" w14:textId="77777777" w:rsidR="000D07EA" w:rsidRDefault="00BE7C89">
            <w:pPr>
              <w:pStyle w:val="BodyText"/>
              <w:spacing w:before="100" w:after="100"/>
            </w:pPr>
            <w:r>
              <w:t>Standard International \MMS</w:t>
            </w:r>
          </w:p>
        </w:tc>
        <w:tc>
          <w:tcPr>
            <w:tcW w:w="2475" w:type="pct"/>
            <w:shd w:val="clear" w:color="auto" w:fill="auto"/>
            <w:vAlign w:val="center"/>
          </w:tcPr>
          <w:p w14:paraId="2F80D190" w14:textId="77777777" w:rsidR="000D07EA" w:rsidRDefault="00BE7C89">
            <w:pPr>
              <w:pStyle w:val="BodyText"/>
              <w:spacing w:before="100" w:after="100"/>
            </w:pPr>
            <w:r>
              <w:t>No</w:t>
            </w:r>
          </w:p>
        </w:tc>
      </w:tr>
      <w:tr w:rsidR="000D07EA" w14:paraId="395414C3" w14:textId="77777777">
        <w:tc>
          <w:tcPr>
            <w:tcW w:w="2525" w:type="pct"/>
            <w:shd w:val="clear" w:color="auto" w:fill="auto"/>
            <w:vAlign w:val="center"/>
          </w:tcPr>
          <w:p w14:paraId="68E0D2C2" w14:textId="77777777" w:rsidR="000D07EA" w:rsidRDefault="00BE7C89">
            <w:pPr>
              <w:pStyle w:val="BodyText"/>
              <w:spacing w:before="100" w:after="100"/>
            </w:pPr>
            <w:r>
              <w:t>Voicemail Diversions</w:t>
            </w:r>
          </w:p>
        </w:tc>
        <w:tc>
          <w:tcPr>
            <w:tcW w:w="2475" w:type="pct"/>
            <w:shd w:val="clear" w:color="auto" w:fill="auto"/>
            <w:vAlign w:val="center"/>
          </w:tcPr>
          <w:p w14:paraId="14025A6F" w14:textId="77777777" w:rsidR="000D07EA" w:rsidRDefault="00BE7C89">
            <w:pPr>
              <w:pStyle w:val="BodyText"/>
              <w:spacing w:before="100" w:after="100"/>
            </w:pPr>
            <w:r>
              <w:t>No</w:t>
            </w:r>
          </w:p>
        </w:tc>
      </w:tr>
      <w:tr w:rsidR="000D07EA" w14:paraId="5F72BDAE" w14:textId="77777777">
        <w:tc>
          <w:tcPr>
            <w:tcW w:w="2525" w:type="pct"/>
            <w:shd w:val="clear" w:color="auto" w:fill="auto"/>
            <w:vAlign w:val="center"/>
          </w:tcPr>
          <w:p w14:paraId="69AD5EC5" w14:textId="77777777" w:rsidR="000D07EA" w:rsidRDefault="00BE7C89">
            <w:pPr>
              <w:pStyle w:val="BodyText"/>
              <w:spacing w:before="100" w:after="100"/>
            </w:pPr>
            <w:r>
              <w:t>Voicemail Deposit and Retrievals</w:t>
            </w:r>
          </w:p>
        </w:tc>
        <w:tc>
          <w:tcPr>
            <w:tcW w:w="2475" w:type="pct"/>
            <w:shd w:val="clear" w:color="auto" w:fill="auto"/>
            <w:vAlign w:val="center"/>
          </w:tcPr>
          <w:p w14:paraId="3B1994EB" w14:textId="77777777" w:rsidR="000D07EA" w:rsidRDefault="00BE7C89">
            <w:pPr>
              <w:pStyle w:val="BodyText"/>
              <w:spacing w:before="100" w:after="100"/>
            </w:pPr>
            <w:r>
              <w:t>No</w:t>
            </w:r>
          </w:p>
        </w:tc>
      </w:tr>
      <w:tr w:rsidR="000D07EA" w14:paraId="21E535FD" w14:textId="77777777">
        <w:tc>
          <w:tcPr>
            <w:tcW w:w="2525" w:type="pct"/>
            <w:shd w:val="clear" w:color="auto" w:fill="auto"/>
            <w:vAlign w:val="center"/>
          </w:tcPr>
          <w:p w14:paraId="4FE3B2E6" w14:textId="77777777" w:rsidR="000D07EA" w:rsidRDefault="00BE7C89">
            <w:pPr>
              <w:pStyle w:val="BodyText"/>
              <w:spacing w:before="100" w:after="100"/>
            </w:pPr>
            <w:r>
              <w:t>International Roaming and Diversion</w:t>
            </w:r>
          </w:p>
        </w:tc>
        <w:tc>
          <w:tcPr>
            <w:tcW w:w="2475" w:type="pct"/>
            <w:shd w:val="clear" w:color="auto" w:fill="auto"/>
            <w:vAlign w:val="center"/>
          </w:tcPr>
          <w:p w14:paraId="6D52F09A" w14:textId="77777777" w:rsidR="000D07EA" w:rsidRDefault="00BE7C89">
            <w:pPr>
              <w:pStyle w:val="BodyText"/>
              <w:spacing w:before="100" w:after="100"/>
            </w:pPr>
            <w:r>
              <w:t>No</w:t>
            </w:r>
          </w:p>
        </w:tc>
      </w:tr>
      <w:tr w:rsidR="000D07EA" w14:paraId="7D6CDDF2" w14:textId="77777777">
        <w:tc>
          <w:tcPr>
            <w:tcW w:w="2525" w:type="pct"/>
            <w:shd w:val="clear" w:color="auto" w:fill="auto"/>
            <w:vAlign w:val="center"/>
          </w:tcPr>
          <w:p w14:paraId="7154F011" w14:textId="77777777" w:rsidR="000D07EA" w:rsidRDefault="00BE7C89">
            <w:pPr>
              <w:pStyle w:val="BodyText"/>
              <w:spacing w:before="100" w:after="100"/>
            </w:pPr>
            <w:r>
              <w:t>Premium SMS</w:t>
            </w:r>
          </w:p>
        </w:tc>
        <w:tc>
          <w:tcPr>
            <w:tcW w:w="2475" w:type="pct"/>
            <w:shd w:val="clear" w:color="auto" w:fill="auto"/>
            <w:vAlign w:val="center"/>
          </w:tcPr>
          <w:p w14:paraId="628AAF1D" w14:textId="77777777" w:rsidR="000D07EA" w:rsidRDefault="00BE7C89">
            <w:pPr>
              <w:pStyle w:val="BodyText"/>
              <w:spacing w:before="100" w:after="100"/>
            </w:pPr>
            <w:r>
              <w:t>No</w:t>
            </w:r>
          </w:p>
        </w:tc>
      </w:tr>
      <w:tr w:rsidR="000D07EA" w14:paraId="2B6C98BA" w14:textId="77777777">
        <w:tc>
          <w:tcPr>
            <w:tcW w:w="2525" w:type="pct"/>
            <w:shd w:val="clear" w:color="auto" w:fill="auto"/>
            <w:vAlign w:val="center"/>
          </w:tcPr>
          <w:p w14:paraId="548B9B21" w14:textId="77777777" w:rsidR="000D07EA" w:rsidRDefault="00BE7C89">
            <w:pPr>
              <w:pStyle w:val="BodyText"/>
              <w:spacing w:before="100" w:after="100"/>
            </w:pPr>
            <w:r>
              <w:t>Premium Video</w:t>
            </w:r>
          </w:p>
        </w:tc>
        <w:tc>
          <w:tcPr>
            <w:tcW w:w="2475" w:type="pct"/>
            <w:shd w:val="clear" w:color="auto" w:fill="auto"/>
            <w:vAlign w:val="center"/>
          </w:tcPr>
          <w:p w14:paraId="0ACB118A" w14:textId="77777777" w:rsidR="000D07EA" w:rsidRDefault="00BE7C89">
            <w:pPr>
              <w:pStyle w:val="BodyText"/>
              <w:spacing w:before="100" w:after="100"/>
            </w:pPr>
            <w:r>
              <w:t>No</w:t>
            </w:r>
          </w:p>
        </w:tc>
      </w:tr>
      <w:tr w:rsidR="000D07EA" w14:paraId="16883006" w14:textId="77777777">
        <w:tc>
          <w:tcPr>
            <w:tcW w:w="2525" w:type="pct"/>
            <w:shd w:val="clear" w:color="auto" w:fill="auto"/>
            <w:vAlign w:val="center"/>
          </w:tcPr>
          <w:p w14:paraId="002BD6E4" w14:textId="77777777" w:rsidR="000D07EA" w:rsidRDefault="00BE7C89">
            <w:pPr>
              <w:pStyle w:val="BodyText"/>
              <w:spacing w:before="100" w:after="100"/>
            </w:pPr>
            <w:r>
              <w:t>Video Conferencing</w:t>
            </w:r>
          </w:p>
        </w:tc>
        <w:tc>
          <w:tcPr>
            <w:tcW w:w="2475" w:type="pct"/>
            <w:shd w:val="clear" w:color="auto" w:fill="auto"/>
            <w:vAlign w:val="center"/>
          </w:tcPr>
          <w:p w14:paraId="2CDF8899" w14:textId="77777777" w:rsidR="000D07EA" w:rsidRDefault="00BE7C89">
            <w:pPr>
              <w:pStyle w:val="BodyText"/>
              <w:spacing w:before="100" w:after="100"/>
            </w:pPr>
            <w:r>
              <w:t>No</w:t>
            </w:r>
          </w:p>
        </w:tc>
      </w:tr>
      <w:tr w:rsidR="000D07EA" w14:paraId="21187558" w14:textId="77777777">
        <w:tc>
          <w:tcPr>
            <w:tcW w:w="2525" w:type="pct"/>
            <w:shd w:val="clear" w:color="auto" w:fill="auto"/>
            <w:vAlign w:val="center"/>
          </w:tcPr>
          <w:p w14:paraId="01A72143" w14:textId="77777777" w:rsidR="000D07EA" w:rsidRDefault="00BE7C89">
            <w:pPr>
              <w:pStyle w:val="BodyText"/>
              <w:spacing w:before="100" w:after="100"/>
            </w:pPr>
            <w:r>
              <w:t>Optus Zoo Browsing</w:t>
            </w:r>
          </w:p>
        </w:tc>
        <w:tc>
          <w:tcPr>
            <w:tcW w:w="2475" w:type="pct"/>
            <w:shd w:val="clear" w:color="auto" w:fill="auto"/>
            <w:vAlign w:val="center"/>
          </w:tcPr>
          <w:p w14:paraId="03B3BAF8" w14:textId="77777777" w:rsidR="000D07EA" w:rsidRDefault="00BE7C89">
            <w:pPr>
              <w:pStyle w:val="BodyText"/>
              <w:spacing w:before="100" w:after="100"/>
            </w:pPr>
            <w:r>
              <w:t>Yes</w:t>
            </w:r>
          </w:p>
        </w:tc>
      </w:tr>
      <w:tr w:rsidR="000D07EA" w14:paraId="766F26A6" w14:textId="77777777">
        <w:tc>
          <w:tcPr>
            <w:tcW w:w="2525" w:type="pct"/>
            <w:shd w:val="clear" w:color="auto" w:fill="auto"/>
            <w:vAlign w:val="center"/>
          </w:tcPr>
          <w:p w14:paraId="425A6740" w14:textId="77777777" w:rsidR="000D07EA" w:rsidRDefault="00BE7C89">
            <w:pPr>
              <w:pStyle w:val="BodyText"/>
              <w:spacing w:before="100" w:after="100"/>
            </w:pPr>
            <w:r>
              <w:t>Optus Zoo Downloads</w:t>
            </w:r>
          </w:p>
        </w:tc>
        <w:tc>
          <w:tcPr>
            <w:tcW w:w="2475" w:type="pct"/>
            <w:shd w:val="clear" w:color="auto" w:fill="auto"/>
            <w:vAlign w:val="center"/>
          </w:tcPr>
          <w:p w14:paraId="2137D83B" w14:textId="77777777" w:rsidR="000D07EA" w:rsidRDefault="00BE7C89">
            <w:pPr>
              <w:pStyle w:val="BodyText"/>
              <w:spacing w:before="100" w:after="100"/>
            </w:pPr>
            <w:r>
              <w:t>No</w:t>
            </w:r>
          </w:p>
        </w:tc>
      </w:tr>
      <w:tr w:rsidR="000D07EA" w14:paraId="57DDA2BD" w14:textId="77777777">
        <w:tc>
          <w:tcPr>
            <w:tcW w:w="2525" w:type="pct"/>
            <w:shd w:val="clear" w:color="auto" w:fill="auto"/>
            <w:vAlign w:val="center"/>
          </w:tcPr>
          <w:p w14:paraId="212A98A1" w14:textId="77777777" w:rsidR="000D07EA" w:rsidRDefault="00BE7C89">
            <w:pPr>
              <w:pStyle w:val="BodyText"/>
              <w:spacing w:before="100" w:after="100"/>
            </w:pPr>
            <w:r>
              <w:t>966 Zoo</w:t>
            </w:r>
          </w:p>
        </w:tc>
        <w:tc>
          <w:tcPr>
            <w:tcW w:w="2475" w:type="pct"/>
            <w:shd w:val="clear" w:color="auto" w:fill="auto"/>
            <w:vAlign w:val="center"/>
          </w:tcPr>
          <w:p w14:paraId="7A2E28BC" w14:textId="77777777" w:rsidR="000D07EA" w:rsidRDefault="00BE7C89">
            <w:pPr>
              <w:pStyle w:val="BodyText"/>
              <w:spacing w:before="100" w:after="100"/>
            </w:pPr>
            <w:r>
              <w:t>No</w:t>
            </w:r>
          </w:p>
        </w:tc>
      </w:tr>
      <w:tr w:rsidR="000D07EA" w14:paraId="56EC55F9" w14:textId="77777777">
        <w:tc>
          <w:tcPr>
            <w:tcW w:w="2525" w:type="pct"/>
            <w:shd w:val="clear" w:color="auto" w:fill="auto"/>
            <w:vAlign w:val="center"/>
          </w:tcPr>
          <w:p w14:paraId="6CB922F8" w14:textId="77777777" w:rsidR="000D07EA" w:rsidRDefault="00BE7C89">
            <w:pPr>
              <w:pStyle w:val="BodyText"/>
              <w:spacing w:before="100" w:after="100"/>
            </w:pPr>
            <w:r>
              <w:lastRenderedPageBreak/>
              <w:t>Mobile Internet Data usage</w:t>
            </w:r>
          </w:p>
        </w:tc>
        <w:tc>
          <w:tcPr>
            <w:tcW w:w="2475" w:type="pct"/>
            <w:shd w:val="clear" w:color="auto" w:fill="auto"/>
            <w:vAlign w:val="center"/>
          </w:tcPr>
          <w:p w14:paraId="157F7D08" w14:textId="77777777" w:rsidR="000D07EA" w:rsidRDefault="00BE7C89">
            <w:pPr>
              <w:pStyle w:val="BodyText"/>
              <w:spacing w:before="100" w:after="100"/>
            </w:pPr>
            <w:r>
              <w:t>Yes</w:t>
            </w:r>
          </w:p>
        </w:tc>
      </w:tr>
      <w:tr w:rsidR="000D07EA" w14:paraId="4ED0EA5B" w14:textId="77777777">
        <w:tc>
          <w:tcPr>
            <w:tcW w:w="2525" w:type="pct"/>
            <w:shd w:val="clear" w:color="auto" w:fill="auto"/>
            <w:vAlign w:val="center"/>
          </w:tcPr>
          <w:p w14:paraId="43AB28E5" w14:textId="77777777" w:rsidR="000D07EA" w:rsidRDefault="00BE7C89">
            <w:pPr>
              <w:pStyle w:val="BodyText"/>
              <w:spacing w:before="100" w:after="100"/>
            </w:pPr>
            <w:r>
              <w:t>Data Used while Roaming Internationally</w:t>
            </w:r>
          </w:p>
        </w:tc>
        <w:tc>
          <w:tcPr>
            <w:tcW w:w="2475" w:type="pct"/>
            <w:shd w:val="clear" w:color="auto" w:fill="auto"/>
            <w:vAlign w:val="center"/>
          </w:tcPr>
          <w:p w14:paraId="184CA133" w14:textId="77777777" w:rsidR="000D07EA" w:rsidRDefault="00BE7C89">
            <w:pPr>
              <w:pStyle w:val="BodyText"/>
              <w:spacing w:before="100" w:after="100"/>
            </w:pPr>
            <w:r>
              <w:t>No</w:t>
            </w:r>
          </w:p>
        </w:tc>
      </w:tr>
      <w:tr w:rsidR="000D07EA" w14:paraId="4E727668" w14:textId="77777777">
        <w:tc>
          <w:tcPr>
            <w:tcW w:w="2525" w:type="pct"/>
            <w:shd w:val="clear" w:color="auto" w:fill="auto"/>
            <w:vAlign w:val="center"/>
          </w:tcPr>
          <w:p w14:paraId="3FBB942D" w14:textId="77777777" w:rsidR="000D07EA" w:rsidRDefault="00BE7C89">
            <w:pPr>
              <w:pStyle w:val="BodyText"/>
              <w:spacing w:before="100" w:after="100"/>
            </w:pPr>
            <w:r>
              <w:t>Content Packs (unless specified in promotions)</w:t>
            </w:r>
          </w:p>
        </w:tc>
        <w:tc>
          <w:tcPr>
            <w:tcW w:w="2475" w:type="pct"/>
            <w:shd w:val="clear" w:color="auto" w:fill="auto"/>
            <w:vAlign w:val="center"/>
          </w:tcPr>
          <w:p w14:paraId="1A306A80" w14:textId="77777777" w:rsidR="000D07EA" w:rsidRDefault="00BE7C89">
            <w:pPr>
              <w:pStyle w:val="BodyText"/>
              <w:spacing w:before="100" w:after="100"/>
            </w:pPr>
            <w:r>
              <w:t>No</w:t>
            </w:r>
          </w:p>
        </w:tc>
      </w:tr>
      <w:tr w:rsidR="000D07EA" w14:paraId="06E7915E" w14:textId="77777777">
        <w:tc>
          <w:tcPr>
            <w:tcW w:w="2525" w:type="pct"/>
            <w:shd w:val="clear" w:color="auto" w:fill="auto"/>
            <w:vAlign w:val="center"/>
          </w:tcPr>
          <w:p w14:paraId="18355FAE" w14:textId="77777777" w:rsidR="000D07EA" w:rsidRDefault="00BE7C89">
            <w:pPr>
              <w:pStyle w:val="BodyText"/>
              <w:spacing w:before="100" w:after="100"/>
            </w:pPr>
            <w:r>
              <w:t>Mobile Instant Messaging – IM</w:t>
            </w:r>
          </w:p>
        </w:tc>
        <w:tc>
          <w:tcPr>
            <w:tcW w:w="2475" w:type="pct"/>
            <w:shd w:val="clear" w:color="auto" w:fill="auto"/>
            <w:vAlign w:val="center"/>
          </w:tcPr>
          <w:p w14:paraId="52A45F44" w14:textId="77777777" w:rsidR="000D07EA" w:rsidRDefault="00BE7C89">
            <w:pPr>
              <w:pStyle w:val="BodyText"/>
              <w:spacing w:before="100" w:after="100"/>
            </w:pPr>
            <w:r>
              <w:t>No</w:t>
            </w:r>
          </w:p>
        </w:tc>
      </w:tr>
      <w:tr w:rsidR="000D07EA" w14:paraId="350C91A8" w14:textId="77777777">
        <w:tc>
          <w:tcPr>
            <w:tcW w:w="2525" w:type="pct"/>
            <w:shd w:val="clear" w:color="auto" w:fill="auto"/>
            <w:vAlign w:val="center"/>
          </w:tcPr>
          <w:p w14:paraId="7CC07892" w14:textId="77777777" w:rsidR="000D07EA" w:rsidRDefault="00BE7C89">
            <w:pPr>
              <w:pStyle w:val="BodyText"/>
              <w:spacing w:before="100" w:after="100"/>
            </w:pPr>
            <w:r>
              <w:t>TrueLocal Usage</w:t>
            </w:r>
          </w:p>
        </w:tc>
        <w:tc>
          <w:tcPr>
            <w:tcW w:w="2475" w:type="pct"/>
            <w:shd w:val="clear" w:color="auto" w:fill="auto"/>
            <w:vAlign w:val="center"/>
          </w:tcPr>
          <w:p w14:paraId="7EDE666E" w14:textId="77777777" w:rsidR="000D07EA" w:rsidRDefault="00BE7C89">
            <w:pPr>
              <w:pStyle w:val="BodyText"/>
              <w:spacing w:before="100" w:after="100"/>
            </w:pPr>
            <w:r>
              <w:t>No</w:t>
            </w:r>
          </w:p>
        </w:tc>
      </w:tr>
      <w:tr w:rsidR="000D07EA" w14:paraId="3C107C97" w14:textId="77777777">
        <w:tc>
          <w:tcPr>
            <w:tcW w:w="2525" w:type="pct"/>
            <w:shd w:val="clear" w:color="auto" w:fill="auto"/>
            <w:vAlign w:val="center"/>
          </w:tcPr>
          <w:p w14:paraId="3E3CB213" w14:textId="77777777" w:rsidR="000D07EA" w:rsidRDefault="00BE7C89">
            <w:pPr>
              <w:pStyle w:val="BodyText"/>
              <w:spacing w:before="100" w:after="100"/>
            </w:pPr>
            <w:r>
              <w:t>Directory Assistance - 1223</w:t>
            </w:r>
          </w:p>
        </w:tc>
        <w:tc>
          <w:tcPr>
            <w:tcW w:w="2475" w:type="pct"/>
            <w:shd w:val="clear" w:color="auto" w:fill="auto"/>
            <w:vAlign w:val="center"/>
          </w:tcPr>
          <w:p w14:paraId="398846CA" w14:textId="77777777" w:rsidR="000D07EA" w:rsidRDefault="00BE7C89">
            <w:pPr>
              <w:pStyle w:val="BodyText"/>
              <w:spacing w:before="100" w:after="100"/>
            </w:pPr>
            <w:r>
              <w:t>No</w:t>
            </w:r>
          </w:p>
        </w:tc>
      </w:tr>
      <w:tr w:rsidR="000D07EA" w14:paraId="26A1F8B3" w14:textId="77777777">
        <w:tc>
          <w:tcPr>
            <w:tcW w:w="2525" w:type="pct"/>
            <w:shd w:val="clear" w:color="auto" w:fill="auto"/>
            <w:vAlign w:val="center"/>
          </w:tcPr>
          <w:p w14:paraId="5F887216" w14:textId="77777777" w:rsidR="000D07EA" w:rsidRDefault="00BE7C89">
            <w:pPr>
              <w:pStyle w:val="BodyText"/>
              <w:spacing w:before="100" w:after="100"/>
            </w:pPr>
            <w:r>
              <w:t>19XX Numbers</w:t>
            </w:r>
          </w:p>
        </w:tc>
        <w:tc>
          <w:tcPr>
            <w:tcW w:w="2475" w:type="pct"/>
            <w:shd w:val="clear" w:color="auto" w:fill="auto"/>
            <w:vAlign w:val="center"/>
          </w:tcPr>
          <w:p w14:paraId="108DAFE7" w14:textId="77777777" w:rsidR="000D07EA" w:rsidRDefault="00BE7C89">
            <w:pPr>
              <w:pStyle w:val="BodyText"/>
              <w:spacing w:before="100" w:after="100"/>
            </w:pPr>
            <w:r>
              <w:t>No</w:t>
            </w:r>
          </w:p>
        </w:tc>
      </w:tr>
      <w:tr w:rsidR="000D07EA" w14:paraId="0ACD8087" w14:textId="77777777">
        <w:tc>
          <w:tcPr>
            <w:tcW w:w="2525" w:type="pct"/>
            <w:shd w:val="clear" w:color="auto" w:fill="auto"/>
            <w:vAlign w:val="center"/>
          </w:tcPr>
          <w:p w14:paraId="2ECEC551" w14:textId="77777777" w:rsidR="000D07EA" w:rsidRDefault="00BE7C89">
            <w:pPr>
              <w:pStyle w:val="BodyText"/>
              <w:spacing w:before="100" w:after="100"/>
            </w:pPr>
            <w:r>
              <w:t>1800, 13 and 1300 numbers</w:t>
            </w:r>
          </w:p>
        </w:tc>
        <w:tc>
          <w:tcPr>
            <w:tcW w:w="2475" w:type="pct"/>
            <w:shd w:val="clear" w:color="auto" w:fill="auto"/>
            <w:vAlign w:val="center"/>
          </w:tcPr>
          <w:p w14:paraId="4D74898B" w14:textId="77777777" w:rsidR="000D07EA" w:rsidRDefault="00BE7C89">
            <w:pPr>
              <w:pStyle w:val="BodyText"/>
              <w:spacing w:before="100" w:after="100"/>
            </w:pPr>
            <w:r>
              <w:t>No</w:t>
            </w:r>
          </w:p>
        </w:tc>
      </w:tr>
      <w:tr w:rsidR="000D07EA" w14:paraId="6AA4CFF7" w14:textId="77777777">
        <w:tc>
          <w:tcPr>
            <w:tcW w:w="2525" w:type="pct"/>
            <w:shd w:val="clear" w:color="auto" w:fill="auto"/>
            <w:vAlign w:val="center"/>
          </w:tcPr>
          <w:p w14:paraId="08C86528" w14:textId="77777777" w:rsidR="000D07EA" w:rsidRDefault="00BE7C89">
            <w:pPr>
              <w:pStyle w:val="BodyText"/>
              <w:spacing w:before="100" w:after="100"/>
            </w:pPr>
            <w:r>
              <w:t>124YES(937)</w:t>
            </w:r>
          </w:p>
        </w:tc>
        <w:tc>
          <w:tcPr>
            <w:tcW w:w="2475" w:type="pct"/>
            <w:shd w:val="clear" w:color="auto" w:fill="auto"/>
            <w:vAlign w:val="center"/>
          </w:tcPr>
          <w:p w14:paraId="0ADD6628" w14:textId="77777777" w:rsidR="000D07EA" w:rsidRDefault="00BE7C89">
            <w:pPr>
              <w:pStyle w:val="BodyText"/>
              <w:spacing w:before="100" w:after="100"/>
            </w:pPr>
            <w:r>
              <w:t>No</w:t>
            </w:r>
          </w:p>
        </w:tc>
      </w:tr>
      <w:tr w:rsidR="000D07EA" w14:paraId="398B46D4" w14:textId="77777777">
        <w:tc>
          <w:tcPr>
            <w:tcW w:w="2525" w:type="pct"/>
            <w:shd w:val="clear" w:color="auto" w:fill="auto"/>
            <w:vAlign w:val="center"/>
          </w:tcPr>
          <w:p w14:paraId="4FCB22DA" w14:textId="77777777" w:rsidR="000D07EA" w:rsidRDefault="00BE7C89">
            <w:pPr>
              <w:pStyle w:val="BodyText"/>
              <w:spacing w:before="100" w:after="100"/>
            </w:pPr>
            <w:r>
              <w:t>Insurance</w:t>
            </w:r>
          </w:p>
        </w:tc>
        <w:tc>
          <w:tcPr>
            <w:tcW w:w="2475" w:type="pct"/>
            <w:shd w:val="clear" w:color="auto" w:fill="auto"/>
            <w:vAlign w:val="center"/>
          </w:tcPr>
          <w:p w14:paraId="3F04E328" w14:textId="77777777" w:rsidR="000D07EA" w:rsidRDefault="00BE7C89">
            <w:pPr>
              <w:pStyle w:val="BodyText"/>
              <w:spacing w:before="100" w:after="100"/>
            </w:pPr>
            <w:r>
              <w:t>No</w:t>
            </w:r>
          </w:p>
        </w:tc>
      </w:tr>
      <w:tr w:rsidR="000D07EA" w14:paraId="33394957" w14:textId="77777777">
        <w:tc>
          <w:tcPr>
            <w:tcW w:w="2525" w:type="pct"/>
            <w:shd w:val="clear" w:color="auto" w:fill="auto"/>
            <w:vAlign w:val="center"/>
          </w:tcPr>
          <w:p w14:paraId="2F290FEE" w14:textId="77777777" w:rsidR="000D07EA" w:rsidRDefault="00BE7C89">
            <w:pPr>
              <w:pStyle w:val="BodyText"/>
              <w:spacing w:before="100" w:after="100"/>
            </w:pPr>
            <w:r>
              <w:t>Handset Payments</w:t>
            </w:r>
          </w:p>
        </w:tc>
        <w:tc>
          <w:tcPr>
            <w:tcW w:w="2475" w:type="pct"/>
            <w:shd w:val="clear" w:color="auto" w:fill="auto"/>
            <w:vAlign w:val="center"/>
          </w:tcPr>
          <w:p w14:paraId="5554D9ED" w14:textId="77777777" w:rsidR="000D07EA" w:rsidRDefault="00BE7C89">
            <w:pPr>
              <w:pStyle w:val="BodyText"/>
              <w:spacing w:before="100" w:after="100"/>
            </w:pPr>
            <w:r>
              <w:t>No</w:t>
            </w:r>
          </w:p>
        </w:tc>
      </w:tr>
      <w:tr w:rsidR="000D07EA" w14:paraId="1C0866EB" w14:textId="77777777">
        <w:tc>
          <w:tcPr>
            <w:tcW w:w="2525" w:type="pct"/>
            <w:shd w:val="clear" w:color="auto" w:fill="auto"/>
            <w:vAlign w:val="center"/>
          </w:tcPr>
          <w:p w14:paraId="37BF6C31" w14:textId="77777777" w:rsidR="000D07EA" w:rsidRDefault="00BE7C89">
            <w:pPr>
              <w:pStyle w:val="BodyText"/>
              <w:spacing w:before="100" w:after="100"/>
            </w:pPr>
            <w:r>
              <w:t>Calls to MobileSat</w:t>
            </w:r>
          </w:p>
        </w:tc>
        <w:tc>
          <w:tcPr>
            <w:tcW w:w="2475" w:type="pct"/>
            <w:shd w:val="clear" w:color="auto" w:fill="auto"/>
            <w:vAlign w:val="center"/>
          </w:tcPr>
          <w:p w14:paraId="45A6689F" w14:textId="77777777" w:rsidR="000D07EA" w:rsidRDefault="00BE7C89">
            <w:pPr>
              <w:pStyle w:val="BodyText"/>
              <w:spacing w:before="100" w:after="100"/>
            </w:pPr>
            <w:r>
              <w:t>No</w:t>
            </w:r>
          </w:p>
        </w:tc>
      </w:tr>
      <w:tr w:rsidR="000D07EA" w14:paraId="1DB86FDE" w14:textId="77777777">
        <w:tc>
          <w:tcPr>
            <w:tcW w:w="2525" w:type="pct"/>
            <w:shd w:val="clear" w:color="auto" w:fill="auto"/>
            <w:vAlign w:val="center"/>
          </w:tcPr>
          <w:p w14:paraId="0960FFF8" w14:textId="77777777" w:rsidR="000D07EA" w:rsidRDefault="00BE7C89">
            <w:pPr>
              <w:pStyle w:val="BodyText"/>
              <w:spacing w:before="100" w:after="100"/>
            </w:pPr>
            <w:r>
              <w:t>VOIP services</w:t>
            </w:r>
          </w:p>
        </w:tc>
        <w:tc>
          <w:tcPr>
            <w:tcW w:w="2475" w:type="pct"/>
            <w:shd w:val="clear" w:color="auto" w:fill="auto"/>
            <w:vAlign w:val="center"/>
          </w:tcPr>
          <w:p w14:paraId="69488237" w14:textId="77777777" w:rsidR="000D07EA" w:rsidRDefault="00BE7C89">
            <w:pPr>
              <w:pStyle w:val="BodyText"/>
              <w:spacing w:before="100" w:after="100"/>
            </w:pPr>
            <w:r>
              <w:t>No</w:t>
            </w:r>
          </w:p>
        </w:tc>
      </w:tr>
      <w:tr w:rsidR="000D07EA" w14:paraId="5D528602" w14:textId="77777777">
        <w:tc>
          <w:tcPr>
            <w:tcW w:w="2525" w:type="pct"/>
            <w:shd w:val="clear" w:color="auto" w:fill="auto"/>
            <w:vAlign w:val="center"/>
          </w:tcPr>
          <w:p w14:paraId="47A8631A" w14:textId="77777777" w:rsidR="000D07EA" w:rsidRDefault="00BE7C89">
            <w:pPr>
              <w:pStyle w:val="BodyText"/>
              <w:spacing w:before="100" w:after="100"/>
            </w:pPr>
            <w:r>
              <w:t>BlackBerry</w:t>
            </w:r>
          </w:p>
        </w:tc>
        <w:tc>
          <w:tcPr>
            <w:tcW w:w="2475" w:type="pct"/>
            <w:shd w:val="clear" w:color="auto" w:fill="auto"/>
            <w:vAlign w:val="center"/>
          </w:tcPr>
          <w:p w14:paraId="21EEB2EA" w14:textId="77777777" w:rsidR="000D07EA" w:rsidRDefault="00BE7C89">
            <w:pPr>
              <w:pStyle w:val="BodyText"/>
              <w:spacing w:before="100" w:after="100"/>
            </w:pPr>
            <w:r>
              <w:t>No</w:t>
            </w:r>
          </w:p>
        </w:tc>
      </w:tr>
      <w:bookmarkEnd w:id="365"/>
      <w:bookmarkEnd w:id="366"/>
      <w:bookmarkEnd w:id="367"/>
    </w:tbl>
    <w:p w14:paraId="41EBF41C" w14:textId="77777777" w:rsidR="000D07EA" w:rsidRDefault="000D07EA">
      <w:pPr>
        <w:pStyle w:val="BodyText"/>
        <w:rPr>
          <w:lang w:val="en-AU"/>
        </w:rPr>
      </w:pPr>
    </w:p>
    <w:p w14:paraId="1400B9E8" w14:textId="77777777" w:rsidR="000D07EA" w:rsidRDefault="00BE7C89">
      <w:pPr>
        <w:pStyle w:val="BodyText"/>
        <w:ind w:left="1440"/>
        <w:rPr>
          <w:lang w:val="en-AU"/>
        </w:rPr>
      </w:pPr>
      <w:r>
        <w:rPr>
          <w:b/>
          <w:lang w:val="en-AU"/>
        </w:rPr>
        <w:t>Table 7</w:t>
      </w:r>
      <w:r>
        <w:rPr>
          <w:lang w:val="en-AU"/>
        </w:rPr>
        <w:t xml:space="preserve"> - Charges for the $10 Business Complete Max BMB</w:t>
      </w:r>
    </w:p>
    <w:tbl>
      <w:tblPr>
        <w:tblW w:w="4300" w:type="pct"/>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5"/>
        <w:gridCol w:w="4337"/>
      </w:tblGrid>
      <w:tr w:rsidR="000D07EA" w14:paraId="2D855E80" w14:textId="77777777">
        <w:trPr>
          <w:tblHeader/>
        </w:trPr>
        <w:tc>
          <w:tcPr>
            <w:tcW w:w="2525" w:type="pct"/>
            <w:shd w:val="clear" w:color="auto" w:fill="auto"/>
            <w:vAlign w:val="center"/>
          </w:tcPr>
          <w:p w14:paraId="7AE8A3B0" w14:textId="77777777" w:rsidR="000D07EA" w:rsidRDefault="000D07EA">
            <w:pPr>
              <w:pStyle w:val="BodyText"/>
              <w:spacing w:before="100" w:after="100"/>
            </w:pPr>
            <w:bookmarkStart w:id="368" w:name="_Toc267937656"/>
            <w:bookmarkStart w:id="369" w:name="_Toc397941131"/>
            <w:bookmarkStart w:id="370" w:name="_Toc455147609"/>
          </w:p>
        </w:tc>
        <w:tc>
          <w:tcPr>
            <w:tcW w:w="2475" w:type="pct"/>
            <w:shd w:val="clear" w:color="auto" w:fill="auto"/>
            <w:vAlign w:val="center"/>
          </w:tcPr>
          <w:p w14:paraId="49DC8FCC" w14:textId="77777777" w:rsidR="000D07EA" w:rsidRDefault="00BE7C89">
            <w:pPr>
              <w:pStyle w:val="BodyText"/>
              <w:spacing w:before="100" w:after="100"/>
              <w:jc w:val="center"/>
              <w:rPr>
                <w:b/>
              </w:rPr>
            </w:pPr>
            <w:r>
              <w:rPr>
                <w:b/>
              </w:rPr>
              <w:t>$10 Business Complete Max BMB plan</w:t>
            </w:r>
          </w:p>
        </w:tc>
      </w:tr>
      <w:tr w:rsidR="000D07EA" w14:paraId="7E750D33" w14:textId="77777777">
        <w:tc>
          <w:tcPr>
            <w:tcW w:w="2525" w:type="pct"/>
            <w:shd w:val="clear" w:color="auto" w:fill="auto"/>
            <w:vAlign w:val="center"/>
          </w:tcPr>
          <w:p w14:paraId="708722B9" w14:textId="77777777" w:rsidR="000D07EA" w:rsidRDefault="00BE7C89">
            <w:pPr>
              <w:pStyle w:val="BodyText"/>
              <w:spacing w:before="100" w:after="100"/>
              <w:rPr>
                <w:b/>
              </w:rPr>
            </w:pPr>
            <w:r>
              <w:rPr>
                <w:b/>
              </w:rPr>
              <w:t>Minimum Monthly charge</w:t>
            </w:r>
          </w:p>
        </w:tc>
        <w:tc>
          <w:tcPr>
            <w:tcW w:w="2475" w:type="pct"/>
            <w:shd w:val="clear" w:color="auto" w:fill="auto"/>
            <w:vAlign w:val="center"/>
          </w:tcPr>
          <w:p w14:paraId="0B4C0554" w14:textId="77777777" w:rsidR="000D07EA" w:rsidRDefault="00BE7C89">
            <w:pPr>
              <w:pStyle w:val="BodyText"/>
              <w:spacing w:before="100" w:after="100"/>
            </w:pPr>
            <w:r>
              <w:t>$10</w:t>
            </w:r>
          </w:p>
        </w:tc>
      </w:tr>
      <w:tr w:rsidR="000D07EA" w14:paraId="14134D12" w14:textId="77777777">
        <w:tc>
          <w:tcPr>
            <w:tcW w:w="2525" w:type="pct"/>
            <w:shd w:val="clear" w:color="auto" w:fill="auto"/>
            <w:vAlign w:val="center"/>
          </w:tcPr>
          <w:p w14:paraId="6B886BBD" w14:textId="77777777" w:rsidR="000D07EA" w:rsidRDefault="00BE7C89">
            <w:pPr>
              <w:pStyle w:val="BodyText"/>
              <w:spacing w:before="100" w:after="100"/>
              <w:rPr>
                <w:b/>
              </w:rPr>
            </w:pPr>
            <w:r>
              <w:rPr>
                <w:b/>
              </w:rPr>
              <w:t>Included Data</w:t>
            </w:r>
          </w:p>
        </w:tc>
        <w:tc>
          <w:tcPr>
            <w:tcW w:w="2475" w:type="pct"/>
            <w:shd w:val="clear" w:color="auto" w:fill="auto"/>
            <w:vAlign w:val="center"/>
          </w:tcPr>
          <w:p w14:paraId="6B9A2892" w14:textId="77777777" w:rsidR="000D07EA" w:rsidRDefault="00BE7C89">
            <w:pPr>
              <w:pStyle w:val="BodyText"/>
              <w:spacing w:before="100" w:after="100"/>
            </w:pPr>
            <w:r>
              <w:t>500MB</w:t>
            </w:r>
          </w:p>
        </w:tc>
      </w:tr>
      <w:tr w:rsidR="000D07EA" w14:paraId="21115777" w14:textId="77777777">
        <w:tc>
          <w:tcPr>
            <w:tcW w:w="2525" w:type="pct"/>
            <w:shd w:val="clear" w:color="auto" w:fill="auto"/>
            <w:vAlign w:val="center"/>
          </w:tcPr>
          <w:p w14:paraId="438071E6" w14:textId="77777777" w:rsidR="000D07EA" w:rsidRDefault="00BE7C89">
            <w:pPr>
              <w:pStyle w:val="BodyText"/>
              <w:spacing w:before="100" w:after="100"/>
              <w:rPr>
                <w:b/>
              </w:rPr>
            </w:pPr>
            <w:r>
              <w:rPr>
                <w:b/>
              </w:rPr>
              <w:t>Date Excess Charges</w:t>
            </w:r>
          </w:p>
        </w:tc>
        <w:tc>
          <w:tcPr>
            <w:tcW w:w="2475" w:type="pct"/>
            <w:shd w:val="clear" w:color="auto" w:fill="auto"/>
            <w:vAlign w:val="center"/>
          </w:tcPr>
          <w:p w14:paraId="319E4D89" w14:textId="77777777" w:rsidR="000D07EA" w:rsidRDefault="00BE7C89">
            <w:pPr>
              <w:pStyle w:val="BodyText"/>
              <w:spacing w:before="100" w:after="100"/>
            </w:pPr>
            <w:r>
              <w:t>10c per MB or part thereof</w:t>
            </w:r>
          </w:p>
        </w:tc>
      </w:tr>
      <w:tr w:rsidR="000D07EA" w14:paraId="7E5CB821" w14:textId="77777777">
        <w:tc>
          <w:tcPr>
            <w:tcW w:w="2525" w:type="pct"/>
            <w:shd w:val="clear" w:color="auto" w:fill="auto"/>
            <w:vAlign w:val="center"/>
          </w:tcPr>
          <w:p w14:paraId="315529C7" w14:textId="77777777" w:rsidR="000D07EA" w:rsidRDefault="00BE7C89">
            <w:pPr>
              <w:pStyle w:val="BodyText"/>
              <w:spacing w:before="100" w:after="100"/>
              <w:rPr>
                <w:b/>
              </w:rPr>
            </w:pPr>
            <w:r>
              <w:rPr>
                <w:b/>
              </w:rPr>
              <w:t>Data Shares with Mobile Digital Optus Service Plan</w:t>
            </w:r>
          </w:p>
        </w:tc>
        <w:tc>
          <w:tcPr>
            <w:tcW w:w="2475" w:type="pct"/>
            <w:shd w:val="clear" w:color="auto" w:fill="auto"/>
            <w:vAlign w:val="center"/>
          </w:tcPr>
          <w:p w14:paraId="2B307DF4" w14:textId="77777777" w:rsidR="000D07EA" w:rsidRDefault="00BE7C89">
            <w:pPr>
              <w:pStyle w:val="BodyText"/>
              <w:spacing w:before="100" w:after="100"/>
            </w:pPr>
            <w:r>
              <w:t>Yes</w:t>
            </w:r>
          </w:p>
        </w:tc>
      </w:tr>
      <w:tr w:rsidR="000D07EA" w14:paraId="31CAFADD" w14:textId="77777777">
        <w:tc>
          <w:tcPr>
            <w:tcW w:w="2525" w:type="pct"/>
            <w:shd w:val="clear" w:color="auto" w:fill="auto"/>
            <w:vAlign w:val="center"/>
          </w:tcPr>
          <w:p w14:paraId="4610B68F" w14:textId="77777777" w:rsidR="000D07EA" w:rsidRDefault="00BE7C89">
            <w:pPr>
              <w:pStyle w:val="BodyText"/>
              <w:spacing w:before="100" w:after="100"/>
              <w:rPr>
                <w:b/>
              </w:rPr>
            </w:pPr>
            <w:r>
              <w:rPr>
                <w:b/>
              </w:rPr>
              <w:t>Equipment Credit</w:t>
            </w:r>
          </w:p>
        </w:tc>
        <w:tc>
          <w:tcPr>
            <w:tcW w:w="2475" w:type="pct"/>
            <w:shd w:val="clear" w:color="auto" w:fill="auto"/>
            <w:vAlign w:val="center"/>
          </w:tcPr>
          <w:p w14:paraId="0A386D6F" w14:textId="77777777" w:rsidR="000D07EA" w:rsidRDefault="00BE7C89">
            <w:pPr>
              <w:pStyle w:val="BodyText"/>
              <w:spacing w:before="100" w:after="100"/>
            </w:pPr>
            <w:r>
              <w:t>Up to $10 per month for 24 months</w:t>
            </w:r>
          </w:p>
        </w:tc>
      </w:tr>
    </w:tbl>
    <w:p w14:paraId="5306CB52" w14:textId="77777777" w:rsidR="000D07EA" w:rsidRDefault="000D07EA">
      <w:pPr>
        <w:pStyle w:val="BodyText"/>
      </w:pPr>
    </w:p>
    <w:p w14:paraId="46B2FD3A" w14:textId="77777777" w:rsidR="000D07EA" w:rsidRDefault="00BE7C89">
      <w:pPr>
        <w:pStyle w:val="Heading4"/>
      </w:pPr>
      <w:bookmarkStart w:id="371" w:name="_Toc62644631"/>
      <w:r>
        <w:t>Business Complete Advantage Plans (Incorporating $49 Business Complete Advantage, $59 Business Complete Advantage, $79 Business Complete Advantage and $15 Business Advantage Business Mobile Broadband Plan) Effective from 30 July 2010.</w:t>
      </w:r>
      <w:bookmarkEnd w:id="368"/>
      <w:bookmarkEnd w:id="369"/>
      <w:bookmarkEnd w:id="370"/>
      <w:bookmarkEnd w:id="371"/>
    </w:p>
    <w:p w14:paraId="5BA97E40" w14:textId="77777777" w:rsidR="000D07EA" w:rsidRDefault="00BE7C89">
      <w:pPr>
        <w:pStyle w:val="Heading6"/>
        <w:spacing w:before="200"/>
        <w:ind w:left="0" w:firstLine="0"/>
      </w:pPr>
      <w:r>
        <w:t>What are the Optus Business Complete Advantage Offers?</w:t>
      </w:r>
    </w:p>
    <w:p w14:paraId="105D3179" w14:textId="77777777" w:rsidR="000D07EA" w:rsidRDefault="00BE7C89">
      <w:pPr>
        <w:pStyle w:val="Heading7"/>
      </w:pPr>
      <w:r>
        <w:t>The Business Complete Advantage offers incorporate one of the following mobile plans:</w:t>
      </w:r>
    </w:p>
    <w:p w14:paraId="623FA8BA" w14:textId="77777777" w:rsidR="000D07EA" w:rsidRDefault="00BE7C89">
      <w:pPr>
        <w:pStyle w:val="Heading8"/>
      </w:pPr>
      <w:r>
        <w:t>The Business Complete Advantage plan; and may also incorporate the following Business Mobile Broadband plan:</w:t>
      </w:r>
    </w:p>
    <w:p w14:paraId="3F38C322" w14:textId="77777777" w:rsidR="000D07EA" w:rsidRDefault="00BE7C89">
      <w:pPr>
        <w:pStyle w:val="Heading9"/>
      </w:pPr>
      <w:r>
        <w:lastRenderedPageBreak/>
        <w:t>The $15 Business Advantage BMB Business Mobile Broadband plan if you select the $49 or $59 Business Complete Advantage</w:t>
      </w:r>
    </w:p>
    <w:p w14:paraId="7FA2C7D7" w14:textId="77777777" w:rsidR="000D07EA" w:rsidRDefault="00BE7C89">
      <w:pPr>
        <w:pStyle w:val="Heading9"/>
      </w:pPr>
      <w:r>
        <w:t xml:space="preserve">The $15 Business Advantage BMB Business Mobile Broadband plan with a $10 access fee (note: plan fee is reduced from $15 to $10 using a $5 monthly account credit) if you select the $79 Business Complete Advantage. </w:t>
      </w:r>
    </w:p>
    <w:p w14:paraId="22D970CD" w14:textId="77777777" w:rsidR="000D07EA" w:rsidRDefault="00BE7C89">
      <w:pPr>
        <w:pStyle w:val="BodyText"/>
        <w:ind w:left="1440"/>
      </w:pPr>
      <w:r>
        <w:t xml:space="preserve">and are a special offer under the </w:t>
      </w:r>
      <w:hyperlink r:id="rId256" w:history="1">
        <w:r>
          <w:rPr>
            <w:rStyle w:val="Hyperlink"/>
            <w:i/>
          </w:rPr>
          <w:t>SMB terms</w:t>
        </w:r>
      </w:hyperlink>
      <w:r>
        <w:t xml:space="preserve"> and relevant service descriptions.</w:t>
      </w:r>
    </w:p>
    <w:p w14:paraId="0AC93F51" w14:textId="77777777" w:rsidR="000D07EA" w:rsidRDefault="00BE7C89">
      <w:pPr>
        <w:pStyle w:val="Heading7"/>
      </w:pPr>
      <w:r>
        <w:t xml:space="preserve">To be eligible to connect a Business Mobile Broadband service </w:t>
      </w:r>
      <w:r>
        <w:rPr>
          <w:i/>
        </w:rPr>
        <w:t>you</w:t>
      </w:r>
      <w:r>
        <w:t xml:space="preserve"> must have an </w:t>
      </w:r>
      <w:r>
        <w:rPr>
          <w:i/>
        </w:rPr>
        <w:t>Optus Mobile Service</w:t>
      </w:r>
      <w:r>
        <w:t xml:space="preserve"> on a Business Complete Advantage plan. </w:t>
      </w:r>
    </w:p>
    <w:p w14:paraId="658ECDE8" w14:textId="77777777" w:rsidR="000D07EA" w:rsidRDefault="00BE7C89">
      <w:pPr>
        <w:pStyle w:val="Heading7"/>
      </w:pPr>
      <w:r>
        <w:t xml:space="preserve">The Optus Business Complete Advantage Offers are governed by the terms in this </w:t>
      </w:r>
      <w:r>
        <w:rPr>
          <w:i/>
        </w:rPr>
        <w:t xml:space="preserve">appendix </w:t>
      </w:r>
      <w:r>
        <w:t xml:space="preserve">and, to the extent that the terms are not inconsistent with the terms set out in this </w:t>
      </w:r>
      <w:r>
        <w:rPr>
          <w:i/>
        </w:rPr>
        <w:t>appendix</w:t>
      </w:r>
      <w:r>
        <w:t>,</w:t>
      </w:r>
      <w:r>
        <w:rPr>
          <w:i/>
        </w:rPr>
        <w:t xml:space="preserve"> </w:t>
      </w:r>
      <w:r>
        <w:t xml:space="preserve">by the terms of the </w:t>
      </w:r>
      <w:hyperlink r:id="rId257" w:history="1">
        <w:r>
          <w:rPr>
            <w:rStyle w:val="Hyperlink"/>
            <w:i/>
          </w:rPr>
          <w:t>SMB terms</w:t>
        </w:r>
      </w:hyperlink>
      <w:r>
        <w:t xml:space="preserve">, and each relevant </w:t>
      </w:r>
      <w:r>
        <w:rPr>
          <w:i/>
        </w:rPr>
        <w:t xml:space="preserve">service description </w:t>
      </w:r>
      <w:r>
        <w:t xml:space="preserve">and </w:t>
      </w:r>
      <w:r>
        <w:rPr>
          <w:i/>
        </w:rPr>
        <w:t>standard pricing table</w:t>
      </w:r>
      <w:r>
        <w:t xml:space="preserve">. </w:t>
      </w:r>
    </w:p>
    <w:p w14:paraId="327E2210" w14:textId="77777777" w:rsidR="000D07EA" w:rsidRDefault="00BE7C89">
      <w:pPr>
        <w:pStyle w:val="Heading7"/>
      </w:pPr>
      <w:r>
        <w:t xml:space="preserve">To be eligible for the Optus Business Complete Advantage Offer </w:t>
      </w:r>
      <w:r>
        <w:rPr>
          <w:i/>
        </w:rPr>
        <w:t xml:space="preserve">you </w:t>
      </w:r>
      <w:r>
        <w:t>must have at least 1 Optus Mobile Digital Service</w:t>
      </w:r>
      <w:bookmarkStart w:id="372" w:name="_Toc267937658"/>
      <w:bookmarkStart w:id="373" w:name="_Toc397941133"/>
    </w:p>
    <w:p w14:paraId="2BED7F0E" w14:textId="77777777" w:rsidR="000D07EA" w:rsidRDefault="00BE7C89">
      <w:pPr>
        <w:pStyle w:val="Heading6"/>
        <w:ind w:left="0" w:firstLine="0"/>
      </w:pPr>
      <w:r>
        <w:t>What does the Optus Business Complete Advantage Offers allow you to do?</w:t>
      </w:r>
      <w:bookmarkEnd w:id="372"/>
      <w:bookmarkEnd w:id="373"/>
    </w:p>
    <w:p w14:paraId="512FFB40" w14:textId="77777777" w:rsidR="000D07EA" w:rsidRDefault="00BE7C89">
      <w:pPr>
        <w:pStyle w:val="Heading7"/>
      </w:pPr>
      <w:r>
        <w:t xml:space="preserve">The Business Complete Advantage Offer allows </w:t>
      </w:r>
      <w:r>
        <w:rPr>
          <w:i/>
        </w:rPr>
        <w:t>you</w:t>
      </w:r>
      <w:r>
        <w:t xml:space="preserve"> to use </w:t>
      </w:r>
      <w:r>
        <w:rPr>
          <w:i/>
        </w:rPr>
        <w:t>your</w:t>
      </w:r>
      <w:r>
        <w:t xml:space="preserve"> Optus Mobile Digital Service and a Business Mobile Broadband service where;</w:t>
      </w:r>
    </w:p>
    <w:p w14:paraId="38C6A4CF" w14:textId="77777777" w:rsidR="000D07EA" w:rsidRDefault="00BE7C89">
      <w:pPr>
        <w:pStyle w:val="Heading8"/>
        <w:rPr>
          <w:b/>
        </w:rPr>
      </w:pPr>
      <w:r>
        <w:t>The included Data Value can be shared across Optus Mobile Digital Service(s) and Business Mobile Broadband Services(s) that are on the Business Complete Advantage plan.</w:t>
      </w:r>
    </w:p>
    <w:p w14:paraId="37AD7BE1" w14:textId="77777777" w:rsidR="000D07EA" w:rsidRDefault="00BE7C89">
      <w:pPr>
        <w:pStyle w:val="Heading8"/>
      </w:pPr>
      <w:r>
        <w:rPr>
          <w:b/>
          <w:snapToGrid w:val="0"/>
        </w:rPr>
        <w:t>Unlimited access to Facebook®, Twitter, LinkedIn, Ebay, Four Square, MySpace, within Australia</w:t>
      </w:r>
      <w:r>
        <w:rPr>
          <w:snapToGrid w:val="0"/>
        </w:rPr>
        <w:t>. Offers cannot be shared and may be accessed on the mobile handset only</w:t>
      </w:r>
      <w:r>
        <w:rPr>
          <w:b/>
          <w:snapToGrid w:val="0"/>
        </w:rPr>
        <w:t xml:space="preserve">. </w:t>
      </w:r>
    </w:p>
    <w:p w14:paraId="1576490C" w14:textId="77777777" w:rsidR="000D07EA" w:rsidRDefault="00BE7C89">
      <w:pPr>
        <w:pStyle w:val="Heading7"/>
      </w:pPr>
      <w:r>
        <w:rPr>
          <w:i/>
        </w:rPr>
        <w:t xml:space="preserve">You </w:t>
      </w:r>
      <w:r>
        <w:t xml:space="preserve">may purchase a </w:t>
      </w:r>
      <w:r>
        <w:rPr>
          <w:i/>
        </w:rPr>
        <w:t xml:space="preserve">mobile phone </w:t>
      </w:r>
      <w:r>
        <w:t xml:space="preserve">with a 24 month </w:t>
      </w:r>
      <w:r>
        <w:rPr>
          <w:i/>
        </w:rPr>
        <w:t xml:space="preserve">equipment term </w:t>
      </w:r>
      <w:r>
        <w:t xml:space="preserve">under a </w:t>
      </w:r>
      <w:r>
        <w:rPr>
          <w:i/>
        </w:rPr>
        <w:t>mobile equipment payment plan</w:t>
      </w:r>
      <w:r>
        <w:t xml:space="preserve"> on a 24 month </w:t>
      </w:r>
      <w:r>
        <w:rPr>
          <w:i/>
        </w:rPr>
        <w:t>fixed length agreement</w:t>
      </w:r>
      <w:r>
        <w:t xml:space="preserve">. If </w:t>
      </w:r>
      <w:r>
        <w:rPr>
          <w:i/>
        </w:rPr>
        <w:t>you</w:t>
      </w:r>
      <w:r>
        <w:t xml:space="preserve"> agree to a 24 month </w:t>
      </w:r>
      <w:r>
        <w:rPr>
          <w:i/>
        </w:rPr>
        <w:t>fixed length agreement</w:t>
      </w:r>
      <w:r>
        <w:t xml:space="preserve"> the price of </w:t>
      </w:r>
      <w:r>
        <w:rPr>
          <w:i/>
        </w:rPr>
        <w:t>mobile phones</w:t>
      </w:r>
      <w:r>
        <w:t xml:space="preserve"> available is less than if </w:t>
      </w:r>
      <w:r>
        <w:rPr>
          <w:i/>
        </w:rPr>
        <w:t>you</w:t>
      </w:r>
      <w:r>
        <w:t xml:space="preserve"> only agree to a </w:t>
      </w:r>
      <w:r>
        <w:rPr>
          <w:i/>
        </w:rPr>
        <w:t xml:space="preserve">non-fixed length agreement. </w:t>
      </w:r>
    </w:p>
    <w:p w14:paraId="75DD10D2" w14:textId="77777777" w:rsidR="000D07EA" w:rsidRDefault="00BE7C89">
      <w:pPr>
        <w:pStyle w:val="Heading7"/>
      </w:pPr>
      <w:r>
        <w:t>The charges for the Business Complete Advantage Offers are set out in Table 2C.</w:t>
      </w:r>
    </w:p>
    <w:p w14:paraId="3CDB42B9" w14:textId="77777777" w:rsidR="000D07EA" w:rsidRDefault="00BE7C89">
      <w:pPr>
        <w:pStyle w:val="Heading7"/>
      </w:pPr>
      <w:r>
        <w:t xml:space="preserve">If </w:t>
      </w:r>
      <w:r>
        <w:rPr>
          <w:i/>
        </w:rPr>
        <w:t xml:space="preserve">you </w:t>
      </w:r>
      <w:r>
        <w:t xml:space="preserve">purchase a Business Complete Advantage plan, </w:t>
      </w:r>
      <w:r>
        <w:rPr>
          <w:i/>
        </w:rPr>
        <w:t>you</w:t>
      </w:r>
      <w:r>
        <w:t xml:space="preserve"> can purchase additional data by purchasing a $15 Business Advantage BMB Data bolt on. The included data of the Business Data bolt applies to all </w:t>
      </w:r>
      <w:r>
        <w:rPr>
          <w:i/>
        </w:rPr>
        <w:t>Optus Mobile Digital Service and Business Mobile Broadband Services</w:t>
      </w:r>
      <w:r>
        <w:t xml:space="preserve"> that are connected on a Business Complete Advantage plan and that are on the same account. </w:t>
      </w:r>
    </w:p>
    <w:p w14:paraId="429B858E" w14:textId="77777777" w:rsidR="000D07EA" w:rsidRDefault="00BE7C89">
      <w:pPr>
        <w:pStyle w:val="Heading8"/>
      </w:pPr>
      <w:r>
        <w:t xml:space="preserve">Business Data Bolt on is available to </w:t>
      </w:r>
      <w:r>
        <w:rPr>
          <w:i/>
        </w:rPr>
        <w:t xml:space="preserve">you </w:t>
      </w:r>
      <w:r>
        <w:t xml:space="preserve">if, </w:t>
      </w:r>
      <w:r>
        <w:rPr>
          <w:i/>
        </w:rPr>
        <w:t>your</w:t>
      </w:r>
      <w:r>
        <w:t xml:space="preserve"> </w:t>
      </w:r>
      <w:r>
        <w:rPr>
          <w:i/>
        </w:rPr>
        <w:t>mobile service</w:t>
      </w:r>
      <w:r>
        <w:t>s connect and remain connected to a Business Complete Advantage plans.</w:t>
      </w:r>
    </w:p>
    <w:p w14:paraId="635F63F6" w14:textId="77777777" w:rsidR="000D07EA" w:rsidRDefault="00BE7C89">
      <w:pPr>
        <w:pStyle w:val="Heading8"/>
      </w:pPr>
      <w:r>
        <w:t>The Business Data Bolt Ons provide</w:t>
      </w:r>
      <w:r>
        <w:rPr>
          <w:i/>
        </w:rPr>
        <w:t xml:space="preserve"> you </w:t>
      </w:r>
      <w:r>
        <w:t xml:space="preserve">with an additional 500MB of data to use each month from the </w:t>
      </w:r>
      <w:r>
        <w:rPr>
          <w:i/>
        </w:rPr>
        <w:t xml:space="preserve">Optus Mobile Digital Service or Business Mobile Broadband Services </w:t>
      </w:r>
      <w:r>
        <w:t xml:space="preserve">connected on </w:t>
      </w:r>
      <w:r>
        <w:rPr>
          <w:i/>
        </w:rPr>
        <w:t>your</w:t>
      </w:r>
      <w:r>
        <w:t xml:space="preserve"> plan and account. If </w:t>
      </w:r>
      <w:r>
        <w:rPr>
          <w:i/>
        </w:rPr>
        <w:t>you</w:t>
      </w:r>
      <w:r>
        <w:t xml:space="preserve"> exceed </w:t>
      </w:r>
      <w:r>
        <w:rPr>
          <w:i/>
        </w:rPr>
        <w:t>your</w:t>
      </w:r>
      <w:r>
        <w:t xml:space="preserve"> included data amount excess charges as stated in Table 1 apply. </w:t>
      </w:r>
    </w:p>
    <w:p w14:paraId="5D8ACA3A" w14:textId="77777777" w:rsidR="000D07EA" w:rsidRDefault="00BE7C89">
      <w:pPr>
        <w:pStyle w:val="Heading8"/>
      </w:pPr>
      <w:r>
        <w:t>Business Data Bolt Ons, Data Usage Allowance is set out in Table 1, the eligible usage is set out in Table 2A.</w:t>
      </w:r>
    </w:p>
    <w:p w14:paraId="307D088F" w14:textId="77777777" w:rsidR="000D07EA" w:rsidRDefault="00BE7C89">
      <w:pPr>
        <w:pStyle w:val="BodyText"/>
        <w:ind w:left="1440"/>
        <w:rPr>
          <w:b/>
        </w:rPr>
      </w:pPr>
      <w:r>
        <w:rPr>
          <w:b/>
        </w:rPr>
        <w:t>Table 1 – $15 Business Advantage BMB Data Bolt On</w:t>
      </w:r>
    </w:p>
    <w:tbl>
      <w:tblPr>
        <w:tblW w:w="4300" w:type="pct"/>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0"/>
        <w:gridCol w:w="2190"/>
        <w:gridCol w:w="2191"/>
        <w:gridCol w:w="2191"/>
      </w:tblGrid>
      <w:tr w:rsidR="000D07EA" w14:paraId="09C2D531" w14:textId="77777777">
        <w:trPr>
          <w:tblHeader/>
        </w:trPr>
        <w:tc>
          <w:tcPr>
            <w:tcW w:w="1250" w:type="pct"/>
            <w:shd w:val="clear" w:color="auto" w:fill="auto"/>
          </w:tcPr>
          <w:p w14:paraId="47BE2898" w14:textId="77777777" w:rsidR="000D07EA" w:rsidRDefault="00BE7C89">
            <w:pPr>
              <w:pStyle w:val="BodyText"/>
              <w:spacing w:before="100" w:after="100"/>
              <w:jc w:val="center"/>
              <w:rPr>
                <w:b/>
              </w:rPr>
            </w:pPr>
            <w:r>
              <w:rPr>
                <w:b/>
              </w:rPr>
              <w:t>Mobile rate plan</w:t>
            </w:r>
          </w:p>
        </w:tc>
        <w:tc>
          <w:tcPr>
            <w:tcW w:w="1250" w:type="pct"/>
            <w:shd w:val="clear" w:color="auto" w:fill="auto"/>
          </w:tcPr>
          <w:p w14:paraId="65283678" w14:textId="77777777" w:rsidR="000D07EA" w:rsidRDefault="00BE7C89">
            <w:pPr>
              <w:pStyle w:val="BodyText"/>
              <w:spacing w:before="100" w:after="100"/>
              <w:jc w:val="center"/>
              <w:rPr>
                <w:b/>
              </w:rPr>
            </w:pPr>
            <w:r>
              <w:rPr>
                <w:b/>
              </w:rPr>
              <w:t xml:space="preserve">Monthly </w:t>
            </w:r>
            <w:r>
              <w:rPr>
                <w:b/>
                <w:i/>
              </w:rPr>
              <w:t>Access Fee</w:t>
            </w:r>
          </w:p>
        </w:tc>
        <w:tc>
          <w:tcPr>
            <w:tcW w:w="1250" w:type="pct"/>
            <w:shd w:val="clear" w:color="auto" w:fill="auto"/>
          </w:tcPr>
          <w:p w14:paraId="52BE7EF9" w14:textId="77777777" w:rsidR="000D07EA" w:rsidRDefault="00BE7C89">
            <w:pPr>
              <w:pStyle w:val="BodyText"/>
              <w:spacing w:before="100" w:after="100"/>
              <w:jc w:val="center"/>
              <w:rPr>
                <w:b/>
              </w:rPr>
            </w:pPr>
            <w:r>
              <w:rPr>
                <w:b/>
              </w:rPr>
              <w:t>Data Usage Allowance</w:t>
            </w:r>
          </w:p>
        </w:tc>
        <w:tc>
          <w:tcPr>
            <w:tcW w:w="1250" w:type="pct"/>
            <w:shd w:val="clear" w:color="auto" w:fill="auto"/>
          </w:tcPr>
          <w:p w14:paraId="7119E714" w14:textId="77777777" w:rsidR="000D07EA" w:rsidRDefault="00BE7C89">
            <w:pPr>
              <w:pStyle w:val="BodyText"/>
              <w:spacing w:before="100" w:after="100"/>
              <w:jc w:val="center"/>
              <w:rPr>
                <w:b/>
              </w:rPr>
            </w:pPr>
            <w:r>
              <w:rPr>
                <w:b/>
              </w:rPr>
              <w:t>Excess Charges</w:t>
            </w:r>
          </w:p>
        </w:tc>
      </w:tr>
      <w:tr w:rsidR="000D07EA" w14:paraId="15BDC40B" w14:textId="77777777">
        <w:tc>
          <w:tcPr>
            <w:tcW w:w="1250" w:type="pct"/>
            <w:shd w:val="clear" w:color="auto" w:fill="auto"/>
          </w:tcPr>
          <w:p w14:paraId="12797412" w14:textId="77777777" w:rsidR="000D07EA" w:rsidRDefault="00BE7C89">
            <w:pPr>
              <w:pStyle w:val="BodyText"/>
              <w:spacing w:before="100" w:after="100"/>
              <w:jc w:val="center"/>
            </w:pPr>
            <w:r>
              <w:t>$49 or $59 Business Complete Advantage</w:t>
            </w:r>
          </w:p>
        </w:tc>
        <w:tc>
          <w:tcPr>
            <w:tcW w:w="1250" w:type="pct"/>
            <w:shd w:val="clear" w:color="auto" w:fill="auto"/>
          </w:tcPr>
          <w:p w14:paraId="5866A404" w14:textId="77777777" w:rsidR="000D07EA" w:rsidRDefault="00BE7C89">
            <w:pPr>
              <w:pStyle w:val="BodyText"/>
              <w:spacing w:before="100" w:after="100"/>
              <w:jc w:val="center"/>
            </w:pPr>
            <w:r>
              <w:t>$15</w:t>
            </w:r>
          </w:p>
        </w:tc>
        <w:tc>
          <w:tcPr>
            <w:tcW w:w="1250" w:type="pct"/>
            <w:shd w:val="clear" w:color="auto" w:fill="auto"/>
          </w:tcPr>
          <w:p w14:paraId="74AF003F" w14:textId="77777777" w:rsidR="000D07EA" w:rsidRDefault="00BE7C89">
            <w:pPr>
              <w:pStyle w:val="BodyText"/>
              <w:spacing w:before="100" w:after="100"/>
              <w:jc w:val="center"/>
            </w:pPr>
            <w:r>
              <w:t>500MB</w:t>
            </w:r>
          </w:p>
        </w:tc>
        <w:tc>
          <w:tcPr>
            <w:tcW w:w="1250" w:type="pct"/>
            <w:shd w:val="clear" w:color="auto" w:fill="auto"/>
          </w:tcPr>
          <w:p w14:paraId="78A96612" w14:textId="77777777" w:rsidR="000D07EA" w:rsidRDefault="00BE7C89">
            <w:pPr>
              <w:pStyle w:val="BodyText"/>
              <w:spacing w:before="100" w:after="100"/>
              <w:jc w:val="center"/>
            </w:pPr>
            <w:r>
              <w:t>10c per MB or part thereof</w:t>
            </w:r>
          </w:p>
        </w:tc>
      </w:tr>
      <w:tr w:rsidR="000D07EA" w14:paraId="0EEE2408" w14:textId="77777777">
        <w:tc>
          <w:tcPr>
            <w:tcW w:w="1250" w:type="pct"/>
            <w:shd w:val="clear" w:color="auto" w:fill="auto"/>
          </w:tcPr>
          <w:p w14:paraId="2C168515" w14:textId="77777777" w:rsidR="000D07EA" w:rsidRDefault="00BE7C89">
            <w:pPr>
              <w:pStyle w:val="BodyText"/>
              <w:spacing w:before="100" w:after="100"/>
              <w:jc w:val="center"/>
            </w:pPr>
            <w:r>
              <w:lastRenderedPageBreak/>
              <w:t>$79 Business Complete Advantage</w:t>
            </w:r>
          </w:p>
        </w:tc>
        <w:tc>
          <w:tcPr>
            <w:tcW w:w="1250" w:type="pct"/>
            <w:shd w:val="clear" w:color="auto" w:fill="auto"/>
          </w:tcPr>
          <w:p w14:paraId="76FC3B1C" w14:textId="77777777" w:rsidR="000D07EA" w:rsidRDefault="00BE7C89">
            <w:pPr>
              <w:pStyle w:val="BodyText"/>
              <w:spacing w:before="100" w:after="100"/>
              <w:jc w:val="center"/>
            </w:pPr>
            <w:r>
              <w:t>$15 reduced to $10 with a $5 credit</w:t>
            </w:r>
          </w:p>
        </w:tc>
        <w:tc>
          <w:tcPr>
            <w:tcW w:w="1250" w:type="pct"/>
            <w:shd w:val="clear" w:color="auto" w:fill="auto"/>
          </w:tcPr>
          <w:p w14:paraId="4574A220" w14:textId="77777777" w:rsidR="000D07EA" w:rsidRDefault="00BE7C89">
            <w:pPr>
              <w:pStyle w:val="BodyText"/>
              <w:spacing w:before="100" w:after="100"/>
              <w:jc w:val="center"/>
            </w:pPr>
            <w:r>
              <w:t>500MB</w:t>
            </w:r>
          </w:p>
        </w:tc>
        <w:tc>
          <w:tcPr>
            <w:tcW w:w="1250" w:type="pct"/>
            <w:shd w:val="clear" w:color="auto" w:fill="auto"/>
          </w:tcPr>
          <w:p w14:paraId="267C7055" w14:textId="77777777" w:rsidR="000D07EA" w:rsidRDefault="00BE7C89">
            <w:pPr>
              <w:pStyle w:val="BodyText"/>
              <w:spacing w:before="100" w:after="100"/>
              <w:jc w:val="center"/>
            </w:pPr>
            <w:r>
              <w:t>10c per MB or part thereof</w:t>
            </w:r>
          </w:p>
        </w:tc>
      </w:tr>
    </w:tbl>
    <w:p w14:paraId="60E8EE64" w14:textId="77777777" w:rsidR="000D07EA" w:rsidRDefault="000D07EA">
      <w:pPr>
        <w:pStyle w:val="BodyText"/>
      </w:pPr>
    </w:p>
    <w:p w14:paraId="630E67F7" w14:textId="77777777" w:rsidR="000D07EA" w:rsidRDefault="00BE7C89">
      <w:pPr>
        <w:pStyle w:val="Heading6"/>
      </w:pPr>
      <w:r>
        <w:t>Eligibility</w:t>
      </w:r>
    </w:p>
    <w:p w14:paraId="3AB74F50" w14:textId="77777777" w:rsidR="000D07EA" w:rsidRDefault="00BE7C89">
      <w:pPr>
        <w:pStyle w:val="BodyText"/>
        <w:ind w:left="720"/>
      </w:pPr>
      <w:r>
        <w:t xml:space="preserve">The Business Complete Advantage plans are only available to customers </w:t>
      </w:r>
      <w:r>
        <w:rPr>
          <w:i/>
        </w:rPr>
        <w:t>we</w:t>
      </w:r>
      <w:r>
        <w:t xml:space="preserve"> classify as </w:t>
      </w:r>
      <w:r>
        <w:rPr>
          <w:i/>
        </w:rPr>
        <w:t>small or medium business</w:t>
      </w:r>
      <w:r>
        <w:t xml:space="preserve"> customers who apply to connect to the service on the following terms:</w:t>
      </w:r>
    </w:p>
    <w:p w14:paraId="256A8F13" w14:textId="77777777" w:rsidR="000D07EA" w:rsidRDefault="00BE7C89">
      <w:pPr>
        <w:pStyle w:val="Heading7"/>
        <w:rPr>
          <w:snapToGrid w:val="0"/>
        </w:rPr>
      </w:pPr>
      <w:r>
        <w:t>In</w:t>
      </w:r>
      <w:r>
        <w:rPr>
          <w:snapToGrid w:val="0"/>
        </w:rPr>
        <w:t xml:space="preserve"> order to be and remain eligible for the Business Complete Advantage Offers, </w:t>
      </w:r>
      <w:r>
        <w:rPr>
          <w:i/>
          <w:snapToGrid w:val="0"/>
        </w:rPr>
        <w:t xml:space="preserve">you </w:t>
      </w:r>
      <w:r>
        <w:rPr>
          <w:snapToGrid w:val="0"/>
        </w:rPr>
        <w:t>must:</w:t>
      </w:r>
    </w:p>
    <w:p w14:paraId="03FF8BAC" w14:textId="77777777" w:rsidR="000D07EA" w:rsidRDefault="00BE7C89">
      <w:pPr>
        <w:pStyle w:val="Heading8"/>
        <w:rPr>
          <w:snapToGrid w:val="0"/>
        </w:rPr>
      </w:pPr>
      <w:r>
        <w:rPr>
          <w:snapToGrid w:val="0"/>
        </w:rPr>
        <w:t>maintain a ratio of at least 1 Optus Mobile Digital Service to 1 Business Mobile Broadband Service (for Customers who elect to take up a Business Mobile Broadband (BMB) Service).</w:t>
      </w:r>
    </w:p>
    <w:p w14:paraId="7D9DE8B2" w14:textId="77777777" w:rsidR="000D07EA" w:rsidRDefault="00BE7C89">
      <w:pPr>
        <w:pStyle w:val="BodyText"/>
        <w:ind w:left="2160"/>
      </w:pPr>
      <w:r>
        <w:t xml:space="preserve">For example </w:t>
      </w:r>
      <w:r>
        <w:rPr>
          <w:i/>
        </w:rPr>
        <w:t>you</w:t>
      </w:r>
      <w:r>
        <w:t xml:space="preserve"> may connect 2 $59 Business Complete Advantage Mobile Services and 2 $15 Business Advantage BMB Services or </w:t>
      </w:r>
      <w:r>
        <w:rPr>
          <w:i/>
        </w:rPr>
        <w:t>you</w:t>
      </w:r>
      <w:r>
        <w:t xml:space="preserve"> may connect 2 $59 Business Complete Advantage Services and 1 $15 Business Advantage BMB service. However, </w:t>
      </w:r>
      <w:r>
        <w:rPr>
          <w:i/>
        </w:rPr>
        <w:t>you</w:t>
      </w:r>
      <w:r>
        <w:t xml:space="preserve"> may not have 1 $59 Business Complete Advantage Mobile Service and 2 $15 Business Advantage BMB Services.</w:t>
      </w:r>
    </w:p>
    <w:p w14:paraId="2DF5031B" w14:textId="77777777" w:rsidR="000D07EA" w:rsidRDefault="00BE7C89">
      <w:pPr>
        <w:pStyle w:val="Heading8"/>
      </w:pPr>
      <w:r>
        <w:t>connect all relevant</w:t>
      </w:r>
      <w:r>
        <w:rPr>
          <w:i/>
        </w:rPr>
        <w:t xml:space="preserve"> services</w:t>
      </w:r>
      <w:r>
        <w:t xml:space="preserve"> in the same account holder name and service address, and ABN/ACN/ARBN;</w:t>
      </w:r>
    </w:p>
    <w:p w14:paraId="2B84E1D3" w14:textId="77777777" w:rsidR="000D07EA" w:rsidRDefault="00BE7C89">
      <w:pPr>
        <w:pStyle w:val="Heading8"/>
      </w:pPr>
      <w:r>
        <w:t xml:space="preserve">meet all of the criteria for the particular </w:t>
      </w:r>
      <w:r>
        <w:rPr>
          <w:i/>
        </w:rPr>
        <w:t>services</w:t>
      </w:r>
      <w:r>
        <w:t xml:space="preserve"> as set out in each of the relevant </w:t>
      </w:r>
      <w:r>
        <w:rPr>
          <w:i/>
        </w:rPr>
        <w:t>service descriptions</w:t>
      </w:r>
      <w:r>
        <w:t>; and</w:t>
      </w:r>
    </w:p>
    <w:p w14:paraId="23D82C47" w14:textId="77777777" w:rsidR="000D07EA" w:rsidRDefault="00BE7C89">
      <w:pPr>
        <w:pStyle w:val="Heading8"/>
      </w:pPr>
      <w:r>
        <w:t>receive subscription charges on a monthly single bill.</w:t>
      </w:r>
    </w:p>
    <w:p w14:paraId="3727645A" w14:textId="77777777" w:rsidR="000D07EA" w:rsidRDefault="00BE7C89">
      <w:pPr>
        <w:pStyle w:val="Heading7"/>
        <w:rPr>
          <w:snapToGrid w:val="0"/>
        </w:rPr>
      </w:pPr>
      <w:r>
        <w:rPr>
          <w:snapToGrid w:val="0"/>
        </w:rPr>
        <w:t xml:space="preserve">If </w:t>
      </w:r>
      <w:r>
        <w:rPr>
          <w:i/>
          <w:snapToGrid w:val="0"/>
        </w:rPr>
        <w:t xml:space="preserve">you </w:t>
      </w:r>
      <w:r>
        <w:rPr>
          <w:snapToGrid w:val="0"/>
        </w:rPr>
        <w:t>already have a non-fixed length or fixed length agreement with us for either your Optus Mobile Digital Service(s) and your Optus Mobile Service(s) and you choose to connect as a new customer to our Business Complete Advantage offer:</w:t>
      </w:r>
    </w:p>
    <w:p w14:paraId="7D41B240" w14:textId="77777777" w:rsidR="000D07EA" w:rsidRDefault="00BE7C89">
      <w:pPr>
        <w:pStyle w:val="Heading8"/>
      </w:pPr>
      <w:r>
        <w:rPr>
          <w:i/>
          <w:snapToGrid w:val="0"/>
        </w:rPr>
        <w:t>We</w:t>
      </w:r>
      <w:r>
        <w:rPr>
          <w:snapToGrid w:val="0"/>
        </w:rPr>
        <w:t xml:space="preserve"> may agree (at </w:t>
      </w:r>
      <w:r>
        <w:rPr>
          <w:i/>
          <w:snapToGrid w:val="0"/>
        </w:rPr>
        <w:t>our</w:t>
      </w:r>
      <w:r>
        <w:rPr>
          <w:snapToGrid w:val="0"/>
        </w:rPr>
        <w:t xml:space="preserve"> discretion) to transfer</w:t>
      </w:r>
      <w:r>
        <w:rPr>
          <w:i/>
          <w:snapToGrid w:val="0"/>
        </w:rPr>
        <w:t xml:space="preserve"> you</w:t>
      </w:r>
      <w:r>
        <w:rPr>
          <w:snapToGrid w:val="0"/>
        </w:rPr>
        <w:t xml:space="preserve"> to the Business Complete Advantage offer </w:t>
      </w:r>
    </w:p>
    <w:p w14:paraId="5C602E1F" w14:textId="77777777" w:rsidR="000D07EA" w:rsidRDefault="00BE7C89">
      <w:pPr>
        <w:pStyle w:val="Heading8"/>
      </w:pPr>
      <w:r>
        <w:rPr>
          <w:snapToGrid w:val="0"/>
        </w:rPr>
        <w:t>In the case of the above,</w:t>
      </w:r>
      <w:r>
        <w:rPr>
          <w:i/>
          <w:snapToGrid w:val="0"/>
        </w:rPr>
        <w:t xml:space="preserve"> you</w:t>
      </w:r>
      <w:r>
        <w:rPr>
          <w:snapToGrid w:val="0"/>
        </w:rPr>
        <w:t xml:space="preserve"> will start a monthly, 24 month</w:t>
      </w:r>
      <w:r>
        <w:rPr>
          <w:i/>
          <w:snapToGrid w:val="0"/>
        </w:rPr>
        <w:t xml:space="preserve"> minimum term fixed length agreement</w:t>
      </w:r>
      <w:r>
        <w:rPr>
          <w:snapToGrid w:val="0"/>
        </w:rPr>
        <w:t xml:space="preserve"> for the new </w:t>
      </w:r>
      <w:r>
        <w:rPr>
          <w:i/>
          <w:snapToGrid w:val="0"/>
        </w:rPr>
        <w:t>Business Complete Advantage offer</w:t>
      </w:r>
      <w:r>
        <w:rPr>
          <w:snapToGrid w:val="0"/>
        </w:rPr>
        <w:t xml:space="preserve">. </w:t>
      </w:r>
    </w:p>
    <w:p w14:paraId="70D63240" w14:textId="77777777" w:rsidR="000D07EA" w:rsidRDefault="00BE7C89">
      <w:pPr>
        <w:pStyle w:val="Heading7"/>
      </w:pPr>
      <w:r>
        <w:rPr>
          <w:snapToGrid w:val="0"/>
        </w:rPr>
        <w:t xml:space="preserve">If </w:t>
      </w:r>
      <w:r>
        <w:rPr>
          <w:i/>
          <w:snapToGrid w:val="0"/>
        </w:rPr>
        <w:t xml:space="preserve">you </w:t>
      </w:r>
      <w:r>
        <w:rPr>
          <w:snapToGrid w:val="0"/>
        </w:rPr>
        <w:t xml:space="preserve">are an existing customer </w:t>
      </w:r>
      <w:r>
        <w:rPr>
          <w:i/>
          <w:snapToGrid w:val="0"/>
        </w:rPr>
        <w:t xml:space="preserve">you </w:t>
      </w:r>
      <w:r>
        <w:rPr>
          <w:snapToGrid w:val="0"/>
        </w:rPr>
        <w:t xml:space="preserve">may only transfer to the Business Complete Advantage plans with </w:t>
      </w:r>
      <w:r>
        <w:rPr>
          <w:i/>
          <w:snapToGrid w:val="0"/>
        </w:rPr>
        <w:t xml:space="preserve">our </w:t>
      </w:r>
      <w:r>
        <w:rPr>
          <w:snapToGrid w:val="0"/>
        </w:rPr>
        <w:t>approval</w:t>
      </w:r>
      <w:r>
        <w:rPr>
          <w:snapToGrid w:val="0"/>
          <w:sz w:val="16"/>
          <w:szCs w:val="16"/>
        </w:rPr>
        <w:t>.</w:t>
      </w:r>
    </w:p>
    <w:p w14:paraId="6452BD08" w14:textId="77777777" w:rsidR="000D07EA" w:rsidRDefault="00BE7C89">
      <w:pPr>
        <w:pStyle w:val="Heading6"/>
        <w:ind w:left="0" w:firstLine="0"/>
      </w:pPr>
      <w:r>
        <w:t>Blocking access to a number</w:t>
      </w:r>
    </w:p>
    <w:p w14:paraId="552AB871" w14:textId="77777777" w:rsidR="000D07EA" w:rsidRDefault="00BE7C89">
      <w:pPr>
        <w:pStyle w:val="BodyText"/>
        <w:ind w:left="720"/>
      </w:pPr>
      <w:r>
        <w:rPr>
          <w:rStyle w:val="Emphasis"/>
          <w:i w:val="0"/>
          <w:iCs w:val="0"/>
        </w:rPr>
        <w:t xml:space="preserve">In addition to what is stated in clause 11 of the </w:t>
      </w:r>
      <w:r>
        <w:rPr>
          <w:rStyle w:val="Emphasis"/>
          <w:iCs w:val="0"/>
        </w:rPr>
        <w:t>service description</w:t>
      </w:r>
      <w:r>
        <w:rPr>
          <w:rStyle w:val="Emphasis"/>
          <w:i w:val="0"/>
          <w:iCs w:val="0"/>
        </w:rPr>
        <w:t xml:space="preserve"> (</w:t>
      </w:r>
      <w:r>
        <w:rPr>
          <w:rStyle w:val="Emphasis"/>
          <w:iCs w:val="0"/>
        </w:rPr>
        <w:t>"Access Restrictions"</w:t>
      </w:r>
      <w:r>
        <w:rPr>
          <w:rStyle w:val="Emphasis"/>
          <w:i w:val="0"/>
          <w:iCs w:val="0"/>
        </w:rPr>
        <w:t xml:space="preserve">), </w:t>
      </w:r>
      <w:r>
        <w:rPr>
          <w:rStyle w:val="Emphasis"/>
          <w:iCs w:val="0"/>
        </w:rPr>
        <w:t>we</w:t>
      </w:r>
      <w:r>
        <w:t xml:space="preserve"> may block access to a number (other than an emergency service number) if </w:t>
      </w:r>
      <w:r>
        <w:rPr>
          <w:i/>
        </w:rPr>
        <w:t>we</w:t>
      </w:r>
      <w:r>
        <w:t xml:space="preserve"> reasonably require this to be done for technical, operational or commercial reasons. </w:t>
      </w:r>
    </w:p>
    <w:p w14:paraId="62F2AD67" w14:textId="77777777" w:rsidR="000D07EA" w:rsidRDefault="00BE7C89">
      <w:pPr>
        <w:pStyle w:val="Heading6"/>
        <w:keepNext/>
        <w:ind w:left="0" w:firstLine="0"/>
      </w:pPr>
      <w:bookmarkStart w:id="374" w:name="_Toc267937661"/>
      <w:bookmarkStart w:id="375" w:name="_Toc397941136"/>
      <w:r>
        <w:t>Minimum Term</w:t>
      </w:r>
      <w:bookmarkEnd w:id="374"/>
      <w:bookmarkEnd w:id="375"/>
    </w:p>
    <w:p w14:paraId="12F326E8" w14:textId="77777777" w:rsidR="000D07EA" w:rsidRDefault="00BE7C89">
      <w:pPr>
        <w:pStyle w:val="Heading7"/>
      </w:pPr>
      <w:r>
        <w:rPr>
          <w:i/>
        </w:rPr>
        <w:t>You</w:t>
      </w:r>
      <w:r>
        <w:t xml:space="preserve"> must agree to a </w:t>
      </w:r>
      <w:r>
        <w:rPr>
          <w:i/>
        </w:rPr>
        <w:t>non-fixed length agreement</w:t>
      </w:r>
      <w:r>
        <w:t xml:space="preserve"> or a </w:t>
      </w:r>
      <w:r>
        <w:rPr>
          <w:i/>
        </w:rPr>
        <w:t>fixed length agreement</w:t>
      </w:r>
      <w:r>
        <w:t xml:space="preserve"> with a 12 month or 24 month</w:t>
      </w:r>
      <w:r>
        <w:rPr>
          <w:i/>
        </w:rPr>
        <w:t xml:space="preserve"> minimum term</w:t>
      </w:r>
      <w:r>
        <w:t xml:space="preserve">. </w:t>
      </w:r>
    </w:p>
    <w:p w14:paraId="152847A2" w14:textId="77777777" w:rsidR="000D07EA" w:rsidRDefault="00BE7C89">
      <w:pPr>
        <w:pStyle w:val="Heading7"/>
      </w:pPr>
      <w:r>
        <w:rPr>
          <w:snapToGrid w:val="0"/>
        </w:rPr>
        <w:t>Customers who elect to take up the Business Mobile Broadband (BMB) hardware must agree to a</w:t>
      </w:r>
      <w:r>
        <w:rPr>
          <w:i/>
          <w:snapToGrid w:val="0"/>
        </w:rPr>
        <w:t xml:space="preserve"> fixed length agreement </w:t>
      </w:r>
      <w:r>
        <w:rPr>
          <w:snapToGrid w:val="0"/>
        </w:rPr>
        <w:t xml:space="preserve">with a 24 month </w:t>
      </w:r>
      <w:r>
        <w:rPr>
          <w:i/>
          <w:snapToGrid w:val="0"/>
        </w:rPr>
        <w:t>minimum term.</w:t>
      </w:r>
    </w:p>
    <w:p w14:paraId="4550D1EA" w14:textId="77777777" w:rsidR="000D07EA" w:rsidRDefault="00BE7C89">
      <w:pPr>
        <w:pStyle w:val="Heading7"/>
      </w:pPr>
      <w:r>
        <w:rPr>
          <w:i/>
        </w:rPr>
        <w:t xml:space="preserve">You </w:t>
      </w:r>
      <w:r>
        <w:t xml:space="preserve">may purchase a </w:t>
      </w:r>
      <w:r>
        <w:rPr>
          <w:i/>
        </w:rPr>
        <w:t xml:space="preserve">mobile phone </w:t>
      </w:r>
      <w:r>
        <w:t xml:space="preserve">with a 12 month or 24 month </w:t>
      </w:r>
      <w:r>
        <w:rPr>
          <w:i/>
        </w:rPr>
        <w:t xml:space="preserve">equipment term </w:t>
      </w:r>
      <w:r>
        <w:t xml:space="preserve">under a </w:t>
      </w:r>
      <w:r>
        <w:rPr>
          <w:i/>
        </w:rPr>
        <w:t xml:space="preserve">mobile equipment payment plan </w:t>
      </w:r>
      <w:r>
        <w:t xml:space="preserve">depending on </w:t>
      </w:r>
      <w:r>
        <w:rPr>
          <w:i/>
        </w:rPr>
        <w:t xml:space="preserve">your </w:t>
      </w:r>
      <w:r>
        <w:t xml:space="preserve">contract plan. If </w:t>
      </w:r>
      <w:r>
        <w:rPr>
          <w:i/>
        </w:rPr>
        <w:t xml:space="preserve">you </w:t>
      </w:r>
      <w:r>
        <w:t xml:space="preserve">agree to a 24 month </w:t>
      </w:r>
      <w:r>
        <w:rPr>
          <w:i/>
        </w:rPr>
        <w:t xml:space="preserve">minimum term </w:t>
      </w:r>
      <w:r>
        <w:t xml:space="preserve">the price of the </w:t>
      </w:r>
      <w:r>
        <w:rPr>
          <w:i/>
        </w:rPr>
        <w:t xml:space="preserve">mobile phone </w:t>
      </w:r>
      <w:r>
        <w:t xml:space="preserve">available is less than if </w:t>
      </w:r>
      <w:r>
        <w:rPr>
          <w:i/>
        </w:rPr>
        <w:t xml:space="preserve">you </w:t>
      </w:r>
      <w:r>
        <w:t xml:space="preserve">only agree to a </w:t>
      </w:r>
      <w:r>
        <w:rPr>
          <w:i/>
        </w:rPr>
        <w:t xml:space="preserve">non-fixed length </w:t>
      </w:r>
      <w:r>
        <w:rPr>
          <w:i/>
        </w:rPr>
        <w:lastRenderedPageBreak/>
        <w:t>agreement</w:t>
      </w:r>
      <w:r>
        <w:t xml:space="preserve">. If </w:t>
      </w:r>
      <w:r>
        <w:rPr>
          <w:i/>
        </w:rPr>
        <w:t>you</w:t>
      </w:r>
      <w:r>
        <w:t xml:space="preserve"> agree to a 12 month </w:t>
      </w:r>
      <w:r>
        <w:rPr>
          <w:i/>
        </w:rPr>
        <w:t xml:space="preserve">minimum term </w:t>
      </w:r>
      <w:r>
        <w:t xml:space="preserve">the price of the </w:t>
      </w:r>
      <w:r>
        <w:rPr>
          <w:i/>
        </w:rPr>
        <w:t xml:space="preserve">mobile phone </w:t>
      </w:r>
      <w:r>
        <w:t xml:space="preserve">available is less than if </w:t>
      </w:r>
      <w:r>
        <w:rPr>
          <w:i/>
        </w:rPr>
        <w:t xml:space="preserve">you </w:t>
      </w:r>
      <w:r>
        <w:t xml:space="preserve">only agree to a </w:t>
      </w:r>
      <w:r>
        <w:rPr>
          <w:i/>
        </w:rPr>
        <w:t>non-fixed length agreement.</w:t>
      </w:r>
      <w:bookmarkStart w:id="376" w:name="_Toc267937662"/>
      <w:bookmarkStart w:id="377" w:name="_Toc397941137"/>
    </w:p>
    <w:p w14:paraId="4891E376" w14:textId="77777777" w:rsidR="000D07EA" w:rsidRDefault="00BE7C89">
      <w:pPr>
        <w:pStyle w:val="Heading6"/>
        <w:ind w:left="0" w:firstLine="0"/>
      </w:pPr>
      <w:r>
        <w:t>What happens if you are no longer eligible</w:t>
      </w:r>
      <w:bookmarkEnd w:id="376"/>
      <w:bookmarkEnd w:id="377"/>
    </w:p>
    <w:p w14:paraId="1FCFFD76" w14:textId="77777777" w:rsidR="000D07EA" w:rsidRDefault="00BE7C89">
      <w:pPr>
        <w:pStyle w:val="Heading7"/>
      </w:pPr>
      <w:r>
        <w:t xml:space="preserve">If </w:t>
      </w:r>
      <w:r>
        <w:rPr>
          <w:i/>
        </w:rPr>
        <w:t>you</w:t>
      </w:r>
      <w:r>
        <w:t xml:space="preserve"> are no longer classified as a </w:t>
      </w:r>
      <w:r>
        <w:rPr>
          <w:i/>
        </w:rPr>
        <w:t>small and medium business</w:t>
      </w:r>
      <w:r>
        <w:t xml:space="preserve"> we may at our discretion change </w:t>
      </w:r>
      <w:r>
        <w:rPr>
          <w:i/>
        </w:rPr>
        <w:t xml:space="preserve">your Optus Mobile Digital Service </w:t>
      </w:r>
      <w:r>
        <w:t xml:space="preserve">and </w:t>
      </w:r>
      <w:r>
        <w:rPr>
          <w:i/>
        </w:rPr>
        <w:t>Business Mobile Broadband Service</w:t>
      </w:r>
      <w:r>
        <w:t xml:space="preserve"> to an eligible plan although other service options may be available to </w:t>
      </w:r>
      <w:r>
        <w:rPr>
          <w:i/>
        </w:rPr>
        <w:t xml:space="preserve">you </w:t>
      </w:r>
      <w:r>
        <w:t xml:space="preserve">and </w:t>
      </w:r>
      <w:r>
        <w:rPr>
          <w:i/>
        </w:rPr>
        <w:t>you</w:t>
      </w:r>
      <w:r>
        <w:t xml:space="preserve"> may have to pay </w:t>
      </w:r>
      <w:r>
        <w:rPr>
          <w:i/>
        </w:rPr>
        <w:t>us</w:t>
      </w:r>
      <w:r>
        <w:t xml:space="preserve"> a cancellation fee</w:t>
      </w:r>
      <w:r>
        <w:rPr>
          <w:i/>
        </w:rPr>
        <w:t>.</w:t>
      </w:r>
    </w:p>
    <w:p w14:paraId="093B584F" w14:textId="77777777" w:rsidR="000D07EA" w:rsidRDefault="00BE7C89">
      <w:pPr>
        <w:pStyle w:val="Heading7"/>
      </w:pPr>
      <w:r>
        <w:t xml:space="preserve">If </w:t>
      </w:r>
      <w:r>
        <w:rPr>
          <w:i/>
        </w:rPr>
        <w:t>you</w:t>
      </w:r>
      <w:r>
        <w:t xml:space="preserve"> no longer have </w:t>
      </w:r>
      <w:r>
        <w:rPr>
          <w:i/>
        </w:rPr>
        <w:t>Optus Mobile Digital services</w:t>
      </w:r>
      <w:r>
        <w:t xml:space="preserve"> on </w:t>
      </w:r>
      <w:r>
        <w:rPr>
          <w:i/>
        </w:rPr>
        <w:t>your</w:t>
      </w:r>
      <w:r>
        <w:t xml:space="preserve"> account connected to a Business Complete Advantage Offer but have a </w:t>
      </w:r>
      <w:r>
        <w:rPr>
          <w:i/>
        </w:rPr>
        <w:t>Business Mobile Broadband Service</w:t>
      </w:r>
      <w:r>
        <w:t xml:space="preserve"> on a $15 Business Advantage BMB Offer </w:t>
      </w:r>
      <w:r>
        <w:rPr>
          <w:i/>
        </w:rPr>
        <w:t xml:space="preserve">we </w:t>
      </w:r>
      <w:r>
        <w:t xml:space="preserve">may at </w:t>
      </w:r>
      <w:r>
        <w:rPr>
          <w:i/>
        </w:rPr>
        <w:t>our</w:t>
      </w:r>
      <w:r>
        <w:t xml:space="preserve"> discretion change </w:t>
      </w:r>
      <w:r>
        <w:rPr>
          <w:i/>
        </w:rPr>
        <w:t>you</w:t>
      </w:r>
      <w:r>
        <w:t>r Business Mobile Broadband Service price plan to an eligible Business Mobile Broadband Plan.</w:t>
      </w:r>
      <w:bookmarkStart w:id="378" w:name="_Toc267937663"/>
      <w:bookmarkStart w:id="379" w:name="_Toc397941138"/>
    </w:p>
    <w:p w14:paraId="44B78A44" w14:textId="77777777" w:rsidR="000D07EA" w:rsidRDefault="00BE7C89">
      <w:pPr>
        <w:pStyle w:val="Heading6"/>
        <w:ind w:left="0" w:firstLine="0"/>
      </w:pPr>
      <w:r>
        <w:t>What you have to pay us</w:t>
      </w:r>
      <w:bookmarkEnd w:id="378"/>
      <w:bookmarkEnd w:id="379"/>
    </w:p>
    <w:p w14:paraId="50403C0D" w14:textId="77777777" w:rsidR="000D07EA" w:rsidRDefault="00BE7C89">
      <w:pPr>
        <w:pStyle w:val="Heading7"/>
      </w:pPr>
      <w:r>
        <w:t xml:space="preserve">Subject to paragraphs </w:t>
      </w:r>
      <w:r>
        <w:fldChar w:fldCharType="begin"/>
      </w:r>
      <w:r>
        <w:instrText xml:space="preserve"> REF _Ref461549984 \n \h </w:instrText>
      </w:r>
      <w:r>
        <w:fldChar w:fldCharType="separate"/>
      </w:r>
      <w:r w:rsidR="0004083A">
        <w:t>(c)</w:t>
      </w:r>
      <w:r>
        <w:fldChar w:fldCharType="end"/>
      </w:r>
      <w:r>
        <w:t xml:space="preserve">, </w:t>
      </w:r>
      <w:r>
        <w:fldChar w:fldCharType="begin"/>
      </w:r>
      <w:r>
        <w:instrText xml:space="preserve"> REF _Ref461549988 \n \h </w:instrText>
      </w:r>
      <w:r>
        <w:fldChar w:fldCharType="separate"/>
      </w:r>
      <w:r w:rsidR="0004083A">
        <w:t>(d)</w:t>
      </w:r>
      <w:r>
        <w:fldChar w:fldCharType="end"/>
      </w:r>
      <w:r>
        <w:t xml:space="preserve">, </w:t>
      </w:r>
      <w:r>
        <w:fldChar w:fldCharType="begin"/>
      </w:r>
      <w:r>
        <w:instrText xml:space="preserve"> REF _Ref461549992 \n \h </w:instrText>
      </w:r>
      <w:r>
        <w:fldChar w:fldCharType="separate"/>
      </w:r>
      <w:r w:rsidR="0004083A">
        <w:t>(e)</w:t>
      </w:r>
      <w:r>
        <w:fldChar w:fldCharType="end"/>
      </w:r>
      <w:r>
        <w:t xml:space="preserve">, </w:t>
      </w:r>
      <w:r>
        <w:fldChar w:fldCharType="begin"/>
      </w:r>
      <w:r>
        <w:instrText xml:space="preserve"> REF _Ref461549996 \n \h </w:instrText>
      </w:r>
      <w:r>
        <w:fldChar w:fldCharType="separate"/>
      </w:r>
      <w:r w:rsidR="0004083A">
        <w:t>(f)</w:t>
      </w:r>
      <w:r>
        <w:fldChar w:fldCharType="end"/>
      </w:r>
      <w:r>
        <w:t xml:space="preserve">, </w:t>
      </w:r>
      <w:r>
        <w:fldChar w:fldCharType="begin"/>
      </w:r>
      <w:r>
        <w:instrText xml:space="preserve"> REF _Ref461550003 \n \h </w:instrText>
      </w:r>
      <w:r>
        <w:fldChar w:fldCharType="separate"/>
      </w:r>
      <w:r w:rsidR="0004083A">
        <w:t>(g)</w:t>
      </w:r>
      <w:r>
        <w:fldChar w:fldCharType="end"/>
      </w:r>
      <w:r>
        <w:t xml:space="preserve">, </w:t>
      </w:r>
      <w:r>
        <w:fldChar w:fldCharType="begin"/>
      </w:r>
      <w:r>
        <w:instrText xml:space="preserve"> REF _Ref461550007 \n \h </w:instrText>
      </w:r>
      <w:r>
        <w:fldChar w:fldCharType="separate"/>
      </w:r>
      <w:r w:rsidR="0004083A">
        <w:t>(h)</w:t>
      </w:r>
      <w:r>
        <w:fldChar w:fldCharType="end"/>
      </w:r>
      <w:r>
        <w:t xml:space="preserve">, </w:t>
      </w:r>
      <w:r>
        <w:fldChar w:fldCharType="begin"/>
      </w:r>
      <w:r>
        <w:instrText xml:space="preserve"> REF _Ref461550012 \n \h </w:instrText>
      </w:r>
      <w:r>
        <w:fldChar w:fldCharType="separate"/>
      </w:r>
      <w:r w:rsidR="0004083A">
        <w:t>(i)</w:t>
      </w:r>
      <w:r>
        <w:fldChar w:fldCharType="end"/>
      </w:r>
      <w:r>
        <w:t xml:space="preserve">, </w:t>
      </w:r>
      <w:r>
        <w:fldChar w:fldCharType="begin"/>
      </w:r>
      <w:r>
        <w:instrText xml:space="preserve"> REF _Ref461550019 \n \h </w:instrText>
      </w:r>
      <w:r>
        <w:fldChar w:fldCharType="separate"/>
      </w:r>
      <w:r w:rsidR="0004083A">
        <w:t>(j)</w:t>
      </w:r>
      <w:r>
        <w:fldChar w:fldCharType="end"/>
      </w:r>
      <w:r>
        <w:t xml:space="preserve"> and </w:t>
      </w:r>
      <w:r>
        <w:fldChar w:fldCharType="begin"/>
      </w:r>
      <w:r>
        <w:instrText xml:space="preserve"> REF _Ref461550023 \n \h </w:instrText>
      </w:r>
      <w:r>
        <w:fldChar w:fldCharType="separate"/>
      </w:r>
      <w:r w:rsidR="0004083A">
        <w:t>(k)</w:t>
      </w:r>
      <w:r>
        <w:fldChar w:fldCharType="end"/>
      </w:r>
      <w:r>
        <w:t xml:space="preserve"> below </w:t>
      </w:r>
      <w:r>
        <w:rPr>
          <w:i/>
        </w:rPr>
        <w:t xml:space="preserve">you </w:t>
      </w:r>
      <w:r>
        <w:t xml:space="preserve">must pay </w:t>
      </w:r>
      <w:r>
        <w:rPr>
          <w:i/>
        </w:rPr>
        <w:t xml:space="preserve">us </w:t>
      </w:r>
      <w:r>
        <w:t xml:space="preserve">for use of the </w:t>
      </w:r>
      <w:r>
        <w:rPr>
          <w:i/>
        </w:rPr>
        <w:t xml:space="preserve">service </w:t>
      </w:r>
      <w:r>
        <w:t xml:space="preserve">at the rates set out in </w:t>
      </w:r>
      <w:hyperlink r:id="rId258" w:history="1">
        <w:r>
          <w:rPr>
            <w:rStyle w:val="Hyperlink"/>
          </w:rPr>
          <w:t>Section 1</w:t>
        </w:r>
      </w:hyperlink>
      <w:r>
        <w:t xml:space="preserve"> of this </w:t>
      </w:r>
      <w:r>
        <w:rPr>
          <w:i/>
        </w:rPr>
        <w:t xml:space="preserve">standard pricing table </w:t>
      </w:r>
      <w:r>
        <w:t xml:space="preserve">and for </w:t>
      </w:r>
      <w:r>
        <w:rPr>
          <w:i/>
        </w:rPr>
        <w:t xml:space="preserve">value added service features </w:t>
      </w:r>
      <w:r>
        <w:t xml:space="preserve">at the rates set out in </w:t>
      </w:r>
      <w:hyperlink r:id="rId259" w:history="1">
        <w:r>
          <w:rPr>
            <w:rStyle w:val="Hyperlink"/>
          </w:rPr>
          <w:t>Appendix Y</w:t>
        </w:r>
      </w:hyperlink>
      <w:r>
        <w:t xml:space="preserve"> Value Added Service Features</w:t>
      </w:r>
      <w:r>
        <w:rPr>
          <w:i/>
        </w:rPr>
        <w:t>.</w:t>
      </w:r>
      <w:r>
        <w:t xml:space="preserve"> </w:t>
      </w:r>
    </w:p>
    <w:p w14:paraId="4B4CA766" w14:textId="77777777" w:rsidR="000D07EA" w:rsidRDefault="00BE7C89">
      <w:pPr>
        <w:pStyle w:val="Heading7"/>
        <w:rPr>
          <w:b/>
        </w:rPr>
      </w:pPr>
      <w:r>
        <w:t xml:space="preserve">If there is a </w:t>
      </w:r>
      <w:r>
        <w:rPr>
          <w:i/>
        </w:rPr>
        <w:t xml:space="preserve">flagfall </w:t>
      </w:r>
      <w:r>
        <w:t xml:space="preserve">or call connection charge for a particular call type, the charge for these calls is the </w:t>
      </w:r>
      <w:r>
        <w:rPr>
          <w:i/>
        </w:rPr>
        <w:t xml:space="preserve">flagfall </w:t>
      </w:r>
      <w:r>
        <w:t>charge plus the relevant rate for the call multiplied by the duration of the call.</w:t>
      </w:r>
    </w:p>
    <w:p w14:paraId="56BEC460" w14:textId="77777777" w:rsidR="000D07EA" w:rsidRDefault="00BE7C89">
      <w:pPr>
        <w:pStyle w:val="Heading7"/>
        <w:rPr>
          <w:b/>
        </w:rPr>
      </w:pPr>
      <w:bookmarkStart w:id="380" w:name="_Ref461549984"/>
      <w:r>
        <w:rPr>
          <w:b/>
        </w:rPr>
        <w:t>The Cap</w:t>
      </w:r>
      <w:bookmarkEnd w:id="380"/>
      <w:r>
        <w:rPr>
          <w:b/>
        </w:rPr>
        <w:t xml:space="preserve"> </w:t>
      </w:r>
    </w:p>
    <w:p w14:paraId="6F808C49" w14:textId="77777777" w:rsidR="000D07EA" w:rsidRDefault="00BE7C89">
      <w:pPr>
        <w:pStyle w:val="Heading8"/>
      </w:pPr>
      <w:r>
        <w:t xml:space="preserve">Under the Business Complete Advantage Plans, a cap applies when the value of </w:t>
      </w:r>
      <w:r>
        <w:rPr>
          <w:b/>
        </w:rPr>
        <w:t xml:space="preserve">eligible calls and text </w:t>
      </w:r>
      <w:r>
        <w:rPr>
          <w:i/>
        </w:rPr>
        <w:t xml:space="preserve">you </w:t>
      </w:r>
      <w:r>
        <w:t xml:space="preserve">make in a month reaches </w:t>
      </w:r>
      <w:r>
        <w:rPr>
          <w:i/>
        </w:rPr>
        <w:t xml:space="preserve">your pricing plan's </w:t>
      </w:r>
      <w:r>
        <w:rPr>
          <w:b/>
        </w:rPr>
        <w:t xml:space="preserve">cap start. </w:t>
      </w:r>
      <w:r>
        <w:t xml:space="preserve">Once </w:t>
      </w:r>
      <w:r>
        <w:rPr>
          <w:i/>
        </w:rPr>
        <w:t xml:space="preserve">your </w:t>
      </w:r>
      <w:r>
        <w:t xml:space="preserve">eligible calls and text spend reaches the cap start, additional eligible calls and text made in that month are included until the value of </w:t>
      </w:r>
      <w:r>
        <w:rPr>
          <w:i/>
        </w:rPr>
        <w:t xml:space="preserve">your </w:t>
      </w:r>
      <w:r>
        <w:t xml:space="preserve">eligible calls and text reach </w:t>
      </w:r>
      <w:r>
        <w:rPr>
          <w:i/>
        </w:rPr>
        <w:t xml:space="preserve">your pricing plan's </w:t>
      </w:r>
      <w:r>
        <w:rPr>
          <w:b/>
        </w:rPr>
        <w:t>Included Cap Value</w:t>
      </w:r>
      <w:r>
        <w:t xml:space="preserve">. </w:t>
      </w:r>
    </w:p>
    <w:p w14:paraId="3192BE90" w14:textId="77777777" w:rsidR="000D07EA" w:rsidRDefault="00BE7C89">
      <w:pPr>
        <w:pStyle w:val="Heading8"/>
      </w:pPr>
      <w:r>
        <w:t>The '</w:t>
      </w:r>
      <w:r>
        <w:rPr>
          <w:b/>
        </w:rPr>
        <w:t>cap start</w:t>
      </w:r>
      <w:r>
        <w:t>'</w:t>
      </w:r>
      <w:r>
        <w:rPr>
          <w:b/>
        </w:rPr>
        <w:t xml:space="preserve"> </w:t>
      </w:r>
      <w:r>
        <w:t>and '</w:t>
      </w:r>
      <w:r>
        <w:rPr>
          <w:b/>
        </w:rPr>
        <w:t>Included Cap Value</w:t>
      </w:r>
      <w:r>
        <w:t>'</w:t>
      </w:r>
      <w:r>
        <w:rPr>
          <w:b/>
        </w:rPr>
        <w:t xml:space="preserve"> </w:t>
      </w:r>
      <w:r>
        <w:t xml:space="preserve">for each Business Complete Advantage Plan is set out in Table 2C below. </w:t>
      </w:r>
    </w:p>
    <w:p w14:paraId="65A55F78" w14:textId="77777777" w:rsidR="000D07EA" w:rsidRDefault="00BE7C89">
      <w:pPr>
        <w:pStyle w:val="Heading8"/>
      </w:pPr>
      <w:r>
        <w:t>The call types that are '</w:t>
      </w:r>
      <w:r>
        <w:rPr>
          <w:b/>
        </w:rPr>
        <w:t>eligible calls and text</w:t>
      </w:r>
      <w:r>
        <w:t xml:space="preserve">' for each Business Complete Advantage Plan is defined in Table 1A below. </w:t>
      </w:r>
    </w:p>
    <w:p w14:paraId="144C7189" w14:textId="77777777" w:rsidR="000D07EA" w:rsidRDefault="00BE7C89">
      <w:pPr>
        <w:pStyle w:val="Heading8"/>
      </w:pPr>
      <w:r>
        <w:rPr>
          <w:i/>
        </w:rPr>
        <w:t xml:space="preserve">You </w:t>
      </w:r>
      <w:r>
        <w:t>must pay for any calls that are not eligible calls and text.</w:t>
      </w:r>
    </w:p>
    <w:p w14:paraId="53AC60AC" w14:textId="77777777" w:rsidR="000D07EA" w:rsidRDefault="00BE7C89">
      <w:pPr>
        <w:pStyle w:val="Heading8"/>
      </w:pPr>
      <w:r>
        <w:rPr>
          <w:i/>
        </w:rPr>
        <w:t xml:space="preserve">You </w:t>
      </w:r>
      <w:r>
        <w:t xml:space="preserve">must pay </w:t>
      </w:r>
      <w:r>
        <w:rPr>
          <w:i/>
        </w:rPr>
        <w:t xml:space="preserve">us </w:t>
      </w:r>
      <w:r>
        <w:t xml:space="preserve">call charges for eligible calls and text made beyond the Included Cap Value of </w:t>
      </w:r>
      <w:r>
        <w:rPr>
          <w:i/>
        </w:rPr>
        <w:t xml:space="preserve">your </w:t>
      </w:r>
      <w:r>
        <w:t>Business Complete Advantage Plan.</w:t>
      </w:r>
    </w:p>
    <w:p w14:paraId="17058067" w14:textId="77777777" w:rsidR="000D07EA" w:rsidRDefault="00BE7C89">
      <w:pPr>
        <w:pStyle w:val="Heading8"/>
      </w:pPr>
      <w:r>
        <w:rPr>
          <w:snapToGrid w:val="0"/>
        </w:rPr>
        <w:t>Any unused portion of the cap expires at the end of each month. This means that it does not roll over into following month.</w:t>
      </w:r>
    </w:p>
    <w:p w14:paraId="491BA1B2" w14:textId="77777777" w:rsidR="000D07EA" w:rsidRDefault="00BE7C89">
      <w:pPr>
        <w:pStyle w:val="Heading7"/>
        <w:rPr>
          <w:b/>
        </w:rPr>
      </w:pPr>
      <w:bookmarkStart w:id="381" w:name="_Ref461549988"/>
      <w:r>
        <w:rPr>
          <w:b/>
        </w:rPr>
        <w:t>Included Cap Value</w:t>
      </w:r>
      <w:bookmarkEnd w:id="381"/>
    </w:p>
    <w:p w14:paraId="4416FEEF" w14:textId="77777777" w:rsidR="000D07EA" w:rsidRDefault="00BE7C89">
      <w:pPr>
        <w:pStyle w:val="Heading8"/>
      </w:pPr>
      <w:r>
        <w:t xml:space="preserve">Under the Business Complete Advantage Plans, </w:t>
      </w:r>
      <w:r>
        <w:rPr>
          <w:i/>
        </w:rPr>
        <w:t xml:space="preserve">you </w:t>
      </w:r>
      <w:r>
        <w:t>will receive "Included Cap Value" to use within Australia.</w:t>
      </w:r>
    </w:p>
    <w:p w14:paraId="413EE56D" w14:textId="77777777" w:rsidR="000D07EA" w:rsidRDefault="00BE7C89">
      <w:pPr>
        <w:pStyle w:val="Heading8"/>
      </w:pPr>
      <w:r>
        <w:t>The amount of the "Included Cap Value" included for each Business Complete Advantage plan is set out in Table 2C below.</w:t>
      </w:r>
    </w:p>
    <w:p w14:paraId="24F44ED5" w14:textId="77777777" w:rsidR="000D07EA" w:rsidRDefault="00BE7C89">
      <w:pPr>
        <w:pStyle w:val="Heading8"/>
      </w:pPr>
      <w:r>
        <w:t>The call types that are '</w:t>
      </w:r>
      <w:r>
        <w:rPr>
          <w:b/>
        </w:rPr>
        <w:t>eligible calls and text</w:t>
      </w:r>
      <w:r>
        <w:t>' for each Business Complete Advantage Plan under the "Included Cap Value" are defined in Table 1A below.</w:t>
      </w:r>
    </w:p>
    <w:p w14:paraId="4B80F8C0" w14:textId="77777777" w:rsidR="000D07EA" w:rsidRDefault="00BE7C89">
      <w:pPr>
        <w:pStyle w:val="Heading8"/>
      </w:pPr>
      <w:r>
        <w:rPr>
          <w:i/>
        </w:rPr>
        <w:t xml:space="preserve">You </w:t>
      </w:r>
      <w:r>
        <w:t xml:space="preserve">must pay </w:t>
      </w:r>
      <w:r>
        <w:rPr>
          <w:i/>
        </w:rPr>
        <w:t xml:space="preserve">us </w:t>
      </w:r>
      <w:r>
        <w:t>call charges for eligible calls and text made beyond the available "Included Cap Value".</w:t>
      </w:r>
    </w:p>
    <w:p w14:paraId="2DD3C082" w14:textId="77777777" w:rsidR="000D07EA" w:rsidRDefault="00BE7C89">
      <w:pPr>
        <w:pStyle w:val="Heading8"/>
      </w:pPr>
      <w:r>
        <w:rPr>
          <w:snapToGrid w:val="0"/>
        </w:rPr>
        <w:t>Any unused portion of the "Included Cap Value" expires at the end of each month. This means that it does not roll over into the following month.</w:t>
      </w:r>
    </w:p>
    <w:p w14:paraId="2F8CFE24" w14:textId="77777777" w:rsidR="000D07EA" w:rsidRDefault="00BE7C89">
      <w:pPr>
        <w:pStyle w:val="Heading8"/>
      </w:pPr>
      <w:r>
        <w:rPr>
          <w:i/>
        </w:rPr>
        <w:lastRenderedPageBreak/>
        <w:t xml:space="preserve">You </w:t>
      </w:r>
      <w:r>
        <w:t>must pay for any calls and texts that are not eligible calls.</w:t>
      </w:r>
    </w:p>
    <w:p w14:paraId="4EFE666C" w14:textId="77777777" w:rsidR="000D07EA" w:rsidRDefault="00BE7C89">
      <w:pPr>
        <w:pStyle w:val="Heading7"/>
        <w:rPr>
          <w:b/>
        </w:rPr>
      </w:pPr>
      <w:bookmarkStart w:id="382" w:name="_Ref461549992"/>
      <w:r>
        <w:rPr>
          <w:b/>
        </w:rPr>
        <w:t>Minimum Monthly Charge</w:t>
      </w:r>
      <w:bookmarkEnd w:id="382"/>
    </w:p>
    <w:p w14:paraId="10AC11AF" w14:textId="77777777" w:rsidR="000D07EA" w:rsidRDefault="00BE7C89">
      <w:pPr>
        <w:pStyle w:val="Heading8"/>
      </w:pPr>
      <w:r>
        <w:t xml:space="preserve">Each Business Complete Advantage Plan has a Minimum Monthly Charge amount that </w:t>
      </w:r>
      <w:r>
        <w:rPr>
          <w:i/>
        </w:rPr>
        <w:t xml:space="preserve">you </w:t>
      </w:r>
      <w:r>
        <w:t xml:space="preserve">must pay </w:t>
      </w:r>
      <w:r>
        <w:rPr>
          <w:i/>
        </w:rPr>
        <w:t>us</w:t>
      </w:r>
      <w:r>
        <w:t xml:space="preserve"> each month. </w:t>
      </w:r>
    </w:p>
    <w:p w14:paraId="342F0EE3" w14:textId="77777777" w:rsidR="000D07EA" w:rsidRDefault="00BE7C89">
      <w:pPr>
        <w:pStyle w:val="Heading8"/>
      </w:pPr>
      <w:r>
        <w:t xml:space="preserve">If </w:t>
      </w:r>
      <w:r>
        <w:rPr>
          <w:i/>
        </w:rPr>
        <w:t xml:space="preserve">you </w:t>
      </w:r>
      <w:r>
        <w:t xml:space="preserve">do not make enough eligible calls and text in a month to reach </w:t>
      </w:r>
      <w:r>
        <w:rPr>
          <w:i/>
        </w:rPr>
        <w:t>your pricing plan's cap start</w:t>
      </w:r>
      <w:r>
        <w:t xml:space="preserve"> (or Minimum Monthly Charge) </w:t>
      </w:r>
      <w:r>
        <w:rPr>
          <w:i/>
        </w:rPr>
        <w:t xml:space="preserve">you </w:t>
      </w:r>
      <w:r>
        <w:t xml:space="preserve">must still pay </w:t>
      </w:r>
      <w:r>
        <w:rPr>
          <w:i/>
        </w:rPr>
        <w:t>us your pricing plan's</w:t>
      </w:r>
      <w:r>
        <w:t xml:space="preserve"> Minimum Monthly Charge for that month.</w:t>
      </w:r>
    </w:p>
    <w:p w14:paraId="0C5AE9AB" w14:textId="77777777" w:rsidR="000D07EA" w:rsidRDefault="00BE7C89">
      <w:pPr>
        <w:pStyle w:val="Heading8"/>
      </w:pPr>
      <w:r>
        <w:t>The amount of the Minimum Monthly Charge and included calls for each Business Complete Advantage Plan is set out in Table 2C below.</w:t>
      </w:r>
    </w:p>
    <w:p w14:paraId="16C2F860" w14:textId="77777777" w:rsidR="000D07EA" w:rsidRDefault="00BE7C89">
      <w:pPr>
        <w:pStyle w:val="Heading7"/>
        <w:rPr>
          <w:b/>
        </w:rPr>
      </w:pPr>
      <w:bookmarkStart w:id="383" w:name="_Ref461549996"/>
      <w:r>
        <w:rPr>
          <w:b/>
        </w:rPr>
        <w:t>Included Mobile Internet Data value or Unlimited BlackBerry POP3 Email and BlackBerry Browsing through the BlackBerry Browser</w:t>
      </w:r>
      <w:bookmarkEnd w:id="383"/>
      <w:r>
        <w:rPr>
          <w:b/>
        </w:rPr>
        <w:t xml:space="preserve"> </w:t>
      </w:r>
    </w:p>
    <w:p w14:paraId="50BF37A4" w14:textId="77777777" w:rsidR="000D07EA" w:rsidRDefault="00BE7C89">
      <w:pPr>
        <w:pStyle w:val="Heading8"/>
      </w:pPr>
      <w:r>
        <w:t xml:space="preserve">Under the Business Complete Advantage Plans, </w:t>
      </w:r>
      <w:r>
        <w:rPr>
          <w:i/>
        </w:rPr>
        <w:t>you</w:t>
      </w:r>
      <w:r>
        <w:t xml:space="preserve"> can choose from: </w:t>
      </w:r>
    </w:p>
    <w:p w14:paraId="52C67454" w14:textId="77777777" w:rsidR="000D07EA" w:rsidRDefault="00BE7C89">
      <w:pPr>
        <w:pStyle w:val="Heading9"/>
      </w:pPr>
      <w:r>
        <w:t>included Mobile Internet Data Value; or</w:t>
      </w:r>
    </w:p>
    <w:p w14:paraId="2269ADFB" w14:textId="77777777" w:rsidR="000D07EA" w:rsidRDefault="00BE7C89">
      <w:pPr>
        <w:pStyle w:val="Heading9"/>
      </w:pPr>
      <w:r>
        <w:t xml:space="preserve">Unlimited BlackBerry POP3 Email and BlackBerry Browsing through the BlackBerry Browser to use within Australia. </w:t>
      </w:r>
    </w:p>
    <w:p w14:paraId="4B444C80" w14:textId="77777777" w:rsidR="000D07EA" w:rsidRDefault="00BE7C89">
      <w:pPr>
        <w:pStyle w:val="Heading8"/>
      </w:pPr>
      <w:r>
        <w:t xml:space="preserve">If </w:t>
      </w:r>
      <w:r>
        <w:rPr>
          <w:i/>
        </w:rPr>
        <w:t>you</w:t>
      </w:r>
      <w:r>
        <w:t xml:space="preserve"> select the included Mobile Internet Data Value option:</w:t>
      </w:r>
    </w:p>
    <w:p w14:paraId="1637ADEF" w14:textId="77777777" w:rsidR="000D07EA" w:rsidRDefault="00BE7C89">
      <w:pPr>
        <w:pStyle w:val="Heading9"/>
      </w:pPr>
      <w:r>
        <w:t>The amount of the "Mobile Internet Data Value" included, to use within Australia, for each Business Complete Advantage Plan is set out in Table 2C below.</w:t>
      </w:r>
    </w:p>
    <w:p w14:paraId="71185EB9" w14:textId="77777777" w:rsidR="000D07EA" w:rsidRDefault="00BE7C89">
      <w:pPr>
        <w:pStyle w:val="Heading9"/>
      </w:pPr>
      <w:r>
        <w:t>The usage types that are '</w:t>
      </w:r>
      <w:r>
        <w:rPr>
          <w:b/>
        </w:rPr>
        <w:t>eligible data</w:t>
      </w:r>
      <w:r>
        <w:t>' for each Business Complete Advantage Plan under the included Mobile Internet Data Value are defined in Table 2A below.</w:t>
      </w:r>
    </w:p>
    <w:p w14:paraId="4EF6C230" w14:textId="77777777" w:rsidR="000D07EA" w:rsidRDefault="00BE7C89">
      <w:pPr>
        <w:pStyle w:val="Heading9"/>
      </w:pPr>
      <w:r>
        <w:t xml:space="preserve">The included data of the Business Complete Advantage plan can be shared with an eligible Business Mobile Broadband service and can only be used within Australia. </w:t>
      </w:r>
    </w:p>
    <w:p w14:paraId="6B848353" w14:textId="77777777" w:rsidR="000D07EA" w:rsidRDefault="00BE7C89">
      <w:pPr>
        <w:pStyle w:val="Heading9"/>
      </w:pPr>
      <w:r>
        <w:rPr>
          <w:i/>
        </w:rPr>
        <w:t xml:space="preserve">You </w:t>
      </w:r>
      <w:r>
        <w:t xml:space="preserve">must pay </w:t>
      </w:r>
      <w:r>
        <w:rPr>
          <w:i/>
        </w:rPr>
        <w:t xml:space="preserve">us </w:t>
      </w:r>
      <w:r>
        <w:t xml:space="preserve">excess usage charges for data made beyond the available "Mobile Internet Data Value" as shown in Table 2C below. </w:t>
      </w:r>
    </w:p>
    <w:p w14:paraId="55AF09D4" w14:textId="77777777" w:rsidR="000D07EA" w:rsidRDefault="00BE7C89">
      <w:pPr>
        <w:pStyle w:val="Heading9"/>
      </w:pPr>
      <w:r>
        <w:rPr>
          <w:snapToGrid w:val="0"/>
        </w:rPr>
        <w:t>Any unused portion of the "</w:t>
      </w:r>
      <w:r>
        <w:t>Mobile Internet Data Value</w:t>
      </w:r>
      <w:r>
        <w:rPr>
          <w:snapToGrid w:val="0"/>
        </w:rPr>
        <w:t>" expires at the end of each month and does not rollover into the following month.</w:t>
      </w:r>
      <w:r>
        <w:t xml:space="preserve"> </w:t>
      </w:r>
    </w:p>
    <w:p w14:paraId="3718DB77" w14:textId="77777777" w:rsidR="000D07EA" w:rsidRDefault="00BE7C89">
      <w:pPr>
        <w:pStyle w:val="Heading8"/>
      </w:pPr>
      <w:r>
        <w:t xml:space="preserve">If </w:t>
      </w:r>
      <w:r>
        <w:rPr>
          <w:i/>
        </w:rPr>
        <w:t>you</w:t>
      </w:r>
      <w:r>
        <w:t xml:space="preserve"> select the Unlimited BlackBerry POP3 Email and BlackBerry Browsing through the BlackBerry Browser option:</w:t>
      </w:r>
    </w:p>
    <w:p w14:paraId="4FA828B7" w14:textId="77777777" w:rsidR="000D07EA" w:rsidRDefault="00BE7C89">
      <w:pPr>
        <w:pStyle w:val="Heading9"/>
      </w:pPr>
      <w:r>
        <w:rPr>
          <w:i/>
        </w:rPr>
        <w:t>You</w:t>
      </w:r>
      <w:r>
        <w:t xml:space="preserve"> will only receive unlimited BlackBerry POP3 Email and BlackBerry Browsing through the BlackBerry Internet Browser or the BlackBerry Browser and use of applications from Optus and third party applications that require a BlackBerry Data connection, within Australia.</w:t>
      </w:r>
    </w:p>
    <w:p w14:paraId="012ECF13" w14:textId="77777777" w:rsidR="000D07EA" w:rsidRDefault="00BE7C89">
      <w:pPr>
        <w:pStyle w:val="Heading9"/>
      </w:pPr>
      <w:r>
        <w:rPr>
          <w:i/>
        </w:rPr>
        <w:t xml:space="preserve">You </w:t>
      </w:r>
      <w:r>
        <w:t>will also receive an amount of "Mobile Internet Data Value" which is set out in Table 2C below.</w:t>
      </w:r>
    </w:p>
    <w:p w14:paraId="7BCAB02A" w14:textId="77777777" w:rsidR="000D07EA" w:rsidRDefault="00BE7C89">
      <w:pPr>
        <w:pStyle w:val="Heading9"/>
      </w:pPr>
      <w:r>
        <w:t xml:space="preserve">The included data of the Business Complete Advantage plan can be shared with an eligible Business Mobile Broadband service. </w:t>
      </w:r>
    </w:p>
    <w:p w14:paraId="29D5382B" w14:textId="77777777" w:rsidR="000D07EA" w:rsidRDefault="00BE7C89">
      <w:pPr>
        <w:pStyle w:val="Heading9"/>
      </w:pPr>
      <w:r>
        <w:rPr>
          <w:i/>
        </w:rPr>
        <w:t xml:space="preserve">You </w:t>
      </w:r>
      <w:r>
        <w:t xml:space="preserve">must pay </w:t>
      </w:r>
      <w:r>
        <w:rPr>
          <w:i/>
        </w:rPr>
        <w:t xml:space="preserve">us </w:t>
      </w:r>
      <w:r>
        <w:t xml:space="preserve">excess usage charges for data made beyond the available "Mobile Internet Data Value". </w:t>
      </w:r>
    </w:p>
    <w:p w14:paraId="73D880D7" w14:textId="77777777" w:rsidR="000D07EA" w:rsidRDefault="00BE7C89">
      <w:pPr>
        <w:pStyle w:val="Heading9"/>
      </w:pPr>
      <w:r>
        <w:rPr>
          <w:snapToGrid w:val="0"/>
        </w:rPr>
        <w:t>Any unused portion of the "</w:t>
      </w:r>
      <w:r>
        <w:t>Mobile Internet Data Value</w:t>
      </w:r>
      <w:r>
        <w:rPr>
          <w:snapToGrid w:val="0"/>
        </w:rPr>
        <w:t>" expires at the end of each month and does not rollover into the following month.</w:t>
      </w:r>
    </w:p>
    <w:p w14:paraId="53D3B349" w14:textId="77777777" w:rsidR="000D07EA" w:rsidRDefault="00BE7C89">
      <w:pPr>
        <w:pStyle w:val="Heading9"/>
      </w:pPr>
      <w:r>
        <w:lastRenderedPageBreak/>
        <w:t>The usage types that are '</w:t>
      </w:r>
      <w:r>
        <w:rPr>
          <w:b/>
        </w:rPr>
        <w:t>eligible data</w:t>
      </w:r>
      <w:r>
        <w:t>' for each Business Complete Advantage Plan under the Unlimited BlackBerry POP3 Email and BlackBerry Browsing through the BlackBerry Browser are defined in Table 2B below.</w:t>
      </w:r>
    </w:p>
    <w:p w14:paraId="7B91E908" w14:textId="77777777" w:rsidR="000D07EA" w:rsidRDefault="00BE7C89">
      <w:pPr>
        <w:pStyle w:val="Heading9"/>
        <w:rPr>
          <w:b/>
          <w:snapToGrid w:val="0"/>
        </w:rPr>
      </w:pPr>
      <w:r>
        <w:t>Use of Unlimited BlackBerry POP3 Email is for personal or business use. Fair Go Policy (</w:t>
      </w:r>
      <w:hyperlink r:id="rId260" w:history="1">
        <w:r>
          <w:rPr>
            <w:rStyle w:val="Hyperlink"/>
            <w:i/>
          </w:rPr>
          <w:t>Appendix S</w:t>
        </w:r>
      </w:hyperlink>
      <w:r>
        <w:t xml:space="preserve">) also applies to unacceptable use. Please refer to </w:t>
      </w:r>
      <w:hyperlink r:id="rId261" w:history="1">
        <w:r w:rsidR="00B64C56">
          <w:rPr>
            <w:rStyle w:val="Hyperlink"/>
            <w:i/>
          </w:rPr>
          <w:t>Appendix S</w:t>
        </w:r>
      </w:hyperlink>
      <w:r>
        <w:rPr>
          <w:i/>
        </w:rPr>
        <w:t xml:space="preserve"> </w:t>
      </w:r>
      <w:r>
        <w:t>for further details</w:t>
      </w:r>
    </w:p>
    <w:p w14:paraId="27A5DF3B" w14:textId="77777777" w:rsidR="000D07EA" w:rsidRDefault="00BE7C89">
      <w:pPr>
        <w:pStyle w:val="Heading7"/>
        <w:rPr>
          <w:b/>
          <w:snapToGrid w:val="0"/>
        </w:rPr>
      </w:pPr>
      <w:bookmarkStart w:id="384" w:name="_Ref461550003"/>
      <w:r>
        <w:rPr>
          <w:b/>
          <w:snapToGrid w:val="0"/>
        </w:rPr>
        <w:t>Unlimited access to Facebook®, Twitter, LinkedIn, Ebay, Four Square, MySpace</w:t>
      </w:r>
      <w:bookmarkEnd w:id="384"/>
    </w:p>
    <w:p w14:paraId="21718FB6" w14:textId="77777777" w:rsidR="000D07EA" w:rsidRDefault="00BE7C89">
      <w:pPr>
        <w:pStyle w:val="Heading8"/>
      </w:pPr>
      <w:bookmarkStart w:id="385" w:name="_Ref461550133"/>
      <w:r>
        <w:t xml:space="preserve">Under the Business Complete Advantage Plans, </w:t>
      </w:r>
      <w:r>
        <w:rPr>
          <w:i/>
        </w:rPr>
        <w:t>you</w:t>
      </w:r>
      <w:r>
        <w:t xml:space="preserve"> will receive unlimited </w:t>
      </w:r>
      <w:r>
        <w:rPr>
          <w:snapToGrid w:val="0"/>
        </w:rPr>
        <w:t>Facebook®, Twitter, LinkedIn, Ebay, Four Square, MySpace within Australia.</w:t>
      </w:r>
      <w:bookmarkEnd w:id="385"/>
    </w:p>
    <w:p w14:paraId="1CA2F237" w14:textId="77777777" w:rsidR="000D07EA" w:rsidRDefault="00BE7C89">
      <w:pPr>
        <w:pStyle w:val="Heading8"/>
      </w:pPr>
      <w:r>
        <w:t xml:space="preserve">Usage of the services described in paragraph </w:t>
      </w:r>
      <w:r>
        <w:fldChar w:fldCharType="begin"/>
      </w:r>
      <w:r>
        <w:instrText xml:space="preserve"> REF _Ref461550003 \n \h </w:instrText>
      </w:r>
      <w:r>
        <w:fldChar w:fldCharType="separate"/>
      </w:r>
      <w:r w:rsidR="0004083A">
        <w:t>(g)</w:t>
      </w:r>
      <w:r>
        <w:fldChar w:fldCharType="end"/>
      </w:r>
      <w:r>
        <w:fldChar w:fldCharType="begin"/>
      </w:r>
      <w:r>
        <w:instrText xml:space="preserve"> REF _Ref461550133 \n \h </w:instrText>
      </w:r>
      <w:r>
        <w:fldChar w:fldCharType="separate"/>
      </w:r>
      <w:r w:rsidR="0004083A">
        <w:t>(i)</w:t>
      </w:r>
      <w:r>
        <w:fldChar w:fldCharType="end"/>
      </w:r>
      <w:r>
        <w:t xml:space="preserve"> is separate to and is not included in your "Mobile Internet Data Value" and your Business Advantage Business Mobile Broadband Service (if applicable) and may be accessed on your mobile handset only. </w:t>
      </w:r>
    </w:p>
    <w:p w14:paraId="3232EB31" w14:textId="77777777" w:rsidR="000D07EA" w:rsidRDefault="00BE7C89">
      <w:pPr>
        <w:pStyle w:val="Heading8"/>
      </w:pPr>
      <w:r>
        <w:t>These features are only available to you if your handset is compatible with the service.</w:t>
      </w:r>
    </w:p>
    <w:p w14:paraId="66758E04" w14:textId="77777777" w:rsidR="000D07EA" w:rsidRDefault="00BE7C89">
      <w:pPr>
        <w:pStyle w:val="Heading8"/>
        <w:rPr>
          <w:b/>
        </w:rPr>
      </w:pPr>
      <w:r>
        <w:t xml:space="preserve">Use of Unlimited Facebook®, Twitter, LinkedIn, Ebay, Four Square, and MySpace is for personal or business use. Please refer to </w:t>
      </w:r>
      <w:hyperlink r:id="rId262" w:history="1">
        <w:r w:rsidR="00B64C56">
          <w:rPr>
            <w:rStyle w:val="Hyperlink"/>
            <w:i/>
          </w:rPr>
          <w:t>Appendix S</w:t>
        </w:r>
      </w:hyperlink>
      <w:r>
        <w:t xml:space="preserve"> for further details. </w:t>
      </w:r>
    </w:p>
    <w:p w14:paraId="46D619C7" w14:textId="77777777" w:rsidR="000D07EA" w:rsidRDefault="00BE7C89">
      <w:pPr>
        <w:pStyle w:val="Heading7"/>
        <w:rPr>
          <w:b/>
        </w:rPr>
      </w:pPr>
      <w:bookmarkStart w:id="386" w:name="_Ref461550007"/>
      <w:r>
        <w:rPr>
          <w:b/>
        </w:rPr>
        <w:t>Unlimited Standard National SMS &amp; MMS Offer on the $59 Business Complete Advantage and $79 Business Complete Advantage Plans.</w:t>
      </w:r>
      <w:bookmarkEnd w:id="386"/>
    </w:p>
    <w:p w14:paraId="1EA7B778" w14:textId="77777777" w:rsidR="000D07EA" w:rsidRDefault="00BE7C89">
      <w:pPr>
        <w:pStyle w:val="Heading8"/>
      </w:pPr>
      <w:r>
        <w:t>Under the $59 Business Complete Advantage and $79 Business Complete Advantage</w:t>
      </w:r>
      <w:r>
        <w:rPr>
          <w:b/>
        </w:rPr>
        <w:t xml:space="preserve"> </w:t>
      </w:r>
      <w:r>
        <w:t xml:space="preserve">plans </w:t>
      </w:r>
      <w:r>
        <w:rPr>
          <w:i/>
        </w:rPr>
        <w:t xml:space="preserve">you </w:t>
      </w:r>
      <w:r>
        <w:t>will receive the Unlimited standard national SMS &amp; MMS Offer and may send unlimited standard national SMS and MMS to Australian GSM mobiles (excludes Pivotel) within Australia.</w:t>
      </w:r>
    </w:p>
    <w:p w14:paraId="233637B5" w14:textId="77777777" w:rsidR="000D07EA" w:rsidRDefault="00BE7C89">
      <w:pPr>
        <w:pStyle w:val="Heading8"/>
      </w:pPr>
      <w:r>
        <w:t>Unlimited standard national SMS &amp; MMS offer excludes International, Premium, Group and Email SMS and MMS.</w:t>
      </w:r>
    </w:p>
    <w:p w14:paraId="7203EEAC" w14:textId="77777777" w:rsidR="000D07EA" w:rsidRDefault="00BE7C89">
      <w:pPr>
        <w:pStyle w:val="Heading8"/>
      </w:pPr>
      <w:r>
        <w:rPr>
          <w:i/>
        </w:rPr>
        <w:t>You</w:t>
      </w:r>
      <w:r>
        <w:t xml:space="preserve"> must pay for any messages that are not eligible messages.</w:t>
      </w:r>
    </w:p>
    <w:p w14:paraId="1BE8271C" w14:textId="77777777" w:rsidR="000D07EA" w:rsidRDefault="00BE7C89">
      <w:pPr>
        <w:pStyle w:val="Heading8"/>
      </w:pPr>
      <w:r>
        <w:t>Any unused portion of the plan expires at the end of each month. This means that it does not roll over into following month.</w:t>
      </w:r>
    </w:p>
    <w:p w14:paraId="343122EE" w14:textId="77777777" w:rsidR="000D07EA" w:rsidRDefault="00BE7C89">
      <w:pPr>
        <w:pStyle w:val="Heading8"/>
        <w:rPr>
          <w:b/>
        </w:rPr>
      </w:pPr>
      <w:r>
        <w:t xml:space="preserve">The unlimited standard national SMS &amp; MMS offer only applies for personal and business use. For further details refer to </w:t>
      </w:r>
      <w:hyperlink r:id="rId263" w:history="1">
        <w:r w:rsidR="00B64C56">
          <w:rPr>
            <w:rStyle w:val="Hyperlink"/>
            <w:i/>
          </w:rPr>
          <w:t>Appendix S</w:t>
        </w:r>
      </w:hyperlink>
      <w:r>
        <w:t xml:space="preserve">. </w:t>
      </w:r>
    </w:p>
    <w:p w14:paraId="5C15E26B" w14:textId="77777777" w:rsidR="000D07EA" w:rsidRDefault="00BE7C89">
      <w:pPr>
        <w:pStyle w:val="Heading7"/>
        <w:rPr>
          <w:b/>
        </w:rPr>
      </w:pPr>
      <w:bookmarkStart w:id="387" w:name="_Ref461550012"/>
      <w:r>
        <w:rPr>
          <w:b/>
        </w:rPr>
        <w:t>Unlimited calls to Optus GSM Mobiles on Same Customer Account Number on the $49 Business Complete Advantage Plan.</w:t>
      </w:r>
      <w:bookmarkEnd w:id="387"/>
    </w:p>
    <w:p w14:paraId="4E9C1A88" w14:textId="77777777" w:rsidR="000D07EA" w:rsidRDefault="00BE7C89">
      <w:pPr>
        <w:pStyle w:val="Heading8"/>
        <w:rPr>
          <w:b/>
        </w:rPr>
      </w:pPr>
      <w:r>
        <w:t xml:space="preserve">If </w:t>
      </w:r>
      <w:r>
        <w:rPr>
          <w:i/>
        </w:rPr>
        <w:t xml:space="preserve">you </w:t>
      </w:r>
      <w:r>
        <w:t xml:space="preserve">connect to the $49 Business Complete Advantage Plan, </w:t>
      </w:r>
      <w:r>
        <w:rPr>
          <w:i/>
        </w:rPr>
        <w:t>you</w:t>
      </w:r>
      <w:r>
        <w:t xml:space="preserve"> will receive unlimited national standard voice and video calls within Australia to other Optus GSM Mobile services on the same customer account number for no additional cost. Fair Go Policy (</w:t>
      </w:r>
      <w:hyperlink r:id="rId264" w:history="1">
        <w:r>
          <w:rPr>
            <w:rStyle w:val="Hyperlink"/>
            <w:i/>
          </w:rPr>
          <w:t>Appendix S</w:t>
        </w:r>
      </w:hyperlink>
      <w:r>
        <w:t>) applies</w:t>
      </w:r>
      <w:r>
        <w:rPr>
          <w:rFonts w:cs="Arial"/>
        </w:rPr>
        <w:t>.</w:t>
      </w:r>
    </w:p>
    <w:p w14:paraId="55B2B051" w14:textId="77777777" w:rsidR="000D07EA" w:rsidRDefault="00BE7C89">
      <w:pPr>
        <w:pStyle w:val="Heading7"/>
        <w:rPr>
          <w:b/>
        </w:rPr>
      </w:pPr>
      <w:bookmarkStart w:id="388" w:name="_Ref461550019"/>
      <w:r>
        <w:rPr>
          <w:b/>
        </w:rPr>
        <w:t>Unlimited Calls to Optus on the $59 Business Complete Advantage and $79 Business Complete Advantage Plans.</w:t>
      </w:r>
      <w:bookmarkEnd w:id="388"/>
    </w:p>
    <w:p w14:paraId="4322F642" w14:textId="77777777" w:rsidR="000D07EA" w:rsidRDefault="00BE7C89">
      <w:pPr>
        <w:pStyle w:val="Heading8"/>
        <w:rPr>
          <w:rFonts w:cs="Arial"/>
        </w:rPr>
      </w:pPr>
      <w:r>
        <w:t>Under the $59 Business Complete Advantage and $79 Business Complete Advantage</w:t>
      </w:r>
      <w:r>
        <w:rPr>
          <w:b/>
        </w:rPr>
        <w:t xml:space="preserve"> </w:t>
      </w:r>
      <w:r>
        <w:t xml:space="preserve">Plans </w:t>
      </w:r>
      <w:r>
        <w:rPr>
          <w:i/>
        </w:rPr>
        <w:t xml:space="preserve">you </w:t>
      </w:r>
      <w:r>
        <w:t>will receive the Unlimited Calls to Optus Offer</w:t>
      </w:r>
      <w:r>
        <w:rPr>
          <w:rFonts w:cs="Arial"/>
        </w:rPr>
        <w:t>.</w:t>
      </w:r>
    </w:p>
    <w:p w14:paraId="2F4E0BDB" w14:textId="77777777" w:rsidR="000D07EA" w:rsidRDefault="00BE7C89">
      <w:pPr>
        <w:pStyle w:val="Heading8"/>
      </w:pPr>
      <w:r>
        <w:t xml:space="preserve">The Unlimited Calls to Optus Offer applies for </w:t>
      </w:r>
      <w:r>
        <w:rPr>
          <w:b/>
        </w:rPr>
        <w:t>'eligible calls and text'</w:t>
      </w:r>
      <w:r>
        <w:t xml:space="preserve"> made from one Optus Mobile Digital customer to another Optus Mobile Digital customer (on the Optus GSM network) or Selected Optus Fixed Line phones within Australia. Selected Optus Fixed Line Phones include those Fixed Line Phones on the Optus Local Access Direct or Local Access Telephony networks. Excludes calls to Optus Local Access Resale customers.</w:t>
      </w:r>
    </w:p>
    <w:p w14:paraId="6029AE24" w14:textId="77777777" w:rsidR="000D07EA" w:rsidRDefault="00BE7C89">
      <w:pPr>
        <w:pStyle w:val="Heading8"/>
      </w:pPr>
      <w:r>
        <w:lastRenderedPageBreak/>
        <w:t xml:space="preserve">The call types that are </w:t>
      </w:r>
      <w:r>
        <w:rPr>
          <w:b/>
        </w:rPr>
        <w:t>'eligible calls and text'</w:t>
      </w:r>
      <w:r>
        <w:t xml:space="preserve"> for the Unlimited Calls to Optus Offer under the $59 Business Complete Advantage and $79 Business Complete Advantage</w:t>
      </w:r>
      <w:r>
        <w:rPr>
          <w:b/>
        </w:rPr>
        <w:t xml:space="preserve"> </w:t>
      </w:r>
      <w:r>
        <w:t>Plans are defined in Table 1B below.</w:t>
      </w:r>
    </w:p>
    <w:p w14:paraId="3A0A9643" w14:textId="77777777" w:rsidR="000D07EA" w:rsidRDefault="00BE7C89">
      <w:pPr>
        <w:pStyle w:val="Heading8"/>
      </w:pPr>
      <w:r>
        <w:rPr>
          <w:i/>
        </w:rPr>
        <w:t>You</w:t>
      </w:r>
      <w:r>
        <w:t xml:space="preserve"> must pay for any calls that are not eligible calls.</w:t>
      </w:r>
    </w:p>
    <w:p w14:paraId="4333537E" w14:textId="77777777" w:rsidR="000D07EA" w:rsidRDefault="00BE7C89">
      <w:pPr>
        <w:pStyle w:val="Heading8"/>
      </w:pPr>
      <w:r>
        <w:t>The Fair Go Policy (</w:t>
      </w:r>
      <w:hyperlink r:id="rId265" w:history="1">
        <w:r>
          <w:rPr>
            <w:rStyle w:val="Hyperlink"/>
            <w:i/>
          </w:rPr>
          <w:t>Appendix S</w:t>
        </w:r>
      </w:hyperlink>
      <w:r>
        <w:t xml:space="preserve">) applies for the use of Unlimited Calls to Optus Offer. Please refer to </w:t>
      </w:r>
      <w:hyperlink r:id="rId266" w:history="1">
        <w:r w:rsidR="00B64C56">
          <w:rPr>
            <w:rStyle w:val="Hyperlink"/>
            <w:i/>
          </w:rPr>
          <w:t>Appendix S</w:t>
        </w:r>
      </w:hyperlink>
      <w:r>
        <w:t>for further details.</w:t>
      </w:r>
    </w:p>
    <w:p w14:paraId="2316E9BC" w14:textId="77777777" w:rsidR="000D07EA" w:rsidRDefault="00BE7C89">
      <w:pPr>
        <w:pStyle w:val="Heading7"/>
        <w:rPr>
          <w:b/>
        </w:rPr>
      </w:pPr>
      <w:bookmarkStart w:id="389" w:name="_Ref461550023"/>
      <w:r>
        <w:rPr>
          <w:b/>
        </w:rPr>
        <w:t xml:space="preserve">Upon connection to the Business Complete Advantage plans </w:t>
      </w:r>
      <w:r>
        <w:rPr>
          <w:b/>
          <w:i/>
        </w:rPr>
        <w:t>you</w:t>
      </w:r>
      <w:r>
        <w:rPr>
          <w:b/>
        </w:rPr>
        <w:t xml:space="preserve"> will receive Unlimited VoiceMail.</w:t>
      </w:r>
      <w:bookmarkEnd w:id="389"/>
    </w:p>
    <w:p w14:paraId="4111866C" w14:textId="77777777" w:rsidR="000D07EA" w:rsidRDefault="00BE7C89">
      <w:pPr>
        <w:pStyle w:val="Heading8"/>
      </w:pPr>
      <w:r>
        <w:t>Unlimited VoiceMail applies to VoiceMail Deposits and Retrievals made within Australia. Diversion charges may still apply. Subject to Fair Go Policy (</w:t>
      </w:r>
      <w:hyperlink r:id="rId267" w:history="1">
        <w:r>
          <w:rPr>
            <w:rStyle w:val="Hyperlink"/>
            <w:i/>
          </w:rPr>
          <w:t>Appendix S</w:t>
        </w:r>
      </w:hyperlink>
      <w:r>
        <w:t>).</w:t>
      </w:r>
    </w:p>
    <w:p w14:paraId="585EAEC1" w14:textId="77777777" w:rsidR="000D07EA" w:rsidRDefault="00BE7C89">
      <w:pPr>
        <w:pStyle w:val="Heading7"/>
        <w:rPr>
          <w:b/>
        </w:rPr>
      </w:pPr>
      <w:r>
        <w:rPr>
          <w:b/>
        </w:rPr>
        <w:t xml:space="preserve">Other Business Complete Advantage Plans Conditions: </w:t>
      </w:r>
    </w:p>
    <w:p w14:paraId="436313EE" w14:textId="77777777" w:rsidR="000D07EA" w:rsidRDefault="00BE7C89">
      <w:pPr>
        <w:pStyle w:val="Heading8"/>
      </w:pPr>
      <w:r>
        <w:t>The Fair Go Policy (</w:t>
      </w:r>
      <w:hyperlink r:id="rId268" w:history="1">
        <w:r>
          <w:rPr>
            <w:rStyle w:val="Hyperlink"/>
            <w:i/>
          </w:rPr>
          <w:t>Appendix S</w:t>
        </w:r>
      </w:hyperlink>
      <w:r>
        <w:t xml:space="preserve">) applies to Voice Over Internet Protocol (VOIP) services up to 10 megabytes per month. Please refer to </w:t>
      </w:r>
      <w:hyperlink r:id="rId269" w:history="1">
        <w:r w:rsidR="00B64C56">
          <w:rPr>
            <w:rStyle w:val="Hyperlink"/>
            <w:i/>
          </w:rPr>
          <w:t>Appendix S</w:t>
        </w:r>
      </w:hyperlink>
      <w:r>
        <w:rPr>
          <w:i/>
        </w:rPr>
        <w:t>.</w:t>
      </w:r>
    </w:p>
    <w:p w14:paraId="4B0067EE" w14:textId="77777777" w:rsidR="000D07EA" w:rsidRDefault="00BE7C89">
      <w:pPr>
        <w:pStyle w:val="Heading8"/>
      </w:pPr>
      <w:r>
        <w:t xml:space="preserve">Voice Over Internet Protocol (VOIP) services (other than PTT) will be charged at 1.5c per kilobyte of usage, capped at $9.90 per month until </w:t>
      </w:r>
      <w:r>
        <w:rPr>
          <w:i/>
        </w:rPr>
        <w:t xml:space="preserve">you </w:t>
      </w:r>
      <w:r>
        <w:t xml:space="preserve">reach 5 megabytes of usage in that month, after which </w:t>
      </w:r>
      <w:r>
        <w:rPr>
          <w:i/>
        </w:rPr>
        <w:t xml:space="preserve">you </w:t>
      </w:r>
      <w:r>
        <w:t>will be charged at 0.3c per kilobyte of usage for the remainder of that month.</w:t>
      </w:r>
    </w:p>
    <w:p w14:paraId="699FE076" w14:textId="77777777" w:rsidR="000D07EA" w:rsidRDefault="00BE7C89">
      <w:pPr>
        <w:pStyle w:val="Heading8"/>
      </w:pPr>
      <w:r>
        <w:t xml:space="preserve">Available features will vary depending on </w:t>
      </w:r>
      <w:r>
        <w:rPr>
          <w:i/>
        </w:rPr>
        <w:t>your</w:t>
      </w:r>
      <w:r>
        <w:t xml:space="preserve"> handset or software version.</w:t>
      </w:r>
    </w:p>
    <w:p w14:paraId="35730841" w14:textId="77777777" w:rsidR="000D07EA" w:rsidRDefault="00BE7C89">
      <w:pPr>
        <w:pStyle w:val="Heading7"/>
        <w:rPr>
          <w:b/>
        </w:rPr>
      </w:pPr>
      <w:r>
        <w:rPr>
          <w:b/>
        </w:rPr>
        <w:t>Eligible Calls and Pricing Plans</w:t>
      </w:r>
    </w:p>
    <w:p w14:paraId="191062FB" w14:textId="77777777" w:rsidR="000D07EA" w:rsidRDefault="00BE7C89">
      <w:pPr>
        <w:pStyle w:val="Heading8"/>
      </w:pPr>
      <w:r>
        <w:t xml:space="preserve">Table 1A below indicates whether particular call types are an 'eligible call and text' which count towards the "Included Cap Value" and Minimum Monthly Charge of </w:t>
      </w:r>
      <w:r>
        <w:rPr>
          <w:i/>
        </w:rPr>
        <w:t xml:space="preserve">your </w:t>
      </w:r>
      <w:r>
        <w:t xml:space="preserve">selected Business Complete Advantage Plan. </w:t>
      </w:r>
    </w:p>
    <w:p w14:paraId="24B207F5" w14:textId="77777777" w:rsidR="000D07EA" w:rsidRDefault="00BE7C89">
      <w:pPr>
        <w:pStyle w:val="Heading8"/>
      </w:pPr>
      <w:r>
        <w:t xml:space="preserve">Table 1B below indicates whether particular call types are an 'eligible call and text' which count towards the Unlimited Calls to Optus Offer and Minimum Monthly Charge of </w:t>
      </w:r>
      <w:r>
        <w:rPr>
          <w:i/>
        </w:rPr>
        <w:t xml:space="preserve">your </w:t>
      </w:r>
      <w:r>
        <w:t>selected Business Complete Advantage Plan.</w:t>
      </w:r>
    </w:p>
    <w:p w14:paraId="5CE81480" w14:textId="77777777" w:rsidR="000D07EA" w:rsidRDefault="00BE7C89">
      <w:pPr>
        <w:pStyle w:val="Heading8"/>
      </w:pPr>
      <w:r>
        <w:t xml:space="preserve">Table 2A below indicates whether a particular call type is 'eligible data usage' which counts towards the data value of </w:t>
      </w:r>
      <w:r>
        <w:rPr>
          <w:i/>
        </w:rPr>
        <w:t xml:space="preserve">your </w:t>
      </w:r>
      <w:r>
        <w:t>selected Business Complete Advantage Plan.</w:t>
      </w:r>
    </w:p>
    <w:p w14:paraId="4E674BD0" w14:textId="77777777" w:rsidR="000D07EA" w:rsidRDefault="00BE7C89">
      <w:pPr>
        <w:pStyle w:val="Heading8"/>
      </w:pPr>
      <w:r>
        <w:t xml:space="preserve">Table 2B below indicates whether a particular data type is 'eligible data usage' which counts towards the Unlimited BlackBerry POP3 Email and BlackBerry Browsing through the BlackBerry Browser value of </w:t>
      </w:r>
      <w:r>
        <w:rPr>
          <w:i/>
        </w:rPr>
        <w:t xml:space="preserve">your </w:t>
      </w:r>
      <w:r>
        <w:t>selected Business Complete Advantage Plan.</w:t>
      </w:r>
    </w:p>
    <w:p w14:paraId="6BD4582E" w14:textId="77777777" w:rsidR="000D07EA" w:rsidRDefault="00BE7C89">
      <w:pPr>
        <w:pStyle w:val="Heading8"/>
      </w:pPr>
      <w:r>
        <w:t>Table 2C below contains details of each Business Complete Advantage Plan.</w:t>
      </w:r>
    </w:p>
    <w:p w14:paraId="4C47D2F3" w14:textId="77777777" w:rsidR="000D07EA" w:rsidRDefault="00BE7C89">
      <w:pPr>
        <w:pStyle w:val="BodyText"/>
        <w:ind w:left="1440"/>
        <w:rPr>
          <w:b/>
        </w:rPr>
      </w:pPr>
      <w:r>
        <w:rPr>
          <w:b/>
        </w:rPr>
        <w:t>Table 1A – Eligible Calls and Text for the Included Cap Value</w:t>
      </w:r>
    </w:p>
    <w:tbl>
      <w:tblPr>
        <w:tblW w:w="4297"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422"/>
        <w:gridCol w:w="4334"/>
      </w:tblGrid>
      <w:tr w:rsidR="000D07EA" w14:paraId="2AF08523" w14:textId="77777777">
        <w:trPr>
          <w:tblHeader/>
        </w:trPr>
        <w:tc>
          <w:tcPr>
            <w:tcW w:w="2525" w:type="pct"/>
            <w:hideMark/>
          </w:tcPr>
          <w:p w14:paraId="7A748007" w14:textId="77777777" w:rsidR="000D07EA" w:rsidRDefault="00BE7C89">
            <w:pPr>
              <w:pStyle w:val="BodyText"/>
              <w:spacing w:before="100" w:after="100"/>
              <w:rPr>
                <w:b/>
                <w:bCs/>
                <w:lang w:val="en-AU"/>
              </w:rPr>
            </w:pPr>
            <w:r>
              <w:rPr>
                <w:b/>
                <w:bCs/>
              </w:rPr>
              <w:t>Call Type</w:t>
            </w:r>
          </w:p>
        </w:tc>
        <w:tc>
          <w:tcPr>
            <w:tcW w:w="2475" w:type="pct"/>
            <w:hideMark/>
          </w:tcPr>
          <w:p w14:paraId="62607EE2" w14:textId="77777777" w:rsidR="000D07EA" w:rsidRDefault="00BE7C89">
            <w:pPr>
              <w:pStyle w:val="BodyText"/>
              <w:spacing w:before="100" w:after="100"/>
              <w:rPr>
                <w:b/>
                <w:bCs/>
                <w:lang w:val="en-AU"/>
              </w:rPr>
            </w:pPr>
            <w:r>
              <w:rPr>
                <w:b/>
                <w:bCs/>
              </w:rPr>
              <w:t xml:space="preserve">Eligible Call </w:t>
            </w:r>
          </w:p>
        </w:tc>
      </w:tr>
      <w:tr w:rsidR="000D07EA" w14:paraId="65850CC5" w14:textId="77777777">
        <w:tc>
          <w:tcPr>
            <w:tcW w:w="2525" w:type="pct"/>
            <w:hideMark/>
          </w:tcPr>
          <w:p w14:paraId="68304BCE" w14:textId="77777777" w:rsidR="000D07EA" w:rsidRDefault="00BE7C89">
            <w:pPr>
              <w:pStyle w:val="BodyText"/>
              <w:spacing w:before="100" w:after="100"/>
              <w:rPr>
                <w:lang w:val="en-AU"/>
              </w:rPr>
            </w:pPr>
            <w:r>
              <w:t>National Voice Calls</w:t>
            </w:r>
          </w:p>
        </w:tc>
        <w:tc>
          <w:tcPr>
            <w:tcW w:w="2475" w:type="pct"/>
            <w:hideMark/>
          </w:tcPr>
          <w:p w14:paraId="1FD9119A" w14:textId="77777777" w:rsidR="000D07EA" w:rsidRDefault="00BE7C89">
            <w:pPr>
              <w:pStyle w:val="BodyText"/>
              <w:spacing w:before="100" w:after="100"/>
              <w:rPr>
                <w:lang w:val="en-AU"/>
              </w:rPr>
            </w:pPr>
            <w:r>
              <w:t>Yes</w:t>
            </w:r>
          </w:p>
        </w:tc>
      </w:tr>
      <w:tr w:rsidR="000D07EA" w14:paraId="4DE8B9CB" w14:textId="77777777">
        <w:tc>
          <w:tcPr>
            <w:tcW w:w="2525" w:type="pct"/>
            <w:hideMark/>
          </w:tcPr>
          <w:p w14:paraId="3C47DAE0" w14:textId="77777777" w:rsidR="000D07EA" w:rsidRDefault="00BE7C89">
            <w:pPr>
              <w:pStyle w:val="BodyText"/>
              <w:spacing w:before="100" w:after="100"/>
              <w:rPr>
                <w:sz w:val="24"/>
                <w:szCs w:val="20"/>
                <w:lang w:val="en-AU"/>
              </w:rPr>
            </w:pPr>
            <w:r>
              <w:t>International Voice Calls</w:t>
            </w:r>
          </w:p>
          <w:p w14:paraId="2BA4A023" w14:textId="77777777" w:rsidR="000D07EA" w:rsidRDefault="00BE7C89">
            <w:pPr>
              <w:pStyle w:val="BodyText"/>
              <w:spacing w:before="100" w:after="100"/>
              <w:rPr>
                <w:lang w:val="en-AU"/>
              </w:rPr>
            </w:pPr>
            <w:r>
              <w:rPr>
                <w:snapToGrid w:val="0"/>
              </w:rPr>
              <w:t>(includes calls to national fixed or GSM mobile services that then divert/switch or re-route overseas)</w:t>
            </w:r>
          </w:p>
        </w:tc>
        <w:tc>
          <w:tcPr>
            <w:tcW w:w="2475" w:type="pct"/>
            <w:hideMark/>
          </w:tcPr>
          <w:p w14:paraId="65A0339B" w14:textId="77777777" w:rsidR="000D07EA" w:rsidRDefault="00BE7C89">
            <w:pPr>
              <w:pStyle w:val="BodyText"/>
              <w:spacing w:before="100" w:after="100"/>
              <w:rPr>
                <w:lang w:val="en-AU"/>
              </w:rPr>
            </w:pPr>
            <w:r>
              <w:t xml:space="preserve">No </w:t>
            </w:r>
          </w:p>
        </w:tc>
      </w:tr>
      <w:tr w:rsidR="000D07EA" w14:paraId="022C166E" w14:textId="77777777">
        <w:tc>
          <w:tcPr>
            <w:tcW w:w="2525" w:type="pct"/>
            <w:hideMark/>
          </w:tcPr>
          <w:p w14:paraId="742C7D94" w14:textId="77777777" w:rsidR="000D07EA" w:rsidRDefault="00BE7C89">
            <w:pPr>
              <w:pStyle w:val="BodyText"/>
              <w:spacing w:before="100" w:after="100"/>
              <w:rPr>
                <w:lang w:val="en-AU"/>
              </w:rPr>
            </w:pPr>
            <w:r>
              <w:t>National Video Calls</w:t>
            </w:r>
          </w:p>
        </w:tc>
        <w:tc>
          <w:tcPr>
            <w:tcW w:w="2475" w:type="pct"/>
            <w:hideMark/>
          </w:tcPr>
          <w:p w14:paraId="69DA98FD" w14:textId="77777777" w:rsidR="000D07EA" w:rsidRDefault="00BE7C89">
            <w:pPr>
              <w:pStyle w:val="BodyText"/>
              <w:spacing w:before="100" w:after="100"/>
              <w:rPr>
                <w:lang w:val="en-AU"/>
              </w:rPr>
            </w:pPr>
            <w:r>
              <w:t>Yes</w:t>
            </w:r>
          </w:p>
        </w:tc>
      </w:tr>
      <w:tr w:rsidR="000D07EA" w14:paraId="2BA50E2F" w14:textId="77777777">
        <w:tc>
          <w:tcPr>
            <w:tcW w:w="2525" w:type="pct"/>
            <w:hideMark/>
          </w:tcPr>
          <w:p w14:paraId="70651861" w14:textId="77777777" w:rsidR="000D07EA" w:rsidRDefault="00BE7C89">
            <w:pPr>
              <w:pStyle w:val="BodyText"/>
              <w:spacing w:before="100" w:after="100"/>
              <w:rPr>
                <w:sz w:val="24"/>
                <w:szCs w:val="20"/>
                <w:lang w:val="en-AU"/>
              </w:rPr>
            </w:pPr>
            <w:r>
              <w:t>International Video Calls</w:t>
            </w:r>
          </w:p>
          <w:p w14:paraId="716537B3" w14:textId="77777777" w:rsidR="000D07EA" w:rsidRDefault="00BE7C89">
            <w:pPr>
              <w:pStyle w:val="BodyText"/>
              <w:spacing w:before="100" w:after="100"/>
              <w:rPr>
                <w:lang w:val="en-AU"/>
              </w:rPr>
            </w:pPr>
            <w:r>
              <w:rPr>
                <w:snapToGrid w:val="0"/>
              </w:rPr>
              <w:lastRenderedPageBreak/>
              <w:t>(includes calls to national fixed or GSM mobile services that then divert/switch or re-route overseas)</w:t>
            </w:r>
          </w:p>
        </w:tc>
        <w:tc>
          <w:tcPr>
            <w:tcW w:w="2475" w:type="pct"/>
            <w:hideMark/>
          </w:tcPr>
          <w:p w14:paraId="5316C58A" w14:textId="77777777" w:rsidR="000D07EA" w:rsidRDefault="00BE7C89">
            <w:pPr>
              <w:pStyle w:val="BodyText"/>
              <w:spacing w:before="100" w:after="100"/>
              <w:rPr>
                <w:lang w:val="en-AU"/>
              </w:rPr>
            </w:pPr>
            <w:r>
              <w:lastRenderedPageBreak/>
              <w:t>No</w:t>
            </w:r>
          </w:p>
        </w:tc>
      </w:tr>
      <w:tr w:rsidR="000D07EA" w14:paraId="12372358" w14:textId="77777777">
        <w:tc>
          <w:tcPr>
            <w:tcW w:w="2525" w:type="pct"/>
            <w:hideMark/>
          </w:tcPr>
          <w:p w14:paraId="761DECC0" w14:textId="77777777" w:rsidR="000D07EA" w:rsidRDefault="00BE7C89">
            <w:pPr>
              <w:pStyle w:val="BodyText"/>
              <w:spacing w:before="100" w:after="100"/>
              <w:rPr>
                <w:lang w:val="en-AU"/>
              </w:rPr>
            </w:pPr>
            <w:r>
              <w:t>National and International SMS</w:t>
            </w:r>
          </w:p>
        </w:tc>
        <w:tc>
          <w:tcPr>
            <w:tcW w:w="2475" w:type="pct"/>
            <w:hideMark/>
          </w:tcPr>
          <w:p w14:paraId="75106D1F" w14:textId="77777777" w:rsidR="000D07EA" w:rsidRDefault="00BE7C89">
            <w:pPr>
              <w:pStyle w:val="BodyText"/>
              <w:spacing w:before="100" w:after="100"/>
              <w:rPr>
                <w:lang w:val="en-AU"/>
              </w:rPr>
            </w:pPr>
            <w:r>
              <w:t>Yes</w:t>
            </w:r>
          </w:p>
        </w:tc>
      </w:tr>
      <w:tr w:rsidR="000D07EA" w14:paraId="2E806C6A" w14:textId="77777777">
        <w:tc>
          <w:tcPr>
            <w:tcW w:w="2525" w:type="pct"/>
            <w:hideMark/>
          </w:tcPr>
          <w:p w14:paraId="68539BCB" w14:textId="77777777" w:rsidR="000D07EA" w:rsidRDefault="00BE7C89">
            <w:pPr>
              <w:pStyle w:val="BodyText"/>
              <w:spacing w:before="100" w:after="100"/>
              <w:rPr>
                <w:lang w:val="en-AU"/>
              </w:rPr>
            </w:pPr>
            <w:r>
              <w:t>Voicemail Diversions</w:t>
            </w:r>
          </w:p>
        </w:tc>
        <w:tc>
          <w:tcPr>
            <w:tcW w:w="2475" w:type="pct"/>
            <w:hideMark/>
          </w:tcPr>
          <w:p w14:paraId="6A8C96C1" w14:textId="77777777" w:rsidR="000D07EA" w:rsidRDefault="00BE7C89">
            <w:pPr>
              <w:pStyle w:val="BodyText"/>
              <w:spacing w:before="100" w:after="100"/>
              <w:rPr>
                <w:lang w:val="en-AU"/>
              </w:rPr>
            </w:pPr>
            <w:r>
              <w:t>Yes</w:t>
            </w:r>
          </w:p>
        </w:tc>
      </w:tr>
      <w:tr w:rsidR="000D07EA" w14:paraId="5ADA5CDC" w14:textId="77777777">
        <w:tc>
          <w:tcPr>
            <w:tcW w:w="2525" w:type="pct"/>
            <w:hideMark/>
          </w:tcPr>
          <w:p w14:paraId="0FCBF37B" w14:textId="77777777" w:rsidR="000D07EA" w:rsidRDefault="00BE7C89">
            <w:pPr>
              <w:pStyle w:val="BodyText"/>
              <w:spacing w:before="100" w:after="100"/>
              <w:rPr>
                <w:lang w:val="en-AU"/>
              </w:rPr>
            </w:pPr>
            <w:r>
              <w:t>Voicemail Deposit and Retrievals</w:t>
            </w:r>
          </w:p>
        </w:tc>
        <w:tc>
          <w:tcPr>
            <w:tcW w:w="2475" w:type="pct"/>
            <w:hideMark/>
          </w:tcPr>
          <w:p w14:paraId="1E48686A" w14:textId="77777777" w:rsidR="000D07EA" w:rsidRDefault="00BE7C89">
            <w:pPr>
              <w:pStyle w:val="BodyText"/>
              <w:spacing w:before="100" w:after="100"/>
              <w:rPr>
                <w:lang w:val="en-AU"/>
              </w:rPr>
            </w:pPr>
            <w:r>
              <w:t>Yes</w:t>
            </w:r>
          </w:p>
        </w:tc>
      </w:tr>
      <w:tr w:rsidR="000D07EA" w14:paraId="4B193E7B" w14:textId="77777777">
        <w:tc>
          <w:tcPr>
            <w:tcW w:w="2525" w:type="pct"/>
            <w:hideMark/>
          </w:tcPr>
          <w:p w14:paraId="0629402A" w14:textId="77777777" w:rsidR="000D07EA" w:rsidRDefault="00BE7C89">
            <w:pPr>
              <w:pStyle w:val="BodyText"/>
              <w:spacing w:before="100" w:after="100"/>
              <w:rPr>
                <w:lang w:val="en-AU"/>
              </w:rPr>
            </w:pPr>
            <w:r>
              <w:t>International Roaming &amp; Diversion</w:t>
            </w:r>
          </w:p>
        </w:tc>
        <w:tc>
          <w:tcPr>
            <w:tcW w:w="2475" w:type="pct"/>
            <w:hideMark/>
          </w:tcPr>
          <w:p w14:paraId="778F2F5F" w14:textId="77777777" w:rsidR="000D07EA" w:rsidRDefault="00BE7C89">
            <w:pPr>
              <w:pStyle w:val="BodyText"/>
              <w:spacing w:before="100" w:after="100"/>
              <w:rPr>
                <w:lang w:val="en-AU"/>
              </w:rPr>
            </w:pPr>
            <w:r>
              <w:t>No</w:t>
            </w:r>
          </w:p>
        </w:tc>
      </w:tr>
      <w:tr w:rsidR="000D07EA" w14:paraId="537E1D6E" w14:textId="77777777">
        <w:tc>
          <w:tcPr>
            <w:tcW w:w="2525" w:type="pct"/>
            <w:hideMark/>
          </w:tcPr>
          <w:p w14:paraId="227ECEF9" w14:textId="77777777" w:rsidR="000D07EA" w:rsidRDefault="00BE7C89">
            <w:pPr>
              <w:pStyle w:val="BodyText"/>
              <w:spacing w:before="100" w:after="100"/>
              <w:rPr>
                <w:lang w:val="en-AU"/>
              </w:rPr>
            </w:pPr>
            <w:r>
              <w:t>Premium SMS</w:t>
            </w:r>
          </w:p>
        </w:tc>
        <w:tc>
          <w:tcPr>
            <w:tcW w:w="2475" w:type="pct"/>
            <w:hideMark/>
          </w:tcPr>
          <w:p w14:paraId="75D6FB93" w14:textId="77777777" w:rsidR="000D07EA" w:rsidRDefault="00BE7C89">
            <w:pPr>
              <w:pStyle w:val="BodyText"/>
              <w:spacing w:before="100" w:after="100"/>
              <w:rPr>
                <w:lang w:val="en-AU"/>
              </w:rPr>
            </w:pPr>
            <w:r>
              <w:t>No</w:t>
            </w:r>
          </w:p>
        </w:tc>
      </w:tr>
      <w:tr w:rsidR="000D07EA" w14:paraId="722B8A63" w14:textId="77777777">
        <w:tc>
          <w:tcPr>
            <w:tcW w:w="2525" w:type="pct"/>
            <w:hideMark/>
          </w:tcPr>
          <w:p w14:paraId="283BD583" w14:textId="77777777" w:rsidR="000D07EA" w:rsidRDefault="00BE7C89">
            <w:pPr>
              <w:pStyle w:val="BodyText"/>
              <w:spacing w:before="100" w:after="100"/>
              <w:rPr>
                <w:lang w:val="en-AU"/>
              </w:rPr>
            </w:pPr>
            <w:r>
              <w:t xml:space="preserve">Premium Video </w:t>
            </w:r>
          </w:p>
        </w:tc>
        <w:tc>
          <w:tcPr>
            <w:tcW w:w="2475" w:type="pct"/>
            <w:hideMark/>
          </w:tcPr>
          <w:p w14:paraId="1A7AC02F" w14:textId="77777777" w:rsidR="000D07EA" w:rsidRDefault="00BE7C89">
            <w:pPr>
              <w:pStyle w:val="BodyText"/>
              <w:spacing w:before="100" w:after="100"/>
              <w:rPr>
                <w:lang w:val="en-AU"/>
              </w:rPr>
            </w:pPr>
            <w:r>
              <w:t>No</w:t>
            </w:r>
          </w:p>
        </w:tc>
      </w:tr>
      <w:tr w:rsidR="000D07EA" w14:paraId="7F355C63" w14:textId="77777777">
        <w:tc>
          <w:tcPr>
            <w:tcW w:w="2525" w:type="pct"/>
            <w:hideMark/>
          </w:tcPr>
          <w:p w14:paraId="0B68E477" w14:textId="77777777" w:rsidR="000D07EA" w:rsidRDefault="00BE7C89">
            <w:pPr>
              <w:pStyle w:val="BodyText"/>
              <w:spacing w:before="100" w:after="100"/>
              <w:rPr>
                <w:lang w:val="en-AU"/>
              </w:rPr>
            </w:pPr>
            <w:r>
              <w:t xml:space="preserve">Video Conferencing </w:t>
            </w:r>
          </w:p>
        </w:tc>
        <w:tc>
          <w:tcPr>
            <w:tcW w:w="2475" w:type="pct"/>
            <w:hideMark/>
          </w:tcPr>
          <w:p w14:paraId="52115D4E" w14:textId="77777777" w:rsidR="000D07EA" w:rsidRDefault="00BE7C89">
            <w:pPr>
              <w:pStyle w:val="BodyText"/>
              <w:spacing w:before="100" w:after="100"/>
              <w:rPr>
                <w:lang w:val="en-AU"/>
              </w:rPr>
            </w:pPr>
            <w:r>
              <w:t>No</w:t>
            </w:r>
          </w:p>
        </w:tc>
      </w:tr>
      <w:tr w:rsidR="000D07EA" w14:paraId="3AF76C4A" w14:textId="77777777">
        <w:tc>
          <w:tcPr>
            <w:tcW w:w="2525" w:type="pct"/>
            <w:hideMark/>
          </w:tcPr>
          <w:p w14:paraId="3D26471D" w14:textId="77777777" w:rsidR="000D07EA" w:rsidRDefault="00BE7C89">
            <w:pPr>
              <w:pStyle w:val="BodyText"/>
              <w:spacing w:before="100" w:after="100"/>
              <w:rPr>
                <w:lang w:val="en-AU"/>
              </w:rPr>
            </w:pPr>
            <w:r>
              <w:t>National MMS</w:t>
            </w:r>
          </w:p>
        </w:tc>
        <w:tc>
          <w:tcPr>
            <w:tcW w:w="2475" w:type="pct"/>
            <w:hideMark/>
          </w:tcPr>
          <w:p w14:paraId="0082F4D6" w14:textId="77777777" w:rsidR="000D07EA" w:rsidRDefault="00BE7C89">
            <w:pPr>
              <w:pStyle w:val="BodyText"/>
              <w:spacing w:before="100" w:after="100"/>
              <w:rPr>
                <w:lang w:val="en-AU"/>
              </w:rPr>
            </w:pPr>
            <w:r>
              <w:t>Yes</w:t>
            </w:r>
          </w:p>
        </w:tc>
      </w:tr>
      <w:tr w:rsidR="000D07EA" w14:paraId="294EAE39" w14:textId="77777777">
        <w:tc>
          <w:tcPr>
            <w:tcW w:w="2525" w:type="pct"/>
            <w:hideMark/>
          </w:tcPr>
          <w:p w14:paraId="410235B7" w14:textId="77777777" w:rsidR="000D07EA" w:rsidRDefault="00BE7C89">
            <w:pPr>
              <w:pStyle w:val="BodyText"/>
              <w:spacing w:before="100" w:after="100"/>
              <w:rPr>
                <w:lang w:val="en-AU"/>
              </w:rPr>
            </w:pPr>
            <w:r>
              <w:t>International MMS</w:t>
            </w:r>
          </w:p>
        </w:tc>
        <w:tc>
          <w:tcPr>
            <w:tcW w:w="2475" w:type="pct"/>
            <w:hideMark/>
          </w:tcPr>
          <w:p w14:paraId="0CD382D4" w14:textId="77777777" w:rsidR="000D07EA" w:rsidRDefault="00BE7C89">
            <w:pPr>
              <w:pStyle w:val="BodyText"/>
              <w:spacing w:before="100" w:after="100"/>
              <w:rPr>
                <w:lang w:val="en-AU"/>
              </w:rPr>
            </w:pPr>
            <w:r>
              <w:t>No</w:t>
            </w:r>
          </w:p>
        </w:tc>
      </w:tr>
      <w:tr w:rsidR="000D07EA" w14:paraId="6A054C80" w14:textId="77777777">
        <w:tc>
          <w:tcPr>
            <w:tcW w:w="2525" w:type="pct"/>
            <w:hideMark/>
          </w:tcPr>
          <w:p w14:paraId="4A7E84D1" w14:textId="77777777" w:rsidR="000D07EA" w:rsidRDefault="00BE7C89">
            <w:pPr>
              <w:pStyle w:val="BodyText"/>
              <w:spacing w:before="100" w:after="100"/>
              <w:rPr>
                <w:lang w:val="en-AU"/>
              </w:rPr>
            </w:pPr>
            <w:r>
              <w:t>Optus Zoo or Optus Zoo Browsing</w:t>
            </w:r>
          </w:p>
        </w:tc>
        <w:tc>
          <w:tcPr>
            <w:tcW w:w="2475" w:type="pct"/>
            <w:hideMark/>
          </w:tcPr>
          <w:p w14:paraId="72BA2408" w14:textId="77777777" w:rsidR="000D07EA" w:rsidRDefault="00BE7C89">
            <w:pPr>
              <w:pStyle w:val="BodyText"/>
              <w:spacing w:before="100" w:after="100"/>
              <w:rPr>
                <w:lang w:val="en-AU"/>
              </w:rPr>
            </w:pPr>
            <w:r>
              <w:t>No</w:t>
            </w:r>
          </w:p>
        </w:tc>
      </w:tr>
      <w:tr w:rsidR="000D07EA" w14:paraId="4FA677A3" w14:textId="77777777">
        <w:tc>
          <w:tcPr>
            <w:tcW w:w="2525" w:type="pct"/>
            <w:hideMark/>
          </w:tcPr>
          <w:p w14:paraId="6854C59B" w14:textId="77777777" w:rsidR="000D07EA" w:rsidRDefault="00BE7C89">
            <w:pPr>
              <w:pStyle w:val="BodyText"/>
              <w:spacing w:before="100" w:after="100"/>
              <w:rPr>
                <w:lang w:val="en-AU"/>
              </w:rPr>
            </w:pPr>
            <w:r>
              <w:t>Optus Zoo or Optus Zoo Downloads</w:t>
            </w:r>
          </w:p>
        </w:tc>
        <w:tc>
          <w:tcPr>
            <w:tcW w:w="2475" w:type="pct"/>
            <w:hideMark/>
          </w:tcPr>
          <w:p w14:paraId="172DB5DC" w14:textId="77777777" w:rsidR="000D07EA" w:rsidRDefault="00BE7C89">
            <w:pPr>
              <w:pStyle w:val="BodyText"/>
              <w:spacing w:before="100" w:after="100"/>
              <w:rPr>
                <w:lang w:val="en-AU"/>
              </w:rPr>
            </w:pPr>
            <w:r>
              <w:t>No</w:t>
            </w:r>
          </w:p>
        </w:tc>
      </w:tr>
      <w:tr w:rsidR="000D07EA" w14:paraId="77E60801" w14:textId="77777777">
        <w:tc>
          <w:tcPr>
            <w:tcW w:w="2525" w:type="pct"/>
            <w:hideMark/>
          </w:tcPr>
          <w:p w14:paraId="40488354" w14:textId="77777777" w:rsidR="000D07EA" w:rsidRDefault="00BE7C89">
            <w:pPr>
              <w:pStyle w:val="BodyText"/>
              <w:spacing w:before="100" w:after="100"/>
              <w:rPr>
                <w:lang w:val="en-AU"/>
              </w:rPr>
            </w:pPr>
            <w:r>
              <w:t>SMS to 966 (Zoo)</w:t>
            </w:r>
          </w:p>
        </w:tc>
        <w:tc>
          <w:tcPr>
            <w:tcW w:w="2475" w:type="pct"/>
            <w:hideMark/>
          </w:tcPr>
          <w:p w14:paraId="38E3028F" w14:textId="77777777" w:rsidR="000D07EA" w:rsidRDefault="00BE7C89">
            <w:pPr>
              <w:pStyle w:val="BodyText"/>
              <w:spacing w:before="100" w:after="100"/>
              <w:rPr>
                <w:lang w:val="en-AU"/>
              </w:rPr>
            </w:pPr>
            <w:r>
              <w:t>No</w:t>
            </w:r>
          </w:p>
        </w:tc>
      </w:tr>
      <w:tr w:rsidR="000D07EA" w14:paraId="624FF53E" w14:textId="77777777">
        <w:tc>
          <w:tcPr>
            <w:tcW w:w="2525" w:type="pct"/>
            <w:hideMark/>
          </w:tcPr>
          <w:p w14:paraId="4ECE0952" w14:textId="77777777" w:rsidR="000D07EA" w:rsidRDefault="00BE7C89">
            <w:pPr>
              <w:pStyle w:val="BodyText"/>
              <w:spacing w:before="100" w:after="100"/>
              <w:rPr>
                <w:lang w:val="en-AU"/>
              </w:rPr>
            </w:pPr>
            <w:r>
              <w:t>Data used whilst roaming internationally</w:t>
            </w:r>
          </w:p>
        </w:tc>
        <w:tc>
          <w:tcPr>
            <w:tcW w:w="2475" w:type="pct"/>
            <w:hideMark/>
          </w:tcPr>
          <w:p w14:paraId="51486B7A" w14:textId="77777777" w:rsidR="000D07EA" w:rsidRDefault="00BE7C89">
            <w:pPr>
              <w:pStyle w:val="BodyText"/>
              <w:spacing w:before="100" w:after="100"/>
              <w:rPr>
                <w:lang w:val="en-AU"/>
              </w:rPr>
            </w:pPr>
            <w:r>
              <w:t>No</w:t>
            </w:r>
          </w:p>
        </w:tc>
      </w:tr>
      <w:tr w:rsidR="000D07EA" w14:paraId="170A792A" w14:textId="77777777">
        <w:tc>
          <w:tcPr>
            <w:tcW w:w="2525" w:type="pct"/>
            <w:hideMark/>
          </w:tcPr>
          <w:p w14:paraId="30804821" w14:textId="77777777" w:rsidR="000D07EA" w:rsidRDefault="00BE7C89">
            <w:pPr>
              <w:pStyle w:val="BodyText"/>
              <w:spacing w:before="100" w:after="100"/>
              <w:rPr>
                <w:lang w:val="en-AU"/>
              </w:rPr>
            </w:pPr>
            <w:r>
              <w:t xml:space="preserve">Directory Assistance – 1223 </w:t>
            </w:r>
          </w:p>
        </w:tc>
        <w:tc>
          <w:tcPr>
            <w:tcW w:w="2475" w:type="pct"/>
            <w:hideMark/>
          </w:tcPr>
          <w:p w14:paraId="445BF673" w14:textId="77777777" w:rsidR="000D07EA" w:rsidRDefault="00BE7C89">
            <w:pPr>
              <w:pStyle w:val="BodyText"/>
              <w:spacing w:before="100" w:after="100"/>
              <w:rPr>
                <w:lang w:val="en-AU"/>
              </w:rPr>
            </w:pPr>
            <w:r>
              <w:t>Yes</w:t>
            </w:r>
          </w:p>
        </w:tc>
      </w:tr>
      <w:tr w:rsidR="000D07EA" w14:paraId="1AFE1CB2" w14:textId="77777777">
        <w:tc>
          <w:tcPr>
            <w:tcW w:w="2525" w:type="pct"/>
            <w:hideMark/>
          </w:tcPr>
          <w:p w14:paraId="07D6FC81" w14:textId="77777777" w:rsidR="000D07EA" w:rsidRDefault="00BE7C89">
            <w:pPr>
              <w:pStyle w:val="BodyText"/>
              <w:spacing w:before="100" w:after="100"/>
              <w:rPr>
                <w:lang w:val="en-AU"/>
              </w:rPr>
            </w:pPr>
            <w:r>
              <w:t>19XX Numbers</w:t>
            </w:r>
          </w:p>
        </w:tc>
        <w:tc>
          <w:tcPr>
            <w:tcW w:w="2475" w:type="pct"/>
            <w:hideMark/>
          </w:tcPr>
          <w:p w14:paraId="5DA195D6" w14:textId="77777777" w:rsidR="000D07EA" w:rsidRDefault="00BE7C89">
            <w:pPr>
              <w:pStyle w:val="BodyText"/>
              <w:spacing w:before="100" w:after="100"/>
              <w:rPr>
                <w:lang w:val="en-AU"/>
              </w:rPr>
            </w:pPr>
            <w:r>
              <w:t>No</w:t>
            </w:r>
          </w:p>
        </w:tc>
      </w:tr>
      <w:tr w:rsidR="000D07EA" w14:paraId="76DE3E1A" w14:textId="77777777">
        <w:tc>
          <w:tcPr>
            <w:tcW w:w="2525" w:type="pct"/>
            <w:hideMark/>
          </w:tcPr>
          <w:p w14:paraId="219F85FF" w14:textId="77777777" w:rsidR="000D07EA" w:rsidRDefault="00BE7C89">
            <w:pPr>
              <w:pStyle w:val="BodyText"/>
              <w:spacing w:before="100" w:after="100"/>
              <w:rPr>
                <w:lang w:val="en-AU"/>
              </w:rPr>
            </w:pPr>
            <w:r>
              <w:t>1800 and 1300 numbers</w:t>
            </w:r>
          </w:p>
        </w:tc>
        <w:tc>
          <w:tcPr>
            <w:tcW w:w="2475" w:type="pct"/>
            <w:hideMark/>
          </w:tcPr>
          <w:p w14:paraId="7FE45D5A" w14:textId="77777777" w:rsidR="000D07EA" w:rsidRDefault="00BE7C89">
            <w:pPr>
              <w:pStyle w:val="BodyText"/>
              <w:spacing w:before="100" w:after="100"/>
              <w:rPr>
                <w:lang w:val="en-AU"/>
              </w:rPr>
            </w:pPr>
            <w:r>
              <w:t>Yes</w:t>
            </w:r>
          </w:p>
        </w:tc>
      </w:tr>
      <w:tr w:rsidR="000D07EA" w14:paraId="4AFAFDC4" w14:textId="77777777">
        <w:tc>
          <w:tcPr>
            <w:tcW w:w="2525" w:type="pct"/>
            <w:hideMark/>
          </w:tcPr>
          <w:p w14:paraId="470167C0" w14:textId="77777777" w:rsidR="000D07EA" w:rsidRDefault="00BE7C89">
            <w:pPr>
              <w:pStyle w:val="BodyText"/>
              <w:spacing w:before="100" w:after="100"/>
              <w:rPr>
                <w:lang w:val="en-AU"/>
              </w:rPr>
            </w:pPr>
            <w:r>
              <w:t>124YES(937)</w:t>
            </w:r>
          </w:p>
        </w:tc>
        <w:tc>
          <w:tcPr>
            <w:tcW w:w="2475" w:type="pct"/>
            <w:hideMark/>
          </w:tcPr>
          <w:p w14:paraId="1BF617C7" w14:textId="77777777" w:rsidR="000D07EA" w:rsidRDefault="00BE7C89">
            <w:pPr>
              <w:pStyle w:val="BodyText"/>
              <w:spacing w:before="100" w:after="100"/>
              <w:rPr>
                <w:lang w:val="en-AU"/>
              </w:rPr>
            </w:pPr>
            <w:r>
              <w:t>No</w:t>
            </w:r>
          </w:p>
        </w:tc>
      </w:tr>
      <w:tr w:rsidR="000D07EA" w14:paraId="4769C5EB" w14:textId="77777777">
        <w:tc>
          <w:tcPr>
            <w:tcW w:w="2525" w:type="pct"/>
            <w:hideMark/>
          </w:tcPr>
          <w:p w14:paraId="19E62531" w14:textId="77777777" w:rsidR="000D07EA" w:rsidRDefault="00BE7C89">
            <w:pPr>
              <w:pStyle w:val="BodyText"/>
              <w:spacing w:before="100" w:after="100"/>
              <w:rPr>
                <w:lang w:val="en-AU"/>
              </w:rPr>
            </w:pPr>
            <w:r>
              <w:t>Insurance</w:t>
            </w:r>
          </w:p>
        </w:tc>
        <w:tc>
          <w:tcPr>
            <w:tcW w:w="2475" w:type="pct"/>
            <w:hideMark/>
          </w:tcPr>
          <w:p w14:paraId="2D2D8C3D" w14:textId="77777777" w:rsidR="000D07EA" w:rsidRDefault="00BE7C89">
            <w:pPr>
              <w:pStyle w:val="BodyText"/>
              <w:spacing w:before="100" w:after="100"/>
              <w:rPr>
                <w:lang w:val="en-AU"/>
              </w:rPr>
            </w:pPr>
            <w:r>
              <w:t>No</w:t>
            </w:r>
          </w:p>
        </w:tc>
      </w:tr>
      <w:tr w:rsidR="000D07EA" w14:paraId="27AA8743" w14:textId="77777777">
        <w:tc>
          <w:tcPr>
            <w:tcW w:w="2525" w:type="pct"/>
            <w:hideMark/>
          </w:tcPr>
          <w:p w14:paraId="3FDAA655" w14:textId="77777777" w:rsidR="000D07EA" w:rsidRDefault="00BE7C89">
            <w:pPr>
              <w:pStyle w:val="BodyText"/>
              <w:spacing w:before="100" w:after="100"/>
              <w:rPr>
                <w:lang w:val="en-AU"/>
              </w:rPr>
            </w:pPr>
            <w:r>
              <w:t>Handset Payments</w:t>
            </w:r>
          </w:p>
        </w:tc>
        <w:tc>
          <w:tcPr>
            <w:tcW w:w="2475" w:type="pct"/>
            <w:hideMark/>
          </w:tcPr>
          <w:p w14:paraId="422BDC2D" w14:textId="77777777" w:rsidR="000D07EA" w:rsidRDefault="00BE7C89">
            <w:pPr>
              <w:pStyle w:val="BodyText"/>
              <w:spacing w:before="100" w:after="100"/>
              <w:rPr>
                <w:lang w:val="en-AU"/>
              </w:rPr>
            </w:pPr>
            <w:r>
              <w:t>No</w:t>
            </w:r>
          </w:p>
        </w:tc>
      </w:tr>
      <w:tr w:rsidR="000D07EA" w14:paraId="0E9028DB" w14:textId="77777777">
        <w:tc>
          <w:tcPr>
            <w:tcW w:w="2525" w:type="pct"/>
            <w:hideMark/>
          </w:tcPr>
          <w:p w14:paraId="5413D1CE" w14:textId="77777777" w:rsidR="000D07EA" w:rsidRDefault="00BE7C89">
            <w:pPr>
              <w:pStyle w:val="BodyText"/>
              <w:spacing w:before="100" w:after="100"/>
              <w:rPr>
                <w:lang w:val="en-AU"/>
              </w:rPr>
            </w:pPr>
            <w:r>
              <w:t>Content Packs (unless specified in promotions)</w:t>
            </w:r>
          </w:p>
        </w:tc>
        <w:tc>
          <w:tcPr>
            <w:tcW w:w="2475" w:type="pct"/>
            <w:hideMark/>
          </w:tcPr>
          <w:p w14:paraId="1764BC15" w14:textId="77777777" w:rsidR="000D07EA" w:rsidRDefault="00BE7C89">
            <w:pPr>
              <w:pStyle w:val="BodyText"/>
              <w:spacing w:before="100" w:after="100"/>
              <w:rPr>
                <w:lang w:val="en-AU"/>
              </w:rPr>
            </w:pPr>
            <w:r>
              <w:t>No</w:t>
            </w:r>
          </w:p>
        </w:tc>
      </w:tr>
      <w:tr w:rsidR="000D07EA" w14:paraId="3A23B744" w14:textId="77777777">
        <w:tc>
          <w:tcPr>
            <w:tcW w:w="2525" w:type="pct"/>
            <w:hideMark/>
          </w:tcPr>
          <w:p w14:paraId="4B7C0804" w14:textId="77777777" w:rsidR="000D07EA" w:rsidRDefault="00BE7C89">
            <w:pPr>
              <w:pStyle w:val="BodyText"/>
              <w:spacing w:before="100" w:after="100"/>
              <w:rPr>
                <w:lang w:val="en-AU"/>
              </w:rPr>
            </w:pPr>
            <w:r>
              <w:t>Mobile Internet usage</w:t>
            </w:r>
          </w:p>
        </w:tc>
        <w:tc>
          <w:tcPr>
            <w:tcW w:w="2475" w:type="pct"/>
            <w:hideMark/>
          </w:tcPr>
          <w:p w14:paraId="704C4C9B" w14:textId="77777777" w:rsidR="000D07EA" w:rsidRDefault="00BE7C89">
            <w:pPr>
              <w:pStyle w:val="BodyText"/>
              <w:spacing w:before="100" w:after="100"/>
              <w:rPr>
                <w:lang w:val="en-AU"/>
              </w:rPr>
            </w:pPr>
            <w:r>
              <w:t>No</w:t>
            </w:r>
          </w:p>
        </w:tc>
      </w:tr>
      <w:tr w:rsidR="000D07EA" w14:paraId="67ADF362" w14:textId="77777777">
        <w:tc>
          <w:tcPr>
            <w:tcW w:w="2525" w:type="pct"/>
            <w:hideMark/>
          </w:tcPr>
          <w:p w14:paraId="073A8758" w14:textId="77777777" w:rsidR="000D07EA" w:rsidRDefault="00BE7C89">
            <w:pPr>
              <w:pStyle w:val="BodyText"/>
              <w:spacing w:before="100" w:after="100"/>
              <w:rPr>
                <w:lang w:val="en-AU"/>
              </w:rPr>
            </w:pPr>
            <w:r>
              <w:t xml:space="preserve">True Local Usage </w:t>
            </w:r>
          </w:p>
        </w:tc>
        <w:tc>
          <w:tcPr>
            <w:tcW w:w="2475" w:type="pct"/>
            <w:hideMark/>
          </w:tcPr>
          <w:p w14:paraId="6B66F410" w14:textId="77777777" w:rsidR="000D07EA" w:rsidRDefault="00BE7C89">
            <w:pPr>
              <w:pStyle w:val="BodyText"/>
              <w:spacing w:before="100" w:after="100"/>
              <w:rPr>
                <w:lang w:val="en-AU"/>
              </w:rPr>
            </w:pPr>
            <w:r>
              <w:t>No</w:t>
            </w:r>
          </w:p>
        </w:tc>
      </w:tr>
      <w:tr w:rsidR="000D07EA" w14:paraId="4FF25A55" w14:textId="77777777">
        <w:tc>
          <w:tcPr>
            <w:tcW w:w="2525" w:type="pct"/>
            <w:hideMark/>
          </w:tcPr>
          <w:p w14:paraId="175EF442" w14:textId="77777777" w:rsidR="000D07EA" w:rsidRDefault="00BE7C89">
            <w:pPr>
              <w:pStyle w:val="BodyText"/>
              <w:spacing w:before="100" w:after="100"/>
              <w:rPr>
                <w:lang w:val="en-AU"/>
              </w:rPr>
            </w:pPr>
            <w:r>
              <w:t>VOIP services</w:t>
            </w:r>
          </w:p>
        </w:tc>
        <w:tc>
          <w:tcPr>
            <w:tcW w:w="2475" w:type="pct"/>
            <w:hideMark/>
          </w:tcPr>
          <w:p w14:paraId="30CD52E8" w14:textId="77777777" w:rsidR="000D07EA" w:rsidRDefault="00BE7C89">
            <w:pPr>
              <w:pStyle w:val="BodyText"/>
              <w:spacing w:before="100" w:after="100"/>
              <w:rPr>
                <w:lang w:val="en-AU"/>
              </w:rPr>
            </w:pPr>
            <w:r>
              <w:t>No</w:t>
            </w:r>
          </w:p>
        </w:tc>
      </w:tr>
      <w:tr w:rsidR="000D07EA" w14:paraId="2DF4D6E6" w14:textId="77777777">
        <w:tc>
          <w:tcPr>
            <w:tcW w:w="2525" w:type="pct"/>
            <w:hideMark/>
          </w:tcPr>
          <w:p w14:paraId="1F8056BB" w14:textId="77777777" w:rsidR="000D07EA" w:rsidRDefault="00BE7C89">
            <w:pPr>
              <w:pStyle w:val="BodyText"/>
              <w:spacing w:before="100" w:after="100"/>
              <w:rPr>
                <w:lang w:val="en-AU"/>
              </w:rPr>
            </w:pPr>
            <w:r>
              <w:t xml:space="preserve">Calls to Satellite </w:t>
            </w:r>
          </w:p>
        </w:tc>
        <w:tc>
          <w:tcPr>
            <w:tcW w:w="2475" w:type="pct"/>
            <w:hideMark/>
          </w:tcPr>
          <w:p w14:paraId="198C1456" w14:textId="77777777" w:rsidR="000D07EA" w:rsidRDefault="00BE7C89">
            <w:pPr>
              <w:pStyle w:val="BodyText"/>
              <w:spacing w:before="100" w:after="100"/>
              <w:rPr>
                <w:lang w:val="en-AU"/>
              </w:rPr>
            </w:pPr>
            <w:r>
              <w:t>No</w:t>
            </w:r>
          </w:p>
        </w:tc>
      </w:tr>
      <w:tr w:rsidR="000D07EA" w14:paraId="444946DA" w14:textId="77777777">
        <w:tc>
          <w:tcPr>
            <w:tcW w:w="2525" w:type="pct"/>
            <w:hideMark/>
          </w:tcPr>
          <w:p w14:paraId="24E4FD1D" w14:textId="77777777" w:rsidR="000D07EA" w:rsidRDefault="00BE7C89">
            <w:pPr>
              <w:pStyle w:val="BodyText"/>
              <w:spacing w:before="100" w:after="100"/>
              <w:rPr>
                <w:lang w:val="en-AU"/>
              </w:rPr>
            </w:pPr>
            <w:r>
              <w:t>Surepage</w:t>
            </w:r>
          </w:p>
        </w:tc>
        <w:tc>
          <w:tcPr>
            <w:tcW w:w="2475" w:type="pct"/>
            <w:hideMark/>
          </w:tcPr>
          <w:p w14:paraId="7FCF06EA" w14:textId="77777777" w:rsidR="000D07EA" w:rsidRDefault="00BE7C89">
            <w:pPr>
              <w:pStyle w:val="BodyText"/>
              <w:spacing w:before="100" w:after="100"/>
              <w:rPr>
                <w:lang w:val="en-AU"/>
              </w:rPr>
            </w:pPr>
            <w:r>
              <w:t>No</w:t>
            </w:r>
          </w:p>
        </w:tc>
      </w:tr>
    </w:tbl>
    <w:p w14:paraId="4A2FFF2C" w14:textId="77777777" w:rsidR="000D07EA" w:rsidRDefault="000D07EA">
      <w:pPr>
        <w:pStyle w:val="BodyText"/>
        <w:rPr>
          <w:b/>
        </w:rPr>
      </w:pPr>
    </w:p>
    <w:p w14:paraId="2E5D1CFE" w14:textId="77777777" w:rsidR="000D07EA" w:rsidRDefault="00BE7C89">
      <w:pPr>
        <w:pStyle w:val="BodyText"/>
        <w:ind w:left="1440"/>
        <w:rPr>
          <w:b/>
          <w:lang w:val="en-AU"/>
        </w:rPr>
      </w:pPr>
      <w:r>
        <w:rPr>
          <w:b/>
        </w:rPr>
        <w:t>Table 1B – Eligible Calls and Text for the Unlimited Calls to Optus Offer</w:t>
      </w:r>
    </w:p>
    <w:tbl>
      <w:tblPr>
        <w:tblW w:w="4297"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422"/>
        <w:gridCol w:w="4334"/>
      </w:tblGrid>
      <w:tr w:rsidR="000D07EA" w14:paraId="6BAAA1D2" w14:textId="77777777">
        <w:trPr>
          <w:tblHeader/>
        </w:trPr>
        <w:tc>
          <w:tcPr>
            <w:tcW w:w="2525" w:type="pct"/>
            <w:hideMark/>
          </w:tcPr>
          <w:p w14:paraId="452E063A" w14:textId="77777777" w:rsidR="000D07EA" w:rsidRDefault="00BE7C89">
            <w:pPr>
              <w:pStyle w:val="BodyText"/>
              <w:spacing w:before="100" w:after="100"/>
              <w:rPr>
                <w:b/>
                <w:bCs/>
                <w:lang w:val="en-AU"/>
              </w:rPr>
            </w:pPr>
            <w:r>
              <w:rPr>
                <w:b/>
                <w:bCs/>
              </w:rPr>
              <w:t>Call Type</w:t>
            </w:r>
          </w:p>
        </w:tc>
        <w:tc>
          <w:tcPr>
            <w:tcW w:w="2475" w:type="pct"/>
            <w:hideMark/>
          </w:tcPr>
          <w:p w14:paraId="11B1C3A1" w14:textId="77777777" w:rsidR="000D07EA" w:rsidRDefault="00BE7C89">
            <w:pPr>
              <w:pStyle w:val="BodyText"/>
              <w:spacing w:before="100" w:after="100"/>
              <w:rPr>
                <w:b/>
                <w:bCs/>
                <w:lang w:val="en-AU"/>
              </w:rPr>
            </w:pPr>
            <w:r>
              <w:rPr>
                <w:b/>
                <w:bCs/>
              </w:rPr>
              <w:t xml:space="preserve">Eligible Call </w:t>
            </w:r>
          </w:p>
        </w:tc>
      </w:tr>
      <w:tr w:rsidR="000D07EA" w14:paraId="314A51B0" w14:textId="77777777">
        <w:tc>
          <w:tcPr>
            <w:tcW w:w="2525" w:type="pct"/>
            <w:hideMark/>
          </w:tcPr>
          <w:p w14:paraId="0C0EE72F" w14:textId="77777777" w:rsidR="000D07EA" w:rsidRDefault="00BE7C89">
            <w:pPr>
              <w:pStyle w:val="BodyText"/>
              <w:spacing w:before="100" w:after="100"/>
              <w:rPr>
                <w:lang w:val="en-AU"/>
              </w:rPr>
            </w:pPr>
            <w:r>
              <w:t>National Voice Calls to Optus Numbers</w:t>
            </w:r>
          </w:p>
        </w:tc>
        <w:tc>
          <w:tcPr>
            <w:tcW w:w="2475" w:type="pct"/>
            <w:hideMark/>
          </w:tcPr>
          <w:p w14:paraId="32C7AD26" w14:textId="77777777" w:rsidR="000D07EA" w:rsidRDefault="00BE7C89">
            <w:pPr>
              <w:pStyle w:val="BodyText"/>
              <w:spacing w:before="100" w:after="100"/>
              <w:rPr>
                <w:lang w:val="en-AU"/>
              </w:rPr>
            </w:pPr>
            <w:r>
              <w:t>Yes</w:t>
            </w:r>
          </w:p>
        </w:tc>
      </w:tr>
      <w:tr w:rsidR="000D07EA" w14:paraId="58D5D786" w14:textId="77777777">
        <w:tc>
          <w:tcPr>
            <w:tcW w:w="2525" w:type="pct"/>
            <w:hideMark/>
          </w:tcPr>
          <w:p w14:paraId="0B2CA056" w14:textId="77777777" w:rsidR="000D07EA" w:rsidRDefault="00BE7C89">
            <w:pPr>
              <w:pStyle w:val="BodyText"/>
              <w:spacing w:before="100" w:after="100"/>
              <w:rPr>
                <w:lang w:val="en-AU"/>
              </w:rPr>
            </w:pPr>
            <w:r>
              <w:lastRenderedPageBreak/>
              <w:t>National Voice Calls to Non-Optus Numbers</w:t>
            </w:r>
          </w:p>
        </w:tc>
        <w:tc>
          <w:tcPr>
            <w:tcW w:w="2475" w:type="pct"/>
            <w:hideMark/>
          </w:tcPr>
          <w:p w14:paraId="4A0FBD16" w14:textId="77777777" w:rsidR="000D07EA" w:rsidRDefault="00BE7C89">
            <w:pPr>
              <w:pStyle w:val="BodyText"/>
              <w:spacing w:before="100" w:after="100"/>
              <w:rPr>
                <w:lang w:val="en-AU"/>
              </w:rPr>
            </w:pPr>
            <w:r>
              <w:t>No</w:t>
            </w:r>
          </w:p>
        </w:tc>
      </w:tr>
      <w:tr w:rsidR="000D07EA" w14:paraId="6B1B7465" w14:textId="77777777">
        <w:tc>
          <w:tcPr>
            <w:tcW w:w="2525" w:type="pct"/>
            <w:hideMark/>
          </w:tcPr>
          <w:p w14:paraId="1EBA040D" w14:textId="77777777" w:rsidR="000D07EA" w:rsidRDefault="00BE7C89">
            <w:pPr>
              <w:pStyle w:val="BodyText"/>
              <w:spacing w:before="100" w:after="100"/>
              <w:rPr>
                <w:sz w:val="24"/>
                <w:szCs w:val="20"/>
                <w:lang w:val="en-AU"/>
              </w:rPr>
            </w:pPr>
            <w:r>
              <w:t>International Voice Calls</w:t>
            </w:r>
          </w:p>
          <w:p w14:paraId="613A2E6D" w14:textId="77777777" w:rsidR="000D07EA" w:rsidRDefault="00BE7C89">
            <w:pPr>
              <w:pStyle w:val="BodyText"/>
              <w:spacing w:before="100" w:after="100"/>
              <w:rPr>
                <w:lang w:val="en-AU"/>
              </w:rPr>
            </w:pPr>
            <w:r>
              <w:rPr>
                <w:snapToGrid w:val="0"/>
              </w:rPr>
              <w:t>(includes calls to national fixed or GSM mobile services that then divert/switch or re-route overseas)</w:t>
            </w:r>
          </w:p>
        </w:tc>
        <w:tc>
          <w:tcPr>
            <w:tcW w:w="2475" w:type="pct"/>
            <w:hideMark/>
          </w:tcPr>
          <w:p w14:paraId="10140549" w14:textId="77777777" w:rsidR="000D07EA" w:rsidRDefault="00BE7C89">
            <w:pPr>
              <w:pStyle w:val="BodyText"/>
              <w:spacing w:before="100" w:after="100"/>
              <w:rPr>
                <w:lang w:val="en-AU"/>
              </w:rPr>
            </w:pPr>
            <w:r>
              <w:t xml:space="preserve">No </w:t>
            </w:r>
          </w:p>
        </w:tc>
      </w:tr>
      <w:tr w:rsidR="000D07EA" w14:paraId="28EDFAB4" w14:textId="77777777">
        <w:tc>
          <w:tcPr>
            <w:tcW w:w="2525" w:type="pct"/>
            <w:hideMark/>
          </w:tcPr>
          <w:p w14:paraId="174D2D59" w14:textId="77777777" w:rsidR="000D07EA" w:rsidRDefault="00BE7C89">
            <w:pPr>
              <w:pStyle w:val="BodyText"/>
              <w:spacing w:before="100" w:after="100"/>
              <w:rPr>
                <w:lang w:val="en-AU"/>
              </w:rPr>
            </w:pPr>
            <w:r>
              <w:t>National Video Calls to Optus Numbers</w:t>
            </w:r>
          </w:p>
        </w:tc>
        <w:tc>
          <w:tcPr>
            <w:tcW w:w="2475" w:type="pct"/>
            <w:hideMark/>
          </w:tcPr>
          <w:p w14:paraId="06D15D1E" w14:textId="77777777" w:rsidR="000D07EA" w:rsidRDefault="00BE7C89">
            <w:pPr>
              <w:pStyle w:val="BodyText"/>
              <w:spacing w:before="100" w:after="100"/>
              <w:rPr>
                <w:lang w:val="en-AU"/>
              </w:rPr>
            </w:pPr>
            <w:r>
              <w:t>Yes</w:t>
            </w:r>
          </w:p>
        </w:tc>
      </w:tr>
      <w:tr w:rsidR="000D07EA" w14:paraId="21A752A7" w14:textId="77777777">
        <w:tc>
          <w:tcPr>
            <w:tcW w:w="2525" w:type="pct"/>
            <w:hideMark/>
          </w:tcPr>
          <w:p w14:paraId="4CB784B6" w14:textId="77777777" w:rsidR="000D07EA" w:rsidRDefault="00BE7C89">
            <w:pPr>
              <w:pStyle w:val="BodyText"/>
              <w:spacing w:before="100" w:after="100"/>
              <w:rPr>
                <w:lang w:val="en-AU"/>
              </w:rPr>
            </w:pPr>
            <w:r>
              <w:t>National Video Calls to Non-Optus Numbers</w:t>
            </w:r>
          </w:p>
        </w:tc>
        <w:tc>
          <w:tcPr>
            <w:tcW w:w="2475" w:type="pct"/>
            <w:hideMark/>
          </w:tcPr>
          <w:p w14:paraId="376B123C" w14:textId="77777777" w:rsidR="000D07EA" w:rsidRDefault="00BE7C89">
            <w:pPr>
              <w:pStyle w:val="BodyText"/>
              <w:spacing w:before="100" w:after="100"/>
              <w:rPr>
                <w:lang w:val="en-AU"/>
              </w:rPr>
            </w:pPr>
            <w:r>
              <w:t>No</w:t>
            </w:r>
          </w:p>
        </w:tc>
      </w:tr>
      <w:tr w:rsidR="000D07EA" w14:paraId="127B57FA" w14:textId="77777777">
        <w:tc>
          <w:tcPr>
            <w:tcW w:w="2525" w:type="pct"/>
            <w:hideMark/>
          </w:tcPr>
          <w:p w14:paraId="2B1A95C1" w14:textId="77777777" w:rsidR="000D07EA" w:rsidRDefault="00BE7C89">
            <w:pPr>
              <w:pStyle w:val="BodyText"/>
              <w:keepNext/>
              <w:spacing w:before="100" w:after="100"/>
              <w:rPr>
                <w:sz w:val="24"/>
                <w:szCs w:val="20"/>
                <w:lang w:val="en-AU"/>
              </w:rPr>
            </w:pPr>
            <w:r>
              <w:t>International Video Calls</w:t>
            </w:r>
          </w:p>
          <w:p w14:paraId="35EFD2B9" w14:textId="77777777" w:rsidR="000D07EA" w:rsidRDefault="00BE7C89">
            <w:pPr>
              <w:pStyle w:val="BodyText"/>
              <w:keepNext/>
              <w:spacing w:before="100" w:after="100"/>
              <w:rPr>
                <w:lang w:val="en-AU"/>
              </w:rPr>
            </w:pPr>
            <w:r>
              <w:rPr>
                <w:snapToGrid w:val="0"/>
              </w:rPr>
              <w:t>(includes calls to national fixed or GSM mobile services that then divert/switch or re-route overseas)</w:t>
            </w:r>
          </w:p>
        </w:tc>
        <w:tc>
          <w:tcPr>
            <w:tcW w:w="2475" w:type="pct"/>
            <w:hideMark/>
          </w:tcPr>
          <w:p w14:paraId="4C73D33B" w14:textId="77777777" w:rsidR="000D07EA" w:rsidRDefault="00BE7C89">
            <w:pPr>
              <w:pStyle w:val="BodyText"/>
              <w:keepNext/>
              <w:spacing w:before="100" w:after="100"/>
              <w:rPr>
                <w:lang w:val="en-AU"/>
              </w:rPr>
            </w:pPr>
            <w:r>
              <w:t>No</w:t>
            </w:r>
          </w:p>
        </w:tc>
      </w:tr>
      <w:tr w:rsidR="000D07EA" w14:paraId="0C0D6429" w14:textId="77777777">
        <w:tc>
          <w:tcPr>
            <w:tcW w:w="2525" w:type="pct"/>
            <w:hideMark/>
          </w:tcPr>
          <w:p w14:paraId="20EAC79F" w14:textId="77777777" w:rsidR="000D07EA" w:rsidRDefault="00BE7C89">
            <w:pPr>
              <w:pStyle w:val="BodyText"/>
              <w:spacing w:before="100" w:after="100"/>
              <w:rPr>
                <w:lang w:val="en-AU"/>
              </w:rPr>
            </w:pPr>
            <w:r>
              <w:t>National SMS to Optus Numbers</w:t>
            </w:r>
          </w:p>
        </w:tc>
        <w:tc>
          <w:tcPr>
            <w:tcW w:w="2475" w:type="pct"/>
            <w:hideMark/>
          </w:tcPr>
          <w:p w14:paraId="69F8E245" w14:textId="77777777" w:rsidR="000D07EA" w:rsidRDefault="00BE7C89">
            <w:pPr>
              <w:pStyle w:val="BodyText"/>
              <w:spacing w:before="100" w:after="100"/>
              <w:rPr>
                <w:lang w:val="en-AU"/>
              </w:rPr>
            </w:pPr>
            <w:r>
              <w:t>Yes</w:t>
            </w:r>
          </w:p>
        </w:tc>
      </w:tr>
      <w:tr w:rsidR="000D07EA" w14:paraId="69A2869C" w14:textId="77777777">
        <w:tc>
          <w:tcPr>
            <w:tcW w:w="2525" w:type="pct"/>
            <w:hideMark/>
          </w:tcPr>
          <w:p w14:paraId="78C82C5E" w14:textId="77777777" w:rsidR="000D07EA" w:rsidRDefault="00BE7C89">
            <w:pPr>
              <w:pStyle w:val="BodyText"/>
              <w:spacing w:before="100" w:after="100"/>
              <w:rPr>
                <w:lang w:val="en-AU"/>
              </w:rPr>
            </w:pPr>
            <w:r>
              <w:t>International SMS to Optus Numbers</w:t>
            </w:r>
          </w:p>
        </w:tc>
        <w:tc>
          <w:tcPr>
            <w:tcW w:w="2475" w:type="pct"/>
            <w:hideMark/>
          </w:tcPr>
          <w:p w14:paraId="325B0A2F" w14:textId="77777777" w:rsidR="000D07EA" w:rsidRDefault="00BE7C89">
            <w:pPr>
              <w:pStyle w:val="BodyText"/>
              <w:spacing w:before="100" w:after="100"/>
              <w:rPr>
                <w:lang w:val="en-AU"/>
              </w:rPr>
            </w:pPr>
            <w:r>
              <w:t>Yes</w:t>
            </w:r>
          </w:p>
        </w:tc>
      </w:tr>
      <w:tr w:rsidR="000D07EA" w14:paraId="7D6D6D5B" w14:textId="77777777">
        <w:tc>
          <w:tcPr>
            <w:tcW w:w="2525" w:type="pct"/>
            <w:hideMark/>
          </w:tcPr>
          <w:p w14:paraId="1B131133" w14:textId="77777777" w:rsidR="000D07EA" w:rsidRDefault="00BE7C89">
            <w:pPr>
              <w:pStyle w:val="BodyText"/>
              <w:spacing w:before="100" w:after="100"/>
              <w:rPr>
                <w:lang w:val="en-AU"/>
              </w:rPr>
            </w:pPr>
            <w:r>
              <w:t>National SMS to Non-Optus Numbers</w:t>
            </w:r>
          </w:p>
        </w:tc>
        <w:tc>
          <w:tcPr>
            <w:tcW w:w="2475" w:type="pct"/>
            <w:hideMark/>
          </w:tcPr>
          <w:p w14:paraId="4587950A" w14:textId="77777777" w:rsidR="000D07EA" w:rsidRDefault="00BE7C89">
            <w:pPr>
              <w:pStyle w:val="BodyText"/>
              <w:spacing w:before="100" w:after="100"/>
              <w:rPr>
                <w:lang w:val="en-AU"/>
              </w:rPr>
            </w:pPr>
            <w:r>
              <w:t>No</w:t>
            </w:r>
          </w:p>
        </w:tc>
      </w:tr>
      <w:tr w:rsidR="000D07EA" w14:paraId="2D92345A" w14:textId="77777777">
        <w:tc>
          <w:tcPr>
            <w:tcW w:w="2525" w:type="pct"/>
            <w:hideMark/>
          </w:tcPr>
          <w:p w14:paraId="6A093C42" w14:textId="77777777" w:rsidR="000D07EA" w:rsidRDefault="00BE7C89">
            <w:pPr>
              <w:pStyle w:val="BodyText"/>
              <w:spacing w:before="100" w:after="100"/>
              <w:rPr>
                <w:lang w:val="en-AU"/>
              </w:rPr>
            </w:pPr>
            <w:r>
              <w:t>International SMS to Non-Optus Numbers</w:t>
            </w:r>
          </w:p>
        </w:tc>
        <w:tc>
          <w:tcPr>
            <w:tcW w:w="2475" w:type="pct"/>
            <w:hideMark/>
          </w:tcPr>
          <w:p w14:paraId="7F59A815" w14:textId="77777777" w:rsidR="000D07EA" w:rsidRDefault="00BE7C89">
            <w:pPr>
              <w:pStyle w:val="BodyText"/>
              <w:spacing w:before="100" w:after="100"/>
              <w:rPr>
                <w:lang w:val="en-AU"/>
              </w:rPr>
            </w:pPr>
            <w:r>
              <w:t>No</w:t>
            </w:r>
          </w:p>
        </w:tc>
      </w:tr>
      <w:tr w:rsidR="000D07EA" w14:paraId="2BE19E2F" w14:textId="77777777">
        <w:tc>
          <w:tcPr>
            <w:tcW w:w="2525" w:type="pct"/>
            <w:hideMark/>
          </w:tcPr>
          <w:p w14:paraId="5CEF2AF3" w14:textId="77777777" w:rsidR="000D07EA" w:rsidRDefault="00BE7C89">
            <w:pPr>
              <w:pStyle w:val="BodyText"/>
              <w:spacing w:before="100" w:after="100"/>
              <w:rPr>
                <w:lang w:val="en-AU"/>
              </w:rPr>
            </w:pPr>
            <w:r>
              <w:t>National MMS to Optus Numbers</w:t>
            </w:r>
          </w:p>
        </w:tc>
        <w:tc>
          <w:tcPr>
            <w:tcW w:w="2475" w:type="pct"/>
            <w:hideMark/>
          </w:tcPr>
          <w:p w14:paraId="5E4F8657" w14:textId="77777777" w:rsidR="000D07EA" w:rsidRDefault="00BE7C89">
            <w:pPr>
              <w:pStyle w:val="BodyText"/>
              <w:spacing w:before="100" w:after="100"/>
              <w:rPr>
                <w:lang w:val="en-AU"/>
              </w:rPr>
            </w:pPr>
            <w:r>
              <w:t>Yes</w:t>
            </w:r>
          </w:p>
        </w:tc>
      </w:tr>
      <w:tr w:rsidR="000D07EA" w14:paraId="54D9654C" w14:textId="77777777">
        <w:tc>
          <w:tcPr>
            <w:tcW w:w="2525" w:type="pct"/>
            <w:hideMark/>
          </w:tcPr>
          <w:p w14:paraId="097E3E1B" w14:textId="77777777" w:rsidR="000D07EA" w:rsidRDefault="00BE7C89">
            <w:pPr>
              <w:pStyle w:val="BodyText"/>
              <w:spacing w:before="100" w:after="100"/>
              <w:rPr>
                <w:lang w:val="en-AU"/>
              </w:rPr>
            </w:pPr>
            <w:r>
              <w:t>International MMS to Optus Numbers</w:t>
            </w:r>
          </w:p>
        </w:tc>
        <w:tc>
          <w:tcPr>
            <w:tcW w:w="2475" w:type="pct"/>
            <w:hideMark/>
          </w:tcPr>
          <w:p w14:paraId="4B213ACB" w14:textId="77777777" w:rsidR="000D07EA" w:rsidRDefault="00BE7C89">
            <w:pPr>
              <w:pStyle w:val="BodyText"/>
              <w:spacing w:before="100" w:after="100"/>
              <w:rPr>
                <w:lang w:val="en-AU"/>
              </w:rPr>
            </w:pPr>
            <w:r>
              <w:t>Yes</w:t>
            </w:r>
          </w:p>
        </w:tc>
      </w:tr>
      <w:tr w:rsidR="000D07EA" w14:paraId="5F0876A2" w14:textId="77777777">
        <w:tc>
          <w:tcPr>
            <w:tcW w:w="2525" w:type="pct"/>
            <w:hideMark/>
          </w:tcPr>
          <w:p w14:paraId="330FEF80" w14:textId="77777777" w:rsidR="000D07EA" w:rsidRDefault="00BE7C89">
            <w:pPr>
              <w:pStyle w:val="BodyText"/>
              <w:spacing w:before="100" w:after="100"/>
              <w:rPr>
                <w:lang w:val="en-AU"/>
              </w:rPr>
            </w:pPr>
            <w:r>
              <w:t>National MMS to Non-Optus Numbers</w:t>
            </w:r>
          </w:p>
        </w:tc>
        <w:tc>
          <w:tcPr>
            <w:tcW w:w="2475" w:type="pct"/>
            <w:hideMark/>
          </w:tcPr>
          <w:p w14:paraId="0563C1A4" w14:textId="77777777" w:rsidR="000D07EA" w:rsidRDefault="00BE7C89">
            <w:pPr>
              <w:pStyle w:val="BodyText"/>
              <w:spacing w:before="100" w:after="100"/>
              <w:rPr>
                <w:lang w:val="en-AU"/>
              </w:rPr>
            </w:pPr>
            <w:r>
              <w:t>No</w:t>
            </w:r>
          </w:p>
        </w:tc>
      </w:tr>
      <w:tr w:rsidR="000D07EA" w14:paraId="10F9D22A" w14:textId="77777777">
        <w:tc>
          <w:tcPr>
            <w:tcW w:w="2525" w:type="pct"/>
            <w:hideMark/>
          </w:tcPr>
          <w:p w14:paraId="62BC1EAF" w14:textId="77777777" w:rsidR="000D07EA" w:rsidRDefault="00BE7C89">
            <w:pPr>
              <w:pStyle w:val="BodyText"/>
              <w:spacing w:before="100" w:after="100"/>
              <w:rPr>
                <w:lang w:val="en-AU"/>
              </w:rPr>
            </w:pPr>
            <w:r>
              <w:t>International MMS to Non-Optus Numbers</w:t>
            </w:r>
          </w:p>
        </w:tc>
        <w:tc>
          <w:tcPr>
            <w:tcW w:w="2475" w:type="pct"/>
            <w:hideMark/>
          </w:tcPr>
          <w:p w14:paraId="65F206C0" w14:textId="77777777" w:rsidR="000D07EA" w:rsidRDefault="00BE7C89">
            <w:pPr>
              <w:pStyle w:val="BodyText"/>
              <w:spacing w:before="100" w:after="100"/>
              <w:rPr>
                <w:lang w:val="en-AU"/>
              </w:rPr>
            </w:pPr>
            <w:r>
              <w:t>No</w:t>
            </w:r>
          </w:p>
        </w:tc>
      </w:tr>
      <w:tr w:rsidR="000D07EA" w14:paraId="245053EC" w14:textId="77777777">
        <w:tc>
          <w:tcPr>
            <w:tcW w:w="2525" w:type="pct"/>
            <w:hideMark/>
          </w:tcPr>
          <w:p w14:paraId="5B0043A3" w14:textId="77777777" w:rsidR="000D07EA" w:rsidRDefault="00BE7C89">
            <w:pPr>
              <w:pStyle w:val="BodyText"/>
              <w:spacing w:before="100" w:after="100"/>
              <w:rPr>
                <w:lang w:val="en-AU"/>
              </w:rPr>
            </w:pPr>
            <w:r>
              <w:t>Voicemail Diversions</w:t>
            </w:r>
          </w:p>
        </w:tc>
        <w:tc>
          <w:tcPr>
            <w:tcW w:w="2475" w:type="pct"/>
            <w:hideMark/>
          </w:tcPr>
          <w:p w14:paraId="342FAEC4" w14:textId="77777777" w:rsidR="000D07EA" w:rsidRDefault="00BE7C89">
            <w:pPr>
              <w:pStyle w:val="BodyText"/>
              <w:spacing w:before="100" w:after="100"/>
              <w:rPr>
                <w:lang w:val="en-AU"/>
              </w:rPr>
            </w:pPr>
            <w:r>
              <w:t>Yes</w:t>
            </w:r>
          </w:p>
        </w:tc>
      </w:tr>
      <w:tr w:rsidR="000D07EA" w14:paraId="42A7956A" w14:textId="77777777">
        <w:tc>
          <w:tcPr>
            <w:tcW w:w="2525" w:type="pct"/>
            <w:hideMark/>
          </w:tcPr>
          <w:p w14:paraId="38B0397C" w14:textId="77777777" w:rsidR="000D07EA" w:rsidRDefault="00BE7C89">
            <w:pPr>
              <w:pStyle w:val="BodyText"/>
              <w:spacing w:before="100" w:after="100"/>
              <w:rPr>
                <w:lang w:val="en-AU"/>
              </w:rPr>
            </w:pPr>
            <w:r>
              <w:t>Voicemail Deposit and Retrievals</w:t>
            </w:r>
          </w:p>
        </w:tc>
        <w:tc>
          <w:tcPr>
            <w:tcW w:w="2475" w:type="pct"/>
            <w:hideMark/>
          </w:tcPr>
          <w:p w14:paraId="5B9A1F17" w14:textId="77777777" w:rsidR="000D07EA" w:rsidRDefault="00BE7C89">
            <w:pPr>
              <w:pStyle w:val="BodyText"/>
              <w:spacing w:before="100" w:after="100"/>
              <w:rPr>
                <w:lang w:val="en-AU"/>
              </w:rPr>
            </w:pPr>
            <w:r>
              <w:t>Yes</w:t>
            </w:r>
          </w:p>
        </w:tc>
      </w:tr>
      <w:tr w:rsidR="000D07EA" w14:paraId="7B461867" w14:textId="77777777">
        <w:tc>
          <w:tcPr>
            <w:tcW w:w="2525" w:type="pct"/>
            <w:hideMark/>
          </w:tcPr>
          <w:p w14:paraId="321BD81A" w14:textId="77777777" w:rsidR="000D07EA" w:rsidRDefault="00BE7C89">
            <w:pPr>
              <w:pStyle w:val="BodyText"/>
              <w:spacing w:before="100" w:after="100"/>
              <w:rPr>
                <w:lang w:val="en-AU"/>
              </w:rPr>
            </w:pPr>
            <w:r>
              <w:t>International Roaming &amp; Diversion</w:t>
            </w:r>
          </w:p>
        </w:tc>
        <w:tc>
          <w:tcPr>
            <w:tcW w:w="2475" w:type="pct"/>
            <w:hideMark/>
          </w:tcPr>
          <w:p w14:paraId="713E3A0E" w14:textId="77777777" w:rsidR="000D07EA" w:rsidRDefault="00BE7C89">
            <w:pPr>
              <w:pStyle w:val="BodyText"/>
              <w:spacing w:before="100" w:after="100"/>
              <w:rPr>
                <w:lang w:val="en-AU"/>
              </w:rPr>
            </w:pPr>
            <w:r>
              <w:t>No</w:t>
            </w:r>
          </w:p>
        </w:tc>
      </w:tr>
      <w:tr w:rsidR="000D07EA" w14:paraId="65863AB5" w14:textId="77777777">
        <w:tc>
          <w:tcPr>
            <w:tcW w:w="2525" w:type="pct"/>
            <w:hideMark/>
          </w:tcPr>
          <w:p w14:paraId="4B232838" w14:textId="77777777" w:rsidR="000D07EA" w:rsidRDefault="00BE7C89">
            <w:pPr>
              <w:pStyle w:val="BodyText"/>
              <w:spacing w:before="100" w:after="100"/>
              <w:rPr>
                <w:lang w:val="en-AU"/>
              </w:rPr>
            </w:pPr>
            <w:r>
              <w:t>Premium SMS</w:t>
            </w:r>
          </w:p>
        </w:tc>
        <w:tc>
          <w:tcPr>
            <w:tcW w:w="2475" w:type="pct"/>
            <w:hideMark/>
          </w:tcPr>
          <w:p w14:paraId="1ECACF7A" w14:textId="77777777" w:rsidR="000D07EA" w:rsidRDefault="00BE7C89">
            <w:pPr>
              <w:pStyle w:val="BodyText"/>
              <w:spacing w:before="100" w:after="100"/>
              <w:rPr>
                <w:lang w:val="en-AU"/>
              </w:rPr>
            </w:pPr>
            <w:r>
              <w:t>No</w:t>
            </w:r>
          </w:p>
        </w:tc>
      </w:tr>
      <w:tr w:rsidR="000D07EA" w14:paraId="54E555D3" w14:textId="77777777">
        <w:tc>
          <w:tcPr>
            <w:tcW w:w="2525" w:type="pct"/>
            <w:hideMark/>
          </w:tcPr>
          <w:p w14:paraId="69872537" w14:textId="77777777" w:rsidR="000D07EA" w:rsidRDefault="00BE7C89">
            <w:pPr>
              <w:pStyle w:val="BodyText"/>
              <w:spacing w:before="100" w:after="100"/>
              <w:rPr>
                <w:lang w:val="en-AU"/>
              </w:rPr>
            </w:pPr>
            <w:r>
              <w:t xml:space="preserve">Premium Video </w:t>
            </w:r>
          </w:p>
        </w:tc>
        <w:tc>
          <w:tcPr>
            <w:tcW w:w="2475" w:type="pct"/>
            <w:hideMark/>
          </w:tcPr>
          <w:p w14:paraId="00ABABAA" w14:textId="77777777" w:rsidR="000D07EA" w:rsidRDefault="00BE7C89">
            <w:pPr>
              <w:pStyle w:val="BodyText"/>
              <w:spacing w:before="100" w:after="100"/>
              <w:rPr>
                <w:lang w:val="en-AU"/>
              </w:rPr>
            </w:pPr>
            <w:r>
              <w:t>No</w:t>
            </w:r>
          </w:p>
        </w:tc>
      </w:tr>
      <w:tr w:rsidR="000D07EA" w14:paraId="6F8A7F16" w14:textId="77777777">
        <w:tc>
          <w:tcPr>
            <w:tcW w:w="2525" w:type="pct"/>
            <w:hideMark/>
          </w:tcPr>
          <w:p w14:paraId="7D1A5AEA" w14:textId="77777777" w:rsidR="000D07EA" w:rsidRDefault="00BE7C89">
            <w:pPr>
              <w:pStyle w:val="BodyText"/>
              <w:spacing w:before="100" w:after="100"/>
              <w:rPr>
                <w:lang w:val="en-AU"/>
              </w:rPr>
            </w:pPr>
            <w:r>
              <w:t xml:space="preserve">Video Conferencing </w:t>
            </w:r>
          </w:p>
        </w:tc>
        <w:tc>
          <w:tcPr>
            <w:tcW w:w="2475" w:type="pct"/>
            <w:hideMark/>
          </w:tcPr>
          <w:p w14:paraId="771EB173" w14:textId="77777777" w:rsidR="000D07EA" w:rsidRDefault="00BE7C89">
            <w:pPr>
              <w:pStyle w:val="BodyText"/>
              <w:spacing w:before="100" w:after="100"/>
              <w:rPr>
                <w:lang w:val="en-AU"/>
              </w:rPr>
            </w:pPr>
            <w:r>
              <w:t>No</w:t>
            </w:r>
          </w:p>
        </w:tc>
      </w:tr>
      <w:tr w:rsidR="000D07EA" w14:paraId="24B6EF80" w14:textId="77777777">
        <w:tc>
          <w:tcPr>
            <w:tcW w:w="2525" w:type="pct"/>
            <w:hideMark/>
          </w:tcPr>
          <w:p w14:paraId="2F3A6801" w14:textId="77777777" w:rsidR="000D07EA" w:rsidRDefault="00BE7C89">
            <w:pPr>
              <w:pStyle w:val="BodyText"/>
              <w:spacing w:before="100" w:after="100"/>
              <w:rPr>
                <w:lang w:val="en-AU"/>
              </w:rPr>
            </w:pPr>
            <w:r>
              <w:t>Optus Zoo or Optus Zoo and iZoo Browsing</w:t>
            </w:r>
          </w:p>
        </w:tc>
        <w:tc>
          <w:tcPr>
            <w:tcW w:w="2475" w:type="pct"/>
            <w:hideMark/>
          </w:tcPr>
          <w:p w14:paraId="6EB4AF53" w14:textId="77777777" w:rsidR="000D07EA" w:rsidRDefault="00BE7C89">
            <w:pPr>
              <w:pStyle w:val="BodyText"/>
              <w:spacing w:before="100" w:after="100"/>
              <w:rPr>
                <w:lang w:val="en-AU"/>
              </w:rPr>
            </w:pPr>
            <w:r>
              <w:t>No</w:t>
            </w:r>
          </w:p>
        </w:tc>
      </w:tr>
      <w:tr w:rsidR="000D07EA" w14:paraId="02EE326E" w14:textId="77777777">
        <w:tc>
          <w:tcPr>
            <w:tcW w:w="2525" w:type="pct"/>
            <w:hideMark/>
          </w:tcPr>
          <w:p w14:paraId="190ECE28" w14:textId="77777777" w:rsidR="000D07EA" w:rsidRDefault="00BE7C89">
            <w:pPr>
              <w:pStyle w:val="BodyText"/>
              <w:spacing w:before="100" w:after="100"/>
              <w:rPr>
                <w:lang w:val="en-AU"/>
              </w:rPr>
            </w:pPr>
            <w:r>
              <w:t>Optus Zoo or Optus Zoo and iZoo Downloads</w:t>
            </w:r>
          </w:p>
        </w:tc>
        <w:tc>
          <w:tcPr>
            <w:tcW w:w="2475" w:type="pct"/>
            <w:hideMark/>
          </w:tcPr>
          <w:p w14:paraId="68078109" w14:textId="77777777" w:rsidR="000D07EA" w:rsidRDefault="00BE7C89">
            <w:pPr>
              <w:pStyle w:val="BodyText"/>
              <w:spacing w:before="100" w:after="100"/>
              <w:rPr>
                <w:lang w:val="en-AU"/>
              </w:rPr>
            </w:pPr>
            <w:r>
              <w:t>No</w:t>
            </w:r>
          </w:p>
        </w:tc>
      </w:tr>
      <w:tr w:rsidR="000D07EA" w14:paraId="5F050002" w14:textId="77777777">
        <w:tc>
          <w:tcPr>
            <w:tcW w:w="2525" w:type="pct"/>
            <w:hideMark/>
          </w:tcPr>
          <w:p w14:paraId="0711589E" w14:textId="77777777" w:rsidR="000D07EA" w:rsidRDefault="00BE7C89">
            <w:pPr>
              <w:pStyle w:val="BodyText"/>
              <w:spacing w:before="100" w:after="100"/>
              <w:rPr>
                <w:lang w:val="en-AU"/>
              </w:rPr>
            </w:pPr>
            <w:r>
              <w:t>SMS to 966 (Zoo)</w:t>
            </w:r>
          </w:p>
        </w:tc>
        <w:tc>
          <w:tcPr>
            <w:tcW w:w="2475" w:type="pct"/>
            <w:hideMark/>
          </w:tcPr>
          <w:p w14:paraId="3F8150C9" w14:textId="77777777" w:rsidR="000D07EA" w:rsidRDefault="00BE7C89">
            <w:pPr>
              <w:pStyle w:val="BodyText"/>
              <w:spacing w:before="100" w:after="100"/>
              <w:rPr>
                <w:lang w:val="en-AU"/>
              </w:rPr>
            </w:pPr>
            <w:r>
              <w:t>No</w:t>
            </w:r>
          </w:p>
        </w:tc>
      </w:tr>
      <w:tr w:rsidR="000D07EA" w14:paraId="3E955E3D" w14:textId="77777777">
        <w:tc>
          <w:tcPr>
            <w:tcW w:w="2525" w:type="pct"/>
            <w:hideMark/>
          </w:tcPr>
          <w:p w14:paraId="5DDE24D7" w14:textId="77777777" w:rsidR="000D07EA" w:rsidRDefault="00BE7C89">
            <w:pPr>
              <w:pStyle w:val="BodyText"/>
              <w:spacing w:before="100" w:after="100"/>
              <w:rPr>
                <w:lang w:val="en-AU"/>
              </w:rPr>
            </w:pPr>
            <w:r>
              <w:t>Data used whilst roaming internationally</w:t>
            </w:r>
          </w:p>
        </w:tc>
        <w:tc>
          <w:tcPr>
            <w:tcW w:w="2475" w:type="pct"/>
            <w:hideMark/>
          </w:tcPr>
          <w:p w14:paraId="2E383D53" w14:textId="77777777" w:rsidR="000D07EA" w:rsidRDefault="00BE7C89">
            <w:pPr>
              <w:pStyle w:val="BodyText"/>
              <w:spacing w:before="100" w:after="100"/>
              <w:rPr>
                <w:lang w:val="en-AU"/>
              </w:rPr>
            </w:pPr>
            <w:r>
              <w:t>No</w:t>
            </w:r>
          </w:p>
        </w:tc>
      </w:tr>
      <w:tr w:rsidR="000D07EA" w14:paraId="6EB62265" w14:textId="77777777">
        <w:tc>
          <w:tcPr>
            <w:tcW w:w="2525" w:type="pct"/>
            <w:hideMark/>
          </w:tcPr>
          <w:p w14:paraId="034D0FC6" w14:textId="77777777" w:rsidR="000D07EA" w:rsidRDefault="00BE7C89">
            <w:pPr>
              <w:pStyle w:val="BodyText"/>
              <w:spacing w:before="100" w:after="100"/>
              <w:rPr>
                <w:lang w:val="en-AU"/>
              </w:rPr>
            </w:pPr>
            <w:r>
              <w:t xml:space="preserve">Directory Assistance – 1223 </w:t>
            </w:r>
          </w:p>
        </w:tc>
        <w:tc>
          <w:tcPr>
            <w:tcW w:w="2475" w:type="pct"/>
            <w:hideMark/>
          </w:tcPr>
          <w:p w14:paraId="3E62C897" w14:textId="77777777" w:rsidR="000D07EA" w:rsidRDefault="00BE7C89">
            <w:pPr>
              <w:pStyle w:val="BodyText"/>
              <w:spacing w:before="100" w:after="100"/>
              <w:rPr>
                <w:lang w:val="en-AU"/>
              </w:rPr>
            </w:pPr>
            <w:r>
              <w:t>Yes</w:t>
            </w:r>
          </w:p>
        </w:tc>
      </w:tr>
      <w:tr w:rsidR="000D07EA" w14:paraId="6CCF9491" w14:textId="77777777">
        <w:tc>
          <w:tcPr>
            <w:tcW w:w="2525" w:type="pct"/>
            <w:hideMark/>
          </w:tcPr>
          <w:p w14:paraId="5C526FDB" w14:textId="77777777" w:rsidR="000D07EA" w:rsidRDefault="00BE7C89">
            <w:pPr>
              <w:pStyle w:val="BodyText"/>
              <w:spacing w:before="100" w:after="100"/>
              <w:rPr>
                <w:lang w:val="en-AU"/>
              </w:rPr>
            </w:pPr>
            <w:r>
              <w:t>19XX Numbers</w:t>
            </w:r>
          </w:p>
        </w:tc>
        <w:tc>
          <w:tcPr>
            <w:tcW w:w="2475" w:type="pct"/>
            <w:hideMark/>
          </w:tcPr>
          <w:p w14:paraId="619A0570" w14:textId="77777777" w:rsidR="000D07EA" w:rsidRDefault="00BE7C89">
            <w:pPr>
              <w:pStyle w:val="BodyText"/>
              <w:spacing w:before="100" w:after="100"/>
              <w:rPr>
                <w:lang w:val="en-AU"/>
              </w:rPr>
            </w:pPr>
            <w:r>
              <w:t>No</w:t>
            </w:r>
          </w:p>
        </w:tc>
      </w:tr>
      <w:tr w:rsidR="000D07EA" w14:paraId="4339FE9A" w14:textId="77777777">
        <w:tc>
          <w:tcPr>
            <w:tcW w:w="2525" w:type="pct"/>
            <w:hideMark/>
          </w:tcPr>
          <w:p w14:paraId="72837AAE" w14:textId="77777777" w:rsidR="000D07EA" w:rsidRDefault="00BE7C89">
            <w:pPr>
              <w:pStyle w:val="BodyText"/>
              <w:spacing w:before="100" w:after="100"/>
              <w:rPr>
                <w:lang w:val="en-AU"/>
              </w:rPr>
            </w:pPr>
            <w:r>
              <w:t>1800 and 1300 numbers</w:t>
            </w:r>
          </w:p>
        </w:tc>
        <w:tc>
          <w:tcPr>
            <w:tcW w:w="2475" w:type="pct"/>
            <w:hideMark/>
          </w:tcPr>
          <w:p w14:paraId="390656BA" w14:textId="77777777" w:rsidR="000D07EA" w:rsidRDefault="00BE7C89">
            <w:pPr>
              <w:pStyle w:val="BodyText"/>
              <w:spacing w:before="100" w:after="100"/>
              <w:rPr>
                <w:lang w:val="en-AU"/>
              </w:rPr>
            </w:pPr>
            <w:r>
              <w:t>No</w:t>
            </w:r>
          </w:p>
        </w:tc>
      </w:tr>
      <w:tr w:rsidR="000D07EA" w14:paraId="03C22C1F" w14:textId="77777777">
        <w:tc>
          <w:tcPr>
            <w:tcW w:w="2525" w:type="pct"/>
            <w:hideMark/>
          </w:tcPr>
          <w:p w14:paraId="22E93C67" w14:textId="77777777" w:rsidR="000D07EA" w:rsidRDefault="00BE7C89">
            <w:pPr>
              <w:pStyle w:val="BodyText"/>
              <w:spacing w:before="100" w:after="100"/>
              <w:rPr>
                <w:lang w:val="en-AU"/>
              </w:rPr>
            </w:pPr>
            <w:r>
              <w:t>124YES(937)</w:t>
            </w:r>
          </w:p>
        </w:tc>
        <w:tc>
          <w:tcPr>
            <w:tcW w:w="2475" w:type="pct"/>
            <w:hideMark/>
          </w:tcPr>
          <w:p w14:paraId="68BF08D1" w14:textId="77777777" w:rsidR="000D07EA" w:rsidRDefault="00BE7C89">
            <w:pPr>
              <w:pStyle w:val="BodyText"/>
              <w:spacing w:before="100" w:after="100"/>
              <w:rPr>
                <w:lang w:val="en-AU"/>
              </w:rPr>
            </w:pPr>
            <w:r>
              <w:t>No</w:t>
            </w:r>
          </w:p>
        </w:tc>
      </w:tr>
      <w:tr w:rsidR="000D07EA" w14:paraId="32D69054" w14:textId="77777777">
        <w:tc>
          <w:tcPr>
            <w:tcW w:w="2525" w:type="pct"/>
            <w:hideMark/>
          </w:tcPr>
          <w:p w14:paraId="4B234DD8" w14:textId="77777777" w:rsidR="000D07EA" w:rsidRDefault="00BE7C89">
            <w:pPr>
              <w:pStyle w:val="BodyText"/>
              <w:spacing w:before="100" w:after="100"/>
              <w:rPr>
                <w:lang w:val="en-AU"/>
              </w:rPr>
            </w:pPr>
            <w:r>
              <w:lastRenderedPageBreak/>
              <w:t>Insurance</w:t>
            </w:r>
          </w:p>
        </w:tc>
        <w:tc>
          <w:tcPr>
            <w:tcW w:w="2475" w:type="pct"/>
            <w:hideMark/>
          </w:tcPr>
          <w:p w14:paraId="246E343B" w14:textId="77777777" w:rsidR="000D07EA" w:rsidRDefault="00BE7C89">
            <w:pPr>
              <w:pStyle w:val="BodyText"/>
              <w:spacing w:before="100" w:after="100"/>
              <w:rPr>
                <w:lang w:val="en-AU"/>
              </w:rPr>
            </w:pPr>
            <w:r>
              <w:t>No</w:t>
            </w:r>
          </w:p>
        </w:tc>
      </w:tr>
      <w:tr w:rsidR="000D07EA" w14:paraId="700228A8" w14:textId="77777777">
        <w:tc>
          <w:tcPr>
            <w:tcW w:w="2525" w:type="pct"/>
            <w:hideMark/>
          </w:tcPr>
          <w:p w14:paraId="6C6BB8A2" w14:textId="77777777" w:rsidR="000D07EA" w:rsidRDefault="00BE7C89">
            <w:pPr>
              <w:pStyle w:val="BodyText"/>
              <w:spacing w:before="100" w:after="100"/>
              <w:rPr>
                <w:lang w:val="en-AU"/>
              </w:rPr>
            </w:pPr>
            <w:r>
              <w:t>Handset Payments</w:t>
            </w:r>
          </w:p>
        </w:tc>
        <w:tc>
          <w:tcPr>
            <w:tcW w:w="2475" w:type="pct"/>
            <w:hideMark/>
          </w:tcPr>
          <w:p w14:paraId="7B97220C" w14:textId="77777777" w:rsidR="000D07EA" w:rsidRDefault="00BE7C89">
            <w:pPr>
              <w:pStyle w:val="BodyText"/>
              <w:spacing w:before="100" w:after="100"/>
              <w:rPr>
                <w:lang w:val="en-AU"/>
              </w:rPr>
            </w:pPr>
            <w:r>
              <w:t>No</w:t>
            </w:r>
          </w:p>
        </w:tc>
      </w:tr>
      <w:tr w:rsidR="000D07EA" w14:paraId="07AA8BDB" w14:textId="77777777">
        <w:tc>
          <w:tcPr>
            <w:tcW w:w="2525" w:type="pct"/>
            <w:hideMark/>
          </w:tcPr>
          <w:p w14:paraId="1DDEB071" w14:textId="77777777" w:rsidR="000D07EA" w:rsidRDefault="00BE7C89">
            <w:pPr>
              <w:pStyle w:val="BodyText"/>
              <w:spacing w:before="100" w:after="100"/>
              <w:rPr>
                <w:lang w:val="en-AU"/>
              </w:rPr>
            </w:pPr>
            <w:r>
              <w:t>Content Packs (unless specified in promotions)</w:t>
            </w:r>
          </w:p>
        </w:tc>
        <w:tc>
          <w:tcPr>
            <w:tcW w:w="2475" w:type="pct"/>
            <w:hideMark/>
          </w:tcPr>
          <w:p w14:paraId="032398D3" w14:textId="77777777" w:rsidR="000D07EA" w:rsidRDefault="00BE7C89">
            <w:pPr>
              <w:pStyle w:val="BodyText"/>
              <w:spacing w:before="100" w:after="100"/>
              <w:rPr>
                <w:lang w:val="en-AU"/>
              </w:rPr>
            </w:pPr>
            <w:r>
              <w:t>No</w:t>
            </w:r>
          </w:p>
        </w:tc>
      </w:tr>
      <w:tr w:rsidR="000D07EA" w14:paraId="6CEC073A" w14:textId="77777777">
        <w:tc>
          <w:tcPr>
            <w:tcW w:w="2525" w:type="pct"/>
            <w:hideMark/>
          </w:tcPr>
          <w:p w14:paraId="34C402B0" w14:textId="77777777" w:rsidR="000D07EA" w:rsidRDefault="00BE7C89">
            <w:pPr>
              <w:pStyle w:val="BodyText"/>
              <w:spacing w:before="100" w:after="100"/>
              <w:rPr>
                <w:lang w:val="en-AU"/>
              </w:rPr>
            </w:pPr>
            <w:r>
              <w:t>Mobile Internet usage</w:t>
            </w:r>
          </w:p>
        </w:tc>
        <w:tc>
          <w:tcPr>
            <w:tcW w:w="2475" w:type="pct"/>
            <w:hideMark/>
          </w:tcPr>
          <w:p w14:paraId="5EA7F843" w14:textId="77777777" w:rsidR="000D07EA" w:rsidRDefault="00BE7C89">
            <w:pPr>
              <w:pStyle w:val="BodyText"/>
              <w:spacing w:before="100" w:after="100"/>
              <w:rPr>
                <w:lang w:val="en-AU"/>
              </w:rPr>
            </w:pPr>
            <w:r>
              <w:t>No</w:t>
            </w:r>
          </w:p>
        </w:tc>
      </w:tr>
      <w:tr w:rsidR="000D07EA" w14:paraId="3352835A" w14:textId="77777777">
        <w:tc>
          <w:tcPr>
            <w:tcW w:w="2525" w:type="pct"/>
            <w:hideMark/>
          </w:tcPr>
          <w:p w14:paraId="35DE3F58" w14:textId="77777777" w:rsidR="000D07EA" w:rsidRDefault="00BE7C89">
            <w:pPr>
              <w:pStyle w:val="BodyText"/>
              <w:spacing w:before="100" w:after="100"/>
              <w:rPr>
                <w:lang w:val="en-AU"/>
              </w:rPr>
            </w:pPr>
            <w:r>
              <w:t xml:space="preserve">True Local Usage </w:t>
            </w:r>
          </w:p>
        </w:tc>
        <w:tc>
          <w:tcPr>
            <w:tcW w:w="2475" w:type="pct"/>
            <w:hideMark/>
          </w:tcPr>
          <w:p w14:paraId="2A30F5CD" w14:textId="77777777" w:rsidR="000D07EA" w:rsidRDefault="00BE7C89">
            <w:pPr>
              <w:pStyle w:val="BodyText"/>
              <w:spacing w:before="100" w:after="100"/>
              <w:rPr>
                <w:lang w:val="en-AU"/>
              </w:rPr>
            </w:pPr>
            <w:r>
              <w:t>No</w:t>
            </w:r>
          </w:p>
        </w:tc>
      </w:tr>
      <w:tr w:rsidR="000D07EA" w14:paraId="4651E0F9" w14:textId="77777777">
        <w:tc>
          <w:tcPr>
            <w:tcW w:w="2525" w:type="pct"/>
            <w:hideMark/>
          </w:tcPr>
          <w:p w14:paraId="7F85F147" w14:textId="77777777" w:rsidR="000D07EA" w:rsidRDefault="00BE7C89">
            <w:pPr>
              <w:pStyle w:val="BodyText"/>
              <w:spacing w:before="100" w:after="100"/>
              <w:rPr>
                <w:lang w:val="en-AU"/>
              </w:rPr>
            </w:pPr>
            <w:r>
              <w:t>VOIP services</w:t>
            </w:r>
          </w:p>
        </w:tc>
        <w:tc>
          <w:tcPr>
            <w:tcW w:w="2475" w:type="pct"/>
            <w:hideMark/>
          </w:tcPr>
          <w:p w14:paraId="50862BF9" w14:textId="77777777" w:rsidR="000D07EA" w:rsidRDefault="00BE7C89">
            <w:pPr>
              <w:pStyle w:val="BodyText"/>
              <w:spacing w:before="100" w:after="100"/>
              <w:rPr>
                <w:lang w:val="en-AU"/>
              </w:rPr>
            </w:pPr>
            <w:r>
              <w:t>No</w:t>
            </w:r>
          </w:p>
        </w:tc>
      </w:tr>
      <w:tr w:rsidR="000D07EA" w14:paraId="26E08A29" w14:textId="77777777">
        <w:tc>
          <w:tcPr>
            <w:tcW w:w="2525" w:type="pct"/>
            <w:hideMark/>
          </w:tcPr>
          <w:p w14:paraId="4E30916A" w14:textId="77777777" w:rsidR="000D07EA" w:rsidRDefault="00BE7C89">
            <w:pPr>
              <w:pStyle w:val="BodyText"/>
              <w:spacing w:before="100" w:after="100"/>
              <w:rPr>
                <w:lang w:val="en-AU"/>
              </w:rPr>
            </w:pPr>
            <w:r>
              <w:t xml:space="preserve">Calls to Satellite </w:t>
            </w:r>
          </w:p>
        </w:tc>
        <w:tc>
          <w:tcPr>
            <w:tcW w:w="2475" w:type="pct"/>
            <w:hideMark/>
          </w:tcPr>
          <w:p w14:paraId="38476AFF" w14:textId="77777777" w:rsidR="000D07EA" w:rsidRDefault="00BE7C89">
            <w:pPr>
              <w:pStyle w:val="BodyText"/>
              <w:spacing w:before="100" w:after="100"/>
              <w:rPr>
                <w:lang w:val="en-AU"/>
              </w:rPr>
            </w:pPr>
            <w:r>
              <w:t>No</w:t>
            </w:r>
          </w:p>
        </w:tc>
      </w:tr>
      <w:tr w:rsidR="000D07EA" w14:paraId="0F76A17B" w14:textId="77777777">
        <w:tc>
          <w:tcPr>
            <w:tcW w:w="2525" w:type="pct"/>
            <w:hideMark/>
          </w:tcPr>
          <w:p w14:paraId="0F21125A" w14:textId="77777777" w:rsidR="000D07EA" w:rsidRDefault="00BE7C89">
            <w:pPr>
              <w:pStyle w:val="BodyText"/>
              <w:spacing w:before="100" w:after="100"/>
              <w:rPr>
                <w:lang w:val="en-AU"/>
              </w:rPr>
            </w:pPr>
            <w:r>
              <w:t>Surepage</w:t>
            </w:r>
          </w:p>
        </w:tc>
        <w:tc>
          <w:tcPr>
            <w:tcW w:w="2475" w:type="pct"/>
            <w:hideMark/>
          </w:tcPr>
          <w:p w14:paraId="02C9B6CE" w14:textId="77777777" w:rsidR="000D07EA" w:rsidRDefault="00BE7C89">
            <w:pPr>
              <w:pStyle w:val="BodyText"/>
              <w:spacing w:before="100" w:after="100"/>
              <w:rPr>
                <w:lang w:val="en-AU"/>
              </w:rPr>
            </w:pPr>
            <w:r>
              <w:t>No</w:t>
            </w:r>
          </w:p>
        </w:tc>
      </w:tr>
    </w:tbl>
    <w:p w14:paraId="551D9858" w14:textId="77777777" w:rsidR="000D07EA" w:rsidRDefault="000D07EA">
      <w:pPr>
        <w:pStyle w:val="BodyText"/>
        <w:rPr>
          <w:b/>
        </w:rPr>
      </w:pPr>
    </w:p>
    <w:p w14:paraId="6B6A3C56" w14:textId="77777777" w:rsidR="000D07EA" w:rsidRDefault="00BE7C89">
      <w:pPr>
        <w:pStyle w:val="BodyText"/>
        <w:ind w:left="1440"/>
        <w:rPr>
          <w:b/>
          <w:lang w:val="en-AU"/>
        </w:rPr>
      </w:pPr>
      <w:r>
        <w:rPr>
          <w:b/>
        </w:rPr>
        <w:t>Table 2A – Eligible for the Included Mobile Internet Data</w:t>
      </w:r>
    </w:p>
    <w:tbl>
      <w:tblPr>
        <w:tblW w:w="4298"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379"/>
        <w:gridCol w:w="4379"/>
      </w:tblGrid>
      <w:tr w:rsidR="000D07EA" w14:paraId="73873DB6" w14:textId="77777777">
        <w:trPr>
          <w:tblHeader/>
        </w:trPr>
        <w:tc>
          <w:tcPr>
            <w:tcW w:w="2500" w:type="pct"/>
            <w:hideMark/>
          </w:tcPr>
          <w:p w14:paraId="65999D4F" w14:textId="77777777" w:rsidR="000D07EA" w:rsidRDefault="00BE7C89">
            <w:pPr>
              <w:pStyle w:val="BodyText"/>
              <w:spacing w:before="100" w:after="100"/>
              <w:rPr>
                <w:b/>
                <w:bCs/>
                <w:lang w:val="en-AU"/>
              </w:rPr>
            </w:pPr>
            <w:r>
              <w:rPr>
                <w:b/>
                <w:bCs/>
              </w:rPr>
              <w:t>Call Type</w:t>
            </w:r>
          </w:p>
        </w:tc>
        <w:tc>
          <w:tcPr>
            <w:tcW w:w="2500" w:type="pct"/>
            <w:hideMark/>
          </w:tcPr>
          <w:p w14:paraId="5134D975" w14:textId="77777777" w:rsidR="000D07EA" w:rsidRDefault="00BE7C89">
            <w:pPr>
              <w:pStyle w:val="BodyText"/>
              <w:spacing w:before="100" w:after="100"/>
              <w:rPr>
                <w:b/>
                <w:bCs/>
                <w:lang w:val="en-AU"/>
              </w:rPr>
            </w:pPr>
            <w:r>
              <w:rPr>
                <w:b/>
                <w:bCs/>
              </w:rPr>
              <w:t>Eligible Data</w:t>
            </w:r>
          </w:p>
        </w:tc>
      </w:tr>
      <w:tr w:rsidR="000D07EA" w14:paraId="10EF916E" w14:textId="77777777">
        <w:tc>
          <w:tcPr>
            <w:tcW w:w="2500" w:type="pct"/>
            <w:hideMark/>
          </w:tcPr>
          <w:p w14:paraId="265751A6" w14:textId="77777777" w:rsidR="000D07EA" w:rsidRDefault="00BE7C89">
            <w:pPr>
              <w:pStyle w:val="BodyText"/>
              <w:spacing w:before="100" w:after="100"/>
              <w:rPr>
                <w:bCs/>
                <w:lang w:val="en-AU"/>
              </w:rPr>
            </w:pPr>
            <w:r>
              <w:rPr>
                <w:bCs/>
              </w:rPr>
              <w:t>National Voice and Video Calls</w:t>
            </w:r>
          </w:p>
        </w:tc>
        <w:tc>
          <w:tcPr>
            <w:tcW w:w="2500" w:type="pct"/>
            <w:hideMark/>
          </w:tcPr>
          <w:p w14:paraId="7EE421BF" w14:textId="77777777" w:rsidR="000D07EA" w:rsidRDefault="00BE7C89">
            <w:pPr>
              <w:pStyle w:val="BodyText"/>
              <w:spacing w:before="100" w:after="100"/>
              <w:rPr>
                <w:bCs/>
                <w:lang w:val="en-AU"/>
              </w:rPr>
            </w:pPr>
            <w:r>
              <w:rPr>
                <w:bCs/>
              </w:rPr>
              <w:t>No</w:t>
            </w:r>
          </w:p>
        </w:tc>
      </w:tr>
      <w:tr w:rsidR="000D07EA" w14:paraId="0D4F2D67" w14:textId="77777777">
        <w:tc>
          <w:tcPr>
            <w:tcW w:w="2500" w:type="pct"/>
            <w:hideMark/>
          </w:tcPr>
          <w:p w14:paraId="51AAD1F2" w14:textId="77777777" w:rsidR="000D07EA" w:rsidRDefault="00BE7C89">
            <w:pPr>
              <w:pStyle w:val="BodyText"/>
              <w:spacing w:before="100" w:after="100"/>
              <w:rPr>
                <w:bCs/>
                <w:sz w:val="24"/>
                <w:szCs w:val="20"/>
                <w:lang w:val="en-AU"/>
              </w:rPr>
            </w:pPr>
            <w:r>
              <w:rPr>
                <w:bCs/>
              </w:rPr>
              <w:t>International Voice and Video Calls</w:t>
            </w:r>
          </w:p>
          <w:p w14:paraId="21451878" w14:textId="77777777" w:rsidR="000D07EA" w:rsidRDefault="00BE7C89">
            <w:pPr>
              <w:pStyle w:val="BodyText"/>
              <w:spacing w:before="100" w:after="100"/>
              <w:rPr>
                <w:bCs/>
                <w:lang w:val="en-AU"/>
              </w:rPr>
            </w:pPr>
            <w:r>
              <w:rPr>
                <w:bCs/>
              </w:rPr>
              <w:t>(including calls to national fixed or GSM mobile services that then divert/switch or re-route overseas)</w:t>
            </w:r>
          </w:p>
        </w:tc>
        <w:tc>
          <w:tcPr>
            <w:tcW w:w="2500" w:type="pct"/>
            <w:hideMark/>
          </w:tcPr>
          <w:p w14:paraId="72C8681E" w14:textId="77777777" w:rsidR="000D07EA" w:rsidRDefault="00BE7C89">
            <w:pPr>
              <w:pStyle w:val="BodyText"/>
              <w:spacing w:before="100" w:after="100"/>
              <w:rPr>
                <w:bCs/>
                <w:lang w:val="en-AU"/>
              </w:rPr>
            </w:pPr>
            <w:r>
              <w:rPr>
                <w:bCs/>
              </w:rPr>
              <w:t xml:space="preserve">No </w:t>
            </w:r>
          </w:p>
        </w:tc>
      </w:tr>
      <w:tr w:rsidR="000D07EA" w14:paraId="6F74798E" w14:textId="77777777">
        <w:tc>
          <w:tcPr>
            <w:tcW w:w="2500" w:type="pct"/>
            <w:hideMark/>
          </w:tcPr>
          <w:p w14:paraId="318D8E7A" w14:textId="77777777" w:rsidR="000D07EA" w:rsidRDefault="00BE7C89">
            <w:pPr>
              <w:pStyle w:val="BodyText"/>
              <w:spacing w:before="100" w:after="100"/>
              <w:rPr>
                <w:bCs/>
                <w:lang w:val="en-AU"/>
              </w:rPr>
            </w:pPr>
            <w:r>
              <w:rPr>
                <w:bCs/>
              </w:rPr>
              <w:t>Premium Video</w:t>
            </w:r>
          </w:p>
        </w:tc>
        <w:tc>
          <w:tcPr>
            <w:tcW w:w="2500" w:type="pct"/>
            <w:hideMark/>
          </w:tcPr>
          <w:p w14:paraId="1E9FB1CB" w14:textId="77777777" w:rsidR="000D07EA" w:rsidRDefault="00BE7C89">
            <w:pPr>
              <w:pStyle w:val="BodyText"/>
              <w:spacing w:before="100" w:after="100"/>
              <w:rPr>
                <w:bCs/>
                <w:lang w:val="en-AU"/>
              </w:rPr>
            </w:pPr>
            <w:r>
              <w:rPr>
                <w:bCs/>
              </w:rPr>
              <w:t>No</w:t>
            </w:r>
          </w:p>
        </w:tc>
      </w:tr>
      <w:tr w:rsidR="000D07EA" w14:paraId="220AA4CF" w14:textId="77777777">
        <w:tc>
          <w:tcPr>
            <w:tcW w:w="2500" w:type="pct"/>
            <w:hideMark/>
          </w:tcPr>
          <w:p w14:paraId="6268415B" w14:textId="77777777" w:rsidR="000D07EA" w:rsidRDefault="00BE7C89">
            <w:pPr>
              <w:pStyle w:val="BodyText"/>
              <w:spacing w:before="100" w:after="100"/>
              <w:rPr>
                <w:bCs/>
                <w:lang w:val="en-AU"/>
              </w:rPr>
            </w:pPr>
            <w:r>
              <w:rPr>
                <w:bCs/>
              </w:rPr>
              <w:t>Content Video</w:t>
            </w:r>
          </w:p>
        </w:tc>
        <w:tc>
          <w:tcPr>
            <w:tcW w:w="2500" w:type="pct"/>
            <w:hideMark/>
          </w:tcPr>
          <w:p w14:paraId="54A03B2A" w14:textId="77777777" w:rsidR="000D07EA" w:rsidRDefault="00BE7C89">
            <w:pPr>
              <w:pStyle w:val="BodyText"/>
              <w:spacing w:before="100" w:after="100"/>
              <w:rPr>
                <w:bCs/>
                <w:lang w:val="en-AU"/>
              </w:rPr>
            </w:pPr>
            <w:r>
              <w:rPr>
                <w:bCs/>
              </w:rPr>
              <w:t>No</w:t>
            </w:r>
          </w:p>
        </w:tc>
      </w:tr>
      <w:tr w:rsidR="000D07EA" w14:paraId="602A854E" w14:textId="77777777">
        <w:tc>
          <w:tcPr>
            <w:tcW w:w="2500" w:type="pct"/>
            <w:hideMark/>
          </w:tcPr>
          <w:p w14:paraId="0D6157EB" w14:textId="77777777" w:rsidR="000D07EA" w:rsidRDefault="00BE7C89">
            <w:pPr>
              <w:pStyle w:val="BodyText"/>
              <w:spacing w:before="100" w:after="100"/>
              <w:rPr>
                <w:bCs/>
                <w:lang w:val="en-AU"/>
              </w:rPr>
            </w:pPr>
            <w:r>
              <w:rPr>
                <w:bCs/>
              </w:rPr>
              <w:t>National Standard SMS</w:t>
            </w:r>
          </w:p>
        </w:tc>
        <w:tc>
          <w:tcPr>
            <w:tcW w:w="2500" w:type="pct"/>
            <w:hideMark/>
          </w:tcPr>
          <w:p w14:paraId="6A76871E" w14:textId="77777777" w:rsidR="000D07EA" w:rsidRDefault="00BE7C89">
            <w:pPr>
              <w:pStyle w:val="BodyText"/>
              <w:spacing w:before="100" w:after="100"/>
              <w:rPr>
                <w:bCs/>
                <w:lang w:val="en-AU"/>
              </w:rPr>
            </w:pPr>
            <w:r>
              <w:rPr>
                <w:bCs/>
              </w:rPr>
              <w:t>No</w:t>
            </w:r>
          </w:p>
        </w:tc>
      </w:tr>
      <w:tr w:rsidR="000D07EA" w14:paraId="2B403122" w14:textId="77777777">
        <w:tc>
          <w:tcPr>
            <w:tcW w:w="2500" w:type="pct"/>
            <w:hideMark/>
          </w:tcPr>
          <w:p w14:paraId="5A48E165" w14:textId="77777777" w:rsidR="000D07EA" w:rsidRDefault="00BE7C89">
            <w:pPr>
              <w:pStyle w:val="BodyText"/>
              <w:spacing w:before="100" w:after="100"/>
              <w:rPr>
                <w:bCs/>
                <w:lang w:val="en-AU"/>
              </w:rPr>
            </w:pPr>
            <w:r>
              <w:rPr>
                <w:bCs/>
              </w:rPr>
              <w:t>International SMS</w:t>
            </w:r>
          </w:p>
        </w:tc>
        <w:tc>
          <w:tcPr>
            <w:tcW w:w="2500" w:type="pct"/>
            <w:hideMark/>
          </w:tcPr>
          <w:p w14:paraId="38FBB449" w14:textId="77777777" w:rsidR="000D07EA" w:rsidRDefault="00BE7C89">
            <w:pPr>
              <w:pStyle w:val="BodyText"/>
              <w:spacing w:before="100" w:after="100"/>
              <w:rPr>
                <w:bCs/>
                <w:lang w:val="en-AU"/>
              </w:rPr>
            </w:pPr>
            <w:r>
              <w:rPr>
                <w:bCs/>
              </w:rPr>
              <w:t>No</w:t>
            </w:r>
          </w:p>
        </w:tc>
      </w:tr>
      <w:tr w:rsidR="000D07EA" w14:paraId="52819AE6" w14:textId="77777777">
        <w:tc>
          <w:tcPr>
            <w:tcW w:w="2500" w:type="pct"/>
            <w:hideMark/>
          </w:tcPr>
          <w:p w14:paraId="58A9AC4F" w14:textId="77777777" w:rsidR="000D07EA" w:rsidRDefault="00BE7C89">
            <w:pPr>
              <w:pStyle w:val="BodyText"/>
              <w:spacing w:before="100" w:after="100"/>
              <w:rPr>
                <w:bCs/>
                <w:lang w:val="en-AU"/>
              </w:rPr>
            </w:pPr>
            <w:r>
              <w:rPr>
                <w:bCs/>
              </w:rPr>
              <w:t>Premium SMS</w:t>
            </w:r>
          </w:p>
        </w:tc>
        <w:tc>
          <w:tcPr>
            <w:tcW w:w="2500" w:type="pct"/>
            <w:hideMark/>
          </w:tcPr>
          <w:p w14:paraId="00442D11" w14:textId="77777777" w:rsidR="000D07EA" w:rsidRDefault="00BE7C89">
            <w:pPr>
              <w:pStyle w:val="BodyText"/>
              <w:spacing w:before="100" w:after="100"/>
              <w:rPr>
                <w:bCs/>
                <w:lang w:val="en-AU"/>
              </w:rPr>
            </w:pPr>
            <w:r>
              <w:rPr>
                <w:bCs/>
              </w:rPr>
              <w:t>No</w:t>
            </w:r>
          </w:p>
        </w:tc>
      </w:tr>
      <w:tr w:rsidR="000D07EA" w14:paraId="3CB5FC1D" w14:textId="77777777">
        <w:tc>
          <w:tcPr>
            <w:tcW w:w="2500" w:type="pct"/>
            <w:hideMark/>
          </w:tcPr>
          <w:p w14:paraId="51204C76" w14:textId="77777777" w:rsidR="000D07EA" w:rsidRDefault="00BE7C89">
            <w:pPr>
              <w:pStyle w:val="BodyText"/>
              <w:spacing w:before="100" w:after="100"/>
              <w:rPr>
                <w:bCs/>
                <w:lang w:val="en-AU"/>
              </w:rPr>
            </w:pPr>
            <w:r>
              <w:rPr>
                <w:bCs/>
              </w:rPr>
              <w:t>National Standard MMS</w:t>
            </w:r>
          </w:p>
        </w:tc>
        <w:tc>
          <w:tcPr>
            <w:tcW w:w="2500" w:type="pct"/>
            <w:hideMark/>
          </w:tcPr>
          <w:p w14:paraId="5F222A19" w14:textId="77777777" w:rsidR="000D07EA" w:rsidRDefault="00BE7C89">
            <w:pPr>
              <w:pStyle w:val="BodyText"/>
              <w:spacing w:before="100" w:after="100"/>
              <w:rPr>
                <w:bCs/>
                <w:lang w:val="en-AU"/>
              </w:rPr>
            </w:pPr>
            <w:r>
              <w:rPr>
                <w:bCs/>
              </w:rPr>
              <w:t>No</w:t>
            </w:r>
          </w:p>
        </w:tc>
      </w:tr>
      <w:tr w:rsidR="000D07EA" w14:paraId="4E55AC09" w14:textId="77777777">
        <w:tc>
          <w:tcPr>
            <w:tcW w:w="2500" w:type="pct"/>
            <w:hideMark/>
          </w:tcPr>
          <w:p w14:paraId="2C95C81E" w14:textId="77777777" w:rsidR="000D07EA" w:rsidRDefault="00BE7C89">
            <w:pPr>
              <w:pStyle w:val="BodyText"/>
              <w:spacing w:before="100" w:after="100"/>
              <w:rPr>
                <w:bCs/>
                <w:lang w:val="en-AU"/>
              </w:rPr>
            </w:pPr>
            <w:r>
              <w:rPr>
                <w:bCs/>
              </w:rPr>
              <w:t>International MMS</w:t>
            </w:r>
          </w:p>
        </w:tc>
        <w:tc>
          <w:tcPr>
            <w:tcW w:w="2500" w:type="pct"/>
            <w:hideMark/>
          </w:tcPr>
          <w:p w14:paraId="092AE9BD" w14:textId="77777777" w:rsidR="000D07EA" w:rsidRDefault="00BE7C89">
            <w:pPr>
              <w:pStyle w:val="BodyText"/>
              <w:spacing w:before="100" w:after="100"/>
              <w:rPr>
                <w:bCs/>
                <w:lang w:val="en-AU"/>
              </w:rPr>
            </w:pPr>
            <w:r>
              <w:rPr>
                <w:bCs/>
              </w:rPr>
              <w:t>No</w:t>
            </w:r>
          </w:p>
        </w:tc>
      </w:tr>
      <w:tr w:rsidR="000D07EA" w14:paraId="24F9ADB8" w14:textId="77777777">
        <w:tc>
          <w:tcPr>
            <w:tcW w:w="2500" w:type="pct"/>
            <w:hideMark/>
          </w:tcPr>
          <w:p w14:paraId="47B5ADD6" w14:textId="77777777" w:rsidR="000D07EA" w:rsidRDefault="00BE7C89">
            <w:pPr>
              <w:pStyle w:val="BodyText"/>
              <w:spacing w:before="100" w:after="100"/>
              <w:rPr>
                <w:bCs/>
                <w:lang w:val="en-AU"/>
              </w:rPr>
            </w:pPr>
            <w:r>
              <w:rPr>
                <w:bCs/>
              </w:rPr>
              <w:t>Premium MMS</w:t>
            </w:r>
          </w:p>
        </w:tc>
        <w:tc>
          <w:tcPr>
            <w:tcW w:w="2500" w:type="pct"/>
            <w:hideMark/>
          </w:tcPr>
          <w:p w14:paraId="1FDAB90B" w14:textId="77777777" w:rsidR="000D07EA" w:rsidRDefault="00BE7C89">
            <w:pPr>
              <w:pStyle w:val="BodyText"/>
              <w:spacing w:before="100" w:after="100"/>
              <w:rPr>
                <w:bCs/>
                <w:lang w:val="en-AU"/>
              </w:rPr>
            </w:pPr>
            <w:r>
              <w:rPr>
                <w:bCs/>
              </w:rPr>
              <w:t>No</w:t>
            </w:r>
          </w:p>
        </w:tc>
      </w:tr>
      <w:tr w:rsidR="000D07EA" w14:paraId="7F653083" w14:textId="77777777">
        <w:tc>
          <w:tcPr>
            <w:tcW w:w="2500" w:type="pct"/>
            <w:hideMark/>
          </w:tcPr>
          <w:p w14:paraId="198A33B4" w14:textId="77777777" w:rsidR="000D07EA" w:rsidRDefault="00BE7C89">
            <w:pPr>
              <w:pStyle w:val="BodyText"/>
              <w:spacing w:before="100" w:after="100"/>
              <w:rPr>
                <w:bCs/>
                <w:lang w:val="en-AU"/>
              </w:rPr>
            </w:pPr>
            <w:r>
              <w:rPr>
                <w:bCs/>
              </w:rPr>
              <w:t>National Diversions</w:t>
            </w:r>
          </w:p>
        </w:tc>
        <w:tc>
          <w:tcPr>
            <w:tcW w:w="2500" w:type="pct"/>
            <w:hideMark/>
          </w:tcPr>
          <w:p w14:paraId="65EE3B48" w14:textId="77777777" w:rsidR="000D07EA" w:rsidRDefault="00BE7C89">
            <w:pPr>
              <w:pStyle w:val="BodyText"/>
              <w:spacing w:before="100" w:after="100"/>
              <w:rPr>
                <w:bCs/>
                <w:lang w:val="en-AU"/>
              </w:rPr>
            </w:pPr>
            <w:r>
              <w:rPr>
                <w:bCs/>
              </w:rPr>
              <w:t>No</w:t>
            </w:r>
          </w:p>
        </w:tc>
      </w:tr>
      <w:tr w:rsidR="000D07EA" w14:paraId="799E4278" w14:textId="77777777">
        <w:tc>
          <w:tcPr>
            <w:tcW w:w="2500" w:type="pct"/>
            <w:hideMark/>
          </w:tcPr>
          <w:p w14:paraId="68031F5A" w14:textId="77777777" w:rsidR="000D07EA" w:rsidRDefault="00BE7C89">
            <w:pPr>
              <w:pStyle w:val="BodyText"/>
              <w:spacing w:before="100" w:after="100"/>
              <w:rPr>
                <w:bCs/>
                <w:lang w:val="en-AU"/>
              </w:rPr>
            </w:pPr>
            <w:r>
              <w:rPr>
                <w:bCs/>
              </w:rPr>
              <w:t>Voicemail Deposit and Retrievals</w:t>
            </w:r>
          </w:p>
        </w:tc>
        <w:tc>
          <w:tcPr>
            <w:tcW w:w="2500" w:type="pct"/>
            <w:hideMark/>
          </w:tcPr>
          <w:p w14:paraId="5AD6B302" w14:textId="77777777" w:rsidR="000D07EA" w:rsidRDefault="00BE7C89">
            <w:pPr>
              <w:pStyle w:val="BodyText"/>
              <w:spacing w:before="100" w:after="100"/>
              <w:rPr>
                <w:bCs/>
                <w:lang w:val="en-AU"/>
              </w:rPr>
            </w:pPr>
            <w:r>
              <w:rPr>
                <w:bCs/>
              </w:rPr>
              <w:t>No</w:t>
            </w:r>
          </w:p>
        </w:tc>
      </w:tr>
      <w:tr w:rsidR="000D07EA" w14:paraId="3C8EAFE0" w14:textId="77777777">
        <w:tc>
          <w:tcPr>
            <w:tcW w:w="2500" w:type="pct"/>
            <w:hideMark/>
          </w:tcPr>
          <w:p w14:paraId="4768E144" w14:textId="77777777" w:rsidR="000D07EA" w:rsidRDefault="00BE7C89">
            <w:pPr>
              <w:pStyle w:val="BodyText"/>
              <w:spacing w:before="100" w:after="100"/>
              <w:rPr>
                <w:bCs/>
                <w:lang w:val="en-AU"/>
              </w:rPr>
            </w:pPr>
            <w:r>
              <w:rPr>
                <w:bCs/>
              </w:rPr>
              <w:t>International Roaming and Diversion</w:t>
            </w:r>
          </w:p>
        </w:tc>
        <w:tc>
          <w:tcPr>
            <w:tcW w:w="2500" w:type="pct"/>
            <w:hideMark/>
          </w:tcPr>
          <w:p w14:paraId="1D96C84B" w14:textId="77777777" w:rsidR="000D07EA" w:rsidRDefault="00BE7C89">
            <w:pPr>
              <w:pStyle w:val="BodyText"/>
              <w:spacing w:before="100" w:after="100"/>
              <w:rPr>
                <w:bCs/>
                <w:lang w:val="en-AU"/>
              </w:rPr>
            </w:pPr>
            <w:r>
              <w:rPr>
                <w:bCs/>
              </w:rPr>
              <w:t>No</w:t>
            </w:r>
          </w:p>
        </w:tc>
      </w:tr>
      <w:tr w:rsidR="000D07EA" w14:paraId="73DE8DDE" w14:textId="77777777">
        <w:tc>
          <w:tcPr>
            <w:tcW w:w="2500" w:type="pct"/>
            <w:hideMark/>
          </w:tcPr>
          <w:p w14:paraId="48FDFAEB" w14:textId="77777777" w:rsidR="000D07EA" w:rsidRDefault="00BE7C89">
            <w:pPr>
              <w:pStyle w:val="BodyText"/>
              <w:spacing w:before="100" w:after="100"/>
              <w:rPr>
                <w:bCs/>
                <w:lang w:val="en-AU"/>
              </w:rPr>
            </w:pPr>
            <w:r>
              <w:rPr>
                <w:bCs/>
              </w:rPr>
              <w:t>Video Conferencing</w:t>
            </w:r>
          </w:p>
        </w:tc>
        <w:tc>
          <w:tcPr>
            <w:tcW w:w="2500" w:type="pct"/>
            <w:hideMark/>
          </w:tcPr>
          <w:p w14:paraId="528FDB58" w14:textId="77777777" w:rsidR="000D07EA" w:rsidRDefault="00BE7C89">
            <w:pPr>
              <w:pStyle w:val="BodyText"/>
              <w:spacing w:before="100" w:after="100"/>
              <w:rPr>
                <w:bCs/>
                <w:lang w:val="en-AU"/>
              </w:rPr>
            </w:pPr>
            <w:r>
              <w:rPr>
                <w:bCs/>
              </w:rPr>
              <w:t>No</w:t>
            </w:r>
          </w:p>
        </w:tc>
      </w:tr>
      <w:tr w:rsidR="000D07EA" w14:paraId="45FF320A" w14:textId="77777777">
        <w:tc>
          <w:tcPr>
            <w:tcW w:w="2500" w:type="pct"/>
            <w:hideMark/>
          </w:tcPr>
          <w:p w14:paraId="3BF561C1" w14:textId="77777777" w:rsidR="000D07EA" w:rsidRDefault="00BE7C89">
            <w:pPr>
              <w:pStyle w:val="BodyText"/>
              <w:spacing w:before="100" w:after="100"/>
              <w:rPr>
                <w:bCs/>
                <w:lang w:val="en-AU"/>
              </w:rPr>
            </w:pPr>
            <w:r>
              <w:rPr>
                <w:bCs/>
              </w:rPr>
              <w:t>BlackBerry Email</w:t>
            </w:r>
          </w:p>
        </w:tc>
        <w:tc>
          <w:tcPr>
            <w:tcW w:w="2500" w:type="pct"/>
            <w:hideMark/>
          </w:tcPr>
          <w:p w14:paraId="4FB3F65D" w14:textId="77777777" w:rsidR="000D07EA" w:rsidRDefault="00BE7C89">
            <w:pPr>
              <w:pStyle w:val="BodyText"/>
              <w:spacing w:before="100" w:after="100"/>
              <w:rPr>
                <w:bCs/>
                <w:lang w:val="en-AU"/>
              </w:rPr>
            </w:pPr>
            <w:r>
              <w:rPr>
                <w:bCs/>
              </w:rPr>
              <w:t>No</w:t>
            </w:r>
          </w:p>
        </w:tc>
      </w:tr>
      <w:tr w:rsidR="000D07EA" w14:paraId="7E6D8DE8" w14:textId="77777777">
        <w:tc>
          <w:tcPr>
            <w:tcW w:w="2500" w:type="pct"/>
            <w:hideMark/>
          </w:tcPr>
          <w:p w14:paraId="6A2F84D1" w14:textId="77777777" w:rsidR="000D07EA" w:rsidRDefault="00BE7C89">
            <w:pPr>
              <w:pStyle w:val="BodyText"/>
              <w:spacing w:before="100" w:after="100"/>
              <w:rPr>
                <w:bCs/>
                <w:lang w:val="en-AU"/>
              </w:rPr>
            </w:pPr>
            <w:r>
              <w:rPr>
                <w:bCs/>
              </w:rPr>
              <w:t>Optus Zoo Browsing*</w:t>
            </w:r>
          </w:p>
        </w:tc>
        <w:tc>
          <w:tcPr>
            <w:tcW w:w="2500" w:type="pct"/>
            <w:hideMark/>
          </w:tcPr>
          <w:p w14:paraId="3C07484D" w14:textId="77777777" w:rsidR="000D07EA" w:rsidRDefault="00BE7C89">
            <w:pPr>
              <w:pStyle w:val="BodyText"/>
              <w:spacing w:before="100" w:after="100"/>
              <w:rPr>
                <w:bCs/>
                <w:lang w:val="en-AU"/>
              </w:rPr>
            </w:pPr>
            <w:r>
              <w:t>Yes, up to the monthly included data amount specified in Table 3A.</w:t>
            </w:r>
          </w:p>
        </w:tc>
      </w:tr>
      <w:tr w:rsidR="000D07EA" w14:paraId="3C59FC15" w14:textId="77777777">
        <w:tc>
          <w:tcPr>
            <w:tcW w:w="2500" w:type="pct"/>
            <w:hideMark/>
          </w:tcPr>
          <w:p w14:paraId="4BE9F89D" w14:textId="77777777" w:rsidR="000D07EA" w:rsidRDefault="00BE7C89">
            <w:pPr>
              <w:pStyle w:val="BodyText"/>
              <w:spacing w:before="100" w:after="100"/>
              <w:rPr>
                <w:bCs/>
                <w:lang w:val="en-AU"/>
              </w:rPr>
            </w:pPr>
            <w:r>
              <w:rPr>
                <w:bCs/>
              </w:rPr>
              <w:t>Optus Zoo Downloads</w:t>
            </w:r>
          </w:p>
        </w:tc>
        <w:tc>
          <w:tcPr>
            <w:tcW w:w="2500" w:type="pct"/>
            <w:hideMark/>
          </w:tcPr>
          <w:p w14:paraId="69F37846" w14:textId="77777777" w:rsidR="000D07EA" w:rsidRDefault="00BE7C89">
            <w:pPr>
              <w:pStyle w:val="BodyText"/>
              <w:spacing w:before="100" w:after="100"/>
              <w:rPr>
                <w:bCs/>
                <w:lang w:val="en-AU"/>
              </w:rPr>
            </w:pPr>
            <w:r>
              <w:rPr>
                <w:bCs/>
              </w:rPr>
              <w:t>No</w:t>
            </w:r>
          </w:p>
        </w:tc>
      </w:tr>
      <w:tr w:rsidR="000D07EA" w14:paraId="6CB5629E" w14:textId="77777777">
        <w:tc>
          <w:tcPr>
            <w:tcW w:w="2500" w:type="pct"/>
            <w:hideMark/>
          </w:tcPr>
          <w:p w14:paraId="6328859F" w14:textId="77777777" w:rsidR="000D07EA" w:rsidRDefault="00BE7C89">
            <w:pPr>
              <w:pStyle w:val="BodyText"/>
              <w:spacing w:before="100" w:after="100"/>
              <w:rPr>
                <w:bCs/>
                <w:lang w:val="en-AU"/>
              </w:rPr>
            </w:pPr>
            <w:r>
              <w:rPr>
                <w:bCs/>
              </w:rPr>
              <w:lastRenderedPageBreak/>
              <w:t>SMS to 966 (Zoo)</w:t>
            </w:r>
          </w:p>
        </w:tc>
        <w:tc>
          <w:tcPr>
            <w:tcW w:w="2500" w:type="pct"/>
            <w:hideMark/>
          </w:tcPr>
          <w:p w14:paraId="249B165B" w14:textId="77777777" w:rsidR="000D07EA" w:rsidRDefault="00BE7C89">
            <w:pPr>
              <w:pStyle w:val="BodyText"/>
              <w:spacing w:before="100" w:after="100"/>
              <w:rPr>
                <w:bCs/>
                <w:lang w:val="en-AU"/>
              </w:rPr>
            </w:pPr>
            <w:r>
              <w:rPr>
                <w:bCs/>
              </w:rPr>
              <w:t>No</w:t>
            </w:r>
          </w:p>
        </w:tc>
      </w:tr>
      <w:tr w:rsidR="000D07EA" w14:paraId="24BE9024" w14:textId="77777777">
        <w:tc>
          <w:tcPr>
            <w:tcW w:w="2500" w:type="pct"/>
            <w:hideMark/>
          </w:tcPr>
          <w:p w14:paraId="05954522" w14:textId="77777777" w:rsidR="000D07EA" w:rsidRDefault="00BE7C89">
            <w:pPr>
              <w:pStyle w:val="BodyText"/>
              <w:spacing w:before="100" w:after="100"/>
              <w:rPr>
                <w:bCs/>
                <w:lang w:val="en-AU"/>
              </w:rPr>
            </w:pPr>
            <w:r>
              <w:rPr>
                <w:bCs/>
              </w:rPr>
              <w:t>Mobile Internet usage*</w:t>
            </w:r>
          </w:p>
        </w:tc>
        <w:tc>
          <w:tcPr>
            <w:tcW w:w="2500" w:type="pct"/>
            <w:hideMark/>
          </w:tcPr>
          <w:p w14:paraId="4A89D509" w14:textId="77777777" w:rsidR="000D07EA" w:rsidRDefault="00BE7C89">
            <w:pPr>
              <w:pStyle w:val="BodyText"/>
              <w:spacing w:before="100" w:after="100"/>
              <w:rPr>
                <w:bCs/>
                <w:lang w:val="en-AU"/>
              </w:rPr>
            </w:pPr>
            <w:r>
              <w:t>Yes, up to the monthly included data amount specified in Table 3A.</w:t>
            </w:r>
          </w:p>
        </w:tc>
      </w:tr>
      <w:tr w:rsidR="000D07EA" w14:paraId="25E36567" w14:textId="77777777">
        <w:tc>
          <w:tcPr>
            <w:tcW w:w="2500" w:type="pct"/>
            <w:hideMark/>
          </w:tcPr>
          <w:p w14:paraId="3DAC6EB3" w14:textId="77777777" w:rsidR="000D07EA" w:rsidRDefault="00BE7C89">
            <w:pPr>
              <w:pStyle w:val="BodyText"/>
              <w:spacing w:before="100" w:after="100"/>
              <w:rPr>
                <w:bCs/>
                <w:lang w:val="en-AU"/>
              </w:rPr>
            </w:pPr>
            <w:r>
              <w:t>Mobile as Modem</w:t>
            </w:r>
          </w:p>
        </w:tc>
        <w:tc>
          <w:tcPr>
            <w:tcW w:w="2500" w:type="pct"/>
            <w:hideMark/>
          </w:tcPr>
          <w:p w14:paraId="1B1F96A8" w14:textId="77777777" w:rsidR="000D07EA" w:rsidRDefault="00BE7C89">
            <w:pPr>
              <w:pStyle w:val="BodyText"/>
              <w:spacing w:before="100" w:after="100"/>
              <w:rPr>
                <w:bCs/>
                <w:lang w:val="en-AU"/>
              </w:rPr>
            </w:pPr>
            <w:r>
              <w:t>Yes</w:t>
            </w:r>
          </w:p>
        </w:tc>
      </w:tr>
      <w:tr w:rsidR="000D07EA" w14:paraId="620676CB" w14:textId="77777777">
        <w:tc>
          <w:tcPr>
            <w:tcW w:w="2500" w:type="pct"/>
            <w:hideMark/>
          </w:tcPr>
          <w:p w14:paraId="1FB5E701" w14:textId="77777777" w:rsidR="000D07EA" w:rsidRDefault="00BE7C89">
            <w:pPr>
              <w:pStyle w:val="BodyText"/>
              <w:spacing w:before="100" w:after="100"/>
              <w:rPr>
                <w:bCs/>
                <w:lang w:val="en-AU"/>
              </w:rPr>
            </w:pPr>
            <w:r>
              <w:rPr>
                <w:bCs/>
              </w:rPr>
              <w:t>Data Used while Roaming Internationally</w:t>
            </w:r>
          </w:p>
        </w:tc>
        <w:tc>
          <w:tcPr>
            <w:tcW w:w="2500" w:type="pct"/>
            <w:hideMark/>
          </w:tcPr>
          <w:p w14:paraId="206BC8E3" w14:textId="77777777" w:rsidR="000D07EA" w:rsidRDefault="00BE7C89">
            <w:pPr>
              <w:pStyle w:val="BodyText"/>
              <w:spacing w:before="100" w:after="100"/>
              <w:rPr>
                <w:bCs/>
                <w:lang w:val="en-AU"/>
              </w:rPr>
            </w:pPr>
            <w:r>
              <w:rPr>
                <w:bCs/>
              </w:rPr>
              <w:t>No</w:t>
            </w:r>
          </w:p>
        </w:tc>
      </w:tr>
      <w:tr w:rsidR="000D07EA" w14:paraId="08CFF128" w14:textId="77777777">
        <w:tc>
          <w:tcPr>
            <w:tcW w:w="2500" w:type="pct"/>
            <w:hideMark/>
          </w:tcPr>
          <w:p w14:paraId="2D082AC8" w14:textId="77777777" w:rsidR="000D07EA" w:rsidRDefault="00BE7C89">
            <w:pPr>
              <w:pStyle w:val="BodyText"/>
              <w:spacing w:before="100" w:after="100"/>
              <w:rPr>
                <w:bCs/>
                <w:lang w:val="en-AU"/>
              </w:rPr>
            </w:pPr>
            <w:r>
              <w:rPr>
                <w:bCs/>
              </w:rPr>
              <w:t xml:space="preserve">Content Packs </w:t>
            </w:r>
          </w:p>
        </w:tc>
        <w:tc>
          <w:tcPr>
            <w:tcW w:w="2500" w:type="pct"/>
            <w:hideMark/>
          </w:tcPr>
          <w:p w14:paraId="2D5DF6C0" w14:textId="77777777" w:rsidR="000D07EA" w:rsidRDefault="00BE7C89">
            <w:pPr>
              <w:pStyle w:val="BodyText"/>
              <w:spacing w:before="100" w:after="100"/>
              <w:rPr>
                <w:bCs/>
                <w:lang w:val="en-AU"/>
              </w:rPr>
            </w:pPr>
            <w:r>
              <w:rPr>
                <w:bCs/>
              </w:rPr>
              <w:t>No</w:t>
            </w:r>
          </w:p>
        </w:tc>
      </w:tr>
      <w:tr w:rsidR="000D07EA" w14:paraId="745425E3" w14:textId="77777777">
        <w:tc>
          <w:tcPr>
            <w:tcW w:w="2500" w:type="pct"/>
            <w:hideMark/>
          </w:tcPr>
          <w:p w14:paraId="2C6330FF" w14:textId="77777777" w:rsidR="000D07EA" w:rsidRDefault="00BE7C89">
            <w:pPr>
              <w:pStyle w:val="BodyText"/>
              <w:spacing w:before="100" w:after="100"/>
              <w:rPr>
                <w:bCs/>
                <w:lang w:val="en-AU"/>
              </w:rPr>
            </w:pPr>
            <w:r>
              <w:rPr>
                <w:bCs/>
              </w:rPr>
              <w:t>TrueLocal Usage</w:t>
            </w:r>
          </w:p>
        </w:tc>
        <w:tc>
          <w:tcPr>
            <w:tcW w:w="2500" w:type="pct"/>
            <w:hideMark/>
          </w:tcPr>
          <w:p w14:paraId="745B7994" w14:textId="77777777" w:rsidR="000D07EA" w:rsidRDefault="00BE7C89">
            <w:pPr>
              <w:pStyle w:val="BodyText"/>
              <w:spacing w:before="100" w:after="100"/>
              <w:rPr>
                <w:bCs/>
                <w:lang w:val="en-AU"/>
              </w:rPr>
            </w:pPr>
            <w:r>
              <w:rPr>
                <w:bCs/>
              </w:rPr>
              <w:t>No</w:t>
            </w:r>
          </w:p>
        </w:tc>
      </w:tr>
      <w:tr w:rsidR="000D07EA" w14:paraId="26BB9601" w14:textId="77777777">
        <w:tc>
          <w:tcPr>
            <w:tcW w:w="2500" w:type="pct"/>
            <w:hideMark/>
          </w:tcPr>
          <w:p w14:paraId="5B3E70DF" w14:textId="77777777" w:rsidR="000D07EA" w:rsidRDefault="00BE7C89">
            <w:pPr>
              <w:pStyle w:val="BodyText"/>
              <w:spacing w:before="100" w:after="100"/>
              <w:rPr>
                <w:bCs/>
                <w:lang w:val="en-AU"/>
              </w:rPr>
            </w:pPr>
            <w:r>
              <w:rPr>
                <w:bCs/>
              </w:rPr>
              <w:t xml:space="preserve">Directory Assistance- 1223 </w:t>
            </w:r>
          </w:p>
        </w:tc>
        <w:tc>
          <w:tcPr>
            <w:tcW w:w="2500" w:type="pct"/>
            <w:hideMark/>
          </w:tcPr>
          <w:p w14:paraId="057CFB26" w14:textId="77777777" w:rsidR="000D07EA" w:rsidRDefault="00BE7C89">
            <w:pPr>
              <w:pStyle w:val="BodyText"/>
              <w:spacing w:before="100" w:after="100"/>
              <w:rPr>
                <w:bCs/>
                <w:lang w:val="en-AU"/>
              </w:rPr>
            </w:pPr>
            <w:r>
              <w:rPr>
                <w:bCs/>
              </w:rPr>
              <w:t>No</w:t>
            </w:r>
          </w:p>
        </w:tc>
      </w:tr>
      <w:tr w:rsidR="000D07EA" w14:paraId="06E295AC" w14:textId="77777777">
        <w:tc>
          <w:tcPr>
            <w:tcW w:w="2500" w:type="pct"/>
            <w:hideMark/>
          </w:tcPr>
          <w:p w14:paraId="05767CDC" w14:textId="77777777" w:rsidR="000D07EA" w:rsidRDefault="00BE7C89">
            <w:pPr>
              <w:pStyle w:val="BodyText"/>
              <w:spacing w:before="100" w:after="100"/>
              <w:rPr>
                <w:bCs/>
                <w:lang w:val="en-AU"/>
              </w:rPr>
            </w:pPr>
            <w:r>
              <w:rPr>
                <w:bCs/>
              </w:rPr>
              <w:t>19XX Numbers</w:t>
            </w:r>
          </w:p>
        </w:tc>
        <w:tc>
          <w:tcPr>
            <w:tcW w:w="2500" w:type="pct"/>
            <w:hideMark/>
          </w:tcPr>
          <w:p w14:paraId="2DA0A4E4" w14:textId="77777777" w:rsidR="000D07EA" w:rsidRDefault="00BE7C89">
            <w:pPr>
              <w:pStyle w:val="BodyText"/>
              <w:spacing w:before="100" w:after="100"/>
              <w:rPr>
                <w:bCs/>
                <w:lang w:val="en-AU"/>
              </w:rPr>
            </w:pPr>
            <w:r>
              <w:rPr>
                <w:bCs/>
              </w:rPr>
              <w:t>No</w:t>
            </w:r>
          </w:p>
        </w:tc>
      </w:tr>
      <w:tr w:rsidR="000D07EA" w14:paraId="54E446D4" w14:textId="77777777">
        <w:tc>
          <w:tcPr>
            <w:tcW w:w="2500" w:type="pct"/>
            <w:hideMark/>
          </w:tcPr>
          <w:p w14:paraId="3D94AEF7" w14:textId="77777777" w:rsidR="000D07EA" w:rsidRDefault="00BE7C89">
            <w:pPr>
              <w:pStyle w:val="BodyText"/>
              <w:spacing w:before="100" w:after="100"/>
              <w:rPr>
                <w:bCs/>
                <w:lang w:val="en-AU"/>
              </w:rPr>
            </w:pPr>
            <w:r>
              <w:rPr>
                <w:bCs/>
              </w:rPr>
              <w:t>1800, 13 and 1300 numbers</w:t>
            </w:r>
          </w:p>
        </w:tc>
        <w:tc>
          <w:tcPr>
            <w:tcW w:w="2500" w:type="pct"/>
            <w:hideMark/>
          </w:tcPr>
          <w:p w14:paraId="0C091E83" w14:textId="77777777" w:rsidR="000D07EA" w:rsidRDefault="00BE7C89">
            <w:pPr>
              <w:pStyle w:val="BodyText"/>
              <w:spacing w:before="100" w:after="100"/>
              <w:rPr>
                <w:bCs/>
                <w:lang w:val="en-AU"/>
              </w:rPr>
            </w:pPr>
            <w:r>
              <w:rPr>
                <w:bCs/>
              </w:rPr>
              <w:t>No</w:t>
            </w:r>
          </w:p>
        </w:tc>
      </w:tr>
      <w:tr w:rsidR="000D07EA" w14:paraId="4D97DAC4" w14:textId="77777777">
        <w:tc>
          <w:tcPr>
            <w:tcW w:w="2500" w:type="pct"/>
            <w:hideMark/>
          </w:tcPr>
          <w:p w14:paraId="547E188B" w14:textId="77777777" w:rsidR="000D07EA" w:rsidRDefault="00BE7C89">
            <w:pPr>
              <w:pStyle w:val="BodyText"/>
              <w:spacing w:before="100" w:after="100"/>
              <w:rPr>
                <w:bCs/>
                <w:lang w:val="en-AU"/>
              </w:rPr>
            </w:pPr>
            <w:r>
              <w:rPr>
                <w:bCs/>
              </w:rPr>
              <w:t>124YES(937)</w:t>
            </w:r>
          </w:p>
        </w:tc>
        <w:tc>
          <w:tcPr>
            <w:tcW w:w="2500" w:type="pct"/>
            <w:hideMark/>
          </w:tcPr>
          <w:p w14:paraId="04806B0F" w14:textId="77777777" w:rsidR="000D07EA" w:rsidRDefault="00BE7C89">
            <w:pPr>
              <w:pStyle w:val="BodyText"/>
              <w:spacing w:before="100" w:after="100"/>
              <w:rPr>
                <w:bCs/>
                <w:lang w:val="en-AU"/>
              </w:rPr>
            </w:pPr>
            <w:r>
              <w:rPr>
                <w:bCs/>
              </w:rPr>
              <w:t>No</w:t>
            </w:r>
          </w:p>
        </w:tc>
      </w:tr>
      <w:tr w:rsidR="000D07EA" w14:paraId="1DA97528" w14:textId="77777777">
        <w:tc>
          <w:tcPr>
            <w:tcW w:w="2500" w:type="pct"/>
            <w:hideMark/>
          </w:tcPr>
          <w:p w14:paraId="55B07382" w14:textId="77777777" w:rsidR="000D07EA" w:rsidRDefault="00BE7C89">
            <w:pPr>
              <w:pStyle w:val="BodyText"/>
              <w:spacing w:before="100" w:after="100"/>
              <w:rPr>
                <w:bCs/>
                <w:lang w:val="en-AU"/>
              </w:rPr>
            </w:pPr>
            <w:r>
              <w:rPr>
                <w:bCs/>
              </w:rPr>
              <w:t>Insurance</w:t>
            </w:r>
          </w:p>
        </w:tc>
        <w:tc>
          <w:tcPr>
            <w:tcW w:w="2500" w:type="pct"/>
            <w:hideMark/>
          </w:tcPr>
          <w:p w14:paraId="6D4C280D" w14:textId="77777777" w:rsidR="000D07EA" w:rsidRDefault="00BE7C89">
            <w:pPr>
              <w:pStyle w:val="BodyText"/>
              <w:spacing w:before="100" w:after="100"/>
              <w:rPr>
                <w:bCs/>
                <w:lang w:val="en-AU"/>
              </w:rPr>
            </w:pPr>
            <w:r>
              <w:rPr>
                <w:bCs/>
              </w:rPr>
              <w:t>No</w:t>
            </w:r>
          </w:p>
        </w:tc>
      </w:tr>
      <w:tr w:rsidR="000D07EA" w14:paraId="1E757E66" w14:textId="77777777">
        <w:tc>
          <w:tcPr>
            <w:tcW w:w="2500" w:type="pct"/>
            <w:hideMark/>
          </w:tcPr>
          <w:p w14:paraId="090051E2" w14:textId="77777777" w:rsidR="000D07EA" w:rsidRDefault="00BE7C89">
            <w:pPr>
              <w:pStyle w:val="BodyText"/>
              <w:spacing w:before="100" w:after="100"/>
              <w:rPr>
                <w:bCs/>
                <w:lang w:val="en-AU"/>
              </w:rPr>
            </w:pPr>
            <w:r>
              <w:rPr>
                <w:bCs/>
              </w:rPr>
              <w:t>Handset Payments</w:t>
            </w:r>
          </w:p>
        </w:tc>
        <w:tc>
          <w:tcPr>
            <w:tcW w:w="2500" w:type="pct"/>
            <w:hideMark/>
          </w:tcPr>
          <w:p w14:paraId="6C51F01D" w14:textId="77777777" w:rsidR="000D07EA" w:rsidRDefault="00BE7C89">
            <w:pPr>
              <w:pStyle w:val="BodyText"/>
              <w:spacing w:before="100" w:after="100"/>
              <w:rPr>
                <w:bCs/>
                <w:lang w:val="en-AU"/>
              </w:rPr>
            </w:pPr>
            <w:r>
              <w:rPr>
                <w:bCs/>
              </w:rPr>
              <w:t>No</w:t>
            </w:r>
          </w:p>
        </w:tc>
      </w:tr>
      <w:tr w:rsidR="000D07EA" w14:paraId="7836BD33" w14:textId="77777777">
        <w:tc>
          <w:tcPr>
            <w:tcW w:w="2500" w:type="pct"/>
            <w:hideMark/>
          </w:tcPr>
          <w:p w14:paraId="1C7EDE42" w14:textId="77777777" w:rsidR="000D07EA" w:rsidRDefault="00BE7C89">
            <w:pPr>
              <w:pStyle w:val="BodyText"/>
              <w:spacing w:before="100" w:after="100"/>
              <w:rPr>
                <w:bCs/>
                <w:lang w:val="en-AU"/>
              </w:rPr>
            </w:pPr>
            <w:r>
              <w:rPr>
                <w:bCs/>
              </w:rPr>
              <w:t>Calls to Satellite</w:t>
            </w:r>
          </w:p>
        </w:tc>
        <w:tc>
          <w:tcPr>
            <w:tcW w:w="2500" w:type="pct"/>
            <w:hideMark/>
          </w:tcPr>
          <w:p w14:paraId="4A213D3A" w14:textId="77777777" w:rsidR="000D07EA" w:rsidRDefault="00BE7C89">
            <w:pPr>
              <w:pStyle w:val="BodyText"/>
              <w:spacing w:before="100" w:after="100"/>
              <w:rPr>
                <w:bCs/>
                <w:lang w:val="en-AU"/>
              </w:rPr>
            </w:pPr>
            <w:r>
              <w:rPr>
                <w:bCs/>
              </w:rPr>
              <w:t>No</w:t>
            </w:r>
          </w:p>
        </w:tc>
      </w:tr>
      <w:tr w:rsidR="000D07EA" w14:paraId="39D46009" w14:textId="77777777">
        <w:tc>
          <w:tcPr>
            <w:tcW w:w="2500" w:type="pct"/>
            <w:hideMark/>
          </w:tcPr>
          <w:p w14:paraId="67053347" w14:textId="77777777" w:rsidR="000D07EA" w:rsidRDefault="00BE7C89">
            <w:pPr>
              <w:pStyle w:val="BodyText"/>
              <w:spacing w:before="100" w:after="100"/>
              <w:rPr>
                <w:bCs/>
                <w:lang w:val="en-AU"/>
              </w:rPr>
            </w:pPr>
            <w:r>
              <w:rPr>
                <w:bCs/>
              </w:rPr>
              <w:t>VOIP services</w:t>
            </w:r>
          </w:p>
        </w:tc>
        <w:tc>
          <w:tcPr>
            <w:tcW w:w="2500" w:type="pct"/>
            <w:hideMark/>
          </w:tcPr>
          <w:p w14:paraId="4D8D1E68" w14:textId="77777777" w:rsidR="000D07EA" w:rsidRDefault="00BE7C89">
            <w:pPr>
              <w:pStyle w:val="BodyText"/>
              <w:spacing w:before="100" w:after="100"/>
              <w:rPr>
                <w:bCs/>
                <w:lang w:val="en-AU"/>
              </w:rPr>
            </w:pPr>
            <w:r>
              <w:rPr>
                <w:bCs/>
              </w:rPr>
              <w:t>No</w:t>
            </w:r>
          </w:p>
        </w:tc>
      </w:tr>
      <w:tr w:rsidR="000D07EA" w14:paraId="2AB3ABE4" w14:textId="77777777">
        <w:tc>
          <w:tcPr>
            <w:tcW w:w="2500" w:type="pct"/>
            <w:hideMark/>
          </w:tcPr>
          <w:p w14:paraId="23751476" w14:textId="77777777" w:rsidR="000D07EA" w:rsidRDefault="00BE7C89">
            <w:pPr>
              <w:pStyle w:val="BodyText"/>
              <w:spacing w:before="100" w:after="100"/>
              <w:rPr>
                <w:bCs/>
                <w:lang w:val="en-AU"/>
              </w:rPr>
            </w:pPr>
            <w:r>
              <w:rPr>
                <w:bCs/>
              </w:rPr>
              <w:t>Surepage</w:t>
            </w:r>
          </w:p>
        </w:tc>
        <w:tc>
          <w:tcPr>
            <w:tcW w:w="2500" w:type="pct"/>
            <w:hideMark/>
          </w:tcPr>
          <w:p w14:paraId="5D9EA884" w14:textId="77777777" w:rsidR="000D07EA" w:rsidRDefault="00BE7C89">
            <w:pPr>
              <w:pStyle w:val="BodyText"/>
              <w:spacing w:before="100" w:after="100"/>
              <w:rPr>
                <w:bCs/>
                <w:lang w:val="en-AU"/>
              </w:rPr>
            </w:pPr>
            <w:r>
              <w:rPr>
                <w:bCs/>
              </w:rPr>
              <w:t>No</w:t>
            </w:r>
          </w:p>
        </w:tc>
      </w:tr>
    </w:tbl>
    <w:p w14:paraId="49D61ECC" w14:textId="77777777" w:rsidR="000D07EA" w:rsidRDefault="000D07EA">
      <w:pPr>
        <w:pStyle w:val="BodyText"/>
      </w:pPr>
    </w:p>
    <w:p w14:paraId="36685133" w14:textId="77777777" w:rsidR="000D07EA" w:rsidRDefault="00BE7C89">
      <w:pPr>
        <w:pStyle w:val="BodyText"/>
        <w:spacing w:before="240"/>
        <w:ind w:left="1440"/>
      </w:pPr>
      <w:r>
        <w:rPr>
          <w:b/>
        </w:rPr>
        <w:t>Table 2B – Eligible for Unlimited BlackBerry POP3 Email &amp; Browsing through the BlackBerry Browser</w:t>
      </w:r>
    </w:p>
    <w:tbl>
      <w:tblPr>
        <w:tblW w:w="4298"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379"/>
        <w:gridCol w:w="4379"/>
      </w:tblGrid>
      <w:tr w:rsidR="000D07EA" w14:paraId="348A8B52" w14:textId="77777777">
        <w:trPr>
          <w:trHeight w:val="20"/>
        </w:trPr>
        <w:tc>
          <w:tcPr>
            <w:tcW w:w="2500" w:type="pct"/>
          </w:tcPr>
          <w:p w14:paraId="5AFFEA3E" w14:textId="77777777" w:rsidR="000D07EA" w:rsidRDefault="00BE7C89">
            <w:pPr>
              <w:pStyle w:val="BodyText"/>
              <w:spacing w:before="100" w:after="100"/>
              <w:jc w:val="center"/>
              <w:rPr>
                <w:b/>
                <w:snapToGrid w:val="0"/>
              </w:rPr>
            </w:pPr>
            <w:r>
              <w:rPr>
                <w:b/>
                <w:snapToGrid w:val="0"/>
              </w:rPr>
              <w:t>Call Type</w:t>
            </w:r>
          </w:p>
        </w:tc>
        <w:tc>
          <w:tcPr>
            <w:tcW w:w="2500" w:type="pct"/>
          </w:tcPr>
          <w:p w14:paraId="26CA28C3" w14:textId="77777777" w:rsidR="000D07EA" w:rsidRDefault="00BE7C89">
            <w:pPr>
              <w:pStyle w:val="BodyText"/>
              <w:spacing w:before="100" w:after="100"/>
              <w:jc w:val="center"/>
              <w:rPr>
                <w:b/>
                <w:snapToGrid w:val="0"/>
              </w:rPr>
            </w:pPr>
            <w:r>
              <w:rPr>
                <w:b/>
                <w:snapToGrid w:val="0"/>
              </w:rPr>
              <w:t>Eligible Data</w:t>
            </w:r>
          </w:p>
        </w:tc>
      </w:tr>
      <w:tr w:rsidR="000D07EA" w14:paraId="2707F76F" w14:textId="77777777">
        <w:trPr>
          <w:trHeight w:val="20"/>
        </w:trPr>
        <w:tc>
          <w:tcPr>
            <w:tcW w:w="2500" w:type="pct"/>
          </w:tcPr>
          <w:p w14:paraId="420F9165" w14:textId="77777777" w:rsidR="000D07EA" w:rsidRDefault="00BE7C89">
            <w:pPr>
              <w:pStyle w:val="BodyText"/>
              <w:spacing w:before="100" w:after="100"/>
              <w:jc w:val="center"/>
              <w:rPr>
                <w:snapToGrid w:val="0"/>
              </w:rPr>
            </w:pPr>
            <w:r>
              <w:rPr>
                <w:snapToGrid w:val="0"/>
              </w:rPr>
              <w:t>BlackBerry Email (POP3)</w:t>
            </w:r>
          </w:p>
        </w:tc>
        <w:tc>
          <w:tcPr>
            <w:tcW w:w="2500" w:type="pct"/>
          </w:tcPr>
          <w:p w14:paraId="6A49A9E7" w14:textId="77777777" w:rsidR="000D07EA" w:rsidRDefault="00BE7C89">
            <w:pPr>
              <w:pStyle w:val="BodyText"/>
              <w:spacing w:before="100" w:after="100"/>
              <w:jc w:val="center"/>
              <w:rPr>
                <w:b/>
                <w:snapToGrid w:val="0"/>
              </w:rPr>
            </w:pPr>
            <w:r>
              <w:rPr>
                <w:b/>
                <w:snapToGrid w:val="0"/>
              </w:rPr>
              <w:t>Yes</w:t>
            </w:r>
          </w:p>
        </w:tc>
      </w:tr>
      <w:tr w:rsidR="000D07EA" w14:paraId="5FD1A3A6" w14:textId="77777777">
        <w:trPr>
          <w:trHeight w:val="20"/>
        </w:trPr>
        <w:tc>
          <w:tcPr>
            <w:tcW w:w="2500" w:type="pct"/>
          </w:tcPr>
          <w:p w14:paraId="77AC221B" w14:textId="77777777" w:rsidR="000D07EA" w:rsidRDefault="00BE7C89">
            <w:pPr>
              <w:pStyle w:val="BodyText"/>
              <w:spacing w:before="100" w:after="100"/>
              <w:jc w:val="center"/>
              <w:rPr>
                <w:snapToGrid w:val="0"/>
              </w:rPr>
            </w:pPr>
            <w:r>
              <w:rPr>
                <w:snapToGrid w:val="0"/>
              </w:rPr>
              <w:t>Internet Browsing through the BlackBerry Browser and/or the BlackBerry Internet Browser</w:t>
            </w:r>
          </w:p>
        </w:tc>
        <w:tc>
          <w:tcPr>
            <w:tcW w:w="2500" w:type="pct"/>
          </w:tcPr>
          <w:p w14:paraId="21A55C46" w14:textId="77777777" w:rsidR="000D07EA" w:rsidRDefault="00BE7C89">
            <w:pPr>
              <w:pStyle w:val="BodyText"/>
              <w:spacing w:before="100" w:after="100"/>
              <w:jc w:val="center"/>
              <w:rPr>
                <w:b/>
                <w:snapToGrid w:val="0"/>
              </w:rPr>
            </w:pPr>
            <w:r>
              <w:rPr>
                <w:b/>
                <w:snapToGrid w:val="0"/>
              </w:rPr>
              <w:t>Yes</w:t>
            </w:r>
          </w:p>
        </w:tc>
      </w:tr>
      <w:tr w:rsidR="000D07EA" w14:paraId="53E6BE61" w14:textId="77777777">
        <w:trPr>
          <w:trHeight w:val="20"/>
        </w:trPr>
        <w:tc>
          <w:tcPr>
            <w:tcW w:w="2500" w:type="pct"/>
          </w:tcPr>
          <w:p w14:paraId="087FF651" w14:textId="77777777" w:rsidR="000D07EA" w:rsidRDefault="00BE7C89">
            <w:pPr>
              <w:pStyle w:val="BodyText"/>
              <w:spacing w:before="100" w:after="100"/>
              <w:jc w:val="center"/>
              <w:rPr>
                <w:snapToGrid w:val="0"/>
              </w:rPr>
            </w:pPr>
            <w:r>
              <w:rPr>
                <w:snapToGrid w:val="0"/>
              </w:rPr>
              <w:t>Optus Zoo downloads and subscriptions</w:t>
            </w:r>
          </w:p>
        </w:tc>
        <w:tc>
          <w:tcPr>
            <w:tcW w:w="2500" w:type="pct"/>
          </w:tcPr>
          <w:p w14:paraId="30194131" w14:textId="77777777" w:rsidR="000D07EA" w:rsidRDefault="00BE7C89">
            <w:pPr>
              <w:pStyle w:val="BodyText"/>
              <w:spacing w:before="100" w:after="100"/>
              <w:jc w:val="center"/>
              <w:rPr>
                <w:b/>
              </w:rPr>
            </w:pPr>
            <w:r>
              <w:rPr>
                <w:b/>
                <w:snapToGrid w:val="0"/>
              </w:rPr>
              <w:t>No</w:t>
            </w:r>
          </w:p>
        </w:tc>
      </w:tr>
      <w:tr w:rsidR="000D07EA" w14:paraId="009B68CF" w14:textId="77777777">
        <w:trPr>
          <w:trHeight w:val="20"/>
        </w:trPr>
        <w:tc>
          <w:tcPr>
            <w:tcW w:w="2500" w:type="pct"/>
          </w:tcPr>
          <w:p w14:paraId="56227750" w14:textId="77777777" w:rsidR="000D07EA" w:rsidRDefault="00BE7C89">
            <w:pPr>
              <w:pStyle w:val="BodyText"/>
              <w:spacing w:before="100" w:after="100"/>
              <w:jc w:val="center"/>
              <w:rPr>
                <w:snapToGrid w:val="0"/>
              </w:rPr>
            </w:pPr>
            <w:r>
              <w:rPr>
                <w:snapToGrid w:val="0"/>
              </w:rPr>
              <w:t>Optus Zoo GPRS WAP browsing</w:t>
            </w:r>
          </w:p>
        </w:tc>
        <w:tc>
          <w:tcPr>
            <w:tcW w:w="2500" w:type="pct"/>
          </w:tcPr>
          <w:p w14:paraId="03481D5F" w14:textId="77777777" w:rsidR="000D07EA" w:rsidRDefault="00BE7C89">
            <w:pPr>
              <w:pStyle w:val="BodyText"/>
              <w:spacing w:before="100" w:after="100"/>
              <w:jc w:val="center"/>
              <w:rPr>
                <w:b/>
                <w:snapToGrid w:val="0"/>
              </w:rPr>
            </w:pPr>
            <w:r>
              <w:rPr>
                <w:b/>
                <w:snapToGrid w:val="0"/>
              </w:rPr>
              <w:t>No</w:t>
            </w:r>
          </w:p>
        </w:tc>
      </w:tr>
      <w:tr w:rsidR="000D07EA" w14:paraId="1F51D393" w14:textId="77777777">
        <w:trPr>
          <w:trHeight w:val="20"/>
        </w:trPr>
        <w:tc>
          <w:tcPr>
            <w:tcW w:w="2500" w:type="pct"/>
          </w:tcPr>
          <w:p w14:paraId="65106F84" w14:textId="77777777" w:rsidR="000D07EA" w:rsidRDefault="00BE7C89">
            <w:pPr>
              <w:pStyle w:val="BodyText"/>
              <w:spacing w:before="100" w:after="100"/>
              <w:jc w:val="center"/>
            </w:pPr>
            <w:r>
              <w:t>Applications from Optus and third party applications that require a BlackBerry Data connection</w:t>
            </w:r>
          </w:p>
        </w:tc>
        <w:tc>
          <w:tcPr>
            <w:tcW w:w="2500" w:type="pct"/>
          </w:tcPr>
          <w:p w14:paraId="42931322" w14:textId="77777777" w:rsidR="000D07EA" w:rsidRDefault="00BE7C89">
            <w:pPr>
              <w:pStyle w:val="BodyText"/>
              <w:spacing w:before="100" w:after="100"/>
              <w:jc w:val="center"/>
              <w:rPr>
                <w:b/>
                <w:snapToGrid w:val="0"/>
              </w:rPr>
            </w:pPr>
            <w:r>
              <w:rPr>
                <w:b/>
                <w:snapToGrid w:val="0"/>
              </w:rPr>
              <w:t>Yes</w:t>
            </w:r>
          </w:p>
        </w:tc>
      </w:tr>
      <w:tr w:rsidR="000D07EA" w14:paraId="3C7C425A" w14:textId="77777777">
        <w:trPr>
          <w:trHeight w:val="20"/>
        </w:trPr>
        <w:tc>
          <w:tcPr>
            <w:tcW w:w="2500" w:type="pct"/>
          </w:tcPr>
          <w:p w14:paraId="212E682D" w14:textId="77777777" w:rsidR="000D07EA" w:rsidRDefault="00BE7C89">
            <w:pPr>
              <w:pStyle w:val="BodyText"/>
              <w:spacing w:before="100" w:after="100"/>
              <w:jc w:val="center"/>
              <w:rPr>
                <w:snapToGrid w:val="0"/>
              </w:rPr>
            </w:pPr>
            <w:r>
              <w:rPr>
                <w:snapToGrid w:val="0"/>
              </w:rPr>
              <w:t>All other call types or usage</w:t>
            </w:r>
          </w:p>
        </w:tc>
        <w:tc>
          <w:tcPr>
            <w:tcW w:w="2500" w:type="pct"/>
          </w:tcPr>
          <w:p w14:paraId="0C5F3B8D" w14:textId="77777777" w:rsidR="000D07EA" w:rsidRDefault="00BE7C89">
            <w:pPr>
              <w:pStyle w:val="BodyText"/>
              <w:spacing w:before="100" w:after="100"/>
              <w:jc w:val="center"/>
              <w:rPr>
                <w:b/>
                <w:snapToGrid w:val="0"/>
              </w:rPr>
            </w:pPr>
            <w:r>
              <w:rPr>
                <w:b/>
                <w:snapToGrid w:val="0"/>
              </w:rPr>
              <w:t>No</w:t>
            </w:r>
          </w:p>
        </w:tc>
      </w:tr>
    </w:tbl>
    <w:p w14:paraId="060A3E08" w14:textId="77777777" w:rsidR="000D07EA" w:rsidRDefault="00BE7C89">
      <w:pPr>
        <w:pStyle w:val="BodyText"/>
        <w:keepNext/>
        <w:spacing w:before="240"/>
        <w:ind w:left="1440"/>
        <w:rPr>
          <w:b/>
        </w:rPr>
      </w:pPr>
      <w:r>
        <w:rPr>
          <w:b/>
        </w:rPr>
        <w:lastRenderedPageBreak/>
        <w:t>Table 2C – Charges and Cap Amounts for the Business Complete Advantage Plans</w:t>
      </w:r>
    </w:p>
    <w:tbl>
      <w:tblPr>
        <w:tblW w:w="4287" w:type="pct"/>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80"/>
        <w:gridCol w:w="1385"/>
        <w:gridCol w:w="1385"/>
        <w:gridCol w:w="1385"/>
      </w:tblGrid>
      <w:tr w:rsidR="000D07EA" w14:paraId="338091F2" w14:textId="77777777">
        <w:trPr>
          <w:tblHeader/>
        </w:trPr>
        <w:tc>
          <w:tcPr>
            <w:tcW w:w="2621" w:type="pct"/>
          </w:tcPr>
          <w:p w14:paraId="51FA6962" w14:textId="77777777" w:rsidR="000D07EA" w:rsidRDefault="000D07EA">
            <w:pPr>
              <w:pStyle w:val="BodyText"/>
              <w:spacing w:before="100" w:after="100"/>
              <w:jc w:val="center"/>
              <w:rPr>
                <w:b/>
              </w:rPr>
            </w:pPr>
          </w:p>
        </w:tc>
        <w:tc>
          <w:tcPr>
            <w:tcW w:w="793" w:type="pct"/>
          </w:tcPr>
          <w:p w14:paraId="0EA9C273" w14:textId="77777777" w:rsidR="000D07EA" w:rsidRDefault="00BE7C89">
            <w:pPr>
              <w:pStyle w:val="BodyText"/>
              <w:spacing w:before="100" w:after="100"/>
              <w:jc w:val="center"/>
              <w:rPr>
                <w:b/>
              </w:rPr>
            </w:pPr>
            <w:r>
              <w:rPr>
                <w:b/>
              </w:rPr>
              <w:t>$49 Business Complete Advantage</w:t>
            </w:r>
          </w:p>
        </w:tc>
        <w:tc>
          <w:tcPr>
            <w:tcW w:w="793" w:type="pct"/>
          </w:tcPr>
          <w:p w14:paraId="21957432" w14:textId="77777777" w:rsidR="000D07EA" w:rsidRDefault="00BE7C89">
            <w:pPr>
              <w:pStyle w:val="BodyText"/>
              <w:spacing w:before="100" w:after="100"/>
              <w:jc w:val="center"/>
              <w:rPr>
                <w:b/>
              </w:rPr>
            </w:pPr>
            <w:r>
              <w:rPr>
                <w:b/>
              </w:rPr>
              <w:t>$59 Business Complete Advantage</w:t>
            </w:r>
          </w:p>
        </w:tc>
        <w:tc>
          <w:tcPr>
            <w:tcW w:w="793" w:type="pct"/>
          </w:tcPr>
          <w:p w14:paraId="7D976166" w14:textId="77777777" w:rsidR="000D07EA" w:rsidRDefault="00BE7C89">
            <w:pPr>
              <w:pStyle w:val="BodyText"/>
              <w:spacing w:before="100" w:after="100"/>
              <w:jc w:val="center"/>
              <w:rPr>
                <w:b/>
              </w:rPr>
            </w:pPr>
            <w:r>
              <w:rPr>
                <w:b/>
              </w:rPr>
              <w:t>$79 Business Complete Advantage</w:t>
            </w:r>
          </w:p>
        </w:tc>
      </w:tr>
      <w:tr w:rsidR="000D07EA" w14:paraId="15BE54E2" w14:textId="77777777">
        <w:tc>
          <w:tcPr>
            <w:tcW w:w="2621" w:type="pct"/>
          </w:tcPr>
          <w:p w14:paraId="666BCF8C" w14:textId="77777777" w:rsidR="000D07EA" w:rsidRDefault="00BE7C89">
            <w:pPr>
              <w:pStyle w:val="BodyText"/>
              <w:spacing w:before="100" w:after="100"/>
              <w:rPr>
                <w:b/>
              </w:rPr>
            </w:pPr>
            <w:r>
              <w:rPr>
                <w:b/>
              </w:rPr>
              <w:t>Cap Start</w:t>
            </w:r>
          </w:p>
        </w:tc>
        <w:tc>
          <w:tcPr>
            <w:tcW w:w="793" w:type="pct"/>
          </w:tcPr>
          <w:p w14:paraId="51061782" w14:textId="77777777" w:rsidR="000D07EA" w:rsidRDefault="00BE7C89">
            <w:pPr>
              <w:pStyle w:val="BodyText"/>
              <w:spacing w:before="100" w:after="100"/>
              <w:jc w:val="center"/>
            </w:pPr>
            <w:r>
              <w:t>$49</w:t>
            </w:r>
          </w:p>
        </w:tc>
        <w:tc>
          <w:tcPr>
            <w:tcW w:w="793" w:type="pct"/>
          </w:tcPr>
          <w:p w14:paraId="71C0B469" w14:textId="77777777" w:rsidR="000D07EA" w:rsidRDefault="00BE7C89">
            <w:pPr>
              <w:pStyle w:val="BodyText"/>
              <w:spacing w:before="100" w:after="100"/>
              <w:jc w:val="center"/>
            </w:pPr>
            <w:r>
              <w:t>$59</w:t>
            </w:r>
          </w:p>
        </w:tc>
        <w:tc>
          <w:tcPr>
            <w:tcW w:w="793" w:type="pct"/>
          </w:tcPr>
          <w:p w14:paraId="08D6065A" w14:textId="77777777" w:rsidR="000D07EA" w:rsidRDefault="00BE7C89">
            <w:pPr>
              <w:pStyle w:val="BodyText"/>
              <w:spacing w:before="100" w:after="100"/>
              <w:jc w:val="center"/>
            </w:pPr>
            <w:r>
              <w:t>$79</w:t>
            </w:r>
          </w:p>
        </w:tc>
      </w:tr>
      <w:tr w:rsidR="000D07EA" w14:paraId="68210B57" w14:textId="77777777">
        <w:tc>
          <w:tcPr>
            <w:tcW w:w="2621" w:type="pct"/>
          </w:tcPr>
          <w:p w14:paraId="41CB1FB1" w14:textId="77777777" w:rsidR="000D07EA" w:rsidRDefault="00BE7C89">
            <w:pPr>
              <w:pStyle w:val="BodyText"/>
              <w:spacing w:before="100" w:after="100"/>
              <w:rPr>
                <w:b/>
              </w:rPr>
            </w:pPr>
            <w:r>
              <w:rPr>
                <w:b/>
              </w:rPr>
              <w:t>"Included Cap Value" per month to use within Australia</w:t>
            </w:r>
          </w:p>
        </w:tc>
        <w:tc>
          <w:tcPr>
            <w:tcW w:w="793" w:type="pct"/>
          </w:tcPr>
          <w:p w14:paraId="288BAEFB" w14:textId="77777777" w:rsidR="000D07EA" w:rsidRDefault="00BE7C89">
            <w:pPr>
              <w:pStyle w:val="BodyText"/>
              <w:spacing w:before="100" w:after="100"/>
              <w:jc w:val="center"/>
            </w:pPr>
            <w:r>
              <w:t>$450</w:t>
            </w:r>
          </w:p>
        </w:tc>
        <w:tc>
          <w:tcPr>
            <w:tcW w:w="793" w:type="pct"/>
          </w:tcPr>
          <w:p w14:paraId="11C49952" w14:textId="77777777" w:rsidR="000D07EA" w:rsidRDefault="00BE7C89">
            <w:pPr>
              <w:pStyle w:val="BodyText"/>
              <w:spacing w:before="100" w:after="100"/>
              <w:jc w:val="center"/>
            </w:pPr>
            <w:r>
              <w:t>$550</w:t>
            </w:r>
          </w:p>
        </w:tc>
        <w:tc>
          <w:tcPr>
            <w:tcW w:w="793" w:type="pct"/>
          </w:tcPr>
          <w:p w14:paraId="3E3A92DD" w14:textId="77777777" w:rsidR="000D07EA" w:rsidRDefault="00BE7C89">
            <w:pPr>
              <w:pStyle w:val="BodyText"/>
              <w:spacing w:before="100" w:after="100"/>
              <w:jc w:val="center"/>
            </w:pPr>
            <w:r>
              <w:t>$800</w:t>
            </w:r>
          </w:p>
        </w:tc>
      </w:tr>
      <w:tr w:rsidR="000D07EA" w14:paraId="5C5C9245" w14:textId="77777777">
        <w:tc>
          <w:tcPr>
            <w:tcW w:w="2621" w:type="pct"/>
          </w:tcPr>
          <w:p w14:paraId="56BCE764" w14:textId="77777777" w:rsidR="000D07EA" w:rsidRDefault="00BE7C89">
            <w:pPr>
              <w:pStyle w:val="BodyText"/>
              <w:spacing w:before="100" w:after="100"/>
              <w:rPr>
                <w:b/>
              </w:rPr>
            </w:pPr>
            <w:r>
              <w:rPr>
                <w:b/>
              </w:rPr>
              <w:t>Unlimited Standard National SMS and MMS to use within Australia to Australian GSM mobiles (excludes Pivotel)</w:t>
            </w:r>
          </w:p>
        </w:tc>
        <w:tc>
          <w:tcPr>
            <w:tcW w:w="793" w:type="pct"/>
          </w:tcPr>
          <w:p w14:paraId="2805B88D" w14:textId="77777777" w:rsidR="000D07EA" w:rsidRDefault="00BE7C89">
            <w:pPr>
              <w:pStyle w:val="BodyText"/>
              <w:spacing w:before="100" w:after="100"/>
              <w:jc w:val="center"/>
            </w:pPr>
            <w:r>
              <w:t>No</w:t>
            </w:r>
          </w:p>
        </w:tc>
        <w:tc>
          <w:tcPr>
            <w:tcW w:w="793" w:type="pct"/>
          </w:tcPr>
          <w:p w14:paraId="7E85CF29" w14:textId="77777777" w:rsidR="000D07EA" w:rsidRDefault="00BE7C89">
            <w:pPr>
              <w:pStyle w:val="BodyText"/>
              <w:spacing w:before="100" w:after="100"/>
              <w:jc w:val="center"/>
            </w:pPr>
            <w:r>
              <w:t>Yes</w:t>
            </w:r>
          </w:p>
        </w:tc>
        <w:tc>
          <w:tcPr>
            <w:tcW w:w="793" w:type="pct"/>
          </w:tcPr>
          <w:p w14:paraId="6E696535" w14:textId="77777777" w:rsidR="000D07EA" w:rsidRDefault="00BE7C89">
            <w:pPr>
              <w:pStyle w:val="BodyText"/>
              <w:spacing w:before="100" w:after="100"/>
              <w:jc w:val="center"/>
            </w:pPr>
            <w:r>
              <w:t>Yes</w:t>
            </w:r>
          </w:p>
        </w:tc>
      </w:tr>
      <w:tr w:rsidR="000D07EA" w14:paraId="774AAAE5" w14:textId="77777777">
        <w:tc>
          <w:tcPr>
            <w:tcW w:w="2621" w:type="pct"/>
          </w:tcPr>
          <w:p w14:paraId="6664502F" w14:textId="77777777" w:rsidR="000D07EA" w:rsidRDefault="00BE7C89">
            <w:pPr>
              <w:pStyle w:val="BodyText"/>
              <w:spacing w:before="100" w:after="100"/>
              <w:rPr>
                <w:b/>
              </w:rPr>
            </w:pPr>
            <w:r>
              <w:rPr>
                <w:b/>
              </w:rPr>
              <w:t>Unlimited Calls to Optus Offer to use within Australia</w:t>
            </w:r>
          </w:p>
        </w:tc>
        <w:tc>
          <w:tcPr>
            <w:tcW w:w="793" w:type="pct"/>
          </w:tcPr>
          <w:p w14:paraId="3165033A" w14:textId="77777777" w:rsidR="000D07EA" w:rsidRDefault="00BE7C89">
            <w:pPr>
              <w:pStyle w:val="BodyText"/>
              <w:spacing w:before="100" w:after="100"/>
              <w:jc w:val="center"/>
            </w:pPr>
            <w:r>
              <w:t>No</w:t>
            </w:r>
          </w:p>
        </w:tc>
        <w:tc>
          <w:tcPr>
            <w:tcW w:w="793" w:type="pct"/>
          </w:tcPr>
          <w:p w14:paraId="0B398DFB" w14:textId="77777777" w:rsidR="000D07EA" w:rsidRDefault="00BE7C89">
            <w:pPr>
              <w:pStyle w:val="BodyText"/>
              <w:spacing w:before="100" w:after="100"/>
              <w:jc w:val="center"/>
            </w:pPr>
            <w:r>
              <w:t>Yes</w:t>
            </w:r>
          </w:p>
        </w:tc>
        <w:tc>
          <w:tcPr>
            <w:tcW w:w="793" w:type="pct"/>
          </w:tcPr>
          <w:p w14:paraId="3A089BB8" w14:textId="77777777" w:rsidR="000D07EA" w:rsidRDefault="00BE7C89">
            <w:pPr>
              <w:pStyle w:val="BodyText"/>
              <w:spacing w:before="100" w:after="100"/>
              <w:jc w:val="center"/>
            </w:pPr>
            <w:r>
              <w:t>Yes</w:t>
            </w:r>
          </w:p>
        </w:tc>
      </w:tr>
      <w:tr w:rsidR="000D07EA" w14:paraId="5C704F61" w14:textId="77777777">
        <w:tc>
          <w:tcPr>
            <w:tcW w:w="2621" w:type="pct"/>
          </w:tcPr>
          <w:p w14:paraId="068B1738" w14:textId="77777777" w:rsidR="000D07EA" w:rsidRDefault="00BE7C89">
            <w:pPr>
              <w:pStyle w:val="BodyText"/>
              <w:spacing w:before="100" w:after="100"/>
              <w:rPr>
                <w:b/>
              </w:rPr>
            </w:pPr>
            <w:r>
              <w:rPr>
                <w:b/>
              </w:rPr>
              <w:t>Unlimited Mobile Calls on Same Customer Account Number Offer, to use within Australia</w:t>
            </w:r>
          </w:p>
        </w:tc>
        <w:tc>
          <w:tcPr>
            <w:tcW w:w="793" w:type="pct"/>
          </w:tcPr>
          <w:p w14:paraId="210674EB" w14:textId="77777777" w:rsidR="000D07EA" w:rsidRDefault="00BE7C89">
            <w:pPr>
              <w:pStyle w:val="BodyText"/>
              <w:spacing w:before="100" w:after="100"/>
              <w:jc w:val="center"/>
            </w:pPr>
            <w:r>
              <w:t>Yes</w:t>
            </w:r>
          </w:p>
        </w:tc>
        <w:tc>
          <w:tcPr>
            <w:tcW w:w="793" w:type="pct"/>
          </w:tcPr>
          <w:p w14:paraId="0FC03058" w14:textId="77777777" w:rsidR="000D07EA" w:rsidRDefault="00BE7C89">
            <w:pPr>
              <w:pStyle w:val="BodyText"/>
              <w:spacing w:before="100" w:after="100"/>
              <w:jc w:val="center"/>
            </w:pPr>
            <w:r>
              <w:t>Already Included</w:t>
            </w:r>
          </w:p>
        </w:tc>
        <w:tc>
          <w:tcPr>
            <w:tcW w:w="793" w:type="pct"/>
          </w:tcPr>
          <w:p w14:paraId="5B0B52B2" w14:textId="77777777" w:rsidR="000D07EA" w:rsidRDefault="00BE7C89">
            <w:pPr>
              <w:pStyle w:val="BodyText"/>
              <w:spacing w:before="100" w:after="100"/>
              <w:jc w:val="center"/>
            </w:pPr>
            <w:r>
              <w:t>Already Included</w:t>
            </w:r>
          </w:p>
        </w:tc>
      </w:tr>
      <w:tr w:rsidR="000D07EA" w14:paraId="27282CB5" w14:textId="77777777">
        <w:tc>
          <w:tcPr>
            <w:tcW w:w="2621" w:type="pct"/>
          </w:tcPr>
          <w:p w14:paraId="5BA21879" w14:textId="77777777" w:rsidR="000D07EA" w:rsidRDefault="00BE7C89">
            <w:pPr>
              <w:pStyle w:val="BodyText"/>
              <w:spacing w:before="100" w:after="100"/>
              <w:rPr>
                <w:b/>
              </w:rPr>
            </w:pPr>
            <w:r>
              <w:rPr>
                <w:b/>
              </w:rPr>
              <w:t>Unlimited Voicemail Deposits &amp; Retrieval within Australia</w:t>
            </w:r>
          </w:p>
        </w:tc>
        <w:tc>
          <w:tcPr>
            <w:tcW w:w="793" w:type="pct"/>
          </w:tcPr>
          <w:p w14:paraId="7491CACC" w14:textId="77777777" w:rsidR="000D07EA" w:rsidRDefault="00BE7C89">
            <w:pPr>
              <w:pStyle w:val="BodyText"/>
              <w:spacing w:before="100" w:after="100"/>
              <w:jc w:val="center"/>
            </w:pPr>
            <w:r>
              <w:t>Yes</w:t>
            </w:r>
          </w:p>
        </w:tc>
        <w:tc>
          <w:tcPr>
            <w:tcW w:w="793" w:type="pct"/>
          </w:tcPr>
          <w:p w14:paraId="181DE315" w14:textId="77777777" w:rsidR="000D07EA" w:rsidRDefault="00BE7C89">
            <w:pPr>
              <w:pStyle w:val="BodyText"/>
              <w:spacing w:before="100" w:after="100"/>
              <w:jc w:val="center"/>
            </w:pPr>
            <w:r>
              <w:t>Yes</w:t>
            </w:r>
          </w:p>
        </w:tc>
        <w:tc>
          <w:tcPr>
            <w:tcW w:w="793" w:type="pct"/>
          </w:tcPr>
          <w:p w14:paraId="4D9D508E" w14:textId="77777777" w:rsidR="000D07EA" w:rsidRDefault="00BE7C89">
            <w:pPr>
              <w:pStyle w:val="BodyText"/>
              <w:spacing w:before="100" w:after="100"/>
              <w:jc w:val="center"/>
            </w:pPr>
            <w:r>
              <w:t>Yes</w:t>
            </w:r>
          </w:p>
        </w:tc>
      </w:tr>
      <w:tr w:rsidR="000D07EA" w14:paraId="15C94BD0" w14:textId="77777777">
        <w:tc>
          <w:tcPr>
            <w:tcW w:w="2621" w:type="pct"/>
          </w:tcPr>
          <w:p w14:paraId="4B47DC6B" w14:textId="77777777" w:rsidR="000D07EA" w:rsidRDefault="00BE7C89">
            <w:pPr>
              <w:pStyle w:val="BodyText"/>
              <w:spacing w:before="100" w:after="100"/>
              <w:rPr>
                <w:b/>
              </w:rPr>
            </w:pPr>
            <w:r>
              <w:rPr>
                <w:b/>
              </w:rPr>
              <w:t xml:space="preserve">Unlimited access to Facebook®, Twitter, LinkedIn, Ebay, Four Square, MySpace within Australia </w:t>
            </w:r>
          </w:p>
        </w:tc>
        <w:tc>
          <w:tcPr>
            <w:tcW w:w="793" w:type="pct"/>
          </w:tcPr>
          <w:p w14:paraId="1EDFC559" w14:textId="77777777" w:rsidR="000D07EA" w:rsidRDefault="00BE7C89">
            <w:pPr>
              <w:pStyle w:val="BodyText"/>
              <w:spacing w:before="100" w:after="100"/>
              <w:jc w:val="center"/>
            </w:pPr>
            <w:r>
              <w:t>Yes</w:t>
            </w:r>
          </w:p>
        </w:tc>
        <w:tc>
          <w:tcPr>
            <w:tcW w:w="793" w:type="pct"/>
          </w:tcPr>
          <w:p w14:paraId="09A29DF5" w14:textId="77777777" w:rsidR="000D07EA" w:rsidRDefault="00BE7C89">
            <w:pPr>
              <w:pStyle w:val="BodyText"/>
              <w:spacing w:before="100" w:after="100"/>
              <w:jc w:val="center"/>
            </w:pPr>
            <w:r>
              <w:t>Yes</w:t>
            </w:r>
          </w:p>
        </w:tc>
        <w:tc>
          <w:tcPr>
            <w:tcW w:w="793" w:type="pct"/>
          </w:tcPr>
          <w:p w14:paraId="3E928371" w14:textId="77777777" w:rsidR="000D07EA" w:rsidRDefault="00BE7C89">
            <w:pPr>
              <w:pStyle w:val="BodyText"/>
              <w:spacing w:before="100" w:after="100"/>
              <w:jc w:val="center"/>
            </w:pPr>
            <w:r>
              <w:t>Yes</w:t>
            </w:r>
          </w:p>
        </w:tc>
      </w:tr>
      <w:tr w:rsidR="000D07EA" w14:paraId="311F2028" w14:textId="77777777">
        <w:tc>
          <w:tcPr>
            <w:tcW w:w="2621" w:type="pct"/>
          </w:tcPr>
          <w:p w14:paraId="666E2228" w14:textId="77777777" w:rsidR="000D07EA" w:rsidRDefault="00BE7C89">
            <w:pPr>
              <w:pStyle w:val="BodyText"/>
              <w:spacing w:before="100" w:after="100"/>
              <w:rPr>
                <w:b/>
              </w:rPr>
            </w:pPr>
            <w:r>
              <w:rPr>
                <w:b/>
              </w:rPr>
              <w:t>Minimum Monthly charge</w:t>
            </w:r>
          </w:p>
        </w:tc>
        <w:tc>
          <w:tcPr>
            <w:tcW w:w="793" w:type="pct"/>
          </w:tcPr>
          <w:p w14:paraId="2A215032" w14:textId="77777777" w:rsidR="000D07EA" w:rsidRDefault="00BE7C89">
            <w:pPr>
              <w:pStyle w:val="BodyText"/>
              <w:spacing w:before="100" w:after="100"/>
              <w:jc w:val="center"/>
            </w:pPr>
            <w:r>
              <w:t>$49</w:t>
            </w:r>
          </w:p>
        </w:tc>
        <w:tc>
          <w:tcPr>
            <w:tcW w:w="793" w:type="pct"/>
          </w:tcPr>
          <w:p w14:paraId="5B0E44B6" w14:textId="77777777" w:rsidR="000D07EA" w:rsidRDefault="00BE7C89">
            <w:pPr>
              <w:pStyle w:val="BodyText"/>
              <w:spacing w:before="100" w:after="100"/>
              <w:jc w:val="center"/>
            </w:pPr>
            <w:r>
              <w:t>$59</w:t>
            </w:r>
          </w:p>
        </w:tc>
        <w:tc>
          <w:tcPr>
            <w:tcW w:w="793" w:type="pct"/>
          </w:tcPr>
          <w:p w14:paraId="4D6EDCF2" w14:textId="77777777" w:rsidR="000D07EA" w:rsidRDefault="00BE7C89">
            <w:pPr>
              <w:pStyle w:val="BodyText"/>
              <w:spacing w:before="100" w:after="100"/>
              <w:jc w:val="center"/>
            </w:pPr>
            <w:r>
              <w:t>$79</w:t>
            </w:r>
          </w:p>
        </w:tc>
      </w:tr>
      <w:tr w:rsidR="000D07EA" w14:paraId="53DFDDDB" w14:textId="77777777">
        <w:tc>
          <w:tcPr>
            <w:tcW w:w="2621" w:type="pct"/>
          </w:tcPr>
          <w:p w14:paraId="12217C1F" w14:textId="77777777" w:rsidR="000D07EA" w:rsidRDefault="00BE7C89">
            <w:pPr>
              <w:pStyle w:val="BodyText"/>
              <w:spacing w:before="100" w:after="100"/>
              <w:rPr>
                <w:b/>
              </w:rPr>
            </w:pPr>
            <w:r>
              <w:rPr>
                <w:b/>
              </w:rPr>
              <w:t>National Voice call charges</w:t>
            </w:r>
            <w:r>
              <w:t xml:space="preserve"> (per minute)</w:t>
            </w:r>
          </w:p>
        </w:tc>
        <w:tc>
          <w:tcPr>
            <w:tcW w:w="793" w:type="pct"/>
          </w:tcPr>
          <w:p w14:paraId="29A35FB8" w14:textId="77777777" w:rsidR="000D07EA" w:rsidRDefault="00BE7C89">
            <w:pPr>
              <w:pStyle w:val="BodyText"/>
              <w:spacing w:before="100" w:after="100"/>
              <w:jc w:val="center"/>
            </w:pPr>
            <w:r>
              <w:t>$0.90</w:t>
            </w:r>
          </w:p>
        </w:tc>
        <w:tc>
          <w:tcPr>
            <w:tcW w:w="793" w:type="pct"/>
          </w:tcPr>
          <w:p w14:paraId="7B9BE0FE" w14:textId="77777777" w:rsidR="000D07EA" w:rsidRDefault="00BE7C89">
            <w:pPr>
              <w:pStyle w:val="BodyText"/>
              <w:spacing w:before="100" w:after="100"/>
              <w:jc w:val="center"/>
            </w:pPr>
            <w:r>
              <w:t>$0.90</w:t>
            </w:r>
          </w:p>
        </w:tc>
        <w:tc>
          <w:tcPr>
            <w:tcW w:w="793" w:type="pct"/>
          </w:tcPr>
          <w:p w14:paraId="26137799" w14:textId="77777777" w:rsidR="000D07EA" w:rsidRDefault="00BE7C89">
            <w:pPr>
              <w:pStyle w:val="BodyText"/>
              <w:spacing w:before="100" w:after="100"/>
              <w:jc w:val="center"/>
            </w:pPr>
            <w:r>
              <w:t>$0.90</w:t>
            </w:r>
          </w:p>
        </w:tc>
      </w:tr>
      <w:tr w:rsidR="000D07EA" w14:paraId="13FDF8A6" w14:textId="77777777">
        <w:tc>
          <w:tcPr>
            <w:tcW w:w="2621" w:type="pct"/>
          </w:tcPr>
          <w:p w14:paraId="4E4EFA04" w14:textId="77777777" w:rsidR="000D07EA" w:rsidRDefault="00BE7C89">
            <w:pPr>
              <w:pStyle w:val="BodyText"/>
              <w:spacing w:before="100" w:after="100"/>
              <w:rPr>
                <w:b/>
                <w:i/>
                <w:iCs/>
              </w:rPr>
            </w:pPr>
            <w:r>
              <w:rPr>
                <w:b/>
                <w:i/>
                <w:iCs/>
              </w:rPr>
              <w:t>Flagfall</w:t>
            </w:r>
            <w:r>
              <w:rPr>
                <w:b/>
              </w:rPr>
              <w:t xml:space="preserve"> for national voice calls (Call Connection Charge) </w:t>
            </w:r>
          </w:p>
        </w:tc>
        <w:tc>
          <w:tcPr>
            <w:tcW w:w="793" w:type="pct"/>
          </w:tcPr>
          <w:p w14:paraId="46DA5507" w14:textId="77777777" w:rsidR="000D07EA" w:rsidRDefault="00BE7C89">
            <w:pPr>
              <w:pStyle w:val="BodyText"/>
              <w:spacing w:before="100" w:after="100"/>
              <w:jc w:val="center"/>
            </w:pPr>
            <w:r>
              <w:t>$0.35</w:t>
            </w:r>
          </w:p>
        </w:tc>
        <w:tc>
          <w:tcPr>
            <w:tcW w:w="793" w:type="pct"/>
          </w:tcPr>
          <w:p w14:paraId="40FCC4C3" w14:textId="77777777" w:rsidR="000D07EA" w:rsidRDefault="00BE7C89">
            <w:pPr>
              <w:pStyle w:val="BodyText"/>
              <w:spacing w:before="100" w:after="100"/>
              <w:jc w:val="center"/>
            </w:pPr>
            <w:r>
              <w:t>$0.35</w:t>
            </w:r>
          </w:p>
        </w:tc>
        <w:tc>
          <w:tcPr>
            <w:tcW w:w="793" w:type="pct"/>
          </w:tcPr>
          <w:p w14:paraId="3C1530CD" w14:textId="77777777" w:rsidR="000D07EA" w:rsidRDefault="00BE7C89">
            <w:pPr>
              <w:pStyle w:val="BodyText"/>
              <w:spacing w:before="100" w:after="100"/>
              <w:jc w:val="center"/>
            </w:pPr>
            <w:r>
              <w:t>$0.35</w:t>
            </w:r>
          </w:p>
        </w:tc>
      </w:tr>
      <w:tr w:rsidR="000D07EA" w14:paraId="500F2223" w14:textId="77777777">
        <w:tc>
          <w:tcPr>
            <w:tcW w:w="2621" w:type="pct"/>
          </w:tcPr>
          <w:p w14:paraId="1138B96C" w14:textId="77777777" w:rsidR="000D07EA" w:rsidRDefault="00BE7C89">
            <w:pPr>
              <w:pStyle w:val="BodyText"/>
              <w:spacing w:before="100" w:after="100"/>
              <w:rPr>
                <w:b/>
              </w:rPr>
            </w:pPr>
            <w:r>
              <w:rPr>
                <w:b/>
              </w:rPr>
              <w:t xml:space="preserve">National SMS Charges </w:t>
            </w:r>
            <w:r>
              <w:t>(for standard SMS of up to 160 characters)</w:t>
            </w:r>
          </w:p>
        </w:tc>
        <w:tc>
          <w:tcPr>
            <w:tcW w:w="793" w:type="pct"/>
          </w:tcPr>
          <w:p w14:paraId="482E11CA" w14:textId="77777777" w:rsidR="000D07EA" w:rsidRDefault="00BE7C89">
            <w:pPr>
              <w:pStyle w:val="BodyText"/>
              <w:spacing w:before="100" w:after="100"/>
              <w:jc w:val="center"/>
            </w:pPr>
            <w:r>
              <w:t>$0.25</w:t>
            </w:r>
          </w:p>
        </w:tc>
        <w:tc>
          <w:tcPr>
            <w:tcW w:w="793" w:type="pct"/>
          </w:tcPr>
          <w:p w14:paraId="2A6D5D02" w14:textId="77777777" w:rsidR="000D07EA" w:rsidRDefault="00BE7C89">
            <w:pPr>
              <w:pStyle w:val="BodyText"/>
              <w:spacing w:before="100" w:after="100"/>
              <w:jc w:val="center"/>
            </w:pPr>
            <w:r>
              <w:t>Unlimited</w:t>
            </w:r>
          </w:p>
        </w:tc>
        <w:tc>
          <w:tcPr>
            <w:tcW w:w="793" w:type="pct"/>
          </w:tcPr>
          <w:p w14:paraId="4095DB69" w14:textId="77777777" w:rsidR="000D07EA" w:rsidRDefault="00BE7C89">
            <w:pPr>
              <w:pStyle w:val="BodyText"/>
              <w:spacing w:before="100" w:after="100"/>
              <w:jc w:val="center"/>
            </w:pPr>
            <w:r>
              <w:t>Unlimited</w:t>
            </w:r>
          </w:p>
        </w:tc>
      </w:tr>
      <w:tr w:rsidR="000D07EA" w14:paraId="68EABDBF" w14:textId="77777777">
        <w:tc>
          <w:tcPr>
            <w:tcW w:w="2621" w:type="pct"/>
          </w:tcPr>
          <w:p w14:paraId="6F9D6E21" w14:textId="77777777" w:rsidR="000D07EA" w:rsidRDefault="00BE7C89">
            <w:pPr>
              <w:pStyle w:val="BodyText"/>
              <w:spacing w:before="100" w:after="100"/>
              <w:rPr>
                <w:b/>
              </w:rPr>
            </w:pPr>
            <w:r>
              <w:rPr>
                <w:b/>
              </w:rPr>
              <w:t>National Photo Message (per message)</w:t>
            </w:r>
          </w:p>
        </w:tc>
        <w:tc>
          <w:tcPr>
            <w:tcW w:w="793" w:type="pct"/>
          </w:tcPr>
          <w:p w14:paraId="0596EAE4" w14:textId="77777777" w:rsidR="000D07EA" w:rsidRDefault="00BE7C89">
            <w:pPr>
              <w:pStyle w:val="BodyText"/>
              <w:spacing w:before="100" w:after="100"/>
              <w:jc w:val="center"/>
            </w:pPr>
            <w:r>
              <w:t>$0.50</w:t>
            </w:r>
          </w:p>
        </w:tc>
        <w:tc>
          <w:tcPr>
            <w:tcW w:w="793" w:type="pct"/>
          </w:tcPr>
          <w:p w14:paraId="09BDECE5" w14:textId="77777777" w:rsidR="000D07EA" w:rsidRDefault="00BE7C89">
            <w:pPr>
              <w:pStyle w:val="BodyText"/>
              <w:spacing w:before="100" w:after="100"/>
              <w:jc w:val="center"/>
            </w:pPr>
            <w:r>
              <w:t>Unlimited</w:t>
            </w:r>
          </w:p>
        </w:tc>
        <w:tc>
          <w:tcPr>
            <w:tcW w:w="793" w:type="pct"/>
          </w:tcPr>
          <w:p w14:paraId="5635CC48" w14:textId="77777777" w:rsidR="000D07EA" w:rsidRDefault="00BE7C89">
            <w:pPr>
              <w:pStyle w:val="BodyText"/>
              <w:spacing w:before="100" w:after="100"/>
              <w:jc w:val="center"/>
            </w:pPr>
            <w:r>
              <w:t>Unlimited</w:t>
            </w:r>
          </w:p>
        </w:tc>
      </w:tr>
      <w:tr w:rsidR="000D07EA" w14:paraId="260520E3" w14:textId="77777777">
        <w:tc>
          <w:tcPr>
            <w:tcW w:w="2621" w:type="pct"/>
          </w:tcPr>
          <w:p w14:paraId="107E2F31" w14:textId="77777777" w:rsidR="000D07EA" w:rsidRDefault="00BE7C89">
            <w:pPr>
              <w:pStyle w:val="BodyText"/>
              <w:spacing w:before="100" w:after="100"/>
              <w:rPr>
                <w:b/>
              </w:rPr>
            </w:pPr>
            <w:r>
              <w:rPr>
                <w:b/>
              </w:rPr>
              <w:t>National Video Calling (per minute)</w:t>
            </w:r>
          </w:p>
        </w:tc>
        <w:tc>
          <w:tcPr>
            <w:tcW w:w="793" w:type="pct"/>
          </w:tcPr>
          <w:p w14:paraId="53E5265E" w14:textId="77777777" w:rsidR="000D07EA" w:rsidRDefault="00BE7C89">
            <w:pPr>
              <w:pStyle w:val="BodyText"/>
              <w:spacing w:before="100" w:after="100"/>
              <w:jc w:val="center"/>
            </w:pPr>
            <w:r>
              <w:t>$1.00</w:t>
            </w:r>
          </w:p>
        </w:tc>
        <w:tc>
          <w:tcPr>
            <w:tcW w:w="793" w:type="pct"/>
          </w:tcPr>
          <w:p w14:paraId="18FDCD80" w14:textId="77777777" w:rsidR="000D07EA" w:rsidRDefault="00BE7C89">
            <w:pPr>
              <w:pStyle w:val="BodyText"/>
              <w:spacing w:before="100" w:after="100"/>
              <w:jc w:val="center"/>
            </w:pPr>
            <w:r>
              <w:t>$1.00</w:t>
            </w:r>
          </w:p>
        </w:tc>
        <w:tc>
          <w:tcPr>
            <w:tcW w:w="793" w:type="pct"/>
          </w:tcPr>
          <w:p w14:paraId="5BC169CF" w14:textId="77777777" w:rsidR="000D07EA" w:rsidRDefault="00BE7C89">
            <w:pPr>
              <w:pStyle w:val="BodyText"/>
              <w:spacing w:before="100" w:after="100"/>
              <w:jc w:val="center"/>
            </w:pPr>
            <w:r>
              <w:t>$1.00</w:t>
            </w:r>
          </w:p>
        </w:tc>
      </w:tr>
      <w:tr w:rsidR="000D07EA" w14:paraId="6991891C" w14:textId="77777777">
        <w:tc>
          <w:tcPr>
            <w:tcW w:w="2621" w:type="pct"/>
          </w:tcPr>
          <w:p w14:paraId="2DCB7384" w14:textId="77777777" w:rsidR="000D07EA" w:rsidRDefault="00BE7C89">
            <w:pPr>
              <w:pStyle w:val="BodyText"/>
              <w:spacing w:before="100" w:after="100"/>
              <w:rPr>
                <w:b/>
                <w:i/>
                <w:iCs/>
              </w:rPr>
            </w:pPr>
            <w:r>
              <w:rPr>
                <w:b/>
                <w:i/>
                <w:iCs/>
              </w:rPr>
              <w:t xml:space="preserve">Flagfall </w:t>
            </w:r>
            <w:r>
              <w:rPr>
                <w:b/>
              </w:rPr>
              <w:t>for National Video Calls (per call)</w:t>
            </w:r>
          </w:p>
        </w:tc>
        <w:tc>
          <w:tcPr>
            <w:tcW w:w="793" w:type="pct"/>
          </w:tcPr>
          <w:p w14:paraId="711B5AA1" w14:textId="77777777" w:rsidR="000D07EA" w:rsidRDefault="00BE7C89">
            <w:pPr>
              <w:pStyle w:val="BodyText"/>
              <w:spacing w:before="100" w:after="100"/>
              <w:jc w:val="center"/>
            </w:pPr>
            <w:r>
              <w:t>$0.35</w:t>
            </w:r>
          </w:p>
        </w:tc>
        <w:tc>
          <w:tcPr>
            <w:tcW w:w="793" w:type="pct"/>
          </w:tcPr>
          <w:p w14:paraId="4170BDDC" w14:textId="77777777" w:rsidR="000D07EA" w:rsidRDefault="00BE7C89">
            <w:pPr>
              <w:pStyle w:val="BodyText"/>
              <w:spacing w:before="100" w:after="100"/>
              <w:jc w:val="center"/>
            </w:pPr>
            <w:r>
              <w:t>$0.35</w:t>
            </w:r>
          </w:p>
        </w:tc>
        <w:tc>
          <w:tcPr>
            <w:tcW w:w="793" w:type="pct"/>
          </w:tcPr>
          <w:p w14:paraId="1D308601" w14:textId="77777777" w:rsidR="000D07EA" w:rsidRDefault="00BE7C89">
            <w:pPr>
              <w:pStyle w:val="BodyText"/>
              <w:spacing w:before="100" w:after="100"/>
              <w:jc w:val="center"/>
            </w:pPr>
            <w:r>
              <w:t>$0.35</w:t>
            </w:r>
          </w:p>
        </w:tc>
      </w:tr>
      <w:tr w:rsidR="000D07EA" w14:paraId="32C50C75" w14:textId="77777777">
        <w:tc>
          <w:tcPr>
            <w:tcW w:w="2621" w:type="pct"/>
            <w:vMerge w:val="restart"/>
          </w:tcPr>
          <w:p w14:paraId="0F45F295" w14:textId="77777777" w:rsidR="000D07EA" w:rsidRDefault="00BE7C89">
            <w:pPr>
              <w:pStyle w:val="BodyText"/>
              <w:spacing w:before="100" w:after="100"/>
              <w:rPr>
                <w:b/>
              </w:rPr>
            </w:pPr>
            <w:r>
              <w:rPr>
                <w:b/>
              </w:rPr>
              <w:t>Your Choice Of Data to use within Australia:</w:t>
            </w:r>
          </w:p>
        </w:tc>
        <w:tc>
          <w:tcPr>
            <w:tcW w:w="793" w:type="pct"/>
          </w:tcPr>
          <w:p w14:paraId="0977F7D4" w14:textId="77777777" w:rsidR="000D07EA" w:rsidRDefault="00BE7C89">
            <w:pPr>
              <w:pStyle w:val="BodyText"/>
              <w:spacing w:before="100" w:after="100"/>
              <w:jc w:val="center"/>
            </w:pPr>
            <w:r>
              <w:t>1GB of Mobile Internet Data</w:t>
            </w:r>
          </w:p>
        </w:tc>
        <w:tc>
          <w:tcPr>
            <w:tcW w:w="793" w:type="pct"/>
          </w:tcPr>
          <w:p w14:paraId="5A6B2E3F" w14:textId="77777777" w:rsidR="000D07EA" w:rsidRDefault="00BE7C89">
            <w:pPr>
              <w:pStyle w:val="BodyText"/>
              <w:spacing w:before="100" w:after="100"/>
              <w:jc w:val="center"/>
            </w:pPr>
            <w:r>
              <w:t>2GB of Mobile Internet Data</w:t>
            </w:r>
          </w:p>
        </w:tc>
        <w:tc>
          <w:tcPr>
            <w:tcW w:w="793" w:type="pct"/>
          </w:tcPr>
          <w:p w14:paraId="5CDA037F" w14:textId="77777777" w:rsidR="000D07EA" w:rsidRDefault="00BE7C89">
            <w:pPr>
              <w:pStyle w:val="BodyText"/>
              <w:spacing w:before="100" w:after="100"/>
              <w:jc w:val="center"/>
            </w:pPr>
            <w:r>
              <w:t>2GB of Mobile Internet Data</w:t>
            </w:r>
          </w:p>
        </w:tc>
      </w:tr>
      <w:tr w:rsidR="000D07EA" w14:paraId="7E18DD33" w14:textId="77777777">
        <w:tc>
          <w:tcPr>
            <w:tcW w:w="2621" w:type="pct"/>
            <w:vMerge/>
          </w:tcPr>
          <w:p w14:paraId="4C7BBEDE" w14:textId="77777777" w:rsidR="000D07EA" w:rsidRDefault="000D07EA">
            <w:pPr>
              <w:pStyle w:val="BodyText"/>
              <w:spacing w:before="100" w:after="100"/>
              <w:rPr>
                <w:b/>
              </w:rPr>
            </w:pPr>
          </w:p>
        </w:tc>
        <w:tc>
          <w:tcPr>
            <w:tcW w:w="2379" w:type="pct"/>
            <w:gridSpan w:val="3"/>
          </w:tcPr>
          <w:p w14:paraId="425626BC" w14:textId="77777777" w:rsidR="000D07EA" w:rsidRDefault="00BE7C89">
            <w:pPr>
              <w:pStyle w:val="BodyText"/>
              <w:spacing w:before="100" w:after="100"/>
              <w:jc w:val="center"/>
            </w:pPr>
            <w:r>
              <w:t>OR</w:t>
            </w:r>
          </w:p>
        </w:tc>
      </w:tr>
      <w:tr w:rsidR="000D07EA" w14:paraId="248DFD4B" w14:textId="77777777">
        <w:tc>
          <w:tcPr>
            <w:tcW w:w="2621" w:type="pct"/>
            <w:vMerge/>
          </w:tcPr>
          <w:p w14:paraId="1AEAE4BE" w14:textId="77777777" w:rsidR="000D07EA" w:rsidRDefault="000D07EA">
            <w:pPr>
              <w:pStyle w:val="BodyText"/>
              <w:spacing w:before="100" w:after="100"/>
              <w:rPr>
                <w:b/>
              </w:rPr>
            </w:pPr>
          </w:p>
        </w:tc>
        <w:tc>
          <w:tcPr>
            <w:tcW w:w="793" w:type="pct"/>
          </w:tcPr>
          <w:p w14:paraId="40560033" w14:textId="77777777" w:rsidR="000D07EA" w:rsidRDefault="00BE7C89">
            <w:pPr>
              <w:pStyle w:val="BodyText"/>
              <w:spacing w:before="100" w:after="100"/>
              <w:jc w:val="center"/>
            </w:pPr>
            <w:r>
              <w:t>Unlimited BlackBerry POP3 Email and Browsing plus 500MB of Mobile Internet Data</w:t>
            </w:r>
          </w:p>
        </w:tc>
        <w:tc>
          <w:tcPr>
            <w:tcW w:w="793" w:type="pct"/>
          </w:tcPr>
          <w:p w14:paraId="3E5280B1" w14:textId="77777777" w:rsidR="000D07EA" w:rsidRDefault="00BE7C89">
            <w:pPr>
              <w:pStyle w:val="BodyText"/>
              <w:spacing w:before="100" w:after="100"/>
              <w:jc w:val="center"/>
            </w:pPr>
            <w:r>
              <w:t>Unlimited BlackBerry POP3 Email and Browsing plus 750MB of Mobile Internet Data</w:t>
            </w:r>
          </w:p>
        </w:tc>
        <w:tc>
          <w:tcPr>
            <w:tcW w:w="793" w:type="pct"/>
          </w:tcPr>
          <w:p w14:paraId="7E1FC9CF" w14:textId="77777777" w:rsidR="000D07EA" w:rsidRDefault="00BE7C89">
            <w:pPr>
              <w:pStyle w:val="BodyText"/>
              <w:spacing w:before="100" w:after="100"/>
              <w:jc w:val="center"/>
            </w:pPr>
            <w:r>
              <w:t>Unlimited BlackBerry POP3 Email and Browsing plus 1GB of Mobile Internet Data</w:t>
            </w:r>
          </w:p>
        </w:tc>
      </w:tr>
      <w:tr w:rsidR="000D07EA" w14:paraId="2ACE1447" w14:textId="77777777">
        <w:tc>
          <w:tcPr>
            <w:tcW w:w="2621" w:type="pct"/>
          </w:tcPr>
          <w:p w14:paraId="763AD9B8" w14:textId="77777777" w:rsidR="000D07EA" w:rsidRDefault="00BE7C89">
            <w:pPr>
              <w:pStyle w:val="BodyText"/>
              <w:spacing w:before="100" w:after="100"/>
              <w:rPr>
                <w:b/>
              </w:rPr>
            </w:pPr>
            <w:r>
              <w:rPr>
                <w:b/>
              </w:rPr>
              <w:lastRenderedPageBreak/>
              <w:t>Other call charges (for example international calls, calls to mobiles)</w:t>
            </w:r>
          </w:p>
        </w:tc>
        <w:tc>
          <w:tcPr>
            <w:tcW w:w="2379" w:type="pct"/>
            <w:gridSpan w:val="3"/>
          </w:tcPr>
          <w:p w14:paraId="4ABF5FE1" w14:textId="77777777" w:rsidR="000D07EA" w:rsidRDefault="00BE7C89">
            <w:pPr>
              <w:pStyle w:val="BodyText"/>
              <w:spacing w:before="100" w:after="100"/>
              <w:jc w:val="center"/>
            </w:pPr>
            <w:r>
              <w:t xml:space="preserve">See section 1 of this </w:t>
            </w:r>
            <w:r>
              <w:rPr>
                <w:i/>
                <w:iCs/>
              </w:rPr>
              <w:t>standard pricing table</w:t>
            </w:r>
            <w:r>
              <w:t xml:space="preserve"> and </w:t>
            </w:r>
            <w:hyperlink r:id="rId270" w:history="1">
              <w:r>
                <w:rPr>
                  <w:rStyle w:val="Hyperlink"/>
                  <w:i/>
                </w:rPr>
                <w:t>Appendix Y</w:t>
              </w:r>
              <w:r>
                <w:rPr>
                  <w:rStyle w:val="Hyperlink"/>
                </w:rPr>
                <w:t xml:space="preserve"> </w:t>
              </w:r>
            </w:hyperlink>
            <w:r>
              <w:t>(Value Added Service Features)</w:t>
            </w:r>
          </w:p>
        </w:tc>
      </w:tr>
      <w:tr w:rsidR="000D07EA" w14:paraId="051201AF" w14:textId="77777777">
        <w:tc>
          <w:tcPr>
            <w:tcW w:w="2621" w:type="pct"/>
          </w:tcPr>
          <w:p w14:paraId="3EECC3F5" w14:textId="77777777" w:rsidR="000D07EA" w:rsidRDefault="00BE7C89">
            <w:pPr>
              <w:pStyle w:val="BodyText"/>
              <w:spacing w:before="100" w:after="100"/>
              <w:rPr>
                <w:b/>
              </w:rPr>
            </w:pPr>
            <w:r>
              <w:rPr>
                <w:b/>
              </w:rPr>
              <w:t xml:space="preserve">Other conditions </w:t>
            </w:r>
            <w:r>
              <w:t xml:space="preserve">(for details see Appendix </w:t>
            </w:r>
            <w:r w:rsidR="00DD7FB0">
              <w:t>S</w:t>
            </w:r>
            <w:r>
              <w:t>)</w:t>
            </w:r>
          </w:p>
        </w:tc>
        <w:tc>
          <w:tcPr>
            <w:tcW w:w="2379" w:type="pct"/>
            <w:gridSpan w:val="3"/>
          </w:tcPr>
          <w:p w14:paraId="1C265184" w14:textId="77777777" w:rsidR="000D07EA" w:rsidRDefault="00BE7C89">
            <w:pPr>
              <w:pStyle w:val="BodyText"/>
              <w:spacing w:before="100" w:after="100"/>
              <w:jc w:val="center"/>
            </w:pPr>
            <w:r>
              <w:t>Fair Go Policy (</w:t>
            </w:r>
            <w:hyperlink r:id="rId271" w:history="1">
              <w:r>
                <w:rPr>
                  <w:rStyle w:val="Hyperlink"/>
                  <w:i/>
                </w:rPr>
                <w:t>Appendix S</w:t>
              </w:r>
            </w:hyperlink>
            <w:r>
              <w:t>) applies to 'excessive use,' 'unreasonable use,' and 'unacceptable use'.</w:t>
            </w:r>
          </w:p>
        </w:tc>
      </w:tr>
      <w:tr w:rsidR="000D07EA" w14:paraId="6D02FE4F" w14:textId="77777777">
        <w:tc>
          <w:tcPr>
            <w:tcW w:w="2621" w:type="pct"/>
          </w:tcPr>
          <w:p w14:paraId="1ED74A0D" w14:textId="77777777" w:rsidR="000D07EA" w:rsidRDefault="00BE7C89">
            <w:pPr>
              <w:pStyle w:val="BodyText"/>
              <w:spacing w:before="100" w:after="100"/>
              <w:rPr>
                <w:b/>
              </w:rPr>
            </w:pPr>
            <w:r>
              <w:rPr>
                <w:b/>
              </w:rPr>
              <w:t>Available on Non Fixed Contract (Month to Month)</w:t>
            </w:r>
          </w:p>
        </w:tc>
        <w:tc>
          <w:tcPr>
            <w:tcW w:w="793" w:type="pct"/>
          </w:tcPr>
          <w:p w14:paraId="4440A665" w14:textId="77777777" w:rsidR="000D07EA" w:rsidRDefault="00BE7C89">
            <w:pPr>
              <w:pStyle w:val="BodyText"/>
              <w:spacing w:before="100" w:after="100"/>
              <w:jc w:val="center"/>
            </w:pPr>
            <w:r>
              <w:t>Yes</w:t>
            </w:r>
          </w:p>
        </w:tc>
        <w:tc>
          <w:tcPr>
            <w:tcW w:w="793" w:type="pct"/>
          </w:tcPr>
          <w:p w14:paraId="7F3C4A14" w14:textId="77777777" w:rsidR="000D07EA" w:rsidRDefault="00BE7C89">
            <w:pPr>
              <w:pStyle w:val="BodyText"/>
              <w:spacing w:before="100" w:after="100"/>
              <w:jc w:val="center"/>
            </w:pPr>
            <w:r>
              <w:t>Yes</w:t>
            </w:r>
          </w:p>
        </w:tc>
        <w:tc>
          <w:tcPr>
            <w:tcW w:w="793" w:type="pct"/>
          </w:tcPr>
          <w:p w14:paraId="46F2D5DB" w14:textId="77777777" w:rsidR="000D07EA" w:rsidRDefault="00BE7C89">
            <w:pPr>
              <w:pStyle w:val="BodyText"/>
              <w:spacing w:before="100" w:after="100"/>
              <w:jc w:val="center"/>
            </w:pPr>
            <w:r>
              <w:t>Yes</w:t>
            </w:r>
          </w:p>
        </w:tc>
      </w:tr>
      <w:tr w:rsidR="000D07EA" w14:paraId="3522953F" w14:textId="77777777">
        <w:tc>
          <w:tcPr>
            <w:tcW w:w="2621" w:type="pct"/>
          </w:tcPr>
          <w:p w14:paraId="26E30F0B" w14:textId="77777777" w:rsidR="000D07EA" w:rsidRDefault="00BE7C89">
            <w:pPr>
              <w:pStyle w:val="BodyText"/>
              <w:spacing w:before="100" w:after="100"/>
              <w:rPr>
                <w:b/>
              </w:rPr>
            </w:pPr>
            <w:r>
              <w:rPr>
                <w:b/>
              </w:rPr>
              <w:t>Available on a Fixed Term Contract (12 or 24 Months)</w:t>
            </w:r>
          </w:p>
        </w:tc>
        <w:tc>
          <w:tcPr>
            <w:tcW w:w="793" w:type="pct"/>
          </w:tcPr>
          <w:p w14:paraId="6FC4D3AA" w14:textId="77777777" w:rsidR="000D07EA" w:rsidRDefault="00BE7C89">
            <w:pPr>
              <w:pStyle w:val="BodyText"/>
              <w:spacing w:before="100" w:after="100"/>
              <w:jc w:val="center"/>
            </w:pPr>
            <w:r>
              <w:t>Yes</w:t>
            </w:r>
          </w:p>
        </w:tc>
        <w:tc>
          <w:tcPr>
            <w:tcW w:w="793" w:type="pct"/>
          </w:tcPr>
          <w:p w14:paraId="6CF90336" w14:textId="77777777" w:rsidR="000D07EA" w:rsidRDefault="00BE7C89">
            <w:pPr>
              <w:pStyle w:val="BodyText"/>
              <w:spacing w:before="100" w:after="100"/>
              <w:jc w:val="center"/>
            </w:pPr>
            <w:r>
              <w:t>Yes</w:t>
            </w:r>
          </w:p>
        </w:tc>
        <w:tc>
          <w:tcPr>
            <w:tcW w:w="793" w:type="pct"/>
          </w:tcPr>
          <w:p w14:paraId="27FD2288" w14:textId="77777777" w:rsidR="000D07EA" w:rsidRDefault="00BE7C89">
            <w:pPr>
              <w:pStyle w:val="BodyText"/>
              <w:spacing w:before="100" w:after="100"/>
              <w:jc w:val="center"/>
            </w:pPr>
            <w:r>
              <w:t>Yes</w:t>
            </w:r>
          </w:p>
        </w:tc>
      </w:tr>
      <w:tr w:rsidR="000D07EA" w14:paraId="63CC6454" w14:textId="77777777">
        <w:tc>
          <w:tcPr>
            <w:tcW w:w="2621" w:type="pct"/>
            <w:shd w:val="clear" w:color="auto" w:fill="auto"/>
          </w:tcPr>
          <w:p w14:paraId="0AC46390" w14:textId="77777777" w:rsidR="000D07EA" w:rsidRDefault="00BE7C89">
            <w:pPr>
              <w:pStyle w:val="BodyText"/>
              <w:keepNext/>
              <w:spacing w:before="100" w:after="100"/>
              <w:rPr>
                <w:b/>
              </w:rPr>
            </w:pPr>
            <w:r>
              <w:rPr>
                <w:b/>
              </w:rPr>
              <w:t xml:space="preserve">Minimum Total Cost of the Business Complete Advantage Plans over a 24 month </w:t>
            </w:r>
            <w:r>
              <w:rPr>
                <w:b/>
                <w:i/>
              </w:rPr>
              <w:t>minimum</w:t>
            </w:r>
            <w:r>
              <w:rPr>
                <w:b/>
              </w:rPr>
              <w:t xml:space="preserve"> </w:t>
            </w:r>
            <w:r>
              <w:rPr>
                <w:b/>
                <w:i/>
              </w:rPr>
              <w:t xml:space="preserve">term </w:t>
            </w:r>
            <w:r>
              <w:rPr>
                <w:b/>
                <w:iCs/>
              </w:rPr>
              <w:t>(</w:t>
            </w:r>
            <w:r>
              <w:rPr>
                <w:b/>
              </w:rPr>
              <w:t>amount excludes any handset repayments if any)</w:t>
            </w:r>
          </w:p>
        </w:tc>
        <w:tc>
          <w:tcPr>
            <w:tcW w:w="793" w:type="pct"/>
          </w:tcPr>
          <w:p w14:paraId="2B2C3E57" w14:textId="77777777" w:rsidR="000D07EA" w:rsidRDefault="00BE7C89">
            <w:pPr>
              <w:pStyle w:val="BodyText"/>
              <w:keepNext/>
              <w:spacing w:before="100" w:after="100"/>
              <w:jc w:val="center"/>
            </w:pPr>
            <w:r>
              <w:t>$1,176</w:t>
            </w:r>
          </w:p>
        </w:tc>
        <w:tc>
          <w:tcPr>
            <w:tcW w:w="793" w:type="pct"/>
          </w:tcPr>
          <w:p w14:paraId="5B605DD4" w14:textId="77777777" w:rsidR="000D07EA" w:rsidRDefault="00BE7C89">
            <w:pPr>
              <w:pStyle w:val="BodyText"/>
              <w:keepNext/>
              <w:spacing w:before="100" w:after="100"/>
              <w:jc w:val="center"/>
            </w:pPr>
            <w:r>
              <w:t>$1,416</w:t>
            </w:r>
          </w:p>
        </w:tc>
        <w:tc>
          <w:tcPr>
            <w:tcW w:w="793" w:type="pct"/>
          </w:tcPr>
          <w:p w14:paraId="1AFC8022" w14:textId="77777777" w:rsidR="000D07EA" w:rsidRDefault="00BE7C89">
            <w:pPr>
              <w:pStyle w:val="BodyText"/>
              <w:keepNext/>
              <w:spacing w:before="100" w:after="100"/>
              <w:jc w:val="center"/>
            </w:pPr>
            <w:r>
              <w:t>$1,896</w:t>
            </w:r>
          </w:p>
        </w:tc>
      </w:tr>
      <w:tr w:rsidR="000D07EA" w14:paraId="21E54EAE" w14:textId="77777777">
        <w:tc>
          <w:tcPr>
            <w:tcW w:w="2621" w:type="pct"/>
            <w:shd w:val="clear" w:color="auto" w:fill="auto"/>
          </w:tcPr>
          <w:p w14:paraId="3331CB66" w14:textId="77777777" w:rsidR="000D07EA" w:rsidRDefault="00BE7C89">
            <w:pPr>
              <w:pStyle w:val="BodyText"/>
              <w:spacing w:before="100" w:after="100"/>
              <w:rPr>
                <w:b/>
              </w:rPr>
            </w:pPr>
            <w:r>
              <w:rPr>
                <w:b/>
              </w:rPr>
              <w:t xml:space="preserve">Minimum Total Cost of the Business Complete Advantage Plans over a 12 month </w:t>
            </w:r>
            <w:r>
              <w:rPr>
                <w:b/>
                <w:i/>
              </w:rPr>
              <w:t>minimum</w:t>
            </w:r>
            <w:r>
              <w:rPr>
                <w:b/>
              </w:rPr>
              <w:t xml:space="preserve"> </w:t>
            </w:r>
            <w:r>
              <w:rPr>
                <w:b/>
                <w:i/>
              </w:rPr>
              <w:t>term</w:t>
            </w:r>
            <w:r>
              <w:rPr>
                <w:b/>
              </w:rPr>
              <w:t xml:space="preserve"> (amount excludes any handset repayments if any)</w:t>
            </w:r>
          </w:p>
        </w:tc>
        <w:tc>
          <w:tcPr>
            <w:tcW w:w="793" w:type="pct"/>
          </w:tcPr>
          <w:p w14:paraId="1854DC94" w14:textId="77777777" w:rsidR="000D07EA" w:rsidRDefault="00BE7C89">
            <w:pPr>
              <w:pStyle w:val="BodyText"/>
              <w:spacing w:before="100" w:after="100"/>
              <w:jc w:val="center"/>
            </w:pPr>
            <w:r>
              <w:t>$588</w:t>
            </w:r>
          </w:p>
        </w:tc>
        <w:tc>
          <w:tcPr>
            <w:tcW w:w="793" w:type="pct"/>
          </w:tcPr>
          <w:p w14:paraId="0A9EC90D" w14:textId="77777777" w:rsidR="000D07EA" w:rsidRDefault="00BE7C89">
            <w:pPr>
              <w:pStyle w:val="BodyText"/>
              <w:spacing w:before="100" w:after="100"/>
              <w:jc w:val="center"/>
            </w:pPr>
            <w:r>
              <w:t>$708</w:t>
            </w:r>
          </w:p>
        </w:tc>
        <w:tc>
          <w:tcPr>
            <w:tcW w:w="793" w:type="pct"/>
          </w:tcPr>
          <w:p w14:paraId="08939C71" w14:textId="77777777" w:rsidR="000D07EA" w:rsidRDefault="00BE7C89">
            <w:pPr>
              <w:pStyle w:val="BodyText"/>
              <w:spacing w:before="100" w:after="100"/>
              <w:jc w:val="center"/>
            </w:pPr>
            <w:r>
              <w:t>$948</w:t>
            </w:r>
          </w:p>
        </w:tc>
      </w:tr>
    </w:tbl>
    <w:p w14:paraId="75082274" w14:textId="77777777" w:rsidR="000D07EA" w:rsidRDefault="00BE7C89">
      <w:pPr>
        <w:pStyle w:val="Heading6"/>
        <w:spacing w:before="240"/>
        <w:ind w:left="0" w:firstLine="0"/>
      </w:pPr>
      <w:bookmarkStart w:id="390" w:name="_Toc267937664"/>
      <w:bookmarkStart w:id="391" w:name="_Toc397941139"/>
      <w:r>
        <w:t xml:space="preserve">What happens if the </w:t>
      </w:r>
      <w:r>
        <w:rPr>
          <w:i/>
        </w:rPr>
        <w:t xml:space="preserve">service is cancelled </w:t>
      </w:r>
      <w:r>
        <w:t>early?</w:t>
      </w:r>
      <w:bookmarkEnd w:id="390"/>
      <w:bookmarkEnd w:id="391"/>
    </w:p>
    <w:p w14:paraId="541EB3A6" w14:textId="77777777" w:rsidR="000D07EA" w:rsidRDefault="00BE7C89">
      <w:pPr>
        <w:pStyle w:val="Heading7"/>
      </w:pPr>
      <w:r>
        <w:t xml:space="preserve">If </w:t>
      </w:r>
      <w:r>
        <w:rPr>
          <w:i/>
        </w:rPr>
        <w:t>the service</w:t>
      </w:r>
      <w:r>
        <w:t xml:space="preserve"> </w:t>
      </w:r>
      <w:r>
        <w:rPr>
          <w:i/>
        </w:rPr>
        <w:t xml:space="preserve">is cancelled </w:t>
      </w:r>
      <w:r>
        <w:t xml:space="preserve">before the expiry of the </w:t>
      </w:r>
      <w:r>
        <w:rPr>
          <w:i/>
        </w:rPr>
        <w:t xml:space="preserve">minimum term, you </w:t>
      </w:r>
      <w:r>
        <w:t xml:space="preserve">will be required to pay </w:t>
      </w:r>
      <w:r>
        <w:rPr>
          <w:i/>
        </w:rPr>
        <w:t>us</w:t>
      </w:r>
      <w:r>
        <w:t>:</w:t>
      </w:r>
    </w:p>
    <w:p w14:paraId="38DEDCB8" w14:textId="77777777" w:rsidR="000D07EA" w:rsidRDefault="00BE7C89">
      <w:pPr>
        <w:pStyle w:val="Heading8"/>
      </w:pPr>
      <w:r>
        <w:t>any usage charges incurred up to, and including, the cancellation date; plus</w:t>
      </w:r>
    </w:p>
    <w:p w14:paraId="58C64A85" w14:textId="77777777" w:rsidR="000D07EA" w:rsidRDefault="00BE7C89">
      <w:pPr>
        <w:pStyle w:val="Heading8"/>
      </w:pPr>
      <w:r>
        <w:t xml:space="preserve">the </w:t>
      </w:r>
      <w:r>
        <w:rPr>
          <w:i/>
        </w:rPr>
        <w:t xml:space="preserve">cancellation fee </w:t>
      </w:r>
      <w:r>
        <w:t xml:space="preserve">set in paragraph </w:t>
      </w:r>
      <w:r w:rsidR="002624E4">
        <w:t>90.</w:t>
      </w:r>
      <w:r w:rsidR="002624E4" w:rsidRPr="00272628">
        <w:t>8</w:t>
      </w:r>
      <w:r w:rsidRPr="00272628">
        <w:t>(</w:t>
      </w:r>
      <w:r w:rsidR="002624E4" w:rsidRPr="00272628">
        <w:t>c</w:t>
      </w:r>
      <w:r w:rsidRPr="00272628">
        <w:t xml:space="preserve">) below </w:t>
      </w:r>
      <w:r>
        <w:t xml:space="preserve">(unless under clause 2A of the </w:t>
      </w:r>
      <w:r>
        <w:rPr>
          <w:i/>
        </w:rPr>
        <w:t xml:space="preserve">SME terms, you </w:t>
      </w:r>
      <w:r>
        <w:t xml:space="preserve">are entitled to </w:t>
      </w:r>
      <w:r>
        <w:rPr>
          <w:i/>
        </w:rPr>
        <w:t xml:space="preserve">cancel the service </w:t>
      </w:r>
      <w:r>
        <w:t xml:space="preserve">without incurring a </w:t>
      </w:r>
      <w:r>
        <w:rPr>
          <w:i/>
        </w:rPr>
        <w:t>cancellation fee)</w:t>
      </w:r>
      <w:r>
        <w:t>; plus</w:t>
      </w:r>
    </w:p>
    <w:p w14:paraId="4A25BBB0" w14:textId="77777777" w:rsidR="000D07EA" w:rsidRDefault="00BE7C89">
      <w:pPr>
        <w:pStyle w:val="Heading8"/>
      </w:pPr>
      <w:r>
        <w:t>the sum of unpaid equipment charges owing on your mobile phone under the mobile equipment payment plan (if any).</w:t>
      </w:r>
    </w:p>
    <w:p w14:paraId="249E33F1" w14:textId="77777777" w:rsidR="000D07EA" w:rsidRDefault="00BE7C89">
      <w:pPr>
        <w:pStyle w:val="Heading7"/>
      </w:pPr>
      <w:r>
        <w:t xml:space="preserve">The </w:t>
      </w:r>
      <w:r>
        <w:rPr>
          <w:i/>
        </w:rPr>
        <w:t>cancellation fee</w:t>
      </w:r>
      <w:r>
        <w:t xml:space="preserve"> for a 24 month Contract is calculated as a fixed amount if the service is cancelled during the first 12 months of the </w:t>
      </w:r>
      <w:r>
        <w:rPr>
          <w:i/>
        </w:rPr>
        <w:t>minimum term</w:t>
      </w:r>
      <w:r>
        <w:t xml:space="preserve"> and then a pro-rata reduction of that fee (indicated as a percentage in brackets in the first column of the table below) if the service is cancelled during the second year of the </w:t>
      </w:r>
      <w:r>
        <w:rPr>
          <w:i/>
        </w:rPr>
        <w:t>minimum term</w:t>
      </w:r>
      <w:r>
        <w:t>.</w:t>
      </w:r>
    </w:p>
    <w:p w14:paraId="643B78B2" w14:textId="77777777" w:rsidR="000D07EA" w:rsidRDefault="00BE7C89">
      <w:pPr>
        <w:pStyle w:val="Heading7"/>
      </w:pPr>
      <w:r>
        <w:t xml:space="preserve">The </w:t>
      </w:r>
      <w:r>
        <w:rPr>
          <w:i/>
        </w:rPr>
        <w:t>cancellation fee</w:t>
      </w:r>
      <w:r>
        <w:t xml:space="preserve"> for a 12 month Contract is calculated as a fixed amount if the service is cancelled during the first 6 months of the </w:t>
      </w:r>
      <w:r>
        <w:rPr>
          <w:i/>
        </w:rPr>
        <w:t>minimum term</w:t>
      </w:r>
      <w:r>
        <w:t xml:space="preserve"> and then a pro-rata reduction of that fee (indicated as a percentage in brackets in the first column of the table below) if the service is cancelled during the last 6 months of the </w:t>
      </w:r>
      <w:r>
        <w:rPr>
          <w:i/>
        </w:rPr>
        <w:t>minimum term</w:t>
      </w:r>
      <w:r>
        <w:t>.</w:t>
      </w:r>
    </w:p>
    <w:tbl>
      <w:tblPr>
        <w:tblW w:w="4646" w:type="pct"/>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9"/>
        <w:gridCol w:w="1952"/>
        <w:gridCol w:w="1952"/>
        <w:gridCol w:w="1954"/>
      </w:tblGrid>
      <w:tr w:rsidR="000D07EA" w14:paraId="27D90425" w14:textId="77777777">
        <w:trPr>
          <w:trHeight w:val="20"/>
        </w:trPr>
        <w:tc>
          <w:tcPr>
            <w:tcW w:w="1906" w:type="pct"/>
          </w:tcPr>
          <w:p w14:paraId="58921DD4" w14:textId="77777777" w:rsidR="000D07EA" w:rsidRDefault="00BE7C89">
            <w:pPr>
              <w:pStyle w:val="BodyText"/>
              <w:keepNext/>
              <w:spacing w:before="100" w:after="100"/>
              <w:rPr>
                <w:b/>
                <w:i/>
              </w:rPr>
            </w:pPr>
            <w:r>
              <w:rPr>
                <w:b/>
              </w:rPr>
              <w:t xml:space="preserve">When the </w:t>
            </w:r>
            <w:r>
              <w:rPr>
                <w:b/>
                <w:i/>
              </w:rPr>
              <w:t>service</w:t>
            </w:r>
            <w:r>
              <w:rPr>
                <w:b/>
              </w:rPr>
              <w:t xml:space="preserve"> is </w:t>
            </w:r>
            <w:r>
              <w:rPr>
                <w:b/>
                <w:i/>
              </w:rPr>
              <w:t>cancelled</w:t>
            </w:r>
          </w:p>
        </w:tc>
        <w:tc>
          <w:tcPr>
            <w:tcW w:w="3094" w:type="pct"/>
            <w:gridSpan w:val="3"/>
          </w:tcPr>
          <w:p w14:paraId="788F2DB2" w14:textId="77777777" w:rsidR="000D07EA" w:rsidRDefault="00BE7C89">
            <w:pPr>
              <w:pStyle w:val="BodyText"/>
              <w:spacing w:before="100" w:after="100"/>
              <w:jc w:val="center"/>
              <w:rPr>
                <w:b/>
                <w:i/>
              </w:rPr>
            </w:pPr>
            <w:r>
              <w:rPr>
                <w:b/>
                <w:i/>
              </w:rPr>
              <w:t>Cancellation Fee</w:t>
            </w:r>
          </w:p>
        </w:tc>
      </w:tr>
      <w:tr w:rsidR="000D07EA" w14:paraId="1C1E9446" w14:textId="77777777">
        <w:trPr>
          <w:trHeight w:val="20"/>
        </w:trPr>
        <w:tc>
          <w:tcPr>
            <w:tcW w:w="1906" w:type="pct"/>
          </w:tcPr>
          <w:p w14:paraId="4B80CA4B" w14:textId="77777777" w:rsidR="000D07EA" w:rsidRDefault="000D07EA">
            <w:pPr>
              <w:pStyle w:val="BodyText"/>
              <w:spacing w:before="100" w:after="100"/>
            </w:pPr>
          </w:p>
        </w:tc>
        <w:tc>
          <w:tcPr>
            <w:tcW w:w="3094" w:type="pct"/>
            <w:gridSpan w:val="3"/>
          </w:tcPr>
          <w:p w14:paraId="26DD8AB2" w14:textId="77777777" w:rsidR="000D07EA" w:rsidRDefault="00BE7C89">
            <w:pPr>
              <w:pStyle w:val="BodyText"/>
              <w:spacing w:before="100" w:after="100"/>
              <w:jc w:val="center"/>
              <w:rPr>
                <w:b/>
              </w:rPr>
            </w:pPr>
            <w:r>
              <w:rPr>
                <w:b/>
              </w:rPr>
              <w:t>Business Complete Advantage Plans – 24 Month Contract</w:t>
            </w:r>
          </w:p>
        </w:tc>
      </w:tr>
      <w:tr w:rsidR="000D07EA" w14:paraId="5655DF6F" w14:textId="77777777">
        <w:trPr>
          <w:trHeight w:val="20"/>
        </w:trPr>
        <w:tc>
          <w:tcPr>
            <w:tcW w:w="1906" w:type="pct"/>
          </w:tcPr>
          <w:p w14:paraId="5C2B1174" w14:textId="77777777" w:rsidR="000D07EA" w:rsidRDefault="000D07EA">
            <w:pPr>
              <w:pStyle w:val="BodyText"/>
              <w:spacing w:before="100" w:after="100"/>
            </w:pPr>
          </w:p>
        </w:tc>
        <w:tc>
          <w:tcPr>
            <w:tcW w:w="1031" w:type="pct"/>
          </w:tcPr>
          <w:p w14:paraId="7B4968AD" w14:textId="77777777" w:rsidR="000D07EA" w:rsidRDefault="00BE7C89">
            <w:pPr>
              <w:pStyle w:val="BodyText"/>
              <w:spacing w:before="100" w:after="100"/>
              <w:jc w:val="center"/>
              <w:rPr>
                <w:b/>
              </w:rPr>
            </w:pPr>
            <w:r>
              <w:rPr>
                <w:b/>
                <w:lang w:eastAsia="en-AU"/>
              </w:rPr>
              <w:t xml:space="preserve">$49 </w:t>
            </w:r>
            <w:r>
              <w:rPr>
                <w:b/>
              </w:rPr>
              <w:t>Business Complete Advantage</w:t>
            </w:r>
          </w:p>
        </w:tc>
        <w:tc>
          <w:tcPr>
            <w:tcW w:w="1031" w:type="pct"/>
          </w:tcPr>
          <w:p w14:paraId="4A41B75F" w14:textId="77777777" w:rsidR="000D07EA" w:rsidRDefault="00BE7C89">
            <w:pPr>
              <w:pStyle w:val="BodyText"/>
              <w:spacing w:before="100" w:after="100"/>
              <w:jc w:val="center"/>
              <w:rPr>
                <w:b/>
              </w:rPr>
            </w:pPr>
            <w:r>
              <w:rPr>
                <w:b/>
                <w:lang w:eastAsia="en-AU"/>
              </w:rPr>
              <w:t xml:space="preserve">$59 </w:t>
            </w:r>
            <w:r>
              <w:rPr>
                <w:b/>
              </w:rPr>
              <w:t>Business Complete Advantage</w:t>
            </w:r>
          </w:p>
        </w:tc>
        <w:tc>
          <w:tcPr>
            <w:tcW w:w="1032" w:type="pct"/>
          </w:tcPr>
          <w:p w14:paraId="5624A189" w14:textId="77777777" w:rsidR="000D07EA" w:rsidRDefault="00BE7C89">
            <w:pPr>
              <w:pStyle w:val="BodyText"/>
              <w:spacing w:before="100" w:after="100"/>
              <w:jc w:val="center"/>
              <w:rPr>
                <w:b/>
              </w:rPr>
            </w:pPr>
            <w:r>
              <w:rPr>
                <w:b/>
                <w:lang w:eastAsia="en-AU"/>
              </w:rPr>
              <w:t xml:space="preserve">$79 </w:t>
            </w:r>
            <w:r>
              <w:rPr>
                <w:b/>
              </w:rPr>
              <w:t>Business Complete Advantage</w:t>
            </w:r>
          </w:p>
        </w:tc>
      </w:tr>
      <w:tr w:rsidR="000D07EA" w14:paraId="60C27B65" w14:textId="77777777">
        <w:trPr>
          <w:trHeight w:val="20"/>
        </w:trPr>
        <w:tc>
          <w:tcPr>
            <w:tcW w:w="1906" w:type="pct"/>
          </w:tcPr>
          <w:p w14:paraId="376976EC" w14:textId="77777777" w:rsidR="000D07EA" w:rsidRDefault="00BE7C89">
            <w:pPr>
              <w:pStyle w:val="BodyText"/>
              <w:spacing w:before="100" w:after="100"/>
              <w:rPr>
                <w:b/>
              </w:rPr>
            </w:pPr>
            <w:r>
              <w:rPr>
                <w:b/>
              </w:rPr>
              <w:lastRenderedPageBreak/>
              <w:t xml:space="preserve">During the first 12 months - Initial </w:t>
            </w:r>
            <w:r>
              <w:rPr>
                <w:b/>
                <w:i/>
              </w:rPr>
              <w:t>cancellation fee</w:t>
            </w:r>
          </w:p>
        </w:tc>
        <w:tc>
          <w:tcPr>
            <w:tcW w:w="1031" w:type="pct"/>
          </w:tcPr>
          <w:p w14:paraId="64040E27" w14:textId="77777777" w:rsidR="000D07EA" w:rsidRDefault="00BE7C89">
            <w:pPr>
              <w:pStyle w:val="BodyText"/>
              <w:spacing w:before="100" w:after="100"/>
              <w:jc w:val="center"/>
            </w:pPr>
            <w:r>
              <w:t>$790</w:t>
            </w:r>
          </w:p>
        </w:tc>
        <w:tc>
          <w:tcPr>
            <w:tcW w:w="1031" w:type="pct"/>
          </w:tcPr>
          <w:p w14:paraId="0A9FE6E2" w14:textId="77777777" w:rsidR="000D07EA" w:rsidRDefault="00BE7C89">
            <w:pPr>
              <w:pStyle w:val="BodyText"/>
              <w:spacing w:before="100" w:after="100"/>
              <w:jc w:val="center"/>
            </w:pPr>
            <w:r>
              <w:t>$910</w:t>
            </w:r>
          </w:p>
        </w:tc>
        <w:tc>
          <w:tcPr>
            <w:tcW w:w="1032" w:type="pct"/>
          </w:tcPr>
          <w:p w14:paraId="3369111E" w14:textId="77777777" w:rsidR="000D07EA" w:rsidRDefault="00BE7C89">
            <w:pPr>
              <w:pStyle w:val="BodyText"/>
              <w:spacing w:before="100" w:after="100"/>
              <w:jc w:val="center"/>
            </w:pPr>
            <w:r>
              <w:t>$1,010</w:t>
            </w:r>
          </w:p>
        </w:tc>
      </w:tr>
      <w:tr w:rsidR="000D07EA" w14:paraId="28043FA2" w14:textId="77777777">
        <w:trPr>
          <w:trHeight w:val="20"/>
        </w:trPr>
        <w:tc>
          <w:tcPr>
            <w:tcW w:w="1906" w:type="pct"/>
          </w:tcPr>
          <w:p w14:paraId="2004C72E" w14:textId="77777777" w:rsidR="000D07EA" w:rsidRDefault="00BE7C89">
            <w:pPr>
              <w:pStyle w:val="BodyText"/>
              <w:spacing w:before="100" w:after="100"/>
              <w:rPr>
                <w:b/>
              </w:rPr>
            </w:pPr>
            <w:r>
              <w:rPr>
                <w:b/>
              </w:rPr>
              <w:t xml:space="preserve">Months 13 – 15 (80% of Initial </w:t>
            </w:r>
            <w:r>
              <w:rPr>
                <w:b/>
                <w:i/>
              </w:rPr>
              <w:t>cancellation fee</w:t>
            </w:r>
            <w:r>
              <w:rPr>
                <w:b/>
              </w:rPr>
              <w:t>)</w:t>
            </w:r>
          </w:p>
        </w:tc>
        <w:tc>
          <w:tcPr>
            <w:tcW w:w="1031" w:type="pct"/>
          </w:tcPr>
          <w:p w14:paraId="725A025B" w14:textId="77777777" w:rsidR="000D07EA" w:rsidRDefault="00BE7C89">
            <w:pPr>
              <w:pStyle w:val="BodyText"/>
              <w:spacing w:before="100" w:after="100"/>
              <w:jc w:val="center"/>
              <w:rPr>
                <w:color w:val="000000"/>
              </w:rPr>
            </w:pPr>
            <w:r>
              <w:rPr>
                <w:color w:val="000000"/>
              </w:rPr>
              <w:t>$632</w:t>
            </w:r>
          </w:p>
        </w:tc>
        <w:tc>
          <w:tcPr>
            <w:tcW w:w="1031" w:type="pct"/>
          </w:tcPr>
          <w:p w14:paraId="02194450" w14:textId="77777777" w:rsidR="000D07EA" w:rsidRDefault="00BE7C89">
            <w:pPr>
              <w:pStyle w:val="BodyText"/>
              <w:spacing w:before="100" w:after="100"/>
              <w:jc w:val="center"/>
              <w:rPr>
                <w:color w:val="000000"/>
              </w:rPr>
            </w:pPr>
            <w:r>
              <w:rPr>
                <w:color w:val="000000"/>
              </w:rPr>
              <w:t>$728</w:t>
            </w:r>
          </w:p>
        </w:tc>
        <w:tc>
          <w:tcPr>
            <w:tcW w:w="1032" w:type="pct"/>
          </w:tcPr>
          <w:p w14:paraId="1E5E703B" w14:textId="77777777" w:rsidR="000D07EA" w:rsidRDefault="00BE7C89">
            <w:pPr>
              <w:pStyle w:val="BodyText"/>
              <w:spacing w:before="100" w:after="100"/>
              <w:jc w:val="center"/>
              <w:rPr>
                <w:color w:val="000000"/>
              </w:rPr>
            </w:pPr>
            <w:r>
              <w:rPr>
                <w:color w:val="000000"/>
              </w:rPr>
              <w:t>$808</w:t>
            </w:r>
          </w:p>
        </w:tc>
      </w:tr>
      <w:tr w:rsidR="000D07EA" w14:paraId="7BF4582C" w14:textId="77777777">
        <w:trPr>
          <w:trHeight w:val="20"/>
        </w:trPr>
        <w:tc>
          <w:tcPr>
            <w:tcW w:w="1906" w:type="pct"/>
          </w:tcPr>
          <w:p w14:paraId="4609FD2C" w14:textId="77777777" w:rsidR="000D07EA" w:rsidRDefault="00BE7C89">
            <w:pPr>
              <w:pStyle w:val="BodyText"/>
              <w:spacing w:before="100" w:after="100"/>
              <w:rPr>
                <w:b/>
              </w:rPr>
            </w:pPr>
            <w:r>
              <w:rPr>
                <w:b/>
              </w:rPr>
              <w:t xml:space="preserve">Months 16 – 18 (60% of the Initial </w:t>
            </w:r>
            <w:r>
              <w:rPr>
                <w:b/>
                <w:i/>
              </w:rPr>
              <w:t>cancellation fee</w:t>
            </w:r>
            <w:r>
              <w:rPr>
                <w:b/>
              </w:rPr>
              <w:t>)</w:t>
            </w:r>
          </w:p>
        </w:tc>
        <w:tc>
          <w:tcPr>
            <w:tcW w:w="1031" w:type="pct"/>
          </w:tcPr>
          <w:p w14:paraId="08425A3A" w14:textId="77777777" w:rsidR="000D07EA" w:rsidRDefault="00BE7C89">
            <w:pPr>
              <w:pStyle w:val="BodyText"/>
              <w:spacing w:before="100" w:after="100"/>
              <w:jc w:val="center"/>
              <w:rPr>
                <w:color w:val="000000"/>
              </w:rPr>
            </w:pPr>
            <w:r>
              <w:rPr>
                <w:color w:val="000000"/>
              </w:rPr>
              <w:t>$474</w:t>
            </w:r>
          </w:p>
        </w:tc>
        <w:tc>
          <w:tcPr>
            <w:tcW w:w="1031" w:type="pct"/>
          </w:tcPr>
          <w:p w14:paraId="748C235B" w14:textId="77777777" w:rsidR="000D07EA" w:rsidRDefault="00BE7C89">
            <w:pPr>
              <w:pStyle w:val="BodyText"/>
              <w:spacing w:before="100" w:after="100"/>
              <w:jc w:val="center"/>
              <w:rPr>
                <w:color w:val="000000"/>
              </w:rPr>
            </w:pPr>
            <w:r>
              <w:rPr>
                <w:color w:val="000000"/>
              </w:rPr>
              <w:t>$546</w:t>
            </w:r>
          </w:p>
        </w:tc>
        <w:tc>
          <w:tcPr>
            <w:tcW w:w="1032" w:type="pct"/>
          </w:tcPr>
          <w:p w14:paraId="3F35546B" w14:textId="77777777" w:rsidR="000D07EA" w:rsidRDefault="00BE7C89">
            <w:pPr>
              <w:pStyle w:val="BodyText"/>
              <w:spacing w:before="100" w:after="100"/>
              <w:jc w:val="center"/>
              <w:rPr>
                <w:color w:val="000000"/>
              </w:rPr>
            </w:pPr>
            <w:r>
              <w:rPr>
                <w:color w:val="000000"/>
              </w:rPr>
              <w:t>$606</w:t>
            </w:r>
          </w:p>
        </w:tc>
      </w:tr>
      <w:tr w:rsidR="000D07EA" w14:paraId="4241FFA6" w14:textId="77777777">
        <w:trPr>
          <w:trHeight w:val="20"/>
        </w:trPr>
        <w:tc>
          <w:tcPr>
            <w:tcW w:w="1906" w:type="pct"/>
          </w:tcPr>
          <w:p w14:paraId="67E77EE0" w14:textId="77777777" w:rsidR="000D07EA" w:rsidRDefault="00BE7C89">
            <w:pPr>
              <w:pStyle w:val="BodyText"/>
              <w:spacing w:before="100" w:after="100"/>
              <w:rPr>
                <w:b/>
              </w:rPr>
            </w:pPr>
            <w:r>
              <w:rPr>
                <w:b/>
              </w:rPr>
              <w:t xml:space="preserve">Months 19 – 21 (40% of the Initial </w:t>
            </w:r>
            <w:r>
              <w:rPr>
                <w:b/>
                <w:i/>
              </w:rPr>
              <w:t>cancellation fee</w:t>
            </w:r>
            <w:r>
              <w:rPr>
                <w:b/>
              </w:rPr>
              <w:t>)</w:t>
            </w:r>
          </w:p>
        </w:tc>
        <w:tc>
          <w:tcPr>
            <w:tcW w:w="1031" w:type="pct"/>
          </w:tcPr>
          <w:p w14:paraId="36FB50FC" w14:textId="77777777" w:rsidR="000D07EA" w:rsidRDefault="00BE7C89">
            <w:pPr>
              <w:pStyle w:val="BodyText"/>
              <w:spacing w:before="100" w:after="100"/>
              <w:jc w:val="center"/>
              <w:rPr>
                <w:color w:val="000000"/>
              </w:rPr>
            </w:pPr>
            <w:r>
              <w:rPr>
                <w:color w:val="000000"/>
              </w:rPr>
              <w:t>$316</w:t>
            </w:r>
          </w:p>
        </w:tc>
        <w:tc>
          <w:tcPr>
            <w:tcW w:w="1031" w:type="pct"/>
          </w:tcPr>
          <w:p w14:paraId="625EA5D1" w14:textId="77777777" w:rsidR="000D07EA" w:rsidRDefault="00BE7C89">
            <w:pPr>
              <w:pStyle w:val="BodyText"/>
              <w:spacing w:before="100" w:after="100"/>
              <w:jc w:val="center"/>
              <w:rPr>
                <w:color w:val="000000"/>
              </w:rPr>
            </w:pPr>
            <w:r>
              <w:rPr>
                <w:color w:val="000000"/>
              </w:rPr>
              <w:t>$364</w:t>
            </w:r>
          </w:p>
        </w:tc>
        <w:tc>
          <w:tcPr>
            <w:tcW w:w="1032" w:type="pct"/>
          </w:tcPr>
          <w:p w14:paraId="640C2DB2" w14:textId="77777777" w:rsidR="000D07EA" w:rsidRDefault="00BE7C89">
            <w:pPr>
              <w:pStyle w:val="BodyText"/>
              <w:spacing w:before="100" w:after="100"/>
              <w:jc w:val="center"/>
              <w:rPr>
                <w:color w:val="000000"/>
              </w:rPr>
            </w:pPr>
            <w:r>
              <w:rPr>
                <w:color w:val="000000"/>
              </w:rPr>
              <w:t>$404</w:t>
            </w:r>
          </w:p>
        </w:tc>
      </w:tr>
      <w:tr w:rsidR="000D07EA" w14:paraId="6F138E13" w14:textId="77777777">
        <w:trPr>
          <w:trHeight w:val="20"/>
        </w:trPr>
        <w:tc>
          <w:tcPr>
            <w:tcW w:w="1906" w:type="pct"/>
          </w:tcPr>
          <w:p w14:paraId="78F9520D" w14:textId="77777777" w:rsidR="000D07EA" w:rsidRDefault="00BE7C89">
            <w:pPr>
              <w:pStyle w:val="BodyText"/>
              <w:spacing w:before="100" w:after="100"/>
              <w:rPr>
                <w:b/>
              </w:rPr>
            </w:pPr>
            <w:r>
              <w:rPr>
                <w:b/>
              </w:rPr>
              <w:t>Months 22 – 24 (20% of the Initial cancellation fee)</w:t>
            </w:r>
          </w:p>
        </w:tc>
        <w:tc>
          <w:tcPr>
            <w:tcW w:w="1031" w:type="pct"/>
          </w:tcPr>
          <w:p w14:paraId="0FCDB942" w14:textId="77777777" w:rsidR="000D07EA" w:rsidRDefault="00BE7C89">
            <w:pPr>
              <w:pStyle w:val="BodyText"/>
              <w:spacing w:before="100" w:after="100"/>
              <w:jc w:val="center"/>
              <w:rPr>
                <w:color w:val="000000"/>
              </w:rPr>
            </w:pPr>
            <w:r>
              <w:rPr>
                <w:color w:val="000000"/>
              </w:rPr>
              <w:t>$158</w:t>
            </w:r>
          </w:p>
        </w:tc>
        <w:tc>
          <w:tcPr>
            <w:tcW w:w="1031" w:type="pct"/>
          </w:tcPr>
          <w:p w14:paraId="6248C841" w14:textId="77777777" w:rsidR="000D07EA" w:rsidRDefault="00BE7C89">
            <w:pPr>
              <w:pStyle w:val="BodyText"/>
              <w:spacing w:before="100" w:after="100"/>
              <w:jc w:val="center"/>
              <w:rPr>
                <w:color w:val="000000"/>
              </w:rPr>
            </w:pPr>
            <w:r>
              <w:rPr>
                <w:color w:val="000000"/>
              </w:rPr>
              <w:t>$182</w:t>
            </w:r>
          </w:p>
        </w:tc>
        <w:tc>
          <w:tcPr>
            <w:tcW w:w="1032" w:type="pct"/>
          </w:tcPr>
          <w:p w14:paraId="1D37570F" w14:textId="77777777" w:rsidR="000D07EA" w:rsidRDefault="00BE7C89">
            <w:pPr>
              <w:pStyle w:val="BodyText"/>
              <w:spacing w:before="100" w:after="100"/>
              <w:jc w:val="center"/>
              <w:rPr>
                <w:color w:val="000000"/>
              </w:rPr>
            </w:pPr>
            <w:r>
              <w:rPr>
                <w:color w:val="000000"/>
              </w:rPr>
              <w:t>$202</w:t>
            </w:r>
          </w:p>
        </w:tc>
      </w:tr>
    </w:tbl>
    <w:p w14:paraId="5C3E4E82" w14:textId="77777777" w:rsidR="000D07EA" w:rsidRDefault="000D07EA">
      <w:pPr>
        <w:pStyle w:val="BodyText"/>
      </w:pPr>
    </w:p>
    <w:tbl>
      <w:tblPr>
        <w:tblW w:w="4646" w:type="pct"/>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1"/>
        <w:gridCol w:w="1952"/>
        <w:gridCol w:w="1952"/>
        <w:gridCol w:w="1952"/>
      </w:tblGrid>
      <w:tr w:rsidR="000D07EA" w14:paraId="26C736ED" w14:textId="77777777">
        <w:tc>
          <w:tcPr>
            <w:tcW w:w="1907" w:type="pct"/>
          </w:tcPr>
          <w:p w14:paraId="5D56C8BC" w14:textId="77777777" w:rsidR="000D07EA" w:rsidRDefault="00BE7C89">
            <w:pPr>
              <w:pStyle w:val="BodyText"/>
              <w:spacing w:before="100" w:after="100"/>
              <w:rPr>
                <w:b/>
                <w:i/>
              </w:rPr>
            </w:pPr>
            <w:r>
              <w:rPr>
                <w:b/>
              </w:rPr>
              <w:t xml:space="preserve">When the </w:t>
            </w:r>
            <w:r>
              <w:rPr>
                <w:b/>
                <w:i/>
              </w:rPr>
              <w:t>service</w:t>
            </w:r>
            <w:r>
              <w:rPr>
                <w:b/>
              </w:rPr>
              <w:t xml:space="preserve"> is </w:t>
            </w:r>
            <w:r>
              <w:rPr>
                <w:b/>
                <w:i/>
              </w:rPr>
              <w:t>cancelled</w:t>
            </w:r>
          </w:p>
        </w:tc>
        <w:tc>
          <w:tcPr>
            <w:tcW w:w="3093" w:type="pct"/>
            <w:gridSpan w:val="3"/>
          </w:tcPr>
          <w:p w14:paraId="655FC9A2" w14:textId="77777777" w:rsidR="000D07EA" w:rsidRDefault="00BE7C89">
            <w:pPr>
              <w:pStyle w:val="BodyText"/>
              <w:spacing w:before="100" w:after="100"/>
              <w:jc w:val="center"/>
            </w:pPr>
            <w:r>
              <w:rPr>
                <w:b/>
                <w:i/>
              </w:rPr>
              <w:t>Cancellation Fee</w:t>
            </w:r>
          </w:p>
        </w:tc>
      </w:tr>
      <w:tr w:rsidR="000D07EA" w14:paraId="00F64EB3" w14:textId="77777777">
        <w:tc>
          <w:tcPr>
            <w:tcW w:w="1907" w:type="pct"/>
          </w:tcPr>
          <w:p w14:paraId="4392EB3A" w14:textId="77777777" w:rsidR="000D07EA" w:rsidRDefault="000D07EA">
            <w:pPr>
              <w:pStyle w:val="BodyText"/>
              <w:spacing w:before="100" w:after="100"/>
              <w:rPr>
                <w:b/>
              </w:rPr>
            </w:pPr>
          </w:p>
        </w:tc>
        <w:tc>
          <w:tcPr>
            <w:tcW w:w="3093" w:type="pct"/>
            <w:gridSpan w:val="3"/>
          </w:tcPr>
          <w:p w14:paraId="7656F4B2" w14:textId="77777777" w:rsidR="000D07EA" w:rsidRDefault="00BE7C89">
            <w:pPr>
              <w:pStyle w:val="BodyText"/>
              <w:spacing w:before="100" w:after="100"/>
              <w:jc w:val="center"/>
            </w:pPr>
            <w:r>
              <w:rPr>
                <w:b/>
              </w:rPr>
              <w:t>Business Complete Advantage Plans – 12 Month Contract</w:t>
            </w:r>
          </w:p>
        </w:tc>
      </w:tr>
      <w:tr w:rsidR="000D07EA" w14:paraId="6BAB8290" w14:textId="77777777">
        <w:tc>
          <w:tcPr>
            <w:tcW w:w="1907" w:type="pct"/>
          </w:tcPr>
          <w:p w14:paraId="0435CA39" w14:textId="77777777" w:rsidR="000D07EA" w:rsidRDefault="000D07EA">
            <w:pPr>
              <w:pStyle w:val="BodyText"/>
              <w:spacing w:before="100" w:after="100"/>
              <w:rPr>
                <w:b/>
              </w:rPr>
            </w:pPr>
          </w:p>
        </w:tc>
        <w:tc>
          <w:tcPr>
            <w:tcW w:w="1031" w:type="pct"/>
          </w:tcPr>
          <w:p w14:paraId="1E9BB218" w14:textId="77777777" w:rsidR="000D07EA" w:rsidRDefault="00BE7C89">
            <w:pPr>
              <w:pStyle w:val="BodyText"/>
              <w:spacing w:before="100" w:after="100"/>
              <w:jc w:val="center"/>
              <w:rPr>
                <w:b/>
              </w:rPr>
            </w:pPr>
            <w:r>
              <w:rPr>
                <w:b/>
                <w:lang w:eastAsia="en-AU"/>
              </w:rPr>
              <w:t xml:space="preserve">$49 </w:t>
            </w:r>
            <w:r>
              <w:rPr>
                <w:b/>
              </w:rPr>
              <w:t>Business Complete Advantage</w:t>
            </w:r>
          </w:p>
        </w:tc>
        <w:tc>
          <w:tcPr>
            <w:tcW w:w="1031" w:type="pct"/>
          </w:tcPr>
          <w:p w14:paraId="560C0955" w14:textId="77777777" w:rsidR="000D07EA" w:rsidRDefault="00BE7C89">
            <w:pPr>
              <w:pStyle w:val="BodyText"/>
              <w:spacing w:before="100" w:after="100"/>
              <w:jc w:val="center"/>
              <w:rPr>
                <w:b/>
              </w:rPr>
            </w:pPr>
            <w:r>
              <w:rPr>
                <w:b/>
                <w:lang w:eastAsia="en-AU"/>
              </w:rPr>
              <w:t xml:space="preserve">$59 </w:t>
            </w:r>
            <w:r>
              <w:rPr>
                <w:b/>
              </w:rPr>
              <w:t>Business Complete Advantage</w:t>
            </w:r>
          </w:p>
        </w:tc>
        <w:tc>
          <w:tcPr>
            <w:tcW w:w="1031" w:type="pct"/>
          </w:tcPr>
          <w:p w14:paraId="26CEEECA" w14:textId="77777777" w:rsidR="000D07EA" w:rsidRDefault="00BE7C89">
            <w:pPr>
              <w:pStyle w:val="BodyText"/>
              <w:spacing w:before="100" w:after="100"/>
              <w:jc w:val="center"/>
              <w:rPr>
                <w:b/>
              </w:rPr>
            </w:pPr>
            <w:r>
              <w:rPr>
                <w:b/>
                <w:lang w:eastAsia="en-AU"/>
              </w:rPr>
              <w:t xml:space="preserve">$79 </w:t>
            </w:r>
            <w:r>
              <w:rPr>
                <w:b/>
              </w:rPr>
              <w:t>Business Complete Advantage</w:t>
            </w:r>
          </w:p>
        </w:tc>
      </w:tr>
      <w:tr w:rsidR="000D07EA" w14:paraId="0A5E335A" w14:textId="77777777">
        <w:tc>
          <w:tcPr>
            <w:tcW w:w="1907" w:type="pct"/>
          </w:tcPr>
          <w:p w14:paraId="2DBCBD95" w14:textId="77777777" w:rsidR="000D07EA" w:rsidRDefault="00BE7C89">
            <w:pPr>
              <w:pStyle w:val="BodyText"/>
              <w:spacing w:before="100" w:after="100"/>
              <w:rPr>
                <w:b/>
                <w:i/>
              </w:rPr>
            </w:pPr>
            <w:r>
              <w:rPr>
                <w:b/>
              </w:rPr>
              <w:t xml:space="preserve">During the first 6 months – Initial </w:t>
            </w:r>
            <w:r>
              <w:rPr>
                <w:b/>
                <w:i/>
              </w:rPr>
              <w:t>cancellation fee</w:t>
            </w:r>
          </w:p>
        </w:tc>
        <w:tc>
          <w:tcPr>
            <w:tcW w:w="1031" w:type="pct"/>
          </w:tcPr>
          <w:p w14:paraId="3CC1CCEE" w14:textId="77777777" w:rsidR="000D07EA" w:rsidRDefault="00BE7C89">
            <w:pPr>
              <w:pStyle w:val="BodyText"/>
              <w:spacing w:before="100" w:after="100"/>
              <w:jc w:val="center"/>
            </w:pPr>
            <w:r>
              <w:t>$500</w:t>
            </w:r>
          </w:p>
        </w:tc>
        <w:tc>
          <w:tcPr>
            <w:tcW w:w="1031" w:type="pct"/>
          </w:tcPr>
          <w:p w14:paraId="71DF8B18" w14:textId="77777777" w:rsidR="000D07EA" w:rsidRDefault="00BE7C89">
            <w:pPr>
              <w:pStyle w:val="BodyText"/>
              <w:spacing w:before="100" w:after="100"/>
              <w:jc w:val="center"/>
            </w:pPr>
            <w:r>
              <w:t>$560</w:t>
            </w:r>
          </w:p>
        </w:tc>
        <w:tc>
          <w:tcPr>
            <w:tcW w:w="1031" w:type="pct"/>
          </w:tcPr>
          <w:p w14:paraId="27E8003F" w14:textId="77777777" w:rsidR="000D07EA" w:rsidRDefault="00BE7C89">
            <w:pPr>
              <w:pStyle w:val="BodyText"/>
              <w:spacing w:before="100" w:after="100"/>
              <w:jc w:val="center"/>
            </w:pPr>
            <w:r>
              <w:t>$620</w:t>
            </w:r>
          </w:p>
        </w:tc>
      </w:tr>
      <w:tr w:rsidR="000D07EA" w14:paraId="7D523076" w14:textId="77777777">
        <w:tc>
          <w:tcPr>
            <w:tcW w:w="1907" w:type="pct"/>
          </w:tcPr>
          <w:p w14:paraId="5AE4BB97" w14:textId="77777777" w:rsidR="000D07EA" w:rsidRDefault="00BE7C89">
            <w:pPr>
              <w:pStyle w:val="BodyText"/>
              <w:spacing w:before="100" w:after="100"/>
              <w:rPr>
                <w:b/>
              </w:rPr>
            </w:pPr>
            <w:r>
              <w:rPr>
                <w:b/>
              </w:rPr>
              <w:t xml:space="preserve">Months 7 - 9 (70% of Initial </w:t>
            </w:r>
            <w:r>
              <w:rPr>
                <w:b/>
                <w:i/>
              </w:rPr>
              <w:t>cancellation fee</w:t>
            </w:r>
            <w:r>
              <w:rPr>
                <w:b/>
              </w:rPr>
              <w:t>)</w:t>
            </w:r>
          </w:p>
        </w:tc>
        <w:tc>
          <w:tcPr>
            <w:tcW w:w="1031" w:type="pct"/>
          </w:tcPr>
          <w:p w14:paraId="13FD7D07" w14:textId="77777777" w:rsidR="000D07EA" w:rsidRDefault="00BE7C89">
            <w:pPr>
              <w:pStyle w:val="BodyText"/>
              <w:spacing w:before="100" w:after="100"/>
              <w:jc w:val="center"/>
              <w:rPr>
                <w:color w:val="000000"/>
              </w:rPr>
            </w:pPr>
            <w:r>
              <w:rPr>
                <w:color w:val="000000"/>
              </w:rPr>
              <w:t>$350</w:t>
            </w:r>
          </w:p>
        </w:tc>
        <w:tc>
          <w:tcPr>
            <w:tcW w:w="1031" w:type="pct"/>
          </w:tcPr>
          <w:p w14:paraId="7EB241F7" w14:textId="77777777" w:rsidR="000D07EA" w:rsidRDefault="00BE7C89">
            <w:pPr>
              <w:pStyle w:val="BodyText"/>
              <w:spacing w:before="100" w:after="100"/>
              <w:jc w:val="center"/>
              <w:rPr>
                <w:color w:val="000000"/>
              </w:rPr>
            </w:pPr>
            <w:r>
              <w:rPr>
                <w:color w:val="000000"/>
              </w:rPr>
              <w:t>$392</w:t>
            </w:r>
          </w:p>
        </w:tc>
        <w:tc>
          <w:tcPr>
            <w:tcW w:w="1031" w:type="pct"/>
          </w:tcPr>
          <w:p w14:paraId="1799AB6D" w14:textId="77777777" w:rsidR="000D07EA" w:rsidRDefault="00BE7C89">
            <w:pPr>
              <w:pStyle w:val="BodyText"/>
              <w:spacing w:before="100" w:after="100"/>
              <w:jc w:val="center"/>
              <w:rPr>
                <w:color w:val="000000"/>
              </w:rPr>
            </w:pPr>
            <w:r>
              <w:rPr>
                <w:color w:val="000000"/>
              </w:rPr>
              <w:t>$434</w:t>
            </w:r>
          </w:p>
        </w:tc>
      </w:tr>
      <w:tr w:rsidR="000D07EA" w14:paraId="7B18E885" w14:textId="77777777">
        <w:tc>
          <w:tcPr>
            <w:tcW w:w="1907" w:type="pct"/>
          </w:tcPr>
          <w:p w14:paraId="551A2417" w14:textId="77777777" w:rsidR="000D07EA" w:rsidRDefault="00BE7C89">
            <w:pPr>
              <w:pStyle w:val="BodyText"/>
              <w:spacing w:before="100" w:after="100"/>
              <w:rPr>
                <w:b/>
              </w:rPr>
            </w:pPr>
            <w:r>
              <w:rPr>
                <w:b/>
              </w:rPr>
              <w:t xml:space="preserve">Months 10 – 12 (40% of the Initial </w:t>
            </w:r>
            <w:r>
              <w:rPr>
                <w:b/>
                <w:i/>
              </w:rPr>
              <w:t>cancellation fee</w:t>
            </w:r>
            <w:r>
              <w:rPr>
                <w:b/>
              </w:rPr>
              <w:t>)</w:t>
            </w:r>
          </w:p>
        </w:tc>
        <w:tc>
          <w:tcPr>
            <w:tcW w:w="1031" w:type="pct"/>
          </w:tcPr>
          <w:p w14:paraId="66E75EB2" w14:textId="77777777" w:rsidR="000D07EA" w:rsidRDefault="00BE7C89">
            <w:pPr>
              <w:pStyle w:val="BodyText"/>
              <w:spacing w:before="100" w:after="100"/>
              <w:jc w:val="center"/>
              <w:rPr>
                <w:color w:val="000000"/>
              </w:rPr>
            </w:pPr>
            <w:r>
              <w:rPr>
                <w:color w:val="000000"/>
              </w:rPr>
              <w:t>$200</w:t>
            </w:r>
          </w:p>
        </w:tc>
        <w:tc>
          <w:tcPr>
            <w:tcW w:w="1031" w:type="pct"/>
          </w:tcPr>
          <w:p w14:paraId="5528B26C" w14:textId="77777777" w:rsidR="000D07EA" w:rsidRDefault="00BE7C89">
            <w:pPr>
              <w:pStyle w:val="BodyText"/>
              <w:spacing w:before="100" w:after="100"/>
              <w:jc w:val="center"/>
              <w:rPr>
                <w:color w:val="000000"/>
              </w:rPr>
            </w:pPr>
            <w:r>
              <w:rPr>
                <w:color w:val="000000"/>
              </w:rPr>
              <w:t>$224</w:t>
            </w:r>
          </w:p>
        </w:tc>
        <w:tc>
          <w:tcPr>
            <w:tcW w:w="1031" w:type="pct"/>
          </w:tcPr>
          <w:p w14:paraId="1551B852" w14:textId="77777777" w:rsidR="000D07EA" w:rsidRDefault="00BE7C89">
            <w:pPr>
              <w:pStyle w:val="BodyText"/>
              <w:spacing w:before="100" w:after="100"/>
              <w:jc w:val="center"/>
              <w:rPr>
                <w:color w:val="000000"/>
              </w:rPr>
            </w:pPr>
            <w:r>
              <w:rPr>
                <w:color w:val="000000"/>
              </w:rPr>
              <w:t>$248</w:t>
            </w:r>
          </w:p>
        </w:tc>
      </w:tr>
    </w:tbl>
    <w:p w14:paraId="059D2224" w14:textId="77777777" w:rsidR="000D07EA" w:rsidRDefault="00BE7C89">
      <w:pPr>
        <w:pStyle w:val="Heading7"/>
        <w:spacing w:before="240"/>
      </w:pPr>
      <w:r>
        <w:t xml:space="preserve">If the </w:t>
      </w:r>
      <w:r>
        <w:rPr>
          <w:i/>
        </w:rPr>
        <w:t>Business Mobile Broadband service</w:t>
      </w:r>
      <w:r>
        <w:t xml:space="preserve"> is cancelled before the expiry of the </w:t>
      </w:r>
      <w:r>
        <w:rPr>
          <w:i/>
        </w:rPr>
        <w:t>minimum term, you</w:t>
      </w:r>
      <w:r>
        <w:t xml:space="preserve"> will be required to pay </w:t>
      </w:r>
      <w:r>
        <w:rPr>
          <w:i/>
        </w:rPr>
        <w:t>us</w:t>
      </w:r>
      <w:r>
        <w:t>;</w:t>
      </w:r>
    </w:p>
    <w:p w14:paraId="7833813D" w14:textId="77777777" w:rsidR="000D07EA" w:rsidRDefault="00BE7C89">
      <w:pPr>
        <w:pStyle w:val="Heading8"/>
      </w:pPr>
      <w:r>
        <w:t xml:space="preserve">any usage charges incurred up to, and including, the </w:t>
      </w:r>
      <w:r>
        <w:rPr>
          <w:i/>
        </w:rPr>
        <w:t xml:space="preserve">cancellation date; </w:t>
      </w:r>
      <w:r>
        <w:t>plus</w:t>
      </w:r>
    </w:p>
    <w:p w14:paraId="6AF1E9E8" w14:textId="77777777" w:rsidR="000D07EA" w:rsidRDefault="00BE7C89">
      <w:pPr>
        <w:pStyle w:val="Heading8"/>
      </w:pPr>
      <w:r>
        <w:t>the sum of unpaid equipment charges owing on your mobile phone under the mobile equipment payment plan (if any)</w:t>
      </w:r>
    </w:p>
    <w:p w14:paraId="5DA76716" w14:textId="77777777" w:rsidR="000D07EA" w:rsidRDefault="00BE7C89">
      <w:pPr>
        <w:pStyle w:val="Heading6"/>
        <w:ind w:left="0" w:firstLine="0"/>
        <w:rPr>
          <w:i/>
        </w:rPr>
      </w:pPr>
      <w:bookmarkStart w:id="392" w:name="_Toc267937665"/>
      <w:bookmarkStart w:id="393" w:name="_Toc397941140"/>
      <w:r>
        <w:t xml:space="preserve">What happens at the end of the 12 or 24 month </w:t>
      </w:r>
      <w:r>
        <w:rPr>
          <w:i/>
        </w:rPr>
        <w:t>minimum term?</w:t>
      </w:r>
      <w:bookmarkEnd w:id="392"/>
      <w:bookmarkEnd w:id="393"/>
    </w:p>
    <w:p w14:paraId="7A2A8FEE" w14:textId="77777777" w:rsidR="000D07EA" w:rsidRDefault="00BE7C89">
      <w:pPr>
        <w:pStyle w:val="BodyText"/>
        <w:ind w:left="720"/>
      </w:pPr>
      <w:r>
        <w:rPr>
          <w:i/>
        </w:rPr>
        <w:t xml:space="preserve">We </w:t>
      </w:r>
      <w:r>
        <w:t xml:space="preserve">reserve the right not to offer </w:t>
      </w:r>
      <w:r>
        <w:rPr>
          <w:i/>
        </w:rPr>
        <w:t xml:space="preserve">you </w:t>
      </w:r>
      <w:r>
        <w:t xml:space="preserve">the Business Complete Advantage offers at the end of </w:t>
      </w:r>
      <w:r>
        <w:rPr>
          <w:i/>
        </w:rPr>
        <w:t xml:space="preserve">your </w:t>
      </w:r>
      <w:r>
        <w:t>12 or</w:t>
      </w:r>
      <w:r>
        <w:rPr>
          <w:i/>
        </w:rPr>
        <w:t xml:space="preserve"> </w:t>
      </w:r>
      <w:r>
        <w:t xml:space="preserve">24 month </w:t>
      </w:r>
      <w:r>
        <w:rPr>
          <w:i/>
        </w:rPr>
        <w:t xml:space="preserve">minimum </w:t>
      </w:r>
      <w:r>
        <w:t xml:space="preserve">term.  At that time, if </w:t>
      </w:r>
      <w:r>
        <w:rPr>
          <w:i/>
        </w:rPr>
        <w:t xml:space="preserve">you </w:t>
      </w:r>
      <w:r>
        <w:t xml:space="preserve">haven't given </w:t>
      </w:r>
      <w:r>
        <w:rPr>
          <w:i/>
        </w:rPr>
        <w:t xml:space="preserve">us </w:t>
      </w:r>
      <w:r>
        <w:t xml:space="preserve">notice to change or </w:t>
      </w:r>
      <w:r>
        <w:rPr>
          <w:i/>
        </w:rPr>
        <w:t>cancel the services</w:t>
      </w:r>
      <w:r>
        <w:t>:</w:t>
      </w:r>
    </w:p>
    <w:p w14:paraId="4DE08E9A" w14:textId="77777777" w:rsidR="000D07EA" w:rsidRDefault="00BE7C89">
      <w:pPr>
        <w:pStyle w:val="Heading7"/>
      </w:pPr>
      <w:r>
        <w:t xml:space="preserve">the benefits of the Business Complete Advantage offers may be removed from </w:t>
      </w:r>
      <w:r>
        <w:rPr>
          <w:i/>
        </w:rPr>
        <w:t xml:space="preserve">your </w:t>
      </w:r>
      <w:r>
        <w:t>account; and</w:t>
      </w:r>
    </w:p>
    <w:p w14:paraId="3ACB8E93" w14:textId="77777777" w:rsidR="000D07EA" w:rsidRDefault="00BE7C89">
      <w:pPr>
        <w:pStyle w:val="Heading7"/>
      </w:pPr>
      <w:r>
        <w:rPr>
          <w:i/>
        </w:rPr>
        <w:t xml:space="preserve">we </w:t>
      </w:r>
      <w:r>
        <w:t xml:space="preserve">may move </w:t>
      </w:r>
      <w:r>
        <w:rPr>
          <w:i/>
        </w:rPr>
        <w:t xml:space="preserve">you </w:t>
      </w:r>
      <w:r>
        <w:t xml:space="preserve">to any other current </w:t>
      </w:r>
      <w:r>
        <w:rPr>
          <w:i/>
        </w:rPr>
        <w:t xml:space="preserve">pricing plan </w:t>
      </w:r>
      <w:r>
        <w:t>that is reasonably comparable.</w:t>
      </w:r>
    </w:p>
    <w:p w14:paraId="2E297512" w14:textId="77777777" w:rsidR="000D07EA" w:rsidRDefault="00BE7C89">
      <w:pPr>
        <w:pStyle w:val="BodyText"/>
        <w:ind w:left="720"/>
      </w:pPr>
      <w:r>
        <w:rPr>
          <w:i/>
        </w:rPr>
        <w:t xml:space="preserve">We </w:t>
      </w:r>
      <w:r>
        <w:t xml:space="preserve">will tell </w:t>
      </w:r>
      <w:r>
        <w:rPr>
          <w:i/>
        </w:rPr>
        <w:t xml:space="preserve">you </w:t>
      </w:r>
      <w:r>
        <w:t>before this happen.</w:t>
      </w:r>
    </w:p>
    <w:p w14:paraId="077CFAF3" w14:textId="77777777" w:rsidR="000D07EA" w:rsidRDefault="00BE7C89">
      <w:pPr>
        <w:pStyle w:val="Heading6"/>
        <w:ind w:left="0" w:firstLine="0"/>
      </w:pPr>
      <w:bookmarkStart w:id="394" w:name="_Toc267937666"/>
      <w:bookmarkStart w:id="395" w:name="_Toc397941141"/>
      <w:r>
        <w:t>$15 Business Advantage BMB Plan</w:t>
      </w:r>
      <w:bookmarkEnd w:id="394"/>
      <w:bookmarkEnd w:id="395"/>
    </w:p>
    <w:p w14:paraId="60B3F3B9" w14:textId="77777777" w:rsidR="000D07EA" w:rsidRDefault="00BE7C89">
      <w:pPr>
        <w:pStyle w:val="Heading7"/>
      </w:pPr>
      <w:r>
        <w:rPr>
          <w:i/>
        </w:rPr>
        <w:t xml:space="preserve">You </w:t>
      </w:r>
      <w:r>
        <w:t xml:space="preserve">must pay </w:t>
      </w:r>
      <w:r>
        <w:rPr>
          <w:i/>
        </w:rPr>
        <w:t xml:space="preserve">us </w:t>
      </w:r>
      <w:r>
        <w:t xml:space="preserve">for use of the </w:t>
      </w:r>
      <w:r>
        <w:rPr>
          <w:i/>
        </w:rPr>
        <w:t xml:space="preserve">service </w:t>
      </w:r>
      <w:r>
        <w:t xml:space="preserve">at the rates set out in Table 7 </w:t>
      </w:r>
    </w:p>
    <w:p w14:paraId="7299E9EE" w14:textId="77777777" w:rsidR="000D07EA" w:rsidRDefault="00BE7C89">
      <w:pPr>
        <w:pStyle w:val="Heading7"/>
        <w:rPr>
          <w:b/>
        </w:rPr>
      </w:pPr>
      <w:r>
        <w:rPr>
          <w:b/>
        </w:rPr>
        <w:t>Minimum Monthly Charge</w:t>
      </w:r>
    </w:p>
    <w:p w14:paraId="15B0349E" w14:textId="77777777" w:rsidR="000D07EA" w:rsidRDefault="00BE7C89">
      <w:pPr>
        <w:pStyle w:val="Heading8"/>
      </w:pPr>
      <w:r>
        <w:t xml:space="preserve">The Business Advantage BMB Plan has a Minimum Monthly Charge amount that </w:t>
      </w:r>
      <w:r>
        <w:rPr>
          <w:i/>
        </w:rPr>
        <w:t xml:space="preserve">you </w:t>
      </w:r>
      <w:r>
        <w:t xml:space="preserve">must pay us each month. </w:t>
      </w:r>
    </w:p>
    <w:p w14:paraId="23DF4D45" w14:textId="77777777" w:rsidR="000D07EA" w:rsidRDefault="00BE7C89">
      <w:pPr>
        <w:pStyle w:val="Heading8"/>
      </w:pPr>
      <w:r>
        <w:lastRenderedPageBreak/>
        <w:t>The amount of the Minimum Monthly Charge for each Business Advantage BMB Plan is set out in Table 7 below.</w:t>
      </w:r>
    </w:p>
    <w:p w14:paraId="48A40890" w14:textId="77777777" w:rsidR="000D07EA" w:rsidRDefault="00BE7C89">
      <w:pPr>
        <w:pStyle w:val="Heading8"/>
      </w:pPr>
      <w:r>
        <w:rPr>
          <w:i/>
        </w:rPr>
        <w:t>You</w:t>
      </w:r>
      <w:r>
        <w:t xml:space="preserve"> must pay for any calls, texts or data usage that are not eligible.</w:t>
      </w:r>
    </w:p>
    <w:p w14:paraId="57E95481" w14:textId="77777777" w:rsidR="000D07EA" w:rsidRDefault="00BE7C89">
      <w:pPr>
        <w:pStyle w:val="Heading7"/>
        <w:rPr>
          <w:b/>
        </w:rPr>
      </w:pPr>
      <w:r>
        <w:rPr>
          <w:b/>
        </w:rPr>
        <w:t>Other Conditions and Offers</w:t>
      </w:r>
    </w:p>
    <w:p w14:paraId="2D5BAAB0" w14:textId="77777777" w:rsidR="000D07EA" w:rsidRDefault="00BE7C89">
      <w:pPr>
        <w:pStyle w:val="Heading8"/>
      </w:pPr>
      <w:r>
        <w:t xml:space="preserve">The </w:t>
      </w:r>
      <w:r w:rsidR="00B64C56">
        <w:t>Fair Go</w:t>
      </w:r>
      <w:r>
        <w:t xml:space="preserve"> Policy applies to usage of the </w:t>
      </w:r>
      <w:r>
        <w:rPr>
          <w:i/>
        </w:rPr>
        <w:t>Optus Mobile Internet Service</w:t>
      </w:r>
      <w:r>
        <w:t xml:space="preserve">.  Please refer to </w:t>
      </w:r>
      <w:hyperlink r:id="rId272" w:history="1">
        <w:r w:rsidR="00B64C56">
          <w:rPr>
            <w:rStyle w:val="Hyperlink"/>
            <w:i/>
          </w:rPr>
          <w:t>Appendix S</w:t>
        </w:r>
      </w:hyperlink>
      <w:r>
        <w:t xml:space="preserve"> .</w:t>
      </w:r>
    </w:p>
    <w:p w14:paraId="30AFE2E7" w14:textId="77777777" w:rsidR="000D07EA" w:rsidRDefault="00BE7C89">
      <w:pPr>
        <w:pStyle w:val="Heading8"/>
      </w:pPr>
      <w:r>
        <w:t>As per Table 4 below a Business Mobile Broadband Service on a Business Advantage BMB Plan can only be bundled with the respective Optus Mobile Digital service</w:t>
      </w:r>
    </w:p>
    <w:p w14:paraId="66A07DE6" w14:textId="77777777" w:rsidR="000D07EA" w:rsidRDefault="00BE7C89">
      <w:pPr>
        <w:pStyle w:val="BodyText"/>
        <w:keepNext/>
        <w:spacing w:before="240"/>
        <w:ind w:left="1440"/>
        <w:rPr>
          <w:b/>
        </w:rPr>
      </w:pPr>
      <w:r>
        <w:rPr>
          <w:b/>
        </w:rPr>
        <w:t>Table 4 – Business Mobile Broadband Bundles Options</w:t>
      </w:r>
    </w:p>
    <w:tbl>
      <w:tblPr>
        <w:tblW w:w="4300" w:type="pct"/>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90"/>
        <w:gridCol w:w="2190"/>
        <w:gridCol w:w="2191"/>
        <w:gridCol w:w="2191"/>
      </w:tblGrid>
      <w:tr w:rsidR="000D07EA" w14:paraId="2D0E1B67" w14:textId="77777777">
        <w:trPr>
          <w:trHeight w:val="20"/>
        </w:trPr>
        <w:tc>
          <w:tcPr>
            <w:tcW w:w="1250" w:type="pct"/>
          </w:tcPr>
          <w:p w14:paraId="360AD36C" w14:textId="77777777" w:rsidR="000D07EA" w:rsidRDefault="00BE7C89">
            <w:pPr>
              <w:pStyle w:val="BodyText"/>
              <w:keepNext/>
              <w:spacing w:before="100" w:after="100"/>
              <w:jc w:val="center"/>
              <w:rPr>
                <w:b/>
                <w:lang w:eastAsia="ko-KR"/>
              </w:rPr>
            </w:pPr>
            <w:r>
              <w:rPr>
                <w:b/>
                <w:lang w:eastAsia="ko-KR"/>
              </w:rPr>
              <w:t>Optus Mobile Digital Service Plan which can be bundled</w:t>
            </w:r>
          </w:p>
        </w:tc>
        <w:tc>
          <w:tcPr>
            <w:tcW w:w="1250" w:type="pct"/>
          </w:tcPr>
          <w:p w14:paraId="585D9B2B" w14:textId="77777777" w:rsidR="000D07EA" w:rsidRDefault="00BE7C89">
            <w:pPr>
              <w:pStyle w:val="BodyText"/>
              <w:keepNext/>
              <w:spacing w:before="100" w:after="100"/>
              <w:jc w:val="center"/>
              <w:rPr>
                <w:lang w:eastAsia="ko-KR"/>
              </w:rPr>
            </w:pPr>
            <w:r>
              <w:t>$49 Business Complete Advantage</w:t>
            </w:r>
          </w:p>
        </w:tc>
        <w:tc>
          <w:tcPr>
            <w:tcW w:w="1250" w:type="pct"/>
          </w:tcPr>
          <w:p w14:paraId="1A169EA9" w14:textId="77777777" w:rsidR="000D07EA" w:rsidRDefault="00BE7C89">
            <w:pPr>
              <w:pStyle w:val="BodyText"/>
              <w:keepNext/>
              <w:spacing w:before="100" w:after="100"/>
              <w:jc w:val="center"/>
              <w:rPr>
                <w:lang w:eastAsia="ko-KR"/>
              </w:rPr>
            </w:pPr>
            <w:r>
              <w:t>$59 Business Complete Advantage</w:t>
            </w:r>
          </w:p>
        </w:tc>
        <w:tc>
          <w:tcPr>
            <w:tcW w:w="1250" w:type="pct"/>
          </w:tcPr>
          <w:p w14:paraId="70D16B4B" w14:textId="77777777" w:rsidR="000D07EA" w:rsidRDefault="00BE7C89">
            <w:pPr>
              <w:pStyle w:val="BodyText"/>
              <w:keepNext/>
              <w:spacing w:before="100" w:after="100"/>
              <w:jc w:val="center"/>
              <w:rPr>
                <w:lang w:eastAsia="ko-KR"/>
              </w:rPr>
            </w:pPr>
            <w:r>
              <w:t>$79 Business Complete Advantage</w:t>
            </w:r>
          </w:p>
        </w:tc>
      </w:tr>
      <w:tr w:rsidR="000D07EA" w14:paraId="0A83EE27" w14:textId="77777777">
        <w:trPr>
          <w:trHeight w:val="20"/>
        </w:trPr>
        <w:tc>
          <w:tcPr>
            <w:tcW w:w="1250" w:type="pct"/>
          </w:tcPr>
          <w:p w14:paraId="113DFB56" w14:textId="77777777" w:rsidR="000D07EA" w:rsidRDefault="00BE7C89">
            <w:pPr>
              <w:pStyle w:val="BodyText"/>
              <w:spacing w:before="100" w:after="100"/>
              <w:jc w:val="center"/>
              <w:rPr>
                <w:b/>
                <w:lang w:eastAsia="ko-KR"/>
              </w:rPr>
            </w:pPr>
            <w:r>
              <w:rPr>
                <w:b/>
                <w:lang w:eastAsia="ko-KR"/>
              </w:rPr>
              <w:t>Business Mobile Broadband  Service Plan</w:t>
            </w:r>
          </w:p>
        </w:tc>
        <w:tc>
          <w:tcPr>
            <w:tcW w:w="1250" w:type="pct"/>
          </w:tcPr>
          <w:p w14:paraId="11DFDF92" w14:textId="77777777" w:rsidR="000D07EA" w:rsidRDefault="00BE7C89">
            <w:pPr>
              <w:pStyle w:val="BodyText"/>
              <w:spacing w:before="100" w:after="100"/>
              <w:jc w:val="center"/>
              <w:rPr>
                <w:lang w:eastAsia="ko-KR"/>
              </w:rPr>
            </w:pPr>
            <w:r>
              <w:t>$15 Business Advantage BMB</w:t>
            </w:r>
          </w:p>
        </w:tc>
        <w:tc>
          <w:tcPr>
            <w:tcW w:w="1250" w:type="pct"/>
          </w:tcPr>
          <w:p w14:paraId="5490A8E6" w14:textId="77777777" w:rsidR="000D07EA" w:rsidRDefault="00BE7C89">
            <w:pPr>
              <w:pStyle w:val="BodyText"/>
              <w:spacing w:before="100" w:after="100"/>
              <w:jc w:val="center"/>
            </w:pPr>
            <w:r>
              <w:t>$15 Business Advantage BMB</w:t>
            </w:r>
          </w:p>
        </w:tc>
        <w:tc>
          <w:tcPr>
            <w:tcW w:w="1250" w:type="pct"/>
          </w:tcPr>
          <w:p w14:paraId="4CAC569F" w14:textId="77777777" w:rsidR="000D07EA" w:rsidRDefault="00BE7C89">
            <w:pPr>
              <w:pStyle w:val="BodyText"/>
              <w:spacing w:before="100" w:after="100"/>
              <w:jc w:val="center"/>
            </w:pPr>
            <w:r>
              <w:t>$15 Business Advantage BMB with $10 monthly access fee.</w:t>
            </w:r>
          </w:p>
        </w:tc>
      </w:tr>
    </w:tbl>
    <w:p w14:paraId="02540039" w14:textId="77777777" w:rsidR="000D07EA" w:rsidRDefault="00BE7C89">
      <w:pPr>
        <w:pStyle w:val="Heading7"/>
        <w:spacing w:before="240"/>
        <w:rPr>
          <w:b/>
        </w:rPr>
      </w:pPr>
      <w:r>
        <w:rPr>
          <w:b/>
        </w:rPr>
        <w:t>Equipment</w:t>
      </w:r>
    </w:p>
    <w:p w14:paraId="6B994B11" w14:textId="77777777" w:rsidR="000D07EA" w:rsidRDefault="00BE7C89">
      <w:pPr>
        <w:pStyle w:val="BodyText"/>
        <w:ind w:left="1440"/>
      </w:pPr>
      <w:r>
        <w:t xml:space="preserve">The Business Complete Advantage offer includes a credit of up to $10 a month for 24 months which can be used to offset the BMB modem charge. </w:t>
      </w:r>
    </w:p>
    <w:p w14:paraId="72E1CC80" w14:textId="77777777" w:rsidR="000D07EA" w:rsidRDefault="00BE7C89">
      <w:pPr>
        <w:pStyle w:val="BodyText"/>
        <w:ind w:left="1440"/>
      </w:pPr>
      <w:r>
        <w:t xml:space="preserve">If </w:t>
      </w:r>
      <w:r>
        <w:rPr>
          <w:i/>
        </w:rPr>
        <w:t>you</w:t>
      </w:r>
      <w:r>
        <w:t xml:space="preserve">r Business Mobile Broadband service is cancelled before the end of the 24 months period </w:t>
      </w:r>
      <w:r>
        <w:rPr>
          <w:i/>
        </w:rPr>
        <w:t>you</w:t>
      </w:r>
      <w:r>
        <w:t xml:space="preserve"> will have to pay any BMB modem charge amount, which is calculated by multiplying the per month figure listed in Table 5 by the number of months remaining in the 24 month period.</w:t>
      </w:r>
    </w:p>
    <w:p w14:paraId="5B6F4F0C" w14:textId="77777777" w:rsidR="000D07EA" w:rsidRDefault="00BE7C89">
      <w:pPr>
        <w:pStyle w:val="BodyText"/>
        <w:ind w:left="1440"/>
        <w:rPr>
          <w:b/>
        </w:rPr>
      </w:pPr>
      <w:r>
        <w:rPr>
          <w:b/>
        </w:rPr>
        <w:t>Table 5 – Business Mobile Broadband Hardware charge</w:t>
      </w:r>
    </w:p>
    <w:tbl>
      <w:tblPr>
        <w:tblW w:w="4300" w:type="pct"/>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0"/>
        <w:gridCol w:w="2920"/>
        <w:gridCol w:w="2922"/>
      </w:tblGrid>
      <w:tr w:rsidR="000D07EA" w14:paraId="217BD342" w14:textId="77777777">
        <w:trPr>
          <w:trHeight w:val="20"/>
        </w:trPr>
        <w:tc>
          <w:tcPr>
            <w:tcW w:w="1666" w:type="pct"/>
          </w:tcPr>
          <w:p w14:paraId="583865A3" w14:textId="77777777" w:rsidR="000D07EA" w:rsidRDefault="00BE7C89">
            <w:pPr>
              <w:pStyle w:val="BodyText"/>
              <w:spacing w:before="100" w:after="100"/>
              <w:jc w:val="center"/>
              <w:rPr>
                <w:b/>
                <w:lang w:eastAsia="ko-KR"/>
              </w:rPr>
            </w:pPr>
            <w:r>
              <w:rPr>
                <w:b/>
                <w:lang w:eastAsia="ko-KR"/>
              </w:rPr>
              <w:t>Device</w:t>
            </w:r>
          </w:p>
        </w:tc>
        <w:tc>
          <w:tcPr>
            <w:tcW w:w="1666" w:type="pct"/>
          </w:tcPr>
          <w:p w14:paraId="069FF5BC" w14:textId="77777777" w:rsidR="000D07EA" w:rsidRDefault="00BE7C89">
            <w:pPr>
              <w:pStyle w:val="BodyText"/>
              <w:spacing w:before="100" w:after="100"/>
              <w:jc w:val="center"/>
              <w:rPr>
                <w:b/>
                <w:lang w:eastAsia="ko-KR"/>
              </w:rPr>
            </w:pPr>
            <w:r>
              <w:rPr>
                <w:b/>
                <w:lang w:eastAsia="ko-KR"/>
              </w:rPr>
              <w:t>Upfront Cost</w:t>
            </w:r>
          </w:p>
        </w:tc>
        <w:tc>
          <w:tcPr>
            <w:tcW w:w="1667" w:type="pct"/>
          </w:tcPr>
          <w:p w14:paraId="41A2E6C4" w14:textId="77777777" w:rsidR="000D07EA" w:rsidRDefault="00BE7C89">
            <w:pPr>
              <w:pStyle w:val="BodyText"/>
              <w:spacing w:before="100" w:after="100"/>
              <w:jc w:val="center"/>
              <w:rPr>
                <w:b/>
                <w:lang w:eastAsia="ko-KR"/>
              </w:rPr>
            </w:pPr>
            <w:r>
              <w:rPr>
                <w:b/>
                <w:lang w:eastAsia="ko-KR"/>
              </w:rPr>
              <w:t>OMB Modem Charge</w:t>
            </w:r>
            <w:r>
              <w:rPr>
                <w:b/>
                <w:lang w:eastAsia="ko-KR"/>
              </w:rPr>
              <w:br/>
              <w:t>(per month)</w:t>
            </w:r>
          </w:p>
        </w:tc>
      </w:tr>
      <w:tr w:rsidR="000D07EA" w14:paraId="6AC05CE6" w14:textId="77777777">
        <w:trPr>
          <w:trHeight w:val="20"/>
        </w:trPr>
        <w:tc>
          <w:tcPr>
            <w:tcW w:w="1666" w:type="pct"/>
          </w:tcPr>
          <w:p w14:paraId="26644D97" w14:textId="77777777" w:rsidR="000D07EA" w:rsidRDefault="00BE7C89">
            <w:pPr>
              <w:pStyle w:val="BodyText"/>
              <w:spacing w:before="100" w:after="100"/>
              <w:jc w:val="center"/>
              <w:rPr>
                <w:b/>
                <w:lang w:eastAsia="ko-KR"/>
              </w:rPr>
            </w:pPr>
            <w:r>
              <w:rPr>
                <w:b/>
                <w:lang w:eastAsia="ko-KR"/>
              </w:rPr>
              <w:t>Huawei E1762</w:t>
            </w:r>
          </w:p>
        </w:tc>
        <w:tc>
          <w:tcPr>
            <w:tcW w:w="1666" w:type="pct"/>
          </w:tcPr>
          <w:p w14:paraId="71015FB0" w14:textId="77777777" w:rsidR="000D07EA" w:rsidRDefault="00BE7C89">
            <w:pPr>
              <w:pStyle w:val="BodyText"/>
              <w:spacing w:before="100" w:after="100"/>
              <w:jc w:val="center"/>
              <w:rPr>
                <w:lang w:eastAsia="ko-KR"/>
              </w:rPr>
            </w:pPr>
            <w:r>
              <w:rPr>
                <w:lang w:eastAsia="ko-KR"/>
              </w:rPr>
              <w:t>$149</w:t>
            </w:r>
          </w:p>
        </w:tc>
        <w:tc>
          <w:tcPr>
            <w:tcW w:w="1667" w:type="pct"/>
          </w:tcPr>
          <w:p w14:paraId="5CC0C7DD" w14:textId="77777777" w:rsidR="000D07EA" w:rsidRDefault="00BE7C89">
            <w:pPr>
              <w:pStyle w:val="BodyText"/>
              <w:spacing w:before="100" w:after="100"/>
              <w:jc w:val="center"/>
              <w:rPr>
                <w:lang w:eastAsia="ko-KR"/>
              </w:rPr>
            </w:pPr>
            <w:r>
              <w:rPr>
                <w:lang w:eastAsia="ko-KR"/>
              </w:rPr>
              <w:t>$6.21</w:t>
            </w:r>
          </w:p>
        </w:tc>
      </w:tr>
    </w:tbl>
    <w:p w14:paraId="70B8C7CE" w14:textId="77777777" w:rsidR="000D07EA" w:rsidRDefault="00BE7C89">
      <w:pPr>
        <w:pStyle w:val="Heading7"/>
        <w:spacing w:before="240"/>
        <w:rPr>
          <w:b/>
        </w:rPr>
      </w:pPr>
      <w:r>
        <w:rPr>
          <w:b/>
        </w:rPr>
        <w:t>Eligible Calls, Messages and Pricing Plans</w:t>
      </w:r>
    </w:p>
    <w:p w14:paraId="7BD62B62" w14:textId="77777777" w:rsidR="000D07EA" w:rsidRDefault="00BE7C89">
      <w:pPr>
        <w:pStyle w:val="BodyText"/>
        <w:ind w:left="1440"/>
        <w:rPr>
          <w:b/>
        </w:rPr>
      </w:pPr>
      <w:r>
        <w:t xml:space="preserve">Table 6 below indicates whether a particular data type is 'eligible data usage' which counts towards the data value of </w:t>
      </w:r>
      <w:r>
        <w:rPr>
          <w:i/>
        </w:rPr>
        <w:t xml:space="preserve">your </w:t>
      </w:r>
      <w:r>
        <w:t>$15 Business Advantage BMB Plan.</w:t>
      </w:r>
    </w:p>
    <w:p w14:paraId="624B510D" w14:textId="77777777" w:rsidR="000D07EA" w:rsidRDefault="00BE7C89">
      <w:pPr>
        <w:pStyle w:val="BodyText"/>
        <w:ind w:left="1440"/>
        <w:rPr>
          <w:b/>
        </w:rPr>
      </w:pPr>
      <w:r>
        <w:rPr>
          <w:b/>
        </w:rPr>
        <w:t>Table 6 – Eligible Data</w:t>
      </w:r>
    </w:p>
    <w:tbl>
      <w:tblPr>
        <w:tblW w:w="4298"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379"/>
        <w:gridCol w:w="4379"/>
      </w:tblGrid>
      <w:tr w:rsidR="000D07EA" w14:paraId="0438859A" w14:textId="77777777">
        <w:trPr>
          <w:trHeight w:val="20"/>
          <w:tblHeader/>
        </w:trPr>
        <w:tc>
          <w:tcPr>
            <w:tcW w:w="2500" w:type="pct"/>
          </w:tcPr>
          <w:p w14:paraId="7E7142B3" w14:textId="77777777" w:rsidR="000D07EA" w:rsidRDefault="00BE7C89">
            <w:pPr>
              <w:pStyle w:val="BodyText"/>
              <w:spacing w:before="100" w:after="100"/>
              <w:rPr>
                <w:b/>
              </w:rPr>
            </w:pPr>
            <w:r>
              <w:rPr>
                <w:b/>
              </w:rPr>
              <w:t>Call Type</w:t>
            </w:r>
          </w:p>
        </w:tc>
        <w:tc>
          <w:tcPr>
            <w:tcW w:w="2500" w:type="pct"/>
          </w:tcPr>
          <w:p w14:paraId="5A18CB35" w14:textId="77777777" w:rsidR="000D07EA" w:rsidRDefault="00BE7C89">
            <w:pPr>
              <w:pStyle w:val="BodyText"/>
              <w:spacing w:before="100" w:after="100"/>
              <w:rPr>
                <w:b/>
              </w:rPr>
            </w:pPr>
            <w:r>
              <w:rPr>
                <w:b/>
              </w:rPr>
              <w:t xml:space="preserve">Eligible Data </w:t>
            </w:r>
          </w:p>
        </w:tc>
      </w:tr>
      <w:tr w:rsidR="000D07EA" w14:paraId="430FE1E7" w14:textId="77777777">
        <w:trPr>
          <w:trHeight w:val="20"/>
        </w:trPr>
        <w:tc>
          <w:tcPr>
            <w:tcW w:w="2500" w:type="pct"/>
          </w:tcPr>
          <w:p w14:paraId="076A1427" w14:textId="77777777" w:rsidR="000D07EA" w:rsidRDefault="00BE7C89">
            <w:pPr>
              <w:pStyle w:val="BodyText"/>
              <w:spacing w:before="100" w:after="100"/>
            </w:pPr>
            <w:r>
              <w:t>Standard National Voice Calls</w:t>
            </w:r>
          </w:p>
        </w:tc>
        <w:tc>
          <w:tcPr>
            <w:tcW w:w="2500" w:type="pct"/>
          </w:tcPr>
          <w:p w14:paraId="0B93E048" w14:textId="77777777" w:rsidR="000D07EA" w:rsidRDefault="00BE7C89">
            <w:pPr>
              <w:pStyle w:val="BodyText"/>
              <w:spacing w:before="100" w:after="100"/>
            </w:pPr>
            <w:r>
              <w:t>No</w:t>
            </w:r>
          </w:p>
        </w:tc>
      </w:tr>
      <w:tr w:rsidR="000D07EA" w14:paraId="0B26FB53" w14:textId="77777777">
        <w:trPr>
          <w:trHeight w:val="20"/>
        </w:trPr>
        <w:tc>
          <w:tcPr>
            <w:tcW w:w="2500" w:type="pct"/>
          </w:tcPr>
          <w:p w14:paraId="535A3A27" w14:textId="77777777" w:rsidR="000D07EA" w:rsidRDefault="00BE7C89">
            <w:pPr>
              <w:pStyle w:val="BodyText"/>
              <w:spacing w:before="100" w:after="100"/>
            </w:pPr>
            <w:r>
              <w:t>Standard National Video Calls</w:t>
            </w:r>
          </w:p>
        </w:tc>
        <w:tc>
          <w:tcPr>
            <w:tcW w:w="2500" w:type="pct"/>
          </w:tcPr>
          <w:p w14:paraId="4775BED6" w14:textId="77777777" w:rsidR="000D07EA" w:rsidRDefault="00BE7C89">
            <w:pPr>
              <w:pStyle w:val="BodyText"/>
              <w:spacing w:before="100" w:after="100"/>
            </w:pPr>
            <w:r>
              <w:t>No</w:t>
            </w:r>
          </w:p>
        </w:tc>
      </w:tr>
      <w:tr w:rsidR="000D07EA" w14:paraId="413C15F2" w14:textId="77777777">
        <w:trPr>
          <w:trHeight w:val="20"/>
        </w:trPr>
        <w:tc>
          <w:tcPr>
            <w:tcW w:w="2500" w:type="pct"/>
          </w:tcPr>
          <w:p w14:paraId="718461FC" w14:textId="77777777" w:rsidR="000D07EA" w:rsidRDefault="00BE7C89">
            <w:pPr>
              <w:pStyle w:val="BodyText"/>
              <w:spacing w:before="100" w:after="100"/>
            </w:pPr>
            <w:r>
              <w:t>Standard International Video Calls</w:t>
            </w:r>
          </w:p>
        </w:tc>
        <w:tc>
          <w:tcPr>
            <w:tcW w:w="2500" w:type="pct"/>
          </w:tcPr>
          <w:p w14:paraId="7EB001A5" w14:textId="77777777" w:rsidR="000D07EA" w:rsidRDefault="00BE7C89">
            <w:pPr>
              <w:pStyle w:val="BodyText"/>
              <w:spacing w:before="100" w:after="100"/>
            </w:pPr>
            <w:r>
              <w:t>No</w:t>
            </w:r>
          </w:p>
        </w:tc>
      </w:tr>
      <w:tr w:rsidR="000D07EA" w14:paraId="176EFDF9" w14:textId="77777777">
        <w:trPr>
          <w:trHeight w:val="20"/>
        </w:trPr>
        <w:tc>
          <w:tcPr>
            <w:tcW w:w="2500" w:type="pct"/>
          </w:tcPr>
          <w:p w14:paraId="3922BA42" w14:textId="77777777" w:rsidR="000D07EA" w:rsidRDefault="00BE7C89">
            <w:pPr>
              <w:pStyle w:val="BodyText"/>
              <w:spacing w:before="100" w:after="100"/>
            </w:pPr>
            <w:r>
              <w:t>Standard National SMS</w:t>
            </w:r>
          </w:p>
        </w:tc>
        <w:tc>
          <w:tcPr>
            <w:tcW w:w="2500" w:type="pct"/>
          </w:tcPr>
          <w:p w14:paraId="04504B8C" w14:textId="77777777" w:rsidR="000D07EA" w:rsidRDefault="00BE7C89">
            <w:pPr>
              <w:pStyle w:val="BodyText"/>
              <w:spacing w:before="100" w:after="100"/>
            </w:pPr>
            <w:r>
              <w:t>No</w:t>
            </w:r>
          </w:p>
        </w:tc>
      </w:tr>
      <w:tr w:rsidR="000D07EA" w14:paraId="76D29B4A" w14:textId="77777777">
        <w:trPr>
          <w:trHeight w:val="20"/>
        </w:trPr>
        <w:tc>
          <w:tcPr>
            <w:tcW w:w="2500" w:type="pct"/>
          </w:tcPr>
          <w:p w14:paraId="1811F135" w14:textId="77777777" w:rsidR="000D07EA" w:rsidRDefault="00BE7C89">
            <w:pPr>
              <w:pStyle w:val="BodyText"/>
              <w:spacing w:before="100" w:after="100"/>
            </w:pPr>
            <w:r>
              <w:t>Standard International SMS</w:t>
            </w:r>
          </w:p>
        </w:tc>
        <w:tc>
          <w:tcPr>
            <w:tcW w:w="2500" w:type="pct"/>
          </w:tcPr>
          <w:p w14:paraId="035F3721" w14:textId="77777777" w:rsidR="000D07EA" w:rsidRDefault="00BE7C89">
            <w:pPr>
              <w:pStyle w:val="BodyText"/>
              <w:spacing w:before="100" w:after="100"/>
            </w:pPr>
            <w:r>
              <w:t>No</w:t>
            </w:r>
          </w:p>
        </w:tc>
      </w:tr>
      <w:tr w:rsidR="000D07EA" w14:paraId="282D97CE" w14:textId="77777777">
        <w:trPr>
          <w:trHeight w:val="20"/>
        </w:trPr>
        <w:tc>
          <w:tcPr>
            <w:tcW w:w="2500" w:type="pct"/>
          </w:tcPr>
          <w:p w14:paraId="089C6FD4" w14:textId="77777777" w:rsidR="000D07EA" w:rsidRDefault="00BE7C89">
            <w:pPr>
              <w:pStyle w:val="BodyText"/>
              <w:spacing w:before="100" w:after="100"/>
            </w:pPr>
            <w:r>
              <w:t>Standard National MMS</w:t>
            </w:r>
          </w:p>
        </w:tc>
        <w:tc>
          <w:tcPr>
            <w:tcW w:w="2500" w:type="pct"/>
          </w:tcPr>
          <w:p w14:paraId="747ADAEC" w14:textId="77777777" w:rsidR="000D07EA" w:rsidRDefault="00BE7C89">
            <w:pPr>
              <w:pStyle w:val="BodyText"/>
              <w:spacing w:before="100" w:after="100"/>
            </w:pPr>
            <w:r>
              <w:t>No</w:t>
            </w:r>
          </w:p>
        </w:tc>
      </w:tr>
      <w:tr w:rsidR="000D07EA" w14:paraId="74A170BA" w14:textId="77777777">
        <w:trPr>
          <w:trHeight w:val="20"/>
        </w:trPr>
        <w:tc>
          <w:tcPr>
            <w:tcW w:w="2500" w:type="pct"/>
          </w:tcPr>
          <w:p w14:paraId="78258E47" w14:textId="77777777" w:rsidR="000D07EA" w:rsidRDefault="00BE7C89">
            <w:pPr>
              <w:pStyle w:val="BodyText"/>
              <w:spacing w:before="100" w:after="100"/>
            </w:pPr>
            <w:r>
              <w:lastRenderedPageBreak/>
              <w:t>Standard International \MMS</w:t>
            </w:r>
          </w:p>
        </w:tc>
        <w:tc>
          <w:tcPr>
            <w:tcW w:w="2500" w:type="pct"/>
          </w:tcPr>
          <w:p w14:paraId="53D02ED5" w14:textId="77777777" w:rsidR="000D07EA" w:rsidRDefault="00BE7C89">
            <w:pPr>
              <w:pStyle w:val="BodyText"/>
              <w:spacing w:before="100" w:after="100"/>
            </w:pPr>
            <w:r>
              <w:t>No</w:t>
            </w:r>
          </w:p>
        </w:tc>
      </w:tr>
      <w:tr w:rsidR="000D07EA" w14:paraId="270A4720" w14:textId="77777777">
        <w:trPr>
          <w:trHeight w:val="20"/>
        </w:trPr>
        <w:tc>
          <w:tcPr>
            <w:tcW w:w="2500" w:type="pct"/>
          </w:tcPr>
          <w:p w14:paraId="706E771E" w14:textId="77777777" w:rsidR="000D07EA" w:rsidRDefault="00BE7C89">
            <w:pPr>
              <w:pStyle w:val="BodyText"/>
              <w:spacing w:before="100" w:after="100"/>
            </w:pPr>
            <w:r>
              <w:t>Voicemail Diversions</w:t>
            </w:r>
          </w:p>
        </w:tc>
        <w:tc>
          <w:tcPr>
            <w:tcW w:w="2500" w:type="pct"/>
          </w:tcPr>
          <w:p w14:paraId="58DCBB4C" w14:textId="77777777" w:rsidR="000D07EA" w:rsidRDefault="00BE7C89">
            <w:pPr>
              <w:pStyle w:val="BodyText"/>
              <w:spacing w:before="100" w:after="100"/>
            </w:pPr>
            <w:r>
              <w:t>No</w:t>
            </w:r>
          </w:p>
        </w:tc>
      </w:tr>
      <w:tr w:rsidR="000D07EA" w14:paraId="29027A08" w14:textId="77777777">
        <w:trPr>
          <w:trHeight w:val="20"/>
        </w:trPr>
        <w:tc>
          <w:tcPr>
            <w:tcW w:w="2500" w:type="pct"/>
          </w:tcPr>
          <w:p w14:paraId="50575B69" w14:textId="77777777" w:rsidR="000D07EA" w:rsidRDefault="00BE7C89">
            <w:pPr>
              <w:pStyle w:val="BodyText"/>
              <w:spacing w:before="100" w:after="100"/>
            </w:pPr>
            <w:r>
              <w:t>Voicemail Deposit and Retrievals</w:t>
            </w:r>
          </w:p>
        </w:tc>
        <w:tc>
          <w:tcPr>
            <w:tcW w:w="2500" w:type="pct"/>
          </w:tcPr>
          <w:p w14:paraId="425A9B3E" w14:textId="77777777" w:rsidR="000D07EA" w:rsidRDefault="00BE7C89">
            <w:pPr>
              <w:pStyle w:val="BodyText"/>
              <w:spacing w:before="100" w:after="100"/>
            </w:pPr>
            <w:r>
              <w:t>No</w:t>
            </w:r>
          </w:p>
        </w:tc>
      </w:tr>
      <w:tr w:rsidR="000D07EA" w14:paraId="24890677" w14:textId="77777777">
        <w:trPr>
          <w:trHeight w:val="20"/>
        </w:trPr>
        <w:tc>
          <w:tcPr>
            <w:tcW w:w="2500" w:type="pct"/>
          </w:tcPr>
          <w:p w14:paraId="5F105CF2" w14:textId="77777777" w:rsidR="000D07EA" w:rsidRDefault="00BE7C89">
            <w:pPr>
              <w:pStyle w:val="BodyText"/>
              <w:spacing w:before="100" w:after="100"/>
            </w:pPr>
            <w:r>
              <w:t>International Roaming and Diversion</w:t>
            </w:r>
          </w:p>
        </w:tc>
        <w:tc>
          <w:tcPr>
            <w:tcW w:w="2500" w:type="pct"/>
          </w:tcPr>
          <w:p w14:paraId="11CA9A2A" w14:textId="77777777" w:rsidR="000D07EA" w:rsidRDefault="00BE7C89">
            <w:pPr>
              <w:pStyle w:val="BodyText"/>
              <w:spacing w:before="100" w:after="100"/>
            </w:pPr>
            <w:r>
              <w:t>No</w:t>
            </w:r>
          </w:p>
        </w:tc>
      </w:tr>
      <w:tr w:rsidR="000D07EA" w14:paraId="0053AA14" w14:textId="77777777">
        <w:trPr>
          <w:trHeight w:val="20"/>
        </w:trPr>
        <w:tc>
          <w:tcPr>
            <w:tcW w:w="2500" w:type="pct"/>
          </w:tcPr>
          <w:p w14:paraId="37C9C877" w14:textId="77777777" w:rsidR="000D07EA" w:rsidRDefault="00BE7C89">
            <w:pPr>
              <w:pStyle w:val="BodyText"/>
              <w:spacing w:before="100" w:after="100"/>
            </w:pPr>
            <w:r>
              <w:t>Premium SMS</w:t>
            </w:r>
          </w:p>
        </w:tc>
        <w:tc>
          <w:tcPr>
            <w:tcW w:w="2500" w:type="pct"/>
          </w:tcPr>
          <w:p w14:paraId="531C50C6" w14:textId="77777777" w:rsidR="000D07EA" w:rsidRDefault="00BE7C89">
            <w:pPr>
              <w:pStyle w:val="BodyText"/>
              <w:spacing w:before="100" w:after="100"/>
            </w:pPr>
            <w:r>
              <w:t>No</w:t>
            </w:r>
          </w:p>
        </w:tc>
      </w:tr>
      <w:tr w:rsidR="000D07EA" w14:paraId="4FF905C8" w14:textId="77777777">
        <w:trPr>
          <w:trHeight w:val="20"/>
        </w:trPr>
        <w:tc>
          <w:tcPr>
            <w:tcW w:w="2500" w:type="pct"/>
          </w:tcPr>
          <w:p w14:paraId="24B07531" w14:textId="77777777" w:rsidR="000D07EA" w:rsidRDefault="00BE7C89">
            <w:pPr>
              <w:pStyle w:val="BodyText"/>
              <w:spacing w:before="100" w:after="100"/>
            </w:pPr>
            <w:r>
              <w:t>Premium Video</w:t>
            </w:r>
          </w:p>
        </w:tc>
        <w:tc>
          <w:tcPr>
            <w:tcW w:w="2500" w:type="pct"/>
          </w:tcPr>
          <w:p w14:paraId="208CADEC" w14:textId="77777777" w:rsidR="000D07EA" w:rsidRDefault="00BE7C89">
            <w:pPr>
              <w:pStyle w:val="BodyText"/>
              <w:spacing w:before="100" w:after="100"/>
            </w:pPr>
            <w:r>
              <w:t>No</w:t>
            </w:r>
          </w:p>
        </w:tc>
      </w:tr>
      <w:tr w:rsidR="000D07EA" w14:paraId="2D394946" w14:textId="77777777">
        <w:trPr>
          <w:trHeight w:val="20"/>
        </w:trPr>
        <w:tc>
          <w:tcPr>
            <w:tcW w:w="2500" w:type="pct"/>
          </w:tcPr>
          <w:p w14:paraId="1F5FBBB3" w14:textId="77777777" w:rsidR="000D07EA" w:rsidRDefault="00BE7C89">
            <w:pPr>
              <w:pStyle w:val="BodyText"/>
              <w:spacing w:before="100" w:after="100"/>
            </w:pPr>
            <w:r>
              <w:t>Video Conferencing</w:t>
            </w:r>
          </w:p>
        </w:tc>
        <w:tc>
          <w:tcPr>
            <w:tcW w:w="2500" w:type="pct"/>
          </w:tcPr>
          <w:p w14:paraId="36B0870A" w14:textId="77777777" w:rsidR="000D07EA" w:rsidRDefault="00BE7C89">
            <w:pPr>
              <w:pStyle w:val="BodyText"/>
              <w:spacing w:before="100" w:after="100"/>
            </w:pPr>
            <w:r>
              <w:t>No</w:t>
            </w:r>
          </w:p>
        </w:tc>
      </w:tr>
      <w:tr w:rsidR="000D07EA" w14:paraId="5D50005C" w14:textId="77777777">
        <w:trPr>
          <w:trHeight w:val="20"/>
        </w:trPr>
        <w:tc>
          <w:tcPr>
            <w:tcW w:w="2500" w:type="pct"/>
          </w:tcPr>
          <w:p w14:paraId="09BCD694" w14:textId="77777777" w:rsidR="000D07EA" w:rsidRDefault="00BE7C89">
            <w:pPr>
              <w:pStyle w:val="BodyText"/>
              <w:spacing w:before="100" w:after="100"/>
            </w:pPr>
            <w:r>
              <w:t>Optus Zoo Browsing</w:t>
            </w:r>
          </w:p>
        </w:tc>
        <w:tc>
          <w:tcPr>
            <w:tcW w:w="2500" w:type="pct"/>
          </w:tcPr>
          <w:p w14:paraId="2C809E92" w14:textId="77777777" w:rsidR="000D07EA" w:rsidRDefault="00BE7C89">
            <w:pPr>
              <w:pStyle w:val="BodyText"/>
              <w:spacing w:before="100" w:after="100"/>
            </w:pPr>
            <w:r>
              <w:t>Yes</w:t>
            </w:r>
          </w:p>
        </w:tc>
      </w:tr>
      <w:tr w:rsidR="000D07EA" w14:paraId="5080AFFE" w14:textId="77777777">
        <w:trPr>
          <w:trHeight w:val="20"/>
        </w:trPr>
        <w:tc>
          <w:tcPr>
            <w:tcW w:w="2500" w:type="pct"/>
          </w:tcPr>
          <w:p w14:paraId="612AA189" w14:textId="77777777" w:rsidR="000D07EA" w:rsidRDefault="00BE7C89">
            <w:pPr>
              <w:pStyle w:val="BodyText"/>
              <w:spacing w:before="100" w:after="100"/>
            </w:pPr>
            <w:r>
              <w:t>Optus Zoo Downloads</w:t>
            </w:r>
          </w:p>
        </w:tc>
        <w:tc>
          <w:tcPr>
            <w:tcW w:w="2500" w:type="pct"/>
          </w:tcPr>
          <w:p w14:paraId="3B83F5FD" w14:textId="77777777" w:rsidR="000D07EA" w:rsidRDefault="00BE7C89">
            <w:pPr>
              <w:pStyle w:val="BodyText"/>
              <w:spacing w:before="100" w:after="100"/>
            </w:pPr>
            <w:r>
              <w:t>No</w:t>
            </w:r>
          </w:p>
        </w:tc>
      </w:tr>
      <w:tr w:rsidR="000D07EA" w14:paraId="1B144B30" w14:textId="77777777">
        <w:trPr>
          <w:trHeight w:val="20"/>
        </w:trPr>
        <w:tc>
          <w:tcPr>
            <w:tcW w:w="2500" w:type="pct"/>
          </w:tcPr>
          <w:p w14:paraId="73EC8F3E" w14:textId="77777777" w:rsidR="000D07EA" w:rsidRDefault="00BE7C89">
            <w:pPr>
              <w:pStyle w:val="BodyText"/>
              <w:spacing w:before="100" w:after="100"/>
            </w:pPr>
            <w:r>
              <w:t>966 Zoo</w:t>
            </w:r>
          </w:p>
        </w:tc>
        <w:tc>
          <w:tcPr>
            <w:tcW w:w="2500" w:type="pct"/>
          </w:tcPr>
          <w:p w14:paraId="554033E9" w14:textId="77777777" w:rsidR="000D07EA" w:rsidRDefault="00BE7C89">
            <w:pPr>
              <w:pStyle w:val="BodyText"/>
              <w:spacing w:before="100" w:after="100"/>
            </w:pPr>
            <w:r>
              <w:t>No</w:t>
            </w:r>
          </w:p>
        </w:tc>
      </w:tr>
      <w:tr w:rsidR="000D07EA" w14:paraId="328E5449" w14:textId="77777777">
        <w:trPr>
          <w:trHeight w:val="20"/>
        </w:trPr>
        <w:tc>
          <w:tcPr>
            <w:tcW w:w="2500" w:type="pct"/>
          </w:tcPr>
          <w:p w14:paraId="7495263C" w14:textId="77777777" w:rsidR="000D07EA" w:rsidRDefault="00BE7C89">
            <w:pPr>
              <w:pStyle w:val="BodyText"/>
              <w:spacing w:before="100" w:after="100"/>
            </w:pPr>
            <w:r>
              <w:t>Mobile Internet Data usage</w:t>
            </w:r>
          </w:p>
        </w:tc>
        <w:tc>
          <w:tcPr>
            <w:tcW w:w="2500" w:type="pct"/>
          </w:tcPr>
          <w:p w14:paraId="18E8B5AC" w14:textId="77777777" w:rsidR="000D07EA" w:rsidRDefault="00BE7C89">
            <w:pPr>
              <w:pStyle w:val="BodyText"/>
              <w:spacing w:before="100" w:after="100"/>
            </w:pPr>
            <w:r>
              <w:t>Yes</w:t>
            </w:r>
          </w:p>
        </w:tc>
      </w:tr>
      <w:tr w:rsidR="000D07EA" w14:paraId="6C8876F0" w14:textId="77777777">
        <w:trPr>
          <w:trHeight w:val="20"/>
        </w:trPr>
        <w:tc>
          <w:tcPr>
            <w:tcW w:w="2500" w:type="pct"/>
          </w:tcPr>
          <w:p w14:paraId="19445554" w14:textId="77777777" w:rsidR="000D07EA" w:rsidRDefault="00BE7C89">
            <w:pPr>
              <w:pStyle w:val="BodyText"/>
              <w:spacing w:before="100" w:after="100"/>
            </w:pPr>
            <w:r>
              <w:t>Data Used while Roaming Internationally</w:t>
            </w:r>
          </w:p>
        </w:tc>
        <w:tc>
          <w:tcPr>
            <w:tcW w:w="2500" w:type="pct"/>
          </w:tcPr>
          <w:p w14:paraId="6D8A4510" w14:textId="77777777" w:rsidR="000D07EA" w:rsidRDefault="00BE7C89">
            <w:pPr>
              <w:pStyle w:val="BodyText"/>
              <w:spacing w:before="100" w:after="100"/>
            </w:pPr>
            <w:r>
              <w:t>No</w:t>
            </w:r>
          </w:p>
        </w:tc>
      </w:tr>
      <w:tr w:rsidR="000D07EA" w14:paraId="33621221" w14:textId="77777777">
        <w:trPr>
          <w:trHeight w:val="20"/>
        </w:trPr>
        <w:tc>
          <w:tcPr>
            <w:tcW w:w="2500" w:type="pct"/>
          </w:tcPr>
          <w:p w14:paraId="4A47C667" w14:textId="77777777" w:rsidR="000D07EA" w:rsidRDefault="00BE7C89">
            <w:pPr>
              <w:pStyle w:val="BodyText"/>
              <w:spacing w:before="100" w:after="100"/>
            </w:pPr>
            <w:r>
              <w:t>Content Packs (unless specified in promotions)</w:t>
            </w:r>
          </w:p>
        </w:tc>
        <w:tc>
          <w:tcPr>
            <w:tcW w:w="2500" w:type="pct"/>
          </w:tcPr>
          <w:p w14:paraId="3E9348F1" w14:textId="77777777" w:rsidR="000D07EA" w:rsidRDefault="00BE7C89">
            <w:pPr>
              <w:pStyle w:val="BodyText"/>
              <w:spacing w:before="100" w:after="100"/>
            </w:pPr>
            <w:r>
              <w:t>No</w:t>
            </w:r>
          </w:p>
        </w:tc>
      </w:tr>
      <w:tr w:rsidR="000D07EA" w14:paraId="474684AA" w14:textId="77777777">
        <w:trPr>
          <w:trHeight w:val="20"/>
        </w:trPr>
        <w:tc>
          <w:tcPr>
            <w:tcW w:w="2500" w:type="pct"/>
          </w:tcPr>
          <w:p w14:paraId="545E47E4" w14:textId="77777777" w:rsidR="000D07EA" w:rsidRDefault="00BE7C89">
            <w:pPr>
              <w:pStyle w:val="BodyText"/>
              <w:spacing w:before="100" w:after="100"/>
            </w:pPr>
            <w:r>
              <w:t>Mobile Instant Messaging – IM</w:t>
            </w:r>
          </w:p>
        </w:tc>
        <w:tc>
          <w:tcPr>
            <w:tcW w:w="2500" w:type="pct"/>
          </w:tcPr>
          <w:p w14:paraId="3FF8CFBE" w14:textId="77777777" w:rsidR="000D07EA" w:rsidRDefault="00BE7C89">
            <w:pPr>
              <w:pStyle w:val="BodyText"/>
              <w:spacing w:before="100" w:after="100"/>
            </w:pPr>
            <w:r>
              <w:t>No</w:t>
            </w:r>
          </w:p>
        </w:tc>
      </w:tr>
      <w:tr w:rsidR="000D07EA" w14:paraId="4F847DBF" w14:textId="77777777">
        <w:trPr>
          <w:trHeight w:val="20"/>
        </w:trPr>
        <w:tc>
          <w:tcPr>
            <w:tcW w:w="2500" w:type="pct"/>
          </w:tcPr>
          <w:p w14:paraId="775C4306" w14:textId="77777777" w:rsidR="000D07EA" w:rsidRDefault="00BE7C89">
            <w:pPr>
              <w:pStyle w:val="BodyText"/>
              <w:spacing w:before="100" w:after="100"/>
            </w:pPr>
            <w:r>
              <w:t>TrueLocal Usage</w:t>
            </w:r>
          </w:p>
        </w:tc>
        <w:tc>
          <w:tcPr>
            <w:tcW w:w="2500" w:type="pct"/>
          </w:tcPr>
          <w:p w14:paraId="29843225" w14:textId="77777777" w:rsidR="000D07EA" w:rsidRDefault="00BE7C89">
            <w:pPr>
              <w:pStyle w:val="BodyText"/>
              <w:spacing w:before="100" w:after="100"/>
            </w:pPr>
            <w:r>
              <w:t>No</w:t>
            </w:r>
          </w:p>
        </w:tc>
      </w:tr>
      <w:tr w:rsidR="000D07EA" w14:paraId="684AF88F" w14:textId="77777777">
        <w:trPr>
          <w:trHeight w:val="20"/>
        </w:trPr>
        <w:tc>
          <w:tcPr>
            <w:tcW w:w="2500" w:type="pct"/>
          </w:tcPr>
          <w:p w14:paraId="28D8ED18" w14:textId="77777777" w:rsidR="000D07EA" w:rsidRDefault="00BE7C89">
            <w:pPr>
              <w:pStyle w:val="BodyText"/>
              <w:spacing w:before="100" w:after="100"/>
            </w:pPr>
            <w:r>
              <w:t xml:space="preserve">Directory Assistance- 1223 </w:t>
            </w:r>
          </w:p>
        </w:tc>
        <w:tc>
          <w:tcPr>
            <w:tcW w:w="2500" w:type="pct"/>
          </w:tcPr>
          <w:p w14:paraId="250C69FE" w14:textId="77777777" w:rsidR="000D07EA" w:rsidRDefault="00BE7C89">
            <w:pPr>
              <w:pStyle w:val="BodyText"/>
              <w:spacing w:before="100" w:after="100"/>
            </w:pPr>
            <w:r>
              <w:t>No</w:t>
            </w:r>
          </w:p>
        </w:tc>
      </w:tr>
      <w:tr w:rsidR="000D07EA" w14:paraId="739FE222" w14:textId="77777777">
        <w:trPr>
          <w:trHeight w:val="20"/>
        </w:trPr>
        <w:tc>
          <w:tcPr>
            <w:tcW w:w="2500" w:type="pct"/>
          </w:tcPr>
          <w:p w14:paraId="1F2E6423" w14:textId="77777777" w:rsidR="000D07EA" w:rsidRDefault="00BE7C89">
            <w:pPr>
              <w:pStyle w:val="BodyText"/>
              <w:spacing w:before="100" w:after="100"/>
            </w:pPr>
            <w:r>
              <w:t>19XX Numbers</w:t>
            </w:r>
          </w:p>
        </w:tc>
        <w:tc>
          <w:tcPr>
            <w:tcW w:w="2500" w:type="pct"/>
          </w:tcPr>
          <w:p w14:paraId="51C4528E" w14:textId="77777777" w:rsidR="000D07EA" w:rsidRDefault="00BE7C89">
            <w:pPr>
              <w:pStyle w:val="BodyText"/>
              <w:spacing w:before="100" w:after="100"/>
            </w:pPr>
            <w:r>
              <w:t>No</w:t>
            </w:r>
          </w:p>
        </w:tc>
      </w:tr>
      <w:tr w:rsidR="000D07EA" w14:paraId="161FE355" w14:textId="77777777">
        <w:trPr>
          <w:trHeight w:val="20"/>
        </w:trPr>
        <w:tc>
          <w:tcPr>
            <w:tcW w:w="2500" w:type="pct"/>
          </w:tcPr>
          <w:p w14:paraId="57B3164E" w14:textId="77777777" w:rsidR="000D07EA" w:rsidRDefault="00BE7C89">
            <w:pPr>
              <w:pStyle w:val="BodyText"/>
              <w:spacing w:before="100" w:after="100"/>
            </w:pPr>
            <w:r>
              <w:t>1800, 13 and 1300 numbers</w:t>
            </w:r>
          </w:p>
        </w:tc>
        <w:tc>
          <w:tcPr>
            <w:tcW w:w="2500" w:type="pct"/>
          </w:tcPr>
          <w:p w14:paraId="0C6B942B" w14:textId="77777777" w:rsidR="000D07EA" w:rsidRDefault="00BE7C89">
            <w:pPr>
              <w:pStyle w:val="BodyText"/>
              <w:spacing w:before="100" w:after="100"/>
            </w:pPr>
            <w:r>
              <w:t>No</w:t>
            </w:r>
          </w:p>
        </w:tc>
      </w:tr>
      <w:tr w:rsidR="000D07EA" w14:paraId="008F317B" w14:textId="77777777">
        <w:trPr>
          <w:trHeight w:val="20"/>
        </w:trPr>
        <w:tc>
          <w:tcPr>
            <w:tcW w:w="2500" w:type="pct"/>
          </w:tcPr>
          <w:p w14:paraId="6060DFB6" w14:textId="77777777" w:rsidR="000D07EA" w:rsidRDefault="00BE7C89">
            <w:pPr>
              <w:pStyle w:val="BodyText"/>
              <w:spacing w:before="100" w:after="100"/>
            </w:pPr>
            <w:r>
              <w:t>124YES(937)</w:t>
            </w:r>
          </w:p>
        </w:tc>
        <w:tc>
          <w:tcPr>
            <w:tcW w:w="2500" w:type="pct"/>
          </w:tcPr>
          <w:p w14:paraId="7F732CEB" w14:textId="77777777" w:rsidR="000D07EA" w:rsidRDefault="00BE7C89">
            <w:pPr>
              <w:pStyle w:val="BodyText"/>
              <w:spacing w:before="100" w:after="100"/>
            </w:pPr>
            <w:r>
              <w:t>No</w:t>
            </w:r>
          </w:p>
        </w:tc>
      </w:tr>
      <w:tr w:rsidR="000D07EA" w14:paraId="315AC530" w14:textId="77777777">
        <w:trPr>
          <w:trHeight w:val="20"/>
        </w:trPr>
        <w:tc>
          <w:tcPr>
            <w:tcW w:w="2500" w:type="pct"/>
          </w:tcPr>
          <w:p w14:paraId="1069E3C6" w14:textId="77777777" w:rsidR="000D07EA" w:rsidRDefault="00BE7C89">
            <w:pPr>
              <w:pStyle w:val="BodyText"/>
              <w:spacing w:before="100" w:after="100"/>
            </w:pPr>
            <w:r>
              <w:t>Insurance</w:t>
            </w:r>
          </w:p>
        </w:tc>
        <w:tc>
          <w:tcPr>
            <w:tcW w:w="2500" w:type="pct"/>
          </w:tcPr>
          <w:p w14:paraId="4953DD3A" w14:textId="77777777" w:rsidR="000D07EA" w:rsidRDefault="00BE7C89">
            <w:pPr>
              <w:pStyle w:val="BodyText"/>
              <w:spacing w:before="100" w:after="100"/>
            </w:pPr>
            <w:r>
              <w:t>No</w:t>
            </w:r>
          </w:p>
        </w:tc>
      </w:tr>
      <w:tr w:rsidR="000D07EA" w14:paraId="469C0C41" w14:textId="77777777">
        <w:trPr>
          <w:trHeight w:val="20"/>
        </w:trPr>
        <w:tc>
          <w:tcPr>
            <w:tcW w:w="2500" w:type="pct"/>
          </w:tcPr>
          <w:p w14:paraId="024B8CC5" w14:textId="77777777" w:rsidR="000D07EA" w:rsidRDefault="00BE7C89">
            <w:pPr>
              <w:pStyle w:val="BodyText"/>
              <w:spacing w:before="100" w:after="100"/>
            </w:pPr>
            <w:r>
              <w:t>Handset Payments</w:t>
            </w:r>
          </w:p>
        </w:tc>
        <w:tc>
          <w:tcPr>
            <w:tcW w:w="2500" w:type="pct"/>
          </w:tcPr>
          <w:p w14:paraId="27641C3D" w14:textId="77777777" w:rsidR="000D07EA" w:rsidRDefault="00BE7C89">
            <w:pPr>
              <w:pStyle w:val="BodyText"/>
              <w:spacing w:before="100" w:after="100"/>
            </w:pPr>
            <w:r>
              <w:t>No</w:t>
            </w:r>
          </w:p>
        </w:tc>
      </w:tr>
      <w:tr w:rsidR="000D07EA" w14:paraId="7722A99B" w14:textId="77777777">
        <w:trPr>
          <w:trHeight w:val="20"/>
        </w:trPr>
        <w:tc>
          <w:tcPr>
            <w:tcW w:w="2500" w:type="pct"/>
          </w:tcPr>
          <w:p w14:paraId="6B8EFE04" w14:textId="77777777" w:rsidR="000D07EA" w:rsidRDefault="00BE7C89">
            <w:pPr>
              <w:pStyle w:val="BodyText"/>
              <w:spacing w:before="100" w:after="100"/>
            </w:pPr>
            <w:r>
              <w:t>Calls to MobileSat</w:t>
            </w:r>
          </w:p>
        </w:tc>
        <w:tc>
          <w:tcPr>
            <w:tcW w:w="2500" w:type="pct"/>
          </w:tcPr>
          <w:p w14:paraId="67B3C893" w14:textId="77777777" w:rsidR="000D07EA" w:rsidRDefault="00BE7C89">
            <w:pPr>
              <w:pStyle w:val="BodyText"/>
              <w:spacing w:before="100" w:after="100"/>
            </w:pPr>
            <w:r>
              <w:t>No</w:t>
            </w:r>
          </w:p>
        </w:tc>
      </w:tr>
      <w:tr w:rsidR="000D07EA" w14:paraId="3BF97126" w14:textId="77777777">
        <w:trPr>
          <w:trHeight w:val="20"/>
        </w:trPr>
        <w:tc>
          <w:tcPr>
            <w:tcW w:w="2500" w:type="pct"/>
          </w:tcPr>
          <w:p w14:paraId="07D1A955" w14:textId="77777777" w:rsidR="000D07EA" w:rsidRDefault="00BE7C89">
            <w:pPr>
              <w:pStyle w:val="BodyText"/>
              <w:spacing w:before="100" w:after="100"/>
            </w:pPr>
            <w:r>
              <w:t>VOIP services</w:t>
            </w:r>
          </w:p>
        </w:tc>
        <w:tc>
          <w:tcPr>
            <w:tcW w:w="2500" w:type="pct"/>
          </w:tcPr>
          <w:p w14:paraId="1159C579" w14:textId="77777777" w:rsidR="000D07EA" w:rsidRDefault="00BE7C89">
            <w:pPr>
              <w:pStyle w:val="BodyText"/>
              <w:spacing w:before="100" w:after="100"/>
            </w:pPr>
            <w:r>
              <w:t>No</w:t>
            </w:r>
          </w:p>
        </w:tc>
      </w:tr>
      <w:tr w:rsidR="000D07EA" w14:paraId="5330C0C3" w14:textId="77777777">
        <w:trPr>
          <w:trHeight w:val="20"/>
        </w:trPr>
        <w:tc>
          <w:tcPr>
            <w:tcW w:w="2500" w:type="pct"/>
          </w:tcPr>
          <w:p w14:paraId="6B768F80" w14:textId="77777777" w:rsidR="000D07EA" w:rsidRDefault="00BE7C89">
            <w:pPr>
              <w:pStyle w:val="BodyText"/>
              <w:spacing w:before="100" w:after="100"/>
            </w:pPr>
            <w:r>
              <w:t>BlackBerry</w:t>
            </w:r>
          </w:p>
        </w:tc>
        <w:tc>
          <w:tcPr>
            <w:tcW w:w="2500" w:type="pct"/>
          </w:tcPr>
          <w:p w14:paraId="3E6C1364" w14:textId="77777777" w:rsidR="000D07EA" w:rsidRDefault="00BE7C89">
            <w:pPr>
              <w:pStyle w:val="BodyText"/>
              <w:spacing w:before="100" w:after="100"/>
            </w:pPr>
            <w:r>
              <w:t>No</w:t>
            </w:r>
          </w:p>
        </w:tc>
      </w:tr>
    </w:tbl>
    <w:p w14:paraId="105FE617" w14:textId="77777777" w:rsidR="000D07EA" w:rsidRDefault="00BE7C89">
      <w:pPr>
        <w:pStyle w:val="Heading7"/>
        <w:numPr>
          <w:ilvl w:val="0"/>
          <w:numId w:val="0"/>
        </w:numPr>
        <w:spacing w:before="240"/>
        <w:ind w:left="2160" w:hanging="720"/>
      </w:pPr>
      <w:r>
        <w:rPr>
          <w:b/>
        </w:rPr>
        <w:t>Table 7</w:t>
      </w:r>
      <w:r>
        <w:t xml:space="preserve"> - Charges for the $15 Business Advantage BMB</w:t>
      </w:r>
    </w:p>
    <w:tbl>
      <w:tblPr>
        <w:tblW w:w="4298"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379"/>
        <w:gridCol w:w="4379"/>
      </w:tblGrid>
      <w:tr w:rsidR="000D07EA" w14:paraId="28436D84" w14:textId="77777777">
        <w:trPr>
          <w:trHeight w:val="20"/>
        </w:trPr>
        <w:tc>
          <w:tcPr>
            <w:tcW w:w="2500" w:type="pct"/>
          </w:tcPr>
          <w:p w14:paraId="4A0AAD63" w14:textId="77777777" w:rsidR="000D07EA" w:rsidRDefault="000D07EA">
            <w:pPr>
              <w:pStyle w:val="BodyText"/>
              <w:spacing w:before="100" w:after="100"/>
              <w:jc w:val="center"/>
              <w:rPr>
                <w:b/>
                <w:lang w:eastAsia="ko-KR"/>
              </w:rPr>
            </w:pPr>
          </w:p>
        </w:tc>
        <w:tc>
          <w:tcPr>
            <w:tcW w:w="2500" w:type="pct"/>
          </w:tcPr>
          <w:p w14:paraId="16AA8F2D" w14:textId="77777777" w:rsidR="000D07EA" w:rsidRDefault="00BE7C89">
            <w:pPr>
              <w:pStyle w:val="BodyText"/>
              <w:spacing w:before="100" w:after="100"/>
              <w:jc w:val="center"/>
              <w:rPr>
                <w:b/>
                <w:color w:val="000000"/>
                <w:lang w:eastAsia="ko-KR"/>
              </w:rPr>
            </w:pPr>
            <w:r>
              <w:rPr>
                <w:b/>
                <w:color w:val="000000"/>
              </w:rPr>
              <w:t>$15 Business Advantage BMB plan</w:t>
            </w:r>
          </w:p>
        </w:tc>
      </w:tr>
      <w:tr w:rsidR="000D07EA" w14:paraId="42C0633E" w14:textId="77777777">
        <w:trPr>
          <w:trHeight w:val="20"/>
        </w:trPr>
        <w:tc>
          <w:tcPr>
            <w:tcW w:w="2500" w:type="pct"/>
          </w:tcPr>
          <w:p w14:paraId="3DCD3553" w14:textId="77777777" w:rsidR="000D07EA" w:rsidRDefault="00BE7C89">
            <w:pPr>
              <w:pStyle w:val="BodyText"/>
              <w:spacing w:before="100" w:after="100"/>
              <w:rPr>
                <w:b/>
                <w:color w:val="000000"/>
                <w:lang w:eastAsia="ko-KR"/>
              </w:rPr>
            </w:pPr>
            <w:r>
              <w:rPr>
                <w:b/>
                <w:color w:val="000000"/>
                <w:lang w:eastAsia="ko-KR"/>
              </w:rPr>
              <w:t>Minimum Monthly charge</w:t>
            </w:r>
          </w:p>
        </w:tc>
        <w:tc>
          <w:tcPr>
            <w:tcW w:w="2500" w:type="pct"/>
          </w:tcPr>
          <w:p w14:paraId="048378DD" w14:textId="77777777" w:rsidR="000D07EA" w:rsidRDefault="00BE7C89">
            <w:pPr>
              <w:pStyle w:val="BodyText"/>
              <w:spacing w:before="100" w:after="100"/>
              <w:rPr>
                <w:color w:val="000000"/>
                <w:lang w:eastAsia="ko-KR"/>
              </w:rPr>
            </w:pPr>
            <w:r>
              <w:rPr>
                <w:color w:val="000000"/>
                <w:lang w:eastAsia="ko-KR"/>
              </w:rPr>
              <w:t>$15</w:t>
            </w:r>
          </w:p>
        </w:tc>
      </w:tr>
      <w:tr w:rsidR="000D07EA" w14:paraId="275962C5" w14:textId="77777777">
        <w:trPr>
          <w:trHeight w:val="20"/>
        </w:trPr>
        <w:tc>
          <w:tcPr>
            <w:tcW w:w="2500" w:type="pct"/>
          </w:tcPr>
          <w:p w14:paraId="69AC1AC3" w14:textId="77777777" w:rsidR="000D07EA" w:rsidRDefault="00BE7C89">
            <w:pPr>
              <w:pStyle w:val="BodyText"/>
              <w:spacing w:before="100" w:after="100"/>
              <w:rPr>
                <w:b/>
                <w:color w:val="000000"/>
                <w:lang w:eastAsia="ko-KR"/>
              </w:rPr>
            </w:pPr>
            <w:r>
              <w:rPr>
                <w:b/>
                <w:color w:val="000000"/>
                <w:lang w:eastAsia="ko-KR"/>
              </w:rPr>
              <w:t>Included Data</w:t>
            </w:r>
          </w:p>
        </w:tc>
        <w:tc>
          <w:tcPr>
            <w:tcW w:w="2500" w:type="pct"/>
          </w:tcPr>
          <w:p w14:paraId="0A8B917F" w14:textId="77777777" w:rsidR="000D07EA" w:rsidRDefault="00BE7C89">
            <w:pPr>
              <w:pStyle w:val="BodyText"/>
              <w:spacing w:before="100" w:after="100"/>
              <w:rPr>
                <w:color w:val="000000"/>
                <w:lang w:eastAsia="ko-KR"/>
              </w:rPr>
            </w:pPr>
            <w:r>
              <w:rPr>
                <w:color w:val="000000"/>
                <w:lang w:eastAsia="ko-KR"/>
              </w:rPr>
              <w:t>500MB</w:t>
            </w:r>
          </w:p>
        </w:tc>
      </w:tr>
      <w:tr w:rsidR="000D07EA" w14:paraId="08CD7EDB" w14:textId="77777777">
        <w:trPr>
          <w:trHeight w:val="20"/>
        </w:trPr>
        <w:tc>
          <w:tcPr>
            <w:tcW w:w="2500" w:type="pct"/>
          </w:tcPr>
          <w:p w14:paraId="2B2EEACC" w14:textId="77777777" w:rsidR="000D07EA" w:rsidRDefault="00BE7C89">
            <w:pPr>
              <w:pStyle w:val="BodyText"/>
              <w:spacing w:before="100" w:after="100"/>
              <w:rPr>
                <w:color w:val="000000"/>
                <w:lang w:eastAsia="ko-KR"/>
              </w:rPr>
            </w:pPr>
            <w:r>
              <w:rPr>
                <w:b/>
                <w:color w:val="000000"/>
                <w:lang w:eastAsia="ko-KR"/>
              </w:rPr>
              <w:t xml:space="preserve">Date Excess Charges </w:t>
            </w:r>
          </w:p>
        </w:tc>
        <w:tc>
          <w:tcPr>
            <w:tcW w:w="2500" w:type="pct"/>
          </w:tcPr>
          <w:p w14:paraId="41F255AC" w14:textId="77777777" w:rsidR="000D07EA" w:rsidRDefault="00BE7C89">
            <w:pPr>
              <w:pStyle w:val="BodyText"/>
              <w:spacing w:before="100" w:after="100"/>
              <w:rPr>
                <w:color w:val="000000"/>
                <w:lang w:eastAsia="ko-KR"/>
              </w:rPr>
            </w:pPr>
            <w:r>
              <w:rPr>
                <w:color w:val="000000"/>
                <w:lang w:eastAsia="ko-KR"/>
              </w:rPr>
              <w:t>10c per MB or part thereof</w:t>
            </w:r>
          </w:p>
        </w:tc>
      </w:tr>
      <w:tr w:rsidR="000D07EA" w14:paraId="1DCC4388" w14:textId="77777777">
        <w:trPr>
          <w:trHeight w:val="20"/>
        </w:trPr>
        <w:tc>
          <w:tcPr>
            <w:tcW w:w="2500" w:type="pct"/>
          </w:tcPr>
          <w:p w14:paraId="4E884317" w14:textId="77777777" w:rsidR="000D07EA" w:rsidRDefault="00BE7C89">
            <w:pPr>
              <w:pStyle w:val="BodyText"/>
              <w:spacing w:before="100" w:after="100"/>
              <w:rPr>
                <w:b/>
                <w:color w:val="000000"/>
                <w:lang w:eastAsia="ko-KR"/>
              </w:rPr>
            </w:pPr>
            <w:r>
              <w:rPr>
                <w:b/>
                <w:color w:val="000000"/>
                <w:lang w:eastAsia="ko-KR"/>
              </w:rPr>
              <w:lastRenderedPageBreak/>
              <w:t xml:space="preserve">Data Shares with Mobile Digital Optus Service Plan </w:t>
            </w:r>
          </w:p>
        </w:tc>
        <w:tc>
          <w:tcPr>
            <w:tcW w:w="2500" w:type="pct"/>
          </w:tcPr>
          <w:p w14:paraId="5C82B7A6" w14:textId="77777777" w:rsidR="000D07EA" w:rsidRDefault="00BE7C89">
            <w:pPr>
              <w:pStyle w:val="BodyText"/>
              <w:spacing w:before="100" w:after="100"/>
              <w:rPr>
                <w:color w:val="000000"/>
                <w:lang w:eastAsia="ko-KR"/>
              </w:rPr>
            </w:pPr>
            <w:r>
              <w:rPr>
                <w:color w:val="000000"/>
                <w:lang w:eastAsia="ko-KR"/>
              </w:rPr>
              <w:t>Yes</w:t>
            </w:r>
          </w:p>
        </w:tc>
      </w:tr>
      <w:tr w:rsidR="000D07EA" w14:paraId="776A5440" w14:textId="77777777">
        <w:trPr>
          <w:trHeight w:val="20"/>
        </w:trPr>
        <w:tc>
          <w:tcPr>
            <w:tcW w:w="2500" w:type="pct"/>
          </w:tcPr>
          <w:p w14:paraId="40478548" w14:textId="77777777" w:rsidR="000D07EA" w:rsidRDefault="00BE7C89">
            <w:pPr>
              <w:pStyle w:val="BodyText"/>
              <w:spacing w:before="100" w:after="100"/>
              <w:rPr>
                <w:b/>
                <w:color w:val="000000"/>
                <w:lang w:eastAsia="ko-KR"/>
              </w:rPr>
            </w:pPr>
            <w:r>
              <w:rPr>
                <w:b/>
                <w:color w:val="000000"/>
                <w:lang w:eastAsia="ko-KR"/>
              </w:rPr>
              <w:t xml:space="preserve">Equipment Cre88dit </w:t>
            </w:r>
          </w:p>
        </w:tc>
        <w:tc>
          <w:tcPr>
            <w:tcW w:w="2500" w:type="pct"/>
          </w:tcPr>
          <w:p w14:paraId="12D102EF" w14:textId="77777777" w:rsidR="000D07EA" w:rsidRDefault="00BE7C89">
            <w:pPr>
              <w:pStyle w:val="BodyText"/>
              <w:spacing w:before="100" w:after="100"/>
              <w:rPr>
                <w:color w:val="000000"/>
                <w:lang w:eastAsia="ko-KR"/>
              </w:rPr>
            </w:pPr>
            <w:r>
              <w:rPr>
                <w:color w:val="000000"/>
                <w:lang w:eastAsia="ko-KR"/>
              </w:rPr>
              <w:t>Up to $10 per month for 24 months</w:t>
            </w:r>
          </w:p>
        </w:tc>
      </w:tr>
    </w:tbl>
    <w:p w14:paraId="452F1BC1" w14:textId="77777777" w:rsidR="000D07EA" w:rsidRDefault="000D07EA">
      <w:pPr>
        <w:pStyle w:val="BodyText"/>
      </w:pPr>
      <w:bookmarkStart w:id="396" w:name="_Toc267937667"/>
      <w:bookmarkStart w:id="397" w:name="_Toc397941142"/>
      <w:bookmarkStart w:id="398" w:name="_Toc455147610"/>
    </w:p>
    <w:p w14:paraId="3B48825F" w14:textId="77777777" w:rsidR="000D07EA" w:rsidRDefault="00BE7C89">
      <w:pPr>
        <w:pStyle w:val="Heading4"/>
      </w:pPr>
      <w:bookmarkStart w:id="399" w:name="_Toc62644632"/>
      <w:r>
        <w:t>Business Timeless Advantage Plans (incorporating $89 Business Timeless Advantage, $99 Business Timeless Advantage, $129 Business Timeless Advantage &amp; $10 Business Advantage Business Mobile Broadband Plan) effective from 30 july 2010 and $69 Business Timeless Advantage BYO Plan effective from 5 September 2010 and $99 Business Timeless Advantage (Premium H/Set) and $129 Business Timeless Advantage (Premium H/Set) effective from 12 December 2010.</w:t>
      </w:r>
      <w:bookmarkEnd w:id="396"/>
      <w:bookmarkEnd w:id="397"/>
      <w:bookmarkEnd w:id="398"/>
      <w:bookmarkEnd w:id="399"/>
      <w:r>
        <w:t xml:space="preserve"> </w:t>
      </w:r>
    </w:p>
    <w:p w14:paraId="67BE4662" w14:textId="77777777" w:rsidR="000D07EA" w:rsidRDefault="00BE7C89">
      <w:pPr>
        <w:pStyle w:val="Heading6"/>
        <w:ind w:left="0" w:firstLine="0"/>
      </w:pPr>
      <w:bookmarkStart w:id="400" w:name="_Toc267937668"/>
      <w:bookmarkStart w:id="401" w:name="_Toc397941143"/>
      <w:r>
        <w:t>What are the Optus Business Timeless Advantage Offers?</w:t>
      </w:r>
      <w:bookmarkEnd w:id="400"/>
      <w:bookmarkEnd w:id="401"/>
    </w:p>
    <w:p w14:paraId="099F0F92" w14:textId="77777777" w:rsidR="000D07EA" w:rsidRDefault="00BE7C89">
      <w:pPr>
        <w:pStyle w:val="Heading7"/>
      </w:pPr>
      <w:r>
        <w:t>The Business Timeless Advantage Offers incorporate one of the following  mobile plans:</w:t>
      </w:r>
    </w:p>
    <w:p w14:paraId="36251215" w14:textId="77777777" w:rsidR="000D07EA" w:rsidRDefault="00BE7C89">
      <w:pPr>
        <w:pStyle w:val="Heading8"/>
      </w:pPr>
      <w:r>
        <w:t>The Business Timeless Advantage plan; and may also incorporate the following Business Mobile Broadband plan:</w:t>
      </w:r>
    </w:p>
    <w:p w14:paraId="47337264" w14:textId="77777777" w:rsidR="000D07EA" w:rsidRDefault="00BE7C89">
      <w:pPr>
        <w:pStyle w:val="Heading9"/>
      </w:pPr>
      <w:r>
        <w:t>The $10 Business Advantage BMB Business Mobile Broadband plan.</w:t>
      </w:r>
    </w:p>
    <w:p w14:paraId="1BB83A1A" w14:textId="77777777" w:rsidR="000D07EA" w:rsidRDefault="00BE7C89">
      <w:pPr>
        <w:pStyle w:val="BodyText"/>
        <w:ind w:left="1440"/>
      </w:pPr>
      <w:r>
        <w:t xml:space="preserve">and are a special offer under the </w:t>
      </w:r>
      <w:hyperlink r:id="rId273" w:history="1">
        <w:r>
          <w:rPr>
            <w:rStyle w:val="Hyperlink"/>
            <w:i/>
          </w:rPr>
          <w:t>SMB terms</w:t>
        </w:r>
      </w:hyperlink>
      <w:r>
        <w:t xml:space="preserve"> and relevant service descriptions.</w:t>
      </w:r>
    </w:p>
    <w:p w14:paraId="0599ADC6" w14:textId="77777777" w:rsidR="000D07EA" w:rsidRDefault="00BE7C89">
      <w:pPr>
        <w:pStyle w:val="Heading7"/>
      </w:pPr>
      <w:r>
        <w:t xml:space="preserve">To be eligible to connect a Business Mobile Broadband service </w:t>
      </w:r>
      <w:r>
        <w:rPr>
          <w:i/>
        </w:rPr>
        <w:t>you</w:t>
      </w:r>
      <w:r>
        <w:t xml:space="preserve"> must have an </w:t>
      </w:r>
      <w:r>
        <w:rPr>
          <w:i/>
        </w:rPr>
        <w:t>Optus Mobile Service</w:t>
      </w:r>
      <w:r>
        <w:t xml:space="preserve"> on a Business Timeless Advantage plan. </w:t>
      </w:r>
    </w:p>
    <w:p w14:paraId="73AC2C7D" w14:textId="77777777" w:rsidR="000D07EA" w:rsidRDefault="00BE7C89">
      <w:pPr>
        <w:pStyle w:val="Heading7"/>
      </w:pPr>
      <w:r>
        <w:t xml:space="preserve">The Optus Business Timeless Advantage Offers are governed by the terms in this </w:t>
      </w:r>
      <w:r>
        <w:rPr>
          <w:i/>
        </w:rPr>
        <w:t xml:space="preserve">appendix </w:t>
      </w:r>
      <w:r>
        <w:t xml:space="preserve">and, to the extent that the terms are not inconsistent with the terms set out in this </w:t>
      </w:r>
      <w:r>
        <w:rPr>
          <w:i/>
        </w:rPr>
        <w:t>appendix</w:t>
      </w:r>
      <w:r>
        <w:t>,</w:t>
      </w:r>
      <w:r>
        <w:rPr>
          <w:i/>
        </w:rPr>
        <w:t xml:space="preserve"> </w:t>
      </w:r>
      <w:r>
        <w:t xml:space="preserve">by the terms of the </w:t>
      </w:r>
      <w:hyperlink r:id="rId274" w:history="1">
        <w:r>
          <w:rPr>
            <w:rStyle w:val="Hyperlink"/>
            <w:i/>
          </w:rPr>
          <w:t>SMB terms</w:t>
        </w:r>
      </w:hyperlink>
      <w:r>
        <w:t xml:space="preserve">, and each relevant </w:t>
      </w:r>
      <w:r>
        <w:rPr>
          <w:i/>
        </w:rPr>
        <w:t xml:space="preserve">service description </w:t>
      </w:r>
      <w:r>
        <w:t xml:space="preserve">and </w:t>
      </w:r>
      <w:r>
        <w:rPr>
          <w:i/>
        </w:rPr>
        <w:t>standard pricing table</w:t>
      </w:r>
      <w:r>
        <w:t xml:space="preserve">. </w:t>
      </w:r>
    </w:p>
    <w:p w14:paraId="2F33B404" w14:textId="77777777" w:rsidR="000D07EA" w:rsidRDefault="00BE7C89">
      <w:pPr>
        <w:pStyle w:val="Heading7"/>
      </w:pPr>
      <w:r>
        <w:t xml:space="preserve">To be eligible for the Optus Business Timeless Advantage Offer </w:t>
      </w:r>
      <w:r>
        <w:rPr>
          <w:i/>
        </w:rPr>
        <w:t xml:space="preserve">you </w:t>
      </w:r>
      <w:r>
        <w:t>must have at least 1 Optus Mobile Digital Service</w:t>
      </w:r>
    </w:p>
    <w:p w14:paraId="6D8DD9FD" w14:textId="77777777" w:rsidR="000D07EA" w:rsidRDefault="00BE7C89">
      <w:pPr>
        <w:pStyle w:val="Heading7"/>
      </w:pPr>
      <w:r>
        <w:t xml:space="preserve">A (Premium H/set) plan indicates a rate plan where a high value handset is available. The (Premium H/set) plan and standard Business Timeless Advantage plans are identical except for the cancellation fees listed in paragraph </w:t>
      </w:r>
      <w:r w:rsidR="00E2048F" w:rsidRPr="00272628">
        <w:t>91</w:t>
      </w:r>
      <w:r w:rsidRPr="00272628">
        <w:t>.7.</w:t>
      </w:r>
    </w:p>
    <w:p w14:paraId="75F0A542" w14:textId="77777777" w:rsidR="000D07EA" w:rsidRDefault="00BE7C89">
      <w:pPr>
        <w:pStyle w:val="Heading7"/>
      </w:pPr>
      <w:r>
        <w:t>For the following information where the term "Business Timeless Advantage" is used it also refers to the (Premium H/set) plans.</w:t>
      </w:r>
    </w:p>
    <w:p w14:paraId="2C00D9FA" w14:textId="77777777" w:rsidR="000D07EA" w:rsidRDefault="00BE7C89">
      <w:pPr>
        <w:pStyle w:val="Heading6"/>
        <w:ind w:left="0" w:firstLine="0"/>
      </w:pPr>
      <w:bookmarkStart w:id="402" w:name="_Toc267937669"/>
      <w:bookmarkStart w:id="403" w:name="_Toc397941144"/>
      <w:r>
        <w:t>What does the Optus Business Timeless Advantage Offers allow you to do?</w:t>
      </w:r>
      <w:bookmarkEnd w:id="402"/>
      <w:bookmarkEnd w:id="403"/>
    </w:p>
    <w:p w14:paraId="37B70F2F" w14:textId="77777777" w:rsidR="000D07EA" w:rsidRDefault="00BE7C89">
      <w:pPr>
        <w:pStyle w:val="Heading7"/>
      </w:pPr>
      <w:r>
        <w:t xml:space="preserve">The Business Timeless Advantage Offer allows </w:t>
      </w:r>
      <w:r>
        <w:rPr>
          <w:i/>
        </w:rPr>
        <w:t>you</w:t>
      </w:r>
      <w:r>
        <w:t xml:space="preserve"> to use </w:t>
      </w:r>
      <w:r>
        <w:rPr>
          <w:i/>
        </w:rPr>
        <w:t>your</w:t>
      </w:r>
      <w:r>
        <w:t xml:space="preserve"> Optus Mobile Digital Service and a Business Mobile Broadband service where;</w:t>
      </w:r>
    </w:p>
    <w:p w14:paraId="04CE3CDE" w14:textId="77777777" w:rsidR="000D07EA" w:rsidRDefault="00BE7C89">
      <w:pPr>
        <w:pStyle w:val="Heading8"/>
      </w:pPr>
      <w:r>
        <w:t xml:space="preserve">The included Data Value can be shared across Optus Mobile Digital Service(s) and Business Mobile Broadband Services(s) that are on the $89 and $99 Business Timeless Advantage plan. The 10GB or 2GB included Data Value on the $129 Business Timeless Advantage plan can be shared across Optus Mobile Digital Service(s) and Business Mobile Broadband Services(s). The bonus </w:t>
      </w:r>
      <w:r>
        <w:rPr>
          <w:b/>
        </w:rPr>
        <w:t>Unlimited Mobile Internet Data Value</w:t>
      </w:r>
      <w:r>
        <w:t xml:space="preserve"> on the $129 Business Timeless Advantage plan cannot be shared across Optus Mobile Digital Service(s) and Business Mobile Broadband Services(s).</w:t>
      </w:r>
    </w:p>
    <w:p w14:paraId="7701CC5D" w14:textId="77777777" w:rsidR="000D07EA" w:rsidRDefault="00BE7C89">
      <w:pPr>
        <w:pStyle w:val="Heading8"/>
      </w:pPr>
      <w:r>
        <w:rPr>
          <w:b/>
          <w:snapToGrid w:val="0"/>
        </w:rPr>
        <w:lastRenderedPageBreak/>
        <w:t>Unlimited mobile access to Facebook®, Twitter, LinkedIn, Ebay, Four Square, MySpace, within Australia</w:t>
      </w:r>
      <w:r>
        <w:rPr>
          <w:snapToGrid w:val="0"/>
        </w:rPr>
        <w:t xml:space="preserve">. Offers cannot be shared and may be accessed on the mobile handset only. </w:t>
      </w:r>
    </w:p>
    <w:p w14:paraId="1B0A0313" w14:textId="77777777" w:rsidR="000D07EA" w:rsidRDefault="00BE7C89">
      <w:pPr>
        <w:pStyle w:val="Heading7"/>
      </w:pPr>
      <w:r>
        <w:rPr>
          <w:i/>
        </w:rPr>
        <w:t xml:space="preserve">You </w:t>
      </w:r>
      <w:r>
        <w:t xml:space="preserve">may purchase a </w:t>
      </w:r>
      <w:r>
        <w:rPr>
          <w:i/>
        </w:rPr>
        <w:t xml:space="preserve">mobile phone </w:t>
      </w:r>
      <w:r>
        <w:t xml:space="preserve">with a 24 month </w:t>
      </w:r>
      <w:r>
        <w:rPr>
          <w:i/>
        </w:rPr>
        <w:t xml:space="preserve">equipment term </w:t>
      </w:r>
      <w:r>
        <w:t xml:space="preserve">under a </w:t>
      </w:r>
      <w:r>
        <w:rPr>
          <w:i/>
        </w:rPr>
        <w:t>mobile equipment payment plan</w:t>
      </w:r>
      <w:r>
        <w:t xml:space="preserve"> on a 24 month </w:t>
      </w:r>
      <w:r>
        <w:rPr>
          <w:i/>
        </w:rPr>
        <w:t>fixed length agreement</w:t>
      </w:r>
      <w:r>
        <w:t xml:space="preserve">.  If </w:t>
      </w:r>
      <w:r>
        <w:rPr>
          <w:i/>
        </w:rPr>
        <w:t>you</w:t>
      </w:r>
      <w:r>
        <w:t xml:space="preserve"> agree to a 24 month </w:t>
      </w:r>
      <w:r>
        <w:rPr>
          <w:i/>
        </w:rPr>
        <w:t>fixed length agreement</w:t>
      </w:r>
      <w:r>
        <w:t xml:space="preserve"> the price of </w:t>
      </w:r>
      <w:r>
        <w:rPr>
          <w:i/>
        </w:rPr>
        <w:t>mobile phones</w:t>
      </w:r>
      <w:r>
        <w:t xml:space="preserve"> available is less than if </w:t>
      </w:r>
      <w:r>
        <w:rPr>
          <w:i/>
        </w:rPr>
        <w:t>you</w:t>
      </w:r>
      <w:r>
        <w:t xml:space="preserve"> only agree to a </w:t>
      </w:r>
      <w:r>
        <w:rPr>
          <w:i/>
        </w:rPr>
        <w:t xml:space="preserve">non-fixed length agreement. </w:t>
      </w:r>
    </w:p>
    <w:p w14:paraId="6A24A9F8" w14:textId="77777777" w:rsidR="000D07EA" w:rsidRDefault="00BE7C89">
      <w:pPr>
        <w:pStyle w:val="Heading7"/>
      </w:pPr>
      <w:r>
        <w:t>The charges for the Business Timeless Advantage Offers are set out in Table 3A.</w:t>
      </w:r>
    </w:p>
    <w:p w14:paraId="1B998688" w14:textId="77777777" w:rsidR="000D07EA" w:rsidRDefault="00BE7C89">
      <w:pPr>
        <w:pStyle w:val="Heading7"/>
      </w:pPr>
      <w:r>
        <w:t xml:space="preserve">If </w:t>
      </w:r>
      <w:r>
        <w:rPr>
          <w:i/>
        </w:rPr>
        <w:t xml:space="preserve">you </w:t>
      </w:r>
      <w:r>
        <w:t xml:space="preserve">purchase a Business Timeless Advantage plan, </w:t>
      </w:r>
      <w:r>
        <w:rPr>
          <w:i/>
        </w:rPr>
        <w:t>you</w:t>
      </w:r>
      <w:r>
        <w:t xml:space="preserve"> can purchase additional data by purchasing a $10 Business Advantage BMB Data bolt on. The included data of the Business Data bolt applies to all </w:t>
      </w:r>
      <w:r>
        <w:rPr>
          <w:i/>
        </w:rPr>
        <w:t>Optus Mobile Digital Service and Business Mobile Broadband Services</w:t>
      </w:r>
      <w:r>
        <w:t xml:space="preserve"> that are connected on a Business Timeless Advantage plan and that are on the same account. </w:t>
      </w:r>
    </w:p>
    <w:p w14:paraId="6BCAD769" w14:textId="77777777" w:rsidR="000D07EA" w:rsidRDefault="00BE7C89">
      <w:pPr>
        <w:pStyle w:val="Heading8"/>
      </w:pPr>
      <w:r>
        <w:t xml:space="preserve">Business Data Bolt on is available to </w:t>
      </w:r>
      <w:r>
        <w:rPr>
          <w:i/>
        </w:rPr>
        <w:t xml:space="preserve">you </w:t>
      </w:r>
      <w:r>
        <w:t xml:space="preserve">if, </w:t>
      </w:r>
      <w:r>
        <w:rPr>
          <w:i/>
        </w:rPr>
        <w:t>your</w:t>
      </w:r>
      <w:r>
        <w:t xml:space="preserve"> </w:t>
      </w:r>
      <w:r>
        <w:rPr>
          <w:i/>
        </w:rPr>
        <w:t>mobile service</w:t>
      </w:r>
      <w:r>
        <w:t>s connect and remain connected to a Business Timeless Advantage plans.</w:t>
      </w:r>
    </w:p>
    <w:p w14:paraId="5FB6C656" w14:textId="77777777" w:rsidR="000D07EA" w:rsidRDefault="00BE7C89">
      <w:pPr>
        <w:pStyle w:val="Heading8"/>
      </w:pPr>
      <w:r>
        <w:t>The Business Data Bolt Ons provide</w:t>
      </w:r>
      <w:r>
        <w:rPr>
          <w:i/>
        </w:rPr>
        <w:t xml:space="preserve"> you </w:t>
      </w:r>
      <w:r>
        <w:t xml:space="preserve">with an additional 500MB of data to use each month from the </w:t>
      </w:r>
      <w:r>
        <w:rPr>
          <w:i/>
        </w:rPr>
        <w:t xml:space="preserve">Optus Mobile Digital Service or Business Mobile Broadband Services </w:t>
      </w:r>
      <w:r>
        <w:t xml:space="preserve">connected on </w:t>
      </w:r>
      <w:r>
        <w:rPr>
          <w:i/>
        </w:rPr>
        <w:t>your</w:t>
      </w:r>
      <w:r>
        <w:t xml:space="preserve"> plan and account.  If </w:t>
      </w:r>
      <w:r>
        <w:rPr>
          <w:i/>
        </w:rPr>
        <w:t>you</w:t>
      </w:r>
      <w:r>
        <w:t xml:space="preserve"> exceed </w:t>
      </w:r>
      <w:r>
        <w:rPr>
          <w:i/>
        </w:rPr>
        <w:t>your</w:t>
      </w:r>
      <w:r>
        <w:t xml:space="preserve"> included data amount excess charges as stated in Table 1 apply.</w:t>
      </w:r>
    </w:p>
    <w:p w14:paraId="01E3C05D" w14:textId="77777777" w:rsidR="000D07EA" w:rsidRDefault="00BE7C89">
      <w:pPr>
        <w:pStyle w:val="Heading8"/>
      </w:pPr>
      <w:r>
        <w:t>Business Data Bolt Ons, Data Usage Allowance is set out in Table 1, the eligible usage is set out in Table 2A.</w:t>
      </w:r>
    </w:p>
    <w:p w14:paraId="19577193" w14:textId="77777777" w:rsidR="000D07EA" w:rsidRDefault="00BE7C89">
      <w:pPr>
        <w:pStyle w:val="BodyText"/>
        <w:ind w:left="1440"/>
        <w:rPr>
          <w:b/>
        </w:rPr>
      </w:pPr>
      <w:r>
        <w:rPr>
          <w:b/>
        </w:rPr>
        <w:t>Table 1 – $10 Business Advantage BMB Data Bolt On</w:t>
      </w:r>
    </w:p>
    <w:tbl>
      <w:tblPr>
        <w:tblW w:w="4300" w:type="pct"/>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0"/>
        <w:gridCol w:w="2920"/>
        <w:gridCol w:w="2922"/>
      </w:tblGrid>
      <w:tr w:rsidR="000D07EA" w14:paraId="7BEDF94E" w14:textId="77777777">
        <w:tc>
          <w:tcPr>
            <w:tcW w:w="1666" w:type="pct"/>
          </w:tcPr>
          <w:p w14:paraId="4AACDA50" w14:textId="77777777" w:rsidR="000D07EA" w:rsidRDefault="00BE7C89">
            <w:pPr>
              <w:pStyle w:val="BodyText"/>
              <w:spacing w:before="100" w:after="100"/>
              <w:jc w:val="center"/>
              <w:rPr>
                <w:b/>
              </w:rPr>
            </w:pPr>
            <w:r>
              <w:rPr>
                <w:b/>
              </w:rPr>
              <w:t xml:space="preserve">Monthly </w:t>
            </w:r>
            <w:r>
              <w:rPr>
                <w:b/>
                <w:i/>
              </w:rPr>
              <w:t>Access Fee</w:t>
            </w:r>
          </w:p>
        </w:tc>
        <w:tc>
          <w:tcPr>
            <w:tcW w:w="1666" w:type="pct"/>
          </w:tcPr>
          <w:p w14:paraId="64400B99" w14:textId="77777777" w:rsidR="000D07EA" w:rsidRDefault="00BE7C89">
            <w:pPr>
              <w:pStyle w:val="BodyText"/>
              <w:spacing w:before="100" w:after="100"/>
              <w:jc w:val="center"/>
              <w:rPr>
                <w:b/>
              </w:rPr>
            </w:pPr>
            <w:r>
              <w:rPr>
                <w:b/>
              </w:rPr>
              <w:t>Data Usage Allowance</w:t>
            </w:r>
          </w:p>
        </w:tc>
        <w:tc>
          <w:tcPr>
            <w:tcW w:w="1667" w:type="pct"/>
          </w:tcPr>
          <w:p w14:paraId="0809D2F0" w14:textId="77777777" w:rsidR="000D07EA" w:rsidRDefault="00BE7C89">
            <w:pPr>
              <w:pStyle w:val="BodyText"/>
              <w:spacing w:before="100" w:after="100"/>
              <w:jc w:val="center"/>
              <w:rPr>
                <w:b/>
              </w:rPr>
            </w:pPr>
            <w:r>
              <w:rPr>
                <w:b/>
              </w:rPr>
              <w:t>Excess Charges</w:t>
            </w:r>
          </w:p>
        </w:tc>
      </w:tr>
      <w:tr w:rsidR="000D07EA" w14:paraId="00407C3D" w14:textId="77777777">
        <w:tc>
          <w:tcPr>
            <w:tcW w:w="1666" w:type="pct"/>
          </w:tcPr>
          <w:p w14:paraId="73822769" w14:textId="77777777" w:rsidR="000D07EA" w:rsidRDefault="00BE7C89">
            <w:pPr>
              <w:pStyle w:val="BodyText"/>
              <w:spacing w:before="100" w:after="100"/>
              <w:jc w:val="center"/>
            </w:pPr>
            <w:r>
              <w:t>$10</w:t>
            </w:r>
          </w:p>
        </w:tc>
        <w:tc>
          <w:tcPr>
            <w:tcW w:w="1666" w:type="pct"/>
          </w:tcPr>
          <w:p w14:paraId="632ECD92" w14:textId="77777777" w:rsidR="000D07EA" w:rsidRDefault="00BE7C89">
            <w:pPr>
              <w:pStyle w:val="BodyText"/>
              <w:spacing w:before="100" w:after="100"/>
              <w:jc w:val="center"/>
            </w:pPr>
            <w:r>
              <w:t>500MB</w:t>
            </w:r>
          </w:p>
        </w:tc>
        <w:tc>
          <w:tcPr>
            <w:tcW w:w="1667" w:type="pct"/>
          </w:tcPr>
          <w:p w14:paraId="15913F92" w14:textId="77777777" w:rsidR="000D07EA" w:rsidRDefault="00BE7C89">
            <w:pPr>
              <w:pStyle w:val="BodyText"/>
              <w:spacing w:before="100" w:after="100"/>
              <w:jc w:val="center"/>
            </w:pPr>
            <w:r>
              <w:t>10c per MB or part thereof</w:t>
            </w:r>
          </w:p>
        </w:tc>
      </w:tr>
    </w:tbl>
    <w:p w14:paraId="44EAEC7A" w14:textId="77777777" w:rsidR="000D07EA" w:rsidRDefault="000D07EA">
      <w:pPr>
        <w:pStyle w:val="BodyText"/>
      </w:pPr>
      <w:bookmarkStart w:id="404" w:name="_Toc267937670"/>
      <w:bookmarkStart w:id="405" w:name="_Toc397941145"/>
    </w:p>
    <w:p w14:paraId="037EE6A2" w14:textId="77777777" w:rsidR="000D07EA" w:rsidRDefault="00BE7C89">
      <w:pPr>
        <w:pStyle w:val="Heading6"/>
        <w:spacing w:before="100" w:after="100"/>
        <w:ind w:left="0" w:firstLine="0"/>
      </w:pPr>
      <w:r>
        <w:t>Eligibility</w:t>
      </w:r>
      <w:bookmarkEnd w:id="404"/>
      <w:bookmarkEnd w:id="405"/>
    </w:p>
    <w:p w14:paraId="36627C57" w14:textId="77777777" w:rsidR="000D07EA" w:rsidRDefault="00BE7C89">
      <w:pPr>
        <w:pStyle w:val="BodyText"/>
        <w:ind w:left="720"/>
      </w:pPr>
      <w:r>
        <w:t xml:space="preserve">The Business Timeless Advantage Plans are only available to customers </w:t>
      </w:r>
      <w:r>
        <w:rPr>
          <w:i/>
        </w:rPr>
        <w:t>we</w:t>
      </w:r>
      <w:r>
        <w:t xml:space="preserve"> classify as </w:t>
      </w:r>
      <w:r>
        <w:rPr>
          <w:i/>
        </w:rPr>
        <w:t>small or medium business</w:t>
      </w:r>
      <w:r>
        <w:t xml:space="preserve"> customers who apply to connect to the service on the following terms:</w:t>
      </w:r>
    </w:p>
    <w:p w14:paraId="7B48E4E0" w14:textId="77777777" w:rsidR="000D07EA" w:rsidRDefault="00BE7C89">
      <w:pPr>
        <w:pStyle w:val="Heading7"/>
      </w:pPr>
      <w:r>
        <w:rPr>
          <w:i/>
        </w:rPr>
        <w:t>You</w:t>
      </w:r>
      <w:r>
        <w:t xml:space="preserve"> must pass the Optus Credit assessment and be accepted by Optus.</w:t>
      </w:r>
    </w:p>
    <w:p w14:paraId="36816C52" w14:textId="77777777" w:rsidR="000D07EA" w:rsidRDefault="00BE7C89">
      <w:pPr>
        <w:pStyle w:val="Heading7"/>
      </w:pPr>
      <w:r>
        <w:t xml:space="preserve">$69 Business Timeless Advantage BYO plan (effective 5 September 2010) is only available to </w:t>
      </w:r>
      <w:r>
        <w:rPr>
          <w:i/>
        </w:rPr>
        <w:t>Optus small or medium business</w:t>
      </w:r>
      <w:r>
        <w:t xml:space="preserve"> customers who connect over 12 months and either connect their own </w:t>
      </w:r>
      <w:r>
        <w:rPr>
          <w:i/>
        </w:rPr>
        <w:t>mobile phone</w:t>
      </w:r>
      <w:r>
        <w:t xml:space="preserve"> or purchase a </w:t>
      </w:r>
      <w:r>
        <w:rPr>
          <w:i/>
        </w:rPr>
        <w:t>mobile phone</w:t>
      </w:r>
      <w:r>
        <w:t xml:space="preserve"> from </w:t>
      </w:r>
      <w:r>
        <w:rPr>
          <w:i/>
        </w:rPr>
        <w:t>us</w:t>
      </w:r>
      <w:r>
        <w:t xml:space="preserve"> under a </w:t>
      </w:r>
      <w:r>
        <w:rPr>
          <w:i/>
        </w:rPr>
        <w:t>mobile equipment payment plan</w:t>
      </w:r>
      <w:r>
        <w:t>.</w:t>
      </w:r>
    </w:p>
    <w:p w14:paraId="1E2564E0" w14:textId="77777777" w:rsidR="000D07EA" w:rsidRDefault="00BE7C89">
      <w:pPr>
        <w:pStyle w:val="Heading7"/>
      </w:pPr>
      <w:r>
        <w:rPr>
          <w:snapToGrid w:val="0"/>
        </w:rPr>
        <w:t xml:space="preserve">In order to be and remain eligible for the Business Timeless Advantage Offers, </w:t>
      </w:r>
      <w:r>
        <w:rPr>
          <w:i/>
          <w:snapToGrid w:val="0"/>
        </w:rPr>
        <w:t xml:space="preserve">you </w:t>
      </w:r>
      <w:r>
        <w:rPr>
          <w:snapToGrid w:val="0"/>
        </w:rPr>
        <w:t xml:space="preserve">must: </w:t>
      </w:r>
    </w:p>
    <w:p w14:paraId="1B9BAC1C" w14:textId="77777777" w:rsidR="000D07EA" w:rsidRDefault="00BE7C89">
      <w:pPr>
        <w:pStyle w:val="Heading8"/>
        <w:rPr>
          <w:snapToGrid w:val="0"/>
        </w:rPr>
      </w:pPr>
      <w:r>
        <w:rPr>
          <w:snapToGrid w:val="0"/>
        </w:rPr>
        <w:t>maintain a ratio of at least 1 Optus Mobile Digital Service to 1 Business Mobile Broadband Service (for Customers who elect to take up a Business Mobile Broadband (BMB) Service).</w:t>
      </w:r>
    </w:p>
    <w:p w14:paraId="3E2673A1" w14:textId="77777777" w:rsidR="000D07EA" w:rsidRDefault="00BE7C89">
      <w:pPr>
        <w:pStyle w:val="BodyText"/>
        <w:ind w:left="2160"/>
      </w:pPr>
      <w:r>
        <w:t xml:space="preserve">For example </w:t>
      </w:r>
      <w:r>
        <w:rPr>
          <w:i/>
        </w:rPr>
        <w:t>you</w:t>
      </w:r>
      <w:r>
        <w:t xml:space="preserve"> may connect 2 $89 Business Timeless Advantage Mobile Services and 2 $10 Business Advantage BMB Services or </w:t>
      </w:r>
      <w:r>
        <w:rPr>
          <w:i/>
        </w:rPr>
        <w:t>you</w:t>
      </w:r>
      <w:r>
        <w:t xml:space="preserve"> may connect 2 $89 Business Timeless Advantage Services and 1 $10 Business Advantage BMB service. However, </w:t>
      </w:r>
      <w:r>
        <w:rPr>
          <w:i/>
        </w:rPr>
        <w:t>you</w:t>
      </w:r>
      <w:r>
        <w:t xml:space="preserve"> may not have 1 $89 Business Timeless Advantage Mobile Service and 2 $10 Business Advantage BMB Services.</w:t>
      </w:r>
    </w:p>
    <w:p w14:paraId="642ECFF0" w14:textId="77777777" w:rsidR="000D07EA" w:rsidRDefault="00BE7C89">
      <w:pPr>
        <w:pStyle w:val="Heading8"/>
      </w:pPr>
      <w:r>
        <w:t>connect all relevant</w:t>
      </w:r>
      <w:r>
        <w:rPr>
          <w:i/>
        </w:rPr>
        <w:t xml:space="preserve"> services</w:t>
      </w:r>
      <w:r>
        <w:t xml:space="preserve"> in the same account holder name and service address, and ABN/ACN/ARBN;</w:t>
      </w:r>
    </w:p>
    <w:p w14:paraId="72EC0BF7" w14:textId="77777777" w:rsidR="000D07EA" w:rsidRDefault="00BE7C89">
      <w:pPr>
        <w:pStyle w:val="Heading8"/>
      </w:pPr>
      <w:r>
        <w:t xml:space="preserve">meet all of the criteria for the particular </w:t>
      </w:r>
      <w:r>
        <w:rPr>
          <w:i/>
        </w:rPr>
        <w:t>services</w:t>
      </w:r>
      <w:r>
        <w:t xml:space="preserve"> as set out in each of the relevant </w:t>
      </w:r>
      <w:r>
        <w:rPr>
          <w:i/>
        </w:rPr>
        <w:t>service descriptions</w:t>
      </w:r>
      <w:r>
        <w:t>; and</w:t>
      </w:r>
    </w:p>
    <w:p w14:paraId="64940481" w14:textId="77777777" w:rsidR="000D07EA" w:rsidRDefault="00BE7C89">
      <w:pPr>
        <w:pStyle w:val="Heading8"/>
      </w:pPr>
      <w:r>
        <w:lastRenderedPageBreak/>
        <w:t>receive subscription charges on a monthly single bill.</w:t>
      </w:r>
    </w:p>
    <w:p w14:paraId="1D7DB9C8" w14:textId="77777777" w:rsidR="000D07EA" w:rsidRDefault="00BE7C89">
      <w:pPr>
        <w:pStyle w:val="Heading7"/>
      </w:pPr>
      <w:r>
        <w:rPr>
          <w:snapToGrid w:val="0"/>
        </w:rPr>
        <w:t xml:space="preserve">If </w:t>
      </w:r>
      <w:r>
        <w:rPr>
          <w:i/>
          <w:snapToGrid w:val="0"/>
        </w:rPr>
        <w:t xml:space="preserve">you </w:t>
      </w:r>
      <w:r>
        <w:rPr>
          <w:snapToGrid w:val="0"/>
        </w:rPr>
        <w:t>already have a non-fixed length or fixed length agreement with us for either your Optus Mobile Digital Service(s) and your Optus Mobile Service(s) and you choose to connect as a new customer to our Business Timeless Advantage offer:</w:t>
      </w:r>
    </w:p>
    <w:p w14:paraId="7B4CFD3A" w14:textId="77777777" w:rsidR="000D07EA" w:rsidRDefault="00BE7C89">
      <w:pPr>
        <w:pStyle w:val="Heading8"/>
        <w:rPr>
          <w:snapToGrid w:val="0"/>
        </w:rPr>
      </w:pPr>
      <w:r>
        <w:rPr>
          <w:i/>
          <w:snapToGrid w:val="0"/>
        </w:rPr>
        <w:t>We</w:t>
      </w:r>
      <w:r>
        <w:rPr>
          <w:snapToGrid w:val="0"/>
        </w:rPr>
        <w:t xml:space="preserve"> may agree (at </w:t>
      </w:r>
      <w:r>
        <w:rPr>
          <w:i/>
          <w:snapToGrid w:val="0"/>
        </w:rPr>
        <w:t>our</w:t>
      </w:r>
      <w:r>
        <w:rPr>
          <w:snapToGrid w:val="0"/>
        </w:rPr>
        <w:t xml:space="preserve"> discretion) to transfer</w:t>
      </w:r>
      <w:r>
        <w:rPr>
          <w:i/>
          <w:snapToGrid w:val="0"/>
        </w:rPr>
        <w:t xml:space="preserve"> you</w:t>
      </w:r>
      <w:r>
        <w:rPr>
          <w:snapToGrid w:val="0"/>
        </w:rPr>
        <w:t xml:space="preserve"> to the Business Timeless Advantage offer </w:t>
      </w:r>
    </w:p>
    <w:p w14:paraId="539B9686" w14:textId="77777777" w:rsidR="000D07EA" w:rsidRDefault="00BE7C89">
      <w:pPr>
        <w:pStyle w:val="Heading8"/>
      </w:pPr>
      <w:r>
        <w:rPr>
          <w:snapToGrid w:val="0"/>
        </w:rPr>
        <w:t>In the case of the above,</w:t>
      </w:r>
      <w:r>
        <w:rPr>
          <w:i/>
          <w:snapToGrid w:val="0"/>
        </w:rPr>
        <w:t xml:space="preserve"> you</w:t>
      </w:r>
      <w:r>
        <w:rPr>
          <w:snapToGrid w:val="0"/>
        </w:rPr>
        <w:t xml:space="preserve"> will start a monthly, 24 month</w:t>
      </w:r>
      <w:r>
        <w:rPr>
          <w:i/>
          <w:snapToGrid w:val="0"/>
        </w:rPr>
        <w:t xml:space="preserve"> minimum term fixed length agreement</w:t>
      </w:r>
      <w:r>
        <w:rPr>
          <w:snapToGrid w:val="0"/>
        </w:rPr>
        <w:t xml:space="preserve"> for the new </w:t>
      </w:r>
      <w:r>
        <w:rPr>
          <w:i/>
          <w:snapToGrid w:val="0"/>
        </w:rPr>
        <w:t>Business Timeless Advantage offer</w:t>
      </w:r>
      <w:r>
        <w:rPr>
          <w:snapToGrid w:val="0"/>
        </w:rPr>
        <w:t>.</w:t>
      </w:r>
    </w:p>
    <w:p w14:paraId="12EA87A5" w14:textId="77777777" w:rsidR="000D07EA" w:rsidRDefault="00BE7C89">
      <w:pPr>
        <w:pStyle w:val="Heading7"/>
      </w:pPr>
      <w:r>
        <w:t>Optus Service Providers' customers are excluded; and</w:t>
      </w:r>
    </w:p>
    <w:p w14:paraId="4A628D2C" w14:textId="77777777" w:rsidR="000D07EA" w:rsidRDefault="00BE7C89">
      <w:pPr>
        <w:pStyle w:val="Heading7"/>
      </w:pPr>
      <w:r>
        <w:rPr>
          <w:snapToGrid w:val="0"/>
        </w:rPr>
        <w:t xml:space="preserve">If </w:t>
      </w:r>
      <w:r>
        <w:rPr>
          <w:i/>
          <w:snapToGrid w:val="0"/>
        </w:rPr>
        <w:t xml:space="preserve">you </w:t>
      </w:r>
      <w:r>
        <w:rPr>
          <w:snapToGrid w:val="0"/>
        </w:rPr>
        <w:t xml:space="preserve">are an existing customer </w:t>
      </w:r>
      <w:r>
        <w:rPr>
          <w:i/>
          <w:snapToGrid w:val="0"/>
        </w:rPr>
        <w:t xml:space="preserve">you </w:t>
      </w:r>
      <w:r>
        <w:rPr>
          <w:snapToGrid w:val="0"/>
        </w:rPr>
        <w:t xml:space="preserve">may only transfer to the Business Timeless Advantage Plan with </w:t>
      </w:r>
      <w:r>
        <w:rPr>
          <w:i/>
          <w:snapToGrid w:val="0"/>
        </w:rPr>
        <w:t xml:space="preserve">our </w:t>
      </w:r>
      <w:r>
        <w:rPr>
          <w:snapToGrid w:val="0"/>
        </w:rPr>
        <w:t>approval</w:t>
      </w:r>
      <w:r>
        <w:rPr>
          <w:snapToGrid w:val="0"/>
          <w:sz w:val="16"/>
          <w:szCs w:val="16"/>
        </w:rPr>
        <w:t>.</w:t>
      </w:r>
    </w:p>
    <w:p w14:paraId="41CEAEB8" w14:textId="77777777" w:rsidR="000D07EA" w:rsidRDefault="00BE7C89">
      <w:pPr>
        <w:pStyle w:val="Heading6"/>
        <w:ind w:left="0" w:firstLine="0"/>
      </w:pPr>
      <w:bookmarkStart w:id="406" w:name="_Toc267937671"/>
      <w:bookmarkStart w:id="407" w:name="_Toc397941146"/>
      <w:r>
        <w:t>Minimum Term</w:t>
      </w:r>
      <w:bookmarkEnd w:id="406"/>
      <w:bookmarkEnd w:id="407"/>
    </w:p>
    <w:p w14:paraId="3111AB9A" w14:textId="77777777" w:rsidR="000D07EA" w:rsidRDefault="00BE7C89">
      <w:pPr>
        <w:pStyle w:val="Heading7"/>
      </w:pPr>
      <w:r>
        <w:rPr>
          <w:i/>
        </w:rPr>
        <w:t>You</w:t>
      </w:r>
      <w:r>
        <w:t xml:space="preserve"> must agree to either a </w:t>
      </w:r>
      <w:r>
        <w:rPr>
          <w:i/>
        </w:rPr>
        <w:t>non-fixed length agreement</w:t>
      </w:r>
      <w:r>
        <w:t xml:space="preserve"> or a </w:t>
      </w:r>
      <w:r>
        <w:rPr>
          <w:i/>
        </w:rPr>
        <w:t>fixed length agreement</w:t>
      </w:r>
      <w:r>
        <w:t xml:space="preserve"> with a 12 month or 24 month minimum term.</w:t>
      </w:r>
    </w:p>
    <w:p w14:paraId="0DF0F5DC" w14:textId="77777777" w:rsidR="000D07EA" w:rsidRDefault="00BE7C89">
      <w:pPr>
        <w:pStyle w:val="Heading7"/>
      </w:pPr>
      <w:r>
        <w:rPr>
          <w:snapToGrid w:val="0"/>
        </w:rPr>
        <w:t>Customers who elect to take up the Business Mobile Broadband (BMB) hardware must agree to a</w:t>
      </w:r>
      <w:r>
        <w:rPr>
          <w:i/>
          <w:snapToGrid w:val="0"/>
        </w:rPr>
        <w:t xml:space="preserve"> fixed length agreement </w:t>
      </w:r>
      <w:r>
        <w:rPr>
          <w:snapToGrid w:val="0"/>
        </w:rPr>
        <w:t xml:space="preserve">with a 24 month </w:t>
      </w:r>
      <w:r>
        <w:rPr>
          <w:i/>
          <w:snapToGrid w:val="0"/>
        </w:rPr>
        <w:t>minimum term.</w:t>
      </w:r>
      <w:r>
        <w:t xml:space="preserve">  </w:t>
      </w:r>
    </w:p>
    <w:p w14:paraId="7014B443" w14:textId="77777777" w:rsidR="000D07EA" w:rsidRDefault="00BE7C89">
      <w:pPr>
        <w:pStyle w:val="Heading7"/>
      </w:pPr>
      <w:r>
        <w:rPr>
          <w:i/>
        </w:rPr>
        <w:t xml:space="preserve">You </w:t>
      </w:r>
      <w:r>
        <w:t xml:space="preserve">may purchase a </w:t>
      </w:r>
      <w:r>
        <w:rPr>
          <w:i/>
        </w:rPr>
        <w:t xml:space="preserve">mobile phone </w:t>
      </w:r>
      <w:r>
        <w:t xml:space="preserve">with a 24 month </w:t>
      </w:r>
      <w:r>
        <w:rPr>
          <w:i/>
        </w:rPr>
        <w:t xml:space="preserve">equipment term </w:t>
      </w:r>
      <w:r>
        <w:t xml:space="preserve">under a </w:t>
      </w:r>
      <w:r>
        <w:rPr>
          <w:i/>
        </w:rPr>
        <w:t>mobile equipment payment plan</w:t>
      </w:r>
      <w:r>
        <w:t xml:space="preserve"> on a 24 month </w:t>
      </w:r>
      <w:r>
        <w:rPr>
          <w:i/>
        </w:rPr>
        <w:t>fixed length agreement</w:t>
      </w:r>
      <w:r>
        <w:t xml:space="preserve">.  If </w:t>
      </w:r>
      <w:r>
        <w:rPr>
          <w:i/>
        </w:rPr>
        <w:t>you</w:t>
      </w:r>
      <w:r>
        <w:t xml:space="preserve"> agree to a 24 month </w:t>
      </w:r>
      <w:r>
        <w:rPr>
          <w:i/>
        </w:rPr>
        <w:t>fixed length agreement</w:t>
      </w:r>
      <w:r>
        <w:t xml:space="preserve"> the price of </w:t>
      </w:r>
      <w:r>
        <w:rPr>
          <w:i/>
        </w:rPr>
        <w:t>mobile phones</w:t>
      </w:r>
      <w:r>
        <w:t xml:space="preserve"> available is less than if </w:t>
      </w:r>
      <w:r>
        <w:rPr>
          <w:i/>
        </w:rPr>
        <w:t>you</w:t>
      </w:r>
      <w:r>
        <w:t xml:space="preserve"> only agree to a </w:t>
      </w:r>
      <w:r>
        <w:rPr>
          <w:i/>
        </w:rPr>
        <w:t xml:space="preserve">non-fixed length agreement. </w:t>
      </w:r>
    </w:p>
    <w:p w14:paraId="65546925" w14:textId="77777777" w:rsidR="000D07EA" w:rsidRDefault="00BE7C89">
      <w:pPr>
        <w:pStyle w:val="Heading7"/>
      </w:pPr>
      <w:r>
        <w:rPr>
          <w:i/>
        </w:rPr>
        <w:t xml:space="preserve">You </w:t>
      </w:r>
      <w:r>
        <w:t xml:space="preserve">may purchase a </w:t>
      </w:r>
      <w:r>
        <w:rPr>
          <w:i/>
        </w:rPr>
        <w:t xml:space="preserve">mobile phone </w:t>
      </w:r>
      <w:r>
        <w:t xml:space="preserve">with a 12 month </w:t>
      </w:r>
      <w:r>
        <w:rPr>
          <w:i/>
        </w:rPr>
        <w:t xml:space="preserve">equipment term </w:t>
      </w:r>
      <w:r>
        <w:t xml:space="preserve">under a </w:t>
      </w:r>
      <w:r>
        <w:rPr>
          <w:i/>
        </w:rPr>
        <w:t>mobile equipment payment plan</w:t>
      </w:r>
      <w:r>
        <w:t xml:space="preserve"> on a 12 month </w:t>
      </w:r>
      <w:r>
        <w:rPr>
          <w:i/>
        </w:rPr>
        <w:t>fixed length agreement</w:t>
      </w:r>
      <w:r>
        <w:t xml:space="preserve">.  If </w:t>
      </w:r>
      <w:r>
        <w:rPr>
          <w:i/>
        </w:rPr>
        <w:t>you</w:t>
      </w:r>
      <w:r>
        <w:t xml:space="preserve"> agree to a 12 month </w:t>
      </w:r>
      <w:r>
        <w:rPr>
          <w:i/>
        </w:rPr>
        <w:t>fixed length agreement</w:t>
      </w:r>
      <w:r>
        <w:t xml:space="preserve"> the price of </w:t>
      </w:r>
      <w:r>
        <w:rPr>
          <w:i/>
        </w:rPr>
        <w:t>mobile phones</w:t>
      </w:r>
      <w:r>
        <w:t xml:space="preserve"> available is less than if </w:t>
      </w:r>
      <w:r>
        <w:rPr>
          <w:i/>
        </w:rPr>
        <w:t>you</w:t>
      </w:r>
      <w:r>
        <w:t xml:space="preserve"> only agree to a </w:t>
      </w:r>
      <w:r>
        <w:rPr>
          <w:i/>
        </w:rPr>
        <w:t xml:space="preserve">non-fixed length agreement. </w:t>
      </w:r>
    </w:p>
    <w:p w14:paraId="7252A58D" w14:textId="77777777" w:rsidR="000D07EA" w:rsidRDefault="00BE7C89">
      <w:pPr>
        <w:pStyle w:val="Heading6"/>
        <w:ind w:left="0" w:firstLine="0"/>
      </w:pPr>
      <w:bookmarkStart w:id="408" w:name="_Toc267937672"/>
      <w:bookmarkStart w:id="409" w:name="_Toc397941147"/>
      <w:r>
        <w:t>What happens if you are no longer eligible</w:t>
      </w:r>
      <w:bookmarkEnd w:id="408"/>
      <w:bookmarkEnd w:id="409"/>
    </w:p>
    <w:p w14:paraId="67A60EC0" w14:textId="77777777" w:rsidR="000D07EA" w:rsidRDefault="00BE7C89">
      <w:pPr>
        <w:pStyle w:val="Heading7"/>
      </w:pPr>
      <w:r>
        <w:t xml:space="preserve">If </w:t>
      </w:r>
      <w:r>
        <w:rPr>
          <w:i/>
        </w:rPr>
        <w:t>you</w:t>
      </w:r>
      <w:r>
        <w:t xml:space="preserve"> are no longer classified as a </w:t>
      </w:r>
      <w:r>
        <w:rPr>
          <w:i/>
        </w:rPr>
        <w:t>small and medium business</w:t>
      </w:r>
      <w:r>
        <w:t xml:space="preserve"> we may at our discretion change </w:t>
      </w:r>
      <w:r>
        <w:rPr>
          <w:i/>
        </w:rPr>
        <w:t>your</w:t>
      </w:r>
      <w:r>
        <w:t xml:space="preserve"> </w:t>
      </w:r>
      <w:r>
        <w:rPr>
          <w:i/>
        </w:rPr>
        <w:t xml:space="preserve">Optus Mobile Digital Service </w:t>
      </w:r>
      <w:r>
        <w:t xml:space="preserve">and </w:t>
      </w:r>
      <w:r>
        <w:rPr>
          <w:i/>
        </w:rPr>
        <w:t>Business Mobile Broadband Service</w:t>
      </w:r>
      <w:r>
        <w:t xml:space="preserve"> to an eligible plan although other service options may be available to </w:t>
      </w:r>
      <w:r>
        <w:rPr>
          <w:i/>
        </w:rPr>
        <w:t xml:space="preserve">you </w:t>
      </w:r>
      <w:r>
        <w:t xml:space="preserve">and </w:t>
      </w:r>
      <w:r>
        <w:rPr>
          <w:i/>
        </w:rPr>
        <w:t>you</w:t>
      </w:r>
      <w:r>
        <w:t xml:space="preserve"> may have to pay </w:t>
      </w:r>
      <w:r>
        <w:rPr>
          <w:i/>
        </w:rPr>
        <w:t>us</w:t>
      </w:r>
      <w:r>
        <w:t xml:space="preserve"> a cancellation fee</w:t>
      </w:r>
      <w:r>
        <w:rPr>
          <w:i/>
        </w:rPr>
        <w:t>.</w:t>
      </w:r>
    </w:p>
    <w:p w14:paraId="6890D7C1" w14:textId="77777777" w:rsidR="000D07EA" w:rsidRDefault="00BE7C89">
      <w:pPr>
        <w:pStyle w:val="Heading7"/>
      </w:pPr>
      <w:r>
        <w:t xml:space="preserve">If you no longer have </w:t>
      </w:r>
      <w:r>
        <w:rPr>
          <w:i/>
        </w:rPr>
        <w:t>Optus Mobile Digital services</w:t>
      </w:r>
      <w:r>
        <w:t xml:space="preserve"> on your account connected to a Business Timeless Advantage Offer but have a Business Mobile Broadband Service on a $10 Business Advantage BMB or $15 Business Advantage Offer we may at our discretion change your </w:t>
      </w:r>
      <w:r>
        <w:rPr>
          <w:i/>
        </w:rPr>
        <w:t>Business Mobile Broadband Service</w:t>
      </w:r>
      <w:r>
        <w:t xml:space="preserve"> price plan to an eligible Business Mobile Broadband Plan.</w:t>
      </w:r>
    </w:p>
    <w:p w14:paraId="17B1F88F" w14:textId="77777777" w:rsidR="000D07EA" w:rsidRDefault="00BE7C89">
      <w:pPr>
        <w:pStyle w:val="Heading6"/>
        <w:keepNext/>
        <w:ind w:left="0" w:firstLine="0"/>
      </w:pPr>
      <w:bookmarkStart w:id="410" w:name="_Toc267937673"/>
      <w:bookmarkStart w:id="411" w:name="_Toc397941148"/>
      <w:r>
        <w:t xml:space="preserve">What </w:t>
      </w:r>
      <w:r>
        <w:rPr>
          <w:i/>
        </w:rPr>
        <w:t>you</w:t>
      </w:r>
      <w:r>
        <w:t xml:space="preserve"> have to pay </w:t>
      </w:r>
      <w:r>
        <w:rPr>
          <w:i/>
        </w:rPr>
        <w:t>us</w:t>
      </w:r>
      <w:bookmarkEnd w:id="410"/>
      <w:bookmarkEnd w:id="411"/>
    </w:p>
    <w:p w14:paraId="21993994" w14:textId="77777777" w:rsidR="000D07EA" w:rsidRDefault="00BE7C89">
      <w:pPr>
        <w:pStyle w:val="Heading7"/>
      </w:pPr>
      <w:r>
        <w:t xml:space="preserve">Subject to paragraphs </w:t>
      </w:r>
      <w:r>
        <w:fldChar w:fldCharType="begin"/>
      </w:r>
      <w:r>
        <w:instrText xml:space="preserve"> REF _Ref461550268 \n \h </w:instrText>
      </w:r>
      <w:r>
        <w:fldChar w:fldCharType="separate"/>
      </w:r>
      <w:r w:rsidR="0004083A">
        <w:t>(b)</w:t>
      </w:r>
      <w:r>
        <w:fldChar w:fldCharType="end"/>
      </w:r>
      <w:r>
        <w:t xml:space="preserve">, </w:t>
      </w:r>
      <w:r>
        <w:fldChar w:fldCharType="begin"/>
      </w:r>
      <w:r>
        <w:instrText xml:space="preserve"> REF _Ref461550273 \n \h </w:instrText>
      </w:r>
      <w:r>
        <w:fldChar w:fldCharType="separate"/>
      </w:r>
      <w:r w:rsidR="0004083A">
        <w:t>(c)</w:t>
      </w:r>
      <w:r>
        <w:fldChar w:fldCharType="end"/>
      </w:r>
      <w:r>
        <w:t xml:space="preserve">, </w:t>
      </w:r>
      <w:r>
        <w:fldChar w:fldCharType="begin"/>
      </w:r>
      <w:r>
        <w:instrText xml:space="preserve"> REF _Ref461550277 \n \h </w:instrText>
      </w:r>
      <w:r>
        <w:fldChar w:fldCharType="separate"/>
      </w:r>
      <w:r w:rsidR="0004083A">
        <w:t>(d)</w:t>
      </w:r>
      <w:r>
        <w:fldChar w:fldCharType="end"/>
      </w:r>
      <w:r>
        <w:t xml:space="preserve">, </w:t>
      </w:r>
      <w:r>
        <w:fldChar w:fldCharType="begin"/>
      </w:r>
      <w:r>
        <w:instrText xml:space="preserve"> REF _Ref461550282 \n \h </w:instrText>
      </w:r>
      <w:r>
        <w:fldChar w:fldCharType="separate"/>
      </w:r>
      <w:r w:rsidR="0004083A">
        <w:t>(e)</w:t>
      </w:r>
      <w:r>
        <w:fldChar w:fldCharType="end"/>
      </w:r>
      <w:r>
        <w:t xml:space="preserve">, </w:t>
      </w:r>
      <w:r>
        <w:fldChar w:fldCharType="begin"/>
      </w:r>
      <w:r>
        <w:instrText xml:space="preserve"> REF _Ref461550286 \n \h </w:instrText>
      </w:r>
      <w:r>
        <w:fldChar w:fldCharType="separate"/>
      </w:r>
      <w:r w:rsidR="0004083A">
        <w:t>(f)</w:t>
      </w:r>
      <w:r>
        <w:fldChar w:fldCharType="end"/>
      </w:r>
      <w:r>
        <w:t xml:space="preserve"> and </w:t>
      </w:r>
      <w:r>
        <w:fldChar w:fldCharType="begin"/>
      </w:r>
      <w:r>
        <w:instrText xml:space="preserve"> REF _Ref461550290 \n \h </w:instrText>
      </w:r>
      <w:r>
        <w:fldChar w:fldCharType="separate"/>
      </w:r>
      <w:r w:rsidR="0004083A">
        <w:t>(g)</w:t>
      </w:r>
      <w:r>
        <w:fldChar w:fldCharType="end"/>
      </w:r>
      <w:r>
        <w:t xml:space="preserve"> below </w:t>
      </w:r>
      <w:r>
        <w:rPr>
          <w:i/>
        </w:rPr>
        <w:t xml:space="preserve">you </w:t>
      </w:r>
      <w:r>
        <w:t xml:space="preserve">must pay </w:t>
      </w:r>
      <w:r>
        <w:rPr>
          <w:i/>
        </w:rPr>
        <w:t xml:space="preserve">us </w:t>
      </w:r>
      <w:r>
        <w:t xml:space="preserve">for use of the </w:t>
      </w:r>
      <w:r>
        <w:rPr>
          <w:i/>
        </w:rPr>
        <w:t xml:space="preserve">service </w:t>
      </w:r>
      <w:r>
        <w:t xml:space="preserve">at the rates set out in </w:t>
      </w:r>
      <w:hyperlink r:id="rId275" w:history="1">
        <w:r>
          <w:rPr>
            <w:rStyle w:val="Hyperlink"/>
          </w:rPr>
          <w:t>Section 1</w:t>
        </w:r>
      </w:hyperlink>
      <w:r>
        <w:t xml:space="preserve"> of this </w:t>
      </w:r>
      <w:r>
        <w:rPr>
          <w:i/>
        </w:rPr>
        <w:t xml:space="preserve">standard pricing table </w:t>
      </w:r>
      <w:r>
        <w:t xml:space="preserve">and for </w:t>
      </w:r>
      <w:r>
        <w:rPr>
          <w:i/>
        </w:rPr>
        <w:t xml:space="preserve">value added service features </w:t>
      </w:r>
      <w:r>
        <w:t xml:space="preserve">at the rates set out in </w:t>
      </w:r>
      <w:hyperlink r:id="rId276" w:history="1">
        <w:r>
          <w:rPr>
            <w:rStyle w:val="Hyperlink"/>
          </w:rPr>
          <w:t>Appendix Y</w:t>
        </w:r>
      </w:hyperlink>
      <w:r>
        <w:t xml:space="preserve"> Value Added Service Features</w:t>
      </w:r>
      <w:r>
        <w:rPr>
          <w:i/>
        </w:rPr>
        <w:t>.</w:t>
      </w:r>
    </w:p>
    <w:p w14:paraId="0E429C04" w14:textId="77777777" w:rsidR="000D07EA" w:rsidRDefault="00BE7C89">
      <w:pPr>
        <w:pStyle w:val="Heading7"/>
      </w:pPr>
      <w:bookmarkStart w:id="412" w:name="_Ref461550268"/>
      <w:r>
        <w:t xml:space="preserve">If there is a </w:t>
      </w:r>
      <w:r>
        <w:rPr>
          <w:i/>
        </w:rPr>
        <w:t xml:space="preserve">flagfall </w:t>
      </w:r>
      <w:r>
        <w:t xml:space="preserve">or call connection charge for a particular call type, the charge for these calls is the </w:t>
      </w:r>
      <w:r>
        <w:rPr>
          <w:i/>
        </w:rPr>
        <w:t xml:space="preserve">flagfall </w:t>
      </w:r>
      <w:r>
        <w:t>charge plus the relevant rate for the call multiplied by the duration of the call.</w:t>
      </w:r>
      <w:bookmarkEnd w:id="412"/>
      <w:r>
        <w:t xml:space="preserve"> </w:t>
      </w:r>
    </w:p>
    <w:p w14:paraId="2C67F03D" w14:textId="77777777" w:rsidR="000D07EA" w:rsidRDefault="00BE7C89">
      <w:pPr>
        <w:pStyle w:val="Heading7"/>
        <w:rPr>
          <w:b/>
        </w:rPr>
      </w:pPr>
      <w:bookmarkStart w:id="413" w:name="_Ref461550273"/>
      <w:r>
        <w:rPr>
          <w:b/>
        </w:rPr>
        <w:t>Minimum Monthly Charge</w:t>
      </w:r>
      <w:bookmarkEnd w:id="413"/>
    </w:p>
    <w:p w14:paraId="2A782323" w14:textId="77777777" w:rsidR="000D07EA" w:rsidRDefault="00BE7C89">
      <w:pPr>
        <w:pStyle w:val="Heading8"/>
      </w:pPr>
      <w:r>
        <w:t xml:space="preserve">Each Business Timeless Advantage Plan has a Minimum Monthly Charge amount that </w:t>
      </w:r>
      <w:r>
        <w:rPr>
          <w:i/>
        </w:rPr>
        <w:t xml:space="preserve">you </w:t>
      </w:r>
      <w:r>
        <w:t xml:space="preserve">must pay us each month. </w:t>
      </w:r>
    </w:p>
    <w:p w14:paraId="5DE8BA6C" w14:textId="77777777" w:rsidR="000D07EA" w:rsidRDefault="00BE7C89">
      <w:pPr>
        <w:pStyle w:val="Heading8"/>
      </w:pPr>
      <w:r>
        <w:t>The amount of the Minimum Monthly Charge for each Business Timeless Advantage Plan is set out in Table 3A below.</w:t>
      </w:r>
    </w:p>
    <w:p w14:paraId="4444B0BA" w14:textId="77777777" w:rsidR="000D07EA" w:rsidRDefault="00BE7C89">
      <w:pPr>
        <w:pStyle w:val="Heading8"/>
      </w:pPr>
      <w:r>
        <w:rPr>
          <w:i/>
        </w:rPr>
        <w:lastRenderedPageBreak/>
        <w:t>You</w:t>
      </w:r>
      <w:r>
        <w:t xml:space="preserve"> must pay </w:t>
      </w:r>
      <w:r>
        <w:rPr>
          <w:i/>
        </w:rPr>
        <w:t>us</w:t>
      </w:r>
      <w:r>
        <w:t xml:space="preserve"> for any calls or usages that are not eligible calls or usage.</w:t>
      </w:r>
    </w:p>
    <w:p w14:paraId="1A3CB434" w14:textId="77777777" w:rsidR="000D07EA" w:rsidRDefault="00BE7C89">
      <w:pPr>
        <w:pStyle w:val="Heading7"/>
        <w:rPr>
          <w:b/>
        </w:rPr>
      </w:pPr>
      <w:bookmarkStart w:id="414" w:name="_Ref461550277"/>
      <w:r>
        <w:rPr>
          <w:b/>
        </w:rPr>
        <w:t>Unlimited Call Offer</w:t>
      </w:r>
      <w:bookmarkEnd w:id="414"/>
    </w:p>
    <w:p w14:paraId="25D9E032" w14:textId="77777777" w:rsidR="000D07EA" w:rsidRDefault="00BE7C89" w:rsidP="00972274">
      <w:pPr>
        <w:pStyle w:val="Heading8"/>
        <w:numPr>
          <w:ilvl w:val="7"/>
          <w:numId w:val="53"/>
        </w:numPr>
      </w:pPr>
      <w:r>
        <w:t>Under the Business Timeless Advantage Plans, customers will receive Unlimited Standard National SMS &amp; MMS, Voice &amp; Video Calls to Australian fixed lines and Australian GSM mobiles (excluding Pivotel), 13/1300 calls (only on the $99 and $129 Business Timeless Advantage plans) and $99 and $129 Business Timeless Advantage (Premium H/set) plans and Voicemail deposits and retrievals, to use within Australia.</w:t>
      </w:r>
    </w:p>
    <w:p w14:paraId="327AA592" w14:textId="77777777" w:rsidR="000D07EA" w:rsidRDefault="00BE7C89" w:rsidP="00972274">
      <w:pPr>
        <w:pStyle w:val="Heading8"/>
        <w:numPr>
          <w:ilvl w:val="7"/>
          <w:numId w:val="53"/>
        </w:numPr>
      </w:pPr>
      <w:r>
        <w:t>The call, message types and usage that are eligible for each Business Timeless Advantage Plan are defined in Table 1A below.</w:t>
      </w:r>
    </w:p>
    <w:p w14:paraId="262EAFDA" w14:textId="77777777" w:rsidR="000D07EA" w:rsidRDefault="00BE7C89" w:rsidP="00972274">
      <w:pPr>
        <w:pStyle w:val="Heading8"/>
        <w:numPr>
          <w:ilvl w:val="7"/>
          <w:numId w:val="53"/>
        </w:numPr>
      </w:pPr>
      <w:r>
        <w:rPr>
          <w:i/>
        </w:rPr>
        <w:t xml:space="preserve">You </w:t>
      </w:r>
      <w:r>
        <w:t>must pay for any calls, messages or usage that are not eligible calls or message types.</w:t>
      </w:r>
    </w:p>
    <w:p w14:paraId="681D018E" w14:textId="77777777" w:rsidR="000D07EA" w:rsidRDefault="00BE7C89" w:rsidP="00972274">
      <w:pPr>
        <w:pStyle w:val="Heading8"/>
        <w:numPr>
          <w:ilvl w:val="7"/>
          <w:numId w:val="53"/>
        </w:numPr>
      </w:pPr>
      <w:r>
        <w:rPr>
          <w:snapToGrid w:val="0"/>
        </w:rPr>
        <w:t>Any unused portion of the plan expires at the end of each month.  This means that it does not roll over into following month.</w:t>
      </w:r>
    </w:p>
    <w:p w14:paraId="3BD189BD" w14:textId="77777777" w:rsidR="000D07EA" w:rsidRDefault="00BE7C89">
      <w:pPr>
        <w:pStyle w:val="Heading7"/>
        <w:rPr>
          <w:b/>
          <w:snapToGrid w:val="0"/>
        </w:rPr>
      </w:pPr>
      <w:bookmarkStart w:id="415" w:name="_Ref461550282"/>
      <w:r>
        <w:rPr>
          <w:b/>
          <w:snapToGrid w:val="0"/>
        </w:rPr>
        <w:t xml:space="preserve">Unlimited mobile </w:t>
      </w:r>
      <w:r>
        <w:rPr>
          <w:rStyle w:val="Heading7Char"/>
          <w:b/>
        </w:rPr>
        <w:t>a</w:t>
      </w:r>
      <w:r>
        <w:rPr>
          <w:b/>
          <w:snapToGrid w:val="0"/>
        </w:rPr>
        <w:t>ccess to Facebook®, Twitter, LinkedIn, Ebay, Four Square, MySpace</w:t>
      </w:r>
      <w:bookmarkEnd w:id="415"/>
    </w:p>
    <w:p w14:paraId="709DF9BD" w14:textId="77777777" w:rsidR="000D07EA" w:rsidRDefault="00BE7C89">
      <w:pPr>
        <w:pStyle w:val="Heading8"/>
        <w:rPr>
          <w:snapToGrid w:val="0"/>
        </w:rPr>
      </w:pPr>
      <w:bookmarkStart w:id="416" w:name="_Ref461550365"/>
      <w:r>
        <w:t xml:space="preserve">Under the Business Timeless Advantage Plans, </w:t>
      </w:r>
      <w:r>
        <w:rPr>
          <w:i/>
        </w:rPr>
        <w:t>you</w:t>
      </w:r>
      <w:r>
        <w:t xml:space="preserve"> will receive unlimited mobile access to </w:t>
      </w:r>
      <w:r>
        <w:rPr>
          <w:snapToGrid w:val="0"/>
        </w:rPr>
        <w:t>Facebook®, Twitter, LinkedIn, Ebay, Four Square, MySpace within Australia.</w:t>
      </w:r>
      <w:bookmarkEnd w:id="416"/>
    </w:p>
    <w:p w14:paraId="7782BEF1" w14:textId="77777777" w:rsidR="000D07EA" w:rsidRDefault="00BE7C89">
      <w:pPr>
        <w:pStyle w:val="Heading8"/>
      </w:pPr>
      <w:r>
        <w:t xml:space="preserve">Usage of the services described in paragraph </w:t>
      </w:r>
      <w:r>
        <w:fldChar w:fldCharType="begin"/>
      </w:r>
      <w:r>
        <w:instrText xml:space="preserve"> REF _Ref461550282 \n \h </w:instrText>
      </w:r>
      <w:r>
        <w:fldChar w:fldCharType="separate"/>
      </w:r>
      <w:r w:rsidR="0004083A">
        <w:t>(e)</w:t>
      </w:r>
      <w:r>
        <w:fldChar w:fldCharType="end"/>
      </w:r>
      <w:r>
        <w:fldChar w:fldCharType="begin"/>
      </w:r>
      <w:r>
        <w:instrText xml:space="preserve"> REF _Ref461550365 \n \h </w:instrText>
      </w:r>
      <w:r>
        <w:fldChar w:fldCharType="separate"/>
      </w:r>
      <w:r w:rsidR="0004083A">
        <w:t>(i)</w:t>
      </w:r>
      <w:r>
        <w:fldChar w:fldCharType="end"/>
      </w:r>
      <w:r>
        <w:t xml:space="preserve"> is separate to and is not included in your "Mobile Internet Data Value" and your Business Advantage Business Mobile Broadband Service (if applicable) and may be accessed on your mobile handset only. </w:t>
      </w:r>
    </w:p>
    <w:p w14:paraId="6DE42A58" w14:textId="77777777" w:rsidR="000D07EA" w:rsidRDefault="00BE7C89">
      <w:pPr>
        <w:pStyle w:val="Heading8"/>
      </w:pPr>
      <w:r>
        <w:t>These features are only available to you if your handset is compatible with the service.</w:t>
      </w:r>
    </w:p>
    <w:p w14:paraId="6539697A" w14:textId="77777777" w:rsidR="000D07EA" w:rsidRDefault="00BE7C89">
      <w:pPr>
        <w:pStyle w:val="Heading8"/>
      </w:pPr>
      <w:r>
        <w:t xml:space="preserve">Use of Unlimited Facebook®, Twitter, LinkedIn, Ebay, Four Square, and MySpace is for personal or business use. Please refer to </w:t>
      </w:r>
      <w:hyperlink r:id="rId277" w:history="1">
        <w:r w:rsidR="00B64C56">
          <w:rPr>
            <w:rStyle w:val="Hyperlink"/>
            <w:i/>
          </w:rPr>
          <w:t>Appendix S</w:t>
        </w:r>
      </w:hyperlink>
      <w:r>
        <w:t xml:space="preserve"> for further details.</w:t>
      </w:r>
    </w:p>
    <w:p w14:paraId="669062BB" w14:textId="77777777" w:rsidR="000D07EA" w:rsidRDefault="00BE7C89">
      <w:pPr>
        <w:pStyle w:val="Heading7"/>
        <w:rPr>
          <w:b/>
        </w:rPr>
      </w:pPr>
      <w:bookmarkStart w:id="417" w:name="_Ref461550286"/>
      <w:r>
        <w:rPr>
          <w:b/>
        </w:rPr>
        <w:t>Included Mobile Internet Data Value or Unlimited BlackBerry POP3 Email and Browsing through the BlackBerry Browser</w:t>
      </w:r>
      <w:bookmarkEnd w:id="417"/>
    </w:p>
    <w:p w14:paraId="4C2891F9" w14:textId="77777777" w:rsidR="000D07EA" w:rsidRDefault="00BE7C89">
      <w:pPr>
        <w:pStyle w:val="Heading8"/>
      </w:pPr>
      <w:r>
        <w:t xml:space="preserve">Under the Business Timeless Advantage Plans, </w:t>
      </w:r>
      <w:r>
        <w:rPr>
          <w:i/>
        </w:rPr>
        <w:t>you</w:t>
      </w:r>
      <w:r>
        <w:t xml:space="preserve"> can choose from </w:t>
      </w:r>
    </w:p>
    <w:p w14:paraId="4B74E8D4" w14:textId="77777777" w:rsidR="000D07EA" w:rsidRDefault="00BE7C89">
      <w:pPr>
        <w:pStyle w:val="Heading9"/>
      </w:pPr>
      <w:r>
        <w:t>Included Mobile Internet Data Value; or</w:t>
      </w:r>
    </w:p>
    <w:p w14:paraId="5F14F204" w14:textId="77777777" w:rsidR="000D07EA" w:rsidRDefault="00BE7C89">
      <w:pPr>
        <w:pStyle w:val="Heading9"/>
      </w:pPr>
      <w:r>
        <w:t>Unlimited BlackBerry POP3 Email and Browsing through the BlackBerry Browser to use within Australia.</w:t>
      </w:r>
    </w:p>
    <w:p w14:paraId="41957DF6" w14:textId="77777777" w:rsidR="000D07EA" w:rsidRDefault="00BE7C89">
      <w:pPr>
        <w:pStyle w:val="BodyText"/>
        <w:ind w:left="2160"/>
      </w:pPr>
      <w:r>
        <w:t xml:space="preserve">If </w:t>
      </w:r>
      <w:r>
        <w:rPr>
          <w:i/>
        </w:rPr>
        <w:t>you</w:t>
      </w:r>
      <w:r>
        <w:t xml:space="preserve"> select the $129 Business Timeless Advantage or $129 Business Timeless Advantage (Premium H/set) plan, your 10GB or 2GB of Mobile Internet Data Value can be shared with the Business Advantage BMB service. In addition, regardless of which option you choose, you will also get bonus </w:t>
      </w:r>
      <w:r>
        <w:rPr>
          <w:b/>
        </w:rPr>
        <w:t>Unlimited Mobile Internet Data</w:t>
      </w:r>
      <w:r>
        <w:t xml:space="preserve"> to use from your mobile only. The Unlimited Mobile Internet Data cannot be shared with the Business Advantage BMB service or be used as mobile as a modem. </w:t>
      </w:r>
    </w:p>
    <w:p w14:paraId="1F0E1F89" w14:textId="77777777" w:rsidR="000D07EA" w:rsidRDefault="00BE7C89">
      <w:pPr>
        <w:pStyle w:val="Heading8"/>
      </w:pPr>
      <w:r>
        <w:t xml:space="preserve">If </w:t>
      </w:r>
      <w:r>
        <w:rPr>
          <w:i/>
        </w:rPr>
        <w:t>you</w:t>
      </w:r>
      <w:r>
        <w:t xml:space="preserve"> select the included Mobile Internet Data Value option:</w:t>
      </w:r>
    </w:p>
    <w:p w14:paraId="7BDC8416" w14:textId="77777777" w:rsidR="000D07EA" w:rsidRDefault="00BE7C89">
      <w:pPr>
        <w:pStyle w:val="Heading9"/>
      </w:pPr>
      <w:r>
        <w:t>The amount of the "Mobile Internet Data Value" included, to use within Australia, for each Business Timeless Advantage Plan is set out in Table 3A below.</w:t>
      </w:r>
    </w:p>
    <w:p w14:paraId="55C43E78" w14:textId="77777777" w:rsidR="000D07EA" w:rsidRDefault="00BE7C89">
      <w:pPr>
        <w:pStyle w:val="Heading9"/>
      </w:pPr>
      <w:r>
        <w:t xml:space="preserve">The usage types that are </w:t>
      </w:r>
      <w:r>
        <w:rPr>
          <w:b/>
        </w:rPr>
        <w:t>'eligible data'</w:t>
      </w:r>
      <w:r>
        <w:t xml:space="preserve"> for each Business Timeless Advantage Plan under the included Mobile Internet Data Value are defined in Table 2A below.</w:t>
      </w:r>
    </w:p>
    <w:p w14:paraId="649D72CF" w14:textId="77777777" w:rsidR="000D07EA" w:rsidRDefault="00BE7C89">
      <w:pPr>
        <w:pStyle w:val="Heading9"/>
      </w:pPr>
      <w:r>
        <w:t>The included data of the Business Timeless Advantage plan can be shared with an eligible Business Mobile Broadband service and can only be used within Australia.</w:t>
      </w:r>
    </w:p>
    <w:p w14:paraId="074A5AA6" w14:textId="77777777" w:rsidR="000D07EA" w:rsidRDefault="00BE7C89">
      <w:pPr>
        <w:pStyle w:val="Heading9"/>
      </w:pPr>
      <w:r>
        <w:rPr>
          <w:i/>
        </w:rPr>
        <w:lastRenderedPageBreak/>
        <w:t xml:space="preserve">You </w:t>
      </w:r>
      <w:r>
        <w:t xml:space="preserve">must pay </w:t>
      </w:r>
      <w:r>
        <w:rPr>
          <w:i/>
        </w:rPr>
        <w:t xml:space="preserve">us </w:t>
      </w:r>
      <w:r>
        <w:t xml:space="preserve">excess usage charges for data used beyond the available "Mobile Internet Data Value" as shown in Table 3A below. </w:t>
      </w:r>
    </w:p>
    <w:p w14:paraId="4A8457EA" w14:textId="77777777" w:rsidR="000D07EA" w:rsidRDefault="00BE7C89">
      <w:pPr>
        <w:pStyle w:val="Heading9"/>
      </w:pPr>
      <w:r>
        <w:rPr>
          <w:snapToGrid w:val="0"/>
        </w:rPr>
        <w:t>Any unused portion of the "</w:t>
      </w:r>
      <w:r>
        <w:t>Mobile Internet Data Value</w:t>
      </w:r>
      <w:r>
        <w:rPr>
          <w:snapToGrid w:val="0"/>
        </w:rPr>
        <w:t>" expires at the end of each month and does not rollover into the following month.</w:t>
      </w:r>
      <w:r>
        <w:t xml:space="preserve">   </w:t>
      </w:r>
    </w:p>
    <w:p w14:paraId="522D7C08" w14:textId="77777777" w:rsidR="000D07EA" w:rsidRDefault="00BE7C89">
      <w:pPr>
        <w:pStyle w:val="Heading8"/>
      </w:pPr>
      <w:r>
        <w:t xml:space="preserve">If </w:t>
      </w:r>
      <w:r>
        <w:rPr>
          <w:i/>
        </w:rPr>
        <w:t>you</w:t>
      </w:r>
      <w:r>
        <w:t xml:space="preserve"> select the Unlimited BlackBerry POP3 Email and Browsing through the BlackBerry Browser option:</w:t>
      </w:r>
    </w:p>
    <w:p w14:paraId="35FC1872" w14:textId="77777777" w:rsidR="000D07EA" w:rsidRDefault="00BE7C89">
      <w:pPr>
        <w:pStyle w:val="Heading9"/>
      </w:pPr>
      <w:r>
        <w:rPr>
          <w:i/>
        </w:rPr>
        <w:t>You</w:t>
      </w:r>
      <w:r>
        <w:t xml:space="preserve"> will only receive unlimited BlackBerry POP3 Email and Browsing through the BlackBerry Internet Browser or the BlackBerry Browser and use of applications from Optus and third party applications that require a BlackBerry Data connection, within Australia.</w:t>
      </w:r>
    </w:p>
    <w:p w14:paraId="2342A994" w14:textId="77777777" w:rsidR="000D07EA" w:rsidRDefault="00BE7C89">
      <w:pPr>
        <w:pStyle w:val="Heading9"/>
      </w:pPr>
      <w:r>
        <w:rPr>
          <w:i/>
        </w:rPr>
        <w:t>You</w:t>
      </w:r>
      <w:r>
        <w:t xml:space="preserve"> will also receive an amount of "Mobile Internet Data Value" which is set out in Table 3A below.</w:t>
      </w:r>
    </w:p>
    <w:p w14:paraId="4F705647" w14:textId="77777777" w:rsidR="000D07EA" w:rsidRDefault="00BE7C89">
      <w:pPr>
        <w:pStyle w:val="Heading9"/>
      </w:pPr>
      <w:r>
        <w:t>The included data of the Business Complete Advantage plan can be shared with an eligible Business Mobile Broadband service.</w:t>
      </w:r>
    </w:p>
    <w:p w14:paraId="23AAAE86" w14:textId="77777777" w:rsidR="000D07EA" w:rsidRDefault="00BE7C89">
      <w:pPr>
        <w:pStyle w:val="Heading9"/>
      </w:pPr>
      <w:r>
        <w:rPr>
          <w:i/>
        </w:rPr>
        <w:t>You</w:t>
      </w:r>
      <w:r>
        <w:t xml:space="preserve"> must pay </w:t>
      </w:r>
      <w:r>
        <w:rPr>
          <w:i/>
        </w:rPr>
        <w:t>us</w:t>
      </w:r>
      <w:r>
        <w:t xml:space="preserve"> excess usage charges for data made beyond the available "Mobile Internet Data Value".</w:t>
      </w:r>
    </w:p>
    <w:p w14:paraId="65F5FE27" w14:textId="77777777" w:rsidR="000D07EA" w:rsidRDefault="00BE7C89">
      <w:pPr>
        <w:pStyle w:val="Heading9"/>
      </w:pPr>
      <w:r>
        <w:t>Any unused portion of the "Mobile Internet Data Value" expires at the end of each month and does not roll over into the following month.</w:t>
      </w:r>
    </w:p>
    <w:p w14:paraId="29241634" w14:textId="77777777" w:rsidR="000D07EA" w:rsidRDefault="00BE7C89">
      <w:pPr>
        <w:pStyle w:val="Heading9"/>
      </w:pPr>
      <w:r>
        <w:t>The usage types that are '</w:t>
      </w:r>
      <w:r>
        <w:rPr>
          <w:b/>
        </w:rPr>
        <w:t>eligible data'</w:t>
      </w:r>
      <w:r>
        <w:t xml:space="preserve"> for each Business Timeless Advantage Plan under the Unlimited BlackBerry POP3 Email and Browsing through the BlackBerry Browser are defined in Table 2B below.</w:t>
      </w:r>
    </w:p>
    <w:p w14:paraId="6874A247" w14:textId="77777777" w:rsidR="000D07EA" w:rsidRDefault="00BE7C89">
      <w:pPr>
        <w:pStyle w:val="Heading9"/>
      </w:pPr>
      <w:r>
        <w:t>Use of Unlimited BlackBerry POP3 Email is for personal or business use. Fair Go Policy (</w:t>
      </w:r>
      <w:hyperlink r:id="rId278" w:history="1">
        <w:r>
          <w:rPr>
            <w:rStyle w:val="Hyperlink"/>
            <w:i/>
          </w:rPr>
          <w:t>Appendix S</w:t>
        </w:r>
      </w:hyperlink>
      <w:r>
        <w:t xml:space="preserve">) also applies to unacceptable use. Please refer to </w:t>
      </w:r>
      <w:hyperlink r:id="rId279" w:history="1">
        <w:r w:rsidR="00B64C56">
          <w:rPr>
            <w:rStyle w:val="Hyperlink"/>
            <w:i/>
          </w:rPr>
          <w:t>Appendix S</w:t>
        </w:r>
      </w:hyperlink>
      <w:r>
        <w:rPr>
          <w:i/>
        </w:rPr>
        <w:t xml:space="preserve"> </w:t>
      </w:r>
      <w:r>
        <w:t>for further details.</w:t>
      </w:r>
    </w:p>
    <w:p w14:paraId="5D827261" w14:textId="77777777" w:rsidR="000D07EA" w:rsidRDefault="00BE7C89">
      <w:pPr>
        <w:pStyle w:val="Heading7"/>
        <w:rPr>
          <w:b/>
        </w:rPr>
      </w:pPr>
      <w:bookmarkStart w:id="418" w:name="_Ref461550290"/>
      <w:r>
        <w:rPr>
          <w:b/>
        </w:rPr>
        <w:t>Unlimited Mobile Internet Data Value on the $129 Business Timeless Advantage &amp; $129 Business Timeless Advantage (Premium H/set) plans</w:t>
      </w:r>
      <w:bookmarkEnd w:id="418"/>
    </w:p>
    <w:p w14:paraId="706AE55A" w14:textId="77777777" w:rsidR="000D07EA" w:rsidRDefault="00BE7C89">
      <w:pPr>
        <w:pStyle w:val="Heading8"/>
      </w:pPr>
      <w:r>
        <w:t xml:space="preserve">On the $129 Business Timeless Advantage &amp; $129 Business Timeless Advantage (Premium H/set) Plans, </w:t>
      </w:r>
      <w:r>
        <w:rPr>
          <w:i/>
        </w:rPr>
        <w:t>you</w:t>
      </w:r>
      <w:r>
        <w:t xml:space="preserve"> will receive unlimited mobile internet data per month to access services on Optus Zoo or Optus iZoo and browsing the Internet from your mobile only. </w:t>
      </w:r>
    </w:p>
    <w:p w14:paraId="4FEDA009" w14:textId="77777777" w:rsidR="000D07EA" w:rsidRDefault="00BE7C89">
      <w:pPr>
        <w:pStyle w:val="Heading8"/>
      </w:pPr>
      <w:r>
        <w:t xml:space="preserve">The </w:t>
      </w:r>
      <w:r>
        <w:rPr>
          <w:b/>
        </w:rPr>
        <w:t xml:space="preserve">Unlimited Mobile Internet Data </w:t>
      </w:r>
      <w:r>
        <w:t xml:space="preserve">cannot be shared with an eligible Business Mobile Broadband service and you can not used your mobile as a modem with the </w:t>
      </w:r>
      <w:r>
        <w:rPr>
          <w:b/>
        </w:rPr>
        <w:t>Unlimited Mobile Internet Data</w:t>
      </w:r>
      <w:r>
        <w:t xml:space="preserve">. </w:t>
      </w:r>
    </w:p>
    <w:p w14:paraId="6A215A4D" w14:textId="77777777" w:rsidR="000D07EA" w:rsidRDefault="00BE7C89">
      <w:pPr>
        <w:pStyle w:val="Heading8"/>
        <w:rPr>
          <w:b/>
        </w:rPr>
      </w:pPr>
      <w:r>
        <w:t xml:space="preserve">The usage types that are </w:t>
      </w:r>
      <w:r>
        <w:rPr>
          <w:b/>
        </w:rPr>
        <w:t>'eligible data'</w:t>
      </w:r>
      <w:r>
        <w:t xml:space="preserve"> for the </w:t>
      </w:r>
      <w:r>
        <w:rPr>
          <w:b/>
        </w:rPr>
        <w:t>Unlimited Mobile Internet Data Value</w:t>
      </w:r>
      <w:r>
        <w:t xml:space="preserve"> on the $129 Business Timeless Advantage</w:t>
      </w:r>
      <w:r>
        <w:rPr>
          <w:b/>
        </w:rPr>
        <w:t xml:space="preserve"> </w:t>
      </w:r>
      <w:r>
        <w:t>and $129 Business Timeless Advantage (Premium H/set) plans are defined in Table 2C below.</w:t>
      </w:r>
    </w:p>
    <w:p w14:paraId="1C921E6E" w14:textId="77777777" w:rsidR="000D07EA" w:rsidRDefault="00BE7C89">
      <w:pPr>
        <w:pStyle w:val="Heading7"/>
        <w:rPr>
          <w:b/>
        </w:rPr>
      </w:pPr>
      <w:r>
        <w:rPr>
          <w:b/>
        </w:rPr>
        <w:t>Included International Value</w:t>
      </w:r>
    </w:p>
    <w:p w14:paraId="2CA62F5D" w14:textId="77777777" w:rsidR="000D07EA" w:rsidRDefault="00BE7C89">
      <w:pPr>
        <w:pStyle w:val="Heading8"/>
      </w:pPr>
      <w:r>
        <w:t xml:space="preserve">On the $99 Business Timeless Advantage Plan, $99 Business Timeless Advantage (Premium H/set), $129 Business Timeless Advantage or the $129 Business Timeless Advantage  (Premium H/set) Plans, </w:t>
      </w:r>
      <w:r>
        <w:rPr>
          <w:i/>
        </w:rPr>
        <w:t>you</w:t>
      </w:r>
      <w:r>
        <w:t xml:space="preserve"> will receive included International Value, to use within Australia. The amount of the International Value included for each Business Timeless Advantage Plan is set out in Table 3A below.</w:t>
      </w:r>
    </w:p>
    <w:p w14:paraId="7E73CE9C" w14:textId="77777777" w:rsidR="000D07EA" w:rsidRDefault="00BE7C89">
      <w:pPr>
        <w:pStyle w:val="Heading8"/>
      </w:pPr>
      <w:r>
        <w:t xml:space="preserve">The usage types that are </w:t>
      </w:r>
      <w:r>
        <w:rPr>
          <w:b/>
        </w:rPr>
        <w:t>'eligible calls and charges'</w:t>
      </w:r>
      <w:r>
        <w:t xml:space="preserve"> for each Business Timeless Advantage Plan under the included International Value are defined in Table 2D below.</w:t>
      </w:r>
    </w:p>
    <w:p w14:paraId="3BCA2FFB" w14:textId="77777777" w:rsidR="000D07EA" w:rsidRDefault="00BE7C89">
      <w:pPr>
        <w:pStyle w:val="Heading8"/>
      </w:pPr>
      <w:r>
        <w:rPr>
          <w:i/>
        </w:rPr>
        <w:t xml:space="preserve">You </w:t>
      </w:r>
      <w:r>
        <w:t xml:space="preserve">must pay </w:t>
      </w:r>
      <w:r>
        <w:rPr>
          <w:i/>
        </w:rPr>
        <w:t xml:space="preserve">us </w:t>
      </w:r>
      <w:r>
        <w:t>for any calls or messages that are not eligible calls or messages under this offer.</w:t>
      </w:r>
    </w:p>
    <w:p w14:paraId="569F8D05" w14:textId="77777777" w:rsidR="000D07EA" w:rsidRDefault="00BE7C89">
      <w:pPr>
        <w:pStyle w:val="Heading8"/>
        <w:rPr>
          <w:snapToGrid w:val="0"/>
        </w:rPr>
      </w:pPr>
      <w:r>
        <w:rPr>
          <w:i/>
        </w:rPr>
        <w:lastRenderedPageBreak/>
        <w:t>You</w:t>
      </w:r>
      <w:r>
        <w:t xml:space="preserve"> must pay </w:t>
      </w:r>
      <w:r>
        <w:rPr>
          <w:i/>
          <w:snapToGrid w:val="0"/>
        </w:rPr>
        <w:t xml:space="preserve">us </w:t>
      </w:r>
      <w:r>
        <w:rPr>
          <w:snapToGrid w:val="0"/>
        </w:rPr>
        <w:t xml:space="preserve">for any usage over the included International Value. 'yes' Business International Rates apply. See </w:t>
      </w:r>
      <w:hyperlink r:id="rId280" w:history="1">
        <w:r>
          <w:rPr>
            <w:rStyle w:val="Hyperlink"/>
            <w:snapToGrid w:val="0"/>
          </w:rPr>
          <w:t>Appendix J</w:t>
        </w:r>
      </w:hyperlink>
      <w:r>
        <w:rPr>
          <w:snapToGrid w:val="0"/>
        </w:rPr>
        <w:t xml:space="preserve"> for more information.</w:t>
      </w:r>
    </w:p>
    <w:p w14:paraId="41F1D4AE" w14:textId="77777777" w:rsidR="000D07EA" w:rsidRDefault="00BE7C89">
      <w:pPr>
        <w:pStyle w:val="Heading8"/>
      </w:pPr>
      <w:r>
        <w:rPr>
          <w:snapToGrid w:val="0"/>
        </w:rPr>
        <w:t>Any unused portion of the included International Value expires at the end of each month and does not rollover into the following month.</w:t>
      </w:r>
      <w:r>
        <w:t xml:space="preserve">  </w:t>
      </w:r>
    </w:p>
    <w:p w14:paraId="7578E535" w14:textId="77777777" w:rsidR="000D07EA" w:rsidRDefault="00BE7C89">
      <w:pPr>
        <w:pStyle w:val="Heading7"/>
      </w:pPr>
      <w:r>
        <w:t xml:space="preserve">Additional benefit – Free Access to Optus WiFi Hotspots (Free Wi-Fi Benefit). </w:t>
      </w:r>
    </w:p>
    <w:p w14:paraId="39FE25D4" w14:textId="77777777" w:rsidR="000D07EA" w:rsidRDefault="00BE7C89">
      <w:pPr>
        <w:pStyle w:val="Heading8"/>
      </w:pPr>
      <w:r>
        <w:t xml:space="preserve">Customers who connect their Apple iPhone to an Optus iPhone rate plan will receive free WiFi from any Optus WiFi hotspot. </w:t>
      </w:r>
    </w:p>
    <w:p w14:paraId="65FE0E5B" w14:textId="77777777" w:rsidR="000D07EA" w:rsidRDefault="00BE7C89">
      <w:pPr>
        <w:pStyle w:val="Heading8"/>
      </w:pPr>
      <w:r>
        <w:t xml:space="preserve">The service provides </w:t>
      </w:r>
      <w:r>
        <w:rPr>
          <w:i/>
        </w:rPr>
        <w:t>you</w:t>
      </w:r>
      <w:r>
        <w:t xml:space="preserve"> with access, via a fixed wireless IP network extension to the Optus IP Network, to the Internet and related services, such as email and the world wide web on an on-demand basis.</w:t>
      </w:r>
    </w:p>
    <w:p w14:paraId="5E7998D1" w14:textId="77777777" w:rsidR="000D07EA" w:rsidRDefault="00BE7C89">
      <w:pPr>
        <w:pStyle w:val="Heading8"/>
      </w:pPr>
      <w:r>
        <w:t xml:space="preserve">Optus may immediately suspend, downgrade or cancel the Free Wi-Fi Benefit in a variety of circumstances, including but not limited to the following: </w:t>
      </w:r>
      <w:r>
        <w:rPr>
          <w:i/>
        </w:rPr>
        <w:t>you</w:t>
      </w:r>
      <w:r>
        <w:t xml:space="preserve"> misuse the Service; non- compliant Equipment is used; there is an unusually high use of the Service; </w:t>
      </w:r>
      <w:r>
        <w:rPr>
          <w:i/>
        </w:rPr>
        <w:t>you</w:t>
      </w:r>
      <w:r>
        <w:t xml:space="preserve"> fail to pay any charges to Optus; </w:t>
      </w:r>
      <w:r>
        <w:rPr>
          <w:i/>
        </w:rPr>
        <w:t>you</w:t>
      </w:r>
      <w:r>
        <w:t xml:space="preserve"> become insolvent; or, if, for technical or commercial reasons, Optus' Wi-Fi network is no longer operational or available.  </w:t>
      </w:r>
    </w:p>
    <w:p w14:paraId="79E86902" w14:textId="77777777" w:rsidR="000D07EA" w:rsidRDefault="00BE7C89">
      <w:pPr>
        <w:pStyle w:val="Heading8"/>
      </w:pPr>
      <w:r>
        <w:t>Not all content located on Optus iZoo will be available when using the Apple iPhone over the Optus WiFi connection. Availability and performance of Optus hot-spots can vary.</w:t>
      </w:r>
    </w:p>
    <w:p w14:paraId="64115ED2" w14:textId="77777777" w:rsidR="000D07EA" w:rsidRDefault="00BE7C89">
      <w:pPr>
        <w:pStyle w:val="Heading7"/>
        <w:rPr>
          <w:b/>
        </w:rPr>
      </w:pPr>
      <w:r>
        <w:rPr>
          <w:b/>
        </w:rPr>
        <w:t>Other Business Timeless Advantage Plan Conditions and Offers</w:t>
      </w:r>
    </w:p>
    <w:p w14:paraId="096F8A1D" w14:textId="77777777" w:rsidR="000D07EA" w:rsidRDefault="00BE7C89">
      <w:pPr>
        <w:pStyle w:val="Heading8"/>
      </w:pPr>
      <w:r>
        <w:t xml:space="preserve">Available features will vary depending on </w:t>
      </w:r>
      <w:r>
        <w:rPr>
          <w:i/>
        </w:rPr>
        <w:t>your</w:t>
      </w:r>
      <w:r>
        <w:t xml:space="preserve"> handset or software version.</w:t>
      </w:r>
    </w:p>
    <w:p w14:paraId="17123CA0" w14:textId="77777777" w:rsidR="000D07EA" w:rsidRDefault="00BE7C89">
      <w:pPr>
        <w:pStyle w:val="Heading8"/>
      </w:pPr>
      <w:r>
        <w:t>The Fair Go Policy (</w:t>
      </w:r>
      <w:hyperlink r:id="rId281" w:history="1">
        <w:r>
          <w:rPr>
            <w:rStyle w:val="Hyperlink"/>
            <w:i/>
          </w:rPr>
          <w:t>Appendix S</w:t>
        </w:r>
      </w:hyperlink>
      <w:r>
        <w:t xml:space="preserve">) applies to: PTT Usage up to 150 minutes per month, Voice Over Internet Protocol (VOIP) services up to 10 megabytes per month. Please refer to </w:t>
      </w:r>
      <w:hyperlink r:id="rId282" w:history="1">
        <w:r w:rsidR="00B64C56">
          <w:rPr>
            <w:rStyle w:val="Hyperlink"/>
            <w:i/>
          </w:rPr>
          <w:t>Appendix S</w:t>
        </w:r>
      </w:hyperlink>
      <w:r>
        <w:t>.</w:t>
      </w:r>
    </w:p>
    <w:p w14:paraId="31AC818B" w14:textId="77777777" w:rsidR="000D07EA" w:rsidRDefault="00BE7C89">
      <w:pPr>
        <w:pStyle w:val="Heading8"/>
      </w:pPr>
      <w:r>
        <w:t xml:space="preserve">Voice Over Internet Protocol (VOIP) services (other than PTT) will be charged at 1.5c per kilobyte of usage, capped at $9.90 per month until </w:t>
      </w:r>
      <w:r>
        <w:rPr>
          <w:i/>
        </w:rPr>
        <w:t xml:space="preserve">you </w:t>
      </w:r>
      <w:r>
        <w:t xml:space="preserve">reach 5 megabytes of usage in that month, after which </w:t>
      </w:r>
      <w:r>
        <w:rPr>
          <w:i/>
        </w:rPr>
        <w:t xml:space="preserve">you </w:t>
      </w:r>
      <w:r>
        <w:t>will be charged at 0.3c per kilobyte of usage for the remainder of that month.</w:t>
      </w:r>
    </w:p>
    <w:p w14:paraId="41F28CE9" w14:textId="77777777" w:rsidR="000D07EA" w:rsidRDefault="00BE7C89">
      <w:pPr>
        <w:pStyle w:val="Heading8"/>
      </w:pPr>
      <w:r>
        <w:t xml:space="preserve">Use of unlimited features is for personal or business use. </w:t>
      </w:r>
    </w:p>
    <w:p w14:paraId="11149134" w14:textId="77777777" w:rsidR="000D07EA" w:rsidRDefault="00BE7C89">
      <w:pPr>
        <w:pStyle w:val="Heading8"/>
        <w:rPr>
          <w:b/>
          <w:lang w:eastAsia="en-AU"/>
        </w:rPr>
      </w:pPr>
      <w:r>
        <w:rPr>
          <w:b/>
          <w:lang w:eastAsia="en-AU"/>
        </w:rPr>
        <w:t>Blocking access to a number</w:t>
      </w:r>
    </w:p>
    <w:p w14:paraId="5D13211A" w14:textId="77777777" w:rsidR="000D07EA" w:rsidRDefault="00BE7C89">
      <w:pPr>
        <w:pStyle w:val="BodyText"/>
        <w:ind w:left="2160"/>
        <w:rPr>
          <w:lang w:eastAsia="en-AU"/>
        </w:rPr>
      </w:pPr>
      <w:r>
        <w:rPr>
          <w:lang w:eastAsia="en-AU"/>
        </w:rPr>
        <w:t xml:space="preserve">In addition to what is stated in clause 11 of the </w:t>
      </w:r>
      <w:r>
        <w:rPr>
          <w:i/>
          <w:lang w:eastAsia="en-AU"/>
        </w:rPr>
        <w:t>service description</w:t>
      </w:r>
      <w:r>
        <w:rPr>
          <w:lang w:eastAsia="en-AU"/>
        </w:rPr>
        <w:t xml:space="preserve"> ("Access Restrictions"), </w:t>
      </w:r>
      <w:r>
        <w:rPr>
          <w:i/>
          <w:lang w:eastAsia="en-AU"/>
        </w:rPr>
        <w:t>we</w:t>
      </w:r>
      <w:r>
        <w:rPr>
          <w:lang w:eastAsia="en-AU"/>
        </w:rPr>
        <w:t xml:space="preserve"> may block access to a number (other than an emergency service number) if </w:t>
      </w:r>
      <w:r>
        <w:rPr>
          <w:i/>
          <w:lang w:eastAsia="en-AU"/>
        </w:rPr>
        <w:t>we</w:t>
      </w:r>
      <w:r>
        <w:rPr>
          <w:lang w:eastAsia="en-AU"/>
        </w:rPr>
        <w:t xml:space="preserve"> reasonably require this to be done for technical, operational or commercial reasons. </w:t>
      </w:r>
    </w:p>
    <w:p w14:paraId="41E9B88A" w14:textId="77777777" w:rsidR="000D07EA" w:rsidRDefault="00BE7C89">
      <w:pPr>
        <w:pStyle w:val="Heading7"/>
        <w:rPr>
          <w:b/>
        </w:rPr>
      </w:pPr>
      <w:r>
        <w:rPr>
          <w:b/>
        </w:rPr>
        <w:t>Eligible Calls, Messages and Pricing Plans</w:t>
      </w:r>
    </w:p>
    <w:p w14:paraId="3E5954A8" w14:textId="77777777" w:rsidR="000D07EA" w:rsidRDefault="00BE7C89">
      <w:pPr>
        <w:pStyle w:val="Heading8"/>
      </w:pPr>
      <w:r>
        <w:t>Table 1A below indicates whether a particular call or message type is 'eligible' in the unlimited offer for the Business Timeless Advantage Plan.</w:t>
      </w:r>
    </w:p>
    <w:p w14:paraId="041198A9" w14:textId="77777777" w:rsidR="000D07EA" w:rsidRDefault="00BE7C89">
      <w:pPr>
        <w:pStyle w:val="Heading8"/>
      </w:pPr>
      <w:r>
        <w:t xml:space="preserve">Table 2A below indicates whether a particular data type is 'eligible data usage' which counts towards the Included Mobile Internet Data value of </w:t>
      </w:r>
      <w:r>
        <w:rPr>
          <w:i/>
        </w:rPr>
        <w:t xml:space="preserve">your </w:t>
      </w:r>
      <w:r>
        <w:t xml:space="preserve">selected Business Timeless Advantage Plan. </w:t>
      </w:r>
    </w:p>
    <w:p w14:paraId="321A46E4" w14:textId="77777777" w:rsidR="000D07EA" w:rsidRDefault="00BE7C89">
      <w:pPr>
        <w:pStyle w:val="Heading8"/>
      </w:pPr>
      <w:r>
        <w:t xml:space="preserve">Table 2B below indicates whether a particular data type is 'eligible data usage' which counts towards the Unlimited BlackBerry POP3 Email and Browsing through the BlackBerry Browser value of </w:t>
      </w:r>
      <w:r>
        <w:rPr>
          <w:i/>
        </w:rPr>
        <w:t xml:space="preserve">your </w:t>
      </w:r>
      <w:r>
        <w:t>selected Business Timeless Advantage Plan.</w:t>
      </w:r>
    </w:p>
    <w:p w14:paraId="351E54D9" w14:textId="77777777" w:rsidR="000D07EA" w:rsidRDefault="00BE7C89">
      <w:pPr>
        <w:pStyle w:val="Heading8"/>
      </w:pPr>
      <w:r>
        <w:t xml:space="preserve">Table 2C below indicates whether a particular call type is 'eligible call' which counts towards the included International Value of </w:t>
      </w:r>
      <w:r>
        <w:rPr>
          <w:i/>
        </w:rPr>
        <w:t xml:space="preserve">your </w:t>
      </w:r>
      <w:r>
        <w:t>selected Business Timeless Advantage Plan.</w:t>
      </w:r>
    </w:p>
    <w:p w14:paraId="67A9CF43" w14:textId="77777777" w:rsidR="000D07EA" w:rsidRDefault="00BE7C89">
      <w:pPr>
        <w:pStyle w:val="Heading8"/>
      </w:pPr>
      <w:r>
        <w:t>Table 3A below contains pricing details of each Business Timeless Advantage Plan.</w:t>
      </w:r>
    </w:p>
    <w:p w14:paraId="788133A6" w14:textId="77777777" w:rsidR="000D07EA" w:rsidRDefault="00BE7C89">
      <w:pPr>
        <w:pStyle w:val="BodyText"/>
        <w:keepNext/>
        <w:ind w:left="720"/>
        <w:rPr>
          <w:b/>
        </w:rPr>
      </w:pPr>
      <w:r>
        <w:rPr>
          <w:b/>
        </w:rPr>
        <w:lastRenderedPageBreak/>
        <w:t>Table 1A – Eligible Calls</w:t>
      </w:r>
    </w:p>
    <w:tbl>
      <w:tblPr>
        <w:tblW w:w="4678" w:type="pct"/>
        <w:tblInd w:w="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424"/>
        <w:gridCol w:w="1527"/>
        <w:gridCol w:w="1527"/>
        <w:gridCol w:w="1527"/>
        <w:gridCol w:w="1527"/>
      </w:tblGrid>
      <w:tr w:rsidR="000D07EA" w14:paraId="33056C4B" w14:textId="77777777">
        <w:trPr>
          <w:trHeight w:val="20"/>
          <w:tblHeader/>
        </w:trPr>
        <w:tc>
          <w:tcPr>
            <w:tcW w:w="1796" w:type="pct"/>
          </w:tcPr>
          <w:p w14:paraId="0FA7603E" w14:textId="77777777" w:rsidR="000D07EA" w:rsidRDefault="00BE7C89">
            <w:pPr>
              <w:pStyle w:val="BodyText"/>
              <w:spacing w:before="100" w:after="100"/>
              <w:rPr>
                <w:b/>
              </w:rPr>
            </w:pPr>
            <w:r>
              <w:rPr>
                <w:b/>
              </w:rPr>
              <w:t>Call Type</w:t>
            </w:r>
          </w:p>
        </w:tc>
        <w:tc>
          <w:tcPr>
            <w:tcW w:w="3204" w:type="pct"/>
            <w:gridSpan w:val="4"/>
            <w:vAlign w:val="center"/>
          </w:tcPr>
          <w:p w14:paraId="2323E498" w14:textId="77777777" w:rsidR="000D07EA" w:rsidRDefault="00BE7C89">
            <w:pPr>
              <w:pStyle w:val="BodyText"/>
              <w:spacing w:before="100" w:after="100"/>
              <w:jc w:val="center"/>
              <w:rPr>
                <w:b/>
              </w:rPr>
            </w:pPr>
            <w:r>
              <w:rPr>
                <w:b/>
              </w:rPr>
              <w:t>Eligible Call</w:t>
            </w:r>
          </w:p>
        </w:tc>
      </w:tr>
      <w:tr w:rsidR="000D07EA" w14:paraId="1AC6D4A4" w14:textId="77777777">
        <w:trPr>
          <w:trHeight w:val="20"/>
          <w:tblHeader/>
        </w:trPr>
        <w:tc>
          <w:tcPr>
            <w:tcW w:w="1796" w:type="pct"/>
          </w:tcPr>
          <w:p w14:paraId="72184140" w14:textId="77777777" w:rsidR="000D07EA" w:rsidRDefault="000D07EA">
            <w:pPr>
              <w:pStyle w:val="BodyText"/>
              <w:spacing w:before="100" w:after="100"/>
              <w:rPr>
                <w:b/>
              </w:rPr>
            </w:pPr>
          </w:p>
        </w:tc>
        <w:tc>
          <w:tcPr>
            <w:tcW w:w="801" w:type="pct"/>
          </w:tcPr>
          <w:p w14:paraId="278C2372" w14:textId="77777777" w:rsidR="000D07EA" w:rsidRDefault="00BE7C89">
            <w:pPr>
              <w:pStyle w:val="BodyText"/>
              <w:spacing w:before="100" w:after="100"/>
              <w:jc w:val="center"/>
              <w:rPr>
                <w:b/>
              </w:rPr>
            </w:pPr>
            <w:r>
              <w:rPr>
                <w:b/>
              </w:rPr>
              <w:t>$69 Business Timeless Advantage BYO</w:t>
            </w:r>
          </w:p>
        </w:tc>
        <w:tc>
          <w:tcPr>
            <w:tcW w:w="801" w:type="pct"/>
          </w:tcPr>
          <w:p w14:paraId="4638952B" w14:textId="77777777" w:rsidR="000D07EA" w:rsidRDefault="00BE7C89">
            <w:pPr>
              <w:pStyle w:val="BodyText"/>
              <w:spacing w:before="100" w:after="100"/>
              <w:jc w:val="center"/>
              <w:rPr>
                <w:b/>
              </w:rPr>
            </w:pPr>
            <w:r>
              <w:rPr>
                <w:b/>
              </w:rPr>
              <w:t>$89 Business Timeless Advantage</w:t>
            </w:r>
          </w:p>
        </w:tc>
        <w:tc>
          <w:tcPr>
            <w:tcW w:w="801" w:type="pct"/>
          </w:tcPr>
          <w:p w14:paraId="03BF7AC7" w14:textId="77777777" w:rsidR="000D07EA" w:rsidRDefault="00BE7C89">
            <w:pPr>
              <w:pStyle w:val="BodyText"/>
              <w:spacing w:before="100" w:after="100"/>
              <w:jc w:val="center"/>
              <w:rPr>
                <w:b/>
              </w:rPr>
            </w:pPr>
            <w:r>
              <w:rPr>
                <w:b/>
              </w:rPr>
              <w:t>$99 Business Timeless Advantage/ (Premium H/set)</w:t>
            </w:r>
          </w:p>
        </w:tc>
        <w:tc>
          <w:tcPr>
            <w:tcW w:w="801" w:type="pct"/>
          </w:tcPr>
          <w:p w14:paraId="63D5C3D6" w14:textId="77777777" w:rsidR="000D07EA" w:rsidRDefault="00BE7C89">
            <w:pPr>
              <w:pStyle w:val="BodyText"/>
              <w:spacing w:before="100" w:after="100"/>
              <w:jc w:val="center"/>
              <w:rPr>
                <w:b/>
              </w:rPr>
            </w:pPr>
            <w:r>
              <w:rPr>
                <w:b/>
              </w:rPr>
              <w:t>$129 Business Timeless Advantage/ (Premium H/set)</w:t>
            </w:r>
          </w:p>
        </w:tc>
      </w:tr>
      <w:tr w:rsidR="000D07EA" w14:paraId="476DDD46" w14:textId="77777777">
        <w:trPr>
          <w:trHeight w:val="20"/>
        </w:trPr>
        <w:tc>
          <w:tcPr>
            <w:tcW w:w="1796" w:type="pct"/>
          </w:tcPr>
          <w:p w14:paraId="58D860A2" w14:textId="77777777" w:rsidR="000D07EA" w:rsidRDefault="00BE7C89">
            <w:pPr>
              <w:pStyle w:val="BodyText"/>
              <w:spacing w:before="100" w:after="100"/>
            </w:pPr>
            <w:r>
              <w:t>Standard National Voice Calls</w:t>
            </w:r>
          </w:p>
        </w:tc>
        <w:tc>
          <w:tcPr>
            <w:tcW w:w="1602" w:type="pct"/>
            <w:gridSpan w:val="2"/>
            <w:vAlign w:val="center"/>
          </w:tcPr>
          <w:p w14:paraId="00000484" w14:textId="77777777" w:rsidR="000D07EA" w:rsidRDefault="00BE7C89">
            <w:pPr>
              <w:pStyle w:val="BodyText"/>
              <w:spacing w:before="100" w:after="100"/>
              <w:jc w:val="center"/>
            </w:pPr>
            <w:r>
              <w:t>Yes</w:t>
            </w:r>
          </w:p>
        </w:tc>
        <w:tc>
          <w:tcPr>
            <w:tcW w:w="1602" w:type="pct"/>
            <w:gridSpan w:val="2"/>
            <w:vAlign w:val="center"/>
          </w:tcPr>
          <w:p w14:paraId="1BB9F161" w14:textId="77777777" w:rsidR="000D07EA" w:rsidRDefault="00BE7C89">
            <w:pPr>
              <w:pStyle w:val="BodyText"/>
              <w:spacing w:before="100" w:after="100"/>
              <w:jc w:val="center"/>
            </w:pPr>
            <w:r>
              <w:t>Yes</w:t>
            </w:r>
          </w:p>
        </w:tc>
      </w:tr>
      <w:tr w:rsidR="000D07EA" w14:paraId="7853D6CA" w14:textId="77777777">
        <w:trPr>
          <w:trHeight w:val="20"/>
        </w:trPr>
        <w:tc>
          <w:tcPr>
            <w:tcW w:w="1796" w:type="pct"/>
          </w:tcPr>
          <w:p w14:paraId="5CCE8F2F" w14:textId="77777777" w:rsidR="000D07EA" w:rsidRDefault="00BE7C89">
            <w:pPr>
              <w:pStyle w:val="BodyText"/>
              <w:spacing w:before="100" w:after="100"/>
            </w:pPr>
            <w:r>
              <w:t>Standard National Video Calls</w:t>
            </w:r>
          </w:p>
        </w:tc>
        <w:tc>
          <w:tcPr>
            <w:tcW w:w="1602" w:type="pct"/>
            <w:gridSpan w:val="2"/>
            <w:vAlign w:val="center"/>
          </w:tcPr>
          <w:p w14:paraId="7B57E639" w14:textId="77777777" w:rsidR="000D07EA" w:rsidRDefault="00BE7C89">
            <w:pPr>
              <w:pStyle w:val="BodyText"/>
              <w:spacing w:before="100" w:after="100"/>
              <w:jc w:val="center"/>
            </w:pPr>
            <w:r>
              <w:t>Yes</w:t>
            </w:r>
          </w:p>
        </w:tc>
        <w:tc>
          <w:tcPr>
            <w:tcW w:w="1602" w:type="pct"/>
            <w:gridSpan w:val="2"/>
            <w:vAlign w:val="center"/>
          </w:tcPr>
          <w:p w14:paraId="762804FA" w14:textId="77777777" w:rsidR="000D07EA" w:rsidRDefault="00BE7C89">
            <w:pPr>
              <w:pStyle w:val="BodyText"/>
              <w:spacing w:before="100" w:after="100"/>
              <w:jc w:val="center"/>
            </w:pPr>
            <w:r>
              <w:t>Yes</w:t>
            </w:r>
          </w:p>
        </w:tc>
      </w:tr>
      <w:tr w:rsidR="000D07EA" w14:paraId="55CB8864" w14:textId="77777777">
        <w:trPr>
          <w:trHeight w:val="20"/>
        </w:trPr>
        <w:tc>
          <w:tcPr>
            <w:tcW w:w="1796" w:type="pct"/>
          </w:tcPr>
          <w:p w14:paraId="4363F9D8" w14:textId="77777777" w:rsidR="000D07EA" w:rsidRDefault="00BE7C89">
            <w:pPr>
              <w:pStyle w:val="BodyText"/>
              <w:spacing w:before="100" w:after="100"/>
            </w:pPr>
            <w:r>
              <w:t>International Voice Calls</w:t>
            </w:r>
          </w:p>
          <w:p w14:paraId="6D74B40D" w14:textId="77777777" w:rsidR="000D07EA" w:rsidRDefault="00BE7C89">
            <w:pPr>
              <w:pStyle w:val="BodyText"/>
              <w:spacing w:before="100" w:after="100"/>
            </w:pPr>
            <w:r>
              <w:rPr>
                <w:snapToGrid w:val="0"/>
              </w:rPr>
              <w:t>(includes calls to national fixed or GSM mobile services that then divert/switch or re-route overseas)</w:t>
            </w:r>
          </w:p>
        </w:tc>
        <w:tc>
          <w:tcPr>
            <w:tcW w:w="1602" w:type="pct"/>
            <w:gridSpan w:val="2"/>
            <w:vAlign w:val="center"/>
          </w:tcPr>
          <w:p w14:paraId="312C35BC" w14:textId="77777777" w:rsidR="000D07EA" w:rsidRDefault="00BE7C89">
            <w:pPr>
              <w:pStyle w:val="BodyText"/>
              <w:spacing w:before="100" w:after="100"/>
              <w:jc w:val="center"/>
            </w:pPr>
            <w:r>
              <w:t>No</w:t>
            </w:r>
          </w:p>
        </w:tc>
        <w:tc>
          <w:tcPr>
            <w:tcW w:w="1602" w:type="pct"/>
            <w:gridSpan w:val="2"/>
            <w:vAlign w:val="center"/>
          </w:tcPr>
          <w:p w14:paraId="08162D11" w14:textId="77777777" w:rsidR="000D07EA" w:rsidRDefault="00BE7C89">
            <w:pPr>
              <w:pStyle w:val="BodyText"/>
              <w:spacing w:before="100" w:after="100"/>
              <w:jc w:val="center"/>
            </w:pPr>
            <w:r>
              <w:t>No</w:t>
            </w:r>
          </w:p>
        </w:tc>
      </w:tr>
      <w:tr w:rsidR="000D07EA" w14:paraId="18C63511" w14:textId="77777777">
        <w:trPr>
          <w:trHeight w:val="20"/>
        </w:trPr>
        <w:tc>
          <w:tcPr>
            <w:tcW w:w="1796" w:type="pct"/>
          </w:tcPr>
          <w:p w14:paraId="7C3C4C66" w14:textId="77777777" w:rsidR="000D07EA" w:rsidRDefault="00BE7C89">
            <w:pPr>
              <w:pStyle w:val="BodyText"/>
              <w:spacing w:before="100" w:after="100"/>
            </w:pPr>
            <w:r>
              <w:t>International Video Calls</w:t>
            </w:r>
          </w:p>
          <w:p w14:paraId="304BF0B9" w14:textId="77777777" w:rsidR="000D07EA" w:rsidRDefault="00BE7C89">
            <w:pPr>
              <w:pStyle w:val="BodyText"/>
              <w:spacing w:before="100" w:after="100"/>
            </w:pPr>
            <w:r>
              <w:rPr>
                <w:snapToGrid w:val="0"/>
              </w:rPr>
              <w:t>(includes calls to national fixed or GSM mobile services that then divert/switch or re-route overseas)</w:t>
            </w:r>
          </w:p>
        </w:tc>
        <w:tc>
          <w:tcPr>
            <w:tcW w:w="1602" w:type="pct"/>
            <w:gridSpan w:val="2"/>
            <w:vAlign w:val="center"/>
          </w:tcPr>
          <w:p w14:paraId="6C5EB2DC" w14:textId="77777777" w:rsidR="000D07EA" w:rsidRDefault="00BE7C89">
            <w:pPr>
              <w:pStyle w:val="BodyText"/>
              <w:spacing w:before="100" w:after="100"/>
              <w:jc w:val="center"/>
            </w:pPr>
            <w:r>
              <w:t>No</w:t>
            </w:r>
          </w:p>
        </w:tc>
        <w:tc>
          <w:tcPr>
            <w:tcW w:w="1602" w:type="pct"/>
            <w:gridSpan w:val="2"/>
            <w:vAlign w:val="center"/>
          </w:tcPr>
          <w:p w14:paraId="080090F8" w14:textId="77777777" w:rsidR="000D07EA" w:rsidRDefault="00BE7C89">
            <w:pPr>
              <w:pStyle w:val="BodyText"/>
              <w:spacing w:before="100" w:after="100"/>
              <w:jc w:val="center"/>
            </w:pPr>
            <w:r>
              <w:t>No</w:t>
            </w:r>
          </w:p>
        </w:tc>
      </w:tr>
      <w:tr w:rsidR="000D07EA" w14:paraId="588961CB" w14:textId="77777777">
        <w:trPr>
          <w:trHeight w:val="20"/>
        </w:trPr>
        <w:tc>
          <w:tcPr>
            <w:tcW w:w="1796" w:type="pct"/>
          </w:tcPr>
          <w:p w14:paraId="06EE7EC8" w14:textId="77777777" w:rsidR="000D07EA" w:rsidRDefault="00BE7C89">
            <w:pPr>
              <w:pStyle w:val="BodyText"/>
              <w:spacing w:before="100" w:after="100"/>
            </w:pPr>
            <w:r>
              <w:t>Standard National SMS</w:t>
            </w:r>
          </w:p>
        </w:tc>
        <w:tc>
          <w:tcPr>
            <w:tcW w:w="1602" w:type="pct"/>
            <w:gridSpan w:val="2"/>
            <w:vAlign w:val="center"/>
          </w:tcPr>
          <w:p w14:paraId="06827B94" w14:textId="77777777" w:rsidR="000D07EA" w:rsidRDefault="00BE7C89">
            <w:pPr>
              <w:pStyle w:val="BodyText"/>
              <w:spacing w:before="100" w:after="100"/>
              <w:jc w:val="center"/>
            </w:pPr>
            <w:r>
              <w:t>Yes</w:t>
            </w:r>
          </w:p>
        </w:tc>
        <w:tc>
          <w:tcPr>
            <w:tcW w:w="1602" w:type="pct"/>
            <w:gridSpan w:val="2"/>
            <w:vAlign w:val="center"/>
          </w:tcPr>
          <w:p w14:paraId="56CB83BA" w14:textId="77777777" w:rsidR="000D07EA" w:rsidRDefault="00BE7C89">
            <w:pPr>
              <w:pStyle w:val="BodyText"/>
              <w:spacing w:before="100" w:after="100"/>
              <w:jc w:val="center"/>
            </w:pPr>
            <w:r>
              <w:t>Yes</w:t>
            </w:r>
          </w:p>
        </w:tc>
      </w:tr>
      <w:tr w:rsidR="000D07EA" w14:paraId="432C6107" w14:textId="77777777">
        <w:trPr>
          <w:trHeight w:val="20"/>
        </w:trPr>
        <w:tc>
          <w:tcPr>
            <w:tcW w:w="1796" w:type="pct"/>
          </w:tcPr>
          <w:p w14:paraId="29797FD1" w14:textId="77777777" w:rsidR="000D07EA" w:rsidRDefault="00BE7C89">
            <w:pPr>
              <w:pStyle w:val="BodyText"/>
              <w:spacing w:before="100" w:after="100"/>
            </w:pPr>
            <w:r>
              <w:t>International SMS</w:t>
            </w:r>
          </w:p>
        </w:tc>
        <w:tc>
          <w:tcPr>
            <w:tcW w:w="1602" w:type="pct"/>
            <w:gridSpan w:val="2"/>
            <w:vAlign w:val="center"/>
          </w:tcPr>
          <w:p w14:paraId="35292AF3" w14:textId="77777777" w:rsidR="000D07EA" w:rsidRDefault="00BE7C89">
            <w:pPr>
              <w:pStyle w:val="BodyText"/>
              <w:spacing w:before="100" w:after="100"/>
              <w:jc w:val="center"/>
            </w:pPr>
            <w:r>
              <w:t>No</w:t>
            </w:r>
          </w:p>
        </w:tc>
        <w:tc>
          <w:tcPr>
            <w:tcW w:w="1602" w:type="pct"/>
            <w:gridSpan w:val="2"/>
            <w:vAlign w:val="center"/>
          </w:tcPr>
          <w:p w14:paraId="076184B2" w14:textId="77777777" w:rsidR="000D07EA" w:rsidRDefault="00BE7C89">
            <w:pPr>
              <w:pStyle w:val="BodyText"/>
              <w:spacing w:before="100" w:after="100"/>
              <w:jc w:val="center"/>
            </w:pPr>
            <w:r>
              <w:t>No</w:t>
            </w:r>
          </w:p>
        </w:tc>
      </w:tr>
      <w:tr w:rsidR="000D07EA" w14:paraId="37F02F8E" w14:textId="77777777">
        <w:trPr>
          <w:trHeight w:val="20"/>
        </w:trPr>
        <w:tc>
          <w:tcPr>
            <w:tcW w:w="1796" w:type="pct"/>
          </w:tcPr>
          <w:p w14:paraId="18932482" w14:textId="77777777" w:rsidR="000D07EA" w:rsidRDefault="00BE7C89">
            <w:pPr>
              <w:pStyle w:val="BodyText"/>
              <w:spacing w:before="100" w:after="100"/>
            </w:pPr>
            <w:r>
              <w:t>Standard National MMS</w:t>
            </w:r>
          </w:p>
        </w:tc>
        <w:tc>
          <w:tcPr>
            <w:tcW w:w="1602" w:type="pct"/>
            <w:gridSpan w:val="2"/>
            <w:vAlign w:val="center"/>
          </w:tcPr>
          <w:p w14:paraId="5FEC5655" w14:textId="77777777" w:rsidR="000D07EA" w:rsidRDefault="00BE7C89">
            <w:pPr>
              <w:pStyle w:val="BodyText"/>
              <w:spacing w:before="100" w:after="100"/>
              <w:jc w:val="center"/>
            </w:pPr>
            <w:r>
              <w:t>Yes</w:t>
            </w:r>
          </w:p>
        </w:tc>
        <w:tc>
          <w:tcPr>
            <w:tcW w:w="1602" w:type="pct"/>
            <w:gridSpan w:val="2"/>
            <w:vAlign w:val="center"/>
          </w:tcPr>
          <w:p w14:paraId="08B8E32F" w14:textId="77777777" w:rsidR="000D07EA" w:rsidRDefault="00BE7C89">
            <w:pPr>
              <w:pStyle w:val="BodyText"/>
              <w:spacing w:before="100" w:after="100"/>
              <w:jc w:val="center"/>
            </w:pPr>
            <w:r>
              <w:t>Yes</w:t>
            </w:r>
          </w:p>
        </w:tc>
      </w:tr>
      <w:tr w:rsidR="000D07EA" w14:paraId="0ED8744B" w14:textId="77777777">
        <w:trPr>
          <w:trHeight w:val="20"/>
        </w:trPr>
        <w:tc>
          <w:tcPr>
            <w:tcW w:w="1796" w:type="pct"/>
          </w:tcPr>
          <w:p w14:paraId="145D3E3E" w14:textId="77777777" w:rsidR="000D07EA" w:rsidRDefault="00BE7C89">
            <w:pPr>
              <w:pStyle w:val="BodyText"/>
              <w:spacing w:before="100" w:after="100"/>
            </w:pPr>
            <w:r>
              <w:t>International MMS</w:t>
            </w:r>
          </w:p>
        </w:tc>
        <w:tc>
          <w:tcPr>
            <w:tcW w:w="1602" w:type="pct"/>
            <w:gridSpan w:val="2"/>
            <w:vAlign w:val="center"/>
          </w:tcPr>
          <w:p w14:paraId="58299A54" w14:textId="77777777" w:rsidR="000D07EA" w:rsidRDefault="00BE7C89">
            <w:pPr>
              <w:pStyle w:val="BodyText"/>
              <w:spacing w:before="100" w:after="100"/>
              <w:jc w:val="center"/>
            </w:pPr>
            <w:r>
              <w:t>No</w:t>
            </w:r>
          </w:p>
        </w:tc>
        <w:tc>
          <w:tcPr>
            <w:tcW w:w="1602" w:type="pct"/>
            <w:gridSpan w:val="2"/>
            <w:vAlign w:val="center"/>
          </w:tcPr>
          <w:p w14:paraId="4F125F22" w14:textId="77777777" w:rsidR="000D07EA" w:rsidRDefault="00BE7C89">
            <w:pPr>
              <w:pStyle w:val="BodyText"/>
              <w:spacing w:before="100" w:after="100"/>
              <w:jc w:val="center"/>
            </w:pPr>
            <w:r>
              <w:t>No</w:t>
            </w:r>
          </w:p>
        </w:tc>
      </w:tr>
      <w:tr w:rsidR="000D07EA" w14:paraId="5D489A46" w14:textId="77777777">
        <w:trPr>
          <w:trHeight w:val="20"/>
        </w:trPr>
        <w:tc>
          <w:tcPr>
            <w:tcW w:w="1796" w:type="pct"/>
          </w:tcPr>
          <w:p w14:paraId="20F22C07" w14:textId="77777777" w:rsidR="000D07EA" w:rsidRDefault="00BE7C89">
            <w:pPr>
              <w:pStyle w:val="BodyText"/>
              <w:spacing w:before="100" w:after="100"/>
            </w:pPr>
            <w:r>
              <w:t>National Diversions</w:t>
            </w:r>
          </w:p>
        </w:tc>
        <w:tc>
          <w:tcPr>
            <w:tcW w:w="1602" w:type="pct"/>
            <w:gridSpan w:val="2"/>
            <w:vAlign w:val="center"/>
          </w:tcPr>
          <w:p w14:paraId="058FC6AA" w14:textId="77777777" w:rsidR="000D07EA" w:rsidRDefault="00BE7C89">
            <w:pPr>
              <w:pStyle w:val="BodyText"/>
              <w:spacing w:before="100" w:after="100"/>
              <w:jc w:val="center"/>
            </w:pPr>
            <w:r>
              <w:t>Yes</w:t>
            </w:r>
          </w:p>
        </w:tc>
        <w:tc>
          <w:tcPr>
            <w:tcW w:w="1602" w:type="pct"/>
            <w:gridSpan w:val="2"/>
            <w:vAlign w:val="center"/>
          </w:tcPr>
          <w:p w14:paraId="77C50B1F" w14:textId="77777777" w:rsidR="000D07EA" w:rsidRDefault="00BE7C89">
            <w:pPr>
              <w:pStyle w:val="BodyText"/>
              <w:spacing w:before="100" w:after="100"/>
              <w:jc w:val="center"/>
            </w:pPr>
            <w:r>
              <w:t>Yes</w:t>
            </w:r>
          </w:p>
        </w:tc>
      </w:tr>
      <w:tr w:rsidR="000D07EA" w14:paraId="73085ADE" w14:textId="77777777">
        <w:trPr>
          <w:trHeight w:val="20"/>
        </w:trPr>
        <w:tc>
          <w:tcPr>
            <w:tcW w:w="1796" w:type="pct"/>
          </w:tcPr>
          <w:p w14:paraId="45534C91" w14:textId="77777777" w:rsidR="000D07EA" w:rsidRDefault="00BE7C89">
            <w:pPr>
              <w:pStyle w:val="BodyText"/>
              <w:spacing w:before="100" w:after="100"/>
            </w:pPr>
            <w:r>
              <w:t>Voicemail Diversions</w:t>
            </w:r>
          </w:p>
        </w:tc>
        <w:tc>
          <w:tcPr>
            <w:tcW w:w="1602" w:type="pct"/>
            <w:gridSpan w:val="2"/>
            <w:vAlign w:val="center"/>
          </w:tcPr>
          <w:p w14:paraId="27AD280D" w14:textId="77777777" w:rsidR="000D07EA" w:rsidRDefault="00BE7C89">
            <w:pPr>
              <w:pStyle w:val="BodyText"/>
              <w:spacing w:before="100" w:after="100"/>
              <w:jc w:val="center"/>
            </w:pPr>
            <w:r>
              <w:t>Yes</w:t>
            </w:r>
          </w:p>
        </w:tc>
        <w:tc>
          <w:tcPr>
            <w:tcW w:w="1602" w:type="pct"/>
            <w:gridSpan w:val="2"/>
            <w:vAlign w:val="center"/>
          </w:tcPr>
          <w:p w14:paraId="38E6383D" w14:textId="77777777" w:rsidR="000D07EA" w:rsidRDefault="00BE7C89">
            <w:pPr>
              <w:pStyle w:val="BodyText"/>
              <w:spacing w:before="100" w:after="100"/>
              <w:jc w:val="center"/>
            </w:pPr>
            <w:r>
              <w:t>Yes</w:t>
            </w:r>
          </w:p>
        </w:tc>
      </w:tr>
      <w:tr w:rsidR="000D07EA" w14:paraId="41D99DB9" w14:textId="77777777">
        <w:trPr>
          <w:trHeight w:val="20"/>
        </w:trPr>
        <w:tc>
          <w:tcPr>
            <w:tcW w:w="1796" w:type="pct"/>
          </w:tcPr>
          <w:p w14:paraId="2292E745" w14:textId="77777777" w:rsidR="000D07EA" w:rsidRDefault="00BE7C89">
            <w:pPr>
              <w:pStyle w:val="BodyText"/>
              <w:spacing w:before="100" w:after="100"/>
            </w:pPr>
            <w:r>
              <w:t>Voicemail Deposit and Retrievals</w:t>
            </w:r>
          </w:p>
        </w:tc>
        <w:tc>
          <w:tcPr>
            <w:tcW w:w="1602" w:type="pct"/>
            <w:gridSpan w:val="2"/>
            <w:vAlign w:val="center"/>
          </w:tcPr>
          <w:p w14:paraId="78BEF5D7" w14:textId="77777777" w:rsidR="000D07EA" w:rsidRDefault="00BE7C89">
            <w:pPr>
              <w:pStyle w:val="BodyText"/>
              <w:spacing w:before="100" w:after="100"/>
              <w:jc w:val="center"/>
            </w:pPr>
            <w:r>
              <w:t>Yes</w:t>
            </w:r>
          </w:p>
        </w:tc>
        <w:tc>
          <w:tcPr>
            <w:tcW w:w="1602" w:type="pct"/>
            <w:gridSpan w:val="2"/>
            <w:vAlign w:val="center"/>
          </w:tcPr>
          <w:p w14:paraId="50EA26A6" w14:textId="77777777" w:rsidR="000D07EA" w:rsidRDefault="00BE7C89">
            <w:pPr>
              <w:pStyle w:val="BodyText"/>
              <w:spacing w:before="100" w:after="100"/>
              <w:jc w:val="center"/>
            </w:pPr>
            <w:r>
              <w:t>Yes</w:t>
            </w:r>
          </w:p>
        </w:tc>
      </w:tr>
      <w:tr w:rsidR="000D07EA" w14:paraId="6CC5A22C" w14:textId="77777777">
        <w:trPr>
          <w:trHeight w:val="20"/>
        </w:trPr>
        <w:tc>
          <w:tcPr>
            <w:tcW w:w="1796" w:type="pct"/>
          </w:tcPr>
          <w:p w14:paraId="54849FDE" w14:textId="77777777" w:rsidR="000D07EA" w:rsidRDefault="00BE7C89">
            <w:pPr>
              <w:pStyle w:val="BodyText"/>
              <w:spacing w:before="100" w:after="100"/>
            </w:pPr>
            <w:r>
              <w:t>International Roaming and Diversion</w:t>
            </w:r>
          </w:p>
        </w:tc>
        <w:tc>
          <w:tcPr>
            <w:tcW w:w="1602" w:type="pct"/>
            <w:gridSpan w:val="2"/>
            <w:vAlign w:val="center"/>
          </w:tcPr>
          <w:p w14:paraId="7EF5E36F" w14:textId="77777777" w:rsidR="000D07EA" w:rsidRDefault="00BE7C89">
            <w:pPr>
              <w:pStyle w:val="BodyText"/>
              <w:spacing w:before="100" w:after="100"/>
              <w:jc w:val="center"/>
            </w:pPr>
            <w:r>
              <w:t>No</w:t>
            </w:r>
          </w:p>
        </w:tc>
        <w:tc>
          <w:tcPr>
            <w:tcW w:w="1602" w:type="pct"/>
            <w:gridSpan w:val="2"/>
            <w:vAlign w:val="center"/>
          </w:tcPr>
          <w:p w14:paraId="3A2306B8" w14:textId="77777777" w:rsidR="000D07EA" w:rsidRDefault="00BE7C89">
            <w:pPr>
              <w:pStyle w:val="BodyText"/>
              <w:spacing w:before="100" w:after="100"/>
              <w:jc w:val="center"/>
            </w:pPr>
            <w:r>
              <w:t>No</w:t>
            </w:r>
          </w:p>
        </w:tc>
      </w:tr>
      <w:tr w:rsidR="000D07EA" w14:paraId="77A7D51E" w14:textId="77777777">
        <w:trPr>
          <w:trHeight w:val="20"/>
        </w:trPr>
        <w:tc>
          <w:tcPr>
            <w:tcW w:w="1796" w:type="pct"/>
          </w:tcPr>
          <w:p w14:paraId="74EB7050" w14:textId="77777777" w:rsidR="000D07EA" w:rsidRDefault="00BE7C89">
            <w:pPr>
              <w:pStyle w:val="BodyText"/>
              <w:spacing w:before="100" w:after="100"/>
            </w:pPr>
            <w:r>
              <w:t>Premium SMS</w:t>
            </w:r>
          </w:p>
        </w:tc>
        <w:tc>
          <w:tcPr>
            <w:tcW w:w="1602" w:type="pct"/>
            <w:gridSpan w:val="2"/>
            <w:vAlign w:val="center"/>
          </w:tcPr>
          <w:p w14:paraId="0740907F" w14:textId="77777777" w:rsidR="000D07EA" w:rsidRDefault="00BE7C89">
            <w:pPr>
              <w:pStyle w:val="BodyText"/>
              <w:spacing w:before="100" w:after="100"/>
              <w:jc w:val="center"/>
            </w:pPr>
            <w:r>
              <w:t>No</w:t>
            </w:r>
          </w:p>
        </w:tc>
        <w:tc>
          <w:tcPr>
            <w:tcW w:w="1602" w:type="pct"/>
            <w:gridSpan w:val="2"/>
            <w:vAlign w:val="center"/>
          </w:tcPr>
          <w:p w14:paraId="52F40D1C" w14:textId="77777777" w:rsidR="000D07EA" w:rsidRDefault="00BE7C89">
            <w:pPr>
              <w:pStyle w:val="BodyText"/>
              <w:spacing w:before="100" w:after="100"/>
              <w:jc w:val="center"/>
            </w:pPr>
            <w:r>
              <w:t>No</w:t>
            </w:r>
          </w:p>
        </w:tc>
      </w:tr>
      <w:tr w:rsidR="000D07EA" w14:paraId="39CE853E" w14:textId="77777777">
        <w:trPr>
          <w:trHeight w:val="20"/>
        </w:trPr>
        <w:tc>
          <w:tcPr>
            <w:tcW w:w="1796" w:type="pct"/>
          </w:tcPr>
          <w:p w14:paraId="7CA7D9F4" w14:textId="77777777" w:rsidR="000D07EA" w:rsidRDefault="00BE7C89">
            <w:pPr>
              <w:pStyle w:val="BodyText"/>
              <w:spacing w:before="100" w:after="100"/>
            </w:pPr>
            <w:r>
              <w:t>Premium Video</w:t>
            </w:r>
          </w:p>
        </w:tc>
        <w:tc>
          <w:tcPr>
            <w:tcW w:w="1602" w:type="pct"/>
            <w:gridSpan w:val="2"/>
            <w:vAlign w:val="center"/>
          </w:tcPr>
          <w:p w14:paraId="4E6161CC" w14:textId="77777777" w:rsidR="000D07EA" w:rsidRDefault="00BE7C89">
            <w:pPr>
              <w:pStyle w:val="BodyText"/>
              <w:spacing w:before="100" w:after="100"/>
              <w:jc w:val="center"/>
            </w:pPr>
            <w:r>
              <w:t>No</w:t>
            </w:r>
          </w:p>
        </w:tc>
        <w:tc>
          <w:tcPr>
            <w:tcW w:w="1602" w:type="pct"/>
            <w:gridSpan w:val="2"/>
            <w:vAlign w:val="center"/>
          </w:tcPr>
          <w:p w14:paraId="08F1A834" w14:textId="77777777" w:rsidR="000D07EA" w:rsidRDefault="00BE7C89">
            <w:pPr>
              <w:pStyle w:val="BodyText"/>
              <w:spacing w:before="100" w:after="100"/>
              <w:jc w:val="center"/>
            </w:pPr>
            <w:r>
              <w:t>No</w:t>
            </w:r>
          </w:p>
        </w:tc>
      </w:tr>
      <w:tr w:rsidR="000D07EA" w14:paraId="515334E8" w14:textId="77777777">
        <w:trPr>
          <w:trHeight w:val="20"/>
        </w:trPr>
        <w:tc>
          <w:tcPr>
            <w:tcW w:w="1796" w:type="pct"/>
          </w:tcPr>
          <w:p w14:paraId="42DA77C3" w14:textId="77777777" w:rsidR="000D07EA" w:rsidRDefault="00BE7C89">
            <w:pPr>
              <w:pStyle w:val="BodyText"/>
              <w:spacing w:before="100" w:after="100"/>
            </w:pPr>
            <w:r>
              <w:t>Video Conferencing</w:t>
            </w:r>
          </w:p>
        </w:tc>
        <w:tc>
          <w:tcPr>
            <w:tcW w:w="1602" w:type="pct"/>
            <w:gridSpan w:val="2"/>
            <w:vAlign w:val="center"/>
          </w:tcPr>
          <w:p w14:paraId="52313E51" w14:textId="77777777" w:rsidR="000D07EA" w:rsidRDefault="00BE7C89">
            <w:pPr>
              <w:pStyle w:val="BodyText"/>
              <w:spacing w:before="100" w:after="100"/>
              <w:jc w:val="center"/>
            </w:pPr>
            <w:r>
              <w:t>No</w:t>
            </w:r>
          </w:p>
        </w:tc>
        <w:tc>
          <w:tcPr>
            <w:tcW w:w="1602" w:type="pct"/>
            <w:gridSpan w:val="2"/>
            <w:vAlign w:val="center"/>
          </w:tcPr>
          <w:p w14:paraId="46309865" w14:textId="77777777" w:rsidR="000D07EA" w:rsidRDefault="00BE7C89">
            <w:pPr>
              <w:pStyle w:val="BodyText"/>
              <w:spacing w:before="100" w:after="100"/>
              <w:jc w:val="center"/>
            </w:pPr>
            <w:r>
              <w:t>No</w:t>
            </w:r>
          </w:p>
        </w:tc>
      </w:tr>
      <w:tr w:rsidR="000D07EA" w14:paraId="35892CF6" w14:textId="77777777">
        <w:trPr>
          <w:trHeight w:val="20"/>
        </w:trPr>
        <w:tc>
          <w:tcPr>
            <w:tcW w:w="1796" w:type="pct"/>
          </w:tcPr>
          <w:p w14:paraId="00217670" w14:textId="77777777" w:rsidR="000D07EA" w:rsidRDefault="00BE7C89">
            <w:pPr>
              <w:pStyle w:val="BodyText"/>
              <w:spacing w:before="100" w:after="100"/>
            </w:pPr>
            <w:r>
              <w:t>Optus Zoo or Optus iZoo Browsing</w:t>
            </w:r>
          </w:p>
        </w:tc>
        <w:tc>
          <w:tcPr>
            <w:tcW w:w="1602" w:type="pct"/>
            <w:gridSpan w:val="2"/>
            <w:vAlign w:val="center"/>
          </w:tcPr>
          <w:p w14:paraId="1EC9451C" w14:textId="77777777" w:rsidR="000D07EA" w:rsidRDefault="00BE7C89">
            <w:pPr>
              <w:pStyle w:val="BodyText"/>
              <w:spacing w:before="100" w:after="100"/>
              <w:jc w:val="center"/>
            </w:pPr>
            <w:r>
              <w:t>No</w:t>
            </w:r>
          </w:p>
        </w:tc>
        <w:tc>
          <w:tcPr>
            <w:tcW w:w="1602" w:type="pct"/>
            <w:gridSpan w:val="2"/>
            <w:vAlign w:val="center"/>
          </w:tcPr>
          <w:p w14:paraId="2A6D1346" w14:textId="77777777" w:rsidR="000D07EA" w:rsidRDefault="00BE7C89">
            <w:pPr>
              <w:pStyle w:val="BodyText"/>
              <w:spacing w:before="100" w:after="100"/>
              <w:jc w:val="center"/>
            </w:pPr>
            <w:r>
              <w:t>No</w:t>
            </w:r>
          </w:p>
        </w:tc>
      </w:tr>
      <w:tr w:rsidR="000D07EA" w14:paraId="756B91DD" w14:textId="77777777">
        <w:trPr>
          <w:trHeight w:val="20"/>
        </w:trPr>
        <w:tc>
          <w:tcPr>
            <w:tcW w:w="1796" w:type="pct"/>
          </w:tcPr>
          <w:p w14:paraId="6A8EAC9C" w14:textId="77777777" w:rsidR="000D07EA" w:rsidRDefault="00BE7C89">
            <w:pPr>
              <w:pStyle w:val="BodyText"/>
              <w:spacing w:before="100" w:after="100"/>
            </w:pPr>
            <w:r>
              <w:t>Optus Zoo or Optus iZoo Downloads</w:t>
            </w:r>
          </w:p>
        </w:tc>
        <w:tc>
          <w:tcPr>
            <w:tcW w:w="1602" w:type="pct"/>
            <w:gridSpan w:val="2"/>
            <w:vAlign w:val="center"/>
          </w:tcPr>
          <w:p w14:paraId="7E80D54E" w14:textId="77777777" w:rsidR="000D07EA" w:rsidRDefault="00BE7C89">
            <w:pPr>
              <w:pStyle w:val="BodyText"/>
              <w:spacing w:before="100" w:after="100"/>
              <w:jc w:val="center"/>
            </w:pPr>
            <w:r>
              <w:t>No</w:t>
            </w:r>
          </w:p>
        </w:tc>
        <w:tc>
          <w:tcPr>
            <w:tcW w:w="1602" w:type="pct"/>
            <w:gridSpan w:val="2"/>
            <w:vAlign w:val="center"/>
          </w:tcPr>
          <w:p w14:paraId="2F83FC1C" w14:textId="77777777" w:rsidR="000D07EA" w:rsidRDefault="00BE7C89">
            <w:pPr>
              <w:pStyle w:val="BodyText"/>
              <w:spacing w:before="100" w:after="100"/>
              <w:jc w:val="center"/>
            </w:pPr>
            <w:r>
              <w:t>No</w:t>
            </w:r>
          </w:p>
        </w:tc>
      </w:tr>
      <w:tr w:rsidR="000D07EA" w14:paraId="71AFA1E3" w14:textId="77777777">
        <w:trPr>
          <w:trHeight w:val="20"/>
        </w:trPr>
        <w:tc>
          <w:tcPr>
            <w:tcW w:w="1796" w:type="pct"/>
          </w:tcPr>
          <w:p w14:paraId="3AC7C75E" w14:textId="77777777" w:rsidR="000D07EA" w:rsidRDefault="00BE7C89">
            <w:pPr>
              <w:pStyle w:val="BodyText"/>
              <w:spacing w:before="100" w:after="100"/>
            </w:pPr>
            <w:r>
              <w:t>SMS to 966 (Zoo)</w:t>
            </w:r>
          </w:p>
        </w:tc>
        <w:tc>
          <w:tcPr>
            <w:tcW w:w="1602" w:type="pct"/>
            <w:gridSpan w:val="2"/>
            <w:vAlign w:val="center"/>
          </w:tcPr>
          <w:p w14:paraId="1D383333" w14:textId="77777777" w:rsidR="000D07EA" w:rsidRDefault="00BE7C89">
            <w:pPr>
              <w:pStyle w:val="BodyText"/>
              <w:spacing w:before="100" w:after="100"/>
              <w:jc w:val="center"/>
            </w:pPr>
            <w:r>
              <w:t>No</w:t>
            </w:r>
          </w:p>
        </w:tc>
        <w:tc>
          <w:tcPr>
            <w:tcW w:w="1602" w:type="pct"/>
            <w:gridSpan w:val="2"/>
            <w:vAlign w:val="center"/>
          </w:tcPr>
          <w:p w14:paraId="1010DB09" w14:textId="77777777" w:rsidR="000D07EA" w:rsidRDefault="00BE7C89">
            <w:pPr>
              <w:pStyle w:val="BodyText"/>
              <w:spacing w:before="100" w:after="100"/>
              <w:jc w:val="center"/>
            </w:pPr>
            <w:r>
              <w:t>No</w:t>
            </w:r>
          </w:p>
        </w:tc>
      </w:tr>
      <w:tr w:rsidR="000D07EA" w14:paraId="77442AD5" w14:textId="77777777">
        <w:trPr>
          <w:trHeight w:val="20"/>
        </w:trPr>
        <w:tc>
          <w:tcPr>
            <w:tcW w:w="1796" w:type="pct"/>
          </w:tcPr>
          <w:p w14:paraId="79E27573" w14:textId="77777777" w:rsidR="000D07EA" w:rsidRDefault="00BE7C89">
            <w:pPr>
              <w:pStyle w:val="BodyText"/>
              <w:spacing w:before="100" w:after="100"/>
            </w:pPr>
            <w:r>
              <w:t>Mobile Internet usage</w:t>
            </w:r>
          </w:p>
        </w:tc>
        <w:tc>
          <w:tcPr>
            <w:tcW w:w="1602" w:type="pct"/>
            <w:gridSpan w:val="2"/>
            <w:vAlign w:val="center"/>
          </w:tcPr>
          <w:p w14:paraId="7FC0C3DF" w14:textId="77777777" w:rsidR="000D07EA" w:rsidRDefault="00BE7C89">
            <w:pPr>
              <w:pStyle w:val="BodyText"/>
              <w:spacing w:before="100" w:after="100"/>
              <w:jc w:val="center"/>
            </w:pPr>
            <w:r>
              <w:t>No</w:t>
            </w:r>
          </w:p>
        </w:tc>
        <w:tc>
          <w:tcPr>
            <w:tcW w:w="1602" w:type="pct"/>
            <w:gridSpan w:val="2"/>
            <w:vAlign w:val="center"/>
          </w:tcPr>
          <w:p w14:paraId="21272F09" w14:textId="77777777" w:rsidR="000D07EA" w:rsidRDefault="00BE7C89">
            <w:pPr>
              <w:pStyle w:val="BodyText"/>
              <w:spacing w:before="100" w:after="100"/>
              <w:jc w:val="center"/>
            </w:pPr>
            <w:r>
              <w:t>No</w:t>
            </w:r>
          </w:p>
        </w:tc>
      </w:tr>
      <w:tr w:rsidR="000D07EA" w14:paraId="58A1692C" w14:textId="77777777">
        <w:trPr>
          <w:trHeight w:val="20"/>
        </w:trPr>
        <w:tc>
          <w:tcPr>
            <w:tcW w:w="1796" w:type="pct"/>
          </w:tcPr>
          <w:p w14:paraId="0D2C20EC" w14:textId="77777777" w:rsidR="000D07EA" w:rsidRDefault="00BE7C89">
            <w:pPr>
              <w:pStyle w:val="BodyText"/>
              <w:spacing w:before="100" w:after="100"/>
            </w:pPr>
            <w:r>
              <w:t>Data Used while Roaming Internationally</w:t>
            </w:r>
          </w:p>
        </w:tc>
        <w:tc>
          <w:tcPr>
            <w:tcW w:w="1602" w:type="pct"/>
            <w:gridSpan w:val="2"/>
            <w:vAlign w:val="center"/>
          </w:tcPr>
          <w:p w14:paraId="70F7B4CE" w14:textId="77777777" w:rsidR="000D07EA" w:rsidRDefault="00BE7C89">
            <w:pPr>
              <w:pStyle w:val="BodyText"/>
              <w:spacing w:before="100" w:after="100"/>
              <w:jc w:val="center"/>
            </w:pPr>
            <w:r>
              <w:t>No</w:t>
            </w:r>
          </w:p>
        </w:tc>
        <w:tc>
          <w:tcPr>
            <w:tcW w:w="1602" w:type="pct"/>
            <w:gridSpan w:val="2"/>
            <w:vAlign w:val="center"/>
          </w:tcPr>
          <w:p w14:paraId="69E03014" w14:textId="77777777" w:rsidR="000D07EA" w:rsidRDefault="00BE7C89">
            <w:pPr>
              <w:pStyle w:val="BodyText"/>
              <w:spacing w:before="100" w:after="100"/>
              <w:jc w:val="center"/>
            </w:pPr>
            <w:r>
              <w:t>No</w:t>
            </w:r>
          </w:p>
        </w:tc>
      </w:tr>
      <w:tr w:rsidR="000D07EA" w14:paraId="2E32ECAC" w14:textId="77777777">
        <w:trPr>
          <w:trHeight w:val="20"/>
        </w:trPr>
        <w:tc>
          <w:tcPr>
            <w:tcW w:w="1796" w:type="pct"/>
          </w:tcPr>
          <w:p w14:paraId="434CAB21" w14:textId="77777777" w:rsidR="000D07EA" w:rsidRDefault="00BE7C89">
            <w:pPr>
              <w:pStyle w:val="BodyText"/>
              <w:spacing w:before="100" w:after="100"/>
            </w:pPr>
            <w:r>
              <w:lastRenderedPageBreak/>
              <w:t>Content Packs (unless specified in promotions)</w:t>
            </w:r>
          </w:p>
        </w:tc>
        <w:tc>
          <w:tcPr>
            <w:tcW w:w="1602" w:type="pct"/>
            <w:gridSpan w:val="2"/>
            <w:vAlign w:val="center"/>
          </w:tcPr>
          <w:p w14:paraId="6F4DEB46" w14:textId="77777777" w:rsidR="000D07EA" w:rsidRDefault="00BE7C89">
            <w:pPr>
              <w:pStyle w:val="BodyText"/>
              <w:spacing w:before="100" w:after="100"/>
              <w:jc w:val="center"/>
            </w:pPr>
            <w:r>
              <w:t>No</w:t>
            </w:r>
          </w:p>
        </w:tc>
        <w:tc>
          <w:tcPr>
            <w:tcW w:w="1602" w:type="pct"/>
            <w:gridSpan w:val="2"/>
            <w:vAlign w:val="center"/>
          </w:tcPr>
          <w:p w14:paraId="1B47D7EA" w14:textId="77777777" w:rsidR="000D07EA" w:rsidRDefault="00BE7C89">
            <w:pPr>
              <w:pStyle w:val="BodyText"/>
              <w:spacing w:before="100" w:after="100"/>
              <w:jc w:val="center"/>
            </w:pPr>
            <w:r>
              <w:t>No</w:t>
            </w:r>
          </w:p>
        </w:tc>
      </w:tr>
      <w:tr w:rsidR="000D07EA" w14:paraId="2BDE97BF" w14:textId="77777777">
        <w:trPr>
          <w:trHeight w:val="20"/>
        </w:trPr>
        <w:tc>
          <w:tcPr>
            <w:tcW w:w="1796" w:type="pct"/>
          </w:tcPr>
          <w:p w14:paraId="72AE52F4" w14:textId="77777777" w:rsidR="000D07EA" w:rsidRDefault="00BE7C89">
            <w:pPr>
              <w:pStyle w:val="BodyText"/>
              <w:spacing w:before="100" w:after="100"/>
            </w:pPr>
            <w:r>
              <w:t>TrueLocal Usage</w:t>
            </w:r>
          </w:p>
        </w:tc>
        <w:tc>
          <w:tcPr>
            <w:tcW w:w="1602" w:type="pct"/>
            <w:gridSpan w:val="2"/>
            <w:vAlign w:val="center"/>
          </w:tcPr>
          <w:p w14:paraId="24B15DFE" w14:textId="77777777" w:rsidR="000D07EA" w:rsidRDefault="00BE7C89">
            <w:pPr>
              <w:pStyle w:val="BodyText"/>
              <w:spacing w:before="100" w:after="100"/>
              <w:jc w:val="center"/>
            </w:pPr>
            <w:r>
              <w:t>No</w:t>
            </w:r>
          </w:p>
        </w:tc>
        <w:tc>
          <w:tcPr>
            <w:tcW w:w="1602" w:type="pct"/>
            <w:gridSpan w:val="2"/>
            <w:vAlign w:val="center"/>
          </w:tcPr>
          <w:p w14:paraId="436F9CC9" w14:textId="77777777" w:rsidR="000D07EA" w:rsidRDefault="00BE7C89">
            <w:pPr>
              <w:pStyle w:val="BodyText"/>
              <w:spacing w:before="100" w:after="100"/>
              <w:jc w:val="center"/>
            </w:pPr>
            <w:r>
              <w:t>No</w:t>
            </w:r>
          </w:p>
        </w:tc>
      </w:tr>
      <w:tr w:rsidR="000D07EA" w14:paraId="26FA30BC" w14:textId="77777777">
        <w:trPr>
          <w:trHeight w:val="20"/>
        </w:trPr>
        <w:tc>
          <w:tcPr>
            <w:tcW w:w="1796" w:type="pct"/>
          </w:tcPr>
          <w:p w14:paraId="1570543B" w14:textId="77777777" w:rsidR="000D07EA" w:rsidRDefault="00BE7C89">
            <w:pPr>
              <w:pStyle w:val="BodyText"/>
              <w:spacing w:before="100" w:after="100"/>
            </w:pPr>
            <w:r>
              <w:t xml:space="preserve">Directory Assistance- 1223 </w:t>
            </w:r>
          </w:p>
        </w:tc>
        <w:tc>
          <w:tcPr>
            <w:tcW w:w="1602" w:type="pct"/>
            <w:gridSpan w:val="2"/>
            <w:vAlign w:val="center"/>
          </w:tcPr>
          <w:p w14:paraId="115C06BF" w14:textId="77777777" w:rsidR="000D07EA" w:rsidRDefault="00BE7C89">
            <w:pPr>
              <w:pStyle w:val="BodyText"/>
              <w:spacing w:before="100" w:after="100"/>
              <w:jc w:val="center"/>
            </w:pPr>
            <w:r>
              <w:t>No</w:t>
            </w:r>
          </w:p>
        </w:tc>
        <w:tc>
          <w:tcPr>
            <w:tcW w:w="1602" w:type="pct"/>
            <w:gridSpan w:val="2"/>
            <w:vAlign w:val="center"/>
          </w:tcPr>
          <w:p w14:paraId="127B806A" w14:textId="77777777" w:rsidR="000D07EA" w:rsidRDefault="00BE7C89">
            <w:pPr>
              <w:pStyle w:val="BodyText"/>
              <w:spacing w:before="100" w:after="100"/>
              <w:jc w:val="center"/>
            </w:pPr>
            <w:r>
              <w:t>No</w:t>
            </w:r>
          </w:p>
        </w:tc>
      </w:tr>
      <w:tr w:rsidR="000D07EA" w14:paraId="2D24FC2A" w14:textId="77777777">
        <w:trPr>
          <w:trHeight w:val="20"/>
        </w:trPr>
        <w:tc>
          <w:tcPr>
            <w:tcW w:w="1796" w:type="pct"/>
          </w:tcPr>
          <w:p w14:paraId="672C680C" w14:textId="77777777" w:rsidR="000D07EA" w:rsidRDefault="00BE7C89">
            <w:pPr>
              <w:pStyle w:val="BodyText"/>
              <w:spacing w:before="100" w:after="100"/>
            </w:pPr>
            <w:r>
              <w:t>19XX Numbers</w:t>
            </w:r>
          </w:p>
        </w:tc>
        <w:tc>
          <w:tcPr>
            <w:tcW w:w="1602" w:type="pct"/>
            <w:gridSpan w:val="2"/>
            <w:vAlign w:val="center"/>
          </w:tcPr>
          <w:p w14:paraId="2DA086B4" w14:textId="77777777" w:rsidR="000D07EA" w:rsidRDefault="00BE7C89">
            <w:pPr>
              <w:pStyle w:val="BodyText"/>
              <w:spacing w:before="100" w:after="100"/>
              <w:jc w:val="center"/>
            </w:pPr>
            <w:r>
              <w:t>No</w:t>
            </w:r>
          </w:p>
        </w:tc>
        <w:tc>
          <w:tcPr>
            <w:tcW w:w="1602" w:type="pct"/>
            <w:gridSpan w:val="2"/>
            <w:vAlign w:val="center"/>
          </w:tcPr>
          <w:p w14:paraId="025C61EA" w14:textId="77777777" w:rsidR="000D07EA" w:rsidRDefault="00BE7C89">
            <w:pPr>
              <w:pStyle w:val="BodyText"/>
              <w:spacing w:before="100" w:after="100"/>
              <w:jc w:val="center"/>
            </w:pPr>
            <w:r>
              <w:t>No</w:t>
            </w:r>
          </w:p>
        </w:tc>
      </w:tr>
      <w:tr w:rsidR="000D07EA" w14:paraId="547B8A09" w14:textId="77777777">
        <w:trPr>
          <w:trHeight w:val="20"/>
        </w:trPr>
        <w:tc>
          <w:tcPr>
            <w:tcW w:w="1796" w:type="pct"/>
          </w:tcPr>
          <w:p w14:paraId="7EEAACE6" w14:textId="77777777" w:rsidR="000D07EA" w:rsidRDefault="00BE7C89">
            <w:pPr>
              <w:pStyle w:val="BodyText"/>
              <w:spacing w:before="100" w:after="100"/>
            </w:pPr>
            <w:r>
              <w:t>1800, 13 and 1300 numbers</w:t>
            </w:r>
          </w:p>
        </w:tc>
        <w:tc>
          <w:tcPr>
            <w:tcW w:w="1602" w:type="pct"/>
            <w:gridSpan w:val="2"/>
            <w:vAlign w:val="center"/>
          </w:tcPr>
          <w:p w14:paraId="0BF7FC01" w14:textId="77777777" w:rsidR="000D07EA" w:rsidRDefault="00BE7C89">
            <w:pPr>
              <w:pStyle w:val="BodyText"/>
              <w:spacing w:before="100" w:after="100"/>
              <w:jc w:val="center"/>
            </w:pPr>
            <w:r>
              <w:t>No</w:t>
            </w:r>
          </w:p>
        </w:tc>
        <w:tc>
          <w:tcPr>
            <w:tcW w:w="1602" w:type="pct"/>
            <w:gridSpan w:val="2"/>
            <w:vAlign w:val="center"/>
          </w:tcPr>
          <w:p w14:paraId="438B5CFF" w14:textId="77777777" w:rsidR="000D07EA" w:rsidRDefault="00BE7C89">
            <w:pPr>
              <w:pStyle w:val="BodyText"/>
              <w:spacing w:before="100" w:after="100"/>
              <w:jc w:val="center"/>
            </w:pPr>
            <w:r>
              <w:t>Yes</w:t>
            </w:r>
          </w:p>
        </w:tc>
      </w:tr>
      <w:tr w:rsidR="000D07EA" w14:paraId="34324A17" w14:textId="77777777">
        <w:trPr>
          <w:trHeight w:val="20"/>
        </w:trPr>
        <w:tc>
          <w:tcPr>
            <w:tcW w:w="1796" w:type="pct"/>
          </w:tcPr>
          <w:p w14:paraId="226B6E96" w14:textId="77777777" w:rsidR="000D07EA" w:rsidRDefault="00BE7C89">
            <w:pPr>
              <w:pStyle w:val="BodyText"/>
              <w:spacing w:before="100" w:after="100"/>
            </w:pPr>
            <w:r>
              <w:t>124YES(937)</w:t>
            </w:r>
          </w:p>
        </w:tc>
        <w:tc>
          <w:tcPr>
            <w:tcW w:w="1602" w:type="pct"/>
            <w:gridSpan w:val="2"/>
            <w:vAlign w:val="center"/>
          </w:tcPr>
          <w:p w14:paraId="0E7E38E0" w14:textId="77777777" w:rsidR="000D07EA" w:rsidRDefault="00BE7C89">
            <w:pPr>
              <w:pStyle w:val="BodyText"/>
              <w:spacing w:before="100" w:after="100"/>
              <w:jc w:val="center"/>
            </w:pPr>
            <w:r>
              <w:t>No</w:t>
            </w:r>
          </w:p>
        </w:tc>
        <w:tc>
          <w:tcPr>
            <w:tcW w:w="1602" w:type="pct"/>
            <w:gridSpan w:val="2"/>
            <w:vAlign w:val="center"/>
          </w:tcPr>
          <w:p w14:paraId="1B58AEB0" w14:textId="77777777" w:rsidR="000D07EA" w:rsidRDefault="00BE7C89">
            <w:pPr>
              <w:pStyle w:val="BodyText"/>
              <w:spacing w:before="100" w:after="100"/>
              <w:jc w:val="center"/>
            </w:pPr>
            <w:r>
              <w:t>No</w:t>
            </w:r>
          </w:p>
        </w:tc>
      </w:tr>
      <w:tr w:rsidR="000D07EA" w14:paraId="06D37690" w14:textId="77777777">
        <w:trPr>
          <w:trHeight w:val="20"/>
        </w:trPr>
        <w:tc>
          <w:tcPr>
            <w:tcW w:w="1796" w:type="pct"/>
          </w:tcPr>
          <w:p w14:paraId="08511805" w14:textId="77777777" w:rsidR="000D07EA" w:rsidRDefault="00BE7C89">
            <w:pPr>
              <w:pStyle w:val="BodyText"/>
              <w:spacing w:before="100" w:after="100"/>
            </w:pPr>
            <w:r>
              <w:t>Insurance</w:t>
            </w:r>
          </w:p>
        </w:tc>
        <w:tc>
          <w:tcPr>
            <w:tcW w:w="1602" w:type="pct"/>
            <w:gridSpan w:val="2"/>
            <w:vAlign w:val="center"/>
          </w:tcPr>
          <w:p w14:paraId="2A132C1E" w14:textId="77777777" w:rsidR="000D07EA" w:rsidRDefault="00BE7C89">
            <w:pPr>
              <w:pStyle w:val="BodyText"/>
              <w:spacing w:before="100" w:after="100"/>
              <w:jc w:val="center"/>
            </w:pPr>
            <w:r>
              <w:t>No</w:t>
            </w:r>
          </w:p>
        </w:tc>
        <w:tc>
          <w:tcPr>
            <w:tcW w:w="1602" w:type="pct"/>
            <w:gridSpan w:val="2"/>
            <w:vAlign w:val="center"/>
          </w:tcPr>
          <w:p w14:paraId="3C904C7F" w14:textId="77777777" w:rsidR="000D07EA" w:rsidRDefault="00BE7C89">
            <w:pPr>
              <w:pStyle w:val="BodyText"/>
              <w:spacing w:before="100" w:after="100"/>
              <w:jc w:val="center"/>
            </w:pPr>
            <w:r>
              <w:t>No</w:t>
            </w:r>
          </w:p>
        </w:tc>
      </w:tr>
      <w:tr w:rsidR="000D07EA" w14:paraId="66C03402" w14:textId="77777777">
        <w:trPr>
          <w:trHeight w:val="20"/>
        </w:trPr>
        <w:tc>
          <w:tcPr>
            <w:tcW w:w="1796" w:type="pct"/>
          </w:tcPr>
          <w:p w14:paraId="79781E4B" w14:textId="77777777" w:rsidR="000D07EA" w:rsidRDefault="00BE7C89">
            <w:pPr>
              <w:pStyle w:val="BodyText"/>
              <w:spacing w:before="100" w:after="100"/>
            </w:pPr>
            <w:r>
              <w:t>Handset Payments</w:t>
            </w:r>
          </w:p>
        </w:tc>
        <w:tc>
          <w:tcPr>
            <w:tcW w:w="1602" w:type="pct"/>
            <w:gridSpan w:val="2"/>
            <w:vAlign w:val="center"/>
          </w:tcPr>
          <w:p w14:paraId="102F14FE" w14:textId="77777777" w:rsidR="000D07EA" w:rsidRDefault="00BE7C89">
            <w:pPr>
              <w:pStyle w:val="BodyText"/>
              <w:spacing w:before="100" w:after="100"/>
              <w:jc w:val="center"/>
            </w:pPr>
            <w:r>
              <w:t>No</w:t>
            </w:r>
          </w:p>
        </w:tc>
        <w:tc>
          <w:tcPr>
            <w:tcW w:w="1602" w:type="pct"/>
            <w:gridSpan w:val="2"/>
            <w:vAlign w:val="center"/>
          </w:tcPr>
          <w:p w14:paraId="7944FD8E" w14:textId="77777777" w:rsidR="000D07EA" w:rsidRDefault="00BE7C89">
            <w:pPr>
              <w:pStyle w:val="BodyText"/>
              <w:spacing w:before="100" w:after="100"/>
              <w:jc w:val="center"/>
            </w:pPr>
            <w:r>
              <w:t>No</w:t>
            </w:r>
          </w:p>
        </w:tc>
      </w:tr>
      <w:tr w:rsidR="000D07EA" w14:paraId="68BFF6A0" w14:textId="77777777">
        <w:trPr>
          <w:trHeight w:val="20"/>
        </w:trPr>
        <w:tc>
          <w:tcPr>
            <w:tcW w:w="1796" w:type="pct"/>
          </w:tcPr>
          <w:p w14:paraId="769821A4" w14:textId="77777777" w:rsidR="000D07EA" w:rsidRDefault="00BE7C89">
            <w:pPr>
              <w:pStyle w:val="BodyText"/>
              <w:spacing w:before="100" w:after="100"/>
            </w:pPr>
            <w:r>
              <w:t>Calls to Satellite</w:t>
            </w:r>
          </w:p>
        </w:tc>
        <w:tc>
          <w:tcPr>
            <w:tcW w:w="1602" w:type="pct"/>
            <w:gridSpan w:val="2"/>
            <w:vAlign w:val="center"/>
          </w:tcPr>
          <w:p w14:paraId="454F8684" w14:textId="77777777" w:rsidR="000D07EA" w:rsidRDefault="00BE7C89">
            <w:pPr>
              <w:pStyle w:val="BodyText"/>
              <w:spacing w:before="100" w:after="100"/>
              <w:jc w:val="center"/>
            </w:pPr>
            <w:r>
              <w:t>No</w:t>
            </w:r>
          </w:p>
        </w:tc>
        <w:tc>
          <w:tcPr>
            <w:tcW w:w="1602" w:type="pct"/>
            <w:gridSpan w:val="2"/>
            <w:vAlign w:val="center"/>
          </w:tcPr>
          <w:p w14:paraId="16E84C33" w14:textId="77777777" w:rsidR="000D07EA" w:rsidRDefault="00BE7C89">
            <w:pPr>
              <w:pStyle w:val="BodyText"/>
              <w:spacing w:before="100" w:after="100"/>
              <w:jc w:val="center"/>
            </w:pPr>
            <w:r>
              <w:t>No</w:t>
            </w:r>
          </w:p>
        </w:tc>
      </w:tr>
      <w:tr w:rsidR="000D07EA" w14:paraId="60D45C81" w14:textId="77777777">
        <w:trPr>
          <w:trHeight w:val="20"/>
        </w:trPr>
        <w:tc>
          <w:tcPr>
            <w:tcW w:w="1796" w:type="pct"/>
          </w:tcPr>
          <w:p w14:paraId="27653783" w14:textId="77777777" w:rsidR="000D07EA" w:rsidRDefault="00BE7C89">
            <w:pPr>
              <w:pStyle w:val="BodyText"/>
              <w:spacing w:before="100" w:after="100"/>
            </w:pPr>
            <w:r>
              <w:t>VOIP services</w:t>
            </w:r>
          </w:p>
        </w:tc>
        <w:tc>
          <w:tcPr>
            <w:tcW w:w="1602" w:type="pct"/>
            <w:gridSpan w:val="2"/>
            <w:vAlign w:val="center"/>
          </w:tcPr>
          <w:p w14:paraId="710F58D4" w14:textId="77777777" w:rsidR="000D07EA" w:rsidRDefault="00BE7C89">
            <w:pPr>
              <w:pStyle w:val="BodyText"/>
              <w:spacing w:before="100" w:after="100"/>
              <w:jc w:val="center"/>
            </w:pPr>
            <w:r>
              <w:t>No</w:t>
            </w:r>
          </w:p>
        </w:tc>
        <w:tc>
          <w:tcPr>
            <w:tcW w:w="1602" w:type="pct"/>
            <w:gridSpan w:val="2"/>
            <w:vAlign w:val="center"/>
          </w:tcPr>
          <w:p w14:paraId="74CFBEB7" w14:textId="77777777" w:rsidR="000D07EA" w:rsidRDefault="00BE7C89">
            <w:pPr>
              <w:pStyle w:val="BodyText"/>
              <w:spacing w:before="100" w:after="100"/>
              <w:jc w:val="center"/>
            </w:pPr>
            <w:r>
              <w:t>No</w:t>
            </w:r>
          </w:p>
        </w:tc>
      </w:tr>
    </w:tbl>
    <w:p w14:paraId="4DED9B9A" w14:textId="77777777" w:rsidR="000D07EA" w:rsidRDefault="000D07EA">
      <w:pPr>
        <w:pStyle w:val="BodyText"/>
      </w:pPr>
    </w:p>
    <w:p w14:paraId="2F773B83" w14:textId="77777777" w:rsidR="000D07EA" w:rsidRDefault="00BE7C89">
      <w:pPr>
        <w:pStyle w:val="BodyText"/>
        <w:ind w:left="720"/>
        <w:rPr>
          <w:b/>
        </w:rPr>
      </w:pPr>
      <w:r>
        <w:rPr>
          <w:b/>
        </w:rPr>
        <w:t>Table 2A – Eligible for the Included Mobile Internet Data</w:t>
      </w:r>
    </w:p>
    <w:tbl>
      <w:tblPr>
        <w:tblW w:w="4686" w:type="pct"/>
        <w:tblInd w:w="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774"/>
        <w:gridCol w:w="4774"/>
      </w:tblGrid>
      <w:tr w:rsidR="000D07EA" w14:paraId="38982014" w14:textId="77777777">
        <w:trPr>
          <w:trHeight w:val="20"/>
          <w:tblHeader/>
        </w:trPr>
        <w:tc>
          <w:tcPr>
            <w:tcW w:w="2500" w:type="pct"/>
          </w:tcPr>
          <w:p w14:paraId="0C32DEE5" w14:textId="77777777" w:rsidR="000D07EA" w:rsidRDefault="00BE7C89">
            <w:pPr>
              <w:pStyle w:val="BodyText"/>
              <w:spacing w:before="100" w:after="100"/>
              <w:rPr>
                <w:b/>
              </w:rPr>
            </w:pPr>
            <w:r>
              <w:rPr>
                <w:b/>
              </w:rPr>
              <w:t>Call Type</w:t>
            </w:r>
          </w:p>
        </w:tc>
        <w:tc>
          <w:tcPr>
            <w:tcW w:w="2500" w:type="pct"/>
          </w:tcPr>
          <w:p w14:paraId="169DA38D" w14:textId="77777777" w:rsidR="000D07EA" w:rsidRDefault="00BE7C89">
            <w:pPr>
              <w:pStyle w:val="BodyText"/>
              <w:spacing w:before="100" w:after="100"/>
              <w:rPr>
                <w:b/>
              </w:rPr>
            </w:pPr>
            <w:r>
              <w:rPr>
                <w:b/>
              </w:rPr>
              <w:t>Eligible Data</w:t>
            </w:r>
          </w:p>
        </w:tc>
      </w:tr>
      <w:tr w:rsidR="000D07EA" w14:paraId="43E78540" w14:textId="77777777">
        <w:trPr>
          <w:trHeight w:val="20"/>
        </w:trPr>
        <w:tc>
          <w:tcPr>
            <w:tcW w:w="2500" w:type="pct"/>
          </w:tcPr>
          <w:p w14:paraId="3F138086" w14:textId="77777777" w:rsidR="000D07EA" w:rsidRDefault="00BE7C89">
            <w:pPr>
              <w:pStyle w:val="BodyText"/>
              <w:spacing w:before="100" w:after="100"/>
            </w:pPr>
            <w:r>
              <w:t>National Voice Calls</w:t>
            </w:r>
          </w:p>
        </w:tc>
        <w:tc>
          <w:tcPr>
            <w:tcW w:w="2500" w:type="pct"/>
          </w:tcPr>
          <w:p w14:paraId="6A3665AD" w14:textId="77777777" w:rsidR="000D07EA" w:rsidRDefault="00BE7C89">
            <w:pPr>
              <w:pStyle w:val="BodyText"/>
              <w:spacing w:before="100" w:after="100"/>
            </w:pPr>
            <w:r>
              <w:t>No</w:t>
            </w:r>
          </w:p>
        </w:tc>
      </w:tr>
      <w:tr w:rsidR="000D07EA" w14:paraId="3A38C6BD" w14:textId="77777777">
        <w:trPr>
          <w:trHeight w:val="20"/>
        </w:trPr>
        <w:tc>
          <w:tcPr>
            <w:tcW w:w="2500" w:type="pct"/>
          </w:tcPr>
          <w:p w14:paraId="23EFB534" w14:textId="77777777" w:rsidR="000D07EA" w:rsidRDefault="00BE7C89">
            <w:pPr>
              <w:pStyle w:val="BodyText"/>
              <w:spacing w:before="100" w:after="100"/>
            </w:pPr>
            <w:r>
              <w:t>National Video Calls</w:t>
            </w:r>
          </w:p>
        </w:tc>
        <w:tc>
          <w:tcPr>
            <w:tcW w:w="2500" w:type="pct"/>
          </w:tcPr>
          <w:p w14:paraId="3E075446" w14:textId="77777777" w:rsidR="000D07EA" w:rsidRDefault="00BE7C89">
            <w:pPr>
              <w:pStyle w:val="BodyText"/>
              <w:spacing w:before="100" w:after="100"/>
            </w:pPr>
            <w:r>
              <w:t>No</w:t>
            </w:r>
          </w:p>
        </w:tc>
      </w:tr>
      <w:tr w:rsidR="000D07EA" w14:paraId="73F19212" w14:textId="77777777">
        <w:trPr>
          <w:trHeight w:val="20"/>
        </w:trPr>
        <w:tc>
          <w:tcPr>
            <w:tcW w:w="2500" w:type="pct"/>
          </w:tcPr>
          <w:p w14:paraId="2F2D1B2D" w14:textId="77777777" w:rsidR="000D07EA" w:rsidRDefault="00BE7C89">
            <w:pPr>
              <w:pStyle w:val="BodyText"/>
              <w:spacing w:before="100" w:after="100"/>
            </w:pPr>
            <w:r>
              <w:t>International Voice Calls</w:t>
            </w:r>
          </w:p>
          <w:p w14:paraId="70785101" w14:textId="77777777" w:rsidR="000D07EA" w:rsidRDefault="00BE7C89">
            <w:pPr>
              <w:pStyle w:val="BodyText"/>
              <w:spacing w:before="100" w:after="100"/>
            </w:pPr>
            <w:r>
              <w:rPr>
                <w:snapToGrid w:val="0"/>
              </w:rPr>
              <w:t>(includes calls to national fixed or GSM mobile services that then divert/switch or re-route overseas)</w:t>
            </w:r>
          </w:p>
        </w:tc>
        <w:tc>
          <w:tcPr>
            <w:tcW w:w="2500" w:type="pct"/>
          </w:tcPr>
          <w:p w14:paraId="52C89464" w14:textId="77777777" w:rsidR="000D07EA" w:rsidRDefault="00BE7C89">
            <w:pPr>
              <w:pStyle w:val="BodyText"/>
              <w:spacing w:before="100" w:after="100"/>
            </w:pPr>
            <w:r>
              <w:t xml:space="preserve">No </w:t>
            </w:r>
          </w:p>
        </w:tc>
      </w:tr>
      <w:tr w:rsidR="000D07EA" w14:paraId="712C70BB" w14:textId="77777777">
        <w:trPr>
          <w:trHeight w:val="20"/>
        </w:trPr>
        <w:tc>
          <w:tcPr>
            <w:tcW w:w="2500" w:type="pct"/>
          </w:tcPr>
          <w:p w14:paraId="157DC343" w14:textId="77777777" w:rsidR="000D07EA" w:rsidRDefault="00BE7C89">
            <w:pPr>
              <w:pStyle w:val="BodyText"/>
              <w:spacing w:before="100" w:after="100"/>
            </w:pPr>
            <w:r>
              <w:t>International Video Calls</w:t>
            </w:r>
          </w:p>
          <w:p w14:paraId="14B8AB99" w14:textId="77777777" w:rsidR="000D07EA" w:rsidRDefault="00BE7C89">
            <w:pPr>
              <w:pStyle w:val="BodyText"/>
              <w:spacing w:before="100" w:after="100"/>
            </w:pPr>
            <w:r>
              <w:rPr>
                <w:snapToGrid w:val="0"/>
              </w:rPr>
              <w:t>(includes calls to national fixed or GSM mobile services that then divert/switch or re-route overseas)</w:t>
            </w:r>
          </w:p>
        </w:tc>
        <w:tc>
          <w:tcPr>
            <w:tcW w:w="2500" w:type="pct"/>
          </w:tcPr>
          <w:p w14:paraId="0B9BC049" w14:textId="77777777" w:rsidR="000D07EA" w:rsidRDefault="00BE7C89">
            <w:pPr>
              <w:pStyle w:val="BodyText"/>
              <w:spacing w:before="100" w:after="100"/>
            </w:pPr>
            <w:r>
              <w:t>No</w:t>
            </w:r>
          </w:p>
        </w:tc>
      </w:tr>
      <w:tr w:rsidR="000D07EA" w14:paraId="4A04AA0D" w14:textId="77777777">
        <w:trPr>
          <w:trHeight w:val="20"/>
        </w:trPr>
        <w:tc>
          <w:tcPr>
            <w:tcW w:w="2500" w:type="pct"/>
          </w:tcPr>
          <w:p w14:paraId="50EDA953" w14:textId="77777777" w:rsidR="000D07EA" w:rsidRDefault="00BE7C89">
            <w:pPr>
              <w:pStyle w:val="BodyText"/>
              <w:spacing w:before="100" w:after="100"/>
            </w:pPr>
            <w:r>
              <w:t>National Standard SMS</w:t>
            </w:r>
          </w:p>
        </w:tc>
        <w:tc>
          <w:tcPr>
            <w:tcW w:w="2500" w:type="pct"/>
          </w:tcPr>
          <w:p w14:paraId="4885A480" w14:textId="77777777" w:rsidR="000D07EA" w:rsidRDefault="00BE7C89">
            <w:pPr>
              <w:pStyle w:val="BodyText"/>
              <w:spacing w:before="100" w:after="100"/>
            </w:pPr>
            <w:r>
              <w:t>No</w:t>
            </w:r>
          </w:p>
        </w:tc>
      </w:tr>
      <w:tr w:rsidR="000D07EA" w14:paraId="2DAA9668" w14:textId="77777777">
        <w:trPr>
          <w:trHeight w:val="20"/>
        </w:trPr>
        <w:tc>
          <w:tcPr>
            <w:tcW w:w="2500" w:type="pct"/>
          </w:tcPr>
          <w:p w14:paraId="2FFC8F9D" w14:textId="77777777" w:rsidR="000D07EA" w:rsidRDefault="00BE7C89">
            <w:pPr>
              <w:pStyle w:val="BodyText"/>
              <w:spacing w:before="100" w:after="100"/>
            </w:pPr>
            <w:r>
              <w:t>International SMS</w:t>
            </w:r>
          </w:p>
        </w:tc>
        <w:tc>
          <w:tcPr>
            <w:tcW w:w="2500" w:type="pct"/>
          </w:tcPr>
          <w:p w14:paraId="071E3A2D" w14:textId="77777777" w:rsidR="000D07EA" w:rsidRDefault="00BE7C89">
            <w:pPr>
              <w:pStyle w:val="BodyText"/>
              <w:spacing w:before="100" w:after="100"/>
            </w:pPr>
            <w:r>
              <w:t>No</w:t>
            </w:r>
          </w:p>
        </w:tc>
      </w:tr>
      <w:tr w:rsidR="000D07EA" w14:paraId="2E555902" w14:textId="77777777">
        <w:trPr>
          <w:trHeight w:val="20"/>
        </w:trPr>
        <w:tc>
          <w:tcPr>
            <w:tcW w:w="2500" w:type="pct"/>
          </w:tcPr>
          <w:p w14:paraId="0458E741" w14:textId="77777777" w:rsidR="000D07EA" w:rsidRDefault="00BE7C89">
            <w:pPr>
              <w:pStyle w:val="BodyText"/>
              <w:spacing w:before="100" w:after="100"/>
            </w:pPr>
            <w:r>
              <w:t>National MMS</w:t>
            </w:r>
          </w:p>
        </w:tc>
        <w:tc>
          <w:tcPr>
            <w:tcW w:w="2500" w:type="pct"/>
          </w:tcPr>
          <w:p w14:paraId="61AC696D" w14:textId="77777777" w:rsidR="000D07EA" w:rsidRDefault="00BE7C89">
            <w:pPr>
              <w:pStyle w:val="BodyText"/>
              <w:spacing w:before="100" w:after="100"/>
            </w:pPr>
            <w:r>
              <w:t>No</w:t>
            </w:r>
          </w:p>
        </w:tc>
      </w:tr>
      <w:tr w:rsidR="000D07EA" w14:paraId="094E7E29" w14:textId="77777777">
        <w:trPr>
          <w:trHeight w:val="20"/>
        </w:trPr>
        <w:tc>
          <w:tcPr>
            <w:tcW w:w="2500" w:type="pct"/>
          </w:tcPr>
          <w:p w14:paraId="1B447679" w14:textId="77777777" w:rsidR="000D07EA" w:rsidRDefault="00BE7C89">
            <w:pPr>
              <w:pStyle w:val="BodyText"/>
              <w:spacing w:before="100" w:after="100"/>
            </w:pPr>
            <w:r>
              <w:t>International MMS</w:t>
            </w:r>
          </w:p>
        </w:tc>
        <w:tc>
          <w:tcPr>
            <w:tcW w:w="2500" w:type="pct"/>
          </w:tcPr>
          <w:p w14:paraId="2C81C425" w14:textId="77777777" w:rsidR="000D07EA" w:rsidRDefault="00BE7C89">
            <w:pPr>
              <w:pStyle w:val="BodyText"/>
              <w:spacing w:before="100" w:after="100"/>
            </w:pPr>
            <w:r>
              <w:t>No</w:t>
            </w:r>
          </w:p>
        </w:tc>
      </w:tr>
      <w:tr w:rsidR="000D07EA" w14:paraId="78E5109A" w14:textId="77777777">
        <w:trPr>
          <w:trHeight w:val="20"/>
        </w:trPr>
        <w:tc>
          <w:tcPr>
            <w:tcW w:w="2500" w:type="pct"/>
          </w:tcPr>
          <w:p w14:paraId="234A9FA5" w14:textId="77777777" w:rsidR="000D07EA" w:rsidRDefault="00BE7C89">
            <w:pPr>
              <w:pStyle w:val="BodyText"/>
              <w:spacing w:before="100" w:after="100"/>
            </w:pPr>
            <w:r>
              <w:t>Voicemail Diversions</w:t>
            </w:r>
          </w:p>
        </w:tc>
        <w:tc>
          <w:tcPr>
            <w:tcW w:w="2500" w:type="pct"/>
          </w:tcPr>
          <w:p w14:paraId="00DB51FD" w14:textId="77777777" w:rsidR="000D07EA" w:rsidRDefault="00BE7C89">
            <w:pPr>
              <w:pStyle w:val="BodyText"/>
              <w:spacing w:before="100" w:after="100"/>
            </w:pPr>
            <w:r>
              <w:t>No</w:t>
            </w:r>
          </w:p>
        </w:tc>
      </w:tr>
      <w:tr w:rsidR="000D07EA" w14:paraId="69D85451" w14:textId="77777777">
        <w:trPr>
          <w:trHeight w:val="20"/>
        </w:trPr>
        <w:tc>
          <w:tcPr>
            <w:tcW w:w="2500" w:type="pct"/>
          </w:tcPr>
          <w:p w14:paraId="06BADEE8" w14:textId="77777777" w:rsidR="000D07EA" w:rsidRDefault="00BE7C89">
            <w:pPr>
              <w:pStyle w:val="BodyText"/>
              <w:spacing w:before="100" w:after="100"/>
            </w:pPr>
            <w:r>
              <w:t>Voicemail Deposit and Retrievals</w:t>
            </w:r>
          </w:p>
        </w:tc>
        <w:tc>
          <w:tcPr>
            <w:tcW w:w="2500" w:type="pct"/>
          </w:tcPr>
          <w:p w14:paraId="4A062C25" w14:textId="77777777" w:rsidR="000D07EA" w:rsidRDefault="00BE7C89">
            <w:pPr>
              <w:pStyle w:val="BodyText"/>
              <w:spacing w:before="100" w:after="100"/>
            </w:pPr>
            <w:r>
              <w:t>No</w:t>
            </w:r>
          </w:p>
        </w:tc>
      </w:tr>
      <w:tr w:rsidR="000D07EA" w14:paraId="472D2EED" w14:textId="77777777">
        <w:trPr>
          <w:trHeight w:val="20"/>
        </w:trPr>
        <w:tc>
          <w:tcPr>
            <w:tcW w:w="2500" w:type="pct"/>
          </w:tcPr>
          <w:p w14:paraId="2B278F34" w14:textId="77777777" w:rsidR="000D07EA" w:rsidRDefault="00BE7C89">
            <w:pPr>
              <w:pStyle w:val="BodyText"/>
              <w:spacing w:before="100" w:after="100"/>
            </w:pPr>
            <w:r>
              <w:lastRenderedPageBreak/>
              <w:t>International Roaming and Diversion</w:t>
            </w:r>
          </w:p>
        </w:tc>
        <w:tc>
          <w:tcPr>
            <w:tcW w:w="2500" w:type="pct"/>
          </w:tcPr>
          <w:p w14:paraId="27AD8752" w14:textId="77777777" w:rsidR="000D07EA" w:rsidRDefault="00BE7C89">
            <w:pPr>
              <w:pStyle w:val="BodyText"/>
              <w:spacing w:before="100" w:after="100"/>
            </w:pPr>
            <w:r>
              <w:t>No</w:t>
            </w:r>
          </w:p>
        </w:tc>
      </w:tr>
      <w:tr w:rsidR="000D07EA" w14:paraId="0E612D8F" w14:textId="77777777">
        <w:trPr>
          <w:trHeight w:val="20"/>
        </w:trPr>
        <w:tc>
          <w:tcPr>
            <w:tcW w:w="2500" w:type="pct"/>
          </w:tcPr>
          <w:p w14:paraId="2B6E27A5" w14:textId="77777777" w:rsidR="000D07EA" w:rsidRDefault="00BE7C89">
            <w:pPr>
              <w:pStyle w:val="BodyText"/>
              <w:spacing w:before="100" w:after="100"/>
            </w:pPr>
            <w:r>
              <w:t>Premium SMS</w:t>
            </w:r>
          </w:p>
        </w:tc>
        <w:tc>
          <w:tcPr>
            <w:tcW w:w="2500" w:type="pct"/>
          </w:tcPr>
          <w:p w14:paraId="3BF3ADD9" w14:textId="77777777" w:rsidR="000D07EA" w:rsidRDefault="00BE7C89">
            <w:pPr>
              <w:pStyle w:val="BodyText"/>
              <w:spacing w:before="100" w:after="100"/>
            </w:pPr>
            <w:r>
              <w:t>No</w:t>
            </w:r>
          </w:p>
        </w:tc>
      </w:tr>
      <w:tr w:rsidR="000D07EA" w14:paraId="47176696" w14:textId="77777777">
        <w:trPr>
          <w:trHeight w:val="20"/>
        </w:trPr>
        <w:tc>
          <w:tcPr>
            <w:tcW w:w="2500" w:type="pct"/>
          </w:tcPr>
          <w:p w14:paraId="411D849E" w14:textId="77777777" w:rsidR="000D07EA" w:rsidRDefault="00BE7C89">
            <w:pPr>
              <w:pStyle w:val="BodyText"/>
              <w:spacing w:before="100" w:after="100"/>
            </w:pPr>
            <w:r>
              <w:t>Premium Video</w:t>
            </w:r>
          </w:p>
        </w:tc>
        <w:tc>
          <w:tcPr>
            <w:tcW w:w="2500" w:type="pct"/>
          </w:tcPr>
          <w:p w14:paraId="247567AF" w14:textId="77777777" w:rsidR="000D07EA" w:rsidRDefault="00BE7C89">
            <w:pPr>
              <w:pStyle w:val="BodyText"/>
              <w:spacing w:before="100" w:after="100"/>
            </w:pPr>
            <w:r>
              <w:t>No</w:t>
            </w:r>
          </w:p>
        </w:tc>
      </w:tr>
      <w:tr w:rsidR="000D07EA" w14:paraId="24F7E331" w14:textId="77777777">
        <w:trPr>
          <w:trHeight w:val="20"/>
        </w:trPr>
        <w:tc>
          <w:tcPr>
            <w:tcW w:w="2500" w:type="pct"/>
          </w:tcPr>
          <w:p w14:paraId="67C7634E" w14:textId="77777777" w:rsidR="000D07EA" w:rsidRDefault="00BE7C89">
            <w:pPr>
              <w:pStyle w:val="BodyText"/>
              <w:spacing w:before="100" w:after="100"/>
            </w:pPr>
            <w:r>
              <w:t>Video Conferencing</w:t>
            </w:r>
          </w:p>
        </w:tc>
        <w:tc>
          <w:tcPr>
            <w:tcW w:w="2500" w:type="pct"/>
          </w:tcPr>
          <w:p w14:paraId="673986DE" w14:textId="77777777" w:rsidR="000D07EA" w:rsidRDefault="00BE7C89">
            <w:pPr>
              <w:pStyle w:val="BodyText"/>
              <w:spacing w:before="100" w:after="100"/>
            </w:pPr>
            <w:r>
              <w:t>No</w:t>
            </w:r>
          </w:p>
        </w:tc>
      </w:tr>
      <w:tr w:rsidR="000D07EA" w14:paraId="751FCF7A" w14:textId="77777777">
        <w:trPr>
          <w:trHeight w:val="20"/>
        </w:trPr>
        <w:tc>
          <w:tcPr>
            <w:tcW w:w="2500" w:type="pct"/>
          </w:tcPr>
          <w:p w14:paraId="54D3A1E5" w14:textId="77777777" w:rsidR="000D07EA" w:rsidRDefault="00BE7C89">
            <w:pPr>
              <w:pStyle w:val="BodyText"/>
              <w:spacing w:before="100" w:after="100"/>
            </w:pPr>
            <w:r>
              <w:t>Optus Zoo or Optus iZoo Browsing</w:t>
            </w:r>
          </w:p>
        </w:tc>
        <w:tc>
          <w:tcPr>
            <w:tcW w:w="2500" w:type="pct"/>
          </w:tcPr>
          <w:p w14:paraId="55F6B8E3" w14:textId="77777777" w:rsidR="000D07EA" w:rsidRDefault="00BE7C89">
            <w:pPr>
              <w:pStyle w:val="BodyText"/>
              <w:spacing w:before="100" w:after="100"/>
            </w:pPr>
            <w:r>
              <w:t>Yes, up to the monthly included data amount specified in Table 3A.</w:t>
            </w:r>
          </w:p>
        </w:tc>
      </w:tr>
      <w:tr w:rsidR="000D07EA" w14:paraId="24B1BEFF" w14:textId="77777777">
        <w:trPr>
          <w:trHeight w:val="20"/>
        </w:trPr>
        <w:tc>
          <w:tcPr>
            <w:tcW w:w="2500" w:type="pct"/>
          </w:tcPr>
          <w:p w14:paraId="6067748D" w14:textId="77777777" w:rsidR="000D07EA" w:rsidRDefault="00BE7C89">
            <w:pPr>
              <w:pStyle w:val="BodyText"/>
              <w:spacing w:before="100" w:after="100"/>
            </w:pPr>
            <w:r>
              <w:t>Optus Zoo or Optus iZoo Downloads</w:t>
            </w:r>
          </w:p>
        </w:tc>
        <w:tc>
          <w:tcPr>
            <w:tcW w:w="2500" w:type="pct"/>
          </w:tcPr>
          <w:p w14:paraId="7BEF4186" w14:textId="77777777" w:rsidR="000D07EA" w:rsidRDefault="00BE7C89">
            <w:pPr>
              <w:pStyle w:val="BodyText"/>
              <w:spacing w:before="100" w:after="100"/>
            </w:pPr>
            <w:r>
              <w:t>No</w:t>
            </w:r>
          </w:p>
        </w:tc>
      </w:tr>
      <w:tr w:rsidR="000D07EA" w14:paraId="339BEC48" w14:textId="77777777">
        <w:trPr>
          <w:trHeight w:val="20"/>
        </w:trPr>
        <w:tc>
          <w:tcPr>
            <w:tcW w:w="2500" w:type="pct"/>
          </w:tcPr>
          <w:p w14:paraId="51F9064A" w14:textId="77777777" w:rsidR="000D07EA" w:rsidRDefault="00BE7C89">
            <w:pPr>
              <w:pStyle w:val="BodyText"/>
              <w:spacing w:before="100" w:after="100"/>
            </w:pPr>
            <w:r>
              <w:t>SMS to 966 (Zoo)</w:t>
            </w:r>
          </w:p>
        </w:tc>
        <w:tc>
          <w:tcPr>
            <w:tcW w:w="2500" w:type="pct"/>
          </w:tcPr>
          <w:p w14:paraId="597333ED" w14:textId="77777777" w:rsidR="000D07EA" w:rsidRDefault="00BE7C89">
            <w:pPr>
              <w:pStyle w:val="BodyText"/>
              <w:spacing w:before="100" w:after="100"/>
            </w:pPr>
            <w:r>
              <w:t>No</w:t>
            </w:r>
          </w:p>
        </w:tc>
      </w:tr>
      <w:tr w:rsidR="000D07EA" w14:paraId="581AE83C" w14:textId="77777777">
        <w:trPr>
          <w:trHeight w:val="20"/>
        </w:trPr>
        <w:tc>
          <w:tcPr>
            <w:tcW w:w="2500" w:type="pct"/>
          </w:tcPr>
          <w:p w14:paraId="7FC4502F" w14:textId="77777777" w:rsidR="000D07EA" w:rsidRDefault="00BE7C89">
            <w:pPr>
              <w:pStyle w:val="BodyText"/>
              <w:spacing w:before="100" w:after="100"/>
            </w:pPr>
            <w:r>
              <w:t>Mobile Internet usage</w:t>
            </w:r>
          </w:p>
        </w:tc>
        <w:tc>
          <w:tcPr>
            <w:tcW w:w="2500" w:type="pct"/>
          </w:tcPr>
          <w:p w14:paraId="29450699" w14:textId="77777777" w:rsidR="000D07EA" w:rsidRDefault="00BE7C89">
            <w:pPr>
              <w:pStyle w:val="BodyText"/>
              <w:spacing w:before="100" w:after="100"/>
            </w:pPr>
            <w:r>
              <w:t>Yes, up to the monthly included data amount specified in Table 3A.</w:t>
            </w:r>
          </w:p>
        </w:tc>
      </w:tr>
      <w:tr w:rsidR="000D07EA" w14:paraId="31FD4306" w14:textId="77777777">
        <w:trPr>
          <w:trHeight w:val="20"/>
        </w:trPr>
        <w:tc>
          <w:tcPr>
            <w:tcW w:w="2500" w:type="pct"/>
          </w:tcPr>
          <w:p w14:paraId="1B4C18AC" w14:textId="77777777" w:rsidR="000D07EA" w:rsidRDefault="00BE7C89">
            <w:pPr>
              <w:pStyle w:val="BodyText"/>
              <w:spacing w:before="100" w:after="100"/>
            </w:pPr>
            <w:r>
              <w:t>Mobile as Modem</w:t>
            </w:r>
          </w:p>
        </w:tc>
        <w:tc>
          <w:tcPr>
            <w:tcW w:w="2500" w:type="pct"/>
          </w:tcPr>
          <w:p w14:paraId="515B2DEA" w14:textId="77777777" w:rsidR="000D07EA" w:rsidRDefault="00BE7C89">
            <w:pPr>
              <w:pStyle w:val="BodyText"/>
              <w:spacing w:before="100" w:after="100"/>
            </w:pPr>
            <w:r>
              <w:t>Yes</w:t>
            </w:r>
          </w:p>
        </w:tc>
      </w:tr>
      <w:tr w:rsidR="000D07EA" w14:paraId="20B4A49C" w14:textId="77777777">
        <w:trPr>
          <w:trHeight w:val="20"/>
        </w:trPr>
        <w:tc>
          <w:tcPr>
            <w:tcW w:w="2500" w:type="pct"/>
          </w:tcPr>
          <w:p w14:paraId="5C010EED" w14:textId="77777777" w:rsidR="000D07EA" w:rsidRDefault="00BE7C89">
            <w:pPr>
              <w:pStyle w:val="BodyText"/>
              <w:spacing w:before="100" w:after="100"/>
            </w:pPr>
            <w:r>
              <w:t>Data Used while Roaming Internationally</w:t>
            </w:r>
          </w:p>
        </w:tc>
        <w:tc>
          <w:tcPr>
            <w:tcW w:w="2500" w:type="pct"/>
          </w:tcPr>
          <w:p w14:paraId="2FA67A75" w14:textId="77777777" w:rsidR="000D07EA" w:rsidRDefault="00BE7C89">
            <w:pPr>
              <w:pStyle w:val="BodyText"/>
              <w:spacing w:before="100" w:after="100"/>
            </w:pPr>
            <w:r>
              <w:t>No</w:t>
            </w:r>
          </w:p>
        </w:tc>
      </w:tr>
      <w:tr w:rsidR="000D07EA" w14:paraId="3687B6BD" w14:textId="77777777">
        <w:trPr>
          <w:trHeight w:val="20"/>
        </w:trPr>
        <w:tc>
          <w:tcPr>
            <w:tcW w:w="2500" w:type="pct"/>
          </w:tcPr>
          <w:p w14:paraId="4D1BC0CC" w14:textId="77777777" w:rsidR="000D07EA" w:rsidRDefault="00BE7C89">
            <w:pPr>
              <w:pStyle w:val="BodyText"/>
              <w:spacing w:before="100" w:after="100"/>
            </w:pPr>
            <w:r>
              <w:t>Content Packs (unless specified in promotions)</w:t>
            </w:r>
          </w:p>
        </w:tc>
        <w:tc>
          <w:tcPr>
            <w:tcW w:w="2500" w:type="pct"/>
          </w:tcPr>
          <w:p w14:paraId="3CC040EE" w14:textId="77777777" w:rsidR="000D07EA" w:rsidRDefault="00BE7C89">
            <w:pPr>
              <w:pStyle w:val="BodyText"/>
              <w:spacing w:before="100" w:after="100"/>
            </w:pPr>
            <w:r>
              <w:t>No</w:t>
            </w:r>
          </w:p>
        </w:tc>
      </w:tr>
      <w:tr w:rsidR="000D07EA" w14:paraId="0AB28468" w14:textId="77777777">
        <w:trPr>
          <w:trHeight w:val="20"/>
        </w:trPr>
        <w:tc>
          <w:tcPr>
            <w:tcW w:w="2500" w:type="pct"/>
          </w:tcPr>
          <w:p w14:paraId="0F7A470E" w14:textId="77777777" w:rsidR="000D07EA" w:rsidRDefault="00BE7C89">
            <w:pPr>
              <w:pStyle w:val="BodyText"/>
              <w:spacing w:before="100" w:after="100"/>
            </w:pPr>
            <w:r>
              <w:t>TrueLocal Usage</w:t>
            </w:r>
          </w:p>
        </w:tc>
        <w:tc>
          <w:tcPr>
            <w:tcW w:w="2500" w:type="pct"/>
          </w:tcPr>
          <w:p w14:paraId="6104A81E" w14:textId="77777777" w:rsidR="000D07EA" w:rsidRDefault="00BE7C89">
            <w:pPr>
              <w:pStyle w:val="BodyText"/>
              <w:spacing w:before="100" w:after="100"/>
            </w:pPr>
            <w:r>
              <w:t>No</w:t>
            </w:r>
          </w:p>
        </w:tc>
      </w:tr>
      <w:tr w:rsidR="000D07EA" w14:paraId="20E8E7E3" w14:textId="77777777">
        <w:trPr>
          <w:trHeight w:val="20"/>
        </w:trPr>
        <w:tc>
          <w:tcPr>
            <w:tcW w:w="2500" w:type="pct"/>
          </w:tcPr>
          <w:p w14:paraId="7D8E46C5" w14:textId="77777777" w:rsidR="000D07EA" w:rsidRDefault="00BE7C89">
            <w:pPr>
              <w:pStyle w:val="BodyText"/>
              <w:spacing w:before="100" w:after="100"/>
            </w:pPr>
            <w:r>
              <w:t xml:space="preserve">Directory Assistance- 1223 </w:t>
            </w:r>
          </w:p>
        </w:tc>
        <w:tc>
          <w:tcPr>
            <w:tcW w:w="2500" w:type="pct"/>
          </w:tcPr>
          <w:p w14:paraId="563DEE39" w14:textId="77777777" w:rsidR="000D07EA" w:rsidRDefault="00BE7C89">
            <w:pPr>
              <w:pStyle w:val="BodyText"/>
              <w:spacing w:before="100" w:after="100"/>
            </w:pPr>
            <w:r>
              <w:t>No</w:t>
            </w:r>
          </w:p>
        </w:tc>
      </w:tr>
      <w:tr w:rsidR="000D07EA" w14:paraId="61EAA46D" w14:textId="77777777">
        <w:trPr>
          <w:trHeight w:val="20"/>
        </w:trPr>
        <w:tc>
          <w:tcPr>
            <w:tcW w:w="2500" w:type="pct"/>
          </w:tcPr>
          <w:p w14:paraId="2214A783" w14:textId="77777777" w:rsidR="000D07EA" w:rsidRDefault="00BE7C89">
            <w:pPr>
              <w:pStyle w:val="BodyText"/>
              <w:spacing w:before="100" w:after="100"/>
            </w:pPr>
            <w:r>
              <w:t>19XX Numbers</w:t>
            </w:r>
          </w:p>
        </w:tc>
        <w:tc>
          <w:tcPr>
            <w:tcW w:w="2500" w:type="pct"/>
          </w:tcPr>
          <w:p w14:paraId="0D6B2156" w14:textId="77777777" w:rsidR="000D07EA" w:rsidRDefault="00BE7C89">
            <w:pPr>
              <w:pStyle w:val="BodyText"/>
              <w:spacing w:before="100" w:after="100"/>
            </w:pPr>
            <w:r>
              <w:t>No</w:t>
            </w:r>
          </w:p>
        </w:tc>
      </w:tr>
      <w:tr w:rsidR="000D07EA" w14:paraId="434BBB6A" w14:textId="77777777">
        <w:trPr>
          <w:trHeight w:val="20"/>
        </w:trPr>
        <w:tc>
          <w:tcPr>
            <w:tcW w:w="2500" w:type="pct"/>
          </w:tcPr>
          <w:p w14:paraId="01B2CEAE" w14:textId="77777777" w:rsidR="000D07EA" w:rsidRDefault="00BE7C89">
            <w:pPr>
              <w:pStyle w:val="BodyText"/>
              <w:spacing w:before="100" w:after="100"/>
            </w:pPr>
            <w:r>
              <w:t>1800, 13 and 1300 numbers</w:t>
            </w:r>
          </w:p>
        </w:tc>
        <w:tc>
          <w:tcPr>
            <w:tcW w:w="2500" w:type="pct"/>
          </w:tcPr>
          <w:p w14:paraId="43AF9DF6" w14:textId="77777777" w:rsidR="000D07EA" w:rsidRDefault="00BE7C89">
            <w:pPr>
              <w:pStyle w:val="BodyText"/>
              <w:spacing w:before="100" w:after="100"/>
            </w:pPr>
            <w:r>
              <w:t>No</w:t>
            </w:r>
          </w:p>
        </w:tc>
      </w:tr>
      <w:tr w:rsidR="000D07EA" w14:paraId="27DD5418" w14:textId="77777777">
        <w:trPr>
          <w:trHeight w:val="20"/>
        </w:trPr>
        <w:tc>
          <w:tcPr>
            <w:tcW w:w="2500" w:type="pct"/>
          </w:tcPr>
          <w:p w14:paraId="4B61A235" w14:textId="77777777" w:rsidR="000D07EA" w:rsidRDefault="00BE7C89">
            <w:pPr>
              <w:pStyle w:val="BodyText"/>
              <w:spacing w:before="100" w:after="100"/>
            </w:pPr>
            <w:r>
              <w:t>124YES(937)</w:t>
            </w:r>
          </w:p>
        </w:tc>
        <w:tc>
          <w:tcPr>
            <w:tcW w:w="2500" w:type="pct"/>
          </w:tcPr>
          <w:p w14:paraId="7B9896C7" w14:textId="77777777" w:rsidR="000D07EA" w:rsidRDefault="00BE7C89">
            <w:pPr>
              <w:pStyle w:val="BodyText"/>
              <w:spacing w:before="100" w:after="100"/>
            </w:pPr>
            <w:r>
              <w:t>No</w:t>
            </w:r>
          </w:p>
        </w:tc>
      </w:tr>
      <w:tr w:rsidR="000D07EA" w14:paraId="5DA579DA" w14:textId="77777777">
        <w:trPr>
          <w:trHeight w:val="20"/>
        </w:trPr>
        <w:tc>
          <w:tcPr>
            <w:tcW w:w="2500" w:type="pct"/>
          </w:tcPr>
          <w:p w14:paraId="70EFE3AC" w14:textId="77777777" w:rsidR="000D07EA" w:rsidRDefault="00BE7C89">
            <w:pPr>
              <w:pStyle w:val="BodyText"/>
              <w:spacing w:before="100" w:after="100"/>
            </w:pPr>
            <w:r>
              <w:t>Insurance</w:t>
            </w:r>
          </w:p>
        </w:tc>
        <w:tc>
          <w:tcPr>
            <w:tcW w:w="2500" w:type="pct"/>
          </w:tcPr>
          <w:p w14:paraId="3DFE3E36" w14:textId="77777777" w:rsidR="000D07EA" w:rsidRDefault="00BE7C89">
            <w:pPr>
              <w:pStyle w:val="BodyText"/>
              <w:spacing w:before="100" w:after="100"/>
            </w:pPr>
            <w:r>
              <w:t>No</w:t>
            </w:r>
          </w:p>
        </w:tc>
      </w:tr>
      <w:tr w:rsidR="000D07EA" w14:paraId="4AB4FF60" w14:textId="77777777">
        <w:trPr>
          <w:trHeight w:val="20"/>
        </w:trPr>
        <w:tc>
          <w:tcPr>
            <w:tcW w:w="2500" w:type="pct"/>
          </w:tcPr>
          <w:p w14:paraId="3040910A" w14:textId="77777777" w:rsidR="000D07EA" w:rsidRDefault="00BE7C89">
            <w:pPr>
              <w:pStyle w:val="BodyText"/>
              <w:spacing w:before="100" w:after="100"/>
            </w:pPr>
            <w:r>
              <w:t>Handset Payments</w:t>
            </w:r>
          </w:p>
        </w:tc>
        <w:tc>
          <w:tcPr>
            <w:tcW w:w="2500" w:type="pct"/>
          </w:tcPr>
          <w:p w14:paraId="3808F53D" w14:textId="77777777" w:rsidR="000D07EA" w:rsidRDefault="00BE7C89">
            <w:pPr>
              <w:pStyle w:val="BodyText"/>
              <w:spacing w:before="100" w:after="100"/>
            </w:pPr>
            <w:r>
              <w:t>No</w:t>
            </w:r>
          </w:p>
        </w:tc>
      </w:tr>
      <w:tr w:rsidR="000D07EA" w14:paraId="706BC79D" w14:textId="77777777">
        <w:trPr>
          <w:trHeight w:val="20"/>
        </w:trPr>
        <w:tc>
          <w:tcPr>
            <w:tcW w:w="2500" w:type="pct"/>
          </w:tcPr>
          <w:p w14:paraId="1CB5D407" w14:textId="77777777" w:rsidR="000D07EA" w:rsidRDefault="00BE7C89">
            <w:pPr>
              <w:pStyle w:val="BodyText"/>
              <w:spacing w:before="100" w:after="100"/>
            </w:pPr>
            <w:r>
              <w:t>Calls to MobileSat</w:t>
            </w:r>
          </w:p>
        </w:tc>
        <w:tc>
          <w:tcPr>
            <w:tcW w:w="2500" w:type="pct"/>
          </w:tcPr>
          <w:p w14:paraId="0693D555" w14:textId="77777777" w:rsidR="000D07EA" w:rsidRDefault="00BE7C89">
            <w:pPr>
              <w:pStyle w:val="BodyText"/>
              <w:spacing w:before="100" w:after="100"/>
            </w:pPr>
            <w:r>
              <w:t>No</w:t>
            </w:r>
          </w:p>
        </w:tc>
      </w:tr>
      <w:tr w:rsidR="000D07EA" w14:paraId="6917B017" w14:textId="77777777">
        <w:trPr>
          <w:trHeight w:val="20"/>
        </w:trPr>
        <w:tc>
          <w:tcPr>
            <w:tcW w:w="2500" w:type="pct"/>
          </w:tcPr>
          <w:p w14:paraId="71D5B28A" w14:textId="77777777" w:rsidR="000D07EA" w:rsidRDefault="00BE7C89">
            <w:pPr>
              <w:pStyle w:val="BodyText"/>
              <w:spacing w:before="100" w:after="100"/>
            </w:pPr>
            <w:r>
              <w:t>VOIP services</w:t>
            </w:r>
          </w:p>
        </w:tc>
        <w:tc>
          <w:tcPr>
            <w:tcW w:w="2500" w:type="pct"/>
          </w:tcPr>
          <w:p w14:paraId="2E2F568A" w14:textId="77777777" w:rsidR="000D07EA" w:rsidRDefault="00BE7C89">
            <w:pPr>
              <w:pStyle w:val="BodyText"/>
              <w:spacing w:before="100" w:after="100"/>
            </w:pPr>
            <w:r>
              <w:t>No</w:t>
            </w:r>
          </w:p>
        </w:tc>
      </w:tr>
    </w:tbl>
    <w:p w14:paraId="4CCB58E4" w14:textId="77777777" w:rsidR="000D07EA" w:rsidRDefault="000D07EA">
      <w:pPr>
        <w:pStyle w:val="BodyText"/>
      </w:pPr>
    </w:p>
    <w:p w14:paraId="301E0A4E" w14:textId="77777777" w:rsidR="000D07EA" w:rsidRDefault="00BE7C89">
      <w:pPr>
        <w:pStyle w:val="BodyText"/>
        <w:keepNext/>
        <w:ind w:left="720"/>
        <w:rPr>
          <w:b/>
        </w:rPr>
      </w:pPr>
      <w:r>
        <w:rPr>
          <w:b/>
        </w:rPr>
        <w:t>Table 2B – Eligible for Unlimited BlackBerry POP3 Email &amp; Browsing through the BlackBerry Browser</w:t>
      </w:r>
    </w:p>
    <w:tbl>
      <w:tblPr>
        <w:tblW w:w="4686" w:type="pct"/>
        <w:tblInd w:w="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774"/>
        <w:gridCol w:w="4774"/>
      </w:tblGrid>
      <w:tr w:rsidR="000D07EA" w14:paraId="515AC7D8" w14:textId="77777777">
        <w:trPr>
          <w:trHeight w:val="20"/>
        </w:trPr>
        <w:tc>
          <w:tcPr>
            <w:tcW w:w="2500" w:type="pct"/>
          </w:tcPr>
          <w:p w14:paraId="0B7E2642" w14:textId="77777777" w:rsidR="000D07EA" w:rsidRDefault="00BE7C89">
            <w:pPr>
              <w:pStyle w:val="BodyText"/>
              <w:keepNext/>
              <w:spacing w:before="100" w:after="100"/>
              <w:jc w:val="center"/>
              <w:rPr>
                <w:b/>
                <w:snapToGrid w:val="0"/>
              </w:rPr>
            </w:pPr>
            <w:r>
              <w:rPr>
                <w:b/>
                <w:snapToGrid w:val="0"/>
              </w:rPr>
              <w:t>Call Type</w:t>
            </w:r>
          </w:p>
        </w:tc>
        <w:tc>
          <w:tcPr>
            <w:tcW w:w="2500" w:type="pct"/>
          </w:tcPr>
          <w:p w14:paraId="018E763E" w14:textId="77777777" w:rsidR="000D07EA" w:rsidRDefault="00BE7C89">
            <w:pPr>
              <w:pStyle w:val="BodyText"/>
              <w:spacing w:before="100" w:after="100"/>
              <w:jc w:val="center"/>
              <w:rPr>
                <w:b/>
                <w:snapToGrid w:val="0"/>
              </w:rPr>
            </w:pPr>
            <w:r>
              <w:rPr>
                <w:b/>
                <w:snapToGrid w:val="0"/>
              </w:rPr>
              <w:t>Eligible Data</w:t>
            </w:r>
          </w:p>
        </w:tc>
      </w:tr>
      <w:tr w:rsidR="000D07EA" w14:paraId="475B0D45" w14:textId="77777777">
        <w:trPr>
          <w:trHeight w:val="20"/>
        </w:trPr>
        <w:tc>
          <w:tcPr>
            <w:tcW w:w="2500" w:type="pct"/>
          </w:tcPr>
          <w:p w14:paraId="22B18077" w14:textId="77777777" w:rsidR="000D07EA" w:rsidRDefault="00BE7C89">
            <w:pPr>
              <w:pStyle w:val="BodyText"/>
              <w:spacing w:before="100" w:after="100"/>
              <w:jc w:val="center"/>
              <w:rPr>
                <w:snapToGrid w:val="0"/>
              </w:rPr>
            </w:pPr>
            <w:r>
              <w:rPr>
                <w:snapToGrid w:val="0"/>
              </w:rPr>
              <w:t>BlackBerry Email (POP3)</w:t>
            </w:r>
          </w:p>
        </w:tc>
        <w:tc>
          <w:tcPr>
            <w:tcW w:w="2500" w:type="pct"/>
          </w:tcPr>
          <w:p w14:paraId="0E9A0FC1" w14:textId="77777777" w:rsidR="000D07EA" w:rsidRDefault="00BE7C89">
            <w:pPr>
              <w:pStyle w:val="BodyText"/>
              <w:spacing w:before="100" w:after="100"/>
              <w:jc w:val="center"/>
              <w:rPr>
                <w:snapToGrid w:val="0"/>
              </w:rPr>
            </w:pPr>
            <w:r>
              <w:rPr>
                <w:snapToGrid w:val="0"/>
              </w:rPr>
              <w:t>Yes</w:t>
            </w:r>
          </w:p>
        </w:tc>
      </w:tr>
      <w:tr w:rsidR="000D07EA" w14:paraId="5DC55227" w14:textId="77777777">
        <w:trPr>
          <w:trHeight w:val="20"/>
        </w:trPr>
        <w:tc>
          <w:tcPr>
            <w:tcW w:w="2500" w:type="pct"/>
          </w:tcPr>
          <w:p w14:paraId="0B18E5B7" w14:textId="77777777" w:rsidR="000D07EA" w:rsidRDefault="00BE7C89">
            <w:pPr>
              <w:pStyle w:val="BodyText"/>
              <w:spacing w:before="100" w:after="100"/>
              <w:jc w:val="center"/>
              <w:rPr>
                <w:snapToGrid w:val="0"/>
              </w:rPr>
            </w:pPr>
            <w:r>
              <w:rPr>
                <w:snapToGrid w:val="0"/>
              </w:rPr>
              <w:t>Internet Browsing through the BlackBerry Browser and/or the BlackBerry Internet Browser</w:t>
            </w:r>
          </w:p>
        </w:tc>
        <w:tc>
          <w:tcPr>
            <w:tcW w:w="2500" w:type="pct"/>
          </w:tcPr>
          <w:p w14:paraId="55314232" w14:textId="77777777" w:rsidR="000D07EA" w:rsidRDefault="00BE7C89">
            <w:pPr>
              <w:pStyle w:val="BodyText"/>
              <w:spacing w:before="100" w:after="100"/>
              <w:jc w:val="center"/>
              <w:rPr>
                <w:snapToGrid w:val="0"/>
              </w:rPr>
            </w:pPr>
            <w:r>
              <w:rPr>
                <w:snapToGrid w:val="0"/>
              </w:rPr>
              <w:t>Yes</w:t>
            </w:r>
          </w:p>
        </w:tc>
      </w:tr>
      <w:tr w:rsidR="000D07EA" w14:paraId="7C843E19" w14:textId="77777777">
        <w:trPr>
          <w:trHeight w:val="20"/>
        </w:trPr>
        <w:tc>
          <w:tcPr>
            <w:tcW w:w="2500" w:type="pct"/>
          </w:tcPr>
          <w:p w14:paraId="75ED81C6" w14:textId="77777777" w:rsidR="000D07EA" w:rsidRDefault="00BE7C89">
            <w:pPr>
              <w:pStyle w:val="BodyText"/>
              <w:spacing w:before="100" w:after="100"/>
              <w:jc w:val="center"/>
              <w:rPr>
                <w:snapToGrid w:val="0"/>
              </w:rPr>
            </w:pPr>
            <w:r>
              <w:rPr>
                <w:snapToGrid w:val="0"/>
              </w:rPr>
              <w:t>Optus Zoo downloads and subscriptions</w:t>
            </w:r>
          </w:p>
        </w:tc>
        <w:tc>
          <w:tcPr>
            <w:tcW w:w="2500" w:type="pct"/>
          </w:tcPr>
          <w:p w14:paraId="33988071" w14:textId="77777777" w:rsidR="000D07EA" w:rsidRDefault="00BE7C89">
            <w:pPr>
              <w:pStyle w:val="BodyText"/>
              <w:spacing w:before="100" w:after="100"/>
              <w:jc w:val="center"/>
            </w:pPr>
            <w:r>
              <w:rPr>
                <w:snapToGrid w:val="0"/>
              </w:rPr>
              <w:t>No</w:t>
            </w:r>
          </w:p>
        </w:tc>
      </w:tr>
      <w:tr w:rsidR="000D07EA" w14:paraId="06B96AAD" w14:textId="77777777">
        <w:trPr>
          <w:trHeight w:val="20"/>
        </w:trPr>
        <w:tc>
          <w:tcPr>
            <w:tcW w:w="2500" w:type="pct"/>
          </w:tcPr>
          <w:p w14:paraId="784F371F" w14:textId="77777777" w:rsidR="000D07EA" w:rsidRDefault="00BE7C89">
            <w:pPr>
              <w:pStyle w:val="BodyText"/>
              <w:spacing w:before="100" w:after="100"/>
              <w:jc w:val="center"/>
              <w:rPr>
                <w:snapToGrid w:val="0"/>
              </w:rPr>
            </w:pPr>
            <w:r>
              <w:rPr>
                <w:snapToGrid w:val="0"/>
              </w:rPr>
              <w:t>Optus Zoo GPRS WAP browsing</w:t>
            </w:r>
          </w:p>
        </w:tc>
        <w:tc>
          <w:tcPr>
            <w:tcW w:w="2500" w:type="pct"/>
          </w:tcPr>
          <w:p w14:paraId="12028BC9" w14:textId="77777777" w:rsidR="000D07EA" w:rsidRDefault="00BE7C89">
            <w:pPr>
              <w:pStyle w:val="BodyText"/>
              <w:spacing w:before="100" w:after="100"/>
              <w:jc w:val="center"/>
              <w:rPr>
                <w:snapToGrid w:val="0"/>
              </w:rPr>
            </w:pPr>
            <w:r>
              <w:rPr>
                <w:snapToGrid w:val="0"/>
              </w:rPr>
              <w:t>No</w:t>
            </w:r>
          </w:p>
        </w:tc>
      </w:tr>
      <w:tr w:rsidR="000D07EA" w14:paraId="334D4F36" w14:textId="77777777">
        <w:trPr>
          <w:trHeight w:val="60"/>
        </w:trPr>
        <w:tc>
          <w:tcPr>
            <w:tcW w:w="2500" w:type="pct"/>
          </w:tcPr>
          <w:p w14:paraId="123E1B5C" w14:textId="77777777" w:rsidR="000D07EA" w:rsidRDefault="00BE7C89">
            <w:pPr>
              <w:pStyle w:val="BodyText"/>
              <w:spacing w:before="100" w:after="100"/>
              <w:jc w:val="center"/>
            </w:pPr>
            <w:r>
              <w:lastRenderedPageBreak/>
              <w:t>Applications from Optus and third party applications that require a BlackBerry Data connection</w:t>
            </w:r>
          </w:p>
        </w:tc>
        <w:tc>
          <w:tcPr>
            <w:tcW w:w="2500" w:type="pct"/>
          </w:tcPr>
          <w:p w14:paraId="73AC47D9" w14:textId="77777777" w:rsidR="000D07EA" w:rsidRDefault="00BE7C89">
            <w:pPr>
              <w:pStyle w:val="BodyText"/>
              <w:spacing w:before="100" w:after="100"/>
              <w:jc w:val="center"/>
              <w:rPr>
                <w:snapToGrid w:val="0"/>
              </w:rPr>
            </w:pPr>
            <w:r>
              <w:rPr>
                <w:snapToGrid w:val="0"/>
              </w:rPr>
              <w:t>Yes</w:t>
            </w:r>
          </w:p>
        </w:tc>
      </w:tr>
      <w:tr w:rsidR="000D07EA" w14:paraId="7C5A618B" w14:textId="77777777">
        <w:trPr>
          <w:trHeight w:val="20"/>
        </w:trPr>
        <w:tc>
          <w:tcPr>
            <w:tcW w:w="2500" w:type="pct"/>
          </w:tcPr>
          <w:p w14:paraId="37E49C5D" w14:textId="77777777" w:rsidR="000D07EA" w:rsidRDefault="00BE7C89">
            <w:pPr>
              <w:pStyle w:val="BodyText"/>
              <w:spacing w:before="100" w:after="100"/>
              <w:jc w:val="center"/>
              <w:rPr>
                <w:snapToGrid w:val="0"/>
              </w:rPr>
            </w:pPr>
            <w:r>
              <w:rPr>
                <w:snapToGrid w:val="0"/>
              </w:rPr>
              <w:t>All other call types or usage</w:t>
            </w:r>
          </w:p>
        </w:tc>
        <w:tc>
          <w:tcPr>
            <w:tcW w:w="2500" w:type="pct"/>
          </w:tcPr>
          <w:p w14:paraId="584F7C24" w14:textId="77777777" w:rsidR="000D07EA" w:rsidRDefault="00BE7C89">
            <w:pPr>
              <w:pStyle w:val="BodyText"/>
              <w:spacing w:before="100" w:after="100"/>
              <w:jc w:val="center"/>
              <w:rPr>
                <w:snapToGrid w:val="0"/>
              </w:rPr>
            </w:pPr>
            <w:r>
              <w:rPr>
                <w:snapToGrid w:val="0"/>
              </w:rPr>
              <w:t>No</w:t>
            </w:r>
          </w:p>
        </w:tc>
      </w:tr>
    </w:tbl>
    <w:p w14:paraId="325D03FD" w14:textId="77777777" w:rsidR="000D07EA" w:rsidRDefault="000D07EA">
      <w:pPr>
        <w:pStyle w:val="BodyText"/>
      </w:pPr>
    </w:p>
    <w:p w14:paraId="356EC95E" w14:textId="77777777" w:rsidR="000D07EA" w:rsidRDefault="00BE7C89">
      <w:pPr>
        <w:pStyle w:val="BodyText"/>
        <w:ind w:left="720"/>
        <w:rPr>
          <w:b/>
        </w:rPr>
      </w:pPr>
      <w:r>
        <w:rPr>
          <w:b/>
        </w:rPr>
        <w:t>Table 2C – Eligible for the Unlimited Mobile Internet Data on the $129 Business Timeless Advantage &amp; $129 Business Timeless Advantage (Premium H/set) plans.</w:t>
      </w:r>
    </w:p>
    <w:tbl>
      <w:tblPr>
        <w:tblW w:w="4686" w:type="pct"/>
        <w:tblInd w:w="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774"/>
        <w:gridCol w:w="4774"/>
      </w:tblGrid>
      <w:tr w:rsidR="000D07EA" w14:paraId="4B54D262" w14:textId="77777777">
        <w:trPr>
          <w:trHeight w:val="20"/>
          <w:tblHeader/>
        </w:trPr>
        <w:tc>
          <w:tcPr>
            <w:tcW w:w="2500" w:type="pct"/>
          </w:tcPr>
          <w:p w14:paraId="762FE76C" w14:textId="77777777" w:rsidR="000D07EA" w:rsidRDefault="00BE7C89">
            <w:pPr>
              <w:pStyle w:val="BodyText"/>
              <w:spacing w:before="100" w:after="100"/>
              <w:rPr>
                <w:b/>
              </w:rPr>
            </w:pPr>
            <w:r>
              <w:rPr>
                <w:b/>
              </w:rPr>
              <w:t>Call Type</w:t>
            </w:r>
          </w:p>
        </w:tc>
        <w:tc>
          <w:tcPr>
            <w:tcW w:w="2500" w:type="pct"/>
          </w:tcPr>
          <w:p w14:paraId="26CE16FE" w14:textId="77777777" w:rsidR="000D07EA" w:rsidRDefault="00BE7C89">
            <w:pPr>
              <w:pStyle w:val="BodyText"/>
              <w:spacing w:before="100" w:after="100"/>
              <w:rPr>
                <w:b/>
              </w:rPr>
            </w:pPr>
            <w:r>
              <w:rPr>
                <w:b/>
              </w:rPr>
              <w:t xml:space="preserve">Eligible Data </w:t>
            </w:r>
          </w:p>
        </w:tc>
      </w:tr>
      <w:tr w:rsidR="000D07EA" w14:paraId="13A0915E" w14:textId="77777777">
        <w:trPr>
          <w:trHeight w:val="20"/>
        </w:trPr>
        <w:tc>
          <w:tcPr>
            <w:tcW w:w="2500" w:type="pct"/>
          </w:tcPr>
          <w:p w14:paraId="1017D7B7" w14:textId="77777777" w:rsidR="000D07EA" w:rsidRDefault="00BE7C89">
            <w:pPr>
              <w:pStyle w:val="BodyText"/>
              <w:spacing w:before="100" w:after="100"/>
            </w:pPr>
            <w:r>
              <w:t>National Voice Calls</w:t>
            </w:r>
          </w:p>
        </w:tc>
        <w:tc>
          <w:tcPr>
            <w:tcW w:w="2500" w:type="pct"/>
          </w:tcPr>
          <w:p w14:paraId="7DBB4059" w14:textId="77777777" w:rsidR="000D07EA" w:rsidRDefault="00BE7C89">
            <w:pPr>
              <w:pStyle w:val="BodyText"/>
              <w:spacing w:before="100" w:after="100"/>
            </w:pPr>
            <w:r>
              <w:t>No</w:t>
            </w:r>
          </w:p>
        </w:tc>
      </w:tr>
      <w:tr w:rsidR="000D07EA" w14:paraId="25D16A11" w14:textId="77777777">
        <w:trPr>
          <w:trHeight w:val="20"/>
        </w:trPr>
        <w:tc>
          <w:tcPr>
            <w:tcW w:w="2500" w:type="pct"/>
          </w:tcPr>
          <w:p w14:paraId="11F58085" w14:textId="77777777" w:rsidR="000D07EA" w:rsidRDefault="00BE7C89">
            <w:pPr>
              <w:pStyle w:val="BodyText"/>
              <w:spacing w:before="100" w:after="100"/>
            </w:pPr>
            <w:r>
              <w:t>National Video Calls</w:t>
            </w:r>
          </w:p>
        </w:tc>
        <w:tc>
          <w:tcPr>
            <w:tcW w:w="2500" w:type="pct"/>
          </w:tcPr>
          <w:p w14:paraId="125018BB" w14:textId="77777777" w:rsidR="000D07EA" w:rsidRDefault="00BE7C89">
            <w:pPr>
              <w:pStyle w:val="BodyText"/>
              <w:spacing w:before="100" w:after="100"/>
            </w:pPr>
            <w:r>
              <w:t>No</w:t>
            </w:r>
          </w:p>
        </w:tc>
      </w:tr>
      <w:tr w:rsidR="000D07EA" w14:paraId="75039220" w14:textId="77777777">
        <w:trPr>
          <w:trHeight w:val="20"/>
        </w:trPr>
        <w:tc>
          <w:tcPr>
            <w:tcW w:w="2500" w:type="pct"/>
          </w:tcPr>
          <w:p w14:paraId="6DDEE77D" w14:textId="77777777" w:rsidR="000D07EA" w:rsidRDefault="00BE7C89">
            <w:pPr>
              <w:pStyle w:val="BodyText"/>
              <w:spacing w:before="100" w:after="100"/>
            </w:pPr>
            <w:r>
              <w:t>International Voice Calls</w:t>
            </w:r>
          </w:p>
          <w:p w14:paraId="1B639408" w14:textId="77777777" w:rsidR="000D07EA" w:rsidRDefault="00BE7C89">
            <w:pPr>
              <w:pStyle w:val="BodyText"/>
              <w:spacing w:before="100" w:after="100"/>
            </w:pPr>
            <w:r>
              <w:rPr>
                <w:snapToGrid w:val="0"/>
              </w:rPr>
              <w:t>(includes calls to national fixed or GSM mobile services that then divert/switch or re-route overseas)</w:t>
            </w:r>
          </w:p>
        </w:tc>
        <w:tc>
          <w:tcPr>
            <w:tcW w:w="2500" w:type="pct"/>
          </w:tcPr>
          <w:p w14:paraId="5632C6DB" w14:textId="77777777" w:rsidR="000D07EA" w:rsidRDefault="00BE7C89">
            <w:pPr>
              <w:pStyle w:val="BodyText"/>
              <w:spacing w:before="100" w:after="100"/>
            </w:pPr>
            <w:r>
              <w:t xml:space="preserve">No </w:t>
            </w:r>
          </w:p>
        </w:tc>
      </w:tr>
      <w:tr w:rsidR="000D07EA" w14:paraId="76116411" w14:textId="77777777">
        <w:trPr>
          <w:trHeight w:val="20"/>
        </w:trPr>
        <w:tc>
          <w:tcPr>
            <w:tcW w:w="2500" w:type="pct"/>
          </w:tcPr>
          <w:p w14:paraId="2509DC46" w14:textId="77777777" w:rsidR="000D07EA" w:rsidRDefault="00BE7C89">
            <w:pPr>
              <w:pStyle w:val="BodyText"/>
              <w:spacing w:before="100" w:after="100"/>
            </w:pPr>
            <w:r>
              <w:t>International Video Calls</w:t>
            </w:r>
          </w:p>
          <w:p w14:paraId="06542CA5" w14:textId="77777777" w:rsidR="000D07EA" w:rsidRDefault="00BE7C89">
            <w:pPr>
              <w:pStyle w:val="BodyText"/>
              <w:spacing w:before="100" w:after="100"/>
            </w:pPr>
            <w:r>
              <w:rPr>
                <w:snapToGrid w:val="0"/>
              </w:rPr>
              <w:t>(includes calls to national fixed or GSM mobile services that then divert/switch or re-route overseas)</w:t>
            </w:r>
          </w:p>
        </w:tc>
        <w:tc>
          <w:tcPr>
            <w:tcW w:w="2500" w:type="pct"/>
          </w:tcPr>
          <w:p w14:paraId="664166CB" w14:textId="77777777" w:rsidR="000D07EA" w:rsidRDefault="00BE7C89">
            <w:pPr>
              <w:pStyle w:val="BodyText"/>
              <w:spacing w:before="100" w:after="100"/>
            </w:pPr>
            <w:r>
              <w:t>No</w:t>
            </w:r>
          </w:p>
        </w:tc>
      </w:tr>
      <w:tr w:rsidR="000D07EA" w14:paraId="700DB9E1" w14:textId="77777777">
        <w:trPr>
          <w:trHeight w:val="20"/>
        </w:trPr>
        <w:tc>
          <w:tcPr>
            <w:tcW w:w="2500" w:type="pct"/>
          </w:tcPr>
          <w:p w14:paraId="1438D6B7" w14:textId="77777777" w:rsidR="000D07EA" w:rsidRDefault="00BE7C89">
            <w:pPr>
              <w:pStyle w:val="BodyText"/>
              <w:spacing w:before="100" w:after="100"/>
            </w:pPr>
            <w:r>
              <w:t>National Standard SMS</w:t>
            </w:r>
          </w:p>
        </w:tc>
        <w:tc>
          <w:tcPr>
            <w:tcW w:w="2500" w:type="pct"/>
          </w:tcPr>
          <w:p w14:paraId="6391EBBE" w14:textId="77777777" w:rsidR="000D07EA" w:rsidRDefault="00BE7C89">
            <w:pPr>
              <w:pStyle w:val="BodyText"/>
              <w:spacing w:before="100" w:after="100"/>
            </w:pPr>
            <w:r>
              <w:t>No</w:t>
            </w:r>
          </w:p>
        </w:tc>
      </w:tr>
      <w:tr w:rsidR="000D07EA" w14:paraId="0F75C27D" w14:textId="77777777">
        <w:trPr>
          <w:trHeight w:val="20"/>
        </w:trPr>
        <w:tc>
          <w:tcPr>
            <w:tcW w:w="2500" w:type="pct"/>
          </w:tcPr>
          <w:p w14:paraId="59A0CF1E" w14:textId="77777777" w:rsidR="000D07EA" w:rsidRDefault="00BE7C89">
            <w:pPr>
              <w:pStyle w:val="BodyText"/>
              <w:spacing w:before="100" w:after="100"/>
            </w:pPr>
            <w:r>
              <w:t>International SMS</w:t>
            </w:r>
          </w:p>
        </w:tc>
        <w:tc>
          <w:tcPr>
            <w:tcW w:w="2500" w:type="pct"/>
          </w:tcPr>
          <w:p w14:paraId="09369EC6" w14:textId="77777777" w:rsidR="000D07EA" w:rsidRDefault="00BE7C89">
            <w:pPr>
              <w:pStyle w:val="BodyText"/>
              <w:spacing w:before="100" w:after="100"/>
            </w:pPr>
            <w:r>
              <w:t>No</w:t>
            </w:r>
          </w:p>
        </w:tc>
      </w:tr>
      <w:tr w:rsidR="000D07EA" w14:paraId="39CB1EB9" w14:textId="77777777">
        <w:trPr>
          <w:trHeight w:val="20"/>
        </w:trPr>
        <w:tc>
          <w:tcPr>
            <w:tcW w:w="2500" w:type="pct"/>
          </w:tcPr>
          <w:p w14:paraId="33B2DD7F" w14:textId="77777777" w:rsidR="000D07EA" w:rsidRDefault="00BE7C89">
            <w:pPr>
              <w:pStyle w:val="BodyText"/>
              <w:spacing w:before="100" w:after="100"/>
            </w:pPr>
            <w:r>
              <w:t>National MMS</w:t>
            </w:r>
          </w:p>
        </w:tc>
        <w:tc>
          <w:tcPr>
            <w:tcW w:w="2500" w:type="pct"/>
          </w:tcPr>
          <w:p w14:paraId="6FE831CB" w14:textId="77777777" w:rsidR="000D07EA" w:rsidRDefault="00BE7C89">
            <w:pPr>
              <w:pStyle w:val="BodyText"/>
              <w:spacing w:before="100" w:after="100"/>
            </w:pPr>
            <w:r>
              <w:t>No</w:t>
            </w:r>
          </w:p>
        </w:tc>
      </w:tr>
      <w:tr w:rsidR="000D07EA" w14:paraId="7BDCF344" w14:textId="77777777">
        <w:trPr>
          <w:trHeight w:val="20"/>
        </w:trPr>
        <w:tc>
          <w:tcPr>
            <w:tcW w:w="2500" w:type="pct"/>
          </w:tcPr>
          <w:p w14:paraId="4066814A" w14:textId="77777777" w:rsidR="000D07EA" w:rsidRDefault="00BE7C89">
            <w:pPr>
              <w:pStyle w:val="BodyText"/>
              <w:spacing w:before="100" w:after="100"/>
            </w:pPr>
            <w:r>
              <w:t>International MMS</w:t>
            </w:r>
          </w:p>
        </w:tc>
        <w:tc>
          <w:tcPr>
            <w:tcW w:w="2500" w:type="pct"/>
          </w:tcPr>
          <w:p w14:paraId="377AC4CE" w14:textId="77777777" w:rsidR="000D07EA" w:rsidRDefault="00BE7C89">
            <w:pPr>
              <w:pStyle w:val="BodyText"/>
              <w:spacing w:before="100" w:after="100"/>
            </w:pPr>
            <w:r>
              <w:t>No</w:t>
            </w:r>
          </w:p>
        </w:tc>
      </w:tr>
      <w:tr w:rsidR="000D07EA" w14:paraId="2B3D5491" w14:textId="77777777">
        <w:trPr>
          <w:trHeight w:val="20"/>
        </w:trPr>
        <w:tc>
          <w:tcPr>
            <w:tcW w:w="2500" w:type="pct"/>
          </w:tcPr>
          <w:p w14:paraId="666D6F23" w14:textId="77777777" w:rsidR="000D07EA" w:rsidRDefault="00BE7C89">
            <w:pPr>
              <w:pStyle w:val="BodyText"/>
              <w:spacing w:before="100" w:after="100"/>
            </w:pPr>
            <w:r>
              <w:t>Voicemail Diversions</w:t>
            </w:r>
          </w:p>
        </w:tc>
        <w:tc>
          <w:tcPr>
            <w:tcW w:w="2500" w:type="pct"/>
          </w:tcPr>
          <w:p w14:paraId="0F4D803D" w14:textId="77777777" w:rsidR="000D07EA" w:rsidRDefault="00BE7C89">
            <w:pPr>
              <w:pStyle w:val="BodyText"/>
              <w:spacing w:before="100" w:after="100"/>
            </w:pPr>
            <w:r>
              <w:t>No</w:t>
            </w:r>
          </w:p>
        </w:tc>
      </w:tr>
      <w:tr w:rsidR="000D07EA" w14:paraId="72F77178" w14:textId="77777777">
        <w:trPr>
          <w:trHeight w:val="20"/>
        </w:trPr>
        <w:tc>
          <w:tcPr>
            <w:tcW w:w="2500" w:type="pct"/>
          </w:tcPr>
          <w:p w14:paraId="6AE1FF30" w14:textId="77777777" w:rsidR="000D07EA" w:rsidRDefault="00BE7C89">
            <w:pPr>
              <w:pStyle w:val="BodyText"/>
              <w:spacing w:before="100" w:after="100"/>
            </w:pPr>
            <w:r>
              <w:t>Voicemail Deposit and Retrievals</w:t>
            </w:r>
          </w:p>
        </w:tc>
        <w:tc>
          <w:tcPr>
            <w:tcW w:w="2500" w:type="pct"/>
          </w:tcPr>
          <w:p w14:paraId="7B07BD55" w14:textId="77777777" w:rsidR="000D07EA" w:rsidRDefault="00BE7C89">
            <w:pPr>
              <w:pStyle w:val="BodyText"/>
              <w:spacing w:before="100" w:after="100"/>
            </w:pPr>
            <w:r>
              <w:t>No</w:t>
            </w:r>
          </w:p>
        </w:tc>
      </w:tr>
      <w:tr w:rsidR="000D07EA" w14:paraId="5FAA8A97" w14:textId="77777777">
        <w:trPr>
          <w:trHeight w:val="20"/>
        </w:trPr>
        <w:tc>
          <w:tcPr>
            <w:tcW w:w="2500" w:type="pct"/>
          </w:tcPr>
          <w:p w14:paraId="19C8F1B9" w14:textId="77777777" w:rsidR="000D07EA" w:rsidRDefault="00BE7C89">
            <w:pPr>
              <w:pStyle w:val="BodyText"/>
              <w:spacing w:before="100" w:after="100"/>
            </w:pPr>
            <w:r>
              <w:t>International Roaming and Diversion</w:t>
            </w:r>
          </w:p>
        </w:tc>
        <w:tc>
          <w:tcPr>
            <w:tcW w:w="2500" w:type="pct"/>
          </w:tcPr>
          <w:p w14:paraId="4CEDF3B0" w14:textId="77777777" w:rsidR="000D07EA" w:rsidRDefault="00BE7C89">
            <w:pPr>
              <w:pStyle w:val="BodyText"/>
              <w:spacing w:before="100" w:after="100"/>
            </w:pPr>
            <w:r>
              <w:t>No</w:t>
            </w:r>
          </w:p>
        </w:tc>
      </w:tr>
      <w:tr w:rsidR="000D07EA" w14:paraId="112F420D" w14:textId="77777777">
        <w:trPr>
          <w:trHeight w:val="20"/>
        </w:trPr>
        <w:tc>
          <w:tcPr>
            <w:tcW w:w="2500" w:type="pct"/>
          </w:tcPr>
          <w:p w14:paraId="2C93B306" w14:textId="77777777" w:rsidR="000D07EA" w:rsidRDefault="00BE7C89">
            <w:pPr>
              <w:pStyle w:val="BodyText"/>
              <w:spacing w:before="100" w:after="100"/>
            </w:pPr>
            <w:r>
              <w:t>Premium SMS</w:t>
            </w:r>
          </w:p>
        </w:tc>
        <w:tc>
          <w:tcPr>
            <w:tcW w:w="2500" w:type="pct"/>
          </w:tcPr>
          <w:p w14:paraId="3947C3CC" w14:textId="77777777" w:rsidR="000D07EA" w:rsidRDefault="00BE7C89">
            <w:pPr>
              <w:pStyle w:val="BodyText"/>
              <w:spacing w:before="100" w:after="100"/>
            </w:pPr>
            <w:r>
              <w:t>No</w:t>
            </w:r>
          </w:p>
        </w:tc>
      </w:tr>
      <w:tr w:rsidR="000D07EA" w14:paraId="031C9FEB" w14:textId="77777777">
        <w:trPr>
          <w:trHeight w:val="20"/>
        </w:trPr>
        <w:tc>
          <w:tcPr>
            <w:tcW w:w="2500" w:type="pct"/>
          </w:tcPr>
          <w:p w14:paraId="5D05B780" w14:textId="77777777" w:rsidR="000D07EA" w:rsidRDefault="00BE7C89">
            <w:pPr>
              <w:pStyle w:val="BodyText"/>
              <w:spacing w:before="100" w:after="100"/>
            </w:pPr>
            <w:r>
              <w:t>Premium Video</w:t>
            </w:r>
          </w:p>
        </w:tc>
        <w:tc>
          <w:tcPr>
            <w:tcW w:w="2500" w:type="pct"/>
          </w:tcPr>
          <w:p w14:paraId="3F5D8DFB" w14:textId="77777777" w:rsidR="000D07EA" w:rsidRDefault="00BE7C89">
            <w:pPr>
              <w:pStyle w:val="BodyText"/>
              <w:spacing w:before="100" w:after="100"/>
            </w:pPr>
            <w:r>
              <w:t>No</w:t>
            </w:r>
          </w:p>
        </w:tc>
      </w:tr>
      <w:tr w:rsidR="000D07EA" w14:paraId="671C1733" w14:textId="77777777">
        <w:trPr>
          <w:trHeight w:val="20"/>
        </w:trPr>
        <w:tc>
          <w:tcPr>
            <w:tcW w:w="2500" w:type="pct"/>
          </w:tcPr>
          <w:p w14:paraId="7C2FA3A7" w14:textId="77777777" w:rsidR="000D07EA" w:rsidRDefault="00BE7C89">
            <w:pPr>
              <w:pStyle w:val="BodyText"/>
              <w:spacing w:before="100" w:after="100"/>
            </w:pPr>
            <w:r>
              <w:t>Video Conferencing</w:t>
            </w:r>
          </w:p>
        </w:tc>
        <w:tc>
          <w:tcPr>
            <w:tcW w:w="2500" w:type="pct"/>
          </w:tcPr>
          <w:p w14:paraId="4AA64118" w14:textId="77777777" w:rsidR="000D07EA" w:rsidRDefault="00BE7C89">
            <w:pPr>
              <w:pStyle w:val="BodyText"/>
              <w:spacing w:before="100" w:after="100"/>
            </w:pPr>
            <w:r>
              <w:t>No</w:t>
            </w:r>
          </w:p>
        </w:tc>
      </w:tr>
      <w:tr w:rsidR="000D07EA" w14:paraId="1D263614" w14:textId="77777777">
        <w:trPr>
          <w:trHeight w:val="20"/>
        </w:trPr>
        <w:tc>
          <w:tcPr>
            <w:tcW w:w="2500" w:type="pct"/>
          </w:tcPr>
          <w:p w14:paraId="3BB2E56E" w14:textId="77777777" w:rsidR="000D07EA" w:rsidRDefault="00BE7C89">
            <w:pPr>
              <w:pStyle w:val="BodyText"/>
              <w:spacing w:before="100" w:after="100"/>
            </w:pPr>
            <w:r>
              <w:t>Optus Zoo or Optus iZoo Browsing</w:t>
            </w:r>
          </w:p>
        </w:tc>
        <w:tc>
          <w:tcPr>
            <w:tcW w:w="2500" w:type="pct"/>
          </w:tcPr>
          <w:p w14:paraId="591887FF" w14:textId="77777777" w:rsidR="000D07EA" w:rsidRDefault="00BE7C89">
            <w:pPr>
              <w:pStyle w:val="BodyText"/>
              <w:spacing w:before="100" w:after="100"/>
            </w:pPr>
            <w:r>
              <w:t>Yes</w:t>
            </w:r>
          </w:p>
        </w:tc>
      </w:tr>
      <w:tr w:rsidR="000D07EA" w14:paraId="1DC44CF8" w14:textId="77777777">
        <w:trPr>
          <w:trHeight w:val="20"/>
        </w:trPr>
        <w:tc>
          <w:tcPr>
            <w:tcW w:w="2500" w:type="pct"/>
          </w:tcPr>
          <w:p w14:paraId="5DF55B14" w14:textId="77777777" w:rsidR="000D07EA" w:rsidRDefault="00BE7C89">
            <w:pPr>
              <w:pStyle w:val="BodyText"/>
              <w:spacing w:before="100" w:after="100"/>
            </w:pPr>
            <w:r>
              <w:t>Optus Zoo or Optus iZoo Downloads</w:t>
            </w:r>
          </w:p>
        </w:tc>
        <w:tc>
          <w:tcPr>
            <w:tcW w:w="2500" w:type="pct"/>
          </w:tcPr>
          <w:p w14:paraId="28B408DA" w14:textId="77777777" w:rsidR="000D07EA" w:rsidRDefault="00BE7C89">
            <w:pPr>
              <w:pStyle w:val="BodyText"/>
              <w:spacing w:before="100" w:after="100"/>
            </w:pPr>
            <w:r>
              <w:t>No</w:t>
            </w:r>
          </w:p>
        </w:tc>
      </w:tr>
      <w:tr w:rsidR="000D07EA" w14:paraId="27074DFE" w14:textId="77777777">
        <w:trPr>
          <w:trHeight w:val="20"/>
        </w:trPr>
        <w:tc>
          <w:tcPr>
            <w:tcW w:w="2500" w:type="pct"/>
          </w:tcPr>
          <w:p w14:paraId="0EC97B4C" w14:textId="77777777" w:rsidR="000D07EA" w:rsidRDefault="00BE7C89">
            <w:pPr>
              <w:pStyle w:val="BodyText"/>
              <w:spacing w:before="100" w:after="100"/>
            </w:pPr>
            <w:r>
              <w:t>SMS to 966 (Zoo)</w:t>
            </w:r>
          </w:p>
        </w:tc>
        <w:tc>
          <w:tcPr>
            <w:tcW w:w="2500" w:type="pct"/>
          </w:tcPr>
          <w:p w14:paraId="628BC4BC" w14:textId="77777777" w:rsidR="000D07EA" w:rsidRDefault="00BE7C89">
            <w:pPr>
              <w:pStyle w:val="BodyText"/>
              <w:spacing w:before="100" w:after="100"/>
            </w:pPr>
            <w:r>
              <w:t>No</w:t>
            </w:r>
          </w:p>
        </w:tc>
      </w:tr>
      <w:tr w:rsidR="000D07EA" w14:paraId="3794BC05" w14:textId="77777777">
        <w:trPr>
          <w:trHeight w:val="20"/>
        </w:trPr>
        <w:tc>
          <w:tcPr>
            <w:tcW w:w="2500" w:type="pct"/>
          </w:tcPr>
          <w:p w14:paraId="5E47E01D" w14:textId="77777777" w:rsidR="000D07EA" w:rsidRDefault="00BE7C89">
            <w:pPr>
              <w:pStyle w:val="BodyText"/>
              <w:spacing w:before="100" w:after="100"/>
            </w:pPr>
            <w:r>
              <w:t>Mobile Internet usage</w:t>
            </w:r>
          </w:p>
        </w:tc>
        <w:tc>
          <w:tcPr>
            <w:tcW w:w="2500" w:type="pct"/>
          </w:tcPr>
          <w:p w14:paraId="066DA662" w14:textId="77777777" w:rsidR="000D07EA" w:rsidRDefault="00BE7C89">
            <w:pPr>
              <w:pStyle w:val="BodyText"/>
              <w:spacing w:before="100" w:after="100"/>
            </w:pPr>
            <w:r>
              <w:t>Yes</w:t>
            </w:r>
          </w:p>
        </w:tc>
      </w:tr>
      <w:tr w:rsidR="000D07EA" w14:paraId="5B6E0E98" w14:textId="77777777">
        <w:trPr>
          <w:trHeight w:val="20"/>
        </w:trPr>
        <w:tc>
          <w:tcPr>
            <w:tcW w:w="2500" w:type="pct"/>
          </w:tcPr>
          <w:p w14:paraId="5FFDCB0E" w14:textId="77777777" w:rsidR="000D07EA" w:rsidRDefault="00BE7C89">
            <w:pPr>
              <w:pStyle w:val="BodyText"/>
              <w:spacing w:before="100" w:after="100"/>
            </w:pPr>
            <w:r>
              <w:t>Mobile as Modem</w:t>
            </w:r>
          </w:p>
        </w:tc>
        <w:tc>
          <w:tcPr>
            <w:tcW w:w="2500" w:type="pct"/>
          </w:tcPr>
          <w:p w14:paraId="2663BD9E" w14:textId="77777777" w:rsidR="000D07EA" w:rsidRDefault="00BE7C89">
            <w:pPr>
              <w:pStyle w:val="BodyText"/>
              <w:spacing w:before="100" w:after="100"/>
            </w:pPr>
            <w:r>
              <w:t>No</w:t>
            </w:r>
          </w:p>
        </w:tc>
      </w:tr>
      <w:tr w:rsidR="000D07EA" w14:paraId="0A7229C1" w14:textId="77777777">
        <w:trPr>
          <w:trHeight w:val="20"/>
        </w:trPr>
        <w:tc>
          <w:tcPr>
            <w:tcW w:w="2500" w:type="pct"/>
          </w:tcPr>
          <w:p w14:paraId="2832BFE7" w14:textId="77777777" w:rsidR="000D07EA" w:rsidRDefault="00BE7C89">
            <w:pPr>
              <w:pStyle w:val="BodyText"/>
              <w:spacing w:before="100" w:after="100"/>
            </w:pPr>
            <w:r>
              <w:t>Data Used while Roaming Internationally</w:t>
            </w:r>
          </w:p>
        </w:tc>
        <w:tc>
          <w:tcPr>
            <w:tcW w:w="2500" w:type="pct"/>
          </w:tcPr>
          <w:p w14:paraId="3DF8BCDC" w14:textId="77777777" w:rsidR="000D07EA" w:rsidRDefault="00BE7C89">
            <w:pPr>
              <w:pStyle w:val="BodyText"/>
              <w:spacing w:before="100" w:after="100"/>
            </w:pPr>
            <w:r>
              <w:t>No</w:t>
            </w:r>
          </w:p>
        </w:tc>
      </w:tr>
      <w:tr w:rsidR="000D07EA" w14:paraId="6D1348D9" w14:textId="77777777">
        <w:trPr>
          <w:trHeight w:val="20"/>
        </w:trPr>
        <w:tc>
          <w:tcPr>
            <w:tcW w:w="2500" w:type="pct"/>
          </w:tcPr>
          <w:p w14:paraId="58B87ED2" w14:textId="77777777" w:rsidR="000D07EA" w:rsidRDefault="00BE7C89">
            <w:pPr>
              <w:pStyle w:val="BodyText"/>
              <w:spacing w:before="100" w:after="100"/>
            </w:pPr>
            <w:r>
              <w:t>Content Packs (unless specified in promotions)</w:t>
            </w:r>
          </w:p>
        </w:tc>
        <w:tc>
          <w:tcPr>
            <w:tcW w:w="2500" w:type="pct"/>
          </w:tcPr>
          <w:p w14:paraId="38E6107C" w14:textId="77777777" w:rsidR="000D07EA" w:rsidRDefault="00BE7C89">
            <w:pPr>
              <w:pStyle w:val="BodyText"/>
              <w:spacing w:before="100" w:after="100"/>
            </w:pPr>
            <w:r>
              <w:t>No</w:t>
            </w:r>
          </w:p>
        </w:tc>
      </w:tr>
      <w:tr w:rsidR="000D07EA" w14:paraId="307058E0" w14:textId="77777777">
        <w:trPr>
          <w:trHeight w:val="20"/>
        </w:trPr>
        <w:tc>
          <w:tcPr>
            <w:tcW w:w="2500" w:type="pct"/>
          </w:tcPr>
          <w:p w14:paraId="17DEAAF0" w14:textId="77777777" w:rsidR="000D07EA" w:rsidRDefault="00BE7C89">
            <w:pPr>
              <w:pStyle w:val="BodyText"/>
              <w:spacing w:before="100" w:after="100"/>
            </w:pPr>
            <w:r>
              <w:lastRenderedPageBreak/>
              <w:t>TrueLocal Usage</w:t>
            </w:r>
          </w:p>
        </w:tc>
        <w:tc>
          <w:tcPr>
            <w:tcW w:w="2500" w:type="pct"/>
          </w:tcPr>
          <w:p w14:paraId="545087A3" w14:textId="77777777" w:rsidR="000D07EA" w:rsidRDefault="00BE7C89">
            <w:pPr>
              <w:pStyle w:val="BodyText"/>
              <w:spacing w:before="100" w:after="100"/>
            </w:pPr>
            <w:r>
              <w:t>No</w:t>
            </w:r>
          </w:p>
        </w:tc>
      </w:tr>
      <w:tr w:rsidR="000D07EA" w14:paraId="7E244852" w14:textId="77777777">
        <w:trPr>
          <w:trHeight w:val="20"/>
        </w:trPr>
        <w:tc>
          <w:tcPr>
            <w:tcW w:w="2500" w:type="pct"/>
          </w:tcPr>
          <w:p w14:paraId="610E48FD" w14:textId="77777777" w:rsidR="000D07EA" w:rsidRDefault="00BE7C89">
            <w:pPr>
              <w:pStyle w:val="BodyText"/>
              <w:spacing w:before="100" w:after="100"/>
            </w:pPr>
            <w:r>
              <w:t xml:space="preserve">Directory Assistance- 1223 </w:t>
            </w:r>
          </w:p>
        </w:tc>
        <w:tc>
          <w:tcPr>
            <w:tcW w:w="2500" w:type="pct"/>
          </w:tcPr>
          <w:p w14:paraId="7C12F3EA" w14:textId="77777777" w:rsidR="000D07EA" w:rsidRDefault="00BE7C89">
            <w:pPr>
              <w:pStyle w:val="BodyText"/>
              <w:spacing w:before="100" w:after="100"/>
            </w:pPr>
            <w:r>
              <w:t>No</w:t>
            </w:r>
          </w:p>
        </w:tc>
      </w:tr>
      <w:tr w:rsidR="000D07EA" w14:paraId="2166036F" w14:textId="77777777">
        <w:trPr>
          <w:trHeight w:val="20"/>
        </w:trPr>
        <w:tc>
          <w:tcPr>
            <w:tcW w:w="2500" w:type="pct"/>
          </w:tcPr>
          <w:p w14:paraId="50F77CC8" w14:textId="77777777" w:rsidR="000D07EA" w:rsidRDefault="00BE7C89">
            <w:pPr>
              <w:pStyle w:val="BodyText"/>
              <w:spacing w:before="100" w:after="100"/>
            </w:pPr>
            <w:r>
              <w:t>19XX Numbers</w:t>
            </w:r>
          </w:p>
        </w:tc>
        <w:tc>
          <w:tcPr>
            <w:tcW w:w="2500" w:type="pct"/>
          </w:tcPr>
          <w:p w14:paraId="417ADC66" w14:textId="77777777" w:rsidR="000D07EA" w:rsidRDefault="00BE7C89">
            <w:pPr>
              <w:pStyle w:val="BodyText"/>
              <w:spacing w:before="100" w:after="100"/>
            </w:pPr>
            <w:r>
              <w:t>No</w:t>
            </w:r>
          </w:p>
        </w:tc>
      </w:tr>
      <w:tr w:rsidR="000D07EA" w14:paraId="42F17F0D" w14:textId="77777777">
        <w:trPr>
          <w:trHeight w:val="20"/>
        </w:trPr>
        <w:tc>
          <w:tcPr>
            <w:tcW w:w="2500" w:type="pct"/>
          </w:tcPr>
          <w:p w14:paraId="619E6CA6" w14:textId="77777777" w:rsidR="000D07EA" w:rsidRDefault="00BE7C89">
            <w:pPr>
              <w:pStyle w:val="BodyText"/>
              <w:spacing w:before="100" w:after="100"/>
            </w:pPr>
            <w:r>
              <w:t>1800, 13 and 1300 numbers</w:t>
            </w:r>
          </w:p>
        </w:tc>
        <w:tc>
          <w:tcPr>
            <w:tcW w:w="2500" w:type="pct"/>
          </w:tcPr>
          <w:p w14:paraId="15BB0668" w14:textId="77777777" w:rsidR="000D07EA" w:rsidRDefault="00BE7C89">
            <w:pPr>
              <w:pStyle w:val="BodyText"/>
              <w:spacing w:before="100" w:after="100"/>
            </w:pPr>
            <w:r>
              <w:t>No</w:t>
            </w:r>
          </w:p>
        </w:tc>
      </w:tr>
      <w:tr w:rsidR="000D07EA" w14:paraId="0476B4FB" w14:textId="77777777">
        <w:trPr>
          <w:trHeight w:val="20"/>
        </w:trPr>
        <w:tc>
          <w:tcPr>
            <w:tcW w:w="2500" w:type="pct"/>
          </w:tcPr>
          <w:p w14:paraId="45A3E333" w14:textId="77777777" w:rsidR="000D07EA" w:rsidRDefault="00BE7C89">
            <w:pPr>
              <w:pStyle w:val="BodyText"/>
              <w:spacing w:before="100" w:after="100"/>
            </w:pPr>
            <w:r>
              <w:t>124YES(937)</w:t>
            </w:r>
          </w:p>
        </w:tc>
        <w:tc>
          <w:tcPr>
            <w:tcW w:w="2500" w:type="pct"/>
          </w:tcPr>
          <w:p w14:paraId="3B4FEE53" w14:textId="77777777" w:rsidR="000D07EA" w:rsidRDefault="00BE7C89">
            <w:pPr>
              <w:pStyle w:val="BodyText"/>
              <w:spacing w:before="100" w:after="100"/>
            </w:pPr>
            <w:r>
              <w:t>No</w:t>
            </w:r>
          </w:p>
        </w:tc>
      </w:tr>
      <w:tr w:rsidR="000D07EA" w14:paraId="74055DC0" w14:textId="77777777">
        <w:trPr>
          <w:trHeight w:val="20"/>
        </w:trPr>
        <w:tc>
          <w:tcPr>
            <w:tcW w:w="2500" w:type="pct"/>
          </w:tcPr>
          <w:p w14:paraId="5909B7F4" w14:textId="77777777" w:rsidR="000D07EA" w:rsidRDefault="00BE7C89">
            <w:pPr>
              <w:pStyle w:val="BodyText"/>
              <w:spacing w:before="100" w:after="100"/>
            </w:pPr>
            <w:r>
              <w:t>Insurance</w:t>
            </w:r>
          </w:p>
        </w:tc>
        <w:tc>
          <w:tcPr>
            <w:tcW w:w="2500" w:type="pct"/>
          </w:tcPr>
          <w:p w14:paraId="64E30360" w14:textId="77777777" w:rsidR="000D07EA" w:rsidRDefault="00BE7C89">
            <w:pPr>
              <w:pStyle w:val="BodyText"/>
              <w:spacing w:before="100" w:after="100"/>
            </w:pPr>
            <w:r>
              <w:t>No</w:t>
            </w:r>
          </w:p>
        </w:tc>
      </w:tr>
      <w:tr w:rsidR="000D07EA" w14:paraId="1175D159" w14:textId="77777777">
        <w:trPr>
          <w:trHeight w:val="20"/>
        </w:trPr>
        <w:tc>
          <w:tcPr>
            <w:tcW w:w="2500" w:type="pct"/>
          </w:tcPr>
          <w:p w14:paraId="0CEA93D3" w14:textId="77777777" w:rsidR="000D07EA" w:rsidRDefault="00BE7C89">
            <w:pPr>
              <w:pStyle w:val="BodyText"/>
              <w:spacing w:before="100" w:after="100"/>
            </w:pPr>
            <w:r>
              <w:t>Handset Payments</w:t>
            </w:r>
          </w:p>
        </w:tc>
        <w:tc>
          <w:tcPr>
            <w:tcW w:w="2500" w:type="pct"/>
          </w:tcPr>
          <w:p w14:paraId="1E35CFE9" w14:textId="77777777" w:rsidR="000D07EA" w:rsidRDefault="00BE7C89">
            <w:pPr>
              <w:pStyle w:val="BodyText"/>
              <w:spacing w:before="100" w:after="100"/>
            </w:pPr>
            <w:r>
              <w:t>No</w:t>
            </w:r>
          </w:p>
        </w:tc>
      </w:tr>
      <w:tr w:rsidR="000D07EA" w14:paraId="134C79D1" w14:textId="77777777">
        <w:trPr>
          <w:trHeight w:val="20"/>
        </w:trPr>
        <w:tc>
          <w:tcPr>
            <w:tcW w:w="2500" w:type="pct"/>
          </w:tcPr>
          <w:p w14:paraId="6FED038B" w14:textId="77777777" w:rsidR="000D07EA" w:rsidRDefault="00BE7C89">
            <w:pPr>
              <w:pStyle w:val="BodyText"/>
              <w:spacing w:before="100" w:after="100"/>
            </w:pPr>
            <w:r>
              <w:t>Calls to MobileSat</w:t>
            </w:r>
          </w:p>
        </w:tc>
        <w:tc>
          <w:tcPr>
            <w:tcW w:w="2500" w:type="pct"/>
          </w:tcPr>
          <w:p w14:paraId="72ADDEE2" w14:textId="77777777" w:rsidR="000D07EA" w:rsidRDefault="00BE7C89">
            <w:pPr>
              <w:pStyle w:val="BodyText"/>
              <w:spacing w:before="100" w:after="100"/>
            </w:pPr>
            <w:r>
              <w:t>No</w:t>
            </w:r>
          </w:p>
        </w:tc>
      </w:tr>
      <w:tr w:rsidR="000D07EA" w14:paraId="52DD4EC7" w14:textId="77777777">
        <w:trPr>
          <w:trHeight w:val="20"/>
        </w:trPr>
        <w:tc>
          <w:tcPr>
            <w:tcW w:w="2500" w:type="pct"/>
          </w:tcPr>
          <w:p w14:paraId="77EA082F" w14:textId="77777777" w:rsidR="000D07EA" w:rsidRDefault="00BE7C89">
            <w:pPr>
              <w:pStyle w:val="BodyText"/>
              <w:spacing w:before="100" w:after="100"/>
            </w:pPr>
            <w:r>
              <w:t>VOIP services</w:t>
            </w:r>
          </w:p>
        </w:tc>
        <w:tc>
          <w:tcPr>
            <w:tcW w:w="2500" w:type="pct"/>
          </w:tcPr>
          <w:p w14:paraId="6848FB4B" w14:textId="77777777" w:rsidR="000D07EA" w:rsidRDefault="00BE7C89">
            <w:pPr>
              <w:pStyle w:val="BodyText"/>
              <w:spacing w:before="100" w:after="100"/>
            </w:pPr>
            <w:r>
              <w:t>No</w:t>
            </w:r>
          </w:p>
        </w:tc>
      </w:tr>
    </w:tbl>
    <w:p w14:paraId="0F23FCAA" w14:textId="77777777" w:rsidR="000D07EA" w:rsidRDefault="000D07EA">
      <w:pPr>
        <w:pStyle w:val="BodyText"/>
      </w:pPr>
    </w:p>
    <w:p w14:paraId="72A0CD76" w14:textId="77777777" w:rsidR="000D07EA" w:rsidRDefault="00BE7C89">
      <w:pPr>
        <w:pStyle w:val="BodyText"/>
        <w:ind w:left="720"/>
        <w:rPr>
          <w:b/>
        </w:rPr>
      </w:pPr>
      <w:r>
        <w:rPr>
          <w:b/>
        </w:rPr>
        <w:t>Table 2D – Eligible for the included International Value</w:t>
      </w:r>
    </w:p>
    <w:tbl>
      <w:tblPr>
        <w:tblW w:w="4686" w:type="pct"/>
        <w:tblInd w:w="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774"/>
        <w:gridCol w:w="4774"/>
      </w:tblGrid>
      <w:tr w:rsidR="000D07EA" w14:paraId="1AF85086" w14:textId="77777777">
        <w:trPr>
          <w:trHeight w:val="20"/>
          <w:tblHeader/>
        </w:trPr>
        <w:tc>
          <w:tcPr>
            <w:tcW w:w="2500" w:type="pct"/>
          </w:tcPr>
          <w:p w14:paraId="1DF7218E" w14:textId="77777777" w:rsidR="000D07EA" w:rsidRDefault="00BE7C89">
            <w:pPr>
              <w:pStyle w:val="BodyText"/>
              <w:spacing w:before="100" w:after="100"/>
              <w:rPr>
                <w:b/>
              </w:rPr>
            </w:pPr>
            <w:r>
              <w:rPr>
                <w:b/>
              </w:rPr>
              <w:t>Call Type</w:t>
            </w:r>
          </w:p>
        </w:tc>
        <w:tc>
          <w:tcPr>
            <w:tcW w:w="2500" w:type="pct"/>
          </w:tcPr>
          <w:p w14:paraId="2CCEF777" w14:textId="77777777" w:rsidR="000D07EA" w:rsidRDefault="00BE7C89">
            <w:pPr>
              <w:pStyle w:val="BodyText"/>
              <w:spacing w:before="100" w:after="100"/>
              <w:rPr>
                <w:b/>
              </w:rPr>
            </w:pPr>
            <w:r>
              <w:rPr>
                <w:b/>
              </w:rPr>
              <w:t xml:space="preserve">Eligible Call </w:t>
            </w:r>
          </w:p>
        </w:tc>
      </w:tr>
      <w:tr w:rsidR="000D07EA" w14:paraId="501488CF" w14:textId="77777777">
        <w:trPr>
          <w:trHeight w:val="20"/>
        </w:trPr>
        <w:tc>
          <w:tcPr>
            <w:tcW w:w="2500" w:type="pct"/>
          </w:tcPr>
          <w:p w14:paraId="4335D250" w14:textId="77777777" w:rsidR="000D07EA" w:rsidRDefault="00BE7C89">
            <w:pPr>
              <w:pStyle w:val="BodyText"/>
              <w:spacing w:before="100" w:after="100"/>
            </w:pPr>
            <w:r>
              <w:t>National Voice Calls</w:t>
            </w:r>
          </w:p>
        </w:tc>
        <w:tc>
          <w:tcPr>
            <w:tcW w:w="2500" w:type="pct"/>
          </w:tcPr>
          <w:p w14:paraId="02D2124B" w14:textId="77777777" w:rsidR="000D07EA" w:rsidRDefault="00BE7C89">
            <w:pPr>
              <w:pStyle w:val="BodyText"/>
              <w:spacing w:before="100" w:after="100"/>
            </w:pPr>
            <w:r>
              <w:t>No</w:t>
            </w:r>
          </w:p>
        </w:tc>
      </w:tr>
      <w:tr w:rsidR="000D07EA" w14:paraId="286C87A2" w14:textId="77777777">
        <w:trPr>
          <w:trHeight w:val="20"/>
        </w:trPr>
        <w:tc>
          <w:tcPr>
            <w:tcW w:w="2500" w:type="pct"/>
          </w:tcPr>
          <w:p w14:paraId="3ED14491" w14:textId="77777777" w:rsidR="000D07EA" w:rsidRDefault="00BE7C89">
            <w:pPr>
              <w:pStyle w:val="BodyText"/>
              <w:spacing w:before="100" w:after="100"/>
            </w:pPr>
            <w:r>
              <w:t>National Video Calls</w:t>
            </w:r>
          </w:p>
        </w:tc>
        <w:tc>
          <w:tcPr>
            <w:tcW w:w="2500" w:type="pct"/>
          </w:tcPr>
          <w:p w14:paraId="7D405792" w14:textId="77777777" w:rsidR="000D07EA" w:rsidRDefault="00BE7C89">
            <w:pPr>
              <w:pStyle w:val="BodyText"/>
              <w:spacing w:before="100" w:after="100"/>
            </w:pPr>
            <w:r>
              <w:t>No</w:t>
            </w:r>
          </w:p>
        </w:tc>
      </w:tr>
      <w:tr w:rsidR="000D07EA" w14:paraId="306EDF9B" w14:textId="77777777">
        <w:trPr>
          <w:trHeight w:val="20"/>
        </w:trPr>
        <w:tc>
          <w:tcPr>
            <w:tcW w:w="2500" w:type="pct"/>
          </w:tcPr>
          <w:p w14:paraId="669C149C" w14:textId="77777777" w:rsidR="000D07EA" w:rsidRDefault="00BE7C89">
            <w:pPr>
              <w:pStyle w:val="BodyText"/>
              <w:spacing w:before="100" w:after="100"/>
            </w:pPr>
            <w:r>
              <w:t>International Voice Calls</w:t>
            </w:r>
          </w:p>
          <w:p w14:paraId="0CCF9ECF" w14:textId="77777777" w:rsidR="000D07EA" w:rsidRDefault="00BE7C89">
            <w:pPr>
              <w:pStyle w:val="BodyText"/>
              <w:spacing w:before="100" w:after="100"/>
            </w:pPr>
            <w:r>
              <w:rPr>
                <w:snapToGrid w:val="0"/>
              </w:rPr>
              <w:t>(includes calls to national fixed or GSM mobile services that then divert/switch or re-route overseas)</w:t>
            </w:r>
          </w:p>
        </w:tc>
        <w:tc>
          <w:tcPr>
            <w:tcW w:w="2500" w:type="pct"/>
          </w:tcPr>
          <w:p w14:paraId="140C2186" w14:textId="77777777" w:rsidR="000D07EA" w:rsidRDefault="00BE7C89">
            <w:pPr>
              <w:pStyle w:val="BodyText"/>
              <w:spacing w:before="100" w:after="100"/>
            </w:pPr>
            <w:r>
              <w:t>Yes</w:t>
            </w:r>
          </w:p>
        </w:tc>
      </w:tr>
      <w:tr w:rsidR="000D07EA" w14:paraId="58DF559C" w14:textId="77777777">
        <w:trPr>
          <w:trHeight w:val="20"/>
        </w:trPr>
        <w:tc>
          <w:tcPr>
            <w:tcW w:w="2500" w:type="pct"/>
          </w:tcPr>
          <w:p w14:paraId="2885138E" w14:textId="77777777" w:rsidR="000D07EA" w:rsidRDefault="00BE7C89">
            <w:pPr>
              <w:pStyle w:val="BodyText"/>
              <w:spacing w:before="100" w:after="100"/>
            </w:pPr>
            <w:r>
              <w:t>International Video Calls</w:t>
            </w:r>
          </w:p>
          <w:p w14:paraId="144BE4B0" w14:textId="77777777" w:rsidR="000D07EA" w:rsidRDefault="00BE7C89">
            <w:pPr>
              <w:pStyle w:val="BodyText"/>
              <w:spacing w:before="100" w:after="100"/>
            </w:pPr>
            <w:r>
              <w:rPr>
                <w:snapToGrid w:val="0"/>
              </w:rPr>
              <w:t>(includes calls to national fixed or GSM mobile services that then divert/switch or re-route overseas)</w:t>
            </w:r>
          </w:p>
        </w:tc>
        <w:tc>
          <w:tcPr>
            <w:tcW w:w="2500" w:type="pct"/>
          </w:tcPr>
          <w:p w14:paraId="3E90ECF5" w14:textId="77777777" w:rsidR="000D07EA" w:rsidRDefault="00BE7C89">
            <w:pPr>
              <w:pStyle w:val="BodyText"/>
              <w:spacing w:before="100" w:after="100"/>
            </w:pPr>
            <w:r>
              <w:t>No</w:t>
            </w:r>
          </w:p>
        </w:tc>
      </w:tr>
      <w:tr w:rsidR="000D07EA" w14:paraId="7E7B238A" w14:textId="77777777">
        <w:trPr>
          <w:trHeight w:val="20"/>
        </w:trPr>
        <w:tc>
          <w:tcPr>
            <w:tcW w:w="2500" w:type="pct"/>
          </w:tcPr>
          <w:p w14:paraId="0AE41D03" w14:textId="77777777" w:rsidR="000D07EA" w:rsidRDefault="00BE7C89">
            <w:pPr>
              <w:pStyle w:val="BodyText"/>
              <w:spacing w:before="100" w:after="100"/>
            </w:pPr>
            <w:r>
              <w:t>National Standard SMS</w:t>
            </w:r>
          </w:p>
        </w:tc>
        <w:tc>
          <w:tcPr>
            <w:tcW w:w="2500" w:type="pct"/>
          </w:tcPr>
          <w:p w14:paraId="6C39BFAC" w14:textId="77777777" w:rsidR="000D07EA" w:rsidRDefault="00BE7C89">
            <w:pPr>
              <w:pStyle w:val="BodyText"/>
              <w:spacing w:before="100" w:after="100"/>
            </w:pPr>
            <w:r>
              <w:t>No</w:t>
            </w:r>
          </w:p>
        </w:tc>
      </w:tr>
      <w:tr w:rsidR="000D07EA" w14:paraId="030E252D" w14:textId="77777777">
        <w:trPr>
          <w:trHeight w:val="20"/>
        </w:trPr>
        <w:tc>
          <w:tcPr>
            <w:tcW w:w="2500" w:type="pct"/>
          </w:tcPr>
          <w:p w14:paraId="550F614A" w14:textId="77777777" w:rsidR="000D07EA" w:rsidRDefault="00BE7C89">
            <w:pPr>
              <w:pStyle w:val="BodyText"/>
              <w:spacing w:before="100" w:after="100"/>
            </w:pPr>
            <w:r>
              <w:t>International SMS</w:t>
            </w:r>
          </w:p>
        </w:tc>
        <w:tc>
          <w:tcPr>
            <w:tcW w:w="2500" w:type="pct"/>
          </w:tcPr>
          <w:p w14:paraId="4A142CF9" w14:textId="77777777" w:rsidR="000D07EA" w:rsidRDefault="00BE7C89">
            <w:pPr>
              <w:pStyle w:val="BodyText"/>
              <w:spacing w:before="100" w:after="100"/>
            </w:pPr>
            <w:r>
              <w:t>Yes</w:t>
            </w:r>
          </w:p>
        </w:tc>
      </w:tr>
      <w:tr w:rsidR="000D07EA" w14:paraId="628ABF0B" w14:textId="77777777">
        <w:trPr>
          <w:trHeight w:val="20"/>
        </w:trPr>
        <w:tc>
          <w:tcPr>
            <w:tcW w:w="2500" w:type="pct"/>
          </w:tcPr>
          <w:p w14:paraId="50B4E538" w14:textId="77777777" w:rsidR="000D07EA" w:rsidRDefault="00BE7C89">
            <w:pPr>
              <w:pStyle w:val="BodyText"/>
              <w:spacing w:before="100" w:after="100"/>
            </w:pPr>
            <w:r>
              <w:t>National MMS</w:t>
            </w:r>
          </w:p>
        </w:tc>
        <w:tc>
          <w:tcPr>
            <w:tcW w:w="2500" w:type="pct"/>
          </w:tcPr>
          <w:p w14:paraId="46CA8630" w14:textId="77777777" w:rsidR="000D07EA" w:rsidRDefault="00BE7C89">
            <w:pPr>
              <w:pStyle w:val="BodyText"/>
              <w:spacing w:before="100" w:after="100"/>
            </w:pPr>
            <w:r>
              <w:t>No</w:t>
            </w:r>
          </w:p>
        </w:tc>
      </w:tr>
      <w:tr w:rsidR="000D07EA" w14:paraId="2B1B71C0" w14:textId="77777777">
        <w:trPr>
          <w:trHeight w:val="20"/>
        </w:trPr>
        <w:tc>
          <w:tcPr>
            <w:tcW w:w="2500" w:type="pct"/>
          </w:tcPr>
          <w:p w14:paraId="7FD00081" w14:textId="77777777" w:rsidR="000D07EA" w:rsidRDefault="00BE7C89">
            <w:pPr>
              <w:pStyle w:val="BodyText"/>
              <w:spacing w:before="100" w:after="100"/>
            </w:pPr>
            <w:r>
              <w:t>International MMS</w:t>
            </w:r>
          </w:p>
        </w:tc>
        <w:tc>
          <w:tcPr>
            <w:tcW w:w="2500" w:type="pct"/>
          </w:tcPr>
          <w:p w14:paraId="69B04A33" w14:textId="77777777" w:rsidR="000D07EA" w:rsidRDefault="00BE7C89">
            <w:pPr>
              <w:pStyle w:val="BodyText"/>
              <w:spacing w:before="100" w:after="100"/>
            </w:pPr>
            <w:r>
              <w:t>Yes</w:t>
            </w:r>
          </w:p>
        </w:tc>
      </w:tr>
      <w:tr w:rsidR="000D07EA" w14:paraId="63A23C7A" w14:textId="77777777">
        <w:trPr>
          <w:trHeight w:val="20"/>
        </w:trPr>
        <w:tc>
          <w:tcPr>
            <w:tcW w:w="2500" w:type="pct"/>
          </w:tcPr>
          <w:p w14:paraId="56E7A9D1" w14:textId="77777777" w:rsidR="000D07EA" w:rsidRDefault="00BE7C89">
            <w:pPr>
              <w:pStyle w:val="BodyText"/>
              <w:spacing w:before="100" w:after="100"/>
            </w:pPr>
            <w:r>
              <w:t>National Diversions</w:t>
            </w:r>
          </w:p>
        </w:tc>
        <w:tc>
          <w:tcPr>
            <w:tcW w:w="2500" w:type="pct"/>
          </w:tcPr>
          <w:p w14:paraId="106A9351" w14:textId="77777777" w:rsidR="000D07EA" w:rsidRDefault="00BE7C89">
            <w:pPr>
              <w:pStyle w:val="BodyText"/>
              <w:spacing w:before="100" w:after="100"/>
            </w:pPr>
            <w:r>
              <w:t>No</w:t>
            </w:r>
          </w:p>
        </w:tc>
      </w:tr>
      <w:tr w:rsidR="000D07EA" w14:paraId="236FF543" w14:textId="77777777">
        <w:trPr>
          <w:trHeight w:val="20"/>
        </w:trPr>
        <w:tc>
          <w:tcPr>
            <w:tcW w:w="2500" w:type="pct"/>
          </w:tcPr>
          <w:p w14:paraId="61F6FB0C" w14:textId="77777777" w:rsidR="000D07EA" w:rsidRDefault="00BE7C89">
            <w:pPr>
              <w:pStyle w:val="BodyText"/>
              <w:spacing w:before="100" w:after="100"/>
            </w:pPr>
            <w:r>
              <w:t>Voicemail Deposit and Retrievals</w:t>
            </w:r>
          </w:p>
        </w:tc>
        <w:tc>
          <w:tcPr>
            <w:tcW w:w="2500" w:type="pct"/>
          </w:tcPr>
          <w:p w14:paraId="5B09D652" w14:textId="77777777" w:rsidR="000D07EA" w:rsidRDefault="00BE7C89">
            <w:pPr>
              <w:pStyle w:val="BodyText"/>
              <w:spacing w:before="100" w:after="100"/>
            </w:pPr>
            <w:r>
              <w:t>No</w:t>
            </w:r>
          </w:p>
        </w:tc>
      </w:tr>
      <w:tr w:rsidR="000D07EA" w14:paraId="536F80DE" w14:textId="77777777">
        <w:trPr>
          <w:trHeight w:val="20"/>
        </w:trPr>
        <w:tc>
          <w:tcPr>
            <w:tcW w:w="2500" w:type="pct"/>
          </w:tcPr>
          <w:p w14:paraId="1920CD48" w14:textId="77777777" w:rsidR="000D07EA" w:rsidRDefault="00BE7C89">
            <w:pPr>
              <w:pStyle w:val="BodyText"/>
              <w:spacing w:before="100" w:after="100"/>
            </w:pPr>
            <w:r>
              <w:t>International Roaming and Diversion</w:t>
            </w:r>
          </w:p>
        </w:tc>
        <w:tc>
          <w:tcPr>
            <w:tcW w:w="2500" w:type="pct"/>
          </w:tcPr>
          <w:p w14:paraId="1A6FF0A4" w14:textId="77777777" w:rsidR="000D07EA" w:rsidRDefault="00BE7C89">
            <w:pPr>
              <w:pStyle w:val="BodyText"/>
              <w:spacing w:before="100" w:after="100"/>
            </w:pPr>
            <w:r>
              <w:t>No</w:t>
            </w:r>
          </w:p>
        </w:tc>
      </w:tr>
      <w:tr w:rsidR="000D07EA" w14:paraId="04F48971" w14:textId="77777777">
        <w:trPr>
          <w:trHeight w:val="20"/>
        </w:trPr>
        <w:tc>
          <w:tcPr>
            <w:tcW w:w="2500" w:type="pct"/>
          </w:tcPr>
          <w:p w14:paraId="77AFB4D0" w14:textId="77777777" w:rsidR="000D07EA" w:rsidRDefault="00BE7C89">
            <w:pPr>
              <w:pStyle w:val="BodyText"/>
              <w:spacing w:before="100" w:after="100"/>
            </w:pPr>
            <w:r>
              <w:t>Premium SMS</w:t>
            </w:r>
          </w:p>
        </w:tc>
        <w:tc>
          <w:tcPr>
            <w:tcW w:w="2500" w:type="pct"/>
          </w:tcPr>
          <w:p w14:paraId="2AB88C8B" w14:textId="77777777" w:rsidR="000D07EA" w:rsidRDefault="00BE7C89">
            <w:pPr>
              <w:pStyle w:val="BodyText"/>
              <w:spacing w:before="100" w:after="100"/>
            </w:pPr>
            <w:r>
              <w:t>No</w:t>
            </w:r>
          </w:p>
        </w:tc>
      </w:tr>
      <w:tr w:rsidR="000D07EA" w14:paraId="60555CD8" w14:textId="77777777">
        <w:trPr>
          <w:trHeight w:val="20"/>
        </w:trPr>
        <w:tc>
          <w:tcPr>
            <w:tcW w:w="2500" w:type="pct"/>
          </w:tcPr>
          <w:p w14:paraId="34495878" w14:textId="77777777" w:rsidR="000D07EA" w:rsidRDefault="00BE7C89">
            <w:pPr>
              <w:pStyle w:val="BodyText"/>
              <w:spacing w:before="100" w:after="100"/>
            </w:pPr>
            <w:r>
              <w:t>Premium Video</w:t>
            </w:r>
          </w:p>
        </w:tc>
        <w:tc>
          <w:tcPr>
            <w:tcW w:w="2500" w:type="pct"/>
          </w:tcPr>
          <w:p w14:paraId="7CD3B1B5" w14:textId="77777777" w:rsidR="000D07EA" w:rsidRDefault="00BE7C89">
            <w:pPr>
              <w:pStyle w:val="BodyText"/>
              <w:spacing w:before="100" w:after="100"/>
            </w:pPr>
            <w:r>
              <w:t>No</w:t>
            </w:r>
          </w:p>
        </w:tc>
      </w:tr>
      <w:tr w:rsidR="000D07EA" w14:paraId="79CF68CA" w14:textId="77777777">
        <w:trPr>
          <w:trHeight w:val="20"/>
        </w:trPr>
        <w:tc>
          <w:tcPr>
            <w:tcW w:w="2500" w:type="pct"/>
          </w:tcPr>
          <w:p w14:paraId="45D7C07B" w14:textId="77777777" w:rsidR="000D07EA" w:rsidRDefault="00BE7C89">
            <w:pPr>
              <w:pStyle w:val="BodyText"/>
              <w:spacing w:before="100" w:after="100"/>
            </w:pPr>
            <w:r>
              <w:t>Video Conferencing</w:t>
            </w:r>
          </w:p>
        </w:tc>
        <w:tc>
          <w:tcPr>
            <w:tcW w:w="2500" w:type="pct"/>
          </w:tcPr>
          <w:p w14:paraId="01000BC0" w14:textId="77777777" w:rsidR="000D07EA" w:rsidRDefault="00BE7C89">
            <w:pPr>
              <w:pStyle w:val="BodyText"/>
              <w:spacing w:before="100" w:after="100"/>
            </w:pPr>
            <w:r>
              <w:t>No</w:t>
            </w:r>
          </w:p>
        </w:tc>
      </w:tr>
      <w:tr w:rsidR="000D07EA" w14:paraId="7748070B" w14:textId="77777777">
        <w:trPr>
          <w:trHeight w:val="20"/>
        </w:trPr>
        <w:tc>
          <w:tcPr>
            <w:tcW w:w="2500" w:type="pct"/>
          </w:tcPr>
          <w:p w14:paraId="24F3F563" w14:textId="77777777" w:rsidR="000D07EA" w:rsidRDefault="00BE7C89">
            <w:pPr>
              <w:pStyle w:val="BodyText"/>
              <w:spacing w:before="100" w:after="100"/>
            </w:pPr>
            <w:r>
              <w:t>Optus Zoo or Optus iZoo Browsing</w:t>
            </w:r>
          </w:p>
        </w:tc>
        <w:tc>
          <w:tcPr>
            <w:tcW w:w="2500" w:type="pct"/>
          </w:tcPr>
          <w:p w14:paraId="3E199A7A" w14:textId="77777777" w:rsidR="000D07EA" w:rsidRDefault="00BE7C89">
            <w:pPr>
              <w:pStyle w:val="BodyText"/>
              <w:spacing w:before="100" w:after="100"/>
            </w:pPr>
            <w:r>
              <w:t>No</w:t>
            </w:r>
          </w:p>
        </w:tc>
      </w:tr>
      <w:tr w:rsidR="000D07EA" w14:paraId="42F8B4CA" w14:textId="77777777">
        <w:trPr>
          <w:trHeight w:val="20"/>
        </w:trPr>
        <w:tc>
          <w:tcPr>
            <w:tcW w:w="2500" w:type="pct"/>
          </w:tcPr>
          <w:p w14:paraId="21433133" w14:textId="77777777" w:rsidR="000D07EA" w:rsidRDefault="00BE7C89">
            <w:pPr>
              <w:pStyle w:val="BodyText"/>
              <w:spacing w:before="100" w:after="100"/>
            </w:pPr>
            <w:r>
              <w:lastRenderedPageBreak/>
              <w:t>Optus Zoo or Optus iZoo Downloads</w:t>
            </w:r>
          </w:p>
        </w:tc>
        <w:tc>
          <w:tcPr>
            <w:tcW w:w="2500" w:type="pct"/>
          </w:tcPr>
          <w:p w14:paraId="29C34347" w14:textId="77777777" w:rsidR="000D07EA" w:rsidRDefault="00BE7C89">
            <w:pPr>
              <w:pStyle w:val="BodyText"/>
              <w:spacing w:before="100" w:after="100"/>
            </w:pPr>
            <w:r>
              <w:t>No</w:t>
            </w:r>
          </w:p>
        </w:tc>
      </w:tr>
      <w:tr w:rsidR="000D07EA" w14:paraId="6AFCCC96" w14:textId="77777777">
        <w:trPr>
          <w:trHeight w:val="20"/>
        </w:trPr>
        <w:tc>
          <w:tcPr>
            <w:tcW w:w="2500" w:type="pct"/>
          </w:tcPr>
          <w:p w14:paraId="5A3C737C" w14:textId="77777777" w:rsidR="000D07EA" w:rsidRDefault="00BE7C89">
            <w:pPr>
              <w:pStyle w:val="BodyText"/>
              <w:spacing w:before="100" w:after="100"/>
            </w:pPr>
            <w:r>
              <w:t>SMS to 966 (Zoo)</w:t>
            </w:r>
          </w:p>
        </w:tc>
        <w:tc>
          <w:tcPr>
            <w:tcW w:w="2500" w:type="pct"/>
          </w:tcPr>
          <w:p w14:paraId="5C274E89" w14:textId="77777777" w:rsidR="000D07EA" w:rsidRDefault="00BE7C89">
            <w:pPr>
              <w:pStyle w:val="BodyText"/>
              <w:spacing w:before="100" w:after="100"/>
            </w:pPr>
            <w:r>
              <w:t>No</w:t>
            </w:r>
          </w:p>
        </w:tc>
      </w:tr>
      <w:tr w:rsidR="000D07EA" w14:paraId="1DA02A3E" w14:textId="77777777">
        <w:trPr>
          <w:trHeight w:val="20"/>
        </w:trPr>
        <w:tc>
          <w:tcPr>
            <w:tcW w:w="2500" w:type="pct"/>
          </w:tcPr>
          <w:p w14:paraId="7F418921" w14:textId="77777777" w:rsidR="000D07EA" w:rsidRDefault="00BE7C89">
            <w:pPr>
              <w:pStyle w:val="BodyText"/>
              <w:spacing w:before="100" w:after="100"/>
            </w:pPr>
            <w:r>
              <w:t>Mobile Internet usage</w:t>
            </w:r>
          </w:p>
        </w:tc>
        <w:tc>
          <w:tcPr>
            <w:tcW w:w="2500" w:type="pct"/>
          </w:tcPr>
          <w:p w14:paraId="1036B3E6" w14:textId="77777777" w:rsidR="000D07EA" w:rsidRDefault="00BE7C89">
            <w:pPr>
              <w:pStyle w:val="BodyText"/>
              <w:spacing w:before="100" w:after="100"/>
            </w:pPr>
            <w:r>
              <w:t>No</w:t>
            </w:r>
          </w:p>
        </w:tc>
      </w:tr>
      <w:tr w:rsidR="000D07EA" w14:paraId="56FBE0AB" w14:textId="77777777">
        <w:trPr>
          <w:trHeight w:val="20"/>
        </w:trPr>
        <w:tc>
          <w:tcPr>
            <w:tcW w:w="2500" w:type="pct"/>
          </w:tcPr>
          <w:p w14:paraId="24813C08" w14:textId="77777777" w:rsidR="000D07EA" w:rsidRDefault="00BE7C89">
            <w:pPr>
              <w:pStyle w:val="BodyText"/>
              <w:spacing w:before="100" w:after="100"/>
            </w:pPr>
            <w:r>
              <w:t>Data Used while Roaming Internationally</w:t>
            </w:r>
          </w:p>
        </w:tc>
        <w:tc>
          <w:tcPr>
            <w:tcW w:w="2500" w:type="pct"/>
          </w:tcPr>
          <w:p w14:paraId="0CE8B888" w14:textId="77777777" w:rsidR="000D07EA" w:rsidRDefault="00BE7C89">
            <w:pPr>
              <w:pStyle w:val="BodyText"/>
              <w:spacing w:before="100" w:after="100"/>
            </w:pPr>
            <w:r>
              <w:t>No</w:t>
            </w:r>
          </w:p>
        </w:tc>
      </w:tr>
      <w:tr w:rsidR="000D07EA" w14:paraId="16D85AF7" w14:textId="77777777">
        <w:trPr>
          <w:trHeight w:val="20"/>
        </w:trPr>
        <w:tc>
          <w:tcPr>
            <w:tcW w:w="2500" w:type="pct"/>
          </w:tcPr>
          <w:p w14:paraId="17E6E0DB" w14:textId="77777777" w:rsidR="000D07EA" w:rsidRDefault="00BE7C89">
            <w:pPr>
              <w:pStyle w:val="BodyText"/>
              <w:spacing w:before="100" w:after="100"/>
            </w:pPr>
            <w:r>
              <w:t>Content Packs (unless specified in promotions)</w:t>
            </w:r>
          </w:p>
        </w:tc>
        <w:tc>
          <w:tcPr>
            <w:tcW w:w="2500" w:type="pct"/>
          </w:tcPr>
          <w:p w14:paraId="0F4CF825" w14:textId="77777777" w:rsidR="000D07EA" w:rsidRDefault="00BE7C89">
            <w:pPr>
              <w:pStyle w:val="BodyText"/>
              <w:spacing w:before="100" w:after="100"/>
            </w:pPr>
            <w:r>
              <w:t>No</w:t>
            </w:r>
          </w:p>
        </w:tc>
      </w:tr>
      <w:tr w:rsidR="000D07EA" w14:paraId="26187124" w14:textId="77777777">
        <w:trPr>
          <w:trHeight w:val="20"/>
        </w:trPr>
        <w:tc>
          <w:tcPr>
            <w:tcW w:w="2500" w:type="pct"/>
          </w:tcPr>
          <w:p w14:paraId="05268010" w14:textId="77777777" w:rsidR="000D07EA" w:rsidRDefault="00BE7C89">
            <w:pPr>
              <w:pStyle w:val="BodyText"/>
              <w:spacing w:before="100" w:after="100"/>
            </w:pPr>
            <w:r>
              <w:t>TrueLocal Usage</w:t>
            </w:r>
          </w:p>
        </w:tc>
        <w:tc>
          <w:tcPr>
            <w:tcW w:w="2500" w:type="pct"/>
          </w:tcPr>
          <w:p w14:paraId="310BA07C" w14:textId="77777777" w:rsidR="000D07EA" w:rsidRDefault="00BE7C89">
            <w:pPr>
              <w:pStyle w:val="BodyText"/>
              <w:spacing w:before="100" w:after="100"/>
            </w:pPr>
            <w:r>
              <w:t>No</w:t>
            </w:r>
          </w:p>
        </w:tc>
      </w:tr>
      <w:tr w:rsidR="000D07EA" w14:paraId="1009FD8A" w14:textId="77777777">
        <w:trPr>
          <w:trHeight w:val="20"/>
        </w:trPr>
        <w:tc>
          <w:tcPr>
            <w:tcW w:w="2500" w:type="pct"/>
          </w:tcPr>
          <w:p w14:paraId="12B93F7B" w14:textId="77777777" w:rsidR="000D07EA" w:rsidRDefault="00BE7C89">
            <w:pPr>
              <w:pStyle w:val="BodyText"/>
              <w:spacing w:before="100" w:after="100"/>
            </w:pPr>
            <w:r>
              <w:t xml:space="preserve">Directory Assistance- 1223 </w:t>
            </w:r>
          </w:p>
        </w:tc>
        <w:tc>
          <w:tcPr>
            <w:tcW w:w="2500" w:type="pct"/>
          </w:tcPr>
          <w:p w14:paraId="67C51D82" w14:textId="77777777" w:rsidR="000D07EA" w:rsidRDefault="00BE7C89">
            <w:pPr>
              <w:pStyle w:val="BodyText"/>
              <w:spacing w:before="100" w:after="100"/>
            </w:pPr>
            <w:r>
              <w:t>No</w:t>
            </w:r>
          </w:p>
        </w:tc>
      </w:tr>
      <w:tr w:rsidR="000D07EA" w14:paraId="19126F19" w14:textId="77777777">
        <w:trPr>
          <w:trHeight w:val="20"/>
        </w:trPr>
        <w:tc>
          <w:tcPr>
            <w:tcW w:w="2500" w:type="pct"/>
          </w:tcPr>
          <w:p w14:paraId="6A504D87" w14:textId="77777777" w:rsidR="000D07EA" w:rsidRDefault="00BE7C89">
            <w:pPr>
              <w:pStyle w:val="BodyText"/>
              <w:spacing w:before="100" w:after="100"/>
            </w:pPr>
            <w:r>
              <w:t>19XX Numbers</w:t>
            </w:r>
          </w:p>
        </w:tc>
        <w:tc>
          <w:tcPr>
            <w:tcW w:w="2500" w:type="pct"/>
          </w:tcPr>
          <w:p w14:paraId="25BB2F4D" w14:textId="77777777" w:rsidR="000D07EA" w:rsidRDefault="00BE7C89">
            <w:pPr>
              <w:pStyle w:val="BodyText"/>
              <w:spacing w:before="100" w:after="100"/>
            </w:pPr>
            <w:r>
              <w:t>No</w:t>
            </w:r>
          </w:p>
        </w:tc>
      </w:tr>
      <w:tr w:rsidR="000D07EA" w14:paraId="1A17C8EE" w14:textId="77777777">
        <w:trPr>
          <w:trHeight w:val="20"/>
        </w:trPr>
        <w:tc>
          <w:tcPr>
            <w:tcW w:w="2500" w:type="pct"/>
          </w:tcPr>
          <w:p w14:paraId="733CC88D" w14:textId="77777777" w:rsidR="000D07EA" w:rsidRDefault="00BE7C89">
            <w:pPr>
              <w:pStyle w:val="BodyText"/>
              <w:spacing w:before="100" w:after="100"/>
            </w:pPr>
            <w:r>
              <w:t>1800, 13 and 1300 numbers</w:t>
            </w:r>
          </w:p>
        </w:tc>
        <w:tc>
          <w:tcPr>
            <w:tcW w:w="2500" w:type="pct"/>
          </w:tcPr>
          <w:p w14:paraId="7DE6CB72" w14:textId="77777777" w:rsidR="000D07EA" w:rsidRDefault="00BE7C89">
            <w:pPr>
              <w:pStyle w:val="BodyText"/>
              <w:spacing w:before="100" w:after="100"/>
            </w:pPr>
            <w:r>
              <w:t>No</w:t>
            </w:r>
          </w:p>
        </w:tc>
      </w:tr>
      <w:tr w:rsidR="000D07EA" w14:paraId="08BF5CF3" w14:textId="77777777">
        <w:trPr>
          <w:trHeight w:val="20"/>
        </w:trPr>
        <w:tc>
          <w:tcPr>
            <w:tcW w:w="2500" w:type="pct"/>
          </w:tcPr>
          <w:p w14:paraId="1D841753" w14:textId="77777777" w:rsidR="000D07EA" w:rsidRDefault="00BE7C89">
            <w:pPr>
              <w:pStyle w:val="BodyText"/>
              <w:spacing w:before="100" w:after="100"/>
            </w:pPr>
            <w:r>
              <w:t>124YES(937)</w:t>
            </w:r>
          </w:p>
        </w:tc>
        <w:tc>
          <w:tcPr>
            <w:tcW w:w="2500" w:type="pct"/>
          </w:tcPr>
          <w:p w14:paraId="6F7F7BDA" w14:textId="77777777" w:rsidR="000D07EA" w:rsidRDefault="00BE7C89">
            <w:pPr>
              <w:pStyle w:val="BodyText"/>
              <w:spacing w:before="100" w:after="100"/>
            </w:pPr>
            <w:r>
              <w:t>No</w:t>
            </w:r>
          </w:p>
        </w:tc>
      </w:tr>
      <w:tr w:rsidR="000D07EA" w14:paraId="2904C061" w14:textId="77777777">
        <w:trPr>
          <w:trHeight w:val="20"/>
        </w:trPr>
        <w:tc>
          <w:tcPr>
            <w:tcW w:w="2500" w:type="pct"/>
          </w:tcPr>
          <w:p w14:paraId="305D8868" w14:textId="77777777" w:rsidR="000D07EA" w:rsidRDefault="00BE7C89">
            <w:pPr>
              <w:pStyle w:val="BodyText"/>
              <w:spacing w:before="100" w:after="100"/>
            </w:pPr>
            <w:r>
              <w:t>Insurance</w:t>
            </w:r>
          </w:p>
        </w:tc>
        <w:tc>
          <w:tcPr>
            <w:tcW w:w="2500" w:type="pct"/>
          </w:tcPr>
          <w:p w14:paraId="0F46C51E" w14:textId="77777777" w:rsidR="000D07EA" w:rsidRDefault="00BE7C89">
            <w:pPr>
              <w:pStyle w:val="BodyText"/>
              <w:spacing w:before="100" w:after="100"/>
            </w:pPr>
            <w:r>
              <w:t>No</w:t>
            </w:r>
          </w:p>
        </w:tc>
      </w:tr>
      <w:tr w:rsidR="000D07EA" w14:paraId="601B845D" w14:textId="77777777">
        <w:trPr>
          <w:trHeight w:val="20"/>
        </w:trPr>
        <w:tc>
          <w:tcPr>
            <w:tcW w:w="2500" w:type="pct"/>
          </w:tcPr>
          <w:p w14:paraId="365510B9" w14:textId="77777777" w:rsidR="000D07EA" w:rsidRDefault="00BE7C89">
            <w:pPr>
              <w:pStyle w:val="BodyText"/>
              <w:spacing w:before="100" w:after="100"/>
            </w:pPr>
            <w:r>
              <w:t>Handset Payments</w:t>
            </w:r>
          </w:p>
        </w:tc>
        <w:tc>
          <w:tcPr>
            <w:tcW w:w="2500" w:type="pct"/>
          </w:tcPr>
          <w:p w14:paraId="786F479F" w14:textId="77777777" w:rsidR="000D07EA" w:rsidRDefault="00BE7C89">
            <w:pPr>
              <w:pStyle w:val="BodyText"/>
              <w:spacing w:before="100" w:after="100"/>
            </w:pPr>
            <w:r>
              <w:t>No</w:t>
            </w:r>
          </w:p>
        </w:tc>
      </w:tr>
      <w:tr w:rsidR="000D07EA" w14:paraId="51AA1671" w14:textId="77777777">
        <w:trPr>
          <w:trHeight w:val="20"/>
        </w:trPr>
        <w:tc>
          <w:tcPr>
            <w:tcW w:w="2500" w:type="pct"/>
          </w:tcPr>
          <w:p w14:paraId="1AB1C951" w14:textId="77777777" w:rsidR="000D07EA" w:rsidRDefault="00BE7C89">
            <w:pPr>
              <w:pStyle w:val="BodyText"/>
              <w:spacing w:before="100" w:after="100"/>
            </w:pPr>
            <w:r>
              <w:t>Calls to MobileSat</w:t>
            </w:r>
          </w:p>
        </w:tc>
        <w:tc>
          <w:tcPr>
            <w:tcW w:w="2500" w:type="pct"/>
          </w:tcPr>
          <w:p w14:paraId="3184E0A0" w14:textId="77777777" w:rsidR="000D07EA" w:rsidRDefault="00BE7C89">
            <w:pPr>
              <w:pStyle w:val="BodyText"/>
              <w:spacing w:before="100" w:after="100"/>
            </w:pPr>
            <w:r>
              <w:t>No</w:t>
            </w:r>
          </w:p>
        </w:tc>
      </w:tr>
      <w:tr w:rsidR="000D07EA" w14:paraId="3C3AC789" w14:textId="77777777">
        <w:trPr>
          <w:trHeight w:val="20"/>
        </w:trPr>
        <w:tc>
          <w:tcPr>
            <w:tcW w:w="2500" w:type="pct"/>
          </w:tcPr>
          <w:p w14:paraId="052BCF5C" w14:textId="77777777" w:rsidR="000D07EA" w:rsidRDefault="00BE7C89">
            <w:pPr>
              <w:pStyle w:val="BodyText"/>
              <w:spacing w:before="100" w:after="100"/>
            </w:pPr>
            <w:r>
              <w:t>VOIP services</w:t>
            </w:r>
          </w:p>
        </w:tc>
        <w:tc>
          <w:tcPr>
            <w:tcW w:w="2500" w:type="pct"/>
          </w:tcPr>
          <w:p w14:paraId="7CBEBBE2" w14:textId="77777777" w:rsidR="000D07EA" w:rsidRDefault="00BE7C89">
            <w:pPr>
              <w:pStyle w:val="BodyText"/>
              <w:spacing w:before="100" w:after="100"/>
            </w:pPr>
            <w:r>
              <w:t>No</w:t>
            </w:r>
          </w:p>
        </w:tc>
      </w:tr>
    </w:tbl>
    <w:p w14:paraId="3605A51E" w14:textId="77777777" w:rsidR="000D07EA" w:rsidRDefault="000D07EA">
      <w:pPr>
        <w:pStyle w:val="BodyText"/>
      </w:pPr>
    </w:p>
    <w:p w14:paraId="119C3B48" w14:textId="77777777" w:rsidR="000D07EA" w:rsidRDefault="00BE7C89">
      <w:pPr>
        <w:pStyle w:val="BodyText"/>
        <w:ind w:left="720"/>
        <w:rPr>
          <w:b/>
        </w:rPr>
      </w:pPr>
      <w:r>
        <w:rPr>
          <w:b/>
        </w:rPr>
        <w:t>Table 3A – Charges for the Business Timeless Advantage Plans</w:t>
      </w:r>
    </w:p>
    <w:tbl>
      <w:tblPr>
        <w:tblW w:w="4689" w:type="pct"/>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3257"/>
        <w:gridCol w:w="1575"/>
        <w:gridCol w:w="1574"/>
        <w:gridCol w:w="1574"/>
        <w:gridCol w:w="1574"/>
      </w:tblGrid>
      <w:tr w:rsidR="000D07EA" w14:paraId="0091ADA3" w14:textId="77777777">
        <w:trPr>
          <w:tblHeader/>
        </w:trPr>
        <w:tc>
          <w:tcPr>
            <w:tcW w:w="1704" w:type="pct"/>
          </w:tcPr>
          <w:p w14:paraId="319AE24B" w14:textId="77777777" w:rsidR="000D07EA" w:rsidRDefault="00BE7C89">
            <w:pPr>
              <w:pStyle w:val="BodyText"/>
              <w:spacing w:before="100" w:after="100"/>
              <w:jc w:val="center"/>
              <w:rPr>
                <w:b/>
              </w:rPr>
            </w:pPr>
            <w:r>
              <w:rPr>
                <w:b/>
              </w:rPr>
              <w:t>M2M, 12 Month, or 24 Month plans</w:t>
            </w:r>
          </w:p>
        </w:tc>
        <w:tc>
          <w:tcPr>
            <w:tcW w:w="824" w:type="pct"/>
          </w:tcPr>
          <w:p w14:paraId="1DE8265F" w14:textId="77777777" w:rsidR="000D07EA" w:rsidRDefault="00BE7C89">
            <w:pPr>
              <w:pStyle w:val="BodyText"/>
              <w:spacing w:before="100" w:after="100"/>
              <w:jc w:val="center"/>
              <w:rPr>
                <w:b/>
              </w:rPr>
            </w:pPr>
            <w:r>
              <w:rPr>
                <w:b/>
              </w:rPr>
              <w:t>$69 Business Timeless Advantage</w:t>
            </w:r>
            <w:r>
              <w:t xml:space="preserve"> </w:t>
            </w:r>
            <w:r>
              <w:rPr>
                <w:b/>
              </w:rPr>
              <w:t>BYO</w:t>
            </w:r>
          </w:p>
        </w:tc>
        <w:tc>
          <w:tcPr>
            <w:tcW w:w="824" w:type="pct"/>
          </w:tcPr>
          <w:p w14:paraId="6E14DD28" w14:textId="77777777" w:rsidR="000D07EA" w:rsidRDefault="00BE7C89">
            <w:pPr>
              <w:pStyle w:val="BodyText"/>
              <w:spacing w:before="100" w:after="100"/>
              <w:jc w:val="center"/>
              <w:rPr>
                <w:b/>
              </w:rPr>
            </w:pPr>
            <w:r>
              <w:rPr>
                <w:b/>
              </w:rPr>
              <w:t>$89 Business Timeless Advantage</w:t>
            </w:r>
          </w:p>
        </w:tc>
        <w:tc>
          <w:tcPr>
            <w:tcW w:w="824" w:type="pct"/>
          </w:tcPr>
          <w:p w14:paraId="31752EC9" w14:textId="77777777" w:rsidR="000D07EA" w:rsidRDefault="00BE7C89">
            <w:pPr>
              <w:pStyle w:val="BodyText"/>
              <w:spacing w:before="100" w:after="100"/>
              <w:jc w:val="center"/>
              <w:rPr>
                <w:b/>
              </w:rPr>
            </w:pPr>
            <w:r>
              <w:rPr>
                <w:b/>
              </w:rPr>
              <w:t>$99 Business Timeless Advantage/ (Premium H/set)</w:t>
            </w:r>
          </w:p>
        </w:tc>
        <w:tc>
          <w:tcPr>
            <w:tcW w:w="824" w:type="pct"/>
          </w:tcPr>
          <w:p w14:paraId="7790942E" w14:textId="77777777" w:rsidR="000D07EA" w:rsidRDefault="00BE7C89">
            <w:pPr>
              <w:pStyle w:val="BodyText"/>
              <w:spacing w:before="100" w:after="100"/>
              <w:jc w:val="center"/>
              <w:rPr>
                <w:b/>
              </w:rPr>
            </w:pPr>
            <w:r>
              <w:rPr>
                <w:b/>
              </w:rPr>
              <w:t>$129 Business Timeless Advantage/ (Premium H/set)</w:t>
            </w:r>
          </w:p>
        </w:tc>
      </w:tr>
      <w:tr w:rsidR="000D07EA" w14:paraId="23ACCCDF" w14:textId="77777777">
        <w:tc>
          <w:tcPr>
            <w:tcW w:w="1704" w:type="pct"/>
            <w:vAlign w:val="center"/>
          </w:tcPr>
          <w:p w14:paraId="6FBF02AE" w14:textId="77777777" w:rsidR="000D07EA" w:rsidRDefault="00BE7C89">
            <w:pPr>
              <w:pStyle w:val="BodyText"/>
              <w:spacing w:before="100" w:after="100"/>
              <w:rPr>
                <w:b/>
              </w:rPr>
            </w:pPr>
            <w:r>
              <w:rPr>
                <w:b/>
              </w:rPr>
              <w:t>Minimum Monthly charge</w:t>
            </w:r>
          </w:p>
        </w:tc>
        <w:tc>
          <w:tcPr>
            <w:tcW w:w="824" w:type="pct"/>
          </w:tcPr>
          <w:p w14:paraId="0DD6BD75" w14:textId="77777777" w:rsidR="000D07EA" w:rsidRDefault="00BE7C89">
            <w:pPr>
              <w:pStyle w:val="BodyText"/>
              <w:spacing w:before="100" w:after="100"/>
              <w:jc w:val="center"/>
            </w:pPr>
            <w:r>
              <w:t>$69</w:t>
            </w:r>
          </w:p>
        </w:tc>
        <w:tc>
          <w:tcPr>
            <w:tcW w:w="824" w:type="pct"/>
          </w:tcPr>
          <w:p w14:paraId="022EF445" w14:textId="77777777" w:rsidR="000D07EA" w:rsidRDefault="00BE7C89">
            <w:pPr>
              <w:pStyle w:val="BodyText"/>
              <w:spacing w:before="100" w:after="100"/>
              <w:jc w:val="center"/>
            </w:pPr>
            <w:r>
              <w:t>$89</w:t>
            </w:r>
          </w:p>
        </w:tc>
        <w:tc>
          <w:tcPr>
            <w:tcW w:w="824" w:type="pct"/>
          </w:tcPr>
          <w:p w14:paraId="5E5DA879" w14:textId="77777777" w:rsidR="000D07EA" w:rsidRDefault="00BE7C89">
            <w:pPr>
              <w:pStyle w:val="BodyText"/>
              <w:spacing w:before="100" w:after="100"/>
              <w:jc w:val="center"/>
            </w:pPr>
            <w:r>
              <w:t>$99</w:t>
            </w:r>
          </w:p>
        </w:tc>
        <w:tc>
          <w:tcPr>
            <w:tcW w:w="824" w:type="pct"/>
          </w:tcPr>
          <w:p w14:paraId="4A1506A5" w14:textId="77777777" w:rsidR="000D07EA" w:rsidRDefault="00BE7C89">
            <w:pPr>
              <w:pStyle w:val="BodyText"/>
              <w:spacing w:before="100" w:after="100"/>
              <w:jc w:val="center"/>
            </w:pPr>
            <w:r>
              <w:t>$129</w:t>
            </w:r>
          </w:p>
        </w:tc>
      </w:tr>
      <w:tr w:rsidR="000D07EA" w14:paraId="3A0E6B95" w14:textId="77777777">
        <w:tc>
          <w:tcPr>
            <w:tcW w:w="1704" w:type="pct"/>
            <w:vAlign w:val="center"/>
          </w:tcPr>
          <w:p w14:paraId="373C5430" w14:textId="77777777" w:rsidR="000D07EA" w:rsidRDefault="00BE7C89">
            <w:pPr>
              <w:pStyle w:val="BodyText"/>
              <w:spacing w:before="100" w:after="100"/>
              <w:rPr>
                <w:b/>
              </w:rPr>
            </w:pPr>
            <w:r>
              <w:rPr>
                <w:b/>
              </w:rPr>
              <w:t>Standard local &amp; national calls to Australian fixed lines within Australia</w:t>
            </w:r>
          </w:p>
        </w:tc>
        <w:tc>
          <w:tcPr>
            <w:tcW w:w="824" w:type="pct"/>
          </w:tcPr>
          <w:p w14:paraId="207692BA" w14:textId="77777777" w:rsidR="000D07EA" w:rsidRDefault="00BE7C89">
            <w:pPr>
              <w:pStyle w:val="BodyText"/>
              <w:spacing w:before="100" w:after="100"/>
              <w:jc w:val="center"/>
            </w:pPr>
            <w:r>
              <w:t>Unlimited</w:t>
            </w:r>
          </w:p>
        </w:tc>
        <w:tc>
          <w:tcPr>
            <w:tcW w:w="824" w:type="pct"/>
          </w:tcPr>
          <w:p w14:paraId="7FE7A283" w14:textId="77777777" w:rsidR="000D07EA" w:rsidRDefault="00BE7C89">
            <w:pPr>
              <w:pStyle w:val="BodyText"/>
              <w:spacing w:before="100" w:after="100"/>
              <w:jc w:val="center"/>
            </w:pPr>
            <w:r>
              <w:t>Unlimited</w:t>
            </w:r>
          </w:p>
        </w:tc>
        <w:tc>
          <w:tcPr>
            <w:tcW w:w="824" w:type="pct"/>
          </w:tcPr>
          <w:p w14:paraId="74527D96" w14:textId="77777777" w:rsidR="000D07EA" w:rsidRDefault="00BE7C89">
            <w:pPr>
              <w:pStyle w:val="BodyText"/>
              <w:spacing w:before="100" w:after="100"/>
              <w:jc w:val="center"/>
            </w:pPr>
            <w:r>
              <w:t>Unlimited</w:t>
            </w:r>
          </w:p>
        </w:tc>
        <w:tc>
          <w:tcPr>
            <w:tcW w:w="824" w:type="pct"/>
          </w:tcPr>
          <w:p w14:paraId="1BA8E964" w14:textId="77777777" w:rsidR="000D07EA" w:rsidRDefault="00BE7C89">
            <w:pPr>
              <w:pStyle w:val="BodyText"/>
              <w:spacing w:before="100" w:after="100"/>
              <w:jc w:val="center"/>
            </w:pPr>
            <w:r>
              <w:t>Unlimited</w:t>
            </w:r>
          </w:p>
        </w:tc>
      </w:tr>
      <w:tr w:rsidR="000D07EA" w14:paraId="5BCADF77" w14:textId="77777777">
        <w:tc>
          <w:tcPr>
            <w:tcW w:w="1704" w:type="pct"/>
            <w:vAlign w:val="center"/>
          </w:tcPr>
          <w:p w14:paraId="56420D31" w14:textId="77777777" w:rsidR="000D07EA" w:rsidRDefault="00BE7C89">
            <w:pPr>
              <w:pStyle w:val="BodyText"/>
              <w:spacing w:before="100" w:after="100"/>
              <w:rPr>
                <w:b/>
              </w:rPr>
            </w:pPr>
            <w:r>
              <w:rPr>
                <w:b/>
              </w:rPr>
              <w:t>Standard voice &amp; video calls to Australian GSM mobiles (excludes Pivotel) within Australia</w:t>
            </w:r>
          </w:p>
        </w:tc>
        <w:tc>
          <w:tcPr>
            <w:tcW w:w="824" w:type="pct"/>
          </w:tcPr>
          <w:p w14:paraId="3F00F761" w14:textId="77777777" w:rsidR="000D07EA" w:rsidRDefault="00BE7C89">
            <w:pPr>
              <w:pStyle w:val="BodyText"/>
              <w:spacing w:before="100" w:after="100"/>
              <w:jc w:val="center"/>
            </w:pPr>
            <w:r>
              <w:t>Unlimited</w:t>
            </w:r>
          </w:p>
        </w:tc>
        <w:tc>
          <w:tcPr>
            <w:tcW w:w="824" w:type="pct"/>
          </w:tcPr>
          <w:p w14:paraId="231F1144" w14:textId="77777777" w:rsidR="000D07EA" w:rsidRDefault="00BE7C89">
            <w:pPr>
              <w:pStyle w:val="BodyText"/>
              <w:spacing w:before="100" w:after="100"/>
              <w:jc w:val="center"/>
            </w:pPr>
            <w:r>
              <w:t>Unlimited</w:t>
            </w:r>
          </w:p>
        </w:tc>
        <w:tc>
          <w:tcPr>
            <w:tcW w:w="824" w:type="pct"/>
          </w:tcPr>
          <w:p w14:paraId="79E62D0D" w14:textId="77777777" w:rsidR="000D07EA" w:rsidRDefault="00BE7C89">
            <w:pPr>
              <w:pStyle w:val="BodyText"/>
              <w:spacing w:before="100" w:after="100"/>
              <w:jc w:val="center"/>
            </w:pPr>
            <w:r>
              <w:t>Unlimited</w:t>
            </w:r>
          </w:p>
        </w:tc>
        <w:tc>
          <w:tcPr>
            <w:tcW w:w="824" w:type="pct"/>
          </w:tcPr>
          <w:p w14:paraId="0E5B3347" w14:textId="77777777" w:rsidR="000D07EA" w:rsidRDefault="00BE7C89">
            <w:pPr>
              <w:pStyle w:val="BodyText"/>
              <w:spacing w:before="100" w:after="100"/>
              <w:jc w:val="center"/>
            </w:pPr>
            <w:r>
              <w:t>Unlimited</w:t>
            </w:r>
          </w:p>
        </w:tc>
      </w:tr>
      <w:tr w:rsidR="000D07EA" w14:paraId="1E5FCF9B" w14:textId="77777777">
        <w:tc>
          <w:tcPr>
            <w:tcW w:w="1704" w:type="pct"/>
            <w:vAlign w:val="center"/>
          </w:tcPr>
          <w:p w14:paraId="10EBCCAC" w14:textId="77777777" w:rsidR="000D07EA" w:rsidRDefault="00BE7C89">
            <w:pPr>
              <w:pStyle w:val="BodyText"/>
              <w:spacing w:before="100" w:after="100"/>
              <w:rPr>
                <w:b/>
              </w:rPr>
            </w:pPr>
            <w:r>
              <w:rPr>
                <w:b/>
              </w:rPr>
              <w:t>Standard national MMS to Australian GSM mobiles (excludes Pivotel) within Australia</w:t>
            </w:r>
          </w:p>
        </w:tc>
        <w:tc>
          <w:tcPr>
            <w:tcW w:w="824" w:type="pct"/>
          </w:tcPr>
          <w:p w14:paraId="4117A04D" w14:textId="77777777" w:rsidR="000D07EA" w:rsidRDefault="00BE7C89">
            <w:pPr>
              <w:pStyle w:val="BodyText"/>
              <w:spacing w:before="100" w:after="100"/>
              <w:jc w:val="center"/>
            </w:pPr>
            <w:r>
              <w:t>Unlimited</w:t>
            </w:r>
          </w:p>
        </w:tc>
        <w:tc>
          <w:tcPr>
            <w:tcW w:w="824" w:type="pct"/>
          </w:tcPr>
          <w:p w14:paraId="426D7E31" w14:textId="77777777" w:rsidR="000D07EA" w:rsidRDefault="00BE7C89">
            <w:pPr>
              <w:pStyle w:val="BodyText"/>
              <w:spacing w:before="100" w:after="100"/>
              <w:jc w:val="center"/>
            </w:pPr>
            <w:r>
              <w:t>Unlimited</w:t>
            </w:r>
          </w:p>
        </w:tc>
        <w:tc>
          <w:tcPr>
            <w:tcW w:w="824" w:type="pct"/>
          </w:tcPr>
          <w:p w14:paraId="7D8EFDEE" w14:textId="77777777" w:rsidR="000D07EA" w:rsidRDefault="00BE7C89">
            <w:pPr>
              <w:pStyle w:val="BodyText"/>
              <w:spacing w:before="100" w:after="100"/>
              <w:jc w:val="center"/>
            </w:pPr>
            <w:r>
              <w:t>Unlimited</w:t>
            </w:r>
          </w:p>
        </w:tc>
        <w:tc>
          <w:tcPr>
            <w:tcW w:w="824" w:type="pct"/>
          </w:tcPr>
          <w:p w14:paraId="71B09562" w14:textId="77777777" w:rsidR="000D07EA" w:rsidRDefault="00BE7C89">
            <w:pPr>
              <w:pStyle w:val="BodyText"/>
              <w:spacing w:before="100" w:after="100"/>
              <w:jc w:val="center"/>
            </w:pPr>
            <w:r>
              <w:t>Unlimited</w:t>
            </w:r>
          </w:p>
        </w:tc>
      </w:tr>
      <w:tr w:rsidR="000D07EA" w14:paraId="36F60CCC" w14:textId="77777777">
        <w:tc>
          <w:tcPr>
            <w:tcW w:w="1704" w:type="pct"/>
            <w:vAlign w:val="center"/>
          </w:tcPr>
          <w:p w14:paraId="5CAC42A7" w14:textId="77777777" w:rsidR="000D07EA" w:rsidRDefault="00BE7C89">
            <w:pPr>
              <w:pStyle w:val="BodyText"/>
              <w:spacing w:before="100" w:after="100"/>
              <w:rPr>
                <w:b/>
              </w:rPr>
            </w:pPr>
            <w:r>
              <w:rPr>
                <w:b/>
              </w:rPr>
              <w:t>Standard national SMS to Australian GSM mobiles (excludes Pivotel) within Australia</w:t>
            </w:r>
          </w:p>
        </w:tc>
        <w:tc>
          <w:tcPr>
            <w:tcW w:w="824" w:type="pct"/>
          </w:tcPr>
          <w:p w14:paraId="5785D63C" w14:textId="77777777" w:rsidR="000D07EA" w:rsidRDefault="00BE7C89">
            <w:pPr>
              <w:pStyle w:val="BodyText"/>
              <w:spacing w:before="100" w:after="100"/>
              <w:jc w:val="center"/>
            </w:pPr>
            <w:r>
              <w:t>Unlimited</w:t>
            </w:r>
          </w:p>
        </w:tc>
        <w:tc>
          <w:tcPr>
            <w:tcW w:w="824" w:type="pct"/>
          </w:tcPr>
          <w:p w14:paraId="4478A645" w14:textId="77777777" w:rsidR="000D07EA" w:rsidRDefault="00BE7C89">
            <w:pPr>
              <w:pStyle w:val="BodyText"/>
              <w:spacing w:before="100" w:after="100"/>
              <w:jc w:val="center"/>
            </w:pPr>
            <w:r>
              <w:t>Unlimited</w:t>
            </w:r>
          </w:p>
        </w:tc>
        <w:tc>
          <w:tcPr>
            <w:tcW w:w="824" w:type="pct"/>
          </w:tcPr>
          <w:p w14:paraId="638F832D" w14:textId="77777777" w:rsidR="000D07EA" w:rsidRDefault="00BE7C89">
            <w:pPr>
              <w:pStyle w:val="BodyText"/>
              <w:spacing w:before="100" w:after="100"/>
              <w:jc w:val="center"/>
            </w:pPr>
            <w:r>
              <w:t>Unlimited</w:t>
            </w:r>
          </w:p>
        </w:tc>
        <w:tc>
          <w:tcPr>
            <w:tcW w:w="824" w:type="pct"/>
          </w:tcPr>
          <w:p w14:paraId="13A83496" w14:textId="77777777" w:rsidR="000D07EA" w:rsidRDefault="00BE7C89">
            <w:pPr>
              <w:pStyle w:val="BodyText"/>
              <w:spacing w:before="100" w:after="100"/>
              <w:jc w:val="center"/>
            </w:pPr>
            <w:r>
              <w:t>Unlimited</w:t>
            </w:r>
          </w:p>
        </w:tc>
      </w:tr>
      <w:tr w:rsidR="000D07EA" w14:paraId="41B47ECF" w14:textId="77777777">
        <w:tc>
          <w:tcPr>
            <w:tcW w:w="1704" w:type="pct"/>
            <w:vAlign w:val="center"/>
          </w:tcPr>
          <w:p w14:paraId="1855D1B1" w14:textId="77777777" w:rsidR="000D07EA" w:rsidRDefault="00BE7C89">
            <w:pPr>
              <w:pStyle w:val="BodyText"/>
              <w:spacing w:before="100" w:after="100"/>
              <w:rPr>
                <w:b/>
              </w:rPr>
            </w:pPr>
            <w:r>
              <w:rPr>
                <w:b/>
              </w:rPr>
              <w:lastRenderedPageBreak/>
              <w:t>Voicemail deposits and retrievals, within Australia</w:t>
            </w:r>
          </w:p>
        </w:tc>
        <w:tc>
          <w:tcPr>
            <w:tcW w:w="824" w:type="pct"/>
          </w:tcPr>
          <w:p w14:paraId="2F5A3623" w14:textId="77777777" w:rsidR="000D07EA" w:rsidRDefault="00BE7C89">
            <w:pPr>
              <w:pStyle w:val="BodyText"/>
              <w:spacing w:before="100" w:after="100"/>
              <w:jc w:val="center"/>
            </w:pPr>
            <w:r>
              <w:t>Unlimited</w:t>
            </w:r>
          </w:p>
        </w:tc>
        <w:tc>
          <w:tcPr>
            <w:tcW w:w="824" w:type="pct"/>
          </w:tcPr>
          <w:p w14:paraId="32DBB774" w14:textId="77777777" w:rsidR="000D07EA" w:rsidRDefault="00BE7C89">
            <w:pPr>
              <w:pStyle w:val="BodyText"/>
              <w:spacing w:before="100" w:after="100"/>
              <w:jc w:val="center"/>
            </w:pPr>
            <w:r>
              <w:t>Unlimited</w:t>
            </w:r>
          </w:p>
        </w:tc>
        <w:tc>
          <w:tcPr>
            <w:tcW w:w="824" w:type="pct"/>
          </w:tcPr>
          <w:p w14:paraId="3219B5B5" w14:textId="77777777" w:rsidR="000D07EA" w:rsidRDefault="00BE7C89">
            <w:pPr>
              <w:pStyle w:val="BodyText"/>
              <w:spacing w:before="100" w:after="100"/>
              <w:jc w:val="center"/>
            </w:pPr>
            <w:r>
              <w:t>Unlimited</w:t>
            </w:r>
          </w:p>
        </w:tc>
        <w:tc>
          <w:tcPr>
            <w:tcW w:w="824" w:type="pct"/>
          </w:tcPr>
          <w:p w14:paraId="1F5CAF0E" w14:textId="77777777" w:rsidR="000D07EA" w:rsidRDefault="00BE7C89">
            <w:pPr>
              <w:pStyle w:val="BodyText"/>
              <w:spacing w:before="100" w:after="100"/>
              <w:jc w:val="center"/>
            </w:pPr>
            <w:r>
              <w:t>Unlimited</w:t>
            </w:r>
          </w:p>
        </w:tc>
      </w:tr>
      <w:tr w:rsidR="000D07EA" w14:paraId="06B25DB8" w14:textId="77777777">
        <w:tc>
          <w:tcPr>
            <w:tcW w:w="1704" w:type="pct"/>
            <w:vAlign w:val="center"/>
          </w:tcPr>
          <w:p w14:paraId="4471930E" w14:textId="77777777" w:rsidR="000D07EA" w:rsidRDefault="00BE7C89">
            <w:pPr>
              <w:pStyle w:val="BodyText"/>
              <w:spacing w:before="100" w:after="100"/>
              <w:rPr>
                <w:b/>
              </w:rPr>
            </w:pPr>
            <w:r>
              <w:rPr>
                <w:b/>
              </w:rPr>
              <w:t>Unlimited access to Facebook®, Twitter, LinkedIn, Ebay, Four Square, MySpace within Australia</w:t>
            </w:r>
          </w:p>
        </w:tc>
        <w:tc>
          <w:tcPr>
            <w:tcW w:w="824" w:type="pct"/>
          </w:tcPr>
          <w:p w14:paraId="54236158" w14:textId="77777777" w:rsidR="000D07EA" w:rsidRDefault="00BE7C89">
            <w:pPr>
              <w:pStyle w:val="BodyText"/>
              <w:spacing w:before="100" w:after="100"/>
              <w:jc w:val="center"/>
            </w:pPr>
            <w:r>
              <w:t>Unlimited</w:t>
            </w:r>
          </w:p>
        </w:tc>
        <w:tc>
          <w:tcPr>
            <w:tcW w:w="824" w:type="pct"/>
          </w:tcPr>
          <w:p w14:paraId="6C5A3DF7" w14:textId="77777777" w:rsidR="000D07EA" w:rsidRDefault="00BE7C89">
            <w:pPr>
              <w:pStyle w:val="BodyText"/>
              <w:spacing w:before="100" w:after="100"/>
              <w:jc w:val="center"/>
            </w:pPr>
            <w:r>
              <w:t>Unlimited</w:t>
            </w:r>
          </w:p>
        </w:tc>
        <w:tc>
          <w:tcPr>
            <w:tcW w:w="824" w:type="pct"/>
          </w:tcPr>
          <w:p w14:paraId="5D081421" w14:textId="77777777" w:rsidR="000D07EA" w:rsidRDefault="00BE7C89">
            <w:pPr>
              <w:pStyle w:val="BodyText"/>
              <w:spacing w:before="100" w:after="100"/>
              <w:jc w:val="center"/>
            </w:pPr>
            <w:r>
              <w:t>Unlimited</w:t>
            </w:r>
          </w:p>
        </w:tc>
        <w:tc>
          <w:tcPr>
            <w:tcW w:w="824" w:type="pct"/>
          </w:tcPr>
          <w:p w14:paraId="19F9294E" w14:textId="77777777" w:rsidR="000D07EA" w:rsidRDefault="00BE7C89">
            <w:pPr>
              <w:pStyle w:val="BodyText"/>
              <w:spacing w:before="100" w:after="100"/>
              <w:jc w:val="center"/>
            </w:pPr>
            <w:r>
              <w:t>Unlimited</w:t>
            </w:r>
          </w:p>
        </w:tc>
      </w:tr>
      <w:tr w:rsidR="000D07EA" w14:paraId="66128FA6" w14:textId="77777777">
        <w:tc>
          <w:tcPr>
            <w:tcW w:w="1704" w:type="pct"/>
            <w:vAlign w:val="center"/>
          </w:tcPr>
          <w:p w14:paraId="03C22128" w14:textId="77777777" w:rsidR="000D07EA" w:rsidRDefault="00BE7C89">
            <w:pPr>
              <w:pStyle w:val="BodyText"/>
              <w:spacing w:before="100" w:after="100"/>
              <w:rPr>
                <w:b/>
              </w:rPr>
            </w:pPr>
            <w:r>
              <w:rPr>
                <w:b/>
              </w:rPr>
              <w:t xml:space="preserve">National Voice call charges </w:t>
            </w:r>
            <w:r>
              <w:rPr>
                <w:b/>
                <w:i/>
                <w:iCs/>
              </w:rPr>
              <w:t xml:space="preserve"> </w:t>
            </w:r>
            <w:r>
              <w:t>(per minute)</w:t>
            </w:r>
          </w:p>
        </w:tc>
        <w:tc>
          <w:tcPr>
            <w:tcW w:w="824" w:type="pct"/>
          </w:tcPr>
          <w:p w14:paraId="497EAFAE" w14:textId="77777777" w:rsidR="000D07EA" w:rsidRDefault="00BE7C89">
            <w:pPr>
              <w:pStyle w:val="BodyText"/>
              <w:spacing w:before="100" w:after="100"/>
              <w:jc w:val="center"/>
            </w:pPr>
            <w:r>
              <w:t>Unlimited</w:t>
            </w:r>
          </w:p>
        </w:tc>
        <w:tc>
          <w:tcPr>
            <w:tcW w:w="824" w:type="pct"/>
          </w:tcPr>
          <w:p w14:paraId="1C26903D" w14:textId="77777777" w:rsidR="000D07EA" w:rsidRDefault="00BE7C89">
            <w:pPr>
              <w:pStyle w:val="BodyText"/>
              <w:spacing w:before="100" w:after="100"/>
              <w:jc w:val="center"/>
            </w:pPr>
            <w:r>
              <w:t>Unlimited</w:t>
            </w:r>
          </w:p>
        </w:tc>
        <w:tc>
          <w:tcPr>
            <w:tcW w:w="824" w:type="pct"/>
          </w:tcPr>
          <w:p w14:paraId="0E782877" w14:textId="77777777" w:rsidR="000D07EA" w:rsidRDefault="00BE7C89">
            <w:pPr>
              <w:pStyle w:val="BodyText"/>
              <w:spacing w:before="100" w:after="100"/>
              <w:jc w:val="center"/>
            </w:pPr>
            <w:r>
              <w:t>Unlimited</w:t>
            </w:r>
          </w:p>
        </w:tc>
        <w:tc>
          <w:tcPr>
            <w:tcW w:w="824" w:type="pct"/>
          </w:tcPr>
          <w:p w14:paraId="32B50877" w14:textId="77777777" w:rsidR="000D07EA" w:rsidRDefault="00BE7C89">
            <w:pPr>
              <w:pStyle w:val="BodyText"/>
              <w:spacing w:before="100" w:after="100"/>
              <w:jc w:val="center"/>
            </w:pPr>
            <w:r>
              <w:t>Unlimited</w:t>
            </w:r>
          </w:p>
        </w:tc>
      </w:tr>
      <w:tr w:rsidR="000D07EA" w14:paraId="005479F0" w14:textId="77777777">
        <w:tc>
          <w:tcPr>
            <w:tcW w:w="1704" w:type="pct"/>
            <w:vAlign w:val="center"/>
          </w:tcPr>
          <w:p w14:paraId="711DCC03" w14:textId="77777777" w:rsidR="000D07EA" w:rsidRDefault="00BE7C89">
            <w:pPr>
              <w:pStyle w:val="BodyText"/>
              <w:spacing w:before="100" w:after="100"/>
              <w:rPr>
                <w:b/>
                <w:i/>
                <w:iCs/>
              </w:rPr>
            </w:pPr>
            <w:r>
              <w:rPr>
                <w:b/>
                <w:i/>
                <w:iCs/>
              </w:rPr>
              <w:t>Flagfall</w:t>
            </w:r>
            <w:r>
              <w:rPr>
                <w:b/>
              </w:rPr>
              <w:t xml:space="preserve"> for national voice calls (Call Connection Charge per call) </w:t>
            </w:r>
          </w:p>
        </w:tc>
        <w:tc>
          <w:tcPr>
            <w:tcW w:w="824" w:type="pct"/>
          </w:tcPr>
          <w:p w14:paraId="1F2880D5" w14:textId="77777777" w:rsidR="000D07EA" w:rsidRDefault="00BE7C89">
            <w:pPr>
              <w:pStyle w:val="BodyText"/>
              <w:spacing w:before="100" w:after="100"/>
              <w:jc w:val="center"/>
            </w:pPr>
            <w:r>
              <w:t>$0.35</w:t>
            </w:r>
          </w:p>
        </w:tc>
        <w:tc>
          <w:tcPr>
            <w:tcW w:w="824" w:type="pct"/>
          </w:tcPr>
          <w:p w14:paraId="6FE33B06" w14:textId="77777777" w:rsidR="000D07EA" w:rsidRDefault="00BE7C89">
            <w:pPr>
              <w:pStyle w:val="BodyText"/>
              <w:spacing w:before="100" w:after="100"/>
              <w:jc w:val="center"/>
            </w:pPr>
            <w:r>
              <w:t>$0.35</w:t>
            </w:r>
          </w:p>
        </w:tc>
        <w:tc>
          <w:tcPr>
            <w:tcW w:w="824" w:type="pct"/>
          </w:tcPr>
          <w:p w14:paraId="7B5C589A" w14:textId="77777777" w:rsidR="000D07EA" w:rsidRDefault="00BE7C89">
            <w:pPr>
              <w:pStyle w:val="BodyText"/>
              <w:spacing w:before="100" w:after="100"/>
              <w:jc w:val="center"/>
            </w:pPr>
            <w:r>
              <w:t>$0.00</w:t>
            </w:r>
          </w:p>
        </w:tc>
        <w:tc>
          <w:tcPr>
            <w:tcW w:w="824" w:type="pct"/>
          </w:tcPr>
          <w:p w14:paraId="20BFFCDD" w14:textId="77777777" w:rsidR="000D07EA" w:rsidRDefault="00BE7C89">
            <w:pPr>
              <w:pStyle w:val="BodyText"/>
              <w:spacing w:before="100" w:after="100"/>
              <w:jc w:val="center"/>
            </w:pPr>
            <w:r>
              <w:t>$0.00</w:t>
            </w:r>
          </w:p>
        </w:tc>
      </w:tr>
      <w:tr w:rsidR="000D07EA" w14:paraId="1A440173" w14:textId="77777777">
        <w:tc>
          <w:tcPr>
            <w:tcW w:w="1704" w:type="pct"/>
            <w:vAlign w:val="center"/>
          </w:tcPr>
          <w:p w14:paraId="43D6A2E3" w14:textId="77777777" w:rsidR="000D07EA" w:rsidRDefault="00BE7C89">
            <w:pPr>
              <w:pStyle w:val="BodyText"/>
              <w:spacing w:before="100" w:after="100"/>
              <w:rPr>
                <w:b/>
                <w:iCs/>
              </w:rPr>
            </w:pPr>
            <w:r>
              <w:rPr>
                <w:b/>
                <w:iCs/>
              </w:rPr>
              <w:t>13/1300 Calls</w:t>
            </w:r>
          </w:p>
        </w:tc>
        <w:tc>
          <w:tcPr>
            <w:tcW w:w="824" w:type="pct"/>
          </w:tcPr>
          <w:p w14:paraId="1C33A8DF" w14:textId="77777777" w:rsidR="000D07EA" w:rsidRDefault="00BE7C89">
            <w:pPr>
              <w:pStyle w:val="BodyText"/>
              <w:spacing w:before="100" w:after="100"/>
              <w:jc w:val="center"/>
            </w:pPr>
            <w:r>
              <w:t>30c per call</w:t>
            </w:r>
          </w:p>
        </w:tc>
        <w:tc>
          <w:tcPr>
            <w:tcW w:w="824" w:type="pct"/>
          </w:tcPr>
          <w:p w14:paraId="04E2430A" w14:textId="77777777" w:rsidR="000D07EA" w:rsidRDefault="00BE7C89">
            <w:pPr>
              <w:pStyle w:val="BodyText"/>
              <w:spacing w:before="100" w:after="100"/>
              <w:jc w:val="center"/>
            </w:pPr>
            <w:r>
              <w:t>30c per call</w:t>
            </w:r>
          </w:p>
        </w:tc>
        <w:tc>
          <w:tcPr>
            <w:tcW w:w="824" w:type="pct"/>
          </w:tcPr>
          <w:p w14:paraId="773289CE" w14:textId="77777777" w:rsidR="000D07EA" w:rsidRDefault="00BE7C89">
            <w:pPr>
              <w:pStyle w:val="BodyText"/>
              <w:spacing w:before="100" w:after="100"/>
              <w:jc w:val="center"/>
            </w:pPr>
            <w:r>
              <w:t>Unlimited</w:t>
            </w:r>
          </w:p>
        </w:tc>
        <w:tc>
          <w:tcPr>
            <w:tcW w:w="824" w:type="pct"/>
          </w:tcPr>
          <w:p w14:paraId="68DDA65C" w14:textId="77777777" w:rsidR="000D07EA" w:rsidRDefault="00BE7C89">
            <w:pPr>
              <w:pStyle w:val="BodyText"/>
              <w:spacing w:before="100" w:after="100"/>
              <w:jc w:val="center"/>
            </w:pPr>
            <w:r>
              <w:t>Unlimited</w:t>
            </w:r>
          </w:p>
        </w:tc>
      </w:tr>
      <w:tr w:rsidR="000D07EA" w14:paraId="05CD2928" w14:textId="77777777">
        <w:tc>
          <w:tcPr>
            <w:tcW w:w="1704" w:type="pct"/>
            <w:vAlign w:val="center"/>
          </w:tcPr>
          <w:p w14:paraId="3DF84D14" w14:textId="77777777" w:rsidR="000D07EA" w:rsidRDefault="00BE7C89">
            <w:pPr>
              <w:pStyle w:val="BodyText"/>
              <w:spacing w:before="100" w:after="100"/>
              <w:rPr>
                <w:b/>
              </w:rPr>
            </w:pPr>
            <w:r>
              <w:rPr>
                <w:b/>
              </w:rPr>
              <w:t xml:space="preserve">International Video call charges </w:t>
            </w:r>
            <w:r>
              <w:rPr>
                <w:b/>
                <w:i/>
                <w:iCs/>
              </w:rPr>
              <w:t xml:space="preserve"> </w:t>
            </w:r>
            <w:r>
              <w:t>(per minute)</w:t>
            </w:r>
          </w:p>
        </w:tc>
        <w:tc>
          <w:tcPr>
            <w:tcW w:w="824" w:type="pct"/>
          </w:tcPr>
          <w:p w14:paraId="79B1C9DC" w14:textId="77777777" w:rsidR="000D07EA" w:rsidRDefault="00BE7C89">
            <w:pPr>
              <w:pStyle w:val="BodyText"/>
              <w:spacing w:before="100" w:after="100"/>
              <w:jc w:val="center"/>
              <w:rPr>
                <w:lang w:val="sv-SE"/>
              </w:rPr>
            </w:pPr>
            <w:r>
              <w:rPr>
                <w:lang w:val="sv-SE"/>
              </w:rPr>
              <w:t>$1.50 per min plus 35c flagfall</w:t>
            </w:r>
          </w:p>
        </w:tc>
        <w:tc>
          <w:tcPr>
            <w:tcW w:w="824" w:type="pct"/>
          </w:tcPr>
          <w:p w14:paraId="3499F5B5" w14:textId="77777777" w:rsidR="000D07EA" w:rsidRDefault="00BE7C89">
            <w:pPr>
              <w:pStyle w:val="BodyText"/>
              <w:spacing w:before="100" w:after="100"/>
              <w:jc w:val="center"/>
              <w:rPr>
                <w:lang w:val="sv-SE"/>
              </w:rPr>
            </w:pPr>
            <w:r>
              <w:rPr>
                <w:lang w:val="sv-SE"/>
              </w:rPr>
              <w:t>$1.50 per min plus 35c flagfall</w:t>
            </w:r>
          </w:p>
        </w:tc>
        <w:tc>
          <w:tcPr>
            <w:tcW w:w="824" w:type="pct"/>
          </w:tcPr>
          <w:p w14:paraId="1173F31A" w14:textId="77777777" w:rsidR="000D07EA" w:rsidRDefault="00BE7C89">
            <w:pPr>
              <w:pStyle w:val="BodyText"/>
              <w:spacing w:before="100" w:after="100"/>
              <w:jc w:val="center"/>
              <w:rPr>
                <w:lang w:val="sv-SE"/>
              </w:rPr>
            </w:pPr>
            <w:r>
              <w:rPr>
                <w:lang w:val="sv-SE"/>
              </w:rPr>
              <w:t>$1.50 per min plus 35c flagfall</w:t>
            </w:r>
          </w:p>
        </w:tc>
        <w:tc>
          <w:tcPr>
            <w:tcW w:w="824" w:type="pct"/>
          </w:tcPr>
          <w:p w14:paraId="2841F7D3" w14:textId="77777777" w:rsidR="000D07EA" w:rsidRDefault="00BE7C89">
            <w:pPr>
              <w:pStyle w:val="BodyText"/>
              <w:spacing w:before="100" w:after="100"/>
              <w:jc w:val="center"/>
              <w:rPr>
                <w:lang w:val="sv-SE"/>
              </w:rPr>
            </w:pPr>
            <w:r>
              <w:rPr>
                <w:lang w:val="sv-SE"/>
              </w:rPr>
              <w:t>$1.50 per min plus 35c flagfall</w:t>
            </w:r>
          </w:p>
        </w:tc>
      </w:tr>
      <w:tr w:rsidR="000D07EA" w14:paraId="45F9DA3C" w14:textId="77777777">
        <w:tc>
          <w:tcPr>
            <w:tcW w:w="1704" w:type="pct"/>
            <w:vAlign w:val="center"/>
          </w:tcPr>
          <w:p w14:paraId="2AB08C4B" w14:textId="77777777" w:rsidR="000D07EA" w:rsidRDefault="00BE7C89">
            <w:pPr>
              <w:pStyle w:val="BodyText"/>
              <w:spacing w:before="100" w:after="100"/>
              <w:rPr>
                <w:b/>
              </w:rPr>
            </w:pPr>
            <w:r>
              <w:rPr>
                <w:b/>
              </w:rPr>
              <w:t>International SMS (per message)</w:t>
            </w:r>
          </w:p>
        </w:tc>
        <w:tc>
          <w:tcPr>
            <w:tcW w:w="824" w:type="pct"/>
          </w:tcPr>
          <w:p w14:paraId="5202EBE4" w14:textId="77777777" w:rsidR="000D07EA" w:rsidRDefault="00BE7C89">
            <w:pPr>
              <w:pStyle w:val="BodyText"/>
              <w:spacing w:before="100" w:after="100"/>
              <w:jc w:val="center"/>
            </w:pPr>
            <w:r>
              <w:t>$0.50</w:t>
            </w:r>
          </w:p>
        </w:tc>
        <w:tc>
          <w:tcPr>
            <w:tcW w:w="824" w:type="pct"/>
          </w:tcPr>
          <w:p w14:paraId="55207114" w14:textId="77777777" w:rsidR="000D07EA" w:rsidRDefault="00BE7C89">
            <w:pPr>
              <w:pStyle w:val="BodyText"/>
              <w:spacing w:before="100" w:after="100"/>
              <w:jc w:val="center"/>
            </w:pPr>
            <w:r>
              <w:t>$0.50</w:t>
            </w:r>
          </w:p>
        </w:tc>
        <w:tc>
          <w:tcPr>
            <w:tcW w:w="824" w:type="pct"/>
          </w:tcPr>
          <w:p w14:paraId="589EF1A4" w14:textId="77777777" w:rsidR="000D07EA" w:rsidRDefault="00BE7C89">
            <w:pPr>
              <w:pStyle w:val="BodyText"/>
              <w:spacing w:before="100" w:after="100"/>
              <w:jc w:val="center"/>
            </w:pPr>
            <w:r>
              <w:t>$0.50</w:t>
            </w:r>
          </w:p>
        </w:tc>
        <w:tc>
          <w:tcPr>
            <w:tcW w:w="824" w:type="pct"/>
          </w:tcPr>
          <w:p w14:paraId="64A91790" w14:textId="77777777" w:rsidR="000D07EA" w:rsidRDefault="00BE7C89">
            <w:pPr>
              <w:pStyle w:val="BodyText"/>
              <w:spacing w:before="100" w:after="100"/>
              <w:jc w:val="center"/>
            </w:pPr>
            <w:r>
              <w:t>$0.50</w:t>
            </w:r>
          </w:p>
        </w:tc>
      </w:tr>
      <w:tr w:rsidR="000D07EA" w14:paraId="28658046" w14:textId="77777777">
        <w:tc>
          <w:tcPr>
            <w:tcW w:w="1704" w:type="pct"/>
            <w:vAlign w:val="center"/>
          </w:tcPr>
          <w:p w14:paraId="1D36115B" w14:textId="77777777" w:rsidR="000D07EA" w:rsidRDefault="00BE7C89">
            <w:pPr>
              <w:pStyle w:val="BodyText"/>
              <w:spacing w:before="100" w:after="100"/>
              <w:rPr>
                <w:b/>
              </w:rPr>
            </w:pPr>
            <w:r>
              <w:rPr>
                <w:b/>
              </w:rPr>
              <w:t>International MMS (per message)</w:t>
            </w:r>
          </w:p>
        </w:tc>
        <w:tc>
          <w:tcPr>
            <w:tcW w:w="824" w:type="pct"/>
          </w:tcPr>
          <w:p w14:paraId="3E449691" w14:textId="77777777" w:rsidR="000D07EA" w:rsidRDefault="00BE7C89">
            <w:pPr>
              <w:pStyle w:val="BodyText"/>
              <w:spacing w:before="100" w:after="100"/>
              <w:jc w:val="center"/>
            </w:pPr>
            <w:r>
              <w:t>$0.75</w:t>
            </w:r>
          </w:p>
        </w:tc>
        <w:tc>
          <w:tcPr>
            <w:tcW w:w="824" w:type="pct"/>
          </w:tcPr>
          <w:p w14:paraId="68510F97" w14:textId="77777777" w:rsidR="000D07EA" w:rsidRDefault="00BE7C89">
            <w:pPr>
              <w:pStyle w:val="BodyText"/>
              <w:spacing w:before="100" w:after="100"/>
              <w:jc w:val="center"/>
            </w:pPr>
            <w:r>
              <w:t>$0.75</w:t>
            </w:r>
          </w:p>
        </w:tc>
        <w:tc>
          <w:tcPr>
            <w:tcW w:w="824" w:type="pct"/>
          </w:tcPr>
          <w:p w14:paraId="08D008AC" w14:textId="77777777" w:rsidR="000D07EA" w:rsidRDefault="00BE7C89">
            <w:pPr>
              <w:pStyle w:val="BodyText"/>
              <w:spacing w:before="100" w:after="100"/>
              <w:jc w:val="center"/>
            </w:pPr>
            <w:r>
              <w:t>$0.75</w:t>
            </w:r>
          </w:p>
        </w:tc>
        <w:tc>
          <w:tcPr>
            <w:tcW w:w="824" w:type="pct"/>
          </w:tcPr>
          <w:p w14:paraId="2FE968C8" w14:textId="77777777" w:rsidR="000D07EA" w:rsidRDefault="00BE7C89">
            <w:pPr>
              <w:pStyle w:val="BodyText"/>
              <w:spacing w:before="100" w:after="100"/>
              <w:jc w:val="center"/>
            </w:pPr>
            <w:r>
              <w:t>$0.75</w:t>
            </w:r>
          </w:p>
        </w:tc>
      </w:tr>
      <w:tr w:rsidR="000D07EA" w14:paraId="5CE29896" w14:textId="77777777">
        <w:tc>
          <w:tcPr>
            <w:tcW w:w="1704" w:type="pct"/>
            <w:vAlign w:val="center"/>
          </w:tcPr>
          <w:p w14:paraId="58F6B912" w14:textId="77777777" w:rsidR="000D07EA" w:rsidRDefault="00BE7C89">
            <w:pPr>
              <w:pStyle w:val="BodyText"/>
              <w:spacing w:before="100" w:after="100"/>
              <w:rPr>
                <w:b/>
              </w:rPr>
            </w:pPr>
            <w:r>
              <w:rPr>
                <w:b/>
              </w:rPr>
              <w:t>Included International Value</w:t>
            </w:r>
          </w:p>
        </w:tc>
        <w:tc>
          <w:tcPr>
            <w:tcW w:w="824" w:type="pct"/>
          </w:tcPr>
          <w:p w14:paraId="0C26D7DC" w14:textId="77777777" w:rsidR="000D07EA" w:rsidRDefault="00BE7C89">
            <w:pPr>
              <w:pStyle w:val="BodyText"/>
              <w:spacing w:before="100" w:after="100"/>
              <w:jc w:val="center"/>
            </w:pPr>
            <w:r>
              <w:t>$0</w:t>
            </w:r>
          </w:p>
        </w:tc>
        <w:tc>
          <w:tcPr>
            <w:tcW w:w="824" w:type="pct"/>
          </w:tcPr>
          <w:p w14:paraId="4933D11D" w14:textId="77777777" w:rsidR="000D07EA" w:rsidRDefault="00BE7C89">
            <w:pPr>
              <w:pStyle w:val="BodyText"/>
              <w:spacing w:before="100" w:after="100"/>
              <w:jc w:val="center"/>
            </w:pPr>
            <w:r>
              <w:t>$0</w:t>
            </w:r>
          </w:p>
        </w:tc>
        <w:tc>
          <w:tcPr>
            <w:tcW w:w="824" w:type="pct"/>
          </w:tcPr>
          <w:p w14:paraId="63EA163B" w14:textId="77777777" w:rsidR="000D07EA" w:rsidRDefault="00BE7C89">
            <w:pPr>
              <w:pStyle w:val="BodyText"/>
              <w:spacing w:before="100" w:after="100"/>
              <w:jc w:val="center"/>
            </w:pPr>
            <w:r>
              <w:t>$100</w:t>
            </w:r>
          </w:p>
        </w:tc>
        <w:tc>
          <w:tcPr>
            <w:tcW w:w="824" w:type="pct"/>
          </w:tcPr>
          <w:p w14:paraId="2663C754" w14:textId="77777777" w:rsidR="000D07EA" w:rsidRDefault="00BE7C89">
            <w:pPr>
              <w:pStyle w:val="BodyText"/>
              <w:spacing w:before="100" w:after="100"/>
              <w:jc w:val="center"/>
            </w:pPr>
            <w:r>
              <w:t>$180</w:t>
            </w:r>
          </w:p>
        </w:tc>
      </w:tr>
      <w:tr w:rsidR="000D07EA" w14:paraId="7EA99E5E" w14:textId="77777777">
        <w:tc>
          <w:tcPr>
            <w:tcW w:w="1704" w:type="pct"/>
            <w:vAlign w:val="center"/>
          </w:tcPr>
          <w:p w14:paraId="7C049FBC" w14:textId="77777777" w:rsidR="000D07EA" w:rsidRDefault="00BE7C89">
            <w:pPr>
              <w:pStyle w:val="BodyText"/>
              <w:spacing w:before="100" w:after="100"/>
              <w:rPr>
                <w:b/>
              </w:rPr>
            </w:pPr>
            <w:r>
              <w:rPr>
                <w:b/>
              </w:rPr>
              <w:t>International Rates</w:t>
            </w:r>
          </w:p>
        </w:tc>
        <w:tc>
          <w:tcPr>
            <w:tcW w:w="3296" w:type="pct"/>
            <w:gridSpan w:val="4"/>
          </w:tcPr>
          <w:p w14:paraId="5870E90E" w14:textId="77777777" w:rsidR="000D07EA" w:rsidRDefault="00BE7C89">
            <w:pPr>
              <w:pStyle w:val="BodyText"/>
              <w:spacing w:before="100" w:after="100"/>
              <w:jc w:val="center"/>
            </w:pPr>
            <w:r>
              <w:t xml:space="preserve">'yes' Business International Call Rates (see </w:t>
            </w:r>
            <w:hyperlink r:id="rId283" w:history="1">
              <w:r>
                <w:rPr>
                  <w:rStyle w:val="Hyperlink"/>
                  <w:i/>
                </w:rPr>
                <w:t>Appendix J</w:t>
              </w:r>
            </w:hyperlink>
            <w:r>
              <w:t>)</w:t>
            </w:r>
          </w:p>
        </w:tc>
      </w:tr>
      <w:tr w:rsidR="000D07EA" w14:paraId="78ECFBAC" w14:textId="77777777">
        <w:tc>
          <w:tcPr>
            <w:tcW w:w="1704" w:type="pct"/>
            <w:vMerge w:val="restart"/>
            <w:vAlign w:val="center"/>
          </w:tcPr>
          <w:p w14:paraId="4C2D65A6" w14:textId="77777777" w:rsidR="000D07EA" w:rsidRDefault="00BE7C89">
            <w:pPr>
              <w:pStyle w:val="BodyText"/>
              <w:spacing w:before="100" w:after="100"/>
              <w:rPr>
                <w:b/>
              </w:rPr>
            </w:pPr>
            <w:r>
              <w:rPr>
                <w:b/>
              </w:rPr>
              <w:t>Your Choice Of Data to use within Australia:</w:t>
            </w:r>
          </w:p>
        </w:tc>
        <w:tc>
          <w:tcPr>
            <w:tcW w:w="824" w:type="pct"/>
          </w:tcPr>
          <w:p w14:paraId="04A1618F" w14:textId="77777777" w:rsidR="000D07EA" w:rsidRDefault="00BE7C89">
            <w:pPr>
              <w:pStyle w:val="BodyText"/>
              <w:spacing w:before="100" w:after="100"/>
              <w:jc w:val="center"/>
            </w:pPr>
            <w:r>
              <w:t>3GB of Mobile Internet Data</w:t>
            </w:r>
          </w:p>
        </w:tc>
        <w:tc>
          <w:tcPr>
            <w:tcW w:w="824" w:type="pct"/>
          </w:tcPr>
          <w:p w14:paraId="3E284CAB" w14:textId="77777777" w:rsidR="000D07EA" w:rsidRDefault="00BE7C89">
            <w:pPr>
              <w:pStyle w:val="BodyText"/>
              <w:spacing w:before="100" w:after="100"/>
              <w:jc w:val="center"/>
            </w:pPr>
            <w:r>
              <w:t>3GB of Mobile Internet Data</w:t>
            </w:r>
          </w:p>
        </w:tc>
        <w:tc>
          <w:tcPr>
            <w:tcW w:w="824" w:type="pct"/>
          </w:tcPr>
          <w:p w14:paraId="2B120BEC" w14:textId="77777777" w:rsidR="000D07EA" w:rsidRDefault="00BE7C89">
            <w:pPr>
              <w:pStyle w:val="BodyText"/>
              <w:spacing w:before="100" w:after="100"/>
              <w:jc w:val="center"/>
            </w:pPr>
            <w:r>
              <w:t>5GB of Mobile Internet Data</w:t>
            </w:r>
          </w:p>
        </w:tc>
        <w:tc>
          <w:tcPr>
            <w:tcW w:w="824" w:type="pct"/>
          </w:tcPr>
          <w:p w14:paraId="6E60215E" w14:textId="77777777" w:rsidR="000D07EA" w:rsidRDefault="00BE7C89">
            <w:pPr>
              <w:pStyle w:val="BodyText"/>
              <w:spacing w:before="100" w:after="100"/>
              <w:jc w:val="center"/>
              <w:rPr>
                <w:rFonts w:cs="Arial"/>
              </w:rPr>
            </w:pPr>
            <w:r>
              <w:t>10GB of Mobile Internet Data</w:t>
            </w:r>
          </w:p>
        </w:tc>
      </w:tr>
      <w:tr w:rsidR="000D07EA" w14:paraId="7131360B" w14:textId="77777777">
        <w:tc>
          <w:tcPr>
            <w:tcW w:w="1704" w:type="pct"/>
            <w:vMerge/>
            <w:vAlign w:val="center"/>
          </w:tcPr>
          <w:p w14:paraId="367FDE4F" w14:textId="77777777" w:rsidR="000D07EA" w:rsidRDefault="000D07EA">
            <w:pPr>
              <w:pStyle w:val="BodyText"/>
              <w:spacing w:before="100" w:after="100"/>
              <w:rPr>
                <w:b/>
              </w:rPr>
            </w:pPr>
          </w:p>
        </w:tc>
        <w:tc>
          <w:tcPr>
            <w:tcW w:w="3296" w:type="pct"/>
            <w:gridSpan w:val="4"/>
          </w:tcPr>
          <w:p w14:paraId="62805B08" w14:textId="77777777" w:rsidR="000D07EA" w:rsidRDefault="00BE7C89">
            <w:pPr>
              <w:pStyle w:val="BodyText"/>
              <w:spacing w:before="100" w:after="100"/>
              <w:jc w:val="center"/>
              <w:rPr>
                <w:rFonts w:cs="Arial"/>
                <w:b/>
              </w:rPr>
            </w:pPr>
            <w:r>
              <w:rPr>
                <w:b/>
              </w:rPr>
              <w:t>OR</w:t>
            </w:r>
          </w:p>
        </w:tc>
      </w:tr>
      <w:tr w:rsidR="000D07EA" w14:paraId="06793B7C" w14:textId="77777777">
        <w:tc>
          <w:tcPr>
            <w:tcW w:w="1704" w:type="pct"/>
            <w:vMerge/>
            <w:vAlign w:val="center"/>
          </w:tcPr>
          <w:p w14:paraId="07F332AB" w14:textId="77777777" w:rsidR="000D07EA" w:rsidRDefault="000D07EA">
            <w:pPr>
              <w:pStyle w:val="BodyText"/>
              <w:spacing w:before="100" w:after="100"/>
              <w:rPr>
                <w:b/>
              </w:rPr>
            </w:pPr>
          </w:p>
        </w:tc>
        <w:tc>
          <w:tcPr>
            <w:tcW w:w="824" w:type="pct"/>
          </w:tcPr>
          <w:p w14:paraId="17EB888A" w14:textId="77777777" w:rsidR="000D07EA" w:rsidRDefault="00BE7C89">
            <w:pPr>
              <w:pStyle w:val="BodyText"/>
              <w:spacing w:before="100" w:after="100"/>
              <w:jc w:val="center"/>
            </w:pPr>
            <w:r>
              <w:t>Unlimited BlackBerry POP3 Email and Browsing through the BlackBerry Browser plus 1GB of Mobile Internet Data</w:t>
            </w:r>
          </w:p>
        </w:tc>
        <w:tc>
          <w:tcPr>
            <w:tcW w:w="824" w:type="pct"/>
          </w:tcPr>
          <w:p w14:paraId="41E1D55F" w14:textId="77777777" w:rsidR="000D07EA" w:rsidRDefault="00BE7C89">
            <w:pPr>
              <w:pStyle w:val="BodyText"/>
              <w:spacing w:before="100" w:after="100"/>
              <w:jc w:val="center"/>
            </w:pPr>
            <w:r>
              <w:t>Unlimited BlackBerry POP3 Email and Browsing through the BlackBerry Browser plus 1GB of Mobile Internet Data</w:t>
            </w:r>
          </w:p>
        </w:tc>
        <w:tc>
          <w:tcPr>
            <w:tcW w:w="824" w:type="pct"/>
          </w:tcPr>
          <w:p w14:paraId="0FC3830B" w14:textId="77777777" w:rsidR="000D07EA" w:rsidRDefault="00BE7C89">
            <w:pPr>
              <w:pStyle w:val="BodyText"/>
              <w:spacing w:before="100" w:after="100"/>
              <w:jc w:val="center"/>
            </w:pPr>
            <w:r>
              <w:t>Unlimited BlackBerry POP3 Email and Browsing through the BlackBerry Browser plus 2GB of Mobile Internet Data</w:t>
            </w:r>
          </w:p>
        </w:tc>
        <w:tc>
          <w:tcPr>
            <w:tcW w:w="824" w:type="pct"/>
          </w:tcPr>
          <w:p w14:paraId="5A86F531" w14:textId="77777777" w:rsidR="000D07EA" w:rsidRDefault="00BE7C89">
            <w:pPr>
              <w:pStyle w:val="BodyText"/>
              <w:spacing w:before="100" w:after="100"/>
              <w:jc w:val="center"/>
              <w:rPr>
                <w:rFonts w:cs="Arial"/>
              </w:rPr>
            </w:pPr>
            <w:r>
              <w:t>Unlimited BlackBerry POP3 Email and Browsing through the BlackBerry Browser plus 2GB of Mobile Internet Data</w:t>
            </w:r>
          </w:p>
        </w:tc>
      </w:tr>
      <w:tr w:rsidR="000D07EA" w14:paraId="04DF1CB2" w14:textId="77777777">
        <w:tc>
          <w:tcPr>
            <w:tcW w:w="1704" w:type="pct"/>
            <w:vAlign w:val="center"/>
          </w:tcPr>
          <w:p w14:paraId="73EBBFFD" w14:textId="77777777" w:rsidR="000D07EA" w:rsidRDefault="00BE7C89">
            <w:pPr>
              <w:pStyle w:val="BodyText"/>
              <w:spacing w:before="100" w:after="100"/>
              <w:rPr>
                <w:b/>
              </w:rPr>
            </w:pPr>
            <w:r>
              <w:rPr>
                <w:b/>
              </w:rPr>
              <w:t>Bonus Unlimited Mobile Internet Data</w:t>
            </w:r>
          </w:p>
        </w:tc>
        <w:tc>
          <w:tcPr>
            <w:tcW w:w="824" w:type="pct"/>
          </w:tcPr>
          <w:p w14:paraId="363132BD" w14:textId="77777777" w:rsidR="000D07EA" w:rsidRDefault="00BE7C89">
            <w:pPr>
              <w:pStyle w:val="BodyText"/>
              <w:spacing w:before="100" w:after="100"/>
              <w:jc w:val="center"/>
            </w:pPr>
            <w:r>
              <w:t>N/A</w:t>
            </w:r>
          </w:p>
        </w:tc>
        <w:tc>
          <w:tcPr>
            <w:tcW w:w="824" w:type="pct"/>
          </w:tcPr>
          <w:p w14:paraId="187450CF" w14:textId="77777777" w:rsidR="000D07EA" w:rsidRDefault="00BE7C89">
            <w:pPr>
              <w:pStyle w:val="BodyText"/>
              <w:spacing w:before="100" w:after="100"/>
              <w:jc w:val="center"/>
            </w:pPr>
            <w:r>
              <w:t>N/A</w:t>
            </w:r>
          </w:p>
        </w:tc>
        <w:tc>
          <w:tcPr>
            <w:tcW w:w="824" w:type="pct"/>
          </w:tcPr>
          <w:p w14:paraId="414CC800" w14:textId="77777777" w:rsidR="000D07EA" w:rsidRDefault="00BE7C89">
            <w:pPr>
              <w:pStyle w:val="BodyText"/>
              <w:spacing w:before="100" w:after="100"/>
              <w:jc w:val="center"/>
            </w:pPr>
            <w:r>
              <w:t>N/A</w:t>
            </w:r>
          </w:p>
        </w:tc>
        <w:tc>
          <w:tcPr>
            <w:tcW w:w="824" w:type="pct"/>
          </w:tcPr>
          <w:p w14:paraId="39A187AF" w14:textId="77777777" w:rsidR="000D07EA" w:rsidRDefault="00BE7C89">
            <w:pPr>
              <w:pStyle w:val="BodyText"/>
              <w:spacing w:before="100" w:after="100"/>
              <w:jc w:val="center"/>
            </w:pPr>
            <w:r>
              <w:t>Unlimited Mobile Internet Data from your mobile only</w:t>
            </w:r>
          </w:p>
        </w:tc>
      </w:tr>
      <w:tr w:rsidR="000D07EA" w14:paraId="7BCE6F27" w14:textId="77777777">
        <w:tc>
          <w:tcPr>
            <w:tcW w:w="1704" w:type="pct"/>
            <w:vAlign w:val="center"/>
          </w:tcPr>
          <w:p w14:paraId="7E5C7D27" w14:textId="77777777" w:rsidR="000D07EA" w:rsidRDefault="00BE7C89">
            <w:pPr>
              <w:pStyle w:val="BodyText"/>
              <w:spacing w:before="100" w:after="100"/>
              <w:rPr>
                <w:b/>
              </w:rPr>
            </w:pPr>
            <w:r>
              <w:rPr>
                <w:b/>
              </w:rPr>
              <w:t xml:space="preserve">Other call charges </w:t>
            </w:r>
          </w:p>
        </w:tc>
        <w:tc>
          <w:tcPr>
            <w:tcW w:w="3296" w:type="pct"/>
            <w:gridSpan w:val="4"/>
          </w:tcPr>
          <w:p w14:paraId="3D3A2C9E" w14:textId="77777777" w:rsidR="000D07EA" w:rsidRDefault="00BE7C89">
            <w:pPr>
              <w:pStyle w:val="BodyText"/>
              <w:spacing w:before="100" w:after="100"/>
              <w:jc w:val="center"/>
              <w:rPr>
                <w:rFonts w:cs="Arial"/>
              </w:rPr>
            </w:pPr>
            <w:r>
              <w:t xml:space="preserve">See section 1 of this </w:t>
            </w:r>
            <w:r>
              <w:rPr>
                <w:i/>
                <w:iCs/>
              </w:rPr>
              <w:t>standard pricing table</w:t>
            </w:r>
            <w:r>
              <w:t xml:space="preserve"> and </w:t>
            </w:r>
            <w:hyperlink r:id="rId284" w:history="1">
              <w:r>
                <w:rPr>
                  <w:rStyle w:val="Hyperlink"/>
                  <w:i/>
                </w:rPr>
                <w:t>Appendix Y</w:t>
              </w:r>
            </w:hyperlink>
            <w:r>
              <w:t xml:space="preserve"> (Value Added Service Features)</w:t>
            </w:r>
          </w:p>
        </w:tc>
      </w:tr>
      <w:tr w:rsidR="000D07EA" w14:paraId="2B263D31" w14:textId="77777777">
        <w:tc>
          <w:tcPr>
            <w:tcW w:w="1704" w:type="pct"/>
            <w:vAlign w:val="center"/>
          </w:tcPr>
          <w:p w14:paraId="398B2F7E" w14:textId="77777777" w:rsidR="000D07EA" w:rsidRDefault="00BE7C89" w:rsidP="00E2048F">
            <w:pPr>
              <w:pStyle w:val="BodyText"/>
              <w:spacing w:before="100" w:after="100"/>
              <w:rPr>
                <w:b/>
              </w:rPr>
            </w:pPr>
            <w:r>
              <w:rPr>
                <w:b/>
              </w:rPr>
              <w:lastRenderedPageBreak/>
              <w:t xml:space="preserve">Other conditions (for details see paragraph </w:t>
            </w:r>
            <w:r w:rsidR="00E2048F">
              <w:rPr>
                <w:b/>
              </w:rPr>
              <w:t>91.3(i)</w:t>
            </w:r>
            <w:r>
              <w:rPr>
                <w:b/>
              </w:rPr>
              <w:t xml:space="preserve"> above)</w:t>
            </w:r>
          </w:p>
        </w:tc>
        <w:tc>
          <w:tcPr>
            <w:tcW w:w="3296" w:type="pct"/>
            <w:gridSpan w:val="4"/>
          </w:tcPr>
          <w:p w14:paraId="2BA9C639" w14:textId="77777777" w:rsidR="000D07EA" w:rsidRDefault="00BE7C89">
            <w:pPr>
              <w:pStyle w:val="BodyText"/>
              <w:spacing w:before="100" w:after="100"/>
              <w:jc w:val="center"/>
              <w:rPr>
                <w:rFonts w:cs="Arial"/>
              </w:rPr>
            </w:pPr>
            <w:r>
              <w:t>Fair Go Policy (</w:t>
            </w:r>
            <w:hyperlink r:id="rId285" w:history="1">
              <w:r>
                <w:rPr>
                  <w:rStyle w:val="Hyperlink"/>
                  <w:i/>
                </w:rPr>
                <w:t>Appendix S</w:t>
              </w:r>
            </w:hyperlink>
            <w:r>
              <w:t>) applies to 'excessive use,' 'unreasonable use,' and 'unacceptable use'.</w:t>
            </w:r>
          </w:p>
        </w:tc>
      </w:tr>
      <w:tr w:rsidR="000D07EA" w14:paraId="7244EBE5" w14:textId="77777777">
        <w:tc>
          <w:tcPr>
            <w:tcW w:w="1704" w:type="pct"/>
          </w:tcPr>
          <w:p w14:paraId="75065B63" w14:textId="77777777" w:rsidR="000D07EA" w:rsidRDefault="00BE7C89">
            <w:pPr>
              <w:pStyle w:val="BodyText"/>
              <w:spacing w:before="100" w:after="100"/>
              <w:rPr>
                <w:b/>
              </w:rPr>
            </w:pPr>
            <w:r>
              <w:rPr>
                <w:b/>
              </w:rPr>
              <w:t>Available on Non Fixed Contract (Month to Month)</w:t>
            </w:r>
          </w:p>
        </w:tc>
        <w:tc>
          <w:tcPr>
            <w:tcW w:w="824" w:type="pct"/>
          </w:tcPr>
          <w:p w14:paraId="0FECD5F6" w14:textId="77777777" w:rsidR="000D07EA" w:rsidRDefault="00BE7C89">
            <w:pPr>
              <w:pStyle w:val="BodyText"/>
              <w:spacing w:before="100" w:after="100"/>
              <w:jc w:val="center"/>
            </w:pPr>
            <w:r>
              <w:t>Yes</w:t>
            </w:r>
          </w:p>
        </w:tc>
        <w:tc>
          <w:tcPr>
            <w:tcW w:w="824" w:type="pct"/>
          </w:tcPr>
          <w:p w14:paraId="0BD8EE8D" w14:textId="77777777" w:rsidR="000D07EA" w:rsidRDefault="00BE7C89">
            <w:pPr>
              <w:pStyle w:val="BodyText"/>
              <w:spacing w:before="100" w:after="100"/>
              <w:jc w:val="center"/>
            </w:pPr>
            <w:r>
              <w:t>Yes</w:t>
            </w:r>
          </w:p>
        </w:tc>
        <w:tc>
          <w:tcPr>
            <w:tcW w:w="824" w:type="pct"/>
          </w:tcPr>
          <w:p w14:paraId="1C4442D5" w14:textId="77777777" w:rsidR="000D07EA" w:rsidRDefault="00BE7C89">
            <w:pPr>
              <w:pStyle w:val="BodyText"/>
              <w:spacing w:before="100" w:after="100"/>
              <w:jc w:val="center"/>
            </w:pPr>
            <w:r>
              <w:t>Yes</w:t>
            </w:r>
          </w:p>
        </w:tc>
        <w:tc>
          <w:tcPr>
            <w:tcW w:w="824" w:type="pct"/>
          </w:tcPr>
          <w:p w14:paraId="01C4B448" w14:textId="77777777" w:rsidR="000D07EA" w:rsidRDefault="00BE7C89">
            <w:pPr>
              <w:pStyle w:val="BodyText"/>
              <w:spacing w:before="100" w:after="100"/>
              <w:jc w:val="center"/>
            </w:pPr>
            <w:r>
              <w:t>Yes</w:t>
            </w:r>
          </w:p>
        </w:tc>
      </w:tr>
      <w:tr w:rsidR="000D07EA" w14:paraId="6E07CC81" w14:textId="77777777">
        <w:tc>
          <w:tcPr>
            <w:tcW w:w="1704" w:type="pct"/>
          </w:tcPr>
          <w:p w14:paraId="591AA3CF" w14:textId="77777777" w:rsidR="000D07EA" w:rsidRDefault="00BE7C89">
            <w:pPr>
              <w:pStyle w:val="BodyText"/>
              <w:spacing w:before="100" w:after="100"/>
              <w:rPr>
                <w:b/>
              </w:rPr>
            </w:pPr>
            <w:r>
              <w:rPr>
                <w:b/>
              </w:rPr>
              <w:t>Available on a Fixed Term Contract (12 or 24 Months)</w:t>
            </w:r>
          </w:p>
        </w:tc>
        <w:tc>
          <w:tcPr>
            <w:tcW w:w="824" w:type="pct"/>
          </w:tcPr>
          <w:p w14:paraId="6E0B1117" w14:textId="77777777" w:rsidR="000D07EA" w:rsidRDefault="00BE7C89">
            <w:pPr>
              <w:pStyle w:val="BodyText"/>
              <w:spacing w:before="100" w:after="100"/>
              <w:jc w:val="center"/>
            </w:pPr>
            <w:r>
              <w:t>Yes</w:t>
            </w:r>
          </w:p>
        </w:tc>
        <w:tc>
          <w:tcPr>
            <w:tcW w:w="824" w:type="pct"/>
          </w:tcPr>
          <w:p w14:paraId="399B97D7" w14:textId="77777777" w:rsidR="000D07EA" w:rsidRDefault="00BE7C89">
            <w:pPr>
              <w:pStyle w:val="BodyText"/>
              <w:spacing w:before="100" w:after="100"/>
              <w:jc w:val="center"/>
            </w:pPr>
            <w:r>
              <w:t>Yes</w:t>
            </w:r>
          </w:p>
        </w:tc>
        <w:tc>
          <w:tcPr>
            <w:tcW w:w="824" w:type="pct"/>
          </w:tcPr>
          <w:p w14:paraId="211CEFF2" w14:textId="77777777" w:rsidR="000D07EA" w:rsidRDefault="00BE7C89">
            <w:pPr>
              <w:pStyle w:val="BodyText"/>
              <w:spacing w:before="100" w:after="100"/>
              <w:jc w:val="center"/>
            </w:pPr>
            <w:r>
              <w:t>Yes</w:t>
            </w:r>
          </w:p>
        </w:tc>
        <w:tc>
          <w:tcPr>
            <w:tcW w:w="824" w:type="pct"/>
          </w:tcPr>
          <w:p w14:paraId="6E2DCC69" w14:textId="77777777" w:rsidR="000D07EA" w:rsidRDefault="00BE7C89">
            <w:pPr>
              <w:pStyle w:val="BodyText"/>
              <w:spacing w:before="100" w:after="100"/>
              <w:jc w:val="center"/>
            </w:pPr>
            <w:r>
              <w:t>Yes</w:t>
            </w:r>
          </w:p>
        </w:tc>
      </w:tr>
      <w:tr w:rsidR="000D07EA" w14:paraId="74D7DAAD" w14:textId="77777777">
        <w:tc>
          <w:tcPr>
            <w:tcW w:w="1704" w:type="pct"/>
            <w:vMerge w:val="restart"/>
            <w:vAlign w:val="center"/>
          </w:tcPr>
          <w:p w14:paraId="3C3D7483" w14:textId="77777777" w:rsidR="000D07EA" w:rsidRDefault="00BE7C89">
            <w:pPr>
              <w:pStyle w:val="BodyText"/>
              <w:spacing w:before="100" w:after="100"/>
              <w:rPr>
                <w:b/>
              </w:rPr>
            </w:pPr>
            <w:r>
              <w:rPr>
                <w:b/>
              </w:rPr>
              <w:t xml:space="preserve">Minimum Total Cost of the Optus Business Timeless Advantage Plan over a 24 month </w:t>
            </w:r>
            <w:r>
              <w:rPr>
                <w:b/>
                <w:i/>
                <w:iCs/>
              </w:rPr>
              <w:t>minimum term</w:t>
            </w:r>
          </w:p>
        </w:tc>
        <w:tc>
          <w:tcPr>
            <w:tcW w:w="824" w:type="pct"/>
          </w:tcPr>
          <w:p w14:paraId="1CABA4FA" w14:textId="77777777" w:rsidR="000D07EA" w:rsidRDefault="00BE7C89">
            <w:pPr>
              <w:pStyle w:val="BodyText"/>
              <w:spacing w:before="100" w:after="100"/>
              <w:jc w:val="center"/>
            </w:pPr>
            <w:r>
              <w:t>N/A</w:t>
            </w:r>
          </w:p>
        </w:tc>
        <w:tc>
          <w:tcPr>
            <w:tcW w:w="824" w:type="pct"/>
          </w:tcPr>
          <w:p w14:paraId="7FE4C70F" w14:textId="77777777" w:rsidR="000D07EA" w:rsidRDefault="00BE7C89">
            <w:pPr>
              <w:pStyle w:val="BodyText"/>
              <w:spacing w:before="100" w:after="100"/>
              <w:jc w:val="center"/>
            </w:pPr>
            <w:r>
              <w:t>$2,136</w:t>
            </w:r>
          </w:p>
        </w:tc>
        <w:tc>
          <w:tcPr>
            <w:tcW w:w="824" w:type="pct"/>
          </w:tcPr>
          <w:p w14:paraId="06B58C27" w14:textId="77777777" w:rsidR="000D07EA" w:rsidRDefault="00BE7C89">
            <w:pPr>
              <w:pStyle w:val="BodyText"/>
              <w:spacing w:before="100" w:after="100"/>
              <w:jc w:val="center"/>
            </w:pPr>
            <w:r>
              <w:t>$2,376</w:t>
            </w:r>
          </w:p>
        </w:tc>
        <w:tc>
          <w:tcPr>
            <w:tcW w:w="824" w:type="pct"/>
          </w:tcPr>
          <w:p w14:paraId="7DCE77D3" w14:textId="77777777" w:rsidR="000D07EA" w:rsidRDefault="00BE7C89">
            <w:pPr>
              <w:pStyle w:val="BodyText"/>
              <w:spacing w:before="100" w:after="100"/>
              <w:jc w:val="center"/>
            </w:pPr>
            <w:r>
              <w:t>$3,096</w:t>
            </w:r>
          </w:p>
        </w:tc>
      </w:tr>
      <w:tr w:rsidR="000D07EA" w14:paraId="14EFBAC3" w14:textId="77777777">
        <w:tc>
          <w:tcPr>
            <w:tcW w:w="1704" w:type="pct"/>
            <w:vMerge/>
            <w:vAlign w:val="center"/>
          </w:tcPr>
          <w:p w14:paraId="17ED16F6" w14:textId="77777777" w:rsidR="000D07EA" w:rsidRDefault="000D07EA">
            <w:pPr>
              <w:pStyle w:val="BodyText"/>
              <w:spacing w:before="100" w:after="100"/>
              <w:rPr>
                <w:b/>
              </w:rPr>
            </w:pPr>
          </w:p>
        </w:tc>
        <w:tc>
          <w:tcPr>
            <w:tcW w:w="3296" w:type="pct"/>
            <w:gridSpan w:val="4"/>
          </w:tcPr>
          <w:p w14:paraId="7D96956F" w14:textId="77777777" w:rsidR="000D07EA" w:rsidRDefault="00BE7C89">
            <w:pPr>
              <w:pStyle w:val="BodyText"/>
              <w:spacing w:before="100" w:after="100"/>
              <w:jc w:val="center"/>
            </w:pPr>
            <w:r>
              <w:t xml:space="preserve">(plus the cost of </w:t>
            </w:r>
            <w:r>
              <w:rPr>
                <w:i/>
                <w:iCs/>
              </w:rPr>
              <w:t xml:space="preserve">equipment charges </w:t>
            </w:r>
            <w:r>
              <w:t xml:space="preserve">for any </w:t>
            </w:r>
            <w:r>
              <w:rPr>
                <w:i/>
                <w:iCs/>
              </w:rPr>
              <w:t xml:space="preserve">mobile phone you </w:t>
            </w:r>
            <w:r>
              <w:t>purchase from us, if any)</w:t>
            </w:r>
          </w:p>
        </w:tc>
      </w:tr>
      <w:tr w:rsidR="000D07EA" w14:paraId="7F8E842B" w14:textId="77777777">
        <w:tc>
          <w:tcPr>
            <w:tcW w:w="1704" w:type="pct"/>
            <w:vMerge w:val="restart"/>
            <w:vAlign w:val="center"/>
          </w:tcPr>
          <w:p w14:paraId="4BDC92FF" w14:textId="77777777" w:rsidR="000D07EA" w:rsidRDefault="00BE7C89">
            <w:pPr>
              <w:pStyle w:val="BodyText"/>
              <w:keepNext/>
              <w:spacing w:before="100" w:after="100"/>
              <w:rPr>
                <w:b/>
              </w:rPr>
            </w:pPr>
            <w:r>
              <w:rPr>
                <w:b/>
              </w:rPr>
              <w:t xml:space="preserve">Minimum Total Cost of the Optus Business Timeless Advantage Plan over a 12 month </w:t>
            </w:r>
            <w:r>
              <w:rPr>
                <w:b/>
                <w:i/>
                <w:iCs/>
              </w:rPr>
              <w:t xml:space="preserve">minimum term </w:t>
            </w:r>
          </w:p>
        </w:tc>
        <w:tc>
          <w:tcPr>
            <w:tcW w:w="824" w:type="pct"/>
          </w:tcPr>
          <w:p w14:paraId="68001767" w14:textId="77777777" w:rsidR="000D07EA" w:rsidRDefault="00BE7C89">
            <w:pPr>
              <w:pStyle w:val="BodyText"/>
              <w:keepNext/>
              <w:spacing w:before="100" w:after="100"/>
              <w:jc w:val="center"/>
            </w:pPr>
            <w:r>
              <w:t>$828</w:t>
            </w:r>
          </w:p>
        </w:tc>
        <w:tc>
          <w:tcPr>
            <w:tcW w:w="824" w:type="pct"/>
          </w:tcPr>
          <w:p w14:paraId="668EB14B" w14:textId="77777777" w:rsidR="000D07EA" w:rsidRDefault="00BE7C89">
            <w:pPr>
              <w:pStyle w:val="BodyText"/>
              <w:keepNext/>
              <w:spacing w:before="100" w:after="100"/>
              <w:jc w:val="center"/>
            </w:pPr>
            <w:r>
              <w:t>$1,068</w:t>
            </w:r>
          </w:p>
        </w:tc>
        <w:tc>
          <w:tcPr>
            <w:tcW w:w="824" w:type="pct"/>
          </w:tcPr>
          <w:p w14:paraId="0B347326" w14:textId="77777777" w:rsidR="000D07EA" w:rsidRDefault="00BE7C89">
            <w:pPr>
              <w:pStyle w:val="BodyText"/>
              <w:keepNext/>
              <w:spacing w:before="100" w:after="100"/>
              <w:jc w:val="center"/>
            </w:pPr>
            <w:r>
              <w:t>$1,188</w:t>
            </w:r>
          </w:p>
        </w:tc>
        <w:tc>
          <w:tcPr>
            <w:tcW w:w="824" w:type="pct"/>
          </w:tcPr>
          <w:p w14:paraId="763237AB" w14:textId="77777777" w:rsidR="000D07EA" w:rsidRDefault="00BE7C89">
            <w:pPr>
              <w:pStyle w:val="BodyText"/>
              <w:keepNext/>
              <w:spacing w:before="100" w:after="100"/>
              <w:jc w:val="center"/>
            </w:pPr>
            <w:r>
              <w:t>$1,548</w:t>
            </w:r>
          </w:p>
        </w:tc>
      </w:tr>
      <w:tr w:rsidR="000D07EA" w14:paraId="082B0139" w14:textId="77777777">
        <w:tc>
          <w:tcPr>
            <w:tcW w:w="1704" w:type="pct"/>
            <w:vMerge/>
            <w:vAlign w:val="center"/>
          </w:tcPr>
          <w:p w14:paraId="197158F0" w14:textId="77777777" w:rsidR="000D07EA" w:rsidRDefault="000D07EA">
            <w:pPr>
              <w:pStyle w:val="BodyText"/>
              <w:keepNext/>
              <w:spacing w:before="100" w:after="100"/>
            </w:pPr>
          </w:p>
        </w:tc>
        <w:tc>
          <w:tcPr>
            <w:tcW w:w="3296" w:type="pct"/>
            <w:gridSpan w:val="4"/>
          </w:tcPr>
          <w:p w14:paraId="2C6DB7A5" w14:textId="77777777" w:rsidR="000D07EA" w:rsidRDefault="00BE7C89">
            <w:pPr>
              <w:pStyle w:val="BodyText"/>
              <w:keepNext/>
              <w:spacing w:before="100" w:after="100"/>
              <w:jc w:val="center"/>
            </w:pPr>
            <w:r>
              <w:rPr>
                <w:iCs/>
              </w:rPr>
              <w:t>(</w:t>
            </w:r>
            <w:r>
              <w:t xml:space="preserve">plus the cost of </w:t>
            </w:r>
            <w:r>
              <w:rPr>
                <w:i/>
                <w:iCs/>
              </w:rPr>
              <w:t xml:space="preserve">equipment charges </w:t>
            </w:r>
            <w:r>
              <w:t xml:space="preserve">for any </w:t>
            </w:r>
            <w:r>
              <w:rPr>
                <w:i/>
                <w:iCs/>
              </w:rPr>
              <w:t xml:space="preserve">mobile phone you </w:t>
            </w:r>
            <w:r>
              <w:t>purchase from us, if any)</w:t>
            </w:r>
          </w:p>
        </w:tc>
      </w:tr>
    </w:tbl>
    <w:p w14:paraId="74DA97BC" w14:textId="77777777" w:rsidR="000D07EA" w:rsidRDefault="000D07EA">
      <w:pPr>
        <w:pStyle w:val="BodyText"/>
      </w:pPr>
      <w:bookmarkStart w:id="419" w:name="_Toc267937674"/>
      <w:bookmarkStart w:id="420" w:name="_Toc397941149"/>
    </w:p>
    <w:p w14:paraId="00FBF1B3" w14:textId="77777777" w:rsidR="000D07EA" w:rsidRDefault="00BE7C89">
      <w:pPr>
        <w:pStyle w:val="Heading6"/>
        <w:ind w:left="0" w:firstLine="0"/>
      </w:pPr>
      <w:r>
        <w:t>What happens if the service is cancelled early?</w:t>
      </w:r>
      <w:bookmarkEnd w:id="419"/>
      <w:bookmarkEnd w:id="420"/>
    </w:p>
    <w:p w14:paraId="5C7410CE" w14:textId="77777777" w:rsidR="000D07EA" w:rsidRDefault="00BE7C89">
      <w:pPr>
        <w:pStyle w:val="Heading7"/>
      </w:pPr>
      <w:bookmarkStart w:id="421" w:name="_Ref461550430"/>
      <w:r>
        <w:t xml:space="preserve">If </w:t>
      </w:r>
      <w:r>
        <w:rPr>
          <w:i/>
        </w:rPr>
        <w:t>the service</w:t>
      </w:r>
      <w:r>
        <w:t xml:space="preserve"> </w:t>
      </w:r>
      <w:r>
        <w:rPr>
          <w:i/>
        </w:rPr>
        <w:t xml:space="preserve">is cancelled </w:t>
      </w:r>
      <w:r>
        <w:t xml:space="preserve">before the expiry of the </w:t>
      </w:r>
      <w:r>
        <w:rPr>
          <w:i/>
        </w:rPr>
        <w:t xml:space="preserve">minimum term, you </w:t>
      </w:r>
      <w:r>
        <w:t xml:space="preserve">will be required to pay </w:t>
      </w:r>
      <w:r>
        <w:rPr>
          <w:i/>
        </w:rPr>
        <w:t>us</w:t>
      </w:r>
      <w:r>
        <w:t>:</w:t>
      </w:r>
      <w:bookmarkEnd w:id="421"/>
    </w:p>
    <w:p w14:paraId="6BB59231" w14:textId="77777777" w:rsidR="000D07EA" w:rsidRDefault="00BE7C89">
      <w:pPr>
        <w:pStyle w:val="Heading8"/>
      </w:pPr>
      <w:bookmarkStart w:id="422" w:name="_Ref461550435"/>
      <w:r>
        <w:t xml:space="preserve">any usage charges incurred up to, and including, the </w:t>
      </w:r>
      <w:r>
        <w:rPr>
          <w:i/>
        </w:rPr>
        <w:t xml:space="preserve">cancellation date; </w:t>
      </w:r>
      <w:r>
        <w:t>plus</w:t>
      </w:r>
      <w:bookmarkEnd w:id="422"/>
      <w:r>
        <w:t xml:space="preserve"> </w:t>
      </w:r>
    </w:p>
    <w:p w14:paraId="2FB6418F" w14:textId="77777777" w:rsidR="000D07EA" w:rsidRDefault="00BE7C89">
      <w:pPr>
        <w:pStyle w:val="Heading8"/>
      </w:pPr>
      <w:r>
        <w:t xml:space="preserve">the </w:t>
      </w:r>
      <w:r>
        <w:rPr>
          <w:i/>
        </w:rPr>
        <w:t xml:space="preserve">cancellation fee </w:t>
      </w:r>
      <w:r>
        <w:t xml:space="preserve">set in paragraph </w:t>
      </w:r>
      <w:r>
        <w:fldChar w:fldCharType="begin"/>
      </w:r>
      <w:r>
        <w:instrText xml:space="preserve"> REF _Ref461550421 \n \h </w:instrText>
      </w:r>
      <w:r>
        <w:fldChar w:fldCharType="separate"/>
      </w:r>
      <w:r w:rsidR="0004083A">
        <w:t>(b)</w:t>
      </w:r>
      <w:r>
        <w:fldChar w:fldCharType="end"/>
      </w:r>
      <w:r>
        <w:t xml:space="preserve"> or </w:t>
      </w:r>
      <w:r>
        <w:fldChar w:fldCharType="begin"/>
      </w:r>
      <w:r>
        <w:instrText xml:space="preserve"> REF _Ref461550426 \n \h </w:instrText>
      </w:r>
      <w:r>
        <w:fldChar w:fldCharType="separate"/>
      </w:r>
      <w:r w:rsidR="0004083A">
        <w:t>(d)</w:t>
      </w:r>
      <w:r>
        <w:fldChar w:fldCharType="end"/>
      </w:r>
      <w:r>
        <w:t xml:space="preserve"> below (unless under clause 2A of the </w:t>
      </w:r>
      <w:r>
        <w:rPr>
          <w:i/>
        </w:rPr>
        <w:t xml:space="preserve">SMB terms, you </w:t>
      </w:r>
      <w:r>
        <w:t xml:space="preserve">are entitled to </w:t>
      </w:r>
      <w:r>
        <w:rPr>
          <w:i/>
        </w:rPr>
        <w:t xml:space="preserve">cancel the service </w:t>
      </w:r>
      <w:r>
        <w:t xml:space="preserve">without incurring a </w:t>
      </w:r>
      <w:r>
        <w:rPr>
          <w:i/>
        </w:rPr>
        <w:t>cancellation fee)</w:t>
      </w:r>
      <w:r>
        <w:t xml:space="preserve">; plus </w:t>
      </w:r>
    </w:p>
    <w:p w14:paraId="7DFDEA2E" w14:textId="77777777" w:rsidR="000D07EA" w:rsidRDefault="00BE7C89">
      <w:pPr>
        <w:pStyle w:val="Heading8"/>
      </w:pPr>
      <w:bookmarkStart w:id="423" w:name="_Ref461550440"/>
      <w:r>
        <w:t>the sum of unpaid equipment charges owing on your mobile phone under the mobile equipment payment plan (if any).</w:t>
      </w:r>
      <w:bookmarkEnd w:id="423"/>
    </w:p>
    <w:p w14:paraId="110DE1BF" w14:textId="77777777" w:rsidR="000D07EA" w:rsidRDefault="00BE7C89">
      <w:pPr>
        <w:pStyle w:val="Heading7"/>
      </w:pPr>
      <w:bookmarkStart w:id="424" w:name="_Ref461550421"/>
      <w:r>
        <w:t xml:space="preserve">The </w:t>
      </w:r>
      <w:r>
        <w:rPr>
          <w:i/>
        </w:rPr>
        <w:t>cancellation fee</w:t>
      </w:r>
      <w:r>
        <w:t xml:space="preserve"> for a 12 Month Contract is calculated as a fixed amount if the </w:t>
      </w:r>
      <w:r>
        <w:rPr>
          <w:i/>
        </w:rPr>
        <w:t xml:space="preserve">service </w:t>
      </w:r>
      <w:r>
        <w:t xml:space="preserve">is </w:t>
      </w:r>
      <w:r>
        <w:rPr>
          <w:i/>
        </w:rPr>
        <w:t xml:space="preserve">cancelled </w:t>
      </w:r>
      <w:r>
        <w:t xml:space="preserve">during the first 6 months of the </w:t>
      </w:r>
      <w:r>
        <w:rPr>
          <w:i/>
        </w:rPr>
        <w:t>minimum term</w:t>
      </w:r>
      <w:r>
        <w:t xml:space="preserve"> and then a pro-rata reduction of that fee (indicated as a percentage in brackets in the first column of the table below) if the </w:t>
      </w:r>
      <w:r>
        <w:rPr>
          <w:i/>
        </w:rPr>
        <w:t xml:space="preserve">service </w:t>
      </w:r>
      <w:r>
        <w:t xml:space="preserve">is </w:t>
      </w:r>
      <w:r>
        <w:rPr>
          <w:i/>
        </w:rPr>
        <w:t xml:space="preserve">cancelled </w:t>
      </w:r>
      <w:r>
        <w:t xml:space="preserve">during the last six months of the </w:t>
      </w:r>
      <w:r>
        <w:rPr>
          <w:i/>
        </w:rPr>
        <w:t>minimum term</w:t>
      </w:r>
      <w:r>
        <w:t>.</w:t>
      </w:r>
      <w:bookmarkEnd w:id="424"/>
    </w:p>
    <w:p w14:paraId="5C9A19C0" w14:textId="77777777" w:rsidR="000D07EA" w:rsidRDefault="00BE7C89">
      <w:pPr>
        <w:pStyle w:val="Heading7"/>
      </w:pPr>
      <w:r>
        <w:t xml:space="preserve">If </w:t>
      </w:r>
      <w:r>
        <w:rPr>
          <w:i/>
          <w:iCs/>
        </w:rPr>
        <w:t>you</w:t>
      </w:r>
      <w:r>
        <w:t xml:space="preserve"> change the </w:t>
      </w:r>
      <w:r>
        <w:rPr>
          <w:i/>
          <w:iCs/>
        </w:rPr>
        <w:t xml:space="preserve">service </w:t>
      </w:r>
      <w:r>
        <w:t xml:space="preserve">from a </w:t>
      </w:r>
      <w:r>
        <w:rPr>
          <w:bCs/>
        </w:rPr>
        <w:t>Business</w:t>
      </w:r>
      <w:r>
        <w:t xml:space="preserve"> Timeless Advantage BYO plan to an Optus digital mobile</w:t>
      </w:r>
      <w:r>
        <w:rPr>
          <w:i/>
          <w:iCs/>
        </w:rPr>
        <w:t xml:space="preserve"> </w:t>
      </w:r>
      <w:r>
        <w:t xml:space="preserve">plan which includes a digital mobile handset before the expiry of the </w:t>
      </w:r>
      <w:r>
        <w:rPr>
          <w:i/>
          <w:iCs/>
        </w:rPr>
        <w:t xml:space="preserve">minimum term </w:t>
      </w:r>
      <w:r>
        <w:t xml:space="preserve">of </w:t>
      </w:r>
      <w:r>
        <w:rPr>
          <w:i/>
        </w:rPr>
        <w:t>your</w:t>
      </w:r>
      <w:r>
        <w:t xml:space="preserve"> </w:t>
      </w:r>
      <w:r>
        <w:rPr>
          <w:bCs/>
        </w:rPr>
        <w:t>Business</w:t>
      </w:r>
      <w:r>
        <w:t xml:space="preserve"> Timeless Advantage BYO plan, </w:t>
      </w:r>
      <w:r>
        <w:rPr>
          <w:i/>
          <w:iCs/>
        </w:rPr>
        <w:t>we</w:t>
      </w:r>
      <w:r>
        <w:t xml:space="preserve"> will waive the cancellation fee set out in paragraph (d) below.  </w:t>
      </w:r>
      <w:r>
        <w:rPr>
          <w:i/>
          <w:iCs/>
        </w:rPr>
        <w:t>You</w:t>
      </w:r>
      <w:r>
        <w:t xml:space="preserve"> will be required to pay the charges set out in paragraph </w:t>
      </w:r>
      <w:r>
        <w:fldChar w:fldCharType="begin"/>
      </w:r>
      <w:r>
        <w:instrText xml:space="preserve"> REF _Ref461550430 \n \h </w:instrText>
      </w:r>
      <w:r>
        <w:fldChar w:fldCharType="separate"/>
      </w:r>
      <w:r w:rsidR="0004083A">
        <w:t>(a)</w:t>
      </w:r>
      <w:r>
        <w:fldChar w:fldCharType="end"/>
      </w:r>
      <w:r>
        <w:fldChar w:fldCharType="begin"/>
      </w:r>
      <w:r>
        <w:instrText xml:space="preserve"> REF _Ref461550435 \n \h </w:instrText>
      </w:r>
      <w:r>
        <w:fldChar w:fldCharType="separate"/>
      </w:r>
      <w:r w:rsidR="0004083A">
        <w:t>(i)</w:t>
      </w:r>
      <w:r>
        <w:fldChar w:fldCharType="end"/>
      </w:r>
      <w:r>
        <w:fldChar w:fldCharType="begin"/>
      </w:r>
      <w:r>
        <w:instrText xml:space="preserve"> REF _Ref461550440 \n \h </w:instrText>
      </w:r>
      <w:r>
        <w:fldChar w:fldCharType="separate"/>
      </w:r>
      <w:r w:rsidR="0004083A">
        <w:t>(iii)</w:t>
      </w:r>
      <w:r>
        <w:fldChar w:fldCharType="end"/>
      </w:r>
      <w:r>
        <w:t xml:space="preserve"> and </w:t>
      </w:r>
      <w:r>
        <w:fldChar w:fldCharType="begin"/>
      </w:r>
      <w:r>
        <w:instrText xml:space="preserve"> REF _Ref461550430 \n \h </w:instrText>
      </w:r>
      <w:r>
        <w:fldChar w:fldCharType="separate"/>
      </w:r>
      <w:r w:rsidR="0004083A">
        <w:t>(a)</w:t>
      </w:r>
      <w:r>
        <w:fldChar w:fldCharType="end"/>
      </w:r>
      <w:r>
        <w:fldChar w:fldCharType="begin"/>
      </w:r>
      <w:r>
        <w:instrText xml:space="preserve"> REF _Ref461550440 \n \h </w:instrText>
      </w:r>
      <w:r>
        <w:fldChar w:fldCharType="separate"/>
      </w:r>
      <w:r w:rsidR="0004083A">
        <w:t>(iii)</w:t>
      </w:r>
      <w:r>
        <w:fldChar w:fldCharType="end"/>
      </w:r>
      <w:r>
        <w:t xml:space="preserve"> above. </w:t>
      </w:r>
    </w:p>
    <w:p w14:paraId="1EDAD1E3" w14:textId="77777777" w:rsidR="000D07EA" w:rsidRDefault="00BE7C89">
      <w:pPr>
        <w:pStyle w:val="Heading7"/>
      </w:pPr>
      <w:bookmarkStart w:id="425" w:name="_Ref461550426"/>
      <w:r>
        <w:t xml:space="preserve">The </w:t>
      </w:r>
      <w:r>
        <w:rPr>
          <w:i/>
        </w:rPr>
        <w:t>cancellation fee</w:t>
      </w:r>
      <w:r>
        <w:t xml:space="preserve"> for a 24 Month Contract is calculated as a fixed amount if the </w:t>
      </w:r>
      <w:r>
        <w:rPr>
          <w:i/>
        </w:rPr>
        <w:t xml:space="preserve">service </w:t>
      </w:r>
      <w:r>
        <w:t xml:space="preserve">is </w:t>
      </w:r>
      <w:r>
        <w:rPr>
          <w:i/>
        </w:rPr>
        <w:t xml:space="preserve">cancelled </w:t>
      </w:r>
      <w:r>
        <w:t xml:space="preserve">during the first 12 months of the </w:t>
      </w:r>
      <w:r>
        <w:rPr>
          <w:i/>
        </w:rPr>
        <w:t>minimum term</w:t>
      </w:r>
      <w:r>
        <w:t xml:space="preserve"> and then a pro-rata reduction of that fee (indicated as a percentage in brackets in the first column of the table below) if the </w:t>
      </w:r>
      <w:r>
        <w:rPr>
          <w:i/>
        </w:rPr>
        <w:t xml:space="preserve">service </w:t>
      </w:r>
      <w:r>
        <w:t xml:space="preserve">is </w:t>
      </w:r>
      <w:r>
        <w:rPr>
          <w:i/>
        </w:rPr>
        <w:t xml:space="preserve">cancelled </w:t>
      </w:r>
      <w:r>
        <w:t xml:space="preserve">during the second year of the </w:t>
      </w:r>
      <w:r>
        <w:rPr>
          <w:i/>
        </w:rPr>
        <w:t>minimum term</w:t>
      </w:r>
      <w:r>
        <w:t>.</w:t>
      </w:r>
      <w:bookmarkEnd w:id="425"/>
    </w:p>
    <w:p w14:paraId="4BB2C3F6" w14:textId="77777777" w:rsidR="000D07EA" w:rsidRDefault="00BE7C89">
      <w:pPr>
        <w:pStyle w:val="BodyText"/>
        <w:ind w:left="720"/>
        <w:rPr>
          <w:b/>
        </w:rPr>
      </w:pPr>
      <w:r>
        <w:rPr>
          <w:b/>
        </w:rPr>
        <w:t>Cancellation Fee for services activated before December 12</w:t>
      </w:r>
      <w:r>
        <w:rPr>
          <w:b/>
          <w:vertAlign w:val="superscript"/>
        </w:rPr>
        <w:t>th</w:t>
      </w:r>
      <w:r>
        <w:rPr>
          <w:b/>
        </w:rPr>
        <w:t xml:space="preserve"> 2010</w:t>
      </w:r>
    </w:p>
    <w:tbl>
      <w:tblPr>
        <w:tblW w:w="4646" w:type="pct"/>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4"/>
        <w:gridCol w:w="1466"/>
        <w:gridCol w:w="1465"/>
        <w:gridCol w:w="1465"/>
        <w:gridCol w:w="1467"/>
      </w:tblGrid>
      <w:tr w:rsidR="000D07EA" w14:paraId="75937040" w14:textId="77777777">
        <w:tc>
          <w:tcPr>
            <w:tcW w:w="1903" w:type="pct"/>
          </w:tcPr>
          <w:p w14:paraId="24148DAF" w14:textId="77777777" w:rsidR="000D07EA" w:rsidRDefault="00BE7C89">
            <w:pPr>
              <w:pStyle w:val="BodyText"/>
              <w:spacing w:before="100" w:after="100"/>
              <w:rPr>
                <w:b/>
              </w:rPr>
            </w:pPr>
            <w:r>
              <w:rPr>
                <w:b/>
              </w:rPr>
              <w:t xml:space="preserve">When the </w:t>
            </w:r>
            <w:r>
              <w:rPr>
                <w:b/>
                <w:i/>
              </w:rPr>
              <w:t>service</w:t>
            </w:r>
            <w:r>
              <w:rPr>
                <w:b/>
              </w:rPr>
              <w:t xml:space="preserve"> is </w:t>
            </w:r>
            <w:r>
              <w:rPr>
                <w:b/>
                <w:i/>
              </w:rPr>
              <w:t>cancelled</w:t>
            </w:r>
          </w:p>
        </w:tc>
        <w:tc>
          <w:tcPr>
            <w:tcW w:w="3097" w:type="pct"/>
            <w:gridSpan w:val="4"/>
            <w:vAlign w:val="center"/>
          </w:tcPr>
          <w:p w14:paraId="438C39D5" w14:textId="77777777" w:rsidR="000D07EA" w:rsidRDefault="00BE7C89">
            <w:pPr>
              <w:pStyle w:val="BodyText"/>
              <w:spacing w:before="100" w:after="100"/>
              <w:jc w:val="center"/>
              <w:rPr>
                <w:b/>
                <w:i/>
              </w:rPr>
            </w:pPr>
            <w:r>
              <w:rPr>
                <w:b/>
                <w:i/>
              </w:rPr>
              <w:t>Cancellation Fee</w:t>
            </w:r>
          </w:p>
        </w:tc>
      </w:tr>
      <w:tr w:rsidR="000D07EA" w14:paraId="7F0F9398" w14:textId="77777777">
        <w:tc>
          <w:tcPr>
            <w:tcW w:w="1903" w:type="pct"/>
          </w:tcPr>
          <w:p w14:paraId="34463938" w14:textId="77777777" w:rsidR="000D07EA" w:rsidRDefault="000D07EA">
            <w:pPr>
              <w:pStyle w:val="BodyText"/>
              <w:spacing w:before="100" w:after="100"/>
              <w:rPr>
                <w:b/>
              </w:rPr>
            </w:pPr>
          </w:p>
        </w:tc>
        <w:tc>
          <w:tcPr>
            <w:tcW w:w="3097" w:type="pct"/>
            <w:gridSpan w:val="4"/>
            <w:vAlign w:val="center"/>
          </w:tcPr>
          <w:p w14:paraId="050DD777" w14:textId="77777777" w:rsidR="000D07EA" w:rsidRDefault="00BE7C89">
            <w:pPr>
              <w:pStyle w:val="BodyText"/>
              <w:spacing w:before="100" w:after="100"/>
              <w:jc w:val="center"/>
              <w:rPr>
                <w:b/>
              </w:rPr>
            </w:pPr>
            <w:r>
              <w:rPr>
                <w:b/>
                <w:bCs/>
                <w:lang w:eastAsia="en-AU"/>
              </w:rPr>
              <w:t>Business Timeless Advantage Plans – 12 Month Contract</w:t>
            </w:r>
          </w:p>
        </w:tc>
      </w:tr>
      <w:tr w:rsidR="000D07EA" w14:paraId="3A998B15" w14:textId="77777777">
        <w:trPr>
          <w:trHeight w:val="60"/>
        </w:trPr>
        <w:tc>
          <w:tcPr>
            <w:tcW w:w="1903" w:type="pct"/>
          </w:tcPr>
          <w:p w14:paraId="139E243C" w14:textId="77777777" w:rsidR="000D07EA" w:rsidRDefault="000D07EA">
            <w:pPr>
              <w:pStyle w:val="BodyText"/>
              <w:spacing w:before="100" w:after="100"/>
              <w:rPr>
                <w:b/>
              </w:rPr>
            </w:pPr>
          </w:p>
        </w:tc>
        <w:tc>
          <w:tcPr>
            <w:tcW w:w="774" w:type="pct"/>
          </w:tcPr>
          <w:p w14:paraId="34E0C892" w14:textId="77777777" w:rsidR="000D07EA" w:rsidRDefault="00BE7C89">
            <w:pPr>
              <w:pStyle w:val="BodyText"/>
              <w:spacing w:before="100" w:after="100"/>
              <w:jc w:val="center"/>
              <w:rPr>
                <w:b/>
                <w:bCs/>
                <w:lang w:eastAsia="en-AU"/>
              </w:rPr>
            </w:pPr>
            <w:r>
              <w:rPr>
                <w:b/>
                <w:bCs/>
                <w:lang w:eastAsia="en-AU"/>
              </w:rPr>
              <w:t>$69 Business Timeless Advantage BYO</w:t>
            </w:r>
          </w:p>
        </w:tc>
        <w:tc>
          <w:tcPr>
            <w:tcW w:w="774" w:type="pct"/>
          </w:tcPr>
          <w:p w14:paraId="2E7B5A6A" w14:textId="77777777" w:rsidR="000D07EA" w:rsidRDefault="00BE7C89">
            <w:pPr>
              <w:pStyle w:val="BodyText"/>
              <w:spacing w:before="100" w:after="100"/>
              <w:jc w:val="center"/>
              <w:rPr>
                <w:b/>
              </w:rPr>
            </w:pPr>
            <w:r>
              <w:rPr>
                <w:b/>
                <w:bCs/>
                <w:lang w:eastAsia="en-AU"/>
              </w:rPr>
              <w:t>$89 Business Timeless Advantage</w:t>
            </w:r>
          </w:p>
        </w:tc>
        <w:tc>
          <w:tcPr>
            <w:tcW w:w="774" w:type="pct"/>
          </w:tcPr>
          <w:p w14:paraId="4D485206" w14:textId="77777777" w:rsidR="000D07EA" w:rsidRDefault="00BE7C89">
            <w:pPr>
              <w:pStyle w:val="BodyText"/>
              <w:spacing w:before="100" w:after="100"/>
              <w:jc w:val="center"/>
              <w:rPr>
                <w:b/>
              </w:rPr>
            </w:pPr>
            <w:r>
              <w:rPr>
                <w:b/>
                <w:bCs/>
                <w:lang w:eastAsia="en-AU"/>
              </w:rPr>
              <w:t>$99 Business Timeless Advantage</w:t>
            </w:r>
          </w:p>
        </w:tc>
        <w:tc>
          <w:tcPr>
            <w:tcW w:w="775" w:type="pct"/>
          </w:tcPr>
          <w:p w14:paraId="6A7F8EE3" w14:textId="77777777" w:rsidR="000D07EA" w:rsidRDefault="00BE7C89">
            <w:pPr>
              <w:pStyle w:val="BodyText"/>
              <w:spacing w:before="100" w:after="100"/>
              <w:jc w:val="center"/>
              <w:rPr>
                <w:b/>
              </w:rPr>
            </w:pPr>
            <w:r>
              <w:rPr>
                <w:b/>
                <w:bCs/>
                <w:lang w:eastAsia="en-AU"/>
              </w:rPr>
              <w:t>$129 Business Timeless Advantage</w:t>
            </w:r>
          </w:p>
        </w:tc>
      </w:tr>
      <w:tr w:rsidR="000D07EA" w14:paraId="5078F2D1" w14:textId="77777777">
        <w:trPr>
          <w:trHeight w:val="60"/>
        </w:trPr>
        <w:tc>
          <w:tcPr>
            <w:tcW w:w="1903" w:type="pct"/>
          </w:tcPr>
          <w:p w14:paraId="2F797EB2" w14:textId="77777777" w:rsidR="000D07EA" w:rsidRDefault="00BE7C89">
            <w:pPr>
              <w:pStyle w:val="BodyText"/>
              <w:spacing w:before="100" w:after="100"/>
              <w:rPr>
                <w:b/>
              </w:rPr>
            </w:pPr>
            <w:r>
              <w:rPr>
                <w:b/>
              </w:rPr>
              <w:t xml:space="preserve">During the first 6 months – Initial </w:t>
            </w:r>
            <w:r>
              <w:rPr>
                <w:b/>
                <w:i/>
              </w:rPr>
              <w:t>cancellation fee</w:t>
            </w:r>
          </w:p>
        </w:tc>
        <w:tc>
          <w:tcPr>
            <w:tcW w:w="774" w:type="pct"/>
            <w:vAlign w:val="center"/>
          </w:tcPr>
          <w:p w14:paraId="62FE32E0" w14:textId="77777777" w:rsidR="000D07EA" w:rsidRDefault="00BE7C89">
            <w:pPr>
              <w:pStyle w:val="BodyText"/>
              <w:spacing w:before="100" w:after="100"/>
              <w:jc w:val="center"/>
            </w:pPr>
            <w:r>
              <w:t>$190</w:t>
            </w:r>
          </w:p>
        </w:tc>
        <w:tc>
          <w:tcPr>
            <w:tcW w:w="774" w:type="pct"/>
            <w:vAlign w:val="center"/>
          </w:tcPr>
          <w:p w14:paraId="4CF2AEC4" w14:textId="77777777" w:rsidR="000D07EA" w:rsidRDefault="00BE7C89">
            <w:pPr>
              <w:pStyle w:val="BodyText"/>
              <w:spacing w:before="100" w:after="100"/>
              <w:jc w:val="center"/>
            </w:pPr>
            <w:r>
              <w:t>$630</w:t>
            </w:r>
          </w:p>
        </w:tc>
        <w:tc>
          <w:tcPr>
            <w:tcW w:w="774" w:type="pct"/>
            <w:vAlign w:val="center"/>
          </w:tcPr>
          <w:p w14:paraId="1527648E" w14:textId="77777777" w:rsidR="000D07EA" w:rsidRDefault="00BE7C89">
            <w:pPr>
              <w:pStyle w:val="BodyText"/>
              <w:spacing w:before="100" w:after="100"/>
              <w:jc w:val="center"/>
            </w:pPr>
            <w:r>
              <w:t>$640</w:t>
            </w:r>
          </w:p>
        </w:tc>
        <w:tc>
          <w:tcPr>
            <w:tcW w:w="775" w:type="pct"/>
            <w:vAlign w:val="center"/>
          </w:tcPr>
          <w:p w14:paraId="23495CC7" w14:textId="77777777" w:rsidR="000D07EA" w:rsidRDefault="00BE7C89">
            <w:pPr>
              <w:pStyle w:val="BodyText"/>
              <w:spacing w:before="100" w:after="100"/>
              <w:jc w:val="center"/>
            </w:pPr>
            <w:r>
              <w:t>$650</w:t>
            </w:r>
          </w:p>
        </w:tc>
      </w:tr>
      <w:tr w:rsidR="000D07EA" w14:paraId="1E8E36A6" w14:textId="77777777">
        <w:tc>
          <w:tcPr>
            <w:tcW w:w="1903" w:type="pct"/>
          </w:tcPr>
          <w:p w14:paraId="4B08226D" w14:textId="77777777" w:rsidR="000D07EA" w:rsidRDefault="00BE7C89">
            <w:pPr>
              <w:pStyle w:val="BodyText"/>
              <w:spacing w:before="100" w:after="100"/>
              <w:rPr>
                <w:b/>
              </w:rPr>
            </w:pPr>
            <w:r>
              <w:rPr>
                <w:b/>
              </w:rPr>
              <w:t xml:space="preserve">Months 7 - 9 (70% of Initial </w:t>
            </w:r>
            <w:r>
              <w:rPr>
                <w:b/>
                <w:i/>
              </w:rPr>
              <w:t>cancellation fee</w:t>
            </w:r>
            <w:r>
              <w:rPr>
                <w:b/>
              </w:rPr>
              <w:t>)</w:t>
            </w:r>
          </w:p>
        </w:tc>
        <w:tc>
          <w:tcPr>
            <w:tcW w:w="774" w:type="pct"/>
            <w:vAlign w:val="center"/>
          </w:tcPr>
          <w:p w14:paraId="121D9C06" w14:textId="77777777" w:rsidR="000D07EA" w:rsidRDefault="00BE7C89">
            <w:pPr>
              <w:pStyle w:val="BodyText"/>
              <w:spacing w:before="100" w:after="100"/>
              <w:jc w:val="center"/>
            </w:pPr>
            <w:r>
              <w:t>$133</w:t>
            </w:r>
          </w:p>
        </w:tc>
        <w:tc>
          <w:tcPr>
            <w:tcW w:w="774" w:type="pct"/>
            <w:vAlign w:val="center"/>
          </w:tcPr>
          <w:p w14:paraId="14F73F4A" w14:textId="77777777" w:rsidR="000D07EA" w:rsidRDefault="00BE7C89">
            <w:pPr>
              <w:pStyle w:val="BodyText"/>
              <w:spacing w:before="100" w:after="100"/>
              <w:jc w:val="center"/>
            </w:pPr>
            <w:r>
              <w:t>$441</w:t>
            </w:r>
          </w:p>
        </w:tc>
        <w:tc>
          <w:tcPr>
            <w:tcW w:w="774" w:type="pct"/>
            <w:vAlign w:val="center"/>
          </w:tcPr>
          <w:p w14:paraId="6C43BAB2" w14:textId="77777777" w:rsidR="000D07EA" w:rsidRDefault="00BE7C89">
            <w:pPr>
              <w:pStyle w:val="BodyText"/>
              <w:spacing w:before="100" w:after="100"/>
              <w:jc w:val="center"/>
            </w:pPr>
            <w:r>
              <w:t>$448</w:t>
            </w:r>
          </w:p>
        </w:tc>
        <w:tc>
          <w:tcPr>
            <w:tcW w:w="775" w:type="pct"/>
            <w:vAlign w:val="center"/>
          </w:tcPr>
          <w:p w14:paraId="7D5E1D12" w14:textId="77777777" w:rsidR="000D07EA" w:rsidRDefault="00BE7C89">
            <w:pPr>
              <w:pStyle w:val="BodyText"/>
              <w:spacing w:before="100" w:after="100"/>
              <w:jc w:val="center"/>
            </w:pPr>
            <w:r>
              <w:t>$455</w:t>
            </w:r>
          </w:p>
        </w:tc>
      </w:tr>
      <w:tr w:rsidR="000D07EA" w14:paraId="40DA7634" w14:textId="77777777">
        <w:tc>
          <w:tcPr>
            <w:tcW w:w="1903" w:type="pct"/>
          </w:tcPr>
          <w:p w14:paraId="50D34290" w14:textId="77777777" w:rsidR="000D07EA" w:rsidRDefault="00BE7C89">
            <w:pPr>
              <w:pStyle w:val="BodyText"/>
              <w:spacing w:before="100" w:after="100"/>
              <w:rPr>
                <w:b/>
              </w:rPr>
            </w:pPr>
            <w:r>
              <w:rPr>
                <w:b/>
              </w:rPr>
              <w:t xml:space="preserve">Months 10 – 12 (40% of the Initial </w:t>
            </w:r>
            <w:r>
              <w:rPr>
                <w:b/>
                <w:i/>
              </w:rPr>
              <w:t>cancellation fee</w:t>
            </w:r>
            <w:r>
              <w:rPr>
                <w:b/>
              </w:rPr>
              <w:t>)</w:t>
            </w:r>
          </w:p>
        </w:tc>
        <w:tc>
          <w:tcPr>
            <w:tcW w:w="774" w:type="pct"/>
            <w:vAlign w:val="center"/>
          </w:tcPr>
          <w:p w14:paraId="53AD7A5C" w14:textId="77777777" w:rsidR="000D07EA" w:rsidRDefault="00BE7C89">
            <w:pPr>
              <w:pStyle w:val="BodyText"/>
              <w:spacing w:before="100" w:after="100"/>
              <w:jc w:val="center"/>
            </w:pPr>
            <w:r>
              <w:t>$76</w:t>
            </w:r>
          </w:p>
        </w:tc>
        <w:tc>
          <w:tcPr>
            <w:tcW w:w="774" w:type="pct"/>
            <w:vAlign w:val="center"/>
          </w:tcPr>
          <w:p w14:paraId="413BF26A" w14:textId="77777777" w:rsidR="000D07EA" w:rsidRDefault="00BE7C89">
            <w:pPr>
              <w:pStyle w:val="BodyText"/>
              <w:spacing w:before="100" w:after="100"/>
              <w:jc w:val="center"/>
            </w:pPr>
            <w:r>
              <w:t>$252</w:t>
            </w:r>
          </w:p>
        </w:tc>
        <w:tc>
          <w:tcPr>
            <w:tcW w:w="774" w:type="pct"/>
            <w:vAlign w:val="center"/>
          </w:tcPr>
          <w:p w14:paraId="33CFA1ED" w14:textId="77777777" w:rsidR="000D07EA" w:rsidRDefault="00BE7C89">
            <w:pPr>
              <w:pStyle w:val="BodyText"/>
              <w:spacing w:before="100" w:after="100"/>
              <w:jc w:val="center"/>
            </w:pPr>
            <w:r>
              <w:t>$256</w:t>
            </w:r>
          </w:p>
        </w:tc>
        <w:tc>
          <w:tcPr>
            <w:tcW w:w="775" w:type="pct"/>
            <w:vAlign w:val="center"/>
          </w:tcPr>
          <w:p w14:paraId="3F83DDA2" w14:textId="77777777" w:rsidR="000D07EA" w:rsidRDefault="00BE7C89">
            <w:pPr>
              <w:pStyle w:val="BodyText"/>
              <w:spacing w:before="100" w:after="100"/>
              <w:jc w:val="center"/>
            </w:pPr>
            <w:r>
              <w:t>$260</w:t>
            </w:r>
          </w:p>
        </w:tc>
      </w:tr>
    </w:tbl>
    <w:p w14:paraId="17F58761" w14:textId="77777777" w:rsidR="000D07EA" w:rsidRDefault="000D07EA">
      <w:pPr>
        <w:pStyle w:val="BodyText"/>
      </w:pPr>
    </w:p>
    <w:tbl>
      <w:tblPr>
        <w:tblW w:w="4646" w:type="pct"/>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1"/>
        <w:gridCol w:w="1952"/>
        <w:gridCol w:w="1952"/>
        <w:gridCol w:w="1952"/>
      </w:tblGrid>
      <w:tr w:rsidR="000D07EA" w14:paraId="6CB74DD2" w14:textId="77777777">
        <w:tc>
          <w:tcPr>
            <w:tcW w:w="1907" w:type="pct"/>
          </w:tcPr>
          <w:p w14:paraId="41574996" w14:textId="77777777" w:rsidR="000D07EA" w:rsidRDefault="00BE7C89">
            <w:pPr>
              <w:pStyle w:val="BodyText"/>
              <w:spacing w:before="100" w:after="100"/>
              <w:rPr>
                <w:b/>
              </w:rPr>
            </w:pPr>
            <w:r>
              <w:rPr>
                <w:b/>
              </w:rPr>
              <w:t xml:space="preserve">When the </w:t>
            </w:r>
            <w:r>
              <w:rPr>
                <w:b/>
                <w:i/>
              </w:rPr>
              <w:t>service</w:t>
            </w:r>
            <w:r>
              <w:rPr>
                <w:b/>
              </w:rPr>
              <w:t xml:space="preserve"> is </w:t>
            </w:r>
            <w:r>
              <w:rPr>
                <w:b/>
                <w:i/>
              </w:rPr>
              <w:t>cancelled</w:t>
            </w:r>
          </w:p>
        </w:tc>
        <w:tc>
          <w:tcPr>
            <w:tcW w:w="3093" w:type="pct"/>
            <w:gridSpan w:val="3"/>
            <w:vAlign w:val="center"/>
          </w:tcPr>
          <w:p w14:paraId="4CAEE5EB" w14:textId="77777777" w:rsidR="000D07EA" w:rsidRDefault="00BE7C89">
            <w:pPr>
              <w:pStyle w:val="BodyText"/>
              <w:spacing w:before="100" w:after="100"/>
              <w:jc w:val="center"/>
              <w:rPr>
                <w:b/>
                <w:i/>
              </w:rPr>
            </w:pPr>
            <w:r>
              <w:rPr>
                <w:b/>
                <w:i/>
              </w:rPr>
              <w:t>Cancellation Fee</w:t>
            </w:r>
          </w:p>
        </w:tc>
      </w:tr>
      <w:tr w:rsidR="000D07EA" w14:paraId="3B3525F4" w14:textId="77777777">
        <w:tc>
          <w:tcPr>
            <w:tcW w:w="1907" w:type="pct"/>
          </w:tcPr>
          <w:p w14:paraId="4F316F3E" w14:textId="77777777" w:rsidR="000D07EA" w:rsidRDefault="000D07EA">
            <w:pPr>
              <w:pStyle w:val="BodyText"/>
              <w:spacing w:before="100" w:after="100"/>
            </w:pPr>
          </w:p>
        </w:tc>
        <w:tc>
          <w:tcPr>
            <w:tcW w:w="3093" w:type="pct"/>
            <w:gridSpan w:val="3"/>
          </w:tcPr>
          <w:p w14:paraId="36858467" w14:textId="77777777" w:rsidR="000D07EA" w:rsidRDefault="00BE7C89">
            <w:pPr>
              <w:pStyle w:val="BodyText"/>
              <w:spacing w:before="100" w:after="100"/>
              <w:jc w:val="center"/>
              <w:rPr>
                <w:b/>
                <w:bCs/>
                <w:lang w:eastAsia="ko-KR"/>
              </w:rPr>
            </w:pPr>
            <w:r>
              <w:rPr>
                <w:b/>
                <w:bCs/>
                <w:lang w:eastAsia="en-AU"/>
              </w:rPr>
              <w:t>Business</w:t>
            </w:r>
            <w:r>
              <w:rPr>
                <w:b/>
              </w:rPr>
              <w:t xml:space="preserve"> Timeless Advantage Plans – 24 Month Contract</w:t>
            </w:r>
          </w:p>
        </w:tc>
      </w:tr>
      <w:tr w:rsidR="000D07EA" w14:paraId="38FC175A" w14:textId="77777777">
        <w:tc>
          <w:tcPr>
            <w:tcW w:w="1907" w:type="pct"/>
          </w:tcPr>
          <w:p w14:paraId="00FDE6DF" w14:textId="77777777" w:rsidR="000D07EA" w:rsidRDefault="000D07EA">
            <w:pPr>
              <w:pStyle w:val="BodyText"/>
              <w:spacing w:before="100" w:after="100"/>
            </w:pPr>
          </w:p>
        </w:tc>
        <w:tc>
          <w:tcPr>
            <w:tcW w:w="1031" w:type="pct"/>
          </w:tcPr>
          <w:p w14:paraId="278EBBB3" w14:textId="77777777" w:rsidR="000D07EA" w:rsidRDefault="00BE7C89">
            <w:pPr>
              <w:pStyle w:val="BodyText"/>
              <w:spacing w:before="100" w:after="100"/>
              <w:jc w:val="center"/>
              <w:rPr>
                <w:b/>
              </w:rPr>
            </w:pPr>
            <w:r>
              <w:rPr>
                <w:b/>
                <w:bCs/>
                <w:lang w:eastAsia="en-AU"/>
              </w:rPr>
              <w:t>$89 Business Timeless Advantage</w:t>
            </w:r>
          </w:p>
        </w:tc>
        <w:tc>
          <w:tcPr>
            <w:tcW w:w="1031" w:type="pct"/>
          </w:tcPr>
          <w:p w14:paraId="29C38ED5" w14:textId="77777777" w:rsidR="000D07EA" w:rsidRDefault="00BE7C89">
            <w:pPr>
              <w:pStyle w:val="BodyText"/>
              <w:spacing w:before="100" w:after="100"/>
              <w:jc w:val="center"/>
              <w:rPr>
                <w:b/>
              </w:rPr>
            </w:pPr>
            <w:r>
              <w:rPr>
                <w:b/>
                <w:bCs/>
                <w:lang w:eastAsia="en-AU"/>
              </w:rPr>
              <w:t>$99 Business Timeless Advantage</w:t>
            </w:r>
          </w:p>
        </w:tc>
        <w:tc>
          <w:tcPr>
            <w:tcW w:w="1031" w:type="pct"/>
          </w:tcPr>
          <w:p w14:paraId="4E4B4753" w14:textId="77777777" w:rsidR="000D07EA" w:rsidRDefault="00BE7C89">
            <w:pPr>
              <w:pStyle w:val="BodyText"/>
              <w:spacing w:before="100" w:after="100"/>
              <w:jc w:val="center"/>
              <w:rPr>
                <w:b/>
              </w:rPr>
            </w:pPr>
            <w:r>
              <w:rPr>
                <w:b/>
                <w:bCs/>
                <w:lang w:eastAsia="en-AU"/>
              </w:rPr>
              <w:t>$129 Business Timeless Advantage</w:t>
            </w:r>
          </w:p>
        </w:tc>
      </w:tr>
      <w:tr w:rsidR="000D07EA" w14:paraId="6CAF9377" w14:textId="77777777">
        <w:tc>
          <w:tcPr>
            <w:tcW w:w="1907" w:type="pct"/>
          </w:tcPr>
          <w:p w14:paraId="3A18B1E9" w14:textId="77777777" w:rsidR="000D07EA" w:rsidRDefault="00BE7C89">
            <w:pPr>
              <w:pStyle w:val="BodyText"/>
              <w:spacing w:before="100" w:after="100"/>
              <w:rPr>
                <w:b/>
              </w:rPr>
            </w:pPr>
            <w:r>
              <w:rPr>
                <w:b/>
              </w:rPr>
              <w:t xml:space="preserve">During the first 12 months – Initial </w:t>
            </w:r>
            <w:r>
              <w:rPr>
                <w:b/>
                <w:i/>
              </w:rPr>
              <w:t>cancellation fee</w:t>
            </w:r>
          </w:p>
        </w:tc>
        <w:tc>
          <w:tcPr>
            <w:tcW w:w="1031" w:type="pct"/>
            <w:vAlign w:val="center"/>
          </w:tcPr>
          <w:p w14:paraId="606E05CB" w14:textId="77777777" w:rsidR="000D07EA" w:rsidRDefault="00BE7C89">
            <w:pPr>
              <w:pStyle w:val="BodyText"/>
              <w:spacing w:before="100" w:after="100"/>
              <w:jc w:val="center"/>
            </w:pPr>
            <w:r>
              <w:t>$1,020</w:t>
            </w:r>
          </w:p>
        </w:tc>
        <w:tc>
          <w:tcPr>
            <w:tcW w:w="1031" w:type="pct"/>
            <w:vAlign w:val="center"/>
          </w:tcPr>
          <w:p w14:paraId="77E127E4" w14:textId="77777777" w:rsidR="000D07EA" w:rsidRDefault="00BE7C89">
            <w:pPr>
              <w:pStyle w:val="BodyText"/>
              <w:spacing w:before="100" w:after="100"/>
              <w:jc w:val="center"/>
            </w:pPr>
            <w:r>
              <w:t>$1,030</w:t>
            </w:r>
          </w:p>
        </w:tc>
        <w:tc>
          <w:tcPr>
            <w:tcW w:w="1031" w:type="pct"/>
            <w:vAlign w:val="center"/>
          </w:tcPr>
          <w:p w14:paraId="13C44C4B" w14:textId="77777777" w:rsidR="000D07EA" w:rsidRDefault="00BE7C89">
            <w:pPr>
              <w:pStyle w:val="BodyText"/>
              <w:spacing w:before="100" w:after="100"/>
              <w:jc w:val="center"/>
            </w:pPr>
            <w:r>
              <w:t>$1,050</w:t>
            </w:r>
          </w:p>
        </w:tc>
      </w:tr>
      <w:tr w:rsidR="000D07EA" w14:paraId="79EA9DED" w14:textId="77777777">
        <w:tc>
          <w:tcPr>
            <w:tcW w:w="1907" w:type="pct"/>
          </w:tcPr>
          <w:p w14:paraId="26B91B3E" w14:textId="77777777" w:rsidR="000D07EA" w:rsidRDefault="00BE7C89">
            <w:pPr>
              <w:pStyle w:val="BodyText"/>
              <w:spacing w:before="100" w:after="100"/>
              <w:rPr>
                <w:b/>
              </w:rPr>
            </w:pPr>
            <w:r>
              <w:rPr>
                <w:b/>
              </w:rPr>
              <w:t xml:space="preserve">Months 13 – 15 (80% of Initial </w:t>
            </w:r>
            <w:r>
              <w:rPr>
                <w:b/>
                <w:i/>
              </w:rPr>
              <w:t>cancellation fee</w:t>
            </w:r>
            <w:r>
              <w:rPr>
                <w:b/>
              </w:rPr>
              <w:t>)</w:t>
            </w:r>
          </w:p>
        </w:tc>
        <w:tc>
          <w:tcPr>
            <w:tcW w:w="1031" w:type="pct"/>
            <w:vAlign w:val="center"/>
          </w:tcPr>
          <w:p w14:paraId="2656D94A" w14:textId="77777777" w:rsidR="000D07EA" w:rsidRDefault="00BE7C89">
            <w:pPr>
              <w:pStyle w:val="BodyText"/>
              <w:spacing w:before="100" w:after="100"/>
              <w:jc w:val="center"/>
            </w:pPr>
            <w:r>
              <w:t>$816</w:t>
            </w:r>
          </w:p>
        </w:tc>
        <w:tc>
          <w:tcPr>
            <w:tcW w:w="1031" w:type="pct"/>
            <w:vAlign w:val="center"/>
          </w:tcPr>
          <w:p w14:paraId="6CDAB576" w14:textId="77777777" w:rsidR="000D07EA" w:rsidRDefault="00BE7C89">
            <w:pPr>
              <w:pStyle w:val="BodyText"/>
              <w:spacing w:before="100" w:after="100"/>
              <w:jc w:val="center"/>
            </w:pPr>
            <w:r>
              <w:t>$824</w:t>
            </w:r>
          </w:p>
        </w:tc>
        <w:tc>
          <w:tcPr>
            <w:tcW w:w="1031" w:type="pct"/>
            <w:vAlign w:val="center"/>
          </w:tcPr>
          <w:p w14:paraId="1D7057F2" w14:textId="77777777" w:rsidR="000D07EA" w:rsidRDefault="00BE7C89">
            <w:pPr>
              <w:pStyle w:val="BodyText"/>
              <w:spacing w:before="100" w:after="100"/>
              <w:jc w:val="center"/>
            </w:pPr>
            <w:r>
              <w:t>$840</w:t>
            </w:r>
          </w:p>
        </w:tc>
      </w:tr>
      <w:tr w:rsidR="000D07EA" w14:paraId="70832B2C" w14:textId="77777777">
        <w:tc>
          <w:tcPr>
            <w:tcW w:w="1907" w:type="pct"/>
          </w:tcPr>
          <w:p w14:paraId="38B98416" w14:textId="77777777" w:rsidR="000D07EA" w:rsidRDefault="00BE7C89">
            <w:pPr>
              <w:pStyle w:val="BodyText"/>
              <w:spacing w:before="100" w:after="100"/>
              <w:rPr>
                <w:b/>
              </w:rPr>
            </w:pPr>
            <w:r>
              <w:rPr>
                <w:b/>
              </w:rPr>
              <w:t xml:space="preserve">Months 16 – 18 (60% of the Initial </w:t>
            </w:r>
            <w:r>
              <w:rPr>
                <w:b/>
                <w:i/>
              </w:rPr>
              <w:t>cancellation fee</w:t>
            </w:r>
            <w:r>
              <w:rPr>
                <w:b/>
              </w:rPr>
              <w:t>)</w:t>
            </w:r>
          </w:p>
        </w:tc>
        <w:tc>
          <w:tcPr>
            <w:tcW w:w="1031" w:type="pct"/>
            <w:vAlign w:val="center"/>
          </w:tcPr>
          <w:p w14:paraId="400D048D" w14:textId="77777777" w:rsidR="000D07EA" w:rsidRDefault="00BE7C89">
            <w:pPr>
              <w:pStyle w:val="BodyText"/>
              <w:spacing w:before="100" w:after="100"/>
              <w:jc w:val="center"/>
            </w:pPr>
            <w:r>
              <w:t>$612</w:t>
            </w:r>
          </w:p>
        </w:tc>
        <w:tc>
          <w:tcPr>
            <w:tcW w:w="1031" w:type="pct"/>
            <w:vAlign w:val="center"/>
          </w:tcPr>
          <w:p w14:paraId="4E7476C7" w14:textId="77777777" w:rsidR="000D07EA" w:rsidRDefault="00BE7C89">
            <w:pPr>
              <w:pStyle w:val="BodyText"/>
              <w:spacing w:before="100" w:after="100"/>
              <w:jc w:val="center"/>
            </w:pPr>
            <w:r>
              <w:t>$618</w:t>
            </w:r>
          </w:p>
        </w:tc>
        <w:tc>
          <w:tcPr>
            <w:tcW w:w="1031" w:type="pct"/>
            <w:vAlign w:val="center"/>
          </w:tcPr>
          <w:p w14:paraId="64FD9D29" w14:textId="77777777" w:rsidR="000D07EA" w:rsidRDefault="00BE7C89">
            <w:pPr>
              <w:pStyle w:val="BodyText"/>
              <w:spacing w:before="100" w:after="100"/>
              <w:jc w:val="center"/>
            </w:pPr>
            <w:r>
              <w:t>$630</w:t>
            </w:r>
          </w:p>
        </w:tc>
      </w:tr>
      <w:tr w:rsidR="000D07EA" w14:paraId="74A486E3" w14:textId="77777777">
        <w:tc>
          <w:tcPr>
            <w:tcW w:w="1907" w:type="pct"/>
          </w:tcPr>
          <w:p w14:paraId="731C2BCB" w14:textId="77777777" w:rsidR="000D07EA" w:rsidRDefault="00BE7C89">
            <w:pPr>
              <w:pStyle w:val="BodyText"/>
              <w:spacing w:before="100" w:after="100"/>
              <w:rPr>
                <w:b/>
              </w:rPr>
            </w:pPr>
            <w:r>
              <w:rPr>
                <w:b/>
              </w:rPr>
              <w:t xml:space="preserve">Months 19 – 21 (40% of the Initial </w:t>
            </w:r>
            <w:r>
              <w:rPr>
                <w:b/>
                <w:i/>
              </w:rPr>
              <w:t>cancellation fee</w:t>
            </w:r>
            <w:r>
              <w:rPr>
                <w:b/>
              </w:rPr>
              <w:t>)</w:t>
            </w:r>
          </w:p>
        </w:tc>
        <w:tc>
          <w:tcPr>
            <w:tcW w:w="1031" w:type="pct"/>
            <w:vAlign w:val="center"/>
          </w:tcPr>
          <w:p w14:paraId="1AC911D8" w14:textId="77777777" w:rsidR="000D07EA" w:rsidRDefault="00BE7C89">
            <w:pPr>
              <w:pStyle w:val="BodyText"/>
              <w:spacing w:before="100" w:after="100"/>
              <w:jc w:val="center"/>
            </w:pPr>
            <w:r>
              <w:t>$408</w:t>
            </w:r>
          </w:p>
        </w:tc>
        <w:tc>
          <w:tcPr>
            <w:tcW w:w="1031" w:type="pct"/>
            <w:vAlign w:val="center"/>
          </w:tcPr>
          <w:p w14:paraId="2EBE5221" w14:textId="77777777" w:rsidR="000D07EA" w:rsidRDefault="00BE7C89">
            <w:pPr>
              <w:pStyle w:val="BodyText"/>
              <w:spacing w:before="100" w:after="100"/>
              <w:jc w:val="center"/>
            </w:pPr>
            <w:r>
              <w:t>$412</w:t>
            </w:r>
          </w:p>
        </w:tc>
        <w:tc>
          <w:tcPr>
            <w:tcW w:w="1031" w:type="pct"/>
            <w:vAlign w:val="center"/>
          </w:tcPr>
          <w:p w14:paraId="56617A7A" w14:textId="77777777" w:rsidR="000D07EA" w:rsidRDefault="00BE7C89">
            <w:pPr>
              <w:pStyle w:val="BodyText"/>
              <w:spacing w:before="100" w:after="100"/>
              <w:jc w:val="center"/>
            </w:pPr>
            <w:r>
              <w:t>$420</w:t>
            </w:r>
          </w:p>
        </w:tc>
      </w:tr>
      <w:tr w:rsidR="000D07EA" w14:paraId="2FAAB164" w14:textId="77777777">
        <w:trPr>
          <w:trHeight w:val="886"/>
        </w:trPr>
        <w:tc>
          <w:tcPr>
            <w:tcW w:w="1907" w:type="pct"/>
          </w:tcPr>
          <w:p w14:paraId="66D7BA3C" w14:textId="77777777" w:rsidR="000D07EA" w:rsidRDefault="00BE7C89">
            <w:pPr>
              <w:pStyle w:val="BodyText"/>
              <w:spacing w:before="100" w:after="100"/>
              <w:rPr>
                <w:b/>
              </w:rPr>
            </w:pPr>
            <w:r>
              <w:rPr>
                <w:b/>
              </w:rPr>
              <w:t xml:space="preserve">Months 22 – 24 (20% of the Initial </w:t>
            </w:r>
            <w:r>
              <w:rPr>
                <w:b/>
                <w:i/>
              </w:rPr>
              <w:t>cancellation fee</w:t>
            </w:r>
            <w:r>
              <w:rPr>
                <w:b/>
              </w:rPr>
              <w:t>)</w:t>
            </w:r>
          </w:p>
        </w:tc>
        <w:tc>
          <w:tcPr>
            <w:tcW w:w="1031" w:type="pct"/>
            <w:vAlign w:val="center"/>
          </w:tcPr>
          <w:p w14:paraId="7D106EBA" w14:textId="77777777" w:rsidR="000D07EA" w:rsidRDefault="00BE7C89">
            <w:pPr>
              <w:pStyle w:val="BodyText"/>
              <w:spacing w:before="100" w:after="100"/>
              <w:jc w:val="center"/>
            </w:pPr>
            <w:r>
              <w:t>$204</w:t>
            </w:r>
          </w:p>
        </w:tc>
        <w:tc>
          <w:tcPr>
            <w:tcW w:w="1031" w:type="pct"/>
            <w:vAlign w:val="center"/>
          </w:tcPr>
          <w:p w14:paraId="7A74DB17" w14:textId="77777777" w:rsidR="000D07EA" w:rsidRDefault="00BE7C89">
            <w:pPr>
              <w:pStyle w:val="BodyText"/>
              <w:spacing w:before="100" w:after="100"/>
              <w:jc w:val="center"/>
            </w:pPr>
            <w:r>
              <w:t>$206</w:t>
            </w:r>
          </w:p>
        </w:tc>
        <w:tc>
          <w:tcPr>
            <w:tcW w:w="1031" w:type="pct"/>
            <w:vAlign w:val="center"/>
          </w:tcPr>
          <w:p w14:paraId="7005F591" w14:textId="77777777" w:rsidR="000D07EA" w:rsidRDefault="00BE7C89">
            <w:pPr>
              <w:pStyle w:val="BodyText"/>
              <w:spacing w:before="100" w:after="100"/>
              <w:jc w:val="center"/>
            </w:pPr>
            <w:r>
              <w:t>$210</w:t>
            </w:r>
          </w:p>
        </w:tc>
      </w:tr>
    </w:tbl>
    <w:p w14:paraId="42640A97" w14:textId="77777777" w:rsidR="000D07EA" w:rsidRDefault="000D07EA">
      <w:pPr>
        <w:pStyle w:val="BodyText"/>
      </w:pPr>
      <w:bookmarkStart w:id="426" w:name="_Toc267937675"/>
    </w:p>
    <w:p w14:paraId="12F724B7" w14:textId="77777777" w:rsidR="000D07EA" w:rsidRDefault="00BE7C89">
      <w:pPr>
        <w:pStyle w:val="BodyText"/>
        <w:ind w:left="720"/>
        <w:rPr>
          <w:b/>
        </w:rPr>
      </w:pPr>
      <w:r>
        <w:rPr>
          <w:b/>
        </w:rPr>
        <w:t>Cancellation Fee for services activated December 12</w:t>
      </w:r>
      <w:r>
        <w:rPr>
          <w:b/>
          <w:vertAlign w:val="superscript"/>
        </w:rPr>
        <w:t>th</w:t>
      </w:r>
      <w:r>
        <w:rPr>
          <w:b/>
        </w:rPr>
        <w:t xml:space="preserve"> 2010 and after</w:t>
      </w:r>
    </w:p>
    <w:tbl>
      <w:tblPr>
        <w:tblW w:w="4646" w:type="pct"/>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0"/>
        <w:gridCol w:w="1254"/>
        <w:gridCol w:w="1255"/>
        <w:gridCol w:w="1255"/>
        <w:gridCol w:w="1253"/>
        <w:gridCol w:w="1255"/>
        <w:gridCol w:w="1255"/>
      </w:tblGrid>
      <w:tr w:rsidR="000D07EA" w14:paraId="230760C6" w14:textId="77777777">
        <w:tc>
          <w:tcPr>
            <w:tcW w:w="1024" w:type="pct"/>
          </w:tcPr>
          <w:p w14:paraId="2E483C80" w14:textId="77777777" w:rsidR="000D07EA" w:rsidRDefault="00BE7C89">
            <w:pPr>
              <w:pStyle w:val="BodyText"/>
              <w:spacing w:before="100" w:after="100"/>
              <w:rPr>
                <w:b/>
              </w:rPr>
            </w:pPr>
            <w:r>
              <w:rPr>
                <w:b/>
              </w:rPr>
              <w:t xml:space="preserve">When the </w:t>
            </w:r>
            <w:r>
              <w:rPr>
                <w:b/>
                <w:i/>
              </w:rPr>
              <w:t>service</w:t>
            </w:r>
            <w:r>
              <w:rPr>
                <w:b/>
              </w:rPr>
              <w:t xml:space="preserve"> is </w:t>
            </w:r>
            <w:r>
              <w:rPr>
                <w:b/>
                <w:i/>
              </w:rPr>
              <w:t>cancelled</w:t>
            </w:r>
          </w:p>
        </w:tc>
        <w:tc>
          <w:tcPr>
            <w:tcW w:w="3976" w:type="pct"/>
            <w:gridSpan w:val="6"/>
            <w:vAlign w:val="center"/>
          </w:tcPr>
          <w:p w14:paraId="2445C0EF" w14:textId="77777777" w:rsidR="000D07EA" w:rsidRDefault="00BE7C89">
            <w:pPr>
              <w:pStyle w:val="BodyText"/>
              <w:spacing w:before="100" w:after="100"/>
              <w:jc w:val="center"/>
              <w:rPr>
                <w:b/>
                <w:i/>
              </w:rPr>
            </w:pPr>
            <w:r>
              <w:rPr>
                <w:b/>
                <w:i/>
              </w:rPr>
              <w:t>Cancellation Fee</w:t>
            </w:r>
          </w:p>
        </w:tc>
      </w:tr>
      <w:tr w:rsidR="000D07EA" w14:paraId="7F6BC63A" w14:textId="77777777">
        <w:tc>
          <w:tcPr>
            <w:tcW w:w="1024" w:type="pct"/>
          </w:tcPr>
          <w:p w14:paraId="6D185E80" w14:textId="77777777" w:rsidR="000D07EA" w:rsidRDefault="000D07EA">
            <w:pPr>
              <w:pStyle w:val="BodyText"/>
              <w:spacing w:before="100" w:after="100"/>
            </w:pPr>
          </w:p>
        </w:tc>
        <w:tc>
          <w:tcPr>
            <w:tcW w:w="3976" w:type="pct"/>
            <w:gridSpan w:val="6"/>
            <w:vAlign w:val="center"/>
          </w:tcPr>
          <w:p w14:paraId="5AEE34C8" w14:textId="77777777" w:rsidR="000D07EA" w:rsidRDefault="00BE7C89">
            <w:pPr>
              <w:pStyle w:val="BodyText"/>
              <w:spacing w:before="100" w:after="100"/>
              <w:jc w:val="center"/>
              <w:rPr>
                <w:b/>
                <w:bCs/>
                <w:lang w:eastAsia="en-AU"/>
              </w:rPr>
            </w:pPr>
            <w:r>
              <w:rPr>
                <w:b/>
                <w:bCs/>
                <w:lang w:eastAsia="en-AU"/>
              </w:rPr>
              <w:t>Business Timeless Advantage Plans – 12 Month Contract</w:t>
            </w:r>
          </w:p>
        </w:tc>
      </w:tr>
      <w:tr w:rsidR="000D07EA" w14:paraId="453E1605" w14:textId="77777777">
        <w:tc>
          <w:tcPr>
            <w:tcW w:w="1024" w:type="pct"/>
          </w:tcPr>
          <w:p w14:paraId="64A09CA6" w14:textId="77777777" w:rsidR="000D07EA" w:rsidRDefault="000D07EA">
            <w:pPr>
              <w:pStyle w:val="BodyText"/>
              <w:spacing w:before="100" w:after="100"/>
            </w:pPr>
          </w:p>
        </w:tc>
        <w:tc>
          <w:tcPr>
            <w:tcW w:w="662" w:type="pct"/>
          </w:tcPr>
          <w:p w14:paraId="00A676A2" w14:textId="77777777" w:rsidR="000D07EA" w:rsidRDefault="00BE7C89">
            <w:pPr>
              <w:pStyle w:val="BodyText"/>
              <w:spacing w:before="100" w:after="100"/>
              <w:jc w:val="center"/>
              <w:rPr>
                <w:b/>
                <w:bCs/>
                <w:lang w:eastAsia="en-AU"/>
              </w:rPr>
            </w:pPr>
            <w:r>
              <w:rPr>
                <w:b/>
                <w:bCs/>
                <w:lang w:eastAsia="en-AU"/>
              </w:rPr>
              <w:t>$69 Business Timeless Advantage BYO</w:t>
            </w:r>
          </w:p>
        </w:tc>
        <w:tc>
          <w:tcPr>
            <w:tcW w:w="663" w:type="pct"/>
          </w:tcPr>
          <w:p w14:paraId="0D21CEAA" w14:textId="77777777" w:rsidR="000D07EA" w:rsidRDefault="00BE7C89">
            <w:pPr>
              <w:pStyle w:val="BodyText"/>
              <w:spacing w:before="100" w:after="100"/>
              <w:jc w:val="center"/>
              <w:rPr>
                <w:b/>
              </w:rPr>
            </w:pPr>
            <w:r>
              <w:rPr>
                <w:b/>
                <w:bCs/>
                <w:lang w:eastAsia="en-AU"/>
              </w:rPr>
              <w:t>$89 Business Timeless Advantage</w:t>
            </w:r>
          </w:p>
        </w:tc>
        <w:tc>
          <w:tcPr>
            <w:tcW w:w="663" w:type="pct"/>
          </w:tcPr>
          <w:p w14:paraId="650210DF" w14:textId="77777777" w:rsidR="000D07EA" w:rsidRDefault="00BE7C89">
            <w:pPr>
              <w:pStyle w:val="BodyText"/>
              <w:spacing w:before="100" w:after="100"/>
              <w:jc w:val="center"/>
              <w:rPr>
                <w:b/>
              </w:rPr>
            </w:pPr>
            <w:r>
              <w:rPr>
                <w:b/>
                <w:bCs/>
                <w:lang w:eastAsia="en-AU"/>
              </w:rPr>
              <w:t>$99 Business Timeless Advantage</w:t>
            </w:r>
          </w:p>
        </w:tc>
        <w:tc>
          <w:tcPr>
            <w:tcW w:w="662" w:type="pct"/>
          </w:tcPr>
          <w:p w14:paraId="1B4E1A6F" w14:textId="77777777" w:rsidR="000D07EA" w:rsidRDefault="00BE7C89">
            <w:pPr>
              <w:pStyle w:val="BodyText"/>
              <w:spacing w:before="100" w:after="100"/>
              <w:jc w:val="center"/>
              <w:rPr>
                <w:b/>
              </w:rPr>
            </w:pPr>
            <w:r>
              <w:rPr>
                <w:b/>
                <w:bCs/>
                <w:lang w:eastAsia="en-AU"/>
              </w:rPr>
              <w:t>$129 Business Timeless Advantage</w:t>
            </w:r>
          </w:p>
        </w:tc>
        <w:tc>
          <w:tcPr>
            <w:tcW w:w="663" w:type="pct"/>
          </w:tcPr>
          <w:p w14:paraId="1E58E733" w14:textId="77777777" w:rsidR="000D07EA" w:rsidRDefault="00BE7C89">
            <w:pPr>
              <w:pStyle w:val="BodyText"/>
              <w:spacing w:before="100" w:after="100"/>
              <w:jc w:val="center"/>
              <w:rPr>
                <w:b/>
                <w:bCs/>
                <w:lang w:eastAsia="en-AU"/>
              </w:rPr>
            </w:pPr>
            <w:r>
              <w:rPr>
                <w:b/>
                <w:bCs/>
                <w:lang w:eastAsia="en-AU"/>
              </w:rPr>
              <w:t>$99 Business Timeless Advantage (Premium H/set)</w:t>
            </w:r>
          </w:p>
        </w:tc>
        <w:tc>
          <w:tcPr>
            <w:tcW w:w="663" w:type="pct"/>
          </w:tcPr>
          <w:p w14:paraId="53AA3EF5" w14:textId="77777777" w:rsidR="000D07EA" w:rsidRDefault="00BE7C89">
            <w:pPr>
              <w:pStyle w:val="BodyText"/>
              <w:spacing w:before="100" w:after="100"/>
              <w:jc w:val="center"/>
              <w:rPr>
                <w:b/>
                <w:bCs/>
                <w:lang w:eastAsia="en-AU"/>
              </w:rPr>
            </w:pPr>
            <w:r>
              <w:rPr>
                <w:b/>
                <w:bCs/>
                <w:lang w:eastAsia="en-AU"/>
              </w:rPr>
              <w:t>$129 Business Timeless Advantage (Premium H/set)</w:t>
            </w:r>
          </w:p>
        </w:tc>
      </w:tr>
      <w:tr w:rsidR="000D07EA" w14:paraId="39B504BD" w14:textId="77777777">
        <w:tc>
          <w:tcPr>
            <w:tcW w:w="1024" w:type="pct"/>
          </w:tcPr>
          <w:p w14:paraId="79DF8F8F" w14:textId="77777777" w:rsidR="000D07EA" w:rsidRDefault="00BE7C89">
            <w:pPr>
              <w:pStyle w:val="BodyText"/>
              <w:spacing w:before="100" w:after="100"/>
              <w:rPr>
                <w:b/>
              </w:rPr>
            </w:pPr>
            <w:r>
              <w:rPr>
                <w:b/>
              </w:rPr>
              <w:t xml:space="preserve">During the first 6 months – Initial </w:t>
            </w:r>
            <w:r>
              <w:rPr>
                <w:b/>
                <w:i/>
              </w:rPr>
              <w:t>cancellation fee</w:t>
            </w:r>
          </w:p>
        </w:tc>
        <w:tc>
          <w:tcPr>
            <w:tcW w:w="662" w:type="pct"/>
            <w:vAlign w:val="center"/>
          </w:tcPr>
          <w:p w14:paraId="109367AC" w14:textId="77777777" w:rsidR="000D07EA" w:rsidRDefault="00BE7C89">
            <w:pPr>
              <w:pStyle w:val="BodyText"/>
              <w:spacing w:before="100" w:after="100"/>
              <w:jc w:val="center"/>
            </w:pPr>
            <w:r>
              <w:t>$190</w:t>
            </w:r>
          </w:p>
        </w:tc>
        <w:tc>
          <w:tcPr>
            <w:tcW w:w="663" w:type="pct"/>
            <w:vAlign w:val="center"/>
          </w:tcPr>
          <w:p w14:paraId="01FCFBBE" w14:textId="77777777" w:rsidR="000D07EA" w:rsidRDefault="00BE7C89">
            <w:pPr>
              <w:pStyle w:val="BodyText"/>
              <w:spacing w:before="100" w:after="100"/>
              <w:jc w:val="center"/>
            </w:pPr>
            <w:r>
              <w:t>$630</w:t>
            </w:r>
          </w:p>
        </w:tc>
        <w:tc>
          <w:tcPr>
            <w:tcW w:w="663" w:type="pct"/>
            <w:vAlign w:val="center"/>
          </w:tcPr>
          <w:p w14:paraId="61525BB9" w14:textId="77777777" w:rsidR="000D07EA" w:rsidRDefault="00BE7C89">
            <w:pPr>
              <w:pStyle w:val="BodyText"/>
              <w:spacing w:before="100" w:after="100"/>
              <w:jc w:val="center"/>
            </w:pPr>
            <w:r>
              <w:t>$605</w:t>
            </w:r>
          </w:p>
        </w:tc>
        <w:tc>
          <w:tcPr>
            <w:tcW w:w="662" w:type="pct"/>
            <w:vAlign w:val="center"/>
          </w:tcPr>
          <w:p w14:paraId="2F95AECA" w14:textId="77777777" w:rsidR="000D07EA" w:rsidRDefault="00BE7C89">
            <w:pPr>
              <w:pStyle w:val="BodyText"/>
              <w:spacing w:before="100" w:after="100"/>
              <w:jc w:val="center"/>
            </w:pPr>
            <w:r>
              <w:t>$615</w:t>
            </w:r>
          </w:p>
        </w:tc>
        <w:tc>
          <w:tcPr>
            <w:tcW w:w="663" w:type="pct"/>
            <w:vAlign w:val="center"/>
          </w:tcPr>
          <w:p w14:paraId="1C5F390D" w14:textId="77777777" w:rsidR="000D07EA" w:rsidRDefault="00BE7C89">
            <w:pPr>
              <w:pStyle w:val="BodyText"/>
              <w:spacing w:before="100" w:after="100"/>
              <w:jc w:val="center"/>
            </w:pPr>
            <w:r>
              <w:t>$855</w:t>
            </w:r>
          </w:p>
        </w:tc>
        <w:tc>
          <w:tcPr>
            <w:tcW w:w="663" w:type="pct"/>
            <w:vAlign w:val="center"/>
          </w:tcPr>
          <w:p w14:paraId="0C1C6E02" w14:textId="77777777" w:rsidR="000D07EA" w:rsidRDefault="00BE7C89">
            <w:pPr>
              <w:pStyle w:val="BodyText"/>
              <w:spacing w:before="100" w:after="100"/>
              <w:jc w:val="center"/>
            </w:pPr>
            <w:r>
              <w:t>$865</w:t>
            </w:r>
          </w:p>
        </w:tc>
      </w:tr>
      <w:tr w:rsidR="000D07EA" w14:paraId="0B75E2E4" w14:textId="77777777">
        <w:tc>
          <w:tcPr>
            <w:tcW w:w="1024" w:type="pct"/>
          </w:tcPr>
          <w:p w14:paraId="7083A178" w14:textId="77777777" w:rsidR="000D07EA" w:rsidRDefault="00BE7C89">
            <w:pPr>
              <w:pStyle w:val="BodyText"/>
              <w:spacing w:before="100" w:after="100"/>
              <w:rPr>
                <w:b/>
              </w:rPr>
            </w:pPr>
            <w:r>
              <w:rPr>
                <w:b/>
              </w:rPr>
              <w:lastRenderedPageBreak/>
              <w:t xml:space="preserve">Months 7 - 9 (70% of Initial </w:t>
            </w:r>
            <w:r>
              <w:rPr>
                <w:b/>
                <w:i/>
              </w:rPr>
              <w:t>cancellation fee</w:t>
            </w:r>
            <w:r>
              <w:rPr>
                <w:b/>
              </w:rPr>
              <w:t>)</w:t>
            </w:r>
          </w:p>
        </w:tc>
        <w:tc>
          <w:tcPr>
            <w:tcW w:w="662" w:type="pct"/>
            <w:vAlign w:val="center"/>
          </w:tcPr>
          <w:p w14:paraId="04D67E7F" w14:textId="77777777" w:rsidR="000D07EA" w:rsidRDefault="00BE7C89">
            <w:pPr>
              <w:pStyle w:val="BodyText"/>
              <w:spacing w:before="100" w:after="100"/>
              <w:jc w:val="center"/>
            </w:pPr>
            <w:r>
              <w:t>$133</w:t>
            </w:r>
          </w:p>
        </w:tc>
        <w:tc>
          <w:tcPr>
            <w:tcW w:w="663" w:type="pct"/>
            <w:vAlign w:val="center"/>
          </w:tcPr>
          <w:p w14:paraId="33BF7207" w14:textId="77777777" w:rsidR="000D07EA" w:rsidRDefault="00BE7C89">
            <w:pPr>
              <w:pStyle w:val="BodyText"/>
              <w:spacing w:before="100" w:after="100"/>
              <w:jc w:val="center"/>
            </w:pPr>
            <w:r>
              <w:t>$441</w:t>
            </w:r>
          </w:p>
        </w:tc>
        <w:tc>
          <w:tcPr>
            <w:tcW w:w="663" w:type="pct"/>
            <w:vAlign w:val="center"/>
          </w:tcPr>
          <w:p w14:paraId="5286509B" w14:textId="77777777" w:rsidR="000D07EA" w:rsidRDefault="00BE7C89">
            <w:pPr>
              <w:pStyle w:val="BodyText"/>
              <w:spacing w:before="100" w:after="100"/>
              <w:jc w:val="center"/>
            </w:pPr>
            <w:r>
              <w:t>$423.50</w:t>
            </w:r>
          </w:p>
        </w:tc>
        <w:tc>
          <w:tcPr>
            <w:tcW w:w="662" w:type="pct"/>
            <w:vAlign w:val="center"/>
          </w:tcPr>
          <w:p w14:paraId="05CF30E4" w14:textId="77777777" w:rsidR="000D07EA" w:rsidRDefault="00BE7C89">
            <w:pPr>
              <w:pStyle w:val="BodyText"/>
              <w:spacing w:before="100" w:after="100"/>
              <w:jc w:val="center"/>
            </w:pPr>
            <w:r>
              <w:t>$430.50</w:t>
            </w:r>
          </w:p>
        </w:tc>
        <w:tc>
          <w:tcPr>
            <w:tcW w:w="663" w:type="pct"/>
            <w:vAlign w:val="center"/>
          </w:tcPr>
          <w:p w14:paraId="7893417D" w14:textId="77777777" w:rsidR="000D07EA" w:rsidRDefault="00BE7C89">
            <w:pPr>
              <w:pStyle w:val="BodyText"/>
              <w:spacing w:before="100" w:after="100"/>
              <w:jc w:val="center"/>
            </w:pPr>
            <w:r>
              <w:t>$598.50</w:t>
            </w:r>
          </w:p>
        </w:tc>
        <w:tc>
          <w:tcPr>
            <w:tcW w:w="663" w:type="pct"/>
            <w:vAlign w:val="center"/>
          </w:tcPr>
          <w:p w14:paraId="44444E1F" w14:textId="77777777" w:rsidR="000D07EA" w:rsidRDefault="00BE7C89">
            <w:pPr>
              <w:pStyle w:val="BodyText"/>
              <w:spacing w:before="100" w:after="100"/>
              <w:jc w:val="center"/>
            </w:pPr>
            <w:r>
              <w:t>$605.50</w:t>
            </w:r>
          </w:p>
        </w:tc>
      </w:tr>
      <w:tr w:rsidR="000D07EA" w14:paraId="4DC5C485" w14:textId="77777777">
        <w:tc>
          <w:tcPr>
            <w:tcW w:w="1024" w:type="pct"/>
          </w:tcPr>
          <w:p w14:paraId="448E0052" w14:textId="77777777" w:rsidR="000D07EA" w:rsidRDefault="00BE7C89">
            <w:pPr>
              <w:pStyle w:val="BodyText"/>
              <w:spacing w:before="100" w:after="100"/>
              <w:rPr>
                <w:b/>
              </w:rPr>
            </w:pPr>
            <w:r>
              <w:rPr>
                <w:b/>
              </w:rPr>
              <w:t xml:space="preserve">Months 10 – 12 (40% of the Initial </w:t>
            </w:r>
            <w:r>
              <w:rPr>
                <w:b/>
                <w:i/>
              </w:rPr>
              <w:t>cancellation fee</w:t>
            </w:r>
            <w:r>
              <w:rPr>
                <w:b/>
              </w:rPr>
              <w:t>)</w:t>
            </w:r>
          </w:p>
        </w:tc>
        <w:tc>
          <w:tcPr>
            <w:tcW w:w="662" w:type="pct"/>
            <w:vAlign w:val="center"/>
          </w:tcPr>
          <w:p w14:paraId="16AF2C2C" w14:textId="77777777" w:rsidR="000D07EA" w:rsidRDefault="00BE7C89">
            <w:pPr>
              <w:pStyle w:val="BodyText"/>
              <w:spacing w:before="100" w:after="100"/>
              <w:jc w:val="center"/>
            </w:pPr>
            <w:r>
              <w:t>$76</w:t>
            </w:r>
          </w:p>
        </w:tc>
        <w:tc>
          <w:tcPr>
            <w:tcW w:w="663" w:type="pct"/>
            <w:vAlign w:val="center"/>
          </w:tcPr>
          <w:p w14:paraId="593E5A6A" w14:textId="77777777" w:rsidR="000D07EA" w:rsidRDefault="00BE7C89">
            <w:pPr>
              <w:pStyle w:val="BodyText"/>
              <w:spacing w:before="100" w:after="100"/>
              <w:jc w:val="center"/>
            </w:pPr>
            <w:r>
              <w:t>$252</w:t>
            </w:r>
          </w:p>
        </w:tc>
        <w:tc>
          <w:tcPr>
            <w:tcW w:w="663" w:type="pct"/>
            <w:vAlign w:val="center"/>
          </w:tcPr>
          <w:p w14:paraId="481F8AD2" w14:textId="77777777" w:rsidR="000D07EA" w:rsidRDefault="00BE7C89">
            <w:pPr>
              <w:pStyle w:val="BodyText"/>
              <w:spacing w:before="100" w:after="100"/>
              <w:jc w:val="center"/>
            </w:pPr>
            <w:r>
              <w:t>$242</w:t>
            </w:r>
          </w:p>
        </w:tc>
        <w:tc>
          <w:tcPr>
            <w:tcW w:w="662" w:type="pct"/>
            <w:vAlign w:val="center"/>
          </w:tcPr>
          <w:p w14:paraId="7D1D6CDB" w14:textId="77777777" w:rsidR="000D07EA" w:rsidRDefault="00BE7C89">
            <w:pPr>
              <w:pStyle w:val="BodyText"/>
              <w:spacing w:before="100" w:after="100"/>
              <w:jc w:val="center"/>
            </w:pPr>
            <w:r>
              <w:t>$246</w:t>
            </w:r>
          </w:p>
        </w:tc>
        <w:tc>
          <w:tcPr>
            <w:tcW w:w="663" w:type="pct"/>
            <w:vAlign w:val="center"/>
          </w:tcPr>
          <w:p w14:paraId="6CE61434" w14:textId="77777777" w:rsidR="000D07EA" w:rsidRDefault="00BE7C89">
            <w:pPr>
              <w:pStyle w:val="BodyText"/>
              <w:spacing w:before="100" w:after="100"/>
              <w:jc w:val="center"/>
            </w:pPr>
            <w:r>
              <w:t>$342</w:t>
            </w:r>
          </w:p>
        </w:tc>
        <w:tc>
          <w:tcPr>
            <w:tcW w:w="663" w:type="pct"/>
            <w:vAlign w:val="center"/>
          </w:tcPr>
          <w:p w14:paraId="51A1F877" w14:textId="77777777" w:rsidR="000D07EA" w:rsidRDefault="00BE7C89">
            <w:pPr>
              <w:pStyle w:val="BodyText"/>
              <w:spacing w:before="100" w:after="100"/>
              <w:jc w:val="center"/>
            </w:pPr>
            <w:r>
              <w:t>$346</w:t>
            </w:r>
          </w:p>
        </w:tc>
      </w:tr>
    </w:tbl>
    <w:p w14:paraId="3711139C" w14:textId="77777777" w:rsidR="000D07EA" w:rsidRDefault="000D07EA">
      <w:pPr>
        <w:pStyle w:val="BodyText"/>
      </w:pPr>
    </w:p>
    <w:p w14:paraId="252A13BA" w14:textId="77777777" w:rsidR="000D07EA" w:rsidRDefault="00BE7C89">
      <w:pPr>
        <w:pStyle w:val="BodyText"/>
        <w:ind w:left="720"/>
      </w:pPr>
      <w:r>
        <w:t>346.50um H/set) activated before December 12th</w:t>
      </w:r>
    </w:p>
    <w:tbl>
      <w:tblPr>
        <w:tblW w:w="4646" w:type="pct"/>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38"/>
        <w:gridCol w:w="1505"/>
        <w:gridCol w:w="1507"/>
        <w:gridCol w:w="1505"/>
        <w:gridCol w:w="1507"/>
        <w:gridCol w:w="1505"/>
      </w:tblGrid>
      <w:tr w:rsidR="000D07EA" w14:paraId="5E4D95D9" w14:textId="77777777">
        <w:tc>
          <w:tcPr>
            <w:tcW w:w="1023" w:type="pct"/>
            <w:vMerge w:val="restart"/>
          </w:tcPr>
          <w:p w14:paraId="5A43880E" w14:textId="77777777" w:rsidR="000D07EA" w:rsidRDefault="00BE7C89">
            <w:pPr>
              <w:pStyle w:val="BodyText"/>
              <w:keepNext/>
              <w:spacing w:before="100" w:after="100"/>
              <w:rPr>
                <w:b/>
              </w:rPr>
            </w:pPr>
            <w:r>
              <w:rPr>
                <w:b/>
              </w:rPr>
              <w:t xml:space="preserve">When the </w:t>
            </w:r>
            <w:r>
              <w:rPr>
                <w:b/>
                <w:i/>
              </w:rPr>
              <w:t>service</w:t>
            </w:r>
            <w:r>
              <w:rPr>
                <w:b/>
              </w:rPr>
              <w:t xml:space="preserve"> is </w:t>
            </w:r>
            <w:r>
              <w:rPr>
                <w:b/>
                <w:i/>
              </w:rPr>
              <w:t>cancelled</w:t>
            </w:r>
          </w:p>
        </w:tc>
        <w:tc>
          <w:tcPr>
            <w:tcW w:w="3977" w:type="pct"/>
            <w:gridSpan w:val="5"/>
            <w:vAlign w:val="center"/>
          </w:tcPr>
          <w:p w14:paraId="6BC777D8" w14:textId="77777777" w:rsidR="000D07EA" w:rsidRDefault="00BE7C89">
            <w:pPr>
              <w:pStyle w:val="BodyText"/>
              <w:keepNext/>
              <w:spacing w:before="100" w:after="100"/>
              <w:jc w:val="center"/>
              <w:rPr>
                <w:b/>
                <w:i/>
              </w:rPr>
            </w:pPr>
            <w:r>
              <w:rPr>
                <w:b/>
                <w:i/>
              </w:rPr>
              <w:t>Cancellation Fee</w:t>
            </w:r>
          </w:p>
        </w:tc>
      </w:tr>
      <w:tr w:rsidR="000D07EA" w14:paraId="5E4FA19E" w14:textId="77777777">
        <w:tc>
          <w:tcPr>
            <w:tcW w:w="1023" w:type="pct"/>
            <w:vMerge/>
          </w:tcPr>
          <w:p w14:paraId="617A93C0" w14:textId="77777777" w:rsidR="000D07EA" w:rsidRDefault="000D07EA">
            <w:pPr>
              <w:keepNext/>
              <w:rPr>
                <w:b/>
              </w:rPr>
            </w:pPr>
          </w:p>
        </w:tc>
        <w:tc>
          <w:tcPr>
            <w:tcW w:w="3977" w:type="pct"/>
            <w:gridSpan w:val="5"/>
            <w:vAlign w:val="center"/>
          </w:tcPr>
          <w:p w14:paraId="3683187F" w14:textId="77777777" w:rsidR="000D07EA" w:rsidRDefault="00BE7C89">
            <w:pPr>
              <w:pStyle w:val="BodyText"/>
              <w:keepNext/>
              <w:spacing w:before="100" w:after="100"/>
              <w:jc w:val="center"/>
              <w:rPr>
                <w:b/>
                <w:bCs/>
                <w:lang w:eastAsia="en-AU"/>
              </w:rPr>
            </w:pPr>
            <w:r>
              <w:rPr>
                <w:b/>
                <w:bCs/>
                <w:lang w:eastAsia="en-AU"/>
              </w:rPr>
              <w:t>Business Timeless Advantage Plans – 24 Month Contract</w:t>
            </w:r>
          </w:p>
        </w:tc>
      </w:tr>
      <w:tr w:rsidR="000D07EA" w14:paraId="163ADB13" w14:textId="77777777">
        <w:tc>
          <w:tcPr>
            <w:tcW w:w="1023" w:type="pct"/>
          </w:tcPr>
          <w:p w14:paraId="2FF8104D" w14:textId="77777777" w:rsidR="000D07EA" w:rsidRDefault="000D07EA">
            <w:pPr>
              <w:pStyle w:val="BodyText"/>
              <w:spacing w:before="100" w:after="100"/>
            </w:pPr>
          </w:p>
        </w:tc>
        <w:tc>
          <w:tcPr>
            <w:tcW w:w="795" w:type="pct"/>
          </w:tcPr>
          <w:p w14:paraId="5A963502" w14:textId="77777777" w:rsidR="000D07EA" w:rsidRDefault="00BE7C89">
            <w:pPr>
              <w:pStyle w:val="BodyText"/>
              <w:spacing w:before="100" w:after="100"/>
              <w:jc w:val="center"/>
              <w:rPr>
                <w:b/>
              </w:rPr>
            </w:pPr>
            <w:r>
              <w:rPr>
                <w:b/>
                <w:bCs/>
                <w:lang w:eastAsia="en-AU"/>
              </w:rPr>
              <w:t>$89 Business Timeless Advantage</w:t>
            </w:r>
          </w:p>
        </w:tc>
        <w:tc>
          <w:tcPr>
            <w:tcW w:w="796" w:type="pct"/>
          </w:tcPr>
          <w:p w14:paraId="4F7C822A" w14:textId="77777777" w:rsidR="000D07EA" w:rsidRDefault="00BE7C89">
            <w:pPr>
              <w:pStyle w:val="BodyText"/>
              <w:spacing w:before="100" w:after="100"/>
              <w:jc w:val="center"/>
              <w:rPr>
                <w:b/>
              </w:rPr>
            </w:pPr>
            <w:r>
              <w:rPr>
                <w:b/>
                <w:bCs/>
                <w:lang w:eastAsia="en-AU"/>
              </w:rPr>
              <w:t>$99 Business Timeless Advantage</w:t>
            </w:r>
          </w:p>
        </w:tc>
        <w:tc>
          <w:tcPr>
            <w:tcW w:w="795" w:type="pct"/>
          </w:tcPr>
          <w:p w14:paraId="769A696F" w14:textId="77777777" w:rsidR="000D07EA" w:rsidRDefault="00BE7C89">
            <w:pPr>
              <w:pStyle w:val="BodyText"/>
              <w:spacing w:before="100" w:after="100"/>
              <w:jc w:val="center"/>
              <w:rPr>
                <w:b/>
              </w:rPr>
            </w:pPr>
            <w:r>
              <w:rPr>
                <w:b/>
                <w:bCs/>
                <w:lang w:eastAsia="en-AU"/>
              </w:rPr>
              <w:t>$129 Business Timeless Advantage</w:t>
            </w:r>
          </w:p>
        </w:tc>
        <w:tc>
          <w:tcPr>
            <w:tcW w:w="796" w:type="pct"/>
          </w:tcPr>
          <w:p w14:paraId="1CCBC1E9" w14:textId="77777777" w:rsidR="000D07EA" w:rsidRDefault="00BE7C89">
            <w:pPr>
              <w:pStyle w:val="BodyText"/>
              <w:spacing w:before="100" w:after="100"/>
              <w:jc w:val="center"/>
              <w:rPr>
                <w:b/>
                <w:bCs/>
                <w:lang w:eastAsia="en-AU"/>
              </w:rPr>
            </w:pPr>
            <w:r>
              <w:rPr>
                <w:b/>
                <w:bCs/>
                <w:lang w:eastAsia="en-AU"/>
              </w:rPr>
              <w:t>$99 Business Timeless Advantage (Premium H/set)</w:t>
            </w:r>
          </w:p>
        </w:tc>
        <w:tc>
          <w:tcPr>
            <w:tcW w:w="796" w:type="pct"/>
          </w:tcPr>
          <w:p w14:paraId="4FDAC16A" w14:textId="77777777" w:rsidR="000D07EA" w:rsidRDefault="00BE7C89">
            <w:pPr>
              <w:pStyle w:val="BodyText"/>
              <w:spacing w:before="100" w:after="100"/>
              <w:jc w:val="center"/>
              <w:rPr>
                <w:b/>
                <w:bCs/>
                <w:lang w:eastAsia="en-AU"/>
              </w:rPr>
            </w:pPr>
            <w:r>
              <w:rPr>
                <w:b/>
                <w:bCs/>
                <w:lang w:eastAsia="en-AU"/>
              </w:rPr>
              <w:t>$129 Business Timeless Advantage (Premium H/set)</w:t>
            </w:r>
          </w:p>
        </w:tc>
      </w:tr>
      <w:tr w:rsidR="000D07EA" w14:paraId="01BF01F1" w14:textId="77777777">
        <w:tc>
          <w:tcPr>
            <w:tcW w:w="1023" w:type="pct"/>
          </w:tcPr>
          <w:p w14:paraId="6AF31A07" w14:textId="77777777" w:rsidR="000D07EA" w:rsidRDefault="00BE7C89">
            <w:pPr>
              <w:pStyle w:val="BodyText"/>
              <w:spacing w:before="100" w:after="100"/>
              <w:rPr>
                <w:b/>
              </w:rPr>
            </w:pPr>
            <w:r>
              <w:rPr>
                <w:b/>
              </w:rPr>
              <w:t xml:space="preserve">During the first 12 months – Initial </w:t>
            </w:r>
            <w:r>
              <w:rPr>
                <w:b/>
                <w:i/>
              </w:rPr>
              <w:t>cancellation fee</w:t>
            </w:r>
          </w:p>
        </w:tc>
        <w:tc>
          <w:tcPr>
            <w:tcW w:w="795" w:type="pct"/>
            <w:vAlign w:val="center"/>
          </w:tcPr>
          <w:p w14:paraId="0B3A6C3E" w14:textId="77777777" w:rsidR="000D07EA" w:rsidRDefault="00BE7C89">
            <w:pPr>
              <w:pStyle w:val="BodyText"/>
              <w:spacing w:before="100" w:after="100"/>
              <w:jc w:val="center"/>
            </w:pPr>
            <w:r>
              <w:t>$1,020</w:t>
            </w:r>
          </w:p>
        </w:tc>
        <w:tc>
          <w:tcPr>
            <w:tcW w:w="796" w:type="pct"/>
            <w:vAlign w:val="center"/>
          </w:tcPr>
          <w:p w14:paraId="5B573700" w14:textId="77777777" w:rsidR="000D07EA" w:rsidRDefault="00BE7C89">
            <w:pPr>
              <w:pStyle w:val="BodyText"/>
              <w:spacing w:before="100" w:after="100"/>
              <w:jc w:val="center"/>
            </w:pPr>
            <w:r>
              <w:t>$830</w:t>
            </w:r>
          </w:p>
        </w:tc>
        <w:tc>
          <w:tcPr>
            <w:tcW w:w="795" w:type="pct"/>
            <w:vAlign w:val="center"/>
          </w:tcPr>
          <w:p w14:paraId="3BE5E8D8" w14:textId="77777777" w:rsidR="000D07EA" w:rsidRDefault="00BE7C89">
            <w:pPr>
              <w:pStyle w:val="BodyText"/>
              <w:spacing w:before="100" w:after="100"/>
              <w:jc w:val="center"/>
            </w:pPr>
            <w:r>
              <w:t>$840</w:t>
            </w:r>
          </w:p>
        </w:tc>
        <w:tc>
          <w:tcPr>
            <w:tcW w:w="796" w:type="pct"/>
            <w:vAlign w:val="center"/>
          </w:tcPr>
          <w:p w14:paraId="7E228B3E" w14:textId="77777777" w:rsidR="000D07EA" w:rsidRDefault="00BE7C89">
            <w:pPr>
              <w:pStyle w:val="BodyText"/>
              <w:spacing w:before="100" w:after="100"/>
              <w:jc w:val="center"/>
            </w:pPr>
            <w:r>
              <w:t>$1185</w:t>
            </w:r>
          </w:p>
        </w:tc>
        <w:tc>
          <w:tcPr>
            <w:tcW w:w="796" w:type="pct"/>
            <w:vAlign w:val="center"/>
          </w:tcPr>
          <w:p w14:paraId="0E44D57E" w14:textId="77777777" w:rsidR="000D07EA" w:rsidRDefault="00BE7C89">
            <w:pPr>
              <w:pStyle w:val="BodyText"/>
              <w:spacing w:before="100" w:after="100"/>
              <w:jc w:val="center"/>
            </w:pPr>
            <w:r>
              <w:t>$1205</w:t>
            </w:r>
          </w:p>
        </w:tc>
      </w:tr>
      <w:tr w:rsidR="000D07EA" w14:paraId="7D07C6F0" w14:textId="77777777">
        <w:tc>
          <w:tcPr>
            <w:tcW w:w="1023" w:type="pct"/>
          </w:tcPr>
          <w:p w14:paraId="17BA32C0" w14:textId="77777777" w:rsidR="000D07EA" w:rsidRDefault="00BE7C89">
            <w:pPr>
              <w:pStyle w:val="BodyText"/>
              <w:spacing w:before="100" w:after="100"/>
              <w:rPr>
                <w:b/>
              </w:rPr>
            </w:pPr>
            <w:r>
              <w:rPr>
                <w:b/>
              </w:rPr>
              <w:t xml:space="preserve">Months 13 – 15 (80% of Initial </w:t>
            </w:r>
            <w:r>
              <w:rPr>
                <w:b/>
                <w:i/>
              </w:rPr>
              <w:t>cancellation fee</w:t>
            </w:r>
            <w:r>
              <w:rPr>
                <w:b/>
              </w:rPr>
              <w:t>)</w:t>
            </w:r>
          </w:p>
        </w:tc>
        <w:tc>
          <w:tcPr>
            <w:tcW w:w="795" w:type="pct"/>
            <w:vAlign w:val="center"/>
          </w:tcPr>
          <w:p w14:paraId="5D39AC11" w14:textId="77777777" w:rsidR="000D07EA" w:rsidRDefault="00BE7C89">
            <w:pPr>
              <w:pStyle w:val="BodyText"/>
              <w:spacing w:before="100" w:after="100"/>
              <w:jc w:val="center"/>
            </w:pPr>
            <w:r>
              <w:t>$816</w:t>
            </w:r>
          </w:p>
        </w:tc>
        <w:tc>
          <w:tcPr>
            <w:tcW w:w="796" w:type="pct"/>
            <w:vAlign w:val="center"/>
          </w:tcPr>
          <w:p w14:paraId="088B017D" w14:textId="77777777" w:rsidR="000D07EA" w:rsidRDefault="00BE7C89">
            <w:pPr>
              <w:pStyle w:val="BodyText"/>
              <w:spacing w:before="100" w:after="100"/>
              <w:jc w:val="center"/>
            </w:pPr>
            <w:r>
              <w:t>$664</w:t>
            </w:r>
          </w:p>
        </w:tc>
        <w:tc>
          <w:tcPr>
            <w:tcW w:w="795" w:type="pct"/>
            <w:vAlign w:val="center"/>
          </w:tcPr>
          <w:p w14:paraId="57C4CECF" w14:textId="77777777" w:rsidR="000D07EA" w:rsidRDefault="00BE7C89">
            <w:pPr>
              <w:pStyle w:val="BodyText"/>
              <w:spacing w:before="100" w:after="100"/>
              <w:jc w:val="center"/>
            </w:pPr>
            <w:r>
              <w:t>$672</w:t>
            </w:r>
          </w:p>
        </w:tc>
        <w:tc>
          <w:tcPr>
            <w:tcW w:w="796" w:type="pct"/>
            <w:vAlign w:val="center"/>
          </w:tcPr>
          <w:p w14:paraId="343EB018" w14:textId="77777777" w:rsidR="000D07EA" w:rsidRDefault="00BE7C89">
            <w:pPr>
              <w:pStyle w:val="BodyText"/>
              <w:spacing w:before="100" w:after="100"/>
              <w:jc w:val="center"/>
            </w:pPr>
            <w:r>
              <w:t>$948</w:t>
            </w:r>
          </w:p>
        </w:tc>
        <w:tc>
          <w:tcPr>
            <w:tcW w:w="796" w:type="pct"/>
            <w:vAlign w:val="center"/>
          </w:tcPr>
          <w:p w14:paraId="63F65AD7" w14:textId="77777777" w:rsidR="000D07EA" w:rsidRDefault="00BE7C89">
            <w:pPr>
              <w:pStyle w:val="BodyText"/>
              <w:spacing w:before="100" w:after="100"/>
              <w:jc w:val="center"/>
            </w:pPr>
            <w:r>
              <w:t>$964</w:t>
            </w:r>
          </w:p>
        </w:tc>
      </w:tr>
      <w:tr w:rsidR="000D07EA" w14:paraId="074A7900" w14:textId="77777777">
        <w:tc>
          <w:tcPr>
            <w:tcW w:w="1023" w:type="pct"/>
          </w:tcPr>
          <w:p w14:paraId="2E67E76A" w14:textId="77777777" w:rsidR="000D07EA" w:rsidRDefault="00BE7C89">
            <w:pPr>
              <w:pStyle w:val="BodyText"/>
              <w:spacing w:before="100" w:after="100"/>
              <w:rPr>
                <w:b/>
              </w:rPr>
            </w:pPr>
            <w:r>
              <w:rPr>
                <w:b/>
              </w:rPr>
              <w:t xml:space="preserve">Months 16 – 18 (60% of the Initial </w:t>
            </w:r>
            <w:r>
              <w:rPr>
                <w:b/>
                <w:i/>
              </w:rPr>
              <w:t>cancellation fee</w:t>
            </w:r>
            <w:r>
              <w:rPr>
                <w:b/>
              </w:rPr>
              <w:t>)</w:t>
            </w:r>
          </w:p>
        </w:tc>
        <w:tc>
          <w:tcPr>
            <w:tcW w:w="795" w:type="pct"/>
            <w:vAlign w:val="center"/>
          </w:tcPr>
          <w:p w14:paraId="63259BA8" w14:textId="77777777" w:rsidR="000D07EA" w:rsidRDefault="00BE7C89">
            <w:pPr>
              <w:pStyle w:val="BodyText"/>
              <w:spacing w:before="100" w:after="100"/>
              <w:jc w:val="center"/>
            </w:pPr>
            <w:r>
              <w:t>$612</w:t>
            </w:r>
          </w:p>
        </w:tc>
        <w:tc>
          <w:tcPr>
            <w:tcW w:w="796" w:type="pct"/>
            <w:vAlign w:val="center"/>
          </w:tcPr>
          <w:p w14:paraId="34D1672E" w14:textId="77777777" w:rsidR="000D07EA" w:rsidRDefault="00BE7C89">
            <w:pPr>
              <w:pStyle w:val="BodyText"/>
              <w:spacing w:before="100" w:after="100"/>
              <w:jc w:val="center"/>
            </w:pPr>
            <w:r>
              <w:t>$498</w:t>
            </w:r>
          </w:p>
        </w:tc>
        <w:tc>
          <w:tcPr>
            <w:tcW w:w="795" w:type="pct"/>
            <w:vAlign w:val="center"/>
          </w:tcPr>
          <w:p w14:paraId="60701FCF" w14:textId="77777777" w:rsidR="000D07EA" w:rsidRDefault="00BE7C89">
            <w:pPr>
              <w:pStyle w:val="BodyText"/>
              <w:spacing w:before="100" w:after="100"/>
              <w:jc w:val="center"/>
            </w:pPr>
            <w:r>
              <w:t>$504</w:t>
            </w:r>
          </w:p>
        </w:tc>
        <w:tc>
          <w:tcPr>
            <w:tcW w:w="796" w:type="pct"/>
            <w:vAlign w:val="center"/>
          </w:tcPr>
          <w:p w14:paraId="488128B5" w14:textId="77777777" w:rsidR="000D07EA" w:rsidRDefault="00BE7C89">
            <w:pPr>
              <w:pStyle w:val="BodyText"/>
              <w:spacing w:before="100" w:after="100"/>
              <w:jc w:val="center"/>
            </w:pPr>
            <w:r>
              <w:t>$711</w:t>
            </w:r>
          </w:p>
        </w:tc>
        <w:tc>
          <w:tcPr>
            <w:tcW w:w="796" w:type="pct"/>
            <w:vAlign w:val="center"/>
          </w:tcPr>
          <w:p w14:paraId="1E037FCC" w14:textId="77777777" w:rsidR="000D07EA" w:rsidRDefault="00BE7C89">
            <w:pPr>
              <w:pStyle w:val="BodyText"/>
              <w:spacing w:before="100" w:after="100"/>
              <w:jc w:val="center"/>
            </w:pPr>
            <w:r>
              <w:t>$723</w:t>
            </w:r>
          </w:p>
        </w:tc>
      </w:tr>
      <w:tr w:rsidR="000D07EA" w14:paraId="70B9F9DE" w14:textId="77777777">
        <w:tc>
          <w:tcPr>
            <w:tcW w:w="1023" w:type="pct"/>
          </w:tcPr>
          <w:p w14:paraId="4F1097D7" w14:textId="77777777" w:rsidR="000D07EA" w:rsidRDefault="00BE7C89">
            <w:pPr>
              <w:pStyle w:val="BodyText"/>
              <w:spacing w:before="100" w:after="100"/>
              <w:rPr>
                <w:b/>
              </w:rPr>
            </w:pPr>
            <w:r>
              <w:rPr>
                <w:b/>
              </w:rPr>
              <w:t xml:space="preserve">Months 19 – 21 (40% of the Initial </w:t>
            </w:r>
            <w:r>
              <w:rPr>
                <w:b/>
                <w:i/>
              </w:rPr>
              <w:t>cancellation fee</w:t>
            </w:r>
            <w:r>
              <w:rPr>
                <w:b/>
              </w:rPr>
              <w:t>)</w:t>
            </w:r>
          </w:p>
        </w:tc>
        <w:tc>
          <w:tcPr>
            <w:tcW w:w="795" w:type="pct"/>
            <w:vAlign w:val="center"/>
          </w:tcPr>
          <w:p w14:paraId="4A9DFEB4" w14:textId="77777777" w:rsidR="000D07EA" w:rsidRDefault="00BE7C89">
            <w:pPr>
              <w:pStyle w:val="BodyText"/>
              <w:spacing w:before="100" w:after="100"/>
              <w:jc w:val="center"/>
            </w:pPr>
            <w:r>
              <w:t>$408</w:t>
            </w:r>
          </w:p>
        </w:tc>
        <w:tc>
          <w:tcPr>
            <w:tcW w:w="796" w:type="pct"/>
            <w:vAlign w:val="center"/>
          </w:tcPr>
          <w:p w14:paraId="2A4112F0" w14:textId="77777777" w:rsidR="000D07EA" w:rsidRDefault="00BE7C89">
            <w:pPr>
              <w:pStyle w:val="BodyText"/>
              <w:spacing w:before="100" w:after="100"/>
              <w:jc w:val="center"/>
            </w:pPr>
            <w:r>
              <w:t>$332</w:t>
            </w:r>
          </w:p>
        </w:tc>
        <w:tc>
          <w:tcPr>
            <w:tcW w:w="795" w:type="pct"/>
            <w:vAlign w:val="center"/>
          </w:tcPr>
          <w:p w14:paraId="1D8048F9" w14:textId="77777777" w:rsidR="000D07EA" w:rsidRDefault="00BE7C89">
            <w:pPr>
              <w:pStyle w:val="BodyText"/>
              <w:spacing w:before="100" w:after="100"/>
              <w:jc w:val="center"/>
            </w:pPr>
            <w:r>
              <w:t>$336</w:t>
            </w:r>
          </w:p>
        </w:tc>
        <w:tc>
          <w:tcPr>
            <w:tcW w:w="796" w:type="pct"/>
            <w:vAlign w:val="center"/>
          </w:tcPr>
          <w:p w14:paraId="5D7C2C62" w14:textId="77777777" w:rsidR="000D07EA" w:rsidRDefault="00BE7C89">
            <w:pPr>
              <w:pStyle w:val="BodyText"/>
              <w:spacing w:before="100" w:after="100"/>
              <w:jc w:val="center"/>
            </w:pPr>
            <w:r>
              <w:t>$474</w:t>
            </w:r>
          </w:p>
        </w:tc>
        <w:tc>
          <w:tcPr>
            <w:tcW w:w="796" w:type="pct"/>
            <w:vAlign w:val="center"/>
          </w:tcPr>
          <w:p w14:paraId="7FBF80B7" w14:textId="77777777" w:rsidR="000D07EA" w:rsidRDefault="00BE7C89">
            <w:pPr>
              <w:pStyle w:val="BodyText"/>
              <w:spacing w:before="100" w:after="100"/>
              <w:jc w:val="center"/>
            </w:pPr>
            <w:r>
              <w:t>$482</w:t>
            </w:r>
          </w:p>
        </w:tc>
      </w:tr>
      <w:tr w:rsidR="000D07EA" w14:paraId="3C951EB2" w14:textId="77777777">
        <w:tc>
          <w:tcPr>
            <w:tcW w:w="1023" w:type="pct"/>
          </w:tcPr>
          <w:p w14:paraId="29B3B090" w14:textId="77777777" w:rsidR="000D07EA" w:rsidRDefault="00BE7C89">
            <w:pPr>
              <w:pStyle w:val="BodyText"/>
              <w:spacing w:before="100" w:after="100"/>
              <w:rPr>
                <w:b/>
              </w:rPr>
            </w:pPr>
            <w:r>
              <w:rPr>
                <w:b/>
              </w:rPr>
              <w:t xml:space="preserve">Months 22 – 24 (20% of the Initial </w:t>
            </w:r>
            <w:r>
              <w:rPr>
                <w:b/>
                <w:i/>
              </w:rPr>
              <w:t>cancellation fee</w:t>
            </w:r>
            <w:r>
              <w:rPr>
                <w:b/>
              </w:rPr>
              <w:t>)</w:t>
            </w:r>
          </w:p>
        </w:tc>
        <w:tc>
          <w:tcPr>
            <w:tcW w:w="795" w:type="pct"/>
            <w:vAlign w:val="center"/>
          </w:tcPr>
          <w:p w14:paraId="6D8941FA" w14:textId="77777777" w:rsidR="000D07EA" w:rsidRDefault="00BE7C89">
            <w:pPr>
              <w:pStyle w:val="BodyText"/>
              <w:spacing w:before="100" w:after="100"/>
              <w:jc w:val="center"/>
            </w:pPr>
            <w:r>
              <w:t>$204</w:t>
            </w:r>
          </w:p>
        </w:tc>
        <w:tc>
          <w:tcPr>
            <w:tcW w:w="796" w:type="pct"/>
            <w:vAlign w:val="center"/>
          </w:tcPr>
          <w:p w14:paraId="45B50077" w14:textId="77777777" w:rsidR="000D07EA" w:rsidRDefault="00BE7C89">
            <w:pPr>
              <w:pStyle w:val="BodyText"/>
              <w:spacing w:before="100" w:after="100"/>
              <w:jc w:val="center"/>
            </w:pPr>
            <w:r>
              <w:t>$166</w:t>
            </w:r>
          </w:p>
        </w:tc>
        <w:tc>
          <w:tcPr>
            <w:tcW w:w="795" w:type="pct"/>
            <w:vAlign w:val="center"/>
          </w:tcPr>
          <w:p w14:paraId="4BDFBDC1" w14:textId="77777777" w:rsidR="000D07EA" w:rsidRDefault="00BE7C89">
            <w:pPr>
              <w:pStyle w:val="BodyText"/>
              <w:spacing w:before="100" w:after="100"/>
              <w:jc w:val="center"/>
            </w:pPr>
            <w:r>
              <w:t>$168</w:t>
            </w:r>
          </w:p>
        </w:tc>
        <w:tc>
          <w:tcPr>
            <w:tcW w:w="796" w:type="pct"/>
            <w:vAlign w:val="center"/>
          </w:tcPr>
          <w:p w14:paraId="617F7DDC" w14:textId="77777777" w:rsidR="000D07EA" w:rsidRDefault="00BE7C89">
            <w:pPr>
              <w:pStyle w:val="BodyText"/>
              <w:spacing w:before="100" w:after="100"/>
              <w:jc w:val="center"/>
            </w:pPr>
            <w:r>
              <w:t>$237</w:t>
            </w:r>
          </w:p>
        </w:tc>
        <w:tc>
          <w:tcPr>
            <w:tcW w:w="796" w:type="pct"/>
            <w:vAlign w:val="center"/>
          </w:tcPr>
          <w:p w14:paraId="730C5E93" w14:textId="77777777" w:rsidR="000D07EA" w:rsidRDefault="00BE7C89">
            <w:pPr>
              <w:pStyle w:val="BodyText"/>
              <w:spacing w:before="100" w:after="100"/>
              <w:jc w:val="center"/>
            </w:pPr>
            <w:r>
              <w:t>$241</w:t>
            </w:r>
          </w:p>
        </w:tc>
      </w:tr>
    </w:tbl>
    <w:p w14:paraId="3FC75EB7" w14:textId="77777777" w:rsidR="000D07EA" w:rsidRDefault="000D07EA">
      <w:pPr>
        <w:pStyle w:val="BodyText"/>
      </w:pPr>
    </w:p>
    <w:p w14:paraId="5E897A54" w14:textId="77777777" w:rsidR="000D07EA" w:rsidRDefault="00BE7C89">
      <w:pPr>
        <w:pStyle w:val="Heading6"/>
        <w:ind w:left="0" w:firstLine="0"/>
      </w:pPr>
      <w:bookmarkStart w:id="427" w:name="_Toc290898771"/>
      <w:bookmarkStart w:id="428" w:name="_Toc291665629"/>
      <w:bookmarkStart w:id="429" w:name="_Toc397941150"/>
      <w:r>
        <w:t>$129 Business Timeless Advantage/(Premium H/set) Recontracting Rules</w:t>
      </w:r>
      <w:bookmarkEnd w:id="427"/>
      <w:bookmarkEnd w:id="428"/>
      <w:bookmarkEnd w:id="429"/>
    </w:p>
    <w:p w14:paraId="5B26DF47" w14:textId="77777777" w:rsidR="000D07EA" w:rsidRDefault="00BE7C89">
      <w:pPr>
        <w:pStyle w:val="Heading7"/>
      </w:pPr>
      <w:r>
        <w:t>From May 1</w:t>
      </w:r>
      <w:r>
        <w:rPr>
          <w:vertAlign w:val="superscript"/>
        </w:rPr>
        <w:t>st</w:t>
      </w:r>
      <w:r>
        <w:t xml:space="preserve"> 2011, customers who commit to a new $129 Business Timeless Advantage/(Premium H/set) plan on a 24 month term are able to recontract onto a new 24 month minimum term with handset after completing 12 months of their 24 month minimum term. The below conditions outlined in points 48.8 (i), (ii) and (iii) must also be met. Services that do not meet below conditions may be charged the cancellation fee outlined in 49.7 (d):</w:t>
      </w:r>
    </w:p>
    <w:p w14:paraId="7D507CCF" w14:textId="77777777" w:rsidR="000D07EA" w:rsidRDefault="00BE7C89">
      <w:pPr>
        <w:pStyle w:val="Heading8"/>
      </w:pPr>
      <w:r>
        <w:t>Service must be contracted to/billing onto a SMB mobile plan with a minimum commitment of $129 per month for the previous consecutive 12 months.</w:t>
      </w:r>
    </w:p>
    <w:p w14:paraId="13D0FF1F" w14:textId="77777777" w:rsidR="000D07EA" w:rsidRDefault="00BE7C89">
      <w:pPr>
        <w:pStyle w:val="Heading8"/>
      </w:pPr>
      <w:r>
        <w:t>Service must have completed at least month 12 of their 24 month minimum term.</w:t>
      </w:r>
    </w:p>
    <w:p w14:paraId="53D80DB8" w14:textId="77777777" w:rsidR="000D07EA" w:rsidRDefault="00BE7C89">
      <w:pPr>
        <w:pStyle w:val="Heading8"/>
      </w:pPr>
      <w:r>
        <w:t xml:space="preserve">Service must commit to a new 24 month minimum term on a rate plan with a minimum commitment of $129 per month. </w:t>
      </w:r>
    </w:p>
    <w:p w14:paraId="2293344C" w14:textId="77777777" w:rsidR="000D07EA" w:rsidRDefault="00BE7C89">
      <w:pPr>
        <w:pStyle w:val="Heading6"/>
        <w:ind w:left="0" w:firstLine="0"/>
      </w:pPr>
      <w:bookmarkStart w:id="430" w:name="_Toc397941151"/>
      <w:r>
        <w:t>$10 Business Advantage BMB Plan</w:t>
      </w:r>
      <w:bookmarkEnd w:id="426"/>
      <w:bookmarkEnd w:id="430"/>
    </w:p>
    <w:p w14:paraId="044A0308" w14:textId="77777777" w:rsidR="000D07EA" w:rsidRDefault="00BE7C89">
      <w:pPr>
        <w:pStyle w:val="Heading7"/>
      </w:pPr>
      <w:r>
        <w:rPr>
          <w:i/>
        </w:rPr>
        <w:lastRenderedPageBreak/>
        <w:t xml:space="preserve">You </w:t>
      </w:r>
      <w:r>
        <w:t xml:space="preserve">must pay </w:t>
      </w:r>
      <w:r>
        <w:rPr>
          <w:i/>
        </w:rPr>
        <w:t xml:space="preserve">us </w:t>
      </w:r>
      <w:r>
        <w:t xml:space="preserve">for use of the </w:t>
      </w:r>
      <w:r>
        <w:rPr>
          <w:i/>
        </w:rPr>
        <w:t xml:space="preserve">service </w:t>
      </w:r>
      <w:r>
        <w:t xml:space="preserve">at the rates set out in Table 7 </w:t>
      </w:r>
    </w:p>
    <w:p w14:paraId="2662FEF5" w14:textId="77777777" w:rsidR="000D07EA" w:rsidRDefault="00BE7C89">
      <w:pPr>
        <w:pStyle w:val="Heading7"/>
        <w:rPr>
          <w:b/>
        </w:rPr>
      </w:pPr>
      <w:r>
        <w:rPr>
          <w:b/>
        </w:rPr>
        <w:t>Minimum Monthly Charge</w:t>
      </w:r>
    </w:p>
    <w:p w14:paraId="3EDBC78F" w14:textId="77777777" w:rsidR="000D07EA" w:rsidRDefault="00BE7C89">
      <w:pPr>
        <w:pStyle w:val="Heading8"/>
      </w:pPr>
      <w:r>
        <w:t xml:space="preserve">The Business Advantage BMB Plan has a Minimum Monthly Charge amount that </w:t>
      </w:r>
      <w:r>
        <w:rPr>
          <w:i/>
        </w:rPr>
        <w:t xml:space="preserve">you </w:t>
      </w:r>
      <w:r>
        <w:t xml:space="preserve">must pay us each month. </w:t>
      </w:r>
    </w:p>
    <w:p w14:paraId="10838887" w14:textId="77777777" w:rsidR="000D07EA" w:rsidRDefault="00BE7C89">
      <w:pPr>
        <w:pStyle w:val="Heading8"/>
      </w:pPr>
      <w:r>
        <w:t>The amount of the Minimum Monthly Charge for each $10 Business Advantage BMB Plan is set out in Table 7 below.</w:t>
      </w:r>
    </w:p>
    <w:p w14:paraId="211952C6" w14:textId="77777777" w:rsidR="000D07EA" w:rsidRDefault="00BE7C89">
      <w:pPr>
        <w:pStyle w:val="Heading8"/>
      </w:pPr>
      <w:r>
        <w:rPr>
          <w:i/>
        </w:rPr>
        <w:t>You</w:t>
      </w:r>
      <w:r>
        <w:t xml:space="preserve"> must pay for any calls, texts or data usage that are not eligible.</w:t>
      </w:r>
    </w:p>
    <w:p w14:paraId="63894474" w14:textId="77777777" w:rsidR="000D07EA" w:rsidRDefault="00BE7C89">
      <w:pPr>
        <w:pStyle w:val="Heading7"/>
        <w:rPr>
          <w:b/>
        </w:rPr>
      </w:pPr>
      <w:r>
        <w:rPr>
          <w:b/>
        </w:rPr>
        <w:t>Other Conditions and Offers</w:t>
      </w:r>
    </w:p>
    <w:p w14:paraId="2413FDC5" w14:textId="77777777" w:rsidR="000D07EA" w:rsidRDefault="00BE7C89">
      <w:pPr>
        <w:pStyle w:val="Heading8"/>
      </w:pPr>
      <w:r>
        <w:t xml:space="preserve">The </w:t>
      </w:r>
      <w:r w:rsidR="00F84E53">
        <w:t xml:space="preserve">Fair Go </w:t>
      </w:r>
      <w:r>
        <w:t xml:space="preserve">Policy applies to usage of the Optus Mobile Internet Service.  Please refer to </w:t>
      </w:r>
      <w:hyperlink r:id="rId286" w:history="1">
        <w:r w:rsidR="00B64C56">
          <w:rPr>
            <w:rStyle w:val="Hyperlink"/>
            <w:i/>
          </w:rPr>
          <w:t>Appendix S</w:t>
        </w:r>
      </w:hyperlink>
      <w:r>
        <w:t>.</w:t>
      </w:r>
    </w:p>
    <w:p w14:paraId="2DFB2A10" w14:textId="77777777" w:rsidR="000D07EA" w:rsidRDefault="00BE7C89">
      <w:pPr>
        <w:pStyle w:val="Heading8"/>
      </w:pPr>
      <w:r>
        <w:t>As per Table 4 below a Business Mobile Broadband Service on a $10 Business Advantage BMB Plan can only be bundled with the respective Optus Mobile Digital service</w:t>
      </w:r>
    </w:p>
    <w:p w14:paraId="178963D5" w14:textId="77777777" w:rsidR="000D07EA" w:rsidRDefault="00BE7C89">
      <w:pPr>
        <w:pStyle w:val="BodyText"/>
        <w:ind w:left="720"/>
        <w:rPr>
          <w:b/>
        </w:rPr>
      </w:pPr>
      <w:r>
        <w:rPr>
          <w:b/>
        </w:rPr>
        <w:t>Table 4 – Business Mobile Broadband Bundles Options</w:t>
      </w:r>
    </w:p>
    <w:tbl>
      <w:tblPr>
        <w:tblW w:w="4646" w:type="pct"/>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94"/>
        <w:gridCol w:w="1894"/>
        <w:gridCol w:w="1893"/>
        <w:gridCol w:w="1893"/>
        <w:gridCol w:w="1893"/>
      </w:tblGrid>
      <w:tr w:rsidR="000D07EA" w14:paraId="4718A415" w14:textId="77777777">
        <w:trPr>
          <w:trHeight w:val="20"/>
        </w:trPr>
        <w:tc>
          <w:tcPr>
            <w:tcW w:w="1000" w:type="pct"/>
          </w:tcPr>
          <w:p w14:paraId="0CC7A8D1" w14:textId="77777777" w:rsidR="000D07EA" w:rsidRDefault="00BE7C89">
            <w:pPr>
              <w:pStyle w:val="BodyText"/>
              <w:spacing w:before="100" w:after="100"/>
              <w:jc w:val="center"/>
              <w:rPr>
                <w:b/>
                <w:lang w:eastAsia="ko-KR"/>
              </w:rPr>
            </w:pPr>
            <w:r>
              <w:rPr>
                <w:b/>
                <w:lang w:eastAsia="ko-KR"/>
              </w:rPr>
              <w:t>Optus Mobile Digital Service Plan which can be bundled</w:t>
            </w:r>
          </w:p>
        </w:tc>
        <w:tc>
          <w:tcPr>
            <w:tcW w:w="1000" w:type="pct"/>
          </w:tcPr>
          <w:p w14:paraId="62A40382" w14:textId="77777777" w:rsidR="000D07EA" w:rsidRDefault="00BE7C89">
            <w:pPr>
              <w:pStyle w:val="BodyText"/>
              <w:spacing w:before="100" w:after="100"/>
              <w:jc w:val="center"/>
            </w:pPr>
            <w:r>
              <w:t>$69 Business Timeless Advantage BYO</w:t>
            </w:r>
          </w:p>
        </w:tc>
        <w:tc>
          <w:tcPr>
            <w:tcW w:w="1000" w:type="pct"/>
          </w:tcPr>
          <w:p w14:paraId="49278B29" w14:textId="77777777" w:rsidR="000D07EA" w:rsidRDefault="00BE7C89">
            <w:pPr>
              <w:pStyle w:val="BodyText"/>
              <w:spacing w:before="100" w:after="100"/>
              <w:jc w:val="center"/>
              <w:rPr>
                <w:lang w:eastAsia="ko-KR"/>
              </w:rPr>
            </w:pPr>
            <w:r>
              <w:t>$89 Business Timeless Advantage</w:t>
            </w:r>
          </w:p>
        </w:tc>
        <w:tc>
          <w:tcPr>
            <w:tcW w:w="1000" w:type="pct"/>
          </w:tcPr>
          <w:p w14:paraId="0D12842E" w14:textId="77777777" w:rsidR="000D07EA" w:rsidRDefault="00BE7C89">
            <w:pPr>
              <w:pStyle w:val="BodyText"/>
              <w:spacing w:before="100" w:after="100"/>
              <w:jc w:val="center"/>
              <w:rPr>
                <w:lang w:eastAsia="ko-KR"/>
              </w:rPr>
            </w:pPr>
            <w:r>
              <w:t>$99 Business Timeless Advantage / (Premium H/set)</w:t>
            </w:r>
          </w:p>
        </w:tc>
        <w:tc>
          <w:tcPr>
            <w:tcW w:w="1000" w:type="pct"/>
          </w:tcPr>
          <w:p w14:paraId="1A659BD9" w14:textId="77777777" w:rsidR="000D07EA" w:rsidRDefault="00BE7C89">
            <w:pPr>
              <w:pStyle w:val="BodyText"/>
              <w:spacing w:before="100" w:after="100"/>
              <w:jc w:val="center"/>
            </w:pPr>
            <w:r>
              <w:t>$129 Business Timeless Advantage / (Premium H/set)</w:t>
            </w:r>
          </w:p>
        </w:tc>
      </w:tr>
      <w:tr w:rsidR="000D07EA" w14:paraId="6A53AA6B" w14:textId="77777777">
        <w:trPr>
          <w:trHeight w:val="20"/>
        </w:trPr>
        <w:tc>
          <w:tcPr>
            <w:tcW w:w="1000" w:type="pct"/>
          </w:tcPr>
          <w:p w14:paraId="175B81B6" w14:textId="77777777" w:rsidR="000D07EA" w:rsidRDefault="00BE7C89">
            <w:pPr>
              <w:pStyle w:val="BodyText"/>
              <w:spacing w:before="100" w:after="100"/>
              <w:jc w:val="center"/>
              <w:rPr>
                <w:b/>
                <w:lang w:eastAsia="ko-KR"/>
              </w:rPr>
            </w:pPr>
            <w:r>
              <w:rPr>
                <w:b/>
                <w:lang w:eastAsia="ko-KR"/>
              </w:rPr>
              <w:t>Business Mobile Broadband  Service Plan</w:t>
            </w:r>
          </w:p>
        </w:tc>
        <w:tc>
          <w:tcPr>
            <w:tcW w:w="1000" w:type="pct"/>
          </w:tcPr>
          <w:p w14:paraId="2C8BF2EB" w14:textId="77777777" w:rsidR="000D07EA" w:rsidRDefault="00BE7C89">
            <w:pPr>
              <w:pStyle w:val="BodyText"/>
              <w:spacing w:before="100" w:after="100"/>
              <w:jc w:val="center"/>
            </w:pPr>
            <w:r>
              <w:t>$10 Business Advantage BMB</w:t>
            </w:r>
          </w:p>
        </w:tc>
        <w:tc>
          <w:tcPr>
            <w:tcW w:w="1000" w:type="pct"/>
          </w:tcPr>
          <w:p w14:paraId="0FF2E602" w14:textId="77777777" w:rsidR="000D07EA" w:rsidRDefault="00BE7C89">
            <w:pPr>
              <w:pStyle w:val="BodyText"/>
              <w:spacing w:before="100" w:after="100"/>
              <w:jc w:val="center"/>
            </w:pPr>
            <w:r>
              <w:t>$10 Business Advantage BMB</w:t>
            </w:r>
          </w:p>
        </w:tc>
        <w:tc>
          <w:tcPr>
            <w:tcW w:w="1000" w:type="pct"/>
          </w:tcPr>
          <w:p w14:paraId="746E9CE3" w14:textId="77777777" w:rsidR="000D07EA" w:rsidRDefault="00BE7C89">
            <w:pPr>
              <w:pStyle w:val="BodyText"/>
              <w:spacing w:before="100" w:after="100"/>
              <w:jc w:val="center"/>
            </w:pPr>
            <w:r>
              <w:t>$10 Business Advantage BMB</w:t>
            </w:r>
          </w:p>
        </w:tc>
        <w:tc>
          <w:tcPr>
            <w:tcW w:w="1000" w:type="pct"/>
          </w:tcPr>
          <w:p w14:paraId="52859937" w14:textId="77777777" w:rsidR="000D07EA" w:rsidRDefault="00BE7C89">
            <w:pPr>
              <w:pStyle w:val="BodyText"/>
              <w:spacing w:before="100" w:after="100"/>
              <w:jc w:val="center"/>
            </w:pPr>
            <w:r>
              <w:t>$10 Business Advantage BMB</w:t>
            </w:r>
          </w:p>
        </w:tc>
      </w:tr>
    </w:tbl>
    <w:p w14:paraId="26BDCA1A" w14:textId="77777777" w:rsidR="000D07EA" w:rsidRDefault="000D07EA">
      <w:pPr>
        <w:pStyle w:val="BodyText"/>
      </w:pPr>
    </w:p>
    <w:p w14:paraId="59FF0B41" w14:textId="77777777" w:rsidR="000D07EA" w:rsidRDefault="00BE7C89">
      <w:pPr>
        <w:pStyle w:val="Heading7"/>
        <w:rPr>
          <w:b/>
        </w:rPr>
      </w:pPr>
      <w:r>
        <w:rPr>
          <w:b/>
        </w:rPr>
        <w:t>Equipment</w:t>
      </w:r>
    </w:p>
    <w:p w14:paraId="285FA537" w14:textId="77777777" w:rsidR="000D07EA" w:rsidRDefault="00BE7C89">
      <w:pPr>
        <w:pStyle w:val="Heading8"/>
      </w:pPr>
      <w:r>
        <w:t xml:space="preserve">The Business Timeless Advantage offer includes a credit of up to $10 a month for 24 months which can be used to offset the BMB modem charge. </w:t>
      </w:r>
    </w:p>
    <w:p w14:paraId="7851F855" w14:textId="77777777" w:rsidR="000D07EA" w:rsidRDefault="00BE7C89">
      <w:pPr>
        <w:pStyle w:val="Heading8"/>
      </w:pPr>
      <w:r>
        <w:t xml:space="preserve">If </w:t>
      </w:r>
      <w:r>
        <w:rPr>
          <w:i/>
        </w:rPr>
        <w:t>you</w:t>
      </w:r>
      <w:r>
        <w:t xml:space="preserve">r Business Mobile Broadband service is cancelled before the end of the 24 months period </w:t>
      </w:r>
      <w:r>
        <w:rPr>
          <w:i/>
        </w:rPr>
        <w:t>you</w:t>
      </w:r>
      <w:r>
        <w:t xml:space="preserve"> will have to pay any BMB modem charge amount, which is calculated by multiplying the per month figure listed in Table 5 by the number of months remaining in the 24 month period.</w:t>
      </w:r>
    </w:p>
    <w:p w14:paraId="7BB0CE69" w14:textId="77777777" w:rsidR="000D07EA" w:rsidRDefault="00BE7C89">
      <w:pPr>
        <w:pStyle w:val="BodyText"/>
        <w:keepNext/>
        <w:ind w:left="1440"/>
        <w:rPr>
          <w:b/>
        </w:rPr>
      </w:pPr>
      <w:r>
        <w:rPr>
          <w:b/>
        </w:rPr>
        <w:t>Table 5 – Business Mobile Broadband Hardware charge</w:t>
      </w:r>
    </w:p>
    <w:tbl>
      <w:tblPr>
        <w:tblW w:w="4298"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920"/>
        <w:gridCol w:w="2920"/>
        <w:gridCol w:w="2918"/>
      </w:tblGrid>
      <w:tr w:rsidR="000D07EA" w14:paraId="4AD361B7" w14:textId="77777777">
        <w:trPr>
          <w:trHeight w:val="66"/>
        </w:trPr>
        <w:tc>
          <w:tcPr>
            <w:tcW w:w="1667" w:type="pct"/>
          </w:tcPr>
          <w:p w14:paraId="48EB83F6" w14:textId="77777777" w:rsidR="000D07EA" w:rsidRDefault="00BE7C89">
            <w:pPr>
              <w:pStyle w:val="BodyText"/>
              <w:keepNext/>
              <w:spacing w:before="100" w:after="100"/>
              <w:jc w:val="center"/>
              <w:rPr>
                <w:b/>
                <w:lang w:eastAsia="ko-KR"/>
              </w:rPr>
            </w:pPr>
            <w:r>
              <w:rPr>
                <w:b/>
                <w:lang w:eastAsia="ko-KR"/>
              </w:rPr>
              <w:t>Device</w:t>
            </w:r>
          </w:p>
        </w:tc>
        <w:tc>
          <w:tcPr>
            <w:tcW w:w="1667" w:type="pct"/>
          </w:tcPr>
          <w:p w14:paraId="0E324AEA" w14:textId="77777777" w:rsidR="000D07EA" w:rsidRDefault="00BE7C89">
            <w:pPr>
              <w:pStyle w:val="BodyText"/>
              <w:keepNext/>
              <w:spacing w:before="100" w:after="100"/>
              <w:jc w:val="center"/>
              <w:rPr>
                <w:b/>
                <w:lang w:eastAsia="ko-KR"/>
              </w:rPr>
            </w:pPr>
            <w:r>
              <w:rPr>
                <w:b/>
                <w:lang w:eastAsia="ko-KR"/>
              </w:rPr>
              <w:t>Upfront Cost</w:t>
            </w:r>
          </w:p>
        </w:tc>
        <w:tc>
          <w:tcPr>
            <w:tcW w:w="1667" w:type="pct"/>
          </w:tcPr>
          <w:p w14:paraId="3A709E9E" w14:textId="77777777" w:rsidR="000D07EA" w:rsidRDefault="00BE7C89">
            <w:pPr>
              <w:pStyle w:val="BodyText"/>
              <w:keepNext/>
              <w:spacing w:before="100" w:after="100"/>
              <w:jc w:val="center"/>
              <w:rPr>
                <w:b/>
                <w:lang w:eastAsia="ko-KR"/>
              </w:rPr>
            </w:pPr>
            <w:r>
              <w:rPr>
                <w:b/>
                <w:lang w:eastAsia="ko-KR"/>
              </w:rPr>
              <w:t>OMB Modem Charge</w:t>
            </w:r>
          </w:p>
          <w:p w14:paraId="0D81E24D" w14:textId="77777777" w:rsidR="000D07EA" w:rsidRDefault="00BE7C89">
            <w:pPr>
              <w:pStyle w:val="BodyText"/>
              <w:keepNext/>
              <w:spacing w:before="100" w:after="100"/>
              <w:jc w:val="center"/>
              <w:rPr>
                <w:b/>
                <w:lang w:eastAsia="ko-KR"/>
              </w:rPr>
            </w:pPr>
            <w:r>
              <w:rPr>
                <w:b/>
                <w:lang w:eastAsia="ko-KR"/>
              </w:rPr>
              <w:t>(per month)</w:t>
            </w:r>
          </w:p>
        </w:tc>
      </w:tr>
      <w:tr w:rsidR="000D07EA" w14:paraId="3B013A23" w14:textId="77777777">
        <w:trPr>
          <w:trHeight w:val="20"/>
        </w:trPr>
        <w:tc>
          <w:tcPr>
            <w:tcW w:w="1667" w:type="pct"/>
          </w:tcPr>
          <w:p w14:paraId="2A5876BC" w14:textId="77777777" w:rsidR="000D07EA" w:rsidRDefault="00BE7C89">
            <w:pPr>
              <w:pStyle w:val="BodyText"/>
              <w:spacing w:before="100" w:after="100"/>
              <w:jc w:val="center"/>
              <w:rPr>
                <w:b/>
                <w:lang w:eastAsia="ko-KR"/>
              </w:rPr>
            </w:pPr>
            <w:r>
              <w:rPr>
                <w:b/>
                <w:lang w:eastAsia="ko-KR"/>
              </w:rPr>
              <w:t>Huawei E1762</w:t>
            </w:r>
          </w:p>
        </w:tc>
        <w:tc>
          <w:tcPr>
            <w:tcW w:w="1667" w:type="pct"/>
          </w:tcPr>
          <w:p w14:paraId="1ECFC831" w14:textId="77777777" w:rsidR="000D07EA" w:rsidRDefault="00BE7C89">
            <w:pPr>
              <w:pStyle w:val="BodyText"/>
              <w:spacing w:before="100" w:after="100"/>
              <w:jc w:val="center"/>
              <w:rPr>
                <w:lang w:eastAsia="ko-KR"/>
              </w:rPr>
            </w:pPr>
            <w:r>
              <w:rPr>
                <w:lang w:eastAsia="ko-KR"/>
              </w:rPr>
              <w:t>$149</w:t>
            </w:r>
          </w:p>
        </w:tc>
        <w:tc>
          <w:tcPr>
            <w:tcW w:w="1667" w:type="pct"/>
          </w:tcPr>
          <w:p w14:paraId="243FB4A1" w14:textId="77777777" w:rsidR="000D07EA" w:rsidRDefault="00BE7C89">
            <w:pPr>
              <w:pStyle w:val="BodyText"/>
              <w:spacing w:before="100" w:after="100"/>
              <w:jc w:val="center"/>
              <w:rPr>
                <w:lang w:eastAsia="ko-KR"/>
              </w:rPr>
            </w:pPr>
            <w:r>
              <w:rPr>
                <w:lang w:eastAsia="ko-KR"/>
              </w:rPr>
              <w:t>$6.21</w:t>
            </w:r>
          </w:p>
        </w:tc>
      </w:tr>
    </w:tbl>
    <w:p w14:paraId="39202CA7" w14:textId="77777777" w:rsidR="000D07EA" w:rsidRDefault="000D07EA">
      <w:pPr>
        <w:pStyle w:val="BodyText"/>
      </w:pPr>
    </w:p>
    <w:p w14:paraId="225DD7A4" w14:textId="77777777" w:rsidR="000D07EA" w:rsidRDefault="00BE7C89">
      <w:pPr>
        <w:pStyle w:val="Heading7"/>
        <w:rPr>
          <w:b/>
        </w:rPr>
      </w:pPr>
      <w:r>
        <w:rPr>
          <w:b/>
        </w:rPr>
        <w:t>Eligible Calls, Messages and Pricing Plans</w:t>
      </w:r>
    </w:p>
    <w:p w14:paraId="0526614F" w14:textId="77777777" w:rsidR="000D07EA" w:rsidRDefault="00BE7C89">
      <w:pPr>
        <w:pStyle w:val="BodyText"/>
        <w:ind w:left="1440"/>
      </w:pPr>
      <w:r>
        <w:t xml:space="preserve">Table 6 below indicates whether a particular data type is 'eligible data usage' which counts towards the data value of </w:t>
      </w:r>
      <w:r>
        <w:rPr>
          <w:i/>
        </w:rPr>
        <w:t xml:space="preserve">your </w:t>
      </w:r>
      <w:r>
        <w:t>$10 Business Advantage BMB Plan.</w:t>
      </w:r>
    </w:p>
    <w:p w14:paraId="2C6FC60D" w14:textId="77777777" w:rsidR="000D07EA" w:rsidRDefault="00BE7C89">
      <w:pPr>
        <w:pStyle w:val="BodyText"/>
        <w:ind w:left="1440"/>
        <w:rPr>
          <w:b/>
        </w:rPr>
      </w:pPr>
      <w:r>
        <w:rPr>
          <w:b/>
        </w:rPr>
        <w:t>Table 6 – Eligible Data</w:t>
      </w:r>
    </w:p>
    <w:tbl>
      <w:tblPr>
        <w:tblW w:w="4298"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379"/>
        <w:gridCol w:w="4379"/>
      </w:tblGrid>
      <w:tr w:rsidR="000D07EA" w14:paraId="1C959471" w14:textId="77777777">
        <w:trPr>
          <w:trHeight w:val="20"/>
          <w:tblHeader/>
        </w:trPr>
        <w:tc>
          <w:tcPr>
            <w:tcW w:w="2500" w:type="pct"/>
            <w:hideMark/>
          </w:tcPr>
          <w:p w14:paraId="570DBCF5" w14:textId="77777777" w:rsidR="000D07EA" w:rsidRDefault="00BE7C89">
            <w:pPr>
              <w:pStyle w:val="BodyText"/>
              <w:spacing w:before="100" w:after="100"/>
              <w:rPr>
                <w:b/>
                <w:lang w:val="en-AU"/>
              </w:rPr>
            </w:pPr>
            <w:r>
              <w:rPr>
                <w:b/>
              </w:rPr>
              <w:t>Call Type</w:t>
            </w:r>
          </w:p>
        </w:tc>
        <w:tc>
          <w:tcPr>
            <w:tcW w:w="2500" w:type="pct"/>
            <w:hideMark/>
          </w:tcPr>
          <w:p w14:paraId="4516F3D9" w14:textId="77777777" w:rsidR="000D07EA" w:rsidRDefault="00BE7C89">
            <w:pPr>
              <w:pStyle w:val="BodyText"/>
              <w:spacing w:before="100" w:after="100"/>
              <w:rPr>
                <w:b/>
                <w:lang w:val="en-AU"/>
              </w:rPr>
            </w:pPr>
            <w:r>
              <w:rPr>
                <w:b/>
              </w:rPr>
              <w:t xml:space="preserve">Eligible Data </w:t>
            </w:r>
          </w:p>
        </w:tc>
      </w:tr>
      <w:tr w:rsidR="000D07EA" w14:paraId="74BBC952" w14:textId="77777777">
        <w:trPr>
          <w:trHeight w:val="20"/>
        </w:trPr>
        <w:tc>
          <w:tcPr>
            <w:tcW w:w="2500" w:type="pct"/>
            <w:hideMark/>
          </w:tcPr>
          <w:p w14:paraId="316C66E7" w14:textId="77777777" w:rsidR="000D07EA" w:rsidRDefault="00BE7C89">
            <w:pPr>
              <w:pStyle w:val="BodyText"/>
              <w:spacing w:before="100" w:after="100"/>
              <w:rPr>
                <w:lang w:val="en-AU"/>
              </w:rPr>
            </w:pPr>
            <w:r>
              <w:t>Standard National Voice Calls</w:t>
            </w:r>
          </w:p>
        </w:tc>
        <w:tc>
          <w:tcPr>
            <w:tcW w:w="2500" w:type="pct"/>
            <w:hideMark/>
          </w:tcPr>
          <w:p w14:paraId="26B47A12" w14:textId="77777777" w:rsidR="000D07EA" w:rsidRDefault="00BE7C89">
            <w:pPr>
              <w:pStyle w:val="BodyText"/>
              <w:spacing w:before="100" w:after="100"/>
              <w:rPr>
                <w:lang w:val="en-AU"/>
              </w:rPr>
            </w:pPr>
            <w:r>
              <w:t>No</w:t>
            </w:r>
          </w:p>
        </w:tc>
      </w:tr>
      <w:tr w:rsidR="000D07EA" w14:paraId="1AC63264" w14:textId="77777777">
        <w:trPr>
          <w:trHeight w:val="20"/>
        </w:trPr>
        <w:tc>
          <w:tcPr>
            <w:tcW w:w="2500" w:type="pct"/>
            <w:hideMark/>
          </w:tcPr>
          <w:p w14:paraId="63274540" w14:textId="77777777" w:rsidR="000D07EA" w:rsidRDefault="00BE7C89">
            <w:pPr>
              <w:pStyle w:val="BodyText"/>
              <w:spacing w:before="100" w:after="100"/>
              <w:rPr>
                <w:lang w:val="en-AU"/>
              </w:rPr>
            </w:pPr>
            <w:r>
              <w:lastRenderedPageBreak/>
              <w:t>Standard National Video Calls</w:t>
            </w:r>
          </w:p>
        </w:tc>
        <w:tc>
          <w:tcPr>
            <w:tcW w:w="2500" w:type="pct"/>
            <w:hideMark/>
          </w:tcPr>
          <w:p w14:paraId="749888D4" w14:textId="77777777" w:rsidR="000D07EA" w:rsidRDefault="00BE7C89">
            <w:pPr>
              <w:pStyle w:val="BodyText"/>
              <w:spacing w:before="100" w:after="100"/>
              <w:rPr>
                <w:lang w:val="en-AU"/>
              </w:rPr>
            </w:pPr>
            <w:r>
              <w:t>No</w:t>
            </w:r>
          </w:p>
        </w:tc>
      </w:tr>
      <w:tr w:rsidR="000D07EA" w14:paraId="78197BAF" w14:textId="77777777">
        <w:trPr>
          <w:trHeight w:val="20"/>
        </w:trPr>
        <w:tc>
          <w:tcPr>
            <w:tcW w:w="2500" w:type="pct"/>
            <w:hideMark/>
          </w:tcPr>
          <w:p w14:paraId="4087E618" w14:textId="77777777" w:rsidR="000D07EA" w:rsidRDefault="00BE7C89">
            <w:pPr>
              <w:pStyle w:val="BodyText"/>
              <w:spacing w:before="100" w:after="100"/>
              <w:rPr>
                <w:lang w:val="en-AU"/>
              </w:rPr>
            </w:pPr>
            <w:r>
              <w:t>Standard International Video Calls</w:t>
            </w:r>
          </w:p>
        </w:tc>
        <w:tc>
          <w:tcPr>
            <w:tcW w:w="2500" w:type="pct"/>
            <w:hideMark/>
          </w:tcPr>
          <w:p w14:paraId="3892F04D" w14:textId="77777777" w:rsidR="000D07EA" w:rsidRDefault="00BE7C89">
            <w:pPr>
              <w:pStyle w:val="BodyText"/>
              <w:spacing w:before="100" w:after="100"/>
              <w:rPr>
                <w:lang w:val="en-AU"/>
              </w:rPr>
            </w:pPr>
            <w:r>
              <w:t>No</w:t>
            </w:r>
          </w:p>
        </w:tc>
      </w:tr>
      <w:tr w:rsidR="000D07EA" w14:paraId="189ABD60" w14:textId="77777777">
        <w:trPr>
          <w:trHeight w:val="20"/>
        </w:trPr>
        <w:tc>
          <w:tcPr>
            <w:tcW w:w="2500" w:type="pct"/>
            <w:hideMark/>
          </w:tcPr>
          <w:p w14:paraId="04AACDE2" w14:textId="77777777" w:rsidR="000D07EA" w:rsidRDefault="00BE7C89">
            <w:pPr>
              <w:pStyle w:val="BodyText"/>
              <w:spacing w:before="100" w:after="100"/>
              <w:rPr>
                <w:lang w:val="en-AU"/>
              </w:rPr>
            </w:pPr>
            <w:r>
              <w:t>Standard National SMS</w:t>
            </w:r>
          </w:p>
        </w:tc>
        <w:tc>
          <w:tcPr>
            <w:tcW w:w="2500" w:type="pct"/>
            <w:hideMark/>
          </w:tcPr>
          <w:p w14:paraId="27A8FA65" w14:textId="77777777" w:rsidR="000D07EA" w:rsidRDefault="00BE7C89">
            <w:pPr>
              <w:pStyle w:val="BodyText"/>
              <w:spacing w:before="100" w:after="100"/>
              <w:rPr>
                <w:lang w:val="en-AU"/>
              </w:rPr>
            </w:pPr>
            <w:r>
              <w:t>No</w:t>
            </w:r>
          </w:p>
        </w:tc>
      </w:tr>
      <w:tr w:rsidR="000D07EA" w14:paraId="6961C5D2" w14:textId="77777777">
        <w:trPr>
          <w:trHeight w:val="20"/>
        </w:trPr>
        <w:tc>
          <w:tcPr>
            <w:tcW w:w="2500" w:type="pct"/>
            <w:hideMark/>
          </w:tcPr>
          <w:p w14:paraId="035FC6B3" w14:textId="77777777" w:rsidR="000D07EA" w:rsidRDefault="00BE7C89">
            <w:pPr>
              <w:pStyle w:val="BodyText"/>
              <w:spacing w:before="100" w:after="100"/>
              <w:rPr>
                <w:lang w:val="en-AU"/>
              </w:rPr>
            </w:pPr>
            <w:r>
              <w:t>Standard International SMS</w:t>
            </w:r>
          </w:p>
        </w:tc>
        <w:tc>
          <w:tcPr>
            <w:tcW w:w="2500" w:type="pct"/>
            <w:hideMark/>
          </w:tcPr>
          <w:p w14:paraId="0C5664B2" w14:textId="77777777" w:rsidR="000D07EA" w:rsidRDefault="00BE7C89">
            <w:pPr>
              <w:pStyle w:val="BodyText"/>
              <w:spacing w:before="100" w:after="100"/>
              <w:rPr>
                <w:lang w:val="en-AU"/>
              </w:rPr>
            </w:pPr>
            <w:r>
              <w:t>No</w:t>
            </w:r>
          </w:p>
        </w:tc>
      </w:tr>
      <w:tr w:rsidR="000D07EA" w14:paraId="6DD7D027" w14:textId="77777777">
        <w:trPr>
          <w:trHeight w:val="20"/>
        </w:trPr>
        <w:tc>
          <w:tcPr>
            <w:tcW w:w="2500" w:type="pct"/>
            <w:hideMark/>
          </w:tcPr>
          <w:p w14:paraId="66EEFC3A" w14:textId="77777777" w:rsidR="000D07EA" w:rsidRDefault="00BE7C89">
            <w:pPr>
              <w:pStyle w:val="BodyText"/>
              <w:spacing w:before="100" w:after="100"/>
              <w:rPr>
                <w:lang w:val="en-AU"/>
              </w:rPr>
            </w:pPr>
            <w:r>
              <w:t>Standard National MMS</w:t>
            </w:r>
          </w:p>
        </w:tc>
        <w:tc>
          <w:tcPr>
            <w:tcW w:w="2500" w:type="pct"/>
            <w:hideMark/>
          </w:tcPr>
          <w:p w14:paraId="794F2F55" w14:textId="77777777" w:rsidR="000D07EA" w:rsidRDefault="00BE7C89">
            <w:pPr>
              <w:pStyle w:val="BodyText"/>
              <w:spacing w:before="100" w:after="100"/>
              <w:rPr>
                <w:lang w:val="en-AU"/>
              </w:rPr>
            </w:pPr>
            <w:r>
              <w:t>No</w:t>
            </w:r>
          </w:p>
        </w:tc>
      </w:tr>
      <w:tr w:rsidR="000D07EA" w14:paraId="1692E416" w14:textId="77777777">
        <w:trPr>
          <w:trHeight w:val="20"/>
        </w:trPr>
        <w:tc>
          <w:tcPr>
            <w:tcW w:w="2500" w:type="pct"/>
            <w:hideMark/>
          </w:tcPr>
          <w:p w14:paraId="0B59672D" w14:textId="77777777" w:rsidR="000D07EA" w:rsidRDefault="00BE7C89">
            <w:pPr>
              <w:pStyle w:val="BodyText"/>
              <w:spacing w:before="100" w:after="100"/>
              <w:rPr>
                <w:lang w:val="en-AU"/>
              </w:rPr>
            </w:pPr>
            <w:r>
              <w:t>Standard International \MMS</w:t>
            </w:r>
          </w:p>
        </w:tc>
        <w:tc>
          <w:tcPr>
            <w:tcW w:w="2500" w:type="pct"/>
            <w:hideMark/>
          </w:tcPr>
          <w:p w14:paraId="7FD7D853" w14:textId="77777777" w:rsidR="000D07EA" w:rsidRDefault="00BE7C89">
            <w:pPr>
              <w:pStyle w:val="BodyText"/>
              <w:spacing w:before="100" w:after="100"/>
              <w:rPr>
                <w:lang w:val="en-AU"/>
              </w:rPr>
            </w:pPr>
            <w:r>
              <w:t>No</w:t>
            </w:r>
          </w:p>
        </w:tc>
      </w:tr>
      <w:tr w:rsidR="000D07EA" w14:paraId="7422D599" w14:textId="77777777">
        <w:trPr>
          <w:trHeight w:val="20"/>
        </w:trPr>
        <w:tc>
          <w:tcPr>
            <w:tcW w:w="2500" w:type="pct"/>
            <w:hideMark/>
          </w:tcPr>
          <w:p w14:paraId="1C44E441" w14:textId="77777777" w:rsidR="000D07EA" w:rsidRDefault="00BE7C89">
            <w:pPr>
              <w:pStyle w:val="BodyText"/>
              <w:spacing w:before="100" w:after="100"/>
              <w:rPr>
                <w:lang w:val="en-AU"/>
              </w:rPr>
            </w:pPr>
            <w:r>
              <w:t>Voicemail Diversions</w:t>
            </w:r>
          </w:p>
        </w:tc>
        <w:tc>
          <w:tcPr>
            <w:tcW w:w="2500" w:type="pct"/>
            <w:hideMark/>
          </w:tcPr>
          <w:p w14:paraId="19F5574D" w14:textId="77777777" w:rsidR="000D07EA" w:rsidRDefault="00BE7C89">
            <w:pPr>
              <w:pStyle w:val="BodyText"/>
              <w:spacing w:before="100" w:after="100"/>
              <w:rPr>
                <w:lang w:val="en-AU"/>
              </w:rPr>
            </w:pPr>
            <w:r>
              <w:t>No</w:t>
            </w:r>
          </w:p>
        </w:tc>
      </w:tr>
      <w:tr w:rsidR="000D07EA" w14:paraId="216A6638" w14:textId="77777777">
        <w:trPr>
          <w:trHeight w:val="20"/>
        </w:trPr>
        <w:tc>
          <w:tcPr>
            <w:tcW w:w="2500" w:type="pct"/>
            <w:hideMark/>
          </w:tcPr>
          <w:p w14:paraId="77694A5C" w14:textId="77777777" w:rsidR="000D07EA" w:rsidRDefault="00BE7C89">
            <w:pPr>
              <w:pStyle w:val="BodyText"/>
              <w:spacing w:before="100" w:after="100"/>
              <w:rPr>
                <w:lang w:val="en-AU"/>
              </w:rPr>
            </w:pPr>
            <w:r>
              <w:t>Voicemail Deposit and Retrievals</w:t>
            </w:r>
          </w:p>
        </w:tc>
        <w:tc>
          <w:tcPr>
            <w:tcW w:w="2500" w:type="pct"/>
            <w:hideMark/>
          </w:tcPr>
          <w:p w14:paraId="1D56AE53" w14:textId="77777777" w:rsidR="000D07EA" w:rsidRDefault="00BE7C89">
            <w:pPr>
              <w:pStyle w:val="BodyText"/>
              <w:spacing w:before="100" w:after="100"/>
              <w:rPr>
                <w:lang w:val="en-AU"/>
              </w:rPr>
            </w:pPr>
            <w:r>
              <w:t>No</w:t>
            </w:r>
          </w:p>
        </w:tc>
      </w:tr>
      <w:tr w:rsidR="000D07EA" w14:paraId="290E65D0" w14:textId="77777777">
        <w:trPr>
          <w:trHeight w:val="20"/>
        </w:trPr>
        <w:tc>
          <w:tcPr>
            <w:tcW w:w="2500" w:type="pct"/>
            <w:hideMark/>
          </w:tcPr>
          <w:p w14:paraId="09E03170" w14:textId="77777777" w:rsidR="000D07EA" w:rsidRDefault="00BE7C89">
            <w:pPr>
              <w:pStyle w:val="BodyText"/>
              <w:spacing w:before="100" w:after="100"/>
              <w:rPr>
                <w:lang w:val="en-AU"/>
              </w:rPr>
            </w:pPr>
            <w:r>
              <w:t>International Roaming and Diversion</w:t>
            </w:r>
          </w:p>
        </w:tc>
        <w:tc>
          <w:tcPr>
            <w:tcW w:w="2500" w:type="pct"/>
            <w:hideMark/>
          </w:tcPr>
          <w:p w14:paraId="78D546EA" w14:textId="77777777" w:rsidR="000D07EA" w:rsidRDefault="00BE7C89">
            <w:pPr>
              <w:pStyle w:val="BodyText"/>
              <w:spacing w:before="100" w:after="100"/>
              <w:rPr>
                <w:lang w:val="en-AU"/>
              </w:rPr>
            </w:pPr>
            <w:r>
              <w:t>No</w:t>
            </w:r>
          </w:p>
        </w:tc>
      </w:tr>
      <w:tr w:rsidR="000D07EA" w14:paraId="7A4BB2EA" w14:textId="77777777">
        <w:trPr>
          <w:trHeight w:val="20"/>
        </w:trPr>
        <w:tc>
          <w:tcPr>
            <w:tcW w:w="2500" w:type="pct"/>
            <w:hideMark/>
          </w:tcPr>
          <w:p w14:paraId="28649822" w14:textId="77777777" w:rsidR="000D07EA" w:rsidRDefault="00BE7C89">
            <w:pPr>
              <w:pStyle w:val="BodyText"/>
              <w:spacing w:before="100" w:after="100"/>
              <w:rPr>
                <w:lang w:val="en-AU"/>
              </w:rPr>
            </w:pPr>
            <w:r>
              <w:t>Premium SMS</w:t>
            </w:r>
          </w:p>
        </w:tc>
        <w:tc>
          <w:tcPr>
            <w:tcW w:w="2500" w:type="pct"/>
            <w:hideMark/>
          </w:tcPr>
          <w:p w14:paraId="362D1357" w14:textId="77777777" w:rsidR="000D07EA" w:rsidRDefault="00BE7C89">
            <w:pPr>
              <w:pStyle w:val="BodyText"/>
              <w:spacing w:before="100" w:after="100"/>
              <w:rPr>
                <w:lang w:val="en-AU"/>
              </w:rPr>
            </w:pPr>
            <w:r>
              <w:t>No</w:t>
            </w:r>
          </w:p>
        </w:tc>
      </w:tr>
      <w:tr w:rsidR="000D07EA" w14:paraId="182CE029" w14:textId="77777777">
        <w:trPr>
          <w:trHeight w:val="20"/>
        </w:trPr>
        <w:tc>
          <w:tcPr>
            <w:tcW w:w="2500" w:type="pct"/>
            <w:hideMark/>
          </w:tcPr>
          <w:p w14:paraId="451BB1B2" w14:textId="77777777" w:rsidR="000D07EA" w:rsidRDefault="00BE7C89">
            <w:pPr>
              <w:pStyle w:val="BodyText"/>
              <w:spacing w:before="100" w:after="100"/>
              <w:rPr>
                <w:lang w:val="en-AU"/>
              </w:rPr>
            </w:pPr>
            <w:r>
              <w:t>Premium Video</w:t>
            </w:r>
          </w:p>
        </w:tc>
        <w:tc>
          <w:tcPr>
            <w:tcW w:w="2500" w:type="pct"/>
            <w:hideMark/>
          </w:tcPr>
          <w:p w14:paraId="527CC8B6" w14:textId="77777777" w:rsidR="000D07EA" w:rsidRDefault="00BE7C89">
            <w:pPr>
              <w:pStyle w:val="BodyText"/>
              <w:spacing w:before="100" w:after="100"/>
              <w:rPr>
                <w:lang w:val="en-AU"/>
              </w:rPr>
            </w:pPr>
            <w:r>
              <w:t>No</w:t>
            </w:r>
          </w:p>
        </w:tc>
      </w:tr>
      <w:tr w:rsidR="000D07EA" w14:paraId="3F7CBCE1" w14:textId="77777777">
        <w:trPr>
          <w:trHeight w:val="20"/>
        </w:trPr>
        <w:tc>
          <w:tcPr>
            <w:tcW w:w="2500" w:type="pct"/>
            <w:hideMark/>
          </w:tcPr>
          <w:p w14:paraId="0CA049E8" w14:textId="77777777" w:rsidR="000D07EA" w:rsidRDefault="00BE7C89">
            <w:pPr>
              <w:pStyle w:val="BodyText"/>
              <w:spacing w:before="100" w:after="100"/>
              <w:rPr>
                <w:lang w:val="en-AU"/>
              </w:rPr>
            </w:pPr>
            <w:r>
              <w:t>Video Conferencing</w:t>
            </w:r>
          </w:p>
        </w:tc>
        <w:tc>
          <w:tcPr>
            <w:tcW w:w="2500" w:type="pct"/>
            <w:hideMark/>
          </w:tcPr>
          <w:p w14:paraId="7C4007EB" w14:textId="77777777" w:rsidR="000D07EA" w:rsidRDefault="00BE7C89">
            <w:pPr>
              <w:pStyle w:val="BodyText"/>
              <w:spacing w:before="100" w:after="100"/>
              <w:rPr>
                <w:lang w:val="en-AU"/>
              </w:rPr>
            </w:pPr>
            <w:r>
              <w:t>No</w:t>
            </w:r>
          </w:p>
        </w:tc>
      </w:tr>
      <w:tr w:rsidR="000D07EA" w14:paraId="42677AF4" w14:textId="77777777">
        <w:trPr>
          <w:trHeight w:val="20"/>
        </w:trPr>
        <w:tc>
          <w:tcPr>
            <w:tcW w:w="2500" w:type="pct"/>
            <w:hideMark/>
          </w:tcPr>
          <w:p w14:paraId="2F66DCFB" w14:textId="77777777" w:rsidR="000D07EA" w:rsidRDefault="00BE7C89">
            <w:pPr>
              <w:pStyle w:val="BodyText"/>
              <w:spacing w:before="100" w:after="100"/>
              <w:rPr>
                <w:lang w:val="en-AU"/>
              </w:rPr>
            </w:pPr>
            <w:r>
              <w:t>Optus Zoo Browsing</w:t>
            </w:r>
          </w:p>
        </w:tc>
        <w:tc>
          <w:tcPr>
            <w:tcW w:w="2500" w:type="pct"/>
            <w:hideMark/>
          </w:tcPr>
          <w:p w14:paraId="1838497A" w14:textId="77777777" w:rsidR="000D07EA" w:rsidRDefault="00BE7C89">
            <w:pPr>
              <w:pStyle w:val="BodyText"/>
              <w:spacing w:before="100" w:after="100"/>
              <w:rPr>
                <w:lang w:val="en-AU"/>
              </w:rPr>
            </w:pPr>
            <w:r>
              <w:t>Yes</w:t>
            </w:r>
          </w:p>
        </w:tc>
      </w:tr>
      <w:tr w:rsidR="000D07EA" w14:paraId="35B5AFC5" w14:textId="77777777">
        <w:trPr>
          <w:trHeight w:val="20"/>
        </w:trPr>
        <w:tc>
          <w:tcPr>
            <w:tcW w:w="2500" w:type="pct"/>
            <w:hideMark/>
          </w:tcPr>
          <w:p w14:paraId="16E4ADDF" w14:textId="77777777" w:rsidR="000D07EA" w:rsidRDefault="00BE7C89">
            <w:pPr>
              <w:pStyle w:val="BodyText"/>
              <w:spacing w:before="100" w:after="100"/>
              <w:rPr>
                <w:lang w:val="en-AU"/>
              </w:rPr>
            </w:pPr>
            <w:r>
              <w:t>Optus Zoo Downloads</w:t>
            </w:r>
          </w:p>
        </w:tc>
        <w:tc>
          <w:tcPr>
            <w:tcW w:w="2500" w:type="pct"/>
            <w:hideMark/>
          </w:tcPr>
          <w:p w14:paraId="5DEF0593" w14:textId="77777777" w:rsidR="000D07EA" w:rsidRDefault="00BE7C89">
            <w:pPr>
              <w:pStyle w:val="BodyText"/>
              <w:spacing w:before="100" w:after="100"/>
              <w:rPr>
                <w:lang w:val="en-AU"/>
              </w:rPr>
            </w:pPr>
            <w:r>
              <w:t>No</w:t>
            </w:r>
          </w:p>
        </w:tc>
      </w:tr>
      <w:tr w:rsidR="000D07EA" w14:paraId="3A3DD01F" w14:textId="77777777">
        <w:trPr>
          <w:trHeight w:val="20"/>
        </w:trPr>
        <w:tc>
          <w:tcPr>
            <w:tcW w:w="2500" w:type="pct"/>
            <w:hideMark/>
          </w:tcPr>
          <w:p w14:paraId="1624EA77" w14:textId="77777777" w:rsidR="000D07EA" w:rsidRDefault="00BE7C89">
            <w:pPr>
              <w:pStyle w:val="BodyText"/>
              <w:spacing w:before="100" w:after="100"/>
              <w:rPr>
                <w:lang w:val="en-AU"/>
              </w:rPr>
            </w:pPr>
            <w:r>
              <w:t>966 Zoo</w:t>
            </w:r>
          </w:p>
        </w:tc>
        <w:tc>
          <w:tcPr>
            <w:tcW w:w="2500" w:type="pct"/>
            <w:hideMark/>
          </w:tcPr>
          <w:p w14:paraId="21439F2A" w14:textId="77777777" w:rsidR="000D07EA" w:rsidRDefault="00BE7C89">
            <w:pPr>
              <w:pStyle w:val="BodyText"/>
              <w:spacing w:before="100" w:after="100"/>
              <w:rPr>
                <w:lang w:val="en-AU"/>
              </w:rPr>
            </w:pPr>
            <w:r>
              <w:t>No</w:t>
            </w:r>
          </w:p>
        </w:tc>
      </w:tr>
      <w:tr w:rsidR="000D07EA" w14:paraId="2FED0B48" w14:textId="77777777">
        <w:trPr>
          <w:trHeight w:val="20"/>
        </w:trPr>
        <w:tc>
          <w:tcPr>
            <w:tcW w:w="2500" w:type="pct"/>
            <w:hideMark/>
          </w:tcPr>
          <w:p w14:paraId="70660223" w14:textId="77777777" w:rsidR="000D07EA" w:rsidRDefault="00BE7C89">
            <w:pPr>
              <w:pStyle w:val="BodyText"/>
              <w:spacing w:before="100" w:after="100"/>
              <w:rPr>
                <w:lang w:val="en-AU"/>
              </w:rPr>
            </w:pPr>
            <w:r>
              <w:t>Mobile Internet Data usage</w:t>
            </w:r>
          </w:p>
        </w:tc>
        <w:tc>
          <w:tcPr>
            <w:tcW w:w="2500" w:type="pct"/>
            <w:hideMark/>
          </w:tcPr>
          <w:p w14:paraId="146CE07E" w14:textId="77777777" w:rsidR="000D07EA" w:rsidRDefault="00BE7C89">
            <w:pPr>
              <w:pStyle w:val="BodyText"/>
              <w:spacing w:before="100" w:after="100"/>
              <w:rPr>
                <w:lang w:val="en-AU"/>
              </w:rPr>
            </w:pPr>
            <w:r>
              <w:t>Yes</w:t>
            </w:r>
          </w:p>
        </w:tc>
      </w:tr>
      <w:tr w:rsidR="000D07EA" w14:paraId="52CC2176" w14:textId="77777777">
        <w:trPr>
          <w:trHeight w:val="20"/>
        </w:trPr>
        <w:tc>
          <w:tcPr>
            <w:tcW w:w="2500" w:type="pct"/>
            <w:hideMark/>
          </w:tcPr>
          <w:p w14:paraId="33D683E7" w14:textId="77777777" w:rsidR="000D07EA" w:rsidRDefault="00BE7C89">
            <w:pPr>
              <w:pStyle w:val="BodyText"/>
              <w:spacing w:before="100" w:after="100"/>
              <w:rPr>
                <w:lang w:val="en-AU"/>
              </w:rPr>
            </w:pPr>
            <w:r>
              <w:t>Data Used while Roaming Internationally</w:t>
            </w:r>
          </w:p>
        </w:tc>
        <w:tc>
          <w:tcPr>
            <w:tcW w:w="2500" w:type="pct"/>
            <w:hideMark/>
          </w:tcPr>
          <w:p w14:paraId="478EF7FB" w14:textId="77777777" w:rsidR="000D07EA" w:rsidRDefault="00BE7C89">
            <w:pPr>
              <w:pStyle w:val="BodyText"/>
              <w:spacing w:before="100" w:after="100"/>
              <w:rPr>
                <w:lang w:val="en-AU"/>
              </w:rPr>
            </w:pPr>
            <w:r>
              <w:t>No</w:t>
            </w:r>
          </w:p>
        </w:tc>
      </w:tr>
      <w:tr w:rsidR="000D07EA" w14:paraId="254FA8E8" w14:textId="77777777">
        <w:trPr>
          <w:trHeight w:val="20"/>
        </w:trPr>
        <w:tc>
          <w:tcPr>
            <w:tcW w:w="2500" w:type="pct"/>
            <w:hideMark/>
          </w:tcPr>
          <w:p w14:paraId="7C2C9E6E" w14:textId="77777777" w:rsidR="000D07EA" w:rsidRDefault="00BE7C89">
            <w:pPr>
              <w:pStyle w:val="BodyText"/>
              <w:spacing w:before="100" w:after="100"/>
              <w:rPr>
                <w:lang w:val="en-AU"/>
              </w:rPr>
            </w:pPr>
            <w:r>
              <w:t>Content Packs (unless specified in promotions)</w:t>
            </w:r>
          </w:p>
        </w:tc>
        <w:tc>
          <w:tcPr>
            <w:tcW w:w="2500" w:type="pct"/>
            <w:hideMark/>
          </w:tcPr>
          <w:p w14:paraId="56C6D7BF" w14:textId="77777777" w:rsidR="000D07EA" w:rsidRDefault="00BE7C89">
            <w:pPr>
              <w:pStyle w:val="BodyText"/>
              <w:spacing w:before="100" w:after="100"/>
              <w:rPr>
                <w:lang w:val="en-AU"/>
              </w:rPr>
            </w:pPr>
            <w:r>
              <w:t>No</w:t>
            </w:r>
          </w:p>
        </w:tc>
      </w:tr>
      <w:tr w:rsidR="000D07EA" w14:paraId="2E9CE8C6" w14:textId="77777777">
        <w:trPr>
          <w:trHeight w:val="20"/>
        </w:trPr>
        <w:tc>
          <w:tcPr>
            <w:tcW w:w="2500" w:type="pct"/>
            <w:hideMark/>
          </w:tcPr>
          <w:p w14:paraId="7C0FA30B" w14:textId="77777777" w:rsidR="000D07EA" w:rsidRDefault="00BE7C89">
            <w:pPr>
              <w:pStyle w:val="BodyText"/>
              <w:spacing w:before="100" w:after="100"/>
              <w:rPr>
                <w:lang w:val="en-AU"/>
              </w:rPr>
            </w:pPr>
            <w:r>
              <w:t>Mobile Instant Messaging – IM</w:t>
            </w:r>
          </w:p>
        </w:tc>
        <w:tc>
          <w:tcPr>
            <w:tcW w:w="2500" w:type="pct"/>
            <w:hideMark/>
          </w:tcPr>
          <w:p w14:paraId="7EEEEA3B" w14:textId="77777777" w:rsidR="000D07EA" w:rsidRDefault="00BE7C89">
            <w:pPr>
              <w:pStyle w:val="BodyText"/>
              <w:spacing w:before="100" w:after="100"/>
              <w:rPr>
                <w:lang w:val="en-AU"/>
              </w:rPr>
            </w:pPr>
            <w:r>
              <w:t>No</w:t>
            </w:r>
          </w:p>
        </w:tc>
      </w:tr>
      <w:tr w:rsidR="000D07EA" w14:paraId="571B86A2" w14:textId="77777777">
        <w:trPr>
          <w:trHeight w:val="20"/>
        </w:trPr>
        <w:tc>
          <w:tcPr>
            <w:tcW w:w="2500" w:type="pct"/>
            <w:hideMark/>
          </w:tcPr>
          <w:p w14:paraId="549AB9D6" w14:textId="77777777" w:rsidR="000D07EA" w:rsidRDefault="00BE7C89">
            <w:pPr>
              <w:pStyle w:val="BodyText"/>
              <w:spacing w:before="100" w:after="100"/>
              <w:rPr>
                <w:lang w:val="en-AU"/>
              </w:rPr>
            </w:pPr>
            <w:r>
              <w:t>TrueLocal Usage</w:t>
            </w:r>
          </w:p>
        </w:tc>
        <w:tc>
          <w:tcPr>
            <w:tcW w:w="2500" w:type="pct"/>
            <w:hideMark/>
          </w:tcPr>
          <w:p w14:paraId="4ED832A3" w14:textId="77777777" w:rsidR="000D07EA" w:rsidRDefault="00BE7C89">
            <w:pPr>
              <w:pStyle w:val="BodyText"/>
              <w:spacing w:before="100" w:after="100"/>
              <w:rPr>
                <w:lang w:val="en-AU"/>
              </w:rPr>
            </w:pPr>
            <w:r>
              <w:t>No</w:t>
            </w:r>
          </w:p>
        </w:tc>
      </w:tr>
      <w:tr w:rsidR="000D07EA" w14:paraId="066D9B46" w14:textId="77777777">
        <w:trPr>
          <w:trHeight w:val="20"/>
        </w:trPr>
        <w:tc>
          <w:tcPr>
            <w:tcW w:w="2500" w:type="pct"/>
            <w:hideMark/>
          </w:tcPr>
          <w:p w14:paraId="5608D283" w14:textId="77777777" w:rsidR="000D07EA" w:rsidRDefault="00BE7C89">
            <w:pPr>
              <w:pStyle w:val="BodyText"/>
              <w:spacing w:before="100" w:after="100"/>
              <w:rPr>
                <w:lang w:val="en-AU"/>
              </w:rPr>
            </w:pPr>
            <w:r>
              <w:t xml:space="preserve">Directory Assistance- 1223 </w:t>
            </w:r>
          </w:p>
        </w:tc>
        <w:tc>
          <w:tcPr>
            <w:tcW w:w="2500" w:type="pct"/>
            <w:hideMark/>
          </w:tcPr>
          <w:p w14:paraId="2B80C761" w14:textId="77777777" w:rsidR="000D07EA" w:rsidRDefault="00BE7C89">
            <w:pPr>
              <w:pStyle w:val="BodyText"/>
              <w:spacing w:before="100" w:after="100"/>
              <w:rPr>
                <w:lang w:val="en-AU"/>
              </w:rPr>
            </w:pPr>
            <w:r>
              <w:t>No</w:t>
            </w:r>
          </w:p>
        </w:tc>
      </w:tr>
      <w:tr w:rsidR="000D07EA" w14:paraId="54FA9F18" w14:textId="77777777">
        <w:trPr>
          <w:trHeight w:val="20"/>
        </w:trPr>
        <w:tc>
          <w:tcPr>
            <w:tcW w:w="2500" w:type="pct"/>
            <w:hideMark/>
          </w:tcPr>
          <w:p w14:paraId="35EA8766" w14:textId="77777777" w:rsidR="000D07EA" w:rsidRDefault="00BE7C89">
            <w:pPr>
              <w:pStyle w:val="BodyText"/>
              <w:spacing w:before="100" w:after="100"/>
              <w:rPr>
                <w:lang w:val="en-AU"/>
              </w:rPr>
            </w:pPr>
            <w:r>
              <w:t>19XX Numbers</w:t>
            </w:r>
          </w:p>
        </w:tc>
        <w:tc>
          <w:tcPr>
            <w:tcW w:w="2500" w:type="pct"/>
            <w:hideMark/>
          </w:tcPr>
          <w:p w14:paraId="01592C06" w14:textId="77777777" w:rsidR="000D07EA" w:rsidRDefault="00BE7C89">
            <w:pPr>
              <w:pStyle w:val="BodyText"/>
              <w:spacing w:before="100" w:after="100"/>
              <w:rPr>
                <w:lang w:val="en-AU"/>
              </w:rPr>
            </w:pPr>
            <w:r>
              <w:t>No</w:t>
            </w:r>
          </w:p>
        </w:tc>
      </w:tr>
      <w:tr w:rsidR="000D07EA" w14:paraId="1EBCADA5" w14:textId="77777777">
        <w:trPr>
          <w:trHeight w:val="20"/>
        </w:trPr>
        <w:tc>
          <w:tcPr>
            <w:tcW w:w="2500" w:type="pct"/>
            <w:hideMark/>
          </w:tcPr>
          <w:p w14:paraId="2DB64F69" w14:textId="77777777" w:rsidR="000D07EA" w:rsidRDefault="00BE7C89">
            <w:pPr>
              <w:pStyle w:val="BodyText"/>
              <w:spacing w:before="100" w:after="100"/>
              <w:rPr>
                <w:lang w:val="en-AU"/>
              </w:rPr>
            </w:pPr>
            <w:r>
              <w:t>1800, 13 and 1300 numbers</w:t>
            </w:r>
          </w:p>
        </w:tc>
        <w:tc>
          <w:tcPr>
            <w:tcW w:w="2500" w:type="pct"/>
            <w:hideMark/>
          </w:tcPr>
          <w:p w14:paraId="46113F78" w14:textId="77777777" w:rsidR="000D07EA" w:rsidRDefault="00BE7C89">
            <w:pPr>
              <w:pStyle w:val="BodyText"/>
              <w:spacing w:before="100" w:after="100"/>
              <w:rPr>
                <w:lang w:val="en-AU"/>
              </w:rPr>
            </w:pPr>
            <w:r>
              <w:t>No</w:t>
            </w:r>
          </w:p>
        </w:tc>
      </w:tr>
      <w:tr w:rsidR="000D07EA" w14:paraId="3C837092" w14:textId="77777777">
        <w:trPr>
          <w:trHeight w:val="20"/>
        </w:trPr>
        <w:tc>
          <w:tcPr>
            <w:tcW w:w="2500" w:type="pct"/>
            <w:hideMark/>
          </w:tcPr>
          <w:p w14:paraId="475E5E9E" w14:textId="77777777" w:rsidR="000D07EA" w:rsidRDefault="00BE7C89">
            <w:pPr>
              <w:pStyle w:val="BodyText"/>
              <w:spacing w:before="100" w:after="100"/>
              <w:rPr>
                <w:lang w:val="en-AU"/>
              </w:rPr>
            </w:pPr>
            <w:r>
              <w:t>124YES(937)</w:t>
            </w:r>
          </w:p>
        </w:tc>
        <w:tc>
          <w:tcPr>
            <w:tcW w:w="2500" w:type="pct"/>
            <w:hideMark/>
          </w:tcPr>
          <w:p w14:paraId="0A60BEC6" w14:textId="77777777" w:rsidR="000D07EA" w:rsidRDefault="00BE7C89">
            <w:pPr>
              <w:pStyle w:val="BodyText"/>
              <w:spacing w:before="100" w:after="100"/>
              <w:rPr>
                <w:lang w:val="en-AU"/>
              </w:rPr>
            </w:pPr>
            <w:r>
              <w:t>No</w:t>
            </w:r>
          </w:p>
        </w:tc>
      </w:tr>
      <w:tr w:rsidR="000D07EA" w14:paraId="0C1A24D9" w14:textId="77777777">
        <w:trPr>
          <w:trHeight w:val="20"/>
        </w:trPr>
        <w:tc>
          <w:tcPr>
            <w:tcW w:w="2500" w:type="pct"/>
            <w:hideMark/>
          </w:tcPr>
          <w:p w14:paraId="19826530" w14:textId="77777777" w:rsidR="000D07EA" w:rsidRDefault="00BE7C89">
            <w:pPr>
              <w:pStyle w:val="BodyText"/>
              <w:spacing w:before="100" w:after="100"/>
              <w:rPr>
                <w:lang w:val="en-AU"/>
              </w:rPr>
            </w:pPr>
            <w:r>
              <w:t>Insurance</w:t>
            </w:r>
          </w:p>
        </w:tc>
        <w:tc>
          <w:tcPr>
            <w:tcW w:w="2500" w:type="pct"/>
            <w:hideMark/>
          </w:tcPr>
          <w:p w14:paraId="3A70953D" w14:textId="77777777" w:rsidR="000D07EA" w:rsidRDefault="00BE7C89">
            <w:pPr>
              <w:pStyle w:val="BodyText"/>
              <w:spacing w:before="100" w:after="100"/>
              <w:rPr>
                <w:lang w:val="en-AU"/>
              </w:rPr>
            </w:pPr>
            <w:r>
              <w:t>No</w:t>
            </w:r>
          </w:p>
        </w:tc>
      </w:tr>
      <w:tr w:rsidR="000D07EA" w14:paraId="0928466B" w14:textId="77777777">
        <w:trPr>
          <w:trHeight w:val="20"/>
        </w:trPr>
        <w:tc>
          <w:tcPr>
            <w:tcW w:w="2500" w:type="pct"/>
            <w:hideMark/>
          </w:tcPr>
          <w:p w14:paraId="62044A95" w14:textId="77777777" w:rsidR="000D07EA" w:rsidRDefault="00BE7C89">
            <w:pPr>
              <w:pStyle w:val="BodyText"/>
              <w:spacing w:before="100" w:after="100"/>
              <w:rPr>
                <w:lang w:val="en-AU"/>
              </w:rPr>
            </w:pPr>
            <w:r>
              <w:t>Handset Payments</w:t>
            </w:r>
          </w:p>
        </w:tc>
        <w:tc>
          <w:tcPr>
            <w:tcW w:w="2500" w:type="pct"/>
            <w:hideMark/>
          </w:tcPr>
          <w:p w14:paraId="59AE2758" w14:textId="77777777" w:rsidR="000D07EA" w:rsidRDefault="00BE7C89">
            <w:pPr>
              <w:pStyle w:val="BodyText"/>
              <w:spacing w:before="100" w:after="100"/>
              <w:rPr>
                <w:lang w:val="en-AU"/>
              </w:rPr>
            </w:pPr>
            <w:r>
              <w:t>No</w:t>
            </w:r>
          </w:p>
        </w:tc>
      </w:tr>
      <w:tr w:rsidR="000D07EA" w14:paraId="2EE29B4B" w14:textId="77777777">
        <w:trPr>
          <w:trHeight w:val="20"/>
        </w:trPr>
        <w:tc>
          <w:tcPr>
            <w:tcW w:w="2500" w:type="pct"/>
            <w:hideMark/>
          </w:tcPr>
          <w:p w14:paraId="69223C7A" w14:textId="77777777" w:rsidR="000D07EA" w:rsidRDefault="00BE7C89">
            <w:pPr>
              <w:pStyle w:val="BodyText"/>
              <w:spacing w:before="100" w:after="100"/>
              <w:rPr>
                <w:lang w:val="en-AU"/>
              </w:rPr>
            </w:pPr>
            <w:r>
              <w:t>Calls to MobileSat</w:t>
            </w:r>
          </w:p>
        </w:tc>
        <w:tc>
          <w:tcPr>
            <w:tcW w:w="2500" w:type="pct"/>
            <w:hideMark/>
          </w:tcPr>
          <w:p w14:paraId="61770AB5" w14:textId="77777777" w:rsidR="000D07EA" w:rsidRDefault="00BE7C89">
            <w:pPr>
              <w:pStyle w:val="BodyText"/>
              <w:spacing w:before="100" w:after="100"/>
              <w:rPr>
                <w:lang w:val="en-AU"/>
              </w:rPr>
            </w:pPr>
            <w:r>
              <w:t>No</w:t>
            </w:r>
          </w:p>
        </w:tc>
      </w:tr>
      <w:tr w:rsidR="000D07EA" w14:paraId="1B3FC4C3" w14:textId="77777777">
        <w:trPr>
          <w:trHeight w:val="20"/>
        </w:trPr>
        <w:tc>
          <w:tcPr>
            <w:tcW w:w="2500" w:type="pct"/>
            <w:hideMark/>
          </w:tcPr>
          <w:p w14:paraId="466C6868" w14:textId="77777777" w:rsidR="000D07EA" w:rsidRDefault="00BE7C89">
            <w:pPr>
              <w:pStyle w:val="BodyText"/>
              <w:spacing w:before="100" w:after="100"/>
              <w:rPr>
                <w:lang w:val="en-AU"/>
              </w:rPr>
            </w:pPr>
            <w:r>
              <w:t>VOIP services</w:t>
            </w:r>
          </w:p>
        </w:tc>
        <w:tc>
          <w:tcPr>
            <w:tcW w:w="2500" w:type="pct"/>
            <w:hideMark/>
          </w:tcPr>
          <w:p w14:paraId="47EE47A8" w14:textId="77777777" w:rsidR="000D07EA" w:rsidRDefault="00BE7C89">
            <w:pPr>
              <w:pStyle w:val="BodyText"/>
              <w:spacing w:before="100" w:after="100"/>
              <w:rPr>
                <w:lang w:val="en-AU"/>
              </w:rPr>
            </w:pPr>
            <w:r>
              <w:t>No</w:t>
            </w:r>
          </w:p>
        </w:tc>
      </w:tr>
      <w:tr w:rsidR="000D07EA" w14:paraId="6804B99F" w14:textId="77777777">
        <w:trPr>
          <w:trHeight w:val="20"/>
        </w:trPr>
        <w:tc>
          <w:tcPr>
            <w:tcW w:w="2500" w:type="pct"/>
            <w:hideMark/>
          </w:tcPr>
          <w:p w14:paraId="786C2050" w14:textId="77777777" w:rsidR="000D07EA" w:rsidRDefault="00BE7C89">
            <w:pPr>
              <w:pStyle w:val="BodyText"/>
              <w:spacing w:before="100" w:after="100"/>
              <w:rPr>
                <w:lang w:val="en-AU"/>
              </w:rPr>
            </w:pPr>
            <w:r>
              <w:t>BlackBerry</w:t>
            </w:r>
          </w:p>
        </w:tc>
        <w:tc>
          <w:tcPr>
            <w:tcW w:w="2500" w:type="pct"/>
            <w:hideMark/>
          </w:tcPr>
          <w:p w14:paraId="67209518" w14:textId="77777777" w:rsidR="000D07EA" w:rsidRDefault="00BE7C89">
            <w:pPr>
              <w:pStyle w:val="BodyText"/>
              <w:spacing w:before="100" w:after="100"/>
              <w:rPr>
                <w:lang w:val="en-AU"/>
              </w:rPr>
            </w:pPr>
            <w:r>
              <w:t>No</w:t>
            </w:r>
          </w:p>
        </w:tc>
      </w:tr>
    </w:tbl>
    <w:p w14:paraId="1851E4ED" w14:textId="77777777" w:rsidR="000D07EA" w:rsidRDefault="000D07EA">
      <w:pPr>
        <w:pStyle w:val="BodyText"/>
        <w:rPr>
          <w:b/>
        </w:rPr>
      </w:pPr>
    </w:p>
    <w:p w14:paraId="18C81B9C" w14:textId="77777777" w:rsidR="000D07EA" w:rsidRDefault="00BE7C89">
      <w:pPr>
        <w:pStyle w:val="Heading7"/>
        <w:numPr>
          <w:ilvl w:val="0"/>
          <w:numId w:val="0"/>
        </w:numPr>
        <w:ind w:left="1440"/>
        <w:rPr>
          <w:b/>
          <w:lang w:val="en-AU"/>
        </w:rPr>
      </w:pPr>
      <w:r>
        <w:rPr>
          <w:b/>
        </w:rPr>
        <w:lastRenderedPageBreak/>
        <w:t>Table 7 - Charges for the $10 Business Advantage BMB</w:t>
      </w:r>
    </w:p>
    <w:tbl>
      <w:tblPr>
        <w:tblW w:w="4298"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379"/>
        <w:gridCol w:w="4379"/>
      </w:tblGrid>
      <w:tr w:rsidR="000D07EA" w14:paraId="4B1458DD" w14:textId="77777777">
        <w:trPr>
          <w:trHeight w:val="20"/>
          <w:tblHeader/>
        </w:trPr>
        <w:tc>
          <w:tcPr>
            <w:tcW w:w="2500" w:type="pct"/>
          </w:tcPr>
          <w:p w14:paraId="4FD7FC66" w14:textId="77777777" w:rsidR="000D07EA" w:rsidRDefault="000D07EA">
            <w:pPr>
              <w:pStyle w:val="BodyText"/>
              <w:spacing w:before="100" w:after="100"/>
              <w:rPr>
                <w:lang w:val="en-AU" w:eastAsia="ko-KR"/>
              </w:rPr>
            </w:pPr>
          </w:p>
        </w:tc>
        <w:tc>
          <w:tcPr>
            <w:tcW w:w="2500" w:type="pct"/>
            <w:vAlign w:val="bottom"/>
            <w:hideMark/>
          </w:tcPr>
          <w:p w14:paraId="2BFAAEE5" w14:textId="77777777" w:rsidR="000D07EA" w:rsidRDefault="00BE7C89">
            <w:pPr>
              <w:pStyle w:val="BodyText"/>
              <w:spacing w:before="100" w:after="100"/>
              <w:jc w:val="center"/>
              <w:rPr>
                <w:b/>
                <w:color w:val="000000"/>
                <w:lang w:val="en-AU" w:eastAsia="ko-KR"/>
              </w:rPr>
            </w:pPr>
            <w:r>
              <w:rPr>
                <w:b/>
                <w:color w:val="000000"/>
              </w:rPr>
              <w:t>$10 Business Advantage BMB plan</w:t>
            </w:r>
          </w:p>
        </w:tc>
      </w:tr>
      <w:tr w:rsidR="000D07EA" w14:paraId="2B7B3AA8" w14:textId="77777777">
        <w:trPr>
          <w:trHeight w:val="20"/>
        </w:trPr>
        <w:tc>
          <w:tcPr>
            <w:tcW w:w="2500" w:type="pct"/>
            <w:vAlign w:val="center"/>
            <w:hideMark/>
          </w:tcPr>
          <w:p w14:paraId="66A1EFAC" w14:textId="77777777" w:rsidR="000D07EA" w:rsidRDefault="00BE7C89">
            <w:pPr>
              <w:pStyle w:val="BodyText"/>
              <w:spacing w:before="100" w:after="100"/>
              <w:rPr>
                <w:b/>
                <w:color w:val="000000"/>
                <w:lang w:val="en-AU" w:eastAsia="ko-KR"/>
              </w:rPr>
            </w:pPr>
            <w:r>
              <w:rPr>
                <w:b/>
                <w:color w:val="000000"/>
                <w:lang w:eastAsia="ko-KR"/>
              </w:rPr>
              <w:t>Minimum Monthly charge</w:t>
            </w:r>
          </w:p>
        </w:tc>
        <w:tc>
          <w:tcPr>
            <w:tcW w:w="2500" w:type="pct"/>
            <w:vAlign w:val="center"/>
            <w:hideMark/>
          </w:tcPr>
          <w:p w14:paraId="6D748E12" w14:textId="77777777" w:rsidR="000D07EA" w:rsidRDefault="00BE7C89">
            <w:pPr>
              <w:pStyle w:val="BodyText"/>
              <w:spacing w:before="100" w:after="100"/>
              <w:rPr>
                <w:color w:val="000000"/>
                <w:lang w:val="en-AU" w:eastAsia="ko-KR"/>
              </w:rPr>
            </w:pPr>
            <w:r>
              <w:rPr>
                <w:color w:val="000000"/>
                <w:lang w:eastAsia="ko-KR"/>
              </w:rPr>
              <w:t>$10</w:t>
            </w:r>
          </w:p>
        </w:tc>
      </w:tr>
      <w:tr w:rsidR="000D07EA" w14:paraId="5F3F9B15" w14:textId="77777777">
        <w:trPr>
          <w:trHeight w:val="20"/>
        </w:trPr>
        <w:tc>
          <w:tcPr>
            <w:tcW w:w="2500" w:type="pct"/>
            <w:vAlign w:val="center"/>
            <w:hideMark/>
          </w:tcPr>
          <w:p w14:paraId="31860B16" w14:textId="77777777" w:rsidR="000D07EA" w:rsidRDefault="00BE7C89">
            <w:pPr>
              <w:pStyle w:val="BodyText"/>
              <w:spacing w:before="100" w:after="100"/>
              <w:rPr>
                <w:b/>
                <w:color w:val="000000"/>
                <w:lang w:val="en-AU" w:eastAsia="ko-KR"/>
              </w:rPr>
            </w:pPr>
            <w:r>
              <w:rPr>
                <w:b/>
                <w:color w:val="000000"/>
                <w:lang w:eastAsia="ko-KR"/>
              </w:rPr>
              <w:t>Included Data</w:t>
            </w:r>
          </w:p>
        </w:tc>
        <w:tc>
          <w:tcPr>
            <w:tcW w:w="2500" w:type="pct"/>
            <w:vAlign w:val="center"/>
            <w:hideMark/>
          </w:tcPr>
          <w:p w14:paraId="7E640C7A" w14:textId="77777777" w:rsidR="000D07EA" w:rsidRDefault="00BE7C89">
            <w:pPr>
              <w:pStyle w:val="BodyText"/>
              <w:spacing w:before="100" w:after="100"/>
              <w:rPr>
                <w:color w:val="000000"/>
                <w:lang w:val="en-AU" w:eastAsia="ko-KR"/>
              </w:rPr>
            </w:pPr>
            <w:r>
              <w:rPr>
                <w:color w:val="000000"/>
                <w:lang w:eastAsia="ko-KR"/>
              </w:rPr>
              <w:t>500MB</w:t>
            </w:r>
          </w:p>
        </w:tc>
      </w:tr>
      <w:tr w:rsidR="000D07EA" w14:paraId="1C1D1290" w14:textId="77777777">
        <w:trPr>
          <w:trHeight w:val="20"/>
        </w:trPr>
        <w:tc>
          <w:tcPr>
            <w:tcW w:w="2500" w:type="pct"/>
            <w:vAlign w:val="center"/>
            <w:hideMark/>
          </w:tcPr>
          <w:p w14:paraId="262D4AB9" w14:textId="77777777" w:rsidR="000D07EA" w:rsidRDefault="00BE7C89">
            <w:pPr>
              <w:pStyle w:val="BodyText"/>
              <w:spacing w:before="100" w:after="100"/>
              <w:rPr>
                <w:b/>
                <w:color w:val="000000"/>
                <w:lang w:val="en-AU" w:eastAsia="ko-KR"/>
              </w:rPr>
            </w:pPr>
            <w:r>
              <w:rPr>
                <w:b/>
                <w:color w:val="000000"/>
                <w:lang w:eastAsia="ko-KR"/>
              </w:rPr>
              <w:t xml:space="preserve">Date Excess Charges </w:t>
            </w:r>
          </w:p>
        </w:tc>
        <w:tc>
          <w:tcPr>
            <w:tcW w:w="2500" w:type="pct"/>
            <w:vAlign w:val="center"/>
            <w:hideMark/>
          </w:tcPr>
          <w:p w14:paraId="329869BC" w14:textId="77777777" w:rsidR="000D07EA" w:rsidRDefault="00BE7C89">
            <w:pPr>
              <w:pStyle w:val="BodyText"/>
              <w:spacing w:before="100" w:after="100"/>
              <w:rPr>
                <w:color w:val="000000"/>
                <w:lang w:val="en-AU" w:eastAsia="ko-KR"/>
              </w:rPr>
            </w:pPr>
            <w:r>
              <w:rPr>
                <w:color w:val="000000"/>
                <w:lang w:eastAsia="ko-KR"/>
              </w:rPr>
              <w:t>10c per MB or part thereof</w:t>
            </w:r>
          </w:p>
        </w:tc>
      </w:tr>
      <w:tr w:rsidR="000D07EA" w14:paraId="2484A8C7" w14:textId="77777777">
        <w:trPr>
          <w:trHeight w:val="20"/>
        </w:trPr>
        <w:tc>
          <w:tcPr>
            <w:tcW w:w="2500" w:type="pct"/>
            <w:vAlign w:val="center"/>
            <w:hideMark/>
          </w:tcPr>
          <w:p w14:paraId="225DD9CF" w14:textId="77777777" w:rsidR="000D07EA" w:rsidRDefault="00BE7C89">
            <w:pPr>
              <w:pStyle w:val="BodyText"/>
              <w:spacing w:before="100" w:after="100"/>
              <w:rPr>
                <w:b/>
                <w:color w:val="000000"/>
                <w:lang w:val="en-AU" w:eastAsia="ko-KR"/>
              </w:rPr>
            </w:pPr>
            <w:r>
              <w:rPr>
                <w:b/>
                <w:color w:val="000000"/>
                <w:lang w:eastAsia="ko-KR"/>
              </w:rPr>
              <w:t xml:space="preserve">Data Shares with Mobile Digital Optus Service Plan </w:t>
            </w:r>
          </w:p>
        </w:tc>
        <w:tc>
          <w:tcPr>
            <w:tcW w:w="2500" w:type="pct"/>
            <w:vAlign w:val="center"/>
            <w:hideMark/>
          </w:tcPr>
          <w:p w14:paraId="05799638" w14:textId="77777777" w:rsidR="000D07EA" w:rsidRDefault="00BE7C89">
            <w:pPr>
              <w:pStyle w:val="BodyText"/>
              <w:spacing w:before="100" w:after="100"/>
              <w:rPr>
                <w:color w:val="000000"/>
                <w:lang w:val="en-AU" w:eastAsia="ko-KR"/>
              </w:rPr>
            </w:pPr>
            <w:r>
              <w:rPr>
                <w:color w:val="000000"/>
                <w:lang w:eastAsia="ko-KR"/>
              </w:rPr>
              <w:t>Yes</w:t>
            </w:r>
          </w:p>
        </w:tc>
      </w:tr>
      <w:tr w:rsidR="000D07EA" w14:paraId="38517C01" w14:textId="77777777">
        <w:trPr>
          <w:trHeight w:val="20"/>
        </w:trPr>
        <w:tc>
          <w:tcPr>
            <w:tcW w:w="2500" w:type="pct"/>
            <w:vAlign w:val="center"/>
            <w:hideMark/>
          </w:tcPr>
          <w:p w14:paraId="104BAA3F" w14:textId="77777777" w:rsidR="000D07EA" w:rsidRDefault="00BE7C89">
            <w:pPr>
              <w:pStyle w:val="BodyText"/>
              <w:spacing w:before="100" w:after="100"/>
              <w:rPr>
                <w:b/>
                <w:color w:val="000000"/>
                <w:lang w:val="en-AU" w:eastAsia="ko-KR"/>
              </w:rPr>
            </w:pPr>
            <w:r>
              <w:rPr>
                <w:b/>
                <w:color w:val="000000"/>
                <w:lang w:eastAsia="ko-KR"/>
              </w:rPr>
              <w:t xml:space="preserve">Equipment Credit </w:t>
            </w:r>
          </w:p>
        </w:tc>
        <w:tc>
          <w:tcPr>
            <w:tcW w:w="2500" w:type="pct"/>
            <w:vAlign w:val="center"/>
            <w:hideMark/>
          </w:tcPr>
          <w:p w14:paraId="41CEDF18" w14:textId="77777777" w:rsidR="000D07EA" w:rsidRDefault="00BE7C89">
            <w:pPr>
              <w:pStyle w:val="BodyText"/>
              <w:spacing w:before="100" w:after="100"/>
              <w:rPr>
                <w:color w:val="000000"/>
                <w:lang w:val="en-AU" w:eastAsia="ko-KR"/>
              </w:rPr>
            </w:pPr>
            <w:r>
              <w:rPr>
                <w:color w:val="000000"/>
                <w:lang w:eastAsia="ko-KR"/>
              </w:rPr>
              <w:t>Up to $10 per month for 24 months</w:t>
            </w:r>
          </w:p>
        </w:tc>
      </w:tr>
    </w:tbl>
    <w:p w14:paraId="290EF580" w14:textId="77777777" w:rsidR="000D07EA" w:rsidRDefault="000D07EA">
      <w:pPr>
        <w:pStyle w:val="BodyText"/>
      </w:pPr>
      <w:bookmarkStart w:id="431" w:name="_Toc455147611"/>
      <w:bookmarkStart w:id="432" w:name="_Toc397941152"/>
      <w:bookmarkStart w:id="433" w:name="_Toc267937676"/>
    </w:p>
    <w:p w14:paraId="3DECFFC0" w14:textId="77777777" w:rsidR="000D07EA" w:rsidRDefault="00BE7C89">
      <w:pPr>
        <w:pStyle w:val="Heading4"/>
        <w:rPr>
          <w:lang w:val="en-AU"/>
        </w:rPr>
      </w:pPr>
      <w:bookmarkStart w:id="434" w:name="_Toc62644633"/>
      <w:r>
        <w:t>Business Complete Max iPhone BYO Plans (incorporating $49 Business Complete Max iPhone BYO, $59 Business Complete Max iPhone BYO, $79 Business Complete Max iPhone BYO and $10 Business Complete Max Bmb Plan) effective from 30 July 2010.</w:t>
      </w:r>
      <w:bookmarkEnd w:id="431"/>
      <w:bookmarkEnd w:id="432"/>
      <w:bookmarkEnd w:id="433"/>
      <w:bookmarkEnd w:id="434"/>
    </w:p>
    <w:p w14:paraId="481C30D5" w14:textId="77777777" w:rsidR="000D07EA" w:rsidRDefault="00BE7C89">
      <w:pPr>
        <w:pStyle w:val="Heading6"/>
        <w:ind w:left="0" w:firstLine="0"/>
      </w:pPr>
      <w:bookmarkStart w:id="435" w:name="_Toc397941153"/>
      <w:bookmarkStart w:id="436" w:name="_Toc267937677"/>
      <w:r>
        <w:t>What are the Optus Business Complete Max iPhone BYO Offers?</w:t>
      </w:r>
      <w:bookmarkEnd w:id="435"/>
      <w:bookmarkEnd w:id="436"/>
    </w:p>
    <w:p w14:paraId="7C8A2B2D" w14:textId="77777777" w:rsidR="000D07EA" w:rsidRDefault="00BE7C89">
      <w:pPr>
        <w:pStyle w:val="Heading7"/>
      </w:pPr>
      <w:r>
        <w:t>The Business Complete Max iPhone BYO offers incorporate one of the following  mobile plans:</w:t>
      </w:r>
    </w:p>
    <w:p w14:paraId="5BA74858" w14:textId="77777777" w:rsidR="000D07EA" w:rsidRDefault="00BE7C89">
      <w:pPr>
        <w:pStyle w:val="Heading8"/>
      </w:pPr>
      <w:r>
        <w:t>The Business Complete Max iPhone BYO plan; and may also incorporate the following Business Mobile Broadband plan:</w:t>
      </w:r>
    </w:p>
    <w:p w14:paraId="3B8F407F" w14:textId="77777777" w:rsidR="000D07EA" w:rsidRDefault="00BE7C89">
      <w:pPr>
        <w:pStyle w:val="Heading9"/>
      </w:pPr>
      <w:r>
        <w:t>The $10 Business Complete Max BMB Business Mobile Broadband plan.</w:t>
      </w:r>
    </w:p>
    <w:p w14:paraId="01AA0A87" w14:textId="77777777" w:rsidR="000D07EA" w:rsidRDefault="00BE7C89">
      <w:pPr>
        <w:pStyle w:val="BodyText"/>
        <w:ind w:left="1440"/>
      </w:pPr>
      <w:r>
        <w:t xml:space="preserve">and are a special offer under the </w:t>
      </w:r>
      <w:hyperlink r:id="rId287" w:history="1">
        <w:r>
          <w:rPr>
            <w:rStyle w:val="Hyperlink"/>
            <w:i/>
          </w:rPr>
          <w:t>SMB terms</w:t>
        </w:r>
      </w:hyperlink>
      <w:r>
        <w:t xml:space="preserve"> and relevant service descriptions.</w:t>
      </w:r>
    </w:p>
    <w:p w14:paraId="73628DF8" w14:textId="77777777" w:rsidR="000D07EA" w:rsidRDefault="00BE7C89">
      <w:pPr>
        <w:pStyle w:val="Heading7"/>
      </w:pPr>
      <w:r>
        <w:t xml:space="preserve">To be eligible to connect a Business Mobile Broadband service </w:t>
      </w:r>
      <w:r>
        <w:rPr>
          <w:i/>
        </w:rPr>
        <w:t>you</w:t>
      </w:r>
      <w:r>
        <w:t xml:space="preserve"> must have an </w:t>
      </w:r>
      <w:r>
        <w:rPr>
          <w:i/>
        </w:rPr>
        <w:t>Optus Mobile Service</w:t>
      </w:r>
      <w:r>
        <w:t xml:space="preserve"> on a Business Complete Max iPhone BYO plan. </w:t>
      </w:r>
    </w:p>
    <w:p w14:paraId="26ED5463" w14:textId="77777777" w:rsidR="000D07EA" w:rsidRDefault="00BE7C89">
      <w:pPr>
        <w:pStyle w:val="Heading7"/>
      </w:pPr>
      <w:r>
        <w:t xml:space="preserve">The Optus Business Complete Max iPhone BYO Offers are governed by the terms in this </w:t>
      </w:r>
      <w:r>
        <w:rPr>
          <w:i/>
        </w:rPr>
        <w:t xml:space="preserve">appendix </w:t>
      </w:r>
      <w:r>
        <w:t xml:space="preserve">and, to the extent that the terms are not inconsistent with the terms set out in this </w:t>
      </w:r>
      <w:r>
        <w:rPr>
          <w:i/>
        </w:rPr>
        <w:t>appendix</w:t>
      </w:r>
      <w:r>
        <w:t>,</w:t>
      </w:r>
      <w:r>
        <w:rPr>
          <w:i/>
        </w:rPr>
        <w:t xml:space="preserve"> </w:t>
      </w:r>
      <w:r>
        <w:t xml:space="preserve">by the terms of the </w:t>
      </w:r>
      <w:hyperlink r:id="rId288" w:history="1">
        <w:r>
          <w:rPr>
            <w:rStyle w:val="Hyperlink"/>
            <w:rFonts w:eastAsia="MS Gothic"/>
            <w:i/>
          </w:rPr>
          <w:t>SMB terms</w:t>
        </w:r>
      </w:hyperlink>
      <w:r>
        <w:t xml:space="preserve">, and each relevant </w:t>
      </w:r>
      <w:r>
        <w:rPr>
          <w:i/>
        </w:rPr>
        <w:t xml:space="preserve">service description </w:t>
      </w:r>
      <w:r>
        <w:t xml:space="preserve">and </w:t>
      </w:r>
      <w:r>
        <w:rPr>
          <w:i/>
        </w:rPr>
        <w:t>standard pricing table</w:t>
      </w:r>
      <w:r>
        <w:t xml:space="preserve">. </w:t>
      </w:r>
    </w:p>
    <w:p w14:paraId="79CB318E" w14:textId="77777777" w:rsidR="000D07EA" w:rsidRDefault="00BE7C89">
      <w:pPr>
        <w:pStyle w:val="Heading7"/>
      </w:pPr>
      <w:r>
        <w:t xml:space="preserve">To be eligible for the Optus Business Complete Max iPhone BYO Offer </w:t>
      </w:r>
      <w:r>
        <w:rPr>
          <w:i/>
        </w:rPr>
        <w:t xml:space="preserve">you </w:t>
      </w:r>
      <w:r>
        <w:t>must have at least 1 Optus Mobile Digital Service.</w:t>
      </w:r>
    </w:p>
    <w:p w14:paraId="0338FB64" w14:textId="77777777" w:rsidR="000D07EA" w:rsidRDefault="00BE7C89">
      <w:pPr>
        <w:pStyle w:val="Heading6"/>
        <w:ind w:left="0" w:firstLine="0"/>
      </w:pPr>
      <w:bookmarkStart w:id="437" w:name="_Toc397941154"/>
      <w:bookmarkStart w:id="438" w:name="_Toc267937678"/>
      <w:r>
        <w:t>What does the Optus Business Complete Max iPhone BYO Offers allow you to do?</w:t>
      </w:r>
      <w:bookmarkEnd w:id="437"/>
      <w:bookmarkEnd w:id="438"/>
    </w:p>
    <w:p w14:paraId="3C10E6E6" w14:textId="77777777" w:rsidR="000D07EA" w:rsidRDefault="00BE7C89">
      <w:pPr>
        <w:pStyle w:val="Heading7"/>
      </w:pPr>
      <w:r>
        <w:t xml:space="preserve">The Business Complete Max iPhone BYO Offer allows </w:t>
      </w:r>
      <w:r>
        <w:rPr>
          <w:i/>
        </w:rPr>
        <w:t>you</w:t>
      </w:r>
      <w:r>
        <w:t xml:space="preserve"> to use </w:t>
      </w:r>
      <w:r>
        <w:rPr>
          <w:i/>
        </w:rPr>
        <w:t>your</w:t>
      </w:r>
      <w:r>
        <w:t xml:space="preserve"> Optus Mobile Digital Service and a Business Mobile Broadband service where;</w:t>
      </w:r>
    </w:p>
    <w:p w14:paraId="6F76C88A" w14:textId="77777777" w:rsidR="000D07EA" w:rsidRDefault="00BE7C89">
      <w:pPr>
        <w:pStyle w:val="Heading8"/>
      </w:pPr>
      <w:r>
        <w:t>The included Data Value can be shared across Optus Mobile Digital Service(s) and Business Mobile Broadband Services(s) that are on the Business Complete Max iPhone BYO plan.</w:t>
      </w:r>
    </w:p>
    <w:p w14:paraId="3AF855D0" w14:textId="77777777" w:rsidR="000D07EA" w:rsidRDefault="00BE7C89">
      <w:pPr>
        <w:pStyle w:val="Heading8"/>
      </w:pPr>
      <w:r>
        <w:rPr>
          <w:b/>
          <w:snapToGrid w:val="0"/>
        </w:rPr>
        <w:t>Unlimited access to Facebook®, Twitter, LinkedIn, Ebay, Four Square, MySpace, within Australia.</w:t>
      </w:r>
      <w:r>
        <w:rPr>
          <w:snapToGrid w:val="0"/>
        </w:rPr>
        <w:t xml:space="preserve"> Offers cannot be shared and may be accessed on the mobile handset only. </w:t>
      </w:r>
    </w:p>
    <w:p w14:paraId="6400D3D1" w14:textId="77777777" w:rsidR="000D07EA" w:rsidRDefault="00BE7C89">
      <w:pPr>
        <w:pStyle w:val="Heading7"/>
      </w:pPr>
      <w:r>
        <w:rPr>
          <w:i/>
        </w:rPr>
        <w:t xml:space="preserve">You </w:t>
      </w:r>
      <w:r>
        <w:t xml:space="preserve">may purchase a </w:t>
      </w:r>
      <w:r>
        <w:rPr>
          <w:i/>
        </w:rPr>
        <w:t xml:space="preserve">mobile phone </w:t>
      </w:r>
      <w:r>
        <w:t xml:space="preserve">with a 24 month </w:t>
      </w:r>
      <w:r>
        <w:rPr>
          <w:i/>
        </w:rPr>
        <w:t xml:space="preserve">equipment term </w:t>
      </w:r>
      <w:r>
        <w:t xml:space="preserve">under a </w:t>
      </w:r>
      <w:r>
        <w:rPr>
          <w:i/>
        </w:rPr>
        <w:t>mobile equipment payment plan</w:t>
      </w:r>
      <w:r>
        <w:t xml:space="preserve"> on a 24 month </w:t>
      </w:r>
      <w:r>
        <w:rPr>
          <w:i/>
        </w:rPr>
        <w:t>fixed length agreement</w:t>
      </w:r>
      <w:r>
        <w:t xml:space="preserve">.  If </w:t>
      </w:r>
      <w:r>
        <w:rPr>
          <w:i/>
        </w:rPr>
        <w:t>you</w:t>
      </w:r>
      <w:r>
        <w:t xml:space="preserve"> agree to a 24 month </w:t>
      </w:r>
      <w:r>
        <w:rPr>
          <w:i/>
        </w:rPr>
        <w:t>fixed length agreement</w:t>
      </w:r>
      <w:r>
        <w:t xml:space="preserve"> the price of </w:t>
      </w:r>
      <w:r>
        <w:rPr>
          <w:i/>
        </w:rPr>
        <w:t>mobile phones</w:t>
      </w:r>
      <w:r>
        <w:t xml:space="preserve"> available is less than if </w:t>
      </w:r>
      <w:r>
        <w:rPr>
          <w:i/>
        </w:rPr>
        <w:t>you</w:t>
      </w:r>
      <w:r>
        <w:t xml:space="preserve"> only agree to a </w:t>
      </w:r>
      <w:r>
        <w:rPr>
          <w:i/>
        </w:rPr>
        <w:t xml:space="preserve">non-fixed length agreement. </w:t>
      </w:r>
    </w:p>
    <w:p w14:paraId="0ECAEF2A" w14:textId="77777777" w:rsidR="000D07EA" w:rsidRDefault="00BE7C89">
      <w:pPr>
        <w:pStyle w:val="Heading7"/>
      </w:pPr>
      <w:r>
        <w:lastRenderedPageBreak/>
        <w:t>The charges for the Business Complete Max iPhone BYO Offers are set out in Table 2A.</w:t>
      </w:r>
    </w:p>
    <w:p w14:paraId="1A45E9DD" w14:textId="77777777" w:rsidR="000D07EA" w:rsidRDefault="00BE7C89">
      <w:pPr>
        <w:pStyle w:val="Heading7"/>
      </w:pPr>
      <w:r>
        <w:t xml:space="preserve">If </w:t>
      </w:r>
      <w:r>
        <w:rPr>
          <w:i/>
        </w:rPr>
        <w:t xml:space="preserve">you </w:t>
      </w:r>
      <w:r>
        <w:t xml:space="preserve">purchase a Business Complete Max iPhone BYO plan, </w:t>
      </w:r>
      <w:r>
        <w:rPr>
          <w:i/>
        </w:rPr>
        <w:t>you</w:t>
      </w:r>
      <w:r>
        <w:t xml:space="preserve"> can purchase additional data by purchasing a $10 Business Complete Max BMB Data bolt on. The included data of the Business Data bolt applies to all </w:t>
      </w:r>
      <w:r>
        <w:rPr>
          <w:i/>
        </w:rPr>
        <w:t>Optus Mobile Digital Service and Business Mobile Broadband Services</w:t>
      </w:r>
      <w:r>
        <w:t xml:space="preserve"> that are connected on a Business Complete Max iPhone BYO plan and that are on the same account. </w:t>
      </w:r>
    </w:p>
    <w:p w14:paraId="07298154" w14:textId="77777777" w:rsidR="000D07EA" w:rsidRDefault="00BE7C89">
      <w:pPr>
        <w:pStyle w:val="Heading8"/>
      </w:pPr>
      <w:r>
        <w:t xml:space="preserve">Business Data Bolt on is available to </w:t>
      </w:r>
      <w:r>
        <w:rPr>
          <w:i/>
        </w:rPr>
        <w:t xml:space="preserve">you </w:t>
      </w:r>
      <w:r>
        <w:t xml:space="preserve">if, </w:t>
      </w:r>
      <w:r>
        <w:rPr>
          <w:i/>
        </w:rPr>
        <w:t>your</w:t>
      </w:r>
      <w:r>
        <w:t xml:space="preserve"> </w:t>
      </w:r>
      <w:r>
        <w:rPr>
          <w:i/>
        </w:rPr>
        <w:t>mobile service</w:t>
      </w:r>
      <w:r>
        <w:t>s connect and remain connected to a Business Complete Max iPhone BYO plans.</w:t>
      </w:r>
    </w:p>
    <w:p w14:paraId="5E533646" w14:textId="77777777" w:rsidR="000D07EA" w:rsidRDefault="00BE7C89">
      <w:pPr>
        <w:pStyle w:val="Heading8"/>
      </w:pPr>
      <w:r>
        <w:t>The Business Data Bolt Ons provide</w:t>
      </w:r>
      <w:r>
        <w:rPr>
          <w:i/>
        </w:rPr>
        <w:t xml:space="preserve"> you </w:t>
      </w:r>
      <w:r>
        <w:t xml:space="preserve">with an additional 500MB of data to use each month from the </w:t>
      </w:r>
      <w:r>
        <w:rPr>
          <w:i/>
        </w:rPr>
        <w:t xml:space="preserve">Optus Mobile Digital Service or Business Mobile Broadband Services </w:t>
      </w:r>
      <w:r>
        <w:t xml:space="preserve">connected on </w:t>
      </w:r>
      <w:r>
        <w:rPr>
          <w:i/>
        </w:rPr>
        <w:t>your</w:t>
      </w:r>
      <w:r>
        <w:t xml:space="preserve"> plan and account.  If </w:t>
      </w:r>
      <w:r>
        <w:rPr>
          <w:i/>
        </w:rPr>
        <w:t>you</w:t>
      </w:r>
      <w:r>
        <w:t xml:space="preserve"> exceed </w:t>
      </w:r>
      <w:r>
        <w:rPr>
          <w:i/>
        </w:rPr>
        <w:t>your</w:t>
      </w:r>
      <w:r>
        <w:t xml:space="preserve"> included data amount excess charges as stated in Table 1 apply.</w:t>
      </w:r>
    </w:p>
    <w:p w14:paraId="39561590" w14:textId="77777777" w:rsidR="000D07EA" w:rsidRDefault="00BE7C89">
      <w:pPr>
        <w:pStyle w:val="Heading8"/>
      </w:pPr>
      <w:r>
        <w:t>Business Data Bolt Ons , Data Usage Allowance is set out  in Table 1, the eligible usage is set out in Table 1B.</w:t>
      </w:r>
    </w:p>
    <w:p w14:paraId="36861200" w14:textId="77777777" w:rsidR="000D07EA" w:rsidRDefault="00BE7C89">
      <w:pPr>
        <w:pStyle w:val="BodyText"/>
        <w:ind w:left="1440"/>
        <w:rPr>
          <w:b/>
        </w:rPr>
      </w:pPr>
      <w:r>
        <w:rPr>
          <w:b/>
        </w:rPr>
        <w:t>Table 1 – $10 Business Complete Max BMB Data Bolt On</w:t>
      </w:r>
    </w:p>
    <w:tbl>
      <w:tblPr>
        <w:tblW w:w="4300" w:type="pct"/>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0"/>
        <w:gridCol w:w="2920"/>
        <w:gridCol w:w="2922"/>
      </w:tblGrid>
      <w:tr w:rsidR="000D07EA" w14:paraId="301F5690" w14:textId="77777777">
        <w:tc>
          <w:tcPr>
            <w:tcW w:w="1666" w:type="pct"/>
            <w:hideMark/>
          </w:tcPr>
          <w:p w14:paraId="506D57ED" w14:textId="77777777" w:rsidR="000D07EA" w:rsidRDefault="00BE7C89">
            <w:pPr>
              <w:pStyle w:val="BodyText"/>
              <w:spacing w:before="100" w:after="100"/>
              <w:jc w:val="center"/>
              <w:rPr>
                <w:b/>
                <w:lang w:val="en-AU"/>
              </w:rPr>
            </w:pPr>
            <w:r>
              <w:rPr>
                <w:b/>
              </w:rPr>
              <w:t xml:space="preserve">Monthly </w:t>
            </w:r>
            <w:r>
              <w:rPr>
                <w:b/>
                <w:i/>
              </w:rPr>
              <w:t>Access Fee</w:t>
            </w:r>
          </w:p>
        </w:tc>
        <w:tc>
          <w:tcPr>
            <w:tcW w:w="1666" w:type="pct"/>
            <w:hideMark/>
          </w:tcPr>
          <w:p w14:paraId="0DD2F558" w14:textId="77777777" w:rsidR="000D07EA" w:rsidRDefault="00BE7C89">
            <w:pPr>
              <w:pStyle w:val="BodyText"/>
              <w:spacing w:before="100" w:after="100"/>
              <w:jc w:val="center"/>
              <w:rPr>
                <w:b/>
                <w:lang w:val="en-AU"/>
              </w:rPr>
            </w:pPr>
            <w:r>
              <w:rPr>
                <w:b/>
              </w:rPr>
              <w:t>Data Usage Allowance</w:t>
            </w:r>
          </w:p>
        </w:tc>
        <w:tc>
          <w:tcPr>
            <w:tcW w:w="1667" w:type="pct"/>
            <w:hideMark/>
          </w:tcPr>
          <w:p w14:paraId="711AE710" w14:textId="77777777" w:rsidR="000D07EA" w:rsidRDefault="00BE7C89">
            <w:pPr>
              <w:pStyle w:val="BodyText"/>
              <w:spacing w:before="100" w:after="100"/>
              <w:jc w:val="center"/>
              <w:rPr>
                <w:b/>
                <w:lang w:val="en-AU"/>
              </w:rPr>
            </w:pPr>
            <w:r>
              <w:rPr>
                <w:b/>
              </w:rPr>
              <w:t>Excess Charges</w:t>
            </w:r>
          </w:p>
        </w:tc>
      </w:tr>
      <w:tr w:rsidR="000D07EA" w14:paraId="73C8A078" w14:textId="77777777">
        <w:tc>
          <w:tcPr>
            <w:tcW w:w="1666" w:type="pct"/>
            <w:hideMark/>
          </w:tcPr>
          <w:p w14:paraId="3D488EA1" w14:textId="77777777" w:rsidR="000D07EA" w:rsidRDefault="00BE7C89">
            <w:pPr>
              <w:pStyle w:val="BodyText"/>
              <w:spacing w:before="100" w:after="100"/>
              <w:jc w:val="center"/>
              <w:rPr>
                <w:lang w:val="en-AU"/>
              </w:rPr>
            </w:pPr>
            <w:r>
              <w:t>$10</w:t>
            </w:r>
          </w:p>
        </w:tc>
        <w:tc>
          <w:tcPr>
            <w:tcW w:w="1666" w:type="pct"/>
            <w:hideMark/>
          </w:tcPr>
          <w:p w14:paraId="239498CC" w14:textId="77777777" w:rsidR="000D07EA" w:rsidRDefault="00BE7C89">
            <w:pPr>
              <w:pStyle w:val="BodyText"/>
              <w:spacing w:before="100" w:after="100"/>
              <w:jc w:val="center"/>
              <w:rPr>
                <w:lang w:val="en-AU"/>
              </w:rPr>
            </w:pPr>
            <w:r>
              <w:t>500MB</w:t>
            </w:r>
          </w:p>
        </w:tc>
        <w:tc>
          <w:tcPr>
            <w:tcW w:w="1667" w:type="pct"/>
            <w:hideMark/>
          </w:tcPr>
          <w:p w14:paraId="16B68994" w14:textId="77777777" w:rsidR="000D07EA" w:rsidRDefault="00BE7C89">
            <w:pPr>
              <w:pStyle w:val="BodyText"/>
              <w:spacing w:before="100" w:after="100"/>
              <w:jc w:val="center"/>
              <w:rPr>
                <w:lang w:val="en-AU"/>
              </w:rPr>
            </w:pPr>
            <w:r>
              <w:t>10c per MB or part thereof</w:t>
            </w:r>
          </w:p>
        </w:tc>
      </w:tr>
    </w:tbl>
    <w:p w14:paraId="72C11427" w14:textId="77777777" w:rsidR="000D07EA" w:rsidRDefault="000D07EA">
      <w:pPr>
        <w:pStyle w:val="BodyText"/>
      </w:pPr>
      <w:bookmarkStart w:id="439" w:name="_Toc397941155"/>
      <w:bookmarkStart w:id="440" w:name="_Toc267937679"/>
    </w:p>
    <w:p w14:paraId="742F000B" w14:textId="77777777" w:rsidR="000D07EA" w:rsidRDefault="00BE7C89">
      <w:pPr>
        <w:pStyle w:val="Heading6"/>
        <w:ind w:left="0" w:firstLine="0"/>
        <w:rPr>
          <w:b/>
          <w:lang w:val="en-AU"/>
        </w:rPr>
      </w:pPr>
      <w:r>
        <w:t>Eligibility</w:t>
      </w:r>
      <w:bookmarkEnd w:id="439"/>
      <w:bookmarkEnd w:id="440"/>
    </w:p>
    <w:p w14:paraId="4A21AB25" w14:textId="77777777" w:rsidR="000D07EA" w:rsidRDefault="00BE7C89">
      <w:pPr>
        <w:pStyle w:val="BodyText"/>
        <w:ind w:left="720"/>
      </w:pPr>
      <w:r>
        <w:t xml:space="preserve">The Business Complete Max iPhone BYO plans are only available to customers </w:t>
      </w:r>
      <w:r>
        <w:rPr>
          <w:i/>
        </w:rPr>
        <w:t>we</w:t>
      </w:r>
      <w:r>
        <w:t xml:space="preserve"> classify as </w:t>
      </w:r>
      <w:r>
        <w:rPr>
          <w:i/>
        </w:rPr>
        <w:t>small or medium business</w:t>
      </w:r>
      <w:r>
        <w:t xml:space="preserve"> customers who apply to connect to the service on the following terms:</w:t>
      </w:r>
    </w:p>
    <w:p w14:paraId="08AF7BBE" w14:textId="77777777" w:rsidR="000D07EA" w:rsidRDefault="00BE7C89">
      <w:pPr>
        <w:pStyle w:val="Heading7"/>
      </w:pPr>
      <w:r>
        <w:t>Connect to a Business Complete Max iPhone BYO plan over 12 months and either, connect their</w:t>
      </w:r>
      <w:r>
        <w:rPr>
          <w:i/>
        </w:rPr>
        <w:t xml:space="preserve"> </w:t>
      </w:r>
      <w:r>
        <w:t>own iPhone</w:t>
      </w:r>
      <w:r>
        <w:rPr>
          <w:i/>
        </w:rPr>
        <w:t xml:space="preserve"> </w:t>
      </w:r>
      <w:r>
        <w:t>or purchase an iPhone</w:t>
      </w:r>
      <w:r>
        <w:rPr>
          <w:i/>
        </w:rPr>
        <w:t xml:space="preserve"> </w:t>
      </w:r>
      <w:r>
        <w:t xml:space="preserve">from </w:t>
      </w:r>
      <w:r>
        <w:rPr>
          <w:i/>
        </w:rPr>
        <w:t xml:space="preserve">us </w:t>
      </w:r>
      <w:r>
        <w:t xml:space="preserve">under a </w:t>
      </w:r>
      <w:r>
        <w:rPr>
          <w:i/>
        </w:rPr>
        <w:t>mobile equipment payment plan</w:t>
      </w:r>
      <w:r>
        <w:t>.</w:t>
      </w:r>
    </w:p>
    <w:p w14:paraId="4F2ADE92" w14:textId="77777777" w:rsidR="000D07EA" w:rsidRDefault="00BE7C89">
      <w:pPr>
        <w:pStyle w:val="Heading7"/>
      </w:pPr>
      <w:r>
        <w:rPr>
          <w:snapToGrid w:val="0"/>
        </w:rPr>
        <w:t xml:space="preserve">In order to be and remain eligible for the Business Complete Max iPhone BYO Offers, </w:t>
      </w:r>
      <w:r>
        <w:rPr>
          <w:i/>
          <w:snapToGrid w:val="0"/>
        </w:rPr>
        <w:t xml:space="preserve">you </w:t>
      </w:r>
      <w:r>
        <w:rPr>
          <w:snapToGrid w:val="0"/>
        </w:rPr>
        <w:t xml:space="preserve">must: </w:t>
      </w:r>
    </w:p>
    <w:p w14:paraId="3AA969DF" w14:textId="77777777" w:rsidR="000D07EA" w:rsidRDefault="00BE7C89">
      <w:pPr>
        <w:pStyle w:val="Heading8"/>
        <w:rPr>
          <w:snapToGrid w:val="0"/>
        </w:rPr>
      </w:pPr>
      <w:r>
        <w:rPr>
          <w:snapToGrid w:val="0"/>
        </w:rPr>
        <w:t>Elect to take up a Business Mobile Broadband (BMB) Service must maintain a ratio of at least 1 Optus Mobile Digital Service to 1 Business Mobile Broadband Service.</w:t>
      </w:r>
    </w:p>
    <w:p w14:paraId="104F59E5" w14:textId="77777777" w:rsidR="000D07EA" w:rsidRDefault="00BE7C89">
      <w:pPr>
        <w:pStyle w:val="BodyText"/>
        <w:ind w:left="2160"/>
      </w:pPr>
      <w:r>
        <w:t xml:space="preserve">For example </w:t>
      </w:r>
      <w:r>
        <w:rPr>
          <w:i/>
        </w:rPr>
        <w:t>you</w:t>
      </w:r>
      <w:r>
        <w:t xml:space="preserve"> may connect 2 $59 Business Complete Max iPhone BYO Mobile Services and 2 $10 Business Complete Max BMB Services or </w:t>
      </w:r>
      <w:r>
        <w:rPr>
          <w:i/>
        </w:rPr>
        <w:t>you</w:t>
      </w:r>
      <w:r>
        <w:t xml:space="preserve"> may connect 2 $59 Business Complete Max BYO iPhone Services and 1 $10 Business Complete Max BMB service. However, </w:t>
      </w:r>
      <w:r>
        <w:rPr>
          <w:i/>
        </w:rPr>
        <w:t>you</w:t>
      </w:r>
      <w:r>
        <w:t xml:space="preserve"> may not have 1 $59 Business Complete Max iPhone BYO Mobile Service and 2 $10 Business Complete Max BMB Services.</w:t>
      </w:r>
    </w:p>
    <w:p w14:paraId="4F385D6A" w14:textId="77777777" w:rsidR="000D07EA" w:rsidRDefault="00BE7C89">
      <w:pPr>
        <w:pStyle w:val="Heading8"/>
      </w:pPr>
      <w:r>
        <w:t>connect all relevant</w:t>
      </w:r>
      <w:r>
        <w:rPr>
          <w:i/>
        </w:rPr>
        <w:t xml:space="preserve"> services</w:t>
      </w:r>
      <w:r>
        <w:t xml:space="preserve"> in the same account holder name and service address, and ABN/ACN/ARBN;</w:t>
      </w:r>
    </w:p>
    <w:p w14:paraId="40648054" w14:textId="77777777" w:rsidR="000D07EA" w:rsidRDefault="00BE7C89">
      <w:pPr>
        <w:pStyle w:val="Heading8"/>
      </w:pPr>
      <w:r>
        <w:t xml:space="preserve">meet all of the criteria for a particular </w:t>
      </w:r>
      <w:r>
        <w:rPr>
          <w:i/>
        </w:rPr>
        <w:t>services</w:t>
      </w:r>
      <w:r>
        <w:t xml:space="preserve"> as set out in each of the relevant </w:t>
      </w:r>
      <w:r>
        <w:rPr>
          <w:i/>
        </w:rPr>
        <w:t>service descriptions</w:t>
      </w:r>
      <w:r>
        <w:t>; and</w:t>
      </w:r>
    </w:p>
    <w:p w14:paraId="6A9BE1AB" w14:textId="77777777" w:rsidR="000D07EA" w:rsidRDefault="00BE7C89">
      <w:pPr>
        <w:pStyle w:val="Heading8"/>
      </w:pPr>
      <w:r>
        <w:t>receive subscription charges on a monthly single bill.</w:t>
      </w:r>
    </w:p>
    <w:p w14:paraId="792D3E13" w14:textId="77777777" w:rsidR="000D07EA" w:rsidRDefault="00BE7C89">
      <w:pPr>
        <w:pStyle w:val="Heading7"/>
      </w:pPr>
      <w:r>
        <w:rPr>
          <w:snapToGrid w:val="0"/>
        </w:rPr>
        <w:t xml:space="preserve">If </w:t>
      </w:r>
      <w:r>
        <w:rPr>
          <w:i/>
          <w:snapToGrid w:val="0"/>
        </w:rPr>
        <w:t xml:space="preserve">you </w:t>
      </w:r>
      <w:r>
        <w:rPr>
          <w:snapToGrid w:val="0"/>
        </w:rPr>
        <w:t>already have a non-fixed length or fixed length agreement with us for either your Optus Mobile Digital Service(s) and your Optus Mobile Service(s) and you choose to connect as a new customer to our Business Complete Max iPhone BYO Offer:</w:t>
      </w:r>
    </w:p>
    <w:p w14:paraId="57B360C1" w14:textId="77777777" w:rsidR="000D07EA" w:rsidRDefault="00BE7C89">
      <w:pPr>
        <w:pStyle w:val="Heading8"/>
        <w:rPr>
          <w:snapToGrid w:val="0"/>
        </w:rPr>
      </w:pPr>
      <w:r>
        <w:rPr>
          <w:i/>
          <w:snapToGrid w:val="0"/>
        </w:rPr>
        <w:t>We</w:t>
      </w:r>
      <w:r>
        <w:rPr>
          <w:snapToGrid w:val="0"/>
        </w:rPr>
        <w:t xml:space="preserve"> may agree (at </w:t>
      </w:r>
      <w:r>
        <w:rPr>
          <w:i/>
          <w:snapToGrid w:val="0"/>
        </w:rPr>
        <w:t>our</w:t>
      </w:r>
      <w:r>
        <w:rPr>
          <w:snapToGrid w:val="0"/>
        </w:rPr>
        <w:t xml:space="preserve"> discretion) to transfer</w:t>
      </w:r>
      <w:r>
        <w:rPr>
          <w:i/>
          <w:snapToGrid w:val="0"/>
        </w:rPr>
        <w:t xml:space="preserve"> you</w:t>
      </w:r>
      <w:r>
        <w:rPr>
          <w:snapToGrid w:val="0"/>
        </w:rPr>
        <w:t xml:space="preserve"> to the Business Complete Max iPhone BYO offer </w:t>
      </w:r>
    </w:p>
    <w:p w14:paraId="17939DB7" w14:textId="77777777" w:rsidR="000D07EA" w:rsidRDefault="00BE7C89">
      <w:pPr>
        <w:pStyle w:val="Heading8"/>
      </w:pPr>
      <w:r>
        <w:rPr>
          <w:snapToGrid w:val="0"/>
        </w:rPr>
        <w:t xml:space="preserve">In that case of above, you will start a monthly, 12 month </w:t>
      </w:r>
      <w:r>
        <w:rPr>
          <w:i/>
          <w:snapToGrid w:val="0"/>
        </w:rPr>
        <w:t>minimum term fixed length agreement</w:t>
      </w:r>
      <w:r>
        <w:rPr>
          <w:snapToGrid w:val="0"/>
        </w:rPr>
        <w:t xml:space="preserve"> for the new </w:t>
      </w:r>
      <w:r>
        <w:rPr>
          <w:i/>
          <w:snapToGrid w:val="0"/>
        </w:rPr>
        <w:t>Business Complete Max iPhone BYO offer</w:t>
      </w:r>
      <w:r>
        <w:rPr>
          <w:snapToGrid w:val="0"/>
        </w:rPr>
        <w:t xml:space="preserve">. </w:t>
      </w:r>
    </w:p>
    <w:p w14:paraId="1516218B" w14:textId="77777777" w:rsidR="000D07EA" w:rsidRDefault="00BE7C89">
      <w:pPr>
        <w:pStyle w:val="Heading7"/>
      </w:pPr>
      <w:r>
        <w:rPr>
          <w:snapToGrid w:val="0"/>
        </w:rPr>
        <w:lastRenderedPageBreak/>
        <w:t xml:space="preserve">If </w:t>
      </w:r>
      <w:r>
        <w:rPr>
          <w:i/>
          <w:snapToGrid w:val="0"/>
        </w:rPr>
        <w:t xml:space="preserve">you </w:t>
      </w:r>
      <w:r>
        <w:rPr>
          <w:snapToGrid w:val="0"/>
        </w:rPr>
        <w:t xml:space="preserve">are an existing customer </w:t>
      </w:r>
      <w:r>
        <w:rPr>
          <w:i/>
          <w:snapToGrid w:val="0"/>
        </w:rPr>
        <w:t xml:space="preserve">you </w:t>
      </w:r>
      <w:r>
        <w:rPr>
          <w:snapToGrid w:val="0"/>
        </w:rPr>
        <w:t xml:space="preserve">may only transfer to the Business Complete Max iPhone BYO plans with </w:t>
      </w:r>
      <w:r>
        <w:rPr>
          <w:i/>
          <w:snapToGrid w:val="0"/>
        </w:rPr>
        <w:t xml:space="preserve">our </w:t>
      </w:r>
      <w:r>
        <w:rPr>
          <w:snapToGrid w:val="0"/>
        </w:rPr>
        <w:t>approval</w:t>
      </w:r>
      <w:r>
        <w:rPr>
          <w:snapToGrid w:val="0"/>
          <w:sz w:val="16"/>
          <w:szCs w:val="16"/>
        </w:rPr>
        <w:t>.</w:t>
      </w:r>
    </w:p>
    <w:p w14:paraId="0D117D7C" w14:textId="77777777" w:rsidR="000D07EA" w:rsidRDefault="00BE7C89">
      <w:pPr>
        <w:pStyle w:val="Heading6"/>
        <w:ind w:left="0" w:firstLine="0"/>
      </w:pPr>
      <w:bookmarkStart w:id="441" w:name="_Toc397941156"/>
      <w:bookmarkStart w:id="442" w:name="_Toc267937680"/>
      <w:r>
        <w:t>Blocking access to a number</w:t>
      </w:r>
      <w:bookmarkEnd w:id="441"/>
      <w:bookmarkEnd w:id="442"/>
    </w:p>
    <w:p w14:paraId="7307A30F" w14:textId="77777777" w:rsidR="000D07EA" w:rsidRDefault="00BE7C89">
      <w:pPr>
        <w:pStyle w:val="BodyText"/>
        <w:ind w:left="720"/>
      </w:pPr>
      <w:r>
        <w:rPr>
          <w:rStyle w:val="Emphasis"/>
          <w:i w:val="0"/>
        </w:rPr>
        <w:t xml:space="preserve">In addition to what is stated in clause 11 of the </w:t>
      </w:r>
      <w:r>
        <w:rPr>
          <w:rStyle w:val="Emphasis"/>
        </w:rPr>
        <w:t>service description ("Access Restrictions"), we</w:t>
      </w:r>
      <w:r>
        <w:t xml:space="preserve"> may block access to a number (other than an emergency service number) if </w:t>
      </w:r>
      <w:r>
        <w:rPr>
          <w:i/>
        </w:rPr>
        <w:t>we</w:t>
      </w:r>
      <w:r>
        <w:t xml:space="preserve"> reasonably require this to be done for technical, operational or commercial reasons.</w:t>
      </w:r>
    </w:p>
    <w:p w14:paraId="07076C51" w14:textId="77777777" w:rsidR="000D07EA" w:rsidRDefault="00BE7C89">
      <w:pPr>
        <w:pStyle w:val="Heading6"/>
        <w:ind w:left="0" w:firstLine="0"/>
        <w:rPr>
          <w:i/>
        </w:rPr>
      </w:pPr>
      <w:bookmarkStart w:id="443" w:name="_Toc397941157"/>
      <w:bookmarkStart w:id="444" w:name="_Toc267937681"/>
      <w:r>
        <w:rPr>
          <w:i/>
          <w:snapToGrid w:val="0"/>
        </w:rPr>
        <w:t>Minimum Term</w:t>
      </w:r>
      <w:bookmarkEnd w:id="443"/>
      <w:bookmarkEnd w:id="444"/>
    </w:p>
    <w:p w14:paraId="42D30843" w14:textId="77777777" w:rsidR="000D07EA" w:rsidRDefault="00BE7C89">
      <w:pPr>
        <w:pStyle w:val="Heading7"/>
      </w:pPr>
      <w:r>
        <w:t xml:space="preserve">You must agree to a fixed length agreement with a 12 month minimum term. </w:t>
      </w:r>
    </w:p>
    <w:p w14:paraId="34F0CBF5" w14:textId="77777777" w:rsidR="000D07EA" w:rsidRDefault="00BE7C89">
      <w:pPr>
        <w:pStyle w:val="Heading7"/>
      </w:pPr>
      <w:r>
        <w:rPr>
          <w:snapToGrid w:val="0"/>
        </w:rPr>
        <w:t>Customers who elect to take up the Business Mobile Broadband (BMB) hardware must agree to a</w:t>
      </w:r>
      <w:r>
        <w:rPr>
          <w:i/>
          <w:snapToGrid w:val="0"/>
        </w:rPr>
        <w:t xml:space="preserve"> fixed length agreement </w:t>
      </w:r>
      <w:r>
        <w:rPr>
          <w:snapToGrid w:val="0"/>
        </w:rPr>
        <w:t xml:space="preserve">with a 24 month </w:t>
      </w:r>
      <w:r>
        <w:rPr>
          <w:i/>
          <w:snapToGrid w:val="0"/>
        </w:rPr>
        <w:t>minimum term.</w:t>
      </w:r>
    </w:p>
    <w:p w14:paraId="14CD32C6" w14:textId="77777777" w:rsidR="000D07EA" w:rsidRDefault="00BE7C89">
      <w:pPr>
        <w:pStyle w:val="Heading7"/>
      </w:pPr>
      <w:r>
        <w:t xml:space="preserve">The Business Complete Max iPhone BYO plans are only available if </w:t>
      </w:r>
      <w:r>
        <w:rPr>
          <w:i/>
        </w:rPr>
        <w:t>you</w:t>
      </w:r>
      <w:r>
        <w:t xml:space="preserve"> bring </w:t>
      </w:r>
      <w:r>
        <w:rPr>
          <w:i/>
        </w:rPr>
        <w:t>your</w:t>
      </w:r>
      <w:r>
        <w:t xml:space="preserve"> own handset or if </w:t>
      </w:r>
      <w:r>
        <w:rPr>
          <w:i/>
        </w:rPr>
        <w:t>you</w:t>
      </w:r>
      <w:r>
        <w:t xml:space="preserve"> purchase a </w:t>
      </w:r>
      <w:r>
        <w:rPr>
          <w:i/>
        </w:rPr>
        <w:t>mobile phone</w:t>
      </w:r>
      <w:r>
        <w:t xml:space="preserve"> with a 12 month </w:t>
      </w:r>
      <w:r>
        <w:rPr>
          <w:i/>
        </w:rPr>
        <w:t>equipment term</w:t>
      </w:r>
      <w:r>
        <w:t xml:space="preserve"> under a </w:t>
      </w:r>
      <w:r>
        <w:rPr>
          <w:i/>
        </w:rPr>
        <w:t>mobile equipment payment plan.</w:t>
      </w:r>
    </w:p>
    <w:p w14:paraId="1F219552" w14:textId="77777777" w:rsidR="000D07EA" w:rsidRDefault="00BE7C89">
      <w:pPr>
        <w:pStyle w:val="Heading6"/>
        <w:ind w:left="0" w:firstLine="0"/>
      </w:pPr>
      <w:bookmarkStart w:id="445" w:name="_Toc397941158"/>
      <w:bookmarkStart w:id="446" w:name="_Toc267937682"/>
      <w:r>
        <w:t>What happens if you are no longer eligible</w:t>
      </w:r>
      <w:bookmarkEnd w:id="445"/>
      <w:bookmarkEnd w:id="446"/>
    </w:p>
    <w:p w14:paraId="666A37E3" w14:textId="77777777" w:rsidR="000D07EA" w:rsidRDefault="00BE7C89">
      <w:pPr>
        <w:pStyle w:val="Heading7"/>
      </w:pPr>
      <w:r>
        <w:t xml:space="preserve">If </w:t>
      </w:r>
      <w:r>
        <w:rPr>
          <w:i/>
        </w:rPr>
        <w:t>you</w:t>
      </w:r>
      <w:r>
        <w:t xml:space="preserve"> are no longer classified as a </w:t>
      </w:r>
      <w:r>
        <w:rPr>
          <w:i/>
        </w:rPr>
        <w:t>small and medium business</w:t>
      </w:r>
      <w:r>
        <w:t xml:space="preserve"> we may at our discretion change </w:t>
      </w:r>
      <w:r>
        <w:rPr>
          <w:i/>
        </w:rPr>
        <w:t>you</w:t>
      </w:r>
      <w:r>
        <w:t xml:space="preserve">r </w:t>
      </w:r>
      <w:r>
        <w:rPr>
          <w:i/>
        </w:rPr>
        <w:t xml:space="preserve">Optus Mobile Digital Service </w:t>
      </w:r>
      <w:r>
        <w:t xml:space="preserve">and </w:t>
      </w:r>
      <w:r>
        <w:rPr>
          <w:i/>
        </w:rPr>
        <w:t>Business Mobile Broadband Service</w:t>
      </w:r>
      <w:r>
        <w:t xml:space="preserve"> to an eligible plan although other service options may be available to </w:t>
      </w:r>
      <w:r>
        <w:rPr>
          <w:i/>
        </w:rPr>
        <w:t xml:space="preserve">you </w:t>
      </w:r>
      <w:r>
        <w:t xml:space="preserve">and </w:t>
      </w:r>
      <w:r>
        <w:rPr>
          <w:i/>
        </w:rPr>
        <w:t>you</w:t>
      </w:r>
      <w:r>
        <w:t xml:space="preserve"> may have to pay </w:t>
      </w:r>
      <w:r>
        <w:rPr>
          <w:i/>
        </w:rPr>
        <w:t>us</w:t>
      </w:r>
      <w:r>
        <w:t xml:space="preserve"> a cancellation fee</w:t>
      </w:r>
      <w:r>
        <w:rPr>
          <w:i/>
        </w:rPr>
        <w:t>.</w:t>
      </w:r>
    </w:p>
    <w:p w14:paraId="13EEFC26" w14:textId="77777777" w:rsidR="000D07EA" w:rsidRDefault="00BE7C89">
      <w:pPr>
        <w:pStyle w:val="Heading7"/>
      </w:pPr>
      <w:r>
        <w:t xml:space="preserve">If </w:t>
      </w:r>
      <w:r>
        <w:rPr>
          <w:i/>
        </w:rPr>
        <w:t>you</w:t>
      </w:r>
      <w:r>
        <w:t xml:space="preserve"> no longer have </w:t>
      </w:r>
      <w:r>
        <w:rPr>
          <w:i/>
        </w:rPr>
        <w:t>Optus Mobile Digital services</w:t>
      </w:r>
      <w:r>
        <w:t xml:space="preserve"> on </w:t>
      </w:r>
      <w:r>
        <w:rPr>
          <w:i/>
        </w:rPr>
        <w:t>you</w:t>
      </w:r>
      <w:r>
        <w:t xml:space="preserve">r account connected to a Business Complete Max iPhone BYO Offer but have a </w:t>
      </w:r>
      <w:r>
        <w:rPr>
          <w:i/>
        </w:rPr>
        <w:t>Business Mobile Broadband Service</w:t>
      </w:r>
      <w:r>
        <w:t xml:space="preserve"> on a $10 Business Complete Max BMB Offer we may at our discretion; Change </w:t>
      </w:r>
      <w:r>
        <w:rPr>
          <w:i/>
        </w:rPr>
        <w:t>you</w:t>
      </w:r>
      <w:r>
        <w:t>r Business Mobile Broadband Service price plan to an eligible Business Mobile Broadband Plan.</w:t>
      </w:r>
    </w:p>
    <w:p w14:paraId="524BFADF" w14:textId="77777777" w:rsidR="000D07EA" w:rsidRDefault="00BE7C89">
      <w:pPr>
        <w:pStyle w:val="Heading6"/>
        <w:ind w:left="0" w:firstLine="0"/>
      </w:pPr>
      <w:bookmarkStart w:id="447" w:name="_Toc397941159"/>
      <w:bookmarkStart w:id="448" w:name="_Toc267937683"/>
      <w:r>
        <w:t xml:space="preserve">What </w:t>
      </w:r>
      <w:r>
        <w:rPr>
          <w:i/>
        </w:rPr>
        <w:t xml:space="preserve">you </w:t>
      </w:r>
      <w:r>
        <w:t xml:space="preserve">have to pay </w:t>
      </w:r>
      <w:r>
        <w:rPr>
          <w:i/>
        </w:rPr>
        <w:t>us</w:t>
      </w:r>
      <w:bookmarkEnd w:id="447"/>
      <w:bookmarkEnd w:id="448"/>
    </w:p>
    <w:p w14:paraId="47E41846" w14:textId="77777777" w:rsidR="000D07EA" w:rsidRDefault="00BE7C89">
      <w:pPr>
        <w:pStyle w:val="Heading7"/>
      </w:pPr>
      <w:r>
        <w:t xml:space="preserve">Subject to paragraphs </w:t>
      </w:r>
      <w:r>
        <w:fldChar w:fldCharType="begin"/>
      </w:r>
      <w:r>
        <w:instrText xml:space="preserve"> REF _Ref461550672 \n \h </w:instrText>
      </w:r>
      <w:r>
        <w:fldChar w:fldCharType="separate"/>
      </w:r>
      <w:r w:rsidR="0004083A">
        <w:t>(c)</w:t>
      </w:r>
      <w:r>
        <w:fldChar w:fldCharType="end"/>
      </w:r>
      <w:r>
        <w:t xml:space="preserve">, </w:t>
      </w:r>
      <w:r>
        <w:fldChar w:fldCharType="begin"/>
      </w:r>
      <w:r>
        <w:instrText xml:space="preserve"> REF _Ref461550677 \n \h </w:instrText>
      </w:r>
      <w:r>
        <w:fldChar w:fldCharType="separate"/>
      </w:r>
      <w:r w:rsidR="0004083A">
        <w:t>(d)</w:t>
      </w:r>
      <w:r>
        <w:fldChar w:fldCharType="end"/>
      </w:r>
      <w:r>
        <w:t xml:space="preserve"> and </w:t>
      </w:r>
      <w:r>
        <w:fldChar w:fldCharType="begin"/>
      </w:r>
      <w:r>
        <w:instrText xml:space="preserve"> REF _Ref461550682 \n \h </w:instrText>
      </w:r>
      <w:r>
        <w:fldChar w:fldCharType="separate"/>
      </w:r>
      <w:r w:rsidR="0004083A">
        <w:t>(e)</w:t>
      </w:r>
      <w:r>
        <w:fldChar w:fldCharType="end"/>
      </w:r>
      <w:r>
        <w:t xml:space="preserve"> below </w:t>
      </w:r>
      <w:r>
        <w:rPr>
          <w:i/>
        </w:rPr>
        <w:t xml:space="preserve">you </w:t>
      </w:r>
      <w:r>
        <w:t xml:space="preserve">must pay </w:t>
      </w:r>
      <w:r>
        <w:rPr>
          <w:i/>
        </w:rPr>
        <w:t xml:space="preserve">us </w:t>
      </w:r>
      <w:r>
        <w:t xml:space="preserve">for use of the </w:t>
      </w:r>
      <w:r>
        <w:rPr>
          <w:i/>
        </w:rPr>
        <w:t xml:space="preserve">service </w:t>
      </w:r>
      <w:r>
        <w:t xml:space="preserve">at the rates set out in </w:t>
      </w:r>
      <w:hyperlink r:id="rId289" w:history="1">
        <w:r>
          <w:rPr>
            <w:rStyle w:val="Hyperlink"/>
            <w:rFonts w:eastAsia="MS Gothic"/>
          </w:rPr>
          <w:t>Section 1</w:t>
        </w:r>
      </w:hyperlink>
      <w:r>
        <w:t xml:space="preserve"> of this </w:t>
      </w:r>
      <w:r>
        <w:rPr>
          <w:i/>
        </w:rPr>
        <w:t xml:space="preserve">standard pricing table </w:t>
      </w:r>
      <w:r>
        <w:t xml:space="preserve">and for </w:t>
      </w:r>
      <w:r>
        <w:rPr>
          <w:i/>
        </w:rPr>
        <w:t xml:space="preserve">value added service features </w:t>
      </w:r>
      <w:r>
        <w:t xml:space="preserve">at the rates set out in </w:t>
      </w:r>
      <w:hyperlink r:id="rId290" w:history="1">
        <w:r>
          <w:rPr>
            <w:rStyle w:val="Hyperlink"/>
            <w:rFonts w:eastAsia="MS Gothic"/>
          </w:rPr>
          <w:t>Appendix Y</w:t>
        </w:r>
      </w:hyperlink>
      <w:r>
        <w:t xml:space="preserve"> Value Added Service Features</w:t>
      </w:r>
      <w:r>
        <w:rPr>
          <w:i/>
        </w:rPr>
        <w:t>.</w:t>
      </w:r>
      <w:r>
        <w:t xml:space="preserve">  </w:t>
      </w:r>
    </w:p>
    <w:p w14:paraId="1484186A" w14:textId="77777777" w:rsidR="000D07EA" w:rsidRDefault="00BE7C89">
      <w:pPr>
        <w:pStyle w:val="Heading7"/>
      </w:pPr>
      <w:r>
        <w:t xml:space="preserve">If there is a </w:t>
      </w:r>
      <w:r>
        <w:rPr>
          <w:i/>
        </w:rPr>
        <w:t xml:space="preserve">flagfall </w:t>
      </w:r>
      <w:r>
        <w:t xml:space="preserve">or call connection charge for a particular call type, the charge for these calls is the </w:t>
      </w:r>
      <w:r>
        <w:rPr>
          <w:i/>
        </w:rPr>
        <w:t xml:space="preserve">flagfall </w:t>
      </w:r>
      <w:r>
        <w:t>charge plus the relevant rate for the call multiplied by the duration of the call.</w:t>
      </w:r>
    </w:p>
    <w:p w14:paraId="2AA94BF6" w14:textId="77777777" w:rsidR="000D07EA" w:rsidRDefault="00BE7C89">
      <w:pPr>
        <w:pStyle w:val="Heading7"/>
        <w:keepNext/>
        <w:rPr>
          <w:b/>
        </w:rPr>
      </w:pPr>
      <w:bookmarkStart w:id="449" w:name="_Ref461550672"/>
      <w:r>
        <w:rPr>
          <w:b/>
        </w:rPr>
        <w:t>The Cap</w:t>
      </w:r>
      <w:bookmarkEnd w:id="449"/>
      <w:r>
        <w:rPr>
          <w:b/>
        </w:rPr>
        <w:t xml:space="preserve"> </w:t>
      </w:r>
    </w:p>
    <w:p w14:paraId="3BD3F1B6" w14:textId="77777777" w:rsidR="000D07EA" w:rsidRDefault="00BE7C89">
      <w:pPr>
        <w:pStyle w:val="Heading8"/>
      </w:pPr>
      <w:r>
        <w:t xml:space="preserve">Under the Business Complete Max iPhone BYO Plans, a cap applies when the value of </w:t>
      </w:r>
      <w:r>
        <w:rPr>
          <w:b/>
        </w:rPr>
        <w:t xml:space="preserve">eligible calls and text </w:t>
      </w:r>
      <w:r>
        <w:rPr>
          <w:i/>
        </w:rPr>
        <w:t xml:space="preserve">you </w:t>
      </w:r>
      <w:r>
        <w:t xml:space="preserve">make in a month reaches </w:t>
      </w:r>
      <w:r>
        <w:rPr>
          <w:i/>
        </w:rPr>
        <w:t xml:space="preserve">your pricing plan's </w:t>
      </w:r>
      <w:r>
        <w:rPr>
          <w:b/>
        </w:rPr>
        <w:t xml:space="preserve">cap start.  </w:t>
      </w:r>
      <w:r>
        <w:t xml:space="preserve">Once </w:t>
      </w:r>
      <w:r>
        <w:rPr>
          <w:i/>
        </w:rPr>
        <w:t xml:space="preserve">your </w:t>
      </w:r>
      <w:r>
        <w:t xml:space="preserve">eligible calls and text spend reaches the cap start, additional eligible calls and text made in that month are included until the value of </w:t>
      </w:r>
      <w:r>
        <w:rPr>
          <w:i/>
        </w:rPr>
        <w:t xml:space="preserve">your </w:t>
      </w:r>
      <w:r>
        <w:t xml:space="preserve">eligible calls and text reach </w:t>
      </w:r>
      <w:r>
        <w:rPr>
          <w:i/>
        </w:rPr>
        <w:t xml:space="preserve">your pricing plan's </w:t>
      </w:r>
      <w:r>
        <w:rPr>
          <w:b/>
        </w:rPr>
        <w:t>Included Cap Value</w:t>
      </w:r>
      <w:r>
        <w:t xml:space="preserve">.  </w:t>
      </w:r>
    </w:p>
    <w:p w14:paraId="4CECA8AF" w14:textId="77777777" w:rsidR="000D07EA" w:rsidRDefault="00BE7C89">
      <w:pPr>
        <w:pStyle w:val="Heading8"/>
      </w:pPr>
      <w:r>
        <w:t>The '</w:t>
      </w:r>
      <w:r>
        <w:rPr>
          <w:b/>
        </w:rPr>
        <w:t xml:space="preserve">cap start' </w:t>
      </w:r>
      <w:r>
        <w:t>and '</w:t>
      </w:r>
      <w:r>
        <w:rPr>
          <w:b/>
        </w:rPr>
        <w:t xml:space="preserve">Included Cap Value' </w:t>
      </w:r>
      <w:r>
        <w:t xml:space="preserve">for each Business Complete Max iPhone BYO Plan is set out in Table 2A below. </w:t>
      </w:r>
    </w:p>
    <w:p w14:paraId="2E102C0C" w14:textId="77777777" w:rsidR="000D07EA" w:rsidRDefault="00BE7C89">
      <w:pPr>
        <w:pStyle w:val="Heading8"/>
      </w:pPr>
      <w:r>
        <w:t xml:space="preserve">The call types that are </w:t>
      </w:r>
      <w:r>
        <w:rPr>
          <w:b/>
        </w:rPr>
        <w:t>'eligible calls and text'</w:t>
      </w:r>
      <w:r>
        <w:t xml:space="preserve"> for each Business Complete Max iPhone BYO Plan is defined in Table 1A below.  </w:t>
      </w:r>
    </w:p>
    <w:p w14:paraId="3D76A678" w14:textId="77777777" w:rsidR="000D07EA" w:rsidRDefault="00BE7C89">
      <w:pPr>
        <w:pStyle w:val="Heading8"/>
      </w:pPr>
      <w:r>
        <w:rPr>
          <w:i/>
        </w:rPr>
        <w:t xml:space="preserve">You </w:t>
      </w:r>
      <w:r>
        <w:t>must pay for any calls and texts that are not eligible calls and text.</w:t>
      </w:r>
    </w:p>
    <w:p w14:paraId="0BDD28D5" w14:textId="77777777" w:rsidR="000D07EA" w:rsidRDefault="00BE7C89">
      <w:pPr>
        <w:pStyle w:val="Heading8"/>
      </w:pPr>
      <w:r>
        <w:rPr>
          <w:i/>
        </w:rPr>
        <w:t xml:space="preserve">You </w:t>
      </w:r>
      <w:r>
        <w:t xml:space="preserve">must pay </w:t>
      </w:r>
      <w:r>
        <w:rPr>
          <w:i/>
        </w:rPr>
        <w:t xml:space="preserve">us </w:t>
      </w:r>
      <w:r>
        <w:t xml:space="preserve">call charges for eligible calls and text made beyond the Included Cap Value of </w:t>
      </w:r>
      <w:r>
        <w:rPr>
          <w:i/>
        </w:rPr>
        <w:t xml:space="preserve">your </w:t>
      </w:r>
      <w:r>
        <w:t>Business Complete Max iPhone BYO Plan.</w:t>
      </w:r>
    </w:p>
    <w:p w14:paraId="3E7421AF" w14:textId="77777777" w:rsidR="000D07EA" w:rsidRDefault="00BE7C89">
      <w:pPr>
        <w:pStyle w:val="Heading8"/>
      </w:pPr>
      <w:r>
        <w:rPr>
          <w:snapToGrid w:val="0"/>
        </w:rPr>
        <w:t>Any unused portion of the cap expires at the end of each month. This means that it does not roll over into following month.</w:t>
      </w:r>
    </w:p>
    <w:p w14:paraId="083D1A28" w14:textId="77777777" w:rsidR="000D07EA" w:rsidRDefault="00BE7C89">
      <w:pPr>
        <w:pStyle w:val="Heading7"/>
        <w:keepNext/>
        <w:rPr>
          <w:b/>
        </w:rPr>
      </w:pPr>
      <w:bookmarkStart w:id="450" w:name="_Ref461550677"/>
      <w:r>
        <w:rPr>
          <w:b/>
        </w:rPr>
        <w:lastRenderedPageBreak/>
        <w:t>Included Cap Value</w:t>
      </w:r>
      <w:bookmarkEnd w:id="450"/>
    </w:p>
    <w:p w14:paraId="2B21335E" w14:textId="77777777" w:rsidR="000D07EA" w:rsidRDefault="00BE7C89">
      <w:pPr>
        <w:pStyle w:val="Heading8"/>
      </w:pPr>
      <w:r>
        <w:t xml:space="preserve">Under the Business Complete Max iPhone BYO Plans, </w:t>
      </w:r>
      <w:r>
        <w:rPr>
          <w:i/>
        </w:rPr>
        <w:t xml:space="preserve">you </w:t>
      </w:r>
      <w:r>
        <w:t>will receive "Included Cap Value" to use within Australia.</w:t>
      </w:r>
    </w:p>
    <w:p w14:paraId="33BC77E3" w14:textId="77777777" w:rsidR="000D07EA" w:rsidRDefault="00BE7C89">
      <w:pPr>
        <w:pStyle w:val="Heading8"/>
      </w:pPr>
      <w:r>
        <w:t>The amount of the "Included Cap Value" included for each Business Complete Max iPhone BYO plan is set out in Table 2A below.</w:t>
      </w:r>
    </w:p>
    <w:p w14:paraId="60501807" w14:textId="77777777" w:rsidR="000D07EA" w:rsidRDefault="00BE7C89">
      <w:pPr>
        <w:pStyle w:val="Heading8"/>
      </w:pPr>
      <w:r>
        <w:t xml:space="preserve">The call types that are </w:t>
      </w:r>
      <w:r>
        <w:rPr>
          <w:b/>
        </w:rPr>
        <w:t>'eligible calls and text'</w:t>
      </w:r>
      <w:r>
        <w:t xml:space="preserve"> for each Business Complete Max iPhone BYO Plan under the "Included Cap Value" are defined in Table 1A below.</w:t>
      </w:r>
    </w:p>
    <w:p w14:paraId="7BB6B934" w14:textId="77777777" w:rsidR="000D07EA" w:rsidRDefault="00BE7C89">
      <w:pPr>
        <w:pStyle w:val="Heading8"/>
      </w:pPr>
      <w:r>
        <w:rPr>
          <w:i/>
        </w:rPr>
        <w:t xml:space="preserve">You </w:t>
      </w:r>
      <w:r>
        <w:t xml:space="preserve">must pay </w:t>
      </w:r>
      <w:r>
        <w:rPr>
          <w:i/>
        </w:rPr>
        <w:t xml:space="preserve">us </w:t>
      </w:r>
      <w:r>
        <w:t xml:space="preserve">call charges for eligible calls and text made beyond the available "Included Cap Value". </w:t>
      </w:r>
    </w:p>
    <w:p w14:paraId="2BEBF8FA" w14:textId="77777777" w:rsidR="000D07EA" w:rsidRDefault="00BE7C89">
      <w:pPr>
        <w:pStyle w:val="Heading8"/>
      </w:pPr>
      <w:r>
        <w:rPr>
          <w:snapToGrid w:val="0"/>
        </w:rPr>
        <w:t>Any unused portion of the "Included Cap Value" expires at the end of each month.  This means that it does not roll over into the following month.</w:t>
      </w:r>
    </w:p>
    <w:p w14:paraId="16BB56AE" w14:textId="77777777" w:rsidR="000D07EA" w:rsidRDefault="00BE7C89">
      <w:pPr>
        <w:pStyle w:val="Heading8"/>
      </w:pPr>
      <w:r>
        <w:rPr>
          <w:i/>
        </w:rPr>
        <w:t xml:space="preserve">You </w:t>
      </w:r>
      <w:r>
        <w:t>must pay for any calls and texts that are not eligible calls and texts.</w:t>
      </w:r>
    </w:p>
    <w:p w14:paraId="2BF90C1B" w14:textId="77777777" w:rsidR="000D07EA" w:rsidRDefault="00BE7C89">
      <w:pPr>
        <w:pStyle w:val="Heading7"/>
        <w:rPr>
          <w:b/>
        </w:rPr>
      </w:pPr>
      <w:bookmarkStart w:id="451" w:name="_Ref461550682"/>
      <w:r>
        <w:rPr>
          <w:b/>
        </w:rPr>
        <w:t>Minimum Monthly Charge</w:t>
      </w:r>
      <w:bookmarkEnd w:id="451"/>
    </w:p>
    <w:p w14:paraId="0C5238CF" w14:textId="77777777" w:rsidR="000D07EA" w:rsidRDefault="00BE7C89">
      <w:pPr>
        <w:pStyle w:val="Heading8"/>
      </w:pPr>
      <w:r>
        <w:t xml:space="preserve">Each Business Complete Max iPhone BYO Plan has a Minimum Monthly Charge amount that </w:t>
      </w:r>
      <w:r>
        <w:rPr>
          <w:i/>
        </w:rPr>
        <w:t xml:space="preserve">you </w:t>
      </w:r>
      <w:r>
        <w:t xml:space="preserve">must pay </w:t>
      </w:r>
      <w:r>
        <w:rPr>
          <w:i/>
        </w:rPr>
        <w:t>us</w:t>
      </w:r>
      <w:r>
        <w:t xml:space="preserve"> each month.  </w:t>
      </w:r>
    </w:p>
    <w:p w14:paraId="495A1E3D" w14:textId="77777777" w:rsidR="000D07EA" w:rsidRDefault="00BE7C89">
      <w:pPr>
        <w:pStyle w:val="Heading8"/>
      </w:pPr>
      <w:r>
        <w:t xml:space="preserve">If </w:t>
      </w:r>
      <w:r>
        <w:rPr>
          <w:i/>
        </w:rPr>
        <w:t xml:space="preserve">you </w:t>
      </w:r>
      <w:r>
        <w:t xml:space="preserve">do not make enough eligible calls and text in a month to reach </w:t>
      </w:r>
      <w:r>
        <w:rPr>
          <w:i/>
        </w:rPr>
        <w:t>your pricing plan's cap start</w:t>
      </w:r>
      <w:r>
        <w:t xml:space="preserve"> (or Minimum Monthly Charge) </w:t>
      </w:r>
      <w:r>
        <w:rPr>
          <w:i/>
        </w:rPr>
        <w:t xml:space="preserve">you </w:t>
      </w:r>
      <w:r>
        <w:t xml:space="preserve">must still pay </w:t>
      </w:r>
      <w:r>
        <w:rPr>
          <w:i/>
        </w:rPr>
        <w:t>us your pricing plan's</w:t>
      </w:r>
      <w:r>
        <w:t xml:space="preserve"> Minimum Monthly Charge for that month.</w:t>
      </w:r>
    </w:p>
    <w:p w14:paraId="2146D71D" w14:textId="77777777" w:rsidR="000D07EA" w:rsidRDefault="00BE7C89">
      <w:pPr>
        <w:pStyle w:val="Heading8"/>
      </w:pPr>
      <w:r>
        <w:t>The amount of the Minimum Monthly Charge and included calls for each Business Complete Max iPhone BYO Plan is set out in Table 2A below.</w:t>
      </w:r>
    </w:p>
    <w:p w14:paraId="35B73BEB" w14:textId="77777777" w:rsidR="000D07EA" w:rsidRDefault="00BE7C89">
      <w:pPr>
        <w:pStyle w:val="Heading7"/>
        <w:keepNext/>
        <w:rPr>
          <w:b/>
        </w:rPr>
      </w:pPr>
      <w:r>
        <w:rPr>
          <w:b/>
        </w:rPr>
        <w:t>Included Mobile Internet Data Value</w:t>
      </w:r>
    </w:p>
    <w:p w14:paraId="51826BAE" w14:textId="77777777" w:rsidR="000D07EA" w:rsidRDefault="00BE7C89">
      <w:pPr>
        <w:pStyle w:val="Heading8"/>
      </w:pPr>
      <w:r>
        <w:t xml:space="preserve">Under the Business Complete Max iPhone BYO Plans, </w:t>
      </w:r>
      <w:r>
        <w:rPr>
          <w:i/>
        </w:rPr>
        <w:t>you</w:t>
      </w:r>
      <w:r>
        <w:t xml:space="preserve"> will receive "Mobile Internet Data Value" to use within Australia.</w:t>
      </w:r>
    </w:p>
    <w:p w14:paraId="1369CCBA" w14:textId="77777777" w:rsidR="000D07EA" w:rsidRDefault="00BE7C89">
      <w:pPr>
        <w:pStyle w:val="Heading8"/>
      </w:pPr>
      <w:r>
        <w:t>The amount of the "Mobile Internet Data Value" included for each Business Complete Max iPhone BYO Plan is set out in Table 2A below</w:t>
      </w:r>
    </w:p>
    <w:p w14:paraId="5CDFBF3B" w14:textId="77777777" w:rsidR="000D07EA" w:rsidRDefault="00BE7C89">
      <w:pPr>
        <w:pStyle w:val="Heading8"/>
      </w:pPr>
      <w:r>
        <w:t xml:space="preserve">The usage types that are </w:t>
      </w:r>
      <w:r>
        <w:rPr>
          <w:b/>
        </w:rPr>
        <w:t>'eligible data'</w:t>
      </w:r>
      <w:r>
        <w:t xml:space="preserve"> for each Business Complete Max iPhone BYO Plan under the "Mobile Internet Data Value" are defined in Table 1B below.</w:t>
      </w:r>
    </w:p>
    <w:p w14:paraId="0EB8151A" w14:textId="77777777" w:rsidR="000D07EA" w:rsidRDefault="00BE7C89">
      <w:pPr>
        <w:pStyle w:val="Heading8"/>
      </w:pPr>
      <w:r>
        <w:t xml:space="preserve">The included data of the Business Complete Max iPhone BYO plan can be shared with an eligible Business Mobile Broadband service and can only be used within Australia.  </w:t>
      </w:r>
    </w:p>
    <w:p w14:paraId="470E31AE" w14:textId="77777777" w:rsidR="000D07EA" w:rsidRDefault="00BE7C89">
      <w:pPr>
        <w:pStyle w:val="Heading8"/>
      </w:pPr>
      <w:r>
        <w:t xml:space="preserve">The included data of the $10 Business Complete Max BMB plan can be shared with an eligible Business Complete Max iPhone BYO service. </w:t>
      </w:r>
    </w:p>
    <w:p w14:paraId="0694B2A3" w14:textId="77777777" w:rsidR="000D07EA" w:rsidRDefault="00BE7C89">
      <w:pPr>
        <w:pStyle w:val="Heading8"/>
      </w:pPr>
      <w:r>
        <w:rPr>
          <w:i/>
        </w:rPr>
        <w:t xml:space="preserve">You </w:t>
      </w:r>
      <w:r>
        <w:t xml:space="preserve">must pay </w:t>
      </w:r>
      <w:r>
        <w:rPr>
          <w:i/>
        </w:rPr>
        <w:t xml:space="preserve">us </w:t>
      </w:r>
      <w:r>
        <w:t xml:space="preserve">excess usage charges for data made beyond the available "Mobile Internet Data Value". </w:t>
      </w:r>
    </w:p>
    <w:p w14:paraId="1195C333" w14:textId="77777777" w:rsidR="000D07EA" w:rsidRDefault="00BE7C89">
      <w:pPr>
        <w:pStyle w:val="Heading8"/>
        <w:rPr>
          <w:b/>
          <w:snapToGrid w:val="0"/>
        </w:rPr>
      </w:pPr>
      <w:r>
        <w:rPr>
          <w:snapToGrid w:val="0"/>
        </w:rPr>
        <w:t>Any unused portion of the "</w:t>
      </w:r>
      <w:r>
        <w:t>Mobile Internet Data Value</w:t>
      </w:r>
      <w:r>
        <w:rPr>
          <w:snapToGrid w:val="0"/>
        </w:rPr>
        <w:t>" expires at the end of each month and does not roll over into the following month.</w:t>
      </w:r>
      <w:r>
        <w:t xml:space="preserve">  </w:t>
      </w:r>
    </w:p>
    <w:p w14:paraId="396E46E8" w14:textId="77777777" w:rsidR="000D07EA" w:rsidRDefault="00BE7C89">
      <w:pPr>
        <w:pStyle w:val="Heading7"/>
        <w:rPr>
          <w:b/>
          <w:snapToGrid w:val="0"/>
        </w:rPr>
      </w:pPr>
      <w:bookmarkStart w:id="452" w:name="_Ref461550716"/>
      <w:r>
        <w:rPr>
          <w:b/>
          <w:snapToGrid w:val="0"/>
        </w:rPr>
        <w:t>Unlimited access to Facebook®, Twitter, LinkedIn, Ebay, Four Square, MySpace</w:t>
      </w:r>
      <w:bookmarkEnd w:id="452"/>
    </w:p>
    <w:p w14:paraId="56A301C7" w14:textId="77777777" w:rsidR="000D07EA" w:rsidRDefault="00BE7C89">
      <w:pPr>
        <w:pStyle w:val="Heading8"/>
        <w:rPr>
          <w:snapToGrid w:val="0"/>
        </w:rPr>
      </w:pPr>
      <w:bookmarkStart w:id="453" w:name="_Ref461550721"/>
      <w:r>
        <w:t xml:space="preserve">Under the Business Complete Max iPhone BYO Plans, </w:t>
      </w:r>
      <w:r>
        <w:rPr>
          <w:i/>
        </w:rPr>
        <w:t>you</w:t>
      </w:r>
      <w:r>
        <w:t xml:space="preserve"> will receive unlimited access to </w:t>
      </w:r>
      <w:r>
        <w:rPr>
          <w:snapToGrid w:val="0"/>
        </w:rPr>
        <w:t>Facebook®, Twitter, LinkedIn, Ebay, Four Square, MySpace within Australia.</w:t>
      </w:r>
      <w:bookmarkEnd w:id="453"/>
    </w:p>
    <w:p w14:paraId="468824C8" w14:textId="77777777" w:rsidR="000D07EA" w:rsidRDefault="00BE7C89">
      <w:pPr>
        <w:pStyle w:val="Heading8"/>
        <w:rPr>
          <w:snapToGrid w:val="0"/>
        </w:rPr>
      </w:pPr>
      <w:r>
        <w:rPr>
          <w:snapToGrid w:val="0"/>
        </w:rPr>
        <w:t xml:space="preserve">Usage of the services described in paragraph </w:t>
      </w:r>
      <w:r>
        <w:rPr>
          <w:snapToGrid w:val="0"/>
        </w:rPr>
        <w:fldChar w:fldCharType="begin"/>
      </w:r>
      <w:r>
        <w:rPr>
          <w:snapToGrid w:val="0"/>
        </w:rPr>
        <w:instrText xml:space="preserve"> REF _Ref461550716 \n \h </w:instrText>
      </w:r>
      <w:r>
        <w:rPr>
          <w:snapToGrid w:val="0"/>
        </w:rPr>
      </w:r>
      <w:r>
        <w:rPr>
          <w:snapToGrid w:val="0"/>
        </w:rPr>
        <w:fldChar w:fldCharType="separate"/>
      </w:r>
      <w:r w:rsidR="0004083A">
        <w:rPr>
          <w:snapToGrid w:val="0"/>
        </w:rPr>
        <w:t>(g)</w:t>
      </w:r>
      <w:r>
        <w:rPr>
          <w:snapToGrid w:val="0"/>
        </w:rPr>
        <w:fldChar w:fldCharType="end"/>
      </w:r>
      <w:r>
        <w:rPr>
          <w:snapToGrid w:val="0"/>
        </w:rPr>
        <w:fldChar w:fldCharType="begin"/>
      </w:r>
      <w:r>
        <w:rPr>
          <w:snapToGrid w:val="0"/>
        </w:rPr>
        <w:instrText xml:space="preserve"> REF _Ref461550721 \n \h </w:instrText>
      </w:r>
      <w:r>
        <w:rPr>
          <w:snapToGrid w:val="0"/>
        </w:rPr>
      </w:r>
      <w:r>
        <w:rPr>
          <w:snapToGrid w:val="0"/>
        </w:rPr>
        <w:fldChar w:fldCharType="separate"/>
      </w:r>
      <w:r w:rsidR="0004083A">
        <w:rPr>
          <w:snapToGrid w:val="0"/>
        </w:rPr>
        <w:t>(i)</w:t>
      </w:r>
      <w:r>
        <w:rPr>
          <w:snapToGrid w:val="0"/>
        </w:rPr>
        <w:fldChar w:fldCharType="end"/>
      </w:r>
      <w:r>
        <w:rPr>
          <w:snapToGrid w:val="0"/>
        </w:rPr>
        <w:t xml:space="preserve"> is separate to and is not included in </w:t>
      </w:r>
      <w:r>
        <w:rPr>
          <w:i/>
          <w:snapToGrid w:val="0"/>
        </w:rPr>
        <w:t>your</w:t>
      </w:r>
      <w:r>
        <w:rPr>
          <w:snapToGrid w:val="0"/>
        </w:rPr>
        <w:t xml:space="preserve"> </w:t>
      </w:r>
      <w:r>
        <w:t xml:space="preserve">"Mobile Internet Data Value" and </w:t>
      </w:r>
      <w:r>
        <w:rPr>
          <w:i/>
        </w:rPr>
        <w:t>your</w:t>
      </w:r>
      <w:r>
        <w:t xml:space="preserve"> Business Complete Max Business Mobile Broadband Service (if applicable) and may be accessed on your mobile handset only. </w:t>
      </w:r>
    </w:p>
    <w:p w14:paraId="6FF7DF4D" w14:textId="77777777" w:rsidR="000D07EA" w:rsidRDefault="00BE7C89">
      <w:pPr>
        <w:pStyle w:val="Heading8"/>
        <w:rPr>
          <w:b/>
        </w:rPr>
      </w:pPr>
      <w:r>
        <w:lastRenderedPageBreak/>
        <w:t xml:space="preserve">These features are only available to </w:t>
      </w:r>
      <w:r>
        <w:rPr>
          <w:i/>
        </w:rPr>
        <w:t>you</w:t>
      </w:r>
      <w:r>
        <w:t xml:space="preserve"> if </w:t>
      </w:r>
      <w:r>
        <w:rPr>
          <w:i/>
        </w:rPr>
        <w:t>your</w:t>
      </w:r>
      <w:r>
        <w:t xml:space="preserve"> handset is compatible with the service.</w:t>
      </w:r>
    </w:p>
    <w:p w14:paraId="133E743A" w14:textId="77777777" w:rsidR="000D07EA" w:rsidRDefault="00BE7C89">
      <w:pPr>
        <w:pStyle w:val="Heading8"/>
        <w:rPr>
          <w:b/>
        </w:rPr>
      </w:pPr>
      <w:r>
        <w:t xml:space="preserve">Use of Unlimited Facebook®, Twitter, </w:t>
      </w:r>
      <w:r>
        <w:rPr>
          <w:snapToGrid w:val="0"/>
        </w:rPr>
        <w:t>LinkedIn, Ebay, Four Square,</w:t>
      </w:r>
      <w:r>
        <w:t xml:space="preserve"> and MySpace is for persona or business use. Please refer to </w:t>
      </w:r>
      <w:hyperlink r:id="rId291" w:history="1">
        <w:r w:rsidR="00F84E53">
          <w:rPr>
            <w:rStyle w:val="Hyperlink"/>
            <w:i/>
          </w:rPr>
          <w:t>Appendix S</w:t>
        </w:r>
      </w:hyperlink>
      <w:r>
        <w:t xml:space="preserve"> for further details. </w:t>
      </w:r>
    </w:p>
    <w:p w14:paraId="5DFD943C" w14:textId="77777777" w:rsidR="000D07EA" w:rsidRDefault="00BE7C89">
      <w:pPr>
        <w:pStyle w:val="Heading7"/>
        <w:rPr>
          <w:b/>
        </w:rPr>
      </w:pPr>
      <w:r>
        <w:rPr>
          <w:b/>
        </w:rPr>
        <w:t>Unlimited standard national SMS &amp; MMS Offer on the $59 Business Complete Max iPhone BYO and $79 Business Complete Max iPhone BYO Plans</w:t>
      </w:r>
    </w:p>
    <w:p w14:paraId="642CA05B" w14:textId="77777777" w:rsidR="000D07EA" w:rsidRDefault="00BE7C89">
      <w:pPr>
        <w:pStyle w:val="Heading8"/>
      </w:pPr>
      <w:r>
        <w:t>Under the $59 Business Complete Max iPhone BYO and $79 Business Complete Max iPhone</w:t>
      </w:r>
      <w:r>
        <w:rPr>
          <w:b/>
        </w:rPr>
        <w:t xml:space="preserve"> </w:t>
      </w:r>
      <w:r>
        <w:t xml:space="preserve">BYO plans </w:t>
      </w:r>
      <w:r>
        <w:rPr>
          <w:i/>
        </w:rPr>
        <w:t xml:space="preserve">you </w:t>
      </w:r>
      <w:r>
        <w:t>will receive the Unlimited standard national SMS &amp; MMS Offer and may send unlimited standard national SMS and MMS to GSM mobiles (excluding Pivotel) within Australia.</w:t>
      </w:r>
    </w:p>
    <w:p w14:paraId="1F10A5BE" w14:textId="77777777" w:rsidR="000D07EA" w:rsidRDefault="00BE7C89">
      <w:pPr>
        <w:pStyle w:val="Heading8"/>
      </w:pPr>
      <w:r>
        <w:t>Unlimited standard national SMS &amp; MMS offer excludes International, Premium, Group and Email SMS and MMS.</w:t>
      </w:r>
    </w:p>
    <w:p w14:paraId="5CB325F7" w14:textId="77777777" w:rsidR="000D07EA" w:rsidRDefault="00BE7C89">
      <w:pPr>
        <w:pStyle w:val="Heading8"/>
      </w:pPr>
      <w:r>
        <w:rPr>
          <w:i/>
        </w:rPr>
        <w:t xml:space="preserve">You </w:t>
      </w:r>
      <w:r>
        <w:t>must pay for any messages that are not eligible messages.</w:t>
      </w:r>
    </w:p>
    <w:p w14:paraId="5FC45A8E" w14:textId="77777777" w:rsidR="000D07EA" w:rsidRDefault="00BE7C89">
      <w:pPr>
        <w:pStyle w:val="Heading8"/>
      </w:pPr>
      <w:r>
        <w:rPr>
          <w:snapToGrid w:val="0"/>
        </w:rPr>
        <w:t>Any unused portion of the plan expires at the end of each month.  This means that it does not roll over into following month.</w:t>
      </w:r>
    </w:p>
    <w:p w14:paraId="0AD2F406" w14:textId="77777777" w:rsidR="000D07EA" w:rsidRDefault="00BE7C89">
      <w:pPr>
        <w:pStyle w:val="Heading8"/>
      </w:pPr>
      <w:r>
        <w:t xml:space="preserve">The unlimited standard national SMS &amp; MMS offer only applies for personal and business use. For further details refer to </w:t>
      </w:r>
      <w:hyperlink r:id="rId292" w:history="1">
        <w:r w:rsidR="00F84E53">
          <w:rPr>
            <w:rStyle w:val="Hyperlink"/>
            <w:i/>
          </w:rPr>
          <w:t>Appendix S</w:t>
        </w:r>
      </w:hyperlink>
      <w:r>
        <w:t xml:space="preserve">. </w:t>
      </w:r>
    </w:p>
    <w:p w14:paraId="59E83603" w14:textId="77777777" w:rsidR="000D07EA" w:rsidRDefault="00BE7C89">
      <w:pPr>
        <w:pStyle w:val="Heading7"/>
        <w:rPr>
          <w:b/>
        </w:rPr>
      </w:pPr>
      <w:r>
        <w:rPr>
          <w:b/>
        </w:rPr>
        <w:t xml:space="preserve">Upon connection to the Business Complete Max iPhone BYO plans </w:t>
      </w:r>
      <w:r>
        <w:rPr>
          <w:b/>
          <w:i/>
        </w:rPr>
        <w:t>you</w:t>
      </w:r>
      <w:r>
        <w:rPr>
          <w:b/>
        </w:rPr>
        <w:t xml:space="preserve"> will receive Unlimited VoiceMail.  </w:t>
      </w:r>
    </w:p>
    <w:p w14:paraId="3C6CF4E5" w14:textId="77777777" w:rsidR="000D07EA" w:rsidRDefault="00BE7C89">
      <w:pPr>
        <w:pStyle w:val="Heading8"/>
      </w:pPr>
      <w:r>
        <w:t>Unlimited Voicemail applies to VoiceMail Deposits and Retrievals, within Australia.  Diversion charges may still apply. Subject to Fair Go Policy (</w:t>
      </w:r>
      <w:hyperlink r:id="rId293" w:history="1">
        <w:r>
          <w:rPr>
            <w:rStyle w:val="Hyperlink"/>
            <w:i/>
          </w:rPr>
          <w:t>Appendix S</w:t>
        </w:r>
      </w:hyperlink>
      <w:r>
        <w:t>).</w:t>
      </w:r>
    </w:p>
    <w:p w14:paraId="3AFBCCEF" w14:textId="77777777" w:rsidR="000D07EA" w:rsidRDefault="00BE7C89">
      <w:pPr>
        <w:pStyle w:val="Heading7"/>
        <w:rPr>
          <w:b/>
        </w:rPr>
      </w:pPr>
      <w:r>
        <w:rPr>
          <w:b/>
        </w:rPr>
        <w:t>Other Business Complete Max iPhone BYO Plans Conditions and Offers</w:t>
      </w:r>
    </w:p>
    <w:p w14:paraId="68F1BB32" w14:textId="77777777" w:rsidR="000D07EA" w:rsidRDefault="00BE7C89">
      <w:pPr>
        <w:pStyle w:val="Heading8"/>
      </w:pPr>
      <w:r>
        <w:t>The Fair Go Policy (</w:t>
      </w:r>
      <w:hyperlink r:id="rId294" w:history="1">
        <w:r>
          <w:rPr>
            <w:rStyle w:val="Hyperlink"/>
            <w:i/>
          </w:rPr>
          <w:t>Appendix S</w:t>
        </w:r>
      </w:hyperlink>
      <w:r>
        <w:t xml:space="preserve">) applies to: Voice Over Internet Protocol (VOIP) services up to 10 megabytes per month. Please refer to </w:t>
      </w:r>
      <w:hyperlink r:id="rId295" w:history="1">
        <w:r w:rsidR="00F84E53">
          <w:rPr>
            <w:rStyle w:val="Hyperlink"/>
            <w:i/>
          </w:rPr>
          <w:t>Appendix S</w:t>
        </w:r>
      </w:hyperlink>
      <w:r>
        <w:rPr>
          <w:i/>
        </w:rPr>
        <w:t>.</w:t>
      </w:r>
    </w:p>
    <w:p w14:paraId="1CA76D38" w14:textId="77777777" w:rsidR="000D07EA" w:rsidRDefault="00BE7C89">
      <w:pPr>
        <w:pStyle w:val="Heading8"/>
      </w:pPr>
      <w:r>
        <w:t xml:space="preserve">Voice Over Internet Protocol (VOIP) services (other than PTT) will be charged at 1.5c per kilobyte of usage, capped at $9.90 per month until </w:t>
      </w:r>
      <w:r>
        <w:rPr>
          <w:i/>
        </w:rPr>
        <w:t xml:space="preserve">you </w:t>
      </w:r>
      <w:r>
        <w:t xml:space="preserve">reach 5 megabytes of usage in that month, after which </w:t>
      </w:r>
      <w:r>
        <w:rPr>
          <w:i/>
        </w:rPr>
        <w:t xml:space="preserve">you </w:t>
      </w:r>
      <w:r>
        <w:t>will be charged at 0.3c per kilobyte of usage for the remainder of that month.</w:t>
      </w:r>
    </w:p>
    <w:p w14:paraId="5E15C114" w14:textId="77777777" w:rsidR="000D07EA" w:rsidRDefault="00BE7C89">
      <w:pPr>
        <w:pStyle w:val="Heading8"/>
      </w:pPr>
      <w:r>
        <w:t xml:space="preserve">Apple iPhone handsets are locked to our network. If </w:t>
      </w:r>
      <w:r>
        <w:rPr>
          <w:i/>
        </w:rPr>
        <w:t>you</w:t>
      </w:r>
      <w:r>
        <w:t xml:space="preserve"> wish to unlock one of these handsets you should call our Customer Service centre. There may be a fee charged by </w:t>
      </w:r>
      <w:r>
        <w:rPr>
          <w:i/>
        </w:rPr>
        <w:t>us</w:t>
      </w:r>
      <w:r>
        <w:t xml:space="preserve"> to unlock these handsets.</w:t>
      </w:r>
    </w:p>
    <w:p w14:paraId="039CFDE7" w14:textId="77777777" w:rsidR="000D07EA" w:rsidRDefault="00BE7C89">
      <w:pPr>
        <w:pStyle w:val="Heading8"/>
      </w:pPr>
      <w:r>
        <w:t xml:space="preserve">Available features will vary depending on </w:t>
      </w:r>
      <w:r>
        <w:rPr>
          <w:i/>
        </w:rPr>
        <w:t>your</w:t>
      </w:r>
      <w:r>
        <w:t xml:space="preserve"> handset or software version</w:t>
      </w:r>
    </w:p>
    <w:p w14:paraId="38C52E08" w14:textId="77777777" w:rsidR="000D07EA" w:rsidRDefault="00BE7C89">
      <w:pPr>
        <w:pStyle w:val="Heading8"/>
      </w:pPr>
      <w:r>
        <w:t xml:space="preserve">If </w:t>
      </w:r>
      <w:r>
        <w:rPr>
          <w:i/>
        </w:rPr>
        <w:t xml:space="preserve">you </w:t>
      </w:r>
      <w:r>
        <w:t xml:space="preserve">no longer use an Apple iPhone </w:t>
      </w:r>
      <w:r>
        <w:rPr>
          <w:i/>
        </w:rPr>
        <w:t>you</w:t>
      </w:r>
      <w:r>
        <w:t xml:space="preserve"> will be moved to a non-iPhone plan of equivalent price point.</w:t>
      </w:r>
    </w:p>
    <w:p w14:paraId="7F83BBB3" w14:textId="77777777" w:rsidR="000D07EA" w:rsidRDefault="00BE7C89">
      <w:pPr>
        <w:pStyle w:val="Heading7"/>
        <w:rPr>
          <w:b/>
        </w:rPr>
      </w:pPr>
      <w:r>
        <w:rPr>
          <w:b/>
        </w:rPr>
        <w:t>Additional discount option – 'yes' for 5</w:t>
      </w:r>
    </w:p>
    <w:p w14:paraId="7BC4B736" w14:textId="77777777" w:rsidR="000D07EA" w:rsidRDefault="00BE7C89">
      <w:pPr>
        <w:pStyle w:val="Heading8"/>
        <w:rPr>
          <w:b/>
        </w:rPr>
      </w:pPr>
      <w:r>
        <w:t xml:space="preserve">If </w:t>
      </w:r>
      <w:r>
        <w:rPr>
          <w:i/>
        </w:rPr>
        <w:t xml:space="preserve">you </w:t>
      </w:r>
      <w:r>
        <w:t xml:space="preserve">connect to one of the Business Complete Max iPhone BYO Plans, </w:t>
      </w:r>
      <w:r>
        <w:rPr>
          <w:i/>
        </w:rPr>
        <w:t>you</w:t>
      </w:r>
      <w:r>
        <w:t xml:space="preserve"> will receive the 'yes' for 5 offer where </w:t>
      </w:r>
      <w:r>
        <w:rPr>
          <w:i/>
        </w:rPr>
        <w:t xml:space="preserve">you </w:t>
      </w:r>
      <w:r>
        <w:t xml:space="preserve">can make 5 minute voice calls within Australia to other Optus GSM Mobile services on the same customer account number for no additional cost. Limit of 1000 minutes per month applies. Standard call rates of </w:t>
      </w:r>
      <w:r>
        <w:rPr>
          <w:i/>
        </w:rPr>
        <w:t>your</w:t>
      </w:r>
      <w:r>
        <w:t xml:space="preserve"> plan apply after the first 5 minutes. Fair Go Policy (</w:t>
      </w:r>
      <w:hyperlink r:id="rId296" w:history="1">
        <w:r>
          <w:rPr>
            <w:rStyle w:val="Hyperlink"/>
            <w:i/>
          </w:rPr>
          <w:t>Appendix S</w:t>
        </w:r>
      </w:hyperlink>
      <w:r>
        <w:t>) applies</w:t>
      </w:r>
      <w:r>
        <w:rPr>
          <w:rFonts w:cs="Arial"/>
        </w:rPr>
        <w:t>.</w:t>
      </w:r>
      <w:r>
        <w:t xml:space="preserve"> </w:t>
      </w:r>
    </w:p>
    <w:p w14:paraId="44B5961E" w14:textId="77777777" w:rsidR="000D07EA" w:rsidRDefault="00BE7C89">
      <w:pPr>
        <w:pStyle w:val="Heading7"/>
        <w:rPr>
          <w:b/>
        </w:rPr>
      </w:pPr>
      <w:r>
        <w:rPr>
          <w:b/>
        </w:rPr>
        <w:t xml:space="preserve">Additional benefit– Free Access to Optus WiFi Hotspots (Free Wi-Fi Benefit). </w:t>
      </w:r>
    </w:p>
    <w:p w14:paraId="054CCE59" w14:textId="77777777" w:rsidR="000D07EA" w:rsidRDefault="00BE7C89">
      <w:pPr>
        <w:pStyle w:val="Heading8"/>
      </w:pPr>
      <w:r>
        <w:t xml:space="preserve">Customers who connect their Apple iPhone to an Optus iPhone rate plan may receive free WiFi from any Optus WiFi hotspot. </w:t>
      </w:r>
    </w:p>
    <w:p w14:paraId="6E94F0D0" w14:textId="77777777" w:rsidR="000D07EA" w:rsidRDefault="00BE7C89">
      <w:pPr>
        <w:pStyle w:val="Heading8"/>
      </w:pPr>
      <w:r>
        <w:lastRenderedPageBreak/>
        <w:t xml:space="preserve">The service provides </w:t>
      </w:r>
      <w:r>
        <w:rPr>
          <w:i/>
        </w:rPr>
        <w:t>you</w:t>
      </w:r>
      <w:r>
        <w:t xml:space="preserve"> with access, via a fixed wireless IP network extension to the Optus IP Network, to the Internet and related services, such as email and the world wide web on an on-demand basis. </w:t>
      </w:r>
    </w:p>
    <w:p w14:paraId="62E75C83" w14:textId="77777777" w:rsidR="000D07EA" w:rsidRDefault="00BE7C89">
      <w:pPr>
        <w:pStyle w:val="Heading8"/>
      </w:pPr>
      <w:r>
        <w:t xml:space="preserve">Optus may immediately suspend, downgrade or cancel the Free Wi-Fi Benefit in a variety of circumstances, including but not limited to the following: </w:t>
      </w:r>
      <w:r>
        <w:rPr>
          <w:i/>
        </w:rPr>
        <w:t>you</w:t>
      </w:r>
      <w:r>
        <w:t xml:space="preserve"> misuse the Service; non- compliant Equipment is used; there is an unusually high use of the Service; </w:t>
      </w:r>
      <w:r>
        <w:rPr>
          <w:i/>
        </w:rPr>
        <w:t>you</w:t>
      </w:r>
      <w:r>
        <w:t xml:space="preserve"> fail to pay any charges to Optus; </w:t>
      </w:r>
      <w:r>
        <w:rPr>
          <w:i/>
        </w:rPr>
        <w:t>you</w:t>
      </w:r>
      <w:r>
        <w:t xml:space="preserve"> become insolvent; or if for technical or commercial reasons, Optus' Wi-Fi network is no longer operational or available. </w:t>
      </w:r>
    </w:p>
    <w:p w14:paraId="60D4FEA8" w14:textId="77777777" w:rsidR="000D07EA" w:rsidRDefault="00BE7C89">
      <w:pPr>
        <w:pStyle w:val="Heading8"/>
      </w:pPr>
      <w:r>
        <w:t>Not all content located on Optus iZoo will be available when using the Apple iPhone over the Optus WiFi connection. Availability and performance of Optus hot-spots can vary.</w:t>
      </w:r>
    </w:p>
    <w:p w14:paraId="663A508A" w14:textId="77777777" w:rsidR="000D07EA" w:rsidRDefault="00BE7C89">
      <w:pPr>
        <w:pStyle w:val="Heading7"/>
        <w:rPr>
          <w:b/>
        </w:rPr>
      </w:pPr>
      <w:r>
        <w:rPr>
          <w:b/>
        </w:rPr>
        <w:t>Eligible Calls and Pricing Plans</w:t>
      </w:r>
    </w:p>
    <w:p w14:paraId="6630B258" w14:textId="77777777" w:rsidR="000D07EA" w:rsidRDefault="00BE7C89">
      <w:pPr>
        <w:pStyle w:val="Heading8"/>
      </w:pPr>
      <w:r>
        <w:t xml:space="preserve">Table 1A below indicates whether particular call types are an 'eligible call and text' which count towards the "Included Cap Value" and Minimum Monthly Charge of </w:t>
      </w:r>
      <w:r>
        <w:rPr>
          <w:i/>
        </w:rPr>
        <w:t xml:space="preserve">your </w:t>
      </w:r>
      <w:r>
        <w:t xml:space="preserve">selected Business Complete Max iPhone BYO Plans. </w:t>
      </w:r>
    </w:p>
    <w:p w14:paraId="7536CF9A" w14:textId="77777777" w:rsidR="000D07EA" w:rsidRDefault="00BE7C89">
      <w:pPr>
        <w:pStyle w:val="Heading8"/>
      </w:pPr>
      <w:r>
        <w:t xml:space="preserve">Table 1B below indicates whether a particular call type is 'eligible data usage' which counts towards the data value of </w:t>
      </w:r>
      <w:r>
        <w:rPr>
          <w:i/>
        </w:rPr>
        <w:t xml:space="preserve">your </w:t>
      </w:r>
      <w:r>
        <w:t xml:space="preserve">selected Business Complete Max iPhone BYO plan. </w:t>
      </w:r>
    </w:p>
    <w:p w14:paraId="52C74DE4" w14:textId="77777777" w:rsidR="000D07EA" w:rsidRDefault="00BE7C89">
      <w:pPr>
        <w:pStyle w:val="Heading8"/>
      </w:pPr>
      <w:r>
        <w:t>Table 2A below contains details of each Business Complete Max iPhone BYO Plans.</w:t>
      </w:r>
    </w:p>
    <w:p w14:paraId="430402EA" w14:textId="77777777" w:rsidR="000D07EA" w:rsidRDefault="00BE7C89">
      <w:pPr>
        <w:pStyle w:val="BodyText"/>
        <w:keepNext/>
        <w:ind w:left="1440"/>
        <w:rPr>
          <w:b/>
        </w:rPr>
      </w:pPr>
      <w:r>
        <w:rPr>
          <w:b/>
        </w:rPr>
        <w:t>Table 1A –- Eligible Calls and Text for the Included Cap Value</w:t>
      </w:r>
    </w:p>
    <w:tbl>
      <w:tblPr>
        <w:tblW w:w="4297"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378"/>
        <w:gridCol w:w="4378"/>
      </w:tblGrid>
      <w:tr w:rsidR="000D07EA" w14:paraId="423DB622" w14:textId="77777777">
        <w:trPr>
          <w:trHeight w:val="20"/>
          <w:tblHeader/>
        </w:trPr>
        <w:tc>
          <w:tcPr>
            <w:tcW w:w="2500" w:type="pct"/>
            <w:hideMark/>
          </w:tcPr>
          <w:p w14:paraId="0BF091BE" w14:textId="77777777" w:rsidR="000D07EA" w:rsidRDefault="00BE7C89">
            <w:pPr>
              <w:pStyle w:val="BodyText"/>
              <w:keepNext/>
              <w:spacing w:before="100" w:after="100"/>
              <w:rPr>
                <w:b/>
                <w:lang w:val="en-AU"/>
              </w:rPr>
            </w:pPr>
            <w:r>
              <w:rPr>
                <w:b/>
              </w:rPr>
              <w:t>Call Type</w:t>
            </w:r>
          </w:p>
        </w:tc>
        <w:tc>
          <w:tcPr>
            <w:tcW w:w="2500" w:type="pct"/>
            <w:hideMark/>
          </w:tcPr>
          <w:p w14:paraId="2713EB7C" w14:textId="77777777" w:rsidR="000D07EA" w:rsidRDefault="00BE7C89">
            <w:pPr>
              <w:pStyle w:val="BodyText"/>
              <w:keepNext/>
              <w:spacing w:before="100" w:after="100"/>
              <w:rPr>
                <w:b/>
                <w:lang w:val="en-AU"/>
              </w:rPr>
            </w:pPr>
            <w:r>
              <w:rPr>
                <w:b/>
              </w:rPr>
              <w:t xml:space="preserve">Eligible Call </w:t>
            </w:r>
          </w:p>
        </w:tc>
      </w:tr>
      <w:tr w:rsidR="000D07EA" w14:paraId="2AD548C2" w14:textId="77777777">
        <w:trPr>
          <w:trHeight w:val="20"/>
        </w:trPr>
        <w:tc>
          <w:tcPr>
            <w:tcW w:w="2500" w:type="pct"/>
            <w:hideMark/>
          </w:tcPr>
          <w:p w14:paraId="54811822" w14:textId="77777777" w:rsidR="000D07EA" w:rsidRDefault="00BE7C89">
            <w:pPr>
              <w:pStyle w:val="BodyText"/>
              <w:spacing w:before="100" w:after="100"/>
              <w:rPr>
                <w:lang w:val="en-AU"/>
              </w:rPr>
            </w:pPr>
            <w:r>
              <w:t>National Voice Calls</w:t>
            </w:r>
          </w:p>
        </w:tc>
        <w:tc>
          <w:tcPr>
            <w:tcW w:w="2500" w:type="pct"/>
            <w:hideMark/>
          </w:tcPr>
          <w:p w14:paraId="7787ABC3" w14:textId="77777777" w:rsidR="000D07EA" w:rsidRDefault="00BE7C89">
            <w:pPr>
              <w:pStyle w:val="BodyText"/>
              <w:spacing w:before="100" w:after="100"/>
              <w:rPr>
                <w:lang w:val="en-AU"/>
              </w:rPr>
            </w:pPr>
            <w:r>
              <w:t>Yes</w:t>
            </w:r>
          </w:p>
        </w:tc>
      </w:tr>
      <w:tr w:rsidR="000D07EA" w14:paraId="38EE4D9C" w14:textId="77777777">
        <w:trPr>
          <w:trHeight w:val="20"/>
        </w:trPr>
        <w:tc>
          <w:tcPr>
            <w:tcW w:w="2500" w:type="pct"/>
            <w:hideMark/>
          </w:tcPr>
          <w:p w14:paraId="53550A20" w14:textId="77777777" w:rsidR="000D07EA" w:rsidRDefault="00BE7C89">
            <w:pPr>
              <w:pStyle w:val="BodyText"/>
              <w:spacing w:before="100" w:after="100"/>
              <w:rPr>
                <w:sz w:val="24"/>
                <w:szCs w:val="20"/>
                <w:lang w:val="en-AU"/>
              </w:rPr>
            </w:pPr>
            <w:r>
              <w:t>International Voice Calls</w:t>
            </w:r>
          </w:p>
          <w:p w14:paraId="00724AB1" w14:textId="77777777" w:rsidR="000D07EA" w:rsidRDefault="00BE7C89">
            <w:pPr>
              <w:pStyle w:val="BodyText"/>
              <w:spacing w:before="100" w:after="100"/>
              <w:rPr>
                <w:lang w:val="en-AU"/>
              </w:rPr>
            </w:pPr>
            <w:r>
              <w:rPr>
                <w:snapToGrid w:val="0"/>
              </w:rPr>
              <w:t>(includes calls to national fixed or GSM mobile services that then divert/switch or re-route overseas)</w:t>
            </w:r>
          </w:p>
        </w:tc>
        <w:tc>
          <w:tcPr>
            <w:tcW w:w="2500" w:type="pct"/>
            <w:hideMark/>
          </w:tcPr>
          <w:p w14:paraId="3BA80C58" w14:textId="77777777" w:rsidR="000D07EA" w:rsidRDefault="00BE7C89">
            <w:pPr>
              <w:pStyle w:val="BodyText"/>
              <w:spacing w:before="100" w:after="100"/>
              <w:rPr>
                <w:lang w:val="en-AU"/>
              </w:rPr>
            </w:pPr>
            <w:r>
              <w:t xml:space="preserve">No </w:t>
            </w:r>
          </w:p>
        </w:tc>
      </w:tr>
      <w:tr w:rsidR="000D07EA" w14:paraId="0EC8086D" w14:textId="77777777">
        <w:trPr>
          <w:trHeight w:val="20"/>
        </w:trPr>
        <w:tc>
          <w:tcPr>
            <w:tcW w:w="2500" w:type="pct"/>
            <w:hideMark/>
          </w:tcPr>
          <w:p w14:paraId="29241D1C" w14:textId="77777777" w:rsidR="000D07EA" w:rsidRDefault="00BE7C89">
            <w:pPr>
              <w:pStyle w:val="BodyText"/>
              <w:spacing w:before="100" w:after="100"/>
              <w:rPr>
                <w:lang w:val="en-AU"/>
              </w:rPr>
            </w:pPr>
            <w:r>
              <w:t>National Video Calls</w:t>
            </w:r>
          </w:p>
        </w:tc>
        <w:tc>
          <w:tcPr>
            <w:tcW w:w="2500" w:type="pct"/>
            <w:hideMark/>
          </w:tcPr>
          <w:p w14:paraId="697D80EE" w14:textId="77777777" w:rsidR="000D07EA" w:rsidRDefault="00BE7C89">
            <w:pPr>
              <w:pStyle w:val="BodyText"/>
              <w:spacing w:before="100" w:after="100"/>
              <w:rPr>
                <w:lang w:val="en-AU"/>
              </w:rPr>
            </w:pPr>
            <w:r>
              <w:t>Yes</w:t>
            </w:r>
          </w:p>
        </w:tc>
      </w:tr>
      <w:tr w:rsidR="000D07EA" w14:paraId="000911DC" w14:textId="77777777">
        <w:trPr>
          <w:trHeight w:val="20"/>
        </w:trPr>
        <w:tc>
          <w:tcPr>
            <w:tcW w:w="2500" w:type="pct"/>
            <w:hideMark/>
          </w:tcPr>
          <w:p w14:paraId="2AF7E888" w14:textId="77777777" w:rsidR="000D07EA" w:rsidRDefault="00BE7C89">
            <w:pPr>
              <w:pStyle w:val="BodyText"/>
              <w:spacing w:before="100" w:after="100"/>
              <w:rPr>
                <w:sz w:val="24"/>
                <w:szCs w:val="20"/>
                <w:lang w:val="en-AU"/>
              </w:rPr>
            </w:pPr>
            <w:r>
              <w:t>International Video Calls</w:t>
            </w:r>
          </w:p>
          <w:p w14:paraId="03A08652" w14:textId="77777777" w:rsidR="000D07EA" w:rsidRDefault="00BE7C89">
            <w:pPr>
              <w:pStyle w:val="BodyText"/>
              <w:spacing w:before="100" w:after="100"/>
              <w:rPr>
                <w:lang w:val="en-AU"/>
              </w:rPr>
            </w:pPr>
            <w:r>
              <w:rPr>
                <w:snapToGrid w:val="0"/>
              </w:rPr>
              <w:t>(includes calls to national fixed or GSM mobile services that then divert/switch or re-route overseas)</w:t>
            </w:r>
          </w:p>
        </w:tc>
        <w:tc>
          <w:tcPr>
            <w:tcW w:w="2500" w:type="pct"/>
            <w:hideMark/>
          </w:tcPr>
          <w:p w14:paraId="404DB442" w14:textId="77777777" w:rsidR="000D07EA" w:rsidRDefault="00BE7C89">
            <w:pPr>
              <w:pStyle w:val="BodyText"/>
              <w:spacing w:before="100" w:after="100"/>
              <w:rPr>
                <w:lang w:val="en-AU"/>
              </w:rPr>
            </w:pPr>
            <w:r>
              <w:t>No</w:t>
            </w:r>
          </w:p>
        </w:tc>
      </w:tr>
      <w:tr w:rsidR="000D07EA" w14:paraId="658A7F47" w14:textId="77777777">
        <w:trPr>
          <w:trHeight w:val="20"/>
        </w:trPr>
        <w:tc>
          <w:tcPr>
            <w:tcW w:w="2500" w:type="pct"/>
            <w:hideMark/>
          </w:tcPr>
          <w:p w14:paraId="76FEDC24" w14:textId="77777777" w:rsidR="000D07EA" w:rsidRDefault="00BE7C89">
            <w:pPr>
              <w:pStyle w:val="BodyText"/>
              <w:spacing w:before="100" w:after="100"/>
              <w:rPr>
                <w:lang w:val="en-AU"/>
              </w:rPr>
            </w:pPr>
            <w:r>
              <w:t>National and International SMS</w:t>
            </w:r>
          </w:p>
        </w:tc>
        <w:tc>
          <w:tcPr>
            <w:tcW w:w="2500" w:type="pct"/>
            <w:hideMark/>
          </w:tcPr>
          <w:p w14:paraId="2A504C43" w14:textId="77777777" w:rsidR="000D07EA" w:rsidRDefault="00BE7C89">
            <w:pPr>
              <w:pStyle w:val="BodyText"/>
              <w:spacing w:before="100" w:after="100"/>
              <w:rPr>
                <w:lang w:val="en-AU"/>
              </w:rPr>
            </w:pPr>
            <w:r>
              <w:t>Yes</w:t>
            </w:r>
          </w:p>
        </w:tc>
      </w:tr>
      <w:tr w:rsidR="000D07EA" w14:paraId="2C5BEA11" w14:textId="77777777">
        <w:trPr>
          <w:trHeight w:val="20"/>
        </w:trPr>
        <w:tc>
          <w:tcPr>
            <w:tcW w:w="2500" w:type="pct"/>
            <w:hideMark/>
          </w:tcPr>
          <w:p w14:paraId="0D41B7F0" w14:textId="77777777" w:rsidR="000D07EA" w:rsidRDefault="00BE7C89">
            <w:pPr>
              <w:pStyle w:val="BodyText"/>
              <w:spacing w:before="100" w:after="100"/>
              <w:rPr>
                <w:lang w:val="en-AU"/>
              </w:rPr>
            </w:pPr>
            <w:r>
              <w:t>Voicemail Diversions</w:t>
            </w:r>
          </w:p>
        </w:tc>
        <w:tc>
          <w:tcPr>
            <w:tcW w:w="2500" w:type="pct"/>
            <w:hideMark/>
          </w:tcPr>
          <w:p w14:paraId="2D3A304E" w14:textId="77777777" w:rsidR="000D07EA" w:rsidRDefault="00BE7C89">
            <w:pPr>
              <w:pStyle w:val="BodyText"/>
              <w:spacing w:before="100" w:after="100"/>
              <w:rPr>
                <w:lang w:val="en-AU"/>
              </w:rPr>
            </w:pPr>
            <w:r>
              <w:t>Yes</w:t>
            </w:r>
          </w:p>
        </w:tc>
      </w:tr>
      <w:tr w:rsidR="000D07EA" w14:paraId="196BEAE3" w14:textId="77777777">
        <w:trPr>
          <w:trHeight w:val="20"/>
        </w:trPr>
        <w:tc>
          <w:tcPr>
            <w:tcW w:w="2500" w:type="pct"/>
            <w:hideMark/>
          </w:tcPr>
          <w:p w14:paraId="5D2F5DD3" w14:textId="77777777" w:rsidR="000D07EA" w:rsidRDefault="00BE7C89">
            <w:pPr>
              <w:pStyle w:val="BodyText"/>
              <w:spacing w:before="100" w:after="100"/>
              <w:rPr>
                <w:lang w:val="en-AU"/>
              </w:rPr>
            </w:pPr>
            <w:r>
              <w:t>Voicemail Deposit and Retrievals</w:t>
            </w:r>
          </w:p>
        </w:tc>
        <w:tc>
          <w:tcPr>
            <w:tcW w:w="2500" w:type="pct"/>
            <w:hideMark/>
          </w:tcPr>
          <w:p w14:paraId="7D2F44B6" w14:textId="77777777" w:rsidR="000D07EA" w:rsidRDefault="00BE7C89">
            <w:pPr>
              <w:pStyle w:val="BodyText"/>
              <w:spacing w:before="100" w:after="100"/>
              <w:rPr>
                <w:lang w:val="en-AU"/>
              </w:rPr>
            </w:pPr>
            <w:r>
              <w:t>Yes</w:t>
            </w:r>
          </w:p>
        </w:tc>
      </w:tr>
      <w:tr w:rsidR="000D07EA" w14:paraId="214D0F53" w14:textId="77777777">
        <w:trPr>
          <w:trHeight w:val="20"/>
        </w:trPr>
        <w:tc>
          <w:tcPr>
            <w:tcW w:w="2500" w:type="pct"/>
            <w:hideMark/>
          </w:tcPr>
          <w:p w14:paraId="5C1EC82D" w14:textId="77777777" w:rsidR="000D07EA" w:rsidRDefault="00BE7C89">
            <w:pPr>
              <w:pStyle w:val="BodyText"/>
              <w:spacing w:before="100" w:after="100"/>
              <w:rPr>
                <w:lang w:val="en-AU"/>
              </w:rPr>
            </w:pPr>
            <w:r>
              <w:t>International Roaming &amp; Diversion</w:t>
            </w:r>
          </w:p>
        </w:tc>
        <w:tc>
          <w:tcPr>
            <w:tcW w:w="2500" w:type="pct"/>
            <w:hideMark/>
          </w:tcPr>
          <w:p w14:paraId="23F24BA7" w14:textId="77777777" w:rsidR="000D07EA" w:rsidRDefault="00BE7C89">
            <w:pPr>
              <w:pStyle w:val="BodyText"/>
              <w:spacing w:before="100" w:after="100"/>
              <w:rPr>
                <w:lang w:val="en-AU"/>
              </w:rPr>
            </w:pPr>
            <w:r>
              <w:t>No</w:t>
            </w:r>
          </w:p>
        </w:tc>
      </w:tr>
      <w:tr w:rsidR="000D07EA" w14:paraId="050EBD58" w14:textId="77777777">
        <w:trPr>
          <w:trHeight w:val="20"/>
        </w:trPr>
        <w:tc>
          <w:tcPr>
            <w:tcW w:w="2500" w:type="pct"/>
            <w:hideMark/>
          </w:tcPr>
          <w:p w14:paraId="2451ABD6" w14:textId="77777777" w:rsidR="000D07EA" w:rsidRDefault="00BE7C89">
            <w:pPr>
              <w:pStyle w:val="BodyText"/>
              <w:spacing w:before="100" w:after="100"/>
              <w:rPr>
                <w:lang w:val="en-AU"/>
              </w:rPr>
            </w:pPr>
            <w:r>
              <w:t>Premium SMS</w:t>
            </w:r>
          </w:p>
        </w:tc>
        <w:tc>
          <w:tcPr>
            <w:tcW w:w="2500" w:type="pct"/>
            <w:hideMark/>
          </w:tcPr>
          <w:p w14:paraId="6C39EB8F" w14:textId="77777777" w:rsidR="000D07EA" w:rsidRDefault="00BE7C89">
            <w:pPr>
              <w:pStyle w:val="BodyText"/>
              <w:spacing w:before="100" w:after="100"/>
              <w:rPr>
                <w:lang w:val="en-AU"/>
              </w:rPr>
            </w:pPr>
            <w:r>
              <w:t>No</w:t>
            </w:r>
          </w:p>
        </w:tc>
      </w:tr>
      <w:tr w:rsidR="000D07EA" w14:paraId="32FC9A94" w14:textId="77777777">
        <w:trPr>
          <w:trHeight w:val="20"/>
        </w:trPr>
        <w:tc>
          <w:tcPr>
            <w:tcW w:w="2500" w:type="pct"/>
            <w:hideMark/>
          </w:tcPr>
          <w:p w14:paraId="21829E21" w14:textId="77777777" w:rsidR="000D07EA" w:rsidRDefault="00BE7C89">
            <w:pPr>
              <w:pStyle w:val="BodyText"/>
              <w:spacing w:before="100" w:after="100"/>
              <w:rPr>
                <w:lang w:val="en-AU"/>
              </w:rPr>
            </w:pPr>
            <w:r>
              <w:t xml:space="preserve">Premium Video </w:t>
            </w:r>
          </w:p>
        </w:tc>
        <w:tc>
          <w:tcPr>
            <w:tcW w:w="2500" w:type="pct"/>
            <w:hideMark/>
          </w:tcPr>
          <w:p w14:paraId="2AF92491" w14:textId="77777777" w:rsidR="000D07EA" w:rsidRDefault="00BE7C89">
            <w:pPr>
              <w:pStyle w:val="BodyText"/>
              <w:spacing w:before="100" w:after="100"/>
              <w:rPr>
                <w:lang w:val="en-AU"/>
              </w:rPr>
            </w:pPr>
            <w:r>
              <w:t>No</w:t>
            </w:r>
          </w:p>
        </w:tc>
      </w:tr>
      <w:tr w:rsidR="000D07EA" w14:paraId="681D6076" w14:textId="77777777">
        <w:trPr>
          <w:trHeight w:val="20"/>
        </w:trPr>
        <w:tc>
          <w:tcPr>
            <w:tcW w:w="2500" w:type="pct"/>
            <w:hideMark/>
          </w:tcPr>
          <w:p w14:paraId="1FC2F9AF" w14:textId="77777777" w:rsidR="000D07EA" w:rsidRDefault="00BE7C89">
            <w:pPr>
              <w:pStyle w:val="BodyText"/>
              <w:spacing w:before="100" w:after="100"/>
              <w:rPr>
                <w:lang w:val="en-AU"/>
              </w:rPr>
            </w:pPr>
            <w:r>
              <w:t xml:space="preserve">Video Conferencing </w:t>
            </w:r>
          </w:p>
        </w:tc>
        <w:tc>
          <w:tcPr>
            <w:tcW w:w="2500" w:type="pct"/>
            <w:hideMark/>
          </w:tcPr>
          <w:p w14:paraId="15F160DB" w14:textId="77777777" w:rsidR="000D07EA" w:rsidRDefault="00BE7C89">
            <w:pPr>
              <w:pStyle w:val="BodyText"/>
              <w:spacing w:before="100" w:after="100"/>
              <w:rPr>
                <w:lang w:val="en-AU"/>
              </w:rPr>
            </w:pPr>
            <w:r>
              <w:t>No</w:t>
            </w:r>
          </w:p>
        </w:tc>
      </w:tr>
      <w:tr w:rsidR="000D07EA" w14:paraId="3EEB2068" w14:textId="77777777">
        <w:trPr>
          <w:trHeight w:val="20"/>
        </w:trPr>
        <w:tc>
          <w:tcPr>
            <w:tcW w:w="2500" w:type="pct"/>
            <w:hideMark/>
          </w:tcPr>
          <w:p w14:paraId="4A0A83D4" w14:textId="77777777" w:rsidR="000D07EA" w:rsidRDefault="00BE7C89">
            <w:pPr>
              <w:pStyle w:val="BodyText"/>
              <w:spacing w:before="100" w:after="100"/>
              <w:rPr>
                <w:lang w:val="en-AU"/>
              </w:rPr>
            </w:pPr>
            <w:r>
              <w:t>National MMS</w:t>
            </w:r>
          </w:p>
        </w:tc>
        <w:tc>
          <w:tcPr>
            <w:tcW w:w="2500" w:type="pct"/>
            <w:hideMark/>
          </w:tcPr>
          <w:p w14:paraId="10704A9D" w14:textId="77777777" w:rsidR="000D07EA" w:rsidRDefault="00BE7C89">
            <w:pPr>
              <w:pStyle w:val="BodyText"/>
              <w:spacing w:before="100" w:after="100"/>
              <w:rPr>
                <w:lang w:val="en-AU"/>
              </w:rPr>
            </w:pPr>
            <w:r>
              <w:t>Yes</w:t>
            </w:r>
          </w:p>
        </w:tc>
      </w:tr>
      <w:tr w:rsidR="000D07EA" w14:paraId="0E846CB5" w14:textId="77777777">
        <w:trPr>
          <w:trHeight w:val="20"/>
        </w:trPr>
        <w:tc>
          <w:tcPr>
            <w:tcW w:w="2500" w:type="pct"/>
            <w:hideMark/>
          </w:tcPr>
          <w:p w14:paraId="5D471889" w14:textId="77777777" w:rsidR="000D07EA" w:rsidRDefault="00BE7C89">
            <w:pPr>
              <w:pStyle w:val="BodyText"/>
              <w:spacing w:before="100" w:after="100"/>
              <w:rPr>
                <w:lang w:val="en-AU"/>
              </w:rPr>
            </w:pPr>
            <w:r>
              <w:t>International MMS</w:t>
            </w:r>
          </w:p>
        </w:tc>
        <w:tc>
          <w:tcPr>
            <w:tcW w:w="2500" w:type="pct"/>
            <w:hideMark/>
          </w:tcPr>
          <w:p w14:paraId="0B85290C" w14:textId="77777777" w:rsidR="000D07EA" w:rsidRDefault="00BE7C89">
            <w:pPr>
              <w:pStyle w:val="BodyText"/>
              <w:spacing w:before="100" w:after="100"/>
              <w:rPr>
                <w:lang w:val="en-AU"/>
              </w:rPr>
            </w:pPr>
            <w:r>
              <w:t>No</w:t>
            </w:r>
          </w:p>
        </w:tc>
      </w:tr>
      <w:tr w:rsidR="000D07EA" w14:paraId="0C394913" w14:textId="77777777">
        <w:trPr>
          <w:trHeight w:val="20"/>
        </w:trPr>
        <w:tc>
          <w:tcPr>
            <w:tcW w:w="2500" w:type="pct"/>
            <w:hideMark/>
          </w:tcPr>
          <w:p w14:paraId="094B09D7" w14:textId="77777777" w:rsidR="000D07EA" w:rsidRDefault="00BE7C89">
            <w:pPr>
              <w:pStyle w:val="BodyText"/>
              <w:spacing w:before="100" w:after="100"/>
              <w:rPr>
                <w:lang w:val="en-AU"/>
              </w:rPr>
            </w:pPr>
            <w:r>
              <w:t>Optus Zoo or Optus iZoo Browsing</w:t>
            </w:r>
          </w:p>
        </w:tc>
        <w:tc>
          <w:tcPr>
            <w:tcW w:w="2500" w:type="pct"/>
            <w:hideMark/>
          </w:tcPr>
          <w:p w14:paraId="1EC5256B" w14:textId="77777777" w:rsidR="000D07EA" w:rsidRDefault="00BE7C89">
            <w:pPr>
              <w:pStyle w:val="BodyText"/>
              <w:spacing w:before="100" w:after="100"/>
              <w:rPr>
                <w:lang w:val="en-AU"/>
              </w:rPr>
            </w:pPr>
            <w:r>
              <w:t>No</w:t>
            </w:r>
          </w:p>
        </w:tc>
      </w:tr>
      <w:tr w:rsidR="000D07EA" w14:paraId="0F5F915E" w14:textId="77777777">
        <w:trPr>
          <w:trHeight w:val="20"/>
        </w:trPr>
        <w:tc>
          <w:tcPr>
            <w:tcW w:w="2500" w:type="pct"/>
            <w:hideMark/>
          </w:tcPr>
          <w:p w14:paraId="0CB51128" w14:textId="77777777" w:rsidR="000D07EA" w:rsidRDefault="00BE7C89">
            <w:pPr>
              <w:pStyle w:val="BodyText"/>
              <w:spacing w:before="100" w:after="100"/>
              <w:rPr>
                <w:lang w:val="en-AU"/>
              </w:rPr>
            </w:pPr>
            <w:r>
              <w:lastRenderedPageBreak/>
              <w:t>Optus Zoo or Optus iZoo Downloads</w:t>
            </w:r>
          </w:p>
        </w:tc>
        <w:tc>
          <w:tcPr>
            <w:tcW w:w="2500" w:type="pct"/>
            <w:hideMark/>
          </w:tcPr>
          <w:p w14:paraId="195FE84D" w14:textId="77777777" w:rsidR="000D07EA" w:rsidRDefault="00BE7C89">
            <w:pPr>
              <w:pStyle w:val="BodyText"/>
              <w:spacing w:before="100" w:after="100"/>
              <w:rPr>
                <w:lang w:val="en-AU"/>
              </w:rPr>
            </w:pPr>
            <w:r>
              <w:t>No</w:t>
            </w:r>
          </w:p>
        </w:tc>
      </w:tr>
      <w:tr w:rsidR="000D07EA" w14:paraId="317B7F16" w14:textId="77777777">
        <w:trPr>
          <w:trHeight w:val="20"/>
        </w:trPr>
        <w:tc>
          <w:tcPr>
            <w:tcW w:w="2500" w:type="pct"/>
            <w:hideMark/>
          </w:tcPr>
          <w:p w14:paraId="605869E2" w14:textId="77777777" w:rsidR="000D07EA" w:rsidRDefault="00BE7C89">
            <w:pPr>
              <w:pStyle w:val="BodyText"/>
              <w:spacing w:before="100" w:after="100"/>
              <w:rPr>
                <w:lang w:val="en-AU"/>
              </w:rPr>
            </w:pPr>
            <w:r>
              <w:t>SMS to 966 (Zoo)</w:t>
            </w:r>
          </w:p>
        </w:tc>
        <w:tc>
          <w:tcPr>
            <w:tcW w:w="2500" w:type="pct"/>
            <w:hideMark/>
          </w:tcPr>
          <w:p w14:paraId="3AE2FFC8" w14:textId="77777777" w:rsidR="000D07EA" w:rsidRDefault="00BE7C89">
            <w:pPr>
              <w:pStyle w:val="BodyText"/>
              <w:spacing w:before="100" w:after="100"/>
              <w:rPr>
                <w:lang w:val="en-AU"/>
              </w:rPr>
            </w:pPr>
            <w:r>
              <w:t>No</w:t>
            </w:r>
          </w:p>
        </w:tc>
      </w:tr>
      <w:tr w:rsidR="000D07EA" w14:paraId="3336D909" w14:textId="77777777">
        <w:trPr>
          <w:trHeight w:val="20"/>
        </w:trPr>
        <w:tc>
          <w:tcPr>
            <w:tcW w:w="2500" w:type="pct"/>
            <w:hideMark/>
          </w:tcPr>
          <w:p w14:paraId="69C74A41" w14:textId="77777777" w:rsidR="000D07EA" w:rsidRDefault="00BE7C89">
            <w:pPr>
              <w:pStyle w:val="BodyText"/>
              <w:spacing w:before="100" w:after="100"/>
              <w:rPr>
                <w:lang w:val="en-AU"/>
              </w:rPr>
            </w:pPr>
            <w:r>
              <w:t>Data used whilst roaming internationally</w:t>
            </w:r>
          </w:p>
        </w:tc>
        <w:tc>
          <w:tcPr>
            <w:tcW w:w="2500" w:type="pct"/>
            <w:hideMark/>
          </w:tcPr>
          <w:p w14:paraId="1D788299" w14:textId="77777777" w:rsidR="000D07EA" w:rsidRDefault="00BE7C89">
            <w:pPr>
              <w:pStyle w:val="BodyText"/>
              <w:spacing w:before="100" w:after="100"/>
              <w:rPr>
                <w:lang w:val="en-AU"/>
              </w:rPr>
            </w:pPr>
            <w:r>
              <w:t>No</w:t>
            </w:r>
          </w:p>
        </w:tc>
      </w:tr>
      <w:tr w:rsidR="000D07EA" w14:paraId="19B3C56C" w14:textId="77777777">
        <w:trPr>
          <w:trHeight w:val="20"/>
        </w:trPr>
        <w:tc>
          <w:tcPr>
            <w:tcW w:w="2500" w:type="pct"/>
            <w:hideMark/>
          </w:tcPr>
          <w:p w14:paraId="5A31039D" w14:textId="77777777" w:rsidR="000D07EA" w:rsidRDefault="00BE7C89">
            <w:pPr>
              <w:pStyle w:val="BodyText"/>
              <w:spacing w:before="100" w:after="100"/>
              <w:rPr>
                <w:lang w:val="en-AU"/>
              </w:rPr>
            </w:pPr>
            <w:r>
              <w:t xml:space="preserve">Directory Assistance – 1223 </w:t>
            </w:r>
          </w:p>
        </w:tc>
        <w:tc>
          <w:tcPr>
            <w:tcW w:w="2500" w:type="pct"/>
            <w:hideMark/>
          </w:tcPr>
          <w:p w14:paraId="2564739B" w14:textId="77777777" w:rsidR="000D07EA" w:rsidRDefault="00BE7C89">
            <w:pPr>
              <w:pStyle w:val="BodyText"/>
              <w:spacing w:before="100" w:after="100"/>
              <w:rPr>
                <w:lang w:val="en-AU"/>
              </w:rPr>
            </w:pPr>
            <w:r>
              <w:t>Yes</w:t>
            </w:r>
          </w:p>
        </w:tc>
      </w:tr>
      <w:tr w:rsidR="000D07EA" w14:paraId="05C5588B" w14:textId="77777777">
        <w:trPr>
          <w:trHeight w:val="20"/>
        </w:trPr>
        <w:tc>
          <w:tcPr>
            <w:tcW w:w="2500" w:type="pct"/>
            <w:hideMark/>
          </w:tcPr>
          <w:p w14:paraId="20A977FC" w14:textId="77777777" w:rsidR="000D07EA" w:rsidRDefault="00BE7C89">
            <w:pPr>
              <w:pStyle w:val="BodyText"/>
              <w:spacing w:before="100" w:after="100"/>
              <w:rPr>
                <w:lang w:val="en-AU"/>
              </w:rPr>
            </w:pPr>
            <w:r>
              <w:t>19XX Numbers</w:t>
            </w:r>
          </w:p>
        </w:tc>
        <w:tc>
          <w:tcPr>
            <w:tcW w:w="2500" w:type="pct"/>
            <w:hideMark/>
          </w:tcPr>
          <w:p w14:paraId="206CB76B" w14:textId="77777777" w:rsidR="000D07EA" w:rsidRDefault="00BE7C89">
            <w:pPr>
              <w:pStyle w:val="BodyText"/>
              <w:spacing w:before="100" w:after="100"/>
              <w:rPr>
                <w:lang w:val="en-AU"/>
              </w:rPr>
            </w:pPr>
            <w:r>
              <w:t>No</w:t>
            </w:r>
          </w:p>
        </w:tc>
      </w:tr>
      <w:tr w:rsidR="000D07EA" w14:paraId="05AEA22B" w14:textId="77777777">
        <w:trPr>
          <w:trHeight w:val="20"/>
        </w:trPr>
        <w:tc>
          <w:tcPr>
            <w:tcW w:w="2500" w:type="pct"/>
            <w:hideMark/>
          </w:tcPr>
          <w:p w14:paraId="7EE289B6" w14:textId="77777777" w:rsidR="000D07EA" w:rsidRDefault="00BE7C89">
            <w:pPr>
              <w:pStyle w:val="BodyText"/>
              <w:spacing w:before="100" w:after="100"/>
              <w:rPr>
                <w:lang w:val="en-AU"/>
              </w:rPr>
            </w:pPr>
            <w:r>
              <w:t>1800 and 1300 numbers</w:t>
            </w:r>
          </w:p>
        </w:tc>
        <w:tc>
          <w:tcPr>
            <w:tcW w:w="2500" w:type="pct"/>
            <w:hideMark/>
          </w:tcPr>
          <w:p w14:paraId="53C9F451" w14:textId="77777777" w:rsidR="000D07EA" w:rsidRDefault="00BE7C89">
            <w:pPr>
              <w:pStyle w:val="BodyText"/>
              <w:spacing w:before="100" w:after="100"/>
              <w:rPr>
                <w:lang w:val="en-AU"/>
              </w:rPr>
            </w:pPr>
            <w:r>
              <w:t>Yes</w:t>
            </w:r>
          </w:p>
        </w:tc>
      </w:tr>
      <w:tr w:rsidR="000D07EA" w14:paraId="2333445D" w14:textId="77777777">
        <w:trPr>
          <w:trHeight w:val="20"/>
        </w:trPr>
        <w:tc>
          <w:tcPr>
            <w:tcW w:w="2500" w:type="pct"/>
            <w:hideMark/>
          </w:tcPr>
          <w:p w14:paraId="178FFDD3" w14:textId="77777777" w:rsidR="000D07EA" w:rsidRDefault="00BE7C89">
            <w:pPr>
              <w:pStyle w:val="BodyText"/>
              <w:spacing w:before="100" w:after="100"/>
              <w:rPr>
                <w:lang w:val="en-AU"/>
              </w:rPr>
            </w:pPr>
            <w:r>
              <w:t>124YES(937)</w:t>
            </w:r>
          </w:p>
        </w:tc>
        <w:tc>
          <w:tcPr>
            <w:tcW w:w="2500" w:type="pct"/>
            <w:hideMark/>
          </w:tcPr>
          <w:p w14:paraId="0A0955F5" w14:textId="77777777" w:rsidR="000D07EA" w:rsidRDefault="00BE7C89">
            <w:pPr>
              <w:pStyle w:val="BodyText"/>
              <w:spacing w:before="100" w:after="100"/>
              <w:rPr>
                <w:lang w:val="en-AU"/>
              </w:rPr>
            </w:pPr>
            <w:r>
              <w:t>No</w:t>
            </w:r>
          </w:p>
        </w:tc>
      </w:tr>
      <w:tr w:rsidR="000D07EA" w14:paraId="5A3509BD" w14:textId="77777777">
        <w:trPr>
          <w:trHeight w:val="20"/>
        </w:trPr>
        <w:tc>
          <w:tcPr>
            <w:tcW w:w="2500" w:type="pct"/>
            <w:hideMark/>
          </w:tcPr>
          <w:p w14:paraId="00D26BA5" w14:textId="77777777" w:rsidR="000D07EA" w:rsidRDefault="00BE7C89">
            <w:pPr>
              <w:pStyle w:val="BodyText"/>
              <w:spacing w:before="100" w:after="100"/>
              <w:rPr>
                <w:lang w:val="en-AU"/>
              </w:rPr>
            </w:pPr>
            <w:r>
              <w:t>Insurance</w:t>
            </w:r>
          </w:p>
        </w:tc>
        <w:tc>
          <w:tcPr>
            <w:tcW w:w="2500" w:type="pct"/>
            <w:hideMark/>
          </w:tcPr>
          <w:p w14:paraId="237853D6" w14:textId="77777777" w:rsidR="000D07EA" w:rsidRDefault="00BE7C89">
            <w:pPr>
              <w:pStyle w:val="BodyText"/>
              <w:spacing w:before="100" w:after="100"/>
              <w:rPr>
                <w:lang w:val="en-AU"/>
              </w:rPr>
            </w:pPr>
            <w:r>
              <w:t>No</w:t>
            </w:r>
          </w:p>
        </w:tc>
      </w:tr>
      <w:tr w:rsidR="000D07EA" w14:paraId="769416DD" w14:textId="77777777">
        <w:trPr>
          <w:trHeight w:val="20"/>
        </w:trPr>
        <w:tc>
          <w:tcPr>
            <w:tcW w:w="2500" w:type="pct"/>
            <w:hideMark/>
          </w:tcPr>
          <w:p w14:paraId="3FC38A90" w14:textId="77777777" w:rsidR="000D07EA" w:rsidRDefault="00BE7C89">
            <w:pPr>
              <w:pStyle w:val="BodyText"/>
              <w:spacing w:before="100" w:after="100"/>
              <w:rPr>
                <w:lang w:val="en-AU"/>
              </w:rPr>
            </w:pPr>
            <w:r>
              <w:t>Handset Payments</w:t>
            </w:r>
          </w:p>
        </w:tc>
        <w:tc>
          <w:tcPr>
            <w:tcW w:w="2500" w:type="pct"/>
            <w:hideMark/>
          </w:tcPr>
          <w:p w14:paraId="4BA791E0" w14:textId="77777777" w:rsidR="000D07EA" w:rsidRDefault="00BE7C89">
            <w:pPr>
              <w:pStyle w:val="BodyText"/>
              <w:spacing w:before="100" w:after="100"/>
              <w:rPr>
                <w:lang w:val="en-AU"/>
              </w:rPr>
            </w:pPr>
            <w:r>
              <w:t>No</w:t>
            </w:r>
          </w:p>
        </w:tc>
      </w:tr>
      <w:tr w:rsidR="000D07EA" w14:paraId="27F40907" w14:textId="77777777">
        <w:trPr>
          <w:trHeight w:val="20"/>
        </w:trPr>
        <w:tc>
          <w:tcPr>
            <w:tcW w:w="2500" w:type="pct"/>
            <w:hideMark/>
          </w:tcPr>
          <w:p w14:paraId="2A3E09FB" w14:textId="77777777" w:rsidR="000D07EA" w:rsidRDefault="00BE7C89">
            <w:pPr>
              <w:pStyle w:val="BodyText"/>
              <w:spacing w:before="100" w:after="100"/>
              <w:rPr>
                <w:lang w:val="en-AU"/>
              </w:rPr>
            </w:pPr>
            <w:r>
              <w:t>Content Packs (unless specified in promotions)</w:t>
            </w:r>
          </w:p>
        </w:tc>
        <w:tc>
          <w:tcPr>
            <w:tcW w:w="2500" w:type="pct"/>
            <w:hideMark/>
          </w:tcPr>
          <w:p w14:paraId="2911B907" w14:textId="77777777" w:rsidR="000D07EA" w:rsidRDefault="00BE7C89">
            <w:pPr>
              <w:pStyle w:val="BodyText"/>
              <w:spacing w:before="100" w:after="100"/>
              <w:rPr>
                <w:lang w:val="en-AU"/>
              </w:rPr>
            </w:pPr>
            <w:r>
              <w:t>No</w:t>
            </w:r>
          </w:p>
        </w:tc>
      </w:tr>
      <w:tr w:rsidR="000D07EA" w14:paraId="551392D6" w14:textId="77777777">
        <w:trPr>
          <w:trHeight w:val="20"/>
        </w:trPr>
        <w:tc>
          <w:tcPr>
            <w:tcW w:w="2500" w:type="pct"/>
            <w:hideMark/>
          </w:tcPr>
          <w:p w14:paraId="580B0FF5" w14:textId="77777777" w:rsidR="000D07EA" w:rsidRDefault="00BE7C89">
            <w:pPr>
              <w:pStyle w:val="BodyText"/>
              <w:spacing w:before="100" w:after="100"/>
              <w:rPr>
                <w:lang w:val="en-AU"/>
              </w:rPr>
            </w:pPr>
            <w:r>
              <w:t>Mobile Internet usage</w:t>
            </w:r>
          </w:p>
        </w:tc>
        <w:tc>
          <w:tcPr>
            <w:tcW w:w="2500" w:type="pct"/>
            <w:hideMark/>
          </w:tcPr>
          <w:p w14:paraId="3B700F9B" w14:textId="77777777" w:rsidR="000D07EA" w:rsidRDefault="00BE7C89">
            <w:pPr>
              <w:pStyle w:val="BodyText"/>
              <w:spacing w:before="100" w:after="100"/>
              <w:rPr>
                <w:lang w:val="en-AU"/>
              </w:rPr>
            </w:pPr>
            <w:r>
              <w:t>No</w:t>
            </w:r>
          </w:p>
        </w:tc>
      </w:tr>
      <w:tr w:rsidR="000D07EA" w14:paraId="6FF76F0C" w14:textId="77777777">
        <w:trPr>
          <w:trHeight w:val="20"/>
        </w:trPr>
        <w:tc>
          <w:tcPr>
            <w:tcW w:w="2500" w:type="pct"/>
            <w:hideMark/>
          </w:tcPr>
          <w:p w14:paraId="6AF4FA4D" w14:textId="77777777" w:rsidR="000D07EA" w:rsidRDefault="00BE7C89">
            <w:pPr>
              <w:pStyle w:val="BodyText"/>
              <w:spacing w:before="100" w:after="100"/>
              <w:rPr>
                <w:lang w:val="en-AU"/>
              </w:rPr>
            </w:pPr>
            <w:r>
              <w:t xml:space="preserve">True Local Usage </w:t>
            </w:r>
          </w:p>
        </w:tc>
        <w:tc>
          <w:tcPr>
            <w:tcW w:w="2500" w:type="pct"/>
            <w:hideMark/>
          </w:tcPr>
          <w:p w14:paraId="53333EA7" w14:textId="77777777" w:rsidR="000D07EA" w:rsidRDefault="00BE7C89">
            <w:pPr>
              <w:pStyle w:val="BodyText"/>
              <w:spacing w:before="100" w:after="100"/>
              <w:rPr>
                <w:lang w:val="en-AU"/>
              </w:rPr>
            </w:pPr>
            <w:r>
              <w:t>No</w:t>
            </w:r>
          </w:p>
        </w:tc>
      </w:tr>
      <w:tr w:rsidR="000D07EA" w14:paraId="5B398341" w14:textId="77777777">
        <w:trPr>
          <w:trHeight w:val="20"/>
        </w:trPr>
        <w:tc>
          <w:tcPr>
            <w:tcW w:w="2500" w:type="pct"/>
            <w:hideMark/>
          </w:tcPr>
          <w:p w14:paraId="026C0C29" w14:textId="77777777" w:rsidR="000D07EA" w:rsidRDefault="00BE7C89">
            <w:pPr>
              <w:pStyle w:val="BodyText"/>
              <w:spacing w:before="100" w:after="100"/>
              <w:rPr>
                <w:lang w:val="en-AU"/>
              </w:rPr>
            </w:pPr>
            <w:r>
              <w:t>VOIP services</w:t>
            </w:r>
          </w:p>
        </w:tc>
        <w:tc>
          <w:tcPr>
            <w:tcW w:w="2500" w:type="pct"/>
            <w:hideMark/>
          </w:tcPr>
          <w:p w14:paraId="061B2A7C" w14:textId="77777777" w:rsidR="000D07EA" w:rsidRDefault="00BE7C89">
            <w:pPr>
              <w:pStyle w:val="BodyText"/>
              <w:spacing w:before="100" w:after="100"/>
              <w:rPr>
                <w:lang w:val="en-AU"/>
              </w:rPr>
            </w:pPr>
            <w:r>
              <w:t>No</w:t>
            </w:r>
          </w:p>
        </w:tc>
      </w:tr>
      <w:tr w:rsidR="000D07EA" w14:paraId="77B457CB" w14:textId="77777777">
        <w:trPr>
          <w:trHeight w:val="20"/>
        </w:trPr>
        <w:tc>
          <w:tcPr>
            <w:tcW w:w="2500" w:type="pct"/>
            <w:hideMark/>
          </w:tcPr>
          <w:p w14:paraId="486D4BE4" w14:textId="77777777" w:rsidR="000D07EA" w:rsidRDefault="00BE7C89">
            <w:pPr>
              <w:pStyle w:val="BodyText"/>
              <w:spacing w:before="100" w:after="100"/>
              <w:rPr>
                <w:lang w:val="en-AU"/>
              </w:rPr>
            </w:pPr>
            <w:r>
              <w:t xml:space="preserve">Calls to Satellite </w:t>
            </w:r>
          </w:p>
        </w:tc>
        <w:tc>
          <w:tcPr>
            <w:tcW w:w="2500" w:type="pct"/>
            <w:hideMark/>
          </w:tcPr>
          <w:p w14:paraId="24053AFA" w14:textId="77777777" w:rsidR="000D07EA" w:rsidRDefault="00BE7C89">
            <w:pPr>
              <w:pStyle w:val="BodyText"/>
              <w:spacing w:before="100" w:after="100"/>
              <w:rPr>
                <w:lang w:val="en-AU"/>
              </w:rPr>
            </w:pPr>
            <w:r>
              <w:t>No</w:t>
            </w:r>
          </w:p>
        </w:tc>
      </w:tr>
      <w:tr w:rsidR="000D07EA" w14:paraId="78DBA35E" w14:textId="77777777">
        <w:trPr>
          <w:trHeight w:val="20"/>
        </w:trPr>
        <w:tc>
          <w:tcPr>
            <w:tcW w:w="2500" w:type="pct"/>
            <w:hideMark/>
          </w:tcPr>
          <w:p w14:paraId="5C98F1D1" w14:textId="77777777" w:rsidR="000D07EA" w:rsidRDefault="00BE7C89">
            <w:pPr>
              <w:pStyle w:val="BodyText"/>
              <w:spacing w:before="100" w:after="100"/>
              <w:rPr>
                <w:lang w:val="en-AU"/>
              </w:rPr>
            </w:pPr>
            <w:r>
              <w:t>Surepage</w:t>
            </w:r>
          </w:p>
        </w:tc>
        <w:tc>
          <w:tcPr>
            <w:tcW w:w="2500" w:type="pct"/>
            <w:hideMark/>
          </w:tcPr>
          <w:p w14:paraId="7281CE7E" w14:textId="77777777" w:rsidR="000D07EA" w:rsidRDefault="00BE7C89">
            <w:pPr>
              <w:pStyle w:val="BodyText"/>
              <w:spacing w:before="100" w:after="100"/>
              <w:rPr>
                <w:lang w:val="en-AU"/>
              </w:rPr>
            </w:pPr>
            <w:r>
              <w:t>No</w:t>
            </w:r>
          </w:p>
        </w:tc>
      </w:tr>
    </w:tbl>
    <w:p w14:paraId="1D17470F" w14:textId="77777777" w:rsidR="000D07EA" w:rsidRDefault="000D07EA">
      <w:pPr>
        <w:pStyle w:val="BodyText"/>
      </w:pPr>
    </w:p>
    <w:p w14:paraId="210DD24F" w14:textId="77777777" w:rsidR="000D07EA" w:rsidRDefault="00BE7C89">
      <w:pPr>
        <w:pStyle w:val="BodyText"/>
        <w:ind w:left="1440"/>
        <w:rPr>
          <w:b/>
          <w:lang w:val="en-AU"/>
        </w:rPr>
      </w:pPr>
      <w:r>
        <w:rPr>
          <w:b/>
        </w:rPr>
        <w:t>Table 1B – Eligible for the Included Mobile Internet Data</w:t>
      </w:r>
    </w:p>
    <w:tbl>
      <w:tblPr>
        <w:tblW w:w="4298"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379"/>
        <w:gridCol w:w="4379"/>
      </w:tblGrid>
      <w:tr w:rsidR="000D07EA" w14:paraId="5F3F5061" w14:textId="77777777">
        <w:trPr>
          <w:trHeight w:val="20"/>
          <w:tblHeader/>
        </w:trPr>
        <w:tc>
          <w:tcPr>
            <w:tcW w:w="2500" w:type="pct"/>
            <w:hideMark/>
          </w:tcPr>
          <w:p w14:paraId="2A49DB98" w14:textId="77777777" w:rsidR="000D07EA" w:rsidRDefault="00BE7C89">
            <w:pPr>
              <w:pStyle w:val="BodyText"/>
              <w:spacing w:before="100" w:after="100"/>
              <w:rPr>
                <w:b/>
                <w:lang w:val="en-AU"/>
              </w:rPr>
            </w:pPr>
            <w:r>
              <w:rPr>
                <w:b/>
              </w:rPr>
              <w:t>Call Type</w:t>
            </w:r>
          </w:p>
        </w:tc>
        <w:tc>
          <w:tcPr>
            <w:tcW w:w="2500" w:type="pct"/>
            <w:hideMark/>
          </w:tcPr>
          <w:p w14:paraId="6E7A2737" w14:textId="77777777" w:rsidR="000D07EA" w:rsidRDefault="00BE7C89">
            <w:pPr>
              <w:pStyle w:val="BodyText"/>
              <w:spacing w:before="100" w:after="100"/>
              <w:rPr>
                <w:b/>
                <w:lang w:val="en-AU"/>
              </w:rPr>
            </w:pPr>
            <w:r>
              <w:rPr>
                <w:b/>
              </w:rPr>
              <w:t>Eligible Data</w:t>
            </w:r>
          </w:p>
        </w:tc>
      </w:tr>
      <w:tr w:rsidR="000D07EA" w14:paraId="5EA84E67" w14:textId="77777777">
        <w:trPr>
          <w:trHeight w:val="20"/>
        </w:trPr>
        <w:tc>
          <w:tcPr>
            <w:tcW w:w="2500" w:type="pct"/>
            <w:hideMark/>
          </w:tcPr>
          <w:p w14:paraId="1AFB8C8E" w14:textId="77777777" w:rsidR="000D07EA" w:rsidRDefault="00BE7C89">
            <w:pPr>
              <w:pStyle w:val="BodyText"/>
              <w:spacing w:before="100" w:after="100"/>
              <w:rPr>
                <w:lang w:val="en-AU"/>
              </w:rPr>
            </w:pPr>
            <w:r>
              <w:t>National Voice and Video Calls</w:t>
            </w:r>
          </w:p>
        </w:tc>
        <w:tc>
          <w:tcPr>
            <w:tcW w:w="2500" w:type="pct"/>
            <w:hideMark/>
          </w:tcPr>
          <w:p w14:paraId="3F4BEBF8" w14:textId="77777777" w:rsidR="000D07EA" w:rsidRDefault="00BE7C89">
            <w:pPr>
              <w:pStyle w:val="BodyText"/>
              <w:spacing w:before="100" w:after="100"/>
              <w:rPr>
                <w:lang w:val="en-AU"/>
              </w:rPr>
            </w:pPr>
            <w:r>
              <w:t>No</w:t>
            </w:r>
          </w:p>
        </w:tc>
      </w:tr>
      <w:tr w:rsidR="000D07EA" w14:paraId="4CD799A9" w14:textId="77777777">
        <w:trPr>
          <w:trHeight w:val="20"/>
        </w:trPr>
        <w:tc>
          <w:tcPr>
            <w:tcW w:w="2500" w:type="pct"/>
            <w:hideMark/>
          </w:tcPr>
          <w:p w14:paraId="79D49FEE" w14:textId="77777777" w:rsidR="000D07EA" w:rsidRDefault="00BE7C89">
            <w:pPr>
              <w:pStyle w:val="BodyText"/>
              <w:spacing w:before="100" w:after="100"/>
              <w:rPr>
                <w:sz w:val="24"/>
                <w:szCs w:val="20"/>
                <w:lang w:val="en-AU"/>
              </w:rPr>
            </w:pPr>
            <w:r>
              <w:t>International Voice and Video Calls</w:t>
            </w:r>
          </w:p>
          <w:p w14:paraId="6D08577B" w14:textId="77777777" w:rsidR="000D07EA" w:rsidRDefault="00BE7C89">
            <w:pPr>
              <w:pStyle w:val="BodyText"/>
              <w:spacing w:before="100" w:after="100"/>
              <w:rPr>
                <w:lang w:val="en-AU"/>
              </w:rPr>
            </w:pPr>
            <w:r>
              <w:t>(including calls to national fixed or GSM mobile services that then divert/switch or re-route overseas)</w:t>
            </w:r>
          </w:p>
        </w:tc>
        <w:tc>
          <w:tcPr>
            <w:tcW w:w="2500" w:type="pct"/>
            <w:hideMark/>
          </w:tcPr>
          <w:p w14:paraId="74110AC8" w14:textId="77777777" w:rsidR="000D07EA" w:rsidRDefault="00BE7C89">
            <w:pPr>
              <w:pStyle w:val="BodyText"/>
              <w:spacing w:before="100" w:after="100"/>
              <w:rPr>
                <w:lang w:val="en-AU"/>
              </w:rPr>
            </w:pPr>
            <w:r>
              <w:t xml:space="preserve">No </w:t>
            </w:r>
          </w:p>
        </w:tc>
      </w:tr>
      <w:tr w:rsidR="000D07EA" w14:paraId="7434888A" w14:textId="77777777">
        <w:trPr>
          <w:trHeight w:val="20"/>
        </w:trPr>
        <w:tc>
          <w:tcPr>
            <w:tcW w:w="2500" w:type="pct"/>
            <w:hideMark/>
          </w:tcPr>
          <w:p w14:paraId="062EBDBE" w14:textId="77777777" w:rsidR="000D07EA" w:rsidRDefault="00BE7C89">
            <w:pPr>
              <w:pStyle w:val="BodyText"/>
              <w:spacing w:before="100" w:after="100"/>
              <w:rPr>
                <w:lang w:val="en-AU"/>
              </w:rPr>
            </w:pPr>
            <w:r>
              <w:t>Premium Video</w:t>
            </w:r>
          </w:p>
        </w:tc>
        <w:tc>
          <w:tcPr>
            <w:tcW w:w="2500" w:type="pct"/>
            <w:hideMark/>
          </w:tcPr>
          <w:p w14:paraId="4A31D13A" w14:textId="77777777" w:rsidR="000D07EA" w:rsidRDefault="00BE7C89">
            <w:pPr>
              <w:pStyle w:val="BodyText"/>
              <w:spacing w:before="100" w:after="100"/>
              <w:rPr>
                <w:lang w:val="en-AU"/>
              </w:rPr>
            </w:pPr>
            <w:r>
              <w:t>No</w:t>
            </w:r>
          </w:p>
        </w:tc>
      </w:tr>
      <w:tr w:rsidR="000D07EA" w14:paraId="361A282A" w14:textId="77777777">
        <w:trPr>
          <w:trHeight w:val="20"/>
        </w:trPr>
        <w:tc>
          <w:tcPr>
            <w:tcW w:w="2500" w:type="pct"/>
            <w:hideMark/>
          </w:tcPr>
          <w:p w14:paraId="1E671A9C" w14:textId="77777777" w:rsidR="000D07EA" w:rsidRDefault="00BE7C89">
            <w:pPr>
              <w:pStyle w:val="BodyText"/>
              <w:spacing w:before="100" w:after="100"/>
              <w:rPr>
                <w:lang w:val="en-AU"/>
              </w:rPr>
            </w:pPr>
            <w:r>
              <w:t>Content Video</w:t>
            </w:r>
          </w:p>
        </w:tc>
        <w:tc>
          <w:tcPr>
            <w:tcW w:w="2500" w:type="pct"/>
            <w:hideMark/>
          </w:tcPr>
          <w:p w14:paraId="74748B8A" w14:textId="77777777" w:rsidR="000D07EA" w:rsidRDefault="00BE7C89">
            <w:pPr>
              <w:pStyle w:val="BodyText"/>
              <w:spacing w:before="100" w:after="100"/>
              <w:rPr>
                <w:lang w:val="en-AU"/>
              </w:rPr>
            </w:pPr>
            <w:r>
              <w:t>No</w:t>
            </w:r>
          </w:p>
        </w:tc>
      </w:tr>
      <w:tr w:rsidR="000D07EA" w14:paraId="36F88412" w14:textId="77777777">
        <w:trPr>
          <w:trHeight w:val="20"/>
        </w:trPr>
        <w:tc>
          <w:tcPr>
            <w:tcW w:w="2500" w:type="pct"/>
            <w:hideMark/>
          </w:tcPr>
          <w:p w14:paraId="2483B6FD" w14:textId="77777777" w:rsidR="000D07EA" w:rsidRDefault="00BE7C89">
            <w:pPr>
              <w:pStyle w:val="BodyText"/>
              <w:spacing w:before="100" w:after="100"/>
              <w:rPr>
                <w:lang w:val="en-AU"/>
              </w:rPr>
            </w:pPr>
            <w:r>
              <w:t>National Standard SMS</w:t>
            </w:r>
          </w:p>
        </w:tc>
        <w:tc>
          <w:tcPr>
            <w:tcW w:w="2500" w:type="pct"/>
            <w:hideMark/>
          </w:tcPr>
          <w:p w14:paraId="6C0FD8AE" w14:textId="77777777" w:rsidR="000D07EA" w:rsidRDefault="00BE7C89">
            <w:pPr>
              <w:pStyle w:val="BodyText"/>
              <w:spacing w:before="100" w:after="100"/>
              <w:rPr>
                <w:lang w:val="en-AU"/>
              </w:rPr>
            </w:pPr>
            <w:r>
              <w:t>No</w:t>
            </w:r>
          </w:p>
        </w:tc>
      </w:tr>
      <w:tr w:rsidR="000D07EA" w14:paraId="21607AB1" w14:textId="77777777">
        <w:trPr>
          <w:trHeight w:val="20"/>
        </w:trPr>
        <w:tc>
          <w:tcPr>
            <w:tcW w:w="2500" w:type="pct"/>
            <w:hideMark/>
          </w:tcPr>
          <w:p w14:paraId="76EF7FED" w14:textId="77777777" w:rsidR="000D07EA" w:rsidRDefault="00BE7C89">
            <w:pPr>
              <w:pStyle w:val="BodyText"/>
              <w:spacing w:before="100" w:after="100"/>
              <w:rPr>
                <w:lang w:val="en-AU"/>
              </w:rPr>
            </w:pPr>
            <w:r>
              <w:t>International SMS</w:t>
            </w:r>
          </w:p>
        </w:tc>
        <w:tc>
          <w:tcPr>
            <w:tcW w:w="2500" w:type="pct"/>
            <w:hideMark/>
          </w:tcPr>
          <w:p w14:paraId="5D0B9BAF" w14:textId="77777777" w:rsidR="000D07EA" w:rsidRDefault="00BE7C89">
            <w:pPr>
              <w:pStyle w:val="BodyText"/>
              <w:spacing w:before="100" w:after="100"/>
              <w:rPr>
                <w:lang w:val="en-AU"/>
              </w:rPr>
            </w:pPr>
            <w:r>
              <w:t>No</w:t>
            </w:r>
          </w:p>
        </w:tc>
      </w:tr>
      <w:tr w:rsidR="000D07EA" w14:paraId="0BE5795F" w14:textId="77777777">
        <w:trPr>
          <w:trHeight w:val="20"/>
        </w:trPr>
        <w:tc>
          <w:tcPr>
            <w:tcW w:w="2500" w:type="pct"/>
            <w:hideMark/>
          </w:tcPr>
          <w:p w14:paraId="0D4FA448" w14:textId="77777777" w:rsidR="000D07EA" w:rsidRDefault="00BE7C89">
            <w:pPr>
              <w:pStyle w:val="BodyText"/>
              <w:spacing w:before="100" w:after="100"/>
              <w:rPr>
                <w:lang w:val="en-AU"/>
              </w:rPr>
            </w:pPr>
            <w:r>
              <w:t>Premium SMS</w:t>
            </w:r>
          </w:p>
        </w:tc>
        <w:tc>
          <w:tcPr>
            <w:tcW w:w="2500" w:type="pct"/>
            <w:hideMark/>
          </w:tcPr>
          <w:p w14:paraId="435E18AD" w14:textId="77777777" w:rsidR="000D07EA" w:rsidRDefault="00BE7C89">
            <w:pPr>
              <w:pStyle w:val="BodyText"/>
              <w:spacing w:before="100" w:after="100"/>
              <w:rPr>
                <w:lang w:val="en-AU"/>
              </w:rPr>
            </w:pPr>
            <w:r>
              <w:t>No</w:t>
            </w:r>
          </w:p>
        </w:tc>
      </w:tr>
      <w:tr w:rsidR="000D07EA" w14:paraId="1D87F6CB" w14:textId="77777777">
        <w:trPr>
          <w:trHeight w:val="20"/>
        </w:trPr>
        <w:tc>
          <w:tcPr>
            <w:tcW w:w="2500" w:type="pct"/>
            <w:hideMark/>
          </w:tcPr>
          <w:p w14:paraId="7D6DE0CA" w14:textId="77777777" w:rsidR="000D07EA" w:rsidRDefault="00BE7C89">
            <w:pPr>
              <w:pStyle w:val="BodyText"/>
              <w:spacing w:before="100" w:after="100"/>
              <w:rPr>
                <w:lang w:val="en-AU"/>
              </w:rPr>
            </w:pPr>
            <w:r>
              <w:t>National Standard MMS</w:t>
            </w:r>
          </w:p>
        </w:tc>
        <w:tc>
          <w:tcPr>
            <w:tcW w:w="2500" w:type="pct"/>
            <w:hideMark/>
          </w:tcPr>
          <w:p w14:paraId="7B5596D2" w14:textId="77777777" w:rsidR="000D07EA" w:rsidRDefault="00BE7C89">
            <w:pPr>
              <w:pStyle w:val="BodyText"/>
              <w:spacing w:before="100" w:after="100"/>
              <w:rPr>
                <w:lang w:val="en-AU"/>
              </w:rPr>
            </w:pPr>
            <w:r>
              <w:t>No</w:t>
            </w:r>
          </w:p>
        </w:tc>
      </w:tr>
      <w:tr w:rsidR="000D07EA" w14:paraId="2FB926C4" w14:textId="77777777">
        <w:trPr>
          <w:trHeight w:val="20"/>
        </w:trPr>
        <w:tc>
          <w:tcPr>
            <w:tcW w:w="2500" w:type="pct"/>
            <w:hideMark/>
          </w:tcPr>
          <w:p w14:paraId="04139102" w14:textId="77777777" w:rsidR="000D07EA" w:rsidRDefault="00BE7C89">
            <w:pPr>
              <w:pStyle w:val="BodyText"/>
              <w:spacing w:before="100" w:after="100"/>
              <w:rPr>
                <w:lang w:val="en-AU"/>
              </w:rPr>
            </w:pPr>
            <w:r>
              <w:t>International MMS</w:t>
            </w:r>
          </w:p>
        </w:tc>
        <w:tc>
          <w:tcPr>
            <w:tcW w:w="2500" w:type="pct"/>
            <w:hideMark/>
          </w:tcPr>
          <w:p w14:paraId="7DAEA33C" w14:textId="77777777" w:rsidR="000D07EA" w:rsidRDefault="00BE7C89">
            <w:pPr>
              <w:pStyle w:val="BodyText"/>
              <w:spacing w:before="100" w:after="100"/>
              <w:rPr>
                <w:lang w:val="en-AU"/>
              </w:rPr>
            </w:pPr>
            <w:r>
              <w:t>No</w:t>
            </w:r>
          </w:p>
        </w:tc>
      </w:tr>
      <w:tr w:rsidR="000D07EA" w14:paraId="20D627F8" w14:textId="77777777">
        <w:trPr>
          <w:trHeight w:val="20"/>
        </w:trPr>
        <w:tc>
          <w:tcPr>
            <w:tcW w:w="2500" w:type="pct"/>
            <w:hideMark/>
          </w:tcPr>
          <w:p w14:paraId="6D10EB51" w14:textId="77777777" w:rsidR="000D07EA" w:rsidRDefault="00BE7C89">
            <w:pPr>
              <w:pStyle w:val="BodyText"/>
              <w:spacing w:before="100" w:after="100"/>
              <w:rPr>
                <w:lang w:val="en-AU"/>
              </w:rPr>
            </w:pPr>
            <w:r>
              <w:t>Premium MMS</w:t>
            </w:r>
          </w:p>
        </w:tc>
        <w:tc>
          <w:tcPr>
            <w:tcW w:w="2500" w:type="pct"/>
            <w:hideMark/>
          </w:tcPr>
          <w:p w14:paraId="3D207285" w14:textId="77777777" w:rsidR="000D07EA" w:rsidRDefault="00BE7C89">
            <w:pPr>
              <w:pStyle w:val="BodyText"/>
              <w:spacing w:before="100" w:after="100"/>
              <w:rPr>
                <w:lang w:val="en-AU"/>
              </w:rPr>
            </w:pPr>
            <w:r>
              <w:t>No</w:t>
            </w:r>
          </w:p>
        </w:tc>
      </w:tr>
      <w:tr w:rsidR="000D07EA" w14:paraId="47F8DACE" w14:textId="77777777">
        <w:trPr>
          <w:trHeight w:val="20"/>
        </w:trPr>
        <w:tc>
          <w:tcPr>
            <w:tcW w:w="2500" w:type="pct"/>
            <w:hideMark/>
          </w:tcPr>
          <w:p w14:paraId="52C80BCA" w14:textId="77777777" w:rsidR="000D07EA" w:rsidRDefault="00BE7C89">
            <w:pPr>
              <w:pStyle w:val="BodyText"/>
              <w:spacing w:before="100" w:after="100"/>
              <w:rPr>
                <w:lang w:val="en-AU"/>
              </w:rPr>
            </w:pPr>
            <w:r>
              <w:lastRenderedPageBreak/>
              <w:t>National Diversions</w:t>
            </w:r>
          </w:p>
        </w:tc>
        <w:tc>
          <w:tcPr>
            <w:tcW w:w="2500" w:type="pct"/>
            <w:hideMark/>
          </w:tcPr>
          <w:p w14:paraId="5F793526" w14:textId="77777777" w:rsidR="000D07EA" w:rsidRDefault="00BE7C89">
            <w:pPr>
              <w:pStyle w:val="BodyText"/>
              <w:spacing w:before="100" w:after="100"/>
              <w:rPr>
                <w:lang w:val="en-AU"/>
              </w:rPr>
            </w:pPr>
            <w:r>
              <w:t>No</w:t>
            </w:r>
          </w:p>
        </w:tc>
      </w:tr>
      <w:tr w:rsidR="000D07EA" w14:paraId="75405925" w14:textId="77777777">
        <w:trPr>
          <w:trHeight w:val="20"/>
        </w:trPr>
        <w:tc>
          <w:tcPr>
            <w:tcW w:w="2500" w:type="pct"/>
            <w:hideMark/>
          </w:tcPr>
          <w:p w14:paraId="30EEEF2C" w14:textId="77777777" w:rsidR="000D07EA" w:rsidRDefault="00BE7C89">
            <w:pPr>
              <w:pStyle w:val="BodyText"/>
              <w:spacing w:before="100" w:after="100"/>
              <w:rPr>
                <w:lang w:val="en-AU"/>
              </w:rPr>
            </w:pPr>
            <w:r>
              <w:t>Voicemail Deposit and Retrievals</w:t>
            </w:r>
          </w:p>
        </w:tc>
        <w:tc>
          <w:tcPr>
            <w:tcW w:w="2500" w:type="pct"/>
            <w:hideMark/>
          </w:tcPr>
          <w:p w14:paraId="595A38C2" w14:textId="77777777" w:rsidR="000D07EA" w:rsidRDefault="00BE7C89">
            <w:pPr>
              <w:pStyle w:val="BodyText"/>
              <w:spacing w:before="100" w:after="100"/>
              <w:rPr>
                <w:lang w:val="en-AU"/>
              </w:rPr>
            </w:pPr>
            <w:r>
              <w:t>No</w:t>
            </w:r>
          </w:p>
        </w:tc>
      </w:tr>
      <w:tr w:rsidR="000D07EA" w14:paraId="056FF18E" w14:textId="77777777">
        <w:trPr>
          <w:trHeight w:val="20"/>
        </w:trPr>
        <w:tc>
          <w:tcPr>
            <w:tcW w:w="2500" w:type="pct"/>
            <w:hideMark/>
          </w:tcPr>
          <w:p w14:paraId="40A8C525" w14:textId="77777777" w:rsidR="000D07EA" w:rsidRDefault="00BE7C89">
            <w:pPr>
              <w:pStyle w:val="BodyText"/>
              <w:spacing w:before="100" w:after="100"/>
              <w:rPr>
                <w:lang w:val="en-AU"/>
              </w:rPr>
            </w:pPr>
            <w:r>
              <w:t>International Roaming and Diversion</w:t>
            </w:r>
          </w:p>
        </w:tc>
        <w:tc>
          <w:tcPr>
            <w:tcW w:w="2500" w:type="pct"/>
            <w:hideMark/>
          </w:tcPr>
          <w:p w14:paraId="259FFB14" w14:textId="77777777" w:rsidR="000D07EA" w:rsidRDefault="00BE7C89">
            <w:pPr>
              <w:pStyle w:val="BodyText"/>
              <w:spacing w:before="100" w:after="100"/>
              <w:rPr>
                <w:lang w:val="en-AU"/>
              </w:rPr>
            </w:pPr>
            <w:r>
              <w:t>No</w:t>
            </w:r>
          </w:p>
        </w:tc>
      </w:tr>
      <w:tr w:rsidR="000D07EA" w14:paraId="09392F19" w14:textId="77777777">
        <w:trPr>
          <w:trHeight w:val="20"/>
        </w:trPr>
        <w:tc>
          <w:tcPr>
            <w:tcW w:w="2500" w:type="pct"/>
            <w:hideMark/>
          </w:tcPr>
          <w:p w14:paraId="32928C69" w14:textId="77777777" w:rsidR="000D07EA" w:rsidRDefault="00BE7C89">
            <w:pPr>
              <w:pStyle w:val="BodyText"/>
              <w:spacing w:before="100" w:after="100"/>
              <w:rPr>
                <w:lang w:val="en-AU"/>
              </w:rPr>
            </w:pPr>
            <w:r>
              <w:t>Video Conferencing</w:t>
            </w:r>
          </w:p>
        </w:tc>
        <w:tc>
          <w:tcPr>
            <w:tcW w:w="2500" w:type="pct"/>
            <w:hideMark/>
          </w:tcPr>
          <w:p w14:paraId="3B2157FC" w14:textId="77777777" w:rsidR="000D07EA" w:rsidRDefault="00BE7C89">
            <w:pPr>
              <w:pStyle w:val="BodyText"/>
              <w:spacing w:before="100" w:after="100"/>
              <w:rPr>
                <w:lang w:val="en-AU"/>
              </w:rPr>
            </w:pPr>
            <w:r>
              <w:t>No</w:t>
            </w:r>
          </w:p>
        </w:tc>
      </w:tr>
      <w:tr w:rsidR="000D07EA" w14:paraId="3CFAD477" w14:textId="77777777">
        <w:trPr>
          <w:trHeight w:val="20"/>
        </w:trPr>
        <w:tc>
          <w:tcPr>
            <w:tcW w:w="2500" w:type="pct"/>
            <w:hideMark/>
          </w:tcPr>
          <w:p w14:paraId="71D08FAC" w14:textId="77777777" w:rsidR="000D07EA" w:rsidRDefault="00BE7C89">
            <w:pPr>
              <w:pStyle w:val="BodyText"/>
              <w:spacing w:before="100" w:after="100"/>
              <w:rPr>
                <w:lang w:val="en-AU"/>
              </w:rPr>
            </w:pPr>
            <w:r>
              <w:t>BlackBerry Email</w:t>
            </w:r>
          </w:p>
        </w:tc>
        <w:tc>
          <w:tcPr>
            <w:tcW w:w="2500" w:type="pct"/>
            <w:hideMark/>
          </w:tcPr>
          <w:p w14:paraId="69249F29" w14:textId="77777777" w:rsidR="000D07EA" w:rsidRDefault="00BE7C89">
            <w:pPr>
              <w:pStyle w:val="BodyText"/>
              <w:spacing w:before="100" w:after="100"/>
              <w:rPr>
                <w:lang w:val="en-AU"/>
              </w:rPr>
            </w:pPr>
            <w:r>
              <w:t>No</w:t>
            </w:r>
          </w:p>
        </w:tc>
      </w:tr>
      <w:tr w:rsidR="000D07EA" w14:paraId="24E8370A" w14:textId="77777777">
        <w:trPr>
          <w:trHeight w:val="20"/>
        </w:trPr>
        <w:tc>
          <w:tcPr>
            <w:tcW w:w="2500" w:type="pct"/>
            <w:hideMark/>
          </w:tcPr>
          <w:p w14:paraId="7DB5BAA2" w14:textId="77777777" w:rsidR="000D07EA" w:rsidRDefault="00BE7C89">
            <w:pPr>
              <w:pStyle w:val="BodyText"/>
              <w:keepNext/>
              <w:spacing w:before="100" w:after="100"/>
              <w:rPr>
                <w:lang w:val="en-AU"/>
              </w:rPr>
            </w:pPr>
            <w:r>
              <w:t>Optus iZoo Browsing*</w:t>
            </w:r>
          </w:p>
        </w:tc>
        <w:tc>
          <w:tcPr>
            <w:tcW w:w="2500" w:type="pct"/>
            <w:hideMark/>
          </w:tcPr>
          <w:p w14:paraId="3FC5DE26" w14:textId="77777777" w:rsidR="000D07EA" w:rsidRDefault="00BE7C89">
            <w:pPr>
              <w:pStyle w:val="BodyText"/>
              <w:keepNext/>
              <w:spacing w:before="100" w:after="100"/>
              <w:rPr>
                <w:lang w:val="en-AU"/>
              </w:rPr>
            </w:pPr>
            <w:r>
              <w:t>Yes, up to the monthly included data amount specified in Table 2A.</w:t>
            </w:r>
          </w:p>
        </w:tc>
      </w:tr>
      <w:tr w:rsidR="000D07EA" w14:paraId="09F4AA80" w14:textId="77777777">
        <w:trPr>
          <w:trHeight w:val="20"/>
        </w:trPr>
        <w:tc>
          <w:tcPr>
            <w:tcW w:w="2500" w:type="pct"/>
            <w:hideMark/>
          </w:tcPr>
          <w:p w14:paraId="7B944F4C" w14:textId="77777777" w:rsidR="000D07EA" w:rsidRDefault="00BE7C89">
            <w:pPr>
              <w:pStyle w:val="BodyText"/>
              <w:spacing w:before="100" w:after="100"/>
              <w:rPr>
                <w:lang w:val="en-AU"/>
              </w:rPr>
            </w:pPr>
            <w:r>
              <w:t>Optus iZoo Downloads</w:t>
            </w:r>
          </w:p>
        </w:tc>
        <w:tc>
          <w:tcPr>
            <w:tcW w:w="2500" w:type="pct"/>
            <w:hideMark/>
          </w:tcPr>
          <w:p w14:paraId="03B3208E" w14:textId="77777777" w:rsidR="000D07EA" w:rsidRDefault="00BE7C89">
            <w:pPr>
              <w:pStyle w:val="BodyText"/>
              <w:spacing w:before="100" w:after="100"/>
              <w:rPr>
                <w:lang w:val="en-AU"/>
              </w:rPr>
            </w:pPr>
            <w:r>
              <w:t>No</w:t>
            </w:r>
          </w:p>
        </w:tc>
      </w:tr>
      <w:tr w:rsidR="000D07EA" w14:paraId="56B14CAE" w14:textId="77777777">
        <w:trPr>
          <w:trHeight w:val="20"/>
        </w:trPr>
        <w:tc>
          <w:tcPr>
            <w:tcW w:w="2500" w:type="pct"/>
            <w:hideMark/>
          </w:tcPr>
          <w:p w14:paraId="0A3DABD9" w14:textId="77777777" w:rsidR="000D07EA" w:rsidRDefault="00BE7C89">
            <w:pPr>
              <w:pStyle w:val="BodyText"/>
              <w:spacing w:before="100" w:after="100"/>
              <w:rPr>
                <w:lang w:val="en-AU"/>
              </w:rPr>
            </w:pPr>
            <w:r>
              <w:t>SMS to 966 (Zoo)</w:t>
            </w:r>
          </w:p>
        </w:tc>
        <w:tc>
          <w:tcPr>
            <w:tcW w:w="2500" w:type="pct"/>
            <w:hideMark/>
          </w:tcPr>
          <w:p w14:paraId="7AF651E9" w14:textId="77777777" w:rsidR="000D07EA" w:rsidRDefault="00BE7C89">
            <w:pPr>
              <w:pStyle w:val="BodyText"/>
              <w:spacing w:before="100" w:after="100"/>
              <w:rPr>
                <w:lang w:val="en-AU"/>
              </w:rPr>
            </w:pPr>
            <w:r>
              <w:t>No</w:t>
            </w:r>
          </w:p>
        </w:tc>
      </w:tr>
      <w:tr w:rsidR="000D07EA" w14:paraId="1942A08F" w14:textId="77777777">
        <w:trPr>
          <w:trHeight w:val="20"/>
        </w:trPr>
        <w:tc>
          <w:tcPr>
            <w:tcW w:w="2500" w:type="pct"/>
            <w:hideMark/>
          </w:tcPr>
          <w:p w14:paraId="6AD7A4EC" w14:textId="77777777" w:rsidR="000D07EA" w:rsidRDefault="00BE7C89">
            <w:pPr>
              <w:pStyle w:val="BodyText"/>
              <w:spacing w:before="100" w:after="100"/>
              <w:rPr>
                <w:lang w:val="en-AU"/>
              </w:rPr>
            </w:pPr>
            <w:r>
              <w:t>Mobile Internet usage*</w:t>
            </w:r>
          </w:p>
        </w:tc>
        <w:tc>
          <w:tcPr>
            <w:tcW w:w="2500" w:type="pct"/>
            <w:hideMark/>
          </w:tcPr>
          <w:p w14:paraId="6DDED948" w14:textId="77777777" w:rsidR="000D07EA" w:rsidRDefault="00BE7C89">
            <w:pPr>
              <w:pStyle w:val="BodyText"/>
              <w:spacing w:before="100" w:after="100"/>
              <w:rPr>
                <w:lang w:val="en-AU"/>
              </w:rPr>
            </w:pPr>
            <w:r>
              <w:t>Yes, up to the monthly included data amount specified in Table 2A.</w:t>
            </w:r>
          </w:p>
        </w:tc>
      </w:tr>
      <w:tr w:rsidR="000D07EA" w14:paraId="2CD9A589" w14:textId="77777777">
        <w:trPr>
          <w:trHeight w:val="20"/>
        </w:trPr>
        <w:tc>
          <w:tcPr>
            <w:tcW w:w="2500" w:type="pct"/>
            <w:hideMark/>
          </w:tcPr>
          <w:p w14:paraId="2C165C1A" w14:textId="77777777" w:rsidR="000D07EA" w:rsidRDefault="00BE7C89">
            <w:pPr>
              <w:pStyle w:val="BodyText"/>
              <w:spacing w:before="100" w:after="100"/>
              <w:rPr>
                <w:lang w:val="en-AU"/>
              </w:rPr>
            </w:pPr>
            <w:r>
              <w:t>Mobile as Modem</w:t>
            </w:r>
          </w:p>
        </w:tc>
        <w:tc>
          <w:tcPr>
            <w:tcW w:w="2500" w:type="pct"/>
            <w:hideMark/>
          </w:tcPr>
          <w:p w14:paraId="70D8163A" w14:textId="77777777" w:rsidR="000D07EA" w:rsidRDefault="00BE7C89">
            <w:pPr>
              <w:pStyle w:val="BodyText"/>
              <w:spacing w:before="100" w:after="100"/>
              <w:rPr>
                <w:lang w:val="en-AU"/>
              </w:rPr>
            </w:pPr>
            <w:r>
              <w:t>Yes</w:t>
            </w:r>
          </w:p>
        </w:tc>
      </w:tr>
      <w:tr w:rsidR="000D07EA" w14:paraId="47940780" w14:textId="77777777">
        <w:trPr>
          <w:trHeight w:val="20"/>
        </w:trPr>
        <w:tc>
          <w:tcPr>
            <w:tcW w:w="2500" w:type="pct"/>
            <w:hideMark/>
          </w:tcPr>
          <w:p w14:paraId="34B032FD" w14:textId="77777777" w:rsidR="000D07EA" w:rsidRDefault="00BE7C89">
            <w:pPr>
              <w:pStyle w:val="BodyText"/>
              <w:spacing w:before="100" w:after="100"/>
              <w:rPr>
                <w:lang w:val="en-AU"/>
              </w:rPr>
            </w:pPr>
            <w:r>
              <w:t>Data Used while Roaming Internationally</w:t>
            </w:r>
          </w:p>
        </w:tc>
        <w:tc>
          <w:tcPr>
            <w:tcW w:w="2500" w:type="pct"/>
            <w:hideMark/>
          </w:tcPr>
          <w:p w14:paraId="66A0F2EB" w14:textId="77777777" w:rsidR="000D07EA" w:rsidRDefault="00BE7C89">
            <w:pPr>
              <w:pStyle w:val="BodyText"/>
              <w:spacing w:before="100" w:after="100"/>
              <w:rPr>
                <w:lang w:val="en-AU"/>
              </w:rPr>
            </w:pPr>
            <w:r>
              <w:t>No</w:t>
            </w:r>
          </w:p>
        </w:tc>
      </w:tr>
      <w:tr w:rsidR="000D07EA" w14:paraId="0AB8B4E9" w14:textId="77777777">
        <w:trPr>
          <w:trHeight w:val="20"/>
        </w:trPr>
        <w:tc>
          <w:tcPr>
            <w:tcW w:w="2500" w:type="pct"/>
            <w:hideMark/>
          </w:tcPr>
          <w:p w14:paraId="14F08315" w14:textId="77777777" w:rsidR="000D07EA" w:rsidRDefault="00BE7C89">
            <w:pPr>
              <w:pStyle w:val="BodyText"/>
              <w:spacing w:before="100" w:after="100"/>
              <w:rPr>
                <w:lang w:val="en-AU"/>
              </w:rPr>
            </w:pPr>
            <w:r>
              <w:t xml:space="preserve">Content Packs </w:t>
            </w:r>
          </w:p>
        </w:tc>
        <w:tc>
          <w:tcPr>
            <w:tcW w:w="2500" w:type="pct"/>
            <w:hideMark/>
          </w:tcPr>
          <w:p w14:paraId="69E17E57" w14:textId="77777777" w:rsidR="000D07EA" w:rsidRDefault="00BE7C89">
            <w:pPr>
              <w:pStyle w:val="BodyText"/>
              <w:spacing w:before="100" w:after="100"/>
              <w:rPr>
                <w:lang w:val="en-AU"/>
              </w:rPr>
            </w:pPr>
            <w:r>
              <w:t>No</w:t>
            </w:r>
          </w:p>
        </w:tc>
      </w:tr>
      <w:tr w:rsidR="000D07EA" w14:paraId="49BB8A00" w14:textId="77777777">
        <w:trPr>
          <w:trHeight w:val="20"/>
        </w:trPr>
        <w:tc>
          <w:tcPr>
            <w:tcW w:w="2500" w:type="pct"/>
            <w:hideMark/>
          </w:tcPr>
          <w:p w14:paraId="6B01184C" w14:textId="77777777" w:rsidR="000D07EA" w:rsidRDefault="00BE7C89">
            <w:pPr>
              <w:pStyle w:val="BodyText"/>
              <w:spacing w:before="100" w:after="100"/>
              <w:rPr>
                <w:lang w:val="en-AU"/>
              </w:rPr>
            </w:pPr>
            <w:r>
              <w:t>TrueLocal Usage</w:t>
            </w:r>
          </w:p>
        </w:tc>
        <w:tc>
          <w:tcPr>
            <w:tcW w:w="2500" w:type="pct"/>
            <w:hideMark/>
          </w:tcPr>
          <w:p w14:paraId="240E0AA8" w14:textId="77777777" w:rsidR="000D07EA" w:rsidRDefault="00BE7C89">
            <w:pPr>
              <w:pStyle w:val="BodyText"/>
              <w:spacing w:before="100" w:after="100"/>
              <w:rPr>
                <w:lang w:val="en-AU"/>
              </w:rPr>
            </w:pPr>
            <w:r>
              <w:t>No</w:t>
            </w:r>
          </w:p>
        </w:tc>
      </w:tr>
      <w:tr w:rsidR="000D07EA" w14:paraId="37C1AC6B" w14:textId="77777777">
        <w:trPr>
          <w:trHeight w:val="20"/>
        </w:trPr>
        <w:tc>
          <w:tcPr>
            <w:tcW w:w="2500" w:type="pct"/>
            <w:hideMark/>
          </w:tcPr>
          <w:p w14:paraId="3AA9F9F7" w14:textId="77777777" w:rsidR="000D07EA" w:rsidRDefault="00BE7C89">
            <w:pPr>
              <w:pStyle w:val="BodyText"/>
              <w:spacing w:before="100" w:after="100"/>
              <w:rPr>
                <w:lang w:val="en-AU"/>
              </w:rPr>
            </w:pPr>
            <w:r>
              <w:t xml:space="preserve">Directory Assistance- 1223 </w:t>
            </w:r>
          </w:p>
        </w:tc>
        <w:tc>
          <w:tcPr>
            <w:tcW w:w="2500" w:type="pct"/>
            <w:hideMark/>
          </w:tcPr>
          <w:p w14:paraId="25E75C03" w14:textId="77777777" w:rsidR="000D07EA" w:rsidRDefault="00BE7C89">
            <w:pPr>
              <w:pStyle w:val="BodyText"/>
              <w:spacing w:before="100" w:after="100"/>
              <w:rPr>
                <w:lang w:val="en-AU"/>
              </w:rPr>
            </w:pPr>
            <w:r>
              <w:t>No</w:t>
            </w:r>
          </w:p>
        </w:tc>
      </w:tr>
      <w:tr w:rsidR="000D07EA" w14:paraId="32D17663" w14:textId="77777777">
        <w:trPr>
          <w:trHeight w:val="20"/>
        </w:trPr>
        <w:tc>
          <w:tcPr>
            <w:tcW w:w="2500" w:type="pct"/>
            <w:hideMark/>
          </w:tcPr>
          <w:p w14:paraId="1C0049BC" w14:textId="77777777" w:rsidR="000D07EA" w:rsidRDefault="00BE7C89">
            <w:pPr>
              <w:pStyle w:val="BodyText"/>
              <w:spacing w:before="100" w:after="100"/>
              <w:rPr>
                <w:lang w:val="en-AU"/>
              </w:rPr>
            </w:pPr>
            <w:r>
              <w:t>19XX Numbers</w:t>
            </w:r>
          </w:p>
        </w:tc>
        <w:tc>
          <w:tcPr>
            <w:tcW w:w="2500" w:type="pct"/>
            <w:hideMark/>
          </w:tcPr>
          <w:p w14:paraId="52196200" w14:textId="77777777" w:rsidR="000D07EA" w:rsidRDefault="00BE7C89">
            <w:pPr>
              <w:pStyle w:val="BodyText"/>
              <w:spacing w:before="100" w:after="100"/>
              <w:rPr>
                <w:lang w:val="en-AU"/>
              </w:rPr>
            </w:pPr>
            <w:r>
              <w:t>No</w:t>
            </w:r>
          </w:p>
        </w:tc>
      </w:tr>
      <w:tr w:rsidR="000D07EA" w14:paraId="751C1DB1" w14:textId="77777777">
        <w:trPr>
          <w:trHeight w:val="20"/>
        </w:trPr>
        <w:tc>
          <w:tcPr>
            <w:tcW w:w="2500" w:type="pct"/>
            <w:hideMark/>
          </w:tcPr>
          <w:p w14:paraId="28B78C62" w14:textId="77777777" w:rsidR="000D07EA" w:rsidRDefault="00BE7C89">
            <w:pPr>
              <w:pStyle w:val="BodyText"/>
              <w:spacing w:before="100" w:after="100"/>
              <w:rPr>
                <w:lang w:val="en-AU"/>
              </w:rPr>
            </w:pPr>
            <w:r>
              <w:t>1800, 13 and 1300 numbers</w:t>
            </w:r>
          </w:p>
        </w:tc>
        <w:tc>
          <w:tcPr>
            <w:tcW w:w="2500" w:type="pct"/>
            <w:hideMark/>
          </w:tcPr>
          <w:p w14:paraId="24914BF8" w14:textId="77777777" w:rsidR="000D07EA" w:rsidRDefault="00BE7C89">
            <w:pPr>
              <w:pStyle w:val="BodyText"/>
              <w:spacing w:before="100" w:after="100"/>
              <w:rPr>
                <w:lang w:val="en-AU"/>
              </w:rPr>
            </w:pPr>
            <w:r>
              <w:t>No</w:t>
            </w:r>
          </w:p>
        </w:tc>
      </w:tr>
      <w:tr w:rsidR="000D07EA" w14:paraId="2BDD6D5E" w14:textId="77777777">
        <w:trPr>
          <w:trHeight w:val="20"/>
        </w:trPr>
        <w:tc>
          <w:tcPr>
            <w:tcW w:w="2500" w:type="pct"/>
            <w:hideMark/>
          </w:tcPr>
          <w:p w14:paraId="52ABFCC5" w14:textId="77777777" w:rsidR="000D07EA" w:rsidRDefault="00BE7C89">
            <w:pPr>
              <w:pStyle w:val="BodyText"/>
              <w:spacing w:before="100" w:after="100"/>
              <w:rPr>
                <w:lang w:val="en-AU"/>
              </w:rPr>
            </w:pPr>
            <w:r>
              <w:t>124YES(937)</w:t>
            </w:r>
          </w:p>
        </w:tc>
        <w:tc>
          <w:tcPr>
            <w:tcW w:w="2500" w:type="pct"/>
            <w:hideMark/>
          </w:tcPr>
          <w:p w14:paraId="2B0CF9F1" w14:textId="77777777" w:rsidR="000D07EA" w:rsidRDefault="00BE7C89">
            <w:pPr>
              <w:pStyle w:val="BodyText"/>
              <w:spacing w:before="100" w:after="100"/>
              <w:rPr>
                <w:lang w:val="en-AU"/>
              </w:rPr>
            </w:pPr>
            <w:r>
              <w:t>No</w:t>
            </w:r>
          </w:p>
        </w:tc>
      </w:tr>
      <w:tr w:rsidR="000D07EA" w14:paraId="5F7A8C30" w14:textId="77777777">
        <w:trPr>
          <w:trHeight w:val="20"/>
        </w:trPr>
        <w:tc>
          <w:tcPr>
            <w:tcW w:w="2500" w:type="pct"/>
            <w:hideMark/>
          </w:tcPr>
          <w:p w14:paraId="68B96851" w14:textId="77777777" w:rsidR="000D07EA" w:rsidRDefault="00BE7C89">
            <w:pPr>
              <w:pStyle w:val="BodyText"/>
              <w:spacing w:before="100" w:after="100"/>
              <w:rPr>
                <w:lang w:val="en-AU"/>
              </w:rPr>
            </w:pPr>
            <w:r>
              <w:t>Insurance</w:t>
            </w:r>
          </w:p>
        </w:tc>
        <w:tc>
          <w:tcPr>
            <w:tcW w:w="2500" w:type="pct"/>
            <w:hideMark/>
          </w:tcPr>
          <w:p w14:paraId="2BE3DBF8" w14:textId="77777777" w:rsidR="000D07EA" w:rsidRDefault="00BE7C89">
            <w:pPr>
              <w:pStyle w:val="BodyText"/>
              <w:spacing w:before="100" w:after="100"/>
              <w:rPr>
                <w:lang w:val="en-AU"/>
              </w:rPr>
            </w:pPr>
            <w:r>
              <w:t>No</w:t>
            </w:r>
          </w:p>
        </w:tc>
      </w:tr>
      <w:tr w:rsidR="000D07EA" w14:paraId="1C85A019" w14:textId="77777777">
        <w:trPr>
          <w:trHeight w:val="20"/>
        </w:trPr>
        <w:tc>
          <w:tcPr>
            <w:tcW w:w="2500" w:type="pct"/>
            <w:hideMark/>
          </w:tcPr>
          <w:p w14:paraId="7B60F822" w14:textId="77777777" w:rsidR="000D07EA" w:rsidRDefault="00BE7C89">
            <w:pPr>
              <w:pStyle w:val="BodyText"/>
              <w:spacing w:before="100" w:after="100"/>
              <w:rPr>
                <w:lang w:val="en-AU"/>
              </w:rPr>
            </w:pPr>
            <w:r>
              <w:t>Handset Payments</w:t>
            </w:r>
          </w:p>
        </w:tc>
        <w:tc>
          <w:tcPr>
            <w:tcW w:w="2500" w:type="pct"/>
            <w:hideMark/>
          </w:tcPr>
          <w:p w14:paraId="521C235E" w14:textId="77777777" w:rsidR="000D07EA" w:rsidRDefault="00BE7C89">
            <w:pPr>
              <w:pStyle w:val="BodyText"/>
              <w:spacing w:before="100" w:after="100"/>
              <w:rPr>
                <w:lang w:val="en-AU"/>
              </w:rPr>
            </w:pPr>
            <w:r>
              <w:t>No</w:t>
            </w:r>
          </w:p>
        </w:tc>
      </w:tr>
      <w:tr w:rsidR="000D07EA" w14:paraId="1E5953E4" w14:textId="77777777">
        <w:trPr>
          <w:trHeight w:val="20"/>
        </w:trPr>
        <w:tc>
          <w:tcPr>
            <w:tcW w:w="2500" w:type="pct"/>
            <w:hideMark/>
          </w:tcPr>
          <w:p w14:paraId="4D5B957B" w14:textId="77777777" w:rsidR="000D07EA" w:rsidRDefault="00BE7C89">
            <w:pPr>
              <w:pStyle w:val="BodyText"/>
              <w:spacing w:before="100" w:after="100"/>
              <w:rPr>
                <w:lang w:val="en-AU"/>
              </w:rPr>
            </w:pPr>
            <w:r>
              <w:t>Calls to Satellite</w:t>
            </w:r>
          </w:p>
        </w:tc>
        <w:tc>
          <w:tcPr>
            <w:tcW w:w="2500" w:type="pct"/>
            <w:hideMark/>
          </w:tcPr>
          <w:p w14:paraId="4D826494" w14:textId="77777777" w:rsidR="000D07EA" w:rsidRDefault="00BE7C89">
            <w:pPr>
              <w:pStyle w:val="BodyText"/>
              <w:spacing w:before="100" w:after="100"/>
              <w:rPr>
                <w:lang w:val="en-AU"/>
              </w:rPr>
            </w:pPr>
            <w:r>
              <w:t>No</w:t>
            </w:r>
          </w:p>
        </w:tc>
      </w:tr>
      <w:tr w:rsidR="000D07EA" w14:paraId="2E89D8BE" w14:textId="77777777">
        <w:trPr>
          <w:trHeight w:val="20"/>
        </w:trPr>
        <w:tc>
          <w:tcPr>
            <w:tcW w:w="2500" w:type="pct"/>
            <w:hideMark/>
          </w:tcPr>
          <w:p w14:paraId="63F4084D" w14:textId="77777777" w:rsidR="000D07EA" w:rsidRDefault="00BE7C89">
            <w:pPr>
              <w:pStyle w:val="BodyText"/>
              <w:spacing w:before="100" w:after="100"/>
              <w:rPr>
                <w:lang w:val="en-AU"/>
              </w:rPr>
            </w:pPr>
            <w:r>
              <w:t>VOIP services</w:t>
            </w:r>
          </w:p>
        </w:tc>
        <w:tc>
          <w:tcPr>
            <w:tcW w:w="2500" w:type="pct"/>
            <w:hideMark/>
          </w:tcPr>
          <w:p w14:paraId="23EF4DD6" w14:textId="77777777" w:rsidR="000D07EA" w:rsidRDefault="00BE7C89">
            <w:pPr>
              <w:pStyle w:val="BodyText"/>
              <w:spacing w:before="100" w:after="100"/>
              <w:rPr>
                <w:lang w:val="en-AU"/>
              </w:rPr>
            </w:pPr>
            <w:r>
              <w:t>No</w:t>
            </w:r>
          </w:p>
        </w:tc>
      </w:tr>
      <w:tr w:rsidR="000D07EA" w14:paraId="53289A8C" w14:textId="77777777">
        <w:trPr>
          <w:trHeight w:val="20"/>
        </w:trPr>
        <w:tc>
          <w:tcPr>
            <w:tcW w:w="2500" w:type="pct"/>
            <w:hideMark/>
          </w:tcPr>
          <w:p w14:paraId="794CCE3B" w14:textId="77777777" w:rsidR="000D07EA" w:rsidRDefault="00BE7C89">
            <w:pPr>
              <w:pStyle w:val="BodyText"/>
              <w:spacing w:before="100" w:after="100"/>
              <w:rPr>
                <w:lang w:val="en-AU"/>
              </w:rPr>
            </w:pPr>
            <w:r>
              <w:t>Surepage</w:t>
            </w:r>
          </w:p>
        </w:tc>
        <w:tc>
          <w:tcPr>
            <w:tcW w:w="2500" w:type="pct"/>
            <w:hideMark/>
          </w:tcPr>
          <w:p w14:paraId="1290AC24" w14:textId="77777777" w:rsidR="000D07EA" w:rsidRDefault="00BE7C89">
            <w:pPr>
              <w:pStyle w:val="BodyText"/>
              <w:spacing w:before="100" w:after="100"/>
              <w:rPr>
                <w:lang w:val="en-AU"/>
              </w:rPr>
            </w:pPr>
            <w:r>
              <w:t>No</w:t>
            </w:r>
          </w:p>
        </w:tc>
      </w:tr>
    </w:tbl>
    <w:p w14:paraId="57BDD2E9" w14:textId="77777777" w:rsidR="000D07EA" w:rsidRDefault="000D07EA">
      <w:pPr>
        <w:pStyle w:val="BodyText"/>
      </w:pPr>
    </w:p>
    <w:p w14:paraId="28511D9F" w14:textId="77777777" w:rsidR="000D07EA" w:rsidRDefault="00BE7C89">
      <w:pPr>
        <w:pStyle w:val="BodyText"/>
        <w:ind w:left="1440"/>
      </w:pPr>
      <w:r>
        <w:t xml:space="preserve">Available features will vary depending on </w:t>
      </w:r>
      <w:r>
        <w:rPr>
          <w:i/>
        </w:rPr>
        <w:t>your</w:t>
      </w:r>
      <w:r>
        <w:t xml:space="preserve"> iPhone or software version.</w:t>
      </w:r>
    </w:p>
    <w:p w14:paraId="4AEA2298" w14:textId="77777777" w:rsidR="000D07EA" w:rsidRDefault="00BE7C89">
      <w:pPr>
        <w:pStyle w:val="BodyText"/>
        <w:ind w:left="1440"/>
        <w:rPr>
          <w:b/>
          <w:szCs w:val="20"/>
        </w:rPr>
      </w:pPr>
      <w:r>
        <w:rPr>
          <w:b/>
        </w:rPr>
        <w:t>Table 2A – Charges and Cap Amounts for the Business Complete Max iPhone BYO Plans</w:t>
      </w:r>
    </w:p>
    <w:tbl>
      <w:tblPr>
        <w:tblW w:w="4300" w:type="pct"/>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4"/>
        <w:gridCol w:w="1756"/>
        <w:gridCol w:w="1756"/>
        <w:gridCol w:w="1756"/>
      </w:tblGrid>
      <w:tr w:rsidR="000D07EA" w14:paraId="6C4DD18E" w14:textId="77777777">
        <w:trPr>
          <w:tblHeader/>
        </w:trPr>
        <w:tc>
          <w:tcPr>
            <w:tcW w:w="1994" w:type="pct"/>
            <w:hideMark/>
          </w:tcPr>
          <w:p w14:paraId="133E0626" w14:textId="77777777" w:rsidR="000D07EA" w:rsidRDefault="00BE7C89">
            <w:pPr>
              <w:pStyle w:val="BodyText"/>
              <w:spacing w:before="100" w:after="100"/>
              <w:rPr>
                <w:sz w:val="24"/>
                <w:lang w:val="en-AU" w:eastAsia="en-AU"/>
              </w:rPr>
            </w:pPr>
            <w:r>
              <w:t> </w:t>
            </w:r>
          </w:p>
        </w:tc>
        <w:tc>
          <w:tcPr>
            <w:tcW w:w="1002" w:type="pct"/>
            <w:hideMark/>
          </w:tcPr>
          <w:p w14:paraId="4D7EACFB" w14:textId="77777777" w:rsidR="000D07EA" w:rsidRDefault="00BE7C89">
            <w:pPr>
              <w:pStyle w:val="BodyText"/>
              <w:spacing w:before="100" w:after="100"/>
              <w:jc w:val="center"/>
              <w:rPr>
                <w:b/>
                <w:sz w:val="24"/>
                <w:lang w:val="en-AU" w:eastAsia="en-AU"/>
              </w:rPr>
            </w:pPr>
            <w:r>
              <w:rPr>
                <w:b/>
              </w:rPr>
              <w:t>$49 Business Complete Max iPhone BYO</w:t>
            </w:r>
          </w:p>
        </w:tc>
        <w:tc>
          <w:tcPr>
            <w:tcW w:w="1002" w:type="pct"/>
            <w:hideMark/>
          </w:tcPr>
          <w:p w14:paraId="0FBEF679" w14:textId="77777777" w:rsidR="000D07EA" w:rsidRDefault="00BE7C89">
            <w:pPr>
              <w:pStyle w:val="BodyText"/>
              <w:spacing w:before="100" w:after="100"/>
              <w:jc w:val="center"/>
              <w:rPr>
                <w:b/>
                <w:sz w:val="24"/>
                <w:lang w:val="en-AU" w:eastAsia="en-AU"/>
              </w:rPr>
            </w:pPr>
            <w:r>
              <w:rPr>
                <w:b/>
              </w:rPr>
              <w:t>$59 Business Complete Max iPhone BYO</w:t>
            </w:r>
          </w:p>
        </w:tc>
        <w:tc>
          <w:tcPr>
            <w:tcW w:w="1002" w:type="pct"/>
            <w:hideMark/>
          </w:tcPr>
          <w:p w14:paraId="2C0238E7" w14:textId="77777777" w:rsidR="000D07EA" w:rsidRDefault="00BE7C89">
            <w:pPr>
              <w:pStyle w:val="BodyText"/>
              <w:spacing w:before="100" w:after="100"/>
              <w:jc w:val="center"/>
              <w:rPr>
                <w:b/>
                <w:sz w:val="24"/>
                <w:lang w:val="en-AU" w:eastAsia="en-AU"/>
              </w:rPr>
            </w:pPr>
            <w:r>
              <w:rPr>
                <w:b/>
              </w:rPr>
              <w:t>$79 Business Complete Max iPhone BYO</w:t>
            </w:r>
          </w:p>
        </w:tc>
      </w:tr>
      <w:tr w:rsidR="000D07EA" w14:paraId="0FBD55DA" w14:textId="77777777">
        <w:tc>
          <w:tcPr>
            <w:tcW w:w="1994" w:type="pct"/>
            <w:hideMark/>
          </w:tcPr>
          <w:p w14:paraId="006D140C" w14:textId="77777777" w:rsidR="000D07EA" w:rsidRDefault="00BE7C89">
            <w:pPr>
              <w:pStyle w:val="BodyText"/>
              <w:spacing w:before="100" w:after="100"/>
              <w:rPr>
                <w:b/>
                <w:sz w:val="24"/>
                <w:lang w:val="en-AU" w:eastAsia="en-AU"/>
              </w:rPr>
            </w:pPr>
            <w:r>
              <w:rPr>
                <w:b/>
              </w:rPr>
              <w:t>Cap Start</w:t>
            </w:r>
          </w:p>
        </w:tc>
        <w:tc>
          <w:tcPr>
            <w:tcW w:w="1002" w:type="pct"/>
            <w:hideMark/>
          </w:tcPr>
          <w:p w14:paraId="73A6D3B8" w14:textId="77777777" w:rsidR="000D07EA" w:rsidRDefault="00BE7C89">
            <w:pPr>
              <w:pStyle w:val="BodyText"/>
              <w:spacing w:before="100" w:after="100"/>
              <w:jc w:val="center"/>
              <w:rPr>
                <w:sz w:val="24"/>
                <w:lang w:val="en-AU" w:eastAsia="en-AU"/>
              </w:rPr>
            </w:pPr>
            <w:r>
              <w:t>$49</w:t>
            </w:r>
          </w:p>
        </w:tc>
        <w:tc>
          <w:tcPr>
            <w:tcW w:w="1002" w:type="pct"/>
            <w:hideMark/>
          </w:tcPr>
          <w:p w14:paraId="62151EFF" w14:textId="77777777" w:rsidR="000D07EA" w:rsidRDefault="00BE7C89">
            <w:pPr>
              <w:pStyle w:val="BodyText"/>
              <w:spacing w:before="100" w:after="100"/>
              <w:jc w:val="center"/>
              <w:rPr>
                <w:sz w:val="24"/>
                <w:lang w:val="en-AU" w:eastAsia="en-AU"/>
              </w:rPr>
            </w:pPr>
            <w:r>
              <w:t>$59</w:t>
            </w:r>
          </w:p>
        </w:tc>
        <w:tc>
          <w:tcPr>
            <w:tcW w:w="1002" w:type="pct"/>
            <w:hideMark/>
          </w:tcPr>
          <w:p w14:paraId="5F530A41" w14:textId="77777777" w:rsidR="000D07EA" w:rsidRDefault="00BE7C89">
            <w:pPr>
              <w:pStyle w:val="BodyText"/>
              <w:spacing w:before="100" w:after="100"/>
              <w:jc w:val="center"/>
              <w:rPr>
                <w:sz w:val="24"/>
                <w:lang w:val="en-AU" w:eastAsia="en-AU"/>
              </w:rPr>
            </w:pPr>
            <w:r>
              <w:t>$79</w:t>
            </w:r>
          </w:p>
        </w:tc>
      </w:tr>
      <w:tr w:rsidR="000D07EA" w14:paraId="15F862F0" w14:textId="77777777">
        <w:tc>
          <w:tcPr>
            <w:tcW w:w="1994" w:type="pct"/>
            <w:hideMark/>
          </w:tcPr>
          <w:p w14:paraId="6D9357CC" w14:textId="77777777" w:rsidR="000D07EA" w:rsidRDefault="00BE7C89">
            <w:pPr>
              <w:pStyle w:val="BodyText"/>
              <w:spacing w:before="100" w:after="100"/>
              <w:rPr>
                <w:b/>
                <w:sz w:val="24"/>
                <w:lang w:val="en-AU" w:eastAsia="en-AU"/>
              </w:rPr>
            </w:pPr>
            <w:r>
              <w:rPr>
                <w:b/>
              </w:rPr>
              <w:t>"Included Cap Value" per month to use within Australia</w:t>
            </w:r>
          </w:p>
        </w:tc>
        <w:tc>
          <w:tcPr>
            <w:tcW w:w="1002" w:type="pct"/>
            <w:hideMark/>
          </w:tcPr>
          <w:p w14:paraId="489C1183" w14:textId="77777777" w:rsidR="000D07EA" w:rsidRDefault="00BE7C89">
            <w:pPr>
              <w:pStyle w:val="BodyText"/>
              <w:spacing w:before="100" w:after="100"/>
              <w:jc w:val="center"/>
              <w:rPr>
                <w:sz w:val="24"/>
                <w:lang w:val="en-AU" w:eastAsia="en-AU"/>
              </w:rPr>
            </w:pPr>
            <w:r>
              <w:t>$420</w:t>
            </w:r>
          </w:p>
        </w:tc>
        <w:tc>
          <w:tcPr>
            <w:tcW w:w="1002" w:type="pct"/>
            <w:hideMark/>
          </w:tcPr>
          <w:p w14:paraId="2658B7B7" w14:textId="77777777" w:rsidR="000D07EA" w:rsidRDefault="00BE7C89">
            <w:pPr>
              <w:pStyle w:val="BodyText"/>
              <w:spacing w:before="100" w:after="100"/>
              <w:jc w:val="center"/>
              <w:rPr>
                <w:sz w:val="24"/>
                <w:lang w:val="en-AU" w:eastAsia="en-AU"/>
              </w:rPr>
            </w:pPr>
            <w:r>
              <w:t>$450</w:t>
            </w:r>
          </w:p>
        </w:tc>
        <w:tc>
          <w:tcPr>
            <w:tcW w:w="1002" w:type="pct"/>
            <w:hideMark/>
          </w:tcPr>
          <w:p w14:paraId="348CBB40" w14:textId="77777777" w:rsidR="000D07EA" w:rsidRDefault="00BE7C89">
            <w:pPr>
              <w:pStyle w:val="BodyText"/>
              <w:spacing w:before="100" w:after="100"/>
              <w:jc w:val="center"/>
              <w:rPr>
                <w:sz w:val="24"/>
                <w:lang w:val="en-AU" w:eastAsia="en-AU"/>
              </w:rPr>
            </w:pPr>
            <w:r>
              <w:t>$800</w:t>
            </w:r>
          </w:p>
        </w:tc>
      </w:tr>
      <w:tr w:rsidR="000D07EA" w14:paraId="6EF70680" w14:textId="77777777">
        <w:tc>
          <w:tcPr>
            <w:tcW w:w="1994" w:type="pct"/>
            <w:hideMark/>
          </w:tcPr>
          <w:p w14:paraId="74F85F1C" w14:textId="77777777" w:rsidR="000D07EA" w:rsidRDefault="00BE7C89">
            <w:pPr>
              <w:pStyle w:val="BodyText"/>
              <w:spacing w:before="100" w:after="100"/>
              <w:rPr>
                <w:b/>
                <w:sz w:val="24"/>
                <w:lang w:val="en-AU" w:eastAsia="en-AU"/>
              </w:rPr>
            </w:pPr>
            <w:r>
              <w:rPr>
                <w:b/>
              </w:rPr>
              <w:lastRenderedPageBreak/>
              <w:t>Monthly Included Mobile Internet Data to use within Australia</w:t>
            </w:r>
          </w:p>
        </w:tc>
        <w:tc>
          <w:tcPr>
            <w:tcW w:w="1002" w:type="pct"/>
            <w:hideMark/>
          </w:tcPr>
          <w:p w14:paraId="7765B1C6" w14:textId="77777777" w:rsidR="000D07EA" w:rsidRDefault="00BE7C89">
            <w:pPr>
              <w:pStyle w:val="BodyText"/>
              <w:spacing w:before="100" w:after="100"/>
              <w:jc w:val="center"/>
              <w:rPr>
                <w:sz w:val="24"/>
                <w:lang w:val="en-AU" w:eastAsia="en-AU"/>
              </w:rPr>
            </w:pPr>
            <w:r>
              <w:t>750MB</w:t>
            </w:r>
          </w:p>
        </w:tc>
        <w:tc>
          <w:tcPr>
            <w:tcW w:w="1002" w:type="pct"/>
            <w:hideMark/>
          </w:tcPr>
          <w:p w14:paraId="1361FBD5" w14:textId="77777777" w:rsidR="000D07EA" w:rsidRDefault="00BE7C89">
            <w:pPr>
              <w:pStyle w:val="BodyText"/>
              <w:spacing w:before="100" w:after="100"/>
              <w:jc w:val="center"/>
              <w:rPr>
                <w:sz w:val="24"/>
                <w:lang w:val="en-AU" w:eastAsia="en-AU"/>
              </w:rPr>
            </w:pPr>
            <w:r>
              <w:t>1.2GB</w:t>
            </w:r>
          </w:p>
        </w:tc>
        <w:tc>
          <w:tcPr>
            <w:tcW w:w="1002" w:type="pct"/>
            <w:hideMark/>
          </w:tcPr>
          <w:p w14:paraId="3106DA72" w14:textId="77777777" w:rsidR="000D07EA" w:rsidRDefault="00BE7C89">
            <w:pPr>
              <w:pStyle w:val="BodyText"/>
              <w:spacing w:before="100" w:after="100"/>
              <w:jc w:val="center"/>
              <w:rPr>
                <w:sz w:val="24"/>
                <w:lang w:val="en-AU" w:eastAsia="en-AU"/>
              </w:rPr>
            </w:pPr>
            <w:r>
              <w:t>1.5GB</w:t>
            </w:r>
          </w:p>
        </w:tc>
      </w:tr>
      <w:tr w:rsidR="000D07EA" w14:paraId="3C707CDC" w14:textId="77777777">
        <w:tc>
          <w:tcPr>
            <w:tcW w:w="1994" w:type="pct"/>
            <w:hideMark/>
          </w:tcPr>
          <w:p w14:paraId="15C15A75" w14:textId="77777777" w:rsidR="000D07EA" w:rsidRDefault="00BE7C89">
            <w:pPr>
              <w:pStyle w:val="BodyText"/>
              <w:spacing w:before="100" w:after="100"/>
              <w:rPr>
                <w:b/>
                <w:sz w:val="24"/>
                <w:lang w:val="en-AU" w:eastAsia="en-AU"/>
              </w:rPr>
            </w:pPr>
            <w:r>
              <w:rPr>
                <w:b/>
              </w:rPr>
              <w:t>Unlimited standard national SMS and MMS to use within Australia</w:t>
            </w:r>
          </w:p>
        </w:tc>
        <w:tc>
          <w:tcPr>
            <w:tcW w:w="1002" w:type="pct"/>
            <w:hideMark/>
          </w:tcPr>
          <w:p w14:paraId="35B7FB05" w14:textId="77777777" w:rsidR="000D07EA" w:rsidRDefault="00BE7C89">
            <w:pPr>
              <w:pStyle w:val="BodyText"/>
              <w:spacing w:before="100" w:after="100"/>
              <w:jc w:val="center"/>
              <w:rPr>
                <w:sz w:val="24"/>
                <w:lang w:val="en-AU" w:eastAsia="en-AU"/>
              </w:rPr>
            </w:pPr>
            <w:r>
              <w:t>No</w:t>
            </w:r>
          </w:p>
        </w:tc>
        <w:tc>
          <w:tcPr>
            <w:tcW w:w="1002" w:type="pct"/>
            <w:hideMark/>
          </w:tcPr>
          <w:p w14:paraId="6E25B15A" w14:textId="77777777" w:rsidR="000D07EA" w:rsidRDefault="00BE7C89">
            <w:pPr>
              <w:pStyle w:val="BodyText"/>
              <w:spacing w:before="100" w:after="100"/>
              <w:jc w:val="center"/>
              <w:rPr>
                <w:sz w:val="24"/>
                <w:lang w:val="en-AU" w:eastAsia="en-AU"/>
              </w:rPr>
            </w:pPr>
            <w:r>
              <w:t>Yes</w:t>
            </w:r>
          </w:p>
        </w:tc>
        <w:tc>
          <w:tcPr>
            <w:tcW w:w="1002" w:type="pct"/>
            <w:hideMark/>
          </w:tcPr>
          <w:p w14:paraId="3711AEED" w14:textId="77777777" w:rsidR="000D07EA" w:rsidRDefault="00BE7C89">
            <w:pPr>
              <w:pStyle w:val="BodyText"/>
              <w:spacing w:before="100" w:after="100"/>
              <w:jc w:val="center"/>
              <w:rPr>
                <w:sz w:val="24"/>
                <w:lang w:val="en-AU" w:eastAsia="en-AU"/>
              </w:rPr>
            </w:pPr>
            <w:r>
              <w:t>Yes</w:t>
            </w:r>
          </w:p>
        </w:tc>
      </w:tr>
      <w:tr w:rsidR="000D07EA" w14:paraId="6050AB02" w14:textId="77777777">
        <w:tc>
          <w:tcPr>
            <w:tcW w:w="1994" w:type="pct"/>
            <w:hideMark/>
          </w:tcPr>
          <w:p w14:paraId="4272D7B1" w14:textId="77777777" w:rsidR="000D07EA" w:rsidRDefault="00BE7C89">
            <w:pPr>
              <w:pStyle w:val="BodyText"/>
              <w:keepNext/>
              <w:spacing w:before="100" w:after="100"/>
              <w:rPr>
                <w:b/>
                <w:sz w:val="24"/>
                <w:lang w:val="en-AU" w:eastAsia="en-AU"/>
              </w:rPr>
            </w:pPr>
            <w:r>
              <w:rPr>
                <w:b/>
              </w:rPr>
              <w:t>Unlimited access to Facebook®, Twitter, LinkedIn, Ebay, Four Square, MySpace, within Australia</w:t>
            </w:r>
          </w:p>
        </w:tc>
        <w:tc>
          <w:tcPr>
            <w:tcW w:w="1002" w:type="pct"/>
            <w:hideMark/>
          </w:tcPr>
          <w:p w14:paraId="4AC97DFD" w14:textId="77777777" w:rsidR="000D07EA" w:rsidRDefault="00BE7C89">
            <w:pPr>
              <w:pStyle w:val="BodyText"/>
              <w:keepNext/>
              <w:spacing w:before="100" w:after="100"/>
              <w:jc w:val="center"/>
              <w:rPr>
                <w:sz w:val="24"/>
                <w:lang w:val="en-AU" w:eastAsia="en-AU"/>
              </w:rPr>
            </w:pPr>
            <w:r>
              <w:t>Yes</w:t>
            </w:r>
          </w:p>
        </w:tc>
        <w:tc>
          <w:tcPr>
            <w:tcW w:w="1002" w:type="pct"/>
            <w:hideMark/>
          </w:tcPr>
          <w:p w14:paraId="2EF320D6" w14:textId="77777777" w:rsidR="000D07EA" w:rsidRDefault="00BE7C89">
            <w:pPr>
              <w:pStyle w:val="BodyText"/>
              <w:keepNext/>
              <w:spacing w:before="100" w:after="100"/>
              <w:jc w:val="center"/>
              <w:rPr>
                <w:sz w:val="24"/>
                <w:lang w:val="en-AU" w:eastAsia="en-AU"/>
              </w:rPr>
            </w:pPr>
            <w:r>
              <w:t>Yes</w:t>
            </w:r>
          </w:p>
        </w:tc>
        <w:tc>
          <w:tcPr>
            <w:tcW w:w="1002" w:type="pct"/>
            <w:hideMark/>
          </w:tcPr>
          <w:p w14:paraId="403F87FC" w14:textId="77777777" w:rsidR="000D07EA" w:rsidRDefault="00BE7C89">
            <w:pPr>
              <w:pStyle w:val="BodyText"/>
              <w:keepNext/>
              <w:spacing w:before="100" w:after="100"/>
              <w:jc w:val="center"/>
              <w:rPr>
                <w:sz w:val="24"/>
                <w:lang w:val="en-AU" w:eastAsia="en-AU"/>
              </w:rPr>
            </w:pPr>
            <w:r>
              <w:t>Yes</w:t>
            </w:r>
          </w:p>
        </w:tc>
      </w:tr>
      <w:tr w:rsidR="000D07EA" w14:paraId="3FF5B262" w14:textId="77777777">
        <w:tc>
          <w:tcPr>
            <w:tcW w:w="1994" w:type="pct"/>
            <w:hideMark/>
          </w:tcPr>
          <w:p w14:paraId="11BD4B1D" w14:textId="77777777" w:rsidR="000D07EA" w:rsidRDefault="00BE7C89">
            <w:pPr>
              <w:pStyle w:val="BodyText"/>
              <w:spacing w:before="100" w:after="100"/>
              <w:rPr>
                <w:b/>
                <w:sz w:val="24"/>
                <w:lang w:val="en-AU" w:eastAsia="en-AU"/>
              </w:rPr>
            </w:pPr>
            <w:r>
              <w:rPr>
                <w:b/>
              </w:rPr>
              <w:t>Minimum Monthly charge</w:t>
            </w:r>
          </w:p>
        </w:tc>
        <w:tc>
          <w:tcPr>
            <w:tcW w:w="1002" w:type="pct"/>
            <w:hideMark/>
          </w:tcPr>
          <w:p w14:paraId="25F753C8" w14:textId="77777777" w:rsidR="000D07EA" w:rsidRDefault="00BE7C89">
            <w:pPr>
              <w:pStyle w:val="BodyText"/>
              <w:spacing w:before="100" w:after="100"/>
              <w:jc w:val="center"/>
              <w:rPr>
                <w:sz w:val="24"/>
                <w:lang w:val="en-AU" w:eastAsia="en-AU"/>
              </w:rPr>
            </w:pPr>
            <w:r>
              <w:t>$49</w:t>
            </w:r>
          </w:p>
        </w:tc>
        <w:tc>
          <w:tcPr>
            <w:tcW w:w="1002" w:type="pct"/>
            <w:hideMark/>
          </w:tcPr>
          <w:p w14:paraId="1C55D4A2" w14:textId="77777777" w:rsidR="000D07EA" w:rsidRDefault="00BE7C89">
            <w:pPr>
              <w:pStyle w:val="BodyText"/>
              <w:spacing w:before="100" w:after="100"/>
              <w:jc w:val="center"/>
              <w:rPr>
                <w:sz w:val="24"/>
                <w:lang w:val="en-AU" w:eastAsia="en-AU"/>
              </w:rPr>
            </w:pPr>
            <w:r>
              <w:t>$59</w:t>
            </w:r>
          </w:p>
        </w:tc>
        <w:tc>
          <w:tcPr>
            <w:tcW w:w="1002" w:type="pct"/>
            <w:hideMark/>
          </w:tcPr>
          <w:p w14:paraId="23CB0E70" w14:textId="77777777" w:rsidR="000D07EA" w:rsidRDefault="00BE7C89">
            <w:pPr>
              <w:pStyle w:val="BodyText"/>
              <w:spacing w:before="100" w:after="100"/>
              <w:jc w:val="center"/>
              <w:rPr>
                <w:sz w:val="24"/>
                <w:lang w:val="en-AU" w:eastAsia="en-AU"/>
              </w:rPr>
            </w:pPr>
            <w:r>
              <w:t>$79</w:t>
            </w:r>
          </w:p>
        </w:tc>
      </w:tr>
      <w:tr w:rsidR="000D07EA" w14:paraId="09613F7A" w14:textId="77777777">
        <w:tc>
          <w:tcPr>
            <w:tcW w:w="1994" w:type="pct"/>
            <w:hideMark/>
          </w:tcPr>
          <w:p w14:paraId="4FC92F52" w14:textId="77777777" w:rsidR="000D07EA" w:rsidRDefault="00BE7C89">
            <w:pPr>
              <w:pStyle w:val="BodyText"/>
              <w:spacing w:before="100" w:after="100"/>
              <w:rPr>
                <w:b/>
                <w:sz w:val="24"/>
                <w:lang w:val="en-AU" w:eastAsia="en-AU"/>
              </w:rPr>
            </w:pPr>
            <w:r>
              <w:rPr>
                <w:b/>
              </w:rPr>
              <w:t xml:space="preserve">National Voice call charges </w:t>
            </w:r>
            <w:r>
              <w:rPr>
                <w:b/>
                <w:i/>
                <w:iCs/>
              </w:rPr>
              <w:t xml:space="preserve"> </w:t>
            </w:r>
            <w:r>
              <w:t>(per minute)</w:t>
            </w:r>
          </w:p>
        </w:tc>
        <w:tc>
          <w:tcPr>
            <w:tcW w:w="1002" w:type="pct"/>
            <w:hideMark/>
          </w:tcPr>
          <w:p w14:paraId="74292ED5" w14:textId="77777777" w:rsidR="000D07EA" w:rsidRDefault="00BE7C89">
            <w:pPr>
              <w:pStyle w:val="BodyText"/>
              <w:spacing w:before="100" w:after="100"/>
              <w:jc w:val="center"/>
              <w:rPr>
                <w:sz w:val="24"/>
                <w:lang w:val="en-AU" w:eastAsia="en-AU"/>
              </w:rPr>
            </w:pPr>
            <w:r>
              <w:t>$0.80</w:t>
            </w:r>
          </w:p>
        </w:tc>
        <w:tc>
          <w:tcPr>
            <w:tcW w:w="1002" w:type="pct"/>
            <w:hideMark/>
          </w:tcPr>
          <w:p w14:paraId="6AF69D9C" w14:textId="77777777" w:rsidR="000D07EA" w:rsidRDefault="00BE7C89">
            <w:pPr>
              <w:pStyle w:val="BodyText"/>
              <w:spacing w:before="100" w:after="100"/>
              <w:jc w:val="center"/>
              <w:rPr>
                <w:sz w:val="24"/>
                <w:lang w:val="en-AU" w:eastAsia="en-AU"/>
              </w:rPr>
            </w:pPr>
            <w:r>
              <w:t>$0.80</w:t>
            </w:r>
          </w:p>
        </w:tc>
        <w:tc>
          <w:tcPr>
            <w:tcW w:w="1002" w:type="pct"/>
            <w:hideMark/>
          </w:tcPr>
          <w:p w14:paraId="120949CF" w14:textId="77777777" w:rsidR="000D07EA" w:rsidRDefault="00BE7C89">
            <w:pPr>
              <w:pStyle w:val="BodyText"/>
              <w:spacing w:before="100" w:after="100"/>
              <w:jc w:val="center"/>
              <w:rPr>
                <w:sz w:val="24"/>
                <w:lang w:val="en-AU" w:eastAsia="en-AU"/>
              </w:rPr>
            </w:pPr>
            <w:r>
              <w:t>$0.80</w:t>
            </w:r>
          </w:p>
        </w:tc>
      </w:tr>
      <w:tr w:rsidR="000D07EA" w14:paraId="061FC9D0" w14:textId="77777777">
        <w:tc>
          <w:tcPr>
            <w:tcW w:w="1994" w:type="pct"/>
            <w:hideMark/>
          </w:tcPr>
          <w:p w14:paraId="72CCE46A" w14:textId="77777777" w:rsidR="000D07EA" w:rsidRDefault="00BE7C89">
            <w:pPr>
              <w:pStyle w:val="BodyText"/>
              <w:spacing w:before="100" w:after="100"/>
              <w:rPr>
                <w:b/>
                <w:i/>
                <w:iCs/>
                <w:sz w:val="24"/>
                <w:lang w:val="en-AU" w:eastAsia="en-AU"/>
              </w:rPr>
            </w:pPr>
            <w:r>
              <w:rPr>
                <w:b/>
                <w:i/>
                <w:iCs/>
              </w:rPr>
              <w:t>Flagfall</w:t>
            </w:r>
            <w:r>
              <w:rPr>
                <w:b/>
              </w:rPr>
              <w:t xml:space="preserve"> for national voice calls (Call Connection Charge) </w:t>
            </w:r>
          </w:p>
        </w:tc>
        <w:tc>
          <w:tcPr>
            <w:tcW w:w="1002" w:type="pct"/>
            <w:hideMark/>
          </w:tcPr>
          <w:p w14:paraId="3963A015" w14:textId="77777777" w:rsidR="000D07EA" w:rsidRDefault="00BE7C89">
            <w:pPr>
              <w:pStyle w:val="BodyText"/>
              <w:spacing w:before="100" w:after="100"/>
              <w:jc w:val="center"/>
              <w:rPr>
                <w:sz w:val="24"/>
                <w:lang w:val="en-AU" w:eastAsia="en-AU"/>
              </w:rPr>
            </w:pPr>
            <w:r>
              <w:t>$0.35</w:t>
            </w:r>
          </w:p>
        </w:tc>
        <w:tc>
          <w:tcPr>
            <w:tcW w:w="1002" w:type="pct"/>
            <w:hideMark/>
          </w:tcPr>
          <w:p w14:paraId="3E011CEC" w14:textId="77777777" w:rsidR="000D07EA" w:rsidRDefault="00BE7C89">
            <w:pPr>
              <w:pStyle w:val="BodyText"/>
              <w:spacing w:before="100" w:after="100"/>
              <w:jc w:val="center"/>
              <w:rPr>
                <w:sz w:val="24"/>
                <w:lang w:val="en-AU" w:eastAsia="en-AU"/>
              </w:rPr>
            </w:pPr>
            <w:r>
              <w:t>$0.35</w:t>
            </w:r>
          </w:p>
        </w:tc>
        <w:tc>
          <w:tcPr>
            <w:tcW w:w="1002" w:type="pct"/>
            <w:hideMark/>
          </w:tcPr>
          <w:p w14:paraId="4BBF54AA" w14:textId="77777777" w:rsidR="000D07EA" w:rsidRDefault="00BE7C89">
            <w:pPr>
              <w:pStyle w:val="BodyText"/>
              <w:spacing w:before="100" w:after="100"/>
              <w:jc w:val="center"/>
              <w:rPr>
                <w:sz w:val="24"/>
                <w:lang w:val="en-AU" w:eastAsia="en-AU"/>
              </w:rPr>
            </w:pPr>
            <w:r>
              <w:t>$0.35</w:t>
            </w:r>
          </w:p>
        </w:tc>
      </w:tr>
      <w:tr w:rsidR="000D07EA" w14:paraId="44A8D2DD" w14:textId="77777777">
        <w:tc>
          <w:tcPr>
            <w:tcW w:w="1994" w:type="pct"/>
            <w:hideMark/>
          </w:tcPr>
          <w:p w14:paraId="0C8DF20E" w14:textId="77777777" w:rsidR="000D07EA" w:rsidRDefault="00BE7C89">
            <w:pPr>
              <w:pStyle w:val="BodyText"/>
              <w:keepNext/>
              <w:spacing w:before="100" w:after="100"/>
              <w:rPr>
                <w:b/>
                <w:sz w:val="24"/>
                <w:lang w:val="en-AU" w:eastAsia="en-AU"/>
              </w:rPr>
            </w:pPr>
            <w:r>
              <w:rPr>
                <w:b/>
              </w:rPr>
              <w:t xml:space="preserve">National SMS Charges </w:t>
            </w:r>
            <w:r>
              <w:t>(for standard SMS of up to 160 characters)</w:t>
            </w:r>
          </w:p>
        </w:tc>
        <w:tc>
          <w:tcPr>
            <w:tcW w:w="1002" w:type="pct"/>
            <w:hideMark/>
          </w:tcPr>
          <w:p w14:paraId="3C8BAD1F" w14:textId="77777777" w:rsidR="000D07EA" w:rsidRDefault="00BE7C89">
            <w:pPr>
              <w:pStyle w:val="BodyText"/>
              <w:keepNext/>
              <w:spacing w:before="100" w:after="100"/>
              <w:jc w:val="center"/>
              <w:rPr>
                <w:sz w:val="24"/>
                <w:lang w:val="en-AU" w:eastAsia="en-AU"/>
              </w:rPr>
            </w:pPr>
            <w:r>
              <w:t>$0.25</w:t>
            </w:r>
          </w:p>
        </w:tc>
        <w:tc>
          <w:tcPr>
            <w:tcW w:w="1002" w:type="pct"/>
            <w:hideMark/>
          </w:tcPr>
          <w:p w14:paraId="557D5447" w14:textId="77777777" w:rsidR="000D07EA" w:rsidRDefault="00BE7C89">
            <w:pPr>
              <w:pStyle w:val="BodyText"/>
              <w:keepNext/>
              <w:spacing w:before="100" w:after="100"/>
              <w:jc w:val="center"/>
              <w:rPr>
                <w:sz w:val="24"/>
                <w:lang w:val="en-AU" w:eastAsia="en-AU"/>
              </w:rPr>
            </w:pPr>
            <w:r>
              <w:t>Unlimited</w:t>
            </w:r>
          </w:p>
        </w:tc>
        <w:tc>
          <w:tcPr>
            <w:tcW w:w="1002" w:type="pct"/>
            <w:hideMark/>
          </w:tcPr>
          <w:p w14:paraId="441715B6" w14:textId="77777777" w:rsidR="000D07EA" w:rsidRDefault="00BE7C89">
            <w:pPr>
              <w:pStyle w:val="BodyText"/>
              <w:keepNext/>
              <w:spacing w:before="100" w:after="100"/>
              <w:jc w:val="center"/>
              <w:rPr>
                <w:sz w:val="24"/>
                <w:lang w:val="en-AU" w:eastAsia="en-AU"/>
              </w:rPr>
            </w:pPr>
            <w:r>
              <w:t>Unlimited</w:t>
            </w:r>
          </w:p>
        </w:tc>
      </w:tr>
      <w:tr w:rsidR="000D07EA" w14:paraId="4E48FA76" w14:textId="77777777">
        <w:tc>
          <w:tcPr>
            <w:tcW w:w="1994" w:type="pct"/>
            <w:hideMark/>
          </w:tcPr>
          <w:p w14:paraId="1BAE49C5" w14:textId="77777777" w:rsidR="000D07EA" w:rsidRDefault="00BE7C89">
            <w:pPr>
              <w:pStyle w:val="BodyText"/>
              <w:spacing w:before="100" w:after="100"/>
              <w:rPr>
                <w:b/>
                <w:sz w:val="24"/>
                <w:lang w:val="en-AU" w:eastAsia="en-AU"/>
              </w:rPr>
            </w:pPr>
            <w:r>
              <w:rPr>
                <w:b/>
              </w:rPr>
              <w:t>National Photo Message (per message)</w:t>
            </w:r>
          </w:p>
        </w:tc>
        <w:tc>
          <w:tcPr>
            <w:tcW w:w="1002" w:type="pct"/>
            <w:hideMark/>
          </w:tcPr>
          <w:p w14:paraId="0850CA1C" w14:textId="77777777" w:rsidR="000D07EA" w:rsidRDefault="00BE7C89">
            <w:pPr>
              <w:pStyle w:val="BodyText"/>
              <w:spacing w:before="100" w:after="100"/>
              <w:jc w:val="center"/>
              <w:rPr>
                <w:sz w:val="24"/>
                <w:lang w:val="en-AU" w:eastAsia="en-AU"/>
              </w:rPr>
            </w:pPr>
            <w:r>
              <w:t>$0.50</w:t>
            </w:r>
          </w:p>
        </w:tc>
        <w:tc>
          <w:tcPr>
            <w:tcW w:w="1002" w:type="pct"/>
            <w:hideMark/>
          </w:tcPr>
          <w:p w14:paraId="1E6648D9" w14:textId="77777777" w:rsidR="000D07EA" w:rsidRDefault="00BE7C89">
            <w:pPr>
              <w:pStyle w:val="BodyText"/>
              <w:spacing w:before="100" w:after="100"/>
              <w:jc w:val="center"/>
              <w:rPr>
                <w:sz w:val="24"/>
                <w:lang w:val="en-AU" w:eastAsia="en-AU"/>
              </w:rPr>
            </w:pPr>
            <w:r>
              <w:t>Unlimited</w:t>
            </w:r>
          </w:p>
        </w:tc>
        <w:tc>
          <w:tcPr>
            <w:tcW w:w="1002" w:type="pct"/>
            <w:hideMark/>
          </w:tcPr>
          <w:p w14:paraId="55057AE8" w14:textId="77777777" w:rsidR="000D07EA" w:rsidRDefault="00BE7C89">
            <w:pPr>
              <w:pStyle w:val="BodyText"/>
              <w:spacing w:before="100" w:after="100"/>
              <w:jc w:val="center"/>
              <w:rPr>
                <w:sz w:val="24"/>
                <w:lang w:val="en-AU" w:eastAsia="en-AU"/>
              </w:rPr>
            </w:pPr>
            <w:r>
              <w:t>Unlimited</w:t>
            </w:r>
          </w:p>
        </w:tc>
      </w:tr>
      <w:tr w:rsidR="000D07EA" w14:paraId="7DE2602F" w14:textId="77777777">
        <w:tc>
          <w:tcPr>
            <w:tcW w:w="1994" w:type="pct"/>
            <w:hideMark/>
          </w:tcPr>
          <w:p w14:paraId="60BD5516" w14:textId="77777777" w:rsidR="000D07EA" w:rsidRDefault="00BE7C89">
            <w:pPr>
              <w:pStyle w:val="BodyText"/>
              <w:spacing w:before="100" w:after="100"/>
              <w:rPr>
                <w:b/>
                <w:sz w:val="24"/>
                <w:lang w:val="en-AU" w:eastAsia="en-AU"/>
              </w:rPr>
            </w:pPr>
            <w:r>
              <w:rPr>
                <w:b/>
              </w:rPr>
              <w:t>Other call charges (for example international calls, calls to mobiles)</w:t>
            </w:r>
          </w:p>
        </w:tc>
        <w:tc>
          <w:tcPr>
            <w:tcW w:w="3006" w:type="pct"/>
            <w:gridSpan w:val="3"/>
            <w:hideMark/>
          </w:tcPr>
          <w:p w14:paraId="5A760D20" w14:textId="77777777" w:rsidR="000D07EA" w:rsidRDefault="00BE7C89">
            <w:pPr>
              <w:pStyle w:val="BodyText"/>
              <w:spacing w:before="100" w:after="100"/>
              <w:jc w:val="center"/>
              <w:rPr>
                <w:sz w:val="24"/>
                <w:lang w:val="en-AU" w:eastAsia="en-AU"/>
              </w:rPr>
            </w:pPr>
            <w:r>
              <w:t xml:space="preserve">See section 1 of this </w:t>
            </w:r>
            <w:r>
              <w:rPr>
                <w:i/>
                <w:iCs/>
              </w:rPr>
              <w:t>standard pricing table</w:t>
            </w:r>
            <w:r>
              <w:t xml:space="preserve"> and Appendix Y (Value Added Service Features)</w:t>
            </w:r>
          </w:p>
        </w:tc>
      </w:tr>
      <w:tr w:rsidR="000D07EA" w14:paraId="61592088" w14:textId="77777777">
        <w:tc>
          <w:tcPr>
            <w:tcW w:w="1994" w:type="pct"/>
            <w:hideMark/>
          </w:tcPr>
          <w:p w14:paraId="7090E9ED" w14:textId="77777777" w:rsidR="000D07EA" w:rsidRDefault="00BE7C89">
            <w:pPr>
              <w:pStyle w:val="BodyText"/>
              <w:spacing w:before="100" w:after="100"/>
              <w:rPr>
                <w:b/>
                <w:sz w:val="24"/>
                <w:lang w:val="en-AU" w:eastAsia="en-AU"/>
              </w:rPr>
            </w:pPr>
            <w:r>
              <w:rPr>
                <w:b/>
              </w:rPr>
              <w:t xml:space="preserve">Other conditions </w:t>
            </w:r>
            <w:r>
              <w:t xml:space="preserve">(for details see </w:t>
            </w:r>
            <w:hyperlink r:id="rId297" w:history="1">
              <w:r w:rsidR="00F84E53">
                <w:rPr>
                  <w:rStyle w:val="Hyperlink"/>
                  <w:i/>
                </w:rPr>
                <w:t>Appendix S</w:t>
              </w:r>
            </w:hyperlink>
            <w:r>
              <w:t>)</w:t>
            </w:r>
          </w:p>
        </w:tc>
        <w:tc>
          <w:tcPr>
            <w:tcW w:w="3006" w:type="pct"/>
            <w:gridSpan w:val="3"/>
            <w:hideMark/>
          </w:tcPr>
          <w:p w14:paraId="026B16DF" w14:textId="77777777" w:rsidR="000D07EA" w:rsidRDefault="00BE7C89">
            <w:pPr>
              <w:pStyle w:val="BodyText"/>
              <w:spacing w:before="100" w:after="100"/>
              <w:jc w:val="center"/>
              <w:rPr>
                <w:sz w:val="24"/>
                <w:lang w:val="en-AU" w:eastAsia="en-AU"/>
              </w:rPr>
            </w:pPr>
            <w:r>
              <w:t>Fair Go Policy (</w:t>
            </w:r>
            <w:hyperlink r:id="rId298" w:history="1">
              <w:r>
                <w:rPr>
                  <w:rStyle w:val="Hyperlink"/>
                  <w:i/>
                </w:rPr>
                <w:t>Appendix S</w:t>
              </w:r>
            </w:hyperlink>
            <w:r>
              <w:t>) applies to 'excessive use,' 'unreasonable use,' or 'unacceptable use'.</w:t>
            </w:r>
          </w:p>
        </w:tc>
      </w:tr>
      <w:tr w:rsidR="000D07EA" w14:paraId="41D36BED" w14:textId="77777777">
        <w:tc>
          <w:tcPr>
            <w:tcW w:w="1994" w:type="pct"/>
            <w:hideMark/>
          </w:tcPr>
          <w:p w14:paraId="3341F21A" w14:textId="77777777" w:rsidR="000D07EA" w:rsidRDefault="00BE7C89">
            <w:pPr>
              <w:pStyle w:val="BodyText"/>
              <w:spacing w:before="100" w:after="100"/>
              <w:rPr>
                <w:b/>
                <w:sz w:val="24"/>
                <w:lang w:val="en-AU" w:eastAsia="en-AU"/>
              </w:rPr>
            </w:pPr>
            <w:r>
              <w:rPr>
                <w:b/>
              </w:rPr>
              <w:t>Available on Non Fixed Contract (Month to Month)</w:t>
            </w:r>
          </w:p>
        </w:tc>
        <w:tc>
          <w:tcPr>
            <w:tcW w:w="1002" w:type="pct"/>
            <w:hideMark/>
          </w:tcPr>
          <w:p w14:paraId="03F1A11F" w14:textId="77777777" w:rsidR="000D07EA" w:rsidRDefault="00BE7C89">
            <w:pPr>
              <w:pStyle w:val="BodyText"/>
              <w:spacing w:before="100" w:after="100"/>
              <w:jc w:val="center"/>
              <w:rPr>
                <w:sz w:val="24"/>
                <w:lang w:val="en-AU" w:eastAsia="en-AU"/>
              </w:rPr>
            </w:pPr>
            <w:r>
              <w:t>No</w:t>
            </w:r>
          </w:p>
        </w:tc>
        <w:tc>
          <w:tcPr>
            <w:tcW w:w="1002" w:type="pct"/>
            <w:hideMark/>
          </w:tcPr>
          <w:p w14:paraId="67BED549" w14:textId="77777777" w:rsidR="000D07EA" w:rsidRDefault="00BE7C89">
            <w:pPr>
              <w:pStyle w:val="BodyText"/>
              <w:spacing w:before="100" w:after="100"/>
              <w:jc w:val="center"/>
              <w:rPr>
                <w:sz w:val="24"/>
                <w:lang w:val="en-AU" w:eastAsia="en-AU"/>
              </w:rPr>
            </w:pPr>
            <w:r>
              <w:t>No</w:t>
            </w:r>
          </w:p>
        </w:tc>
        <w:tc>
          <w:tcPr>
            <w:tcW w:w="1002" w:type="pct"/>
            <w:hideMark/>
          </w:tcPr>
          <w:p w14:paraId="1F09461C" w14:textId="77777777" w:rsidR="000D07EA" w:rsidRDefault="00BE7C89">
            <w:pPr>
              <w:pStyle w:val="BodyText"/>
              <w:spacing w:before="100" w:after="100"/>
              <w:jc w:val="center"/>
              <w:rPr>
                <w:sz w:val="24"/>
                <w:lang w:val="en-AU" w:eastAsia="en-AU"/>
              </w:rPr>
            </w:pPr>
            <w:r>
              <w:t>No</w:t>
            </w:r>
          </w:p>
        </w:tc>
      </w:tr>
      <w:tr w:rsidR="000D07EA" w14:paraId="21AEFB60" w14:textId="77777777">
        <w:tc>
          <w:tcPr>
            <w:tcW w:w="1994" w:type="pct"/>
            <w:hideMark/>
          </w:tcPr>
          <w:p w14:paraId="66E02F13" w14:textId="77777777" w:rsidR="000D07EA" w:rsidRDefault="00BE7C89">
            <w:pPr>
              <w:pStyle w:val="BodyText"/>
              <w:spacing w:before="100" w:after="100"/>
              <w:rPr>
                <w:b/>
                <w:sz w:val="24"/>
                <w:lang w:val="en-AU" w:eastAsia="en-AU"/>
              </w:rPr>
            </w:pPr>
            <w:r>
              <w:rPr>
                <w:b/>
              </w:rPr>
              <w:t>Available on a 12 month Fixed Term Contract</w:t>
            </w:r>
          </w:p>
        </w:tc>
        <w:tc>
          <w:tcPr>
            <w:tcW w:w="1002" w:type="pct"/>
            <w:hideMark/>
          </w:tcPr>
          <w:p w14:paraId="417ACCC9" w14:textId="77777777" w:rsidR="000D07EA" w:rsidRDefault="00BE7C89">
            <w:pPr>
              <w:pStyle w:val="BodyText"/>
              <w:spacing w:before="100" w:after="100"/>
              <w:jc w:val="center"/>
              <w:rPr>
                <w:sz w:val="24"/>
                <w:lang w:val="en-AU" w:eastAsia="en-AU"/>
              </w:rPr>
            </w:pPr>
            <w:r>
              <w:t>Yes</w:t>
            </w:r>
          </w:p>
        </w:tc>
        <w:tc>
          <w:tcPr>
            <w:tcW w:w="1002" w:type="pct"/>
            <w:hideMark/>
          </w:tcPr>
          <w:p w14:paraId="1F0F0F8A" w14:textId="77777777" w:rsidR="000D07EA" w:rsidRDefault="00BE7C89">
            <w:pPr>
              <w:pStyle w:val="BodyText"/>
              <w:spacing w:before="100" w:after="100"/>
              <w:jc w:val="center"/>
              <w:rPr>
                <w:sz w:val="24"/>
                <w:lang w:val="en-AU" w:eastAsia="en-AU"/>
              </w:rPr>
            </w:pPr>
            <w:r>
              <w:t>Yes</w:t>
            </w:r>
          </w:p>
        </w:tc>
        <w:tc>
          <w:tcPr>
            <w:tcW w:w="1002" w:type="pct"/>
            <w:hideMark/>
          </w:tcPr>
          <w:p w14:paraId="1FD3F6C7" w14:textId="77777777" w:rsidR="000D07EA" w:rsidRDefault="00BE7C89">
            <w:pPr>
              <w:pStyle w:val="BodyText"/>
              <w:spacing w:before="100" w:after="100"/>
              <w:jc w:val="center"/>
              <w:rPr>
                <w:sz w:val="24"/>
                <w:lang w:val="en-AU" w:eastAsia="en-AU"/>
              </w:rPr>
            </w:pPr>
            <w:r>
              <w:t>Yes</w:t>
            </w:r>
          </w:p>
        </w:tc>
      </w:tr>
      <w:tr w:rsidR="000D07EA" w14:paraId="6643D1E9" w14:textId="77777777">
        <w:tc>
          <w:tcPr>
            <w:tcW w:w="1994" w:type="pct"/>
            <w:hideMark/>
          </w:tcPr>
          <w:p w14:paraId="50EE4580" w14:textId="77777777" w:rsidR="000D07EA" w:rsidRDefault="00BE7C89">
            <w:pPr>
              <w:pStyle w:val="BodyText"/>
              <w:spacing w:before="100" w:after="100"/>
              <w:rPr>
                <w:b/>
                <w:sz w:val="24"/>
                <w:lang w:val="en-AU" w:eastAsia="en-AU"/>
              </w:rPr>
            </w:pPr>
            <w:r>
              <w:rPr>
                <w:b/>
              </w:rPr>
              <w:t>Available on a Fixed Term Contract (24 Months)</w:t>
            </w:r>
          </w:p>
        </w:tc>
        <w:tc>
          <w:tcPr>
            <w:tcW w:w="1002" w:type="pct"/>
            <w:hideMark/>
          </w:tcPr>
          <w:p w14:paraId="5FED1F1B" w14:textId="77777777" w:rsidR="000D07EA" w:rsidRDefault="00BE7C89">
            <w:pPr>
              <w:pStyle w:val="BodyText"/>
              <w:spacing w:before="100" w:after="100"/>
              <w:jc w:val="center"/>
              <w:rPr>
                <w:sz w:val="24"/>
                <w:lang w:val="en-AU" w:eastAsia="en-AU"/>
              </w:rPr>
            </w:pPr>
            <w:r>
              <w:t>No</w:t>
            </w:r>
          </w:p>
        </w:tc>
        <w:tc>
          <w:tcPr>
            <w:tcW w:w="1002" w:type="pct"/>
            <w:hideMark/>
          </w:tcPr>
          <w:p w14:paraId="26CF4652" w14:textId="77777777" w:rsidR="000D07EA" w:rsidRDefault="00BE7C89">
            <w:pPr>
              <w:pStyle w:val="BodyText"/>
              <w:spacing w:before="100" w:after="100"/>
              <w:jc w:val="center"/>
              <w:rPr>
                <w:sz w:val="24"/>
                <w:lang w:val="en-AU" w:eastAsia="en-AU"/>
              </w:rPr>
            </w:pPr>
            <w:r>
              <w:t>No</w:t>
            </w:r>
          </w:p>
        </w:tc>
        <w:tc>
          <w:tcPr>
            <w:tcW w:w="1002" w:type="pct"/>
            <w:hideMark/>
          </w:tcPr>
          <w:p w14:paraId="78C986C3" w14:textId="77777777" w:rsidR="000D07EA" w:rsidRDefault="00BE7C89">
            <w:pPr>
              <w:pStyle w:val="BodyText"/>
              <w:spacing w:before="100" w:after="100"/>
              <w:jc w:val="center"/>
              <w:rPr>
                <w:sz w:val="24"/>
                <w:lang w:val="en-AU" w:eastAsia="en-AU"/>
              </w:rPr>
            </w:pPr>
            <w:r>
              <w:t>No</w:t>
            </w:r>
          </w:p>
        </w:tc>
      </w:tr>
      <w:tr w:rsidR="000D07EA" w14:paraId="025A11F2" w14:textId="77777777">
        <w:tc>
          <w:tcPr>
            <w:tcW w:w="1994" w:type="pct"/>
            <w:hideMark/>
          </w:tcPr>
          <w:p w14:paraId="52D8C736" w14:textId="77777777" w:rsidR="000D07EA" w:rsidRDefault="00BE7C89">
            <w:pPr>
              <w:pStyle w:val="BodyText"/>
              <w:spacing w:before="100" w:after="100"/>
              <w:rPr>
                <w:b/>
                <w:sz w:val="24"/>
                <w:lang w:val="en-AU" w:eastAsia="en-AU"/>
              </w:rPr>
            </w:pPr>
            <w:r>
              <w:rPr>
                <w:b/>
              </w:rPr>
              <w:t xml:space="preserve">Minimum Total Cost of the Business Complete Max iPhone BYO Plans over a 12 month </w:t>
            </w:r>
            <w:r>
              <w:rPr>
                <w:b/>
                <w:i/>
                <w:iCs/>
              </w:rPr>
              <w:t>minimum term (</w:t>
            </w:r>
            <w:r>
              <w:rPr>
                <w:b/>
              </w:rPr>
              <w:t>amount excludes any handset repayments if any)</w:t>
            </w:r>
          </w:p>
        </w:tc>
        <w:tc>
          <w:tcPr>
            <w:tcW w:w="1002" w:type="pct"/>
            <w:hideMark/>
          </w:tcPr>
          <w:p w14:paraId="615F4E36" w14:textId="77777777" w:rsidR="000D07EA" w:rsidRDefault="00BE7C89">
            <w:pPr>
              <w:pStyle w:val="BodyText"/>
              <w:spacing w:before="100" w:after="100"/>
              <w:jc w:val="center"/>
              <w:rPr>
                <w:sz w:val="24"/>
                <w:lang w:val="en-AU" w:eastAsia="en-AU"/>
              </w:rPr>
            </w:pPr>
            <w:r>
              <w:t>$588</w:t>
            </w:r>
          </w:p>
        </w:tc>
        <w:tc>
          <w:tcPr>
            <w:tcW w:w="1002" w:type="pct"/>
            <w:hideMark/>
          </w:tcPr>
          <w:p w14:paraId="20486787" w14:textId="77777777" w:rsidR="000D07EA" w:rsidRDefault="00BE7C89">
            <w:pPr>
              <w:pStyle w:val="BodyText"/>
              <w:spacing w:before="100" w:after="100"/>
              <w:jc w:val="center"/>
              <w:rPr>
                <w:sz w:val="24"/>
                <w:lang w:val="en-AU" w:eastAsia="en-AU"/>
              </w:rPr>
            </w:pPr>
            <w:r>
              <w:t>$708</w:t>
            </w:r>
          </w:p>
        </w:tc>
        <w:tc>
          <w:tcPr>
            <w:tcW w:w="1002" w:type="pct"/>
            <w:hideMark/>
          </w:tcPr>
          <w:p w14:paraId="14B86DD4" w14:textId="77777777" w:rsidR="000D07EA" w:rsidRDefault="00BE7C89">
            <w:pPr>
              <w:pStyle w:val="BodyText"/>
              <w:spacing w:before="100" w:after="100"/>
              <w:jc w:val="center"/>
              <w:rPr>
                <w:sz w:val="24"/>
                <w:lang w:val="en-AU" w:eastAsia="en-AU"/>
              </w:rPr>
            </w:pPr>
            <w:r>
              <w:t>$948</w:t>
            </w:r>
          </w:p>
        </w:tc>
      </w:tr>
    </w:tbl>
    <w:p w14:paraId="546F1FAB" w14:textId="77777777" w:rsidR="000D07EA" w:rsidRDefault="000D07EA">
      <w:pPr>
        <w:pStyle w:val="BodyText"/>
      </w:pPr>
      <w:bookmarkStart w:id="454" w:name="_Toc397941160"/>
      <w:bookmarkStart w:id="455" w:name="_Toc267937684"/>
      <w:bookmarkStart w:id="456" w:name="_Toc263425819"/>
    </w:p>
    <w:p w14:paraId="461ECA26" w14:textId="77777777" w:rsidR="000D07EA" w:rsidRDefault="00BE7C89">
      <w:pPr>
        <w:pStyle w:val="Heading6"/>
        <w:ind w:left="0" w:firstLine="0"/>
        <w:rPr>
          <w:b/>
          <w:lang w:val="en-AU"/>
        </w:rPr>
      </w:pPr>
      <w:r>
        <w:t>BYO Options</w:t>
      </w:r>
      <w:bookmarkEnd w:id="454"/>
      <w:bookmarkEnd w:id="455"/>
      <w:bookmarkEnd w:id="456"/>
    </w:p>
    <w:p w14:paraId="263DFB48" w14:textId="77777777" w:rsidR="000D07EA" w:rsidRDefault="00BE7C89">
      <w:pPr>
        <w:pStyle w:val="Heading7"/>
      </w:pPr>
      <w:r>
        <w:t xml:space="preserve">By signing up over 12 months on the Business Complete Max iPhone BYO plans </w:t>
      </w:r>
      <w:r>
        <w:rPr>
          <w:i/>
        </w:rPr>
        <w:t>you</w:t>
      </w:r>
      <w:r>
        <w:t xml:space="preserve"> can select one of the four BYO Options available to each plan listed in Table 3A.</w:t>
      </w:r>
    </w:p>
    <w:p w14:paraId="32DDCD14" w14:textId="77777777" w:rsidR="000D07EA" w:rsidRDefault="00BE7C89">
      <w:pPr>
        <w:pStyle w:val="Heading7"/>
      </w:pPr>
      <w:r>
        <w:t xml:space="preserve">At the end of the 12 months term </w:t>
      </w:r>
      <w:r>
        <w:rPr>
          <w:i/>
        </w:rPr>
        <w:t>you</w:t>
      </w:r>
      <w:r>
        <w:t xml:space="preserve"> will no longer receive </w:t>
      </w:r>
      <w:r>
        <w:rPr>
          <w:i/>
        </w:rPr>
        <w:t>your</w:t>
      </w:r>
      <w:r>
        <w:t xml:space="preserve"> selected BYO Option. To continue to receive the BYO Option </w:t>
      </w:r>
      <w:r>
        <w:rPr>
          <w:i/>
        </w:rPr>
        <w:t>you</w:t>
      </w:r>
      <w:r>
        <w:t xml:space="preserve"> may recontract for a further 12 months.</w:t>
      </w:r>
    </w:p>
    <w:p w14:paraId="02113C88" w14:textId="77777777" w:rsidR="000D07EA" w:rsidRDefault="00BE7C89">
      <w:pPr>
        <w:pStyle w:val="Heading7"/>
      </w:pPr>
      <w:r>
        <w:lastRenderedPageBreak/>
        <w:t xml:space="preserve">Customers may request to change between BYO Options once per bill cycle. Changes between BYO options will be pro-rated from the date the change occurs. To change between BYO Options customer can call Optus Customer Service on </w:t>
      </w:r>
      <w:r>
        <w:rPr>
          <w:b/>
          <w:bCs/>
        </w:rPr>
        <w:t>133 343</w:t>
      </w:r>
      <w:r>
        <w:t>.</w:t>
      </w:r>
    </w:p>
    <w:p w14:paraId="6A4BCCB9" w14:textId="77777777" w:rsidR="000D07EA" w:rsidRDefault="00BE7C89">
      <w:pPr>
        <w:pStyle w:val="BodyText"/>
        <w:keepNext/>
        <w:ind w:left="720"/>
        <w:rPr>
          <w:b/>
        </w:rPr>
      </w:pPr>
      <w:r>
        <w:rPr>
          <w:b/>
        </w:rPr>
        <w:t>Table 3A - Customers who select a BYO Option can select one of the following</w:t>
      </w:r>
    </w:p>
    <w:tbl>
      <w:tblPr>
        <w:tblW w:w="4646" w:type="pct"/>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66"/>
        <w:gridCol w:w="2367"/>
        <w:gridCol w:w="2367"/>
        <w:gridCol w:w="2367"/>
      </w:tblGrid>
      <w:tr w:rsidR="000D07EA" w14:paraId="42BE4B54" w14:textId="77777777">
        <w:trPr>
          <w:tblHeader/>
        </w:trPr>
        <w:tc>
          <w:tcPr>
            <w:tcW w:w="1250" w:type="pct"/>
            <w:hideMark/>
          </w:tcPr>
          <w:p w14:paraId="78F9D290" w14:textId="77777777" w:rsidR="000D07EA" w:rsidRDefault="00BE7C89">
            <w:pPr>
              <w:pStyle w:val="BodyText"/>
              <w:keepNext/>
              <w:spacing w:before="100" w:after="100"/>
              <w:jc w:val="center"/>
              <w:rPr>
                <w:b/>
                <w:sz w:val="24"/>
                <w:szCs w:val="20"/>
                <w:lang w:val="en-AU"/>
              </w:rPr>
            </w:pPr>
            <w:r>
              <w:rPr>
                <w:b/>
              </w:rPr>
              <w:t>BYO Option</w:t>
            </w:r>
          </w:p>
          <w:p w14:paraId="230FCABC" w14:textId="77777777" w:rsidR="000D07EA" w:rsidRDefault="00BE7C89">
            <w:pPr>
              <w:pStyle w:val="BodyText"/>
              <w:keepNext/>
              <w:spacing w:before="100" w:after="100"/>
              <w:jc w:val="center"/>
              <w:rPr>
                <w:b/>
                <w:lang w:val="en-AU"/>
              </w:rPr>
            </w:pPr>
            <w:r>
              <w:rPr>
                <w:b/>
              </w:rPr>
              <w:t>(Per Month)</w:t>
            </w:r>
          </w:p>
        </w:tc>
        <w:tc>
          <w:tcPr>
            <w:tcW w:w="1250" w:type="pct"/>
            <w:hideMark/>
          </w:tcPr>
          <w:p w14:paraId="2FE161D8" w14:textId="77777777" w:rsidR="000D07EA" w:rsidRDefault="00BE7C89">
            <w:pPr>
              <w:pStyle w:val="BodyText"/>
              <w:keepNext/>
              <w:spacing w:before="100" w:after="100"/>
              <w:jc w:val="center"/>
              <w:rPr>
                <w:b/>
                <w:lang w:val="en-AU"/>
              </w:rPr>
            </w:pPr>
            <w:r>
              <w:rPr>
                <w:b/>
              </w:rPr>
              <w:t>$49 Business Complete Max iPhone BYO</w:t>
            </w:r>
          </w:p>
        </w:tc>
        <w:tc>
          <w:tcPr>
            <w:tcW w:w="1250" w:type="pct"/>
            <w:hideMark/>
          </w:tcPr>
          <w:p w14:paraId="7473633F" w14:textId="77777777" w:rsidR="000D07EA" w:rsidRDefault="00BE7C89">
            <w:pPr>
              <w:pStyle w:val="BodyText"/>
              <w:keepNext/>
              <w:spacing w:before="100" w:after="100"/>
              <w:jc w:val="center"/>
              <w:rPr>
                <w:b/>
                <w:sz w:val="24"/>
                <w:lang w:val="en-AU" w:eastAsia="en-AU"/>
              </w:rPr>
            </w:pPr>
            <w:r>
              <w:rPr>
                <w:b/>
              </w:rPr>
              <w:t>$59 Business  Complete Max iPhone BYO</w:t>
            </w:r>
          </w:p>
        </w:tc>
        <w:tc>
          <w:tcPr>
            <w:tcW w:w="1250" w:type="pct"/>
            <w:hideMark/>
          </w:tcPr>
          <w:p w14:paraId="09B3688B" w14:textId="77777777" w:rsidR="000D07EA" w:rsidRDefault="00BE7C89">
            <w:pPr>
              <w:pStyle w:val="BodyText"/>
              <w:keepNext/>
              <w:spacing w:before="100" w:after="100"/>
              <w:jc w:val="center"/>
              <w:rPr>
                <w:b/>
                <w:sz w:val="24"/>
                <w:lang w:val="en-AU" w:eastAsia="en-AU"/>
              </w:rPr>
            </w:pPr>
            <w:r>
              <w:rPr>
                <w:b/>
              </w:rPr>
              <w:t>$79 Business  Complete Max iPhone BYO</w:t>
            </w:r>
          </w:p>
        </w:tc>
      </w:tr>
      <w:tr w:rsidR="000D07EA" w14:paraId="75C0A652" w14:textId="77777777">
        <w:tc>
          <w:tcPr>
            <w:tcW w:w="1250" w:type="pct"/>
            <w:hideMark/>
          </w:tcPr>
          <w:p w14:paraId="195C9D26" w14:textId="77777777" w:rsidR="000D07EA" w:rsidRDefault="00BE7C89">
            <w:pPr>
              <w:pStyle w:val="BodyText"/>
              <w:spacing w:before="100" w:after="100"/>
              <w:jc w:val="center"/>
              <w:rPr>
                <w:i/>
                <w:lang w:val="en-AU"/>
              </w:rPr>
            </w:pPr>
            <w:r>
              <w:t>Standard National SMS/MMS Pack</w:t>
            </w:r>
          </w:p>
        </w:tc>
        <w:tc>
          <w:tcPr>
            <w:tcW w:w="1250" w:type="pct"/>
            <w:hideMark/>
          </w:tcPr>
          <w:p w14:paraId="11058729" w14:textId="77777777" w:rsidR="000D07EA" w:rsidRDefault="00BE7C89">
            <w:pPr>
              <w:pStyle w:val="BodyText"/>
              <w:spacing w:before="100" w:after="100"/>
              <w:jc w:val="center"/>
              <w:rPr>
                <w:lang w:val="en-AU"/>
              </w:rPr>
            </w:pPr>
            <w:r>
              <w:t>Unlimited* Standard National SMS/MMS to Australian GSM mobiles (excluding Pivotel), to use within Australia</w:t>
            </w:r>
          </w:p>
        </w:tc>
        <w:tc>
          <w:tcPr>
            <w:tcW w:w="1250" w:type="pct"/>
            <w:hideMark/>
          </w:tcPr>
          <w:p w14:paraId="1C1EE6E5" w14:textId="77777777" w:rsidR="000D07EA" w:rsidRDefault="00BE7C89">
            <w:pPr>
              <w:pStyle w:val="BodyText"/>
              <w:spacing w:before="100" w:after="100"/>
              <w:jc w:val="center"/>
              <w:rPr>
                <w:lang w:val="en-AU"/>
              </w:rPr>
            </w:pPr>
            <w:r>
              <w:t>NA</w:t>
            </w:r>
          </w:p>
        </w:tc>
        <w:tc>
          <w:tcPr>
            <w:tcW w:w="1250" w:type="pct"/>
            <w:hideMark/>
          </w:tcPr>
          <w:p w14:paraId="688C9F1A" w14:textId="77777777" w:rsidR="000D07EA" w:rsidRDefault="00BE7C89">
            <w:pPr>
              <w:pStyle w:val="BodyText"/>
              <w:spacing w:before="100" w:after="100"/>
              <w:jc w:val="center"/>
              <w:rPr>
                <w:lang w:val="en-AU"/>
              </w:rPr>
            </w:pPr>
            <w:r>
              <w:t>NA</w:t>
            </w:r>
          </w:p>
        </w:tc>
      </w:tr>
      <w:tr w:rsidR="000D07EA" w14:paraId="50969EAD" w14:textId="77777777">
        <w:tc>
          <w:tcPr>
            <w:tcW w:w="1250" w:type="pct"/>
            <w:hideMark/>
          </w:tcPr>
          <w:p w14:paraId="7AB99DFB" w14:textId="77777777" w:rsidR="000D07EA" w:rsidRDefault="00BE7C89">
            <w:pPr>
              <w:pStyle w:val="BodyText"/>
              <w:spacing w:before="100" w:after="100"/>
              <w:jc w:val="center"/>
              <w:rPr>
                <w:lang w:val="en-AU"/>
              </w:rPr>
            </w:pPr>
            <w:r>
              <w:t xml:space="preserve">Optus2AnyOne </w:t>
            </w:r>
            <w:r>
              <w:rPr>
                <w:bCs/>
              </w:rPr>
              <w:t>Value to use within Australia</w:t>
            </w:r>
          </w:p>
        </w:tc>
        <w:tc>
          <w:tcPr>
            <w:tcW w:w="1250" w:type="pct"/>
            <w:hideMark/>
          </w:tcPr>
          <w:p w14:paraId="3DEEB2AD" w14:textId="77777777" w:rsidR="000D07EA" w:rsidRDefault="00BE7C89">
            <w:pPr>
              <w:pStyle w:val="BodyText"/>
              <w:spacing w:before="100" w:after="100"/>
              <w:jc w:val="center"/>
              <w:rPr>
                <w:lang w:val="en-AU"/>
              </w:rPr>
            </w:pPr>
            <w:r>
              <w:t>$170</w:t>
            </w:r>
          </w:p>
        </w:tc>
        <w:tc>
          <w:tcPr>
            <w:tcW w:w="1250" w:type="pct"/>
            <w:hideMark/>
          </w:tcPr>
          <w:p w14:paraId="09496081" w14:textId="77777777" w:rsidR="000D07EA" w:rsidRDefault="00BE7C89">
            <w:pPr>
              <w:pStyle w:val="BodyText"/>
              <w:spacing w:before="100" w:after="100"/>
              <w:jc w:val="center"/>
              <w:rPr>
                <w:lang w:val="en-AU"/>
              </w:rPr>
            </w:pPr>
            <w:r>
              <w:t>$270</w:t>
            </w:r>
          </w:p>
        </w:tc>
        <w:tc>
          <w:tcPr>
            <w:tcW w:w="1250" w:type="pct"/>
            <w:hideMark/>
          </w:tcPr>
          <w:p w14:paraId="5F07FD8B" w14:textId="77777777" w:rsidR="000D07EA" w:rsidRDefault="00BE7C89">
            <w:pPr>
              <w:pStyle w:val="BodyText"/>
              <w:spacing w:before="100" w:after="100"/>
              <w:jc w:val="center"/>
              <w:rPr>
                <w:lang w:val="en-AU"/>
              </w:rPr>
            </w:pPr>
            <w:r>
              <w:t>$290</w:t>
            </w:r>
          </w:p>
        </w:tc>
      </w:tr>
      <w:tr w:rsidR="000D07EA" w14:paraId="7982D473" w14:textId="77777777">
        <w:tc>
          <w:tcPr>
            <w:tcW w:w="1250" w:type="pct"/>
            <w:hideMark/>
          </w:tcPr>
          <w:p w14:paraId="3D52433E" w14:textId="77777777" w:rsidR="000D07EA" w:rsidRDefault="00BE7C89">
            <w:pPr>
              <w:pStyle w:val="BodyText"/>
              <w:keepNext/>
              <w:spacing w:before="100" w:after="100"/>
              <w:jc w:val="center"/>
            </w:pPr>
            <w:r>
              <w:t>International Value to use within Australia</w:t>
            </w:r>
          </w:p>
        </w:tc>
        <w:tc>
          <w:tcPr>
            <w:tcW w:w="1250" w:type="pct"/>
            <w:hideMark/>
          </w:tcPr>
          <w:p w14:paraId="17EA66AF" w14:textId="77777777" w:rsidR="000D07EA" w:rsidRDefault="00BE7C89">
            <w:pPr>
              <w:pStyle w:val="BodyText"/>
              <w:keepNext/>
              <w:spacing w:before="100" w:after="100"/>
              <w:jc w:val="center"/>
              <w:rPr>
                <w:lang w:val="en-AU"/>
              </w:rPr>
            </w:pPr>
            <w:r>
              <w:rPr>
                <w:rFonts w:cs="Arial"/>
                <w:lang w:eastAsia="en-AU"/>
              </w:rPr>
              <w:t xml:space="preserve">$50 value for </w:t>
            </w:r>
            <w:r>
              <w:rPr>
                <w:rFonts w:cs="Arial"/>
                <w:lang w:eastAsia="en-AU"/>
              </w:rPr>
              <w:br/>
              <w:t>International Calls &amp; International SMS</w:t>
            </w:r>
          </w:p>
        </w:tc>
        <w:tc>
          <w:tcPr>
            <w:tcW w:w="1250" w:type="pct"/>
            <w:hideMark/>
          </w:tcPr>
          <w:p w14:paraId="16721427" w14:textId="77777777" w:rsidR="000D07EA" w:rsidRDefault="00BE7C89">
            <w:pPr>
              <w:pStyle w:val="BodyText"/>
              <w:keepNext/>
              <w:spacing w:before="100" w:after="100"/>
              <w:jc w:val="center"/>
              <w:rPr>
                <w:lang w:val="en-AU"/>
              </w:rPr>
            </w:pPr>
            <w:r>
              <w:rPr>
                <w:rFonts w:cs="Arial"/>
                <w:lang w:eastAsia="en-AU"/>
              </w:rPr>
              <w:t xml:space="preserve">$180 value for </w:t>
            </w:r>
            <w:r>
              <w:rPr>
                <w:rFonts w:cs="Arial"/>
                <w:lang w:eastAsia="en-AU"/>
              </w:rPr>
              <w:br/>
              <w:t>International Calls &amp; International SMS</w:t>
            </w:r>
          </w:p>
        </w:tc>
        <w:tc>
          <w:tcPr>
            <w:tcW w:w="1250" w:type="pct"/>
            <w:hideMark/>
          </w:tcPr>
          <w:p w14:paraId="317BE812" w14:textId="77777777" w:rsidR="000D07EA" w:rsidRDefault="00BE7C89">
            <w:pPr>
              <w:pStyle w:val="BodyText"/>
              <w:keepNext/>
              <w:spacing w:before="100" w:after="100"/>
              <w:jc w:val="center"/>
              <w:rPr>
                <w:lang w:val="en-AU"/>
              </w:rPr>
            </w:pPr>
            <w:r>
              <w:rPr>
                <w:rFonts w:cs="Arial"/>
                <w:lang w:eastAsia="en-AU"/>
              </w:rPr>
              <w:t xml:space="preserve">$180 value for </w:t>
            </w:r>
            <w:r>
              <w:rPr>
                <w:rFonts w:cs="Arial"/>
                <w:lang w:eastAsia="en-AU"/>
              </w:rPr>
              <w:br/>
              <w:t>International Calls &amp; International SMS</w:t>
            </w:r>
          </w:p>
        </w:tc>
      </w:tr>
      <w:tr w:rsidR="000D07EA" w14:paraId="361261EA" w14:textId="77777777">
        <w:tc>
          <w:tcPr>
            <w:tcW w:w="1250" w:type="pct"/>
            <w:hideMark/>
          </w:tcPr>
          <w:p w14:paraId="2B1D3EC8" w14:textId="77777777" w:rsidR="000D07EA" w:rsidRDefault="00BE7C89">
            <w:pPr>
              <w:pStyle w:val="BodyText"/>
              <w:spacing w:before="100" w:after="100"/>
              <w:jc w:val="center"/>
              <w:rPr>
                <w:lang w:val="en-AU"/>
              </w:rPr>
            </w:pPr>
            <w:r>
              <w:t>Internet Value Pack to use within Australia</w:t>
            </w:r>
          </w:p>
        </w:tc>
        <w:tc>
          <w:tcPr>
            <w:tcW w:w="1250" w:type="pct"/>
            <w:hideMark/>
          </w:tcPr>
          <w:p w14:paraId="1BFE5401" w14:textId="77777777" w:rsidR="000D07EA" w:rsidRDefault="00BE7C89">
            <w:pPr>
              <w:pStyle w:val="BodyText"/>
              <w:spacing w:before="100" w:after="100"/>
              <w:jc w:val="center"/>
              <w:rPr>
                <w:lang w:val="en-AU"/>
              </w:rPr>
            </w:pPr>
            <w:r>
              <w:t>500MB</w:t>
            </w:r>
          </w:p>
        </w:tc>
        <w:tc>
          <w:tcPr>
            <w:tcW w:w="1250" w:type="pct"/>
            <w:hideMark/>
          </w:tcPr>
          <w:p w14:paraId="06E95992" w14:textId="77777777" w:rsidR="000D07EA" w:rsidRDefault="00BE7C89">
            <w:pPr>
              <w:pStyle w:val="BodyText"/>
              <w:spacing w:before="100" w:after="100"/>
              <w:jc w:val="center"/>
              <w:rPr>
                <w:lang w:val="en-AU"/>
              </w:rPr>
            </w:pPr>
            <w:r>
              <w:t>1GB</w:t>
            </w:r>
          </w:p>
        </w:tc>
        <w:tc>
          <w:tcPr>
            <w:tcW w:w="1250" w:type="pct"/>
            <w:hideMark/>
          </w:tcPr>
          <w:p w14:paraId="411DFA26" w14:textId="77777777" w:rsidR="000D07EA" w:rsidRDefault="00BE7C89">
            <w:pPr>
              <w:pStyle w:val="BodyText"/>
              <w:spacing w:before="100" w:after="100"/>
              <w:jc w:val="center"/>
              <w:rPr>
                <w:lang w:val="en-AU"/>
              </w:rPr>
            </w:pPr>
            <w:r>
              <w:t>1GB</w:t>
            </w:r>
          </w:p>
        </w:tc>
      </w:tr>
    </w:tbl>
    <w:p w14:paraId="7A432D3D" w14:textId="77777777" w:rsidR="000D07EA" w:rsidRDefault="00BE7C89">
      <w:pPr>
        <w:pStyle w:val="BodyText"/>
        <w:spacing w:after="0"/>
        <w:ind w:left="720"/>
        <w:rPr>
          <w:sz w:val="16"/>
          <w:szCs w:val="16"/>
        </w:rPr>
      </w:pPr>
      <w:bookmarkStart w:id="457" w:name="_Toc263425820"/>
      <w:r>
        <w:rPr>
          <w:sz w:val="16"/>
          <w:szCs w:val="16"/>
        </w:rPr>
        <w:t>* Fair Go Policy (</w:t>
      </w:r>
      <w:hyperlink r:id="rId299" w:history="1">
        <w:r>
          <w:rPr>
            <w:rStyle w:val="Hyperlink"/>
            <w:i/>
            <w:sz w:val="16"/>
            <w:szCs w:val="16"/>
          </w:rPr>
          <w:t>Appendix S</w:t>
        </w:r>
      </w:hyperlink>
      <w:r>
        <w:rPr>
          <w:sz w:val="16"/>
          <w:szCs w:val="16"/>
        </w:rPr>
        <w:t>) applies.</w:t>
      </w:r>
      <w:bookmarkEnd w:id="457"/>
    </w:p>
    <w:p w14:paraId="7E2B7830" w14:textId="77777777" w:rsidR="000D07EA" w:rsidRDefault="000D07EA">
      <w:pPr>
        <w:pStyle w:val="BodyText"/>
      </w:pPr>
    </w:p>
    <w:p w14:paraId="64AED387" w14:textId="77777777" w:rsidR="000D07EA" w:rsidRDefault="00BE7C89">
      <w:pPr>
        <w:pStyle w:val="Heading7"/>
        <w:rPr>
          <w:b/>
        </w:rPr>
      </w:pPr>
      <w:r>
        <w:rPr>
          <w:b/>
        </w:rPr>
        <w:t>Standard National SMS &amp; MMS Pack (BYO Option)</w:t>
      </w:r>
    </w:p>
    <w:p w14:paraId="21F5D942" w14:textId="77777777" w:rsidR="000D07EA" w:rsidRDefault="00BE7C89">
      <w:pPr>
        <w:pStyle w:val="Heading8"/>
      </w:pPr>
      <w:r>
        <w:t>Only available on the $49 Business Complete Max iPhone BYO plan.</w:t>
      </w:r>
    </w:p>
    <w:p w14:paraId="6F9C6C13" w14:textId="77777777" w:rsidR="000D07EA" w:rsidRDefault="00BE7C89">
      <w:pPr>
        <w:pStyle w:val="Heading8"/>
      </w:pPr>
      <w:r>
        <w:t xml:space="preserve">If selected </w:t>
      </w:r>
      <w:r>
        <w:rPr>
          <w:i/>
        </w:rPr>
        <w:t xml:space="preserve">you </w:t>
      </w:r>
      <w:r>
        <w:t>will receive the Unlimited standard national SMS &amp; MMS Offer and may send unlimited standard national SMS and MMS to Australian GSM mobiles (excluding Pivotel) within Australia.</w:t>
      </w:r>
    </w:p>
    <w:p w14:paraId="5EEB1075" w14:textId="77777777" w:rsidR="000D07EA" w:rsidRDefault="00BE7C89">
      <w:pPr>
        <w:pStyle w:val="Heading8"/>
      </w:pPr>
      <w:r>
        <w:t>Unlimited standard national SMS &amp; MMS offer excludes International, Premium, Group and Email SMS and MMS.</w:t>
      </w:r>
    </w:p>
    <w:p w14:paraId="7AE34692" w14:textId="77777777" w:rsidR="000D07EA" w:rsidRDefault="00BE7C89">
      <w:pPr>
        <w:pStyle w:val="Heading8"/>
      </w:pPr>
      <w:r>
        <w:rPr>
          <w:i/>
        </w:rPr>
        <w:t xml:space="preserve">You </w:t>
      </w:r>
      <w:r>
        <w:t>must pay for any messages that are not eligible messages.</w:t>
      </w:r>
    </w:p>
    <w:p w14:paraId="7C1748B8" w14:textId="77777777" w:rsidR="000D07EA" w:rsidRDefault="00BE7C89">
      <w:pPr>
        <w:pStyle w:val="Heading8"/>
      </w:pPr>
      <w:r>
        <w:rPr>
          <w:snapToGrid w:val="0"/>
        </w:rPr>
        <w:t>Any unused portion of the plan expires at the end of each month.  This means that it does not roll over into following month.</w:t>
      </w:r>
    </w:p>
    <w:p w14:paraId="244DBA73" w14:textId="77777777" w:rsidR="000D07EA" w:rsidRDefault="00BE7C89">
      <w:pPr>
        <w:pStyle w:val="Heading8"/>
      </w:pPr>
      <w:r>
        <w:t>The unlimited standard national SMS &amp; MMS offer only applies for personal and business use. Fair Go Policy (</w:t>
      </w:r>
      <w:hyperlink r:id="rId300" w:history="1">
        <w:r>
          <w:rPr>
            <w:rStyle w:val="Hyperlink"/>
            <w:i/>
          </w:rPr>
          <w:t>Appendix S</w:t>
        </w:r>
      </w:hyperlink>
      <w:r>
        <w:t xml:space="preserve">) applies. For further details refer to </w:t>
      </w:r>
      <w:hyperlink r:id="rId301" w:history="1">
        <w:r w:rsidR="00F84E53">
          <w:rPr>
            <w:rStyle w:val="Hyperlink"/>
            <w:i/>
          </w:rPr>
          <w:t>Appendix S</w:t>
        </w:r>
      </w:hyperlink>
      <w:r>
        <w:t>.</w:t>
      </w:r>
    </w:p>
    <w:p w14:paraId="54F68E24" w14:textId="77777777" w:rsidR="000D07EA" w:rsidRDefault="00BE7C89">
      <w:pPr>
        <w:pStyle w:val="Heading7"/>
        <w:rPr>
          <w:b/>
        </w:rPr>
      </w:pPr>
      <w:r>
        <w:rPr>
          <w:b/>
        </w:rPr>
        <w:t>Optus2AnyOne Value (BYO Option)</w:t>
      </w:r>
    </w:p>
    <w:p w14:paraId="11B7D60B" w14:textId="77777777" w:rsidR="000D07EA" w:rsidRDefault="00BE7C89">
      <w:pPr>
        <w:pStyle w:val="Heading8"/>
      </w:pPr>
      <w:r>
        <w:t xml:space="preserve">The "Optus2AnyOne Value" BYO Option is an additional call and text value which </w:t>
      </w:r>
      <w:r>
        <w:rPr>
          <w:i/>
        </w:rPr>
        <w:t xml:space="preserve">you </w:t>
      </w:r>
      <w:r>
        <w:t>can use within Australia. Customers may select the additional "Optus2AnyOne Value" to be added as their BYO Option. The amount of the additional "Optus2AnyOne Value" is stated in Table 3A. If this option is chosen, the additional value will be combined with the "Included Cap Value" that comes with the Business Complete Max iPhone BYO plan.</w:t>
      </w:r>
    </w:p>
    <w:p w14:paraId="549B2B1A" w14:textId="77777777" w:rsidR="000D07EA" w:rsidRDefault="00BE7C89">
      <w:pPr>
        <w:pStyle w:val="Heading8"/>
      </w:pPr>
      <w:r>
        <w:t xml:space="preserve">Customers must utilise the combined "Included Cap Value" and "Optus2AnyOne Value" before being able to access the "Optus2Optus Value", if applicable. </w:t>
      </w:r>
    </w:p>
    <w:p w14:paraId="5FD16CBE" w14:textId="77777777" w:rsidR="000D07EA" w:rsidRDefault="00BE7C89">
      <w:pPr>
        <w:pStyle w:val="Heading8"/>
      </w:pPr>
      <w:r>
        <w:t xml:space="preserve">The call types that are </w:t>
      </w:r>
      <w:r>
        <w:rPr>
          <w:b/>
        </w:rPr>
        <w:t>'eligible calls and text'</w:t>
      </w:r>
      <w:r>
        <w:t xml:space="preserve"> for each Business Complete Max iPhone BYO Plan under the combined "Included Cap Value" and "Optus2AnyOne Value" are defined in Table 1A above</w:t>
      </w:r>
    </w:p>
    <w:p w14:paraId="0045AF3C" w14:textId="77777777" w:rsidR="000D07EA" w:rsidRDefault="00BE7C89">
      <w:pPr>
        <w:pStyle w:val="Heading8"/>
      </w:pPr>
      <w:r>
        <w:rPr>
          <w:i/>
        </w:rPr>
        <w:lastRenderedPageBreak/>
        <w:t xml:space="preserve">You </w:t>
      </w:r>
      <w:r>
        <w:t xml:space="preserve">must pay </w:t>
      </w:r>
      <w:r>
        <w:rPr>
          <w:i/>
        </w:rPr>
        <w:t xml:space="preserve">us </w:t>
      </w:r>
      <w:r>
        <w:t xml:space="preserve">call charges for eligible calls and text made beyond the available combined "Included Cap Value" and "Optus2AnyOne Value". </w:t>
      </w:r>
    </w:p>
    <w:p w14:paraId="0C604E17" w14:textId="77777777" w:rsidR="000D07EA" w:rsidRDefault="00BE7C89">
      <w:pPr>
        <w:pStyle w:val="Heading8"/>
      </w:pPr>
      <w:r>
        <w:rPr>
          <w:snapToGrid w:val="0"/>
        </w:rPr>
        <w:t xml:space="preserve">Any unused portion of the combined </w:t>
      </w:r>
      <w:r>
        <w:t xml:space="preserve">"Included Cap Value" and </w:t>
      </w:r>
      <w:r>
        <w:rPr>
          <w:snapToGrid w:val="0"/>
        </w:rPr>
        <w:t>"Optus2AnyOne Value" expires at the end of each month.  This means that it does not roll over into the following month.</w:t>
      </w:r>
    </w:p>
    <w:p w14:paraId="65A09229" w14:textId="77777777" w:rsidR="000D07EA" w:rsidRDefault="00BE7C89">
      <w:pPr>
        <w:pStyle w:val="Heading7"/>
        <w:rPr>
          <w:b/>
        </w:rPr>
      </w:pPr>
      <w:r>
        <w:rPr>
          <w:b/>
        </w:rPr>
        <w:t>International Value (BYO Option)</w:t>
      </w:r>
    </w:p>
    <w:p w14:paraId="5C1413E3" w14:textId="77777777" w:rsidR="000D07EA" w:rsidRDefault="00BE7C89">
      <w:pPr>
        <w:pStyle w:val="Heading8"/>
      </w:pPr>
      <w:r>
        <w:t xml:space="preserve">The International Value BYO Option give </w:t>
      </w:r>
      <w:r>
        <w:rPr>
          <w:i/>
        </w:rPr>
        <w:t xml:space="preserve">you </w:t>
      </w:r>
      <w:r>
        <w:t xml:space="preserve">included value that can be used for international calls and international SMS made from Australia (includes calls to national fixed or GSM mobile services that then divert/switch or re-route overseas). </w:t>
      </w:r>
      <w:r>
        <w:rPr>
          <w:i/>
        </w:rPr>
        <w:t xml:space="preserve">We </w:t>
      </w:r>
      <w:r>
        <w:t xml:space="preserve">will charge </w:t>
      </w:r>
      <w:r>
        <w:rPr>
          <w:i/>
        </w:rPr>
        <w:t xml:space="preserve">you </w:t>
      </w:r>
      <w:r>
        <w:t xml:space="preserve">for calls made to international destinations at Optus' international rates (not including calls to Satellite) as set out in </w:t>
      </w:r>
      <w:hyperlink r:id="rId302" w:history="1">
        <w:r>
          <w:rPr>
            <w:rStyle w:val="Hyperlink"/>
            <w:rFonts w:eastAsia="MS Gothic"/>
            <w:i/>
          </w:rPr>
          <w:t>Appendix J</w:t>
        </w:r>
      </w:hyperlink>
      <w:r>
        <w:rPr>
          <w:i/>
        </w:rPr>
        <w:t xml:space="preserve"> </w:t>
      </w:r>
      <w:r>
        <w:t xml:space="preserve">to the </w:t>
      </w:r>
      <w:r>
        <w:rPr>
          <w:i/>
        </w:rPr>
        <w:t>agreement</w:t>
      </w:r>
      <w:r>
        <w:t xml:space="preserve">. </w:t>
      </w:r>
    </w:p>
    <w:p w14:paraId="094BD6B1" w14:textId="77777777" w:rsidR="000D07EA" w:rsidRDefault="00BE7C89">
      <w:pPr>
        <w:pStyle w:val="Heading8"/>
      </w:pPr>
      <w:r>
        <w:rPr>
          <w:snapToGrid w:val="0"/>
        </w:rPr>
        <w:t xml:space="preserve">'yes' Business International rates will apply.  Flagfall of 35c applies per call. </w:t>
      </w:r>
      <w:r>
        <w:t xml:space="preserve">For more information on the 'yes' Business International call rates please refer to </w:t>
      </w:r>
      <w:hyperlink r:id="rId303" w:history="1">
        <w:r>
          <w:rPr>
            <w:rStyle w:val="Hyperlink"/>
            <w:rFonts w:eastAsia="MS Gothic"/>
            <w:i/>
          </w:rPr>
          <w:t>Appendix J</w:t>
        </w:r>
      </w:hyperlink>
    </w:p>
    <w:p w14:paraId="3D77F501" w14:textId="77777777" w:rsidR="000D07EA" w:rsidRDefault="00BE7C89">
      <w:pPr>
        <w:pStyle w:val="Heading8"/>
      </w:pPr>
      <w:r>
        <w:t xml:space="preserve">The included value </w:t>
      </w:r>
      <w:r>
        <w:rPr>
          <w:i/>
        </w:rPr>
        <w:t>you</w:t>
      </w:r>
      <w:r>
        <w:t xml:space="preserve"> receive is defined above in Table 3A.</w:t>
      </w:r>
    </w:p>
    <w:p w14:paraId="3DFF03C0" w14:textId="77777777" w:rsidR="000D07EA" w:rsidRDefault="00BE7C89">
      <w:pPr>
        <w:pStyle w:val="Heading8"/>
      </w:pPr>
      <w:r>
        <w:t xml:space="preserve">The included value does not include: Voice calls, Voice Mail, Premium and Third Party SMS, MMS, International MMS, Optus Zoo subscription content &amp; Third Party content and applications, 1300, 1900, roaming. Use of these services will be charged at the prevailing rates for your mobile plan or </w:t>
      </w:r>
      <w:r>
        <w:rPr>
          <w:i/>
        </w:rPr>
        <w:t>Value Added Service Feature</w:t>
      </w:r>
      <w:r>
        <w:t xml:space="preserve"> as described in </w:t>
      </w:r>
      <w:hyperlink r:id="rId304" w:history="1">
        <w:r>
          <w:rPr>
            <w:rStyle w:val="Hyperlink"/>
            <w:rFonts w:eastAsia="MS Gothic"/>
            <w:i/>
            <w:iCs w:val="0"/>
          </w:rPr>
          <w:t>Appendix Y</w:t>
        </w:r>
      </w:hyperlink>
      <w:r>
        <w:t xml:space="preserve"> to the </w:t>
      </w:r>
      <w:r>
        <w:rPr>
          <w:i/>
        </w:rPr>
        <w:t>agreement</w:t>
      </w:r>
      <w:r>
        <w:t>.</w:t>
      </w:r>
    </w:p>
    <w:p w14:paraId="7B3FB529" w14:textId="77777777" w:rsidR="000D07EA" w:rsidRDefault="00BE7C89">
      <w:pPr>
        <w:pStyle w:val="Heading8"/>
      </w:pPr>
      <w:r>
        <w:t xml:space="preserve">Excess usage will be charged at the standard international call and international SMS rate for your applicable plan and will apply to any usage over </w:t>
      </w:r>
      <w:r>
        <w:rPr>
          <w:i/>
        </w:rPr>
        <w:t>your</w:t>
      </w:r>
      <w:r>
        <w:t xml:space="preserve"> monthly included value. </w:t>
      </w:r>
    </w:p>
    <w:p w14:paraId="5615F2FC" w14:textId="77777777" w:rsidR="000D07EA" w:rsidRDefault="00BE7C89">
      <w:pPr>
        <w:pStyle w:val="Heading7"/>
        <w:rPr>
          <w:b/>
        </w:rPr>
      </w:pPr>
      <w:r>
        <w:rPr>
          <w:b/>
        </w:rPr>
        <w:t>Internet Value (BYO Option)</w:t>
      </w:r>
    </w:p>
    <w:p w14:paraId="23178896" w14:textId="77777777" w:rsidR="000D07EA" w:rsidRDefault="00BE7C89">
      <w:pPr>
        <w:pStyle w:val="Heading8"/>
      </w:pPr>
      <w:r>
        <w:t xml:space="preserve">The Internet Value BYO Option allows </w:t>
      </w:r>
      <w:r>
        <w:rPr>
          <w:i/>
        </w:rPr>
        <w:t>you</w:t>
      </w:r>
      <w:r>
        <w:t xml:space="preserve"> to access the Internet from </w:t>
      </w:r>
      <w:r>
        <w:rPr>
          <w:i/>
        </w:rPr>
        <w:t>your</w:t>
      </w:r>
      <w:r>
        <w:t xml:space="preserve"> iPhone, within Australia. The Internet Value BYO Option can also be used for </w:t>
      </w:r>
      <w:r>
        <w:rPr>
          <w:i/>
        </w:rPr>
        <w:t>tethered modem</w:t>
      </w:r>
      <w:r>
        <w:t xml:space="preserve"> when added in conjunction with iPhone as Modem access. (See the </w:t>
      </w:r>
      <w:hyperlink r:id="rId305" w:history="1">
        <w:r>
          <w:rPr>
            <w:rStyle w:val="Hyperlink"/>
            <w:rFonts w:eastAsia="MS Gothic"/>
            <w:i/>
            <w:iCs w:val="0"/>
          </w:rPr>
          <w:t>Wireless Internet Pricing Service, Standard Pricing Table</w:t>
        </w:r>
      </w:hyperlink>
      <w:r>
        <w:t xml:space="preserve"> for more details.)</w:t>
      </w:r>
    </w:p>
    <w:p w14:paraId="58DFB091" w14:textId="77777777" w:rsidR="000D07EA" w:rsidRDefault="00BE7C89">
      <w:pPr>
        <w:pStyle w:val="Heading8"/>
      </w:pPr>
      <w:r>
        <w:t xml:space="preserve">The </w:t>
      </w:r>
      <w:r>
        <w:rPr>
          <w:i/>
        </w:rPr>
        <w:t>service</w:t>
      </w:r>
      <w:r>
        <w:t xml:space="preserve"> is only available within Optus 3G/HSPA or GSM coverage areas and is subject to </w:t>
      </w:r>
      <w:r>
        <w:rPr>
          <w:i/>
        </w:rPr>
        <w:t>network</w:t>
      </w:r>
      <w:r>
        <w:t xml:space="preserve"> availability.</w:t>
      </w:r>
    </w:p>
    <w:p w14:paraId="18858EDC" w14:textId="77777777" w:rsidR="000D07EA" w:rsidRDefault="00BE7C89">
      <w:pPr>
        <w:pStyle w:val="Heading8"/>
      </w:pPr>
      <w:r>
        <w:t xml:space="preserve">The included data amount does not include: Voice calls, Voice Mail, International SMS, premium and Third Party SMS, MMS, Optus Zoo subscription content &amp; Third Party content and applications, International MMS, 1300, 1900, Circuit Switched Data and Fax. Use of these services will be charged at the prevailing rates for your mobile plan or </w:t>
      </w:r>
      <w:r>
        <w:rPr>
          <w:i/>
        </w:rPr>
        <w:t>value added service feature</w:t>
      </w:r>
      <w:r>
        <w:t xml:space="preserve"> as described in </w:t>
      </w:r>
      <w:hyperlink r:id="rId306" w:history="1">
        <w:r>
          <w:rPr>
            <w:rStyle w:val="Hyperlink"/>
            <w:rFonts w:eastAsia="MS Gothic"/>
            <w:i/>
            <w:iCs w:val="0"/>
          </w:rPr>
          <w:t>Appendix Y</w:t>
        </w:r>
      </w:hyperlink>
      <w:r>
        <w:t xml:space="preserve"> to the </w:t>
      </w:r>
      <w:r>
        <w:rPr>
          <w:i/>
        </w:rPr>
        <w:t>agreement</w:t>
      </w:r>
      <w:r>
        <w:t>.</w:t>
      </w:r>
    </w:p>
    <w:p w14:paraId="56C63BC7" w14:textId="77777777" w:rsidR="000D07EA" w:rsidRDefault="00BE7C89">
      <w:pPr>
        <w:pStyle w:val="Heading8"/>
      </w:pPr>
      <w:r>
        <w:t>The included data of the Internet Value BYO Option cannot be shared with an eligible Business Mobile Broadband service.</w:t>
      </w:r>
    </w:p>
    <w:p w14:paraId="0DF0216E" w14:textId="77777777" w:rsidR="000D07EA" w:rsidRDefault="00BE7C89">
      <w:pPr>
        <w:pStyle w:val="Heading8"/>
      </w:pPr>
      <w:r>
        <w:t>Data is counted in kilobytes, 1024KB=1MB, 1024 MB = 1GB and includes both uploads and downloads.</w:t>
      </w:r>
    </w:p>
    <w:p w14:paraId="503F2E29" w14:textId="77777777" w:rsidR="000D07EA" w:rsidRDefault="00BE7C89">
      <w:pPr>
        <w:pStyle w:val="Heading8"/>
      </w:pPr>
      <w:r>
        <w:t>If you exceed the included monthly data allowance, excess usage charges will be charged at $0.10 per MB or part thereof.</w:t>
      </w:r>
    </w:p>
    <w:p w14:paraId="22DAB363" w14:textId="77777777" w:rsidR="000D07EA" w:rsidRDefault="00BE7C89">
      <w:pPr>
        <w:pStyle w:val="Heading8"/>
        <w:rPr>
          <w:szCs w:val="20"/>
        </w:rPr>
      </w:pPr>
      <w:r>
        <w:t xml:space="preserve">If the data </w:t>
      </w:r>
      <w:r>
        <w:rPr>
          <w:i/>
        </w:rPr>
        <w:t xml:space="preserve">you </w:t>
      </w:r>
      <w:r>
        <w:t>use in a month falls below the amount of included data,</w:t>
      </w:r>
      <w:r>
        <w:rPr>
          <w:i/>
        </w:rPr>
        <w:t xml:space="preserve"> </w:t>
      </w:r>
      <w:r>
        <w:t>the remaining data is forfeited and it does not roll over into the following month.</w:t>
      </w:r>
    </w:p>
    <w:p w14:paraId="3B20A44C" w14:textId="77777777" w:rsidR="000D07EA" w:rsidRDefault="00BE7C89">
      <w:pPr>
        <w:pStyle w:val="Heading8"/>
      </w:pPr>
      <w:r>
        <w:t xml:space="preserve">Use of Internet Value is subject to the special liability clauses as set out in </w:t>
      </w:r>
      <w:r>
        <w:rPr>
          <w:i/>
        </w:rPr>
        <w:t>Section 9.4 Mobile Internet Pack</w:t>
      </w:r>
      <w:r>
        <w:t xml:space="preserve"> of </w:t>
      </w:r>
      <w:hyperlink r:id="rId307" w:history="1">
        <w:r>
          <w:rPr>
            <w:rStyle w:val="Hyperlink"/>
            <w:rFonts w:eastAsia="MS Gothic"/>
            <w:i/>
            <w:iCs w:val="0"/>
          </w:rPr>
          <w:t>Appendix Y</w:t>
        </w:r>
      </w:hyperlink>
      <w:r>
        <w:t>.</w:t>
      </w:r>
    </w:p>
    <w:p w14:paraId="6E4BCE73" w14:textId="77777777" w:rsidR="000D07EA" w:rsidRDefault="00BE7C89">
      <w:pPr>
        <w:pStyle w:val="Heading6"/>
        <w:ind w:left="0" w:firstLine="0"/>
      </w:pPr>
      <w:bookmarkStart w:id="458" w:name="_Toc397941161"/>
      <w:bookmarkStart w:id="459" w:name="_Toc267937685"/>
      <w:r>
        <w:t xml:space="preserve">What happens if the </w:t>
      </w:r>
      <w:r>
        <w:rPr>
          <w:i/>
        </w:rPr>
        <w:t xml:space="preserve">service is cancelled </w:t>
      </w:r>
      <w:r>
        <w:t>early?</w:t>
      </w:r>
      <w:bookmarkEnd w:id="458"/>
      <w:bookmarkEnd w:id="459"/>
    </w:p>
    <w:p w14:paraId="6D3BFF9F" w14:textId="77777777" w:rsidR="000D07EA" w:rsidRDefault="00BE7C89">
      <w:pPr>
        <w:pStyle w:val="Heading7"/>
      </w:pPr>
      <w:r>
        <w:t xml:space="preserve">If </w:t>
      </w:r>
      <w:r>
        <w:rPr>
          <w:i/>
        </w:rPr>
        <w:t>the service</w:t>
      </w:r>
      <w:r>
        <w:t xml:space="preserve"> </w:t>
      </w:r>
      <w:r>
        <w:rPr>
          <w:i/>
        </w:rPr>
        <w:t xml:space="preserve">is cancelled </w:t>
      </w:r>
      <w:r>
        <w:t xml:space="preserve">before the expiry of the </w:t>
      </w:r>
      <w:r>
        <w:rPr>
          <w:i/>
        </w:rPr>
        <w:t xml:space="preserve">minimum term, you </w:t>
      </w:r>
      <w:r>
        <w:t xml:space="preserve">will be required to pay </w:t>
      </w:r>
      <w:r>
        <w:rPr>
          <w:i/>
        </w:rPr>
        <w:t>us</w:t>
      </w:r>
      <w:r>
        <w:t>:</w:t>
      </w:r>
    </w:p>
    <w:p w14:paraId="31CA5BB1" w14:textId="77777777" w:rsidR="000D07EA" w:rsidRDefault="00BE7C89">
      <w:pPr>
        <w:pStyle w:val="Heading8"/>
      </w:pPr>
      <w:r>
        <w:lastRenderedPageBreak/>
        <w:t xml:space="preserve">any usage charges incurred up to, and including, the </w:t>
      </w:r>
      <w:r>
        <w:rPr>
          <w:i/>
        </w:rPr>
        <w:t xml:space="preserve">cancellation date; </w:t>
      </w:r>
      <w:r>
        <w:t>plus</w:t>
      </w:r>
    </w:p>
    <w:p w14:paraId="3B2C628D" w14:textId="77777777" w:rsidR="000D07EA" w:rsidRDefault="00BE7C89">
      <w:pPr>
        <w:pStyle w:val="Heading8"/>
      </w:pPr>
      <w:r>
        <w:t xml:space="preserve">the </w:t>
      </w:r>
      <w:r>
        <w:rPr>
          <w:i/>
        </w:rPr>
        <w:t xml:space="preserve">cancellation fee </w:t>
      </w:r>
      <w:r>
        <w:t xml:space="preserve">set in paragraph </w:t>
      </w:r>
      <w:r w:rsidR="00E2048F">
        <w:t>92.</w:t>
      </w:r>
      <w:r w:rsidR="00E2048F" w:rsidRPr="00272628">
        <w:t>9</w:t>
      </w:r>
      <w:r w:rsidRPr="00272628">
        <w:t>(</w:t>
      </w:r>
      <w:r w:rsidR="00E2048F" w:rsidRPr="00272628">
        <w:t>c</w:t>
      </w:r>
      <w:r w:rsidRPr="00272628">
        <w:t xml:space="preserve">) </w:t>
      </w:r>
      <w:r>
        <w:t xml:space="preserve">below (unless under clause 2A of the </w:t>
      </w:r>
      <w:r>
        <w:rPr>
          <w:i/>
        </w:rPr>
        <w:t xml:space="preserve">consumer terms, you </w:t>
      </w:r>
      <w:r>
        <w:t xml:space="preserve">are entitled to </w:t>
      </w:r>
      <w:r>
        <w:rPr>
          <w:i/>
        </w:rPr>
        <w:t xml:space="preserve">cancel the service </w:t>
      </w:r>
      <w:r>
        <w:t xml:space="preserve">without incurring a </w:t>
      </w:r>
      <w:r>
        <w:rPr>
          <w:i/>
        </w:rPr>
        <w:t>cancellation fee)</w:t>
      </w:r>
      <w:r>
        <w:t>; plus</w:t>
      </w:r>
    </w:p>
    <w:p w14:paraId="30CD9F7A" w14:textId="77777777" w:rsidR="000D07EA" w:rsidRDefault="00BE7C89">
      <w:pPr>
        <w:pStyle w:val="Heading8"/>
      </w:pPr>
      <w:r>
        <w:t>the sum of unpaid equipment charges owing on your mobile phone under the mobile equipment payment plan (if any).</w:t>
      </w:r>
    </w:p>
    <w:p w14:paraId="5B6BE682" w14:textId="77777777" w:rsidR="000D07EA" w:rsidRDefault="00BE7C89">
      <w:pPr>
        <w:pStyle w:val="Heading7"/>
      </w:pPr>
      <w:r>
        <w:t xml:space="preserve">If </w:t>
      </w:r>
      <w:r>
        <w:rPr>
          <w:i/>
          <w:iCs/>
        </w:rPr>
        <w:t>you</w:t>
      </w:r>
      <w:r>
        <w:t xml:space="preserve"> change the </w:t>
      </w:r>
      <w:r>
        <w:rPr>
          <w:i/>
          <w:iCs/>
        </w:rPr>
        <w:t xml:space="preserve">service </w:t>
      </w:r>
      <w:r>
        <w:t>from a Business Complete Max iPhone BYO plan to an Optus digital mobile</w:t>
      </w:r>
      <w:r>
        <w:rPr>
          <w:i/>
          <w:iCs/>
        </w:rPr>
        <w:t xml:space="preserve"> </w:t>
      </w:r>
      <w:r>
        <w:t xml:space="preserve">plan which includes a digital mobile handset before the expiry of the </w:t>
      </w:r>
      <w:r>
        <w:rPr>
          <w:i/>
          <w:iCs/>
        </w:rPr>
        <w:t xml:space="preserve">minimum term </w:t>
      </w:r>
      <w:r>
        <w:t xml:space="preserve">of your Business Complete Max iPhone BYO plan, </w:t>
      </w:r>
      <w:r>
        <w:rPr>
          <w:i/>
          <w:iCs/>
        </w:rPr>
        <w:t>we</w:t>
      </w:r>
      <w:r>
        <w:t xml:space="preserve"> will waive the cancellation fee set out in paragraph (c) below.  </w:t>
      </w:r>
      <w:r>
        <w:rPr>
          <w:i/>
          <w:iCs/>
        </w:rPr>
        <w:t>You</w:t>
      </w:r>
      <w:r>
        <w:t xml:space="preserve"> will be required to pay the charges set out in paragraph </w:t>
      </w:r>
      <w:r>
        <w:fldChar w:fldCharType="begin"/>
      </w:r>
      <w:r>
        <w:instrText xml:space="preserve"> REF _Ref461550827 \n \h </w:instrText>
      </w:r>
      <w:r>
        <w:fldChar w:fldCharType="separate"/>
      </w:r>
      <w:r w:rsidR="0004083A">
        <w:t>(a)</w:t>
      </w:r>
      <w:r>
        <w:fldChar w:fldCharType="end"/>
      </w:r>
      <w:r>
        <w:fldChar w:fldCharType="begin"/>
      </w:r>
      <w:r>
        <w:instrText xml:space="preserve"> REF _Ref461550832 \n \h </w:instrText>
      </w:r>
      <w:r>
        <w:fldChar w:fldCharType="separate"/>
      </w:r>
      <w:r w:rsidR="0004083A">
        <w:t>(i)</w:t>
      </w:r>
      <w:r>
        <w:fldChar w:fldCharType="end"/>
      </w:r>
      <w:r>
        <w:t xml:space="preserve"> above.</w:t>
      </w:r>
    </w:p>
    <w:p w14:paraId="5576E53D" w14:textId="77777777" w:rsidR="000D07EA" w:rsidRDefault="00BE7C89">
      <w:pPr>
        <w:pStyle w:val="Heading7"/>
      </w:pPr>
      <w:r>
        <w:t xml:space="preserve">The </w:t>
      </w:r>
      <w:r>
        <w:rPr>
          <w:i/>
        </w:rPr>
        <w:t>cancellation fee</w:t>
      </w:r>
      <w:r>
        <w:t xml:space="preserve"> for a 12 month Contract is calculated as a fixed amount if the </w:t>
      </w:r>
      <w:r>
        <w:rPr>
          <w:i/>
        </w:rPr>
        <w:t xml:space="preserve">service </w:t>
      </w:r>
      <w:r>
        <w:t xml:space="preserve">is </w:t>
      </w:r>
      <w:r>
        <w:rPr>
          <w:i/>
        </w:rPr>
        <w:t xml:space="preserve">cancelled </w:t>
      </w:r>
      <w:r>
        <w:t xml:space="preserve">during the first 6 months of the </w:t>
      </w:r>
      <w:r>
        <w:rPr>
          <w:i/>
        </w:rPr>
        <w:t>minimum term</w:t>
      </w:r>
      <w:r>
        <w:t xml:space="preserve"> and then a pro-rata reduction of that fee (indicated as a percentage in brackets in the first column of the table below) if the </w:t>
      </w:r>
      <w:r>
        <w:rPr>
          <w:i/>
        </w:rPr>
        <w:t xml:space="preserve">service </w:t>
      </w:r>
      <w:r>
        <w:t xml:space="preserve">is </w:t>
      </w:r>
      <w:r>
        <w:rPr>
          <w:i/>
        </w:rPr>
        <w:t xml:space="preserve">cancelled </w:t>
      </w:r>
      <w:r>
        <w:t xml:space="preserve">during the last 6 months of the </w:t>
      </w:r>
      <w:r>
        <w:rPr>
          <w:i/>
        </w:rPr>
        <w:t>minimum term</w:t>
      </w:r>
      <w:r>
        <w:t>.</w:t>
      </w: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3341"/>
        <w:gridCol w:w="2040"/>
        <w:gridCol w:w="2040"/>
        <w:gridCol w:w="2040"/>
      </w:tblGrid>
      <w:tr w:rsidR="000D07EA" w14:paraId="358D08D0" w14:textId="77777777">
        <w:tc>
          <w:tcPr>
            <w:tcW w:w="1766" w:type="pct"/>
            <w:tcBorders>
              <w:top w:val="single" w:sz="4" w:space="0" w:color="auto"/>
              <w:left w:val="single" w:sz="4" w:space="0" w:color="auto"/>
              <w:bottom w:val="single" w:sz="4" w:space="0" w:color="auto"/>
              <w:right w:val="single" w:sz="4" w:space="0" w:color="auto"/>
            </w:tcBorders>
            <w:hideMark/>
          </w:tcPr>
          <w:p w14:paraId="4D453119" w14:textId="77777777" w:rsidR="000D07EA" w:rsidRDefault="00BE7C89">
            <w:pPr>
              <w:pStyle w:val="BodyText"/>
              <w:spacing w:before="100" w:after="100"/>
              <w:rPr>
                <w:b/>
                <w:lang w:val="en-AU"/>
              </w:rPr>
            </w:pPr>
            <w:r>
              <w:rPr>
                <w:b/>
              </w:rPr>
              <w:t xml:space="preserve">When the </w:t>
            </w:r>
            <w:r>
              <w:rPr>
                <w:b/>
                <w:i/>
              </w:rPr>
              <w:t>service</w:t>
            </w:r>
            <w:r>
              <w:rPr>
                <w:b/>
              </w:rPr>
              <w:t xml:space="preserve"> is </w:t>
            </w:r>
            <w:r>
              <w:rPr>
                <w:b/>
                <w:i/>
              </w:rPr>
              <w:t>cancelled</w:t>
            </w:r>
          </w:p>
        </w:tc>
        <w:tc>
          <w:tcPr>
            <w:tcW w:w="3234" w:type="pct"/>
            <w:gridSpan w:val="3"/>
            <w:tcBorders>
              <w:top w:val="single" w:sz="4" w:space="0" w:color="auto"/>
              <w:left w:val="single" w:sz="4" w:space="0" w:color="auto"/>
              <w:bottom w:val="single" w:sz="4" w:space="0" w:color="auto"/>
              <w:right w:val="single" w:sz="4" w:space="0" w:color="auto"/>
            </w:tcBorders>
            <w:hideMark/>
          </w:tcPr>
          <w:p w14:paraId="7279610C" w14:textId="77777777" w:rsidR="000D07EA" w:rsidRDefault="00BE7C89">
            <w:pPr>
              <w:pStyle w:val="BodyText"/>
              <w:spacing w:before="100" w:after="100"/>
              <w:jc w:val="center"/>
              <w:rPr>
                <w:b/>
                <w:i/>
                <w:lang w:val="en-AU"/>
              </w:rPr>
            </w:pPr>
            <w:r>
              <w:rPr>
                <w:b/>
                <w:i/>
              </w:rPr>
              <w:t>Cancellation Fee</w:t>
            </w:r>
          </w:p>
        </w:tc>
      </w:tr>
      <w:tr w:rsidR="000D07EA" w14:paraId="00623348" w14:textId="77777777">
        <w:tc>
          <w:tcPr>
            <w:tcW w:w="1766" w:type="pct"/>
            <w:tcBorders>
              <w:top w:val="single" w:sz="4" w:space="0" w:color="auto"/>
              <w:left w:val="single" w:sz="4" w:space="0" w:color="auto"/>
              <w:bottom w:val="single" w:sz="4" w:space="0" w:color="auto"/>
              <w:right w:val="single" w:sz="4" w:space="0" w:color="auto"/>
            </w:tcBorders>
          </w:tcPr>
          <w:p w14:paraId="7E97EC59" w14:textId="77777777" w:rsidR="000D07EA" w:rsidRDefault="000D07EA">
            <w:pPr>
              <w:pStyle w:val="BodyText"/>
              <w:spacing w:before="100" w:after="100"/>
              <w:rPr>
                <w:lang w:val="en-AU"/>
              </w:rPr>
            </w:pPr>
          </w:p>
        </w:tc>
        <w:tc>
          <w:tcPr>
            <w:tcW w:w="3234" w:type="pct"/>
            <w:gridSpan w:val="3"/>
            <w:tcBorders>
              <w:top w:val="single" w:sz="4" w:space="0" w:color="auto"/>
              <w:left w:val="single" w:sz="4" w:space="0" w:color="auto"/>
              <w:bottom w:val="single" w:sz="4" w:space="0" w:color="auto"/>
              <w:right w:val="single" w:sz="4" w:space="0" w:color="auto"/>
            </w:tcBorders>
            <w:hideMark/>
          </w:tcPr>
          <w:p w14:paraId="25531BE7" w14:textId="77777777" w:rsidR="000D07EA" w:rsidRDefault="00BE7C89">
            <w:pPr>
              <w:pStyle w:val="BodyText"/>
              <w:spacing w:before="100" w:after="100"/>
              <w:jc w:val="center"/>
              <w:rPr>
                <w:b/>
                <w:lang w:val="en-AU"/>
              </w:rPr>
            </w:pPr>
            <w:r>
              <w:rPr>
                <w:b/>
              </w:rPr>
              <w:t>Business Complete Max iPhone BYO Plan - BYO Option (12 Month Contract)</w:t>
            </w:r>
          </w:p>
        </w:tc>
      </w:tr>
      <w:tr w:rsidR="000D07EA" w14:paraId="6B1D65F0" w14:textId="77777777">
        <w:tc>
          <w:tcPr>
            <w:tcW w:w="1766" w:type="pct"/>
            <w:tcBorders>
              <w:top w:val="single" w:sz="4" w:space="0" w:color="auto"/>
              <w:left w:val="single" w:sz="4" w:space="0" w:color="auto"/>
              <w:bottom w:val="single" w:sz="4" w:space="0" w:color="auto"/>
              <w:right w:val="single" w:sz="4" w:space="0" w:color="auto"/>
            </w:tcBorders>
          </w:tcPr>
          <w:p w14:paraId="5255F3C6" w14:textId="77777777" w:rsidR="000D07EA" w:rsidRDefault="000D07EA">
            <w:pPr>
              <w:pStyle w:val="BodyText"/>
              <w:spacing w:before="100" w:after="100"/>
              <w:rPr>
                <w:lang w:val="en-AU"/>
              </w:rPr>
            </w:pPr>
          </w:p>
        </w:tc>
        <w:tc>
          <w:tcPr>
            <w:tcW w:w="1078" w:type="pct"/>
            <w:tcBorders>
              <w:top w:val="single" w:sz="4" w:space="0" w:color="auto"/>
              <w:left w:val="single" w:sz="4" w:space="0" w:color="auto"/>
              <w:bottom w:val="single" w:sz="4" w:space="0" w:color="auto"/>
              <w:right w:val="single" w:sz="4" w:space="0" w:color="auto"/>
            </w:tcBorders>
            <w:hideMark/>
          </w:tcPr>
          <w:p w14:paraId="4675C9A0" w14:textId="77777777" w:rsidR="000D07EA" w:rsidRDefault="00BE7C89">
            <w:pPr>
              <w:pStyle w:val="BodyText"/>
              <w:spacing w:before="100" w:after="100"/>
              <w:jc w:val="center"/>
              <w:rPr>
                <w:b/>
                <w:lang w:val="en-AU"/>
              </w:rPr>
            </w:pPr>
            <w:r>
              <w:rPr>
                <w:b/>
              </w:rPr>
              <w:t>$49 Business Complete Max iPhone BYO</w:t>
            </w:r>
          </w:p>
        </w:tc>
        <w:tc>
          <w:tcPr>
            <w:tcW w:w="1078" w:type="pct"/>
            <w:tcBorders>
              <w:top w:val="single" w:sz="4" w:space="0" w:color="auto"/>
              <w:left w:val="single" w:sz="4" w:space="0" w:color="auto"/>
              <w:bottom w:val="single" w:sz="4" w:space="0" w:color="auto"/>
              <w:right w:val="single" w:sz="4" w:space="0" w:color="auto"/>
            </w:tcBorders>
            <w:hideMark/>
          </w:tcPr>
          <w:p w14:paraId="2FC4C70F" w14:textId="77777777" w:rsidR="000D07EA" w:rsidRDefault="00BE7C89">
            <w:pPr>
              <w:pStyle w:val="BodyText"/>
              <w:spacing w:before="100" w:after="100"/>
              <w:jc w:val="center"/>
              <w:rPr>
                <w:b/>
                <w:sz w:val="24"/>
                <w:lang w:val="en-AU" w:eastAsia="en-AU"/>
              </w:rPr>
            </w:pPr>
            <w:r>
              <w:rPr>
                <w:b/>
              </w:rPr>
              <w:t>$59 Business Complete Max iPhone BYO</w:t>
            </w:r>
          </w:p>
        </w:tc>
        <w:tc>
          <w:tcPr>
            <w:tcW w:w="1078" w:type="pct"/>
            <w:tcBorders>
              <w:top w:val="single" w:sz="4" w:space="0" w:color="auto"/>
              <w:left w:val="single" w:sz="4" w:space="0" w:color="auto"/>
              <w:bottom w:val="single" w:sz="4" w:space="0" w:color="auto"/>
              <w:right w:val="single" w:sz="4" w:space="0" w:color="auto"/>
            </w:tcBorders>
            <w:hideMark/>
          </w:tcPr>
          <w:p w14:paraId="2B154C50" w14:textId="77777777" w:rsidR="000D07EA" w:rsidRDefault="00BE7C89">
            <w:pPr>
              <w:pStyle w:val="BodyText"/>
              <w:spacing w:before="100" w:after="100"/>
              <w:jc w:val="center"/>
              <w:rPr>
                <w:b/>
                <w:sz w:val="24"/>
                <w:lang w:val="en-AU" w:eastAsia="en-AU"/>
              </w:rPr>
            </w:pPr>
            <w:r>
              <w:rPr>
                <w:b/>
              </w:rPr>
              <w:t>$79 Business Complete Max iPhone BYO</w:t>
            </w:r>
          </w:p>
        </w:tc>
      </w:tr>
      <w:tr w:rsidR="000D07EA" w14:paraId="7E34123F" w14:textId="77777777">
        <w:tc>
          <w:tcPr>
            <w:tcW w:w="1766" w:type="pct"/>
            <w:tcBorders>
              <w:top w:val="single" w:sz="4" w:space="0" w:color="auto"/>
              <w:left w:val="single" w:sz="4" w:space="0" w:color="auto"/>
              <w:bottom w:val="single" w:sz="4" w:space="0" w:color="auto"/>
              <w:right w:val="single" w:sz="4" w:space="0" w:color="auto"/>
            </w:tcBorders>
            <w:hideMark/>
          </w:tcPr>
          <w:p w14:paraId="61DC8FF6" w14:textId="77777777" w:rsidR="000D07EA" w:rsidRDefault="00BE7C89">
            <w:pPr>
              <w:pStyle w:val="BodyText"/>
              <w:spacing w:before="100" w:after="100"/>
              <w:rPr>
                <w:b/>
                <w:lang w:val="en-AU"/>
              </w:rPr>
            </w:pPr>
            <w:r>
              <w:rPr>
                <w:b/>
              </w:rPr>
              <w:t xml:space="preserve">During the first 6 months – Initial </w:t>
            </w:r>
            <w:r>
              <w:rPr>
                <w:b/>
                <w:i/>
              </w:rPr>
              <w:t>cancellation fee</w:t>
            </w:r>
          </w:p>
        </w:tc>
        <w:tc>
          <w:tcPr>
            <w:tcW w:w="1078" w:type="pct"/>
            <w:tcBorders>
              <w:top w:val="single" w:sz="4" w:space="0" w:color="auto"/>
              <w:left w:val="single" w:sz="4" w:space="0" w:color="auto"/>
              <w:bottom w:val="single" w:sz="4" w:space="0" w:color="auto"/>
              <w:right w:val="single" w:sz="4" w:space="0" w:color="auto"/>
            </w:tcBorders>
            <w:hideMark/>
          </w:tcPr>
          <w:p w14:paraId="658BC03C" w14:textId="77777777" w:rsidR="000D07EA" w:rsidRDefault="00BE7C89">
            <w:pPr>
              <w:pStyle w:val="BodyText"/>
              <w:spacing w:before="100" w:after="100"/>
              <w:jc w:val="center"/>
              <w:rPr>
                <w:lang w:val="en-AU"/>
              </w:rPr>
            </w:pPr>
            <w:r>
              <w:t>$180.00</w:t>
            </w:r>
          </w:p>
        </w:tc>
        <w:tc>
          <w:tcPr>
            <w:tcW w:w="1078" w:type="pct"/>
            <w:tcBorders>
              <w:top w:val="single" w:sz="4" w:space="0" w:color="auto"/>
              <w:left w:val="single" w:sz="4" w:space="0" w:color="auto"/>
              <w:bottom w:val="single" w:sz="4" w:space="0" w:color="auto"/>
              <w:right w:val="single" w:sz="4" w:space="0" w:color="auto"/>
            </w:tcBorders>
            <w:hideMark/>
          </w:tcPr>
          <w:p w14:paraId="3D5A9EE8" w14:textId="77777777" w:rsidR="000D07EA" w:rsidRDefault="00BE7C89">
            <w:pPr>
              <w:pStyle w:val="BodyText"/>
              <w:spacing w:before="100" w:after="100"/>
              <w:jc w:val="center"/>
              <w:rPr>
                <w:lang w:val="en-AU"/>
              </w:rPr>
            </w:pPr>
            <w:r>
              <w:t>$190.00</w:t>
            </w:r>
          </w:p>
        </w:tc>
        <w:tc>
          <w:tcPr>
            <w:tcW w:w="1078" w:type="pct"/>
            <w:tcBorders>
              <w:top w:val="single" w:sz="4" w:space="0" w:color="auto"/>
              <w:left w:val="single" w:sz="4" w:space="0" w:color="auto"/>
              <w:bottom w:val="single" w:sz="4" w:space="0" w:color="auto"/>
              <w:right w:val="single" w:sz="4" w:space="0" w:color="auto"/>
            </w:tcBorders>
            <w:hideMark/>
          </w:tcPr>
          <w:p w14:paraId="588EED57" w14:textId="77777777" w:rsidR="000D07EA" w:rsidRDefault="00BE7C89">
            <w:pPr>
              <w:pStyle w:val="BodyText"/>
              <w:spacing w:before="100" w:after="100"/>
              <w:jc w:val="center"/>
              <w:rPr>
                <w:lang w:val="en-AU"/>
              </w:rPr>
            </w:pPr>
            <w:r>
              <w:t>$195.00</w:t>
            </w:r>
          </w:p>
        </w:tc>
      </w:tr>
      <w:tr w:rsidR="000D07EA" w14:paraId="37E6C086" w14:textId="77777777">
        <w:tc>
          <w:tcPr>
            <w:tcW w:w="1766" w:type="pct"/>
            <w:tcBorders>
              <w:top w:val="single" w:sz="4" w:space="0" w:color="auto"/>
              <w:left w:val="single" w:sz="4" w:space="0" w:color="auto"/>
              <w:bottom w:val="single" w:sz="4" w:space="0" w:color="auto"/>
              <w:right w:val="single" w:sz="4" w:space="0" w:color="auto"/>
            </w:tcBorders>
            <w:hideMark/>
          </w:tcPr>
          <w:p w14:paraId="2EACED74" w14:textId="77777777" w:rsidR="000D07EA" w:rsidRDefault="00BE7C89">
            <w:pPr>
              <w:pStyle w:val="BodyText"/>
              <w:spacing w:before="100" w:after="100"/>
              <w:rPr>
                <w:b/>
                <w:lang w:val="en-AU"/>
              </w:rPr>
            </w:pPr>
            <w:r>
              <w:rPr>
                <w:b/>
              </w:rPr>
              <w:t xml:space="preserve">Months 7 - 9 (70% of Initial </w:t>
            </w:r>
            <w:r>
              <w:rPr>
                <w:b/>
                <w:i/>
              </w:rPr>
              <w:t>cancellation fee</w:t>
            </w:r>
            <w:r>
              <w:rPr>
                <w:b/>
              </w:rPr>
              <w:t>)</w:t>
            </w:r>
          </w:p>
        </w:tc>
        <w:tc>
          <w:tcPr>
            <w:tcW w:w="1078" w:type="pct"/>
            <w:tcBorders>
              <w:top w:val="single" w:sz="4" w:space="0" w:color="auto"/>
              <w:left w:val="single" w:sz="4" w:space="0" w:color="auto"/>
              <w:bottom w:val="single" w:sz="4" w:space="0" w:color="auto"/>
              <w:right w:val="single" w:sz="4" w:space="0" w:color="auto"/>
            </w:tcBorders>
            <w:hideMark/>
          </w:tcPr>
          <w:p w14:paraId="3B1E4AA4" w14:textId="77777777" w:rsidR="000D07EA" w:rsidRDefault="00BE7C89">
            <w:pPr>
              <w:pStyle w:val="BodyText"/>
              <w:spacing w:before="100" w:after="100"/>
              <w:jc w:val="center"/>
              <w:rPr>
                <w:lang w:val="en-AU"/>
              </w:rPr>
            </w:pPr>
            <w:r>
              <w:t>$126.00</w:t>
            </w:r>
          </w:p>
        </w:tc>
        <w:tc>
          <w:tcPr>
            <w:tcW w:w="1078" w:type="pct"/>
            <w:tcBorders>
              <w:top w:val="single" w:sz="4" w:space="0" w:color="auto"/>
              <w:left w:val="single" w:sz="4" w:space="0" w:color="auto"/>
              <w:bottom w:val="single" w:sz="4" w:space="0" w:color="auto"/>
              <w:right w:val="single" w:sz="4" w:space="0" w:color="auto"/>
            </w:tcBorders>
            <w:hideMark/>
          </w:tcPr>
          <w:p w14:paraId="142244B5" w14:textId="77777777" w:rsidR="000D07EA" w:rsidRDefault="00BE7C89">
            <w:pPr>
              <w:pStyle w:val="BodyText"/>
              <w:spacing w:before="100" w:after="100"/>
              <w:jc w:val="center"/>
              <w:rPr>
                <w:lang w:val="en-AU"/>
              </w:rPr>
            </w:pPr>
            <w:r>
              <w:t>$133.00</w:t>
            </w:r>
          </w:p>
        </w:tc>
        <w:tc>
          <w:tcPr>
            <w:tcW w:w="1078" w:type="pct"/>
            <w:tcBorders>
              <w:top w:val="single" w:sz="4" w:space="0" w:color="auto"/>
              <w:left w:val="single" w:sz="4" w:space="0" w:color="auto"/>
              <w:bottom w:val="single" w:sz="4" w:space="0" w:color="auto"/>
              <w:right w:val="single" w:sz="4" w:space="0" w:color="auto"/>
            </w:tcBorders>
            <w:hideMark/>
          </w:tcPr>
          <w:p w14:paraId="01B2800A" w14:textId="77777777" w:rsidR="000D07EA" w:rsidRDefault="00BE7C89">
            <w:pPr>
              <w:pStyle w:val="BodyText"/>
              <w:spacing w:before="100" w:after="100"/>
              <w:jc w:val="center"/>
              <w:rPr>
                <w:lang w:val="en-AU"/>
              </w:rPr>
            </w:pPr>
            <w:r>
              <w:t>$136.50</w:t>
            </w:r>
          </w:p>
        </w:tc>
      </w:tr>
      <w:tr w:rsidR="000D07EA" w14:paraId="76854C80" w14:textId="77777777">
        <w:tc>
          <w:tcPr>
            <w:tcW w:w="1766" w:type="pct"/>
            <w:tcBorders>
              <w:top w:val="single" w:sz="4" w:space="0" w:color="auto"/>
              <w:left w:val="single" w:sz="4" w:space="0" w:color="auto"/>
              <w:bottom w:val="single" w:sz="4" w:space="0" w:color="auto"/>
              <w:right w:val="single" w:sz="4" w:space="0" w:color="auto"/>
            </w:tcBorders>
            <w:hideMark/>
          </w:tcPr>
          <w:p w14:paraId="2A7493B3" w14:textId="77777777" w:rsidR="000D07EA" w:rsidRDefault="00BE7C89">
            <w:pPr>
              <w:pStyle w:val="BodyText"/>
              <w:spacing w:before="100" w:after="100"/>
              <w:rPr>
                <w:b/>
              </w:rPr>
            </w:pPr>
            <w:r>
              <w:rPr>
                <w:b/>
              </w:rPr>
              <w:t>Months 10 – 12 (40% of the Initial c</w:t>
            </w:r>
            <w:r>
              <w:rPr>
                <w:b/>
                <w:i/>
              </w:rPr>
              <w:t>ancellation fee</w:t>
            </w:r>
            <w:r>
              <w:rPr>
                <w:b/>
              </w:rPr>
              <w:t>)</w:t>
            </w:r>
          </w:p>
        </w:tc>
        <w:tc>
          <w:tcPr>
            <w:tcW w:w="1078" w:type="pct"/>
            <w:tcBorders>
              <w:top w:val="single" w:sz="4" w:space="0" w:color="auto"/>
              <w:left w:val="single" w:sz="4" w:space="0" w:color="auto"/>
              <w:bottom w:val="single" w:sz="4" w:space="0" w:color="auto"/>
              <w:right w:val="single" w:sz="4" w:space="0" w:color="auto"/>
            </w:tcBorders>
            <w:hideMark/>
          </w:tcPr>
          <w:p w14:paraId="5552FB4A" w14:textId="77777777" w:rsidR="000D07EA" w:rsidRDefault="00BE7C89">
            <w:pPr>
              <w:pStyle w:val="BodyText"/>
              <w:spacing w:before="100" w:after="100"/>
              <w:jc w:val="center"/>
              <w:rPr>
                <w:lang w:val="en-AU"/>
              </w:rPr>
            </w:pPr>
            <w:r>
              <w:t>$72.00</w:t>
            </w:r>
          </w:p>
        </w:tc>
        <w:tc>
          <w:tcPr>
            <w:tcW w:w="1078" w:type="pct"/>
            <w:tcBorders>
              <w:top w:val="single" w:sz="4" w:space="0" w:color="auto"/>
              <w:left w:val="single" w:sz="4" w:space="0" w:color="auto"/>
              <w:bottom w:val="single" w:sz="4" w:space="0" w:color="auto"/>
              <w:right w:val="single" w:sz="4" w:space="0" w:color="auto"/>
            </w:tcBorders>
            <w:hideMark/>
          </w:tcPr>
          <w:p w14:paraId="6B7F27BD" w14:textId="77777777" w:rsidR="000D07EA" w:rsidRDefault="00BE7C89">
            <w:pPr>
              <w:pStyle w:val="BodyText"/>
              <w:spacing w:before="100" w:after="100"/>
              <w:jc w:val="center"/>
              <w:rPr>
                <w:lang w:val="en-AU"/>
              </w:rPr>
            </w:pPr>
            <w:r>
              <w:t>$76.00</w:t>
            </w:r>
          </w:p>
        </w:tc>
        <w:tc>
          <w:tcPr>
            <w:tcW w:w="1078" w:type="pct"/>
            <w:tcBorders>
              <w:top w:val="single" w:sz="4" w:space="0" w:color="auto"/>
              <w:left w:val="single" w:sz="4" w:space="0" w:color="auto"/>
              <w:bottom w:val="single" w:sz="4" w:space="0" w:color="auto"/>
              <w:right w:val="single" w:sz="4" w:space="0" w:color="auto"/>
            </w:tcBorders>
            <w:hideMark/>
          </w:tcPr>
          <w:p w14:paraId="0824600B" w14:textId="77777777" w:rsidR="000D07EA" w:rsidRDefault="00BE7C89">
            <w:pPr>
              <w:pStyle w:val="BodyText"/>
              <w:spacing w:before="100" w:after="100"/>
              <w:jc w:val="center"/>
              <w:rPr>
                <w:lang w:val="en-AU"/>
              </w:rPr>
            </w:pPr>
            <w:r>
              <w:t>$78.00</w:t>
            </w:r>
          </w:p>
        </w:tc>
      </w:tr>
    </w:tbl>
    <w:p w14:paraId="72D4C7C7" w14:textId="77777777" w:rsidR="000D07EA" w:rsidRDefault="000D07EA">
      <w:pPr>
        <w:pStyle w:val="BodyText"/>
      </w:pPr>
    </w:p>
    <w:p w14:paraId="6801121B" w14:textId="77777777" w:rsidR="000D07EA" w:rsidRDefault="00BE7C89">
      <w:pPr>
        <w:pStyle w:val="Heading7"/>
        <w:rPr>
          <w:lang w:val="en-AU"/>
        </w:rPr>
      </w:pPr>
      <w:r>
        <w:t xml:space="preserve">If the </w:t>
      </w:r>
      <w:r>
        <w:rPr>
          <w:i/>
        </w:rPr>
        <w:t>Business Mobile Broadband service</w:t>
      </w:r>
      <w:r>
        <w:t xml:space="preserve"> is cancelled before the expiry of the </w:t>
      </w:r>
      <w:r>
        <w:rPr>
          <w:i/>
        </w:rPr>
        <w:t>minimum term, you</w:t>
      </w:r>
      <w:r>
        <w:t xml:space="preserve"> will be required to pay </w:t>
      </w:r>
      <w:r>
        <w:rPr>
          <w:i/>
        </w:rPr>
        <w:t>us</w:t>
      </w:r>
      <w:r>
        <w:t>;</w:t>
      </w:r>
    </w:p>
    <w:p w14:paraId="0C20768B" w14:textId="77777777" w:rsidR="000D07EA" w:rsidRDefault="00BE7C89">
      <w:pPr>
        <w:pStyle w:val="Heading8"/>
      </w:pPr>
      <w:r>
        <w:t xml:space="preserve">any usage charges incurred up to, and including, the </w:t>
      </w:r>
      <w:r>
        <w:rPr>
          <w:i/>
        </w:rPr>
        <w:t xml:space="preserve">cancellation date; </w:t>
      </w:r>
      <w:r>
        <w:t>plus</w:t>
      </w:r>
    </w:p>
    <w:p w14:paraId="54707914" w14:textId="77777777" w:rsidR="000D07EA" w:rsidRDefault="00BE7C89">
      <w:pPr>
        <w:pStyle w:val="Heading8"/>
      </w:pPr>
      <w:r>
        <w:t>the sum of unpaid equipment charges owing on your mobile phone under the mobile equipment payment plan (if any)</w:t>
      </w:r>
    </w:p>
    <w:p w14:paraId="79E1D226" w14:textId="77777777" w:rsidR="000D07EA" w:rsidRDefault="00BE7C89">
      <w:pPr>
        <w:pStyle w:val="Heading6"/>
        <w:ind w:left="0" w:firstLine="0"/>
      </w:pPr>
      <w:bookmarkStart w:id="460" w:name="_Toc397941162"/>
      <w:bookmarkStart w:id="461" w:name="_Toc267937686"/>
      <w:r>
        <w:t xml:space="preserve">What happens at the end of the 12 month </w:t>
      </w:r>
      <w:r>
        <w:rPr>
          <w:i/>
        </w:rPr>
        <w:t>minimum term?</w:t>
      </w:r>
      <w:bookmarkEnd w:id="460"/>
      <w:bookmarkEnd w:id="461"/>
    </w:p>
    <w:p w14:paraId="6747EC7F" w14:textId="77777777" w:rsidR="000D07EA" w:rsidRDefault="00BE7C89">
      <w:pPr>
        <w:pStyle w:val="BodyText"/>
        <w:ind w:left="720"/>
      </w:pPr>
      <w:r>
        <w:rPr>
          <w:i/>
        </w:rPr>
        <w:t xml:space="preserve">We </w:t>
      </w:r>
      <w:r>
        <w:t xml:space="preserve">reserve the right not to offer </w:t>
      </w:r>
      <w:r>
        <w:rPr>
          <w:i/>
        </w:rPr>
        <w:t xml:space="preserve">you </w:t>
      </w:r>
      <w:r>
        <w:t xml:space="preserve">the Business Complete Max iPhone BYO offers at the end of </w:t>
      </w:r>
      <w:r>
        <w:rPr>
          <w:i/>
        </w:rPr>
        <w:t xml:space="preserve">your </w:t>
      </w:r>
      <w:r>
        <w:t xml:space="preserve">12 month </w:t>
      </w:r>
      <w:r>
        <w:rPr>
          <w:i/>
        </w:rPr>
        <w:t xml:space="preserve">minimum </w:t>
      </w:r>
      <w:r>
        <w:t xml:space="preserve">term.  At that time, if </w:t>
      </w:r>
      <w:r>
        <w:rPr>
          <w:i/>
        </w:rPr>
        <w:t xml:space="preserve">you </w:t>
      </w:r>
      <w:r>
        <w:t xml:space="preserve">haven't given </w:t>
      </w:r>
      <w:r>
        <w:rPr>
          <w:i/>
        </w:rPr>
        <w:t xml:space="preserve">us </w:t>
      </w:r>
      <w:r>
        <w:t xml:space="preserve">notice to change or </w:t>
      </w:r>
      <w:r>
        <w:rPr>
          <w:i/>
        </w:rPr>
        <w:t>cancel the services</w:t>
      </w:r>
      <w:r>
        <w:t>:</w:t>
      </w:r>
    </w:p>
    <w:p w14:paraId="4D48A52B" w14:textId="77777777" w:rsidR="000D07EA" w:rsidRDefault="00BE7C89">
      <w:pPr>
        <w:pStyle w:val="Heading7"/>
      </w:pPr>
      <w:r>
        <w:t xml:space="preserve">the benefits of the Business Complete Max iPhone BYO offers may be removed from </w:t>
      </w:r>
      <w:r>
        <w:rPr>
          <w:i/>
        </w:rPr>
        <w:t xml:space="preserve">your </w:t>
      </w:r>
      <w:r>
        <w:t>account; and</w:t>
      </w:r>
    </w:p>
    <w:p w14:paraId="76F54513" w14:textId="77777777" w:rsidR="000D07EA" w:rsidRDefault="00BE7C89">
      <w:pPr>
        <w:pStyle w:val="Heading7"/>
      </w:pPr>
      <w:r>
        <w:rPr>
          <w:i/>
        </w:rPr>
        <w:t xml:space="preserve">we </w:t>
      </w:r>
      <w:r>
        <w:t xml:space="preserve">may move </w:t>
      </w:r>
      <w:r>
        <w:rPr>
          <w:i/>
        </w:rPr>
        <w:t xml:space="preserve">you </w:t>
      </w:r>
      <w:r>
        <w:t xml:space="preserve">to any other current </w:t>
      </w:r>
      <w:r>
        <w:rPr>
          <w:i/>
        </w:rPr>
        <w:t xml:space="preserve">pricing plan </w:t>
      </w:r>
      <w:r>
        <w:t>that is reasonably comparable.</w:t>
      </w:r>
    </w:p>
    <w:p w14:paraId="3A67DDAB" w14:textId="77777777" w:rsidR="000D07EA" w:rsidRDefault="00BE7C89">
      <w:pPr>
        <w:pStyle w:val="BodyText"/>
        <w:ind w:left="720"/>
      </w:pPr>
      <w:r>
        <w:rPr>
          <w:i/>
        </w:rPr>
        <w:t xml:space="preserve">We </w:t>
      </w:r>
      <w:r>
        <w:t xml:space="preserve">will tell </w:t>
      </w:r>
      <w:r>
        <w:rPr>
          <w:i/>
        </w:rPr>
        <w:t xml:space="preserve">you </w:t>
      </w:r>
      <w:r>
        <w:t>before this happens.</w:t>
      </w:r>
    </w:p>
    <w:p w14:paraId="3DAFB506" w14:textId="77777777" w:rsidR="000D07EA" w:rsidRDefault="00BE7C89">
      <w:pPr>
        <w:pStyle w:val="Heading6"/>
        <w:ind w:left="0" w:firstLine="0"/>
      </w:pPr>
      <w:bookmarkStart w:id="462" w:name="_Toc397941163"/>
      <w:bookmarkStart w:id="463" w:name="_Toc267937687"/>
      <w:r>
        <w:t>$10 Business Complete Max BMB Plan</w:t>
      </w:r>
      <w:bookmarkEnd w:id="462"/>
      <w:bookmarkEnd w:id="463"/>
    </w:p>
    <w:p w14:paraId="18C08119" w14:textId="77777777" w:rsidR="000D07EA" w:rsidRDefault="00BE7C89">
      <w:pPr>
        <w:pStyle w:val="Heading7"/>
      </w:pPr>
      <w:bookmarkStart w:id="464" w:name="_Ref461550827"/>
      <w:r>
        <w:rPr>
          <w:i/>
        </w:rPr>
        <w:t xml:space="preserve">You </w:t>
      </w:r>
      <w:r>
        <w:t xml:space="preserve">must pay </w:t>
      </w:r>
      <w:r>
        <w:rPr>
          <w:i/>
        </w:rPr>
        <w:t xml:space="preserve">us </w:t>
      </w:r>
      <w:r>
        <w:t xml:space="preserve">for use of the </w:t>
      </w:r>
      <w:r>
        <w:rPr>
          <w:i/>
        </w:rPr>
        <w:t xml:space="preserve">service </w:t>
      </w:r>
      <w:r>
        <w:t>at the rates set out in Table 7</w:t>
      </w:r>
      <w:bookmarkEnd w:id="464"/>
      <w:r>
        <w:t xml:space="preserve"> </w:t>
      </w:r>
    </w:p>
    <w:p w14:paraId="2C254E5C" w14:textId="77777777" w:rsidR="000D07EA" w:rsidRDefault="00BE7C89">
      <w:pPr>
        <w:pStyle w:val="Heading7"/>
      </w:pPr>
      <w:r>
        <w:lastRenderedPageBreak/>
        <w:t>Minimum Monthly Charge</w:t>
      </w:r>
    </w:p>
    <w:p w14:paraId="2E3BF4B1" w14:textId="77777777" w:rsidR="000D07EA" w:rsidRDefault="00BE7C89">
      <w:pPr>
        <w:pStyle w:val="Heading8"/>
      </w:pPr>
      <w:bookmarkStart w:id="465" w:name="_Ref461550832"/>
      <w:r>
        <w:t xml:space="preserve">The Business Complete Max BMB Plan has a Minimum Monthly Charge amount that </w:t>
      </w:r>
      <w:r>
        <w:rPr>
          <w:i/>
        </w:rPr>
        <w:t xml:space="preserve">you </w:t>
      </w:r>
      <w:r>
        <w:t>must pay us each month.</w:t>
      </w:r>
      <w:bookmarkEnd w:id="465"/>
      <w:r>
        <w:t xml:space="preserve"> </w:t>
      </w:r>
    </w:p>
    <w:p w14:paraId="4D26F8E6" w14:textId="77777777" w:rsidR="000D07EA" w:rsidRDefault="00BE7C89">
      <w:pPr>
        <w:pStyle w:val="Heading8"/>
      </w:pPr>
      <w:r>
        <w:t>The amount of the Minimum Monthly Charge for each $10 Business Complete Max BMB Plan is set out in Table 7 below.</w:t>
      </w:r>
    </w:p>
    <w:p w14:paraId="6B277E26" w14:textId="77777777" w:rsidR="000D07EA" w:rsidRDefault="00BE7C89">
      <w:pPr>
        <w:pStyle w:val="Heading8"/>
      </w:pPr>
      <w:r>
        <w:rPr>
          <w:i/>
        </w:rPr>
        <w:t>You</w:t>
      </w:r>
      <w:r>
        <w:t xml:space="preserve"> must pay for any calls that are not eligible calls.</w:t>
      </w:r>
    </w:p>
    <w:p w14:paraId="651F558A" w14:textId="77777777" w:rsidR="000D07EA" w:rsidRDefault="00BE7C89">
      <w:pPr>
        <w:pStyle w:val="Heading7"/>
      </w:pPr>
      <w:r>
        <w:t>Other Conditions and Offers</w:t>
      </w:r>
    </w:p>
    <w:p w14:paraId="7E2171F6" w14:textId="77777777" w:rsidR="000D07EA" w:rsidRDefault="00BE7C89">
      <w:pPr>
        <w:pStyle w:val="Heading8"/>
      </w:pPr>
      <w:r>
        <w:t xml:space="preserve">The </w:t>
      </w:r>
      <w:r w:rsidR="00F84E53">
        <w:t xml:space="preserve">Fair Go </w:t>
      </w:r>
      <w:r>
        <w:t xml:space="preserve"> Policy applies to usage of the </w:t>
      </w:r>
      <w:r>
        <w:rPr>
          <w:i/>
        </w:rPr>
        <w:t>Optus Mobile Internet Service</w:t>
      </w:r>
      <w:r>
        <w:t xml:space="preserve">.  Please refer to </w:t>
      </w:r>
      <w:hyperlink r:id="rId308" w:history="1">
        <w:r w:rsidR="00F84E53">
          <w:rPr>
            <w:rStyle w:val="Hyperlink"/>
            <w:i/>
          </w:rPr>
          <w:t>Appendix S</w:t>
        </w:r>
      </w:hyperlink>
      <w:r>
        <w:t xml:space="preserve"> .</w:t>
      </w:r>
    </w:p>
    <w:p w14:paraId="641DDA9C" w14:textId="77777777" w:rsidR="000D07EA" w:rsidRDefault="00BE7C89">
      <w:pPr>
        <w:pStyle w:val="Heading8"/>
      </w:pPr>
      <w:r>
        <w:t>As per Table 4 below a Business Mobile Broadband Service on a $10 Business Complete Max BMB Plan can only be bundled with the respective Optus Mobile Digital service</w:t>
      </w:r>
    </w:p>
    <w:p w14:paraId="68587068" w14:textId="77777777" w:rsidR="000D07EA" w:rsidRDefault="00BE7C89">
      <w:pPr>
        <w:pStyle w:val="BodyText"/>
        <w:ind w:left="1440"/>
      </w:pPr>
      <w:r>
        <w:rPr>
          <w:b/>
        </w:rPr>
        <w:t>Table 4 – Business Mobile Broadband Bundles Options</w:t>
      </w:r>
    </w:p>
    <w:tbl>
      <w:tblPr>
        <w:tblW w:w="4300" w:type="pct"/>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0"/>
        <w:gridCol w:w="2190"/>
        <w:gridCol w:w="2191"/>
        <w:gridCol w:w="2191"/>
      </w:tblGrid>
      <w:tr w:rsidR="000D07EA" w14:paraId="1FB8356B" w14:textId="77777777">
        <w:tc>
          <w:tcPr>
            <w:tcW w:w="1250" w:type="pct"/>
            <w:hideMark/>
          </w:tcPr>
          <w:p w14:paraId="23DD288A" w14:textId="77777777" w:rsidR="000D07EA" w:rsidRDefault="00BE7C89">
            <w:pPr>
              <w:pStyle w:val="BodyText"/>
              <w:spacing w:before="100" w:after="100"/>
              <w:jc w:val="center"/>
              <w:rPr>
                <w:b/>
                <w:sz w:val="24"/>
                <w:lang w:val="en-AU" w:eastAsia="ko-KR"/>
              </w:rPr>
            </w:pPr>
            <w:r>
              <w:rPr>
                <w:b/>
                <w:lang w:eastAsia="ko-KR"/>
              </w:rPr>
              <w:t>Optus Mobile Digital Service Plan which can be bundled</w:t>
            </w:r>
          </w:p>
        </w:tc>
        <w:tc>
          <w:tcPr>
            <w:tcW w:w="1250" w:type="pct"/>
            <w:hideMark/>
          </w:tcPr>
          <w:p w14:paraId="7668F90A" w14:textId="77777777" w:rsidR="000D07EA" w:rsidRDefault="00BE7C89">
            <w:pPr>
              <w:pStyle w:val="BodyText"/>
              <w:spacing w:before="100" w:after="100"/>
              <w:jc w:val="center"/>
              <w:rPr>
                <w:b/>
                <w:sz w:val="24"/>
                <w:lang w:val="en-AU" w:eastAsia="ko-KR"/>
              </w:rPr>
            </w:pPr>
            <w:r>
              <w:rPr>
                <w:b/>
              </w:rPr>
              <w:t>$49 Business Complete Max iPhone BYO</w:t>
            </w:r>
          </w:p>
        </w:tc>
        <w:tc>
          <w:tcPr>
            <w:tcW w:w="1250" w:type="pct"/>
            <w:hideMark/>
          </w:tcPr>
          <w:p w14:paraId="3426FCB4" w14:textId="77777777" w:rsidR="000D07EA" w:rsidRDefault="00BE7C89">
            <w:pPr>
              <w:pStyle w:val="BodyText"/>
              <w:spacing w:before="100" w:after="100"/>
              <w:jc w:val="center"/>
              <w:rPr>
                <w:b/>
                <w:sz w:val="24"/>
                <w:lang w:val="en-AU" w:eastAsia="ko-KR"/>
              </w:rPr>
            </w:pPr>
            <w:r>
              <w:rPr>
                <w:b/>
              </w:rPr>
              <w:t>$59 Business Complete Max iPhone BYO</w:t>
            </w:r>
          </w:p>
        </w:tc>
        <w:tc>
          <w:tcPr>
            <w:tcW w:w="1250" w:type="pct"/>
            <w:hideMark/>
          </w:tcPr>
          <w:p w14:paraId="56B959D5" w14:textId="77777777" w:rsidR="000D07EA" w:rsidRDefault="00BE7C89">
            <w:pPr>
              <w:pStyle w:val="BodyText"/>
              <w:spacing w:before="100" w:after="100"/>
              <w:jc w:val="center"/>
              <w:rPr>
                <w:b/>
                <w:sz w:val="24"/>
                <w:lang w:val="en-AU" w:eastAsia="ko-KR"/>
              </w:rPr>
            </w:pPr>
            <w:r>
              <w:rPr>
                <w:b/>
              </w:rPr>
              <w:t>$79 Business Complete Max iPhone BYO</w:t>
            </w:r>
          </w:p>
        </w:tc>
      </w:tr>
      <w:tr w:rsidR="000D07EA" w14:paraId="211E39E3" w14:textId="77777777">
        <w:tc>
          <w:tcPr>
            <w:tcW w:w="1250" w:type="pct"/>
            <w:hideMark/>
          </w:tcPr>
          <w:p w14:paraId="78E61911" w14:textId="77777777" w:rsidR="000D07EA" w:rsidRDefault="00BE7C89">
            <w:pPr>
              <w:pStyle w:val="BodyText"/>
              <w:spacing w:before="100" w:after="100"/>
              <w:jc w:val="center"/>
              <w:rPr>
                <w:b/>
                <w:sz w:val="24"/>
                <w:lang w:val="en-AU" w:eastAsia="ko-KR"/>
              </w:rPr>
            </w:pPr>
            <w:r>
              <w:rPr>
                <w:b/>
                <w:lang w:eastAsia="ko-KR"/>
              </w:rPr>
              <w:t>Business Mobile Broadband  Service Plan</w:t>
            </w:r>
          </w:p>
        </w:tc>
        <w:tc>
          <w:tcPr>
            <w:tcW w:w="1250" w:type="pct"/>
            <w:hideMark/>
          </w:tcPr>
          <w:p w14:paraId="2E5CA128" w14:textId="77777777" w:rsidR="000D07EA" w:rsidRDefault="00BE7C89">
            <w:pPr>
              <w:pStyle w:val="BodyText"/>
              <w:spacing w:before="100" w:after="100"/>
              <w:jc w:val="center"/>
              <w:rPr>
                <w:sz w:val="24"/>
                <w:lang w:val="en-AU" w:eastAsia="ko-KR"/>
              </w:rPr>
            </w:pPr>
            <w:r>
              <w:t>$10 Business Complete Max BMB</w:t>
            </w:r>
          </w:p>
        </w:tc>
        <w:tc>
          <w:tcPr>
            <w:tcW w:w="1250" w:type="pct"/>
            <w:hideMark/>
          </w:tcPr>
          <w:p w14:paraId="329F384D" w14:textId="77777777" w:rsidR="000D07EA" w:rsidRDefault="00BE7C89">
            <w:pPr>
              <w:pStyle w:val="BodyText"/>
              <w:spacing w:before="100" w:after="100"/>
              <w:jc w:val="center"/>
              <w:rPr>
                <w:sz w:val="24"/>
                <w:lang w:val="en-AU" w:eastAsia="ko-KR"/>
              </w:rPr>
            </w:pPr>
            <w:r>
              <w:t>$10 Business Complete Max BMB</w:t>
            </w:r>
          </w:p>
        </w:tc>
        <w:tc>
          <w:tcPr>
            <w:tcW w:w="1250" w:type="pct"/>
            <w:hideMark/>
          </w:tcPr>
          <w:p w14:paraId="213FA15D" w14:textId="77777777" w:rsidR="000D07EA" w:rsidRDefault="00BE7C89">
            <w:pPr>
              <w:pStyle w:val="BodyText"/>
              <w:spacing w:before="100" w:after="100"/>
              <w:jc w:val="center"/>
              <w:rPr>
                <w:sz w:val="24"/>
                <w:lang w:val="en-AU" w:eastAsia="ko-KR"/>
              </w:rPr>
            </w:pPr>
            <w:r>
              <w:t>$10 Business Complete Max BMB</w:t>
            </w:r>
          </w:p>
        </w:tc>
      </w:tr>
    </w:tbl>
    <w:p w14:paraId="1F9F8FC9" w14:textId="77777777" w:rsidR="000D07EA" w:rsidRDefault="000D07EA">
      <w:pPr>
        <w:pStyle w:val="BodyText"/>
      </w:pPr>
    </w:p>
    <w:p w14:paraId="475BCF16" w14:textId="77777777" w:rsidR="000D07EA" w:rsidRDefault="00BE7C89">
      <w:pPr>
        <w:pStyle w:val="Heading7"/>
        <w:rPr>
          <w:b/>
          <w:lang w:val="en-AU"/>
        </w:rPr>
      </w:pPr>
      <w:r>
        <w:rPr>
          <w:b/>
        </w:rPr>
        <w:t>Equipment</w:t>
      </w:r>
    </w:p>
    <w:p w14:paraId="28245A42" w14:textId="77777777" w:rsidR="000D07EA" w:rsidRDefault="00BE7C89">
      <w:pPr>
        <w:pStyle w:val="Heading8"/>
      </w:pPr>
      <w:r>
        <w:t>The Business Complete Max iPhone BYO offer includes a credit of up to $10 a month for 24 months which can be used to offset the BMB modem charge.</w:t>
      </w:r>
    </w:p>
    <w:p w14:paraId="15A75299" w14:textId="77777777" w:rsidR="000D07EA" w:rsidRDefault="00BE7C89">
      <w:pPr>
        <w:pStyle w:val="Heading8"/>
      </w:pPr>
      <w:r>
        <w:t xml:space="preserve">If </w:t>
      </w:r>
      <w:r>
        <w:rPr>
          <w:i/>
        </w:rPr>
        <w:t>you</w:t>
      </w:r>
      <w:r>
        <w:t xml:space="preserve">r Business Mobile Broadband service is cancelled before the end of the 24 months period </w:t>
      </w:r>
      <w:r>
        <w:rPr>
          <w:i/>
        </w:rPr>
        <w:t>you</w:t>
      </w:r>
      <w:r>
        <w:t xml:space="preserve"> will have to pay any BMB modem charge amount, which is calculated by multiplying the per month figure listed in Table 5 by the number of months remaining in the 24 month period.</w:t>
      </w:r>
    </w:p>
    <w:p w14:paraId="4F186909" w14:textId="77777777" w:rsidR="000D07EA" w:rsidRDefault="00BE7C89">
      <w:pPr>
        <w:pStyle w:val="BodyText"/>
        <w:ind w:left="1440"/>
        <w:rPr>
          <w:b/>
        </w:rPr>
      </w:pPr>
      <w:r>
        <w:rPr>
          <w:b/>
        </w:rPr>
        <w:t>Table 5 – Business Mobile Broadband Hardware charge</w:t>
      </w:r>
    </w:p>
    <w:tbl>
      <w:tblPr>
        <w:tblW w:w="4300" w:type="pct"/>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0"/>
        <w:gridCol w:w="2920"/>
        <w:gridCol w:w="2922"/>
      </w:tblGrid>
      <w:tr w:rsidR="000D07EA" w14:paraId="24C5C7BA" w14:textId="77777777">
        <w:trPr>
          <w:trHeight w:val="165"/>
        </w:trPr>
        <w:tc>
          <w:tcPr>
            <w:tcW w:w="1666" w:type="pct"/>
            <w:hideMark/>
          </w:tcPr>
          <w:p w14:paraId="7682539C" w14:textId="77777777" w:rsidR="000D07EA" w:rsidRDefault="00BE7C89">
            <w:pPr>
              <w:pStyle w:val="BodyText"/>
              <w:spacing w:before="100" w:after="100"/>
              <w:jc w:val="center"/>
              <w:rPr>
                <w:b/>
                <w:sz w:val="24"/>
                <w:lang w:val="en-AU" w:eastAsia="ko-KR"/>
              </w:rPr>
            </w:pPr>
            <w:r>
              <w:rPr>
                <w:b/>
                <w:lang w:eastAsia="ko-KR"/>
              </w:rPr>
              <w:t>Device</w:t>
            </w:r>
          </w:p>
        </w:tc>
        <w:tc>
          <w:tcPr>
            <w:tcW w:w="1666" w:type="pct"/>
            <w:hideMark/>
          </w:tcPr>
          <w:p w14:paraId="00CE839C" w14:textId="77777777" w:rsidR="000D07EA" w:rsidRDefault="00BE7C89">
            <w:pPr>
              <w:pStyle w:val="BodyText"/>
              <w:spacing w:before="100" w:after="100"/>
              <w:jc w:val="center"/>
              <w:rPr>
                <w:b/>
                <w:sz w:val="24"/>
                <w:lang w:val="en-AU" w:eastAsia="ko-KR"/>
              </w:rPr>
            </w:pPr>
            <w:r>
              <w:rPr>
                <w:b/>
                <w:lang w:eastAsia="ko-KR"/>
              </w:rPr>
              <w:t>Upfront Cost</w:t>
            </w:r>
          </w:p>
        </w:tc>
        <w:tc>
          <w:tcPr>
            <w:tcW w:w="1667" w:type="pct"/>
            <w:hideMark/>
          </w:tcPr>
          <w:p w14:paraId="0D9B9592" w14:textId="77777777" w:rsidR="000D07EA" w:rsidRDefault="00BE7C89">
            <w:pPr>
              <w:pStyle w:val="BodyText"/>
              <w:spacing w:before="100" w:after="100"/>
              <w:jc w:val="center"/>
              <w:rPr>
                <w:b/>
                <w:sz w:val="24"/>
                <w:lang w:val="en-AU" w:eastAsia="ko-KR"/>
              </w:rPr>
            </w:pPr>
            <w:r>
              <w:rPr>
                <w:b/>
                <w:lang w:eastAsia="ko-KR"/>
              </w:rPr>
              <w:t>OMB Modem Charge (per month)</w:t>
            </w:r>
          </w:p>
        </w:tc>
      </w:tr>
      <w:tr w:rsidR="000D07EA" w14:paraId="0932B153" w14:textId="77777777">
        <w:trPr>
          <w:trHeight w:val="20"/>
        </w:trPr>
        <w:tc>
          <w:tcPr>
            <w:tcW w:w="1666" w:type="pct"/>
            <w:hideMark/>
          </w:tcPr>
          <w:p w14:paraId="528BE6B3" w14:textId="77777777" w:rsidR="000D07EA" w:rsidRDefault="00BE7C89">
            <w:pPr>
              <w:pStyle w:val="BodyText"/>
              <w:spacing w:before="100" w:after="100"/>
              <w:jc w:val="center"/>
              <w:rPr>
                <w:b/>
                <w:sz w:val="24"/>
                <w:lang w:val="en-AU" w:eastAsia="ko-KR"/>
              </w:rPr>
            </w:pPr>
            <w:r>
              <w:rPr>
                <w:b/>
                <w:lang w:eastAsia="ko-KR"/>
              </w:rPr>
              <w:t>Huawei E1762</w:t>
            </w:r>
          </w:p>
        </w:tc>
        <w:tc>
          <w:tcPr>
            <w:tcW w:w="1666" w:type="pct"/>
            <w:hideMark/>
          </w:tcPr>
          <w:p w14:paraId="5C1E4518" w14:textId="77777777" w:rsidR="000D07EA" w:rsidRDefault="00BE7C89">
            <w:pPr>
              <w:pStyle w:val="BodyText"/>
              <w:spacing w:before="100" w:after="100"/>
              <w:jc w:val="center"/>
              <w:rPr>
                <w:sz w:val="24"/>
                <w:lang w:val="en-AU" w:eastAsia="ko-KR"/>
              </w:rPr>
            </w:pPr>
            <w:r>
              <w:rPr>
                <w:lang w:eastAsia="ko-KR"/>
              </w:rPr>
              <w:t>$149</w:t>
            </w:r>
          </w:p>
        </w:tc>
        <w:tc>
          <w:tcPr>
            <w:tcW w:w="1667" w:type="pct"/>
            <w:hideMark/>
          </w:tcPr>
          <w:p w14:paraId="104D86A2" w14:textId="77777777" w:rsidR="000D07EA" w:rsidRDefault="00BE7C89">
            <w:pPr>
              <w:pStyle w:val="BodyText"/>
              <w:spacing w:before="100" w:after="100"/>
              <w:jc w:val="center"/>
              <w:rPr>
                <w:sz w:val="24"/>
                <w:lang w:val="en-AU" w:eastAsia="ko-KR"/>
              </w:rPr>
            </w:pPr>
            <w:r>
              <w:rPr>
                <w:lang w:eastAsia="ko-KR"/>
              </w:rPr>
              <w:t>$6.21</w:t>
            </w:r>
          </w:p>
        </w:tc>
      </w:tr>
    </w:tbl>
    <w:p w14:paraId="78C960AA" w14:textId="77777777" w:rsidR="000D07EA" w:rsidRDefault="000D07EA">
      <w:pPr>
        <w:pStyle w:val="BodyText"/>
      </w:pPr>
    </w:p>
    <w:p w14:paraId="608E5DB4" w14:textId="77777777" w:rsidR="000D07EA" w:rsidRDefault="00BE7C89">
      <w:pPr>
        <w:pStyle w:val="Heading7"/>
        <w:rPr>
          <w:b/>
          <w:lang w:val="en-AU"/>
        </w:rPr>
      </w:pPr>
      <w:r>
        <w:rPr>
          <w:b/>
        </w:rPr>
        <w:t>Eligible Calls, Messages and Pricing Plans</w:t>
      </w:r>
    </w:p>
    <w:p w14:paraId="50ADBDA6" w14:textId="77777777" w:rsidR="000D07EA" w:rsidRDefault="00BE7C89">
      <w:pPr>
        <w:pStyle w:val="BodyText"/>
        <w:ind w:left="1440"/>
      </w:pPr>
      <w:r>
        <w:t xml:space="preserve">Table 6 below indicates whether a particular data type is 'eligible data usage' which counts towards the data value of </w:t>
      </w:r>
      <w:r>
        <w:rPr>
          <w:i/>
        </w:rPr>
        <w:t xml:space="preserve">your </w:t>
      </w:r>
      <w:r>
        <w:t>$10 Business Complete Max BMB Plan.</w:t>
      </w:r>
    </w:p>
    <w:p w14:paraId="34515B6D" w14:textId="77777777" w:rsidR="000D07EA" w:rsidRDefault="00BE7C89">
      <w:pPr>
        <w:pStyle w:val="BodyText"/>
        <w:keepNext/>
        <w:ind w:left="1440"/>
        <w:rPr>
          <w:b/>
        </w:rPr>
      </w:pPr>
      <w:r>
        <w:rPr>
          <w:b/>
        </w:rPr>
        <w:t>Table 6 – Eligible Data</w:t>
      </w:r>
    </w:p>
    <w:tbl>
      <w:tblPr>
        <w:tblW w:w="4298"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379"/>
        <w:gridCol w:w="4379"/>
      </w:tblGrid>
      <w:tr w:rsidR="000D07EA" w14:paraId="1103CE71" w14:textId="77777777">
        <w:trPr>
          <w:trHeight w:val="20"/>
          <w:tblHeader/>
        </w:trPr>
        <w:tc>
          <w:tcPr>
            <w:tcW w:w="2500" w:type="pct"/>
            <w:hideMark/>
          </w:tcPr>
          <w:p w14:paraId="302D416F" w14:textId="77777777" w:rsidR="000D07EA" w:rsidRDefault="00BE7C89">
            <w:pPr>
              <w:pStyle w:val="BodyText"/>
              <w:spacing w:before="100" w:after="100"/>
              <w:rPr>
                <w:b/>
                <w:lang w:val="en-AU"/>
              </w:rPr>
            </w:pPr>
            <w:r>
              <w:rPr>
                <w:b/>
              </w:rPr>
              <w:t>Call Type</w:t>
            </w:r>
          </w:p>
        </w:tc>
        <w:tc>
          <w:tcPr>
            <w:tcW w:w="2500" w:type="pct"/>
            <w:hideMark/>
          </w:tcPr>
          <w:p w14:paraId="53341B2F" w14:textId="77777777" w:rsidR="000D07EA" w:rsidRDefault="00BE7C89">
            <w:pPr>
              <w:pStyle w:val="BodyText"/>
              <w:spacing w:before="100" w:after="100"/>
              <w:rPr>
                <w:b/>
                <w:lang w:val="en-AU"/>
              </w:rPr>
            </w:pPr>
            <w:r>
              <w:rPr>
                <w:b/>
              </w:rPr>
              <w:t xml:space="preserve">Eligible Data </w:t>
            </w:r>
          </w:p>
        </w:tc>
      </w:tr>
      <w:tr w:rsidR="000D07EA" w14:paraId="613376F3" w14:textId="77777777">
        <w:trPr>
          <w:trHeight w:val="20"/>
        </w:trPr>
        <w:tc>
          <w:tcPr>
            <w:tcW w:w="2500" w:type="pct"/>
            <w:hideMark/>
          </w:tcPr>
          <w:p w14:paraId="5A137BE6" w14:textId="77777777" w:rsidR="000D07EA" w:rsidRDefault="00BE7C89">
            <w:pPr>
              <w:pStyle w:val="BodyText"/>
              <w:spacing w:before="100" w:after="100"/>
              <w:rPr>
                <w:lang w:val="en-AU"/>
              </w:rPr>
            </w:pPr>
            <w:r>
              <w:t>Standard National Voice Calls</w:t>
            </w:r>
          </w:p>
        </w:tc>
        <w:tc>
          <w:tcPr>
            <w:tcW w:w="2500" w:type="pct"/>
            <w:hideMark/>
          </w:tcPr>
          <w:p w14:paraId="3884FEE5" w14:textId="77777777" w:rsidR="000D07EA" w:rsidRDefault="00BE7C89">
            <w:pPr>
              <w:pStyle w:val="BodyText"/>
              <w:spacing w:before="100" w:after="100"/>
              <w:rPr>
                <w:lang w:val="en-AU"/>
              </w:rPr>
            </w:pPr>
            <w:r>
              <w:t>No</w:t>
            </w:r>
          </w:p>
        </w:tc>
      </w:tr>
      <w:tr w:rsidR="000D07EA" w14:paraId="7AA170C6" w14:textId="77777777">
        <w:trPr>
          <w:trHeight w:val="20"/>
        </w:trPr>
        <w:tc>
          <w:tcPr>
            <w:tcW w:w="2500" w:type="pct"/>
            <w:hideMark/>
          </w:tcPr>
          <w:p w14:paraId="0E67275D" w14:textId="77777777" w:rsidR="000D07EA" w:rsidRDefault="00BE7C89">
            <w:pPr>
              <w:pStyle w:val="BodyText"/>
              <w:spacing w:before="100" w:after="100"/>
              <w:rPr>
                <w:lang w:val="en-AU"/>
              </w:rPr>
            </w:pPr>
            <w:r>
              <w:t>Standard National Video Calls</w:t>
            </w:r>
          </w:p>
        </w:tc>
        <w:tc>
          <w:tcPr>
            <w:tcW w:w="2500" w:type="pct"/>
            <w:hideMark/>
          </w:tcPr>
          <w:p w14:paraId="265DE185" w14:textId="77777777" w:rsidR="000D07EA" w:rsidRDefault="00BE7C89">
            <w:pPr>
              <w:pStyle w:val="BodyText"/>
              <w:spacing w:before="100" w:after="100"/>
              <w:rPr>
                <w:lang w:val="en-AU"/>
              </w:rPr>
            </w:pPr>
            <w:r>
              <w:t>No</w:t>
            </w:r>
          </w:p>
        </w:tc>
      </w:tr>
      <w:tr w:rsidR="000D07EA" w14:paraId="0A449DF9" w14:textId="77777777">
        <w:trPr>
          <w:trHeight w:val="20"/>
        </w:trPr>
        <w:tc>
          <w:tcPr>
            <w:tcW w:w="2500" w:type="pct"/>
            <w:hideMark/>
          </w:tcPr>
          <w:p w14:paraId="1E704462" w14:textId="77777777" w:rsidR="000D07EA" w:rsidRDefault="00BE7C89">
            <w:pPr>
              <w:pStyle w:val="BodyText"/>
              <w:spacing w:before="100" w:after="100"/>
              <w:rPr>
                <w:lang w:val="en-AU"/>
              </w:rPr>
            </w:pPr>
            <w:r>
              <w:lastRenderedPageBreak/>
              <w:t>Standard International Voice Calls</w:t>
            </w:r>
          </w:p>
        </w:tc>
        <w:tc>
          <w:tcPr>
            <w:tcW w:w="2500" w:type="pct"/>
            <w:hideMark/>
          </w:tcPr>
          <w:p w14:paraId="53FC1F2B" w14:textId="77777777" w:rsidR="000D07EA" w:rsidRDefault="00BE7C89">
            <w:pPr>
              <w:pStyle w:val="BodyText"/>
              <w:spacing w:before="100" w:after="100"/>
              <w:rPr>
                <w:lang w:val="en-AU"/>
              </w:rPr>
            </w:pPr>
            <w:r>
              <w:t xml:space="preserve">No </w:t>
            </w:r>
          </w:p>
        </w:tc>
      </w:tr>
      <w:tr w:rsidR="000D07EA" w14:paraId="36C70DE1" w14:textId="77777777">
        <w:trPr>
          <w:trHeight w:val="20"/>
        </w:trPr>
        <w:tc>
          <w:tcPr>
            <w:tcW w:w="2500" w:type="pct"/>
            <w:hideMark/>
          </w:tcPr>
          <w:p w14:paraId="056D1BC6" w14:textId="77777777" w:rsidR="000D07EA" w:rsidRDefault="00BE7C89">
            <w:pPr>
              <w:pStyle w:val="BodyText"/>
              <w:spacing w:before="100" w:after="100"/>
              <w:rPr>
                <w:lang w:val="en-AU"/>
              </w:rPr>
            </w:pPr>
            <w:r>
              <w:t>Standard International Video Calls</w:t>
            </w:r>
          </w:p>
        </w:tc>
        <w:tc>
          <w:tcPr>
            <w:tcW w:w="2500" w:type="pct"/>
            <w:hideMark/>
          </w:tcPr>
          <w:p w14:paraId="45CF24E4" w14:textId="77777777" w:rsidR="000D07EA" w:rsidRDefault="00BE7C89">
            <w:pPr>
              <w:pStyle w:val="BodyText"/>
              <w:spacing w:before="100" w:after="100"/>
              <w:rPr>
                <w:lang w:val="en-AU"/>
              </w:rPr>
            </w:pPr>
            <w:r>
              <w:t>No</w:t>
            </w:r>
          </w:p>
        </w:tc>
      </w:tr>
      <w:tr w:rsidR="000D07EA" w14:paraId="715A31BD" w14:textId="77777777">
        <w:trPr>
          <w:trHeight w:val="20"/>
        </w:trPr>
        <w:tc>
          <w:tcPr>
            <w:tcW w:w="2500" w:type="pct"/>
            <w:hideMark/>
          </w:tcPr>
          <w:p w14:paraId="0D6C3C6B" w14:textId="77777777" w:rsidR="000D07EA" w:rsidRDefault="00BE7C89">
            <w:pPr>
              <w:pStyle w:val="BodyText"/>
              <w:spacing w:before="100" w:after="100"/>
              <w:rPr>
                <w:lang w:val="en-AU"/>
              </w:rPr>
            </w:pPr>
            <w:r>
              <w:t>Standard National SMS</w:t>
            </w:r>
          </w:p>
        </w:tc>
        <w:tc>
          <w:tcPr>
            <w:tcW w:w="2500" w:type="pct"/>
            <w:hideMark/>
          </w:tcPr>
          <w:p w14:paraId="0C5699E2" w14:textId="77777777" w:rsidR="000D07EA" w:rsidRDefault="00BE7C89">
            <w:pPr>
              <w:pStyle w:val="BodyText"/>
              <w:spacing w:before="100" w:after="100"/>
              <w:rPr>
                <w:lang w:val="en-AU"/>
              </w:rPr>
            </w:pPr>
            <w:r>
              <w:t>No</w:t>
            </w:r>
          </w:p>
        </w:tc>
      </w:tr>
      <w:tr w:rsidR="000D07EA" w14:paraId="227D2A93" w14:textId="77777777">
        <w:trPr>
          <w:trHeight w:val="20"/>
        </w:trPr>
        <w:tc>
          <w:tcPr>
            <w:tcW w:w="2500" w:type="pct"/>
            <w:hideMark/>
          </w:tcPr>
          <w:p w14:paraId="2C331A2B" w14:textId="77777777" w:rsidR="000D07EA" w:rsidRDefault="00BE7C89">
            <w:pPr>
              <w:pStyle w:val="BodyText"/>
              <w:spacing w:before="100" w:after="100"/>
              <w:rPr>
                <w:lang w:val="en-AU"/>
              </w:rPr>
            </w:pPr>
            <w:r>
              <w:t>Standard International SMS</w:t>
            </w:r>
          </w:p>
        </w:tc>
        <w:tc>
          <w:tcPr>
            <w:tcW w:w="2500" w:type="pct"/>
            <w:hideMark/>
          </w:tcPr>
          <w:p w14:paraId="3F7FBCDC" w14:textId="77777777" w:rsidR="000D07EA" w:rsidRDefault="00BE7C89">
            <w:pPr>
              <w:pStyle w:val="BodyText"/>
              <w:spacing w:before="100" w:after="100"/>
              <w:rPr>
                <w:lang w:val="en-AU"/>
              </w:rPr>
            </w:pPr>
            <w:r>
              <w:t>No</w:t>
            </w:r>
          </w:p>
        </w:tc>
      </w:tr>
      <w:tr w:rsidR="000D07EA" w14:paraId="2191BB15" w14:textId="77777777">
        <w:trPr>
          <w:trHeight w:val="20"/>
        </w:trPr>
        <w:tc>
          <w:tcPr>
            <w:tcW w:w="2500" w:type="pct"/>
            <w:hideMark/>
          </w:tcPr>
          <w:p w14:paraId="36D71D66" w14:textId="77777777" w:rsidR="000D07EA" w:rsidRDefault="00BE7C89">
            <w:pPr>
              <w:pStyle w:val="BodyText"/>
              <w:spacing w:before="100" w:after="100"/>
              <w:rPr>
                <w:lang w:val="en-AU"/>
              </w:rPr>
            </w:pPr>
            <w:r>
              <w:t>Standard National MMS</w:t>
            </w:r>
          </w:p>
        </w:tc>
        <w:tc>
          <w:tcPr>
            <w:tcW w:w="2500" w:type="pct"/>
            <w:hideMark/>
          </w:tcPr>
          <w:p w14:paraId="758F9D48" w14:textId="77777777" w:rsidR="000D07EA" w:rsidRDefault="00BE7C89">
            <w:pPr>
              <w:pStyle w:val="BodyText"/>
              <w:spacing w:before="100" w:after="100"/>
              <w:rPr>
                <w:lang w:val="en-AU"/>
              </w:rPr>
            </w:pPr>
            <w:r>
              <w:t>No</w:t>
            </w:r>
          </w:p>
        </w:tc>
      </w:tr>
      <w:tr w:rsidR="000D07EA" w14:paraId="31AB24BE" w14:textId="77777777">
        <w:trPr>
          <w:trHeight w:val="20"/>
        </w:trPr>
        <w:tc>
          <w:tcPr>
            <w:tcW w:w="2500" w:type="pct"/>
            <w:hideMark/>
          </w:tcPr>
          <w:p w14:paraId="6EC2EC11" w14:textId="77777777" w:rsidR="000D07EA" w:rsidRDefault="00BE7C89">
            <w:pPr>
              <w:pStyle w:val="BodyText"/>
              <w:spacing w:before="100" w:after="100"/>
              <w:rPr>
                <w:lang w:val="en-AU"/>
              </w:rPr>
            </w:pPr>
            <w:r>
              <w:t>Standard International \MMS</w:t>
            </w:r>
          </w:p>
        </w:tc>
        <w:tc>
          <w:tcPr>
            <w:tcW w:w="2500" w:type="pct"/>
            <w:hideMark/>
          </w:tcPr>
          <w:p w14:paraId="46E74767" w14:textId="77777777" w:rsidR="000D07EA" w:rsidRDefault="00BE7C89">
            <w:pPr>
              <w:pStyle w:val="BodyText"/>
              <w:spacing w:before="100" w:after="100"/>
              <w:rPr>
                <w:lang w:val="en-AU"/>
              </w:rPr>
            </w:pPr>
            <w:r>
              <w:t>No</w:t>
            </w:r>
          </w:p>
        </w:tc>
      </w:tr>
      <w:tr w:rsidR="000D07EA" w14:paraId="16531D80" w14:textId="77777777">
        <w:trPr>
          <w:trHeight w:val="20"/>
        </w:trPr>
        <w:tc>
          <w:tcPr>
            <w:tcW w:w="2500" w:type="pct"/>
            <w:hideMark/>
          </w:tcPr>
          <w:p w14:paraId="0DAD5D33" w14:textId="77777777" w:rsidR="000D07EA" w:rsidRDefault="00BE7C89">
            <w:pPr>
              <w:pStyle w:val="BodyText"/>
              <w:spacing w:before="100" w:after="100"/>
              <w:rPr>
                <w:lang w:val="en-AU"/>
              </w:rPr>
            </w:pPr>
            <w:r>
              <w:t>Voicemail Diversions</w:t>
            </w:r>
          </w:p>
        </w:tc>
        <w:tc>
          <w:tcPr>
            <w:tcW w:w="2500" w:type="pct"/>
            <w:hideMark/>
          </w:tcPr>
          <w:p w14:paraId="4EDD2EA4" w14:textId="77777777" w:rsidR="000D07EA" w:rsidRDefault="00BE7C89">
            <w:pPr>
              <w:pStyle w:val="BodyText"/>
              <w:spacing w:before="100" w:after="100"/>
              <w:rPr>
                <w:lang w:val="en-AU"/>
              </w:rPr>
            </w:pPr>
            <w:r>
              <w:t>No</w:t>
            </w:r>
          </w:p>
        </w:tc>
      </w:tr>
      <w:tr w:rsidR="000D07EA" w14:paraId="6A1CC4AB" w14:textId="77777777">
        <w:trPr>
          <w:trHeight w:val="20"/>
        </w:trPr>
        <w:tc>
          <w:tcPr>
            <w:tcW w:w="2500" w:type="pct"/>
            <w:hideMark/>
          </w:tcPr>
          <w:p w14:paraId="0D9F7BC3" w14:textId="77777777" w:rsidR="000D07EA" w:rsidRDefault="00BE7C89">
            <w:pPr>
              <w:pStyle w:val="BodyText"/>
              <w:spacing w:before="100" w:after="100"/>
              <w:rPr>
                <w:lang w:val="en-AU"/>
              </w:rPr>
            </w:pPr>
            <w:r>
              <w:t>Voicemail Deposit and Retrievals</w:t>
            </w:r>
          </w:p>
        </w:tc>
        <w:tc>
          <w:tcPr>
            <w:tcW w:w="2500" w:type="pct"/>
            <w:hideMark/>
          </w:tcPr>
          <w:p w14:paraId="3A5BAD86" w14:textId="77777777" w:rsidR="000D07EA" w:rsidRDefault="00BE7C89">
            <w:pPr>
              <w:pStyle w:val="BodyText"/>
              <w:spacing w:before="100" w:after="100"/>
              <w:rPr>
                <w:lang w:val="en-AU"/>
              </w:rPr>
            </w:pPr>
            <w:r>
              <w:t>No</w:t>
            </w:r>
          </w:p>
        </w:tc>
      </w:tr>
      <w:tr w:rsidR="000D07EA" w14:paraId="15E82192" w14:textId="77777777">
        <w:trPr>
          <w:trHeight w:val="20"/>
        </w:trPr>
        <w:tc>
          <w:tcPr>
            <w:tcW w:w="2500" w:type="pct"/>
            <w:hideMark/>
          </w:tcPr>
          <w:p w14:paraId="6CB1CFE6" w14:textId="77777777" w:rsidR="000D07EA" w:rsidRDefault="00BE7C89">
            <w:pPr>
              <w:pStyle w:val="BodyText"/>
              <w:spacing w:before="100" w:after="100"/>
              <w:rPr>
                <w:lang w:val="en-AU"/>
              </w:rPr>
            </w:pPr>
            <w:r>
              <w:t>International Roaming and Diversion</w:t>
            </w:r>
          </w:p>
        </w:tc>
        <w:tc>
          <w:tcPr>
            <w:tcW w:w="2500" w:type="pct"/>
            <w:hideMark/>
          </w:tcPr>
          <w:p w14:paraId="7C81AD73" w14:textId="77777777" w:rsidR="000D07EA" w:rsidRDefault="00BE7C89">
            <w:pPr>
              <w:pStyle w:val="BodyText"/>
              <w:spacing w:before="100" w:after="100"/>
              <w:rPr>
                <w:lang w:val="en-AU"/>
              </w:rPr>
            </w:pPr>
            <w:r>
              <w:t>No</w:t>
            </w:r>
          </w:p>
        </w:tc>
      </w:tr>
      <w:tr w:rsidR="000D07EA" w14:paraId="3B55C875" w14:textId="77777777">
        <w:trPr>
          <w:trHeight w:val="20"/>
        </w:trPr>
        <w:tc>
          <w:tcPr>
            <w:tcW w:w="2500" w:type="pct"/>
            <w:hideMark/>
          </w:tcPr>
          <w:p w14:paraId="055C9D35" w14:textId="77777777" w:rsidR="000D07EA" w:rsidRDefault="00BE7C89">
            <w:pPr>
              <w:pStyle w:val="BodyText"/>
              <w:spacing w:before="100" w:after="100"/>
              <w:rPr>
                <w:lang w:val="en-AU"/>
              </w:rPr>
            </w:pPr>
            <w:r>
              <w:t>Premium SMS</w:t>
            </w:r>
          </w:p>
        </w:tc>
        <w:tc>
          <w:tcPr>
            <w:tcW w:w="2500" w:type="pct"/>
            <w:hideMark/>
          </w:tcPr>
          <w:p w14:paraId="4D07B273" w14:textId="77777777" w:rsidR="000D07EA" w:rsidRDefault="00BE7C89">
            <w:pPr>
              <w:pStyle w:val="BodyText"/>
              <w:spacing w:before="100" w:after="100"/>
              <w:rPr>
                <w:lang w:val="en-AU"/>
              </w:rPr>
            </w:pPr>
            <w:r>
              <w:t>No</w:t>
            </w:r>
          </w:p>
        </w:tc>
      </w:tr>
      <w:tr w:rsidR="000D07EA" w14:paraId="58F4619C" w14:textId="77777777">
        <w:trPr>
          <w:trHeight w:val="20"/>
        </w:trPr>
        <w:tc>
          <w:tcPr>
            <w:tcW w:w="2500" w:type="pct"/>
            <w:hideMark/>
          </w:tcPr>
          <w:p w14:paraId="64F812CF" w14:textId="77777777" w:rsidR="000D07EA" w:rsidRDefault="00BE7C89">
            <w:pPr>
              <w:pStyle w:val="BodyText"/>
              <w:spacing w:before="100" w:after="100"/>
              <w:rPr>
                <w:lang w:val="en-AU"/>
              </w:rPr>
            </w:pPr>
            <w:r>
              <w:t>Premium Video</w:t>
            </w:r>
          </w:p>
        </w:tc>
        <w:tc>
          <w:tcPr>
            <w:tcW w:w="2500" w:type="pct"/>
            <w:hideMark/>
          </w:tcPr>
          <w:p w14:paraId="1BF67507" w14:textId="77777777" w:rsidR="000D07EA" w:rsidRDefault="00BE7C89">
            <w:pPr>
              <w:pStyle w:val="BodyText"/>
              <w:spacing w:before="100" w:after="100"/>
              <w:rPr>
                <w:lang w:val="en-AU"/>
              </w:rPr>
            </w:pPr>
            <w:r>
              <w:t>No</w:t>
            </w:r>
          </w:p>
        </w:tc>
      </w:tr>
      <w:tr w:rsidR="000D07EA" w14:paraId="5389B0E6" w14:textId="77777777">
        <w:trPr>
          <w:trHeight w:val="20"/>
        </w:trPr>
        <w:tc>
          <w:tcPr>
            <w:tcW w:w="2500" w:type="pct"/>
            <w:hideMark/>
          </w:tcPr>
          <w:p w14:paraId="3251963C" w14:textId="77777777" w:rsidR="000D07EA" w:rsidRDefault="00BE7C89">
            <w:pPr>
              <w:pStyle w:val="BodyText"/>
              <w:spacing w:before="100" w:after="100"/>
              <w:rPr>
                <w:lang w:val="en-AU"/>
              </w:rPr>
            </w:pPr>
            <w:r>
              <w:t>Video Conferencing</w:t>
            </w:r>
          </w:p>
        </w:tc>
        <w:tc>
          <w:tcPr>
            <w:tcW w:w="2500" w:type="pct"/>
            <w:hideMark/>
          </w:tcPr>
          <w:p w14:paraId="7EFD393C" w14:textId="77777777" w:rsidR="000D07EA" w:rsidRDefault="00BE7C89">
            <w:pPr>
              <w:pStyle w:val="BodyText"/>
              <w:spacing w:before="100" w:after="100"/>
              <w:rPr>
                <w:lang w:val="en-AU"/>
              </w:rPr>
            </w:pPr>
            <w:r>
              <w:t>No</w:t>
            </w:r>
          </w:p>
        </w:tc>
      </w:tr>
      <w:tr w:rsidR="000D07EA" w14:paraId="26A35ED1" w14:textId="77777777">
        <w:trPr>
          <w:trHeight w:val="20"/>
        </w:trPr>
        <w:tc>
          <w:tcPr>
            <w:tcW w:w="2500" w:type="pct"/>
            <w:hideMark/>
          </w:tcPr>
          <w:p w14:paraId="64545C5E" w14:textId="77777777" w:rsidR="000D07EA" w:rsidRDefault="00BE7C89">
            <w:pPr>
              <w:pStyle w:val="BodyText"/>
              <w:spacing w:before="100" w:after="100"/>
              <w:rPr>
                <w:lang w:val="en-AU"/>
              </w:rPr>
            </w:pPr>
            <w:r>
              <w:t>Optus iZoo Browsing</w:t>
            </w:r>
          </w:p>
        </w:tc>
        <w:tc>
          <w:tcPr>
            <w:tcW w:w="2500" w:type="pct"/>
            <w:hideMark/>
          </w:tcPr>
          <w:p w14:paraId="136862CF" w14:textId="77777777" w:rsidR="000D07EA" w:rsidRDefault="00BE7C89">
            <w:pPr>
              <w:pStyle w:val="BodyText"/>
              <w:spacing w:before="100" w:after="100"/>
              <w:rPr>
                <w:lang w:val="en-AU"/>
              </w:rPr>
            </w:pPr>
            <w:r>
              <w:t>Yes</w:t>
            </w:r>
          </w:p>
        </w:tc>
      </w:tr>
      <w:tr w:rsidR="000D07EA" w14:paraId="06D6C1D5" w14:textId="77777777">
        <w:trPr>
          <w:trHeight w:val="20"/>
        </w:trPr>
        <w:tc>
          <w:tcPr>
            <w:tcW w:w="2500" w:type="pct"/>
            <w:hideMark/>
          </w:tcPr>
          <w:p w14:paraId="64793391" w14:textId="77777777" w:rsidR="000D07EA" w:rsidRDefault="00BE7C89">
            <w:pPr>
              <w:pStyle w:val="BodyText"/>
              <w:spacing w:before="100" w:after="100"/>
              <w:rPr>
                <w:lang w:val="en-AU"/>
              </w:rPr>
            </w:pPr>
            <w:r>
              <w:t>Optus iZoo Downloads</w:t>
            </w:r>
          </w:p>
        </w:tc>
        <w:tc>
          <w:tcPr>
            <w:tcW w:w="2500" w:type="pct"/>
            <w:hideMark/>
          </w:tcPr>
          <w:p w14:paraId="18BC31FF" w14:textId="77777777" w:rsidR="000D07EA" w:rsidRDefault="00BE7C89">
            <w:pPr>
              <w:pStyle w:val="BodyText"/>
              <w:spacing w:before="100" w:after="100"/>
              <w:rPr>
                <w:lang w:val="en-AU"/>
              </w:rPr>
            </w:pPr>
            <w:r>
              <w:t>No</w:t>
            </w:r>
          </w:p>
        </w:tc>
      </w:tr>
      <w:tr w:rsidR="000D07EA" w14:paraId="57F54429" w14:textId="77777777">
        <w:trPr>
          <w:trHeight w:val="20"/>
        </w:trPr>
        <w:tc>
          <w:tcPr>
            <w:tcW w:w="2500" w:type="pct"/>
            <w:hideMark/>
          </w:tcPr>
          <w:p w14:paraId="77D6B2B6" w14:textId="77777777" w:rsidR="000D07EA" w:rsidRDefault="00BE7C89">
            <w:pPr>
              <w:pStyle w:val="BodyText"/>
              <w:spacing w:before="100" w:after="100"/>
              <w:rPr>
                <w:lang w:val="en-AU"/>
              </w:rPr>
            </w:pPr>
            <w:r>
              <w:t>966 Zoo</w:t>
            </w:r>
          </w:p>
        </w:tc>
        <w:tc>
          <w:tcPr>
            <w:tcW w:w="2500" w:type="pct"/>
            <w:hideMark/>
          </w:tcPr>
          <w:p w14:paraId="0292E203" w14:textId="77777777" w:rsidR="000D07EA" w:rsidRDefault="00BE7C89">
            <w:pPr>
              <w:pStyle w:val="BodyText"/>
              <w:spacing w:before="100" w:after="100"/>
              <w:rPr>
                <w:lang w:val="en-AU"/>
              </w:rPr>
            </w:pPr>
            <w:r>
              <w:t>No</w:t>
            </w:r>
          </w:p>
        </w:tc>
      </w:tr>
      <w:tr w:rsidR="000D07EA" w14:paraId="4DAD4876" w14:textId="77777777">
        <w:trPr>
          <w:trHeight w:val="20"/>
        </w:trPr>
        <w:tc>
          <w:tcPr>
            <w:tcW w:w="2500" w:type="pct"/>
            <w:hideMark/>
          </w:tcPr>
          <w:p w14:paraId="7744C624" w14:textId="77777777" w:rsidR="000D07EA" w:rsidRDefault="00BE7C89">
            <w:pPr>
              <w:pStyle w:val="BodyText"/>
              <w:spacing w:before="100" w:after="100"/>
              <w:rPr>
                <w:lang w:val="en-AU"/>
              </w:rPr>
            </w:pPr>
            <w:r>
              <w:t>Mobile Internet Data usage</w:t>
            </w:r>
          </w:p>
        </w:tc>
        <w:tc>
          <w:tcPr>
            <w:tcW w:w="2500" w:type="pct"/>
            <w:hideMark/>
          </w:tcPr>
          <w:p w14:paraId="24723D7A" w14:textId="77777777" w:rsidR="000D07EA" w:rsidRDefault="00BE7C89">
            <w:pPr>
              <w:pStyle w:val="BodyText"/>
              <w:spacing w:before="100" w:after="100"/>
              <w:rPr>
                <w:lang w:val="en-AU"/>
              </w:rPr>
            </w:pPr>
            <w:r>
              <w:t>Yes</w:t>
            </w:r>
          </w:p>
        </w:tc>
      </w:tr>
      <w:tr w:rsidR="000D07EA" w14:paraId="2557741A" w14:textId="77777777">
        <w:trPr>
          <w:trHeight w:val="20"/>
        </w:trPr>
        <w:tc>
          <w:tcPr>
            <w:tcW w:w="2500" w:type="pct"/>
            <w:hideMark/>
          </w:tcPr>
          <w:p w14:paraId="0BC1BA3A" w14:textId="77777777" w:rsidR="000D07EA" w:rsidRDefault="00BE7C89">
            <w:pPr>
              <w:pStyle w:val="BodyText"/>
              <w:spacing w:before="100" w:after="100"/>
              <w:rPr>
                <w:lang w:val="en-AU"/>
              </w:rPr>
            </w:pPr>
            <w:r>
              <w:t>Data Used while Roaming Internationally</w:t>
            </w:r>
          </w:p>
        </w:tc>
        <w:tc>
          <w:tcPr>
            <w:tcW w:w="2500" w:type="pct"/>
            <w:hideMark/>
          </w:tcPr>
          <w:p w14:paraId="2211F101" w14:textId="77777777" w:rsidR="000D07EA" w:rsidRDefault="00BE7C89">
            <w:pPr>
              <w:pStyle w:val="BodyText"/>
              <w:spacing w:before="100" w:after="100"/>
              <w:rPr>
                <w:lang w:val="en-AU"/>
              </w:rPr>
            </w:pPr>
            <w:r>
              <w:t>No</w:t>
            </w:r>
          </w:p>
        </w:tc>
      </w:tr>
      <w:tr w:rsidR="000D07EA" w14:paraId="7832A9B0" w14:textId="77777777">
        <w:trPr>
          <w:trHeight w:val="20"/>
        </w:trPr>
        <w:tc>
          <w:tcPr>
            <w:tcW w:w="2500" w:type="pct"/>
            <w:hideMark/>
          </w:tcPr>
          <w:p w14:paraId="270DE0E3" w14:textId="77777777" w:rsidR="000D07EA" w:rsidRDefault="00BE7C89">
            <w:pPr>
              <w:pStyle w:val="BodyText"/>
              <w:spacing w:before="100" w:after="100"/>
              <w:rPr>
                <w:lang w:val="en-AU"/>
              </w:rPr>
            </w:pPr>
            <w:r>
              <w:t>Content Packs (unless specified in promotions)</w:t>
            </w:r>
          </w:p>
        </w:tc>
        <w:tc>
          <w:tcPr>
            <w:tcW w:w="2500" w:type="pct"/>
            <w:hideMark/>
          </w:tcPr>
          <w:p w14:paraId="5A793D54" w14:textId="77777777" w:rsidR="000D07EA" w:rsidRDefault="00BE7C89">
            <w:pPr>
              <w:pStyle w:val="BodyText"/>
              <w:spacing w:before="100" w:after="100"/>
              <w:rPr>
                <w:lang w:val="en-AU"/>
              </w:rPr>
            </w:pPr>
            <w:r>
              <w:t>No</w:t>
            </w:r>
          </w:p>
        </w:tc>
      </w:tr>
      <w:tr w:rsidR="000D07EA" w14:paraId="2FF69E95" w14:textId="77777777">
        <w:trPr>
          <w:trHeight w:val="20"/>
        </w:trPr>
        <w:tc>
          <w:tcPr>
            <w:tcW w:w="2500" w:type="pct"/>
            <w:hideMark/>
          </w:tcPr>
          <w:p w14:paraId="4AA4AD89" w14:textId="77777777" w:rsidR="000D07EA" w:rsidRDefault="00BE7C89">
            <w:pPr>
              <w:pStyle w:val="BodyText"/>
              <w:spacing w:before="100" w:after="100"/>
              <w:rPr>
                <w:lang w:val="en-AU"/>
              </w:rPr>
            </w:pPr>
            <w:r>
              <w:t>Mobile Instant Messaging – IM</w:t>
            </w:r>
          </w:p>
        </w:tc>
        <w:tc>
          <w:tcPr>
            <w:tcW w:w="2500" w:type="pct"/>
            <w:hideMark/>
          </w:tcPr>
          <w:p w14:paraId="2AA2507D" w14:textId="77777777" w:rsidR="000D07EA" w:rsidRDefault="00BE7C89">
            <w:pPr>
              <w:pStyle w:val="BodyText"/>
              <w:spacing w:before="100" w:after="100"/>
              <w:rPr>
                <w:lang w:val="en-AU"/>
              </w:rPr>
            </w:pPr>
            <w:r>
              <w:t>No</w:t>
            </w:r>
          </w:p>
        </w:tc>
      </w:tr>
      <w:tr w:rsidR="000D07EA" w14:paraId="055093CF" w14:textId="77777777">
        <w:trPr>
          <w:trHeight w:val="20"/>
        </w:trPr>
        <w:tc>
          <w:tcPr>
            <w:tcW w:w="2500" w:type="pct"/>
            <w:hideMark/>
          </w:tcPr>
          <w:p w14:paraId="232E856F" w14:textId="77777777" w:rsidR="000D07EA" w:rsidRDefault="00BE7C89">
            <w:pPr>
              <w:pStyle w:val="BodyText"/>
              <w:spacing w:before="100" w:after="100"/>
              <w:rPr>
                <w:lang w:val="en-AU"/>
              </w:rPr>
            </w:pPr>
            <w:r>
              <w:t>TrueLocal Usage</w:t>
            </w:r>
          </w:p>
        </w:tc>
        <w:tc>
          <w:tcPr>
            <w:tcW w:w="2500" w:type="pct"/>
            <w:hideMark/>
          </w:tcPr>
          <w:p w14:paraId="4AC1BBDB" w14:textId="77777777" w:rsidR="000D07EA" w:rsidRDefault="00BE7C89">
            <w:pPr>
              <w:pStyle w:val="BodyText"/>
              <w:spacing w:before="100" w:after="100"/>
              <w:rPr>
                <w:lang w:val="en-AU"/>
              </w:rPr>
            </w:pPr>
            <w:r>
              <w:t>No</w:t>
            </w:r>
          </w:p>
        </w:tc>
      </w:tr>
      <w:tr w:rsidR="000D07EA" w14:paraId="51365DD3" w14:textId="77777777">
        <w:trPr>
          <w:trHeight w:val="20"/>
        </w:trPr>
        <w:tc>
          <w:tcPr>
            <w:tcW w:w="2500" w:type="pct"/>
            <w:hideMark/>
          </w:tcPr>
          <w:p w14:paraId="7F43181B" w14:textId="77777777" w:rsidR="000D07EA" w:rsidRDefault="00BE7C89">
            <w:pPr>
              <w:pStyle w:val="BodyText"/>
              <w:spacing w:before="100" w:after="100"/>
              <w:rPr>
                <w:lang w:val="en-AU"/>
              </w:rPr>
            </w:pPr>
            <w:r>
              <w:t xml:space="preserve">Directory Assistance- 1223 </w:t>
            </w:r>
          </w:p>
        </w:tc>
        <w:tc>
          <w:tcPr>
            <w:tcW w:w="2500" w:type="pct"/>
            <w:hideMark/>
          </w:tcPr>
          <w:p w14:paraId="4C00AE95" w14:textId="77777777" w:rsidR="000D07EA" w:rsidRDefault="00BE7C89">
            <w:pPr>
              <w:pStyle w:val="BodyText"/>
              <w:spacing w:before="100" w:after="100"/>
              <w:rPr>
                <w:lang w:val="en-AU"/>
              </w:rPr>
            </w:pPr>
            <w:r>
              <w:t>No</w:t>
            </w:r>
          </w:p>
        </w:tc>
      </w:tr>
      <w:tr w:rsidR="000D07EA" w14:paraId="614D3ED1" w14:textId="77777777">
        <w:trPr>
          <w:trHeight w:val="20"/>
        </w:trPr>
        <w:tc>
          <w:tcPr>
            <w:tcW w:w="2500" w:type="pct"/>
            <w:hideMark/>
          </w:tcPr>
          <w:p w14:paraId="2DBA3D5F" w14:textId="77777777" w:rsidR="000D07EA" w:rsidRDefault="00BE7C89">
            <w:pPr>
              <w:pStyle w:val="BodyText"/>
              <w:spacing w:before="100" w:after="100"/>
              <w:rPr>
                <w:lang w:val="en-AU"/>
              </w:rPr>
            </w:pPr>
            <w:r>
              <w:t>19XX Numbers</w:t>
            </w:r>
          </w:p>
        </w:tc>
        <w:tc>
          <w:tcPr>
            <w:tcW w:w="2500" w:type="pct"/>
            <w:hideMark/>
          </w:tcPr>
          <w:p w14:paraId="5CD1378F" w14:textId="77777777" w:rsidR="000D07EA" w:rsidRDefault="00BE7C89">
            <w:pPr>
              <w:pStyle w:val="BodyText"/>
              <w:spacing w:before="100" w:after="100"/>
              <w:rPr>
                <w:lang w:val="en-AU"/>
              </w:rPr>
            </w:pPr>
            <w:r>
              <w:t>No</w:t>
            </w:r>
          </w:p>
        </w:tc>
      </w:tr>
      <w:tr w:rsidR="000D07EA" w14:paraId="6E8EBECC" w14:textId="77777777">
        <w:trPr>
          <w:trHeight w:val="20"/>
        </w:trPr>
        <w:tc>
          <w:tcPr>
            <w:tcW w:w="2500" w:type="pct"/>
            <w:hideMark/>
          </w:tcPr>
          <w:p w14:paraId="6B6FB7E8" w14:textId="77777777" w:rsidR="000D07EA" w:rsidRDefault="00BE7C89">
            <w:pPr>
              <w:pStyle w:val="BodyText"/>
              <w:spacing w:before="100" w:after="100"/>
              <w:rPr>
                <w:lang w:val="en-AU"/>
              </w:rPr>
            </w:pPr>
            <w:r>
              <w:t>1800, 13 and 1300 numbers</w:t>
            </w:r>
          </w:p>
        </w:tc>
        <w:tc>
          <w:tcPr>
            <w:tcW w:w="2500" w:type="pct"/>
            <w:hideMark/>
          </w:tcPr>
          <w:p w14:paraId="37EF3345" w14:textId="77777777" w:rsidR="000D07EA" w:rsidRDefault="00BE7C89">
            <w:pPr>
              <w:pStyle w:val="BodyText"/>
              <w:spacing w:before="100" w:after="100"/>
              <w:rPr>
                <w:lang w:val="en-AU"/>
              </w:rPr>
            </w:pPr>
            <w:r>
              <w:t>No</w:t>
            </w:r>
          </w:p>
        </w:tc>
      </w:tr>
      <w:tr w:rsidR="000D07EA" w14:paraId="224EA59B" w14:textId="77777777">
        <w:trPr>
          <w:trHeight w:val="20"/>
        </w:trPr>
        <w:tc>
          <w:tcPr>
            <w:tcW w:w="2500" w:type="pct"/>
            <w:hideMark/>
          </w:tcPr>
          <w:p w14:paraId="753A850D" w14:textId="77777777" w:rsidR="000D07EA" w:rsidRDefault="00BE7C89">
            <w:pPr>
              <w:pStyle w:val="BodyText"/>
              <w:spacing w:before="100" w:after="100"/>
              <w:rPr>
                <w:lang w:val="en-AU"/>
              </w:rPr>
            </w:pPr>
            <w:r>
              <w:t>124YES(937)</w:t>
            </w:r>
          </w:p>
        </w:tc>
        <w:tc>
          <w:tcPr>
            <w:tcW w:w="2500" w:type="pct"/>
            <w:hideMark/>
          </w:tcPr>
          <w:p w14:paraId="610F481F" w14:textId="77777777" w:rsidR="000D07EA" w:rsidRDefault="00BE7C89">
            <w:pPr>
              <w:pStyle w:val="BodyText"/>
              <w:spacing w:before="100" w:after="100"/>
              <w:rPr>
                <w:lang w:val="en-AU"/>
              </w:rPr>
            </w:pPr>
            <w:r>
              <w:t>No</w:t>
            </w:r>
          </w:p>
        </w:tc>
      </w:tr>
      <w:tr w:rsidR="000D07EA" w14:paraId="24BA8B0E" w14:textId="77777777">
        <w:trPr>
          <w:trHeight w:val="20"/>
        </w:trPr>
        <w:tc>
          <w:tcPr>
            <w:tcW w:w="2500" w:type="pct"/>
            <w:hideMark/>
          </w:tcPr>
          <w:p w14:paraId="3E33E4B4" w14:textId="77777777" w:rsidR="000D07EA" w:rsidRDefault="00BE7C89">
            <w:pPr>
              <w:pStyle w:val="BodyText"/>
              <w:spacing w:before="100" w:after="100"/>
              <w:rPr>
                <w:lang w:val="en-AU"/>
              </w:rPr>
            </w:pPr>
            <w:r>
              <w:t>Insurance</w:t>
            </w:r>
          </w:p>
        </w:tc>
        <w:tc>
          <w:tcPr>
            <w:tcW w:w="2500" w:type="pct"/>
            <w:hideMark/>
          </w:tcPr>
          <w:p w14:paraId="67D9AC79" w14:textId="77777777" w:rsidR="000D07EA" w:rsidRDefault="00BE7C89">
            <w:pPr>
              <w:pStyle w:val="BodyText"/>
              <w:spacing w:before="100" w:after="100"/>
              <w:rPr>
                <w:lang w:val="en-AU"/>
              </w:rPr>
            </w:pPr>
            <w:r>
              <w:t>No</w:t>
            </w:r>
          </w:p>
        </w:tc>
      </w:tr>
      <w:tr w:rsidR="000D07EA" w14:paraId="582976B2" w14:textId="77777777">
        <w:trPr>
          <w:trHeight w:val="20"/>
        </w:trPr>
        <w:tc>
          <w:tcPr>
            <w:tcW w:w="2500" w:type="pct"/>
            <w:hideMark/>
          </w:tcPr>
          <w:p w14:paraId="23755D8C" w14:textId="77777777" w:rsidR="000D07EA" w:rsidRDefault="00BE7C89">
            <w:pPr>
              <w:pStyle w:val="BodyText"/>
              <w:spacing w:before="100" w:after="100"/>
              <w:rPr>
                <w:lang w:val="en-AU"/>
              </w:rPr>
            </w:pPr>
            <w:r>
              <w:t>Handset Payments</w:t>
            </w:r>
          </w:p>
        </w:tc>
        <w:tc>
          <w:tcPr>
            <w:tcW w:w="2500" w:type="pct"/>
            <w:hideMark/>
          </w:tcPr>
          <w:p w14:paraId="689285F2" w14:textId="77777777" w:rsidR="000D07EA" w:rsidRDefault="00BE7C89">
            <w:pPr>
              <w:pStyle w:val="BodyText"/>
              <w:spacing w:before="100" w:after="100"/>
              <w:rPr>
                <w:lang w:val="en-AU"/>
              </w:rPr>
            </w:pPr>
            <w:r>
              <w:t>No</w:t>
            </w:r>
          </w:p>
        </w:tc>
      </w:tr>
      <w:tr w:rsidR="000D07EA" w14:paraId="202F62DD" w14:textId="77777777">
        <w:trPr>
          <w:trHeight w:val="20"/>
        </w:trPr>
        <w:tc>
          <w:tcPr>
            <w:tcW w:w="2500" w:type="pct"/>
            <w:hideMark/>
          </w:tcPr>
          <w:p w14:paraId="49BB6614" w14:textId="77777777" w:rsidR="000D07EA" w:rsidRDefault="00BE7C89">
            <w:pPr>
              <w:pStyle w:val="BodyText"/>
              <w:spacing w:before="100" w:after="100"/>
              <w:rPr>
                <w:lang w:val="en-AU"/>
              </w:rPr>
            </w:pPr>
            <w:r>
              <w:t>Calls to MobileSat</w:t>
            </w:r>
          </w:p>
        </w:tc>
        <w:tc>
          <w:tcPr>
            <w:tcW w:w="2500" w:type="pct"/>
            <w:hideMark/>
          </w:tcPr>
          <w:p w14:paraId="3547D7D2" w14:textId="77777777" w:rsidR="000D07EA" w:rsidRDefault="00BE7C89">
            <w:pPr>
              <w:pStyle w:val="BodyText"/>
              <w:spacing w:before="100" w:after="100"/>
              <w:rPr>
                <w:lang w:val="en-AU"/>
              </w:rPr>
            </w:pPr>
            <w:r>
              <w:t>No</w:t>
            </w:r>
          </w:p>
        </w:tc>
      </w:tr>
      <w:tr w:rsidR="000D07EA" w14:paraId="3EB83977" w14:textId="77777777">
        <w:trPr>
          <w:trHeight w:val="20"/>
        </w:trPr>
        <w:tc>
          <w:tcPr>
            <w:tcW w:w="2500" w:type="pct"/>
            <w:hideMark/>
          </w:tcPr>
          <w:p w14:paraId="54F08E60" w14:textId="77777777" w:rsidR="000D07EA" w:rsidRDefault="00BE7C89">
            <w:pPr>
              <w:pStyle w:val="BodyText"/>
              <w:spacing w:before="100" w:after="100"/>
              <w:rPr>
                <w:lang w:val="en-AU"/>
              </w:rPr>
            </w:pPr>
            <w:r>
              <w:t>VOIP services</w:t>
            </w:r>
          </w:p>
        </w:tc>
        <w:tc>
          <w:tcPr>
            <w:tcW w:w="2500" w:type="pct"/>
            <w:hideMark/>
          </w:tcPr>
          <w:p w14:paraId="2B92EDC4" w14:textId="77777777" w:rsidR="000D07EA" w:rsidRDefault="00BE7C89">
            <w:pPr>
              <w:pStyle w:val="BodyText"/>
              <w:spacing w:before="100" w:after="100"/>
              <w:rPr>
                <w:lang w:val="en-AU"/>
              </w:rPr>
            </w:pPr>
            <w:r>
              <w:t>No</w:t>
            </w:r>
          </w:p>
        </w:tc>
      </w:tr>
      <w:tr w:rsidR="000D07EA" w14:paraId="7929AB4E" w14:textId="77777777">
        <w:trPr>
          <w:trHeight w:val="20"/>
        </w:trPr>
        <w:tc>
          <w:tcPr>
            <w:tcW w:w="2500" w:type="pct"/>
            <w:hideMark/>
          </w:tcPr>
          <w:p w14:paraId="3C816C16" w14:textId="77777777" w:rsidR="000D07EA" w:rsidRDefault="00BE7C89">
            <w:pPr>
              <w:pStyle w:val="BodyText"/>
              <w:spacing w:before="100" w:after="100"/>
              <w:rPr>
                <w:lang w:val="en-AU"/>
              </w:rPr>
            </w:pPr>
            <w:r>
              <w:t>BlackBerry</w:t>
            </w:r>
          </w:p>
        </w:tc>
        <w:tc>
          <w:tcPr>
            <w:tcW w:w="2500" w:type="pct"/>
            <w:hideMark/>
          </w:tcPr>
          <w:p w14:paraId="4C1C6A5F" w14:textId="77777777" w:rsidR="000D07EA" w:rsidRDefault="00BE7C89">
            <w:pPr>
              <w:pStyle w:val="BodyText"/>
              <w:spacing w:before="100" w:after="100"/>
              <w:rPr>
                <w:lang w:val="en-AU"/>
              </w:rPr>
            </w:pPr>
            <w:r>
              <w:t>No</w:t>
            </w:r>
          </w:p>
        </w:tc>
      </w:tr>
    </w:tbl>
    <w:p w14:paraId="4E9DC5A6" w14:textId="77777777" w:rsidR="000D07EA" w:rsidRDefault="000D07EA">
      <w:pPr>
        <w:pStyle w:val="BodyText"/>
      </w:pPr>
    </w:p>
    <w:p w14:paraId="15B443F4" w14:textId="77777777" w:rsidR="000D07EA" w:rsidRDefault="00BE7C89">
      <w:pPr>
        <w:pStyle w:val="Heading7"/>
        <w:numPr>
          <w:ilvl w:val="0"/>
          <w:numId w:val="0"/>
        </w:numPr>
        <w:ind w:left="1440"/>
        <w:rPr>
          <w:lang w:val="en-AU"/>
        </w:rPr>
      </w:pPr>
      <w:r>
        <w:rPr>
          <w:b/>
        </w:rPr>
        <w:lastRenderedPageBreak/>
        <w:t>Table 7</w:t>
      </w:r>
      <w:r>
        <w:t xml:space="preserve"> – Charges for the $10 Business Complete Max BMB</w:t>
      </w:r>
    </w:p>
    <w:tbl>
      <w:tblPr>
        <w:tblW w:w="4300" w:type="pct"/>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1"/>
        <w:gridCol w:w="4381"/>
      </w:tblGrid>
      <w:tr w:rsidR="000D07EA" w14:paraId="0C4887DC" w14:textId="77777777">
        <w:trPr>
          <w:trHeight w:val="20"/>
        </w:trPr>
        <w:tc>
          <w:tcPr>
            <w:tcW w:w="2500" w:type="pct"/>
          </w:tcPr>
          <w:p w14:paraId="3F9FA887" w14:textId="77777777" w:rsidR="000D07EA" w:rsidRDefault="000D07EA">
            <w:pPr>
              <w:pStyle w:val="BodyText"/>
              <w:spacing w:before="100" w:after="100"/>
              <w:jc w:val="center"/>
              <w:rPr>
                <w:lang w:val="en-AU" w:eastAsia="ko-KR"/>
              </w:rPr>
            </w:pPr>
          </w:p>
        </w:tc>
        <w:tc>
          <w:tcPr>
            <w:tcW w:w="2500" w:type="pct"/>
            <w:hideMark/>
          </w:tcPr>
          <w:p w14:paraId="6B11286B" w14:textId="77777777" w:rsidR="000D07EA" w:rsidRDefault="00BE7C89">
            <w:pPr>
              <w:pStyle w:val="BodyText"/>
              <w:spacing w:before="100" w:after="100"/>
              <w:jc w:val="center"/>
              <w:rPr>
                <w:b/>
                <w:lang w:val="en-AU" w:eastAsia="ko-KR"/>
              </w:rPr>
            </w:pPr>
            <w:r>
              <w:rPr>
                <w:b/>
                <w:color w:val="000000"/>
              </w:rPr>
              <w:t>$10 Business Complete Max BMB plan</w:t>
            </w:r>
          </w:p>
        </w:tc>
      </w:tr>
      <w:tr w:rsidR="000D07EA" w14:paraId="25ED6008" w14:textId="77777777">
        <w:trPr>
          <w:trHeight w:val="20"/>
        </w:trPr>
        <w:tc>
          <w:tcPr>
            <w:tcW w:w="2500" w:type="pct"/>
            <w:hideMark/>
          </w:tcPr>
          <w:p w14:paraId="5590C77B" w14:textId="77777777" w:rsidR="000D07EA" w:rsidRDefault="00BE7C89">
            <w:pPr>
              <w:pStyle w:val="BodyText"/>
              <w:spacing w:before="100" w:after="100"/>
              <w:jc w:val="center"/>
              <w:rPr>
                <w:b/>
                <w:lang w:val="en-AU" w:eastAsia="ko-KR"/>
              </w:rPr>
            </w:pPr>
            <w:r>
              <w:rPr>
                <w:b/>
                <w:lang w:eastAsia="ko-KR"/>
              </w:rPr>
              <w:t>Minimum Monthly charge</w:t>
            </w:r>
          </w:p>
        </w:tc>
        <w:tc>
          <w:tcPr>
            <w:tcW w:w="2500" w:type="pct"/>
            <w:hideMark/>
          </w:tcPr>
          <w:p w14:paraId="2E419B3E" w14:textId="77777777" w:rsidR="000D07EA" w:rsidRDefault="00BE7C89">
            <w:pPr>
              <w:pStyle w:val="BodyText"/>
              <w:spacing w:before="100" w:after="100"/>
              <w:jc w:val="center"/>
              <w:rPr>
                <w:lang w:val="en-AU" w:eastAsia="ko-KR"/>
              </w:rPr>
            </w:pPr>
            <w:r>
              <w:rPr>
                <w:lang w:eastAsia="ko-KR"/>
              </w:rPr>
              <w:t>$10</w:t>
            </w:r>
          </w:p>
        </w:tc>
      </w:tr>
      <w:tr w:rsidR="000D07EA" w14:paraId="34AF501B" w14:textId="77777777">
        <w:trPr>
          <w:trHeight w:val="20"/>
        </w:trPr>
        <w:tc>
          <w:tcPr>
            <w:tcW w:w="2500" w:type="pct"/>
            <w:hideMark/>
          </w:tcPr>
          <w:p w14:paraId="1E89E9D3" w14:textId="77777777" w:rsidR="000D07EA" w:rsidRDefault="00BE7C89">
            <w:pPr>
              <w:pStyle w:val="BodyText"/>
              <w:spacing w:before="100" w:after="100"/>
              <w:jc w:val="center"/>
              <w:rPr>
                <w:b/>
                <w:lang w:val="en-AU" w:eastAsia="ko-KR"/>
              </w:rPr>
            </w:pPr>
            <w:r>
              <w:rPr>
                <w:b/>
                <w:lang w:eastAsia="ko-KR"/>
              </w:rPr>
              <w:t>Included Data</w:t>
            </w:r>
          </w:p>
        </w:tc>
        <w:tc>
          <w:tcPr>
            <w:tcW w:w="2500" w:type="pct"/>
            <w:hideMark/>
          </w:tcPr>
          <w:p w14:paraId="2BDC121B" w14:textId="77777777" w:rsidR="000D07EA" w:rsidRDefault="00BE7C89">
            <w:pPr>
              <w:pStyle w:val="BodyText"/>
              <w:spacing w:before="100" w:after="100"/>
              <w:jc w:val="center"/>
              <w:rPr>
                <w:lang w:val="en-AU" w:eastAsia="ko-KR"/>
              </w:rPr>
            </w:pPr>
            <w:r>
              <w:rPr>
                <w:lang w:eastAsia="ko-KR"/>
              </w:rPr>
              <w:t>500MB</w:t>
            </w:r>
          </w:p>
        </w:tc>
      </w:tr>
      <w:tr w:rsidR="000D07EA" w14:paraId="4E26347A" w14:textId="77777777">
        <w:trPr>
          <w:trHeight w:val="20"/>
        </w:trPr>
        <w:tc>
          <w:tcPr>
            <w:tcW w:w="2500" w:type="pct"/>
            <w:hideMark/>
          </w:tcPr>
          <w:p w14:paraId="44A0DB6C" w14:textId="77777777" w:rsidR="000D07EA" w:rsidRDefault="00BE7C89">
            <w:pPr>
              <w:pStyle w:val="BodyText"/>
              <w:spacing w:before="100" w:after="100"/>
              <w:jc w:val="center"/>
              <w:rPr>
                <w:b/>
                <w:lang w:val="en-AU" w:eastAsia="ko-KR"/>
              </w:rPr>
            </w:pPr>
            <w:r>
              <w:rPr>
                <w:b/>
                <w:lang w:eastAsia="ko-KR"/>
              </w:rPr>
              <w:t>Date Excess Charges</w:t>
            </w:r>
          </w:p>
        </w:tc>
        <w:tc>
          <w:tcPr>
            <w:tcW w:w="2500" w:type="pct"/>
            <w:hideMark/>
          </w:tcPr>
          <w:p w14:paraId="6A0EA03D" w14:textId="77777777" w:rsidR="000D07EA" w:rsidRDefault="00BE7C89">
            <w:pPr>
              <w:pStyle w:val="BodyText"/>
              <w:spacing w:before="100" w:after="100"/>
              <w:jc w:val="center"/>
              <w:rPr>
                <w:lang w:val="en-AU" w:eastAsia="ko-KR"/>
              </w:rPr>
            </w:pPr>
            <w:r>
              <w:rPr>
                <w:lang w:eastAsia="ko-KR"/>
              </w:rPr>
              <w:t>10c per MB or part thereof</w:t>
            </w:r>
          </w:p>
        </w:tc>
      </w:tr>
      <w:tr w:rsidR="000D07EA" w14:paraId="3BC9CE6E" w14:textId="77777777">
        <w:trPr>
          <w:trHeight w:val="201"/>
        </w:trPr>
        <w:tc>
          <w:tcPr>
            <w:tcW w:w="2500" w:type="pct"/>
            <w:hideMark/>
          </w:tcPr>
          <w:p w14:paraId="2AB810E0" w14:textId="77777777" w:rsidR="000D07EA" w:rsidRDefault="00BE7C89">
            <w:pPr>
              <w:pStyle w:val="BodyText"/>
              <w:spacing w:before="100" w:after="100"/>
              <w:jc w:val="center"/>
              <w:rPr>
                <w:b/>
                <w:lang w:val="en-AU" w:eastAsia="ko-KR"/>
              </w:rPr>
            </w:pPr>
            <w:r>
              <w:rPr>
                <w:b/>
                <w:lang w:eastAsia="ko-KR"/>
              </w:rPr>
              <w:t>Data Shares with Mobile Digital Optus Service Plan</w:t>
            </w:r>
          </w:p>
        </w:tc>
        <w:tc>
          <w:tcPr>
            <w:tcW w:w="2500" w:type="pct"/>
            <w:hideMark/>
          </w:tcPr>
          <w:p w14:paraId="726C3212" w14:textId="77777777" w:rsidR="000D07EA" w:rsidRDefault="00BE7C89">
            <w:pPr>
              <w:pStyle w:val="BodyText"/>
              <w:spacing w:before="100" w:after="100"/>
              <w:jc w:val="center"/>
              <w:rPr>
                <w:lang w:val="en-AU" w:eastAsia="ko-KR"/>
              </w:rPr>
            </w:pPr>
            <w:r>
              <w:rPr>
                <w:lang w:eastAsia="ko-KR"/>
              </w:rPr>
              <w:t>Yes</w:t>
            </w:r>
          </w:p>
        </w:tc>
      </w:tr>
      <w:tr w:rsidR="000D07EA" w14:paraId="183D2496" w14:textId="77777777">
        <w:trPr>
          <w:trHeight w:val="20"/>
        </w:trPr>
        <w:tc>
          <w:tcPr>
            <w:tcW w:w="2500" w:type="pct"/>
            <w:hideMark/>
          </w:tcPr>
          <w:p w14:paraId="48012F65" w14:textId="77777777" w:rsidR="000D07EA" w:rsidRDefault="00BE7C89">
            <w:pPr>
              <w:pStyle w:val="BodyText"/>
              <w:spacing w:before="100" w:after="100"/>
              <w:jc w:val="center"/>
              <w:rPr>
                <w:b/>
                <w:lang w:val="en-AU" w:eastAsia="ko-KR"/>
              </w:rPr>
            </w:pPr>
            <w:r>
              <w:rPr>
                <w:b/>
                <w:lang w:eastAsia="ko-KR"/>
              </w:rPr>
              <w:t>Equipment Credit</w:t>
            </w:r>
          </w:p>
        </w:tc>
        <w:tc>
          <w:tcPr>
            <w:tcW w:w="2500" w:type="pct"/>
            <w:hideMark/>
          </w:tcPr>
          <w:p w14:paraId="708422EF" w14:textId="77777777" w:rsidR="000D07EA" w:rsidRDefault="00BE7C89">
            <w:pPr>
              <w:pStyle w:val="BodyText"/>
              <w:spacing w:before="100" w:after="100"/>
              <w:jc w:val="center"/>
              <w:rPr>
                <w:lang w:val="en-AU" w:eastAsia="ko-KR"/>
              </w:rPr>
            </w:pPr>
            <w:r>
              <w:rPr>
                <w:lang w:eastAsia="ko-KR"/>
              </w:rPr>
              <w:t>Up to $10 per month for 24 months</w:t>
            </w:r>
          </w:p>
        </w:tc>
      </w:tr>
    </w:tbl>
    <w:p w14:paraId="7CB14869" w14:textId="77777777" w:rsidR="000D07EA" w:rsidRDefault="000D07EA">
      <w:pPr>
        <w:pStyle w:val="BodyText"/>
      </w:pPr>
    </w:p>
    <w:p w14:paraId="3833CDA5" w14:textId="77777777" w:rsidR="000D07EA" w:rsidRDefault="00BE7C89">
      <w:pPr>
        <w:pStyle w:val="Heading4"/>
      </w:pPr>
      <w:bookmarkStart w:id="466" w:name="_Toc274136341"/>
      <w:bookmarkStart w:id="467" w:name="_Toc397941164"/>
      <w:bookmarkStart w:id="468" w:name="_Toc455147612"/>
      <w:bookmarkStart w:id="469" w:name="_Toc62644634"/>
      <w:r>
        <w:t>Business Complete Ultimate plans (incorporating $49 business Complete Ultimate, $59 Business Complete Ultimate and $79 Business Complete Ultimate) effective from 16 October 2010 and $49 Business Complete Ulitmate (Premium h/set), $59 Business Complete Ultimate (premium h/set) and $79 Business Complete Ultimate (premium h/set0 effective from 12 December 2010.</w:t>
      </w:r>
      <w:bookmarkEnd w:id="466"/>
      <w:bookmarkEnd w:id="467"/>
      <w:bookmarkEnd w:id="468"/>
      <w:bookmarkEnd w:id="469"/>
    </w:p>
    <w:p w14:paraId="36650331" w14:textId="77777777" w:rsidR="000D07EA" w:rsidRDefault="00BE7C89">
      <w:pPr>
        <w:pStyle w:val="Heading6"/>
        <w:ind w:left="0" w:firstLine="0"/>
      </w:pPr>
      <w:bookmarkStart w:id="470" w:name="_Toc274136342"/>
      <w:bookmarkStart w:id="471" w:name="_Toc397941165"/>
      <w:r>
        <w:t>What are the Business Complete Ultimate Offers?</w:t>
      </w:r>
      <w:bookmarkEnd w:id="470"/>
      <w:bookmarkEnd w:id="471"/>
    </w:p>
    <w:p w14:paraId="5C3836E1" w14:textId="77777777" w:rsidR="000D07EA" w:rsidRDefault="00BE7C89">
      <w:pPr>
        <w:pStyle w:val="Heading7"/>
      </w:pPr>
      <w:r>
        <w:t>The Business Complete Ultimate offers incorporate one of the following mobile plans:</w:t>
      </w:r>
    </w:p>
    <w:p w14:paraId="739E4BE6" w14:textId="77777777" w:rsidR="000D07EA" w:rsidRDefault="00BE7C89">
      <w:pPr>
        <w:pStyle w:val="Heading8"/>
      </w:pPr>
      <w:r>
        <w:t>The Business Complete Ultimate plan; and may also incorporate the following Business Mobile Broadband plan:</w:t>
      </w:r>
    </w:p>
    <w:p w14:paraId="1AD2A18E" w14:textId="77777777" w:rsidR="000D07EA" w:rsidRDefault="00BE7C89">
      <w:pPr>
        <w:pStyle w:val="Heading9"/>
      </w:pPr>
      <w:r>
        <w:t>The $15 Business Advantage BMB Business Mobile Broadband plan.</w:t>
      </w:r>
    </w:p>
    <w:p w14:paraId="1D8C86C0" w14:textId="77777777" w:rsidR="000D07EA" w:rsidRDefault="00BE7C89">
      <w:pPr>
        <w:pStyle w:val="Heading9"/>
      </w:pPr>
      <w:r>
        <w:t>The $10 Business Advantage BMB Business Mobile Broadband plan.</w:t>
      </w:r>
    </w:p>
    <w:p w14:paraId="331A3623" w14:textId="77777777" w:rsidR="000D07EA" w:rsidRDefault="00BE7C89">
      <w:pPr>
        <w:pStyle w:val="BodyText"/>
        <w:ind w:left="1440"/>
      </w:pPr>
      <w:r>
        <w:t xml:space="preserve">and are a special offer under the </w:t>
      </w:r>
      <w:hyperlink r:id="rId309" w:history="1">
        <w:r>
          <w:rPr>
            <w:rStyle w:val="Hyperlink"/>
            <w:i/>
          </w:rPr>
          <w:t>SMB terms</w:t>
        </w:r>
      </w:hyperlink>
      <w:r>
        <w:t xml:space="preserve"> and relevant service descriptions.</w:t>
      </w:r>
    </w:p>
    <w:p w14:paraId="0F9BB402" w14:textId="77777777" w:rsidR="000D07EA" w:rsidRDefault="00BE7C89">
      <w:pPr>
        <w:pStyle w:val="Heading7"/>
        <w:rPr>
          <w:lang w:val="en-AU"/>
        </w:rPr>
      </w:pPr>
      <w:r>
        <w:rPr>
          <w:lang w:val="en-AU"/>
        </w:rPr>
        <w:t xml:space="preserve">To be eligible to connect a Business Mobile Broadband service </w:t>
      </w:r>
      <w:r>
        <w:rPr>
          <w:i/>
          <w:lang w:val="en-AU"/>
        </w:rPr>
        <w:t>you</w:t>
      </w:r>
      <w:r>
        <w:rPr>
          <w:lang w:val="en-AU"/>
        </w:rPr>
        <w:t xml:space="preserve"> must have an </w:t>
      </w:r>
      <w:r>
        <w:rPr>
          <w:i/>
          <w:lang w:val="en-AU"/>
        </w:rPr>
        <w:t>Optus Mobile Service</w:t>
      </w:r>
      <w:r>
        <w:rPr>
          <w:lang w:val="en-AU"/>
        </w:rPr>
        <w:t xml:space="preserve"> on a Business Complete Ultimate plan. </w:t>
      </w:r>
    </w:p>
    <w:p w14:paraId="63557BA7" w14:textId="77777777" w:rsidR="000D07EA" w:rsidRDefault="00BE7C89">
      <w:pPr>
        <w:pStyle w:val="Heading7"/>
        <w:rPr>
          <w:lang w:val="en-AU"/>
        </w:rPr>
      </w:pPr>
      <w:r>
        <w:rPr>
          <w:lang w:val="en-AU"/>
        </w:rPr>
        <w:t xml:space="preserve">The Optus Business Complete Ultimate Offers are governed by the terms in this </w:t>
      </w:r>
      <w:r>
        <w:rPr>
          <w:i/>
          <w:lang w:val="en-AU"/>
        </w:rPr>
        <w:t xml:space="preserve">appendix </w:t>
      </w:r>
      <w:r>
        <w:rPr>
          <w:lang w:val="en-AU"/>
        </w:rPr>
        <w:t xml:space="preserve">and, to the extent that the terms are not inconsistent with the terms set out in this </w:t>
      </w:r>
      <w:r>
        <w:rPr>
          <w:i/>
          <w:lang w:val="en-AU"/>
        </w:rPr>
        <w:t>appendix</w:t>
      </w:r>
      <w:r>
        <w:rPr>
          <w:lang w:val="en-AU"/>
        </w:rPr>
        <w:t>,</w:t>
      </w:r>
      <w:r>
        <w:rPr>
          <w:i/>
          <w:lang w:val="en-AU"/>
        </w:rPr>
        <w:t xml:space="preserve"> </w:t>
      </w:r>
      <w:r>
        <w:rPr>
          <w:lang w:val="en-AU"/>
        </w:rPr>
        <w:t xml:space="preserve">by the terms of the </w:t>
      </w:r>
      <w:hyperlink r:id="rId310" w:history="1">
        <w:r>
          <w:rPr>
            <w:rStyle w:val="Hyperlink"/>
            <w:i/>
          </w:rPr>
          <w:t>SMB terms</w:t>
        </w:r>
      </w:hyperlink>
      <w:r>
        <w:rPr>
          <w:lang w:val="en-AU"/>
        </w:rPr>
        <w:t xml:space="preserve">, and each relevant </w:t>
      </w:r>
      <w:r>
        <w:rPr>
          <w:i/>
          <w:lang w:val="en-AU"/>
        </w:rPr>
        <w:t xml:space="preserve">service description </w:t>
      </w:r>
      <w:r>
        <w:rPr>
          <w:lang w:val="en-AU"/>
        </w:rPr>
        <w:t xml:space="preserve">and </w:t>
      </w:r>
      <w:r>
        <w:rPr>
          <w:i/>
          <w:lang w:val="en-AU"/>
        </w:rPr>
        <w:t>standard pricing table</w:t>
      </w:r>
      <w:r>
        <w:rPr>
          <w:lang w:val="en-AU"/>
        </w:rPr>
        <w:t xml:space="preserve">. </w:t>
      </w:r>
    </w:p>
    <w:p w14:paraId="6175A815" w14:textId="77777777" w:rsidR="000D07EA" w:rsidRDefault="00BE7C89">
      <w:pPr>
        <w:pStyle w:val="Heading7"/>
        <w:rPr>
          <w:lang w:val="en-AU"/>
        </w:rPr>
      </w:pPr>
      <w:r>
        <w:rPr>
          <w:lang w:val="en-AU"/>
        </w:rPr>
        <w:t xml:space="preserve">To be eligible for the Optus Business Complete Ultimate Offer </w:t>
      </w:r>
      <w:r>
        <w:rPr>
          <w:i/>
          <w:lang w:val="en-AU"/>
        </w:rPr>
        <w:t xml:space="preserve">you </w:t>
      </w:r>
      <w:r>
        <w:rPr>
          <w:lang w:val="en-AU"/>
        </w:rPr>
        <w:t xml:space="preserve">must have at least 1 Optus Mobile Digital Service. </w:t>
      </w:r>
    </w:p>
    <w:p w14:paraId="79BE157A" w14:textId="77777777" w:rsidR="000D07EA" w:rsidRDefault="00BE7C89">
      <w:pPr>
        <w:pStyle w:val="Heading7"/>
        <w:rPr>
          <w:lang w:val="en-AU"/>
        </w:rPr>
      </w:pPr>
      <w:r>
        <w:rPr>
          <w:lang w:val="en-AU"/>
        </w:rPr>
        <w:t xml:space="preserve">A (Premium H/set) plan indicates a rate plan where a high value handset is available. The (Premium H/set) plan and standard Business Complete Ultimate plans are identical except for the cancellation fees listed in </w:t>
      </w:r>
      <w:r w:rsidRPr="00272628">
        <w:rPr>
          <w:lang w:val="en-AU"/>
        </w:rPr>
        <w:t xml:space="preserve">paragraph </w:t>
      </w:r>
      <w:r w:rsidR="00E2048F" w:rsidRPr="00272628">
        <w:rPr>
          <w:lang w:val="en-AU"/>
        </w:rPr>
        <w:t>93</w:t>
      </w:r>
      <w:r w:rsidRPr="00272628">
        <w:rPr>
          <w:lang w:val="en-AU"/>
        </w:rPr>
        <w:t>.8.</w:t>
      </w:r>
    </w:p>
    <w:p w14:paraId="0C4AE016" w14:textId="77777777" w:rsidR="000D07EA" w:rsidRDefault="00BE7C89">
      <w:pPr>
        <w:pStyle w:val="Heading7"/>
      </w:pPr>
      <w:r>
        <w:rPr>
          <w:lang w:val="en-AU" w:eastAsia="en-AU"/>
        </w:rPr>
        <w:t>For the following information where the term "Business Complete Ultimate" is used it also refers to the (Premium H/set) plans.</w:t>
      </w:r>
    </w:p>
    <w:p w14:paraId="2F835BB9" w14:textId="77777777" w:rsidR="000D07EA" w:rsidRDefault="00BE7C89">
      <w:pPr>
        <w:pStyle w:val="Heading6"/>
        <w:rPr>
          <w:lang w:val="en-AU"/>
        </w:rPr>
      </w:pPr>
      <w:bookmarkStart w:id="472" w:name="_Toc274136343"/>
      <w:bookmarkStart w:id="473" w:name="_Toc397941166"/>
      <w:r>
        <w:rPr>
          <w:lang w:val="en-AU"/>
        </w:rPr>
        <w:t>What does the Optus Business Complete Ultimate Offer allow you to do?</w:t>
      </w:r>
      <w:bookmarkEnd w:id="472"/>
      <w:bookmarkEnd w:id="473"/>
    </w:p>
    <w:p w14:paraId="5D6296BB" w14:textId="77777777" w:rsidR="000D07EA" w:rsidRDefault="00BE7C89">
      <w:pPr>
        <w:pStyle w:val="Heading7"/>
        <w:rPr>
          <w:lang w:val="en-AU"/>
        </w:rPr>
      </w:pPr>
      <w:r>
        <w:rPr>
          <w:lang w:val="en-AU"/>
        </w:rPr>
        <w:t xml:space="preserve">The Business Complete Ultimate Offer allows </w:t>
      </w:r>
      <w:r>
        <w:rPr>
          <w:i/>
          <w:lang w:val="en-AU"/>
        </w:rPr>
        <w:t>you</w:t>
      </w:r>
      <w:r>
        <w:rPr>
          <w:lang w:val="en-AU"/>
        </w:rPr>
        <w:t xml:space="preserve"> to use </w:t>
      </w:r>
      <w:r>
        <w:rPr>
          <w:i/>
          <w:lang w:val="en-AU"/>
        </w:rPr>
        <w:t>your</w:t>
      </w:r>
      <w:r>
        <w:rPr>
          <w:lang w:val="en-AU"/>
        </w:rPr>
        <w:t xml:space="preserve"> Optus Mobile Digital Service and a Business Mobile Broadband service where:</w:t>
      </w:r>
    </w:p>
    <w:p w14:paraId="2A3D6B90" w14:textId="77777777" w:rsidR="000D07EA" w:rsidRDefault="00BE7C89">
      <w:pPr>
        <w:pStyle w:val="Heading8"/>
        <w:rPr>
          <w:lang w:val="en-AU"/>
        </w:rPr>
      </w:pPr>
      <w:r>
        <w:rPr>
          <w:lang w:val="en-AU"/>
        </w:rPr>
        <w:lastRenderedPageBreak/>
        <w:t>The included Data Value can be shared across Optus Mobile Digital Service(s) and Business Mobile Broadband Services(s) that are on the Business Complete Ultimate plan.</w:t>
      </w:r>
    </w:p>
    <w:p w14:paraId="11542ECF" w14:textId="77777777" w:rsidR="000D07EA" w:rsidRDefault="00BE7C89">
      <w:pPr>
        <w:pStyle w:val="Heading8"/>
        <w:rPr>
          <w:lang w:val="en-AU"/>
        </w:rPr>
      </w:pPr>
      <w:r>
        <w:rPr>
          <w:b/>
          <w:snapToGrid w:val="0"/>
          <w:lang w:val="en-AU"/>
        </w:rPr>
        <w:t>Unlimited mobile access to Facebook</w:t>
      </w:r>
      <w:r>
        <w:rPr>
          <w:b/>
          <w:snapToGrid w:val="0"/>
          <w:vertAlign w:val="superscript"/>
          <w:lang w:val="en-AU"/>
        </w:rPr>
        <w:t>®</w:t>
      </w:r>
      <w:r>
        <w:rPr>
          <w:b/>
          <w:snapToGrid w:val="0"/>
          <w:lang w:val="en-AU"/>
        </w:rPr>
        <w:t>, Twitter, LinkedIn, Ebay, FourSquare and MySpace, within Australia.</w:t>
      </w:r>
      <w:r>
        <w:rPr>
          <w:snapToGrid w:val="0"/>
          <w:lang w:val="en-AU"/>
        </w:rPr>
        <w:t xml:space="preserve"> Offers cannot be shared and may be accessed on the mobile handset only. </w:t>
      </w:r>
    </w:p>
    <w:p w14:paraId="65947737" w14:textId="77777777" w:rsidR="000D07EA" w:rsidRDefault="00BE7C89">
      <w:pPr>
        <w:pStyle w:val="Heading7"/>
        <w:rPr>
          <w:lang w:val="en-AU"/>
        </w:rPr>
      </w:pPr>
      <w:r>
        <w:rPr>
          <w:i/>
          <w:lang w:val="en-AU"/>
        </w:rPr>
        <w:t xml:space="preserve">You </w:t>
      </w:r>
      <w:r>
        <w:rPr>
          <w:lang w:val="en-AU"/>
        </w:rPr>
        <w:t xml:space="preserve">may purchase a </w:t>
      </w:r>
      <w:r>
        <w:rPr>
          <w:i/>
          <w:lang w:val="en-AU"/>
        </w:rPr>
        <w:t xml:space="preserve">mobile phone </w:t>
      </w:r>
      <w:r>
        <w:rPr>
          <w:lang w:val="en-AU"/>
        </w:rPr>
        <w:t>with a:</w:t>
      </w:r>
    </w:p>
    <w:p w14:paraId="0BAE65C8" w14:textId="77777777" w:rsidR="000D07EA" w:rsidRDefault="00BE7C89">
      <w:pPr>
        <w:pStyle w:val="Heading8"/>
        <w:rPr>
          <w:lang w:val="en-AU"/>
        </w:rPr>
      </w:pPr>
      <w:r>
        <w:rPr>
          <w:lang w:val="en-AU"/>
        </w:rPr>
        <w:t xml:space="preserve">24 month </w:t>
      </w:r>
      <w:r>
        <w:rPr>
          <w:i/>
          <w:lang w:val="en-AU"/>
        </w:rPr>
        <w:t>equipment term</w:t>
      </w:r>
      <w:r>
        <w:rPr>
          <w:lang w:val="en-AU"/>
        </w:rPr>
        <w:t xml:space="preserve"> under a </w:t>
      </w:r>
      <w:r>
        <w:rPr>
          <w:i/>
          <w:lang w:val="en-AU"/>
        </w:rPr>
        <w:t>mobile equipment payment plan</w:t>
      </w:r>
      <w:r>
        <w:rPr>
          <w:lang w:val="en-AU"/>
        </w:rPr>
        <w:t xml:space="preserve"> on a 24 month </w:t>
      </w:r>
      <w:r>
        <w:rPr>
          <w:i/>
          <w:lang w:val="en-AU"/>
        </w:rPr>
        <w:t>fixed length agreement</w:t>
      </w:r>
      <w:r>
        <w:rPr>
          <w:lang w:val="en-AU"/>
        </w:rPr>
        <w:t xml:space="preserve">. If </w:t>
      </w:r>
      <w:r>
        <w:rPr>
          <w:i/>
          <w:lang w:val="en-AU"/>
        </w:rPr>
        <w:t>you</w:t>
      </w:r>
      <w:r>
        <w:rPr>
          <w:lang w:val="en-AU"/>
        </w:rPr>
        <w:t xml:space="preserve"> agree to a 24 month </w:t>
      </w:r>
      <w:r>
        <w:rPr>
          <w:i/>
          <w:lang w:val="en-AU"/>
        </w:rPr>
        <w:t>fixed length agreement</w:t>
      </w:r>
      <w:r>
        <w:rPr>
          <w:lang w:val="en-AU"/>
        </w:rPr>
        <w:t xml:space="preserve"> the price of </w:t>
      </w:r>
      <w:r>
        <w:rPr>
          <w:i/>
          <w:lang w:val="en-AU"/>
        </w:rPr>
        <w:t>mobile phones</w:t>
      </w:r>
      <w:r>
        <w:rPr>
          <w:lang w:val="en-AU"/>
        </w:rPr>
        <w:t xml:space="preserve"> available is less than if </w:t>
      </w:r>
      <w:r>
        <w:rPr>
          <w:i/>
          <w:lang w:val="en-AU"/>
        </w:rPr>
        <w:t>you</w:t>
      </w:r>
      <w:r>
        <w:rPr>
          <w:lang w:val="en-AU"/>
        </w:rPr>
        <w:t xml:space="preserve"> only agree to a </w:t>
      </w:r>
      <w:r>
        <w:rPr>
          <w:i/>
          <w:lang w:val="en-AU"/>
        </w:rPr>
        <w:t>non-fixed length agreement</w:t>
      </w:r>
      <w:r>
        <w:rPr>
          <w:lang w:val="en-AU"/>
        </w:rPr>
        <w:t>; or,</w:t>
      </w:r>
    </w:p>
    <w:p w14:paraId="3C83533E" w14:textId="77777777" w:rsidR="000D07EA" w:rsidRDefault="00BE7C89">
      <w:pPr>
        <w:pStyle w:val="Heading8"/>
        <w:rPr>
          <w:lang w:val="en-AU"/>
        </w:rPr>
      </w:pPr>
      <w:r>
        <w:rPr>
          <w:lang w:val="en-AU"/>
        </w:rPr>
        <w:t xml:space="preserve">12 month </w:t>
      </w:r>
      <w:r>
        <w:rPr>
          <w:i/>
          <w:lang w:val="en-AU"/>
        </w:rPr>
        <w:t>equipment term</w:t>
      </w:r>
      <w:r>
        <w:rPr>
          <w:lang w:val="en-AU"/>
        </w:rPr>
        <w:t xml:space="preserve"> under a </w:t>
      </w:r>
      <w:r>
        <w:rPr>
          <w:i/>
          <w:lang w:val="en-AU"/>
        </w:rPr>
        <w:t>mobile equipment payment plan</w:t>
      </w:r>
      <w:r>
        <w:rPr>
          <w:lang w:val="en-AU"/>
        </w:rPr>
        <w:t xml:space="preserve"> on a 12 month </w:t>
      </w:r>
      <w:r>
        <w:rPr>
          <w:i/>
          <w:lang w:val="en-AU"/>
        </w:rPr>
        <w:t>fixed length agreement</w:t>
      </w:r>
      <w:r>
        <w:rPr>
          <w:lang w:val="en-AU"/>
        </w:rPr>
        <w:t xml:space="preserve">. If </w:t>
      </w:r>
      <w:r>
        <w:rPr>
          <w:i/>
          <w:lang w:val="en-AU"/>
        </w:rPr>
        <w:t>you</w:t>
      </w:r>
      <w:r>
        <w:rPr>
          <w:lang w:val="en-AU"/>
        </w:rPr>
        <w:t xml:space="preserve"> agree to a 12 month </w:t>
      </w:r>
      <w:r>
        <w:rPr>
          <w:i/>
          <w:lang w:val="en-AU"/>
        </w:rPr>
        <w:t>fixed length agreement</w:t>
      </w:r>
      <w:r>
        <w:rPr>
          <w:lang w:val="en-AU"/>
        </w:rPr>
        <w:t xml:space="preserve"> the price of </w:t>
      </w:r>
      <w:r>
        <w:rPr>
          <w:i/>
          <w:lang w:val="en-AU"/>
        </w:rPr>
        <w:t>mobile phones</w:t>
      </w:r>
      <w:r>
        <w:rPr>
          <w:lang w:val="en-AU"/>
        </w:rPr>
        <w:t xml:space="preserve"> available is less than if </w:t>
      </w:r>
      <w:r>
        <w:rPr>
          <w:i/>
          <w:lang w:val="en-AU"/>
        </w:rPr>
        <w:t>you</w:t>
      </w:r>
      <w:r>
        <w:rPr>
          <w:lang w:val="en-AU"/>
        </w:rPr>
        <w:t xml:space="preserve"> only agree to a </w:t>
      </w:r>
      <w:r>
        <w:rPr>
          <w:i/>
          <w:lang w:val="en-AU"/>
        </w:rPr>
        <w:t>non-fixed length agreement</w:t>
      </w:r>
    </w:p>
    <w:p w14:paraId="151D4419" w14:textId="77777777" w:rsidR="000D07EA" w:rsidRDefault="00BE7C89">
      <w:pPr>
        <w:pStyle w:val="Heading7"/>
        <w:rPr>
          <w:lang w:val="en-AU"/>
        </w:rPr>
      </w:pPr>
      <w:r>
        <w:rPr>
          <w:lang w:val="en-AU"/>
        </w:rPr>
        <w:t>The charges for the Business Complete Ultimate Offers are set out in Table 3A.</w:t>
      </w:r>
    </w:p>
    <w:p w14:paraId="1ECA2D01" w14:textId="77777777" w:rsidR="000D07EA" w:rsidRDefault="00BE7C89">
      <w:pPr>
        <w:pStyle w:val="Heading7"/>
        <w:rPr>
          <w:lang w:val="en-AU"/>
        </w:rPr>
      </w:pPr>
      <w:r>
        <w:rPr>
          <w:lang w:val="en-AU"/>
        </w:rPr>
        <w:t xml:space="preserve">If </w:t>
      </w:r>
      <w:r>
        <w:rPr>
          <w:i/>
          <w:lang w:val="en-AU"/>
        </w:rPr>
        <w:t xml:space="preserve">you </w:t>
      </w:r>
      <w:r>
        <w:rPr>
          <w:lang w:val="en-AU"/>
        </w:rPr>
        <w:t xml:space="preserve">purchase a $49 or $59 Business Complete Ultimate plan or a $49 or $59 Business Complete Ultimate (Premium H/set) plan, </w:t>
      </w:r>
      <w:r>
        <w:rPr>
          <w:i/>
          <w:lang w:val="en-AU"/>
        </w:rPr>
        <w:t>you</w:t>
      </w:r>
      <w:r>
        <w:rPr>
          <w:lang w:val="en-AU"/>
        </w:rPr>
        <w:t xml:space="preserve"> can purchase additional data by purchasing a $15 Business Advantage BMB Data bolt on. If </w:t>
      </w:r>
      <w:r>
        <w:rPr>
          <w:i/>
          <w:lang w:val="en-AU"/>
        </w:rPr>
        <w:t xml:space="preserve">you </w:t>
      </w:r>
      <w:r>
        <w:rPr>
          <w:lang w:val="en-AU"/>
        </w:rPr>
        <w:t xml:space="preserve">purchase a $79 Business Complete Ultimate plan or $79 Business Complete Ultimate (Premium H/set) plan, </w:t>
      </w:r>
      <w:r>
        <w:rPr>
          <w:i/>
          <w:lang w:val="en-AU"/>
        </w:rPr>
        <w:t>you</w:t>
      </w:r>
      <w:r>
        <w:rPr>
          <w:lang w:val="en-AU"/>
        </w:rPr>
        <w:t xml:space="preserve"> can purchase additional data by purchasing a $10 Business Advantage BMB Data bolt on. The included data of the Business Data bolt applies to all </w:t>
      </w:r>
      <w:r>
        <w:rPr>
          <w:i/>
          <w:lang w:val="en-AU"/>
        </w:rPr>
        <w:t>Optus Mobile Digital Service and Business Mobile Broadband Services</w:t>
      </w:r>
      <w:r>
        <w:rPr>
          <w:lang w:val="en-AU"/>
        </w:rPr>
        <w:t xml:space="preserve"> that are connected on a Business Complete Ultimate plan and that are on the same account. </w:t>
      </w:r>
    </w:p>
    <w:p w14:paraId="4D2D4280" w14:textId="77777777" w:rsidR="000D07EA" w:rsidRDefault="00BE7C89">
      <w:pPr>
        <w:pStyle w:val="Heading8"/>
        <w:rPr>
          <w:lang w:val="en-AU"/>
        </w:rPr>
      </w:pPr>
      <w:r>
        <w:rPr>
          <w:lang w:val="en-AU"/>
        </w:rPr>
        <w:t xml:space="preserve">Business Data Bolt on is available to </w:t>
      </w:r>
      <w:r>
        <w:rPr>
          <w:i/>
          <w:lang w:val="en-AU"/>
        </w:rPr>
        <w:t xml:space="preserve">you </w:t>
      </w:r>
      <w:r>
        <w:rPr>
          <w:lang w:val="en-AU"/>
        </w:rPr>
        <w:t xml:space="preserve">if </w:t>
      </w:r>
      <w:r>
        <w:rPr>
          <w:i/>
          <w:lang w:val="en-AU"/>
        </w:rPr>
        <w:t>your</w:t>
      </w:r>
      <w:r>
        <w:rPr>
          <w:lang w:val="en-AU"/>
        </w:rPr>
        <w:t xml:space="preserve"> </w:t>
      </w:r>
      <w:r>
        <w:rPr>
          <w:i/>
          <w:lang w:val="en-AU"/>
        </w:rPr>
        <w:t>mobile service</w:t>
      </w:r>
      <w:r>
        <w:rPr>
          <w:lang w:val="en-AU"/>
        </w:rPr>
        <w:t>s connect and remain connected to the relevant Business Complete Ultimate plans.</w:t>
      </w:r>
    </w:p>
    <w:p w14:paraId="5C5CF8BF" w14:textId="77777777" w:rsidR="000D07EA" w:rsidRDefault="00BE7C89">
      <w:pPr>
        <w:pStyle w:val="Heading8"/>
        <w:rPr>
          <w:lang w:val="en-AU"/>
        </w:rPr>
      </w:pPr>
      <w:r>
        <w:rPr>
          <w:lang w:val="en-AU"/>
        </w:rPr>
        <w:t>The Business Data Bolt Ons provide</w:t>
      </w:r>
      <w:r>
        <w:rPr>
          <w:i/>
          <w:lang w:val="en-AU"/>
        </w:rPr>
        <w:t xml:space="preserve"> you </w:t>
      </w:r>
      <w:r>
        <w:rPr>
          <w:lang w:val="en-AU"/>
        </w:rPr>
        <w:t xml:space="preserve">with an additional 500MB of data to use each month from the </w:t>
      </w:r>
      <w:r>
        <w:rPr>
          <w:i/>
          <w:lang w:val="en-AU"/>
        </w:rPr>
        <w:t xml:space="preserve">Optus Mobile Digital Service or Business Mobile Broadband Services </w:t>
      </w:r>
      <w:r>
        <w:rPr>
          <w:lang w:val="en-AU"/>
        </w:rPr>
        <w:t xml:space="preserve">connected on </w:t>
      </w:r>
      <w:r>
        <w:rPr>
          <w:i/>
          <w:lang w:val="en-AU"/>
        </w:rPr>
        <w:t>your</w:t>
      </w:r>
      <w:r>
        <w:rPr>
          <w:lang w:val="en-AU"/>
        </w:rPr>
        <w:t xml:space="preserve"> plan and account. If </w:t>
      </w:r>
      <w:r>
        <w:rPr>
          <w:i/>
          <w:lang w:val="en-AU"/>
        </w:rPr>
        <w:t>you</w:t>
      </w:r>
      <w:r>
        <w:rPr>
          <w:lang w:val="en-AU"/>
        </w:rPr>
        <w:t xml:space="preserve"> exceed </w:t>
      </w:r>
      <w:r>
        <w:rPr>
          <w:i/>
          <w:lang w:val="en-AU"/>
        </w:rPr>
        <w:t>your</w:t>
      </w:r>
      <w:r>
        <w:rPr>
          <w:lang w:val="en-AU"/>
        </w:rPr>
        <w:t xml:space="preserve"> included data amount excess charges as stated in Table 1 apply. </w:t>
      </w:r>
    </w:p>
    <w:p w14:paraId="75BFA5D4" w14:textId="77777777" w:rsidR="000D07EA" w:rsidRDefault="00BE7C89">
      <w:pPr>
        <w:pStyle w:val="Heading7"/>
      </w:pPr>
      <w:r>
        <w:rPr>
          <w:lang w:val="en-AU" w:eastAsia="en-AU"/>
        </w:rPr>
        <w:t>Business Data Bolt Ons, Data Usage Allowance is set out in Table 1, the eligible usage is set out in Table 2A.</w:t>
      </w:r>
    </w:p>
    <w:p w14:paraId="5449AC2D" w14:textId="77777777" w:rsidR="000D07EA" w:rsidRDefault="00BE7C89">
      <w:pPr>
        <w:pStyle w:val="BodyText"/>
        <w:ind w:left="720"/>
        <w:rPr>
          <w:b/>
        </w:rPr>
      </w:pPr>
      <w:r>
        <w:rPr>
          <w:b/>
        </w:rPr>
        <w:t>Table 1 – $10 and $15 Business Advantage BMB Data Bolt On</w:t>
      </w:r>
    </w:p>
    <w:tbl>
      <w:tblPr>
        <w:tblW w:w="4646" w:type="pct"/>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5"/>
        <w:gridCol w:w="3156"/>
        <w:gridCol w:w="3156"/>
      </w:tblGrid>
      <w:tr w:rsidR="000D07EA" w14:paraId="46EE2F2C" w14:textId="77777777">
        <w:tc>
          <w:tcPr>
            <w:tcW w:w="1666" w:type="pct"/>
            <w:shd w:val="clear" w:color="auto" w:fill="auto"/>
          </w:tcPr>
          <w:p w14:paraId="295F256C" w14:textId="77777777" w:rsidR="000D07EA" w:rsidRDefault="00BE7C89">
            <w:pPr>
              <w:spacing w:before="100" w:after="100"/>
              <w:jc w:val="center"/>
              <w:rPr>
                <w:b/>
                <w:sz w:val="20"/>
                <w:szCs w:val="20"/>
              </w:rPr>
            </w:pPr>
            <w:r>
              <w:rPr>
                <w:b/>
                <w:sz w:val="20"/>
                <w:szCs w:val="20"/>
              </w:rPr>
              <w:t xml:space="preserve">Monthly </w:t>
            </w:r>
            <w:r>
              <w:rPr>
                <w:b/>
                <w:i/>
                <w:sz w:val="20"/>
                <w:szCs w:val="20"/>
              </w:rPr>
              <w:t>Access Fee</w:t>
            </w:r>
          </w:p>
        </w:tc>
        <w:tc>
          <w:tcPr>
            <w:tcW w:w="1667" w:type="pct"/>
            <w:shd w:val="clear" w:color="auto" w:fill="auto"/>
          </w:tcPr>
          <w:p w14:paraId="422B695D" w14:textId="77777777" w:rsidR="000D07EA" w:rsidRDefault="00BE7C89">
            <w:pPr>
              <w:spacing w:before="100" w:after="100"/>
              <w:jc w:val="center"/>
              <w:rPr>
                <w:b/>
                <w:sz w:val="20"/>
                <w:szCs w:val="20"/>
              </w:rPr>
            </w:pPr>
            <w:r>
              <w:rPr>
                <w:b/>
                <w:sz w:val="20"/>
                <w:szCs w:val="20"/>
              </w:rPr>
              <w:t>Data Usage Allowance</w:t>
            </w:r>
          </w:p>
        </w:tc>
        <w:tc>
          <w:tcPr>
            <w:tcW w:w="1667" w:type="pct"/>
            <w:shd w:val="clear" w:color="auto" w:fill="auto"/>
          </w:tcPr>
          <w:p w14:paraId="1675F96B" w14:textId="77777777" w:rsidR="000D07EA" w:rsidRDefault="00BE7C89">
            <w:pPr>
              <w:spacing w:before="100" w:after="100"/>
              <w:jc w:val="center"/>
              <w:rPr>
                <w:b/>
                <w:sz w:val="20"/>
                <w:szCs w:val="20"/>
              </w:rPr>
            </w:pPr>
            <w:r>
              <w:rPr>
                <w:b/>
                <w:sz w:val="20"/>
                <w:szCs w:val="20"/>
              </w:rPr>
              <w:t>Excess Charges</w:t>
            </w:r>
          </w:p>
        </w:tc>
      </w:tr>
      <w:tr w:rsidR="000D07EA" w14:paraId="4E0D01BB" w14:textId="77777777">
        <w:tc>
          <w:tcPr>
            <w:tcW w:w="1666" w:type="pct"/>
            <w:shd w:val="clear" w:color="auto" w:fill="auto"/>
          </w:tcPr>
          <w:p w14:paraId="3A9498C1" w14:textId="77777777" w:rsidR="000D07EA" w:rsidRDefault="00BE7C89">
            <w:pPr>
              <w:spacing w:before="100" w:after="100"/>
              <w:jc w:val="center"/>
              <w:rPr>
                <w:sz w:val="20"/>
                <w:szCs w:val="20"/>
              </w:rPr>
            </w:pPr>
            <w:r>
              <w:rPr>
                <w:sz w:val="20"/>
                <w:szCs w:val="20"/>
              </w:rPr>
              <w:t>$15</w:t>
            </w:r>
          </w:p>
        </w:tc>
        <w:tc>
          <w:tcPr>
            <w:tcW w:w="1667" w:type="pct"/>
            <w:shd w:val="clear" w:color="auto" w:fill="auto"/>
          </w:tcPr>
          <w:p w14:paraId="71B501EC" w14:textId="77777777" w:rsidR="000D07EA" w:rsidRDefault="00BE7C89">
            <w:pPr>
              <w:spacing w:before="100" w:after="100"/>
              <w:jc w:val="center"/>
              <w:rPr>
                <w:sz w:val="20"/>
                <w:szCs w:val="20"/>
              </w:rPr>
            </w:pPr>
            <w:r>
              <w:rPr>
                <w:sz w:val="20"/>
                <w:szCs w:val="20"/>
              </w:rPr>
              <w:t>500MB</w:t>
            </w:r>
          </w:p>
        </w:tc>
        <w:tc>
          <w:tcPr>
            <w:tcW w:w="1667" w:type="pct"/>
            <w:shd w:val="clear" w:color="auto" w:fill="auto"/>
          </w:tcPr>
          <w:p w14:paraId="4817A475" w14:textId="77777777" w:rsidR="000D07EA" w:rsidRDefault="00BE7C89">
            <w:pPr>
              <w:spacing w:before="100" w:after="100"/>
              <w:jc w:val="center"/>
              <w:rPr>
                <w:sz w:val="20"/>
                <w:szCs w:val="20"/>
              </w:rPr>
            </w:pPr>
            <w:r>
              <w:rPr>
                <w:sz w:val="20"/>
                <w:szCs w:val="20"/>
              </w:rPr>
              <w:t>10c per MB or part thereof</w:t>
            </w:r>
          </w:p>
        </w:tc>
      </w:tr>
      <w:tr w:rsidR="000D07EA" w14:paraId="3686B4A1" w14:textId="77777777">
        <w:tc>
          <w:tcPr>
            <w:tcW w:w="1666" w:type="pct"/>
            <w:shd w:val="clear" w:color="auto" w:fill="auto"/>
          </w:tcPr>
          <w:p w14:paraId="64084BFB" w14:textId="77777777" w:rsidR="000D07EA" w:rsidRDefault="00BE7C89">
            <w:pPr>
              <w:spacing w:before="100" w:after="100"/>
              <w:jc w:val="center"/>
              <w:rPr>
                <w:sz w:val="20"/>
                <w:szCs w:val="20"/>
              </w:rPr>
            </w:pPr>
            <w:r>
              <w:rPr>
                <w:sz w:val="20"/>
                <w:szCs w:val="20"/>
              </w:rPr>
              <w:t>$10</w:t>
            </w:r>
          </w:p>
        </w:tc>
        <w:tc>
          <w:tcPr>
            <w:tcW w:w="1667" w:type="pct"/>
            <w:shd w:val="clear" w:color="auto" w:fill="auto"/>
          </w:tcPr>
          <w:p w14:paraId="2D57CF5A" w14:textId="77777777" w:rsidR="000D07EA" w:rsidRDefault="00BE7C89">
            <w:pPr>
              <w:spacing w:before="100" w:after="100"/>
              <w:jc w:val="center"/>
              <w:rPr>
                <w:sz w:val="20"/>
                <w:szCs w:val="20"/>
              </w:rPr>
            </w:pPr>
            <w:r>
              <w:rPr>
                <w:sz w:val="20"/>
                <w:szCs w:val="20"/>
              </w:rPr>
              <w:t>500MB</w:t>
            </w:r>
          </w:p>
        </w:tc>
        <w:tc>
          <w:tcPr>
            <w:tcW w:w="1667" w:type="pct"/>
            <w:shd w:val="clear" w:color="auto" w:fill="auto"/>
          </w:tcPr>
          <w:p w14:paraId="1CBA6A24" w14:textId="77777777" w:rsidR="000D07EA" w:rsidRDefault="00BE7C89">
            <w:pPr>
              <w:spacing w:before="100" w:after="100"/>
              <w:jc w:val="center"/>
              <w:rPr>
                <w:sz w:val="20"/>
                <w:szCs w:val="20"/>
              </w:rPr>
            </w:pPr>
            <w:r>
              <w:rPr>
                <w:sz w:val="20"/>
                <w:szCs w:val="20"/>
              </w:rPr>
              <w:t>10c per MB or part thereof</w:t>
            </w:r>
          </w:p>
        </w:tc>
      </w:tr>
    </w:tbl>
    <w:p w14:paraId="68CC5E40" w14:textId="77777777" w:rsidR="000D07EA" w:rsidRDefault="000D07EA">
      <w:pPr>
        <w:pStyle w:val="BodyText"/>
      </w:pPr>
    </w:p>
    <w:p w14:paraId="0348AE52" w14:textId="77777777" w:rsidR="000D07EA" w:rsidRDefault="00BE7C89">
      <w:pPr>
        <w:pStyle w:val="Heading6"/>
      </w:pPr>
      <w:r>
        <w:t>Eligibility</w:t>
      </w:r>
    </w:p>
    <w:p w14:paraId="165436F0" w14:textId="77777777" w:rsidR="000D07EA" w:rsidRDefault="00BE7C89">
      <w:pPr>
        <w:pStyle w:val="BodyText"/>
        <w:ind w:left="720"/>
      </w:pPr>
      <w:r>
        <w:t xml:space="preserve">The Business Complete Ultimate plans are only available to customers </w:t>
      </w:r>
      <w:r>
        <w:rPr>
          <w:i/>
        </w:rPr>
        <w:t>we</w:t>
      </w:r>
      <w:r>
        <w:t xml:space="preserve"> classify as </w:t>
      </w:r>
      <w:r>
        <w:rPr>
          <w:i/>
        </w:rPr>
        <w:t>small or medium business</w:t>
      </w:r>
      <w:r>
        <w:t xml:space="preserve"> customers who apply to connect to the service on the following terms:</w:t>
      </w:r>
    </w:p>
    <w:p w14:paraId="37CC630B" w14:textId="77777777" w:rsidR="000D07EA" w:rsidRDefault="00BE7C89">
      <w:pPr>
        <w:pStyle w:val="Heading7"/>
        <w:rPr>
          <w:lang w:val="en-AU"/>
        </w:rPr>
      </w:pPr>
      <w:r>
        <w:rPr>
          <w:snapToGrid w:val="0"/>
          <w:lang w:val="en-AU"/>
        </w:rPr>
        <w:t xml:space="preserve">In order to be and remain eligible for the Business Complete Ultimate Offers, </w:t>
      </w:r>
      <w:r>
        <w:rPr>
          <w:i/>
          <w:snapToGrid w:val="0"/>
          <w:lang w:val="en-AU"/>
        </w:rPr>
        <w:t xml:space="preserve">you </w:t>
      </w:r>
      <w:r>
        <w:rPr>
          <w:snapToGrid w:val="0"/>
          <w:lang w:val="en-AU"/>
        </w:rPr>
        <w:t xml:space="preserve">must: </w:t>
      </w:r>
    </w:p>
    <w:p w14:paraId="37005CE9" w14:textId="77777777" w:rsidR="000D07EA" w:rsidRDefault="00BE7C89">
      <w:pPr>
        <w:pStyle w:val="Heading8"/>
        <w:rPr>
          <w:snapToGrid w:val="0"/>
          <w:lang w:val="en-AU"/>
        </w:rPr>
      </w:pPr>
      <w:r>
        <w:rPr>
          <w:snapToGrid w:val="0"/>
          <w:lang w:val="en-AU"/>
        </w:rPr>
        <w:t>maintain a ratio of at least 1 Optus Mobile Digital Service to 1 Business Mobile Broadband Service (for Customers who elect to take up a Business Mobile Broadband (BMB) Service).</w:t>
      </w:r>
    </w:p>
    <w:p w14:paraId="23F92E2A" w14:textId="77777777" w:rsidR="000D07EA" w:rsidRDefault="00BE7C89">
      <w:pPr>
        <w:pStyle w:val="BodyText"/>
        <w:ind w:left="2160"/>
        <w:rPr>
          <w:lang w:val="en-AU"/>
        </w:rPr>
      </w:pPr>
      <w:r>
        <w:rPr>
          <w:lang w:val="en-AU"/>
        </w:rPr>
        <w:t xml:space="preserve">For example </w:t>
      </w:r>
      <w:r>
        <w:rPr>
          <w:i/>
          <w:lang w:val="en-AU"/>
        </w:rPr>
        <w:t>you</w:t>
      </w:r>
      <w:r>
        <w:rPr>
          <w:lang w:val="en-AU"/>
        </w:rPr>
        <w:t xml:space="preserve"> may connect 2 $59 Business Complete Ultimate Mobile Services and 2 $15 Business Advantage BMB Services or </w:t>
      </w:r>
      <w:r>
        <w:rPr>
          <w:i/>
          <w:lang w:val="en-AU"/>
        </w:rPr>
        <w:t>you</w:t>
      </w:r>
      <w:r>
        <w:rPr>
          <w:lang w:val="en-AU"/>
        </w:rPr>
        <w:t xml:space="preserve"> may connect 2 $59 Business Complete Ultimate Services and 1 $15 Business Advantage BMB service. However, </w:t>
      </w:r>
      <w:r>
        <w:rPr>
          <w:i/>
          <w:lang w:val="en-AU"/>
        </w:rPr>
        <w:t>you</w:t>
      </w:r>
      <w:r>
        <w:rPr>
          <w:lang w:val="en-AU"/>
        </w:rPr>
        <w:t xml:space="preserve"> may not </w:t>
      </w:r>
      <w:r>
        <w:rPr>
          <w:lang w:val="en-AU"/>
        </w:rPr>
        <w:lastRenderedPageBreak/>
        <w:t>have 1 $59 Business Complete Ultimate Mobile Service and 2 $15 Business Advantage BMB Services.</w:t>
      </w:r>
    </w:p>
    <w:p w14:paraId="296CBABB" w14:textId="77777777" w:rsidR="000D07EA" w:rsidRDefault="00BE7C89">
      <w:pPr>
        <w:pStyle w:val="Heading8"/>
        <w:rPr>
          <w:lang w:val="en-AU"/>
        </w:rPr>
      </w:pPr>
      <w:r>
        <w:rPr>
          <w:lang w:val="en-AU"/>
        </w:rPr>
        <w:t>connect all relevant</w:t>
      </w:r>
      <w:r>
        <w:rPr>
          <w:i/>
          <w:lang w:val="en-AU"/>
        </w:rPr>
        <w:t xml:space="preserve"> services</w:t>
      </w:r>
      <w:r>
        <w:rPr>
          <w:lang w:val="en-AU"/>
        </w:rPr>
        <w:t xml:space="preserve"> in the same account holder name and service address, and ABN/ACN/ARBN;</w:t>
      </w:r>
    </w:p>
    <w:p w14:paraId="4B44579F" w14:textId="77777777" w:rsidR="000D07EA" w:rsidRDefault="00BE7C89">
      <w:pPr>
        <w:pStyle w:val="Heading8"/>
        <w:rPr>
          <w:lang w:val="en-AU"/>
        </w:rPr>
      </w:pPr>
      <w:r>
        <w:rPr>
          <w:lang w:val="en-AU"/>
        </w:rPr>
        <w:t xml:space="preserve">meet all of the criteria for the particular </w:t>
      </w:r>
      <w:r>
        <w:rPr>
          <w:i/>
          <w:lang w:val="en-AU"/>
        </w:rPr>
        <w:t>services</w:t>
      </w:r>
      <w:r>
        <w:rPr>
          <w:lang w:val="en-AU"/>
        </w:rPr>
        <w:t xml:space="preserve"> as set out in each of the relevant </w:t>
      </w:r>
      <w:r>
        <w:rPr>
          <w:i/>
          <w:lang w:val="en-AU"/>
        </w:rPr>
        <w:t>service descriptions</w:t>
      </w:r>
      <w:r>
        <w:rPr>
          <w:lang w:val="en-AU"/>
        </w:rPr>
        <w:t>; and</w:t>
      </w:r>
    </w:p>
    <w:p w14:paraId="17E257BD" w14:textId="77777777" w:rsidR="000D07EA" w:rsidRDefault="00BE7C89">
      <w:pPr>
        <w:pStyle w:val="Heading8"/>
        <w:rPr>
          <w:lang w:val="en-AU"/>
        </w:rPr>
      </w:pPr>
      <w:r>
        <w:rPr>
          <w:lang w:val="en-AU"/>
        </w:rPr>
        <w:t>receive subscription charges on a monthly single bill.</w:t>
      </w:r>
    </w:p>
    <w:p w14:paraId="614CB37E" w14:textId="77777777" w:rsidR="000D07EA" w:rsidRDefault="00BE7C89">
      <w:pPr>
        <w:pStyle w:val="Heading7"/>
        <w:rPr>
          <w:lang w:val="en-AU"/>
        </w:rPr>
      </w:pPr>
      <w:r>
        <w:rPr>
          <w:snapToGrid w:val="0"/>
          <w:lang w:val="en-AU"/>
        </w:rPr>
        <w:t xml:space="preserve">If </w:t>
      </w:r>
      <w:r>
        <w:rPr>
          <w:i/>
          <w:snapToGrid w:val="0"/>
          <w:lang w:val="en-AU"/>
        </w:rPr>
        <w:t xml:space="preserve">you </w:t>
      </w:r>
      <w:r>
        <w:rPr>
          <w:snapToGrid w:val="0"/>
          <w:lang w:val="en-AU"/>
        </w:rPr>
        <w:t>already have a non-fixed length or fixed length agreement with us for either your Optus Mobile Digital Service(s) and your Optus Mobile Service(s) and you choose to connect as a new customer to our Business Complete Ultimate offer:</w:t>
      </w:r>
    </w:p>
    <w:p w14:paraId="568ECDB3" w14:textId="77777777" w:rsidR="000D07EA" w:rsidRDefault="00BE7C89">
      <w:pPr>
        <w:pStyle w:val="Heading8"/>
        <w:rPr>
          <w:snapToGrid w:val="0"/>
          <w:lang w:val="en-AU"/>
        </w:rPr>
      </w:pPr>
      <w:r>
        <w:rPr>
          <w:i/>
          <w:snapToGrid w:val="0"/>
          <w:lang w:val="en-AU"/>
        </w:rPr>
        <w:t>We</w:t>
      </w:r>
      <w:r>
        <w:rPr>
          <w:snapToGrid w:val="0"/>
          <w:lang w:val="en-AU"/>
        </w:rPr>
        <w:t xml:space="preserve"> may agree (at </w:t>
      </w:r>
      <w:r>
        <w:rPr>
          <w:i/>
          <w:snapToGrid w:val="0"/>
          <w:lang w:val="en-AU"/>
        </w:rPr>
        <w:t>our</w:t>
      </w:r>
      <w:r>
        <w:rPr>
          <w:snapToGrid w:val="0"/>
          <w:lang w:val="en-AU"/>
        </w:rPr>
        <w:t xml:space="preserve"> discretion) to transfer</w:t>
      </w:r>
      <w:r>
        <w:rPr>
          <w:i/>
          <w:snapToGrid w:val="0"/>
          <w:lang w:val="en-AU"/>
        </w:rPr>
        <w:t xml:space="preserve"> you</w:t>
      </w:r>
      <w:r>
        <w:rPr>
          <w:snapToGrid w:val="0"/>
          <w:lang w:val="en-AU"/>
        </w:rPr>
        <w:t xml:space="preserve"> to the Business Complete Ultimate offer </w:t>
      </w:r>
    </w:p>
    <w:p w14:paraId="3F763F91" w14:textId="77777777" w:rsidR="000D07EA" w:rsidRDefault="00BE7C89">
      <w:pPr>
        <w:pStyle w:val="Heading8"/>
        <w:rPr>
          <w:lang w:val="en-AU"/>
        </w:rPr>
      </w:pPr>
      <w:r>
        <w:rPr>
          <w:snapToGrid w:val="0"/>
          <w:lang w:val="en-AU"/>
        </w:rPr>
        <w:t>In the case of the above,</w:t>
      </w:r>
      <w:r>
        <w:rPr>
          <w:i/>
          <w:snapToGrid w:val="0"/>
          <w:lang w:val="en-AU"/>
        </w:rPr>
        <w:t xml:space="preserve"> you</w:t>
      </w:r>
      <w:r>
        <w:rPr>
          <w:snapToGrid w:val="0"/>
          <w:lang w:val="en-AU"/>
        </w:rPr>
        <w:t xml:space="preserve"> will start a monthly, 12 or 24 month</w:t>
      </w:r>
      <w:r>
        <w:rPr>
          <w:i/>
          <w:snapToGrid w:val="0"/>
          <w:lang w:val="en-AU"/>
        </w:rPr>
        <w:t xml:space="preserve"> minimum term fixed length agreement</w:t>
      </w:r>
      <w:r>
        <w:rPr>
          <w:snapToGrid w:val="0"/>
          <w:lang w:val="en-AU"/>
        </w:rPr>
        <w:t xml:space="preserve"> for the new </w:t>
      </w:r>
      <w:r>
        <w:rPr>
          <w:i/>
          <w:snapToGrid w:val="0"/>
          <w:lang w:val="en-AU"/>
        </w:rPr>
        <w:t>Business Complete Ultimate offer</w:t>
      </w:r>
      <w:r>
        <w:rPr>
          <w:snapToGrid w:val="0"/>
          <w:lang w:val="en-AU"/>
        </w:rPr>
        <w:t xml:space="preserve">. </w:t>
      </w:r>
    </w:p>
    <w:p w14:paraId="36717AF6" w14:textId="77777777" w:rsidR="000D07EA" w:rsidRDefault="00BE7C89">
      <w:pPr>
        <w:pStyle w:val="Heading7"/>
      </w:pPr>
      <w:r>
        <w:rPr>
          <w:snapToGrid w:val="0"/>
          <w:lang w:val="en-AU" w:eastAsia="en-AU"/>
        </w:rPr>
        <w:t xml:space="preserve">If </w:t>
      </w:r>
      <w:r>
        <w:rPr>
          <w:i/>
          <w:snapToGrid w:val="0"/>
          <w:lang w:val="en-AU" w:eastAsia="en-AU"/>
        </w:rPr>
        <w:t xml:space="preserve">you </w:t>
      </w:r>
      <w:r>
        <w:rPr>
          <w:snapToGrid w:val="0"/>
          <w:lang w:val="en-AU" w:eastAsia="en-AU"/>
        </w:rPr>
        <w:t xml:space="preserve">are an existing customer </w:t>
      </w:r>
      <w:r>
        <w:rPr>
          <w:i/>
          <w:snapToGrid w:val="0"/>
          <w:lang w:val="en-AU" w:eastAsia="en-AU"/>
        </w:rPr>
        <w:t xml:space="preserve">you </w:t>
      </w:r>
      <w:r>
        <w:rPr>
          <w:snapToGrid w:val="0"/>
          <w:lang w:val="en-AU" w:eastAsia="en-AU"/>
        </w:rPr>
        <w:t xml:space="preserve">may only transfer to the Business Complete Ultimate plans with </w:t>
      </w:r>
      <w:r>
        <w:rPr>
          <w:i/>
          <w:snapToGrid w:val="0"/>
          <w:lang w:val="en-AU" w:eastAsia="en-AU"/>
        </w:rPr>
        <w:t xml:space="preserve">our </w:t>
      </w:r>
      <w:r>
        <w:rPr>
          <w:snapToGrid w:val="0"/>
          <w:lang w:val="en-AU" w:eastAsia="en-AU"/>
        </w:rPr>
        <w:t>approval</w:t>
      </w:r>
      <w:r>
        <w:rPr>
          <w:snapToGrid w:val="0"/>
          <w:sz w:val="16"/>
          <w:szCs w:val="16"/>
          <w:lang w:val="en-AU" w:eastAsia="en-AU"/>
        </w:rPr>
        <w:t>.</w:t>
      </w:r>
    </w:p>
    <w:p w14:paraId="3A870EAD" w14:textId="77777777" w:rsidR="000D07EA" w:rsidRDefault="00BE7C89">
      <w:pPr>
        <w:pStyle w:val="Heading6"/>
        <w:ind w:left="0" w:firstLine="0"/>
        <w:rPr>
          <w:lang w:val="en-AU"/>
        </w:rPr>
      </w:pPr>
      <w:bookmarkStart w:id="474" w:name="_Toc274136345"/>
      <w:bookmarkStart w:id="475" w:name="_Toc397941168"/>
      <w:r>
        <w:rPr>
          <w:lang w:val="en-AU"/>
        </w:rPr>
        <w:t>Blocking access to a number</w:t>
      </w:r>
      <w:bookmarkEnd w:id="474"/>
      <w:bookmarkEnd w:id="475"/>
    </w:p>
    <w:p w14:paraId="6A4ADE7C" w14:textId="77777777" w:rsidR="000D07EA" w:rsidRDefault="00BE7C89">
      <w:pPr>
        <w:pStyle w:val="BodyText"/>
        <w:ind w:left="720"/>
        <w:rPr>
          <w:lang w:val="en-AU" w:eastAsia="en-AU"/>
        </w:rPr>
      </w:pPr>
      <w:r>
        <w:rPr>
          <w:iCs/>
          <w:lang w:val="en-AU" w:eastAsia="en-AU"/>
        </w:rPr>
        <w:t xml:space="preserve">In addition to what is stated in clause 11 of the </w:t>
      </w:r>
      <w:r>
        <w:rPr>
          <w:i/>
          <w:iCs/>
          <w:lang w:val="en-AU" w:eastAsia="en-AU"/>
        </w:rPr>
        <w:t>service description ("Access Restrictions"), we</w:t>
      </w:r>
      <w:r>
        <w:rPr>
          <w:lang w:val="en-AU" w:eastAsia="en-AU"/>
        </w:rPr>
        <w:t xml:space="preserve"> may block access to a number (other than an emergency service number) if </w:t>
      </w:r>
      <w:r>
        <w:rPr>
          <w:i/>
          <w:lang w:val="en-AU" w:eastAsia="en-AU"/>
        </w:rPr>
        <w:t>we</w:t>
      </w:r>
      <w:r>
        <w:rPr>
          <w:lang w:val="en-AU" w:eastAsia="en-AU"/>
        </w:rPr>
        <w:t xml:space="preserve"> reasonably require this to be done for technical, operational or commercial reasons.</w:t>
      </w:r>
    </w:p>
    <w:p w14:paraId="55461A81" w14:textId="77777777" w:rsidR="000D07EA" w:rsidRDefault="00BE7C89">
      <w:pPr>
        <w:pStyle w:val="Heading6"/>
        <w:ind w:left="0" w:firstLine="0"/>
        <w:rPr>
          <w:lang w:val="en-AU"/>
        </w:rPr>
      </w:pPr>
      <w:bookmarkStart w:id="476" w:name="_Toc274136346"/>
      <w:bookmarkStart w:id="477" w:name="_Toc397941169"/>
      <w:r>
        <w:rPr>
          <w:lang w:val="en-AU"/>
        </w:rPr>
        <w:t>Minimum Term</w:t>
      </w:r>
      <w:bookmarkEnd w:id="476"/>
      <w:bookmarkEnd w:id="477"/>
    </w:p>
    <w:p w14:paraId="7D73B06F" w14:textId="77777777" w:rsidR="000D07EA" w:rsidRDefault="00BE7C89">
      <w:pPr>
        <w:pStyle w:val="Heading7"/>
        <w:rPr>
          <w:lang w:val="en-AU"/>
        </w:rPr>
      </w:pPr>
      <w:r>
        <w:rPr>
          <w:i/>
          <w:lang w:val="en-AU"/>
        </w:rPr>
        <w:t>You</w:t>
      </w:r>
      <w:r>
        <w:rPr>
          <w:lang w:val="en-AU"/>
        </w:rPr>
        <w:t xml:space="preserve"> must agree to a </w:t>
      </w:r>
      <w:r>
        <w:rPr>
          <w:i/>
          <w:lang w:val="en-AU"/>
        </w:rPr>
        <w:t>non-fixed length agreement</w:t>
      </w:r>
      <w:r>
        <w:rPr>
          <w:lang w:val="en-AU"/>
        </w:rPr>
        <w:t xml:space="preserve"> or a </w:t>
      </w:r>
      <w:r>
        <w:rPr>
          <w:i/>
          <w:lang w:val="en-AU"/>
        </w:rPr>
        <w:t>fixed length agreement</w:t>
      </w:r>
      <w:r>
        <w:rPr>
          <w:lang w:val="en-AU"/>
        </w:rPr>
        <w:t xml:space="preserve"> with a 12 month or 24 month minimum term. </w:t>
      </w:r>
    </w:p>
    <w:p w14:paraId="5A448FE7" w14:textId="77777777" w:rsidR="000D07EA" w:rsidRDefault="00BE7C89">
      <w:pPr>
        <w:pStyle w:val="Heading7"/>
        <w:rPr>
          <w:lang w:val="en-AU"/>
        </w:rPr>
      </w:pPr>
      <w:r>
        <w:rPr>
          <w:snapToGrid w:val="0"/>
          <w:lang w:val="en-AU"/>
        </w:rPr>
        <w:t>Customers who elect to take up the Business Mobile Broadband (BMB) hardware must agree to a</w:t>
      </w:r>
      <w:r>
        <w:rPr>
          <w:i/>
          <w:snapToGrid w:val="0"/>
          <w:lang w:val="en-AU"/>
        </w:rPr>
        <w:t xml:space="preserve"> fixed length agreement </w:t>
      </w:r>
      <w:r>
        <w:rPr>
          <w:snapToGrid w:val="0"/>
          <w:lang w:val="en-AU"/>
        </w:rPr>
        <w:t xml:space="preserve">with a 24 month </w:t>
      </w:r>
      <w:r>
        <w:rPr>
          <w:i/>
          <w:snapToGrid w:val="0"/>
          <w:lang w:val="en-AU"/>
        </w:rPr>
        <w:t>minimum term.</w:t>
      </w:r>
    </w:p>
    <w:p w14:paraId="13517B3F" w14:textId="77777777" w:rsidR="000D07EA" w:rsidRDefault="00BE7C89">
      <w:pPr>
        <w:pStyle w:val="Heading7"/>
        <w:rPr>
          <w:lang w:val="en-AU"/>
        </w:rPr>
      </w:pPr>
      <w:r>
        <w:rPr>
          <w:i/>
          <w:lang w:val="en-AU"/>
        </w:rPr>
        <w:t xml:space="preserve">You </w:t>
      </w:r>
      <w:r>
        <w:rPr>
          <w:lang w:val="en-AU"/>
        </w:rPr>
        <w:t xml:space="preserve">may purchase a </w:t>
      </w:r>
      <w:r>
        <w:rPr>
          <w:i/>
          <w:lang w:val="en-AU"/>
        </w:rPr>
        <w:t xml:space="preserve">mobile phone </w:t>
      </w:r>
      <w:r>
        <w:rPr>
          <w:lang w:val="en-AU"/>
        </w:rPr>
        <w:t xml:space="preserve">with a 12 month or 24 month </w:t>
      </w:r>
      <w:r>
        <w:rPr>
          <w:i/>
          <w:lang w:val="en-AU"/>
        </w:rPr>
        <w:t xml:space="preserve">equipment term </w:t>
      </w:r>
      <w:r>
        <w:rPr>
          <w:lang w:val="en-AU"/>
        </w:rPr>
        <w:t xml:space="preserve">under a </w:t>
      </w:r>
      <w:r>
        <w:rPr>
          <w:i/>
          <w:lang w:val="en-AU"/>
        </w:rPr>
        <w:t xml:space="preserve">mobile equipment payment plan </w:t>
      </w:r>
      <w:r>
        <w:rPr>
          <w:lang w:val="en-AU"/>
        </w:rPr>
        <w:t xml:space="preserve">depending on </w:t>
      </w:r>
      <w:r>
        <w:rPr>
          <w:i/>
          <w:lang w:val="en-AU"/>
        </w:rPr>
        <w:t xml:space="preserve">your </w:t>
      </w:r>
      <w:r>
        <w:rPr>
          <w:lang w:val="en-AU"/>
        </w:rPr>
        <w:t xml:space="preserve">contract plan. If </w:t>
      </w:r>
      <w:r>
        <w:rPr>
          <w:i/>
          <w:lang w:val="en-AU"/>
        </w:rPr>
        <w:t xml:space="preserve">you </w:t>
      </w:r>
      <w:r>
        <w:rPr>
          <w:lang w:val="en-AU"/>
        </w:rPr>
        <w:t xml:space="preserve">agree to a 24 month </w:t>
      </w:r>
      <w:r>
        <w:rPr>
          <w:i/>
          <w:lang w:val="en-AU"/>
        </w:rPr>
        <w:t xml:space="preserve">minimum term </w:t>
      </w:r>
      <w:r>
        <w:rPr>
          <w:lang w:val="en-AU"/>
        </w:rPr>
        <w:t xml:space="preserve">the price of the </w:t>
      </w:r>
      <w:r>
        <w:rPr>
          <w:i/>
          <w:lang w:val="en-AU"/>
        </w:rPr>
        <w:t xml:space="preserve">mobile phone </w:t>
      </w:r>
      <w:r>
        <w:rPr>
          <w:lang w:val="en-AU"/>
        </w:rPr>
        <w:t xml:space="preserve">available is less than if </w:t>
      </w:r>
      <w:r>
        <w:rPr>
          <w:i/>
          <w:lang w:val="en-AU"/>
        </w:rPr>
        <w:t xml:space="preserve">you </w:t>
      </w:r>
      <w:r>
        <w:rPr>
          <w:lang w:val="en-AU"/>
        </w:rPr>
        <w:t xml:space="preserve">only agree to a </w:t>
      </w:r>
      <w:r>
        <w:rPr>
          <w:i/>
          <w:lang w:val="en-AU"/>
        </w:rPr>
        <w:t>non-fixed length agreement</w:t>
      </w:r>
      <w:r>
        <w:rPr>
          <w:lang w:val="en-AU"/>
        </w:rPr>
        <w:t xml:space="preserve">. If </w:t>
      </w:r>
      <w:r>
        <w:rPr>
          <w:i/>
          <w:lang w:val="en-AU"/>
        </w:rPr>
        <w:t>you</w:t>
      </w:r>
      <w:r>
        <w:rPr>
          <w:lang w:val="en-AU"/>
        </w:rPr>
        <w:t xml:space="preserve"> agree to a 12 month </w:t>
      </w:r>
      <w:r>
        <w:rPr>
          <w:i/>
          <w:lang w:val="en-AU"/>
        </w:rPr>
        <w:t xml:space="preserve">minimum term </w:t>
      </w:r>
      <w:r>
        <w:rPr>
          <w:lang w:val="en-AU"/>
        </w:rPr>
        <w:t xml:space="preserve">the price of the </w:t>
      </w:r>
      <w:r>
        <w:rPr>
          <w:i/>
          <w:lang w:val="en-AU"/>
        </w:rPr>
        <w:t xml:space="preserve">mobile phone </w:t>
      </w:r>
      <w:r>
        <w:rPr>
          <w:lang w:val="en-AU"/>
        </w:rPr>
        <w:t xml:space="preserve">available is less than if </w:t>
      </w:r>
      <w:r>
        <w:rPr>
          <w:i/>
          <w:lang w:val="en-AU"/>
        </w:rPr>
        <w:t xml:space="preserve">you </w:t>
      </w:r>
      <w:r>
        <w:rPr>
          <w:lang w:val="en-AU"/>
        </w:rPr>
        <w:t xml:space="preserve">only agree to a </w:t>
      </w:r>
      <w:r>
        <w:rPr>
          <w:i/>
          <w:lang w:val="en-AU"/>
        </w:rPr>
        <w:t>non-fixed length agreement.</w:t>
      </w:r>
    </w:p>
    <w:p w14:paraId="37F1C9B3" w14:textId="77777777" w:rsidR="000D07EA" w:rsidRDefault="00BE7C89">
      <w:pPr>
        <w:pStyle w:val="Heading6"/>
        <w:ind w:left="0" w:firstLine="0"/>
        <w:rPr>
          <w:lang w:val="en-AU"/>
        </w:rPr>
      </w:pPr>
      <w:bookmarkStart w:id="478" w:name="_Toc274136347"/>
      <w:bookmarkStart w:id="479" w:name="_Toc397941170"/>
      <w:r>
        <w:rPr>
          <w:lang w:val="en-AU"/>
        </w:rPr>
        <w:t>What happens if you are no longer eligible</w:t>
      </w:r>
      <w:bookmarkEnd w:id="478"/>
      <w:bookmarkEnd w:id="479"/>
    </w:p>
    <w:p w14:paraId="51D39924" w14:textId="77777777" w:rsidR="000D07EA" w:rsidRDefault="00BE7C89">
      <w:pPr>
        <w:pStyle w:val="Heading7"/>
        <w:rPr>
          <w:lang w:val="en-AU"/>
        </w:rPr>
      </w:pPr>
      <w:r>
        <w:rPr>
          <w:lang w:val="en-AU"/>
        </w:rPr>
        <w:t xml:space="preserve">If </w:t>
      </w:r>
      <w:r>
        <w:rPr>
          <w:i/>
          <w:lang w:val="en-AU"/>
        </w:rPr>
        <w:t>you</w:t>
      </w:r>
      <w:r>
        <w:rPr>
          <w:lang w:val="en-AU"/>
        </w:rPr>
        <w:t xml:space="preserve"> are no longer classified as a </w:t>
      </w:r>
      <w:r>
        <w:rPr>
          <w:i/>
          <w:lang w:val="en-AU"/>
        </w:rPr>
        <w:t>small and medium business</w:t>
      </w:r>
      <w:r>
        <w:rPr>
          <w:lang w:val="en-AU"/>
        </w:rPr>
        <w:t xml:space="preserve"> we may at our discretion change </w:t>
      </w:r>
      <w:r>
        <w:rPr>
          <w:i/>
          <w:lang w:val="en-AU"/>
        </w:rPr>
        <w:t>you</w:t>
      </w:r>
      <w:r>
        <w:rPr>
          <w:lang w:val="en-AU"/>
        </w:rPr>
        <w:t xml:space="preserve">r </w:t>
      </w:r>
      <w:r>
        <w:rPr>
          <w:i/>
          <w:lang w:val="en-AU"/>
        </w:rPr>
        <w:t xml:space="preserve">Optus Mobile Digital Service </w:t>
      </w:r>
      <w:r>
        <w:rPr>
          <w:lang w:val="en-AU"/>
        </w:rPr>
        <w:t xml:space="preserve">and </w:t>
      </w:r>
      <w:r>
        <w:rPr>
          <w:i/>
          <w:lang w:val="en-AU"/>
        </w:rPr>
        <w:t>Business Mobile Broadband Service</w:t>
      </w:r>
      <w:r>
        <w:rPr>
          <w:lang w:val="en-AU"/>
        </w:rPr>
        <w:t xml:space="preserve"> to an eligible plan although other service options may be available to </w:t>
      </w:r>
      <w:r>
        <w:rPr>
          <w:i/>
          <w:lang w:val="en-AU"/>
        </w:rPr>
        <w:t xml:space="preserve">you </w:t>
      </w:r>
      <w:r>
        <w:rPr>
          <w:lang w:val="en-AU"/>
        </w:rPr>
        <w:t xml:space="preserve">and </w:t>
      </w:r>
      <w:r>
        <w:rPr>
          <w:i/>
          <w:lang w:val="en-AU"/>
        </w:rPr>
        <w:t>you</w:t>
      </w:r>
      <w:r>
        <w:rPr>
          <w:lang w:val="en-AU"/>
        </w:rPr>
        <w:t xml:space="preserve"> may have to pay </w:t>
      </w:r>
      <w:r>
        <w:rPr>
          <w:i/>
          <w:lang w:val="en-AU"/>
        </w:rPr>
        <w:t>us</w:t>
      </w:r>
      <w:r>
        <w:rPr>
          <w:lang w:val="en-AU"/>
        </w:rPr>
        <w:t xml:space="preserve"> a cancellation fee</w:t>
      </w:r>
      <w:r>
        <w:rPr>
          <w:i/>
          <w:lang w:val="en-AU"/>
        </w:rPr>
        <w:t>.</w:t>
      </w:r>
    </w:p>
    <w:p w14:paraId="3DA6CE00" w14:textId="77777777" w:rsidR="000D07EA" w:rsidRDefault="00BE7C89">
      <w:pPr>
        <w:pStyle w:val="Heading7"/>
        <w:rPr>
          <w:lang w:val="en-AU"/>
        </w:rPr>
      </w:pPr>
      <w:r>
        <w:rPr>
          <w:lang w:val="en-AU"/>
        </w:rPr>
        <w:t xml:space="preserve">If </w:t>
      </w:r>
      <w:r>
        <w:rPr>
          <w:i/>
          <w:lang w:val="en-AU"/>
        </w:rPr>
        <w:t>you</w:t>
      </w:r>
      <w:r>
        <w:rPr>
          <w:lang w:val="en-AU"/>
        </w:rPr>
        <w:t xml:space="preserve"> no longer have </w:t>
      </w:r>
      <w:r>
        <w:rPr>
          <w:i/>
          <w:lang w:val="en-AU"/>
        </w:rPr>
        <w:t>Optus Mobile Digital services</w:t>
      </w:r>
      <w:r>
        <w:rPr>
          <w:lang w:val="en-AU"/>
        </w:rPr>
        <w:t xml:space="preserve"> on </w:t>
      </w:r>
      <w:r>
        <w:rPr>
          <w:i/>
          <w:lang w:val="en-AU"/>
        </w:rPr>
        <w:t>you</w:t>
      </w:r>
      <w:r>
        <w:rPr>
          <w:lang w:val="en-AU"/>
        </w:rPr>
        <w:t xml:space="preserve">r account connected to a Business Complete Ultimate Offer but have a </w:t>
      </w:r>
      <w:r>
        <w:rPr>
          <w:i/>
          <w:lang w:val="en-AU"/>
        </w:rPr>
        <w:t>Business Mobile Broadband Service</w:t>
      </w:r>
      <w:r>
        <w:rPr>
          <w:lang w:val="en-AU"/>
        </w:rPr>
        <w:t xml:space="preserve"> on a $10 or $15 Business Advantage BMB Offer we may at our discretion change </w:t>
      </w:r>
      <w:r>
        <w:rPr>
          <w:i/>
          <w:lang w:val="en-AU"/>
        </w:rPr>
        <w:t>you</w:t>
      </w:r>
      <w:r>
        <w:rPr>
          <w:lang w:val="en-AU"/>
        </w:rPr>
        <w:t>r Business Mobile Broadband Service price plan to an eligible Business Mobile Broadband Plan.</w:t>
      </w:r>
    </w:p>
    <w:p w14:paraId="43399A43" w14:textId="77777777" w:rsidR="000D07EA" w:rsidRDefault="00BE7C89">
      <w:pPr>
        <w:pStyle w:val="Heading6"/>
        <w:ind w:left="0" w:firstLine="0"/>
        <w:rPr>
          <w:lang w:val="en-AU"/>
        </w:rPr>
      </w:pPr>
      <w:bookmarkStart w:id="480" w:name="_Toc274136348"/>
      <w:bookmarkStart w:id="481" w:name="_Toc397941171"/>
      <w:r>
        <w:rPr>
          <w:lang w:val="en-AU"/>
        </w:rPr>
        <w:t>What you have to pay us</w:t>
      </w:r>
      <w:bookmarkEnd w:id="480"/>
      <w:bookmarkEnd w:id="481"/>
    </w:p>
    <w:p w14:paraId="13DFC207" w14:textId="77777777" w:rsidR="000D07EA" w:rsidRDefault="00BE7C89">
      <w:pPr>
        <w:pStyle w:val="Heading7"/>
        <w:rPr>
          <w:lang w:val="en-AU"/>
        </w:rPr>
      </w:pPr>
      <w:r>
        <w:rPr>
          <w:lang w:val="en-AU"/>
        </w:rPr>
        <w:t xml:space="preserve">Subject to paragraphs </w:t>
      </w:r>
      <w:r>
        <w:rPr>
          <w:lang w:val="en-AU"/>
        </w:rPr>
        <w:fldChar w:fldCharType="begin"/>
      </w:r>
      <w:r>
        <w:rPr>
          <w:lang w:val="en-AU"/>
        </w:rPr>
        <w:instrText xml:space="preserve"> REF _Ref461550974 \n \h </w:instrText>
      </w:r>
      <w:r>
        <w:rPr>
          <w:lang w:val="en-AU"/>
        </w:rPr>
      </w:r>
      <w:r>
        <w:rPr>
          <w:lang w:val="en-AU"/>
        </w:rPr>
        <w:fldChar w:fldCharType="separate"/>
      </w:r>
      <w:r w:rsidR="0004083A">
        <w:rPr>
          <w:lang w:val="en-AU"/>
        </w:rPr>
        <w:t>(c)</w:t>
      </w:r>
      <w:r>
        <w:rPr>
          <w:lang w:val="en-AU"/>
        </w:rPr>
        <w:fldChar w:fldCharType="end"/>
      </w:r>
      <w:r>
        <w:rPr>
          <w:lang w:val="en-AU"/>
        </w:rPr>
        <w:t xml:space="preserve">, </w:t>
      </w:r>
      <w:r>
        <w:rPr>
          <w:lang w:val="en-AU"/>
        </w:rPr>
        <w:fldChar w:fldCharType="begin"/>
      </w:r>
      <w:r>
        <w:rPr>
          <w:lang w:val="en-AU"/>
        </w:rPr>
        <w:instrText xml:space="preserve"> REF _Ref461550980 \n \h </w:instrText>
      </w:r>
      <w:r>
        <w:rPr>
          <w:lang w:val="en-AU"/>
        </w:rPr>
      </w:r>
      <w:r>
        <w:rPr>
          <w:lang w:val="en-AU"/>
        </w:rPr>
        <w:fldChar w:fldCharType="separate"/>
      </w:r>
      <w:r w:rsidR="0004083A">
        <w:rPr>
          <w:lang w:val="en-AU"/>
        </w:rPr>
        <w:t>(d)</w:t>
      </w:r>
      <w:r>
        <w:rPr>
          <w:lang w:val="en-AU"/>
        </w:rPr>
        <w:fldChar w:fldCharType="end"/>
      </w:r>
      <w:r>
        <w:rPr>
          <w:lang w:val="en-AU"/>
        </w:rPr>
        <w:t xml:space="preserve">, </w:t>
      </w:r>
      <w:r>
        <w:rPr>
          <w:lang w:val="en-AU"/>
        </w:rPr>
        <w:fldChar w:fldCharType="begin"/>
      </w:r>
      <w:r>
        <w:rPr>
          <w:lang w:val="en-AU"/>
        </w:rPr>
        <w:instrText xml:space="preserve"> REF _Ref461550985 \n \h </w:instrText>
      </w:r>
      <w:r>
        <w:rPr>
          <w:lang w:val="en-AU"/>
        </w:rPr>
      </w:r>
      <w:r>
        <w:rPr>
          <w:lang w:val="en-AU"/>
        </w:rPr>
        <w:fldChar w:fldCharType="separate"/>
      </w:r>
      <w:r w:rsidR="0004083A">
        <w:rPr>
          <w:lang w:val="en-AU"/>
        </w:rPr>
        <w:t>(e)</w:t>
      </w:r>
      <w:r>
        <w:rPr>
          <w:lang w:val="en-AU"/>
        </w:rPr>
        <w:fldChar w:fldCharType="end"/>
      </w:r>
      <w:r>
        <w:rPr>
          <w:lang w:val="en-AU"/>
        </w:rPr>
        <w:t xml:space="preserve">, </w:t>
      </w:r>
      <w:r>
        <w:rPr>
          <w:lang w:val="en-AU"/>
        </w:rPr>
        <w:fldChar w:fldCharType="begin"/>
      </w:r>
      <w:r>
        <w:rPr>
          <w:lang w:val="en-AU"/>
        </w:rPr>
        <w:instrText xml:space="preserve"> REF _Ref461550990 \n \h </w:instrText>
      </w:r>
      <w:r>
        <w:rPr>
          <w:lang w:val="en-AU"/>
        </w:rPr>
      </w:r>
      <w:r>
        <w:rPr>
          <w:lang w:val="en-AU"/>
        </w:rPr>
        <w:fldChar w:fldCharType="separate"/>
      </w:r>
      <w:r w:rsidR="0004083A">
        <w:rPr>
          <w:lang w:val="en-AU"/>
        </w:rPr>
        <w:t>(f)</w:t>
      </w:r>
      <w:r>
        <w:rPr>
          <w:lang w:val="en-AU"/>
        </w:rPr>
        <w:fldChar w:fldCharType="end"/>
      </w:r>
      <w:r>
        <w:rPr>
          <w:lang w:val="en-AU"/>
        </w:rPr>
        <w:t xml:space="preserve">, </w:t>
      </w:r>
      <w:r>
        <w:rPr>
          <w:lang w:val="en-AU"/>
        </w:rPr>
        <w:fldChar w:fldCharType="begin"/>
      </w:r>
      <w:r>
        <w:rPr>
          <w:lang w:val="en-AU"/>
        </w:rPr>
        <w:instrText xml:space="preserve"> REF _Ref461550995 \n \h </w:instrText>
      </w:r>
      <w:r>
        <w:rPr>
          <w:lang w:val="en-AU"/>
        </w:rPr>
      </w:r>
      <w:r>
        <w:rPr>
          <w:lang w:val="en-AU"/>
        </w:rPr>
        <w:fldChar w:fldCharType="separate"/>
      </w:r>
      <w:r w:rsidR="0004083A">
        <w:rPr>
          <w:lang w:val="en-AU"/>
        </w:rPr>
        <w:t>(g)</w:t>
      </w:r>
      <w:r>
        <w:rPr>
          <w:lang w:val="en-AU"/>
        </w:rPr>
        <w:fldChar w:fldCharType="end"/>
      </w:r>
      <w:r>
        <w:rPr>
          <w:lang w:val="en-AU"/>
        </w:rPr>
        <w:t xml:space="preserve">, </w:t>
      </w:r>
      <w:r>
        <w:rPr>
          <w:lang w:val="en-AU"/>
        </w:rPr>
        <w:fldChar w:fldCharType="begin"/>
      </w:r>
      <w:r>
        <w:rPr>
          <w:lang w:val="en-AU"/>
        </w:rPr>
        <w:instrText xml:space="preserve"> REF _Ref461551000 \n \h </w:instrText>
      </w:r>
      <w:r>
        <w:rPr>
          <w:lang w:val="en-AU"/>
        </w:rPr>
      </w:r>
      <w:r>
        <w:rPr>
          <w:lang w:val="en-AU"/>
        </w:rPr>
        <w:fldChar w:fldCharType="separate"/>
      </w:r>
      <w:r w:rsidR="0004083A">
        <w:rPr>
          <w:lang w:val="en-AU"/>
        </w:rPr>
        <w:t>(h)</w:t>
      </w:r>
      <w:r>
        <w:rPr>
          <w:lang w:val="en-AU"/>
        </w:rPr>
        <w:fldChar w:fldCharType="end"/>
      </w:r>
      <w:r>
        <w:rPr>
          <w:lang w:val="en-AU"/>
        </w:rPr>
        <w:t xml:space="preserve">, </w:t>
      </w:r>
      <w:r>
        <w:rPr>
          <w:lang w:val="en-AU"/>
        </w:rPr>
        <w:fldChar w:fldCharType="begin"/>
      </w:r>
      <w:r>
        <w:rPr>
          <w:lang w:val="en-AU"/>
        </w:rPr>
        <w:instrText xml:space="preserve"> REF _Ref461551005 \n \h </w:instrText>
      </w:r>
      <w:r>
        <w:rPr>
          <w:lang w:val="en-AU"/>
        </w:rPr>
      </w:r>
      <w:r>
        <w:rPr>
          <w:lang w:val="en-AU"/>
        </w:rPr>
        <w:fldChar w:fldCharType="separate"/>
      </w:r>
      <w:r w:rsidR="0004083A">
        <w:rPr>
          <w:lang w:val="en-AU"/>
        </w:rPr>
        <w:t>(i)</w:t>
      </w:r>
      <w:r>
        <w:rPr>
          <w:lang w:val="en-AU"/>
        </w:rPr>
        <w:fldChar w:fldCharType="end"/>
      </w:r>
      <w:r>
        <w:rPr>
          <w:lang w:val="en-AU"/>
        </w:rPr>
        <w:t xml:space="preserve"> and </w:t>
      </w:r>
      <w:r>
        <w:rPr>
          <w:lang w:val="en-AU"/>
        </w:rPr>
        <w:fldChar w:fldCharType="begin"/>
      </w:r>
      <w:r>
        <w:rPr>
          <w:lang w:val="en-AU"/>
        </w:rPr>
        <w:instrText xml:space="preserve"> REF _Ref461551011 \n \h </w:instrText>
      </w:r>
      <w:r>
        <w:rPr>
          <w:lang w:val="en-AU"/>
        </w:rPr>
      </w:r>
      <w:r>
        <w:rPr>
          <w:lang w:val="en-AU"/>
        </w:rPr>
        <w:fldChar w:fldCharType="separate"/>
      </w:r>
      <w:r w:rsidR="0004083A">
        <w:rPr>
          <w:lang w:val="en-AU"/>
        </w:rPr>
        <w:t>(j)</w:t>
      </w:r>
      <w:r>
        <w:rPr>
          <w:lang w:val="en-AU"/>
        </w:rPr>
        <w:fldChar w:fldCharType="end"/>
      </w:r>
      <w:r>
        <w:rPr>
          <w:lang w:val="en-AU"/>
        </w:rPr>
        <w:t xml:space="preserve"> below </w:t>
      </w:r>
      <w:r>
        <w:rPr>
          <w:i/>
          <w:lang w:val="en-AU"/>
        </w:rPr>
        <w:t xml:space="preserve">you </w:t>
      </w:r>
      <w:r>
        <w:rPr>
          <w:lang w:val="en-AU"/>
        </w:rPr>
        <w:t xml:space="preserve">must pay </w:t>
      </w:r>
      <w:r>
        <w:rPr>
          <w:i/>
          <w:lang w:val="en-AU"/>
        </w:rPr>
        <w:t xml:space="preserve">us </w:t>
      </w:r>
      <w:r>
        <w:rPr>
          <w:lang w:val="en-AU"/>
        </w:rPr>
        <w:t xml:space="preserve">for use of the </w:t>
      </w:r>
      <w:r>
        <w:rPr>
          <w:i/>
          <w:lang w:val="en-AU"/>
        </w:rPr>
        <w:t xml:space="preserve">service </w:t>
      </w:r>
      <w:r>
        <w:rPr>
          <w:lang w:val="en-AU"/>
        </w:rPr>
        <w:t xml:space="preserve">at the rates set out in </w:t>
      </w:r>
      <w:hyperlink r:id="rId311" w:history="1">
        <w:r>
          <w:rPr>
            <w:rStyle w:val="Hyperlink"/>
          </w:rPr>
          <w:t>Section 1</w:t>
        </w:r>
      </w:hyperlink>
      <w:r>
        <w:rPr>
          <w:lang w:val="en-AU"/>
        </w:rPr>
        <w:t xml:space="preserve"> of this </w:t>
      </w:r>
      <w:r>
        <w:rPr>
          <w:i/>
          <w:lang w:val="en-AU"/>
        </w:rPr>
        <w:t xml:space="preserve">standard pricing table </w:t>
      </w:r>
      <w:r>
        <w:rPr>
          <w:lang w:val="en-AU"/>
        </w:rPr>
        <w:t xml:space="preserve">and for </w:t>
      </w:r>
      <w:r>
        <w:rPr>
          <w:i/>
          <w:lang w:val="en-AU"/>
        </w:rPr>
        <w:t xml:space="preserve">value added service features </w:t>
      </w:r>
      <w:r>
        <w:rPr>
          <w:lang w:val="en-AU"/>
        </w:rPr>
        <w:t xml:space="preserve">at the rates set out in </w:t>
      </w:r>
      <w:hyperlink r:id="rId312" w:history="1">
        <w:r>
          <w:rPr>
            <w:rStyle w:val="Hyperlink"/>
            <w:i/>
          </w:rPr>
          <w:t>Appendix Y</w:t>
        </w:r>
      </w:hyperlink>
      <w:r>
        <w:rPr>
          <w:lang w:val="en-AU"/>
        </w:rPr>
        <w:t xml:space="preserve"> Value Added Service Features</w:t>
      </w:r>
      <w:r>
        <w:rPr>
          <w:i/>
          <w:lang w:val="en-AU"/>
        </w:rPr>
        <w:t xml:space="preserve">. </w:t>
      </w:r>
    </w:p>
    <w:p w14:paraId="0A23372D" w14:textId="77777777" w:rsidR="000D07EA" w:rsidRDefault="00BE7C89">
      <w:pPr>
        <w:pStyle w:val="Heading7"/>
        <w:rPr>
          <w:lang w:val="en-AU"/>
        </w:rPr>
      </w:pPr>
      <w:r>
        <w:rPr>
          <w:lang w:val="en-AU"/>
        </w:rPr>
        <w:t xml:space="preserve">If there is a </w:t>
      </w:r>
      <w:r>
        <w:rPr>
          <w:i/>
          <w:lang w:val="en-AU"/>
        </w:rPr>
        <w:t xml:space="preserve">flagfall </w:t>
      </w:r>
      <w:r>
        <w:rPr>
          <w:lang w:val="en-AU"/>
        </w:rPr>
        <w:t xml:space="preserve">or call connection charge for a particular call type, the charge for these calls is the </w:t>
      </w:r>
      <w:r>
        <w:rPr>
          <w:i/>
          <w:lang w:val="en-AU"/>
        </w:rPr>
        <w:t xml:space="preserve">flagfall </w:t>
      </w:r>
      <w:r>
        <w:rPr>
          <w:lang w:val="en-AU"/>
        </w:rPr>
        <w:t>charge plus the relevant rate for the call multiplied by the duration of the call.</w:t>
      </w:r>
    </w:p>
    <w:p w14:paraId="04086868" w14:textId="77777777" w:rsidR="000D07EA" w:rsidRDefault="00BE7C89">
      <w:pPr>
        <w:pStyle w:val="Heading7"/>
        <w:keepNext/>
        <w:rPr>
          <w:b/>
          <w:lang w:val="en-AU"/>
        </w:rPr>
      </w:pPr>
      <w:bookmarkStart w:id="482" w:name="_Ref461550974"/>
      <w:r>
        <w:rPr>
          <w:b/>
          <w:lang w:val="en-AU"/>
        </w:rPr>
        <w:lastRenderedPageBreak/>
        <w:t>The Cap</w:t>
      </w:r>
      <w:bookmarkEnd w:id="482"/>
    </w:p>
    <w:p w14:paraId="519A13F4" w14:textId="77777777" w:rsidR="000D07EA" w:rsidRDefault="00BE7C89">
      <w:pPr>
        <w:pStyle w:val="Heading8"/>
        <w:rPr>
          <w:lang w:val="en-AU"/>
        </w:rPr>
      </w:pPr>
      <w:r>
        <w:rPr>
          <w:lang w:val="en-AU" w:eastAsia="en-AU"/>
        </w:rPr>
        <w:t xml:space="preserve">Under the Business Complete Ultimate Plans, a cap applies when the value of </w:t>
      </w:r>
      <w:r>
        <w:rPr>
          <w:b/>
          <w:lang w:val="en-AU" w:eastAsia="en-AU"/>
        </w:rPr>
        <w:t xml:space="preserve">eligible calls and text </w:t>
      </w:r>
      <w:r>
        <w:rPr>
          <w:i/>
          <w:lang w:val="en-AU" w:eastAsia="en-AU"/>
        </w:rPr>
        <w:t xml:space="preserve">you </w:t>
      </w:r>
      <w:r>
        <w:rPr>
          <w:lang w:val="en-AU" w:eastAsia="en-AU"/>
        </w:rPr>
        <w:t xml:space="preserve">make in a month reaches </w:t>
      </w:r>
      <w:r>
        <w:rPr>
          <w:i/>
          <w:lang w:val="en-AU" w:eastAsia="en-AU"/>
        </w:rPr>
        <w:t xml:space="preserve">your pricing plan's </w:t>
      </w:r>
      <w:r>
        <w:rPr>
          <w:b/>
          <w:lang w:val="en-AU" w:eastAsia="en-AU"/>
        </w:rPr>
        <w:t xml:space="preserve">cap start. </w:t>
      </w:r>
      <w:r>
        <w:rPr>
          <w:lang w:val="en-AU" w:eastAsia="en-AU"/>
        </w:rPr>
        <w:t xml:space="preserve">Once </w:t>
      </w:r>
      <w:r>
        <w:rPr>
          <w:i/>
          <w:lang w:val="en-AU" w:eastAsia="en-AU"/>
        </w:rPr>
        <w:t xml:space="preserve">your </w:t>
      </w:r>
      <w:r>
        <w:rPr>
          <w:lang w:val="en-AU" w:eastAsia="en-AU"/>
        </w:rPr>
        <w:t xml:space="preserve">eligible calls and text spend reaches </w:t>
      </w:r>
      <w:r>
        <w:rPr>
          <w:lang w:val="en-AU"/>
        </w:rPr>
        <w:t xml:space="preserve">the cap start, additional eligible calls and text made in that month are included until the value of </w:t>
      </w:r>
      <w:r>
        <w:rPr>
          <w:i/>
          <w:lang w:val="en-AU"/>
        </w:rPr>
        <w:t xml:space="preserve">your </w:t>
      </w:r>
      <w:r>
        <w:rPr>
          <w:lang w:val="en-AU"/>
        </w:rPr>
        <w:t xml:space="preserve">eligible calls and text reach </w:t>
      </w:r>
      <w:r>
        <w:rPr>
          <w:i/>
          <w:lang w:val="en-AU"/>
        </w:rPr>
        <w:t xml:space="preserve">your pricing plan's </w:t>
      </w:r>
      <w:r>
        <w:rPr>
          <w:b/>
          <w:lang w:val="en-AU"/>
        </w:rPr>
        <w:t>Included Cap Value</w:t>
      </w:r>
      <w:r>
        <w:rPr>
          <w:lang w:val="en-AU"/>
        </w:rPr>
        <w:t xml:space="preserve">. </w:t>
      </w:r>
    </w:p>
    <w:p w14:paraId="1EFC5DFF" w14:textId="77777777" w:rsidR="000D07EA" w:rsidRDefault="00BE7C89">
      <w:pPr>
        <w:pStyle w:val="Heading8"/>
        <w:rPr>
          <w:lang w:val="en-AU"/>
        </w:rPr>
      </w:pPr>
      <w:r>
        <w:rPr>
          <w:lang w:val="en-AU"/>
        </w:rPr>
        <w:t>The '</w:t>
      </w:r>
      <w:r>
        <w:rPr>
          <w:b/>
          <w:lang w:val="en-AU"/>
        </w:rPr>
        <w:t xml:space="preserve">cap start' </w:t>
      </w:r>
      <w:r>
        <w:rPr>
          <w:lang w:val="en-AU"/>
        </w:rPr>
        <w:t>and '</w:t>
      </w:r>
      <w:r>
        <w:rPr>
          <w:b/>
          <w:lang w:val="en-AU"/>
        </w:rPr>
        <w:t xml:space="preserve">Included Cap Value' </w:t>
      </w:r>
      <w:r>
        <w:rPr>
          <w:lang w:val="en-AU"/>
        </w:rPr>
        <w:t xml:space="preserve">for each Business Complete Ultimate Plan is set out in Table 3A below. </w:t>
      </w:r>
    </w:p>
    <w:p w14:paraId="52AEB7C2" w14:textId="77777777" w:rsidR="000D07EA" w:rsidRDefault="00BE7C89">
      <w:pPr>
        <w:pStyle w:val="Heading8"/>
        <w:rPr>
          <w:lang w:val="en-AU"/>
        </w:rPr>
      </w:pPr>
      <w:r>
        <w:rPr>
          <w:lang w:val="en-AU"/>
        </w:rPr>
        <w:t xml:space="preserve">The call types that are </w:t>
      </w:r>
      <w:r>
        <w:rPr>
          <w:b/>
          <w:lang w:val="en-AU"/>
        </w:rPr>
        <w:t>'eligible calls and text'</w:t>
      </w:r>
      <w:r>
        <w:rPr>
          <w:lang w:val="en-AU"/>
        </w:rPr>
        <w:t xml:space="preserve"> for each Business Complete Ultimate Plan is defined in Table 1A below. </w:t>
      </w:r>
    </w:p>
    <w:p w14:paraId="13CC6931" w14:textId="77777777" w:rsidR="000D07EA" w:rsidRDefault="00BE7C89">
      <w:pPr>
        <w:pStyle w:val="Heading8"/>
        <w:rPr>
          <w:lang w:val="en-AU"/>
        </w:rPr>
      </w:pPr>
      <w:r>
        <w:rPr>
          <w:i/>
          <w:lang w:val="en-AU"/>
        </w:rPr>
        <w:t xml:space="preserve">You </w:t>
      </w:r>
      <w:r>
        <w:rPr>
          <w:lang w:val="en-AU"/>
        </w:rPr>
        <w:t>must pay for any calls that are not eligible calls and text.</w:t>
      </w:r>
    </w:p>
    <w:p w14:paraId="23EC3CDE" w14:textId="77777777" w:rsidR="000D07EA" w:rsidRDefault="00BE7C89">
      <w:pPr>
        <w:pStyle w:val="Heading8"/>
        <w:rPr>
          <w:lang w:val="en-AU"/>
        </w:rPr>
      </w:pPr>
      <w:r>
        <w:rPr>
          <w:i/>
          <w:lang w:val="en-AU"/>
        </w:rPr>
        <w:t xml:space="preserve">You </w:t>
      </w:r>
      <w:r>
        <w:rPr>
          <w:lang w:val="en-AU"/>
        </w:rPr>
        <w:t xml:space="preserve">must pay </w:t>
      </w:r>
      <w:r>
        <w:rPr>
          <w:i/>
          <w:lang w:val="en-AU"/>
        </w:rPr>
        <w:t xml:space="preserve">us </w:t>
      </w:r>
      <w:r>
        <w:rPr>
          <w:lang w:val="en-AU"/>
        </w:rPr>
        <w:t xml:space="preserve">call charges for eligible calls and text made beyond the Included Cap Value of </w:t>
      </w:r>
      <w:r>
        <w:rPr>
          <w:i/>
          <w:lang w:val="en-AU"/>
        </w:rPr>
        <w:t xml:space="preserve">your </w:t>
      </w:r>
      <w:r>
        <w:rPr>
          <w:lang w:val="en-AU"/>
        </w:rPr>
        <w:t>Business Complete Ultimate Plan.</w:t>
      </w:r>
    </w:p>
    <w:p w14:paraId="38E7CFBD" w14:textId="77777777" w:rsidR="000D07EA" w:rsidRDefault="00BE7C89">
      <w:pPr>
        <w:pStyle w:val="Heading8"/>
        <w:rPr>
          <w:lang w:val="en-AU"/>
        </w:rPr>
      </w:pPr>
      <w:r>
        <w:rPr>
          <w:snapToGrid w:val="0"/>
          <w:lang w:val="en-AU"/>
        </w:rPr>
        <w:t>Any unused portion of the cap expires at the end of each month. This means that it does not roll over into following month.</w:t>
      </w:r>
    </w:p>
    <w:p w14:paraId="30195D41" w14:textId="77777777" w:rsidR="000D07EA" w:rsidRDefault="00BE7C89">
      <w:pPr>
        <w:pStyle w:val="Heading7"/>
        <w:rPr>
          <w:b/>
          <w:lang w:val="en-AU"/>
        </w:rPr>
      </w:pPr>
      <w:bookmarkStart w:id="483" w:name="_Ref461550980"/>
      <w:r>
        <w:rPr>
          <w:b/>
          <w:lang w:val="en-AU"/>
        </w:rPr>
        <w:t>Included Cap Value</w:t>
      </w:r>
      <w:bookmarkEnd w:id="483"/>
    </w:p>
    <w:p w14:paraId="581B470D" w14:textId="77777777" w:rsidR="000D07EA" w:rsidRDefault="00BE7C89">
      <w:pPr>
        <w:pStyle w:val="Heading8"/>
        <w:rPr>
          <w:lang w:val="en-AU"/>
        </w:rPr>
      </w:pPr>
      <w:r>
        <w:rPr>
          <w:lang w:val="en-AU"/>
        </w:rPr>
        <w:t xml:space="preserve">Under the Business Complete Ultimate Plans, </w:t>
      </w:r>
      <w:r>
        <w:rPr>
          <w:i/>
          <w:lang w:val="en-AU"/>
        </w:rPr>
        <w:t xml:space="preserve">you </w:t>
      </w:r>
      <w:r>
        <w:rPr>
          <w:lang w:val="en-AU"/>
        </w:rPr>
        <w:t>will receive "Included Cap Value".</w:t>
      </w:r>
    </w:p>
    <w:p w14:paraId="29819FA8" w14:textId="77777777" w:rsidR="000D07EA" w:rsidRDefault="00BE7C89">
      <w:pPr>
        <w:pStyle w:val="Heading8"/>
        <w:rPr>
          <w:lang w:val="en-AU"/>
        </w:rPr>
      </w:pPr>
      <w:r>
        <w:rPr>
          <w:lang w:val="en-AU"/>
        </w:rPr>
        <w:t>The amount of the "Included Cap Value" included for each Business Complete Ultimate plan is set out in Table 3A below.</w:t>
      </w:r>
    </w:p>
    <w:p w14:paraId="6CD6B304" w14:textId="77777777" w:rsidR="000D07EA" w:rsidRDefault="00BE7C89">
      <w:pPr>
        <w:pStyle w:val="Heading8"/>
        <w:rPr>
          <w:lang w:val="en-AU"/>
        </w:rPr>
      </w:pPr>
      <w:r>
        <w:rPr>
          <w:lang w:val="en-AU"/>
        </w:rPr>
        <w:t xml:space="preserve">The call types that are </w:t>
      </w:r>
      <w:r>
        <w:rPr>
          <w:b/>
          <w:lang w:val="en-AU"/>
        </w:rPr>
        <w:t>'eligible calls and text'</w:t>
      </w:r>
      <w:r>
        <w:rPr>
          <w:lang w:val="en-AU"/>
        </w:rPr>
        <w:t xml:space="preserve"> for each Business Complete Ultimate Plan under the "Included Cap Value" are defined in Table 1A below.</w:t>
      </w:r>
    </w:p>
    <w:p w14:paraId="039E8922" w14:textId="77777777" w:rsidR="000D07EA" w:rsidRDefault="00BE7C89">
      <w:pPr>
        <w:pStyle w:val="Heading8"/>
        <w:rPr>
          <w:lang w:val="en-AU"/>
        </w:rPr>
      </w:pPr>
      <w:r>
        <w:rPr>
          <w:i/>
          <w:lang w:val="en-AU"/>
        </w:rPr>
        <w:t xml:space="preserve">You </w:t>
      </w:r>
      <w:r>
        <w:rPr>
          <w:lang w:val="en-AU"/>
        </w:rPr>
        <w:t xml:space="preserve">must pay </w:t>
      </w:r>
      <w:r>
        <w:rPr>
          <w:i/>
          <w:lang w:val="en-AU"/>
        </w:rPr>
        <w:t xml:space="preserve">us </w:t>
      </w:r>
      <w:r>
        <w:rPr>
          <w:lang w:val="en-AU"/>
        </w:rPr>
        <w:t xml:space="preserve">call charges for eligible calls and text made beyond the available "Included Cap Value". </w:t>
      </w:r>
    </w:p>
    <w:p w14:paraId="73FF8762" w14:textId="77777777" w:rsidR="000D07EA" w:rsidRDefault="00BE7C89">
      <w:pPr>
        <w:pStyle w:val="Heading8"/>
        <w:rPr>
          <w:lang w:val="en-AU"/>
        </w:rPr>
      </w:pPr>
      <w:r>
        <w:rPr>
          <w:snapToGrid w:val="0"/>
          <w:lang w:val="en-AU"/>
        </w:rPr>
        <w:t>Any unused portion of the "Included Cap Value" expires at the end of each month. This means that it does not roll over into the following month.</w:t>
      </w:r>
    </w:p>
    <w:p w14:paraId="2CF9B6FC" w14:textId="77777777" w:rsidR="000D07EA" w:rsidRDefault="00BE7C89">
      <w:pPr>
        <w:pStyle w:val="Heading8"/>
        <w:rPr>
          <w:lang w:val="en-AU"/>
        </w:rPr>
      </w:pPr>
      <w:r>
        <w:rPr>
          <w:i/>
          <w:lang w:val="en-AU"/>
        </w:rPr>
        <w:t xml:space="preserve">You </w:t>
      </w:r>
      <w:r>
        <w:rPr>
          <w:lang w:val="en-AU"/>
        </w:rPr>
        <w:t>must pay for any calls and texts that are not eligible calls.</w:t>
      </w:r>
    </w:p>
    <w:p w14:paraId="02EDA91C" w14:textId="77777777" w:rsidR="000D07EA" w:rsidRDefault="00BE7C89">
      <w:pPr>
        <w:pStyle w:val="Heading7"/>
        <w:rPr>
          <w:b/>
          <w:lang w:val="en-AU"/>
        </w:rPr>
      </w:pPr>
      <w:bookmarkStart w:id="484" w:name="_Ref461550985"/>
      <w:r>
        <w:rPr>
          <w:b/>
          <w:lang w:val="en-AU"/>
        </w:rPr>
        <w:t>Minimum Monthly Charge</w:t>
      </w:r>
      <w:bookmarkEnd w:id="484"/>
    </w:p>
    <w:p w14:paraId="727D3630" w14:textId="77777777" w:rsidR="000D07EA" w:rsidRDefault="00BE7C89">
      <w:pPr>
        <w:pStyle w:val="Heading8"/>
        <w:rPr>
          <w:lang w:val="en-AU"/>
        </w:rPr>
      </w:pPr>
      <w:r>
        <w:rPr>
          <w:lang w:val="en-AU"/>
        </w:rPr>
        <w:t xml:space="preserve">Each Business Complete Ultimate Plan has a Minimum Monthly Charge amount that </w:t>
      </w:r>
      <w:r>
        <w:rPr>
          <w:i/>
          <w:lang w:val="en-AU"/>
        </w:rPr>
        <w:t xml:space="preserve">you </w:t>
      </w:r>
      <w:r>
        <w:rPr>
          <w:lang w:val="en-AU"/>
        </w:rPr>
        <w:t xml:space="preserve">must pay </w:t>
      </w:r>
      <w:r>
        <w:rPr>
          <w:i/>
          <w:lang w:val="en-AU"/>
        </w:rPr>
        <w:t>us</w:t>
      </w:r>
      <w:r>
        <w:rPr>
          <w:lang w:val="en-AU"/>
        </w:rPr>
        <w:t xml:space="preserve"> each month. </w:t>
      </w:r>
    </w:p>
    <w:p w14:paraId="4894D749" w14:textId="77777777" w:rsidR="000D07EA" w:rsidRDefault="00BE7C89">
      <w:pPr>
        <w:pStyle w:val="Heading8"/>
        <w:rPr>
          <w:lang w:val="en-AU"/>
        </w:rPr>
      </w:pPr>
      <w:r>
        <w:rPr>
          <w:lang w:val="en-AU"/>
        </w:rPr>
        <w:t xml:space="preserve">If </w:t>
      </w:r>
      <w:r>
        <w:rPr>
          <w:i/>
          <w:lang w:val="en-AU"/>
        </w:rPr>
        <w:t xml:space="preserve">you </w:t>
      </w:r>
      <w:r>
        <w:rPr>
          <w:lang w:val="en-AU"/>
        </w:rPr>
        <w:t xml:space="preserve">do not make enough eligible calls and text in a month to reach </w:t>
      </w:r>
      <w:r>
        <w:rPr>
          <w:i/>
          <w:lang w:val="en-AU"/>
        </w:rPr>
        <w:t>your pricing plan's cap start</w:t>
      </w:r>
      <w:r>
        <w:rPr>
          <w:lang w:val="en-AU"/>
        </w:rPr>
        <w:t xml:space="preserve"> (or Minimum Monthly Charge) </w:t>
      </w:r>
      <w:r>
        <w:rPr>
          <w:i/>
          <w:lang w:val="en-AU"/>
        </w:rPr>
        <w:t xml:space="preserve">you </w:t>
      </w:r>
      <w:r>
        <w:rPr>
          <w:lang w:val="en-AU"/>
        </w:rPr>
        <w:t xml:space="preserve">must still pay </w:t>
      </w:r>
      <w:r>
        <w:rPr>
          <w:i/>
          <w:lang w:val="en-AU"/>
        </w:rPr>
        <w:t>us your pricing plan's</w:t>
      </w:r>
      <w:r>
        <w:rPr>
          <w:lang w:val="en-AU"/>
        </w:rPr>
        <w:t xml:space="preserve"> Minimum Monthly Charge for that month.</w:t>
      </w:r>
    </w:p>
    <w:p w14:paraId="1113E211" w14:textId="77777777" w:rsidR="000D07EA" w:rsidRDefault="00BE7C89">
      <w:pPr>
        <w:pStyle w:val="Heading8"/>
      </w:pPr>
      <w:r>
        <w:rPr>
          <w:lang w:val="en-AU" w:eastAsia="en-AU"/>
        </w:rPr>
        <w:t>The amount of the Minimum Monthly Charge and included calls for each Business Complete Ultimate Plan is set out in Table 3A below.</w:t>
      </w:r>
    </w:p>
    <w:p w14:paraId="42D451C9" w14:textId="77777777" w:rsidR="000D07EA" w:rsidRDefault="00BE7C89">
      <w:pPr>
        <w:pStyle w:val="Heading7"/>
        <w:rPr>
          <w:b/>
          <w:lang w:val="en-AU"/>
        </w:rPr>
      </w:pPr>
      <w:bookmarkStart w:id="485" w:name="_Ref461550990"/>
      <w:r>
        <w:rPr>
          <w:b/>
          <w:lang w:val="en-AU"/>
        </w:rPr>
        <w:t>Included Mobile Internet Data value or Unlimited BlackBerry POP3 Email and BlackBerry Browsing through the BlackBerry Browser</w:t>
      </w:r>
      <w:bookmarkEnd w:id="485"/>
      <w:r>
        <w:rPr>
          <w:b/>
          <w:lang w:val="en-AU"/>
        </w:rPr>
        <w:t xml:space="preserve"> </w:t>
      </w:r>
    </w:p>
    <w:p w14:paraId="66525AEB" w14:textId="77777777" w:rsidR="000D07EA" w:rsidRDefault="00BE7C89">
      <w:pPr>
        <w:pStyle w:val="Heading8"/>
        <w:rPr>
          <w:lang w:val="en-AU"/>
        </w:rPr>
      </w:pPr>
      <w:r>
        <w:rPr>
          <w:lang w:val="en-AU"/>
        </w:rPr>
        <w:t xml:space="preserve">Under the Business Complete Ultimate Plans, </w:t>
      </w:r>
      <w:r>
        <w:rPr>
          <w:i/>
          <w:lang w:val="en-AU"/>
        </w:rPr>
        <w:t>you</w:t>
      </w:r>
      <w:r>
        <w:rPr>
          <w:lang w:val="en-AU"/>
        </w:rPr>
        <w:t xml:space="preserve"> can choose from:</w:t>
      </w:r>
    </w:p>
    <w:p w14:paraId="0076CD7B" w14:textId="77777777" w:rsidR="000D07EA" w:rsidRDefault="00BE7C89">
      <w:pPr>
        <w:pStyle w:val="Heading9"/>
        <w:rPr>
          <w:lang w:val="en-AU"/>
        </w:rPr>
      </w:pPr>
      <w:r>
        <w:rPr>
          <w:lang w:val="en-AU"/>
        </w:rPr>
        <w:t>included Mobile Internet Data Value; or</w:t>
      </w:r>
    </w:p>
    <w:p w14:paraId="68B58E92" w14:textId="77777777" w:rsidR="000D07EA" w:rsidRDefault="00BE7C89">
      <w:pPr>
        <w:pStyle w:val="Heading9"/>
        <w:rPr>
          <w:lang w:val="en-AU"/>
        </w:rPr>
      </w:pPr>
      <w:r>
        <w:rPr>
          <w:lang w:val="en-AU"/>
        </w:rPr>
        <w:t>Unlimited BlackBerry POP3 Email and BlackBerry Browsing through the BlackBerry Browser</w:t>
      </w:r>
    </w:p>
    <w:p w14:paraId="182B5B4C" w14:textId="77777777" w:rsidR="000D07EA" w:rsidRDefault="00BE7C89">
      <w:pPr>
        <w:pStyle w:val="BodyText"/>
        <w:ind w:left="2160"/>
        <w:rPr>
          <w:lang w:val="en-AU"/>
        </w:rPr>
      </w:pPr>
      <w:r>
        <w:rPr>
          <w:lang w:val="en-AU"/>
        </w:rPr>
        <w:t>to use within Australia.</w:t>
      </w:r>
    </w:p>
    <w:p w14:paraId="525A32E6" w14:textId="77777777" w:rsidR="000D07EA" w:rsidRDefault="00BE7C89">
      <w:pPr>
        <w:pStyle w:val="Heading8"/>
        <w:rPr>
          <w:lang w:val="en-AU"/>
        </w:rPr>
      </w:pPr>
      <w:r>
        <w:rPr>
          <w:lang w:val="en-AU"/>
        </w:rPr>
        <w:lastRenderedPageBreak/>
        <w:t xml:space="preserve">If </w:t>
      </w:r>
      <w:r>
        <w:rPr>
          <w:i/>
          <w:lang w:val="en-AU"/>
        </w:rPr>
        <w:t>you</w:t>
      </w:r>
      <w:r>
        <w:rPr>
          <w:lang w:val="en-AU"/>
        </w:rPr>
        <w:t xml:space="preserve"> select the included Mobile Internet Data Value option:</w:t>
      </w:r>
    </w:p>
    <w:p w14:paraId="695F758C" w14:textId="77777777" w:rsidR="000D07EA" w:rsidRDefault="00BE7C89">
      <w:pPr>
        <w:pStyle w:val="Heading9"/>
        <w:rPr>
          <w:lang w:val="en-AU"/>
        </w:rPr>
      </w:pPr>
      <w:r>
        <w:rPr>
          <w:lang w:val="en-AU"/>
        </w:rPr>
        <w:t>The amount of the "Mobile Internet Data Value" included that can be used within Australia for each Business Complete Ultimate Plan is set out in Table 3A below.</w:t>
      </w:r>
    </w:p>
    <w:p w14:paraId="0E2D6D74" w14:textId="77777777" w:rsidR="000D07EA" w:rsidRDefault="00BE7C89">
      <w:pPr>
        <w:pStyle w:val="Heading9"/>
        <w:rPr>
          <w:lang w:val="en-AU"/>
        </w:rPr>
      </w:pPr>
      <w:r>
        <w:rPr>
          <w:lang w:val="en-AU"/>
        </w:rPr>
        <w:t xml:space="preserve">The usage types that are </w:t>
      </w:r>
      <w:r>
        <w:rPr>
          <w:b/>
          <w:lang w:val="en-AU"/>
        </w:rPr>
        <w:t>'eligible data'</w:t>
      </w:r>
      <w:r>
        <w:rPr>
          <w:lang w:val="en-AU"/>
        </w:rPr>
        <w:t xml:space="preserve"> for each Business Complete Ultimate Plan under the included Mobile Internet Data Value are defined in Table 2A below.</w:t>
      </w:r>
    </w:p>
    <w:p w14:paraId="7FCCBCB3" w14:textId="77777777" w:rsidR="000D07EA" w:rsidRDefault="00BE7C89">
      <w:pPr>
        <w:pStyle w:val="Heading9"/>
        <w:rPr>
          <w:lang w:val="en-AU"/>
        </w:rPr>
      </w:pPr>
      <w:r>
        <w:rPr>
          <w:lang w:val="en-AU"/>
        </w:rPr>
        <w:t xml:space="preserve">The included data of the Business Complete Ultimate plan can be shared with an eligible Business Mobile Broadband service and can only be used within Australia. </w:t>
      </w:r>
    </w:p>
    <w:p w14:paraId="6C701CC1" w14:textId="77777777" w:rsidR="000D07EA" w:rsidRDefault="00BE7C89">
      <w:pPr>
        <w:pStyle w:val="Heading9"/>
        <w:rPr>
          <w:lang w:val="en-AU"/>
        </w:rPr>
      </w:pPr>
      <w:r>
        <w:rPr>
          <w:i/>
          <w:lang w:val="en-AU"/>
        </w:rPr>
        <w:t xml:space="preserve">You </w:t>
      </w:r>
      <w:r>
        <w:rPr>
          <w:lang w:val="en-AU"/>
        </w:rPr>
        <w:t xml:space="preserve">must pay </w:t>
      </w:r>
      <w:r>
        <w:rPr>
          <w:i/>
          <w:lang w:val="en-AU"/>
        </w:rPr>
        <w:t xml:space="preserve">us </w:t>
      </w:r>
      <w:r>
        <w:rPr>
          <w:lang w:val="en-AU"/>
        </w:rPr>
        <w:t xml:space="preserve">excess usage charges for data made beyond the available "Mobile Internet Data Value" as shown in Table 3A below. </w:t>
      </w:r>
    </w:p>
    <w:p w14:paraId="240C1086" w14:textId="77777777" w:rsidR="000D07EA" w:rsidRDefault="00BE7C89">
      <w:pPr>
        <w:pStyle w:val="Heading9"/>
        <w:rPr>
          <w:lang w:val="en-AU"/>
        </w:rPr>
      </w:pPr>
      <w:r>
        <w:rPr>
          <w:snapToGrid w:val="0"/>
          <w:lang w:val="en-AU"/>
        </w:rPr>
        <w:t>Any unused portion of the "</w:t>
      </w:r>
      <w:r>
        <w:rPr>
          <w:lang w:val="en-AU"/>
        </w:rPr>
        <w:t>Mobile Internet Data Value</w:t>
      </w:r>
      <w:r>
        <w:rPr>
          <w:snapToGrid w:val="0"/>
          <w:lang w:val="en-AU"/>
        </w:rPr>
        <w:t xml:space="preserve">" expires at the end of each month and does not rollover into the following month. </w:t>
      </w:r>
    </w:p>
    <w:p w14:paraId="7DE2BA9E" w14:textId="77777777" w:rsidR="000D07EA" w:rsidRDefault="00BE7C89">
      <w:pPr>
        <w:pStyle w:val="Heading8"/>
        <w:rPr>
          <w:lang w:val="en-AU"/>
        </w:rPr>
      </w:pPr>
      <w:r>
        <w:rPr>
          <w:lang w:val="en-AU"/>
        </w:rPr>
        <w:t xml:space="preserve">If </w:t>
      </w:r>
      <w:r>
        <w:rPr>
          <w:i/>
          <w:lang w:val="en-AU"/>
        </w:rPr>
        <w:t>you</w:t>
      </w:r>
      <w:r>
        <w:rPr>
          <w:lang w:val="en-AU"/>
        </w:rPr>
        <w:t xml:space="preserve"> select the Unlimited BlackBerry POP3 Email and BlackBerry Browsing through the BlackBerry Browser option:</w:t>
      </w:r>
    </w:p>
    <w:p w14:paraId="7E1E4CB6" w14:textId="77777777" w:rsidR="000D07EA" w:rsidRDefault="00BE7C89">
      <w:pPr>
        <w:pStyle w:val="Heading9"/>
        <w:rPr>
          <w:lang w:val="en-AU"/>
        </w:rPr>
      </w:pPr>
      <w:r>
        <w:rPr>
          <w:i/>
          <w:lang w:val="en-AU"/>
        </w:rPr>
        <w:t>You</w:t>
      </w:r>
      <w:r>
        <w:rPr>
          <w:lang w:val="en-AU"/>
        </w:rPr>
        <w:t xml:space="preserve"> will only receive unlimited BlackBerry POP3 Email and BlackBerry Browsing through the BlackBerry Internet Browser or the BlackBerry Browser and use of applications from Optus and third party applications that require a BlackBerry Data connection, within Australia.</w:t>
      </w:r>
    </w:p>
    <w:p w14:paraId="6B71D222" w14:textId="77777777" w:rsidR="000D07EA" w:rsidRDefault="00BE7C89">
      <w:pPr>
        <w:pStyle w:val="Heading9"/>
        <w:rPr>
          <w:lang w:val="en-AU"/>
        </w:rPr>
      </w:pPr>
      <w:r>
        <w:rPr>
          <w:i/>
          <w:lang w:val="en-AU"/>
        </w:rPr>
        <w:t xml:space="preserve">You </w:t>
      </w:r>
      <w:r>
        <w:rPr>
          <w:lang w:val="en-AU"/>
        </w:rPr>
        <w:t xml:space="preserve">will also receive an amount of "Mobile Internet Data Value" which is set out in Table 3A below. </w:t>
      </w:r>
    </w:p>
    <w:p w14:paraId="08975179" w14:textId="77777777" w:rsidR="000D07EA" w:rsidRDefault="00BE7C89">
      <w:pPr>
        <w:pStyle w:val="Heading9"/>
        <w:rPr>
          <w:lang w:val="en-AU"/>
        </w:rPr>
      </w:pPr>
      <w:r>
        <w:rPr>
          <w:lang w:val="en-AU"/>
        </w:rPr>
        <w:t xml:space="preserve">The included data of the Business Complete Ultimate plan can be shared with an eligible Business Mobile Broadband service. </w:t>
      </w:r>
    </w:p>
    <w:p w14:paraId="301D50D2" w14:textId="77777777" w:rsidR="000D07EA" w:rsidRDefault="00BE7C89">
      <w:pPr>
        <w:pStyle w:val="Heading9"/>
      </w:pPr>
      <w:r>
        <w:rPr>
          <w:i/>
          <w:lang w:val="en-AU" w:eastAsia="en-AU"/>
        </w:rPr>
        <w:t xml:space="preserve">You </w:t>
      </w:r>
      <w:r>
        <w:rPr>
          <w:lang w:val="en-AU" w:eastAsia="en-AU"/>
        </w:rPr>
        <w:t xml:space="preserve">must pay </w:t>
      </w:r>
      <w:r>
        <w:rPr>
          <w:i/>
          <w:lang w:val="en-AU" w:eastAsia="en-AU"/>
        </w:rPr>
        <w:t xml:space="preserve">us </w:t>
      </w:r>
      <w:r>
        <w:rPr>
          <w:lang w:val="en-AU" w:eastAsia="en-AU"/>
        </w:rPr>
        <w:t>excess usage charges for data made beyond the available "Mobile Internet Data Value".</w:t>
      </w:r>
    </w:p>
    <w:p w14:paraId="6FB2552A" w14:textId="77777777" w:rsidR="000D07EA" w:rsidRDefault="00BE7C89">
      <w:pPr>
        <w:pStyle w:val="Heading9"/>
        <w:rPr>
          <w:lang w:val="en-AU"/>
        </w:rPr>
      </w:pPr>
      <w:r>
        <w:rPr>
          <w:snapToGrid w:val="0"/>
          <w:lang w:val="en-AU"/>
        </w:rPr>
        <w:t>Any unused portion of the "</w:t>
      </w:r>
      <w:r>
        <w:rPr>
          <w:lang w:val="en-AU"/>
        </w:rPr>
        <w:t>Mobile Internet Data Value</w:t>
      </w:r>
      <w:r>
        <w:rPr>
          <w:snapToGrid w:val="0"/>
          <w:lang w:val="en-AU"/>
        </w:rPr>
        <w:t>" expires at the end of each month and does not roll over into the following month.</w:t>
      </w:r>
    </w:p>
    <w:p w14:paraId="277A1409" w14:textId="77777777" w:rsidR="000D07EA" w:rsidRDefault="00BE7C89">
      <w:pPr>
        <w:pStyle w:val="Heading9"/>
        <w:rPr>
          <w:lang w:val="en-AU"/>
        </w:rPr>
      </w:pPr>
      <w:r>
        <w:rPr>
          <w:lang w:val="en-AU"/>
        </w:rPr>
        <w:t>The usage types that are '</w:t>
      </w:r>
      <w:r>
        <w:rPr>
          <w:b/>
          <w:lang w:val="en-AU"/>
        </w:rPr>
        <w:t>eligible data'</w:t>
      </w:r>
      <w:r>
        <w:rPr>
          <w:lang w:val="en-AU"/>
        </w:rPr>
        <w:t xml:space="preserve"> for each Business Complete Ultimate Plan under the Unlimited BlackBerry POP3 Email and BlackBerry Browsing through the BlackBerry Browser are defined in Table 2B below.</w:t>
      </w:r>
    </w:p>
    <w:p w14:paraId="115F66C7" w14:textId="77777777" w:rsidR="000D07EA" w:rsidRDefault="00BE7C89">
      <w:pPr>
        <w:pStyle w:val="Heading9"/>
        <w:rPr>
          <w:lang w:val="en-AU"/>
        </w:rPr>
      </w:pPr>
      <w:r>
        <w:rPr>
          <w:lang w:val="en-AU" w:eastAsia="en-AU"/>
        </w:rPr>
        <w:t>Use of Unlimited BlackBerry POP3 Email is for personal or business use. Fair Go Policy (</w:t>
      </w:r>
      <w:hyperlink r:id="rId313" w:history="1">
        <w:r w:rsidR="00B90012" w:rsidRPr="00B90012">
          <w:rPr>
            <w:rStyle w:val="Hyperlink"/>
            <w:lang w:val="en-AU" w:eastAsia="en-AU"/>
          </w:rPr>
          <w:t>Appendix S</w:t>
        </w:r>
      </w:hyperlink>
      <w:r>
        <w:rPr>
          <w:lang w:val="en-AU" w:eastAsia="en-AU"/>
        </w:rPr>
        <w:t xml:space="preserve">) also applies to unacceptable use. Please refer to </w:t>
      </w:r>
      <w:hyperlink r:id="rId314" w:history="1">
        <w:r w:rsidR="00F84E53">
          <w:rPr>
            <w:rStyle w:val="Hyperlink"/>
            <w:i/>
          </w:rPr>
          <w:t>Appendix S</w:t>
        </w:r>
      </w:hyperlink>
      <w:r>
        <w:rPr>
          <w:lang w:val="en-AU"/>
        </w:rPr>
        <w:t xml:space="preserve"> </w:t>
      </w:r>
      <w:r>
        <w:rPr>
          <w:lang w:val="en-AU" w:eastAsia="en-AU"/>
        </w:rPr>
        <w:t>for further details</w:t>
      </w:r>
    </w:p>
    <w:p w14:paraId="13F69B0A" w14:textId="77777777" w:rsidR="000D07EA" w:rsidRDefault="00BE7C89">
      <w:pPr>
        <w:pStyle w:val="Heading7"/>
        <w:rPr>
          <w:snapToGrid w:val="0"/>
          <w:lang w:val="en-AU"/>
        </w:rPr>
      </w:pPr>
      <w:bookmarkStart w:id="486" w:name="_Ref461550995"/>
      <w:r>
        <w:rPr>
          <w:b/>
          <w:snapToGrid w:val="0"/>
          <w:lang w:val="en-AU"/>
        </w:rPr>
        <w:t>Unlimited mobile access to Facebook</w:t>
      </w:r>
      <w:r>
        <w:rPr>
          <w:b/>
          <w:snapToGrid w:val="0"/>
          <w:vertAlign w:val="superscript"/>
          <w:lang w:val="en-AU"/>
        </w:rPr>
        <w:t>®</w:t>
      </w:r>
      <w:r>
        <w:rPr>
          <w:b/>
          <w:snapToGrid w:val="0"/>
          <w:lang w:val="en-AU"/>
        </w:rPr>
        <w:t>, Twitter, LinkedIn, Ebay, FourSquare and MySpace</w:t>
      </w:r>
      <w:bookmarkEnd w:id="486"/>
    </w:p>
    <w:p w14:paraId="76A691B1" w14:textId="77777777" w:rsidR="000D07EA" w:rsidRDefault="00BE7C89">
      <w:pPr>
        <w:pStyle w:val="Heading8"/>
        <w:rPr>
          <w:snapToGrid w:val="0"/>
          <w:lang w:val="en-AU"/>
        </w:rPr>
      </w:pPr>
      <w:bookmarkStart w:id="487" w:name="_Ref461551102"/>
      <w:r>
        <w:rPr>
          <w:lang w:val="en-AU"/>
        </w:rPr>
        <w:t xml:space="preserve">Under the Business Complete Ultimate Plans, </w:t>
      </w:r>
      <w:r>
        <w:rPr>
          <w:i/>
          <w:lang w:val="en-AU"/>
        </w:rPr>
        <w:t>you</w:t>
      </w:r>
      <w:r>
        <w:rPr>
          <w:lang w:val="en-AU"/>
        </w:rPr>
        <w:t xml:space="preserve"> will receive unlimited mobile access to </w:t>
      </w:r>
      <w:r>
        <w:rPr>
          <w:snapToGrid w:val="0"/>
          <w:lang w:val="en-AU"/>
        </w:rPr>
        <w:t>Facebook</w:t>
      </w:r>
      <w:r>
        <w:rPr>
          <w:snapToGrid w:val="0"/>
          <w:vertAlign w:val="superscript"/>
          <w:lang w:val="en-AU"/>
        </w:rPr>
        <w:t>®</w:t>
      </w:r>
      <w:r>
        <w:rPr>
          <w:snapToGrid w:val="0"/>
          <w:lang w:val="en-AU"/>
        </w:rPr>
        <w:t>, Twitter, LinkedIn, Ebay, FourSquare and MySpace, within Australia.</w:t>
      </w:r>
      <w:bookmarkEnd w:id="487"/>
    </w:p>
    <w:p w14:paraId="6F3022F1" w14:textId="77777777" w:rsidR="000D07EA" w:rsidRDefault="00BE7C89">
      <w:pPr>
        <w:pStyle w:val="Heading8"/>
        <w:rPr>
          <w:lang w:val="en-AU"/>
        </w:rPr>
      </w:pPr>
      <w:r>
        <w:rPr>
          <w:lang w:val="en-AU"/>
        </w:rPr>
        <w:t xml:space="preserve">Usage of the services described in paragraph </w:t>
      </w:r>
      <w:r>
        <w:rPr>
          <w:lang w:val="en-AU"/>
        </w:rPr>
        <w:fldChar w:fldCharType="begin"/>
      </w:r>
      <w:r>
        <w:rPr>
          <w:lang w:val="en-AU"/>
        </w:rPr>
        <w:instrText xml:space="preserve"> REF _Ref461550995 \n \h </w:instrText>
      </w:r>
      <w:r>
        <w:rPr>
          <w:lang w:val="en-AU"/>
        </w:rPr>
      </w:r>
      <w:r>
        <w:rPr>
          <w:lang w:val="en-AU"/>
        </w:rPr>
        <w:fldChar w:fldCharType="separate"/>
      </w:r>
      <w:r w:rsidR="0004083A">
        <w:rPr>
          <w:lang w:val="en-AU"/>
        </w:rPr>
        <w:t>(g)</w:t>
      </w:r>
      <w:r>
        <w:rPr>
          <w:lang w:val="en-AU"/>
        </w:rPr>
        <w:fldChar w:fldCharType="end"/>
      </w:r>
      <w:r>
        <w:rPr>
          <w:lang w:val="en-AU"/>
        </w:rPr>
        <w:fldChar w:fldCharType="begin"/>
      </w:r>
      <w:r>
        <w:rPr>
          <w:lang w:val="en-AU"/>
        </w:rPr>
        <w:instrText xml:space="preserve"> REF _Ref461551102 \n \h </w:instrText>
      </w:r>
      <w:r>
        <w:rPr>
          <w:lang w:val="en-AU"/>
        </w:rPr>
      </w:r>
      <w:r>
        <w:rPr>
          <w:lang w:val="en-AU"/>
        </w:rPr>
        <w:fldChar w:fldCharType="separate"/>
      </w:r>
      <w:r w:rsidR="0004083A">
        <w:rPr>
          <w:lang w:val="en-AU"/>
        </w:rPr>
        <w:t>(i)</w:t>
      </w:r>
      <w:r>
        <w:rPr>
          <w:lang w:val="en-AU"/>
        </w:rPr>
        <w:fldChar w:fldCharType="end"/>
      </w:r>
      <w:r>
        <w:rPr>
          <w:lang w:val="en-AU"/>
        </w:rPr>
        <w:t xml:space="preserve"> is separate to and is not included in your "Mobile Internet Data Value" and your Business Advantage Business Mobile Broadband Service (if applicable) and may be accessed on your mobile handset, within Australia, only.</w:t>
      </w:r>
    </w:p>
    <w:p w14:paraId="24B96A45" w14:textId="77777777" w:rsidR="000D07EA" w:rsidRDefault="00BE7C89">
      <w:pPr>
        <w:pStyle w:val="Heading8"/>
        <w:rPr>
          <w:lang w:val="en-AU"/>
        </w:rPr>
      </w:pPr>
      <w:r>
        <w:rPr>
          <w:lang w:val="en-AU"/>
        </w:rPr>
        <w:t xml:space="preserve">These features are only available to </w:t>
      </w:r>
      <w:r>
        <w:rPr>
          <w:i/>
          <w:lang w:val="en-AU"/>
        </w:rPr>
        <w:t>you</w:t>
      </w:r>
      <w:r>
        <w:rPr>
          <w:lang w:val="en-AU"/>
        </w:rPr>
        <w:t xml:space="preserve"> if your handset is compatible with the service.</w:t>
      </w:r>
    </w:p>
    <w:p w14:paraId="782E9023" w14:textId="77777777" w:rsidR="000D07EA" w:rsidRDefault="00BE7C89">
      <w:pPr>
        <w:pStyle w:val="Heading8"/>
        <w:rPr>
          <w:lang w:val="en-AU"/>
        </w:rPr>
      </w:pPr>
      <w:r>
        <w:rPr>
          <w:lang w:val="en-AU"/>
        </w:rPr>
        <w:t>Use of Unlimited mobile access to Facebook</w:t>
      </w:r>
      <w:r>
        <w:rPr>
          <w:vertAlign w:val="superscript"/>
          <w:lang w:val="en-AU"/>
        </w:rPr>
        <w:t>®</w:t>
      </w:r>
      <w:r>
        <w:rPr>
          <w:lang w:val="en-AU"/>
        </w:rPr>
        <w:t xml:space="preserve">, Twitter, LinkedIn, Ebay, FourSquare and MySpace is for personal or business use. Please refer to </w:t>
      </w:r>
      <w:hyperlink r:id="rId315" w:history="1">
        <w:r w:rsidR="00DD7FB0">
          <w:rPr>
            <w:lang w:val="en-AU"/>
          </w:rPr>
          <w:t>S</w:t>
        </w:r>
      </w:hyperlink>
      <w:r>
        <w:rPr>
          <w:lang w:val="en-AU"/>
        </w:rPr>
        <w:t xml:space="preserve"> for further details. </w:t>
      </w:r>
    </w:p>
    <w:p w14:paraId="2D5C7BF6" w14:textId="77777777" w:rsidR="000D07EA" w:rsidRDefault="00BE7C89">
      <w:pPr>
        <w:pStyle w:val="Heading7"/>
        <w:keepNext/>
        <w:rPr>
          <w:b/>
          <w:lang w:val="en-AU"/>
        </w:rPr>
      </w:pPr>
      <w:bookmarkStart w:id="488" w:name="_Ref461551000"/>
      <w:r>
        <w:rPr>
          <w:b/>
          <w:lang w:val="en-AU"/>
        </w:rPr>
        <w:lastRenderedPageBreak/>
        <w:t>Unlimited Standard National SMS &amp; MMS Offer on the $59 Business Complete Ultimate, $59 Business Complete Ultimate (Premium H/set), $79 Business Complete Ultimate and $79 Business Complete Ultimate (Premium H/set) Plans.</w:t>
      </w:r>
      <w:bookmarkEnd w:id="488"/>
    </w:p>
    <w:p w14:paraId="500C5FE9" w14:textId="77777777" w:rsidR="000D07EA" w:rsidRDefault="00BE7C89">
      <w:pPr>
        <w:pStyle w:val="Heading8"/>
        <w:rPr>
          <w:lang w:val="en-AU"/>
        </w:rPr>
      </w:pPr>
      <w:r>
        <w:rPr>
          <w:lang w:val="en-AU"/>
        </w:rPr>
        <w:t>Under the $59 Business Complete Ultimate, $59 Business Complete Ultimate (Premium H/set), $79 Business Complete Ultimate and $79 Business Complete Ultimate (Premium H/set)</w:t>
      </w:r>
      <w:r>
        <w:rPr>
          <w:b/>
          <w:lang w:val="en-AU"/>
        </w:rPr>
        <w:t xml:space="preserve"> </w:t>
      </w:r>
      <w:r>
        <w:rPr>
          <w:lang w:val="en-AU"/>
        </w:rPr>
        <w:t xml:space="preserve">plans </w:t>
      </w:r>
      <w:r>
        <w:rPr>
          <w:i/>
          <w:lang w:val="en-AU"/>
        </w:rPr>
        <w:t xml:space="preserve">you </w:t>
      </w:r>
      <w:r>
        <w:rPr>
          <w:lang w:val="en-AU"/>
        </w:rPr>
        <w:t>will receive the Unlimited standard national SMS &amp; MMS Offer and may send unlimited standard national SMS and MMS to Australian GSM mobiles (excluding Pivotel), within Australia.</w:t>
      </w:r>
    </w:p>
    <w:p w14:paraId="05C85BCB" w14:textId="77777777" w:rsidR="000D07EA" w:rsidRDefault="00BE7C89">
      <w:pPr>
        <w:pStyle w:val="Heading8"/>
        <w:rPr>
          <w:lang w:val="en-AU"/>
        </w:rPr>
      </w:pPr>
      <w:r>
        <w:rPr>
          <w:lang w:val="en-AU"/>
        </w:rPr>
        <w:t>Unlimited standard national SMS &amp; MMS offer excludes International, Premium, Group and Email SMS and MMS.</w:t>
      </w:r>
    </w:p>
    <w:p w14:paraId="72762EAB" w14:textId="77777777" w:rsidR="000D07EA" w:rsidRDefault="00BE7C89">
      <w:pPr>
        <w:pStyle w:val="Heading8"/>
        <w:rPr>
          <w:lang w:val="en-AU"/>
        </w:rPr>
      </w:pPr>
      <w:r>
        <w:rPr>
          <w:i/>
          <w:lang w:val="en-AU"/>
        </w:rPr>
        <w:t>You</w:t>
      </w:r>
      <w:r>
        <w:rPr>
          <w:lang w:val="en-AU"/>
        </w:rPr>
        <w:t xml:space="preserve"> must pay for any messages that are not eligible messages.</w:t>
      </w:r>
    </w:p>
    <w:p w14:paraId="3AE9519B" w14:textId="77777777" w:rsidR="000D07EA" w:rsidRDefault="00BE7C89">
      <w:pPr>
        <w:pStyle w:val="Heading8"/>
      </w:pPr>
      <w:r>
        <w:rPr>
          <w:lang w:val="en-AU" w:eastAsia="en-AU"/>
        </w:rPr>
        <w:t>Any unused portion of the plan expires at the end of each month. This means that it does not roll over into following month.</w:t>
      </w:r>
    </w:p>
    <w:p w14:paraId="23EC67F9" w14:textId="77777777" w:rsidR="000D07EA" w:rsidRDefault="00BE7C89">
      <w:pPr>
        <w:pStyle w:val="Heading8"/>
        <w:rPr>
          <w:lang w:val="en-AU"/>
        </w:rPr>
      </w:pPr>
      <w:r>
        <w:rPr>
          <w:lang w:val="en-AU"/>
        </w:rPr>
        <w:t xml:space="preserve">The unlimited standard national SMS &amp; MMS offer only applies for personal and business use. For further details refer to </w:t>
      </w:r>
      <w:hyperlink r:id="rId316" w:history="1">
        <w:r w:rsidR="00DD7FB0">
          <w:rPr>
            <w:lang w:val="en-AU"/>
          </w:rPr>
          <w:t>S</w:t>
        </w:r>
      </w:hyperlink>
      <w:r>
        <w:rPr>
          <w:lang w:val="en-AU"/>
        </w:rPr>
        <w:t xml:space="preserve">. </w:t>
      </w:r>
    </w:p>
    <w:p w14:paraId="3F5D8BEE" w14:textId="77777777" w:rsidR="000D07EA" w:rsidRDefault="00BE7C89">
      <w:pPr>
        <w:pStyle w:val="Heading7"/>
        <w:rPr>
          <w:b/>
          <w:lang w:val="en-AU"/>
        </w:rPr>
      </w:pPr>
      <w:bookmarkStart w:id="489" w:name="_Ref461551005"/>
      <w:r>
        <w:rPr>
          <w:b/>
          <w:lang w:val="en-AU"/>
        </w:rPr>
        <w:t>Unlimited calls to Optus GSM Mobiles on Same Customer Account Number.</w:t>
      </w:r>
      <w:bookmarkEnd w:id="489"/>
    </w:p>
    <w:p w14:paraId="02CE0673" w14:textId="77777777" w:rsidR="000D07EA" w:rsidRDefault="00BE7C89">
      <w:pPr>
        <w:pStyle w:val="Heading8"/>
        <w:rPr>
          <w:b/>
          <w:lang w:val="en-AU"/>
        </w:rPr>
      </w:pPr>
      <w:r>
        <w:rPr>
          <w:lang w:val="en-AU"/>
        </w:rPr>
        <w:t>I</w:t>
      </w:r>
      <w:r>
        <w:t xml:space="preserve">f </w:t>
      </w:r>
      <w:r>
        <w:rPr>
          <w:i/>
        </w:rPr>
        <w:t xml:space="preserve">you </w:t>
      </w:r>
      <w:r>
        <w:t xml:space="preserve">connect to the </w:t>
      </w:r>
      <w:r>
        <w:rPr>
          <w:lang w:val="en-AU"/>
        </w:rPr>
        <w:t>Business Complete Ultimate</w:t>
      </w:r>
      <w:r>
        <w:t xml:space="preserve"> Plans, </w:t>
      </w:r>
      <w:r>
        <w:rPr>
          <w:i/>
        </w:rPr>
        <w:t>you</w:t>
      </w:r>
      <w:r>
        <w:t xml:space="preserve"> will receive unlimited national standard </w:t>
      </w:r>
      <w:r>
        <w:rPr>
          <w:lang w:val="en-AU"/>
        </w:rPr>
        <w:t>voice and video calls within Australia to other Optus GSM Mobile services on the same customer account number for no additional cost. Fair Go Policy (</w:t>
      </w:r>
      <w:hyperlink r:id="rId317" w:history="1">
        <w:r w:rsidR="009B65F1" w:rsidRPr="009B65F1">
          <w:rPr>
            <w:rStyle w:val="Hyperlink"/>
            <w:lang w:val="en-AU"/>
          </w:rPr>
          <w:t>Appendix S</w:t>
        </w:r>
      </w:hyperlink>
      <w:r>
        <w:rPr>
          <w:lang w:val="en-AU"/>
        </w:rPr>
        <w:t>) applies</w:t>
      </w:r>
      <w:r>
        <w:rPr>
          <w:rFonts w:cs="Arial"/>
          <w:lang w:val="en-AU"/>
        </w:rPr>
        <w:t>.</w:t>
      </w:r>
    </w:p>
    <w:p w14:paraId="34DA2D37" w14:textId="77777777" w:rsidR="000D07EA" w:rsidRDefault="00BE7C89">
      <w:pPr>
        <w:pStyle w:val="Heading8"/>
        <w:rPr>
          <w:lang w:val="en-AU"/>
        </w:rPr>
      </w:pPr>
      <w:r>
        <w:rPr>
          <w:i/>
          <w:lang w:val="en-AU"/>
        </w:rPr>
        <w:t>You</w:t>
      </w:r>
      <w:r>
        <w:rPr>
          <w:lang w:val="en-AU"/>
        </w:rPr>
        <w:t xml:space="preserve"> must pay for any calls that are not eligible calls.</w:t>
      </w:r>
    </w:p>
    <w:p w14:paraId="31055CBE" w14:textId="77777777" w:rsidR="000D07EA" w:rsidRDefault="00BE7C89">
      <w:pPr>
        <w:pStyle w:val="Heading8"/>
        <w:rPr>
          <w:lang w:val="en-AU"/>
        </w:rPr>
      </w:pPr>
      <w:r>
        <w:rPr>
          <w:lang w:val="en-AU"/>
        </w:rPr>
        <w:t>The Fair Go Policy (</w:t>
      </w:r>
      <w:hyperlink r:id="rId318" w:history="1">
        <w:r w:rsidR="009B65F1" w:rsidRPr="009B65F1">
          <w:rPr>
            <w:rStyle w:val="Hyperlink"/>
            <w:lang w:val="en-AU"/>
          </w:rPr>
          <w:t>Appendix S</w:t>
        </w:r>
      </w:hyperlink>
      <w:r>
        <w:rPr>
          <w:lang w:val="en-AU"/>
        </w:rPr>
        <w:t>) applies for the use of Unlimited Optus GSM Mobile Calls on Same Customer Account Number Offer. Please refer to</w:t>
      </w:r>
      <w:r w:rsidR="00F84E53">
        <w:rPr>
          <w:lang w:val="en-AU"/>
        </w:rPr>
        <w:t xml:space="preserve"> </w:t>
      </w:r>
      <w:hyperlink r:id="rId319" w:history="1">
        <w:r w:rsidR="00F84E53">
          <w:rPr>
            <w:rStyle w:val="Hyperlink"/>
            <w:i/>
          </w:rPr>
          <w:t>Appendix S</w:t>
        </w:r>
      </w:hyperlink>
      <w:r>
        <w:rPr>
          <w:lang w:val="en-AU"/>
        </w:rPr>
        <w:t xml:space="preserve"> for further details.</w:t>
      </w:r>
    </w:p>
    <w:p w14:paraId="35C3B3A0" w14:textId="77777777" w:rsidR="000D07EA" w:rsidRDefault="00BE7C89">
      <w:pPr>
        <w:pStyle w:val="Heading7"/>
        <w:rPr>
          <w:b/>
          <w:lang w:val="en-AU"/>
        </w:rPr>
      </w:pPr>
      <w:bookmarkStart w:id="490" w:name="_Ref461551011"/>
      <w:r>
        <w:rPr>
          <w:b/>
          <w:lang w:val="en-AU"/>
        </w:rPr>
        <w:t xml:space="preserve">Upon connection to the Business Complete Ultimate plans </w:t>
      </w:r>
      <w:r>
        <w:rPr>
          <w:b/>
          <w:i/>
          <w:lang w:val="en-AU"/>
        </w:rPr>
        <w:t>you</w:t>
      </w:r>
      <w:r>
        <w:rPr>
          <w:b/>
          <w:lang w:val="en-AU"/>
        </w:rPr>
        <w:t xml:space="preserve"> will receive Unlimited VoiceMail.</w:t>
      </w:r>
      <w:bookmarkEnd w:id="490"/>
    </w:p>
    <w:p w14:paraId="2FCEC95B" w14:textId="77777777" w:rsidR="000D07EA" w:rsidRDefault="00BE7C89">
      <w:pPr>
        <w:pStyle w:val="BodyText"/>
        <w:ind w:left="1440"/>
        <w:rPr>
          <w:lang w:val="en-AU"/>
        </w:rPr>
      </w:pPr>
      <w:r>
        <w:rPr>
          <w:lang w:val="en-AU"/>
        </w:rPr>
        <w:t>Unlimited VoiceMail applies to VoiceMail Deposits and Retrievals, within Australia. Diversion charges may still apply. Subject to Fair Go Policy (</w:t>
      </w:r>
      <w:hyperlink r:id="rId320" w:history="1">
        <w:r w:rsidR="009B65F1" w:rsidRPr="009B65F1">
          <w:rPr>
            <w:rStyle w:val="Hyperlink"/>
            <w:lang w:val="en-AU"/>
          </w:rPr>
          <w:t>Appendix S</w:t>
        </w:r>
      </w:hyperlink>
      <w:r>
        <w:rPr>
          <w:lang w:val="en-AU"/>
        </w:rPr>
        <w:t>).</w:t>
      </w:r>
    </w:p>
    <w:p w14:paraId="2B0F85CC" w14:textId="77777777" w:rsidR="000D07EA" w:rsidRDefault="00BE7C89">
      <w:pPr>
        <w:pStyle w:val="Heading7"/>
        <w:rPr>
          <w:b/>
          <w:lang w:val="en-AU"/>
        </w:rPr>
      </w:pPr>
      <w:r>
        <w:rPr>
          <w:b/>
          <w:lang w:val="en-AU"/>
        </w:rPr>
        <w:t xml:space="preserve">Other Business Complete Ultimate Plans Conditions: </w:t>
      </w:r>
    </w:p>
    <w:p w14:paraId="0D8C9F81" w14:textId="77777777" w:rsidR="000D07EA" w:rsidRDefault="00BE7C89">
      <w:pPr>
        <w:pStyle w:val="Heading8"/>
        <w:rPr>
          <w:lang w:val="en-AU"/>
        </w:rPr>
      </w:pPr>
      <w:r>
        <w:rPr>
          <w:lang w:val="en-AU"/>
        </w:rPr>
        <w:t>The Fair Go Policy (</w:t>
      </w:r>
      <w:hyperlink r:id="rId321" w:history="1">
        <w:r w:rsidR="009B65F1" w:rsidRPr="009B65F1">
          <w:rPr>
            <w:rStyle w:val="Hyperlink"/>
            <w:lang w:val="en-AU"/>
          </w:rPr>
          <w:t>Appendix S</w:t>
        </w:r>
      </w:hyperlink>
      <w:r>
        <w:rPr>
          <w:lang w:val="en-AU"/>
        </w:rPr>
        <w:t>applies to Voice Over Internet Protocol (VOIP) services up to 10 megabytes per month</w:t>
      </w:r>
      <w:r>
        <w:rPr>
          <w:rFonts w:ascii="DIN" w:hAnsi="DIN" w:cs="DIN"/>
          <w:color w:val="000000"/>
          <w:sz w:val="18"/>
          <w:lang w:val="en-AU"/>
        </w:rPr>
        <w:t>.</w:t>
      </w:r>
      <w:r>
        <w:rPr>
          <w:lang w:val="en-AU"/>
        </w:rPr>
        <w:t xml:space="preserve"> Please refer to </w:t>
      </w:r>
      <w:hyperlink r:id="rId322" w:history="1">
        <w:r w:rsidR="00F84E53">
          <w:rPr>
            <w:rStyle w:val="Hyperlink"/>
            <w:i/>
          </w:rPr>
          <w:t>Appendix S</w:t>
        </w:r>
      </w:hyperlink>
      <w:r>
        <w:rPr>
          <w:i/>
          <w:lang w:val="en-AU"/>
        </w:rPr>
        <w:t>.</w:t>
      </w:r>
    </w:p>
    <w:p w14:paraId="66CFDAC6" w14:textId="77777777" w:rsidR="000D07EA" w:rsidRDefault="00BE7C89">
      <w:pPr>
        <w:pStyle w:val="Heading8"/>
        <w:rPr>
          <w:lang w:val="en-AU"/>
        </w:rPr>
      </w:pPr>
      <w:r>
        <w:rPr>
          <w:lang w:val="en-AU"/>
        </w:rPr>
        <w:t xml:space="preserve">Voice Over Internet Protocol (VOIP) services will be charged at 1.5c per kilobyte of usage, capped at $9.90 per month until </w:t>
      </w:r>
      <w:r>
        <w:rPr>
          <w:i/>
          <w:lang w:val="en-AU"/>
        </w:rPr>
        <w:t xml:space="preserve">you </w:t>
      </w:r>
      <w:r>
        <w:rPr>
          <w:lang w:val="en-AU"/>
        </w:rPr>
        <w:t xml:space="preserve">reach 5 megabytes of usage in that month, after which </w:t>
      </w:r>
      <w:r>
        <w:rPr>
          <w:i/>
          <w:lang w:val="en-AU"/>
        </w:rPr>
        <w:t xml:space="preserve">you </w:t>
      </w:r>
      <w:r>
        <w:rPr>
          <w:lang w:val="en-AU"/>
        </w:rPr>
        <w:t>will be charged at 0.3c per kilobyte of usage for the remainder of that month.</w:t>
      </w:r>
    </w:p>
    <w:p w14:paraId="4F08BFA3" w14:textId="77777777" w:rsidR="000D07EA" w:rsidRDefault="00BE7C89">
      <w:pPr>
        <w:pStyle w:val="Heading8"/>
        <w:rPr>
          <w:lang w:val="en-AU"/>
        </w:rPr>
      </w:pPr>
      <w:r>
        <w:rPr>
          <w:lang w:val="en-AU"/>
        </w:rPr>
        <w:t xml:space="preserve">Available features will vary depending on </w:t>
      </w:r>
      <w:r>
        <w:rPr>
          <w:i/>
          <w:lang w:val="en-AU"/>
        </w:rPr>
        <w:t>your</w:t>
      </w:r>
      <w:r>
        <w:rPr>
          <w:lang w:val="en-AU"/>
        </w:rPr>
        <w:t xml:space="preserve"> handset or software version. </w:t>
      </w:r>
    </w:p>
    <w:p w14:paraId="1DACA4A9" w14:textId="77777777" w:rsidR="000D07EA" w:rsidRDefault="00BE7C89">
      <w:pPr>
        <w:pStyle w:val="Heading7"/>
        <w:rPr>
          <w:b/>
          <w:lang w:val="en-AU"/>
        </w:rPr>
      </w:pPr>
      <w:r>
        <w:rPr>
          <w:b/>
          <w:lang w:val="en-AU"/>
        </w:rPr>
        <w:t>Eligible Calls and Pricing Plans</w:t>
      </w:r>
    </w:p>
    <w:p w14:paraId="0335B613" w14:textId="77777777" w:rsidR="000D07EA" w:rsidRDefault="00BE7C89">
      <w:pPr>
        <w:pStyle w:val="Heading8"/>
        <w:rPr>
          <w:lang w:val="en-AU"/>
        </w:rPr>
      </w:pPr>
      <w:r>
        <w:rPr>
          <w:lang w:val="en-AU"/>
        </w:rPr>
        <w:t xml:space="preserve">Table 1A below indicates whether particular call types are an 'eligible call and text' which count towards the "Included Cap Value" and Minimum Monthly Charge of </w:t>
      </w:r>
      <w:r>
        <w:rPr>
          <w:i/>
          <w:lang w:val="en-AU"/>
        </w:rPr>
        <w:t xml:space="preserve">your </w:t>
      </w:r>
      <w:r>
        <w:rPr>
          <w:lang w:val="en-AU"/>
        </w:rPr>
        <w:t xml:space="preserve">selected Business Complete Ultimate Plan. </w:t>
      </w:r>
    </w:p>
    <w:p w14:paraId="3E969FBD" w14:textId="77777777" w:rsidR="000D07EA" w:rsidRDefault="00BE7C89">
      <w:pPr>
        <w:pStyle w:val="Heading8"/>
        <w:rPr>
          <w:lang w:val="en-AU"/>
        </w:rPr>
      </w:pPr>
      <w:r>
        <w:rPr>
          <w:lang w:val="en-AU"/>
        </w:rPr>
        <w:t xml:space="preserve">Table 2A below indicates whether a particular call type is 'eligible data usage' which counts towards the data value of </w:t>
      </w:r>
      <w:r>
        <w:rPr>
          <w:i/>
          <w:lang w:val="en-AU"/>
        </w:rPr>
        <w:t xml:space="preserve">your </w:t>
      </w:r>
      <w:r>
        <w:rPr>
          <w:lang w:val="en-AU"/>
        </w:rPr>
        <w:t>selected Business Complete Ultimate Plan.</w:t>
      </w:r>
    </w:p>
    <w:p w14:paraId="337AEF47" w14:textId="77777777" w:rsidR="000D07EA" w:rsidRDefault="00BE7C89">
      <w:pPr>
        <w:pStyle w:val="Heading8"/>
      </w:pPr>
      <w:r>
        <w:rPr>
          <w:lang w:val="en-AU" w:eastAsia="en-AU"/>
        </w:rPr>
        <w:t xml:space="preserve">Table 2B below indicates whether a particular data type is 'eligible data usage' which counts towards the Unlimited BlackBerry POP3 Email and BlackBerry Browsing through the BlackBerry Browser value of </w:t>
      </w:r>
      <w:r>
        <w:rPr>
          <w:i/>
          <w:lang w:val="en-AU" w:eastAsia="en-AU"/>
        </w:rPr>
        <w:t>your</w:t>
      </w:r>
      <w:r>
        <w:rPr>
          <w:lang w:val="en-AU" w:eastAsia="en-AU"/>
        </w:rPr>
        <w:t xml:space="preserve"> selected Business Complete Ultimate Plan.</w:t>
      </w:r>
    </w:p>
    <w:p w14:paraId="0E3A4A91" w14:textId="77777777" w:rsidR="000D07EA" w:rsidRDefault="00BE7C89">
      <w:pPr>
        <w:pStyle w:val="Heading8"/>
      </w:pPr>
      <w:r>
        <w:lastRenderedPageBreak/>
        <w:t>Table 3A below contains details of each Business Complete Ultimate Plan.</w:t>
      </w:r>
    </w:p>
    <w:p w14:paraId="6D4B52FF" w14:textId="77777777" w:rsidR="000D07EA" w:rsidRDefault="00BE7C89">
      <w:pPr>
        <w:pStyle w:val="BodyText"/>
        <w:ind w:left="720"/>
        <w:rPr>
          <w:b/>
        </w:rPr>
      </w:pPr>
      <w:r>
        <w:rPr>
          <w:b/>
        </w:rPr>
        <w:t>Table 1A – Eligible Calls and Text for the Included Cap Value</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5065"/>
        <w:gridCol w:w="3575"/>
      </w:tblGrid>
      <w:tr w:rsidR="000D07EA" w14:paraId="30BD2C25" w14:textId="77777777">
        <w:trPr>
          <w:tblHeader/>
        </w:trPr>
        <w:tc>
          <w:tcPr>
            <w:tcW w:w="5065" w:type="dxa"/>
            <w:shd w:val="clear" w:color="auto" w:fill="auto"/>
          </w:tcPr>
          <w:p w14:paraId="7DBBF4EC" w14:textId="77777777" w:rsidR="000D07EA" w:rsidRDefault="00BE7C89">
            <w:pPr>
              <w:pStyle w:val="BodyText"/>
              <w:keepNext/>
              <w:spacing w:before="100" w:after="100"/>
              <w:rPr>
                <w:b/>
              </w:rPr>
            </w:pPr>
            <w:r>
              <w:rPr>
                <w:b/>
              </w:rPr>
              <w:t>Call Type</w:t>
            </w:r>
          </w:p>
        </w:tc>
        <w:tc>
          <w:tcPr>
            <w:tcW w:w="3575" w:type="dxa"/>
            <w:shd w:val="clear" w:color="auto" w:fill="auto"/>
          </w:tcPr>
          <w:p w14:paraId="2EAFFE57" w14:textId="77777777" w:rsidR="000D07EA" w:rsidRDefault="00BE7C89">
            <w:pPr>
              <w:pStyle w:val="BodyText"/>
              <w:keepNext/>
              <w:spacing w:before="100" w:after="100"/>
              <w:rPr>
                <w:b/>
              </w:rPr>
            </w:pPr>
            <w:r>
              <w:rPr>
                <w:b/>
              </w:rPr>
              <w:t>Eligible Call</w:t>
            </w:r>
          </w:p>
        </w:tc>
      </w:tr>
      <w:tr w:rsidR="000D07EA" w14:paraId="09F16221" w14:textId="77777777">
        <w:tc>
          <w:tcPr>
            <w:tcW w:w="5065" w:type="dxa"/>
            <w:shd w:val="clear" w:color="auto" w:fill="auto"/>
          </w:tcPr>
          <w:p w14:paraId="6453476E" w14:textId="77777777" w:rsidR="000D07EA" w:rsidRDefault="00BE7C89">
            <w:pPr>
              <w:pStyle w:val="BodyText"/>
              <w:spacing w:before="100" w:after="100"/>
            </w:pPr>
            <w:r>
              <w:t>National Voice Calls</w:t>
            </w:r>
          </w:p>
        </w:tc>
        <w:tc>
          <w:tcPr>
            <w:tcW w:w="3575" w:type="dxa"/>
            <w:shd w:val="clear" w:color="auto" w:fill="auto"/>
          </w:tcPr>
          <w:p w14:paraId="69E82571" w14:textId="77777777" w:rsidR="000D07EA" w:rsidRDefault="00BE7C89">
            <w:pPr>
              <w:pStyle w:val="BodyText"/>
              <w:spacing w:before="100" w:after="100"/>
            </w:pPr>
            <w:r>
              <w:t>Yes</w:t>
            </w:r>
          </w:p>
        </w:tc>
      </w:tr>
      <w:tr w:rsidR="000D07EA" w14:paraId="427312FD" w14:textId="77777777">
        <w:tc>
          <w:tcPr>
            <w:tcW w:w="5065" w:type="dxa"/>
            <w:shd w:val="clear" w:color="auto" w:fill="auto"/>
          </w:tcPr>
          <w:p w14:paraId="0C4E4C0E" w14:textId="77777777" w:rsidR="000D07EA" w:rsidRDefault="00BE7C89">
            <w:pPr>
              <w:pStyle w:val="BodyText"/>
              <w:spacing w:before="100" w:after="100"/>
            </w:pPr>
            <w:r>
              <w:t>International Voice Calls</w:t>
            </w:r>
          </w:p>
          <w:p w14:paraId="32C8742D" w14:textId="77777777" w:rsidR="000D07EA" w:rsidRDefault="00BE7C89">
            <w:pPr>
              <w:pStyle w:val="BodyText"/>
              <w:spacing w:before="100" w:after="100"/>
            </w:pPr>
            <w:r>
              <w:t>(includes calls to national fixed or GSM mobile services that then divert/switch or re-route overseas)</w:t>
            </w:r>
          </w:p>
        </w:tc>
        <w:tc>
          <w:tcPr>
            <w:tcW w:w="3575" w:type="dxa"/>
            <w:shd w:val="clear" w:color="auto" w:fill="auto"/>
          </w:tcPr>
          <w:p w14:paraId="4F1DB9F0" w14:textId="77777777" w:rsidR="000D07EA" w:rsidRDefault="00BE7C89">
            <w:pPr>
              <w:pStyle w:val="BodyText"/>
              <w:spacing w:before="100" w:after="100"/>
            </w:pPr>
            <w:r>
              <w:t>No</w:t>
            </w:r>
          </w:p>
        </w:tc>
      </w:tr>
      <w:tr w:rsidR="000D07EA" w14:paraId="057904D2" w14:textId="77777777">
        <w:tc>
          <w:tcPr>
            <w:tcW w:w="5065" w:type="dxa"/>
            <w:shd w:val="clear" w:color="auto" w:fill="auto"/>
          </w:tcPr>
          <w:p w14:paraId="53AC55D7" w14:textId="77777777" w:rsidR="000D07EA" w:rsidRDefault="00BE7C89">
            <w:pPr>
              <w:pStyle w:val="BodyText"/>
              <w:spacing w:before="100" w:after="100"/>
            </w:pPr>
            <w:r>
              <w:t>National Video Calls</w:t>
            </w:r>
          </w:p>
        </w:tc>
        <w:tc>
          <w:tcPr>
            <w:tcW w:w="3575" w:type="dxa"/>
            <w:shd w:val="clear" w:color="auto" w:fill="auto"/>
          </w:tcPr>
          <w:p w14:paraId="15660275" w14:textId="77777777" w:rsidR="000D07EA" w:rsidRDefault="00BE7C89">
            <w:pPr>
              <w:pStyle w:val="BodyText"/>
              <w:spacing w:before="100" w:after="100"/>
            </w:pPr>
            <w:r>
              <w:t>Yes</w:t>
            </w:r>
          </w:p>
        </w:tc>
      </w:tr>
      <w:tr w:rsidR="000D07EA" w14:paraId="2853B0AE" w14:textId="77777777">
        <w:tc>
          <w:tcPr>
            <w:tcW w:w="5065" w:type="dxa"/>
            <w:shd w:val="clear" w:color="auto" w:fill="auto"/>
          </w:tcPr>
          <w:p w14:paraId="0EBA9641" w14:textId="77777777" w:rsidR="000D07EA" w:rsidRDefault="00BE7C89">
            <w:pPr>
              <w:pStyle w:val="BodyText"/>
              <w:spacing w:before="100" w:after="100"/>
            </w:pPr>
            <w:r>
              <w:t>International Video Calls</w:t>
            </w:r>
          </w:p>
          <w:p w14:paraId="2722E44D" w14:textId="77777777" w:rsidR="000D07EA" w:rsidRDefault="00BE7C89">
            <w:pPr>
              <w:pStyle w:val="BodyText"/>
              <w:spacing w:before="100" w:after="100"/>
            </w:pPr>
            <w:r>
              <w:t>(includes calls to national fixed or GSM mobile services that then divert/switch or re-route overseas</w:t>
            </w:r>
          </w:p>
        </w:tc>
        <w:tc>
          <w:tcPr>
            <w:tcW w:w="3575" w:type="dxa"/>
            <w:shd w:val="clear" w:color="auto" w:fill="auto"/>
          </w:tcPr>
          <w:p w14:paraId="009D29A8" w14:textId="77777777" w:rsidR="000D07EA" w:rsidRDefault="00BE7C89">
            <w:pPr>
              <w:pStyle w:val="BodyText"/>
              <w:spacing w:before="100" w:after="100"/>
            </w:pPr>
            <w:r>
              <w:t>No</w:t>
            </w:r>
          </w:p>
        </w:tc>
      </w:tr>
      <w:tr w:rsidR="000D07EA" w14:paraId="611DCAEB" w14:textId="77777777">
        <w:tc>
          <w:tcPr>
            <w:tcW w:w="5065" w:type="dxa"/>
            <w:shd w:val="clear" w:color="auto" w:fill="auto"/>
          </w:tcPr>
          <w:p w14:paraId="2DADC1DB" w14:textId="77777777" w:rsidR="000D07EA" w:rsidRDefault="00BE7C89">
            <w:pPr>
              <w:pStyle w:val="BodyText"/>
              <w:spacing w:before="100" w:after="100"/>
            </w:pPr>
            <w:r>
              <w:t>National and International SMS</w:t>
            </w:r>
          </w:p>
        </w:tc>
        <w:tc>
          <w:tcPr>
            <w:tcW w:w="3575" w:type="dxa"/>
            <w:shd w:val="clear" w:color="auto" w:fill="auto"/>
          </w:tcPr>
          <w:p w14:paraId="7DF2A7D6" w14:textId="77777777" w:rsidR="000D07EA" w:rsidRDefault="00BE7C89">
            <w:pPr>
              <w:pStyle w:val="BodyText"/>
              <w:spacing w:before="100" w:after="100"/>
            </w:pPr>
            <w:r>
              <w:t>Yes</w:t>
            </w:r>
          </w:p>
        </w:tc>
      </w:tr>
      <w:tr w:rsidR="000D07EA" w14:paraId="69109F16" w14:textId="77777777">
        <w:tc>
          <w:tcPr>
            <w:tcW w:w="5065" w:type="dxa"/>
            <w:shd w:val="clear" w:color="auto" w:fill="auto"/>
          </w:tcPr>
          <w:p w14:paraId="4EFE7981" w14:textId="77777777" w:rsidR="000D07EA" w:rsidRDefault="00BE7C89">
            <w:pPr>
              <w:pStyle w:val="BodyText"/>
              <w:spacing w:before="100" w:after="100"/>
            </w:pPr>
            <w:r>
              <w:t>Voicemail Diversions</w:t>
            </w:r>
          </w:p>
        </w:tc>
        <w:tc>
          <w:tcPr>
            <w:tcW w:w="3575" w:type="dxa"/>
            <w:shd w:val="clear" w:color="auto" w:fill="auto"/>
          </w:tcPr>
          <w:p w14:paraId="1388256E" w14:textId="77777777" w:rsidR="000D07EA" w:rsidRDefault="00BE7C89">
            <w:pPr>
              <w:pStyle w:val="BodyText"/>
              <w:spacing w:before="100" w:after="100"/>
            </w:pPr>
            <w:r>
              <w:t>Yes</w:t>
            </w:r>
          </w:p>
        </w:tc>
      </w:tr>
      <w:tr w:rsidR="000D07EA" w14:paraId="21CA3A24" w14:textId="77777777">
        <w:tc>
          <w:tcPr>
            <w:tcW w:w="5065" w:type="dxa"/>
            <w:shd w:val="clear" w:color="auto" w:fill="auto"/>
          </w:tcPr>
          <w:p w14:paraId="3DB3FCB0" w14:textId="77777777" w:rsidR="000D07EA" w:rsidRDefault="00BE7C89">
            <w:pPr>
              <w:pStyle w:val="BodyText"/>
              <w:spacing w:before="100" w:after="100"/>
            </w:pPr>
            <w:r>
              <w:t>Voicemail Deposit and Retrievals</w:t>
            </w:r>
          </w:p>
        </w:tc>
        <w:tc>
          <w:tcPr>
            <w:tcW w:w="3575" w:type="dxa"/>
            <w:shd w:val="clear" w:color="auto" w:fill="auto"/>
          </w:tcPr>
          <w:p w14:paraId="3CF1C2C8" w14:textId="77777777" w:rsidR="000D07EA" w:rsidRDefault="00BE7C89">
            <w:pPr>
              <w:pStyle w:val="BodyText"/>
              <w:spacing w:before="100" w:after="100"/>
            </w:pPr>
            <w:r>
              <w:t>Yes</w:t>
            </w:r>
          </w:p>
        </w:tc>
      </w:tr>
      <w:tr w:rsidR="000D07EA" w14:paraId="63883067" w14:textId="77777777">
        <w:tc>
          <w:tcPr>
            <w:tcW w:w="5065" w:type="dxa"/>
            <w:shd w:val="clear" w:color="auto" w:fill="auto"/>
          </w:tcPr>
          <w:p w14:paraId="6625357E" w14:textId="77777777" w:rsidR="000D07EA" w:rsidRDefault="00BE7C89">
            <w:pPr>
              <w:pStyle w:val="BodyText"/>
              <w:spacing w:before="100" w:after="100"/>
            </w:pPr>
            <w:r>
              <w:t>International Roaming &amp; Diversion</w:t>
            </w:r>
          </w:p>
        </w:tc>
        <w:tc>
          <w:tcPr>
            <w:tcW w:w="3575" w:type="dxa"/>
            <w:shd w:val="clear" w:color="auto" w:fill="auto"/>
          </w:tcPr>
          <w:p w14:paraId="3C820860" w14:textId="77777777" w:rsidR="000D07EA" w:rsidRDefault="00BE7C89">
            <w:pPr>
              <w:pStyle w:val="BodyText"/>
              <w:spacing w:before="100" w:after="100"/>
            </w:pPr>
            <w:r>
              <w:t>No</w:t>
            </w:r>
          </w:p>
        </w:tc>
      </w:tr>
      <w:tr w:rsidR="000D07EA" w14:paraId="7DDACAE1" w14:textId="77777777">
        <w:tc>
          <w:tcPr>
            <w:tcW w:w="5065" w:type="dxa"/>
            <w:shd w:val="clear" w:color="auto" w:fill="auto"/>
          </w:tcPr>
          <w:p w14:paraId="7AB5BDF9" w14:textId="77777777" w:rsidR="000D07EA" w:rsidRDefault="00BE7C89">
            <w:pPr>
              <w:pStyle w:val="BodyText"/>
              <w:spacing w:before="100" w:after="100"/>
            </w:pPr>
            <w:r>
              <w:t>Premium SMS</w:t>
            </w:r>
          </w:p>
        </w:tc>
        <w:tc>
          <w:tcPr>
            <w:tcW w:w="3575" w:type="dxa"/>
            <w:shd w:val="clear" w:color="auto" w:fill="auto"/>
          </w:tcPr>
          <w:p w14:paraId="29460281" w14:textId="77777777" w:rsidR="000D07EA" w:rsidRDefault="00BE7C89">
            <w:pPr>
              <w:pStyle w:val="BodyText"/>
              <w:spacing w:before="100" w:after="100"/>
            </w:pPr>
            <w:r>
              <w:t>No</w:t>
            </w:r>
          </w:p>
        </w:tc>
      </w:tr>
      <w:tr w:rsidR="000D07EA" w14:paraId="6CF7B66A" w14:textId="77777777">
        <w:tc>
          <w:tcPr>
            <w:tcW w:w="5065" w:type="dxa"/>
            <w:shd w:val="clear" w:color="auto" w:fill="auto"/>
          </w:tcPr>
          <w:p w14:paraId="4DA60689" w14:textId="77777777" w:rsidR="000D07EA" w:rsidRDefault="00BE7C89">
            <w:pPr>
              <w:pStyle w:val="BodyText"/>
              <w:spacing w:before="100" w:after="100"/>
            </w:pPr>
            <w:r>
              <w:t>Premium Video</w:t>
            </w:r>
          </w:p>
        </w:tc>
        <w:tc>
          <w:tcPr>
            <w:tcW w:w="3575" w:type="dxa"/>
            <w:shd w:val="clear" w:color="auto" w:fill="auto"/>
          </w:tcPr>
          <w:p w14:paraId="755585B7" w14:textId="77777777" w:rsidR="000D07EA" w:rsidRDefault="00BE7C89">
            <w:pPr>
              <w:pStyle w:val="BodyText"/>
              <w:spacing w:before="100" w:after="100"/>
            </w:pPr>
            <w:r>
              <w:t>No</w:t>
            </w:r>
          </w:p>
        </w:tc>
      </w:tr>
      <w:tr w:rsidR="000D07EA" w14:paraId="2B16F814" w14:textId="77777777">
        <w:tc>
          <w:tcPr>
            <w:tcW w:w="5065" w:type="dxa"/>
            <w:shd w:val="clear" w:color="auto" w:fill="auto"/>
          </w:tcPr>
          <w:p w14:paraId="761DE0F0" w14:textId="77777777" w:rsidR="000D07EA" w:rsidRDefault="00BE7C89">
            <w:pPr>
              <w:pStyle w:val="BodyText"/>
              <w:spacing w:before="100" w:after="100"/>
            </w:pPr>
            <w:r>
              <w:t>Video Conferencing</w:t>
            </w:r>
          </w:p>
        </w:tc>
        <w:tc>
          <w:tcPr>
            <w:tcW w:w="3575" w:type="dxa"/>
            <w:shd w:val="clear" w:color="auto" w:fill="auto"/>
          </w:tcPr>
          <w:p w14:paraId="734B4EB2" w14:textId="77777777" w:rsidR="000D07EA" w:rsidRDefault="00BE7C89">
            <w:pPr>
              <w:pStyle w:val="BodyText"/>
              <w:spacing w:before="100" w:after="100"/>
            </w:pPr>
            <w:r>
              <w:t>No</w:t>
            </w:r>
          </w:p>
        </w:tc>
      </w:tr>
      <w:tr w:rsidR="000D07EA" w14:paraId="003106A2" w14:textId="77777777">
        <w:tc>
          <w:tcPr>
            <w:tcW w:w="5065" w:type="dxa"/>
            <w:shd w:val="clear" w:color="auto" w:fill="auto"/>
          </w:tcPr>
          <w:p w14:paraId="2B37E305" w14:textId="77777777" w:rsidR="000D07EA" w:rsidRDefault="00BE7C89">
            <w:pPr>
              <w:pStyle w:val="BodyText"/>
              <w:spacing w:before="100" w:after="100"/>
            </w:pPr>
            <w:r>
              <w:t>National MMS</w:t>
            </w:r>
          </w:p>
        </w:tc>
        <w:tc>
          <w:tcPr>
            <w:tcW w:w="3575" w:type="dxa"/>
            <w:shd w:val="clear" w:color="auto" w:fill="auto"/>
          </w:tcPr>
          <w:p w14:paraId="1A0D02CC" w14:textId="77777777" w:rsidR="000D07EA" w:rsidRDefault="00BE7C89">
            <w:pPr>
              <w:pStyle w:val="BodyText"/>
              <w:spacing w:before="100" w:after="100"/>
            </w:pPr>
            <w:r>
              <w:t>Yes</w:t>
            </w:r>
          </w:p>
        </w:tc>
      </w:tr>
      <w:tr w:rsidR="000D07EA" w14:paraId="0576EB0E" w14:textId="77777777">
        <w:tc>
          <w:tcPr>
            <w:tcW w:w="5065" w:type="dxa"/>
            <w:shd w:val="clear" w:color="auto" w:fill="auto"/>
          </w:tcPr>
          <w:p w14:paraId="73D82301" w14:textId="77777777" w:rsidR="000D07EA" w:rsidRDefault="00BE7C89">
            <w:pPr>
              <w:pStyle w:val="BodyText"/>
              <w:spacing w:before="100" w:after="100"/>
            </w:pPr>
            <w:r>
              <w:t>International MMS</w:t>
            </w:r>
          </w:p>
        </w:tc>
        <w:tc>
          <w:tcPr>
            <w:tcW w:w="3575" w:type="dxa"/>
            <w:shd w:val="clear" w:color="auto" w:fill="auto"/>
          </w:tcPr>
          <w:p w14:paraId="45C3D95F" w14:textId="77777777" w:rsidR="000D07EA" w:rsidRDefault="00BE7C89">
            <w:pPr>
              <w:pStyle w:val="BodyText"/>
              <w:spacing w:before="100" w:after="100"/>
            </w:pPr>
            <w:r>
              <w:t>No</w:t>
            </w:r>
          </w:p>
        </w:tc>
      </w:tr>
      <w:tr w:rsidR="000D07EA" w14:paraId="7F5AE38B" w14:textId="77777777">
        <w:tc>
          <w:tcPr>
            <w:tcW w:w="5065" w:type="dxa"/>
            <w:shd w:val="clear" w:color="auto" w:fill="auto"/>
          </w:tcPr>
          <w:p w14:paraId="3E242DE3" w14:textId="77777777" w:rsidR="000D07EA" w:rsidRDefault="00BE7C89">
            <w:pPr>
              <w:pStyle w:val="BodyText"/>
              <w:spacing w:before="100" w:after="100"/>
            </w:pPr>
            <w:r>
              <w:t>Optus Zoo or Optus Zoo Browsing</w:t>
            </w:r>
          </w:p>
        </w:tc>
        <w:tc>
          <w:tcPr>
            <w:tcW w:w="3575" w:type="dxa"/>
            <w:shd w:val="clear" w:color="auto" w:fill="auto"/>
          </w:tcPr>
          <w:p w14:paraId="0D0120FB" w14:textId="77777777" w:rsidR="000D07EA" w:rsidRDefault="00BE7C89">
            <w:pPr>
              <w:pStyle w:val="BodyText"/>
              <w:spacing w:before="100" w:after="100"/>
            </w:pPr>
            <w:r>
              <w:t>No</w:t>
            </w:r>
          </w:p>
        </w:tc>
      </w:tr>
      <w:tr w:rsidR="000D07EA" w14:paraId="651B0349" w14:textId="77777777">
        <w:tc>
          <w:tcPr>
            <w:tcW w:w="5065" w:type="dxa"/>
            <w:shd w:val="clear" w:color="auto" w:fill="auto"/>
          </w:tcPr>
          <w:p w14:paraId="5CD84BB2" w14:textId="77777777" w:rsidR="000D07EA" w:rsidRDefault="00BE7C89">
            <w:pPr>
              <w:pStyle w:val="BodyText"/>
              <w:spacing w:before="100" w:after="100"/>
            </w:pPr>
            <w:r>
              <w:t>Optus Zoo or Optus Zoo Downloads</w:t>
            </w:r>
          </w:p>
        </w:tc>
        <w:tc>
          <w:tcPr>
            <w:tcW w:w="3575" w:type="dxa"/>
            <w:shd w:val="clear" w:color="auto" w:fill="auto"/>
          </w:tcPr>
          <w:p w14:paraId="70DCE3C5" w14:textId="77777777" w:rsidR="000D07EA" w:rsidRDefault="00BE7C89">
            <w:pPr>
              <w:pStyle w:val="BodyText"/>
              <w:spacing w:before="100" w:after="100"/>
            </w:pPr>
            <w:r>
              <w:t>No</w:t>
            </w:r>
          </w:p>
        </w:tc>
      </w:tr>
      <w:tr w:rsidR="000D07EA" w14:paraId="730928DE" w14:textId="77777777">
        <w:tc>
          <w:tcPr>
            <w:tcW w:w="5065" w:type="dxa"/>
            <w:shd w:val="clear" w:color="auto" w:fill="auto"/>
          </w:tcPr>
          <w:p w14:paraId="5859F823" w14:textId="77777777" w:rsidR="000D07EA" w:rsidRDefault="00BE7C89">
            <w:pPr>
              <w:pStyle w:val="BodyText"/>
              <w:spacing w:before="100" w:after="100"/>
            </w:pPr>
            <w:r>
              <w:t>SMS to 966 (Zoo)</w:t>
            </w:r>
          </w:p>
        </w:tc>
        <w:tc>
          <w:tcPr>
            <w:tcW w:w="3575" w:type="dxa"/>
            <w:shd w:val="clear" w:color="auto" w:fill="auto"/>
          </w:tcPr>
          <w:p w14:paraId="0E9130C8" w14:textId="77777777" w:rsidR="000D07EA" w:rsidRDefault="00BE7C89">
            <w:pPr>
              <w:pStyle w:val="BodyText"/>
              <w:spacing w:before="100" w:after="100"/>
            </w:pPr>
            <w:r>
              <w:t>No</w:t>
            </w:r>
          </w:p>
        </w:tc>
      </w:tr>
      <w:tr w:rsidR="000D07EA" w14:paraId="2C089ABC" w14:textId="77777777">
        <w:tc>
          <w:tcPr>
            <w:tcW w:w="5065" w:type="dxa"/>
            <w:shd w:val="clear" w:color="auto" w:fill="auto"/>
          </w:tcPr>
          <w:p w14:paraId="4171C00A" w14:textId="77777777" w:rsidR="000D07EA" w:rsidRDefault="00BE7C89">
            <w:pPr>
              <w:pStyle w:val="BodyText"/>
              <w:spacing w:before="100" w:after="100"/>
            </w:pPr>
            <w:r>
              <w:t>Data used whilst roaming internationally</w:t>
            </w:r>
          </w:p>
        </w:tc>
        <w:tc>
          <w:tcPr>
            <w:tcW w:w="3575" w:type="dxa"/>
            <w:shd w:val="clear" w:color="auto" w:fill="auto"/>
          </w:tcPr>
          <w:p w14:paraId="43E10EFB" w14:textId="77777777" w:rsidR="000D07EA" w:rsidRDefault="00BE7C89">
            <w:pPr>
              <w:pStyle w:val="BodyText"/>
              <w:spacing w:before="100" w:after="100"/>
            </w:pPr>
            <w:r>
              <w:t>No</w:t>
            </w:r>
          </w:p>
        </w:tc>
      </w:tr>
      <w:tr w:rsidR="000D07EA" w14:paraId="400401D3" w14:textId="77777777">
        <w:tc>
          <w:tcPr>
            <w:tcW w:w="5065" w:type="dxa"/>
            <w:shd w:val="clear" w:color="auto" w:fill="auto"/>
          </w:tcPr>
          <w:p w14:paraId="6124F92F" w14:textId="77777777" w:rsidR="000D07EA" w:rsidRDefault="00BE7C89">
            <w:pPr>
              <w:pStyle w:val="BodyText"/>
              <w:spacing w:before="100" w:after="100"/>
            </w:pPr>
            <w:r>
              <w:t>Directory Assistance – 1223</w:t>
            </w:r>
          </w:p>
        </w:tc>
        <w:tc>
          <w:tcPr>
            <w:tcW w:w="3575" w:type="dxa"/>
            <w:shd w:val="clear" w:color="auto" w:fill="auto"/>
          </w:tcPr>
          <w:p w14:paraId="62786693" w14:textId="77777777" w:rsidR="000D07EA" w:rsidRDefault="00BE7C89">
            <w:pPr>
              <w:pStyle w:val="BodyText"/>
              <w:spacing w:before="100" w:after="100"/>
            </w:pPr>
            <w:r>
              <w:t>Yes</w:t>
            </w:r>
          </w:p>
        </w:tc>
      </w:tr>
      <w:tr w:rsidR="000D07EA" w14:paraId="73310A2B" w14:textId="77777777">
        <w:tc>
          <w:tcPr>
            <w:tcW w:w="5065" w:type="dxa"/>
            <w:shd w:val="clear" w:color="auto" w:fill="auto"/>
          </w:tcPr>
          <w:p w14:paraId="74C6CF1F" w14:textId="77777777" w:rsidR="000D07EA" w:rsidRDefault="00BE7C89">
            <w:pPr>
              <w:pStyle w:val="BodyText"/>
              <w:spacing w:before="100" w:after="100"/>
            </w:pPr>
            <w:r>
              <w:t>19XX Numbers</w:t>
            </w:r>
          </w:p>
        </w:tc>
        <w:tc>
          <w:tcPr>
            <w:tcW w:w="3575" w:type="dxa"/>
            <w:shd w:val="clear" w:color="auto" w:fill="auto"/>
          </w:tcPr>
          <w:p w14:paraId="0A04BF71" w14:textId="77777777" w:rsidR="000D07EA" w:rsidRDefault="00BE7C89">
            <w:pPr>
              <w:pStyle w:val="BodyText"/>
              <w:spacing w:before="100" w:after="100"/>
            </w:pPr>
            <w:r>
              <w:t>No</w:t>
            </w:r>
          </w:p>
        </w:tc>
      </w:tr>
      <w:tr w:rsidR="000D07EA" w14:paraId="11343BD0" w14:textId="77777777">
        <w:tc>
          <w:tcPr>
            <w:tcW w:w="5065" w:type="dxa"/>
            <w:shd w:val="clear" w:color="auto" w:fill="auto"/>
          </w:tcPr>
          <w:p w14:paraId="3B6015B2" w14:textId="77777777" w:rsidR="000D07EA" w:rsidRDefault="00BE7C89">
            <w:pPr>
              <w:pStyle w:val="BodyText"/>
              <w:spacing w:before="100" w:after="100"/>
            </w:pPr>
            <w:r>
              <w:t>1800 and 1300 numbers</w:t>
            </w:r>
          </w:p>
        </w:tc>
        <w:tc>
          <w:tcPr>
            <w:tcW w:w="3575" w:type="dxa"/>
            <w:shd w:val="clear" w:color="auto" w:fill="auto"/>
          </w:tcPr>
          <w:p w14:paraId="702D3417" w14:textId="77777777" w:rsidR="000D07EA" w:rsidRDefault="00BE7C89">
            <w:pPr>
              <w:pStyle w:val="BodyText"/>
              <w:spacing w:before="100" w:after="100"/>
            </w:pPr>
            <w:r>
              <w:t>Yes</w:t>
            </w:r>
          </w:p>
        </w:tc>
      </w:tr>
      <w:tr w:rsidR="000D07EA" w14:paraId="5ED09FC9" w14:textId="77777777">
        <w:tc>
          <w:tcPr>
            <w:tcW w:w="5065" w:type="dxa"/>
            <w:shd w:val="clear" w:color="auto" w:fill="auto"/>
          </w:tcPr>
          <w:p w14:paraId="1BE74BF1" w14:textId="77777777" w:rsidR="000D07EA" w:rsidRDefault="00BE7C89">
            <w:pPr>
              <w:pStyle w:val="BodyText"/>
              <w:spacing w:before="100" w:after="100"/>
            </w:pPr>
            <w:r>
              <w:t>124YES(937)</w:t>
            </w:r>
          </w:p>
        </w:tc>
        <w:tc>
          <w:tcPr>
            <w:tcW w:w="3575" w:type="dxa"/>
            <w:shd w:val="clear" w:color="auto" w:fill="auto"/>
          </w:tcPr>
          <w:p w14:paraId="13592AEE" w14:textId="77777777" w:rsidR="000D07EA" w:rsidRDefault="00BE7C89">
            <w:pPr>
              <w:pStyle w:val="BodyText"/>
              <w:spacing w:before="100" w:after="100"/>
            </w:pPr>
            <w:r>
              <w:t>No</w:t>
            </w:r>
          </w:p>
        </w:tc>
      </w:tr>
      <w:tr w:rsidR="000D07EA" w14:paraId="396B3AE2" w14:textId="77777777">
        <w:tc>
          <w:tcPr>
            <w:tcW w:w="5065" w:type="dxa"/>
            <w:shd w:val="clear" w:color="auto" w:fill="auto"/>
          </w:tcPr>
          <w:p w14:paraId="048ECC1F" w14:textId="77777777" w:rsidR="000D07EA" w:rsidRDefault="00BE7C89">
            <w:pPr>
              <w:pStyle w:val="BodyText"/>
              <w:spacing w:before="100" w:after="100"/>
            </w:pPr>
            <w:r>
              <w:t>Insurance</w:t>
            </w:r>
          </w:p>
        </w:tc>
        <w:tc>
          <w:tcPr>
            <w:tcW w:w="3575" w:type="dxa"/>
            <w:shd w:val="clear" w:color="auto" w:fill="auto"/>
          </w:tcPr>
          <w:p w14:paraId="75397C87" w14:textId="77777777" w:rsidR="000D07EA" w:rsidRDefault="00BE7C89">
            <w:pPr>
              <w:pStyle w:val="BodyText"/>
              <w:spacing w:before="100" w:after="100"/>
            </w:pPr>
            <w:r>
              <w:t>No</w:t>
            </w:r>
          </w:p>
        </w:tc>
      </w:tr>
      <w:tr w:rsidR="000D07EA" w14:paraId="2E38FA28" w14:textId="77777777">
        <w:tc>
          <w:tcPr>
            <w:tcW w:w="5065" w:type="dxa"/>
            <w:shd w:val="clear" w:color="auto" w:fill="auto"/>
          </w:tcPr>
          <w:p w14:paraId="61BEC30C" w14:textId="77777777" w:rsidR="000D07EA" w:rsidRDefault="00BE7C89">
            <w:pPr>
              <w:pStyle w:val="BodyText"/>
              <w:spacing w:before="100" w:after="100"/>
            </w:pPr>
            <w:r>
              <w:t>Handset Payments</w:t>
            </w:r>
          </w:p>
        </w:tc>
        <w:tc>
          <w:tcPr>
            <w:tcW w:w="3575" w:type="dxa"/>
            <w:shd w:val="clear" w:color="auto" w:fill="auto"/>
          </w:tcPr>
          <w:p w14:paraId="6E4D801E" w14:textId="77777777" w:rsidR="000D07EA" w:rsidRDefault="00BE7C89">
            <w:pPr>
              <w:pStyle w:val="BodyText"/>
              <w:spacing w:before="100" w:after="100"/>
            </w:pPr>
            <w:r>
              <w:t>No</w:t>
            </w:r>
          </w:p>
        </w:tc>
      </w:tr>
      <w:tr w:rsidR="000D07EA" w14:paraId="539E439D" w14:textId="77777777">
        <w:tc>
          <w:tcPr>
            <w:tcW w:w="5065" w:type="dxa"/>
            <w:shd w:val="clear" w:color="auto" w:fill="auto"/>
          </w:tcPr>
          <w:p w14:paraId="5AE1A2BA" w14:textId="77777777" w:rsidR="000D07EA" w:rsidRDefault="00BE7C89">
            <w:pPr>
              <w:pStyle w:val="BodyText"/>
              <w:spacing w:before="100" w:after="100"/>
            </w:pPr>
            <w:r>
              <w:t>Content Packs (unless specified in promotions)</w:t>
            </w:r>
          </w:p>
        </w:tc>
        <w:tc>
          <w:tcPr>
            <w:tcW w:w="3575" w:type="dxa"/>
            <w:shd w:val="clear" w:color="auto" w:fill="auto"/>
          </w:tcPr>
          <w:p w14:paraId="1D2C9D61" w14:textId="77777777" w:rsidR="000D07EA" w:rsidRDefault="00BE7C89">
            <w:pPr>
              <w:pStyle w:val="BodyText"/>
              <w:spacing w:before="100" w:after="100"/>
            </w:pPr>
            <w:r>
              <w:t>No</w:t>
            </w:r>
          </w:p>
        </w:tc>
      </w:tr>
      <w:tr w:rsidR="000D07EA" w14:paraId="4C37CA92" w14:textId="77777777">
        <w:tc>
          <w:tcPr>
            <w:tcW w:w="5065" w:type="dxa"/>
            <w:shd w:val="clear" w:color="auto" w:fill="auto"/>
          </w:tcPr>
          <w:p w14:paraId="7994D2C5" w14:textId="77777777" w:rsidR="000D07EA" w:rsidRDefault="00BE7C89">
            <w:pPr>
              <w:pStyle w:val="BodyText"/>
              <w:spacing w:before="100" w:after="100"/>
            </w:pPr>
            <w:r>
              <w:t>Mobile Internet usage</w:t>
            </w:r>
          </w:p>
        </w:tc>
        <w:tc>
          <w:tcPr>
            <w:tcW w:w="3575" w:type="dxa"/>
            <w:shd w:val="clear" w:color="auto" w:fill="auto"/>
          </w:tcPr>
          <w:p w14:paraId="5D66CF9E" w14:textId="77777777" w:rsidR="000D07EA" w:rsidRDefault="00BE7C89">
            <w:pPr>
              <w:pStyle w:val="BodyText"/>
              <w:spacing w:before="100" w:after="100"/>
            </w:pPr>
            <w:r>
              <w:t>No</w:t>
            </w:r>
          </w:p>
        </w:tc>
      </w:tr>
      <w:tr w:rsidR="000D07EA" w14:paraId="0806D300" w14:textId="77777777">
        <w:tc>
          <w:tcPr>
            <w:tcW w:w="5065" w:type="dxa"/>
            <w:shd w:val="clear" w:color="auto" w:fill="auto"/>
          </w:tcPr>
          <w:p w14:paraId="13632BA4" w14:textId="77777777" w:rsidR="000D07EA" w:rsidRDefault="00BE7C89">
            <w:pPr>
              <w:pStyle w:val="BodyText"/>
              <w:spacing w:before="100" w:after="100"/>
            </w:pPr>
            <w:r>
              <w:t>True Local Usage</w:t>
            </w:r>
          </w:p>
        </w:tc>
        <w:tc>
          <w:tcPr>
            <w:tcW w:w="3575" w:type="dxa"/>
            <w:shd w:val="clear" w:color="auto" w:fill="auto"/>
          </w:tcPr>
          <w:p w14:paraId="5E8DFBEE" w14:textId="77777777" w:rsidR="000D07EA" w:rsidRDefault="00BE7C89">
            <w:pPr>
              <w:pStyle w:val="BodyText"/>
              <w:spacing w:before="100" w:after="100"/>
            </w:pPr>
            <w:r>
              <w:t>No</w:t>
            </w:r>
          </w:p>
        </w:tc>
      </w:tr>
      <w:tr w:rsidR="000D07EA" w14:paraId="11F269E1" w14:textId="77777777">
        <w:tc>
          <w:tcPr>
            <w:tcW w:w="5065" w:type="dxa"/>
            <w:shd w:val="clear" w:color="auto" w:fill="auto"/>
          </w:tcPr>
          <w:p w14:paraId="08D94BF1" w14:textId="77777777" w:rsidR="000D07EA" w:rsidRDefault="00BE7C89">
            <w:pPr>
              <w:pStyle w:val="BodyText"/>
              <w:spacing w:before="100" w:after="100"/>
            </w:pPr>
            <w:r>
              <w:lastRenderedPageBreak/>
              <w:t>VOIP services</w:t>
            </w:r>
          </w:p>
        </w:tc>
        <w:tc>
          <w:tcPr>
            <w:tcW w:w="3575" w:type="dxa"/>
            <w:shd w:val="clear" w:color="auto" w:fill="auto"/>
          </w:tcPr>
          <w:p w14:paraId="13432516" w14:textId="77777777" w:rsidR="000D07EA" w:rsidRDefault="00BE7C89">
            <w:pPr>
              <w:pStyle w:val="BodyText"/>
              <w:spacing w:before="100" w:after="100"/>
            </w:pPr>
            <w:r>
              <w:t>No</w:t>
            </w:r>
          </w:p>
        </w:tc>
      </w:tr>
      <w:tr w:rsidR="000D07EA" w14:paraId="48739C1A" w14:textId="77777777">
        <w:tc>
          <w:tcPr>
            <w:tcW w:w="5065" w:type="dxa"/>
            <w:shd w:val="clear" w:color="auto" w:fill="auto"/>
          </w:tcPr>
          <w:p w14:paraId="1BD488A6" w14:textId="77777777" w:rsidR="000D07EA" w:rsidRDefault="00BE7C89">
            <w:pPr>
              <w:pStyle w:val="BodyText"/>
              <w:spacing w:before="100" w:after="100"/>
            </w:pPr>
            <w:r>
              <w:t>Calls to Satellite</w:t>
            </w:r>
          </w:p>
        </w:tc>
        <w:tc>
          <w:tcPr>
            <w:tcW w:w="3575" w:type="dxa"/>
            <w:shd w:val="clear" w:color="auto" w:fill="auto"/>
          </w:tcPr>
          <w:p w14:paraId="438B0CB7" w14:textId="77777777" w:rsidR="000D07EA" w:rsidRDefault="00BE7C89">
            <w:pPr>
              <w:pStyle w:val="BodyText"/>
              <w:spacing w:before="100" w:after="100"/>
            </w:pPr>
            <w:r>
              <w:t>No</w:t>
            </w:r>
          </w:p>
        </w:tc>
      </w:tr>
      <w:tr w:rsidR="000D07EA" w14:paraId="27177660" w14:textId="77777777">
        <w:tc>
          <w:tcPr>
            <w:tcW w:w="5065" w:type="dxa"/>
            <w:shd w:val="clear" w:color="auto" w:fill="auto"/>
          </w:tcPr>
          <w:p w14:paraId="16386033" w14:textId="77777777" w:rsidR="000D07EA" w:rsidRDefault="00BE7C89">
            <w:pPr>
              <w:pStyle w:val="BodyText"/>
              <w:spacing w:before="100" w:after="100"/>
            </w:pPr>
            <w:r>
              <w:t>Surepage</w:t>
            </w:r>
          </w:p>
        </w:tc>
        <w:tc>
          <w:tcPr>
            <w:tcW w:w="3575" w:type="dxa"/>
            <w:shd w:val="clear" w:color="auto" w:fill="auto"/>
          </w:tcPr>
          <w:p w14:paraId="0BCF3456" w14:textId="77777777" w:rsidR="000D07EA" w:rsidRDefault="00BE7C89">
            <w:pPr>
              <w:pStyle w:val="BodyText"/>
              <w:spacing w:before="100" w:after="100"/>
            </w:pPr>
            <w:r>
              <w:t>No</w:t>
            </w:r>
          </w:p>
        </w:tc>
      </w:tr>
    </w:tbl>
    <w:p w14:paraId="4A24FE04" w14:textId="77777777" w:rsidR="000D07EA" w:rsidRDefault="000D07EA">
      <w:pPr>
        <w:pStyle w:val="BodyText"/>
      </w:pPr>
    </w:p>
    <w:p w14:paraId="0831C1B0" w14:textId="77777777" w:rsidR="000D07EA" w:rsidRDefault="00BE7C89">
      <w:pPr>
        <w:pStyle w:val="BodyText"/>
        <w:ind w:left="720"/>
        <w:rPr>
          <w:b/>
        </w:rPr>
      </w:pPr>
      <w:r>
        <w:rPr>
          <w:b/>
        </w:rPr>
        <w:t>Table 2A – Eligible for the Included Mobile Internet Data</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8"/>
        <w:gridCol w:w="3582"/>
      </w:tblGrid>
      <w:tr w:rsidR="000D07EA" w14:paraId="061C88DB" w14:textId="77777777">
        <w:trPr>
          <w:tblHeader/>
        </w:trPr>
        <w:tc>
          <w:tcPr>
            <w:tcW w:w="5058" w:type="dxa"/>
            <w:shd w:val="clear" w:color="auto" w:fill="auto"/>
          </w:tcPr>
          <w:p w14:paraId="77E0356E" w14:textId="77777777" w:rsidR="000D07EA" w:rsidRDefault="00BE7C89">
            <w:pPr>
              <w:pStyle w:val="BodyText"/>
              <w:spacing w:before="100" w:after="100"/>
              <w:rPr>
                <w:b/>
              </w:rPr>
            </w:pPr>
            <w:r>
              <w:rPr>
                <w:b/>
              </w:rPr>
              <w:t>Call Type</w:t>
            </w:r>
          </w:p>
        </w:tc>
        <w:tc>
          <w:tcPr>
            <w:tcW w:w="3582" w:type="dxa"/>
            <w:shd w:val="clear" w:color="auto" w:fill="auto"/>
          </w:tcPr>
          <w:p w14:paraId="6F6EBB83" w14:textId="77777777" w:rsidR="000D07EA" w:rsidRDefault="00BE7C89">
            <w:pPr>
              <w:pStyle w:val="BodyText"/>
              <w:spacing w:before="100" w:after="100"/>
              <w:rPr>
                <w:b/>
              </w:rPr>
            </w:pPr>
            <w:r>
              <w:rPr>
                <w:b/>
              </w:rPr>
              <w:t>Eligible Data</w:t>
            </w:r>
          </w:p>
        </w:tc>
      </w:tr>
      <w:tr w:rsidR="000D07EA" w14:paraId="31D8DBF7" w14:textId="77777777">
        <w:tc>
          <w:tcPr>
            <w:tcW w:w="5058" w:type="dxa"/>
            <w:shd w:val="clear" w:color="auto" w:fill="auto"/>
          </w:tcPr>
          <w:p w14:paraId="0FBADB34" w14:textId="77777777" w:rsidR="000D07EA" w:rsidRDefault="00BE7C89">
            <w:pPr>
              <w:pStyle w:val="BodyText"/>
              <w:spacing w:before="100" w:after="100"/>
            </w:pPr>
            <w:r>
              <w:t>National Voice and Video Calls</w:t>
            </w:r>
          </w:p>
        </w:tc>
        <w:tc>
          <w:tcPr>
            <w:tcW w:w="3582" w:type="dxa"/>
            <w:shd w:val="clear" w:color="auto" w:fill="auto"/>
          </w:tcPr>
          <w:p w14:paraId="0E7822B9" w14:textId="77777777" w:rsidR="000D07EA" w:rsidRDefault="00BE7C89">
            <w:pPr>
              <w:pStyle w:val="BodyText"/>
              <w:spacing w:before="100" w:after="100"/>
            </w:pPr>
            <w:r>
              <w:t>No</w:t>
            </w:r>
          </w:p>
        </w:tc>
      </w:tr>
      <w:tr w:rsidR="000D07EA" w14:paraId="7A0DD95D" w14:textId="77777777">
        <w:tc>
          <w:tcPr>
            <w:tcW w:w="5058" w:type="dxa"/>
            <w:shd w:val="clear" w:color="auto" w:fill="auto"/>
          </w:tcPr>
          <w:p w14:paraId="677B5484" w14:textId="77777777" w:rsidR="000D07EA" w:rsidRDefault="00BE7C89">
            <w:pPr>
              <w:pStyle w:val="BodyText"/>
              <w:spacing w:before="100" w:after="100"/>
            </w:pPr>
            <w:r>
              <w:t>International Voice and Video Calls</w:t>
            </w:r>
          </w:p>
          <w:p w14:paraId="0166383B" w14:textId="77777777" w:rsidR="000D07EA" w:rsidRDefault="00BE7C89">
            <w:pPr>
              <w:pStyle w:val="BodyText"/>
              <w:spacing w:before="100" w:after="100"/>
            </w:pPr>
            <w:r>
              <w:t>(including calls to national fixed or GSM mobile services that then divert/switch or re-route overseas)</w:t>
            </w:r>
          </w:p>
        </w:tc>
        <w:tc>
          <w:tcPr>
            <w:tcW w:w="3582" w:type="dxa"/>
            <w:shd w:val="clear" w:color="auto" w:fill="auto"/>
          </w:tcPr>
          <w:p w14:paraId="4987CE9A" w14:textId="77777777" w:rsidR="000D07EA" w:rsidRDefault="00BE7C89">
            <w:pPr>
              <w:pStyle w:val="BodyText"/>
              <w:spacing w:before="100" w:after="100"/>
            </w:pPr>
            <w:r>
              <w:t>No</w:t>
            </w:r>
          </w:p>
        </w:tc>
      </w:tr>
      <w:tr w:rsidR="000D07EA" w14:paraId="62047A11" w14:textId="77777777">
        <w:tc>
          <w:tcPr>
            <w:tcW w:w="5058" w:type="dxa"/>
            <w:shd w:val="clear" w:color="auto" w:fill="auto"/>
          </w:tcPr>
          <w:p w14:paraId="0058ADEA" w14:textId="77777777" w:rsidR="000D07EA" w:rsidRDefault="00BE7C89">
            <w:pPr>
              <w:pStyle w:val="BodyText"/>
              <w:spacing w:before="100" w:after="100"/>
            </w:pPr>
            <w:r>
              <w:t>Premium Video</w:t>
            </w:r>
          </w:p>
        </w:tc>
        <w:tc>
          <w:tcPr>
            <w:tcW w:w="3582" w:type="dxa"/>
            <w:shd w:val="clear" w:color="auto" w:fill="auto"/>
          </w:tcPr>
          <w:p w14:paraId="6514977D" w14:textId="77777777" w:rsidR="000D07EA" w:rsidRDefault="00BE7C89">
            <w:pPr>
              <w:pStyle w:val="BodyText"/>
              <w:spacing w:before="100" w:after="100"/>
            </w:pPr>
            <w:r>
              <w:t>No</w:t>
            </w:r>
          </w:p>
        </w:tc>
      </w:tr>
      <w:tr w:rsidR="000D07EA" w14:paraId="2191E26C" w14:textId="77777777">
        <w:tc>
          <w:tcPr>
            <w:tcW w:w="5058" w:type="dxa"/>
            <w:shd w:val="clear" w:color="auto" w:fill="auto"/>
          </w:tcPr>
          <w:p w14:paraId="60CBB65D" w14:textId="77777777" w:rsidR="000D07EA" w:rsidRDefault="00BE7C89">
            <w:pPr>
              <w:pStyle w:val="BodyText"/>
              <w:spacing w:before="100" w:after="100"/>
            </w:pPr>
            <w:r>
              <w:t>Content Video</w:t>
            </w:r>
          </w:p>
        </w:tc>
        <w:tc>
          <w:tcPr>
            <w:tcW w:w="3582" w:type="dxa"/>
            <w:shd w:val="clear" w:color="auto" w:fill="auto"/>
          </w:tcPr>
          <w:p w14:paraId="022005F9" w14:textId="77777777" w:rsidR="000D07EA" w:rsidRDefault="00BE7C89">
            <w:pPr>
              <w:pStyle w:val="BodyText"/>
              <w:spacing w:before="100" w:after="100"/>
            </w:pPr>
            <w:r>
              <w:t>No</w:t>
            </w:r>
          </w:p>
        </w:tc>
      </w:tr>
      <w:tr w:rsidR="000D07EA" w14:paraId="7678F90F" w14:textId="77777777">
        <w:tc>
          <w:tcPr>
            <w:tcW w:w="5058" w:type="dxa"/>
            <w:shd w:val="clear" w:color="auto" w:fill="auto"/>
          </w:tcPr>
          <w:p w14:paraId="74A80F38" w14:textId="77777777" w:rsidR="000D07EA" w:rsidRDefault="00BE7C89">
            <w:pPr>
              <w:pStyle w:val="BodyText"/>
              <w:spacing w:before="100" w:after="100"/>
            </w:pPr>
            <w:r>
              <w:t>National Standard SMS</w:t>
            </w:r>
          </w:p>
        </w:tc>
        <w:tc>
          <w:tcPr>
            <w:tcW w:w="3582" w:type="dxa"/>
            <w:shd w:val="clear" w:color="auto" w:fill="auto"/>
          </w:tcPr>
          <w:p w14:paraId="6E5CBAD9" w14:textId="77777777" w:rsidR="000D07EA" w:rsidRDefault="00BE7C89">
            <w:pPr>
              <w:pStyle w:val="BodyText"/>
              <w:spacing w:before="100" w:after="100"/>
            </w:pPr>
            <w:r>
              <w:t>No</w:t>
            </w:r>
          </w:p>
        </w:tc>
      </w:tr>
      <w:tr w:rsidR="000D07EA" w14:paraId="7000AF6E" w14:textId="77777777">
        <w:tc>
          <w:tcPr>
            <w:tcW w:w="5058" w:type="dxa"/>
            <w:shd w:val="clear" w:color="auto" w:fill="auto"/>
          </w:tcPr>
          <w:p w14:paraId="19F7B9C0" w14:textId="77777777" w:rsidR="000D07EA" w:rsidRDefault="00BE7C89">
            <w:pPr>
              <w:pStyle w:val="BodyText"/>
              <w:spacing w:before="100" w:after="100"/>
            </w:pPr>
            <w:r>
              <w:t>International SMS</w:t>
            </w:r>
          </w:p>
        </w:tc>
        <w:tc>
          <w:tcPr>
            <w:tcW w:w="3582" w:type="dxa"/>
            <w:shd w:val="clear" w:color="auto" w:fill="auto"/>
          </w:tcPr>
          <w:p w14:paraId="4F9DB39F" w14:textId="77777777" w:rsidR="000D07EA" w:rsidRDefault="00BE7C89">
            <w:pPr>
              <w:pStyle w:val="BodyText"/>
              <w:spacing w:before="100" w:after="100"/>
            </w:pPr>
            <w:r>
              <w:t>No</w:t>
            </w:r>
          </w:p>
        </w:tc>
      </w:tr>
      <w:tr w:rsidR="000D07EA" w14:paraId="42A8547D" w14:textId="77777777">
        <w:tc>
          <w:tcPr>
            <w:tcW w:w="5058" w:type="dxa"/>
            <w:shd w:val="clear" w:color="auto" w:fill="auto"/>
          </w:tcPr>
          <w:p w14:paraId="6556F28A" w14:textId="77777777" w:rsidR="000D07EA" w:rsidRDefault="00BE7C89">
            <w:pPr>
              <w:pStyle w:val="BodyText"/>
              <w:spacing w:before="100" w:after="100"/>
            </w:pPr>
            <w:r>
              <w:t>Premium SMS</w:t>
            </w:r>
          </w:p>
        </w:tc>
        <w:tc>
          <w:tcPr>
            <w:tcW w:w="3582" w:type="dxa"/>
            <w:shd w:val="clear" w:color="auto" w:fill="auto"/>
          </w:tcPr>
          <w:p w14:paraId="53A38168" w14:textId="77777777" w:rsidR="000D07EA" w:rsidRDefault="00BE7C89">
            <w:pPr>
              <w:pStyle w:val="BodyText"/>
              <w:spacing w:before="100" w:after="100"/>
            </w:pPr>
            <w:r>
              <w:t>No</w:t>
            </w:r>
          </w:p>
        </w:tc>
      </w:tr>
      <w:tr w:rsidR="000D07EA" w14:paraId="14ACD800" w14:textId="77777777">
        <w:tc>
          <w:tcPr>
            <w:tcW w:w="5058" w:type="dxa"/>
            <w:shd w:val="clear" w:color="auto" w:fill="auto"/>
          </w:tcPr>
          <w:p w14:paraId="4EBE13DB" w14:textId="77777777" w:rsidR="000D07EA" w:rsidRDefault="00BE7C89">
            <w:pPr>
              <w:pStyle w:val="BodyText"/>
              <w:spacing w:before="100" w:after="100"/>
            </w:pPr>
            <w:r>
              <w:t>National Standard MMS</w:t>
            </w:r>
          </w:p>
        </w:tc>
        <w:tc>
          <w:tcPr>
            <w:tcW w:w="3582" w:type="dxa"/>
            <w:shd w:val="clear" w:color="auto" w:fill="auto"/>
          </w:tcPr>
          <w:p w14:paraId="6D0C873B" w14:textId="77777777" w:rsidR="000D07EA" w:rsidRDefault="00BE7C89">
            <w:pPr>
              <w:pStyle w:val="BodyText"/>
              <w:spacing w:before="100" w:after="100"/>
            </w:pPr>
            <w:r>
              <w:t>No</w:t>
            </w:r>
          </w:p>
        </w:tc>
      </w:tr>
      <w:tr w:rsidR="000D07EA" w14:paraId="58E7EDE1" w14:textId="77777777">
        <w:tc>
          <w:tcPr>
            <w:tcW w:w="5058" w:type="dxa"/>
            <w:shd w:val="clear" w:color="auto" w:fill="auto"/>
          </w:tcPr>
          <w:p w14:paraId="45E72B53" w14:textId="77777777" w:rsidR="000D07EA" w:rsidRDefault="00BE7C89">
            <w:pPr>
              <w:pStyle w:val="BodyText"/>
              <w:spacing w:before="100" w:after="100"/>
            </w:pPr>
            <w:r>
              <w:t>International MMS</w:t>
            </w:r>
          </w:p>
        </w:tc>
        <w:tc>
          <w:tcPr>
            <w:tcW w:w="3582" w:type="dxa"/>
            <w:shd w:val="clear" w:color="auto" w:fill="auto"/>
          </w:tcPr>
          <w:p w14:paraId="5075F940" w14:textId="77777777" w:rsidR="000D07EA" w:rsidRDefault="00BE7C89">
            <w:pPr>
              <w:pStyle w:val="BodyText"/>
              <w:spacing w:before="100" w:after="100"/>
            </w:pPr>
            <w:r>
              <w:t>No</w:t>
            </w:r>
          </w:p>
        </w:tc>
      </w:tr>
      <w:tr w:rsidR="000D07EA" w14:paraId="4E6C4723" w14:textId="77777777">
        <w:tc>
          <w:tcPr>
            <w:tcW w:w="5058" w:type="dxa"/>
            <w:shd w:val="clear" w:color="auto" w:fill="auto"/>
          </w:tcPr>
          <w:p w14:paraId="549DC494" w14:textId="77777777" w:rsidR="000D07EA" w:rsidRDefault="00BE7C89">
            <w:pPr>
              <w:pStyle w:val="BodyText"/>
              <w:spacing w:before="100" w:after="100"/>
            </w:pPr>
            <w:r>
              <w:t>Premium MMS</w:t>
            </w:r>
          </w:p>
        </w:tc>
        <w:tc>
          <w:tcPr>
            <w:tcW w:w="3582" w:type="dxa"/>
            <w:shd w:val="clear" w:color="auto" w:fill="auto"/>
          </w:tcPr>
          <w:p w14:paraId="438B3490" w14:textId="77777777" w:rsidR="000D07EA" w:rsidRDefault="00BE7C89">
            <w:pPr>
              <w:pStyle w:val="BodyText"/>
              <w:spacing w:before="100" w:after="100"/>
            </w:pPr>
            <w:r>
              <w:t>No</w:t>
            </w:r>
          </w:p>
        </w:tc>
      </w:tr>
      <w:tr w:rsidR="000D07EA" w14:paraId="23CC408F" w14:textId="77777777">
        <w:tc>
          <w:tcPr>
            <w:tcW w:w="5058" w:type="dxa"/>
            <w:shd w:val="clear" w:color="auto" w:fill="auto"/>
          </w:tcPr>
          <w:p w14:paraId="2AF1E6DA" w14:textId="77777777" w:rsidR="000D07EA" w:rsidRDefault="00BE7C89">
            <w:pPr>
              <w:pStyle w:val="BodyText"/>
              <w:spacing w:before="100" w:after="100"/>
            </w:pPr>
            <w:r>
              <w:t>National Diversions</w:t>
            </w:r>
          </w:p>
        </w:tc>
        <w:tc>
          <w:tcPr>
            <w:tcW w:w="3582" w:type="dxa"/>
            <w:shd w:val="clear" w:color="auto" w:fill="auto"/>
          </w:tcPr>
          <w:p w14:paraId="1D320A92" w14:textId="77777777" w:rsidR="000D07EA" w:rsidRDefault="00BE7C89">
            <w:pPr>
              <w:pStyle w:val="BodyText"/>
              <w:spacing w:before="100" w:after="100"/>
            </w:pPr>
            <w:r>
              <w:t>No</w:t>
            </w:r>
          </w:p>
        </w:tc>
      </w:tr>
      <w:tr w:rsidR="000D07EA" w14:paraId="6C7F676C" w14:textId="77777777">
        <w:tc>
          <w:tcPr>
            <w:tcW w:w="5058" w:type="dxa"/>
            <w:shd w:val="clear" w:color="auto" w:fill="auto"/>
          </w:tcPr>
          <w:p w14:paraId="6DD5664B" w14:textId="77777777" w:rsidR="000D07EA" w:rsidRDefault="00BE7C89">
            <w:pPr>
              <w:pStyle w:val="BodyText"/>
              <w:spacing w:before="100" w:after="100"/>
            </w:pPr>
            <w:r>
              <w:t>Voicemail Deposit and Retrievals</w:t>
            </w:r>
          </w:p>
        </w:tc>
        <w:tc>
          <w:tcPr>
            <w:tcW w:w="3582" w:type="dxa"/>
            <w:shd w:val="clear" w:color="auto" w:fill="auto"/>
          </w:tcPr>
          <w:p w14:paraId="2EC23BDD" w14:textId="77777777" w:rsidR="000D07EA" w:rsidRDefault="00BE7C89">
            <w:pPr>
              <w:pStyle w:val="BodyText"/>
              <w:spacing w:before="100" w:after="100"/>
            </w:pPr>
            <w:r>
              <w:t>No</w:t>
            </w:r>
          </w:p>
        </w:tc>
      </w:tr>
      <w:tr w:rsidR="000D07EA" w14:paraId="09D23FDB" w14:textId="77777777">
        <w:tc>
          <w:tcPr>
            <w:tcW w:w="5058" w:type="dxa"/>
            <w:shd w:val="clear" w:color="auto" w:fill="auto"/>
          </w:tcPr>
          <w:p w14:paraId="6EAF87C7" w14:textId="77777777" w:rsidR="000D07EA" w:rsidRDefault="00BE7C89">
            <w:pPr>
              <w:pStyle w:val="BodyText"/>
              <w:spacing w:before="100" w:after="100"/>
            </w:pPr>
            <w:r>
              <w:t>International Roaming and Diversion</w:t>
            </w:r>
          </w:p>
        </w:tc>
        <w:tc>
          <w:tcPr>
            <w:tcW w:w="3582" w:type="dxa"/>
            <w:shd w:val="clear" w:color="auto" w:fill="auto"/>
          </w:tcPr>
          <w:p w14:paraId="5EF8CCB6" w14:textId="77777777" w:rsidR="000D07EA" w:rsidRDefault="00BE7C89">
            <w:pPr>
              <w:pStyle w:val="BodyText"/>
              <w:spacing w:before="100" w:after="100"/>
            </w:pPr>
            <w:r>
              <w:t>No</w:t>
            </w:r>
          </w:p>
        </w:tc>
      </w:tr>
      <w:tr w:rsidR="000D07EA" w14:paraId="588F19EE" w14:textId="77777777">
        <w:tc>
          <w:tcPr>
            <w:tcW w:w="5058" w:type="dxa"/>
            <w:shd w:val="clear" w:color="auto" w:fill="auto"/>
          </w:tcPr>
          <w:p w14:paraId="61E870F3" w14:textId="77777777" w:rsidR="000D07EA" w:rsidRDefault="00BE7C89">
            <w:pPr>
              <w:pStyle w:val="BodyText"/>
              <w:spacing w:before="100" w:after="100"/>
            </w:pPr>
            <w:r>
              <w:t>Video Conferencing</w:t>
            </w:r>
          </w:p>
        </w:tc>
        <w:tc>
          <w:tcPr>
            <w:tcW w:w="3582" w:type="dxa"/>
            <w:shd w:val="clear" w:color="auto" w:fill="auto"/>
          </w:tcPr>
          <w:p w14:paraId="2D42038E" w14:textId="77777777" w:rsidR="000D07EA" w:rsidRDefault="00BE7C89">
            <w:pPr>
              <w:pStyle w:val="BodyText"/>
              <w:spacing w:before="100" w:after="100"/>
            </w:pPr>
            <w:r>
              <w:t>No</w:t>
            </w:r>
          </w:p>
        </w:tc>
      </w:tr>
      <w:tr w:rsidR="000D07EA" w14:paraId="5491FB34" w14:textId="77777777">
        <w:tc>
          <w:tcPr>
            <w:tcW w:w="5058" w:type="dxa"/>
            <w:shd w:val="clear" w:color="auto" w:fill="auto"/>
          </w:tcPr>
          <w:p w14:paraId="04E293E9" w14:textId="77777777" w:rsidR="000D07EA" w:rsidRDefault="00BE7C89">
            <w:pPr>
              <w:pStyle w:val="BodyText"/>
              <w:spacing w:before="100" w:after="100"/>
            </w:pPr>
            <w:r>
              <w:t>BlackBerry Email</w:t>
            </w:r>
          </w:p>
        </w:tc>
        <w:tc>
          <w:tcPr>
            <w:tcW w:w="3582" w:type="dxa"/>
            <w:shd w:val="clear" w:color="auto" w:fill="auto"/>
          </w:tcPr>
          <w:p w14:paraId="0350F9F6" w14:textId="77777777" w:rsidR="000D07EA" w:rsidRDefault="00BE7C89">
            <w:pPr>
              <w:pStyle w:val="BodyText"/>
              <w:spacing w:before="100" w:after="100"/>
            </w:pPr>
            <w:r>
              <w:t>No</w:t>
            </w:r>
          </w:p>
        </w:tc>
      </w:tr>
      <w:tr w:rsidR="000D07EA" w14:paraId="31BE1479" w14:textId="77777777">
        <w:tc>
          <w:tcPr>
            <w:tcW w:w="5058" w:type="dxa"/>
            <w:shd w:val="clear" w:color="auto" w:fill="auto"/>
          </w:tcPr>
          <w:p w14:paraId="7F5ED381" w14:textId="77777777" w:rsidR="000D07EA" w:rsidRDefault="00BE7C89">
            <w:pPr>
              <w:pStyle w:val="BodyText"/>
              <w:spacing w:before="100" w:after="100"/>
            </w:pPr>
            <w:r>
              <w:t>Optus Zoo Browsing*</w:t>
            </w:r>
          </w:p>
        </w:tc>
        <w:tc>
          <w:tcPr>
            <w:tcW w:w="3582" w:type="dxa"/>
            <w:shd w:val="clear" w:color="auto" w:fill="auto"/>
          </w:tcPr>
          <w:p w14:paraId="73E4F5FE" w14:textId="77777777" w:rsidR="000D07EA" w:rsidRDefault="00BE7C89">
            <w:pPr>
              <w:pStyle w:val="BodyText"/>
              <w:spacing w:before="100" w:after="100"/>
            </w:pPr>
            <w:r>
              <w:t>Yes, up to the monthly included data amount specified in Table 3A.</w:t>
            </w:r>
          </w:p>
        </w:tc>
      </w:tr>
      <w:tr w:rsidR="000D07EA" w14:paraId="5E4BD4FC" w14:textId="77777777">
        <w:tc>
          <w:tcPr>
            <w:tcW w:w="5058" w:type="dxa"/>
            <w:shd w:val="clear" w:color="auto" w:fill="auto"/>
          </w:tcPr>
          <w:p w14:paraId="642441E4" w14:textId="77777777" w:rsidR="000D07EA" w:rsidRDefault="00BE7C89">
            <w:pPr>
              <w:pStyle w:val="BodyText"/>
              <w:spacing w:before="100" w:after="100"/>
            </w:pPr>
            <w:r>
              <w:t>Optus Zoo Downloads</w:t>
            </w:r>
          </w:p>
        </w:tc>
        <w:tc>
          <w:tcPr>
            <w:tcW w:w="3582" w:type="dxa"/>
            <w:shd w:val="clear" w:color="auto" w:fill="auto"/>
          </w:tcPr>
          <w:p w14:paraId="5E00C329" w14:textId="77777777" w:rsidR="000D07EA" w:rsidRDefault="00BE7C89">
            <w:pPr>
              <w:pStyle w:val="BodyText"/>
              <w:spacing w:before="100" w:after="100"/>
            </w:pPr>
            <w:r>
              <w:t>No</w:t>
            </w:r>
          </w:p>
        </w:tc>
      </w:tr>
      <w:tr w:rsidR="000D07EA" w14:paraId="459C263F" w14:textId="77777777">
        <w:tc>
          <w:tcPr>
            <w:tcW w:w="5058" w:type="dxa"/>
            <w:shd w:val="clear" w:color="auto" w:fill="auto"/>
          </w:tcPr>
          <w:p w14:paraId="1E36A044" w14:textId="77777777" w:rsidR="000D07EA" w:rsidRDefault="00BE7C89">
            <w:pPr>
              <w:pStyle w:val="BodyText"/>
              <w:spacing w:before="100" w:after="100"/>
            </w:pPr>
            <w:r>
              <w:t>SMS to 966 (Zoo)</w:t>
            </w:r>
          </w:p>
        </w:tc>
        <w:tc>
          <w:tcPr>
            <w:tcW w:w="3582" w:type="dxa"/>
            <w:shd w:val="clear" w:color="auto" w:fill="auto"/>
          </w:tcPr>
          <w:p w14:paraId="30AF0694" w14:textId="77777777" w:rsidR="000D07EA" w:rsidRDefault="00BE7C89">
            <w:pPr>
              <w:pStyle w:val="BodyText"/>
              <w:spacing w:before="100" w:after="100"/>
            </w:pPr>
            <w:r>
              <w:t>No</w:t>
            </w:r>
          </w:p>
        </w:tc>
      </w:tr>
      <w:tr w:rsidR="000D07EA" w14:paraId="0AC02610" w14:textId="77777777">
        <w:tc>
          <w:tcPr>
            <w:tcW w:w="5058" w:type="dxa"/>
            <w:shd w:val="clear" w:color="auto" w:fill="auto"/>
          </w:tcPr>
          <w:p w14:paraId="1274077F" w14:textId="77777777" w:rsidR="000D07EA" w:rsidRDefault="00BE7C89">
            <w:pPr>
              <w:pStyle w:val="BodyText"/>
              <w:spacing w:before="100" w:after="100"/>
            </w:pPr>
            <w:r>
              <w:t>Mobile Internet usage*</w:t>
            </w:r>
          </w:p>
        </w:tc>
        <w:tc>
          <w:tcPr>
            <w:tcW w:w="3582" w:type="dxa"/>
            <w:shd w:val="clear" w:color="auto" w:fill="auto"/>
          </w:tcPr>
          <w:p w14:paraId="085046FE" w14:textId="77777777" w:rsidR="000D07EA" w:rsidRDefault="00BE7C89">
            <w:pPr>
              <w:pStyle w:val="BodyText"/>
              <w:spacing w:before="100" w:after="100"/>
            </w:pPr>
            <w:r>
              <w:t>Yes, up to the monthly included data amount specified in Table 3A.</w:t>
            </w:r>
          </w:p>
        </w:tc>
      </w:tr>
      <w:tr w:rsidR="000D07EA" w14:paraId="318B54B8" w14:textId="77777777">
        <w:tc>
          <w:tcPr>
            <w:tcW w:w="5058" w:type="dxa"/>
            <w:shd w:val="clear" w:color="auto" w:fill="auto"/>
          </w:tcPr>
          <w:p w14:paraId="0880F89A" w14:textId="77777777" w:rsidR="000D07EA" w:rsidRDefault="00BE7C89">
            <w:pPr>
              <w:pStyle w:val="BodyText"/>
              <w:spacing w:before="100" w:after="100"/>
            </w:pPr>
            <w:r>
              <w:t>Mobile as Modem</w:t>
            </w:r>
          </w:p>
        </w:tc>
        <w:tc>
          <w:tcPr>
            <w:tcW w:w="3582" w:type="dxa"/>
            <w:shd w:val="clear" w:color="auto" w:fill="auto"/>
          </w:tcPr>
          <w:p w14:paraId="56CDD5AE" w14:textId="77777777" w:rsidR="000D07EA" w:rsidRDefault="00BE7C89">
            <w:pPr>
              <w:pStyle w:val="BodyText"/>
              <w:spacing w:before="100" w:after="100"/>
            </w:pPr>
            <w:r>
              <w:t>Yes</w:t>
            </w:r>
          </w:p>
        </w:tc>
      </w:tr>
      <w:tr w:rsidR="000D07EA" w14:paraId="391ECBE7" w14:textId="77777777">
        <w:tc>
          <w:tcPr>
            <w:tcW w:w="5058" w:type="dxa"/>
            <w:shd w:val="clear" w:color="auto" w:fill="auto"/>
          </w:tcPr>
          <w:p w14:paraId="493DEEE2" w14:textId="77777777" w:rsidR="000D07EA" w:rsidRDefault="00BE7C89">
            <w:pPr>
              <w:pStyle w:val="BodyText"/>
              <w:spacing w:before="100" w:after="100"/>
            </w:pPr>
            <w:r>
              <w:t>Data Used while Roaming Internationally</w:t>
            </w:r>
          </w:p>
        </w:tc>
        <w:tc>
          <w:tcPr>
            <w:tcW w:w="3582" w:type="dxa"/>
            <w:shd w:val="clear" w:color="auto" w:fill="auto"/>
          </w:tcPr>
          <w:p w14:paraId="68023E59" w14:textId="77777777" w:rsidR="000D07EA" w:rsidRDefault="00BE7C89">
            <w:pPr>
              <w:pStyle w:val="BodyText"/>
              <w:spacing w:before="100" w:after="100"/>
            </w:pPr>
            <w:r>
              <w:t>No</w:t>
            </w:r>
          </w:p>
        </w:tc>
      </w:tr>
      <w:tr w:rsidR="000D07EA" w14:paraId="64D00556" w14:textId="77777777">
        <w:tc>
          <w:tcPr>
            <w:tcW w:w="5058" w:type="dxa"/>
            <w:shd w:val="clear" w:color="auto" w:fill="auto"/>
          </w:tcPr>
          <w:p w14:paraId="6D812226" w14:textId="77777777" w:rsidR="000D07EA" w:rsidRDefault="00BE7C89">
            <w:pPr>
              <w:pStyle w:val="BodyText"/>
              <w:spacing w:before="100" w:after="100"/>
            </w:pPr>
            <w:r>
              <w:t>Content Packs</w:t>
            </w:r>
          </w:p>
        </w:tc>
        <w:tc>
          <w:tcPr>
            <w:tcW w:w="3582" w:type="dxa"/>
            <w:shd w:val="clear" w:color="auto" w:fill="auto"/>
          </w:tcPr>
          <w:p w14:paraId="0E0805B7" w14:textId="77777777" w:rsidR="000D07EA" w:rsidRDefault="00BE7C89">
            <w:pPr>
              <w:pStyle w:val="BodyText"/>
              <w:spacing w:before="100" w:after="100"/>
            </w:pPr>
            <w:r>
              <w:t>No</w:t>
            </w:r>
          </w:p>
        </w:tc>
      </w:tr>
      <w:tr w:rsidR="000D07EA" w14:paraId="59808F89" w14:textId="77777777">
        <w:tc>
          <w:tcPr>
            <w:tcW w:w="5058" w:type="dxa"/>
            <w:shd w:val="clear" w:color="auto" w:fill="auto"/>
          </w:tcPr>
          <w:p w14:paraId="1B699580" w14:textId="77777777" w:rsidR="000D07EA" w:rsidRDefault="00BE7C89">
            <w:pPr>
              <w:pStyle w:val="BodyText"/>
              <w:spacing w:before="100" w:after="100"/>
            </w:pPr>
            <w:r>
              <w:lastRenderedPageBreak/>
              <w:t>TrueLocal Usage</w:t>
            </w:r>
          </w:p>
        </w:tc>
        <w:tc>
          <w:tcPr>
            <w:tcW w:w="3582" w:type="dxa"/>
            <w:shd w:val="clear" w:color="auto" w:fill="auto"/>
          </w:tcPr>
          <w:p w14:paraId="3C99207F" w14:textId="77777777" w:rsidR="000D07EA" w:rsidRDefault="00BE7C89">
            <w:pPr>
              <w:pStyle w:val="BodyText"/>
              <w:spacing w:before="100" w:after="100"/>
            </w:pPr>
            <w:r>
              <w:t>No</w:t>
            </w:r>
          </w:p>
        </w:tc>
      </w:tr>
      <w:tr w:rsidR="000D07EA" w14:paraId="293DCA2F" w14:textId="77777777">
        <w:tc>
          <w:tcPr>
            <w:tcW w:w="5058" w:type="dxa"/>
            <w:shd w:val="clear" w:color="auto" w:fill="auto"/>
          </w:tcPr>
          <w:p w14:paraId="340F6E16" w14:textId="77777777" w:rsidR="000D07EA" w:rsidRDefault="00BE7C89">
            <w:pPr>
              <w:pStyle w:val="BodyText"/>
              <w:spacing w:before="100" w:after="100"/>
            </w:pPr>
            <w:r>
              <w:t>Directory Assistance- 1223</w:t>
            </w:r>
          </w:p>
        </w:tc>
        <w:tc>
          <w:tcPr>
            <w:tcW w:w="3582" w:type="dxa"/>
            <w:shd w:val="clear" w:color="auto" w:fill="auto"/>
          </w:tcPr>
          <w:p w14:paraId="4EFF0A5F" w14:textId="77777777" w:rsidR="000D07EA" w:rsidRDefault="00BE7C89">
            <w:pPr>
              <w:pStyle w:val="BodyText"/>
              <w:spacing w:before="100" w:after="100"/>
            </w:pPr>
            <w:r>
              <w:t>No</w:t>
            </w:r>
          </w:p>
        </w:tc>
      </w:tr>
      <w:tr w:rsidR="000D07EA" w14:paraId="1788B59F" w14:textId="77777777">
        <w:tc>
          <w:tcPr>
            <w:tcW w:w="5058" w:type="dxa"/>
            <w:shd w:val="clear" w:color="auto" w:fill="auto"/>
          </w:tcPr>
          <w:p w14:paraId="42824796" w14:textId="77777777" w:rsidR="000D07EA" w:rsidRDefault="00BE7C89">
            <w:pPr>
              <w:pStyle w:val="BodyText"/>
              <w:spacing w:before="100" w:after="100"/>
            </w:pPr>
            <w:r>
              <w:t>19XX Numbers</w:t>
            </w:r>
          </w:p>
        </w:tc>
        <w:tc>
          <w:tcPr>
            <w:tcW w:w="3582" w:type="dxa"/>
            <w:shd w:val="clear" w:color="auto" w:fill="auto"/>
          </w:tcPr>
          <w:p w14:paraId="1B012F85" w14:textId="77777777" w:rsidR="000D07EA" w:rsidRDefault="00BE7C89">
            <w:pPr>
              <w:pStyle w:val="BodyText"/>
              <w:spacing w:before="100" w:after="100"/>
            </w:pPr>
            <w:r>
              <w:t>No</w:t>
            </w:r>
          </w:p>
        </w:tc>
      </w:tr>
      <w:tr w:rsidR="000D07EA" w14:paraId="44AFCDCC" w14:textId="77777777">
        <w:tc>
          <w:tcPr>
            <w:tcW w:w="5058" w:type="dxa"/>
            <w:shd w:val="clear" w:color="auto" w:fill="auto"/>
          </w:tcPr>
          <w:p w14:paraId="72AC3FFE" w14:textId="77777777" w:rsidR="000D07EA" w:rsidRDefault="00BE7C89">
            <w:pPr>
              <w:pStyle w:val="BodyText"/>
              <w:spacing w:before="100" w:after="100"/>
            </w:pPr>
            <w:r>
              <w:t>1800, 13 and 1300 numbers</w:t>
            </w:r>
          </w:p>
        </w:tc>
        <w:tc>
          <w:tcPr>
            <w:tcW w:w="3582" w:type="dxa"/>
            <w:shd w:val="clear" w:color="auto" w:fill="auto"/>
          </w:tcPr>
          <w:p w14:paraId="551FEC0F" w14:textId="77777777" w:rsidR="000D07EA" w:rsidRDefault="00BE7C89">
            <w:pPr>
              <w:pStyle w:val="BodyText"/>
              <w:spacing w:before="100" w:after="100"/>
            </w:pPr>
            <w:r>
              <w:t>No</w:t>
            </w:r>
          </w:p>
        </w:tc>
      </w:tr>
      <w:tr w:rsidR="000D07EA" w14:paraId="066CE1C6" w14:textId="77777777">
        <w:tc>
          <w:tcPr>
            <w:tcW w:w="5058" w:type="dxa"/>
            <w:shd w:val="clear" w:color="auto" w:fill="auto"/>
          </w:tcPr>
          <w:p w14:paraId="2776D67D" w14:textId="77777777" w:rsidR="000D07EA" w:rsidRDefault="00BE7C89">
            <w:pPr>
              <w:pStyle w:val="BodyText"/>
              <w:spacing w:before="100" w:after="100"/>
            </w:pPr>
            <w:r>
              <w:t>124YES(937)</w:t>
            </w:r>
          </w:p>
        </w:tc>
        <w:tc>
          <w:tcPr>
            <w:tcW w:w="3582" w:type="dxa"/>
            <w:shd w:val="clear" w:color="auto" w:fill="auto"/>
          </w:tcPr>
          <w:p w14:paraId="150F48E9" w14:textId="77777777" w:rsidR="000D07EA" w:rsidRDefault="00BE7C89">
            <w:pPr>
              <w:pStyle w:val="BodyText"/>
              <w:spacing w:before="100" w:after="100"/>
            </w:pPr>
            <w:r>
              <w:t>No</w:t>
            </w:r>
          </w:p>
        </w:tc>
      </w:tr>
      <w:tr w:rsidR="000D07EA" w14:paraId="71A1ED06" w14:textId="77777777">
        <w:tc>
          <w:tcPr>
            <w:tcW w:w="5058" w:type="dxa"/>
            <w:shd w:val="clear" w:color="auto" w:fill="auto"/>
          </w:tcPr>
          <w:p w14:paraId="1A1E1537" w14:textId="77777777" w:rsidR="000D07EA" w:rsidRDefault="00BE7C89">
            <w:pPr>
              <w:pStyle w:val="BodyText"/>
              <w:spacing w:before="100" w:after="100"/>
            </w:pPr>
            <w:r>
              <w:t>Insurance</w:t>
            </w:r>
          </w:p>
        </w:tc>
        <w:tc>
          <w:tcPr>
            <w:tcW w:w="3582" w:type="dxa"/>
            <w:shd w:val="clear" w:color="auto" w:fill="auto"/>
          </w:tcPr>
          <w:p w14:paraId="0F209FDF" w14:textId="77777777" w:rsidR="000D07EA" w:rsidRDefault="00BE7C89">
            <w:pPr>
              <w:pStyle w:val="BodyText"/>
              <w:spacing w:before="100" w:after="100"/>
            </w:pPr>
            <w:r>
              <w:t>No</w:t>
            </w:r>
          </w:p>
        </w:tc>
      </w:tr>
      <w:tr w:rsidR="000D07EA" w14:paraId="386F8A58" w14:textId="77777777">
        <w:tc>
          <w:tcPr>
            <w:tcW w:w="5058" w:type="dxa"/>
            <w:shd w:val="clear" w:color="auto" w:fill="auto"/>
          </w:tcPr>
          <w:p w14:paraId="6C0EF62A" w14:textId="77777777" w:rsidR="000D07EA" w:rsidRDefault="00BE7C89">
            <w:pPr>
              <w:pStyle w:val="BodyText"/>
              <w:spacing w:before="100" w:after="100"/>
            </w:pPr>
            <w:r>
              <w:t>Handset Payments</w:t>
            </w:r>
          </w:p>
        </w:tc>
        <w:tc>
          <w:tcPr>
            <w:tcW w:w="3582" w:type="dxa"/>
            <w:shd w:val="clear" w:color="auto" w:fill="auto"/>
          </w:tcPr>
          <w:p w14:paraId="1506942F" w14:textId="77777777" w:rsidR="000D07EA" w:rsidRDefault="00BE7C89">
            <w:pPr>
              <w:pStyle w:val="BodyText"/>
              <w:spacing w:before="100" w:after="100"/>
            </w:pPr>
            <w:r>
              <w:t>No</w:t>
            </w:r>
          </w:p>
        </w:tc>
      </w:tr>
      <w:tr w:rsidR="000D07EA" w14:paraId="1B908572" w14:textId="77777777">
        <w:tc>
          <w:tcPr>
            <w:tcW w:w="5058" w:type="dxa"/>
            <w:shd w:val="clear" w:color="auto" w:fill="auto"/>
          </w:tcPr>
          <w:p w14:paraId="2A1B1F72" w14:textId="77777777" w:rsidR="000D07EA" w:rsidRDefault="00BE7C89">
            <w:pPr>
              <w:pStyle w:val="BodyText"/>
              <w:spacing w:before="100" w:after="100"/>
            </w:pPr>
            <w:r>
              <w:t>Calls to Satellite</w:t>
            </w:r>
          </w:p>
        </w:tc>
        <w:tc>
          <w:tcPr>
            <w:tcW w:w="3582" w:type="dxa"/>
            <w:shd w:val="clear" w:color="auto" w:fill="auto"/>
          </w:tcPr>
          <w:p w14:paraId="6D922B35" w14:textId="77777777" w:rsidR="000D07EA" w:rsidRDefault="00BE7C89">
            <w:pPr>
              <w:pStyle w:val="BodyText"/>
              <w:spacing w:before="100" w:after="100"/>
            </w:pPr>
            <w:r>
              <w:t>No</w:t>
            </w:r>
          </w:p>
        </w:tc>
      </w:tr>
      <w:tr w:rsidR="000D07EA" w14:paraId="78786813" w14:textId="77777777">
        <w:tc>
          <w:tcPr>
            <w:tcW w:w="5058" w:type="dxa"/>
            <w:shd w:val="clear" w:color="auto" w:fill="auto"/>
          </w:tcPr>
          <w:p w14:paraId="125C1D31" w14:textId="77777777" w:rsidR="000D07EA" w:rsidRDefault="00BE7C89">
            <w:pPr>
              <w:pStyle w:val="BodyText"/>
              <w:spacing w:before="100" w:after="100"/>
            </w:pPr>
            <w:r>
              <w:t>VOIP services</w:t>
            </w:r>
          </w:p>
        </w:tc>
        <w:tc>
          <w:tcPr>
            <w:tcW w:w="3582" w:type="dxa"/>
            <w:shd w:val="clear" w:color="auto" w:fill="auto"/>
          </w:tcPr>
          <w:p w14:paraId="72D88BCF" w14:textId="77777777" w:rsidR="000D07EA" w:rsidRDefault="00BE7C89">
            <w:pPr>
              <w:pStyle w:val="BodyText"/>
              <w:spacing w:before="100" w:after="100"/>
            </w:pPr>
            <w:r>
              <w:t>No</w:t>
            </w:r>
          </w:p>
        </w:tc>
      </w:tr>
      <w:tr w:rsidR="000D07EA" w14:paraId="5C7826BA" w14:textId="77777777">
        <w:tc>
          <w:tcPr>
            <w:tcW w:w="5058" w:type="dxa"/>
            <w:shd w:val="clear" w:color="auto" w:fill="auto"/>
          </w:tcPr>
          <w:p w14:paraId="3E3DA60D" w14:textId="77777777" w:rsidR="000D07EA" w:rsidRDefault="00BE7C89">
            <w:pPr>
              <w:pStyle w:val="BodyText"/>
              <w:spacing w:before="100" w:after="100"/>
            </w:pPr>
            <w:r>
              <w:t>Surepage</w:t>
            </w:r>
          </w:p>
        </w:tc>
        <w:tc>
          <w:tcPr>
            <w:tcW w:w="3582" w:type="dxa"/>
            <w:shd w:val="clear" w:color="auto" w:fill="auto"/>
          </w:tcPr>
          <w:p w14:paraId="5E181205" w14:textId="77777777" w:rsidR="000D07EA" w:rsidRDefault="00BE7C89">
            <w:pPr>
              <w:pStyle w:val="BodyText"/>
              <w:spacing w:before="100" w:after="100"/>
            </w:pPr>
            <w:r>
              <w:t>No</w:t>
            </w:r>
          </w:p>
        </w:tc>
      </w:tr>
    </w:tbl>
    <w:p w14:paraId="08729068" w14:textId="77777777" w:rsidR="000D07EA" w:rsidRDefault="000D07EA">
      <w:pPr>
        <w:pStyle w:val="BodyText"/>
      </w:pPr>
    </w:p>
    <w:p w14:paraId="2E1A894C" w14:textId="77777777" w:rsidR="000D07EA" w:rsidRDefault="00BE7C89">
      <w:pPr>
        <w:pStyle w:val="BodyText"/>
        <w:ind w:left="720"/>
        <w:rPr>
          <w:b/>
        </w:rPr>
      </w:pPr>
      <w:r>
        <w:rPr>
          <w:b/>
        </w:rPr>
        <w:t>Table 2B – Eligible for Unlimited BlackBerry POP3 Email &amp; Browsing through the BlackBerry Browser</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4980"/>
        <w:gridCol w:w="3681"/>
      </w:tblGrid>
      <w:tr w:rsidR="000D07EA" w14:paraId="2F550EB4" w14:textId="77777777">
        <w:trPr>
          <w:trHeight w:val="58"/>
          <w:tblHeader/>
        </w:trPr>
        <w:tc>
          <w:tcPr>
            <w:tcW w:w="4980" w:type="dxa"/>
            <w:hideMark/>
          </w:tcPr>
          <w:p w14:paraId="4B120632" w14:textId="77777777" w:rsidR="000D07EA" w:rsidRDefault="00BE7C89">
            <w:pPr>
              <w:pStyle w:val="BodyText"/>
              <w:spacing w:before="100" w:after="100"/>
              <w:jc w:val="center"/>
              <w:rPr>
                <w:b/>
                <w:snapToGrid w:val="0"/>
                <w:sz w:val="24"/>
                <w:lang w:val="en-AU" w:eastAsia="en-AU"/>
              </w:rPr>
            </w:pPr>
            <w:r>
              <w:rPr>
                <w:b/>
                <w:snapToGrid w:val="0"/>
              </w:rPr>
              <w:t>Call Type</w:t>
            </w:r>
          </w:p>
        </w:tc>
        <w:tc>
          <w:tcPr>
            <w:tcW w:w="3681" w:type="dxa"/>
            <w:hideMark/>
          </w:tcPr>
          <w:p w14:paraId="0D8480FC" w14:textId="77777777" w:rsidR="000D07EA" w:rsidRDefault="00BE7C89">
            <w:pPr>
              <w:pStyle w:val="BodyText"/>
              <w:spacing w:before="100" w:after="100"/>
              <w:jc w:val="center"/>
              <w:rPr>
                <w:b/>
                <w:snapToGrid w:val="0"/>
                <w:sz w:val="24"/>
                <w:lang w:val="en-AU" w:eastAsia="en-AU"/>
              </w:rPr>
            </w:pPr>
            <w:r>
              <w:rPr>
                <w:b/>
                <w:snapToGrid w:val="0"/>
              </w:rPr>
              <w:t>Eligible Data</w:t>
            </w:r>
          </w:p>
        </w:tc>
      </w:tr>
      <w:tr w:rsidR="000D07EA" w14:paraId="17F7BEDF" w14:textId="77777777">
        <w:trPr>
          <w:trHeight w:val="247"/>
        </w:trPr>
        <w:tc>
          <w:tcPr>
            <w:tcW w:w="4980" w:type="dxa"/>
            <w:hideMark/>
          </w:tcPr>
          <w:p w14:paraId="6D21C9FB" w14:textId="77777777" w:rsidR="000D07EA" w:rsidRDefault="00BE7C89">
            <w:pPr>
              <w:pStyle w:val="BodyText"/>
              <w:spacing w:before="100" w:after="100"/>
              <w:jc w:val="center"/>
              <w:rPr>
                <w:snapToGrid w:val="0"/>
                <w:sz w:val="24"/>
                <w:lang w:val="en-AU" w:eastAsia="en-AU"/>
              </w:rPr>
            </w:pPr>
            <w:r>
              <w:rPr>
                <w:snapToGrid w:val="0"/>
              </w:rPr>
              <w:t>BlackBerry Email (POP3)</w:t>
            </w:r>
          </w:p>
        </w:tc>
        <w:tc>
          <w:tcPr>
            <w:tcW w:w="3681" w:type="dxa"/>
            <w:hideMark/>
          </w:tcPr>
          <w:p w14:paraId="444EA409" w14:textId="77777777" w:rsidR="000D07EA" w:rsidRDefault="00BE7C89">
            <w:pPr>
              <w:pStyle w:val="BodyText"/>
              <w:spacing w:before="100" w:after="100"/>
              <w:jc w:val="center"/>
              <w:rPr>
                <w:b/>
                <w:snapToGrid w:val="0"/>
                <w:sz w:val="24"/>
                <w:lang w:val="en-AU" w:eastAsia="en-AU"/>
              </w:rPr>
            </w:pPr>
            <w:r>
              <w:rPr>
                <w:b/>
                <w:snapToGrid w:val="0"/>
              </w:rPr>
              <w:t>Yes</w:t>
            </w:r>
          </w:p>
        </w:tc>
      </w:tr>
      <w:tr w:rsidR="000D07EA" w14:paraId="62DB88D7" w14:textId="77777777">
        <w:trPr>
          <w:trHeight w:val="247"/>
        </w:trPr>
        <w:tc>
          <w:tcPr>
            <w:tcW w:w="4980" w:type="dxa"/>
            <w:hideMark/>
          </w:tcPr>
          <w:p w14:paraId="16621D13" w14:textId="77777777" w:rsidR="000D07EA" w:rsidRDefault="00BE7C89">
            <w:pPr>
              <w:pStyle w:val="BodyText"/>
              <w:spacing w:before="100" w:after="100"/>
              <w:jc w:val="center"/>
              <w:rPr>
                <w:snapToGrid w:val="0"/>
                <w:sz w:val="24"/>
                <w:lang w:val="en-AU" w:eastAsia="en-AU"/>
              </w:rPr>
            </w:pPr>
            <w:r>
              <w:rPr>
                <w:snapToGrid w:val="0"/>
              </w:rPr>
              <w:t>Internet Browsing through the BlackBerry Browser and/or the BlackBerry Internet Browser</w:t>
            </w:r>
          </w:p>
        </w:tc>
        <w:tc>
          <w:tcPr>
            <w:tcW w:w="3681" w:type="dxa"/>
            <w:hideMark/>
          </w:tcPr>
          <w:p w14:paraId="4D020DE3" w14:textId="77777777" w:rsidR="000D07EA" w:rsidRDefault="00BE7C89">
            <w:pPr>
              <w:pStyle w:val="BodyText"/>
              <w:spacing w:before="100" w:after="100"/>
              <w:jc w:val="center"/>
              <w:rPr>
                <w:b/>
                <w:snapToGrid w:val="0"/>
                <w:sz w:val="24"/>
                <w:lang w:val="en-AU" w:eastAsia="en-AU"/>
              </w:rPr>
            </w:pPr>
            <w:r>
              <w:rPr>
                <w:b/>
                <w:snapToGrid w:val="0"/>
              </w:rPr>
              <w:t>Yes</w:t>
            </w:r>
          </w:p>
        </w:tc>
      </w:tr>
      <w:tr w:rsidR="000D07EA" w14:paraId="336DA8FE" w14:textId="77777777">
        <w:trPr>
          <w:trHeight w:val="509"/>
        </w:trPr>
        <w:tc>
          <w:tcPr>
            <w:tcW w:w="4980" w:type="dxa"/>
            <w:hideMark/>
          </w:tcPr>
          <w:p w14:paraId="1B1D95F8" w14:textId="77777777" w:rsidR="000D07EA" w:rsidRDefault="00BE7C89">
            <w:pPr>
              <w:pStyle w:val="BodyText"/>
              <w:spacing w:before="100" w:after="100"/>
              <w:jc w:val="center"/>
              <w:rPr>
                <w:snapToGrid w:val="0"/>
                <w:sz w:val="24"/>
                <w:lang w:val="en-AU" w:eastAsia="en-AU"/>
              </w:rPr>
            </w:pPr>
            <w:r>
              <w:rPr>
                <w:snapToGrid w:val="0"/>
              </w:rPr>
              <w:t>Optus Zoo downloads and subscriptions</w:t>
            </w:r>
          </w:p>
        </w:tc>
        <w:tc>
          <w:tcPr>
            <w:tcW w:w="3681" w:type="dxa"/>
            <w:hideMark/>
          </w:tcPr>
          <w:p w14:paraId="590F1A38" w14:textId="77777777" w:rsidR="000D07EA" w:rsidRDefault="00BE7C89">
            <w:pPr>
              <w:pStyle w:val="BodyText"/>
              <w:spacing w:before="100" w:after="100"/>
              <w:jc w:val="center"/>
              <w:rPr>
                <w:b/>
                <w:sz w:val="24"/>
                <w:lang w:val="en-AU" w:eastAsia="en-AU"/>
              </w:rPr>
            </w:pPr>
            <w:r>
              <w:rPr>
                <w:b/>
                <w:snapToGrid w:val="0"/>
              </w:rPr>
              <w:t>No</w:t>
            </w:r>
          </w:p>
        </w:tc>
      </w:tr>
      <w:tr w:rsidR="000D07EA" w14:paraId="3715510E" w14:textId="77777777">
        <w:trPr>
          <w:trHeight w:val="247"/>
        </w:trPr>
        <w:tc>
          <w:tcPr>
            <w:tcW w:w="4980" w:type="dxa"/>
            <w:hideMark/>
          </w:tcPr>
          <w:p w14:paraId="10F8D92A" w14:textId="77777777" w:rsidR="000D07EA" w:rsidRDefault="00BE7C89">
            <w:pPr>
              <w:pStyle w:val="BodyText"/>
              <w:spacing w:before="100" w:after="100"/>
              <w:jc w:val="center"/>
              <w:rPr>
                <w:snapToGrid w:val="0"/>
                <w:sz w:val="24"/>
                <w:lang w:val="en-AU" w:eastAsia="en-AU"/>
              </w:rPr>
            </w:pPr>
            <w:r>
              <w:rPr>
                <w:snapToGrid w:val="0"/>
              </w:rPr>
              <w:t>Optus Zoo GPRS WAP browsing</w:t>
            </w:r>
          </w:p>
        </w:tc>
        <w:tc>
          <w:tcPr>
            <w:tcW w:w="3681" w:type="dxa"/>
            <w:hideMark/>
          </w:tcPr>
          <w:p w14:paraId="35AFDF46" w14:textId="77777777" w:rsidR="000D07EA" w:rsidRDefault="00BE7C89">
            <w:pPr>
              <w:pStyle w:val="BodyText"/>
              <w:spacing w:before="100" w:after="100"/>
              <w:jc w:val="center"/>
              <w:rPr>
                <w:b/>
                <w:snapToGrid w:val="0"/>
                <w:sz w:val="24"/>
                <w:lang w:val="en-AU" w:eastAsia="en-AU"/>
              </w:rPr>
            </w:pPr>
            <w:r>
              <w:rPr>
                <w:b/>
                <w:snapToGrid w:val="0"/>
              </w:rPr>
              <w:t>No</w:t>
            </w:r>
          </w:p>
        </w:tc>
      </w:tr>
      <w:tr w:rsidR="000D07EA" w14:paraId="25525E02" w14:textId="77777777">
        <w:trPr>
          <w:trHeight w:val="58"/>
        </w:trPr>
        <w:tc>
          <w:tcPr>
            <w:tcW w:w="4980" w:type="dxa"/>
            <w:hideMark/>
          </w:tcPr>
          <w:p w14:paraId="47D34AA5" w14:textId="77777777" w:rsidR="000D07EA" w:rsidRDefault="00BE7C89">
            <w:pPr>
              <w:pStyle w:val="BodyText"/>
              <w:spacing w:before="100" w:after="100"/>
              <w:jc w:val="center"/>
              <w:rPr>
                <w:lang w:val="en-AU"/>
              </w:rPr>
            </w:pPr>
            <w:r>
              <w:t>Applications from Optus and third party applications that require a BlackBerry Data connection</w:t>
            </w:r>
          </w:p>
        </w:tc>
        <w:tc>
          <w:tcPr>
            <w:tcW w:w="3681" w:type="dxa"/>
          </w:tcPr>
          <w:p w14:paraId="0FE37D80" w14:textId="77777777" w:rsidR="000D07EA" w:rsidRDefault="00BE7C89">
            <w:pPr>
              <w:pStyle w:val="BodyText"/>
              <w:spacing w:before="100" w:after="100"/>
              <w:jc w:val="center"/>
              <w:rPr>
                <w:b/>
                <w:snapToGrid w:val="0"/>
                <w:sz w:val="24"/>
                <w:lang w:val="en-AU" w:eastAsia="en-AU"/>
              </w:rPr>
            </w:pPr>
            <w:r>
              <w:rPr>
                <w:b/>
                <w:snapToGrid w:val="0"/>
              </w:rPr>
              <w:t>Yes</w:t>
            </w:r>
          </w:p>
        </w:tc>
      </w:tr>
      <w:tr w:rsidR="000D07EA" w14:paraId="252195FD" w14:textId="77777777">
        <w:trPr>
          <w:trHeight w:val="247"/>
        </w:trPr>
        <w:tc>
          <w:tcPr>
            <w:tcW w:w="4980" w:type="dxa"/>
            <w:hideMark/>
          </w:tcPr>
          <w:p w14:paraId="63ED49A4" w14:textId="77777777" w:rsidR="000D07EA" w:rsidRDefault="00BE7C89">
            <w:pPr>
              <w:pStyle w:val="BodyText"/>
              <w:spacing w:before="100" w:after="100"/>
              <w:jc w:val="center"/>
              <w:rPr>
                <w:snapToGrid w:val="0"/>
                <w:sz w:val="24"/>
                <w:lang w:val="en-AU" w:eastAsia="en-AU"/>
              </w:rPr>
            </w:pPr>
            <w:r>
              <w:rPr>
                <w:snapToGrid w:val="0"/>
              </w:rPr>
              <w:t>All other call types or usage</w:t>
            </w:r>
          </w:p>
        </w:tc>
        <w:tc>
          <w:tcPr>
            <w:tcW w:w="3681" w:type="dxa"/>
            <w:hideMark/>
          </w:tcPr>
          <w:p w14:paraId="212F0D65" w14:textId="77777777" w:rsidR="000D07EA" w:rsidRDefault="00BE7C89">
            <w:pPr>
              <w:pStyle w:val="BodyText"/>
              <w:spacing w:before="100" w:after="100"/>
              <w:jc w:val="center"/>
              <w:rPr>
                <w:b/>
                <w:snapToGrid w:val="0"/>
                <w:sz w:val="24"/>
                <w:lang w:val="en-AU" w:eastAsia="en-AU"/>
              </w:rPr>
            </w:pPr>
            <w:r>
              <w:rPr>
                <w:b/>
                <w:snapToGrid w:val="0"/>
              </w:rPr>
              <w:t>No</w:t>
            </w:r>
          </w:p>
        </w:tc>
      </w:tr>
    </w:tbl>
    <w:p w14:paraId="1483CA87" w14:textId="77777777" w:rsidR="000D07EA" w:rsidRDefault="000D07EA">
      <w:pPr>
        <w:pStyle w:val="BodyText"/>
      </w:pPr>
    </w:p>
    <w:p w14:paraId="1EFD58B0" w14:textId="77777777" w:rsidR="000D07EA" w:rsidRDefault="00BE7C89">
      <w:pPr>
        <w:pStyle w:val="BodyText"/>
        <w:ind w:left="720"/>
        <w:rPr>
          <w:b/>
        </w:rPr>
      </w:pPr>
      <w:r>
        <w:rPr>
          <w:b/>
        </w:rPr>
        <w:t>Table 3A – Charges and Cap Amounts for the Business Complete Ultimate Plans</w:t>
      </w:r>
    </w:p>
    <w:tbl>
      <w:tblPr>
        <w:tblW w:w="4161"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0"/>
        <w:gridCol w:w="1828"/>
        <w:gridCol w:w="1830"/>
        <w:gridCol w:w="1830"/>
      </w:tblGrid>
      <w:tr w:rsidR="000D07EA" w14:paraId="447E7CB8" w14:textId="77777777">
        <w:trPr>
          <w:tblHeader/>
        </w:trPr>
        <w:tc>
          <w:tcPr>
            <w:tcW w:w="1764" w:type="pct"/>
            <w:hideMark/>
          </w:tcPr>
          <w:p w14:paraId="784021E3" w14:textId="77777777" w:rsidR="000D07EA" w:rsidRDefault="00BE7C89">
            <w:pPr>
              <w:pStyle w:val="BodyText"/>
              <w:spacing w:before="100" w:after="100"/>
              <w:rPr>
                <w:b/>
                <w:sz w:val="24"/>
                <w:lang w:val="en-AU" w:eastAsia="en-AU"/>
              </w:rPr>
            </w:pPr>
            <w:r>
              <w:rPr>
                <w:b/>
              </w:rPr>
              <w:t> </w:t>
            </w:r>
          </w:p>
        </w:tc>
        <w:tc>
          <w:tcPr>
            <w:tcW w:w="1078" w:type="pct"/>
            <w:hideMark/>
          </w:tcPr>
          <w:p w14:paraId="4F610C62" w14:textId="77777777" w:rsidR="000D07EA" w:rsidRDefault="00BE7C89">
            <w:pPr>
              <w:pStyle w:val="BodyText"/>
              <w:spacing w:before="100" w:after="100"/>
              <w:jc w:val="center"/>
              <w:rPr>
                <w:b/>
                <w:sz w:val="24"/>
                <w:lang w:val="en-AU" w:eastAsia="en-AU"/>
              </w:rPr>
            </w:pPr>
            <w:r>
              <w:rPr>
                <w:b/>
              </w:rPr>
              <w:t>$49 Business Complete Ultimate / (Premium H/set)</w:t>
            </w:r>
          </w:p>
        </w:tc>
        <w:tc>
          <w:tcPr>
            <w:tcW w:w="1079" w:type="pct"/>
            <w:hideMark/>
          </w:tcPr>
          <w:p w14:paraId="5924DC73" w14:textId="77777777" w:rsidR="000D07EA" w:rsidRDefault="00BE7C89">
            <w:pPr>
              <w:pStyle w:val="BodyText"/>
              <w:spacing w:before="100" w:after="100"/>
              <w:jc w:val="center"/>
              <w:rPr>
                <w:b/>
                <w:sz w:val="24"/>
                <w:lang w:val="en-AU" w:eastAsia="en-AU"/>
              </w:rPr>
            </w:pPr>
            <w:r>
              <w:rPr>
                <w:b/>
              </w:rPr>
              <w:t>$59 Business Complete Ultimate / (Premium H/set)</w:t>
            </w:r>
          </w:p>
        </w:tc>
        <w:tc>
          <w:tcPr>
            <w:tcW w:w="1079" w:type="pct"/>
            <w:hideMark/>
          </w:tcPr>
          <w:p w14:paraId="762A013D" w14:textId="77777777" w:rsidR="000D07EA" w:rsidRDefault="00BE7C89">
            <w:pPr>
              <w:pStyle w:val="BodyText"/>
              <w:spacing w:before="100" w:after="100"/>
              <w:jc w:val="center"/>
              <w:rPr>
                <w:b/>
                <w:sz w:val="24"/>
                <w:lang w:val="en-AU" w:eastAsia="en-AU"/>
              </w:rPr>
            </w:pPr>
            <w:r>
              <w:rPr>
                <w:b/>
              </w:rPr>
              <w:t>$79 Business Complete Ultimate / (Premium H/set)</w:t>
            </w:r>
          </w:p>
        </w:tc>
      </w:tr>
      <w:tr w:rsidR="000D07EA" w14:paraId="358CA746" w14:textId="77777777">
        <w:tc>
          <w:tcPr>
            <w:tcW w:w="1764" w:type="pct"/>
            <w:hideMark/>
          </w:tcPr>
          <w:p w14:paraId="4383668D" w14:textId="77777777" w:rsidR="000D07EA" w:rsidRDefault="00BE7C89">
            <w:pPr>
              <w:pStyle w:val="BodyText"/>
              <w:spacing w:before="100" w:after="100"/>
              <w:rPr>
                <w:b/>
                <w:sz w:val="24"/>
                <w:lang w:val="en-AU" w:eastAsia="en-AU"/>
              </w:rPr>
            </w:pPr>
            <w:r>
              <w:rPr>
                <w:b/>
              </w:rPr>
              <w:t>Cap Start</w:t>
            </w:r>
          </w:p>
        </w:tc>
        <w:tc>
          <w:tcPr>
            <w:tcW w:w="1078" w:type="pct"/>
            <w:hideMark/>
          </w:tcPr>
          <w:p w14:paraId="2302028C" w14:textId="77777777" w:rsidR="000D07EA" w:rsidRDefault="00BE7C89">
            <w:pPr>
              <w:pStyle w:val="BodyText"/>
              <w:spacing w:before="100" w:after="100"/>
              <w:jc w:val="center"/>
              <w:rPr>
                <w:sz w:val="24"/>
                <w:lang w:val="en-AU" w:eastAsia="en-AU"/>
              </w:rPr>
            </w:pPr>
            <w:r>
              <w:t>$49</w:t>
            </w:r>
          </w:p>
        </w:tc>
        <w:tc>
          <w:tcPr>
            <w:tcW w:w="1079" w:type="pct"/>
            <w:hideMark/>
          </w:tcPr>
          <w:p w14:paraId="1F2867BD" w14:textId="77777777" w:rsidR="000D07EA" w:rsidRDefault="00BE7C89">
            <w:pPr>
              <w:pStyle w:val="BodyText"/>
              <w:spacing w:before="100" w:after="100"/>
              <w:jc w:val="center"/>
              <w:rPr>
                <w:sz w:val="24"/>
                <w:lang w:val="en-AU" w:eastAsia="en-AU"/>
              </w:rPr>
            </w:pPr>
            <w:r>
              <w:t>$59</w:t>
            </w:r>
          </w:p>
        </w:tc>
        <w:tc>
          <w:tcPr>
            <w:tcW w:w="1079" w:type="pct"/>
            <w:hideMark/>
          </w:tcPr>
          <w:p w14:paraId="6C207DF2" w14:textId="77777777" w:rsidR="000D07EA" w:rsidRDefault="00BE7C89">
            <w:pPr>
              <w:pStyle w:val="BodyText"/>
              <w:spacing w:before="100" w:after="100"/>
              <w:jc w:val="center"/>
              <w:rPr>
                <w:sz w:val="24"/>
                <w:lang w:val="en-AU" w:eastAsia="en-AU"/>
              </w:rPr>
            </w:pPr>
            <w:r>
              <w:t>$79</w:t>
            </w:r>
          </w:p>
        </w:tc>
      </w:tr>
      <w:tr w:rsidR="000D07EA" w14:paraId="7F96B671" w14:textId="77777777">
        <w:tc>
          <w:tcPr>
            <w:tcW w:w="1764" w:type="pct"/>
            <w:hideMark/>
          </w:tcPr>
          <w:p w14:paraId="6FF9F3BB" w14:textId="77777777" w:rsidR="000D07EA" w:rsidRDefault="00BE7C89">
            <w:pPr>
              <w:pStyle w:val="BodyText"/>
              <w:spacing w:before="100" w:after="100"/>
              <w:rPr>
                <w:b/>
                <w:sz w:val="24"/>
                <w:lang w:val="en-AU" w:eastAsia="en-AU"/>
              </w:rPr>
            </w:pPr>
            <w:r>
              <w:rPr>
                <w:b/>
              </w:rPr>
              <w:t>"Included Cap Value" per month</w:t>
            </w:r>
          </w:p>
        </w:tc>
        <w:tc>
          <w:tcPr>
            <w:tcW w:w="1078" w:type="pct"/>
            <w:hideMark/>
          </w:tcPr>
          <w:p w14:paraId="63083BD3" w14:textId="77777777" w:rsidR="000D07EA" w:rsidRDefault="00BE7C89">
            <w:pPr>
              <w:pStyle w:val="BodyText"/>
              <w:spacing w:before="100" w:after="100"/>
              <w:jc w:val="center"/>
              <w:rPr>
                <w:sz w:val="24"/>
                <w:lang w:val="en-AU" w:eastAsia="en-AU"/>
              </w:rPr>
            </w:pPr>
            <w:r>
              <w:t>$500</w:t>
            </w:r>
          </w:p>
        </w:tc>
        <w:tc>
          <w:tcPr>
            <w:tcW w:w="1079" w:type="pct"/>
            <w:hideMark/>
          </w:tcPr>
          <w:p w14:paraId="4DEC0743" w14:textId="77777777" w:rsidR="000D07EA" w:rsidRDefault="00BE7C89">
            <w:pPr>
              <w:pStyle w:val="BodyText"/>
              <w:spacing w:before="100" w:after="100"/>
              <w:jc w:val="center"/>
              <w:rPr>
                <w:sz w:val="24"/>
                <w:lang w:val="en-AU" w:eastAsia="en-AU"/>
              </w:rPr>
            </w:pPr>
            <w:r>
              <w:t>$700</w:t>
            </w:r>
          </w:p>
        </w:tc>
        <w:tc>
          <w:tcPr>
            <w:tcW w:w="1079" w:type="pct"/>
            <w:hideMark/>
          </w:tcPr>
          <w:p w14:paraId="72DF679C" w14:textId="77777777" w:rsidR="000D07EA" w:rsidRDefault="00BE7C89">
            <w:pPr>
              <w:pStyle w:val="BodyText"/>
              <w:spacing w:before="100" w:after="100"/>
              <w:jc w:val="center"/>
              <w:rPr>
                <w:sz w:val="24"/>
                <w:lang w:val="en-AU" w:eastAsia="en-AU"/>
              </w:rPr>
            </w:pPr>
            <w:r>
              <w:t>$900</w:t>
            </w:r>
          </w:p>
        </w:tc>
      </w:tr>
      <w:tr w:rsidR="000D07EA" w14:paraId="539D9BC9" w14:textId="77777777">
        <w:tc>
          <w:tcPr>
            <w:tcW w:w="1764" w:type="pct"/>
            <w:hideMark/>
          </w:tcPr>
          <w:p w14:paraId="53E2071C" w14:textId="77777777" w:rsidR="000D07EA" w:rsidRDefault="00BE7C89">
            <w:pPr>
              <w:pStyle w:val="BodyText"/>
              <w:spacing w:before="100" w:after="100"/>
              <w:rPr>
                <w:b/>
                <w:sz w:val="24"/>
                <w:lang w:val="en-AU" w:eastAsia="en-AU"/>
              </w:rPr>
            </w:pPr>
            <w:r>
              <w:rPr>
                <w:b/>
              </w:rPr>
              <w:t>Unlimited Standard National SMS and MMS to Australian GSM mobiles (excludes Pivotel), within Australia</w:t>
            </w:r>
          </w:p>
        </w:tc>
        <w:tc>
          <w:tcPr>
            <w:tcW w:w="1078" w:type="pct"/>
            <w:hideMark/>
          </w:tcPr>
          <w:p w14:paraId="213792F8" w14:textId="77777777" w:rsidR="000D07EA" w:rsidRDefault="00BE7C89">
            <w:pPr>
              <w:pStyle w:val="BodyText"/>
              <w:spacing w:before="100" w:after="100"/>
              <w:jc w:val="center"/>
              <w:rPr>
                <w:sz w:val="24"/>
                <w:lang w:val="en-AU" w:eastAsia="en-AU"/>
              </w:rPr>
            </w:pPr>
            <w:r>
              <w:t>No</w:t>
            </w:r>
          </w:p>
        </w:tc>
        <w:tc>
          <w:tcPr>
            <w:tcW w:w="1079" w:type="pct"/>
            <w:hideMark/>
          </w:tcPr>
          <w:p w14:paraId="6C0DE6BE" w14:textId="77777777" w:rsidR="000D07EA" w:rsidRDefault="00BE7C89">
            <w:pPr>
              <w:pStyle w:val="BodyText"/>
              <w:spacing w:before="100" w:after="100"/>
              <w:jc w:val="center"/>
              <w:rPr>
                <w:sz w:val="24"/>
                <w:lang w:val="en-AU" w:eastAsia="en-AU"/>
              </w:rPr>
            </w:pPr>
            <w:r>
              <w:t>Yes</w:t>
            </w:r>
          </w:p>
        </w:tc>
        <w:tc>
          <w:tcPr>
            <w:tcW w:w="1079" w:type="pct"/>
            <w:hideMark/>
          </w:tcPr>
          <w:p w14:paraId="6C59FF22" w14:textId="77777777" w:rsidR="000D07EA" w:rsidRDefault="00BE7C89">
            <w:pPr>
              <w:pStyle w:val="BodyText"/>
              <w:spacing w:before="100" w:after="100"/>
              <w:jc w:val="center"/>
              <w:rPr>
                <w:sz w:val="24"/>
                <w:lang w:val="en-AU" w:eastAsia="en-AU"/>
              </w:rPr>
            </w:pPr>
            <w:r>
              <w:t>Yes</w:t>
            </w:r>
          </w:p>
        </w:tc>
      </w:tr>
      <w:tr w:rsidR="000D07EA" w14:paraId="41E4F1F8" w14:textId="77777777">
        <w:tc>
          <w:tcPr>
            <w:tcW w:w="1764" w:type="pct"/>
            <w:hideMark/>
          </w:tcPr>
          <w:p w14:paraId="606E3F2A" w14:textId="77777777" w:rsidR="000D07EA" w:rsidRDefault="00BE7C89">
            <w:pPr>
              <w:pStyle w:val="BodyText"/>
              <w:spacing w:before="100" w:after="100"/>
              <w:rPr>
                <w:b/>
                <w:sz w:val="24"/>
                <w:lang w:val="en-AU" w:eastAsia="en-AU"/>
              </w:rPr>
            </w:pPr>
            <w:r>
              <w:rPr>
                <w:b/>
              </w:rPr>
              <w:lastRenderedPageBreak/>
              <w:t>Unlimited calls Optus GSM Mobiles on Same Customer Account Number Offe to use within Australia.</w:t>
            </w:r>
          </w:p>
        </w:tc>
        <w:tc>
          <w:tcPr>
            <w:tcW w:w="1078" w:type="pct"/>
            <w:hideMark/>
          </w:tcPr>
          <w:p w14:paraId="007A239A" w14:textId="77777777" w:rsidR="000D07EA" w:rsidRDefault="00BE7C89">
            <w:pPr>
              <w:pStyle w:val="BodyText"/>
              <w:spacing w:before="100" w:after="100"/>
              <w:jc w:val="center"/>
              <w:rPr>
                <w:sz w:val="24"/>
                <w:lang w:val="en-AU" w:eastAsia="en-AU"/>
              </w:rPr>
            </w:pPr>
            <w:r>
              <w:t>Yes</w:t>
            </w:r>
          </w:p>
        </w:tc>
        <w:tc>
          <w:tcPr>
            <w:tcW w:w="1079" w:type="pct"/>
            <w:hideMark/>
          </w:tcPr>
          <w:p w14:paraId="68B4694A" w14:textId="77777777" w:rsidR="000D07EA" w:rsidRDefault="00BE7C89">
            <w:pPr>
              <w:pStyle w:val="BodyText"/>
              <w:spacing w:before="100" w:after="100"/>
              <w:jc w:val="center"/>
              <w:rPr>
                <w:sz w:val="24"/>
                <w:lang w:val="en-AU" w:eastAsia="en-AU"/>
              </w:rPr>
            </w:pPr>
            <w:r>
              <w:t>Yes</w:t>
            </w:r>
          </w:p>
        </w:tc>
        <w:tc>
          <w:tcPr>
            <w:tcW w:w="1079" w:type="pct"/>
            <w:hideMark/>
          </w:tcPr>
          <w:p w14:paraId="6C382B60" w14:textId="77777777" w:rsidR="000D07EA" w:rsidRDefault="00BE7C89">
            <w:pPr>
              <w:pStyle w:val="BodyText"/>
              <w:spacing w:before="100" w:after="100"/>
              <w:jc w:val="center"/>
              <w:rPr>
                <w:sz w:val="24"/>
                <w:lang w:val="en-AU" w:eastAsia="en-AU"/>
              </w:rPr>
            </w:pPr>
            <w:r>
              <w:t>Yes</w:t>
            </w:r>
          </w:p>
        </w:tc>
      </w:tr>
      <w:tr w:rsidR="000D07EA" w14:paraId="3B9E4082" w14:textId="77777777">
        <w:tc>
          <w:tcPr>
            <w:tcW w:w="1764" w:type="pct"/>
            <w:hideMark/>
          </w:tcPr>
          <w:p w14:paraId="072386BF" w14:textId="77777777" w:rsidR="000D07EA" w:rsidRDefault="00BE7C89">
            <w:pPr>
              <w:pStyle w:val="BodyText"/>
              <w:spacing w:before="100" w:after="100"/>
              <w:rPr>
                <w:b/>
                <w:sz w:val="24"/>
                <w:lang w:val="en-AU" w:eastAsia="en-AU"/>
              </w:rPr>
            </w:pPr>
            <w:r>
              <w:rPr>
                <w:b/>
              </w:rPr>
              <w:t>Unlimited Voicemail – Deposit and retrievals within Australia</w:t>
            </w:r>
          </w:p>
        </w:tc>
        <w:tc>
          <w:tcPr>
            <w:tcW w:w="1078" w:type="pct"/>
            <w:hideMark/>
          </w:tcPr>
          <w:p w14:paraId="78F50415" w14:textId="77777777" w:rsidR="000D07EA" w:rsidRDefault="00BE7C89">
            <w:pPr>
              <w:pStyle w:val="BodyText"/>
              <w:spacing w:before="100" w:after="100"/>
              <w:jc w:val="center"/>
              <w:rPr>
                <w:sz w:val="24"/>
                <w:lang w:val="en-AU" w:eastAsia="en-AU"/>
              </w:rPr>
            </w:pPr>
            <w:r>
              <w:t>Yes</w:t>
            </w:r>
          </w:p>
        </w:tc>
        <w:tc>
          <w:tcPr>
            <w:tcW w:w="1079" w:type="pct"/>
            <w:hideMark/>
          </w:tcPr>
          <w:p w14:paraId="6AAA8A65" w14:textId="77777777" w:rsidR="000D07EA" w:rsidRDefault="00BE7C89">
            <w:pPr>
              <w:pStyle w:val="BodyText"/>
              <w:spacing w:before="100" w:after="100"/>
              <w:jc w:val="center"/>
              <w:rPr>
                <w:sz w:val="24"/>
                <w:lang w:val="en-AU" w:eastAsia="en-AU"/>
              </w:rPr>
            </w:pPr>
            <w:r>
              <w:t>Yes</w:t>
            </w:r>
          </w:p>
        </w:tc>
        <w:tc>
          <w:tcPr>
            <w:tcW w:w="1079" w:type="pct"/>
            <w:hideMark/>
          </w:tcPr>
          <w:p w14:paraId="2B8C2CC5" w14:textId="77777777" w:rsidR="000D07EA" w:rsidRDefault="00BE7C89">
            <w:pPr>
              <w:pStyle w:val="BodyText"/>
              <w:spacing w:before="100" w:after="100"/>
              <w:jc w:val="center"/>
              <w:rPr>
                <w:sz w:val="24"/>
                <w:lang w:val="en-AU" w:eastAsia="en-AU"/>
              </w:rPr>
            </w:pPr>
            <w:r>
              <w:t>Yes</w:t>
            </w:r>
          </w:p>
        </w:tc>
      </w:tr>
      <w:tr w:rsidR="000D07EA" w14:paraId="5B5F20DF" w14:textId="77777777">
        <w:tc>
          <w:tcPr>
            <w:tcW w:w="1764" w:type="pct"/>
            <w:hideMark/>
          </w:tcPr>
          <w:p w14:paraId="411D84E2" w14:textId="77777777" w:rsidR="000D07EA" w:rsidRDefault="00BE7C89">
            <w:pPr>
              <w:pStyle w:val="BodyText"/>
              <w:spacing w:before="100" w:after="100"/>
              <w:rPr>
                <w:b/>
                <w:sz w:val="24"/>
                <w:lang w:val="en-AU" w:eastAsia="en-AU"/>
              </w:rPr>
            </w:pPr>
            <w:r>
              <w:rPr>
                <w:b/>
              </w:rPr>
              <w:t>Unlimited access to Facebook®, Twitter, LinkedIn, Ebay, FourSquare, MySpace within Australia</w:t>
            </w:r>
          </w:p>
        </w:tc>
        <w:tc>
          <w:tcPr>
            <w:tcW w:w="1078" w:type="pct"/>
            <w:hideMark/>
          </w:tcPr>
          <w:p w14:paraId="247F9AC9" w14:textId="77777777" w:rsidR="000D07EA" w:rsidRDefault="00BE7C89">
            <w:pPr>
              <w:pStyle w:val="BodyText"/>
              <w:spacing w:before="100" w:after="100"/>
              <w:jc w:val="center"/>
              <w:rPr>
                <w:sz w:val="24"/>
                <w:lang w:val="en-AU" w:eastAsia="en-AU"/>
              </w:rPr>
            </w:pPr>
            <w:r>
              <w:t>Yes</w:t>
            </w:r>
          </w:p>
        </w:tc>
        <w:tc>
          <w:tcPr>
            <w:tcW w:w="1079" w:type="pct"/>
            <w:hideMark/>
          </w:tcPr>
          <w:p w14:paraId="4E61CBD6" w14:textId="77777777" w:rsidR="000D07EA" w:rsidRDefault="00BE7C89">
            <w:pPr>
              <w:pStyle w:val="BodyText"/>
              <w:spacing w:before="100" w:after="100"/>
              <w:jc w:val="center"/>
              <w:rPr>
                <w:sz w:val="24"/>
                <w:lang w:val="en-AU" w:eastAsia="en-AU"/>
              </w:rPr>
            </w:pPr>
            <w:r>
              <w:t>Yes</w:t>
            </w:r>
          </w:p>
        </w:tc>
        <w:tc>
          <w:tcPr>
            <w:tcW w:w="1079" w:type="pct"/>
            <w:hideMark/>
          </w:tcPr>
          <w:p w14:paraId="18D5C123" w14:textId="77777777" w:rsidR="000D07EA" w:rsidRDefault="00BE7C89">
            <w:pPr>
              <w:pStyle w:val="BodyText"/>
              <w:spacing w:before="100" w:after="100"/>
              <w:jc w:val="center"/>
              <w:rPr>
                <w:sz w:val="24"/>
                <w:lang w:val="en-AU" w:eastAsia="en-AU"/>
              </w:rPr>
            </w:pPr>
            <w:r>
              <w:t>Yes</w:t>
            </w:r>
          </w:p>
        </w:tc>
      </w:tr>
      <w:tr w:rsidR="000D07EA" w14:paraId="345F192E" w14:textId="77777777">
        <w:tc>
          <w:tcPr>
            <w:tcW w:w="1764" w:type="pct"/>
            <w:hideMark/>
          </w:tcPr>
          <w:p w14:paraId="6B7CFDF3" w14:textId="77777777" w:rsidR="000D07EA" w:rsidRDefault="00BE7C89">
            <w:pPr>
              <w:pStyle w:val="BodyText"/>
              <w:spacing w:before="100" w:after="100"/>
              <w:rPr>
                <w:b/>
                <w:sz w:val="24"/>
                <w:lang w:val="en-AU" w:eastAsia="en-AU"/>
              </w:rPr>
            </w:pPr>
            <w:r>
              <w:rPr>
                <w:b/>
              </w:rPr>
              <w:t>Minimum Monthly charge</w:t>
            </w:r>
          </w:p>
        </w:tc>
        <w:tc>
          <w:tcPr>
            <w:tcW w:w="1078" w:type="pct"/>
            <w:hideMark/>
          </w:tcPr>
          <w:p w14:paraId="3527458B" w14:textId="77777777" w:rsidR="000D07EA" w:rsidRDefault="00BE7C89">
            <w:pPr>
              <w:pStyle w:val="BodyText"/>
              <w:spacing w:before="100" w:after="100"/>
              <w:jc w:val="center"/>
              <w:rPr>
                <w:sz w:val="24"/>
                <w:lang w:val="en-AU" w:eastAsia="en-AU"/>
              </w:rPr>
            </w:pPr>
            <w:r>
              <w:t>$49</w:t>
            </w:r>
          </w:p>
        </w:tc>
        <w:tc>
          <w:tcPr>
            <w:tcW w:w="1079" w:type="pct"/>
            <w:hideMark/>
          </w:tcPr>
          <w:p w14:paraId="3EA3BF7C" w14:textId="77777777" w:rsidR="000D07EA" w:rsidRDefault="00BE7C89">
            <w:pPr>
              <w:pStyle w:val="BodyText"/>
              <w:spacing w:before="100" w:after="100"/>
              <w:jc w:val="center"/>
              <w:rPr>
                <w:sz w:val="24"/>
                <w:lang w:val="en-AU" w:eastAsia="en-AU"/>
              </w:rPr>
            </w:pPr>
            <w:r>
              <w:t>$59</w:t>
            </w:r>
          </w:p>
        </w:tc>
        <w:tc>
          <w:tcPr>
            <w:tcW w:w="1079" w:type="pct"/>
            <w:hideMark/>
          </w:tcPr>
          <w:p w14:paraId="2AF5D7A8" w14:textId="77777777" w:rsidR="000D07EA" w:rsidRDefault="00BE7C89">
            <w:pPr>
              <w:pStyle w:val="BodyText"/>
              <w:spacing w:before="100" w:after="100"/>
              <w:jc w:val="center"/>
              <w:rPr>
                <w:sz w:val="24"/>
                <w:lang w:val="en-AU" w:eastAsia="en-AU"/>
              </w:rPr>
            </w:pPr>
            <w:r>
              <w:t>$79</w:t>
            </w:r>
          </w:p>
        </w:tc>
      </w:tr>
      <w:tr w:rsidR="000D07EA" w14:paraId="0C89C34F" w14:textId="77777777">
        <w:tc>
          <w:tcPr>
            <w:tcW w:w="1764" w:type="pct"/>
            <w:hideMark/>
          </w:tcPr>
          <w:p w14:paraId="3F55C8B0" w14:textId="77777777" w:rsidR="000D07EA" w:rsidRDefault="00BE7C89">
            <w:pPr>
              <w:pStyle w:val="BodyText"/>
              <w:keepNext/>
              <w:spacing w:before="100" w:after="100"/>
              <w:rPr>
                <w:b/>
                <w:sz w:val="24"/>
                <w:lang w:val="en-AU" w:eastAsia="en-AU"/>
              </w:rPr>
            </w:pPr>
            <w:r>
              <w:rPr>
                <w:b/>
              </w:rPr>
              <w:t xml:space="preserve">National Voice call charges </w:t>
            </w:r>
            <w:r>
              <w:t>(per minute)</w:t>
            </w:r>
          </w:p>
        </w:tc>
        <w:tc>
          <w:tcPr>
            <w:tcW w:w="1078" w:type="pct"/>
            <w:hideMark/>
          </w:tcPr>
          <w:p w14:paraId="5900CCA5" w14:textId="77777777" w:rsidR="000D07EA" w:rsidRDefault="00BE7C89">
            <w:pPr>
              <w:pStyle w:val="BodyText"/>
              <w:keepNext/>
              <w:spacing w:before="100" w:after="100"/>
              <w:jc w:val="center"/>
              <w:rPr>
                <w:sz w:val="24"/>
                <w:lang w:val="en-AU" w:eastAsia="en-AU"/>
              </w:rPr>
            </w:pPr>
            <w:r>
              <w:t>$0.90</w:t>
            </w:r>
          </w:p>
        </w:tc>
        <w:tc>
          <w:tcPr>
            <w:tcW w:w="1079" w:type="pct"/>
            <w:hideMark/>
          </w:tcPr>
          <w:p w14:paraId="0EB7C570" w14:textId="77777777" w:rsidR="000D07EA" w:rsidRDefault="00BE7C89">
            <w:pPr>
              <w:pStyle w:val="BodyText"/>
              <w:keepNext/>
              <w:spacing w:before="100" w:after="100"/>
              <w:jc w:val="center"/>
              <w:rPr>
                <w:sz w:val="24"/>
                <w:lang w:val="en-AU" w:eastAsia="en-AU"/>
              </w:rPr>
            </w:pPr>
            <w:r>
              <w:t>$0.90</w:t>
            </w:r>
          </w:p>
        </w:tc>
        <w:tc>
          <w:tcPr>
            <w:tcW w:w="1079" w:type="pct"/>
            <w:hideMark/>
          </w:tcPr>
          <w:p w14:paraId="3B1E17F4" w14:textId="77777777" w:rsidR="000D07EA" w:rsidRDefault="00BE7C89">
            <w:pPr>
              <w:pStyle w:val="BodyText"/>
              <w:keepNext/>
              <w:spacing w:before="100" w:after="100"/>
              <w:jc w:val="center"/>
              <w:rPr>
                <w:sz w:val="24"/>
                <w:lang w:val="en-AU" w:eastAsia="en-AU"/>
              </w:rPr>
            </w:pPr>
            <w:r>
              <w:t>$0.90</w:t>
            </w:r>
          </w:p>
        </w:tc>
      </w:tr>
      <w:tr w:rsidR="000D07EA" w14:paraId="66F28796" w14:textId="77777777">
        <w:tc>
          <w:tcPr>
            <w:tcW w:w="1764" w:type="pct"/>
            <w:hideMark/>
          </w:tcPr>
          <w:p w14:paraId="1C16751C" w14:textId="77777777" w:rsidR="000D07EA" w:rsidRDefault="00BE7C89">
            <w:pPr>
              <w:pStyle w:val="BodyText"/>
              <w:spacing w:before="100" w:after="100"/>
              <w:rPr>
                <w:b/>
                <w:i/>
                <w:iCs/>
                <w:sz w:val="24"/>
                <w:lang w:val="en-AU" w:eastAsia="en-AU"/>
              </w:rPr>
            </w:pPr>
            <w:r>
              <w:rPr>
                <w:b/>
                <w:i/>
                <w:iCs/>
              </w:rPr>
              <w:t>Flagfall</w:t>
            </w:r>
            <w:r>
              <w:rPr>
                <w:b/>
              </w:rPr>
              <w:t xml:space="preserve"> for national voice calls (Call Connection Charge) </w:t>
            </w:r>
          </w:p>
        </w:tc>
        <w:tc>
          <w:tcPr>
            <w:tcW w:w="1078" w:type="pct"/>
            <w:hideMark/>
          </w:tcPr>
          <w:p w14:paraId="24976A9F" w14:textId="77777777" w:rsidR="000D07EA" w:rsidRDefault="00BE7C89">
            <w:pPr>
              <w:pStyle w:val="BodyText"/>
              <w:spacing w:before="100" w:after="100"/>
              <w:jc w:val="center"/>
              <w:rPr>
                <w:sz w:val="24"/>
                <w:lang w:val="en-AU" w:eastAsia="en-AU"/>
              </w:rPr>
            </w:pPr>
            <w:r>
              <w:t>$0.35</w:t>
            </w:r>
          </w:p>
        </w:tc>
        <w:tc>
          <w:tcPr>
            <w:tcW w:w="1079" w:type="pct"/>
            <w:hideMark/>
          </w:tcPr>
          <w:p w14:paraId="5FE2191F" w14:textId="77777777" w:rsidR="000D07EA" w:rsidRDefault="00BE7C89">
            <w:pPr>
              <w:pStyle w:val="BodyText"/>
              <w:spacing w:before="100" w:after="100"/>
              <w:jc w:val="center"/>
              <w:rPr>
                <w:sz w:val="24"/>
                <w:lang w:val="en-AU" w:eastAsia="en-AU"/>
              </w:rPr>
            </w:pPr>
            <w:r>
              <w:t>$0.35</w:t>
            </w:r>
          </w:p>
        </w:tc>
        <w:tc>
          <w:tcPr>
            <w:tcW w:w="1079" w:type="pct"/>
            <w:hideMark/>
          </w:tcPr>
          <w:p w14:paraId="7FEA9F69" w14:textId="77777777" w:rsidR="000D07EA" w:rsidRDefault="00BE7C89">
            <w:pPr>
              <w:pStyle w:val="BodyText"/>
              <w:spacing w:before="100" w:after="100"/>
              <w:jc w:val="center"/>
              <w:rPr>
                <w:sz w:val="24"/>
                <w:lang w:val="en-AU" w:eastAsia="en-AU"/>
              </w:rPr>
            </w:pPr>
            <w:r>
              <w:t>$0.35</w:t>
            </w:r>
          </w:p>
        </w:tc>
      </w:tr>
      <w:tr w:rsidR="000D07EA" w14:paraId="0D2899B1" w14:textId="77777777">
        <w:tc>
          <w:tcPr>
            <w:tcW w:w="1764" w:type="pct"/>
            <w:hideMark/>
          </w:tcPr>
          <w:p w14:paraId="01487CDB" w14:textId="77777777" w:rsidR="000D07EA" w:rsidRDefault="00BE7C89">
            <w:pPr>
              <w:pStyle w:val="BodyText"/>
              <w:spacing w:before="100" w:after="100"/>
              <w:rPr>
                <w:b/>
                <w:sz w:val="24"/>
                <w:lang w:val="en-AU" w:eastAsia="en-AU"/>
              </w:rPr>
            </w:pPr>
            <w:r>
              <w:rPr>
                <w:b/>
              </w:rPr>
              <w:t xml:space="preserve">National SMS Charges </w:t>
            </w:r>
            <w:r>
              <w:t>(for standard SMS of up to 160 characters)</w:t>
            </w:r>
          </w:p>
        </w:tc>
        <w:tc>
          <w:tcPr>
            <w:tcW w:w="1078" w:type="pct"/>
            <w:hideMark/>
          </w:tcPr>
          <w:p w14:paraId="54EA9E98" w14:textId="77777777" w:rsidR="000D07EA" w:rsidRDefault="00BE7C89">
            <w:pPr>
              <w:pStyle w:val="BodyText"/>
              <w:spacing w:before="100" w:after="100"/>
              <w:jc w:val="center"/>
              <w:rPr>
                <w:sz w:val="24"/>
                <w:lang w:val="en-AU" w:eastAsia="en-AU"/>
              </w:rPr>
            </w:pPr>
            <w:r>
              <w:t>$0.25</w:t>
            </w:r>
          </w:p>
        </w:tc>
        <w:tc>
          <w:tcPr>
            <w:tcW w:w="1079" w:type="pct"/>
            <w:hideMark/>
          </w:tcPr>
          <w:p w14:paraId="47D32089" w14:textId="77777777" w:rsidR="000D07EA" w:rsidRDefault="00BE7C89">
            <w:pPr>
              <w:pStyle w:val="BodyText"/>
              <w:spacing w:before="100" w:after="100"/>
              <w:jc w:val="center"/>
              <w:rPr>
                <w:sz w:val="24"/>
                <w:lang w:val="en-AU" w:eastAsia="en-AU"/>
              </w:rPr>
            </w:pPr>
            <w:r>
              <w:t>Unlimited</w:t>
            </w:r>
          </w:p>
        </w:tc>
        <w:tc>
          <w:tcPr>
            <w:tcW w:w="1079" w:type="pct"/>
            <w:hideMark/>
          </w:tcPr>
          <w:p w14:paraId="0993FB9E" w14:textId="77777777" w:rsidR="000D07EA" w:rsidRDefault="00BE7C89">
            <w:pPr>
              <w:pStyle w:val="BodyText"/>
              <w:spacing w:before="100" w:after="100"/>
              <w:jc w:val="center"/>
              <w:rPr>
                <w:sz w:val="24"/>
                <w:lang w:val="en-AU" w:eastAsia="en-AU"/>
              </w:rPr>
            </w:pPr>
            <w:r>
              <w:t>Unlimited</w:t>
            </w:r>
          </w:p>
        </w:tc>
      </w:tr>
      <w:tr w:rsidR="000D07EA" w14:paraId="0C25E420" w14:textId="77777777">
        <w:tc>
          <w:tcPr>
            <w:tcW w:w="1764" w:type="pct"/>
            <w:hideMark/>
          </w:tcPr>
          <w:p w14:paraId="699CE51A" w14:textId="77777777" w:rsidR="000D07EA" w:rsidRDefault="00BE7C89">
            <w:pPr>
              <w:pStyle w:val="BodyText"/>
              <w:spacing w:before="100" w:after="100"/>
              <w:rPr>
                <w:b/>
                <w:sz w:val="24"/>
                <w:lang w:val="en-AU" w:eastAsia="en-AU"/>
              </w:rPr>
            </w:pPr>
            <w:r>
              <w:rPr>
                <w:b/>
              </w:rPr>
              <w:t>National Photo Message (per message)</w:t>
            </w:r>
          </w:p>
        </w:tc>
        <w:tc>
          <w:tcPr>
            <w:tcW w:w="1078" w:type="pct"/>
            <w:hideMark/>
          </w:tcPr>
          <w:p w14:paraId="430E136D" w14:textId="77777777" w:rsidR="000D07EA" w:rsidRDefault="00BE7C89">
            <w:pPr>
              <w:pStyle w:val="BodyText"/>
              <w:spacing w:before="100" w:after="100"/>
              <w:jc w:val="center"/>
              <w:rPr>
                <w:sz w:val="24"/>
                <w:lang w:val="en-AU" w:eastAsia="en-AU"/>
              </w:rPr>
            </w:pPr>
            <w:r>
              <w:t>$0.50</w:t>
            </w:r>
          </w:p>
        </w:tc>
        <w:tc>
          <w:tcPr>
            <w:tcW w:w="1079" w:type="pct"/>
            <w:hideMark/>
          </w:tcPr>
          <w:p w14:paraId="0E0C158A" w14:textId="77777777" w:rsidR="000D07EA" w:rsidRDefault="00BE7C89">
            <w:pPr>
              <w:pStyle w:val="BodyText"/>
              <w:spacing w:before="100" w:after="100"/>
              <w:jc w:val="center"/>
              <w:rPr>
                <w:sz w:val="24"/>
                <w:lang w:val="en-AU" w:eastAsia="en-AU"/>
              </w:rPr>
            </w:pPr>
            <w:r>
              <w:t>Unlimited</w:t>
            </w:r>
          </w:p>
        </w:tc>
        <w:tc>
          <w:tcPr>
            <w:tcW w:w="1079" w:type="pct"/>
            <w:hideMark/>
          </w:tcPr>
          <w:p w14:paraId="00A319EA" w14:textId="77777777" w:rsidR="000D07EA" w:rsidRDefault="00BE7C89">
            <w:pPr>
              <w:pStyle w:val="BodyText"/>
              <w:spacing w:before="100" w:after="100"/>
              <w:jc w:val="center"/>
              <w:rPr>
                <w:sz w:val="24"/>
                <w:lang w:val="en-AU" w:eastAsia="en-AU"/>
              </w:rPr>
            </w:pPr>
            <w:r>
              <w:t>Unlimited</w:t>
            </w:r>
          </w:p>
        </w:tc>
      </w:tr>
      <w:tr w:rsidR="000D07EA" w14:paraId="196090A5" w14:textId="77777777">
        <w:tc>
          <w:tcPr>
            <w:tcW w:w="1764" w:type="pct"/>
            <w:hideMark/>
          </w:tcPr>
          <w:p w14:paraId="24AD695C" w14:textId="77777777" w:rsidR="000D07EA" w:rsidRDefault="00BE7C89">
            <w:pPr>
              <w:pStyle w:val="BodyText"/>
              <w:spacing w:before="100" w:after="100"/>
              <w:rPr>
                <w:b/>
                <w:sz w:val="24"/>
                <w:lang w:val="en-AU" w:eastAsia="en-AU"/>
              </w:rPr>
            </w:pPr>
            <w:r>
              <w:rPr>
                <w:b/>
              </w:rPr>
              <w:t>National Video Calling (per minute)</w:t>
            </w:r>
          </w:p>
        </w:tc>
        <w:tc>
          <w:tcPr>
            <w:tcW w:w="1078" w:type="pct"/>
            <w:hideMark/>
          </w:tcPr>
          <w:p w14:paraId="2BAFA336" w14:textId="77777777" w:rsidR="000D07EA" w:rsidRDefault="00BE7C89">
            <w:pPr>
              <w:pStyle w:val="BodyText"/>
              <w:spacing w:before="100" w:after="100"/>
              <w:jc w:val="center"/>
              <w:rPr>
                <w:sz w:val="24"/>
                <w:lang w:val="en-AU" w:eastAsia="en-AU"/>
              </w:rPr>
            </w:pPr>
            <w:r>
              <w:t>$1.00</w:t>
            </w:r>
          </w:p>
        </w:tc>
        <w:tc>
          <w:tcPr>
            <w:tcW w:w="1079" w:type="pct"/>
            <w:hideMark/>
          </w:tcPr>
          <w:p w14:paraId="0C1513F8" w14:textId="77777777" w:rsidR="000D07EA" w:rsidRDefault="00BE7C89">
            <w:pPr>
              <w:pStyle w:val="BodyText"/>
              <w:spacing w:before="100" w:after="100"/>
              <w:jc w:val="center"/>
              <w:rPr>
                <w:sz w:val="24"/>
                <w:lang w:val="en-AU" w:eastAsia="en-AU"/>
              </w:rPr>
            </w:pPr>
            <w:r>
              <w:t>$1.00</w:t>
            </w:r>
          </w:p>
        </w:tc>
        <w:tc>
          <w:tcPr>
            <w:tcW w:w="1079" w:type="pct"/>
            <w:hideMark/>
          </w:tcPr>
          <w:p w14:paraId="1FABB58C" w14:textId="77777777" w:rsidR="000D07EA" w:rsidRDefault="00BE7C89">
            <w:pPr>
              <w:pStyle w:val="BodyText"/>
              <w:spacing w:before="100" w:after="100"/>
              <w:jc w:val="center"/>
              <w:rPr>
                <w:sz w:val="24"/>
                <w:lang w:val="en-AU" w:eastAsia="en-AU"/>
              </w:rPr>
            </w:pPr>
            <w:r>
              <w:t>$1.00</w:t>
            </w:r>
          </w:p>
        </w:tc>
      </w:tr>
      <w:tr w:rsidR="000D07EA" w14:paraId="65695B92" w14:textId="77777777">
        <w:tc>
          <w:tcPr>
            <w:tcW w:w="1764" w:type="pct"/>
            <w:hideMark/>
          </w:tcPr>
          <w:p w14:paraId="2899BE6E" w14:textId="77777777" w:rsidR="000D07EA" w:rsidRDefault="00BE7C89">
            <w:pPr>
              <w:pStyle w:val="BodyText"/>
              <w:spacing w:before="100" w:after="100"/>
              <w:rPr>
                <w:b/>
                <w:i/>
                <w:iCs/>
                <w:sz w:val="24"/>
                <w:lang w:val="en-AU" w:eastAsia="en-AU"/>
              </w:rPr>
            </w:pPr>
            <w:r>
              <w:rPr>
                <w:b/>
                <w:i/>
                <w:iCs/>
              </w:rPr>
              <w:t xml:space="preserve">Flagfall </w:t>
            </w:r>
            <w:r>
              <w:rPr>
                <w:b/>
              </w:rPr>
              <w:t>for National Video Calls (per call)</w:t>
            </w:r>
          </w:p>
        </w:tc>
        <w:tc>
          <w:tcPr>
            <w:tcW w:w="1078" w:type="pct"/>
            <w:hideMark/>
          </w:tcPr>
          <w:p w14:paraId="2D2B51CC" w14:textId="77777777" w:rsidR="000D07EA" w:rsidRDefault="00BE7C89">
            <w:pPr>
              <w:pStyle w:val="BodyText"/>
              <w:spacing w:before="100" w:after="100"/>
              <w:jc w:val="center"/>
              <w:rPr>
                <w:sz w:val="24"/>
                <w:lang w:val="en-AU" w:eastAsia="en-AU"/>
              </w:rPr>
            </w:pPr>
            <w:r>
              <w:t>$0.35</w:t>
            </w:r>
          </w:p>
        </w:tc>
        <w:tc>
          <w:tcPr>
            <w:tcW w:w="1079" w:type="pct"/>
            <w:hideMark/>
          </w:tcPr>
          <w:p w14:paraId="71EDDA68" w14:textId="77777777" w:rsidR="000D07EA" w:rsidRDefault="00BE7C89">
            <w:pPr>
              <w:pStyle w:val="BodyText"/>
              <w:spacing w:before="100" w:after="100"/>
              <w:jc w:val="center"/>
              <w:rPr>
                <w:sz w:val="24"/>
                <w:lang w:val="en-AU" w:eastAsia="en-AU"/>
              </w:rPr>
            </w:pPr>
            <w:r>
              <w:t>$0.35</w:t>
            </w:r>
          </w:p>
        </w:tc>
        <w:tc>
          <w:tcPr>
            <w:tcW w:w="1079" w:type="pct"/>
            <w:hideMark/>
          </w:tcPr>
          <w:p w14:paraId="4CE0C16D" w14:textId="77777777" w:rsidR="000D07EA" w:rsidRDefault="00BE7C89">
            <w:pPr>
              <w:pStyle w:val="BodyText"/>
              <w:spacing w:before="100" w:after="100"/>
              <w:jc w:val="center"/>
              <w:rPr>
                <w:sz w:val="24"/>
                <w:lang w:val="en-AU" w:eastAsia="en-AU"/>
              </w:rPr>
            </w:pPr>
            <w:r>
              <w:t>$0.35</w:t>
            </w:r>
          </w:p>
        </w:tc>
      </w:tr>
      <w:tr w:rsidR="000D07EA" w14:paraId="18D0839D" w14:textId="77777777">
        <w:trPr>
          <w:cantSplit/>
        </w:trPr>
        <w:tc>
          <w:tcPr>
            <w:tcW w:w="1764" w:type="pct"/>
            <w:vMerge w:val="restart"/>
            <w:hideMark/>
          </w:tcPr>
          <w:p w14:paraId="15EADC3D" w14:textId="77777777" w:rsidR="000D07EA" w:rsidRDefault="00BE7C89">
            <w:pPr>
              <w:pStyle w:val="BodyText"/>
              <w:spacing w:before="100" w:after="100"/>
              <w:rPr>
                <w:b/>
                <w:sz w:val="24"/>
                <w:lang w:val="en-AU" w:eastAsia="en-AU"/>
              </w:rPr>
            </w:pPr>
            <w:r>
              <w:rPr>
                <w:b/>
              </w:rPr>
              <w:t>Your Choice Of Data Option to use within Australia:</w:t>
            </w:r>
          </w:p>
        </w:tc>
        <w:tc>
          <w:tcPr>
            <w:tcW w:w="1078" w:type="pct"/>
            <w:hideMark/>
          </w:tcPr>
          <w:p w14:paraId="6E0FCEB9" w14:textId="77777777" w:rsidR="000D07EA" w:rsidRDefault="00BE7C89">
            <w:pPr>
              <w:pStyle w:val="BodyText"/>
              <w:spacing w:before="100" w:after="100"/>
              <w:jc w:val="center"/>
              <w:rPr>
                <w:sz w:val="24"/>
                <w:lang w:val="en-AU" w:eastAsia="en-AU"/>
              </w:rPr>
            </w:pPr>
            <w:r>
              <w:t>1.5GB of Mobile Internet Data</w:t>
            </w:r>
          </w:p>
        </w:tc>
        <w:tc>
          <w:tcPr>
            <w:tcW w:w="1079" w:type="pct"/>
            <w:hideMark/>
          </w:tcPr>
          <w:p w14:paraId="6F7A82BE" w14:textId="77777777" w:rsidR="000D07EA" w:rsidRDefault="00BE7C89">
            <w:pPr>
              <w:pStyle w:val="BodyText"/>
              <w:spacing w:before="100" w:after="100"/>
              <w:jc w:val="center"/>
              <w:rPr>
                <w:sz w:val="24"/>
                <w:lang w:val="en-AU" w:eastAsia="en-AU"/>
              </w:rPr>
            </w:pPr>
            <w:r>
              <w:t>2GB of Mobile Internet Data</w:t>
            </w:r>
          </w:p>
        </w:tc>
        <w:tc>
          <w:tcPr>
            <w:tcW w:w="1079" w:type="pct"/>
            <w:hideMark/>
          </w:tcPr>
          <w:p w14:paraId="49F6B6D2" w14:textId="77777777" w:rsidR="000D07EA" w:rsidRDefault="00BE7C89">
            <w:pPr>
              <w:pStyle w:val="BodyText"/>
              <w:spacing w:before="100" w:after="100"/>
              <w:jc w:val="center"/>
              <w:rPr>
                <w:sz w:val="24"/>
                <w:lang w:val="en-AU" w:eastAsia="en-AU"/>
              </w:rPr>
            </w:pPr>
            <w:r>
              <w:t>3GB of Mobile Internet Data</w:t>
            </w:r>
          </w:p>
        </w:tc>
      </w:tr>
      <w:tr w:rsidR="000D07EA" w14:paraId="7A8DA8F6" w14:textId="77777777">
        <w:trPr>
          <w:cantSplit/>
          <w:trHeight w:val="58"/>
        </w:trPr>
        <w:tc>
          <w:tcPr>
            <w:tcW w:w="1764" w:type="pct"/>
            <w:vMerge/>
            <w:vAlign w:val="center"/>
            <w:hideMark/>
          </w:tcPr>
          <w:p w14:paraId="1255D20A" w14:textId="77777777" w:rsidR="000D07EA" w:rsidRDefault="000D07EA">
            <w:pPr>
              <w:pStyle w:val="BodyText"/>
              <w:spacing w:before="100" w:after="100"/>
              <w:rPr>
                <w:b/>
                <w:sz w:val="24"/>
                <w:lang w:val="en-AU" w:eastAsia="en-AU"/>
              </w:rPr>
            </w:pPr>
          </w:p>
        </w:tc>
        <w:tc>
          <w:tcPr>
            <w:tcW w:w="3236" w:type="pct"/>
            <w:gridSpan w:val="3"/>
            <w:hideMark/>
          </w:tcPr>
          <w:p w14:paraId="01677F5C" w14:textId="77777777" w:rsidR="000D07EA" w:rsidRDefault="00BE7C89">
            <w:pPr>
              <w:pStyle w:val="BodyText"/>
              <w:spacing w:before="100" w:after="100"/>
              <w:jc w:val="center"/>
              <w:rPr>
                <w:sz w:val="24"/>
                <w:lang w:val="en-AU" w:eastAsia="en-AU"/>
              </w:rPr>
            </w:pPr>
            <w:r>
              <w:t>OR</w:t>
            </w:r>
          </w:p>
        </w:tc>
      </w:tr>
      <w:tr w:rsidR="000D07EA" w14:paraId="1FC4140C" w14:textId="77777777">
        <w:trPr>
          <w:cantSplit/>
        </w:trPr>
        <w:tc>
          <w:tcPr>
            <w:tcW w:w="1764" w:type="pct"/>
            <w:vMerge/>
            <w:vAlign w:val="center"/>
            <w:hideMark/>
          </w:tcPr>
          <w:p w14:paraId="2797DC95" w14:textId="77777777" w:rsidR="000D07EA" w:rsidRDefault="000D07EA">
            <w:pPr>
              <w:pStyle w:val="BodyText"/>
              <w:spacing w:before="100" w:after="100"/>
              <w:rPr>
                <w:b/>
                <w:sz w:val="24"/>
                <w:lang w:val="en-AU" w:eastAsia="en-AU"/>
              </w:rPr>
            </w:pPr>
          </w:p>
        </w:tc>
        <w:tc>
          <w:tcPr>
            <w:tcW w:w="1078" w:type="pct"/>
            <w:hideMark/>
          </w:tcPr>
          <w:p w14:paraId="07F5FED9" w14:textId="77777777" w:rsidR="000D07EA" w:rsidRDefault="00BE7C89">
            <w:pPr>
              <w:pStyle w:val="BodyText"/>
              <w:spacing w:before="100" w:after="100"/>
              <w:jc w:val="center"/>
              <w:rPr>
                <w:sz w:val="24"/>
                <w:lang w:val="en-AU" w:eastAsia="en-AU"/>
              </w:rPr>
            </w:pPr>
            <w:r>
              <w:t>Unlimited BlackBerry POP3 Email and Browsing through the BlackBerry Browser plus 500MB of Mobile Internet Data</w:t>
            </w:r>
          </w:p>
        </w:tc>
        <w:tc>
          <w:tcPr>
            <w:tcW w:w="1079" w:type="pct"/>
            <w:hideMark/>
          </w:tcPr>
          <w:p w14:paraId="033E7F96" w14:textId="77777777" w:rsidR="000D07EA" w:rsidRDefault="00BE7C89">
            <w:pPr>
              <w:pStyle w:val="BodyText"/>
              <w:spacing w:before="100" w:after="100"/>
              <w:jc w:val="center"/>
              <w:rPr>
                <w:sz w:val="24"/>
                <w:lang w:val="en-AU" w:eastAsia="en-AU"/>
              </w:rPr>
            </w:pPr>
            <w:r>
              <w:t>Unlimited BlackBerry POP3 Email and Browsing through the BlackBerry Browser plus 750MB of Mobile Internet Data</w:t>
            </w:r>
          </w:p>
        </w:tc>
        <w:tc>
          <w:tcPr>
            <w:tcW w:w="1079" w:type="pct"/>
            <w:hideMark/>
          </w:tcPr>
          <w:p w14:paraId="0FB14C2D" w14:textId="77777777" w:rsidR="000D07EA" w:rsidRDefault="00BE7C89">
            <w:pPr>
              <w:pStyle w:val="BodyText"/>
              <w:spacing w:before="100" w:after="100"/>
              <w:jc w:val="center"/>
              <w:rPr>
                <w:sz w:val="24"/>
                <w:lang w:val="en-AU" w:eastAsia="en-AU"/>
              </w:rPr>
            </w:pPr>
            <w:r>
              <w:t>Unlimited BlackBerry POP3 Email and Browsing through the BlackBerry Browser plus 1GB of Mobile Internet Data</w:t>
            </w:r>
          </w:p>
        </w:tc>
      </w:tr>
      <w:tr w:rsidR="000D07EA" w14:paraId="38E655FC" w14:textId="77777777">
        <w:tc>
          <w:tcPr>
            <w:tcW w:w="1764" w:type="pct"/>
            <w:hideMark/>
          </w:tcPr>
          <w:p w14:paraId="4041D598" w14:textId="77777777" w:rsidR="000D07EA" w:rsidRDefault="00BE7C89">
            <w:pPr>
              <w:pStyle w:val="BodyText"/>
              <w:spacing w:before="100" w:after="100"/>
              <w:rPr>
                <w:b/>
                <w:sz w:val="24"/>
                <w:lang w:val="en-AU" w:eastAsia="en-AU"/>
              </w:rPr>
            </w:pPr>
            <w:r>
              <w:rPr>
                <w:b/>
              </w:rPr>
              <w:t>Other call charges (for example international calls, calls to mobiles)</w:t>
            </w:r>
          </w:p>
        </w:tc>
        <w:tc>
          <w:tcPr>
            <w:tcW w:w="3236" w:type="pct"/>
            <w:gridSpan w:val="3"/>
            <w:hideMark/>
          </w:tcPr>
          <w:p w14:paraId="38ABFBC4" w14:textId="77777777" w:rsidR="000D07EA" w:rsidRDefault="00BE7C89">
            <w:pPr>
              <w:pStyle w:val="BodyText"/>
              <w:spacing w:before="100" w:after="100"/>
              <w:jc w:val="center"/>
              <w:rPr>
                <w:sz w:val="24"/>
                <w:lang w:val="en-AU" w:eastAsia="en-AU"/>
              </w:rPr>
            </w:pPr>
            <w:r>
              <w:t xml:space="preserve">See section 1 of this </w:t>
            </w:r>
            <w:r>
              <w:rPr>
                <w:i/>
                <w:iCs/>
              </w:rPr>
              <w:t>standard pricing table</w:t>
            </w:r>
            <w:r>
              <w:t xml:space="preserve"> and </w:t>
            </w:r>
            <w:hyperlink r:id="rId323" w:history="1">
              <w:r>
                <w:rPr>
                  <w:rStyle w:val="Hyperlink"/>
                  <w:i/>
                </w:rPr>
                <w:t>Appendix Y</w:t>
              </w:r>
            </w:hyperlink>
            <w:r>
              <w:t xml:space="preserve"> (Value Added Service Features)</w:t>
            </w:r>
          </w:p>
        </w:tc>
      </w:tr>
      <w:tr w:rsidR="000D07EA" w14:paraId="1E2F5AF3" w14:textId="77777777">
        <w:tc>
          <w:tcPr>
            <w:tcW w:w="1764" w:type="pct"/>
            <w:hideMark/>
          </w:tcPr>
          <w:p w14:paraId="777D7ED5" w14:textId="77777777" w:rsidR="000D07EA" w:rsidRDefault="00BE7C89">
            <w:pPr>
              <w:pStyle w:val="BodyText"/>
              <w:spacing w:before="100" w:after="100"/>
              <w:rPr>
                <w:b/>
                <w:sz w:val="24"/>
                <w:lang w:val="en-AU" w:eastAsia="en-AU"/>
              </w:rPr>
            </w:pPr>
            <w:r>
              <w:rPr>
                <w:b/>
              </w:rPr>
              <w:t xml:space="preserve">Other conditions </w:t>
            </w:r>
            <w:r>
              <w:t xml:space="preserve">(for details see </w:t>
            </w:r>
            <w:hyperlink r:id="rId324" w:history="1">
              <w:r w:rsidR="00F84E53">
                <w:rPr>
                  <w:rStyle w:val="Hyperlink"/>
                  <w:i/>
                </w:rPr>
                <w:t>Appendix S</w:t>
              </w:r>
            </w:hyperlink>
            <w:r>
              <w:t>)</w:t>
            </w:r>
          </w:p>
        </w:tc>
        <w:tc>
          <w:tcPr>
            <w:tcW w:w="3236" w:type="pct"/>
            <w:gridSpan w:val="3"/>
            <w:hideMark/>
          </w:tcPr>
          <w:p w14:paraId="2477ACDD" w14:textId="77777777" w:rsidR="000D07EA" w:rsidRDefault="00BE7C89">
            <w:pPr>
              <w:pStyle w:val="BodyText"/>
              <w:spacing w:before="100" w:after="100"/>
              <w:jc w:val="center"/>
              <w:rPr>
                <w:sz w:val="24"/>
                <w:lang w:val="en-AU" w:eastAsia="en-AU"/>
              </w:rPr>
            </w:pPr>
            <w:r>
              <w:t>Fair Go Policy (</w:t>
            </w:r>
            <w:hyperlink r:id="rId325" w:history="1">
              <w:r>
                <w:rPr>
                  <w:rStyle w:val="Hyperlink"/>
                  <w:i/>
                </w:rPr>
                <w:t>Appendix S</w:t>
              </w:r>
            </w:hyperlink>
            <w:r>
              <w:t>) applies to 'excessive use,' 'unreasonable use,' and 'unacceptable use'.</w:t>
            </w:r>
          </w:p>
        </w:tc>
      </w:tr>
      <w:tr w:rsidR="000D07EA" w14:paraId="301A2611" w14:textId="77777777">
        <w:tc>
          <w:tcPr>
            <w:tcW w:w="1764" w:type="pct"/>
            <w:hideMark/>
          </w:tcPr>
          <w:p w14:paraId="19C0ECC1" w14:textId="77777777" w:rsidR="000D07EA" w:rsidRDefault="00BE7C89">
            <w:pPr>
              <w:pStyle w:val="BodyText"/>
              <w:spacing w:before="100" w:after="100"/>
              <w:rPr>
                <w:b/>
                <w:sz w:val="24"/>
                <w:lang w:val="en-AU" w:eastAsia="en-AU"/>
              </w:rPr>
            </w:pPr>
            <w:r>
              <w:rPr>
                <w:b/>
              </w:rPr>
              <w:lastRenderedPageBreak/>
              <w:t>Available on Non Fixed Contract (Month to Month)</w:t>
            </w:r>
          </w:p>
        </w:tc>
        <w:tc>
          <w:tcPr>
            <w:tcW w:w="1078" w:type="pct"/>
            <w:hideMark/>
          </w:tcPr>
          <w:p w14:paraId="19475EBD" w14:textId="77777777" w:rsidR="000D07EA" w:rsidRDefault="00BE7C89">
            <w:pPr>
              <w:pStyle w:val="BodyText"/>
              <w:spacing w:before="100" w:after="100"/>
              <w:jc w:val="center"/>
              <w:rPr>
                <w:sz w:val="24"/>
                <w:lang w:val="en-AU" w:eastAsia="en-AU"/>
              </w:rPr>
            </w:pPr>
            <w:r>
              <w:t>Yes</w:t>
            </w:r>
          </w:p>
        </w:tc>
        <w:tc>
          <w:tcPr>
            <w:tcW w:w="1079" w:type="pct"/>
            <w:hideMark/>
          </w:tcPr>
          <w:p w14:paraId="620A3C18" w14:textId="77777777" w:rsidR="000D07EA" w:rsidRDefault="00BE7C89">
            <w:pPr>
              <w:pStyle w:val="BodyText"/>
              <w:spacing w:before="100" w:after="100"/>
              <w:jc w:val="center"/>
              <w:rPr>
                <w:sz w:val="24"/>
                <w:lang w:val="en-AU" w:eastAsia="en-AU"/>
              </w:rPr>
            </w:pPr>
            <w:r>
              <w:t>Yes</w:t>
            </w:r>
          </w:p>
        </w:tc>
        <w:tc>
          <w:tcPr>
            <w:tcW w:w="1079" w:type="pct"/>
            <w:hideMark/>
          </w:tcPr>
          <w:p w14:paraId="3DB050D7" w14:textId="77777777" w:rsidR="000D07EA" w:rsidRDefault="00BE7C89">
            <w:pPr>
              <w:pStyle w:val="BodyText"/>
              <w:spacing w:before="100" w:after="100"/>
              <w:jc w:val="center"/>
              <w:rPr>
                <w:sz w:val="24"/>
                <w:lang w:val="en-AU" w:eastAsia="en-AU"/>
              </w:rPr>
            </w:pPr>
            <w:r>
              <w:t>Yes</w:t>
            </w:r>
          </w:p>
        </w:tc>
      </w:tr>
      <w:tr w:rsidR="000D07EA" w14:paraId="28EF79E6" w14:textId="77777777">
        <w:tc>
          <w:tcPr>
            <w:tcW w:w="1764" w:type="pct"/>
            <w:hideMark/>
          </w:tcPr>
          <w:p w14:paraId="76332B78" w14:textId="77777777" w:rsidR="000D07EA" w:rsidRDefault="00BE7C89">
            <w:pPr>
              <w:pStyle w:val="BodyText"/>
              <w:spacing w:before="100" w:after="100"/>
              <w:rPr>
                <w:b/>
                <w:sz w:val="24"/>
                <w:lang w:val="en-AU" w:eastAsia="en-AU"/>
              </w:rPr>
            </w:pPr>
            <w:r>
              <w:rPr>
                <w:b/>
              </w:rPr>
              <w:t>Available on a Fixed Term Contract (12 or 24 Months)</w:t>
            </w:r>
          </w:p>
        </w:tc>
        <w:tc>
          <w:tcPr>
            <w:tcW w:w="1078" w:type="pct"/>
            <w:hideMark/>
          </w:tcPr>
          <w:p w14:paraId="24179DDF" w14:textId="77777777" w:rsidR="000D07EA" w:rsidRDefault="00BE7C89">
            <w:pPr>
              <w:pStyle w:val="BodyText"/>
              <w:spacing w:before="100" w:after="100"/>
              <w:jc w:val="center"/>
              <w:rPr>
                <w:sz w:val="24"/>
                <w:lang w:val="en-AU" w:eastAsia="en-AU"/>
              </w:rPr>
            </w:pPr>
            <w:r>
              <w:t>Yes</w:t>
            </w:r>
          </w:p>
        </w:tc>
        <w:tc>
          <w:tcPr>
            <w:tcW w:w="1079" w:type="pct"/>
            <w:hideMark/>
          </w:tcPr>
          <w:p w14:paraId="3910307B" w14:textId="77777777" w:rsidR="000D07EA" w:rsidRDefault="00BE7C89">
            <w:pPr>
              <w:pStyle w:val="BodyText"/>
              <w:spacing w:before="100" w:after="100"/>
              <w:jc w:val="center"/>
              <w:rPr>
                <w:sz w:val="24"/>
                <w:lang w:val="en-AU" w:eastAsia="en-AU"/>
              </w:rPr>
            </w:pPr>
            <w:r>
              <w:t>Yes</w:t>
            </w:r>
          </w:p>
        </w:tc>
        <w:tc>
          <w:tcPr>
            <w:tcW w:w="1079" w:type="pct"/>
            <w:hideMark/>
          </w:tcPr>
          <w:p w14:paraId="3D20A890" w14:textId="77777777" w:rsidR="000D07EA" w:rsidRDefault="00BE7C89">
            <w:pPr>
              <w:pStyle w:val="BodyText"/>
              <w:spacing w:before="100" w:after="100"/>
              <w:jc w:val="center"/>
              <w:rPr>
                <w:sz w:val="24"/>
                <w:lang w:val="en-AU" w:eastAsia="en-AU"/>
              </w:rPr>
            </w:pPr>
            <w:r>
              <w:t>Yes</w:t>
            </w:r>
          </w:p>
        </w:tc>
      </w:tr>
      <w:tr w:rsidR="000D07EA" w14:paraId="774C0C6E" w14:textId="77777777">
        <w:tc>
          <w:tcPr>
            <w:tcW w:w="1764" w:type="pct"/>
            <w:hideMark/>
          </w:tcPr>
          <w:p w14:paraId="06244161" w14:textId="77777777" w:rsidR="000D07EA" w:rsidRDefault="00BE7C89">
            <w:pPr>
              <w:pStyle w:val="BodyText"/>
              <w:spacing w:before="100" w:after="100"/>
              <w:rPr>
                <w:b/>
                <w:sz w:val="24"/>
                <w:lang w:val="en-AU" w:eastAsia="en-AU"/>
              </w:rPr>
            </w:pPr>
            <w:r>
              <w:rPr>
                <w:b/>
              </w:rPr>
              <w:t xml:space="preserve">Minimum Total Cost of the Business Complete Advantage Plans over a 24 month </w:t>
            </w:r>
            <w:r>
              <w:rPr>
                <w:b/>
                <w:i/>
                <w:iCs/>
              </w:rPr>
              <w:t>minimum term (</w:t>
            </w:r>
            <w:r>
              <w:rPr>
                <w:b/>
              </w:rPr>
              <w:t>amount excludes any handset repayments if any)</w:t>
            </w:r>
          </w:p>
        </w:tc>
        <w:tc>
          <w:tcPr>
            <w:tcW w:w="1078" w:type="pct"/>
            <w:hideMark/>
          </w:tcPr>
          <w:p w14:paraId="37ECCB07" w14:textId="77777777" w:rsidR="000D07EA" w:rsidRDefault="00BE7C89">
            <w:pPr>
              <w:pStyle w:val="BodyText"/>
              <w:spacing w:before="100" w:after="100"/>
              <w:jc w:val="center"/>
              <w:rPr>
                <w:sz w:val="24"/>
                <w:lang w:val="en-AU" w:eastAsia="en-AU"/>
              </w:rPr>
            </w:pPr>
            <w:r>
              <w:t>$1,176</w:t>
            </w:r>
          </w:p>
        </w:tc>
        <w:tc>
          <w:tcPr>
            <w:tcW w:w="1079" w:type="pct"/>
            <w:hideMark/>
          </w:tcPr>
          <w:p w14:paraId="1235AC81" w14:textId="77777777" w:rsidR="000D07EA" w:rsidRDefault="00BE7C89">
            <w:pPr>
              <w:pStyle w:val="BodyText"/>
              <w:spacing w:before="100" w:after="100"/>
              <w:jc w:val="center"/>
              <w:rPr>
                <w:sz w:val="24"/>
                <w:lang w:val="en-AU" w:eastAsia="en-AU"/>
              </w:rPr>
            </w:pPr>
            <w:r>
              <w:t>$1,416</w:t>
            </w:r>
          </w:p>
        </w:tc>
        <w:tc>
          <w:tcPr>
            <w:tcW w:w="1079" w:type="pct"/>
            <w:hideMark/>
          </w:tcPr>
          <w:p w14:paraId="302785FD" w14:textId="77777777" w:rsidR="000D07EA" w:rsidRDefault="00BE7C89">
            <w:pPr>
              <w:pStyle w:val="BodyText"/>
              <w:spacing w:before="100" w:after="100"/>
              <w:jc w:val="center"/>
              <w:rPr>
                <w:sz w:val="24"/>
                <w:lang w:val="en-AU" w:eastAsia="en-AU"/>
              </w:rPr>
            </w:pPr>
            <w:r>
              <w:t>$1,896</w:t>
            </w:r>
          </w:p>
        </w:tc>
      </w:tr>
      <w:tr w:rsidR="000D07EA" w14:paraId="277D7858" w14:textId="77777777">
        <w:tc>
          <w:tcPr>
            <w:tcW w:w="1764" w:type="pct"/>
            <w:hideMark/>
          </w:tcPr>
          <w:p w14:paraId="3B85C9C7" w14:textId="77777777" w:rsidR="000D07EA" w:rsidRDefault="00BE7C89">
            <w:pPr>
              <w:pStyle w:val="BodyText"/>
              <w:spacing w:before="100" w:after="100"/>
              <w:rPr>
                <w:b/>
                <w:sz w:val="24"/>
                <w:lang w:val="en-AU" w:eastAsia="en-AU"/>
              </w:rPr>
            </w:pPr>
            <w:r>
              <w:rPr>
                <w:b/>
              </w:rPr>
              <w:t xml:space="preserve">Minimum Total Cost of the Business Complete Advantage Plans over a 12 month </w:t>
            </w:r>
            <w:r>
              <w:rPr>
                <w:b/>
                <w:i/>
                <w:iCs/>
              </w:rPr>
              <w:t>minimum term (</w:t>
            </w:r>
            <w:r>
              <w:rPr>
                <w:b/>
              </w:rPr>
              <w:t>amount excludes any handset repayments if any)</w:t>
            </w:r>
          </w:p>
        </w:tc>
        <w:tc>
          <w:tcPr>
            <w:tcW w:w="1078" w:type="pct"/>
            <w:hideMark/>
          </w:tcPr>
          <w:p w14:paraId="169AADD7" w14:textId="77777777" w:rsidR="000D07EA" w:rsidRDefault="00BE7C89">
            <w:pPr>
              <w:pStyle w:val="BodyText"/>
              <w:spacing w:before="100" w:after="100"/>
              <w:jc w:val="center"/>
              <w:rPr>
                <w:sz w:val="24"/>
                <w:lang w:val="en-AU" w:eastAsia="en-AU"/>
              </w:rPr>
            </w:pPr>
            <w:r>
              <w:t>$588</w:t>
            </w:r>
          </w:p>
        </w:tc>
        <w:tc>
          <w:tcPr>
            <w:tcW w:w="1079" w:type="pct"/>
            <w:hideMark/>
          </w:tcPr>
          <w:p w14:paraId="470BBCB7" w14:textId="77777777" w:rsidR="000D07EA" w:rsidRDefault="00BE7C89">
            <w:pPr>
              <w:pStyle w:val="BodyText"/>
              <w:spacing w:before="100" w:after="100"/>
              <w:jc w:val="center"/>
              <w:rPr>
                <w:sz w:val="24"/>
                <w:lang w:val="en-AU" w:eastAsia="en-AU"/>
              </w:rPr>
            </w:pPr>
            <w:r>
              <w:t>$708</w:t>
            </w:r>
          </w:p>
        </w:tc>
        <w:tc>
          <w:tcPr>
            <w:tcW w:w="1079" w:type="pct"/>
            <w:hideMark/>
          </w:tcPr>
          <w:p w14:paraId="28538762" w14:textId="77777777" w:rsidR="000D07EA" w:rsidRDefault="00BE7C89">
            <w:pPr>
              <w:pStyle w:val="BodyText"/>
              <w:spacing w:before="100" w:after="100"/>
              <w:jc w:val="center"/>
              <w:rPr>
                <w:sz w:val="24"/>
                <w:lang w:val="en-AU" w:eastAsia="en-AU"/>
              </w:rPr>
            </w:pPr>
            <w:r>
              <w:t>$948</w:t>
            </w:r>
          </w:p>
        </w:tc>
      </w:tr>
    </w:tbl>
    <w:p w14:paraId="137E9539" w14:textId="77777777" w:rsidR="000D07EA" w:rsidRDefault="000D07EA">
      <w:pPr>
        <w:pStyle w:val="BodyText"/>
      </w:pPr>
    </w:p>
    <w:p w14:paraId="7A2F6998" w14:textId="77777777" w:rsidR="000D07EA" w:rsidRDefault="00BE7C89">
      <w:pPr>
        <w:pStyle w:val="Heading6"/>
        <w:ind w:left="0" w:firstLine="0"/>
      </w:pPr>
      <w:r>
        <w:t xml:space="preserve">What happens if the service is </w:t>
      </w:r>
      <w:r>
        <w:rPr>
          <w:i/>
        </w:rPr>
        <w:t>cancelled</w:t>
      </w:r>
      <w:r>
        <w:t xml:space="preserve"> early?</w:t>
      </w:r>
    </w:p>
    <w:p w14:paraId="07F2EDC6" w14:textId="77777777" w:rsidR="000D07EA" w:rsidRDefault="00BE7C89">
      <w:pPr>
        <w:pStyle w:val="Heading7"/>
      </w:pPr>
      <w:r>
        <w:t xml:space="preserve">If </w:t>
      </w:r>
      <w:r>
        <w:rPr>
          <w:i/>
        </w:rPr>
        <w:t>the service is cancelled</w:t>
      </w:r>
      <w:r>
        <w:t xml:space="preserve"> before the expiry of the </w:t>
      </w:r>
      <w:r>
        <w:rPr>
          <w:i/>
        </w:rPr>
        <w:t>minimum term</w:t>
      </w:r>
      <w:r>
        <w:t xml:space="preserve">, </w:t>
      </w:r>
      <w:r>
        <w:rPr>
          <w:i/>
        </w:rPr>
        <w:t>you</w:t>
      </w:r>
      <w:r>
        <w:t xml:space="preserve"> will be required to pay </w:t>
      </w:r>
      <w:r>
        <w:rPr>
          <w:i/>
        </w:rPr>
        <w:t>us</w:t>
      </w:r>
      <w:r>
        <w:t>:</w:t>
      </w:r>
    </w:p>
    <w:p w14:paraId="0D987AA8" w14:textId="77777777" w:rsidR="000D07EA" w:rsidRDefault="00BE7C89">
      <w:pPr>
        <w:pStyle w:val="Heading8"/>
      </w:pPr>
      <w:r>
        <w:t>any usage charges incurred up to, and including, the cancellation date; plus</w:t>
      </w:r>
    </w:p>
    <w:p w14:paraId="2DA63B93" w14:textId="77777777" w:rsidR="000D07EA" w:rsidRDefault="00BE7C89">
      <w:pPr>
        <w:pStyle w:val="Heading8"/>
      </w:pPr>
      <w:r>
        <w:t xml:space="preserve">the </w:t>
      </w:r>
      <w:r>
        <w:rPr>
          <w:i/>
        </w:rPr>
        <w:t>cancellation fee</w:t>
      </w:r>
      <w:r>
        <w:t xml:space="preserve"> set in paragraph </w:t>
      </w:r>
      <w:r w:rsidR="00E2048F">
        <w:t>93</w:t>
      </w:r>
      <w:r w:rsidR="00E2048F" w:rsidRPr="00272628">
        <w:t>.8</w:t>
      </w:r>
      <w:r w:rsidRPr="00272628">
        <w:t>(</w:t>
      </w:r>
      <w:r w:rsidR="00E2048F" w:rsidRPr="00272628">
        <w:t>c</w:t>
      </w:r>
      <w:r w:rsidRPr="00272628">
        <w:t xml:space="preserve">) </w:t>
      </w:r>
      <w:r>
        <w:t xml:space="preserve">below (unless under clause 2A of the </w:t>
      </w:r>
      <w:r>
        <w:rPr>
          <w:i/>
        </w:rPr>
        <w:t>SME terms</w:t>
      </w:r>
      <w:r>
        <w:t xml:space="preserve">, </w:t>
      </w:r>
      <w:r>
        <w:rPr>
          <w:i/>
        </w:rPr>
        <w:t>you</w:t>
      </w:r>
      <w:r>
        <w:t xml:space="preserve"> are entitled to </w:t>
      </w:r>
      <w:r>
        <w:rPr>
          <w:i/>
        </w:rPr>
        <w:t>cancel the servic</w:t>
      </w:r>
      <w:r>
        <w:t xml:space="preserve">e without incurring a </w:t>
      </w:r>
      <w:r>
        <w:rPr>
          <w:i/>
        </w:rPr>
        <w:t>cancellation fee</w:t>
      </w:r>
      <w:r>
        <w:t>); plus</w:t>
      </w:r>
    </w:p>
    <w:p w14:paraId="5D484740" w14:textId="77777777" w:rsidR="000D07EA" w:rsidRDefault="00BE7C89">
      <w:pPr>
        <w:pStyle w:val="Heading8"/>
      </w:pPr>
      <w:r>
        <w:t>the sum of unpaid equipment charges owing on your mobile phone under the mobile equipment payment plan (if any).</w:t>
      </w:r>
    </w:p>
    <w:p w14:paraId="38E23BB7" w14:textId="77777777" w:rsidR="000D07EA" w:rsidRDefault="00BE7C89">
      <w:pPr>
        <w:pStyle w:val="Heading7"/>
      </w:pPr>
      <w:r>
        <w:t xml:space="preserve">The </w:t>
      </w:r>
      <w:r>
        <w:rPr>
          <w:i/>
        </w:rPr>
        <w:t>cancellation fee</w:t>
      </w:r>
      <w:r>
        <w:t xml:space="preserve"> for a 24 month Contract is calculated as a fixed amount if the service is cancelled during the first 12 months of the </w:t>
      </w:r>
      <w:r>
        <w:rPr>
          <w:i/>
        </w:rPr>
        <w:t>minimum term</w:t>
      </w:r>
      <w:r>
        <w:t xml:space="preserve"> and then a pro-rata reduction of that fee (indicated as a percentage in brackets in the first column of the table below) if the service is cancelled during the second year of the </w:t>
      </w:r>
      <w:r>
        <w:rPr>
          <w:i/>
        </w:rPr>
        <w:t>minimum term</w:t>
      </w:r>
      <w:r>
        <w:t>.</w:t>
      </w:r>
    </w:p>
    <w:p w14:paraId="5A19B0AC" w14:textId="77777777" w:rsidR="000D07EA" w:rsidRDefault="00BE7C89">
      <w:pPr>
        <w:pStyle w:val="Heading7"/>
      </w:pPr>
      <w:r>
        <w:t xml:space="preserve">The </w:t>
      </w:r>
      <w:r>
        <w:rPr>
          <w:i/>
        </w:rPr>
        <w:t>cancellation fee</w:t>
      </w:r>
      <w:r>
        <w:t xml:space="preserve"> for a 12 month Contract is calculated as a fixed amount if the service is cancelled during the first 6 months of the</w:t>
      </w:r>
      <w:r>
        <w:rPr>
          <w:i/>
        </w:rPr>
        <w:t xml:space="preserve"> minimum term</w:t>
      </w:r>
      <w:r>
        <w:t xml:space="preserve"> and then a pro-rata reduction of that fee (indicated as a percentage in brackets in the first column of the table below) if the service is cancelled during the last 6 months of the </w:t>
      </w:r>
      <w:r>
        <w:rPr>
          <w:i/>
        </w:rPr>
        <w:t>minimum term</w:t>
      </w:r>
      <w:r>
        <w:t>.</w:t>
      </w:r>
    </w:p>
    <w:p w14:paraId="269BA47B" w14:textId="77777777" w:rsidR="000D07EA" w:rsidRDefault="00BE7C89">
      <w:pPr>
        <w:pStyle w:val="BodyText"/>
        <w:ind w:left="720"/>
        <w:rPr>
          <w:b/>
        </w:rPr>
      </w:pPr>
      <w:r>
        <w:rPr>
          <w:b/>
        </w:rPr>
        <w:t>Cancellation Fee for services activated prior to December 12th 2010</w:t>
      </w:r>
    </w:p>
    <w:tbl>
      <w:tblPr>
        <w:tblW w:w="4632"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8"/>
        <w:gridCol w:w="2214"/>
        <w:gridCol w:w="2214"/>
        <w:gridCol w:w="2212"/>
      </w:tblGrid>
      <w:tr w:rsidR="000D07EA" w14:paraId="6F912BC3" w14:textId="77777777">
        <w:trPr>
          <w:tblHeader/>
        </w:trPr>
        <w:tc>
          <w:tcPr>
            <w:tcW w:w="1482" w:type="pct"/>
            <w:hideMark/>
          </w:tcPr>
          <w:p w14:paraId="3C01CF09" w14:textId="77777777" w:rsidR="000D07EA" w:rsidRDefault="00BE7C89">
            <w:pPr>
              <w:pStyle w:val="BodyText"/>
              <w:spacing w:before="100" w:after="100"/>
              <w:rPr>
                <w:b/>
              </w:rPr>
            </w:pPr>
            <w:r>
              <w:rPr>
                <w:b/>
              </w:rPr>
              <w:t xml:space="preserve">When the </w:t>
            </w:r>
            <w:r>
              <w:rPr>
                <w:b/>
                <w:i/>
              </w:rPr>
              <w:t>service</w:t>
            </w:r>
            <w:r>
              <w:rPr>
                <w:b/>
              </w:rPr>
              <w:t xml:space="preserve"> is </w:t>
            </w:r>
            <w:r>
              <w:rPr>
                <w:b/>
                <w:i/>
              </w:rPr>
              <w:t>cancelled</w:t>
            </w:r>
          </w:p>
        </w:tc>
        <w:tc>
          <w:tcPr>
            <w:tcW w:w="3518" w:type="pct"/>
            <w:gridSpan w:val="3"/>
            <w:hideMark/>
          </w:tcPr>
          <w:p w14:paraId="2C7069A2" w14:textId="77777777" w:rsidR="000D07EA" w:rsidRDefault="00BE7C89">
            <w:pPr>
              <w:pStyle w:val="BodyText"/>
              <w:spacing w:before="100" w:after="100"/>
              <w:jc w:val="center"/>
              <w:rPr>
                <w:b/>
                <w:i/>
              </w:rPr>
            </w:pPr>
            <w:r>
              <w:rPr>
                <w:b/>
                <w:i/>
              </w:rPr>
              <w:t>Cancellation Fee</w:t>
            </w:r>
          </w:p>
        </w:tc>
      </w:tr>
      <w:tr w:rsidR="000D07EA" w14:paraId="5A355587" w14:textId="77777777">
        <w:trPr>
          <w:trHeight w:val="603"/>
        </w:trPr>
        <w:tc>
          <w:tcPr>
            <w:tcW w:w="1482" w:type="pct"/>
          </w:tcPr>
          <w:p w14:paraId="2F48D5B9" w14:textId="77777777" w:rsidR="000D07EA" w:rsidRDefault="000D07EA">
            <w:pPr>
              <w:pStyle w:val="BodyText"/>
              <w:spacing w:before="100" w:after="100"/>
            </w:pPr>
          </w:p>
        </w:tc>
        <w:tc>
          <w:tcPr>
            <w:tcW w:w="3518" w:type="pct"/>
            <w:gridSpan w:val="3"/>
            <w:hideMark/>
          </w:tcPr>
          <w:p w14:paraId="183BD3AE" w14:textId="77777777" w:rsidR="000D07EA" w:rsidRDefault="00BE7C89">
            <w:pPr>
              <w:pStyle w:val="BodyText"/>
              <w:spacing w:before="100" w:after="100"/>
              <w:jc w:val="center"/>
              <w:rPr>
                <w:b/>
              </w:rPr>
            </w:pPr>
            <w:r>
              <w:rPr>
                <w:b/>
              </w:rPr>
              <w:t>Business Complete Ultimate Plans</w:t>
            </w:r>
          </w:p>
          <w:p w14:paraId="4A3479E6" w14:textId="77777777" w:rsidR="000D07EA" w:rsidRDefault="00BE7C89">
            <w:pPr>
              <w:pStyle w:val="BodyText"/>
              <w:spacing w:before="100" w:after="100"/>
              <w:jc w:val="center"/>
              <w:rPr>
                <w:b/>
              </w:rPr>
            </w:pPr>
            <w:r>
              <w:rPr>
                <w:b/>
              </w:rPr>
              <w:t>24 Month Contract</w:t>
            </w:r>
          </w:p>
        </w:tc>
      </w:tr>
      <w:tr w:rsidR="000D07EA" w14:paraId="1EB7231D" w14:textId="77777777">
        <w:tc>
          <w:tcPr>
            <w:tcW w:w="1482" w:type="pct"/>
          </w:tcPr>
          <w:p w14:paraId="4B1F083D" w14:textId="77777777" w:rsidR="000D07EA" w:rsidRDefault="000D07EA">
            <w:pPr>
              <w:pStyle w:val="BodyText"/>
              <w:spacing w:before="100" w:after="100"/>
            </w:pPr>
          </w:p>
        </w:tc>
        <w:tc>
          <w:tcPr>
            <w:tcW w:w="1173" w:type="pct"/>
            <w:hideMark/>
          </w:tcPr>
          <w:p w14:paraId="008BF118" w14:textId="77777777" w:rsidR="000D07EA" w:rsidRDefault="00BE7C89">
            <w:pPr>
              <w:pStyle w:val="BodyText"/>
              <w:spacing w:before="100" w:after="100"/>
              <w:jc w:val="center"/>
              <w:rPr>
                <w:b/>
              </w:rPr>
            </w:pPr>
            <w:r>
              <w:rPr>
                <w:b/>
                <w:bCs/>
                <w:lang w:eastAsia="en-AU"/>
              </w:rPr>
              <w:t xml:space="preserve">$49 </w:t>
            </w:r>
            <w:r>
              <w:rPr>
                <w:b/>
              </w:rPr>
              <w:t>Business Complete Ultimate</w:t>
            </w:r>
          </w:p>
        </w:tc>
        <w:tc>
          <w:tcPr>
            <w:tcW w:w="1173" w:type="pct"/>
            <w:hideMark/>
          </w:tcPr>
          <w:p w14:paraId="13ACCC89" w14:textId="77777777" w:rsidR="000D07EA" w:rsidRDefault="00BE7C89">
            <w:pPr>
              <w:pStyle w:val="BodyText"/>
              <w:spacing w:before="100" w:after="100"/>
              <w:jc w:val="center"/>
              <w:rPr>
                <w:b/>
              </w:rPr>
            </w:pPr>
            <w:r>
              <w:rPr>
                <w:b/>
                <w:bCs/>
                <w:lang w:eastAsia="en-AU"/>
              </w:rPr>
              <w:t xml:space="preserve">$59 </w:t>
            </w:r>
            <w:r>
              <w:rPr>
                <w:b/>
              </w:rPr>
              <w:t>Business Complete Ultimate</w:t>
            </w:r>
          </w:p>
        </w:tc>
        <w:tc>
          <w:tcPr>
            <w:tcW w:w="1173" w:type="pct"/>
            <w:hideMark/>
          </w:tcPr>
          <w:p w14:paraId="672F5AB1" w14:textId="77777777" w:rsidR="000D07EA" w:rsidRDefault="00BE7C89">
            <w:pPr>
              <w:pStyle w:val="BodyText"/>
              <w:spacing w:before="100" w:after="100"/>
              <w:jc w:val="center"/>
              <w:rPr>
                <w:b/>
              </w:rPr>
            </w:pPr>
            <w:r>
              <w:rPr>
                <w:b/>
                <w:bCs/>
                <w:lang w:eastAsia="en-AU"/>
              </w:rPr>
              <w:t xml:space="preserve">$79 </w:t>
            </w:r>
            <w:r>
              <w:rPr>
                <w:b/>
              </w:rPr>
              <w:t>Business Complete Ultimate</w:t>
            </w:r>
          </w:p>
        </w:tc>
      </w:tr>
      <w:tr w:rsidR="000D07EA" w14:paraId="301260D9" w14:textId="77777777">
        <w:tc>
          <w:tcPr>
            <w:tcW w:w="1482" w:type="pct"/>
            <w:hideMark/>
          </w:tcPr>
          <w:p w14:paraId="72CAD36B" w14:textId="77777777" w:rsidR="000D07EA" w:rsidRDefault="00BE7C89">
            <w:pPr>
              <w:pStyle w:val="BodyText"/>
              <w:spacing w:before="100" w:after="100"/>
              <w:rPr>
                <w:b/>
              </w:rPr>
            </w:pPr>
            <w:r>
              <w:rPr>
                <w:b/>
              </w:rPr>
              <w:lastRenderedPageBreak/>
              <w:t xml:space="preserve">During the first 12 months - Initial </w:t>
            </w:r>
            <w:r>
              <w:rPr>
                <w:b/>
                <w:i/>
              </w:rPr>
              <w:t>cancellation fee</w:t>
            </w:r>
          </w:p>
        </w:tc>
        <w:tc>
          <w:tcPr>
            <w:tcW w:w="1173" w:type="pct"/>
            <w:vAlign w:val="center"/>
            <w:hideMark/>
          </w:tcPr>
          <w:p w14:paraId="6A1D9F70" w14:textId="77777777" w:rsidR="000D07EA" w:rsidRDefault="00BE7C89">
            <w:pPr>
              <w:pStyle w:val="BodyText"/>
              <w:spacing w:before="100" w:after="100"/>
              <w:jc w:val="center"/>
            </w:pPr>
            <w:r>
              <w:rPr>
                <w:color w:val="000000"/>
              </w:rPr>
              <w:t>$995</w:t>
            </w:r>
          </w:p>
        </w:tc>
        <w:tc>
          <w:tcPr>
            <w:tcW w:w="1173" w:type="pct"/>
            <w:vAlign w:val="center"/>
            <w:hideMark/>
          </w:tcPr>
          <w:p w14:paraId="0D7A775D" w14:textId="77777777" w:rsidR="000D07EA" w:rsidRDefault="00BE7C89">
            <w:pPr>
              <w:pStyle w:val="BodyText"/>
              <w:spacing w:before="100" w:after="100"/>
              <w:jc w:val="center"/>
            </w:pPr>
            <w:r>
              <w:rPr>
                <w:color w:val="000000"/>
              </w:rPr>
              <w:t>$1,020</w:t>
            </w:r>
          </w:p>
        </w:tc>
        <w:tc>
          <w:tcPr>
            <w:tcW w:w="1173" w:type="pct"/>
            <w:vAlign w:val="center"/>
            <w:hideMark/>
          </w:tcPr>
          <w:p w14:paraId="2E41DEF0" w14:textId="77777777" w:rsidR="000D07EA" w:rsidRDefault="00BE7C89">
            <w:pPr>
              <w:pStyle w:val="BodyText"/>
              <w:spacing w:before="100" w:after="100"/>
              <w:jc w:val="center"/>
            </w:pPr>
            <w:r>
              <w:rPr>
                <w:color w:val="000000"/>
              </w:rPr>
              <w:t>$1,175</w:t>
            </w:r>
          </w:p>
        </w:tc>
      </w:tr>
      <w:tr w:rsidR="000D07EA" w14:paraId="6561EE2D" w14:textId="77777777">
        <w:tc>
          <w:tcPr>
            <w:tcW w:w="1482" w:type="pct"/>
            <w:hideMark/>
          </w:tcPr>
          <w:p w14:paraId="4C1A3F7F" w14:textId="77777777" w:rsidR="000D07EA" w:rsidRDefault="00BE7C89">
            <w:pPr>
              <w:pStyle w:val="BodyText"/>
              <w:spacing w:before="100" w:after="100"/>
              <w:rPr>
                <w:b/>
              </w:rPr>
            </w:pPr>
            <w:r>
              <w:rPr>
                <w:b/>
              </w:rPr>
              <w:t xml:space="preserve">Months 13 – 15 (80% of Initial </w:t>
            </w:r>
            <w:r>
              <w:rPr>
                <w:b/>
                <w:i/>
              </w:rPr>
              <w:t>cancellation fee</w:t>
            </w:r>
            <w:r>
              <w:rPr>
                <w:b/>
              </w:rPr>
              <w:t>)</w:t>
            </w:r>
          </w:p>
        </w:tc>
        <w:tc>
          <w:tcPr>
            <w:tcW w:w="1173" w:type="pct"/>
            <w:vAlign w:val="center"/>
            <w:hideMark/>
          </w:tcPr>
          <w:p w14:paraId="2602BCBC" w14:textId="77777777" w:rsidR="000D07EA" w:rsidRDefault="00BE7C89">
            <w:pPr>
              <w:pStyle w:val="BodyText"/>
              <w:spacing w:before="100" w:after="100"/>
              <w:jc w:val="center"/>
              <w:rPr>
                <w:color w:val="000000"/>
                <w:lang w:val="en-AU" w:eastAsia="en-AU"/>
              </w:rPr>
            </w:pPr>
            <w:r>
              <w:rPr>
                <w:color w:val="000000"/>
              </w:rPr>
              <w:t>$796</w:t>
            </w:r>
          </w:p>
        </w:tc>
        <w:tc>
          <w:tcPr>
            <w:tcW w:w="1173" w:type="pct"/>
            <w:vAlign w:val="center"/>
            <w:hideMark/>
          </w:tcPr>
          <w:p w14:paraId="520F4AB8" w14:textId="77777777" w:rsidR="000D07EA" w:rsidRDefault="00BE7C89">
            <w:pPr>
              <w:pStyle w:val="BodyText"/>
              <w:spacing w:before="100" w:after="100"/>
              <w:jc w:val="center"/>
              <w:rPr>
                <w:color w:val="000000"/>
                <w:lang w:val="en-AU" w:eastAsia="en-AU"/>
              </w:rPr>
            </w:pPr>
            <w:r>
              <w:rPr>
                <w:color w:val="000000"/>
              </w:rPr>
              <w:t>$816</w:t>
            </w:r>
          </w:p>
        </w:tc>
        <w:tc>
          <w:tcPr>
            <w:tcW w:w="1173" w:type="pct"/>
            <w:vAlign w:val="center"/>
            <w:hideMark/>
          </w:tcPr>
          <w:p w14:paraId="2FB24731" w14:textId="77777777" w:rsidR="000D07EA" w:rsidRDefault="00BE7C89">
            <w:pPr>
              <w:pStyle w:val="BodyText"/>
              <w:spacing w:before="100" w:after="100"/>
              <w:jc w:val="center"/>
              <w:rPr>
                <w:color w:val="000000"/>
                <w:lang w:val="en-AU" w:eastAsia="en-AU"/>
              </w:rPr>
            </w:pPr>
            <w:r>
              <w:rPr>
                <w:color w:val="000000"/>
              </w:rPr>
              <w:t>$940</w:t>
            </w:r>
          </w:p>
        </w:tc>
      </w:tr>
      <w:tr w:rsidR="000D07EA" w14:paraId="74FAD7E3" w14:textId="77777777">
        <w:tc>
          <w:tcPr>
            <w:tcW w:w="1482" w:type="pct"/>
            <w:hideMark/>
          </w:tcPr>
          <w:p w14:paraId="78FB2A35" w14:textId="77777777" w:rsidR="000D07EA" w:rsidRDefault="00BE7C89">
            <w:pPr>
              <w:pStyle w:val="BodyText"/>
              <w:spacing w:before="100" w:after="100"/>
              <w:rPr>
                <w:b/>
              </w:rPr>
            </w:pPr>
            <w:r>
              <w:rPr>
                <w:b/>
              </w:rPr>
              <w:t xml:space="preserve">Months 16 – 18 (60% of the Initial </w:t>
            </w:r>
            <w:r>
              <w:rPr>
                <w:b/>
                <w:i/>
              </w:rPr>
              <w:t>cancellation fee</w:t>
            </w:r>
            <w:r>
              <w:rPr>
                <w:b/>
              </w:rPr>
              <w:t>)</w:t>
            </w:r>
          </w:p>
        </w:tc>
        <w:tc>
          <w:tcPr>
            <w:tcW w:w="1173" w:type="pct"/>
            <w:vAlign w:val="center"/>
            <w:hideMark/>
          </w:tcPr>
          <w:p w14:paraId="568F28BE" w14:textId="77777777" w:rsidR="000D07EA" w:rsidRDefault="00BE7C89">
            <w:pPr>
              <w:pStyle w:val="BodyText"/>
              <w:spacing w:before="100" w:after="100"/>
              <w:jc w:val="center"/>
              <w:rPr>
                <w:color w:val="000000"/>
                <w:lang w:val="en-AU" w:eastAsia="en-AU"/>
              </w:rPr>
            </w:pPr>
            <w:r>
              <w:rPr>
                <w:color w:val="000000"/>
              </w:rPr>
              <w:t>$597</w:t>
            </w:r>
          </w:p>
        </w:tc>
        <w:tc>
          <w:tcPr>
            <w:tcW w:w="1173" w:type="pct"/>
            <w:vAlign w:val="center"/>
            <w:hideMark/>
          </w:tcPr>
          <w:p w14:paraId="4D1AD3AB" w14:textId="77777777" w:rsidR="000D07EA" w:rsidRDefault="00BE7C89">
            <w:pPr>
              <w:pStyle w:val="BodyText"/>
              <w:spacing w:before="100" w:after="100"/>
              <w:jc w:val="center"/>
              <w:rPr>
                <w:color w:val="000000"/>
                <w:lang w:val="en-AU" w:eastAsia="en-AU"/>
              </w:rPr>
            </w:pPr>
            <w:r>
              <w:rPr>
                <w:color w:val="000000"/>
              </w:rPr>
              <w:t>$612</w:t>
            </w:r>
          </w:p>
        </w:tc>
        <w:tc>
          <w:tcPr>
            <w:tcW w:w="1173" w:type="pct"/>
            <w:vAlign w:val="center"/>
            <w:hideMark/>
          </w:tcPr>
          <w:p w14:paraId="19372E60" w14:textId="77777777" w:rsidR="000D07EA" w:rsidRDefault="00BE7C89">
            <w:pPr>
              <w:pStyle w:val="BodyText"/>
              <w:spacing w:before="100" w:after="100"/>
              <w:jc w:val="center"/>
              <w:rPr>
                <w:color w:val="000000"/>
                <w:lang w:val="en-AU" w:eastAsia="en-AU"/>
              </w:rPr>
            </w:pPr>
            <w:r>
              <w:rPr>
                <w:color w:val="000000"/>
              </w:rPr>
              <w:t>$705</w:t>
            </w:r>
          </w:p>
        </w:tc>
      </w:tr>
      <w:tr w:rsidR="000D07EA" w14:paraId="244D7BEB" w14:textId="77777777">
        <w:tc>
          <w:tcPr>
            <w:tcW w:w="1482" w:type="pct"/>
            <w:hideMark/>
          </w:tcPr>
          <w:p w14:paraId="56391673" w14:textId="77777777" w:rsidR="000D07EA" w:rsidRDefault="00BE7C89">
            <w:pPr>
              <w:pStyle w:val="BodyText"/>
              <w:spacing w:before="100" w:after="100"/>
              <w:rPr>
                <w:b/>
              </w:rPr>
            </w:pPr>
            <w:r>
              <w:rPr>
                <w:b/>
              </w:rPr>
              <w:t xml:space="preserve">Months 19 – 21 (40% of the Initial </w:t>
            </w:r>
            <w:r>
              <w:rPr>
                <w:b/>
                <w:i/>
              </w:rPr>
              <w:t>cancellation fee</w:t>
            </w:r>
            <w:r>
              <w:rPr>
                <w:b/>
              </w:rPr>
              <w:t>)</w:t>
            </w:r>
          </w:p>
        </w:tc>
        <w:tc>
          <w:tcPr>
            <w:tcW w:w="1173" w:type="pct"/>
            <w:vAlign w:val="center"/>
            <w:hideMark/>
          </w:tcPr>
          <w:p w14:paraId="671F24B3" w14:textId="77777777" w:rsidR="000D07EA" w:rsidRDefault="00BE7C89">
            <w:pPr>
              <w:pStyle w:val="BodyText"/>
              <w:spacing w:before="100" w:after="100"/>
              <w:jc w:val="center"/>
              <w:rPr>
                <w:color w:val="000000"/>
                <w:lang w:val="en-AU" w:eastAsia="en-AU"/>
              </w:rPr>
            </w:pPr>
            <w:r>
              <w:rPr>
                <w:color w:val="000000"/>
              </w:rPr>
              <w:t>$398</w:t>
            </w:r>
          </w:p>
        </w:tc>
        <w:tc>
          <w:tcPr>
            <w:tcW w:w="1173" w:type="pct"/>
            <w:vAlign w:val="center"/>
            <w:hideMark/>
          </w:tcPr>
          <w:p w14:paraId="30CFC896" w14:textId="77777777" w:rsidR="000D07EA" w:rsidRDefault="00BE7C89">
            <w:pPr>
              <w:pStyle w:val="BodyText"/>
              <w:spacing w:before="100" w:after="100"/>
              <w:jc w:val="center"/>
              <w:rPr>
                <w:color w:val="000000"/>
                <w:lang w:val="en-AU" w:eastAsia="en-AU"/>
              </w:rPr>
            </w:pPr>
            <w:r>
              <w:rPr>
                <w:color w:val="000000"/>
              </w:rPr>
              <w:t>$408</w:t>
            </w:r>
          </w:p>
        </w:tc>
        <w:tc>
          <w:tcPr>
            <w:tcW w:w="1173" w:type="pct"/>
            <w:vAlign w:val="center"/>
            <w:hideMark/>
          </w:tcPr>
          <w:p w14:paraId="2E4EE900" w14:textId="77777777" w:rsidR="000D07EA" w:rsidRDefault="00BE7C89">
            <w:pPr>
              <w:pStyle w:val="BodyText"/>
              <w:spacing w:before="100" w:after="100"/>
              <w:jc w:val="center"/>
              <w:rPr>
                <w:color w:val="000000"/>
                <w:lang w:val="en-AU" w:eastAsia="en-AU"/>
              </w:rPr>
            </w:pPr>
            <w:r>
              <w:rPr>
                <w:color w:val="000000"/>
              </w:rPr>
              <w:t>$470</w:t>
            </w:r>
          </w:p>
        </w:tc>
      </w:tr>
      <w:tr w:rsidR="000D07EA" w14:paraId="27CE14B3" w14:textId="77777777">
        <w:tc>
          <w:tcPr>
            <w:tcW w:w="1482" w:type="pct"/>
            <w:hideMark/>
          </w:tcPr>
          <w:p w14:paraId="4B97B4D2" w14:textId="77777777" w:rsidR="000D07EA" w:rsidRDefault="00BE7C89">
            <w:pPr>
              <w:pStyle w:val="BodyText"/>
              <w:spacing w:before="100" w:after="100"/>
              <w:rPr>
                <w:b/>
              </w:rPr>
            </w:pPr>
            <w:r>
              <w:rPr>
                <w:b/>
              </w:rPr>
              <w:t>Months 22 – 24 (20% of the Initial cancellation fee)</w:t>
            </w:r>
          </w:p>
        </w:tc>
        <w:tc>
          <w:tcPr>
            <w:tcW w:w="1173" w:type="pct"/>
            <w:vAlign w:val="center"/>
            <w:hideMark/>
          </w:tcPr>
          <w:p w14:paraId="1600BCF3" w14:textId="77777777" w:rsidR="000D07EA" w:rsidRDefault="00BE7C89">
            <w:pPr>
              <w:pStyle w:val="BodyText"/>
              <w:spacing w:before="100" w:after="100"/>
              <w:jc w:val="center"/>
              <w:rPr>
                <w:color w:val="000000"/>
                <w:lang w:val="en-AU" w:eastAsia="en-AU"/>
              </w:rPr>
            </w:pPr>
            <w:r>
              <w:rPr>
                <w:color w:val="000000"/>
              </w:rPr>
              <w:t>$199</w:t>
            </w:r>
          </w:p>
        </w:tc>
        <w:tc>
          <w:tcPr>
            <w:tcW w:w="1173" w:type="pct"/>
            <w:vAlign w:val="center"/>
            <w:hideMark/>
          </w:tcPr>
          <w:p w14:paraId="355D75E4" w14:textId="77777777" w:rsidR="000D07EA" w:rsidRDefault="00BE7C89">
            <w:pPr>
              <w:pStyle w:val="BodyText"/>
              <w:spacing w:before="100" w:after="100"/>
              <w:jc w:val="center"/>
              <w:rPr>
                <w:color w:val="000000"/>
                <w:lang w:val="en-AU" w:eastAsia="en-AU"/>
              </w:rPr>
            </w:pPr>
            <w:r>
              <w:rPr>
                <w:color w:val="000000"/>
              </w:rPr>
              <w:t>$204</w:t>
            </w:r>
          </w:p>
        </w:tc>
        <w:tc>
          <w:tcPr>
            <w:tcW w:w="1173" w:type="pct"/>
            <w:vAlign w:val="center"/>
            <w:hideMark/>
          </w:tcPr>
          <w:p w14:paraId="5D808DD5" w14:textId="77777777" w:rsidR="000D07EA" w:rsidRDefault="00BE7C89">
            <w:pPr>
              <w:pStyle w:val="BodyText"/>
              <w:spacing w:before="100" w:after="100"/>
              <w:jc w:val="center"/>
              <w:rPr>
                <w:color w:val="000000"/>
                <w:lang w:val="en-AU" w:eastAsia="en-AU"/>
              </w:rPr>
            </w:pPr>
            <w:r>
              <w:rPr>
                <w:color w:val="000000"/>
              </w:rPr>
              <w:t>$235</w:t>
            </w:r>
          </w:p>
        </w:tc>
      </w:tr>
    </w:tbl>
    <w:p w14:paraId="27FCD538" w14:textId="77777777" w:rsidR="000D07EA" w:rsidRDefault="000D07EA">
      <w:pPr>
        <w:pStyle w:val="BodyText"/>
        <w:rPr>
          <w:b/>
        </w:rPr>
      </w:pPr>
    </w:p>
    <w:tbl>
      <w:tblPr>
        <w:tblW w:w="4632"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8"/>
        <w:gridCol w:w="2214"/>
        <w:gridCol w:w="2214"/>
        <w:gridCol w:w="2212"/>
      </w:tblGrid>
      <w:tr w:rsidR="000D07EA" w14:paraId="6845C51D" w14:textId="77777777">
        <w:tc>
          <w:tcPr>
            <w:tcW w:w="1482" w:type="pct"/>
            <w:hideMark/>
          </w:tcPr>
          <w:p w14:paraId="298C960B" w14:textId="77777777" w:rsidR="000D07EA" w:rsidRDefault="00BE7C89">
            <w:pPr>
              <w:pStyle w:val="BodyText"/>
              <w:spacing w:before="100" w:after="100"/>
              <w:rPr>
                <w:b/>
                <w:lang w:val="en-AU"/>
              </w:rPr>
            </w:pPr>
            <w:r>
              <w:rPr>
                <w:b/>
              </w:rPr>
              <w:t xml:space="preserve">When the </w:t>
            </w:r>
            <w:r>
              <w:rPr>
                <w:b/>
                <w:i/>
              </w:rPr>
              <w:t>service</w:t>
            </w:r>
            <w:r>
              <w:rPr>
                <w:b/>
              </w:rPr>
              <w:t xml:space="preserve"> is </w:t>
            </w:r>
            <w:r>
              <w:rPr>
                <w:b/>
                <w:i/>
              </w:rPr>
              <w:t>cancelled</w:t>
            </w:r>
          </w:p>
        </w:tc>
        <w:tc>
          <w:tcPr>
            <w:tcW w:w="3518" w:type="pct"/>
            <w:gridSpan w:val="3"/>
            <w:hideMark/>
          </w:tcPr>
          <w:p w14:paraId="1164EF87" w14:textId="77777777" w:rsidR="000D07EA" w:rsidRDefault="00BE7C89">
            <w:pPr>
              <w:pStyle w:val="BodyText"/>
              <w:spacing w:before="100" w:after="100"/>
              <w:jc w:val="center"/>
              <w:rPr>
                <w:b/>
                <w:i/>
                <w:sz w:val="24"/>
                <w:lang w:val="en-AU" w:eastAsia="en-AU"/>
              </w:rPr>
            </w:pPr>
            <w:r>
              <w:rPr>
                <w:b/>
                <w:i/>
              </w:rPr>
              <w:t>Cancellation Fee</w:t>
            </w:r>
          </w:p>
        </w:tc>
      </w:tr>
      <w:tr w:rsidR="000D07EA" w14:paraId="7B6C30FD" w14:textId="77777777">
        <w:tc>
          <w:tcPr>
            <w:tcW w:w="1482" w:type="pct"/>
          </w:tcPr>
          <w:p w14:paraId="57A7D6C8" w14:textId="77777777" w:rsidR="000D07EA" w:rsidRDefault="000D07EA">
            <w:pPr>
              <w:pStyle w:val="BodyText"/>
              <w:spacing w:before="100" w:after="100"/>
              <w:rPr>
                <w:lang w:val="en-AU"/>
              </w:rPr>
            </w:pPr>
          </w:p>
        </w:tc>
        <w:tc>
          <w:tcPr>
            <w:tcW w:w="3518" w:type="pct"/>
            <w:gridSpan w:val="3"/>
            <w:hideMark/>
          </w:tcPr>
          <w:p w14:paraId="5CE78A0D" w14:textId="77777777" w:rsidR="000D07EA" w:rsidRDefault="00BE7C89">
            <w:pPr>
              <w:pStyle w:val="BodyText"/>
              <w:spacing w:before="100" w:after="100"/>
              <w:jc w:val="center"/>
              <w:rPr>
                <w:b/>
                <w:sz w:val="24"/>
                <w:lang w:val="en-AU" w:eastAsia="en-AU"/>
              </w:rPr>
            </w:pPr>
            <w:r>
              <w:rPr>
                <w:b/>
              </w:rPr>
              <w:t>Business Complete Ultimate Plans</w:t>
            </w:r>
          </w:p>
          <w:p w14:paraId="39A7F4EE" w14:textId="77777777" w:rsidR="000D07EA" w:rsidRDefault="00BE7C89">
            <w:pPr>
              <w:pStyle w:val="BodyText"/>
              <w:spacing w:before="100" w:after="100"/>
              <w:jc w:val="center"/>
              <w:rPr>
                <w:b/>
                <w:sz w:val="24"/>
                <w:lang w:val="en-AU" w:eastAsia="en-AU"/>
              </w:rPr>
            </w:pPr>
            <w:r>
              <w:rPr>
                <w:b/>
              </w:rPr>
              <w:t>12 Month Contract</w:t>
            </w:r>
          </w:p>
        </w:tc>
      </w:tr>
      <w:tr w:rsidR="000D07EA" w14:paraId="5613FDFD" w14:textId="77777777">
        <w:tc>
          <w:tcPr>
            <w:tcW w:w="1482" w:type="pct"/>
          </w:tcPr>
          <w:p w14:paraId="00A054A6" w14:textId="77777777" w:rsidR="000D07EA" w:rsidRDefault="000D07EA">
            <w:pPr>
              <w:pStyle w:val="BodyText"/>
              <w:spacing w:before="100" w:after="100"/>
              <w:rPr>
                <w:lang w:val="en-AU"/>
              </w:rPr>
            </w:pPr>
          </w:p>
        </w:tc>
        <w:tc>
          <w:tcPr>
            <w:tcW w:w="1173" w:type="pct"/>
            <w:hideMark/>
          </w:tcPr>
          <w:p w14:paraId="21DC05CD" w14:textId="77777777" w:rsidR="000D07EA" w:rsidRDefault="00BE7C89">
            <w:pPr>
              <w:pStyle w:val="BodyText"/>
              <w:spacing w:before="100" w:after="100"/>
              <w:jc w:val="center"/>
              <w:rPr>
                <w:b/>
                <w:lang w:val="en-AU"/>
              </w:rPr>
            </w:pPr>
            <w:r>
              <w:rPr>
                <w:b/>
                <w:bCs/>
                <w:lang w:eastAsia="en-AU"/>
              </w:rPr>
              <w:t xml:space="preserve">$49 </w:t>
            </w:r>
            <w:r>
              <w:rPr>
                <w:b/>
              </w:rPr>
              <w:t>Business Complete Ultimate</w:t>
            </w:r>
          </w:p>
        </w:tc>
        <w:tc>
          <w:tcPr>
            <w:tcW w:w="1173" w:type="pct"/>
            <w:hideMark/>
          </w:tcPr>
          <w:p w14:paraId="10D7445F" w14:textId="77777777" w:rsidR="000D07EA" w:rsidRDefault="00BE7C89">
            <w:pPr>
              <w:pStyle w:val="BodyText"/>
              <w:spacing w:before="100" w:after="100"/>
              <w:jc w:val="center"/>
              <w:rPr>
                <w:b/>
                <w:lang w:val="en-AU"/>
              </w:rPr>
            </w:pPr>
            <w:r>
              <w:rPr>
                <w:b/>
                <w:bCs/>
                <w:lang w:eastAsia="en-AU"/>
              </w:rPr>
              <w:t xml:space="preserve">$59 </w:t>
            </w:r>
            <w:r>
              <w:rPr>
                <w:b/>
              </w:rPr>
              <w:t>Business Complete Ultimate</w:t>
            </w:r>
          </w:p>
        </w:tc>
        <w:tc>
          <w:tcPr>
            <w:tcW w:w="1173" w:type="pct"/>
            <w:hideMark/>
          </w:tcPr>
          <w:p w14:paraId="2D66A6A6" w14:textId="77777777" w:rsidR="000D07EA" w:rsidRDefault="00BE7C89">
            <w:pPr>
              <w:pStyle w:val="BodyText"/>
              <w:spacing w:before="100" w:after="100"/>
              <w:jc w:val="center"/>
              <w:rPr>
                <w:b/>
                <w:lang w:val="en-AU"/>
              </w:rPr>
            </w:pPr>
            <w:r>
              <w:rPr>
                <w:b/>
                <w:bCs/>
                <w:lang w:eastAsia="en-AU"/>
              </w:rPr>
              <w:t xml:space="preserve">$79 </w:t>
            </w:r>
            <w:r>
              <w:rPr>
                <w:b/>
              </w:rPr>
              <w:t>Business Complete Ultimate</w:t>
            </w:r>
          </w:p>
        </w:tc>
      </w:tr>
      <w:tr w:rsidR="000D07EA" w14:paraId="218E698A" w14:textId="77777777">
        <w:tc>
          <w:tcPr>
            <w:tcW w:w="1482" w:type="pct"/>
            <w:hideMark/>
          </w:tcPr>
          <w:p w14:paraId="5803C6A3" w14:textId="77777777" w:rsidR="000D07EA" w:rsidRDefault="00BE7C89">
            <w:pPr>
              <w:pStyle w:val="BodyText"/>
              <w:spacing w:before="100" w:after="100"/>
              <w:rPr>
                <w:b/>
                <w:lang w:val="en-AU"/>
              </w:rPr>
            </w:pPr>
            <w:r>
              <w:rPr>
                <w:b/>
              </w:rPr>
              <w:t xml:space="preserve">During the first 6 months – Initial </w:t>
            </w:r>
            <w:r>
              <w:rPr>
                <w:b/>
                <w:i/>
              </w:rPr>
              <w:t>cancellation fee</w:t>
            </w:r>
          </w:p>
        </w:tc>
        <w:tc>
          <w:tcPr>
            <w:tcW w:w="1173" w:type="pct"/>
            <w:vAlign w:val="center"/>
            <w:hideMark/>
          </w:tcPr>
          <w:p w14:paraId="23E836C7" w14:textId="77777777" w:rsidR="000D07EA" w:rsidRDefault="00BE7C89">
            <w:pPr>
              <w:pStyle w:val="BodyText"/>
              <w:spacing w:before="100" w:after="100"/>
              <w:jc w:val="center"/>
              <w:rPr>
                <w:lang w:val="en-AU"/>
              </w:rPr>
            </w:pPr>
            <w:r>
              <w:rPr>
                <w:color w:val="000000"/>
              </w:rPr>
              <w:t>$500</w:t>
            </w:r>
          </w:p>
        </w:tc>
        <w:tc>
          <w:tcPr>
            <w:tcW w:w="1173" w:type="pct"/>
            <w:vAlign w:val="center"/>
            <w:hideMark/>
          </w:tcPr>
          <w:p w14:paraId="1E8A48C9" w14:textId="77777777" w:rsidR="000D07EA" w:rsidRDefault="00BE7C89">
            <w:pPr>
              <w:pStyle w:val="BodyText"/>
              <w:spacing w:before="100" w:after="100"/>
              <w:jc w:val="center"/>
              <w:rPr>
                <w:lang w:val="en-AU"/>
              </w:rPr>
            </w:pPr>
            <w:r>
              <w:rPr>
                <w:color w:val="000000"/>
              </w:rPr>
              <w:t>$560</w:t>
            </w:r>
          </w:p>
        </w:tc>
        <w:tc>
          <w:tcPr>
            <w:tcW w:w="1173" w:type="pct"/>
            <w:vAlign w:val="center"/>
            <w:hideMark/>
          </w:tcPr>
          <w:p w14:paraId="3A170E5A" w14:textId="77777777" w:rsidR="000D07EA" w:rsidRDefault="00BE7C89">
            <w:pPr>
              <w:pStyle w:val="BodyText"/>
              <w:spacing w:before="100" w:after="100"/>
              <w:jc w:val="center"/>
              <w:rPr>
                <w:lang w:val="en-AU"/>
              </w:rPr>
            </w:pPr>
            <w:r>
              <w:rPr>
                <w:color w:val="000000"/>
              </w:rPr>
              <w:t>$630</w:t>
            </w:r>
          </w:p>
        </w:tc>
      </w:tr>
      <w:tr w:rsidR="000D07EA" w14:paraId="32550179" w14:textId="77777777">
        <w:tc>
          <w:tcPr>
            <w:tcW w:w="1482" w:type="pct"/>
            <w:hideMark/>
          </w:tcPr>
          <w:p w14:paraId="6F739A9D" w14:textId="77777777" w:rsidR="000D07EA" w:rsidRDefault="00BE7C89">
            <w:pPr>
              <w:pStyle w:val="BodyText"/>
              <w:spacing w:before="100" w:after="100"/>
              <w:rPr>
                <w:b/>
                <w:lang w:val="en-AU"/>
              </w:rPr>
            </w:pPr>
            <w:r>
              <w:rPr>
                <w:b/>
              </w:rPr>
              <w:t xml:space="preserve">Months 7 - 9 (70% of Initial </w:t>
            </w:r>
            <w:r>
              <w:rPr>
                <w:b/>
                <w:i/>
              </w:rPr>
              <w:t>cancellation fee</w:t>
            </w:r>
            <w:r>
              <w:rPr>
                <w:b/>
              </w:rPr>
              <w:t>)</w:t>
            </w:r>
          </w:p>
        </w:tc>
        <w:tc>
          <w:tcPr>
            <w:tcW w:w="1173" w:type="pct"/>
            <w:vAlign w:val="center"/>
            <w:hideMark/>
          </w:tcPr>
          <w:p w14:paraId="40FF5DD0" w14:textId="77777777" w:rsidR="000D07EA" w:rsidRDefault="00BE7C89">
            <w:pPr>
              <w:pStyle w:val="BodyText"/>
              <w:spacing w:before="100" w:after="100"/>
              <w:jc w:val="center"/>
              <w:rPr>
                <w:color w:val="000000"/>
                <w:sz w:val="24"/>
                <w:lang w:val="en-AU" w:eastAsia="en-AU"/>
              </w:rPr>
            </w:pPr>
            <w:r>
              <w:rPr>
                <w:color w:val="000000"/>
              </w:rPr>
              <w:t>$350</w:t>
            </w:r>
          </w:p>
        </w:tc>
        <w:tc>
          <w:tcPr>
            <w:tcW w:w="1173" w:type="pct"/>
            <w:vAlign w:val="center"/>
            <w:hideMark/>
          </w:tcPr>
          <w:p w14:paraId="1FBEDA3E" w14:textId="77777777" w:rsidR="000D07EA" w:rsidRDefault="00BE7C89">
            <w:pPr>
              <w:pStyle w:val="BodyText"/>
              <w:spacing w:before="100" w:after="100"/>
              <w:jc w:val="center"/>
              <w:rPr>
                <w:color w:val="000000"/>
                <w:sz w:val="24"/>
                <w:lang w:val="en-AU" w:eastAsia="en-AU"/>
              </w:rPr>
            </w:pPr>
            <w:r>
              <w:rPr>
                <w:color w:val="000000"/>
              </w:rPr>
              <w:t>$392</w:t>
            </w:r>
          </w:p>
        </w:tc>
        <w:tc>
          <w:tcPr>
            <w:tcW w:w="1173" w:type="pct"/>
            <w:vAlign w:val="center"/>
            <w:hideMark/>
          </w:tcPr>
          <w:p w14:paraId="77C742A7" w14:textId="77777777" w:rsidR="000D07EA" w:rsidRDefault="00BE7C89">
            <w:pPr>
              <w:pStyle w:val="BodyText"/>
              <w:spacing w:before="100" w:after="100"/>
              <w:jc w:val="center"/>
              <w:rPr>
                <w:color w:val="000000"/>
                <w:sz w:val="24"/>
                <w:lang w:val="en-AU" w:eastAsia="en-AU"/>
              </w:rPr>
            </w:pPr>
            <w:r>
              <w:rPr>
                <w:color w:val="000000"/>
              </w:rPr>
              <w:t>$441</w:t>
            </w:r>
          </w:p>
        </w:tc>
      </w:tr>
      <w:tr w:rsidR="000D07EA" w14:paraId="6688EE72" w14:textId="77777777">
        <w:tc>
          <w:tcPr>
            <w:tcW w:w="1482" w:type="pct"/>
            <w:hideMark/>
          </w:tcPr>
          <w:p w14:paraId="02263BBA" w14:textId="77777777" w:rsidR="000D07EA" w:rsidRDefault="00BE7C89">
            <w:pPr>
              <w:pStyle w:val="BodyText"/>
              <w:spacing w:before="100" w:after="100"/>
              <w:rPr>
                <w:b/>
              </w:rPr>
            </w:pPr>
            <w:r>
              <w:rPr>
                <w:b/>
              </w:rPr>
              <w:t xml:space="preserve">Months 10 – 12 (40% of the Initial </w:t>
            </w:r>
            <w:r>
              <w:rPr>
                <w:b/>
                <w:i/>
              </w:rPr>
              <w:t>cancellation fee</w:t>
            </w:r>
            <w:r>
              <w:rPr>
                <w:b/>
              </w:rPr>
              <w:t>)</w:t>
            </w:r>
          </w:p>
        </w:tc>
        <w:tc>
          <w:tcPr>
            <w:tcW w:w="1173" w:type="pct"/>
            <w:vAlign w:val="center"/>
            <w:hideMark/>
          </w:tcPr>
          <w:p w14:paraId="0FCE0DF7" w14:textId="77777777" w:rsidR="000D07EA" w:rsidRDefault="00BE7C89">
            <w:pPr>
              <w:pStyle w:val="BodyText"/>
              <w:spacing w:before="100" w:after="100"/>
              <w:jc w:val="center"/>
              <w:rPr>
                <w:color w:val="000000"/>
                <w:sz w:val="24"/>
                <w:lang w:val="en-AU" w:eastAsia="en-AU"/>
              </w:rPr>
            </w:pPr>
            <w:r>
              <w:rPr>
                <w:color w:val="000000"/>
              </w:rPr>
              <w:t>$200</w:t>
            </w:r>
          </w:p>
        </w:tc>
        <w:tc>
          <w:tcPr>
            <w:tcW w:w="1173" w:type="pct"/>
            <w:vAlign w:val="center"/>
            <w:hideMark/>
          </w:tcPr>
          <w:p w14:paraId="6EFA6378" w14:textId="77777777" w:rsidR="000D07EA" w:rsidRDefault="00BE7C89">
            <w:pPr>
              <w:pStyle w:val="BodyText"/>
              <w:spacing w:before="100" w:after="100"/>
              <w:jc w:val="center"/>
              <w:rPr>
                <w:color w:val="000000"/>
                <w:sz w:val="24"/>
                <w:lang w:val="en-AU" w:eastAsia="en-AU"/>
              </w:rPr>
            </w:pPr>
            <w:r>
              <w:rPr>
                <w:color w:val="000000"/>
              </w:rPr>
              <w:t>$224</w:t>
            </w:r>
          </w:p>
        </w:tc>
        <w:tc>
          <w:tcPr>
            <w:tcW w:w="1173" w:type="pct"/>
            <w:vAlign w:val="center"/>
            <w:hideMark/>
          </w:tcPr>
          <w:p w14:paraId="16C6DFEB" w14:textId="77777777" w:rsidR="000D07EA" w:rsidRDefault="00BE7C89">
            <w:pPr>
              <w:pStyle w:val="BodyText"/>
              <w:spacing w:before="100" w:after="100"/>
              <w:jc w:val="center"/>
              <w:rPr>
                <w:color w:val="000000"/>
                <w:sz w:val="24"/>
                <w:lang w:val="en-AU" w:eastAsia="en-AU"/>
              </w:rPr>
            </w:pPr>
            <w:r>
              <w:rPr>
                <w:color w:val="000000"/>
              </w:rPr>
              <w:t>$252</w:t>
            </w:r>
          </w:p>
        </w:tc>
      </w:tr>
    </w:tbl>
    <w:p w14:paraId="2E306E78" w14:textId="77777777" w:rsidR="000D07EA" w:rsidRDefault="000D07EA">
      <w:pPr>
        <w:pStyle w:val="BodyText"/>
        <w:rPr>
          <w:b/>
        </w:rPr>
      </w:pPr>
    </w:p>
    <w:p w14:paraId="130AD062" w14:textId="77777777" w:rsidR="000D07EA" w:rsidRDefault="00BE7C89">
      <w:pPr>
        <w:pStyle w:val="BodyText"/>
        <w:ind w:left="720"/>
        <w:rPr>
          <w:b/>
        </w:rPr>
      </w:pPr>
      <w:r>
        <w:rPr>
          <w:b/>
        </w:rPr>
        <w:t>Cancellation Fee for services activated December 12</w:t>
      </w:r>
      <w:r>
        <w:rPr>
          <w:b/>
          <w:vertAlign w:val="superscript"/>
        </w:rPr>
        <w:t>th</w:t>
      </w:r>
      <w:r>
        <w:rPr>
          <w:b/>
        </w:rPr>
        <w:t xml:space="preserve"> 2010 and after</w:t>
      </w:r>
    </w:p>
    <w:tbl>
      <w:tblPr>
        <w:tblW w:w="4632"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2"/>
        <w:gridCol w:w="1291"/>
        <w:gridCol w:w="1291"/>
        <w:gridCol w:w="1291"/>
        <w:gridCol w:w="1291"/>
        <w:gridCol w:w="1291"/>
        <w:gridCol w:w="1291"/>
      </w:tblGrid>
      <w:tr w:rsidR="000D07EA" w14:paraId="5E7B9A26" w14:textId="77777777">
        <w:trPr>
          <w:tblHeader/>
        </w:trPr>
        <w:tc>
          <w:tcPr>
            <w:tcW w:w="896" w:type="pct"/>
            <w:hideMark/>
          </w:tcPr>
          <w:p w14:paraId="20E8EA76" w14:textId="77777777" w:rsidR="000D07EA" w:rsidRDefault="00BE7C89">
            <w:pPr>
              <w:pStyle w:val="BodyText"/>
              <w:spacing w:before="100" w:after="100"/>
              <w:rPr>
                <w:b/>
              </w:rPr>
            </w:pPr>
            <w:r>
              <w:rPr>
                <w:b/>
              </w:rPr>
              <w:t xml:space="preserve">When the </w:t>
            </w:r>
            <w:r>
              <w:rPr>
                <w:b/>
                <w:i/>
              </w:rPr>
              <w:t>service</w:t>
            </w:r>
            <w:r>
              <w:rPr>
                <w:b/>
              </w:rPr>
              <w:t xml:space="preserve"> is </w:t>
            </w:r>
            <w:r>
              <w:rPr>
                <w:b/>
                <w:i/>
              </w:rPr>
              <w:t>cancelled</w:t>
            </w:r>
          </w:p>
        </w:tc>
        <w:tc>
          <w:tcPr>
            <w:tcW w:w="4104" w:type="pct"/>
            <w:gridSpan w:val="6"/>
            <w:vAlign w:val="center"/>
            <w:hideMark/>
          </w:tcPr>
          <w:p w14:paraId="227786D0" w14:textId="77777777" w:rsidR="000D07EA" w:rsidRDefault="00BE7C89">
            <w:pPr>
              <w:pStyle w:val="BodyText"/>
              <w:spacing w:before="100" w:after="100"/>
              <w:jc w:val="center"/>
              <w:rPr>
                <w:b/>
                <w:i/>
                <w:lang w:val="en-AU" w:eastAsia="en-AU"/>
              </w:rPr>
            </w:pPr>
            <w:r>
              <w:rPr>
                <w:b/>
                <w:i/>
              </w:rPr>
              <w:t>Cancellation Fee</w:t>
            </w:r>
          </w:p>
        </w:tc>
      </w:tr>
      <w:tr w:rsidR="000D07EA" w14:paraId="1724B370" w14:textId="77777777">
        <w:trPr>
          <w:tblHeader/>
        </w:trPr>
        <w:tc>
          <w:tcPr>
            <w:tcW w:w="896" w:type="pct"/>
          </w:tcPr>
          <w:p w14:paraId="46D593AC" w14:textId="77777777" w:rsidR="000D07EA" w:rsidRDefault="000D07EA">
            <w:pPr>
              <w:pStyle w:val="BodyText"/>
              <w:spacing w:before="100" w:after="100"/>
            </w:pPr>
          </w:p>
        </w:tc>
        <w:tc>
          <w:tcPr>
            <w:tcW w:w="4104" w:type="pct"/>
            <w:gridSpan w:val="6"/>
            <w:hideMark/>
          </w:tcPr>
          <w:p w14:paraId="0A8F0E98" w14:textId="77777777" w:rsidR="000D07EA" w:rsidRDefault="00BE7C89">
            <w:pPr>
              <w:pStyle w:val="BodyText"/>
              <w:spacing w:before="100" w:after="100"/>
              <w:jc w:val="center"/>
              <w:rPr>
                <w:b/>
                <w:lang w:val="en-AU" w:eastAsia="en-AU"/>
              </w:rPr>
            </w:pPr>
            <w:r>
              <w:rPr>
                <w:b/>
              </w:rPr>
              <w:t>Business Complete Ultimate Plans</w:t>
            </w:r>
          </w:p>
          <w:p w14:paraId="2D2FA048" w14:textId="77777777" w:rsidR="000D07EA" w:rsidRDefault="00BE7C89">
            <w:pPr>
              <w:pStyle w:val="BodyText"/>
              <w:spacing w:before="100" w:after="100"/>
              <w:jc w:val="center"/>
              <w:rPr>
                <w:b/>
                <w:lang w:val="en-AU" w:eastAsia="en-AU"/>
              </w:rPr>
            </w:pPr>
            <w:r>
              <w:rPr>
                <w:b/>
              </w:rPr>
              <w:t>12 Month Contract</w:t>
            </w:r>
          </w:p>
        </w:tc>
      </w:tr>
      <w:tr w:rsidR="000D07EA" w14:paraId="6C44385D" w14:textId="77777777">
        <w:tc>
          <w:tcPr>
            <w:tcW w:w="896" w:type="pct"/>
          </w:tcPr>
          <w:p w14:paraId="76049BE3" w14:textId="77777777" w:rsidR="000D07EA" w:rsidRDefault="000D07EA">
            <w:pPr>
              <w:pStyle w:val="BodyText"/>
              <w:spacing w:before="100" w:after="100"/>
            </w:pPr>
          </w:p>
        </w:tc>
        <w:tc>
          <w:tcPr>
            <w:tcW w:w="684" w:type="pct"/>
            <w:hideMark/>
          </w:tcPr>
          <w:p w14:paraId="29DD4941" w14:textId="77777777" w:rsidR="000D07EA" w:rsidRDefault="00BE7C89">
            <w:pPr>
              <w:pStyle w:val="BodyText"/>
              <w:spacing w:before="100" w:after="100"/>
              <w:jc w:val="center"/>
              <w:rPr>
                <w:b/>
              </w:rPr>
            </w:pPr>
            <w:r>
              <w:rPr>
                <w:b/>
                <w:bCs/>
                <w:lang w:eastAsia="en-AU"/>
              </w:rPr>
              <w:t xml:space="preserve">$49 </w:t>
            </w:r>
            <w:r>
              <w:rPr>
                <w:b/>
              </w:rPr>
              <w:t>Business Complete Ultimate</w:t>
            </w:r>
          </w:p>
        </w:tc>
        <w:tc>
          <w:tcPr>
            <w:tcW w:w="684" w:type="pct"/>
            <w:hideMark/>
          </w:tcPr>
          <w:p w14:paraId="29500AC5" w14:textId="77777777" w:rsidR="000D07EA" w:rsidRDefault="00BE7C89">
            <w:pPr>
              <w:pStyle w:val="BodyText"/>
              <w:spacing w:before="100" w:after="100"/>
              <w:jc w:val="center"/>
              <w:rPr>
                <w:b/>
              </w:rPr>
            </w:pPr>
            <w:r>
              <w:rPr>
                <w:b/>
                <w:bCs/>
                <w:lang w:eastAsia="en-AU"/>
              </w:rPr>
              <w:t xml:space="preserve">$59 </w:t>
            </w:r>
            <w:r>
              <w:rPr>
                <w:b/>
              </w:rPr>
              <w:t>Business Complete Ultimate</w:t>
            </w:r>
          </w:p>
        </w:tc>
        <w:tc>
          <w:tcPr>
            <w:tcW w:w="684" w:type="pct"/>
            <w:hideMark/>
          </w:tcPr>
          <w:p w14:paraId="7EB9FE54" w14:textId="77777777" w:rsidR="000D07EA" w:rsidRDefault="00BE7C89">
            <w:pPr>
              <w:pStyle w:val="BodyText"/>
              <w:spacing w:before="100" w:after="100"/>
              <w:jc w:val="center"/>
              <w:rPr>
                <w:b/>
              </w:rPr>
            </w:pPr>
            <w:r>
              <w:rPr>
                <w:b/>
                <w:bCs/>
                <w:lang w:eastAsia="en-AU"/>
              </w:rPr>
              <w:t xml:space="preserve">$79 </w:t>
            </w:r>
            <w:r>
              <w:rPr>
                <w:b/>
              </w:rPr>
              <w:t>Business Complete Ultimate</w:t>
            </w:r>
          </w:p>
        </w:tc>
        <w:tc>
          <w:tcPr>
            <w:tcW w:w="684" w:type="pct"/>
            <w:hideMark/>
          </w:tcPr>
          <w:p w14:paraId="405EE9C1" w14:textId="77777777" w:rsidR="000D07EA" w:rsidRDefault="00BE7C89">
            <w:pPr>
              <w:pStyle w:val="BodyText"/>
              <w:spacing w:before="100" w:after="100"/>
              <w:jc w:val="center"/>
              <w:rPr>
                <w:b/>
                <w:bCs/>
                <w:lang w:eastAsia="en-AU"/>
              </w:rPr>
            </w:pPr>
            <w:r>
              <w:rPr>
                <w:b/>
                <w:bCs/>
                <w:lang w:eastAsia="en-AU"/>
              </w:rPr>
              <w:t xml:space="preserve">$49 </w:t>
            </w:r>
            <w:r>
              <w:rPr>
                <w:b/>
              </w:rPr>
              <w:t>Business Complete Ultimate (Premium H/set)</w:t>
            </w:r>
          </w:p>
        </w:tc>
        <w:tc>
          <w:tcPr>
            <w:tcW w:w="684" w:type="pct"/>
            <w:hideMark/>
          </w:tcPr>
          <w:p w14:paraId="143A7A17" w14:textId="77777777" w:rsidR="000D07EA" w:rsidRDefault="00BE7C89">
            <w:pPr>
              <w:pStyle w:val="BodyText"/>
              <w:spacing w:before="100" w:after="100"/>
              <w:jc w:val="center"/>
              <w:rPr>
                <w:b/>
                <w:bCs/>
                <w:lang w:eastAsia="en-AU"/>
              </w:rPr>
            </w:pPr>
            <w:r>
              <w:rPr>
                <w:b/>
                <w:bCs/>
                <w:lang w:eastAsia="en-AU"/>
              </w:rPr>
              <w:t xml:space="preserve">$59 </w:t>
            </w:r>
            <w:r>
              <w:rPr>
                <w:b/>
              </w:rPr>
              <w:t>Business Complete Ultimate (Premium H/set)</w:t>
            </w:r>
          </w:p>
        </w:tc>
        <w:tc>
          <w:tcPr>
            <w:tcW w:w="684" w:type="pct"/>
            <w:hideMark/>
          </w:tcPr>
          <w:p w14:paraId="226A8A31" w14:textId="77777777" w:rsidR="000D07EA" w:rsidRDefault="00BE7C89">
            <w:pPr>
              <w:pStyle w:val="BodyText"/>
              <w:spacing w:before="100" w:after="100"/>
              <w:jc w:val="center"/>
              <w:rPr>
                <w:b/>
                <w:bCs/>
                <w:lang w:eastAsia="en-AU"/>
              </w:rPr>
            </w:pPr>
            <w:r>
              <w:rPr>
                <w:b/>
                <w:bCs/>
                <w:lang w:eastAsia="en-AU"/>
              </w:rPr>
              <w:t xml:space="preserve">$79 </w:t>
            </w:r>
            <w:r>
              <w:rPr>
                <w:b/>
              </w:rPr>
              <w:t>Business Complete Ultimate (Premium H/set)</w:t>
            </w:r>
          </w:p>
        </w:tc>
      </w:tr>
      <w:tr w:rsidR="000D07EA" w14:paraId="6DAC809D" w14:textId="77777777">
        <w:tc>
          <w:tcPr>
            <w:tcW w:w="896" w:type="pct"/>
            <w:hideMark/>
          </w:tcPr>
          <w:p w14:paraId="10333B54" w14:textId="77777777" w:rsidR="000D07EA" w:rsidRDefault="00BE7C89">
            <w:pPr>
              <w:pStyle w:val="BodyText"/>
              <w:spacing w:before="100" w:after="100"/>
              <w:rPr>
                <w:b/>
              </w:rPr>
            </w:pPr>
            <w:r>
              <w:rPr>
                <w:b/>
              </w:rPr>
              <w:t xml:space="preserve">During the first 6 months – Initial </w:t>
            </w:r>
            <w:r>
              <w:rPr>
                <w:b/>
                <w:i/>
              </w:rPr>
              <w:lastRenderedPageBreak/>
              <w:t>cancellation fee</w:t>
            </w:r>
          </w:p>
        </w:tc>
        <w:tc>
          <w:tcPr>
            <w:tcW w:w="684" w:type="pct"/>
            <w:vAlign w:val="center"/>
            <w:hideMark/>
          </w:tcPr>
          <w:p w14:paraId="1877BC97" w14:textId="77777777" w:rsidR="000D07EA" w:rsidRDefault="00BE7C89">
            <w:pPr>
              <w:pStyle w:val="BodyText"/>
              <w:spacing w:before="100" w:after="100"/>
              <w:jc w:val="center"/>
            </w:pPr>
            <w:r>
              <w:rPr>
                <w:color w:val="000000"/>
              </w:rPr>
              <w:lastRenderedPageBreak/>
              <w:t>$500</w:t>
            </w:r>
          </w:p>
        </w:tc>
        <w:tc>
          <w:tcPr>
            <w:tcW w:w="684" w:type="pct"/>
            <w:vAlign w:val="center"/>
            <w:hideMark/>
          </w:tcPr>
          <w:p w14:paraId="448AB3BD" w14:textId="77777777" w:rsidR="000D07EA" w:rsidRDefault="00BE7C89">
            <w:pPr>
              <w:pStyle w:val="BodyText"/>
              <w:spacing w:before="100" w:after="100"/>
              <w:jc w:val="center"/>
            </w:pPr>
            <w:r>
              <w:rPr>
                <w:color w:val="000000"/>
              </w:rPr>
              <w:t>$560</w:t>
            </w:r>
          </w:p>
        </w:tc>
        <w:tc>
          <w:tcPr>
            <w:tcW w:w="684" w:type="pct"/>
            <w:vAlign w:val="center"/>
            <w:hideMark/>
          </w:tcPr>
          <w:p w14:paraId="181E2D0F" w14:textId="77777777" w:rsidR="000D07EA" w:rsidRDefault="00BE7C89">
            <w:pPr>
              <w:pStyle w:val="BodyText"/>
              <w:spacing w:before="100" w:after="100"/>
              <w:jc w:val="center"/>
            </w:pPr>
            <w:r>
              <w:rPr>
                <w:color w:val="000000"/>
              </w:rPr>
              <w:t>$590</w:t>
            </w:r>
          </w:p>
        </w:tc>
        <w:tc>
          <w:tcPr>
            <w:tcW w:w="684" w:type="pct"/>
            <w:vAlign w:val="center"/>
            <w:hideMark/>
          </w:tcPr>
          <w:p w14:paraId="58B3524B" w14:textId="77777777" w:rsidR="000D07EA" w:rsidRDefault="00BE7C89">
            <w:pPr>
              <w:pStyle w:val="BodyText"/>
              <w:spacing w:before="100" w:after="100"/>
              <w:jc w:val="center"/>
              <w:rPr>
                <w:color w:val="000000"/>
              </w:rPr>
            </w:pPr>
            <w:r>
              <w:t>$825</w:t>
            </w:r>
          </w:p>
        </w:tc>
        <w:tc>
          <w:tcPr>
            <w:tcW w:w="684" w:type="pct"/>
            <w:vAlign w:val="center"/>
            <w:hideMark/>
          </w:tcPr>
          <w:p w14:paraId="7268E9C6" w14:textId="77777777" w:rsidR="000D07EA" w:rsidRDefault="00BE7C89">
            <w:pPr>
              <w:pStyle w:val="BodyText"/>
              <w:spacing w:before="100" w:after="100"/>
              <w:jc w:val="center"/>
              <w:rPr>
                <w:color w:val="000000"/>
              </w:rPr>
            </w:pPr>
            <w:r>
              <w:t>$835</w:t>
            </w:r>
          </w:p>
        </w:tc>
        <w:tc>
          <w:tcPr>
            <w:tcW w:w="684" w:type="pct"/>
            <w:vAlign w:val="center"/>
            <w:hideMark/>
          </w:tcPr>
          <w:p w14:paraId="3DDD4BAA" w14:textId="77777777" w:rsidR="000D07EA" w:rsidRDefault="00BE7C89">
            <w:pPr>
              <w:pStyle w:val="BodyText"/>
              <w:spacing w:before="100" w:after="100"/>
              <w:jc w:val="center"/>
              <w:rPr>
                <w:color w:val="000000"/>
              </w:rPr>
            </w:pPr>
            <w:r>
              <w:t>$840</w:t>
            </w:r>
          </w:p>
        </w:tc>
      </w:tr>
      <w:tr w:rsidR="000D07EA" w14:paraId="20871F7B" w14:textId="77777777">
        <w:tc>
          <w:tcPr>
            <w:tcW w:w="896" w:type="pct"/>
            <w:hideMark/>
          </w:tcPr>
          <w:p w14:paraId="0DCEE84C" w14:textId="77777777" w:rsidR="000D07EA" w:rsidRDefault="00BE7C89">
            <w:pPr>
              <w:pStyle w:val="BodyText"/>
              <w:spacing w:before="100" w:after="100"/>
              <w:rPr>
                <w:b/>
              </w:rPr>
            </w:pPr>
            <w:r>
              <w:rPr>
                <w:b/>
              </w:rPr>
              <w:t xml:space="preserve">Months 7 - 9 (70% of Initial </w:t>
            </w:r>
            <w:r>
              <w:rPr>
                <w:b/>
                <w:i/>
              </w:rPr>
              <w:t>cancellation fee</w:t>
            </w:r>
            <w:r>
              <w:rPr>
                <w:b/>
              </w:rPr>
              <w:t>)</w:t>
            </w:r>
          </w:p>
        </w:tc>
        <w:tc>
          <w:tcPr>
            <w:tcW w:w="684" w:type="pct"/>
            <w:vAlign w:val="center"/>
            <w:hideMark/>
          </w:tcPr>
          <w:p w14:paraId="55B25664" w14:textId="77777777" w:rsidR="000D07EA" w:rsidRDefault="00BE7C89">
            <w:pPr>
              <w:pStyle w:val="BodyText"/>
              <w:spacing w:before="100" w:after="100"/>
              <w:jc w:val="center"/>
              <w:rPr>
                <w:color w:val="000000"/>
                <w:lang w:val="en-AU" w:eastAsia="en-AU"/>
              </w:rPr>
            </w:pPr>
            <w:r>
              <w:rPr>
                <w:color w:val="000000"/>
              </w:rPr>
              <w:t>$350</w:t>
            </w:r>
          </w:p>
        </w:tc>
        <w:tc>
          <w:tcPr>
            <w:tcW w:w="684" w:type="pct"/>
            <w:vAlign w:val="center"/>
            <w:hideMark/>
          </w:tcPr>
          <w:p w14:paraId="35A92FAB" w14:textId="77777777" w:rsidR="000D07EA" w:rsidRDefault="00BE7C89">
            <w:pPr>
              <w:pStyle w:val="BodyText"/>
              <w:spacing w:before="100" w:after="100"/>
              <w:jc w:val="center"/>
              <w:rPr>
                <w:color w:val="000000"/>
                <w:lang w:val="en-AU" w:eastAsia="en-AU"/>
              </w:rPr>
            </w:pPr>
            <w:r>
              <w:rPr>
                <w:color w:val="000000"/>
              </w:rPr>
              <w:t>$392</w:t>
            </w:r>
          </w:p>
        </w:tc>
        <w:tc>
          <w:tcPr>
            <w:tcW w:w="684" w:type="pct"/>
            <w:vAlign w:val="center"/>
            <w:hideMark/>
          </w:tcPr>
          <w:p w14:paraId="369677D5" w14:textId="77777777" w:rsidR="000D07EA" w:rsidRDefault="00BE7C89">
            <w:pPr>
              <w:pStyle w:val="BodyText"/>
              <w:spacing w:before="100" w:after="100"/>
              <w:jc w:val="center"/>
              <w:rPr>
                <w:color w:val="000000"/>
                <w:lang w:val="en-AU" w:eastAsia="en-AU"/>
              </w:rPr>
            </w:pPr>
            <w:r>
              <w:rPr>
                <w:color w:val="000000"/>
              </w:rPr>
              <w:t>$413</w:t>
            </w:r>
          </w:p>
        </w:tc>
        <w:tc>
          <w:tcPr>
            <w:tcW w:w="684" w:type="pct"/>
            <w:vAlign w:val="center"/>
            <w:hideMark/>
          </w:tcPr>
          <w:p w14:paraId="457FEF82" w14:textId="77777777" w:rsidR="000D07EA" w:rsidRDefault="00BE7C89">
            <w:pPr>
              <w:pStyle w:val="BodyText"/>
              <w:spacing w:before="100" w:after="100"/>
              <w:jc w:val="center"/>
              <w:rPr>
                <w:color w:val="000000"/>
                <w:lang w:val="en-AU" w:eastAsia="en-AU"/>
              </w:rPr>
            </w:pPr>
            <w:r>
              <w:rPr>
                <w:color w:val="000000"/>
              </w:rPr>
              <w:t>$577.50</w:t>
            </w:r>
          </w:p>
        </w:tc>
        <w:tc>
          <w:tcPr>
            <w:tcW w:w="684" w:type="pct"/>
            <w:vAlign w:val="center"/>
            <w:hideMark/>
          </w:tcPr>
          <w:p w14:paraId="581432DB" w14:textId="77777777" w:rsidR="000D07EA" w:rsidRDefault="00BE7C89">
            <w:pPr>
              <w:pStyle w:val="BodyText"/>
              <w:spacing w:before="100" w:after="100"/>
              <w:jc w:val="center"/>
              <w:rPr>
                <w:color w:val="000000"/>
                <w:lang w:val="en-AU" w:eastAsia="en-AU"/>
              </w:rPr>
            </w:pPr>
            <w:r>
              <w:rPr>
                <w:color w:val="000000"/>
              </w:rPr>
              <w:t>$584.50</w:t>
            </w:r>
          </w:p>
        </w:tc>
        <w:tc>
          <w:tcPr>
            <w:tcW w:w="684" w:type="pct"/>
            <w:vAlign w:val="center"/>
            <w:hideMark/>
          </w:tcPr>
          <w:p w14:paraId="19EFD33A" w14:textId="77777777" w:rsidR="000D07EA" w:rsidRDefault="00BE7C89">
            <w:pPr>
              <w:pStyle w:val="BodyText"/>
              <w:spacing w:before="100" w:after="100"/>
              <w:jc w:val="center"/>
              <w:rPr>
                <w:color w:val="000000"/>
                <w:lang w:val="en-AU" w:eastAsia="en-AU"/>
              </w:rPr>
            </w:pPr>
            <w:r>
              <w:rPr>
                <w:color w:val="000000"/>
              </w:rPr>
              <w:t>$588</w:t>
            </w:r>
          </w:p>
        </w:tc>
      </w:tr>
      <w:tr w:rsidR="000D07EA" w14:paraId="5D20AF0D" w14:textId="77777777">
        <w:tc>
          <w:tcPr>
            <w:tcW w:w="896" w:type="pct"/>
            <w:hideMark/>
          </w:tcPr>
          <w:p w14:paraId="7ACF6921" w14:textId="77777777" w:rsidR="000D07EA" w:rsidRDefault="00BE7C89">
            <w:pPr>
              <w:pStyle w:val="BodyText"/>
              <w:spacing w:before="100" w:after="100"/>
              <w:rPr>
                <w:b/>
              </w:rPr>
            </w:pPr>
            <w:r>
              <w:rPr>
                <w:b/>
              </w:rPr>
              <w:t xml:space="preserve">Months 10 – 12 (40% of the Initial </w:t>
            </w:r>
            <w:r>
              <w:rPr>
                <w:b/>
                <w:i/>
              </w:rPr>
              <w:t>cancellation fee</w:t>
            </w:r>
            <w:r>
              <w:rPr>
                <w:b/>
              </w:rPr>
              <w:t>)</w:t>
            </w:r>
          </w:p>
        </w:tc>
        <w:tc>
          <w:tcPr>
            <w:tcW w:w="684" w:type="pct"/>
            <w:vAlign w:val="center"/>
            <w:hideMark/>
          </w:tcPr>
          <w:p w14:paraId="020100B7" w14:textId="77777777" w:rsidR="000D07EA" w:rsidRDefault="00BE7C89">
            <w:pPr>
              <w:pStyle w:val="BodyText"/>
              <w:spacing w:before="100" w:after="100"/>
              <w:jc w:val="center"/>
              <w:rPr>
                <w:color w:val="000000"/>
                <w:lang w:val="en-AU" w:eastAsia="en-AU"/>
              </w:rPr>
            </w:pPr>
            <w:r>
              <w:rPr>
                <w:color w:val="000000"/>
              </w:rPr>
              <w:t>$200</w:t>
            </w:r>
          </w:p>
        </w:tc>
        <w:tc>
          <w:tcPr>
            <w:tcW w:w="684" w:type="pct"/>
            <w:vAlign w:val="center"/>
            <w:hideMark/>
          </w:tcPr>
          <w:p w14:paraId="7B852B58" w14:textId="77777777" w:rsidR="000D07EA" w:rsidRDefault="00BE7C89">
            <w:pPr>
              <w:pStyle w:val="BodyText"/>
              <w:spacing w:before="100" w:after="100"/>
              <w:jc w:val="center"/>
              <w:rPr>
                <w:color w:val="000000"/>
                <w:lang w:val="en-AU" w:eastAsia="en-AU"/>
              </w:rPr>
            </w:pPr>
            <w:r>
              <w:rPr>
                <w:color w:val="000000"/>
              </w:rPr>
              <w:t>$224</w:t>
            </w:r>
          </w:p>
        </w:tc>
        <w:tc>
          <w:tcPr>
            <w:tcW w:w="684" w:type="pct"/>
            <w:vAlign w:val="center"/>
            <w:hideMark/>
          </w:tcPr>
          <w:p w14:paraId="3EDCB805" w14:textId="77777777" w:rsidR="000D07EA" w:rsidRDefault="00BE7C89">
            <w:pPr>
              <w:pStyle w:val="BodyText"/>
              <w:spacing w:before="100" w:after="100"/>
              <w:jc w:val="center"/>
              <w:rPr>
                <w:color w:val="000000"/>
                <w:lang w:val="en-AU" w:eastAsia="en-AU"/>
              </w:rPr>
            </w:pPr>
            <w:r>
              <w:rPr>
                <w:color w:val="000000"/>
              </w:rPr>
              <w:t>$236</w:t>
            </w:r>
          </w:p>
        </w:tc>
        <w:tc>
          <w:tcPr>
            <w:tcW w:w="684" w:type="pct"/>
            <w:vAlign w:val="center"/>
            <w:hideMark/>
          </w:tcPr>
          <w:p w14:paraId="348C7BB2" w14:textId="77777777" w:rsidR="000D07EA" w:rsidRDefault="00BE7C89">
            <w:pPr>
              <w:pStyle w:val="BodyText"/>
              <w:spacing w:before="100" w:after="100"/>
              <w:jc w:val="center"/>
              <w:rPr>
                <w:color w:val="000000"/>
                <w:lang w:val="en-AU" w:eastAsia="en-AU"/>
              </w:rPr>
            </w:pPr>
            <w:r>
              <w:rPr>
                <w:color w:val="000000"/>
              </w:rPr>
              <w:t>$330</w:t>
            </w:r>
          </w:p>
        </w:tc>
        <w:tc>
          <w:tcPr>
            <w:tcW w:w="684" w:type="pct"/>
            <w:vAlign w:val="center"/>
            <w:hideMark/>
          </w:tcPr>
          <w:p w14:paraId="0C723A60" w14:textId="77777777" w:rsidR="000D07EA" w:rsidRDefault="00BE7C89">
            <w:pPr>
              <w:pStyle w:val="BodyText"/>
              <w:spacing w:before="100" w:after="100"/>
              <w:jc w:val="center"/>
              <w:rPr>
                <w:color w:val="000000"/>
                <w:lang w:val="en-AU" w:eastAsia="en-AU"/>
              </w:rPr>
            </w:pPr>
            <w:r>
              <w:rPr>
                <w:color w:val="000000"/>
              </w:rPr>
              <w:t>$334</w:t>
            </w:r>
          </w:p>
        </w:tc>
        <w:tc>
          <w:tcPr>
            <w:tcW w:w="684" w:type="pct"/>
            <w:vAlign w:val="center"/>
            <w:hideMark/>
          </w:tcPr>
          <w:p w14:paraId="15363F22" w14:textId="77777777" w:rsidR="000D07EA" w:rsidRDefault="00BE7C89">
            <w:pPr>
              <w:pStyle w:val="BodyText"/>
              <w:spacing w:before="100" w:after="100"/>
              <w:jc w:val="center"/>
              <w:rPr>
                <w:color w:val="000000"/>
                <w:lang w:val="en-AU" w:eastAsia="en-AU"/>
              </w:rPr>
            </w:pPr>
            <w:r>
              <w:rPr>
                <w:color w:val="000000"/>
              </w:rPr>
              <w:t>$336</w:t>
            </w:r>
          </w:p>
        </w:tc>
      </w:tr>
    </w:tbl>
    <w:p w14:paraId="49E86C4D" w14:textId="77777777" w:rsidR="000D07EA" w:rsidRDefault="000D07EA">
      <w:pPr>
        <w:pStyle w:val="BodyText"/>
      </w:pPr>
    </w:p>
    <w:tbl>
      <w:tblPr>
        <w:tblW w:w="4632"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0"/>
        <w:gridCol w:w="1153"/>
        <w:gridCol w:w="1263"/>
        <w:gridCol w:w="1265"/>
        <w:gridCol w:w="1265"/>
        <w:gridCol w:w="1265"/>
        <w:gridCol w:w="1537"/>
      </w:tblGrid>
      <w:tr w:rsidR="000D07EA" w14:paraId="06BCDBF6" w14:textId="77777777">
        <w:trPr>
          <w:tblHeader/>
        </w:trPr>
        <w:tc>
          <w:tcPr>
            <w:tcW w:w="896" w:type="pct"/>
            <w:hideMark/>
          </w:tcPr>
          <w:p w14:paraId="748F92FF" w14:textId="77777777" w:rsidR="000D07EA" w:rsidRDefault="00BE7C89">
            <w:pPr>
              <w:pStyle w:val="BodyText"/>
              <w:spacing w:before="100" w:after="100"/>
              <w:rPr>
                <w:b/>
                <w:lang w:val="en-AU"/>
              </w:rPr>
            </w:pPr>
            <w:r>
              <w:rPr>
                <w:b/>
              </w:rPr>
              <w:t xml:space="preserve">When the </w:t>
            </w:r>
            <w:r>
              <w:rPr>
                <w:b/>
                <w:i/>
              </w:rPr>
              <w:t>service</w:t>
            </w:r>
            <w:r>
              <w:rPr>
                <w:b/>
              </w:rPr>
              <w:t xml:space="preserve"> is </w:t>
            </w:r>
            <w:r>
              <w:rPr>
                <w:b/>
                <w:i/>
              </w:rPr>
              <w:t>cancelled</w:t>
            </w:r>
          </w:p>
        </w:tc>
        <w:tc>
          <w:tcPr>
            <w:tcW w:w="4104" w:type="pct"/>
            <w:gridSpan w:val="6"/>
            <w:vAlign w:val="center"/>
            <w:hideMark/>
          </w:tcPr>
          <w:p w14:paraId="43073659" w14:textId="77777777" w:rsidR="000D07EA" w:rsidRDefault="00BE7C89">
            <w:pPr>
              <w:pStyle w:val="BodyText"/>
              <w:spacing w:before="100" w:after="100"/>
              <w:jc w:val="center"/>
              <w:rPr>
                <w:b/>
                <w:i/>
                <w:sz w:val="24"/>
                <w:lang w:val="en-AU" w:eastAsia="en-AU"/>
              </w:rPr>
            </w:pPr>
            <w:r>
              <w:rPr>
                <w:b/>
                <w:i/>
              </w:rPr>
              <w:t>Cancellation Fee</w:t>
            </w:r>
          </w:p>
        </w:tc>
      </w:tr>
      <w:tr w:rsidR="000D07EA" w14:paraId="56872084" w14:textId="77777777">
        <w:trPr>
          <w:tblHeader/>
        </w:trPr>
        <w:tc>
          <w:tcPr>
            <w:tcW w:w="896" w:type="pct"/>
          </w:tcPr>
          <w:p w14:paraId="164F27DD" w14:textId="77777777" w:rsidR="000D07EA" w:rsidRDefault="000D07EA">
            <w:pPr>
              <w:pStyle w:val="BodyText"/>
              <w:spacing w:before="100" w:after="100"/>
              <w:rPr>
                <w:lang w:val="en-AU"/>
              </w:rPr>
            </w:pPr>
          </w:p>
        </w:tc>
        <w:tc>
          <w:tcPr>
            <w:tcW w:w="4104" w:type="pct"/>
            <w:gridSpan w:val="6"/>
            <w:hideMark/>
          </w:tcPr>
          <w:p w14:paraId="75B9054D" w14:textId="77777777" w:rsidR="000D07EA" w:rsidRDefault="00BE7C89">
            <w:pPr>
              <w:pStyle w:val="BodyText"/>
              <w:spacing w:before="100" w:after="100"/>
              <w:jc w:val="center"/>
              <w:rPr>
                <w:b/>
                <w:sz w:val="24"/>
                <w:lang w:val="en-AU" w:eastAsia="en-AU"/>
              </w:rPr>
            </w:pPr>
            <w:r>
              <w:rPr>
                <w:b/>
              </w:rPr>
              <w:t>Business Complete Ultimate Plans</w:t>
            </w:r>
          </w:p>
          <w:p w14:paraId="560D47C4" w14:textId="77777777" w:rsidR="000D07EA" w:rsidRDefault="00BE7C89">
            <w:pPr>
              <w:pStyle w:val="BodyText"/>
              <w:spacing w:before="100" w:after="100"/>
              <w:jc w:val="center"/>
              <w:rPr>
                <w:b/>
                <w:sz w:val="24"/>
                <w:lang w:val="en-AU" w:eastAsia="en-AU"/>
              </w:rPr>
            </w:pPr>
            <w:r>
              <w:rPr>
                <w:b/>
              </w:rPr>
              <w:t>24 Month Contract</w:t>
            </w:r>
          </w:p>
        </w:tc>
      </w:tr>
      <w:tr w:rsidR="000D07EA" w14:paraId="07A2864D" w14:textId="77777777">
        <w:trPr>
          <w:tblHeader/>
        </w:trPr>
        <w:tc>
          <w:tcPr>
            <w:tcW w:w="896" w:type="pct"/>
          </w:tcPr>
          <w:p w14:paraId="18F73A87" w14:textId="77777777" w:rsidR="000D07EA" w:rsidRDefault="000D07EA">
            <w:pPr>
              <w:pStyle w:val="BodyText"/>
              <w:spacing w:before="100" w:after="100"/>
              <w:rPr>
                <w:lang w:val="en-AU"/>
              </w:rPr>
            </w:pPr>
          </w:p>
        </w:tc>
        <w:tc>
          <w:tcPr>
            <w:tcW w:w="611" w:type="pct"/>
            <w:hideMark/>
          </w:tcPr>
          <w:p w14:paraId="5F8D06F6" w14:textId="77777777" w:rsidR="000D07EA" w:rsidRDefault="00BE7C89">
            <w:pPr>
              <w:pStyle w:val="BodyText"/>
              <w:spacing w:before="100" w:after="100"/>
              <w:jc w:val="center"/>
              <w:rPr>
                <w:b/>
                <w:lang w:val="en-AU"/>
              </w:rPr>
            </w:pPr>
            <w:r>
              <w:rPr>
                <w:b/>
                <w:bCs/>
                <w:lang w:eastAsia="en-AU"/>
              </w:rPr>
              <w:t xml:space="preserve">$49 </w:t>
            </w:r>
            <w:r>
              <w:rPr>
                <w:b/>
              </w:rPr>
              <w:t>Business Complete Ultimate</w:t>
            </w:r>
          </w:p>
        </w:tc>
        <w:tc>
          <w:tcPr>
            <w:tcW w:w="669" w:type="pct"/>
            <w:hideMark/>
          </w:tcPr>
          <w:p w14:paraId="4050F4DE" w14:textId="77777777" w:rsidR="000D07EA" w:rsidRDefault="00BE7C89">
            <w:pPr>
              <w:pStyle w:val="BodyText"/>
              <w:spacing w:before="100" w:after="100"/>
              <w:jc w:val="center"/>
              <w:rPr>
                <w:b/>
                <w:lang w:val="en-AU"/>
              </w:rPr>
            </w:pPr>
            <w:r>
              <w:rPr>
                <w:b/>
                <w:bCs/>
                <w:lang w:eastAsia="en-AU"/>
              </w:rPr>
              <w:t xml:space="preserve">$59 </w:t>
            </w:r>
            <w:r>
              <w:rPr>
                <w:b/>
              </w:rPr>
              <w:t>Business Complete Ultimate</w:t>
            </w:r>
          </w:p>
        </w:tc>
        <w:tc>
          <w:tcPr>
            <w:tcW w:w="670" w:type="pct"/>
            <w:hideMark/>
          </w:tcPr>
          <w:p w14:paraId="7CCEB8E5" w14:textId="77777777" w:rsidR="000D07EA" w:rsidRDefault="00BE7C89">
            <w:pPr>
              <w:pStyle w:val="BodyText"/>
              <w:spacing w:before="100" w:after="100"/>
              <w:jc w:val="center"/>
              <w:rPr>
                <w:b/>
                <w:lang w:val="en-AU"/>
              </w:rPr>
            </w:pPr>
            <w:r>
              <w:rPr>
                <w:b/>
                <w:bCs/>
                <w:lang w:eastAsia="en-AU"/>
              </w:rPr>
              <w:t xml:space="preserve">$79 </w:t>
            </w:r>
            <w:r>
              <w:rPr>
                <w:b/>
              </w:rPr>
              <w:t>Business Complete Ultimate</w:t>
            </w:r>
          </w:p>
        </w:tc>
        <w:tc>
          <w:tcPr>
            <w:tcW w:w="670" w:type="pct"/>
            <w:hideMark/>
          </w:tcPr>
          <w:p w14:paraId="219817A3" w14:textId="77777777" w:rsidR="000D07EA" w:rsidRDefault="00BE7C89">
            <w:pPr>
              <w:pStyle w:val="BodyText"/>
              <w:spacing w:before="100" w:after="100"/>
              <w:jc w:val="center"/>
              <w:rPr>
                <w:b/>
                <w:bCs/>
                <w:lang w:val="en-AU" w:eastAsia="en-AU"/>
              </w:rPr>
            </w:pPr>
            <w:r>
              <w:rPr>
                <w:b/>
                <w:bCs/>
                <w:lang w:eastAsia="en-AU"/>
              </w:rPr>
              <w:t xml:space="preserve">$49 </w:t>
            </w:r>
            <w:r>
              <w:rPr>
                <w:b/>
              </w:rPr>
              <w:t>Business Complete Ultimate (Premium H/set)</w:t>
            </w:r>
          </w:p>
        </w:tc>
        <w:tc>
          <w:tcPr>
            <w:tcW w:w="670" w:type="pct"/>
            <w:hideMark/>
          </w:tcPr>
          <w:p w14:paraId="62CF9829" w14:textId="77777777" w:rsidR="000D07EA" w:rsidRDefault="00BE7C89">
            <w:pPr>
              <w:pStyle w:val="BodyText"/>
              <w:spacing w:before="100" w:after="100"/>
              <w:jc w:val="center"/>
              <w:rPr>
                <w:b/>
                <w:bCs/>
                <w:lang w:val="en-AU" w:eastAsia="en-AU"/>
              </w:rPr>
            </w:pPr>
            <w:r>
              <w:rPr>
                <w:b/>
                <w:bCs/>
                <w:lang w:eastAsia="en-AU"/>
              </w:rPr>
              <w:t xml:space="preserve">$59 </w:t>
            </w:r>
            <w:r>
              <w:rPr>
                <w:b/>
              </w:rPr>
              <w:t>Business Complete Ultimate (Premium H/set)</w:t>
            </w:r>
          </w:p>
        </w:tc>
        <w:tc>
          <w:tcPr>
            <w:tcW w:w="814" w:type="pct"/>
            <w:hideMark/>
          </w:tcPr>
          <w:p w14:paraId="510D55D4" w14:textId="77777777" w:rsidR="000D07EA" w:rsidRDefault="00BE7C89">
            <w:pPr>
              <w:pStyle w:val="BodyText"/>
              <w:spacing w:before="100" w:after="100"/>
              <w:jc w:val="center"/>
              <w:rPr>
                <w:b/>
                <w:bCs/>
                <w:lang w:val="en-AU" w:eastAsia="en-AU"/>
              </w:rPr>
            </w:pPr>
            <w:r>
              <w:rPr>
                <w:b/>
                <w:bCs/>
                <w:lang w:eastAsia="en-AU"/>
              </w:rPr>
              <w:t xml:space="preserve">$79 </w:t>
            </w:r>
            <w:r>
              <w:rPr>
                <w:b/>
              </w:rPr>
              <w:t>Business Complete Ultimate (Premium H/set)</w:t>
            </w:r>
          </w:p>
        </w:tc>
      </w:tr>
      <w:tr w:rsidR="000D07EA" w14:paraId="57BBB977" w14:textId="77777777">
        <w:tc>
          <w:tcPr>
            <w:tcW w:w="896" w:type="pct"/>
            <w:hideMark/>
          </w:tcPr>
          <w:p w14:paraId="0106FB1D" w14:textId="77777777" w:rsidR="000D07EA" w:rsidRDefault="00BE7C89">
            <w:pPr>
              <w:pStyle w:val="BodyText"/>
              <w:spacing w:before="100" w:after="100"/>
              <w:rPr>
                <w:b/>
              </w:rPr>
            </w:pPr>
            <w:r>
              <w:rPr>
                <w:b/>
              </w:rPr>
              <w:t xml:space="preserve">During the first 12 months - Initial </w:t>
            </w:r>
            <w:r>
              <w:rPr>
                <w:b/>
                <w:i/>
              </w:rPr>
              <w:t>cancellation fee</w:t>
            </w:r>
          </w:p>
        </w:tc>
        <w:tc>
          <w:tcPr>
            <w:tcW w:w="611" w:type="pct"/>
            <w:vAlign w:val="center"/>
            <w:hideMark/>
          </w:tcPr>
          <w:p w14:paraId="03DC316D" w14:textId="77777777" w:rsidR="000D07EA" w:rsidRDefault="00BE7C89">
            <w:pPr>
              <w:pStyle w:val="BodyText"/>
              <w:spacing w:before="100" w:after="100"/>
              <w:jc w:val="center"/>
              <w:rPr>
                <w:lang w:val="en-AU"/>
              </w:rPr>
            </w:pPr>
            <w:r>
              <w:rPr>
                <w:color w:val="000000"/>
              </w:rPr>
              <w:t>$785</w:t>
            </w:r>
          </w:p>
        </w:tc>
        <w:tc>
          <w:tcPr>
            <w:tcW w:w="669" w:type="pct"/>
            <w:vAlign w:val="center"/>
            <w:hideMark/>
          </w:tcPr>
          <w:p w14:paraId="3160C451" w14:textId="77777777" w:rsidR="000D07EA" w:rsidRDefault="00BE7C89">
            <w:pPr>
              <w:pStyle w:val="BodyText"/>
              <w:spacing w:before="100" w:after="100"/>
              <w:jc w:val="center"/>
              <w:rPr>
                <w:lang w:val="en-AU"/>
              </w:rPr>
            </w:pPr>
            <w:r>
              <w:rPr>
                <w:color w:val="000000"/>
              </w:rPr>
              <w:t>$790</w:t>
            </w:r>
          </w:p>
        </w:tc>
        <w:tc>
          <w:tcPr>
            <w:tcW w:w="670" w:type="pct"/>
            <w:vAlign w:val="center"/>
            <w:hideMark/>
          </w:tcPr>
          <w:p w14:paraId="685832B8" w14:textId="77777777" w:rsidR="000D07EA" w:rsidRDefault="00BE7C89">
            <w:pPr>
              <w:pStyle w:val="BodyText"/>
              <w:spacing w:before="100" w:after="100"/>
              <w:jc w:val="center"/>
              <w:rPr>
                <w:lang w:val="en-AU"/>
              </w:rPr>
            </w:pPr>
            <w:r>
              <w:rPr>
                <w:color w:val="000000"/>
              </w:rPr>
              <w:t>$805</w:t>
            </w:r>
          </w:p>
        </w:tc>
        <w:tc>
          <w:tcPr>
            <w:tcW w:w="670" w:type="pct"/>
            <w:vAlign w:val="center"/>
            <w:hideMark/>
          </w:tcPr>
          <w:p w14:paraId="1A9EAEDA" w14:textId="77777777" w:rsidR="000D07EA" w:rsidRDefault="00BE7C89">
            <w:pPr>
              <w:pStyle w:val="BodyText"/>
              <w:spacing w:before="100" w:after="100"/>
              <w:jc w:val="center"/>
              <w:rPr>
                <w:color w:val="000000"/>
                <w:lang w:val="en-AU"/>
              </w:rPr>
            </w:pPr>
            <w:r>
              <w:t>$1150</w:t>
            </w:r>
          </w:p>
        </w:tc>
        <w:tc>
          <w:tcPr>
            <w:tcW w:w="670" w:type="pct"/>
            <w:vAlign w:val="center"/>
            <w:hideMark/>
          </w:tcPr>
          <w:p w14:paraId="54A68F80" w14:textId="77777777" w:rsidR="000D07EA" w:rsidRDefault="00BE7C89">
            <w:pPr>
              <w:pStyle w:val="BodyText"/>
              <w:spacing w:before="100" w:after="100"/>
              <w:jc w:val="center"/>
              <w:rPr>
                <w:color w:val="000000"/>
                <w:lang w:val="en-AU"/>
              </w:rPr>
            </w:pPr>
            <w:r>
              <w:t>$1155</w:t>
            </w:r>
          </w:p>
        </w:tc>
        <w:tc>
          <w:tcPr>
            <w:tcW w:w="814" w:type="pct"/>
            <w:vAlign w:val="center"/>
            <w:hideMark/>
          </w:tcPr>
          <w:p w14:paraId="14DC0515" w14:textId="77777777" w:rsidR="000D07EA" w:rsidRDefault="00BE7C89">
            <w:pPr>
              <w:pStyle w:val="BodyText"/>
              <w:spacing w:before="100" w:after="100"/>
              <w:jc w:val="center"/>
              <w:rPr>
                <w:color w:val="000000"/>
                <w:lang w:val="en-AU"/>
              </w:rPr>
            </w:pPr>
            <w:r>
              <w:t>$1170</w:t>
            </w:r>
          </w:p>
        </w:tc>
      </w:tr>
      <w:tr w:rsidR="000D07EA" w14:paraId="5D5E8BF5" w14:textId="77777777">
        <w:tc>
          <w:tcPr>
            <w:tcW w:w="896" w:type="pct"/>
            <w:hideMark/>
          </w:tcPr>
          <w:p w14:paraId="57C6E4F8" w14:textId="77777777" w:rsidR="000D07EA" w:rsidRDefault="00BE7C89">
            <w:pPr>
              <w:pStyle w:val="BodyText"/>
              <w:spacing w:before="100" w:after="100"/>
              <w:rPr>
                <w:b/>
                <w:lang w:val="en-AU"/>
              </w:rPr>
            </w:pPr>
            <w:r>
              <w:rPr>
                <w:b/>
              </w:rPr>
              <w:t xml:space="preserve">Months 13 – 15 (80% of Initial </w:t>
            </w:r>
            <w:r>
              <w:rPr>
                <w:b/>
                <w:i/>
              </w:rPr>
              <w:t>cancellation fee</w:t>
            </w:r>
            <w:r>
              <w:rPr>
                <w:b/>
              </w:rPr>
              <w:t>)</w:t>
            </w:r>
          </w:p>
        </w:tc>
        <w:tc>
          <w:tcPr>
            <w:tcW w:w="611" w:type="pct"/>
            <w:vAlign w:val="center"/>
            <w:hideMark/>
          </w:tcPr>
          <w:p w14:paraId="044AD6AA" w14:textId="77777777" w:rsidR="000D07EA" w:rsidRDefault="00BE7C89">
            <w:pPr>
              <w:pStyle w:val="BodyText"/>
              <w:spacing w:before="100" w:after="100"/>
              <w:jc w:val="center"/>
              <w:rPr>
                <w:color w:val="000000"/>
                <w:sz w:val="24"/>
                <w:lang w:val="en-AU" w:eastAsia="en-AU"/>
              </w:rPr>
            </w:pPr>
            <w:r>
              <w:rPr>
                <w:color w:val="000000"/>
              </w:rPr>
              <w:t>$628</w:t>
            </w:r>
          </w:p>
        </w:tc>
        <w:tc>
          <w:tcPr>
            <w:tcW w:w="669" w:type="pct"/>
            <w:vAlign w:val="center"/>
            <w:hideMark/>
          </w:tcPr>
          <w:p w14:paraId="4619DFB2" w14:textId="77777777" w:rsidR="000D07EA" w:rsidRDefault="00BE7C89">
            <w:pPr>
              <w:pStyle w:val="BodyText"/>
              <w:spacing w:before="100" w:after="100"/>
              <w:jc w:val="center"/>
              <w:rPr>
                <w:color w:val="000000"/>
                <w:sz w:val="24"/>
                <w:lang w:val="en-AU" w:eastAsia="en-AU"/>
              </w:rPr>
            </w:pPr>
            <w:r>
              <w:rPr>
                <w:color w:val="000000"/>
              </w:rPr>
              <w:t>$632</w:t>
            </w:r>
          </w:p>
        </w:tc>
        <w:tc>
          <w:tcPr>
            <w:tcW w:w="670" w:type="pct"/>
            <w:vAlign w:val="center"/>
            <w:hideMark/>
          </w:tcPr>
          <w:p w14:paraId="69A78262" w14:textId="77777777" w:rsidR="000D07EA" w:rsidRDefault="00BE7C89">
            <w:pPr>
              <w:pStyle w:val="BodyText"/>
              <w:spacing w:before="100" w:after="100"/>
              <w:jc w:val="center"/>
              <w:rPr>
                <w:color w:val="000000"/>
                <w:sz w:val="24"/>
                <w:lang w:val="en-AU" w:eastAsia="en-AU"/>
              </w:rPr>
            </w:pPr>
            <w:r>
              <w:rPr>
                <w:color w:val="000000"/>
              </w:rPr>
              <w:t>$644</w:t>
            </w:r>
          </w:p>
        </w:tc>
        <w:tc>
          <w:tcPr>
            <w:tcW w:w="670" w:type="pct"/>
            <w:vAlign w:val="center"/>
            <w:hideMark/>
          </w:tcPr>
          <w:p w14:paraId="5A41D7D2" w14:textId="77777777" w:rsidR="000D07EA" w:rsidRDefault="00BE7C89">
            <w:pPr>
              <w:pStyle w:val="BodyText"/>
              <w:spacing w:before="100" w:after="100"/>
              <w:jc w:val="center"/>
              <w:rPr>
                <w:color w:val="000000"/>
                <w:sz w:val="24"/>
                <w:lang w:val="en-AU" w:eastAsia="en-AU"/>
              </w:rPr>
            </w:pPr>
            <w:r>
              <w:rPr>
                <w:color w:val="000000"/>
              </w:rPr>
              <w:t>$920</w:t>
            </w:r>
          </w:p>
        </w:tc>
        <w:tc>
          <w:tcPr>
            <w:tcW w:w="670" w:type="pct"/>
            <w:vAlign w:val="center"/>
            <w:hideMark/>
          </w:tcPr>
          <w:p w14:paraId="2B01748C" w14:textId="77777777" w:rsidR="000D07EA" w:rsidRDefault="00BE7C89">
            <w:pPr>
              <w:pStyle w:val="BodyText"/>
              <w:spacing w:before="100" w:after="100"/>
              <w:jc w:val="center"/>
              <w:rPr>
                <w:color w:val="000000"/>
                <w:sz w:val="24"/>
                <w:lang w:val="en-AU" w:eastAsia="en-AU"/>
              </w:rPr>
            </w:pPr>
            <w:r>
              <w:rPr>
                <w:color w:val="000000"/>
              </w:rPr>
              <w:t>$924</w:t>
            </w:r>
          </w:p>
        </w:tc>
        <w:tc>
          <w:tcPr>
            <w:tcW w:w="814" w:type="pct"/>
            <w:vAlign w:val="center"/>
            <w:hideMark/>
          </w:tcPr>
          <w:p w14:paraId="71E0EFDB" w14:textId="77777777" w:rsidR="000D07EA" w:rsidRDefault="00BE7C89">
            <w:pPr>
              <w:pStyle w:val="BodyText"/>
              <w:spacing w:before="100" w:after="100"/>
              <w:jc w:val="center"/>
              <w:rPr>
                <w:color w:val="000000"/>
                <w:sz w:val="24"/>
                <w:lang w:val="en-AU" w:eastAsia="en-AU"/>
              </w:rPr>
            </w:pPr>
            <w:r>
              <w:rPr>
                <w:color w:val="000000"/>
              </w:rPr>
              <w:t>$936</w:t>
            </w:r>
          </w:p>
        </w:tc>
      </w:tr>
      <w:tr w:rsidR="000D07EA" w14:paraId="6642CBFA" w14:textId="77777777">
        <w:tc>
          <w:tcPr>
            <w:tcW w:w="896" w:type="pct"/>
            <w:hideMark/>
          </w:tcPr>
          <w:p w14:paraId="0F2C2952" w14:textId="77777777" w:rsidR="000D07EA" w:rsidRDefault="00BE7C89">
            <w:pPr>
              <w:pStyle w:val="BodyText"/>
              <w:spacing w:before="100" w:after="100"/>
              <w:rPr>
                <w:b/>
              </w:rPr>
            </w:pPr>
            <w:r>
              <w:rPr>
                <w:b/>
              </w:rPr>
              <w:t xml:space="preserve">Months 16 – 18 (60% of the Initial </w:t>
            </w:r>
            <w:r>
              <w:rPr>
                <w:b/>
                <w:i/>
              </w:rPr>
              <w:t>cancellation fee</w:t>
            </w:r>
            <w:r>
              <w:rPr>
                <w:b/>
              </w:rPr>
              <w:t>)</w:t>
            </w:r>
          </w:p>
        </w:tc>
        <w:tc>
          <w:tcPr>
            <w:tcW w:w="611" w:type="pct"/>
            <w:vAlign w:val="center"/>
            <w:hideMark/>
          </w:tcPr>
          <w:p w14:paraId="2C39F72C" w14:textId="77777777" w:rsidR="000D07EA" w:rsidRDefault="00BE7C89">
            <w:pPr>
              <w:pStyle w:val="BodyText"/>
              <w:spacing w:before="100" w:after="100"/>
              <w:jc w:val="center"/>
              <w:rPr>
                <w:color w:val="000000"/>
                <w:sz w:val="24"/>
                <w:lang w:val="en-AU" w:eastAsia="en-AU"/>
              </w:rPr>
            </w:pPr>
            <w:r>
              <w:rPr>
                <w:color w:val="000000"/>
              </w:rPr>
              <w:t>$471</w:t>
            </w:r>
          </w:p>
        </w:tc>
        <w:tc>
          <w:tcPr>
            <w:tcW w:w="669" w:type="pct"/>
            <w:vAlign w:val="center"/>
            <w:hideMark/>
          </w:tcPr>
          <w:p w14:paraId="46CC184B" w14:textId="77777777" w:rsidR="000D07EA" w:rsidRDefault="00BE7C89">
            <w:pPr>
              <w:pStyle w:val="BodyText"/>
              <w:spacing w:before="100" w:after="100"/>
              <w:jc w:val="center"/>
              <w:rPr>
                <w:color w:val="000000"/>
                <w:sz w:val="24"/>
                <w:lang w:val="en-AU" w:eastAsia="en-AU"/>
              </w:rPr>
            </w:pPr>
            <w:r>
              <w:rPr>
                <w:color w:val="000000"/>
              </w:rPr>
              <w:t>$474</w:t>
            </w:r>
          </w:p>
        </w:tc>
        <w:tc>
          <w:tcPr>
            <w:tcW w:w="670" w:type="pct"/>
            <w:vAlign w:val="center"/>
            <w:hideMark/>
          </w:tcPr>
          <w:p w14:paraId="1ECCCFC3" w14:textId="77777777" w:rsidR="000D07EA" w:rsidRDefault="00BE7C89">
            <w:pPr>
              <w:pStyle w:val="BodyText"/>
              <w:spacing w:before="100" w:after="100"/>
              <w:jc w:val="center"/>
              <w:rPr>
                <w:color w:val="000000"/>
                <w:sz w:val="24"/>
                <w:lang w:val="en-AU" w:eastAsia="en-AU"/>
              </w:rPr>
            </w:pPr>
            <w:r>
              <w:rPr>
                <w:color w:val="000000"/>
              </w:rPr>
              <w:t>$483</w:t>
            </w:r>
          </w:p>
        </w:tc>
        <w:tc>
          <w:tcPr>
            <w:tcW w:w="670" w:type="pct"/>
            <w:vAlign w:val="center"/>
            <w:hideMark/>
          </w:tcPr>
          <w:p w14:paraId="324B2F80" w14:textId="77777777" w:rsidR="000D07EA" w:rsidRDefault="00BE7C89">
            <w:pPr>
              <w:pStyle w:val="BodyText"/>
              <w:spacing w:before="100" w:after="100"/>
              <w:jc w:val="center"/>
              <w:rPr>
                <w:color w:val="000000"/>
                <w:sz w:val="24"/>
                <w:lang w:val="en-AU" w:eastAsia="en-AU"/>
              </w:rPr>
            </w:pPr>
            <w:r>
              <w:rPr>
                <w:color w:val="000000"/>
              </w:rPr>
              <w:t>$690</w:t>
            </w:r>
          </w:p>
        </w:tc>
        <w:tc>
          <w:tcPr>
            <w:tcW w:w="670" w:type="pct"/>
            <w:vAlign w:val="center"/>
            <w:hideMark/>
          </w:tcPr>
          <w:p w14:paraId="096A1C2B" w14:textId="77777777" w:rsidR="000D07EA" w:rsidRDefault="00BE7C89">
            <w:pPr>
              <w:pStyle w:val="BodyText"/>
              <w:spacing w:before="100" w:after="100"/>
              <w:jc w:val="center"/>
              <w:rPr>
                <w:color w:val="000000"/>
                <w:sz w:val="24"/>
                <w:lang w:val="en-AU" w:eastAsia="en-AU"/>
              </w:rPr>
            </w:pPr>
            <w:r>
              <w:rPr>
                <w:color w:val="000000"/>
              </w:rPr>
              <w:t>$693</w:t>
            </w:r>
          </w:p>
        </w:tc>
        <w:tc>
          <w:tcPr>
            <w:tcW w:w="814" w:type="pct"/>
            <w:vAlign w:val="center"/>
            <w:hideMark/>
          </w:tcPr>
          <w:p w14:paraId="46C748DB" w14:textId="77777777" w:rsidR="000D07EA" w:rsidRDefault="00BE7C89">
            <w:pPr>
              <w:pStyle w:val="BodyText"/>
              <w:spacing w:before="100" w:after="100"/>
              <w:jc w:val="center"/>
              <w:rPr>
                <w:color w:val="000000"/>
                <w:sz w:val="24"/>
                <w:lang w:val="en-AU" w:eastAsia="en-AU"/>
              </w:rPr>
            </w:pPr>
            <w:r>
              <w:rPr>
                <w:color w:val="000000"/>
              </w:rPr>
              <w:t>$702</w:t>
            </w:r>
          </w:p>
        </w:tc>
      </w:tr>
      <w:tr w:rsidR="000D07EA" w14:paraId="0CF8E9AB" w14:textId="77777777">
        <w:tc>
          <w:tcPr>
            <w:tcW w:w="896" w:type="pct"/>
            <w:hideMark/>
          </w:tcPr>
          <w:p w14:paraId="2B982E88" w14:textId="77777777" w:rsidR="000D07EA" w:rsidRDefault="00BE7C89">
            <w:pPr>
              <w:pStyle w:val="BodyText"/>
              <w:spacing w:before="100" w:after="100"/>
              <w:rPr>
                <w:b/>
              </w:rPr>
            </w:pPr>
            <w:r>
              <w:rPr>
                <w:b/>
              </w:rPr>
              <w:t xml:space="preserve">Months 19 – 21 (40% of the Initial </w:t>
            </w:r>
            <w:r>
              <w:rPr>
                <w:b/>
                <w:i/>
              </w:rPr>
              <w:t>cancellation fee</w:t>
            </w:r>
            <w:r>
              <w:rPr>
                <w:b/>
              </w:rPr>
              <w:t>)</w:t>
            </w:r>
          </w:p>
        </w:tc>
        <w:tc>
          <w:tcPr>
            <w:tcW w:w="611" w:type="pct"/>
            <w:vAlign w:val="center"/>
            <w:hideMark/>
          </w:tcPr>
          <w:p w14:paraId="083DE2CA" w14:textId="77777777" w:rsidR="000D07EA" w:rsidRDefault="00BE7C89">
            <w:pPr>
              <w:pStyle w:val="BodyText"/>
              <w:spacing w:before="100" w:after="100"/>
              <w:jc w:val="center"/>
              <w:rPr>
                <w:color w:val="000000"/>
                <w:sz w:val="24"/>
                <w:lang w:val="en-AU" w:eastAsia="en-AU"/>
              </w:rPr>
            </w:pPr>
            <w:r>
              <w:rPr>
                <w:color w:val="000000"/>
              </w:rPr>
              <w:t>$314</w:t>
            </w:r>
          </w:p>
        </w:tc>
        <w:tc>
          <w:tcPr>
            <w:tcW w:w="669" w:type="pct"/>
            <w:vAlign w:val="center"/>
            <w:hideMark/>
          </w:tcPr>
          <w:p w14:paraId="49320885" w14:textId="77777777" w:rsidR="000D07EA" w:rsidRDefault="00BE7C89">
            <w:pPr>
              <w:pStyle w:val="BodyText"/>
              <w:spacing w:before="100" w:after="100"/>
              <w:jc w:val="center"/>
              <w:rPr>
                <w:color w:val="000000"/>
                <w:sz w:val="24"/>
                <w:lang w:val="en-AU" w:eastAsia="en-AU"/>
              </w:rPr>
            </w:pPr>
            <w:r>
              <w:rPr>
                <w:color w:val="000000"/>
              </w:rPr>
              <w:t>$316</w:t>
            </w:r>
          </w:p>
        </w:tc>
        <w:tc>
          <w:tcPr>
            <w:tcW w:w="670" w:type="pct"/>
            <w:vAlign w:val="center"/>
            <w:hideMark/>
          </w:tcPr>
          <w:p w14:paraId="1F7DA571" w14:textId="77777777" w:rsidR="000D07EA" w:rsidRDefault="00BE7C89">
            <w:pPr>
              <w:pStyle w:val="BodyText"/>
              <w:spacing w:before="100" w:after="100"/>
              <w:jc w:val="center"/>
              <w:rPr>
                <w:color w:val="000000"/>
                <w:sz w:val="24"/>
                <w:lang w:val="en-AU" w:eastAsia="en-AU"/>
              </w:rPr>
            </w:pPr>
            <w:r>
              <w:rPr>
                <w:color w:val="000000"/>
              </w:rPr>
              <w:t>$322</w:t>
            </w:r>
          </w:p>
        </w:tc>
        <w:tc>
          <w:tcPr>
            <w:tcW w:w="670" w:type="pct"/>
            <w:vAlign w:val="center"/>
            <w:hideMark/>
          </w:tcPr>
          <w:p w14:paraId="3240B2B3" w14:textId="77777777" w:rsidR="000D07EA" w:rsidRDefault="00BE7C89">
            <w:pPr>
              <w:pStyle w:val="BodyText"/>
              <w:spacing w:before="100" w:after="100"/>
              <w:jc w:val="center"/>
              <w:rPr>
                <w:color w:val="000000"/>
                <w:sz w:val="24"/>
                <w:lang w:val="en-AU" w:eastAsia="en-AU"/>
              </w:rPr>
            </w:pPr>
            <w:r>
              <w:rPr>
                <w:color w:val="000000"/>
              </w:rPr>
              <w:t>$460</w:t>
            </w:r>
          </w:p>
        </w:tc>
        <w:tc>
          <w:tcPr>
            <w:tcW w:w="670" w:type="pct"/>
            <w:vAlign w:val="center"/>
            <w:hideMark/>
          </w:tcPr>
          <w:p w14:paraId="77143DEA" w14:textId="77777777" w:rsidR="000D07EA" w:rsidRDefault="00BE7C89">
            <w:pPr>
              <w:pStyle w:val="BodyText"/>
              <w:spacing w:before="100" w:after="100"/>
              <w:jc w:val="center"/>
              <w:rPr>
                <w:color w:val="000000"/>
                <w:sz w:val="24"/>
                <w:lang w:val="en-AU" w:eastAsia="en-AU"/>
              </w:rPr>
            </w:pPr>
            <w:r>
              <w:rPr>
                <w:color w:val="000000"/>
              </w:rPr>
              <w:t>$462</w:t>
            </w:r>
          </w:p>
        </w:tc>
        <w:tc>
          <w:tcPr>
            <w:tcW w:w="814" w:type="pct"/>
            <w:vAlign w:val="center"/>
            <w:hideMark/>
          </w:tcPr>
          <w:p w14:paraId="5E981F62" w14:textId="77777777" w:rsidR="000D07EA" w:rsidRDefault="00BE7C89">
            <w:pPr>
              <w:pStyle w:val="BodyText"/>
              <w:spacing w:before="100" w:after="100"/>
              <w:jc w:val="center"/>
              <w:rPr>
                <w:color w:val="000000"/>
                <w:sz w:val="24"/>
                <w:lang w:val="en-AU" w:eastAsia="en-AU"/>
              </w:rPr>
            </w:pPr>
            <w:r>
              <w:rPr>
                <w:color w:val="000000"/>
              </w:rPr>
              <w:t>$468</w:t>
            </w:r>
          </w:p>
        </w:tc>
      </w:tr>
      <w:tr w:rsidR="000D07EA" w14:paraId="70137361" w14:textId="77777777">
        <w:tc>
          <w:tcPr>
            <w:tcW w:w="896" w:type="pct"/>
            <w:hideMark/>
          </w:tcPr>
          <w:p w14:paraId="4428EA49" w14:textId="77777777" w:rsidR="000D07EA" w:rsidRDefault="00BE7C89">
            <w:pPr>
              <w:pStyle w:val="BodyText"/>
              <w:spacing w:before="100" w:after="100"/>
              <w:rPr>
                <w:b/>
                <w:lang w:val="en-AU"/>
              </w:rPr>
            </w:pPr>
            <w:r>
              <w:rPr>
                <w:b/>
              </w:rPr>
              <w:lastRenderedPageBreak/>
              <w:t>Months 22 – 24 (20% of the Initial cancellation fee)</w:t>
            </w:r>
          </w:p>
        </w:tc>
        <w:tc>
          <w:tcPr>
            <w:tcW w:w="611" w:type="pct"/>
            <w:vAlign w:val="center"/>
            <w:hideMark/>
          </w:tcPr>
          <w:p w14:paraId="70B0CFF4" w14:textId="77777777" w:rsidR="000D07EA" w:rsidRDefault="00BE7C89">
            <w:pPr>
              <w:pStyle w:val="BodyText"/>
              <w:spacing w:before="100" w:after="100"/>
              <w:jc w:val="center"/>
              <w:rPr>
                <w:color w:val="000000"/>
                <w:sz w:val="24"/>
                <w:lang w:val="en-AU" w:eastAsia="en-AU"/>
              </w:rPr>
            </w:pPr>
            <w:r>
              <w:rPr>
                <w:color w:val="000000"/>
              </w:rPr>
              <w:t>$157</w:t>
            </w:r>
          </w:p>
        </w:tc>
        <w:tc>
          <w:tcPr>
            <w:tcW w:w="669" w:type="pct"/>
            <w:vAlign w:val="center"/>
            <w:hideMark/>
          </w:tcPr>
          <w:p w14:paraId="4A26B0E3" w14:textId="77777777" w:rsidR="000D07EA" w:rsidRDefault="00BE7C89">
            <w:pPr>
              <w:pStyle w:val="BodyText"/>
              <w:spacing w:before="100" w:after="100"/>
              <w:jc w:val="center"/>
              <w:rPr>
                <w:color w:val="000000"/>
                <w:sz w:val="24"/>
                <w:lang w:val="en-AU" w:eastAsia="en-AU"/>
              </w:rPr>
            </w:pPr>
            <w:r>
              <w:rPr>
                <w:color w:val="000000"/>
              </w:rPr>
              <w:t>$158</w:t>
            </w:r>
          </w:p>
        </w:tc>
        <w:tc>
          <w:tcPr>
            <w:tcW w:w="670" w:type="pct"/>
            <w:vAlign w:val="center"/>
            <w:hideMark/>
          </w:tcPr>
          <w:p w14:paraId="495CC802" w14:textId="77777777" w:rsidR="000D07EA" w:rsidRDefault="00BE7C89">
            <w:pPr>
              <w:pStyle w:val="BodyText"/>
              <w:spacing w:before="100" w:after="100"/>
              <w:jc w:val="center"/>
              <w:rPr>
                <w:color w:val="000000"/>
                <w:sz w:val="24"/>
                <w:lang w:val="en-AU" w:eastAsia="en-AU"/>
              </w:rPr>
            </w:pPr>
            <w:r>
              <w:rPr>
                <w:color w:val="000000"/>
              </w:rPr>
              <w:t>$161</w:t>
            </w:r>
          </w:p>
        </w:tc>
        <w:tc>
          <w:tcPr>
            <w:tcW w:w="670" w:type="pct"/>
            <w:vAlign w:val="center"/>
            <w:hideMark/>
          </w:tcPr>
          <w:p w14:paraId="0771E2E0" w14:textId="77777777" w:rsidR="000D07EA" w:rsidRDefault="00BE7C89">
            <w:pPr>
              <w:pStyle w:val="BodyText"/>
              <w:spacing w:before="100" w:after="100"/>
              <w:jc w:val="center"/>
              <w:rPr>
                <w:color w:val="000000"/>
                <w:sz w:val="24"/>
                <w:lang w:val="en-AU" w:eastAsia="en-AU"/>
              </w:rPr>
            </w:pPr>
            <w:r>
              <w:rPr>
                <w:color w:val="000000"/>
              </w:rPr>
              <w:t>$230</w:t>
            </w:r>
          </w:p>
        </w:tc>
        <w:tc>
          <w:tcPr>
            <w:tcW w:w="670" w:type="pct"/>
            <w:vAlign w:val="center"/>
            <w:hideMark/>
          </w:tcPr>
          <w:p w14:paraId="37195F4D" w14:textId="77777777" w:rsidR="000D07EA" w:rsidRDefault="00BE7C89">
            <w:pPr>
              <w:pStyle w:val="BodyText"/>
              <w:spacing w:before="100" w:after="100"/>
              <w:jc w:val="center"/>
              <w:rPr>
                <w:color w:val="000000"/>
                <w:sz w:val="24"/>
                <w:lang w:val="en-AU" w:eastAsia="en-AU"/>
              </w:rPr>
            </w:pPr>
            <w:r>
              <w:rPr>
                <w:color w:val="000000"/>
              </w:rPr>
              <w:t>$231</w:t>
            </w:r>
          </w:p>
        </w:tc>
        <w:tc>
          <w:tcPr>
            <w:tcW w:w="814" w:type="pct"/>
            <w:vAlign w:val="center"/>
            <w:hideMark/>
          </w:tcPr>
          <w:p w14:paraId="6369E217" w14:textId="77777777" w:rsidR="000D07EA" w:rsidRDefault="00BE7C89">
            <w:pPr>
              <w:pStyle w:val="BodyText"/>
              <w:spacing w:before="100" w:after="100"/>
              <w:jc w:val="center"/>
              <w:rPr>
                <w:color w:val="000000"/>
                <w:sz w:val="24"/>
                <w:lang w:val="en-AU" w:eastAsia="en-AU"/>
              </w:rPr>
            </w:pPr>
            <w:r>
              <w:rPr>
                <w:color w:val="000000"/>
              </w:rPr>
              <w:t>$234</w:t>
            </w:r>
          </w:p>
        </w:tc>
      </w:tr>
    </w:tbl>
    <w:p w14:paraId="353E4713" w14:textId="77777777" w:rsidR="000D07EA" w:rsidRDefault="000D07EA">
      <w:pPr>
        <w:pStyle w:val="BodyText"/>
      </w:pPr>
    </w:p>
    <w:p w14:paraId="3139810A" w14:textId="77777777" w:rsidR="000D07EA" w:rsidRDefault="00BE7C89">
      <w:pPr>
        <w:pStyle w:val="Heading7"/>
      </w:pPr>
      <w:r>
        <w:t xml:space="preserve">If the </w:t>
      </w:r>
      <w:r>
        <w:rPr>
          <w:i/>
        </w:rPr>
        <w:t>Business Mobile Broadband service</w:t>
      </w:r>
      <w:r>
        <w:t xml:space="preserve"> is cancelled before the expiry of the </w:t>
      </w:r>
      <w:r>
        <w:rPr>
          <w:i/>
        </w:rPr>
        <w:t>minimum term</w:t>
      </w:r>
      <w:r>
        <w:t xml:space="preserve">, </w:t>
      </w:r>
      <w:r>
        <w:rPr>
          <w:i/>
        </w:rPr>
        <w:t>you</w:t>
      </w:r>
      <w:r>
        <w:t xml:space="preserve"> will be required to pay </w:t>
      </w:r>
      <w:r>
        <w:rPr>
          <w:i/>
        </w:rPr>
        <w:t>us</w:t>
      </w:r>
      <w:r>
        <w:t>:</w:t>
      </w:r>
    </w:p>
    <w:p w14:paraId="06182E02" w14:textId="77777777" w:rsidR="000D07EA" w:rsidRDefault="00BE7C89">
      <w:pPr>
        <w:pStyle w:val="Heading8"/>
      </w:pPr>
      <w:r>
        <w:t xml:space="preserve">any usage charges incurred up to, and including, the </w:t>
      </w:r>
      <w:r>
        <w:rPr>
          <w:i/>
        </w:rPr>
        <w:t>cancellation date</w:t>
      </w:r>
      <w:r>
        <w:t xml:space="preserve">; plus </w:t>
      </w:r>
    </w:p>
    <w:p w14:paraId="68A9C03E" w14:textId="77777777" w:rsidR="000D07EA" w:rsidRDefault="00BE7C89">
      <w:pPr>
        <w:pStyle w:val="Heading8"/>
      </w:pPr>
      <w:r>
        <w:t>the sum of unpaid equipment charges owing on your mobile phone under the mobile equipment payment plan (if any)</w:t>
      </w:r>
    </w:p>
    <w:p w14:paraId="5340E93B" w14:textId="77777777" w:rsidR="000D07EA" w:rsidRDefault="00BE7C89">
      <w:pPr>
        <w:pStyle w:val="Heading6"/>
        <w:ind w:left="0" w:firstLine="0"/>
      </w:pPr>
      <w:r>
        <w:t xml:space="preserve">What happens at the end of the 12 or 24 month </w:t>
      </w:r>
      <w:r>
        <w:rPr>
          <w:i/>
        </w:rPr>
        <w:t>minimum term</w:t>
      </w:r>
      <w:r>
        <w:t>?</w:t>
      </w:r>
    </w:p>
    <w:p w14:paraId="7C406D0C" w14:textId="77777777" w:rsidR="000D07EA" w:rsidRDefault="00BE7C89">
      <w:pPr>
        <w:pStyle w:val="BodyText"/>
        <w:ind w:left="720"/>
      </w:pPr>
      <w:r>
        <w:rPr>
          <w:i/>
        </w:rPr>
        <w:t>We</w:t>
      </w:r>
      <w:r>
        <w:t xml:space="preserve"> reserve the right not to offer </w:t>
      </w:r>
      <w:r>
        <w:rPr>
          <w:i/>
        </w:rPr>
        <w:t>you</w:t>
      </w:r>
      <w:r>
        <w:t xml:space="preserve"> the Business Complete Ultimate offers at the end of </w:t>
      </w:r>
      <w:r>
        <w:rPr>
          <w:i/>
        </w:rPr>
        <w:t>your</w:t>
      </w:r>
      <w:r>
        <w:t xml:space="preserve"> 12 or 24 month </w:t>
      </w:r>
      <w:r>
        <w:rPr>
          <w:i/>
        </w:rPr>
        <w:t>minimum</w:t>
      </w:r>
      <w:r>
        <w:t xml:space="preserve"> term. At that time, if </w:t>
      </w:r>
      <w:r>
        <w:rPr>
          <w:i/>
        </w:rPr>
        <w:t>you</w:t>
      </w:r>
      <w:r>
        <w:t xml:space="preserve"> haven't given </w:t>
      </w:r>
      <w:r>
        <w:rPr>
          <w:i/>
        </w:rPr>
        <w:t>us</w:t>
      </w:r>
      <w:r>
        <w:t xml:space="preserve"> notice to change or </w:t>
      </w:r>
      <w:r>
        <w:rPr>
          <w:i/>
        </w:rPr>
        <w:t>cancel the services</w:t>
      </w:r>
      <w:r>
        <w:t>:</w:t>
      </w:r>
    </w:p>
    <w:p w14:paraId="4EA465C9" w14:textId="77777777" w:rsidR="000D07EA" w:rsidRDefault="00BE7C89">
      <w:pPr>
        <w:pStyle w:val="Heading7"/>
      </w:pPr>
      <w:r>
        <w:t xml:space="preserve">the benefits of the Business Complete Ultimate offers may be removed from </w:t>
      </w:r>
      <w:r>
        <w:rPr>
          <w:i/>
        </w:rPr>
        <w:t>your</w:t>
      </w:r>
      <w:r>
        <w:t xml:space="preserve"> account; and</w:t>
      </w:r>
    </w:p>
    <w:p w14:paraId="13E1B6C0" w14:textId="77777777" w:rsidR="000D07EA" w:rsidRDefault="00BE7C89">
      <w:pPr>
        <w:pStyle w:val="Heading7"/>
      </w:pPr>
      <w:r>
        <w:rPr>
          <w:i/>
        </w:rPr>
        <w:t>we</w:t>
      </w:r>
      <w:r>
        <w:t xml:space="preserve"> may move </w:t>
      </w:r>
      <w:r>
        <w:rPr>
          <w:i/>
        </w:rPr>
        <w:t>you</w:t>
      </w:r>
      <w:r>
        <w:t xml:space="preserve"> to any other current </w:t>
      </w:r>
      <w:r>
        <w:rPr>
          <w:i/>
        </w:rPr>
        <w:t>pricing plan</w:t>
      </w:r>
      <w:r>
        <w:t xml:space="preserve"> that is reasonably comparable.</w:t>
      </w:r>
    </w:p>
    <w:p w14:paraId="552C9859" w14:textId="77777777" w:rsidR="000D07EA" w:rsidRDefault="00BE7C89">
      <w:pPr>
        <w:pStyle w:val="BodyText"/>
        <w:ind w:left="720"/>
      </w:pPr>
      <w:r>
        <w:rPr>
          <w:i/>
        </w:rPr>
        <w:t>We</w:t>
      </w:r>
      <w:r>
        <w:t xml:space="preserve"> will tell </w:t>
      </w:r>
      <w:r>
        <w:rPr>
          <w:i/>
        </w:rPr>
        <w:t>you</w:t>
      </w:r>
      <w:r>
        <w:t xml:space="preserve"> before this happen.</w:t>
      </w:r>
    </w:p>
    <w:p w14:paraId="2ADD7BCE" w14:textId="77777777" w:rsidR="000D07EA" w:rsidRDefault="00BE7C89">
      <w:pPr>
        <w:pStyle w:val="Heading6"/>
        <w:ind w:left="0" w:firstLine="0"/>
      </w:pPr>
      <w:r>
        <w:t>$10 and $15 Business Advantage BMB Plans</w:t>
      </w:r>
    </w:p>
    <w:p w14:paraId="0DE34FC7" w14:textId="77777777" w:rsidR="000D07EA" w:rsidRDefault="00BE7C89">
      <w:pPr>
        <w:pStyle w:val="Heading7"/>
      </w:pPr>
      <w:r>
        <w:rPr>
          <w:i/>
        </w:rPr>
        <w:t>You</w:t>
      </w:r>
      <w:r>
        <w:t xml:space="preserve"> must pay </w:t>
      </w:r>
      <w:r>
        <w:rPr>
          <w:i/>
        </w:rPr>
        <w:t>us</w:t>
      </w:r>
      <w:r>
        <w:t xml:space="preserve"> for use of the </w:t>
      </w:r>
      <w:r>
        <w:rPr>
          <w:i/>
        </w:rPr>
        <w:t>service</w:t>
      </w:r>
      <w:r>
        <w:t xml:space="preserve"> at the rates set out in Table 7 </w:t>
      </w:r>
    </w:p>
    <w:p w14:paraId="647832C6" w14:textId="77777777" w:rsidR="000D07EA" w:rsidRDefault="00BE7C89">
      <w:pPr>
        <w:pStyle w:val="Heading7"/>
        <w:rPr>
          <w:b/>
        </w:rPr>
      </w:pPr>
      <w:r>
        <w:rPr>
          <w:b/>
        </w:rPr>
        <w:t>Minimum Monthly Charge</w:t>
      </w:r>
    </w:p>
    <w:p w14:paraId="7240B995" w14:textId="77777777" w:rsidR="000D07EA" w:rsidRDefault="00BE7C89">
      <w:pPr>
        <w:pStyle w:val="Heading8"/>
      </w:pPr>
      <w:r>
        <w:t xml:space="preserve">The Business Advantage BMB Plan has a Minimum Monthly Charge amount that </w:t>
      </w:r>
      <w:r>
        <w:rPr>
          <w:i/>
        </w:rPr>
        <w:t>you</w:t>
      </w:r>
      <w:r>
        <w:t xml:space="preserve"> must pay us each month. </w:t>
      </w:r>
    </w:p>
    <w:p w14:paraId="381C794C" w14:textId="77777777" w:rsidR="000D07EA" w:rsidRDefault="00BE7C89">
      <w:pPr>
        <w:pStyle w:val="Heading8"/>
      </w:pPr>
      <w:r>
        <w:t>The amount of the Minimum Monthly Charge for each $10 or $15 Business Advantage BMB Plan is set out in Table 7 below.</w:t>
      </w:r>
    </w:p>
    <w:p w14:paraId="37662F4D" w14:textId="77777777" w:rsidR="000D07EA" w:rsidRDefault="00BE7C89">
      <w:pPr>
        <w:pStyle w:val="Heading8"/>
      </w:pPr>
      <w:r>
        <w:rPr>
          <w:i/>
        </w:rPr>
        <w:t>You</w:t>
      </w:r>
      <w:r>
        <w:t xml:space="preserve"> must pay for any calls, texts or data usage that are not eligible.</w:t>
      </w:r>
    </w:p>
    <w:p w14:paraId="66317CE1" w14:textId="77777777" w:rsidR="000D07EA" w:rsidRDefault="00BE7C89">
      <w:pPr>
        <w:pStyle w:val="Heading7"/>
        <w:rPr>
          <w:b/>
        </w:rPr>
      </w:pPr>
      <w:r>
        <w:rPr>
          <w:b/>
        </w:rPr>
        <w:t>Other Conditions and Offers</w:t>
      </w:r>
    </w:p>
    <w:p w14:paraId="1390B0C3" w14:textId="77777777" w:rsidR="000D07EA" w:rsidRDefault="00BE7C89">
      <w:pPr>
        <w:pStyle w:val="Heading8"/>
      </w:pPr>
      <w:r>
        <w:t xml:space="preserve">The </w:t>
      </w:r>
      <w:r w:rsidR="00F84E53">
        <w:t xml:space="preserve">Fair Go </w:t>
      </w:r>
      <w:r>
        <w:t xml:space="preserve"> Policy applies to usage of the </w:t>
      </w:r>
      <w:r>
        <w:rPr>
          <w:i/>
        </w:rPr>
        <w:t>Optus Mobile Internet Service</w:t>
      </w:r>
      <w:r>
        <w:t xml:space="preserve">. Please refer to </w:t>
      </w:r>
      <w:hyperlink r:id="rId326" w:history="1">
        <w:r w:rsidR="00F84E53">
          <w:rPr>
            <w:rStyle w:val="Hyperlink"/>
            <w:i/>
          </w:rPr>
          <w:t>Appendix S</w:t>
        </w:r>
      </w:hyperlink>
      <w:r>
        <w:t>.</w:t>
      </w:r>
    </w:p>
    <w:p w14:paraId="30D9E755" w14:textId="77777777" w:rsidR="000D07EA" w:rsidRDefault="00BE7C89">
      <w:pPr>
        <w:pStyle w:val="Heading8"/>
      </w:pPr>
      <w:r>
        <w:t>As per Table 4 below a Business Mobile Broadband Service on a $10 or $15 Business Advantage BMB Plan can only be bundled with the respective Optus Mobile Digital service</w:t>
      </w:r>
    </w:p>
    <w:p w14:paraId="328C6E16" w14:textId="77777777" w:rsidR="000D07EA" w:rsidRDefault="00BE7C89">
      <w:pPr>
        <w:pStyle w:val="BodyText"/>
        <w:ind w:left="720"/>
        <w:rPr>
          <w:b/>
        </w:rPr>
      </w:pPr>
      <w:r>
        <w:rPr>
          <w:b/>
        </w:rPr>
        <w:lastRenderedPageBreak/>
        <w:t>Table 4 – Business Mobile Broadband Bundles Options</w:t>
      </w:r>
    </w:p>
    <w:tbl>
      <w:tblPr>
        <w:tblW w:w="4589" w:type="pct"/>
        <w:tblInd w:w="7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831"/>
        <w:gridCol w:w="2170"/>
        <w:gridCol w:w="2169"/>
        <w:gridCol w:w="2171"/>
      </w:tblGrid>
      <w:tr w:rsidR="000D07EA" w14:paraId="231AB2DD" w14:textId="77777777">
        <w:trPr>
          <w:trHeight w:val="475"/>
          <w:tblHeader/>
        </w:trPr>
        <w:tc>
          <w:tcPr>
            <w:tcW w:w="1515" w:type="pct"/>
            <w:hideMark/>
          </w:tcPr>
          <w:p w14:paraId="50682366" w14:textId="77777777" w:rsidR="000D07EA" w:rsidRDefault="00BE7C89">
            <w:pPr>
              <w:pStyle w:val="BodyText"/>
              <w:spacing w:before="100" w:after="100"/>
              <w:rPr>
                <w:b/>
                <w:lang w:val="en-AU" w:eastAsia="ko-KR"/>
              </w:rPr>
            </w:pPr>
            <w:r>
              <w:rPr>
                <w:b/>
                <w:lang w:eastAsia="ko-KR"/>
              </w:rPr>
              <w:t>Optus Mobile Digital Service Plan which can be bundled</w:t>
            </w:r>
          </w:p>
        </w:tc>
        <w:tc>
          <w:tcPr>
            <w:tcW w:w="1161" w:type="pct"/>
            <w:vAlign w:val="center"/>
            <w:hideMark/>
          </w:tcPr>
          <w:p w14:paraId="4622DEFD" w14:textId="77777777" w:rsidR="000D07EA" w:rsidRDefault="00BE7C89">
            <w:pPr>
              <w:pStyle w:val="BodyText"/>
              <w:spacing w:before="100" w:after="100"/>
              <w:jc w:val="center"/>
              <w:rPr>
                <w:lang w:val="en-AU" w:eastAsia="ko-KR"/>
              </w:rPr>
            </w:pPr>
            <w:r>
              <w:t>$49 Business Complete Ultimate / (Premium H/set)</w:t>
            </w:r>
          </w:p>
        </w:tc>
        <w:tc>
          <w:tcPr>
            <w:tcW w:w="1161" w:type="pct"/>
            <w:vAlign w:val="center"/>
            <w:hideMark/>
          </w:tcPr>
          <w:p w14:paraId="42D16F12" w14:textId="77777777" w:rsidR="000D07EA" w:rsidRDefault="00BE7C89">
            <w:pPr>
              <w:pStyle w:val="BodyText"/>
              <w:spacing w:before="100" w:after="100"/>
              <w:jc w:val="center"/>
              <w:rPr>
                <w:lang w:val="en-AU" w:eastAsia="ko-KR"/>
              </w:rPr>
            </w:pPr>
            <w:r>
              <w:t>$59 Business Complete Ultimate / (Premium H/set)</w:t>
            </w:r>
          </w:p>
        </w:tc>
        <w:tc>
          <w:tcPr>
            <w:tcW w:w="1162" w:type="pct"/>
            <w:vAlign w:val="center"/>
            <w:hideMark/>
          </w:tcPr>
          <w:p w14:paraId="779ED33D" w14:textId="77777777" w:rsidR="000D07EA" w:rsidRDefault="00BE7C89">
            <w:pPr>
              <w:pStyle w:val="BodyText"/>
              <w:spacing w:before="100" w:after="100"/>
              <w:jc w:val="center"/>
              <w:rPr>
                <w:lang w:val="en-AU" w:eastAsia="ko-KR"/>
              </w:rPr>
            </w:pPr>
            <w:r>
              <w:t>$79 Business Complete Ultimate / (Premium H/set)</w:t>
            </w:r>
          </w:p>
        </w:tc>
      </w:tr>
      <w:tr w:rsidR="000D07EA" w14:paraId="66190FB2" w14:textId="77777777">
        <w:trPr>
          <w:trHeight w:val="475"/>
          <w:tblHeader/>
        </w:trPr>
        <w:tc>
          <w:tcPr>
            <w:tcW w:w="1515" w:type="pct"/>
            <w:hideMark/>
          </w:tcPr>
          <w:p w14:paraId="524C8ABF" w14:textId="77777777" w:rsidR="000D07EA" w:rsidRDefault="00BE7C89">
            <w:pPr>
              <w:pStyle w:val="BodyText"/>
              <w:spacing w:before="100" w:after="100"/>
              <w:rPr>
                <w:b/>
                <w:lang w:val="en-AU" w:eastAsia="ko-KR"/>
              </w:rPr>
            </w:pPr>
            <w:r>
              <w:rPr>
                <w:b/>
                <w:lang w:eastAsia="ko-KR"/>
              </w:rPr>
              <w:t xml:space="preserve">Business Mobile Broadband Service Plan </w:t>
            </w:r>
          </w:p>
        </w:tc>
        <w:tc>
          <w:tcPr>
            <w:tcW w:w="1161" w:type="pct"/>
            <w:vAlign w:val="center"/>
            <w:hideMark/>
          </w:tcPr>
          <w:p w14:paraId="5D739FA5" w14:textId="77777777" w:rsidR="000D07EA" w:rsidRDefault="00BE7C89">
            <w:pPr>
              <w:pStyle w:val="BodyText"/>
              <w:spacing w:before="100" w:after="100"/>
              <w:jc w:val="center"/>
              <w:rPr>
                <w:lang w:val="en-AU" w:eastAsia="ko-KR"/>
              </w:rPr>
            </w:pPr>
            <w:r>
              <w:t>$15 Business Advantage BMB</w:t>
            </w:r>
          </w:p>
        </w:tc>
        <w:tc>
          <w:tcPr>
            <w:tcW w:w="1161" w:type="pct"/>
            <w:hideMark/>
          </w:tcPr>
          <w:p w14:paraId="37C06A1D" w14:textId="77777777" w:rsidR="000D07EA" w:rsidRDefault="00BE7C89">
            <w:pPr>
              <w:pStyle w:val="BodyText"/>
              <w:spacing w:before="100" w:after="100"/>
              <w:jc w:val="center"/>
              <w:rPr>
                <w:lang w:val="en-AU" w:eastAsia="en-AU"/>
              </w:rPr>
            </w:pPr>
            <w:r>
              <w:t>$15 Business Advantage BMB</w:t>
            </w:r>
          </w:p>
        </w:tc>
        <w:tc>
          <w:tcPr>
            <w:tcW w:w="1162" w:type="pct"/>
            <w:hideMark/>
          </w:tcPr>
          <w:p w14:paraId="6BB3A6F6" w14:textId="77777777" w:rsidR="000D07EA" w:rsidRDefault="00BE7C89">
            <w:pPr>
              <w:pStyle w:val="BodyText"/>
              <w:spacing w:before="100" w:after="100"/>
              <w:jc w:val="center"/>
              <w:rPr>
                <w:lang w:val="en-AU" w:eastAsia="en-AU"/>
              </w:rPr>
            </w:pPr>
            <w:r>
              <w:t>$10 Business Advantage BMB</w:t>
            </w:r>
          </w:p>
        </w:tc>
      </w:tr>
    </w:tbl>
    <w:p w14:paraId="6A7C01E5" w14:textId="77777777" w:rsidR="000D07EA" w:rsidRDefault="000D07EA">
      <w:pPr>
        <w:pStyle w:val="BodyText"/>
      </w:pPr>
    </w:p>
    <w:p w14:paraId="32618D0D" w14:textId="77777777" w:rsidR="000D07EA" w:rsidRDefault="00BE7C89">
      <w:pPr>
        <w:pStyle w:val="Heading7"/>
      </w:pPr>
      <w:r>
        <w:rPr>
          <w:b/>
        </w:rPr>
        <w:t>Equipment</w:t>
      </w:r>
    </w:p>
    <w:p w14:paraId="636D03E9" w14:textId="77777777" w:rsidR="000D07EA" w:rsidRDefault="00BE7C89">
      <w:pPr>
        <w:pStyle w:val="Heading8"/>
      </w:pPr>
      <w:r>
        <w:t xml:space="preserve">The Business Complete Ultimate offer includes a credit of up to $10 or $15 a month for 24 months which can be used to offset the BMB modem charge. </w:t>
      </w:r>
    </w:p>
    <w:p w14:paraId="683BF9D4" w14:textId="77777777" w:rsidR="000D07EA" w:rsidRDefault="00BE7C89">
      <w:pPr>
        <w:pStyle w:val="Heading8"/>
      </w:pPr>
      <w:r>
        <w:t xml:space="preserve">If </w:t>
      </w:r>
      <w:r>
        <w:rPr>
          <w:i/>
        </w:rPr>
        <w:t>your</w:t>
      </w:r>
      <w:r>
        <w:t xml:space="preserve"> Business Mobile Broadband service is cancelled before the end of the 24 months period </w:t>
      </w:r>
      <w:r>
        <w:rPr>
          <w:i/>
        </w:rPr>
        <w:t>you</w:t>
      </w:r>
      <w:r>
        <w:t xml:space="preserve"> will have to pay any BMB modem charge amount, which is calculated by multiplying the per month figure listed in Table 5 by the number of months remaining in the 24 month period.</w:t>
      </w:r>
    </w:p>
    <w:p w14:paraId="5FEC2157" w14:textId="77777777" w:rsidR="000D07EA" w:rsidRDefault="00BE7C89">
      <w:pPr>
        <w:pStyle w:val="BodyText"/>
        <w:keepNext/>
        <w:ind w:left="720"/>
        <w:rPr>
          <w:b/>
        </w:rPr>
      </w:pPr>
      <w:r>
        <w:rPr>
          <w:b/>
        </w:rPr>
        <w:t>Table 5 – Business Mobile Broadband Hardware charge</w:t>
      </w:r>
    </w:p>
    <w:tbl>
      <w:tblPr>
        <w:tblW w:w="43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423"/>
        <w:gridCol w:w="2290"/>
        <w:gridCol w:w="4122"/>
      </w:tblGrid>
      <w:tr w:rsidR="000D07EA" w14:paraId="0CF97210" w14:textId="77777777">
        <w:trPr>
          <w:trHeight w:val="264"/>
          <w:jc w:val="center"/>
        </w:trPr>
        <w:tc>
          <w:tcPr>
            <w:tcW w:w="1371" w:type="pct"/>
            <w:vAlign w:val="center"/>
            <w:hideMark/>
          </w:tcPr>
          <w:p w14:paraId="00C7F2F5" w14:textId="77777777" w:rsidR="000D07EA" w:rsidRDefault="00BE7C89">
            <w:pPr>
              <w:pStyle w:val="BodyText"/>
              <w:spacing w:before="100" w:after="100"/>
              <w:jc w:val="center"/>
              <w:rPr>
                <w:b/>
                <w:lang w:val="en-AU" w:eastAsia="ko-KR"/>
              </w:rPr>
            </w:pPr>
            <w:r>
              <w:rPr>
                <w:b/>
                <w:lang w:eastAsia="ko-KR"/>
              </w:rPr>
              <w:t>Device</w:t>
            </w:r>
          </w:p>
        </w:tc>
        <w:tc>
          <w:tcPr>
            <w:tcW w:w="1296" w:type="pct"/>
            <w:vAlign w:val="center"/>
            <w:hideMark/>
          </w:tcPr>
          <w:p w14:paraId="11C04725" w14:textId="77777777" w:rsidR="000D07EA" w:rsidRDefault="00BE7C89">
            <w:pPr>
              <w:pStyle w:val="BodyText"/>
              <w:spacing w:before="100" w:after="100"/>
              <w:jc w:val="center"/>
              <w:rPr>
                <w:b/>
                <w:lang w:val="en-AU" w:eastAsia="ko-KR"/>
              </w:rPr>
            </w:pPr>
            <w:r>
              <w:rPr>
                <w:b/>
                <w:lang w:eastAsia="ko-KR"/>
              </w:rPr>
              <w:t>Upfront Cost</w:t>
            </w:r>
          </w:p>
        </w:tc>
        <w:tc>
          <w:tcPr>
            <w:tcW w:w="2333" w:type="pct"/>
            <w:vAlign w:val="center"/>
            <w:hideMark/>
          </w:tcPr>
          <w:p w14:paraId="18761B61" w14:textId="77777777" w:rsidR="000D07EA" w:rsidRDefault="00BE7C89">
            <w:pPr>
              <w:pStyle w:val="BodyText"/>
              <w:spacing w:before="100" w:after="100"/>
              <w:jc w:val="center"/>
              <w:rPr>
                <w:b/>
                <w:lang w:val="en-AU" w:eastAsia="ko-KR"/>
              </w:rPr>
            </w:pPr>
            <w:r>
              <w:rPr>
                <w:b/>
                <w:lang w:eastAsia="ko-KR"/>
              </w:rPr>
              <w:t>OMB Modem Charge</w:t>
            </w:r>
          </w:p>
          <w:p w14:paraId="06051B6A" w14:textId="77777777" w:rsidR="000D07EA" w:rsidRDefault="00BE7C89">
            <w:pPr>
              <w:pStyle w:val="BodyText"/>
              <w:spacing w:before="100" w:after="100"/>
              <w:jc w:val="center"/>
              <w:rPr>
                <w:b/>
                <w:lang w:val="en-AU" w:eastAsia="ko-KR"/>
              </w:rPr>
            </w:pPr>
            <w:r>
              <w:rPr>
                <w:b/>
                <w:lang w:eastAsia="ko-KR"/>
              </w:rPr>
              <w:t>(per month)</w:t>
            </w:r>
          </w:p>
        </w:tc>
      </w:tr>
      <w:tr w:rsidR="000D07EA" w14:paraId="51B28263" w14:textId="77777777">
        <w:trPr>
          <w:trHeight w:val="475"/>
          <w:jc w:val="center"/>
        </w:trPr>
        <w:tc>
          <w:tcPr>
            <w:tcW w:w="1371" w:type="pct"/>
            <w:vAlign w:val="center"/>
            <w:hideMark/>
          </w:tcPr>
          <w:p w14:paraId="589982A6" w14:textId="77777777" w:rsidR="000D07EA" w:rsidRDefault="00BE7C89">
            <w:pPr>
              <w:pStyle w:val="BodyText"/>
              <w:spacing w:before="100" w:after="100"/>
              <w:jc w:val="center"/>
              <w:rPr>
                <w:b/>
                <w:lang w:val="en-AU" w:eastAsia="ko-KR"/>
              </w:rPr>
            </w:pPr>
            <w:r>
              <w:rPr>
                <w:b/>
                <w:lang w:eastAsia="ko-KR"/>
              </w:rPr>
              <w:t>Huawei E1762</w:t>
            </w:r>
          </w:p>
        </w:tc>
        <w:tc>
          <w:tcPr>
            <w:tcW w:w="1296" w:type="pct"/>
            <w:vAlign w:val="center"/>
            <w:hideMark/>
          </w:tcPr>
          <w:p w14:paraId="143610A8" w14:textId="77777777" w:rsidR="000D07EA" w:rsidRDefault="00BE7C89">
            <w:pPr>
              <w:pStyle w:val="BodyText"/>
              <w:spacing w:before="100" w:after="100"/>
              <w:jc w:val="center"/>
              <w:rPr>
                <w:lang w:val="en-AU" w:eastAsia="ko-KR"/>
              </w:rPr>
            </w:pPr>
            <w:r>
              <w:rPr>
                <w:lang w:eastAsia="ko-KR"/>
              </w:rPr>
              <w:t>$149</w:t>
            </w:r>
          </w:p>
        </w:tc>
        <w:tc>
          <w:tcPr>
            <w:tcW w:w="2333" w:type="pct"/>
            <w:vAlign w:val="center"/>
            <w:hideMark/>
          </w:tcPr>
          <w:p w14:paraId="7929BFDD" w14:textId="77777777" w:rsidR="000D07EA" w:rsidRDefault="00BE7C89">
            <w:pPr>
              <w:pStyle w:val="BodyText"/>
              <w:spacing w:before="100" w:after="100"/>
              <w:jc w:val="center"/>
              <w:rPr>
                <w:lang w:val="en-AU" w:eastAsia="ko-KR"/>
              </w:rPr>
            </w:pPr>
            <w:r>
              <w:rPr>
                <w:lang w:eastAsia="ko-KR"/>
              </w:rPr>
              <w:t>$6.21</w:t>
            </w:r>
          </w:p>
        </w:tc>
      </w:tr>
    </w:tbl>
    <w:p w14:paraId="4840E89B" w14:textId="77777777" w:rsidR="000D07EA" w:rsidRDefault="000D07EA">
      <w:pPr>
        <w:pStyle w:val="BodyText"/>
      </w:pPr>
    </w:p>
    <w:p w14:paraId="7D285793" w14:textId="77777777" w:rsidR="000D07EA" w:rsidRDefault="00BE7C89">
      <w:pPr>
        <w:pStyle w:val="Heading7"/>
        <w:rPr>
          <w:b/>
        </w:rPr>
      </w:pPr>
      <w:r>
        <w:rPr>
          <w:b/>
        </w:rPr>
        <w:t>Eligible Calls, Messages and Pricing Plans</w:t>
      </w:r>
    </w:p>
    <w:p w14:paraId="0FB4975E" w14:textId="77777777" w:rsidR="000D07EA" w:rsidRDefault="00BE7C89">
      <w:pPr>
        <w:pStyle w:val="BodyText"/>
        <w:ind w:left="1440"/>
      </w:pPr>
      <w:r>
        <w:t xml:space="preserve">Table 6 below indicates whether a particular data type is 'eligible data usage' which counts towards the data value of </w:t>
      </w:r>
      <w:r>
        <w:rPr>
          <w:i/>
        </w:rPr>
        <w:t>your</w:t>
      </w:r>
      <w:r>
        <w:t xml:space="preserve"> $10 or $15 Business Advantage BMB Plan.</w:t>
      </w:r>
    </w:p>
    <w:p w14:paraId="1E1FB975" w14:textId="77777777" w:rsidR="000D07EA" w:rsidRDefault="00BE7C89">
      <w:pPr>
        <w:pStyle w:val="BodyText"/>
        <w:keepNext/>
        <w:ind w:left="720"/>
        <w:rPr>
          <w:b/>
        </w:rPr>
      </w:pPr>
      <w:r>
        <w:rPr>
          <w:b/>
        </w:rPr>
        <w:t>Table 6 – Eligible Data</w:t>
      </w:r>
    </w:p>
    <w:tbl>
      <w:tblPr>
        <w:tblW w:w="4382"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947"/>
        <w:gridCol w:w="3982"/>
      </w:tblGrid>
      <w:tr w:rsidR="000D07EA" w14:paraId="6A278B18" w14:textId="77777777">
        <w:trPr>
          <w:trHeight w:val="58"/>
          <w:tblHeader/>
        </w:trPr>
        <w:tc>
          <w:tcPr>
            <w:tcW w:w="2770" w:type="pct"/>
            <w:hideMark/>
          </w:tcPr>
          <w:p w14:paraId="421A7BD8" w14:textId="77777777" w:rsidR="000D07EA" w:rsidRDefault="00BE7C89">
            <w:pPr>
              <w:pStyle w:val="BodyText"/>
              <w:spacing w:before="100" w:after="100"/>
              <w:rPr>
                <w:b/>
              </w:rPr>
            </w:pPr>
            <w:r>
              <w:rPr>
                <w:b/>
              </w:rPr>
              <w:t>Call Type</w:t>
            </w:r>
          </w:p>
        </w:tc>
        <w:tc>
          <w:tcPr>
            <w:tcW w:w="2230" w:type="pct"/>
            <w:hideMark/>
          </w:tcPr>
          <w:p w14:paraId="0D0DEC1B" w14:textId="77777777" w:rsidR="000D07EA" w:rsidRDefault="00BE7C89">
            <w:pPr>
              <w:pStyle w:val="BodyText"/>
              <w:spacing w:before="100" w:after="100"/>
              <w:rPr>
                <w:b/>
              </w:rPr>
            </w:pPr>
            <w:r>
              <w:rPr>
                <w:b/>
              </w:rPr>
              <w:t xml:space="preserve">Eligible Data </w:t>
            </w:r>
          </w:p>
        </w:tc>
      </w:tr>
      <w:tr w:rsidR="000D07EA" w14:paraId="0254C6D0" w14:textId="77777777">
        <w:trPr>
          <w:trHeight w:val="247"/>
        </w:trPr>
        <w:tc>
          <w:tcPr>
            <w:tcW w:w="2770" w:type="pct"/>
            <w:hideMark/>
          </w:tcPr>
          <w:p w14:paraId="0A0FF5E8" w14:textId="77777777" w:rsidR="000D07EA" w:rsidRDefault="00BE7C89">
            <w:pPr>
              <w:pStyle w:val="BodyText"/>
              <w:spacing w:before="100" w:after="100"/>
            </w:pPr>
            <w:r>
              <w:t>Standard National Voice Calls</w:t>
            </w:r>
          </w:p>
        </w:tc>
        <w:tc>
          <w:tcPr>
            <w:tcW w:w="2230" w:type="pct"/>
            <w:hideMark/>
          </w:tcPr>
          <w:p w14:paraId="2159851F" w14:textId="77777777" w:rsidR="000D07EA" w:rsidRDefault="00BE7C89">
            <w:pPr>
              <w:pStyle w:val="BodyText"/>
              <w:spacing w:before="100" w:after="100"/>
            </w:pPr>
            <w:r>
              <w:t>No</w:t>
            </w:r>
          </w:p>
        </w:tc>
      </w:tr>
      <w:tr w:rsidR="000D07EA" w14:paraId="48E0D9F5" w14:textId="77777777">
        <w:trPr>
          <w:trHeight w:val="247"/>
        </w:trPr>
        <w:tc>
          <w:tcPr>
            <w:tcW w:w="2770" w:type="pct"/>
            <w:hideMark/>
          </w:tcPr>
          <w:p w14:paraId="095BD728" w14:textId="77777777" w:rsidR="000D07EA" w:rsidRDefault="00BE7C89">
            <w:pPr>
              <w:pStyle w:val="BodyText"/>
              <w:spacing w:before="100" w:after="100"/>
            </w:pPr>
            <w:r>
              <w:t>Standard National Video Calls</w:t>
            </w:r>
          </w:p>
        </w:tc>
        <w:tc>
          <w:tcPr>
            <w:tcW w:w="2230" w:type="pct"/>
            <w:hideMark/>
          </w:tcPr>
          <w:p w14:paraId="2359D8DA" w14:textId="77777777" w:rsidR="000D07EA" w:rsidRDefault="00BE7C89">
            <w:pPr>
              <w:pStyle w:val="BodyText"/>
              <w:spacing w:before="100" w:after="100"/>
            </w:pPr>
            <w:r>
              <w:t>No</w:t>
            </w:r>
          </w:p>
        </w:tc>
      </w:tr>
      <w:tr w:rsidR="000D07EA" w14:paraId="388A4907" w14:textId="77777777">
        <w:trPr>
          <w:trHeight w:val="247"/>
        </w:trPr>
        <w:tc>
          <w:tcPr>
            <w:tcW w:w="2770" w:type="pct"/>
            <w:hideMark/>
          </w:tcPr>
          <w:p w14:paraId="7516747D" w14:textId="77777777" w:rsidR="000D07EA" w:rsidRDefault="00BE7C89">
            <w:pPr>
              <w:pStyle w:val="BodyText"/>
              <w:spacing w:before="100" w:after="100"/>
            </w:pPr>
            <w:r>
              <w:t>Standard International Video Calls</w:t>
            </w:r>
          </w:p>
        </w:tc>
        <w:tc>
          <w:tcPr>
            <w:tcW w:w="2230" w:type="pct"/>
            <w:hideMark/>
          </w:tcPr>
          <w:p w14:paraId="797FD7E4" w14:textId="77777777" w:rsidR="000D07EA" w:rsidRDefault="00BE7C89">
            <w:pPr>
              <w:pStyle w:val="BodyText"/>
              <w:spacing w:before="100" w:after="100"/>
            </w:pPr>
            <w:r>
              <w:t>No</w:t>
            </w:r>
          </w:p>
        </w:tc>
      </w:tr>
      <w:tr w:rsidR="000D07EA" w14:paraId="0261CBC3" w14:textId="77777777">
        <w:trPr>
          <w:trHeight w:val="247"/>
        </w:trPr>
        <w:tc>
          <w:tcPr>
            <w:tcW w:w="2770" w:type="pct"/>
            <w:hideMark/>
          </w:tcPr>
          <w:p w14:paraId="2C206D7B" w14:textId="77777777" w:rsidR="000D07EA" w:rsidRDefault="00BE7C89">
            <w:pPr>
              <w:pStyle w:val="BodyText"/>
              <w:spacing w:before="100" w:after="100"/>
            </w:pPr>
            <w:r>
              <w:t>Standard National SMS</w:t>
            </w:r>
          </w:p>
        </w:tc>
        <w:tc>
          <w:tcPr>
            <w:tcW w:w="2230" w:type="pct"/>
            <w:hideMark/>
          </w:tcPr>
          <w:p w14:paraId="7314DCA6" w14:textId="77777777" w:rsidR="000D07EA" w:rsidRDefault="00BE7C89">
            <w:pPr>
              <w:pStyle w:val="BodyText"/>
              <w:spacing w:before="100" w:after="100"/>
            </w:pPr>
            <w:r>
              <w:t>No</w:t>
            </w:r>
          </w:p>
        </w:tc>
      </w:tr>
      <w:tr w:rsidR="000D07EA" w14:paraId="3E4D2915" w14:textId="77777777">
        <w:trPr>
          <w:trHeight w:val="247"/>
        </w:trPr>
        <w:tc>
          <w:tcPr>
            <w:tcW w:w="2770" w:type="pct"/>
            <w:hideMark/>
          </w:tcPr>
          <w:p w14:paraId="7CD2AA43" w14:textId="77777777" w:rsidR="000D07EA" w:rsidRDefault="00BE7C89">
            <w:pPr>
              <w:pStyle w:val="BodyText"/>
              <w:spacing w:before="100" w:after="100"/>
            </w:pPr>
            <w:r>
              <w:t>Standard International SMS</w:t>
            </w:r>
          </w:p>
        </w:tc>
        <w:tc>
          <w:tcPr>
            <w:tcW w:w="2230" w:type="pct"/>
            <w:hideMark/>
          </w:tcPr>
          <w:p w14:paraId="38DAD5E9" w14:textId="77777777" w:rsidR="000D07EA" w:rsidRDefault="00BE7C89">
            <w:pPr>
              <w:pStyle w:val="BodyText"/>
              <w:spacing w:before="100" w:after="100"/>
            </w:pPr>
            <w:r>
              <w:t>No</w:t>
            </w:r>
          </w:p>
        </w:tc>
      </w:tr>
      <w:tr w:rsidR="000D07EA" w14:paraId="267AE0C2" w14:textId="77777777">
        <w:trPr>
          <w:trHeight w:val="247"/>
        </w:trPr>
        <w:tc>
          <w:tcPr>
            <w:tcW w:w="2770" w:type="pct"/>
            <w:hideMark/>
          </w:tcPr>
          <w:p w14:paraId="312DD183" w14:textId="77777777" w:rsidR="000D07EA" w:rsidRDefault="00BE7C89">
            <w:pPr>
              <w:pStyle w:val="BodyText"/>
              <w:spacing w:before="100" w:after="100"/>
            </w:pPr>
            <w:r>
              <w:t>Standard National MMS</w:t>
            </w:r>
          </w:p>
        </w:tc>
        <w:tc>
          <w:tcPr>
            <w:tcW w:w="2230" w:type="pct"/>
            <w:hideMark/>
          </w:tcPr>
          <w:p w14:paraId="45CB61FC" w14:textId="77777777" w:rsidR="000D07EA" w:rsidRDefault="00BE7C89">
            <w:pPr>
              <w:pStyle w:val="BodyText"/>
              <w:spacing w:before="100" w:after="100"/>
            </w:pPr>
            <w:r>
              <w:t>No</w:t>
            </w:r>
          </w:p>
        </w:tc>
      </w:tr>
      <w:tr w:rsidR="000D07EA" w14:paraId="4D2078C5" w14:textId="77777777">
        <w:trPr>
          <w:trHeight w:val="247"/>
        </w:trPr>
        <w:tc>
          <w:tcPr>
            <w:tcW w:w="2770" w:type="pct"/>
            <w:hideMark/>
          </w:tcPr>
          <w:p w14:paraId="530D2EA5" w14:textId="77777777" w:rsidR="000D07EA" w:rsidRDefault="00BE7C89">
            <w:pPr>
              <w:pStyle w:val="BodyText"/>
              <w:spacing w:before="100" w:after="100"/>
            </w:pPr>
            <w:r>
              <w:t>Standard International \MMS</w:t>
            </w:r>
          </w:p>
        </w:tc>
        <w:tc>
          <w:tcPr>
            <w:tcW w:w="2230" w:type="pct"/>
            <w:hideMark/>
          </w:tcPr>
          <w:p w14:paraId="3BC34450" w14:textId="77777777" w:rsidR="000D07EA" w:rsidRDefault="00BE7C89">
            <w:pPr>
              <w:pStyle w:val="BodyText"/>
              <w:spacing w:before="100" w:after="100"/>
            </w:pPr>
            <w:r>
              <w:t>No</w:t>
            </w:r>
          </w:p>
        </w:tc>
      </w:tr>
      <w:tr w:rsidR="000D07EA" w14:paraId="7695991D" w14:textId="77777777">
        <w:trPr>
          <w:trHeight w:val="247"/>
        </w:trPr>
        <w:tc>
          <w:tcPr>
            <w:tcW w:w="2770" w:type="pct"/>
            <w:hideMark/>
          </w:tcPr>
          <w:p w14:paraId="71C5F0E2" w14:textId="77777777" w:rsidR="000D07EA" w:rsidRDefault="00BE7C89">
            <w:pPr>
              <w:pStyle w:val="BodyText"/>
              <w:spacing w:before="100" w:after="100"/>
            </w:pPr>
            <w:r>
              <w:t>Voicemail Diversions</w:t>
            </w:r>
          </w:p>
        </w:tc>
        <w:tc>
          <w:tcPr>
            <w:tcW w:w="2230" w:type="pct"/>
            <w:hideMark/>
          </w:tcPr>
          <w:p w14:paraId="51B70DB4" w14:textId="77777777" w:rsidR="000D07EA" w:rsidRDefault="00BE7C89">
            <w:pPr>
              <w:pStyle w:val="BodyText"/>
              <w:spacing w:before="100" w:after="100"/>
            </w:pPr>
            <w:r>
              <w:t>No</w:t>
            </w:r>
          </w:p>
        </w:tc>
      </w:tr>
      <w:tr w:rsidR="000D07EA" w14:paraId="0C93B360" w14:textId="77777777">
        <w:trPr>
          <w:trHeight w:val="58"/>
        </w:trPr>
        <w:tc>
          <w:tcPr>
            <w:tcW w:w="2770" w:type="pct"/>
            <w:hideMark/>
          </w:tcPr>
          <w:p w14:paraId="641FEEDC" w14:textId="77777777" w:rsidR="000D07EA" w:rsidRDefault="00BE7C89">
            <w:pPr>
              <w:pStyle w:val="BodyText"/>
              <w:spacing w:before="100" w:after="100"/>
            </w:pPr>
            <w:r>
              <w:t>Voicemail Deposit and Retrievals</w:t>
            </w:r>
          </w:p>
        </w:tc>
        <w:tc>
          <w:tcPr>
            <w:tcW w:w="2230" w:type="pct"/>
            <w:hideMark/>
          </w:tcPr>
          <w:p w14:paraId="381B5B8B" w14:textId="77777777" w:rsidR="000D07EA" w:rsidRDefault="00BE7C89">
            <w:pPr>
              <w:pStyle w:val="BodyText"/>
              <w:spacing w:before="100" w:after="100"/>
            </w:pPr>
            <w:r>
              <w:t>No</w:t>
            </w:r>
          </w:p>
        </w:tc>
      </w:tr>
      <w:tr w:rsidR="000D07EA" w14:paraId="6037734F" w14:textId="77777777">
        <w:trPr>
          <w:trHeight w:val="247"/>
        </w:trPr>
        <w:tc>
          <w:tcPr>
            <w:tcW w:w="2770" w:type="pct"/>
            <w:hideMark/>
          </w:tcPr>
          <w:p w14:paraId="19550F1E" w14:textId="77777777" w:rsidR="000D07EA" w:rsidRDefault="00BE7C89">
            <w:pPr>
              <w:pStyle w:val="BodyText"/>
              <w:spacing w:before="100" w:after="100"/>
            </w:pPr>
            <w:r>
              <w:t>International Roaming and Diversion</w:t>
            </w:r>
          </w:p>
        </w:tc>
        <w:tc>
          <w:tcPr>
            <w:tcW w:w="2230" w:type="pct"/>
            <w:hideMark/>
          </w:tcPr>
          <w:p w14:paraId="6F31AFF0" w14:textId="77777777" w:rsidR="000D07EA" w:rsidRDefault="00BE7C89">
            <w:pPr>
              <w:pStyle w:val="BodyText"/>
              <w:spacing w:before="100" w:after="100"/>
            </w:pPr>
            <w:r>
              <w:t>No</w:t>
            </w:r>
          </w:p>
        </w:tc>
      </w:tr>
      <w:tr w:rsidR="000D07EA" w14:paraId="5242FAFE" w14:textId="77777777">
        <w:trPr>
          <w:trHeight w:val="247"/>
        </w:trPr>
        <w:tc>
          <w:tcPr>
            <w:tcW w:w="2770" w:type="pct"/>
            <w:hideMark/>
          </w:tcPr>
          <w:p w14:paraId="4A4F97E8" w14:textId="77777777" w:rsidR="000D07EA" w:rsidRDefault="00BE7C89">
            <w:pPr>
              <w:pStyle w:val="BodyText"/>
              <w:spacing w:before="100" w:after="100"/>
            </w:pPr>
            <w:r>
              <w:t>Premium SMS</w:t>
            </w:r>
          </w:p>
        </w:tc>
        <w:tc>
          <w:tcPr>
            <w:tcW w:w="2230" w:type="pct"/>
            <w:hideMark/>
          </w:tcPr>
          <w:p w14:paraId="6A8382EF" w14:textId="77777777" w:rsidR="000D07EA" w:rsidRDefault="00BE7C89">
            <w:pPr>
              <w:pStyle w:val="BodyText"/>
              <w:spacing w:before="100" w:after="100"/>
            </w:pPr>
            <w:r>
              <w:t>No</w:t>
            </w:r>
          </w:p>
        </w:tc>
      </w:tr>
      <w:tr w:rsidR="000D07EA" w14:paraId="7B13DF6B" w14:textId="77777777">
        <w:trPr>
          <w:trHeight w:val="247"/>
        </w:trPr>
        <w:tc>
          <w:tcPr>
            <w:tcW w:w="2770" w:type="pct"/>
            <w:hideMark/>
          </w:tcPr>
          <w:p w14:paraId="6EA3B8E3" w14:textId="77777777" w:rsidR="000D07EA" w:rsidRDefault="00BE7C89">
            <w:pPr>
              <w:pStyle w:val="BodyText"/>
              <w:spacing w:before="100" w:after="100"/>
            </w:pPr>
            <w:r>
              <w:lastRenderedPageBreak/>
              <w:t>Premium Video</w:t>
            </w:r>
          </w:p>
        </w:tc>
        <w:tc>
          <w:tcPr>
            <w:tcW w:w="2230" w:type="pct"/>
            <w:hideMark/>
          </w:tcPr>
          <w:p w14:paraId="19F8DBC5" w14:textId="77777777" w:rsidR="000D07EA" w:rsidRDefault="00BE7C89">
            <w:pPr>
              <w:pStyle w:val="BodyText"/>
              <w:spacing w:before="100" w:after="100"/>
            </w:pPr>
            <w:r>
              <w:t>No</w:t>
            </w:r>
          </w:p>
        </w:tc>
      </w:tr>
      <w:tr w:rsidR="000D07EA" w14:paraId="1BF13AD2" w14:textId="77777777">
        <w:trPr>
          <w:trHeight w:val="247"/>
        </w:trPr>
        <w:tc>
          <w:tcPr>
            <w:tcW w:w="2770" w:type="pct"/>
            <w:hideMark/>
          </w:tcPr>
          <w:p w14:paraId="446EF751" w14:textId="77777777" w:rsidR="000D07EA" w:rsidRDefault="00BE7C89">
            <w:pPr>
              <w:pStyle w:val="BodyText"/>
              <w:spacing w:before="100" w:after="100"/>
            </w:pPr>
            <w:r>
              <w:t>Video Conferencing</w:t>
            </w:r>
          </w:p>
        </w:tc>
        <w:tc>
          <w:tcPr>
            <w:tcW w:w="2230" w:type="pct"/>
            <w:hideMark/>
          </w:tcPr>
          <w:p w14:paraId="7012CA8B" w14:textId="77777777" w:rsidR="000D07EA" w:rsidRDefault="00BE7C89">
            <w:pPr>
              <w:pStyle w:val="BodyText"/>
              <w:spacing w:before="100" w:after="100"/>
            </w:pPr>
            <w:r>
              <w:t>No</w:t>
            </w:r>
          </w:p>
        </w:tc>
      </w:tr>
      <w:tr w:rsidR="000D07EA" w14:paraId="601A3407" w14:textId="77777777">
        <w:trPr>
          <w:trHeight w:val="247"/>
        </w:trPr>
        <w:tc>
          <w:tcPr>
            <w:tcW w:w="2770" w:type="pct"/>
            <w:hideMark/>
          </w:tcPr>
          <w:p w14:paraId="106A5BBD" w14:textId="77777777" w:rsidR="000D07EA" w:rsidRDefault="00BE7C89">
            <w:pPr>
              <w:pStyle w:val="BodyText"/>
              <w:spacing w:before="100" w:after="100"/>
            </w:pPr>
            <w:r>
              <w:t>Optus Zoo Browsing</w:t>
            </w:r>
          </w:p>
        </w:tc>
        <w:tc>
          <w:tcPr>
            <w:tcW w:w="2230" w:type="pct"/>
            <w:hideMark/>
          </w:tcPr>
          <w:p w14:paraId="5B4E2625" w14:textId="77777777" w:rsidR="000D07EA" w:rsidRDefault="00BE7C89">
            <w:pPr>
              <w:pStyle w:val="BodyText"/>
              <w:spacing w:before="100" w:after="100"/>
            </w:pPr>
            <w:r>
              <w:t>Yes</w:t>
            </w:r>
          </w:p>
        </w:tc>
      </w:tr>
      <w:tr w:rsidR="000D07EA" w14:paraId="74139E08" w14:textId="77777777">
        <w:trPr>
          <w:trHeight w:val="494"/>
        </w:trPr>
        <w:tc>
          <w:tcPr>
            <w:tcW w:w="2770" w:type="pct"/>
            <w:hideMark/>
          </w:tcPr>
          <w:p w14:paraId="684AE188" w14:textId="77777777" w:rsidR="000D07EA" w:rsidRDefault="00BE7C89">
            <w:pPr>
              <w:pStyle w:val="BodyText"/>
              <w:spacing w:before="100" w:after="100"/>
            </w:pPr>
            <w:r>
              <w:t>Optus Zoo Downloads</w:t>
            </w:r>
          </w:p>
        </w:tc>
        <w:tc>
          <w:tcPr>
            <w:tcW w:w="2230" w:type="pct"/>
            <w:hideMark/>
          </w:tcPr>
          <w:p w14:paraId="1BBB1B50" w14:textId="77777777" w:rsidR="000D07EA" w:rsidRDefault="00BE7C89">
            <w:pPr>
              <w:pStyle w:val="BodyText"/>
              <w:spacing w:before="100" w:after="100"/>
            </w:pPr>
            <w:r>
              <w:t>No</w:t>
            </w:r>
          </w:p>
        </w:tc>
      </w:tr>
      <w:tr w:rsidR="000D07EA" w14:paraId="2B46EBB2" w14:textId="77777777">
        <w:trPr>
          <w:trHeight w:val="58"/>
        </w:trPr>
        <w:tc>
          <w:tcPr>
            <w:tcW w:w="2770" w:type="pct"/>
            <w:hideMark/>
          </w:tcPr>
          <w:p w14:paraId="2FA28E2C" w14:textId="77777777" w:rsidR="000D07EA" w:rsidRDefault="00BE7C89">
            <w:pPr>
              <w:pStyle w:val="BodyText"/>
              <w:spacing w:before="100" w:after="100"/>
            </w:pPr>
            <w:r>
              <w:t>966 Zoo</w:t>
            </w:r>
          </w:p>
        </w:tc>
        <w:tc>
          <w:tcPr>
            <w:tcW w:w="2230" w:type="pct"/>
            <w:hideMark/>
          </w:tcPr>
          <w:p w14:paraId="0A34EBCE" w14:textId="77777777" w:rsidR="000D07EA" w:rsidRDefault="00BE7C89">
            <w:pPr>
              <w:pStyle w:val="BodyText"/>
              <w:spacing w:before="100" w:after="100"/>
            </w:pPr>
            <w:r>
              <w:t>No</w:t>
            </w:r>
          </w:p>
        </w:tc>
      </w:tr>
      <w:tr w:rsidR="000D07EA" w14:paraId="48AAF2F4" w14:textId="77777777">
        <w:trPr>
          <w:trHeight w:val="58"/>
        </w:trPr>
        <w:tc>
          <w:tcPr>
            <w:tcW w:w="2770" w:type="pct"/>
            <w:hideMark/>
          </w:tcPr>
          <w:p w14:paraId="5ACCC56F" w14:textId="77777777" w:rsidR="000D07EA" w:rsidRDefault="00BE7C89">
            <w:pPr>
              <w:pStyle w:val="BodyText"/>
              <w:spacing w:before="100" w:after="100"/>
            </w:pPr>
            <w:r>
              <w:t>Mobile Internet Data usage</w:t>
            </w:r>
          </w:p>
        </w:tc>
        <w:tc>
          <w:tcPr>
            <w:tcW w:w="2230" w:type="pct"/>
            <w:hideMark/>
          </w:tcPr>
          <w:p w14:paraId="7CBF0EE2" w14:textId="77777777" w:rsidR="000D07EA" w:rsidRDefault="00BE7C89">
            <w:pPr>
              <w:pStyle w:val="BodyText"/>
              <w:spacing w:before="100" w:after="100"/>
            </w:pPr>
            <w:r>
              <w:t>Yes</w:t>
            </w:r>
          </w:p>
        </w:tc>
      </w:tr>
      <w:tr w:rsidR="000D07EA" w14:paraId="0793B75E" w14:textId="77777777">
        <w:trPr>
          <w:trHeight w:val="494"/>
        </w:trPr>
        <w:tc>
          <w:tcPr>
            <w:tcW w:w="2770" w:type="pct"/>
            <w:hideMark/>
          </w:tcPr>
          <w:p w14:paraId="61376869" w14:textId="77777777" w:rsidR="000D07EA" w:rsidRDefault="00BE7C89">
            <w:pPr>
              <w:pStyle w:val="BodyText"/>
              <w:spacing w:before="100" w:after="100"/>
            </w:pPr>
            <w:r>
              <w:t>Data Used while Roaming Internationally</w:t>
            </w:r>
          </w:p>
        </w:tc>
        <w:tc>
          <w:tcPr>
            <w:tcW w:w="2230" w:type="pct"/>
            <w:hideMark/>
          </w:tcPr>
          <w:p w14:paraId="25AD61F5" w14:textId="77777777" w:rsidR="000D07EA" w:rsidRDefault="00BE7C89">
            <w:pPr>
              <w:pStyle w:val="BodyText"/>
              <w:spacing w:before="100" w:after="100"/>
            </w:pPr>
            <w:r>
              <w:t>No</w:t>
            </w:r>
          </w:p>
        </w:tc>
      </w:tr>
      <w:tr w:rsidR="000D07EA" w14:paraId="607B03FD" w14:textId="77777777">
        <w:trPr>
          <w:trHeight w:val="494"/>
        </w:trPr>
        <w:tc>
          <w:tcPr>
            <w:tcW w:w="2770" w:type="pct"/>
            <w:hideMark/>
          </w:tcPr>
          <w:p w14:paraId="48EE4FF0" w14:textId="77777777" w:rsidR="000D07EA" w:rsidRDefault="00BE7C89">
            <w:pPr>
              <w:pStyle w:val="BodyText"/>
              <w:spacing w:before="100" w:after="100"/>
            </w:pPr>
            <w:r>
              <w:t>Content Packs (unless specified in promotions)</w:t>
            </w:r>
          </w:p>
        </w:tc>
        <w:tc>
          <w:tcPr>
            <w:tcW w:w="2230" w:type="pct"/>
            <w:hideMark/>
          </w:tcPr>
          <w:p w14:paraId="797D8C44" w14:textId="77777777" w:rsidR="000D07EA" w:rsidRDefault="00BE7C89">
            <w:pPr>
              <w:pStyle w:val="BodyText"/>
              <w:spacing w:before="100" w:after="100"/>
            </w:pPr>
            <w:r>
              <w:t>No</w:t>
            </w:r>
          </w:p>
        </w:tc>
      </w:tr>
      <w:tr w:rsidR="000D07EA" w14:paraId="55687400" w14:textId="77777777">
        <w:trPr>
          <w:trHeight w:val="58"/>
        </w:trPr>
        <w:tc>
          <w:tcPr>
            <w:tcW w:w="2770" w:type="pct"/>
            <w:hideMark/>
          </w:tcPr>
          <w:p w14:paraId="6A54E157" w14:textId="77777777" w:rsidR="000D07EA" w:rsidRDefault="00BE7C89">
            <w:pPr>
              <w:pStyle w:val="BodyText"/>
              <w:spacing w:before="100" w:after="100"/>
            </w:pPr>
            <w:r>
              <w:t>Mobile Instant Messaging – IM</w:t>
            </w:r>
          </w:p>
        </w:tc>
        <w:tc>
          <w:tcPr>
            <w:tcW w:w="2230" w:type="pct"/>
            <w:hideMark/>
          </w:tcPr>
          <w:p w14:paraId="5555BE0A" w14:textId="77777777" w:rsidR="000D07EA" w:rsidRDefault="00BE7C89">
            <w:pPr>
              <w:pStyle w:val="BodyText"/>
              <w:spacing w:before="100" w:after="100"/>
            </w:pPr>
            <w:r>
              <w:t>No</w:t>
            </w:r>
          </w:p>
        </w:tc>
      </w:tr>
      <w:tr w:rsidR="000D07EA" w14:paraId="70367885" w14:textId="77777777">
        <w:trPr>
          <w:trHeight w:val="494"/>
        </w:trPr>
        <w:tc>
          <w:tcPr>
            <w:tcW w:w="2770" w:type="pct"/>
            <w:hideMark/>
          </w:tcPr>
          <w:p w14:paraId="23371332" w14:textId="77777777" w:rsidR="000D07EA" w:rsidRDefault="00BE7C89">
            <w:pPr>
              <w:pStyle w:val="BodyText"/>
              <w:spacing w:before="100" w:after="100"/>
            </w:pPr>
            <w:r>
              <w:t>TrueLocal Usage</w:t>
            </w:r>
          </w:p>
        </w:tc>
        <w:tc>
          <w:tcPr>
            <w:tcW w:w="2230" w:type="pct"/>
            <w:hideMark/>
          </w:tcPr>
          <w:p w14:paraId="12E82DEC" w14:textId="77777777" w:rsidR="000D07EA" w:rsidRDefault="00BE7C89">
            <w:pPr>
              <w:pStyle w:val="BodyText"/>
              <w:spacing w:before="100" w:after="100"/>
            </w:pPr>
            <w:r>
              <w:t>No</w:t>
            </w:r>
          </w:p>
        </w:tc>
      </w:tr>
      <w:tr w:rsidR="000D07EA" w14:paraId="12AC3555" w14:textId="77777777">
        <w:trPr>
          <w:trHeight w:val="494"/>
        </w:trPr>
        <w:tc>
          <w:tcPr>
            <w:tcW w:w="2770" w:type="pct"/>
            <w:hideMark/>
          </w:tcPr>
          <w:p w14:paraId="74BA7296" w14:textId="77777777" w:rsidR="000D07EA" w:rsidRDefault="00BE7C89">
            <w:pPr>
              <w:pStyle w:val="BodyText"/>
              <w:spacing w:before="100" w:after="100"/>
            </w:pPr>
            <w:r>
              <w:t xml:space="preserve">Directory Assistance- 1223 </w:t>
            </w:r>
          </w:p>
        </w:tc>
        <w:tc>
          <w:tcPr>
            <w:tcW w:w="2230" w:type="pct"/>
            <w:hideMark/>
          </w:tcPr>
          <w:p w14:paraId="2FCAD077" w14:textId="77777777" w:rsidR="000D07EA" w:rsidRDefault="00BE7C89">
            <w:pPr>
              <w:pStyle w:val="BodyText"/>
              <w:spacing w:before="100" w:after="100"/>
            </w:pPr>
            <w:r>
              <w:t>No</w:t>
            </w:r>
          </w:p>
        </w:tc>
      </w:tr>
      <w:tr w:rsidR="000D07EA" w14:paraId="6BE5CCAA" w14:textId="77777777">
        <w:trPr>
          <w:trHeight w:val="247"/>
        </w:trPr>
        <w:tc>
          <w:tcPr>
            <w:tcW w:w="2770" w:type="pct"/>
            <w:hideMark/>
          </w:tcPr>
          <w:p w14:paraId="7386B805" w14:textId="77777777" w:rsidR="000D07EA" w:rsidRDefault="00BE7C89">
            <w:pPr>
              <w:pStyle w:val="BodyText"/>
              <w:spacing w:before="100" w:after="100"/>
            </w:pPr>
            <w:r>
              <w:t>19XX Numbers</w:t>
            </w:r>
          </w:p>
        </w:tc>
        <w:tc>
          <w:tcPr>
            <w:tcW w:w="2230" w:type="pct"/>
            <w:hideMark/>
          </w:tcPr>
          <w:p w14:paraId="124E9639" w14:textId="77777777" w:rsidR="000D07EA" w:rsidRDefault="00BE7C89">
            <w:pPr>
              <w:pStyle w:val="BodyText"/>
              <w:spacing w:before="100" w:after="100"/>
            </w:pPr>
            <w:r>
              <w:t>No</w:t>
            </w:r>
          </w:p>
        </w:tc>
      </w:tr>
      <w:tr w:rsidR="000D07EA" w14:paraId="11064CDF" w14:textId="77777777">
        <w:trPr>
          <w:trHeight w:val="247"/>
        </w:trPr>
        <w:tc>
          <w:tcPr>
            <w:tcW w:w="2770" w:type="pct"/>
            <w:hideMark/>
          </w:tcPr>
          <w:p w14:paraId="69E98C4B" w14:textId="77777777" w:rsidR="000D07EA" w:rsidRDefault="00BE7C89">
            <w:pPr>
              <w:pStyle w:val="BodyText"/>
              <w:spacing w:before="100" w:after="100"/>
            </w:pPr>
            <w:r>
              <w:t>1800, 13 and 1300 numbers</w:t>
            </w:r>
          </w:p>
        </w:tc>
        <w:tc>
          <w:tcPr>
            <w:tcW w:w="2230" w:type="pct"/>
            <w:hideMark/>
          </w:tcPr>
          <w:p w14:paraId="3FB800DF" w14:textId="77777777" w:rsidR="000D07EA" w:rsidRDefault="00BE7C89">
            <w:pPr>
              <w:pStyle w:val="BodyText"/>
              <w:spacing w:before="100" w:after="100"/>
            </w:pPr>
            <w:r>
              <w:t>No</w:t>
            </w:r>
          </w:p>
        </w:tc>
      </w:tr>
      <w:tr w:rsidR="000D07EA" w14:paraId="69AA698D" w14:textId="77777777">
        <w:trPr>
          <w:trHeight w:val="247"/>
        </w:trPr>
        <w:tc>
          <w:tcPr>
            <w:tcW w:w="2770" w:type="pct"/>
            <w:hideMark/>
          </w:tcPr>
          <w:p w14:paraId="39BFC308" w14:textId="77777777" w:rsidR="000D07EA" w:rsidRDefault="00BE7C89">
            <w:pPr>
              <w:pStyle w:val="BodyText"/>
              <w:spacing w:before="100" w:after="100"/>
            </w:pPr>
            <w:r>
              <w:t>124YES(937)</w:t>
            </w:r>
          </w:p>
        </w:tc>
        <w:tc>
          <w:tcPr>
            <w:tcW w:w="2230" w:type="pct"/>
            <w:hideMark/>
          </w:tcPr>
          <w:p w14:paraId="0CA9D058" w14:textId="77777777" w:rsidR="000D07EA" w:rsidRDefault="00BE7C89">
            <w:pPr>
              <w:pStyle w:val="BodyText"/>
              <w:spacing w:before="100" w:after="100"/>
            </w:pPr>
            <w:r>
              <w:t>No</w:t>
            </w:r>
          </w:p>
        </w:tc>
      </w:tr>
      <w:tr w:rsidR="000D07EA" w14:paraId="5C4F320F" w14:textId="77777777">
        <w:trPr>
          <w:trHeight w:val="262"/>
        </w:trPr>
        <w:tc>
          <w:tcPr>
            <w:tcW w:w="2770" w:type="pct"/>
            <w:hideMark/>
          </w:tcPr>
          <w:p w14:paraId="49A03F28" w14:textId="77777777" w:rsidR="000D07EA" w:rsidRDefault="00BE7C89">
            <w:pPr>
              <w:pStyle w:val="BodyText"/>
              <w:spacing w:before="100" w:after="100"/>
            </w:pPr>
            <w:r>
              <w:t>Insurance</w:t>
            </w:r>
          </w:p>
        </w:tc>
        <w:tc>
          <w:tcPr>
            <w:tcW w:w="2230" w:type="pct"/>
            <w:hideMark/>
          </w:tcPr>
          <w:p w14:paraId="23A3C1D1" w14:textId="77777777" w:rsidR="000D07EA" w:rsidRDefault="00BE7C89">
            <w:pPr>
              <w:pStyle w:val="BodyText"/>
              <w:spacing w:before="100" w:after="100"/>
            </w:pPr>
            <w:r>
              <w:t>No</w:t>
            </w:r>
          </w:p>
        </w:tc>
      </w:tr>
      <w:tr w:rsidR="000D07EA" w14:paraId="56CBD9FD" w14:textId="77777777">
        <w:trPr>
          <w:trHeight w:val="262"/>
        </w:trPr>
        <w:tc>
          <w:tcPr>
            <w:tcW w:w="2770" w:type="pct"/>
            <w:hideMark/>
          </w:tcPr>
          <w:p w14:paraId="6540600F" w14:textId="77777777" w:rsidR="000D07EA" w:rsidRDefault="00BE7C89">
            <w:pPr>
              <w:pStyle w:val="BodyText"/>
              <w:spacing w:before="100" w:after="100"/>
            </w:pPr>
            <w:r>
              <w:t>Handset Payments</w:t>
            </w:r>
          </w:p>
        </w:tc>
        <w:tc>
          <w:tcPr>
            <w:tcW w:w="2230" w:type="pct"/>
            <w:hideMark/>
          </w:tcPr>
          <w:p w14:paraId="71B20DE4" w14:textId="77777777" w:rsidR="000D07EA" w:rsidRDefault="00BE7C89">
            <w:pPr>
              <w:pStyle w:val="BodyText"/>
              <w:spacing w:before="100" w:after="100"/>
            </w:pPr>
            <w:r>
              <w:t>No</w:t>
            </w:r>
          </w:p>
        </w:tc>
      </w:tr>
      <w:tr w:rsidR="000D07EA" w14:paraId="593B5E7A" w14:textId="77777777">
        <w:trPr>
          <w:trHeight w:val="262"/>
        </w:trPr>
        <w:tc>
          <w:tcPr>
            <w:tcW w:w="2770" w:type="pct"/>
            <w:hideMark/>
          </w:tcPr>
          <w:p w14:paraId="6576A9FB" w14:textId="77777777" w:rsidR="000D07EA" w:rsidRDefault="00BE7C89">
            <w:pPr>
              <w:pStyle w:val="BodyText"/>
              <w:spacing w:before="100" w:after="100"/>
            </w:pPr>
            <w:r>
              <w:t>Calls to MobileSat</w:t>
            </w:r>
          </w:p>
        </w:tc>
        <w:tc>
          <w:tcPr>
            <w:tcW w:w="2230" w:type="pct"/>
            <w:hideMark/>
          </w:tcPr>
          <w:p w14:paraId="1463F1AE" w14:textId="77777777" w:rsidR="000D07EA" w:rsidRDefault="00BE7C89">
            <w:pPr>
              <w:pStyle w:val="BodyText"/>
              <w:spacing w:before="100" w:after="100"/>
            </w:pPr>
            <w:r>
              <w:t>No</w:t>
            </w:r>
          </w:p>
        </w:tc>
      </w:tr>
      <w:tr w:rsidR="000D07EA" w14:paraId="02B47B3D" w14:textId="77777777">
        <w:trPr>
          <w:trHeight w:val="262"/>
        </w:trPr>
        <w:tc>
          <w:tcPr>
            <w:tcW w:w="2770" w:type="pct"/>
            <w:hideMark/>
          </w:tcPr>
          <w:p w14:paraId="55A445FC" w14:textId="77777777" w:rsidR="000D07EA" w:rsidRDefault="00BE7C89">
            <w:pPr>
              <w:pStyle w:val="BodyText"/>
              <w:spacing w:before="100" w:after="100"/>
            </w:pPr>
            <w:r>
              <w:t>VOIP services</w:t>
            </w:r>
          </w:p>
        </w:tc>
        <w:tc>
          <w:tcPr>
            <w:tcW w:w="2230" w:type="pct"/>
            <w:hideMark/>
          </w:tcPr>
          <w:p w14:paraId="1A1DC252" w14:textId="77777777" w:rsidR="000D07EA" w:rsidRDefault="00BE7C89">
            <w:pPr>
              <w:pStyle w:val="BodyText"/>
              <w:spacing w:before="100" w:after="100"/>
            </w:pPr>
            <w:r>
              <w:t>No</w:t>
            </w:r>
          </w:p>
        </w:tc>
      </w:tr>
      <w:tr w:rsidR="000D07EA" w14:paraId="0CB961AE" w14:textId="77777777">
        <w:trPr>
          <w:trHeight w:val="262"/>
        </w:trPr>
        <w:tc>
          <w:tcPr>
            <w:tcW w:w="2770" w:type="pct"/>
            <w:hideMark/>
          </w:tcPr>
          <w:p w14:paraId="60E89685" w14:textId="77777777" w:rsidR="000D07EA" w:rsidRDefault="00BE7C89">
            <w:pPr>
              <w:pStyle w:val="BodyText"/>
              <w:spacing w:before="100" w:after="100"/>
            </w:pPr>
            <w:r>
              <w:t>BlackBerry</w:t>
            </w:r>
          </w:p>
        </w:tc>
        <w:tc>
          <w:tcPr>
            <w:tcW w:w="2230" w:type="pct"/>
            <w:hideMark/>
          </w:tcPr>
          <w:p w14:paraId="55E35179" w14:textId="77777777" w:rsidR="000D07EA" w:rsidRDefault="00BE7C89">
            <w:pPr>
              <w:pStyle w:val="BodyText"/>
              <w:spacing w:before="100" w:after="100"/>
            </w:pPr>
            <w:r>
              <w:t>No</w:t>
            </w:r>
          </w:p>
        </w:tc>
      </w:tr>
    </w:tbl>
    <w:p w14:paraId="3EE51811" w14:textId="77777777" w:rsidR="000D07EA" w:rsidRDefault="000D07EA">
      <w:pPr>
        <w:pStyle w:val="BodyText"/>
      </w:pPr>
    </w:p>
    <w:p w14:paraId="75D9256E" w14:textId="77777777" w:rsidR="000D07EA" w:rsidRDefault="00BE7C89">
      <w:pPr>
        <w:pStyle w:val="BodyText"/>
        <w:keepNext/>
        <w:ind w:left="720"/>
      </w:pPr>
      <w:r>
        <w:rPr>
          <w:b/>
        </w:rPr>
        <w:t>Table 7 - Charges for the Business Advantage BMB plans</w:t>
      </w:r>
    </w:p>
    <w:tbl>
      <w:tblPr>
        <w:tblW w:w="4431"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144"/>
        <w:gridCol w:w="2855"/>
        <w:gridCol w:w="3030"/>
      </w:tblGrid>
      <w:tr w:rsidR="000D07EA" w14:paraId="52A31F62" w14:textId="77777777">
        <w:trPr>
          <w:trHeight w:val="70"/>
        </w:trPr>
        <w:tc>
          <w:tcPr>
            <w:tcW w:w="1741" w:type="pct"/>
          </w:tcPr>
          <w:p w14:paraId="267DE453" w14:textId="77777777" w:rsidR="000D07EA" w:rsidRDefault="000D07EA">
            <w:pPr>
              <w:pStyle w:val="BodyText"/>
              <w:keepNext/>
              <w:spacing w:before="100" w:after="100"/>
              <w:rPr>
                <w:lang w:val="en-AU" w:eastAsia="ko-KR"/>
              </w:rPr>
            </w:pPr>
          </w:p>
        </w:tc>
        <w:tc>
          <w:tcPr>
            <w:tcW w:w="1581" w:type="pct"/>
            <w:hideMark/>
          </w:tcPr>
          <w:p w14:paraId="46AD0544" w14:textId="77777777" w:rsidR="000D07EA" w:rsidRDefault="00BE7C89">
            <w:pPr>
              <w:pStyle w:val="BodyText"/>
              <w:keepNext/>
              <w:spacing w:before="100" w:after="100"/>
              <w:jc w:val="center"/>
              <w:rPr>
                <w:b/>
                <w:color w:val="000000"/>
                <w:lang w:val="en-AU" w:eastAsia="en-AU"/>
              </w:rPr>
            </w:pPr>
            <w:r>
              <w:rPr>
                <w:b/>
                <w:color w:val="000000"/>
              </w:rPr>
              <w:t>$10 Business Advantage BMB plan</w:t>
            </w:r>
          </w:p>
        </w:tc>
        <w:tc>
          <w:tcPr>
            <w:tcW w:w="1678" w:type="pct"/>
            <w:vAlign w:val="bottom"/>
            <w:hideMark/>
          </w:tcPr>
          <w:p w14:paraId="76AFD59F" w14:textId="77777777" w:rsidR="000D07EA" w:rsidRDefault="00BE7C89">
            <w:pPr>
              <w:pStyle w:val="BodyText"/>
              <w:keepNext/>
              <w:spacing w:before="100" w:after="100"/>
              <w:jc w:val="center"/>
              <w:rPr>
                <w:b/>
                <w:color w:val="000000"/>
                <w:lang w:val="en-AU" w:eastAsia="ko-KR"/>
              </w:rPr>
            </w:pPr>
            <w:r>
              <w:rPr>
                <w:b/>
                <w:color w:val="000000"/>
              </w:rPr>
              <w:t>$15 Business Advantage BMB plan</w:t>
            </w:r>
          </w:p>
        </w:tc>
      </w:tr>
      <w:tr w:rsidR="000D07EA" w14:paraId="129BF35C" w14:textId="77777777">
        <w:trPr>
          <w:trHeight w:val="424"/>
        </w:trPr>
        <w:tc>
          <w:tcPr>
            <w:tcW w:w="1741" w:type="pct"/>
            <w:vAlign w:val="center"/>
            <w:hideMark/>
          </w:tcPr>
          <w:p w14:paraId="56F7DEB9" w14:textId="77777777" w:rsidR="000D07EA" w:rsidRDefault="00BE7C89">
            <w:pPr>
              <w:pStyle w:val="BodyText"/>
              <w:keepNext/>
              <w:spacing w:before="100" w:after="100"/>
              <w:rPr>
                <w:b/>
                <w:color w:val="000000"/>
                <w:lang w:val="en-AU" w:eastAsia="ko-KR"/>
              </w:rPr>
            </w:pPr>
            <w:r>
              <w:rPr>
                <w:b/>
                <w:color w:val="000000"/>
                <w:lang w:eastAsia="ko-KR"/>
              </w:rPr>
              <w:t>Minimum Monthly charge</w:t>
            </w:r>
          </w:p>
        </w:tc>
        <w:tc>
          <w:tcPr>
            <w:tcW w:w="1581" w:type="pct"/>
            <w:vAlign w:val="center"/>
            <w:hideMark/>
          </w:tcPr>
          <w:p w14:paraId="7E283D2A" w14:textId="77777777" w:rsidR="000D07EA" w:rsidRDefault="00BE7C89">
            <w:pPr>
              <w:pStyle w:val="BodyText"/>
              <w:keepNext/>
              <w:spacing w:before="100" w:after="100"/>
              <w:rPr>
                <w:color w:val="000000"/>
                <w:lang w:val="en-AU" w:eastAsia="ko-KR"/>
              </w:rPr>
            </w:pPr>
            <w:r>
              <w:rPr>
                <w:color w:val="000000"/>
                <w:lang w:eastAsia="ko-KR"/>
              </w:rPr>
              <w:t>$10</w:t>
            </w:r>
          </w:p>
        </w:tc>
        <w:tc>
          <w:tcPr>
            <w:tcW w:w="1678" w:type="pct"/>
            <w:vAlign w:val="center"/>
            <w:hideMark/>
          </w:tcPr>
          <w:p w14:paraId="68BF6BEB" w14:textId="77777777" w:rsidR="000D07EA" w:rsidRDefault="00BE7C89">
            <w:pPr>
              <w:pStyle w:val="BodyText"/>
              <w:keepNext/>
              <w:spacing w:before="100" w:after="100"/>
              <w:rPr>
                <w:color w:val="000000"/>
                <w:lang w:val="en-AU" w:eastAsia="ko-KR"/>
              </w:rPr>
            </w:pPr>
            <w:r>
              <w:rPr>
                <w:color w:val="000000"/>
                <w:lang w:eastAsia="ko-KR"/>
              </w:rPr>
              <w:t>$15</w:t>
            </w:r>
          </w:p>
        </w:tc>
      </w:tr>
      <w:tr w:rsidR="000D07EA" w14:paraId="576C7A6E" w14:textId="77777777">
        <w:trPr>
          <w:trHeight w:val="394"/>
        </w:trPr>
        <w:tc>
          <w:tcPr>
            <w:tcW w:w="1741" w:type="pct"/>
            <w:vAlign w:val="center"/>
            <w:hideMark/>
          </w:tcPr>
          <w:p w14:paraId="03D3D3DD" w14:textId="77777777" w:rsidR="000D07EA" w:rsidRDefault="00BE7C89">
            <w:pPr>
              <w:pStyle w:val="BodyText"/>
              <w:spacing w:before="100" w:after="100"/>
              <w:rPr>
                <w:b/>
                <w:color w:val="000000"/>
                <w:lang w:val="en-AU" w:eastAsia="ko-KR"/>
              </w:rPr>
            </w:pPr>
            <w:r>
              <w:rPr>
                <w:b/>
                <w:color w:val="000000"/>
                <w:lang w:eastAsia="ko-KR"/>
              </w:rPr>
              <w:t>Included Data</w:t>
            </w:r>
          </w:p>
        </w:tc>
        <w:tc>
          <w:tcPr>
            <w:tcW w:w="1581" w:type="pct"/>
            <w:vAlign w:val="center"/>
            <w:hideMark/>
          </w:tcPr>
          <w:p w14:paraId="707364AD" w14:textId="77777777" w:rsidR="000D07EA" w:rsidRDefault="00BE7C89">
            <w:pPr>
              <w:pStyle w:val="BodyText"/>
              <w:spacing w:before="100" w:after="100"/>
              <w:rPr>
                <w:color w:val="000000"/>
                <w:lang w:val="en-AU" w:eastAsia="ko-KR"/>
              </w:rPr>
            </w:pPr>
            <w:r>
              <w:rPr>
                <w:color w:val="000000"/>
                <w:lang w:eastAsia="ko-KR"/>
              </w:rPr>
              <w:t>500MB</w:t>
            </w:r>
          </w:p>
        </w:tc>
        <w:tc>
          <w:tcPr>
            <w:tcW w:w="1678" w:type="pct"/>
            <w:vAlign w:val="center"/>
            <w:hideMark/>
          </w:tcPr>
          <w:p w14:paraId="15EA452D" w14:textId="77777777" w:rsidR="000D07EA" w:rsidRDefault="00BE7C89">
            <w:pPr>
              <w:pStyle w:val="BodyText"/>
              <w:spacing w:before="100" w:after="100"/>
              <w:rPr>
                <w:color w:val="000000"/>
                <w:lang w:val="en-AU" w:eastAsia="ko-KR"/>
              </w:rPr>
            </w:pPr>
            <w:r>
              <w:rPr>
                <w:color w:val="000000"/>
                <w:lang w:eastAsia="ko-KR"/>
              </w:rPr>
              <w:t>500MB</w:t>
            </w:r>
          </w:p>
        </w:tc>
      </w:tr>
      <w:tr w:rsidR="000D07EA" w14:paraId="4E12A881" w14:textId="77777777">
        <w:trPr>
          <w:trHeight w:val="393"/>
        </w:trPr>
        <w:tc>
          <w:tcPr>
            <w:tcW w:w="1741" w:type="pct"/>
            <w:vAlign w:val="center"/>
            <w:hideMark/>
          </w:tcPr>
          <w:p w14:paraId="77A1B8CE" w14:textId="77777777" w:rsidR="000D07EA" w:rsidRDefault="00BE7C89">
            <w:pPr>
              <w:pStyle w:val="BodyText"/>
              <w:spacing w:before="100" w:after="100"/>
              <w:rPr>
                <w:b/>
                <w:color w:val="000000"/>
                <w:lang w:val="en-AU" w:eastAsia="ko-KR"/>
              </w:rPr>
            </w:pPr>
            <w:r>
              <w:rPr>
                <w:b/>
                <w:color w:val="000000"/>
                <w:lang w:eastAsia="ko-KR"/>
              </w:rPr>
              <w:t xml:space="preserve">Date Excess Charges </w:t>
            </w:r>
          </w:p>
        </w:tc>
        <w:tc>
          <w:tcPr>
            <w:tcW w:w="1581" w:type="pct"/>
            <w:vAlign w:val="center"/>
            <w:hideMark/>
          </w:tcPr>
          <w:p w14:paraId="123BB7CA" w14:textId="77777777" w:rsidR="000D07EA" w:rsidRDefault="00BE7C89">
            <w:pPr>
              <w:pStyle w:val="BodyText"/>
              <w:spacing w:before="100" w:after="100"/>
              <w:rPr>
                <w:color w:val="000000"/>
                <w:lang w:val="en-AU" w:eastAsia="ko-KR"/>
              </w:rPr>
            </w:pPr>
            <w:r>
              <w:rPr>
                <w:color w:val="000000"/>
                <w:lang w:eastAsia="ko-KR"/>
              </w:rPr>
              <w:t>10c per MB or part thereof</w:t>
            </w:r>
          </w:p>
        </w:tc>
        <w:tc>
          <w:tcPr>
            <w:tcW w:w="1678" w:type="pct"/>
            <w:vAlign w:val="center"/>
            <w:hideMark/>
          </w:tcPr>
          <w:p w14:paraId="18068B17" w14:textId="77777777" w:rsidR="000D07EA" w:rsidRDefault="00BE7C89">
            <w:pPr>
              <w:pStyle w:val="BodyText"/>
              <w:spacing w:before="100" w:after="100"/>
              <w:rPr>
                <w:color w:val="000000"/>
                <w:lang w:val="en-AU" w:eastAsia="ko-KR"/>
              </w:rPr>
            </w:pPr>
            <w:r>
              <w:rPr>
                <w:color w:val="000000"/>
                <w:lang w:eastAsia="ko-KR"/>
              </w:rPr>
              <w:t>10c per MB or part thereof</w:t>
            </w:r>
          </w:p>
        </w:tc>
      </w:tr>
      <w:tr w:rsidR="000D07EA" w14:paraId="1FC7CCAD" w14:textId="77777777">
        <w:trPr>
          <w:trHeight w:val="515"/>
        </w:trPr>
        <w:tc>
          <w:tcPr>
            <w:tcW w:w="1741" w:type="pct"/>
            <w:vAlign w:val="center"/>
            <w:hideMark/>
          </w:tcPr>
          <w:p w14:paraId="3CD72AB7" w14:textId="77777777" w:rsidR="000D07EA" w:rsidRDefault="00BE7C89">
            <w:pPr>
              <w:pStyle w:val="BodyText"/>
              <w:spacing w:before="100" w:after="100"/>
              <w:rPr>
                <w:b/>
                <w:color w:val="000000"/>
                <w:lang w:val="en-AU" w:eastAsia="ko-KR"/>
              </w:rPr>
            </w:pPr>
            <w:r>
              <w:rPr>
                <w:b/>
                <w:color w:val="000000"/>
                <w:lang w:eastAsia="ko-KR"/>
              </w:rPr>
              <w:t xml:space="preserve">Data Shares with Mobile Digital Optus Service Plan </w:t>
            </w:r>
          </w:p>
        </w:tc>
        <w:tc>
          <w:tcPr>
            <w:tcW w:w="1581" w:type="pct"/>
            <w:vAlign w:val="center"/>
            <w:hideMark/>
          </w:tcPr>
          <w:p w14:paraId="258E7DC2" w14:textId="77777777" w:rsidR="000D07EA" w:rsidRDefault="00BE7C89">
            <w:pPr>
              <w:pStyle w:val="BodyText"/>
              <w:spacing w:before="100" w:after="100"/>
              <w:rPr>
                <w:color w:val="000000"/>
                <w:lang w:val="en-AU" w:eastAsia="ko-KR"/>
              </w:rPr>
            </w:pPr>
            <w:r>
              <w:rPr>
                <w:color w:val="000000"/>
                <w:lang w:eastAsia="ko-KR"/>
              </w:rPr>
              <w:t>Yes</w:t>
            </w:r>
          </w:p>
        </w:tc>
        <w:tc>
          <w:tcPr>
            <w:tcW w:w="1678" w:type="pct"/>
            <w:vAlign w:val="center"/>
            <w:hideMark/>
          </w:tcPr>
          <w:p w14:paraId="667B35B2" w14:textId="77777777" w:rsidR="000D07EA" w:rsidRDefault="00BE7C89">
            <w:pPr>
              <w:pStyle w:val="BodyText"/>
              <w:spacing w:before="100" w:after="100"/>
              <w:rPr>
                <w:color w:val="000000"/>
                <w:lang w:val="en-AU" w:eastAsia="ko-KR"/>
              </w:rPr>
            </w:pPr>
            <w:r>
              <w:rPr>
                <w:color w:val="000000"/>
                <w:lang w:eastAsia="ko-KR"/>
              </w:rPr>
              <w:t>Yes</w:t>
            </w:r>
          </w:p>
        </w:tc>
      </w:tr>
      <w:tr w:rsidR="000D07EA" w14:paraId="05AD227B" w14:textId="77777777">
        <w:trPr>
          <w:trHeight w:val="515"/>
        </w:trPr>
        <w:tc>
          <w:tcPr>
            <w:tcW w:w="1741" w:type="pct"/>
            <w:vAlign w:val="center"/>
            <w:hideMark/>
          </w:tcPr>
          <w:p w14:paraId="4F03C89C" w14:textId="77777777" w:rsidR="000D07EA" w:rsidRDefault="00BE7C89">
            <w:pPr>
              <w:pStyle w:val="BodyText"/>
              <w:spacing w:before="100" w:after="100"/>
              <w:rPr>
                <w:b/>
                <w:color w:val="000000"/>
                <w:lang w:val="en-AU" w:eastAsia="ko-KR"/>
              </w:rPr>
            </w:pPr>
            <w:r>
              <w:rPr>
                <w:b/>
                <w:color w:val="000000"/>
                <w:lang w:eastAsia="ko-KR"/>
              </w:rPr>
              <w:t xml:space="preserve">Equipment Credit </w:t>
            </w:r>
          </w:p>
        </w:tc>
        <w:tc>
          <w:tcPr>
            <w:tcW w:w="1581" w:type="pct"/>
            <w:vAlign w:val="center"/>
            <w:hideMark/>
          </w:tcPr>
          <w:p w14:paraId="5F33F89D" w14:textId="77777777" w:rsidR="000D07EA" w:rsidRDefault="00BE7C89">
            <w:pPr>
              <w:pStyle w:val="BodyText"/>
              <w:spacing w:before="100" w:after="100"/>
              <w:rPr>
                <w:color w:val="000000"/>
                <w:lang w:val="en-AU" w:eastAsia="ko-KR"/>
              </w:rPr>
            </w:pPr>
            <w:r>
              <w:rPr>
                <w:color w:val="000000"/>
                <w:lang w:eastAsia="ko-KR"/>
              </w:rPr>
              <w:t>Up to $10 per month for 24 months</w:t>
            </w:r>
          </w:p>
        </w:tc>
        <w:tc>
          <w:tcPr>
            <w:tcW w:w="1678" w:type="pct"/>
            <w:vAlign w:val="center"/>
            <w:hideMark/>
          </w:tcPr>
          <w:p w14:paraId="67D5871C" w14:textId="77777777" w:rsidR="000D07EA" w:rsidRDefault="00BE7C89">
            <w:pPr>
              <w:pStyle w:val="BodyText"/>
              <w:spacing w:before="100" w:after="100"/>
              <w:rPr>
                <w:color w:val="000000"/>
                <w:lang w:val="en-AU" w:eastAsia="ko-KR"/>
              </w:rPr>
            </w:pPr>
            <w:r>
              <w:rPr>
                <w:color w:val="000000"/>
                <w:lang w:eastAsia="ko-KR"/>
              </w:rPr>
              <w:t>Up to $15 per month for 24 months</w:t>
            </w:r>
          </w:p>
        </w:tc>
      </w:tr>
    </w:tbl>
    <w:p w14:paraId="5E106BF9" w14:textId="77777777" w:rsidR="000D07EA" w:rsidRDefault="000D07EA">
      <w:pPr>
        <w:pStyle w:val="BodyText"/>
      </w:pPr>
    </w:p>
    <w:p w14:paraId="370B1E80" w14:textId="77777777" w:rsidR="000D07EA" w:rsidRDefault="00BE7C89">
      <w:pPr>
        <w:pStyle w:val="Heading4"/>
      </w:pPr>
      <w:bookmarkStart w:id="491" w:name="_Toc62644635"/>
      <w:r>
        <w:lastRenderedPageBreak/>
        <w:t>Business Complete BYO and Business Timeless BYO Plans (Incorporating $49 Business Complete BYO, $89 Business Timeless Byo and $99 Business Timeless BYO) effective from 31 October 2010.</w:t>
      </w:r>
      <w:bookmarkEnd w:id="491"/>
    </w:p>
    <w:p w14:paraId="409DF5AF" w14:textId="77777777" w:rsidR="000D07EA" w:rsidRDefault="00BE7C89">
      <w:pPr>
        <w:pStyle w:val="Heading6"/>
        <w:ind w:left="0" w:firstLine="0"/>
      </w:pPr>
      <w:r>
        <w:t>What are the Optus Business Complete BYO and Business Timeless BYO Offers?</w:t>
      </w:r>
    </w:p>
    <w:p w14:paraId="06E7049B" w14:textId="77777777" w:rsidR="000D07EA" w:rsidRDefault="00BE7C89">
      <w:pPr>
        <w:pStyle w:val="Heading7"/>
      </w:pPr>
      <w:r>
        <w:t>The Business Complete BYO and Business Timeless BYO offers incorporate one of the following mobile plans:</w:t>
      </w:r>
    </w:p>
    <w:p w14:paraId="67A87377" w14:textId="77777777" w:rsidR="000D07EA" w:rsidRDefault="00BE7C89">
      <w:pPr>
        <w:pStyle w:val="Heading8"/>
      </w:pPr>
      <w:r>
        <w:t>The Business Complete BYO and Business Timeless BYO plan; and may also incorporate the following Business Mobile Broadband plan:</w:t>
      </w:r>
    </w:p>
    <w:p w14:paraId="44628F2C" w14:textId="77777777" w:rsidR="000D07EA" w:rsidRDefault="00BE7C89">
      <w:pPr>
        <w:pStyle w:val="Heading9"/>
      </w:pPr>
      <w:r>
        <w:t>The $15 Business Advantage BMB Business Mobile Broadband plan.</w:t>
      </w:r>
    </w:p>
    <w:p w14:paraId="141B56E4" w14:textId="77777777" w:rsidR="000D07EA" w:rsidRDefault="00BE7C89">
      <w:pPr>
        <w:pStyle w:val="Heading9"/>
      </w:pPr>
      <w:r>
        <w:t>The $10 Business Advantage BMB Business Mobile Broadband plan.</w:t>
      </w:r>
    </w:p>
    <w:p w14:paraId="77E11C60" w14:textId="77777777" w:rsidR="000D07EA" w:rsidRDefault="00BE7C89">
      <w:pPr>
        <w:pStyle w:val="BodyText"/>
        <w:ind w:left="720" w:firstLine="720"/>
      </w:pPr>
      <w:r>
        <w:t xml:space="preserve">and are a special offer under the </w:t>
      </w:r>
      <w:hyperlink r:id="rId327" w:history="1">
        <w:r>
          <w:rPr>
            <w:rStyle w:val="Hyperlink"/>
            <w:i/>
          </w:rPr>
          <w:t>SMB terms</w:t>
        </w:r>
      </w:hyperlink>
      <w:r>
        <w:t xml:space="preserve"> and relevant service descriptions.</w:t>
      </w:r>
    </w:p>
    <w:p w14:paraId="120A8DE2" w14:textId="77777777" w:rsidR="000D07EA" w:rsidRDefault="00BE7C89">
      <w:pPr>
        <w:pStyle w:val="Heading7"/>
      </w:pPr>
      <w:r>
        <w:t xml:space="preserve">To be eligible to connect a Business Mobile Broadband service </w:t>
      </w:r>
      <w:r>
        <w:rPr>
          <w:i/>
        </w:rPr>
        <w:t>you</w:t>
      </w:r>
      <w:r>
        <w:t xml:space="preserve"> must have an </w:t>
      </w:r>
      <w:r>
        <w:rPr>
          <w:i/>
        </w:rPr>
        <w:t>Optus Mobile Service</w:t>
      </w:r>
      <w:r>
        <w:t xml:space="preserve"> on a Business Complete BYO or Business Timeless BYO plan. </w:t>
      </w:r>
    </w:p>
    <w:p w14:paraId="39F1C615" w14:textId="77777777" w:rsidR="000D07EA" w:rsidRDefault="00BE7C89">
      <w:pPr>
        <w:pStyle w:val="Heading7"/>
      </w:pPr>
      <w:r>
        <w:t xml:space="preserve">The Optus Business Complete BYO and Business Timeless BYO Offers are governed by the terms in this </w:t>
      </w:r>
      <w:r>
        <w:rPr>
          <w:i/>
        </w:rPr>
        <w:t>appendix</w:t>
      </w:r>
      <w:r>
        <w:t xml:space="preserve"> and, to the extent that the terms are not inconsistent with the terms set out in this </w:t>
      </w:r>
      <w:r>
        <w:rPr>
          <w:i/>
        </w:rPr>
        <w:t>appendix</w:t>
      </w:r>
      <w:r>
        <w:t xml:space="preserve">, by the terms of the </w:t>
      </w:r>
      <w:hyperlink r:id="rId328" w:history="1">
        <w:r>
          <w:rPr>
            <w:rStyle w:val="Hyperlink"/>
            <w:i/>
          </w:rPr>
          <w:t>SMB terms</w:t>
        </w:r>
      </w:hyperlink>
      <w:r>
        <w:t xml:space="preserve">, and each relevant </w:t>
      </w:r>
      <w:r>
        <w:rPr>
          <w:i/>
        </w:rPr>
        <w:t>service description</w:t>
      </w:r>
      <w:r>
        <w:t xml:space="preserve"> and </w:t>
      </w:r>
      <w:r>
        <w:rPr>
          <w:i/>
        </w:rPr>
        <w:t>standard pricing table</w:t>
      </w:r>
      <w:r>
        <w:t xml:space="preserve">. </w:t>
      </w:r>
    </w:p>
    <w:p w14:paraId="0B48E933" w14:textId="77777777" w:rsidR="000D07EA" w:rsidRDefault="00BE7C89">
      <w:pPr>
        <w:pStyle w:val="Heading7"/>
      </w:pPr>
      <w:r>
        <w:t xml:space="preserve">To be eligible for the Optus Business Complete BYO or Business Timeless BYO Offer </w:t>
      </w:r>
      <w:r>
        <w:rPr>
          <w:i/>
        </w:rPr>
        <w:t>you</w:t>
      </w:r>
      <w:r>
        <w:t xml:space="preserve"> must have at least 1 Optus Mobile Digital Service.</w:t>
      </w:r>
    </w:p>
    <w:p w14:paraId="07270DA4" w14:textId="77777777" w:rsidR="000D07EA" w:rsidRDefault="00BE7C89">
      <w:pPr>
        <w:pStyle w:val="Heading6"/>
        <w:ind w:left="0" w:firstLine="0"/>
      </w:pPr>
      <w:r>
        <w:t>What does the Business Complete BYO and Business Timeless BYO Offers allow you to do?</w:t>
      </w:r>
    </w:p>
    <w:p w14:paraId="00430454" w14:textId="77777777" w:rsidR="000D07EA" w:rsidRDefault="00BE7C89">
      <w:pPr>
        <w:pStyle w:val="Heading7"/>
      </w:pPr>
      <w:r>
        <w:t xml:space="preserve">The Business Complete BYO and Business Timeless BYO Offer allows </w:t>
      </w:r>
      <w:r>
        <w:rPr>
          <w:i/>
        </w:rPr>
        <w:t>you</w:t>
      </w:r>
      <w:r>
        <w:t xml:space="preserve"> to use </w:t>
      </w:r>
      <w:r>
        <w:rPr>
          <w:i/>
        </w:rPr>
        <w:t>your</w:t>
      </w:r>
      <w:r>
        <w:t xml:space="preserve"> Optus Mobile Digital Service and a Business Mobile Broadband service where:</w:t>
      </w:r>
    </w:p>
    <w:p w14:paraId="2609C363" w14:textId="77777777" w:rsidR="000D07EA" w:rsidRDefault="00BE7C89">
      <w:pPr>
        <w:pStyle w:val="Heading8"/>
      </w:pPr>
      <w:r>
        <w:t>The included Data Value can be shared across Optus Mobile Digital Service(s) and Business Mobile Broadband Services(s) that are on the Business Complete BYO or Business Timeless BYO plan.</w:t>
      </w:r>
    </w:p>
    <w:p w14:paraId="5F9981A2" w14:textId="77777777" w:rsidR="000D07EA" w:rsidRDefault="00BE7C89">
      <w:pPr>
        <w:pStyle w:val="Heading8"/>
      </w:pPr>
      <w:r>
        <w:rPr>
          <w:b/>
        </w:rPr>
        <w:t>Unlimited mobile access to Facebook®, Twitter, LinkedIn, Ebay, FourSquare and MySpace</w:t>
      </w:r>
      <w:r>
        <w:t xml:space="preserve"> offers cannot be shared and may be accessed on the mobile handset only. </w:t>
      </w:r>
    </w:p>
    <w:p w14:paraId="1F0F15D2" w14:textId="77777777" w:rsidR="000D07EA" w:rsidRDefault="00BE7C89">
      <w:pPr>
        <w:pStyle w:val="Heading7"/>
      </w:pPr>
      <w:r>
        <w:rPr>
          <w:i/>
        </w:rPr>
        <w:t>You</w:t>
      </w:r>
      <w:r>
        <w:t xml:space="preserve"> may purchase a </w:t>
      </w:r>
      <w:r>
        <w:rPr>
          <w:i/>
        </w:rPr>
        <w:t>mobile phone</w:t>
      </w:r>
      <w:r>
        <w:t xml:space="preserve"> with a:</w:t>
      </w:r>
    </w:p>
    <w:p w14:paraId="20C4D755" w14:textId="77777777" w:rsidR="000D07EA" w:rsidRDefault="00BE7C89">
      <w:pPr>
        <w:pStyle w:val="Heading8"/>
      </w:pPr>
      <w:r>
        <w:t xml:space="preserve">12 month </w:t>
      </w:r>
      <w:r>
        <w:rPr>
          <w:i/>
        </w:rPr>
        <w:t>equipment term</w:t>
      </w:r>
      <w:r>
        <w:t xml:space="preserve"> under a </w:t>
      </w:r>
      <w:r>
        <w:rPr>
          <w:i/>
        </w:rPr>
        <w:t>mobile equipment payment plan</w:t>
      </w:r>
      <w:r>
        <w:t xml:space="preserve"> on a 12 month </w:t>
      </w:r>
      <w:r>
        <w:rPr>
          <w:i/>
        </w:rPr>
        <w:t>fixed length agreement</w:t>
      </w:r>
      <w:r>
        <w:t xml:space="preserve">. </w:t>
      </w:r>
      <w:r>
        <w:rPr>
          <w:i/>
        </w:rPr>
        <w:t>Or</w:t>
      </w:r>
      <w:r>
        <w:t>,</w:t>
      </w:r>
    </w:p>
    <w:p w14:paraId="3A859AA4" w14:textId="77777777" w:rsidR="000D07EA" w:rsidRDefault="00BE7C89">
      <w:pPr>
        <w:pStyle w:val="Heading8"/>
      </w:pPr>
      <w:r>
        <w:t xml:space="preserve">1 month </w:t>
      </w:r>
      <w:r>
        <w:rPr>
          <w:i/>
        </w:rPr>
        <w:t>equipment term</w:t>
      </w:r>
      <w:r>
        <w:t xml:space="preserve"> under a </w:t>
      </w:r>
      <w:r>
        <w:rPr>
          <w:i/>
        </w:rPr>
        <w:t>mobile equipment payment plan</w:t>
      </w:r>
      <w:r>
        <w:t xml:space="preserve"> on a 12 month </w:t>
      </w:r>
      <w:r>
        <w:rPr>
          <w:i/>
        </w:rPr>
        <w:t>fixed length agreement</w:t>
      </w:r>
      <w:r>
        <w:t>.</w:t>
      </w:r>
    </w:p>
    <w:p w14:paraId="328A5959" w14:textId="77777777" w:rsidR="000D07EA" w:rsidRDefault="00BE7C89">
      <w:pPr>
        <w:pStyle w:val="Heading7"/>
      </w:pPr>
      <w:r>
        <w:t>The charges for the Business Complete BYO and Business Timeless BYO Offers are set out in Table 7.</w:t>
      </w:r>
    </w:p>
    <w:p w14:paraId="00928806" w14:textId="77777777" w:rsidR="000D07EA" w:rsidRDefault="00BE7C89">
      <w:pPr>
        <w:pStyle w:val="Heading7"/>
      </w:pPr>
      <w:r>
        <w:t xml:space="preserve">If </w:t>
      </w:r>
      <w:r>
        <w:rPr>
          <w:i/>
        </w:rPr>
        <w:t>you</w:t>
      </w:r>
      <w:r>
        <w:t xml:space="preserve"> purchase a $49 Business Complete BYO plan, </w:t>
      </w:r>
      <w:r>
        <w:rPr>
          <w:i/>
        </w:rPr>
        <w:t>you</w:t>
      </w:r>
      <w:r>
        <w:t xml:space="preserve"> can purchase additional data by purchasing a $15 Business Advantage BMB Data bolt on. The included data of the $15 Business Advantage Data bolt applies to all </w:t>
      </w:r>
      <w:r>
        <w:rPr>
          <w:i/>
        </w:rPr>
        <w:t>Optus Mobile Digital Service and Business Mobile Broadband Services</w:t>
      </w:r>
      <w:r>
        <w:t xml:space="preserve"> that are connected on a Business Complete BYO plan and that are on the same account. If </w:t>
      </w:r>
      <w:r>
        <w:rPr>
          <w:i/>
        </w:rPr>
        <w:t>you</w:t>
      </w:r>
      <w:r>
        <w:t xml:space="preserve"> purchase a $89 or $99 Business Timeless BYO plan, </w:t>
      </w:r>
      <w:r>
        <w:rPr>
          <w:i/>
        </w:rPr>
        <w:t>you</w:t>
      </w:r>
      <w:r>
        <w:t xml:space="preserve"> can purchase additional data by purchasing a $10 Business Advantage BMB Data bolt on. The included data of the $10 Business Advantage Data bolt on applies to all </w:t>
      </w:r>
      <w:r>
        <w:rPr>
          <w:i/>
        </w:rPr>
        <w:t>Optus Mobile Digital Service and Business Mobile Broadband Services</w:t>
      </w:r>
      <w:r>
        <w:t xml:space="preserve"> that are connected on a Business Timeless BYO plan and that are on the same account. </w:t>
      </w:r>
    </w:p>
    <w:p w14:paraId="1078F5BF" w14:textId="77777777" w:rsidR="000D07EA" w:rsidRDefault="00BE7C89">
      <w:pPr>
        <w:pStyle w:val="Heading8"/>
      </w:pPr>
      <w:r>
        <w:lastRenderedPageBreak/>
        <w:t xml:space="preserve">Business Data Bolt on is available to </w:t>
      </w:r>
      <w:r>
        <w:rPr>
          <w:i/>
        </w:rPr>
        <w:t>you</w:t>
      </w:r>
      <w:r>
        <w:t xml:space="preserve"> if, </w:t>
      </w:r>
      <w:r>
        <w:rPr>
          <w:i/>
        </w:rPr>
        <w:t>your mobile services</w:t>
      </w:r>
      <w:r>
        <w:t xml:space="preserve"> connect and remain connected to the relevant Business Complete BYO or Business Timeless BYO plans.</w:t>
      </w:r>
    </w:p>
    <w:p w14:paraId="0B785045" w14:textId="77777777" w:rsidR="000D07EA" w:rsidRDefault="00BE7C89">
      <w:pPr>
        <w:pStyle w:val="Heading8"/>
      </w:pPr>
      <w:r>
        <w:t xml:space="preserve">The Business Data Bolt Ons provide </w:t>
      </w:r>
      <w:r>
        <w:rPr>
          <w:i/>
        </w:rPr>
        <w:t>you</w:t>
      </w:r>
      <w:r>
        <w:t xml:space="preserve"> with an additional 500MB of data to use each month from the </w:t>
      </w:r>
      <w:r>
        <w:rPr>
          <w:i/>
        </w:rPr>
        <w:t>Optus Mobile Digital Service or Business Mobile Broadband Services</w:t>
      </w:r>
      <w:r>
        <w:t xml:space="preserve"> connected on </w:t>
      </w:r>
      <w:r>
        <w:rPr>
          <w:i/>
        </w:rPr>
        <w:t>your</w:t>
      </w:r>
      <w:r>
        <w:t xml:space="preserve"> plan and account. If </w:t>
      </w:r>
      <w:r>
        <w:rPr>
          <w:i/>
        </w:rPr>
        <w:t>you</w:t>
      </w:r>
      <w:r>
        <w:t xml:space="preserve"> exceed </w:t>
      </w:r>
      <w:r>
        <w:rPr>
          <w:i/>
        </w:rPr>
        <w:t>your</w:t>
      </w:r>
      <w:r>
        <w:t xml:space="preserve"> included data amount excess charges as stated in Table 1 apply. </w:t>
      </w:r>
    </w:p>
    <w:p w14:paraId="21AC28AB" w14:textId="77777777" w:rsidR="000D07EA" w:rsidRDefault="00BE7C89">
      <w:pPr>
        <w:pStyle w:val="Heading7"/>
      </w:pPr>
      <w:r>
        <w:t>Business Data Bolt Ons, Data Usage Allowance is set out in Table 1, the eligible usage is set out in Table 4.</w:t>
      </w:r>
    </w:p>
    <w:p w14:paraId="64A0EFCA" w14:textId="77777777" w:rsidR="000D07EA" w:rsidRDefault="00BE7C89">
      <w:pPr>
        <w:pStyle w:val="BodyText"/>
        <w:ind w:left="720"/>
        <w:rPr>
          <w:b/>
        </w:rPr>
      </w:pPr>
      <w:r>
        <w:rPr>
          <w:b/>
        </w:rPr>
        <w:t>Table 1 - $10 and $15 Business Advantage BMB Data Bolt On</w:t>
      </w:r>
    </w:p>
    <w:tbl>
      <w:tblPr>
        <w:tblW w:w="4629"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141"/>
        <w:gridCol w:w="3149"/>
        <w:gridCol w:w="3142"/>
      </w:tblGrid>
      <w:tr w:rsidR="000D07EA" w14:paraId="5AD1AA9B" w14:textId="77777777">
        <w:tc>
          <w:tcPr>
            <w:tcW w:w="3218" w:type="dxa"/>
            <w:shd w:val="clear" w:color="auto" w:fill="auto"/>
          </w:tcPr>
          <w:p w14:paraId="0D1BFB67" w14:textId="77777777" w:rsidR="000D07EA" w:rsidRDefault="00BE7C89">
            <w:pPr>
              <w:pStyle w:val="BodyText"/>
              <w:spacing w:before="100" w:after="100"/>
              <w:rPr>
                <w:b/>
              </w:rPr>
            </w:pPr>
            <w:r>
              <w:rPr>
                <w:b/>
              </w:rPr>
              <w:t xml:space="preserve">Monthly </w:t>
            </w:r>
            <w:r>
              <w:rPr>
                <w:b/>
                <w:i/>
              </w:rPr>
              <w:t>Access</w:t>
            </w:r>
            <w:r>
              <w:rPr>
                <w:b/>
              </w:rPr>
              <w:t xml:space="preserve"> Fee</w:t>
            </w:r>
          </w:p>
        </w:tc>
        <w:tc>
          <w:tcPr>
            <w:tcW w:w="3218" w:type="dxa"/>
            <w:shd w:val="clear" w:color="auto" w:fill="auto"/>
          </w:tcPr>
          <w:p w14:paraId="05886681" w14:textId="77777777" w:rsidR="000D07EA" w:rsidRDefault="00BE7C89">
            <w:pPr>
              <w:pStyle w:val="BodyText"/>
              <w:spacing w:before="100" w:after="100"/>
              <w:rPr>
                <w:b/>
              </w:rPr>
            </w:pPr>
            <w:r>
              <w:rPr>
                <w:b/>
              </w:rPr>
              <w:t>Data Usage Allowance</w:t>
            </w:r>
          </w:p>
        </w:tc>
        <w:tc>
          <w:tcPr>
            <w:tcW w:w="3218" w:type="dxa"/>
            <w:shd w:val="clear" w:color="auto" w:fill="auto"/>
          </w:tcPr>
          <w:p w14:paraId="5CD10C4C" w14:textId="77777777" w:rsidR="000D07EA" w:rsidRDefault="00BE7C89">
            <w:pPr>
              <w:pStyle w:val="BodyText"/>
              <w:spacing w:before="100" w:after="100"/>
              <w:rPr>
                <w:b/>
              </w:rPr>
            </w:pPr>
            <w:r>
              <w:rPr>
                <w:b/>
              </w:rPr>
              <w:t>Excess Charges</w:t>
            </w:r>
          </w:p>
        </w:tc>
      </w:tr>
      <w:tr w:rsidR="000D07EA" w14:paraId="37F08216" w14:textId="77777777">
        <w:tc>
          <w:tcPr>
            <w:tcW w:w="3218" w:type="dxa"/>
            <w:shd w:val="clear" w:color="auto" w:fill="auto"/>
          </w:tcPr>
          <w:p w14:paraId="388AE4D6" w14:textId="77777777" w:rsidR="000D07EA" w:rsidRDefault="00BE7C89">
            <w:pPr>
              <w:pStyle w:val="BodyText"/>
              <w:spacing w:before="100" w:after="100"/>
            </w:pPr>
            <w:r>
              <w:t>$15</w:t>
            </w:r>
          </w:p>
        </w:tc>
        <w:tc>
          <w:tcPr>
            <w:tcW w:w="3218" w:type="dxa"/>
            <w:shd w:val="clear" w:color="auto" w:fill="auto"/>
          </w:tcPr>
          <w:p w14:paraId="4379A821" w14:textId="77777777" w:rsidR="000D07EA" w:rsidRDefault="00BE7C89">
            <w:pPr>
              <w:pStyle w:val="BodyText"/>
              <w:spacing w:before="100" w:after="100"/>
            </w:pPr>
            <w:r>
              <w:t>500MB</w:t>
            </w:r>
          </w:p>
        </w:tc>
        <w:tc>
          <w:tcPr>
            <w:tcW w:w="3218" w:type="dxa"/>
            <w:shd w:val="clear" w:color="auto" w:fill="auto"/>
          </w:tcPr>
          <w:p w14:paraId="2D33D148" w14:textId="77777777" w:rsidR="000D07EA" w:rsidRDefault="00BE7C89">
            <w:pPr>
              <w:pStyle w:val="BodyText"/>
              <w:spacing w:before="100" w:after="100"/>
            </w:pPr>
            <w:r>
              <w:t>10c per MB or part thereof</w:t>
            </w:r>
          </w:p>
        </w:tc>
      </w:tr>
      <w:tr w:rsidR="000D07EA" w14:paraId="7669DD73" w14:textId="77777777">
        <w:tc>
          <w:tcPr>
            <w:tcW w:w="3218" w:type="dxa"/>
            <w:shd w:val="clear" w:color="auto" w:fill="auto"/>
          </w:tcPr>
          <w:p w14:paraId="20BB520C" w14:textId="77777777" w:rsidR="000D07EA" w:rsidRDefault="00BE7C89">
            <w:pPr>
              <w:pStyle w:val="BodyText"/>
              <w:spacing w:before="100" w:after="100"/>
            </w:pPr>
            <w:r>
              <w:t>$10</w:t>
            </w:r>
          </w:p>
        </w:tc>
        <w:tc>
          <w:tcPr>
            <w:tcW w:w="3218" w:type="dxa"/>
            <w:shd w:val="clear" w:color="auto" w:fill="auto"/>
          </w:tcPr>
          <w:p w14:paraId="4D4757D9" w14:textId="77777777" w:rsidR="000D07EA" w:rsidRDefault="00BE7C89">
            <w:pPr>
              <w:pStyle w:val="BodyText"/>
              <w:spacing w:before="100" w:after="100"/>
            </w:pPr>
            <w:r>
              <w:t>500MB</w:t>
            </w:r>
          </w:p>
        </w:tc>
        <w:tc>
          <w:tcPr>
            <w:tcW w:w="3218" w:type="dxa"/>
            <w:shd w:val="clear" w:color="auto" w:fill="auto"/>
          </w:tcPr>
          <w:p w14:paraId="4501F03B" w14:textId="77777777" w:rsidR="000D07EA" w:rsidRDefault="00BE7C89">
            <w:pPr>
              <w:pStyle w:val="BodyText"/>
              <w:spacing w:before="100" w:after="100"/>
            </w:pPr>
            <w:r>
              <w:t>10c per MB or part thereof</w:t>
            </w:r>
          </w:p>
        </w:tc>
      </w:tr>
    </w:tbl>
    <w:p w14:paraId="566172B2" w14:textId="77777777" w:rsidR="000D07EA" w:rsidRDefault="000D07EA">
      <w:pPr>
        <w:pStyle w:val="Heading6"/>
        <w:numPr>
          <w:ilvl w:val="0"/>
          <w:numId w:val="0"/>
        </w:numPr>
      </w:pPr>
    </w:p>
    <w:p w14:paraId="737A027C" w14:textId="77777777" w:rsidR="000D07EA" w:rsidRDefault="00BE7C89">
      <w:pPr>
        <w:pStyle w:val="Heading6"/>
        <w:keepNext/>
        <w:ind w:left="0" w:firstLine="0"/>
      </w:pPr>
      <w:r>
        <w:t>Eligibility</w:t>
      </w:r>
    </w:p>
    <w:p w14:paraId="2ABE3780" w14:textId="77777777" w:rsidR="000D07EA" w:rsidRDefault="00BE7C89">
      <w:pPr>
        <w:pStyle w:val="BodyText"/>
        <w:ind w:left="720"/>
      </w:pPr>
      <w:r>
        <w:t xml:space="preserve">The Business Complete BYO and Business Timeless BYO plans are only available to customers </w:t>
      </w:r>
      <w:r>
        <w:rPr>
          <w:i/>
        </w:rPr>
        <w:t>we</w:t>
      </w:r>
      <w:r>
        <w:t xml:space="preserve"> classify as </w:t>
      </w:r>
      <w:r>
        <w:rPr>
          <w:i/>
        </w:rPr>
        <w:t>small or medium business</w:t>
      </w:r>
      <w:r>
        <w:t xml:space="preserve"> customers who apply to connect to the service on the following terms:</w:t>
      </w:r>
    </w:p>
    <w:p w14:paraId="5E63E511" w14:textId="77777777" w:rsidR="000D07EA" w:rsidRDefault="00BE7C89">
      <w:pPr>
        <w:pStyle w:val="Heading7"/>
      </w:pPr>
      <w:r>
        <w:t xml:space="preserve">In order to be and remain eligible for the Business Complete BYO and Business Timeless BYO Offers, </w:t>
      </w:r>
      <w:r>
        <w:rPr>
          <w:i/>
        </w:rPr>
        <w:t>you</w:t>
      </w:r>
      <w:r>
        <w:t xml:space="preserve"> must: </w:t>
      </w:r>
    </w:p>
    <w:p w14:paraId="3957A687" w14:textId="77777777" w:rsidR="000D07EA" w:rsidRDefault="00BE7C89">
      <w:pPr>
        <w:pStyle w:val="Heading8"/>
      </w:pPr>
      <w:r>
        <w:t xml:space="preserve">meet all of the criteria for the particular </w:t>
      </w:r>
      <w:r>
        <w:rPr>
          <w:i/>
        </w:rPr>
        <w:t>services</w:t>
      </w:r>
      <w:r>
        <w:t xml:space="preserve"> as set out in each of the relevant </w:t>
      </w:r>
      <w:r>
        <w:rPr>
          <w:i/>
        </w:rPr>
        <w:t>service descriptions</w:t>
      </w:r>
      <w:r>
        <w:t>; and</w:t>
      </w:r>
    </w:p>
    <w:p w14:paraId="729C4B5A" w14:textId="77777777" w:rsidR="000D07EA" w:rsidRDefault="00BE7C89">
      <w:pPr>
        <w:pStyle w:val="Heading8"/>
      </w:pPr>
      <w:r>
        <w:t>receive subscription charges on a monthly single bill.</w:t>
      </w:r>
    </w:p>
    <w:p w14:paraId="7103B261" w14:textId="77777777" w:rsidR="000D07EA" w:rsidRDefault="00BE7C89">
      <w:pPr>
        <w:pStyle w:val="Heading8"/>
      </w:pPr>
      <w:r>
        <w:t>If an eligible Business Mobile Broadband (BMB) Service is also taken, you must maintain a ratio of at least one Optus Mobile Service to one BMB Service.</w:t>
      </w:r>
    </w:p>
    <w:p w14:paraId="35DF28A7" w14:textId="77777777" w:rsidR="000D07EA" w:rsidRDefault="00BE7C89">
      <w:pPr>
        <w:pStyle w:val="BodyText"/>
        <w:ind w:left="2160"/>
      </w:pPr>
      <w:r>
        <w:t xml:space="preserve">For Example, </w:t>
      </w:r>
      <w:r>
        <w:rPr>
          <w:i/>
        </w:rPr>
        <w:t>you</w:t>
      </w:r>
      <w:r>
        <w:t xml:space="preserve"> may connect two $49 Business Complete BYO Mobile Services and two $15 Business Advantage BMB Services or </w:t>
      </w:r>
      <w:r>
        <w:rPr>
          <w:i/>
        </w:rPr>
        <w:t>you</w:t>
      </w:r>
      <w:r>
        <w:t xml:space="preserve"> may connect two $89 Business Timeless BYO Services and one $10 Business Advantage BMB service. However, </w:t>
      </w:r>
      <w:r>
        <w:rPr>
          <w:i/>
        </w:rPr>
        <w:t>you</w:t>
      </w:r>
      <w:r>
        <w:t xml:space="preserve"> may not have one $49 Business Complete BYO Mobile Service and two $15 Business Advantage BMB Services.</w:t>
      </w:r>
    </w:p>
    <w:p w14:paraId="4D275A6C" w14:textId="77777777" w:rsidR="000D07EA" w:rsidRDefault="00BE7C89">
      <w:pPr>
        <w:pStyle w:val="Heading8"/>
      </w:pPr>
      <w:r>
        <w:t xml:space="preserve">connect all relevant Optus Mobile services and BMB services on the same billable account </w:t>
      </w:r>
    </w:p>
    <w:p w14:paraId="79C4AD35" w14:textId="77777777" w:rsidR="000D07EA" w:rsidRDefault="00BE7C89">
      <w:pPr>
        <w:pStyle w:val="Heading7"/>
      </w:pPr>
      <w:r>
        <w:t xml:space="preserve">If </w:t>
      </w:r>
      <w:r>
        <w:rPr>
          <w:i/>
        </w:rPr>
        <w:t>you</w:t>
      </w:r>
      <w:r>
        <w:t xml:space="preserve"> already have a non-fixed length or fixed length agreement with us for either your Optus Mobile Digital Service(s) and your Optus Mobile Service(s) and you choose to connect as a new customer to our Business Complete BYO or Business Timeless BYO offer:</w:t>
      </w:r>
    </w:p>
    <w:p w14:paraId="0935D181" w14:textId="77777777" w:rsidR="000D07EA" w:rsidRDefault="00BE7C89">
      <w:pPr>
        <w:pStyle w:val="Heading8"/>
      </w:pPr>
      <w:r>
        <w:rPr>
          <w:i/>
        </w:rPr>
        <w:t>We</w:t>
      </w:r>
      <w:r>
        <w:t xml:space="preserve"> may agree (at </w:t>
      </w:r>
      <w:r>
        <w:rPr>
          <w:i/>
        </w:rPr>
        <w:t>our</w:t>
      </w:r>
      <w:r>
        <w:t xml:space="preserve"> discretion) to transfer </w:t>
      </w:r>
      <w:r>
        <w:rPr>
          <w:i/>
        </w:rPr>
        <w:t>you</w:t>
      </w:r>
      <w:r>
        <w:t xml:space="preserve"> to the Business Complete BYO or Business Timeless BYO offer </w:t>
      </w:r>
    </w:p>
    <w:p w14:paraId="70B2F017" w14:textId="77777777" w:rsidR="000D07EA" w:rsidRDefault="00BE7C89">
      <w:pPr>
        <w:pStyle w:val="Heading8"/>
      </w:pPr>
      <w:r>
        <w:t xml:space="preserve">In the case of the above, </w:t>
      </w:r>
      <w:r>
        <w:rPr>
          <w:i/>
        </w:rPr>
        <w:t>you</w:t>
      </w:r>
      <w:r>
        <w:t xml:space="preserve"> will start a 12 month </w:t>
      </w:r>
      <w:r>
        <w:rPr>
          <w:i/>
        </w:rPr>
        <w:t>minimum term fixed length agreement</w:t>
      </w:r>
      <w:r>
        <w:t xml:space="preserve"> for the new </w:t>
      </w:r>
      <w:r>
        <w:rPr>
          <w:i/>
        </w:rPr>
        <w:t>Business Complete BYO or Business Timeless BYO offer</w:t>
      </w:r>
      <w:r>
        <w:t xml:space="preserve">. </w:t>
      </w:r>
    </w:p>
    <w:p w14:paraId="1BB1A555" w14:textId="77777777" w:rsidR="000D07EA" w:rsidRDefault="00BE7C89">
      <w:pPr>
        <w:pStyle w:val="Heading6"/>
        <w:ind w:left="0" w:firstLine="0"/>
      </w:pPr>
      <w:r>
        <w:t>Blocking access to a number</w:t>
      </w:r>
    </w:p>
    <w:p w14:paraId="092074D7" w14:textId="77777777" w:rsidR="000D07EA" w:rsidRDefault="00BE7C89">
      <w:pPr>
        <w:pStyle w:val="BodyText"/>
        <w:ind w:left="720"/>
      </w:pPr>
      <w:r>
        <w:t xml:space="preserve">In addition to what is stated in clause 11 of the </w:t>
      </w:r>
      <w:r>
        <w:rPr>
          <w:i/>
        </w:rPr>
        <w:t>service description ("Access Restrictions"), we</w:t>
      </w:r>
      <w:r>
        <w:t xml:space="preserve"> may block access to a number (other than an emergency service number) if </w:t>
      </w:r>
      <w:r>
        <w:rPr>
          <w:i/>
        </w:rPr>
        <w:t>we</w:t>
      </w:r>
      <w:r>
        <w:t xml:space="preserve"> reasonably require this to be done for technical, operational or commercial reasons.</w:t>
      </w:r>
    </w:p>
    <w:p w14:paraId="3D2F101B" w14:textId="77777777" w:rsidR="000D07EA" w:rsidRDefault="00BE7C89">
      <w:pPr>
        <w:pStyle w:val="Heading6"/>
        <w:ind w:left="0" w:firstLine="0"/>
      </w:pPr>
      <w:r>
        <w:t>Minimum Term</w:t>
      </w:r>
    </w:p>
    <w:p w14:paraId="5189B7E5" w14:textId="77777777" w:rsidR="000D07EA" w:rsidRDefault="00BE7C89">
      <w:pPr>
        <w:pStyle w:val="Heading7"/>
      </w:pPr>
      <w:r>
        <w:lastRenderedPageBreak/>
        <w:t xml:space="preserve">You must agree to a </w:t>
      </w:r>
      <w:r>
        <w:rPr>
          <w:i/>
        </w:rPr>
        <w:t xml:space="preserve">fixed length agreement </w:t>
      </w:r>
      <w:r>
        <w:t xml:space="preserve">with a 12 month minimum term. </w:t>
      </w:r>
    </w:p>
    <w:p w14:paraId="2B60AF19" w14:textId="77777777" w:rsidR="000D07EA" w:rsidRDefault="00BE7C89">
      <w:pPr>
        <w:pStyle w:val="Heading7"/>
      </w:pPr>
      <w:r>
        <w:t xml:space="preserve">Customers who elect to take up the BMB hardware must agree to a </w:t>
      </w:r>
      <w:r>
        <w:rPr>
          <w:i/>
        </w:rPr>
        <w:t>fixed length agreement</w:t>
      </w:r>
      <w:r>
        <w:t xml:space="preserve"> with a 24 month </w:t>
      </w:r>
      <w:r>
        <w:rPr>
          <w:i/>
        </w:rPr>
        <w:t>minimum term</w:t>
      </w:r>
      <w:r>
        <w:t>.</w:t>
      </w:r>
    </w:p>
    <w:p w14:paraId="372A22EE" w14:textId="77777777" w:rsidR="000D07EA" w:rsidRDefault="00BE7C89">
      <w:pPr>
        <w:pStyle w:val="BodyText"/>
        <w:ind w:left="1440"/>
      </w:pPr>
      <w:r>
        <w:rPr>
          <w:i/>
        </w:rPr>
        <w:t>You</w:t>
      </w:r>
      <w:r>
        <w:t xml:space="preserve"> may purchase a </w:t>
      </w:r>
      <w:r>
        <w:rPr>
          <w:i/>
        </w:rPr>
        <w:t>mobile phone</w:t>
      </w:r>
      <w:r>
        <w:t xml:space="preserve"> with a 12 month </w:t>
      </w:r>
      <w:r>
        <w:rPr>
          <w:i/>
        </w:rPr>
        <w:t>equipment term</w:t>
      </w:r>
      <w:r>
        <w:t xml:space="preserve"> under a </w:t>
      </w:r>
      <w:r>
        <w:rPr>
          <w:i/>
        </w:rPr>
        <w:t>mobile equipment payment plan</w:t>
      </w:r>
      <w:r>
        <w:t xml:space="preserve"> depending on </w:t>
      </w:r>
      <w:r>
        <w:rPr>
          <w:i/>
        </w:rPr>
        <w:t>your</w:t>
      </w:r>
      <w:r>
        <w:t xml:space="preserve"> contract plan. </w:t>
      </w:r>
    </w:p>
    <w:p w14:paraId="668ADDEC" w14:textId="77777777" w:rsidR="000D07EA" w:rsidRDefault="00BE7C89">
      <w:pPr>
        <w:pStyle w:val="Heading6"/>
        <w:ind w:left="0" w:firstLine="0"/>
      </w:pPr>
      <w:r>
        <w:t>What happens if you are no longer eligible</w:t>
      </w:r>
    </w:p>
    <w:p w14:paraId="7870A24A" w14:textId="77777777" w:rsidR="000D07EA" w:rsidRDefault="00BE7C89">
      <w:pPr>
        <w:pStyle w:val="Heading7"/>
      </w:pPr>
      <w:r>
        <w:t xml:space="preserve">If </w:t>
      </w:r>
      <w:r>
        <w:rPr>
          <w:i/>
        </w:rPr>
        <w:t>you</w:t>
      </w:r>
      <w:r>
        <w:t xml:space="preserve"> are no longer classified as a </w:t>
      </w:r>
      <w:r>
        <w:rPr>
          <w:i/>
        </w:rPr>
        <w:t>small and medium business</w:t>
      </w:r>
      <w:r>
        <w:t xml:space="preserve"> we may at our discretion change your Mobile Service and BMB Service to an eligible plan although other service options may be available to you and you may have to pay </w:t>
      </w:r>
      <w:r>
        <w:rPr>
          <w:i/>
        </w:rPr>
        <w:t>us</w:t>
      </w:r>
      <w:r>
        <w:t xml:space="preserve"> a cancellation fee.</w:t>
      </w:r>
    </w:p>
    <w:p w14:paraId="140EDEE1" w14:textId="77777777" w:rsidR="000D07EA" w:rsidRDefault="00BE7C89">
      <w:pPr>
        <w:pStyle w:val="Heading7"/>
      </w:pPr>
      <w:r>
        <w:t xml:space="preserve">If </w:t>
      </w:r>
      <w:r>
        <w:rPr>
          <w:i/>
        </w:rPr>
        <w:t>you</w:t>
      </w:r>
      <w:r>
        <w:t xml:space="preserve"> no longer have Mobile service on </w:t>
      </w:r>
      <w:r>
        <w:rPr>
          <w:i/>
        </w:rPr>
        <w:t>your</w:t>
      </w:r>
      <w:r>
        <w:t xml:space="preserve"> account connected to a Business Complete BYO or Business Timeless BYO Offer but have a BMB Service on a $10 or $15 Business Advantage BMB Offer we may at our discretion change </w:t>
      </w:r>
      <w:r>
        <w:rPr>
          <w:i/>
        </w:rPr>
        <w:t>your</w:t>
      </w:r>
      <w:r>
        <w:t xml:space="preserve"> BMB Service price plan to an eligible Business Mobile Broadband Plan.</w:t>
      </w:r>
    </w:p>
    <w:p w14:paraId="19892A18" w14:textId="77777777" w:rsidR="000D07EA" w:rsidRDefault="00BE7C89">
      <w:pPr>
        <w:pStyle w:val="Heading6"/>
        <w:keepNext/>
        <w:ind w:left="0" w:firstLine="0"/>
      </w:pPr>
      <w:r>
        <w:t>What you have to pay us</w:t>
      </w:r>
    </w:p>
    <w:p w14:paraId="3E2091B7" w14:textId="77777777" w:rsidR="000D07EA" w:rsidRDefault="00BE7C89">
      <w:pPr>
        <w:pStyle w:val="Heading7"/>
      </w:pPr>
      <w:r>
        <w:t xml:space="preserve">$49 Business Complete BYO Offer; Subject to paragraphs </w:t>
      </w:r>
      <w:r>
        <w:fldChar w:fldCharType="begin"/>
      </w:r>
      <w:r>
        <w:instrText xml:space="preserve"> REF _Ref461551383 \n \h </w:instrText>
      </w:r>
      <w:r>
        <w:fldChar w:fldCharType="separate"/>
      </w:r>
      <w:r w:rsidR="0004083A">
        <w:t>(b)</w:t>
      </w:r>
      <w:r>
        <w:fldChar w:fldCharType="end"/>
      </w:r>
      <w:r>
        <w:t xml:space="preserve">, </w:t>
      </w:r>
      <w:r>
        <w:fldChar w:fldCharType="begin"/>
      </w:r>
      <w:r>
        <w:instrText xml:space="preserve"> REF _Ref461551389 \n \h </w:instrText>
      </w:r>
      <w:r>
        <w:fldChar w:fldCharType="separate"/>
      </w:r>
      <w:r w:rsidR="0004083A">
        <w:t>(c)</w:t>
      </w:r>
      <w:r>
        <w:fldChar w:fldCharType="end"/>
      </w:r>
      <w:r>
        <w:t xml:space="preserve">, </w:t>
      </w:r>
      <w:r>
        <w:fldChar w:fldCharType="begin"/>
      </w:r>
      <w:r>
        <w:instrText xml:space="preserve"> REF _Ref461551400 \n \h </w:instrText>
      </w:r>
      <w:r>
        <w:fldChar w:fldCharType="separate"/>
      </w:r>
      <w:r w:rsidR="0004083A">
        <w:t>(e)</w:t>
      </w:r>
      <w:r>
        <w:fldChar w:fldCharType="end"/>
      </w:r>
      <w:r>
        <w:t xml:space="preserve">, </w:t>
      </w:r>
      <w:r>
        <w:fldChar w:fldCharType="begin"/>
      </w:r>
      <w:r>
        <w:instrText xml:space="preserve"> REF _Ref461551406 \n \h </w:instrText>
      </w:r>
      <w:r>
        <w:fldChar w:fldCharType="separate"/>
      </w:r>
      <w:r w:rsidR="0004083A">
        <w:t>(f)</w:t>
      </w:r>
      <w:r>
        <w:fldChar w:fldCharType="end"/>
      </w:r>
      <w:r>
        <w:t xml:space="preserve">, </w:t>
      </w:r>
      <w:r>
        <w:fldChar w:fldCharType="begin"/>
      </w:r>
      <w:r>
        <w:instrText xml:space="preserve"> REF _Ref461551413 \n \h </w:instrText>
      </w:r>
      <w:r>
        <w:fldChar w:fldCharType="separate"/>
      </w:r>
      <w:r w:rsidR="0004083A">
        <w:t>(g)</w:t>
      </w:r>
      <w:r>
        <w:fldChar w:fldCharType="end"/>
      </w:r>
      <w:r>
        <w:t xml:space="preserve">, </w:t>
      </w:r>
      <w:r>
        <w:fldChar w:fldCharType="begin"/>
      </w:r>
      <w:r>
        <w:instrText xml:space="preserve"> REF _Ref461551419 \n \h </w:instrText>
      </w:r>
      <w:r>
        <w:fldChar w:fldCharType="separate"/>
      </w:r>
      <w:r w:rsidR="0004083A">
        <w:t>(h)</w:t>
      </w:r>
      <w:r>
        <w:fldChar w:fldCharType="end"/>
      </w:r>
      <w:r>
        <w:t xml:space="preserve"> </w:t>
      </w:r>
      <w:r>
        <w:fldChar w:fldCharType="begin"/>
      </w:r>
      <w:r>
        <w:instrText xml:space="preserve"> REF _Ref461551425 \n \h </w:instrText>
      </w:r>
      <w:r>
        <w:fldChar w:fldCharType="separate"/>
      </w:r>
      <w:r w:rsidR="0004083A">
        <w:t>(i)</w:t>
      </w:r>
      <w:r>
        <w:fldChar w:fldCharType="end"/>
      </w:r>
      <w:r>
        <w:t xml:space="preserve">, </w:t>
      </w:r>
      <w:r>
        <w:fldChar w:fldCharType="begin"/>
      </w:r>
      <w:r>
        <w:instrText xml:space="preserve"> REF _Ref461551430 \n \h </w:instrText>
      </w:r>
      <w:r>
        <w:fldChar w:fldCharType="separate"/>
      </w:r>
      <w:r w:rsidR="0004083A">
        <w:t>(j)</w:t>
      </w:r>
      <w:r>
        <w:fldChar w:fldCharType="end"/>
      </w:r>
      <w:r>
        <w:t xml:space="preserve">, </w:t>
      </w:r>
      <w:r>
        <w:fldChar w:fldCharType="begin"/>
      </w:r>
      <w:r>
        <w:instrText xml:space="preserve"> REF _Ref461551436 \n \h </w:instrText>
      </w:r>
      <w:r>
        <w:fldChar w:fldCharType="separate"/>
      </w:r>
      <w:r w:rsidR="0004083A">
        <w:t>(k)</w:t>
      </w:r>
      <w:r>
        <w:fldChar w:fldCharType="end"/>
      </w:r>
      <w:r>
        <w:t xml:space="preserve">, </w:t>
      </w:r>
      <w:r>
        <w:fldChar w:fldCharType="begin"/>
      </w:r>
      <w:r>
        <w:instrText xml:space="preserve"> REF _Ref461551447 \n \h </w:instrText>
      </w:r>
      <w:r>
        <w:fldChar w:fldCharType="separate"/>
      </w:r>
      <w:r w:rsidR="0004083A">
        <w:t>(m)</w:t>
      </w:r>
      <w:r>
        <w:fldChar w:fldCharType="end"/>
      </w:r>
      <w:r>
        <w:t xml:space="preserve"> and </w:t>
      </w:r>
      <w:r>
        <w:fldChar w:fldCharType="begin"/>
      </w:r>
      <w:r>
        <w:instrText xml:space="preserve"> REF _Ref461551452 \n \h </w:instrText>
      </w:r>
      <w:r>
        <w:fldChar w:fldCharType="separate"/>
      </w:r>
      <w:r w:rsidR="0004083A">
        <w:t>(n)</w:t>
      </w:r>
      <w:r>
        <w:fldChar w:fldCharType="end"/>
      </w:r>
      <w:r>
        <w:t xml:space="preserve"> below, and $89, $99 Business Timeless BYO Offer; subject to paragraphs </w:t>
      </w:r>
      <w:r>
        <w:fldChar w:fldCharType="begin"/>
      </w:r>
      <w:r>
        <w:instrText xml:space="preserve"> REF _Ref461551383 \n \h </w:instrText>
      </w:r>
      <w:r>
        <w:fldChar w:fldCharType="separate"/>
      </w:r>
      <w:r w:rsidR="0004083A">
        <w:t>(b)</w:t>
      </w:r>
      <w:r>
        <w:fldChar w:fldCharType="end"/>
      </w:r>
      <w:r>
        <w:t xml:space="preserve">, </w:t>
      </w:r>
      <w:r>
        <w:fldChar w:fldCharType="begin"/>
      </w:r>
      <w:r>
        <w:instrText xml:space="preserve"> REF _Ref461551395 \n \h </w:instrText>
      </w:r>
      <w:r>
        <w:fldChar w:fldCharType="separate"/>
      </w:r>
      <w:r w:rsidR="0004083A">
        <w:t>(d)</w:t>
      </w:r>
      <w:r>
        <w:fldChar w:fldCharType="end"/>
      </w:r>
      <w:r>
        <w:t xml:space="preserve">, </w:t>
      </w:r>
      <w:r>
        <w:fldChar w:fldCharType="begin"/>
      </w:r>
      <w:r>
        <w:instrText xml:space="preserve"> REF _Ref461551400 \n \h </w:instrText>
      </w:r>
      <w:r>
        <w:fldChar w:fldCharType="separate"/>
      </w:r>
      <w:r w:rsidR="0004083A">
        <w:t>(e)</w:t>
      </w:r>
      <w:r>
        <w:fldChar w:fldCharType="end"/>
      </w:r>
      <w:r>
        <w:t xml:space="preserve">, </w:t>
      </w:r>
      <w:r>
        <w:fldChar w:fldCharType="begin"/>
      </w:r>
      <w:r>
        <w:instrText xml:space="preserve"> REF _Ref461551406 \n \h </w:instrText>
      </w:r>
      <w:r>
        <w:fldChar w:fldCharType="separate"/>
      </w:r>
      <w:r w:rsidR="0004083A">
        <w:t>(f)</w:t>
      </w:r>
      <w:r>
        <w:fldChar w:fldCharType="end"/>
      </w:r>
      <w:r>
        <w:t xml:space="preserve">, </w:t>
      </w:r>
      <w:r>
        <w:fldChar w:fldCharType="begin"/>
      </w:r>
      <w:r>
        <w:instrText xml:space="preserve"> REF _Ref461551413 \n \h </w:instrText>
      </w:r>
      <w:r>
        <w:fldChar w:fldCharType="separate"/>
      </w:r>
      <w:r w:rsidR="0004083A">
        <w:t>(g)</w:t>
      </w:r>
      <w:r>
        <w:fldChar w:fldCharType="end"/>
      </w:r>
      <w:r>
        <w:t xml:space="preserve">, </w:t>
      </w:r>
      <w:r>
        <w:fldChar w:fldCharType="begin"/>
      </w:r>
      <w:r>
        <w:instrText xml:space="preserve"> REF _Ref461551430 \n \h </w:instrText>
      </w:r>
      <w:r>
        <w:fldChar w:fldCharType="separate"/>
      </w:r>
      <w:r w:rsidR="0004083A">
        <w:t>(j)</w:t>
      </w:r>
      <w:r>
        <w:fldChar w:fldCharType="end"/>
      </w:r>
      <w:r>
        <w:t xml:space="preserve">, </w:t>
      </w:r>
      <w:r>
        <w:fldChar w:fldCharType="begin"/>
      </w:r>
      <w:r>
        <w:instrText xml:space="preserve"> REF _Ref461551436 \n \h </w:instrText>
      </w:r>
      <w:r>
        <w:fldChar w:fldCharType="separate"/>
      </w:r>
      <w:r w:rsidR="0004083A">
        <w:t>(k)</w:t>
      </w:r>
      <w:r>
        <w:fldChar w:fldCharType="end"/>
      </w:r>
      <w:r>
        <w:t xml:space="preserve">, </w:t>
      </w:r>
      <w:r>
        <w:fldChar w:fldCharType="begin"/>
      </w:r>
      <w:r>
        <w:instrText xml:space="preserve"> REF _Ref461551441 \n \h </w:instrText>
      </w:r>
      <w:r>
        <w:fldChar w:fldCharType="separate"/>
      </w:r>
      <w:r w:rsidR="0004083A">
        <w:t>(l)</w:t>
      </w:r>
      <w:r>
        <w:fldChar w:fldCharType="end"/>
      </w:r>
      <w:r>
        <w:t xml:space="preserve">, </w:t>
      </w:r>
      <w:r>
        <w:fldChar w:fldCharType="begin"/>
      </w:r>
      <w:r>
        <w:instrText xml:space="preserve"> REF _Ref461551447 \n \h </w:instrText>
      </w:r>
      <w:r>
        <w:fldChar w:fldCharType="separate"/>
      </w:r>
      <w:r w:rsidR="0004083A">
        <w:t>(m)</w:t>
      </w:r>
      <w:r>
        <w:fldChar w:fldCharType="end"/>
      </w:r>
      <w:r>
        <w:t xml:space="preserve"> and </w:t>
      </w:r>
      <w:r>
        <w:fldChar w:fldCharType="begin"/>
      </w:r>
      <w:r>
        <w:instrText xml:space="preserve"> REF _Ref461551452 \n \h </w:instrText>
      </w:r>
      <w:r>
        <w:fldChar w:fldCharType="separate"/>
      </w:r>
      <w:r w:rsidR="0004083A">
        <w:t>(n)</w:t>
      </w:r>
      <w:r>
        <w:fldChar w:fldCharType="end"/>
      </w:r>
      <w:r>
        <w:t xml:space="preserve"> below, </w:t>
      </w:r>
      <w:r>
        <w:rPr>
          <w:i/>
        </w:rPr>
        <w:t>you</w:t>
      </w:r>
      <w:r>
        <w:t xml:space="preserve"> must pay </w:t>
      </w:r>
      <w:r>
        <w:rPr>
          <w:i/>
        </w:rPr>
        <w:t>us</w:t>
      </w:r>
      <w:r>
        <w:t xml:space="preserve"> for use of the </w:t>
      </w:r>
      <w:r>
        <w:rPr>
          <w:i/>
        </w:rPr>
        <w:t>service</w:t>
      </w:r>
      <w:r>
        <w:t xml:space="preserve"> at the rates set out in </w:t>
      </w:r>
      <w:hyperlink r:id="rId329" w:history="1">
        <w:r>
          <w:rPr>
            <w:rStyle w:val="Hyperlink"/>
          </w:rPr>
          <w:t>Section 1</w:t>
        </w:r>
      </w:hyperlink>
      <w:r>
        <w:t xml:space="preserve"> of this </w:t>
      </w:r>
      <w:r>
        <w:rPr>
          <w:i/>
        </w:rPr>
        <w:t>standard pricing table</w:t>
      </w:r>
      <w:r>
        <w:t xml:space="preserve"> and for </w:t>
      </w:r>
      <w:r>
        <w:rPr>
          <w:i/>
        </w:rPr>
        <w:t>value added service features</w:t>
      </w:r>
      <w:r>
        <w:t xml:space="preserve"> at the rates set out in </w:t>
      </w:r>
      <w:hyperlink r:id="rId330" w:history="1">
        <w:r>
          <w:rPr>
            <w:rStyle w:val="Hyperlink"/>
            <w:i/>
          </w:rPr>
          <w:t>Appendix Y</w:t>
        </w:r>
      </w:hyperlink>
      <w:r>
        <w:t xml:space="preserve"> Value Added Service Features.</w:t>
      </w:r>
    </w:p>
    <w:p w14:paraId="0282FFC3" w14:textId="77777777" w:rsidR="000D07EA" w:rsidRDefault="00BE7C89">
      <w:pPr>
        <w:pStyle w:val="Heading7"/>
      </w:pPr>
      <w:bookmarkStart w:id="492" w:name="_Ref461551383"/>
      <w:r>
        <w:t xml:space="preserve">If there is a </w:t>
      </w:r>
      <w:r>
        <w:rPr>
          <w:i/>
        </w:rPr>
        <w:t>flagfall</w:t>
      </w:r>
      <w:r>
        <w:t xml:space="preserve"> or call connection charge for a particular call type, the charge for these calls is the </w:t>
      </w:r>
      <w:r>
        <w:rPr>
          <w:i/>
        </w:rPr>
        <w:t>flagfall</w:t>
      </w:r>
      <w:r>
        <w:t xml:space="preserve"> charge plus the relevant rate for the call multiplied by the duration of the call.</w:t>
      </w:r>
      <w:bookmarkEnd w:id="492"/>
    </w:p>
    <w:p w14:paraId="769A8CFD" w14:textId="77777777" w:rsidR="000D07EA" w:rsidRDefault="00BE7C89">
      <w:pPr>
        <w:pStyle w:val="Heading7"/>
        <w:rPr>
          <w:b/>
        </w:rPr>
      </w:pPr>
      <w:bookmarkStart w:id="493" w:name="_Ref461551389"/>
      <w:r>
        <w:rPr>
          <w:b/>
        </w:rPr>
        <w:t>The Business Complete BYO Cap</w:t>
      </w:r>
      <w:bookmarkEnd w:id="493"/>
      <w:r>
        <w:rPr>
          <w:b/>
        </w:rPr>
        <w:t xml:space="preserve"> </w:t>
      </w:r>
    </w:p>
    <w:p w14:paraId="221FCC1C" w14:textId="77777777" w:rsidR="000D07EA" w:rsidRDefault="00BE7C89">
      <w:pPr>
        <w:pStyle w:val="Heading8"/>
      </w:pPr>
      <w:r>
        <w:t xml:space="preserve">Under the Business Complete BYO Plan, a cap applies when the value of </w:t>
      </w:r>
      <w:r>
        <w:rPr>
          <w:b/>
        </w:rPr>
        <w:t xml:space="preserve">eligible calls and text </w:t>
      </w:r>
      <w:r>
        <w:rPr>
          <w:i/>
        </w:rPr>
        <w:t>you</w:t>
      </w:r>
      <w:r>
        <w:t xml:space="preserve"> make in a month reaches </w:t>
      </w:r>
      <w:r>
        <w:rPr>
          <w:i/>
        </w:rPr>
        <w:t xml:space="preserve">your pricing plan's </w:t>
      </w:r>
      <w:r>
        <w:rPr>
          <w:b/>
        </w:rPr>
        <w:t>cap start</w:t>
      </w:r>
      <w:r>
        <w:t xml:space="preserve">. Once </w:t>
      </w:r>
      <w:r>
        <w:rPr>
          <w:i/>
        </w:rPr>
        <w:t>your</w:t>
      </w:r>
      <w:r>
        <w:t xml:space="preserve"> eligible calls and text spend reaches the cap start, additional eligible calls and text made in that month are included until the value of </w:t>
      </w:r>
      <w:r>
        <w:rPr>
          <w:i/>
        </w:rPr>
        <w:t>your</w:t>
      </w:r>
      <w:r>
        <w:t xml:space="preserve"> eligible calls and text reach </w:t>
      </w:r>
      <w:r>
        <w:rPr>
          <w:i/>
        </w:rPr>
        <w:t>your pricing plan's</w:t>
      </w:r>
      <w:r>
        <w:t xml:space="preserve"> </w:t>
      </w:r>
      <w:r>
        <w:rPr>
          <w:b/>
        </w:rPr>
        <w:t>Included Cap Value</w:t>
      </w:r>
      <w:r>
        <w:t xml:space="preserve">. </w:t>
      </w:r>
    </w:p>
    <w:p w14:paraId="38E624DD" w14:textId="77777777" w:rsidR="000D07EA" w:rsidRDefault="00BE7C89">
      <w:pPr>
        <w:pStyle w:val="Heading8"/>
      </w:pPr>
      <w:r>
        <w:t>The '</w:t>
      </w:r>
      <w:r>
        <w:rPr>
          <w:b/>
        </w:rPr>
        <w:t>cap start</w:t>
      </w:r>
      <w:r>
        <w:t>' and '</w:t>
      </w:r>
      <w:r>
        <w:rPr>
          <w:b/>
        </w:rPr>
        <w:t>Included Cap Value</w:t>
      </w:r>
      <w:r>
        <w:t xml:space="preserve">' for each Business Complete BYO Plan is set out in Table 7 below. </w:t>
      </w:r>
    </w:p>
    <w:p w14:paraId="70211231" w14:textId="77777777" w:rsidR="000D07EA" w:rsidRDefault="00BE7C89">
      <w:pPr>
        <w:pStyle w:val="Heading8"/>
      </w:pPr>
      <w:r>
        <w:t>The call types that are '</w:t>
      </w:r>
      <w:r>
        <w:rPr>
          <w:b/>
        </w:rPr>
        <w:t>eligible calls and text</w:t>
      </w:r>
      <w:r>
        <w:t xml:space="preserve">' for each Business Complete BYO Plan is defined in Table 3 below. </w:t>
      </w:r>
    </w:p>
    <w:p w14:paraId="3FC3CED2" w14:textId="77777777" w:rsidR="000D07EA" w:rsidRDefault="00BE7C89">
      <w:pPr>
        <w:pStyle w:val="Heading8"/>
      </w:pPr>
      <w:r>
        <w:rPr>
          <w:i/>
        </w:rPr>
        <w:t>You</w:t>
      </w:r>
      <w:r>
        <w:t xml:space="preserve"> must pay </w:t>
      </w:r>
      <w:r>
        <w:rPr>
          <w:i/>
        </w:rPr>
        <w:t>us</w:t>
      </w:r>
      <w:r>
        <w:t xml:space="preserve"> call charges for ineligible calls and text made beyond the Included Cap Value of </w:t>
      </w:r>
      <w:r>
        <w:rPr>
          <w:i/>
        </w:rPr>
        <w:t>your</w:t>
      </w:r>
      <w:r>
        <w:t xml:space="preserve"> Business Complete BYO Plan.</w:t>
      </w:r>
    </w:p>
    <w:p w14:paraId="55E23337" w14:textId="77777777" w:rsidR="000D07EA" w:rsidRDefault="00BE7C89">
      <w:pPr>
        <w:pStyle w:val="Heading8"/>
      </w:pPr>
      <w:r>
        <w:t>Any unused portion of the cap expires at the end of each month. This means that it does not roll over into following month.</w:t>
      </w:r>
    </w:p>
    <w:p w14:paraId="61D3B885" w14:textId="77777777" w:rsidR="000D07EA" w:rsidRDefault="00BE7C89">
      <w:pPr>
        <w:pStyle w:val="Heading7"/>
        <w:rPr>
          <w:b/>
        </w:rPr>
      </w:pPr>
      <w:bookmarkStart w:id="494" w:name="_Ref461551395"/>
      <w:r>
        <w:rPr>
          <w:b/>
        </w:rPr>
        <w:t>The Business Timeless BYO "Included Value"</w:t>
      </w:r>
      <w:bookmarkEnd w:id="494"/>
    </w:p>
    <w:p w14:paraId="125AA39B" w14:textId="77777777" w:rsidR="000D07EA" w:rsidRDefault="00BE7C89">
      <w:pPr>
        <w:pStyle w:val="Heading8"/>
      </w:pPr>
      <w:r>
        <w:t>Under the Business Timeless BYO Plans, you will receive "Included Value" on eligible calls.</w:t>
      </w:r>
    </w:p>
    <w:p w14:paraId="3A432A41" w14:textId="77777777" w:rsidR="000D07EA" w:rsidRDefault="00BE7C89">
      <w:pPr>
        <w:pStyle w:val="Heading8"/>
      </w:pPr>
      <w:r>
        <w:t>The amount of the "Included Value" included for the Business Timeless BYO Plans are set out in Table 7 below.</w:t>
      </w:r>
    </w:p>
    <w:p w14:paraId="3DB8DB40" w14:textId="77777777" w:rsidR="000D07EA" w:rsidRDefault="00BE7C89">
      <w:pPr>
        <w:pStyle w:val="Heading8"/>
      </w:pPr>
      <w:r>
        <w:t>The call types that are 'eligible calls and text' for the Business Timeless BYO Plans under the "Included Value" are defined in Table 3 below.</w:t>
      </w:r>
    </w:p>
    <w:p w14:paraId="77C005B5" w14:textId="77777777" w:rsidR="000D07EA" w:rsidRDefault="00BE7C89">
      <w:pPr>
        <w:pStyle w:val="Heading8"/>
      </w:pPr>
      <w:r>
        <w:rPr>
          <w:i/>
        </w:rPr>
        <w:t>You</w:t>
      </w:r>
      <w:r>
        <w:t xml:space="preserve"> must pay </w:t>
      </w:r>
      <w:r>
        <w:rPr>
          <w:i/>
        </w:rPr>
        <w:t>us</w:t>
      </w:r>
      <w:r>
        <w:t xml:space="preserve"> call charges for ineligible calls and text.</w:t>
      </w:r>
    </w:p>
    <w:p w14:paraId="1CA7DA55" w14:textId="77777777" w:rsidR="000D07EA" w:rsidRDefault="00BE7C89">
      <w:pPr>
        <w:pStyle w:val="Heading8"/>
      </w:pPr>
      <w:r>
        <w:lastRenderedPageBreak/>
        <w:t>Any unused portion of the "Mobile Internet Data Value" expires at the end of each month and does not rollover into the following month.</w:t>
      </w:r>
    </w:p>
    <w:p w14:paraId="6E6F9FCE" w14:textId="77777777" w:rsidR="000D07EA" w:rsidRDefault="00BE7C89">
      <w:pPr>
        <w:pStyle w:val="Heading7"/>
        <w:rPr>
          <w:b/>
        </w:rPr>
      </w:pPr>
      <w:bookmarkStart w:id="495" w:name="_Ref461551400"/>
      <w:r>
        <w:rPr>
          <w:b/>
        </w:rPr>
        <w:t>Minimum Monthly Charge</w:t>
      </w:r>
      <w:bookmarkEnd w:id="495"/>
    </w:p>
    <w:p w14:paraId="4B529321" w14:textId="77777777" w:rsidR="000D07EA" w:rsidRDefault="00BE7C89">
      <w:pPr>
        <w:pStyle w:val="Heading8"/>
      </w:pPr>
      <w:r>
        <w:t xml:space="preserve">The Business Complete BYO and Business Timeless BYO Plan has a Minimum Monthly Charge amount that </w:t>
      </w:r>
      <w:r>
        <w:rPr>
          <w:i/>
        </w:rPr>
        <w:t>you</w:t>
      </w:r>
      <w:r>
        <w:t xml:space="preserve"> must pay </w:t>
      </w:r>
      <w:r>
        <w:rPr>
          <w:i/>
        </w:rPr>
        <w:t>us</w:t>
      </w:r>
      <w:r>
        <w:t xml:space="preserve"> each month. </w:t>
      </w:r>
    </w:p>
    <w:p w14:paraId="39E3250B" w14:textId="77777777" w:rsidR="000D07EA" w:rsidRDefault="00BE7C89">
      <w:pPr>
        <w:pStyle w:val="Heading8"/>
      </w:pPr>
      <w:r>
        <w:t xml:space="preserve">If </w:t>
      </w:r>
      <w:r>
        <w:rPr>
          <w:i/>
        </w:rPr>
        <w:t>you</w:t>
      </w:r>
      <w:r>
        <w:t xml:space="preserve"> do not make enough eligible calls and text in a month to reach </w:t>
      </w:r>
      <w:r>
        <w:rPr>
          <w:i/>
        </w:rPr>
        <w:t>your</w:t>
      </w:r>
      <w:r>
        <w:t xml:space="preserve"> </w:t>
      </w:r>
      <w:r>
        <w:rPr>
          <w:i/>
        </w:rPr>
        <w:t>pricing</w:t>
      </w:r>
      <w:r>
        <w:t xml:space="preserve"> </w:t>
      </w:r>
      <w:r>
        <w:rPr>
          <w:i/>
        </w:rPr>
        <w:t>plan's</w:t>
      </w:r>
      <w:r>
        <w:t xml:space="preserve"> </w:t>
      </w:r>
      <w:r>
        <w:rPr>
          <w:i/>
        </w:rPr>
        <w:t>cap</w:t>
      </w:r>
      <w:r>
        <w:t xml:space="preserve"> </w:t>
      </w:r>
      <w:r>
        <w:rPr>
          <w:i/>
        </w:rPr>
        <w:t>start</w:t>
      </w:r>
      <w:r>
        <w:t xml:space="preserve"> (or Minimum Monthly Charge) </w:t>
      </w:r>
      <w:r>
        <w:rPr>
          <w:i/>
        </w:rPr>
        <w:t>you</w:t>
      </w:r>
      <w:r>
        <w:t xml:space="preserve"> must still pay </w:t>
      </w:r>
      <w:r>
        <w:rPr>
          <w:i/>
        </w:rPr>
        <w:t>us</w:t>
      </w:r>
      <w:r>
        <w:t xml:space="preserve"> your pricing plan's Minimum Monthly Charge for that month.</w:t>
      </w:r>
    </w:p>
    <w:p w14:paraId="5A10D87B" w14:textId="77777777" w:rsidR="000D07EA" w:rsidRDefault="00BE7C89">
      <w:pPr>
        <w:pStyle w:val="Heading8"/>
      </w:pPr>
      <w:r>
        <w:t>The amount of the Minimum Monthly Charge and included calls for each Business Complete BYO and Business Timeless BYO Plan is set out in Table 7 below.</w:t>
      </w:r>
    </w:p>
    <w:p w14:paraId="534DDD72" w14:textId="77777777" w:rsidR="000D07EA" w:rsidRDefault="00BE7C89">
      <w:pPr>
        <w:pStyle w:val="Heading7"/>
        <w:keepNext/>
        <w:rPr>
          <w:b/>
        </w:rPr>
      </w:pPr>
      <w:bookmarkStart w:id="496" w:name="_Ref461551406"/>
      <w:r>
        <w:rPr>
          <w:b/>
        </w:rPr>
        <w:t>Included Mobile Internet Data value or Unlimited BlackBerry POP3 Email and BlackBerry Browsing through the BlackBerry Browser</w:t>
      </w:r>
      <w:bookmarkEnd w:id="496"/>
      <w:r>
        <w:rPr>
          <w:b/>
        </w:rPr>
        <w:t xml:space="preserve"> </w:t>
      </w:r>
    </w:p>
    <w:p w14:paraId="6D35346E" w14:textId="77777777" w:rsidR="000D07EA" w:rsidRDefault="00BE7C89">
      <w:pPr>
        <w:pStyle w:val="Heading8"/>
      </w:pPr>
      <w:r>
        <w:t xml:space="preserve">Under the Business Complete BYO and Business Timeless BYO Plans, </w:t>
      </w:r>
      <w:r>
        <w:rPr>
          <w:i/>
        </w:rPr>
        <w:t>you</w:t>
      </w:r>
      <w:r>
        <w:t xml:space="preserve"> can choose from </w:t>
      </w:r>
    </w:p>
    <w:p w14:paraId="2D294DE2" w14:textId="77777777" w:rsidR="000D07EA" w:rsidRDefault="00BE7C89">
      <w:pPr>
        <w:pStyle w:val="Heading9"/>
      </w:pPr>
      <w:r>
        <w:t>included Mobile Internet Data Value; or</w:t>
      </w:r>
    </w:p>
    <w:p w14:paraId="249D9C90" w14:textId="77777777" w:rsidR="000D07EA" w:rsidRDefault="00BE7C89">
      <w:pPr>
        <w:pStyle w:val="Heading9"/>
      </w:pPr>
      <w:r>
        <w:t>Unlimited BlackBerry POP3 Email and BlackBerry Browsing through the BlackBerry Browser</w:t>
      </w:r>
    </w:p>
    <w:p w14:paraId="4D8C0266" w14:textId="77777777" w:rsidR="000D07EA" w:rsidRDefault="00BE7C89">
      <w:pPr>
        <w:pStyle w:val="BodyText"/>
        <w:ind w:left="1440" w:firstLine="720"/>
      </w:pPr>
      <w:r>
        <w:t>To use within Australia.</w:t>
      </w:r>
    </w:p>
    <w:p w14:paraId="0F44E4D7" w14:textId="77777777" w:rsidR="000D07EA" w:rsidRDefault="00BE7C89">
      <w:pPr>
        <w:pStyle w:val="Heading8"/>
      </w:pPr>
      <w:r>
        <w:t>If you select the included Mobile Internet Data Value option:</w:t>
      </w:r>
    </w:p>
    <w:p w14:paraId="610BC127" w14:textId="77777777" w:rsidR="000D07EA" w:rsidRDefault="00BE7C89">
      <w:pPr>
        <w:pStyle w:val="Heading9"/>
      </w:pPr>
      <w:r>
        <w:t>The amount of the "Mobile Internet Data Value" included that can be used within Australia for each Business Complete BYO and Business Timeless BYO Plan is set out in Table 7 below.</w:t>
      </w:r>
    </w:p>
    <w:p w14:paraId="1AFDE616" w14:textId="77777777" w:rsidR="000D07EA" w:rsidRDefault="00BE7C89">
      <w:pPr>
        <w:pStyle w:val="Heading9"/>
      </w:pPr>
      <w:r>
        <w:t>The usage types that are '</w:t>
      </w:r>
      <w:r>
        <w:rPr>
          <w:b/>
        </w:rPr>
        <w:t>eligible data</w:t>
      </w:r>
      <w:r>
        <w:t>' for each Business Complete BYO and Business Timeless BYO Plan under the included Mobile Internet Data Value are defined in Table 4 below.</w:t>
      </w:r>
    </w:p>
    <w:p w14:paraId="1970A992" w14:textId="77777777" w:rsidR="000D07EA" w:rsidRDefault="00BE7C89">
      <w:pPr>
        <w:pStyle w:val="Heading9"/>
      </w:pPr>
      <w:r>
        <w:t xml:space="preserve">The included data of the Business Complete BYO and Business Timeless BYO plan can be shared with an eligible Business Mobile Broadband service, within Australia. </w:t>
      </w:r>
    </w:p>
    <w:p w14:paraId="1225F5C6" w14:textId="77777777" w:rsidR="000D07EA" w:rsidRDefault="00BE7C89">
      <w:pPr>
        <w:pStyle w:val="Heading9"/>
      </w:pPr>
      <w:r>
        <w:rPr>
          <w:i/>
          <w:iCs/>
          <w:szCs w:val="24"/>
        </w:rPr>
        <w:t>You</w:t>
      </w:r>
      <w:r>
        <w:t xml:space="preserve"> must pay </w:t>
      </w:r>
      <w:r>
        <w:rPr>
          <w:i/>
          <w:iCs/>
          <w:szCs w:val="24"/>
        </w:rPr>
        <w:t>us</w:t>
      </w:r>
      <w:r>
        <w:t xml:space="preserve"> excess usage charges for data made beyond the available "Mobile Internet Data Value" as shown in Table 7 below. </w:t>
      </w:r>
    </w:p>
    <w:p w14:paraId="55525517" w14:textId="77777777" w:rsidR="000D07EA" w:rsidRDefault="00BE7C89">
      <w:pPr>
        <w:pStyle w:val="Heading9"/>
      </w:pPr>
      <w:r>
        <w:t xml:space="preserve">Any unused portion of the "Mobile Internet Data Value" expires at the end of each month and does not rollover into the following month. </w:t>
      </w:r>
    </w:p>
    <w:p w14:paraId="52973AFB" w14:textId="77777777" w:rsidR="000D07EA" w:rsidRDefault="00BE7C89">
      <w:pPr>
        <w:pStyle w:val="Heading8"/>
      </w:pPr>
      <w:r>
        <w:t>If you select the Unlimited BlackBerry POP3 Email and BlackBerry Browsing through the BlackBerry Browser option:</w:t>
      </w:r>
    </w:p>
    <w:p w14:paraId="0EBE910B" w14:textId="77777777" w:rsidR="000D07EA" w:rsidRDefault="00BE7C89">
      <w:pPr>
        <w:pStyle w:val="Heading9"/>
      </w:pPr>
      <w:r>
        <w:rPr>
          <w:i/>
          <w:iCs/>
          <w:szCs w:val="24"/>
        </w:rPr>
        <w:t>You</w:t>
      </w:r>
      <w:r>
        <w:t xml:space="preserve"> will only receive unlimited BlackBerry POP3 Email and BlackBerry Browsing through the BlackBerry Internet Browser or the BlackBerry Browser and use of applications from Optus and third party applications that require a BlackBerry Data connection, within Australia.</w:t>
      </w:r>
    </w:p>
    <w:p w14:paraId="3FCF0F04" w14:textId="77777777" w:rsidR="000D07EA" w:rsidRDefault="00BE7C89">
      <w:pPr>
        <w:pStyle w:val="Heading9"/>
      </w:pPr>
      <w:r>
        <w:rPr>
          <w:i/>
          <w:iCs/>
          <w:szCs w:val="24"/>
        </w:rPr>
        <w:t>You</w:t>
      </w:r>
      <w:r>
        <w:t xml:space="preserve"> will also receive an amount of "Mobile Internet Data Value" which is set out in Table 7 below. </w:t>
      </w:r>
    </w:p>
    <w:p w14:paraId="057FD2E4" w14:textId="77777777" w:rsidR="000D07EA" w:rsidRDefault="00BE7C89">
      <w:pPr>
        <w:pStyle w:val="Heading9"/>
      </w:pPr>
      <w:r>
        <w:t xml:space="preserve">The included data of the Business Complete BYO or Business Timeless BYO plan can be shared with an eligible Business Mobile Broadband service. </w:t>
      </w:r>
    </w:p>
    <w:p w14:paraId="13CA1E6B" w14:textId="77777777" w:rsidR="000D07EA" w:rsidRDefault="00BE7C89">
      <w:pPr>
        <w:pStyle w:val="Heading9"/>
      </w:pPr>
      <w:r>
        <w:rPr>
          <w:i/>
          <w:iCs/>
          <w:szCs w:val="24"/>
        </w:rPr>
        <w:lastRenderedPageBreak/>
        <w:t>You</w:t>
      </w:r>
      <w:r>
        <w:t xml:space="preserve"> must pay </w:t>
      </w:r>
      <w:r>
        <w:rPr>
          <w:i/>
          <w:iCs/>
          <w:szCs w:val="24"/>
        </w:rPr>
        <w:t>us</w:t>
      </w:r>
      <w:r>
        <w:t xml:space="preserve"> excess usage charges for data made beyond the available "Mobile Internet Data Value". </w:t>
      </w:r>
    </w:p>
    <w:p w14:paraId="4BFD9B14" w14:textId="77777777" w:rsidR="000D07EA" w:rsidRDefault="00BE7C89">
      <w:pPr>
        <w:pStyle w:val="Heading9"/>
      </w:pPr>
      <w:r>
        <w:t>Any unused portion of the "Mobile Internet Data Value" expires at the end of each month and does not roll over into the following month.</w:t>
      </w:r>
    </w:p>
    <w:p w14:paraId="5B332E8C" w14:textId="77777777" w:rsidR="000D07EA" w:rsidRDefault="00BE7C89">
      <w:pPr>
        <w:pStyle w:val="Heading9"/>
      </w:pPr>
      <w:r>
        <w:t>The usage types that are '</w:t>
      </w:r>
      <w:r>
        <w:rPr>
          <w:b/>
        </w:rPr>
        <w:t>eligible data</w:t>
      </w:r>
      <w:r>
        <w:t>' for each Business Complete BYO or Business Timeless BYO Plan under the Unlimited BlackBerry POP3 Email and BlackBerry Browsing through the BlackBerry Browser are defined in Table 5 below.</w:t>
      </w:r>
    </w:p>
    <w:p w14:paraId="558D9A5B" w14:textId="77777777" w:rsidR="000D07EA" w:rsidRDefault="00BE7C89">
      <w:pPr>
        <w:pStyle w:val="Heading9"/>
      </w:pPr>
      <w:r>
        <w:t>Use of Unlimited BlackBerry POP3 Email is for personal or business use. Fair Go Policy (</w:t>
      </w:r>
      <w:hyperlink r:id="rId331" w:history="1">
        <w:r>
          <w:rPr>
            <w:rStyle w:val="Hyperlink"/>
            <w:i/>
          </w:rPr>
          <w:t>Appendix S</w:t>
        </w:r>
      </w:hyperlink>
      <w:r>
        <w:t xml:space="preserve">) also applies to unacceptable use. Please refer to </w:t>
      </w:r>
      <w:hyperlink r:id="rId332" w:history="1">
        <w:r w:rsidR="00F84E53">
          <w:rPr>
            <w:rStyle w:val="Hyperlink"/>
            <w:i/>
          </w:rPr>
          <w:t>Appendix S</w:t>
        </w:r>
      </w:hyperlink>
      <w:r>
        <w:t xml:space="preserve"> for further details</w:t>
      </w:r>
    </w:p>
    <w:p w14:paraId="34678BAC" w14:textId="77777777" w:rsidR="000D07EA" w:rsidRDefault="00BE7C89">
      <w:pPr>
        <w:pStyle w:val="Heading7"/>
        <w:keepNext/>
        <w:rPr>
          <w:b/>
        </w:rPr>
      </w:pPr>
      <w:bookmarkStart w:id="497" w:name="_Ref461551413"/>
      <w:r>
        <w:rPr>
          <w:b/>
        </w:rPr>
        <w:t>Unlimited mobile access to Facebook®, Twitter, LinkedIn, Ebay, FourSquare and MySpace</w:t>
      </w:r>
      <w:bookmarkEnd w:id="497"/>
    </w:p>
    <w:p w14:paraId="03660D92" w14:textId="77777777" w:rsidR="000D07EA" w:rsidRDefault="00BE7C89">
      <w:pPr>
        <w:pStyle w:val="Heading8"/>
      </w:pPr>
      <w:bookmarkStart w:id="498" w:name="_Ref461551675"/>
      <w:r>
        <w:t xml:space="preserve">Under the Business Complete BYO and Business Timeless BYO Plans, </w:t>
      </w:r>
      <w:r>
        <w:rPr>
          <w:i/>
        </w:rPr>
        <w:t>you</w:t>
      </w:r>
      <w:r>
        <w:t xml:space="preserve"> will receive unlimited mobile access, within Australia, to Facebook®, Twitter, LinkedIn, Ebay, FourSquare and MySpace.</w:t>
      </w:r>
      <w:bookmarkEnd w:id="498"/>
    </w:p>
    <w:p w14:paraId="7D234379" w14:textId="77777777" w:rsidR="000D07EA" w:rsidRDefault="00BE7C89">
      <w:pPr>
        <w:pStyle w:val="Heading8"/>
      </w:pPr>
      <w:r>
        <w:t xml:space="preserve">Usage of the services described in paragraph </w:t>
      </w:r>
      <w:r>
        <w:fldChar w:fldCharType="begin"/>
      </w:r>
      <w:r>
        <w:instrText xml:space="preserve"> REF _Ref461551413 \n \h </w:instrText>
      </w:r>
      <w:r>
        <w:fldChar w:fldCharType="separate"/>
      </w:r>
      <w:r w:rsidR="0004083A">
        <w:t>(g)</w:t>
      </w:r>
      <w:r>
        <w:fldChar w:fldCharType="end"/>
      </w:r>
      <w:r>
        <w:fldChar w:fldCharType="begin"/>
      </w:r>
      <w:r>
        <w:instrText xml:space="preserve"> REF _Ref461551675 \n \h </w:instrText>
      </w:r>
      <w:r>
        <w:fldChar w:fldCharType="separate"/>
      </w:r>
      <w:r w:rsidR="0004083A">
        <w:t>(i)</w:t>
      </w:r>
      <w:r>
        <w:fldChar w:fldCharType="end"/>
      </w:r>
      <w:r>
        <w:t xml:space="preserve"> is separate to and is not included in your "Mobile Internet Data Value" and your Business Advantage Business Mobile Broadband Service (if applicable) and may be accessed on your mobile handset, within Australia, only. </w:t>
      </w:r>
    </w:p>
    <w:p w14:paraId="4CE063F4" w14:textId="77777777" w:rsidR="000D07EA" w:rsidRDefault="00BE7C89">
      <w:pPr>
        <w:pStyle w:val="Heading8"/>
      </w:pPr>
      <w:r>
        <w:t>These features are only available to you if your handset is compatible with the service.</w:t>
      </w:r>
    </w:p>
    <w:p w14:paraId="5767702A" w14:textId="77777777" w:rsidR="000D07EA" w:rsidRDefault="00BE7C89">
      <w:pPr>
        <w:pStyle w:val="Heading8"/>
      </w:pPr>
      <w:r>
        <w:t xml:space="preserve">Use of Unlimited mobile access to Facebook®, Twitter, LinkedIn, Ebay, FourSquare and MySpace is for personal or business use. Please refer to Appendix </w:t>
      </w:r>
      <w:r w:rsidR="00DD7FB0">
        <w:t>S</w:t>
      </w:r>
      <w:r>
        <w:t xml:space="preserve"> for further details. </w:t>
      </w:r>
    </w:p>
    <w:p w14:paraId="3646E402" w14:textId="77777777" w:rsidR="000D07EA" w:rsidRDefault="00BE7C89">
      <w:pPr>
        <w:pStyle w:val="Heading7"/>
        <w:rPr>
          <w:b/>
        </w:rPr>
      </w:pPr>
      <w:bookmarkStart w:id="499" w:name="_Ref461551419"/>
      <w:r>
        <w:rPr>
          <w:b/>
        </w:rPr>
        <w:t>Unlimited Standard National SMS &amp; MMS Offer on the $49 Business Complete BYO Plan.</w:t>
      </w:r>
      <w:bookmarkEnd w:id="499"/>
    </w:p>
    <w:p w14:paraId="58A5F804" w14:textId="77777777" w:rsidR="000D07EA" w:rsidRDefault="00BE7C89">
      <w:pPr>
        <w:pStyle w:val="Heading8"/>
      </w:pPr>
      <w:r>
        <w:t xml:space="preserve">Under the $49 Business Complete BYO plan </w:t>
      </w:r>
      <w:r>
        <w:rPr>
          <w:i/>
        </w:rPr>
        <w:t>you</w:t>
      </w:r>
      <w:r>
        <w:t xml:space="preserve"> will receive the Unlimited standard national SMS &amp; MMS Offer and may send unlimited standard national SMS and MMS to Australian GSM mobiles (excluding Pivotel), within Australia.</w:t>
      </w:r>
    </w:p>
    <w:p w14:paraId="7228A2BE" w14:textId="77777777" w:rsidR="000D07EA" w:rsidRDefault="00BE7C89">
      <w:pPr>
        <w:pStyle w:val="Heading8"/>
      </w:pPr>
      <w:r>
        <w:t>Unlimited standard national SMS &amp; MMS offer excludes International, Premium, Group and Email SMS and MMS.</w:t>
      </w:r>
    </w:p>
    <w:p w14:paraId="1BF84571" w14:textId="77777777" w:rsidR="000D07EA" w:rsidRDefault="00BE7C89">
      <w:pPr>
        <w:pStyle w:val="Heading8"/>
      </w:pPr>
      <w:r>
        <w:t>You must pay for any messages that are not eligible messages.</w:t>
      </w:r>
    </w:p>
    <w:p w14:paraId="1E8CC19E" w14:textId="77777777" w:rsidR="000D07EA" w:rsidRDefault="00BE7C89">
      <w:pPr>
        <w:pStyle w:val="Heading8"/>
      </w:pPr>
      <w:r>
        <w:t xml:space="preserve">The unlimited standard national SMS &amp; MMS offer only applies for personal and business use. For further details refer to Appendix </w:t>
      </w:r>
      <w:r w:rsidR="00DD7FB0">
        <w:t>S</w:t>
      </w:r>
      <w:r>
        <w:t xml:space="preserve">. </w:t>
      </w:r>
    </w:p>
    <w:p w14:paraId="18EC7B67" w14:textId="77777777" w:rsidR="000D07EA" w:rsidRDefault="00BE7C89">
      <w:pPr>
        <w:pStyle w:val="Heading7"/>
        <w:rPr>
          <w:b/>
        </w:rPr>
      </w:pPr>
      <w:bookmarkStart w:id="500" w:name="_Ref461551425"/>
      <w:r>
        <w:rPr>
          <w:b/>
        </w:rPr>
        <w:t>Unlimited Optus GSM Mobile Calls on Same Customer Account Number Offer on the $49 Business Complete BYO Plan.</w:t>
      </w:r>
      <w:bookmarkEnd w:id="500"/>
    </w:p>
    <w:p w14:paraId="4346F051" w14:textId="77777777" w:rsidR="000D07EA" w:rsidRDefault="00BE7C89">
      <w:pPr>
        <w:pStyle w:val="Heading8"/>
      </w:pPr>
      <w:r>
        <w:t xml:space="preserve">If </w:t>
      </w:r>
      <w:r>
        <w:rPr>
          <w:i/>
        </w:rPr>
        <w:t>you</w:t>
      </w:r>
      <w:r>
        <w:t xml:space="preserve"> connect to the $49 Business Complete BYO Plan, </w:t>
      </w:r>
      <w:r>
        <w:rPr>
          <w:i/>
        </w:rPr>
        <w:t>you</w:t>
      </w:r>
      <w:r>
        <w:t xml:space="preserve"> will receive unlimited national standard voice and video calls within Australia to other Optus GSM Mobile services on the same customer account number for no additional cost. Fair Go Policy (</w:t>
      </w:r>
      <w:hyperlink r:id="rId333" w:history="1">
        <w:r>
          <w:rPr>
            <w:rStyle w:val="Hyperlink"/>
            <w:i/>
          </w:rPr>
          <w:t>Appendix S</w:t>
        </w:r>
      </w:hyperlink>
      <w:r>
        <w:t>) applies.</w:t>
      </w:r>
    </w:p>
    <w:p w14:paraId="137E1B5C" w14:textId="77777777" w:rsidR="000D07EA" w:rsidRDefault="00BE7C89">
      <w:pPr>
        <w:pStyle w:val="Heading8"/>
      </w:pPr>
      <w:r>
        <w:t>You must pay for any calls that are not eligible calls.</w:t>
      </w:r>
    </w:p>
    <w:p w14:paraId="67EC5A48" w14:textId="77777777" w:rsidR="000D07EA" w:rsidRDefault="00BE7C89">
      <w:pPr>
        <w:pStyle w:val="Heading8"/>
      </w:pPr>
      <w:r>
        <w:t>The Fair Go Policy (</w:t>
      </w:r>
      <w:hyperlink r:id="rId334" w:history="1">
        <w:r>
          <w:rPr>
            <w:rStyle w:val="Hyperlink"/>
            <w:i/>
          </w:rPr>
          <w:t>Appendix S</w:t>
        </w:r>
      </w:hyperlink>
      <w:r>
        <w:t xml:space="preserve">) applies for the use of Unlimited Optus GSM Mobile Calls on Same Customer Account Number Offer. Please refer to </w:t>
      </w:r>
      <w:hyperlink r:id="rId335" w:history="1">
        <w:r w:rsidR="00F84E53">
          <w:rPr>
            <w:rStyle w:val="Hyperlink"/>
            <w:i/>
          </w:rPr>
          <w:t>Appendix S</w:t>
        </w:r>
      </w:hyperlink>
      <w:r>
        <w:t xml:space="preserve"> for further details.</w:t>
      </w:r>
    </w:p>
    <w:p w14:paraId="71506F65" w14:textId="77777777" w:rsidR="000D07EA" w:rsidRDefault="00BE7C89">
      <w:pPr>
        <w:pStyle w:val="Heading7"/>
        <w:rPr>
          <w:b/>
        </w:rPr>
      </w:pPr>
      <w:bookmarkStart w:id="501" w:name="_Ref461551430"/>
      <w:r>
        <w:rPr>
          <w:b/>
        </w:rPr>
        <w:t xml:space="preserve">Upon connection to the Business Complete BYO or Business Timeless BYO plans </w:t>
      </w:r>
      <w:r>
        <w:rPr>
          <w:b/>
          <w:i/>
          <w:iCs/>
        </w:rPr>
        <w:t>you</w:t>
      </w:r>
      <w:r>
        <w:rPr>
          <w:b/>
        </w:rPr>
        <w:t xml:space="preserve"> will receive Unlimited VoiceMail.</w:t>
      </w:r>
      <w:bookmarkEnd w:id="501"/>
      <w:r>
        <w:rPr>
          <w:b/>
        </w:rPr>
        <w:t xml:space="preserve"> </w:t>
      </w:r>
    </w:p>
    <w:p w14:paraId="35CE5D78" w14:textId="77777777" w:rsidR="000D07EA" w:rsidRDefault="00BE7C89">
      <w:pPr>
        <w:pStyle w:val="BodyText"/>
        <w:ind w:left="1440"/>
      </w:pPr>
      <w:r>
        <w:t>Unlimited VoiceMail applies to VoiceMail Deposits and Retrievals, within Australia. Diversion charges may still apply. Subject to Fair Go Policy (</w:t>
      </w:r>
      <w:hyperlink r:id="rId336" w:history="1">
        <w:r>
          <w:rPr>
            <w:rStyle w:val="Hyperlink"/>
            <w:i/>
          </w:rPr>
          <w:t>Appendix S</w:t>
        </w:r>
      </w:hyperlink>
      <w:r>
        <w:t>).</w:t>
      </w:r>
    </w:p>
    <w:p w14:paraId="48E48E19" w14:textId="77777777" w:rsidR="000D07EA" w:rsidRDefault="00BE7C89">
      <w:pPr>
        <w:pStyle w:val="Heading7"/>
        <w:rPr>
          <w:b/>
        </w:rPr>
      </w:pPr>
      <w:bookmarkStart w:id="502" w:name="_Ref461551436"/>
      <w:r>
        <w:rPr>
          <w:b/>
        </w:rPr>
        <w:lastRenderedPageBreak/>
        <w:t>Other Business Complete BYO and Business Timeless BYO Plans Conditions:</w:t>
      </w:r>
      <w:bookmarkEnd w:id="502"/>
      <w:r>
        <w:rPr>
          <w:b/>
        </w:rPr>
        <w:t xml:space="preserve"> </w:t>
      </w:r>
    </w:p>
    <w:p w14:paraId="032C3631" w14:textId="77777777" w:rsidR="000D07EA" w:rsidRDefault="00BE7C89">
      <w:pPr>
        <w:pStyle w:val="Heading8"/>
      </w:pPr>
      <w:r>
        <w:t>The Fair Go Policy (</w:t>
      </w:r>
      <w:hyperlink r:id="rId337" w:history="1">
        <w:r>
          <w:rPr>
            <w:rStyle w:val="Hyperlink"/>
            <w:i/>
          </w:rPr>
          <w:t>Appendix S</w:t>
        </w:r>
      </w:hyperlink>
      <w:r>
        <w:t xml:space="preserve">) applies to Voice Over Internet Protocol (VOIP) services up to 10 megabytes per month. Please refer to </w:t>
      </w:r>
      <w:hyperlink r:id="rId338" w:history="1">
        <w:r w:rsidR="00F84E53">
          <w:rPr>
            <w:rStyle w:val="Hyperlink"/>
            <w:i/>
          </w:rPr>
          <w:t>Appendix S</w:t>
        </w:r>
      </w:hyperlink>
      <w:r>
        <w:t>.</w:t>
      </w:r>
    </w:p>
    <w:p w14:paraId="5227B8DC" w14:textId="77777777" w:rsidR="000D07EA" w:rsidRDefault="00BE7C89">
      <w:pPr>
        <w:pStyle w:val="Heading8"/>
      </w:pPr>
      <w:r>
        <w:t xml:space="preserve">Voice Over Internet Protocol (VOIP) services will be charged at 1.5c per kilobyte of usage, capped at $9.90 per month until </w:t>
      </w:r>
      <w:r>
        <w:rPr>
          <w:i/>
        </w:rPr>
        <w:t>you</w:t>
      </w:r>
      <w:r>
        <w:t xml:space="preserve"> reach 5 megabytes of usage in that month, after which </w:t>
      </w:r>
      <w:r>
        <w:rPr>
          <w:i/>
        </w:rPr>
        <w:t>you</w:t>
      </w:r>
      <w:r>
        <w:t xml:space="preserve"> will be charged at 0.3c per kilobyte of usage for the remainder of that month.</w:t>
      </w:r>
    </w:p>
    <w:p w14:paraId="58EBBF91" w14:textId="77777777" w:rsidR="000D07EA" w:rsidRDefault="00BE7C89">
      <w:pPr>
        <w:pStyle w:val="Heading8"/>
      </w:pPr>
      <w:r>
        <w:t xml:space="preserve">Available features will vary depending on </w:t>
      </w:r>
      <w:r>
        <w:rPr>
          <w:i/>
        </w:rPr>
        <w:t>your</w:t>
      </w:r>
      <w:r>
        <w:t xml:space="preserve"> handset or software version. </w:t>
      </w:r>
    </w:p>
    <w:p w14:paraId="672100E1" w14:textId="77777777" w:rsidR="000D07EA" w:rsidRDefault="00BE7C89">
      <w:pPr>
        <w:pStyle w:val="Heading7"/>
        <w:keepNext/>
        <w:rPr>
          <w:b/>
        </w:rPr>
      </w:pPr>
      <w:bookmarkStart w:id="503" w:name="_Ref461551441"/>
      <w:r>
        <w:rPr>
          <w:b/>
        </w:rPr>
        <w:t>Included International Value</w:t>
      </w:r>
      <w:bookmarkEnd w:id="503"/>
    </w:p>
    <w:p w14:paraId="782BA475" w14:textId="77777777" w:rsidR="000D07EA" w:rsidRDefault="00BE7C89">
      <w:pPr>
        <w:pStyle w:val="Heading8"/>
      </w:pPr>
      <w:r>
        <w:t xml:space="preserve">On the $99 Business Timeless BYO plan </w:t>
      </w:r>
      <w:r>
        <w:rPr>
          <w:i/>
        </w:rPr>
        <w:t>you</w:t>
      </w:r>
      <w:r>
        <w:t xml:space="preserve"> will receive included International Value. The amount of the International Value included for the $99 Business Timeless BYO plan is defined in Table 7 below.</w:t>
      </w:r>
    </w:p>
    <w:p w14:paraId="3D510BD9" w14:textId="77777777" w:rsidR="000D07EA" w:rsidRDefault="00BE7C89">
      <w:pPr>
        <w:pStyle w:val="Heading8"/>
      </w:pPr>
      <w:r>
        <w:t>The usage types that are '</w:t>
      </w:r>
      <w:r>
        <w:rPr>
          <w:b/>
        </w:rPr>
        <w:t>eligible calls and charges</w:t>
      </w:r>
      <w:r>
        <w:t>' for the $99 Business Timeless BYO plan under the include International Value is defined in Table 6 below.</w:t>
      </w:r>
    </w:p>
    <w:p w14:paraId="69405AAC" w14:textId="77777777" w:rsidR="000D07EA" w:rsidRDefault="00BE7C89">
      <w:pPr>
        <w:pStyle w:val="Heading8"/>
      </w:pPr>
      <w:r>
        <w:rPr>
          <w:i/>
        </w:rPr>
        <w:t>You</w:t>
      </w:r>
      <w:r>
        <w:t xml:space="preserve"> must pay </w:t>
      </w:r>
      <w:r>
        <w:rPr>
          <w:i/>
        </w:rPr>
        <w:t>us</w:t>
      </w:r>
      <w:r>
        <w:t xml:space="preserve"> for any calls or messages that are not eligible calls or messages under this offer.</w:t>
      </w:r>
    </w:p>
    <w:p w14:paraId="64E36654" w14:textId="77777777" w:rsidR="000D07EA" w:rsidRDefault="00BE7C89">
      <w:pPr>
        <w:pStyle w:val="Heading8"/>
      </w:pPr>
      <w:r>
        <w:rPr>
          <w:i/>
        </w:rPr>
        <w:t>You</w:t>
      </w:r>
      <w:r>
        <w:t xml:space="preserve"> must pay </w:t>
      </w:r>
      <w:r>
        <w:rPr>
          <w:i/>
        </w:rPr>
        <w:t>us</w:t>
      </w:r>
      <w:r>
        <w:t xml:space="preserve"> for any usage over the included International Value. 'yes' Business international Rates apply. See Appendix J for more information.</w:t>
      </w:r>
    </w:p>
    <w:p w14:paraId="02D9894C" w14:textId="77777777" w:rsidR="000D07EA" w:rsidRDefault="00BE7C89">
      <w:pPr>
        <w:pStyle w:val="Heading8"/>
      </w:pPr>
      <w:r>
        <w:t>Any unused portion of the included International Value expires at the end of each month and does not rollover into the following month.</w:t>
      </w:r>
    </w:p>
    <w:p w14:paraId="6E74E7D9" w14:textId="77777777" w:rsidR="000D07EA" w:rsidRDefault="00BE7C89">
      <w:pPr>
        <w:pStyle w:val="Heading7"/>
        <w:rPr>
          <w:b/>
        </w:rPr>
      </w:pPr>
      <w:bookmarkStart w:id="504" w:name="_Ref461551447"/>
      <w:r>
        <w:rPr>
          <w:b/>
        </w:rPr>
        <w:t>Eligible Calls and Pricing Plans</w:t>
      </w:r>
      <w:bookmarkEnd w:id="504"/>
    </w:p>
    <w:p w14:paraId="15EF555D" w14:textId="77777777" w:rsidR="000D07EA" w:rsidRDefault="00BE7C89">
      <w:pPr>
        <w:pStyle w:val="Heading8"/>
      </w:pPr>
      <w:r>
        <w:t xml:space="preserve">Table 3 below indicates whether particular call types are an 'eligible call and text' which count towards the "Included Cap Value" and Minimum Monthly Charge of </w:t>
      </w:r>
      <w:r>
        <w:rPr>
          <w:i/>
        </w:rPr>
        <w:t>your</w:t>
      </w:r>
      <w:r>
        <w:t xml:space="preserve"> selected Business Complete BYO or Business Timeless BYO Plan. </w:t>
      </w:r>
    </w:p>
    <w:p w14:paraId="19AA9FFD" w14:textId="77777777" w:rsidR="000D07EA" w:rsidRDefault="00BE7C89">
      <w:pPr>
        <w:pStyle w:val="Heading8"/>
      </w:pPr>
      <w:r>
        <w:t xml:space="preserve">Table 4 below indicates whether a particular call type is 'eligible data usage' which counts towards the data value of </w:t>
      </w:r>
      <w:r>
        <w:rPr>
          <w:i/>
        </w:rPr>
        <w:t>your</w:t>
      </w:r>
      <w:r>
        <w:t xml:space="preserve"> selected Business Complete BYO or Business Timeless BYO Plan.</w:t>
      </w:r>
    </w:p>
    <w:p w14:paraId="41C86029" w14:textId="77777777" w:rsidR="000D07EA" w:rsidRDefault="00BE7C89">
      <w:pPr>
        <w:pStyle w:val="Heading8"/>
      </w:pPr>
      <w:r>
        <w:t xml:space="preserve">Table5 below indicates whether a particular data type is 'eligible data usage' which counts towards the Unlimited BlackBerry POP3 Email and BlackBerry Browsing through the BlackBerry Browser value of </w:t>
      </w:r>
      <w:r>
        <w:rPr>
          <w:i/>
        </w:rPr>
        <w:t>your</w:t>
      </w:r>
      <w:r>
        <w:t xml:space="preserve"> selected Business Complete BYO or Business Timeless BYO Plan.</w:t>
      </w:r>
    </w:p>
    <w:p w14:paraId="3F1DE806" w14:textId="77777777" w:rsidR="000D07EA" w:rsidRDefault="00BE7C89">
      <w:pPr>
        <w:pStyle w:val="Heading8"/>
      </w:pPr>
      <w:r>
        <w:t>Table 7 below contains details of each Business Complete BYO and Business Timeless BYO Plan.</w:t>
      </w:r>
    </w:p>
    <w:p w14:paraId="795B13EE" w14:textId="77777777" w:rsidR="000D07EA" w:rsidRDefault="00BE7C89">
      <w:pPr>
        <w:pStyle w:val="Heading7"/>
        <w:rPr>
          <w:b/>
        </w:rPr>
      </w:pPr>
      <w:bookmarkStart w:id="505" w:name="_Ref461551452"/>
      <w:r>
        <w:rPr>
          <w:b/>
        </w:rPr>
        <w:t>BYO Bonus</w:t>
      </w:r>
      <w:bookmarkEnd w:id="505"/>
    </w:p>
    <w:p w14:paraId="361884ED" w14:textId="77777777" w:rsidR="000D07EA" w:rsidRDefault="00BE7C89">
      <w:pPr>
        <w:pStyle w:val="Heading8"/>
      </w:pPr>
      <w:r>
        <w:t>Eligibility</w:t>
      </w:r>
    </w:p>
    <w:p w14:paraId="65B04E7D" w14:textId="77777777" w:rsidR="000D07EA" w:rsidRDefault="00BE7C89">
      <w:pPr>
        <w:pStyle w:val="Heading9"/>
      </w:pPr>
      <w:r>
        <w:t xml:space="preserve">The "BYO Bonus" as listed in table 2 below is available to customers who connect to a Business Complete BYO or Business Timeless BYO plan on a 12 month term and either connect their own </w:t>
      </w:r>
      <w:r>
        <w:rPr>
          <w:i/>
          <w:iCs/>
          <w:szCs w:val="24"/>
        </w:rPr>
        <w:t>mobile</w:t>
      </w:r>
      <w:r>
        <w:t xml:space="preserve"> </w:t>
      </w:r>
      <w:r>
        <w:rPr>
          <w:i/>
          <w:iCs/>
          <w:szCs w:val="24"/>
        </w:rPr>
        <w:t>phone</w:t>
      </w:r>
      <w:r>
        <w:t xml:space="preserve"> or purchase a </w:t>
      </w:r>
      <w:r>
        <w:rPr>
          <w:i/>
          <w:iCs/>
          <w:szCs w:val="24"/>
        </w:rPr>
        <w:t>mobile</w:t>
      </w:r>
      <w:r>
        <w:t xml:space="preserve"> </w:t>
      </w:r>
      <w:r>
        <w:rPr>
          <w:i/>
          <w:iCs/>
          <w:szCs w:val="24"/>
        </w:rPr>
        <w:t>phone</w:t>
      </w:r>
      <w:r>
        <w:t xml:space="preserve"> from </w:t>
      </w:r>
      <w:r>
        <w:rPr>
          <w:i/>
          <w:iCs/>
          <w:szCs w:val="24"/>
        </w:rPr>
        <w:t>us</w:t>
      </w:r>
      <w:r>
        <w:t xml:space="preserve"> under a </w:t>
      </w:r>
      <w:r>
        <w:rPr>
          <w:i/>
          <w:iCs/>
          <w:szCs w:val="24"/>
        </w:rPr>
        <w:t>mobile equipment payment plan</w:t>
      </w:r>
      <w:r>
        <w:t xml:space="preserve">. </w:t>
      </w:r>
    </w:p>
    <w:p w14:paraId="37BFFBCF" w14:textId="77777777" w:rsidR="000D07EA" w:rsidRDefault="00BE7C89">
      <w:pPr>
        <w:pStyle w:val="Heading9"/>
      </w:pPr>
      <w:r>
        <w:t>At the end of the 12 month term, or if you rate plan change your mobile service to a different rate plan other than a Business Complete or Business Timeless BYO plan, you will no longer receive the "BYO Bonus."</w:t>
      </w:r>
    </w:p>
    <w:p w14:paraId="5B2C0B57" w14:textId="77777777" w:rsidR="000D07EA" w:rsidRDefault="00BE7C89">
      <w:pPr>
        <w:pStyle w:val="BodyText"/>
        <w:ind w:left="720"/>
        <w:rPr>
          <w:b/>
        </w:rPr>
      </w:pPr>
      <w:r>
        <w:rPr>
          <w:b/>
        </w:rPr>
        <w:t>Table 2 - BYO Bonus is as follows:</w:t>
      </w:r>
    </w:p>
    <w:tbl>
      <w:tblPr>
        <w:tblW w:w="96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2"/>
        <w:gridCol w:w="2412"/>
        <w:gridCol w:w="2412"/>
        <w:gridCol w:w="2412"/>
      </w:tblGrid>
      <w:tr w:rsidR="000D07EA" w14:paraId="05DEE3A2" w14:textId="77777777">
        <w:trPr>
          <w:tblHeader/>
        </w:trPr>
        <w:tc>
          <w:tcPr>
            <w:tcW w:w="2412" w:type="dxa"/>
            <w:shd w:val="clear" w:color="auto" w:fill="auto"/>
          </w:tcPr>
          <w:p w14:paraId="43BBEBF6" w14:textId="77777777" w:rsidR="000D07EA" w:rsidRDefault="00BE7C89">
            <w:pPr>
              <w:pStyle w:val="BodyText"/>
              <w:spacing w:before="100" w:after="100"/>
              <w:jc w:val="center"/>
              <w:rPr>
                <w:b/>
              </w:rPr>
            </w:pPr>
            <w:r>
              <w:rPr>
                <w:b/>
              </w:rPr>
              <w:lastRenderedPageBreak/>
              <w:t>BYO Bonus</w:t>
            </w:r>
          </w:p>
        </w:tc>
        <w:tc>
          <w:tcPr>
            <w:tcW w:w="2412" w:type="dxa"/>
            <w:shd w:val="clear" w:color="auto" w:fill="auto"/>
          </w:tcPr>
          <w:p w14:paraId="1B5810AA" w14:textId="77777777" w:rsidR="000D07EA" w:rsidRDefault="00BE7C89">
            <w:pPr>
              <w:pStyle w:val="BodyText"/>
              <w:spacing w:before="100" w:after="100"/>
              <w:jc w:val="center"/>
              <w:rPr>
                <w:b/>
              </w:rPr>
            </w:pPr>
            <w:r>
              <w:rPr>
                <w:b/>
              </w:rPr>
              <w:t>$49 Business Complete BYO</w:t>
            </w:r>
          </w:p>
        </w:tc>
        <w:tc>
          <w:tcPr>
            <w:tcW w:w="2412" w:type="dxa"/>
            <w:shd w:val="clear" w:color="auto" w:fill="auto"/>
          </w:tcPr>
          <w:p w14:paraId="1C840A80" w14:textId="77777777" w:rsidR="000D07EA" w:rsidRDefault="00BE7C89">
            <w:pPr>
              <w:pStyle w:val="BodyText"/>
              <w:spacing w:before="100" w:after="100"/>
              <w:jc w:val="center"/>
              <w:rPr>
                <w:b/>
              </w:rPr>
            </w:pPr>
            <w:r>
              <w:rPr>
                <w:b/>
              </w:rPr>
              <w:t>$89 Business Timeless BYO</w:t>
            </w:r>
          </w:p>
        </w:tc>
        <w:tc>
          <w:tcPr>
            <w:tcW w:w="2412" w:type="dxa"/>
            <w:shd w:val="clear" w:color="auto" w:fill="auto"/>
          </w:tcPr>
          <w:p w14:paraId="10938195" w14:textId="77777777" w:rsidR="000D07EA" w:rsidRDefault="00BE7C89">
            <w:pPr>
              <w:pStyle w:val="BodyText"/>
              <w:spacing w:before="100" w:after="100"/>
              <w:jc w:val="center"/>
              <w:rPr>
                <w:b/>
              </w:rPr>
            </w:pPr>
            <w:r>
              <w:rPr>
                <w:b/>
              </w:rPr>
              <w:t>$99 Business Timeless BYO</w:t>
            </w:r>
          </w:p>
        </w:tc>
      </w:tr>
      <w:tr w:rsidR="000D07EA" w14:paraId="0BC2E697" w14:textId="77777777">
        <w:tc>
          <w:tcPr>
            <w:tcW w:w="2412" w:type="dxa"/>
            <w:shd w:val="clear" w:color="auto" w:fill="auto"/>
          </w:tcPr>
          <w:p w14:paraId="52CF81A9" w14:textId="77777777" w:rsidR="000D07EA" w:rsidRDefault="00BE7C89">
            <w:pPr>
              <w:pStyle w:val="BodyText"/>
              <w:spacing w:before="100" w:after="100"/>
              <w:jc w:val="center"/>
            </w:pPr>
            <w:r>
              <w:t>BYO Bonus</w:t>
            </w:r>
          </w:p>
        </w:tc>
        <w:tc>
          <w:tcPr>
            <w:tcW w:w="2412" w:type="dxa"/>
            <w:shd w:val="clear" w:color="auto" w:fill="auto"/>
          </w:tcPr>
          <w:p w14:paraId="7DAE18FE" w14:textId="77777777" w:rsidR="000D07EA" w:rsidRDefault="00BE7C89">
            <w:pPr>
              <w:pStyle w:val="BodyText"/>
              <w:spacing w:before="100" w:after="100"/>
              <w:jc w:val="center"/>
            </w:pPr>
            <w:r>
              <w:t>$150 additional cap value plus unlimited standard national SMS/MMS to Australian GSM mobiles (excluding Pivotel) within Australia</w:t>
            </w:r>
          </w:p>
        </w:tc>
        <w:tc>
          <w:tcPr>
            <w:tcW w:w="2412" w:type="dxa"/>
            <w:shd w:val="clear" w:color="auto" w:fill="auto"/>
          </w:tcPr>
          <w:p w14:paraId="1B01B7FE" w14:textId="77777777" w:rsidR="000D07EA" w:rsidRDefault="00BE7C89">
            <w:pPr>
              <w:pStyle w:val="BodyText"/>
              <w:spacing w:before="100" w:after="100"/>
              <w:jc w:val="center"/>
            </w:pPr>
            <w:r>
              <w:t>$20 recurring credit</w:t>
            </w:r>
          </w:p>
        </w:tc>
        <w:tc>
          <w:tcPr>
            <w:tcW w:w="2412" w:type="dxa"/>
            <w:shd w:val="clear" w:color="auto" w:fill="auto"/>
          </w:tcPr>
          <w:p w14:paraId="2BFC5E85" w14:textId="77777777" w:rsidR="000D07EA" w:rsidRDefault="00BE7C89">
            <w:pPr>
              <w:pStyle w:val="BodyText"/>
              <w:spacing w:before="100" w:after="100"/>
              <w:jc w:val="center"/>
            </w:pPr>
            <w:r>
              <w:t>$20 recurring credit</w:t>
            </w:r>
          </w:p>
        </w:tc>
      </w:tr>
    </w:tbl>
    <w:p w14:paraId="4F14F344" w14:textId="77777777" w:rsidR="000D07EA" w:rsidRDefault="000D07EA">
      <w:pPr>
        <w:pStyle w:val="BodyText"/>
      </w:pPr>
    </w:p>
    <w:p w14:paraId="71C54B52" w14:textId="77777777" w:rsidR="000D07EA" w:rsidRDefault="00BE7C89">
      <w:pPr>
        <w:pStyle w:val="Heading9"/>
      </w:pPr>
      <w:r>
        <w:t xml:space="preserve">You will receive a monthly credit for 12 months to the amount specified in Table 2 above when taking a Business Timeless BYO plan on a 12 month term. This amount is credit and can not be refunded, redeemed for cash, rolled over or applied for another purpose, even if the </w:t>
      </w:r>
      <w:r>
        <w:rPr>
          <w:i/>
        </w:rPr>
        <w:t>service is cancelled</w:t>
      </w:r>
      <w:r>
        <w:t>.</w:t>
      </w:r>
    </w:p>
    <w:p w14:paraId="38E77DE7" w14:textId="77777777" w:rsidR="000D07EA" w:rsidRDefault="00BE7C89">
      <w:pPr>
        <w:pStyle w:val="Heading9"/>
      </w:pPr>
      <w:r>
        <w:t>If your access fee is pro-rated in any given month then the monthly credit will also be pro-rated</w:t>
      </w:r>
    </w:p>
    <w:p w14:paraId="23D5DD2A" w14:textId="77777777" w:rsidR="000D07EA" w:rsidRDefault="00BE7C89">
      <w:pPr>
        <w:pStyle w:val="BodyText"/>
        <w:ind w:left="720"/>
        <w:rPr>
          <w:b/>
        </w:rPr>
      </w:pPr>
      <w:r>
        <w:rPr>
          <w:b/>
        </w:rPr>
        <w:t>Table 3 – Eligible Calls and Text for the Included Cap Value and Included Value</w:t>
      </w:r>
    </w:p>
    <w:tbl>
      <w:tblPr>
        <w:tblW w:w="96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1980"/>
        <w:gridCol w:w="1980"/>
        <w:gridCol w:w="1980"/>
      </w:tblGrid>
      <w:tr w:rsidR="000D07EA" w14:paraId="5A8925A8" w14:textId="77777777">
        <w:trPr>
          <w:tblHeader/>
        </w:trPr>
        <w:tc>
          <w:tcPr>
            <w:tcW w:w="3708" w:type="dxa"/>
            <w:shd w:val="clear" w:color="auto" w:fill="auto"/>
          </w:tcPr>
          <w:p w14:paraId="5E924A5B" w14:textId="77777777" w:rsidR="000D07EA" w:rsidRDefault="00BE7C89">
            <w:pPr>
              <w:pStyle w:val="BodyText"/>
              <w:spacing w:before="100" w:after="100"/>
              <w:rPr>
                <w:b/>
              </w:rPr>
            </w:pPr>
            <w:r>
              <w:rPr>
                <w:b/>
              </w:rPr>
              <w:t>Call Type</w:t>
            </w:r>
          </w:p>
        </w:tc>
        <w:tc>
          <w:tcPr>
            <w:tcW w:w="5940" w:type="dxa"/>
            <w:gridSpan w:val="3"/>
            <w:shd w:val="clear" w:color="auto" w:fill="auto"/>
          </w:tcPr>
          <w:p w14:paraId="2D3B6472" w14:textId="77777777" w:rsidR="000D07EA" w:rsidRDefault="00BE7C89">
            <w:pPr>
              <w:pStyle w:val="BodyText"/>
              <w:spacing w:before="100" w:after="100"/>
              <w:rPr>
                <w:b/>
              </w:rPr>
            </w:pPr>
            <w:r>
              <w:rPr>
                <w:b/>
              </w:rPr>
              <w:t>Eligible Call</w:t>
            </w:r>
          </w:p>
        </w:tc>
      </w:tr>
      <w:tr w:rsidR="000D07EA" w14:paraId="7D37B822" w14:textId="77777777">
        <w:trPr>
          <w:tblHeader/>
        </w:trPr>
        <w:tc>
          <w:tcPr>
            <w:tcW w:w="3708" w:type="dxa"/>
            <w:shd w:val="clear" w:color="auto" w:fill="auto"/>
          </w:tcPr>
          <w:p w14:paraId="5A76795E" w14:textId="77777777" w:rsidR="000D07EA" w:rsidRDefault="000D07EA">
            <w:pPr>
              <w:pStyle w:val="BodyText"/>
              <w:spacing w:before="100" w:after="100"/>
            </w:pPr>
          </w:p>
        </w:tc>
        <w:tc>
          <w:tcPr>
            <w:tcW w:w="1980" w:type="dxa"/>
            <w:shd w:val="clear" w:color="auto" w:fill="auto"/>
          </w:tcPr>
          <w:p w14:paraId="0E1AF51A" w14:textId="77777777" w:rsidR="000D07EA" w:rsidRDefault="00BE7C89">
            <w:pPr>
              <w:pStyle w:val="BodyText"/>
              <w:spacing w:before="100" w:after="100"/>
              <w:jc w:val="center"/>
              <w:rPr>
                <w:b/>
              </w:rPr>
            </w:pPr>
            <w:r>
              <w:rPr>
                <w:b/>
              </w:rPr>
              <w:t>$49 Bus Complete BYO</w:t>
            </w:r>
          </w:p>
        </w:tc>
        <w:tc>
          <w:tcPr>
            <w:tcW w:w="1980" w:type="dxa"/>
            <w:shd w:val="clear" w:color="auto" w:fill="auto"/>
          </w:tcPr>
          <w:p w14:paraId="3B3993C7" w14:textId="77777777" w:rsidR="000D07EA" w:rsidRDefault="00BE7C89">
            <w:pPr>
              <w:pStyle w:val="BodyText"/>
              <w:spacing w:before="100" w:after="100"/>
              <w:jc w:val="center"/>
              <w:rPr>
                <w:b/>
              </w:rPr>
            </w:pPr>
            <w:r>
              <w:rPr>
                <w:b/>
              </w:rPr>
              <w:t>$89 Business Timeless BYO</w:t>
            </w:r>
          </w:p>
        </w:tc>
        <w:tc>
          <w:tcPr>
            <w:tcW w:w="1980" w:type="dxa"/>
            <w:shd w:val="clear" w:color="auto" w:fill="auto"/>
          </w:tcPr>
          <w:p w14:paraId="2AE70F03" w14:textId="77777777" w:rsidR="000D07EA" w:rsidRDefault="00BE7C89">
            <w:pPr>
              <w:pStyle w:val="BodyText"/>
              <w:spacing w:before="100" w:after="100"/>
              <w:jc w:val="center"/>
              <w:rPr>
                <w:b/>
              </w:rPr>
            </w:pPr>
            <w:r>
              <w:rPr>
                <w:b/>
              </w:rPr>
              <w:t>$99 Business Timeless BYO</w:t>
            </w:r>
          </w:p>
        </w:tc>
      </w:tr>
      <w:tr w:rsidR="000D07EA" w14:paraId="39BCDE7A" w14:textId="77777777">
        <w:tc>
          <w:tcPr>
            <w:tcW w:w="3708" w:type="dxa"/>
            <w:shd w:val="clear" w:color="auto" w:fill="auto"/>
          </w:tcPr>
          <w:p w14:paraId="5D9FEC95" w14:textId="77777777" w:rsidR="000D07EA" w:rsidRDefault="00BE7C89">
            <w:pPr>
              <w:pStyle w:val="BodyText"/>
              <w:spacing w:before="100" w:after="100"/>
            </w:pPr>
            <w:r>
              <w:t>National Voice Calls</w:t>
            </w:r>
          </w:p>
        </w:tc>
        <w:tc>
          <w:tcPr>
            <w:tcW w:w="1980" w:type="dxa"/>
            <w:shd w:val="clear" w:color="auto" w:fill="auto"/>
          </w:tcPr>
          <w:p w14:paraId="5B43F043" w14:textId="77777777" w:rsidR="000D07EA" w:rsidRDefault="00BE7C89">
            <w:pPr>
              <w:pStyle w:val="BodyText"/>
              <w:spacing w:before="100" w:after="100"/>
            </w:pPr>
            <w:r>
              <w:t>Yes</w:t>
            </w:r>
          </w:p>
        </w:tc>
        <w:tc>
          <w:tcPr>
            <w:tcW w:w="1980" w:type="dxa"/>
            <w:shd w:val="clear" w:color="auto" w:fill="auto"/>
          </w:tcPr>
          <w:p w14:paraId="586515E7" w14:textId="77777777" w:rsidR="000D07EA" w:rsidRDefault="00BE7C89">
            <w:pPr>
              <w:pStyle w:val="BodyText"/>
              <w:spacing w:before="100" w:after="100"/>
            </w:pPr>
            <w:r>
              <w:t>Yes</w:t>
            </w:r>
          </w:p>
        </w:tc>
        <w:tc>
          <w:tcPr>
            <w:tcW w:w="1980" w:type="dxa"/>
            <w:shd w:val="clear" w:color="auto" w:fill="auto"/>
          </w:tcPr>
          <w:p w14:paraId="39061769" w14:textId="77777777" w:rsidR="000D07EA" w:rsidRDefault="00BE7C89">
            <w:pPr>
              <w:pStyle w:val="BodyText"/>
              <w:spacing w:before="100" w:after="100"/>
            </w:pPr>
            <w:r>
              <w:t>Yes</w:t>
            </w:r>
          </w:p>
        </w:tc>
      </w:tr>
      <w:tr w:rsidR="000D07EA" w14:paraId="03405499" w14:textId="77777777">
        <w:tc>
          <w:tcPr>
            <w:tcW w:w="3708" w:type="dxa"/>
            <w:shd w:val="clear" w:color="auto" w:fill="auto"/>
          </w:tcPr>
          <w:p w14:paraId="1DAFC52A" w14:textId="77777777" w:rsidR="000D07EA" w:rsidRDefault="00BE7C89">
            <w:pPr>
              <w:pStyle w:val="BodyText"/>
              <w:spacing w:before="100" w:after="100"/>
            </w:pPr>
            <w:r>
              <w:t>International Voice Calls</w:t>
            </w:r>
          </w:p>
          <w:p w14:paraId="7B2BA3BC" w14:textId="77777777" w:rsidR="000D07EA" w:rsidRDefault="00BE7C89">
            <w:pPr>
              <w:pStyle w:val="BodyText"/>
              <w:spacing w:before="100" w:after="100"/>
            </w:pPr>
            <w:r>
              <w:t>(includes calls to national fixed or GSM mobile services that then divert/switch or re-route overseas)</w:t>
            </w:r>
          </w:p>
        </w:tc>
        <w:tc>
          <w:tcPr>
            <w:tcW w:w="1980" w:type="dxa"/>
            <w:shd w:val="clear" w:color="auto" w:fill="auto"/>
          </w:tcPr>
          <w:p w14:paraId="54356E70" w14:textId="77777777" w:rsidR="000D07EA" w:rsidRDefault="00BE7C89">
            <w:pPr>
              <w:pStyle w:val="BodyText"/>
              <w:spacing w:before="100" w:after="100"/>
            </w:pPr>
            <w:r>
              <w:t xml:space="preserve">No </w:t>
            </w:r>
          </w:p>
        </w:tc>
        <w:tc>
          <w:tcPr>
            <w:tcW w:w="1980" w:type="dxa"/>
            <w:shd w:val="clear" w:color="auto" w:fill="auto"/>
          </w:tcPr>
          <w:p w14:paraId="20DAA45E" w14:textId="77777777" w:rsidR="000D07EA" w:rsidRDefault="00BE7C89">
            <w:pPr>
              <w:pStyle w:val="BodyText"/>
              <w:spacing w:before="100" w:after="100"/>
            </w:pPr>
            <w:r>
              <w:t>No</w:t>
            </w:r>
          </w:p>
        </w:tc>
        <w:tc>
          <w:tcPr>
            <w:tcW w:w="1980" w:type="dxa"/>
            <w:shd w:val="clear" w:color="auto" w:fill="auto"/>
          </w:tcPr>
          <w:p w14:paraId="7EE07047" w14:textId="77777777" w:rsidR="000D07EA" w:rsidRDefault="00BE7C89">
            <w:pPr>
              <w:pStyle w:val="BodyText"/>
              <w:spacing w:before="100" w:after="100"/>
            </w:pPr>
            <w:r>
              <w:t xml:space="preserve">Yes </w:t>
            </w:r>
          </w:p>
        </w:tc>
      </w:tr>
      <w:tr w:rsidR="000D07EA" w14:paraId="7C2EE721" w14:textId="77777777">
        <w:tc>
          <w:tcPr>
            <w:tcW w:w="3708" w:type="dxa"/>
            <w:shd w:val="clear" w:color="auto" w:fill="auto"/>
          </w:tcPr>
          <w:p w14:paraId="55FA2E59" w14:textId="77777777" w:rsidR="000D07EA" w:rsidRDefault="00BE7C89">
            <w:pPr>
              <w:pStyle w:val="BodyText"/>
              <w:spacing w:before="100" w:after="100"/>
            </w:pPr>
            <w:r>
              <w:t>National Video Calls</w:t>
            </w:r>
          </w:p>
        </w:tc>
        <w:tc>
          <w:tcPr>
            <w:tcW w:w="1980" w:type="dxa"/>
            <w:shd w:val="clear" w:color="auto" w:fill="auto"/>
          </w:tcPr>
          <w:p w14:paraId="79D0F215" w14:textId="77777777" w:rsidR="000D07EA" w:rsidRDefault="00BE7C89">
            <w:pPr>
              <w:pStyle w:val="BodyText"/>
              <w:spacing w:before="100" w:after="100"/>
            </w:pPr>
            <w:r>
              <w:t>Yes</w:t>
            </w:r>
          </w:p>
        </w:tc>
        <w:tc>
          <w:tcPr>
            <w:tcW w:w="1980" w:type="dxa"/>
            <w:shd w:val="clear" w:color="auto" w:fill="auto"/>
          </w:tcPr>
          <w:p w14:paraId="5FE41A18" w14:textId="77777777" w:rsidR="000D07EA" w:rsidRDefault="00BE7C89">
            <w:pPr>
              <w:pStyle w:val="BodyText"/>
              <w:spacing w:before="100" w:after="100"/>
            </w:pPr>
            <w:r>
              <w:t>Yes</w:t>
            </w:r>
          </w:p>
        </w:tc>
        <w:tc>
          <w:tcPr>
            <w:tcW w:w="1980" w:type="dxa"/>
            <w:shd w:val="clear" w:color="auto" w:fill="auto"/>
          </w:tcPr>
          <w:p w14:paraId="4CC9FE55" w14:textId="77777777" w:rsidR="000D07EA" w:rsidRDefault="00BE7C89">
            <w:pPr>
              <w:pStyle w:val="BodyText"/>
              <w:spacing w:before="100" w:after="100"/>
            </w:pPr>
            <w:r>
              <w:t>Yes</w:t>
            </w:r>
          </w:p>
        </w:tc>
      </w:tr>
      <w:tr w:rsidR="000D07EA" w14:paraId="0639430F" w14:textId="77777777">
        <w:tc>
          <w:tcPr>
            <w:tcW w:w="3708" w:type="dxa"/>
            <w:shd w:val="clear" w:color="auto" w:fill="auto"/>
          </w:tcPr>
          <w:p w14:paraId="2E65DE8A" w14:textId="77777777" w:rsidR="000D07EA" w:rsidRDefault="00BE7C89">
            <w:pPr>
              <w:pStyle w:val="BodyText"/>
              <w:spacing w:before="100" w:after="100"/>
            </w:pPr>
            <w:r>
              <w:t>International Video Calls</w:t>
            </w:r>
          </w:p>
          <w:p w14:paraId="15173039" w14:textId="77777777" w:rsidR="000D07EA" w:rsidRDefault="00BE7C89">
            <w:pPr>
              <w:pStyle w:val="BodyText"/>
              <w:spacing w:before="100" w:after="100"/>
            </w:pPr>
            <w:r>
              <w:t>(includes calls to national fixed or GSM mobile services that then divert/switch or re-route overseas)</w:t>
            </w:r>
          </w:p>
        </w:tc>
        <w:tc>
          <w:tcPr>
            <w:tcW w:w="1980" w:type="dxa"/>
            <w:shd w:val="clear" w:color="auto" w:fill="auto"/>
          </w:tcPr>
          <w:p w14:paraId="35A1B740" w14:textId="77777777" w:rsidR="000D07EA" w:rsidRDefault="00BE7C89">
            <w:pPr>
              <w:pStyle w:val="BodyText"/>
              <w:spacing w:before="100" w:after="100"/>
            </w:pPr>
            <w:r>
              <w:t>No</w:t>
            </w:r>
          </w:p>
        </w:tc>
        <w:tc>
          <w:tcPr>
            <w:tcW w:w="1980" w:type="dxa"/>
            <w:shd w:val="clear" w:color="auto" w:fill="auto"/>
          </w:tcPr>
          <w:p w14:paraId="17FFE31A" w14:textId="77777777" w:rsidR="000D07EA" w:rsidRDefault="00BE7C89">
            <w:pPr>
              <w:pStyle w:val="BodyText"/>
              <w:spacing w:before="100" w:after="100"/>
            </w:pPr>
            <w:r>
              <w:t>No</w:t>
            </w:r>
          </w:p>
        </w:tc>
        <w:tc>
          <w:tcPr>
            <w:tcW w:w="1980" w:type="dxa"/>
            <w:shd w:val="clear" w:color="auto" w:fill="auto"/>
          </w:tcPr>
          <w:p w14:paraId="4EB80F8C" w14:textId="77777777" w:rsidR="000D07EA" w:rsidRDefault="00BE7C89">
            <w:pPr>
              <w:pStyle w:val="BodyText"/>
              <w:spacing w:before="100" w:after="100"/>
            </w:pPr>
            <w:r>
              <w:t>No</w:t>
            </w:r>
          </w:p>
        </w:tc>
      </w:tr>
      <w:tr w:rsidR="000D07EA" w14:paraId="56F09585" w14:textId="77777777">
        <w:tc>
          <w:tcPr>
            <w:tcW w:w="3708" w:type="dxa"/>
            <w:shd w:val="clear" w:color="auto" w:fill="auto"/>
          </w:tcPr>
          <w:p w14:paraId="5DCE37B7" w14:textId="77777777" w:rsidR="000D07EA" w:rsidRDefault="00BE7C89">
            <w:pPr>
              <w:pStyle w:val="BodyText"/>
              <w:spacing w:before="100" w:after="100"/>
            </w:pPr>
            <w:r>
              <w:t>National SMS</w:t>
            </w:r>
          </w:p>
        </w:tc>
        <w:tc>
          <w:tcPr>
            <w:tcW w:w="1980" w:type="dxa"/>
            <w:shd w:val="clear" w:color="auto" w:fill="auto"/>
          </w:tcPr>
          <w:p w14:paraId="4B3C5A32" w14:textId="77777777" w:rsidR="000D07EA" w:rsidRDefault="00BE7C89">
            <w:pPr>
              <w:pStyle w:val="BodyText"/>
              <w:spacing w:before="100" w:after="100"/>
            </w:pPr>
            <w:r>
              <w:t>Yes</w:t>
            </w:r>
          </w:p>
        </w:tc>
        <w:tc>
          <w:tcPr>
            <w:tcW w:w="1980" w:type="dxa"/>
            <w:shd w:val="clear" w:color="auto" w:fill="auto"/>
          </w:tcPr>
          <w:p w14:paraId="655D0D86" w14:textId="77777777" w:rsidR="000D07EA" w:rsidRDefault="00BE7C89">
            <w:pPr>
              <w:pStyle w:val="BodyText"/>
              <w:spacing w:before="100" w:after="100"/>
            </w:pPr>
            <w:r>
              <w:t>Yes</w:t>
            </w:r>
          </w:p>
        </w:tc>
        <w:tc>
          <w:tcPr>
            <w:tcW w:w="1980" w:type="dxa"/>
            <w:shd w:val="clear" w:color="auto" w:fill="auto"/>
          </w:tcPr>
          <w:p w14:paraId="3DDCB3F5" w14:textId="77777777" w:rsidR="000D07EA" w:rsidRDefault="00BE7C89">
            <w:pPr>
              <w:pStyle w:val="BodyText"/>
              <w:spacing w:before="100" w:after="100"/>
            </w:pPr>
            <w:r>
              <w:t>Yes</w:t>
            </w:r>
          </w:p>
        </w:tc>
      </w:tr>
      <w:tr w:rsidR="000D07EA" w14:paraId="52090DDF" w14:textId="77777777">
        <w:tc>
          <w:tcPr>
            <w:tcW w:w="3708" w:type="dxa"/>
            <w:shd w:val="clear" w:color="auto" w:fill="auto"/>
          </w:tcPr>
          <w:p w14:paraId="66A4EF26" w14:textId="77777777" w:rsidR="000D07EA" w:rsidRDefault="00BE7C89">
            <w:pPr>
              <w:pStyle w:val="BodyText"/>
              <w:spacing w:before="100" w:after="100"/>
            </w:pPr>
            <w:r>
              <w:t>International SMS</w:t>
            </w:r>
          </w:p>
        </w:tc>
        <w:tc>
          <w:tcPr>
            <w:tcW w:w="1980" w:type="dxa"/>
            <w:shd w:val="clear" w:color="auto" w:fill="auto"/>
          </w:tcPr>
          <w:p w14:paraId="60776ADB" w14:textId="77777777" w:rsidR="000D07EA" w:rsidRDefault="00BE7C89">
            <w:pPr>
              <w:pStyle w:val="BodyText"/>
              <w:spacing w:before="100" w:after="100"/>
            </w:pPr>
            <w:r>
              <w:t>Yes</w:t>
            </w:r>
          </w:p>
        </w:tc>
        <w:tc>
          <w:tcPr>
            <w:tcW w:w="1980" w:type="dxa"/>
            <w:shd w:val="clear" w:color="auto" w:fill="auto"/>
          </w:tcPr>
          <w:p w14:paraId="604B3C88" w14:textId="77777777" w:rsidR="000D07EA" w:rsidRDefault="00BE7C89">
            <w:pPr>
              <w:pStyle w:val="BodyText"/>
              <w:spacing w:before="100" w:after="100"/>
            </w:pPr>
            <w:r>
              <w:t>No</w:t>
            </w:r>
          </w:p>
        </w:tc>
        <w:tc>
          <w:tcPr>
            <w:tcW w:w="1980" w:type="dxa"/>
            <w:shd w:val="clear" w:color="auto" w:fill="auto"/>
          </w:tcPr>
          <w:p w14:paraId="415E199A" w14:textId="77777777" w:rsidR="000D07EA" w:rsidRDefault="00BE7C89">
            <w:pPr>
              <w:pStyle w:val="BodyText"/>
              <w:spacing w:before="100" w:after="100"/>
            </w:pPr>
            <w:r>
              <w:t>Yes</w:t>
            </w:r>
          </w:p>
        </w:tc>
      </w:tr>
      <w:tr w:rsidR="000D07EA" w14:paraId="367BD33E" w14:textId="77777777">
        <w:tc>
          <w:tcPr>
            <w:tcW w:w="3708" w:type="dxa"/>
            <w:shd w:val="clear" w:color="auto" w:fill="auto"/>
          </w:tcPr>
          <w:p w14:paraId="4066178D" w14:textId="77777777" w:rsidR="000D07EA" w:rsidRDefault="00BE7C89">
            <w:pPr>
              <w:pStyle w:val="BodyText"/>
              <w:spacing w:before="100" w:after="100"/>
            </w:pPr>
            <w:r>
              <w:t>Voicemail Diversions</w:t>
            </w:r>
          </w:p>
        </w:tc>
        <w:tc>
          <w:tcPr>
            <w:tcW w:w="1980" w:type="dxa"/>
            <w:shd w:val="clear" w:color="auto" w:fill="auto"/>
          </w:tcPr>
          <w:p w14:paraId="27A25983" w14:textId="77777777" w:rsidR="000D07EA" w:rsidRDefault="00BE7C89">
            <w:pPr>
              <w:pStyle w:val="BodyText"/>
              <w:spacing w:before="100" w:after="100"/>
            </w:pPr>
            <w:r>
              <w:t>Yes</w:t>
            </w:r>
          </w:p>
        </w:tc>
        <w:tc>
          <w:tcPr>
            <w:tcW w:w="1980" w:type="dxa"/>
            <w:shd w:val="clear" w:color="auto" w:fill="auto"/>
          </w:tcPr>
          <w:p w14:paraId="1A50AF8A" w14:textId="77777777" w:rsidR="000D07EA" w:rsidRDefault="00BE7C89">
            <w:pPr>
              <w:pStyle w:val="BodyText"/>
              <w:spacing w:before="100" w:after="100"/>
            </w:pPr>
            <w:r>
              <w:t>Yes</w:t>
            </w:r>
          </w:p>
        </w:tc>
        <w:tc>
          <w:tcPr>
            <w:tcW w:w="1980" w:type="dxa"/>
            <w:shd w:val="clear" w:color="auto" w:fill="auto"/>
          </w:tcPr>
          <w:p w14:paraId="246AF669" w14:textId="77777777" w:rsidR="000D07EA" w:rsidRDefault="00BE7C89">
            <w:pPr>
              <w:pStyle w:val="BodyText"/>
              <w:spacing w:before="100" w:after="100"/>
            </w:pPr>
            <w:r>
              <w:t>Yes</w:t>
            </w:r>
          </w:p>
        </w:tc>
      </w:tr>
      <w:tr w:rsidR="000D07EA" w14:paraId="1001AF31" w14:textId="77777777">
        <w:tc>
          <w:tcPr>
            <w:tcW w:w="3708" w:type="dxa"/>
            <w:shd w:val="clear" w:color="auto" w:fill="auto"/>
          </w:tcPr>
          <w:p w14:paraId="4763B4BC" w14:textId="77777777" w:rsidR="000D07EA" w:rsidRDefault="00BE7C89">
            <w:pPr>
              <w:pStyle w:val="BodyText"/>
              <w:spacing w:before="100" w:after="100"/>
            </w:pPr>
            <w:r>
              <w:t>Voicemail Deposit and Retrievals</w:t>
            </w:r>
          </w:p>
        </w:tc>
        <w:tc>
          <w:tcPr>
            <w:tcW w:w="1980" w:type="dxa"/>
            <w:shd w:val="clear" w:color="auto" w:fill="auto"/>
          </w:tcPr>
          <w:p w14:paraId="57196783" w14:textId="77777777" w:rsidR="000D07EA" w:rsidRDefault="00BE7C89">
            <w:pPr>
              <w:pStyle w:val="BodyText"/>
              <w:spacing w:before="100" w:after="100"/>
            </w:pPr>
            <w:r>
              <w:t>Yes</w:t>
            </w:r>
          </w:p>
        </w:tc>
        <w:tc>
          <w:tcPr>
            <w:tcW w:w="1980" w:type="dxa"/>
            <w:shd w:val="clear" w:color="auto" w:fill="auto"/>
          </w:tcPr>
          <w:p w14:paraId="04A4F6EB" w14:textId="77777777" w:rsidR="000D07EA" w:rsidRDefault="00BE7C89">
            <w:pPr>
              <w:pStyle w:val="BodyText"/>
              <w:spacing w:before="100" w:after="100"/>
            </w:pPr>
            <w:r>
              <w:t>Yes</w:t>
            </w:r>
          </w:p>
        </w:tc>
        <w:tc>
          <w:tcPr>
            <w:tcW w:w="1980" w:type="dxa"/>
            <w:shd w:val="clear" w:color="auto" w:fill="auto"/>
          </w:tcPr>
          <w:p w14:paraId="47A13F2E" w14:textId="77777777" w:rsidR="000D07EA" w:rsidRDefault="00BE7C89">
            <w:pPr>
              <w:pStyle w:val="BodyText"/>
              <w:spacing w:before="100" w:after="100"/>
            </w:pPr>
            <w:r>
              <w:t>Yes</w:t>
            </w:r>
          </w:p>
        </w:tc>
      </w:tr>
      <w:tr w:rsidR="000D07EA" w14:paraId="750BA182" w14:textId="77777777">
        <w:tc>
          <w:tcPr>
            <w:tcW w:w="3708" w:type="dxa"/>
            <w:shd w:val="clear" w:color="auto" w:fill="auto"/>
          </w:tcPr>
          <w:p w14:paraId="2BAA985C" w14:textId="77777777" w:rsidR="000D07EA" w:rsidRDefault="00BE7C89">
            <w:pPr>
              <w:pStyle w:val="BodyText"/>
              <w:spacing w:before="100" w:after="100"/>
            </w:pPr>
            <w:r>
              <w:t>International Roaming &amp; Diversion</w:t>
            </w:r>
          </w:p>
        </w:tc>
        <w:tc>
          <w:tcPr>
            <w:tcW w:w="1980" w:type="dxa"/>
            <w:shd w:val="clear" w:color="auto" w:fill="auto"/>
          </w:tcPr>
          <w:p w14:paraId="4AA3C5AE" w14:textId="77777777" w:rsidR="000D07EA" w:rsidRDefault="00BE7C89">
            <w:pPr>
              <w:pStyle w:val="BodyText"/>
              <w:spacing w:before="100" w:after="100"/>
            </w:pPr>
            <w:r>
              <w:t>No</w:t>
            </w:r>
          </w:p>
        </w:tc>
        <w:tc>
          <w:tcPr>
            <w:tcW w:w="1980" w:type="dxa"/>
            <w:shd w:val="clear" w:color="auto" w:fill="auto"/>
          </w:tcPr>
          <w:p w14:paraId="07E39043" w14:textId="77777777" w:rsidR="000D07EA" w:rsidRDefault="00BE7C89">
            <w:pPr>
              <w:pStyle w:val="BodyText"/>
              <w:spacing w:before="100" w:after="100"/>
            </w:pPr>
            <w:r>
              <w:t>No</w:t>
            </w:r>
          </w:p>
        </w:tc>
        <w:tc>
          <w:tcPr>
            <w:tcW w:w="1980" w:type="dxa"/>
            <w:shd w:val="clear" w:color="auto" w:fill="auto"/>
          </w:tcPr>
          <w:p w14:paraId="40220AF8" w14:textId="77777777" w:rsidR="000D07EA" w:rsidRDefault="00BE7C89">
            <w:pPr>
              <w:pStyle w:val="BodyText"/>
              <w:spacing w:before="100" w:after="100"/>
            </w:pPr>
            <w:r>
              <w:t>No</w:t>
            </w:r>
          </w:p>
        </w:tc>
      </w:tr>
      <w:tr w:rsidR="000D07EA" w14:paraId="122CFC11" w14:textId="77777777">
        <w:tc>
          <w:tcPr>
            <w:tcW w:w="3708" w:type="dxa"/>
            <w:shd w:val="clear" w:color="auto" w:fill="auto"/>
          </w:tcPr>
          <w:p w14:paraId="5A3FFB20" w14:textId="77777777" w:rsidR="000D07EA" w:rsidRDefault="00BE7C89">
            <w:pPr>
              <w:pStyle w:val="BodyText"/>
              <w:spacing w:before="100" w:after="100"/>
            </w:pPr>
            <w:r>
              <w:t>Premium SMS</w:t>
            </w:r>
          </w:p>
        </w:tc>
        <w:tc>
          <w:tcPr>
            <w:tcW w:w="1980" w:type="dxa"/>
            <w:shd w:val="clear" w:color="auto" w:fill="auto"/>
          </w:tcPr>
          <w:p w14:paraId="6391E10D" w14:textId="77777777" w:rsidR="000D07EA" w:rsidRDefault="00BE7C89">
            <w:pPr>
              <w:pStyle w:val="BodyText"/>
              <w:spacing w:before="100" w:after="100"/>
            </w:pPr>
            <w:r>
              <w:t>No</w:t>
            </w:r>
          </w:p>
        </w:tc>
        <w:tc>
          <w:tcPr>
            <w:tcW w:w="1980" w:type="dxa"/>
            <w:shd w:val="clear" w:color="auto" w:fill="auto"/>
          </w:tcPr>
          <w:p w14:paraId="6E73952C" w14:textId="77777777" w:rsidR="000D07EA" w:rsidRDefault="00BE7C89">
            <w:pPr>
              <w:pStyle w:val="BodyText"/>
              <w:spacing w:before="100" w:after="100"/>
            </w:pPr>
            <w:r>
              <w:t>No</w:t>
            </w:r>
          </w:p>
        </w:tc>
        <w:tc>
          <w:tcPr>
            <w:tcW w:w="1980" w:type="dxa"/>
            <w:shd w:val="clear" w:color="auto" w:fill="auto"/>
          </w:tcPr>
          <w:p w14:paraId="632EB6F0" w14:textId="77777777" w:rsidR="000D07EA" w:rsidRDefault="00BE7C89">
            <w:pPr>
              <w:pStyle w:val="BodyText"/>
              <w:spacing w:before="100" w:after="100"/>
            </w:pPr>
            <w:r>
              <w:t>No</w:t>
            </w:r>
          </w:p>
        </w:tc>
      </w:tr>
      <w:tr w:rsidR="000D07EA" w14:paraId="23C1DC35" w14:textId="77777777">
        <w:tc>
          <w:tcPr>
            <w:tcW w:w="3708" w:type="dxa"/>
            <w:shd w:val="clear" w:color="auto" w:fill="auto"/>
          </w:tcPr>
          <w:p w14:paraId="62CEDAB6" w14:textId="77777777" w:rsidR="000D07EA" w:rsidRDefault="00BE7C89">
            <w:pPr>
              <w:pStyle w:val="BodyText"/>
              <w:spacing w:before="100" w:after="100"/>
            </w:pPr>
            <w:r>
              <w:t xml:space="preserve">Premium Video </w:t>
            </w:r>
          </w:p>
        </w:tc>
        <w:tc>
          <w:tcPr>
            <w:tcW w:w="1980" w:type="dxa"/>
            <w:shd w:val="clear" w:color="auto" w:fill="auto"/>
          </w:tcPr>
          <w:p w14:paraId="34A95D59" w14:textId="77777777" w:rsidR="000D07EA" w:rsidRDefault="00BE7C89">
            <w:pPr>
              <w:pStyle w:val="BodyText"/>
              <w:spacing w:before="100" w:after="100"/>
            </w:pPr>
            <w:r>
              <w:t>No</w:t>
            </w:r>
          </w:p>
        </w:tc>
        <w:tc>
          <w:tcPr>
            <w:tcW w:w="1980" w:type="dxa"/>
            <w:shd w:val="clear" w:color="auto" w:fill="auto"/>
          </w:tcPr>
          <w:p w14:paraId="606EE204" w14:textId="77777777" w:rsidR="000D07EA" w:rsidRDefault="00BE7C89">
            <w:pPr>
              <w:pStyle w:val="BodyText"/>
              <w:spacing w:before="100" w:after="100"/>
            </w:pPr>
            <w:r>
              <w:t>No</w:t>
            </w:r>
          </w:p>
        </w:tc>
        <w:tc>
          <w:tcPr>
            <w:tcW w:w="1980" w:type="dxa"/>
            <w:shd w:val="clear" w:color="auto" w:fill="auto"/>
          </w:tcPr>
          <w:p w14:paraId="18E1A69F" w14:textId="77777777" w:rsidR="000D07EA" w:rsidRDefault="00BE7C89">
            <w:pPr>
              <w:pStyle w:val="BodyText"/>
              <w:spacing w:before="100" w:after="100"/>
            </w:pPr>
            <w:r>
              <w:t>No</w:t>
            </w:r>
          </w:p>
        </w:tc>
      </w:tr>
      <w:tr w:rsidR="000D07EA" w14:paraId="0A0378C8" w14:textId="77777777">
        <w:tc>
          <w:tcPr>
            <w:tcW w:w="3708" w:type="dxa"/>
            <w:shd w:val="clear" w:color="auto" w:fill="auto"/>
          </w:tcPr>
          <w:p w14:paraId="5F29AACE" w14:textId="77777777" w:rsidR="000D07EA" w:rsidRDefault="00BE7C89">
            <w:pPr>
              <w:pStyle w:val="BodyText"/>
              <w:spacing w:before="100" w:after="100"/>
            </w:pPr>
            <w:r>
              <w:t xml:space="preserve">Video Conferencing </w:t>
            </w:r>
          </w:p>
        </w:tc>
        <w:tc>
          <w:tcPr>
            <w:tcW w:w="1980" w:type="dxa"/>
            <w:shd w:val="clear" w:color="auto" w:fill="auto"/>
          </w:tcPr>
          <w:p w14:paraId="5C8A7A99" w14:textId="77777777" w:rsidR="000D07EA" w:rsidRDefault="00BE7C89">
            <w:pPr>
              <w:pStyle w:val="BodyText"/>
              <w:spacing w:before="100" w:after="100"/>
            </w:pPr>
            <w:r>
              <w:t>No</w:t>
            </w:r>
          </w:p>
        </w:tc>
        <w:tc>
          <w:tcPr>
            <w:tcW w:w="1980" w:type="dxa"/>
            <w:shd w:val="clear" w:color="auto" w:fill="auto"/>
          </w:tcPr>
          <w:p w14:paraId="478E30A6" w14:textId="77777777" w:rsidR="000D07EA" w:rsidRDefault="00BE7C89">
            <w:pPr>
              <w:pStyle w:val="BodyText"/>
              <w:spacing w:before="100" w:after="100"/>
            </w:pPr>
            <w:r>
              <w:t>No</w:t>
            </w:r>
          </w:p>
        </w:tc>
        <w:tc>
          <w:tcPr>
            <w:tcW w:w="1980" w:type="dxa"/>
            <w:shd w:val="clear" w:color="auto" w:fill="auto"/>
          </w:tcPr>
          <w:p w14:paraId="34ED2DD1" w14:textId="77777777" w:rsidR="000D07EA" w:rsidRDefault="00BE7C89">
            <w:pPr>
              <w:pStyle w:val="BodyText"/>
              <w:spacing w:before="100" w:after="100"/>
            </w:pPr>
            <w:r>
              <w:t>No</w:t>
            </w:r>
          </w:p>
        </w:tc>
      </w:tr>
      <w:tr w:rsidR="000D07EA" w14:paraId="796BFD6D" w14:textId="77777777">
        <w:tc>
          <w:tcPr>
            <w:tcW w:w="3708" w:type="dxa"/>
            <w:shd w:val="clear" w:color="auto" w:fill="auto"/>
          </w:tcPr>
          <w:p w14:paraId="423D3991" w14:textId="77777777" w:rsidR="000D07EA" w:rsidRDefault="00BE7C89">
            <w:pPr>
              <w:pStyle w:val="BodyText"/>
              <w:spacing w:before="100" w:after="100"/>
            </w:pPr>
            <w:r>
              <w:t>National MMS</w:t>
            </w:r>
          </w:p>
        </w:tc>
        <w:tc>
          <w:tcPr>
            <w:tcW w:w="1980" w:type="dxa"/>
            <w:shd w:val="clear" w:color="auto" w:fill="auto"/>
          </w:tcPr>
          <w:p w14:paraId="41D65042" w14:textId="77777777" w:rsidR="000D07EA" w:rsidRDefault="00BE7C89">
            <w:pPr>
              <w:pStyle w:val="BodyText"/>
              <w:spacing w:before="100" w:after="100"/>
            </w:pPr>
            <w:r>
              <w:t>Yes</w:t>
            </w:r>
          </w:p>
        </w:tc>
        <w:tc>
          <w:tcPr>
            <w:tcW w:w="1980" w:type="dxa"/>
            <w:shd w:val="clear" w:color="auto" w:fill="auto"/>
          </w:tcPr>
          <w:p w14:paraId="55D1D2FC" w14:textId="77777777" w:rsidR="000D07EA" w:rsidRDefault="00BE7C89">
            <w:pPr>
              <w:pStyle w:val="BodyText"/>
              <w:spacing w:before="100" w:after="100"/>
            </w:pPr>
            <w:r>
              <w:t>Yes</w:t>
            </w:r>
          </w:p>
        </w:tc>
        <w:tc>
          <w:tcPr>
            <w:tcW w:w="1980" w:type="dxa"/>
            <w:shd w:val="clear" w:color="auto" w:fill="auto"/>
          </w:tcPr>
          <w:p w14:paraId="6D97F3AC" w14:textId="77777777" w:rsidR="000D07EA" w:rsidRDefault="00BE7C89">
            <w:pPr>
              <w:pStyle w:val="BodyText"/>
              <w:spacing w:before="100" w:after="100"/>
            </w:pPr>
            <w:r>
              <w:t>Yes</w:t>
            </w:r>
          </w:p>
        </w:tc>
      </w:tr>
      <w:tr w:rsidR="000D07EA" w14:paraId="4FF1292F" w14:textId="77777777">
        <w:tc>
          <w:tcPr>
            <w:tcW w:w="3708" w:type="dxa"/>
            <w:shd w:val="clear" w:color="auto" w:fill="auto"/>
          </w:tcPr>
          <w:p w14:paraId="3EE626D3" w14:textId="77777777" w:rsidR="000D07EA" w:rsidRDefault="00BE7C89">
            <w:pPr>
              <w:pStyle w:val="BodyText"/>
              <w:spacing w:before="100" w:after="100"/>
            </w:pPr>
            <w:r>
              <w:t>International MMS</w:t>
            </w:r>
          </w:p>
        </w:tc>
        <w:tc>
          <w:tcPr>
            <w:tcW w:w="1980" w:type="dxa"/>
            <w:shd w:val="clear" w:color="auto" w:fill="auto"/>
          </w:tcPr>
          <w:p w14:paraId="1E6C399B" w14:textId="77777777" w:rsidR="000D07EA" w:rsidRDefault="00BE7C89">
            <w:pPr>
              <w:pStyle w:val="BodyText"/>
              <w:spacing w:before="100" w:after="100"/>
            </w:pPr>
            <w:r>
              <w:t>No</w:t>
            </w:r>
          </w:p>
        </w:tc>
        <w:tc>
          <w:tcPr>
            <w:tcW w:w="1980" w:type="dxa"/>
            <w:shd w:val="clear" w:color="auto" w:fill="auto"/>
          </w:tcPr>
          <w:p w14:paraId="38EAB7B1" w14:textId="77777777" w:rsidR="000D07EA" w:rsidRDefault="00BE7C89">
            <w:pPr>
              <w:pStyle w:val="BodyText"/>
              <w:spacing w:before="100" w:after="100"/>
            </w:pPr>
            <w:r>
              <w:t>No</w:t>
            </w:r>
          </w:p>
        </w:tc>
        <w:tc>
          <w:tcPr>
            <w:tcW w:w="1980" w:type="dxa"/>
            <w:shd w:val="clear" w:color="auto" w:fill="auto"/>
          </w:tcPr>
          <w:p w14:paraId="1F95C69D" w14:textId="77777777" w:rsidR="000D07EA" w:rsidRDefault="00BE7C89">
            <w:pPr>
              <w:pStyle w:val="BodyText"/>
              <w:spacing w:before="100" w:after="100"/>
            </w:pPr>
            <w:r>
              <w:t>No</w:t>
            </w:r>
          </w:p>
        </w:tc>
      </w:tr>
      <w:tr w:rsidR="000D07EA" w14:paraId="2D8DD85F" w14:textId="77777777">
        <w:tc>
          <w:tcPr>
            <w:tcW w:w="3708" w:type="dxa"/>
            <w:shd w:val="clear" w:color="auto" w:fill="auto"/>
          </w:tcPr>
          <w:p w14:paraId="71C5DA18" w14:textId="77777777" w:rsidR="000D07EA" w:rsidRDefault="00BE7C89">
            <w:pPr>
              <w:pStyle w:val="BodyText"/>
              <w:spacing w:before="100" w:after="100"/>
            </w:pPr>
            <w:r>
              <w:lastRenderedPageBreak/>
              <w:t>Optus Zoo or Optus Zoo Browsing</w:t>
            </w:r>
          </w:p>
        </w:tc>
        <w:tc>
          <w:tcPr>
            <w:tcW w:w="1980" w:type="dxa"/>
            <w:shd w:val="clear" w:color="auto" w:fill="auto"/>
          </w:tcPr>
          <w:p w14:paraId="4E4CCBBF" w14:textId="77777777" w:rsidR="000D07EA" w:rsidRDefault="00BE7C89">
            <w:pPr>
              <w:pStyle w:val="BodyText"/>
              <w:spacing w:before="100" w:after="100"/>
            </w:pPr>
            <w:r>
              <w:t>Yes</w:t>
            </w:r>
          </w:p>
        </w:tc>
        <w:tc>
          <w:tcPr>
            <w:tcW w:w="1980" w:type="dxa"/>
            <w:shd w:val="clear" w:color="auto" w:fill="auto"/>
          </w:tcPr>
          <w:p w14:paraId="73313021" w14:textId="77777777" w:rsidR="000D07EA" w:rsidRDefault="00BE7C89">
            <w:pPr>
              <w:pStyle w:val="BodyText"/>
              <w:spacing w:before="100" w:after="100"/>
            </w:pPr>
            <w:r>
              <w:t>Yes</w:t>
            </w:r>
          </w:p>
        </w:tc>
        <w:tc>
          <w:tcPr>
            <w:tcW w:w="1980" w:type="dxa"/>
            <w:shd w:val="clear" w:color="auto" w:fill="auto"/>
          </w:tcPr>
          <w:p w14:paraId="411068B6" w14:textId="77777777" w:rsidR="000D07EA" w:rsidRDefault="00BE7C89">
            <w:pPr>
              <w:pStyle w:val="BodyText"/>
              <w:spacing w:before="100" w:after="100"/>
            </w:pPr>
            <w:r>
              <w:t>Yes</w:t>
            </w:r>
          </w:p>
        </w:tc>
      </w:tr>
      <w:tr w:rsidR="000D07EA" w14:paraId="4A834248" w14:textId="77777777">
        <w:tc>
          <w:tcPr>
            <w:tcW w:w="3708" w:type="dxa"/>
            <w:shd w:val="clear" w:color="auto" w:fill="auto"/>
          </w:tcPr>
          <w:p w14:paraId="35B28E94" w14:textId="77777777" w:rsidR="000D07EA" w:rsidRDefault="00BE7C89">
            <w:pPr>
              <w:pStyle w:val="BodyText"/>
              <w:spacing w:before="100" w:after="100"/>
            </w:pPr>
            <w:r>
              <w:t>Optus Zoo or Optus Zoo Downloads</w:t>
            </w:r>
          </w:p>
        </w:tc>
        <w:tc>
          <w:tcPr>
            <w:tcW w:w="1980" w:type="dxa"/>
            <w:shd w:val="clear" w:color="auto" w:fill="auto"/>
          </w:tcPr>
          <w:p w14:paraId="1E1483FB" w14:textId="77777777" w:rsidR="000D07EA" w:rsidRDefault="00BE7C89">
            <w:pPr>
              <w:pStyle w:val="BodyText"/>
              <w:spacing w:before="100" w:after="100"/>
            </w:pPr>
            <w:r>
              <w:t>No</w:t>
            </w:r>
          </w:p>
        </w:tc>
        <w:tc>
          <w:tcPr>
            <w:tcW w:w="1980" w:type="dxa"/>
            <w:shd w:val="clear" w:color="auto" w:fill="auto"/>
          </w:tcPr>
          <w:p w14:paraId="14180136" w14:textId="77777777" w:rsidR="000D07EA" w:rsidRDefault="00BE7C89">
            <w:pPr>
              <w:pStyle w:val="BodyText"/>
              <w:spacing w:before="100" w:after="100"/>
            </w:pPr>
            <w:r>
              <w:t>No</w:t>
            </w:r>
          </w:p>
        </w:tc>
        <w:tc>
          <w:tcPr>
            <w:tcW w:w="1980" w:type="dxa"/>
            <w:shd w:val="clear" w:color="auto" w:fill="auto"/>
          </w:tcPr>
          <w:p w14:paraId="77F343F7" w14:textId="77777777" w:rsidR="000D07EA" w:rsidRDefault="00BE7C89">
            <w:pPr>
              <w:pStyle w:val="BodyText"/>
              <w:spacing w:before="100" w:after="100"/>
            </w:pPr>
            <w:r>
              <w:t>No</w:t>
            </w:r>
          </w:p>
        </w:tc>
      </w:tr>
      <w:tr w:rsidR="000D07EA" w14:paraId="4F065AC9" w14:textId="77777777">
        <w:tc>
          <w:tcPr>
            <w:tcW w:w="3708" w:type="dxa"/>
            <w:shd w:val="clear" w:color="auto" w:fill="auto"/>
          </w:tcPr>
          <w:p w14:paraId="28929F32" w14:textId="77777777" w:rsidR="000D07EA" w:rsidRDefault="00BE7C89">
            <w:pPr>
              <w:pStyle w:val="BodyText"/>
              <w:spacing w:before="100" w:after="100"/>
            </w:pPr>
            <w:r>
              <w:t>SMS to 966 (Zoo)</w:t>
            </w:r>
          </w:p>
        </w:tc>
        <w:tc>
          <w:tcPr>
            <w:tcW w:w="1980" w:type="dxa"/>
            <w:shd w:val="clear" w:color="auto" w:fill="auto"/>
          </w:tcPr>
          <w:p w14:paraId="1BF20F3E" w14:textId="77777777" w:rsidR="000D07EA" w:rsidRDefault="00BE7C89">
            <w:pPr>
              <w:pStyle w:val="BodyText"/>
              <w:spacing w:before="100" w:after="100"/>
            </w:pPr>
            <w:r>
              <w:t>No</w:t>
            </w:r>
          </w:p>
        </w:tc>
        <w:tc>
          <w:tcPr>
            <w:tcW w:w="1980" w:type="dxa"/>
            <w:shd w:val="clear" w:color="auto" w:fill="auto"/>
          </w:tcPr>
          <w:p w14:paraId="303F7B57" w14:textId="77777777" w:rsidR="000D07EA" w:rsidRDefault="00BE7C89">
            <w:pPr>
              <w:pStyle w:val="BodyText"/>
              <w:spacing w:before="100" w:after="100"/>
            </w:pPr>
            <w:r>
              <w:t>No</w:t>
            </w:r>
          </w:p>
        </w:tc>
        <w:tc>
          <w:tcPr>
            <w:tcW w:w="1980" w:type="dxa"/>
            <w:shd w:val="clear" w:color="auto" w:fill="auto"/>
          </w:tcPr>
          <w:p w14:paraId="0E6B8CD4" w14:textId="77777777" w:rsidR="000D07EA" w:rsidRDefault="00BE7C89">
            <w:pPr>
              <w:pStyle w:val="BodyText"/>
              <w:spacing w:before="100" w:after="100"/>
            </w:pPr>
            <w:r>
              <w:t>No</w:t>
            </w:r>
          </w:p>
        </w:tc>
      </w:tr>
      <w:tr w:rsidR="000D07EA" w14:paraId="5976A9DE" w14:textId="77777777">
        <w:tc>
          <w:tcPr>
            <w:tcW w:w="3708" w:type="dxa"/>
            <w:shd w:val="clear" w:color="auto" w:fill="auto"/>
          </w:tcPr>
          <w:p w14:paraId="41D5AC95" w14:textId="77777777" w:rsidR="000D07EA" w:rsidRDefault="00BE7C89">
            <w:pPr>
              <w:pStyle w:val="BodyText"/>
              <w:spacing w:before="100" w:after="100"/>
            </w:pPr>
            <w:r>
              <w:t>Data used whilst roaming internationally</w:t>
            </w:r>
          </w:p>
        </w:tc>
        <w:tc>
          <w:tcPr>
            <w:tcW w:w="1980" w:type="dxa"/>
            <w:shd w:val="clear" w:color="auto" w:fill="auto"/>
          </w:tcPr>
          <w:p w14:paraId="3D4AA89F" w14:textId="77777777" w:rsidR="000D07EA" w:rsidRDefault="00BE7C89">
            <w:pPr>
              <w:pStyle w:val="BodyText"/>
              <w:spacing w:before="100" w:after="100"/>
            </w:pPr>
            <w:r>
              <w:t>No</w:t>
            </w:r>
          </w:p>
        </w:tc>
        <w:tc>
          <w:tcPr>
            <w:tcW w:w="1980" w:type="dxa"/>
            <w:shd w:val="clear" w:color="auto" w:fill="auto"/>
          </w:tcPr>
          <w:p w14:paraId="7433A317" w14:textId="77777777" w:rsidR="000D07EA" w:rsidRDefault="00BE7C89">
            <w:pPr>
              <w:pStyle w:val="BodyText"/>
              <w:spacing w:before="100" w:after="100"/>
            </w:pPr>
            <w:r>
              <w:t>No</w:t>
            </w:r>
          </w:p>
        </w:tc>
        <w:tc>
          <w:tcPr>
            <w:tcW w:w="1980" w:type="dxa"/>
            <w:shd w:val="clear" w:color="auto" w:fill="auto"/>
          </w:tcPr>
          <w:p w14:paraId="7C04A68F" w14:textId="77777777" w:rsidR="000D07EA" w:rsidRDefault="00BE7C89">
            <w:pPr>
              <w:pStyle w:val="BodyText"/>
              <w:spacing w:before="100" w:after="100"/>
            </w:pPr>
            <w:r>
              <w:t>No</w:t>
            </w:r>
          </w:p>
        </w:tc>
      </w:tr>
      <w:tr w:rsidR="000D07EA" w14:paraId="311FDB4F" w14:textId="77777777">
        <w:tc>
          <w:tcPr>
            <w:tcW w:w="3708" w:type="dxa"/>
            <w:shd w:val="clear" w:color="auto" w:fill="auto"/>
          </w:tcPr>
          <w:p w14:paraId="385F9579" w14:textId="77777777" w:rsidR="000D07EA" w:rsidRDefault="00BE7C89">
            <w:pPr>
              <w:pStyle w:val="BodyText"/>
              <w:spacing w:before="100" w:after="100"/>
            </w:pPr>
            <w:r>
              <w:t xml:space="preserve">Directory Assistance – 1223 </w:t>
            </w:r>
          </w:p>
        </w:tc>
        <w:tc>
          <w:tcPr>
            <w:tcW w:w="1980" w:type="dxa"/>
            <w:shd w:val="clear" w:color="auto" w:fill="auto"/>
          </w:tcPr>
          <w:p w14:paraId="45F6050B" w14:textId="77777777" w:rsidR="000D07EA" w:rsidRDefault="00BE7C89">
            <w:pPr>
              <w:pStyle w:val="BodyText"/>
              <w:spacing w:before="100" w:after="100"/>
            </w:pPr>
            <w:r>
              <w:t>Yes</w:t>
            </w:r>
          </w:p>
        </w:tc>
        <w:tc>
          <w:tcPr>
            <w:tcW w:w="1980" w:type="dxa"/>
            <w:shd w:val="clear" w:color="auto" w:fill="auto"/>
          </w:tcPr>
          <w:p w14:paraId="0A2C58C8" w14:textId="77777777" w:rsidR="000D07EA" w:rsidRDefault="00BE7C89">
            <w:pPr>
              <w:pStyle w:val="BodyText"/>
              <w:spacing w:before="100" w:after="100"/>
            </w:pPr>
            <w:r>
              <w:t>Yes</w:t>
            </w:r>
          </w:p>
        </w:tc>
        <w:tc>
          <w:tcPr>
            <w:tcW w:w="1980" w:type="dxa"/>
            <w:shd w:val="clear" w:color="auto" w:fill="auto"/>
          </w:tcPr>
          <w:p w14:paraId="6256A5B4" w14:textId="77777777" w:rsidR="000D07EA" w:rsidRDefault="00BE7C89">
            <w:pPr>
              <w:pStyle w:val="BodyText"/>
              <w:spacing w:before="100" w:after="100"/>
            </w:pPr>
            <w:r>
              <w:t>Yes</w:t>
            </w:r>
          </w:p>
        </w:tc>
      </w:tr>
      <w:tr w:rsidR="000D07EA" w14:paraId="220272D0" w14:textId="77777777">
        <w:tc>
          <w:tcPr>
            <w:tcW w:w="3708" w:type="dxa"/>
            <w:shd w:val="clear" w:color="auto" w:fill="auto"/>
          </w:tcPr>
          <w:p w14:paraId="2E2D3546" w14:textId="77777777" w:rsidR="000D07EA" w:rsidRDefault="00BE7C89">
            <w:pPr>
              <w:pStyle w:val="BodyText"/>
              <w:spacing w:before="100" w:after="100"/>
            </w:pPr>
            <w:r>
              <w:t>19XX Numbers</w:t>
            </w:r>
          </w:p>
        </w:tc>
        <w:tc>
          <w:tcPr>
            <w:tcW w:w="1980" w:type="dxa"/>
            <w:shd w:val="clear" w:color="auto" w:fill="auto"/>
          </w:tcPr>
          <w:p w14:paraId="17619486" w14:textId="77777777" w:rsidR="000D07EA" w:rsidRDefault="00BE7C89">
            <w:pPr>
              <w:pStyle w:val="BodyText"/>
              <w:spacing w:before="100" w:after="100"/>
            </w:pPr>
            <w:r>
              <w:t>No</w:t>
            </w:r>
          </w:p>
        </w:tc>
        <w:tc>
          <w:tcPr>
            <w:tcW w:w="1980" w:type="dxa"/>
            <w:shd w:val="clear" w:color="auto" w:fill="auto"/>
          </w:tcPr>
          <w:p w14:paraId="158BA735" w14:textId="77777777" w:rsidR="000D07EA" w:rsidRDefault="00BE7C89">
            <w:pPr>
              <w:pStyle w:val="BodyText"/>
              <w:spacing w:before="100" w:after="100"/>
            </w:pPr>
            <w:r>
              <w:t>No</w:t>
            </w:r>
          </w:p>
        </w:tc>
        <w:tc>
          <w:tcPr>
            <w:tcW w:w="1980" w:type="dxa"/>
            <w:shd w:val="clear" w:color="auto" w:fill="auto"/>
          </w:tcPr>
          <w:p w14:paraId="299A5D85" w14:textId="77777777" w:rsidR="000D07EA" w:rsidRDefault="00BE7C89">
            <w:pPr>
              <w:pStyle w:val="BodyText"/>
              <w:spacing w:before="100" w:after="100"/>
            </w:pPr>
            <w:r>
              <w:t>No</w:t>
            </w:r>
          </w:p>
        </w:tc>
      </w:tr>
      <w:tr w:rsidR="000D07EA" w14:paraId="03BDDDEE" w14:textId="77777777">
        <w:tc>
          <w:tcPr>
            <w:tcW w:w="3708" w:type="dxa"/>
            <w:shd w:val="clear" w:color="auto" w:fill="auto"/>
          </w:tcPr>
          <w:p w14:paraId="52FB5194" w14:textId="77777777" w:rsidR="000D07EA" w:rsidRDefault="00BE7C89">
            <w:pPr>
              <w:pStyle w:val="BodyText"/>
              <w:spacing w:before="100" w:after="100"/>
            </w:pPr>
            <w:r>
              <w:t>13/1300 numbers</w:t>
            </w:r>
          </w:p>
        </w:tc>
        <w:tc>
          <w:tcPr>
            <w:tcW w:w="1980" w:type="dxa"/>
            <w:shd w:val="clear" w:color="auto" w:fill="auto"/>
          </w:tcPr>
          <w:p w14:paraId="0E758791" w14:textId="77777777" w:rsidR="000D07EA" w:rsidRDefault="00BE7C89">
            <w:pPr>
              <w:pStyle w:val="BodyText"/>
              <w:spacing w:before="100" w:after="100"/>
            </w:pPr>
            <w:r>
              <w:t>Yes</w:t>
            </w:r>
          </w:p>
        </w:tc>
        <w:tc>
          <w:tcPr>
            <w:tcW w:w="1980" w:type="dxa"/>
            <w:shd w:val="clear" w:color="auto" w:fill="auto"/>
          </w:tcPr>
          <w:p w14:paraId="4DDE6F43" w14:textId="77777777" w:rsidR="000D07EA" w:rsidRDefault="00BE7C89">
            <w:pPr>
              <w:pStyle w:val="BodyText"/>
              <w:spacing w:before="100" w:after="100"/>
            </w:pPr>
            <w:r>
              <w:t>No</w:t>
            </w:r>
          </w:p>
        </w:tc>
        <w:tc>
          <w:tcPr>
            <w:tcW w:w="1980" w:type="dxa"/>
            <w:shd w:val="clear" w:color="auto" w:fill="auto"/>
          </w:tcPr>
          <w:p w14:paraId="695F2FE9" w14:textId="77777777" w:rsidR="000D07EA" w:rsidRDefault="00BE7C89">
            <w:pPr>
              <w:pStyle w:val="BodyText"/>
              <w:spacing w:before="100" w:after="100"/>
            </w:pPr>
            <w:r>
              <w:t>Yes</w:t>
            </w:r>
          </w:p>
        </w:tc>
      </w:tr>
      <w:tr w:rsidR="000D07EA" w14:paraId="02FDFCC2" w14:textId="77777777">
        <w:tc>
          <w:tcPr>
            <w:tcW w:w="3708" w:type="dxa"/>
            <w:shd w:val="clear" w:color="auto" w:fill="auto"/>
          </w:tcPr>
          <w:p w14:paraId="25F7B699" w14:textId="77777777" w:rsidR="000D07EA" w:rsidRDefault="00BE7C89">
            <w:pPr>
              <w:pStyle w:val="BodyText"/>
              <w:spacing w:before="100" w:after="100"/>
            </w:pPr>
            <w:r>
              <w:t>1800 (Freephone) Numbers</w:t>
            </w:r>
          </w:p>
        </w:tc>
        <w:tc>
          <w:tcPr>
            <w:tcW w:w="1980" w:type="dxa"/>
            <w:shd w:val="clear" w:color="auto" w:fill="auto"/>
          </w:tcPr>
          <w:p w14:paraId="2B24DBD5" w14:textId="77777777" w:rsidR="000D07EA" w:rsidRDefault="00BE7C89">
            <w:pPr>
              <w:pStyle w:val="BodyText"/>
              <w:spacing w:before="100" w:after="100"/>
            </w:pPr>
            <w:r>
              <w:t>Yes</w:t>
            </w:r>
          </w:p>
        </w:tc>
        <w:tc>
          <w:tcPr>
            <w:tcW w:w="1980" w:type="dxa"/>
            <w:shd w:val="clear" w:color="auto" w:fill="auto"/>
          </w:tcPr>
          <w:p w14:paraId="40124276" w14:textId="77777777" w:rsidR="000D07EA" w:rsidRDefault="00BE7C89">
            <w:pPr>
              <w:pStyle w:val="BodyText"/>
              <w:spacing w:before="100" w:after="100"/>
            </w:pPr>
            <w:r>
              <w:t>Yes</w:t>
            </w:r>
          </w:p>
        </w:tc>
        <w:tc>
          <w:tcPr>
            <w:tcW w:w="1980" w:type="dxa"/>
            <w:shd w:val="clear" w:color="auto" w:fill="auto"/>
          </w:tcPr>
          <w:p w14:paraId="178C78AB" w14:textId="77777777" w:rsidR="000D07EA" w:rsidRDefault="00BE7C89">
            <w:pPr>
              <w:pStyle w:val="BodyText"/>
              <w:spacing w:before="100" w:after="100"/>
            </w:pPr>
            <w:r>
              <w:t>Yes</w:t>
            </w:r>
          </w:p>
        </w:tc>
      </w:tr>
      <w:tr w:rsidR="000D07EA" w14:paraId="185C43A9" w14:textId="77777777">
        <w:tc>
          <w:tcPr>
            <w:tcW w:w="3708" w:type="dxa"/>
            <w:shd w:val="clear" w:color="auto" w:fill="auto"/>
          </w:tcPr>
          <w:p w14:paraId="64D660A3" w14:textId="77777777" w:rsidR="000D07EA" w:rsidRDefault="00BE7C89">
            <w:pPr>
              <w:pStyle w:val="BodyText"/>
              <w:spacing w:before="100" w:after="100"/>
            </w:pPr>
            <w:r>
              <w:t>124YES(937)</w:t>
            </w:r>
          </w:p>
        </w:tc>
        <w:tc>
          <w:tcPr>
            <w:tcW w:w="1980" w:type="dxa"/>
            <w:shd w:val="clear" w:color="auto" w:fill="auto"/>
          </w:tcPr>
          <w:p w14:paraId="0F4635F8" w14:textId="77777777" w:rsidR="000D07EA" w:rsidRDefault="00BE7C89">
            <w:pPr>
              <w:pStyle w:val="BodyText"/>
              <w:spacing w:before="100" w:after="100"/>
            </w:pPr>
            <w:r>
              <w:t>No</w:t>
            </w:r>
          </w:p>
        </w:tc>
        <w:tc>
          <w:tcPr>
            <w:tcW w:w="1980" w:type="dxa"/>
            <w:shd w:val="clear" w:color="auto" w:fill="auto"/>
          </w:tcPr>
          <w:p w14:paraId="13913307" w14:textId="77777777" w:rsidR="000D07EA" w:rsidRDefault="00BE7C89">
            <w:pPr>
              <w:pStyle w:val="BodyText"/>
              <w:spacing w:before="100" w:after="100"/>
            </w:pPr>
            <w:r>
              <w:t>No</w:t>
            </w:r>
          </w:p>
        </w:tc>
        <w:tc>
          <w:tcPr>
            <w:tcW w:w="1980" w:type="dxa"/>
            <w:shd w:val="clear" w:color="auto" w:fill="auto"/>
          </w:tcPr>
          <w:p w14:paraId="445F5568" w14:textId="77777777" w:rsidR="000D07EA" w:rsidRDefault="00BE7C89">
            <w:pPr>
              <w:pStyle w:val="BodyText"/>
              <w:spacing w:before="100" w:after="100"/>
            </w:pPr>
            <w:r>
              <w:t>No</w:t>
            </w:r>
          </w:p>
        </w:tc>
      </w:tr>
      <w:tr w:rsidR="000D07EA" w14:paraId="73FE2563" w14:textId="77777777">
        <w:tc>
          <w:tcPr>
            <w:tcW w:w="3708" w:type="dxa"/>
            <w:shd w:val="clear" w:color="auto" w:fill="auto"/>
          </w:tcPr>
          <w:p w14:paraId="269C6BCF" w14:textId="77777777" w:rsidR="000D07EA" w:rsidRDefault="00BE7C89">
            <w:pPr>
              <w:pStyle w:val="BodyText"/>
              <w:spacing w:before="100" w:after="100"/>
            </w:pPr>
            <w:r>
              <w:t>Insurance</w:t>
            </w:r>
          </w:p>
        </w:tc>
        <w:tc>
          <w:tcPr>
            <w:tcW w:w="1980" w:type="dxa"/>
            <w:shd w:val="clear" w:color="auto" w:fill="auto"/>
          </w:tcPr>
          <w:p w14:paraId="59E0ADA1" w14:textId="77777777" w:rsidR="000D07EA" w:rsidRDefault="00BE7C89">
            <w:pPr>
              <w:pStyle w:val="BodyText"/>
              <w:spacing w:before="100" w:after="100"/>
            </w:pPr>
            <w:r>
              <w:t>No</w:t>
            </w:r>
          </w:p>
        </w:tc>
        <w:tc>
          <w:tcPr>
            <w:tcW w:w="1980" w:type="dxa"/>
            <w:shd w:val="clear" w:color="auto" w:fill="auto"/>
          </w:tcPr>
          <w:p w14:paraId="1B71D3A1" w14:textId="77777777" w:rsidR="000D07EA" w:rsidRDefault="00BE7C89">
            <w:pPr>
              <w:pStyle w:val="BodyText"/>
              <w:spacing w:before="100" w:after="100"/>
            </w:pPr>
            <w:r>
              <w:t>No</w:t>
            </w:r>
          </w:p>
        </w:tc>
        <w:tc>
          <w:tcPr>
            <w:tcW w:w="1980" w:type="dxa"/>
            <w:shd w:val="clear" w:color="auto" w:fill="auto"/>
          </w:tcPr>
          <w:p w14:paraId="78D08EAB" w14:textId="77777777" w:rsidR="000D07EA" w:rsidRDefault="00BE7C89">
            <w:pPr>
              <w:pStyle w:val="BodyText"/>
              <w:spacing w:before="100" w:after="100"/>
            </w:pPr>
            <w:r>
              <w:t>No</w:t>
            </w:r>
          </w:p>
        </w:tc>
      </w:tr>
      <w:tr w:rsidR="000D07EA" w14:paraId="7CEFB473" w14:textId="77777777">
        <w:tc>
          <w:tcPr>
            <w:tcW w:w="3708" w:type="dxa"/>
            <w:shd w:val="clear" w:color="auto" w:fill="auto"/>
          </w:tcPr>
          <w:p w14:paraId="77ED3D20" w14:textId="77777777" w:rsidR="000D07EA" w:rsidRDefault="00BE7C89">
            <w:pPr>
              <w:pStyle w:val="BodyText"/>
              <w:spacing w:before="100" w:after="100"/>
            </w:pPr>
            <w:r>
              <w:t>Handset Payments</w:t>
            </w:r>
          </w:p>
        </w:tc>
        <w:tc>
          <w:tcPr>
            <w:tcW w:w="1980" w:type="dxa"/>
            <w:shd w:val="clear" w:color="auto" w:fill="auto"/>
          </w:tcPr>
          <w:p w14:paraId="634EDFB2" w14:textId="77777777" w:rsidR="000D07EA" w:rsidRDefault="00BE7C89">
            <w:pPr>
              <w:pStyle w:val="BodyText"/>
              <w:spacing w:before="100" w:after="100"/>
            </w:pPr>
            <w:r>
              <w:t>No</w:t>
            </w:r>
          </w:p>
        </w:tc>
        <w:tc>
          <w:tcPr>
            <w:tcW w:w="1980" w:type="dxa"/>
            <w:shd w:val="clear" w:color="auto" w:fill="auto"/>
          </w:tcPr>
          <w:p w14:paraId="63E89F3B" w14:textId="77777777" w:rsidR="000D07EA" w:rsidRDefault="00BE7C89">
            <w:pPr>
              <w:pStyle w:val="BodyText"/>
              <w:spacing w:before="100" w:after="100"/>
            </w:pPr>
            <w:r>
              <w:t>No</w:t>
            </w:r>
          </w:p>
        </w:tc>
        <w:tc>
          <w:tcPr>
            <w:tcW w:w="1980" w:type="dxa"/>
            <w:shd w:val="clear" w:color="auto" w:fill="auto"/>
          </w:tcPr>
          <w:p w14:paraId="6E318607" w14:textId="77777777" w:rsidR="000D07EA" w:rsidRDefault="00BE7C89">
            <w:pPr>
              <w:pStyle w:val="BodyText"/>
              <w:spacing w:before="100" w:after="100"/>
            </w:pPr>
            <w:r>
              <w:t>No</w:t>
            </w:r>
          </w:p>
        </w:tc>
      </w:tr>
      <w:tr w:rsidR="000D07EA" w14:paraId="49A14F42" w14:textId="77777777">
        <w:tc>
          <w:tcPr>
            <w:tcW w:w="3708" w:type="dxa"/>
            <w:shd w:val="clear" w:color="auto" w:fill="auto"/>
          </w:tcPr>
          <w:p w14:paraId="12EA8E00" w14:textId="77777777" w:rsidR="000D07EA" w:rsidRDefault="00BE7C89">
            <w:pPr>
              <w:pStyle w:val="BodyText"/>
              <w:spacing w:before="100" w:after="100"/>
            </w:pPr>
            <w:r>
              <w:t>Content Packs (unless specified in promotions)</w:t>
            </w:r>
          </w:p>
        </w:tc>
        <w:tc>
          <w:tcPr>
            <w:tcW w:w="1980" w:type="dxa"/>
            <w:shd w:val="clear" w:color="auto" w:fill="auto"/>
          </w:tcPr>
          <w:p w14:paraId="4B5650F8" w14:textId="77777777" w:rsidR="000D07EA" w:rsidRDefault="00BE7C89">
            <w:pPr>
              <w:pStyle w:val="BodyText"/>
              <w:spacing w:before="100" w:after="100"/>
            </w:pPr>
            <w:r>
              <w:t>No</w:t>
            </w:r>
          </w:p>
        </w:tc>
        <w:tc>
          <w:tcPr>
            <w:tcW w:w="1980" w:type="dxa"/>
            <w:shd w:val="clear" w:color="auto" w:fill="auto"/>
          </w:tcPr>
          <w:p w14:paraId="496D120F" w14:textId="77777777" w:rsidR="000D07EA" w:rsidRDefault="00BE7C89">
            <w:pPr>
              <w:pStyle w:val="BodyText"/>
              <w:spacing w:before="100" w:after="100"/>
            </w:pPr>
            <w:r>
              <w:t>No</w:t>
            </w:r>
          </w:p>
        </w:tc>
        <w:tc>
          <w:tcPr>
            <w:tcW w:w="1980" w:type="dxa"/>
            <w:shd w:val="clear" w:color="auto" w:fill="auto"/>
          </w:tcPr>
          <w:p w14:paraId="785AACBA" w14:textId="77777777" w:rsidR="000D07EA" w:rsidRDefault="00BE7C89">
            <w:pPr>
              <w:pStyle w:val="BodyText"/>
              <w:spacing w:before="100" w:after="100"/>
            </w:pPr>
            <w:r>
              <w:t>No</w:t>
            </w:r>
          </w:p>
        </w:tc>
      </w:tr>
      <w:tr w:rsidR="000D07EA" w14:paraId="7301ADEE" w14:textId="77777777">
        <w:tc>
          <w:tcPr>
            <w:tcW w:w="3708" w:type="dxa"/>
            <w:shd w:val="clear" w:color="auto" w:fill="auto"/>
          </w:tcPr>
          <w:p w14:paraId="4C6A8233" w14:textId="77777777" w:rsidR="000D07EA" w:rsidRDefault="00BE7C89">
            <w:pPr>
              <w:pStyle w:val="BodyText"/>
              <w:spacing w:before="100" w:after="100"/>
            </w:pPr>
            <w:r>
              <w:t>Mobile Internet usage</w:t>
            </w:r>
          </w:p>
        </w:tc>
        <w:tc>
          <w:tcPr>
            <w:tcW w:w="1980" w:type="dxa"/>
            <w:shd w:val="clear" w:color="auto" w:fill="auto"/>
          </w:tcPr>
          <w:p w14:paraId="2D11B598" w14:textId="77777777" w:rsidR="000D07EA" w:rsidRDefault="00BE7C89">
            <w:pPr>
              <w:pStyle w:val="BodyText"/>
              <w:spacing w:before="100" w:after="100"/>
            </w:pPr>
            <w:r>
              <w:t>No</w:t>
            </w:r>
          </w:p>
        </w:tc>
        <w:tc>
          <w:tcPr>
            <w:tcW w:w="1980" w:type="dxa"/>
            <w:shd w:val="clear" w:color="auto" w:fill="auto"/>
          </w:tcPr>
          <w:p w14:paraId="1B70649C" w14:textId="77777777" w:rsidR="000D07EA" w:rsidRDefault="00BE7C89">
            <w:pPr>
              <w:pStyle w:val="BodyText"/>
              <w:spacing w:before="100" w:after="100"/>
            </w:pPr>
            <w:r>
              <w:t>No</w:t>
            </w:r>
          </w:p>
        </w:tc>
        <w:tc>
          <w:tcPr>
            <w:tcW w:w="1980" w:type="dxa"/>
            <w:shd w:val="clear" w:color="auto" w:fill="auto"/>
          </w:tcPr>
          <w:p w14:paraId="41D066B9" w14:textId="77777777" w:rsidR="000D07EA" w:rsidRDefault="00BE7C89">
            <w:pPr>
              <w:pStyle w:val="BodyText"/>
              <w:spacing w:before="100" w:after="100"/>
            </w:pPr>
            <w:r>
              <w:t>No</w:t>
            </w:r>
          </w:p>
        </w:tc>
      </w:tr>
      <w:tr w:rsidR="000D07EA" w14:paraId="3598716E" w14:textId="77777777">
        <w:tc>
          <w:tcPr>
            <w:tcW w:w="3708" w:type="dxa"/>
            <w:shd w:val="clear" w:color="auto" w:fill="auto"/>
          </w:tcPr>
          <w:p w14:paraId="227A84CA" w14:textId="77777777" w:rsidR="000D07EA" w:rsidRDefault="00BE7C89">
            <w:pPr>
              <w:pStyle w:val="BodyText"/>
              <w:spacing w:before="100" w:after="100"/>
            </w:pPr>
            <w:r>
              <w:t xml:space="preserve">True Local Usage </w:t>
            </w:r>
          </w:p>
        </w:tc>
        <w:tc>
          <w:tcPr>
            <w:tcW w:w="1980" w:type="dxa"/>
            <w:shd w:val="clear" w:color="auto" w:fill="auto"/>
          </w:tcPr>
          <w:p w14:paraId="514500A4" w14:textId="77777777" w:rsidR="000D07EA" w:rsidRDefault="00BE7C89">
            <w:pPr>
              <w:pStyle w:val="BodyText"/>
              <w:spacing w:before="100" w:after="100"/>
            </w:pPr>
            <w:r>
              <w:t>No</w:t>
            </w:r>
          </w:p>
        </w:tc>
        <w:tc>
          <w:tcPr>
            <w:tcW w:w="1980" w:type="dxa"/>
            <w:shd w:val="clear" w:color="auto" w:fill="auto"/>
          </w:tcPr>
          <w:p w14:paraId="5F366373" w14:textId="77777777" w:rsidR="000D07EA" w:rsidRDefault="00BE7C89">
            <w:pPr>
              <w:pStyle w:val="BodyText"/>
              <w:spacing w:before="100" w:after="100"/>
            </w:pPr>
            <w:r>
              <w:t>No</w:t>
            </w:r>
          </w:p>
        </w:tc>
        <w:tc>
          <w:tcPr>
            <w:tcW w:w="1980" w:type="dxa"/>
            <w:shd w:val="clear" w:color="auto" w:fill="auto"/>
          </w:tcPr>
          <w:p w14:paraId="449224BE" w14:textId="77777777" w:rsidR="000D07EA" w:rsidRDefault="00BE7C89">
            <w:pPr>
              <w:pStyle w:val="BodyText"/>
              <w:spacing w:before="100" w:after="100"/>
            </w:pPr>
            <w:r>
              <w:t>No</w:t>
            </w:r>
          </w:p>
        </w:tc>
      </w:tr>
      <w:tr w:rsidR="000D07EA" w14:paraId="4E865569" w14:textId="77777777">
        <w:tc>
          <w:tcPr>
            <w:tcW w:w="3708" w:type="dxa"/>
            <w:shd w:val="clear" w:color="auto" w:fill="auto"/>
          </w:tcPr>
          <w:p w14:paraId="34444BB9" w14:textId="77777777" w:rsidR="000D07EA" w:rsidRDefault="00BE7C89">
            <w:pPr>
              <w:pStyle w:val="BodyText"/>
              <w:spacing w:before="100" w:after="100"/>
            </w:pPr>
            <w:r>
              <w:t>VOIP services</w:t>
            </w:r>
          </w:p>
        </w:tc>
        <w:tc>
          <w:tcPr>
            <w:tcW w:w="1980" w:type="dxa"/>
            <w:shd w:val="clear" w:color="auto" w:fill="auto"/>
          </w:tcPr>
          <w:p w14:paraId="3B19CBFA" w14:textId="77777777" w:rsidR="000D07EA" w:rsidRDefault="00BE7C89">
            <w:pPr>
              <w:pStyle w:val="BodyText"/>
              <w:spacing w:before="100" w:after="100"/>
            </w:pPr>
            <w:r>
              <w:t>No</w:t>
            </w:r>
          </w:p>
        </w:tc>
        <w:tc>
          <w:tcPr>
            <w:tcW w:w="1980" w:type="dxa"/>
            <w:shd w:val="clear" w:color="auto" w:fill="auto"/>
          </w:tcPr>
          <w:p w14:paraId="67B31281" w14:textId="77777777" w:rsidR="000D07EA" w:rsidRDefault="00BE7C89">
            <w:pPr>
              <w:pStyle w:val="BodyText"/>
              <w:spacing w:before="100" w:after="100"/>
            </w:pPr>
            <w:r>
              <w:t>No</w:t>
            </w:r>
          </w:p>
        </w:tc>
        <w:tc>
          <w:tcPr>
            <w:tcW w:w="1980" w:type="dxa"/>
            <w:shd w:val="clear" w:color="auto" w:fill="auto"/>
          </w:tcPr>
          <w:p w14:paraId="5BD9D327" w14:textId="77777777" w:rsidR="000D07EA" w:rsidRDefault="00BE7C89">
            <w:pPr>
              <w:pStyle w:val="BodyText"/>
              <w:spacing w:before="100" w:after="100"/>
            </w:pPr>
            <w:r>
              <w:t>No</w:t>
            </w:r>
          </w:p>
        </w:tc>
      </w:tr>
      <w:tr w:rsidR="000D07EA" w14:paraId="27494859" w14:textId="77777777">
        <w:tc>
          <w:tcPr>
            <w:tcW w:w="3708" w:type="dxa"/>
            <w:shd w:val="clear" w:color="auto" w:fill="auto"/>
          </w:tcPr>
          <w:p w14:paraId="1287799C" w14:textId="77777777" w:rsidR="000D07EA" w:rsidRDefault="00BE7C89">
            <w:pPr>
              <w:pStyle w:val="BodyText"/>
              <w:spacing w:before="100" w:after="100"/>
            </w:pPr>
            <w:r>
              <w:t xml:space="preserve">Calls to Satellite </w:t>
            </w:r>
          </w:p>
        </w:tc>
        <w:tc>
          <w:tcPr>
            <w:tcW w:w="1980" w:type="dxa"/>
            <w:shd w:val="clear" w:color="auto" w:fill="auto"/>
          </w:tcPr>
          <w:p w14:paraId="72510EB1" w14:textId="77777777" w:rsidR="000D07EA" w:rsidRDefault="00BE7C89">
            <w:pPr>
              <w:pStyle w:val="BodyText"/>
              <w:spacing w:before="100" w:after="100"/>
            </w:pPr>
            <w:r>
              <w:t>No</w:t>
            </w:r>
          </w:p>
        </w:tc>
        <w:tc>
          <w:tcPr>
            <w:tcW w:w="1980" w:type="dxa"/>
            <w:shd w:val="clear" w:color="auto" w:fill="auto"/>
          </w:tcPr>
          <w:p w14:paraId="2AAD7EE8" w14:textId="77777777" w:rsidR="000D07EA" w:rsidRDefault="00BE7C89">
            <w:pPr>
              <w:pStyle w:val="BodyText"/>
              <w:spacing w:before="100" w:after="100"/>
            </w:pPr>
            <w:r>
              <w:t>No</w:t>
            </w:r>
          </w:p>
        </w:tc>
        <w:tc>
          <w:tcPr>
            <w:tcW w:w="1980" w:type="dxa"/>
            <w:shd w:val="clear" w:color="auto" w:fill="auto"/>
          </w:tcPr>
          <w:p w14:paraId="5CEA659E" w14:textId="77777777" w:rsidR="000D07EA" w:rsidRDefault="00BE7C89">
            <w:pPr>
              <w:pStyle w:val="BodyText"/>
              <w:spacing w:before="100" w:after="100"/>
            </w:pPr>
            <w:r>
              <w:t>No</w:t>
            </w:r>
          </w:p>
        </w:tc>
      </w:tr>
      <w:tr w:rsidR="000D07EA" w14:paraId="05CA0DD4" w14:textId="77777777">
        <w:tc>
          <w:tcPr>
            <w:tcW w:w="3708" w:type="dxa"/>
            <w:shd w:val="clear" w:color="auto" w:fill="auto"/>
          </w:tcPr>
          <w:p w14:paraId="41695207" w14:textId="77777777" w:rsidR="000D07EA" w:rsidRDefault="00BE7C89">
            <w:pPr>
              <w:pStyle w:val="BodyText"/>
              <w:spacing w:before="100" w:after="100"/>
            </w:pPr>
            <w:r>
              <w:t>Surepage</w:t>
            </w:r>
          </w:p>
        </w:tc>
        <w:tc>
          <w:tcPr>
            <w:tcW w:w="1980" w:type="dxa"/>
            <w:shd w:val="clear" w:color="auto" w:fill="auto"/>
          </w:tcPr>
          <w:p w14:paraId="007CAC44" w14:textId="77777777" w:rsidR="000D07EA" w:rsidRDefault="00BE7C89">
            <w:pPr>
              <w:pStyle w:val="BodyText"/>
              <w:spacing w:before="100" w:after="100"/>
            </w:pPr>
            <w:r>
              <w:t>No</w:t>
            </w:r>
          </w:p>
        </w:tc>
        <w:tc>
          <w:tcPr>
            <w:tcW w:w="1980" w:type="dxa"/>
            <w:shd w:val="clear" w:color="auto" w:fill="auto"/>
          </w:tcPr>
          <w:p w14:paraId="49E95863" w14:textId="77777777" w:rsidR="000D07EA" w:rsidRDefault="00BE7C89">
            <w:pPr>
              <w:pStyle w:val="BodyText"/>
              <w:spacing w:before="100" w:after="100"/>
            </w:pPr>
            <w:r>
              <w:t>No</w:t>
            </w:r>
          </w:p>
        </w:tc>
        <w:tc>
          <w:tcPr>
            <w:tcW w:w="1980" w:type="dxa"/>
            <w:shd w:val="clear" w:color="auto" w:fill="auto"/>
          </w:tcPr>
          <w:p w14:paraId="17F0A3D6" w14:textId="77777777" w:rsidR="000D07EA" w:rsidRDefault="00BE7C89">
            <w:pPr>
              <w:pStyle w:val="BodyText"/>
              <w:spacing w:before="100" w:after="100"/>
            </w:pPr>
            <w:r>
              <w:t>No</w:t>
            </w:r>
          </w:p>
        </w:tc>
      </w:tr>
    </w:tbl>
    <w:p w14:paraId="338143A0" w14:textId="77777777" w:rsidR="000D07EA" w:rsidRDefault="000D07EA">
      <w:pPr>
        <w:pStyle w:val="BodyText"/>
      </w:pPr>
    </w:p>
    <w:p w14:paraId="010C2127" w14:textId="77777777" w:rsidR="000D07EA" w:rsidRDefault="00BE7C89">
      <w:pPr>
        <w:pStyle w:val="BodyText"/>
        <w:keepNext/>
        <w:ind w:left="720"/>
        <w:rPr>
          <w:b/>
        </w:rPr>
      </w:pPr>
      <w:r>
        <w:rPr>
          <w:b/>
        </w:rPr>
        <w:t>Table 4 – Eligible for the Included Mobile Internet Data</w:t>
      </w:r>
    </w:p>
    <w:tbl>
      <w:tblPr>
        <w:tblW w:w="96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5688"/>
        <w:gridCol w:w="3960"/>
      </w:tblGrid>
      <w:tr w:rsidR="000D07EA" w14:paraId="2A830B54" w14:textId="77777777">
        <w:trPr>
          <w:tblHeader/>
        </w:trPr>
        <w:tc>
          <w:tcPr>
            <w:tcW w:w="5688" w:type="dxa"/>
            <w:shd w:val="clear" w:color="auto" w:fill="auto"/>
          </w:tcPr>
          <w:p w14:paraId="49608858" w14:textId="77777777" w:rsidR="000D07EA" w:rsidRDefault="00BE7C89">
            <w:pPr>
              <w:pStyle w:val="BodyText"/>
              <w:keepNext/>
              <w:spacing w:before="100" w:after="100"/>
              <w:rPr>
                <w:b/>
              </w:rPr>
            </w:pPr>
            <w:r>
              <w:rPr>
                <w:b/>
              </w:rPr>
              <w:t>Call Type</w:t>
            </w:r>
          </w:p>
        </w:tc>
        <w:tc>
          <w:tcPr>
            <w:tcW w:w="3960" w:type="dxa"/>
            <w:shd w:val="clear" w:color="auto" w:fill="auto"/>
          </w:tcPr>
          <w:p w14:paraId="175B7422" w14:textId="77777777" w:rsidR="000D07EA" w:rsidRDefault="00BE7C89">
            <w:pPr>
              <w:pStyle w:val="BodyText"/>
              <w:keepNext/>
              <w:spacing w:before="100" w:after="100"/>
              <w:rPr>
                <w:b/>
              </w:rPr>
            </w:pPr>
            <w:r>
              <w:rPr>
                <w:b/>
              </w:rPr>
              <w:t>Eligible Data</w:t>
            </w:r>
          </w:p>
        </w:tc>
      </w:tr>
      <w:tr w:rsidR="000D07EA" w14:paraId="4C3C8528" w14:textId="77777777">
        <w:trPr>
          <w:trHeight w:val="58"/>
        </w:trPr>
        <w:tc>
          <w:tcPr>
            <w:tcW w:w="5688" w:type="dxa"/>
            <w:shd w:val="clear" w:color="auto" w:fill="auto"/>
          </w:tcPr>
          <w:p w14:paraId="00565A3B" w14:textId="77777777" w:rsidR="000D07EA" w:rsidRDefault="00BE7C89">
            <w:pPr>
              <w:pStyle w:val="BodyText"/>
              <w:spacing w:before="100" w:after="100"/>
            </w:pPr>
            <w:r>
              <w:t>National Voice and Video Calls</w:t>
            </w:r>
          </w:p>
        </w:tc>
        <w:tc>
          <w:tcPr>
            <w:tcW w:w="3960" w:type="dxa"/>
            <w:shd w:val="clear" w:color="auto" w:fill="auto"/>
          </w:tcPr>
          <w:p w14:paraId="0BD02C34" w14:textId="77777777" w:rsidR="000D07EA" w:rsidRDefault="00BE7C89">
            <w:pPr>
              <w:pStyle w:val="BodyText"/>
              <w:spacing w:before="100" w:after="100"/>
            </w:pPr>
            <w:r>
              <w:t>No</w:t>
            </w:r>
          </w:p>
        </w:tc>
      </w:tr>
      <w:tr w:rsidR="000D07EA" w14:paraId="37A161C6" w14:textId="77777777">
        <w:tc>
          <w:tcPr>
            <w:tcW w:w="5688" w:type="dxa"/>
            <w:shd w:val="clear" w:color="auto" w:fill="auto"/>
          </w:tcPr>
          <w:p w14:paraId="48CD3593" w14:textId="77777777" w:rsidR="000D07EA" w:rsidRDefault="00BE7C89">
            <w:pPr>
              <w:pStyle w:val="BodyText"/>
              <w:spacing w:before="100" w:after="100"/>
            </w:pPr>
            <w:r>
              <w:t>International Voice and Video Calls</w:t>
            </w:r>
          </w:p>
          <w:p w14:paraId="038D2218" w14:textId="77777777" w:rsidR="000D07EA" w:rsidRDefault="00BE7C89">
            <w:pPr>
              <w:pStyle w:val="BodyText"/>
              <w:spacing w:before="100" w:after="100"/>
            </w:pPr>
            <w:r>
              <w:t>(including calls to national fixed or GSM mobile services that then divert/switch or re-route overseas)</w:t>
            </w:r>
          </w:p>
        </w:tc>
        <w:tc>
          <w:tcPr>
            <w:tcW w:w="3960" w:type="dxa"/>
            <w:shd w:val="clear" w:color="auto" w:fill="auto"/>
          </w:tcPr>
          <w:p w14:paraId="5861B674" w14:textId="77777777" w:rsidR="000D07EA" w:rsidRDefault="00BE7C89">
            <w:pPr>
              <w:pStyle w:val="BodyText"/>
              <w:spacing w:before="100" w:after="100"/>
            </w:pPr>
            <w:r>
              <w:t xml:space="preserve">No </w:t>
            </w:r>
          </w:p>
        </w:tc>
      </w:tr>
      <w:tr w:rsidR="000D07EA" w14:paraId="3F81AA97" w14:textId="77777777">
        <w:tc>
          <w:tcPr>
            <w:tcW w:w="5688" w:type="dxa"/>
            <w:shd w:val="clear" w:color="auto" w:fill="auto"/>
          </w:tcPr>
          <w:p w14:paraId="4530B668" w14:textId="77777777" w:rsidR="000D07EA" w:rsidRDefault="00BE7C89">
            <w:pPr>
              <w:pStyle w:val="BodyText"/>
              <w:spacing w:before="100" w:after="100"/>
            </w:pPr>
            <w:r>
              <w:t>Premium Video</w:t>
            </w:r>
          </w:p>
        </w:tc>
        <w:tc>
          <w:tcPr>
            <w:tcW w:w="3960" w:type="dxa"/>
            <w:shd w:val="clear" w:color="auto" w:fill="auto"/>
          </w:tcPr>
          <w:p w14:paraId="78D28693" w14:textId="77777777" w:rsidR="000D07EA" w:rsidRDefault="00BE7C89">
            <w:pPr>
              <w:pStyle w:val="BodyText"/>
              <w:spacing w:before="100" w:after="100"/>
            </w:pPr>
            <w:r>
              <w:t>No</w:t>
            </w:r>
          </w:p>
        </w:tc>
      </w:tr>
      <w:tr w:rsidR="000D07EA" w14:paraId="7785D1F8" w14:textId="77777777">
        <w:tc>
          <w:tcPr>
            <w:tcW w:w="5688" w:type="dxa"/>
            <w:shd w:val="clear" w:color="auto" w:fill="auto"/>
          </w:tcPr>
          <w:p w14:paraId="6C7A3FFD" w14:textId="77777777" w:rsidR="000D07EA" w:rsidRDefault="00BE7C89">
            <w:pPr>
              <w:pStyle w:val="BodyText"/>
              <w:spacing w:before="100" w:after="100"/>
            </w:pPr>
            <w:r>
              <w:t>Content Video</w:t>
            </w:r>
          </w:p>
        </w:tc>
        <w:tc>
          <w:tcPr>
            <w:tcW w:w="3960" w:type="dxa"/>
            <w:shd w:val="clear" w:color="auto" w:fill="auto"/>
          </w:tcPr>
          <w:p w14:paraId="28F5C4A6" w14:textId="77777777" w:rsidR="000D07EA" w:rsidRDefault="00BE7C89">
            <w:pPr>
              <w:pStyle w:val="BodyText"/>
              <w:spacing w:before="100" w:after="100"/>
            </w:pPr>
            <w:r>
              <w:t>No</w:t>
            </w:r>
          </w:p>
        </w:tc>
      </w:tr>
      <w:tr w:rsidR="000D07EA" w14:paraId="7A46BDD2" w14:textId="77777777">
        <w:tc>
          <w:tcPr>
            <w:tcW w:w="5688" w:type="dxa"/>
            <w:shd w:val="clear" w:color="auto" w:fill="auto"/>
          </w:tcPr>
          <w:p w14:paraId="63D503BD" w14:textId="77777777" w:rsidR="000D07EA" w:rsidRDefault="00BE7C89">
            <w:pPr>
              <w:pStyle w:val="BodyText"/>
              <w:spacing w:before="100" w:after="100"/>
            </w:pPr>
            <w:r>
              <w:t>National Standard SMS</w:t>
            </w:r>
          </w:p>
        </w:tc>
        <w:tc>
          <w:tcPr>
            <w:tcW w:w="3960" w:type="dxa"/>
            <w:shd w:val="clear" w:color="auto" w:fill="auto"/>
          </w:tcPr>
          <w:p w14:paraId="7DFD522F" w14:textId="77777777" w:rsidR="000D07EA" w:rsidRDefault="00BE7C89">
            <w:pPr>
              <w:pStyle w:val="BodyText"/>
              <w:spacing w:before="100" w:after="100"/>
            </w:pPr>
            <w:r>
              <w:t>No</w:t>
            </w:r>
          </w:p>
        </w:tc>
      </w:tr>
      <w:tr w:rsidR="000D07EA" w14:paraId="01F5822D" w14:textId="77777777">
        <w:tc>
          <w:tcPr>
            <w:tcW w:w="5688" w:type="dxa"/>
            <w:shd w:val="clear" w:color="auto" w:fill="auto"/>
          </w:tcPr>
          <w:p w14:paraId="06ED1F19" w14:textId="77777777" w:rsidR="000D07EA" w:rsidRDefault="00BE7C89">
            <w:pPr>
              <w:pStyle w:val="BodyText"/>
              <w:spacing w:before="100" w:after="100"/>
            </w:pPr>
            <w:r>
              <w:t>International SMS</w:t>
            </w:r>
          </w:p>
        </w:tc>
        <w:tc>
          <w:tcPr>
            <w:tcW w:w="3960" w:type="dxa"/>
            <w:shd w:val="clear" w:color="auto" w:fill="auto"/>
          </w:tcPr>
          <w:p w14:paraId="51CEB4A8" w14:textId="77777777" w:rsidR="000D07EA" w:rsidRDefault="00BE7C89">
            <w:pPr>
              <w:pStyle w:val="BodyText"/>
              <w:spacing w:before="100" w:after="100"/>
            </w:pPr>
            <w:r>
              <w:t>No</w:t>
            </w:r>
          </w:p>
        </w:tc>
      </w:tr>
      <w:tr w:rsidR="000D07EA" w14:paraId="26F91005" w14:textId="77777777">
        <w:tc>
          <w:tcPr>
            <w:tcW w:w="5688" w:type="dxa"/>
            <w:shd w:val="clear" w:color="auto" w:fill="auto"/>
          </w:tcPr>
          <w:p w14:paraId="428FB677" w14:textId="77777777" w:rsidR="000D07EA" w:rsidRDefault="00BE7C89">
            <w:pPr>
              <w:pStyle w:val="BodyText"/>
              <w:spacing w:before="100" w:after="100"/>
            </w:pPr>
            <w:r>
              <w:t>Premium SMS</w:t>
            </w:r>
          </w:p>
        </w:tc>
        <w:tc>
          <w:tcPr>
            <w:tcW w:w="3960" w:type="dxa"/>
            <w:shd w:val="clear" w:color="auto" w:fill="auto"/>
          </w:tcPr>
          <w:p w14:paraId="1E57BCF7" w14:textId="77777777" w:rsidR="000D07EA" w:rsidRDefault="00BE7C89">
            <w:pPr>
              <w:pStyle w:val="BodyText"/>
              <w:spacing w:before="100" w:after="100"/>
            </w:pPr>
            <w:r>
              <w:t>No</w:t>
            </w:r>
          </w:p>
        </w:tc>
      </w:tr>
      <w:tr w:rsidR="000D07EA" w14:paraId="7834464E" w14:textId="77777777">
        <w:tc>
          <w:tcPr>
            <w:tcW w:w="5688" w:type="dxa"/>
            <w:shd w:val="clear" w:color="auto" w:fill="auto"/>
          </w:tcPr>
          <w:p w14:paraId="3BE863D0" w14:textId="77777777" w:rsidR="000D07EA" w:rsidRDefault="00BE7C89">
            <w:pPr>
              <w:pStyle w:val="BodyText"/>
              <w:spacing w:before="100" w:after="100"/>
            </w:pPr>
            <w:r>
              <w:lastRenderedPageBreak/>
              <w:t>National Standard MMS</w:t>
            </w:r>
          </w:p>
        </w:tc>
        <w:tc>
          <w:tcPr>
            <w:tcW w:w="3960" w:type="dxa"/>
            <w:shd w:val="clear" w:color="auto" w:fill="auto"/>
          </w:tcPr>
          <w:p w14:paraId="5D49EDCA" w14:textId="77777777" w:rsidR="000D07EA" w:rsidRDefault="00BE7C89">
            <w:pPr>
              <w:pStyle w:val="BodyText"/>
              <w:spacing w:before="100" w:after="100"/>
            </w:pPr>
            <w:r>
              <w:t>No</w:t>
            </w:r>
          </w:p>
        </w:tc>
      </w:tr>
      <w:tr w:rsidR="000D07EA" w14:paraId="6A2A8293" w14:textId="77777777">
        <w:tc>
          <w:tcPr>
            <w:tcW w:w="5688" w:type="dxa"/>
            <w:shd w:val="clear" w:color="auto" w:fill="auto"/>
          </w:tcPr>
          <w:p w14:paraId="087A1C12" w14:textId="77777777" w:rsidR="000D07EA" w:rsidRDefault="00BE7C89">
            <w:pPr>
              <w:pStyle w:val="BodyText"/>
              <w:spacing w:before="100" w:after="100"/>
            </w:pPr>
            <w:r>
              <w:t>International MMS</w:t>
            </w:r>
          </w:p>
        </w:tc>
        <w:tc>
          <w:tcPr>
            <w:tcW w:w="3960" w:type="dxa"/>
            <w:shd w:val="clear" w:color="auto" w:fill="auto"/>
          </w:tcPr>
          <w:p w14:paraId="4F938A39" w14:textId="77777777" w:rsidR="000D07EA" w:rsidRDefault="00BE7C89">
            <w:pPr>
              <w:pStyle w:val="BodyText"/>
              <w:spacing w:before="100" w:after="100"/>
            </w:pPr>
            <w:r>
              <w:t>No</w:t>
            </w:r>
          </w:p>
        </w:tc>
      </w:tr>
      <w:tr w:rsidR="000D07EA" w14:paraId="68B6A196" w14:textId="77777777">
        <w:tc>
          <w:tcPr>
            <w:tcW w:w="5688" w:type="dxa"/>
            <w:shd w:val="clear" w:color="auto" w:fill="auto"/>
          </w:tcPr>
          <w:p w14:paraId="7BE02162" w14:textId="77777777" w:rsidR="000D07EA" w:rsidRDefault="00BE7C89">
            <w:pPr>
              <w:pStyle w:val="BodyText"/>
              <w:spacing w:before="100" w:after="100"/>
            </w:pPr>
            <w:r>
              <w:t>Premium MMS</w:t>
            </w:r>
          </w:p>
        </w:tc>
        <w:tc>
          <w:tcPr>
            <w:tcW w:w="3960" w:type="dxa"/>
            <w:shd w:val="clear" w:color="auto" w:fill="auto"/>
          </w:tcPr>
          <w:p w14:paraId="606DA097" w14:textId="77777777" w:rsidR="000D07EA" w:rsidRDefault="00BE7C89">
            <w:pPr>
              <w:pStyle w:val="BodyText"/>
              <w:spacing w:before="100" w:after="100"/>
            </w:pPr>
            <w:r>
              <w:t>No</w:t>
            </w:r>
          </w:p>
        </w:tc>
      </w:tr>
      <w:tr w:rsidR="000D07EA" w14:paraId="12BC23BC" w14:textId="77777777">
        <w:tc>
          <w:tcPr>
            <w:tcW w:w="5688" w:type="dxa"/>
            <w:shd w:val="clear" w:color="auto" w:fill="auto"/>
          </w:tcPr>
          <w:p w14:paraId="4161E470" w14:textId="77777777" w:rsidR="000D07EA" w:rsidRDefault="00BE7C89">
            <w:pPr>
              <w:pStyle w:val="BodyText"/>
              <w:spacing w:before="100" w:after="100"/>
            </w:pPr>
            <w:r>
              <w:t>National Diversions</w:t>
            </w:r>
          </w:p>
        </w:tc>
        <w:tc>
          <w:tcPr>
            <w:tcW w:w="3960" w:type="dxa"/>
            <w:shd w:val="clear" w:color="auto" w:fill="auto"/>
          </w:tcPr>
          <w:p w14:paraId="63857A92" w14:textId="77777777" w:rsidR="000D07EA" w:rsidRDefault="00BE7C89">
            <w:pPr>
              <w:pStyle w:val="BodyText"/>
              <w:spacing w:before="100" w:after="100"/>
            </w:pPr>
            <w:r>
              <w:t>No</w:t>
            </w:r>
          </w:p>
        </w:tc>
      </w:tr>
      <w:tr w:rsidR="000D07EA" w14:paraId="3547D1D7" w14:textId="77777777">
        <w:tc>
          <w:tcPr>
            <w:tcW w:w="5688" w:type="dxa"/>
            <w:shd w:val="clear" w:color="auto" w:fill="auto"/>
          </w:tcPr>
          <w:p w14:paraId="56B39DF7" w14:textId="77777777" w:rsidR="000D07EA" w:rsidRDefault="00BE7C89">
            <w:pPr>
              <w:pStyle w:val="BodyText"/>
              <w:spacing w:before="100" w:after="100"/>
            </w:pPr>
            <w:r>
              <w:t>Voicemail Deposit and Retrievals</w:t>
            </w:r>
          </w:p>
        </w:tc>
        <w:tc>
          <w:tcPr>
            <w:tcW w:w="3960" w:type="dxa"/>
            <w:shd w:val="clear" w:color="auto" w:fill="auto"/>
          </w:tcPr>
          <w:p w14:paraId="43BFEF30" w14:textId="77777777" w:rsidR="000D07EA" w:rsidRDefault="00BE7C89">
            <w:pPr>
              <w:pStyle w:val="BodyText"/>
              <w:spacing w:before="100" w:after="100"/>
            </w:pPr>
            <w:r>
              <w:t>No</w:t>
            </w:r>
          </w:p>
        </w:tc>
      </w:tr>
      <w:tr w:rsidR="000D07EA" w14:paraId="6B450953" w14:textId="77777777">
        <w:tc>
          <w:tcPr>
            <w:tcW w:w="5688" w:type="dxa"/>
            <w:shd w:val="clear" w:color="auto" w:fill="auto"/>
          </w:tcPr>
          <w:p w14:paraId="1F49F0EF" w14:textId="77777777" w:rsidR="000D07EA" w:rsidRDefault="00BE7C89">
            <w:pPr>
              <w:pStyle w:val="BodyText"/>
              <w:spacing w:before="100" w:after="100"/>
            </w:pPr>
            <w:r>
              <w:t>International Roaming and Diversion</w:t>
            </w:r>
          </w:p>
        </w:tc>
        <w:tc>
          <w:tcPr>
            <w:tcW w:w="3960" w:type="dxa"/>
            <w:shd w:val="clear" w:color="auto" w:fill="auto"/>
          </w:tcPr>
          <w:p w14:paraId="72ACD3C4" w14:textId="77777777" w:rsidR="000D07EA" w:rsidRDefault="00BE7C89">
            <w:pPr>
              <w:pStyle w:val="BodyText"/>
              <w:spacing w:before="100" w:after="100"/>
            </w:pPr>
            <w:r>
              <w:t>No</w:t>
            </w:r>
          </w:p>
        </w:tc>
      </w:tr>
      <w:tr w:rsidR="000D07EA" w14:paraId="606F8731" w14:textId="77777777">
        <w:tc>
          <w:tcPr>
            <w:tcW w:w="5688" w:type="dxa"/>
            <w:shd w:val="clear" w:color="auto" w:fill="auto"/>
          </w:tcPr>
          <w:p w14:paraId="5283B08F" w14:textId="77777777" w:rsidR="000D07EA" w:rsidRDefault="00BE7C89">
            <w:pPr>
              <w:pStyle w:val="BodyText"/>
              <w:spacing w:before="100" w:after="100"/>
            </w:pPr>
            <w:r>
              <w:t>Video Conferencing</w:t>
            </w:r>
          </w:p>
        </w:tc>
        <w:tc>
          <w:tcPr>
            <w:tcW w:w="3960" w:type="dxa"/>
            <w:shd w:val="clear" w:color="auto" w:fill="auto"/>
          </w:tcPr>
          <w:p w14:paraId="21193E16" w14:textId="77777777" w:rsidR="000D07EA" w:rsidRDefault="00BE7C89">
            <w:pPr>
              <w:pStyle w:val="BodyText"/>
              <w:spacing w:before="100" w:after="100"/>
            </w:pPr>
            <w:r>
              <w:t>No</w:t>
            </w:r>
          </w:p>
        </w:tc>
      </w:tr>
      <w:tr w:rsidR="000D07EA" w14:paraId="4663CB9C" w14:textId="77777777">
        <w:tc>
          <w:tcPr>
            <w:tcW w:w="5688" w:type="dxa"/>
            <w:shd w:val="clear" w:color="auto" w:fill="auto"/>
          </w:tcPr>
          <w:p w14:paraId="31A23B4B" w14:textId="77777777" w:rsidR="000D07EA" w:rsidRDefault="00BE7C89">
            <w:pPr>
              <w:pStyle w:val="BodyText"/>
              <w:spacing w:before="100" w:after="100"/>
            </w:pPr>
            <w:r>
              <w:t>BlackBerry Email</w:t>
            </w:r>
          </w:p>
        </w:tc>
        <w:tc>
          <w:tcPr>
            <w:tcW w:w="3960" w:type="dxa"/>
            <w:shd w:val="clear" w:color="auto" w:fill="auto"/>
          </w:tcPr>
          <w:p w14:paraId="37C97394" w14:textId="77777777" w:rsidR="000D07EA" w:rsidRDefault="00BE7C89">
            <w:pPr>
              <w:pStyle w:val="BodyText"/>
              <w:spacing w:before="100" w:after="100"/>
            </w:pPr>
            <w:r>
              <w:t>No</w:t>
            </w:r>
          </w:p>
        </w:tc>
      </w:tr>
      <w:tr w:rsidR="000D07EA" w14:paraId="395DD498" w14:textId="77777777">
        <w:tc>
          <w:tcPr>
            <w:tcW w:w="5688" w:type="dxa"/>
            <w:shd w:val="clear" w:color="auto" w:fill="auto"/>
          </w:tcPr>
          <w:p w14:paraId="7D86E726" w14:textId="77777777" w:rsidR="000D07EA" w:rsidRDefault="00BE7C89">
            <w:pPr>
              <w:pStyle w:val="BodyText"/>
              <w:spacing w:before="100" w:after="100"/>
            </w:pPr>
            <w:r>
              <w:t>Optus Zoo Browsing*</w:t>
            </w:r>
          </w:p>
        </w:tc>
        <w:tc>
          <w:tcPr>
            <w:tcW w:w="3960" w:type="dxa"/>
            <w:shd w:val="clear" w:color="auto" w:fill="auto"/>
          </w:tcPr>
          <w:p w14:paraId="3B5EA7F2" w14:textId="77777777" w:rsidR="000D07EA" w:rsidRDefault="00BE7C89">
            <w:pPr>
              <w:pStyle w:val="BodyText"/>
              <w:spacing w:before="100" w:after="100"/>
            </w:pPr>
            <w:r>
              <w:t>Yes, up to the monthly included data amount specified in Table 7.</w:t>
            </w:r>
          </w:p>
        </w:tc>
      </w:tr>
      <w:tr w:rsidR="000D07EA" w14:paraId="46056F68" w14:textId="77777777">
        <w:tc>
          <w:tcPr>
            <w:tcW w:w="5688" w:type="dxa"/>
            <w:shd w:val="clear" w:color="auto" w:fill="auto"/>
          </w:tcPr>
          <w:p w14:paraId="5FB1915A" w14:textId="77777777" w:rsidR="000D07EA" w:rsidRDefault="00BE7C89">
            <w:pPr>
              <w:pStyle w:val="BodyText"/>
              <w:spacing w:before="100" w:after="100"/>
            </w:pPr>
            <w:r>
              <w:t>Optus Zoo Downloads</w:t>
            </w:r>
          </w:p>
        </w:tc>
        <w:tc>
          <w:tcPr>
            <w:tcW w:w="3960" w:type="dxa"/>
            <w:shd w:val="clear" w:color="auto" w:fill="auto"/>
          </w:tcPr>
          <w:p w14:paraId="3A220422" w14:textId="77777777" w:rsidR="000D07EA" w:rsidRDefault="00BE7C89">
            <w:pPr>
              <w:pStyle w:val="BodyText"/>
              <w:spacing w:before="100" w:after="100"/>
            </w:pPr>
            <w:r>
              <w:t>No</w:t>
            </w:r>
          </w:p>
        </w:tc>
      </w:tr>
      <w:tr w:rsidR="000D07EA" w14:paraId="082C0B80" w14:textId="77777777">
        <w:tc>
          <w:tcPr>
            <w:tcW w:w="5688" w:type="dxa"/>
            <w:shd w:val="clear" w:color="auto" w:fill="auto"/>
          </w:tcPr>
          <w:p w14:paraId="598FC790" w14:textId="77777777" w:rsidR="000D07EA" w:rsidRDefault="00BE7C89">
            <w:pPr>
              <w:pStyle w:val="BodyText"/>
              <w:spacing w:before="100" w:after="100"/>
            </w:pPr>
            <w:r>
              <w:t>SMS to 966 (Zoo)</w:t>
            </w:r>
          </w:p>
        </w:tc>
        <w:tc>
          <w:tcPr>
            <w:tcW w:w="3960" w:type="dxa"/>
            <w:shd w:val="clear" w:color="auto" w:fill="auto"/>
          </w:tcPr>
          <w:p w14:paraId="7BE7D6E5" w14:textId="77777777" w:rsidR="000D07EA" w:rsidRDefault="00BE7C89">
            <w:pPr>
              <w:pStyle w:val="BodyText"/>
              <w:spacing w:before="100" w:after="100"/>
            </w:pPr>
            <w:r>
              <w:t>No</w:t>
            </w:r>
          </w:p>
        </w:tc>
      </w:tr>
      <w:tr w:rsidR="000D07EA" w14:paraId="1A158FEC" w14:textId="77777777">
        <w:tc>
          <w:tcPr>
            <w:tcW w:w="5688" w:type="dxa"/>
            <w:shd w:val="clear" w:color="auto" w:fill="auto"/>
          </w:tcPr>
          <w:p w14:paraId="1CC1EE2A" w14:textId="77777777" w:rsidR="000D07EA" w:rsidRDefault="00BE7C89">
            <w:pPr>
              <w:pStyle w:val="BodyText"/>
              <w:spacing w:before="100" w:after="100"/>
            </w:pPr>
            <w:r>
              <w:t>Mobile Internet usage*</w:t>
            </w:r>
          </w:p>
        </w:tc>
        <w:tc>
          <w:tcPr>
            <w:tcW w:w="3960" w:type="dxa"/>
            <w:shd w:val="clear" w:color="auto" w:fill="auto"/>
          </w:tcPr>
          <w:p w14:paraId="56DA91BB" w14:textId="77777777" w:rsidR="000D07EA" w:rsidRDefault="00BE7C89">
            <w:pPr>
              <w:pStyle w:val="BodyText"/>
              <w:spacing w:before="100" w:after="100"/>
            </w:pPr>
            <w:r>
              <w:t>Yes, up to the monthly included data amount specified in Table 7.</w:t>
            </w:r>
          </w:p>
        </w:tc>
      </w:tr>
      <w:tr w:rsidR="000D07EA" w14:paraId="084AD3FD" w14:textId="77777777">
        <w:tc>
          <w:tcPr>
            <w:tcW w:w="5688" w:type="dxa"/>
            <w:shd w:val="clear" w:color="auto" w:fill="auto"/>
          </w:tcPr>
          <w:p w14:paraId="483F142B" w14:textId="77777777" w:rsidR="000D07EA" w:rsidRDefault="00BE7C89">
            <w:pPr>
              <w:pStyle w:val="BodyText"/>
              <w:spacing w:before="100" w:after="100"/>
            </w:pPr>
            <w:r>
              <w:t>Mobile as Modem</w:t>
            </w:r>
          </w:p>
        </w:tc>
        <w:tc>
          <w:tcPr>
            <w:tcW w:w="3960" w:type="dxa"/>
            <w:shd w:val="clear" w:color="auto" w:fill="auto"/>
          </w:tcPr>
          <w:p w14:paraId="36F5A1BE" w14:textId="77777777" w:rsidR="000D07EA" w:rsidRDefault="00BE7C89">
            <w:pPr>
              <w:pStyle w:val="BodyText"/>
              <w:spacing w:before="100" w:after="100"/>
            </w:pPr>
            <w:r>
              <w:t>Yes</w:t>
            </w:r>
          </w:p>
        </w:tc>
      </w:tr>
      <w:tr w:rsidR="000D07EA" w14:paraId="56942E11" w14:textId="77777777">
        <w:tc>
          <w:tcPr>
            <w:tcW w:w="5688" w:type="dxa"/>
            <w:shd w:val="clear" w:color="auto" w:fill="auto"/>
          </w:tcPr>
          <w:p w14:paraId="39B33BD8" w14:textId="77777777" w:rsidR="000D07EA" w:rsidRDefault="00BE7C89">
            <w:pPr>
              <w:pStyle w:val="BodyText"/>
              <w:spacing w:before="100" w:after="100"/>
            </w:pPr>
            <w:r>
              <w:t>Data Used while Roaming Internationally</w:t>
            </w:r>
          </w:p>
        </w:tc>
        <w:tc>
          <w:tcPr>
            <w:tcW w:w="3960" w:type="dxa"/>
            <w:shd w:val="clear" w:color="auto" w:fill="auto"/>
          </w:tcPr>
          <w:p w14:paraId="2C0BAA62" w14:textId="77777777" w:rsidR="000D07EA" w:rsidRDefault="00BE7C89">
            <w:pPr>
              <w:pStyle w:val="BodyText"/>
              <w:spacing w:before="100" w:after="100"/>
            </w:pPr>
            <w:r>
              <w:t>No</w:t>
            </w:r>
          </w:p>
        </w:tc>
      </w:tr>
      <w:tr w:rsidR="000D07EA" w14:paraId="4F4B2D52" w14:textId="77777777">
        <w:tc>
          <w:tcPr>
            <w:tcW w:w="5688" w:type="dxa"/>
            <w:shd w:val="clear" w:color="auto" w:fill="auto"/>
          </w:tcPr>
          <w:p w14:paraId="0DB8326C" w14:textId="77777777" w:rsidR="000D07EA" w:rsidRDefault="00BE7C89">
            <w:pPr>
              <w:pStyle w:val="BodyText"/>
              <w:spacing w:before="100" w:after="100"/>
            </w:pPr>
            <w:r>
              <w:t>Content Packs</w:t>
            </w:r>
          </w:p>
        </w:tc>
        <w:tc>
          <w:tcPr>
            <w:tcW w:w="3960" w:type="dxa"/>
            <w:shd w:val="clear" w:color="auto" w:fill="auto"/>
          </w:tcPr>
          <w:p w14:paraId="6E731074" w14:textId="77777777" w:rsidR="000D07EA" w:rsidRDefault="00BE7C89">
            <w:pPr>
              <w:pStyle w:val="BodyText"/>
              <w:spacing w:before="100" w:after="100"/>
            </w:pPr>
            <w:r>
              <w:t>No</w:t>
            </w:r>
          </w:p>
        </w:tc>
      </w:tr>
      <w:tr w:rsidR="000D07EA" w14:paraId="6388F9BB" w14:textId="77777777">
        <w:tc>
          <w:tcPr>
            <w:tcW w:w="5688" w:type="dxa"/>
            <w:shd w:val="clear" w:color="auto" w:fill="auto"/>
          </w:tcPr>
          <w:p w14:paraId="1216944F" w14:textId="77777777" w:rsidR="000D07EA" w:rsidRDefault="00BE7C89">
            <w:pPr>
              <w:pStyle w:val="BodyText"/>
              <w:spacing w:before="100" w:after="100"/>
            </w:pPr>
            <w:r>
              <w:t>TrueLocal Usage</w:t>
            </w:r>
          </w:p>
        </w:tc>
        <w:tc>
          <w:tcPr>
            <w:tcW w:w="3960" w:type="dxa"/>
            <w:shd w:val="clear" w:color="auto" w:fill="auto"/>
          </w:tcPr>
          <w:p w14:paraId="0744554C" w14:textId="77777777" w:rsidR="000D07EA" w:rsidRDefault="00BE7C89">
            <w:pPr>
              <w:pStyle w:val="BodyText"/>
              <w:spacing w:before="100" w:after="100"/>
            </w:pPr>
            <w:r>
              <w:t>No</w:t>
            </w:r>
          </w:p>
        </w:tc>
      </w:tr>
      <w:tr w:rsidR="000D07EA" w14:paraId="145C287E" w14:textId="77777777">
        <w:tc>
          <w:tcPr>
            <w:tcW w:w="5688" w:type="dxa"/>
            <w:shd w:val="clear" w:color="auto" w:fill="auto"/>
          </w:tcPr>
          <w:p w14:paraId="18E172D2" w14:textId="77777777" w:rsidR="000D07EA" w:rsidRDefault="00BE7C89">
            <w:pPr>
              <w:pStyle w:val="BodyText"/>
              <w:spacing w:before="100" w:after="100"/>
            </w:pPr>
            <w:r>
              <w:t>Directory Assistance- 1223</w:t>
            </w:r>
          </w:p>
        </w:tc>
        <w:tc>
          <w:tcPr>
            <w:tcW w:w="3960" w:type="dxa"/>
            <w:shd w:val="clear" w:color="auto" w:fill="auto"/>
          </w:tcPr>
          <w:p w14:paraId="1BFEADBF" w14:textId="77777777" w:rsidR="000D07EA" w:rsidRDefault="00BE7C89">
            <w:pPr>
              <w:pStyle w:val="BodyText"/>
              <w:spacing w:before="100" w:after="100"/>
            </w:pPr>
            <w:r>
              <w:t>No</w:t>
            </w:r>
          </w:p>
        </w:tc>
      </w:tr>
      <w:tr w:rsidR="000D07EA" w14:paraId="2CFBA5CB" w14:textId="77777777">
        <w:tc>
          <w:tcPr>
            <w:tcW w:w="5688" w:type="dxa"/>
            <w:shd w:val="clear" w:color="auto" w:fill="auto"/>
          </w:tcPr>
          <w:p w14:paraId="2E8A34C7" w14:textId="77777777" w:rsidR="000D07EA" w:rsidRDefault="00BE7C89">
            <w:pPr>
              <w:pStyle w:val="BodyText"/>
              <w:spacing w:before="100" w:after="100"/>
            </w:pPr>
            <w:r>
              <w:t>19XX Numbers</w:t>
            </w:r>
          </w:p>
        </w:tc>
        <w:tc>
          <w:tcPr>
            <w:tcW w:w="3960" w:type="dxa"/>
            <w:shd w:val="clear" w:color="auto" w:fill="auto"/>
          </w:tcPr>
          <w:p w14:paraId="07178951" w14:textId="77777777" w:rsidR="000D07EA" w:rsidRDefault="00BE7C89">
            <w:pPr>
              <w:pStyle w:val="BodyText"/>
              <w:spacing w:before="100" w:after="100"/>
            </w:pPr>
            <w:r>
              <w:t>No</w:t>
            </w:r>
          </w:p>
        </w:tc>
      </w:tr>
      <w:tr w:rsidR="000D07EA" w14:paraId="4FA219E0" w14:textId="77777777">
        <w:tc>
          <w:tcPr>
            <w:tcW w:w="5688" w:type="dxa"/>
            <w:shd w:val="clear" w:color="auto" w:fill="auto"/>
          </w:tcPr>
          <w:p w14:paraId="4D142D85" w14:textId="77777777" w:rsidR="000D07EA" w:rsidRDefault="00BE7C89">
            <w:pPr>
              <w:pStyle w:val="BodyText"/>
              <w:spacing w:before="100" w:after="100"/>
            </w:pPr>
            <w:r>
              <w:t>1800, 13 and 1300 numbers</w:t>
            </w:r>
          </w:p>
        </w:tc>
        <w:tc>
          <w:tcPr>
            <w:tcW w:w="3960" w:type="dxa"/>
            <w:shd w:val="clear" w:color="auto" w:fill="auto"/>
          </w:tcPr>
          <w:p w14:paraId="1A2319D1" w14:textId="77777777" w:rsidR="000D07EA" w:rsidRDefault="00BE7C89">
            <w:pPr>
              <w:pStyle w:val="BodyText"/>
              <w:spacing w:before="100" w:after="100"/>
            </w:pPr>
            <w:r>
              <w:t>No</w:t>
            </w:r>
          </w:p>
        </w:tc>
      </w:tr>
      <w:tr w:rsidR="000D07EA" w14:paraId="08C70632" w14:textId="77777777">
        <w:tc>
          <w:tcPr>
            <w:tcW w:w="5688" w:type="dxa"/>
            <w:shd w:val="clear" w:color="auto" w:fill="auto"/>
          </w:tcPr>
          <w:p w14:paraId="18C793FF" w14:textId="77777777" w:rsidR="000D07EA" w:rsidRDefault="00BE7C89">
            <w:pPr>
              <w:pStyle w:val="BodyText"/>
              <w:spacing w:before="100" w:after="100"/>
            </w:pPr>
            <w:r>
              <w:t>124YES(937)</w:t>
            </w:r>
          </w:p>
        </w:tc>
        <w:tc>
          <w:tcPr>
            <w:tcW w:w="3960" w:type="dxa"/>
            <w:shd w:val="clear" w:color="auto" w:fill="auto"/>
          </w:tcPr>
          <w:p w14:paraId="3B856D83" w14:textId="77777777" w:rsidR="000D07EA" w:rsidRDefault="00BE7C89">
            <w:pPr>
              <w:pStyle w:val="BodyText"/>
              <w:spacing w:before="100" w:after="100"/>
            </w:pPr>
            <w:r>
              <w:t>No</w:t>
            </w:r>
          </w:p>
        </w:tc>
      </w:tr>
      <w:tr w:rsidR="000D07EA" w14:paraId="160D0B3A" w14:textId="77777777">
        <w:tc>
          <w:tcPr>
            <w:tcW w:w="5688" w:type="dxa"/>
            <w:shd w:val="clear" w:color="auto" w:fill="auto"/>
          </w:tcPr>
          <w:p w14:paraId="56456A34" w14:textId="77777777" w:rsidR="000D07EA" w:rsidRDefault="00BE7C89">
            <w:pPr>
              <w:pStyle w:val="BodyText"/>
              <w:spacing w:before="100" w:after="100"/>
            </w:pPr>
            <w:r>
              <w:t>Insurance</w:t>
            </w:r>
          </w:p>
        </w:tc>
        <w:tc>
          <w:tcPr>
            <w:tcW w:w="3960" w:type="dxa"/>
            <w:shd w:val="clear" w:color="auto" w:fill="auto"/>
          </w:tcPr>
          <w:p w14:paraId="40083604" w14:textId="77777777" w:rsidR="000D07EA" w:rsidRDefault="00BE7C89">
            <w:pPr>
              <w:pStyle w:val="BodyText"/>
              <w:spacing w:before="100" w:after="100"/>
            </w:pPr>
            <w:r>
              <w:t>No</w:t>
            </w:r>
          </w:p>
        </w:tc>
      </w:tr>
      <w:tr w:rsidR="000D07EA" w14:paraId="339CC9A4" w14:textId="77777777">
        <w:tc>
          <w:tcPr>
            <w:tcW w:w="5688" w:type="dxa"/>
            <w:shd w:val="clear" w:color="auto" w:fill="auto"/>
          </w:tcPr>
          <w:p w14:paraId="0D746666" w14:textId="77777777" w:rsidR="000D07EA" w:rsidRDefault="00BE7C89">
            <w:pPr>
              <w:pStyle w:val="BodyText"/>
              <w:spacing w:before="100" w:after="100"/>
            </w:pPr>
            <w:r>
              <w:t>Handset Payments</w:t>
            </w:r>
          </w:p>
        </w:tc>
        <w:tc>
          <w:tcPr>
            <w:tcW w:w="3960" w:type="dxa"/>
            <w:shd w:val="clear" w:color="auto" w:fill="auto"/>
          </w:tcPr>
          <w:p w14:paraId="4588FE9E" w14:textId="77777777" w:rsidR="000D07EA" w:rsidRDefault="00BE7C89">
            <w:pPr>
              <w:pStyle w:val="BodyText"/>
              <w:spacing w:before="100" w:after="100"/>
            </w:pPr>
            <w:r>
              <w:t>No</w:t>
            </w:r>
          </w:p>
        </w:tc>
      </w:tr>
      <w:tr w:rsidR="000D07EA" w14:paraId="3F8CDC0F" w14:textId="77777777">
        <w:tc>
          <w:tcPr>
            <w:tcW w:w="5688" w:type="dxa"/>
            <w:shd w:val="clear" w:color="auto" w:fill="auto"/>
          </w:tcPr>
          <w:p w14:paraId="20F0750B" w14:textId="77777777" w:rsidR="000D07EA" w:rsidRDefault="00BE7C89">
            <w:pPr>
              <w:pStyle w:val="BodyText"/>
              <w:spacing w:before="100" w:after="100"/>
            </w:pPr>
            <w:r>
              <w:t>Push To Talk (PTT)</w:t>
            </w:r>
          </w:p>
        </w:tc>
        <w:tc>
          <w:tcPr>
            <w:tcW w:w="3960" w:type="dxa"/>
            <w:shd w:val="clear" w:color="auto" w:fill="auto"/>
          </w:tcPr>
          <w:p w14:paraId="43C6E004" w14:textId="77777777" w:rsidR="000D07EA" w:rsidRDefault="00BE7C89">
            <w:pPr>
              <w:pStyle w:val="BodyText"/>
              <w:spacing w:before="100" w:after="100"/>
            </w:pPr>
            <w:r>
              <w:t>No</w:t>
            </w:r>
          </w:p>
        </w:tc>
      </w:tr>
      <w:tr w:rsidR="000D07EA" w14:paraId="45B19BCA" w14:textId="77777777">
        <w:tc>
          <w:tcPr>
            <w:tcW w:w="5688" w:type="dxa"/>
            <w:shd w:val="clear" w:color="auto" w:fill="auto"/>
          </w:tcPr>
          <w:p w14:paraId="19E306CA" w14:textId="77777777" w:rsidR="000D07EA" w:rsidRDefault="00BE7C89">
            <w:pPr>
              <w:pStyle w:val="BodyText"/>
              <w:spacing w:before="100" w:after="100"/>
            </w:pPr>
            <w:r>
              <w:t>Calls to Satellite</w:t>
            </w:r>
          </w:p>
        </w:tc>
        <w:tc>
          <w:tcPr>
            <w:tcW w:w="3960" w:type="dxa"/>
            <w:shd w:val="clear" w:color="auto" w:fill="auto"/>
          </w:tcPr>
          <w:p w14:paraId="358836F8" w14:textId="77777777" w:rsidR="000D07EA" w:rsidRDefault="00BE7C89">
            <w:pPr>
              <w:pStyle w:val="BodyText"/>
              <w:spacing w:before="100" w:after="100"/>
            </w:pPr>
            <w:r>
              <w:t>No</w:t>
            </w:r>
          </w:p>
        </w:tc>
      </w:tr>
      <w:tr w:rsidR="000D07EA" w14:paraId="16B36CA5" w14:textId="77777777">
        <w:tc>
          <w:tcPr>
            <w:tcW w:w="5688" w:type="dxa"/>
            <w:shd w:val="clear" w:color="auto" w:fill="auto"/>
          </w:tcPr>
          <w:p w14:paraId="49B26A1A" w14:textId="77777777" w:rsidR="000D07EA" w:rsidRDefault="00BE7C89">
            <w:pPr>
              <w:pStyle w:val="BodyText"/>
              <w:spacing w:before="100" w:after="100"/>
            </w:pPr>
            <w:r>
              <w:t>VOIP services</w:t>
            </w:r>
          </w:p>
        </w:tc>
        <w:tc>
          <w:tcPr>
            <w:tcW w:w="3960" w:type="dxa"/>
            <w:shd w:val="clear" w:color="auto" w:fill="auto"/>
          </w:tcPr>
          <w:p w14:paraId="5C9D397E" w14:textId="77777777" w:rsidR="000D07EA" w:rsidRDefault="00BE7C89">
            <w:pPr>
              <w:pStyle w:val="BodyText"/>
              <w:spacing w:before="100" w:after="100"/>
            </w:pPr>
            <w:r>
              <w:t>No</w:t>
            </w:r>
          </w:p>
        </w:tc>
      </w:tr>
      <w:tr w:rsidR="000D07EA" w14:paraId="76437BEB" w14:textId="77777777">
        <w:tc>
          <w:tcPr>
            <w:tcW w:w="5688" w:type="dxa"/>
            <w:shd w:val="clear" w:color="auto" w:fill="auto"/>
          </w:tcPr>
          <w:p w14:paraId="7C5BAF8F" w14:textId="77777777" w:rsidR="000D07EA" w:rsidRDefault="00BE7C89">
            <w:pPr>
              <w:pStyle w:val="BodyText"/>
              <w:spacing w:before="100" w:after="100"/>
            </w:pPr>
            <w:r>
              <w:t>Surepage</w:t>
            </w:r>
          </w:p>
        </w:tc>
        <w:tc>
          <w:tcPr>
            <w:tcW w:w="3960" w:type="dxa"/>
            <w:shd w:val="clear" w:color="auto" w:fill="auto"/>
          </w:tcPr>
          <w:p w14:paraId="646AF4F0" w14:textId="77777777" w:rsidR="000D07EA" w:rsidRDefault="00BE7C89">
            <w:pPr>
              <w:pStyle w:val="BodyText"/>
              <w:spacing w:before="100" w:after="100"/>
            </w:pPr>
            <w:r>
              <w:t>No</w:t>
            </w:r>
          </w:p>
        </w:tc>
      </w:tr>
    </w:tbl>
    <w:p w14:paraId="15F5D352" w14:textId="77777777" w:rsidR="000D07EA" w:rsidRDefault="000D07EA">
      <w:pPr>
        <w:pStyle w:val="BodyText"/>
      </w:pPr>
    </w:p>
    <w:p w14:paraId="12B8A877" w14:textId="77777777" w:rsidR="000D07EA" w:rsidRDefault="00BE7C89">
      <w:pPr>
        <w:pStyle w:val="BodyText"/>
        <w:ind w:left="720"/>
        <w:rPr>
          <w:b/>
        </w:rPr>
      </w:pPr>
      <w:r>
        <w:rPr>
          <w:b/>
        </w:rPr>
        <w:t>Table 5 – Eligible for Unlimited BlackBerry POP3 Email &amp; Browsing through the BlackBerry Browser</w:t>
      </w:r>
    </w:p>
    <w:tbl>
      <w:tblPr>
        <w:tblW w:w="965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10"/>
        <w:gridCol w:w="4045"/>
      </w:tblGrid>
      <w:tr w:rsidR="000D07EA" w14:paraId="40DB1C49" w14:textId="77777777">
        <w:trPr>
          <w:trHeight w:val="58"/>
          <w:tblHeader/>
        </w:trPr>
        <w:tc>
          <w:tcPr>
            <w:tcW w:w="5610" w:type="dxa"/>
          </w:tcPr>
          <w:p w14:paraId="51238F22" w14:textId="77777777" w:rsidR="000D07EA" w:rsidRDefault="00BE7C89">
            <w:pPr>
              <w:pStyle w:val="BodyText"/>
              <w:spacing w:before="100" w:after="100"/>
              <w:jc w:val="center"/>
              <w:rPr>
                <w:b/>
                <w:snapToGrid w:val="0"/>
              </w:rPr>
            </w:pPr>
            <w:r>
              <w:rPr>
                <w:b/>
                <w:snapToGrid w:val="0"/>
              </w:rPr>
              <w:lastRenderedPageBreak/>
              <w:t>Call Type</w:t>
            </w:r>
          </w:p>
        </w:tc>
        <w:tc>
          <w:tcPr>
            <w:tcW w:w="4045" w:type="dxa"/>
          </w:tcPr>
          <w:p w14:paraId="5C36E424" w14:textId="77777777" w:rsidR="000D07EA" w:rsidRDefault="00BE7C89">
            <w:pPr>
              <w:pStyle w:val="BodyText"/>
              <w:spacing w:before="100" w:after="100"/>
              <w:jc w:val="center"/>
              <w:rPr>
                <w:b/>
                <w:snapToGrid w:val="0"/>
              </w:rPr>
            </w:pPr>
            <w:r>
              <w:rPr>
                <w:b/>
                <w:snapToGrid w:val="0"/>
              </w:rPr>
              <w:t>Eligible Data</w:t>
            </w:r>
          </w:p>
        </w:tc>
      </w:tr>
      <w:tr w:rsidR="000D07EA" w14:paraId="79305B88" w14:textId="77777777">
        <w:trPr>
          <w:trHeight w:val="58"/>
        </w:trPr>
        <w:tc>
          <w:tcPr>
            <w:tcW w:w="5610" w:type="dxa"/>
          </w:tcPr>
          <w:p w14:paraId="30D8E2E1" w14:textId="77777777" w:rsidR="000D07EA" w:rsidRDefault="00BE7C89">
            <w:pPr>
              <w:pStyle w:val="BodyText"/>
              <w:spacing w:before="100" w:after="100"/>
              <w:jc w:val="center"/>
              <w:rPr>
                <w:snapToGrid w:val="0"/>
              </w:rPr>
            </w:pPr>
            <w:r>
              <w:rPr>
                <w:snapToGrid w:val="0"/>
              </w:rPr>
              <w:t>BlackBerry Email (POP3)</w:t>
            </w:r>
          </w:p>
        </w:tc>
        <w:tc>
          <w:tcPr>
            <w:tcW w:w="4045" w:type="dxa"/>
          </w:tcPr>
          <w:p w14:paraId="0B849AB9" w14:textId="77777777" w:rsidR="000D07EA" w:rsidRDefault="00BE7C89">
            <w:pPr>
              <w:pStyle w:val="BodyText"/>
              <w:spacing w:before="100" w:after="100"/>
              <w:jc w:val="center"/>
              <w:rPr>
                <w:b/>
                <w:snapToGrid w:val="0"/>
              </w:rPr>
            </w:pPr>
            <w:r>
              <w:rPr>
                <w:b/>
                <w:snapToGrid w:val="0"/>
              </w:rPr>
              <w:t>Yes</w:t>
            </w:r>
          </w:p>
        </w:tc>
      </w:tr>
      <w:tr w:rsidR="000D07EA" w14:paraId="31CFA481" w14:textId="77777777">
        <w:trPr>
          <w:trHeight w:val="247"/>
        </w:trPr>
        <w:tc>
          <w:tcPr>
            <w:tcW w:w="5610" w:type="dxa"/>
          </w:tcPr>
          <w:p w14:paraId="4F3476AD" w14:textId="77777777" w:rsidR="000D07EA" w:rsidRDefault="00BE7C89">
            <w:pPr>
              <w:pStyle w:val="BodyText"/>
              <w:spacing w:before="100" w:after="100"/>
              <w:jc w:val="center"/>
              <w:rPr>
                <w:snapToGrid w:val="0"/>
              </w:rPr>
            </w:pPr>
            <w:r>
              <w:rPr>
                <w:snapToGrid w:val="0"/>
              </w:rPr>
              <w:t>Internet Browsing through the BlackBerry Browser and/or the BlackBerry Internet Browser</w:t>
            </w:r>
          </w:p>
        </w:tc>
        <w:tc>
          <w:tcPr>
            <w:tcW w:w="4045" w:type="dxa"/>
          </w:tcPr>
          <w:p w14:paraId="2AB9B7DF" w14:textId="77777777" w:rsidR="000D07EA" w:rsidRDefault="00BE7C89">
            <w:pPr>
              <w:pStyle w:val="BodyText"/>
              <w:spacing w:before="100" w:after="100"/>
              <w:jc w:val="center"/>
              <w:rPr>
                <w:b/>
                <w:snapToGrid w:val="0"/>
              </w:rPr>
            </w:pPr>
            <w:r>
              <w:rPr>
                <w:b/>
                <w:snapToGrid w:val="0"/>
              </w:rPr>
              <w:t>Yes</w:t>
            </w:r>
          </w:p>
        </w:tc>
      </w:tr>
      <w:tr w:rsidR="000D07EA" w14:paraId="41FDF0D9" w14:textId="77777777">
        <w:trPr>
          <w:trHeight w:val="509"/>
        </w:trPr>
        <w:tc>
          <w:tcPr>
            <w:tcW w:w="5610" w:type="dxa"/>
          </w:tcPr>
          <w:p w14:paraId="05E6AF13" w14:textId="77777777" w:rsidR="000D07EA" w:rsidRDefault="00BE7C89">
            <w:pPr>
              <w:pStyle w:val="BodyText"/>
              <w:spacing w:before="100" w:after="100"/>
              <w:jc w:val="center"/>
              <w:rPr>
                <w:snapToGrid w:val="0"/>
              </w:rPr>
            </w:pPr>
            <w:r>
              <w:rPr>
                <w:snapToGrid w:val="0"/>
              </w:rPr>
              <w:t>Optus Zoo downloads and subscriptions</w:t>
            </w:r>
          </w:p>
        </w:tc>
        <w:tc>
          <w:tcPr>
            <w:tcW w:w="4045" w:type="dxa"/>
          </w:tcPr>
          <w:p w14:paraId="7DD726F1" w14:textId="77777777" w:rsidR="000D07EA" w:rsidRDefault="00BE7C89">
            <w:pPr>
              <w:pStyle w:val="BodyText"/>
              <w:spacing w:before="100" w:after="100"/>
              <w:jc w:val="center"/>
              <w:rPr>
                <w:b/>
              </w:rPr>
            </w:pPr>
            <w:r>
              <w:rPr>
                <w:b/>
                <w:snapToGrid w:val="0"/>
              </w:rPr>
              <w:t>No</w:t>
            </w:r>
          </w:p>
        </w:tc>
      </w:tr>
      <w:tr w:rsidR="000D07EA" w14:paraId="2AF0560D" w14:textId="77777777">
        <w:trPr>
          <w:trHeight w:val="58"/>
        </w:trPr>
        <w:tc>
          <w:tcPr>
            <w:tcW w:w="5610" w:type="dxa"/>
          </w:tcPr>
          <w:p w14:paraId="460D9411" w14:textId="77777777" w:rsidR="000D07EA" w:rsidRDefault="00BE7C89">
            <w:pPr>
              <w:pStyle w:val="BodyText"/>
              <w:spacing w:before="100" w:after="100"/>
              <w:jc w:val="center"/>
              <w:rPr>
                <w:snapToGrid w:val="0"/>
              </w:rPr>
            </w:pPr>
            <w:r>
              <w:rPr>
                <w:snapToGrid w:val="0"/>
              </w:rPr>
              <w:t>Optus Zoo GPRS WAP browsing</w:t>
            </w:r>
          </w:p>
        </w:tc>
        <w:tc>
          <w:tcPr>
            <w:tcW w:w="4045" w:type="dxa"/>
          </w:tcPr>
          <w:p w14:paraId="11F624D9" w14:textId="77777777" w:rsidR="000D07EA" w:rsidRDefault="00BE7C89">
            <w:pPr>
              <w:pStyle w:val="BodyText"/>
              <w:spacing w:before="100" w:after="100"/>
              <w:jc w:val="center"/>
              <w:rPr>
                <w:b/>
                <w:snapToGrid w:val="0"/>
              </w:rPr>
            </w:pPr>
            <w:r>
              <w:rPr>
                <w:b/>
                <w:snapToGrid w:val="0"/>
              </w:rPr>
              <w:t>No</w:t>
            </w:r>
          </w:p>
        </w:tc>
      </w:tr>
      <w:tr w:rsidR="000D07EA" w14:paraId="2E5A2B81" w14:textId="77777777">
        <w:trPr>
          <w:trHeight w:val="247"/>
        </w:trPr>
        <w:tc>
          <w:tcPr>
            <w:tcW w:w="5610" w:type="dxa"/>
          </w:tcPr>
          <w:p w14:paraId="6121F38F" w14:textId="77777777" w:rsidR="000D07EA" w:rsidRDefault="00BE7C89">
            <w:pPr>
              <w:pStyle w:val="BodyText"/>
              <w:spacing w:before="100" w:after="100"/>
              <w:jc w:val="center"/>
            </w:pPr>
            <w:r>
              <w:t>Applications from Optus and third party applications that require a BlackBerry Data connection</w:t>
            </w:r>
          </w:p>
        </w:tc>
        <w:tc>
          <w:tcPr>
            <w:tcW w:w="4045" w:type="dxa"/>
          </w:tcPr>
          <w:p w14:paraId="6E898FAF" w14:textId="77777777" w:rsidR="000D07EA" w:rsidRDefault="00BE7C89">
            <w:pPr>
              <w:pStyle w:val="BodyText"/>
              <w:spacing w:before="100" w:after="100"/>
              <w:jc w:val="center"/>
              <w:rPr>
                <w:b/>
                <w:snapToGrid w:val="0"/>
              </w:rPr>
            </w:pPr>
            <w:r>
              <w:rPr>
                <w:b/>
                <w:snapToGrid w:val="0"/>
              </w:rPr>
              <w:t>Yes</w:t>
            </w:r>
          </w:p>
        </w:tc>
      </w:tr>
      <w:tr w:rsidR="000D07EA" w14:paraId="116C13D3" w14:textId="77777777">
        <w:trPr>
          <w:trHeight w:val="247"/>
        </w:trPr>
        <w:tc>
          <w:tcPr>
            <w:tcW w:w="5610" w:type="dxa"/>
          </w:tcPr>
          <w:p w14:paraId="5443C250" w14:textId="77777777" w:rsidR="000D07EA" w:rsidRDefault="00BE7C89">
            <w:pPr>
              <w:pStyle w:val="BodyText"/>
              <w:spacing w:before="100" w:after="100"/>
              <w:jc w:val="center"/>
              <w:rPr>
                <w:snapToGrid w:val="0"/>
              </w:rPr>
            </w:pPr>
            <w:r>
              <w:rPr>
                <w:snapToGrid w:val="0"/>
              </w:rPr>
              <w:t>All other call types or usage</w:t>
            </w:r>
          </w:p>
        </w:tc>
        <w:tc>
          <w:tcPr>
            <w:tcW w:w="4045" w:type="dxa"/>
          </w:tcPr>
          <w:p w14:paraId="468257B8" w14:textId="77777777" w:rsidR="000D07EA" w:rsidRDefault="00BE7C89">
            <w:pPr>
              <w:pStyle w:val="BodyText"/>
              <w:spacing w:before="100" w:after="100"/>
              <w:jc w:val="center"/>
              <w:rPr>
                <w:b/>
                <w:snapToGrid w:val="0"/>
              </w:rPr>
            </w:pPr>
            <w:r>
              <w:rPr>
                <w:b/>
                <w:snapToGrid w:val="0"/>
              </w:rPr>
              <w:t>No</w:t>
            </w:r>
          </w:p>
        </w:tc>
      </w:tr>
    </w:tbl>
    <w:p w14:paraId="7A41414B" w14:textId="77777777" w:rsidR="000D07EA" w:rsidRDefault="000D07EA">
      <w:pPr>
        <w:pStyle w:val="BodyText"/>
      </w:pPr>
    </w:p>
    <w:p w14:paraId="3472CA91" w14:textId="77777777" w:rsidR="000D07EA" w:rsidRDefault="00BE7C89">
      <w:pPr>
        <w:pStyle w:val="BodyText"/>
        <w:ind w:left="720"/>
        <w:rPr>
          <w:b/>
        </w:rPr>
      </w:pPr>
      <w:r>
        <w:rPr>
          <w:b/>
        </w:rPr>
        <w:t>Table 6 – Eligible for the included International Value</w:t>
      </w:r>
    </w:p>
    <w:tbl>
      <w:tblPr>
        <w:tblW w:w="965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05"/>
        <w:gridCol w:w="4050"/>
      </w:tblGrid>
      <w:tr w:rsidR="000D07EA" w14:paraId="3AF256C0" w14:textId="77777777">
        <w:trPr>
          <w:trHeight w:val="58"/>
          <w:tblHeader/>
        </w:trPr>
        <w:tc>
          <w:tcPr>
            <w:tcW w:w="5605" w:type="dxa"/>
          </w:tcPr>
          <w:p w14:paraId="32D1DAF1" w14:textId="77777777" w:rsidR="000D07EA" w:rsidRDefault="00BE7C89">
            <w:pPr>
              <w:pStyle w:val="BodyText"/>
              <w:spacing w:before="100" w:after="100"/>
              <w:rPr>
                <w:b/>
              </w:rPr>
            </w:pPr>
            <w:r>
              <w:rPr>
                <w:b/>
              </w:rPr>
              <w:t>Call Type</w:t>
            </w:r>
          </w:p>
        </w:tc>
        <w:tc>
          <w:tcPr>
            <w:tcW w:w="4050" w:type="dxa"/>
          </w:tcPr>
          <w:p w14:paraId="37C92738" w14:textId="77777777" w:rsidR="000D07EA" w:rsidRDefault="00BE7C89">
            <w:pPr>
              <w:pStyle w:val="BodyText"/>
              <w:spacing w:before="100" w:after="100"/>
              <w:rPr>
                <w:b/>
              </w:rPr>
            </w:pPr>
            <w:r>
              <w:rPr>
                <w:b/>
              </w:rPr>
              <w:t xml:space="preserve">Eligible Call </w:t>
            </w:r>
          </w:p>
        </w:tc>
      </w:tr>
      <w:tr w:rsidR="000D07EA" w14:paraId="197DEFB7" w14:textId="77777777">
        <w:trPr>
          <w:trHeight w:val="247"/>
        </w:trPr>
        <w:tc>
          <w:tcPr>
            <w:tcW w:w="5605" w:type="dxa"/>
          </w:tcPr>
          <w:p w14:paraId="7DF6E18F" w14:textId="77777777" w:rsidR="000D07EA" w:rsidRDefault="00BE7C89">
            <w:pPr>
              <w:pStyle w:val="BodyText"/>
              <w:spacing w:before="100" w:after="100"/>
            </w:pPr>
            <w:r>
              <w:t>National Voice Calls</w:t>
            </w:r>
          </w:p>
        </w:tc>
        <w:tc>
          <w:tcPr>
            <w:tcW w:w="4050" w:type="dxa"/>
          </w:tcPr>
          <w:p w14:paraId="033814AD" w14:textId="77777777" w:rsidR="000D07EA" w:rsidRDefault="00BE7C89">
            <w:pPr>
              <w:pStyle w:val="BodyText"/>
              <w:spacing w:before="100" w:after="100"/>
            </w:pPr>
            <w:r>
              <w:t>No</w:t>
            </w:r>
          </w:p>
        </w:tc>
      </w:tr>
      <w:tr w:rsidR="000D07EA" w14:paraId="3D2EA057" w14:textId="77777777">
        <w:trPr>
          <w:trHeight w:val="247"/>
        </w:trPr>
        <w:tc>
          <w:tcPr>
            <w:tcW w:w="5605" w:type="dxa"/>
          </w:tcPr>
          <w:p w14:paraId="0F62022C" w14:textId="77777777" w:rsidR="000D07EA" w:rsidRDefault="00BE7C89">
            <w:pPr>
              <w:pStyle w:val="BodyText"/>
              <w:spacing w:before="100" w:after="100"/>
            </w:pPr>
            <w:r>
              <w:t>National Video Calls</w:t>
            </w:r>
          </w:p>
        </w:tc>
        <w:tc>
          <w:tcPr>
            <w:tcW w:w="4050" w:type="dxa"/>
          </w:tcPr>
          <w:p w14:paraId="3DFA0F6D" w14:textId="77777777" w:rsidR="000D07EA" w:rsidRDefault="00BE7C89">
            <w:pPr>
              <w:pStyle w:val="BodyText"/>
              <w:spacing w:before="100" w:after="100"/>
            </w:pPr>
            <w:r>
              <w:t>No</w:t>
            </w:r>
          </w:p>
        </w:tc>
      </w:tr>
      <w:tr w:rsidR="000D07EA" w14:paraId="232A6DCE" w14:textId="77777777">
        <w:trPr>
          <w:trHeight w:val="247"/>
        </w:trPr>
        <w:tc>
          <w:tcPr>
            <w:tcW w:w="5605" w:type="dxa"/>
          </w:tcPr>
          <w:p w14:paraId="40C9F7FB" w14:textId="77777777" w:rsidR="000D07EA" w:rsidRDefault="00BE7C89">
            <w:pPr>
              <w:pStyle w:val="BodyText"/>
              <w:spacing w:before="100" w:after="100"/>
            </w:pPr>
            <w:r>
              <w:t>International Voice Calls</w:t>
            </w:r>
          </w:p>
          <w:p w14:paraId="1F3B31E0" w14:textId="77777777" w:rsidR="000D07EA" w:rsidRDefault="00BE7C89">
            <w:pPr>
              <w:pStyle w:val="BodyText"/>
              <w:spacing w:before="100" w:after="100"/>
            </w:pPr>
            <w:r>
              <w:rPr>
                <w:snapToGrid w:val="0"/>
              </w:rPr>
              <w:t>(includes calls to national fixed or GSM mobile services that then divert/switch or re-route overseas)</w:t>
            </w:r>
          </w:p>
        </w:tc>
        <w:tc>
          <w:tcPr>
            <w:tcW w:w="4050" w:type="dxa"/>
          </w:tcPr>
          <w:p w14:paraId="3CF5221C" w14:textId="77777777" w:rsidR="000D07EA" w:rsidRDefault="00BE7C89">
            <w:pPr>
              <w:pStyle w:val="BodyText"/>
              <w:spacing w:before="100" w:after="100"/>
            </w:pPr>
            <w:r>
              <w:t>Yes</w:t>
            </w:r>
          </w:p>
        </w:tc>
      </w:tr>
      <w:tr w:rsidR="000D07EA" w14:paraId="20344A86" w14:textId="77777777">
        <w:trPr>
          <w:trHeight w:val="247"/>
        </w:trPr>
        <w:tc>
          <w:tcPr>
            <w:tcW w:w="5605" w:type="dxa"/>
          </w:tcPr>
          <w:p w14:paraId="2DC34550" w14:textId="77777777" w:rsidR="000D07EA" w:rsidRDefault="00BE7C89">
            <w:pPr>
              <w:pStyle w:val="BodyText"/>
              <w:spacing w:before="100" w:after="100"/>
            </w:pPr>
            <w:r>
              <w:t>International Video Calls</w:t>
            </w:r>
          </w:p>
          <w:p w14:paraId="3746E0DC" w14:textId="77777777" w:rsidR="000D07EA" w:rsidRDefault="00BE7C89">
            <w:pPr>
              <w:pStyle w:val="BodyText"/>
              <w:spacing w:before="100" w:after="100"/>
            </w:pPr>
            <w:r>
              <w:rPr>
                <w:snapToGrid w:val="0"/>
              </w:rPr>
              <w:t>(includes calls to national fixed or GSM mobile services that then divert/switch or re-route overseas)</w:t>
            </w:r>
          </w:p>
        </w:tc>
        <w:tc>
          <w:tcPr>
            <w:tcW w:w="4050" w:type="dxa"/>
          </w:tcPr>
          <w:p w14:paraId="352D26BF" w14:textId="77777777" w:rsidR="000D07EA" w:rsidRDefault="00BE7C89">
            <w:pPr>
              <w:pStyle w:val="BodyText"/>
              <w:spacing w:before="100" w:after="100"/>
            </w:pPr>
            <w:r>
              <w:t>No</w:t>
            </w:r>
          </w:p>
        </w:tc>
      </w:tr>
      <w:tr w:rsidR="000D07EA" w14:paraId="4CC3B8A7" w14:textId="77777777">
        <w:trPr>
          <w:trHeight w:val="247"/>
        </w:trPr>
        <w:tc>
          <w:tcPr>
            <w:tcW w:w="5605" w:type="dxa"/>
          </w:tcPr>
          <w:p w14:paraId="111BC80E" w14:textId="77777777" w:rsidR="000D07EA" w:rsidRDefault="00BE7C89">
            <w:pPr>
              <w:pStyle w:val="BodyText"/>
              <w:spacing w:before="100" w:after="100"/>
            </w:pPr>
            <w:r>
              <w:t>National Standard SMS</w:t>
            </w:r>
          </w:p>
        </w:tc>
        <w:tc>
          <w:tcPr>
            <w:tcW w:w="4050" w:type="dxa"/>
          </w:tcPr>
          <w:p w14:paraId="71D67E99" w14:textId="77777777" w:rsidR="000D07EA" w:rsidRDefault="00BE7C89">
            <w:pPr>
              <w:pStyle w:val="BodyText"/>
              <w:spacing w:before="100" w:after="100"/>
            </w:pPr>
            <w:r>
              <w:t>No</w:t>
            </w:r>
          </w:p>
        </w:tc>
      </w:tr>
      <w:tr w:rsidR="000D07EA" w14:paraId="2B8023B5" w14:textId="77777777">
        <w:trPr>
          <w:trHeight w:val="247"/>
        </w:trPr>
        <w:tc>
          <w:tcPr>
            <w:tcW w:w="5605" w:type="dxa"/>
          </w:tcPr>
          <w:p w14:paraId="0B8FCF4A" w14:textId="77777777" w:rsidR="000D07EA" w:rsidRDefault="00BE7C89">
            <w:pPr>
              <w:pStyle w:val="BodyText"/>
              <w:spacing w:before="100" w:after="100"/>
            </w:pPr>
            <w:r>
              <w:t>International SMS</w:t>
            </w:r>
          </w:p>
        </w:tc>
        <w:tc>
          <w:tcPr>
            <w:tcW w:w="4050" w:type="dxa"/>
          </w:tcPr>
          <w:p w14:paraId="270FFD96" w14:textId="77777777" w:rsidR="000D07EA" w:rsidRDefault="00BE7C89">
            <w:pPr>
              <w:pStyle w:val="BodyText"/>
              <w:spacing w:before="100" w:after="100"/>
            </w:pPr>
            <w:r>
              <w:t>Yes</w:t>
            </w:r>
          </w:p>
        </w:tc>
      </w:tr>
      <w:tr w:rsidR="000D07EA" w14:paraId="00B4B0FE" w14:textId="77777777">
        <w:trPr>
          <w:trHeight w:val="247"/>
        </w:trPr>
        <w:tc>
          <w:tcPr>
            <w:tcW w:w="5605" w:type="dxa"/>
          </w:tcPr>
          <w:p w14:paraId="6DE6A3C7" w14:textId="77777777" w:rsidR="000D07EA" w:rsidRDefault="00BE7C89">
            <w:pPr>
              <w:pStyle w:val="BodyText"/>
              <w:spacing w:before="100" w:after="100"/>
            </w:pPr>
            <w:r>
              <w:t>National MMS</w:t>
            </w:r>
          </w:p>
        </w:tc>
        <w:tc>
          <w:tcPr>
            <w:tcW w:w="4050" w:type="dxa"/>
          </w:tcPr>
          <w:p w14:paraId="4425FF01" w14:textId="77777777" w:rsidR="000D07EA" w:rsidRDefault="00BE7C89">
            <w:pPr>
              <w:pStyle w:val="BodyText"/>
              <w:spacing w:before="100" w:after="100"/>
            </w:pPr>
            <w:r>
              <w:t>No</w:t>
            </w:r>
          </w:p>
        </w:tc>
      </w:tr>
      <w:tr w:rsidR="000D07EA" w14:paraId="4BEABC6D" w14:textId="77777777">
        <w:trPr>
          <w:trHeight w:val="247"/>
        </w:trPr>
        <w:tc>
          <w:tcPr>
            <w:tcW w:w="5605" w:type="dxa"/>
          </w:tcPr>
          <w:p w14:paraId="2EF6BBC5" w14:textId="77777777" w:rsidR="000D07EA" w:rsidRDefault="00BE7C89">
            <w:pPr>
              <w:pStyle w:val="BodyText"/>
              <w:spacing w:before="100" w:after="100"/>
            </w:pPr>
            <w:r>
              <w:t>International MMS</w:t>
            </w:r>
          </w:p>
        </w:tc>
        <w:tc>
          <w:tcPr>
            <w:tcW w:w="4050" w:type="dxa"/>
          </w:tcPr>
          <w:p w14:paraId="4A8E3096" w14:textId="77777777" w:rsidR="000D07EA" w:rsidRDefault="00BE7C89">
            <w:pPr>
              <w:pStyle w:val="BodyText"/>
              <w:spacing w:before="100" w:after="100"/>
            </w:pPr>
            <w:r>
              <w:t>Yes</w:t>
            </w:r>
          </w:p>
        </w:tc>
      </w:tr>
      <w:tr w:rsidR="000D07EA" w14:paraId="361E36ED" w14:textId="77777777">
        <w:trPr>
          <w:trHeight w:val="247"/>
        </w:trPr>
        <w:tc>
          <w:tcPr>
            <w:tcW w:w="5605" w:type="dxa"/>
          </w:tcPr>
          <w:p w14:paraId="074B8029" w14:textId="77777777" w:rsidR="000D07EA" w:rsidRDefault="00BE7C89">
            <w:pPr>
              <w:pStyle w:val="BodyText"/>
              <w:spacing w:before="100" w:after="100"/>
            </w:pPr>
            <w:r>
              <w:t>National Diversions</w:t>
            </w:r>
          </w:p>
        </w:tc>
        <w:tc>
          <w:tcPr>
            <w:tcW w:w="4050" w:type="dxa"/>
          </w:tcPr>
          <w:p w14:paraId="76806135" w14:textId="77777777" w:rsidR="000D07EA" w:rsidRDefault="00BE7C89">
            <w:pPr>
              <w:pStyle w:val="BodyText"/>
              <w:spacing w:before="100" w:after="100"/>
            </w:pPr>
            <w:r>
              <w:t>No</w:t>
            </w:r>
          </w:p>
        </w:tc>
      </w:tr>
      <w:tr w:rsidR="000D07EA" w14:paraId="342DF2CD" w14:textId="77777777">
        <w:trPr>
          <w:trHeight w:val="58"/>
        </w:trPr>
        <w:tc>
          <w:tcPr>
            <w:tcW w:w="5605" w:type="dxa"/>
          </w:tcPr>
          <w:p w14:paraId="402DE190" w14:textId="77777777" w:rsidR="000D07EA" w:rsidRDefault="00BE7C89">
            <w:pPr>
              <w:pStyle w:val="BodyText"/>
              <w:spacing w:before="100" w:after="100"/>
            </w:pPr>
            <w:r>
              <w:t>Voicemail Deposit and Retrievals</w:t>
            </w:r>
          </w:p>
        </w:tc>
        <w:tc>
          <w:tcPr>
            <w:tcW w:w="4050" w:type="dxa"/>
          </w:tcPr>
          <w:p w14:paraId="3B332562" w14:textId="77777777" w:rsidR="000D07EA" w:rsidRDefault="00BE7C89">
            <w:pPr>
              <w:pStyle w:val="BodyText"/>
              <w:spacing w:before="100" w:after="100"/>
            </w:pPr>
            <w:r>
              <w:t>No</w:t>
            </w:r>
          </w:p>
        </w:tc>
      </w:tr>
      <w:tr w:rsidR="000D07EA" w14:paraId="2D767320" w14:textId="77777777">
        <w:trPr>
          <w:trHeight w:val="58"/>
        </w:trPr>
        <w:tc>
          <w:tcPr>
            <w:tcW w:w="5605" w:type="dxa"/>
          </w:tcPr>
          <w:p w14:paraId="61C85FEA" w14:textId="77777777" w:rsidR="000D07EA" w:rsidRDefault="00BE7C89">
            <w:pPr>
              <w:pStyle w:val="BodyText"/>
              <w:spacing w:before="100" w:after="100"/>
            </w:pPr>
            <w:r>
              <w:t>International Roaming and Diversion</w:t>
            </w:r>
          </w:p>
        </w:tc>
        <w:tc>
          <w:tcPr>
            <w:tcW w:w="4050" w:type="dxa"/>
          </w:tcPr>
          <w:p w14:paraId="5F146BBF" w14:textId="77777777" w:rsidR="000D07EA" w:rsidRDefault="00BE7C89">
            <w:pPr>
              <w:pStyle w:val="BodyText"/>
              <w:spacing w:before="100" w:after="100"/>
            </w:pPr>
            <w:r>
              <w:t>No</w:t>
            </w:r>
          </w:p>
        </w:tc>
      </w:tr>
      <w:tr w:rsidR="000D07EA" w14:paraId="3E3CBD87" w14:textId="77777777">
        <w:trPr>
          <w:trHeight w:val="247"/>
        </w:trPr>
        <w:tc>
          <w:tcPr>
            <w:tcW w:w="5605" w:type="dxa"/>
          </w:tcPr>
          <w:p w14:paraId="342B6C51" w14:textId="77777777" w:rsidR="000D07EA" w:rsidRDefault="00BE7C89">
            <w:pPr>
              <w:pStyle w:val="BodyText"/>
              <w:spacing w:before="100" w:after="100"/>
            </w:pPr>
            <w:r>
              <w:t>Premium SMS</w:t>
            </w:r>
          </w:p>
        </w:tc>
        <w:tc>
          <w:tcPr>
            <w:tcW w:w="4050" w:type="dxa"/>
          </w:tcPr>
          <w:p w14:paraId="00E7232A" w14:textId="77777777" w:rsidR="000D07EA" w:rsidRDefault="00BE7C89">
            <w:pPr>
              <w:pStyle w:val="BodyText"/>
              <w:spacing w:before="100" w:after="100"/>
            </w:pPr>
            <w:r>
              <w:t>No</w:t>
            </w:r>
          </w:p>
        </w:tc>
      </w:tr>
      <w:tr w:rsidR="000D07EA" w14:paraId="6E040992" w14:textId="77777777">
        <w:trPr>
          <w:trHeight w:val="247"/>
        </w:trPr>
        <w:tc>
          <w:tcPr>
            <w:tcW w:w="5605" w:type="dxa"/>
          </w:tcPr>
          <w:p w14:paraId="3B3FB185" w14:textId="77777777" w:rsidR="000D07EA" w:rsidRDefault="00BE7C89">
            <w:pPr>
              <w:pStyle w:val="BodyText"/>
              <w:spacing w:before="100" w:after="100"/>
            </w:pPr>
            <w:r>
              <w:t>Premium Video</w:t>
            </w:r>
          </w:p>
        </w:tc>
        <w:tc>
          <w:tcPr>
            <w:tcW w:w="4050" w:type="dxa"/>
          </w:tcPr>
          <w:p w14:paraId="158A1994" w14:textId="77777777" w:rsidR="000D07EA" w:rsidRDefault="00BE7C89">
            <w:pPr>
              <w:pStyle w:val="BodyText"/>
              <w:spacing w:before="100" w:after="100"/>
            </w:pPr>
            <w:r>
              <w:t>No</w:t>
            </w:r>
          </w:p>
        </w:tc>
      </w:tr>
      <w:tr w:rsidR="000D07EA" w14:paraId="44A44F20" w14:textId="77777777">
        <w:trPr>
          <w:trHeight w:val="247"/>
        </w:trPr>
        <w:tc>
          <w:tcPr>
            <w:tcW w:w="5605" w:type="dxa"/>
          </w:tcPr>
          <w:p w14:paraId="2BF018D5" w14:textId="77777777" w:rsidR="000D07EA" w:rsidRDefault="00BE7C89">
            <w:pPr>
              <w:pStyle w:val="BodyText"/>
              <w:spacing w:before="100" w:after="100"/>
            </w:pPr>
            <w:r>
              <w:t>Video Conferencing</w:t>
            </w:r>
          </w:p>
        </w:tc>
        <w:tc>
          <w:tcPr>
            <w:tcW w:w="4050" w:type="dxa"/>
          </w:tcPr>
          <w:p w14:paraId="34F56158" w14:textId="77777777" w:rsidR="000D07EA" w:rsidRDefault="00BE7C89">
            <w:pPr>
              <w:pStyle w:val="BodyText"/>
              <w:spacing w:before="100" w:after="100"/>
            </w:pPr>
            <w:r>
              <w:t>No</w:t>
            </w:r>
          </w:p>
        </w:tc>
      </w:tr>
      <w:tr w:rsidR="000D07EA" w14:paraId="03681C27" w14:textId="77777777">
        <w:trPr>
          <w:trHeight w:val="247"/>
        </w:trPr>
        <w:tc>
          <w:tcPr>
            <w:tcW w:w="5605" w:type="dxa"/>
          </w:tcPr>
          <w:p w14:paraId="6E7C5683" w14:textId="77777777" w:rsidR="000D07EA" w:rsidRDefault="00BE7C89">
            <w:pPr>
              <w:pStyle w:val="BodyText"/>
              <w:spacing w:before="100" w:after="100"/>
            </w:pPr>
            <w:r>
              <w:t>Optus Zoo or Optus iZoo Browsing</w:t>
            </w:r>
          </w:p>
        </w:tc>
        <w:tc>
          <w:tcPr>
            <w:tcW w:w="4050" w:type="dxa"/>
          </w:tcPr>
          <w:p w14:paraId="330FE244" w14:textId="77777777" w:rsidR="000D07EA" w:rsidRDefault="00BE7C89">
            <w:pPr>
              <w:pStyle w:val="BodyText"/>
              <w:spacing w:before="100" w:after="100"/>
            </w:pPr>
            <w:r>
              <w:t>No</w:t>
            </w:r>
          </w:p>
        </w:tc>
      </w:tr>
      <w:tr w:rsidR="000D07EA" w14:paraId="74F0739A" w14:textId="77777777">
        <w:trPr>
          <w:trHeight w:val="494"/>
        </w:trPr>
        <w:tc>
          <w:tcPr>
            <w:tcW w:w="5605" w:type="dxa"/>
          </w:tcPr>
          <w:p w14:paraId="4C0CC8A7" w14:textId="77777777" w:rsidR="000D07EA" w:rsidRDefault="00BE7C89">
            <w:pPr>
              <w:pStyle w:val="BodyText"/>
              <w:spacing w:before="100" w:after="100"/>
            </w:pPr>
            <w:r>
              <w:t>Optus Zoo or Optus iZoo Downloads</w:t>
            </w:r>
          </w:p>
        </w:tc>
        <w:tc>
          <w:tcPr>
            <w:tcW w:w="4050" w:type="dxa"/>
          </w:tcPr>
          <w:p w14:paraId="217A8942" w14:textId="77777777" w:rsidR="000D07EA" w:rsidRDefault="00BE7C89">
            <w:pPr>
              <w:pStyle w:val="BodyText"/>
              <w:spacing w:before="100" w:after="100"/>
            </w:pPr>
            <w:r>
              <w:t>No</w:t>
            </w:r>
          </w:p>
        </w:tc>
      </w:tr>
      <w:tr w:rsidR="000D07EA" w14:paraId="05D55865" w14:textId="77777777">
        <w:trPr>
          <w:trHeight w:val="494"/>
        </w:trPr>
        <w:tc>
          <w:tcPr>
            <w:tcW w:w="5605" w:type="dxa"/>
          </w:tcPr>
          <w:p w14:paraId="478FD7DA" w14:textId="77777777" w:rsidR="000D07EA" w:rsidRDefault="00BE7C89">
            <w:pPr>
              <w:pStyle w:val="BodyText"/>
              <w:spacing w:before="100" w:after="100"/>
            </w:pPr>
            <w:r>
              <w:t>SMS to 966 (Zoo)</w:t>
            </w:r>
          </w:p>
        </w:tc>
        <w:tc>
          <w:tcPr>
            <w:tcW w:w="4050" w:type="dxa"/>
          </w:tcPr>
          <w:p w14:paraId="7458983D" w14:textId="77777777" w:rsidR="000D07EA" w:rsidRDefault="00BE7C89">
            <w:pPr>
              <w:pStyle w:val="BodyText"/>
              <w:spacing w:before="100" w:after="100"/>
            </w:pPr>
            <w:r>
              <w:t>No</w:t>
            </w:r>
          </w:p>
        </w:tc>
      </w:tr>
      <w:tr w:rsidR="000D07EA" w14:paraId="4DE7EA73" w14:textId="77777777">
        <w:trPr>
          <w:trHeight w:val="494"/>
        </w:trPr>
        <w:tc>
          <w:tcPr>
            <w:tcW w:w="5605" w:type="dxa"/>
          </w:tcPr>
          <w:p w14:paraId="64ACD476" w14:textId="77777777" w:rsidR="000D07EA" w:rsidRDefault="00BE7C89">
            <w:pPr>
              <w:pStyle w:val="BodyText"/>
              <w:spacing w:before="100" w:after="100"/>
            </w:pPr>
            <w:r>
              <w:lastRenderedPageBreak/>
              <w:t>Mobile Internet usage</w:t>
            </w:r>
          </w:p>
        </w:tc>
        <w:tc>
          <w:tcPr>
            <w:tcW w:w="4050" w:type="dxa"/>
          </w:tcPr>
          <w:p w14:paraId="555F8E6E" w14:textId="77777777" w:rsidR="000D07EA" w:rsidRDefault="00BE7C89">
            <w:pPr>
              <w:pStyle w:val="BodyText"/>
              <w:spacing w:before="100" w:after="100"/>
            </w:pPr>
            <w:r>
              <w:t>No</w:t>
            </w:r>
          </w:p>
        </w:tc>
      </w:tr>
      <w:tr w:rsidR="000D07EA" w14:paraId="46865AF4" w14:textId="77777777">
        <w:trPr>
          <w:trHeight w:val="494"/>
        </w:trPr>
        <w:tc>
          <w:tcPr>
            <w:tcW w:w="5605" w:type="dxa"/>
          </w:tcPr>
          <w:p w14:paraId="551A2B79" w14:textId="77777777" w:rsidR="000D07EA" w:rsidRDefault="00BE7C89">
            <w:pPr>
              <w:pStyle w:val="BodyText"/>
              <w:spacing w:before="100" w:after="100"/>
            </w:pPr>
            <w:r>
              <w:t>Data Used while Roaming Internationally</w:t>
            </w:r>
          </w:p>
        </w:tc>
        <w:tc>
          <w:tcPr>
            <w:tcW w:w="4050" w:type="dxa"/>
          </w:tcPr>
          <w:p w14:paraId="680297CC" w14:textId="77777777" w:rsidR="000D07EA" w:rsidRDefault="00BE7C89">
            <w:pPr>
              <w:pStyle w:val="BodyText"/>
              <w:spacing w:before="100" w:after="100"/>
            </w:pPr>
            <w:r>
              <w:t>No</w:t>
            </w:r>
          </w:p>
        </w:tc>
      </w:tr>
      <w:tr w:rsidR="000D07EA" w14:paraId="6D1B1C7C" w14:textId="77777777">
        <w:trPr>
          <w:trHeight w:val="494"/>
        </w:trPr>
        <w:tc>
          <w:tcPr>
            <w:tcW w:w="5605" w:type="dxa"/>
          </w:tcPr>
          <w:p w14:paraId="2B5C276C" w14:textId="77777777" w:rsidR="000D07EA" w:rsidRDefault="00BE7C89">
            <w:pPr>
              <w:pStyle w:val="BodyText"/>
              <w:spacing w:before="100" w:after="100"/>
            </w:pPr>
            <w:r>
              <w:t>Content Packs (unless specified in promotions)</w:t>
            </w:r>
          </w:p>
        </w:tc>
        <w:tc>
          <w:tcPr>
            <w:tcW w:w="4050" w:type="dxa"/>
          </w:tcPr>
          <w:p w14:paraId="0961197A" w14:textId="77777777" w:rsidR="000D07EA" w:rsidRDefault="00BE7C89">
            <w:pPr>
              <w:pStyle w:val="BodyText"/>
              <w:spacing w:before="100" w:after="100"/>
            </w:pPr>
            <w:r>
              <w:t>No</w:t>
            </w:r>
          </w:p>
        </w:tc>
      </w:tr>
      <w:tr w:rsidR="000D07EA" w14:paraId="077E8EF6" w14:textId="77777777">
        <w:trPr>
          <w:trHeight w:val="494"/>
        </w:trPr>
        <w:tc>
          <w:tcPr>
            <w:tcW w:w="5605" w:type="dxa"/>
          </w:tcPr>
          <w:p w14:paraId="44209F9B" w14:textId="77777777" w:rsidR="000D07EA" w:rsidRDefault="00BE7C89">
            <w:pPr>
              <w:pStyle w:val="BodyText"/>
              <w:spacing w:before="100" w:after="100"/>
            </w:pPr>
            <w:r>
              <w:t>TrueLocal Usage</w:t>
            </w:r>
          </w:p>
        </w:tc>
        <w:tc>
          <w:tcPr>
            <w:tcW w:w="4050" w:type="dxa"/>
          </w:tcPr>
          <w:p w14:paraId="3297E024" w14:textId="77777777" w:rsidR="000D07EA" w:rsidRDefault="00BE7C89">
            <w:pPr>
              <w:pStyle w:val="BodyText"/>
              <w:spacing w:before="100" w:after="100"/>
            </w:pPr>
            <w:r>
              <w:t>No</w:t>
            </w:r>
          </w:p>
        </w:tc>
      </w:tr>
      <w:tr w:rsidR="000D07EA" w14:paraId="29003301" w14:textId="77777777">
        <w:trPr>
          <w:trHeight w:val="494"/>
        </w:trPr>
        <w:tc>
          <w:tcPr>
            <w:tcW w:w="5605" w:type="dxa"/>
          </w:tcPr>
          <w:p w14:paraId="1D3F2A97" w14:textId="77777777" w:rsidR="000D07EA" w:rsidRDefault="00BE7C89">
            <w:pPr>
              <w:pStyle w:val="BodyText"/>
              <w:spacing w:before="100" w:after="100"/>
            </w:pPr>
            <w:r>
              <w:t xml:space="preserve">Directory Assistance- 1223 </w:t>
            </w:r>
          </w:p>
        </w:tc>
        <w:tc>
          <w:tcPr>
            <w:tcW w:w="4050" w:type="dxa"/>
          </w:tcPr>
          <w:p w14:paraId="1B51B7AD" w14:textId="77777777" w:rsidR="000D07EA" w:rsidRDefault="00BE7C89">
            <w:pPr>
              <w:pStyle w:val="BodyText"/>
              <w:spacing w:before="100" w:after="100"/>
            </w:pPr>
            <w:r>
              <w:t>No</w:t>
            </w:r>
          </w:p>
        </w:tc>
      </w:tr>
      <w:tr w:rsidR="000D07EA" w14:paraId="34229C4C" w14:textId="77777777">
        <w:trPr>
          <w:trHeight w:val="247"/>
        </w:trPr>
        <w:tc>
          <w:tcPr>
            <w:tcW w:w="5605" w:type="dxa"/>
          </w:tcPr>
          <w:p w14:paraId="07B167F6" w14:textId="77777777" w:rsidR="000D07EA" w:rsidRDefault="00BE7C89">
            <w:pPr>
              <w:pStyle w:val="BodyText"/>
              <w:spacing w:before="100" w:after="100"/>
            </w:pPr>
            <w:r>
              <w:t>19XX Numbers</w:t>
            </w:r>
          </w:p>
        </w:tc>
        <w:tc>
          <w:tcPr>
            <w:tcW w:w="4050" w:type="dxa"/>
          </w:tcPr>
          <w:p w14:paraId="3BEDFD7E" w14:textId="77777777" w:rsidR="000D07EA" w:rsidRDefault="00BE7C89">
            <w:pPr>
              <w:pStyle w:val="BodyText"/>
              <w:spacing w:before="100" w:after="100"/>
            </w:pPr>
            <w:r>
              <w:t>No</w:t>
            </w:r>
          </w:p>
        </w:tc>
      </w:tr>
      <w:tr w:rsidR="000D07EA" w14:paraId="06C5542A" w14:textId="77777777">
        <w:trPr>
          <w:trHeight w:val="247"/>
        </w:trPr>
        <w:tc>
          <w:tcPr>
            <w:tcW w:w="5605" w:type="dxa"/>
          </w:tcPr>
          <w:p w14:paraId="2ED2DB10" w14:textId="77777777" w:rsidR="000D07EA" w:rsidRDefault="00BE7C89">
            <w:pPr>
              <w:pStyle w:val="BodyText"/>
              <w:spacing w:before="100" w:after="100"/>
            </w:pPr>
            <w:r>
              <w:t>1800, 13 and 1300 numbers</w:t>
            </w:r>
          </w:p>
        </w:tc>
        <w:tc>
          <w:tcPr>
            <w:tcW w:w="4050" w:type="dxa"/>
          </w:tcPr>
          <w:p w14:paraId="6A2ACB47" w14:textId="77777777" w:rsidR="000D07EA" w:rsidRDefault="00BE7C89">
            <w:pPr>
              <w:pStyle w:val="BodyText"/>
              <w:spacing w:before="100" w:after="100"/>
            </w:pPr>
            <w:r>
              <w:t>No</w:t>
            </w:r>
          </w:p>
        </w:tc>
      </w:tr>
      <w:tr w:rsidR="000D07EA" w14:paraId="2C865A6F" w14:textId="77777777">
        <w:trPr>
          <w:trHeight w:val="247"/>
        </w:trPr>
        <w:tc>
          <w:tcPr>
            <w:tcW w:w="5605" w:type="dxa"/>
          </w:tcPr>
          <w:p w14:paraId="5B3A7BEA" w14:textId="77777777" w:rsidR="000D07EA" w:rsidRDefault="00BE7C89">
            <w:pPr>
              <w:pStyle w:val="BodyText"/>
              <w:spacing w:before="100" w:after="100"/>
            </w:pPr>
            <w:r>
              <w:t>124YES(937)</w:t>
            </w:r>
          </w:p>
        </w:tc>
        <w:tc>
          <w:tcPr>
            <w:tcW w:w="4050" w:type="dxa"/>
          </w:tcPr>
          <w:p w14:paraId="6DB0A3BC" w14:textId="77777777" w:rsidR="000D07EA" w:rsidRDefault="00BE7C89">
            <w:pPr>
              <w:pStyle w:val="BodyText"/>
              <w:spacing w:before="100" w:after="100"/>
            </w:pPr>
            <w:r>
              <w:t>No</w:t>
            </w:r>
          </w:p>
        </w:tc>
      </w:tr>
      <w:tr w:rsidR="000D07EA" w14:paraId="0284185A" w14:textId="77777777">
        <w:trPr>
          <w:trHeight w:val="262"/>
        </w:trPr>
        <w:tc>
          <w:tcPr>
            <w:tcW w:w="5605" w:type="dxa"/>
          </w:tcPr>
          <w:p w14:paraId="394826F9" w14:textId="77777777" w:rsidR="000D07EA" w:rsidRDefault="00BE7C89">
            <w:pPr>
              <w:pStyle w:val="BodyText"/>
              <w:spacing w:before="100" w:after="100"/>
            </w:pPr>
            <w:r>
              <w:t>Insurance</w:t>
            </w:r>
          </w:p>
        </w:tc>
        <w:tc>
          <w:tcPr>
            <w:tcW w:w="4050" w:type="dxa"/>
          </w:tcPr>
          <w:p w14:paraId="200BDF59" w14:textId="77777777" w:rsidR="000D07EA" w:rsidRDefault="00BE7C89">
            <w:pPr>
              <w:pStyle w:val="BodyText"/>
              <w:spacing w:before="100" w:after="100"/>
            </w:pPr>
            <w:r>
              <w:t>No</w:t>
            </w:r>
          </w:p>
        </w:tc>
      </w:tr>
      <w:tr w:rsidR="000D07EA" w14:paraId="4B4889DF" w14:textId="77777777">
        <w:trPr>
          <w:trHeight w:val="262"/>
        </w:trPr>
        <w:tc>
          <w:tcPr>
            <w:tcW w:w="5605" w:type="dxa"/>
          </w:tcPr>
          <w:p w14:paraId="20A6DEF5" w14:textId="77777777" w:rsidR="000D07EA" w:rsidRDefault="00BE7C89">
            <w:pPr>
              <w:pStyle w:val="BodyText"/>
              <w:spacing w:before="100" w:after="100"/>
            </w:pPr>
            <w:r>
              <w:t>Handset Payments</w:t>
            </w:r>
          </w:p>
        </w:tc>
        <w:tc>
          <w:tcPr>
            <w:tcW w:w="4050" w:type="dxa"/>
          </w:tcPr>
          <w:p w14:paraId="3CC42191" w14:textId="77777777" w:rsidR="000D07EA" w:rsidRDefault="00BE7C89">
            <w:pPr>
              <w:pStyle w:val="BodyText"/>
              <w:spacing w:before="100" w:after="100"/>
            </w:pPr>
            <w:r>
              <w:t>No</w:t>
            </w:r>
          </w:p>
        </w:tc>
      </w:tr>
      <w:tr w:rsidR="000D07EA" w14:paraId="4FAB3E7F" w14:textId="77777777">
        <w:trPr>
          <w:trHeight w:val="262"/>
        </w:trPr>
        <w:tc>
          <w:tcPr>
            <w:tcW w:w="5605" w:type="dxa"/>
          </w:tcPr>
          <w:p w14:paraId="38DE13D1" w14:textId="77777777" w:rsidR="000D07EA" w:rsidRDefault="00BE7C89">
            <w:pPr>
              <w:pStyle w:val="BodyText"/>
              <w:spacing w:before="100" w:after="100"/>
            </w:pPr>
            <w:r>
              <w:t>Push To Talk (PTT)</w:t>
            </w:r>
          </w:p>
        </w:tc>
        <w:tc>
          <w:tcPr>
            <w:tcW w:w="4050" w:type="dxa"/>
          </w:tcPr>
          <w:p w14:paraId="3AAB10AB" w14:textId="77777777" w:rsidR="000D07EA" w:rsidRDefault="00BE7C89">
            <w:pPr>
              <w:pStyle w:val="BodyText"/>
              <w:spacing w:before="100" w:after="100"/>
            </w:pPr>
            <w:r>
              <w:t>No</w:t>
            </w:r>
          </w:p>
        </w:tc>
      </w:tr>
      <w:tr w:rsidR="000D07EA" w14:paraId="3B73EE62" w14:textId="77777777">
        <w:trPr>
          <w:trHeight w:val="262"/>
        </w:trPr>
        <w:tc>
          <w:tcPr>
            <w:tcW w:w="5605" w:type="dxa"/>
          </w:tcPr>
          <w:p w14:paraId="778967D3" w14:textId="77777777" w:rsidR="000D07EA" w:rsidRDefault="00BE7C89">
            <w:pPr>
              <w:pStyle w:val="BodyText"/>
              <w:spacing w:before="100" w:after="100"/>
            </w:pPr>
            <w:r>
              <w:t>Calls to MobileSat</w:t>
            </w:r>
          </w:p>
        </w:tc>
        <w:tc>
          <w:tcPr>
            <w:tcW w:w="4050" w:type="dxa"/>
          </w:tcPr>
          <w:p w14:paraId="6D60F3C0" w14:textId="77777777" w:rsidR="000D07EA" w:rsidRDefault="00BE7C89">
            <w:pPr>
              <w:pStyle w:val="BodyText"/>
              <w:spacing w:before="100" w:after="100"/>
            </w:pPr>
            <w:r>
              <w:t>No</w:t>
            </w:r>
          </w:p>
        </w:tc>
      </w:tr>
      <w:tr w:rsidR="000D07EA" w14:paraId="7352B386" w14:textId="77777777">
        <w:trPr>
          <w:trHeight w:val="262"/>
        </w:trPr>
        <w:tc>
          <w:tcPr>
            <w:tcW w:w="5605" w:type="dxa"/>
          </w:tcPr>
          <w:p w14:paraId="698CF326" w14:textId="77777777" w:rsidR="000D07EA" w:rsidRDefault="00BE7C89">
            <w:pPr>
              <w:pStyle w:val="BodyText"/>
              <w:spacing w:before="100" w:after="100"/>
            </w:pPr>
            <w:r>
              <w:t>VOIP services</w:t>
            </w:r>
          </w:p>
        </w:tc>
        <w:tc>
          <w:tcPr>
            <w:tcW w:w="4050" w:type="dxa"/>
          </w:tcPr>
          <w:p w14:paraId="5F58F8EE" w14:textId="77777777" w:rsidR="000D07EA" w:rsidRDefault="00BE7C89">
            <w:pPr>
              <w:pStyle w:val="BodyText"/>
              <w:spacing w:before="100" w:after="100"/>
            </w:pPr>
            <w:r>
              <w:t>No</w:t>
            </w:r>
          </w:p>
        </w:tc>
      </w:tr>
    </w:tbl>
    <w:p w14:paraId="46BE1F8E" w14:textId="77777777" w:rsidR="000D07EA" w:rsidRDefault="000D07EA">
      <w:pPr>
        <w:pStyle w:val="BodyText"/>
      </w:pPr>
    </w:p>
    <w:p w14:paraId="06CD5871" w14:textId="77777777" w:rsidR="000D07EA" w:rsidRDefault="00BE7C89">
      <w:pPr>
        <w:pStyle w:val="BodyText"/>
        <w:ind w:left="720"/>
        <w:rPr>
          <w:b/>
        </w:rPr>
      </w:pPr>
      <w:r>
        <w:rPr>
          <w:b/>
        </w:rPr>
        <w:t>Table 7 – Charges and Cap Amounts for the Business Complete BYO &amp; Business Timeless BYO Plans</w:t>
      </w:r>
    </w:p>
    <w:tbl>
      <w:tblPr>
        <w:tblW w:w="4632"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47"/>
        <w:gridCol w:w="2231"/>
        <w:gridCol w:w="2231"/>
        <w:gridCol w:w="2229"/>
      </w:tblGrid>
      <w:tr w:rsidR="000D07EA" w14:paraId="2E6E28E3" w14:textId="77777777">
        <w:trPr>
          <w:tblHeader/>
        </w:trPr>
        <w:tc>
          <w:tcPr>
            <w:tcW w:w="1455" w:type="pct"/>
          </w:tcPr>
          <w:p w14:paraId="0EC68FF7" w14:textId="77777777" w:rsidR="000D07EA" w:rsidRDefault="00BE7C89">
            <w:pPr>
              <w:pStyle w:val="BodyText"/>
              <w:spacing w:before="100" w:after="100"/>
            </w:pPr>
            <w:r>
              <w:t> </w:t>
            </w:r>
          </w:p>
        </w:tc>
        <w:tc>
          <w:tcPr>
            <w:tcW w:w="1182" w:type="pct"/>
          </w:tcPr>
          <w:p w14:paraId="728DB0F2" w14:textId="77777777" w:rsidR="000D07EA" w:rsidRDefault="00BE7C89">
            <w:pPr>
              <w:pStyle w:val="BodyText"/>
              <w:spacing w:before="100" w:after="100"/>
              <w:jc w:val="center"/>
              <w:rPr>
                <w:b/>
              </w:rPr>
            </w:pPr>
            <w:r>
              <w:rPr>
                <w:b/>
              </w:rPr>
              <w:t>$49 Business Complete BYO</w:t>
            </w:r>
          </w:p>
        </w:tc>
        <w:tc>
          <w:tcPr>
            <w:tcW w:w="1182" w:type="pct"/>
          </w:tcPr>
          <w:p w14:paraId="40CA3949" w14:textId="77777777" w:rsidR="000D07EA" w:rsidRDefault="00BE7C89">
            <w:pPr>
              <w:pStyle w:val="BodyText"/>
              <w:spacing w:before="100" w:after="100"/>
              <w:jc w:val="center"/>
              <w:rPr>
                <w:b/>
              </w:rPr>
            </w:pPr>
            <w:r>
              <w:rPr>
                <w:b/>
              </w:rPr>
              <w:t>$89 Business Timeless BYO</w:t>
            </w:r>
          </w:p>
        </w:tc>
        <w:tc>
          <w:tcPr>
            <w:tcW w:w="1182" w:type="pct"/>
          </w:tcPr>
          <w:p w14:paraId="29048BA6" w14:textId="77777777" w:rsidR="000D07EA" w:rsidRDefault="00BE7C89">
            <w:pPr>
              <w:pStyle w:val="BodyText"/>
              <w:spacing w:before="100" w:after="100"/>
              <w:jc w:val="center"/>
              <w:rPr>
                <w:b/>
              </w:rPr>
            </w:pPr>
            <w:r>
              <w:rPr>
                <w:b/>
              </w:rPr>
              <w:t>$99 Business Timeless BYO</w:t>
            </w:r>
          </w:p>
        </w:tc>
      </w:tr>
      <w:tr w:rsidR="000D07EA" w14:paraId="28D55190" w14:textId="77777777">
        <w:tc>
          <w:tcPr>
            <w:tcW w:w="1455" w:type="pct"/>
          </w:tcPr>
          <w:p w14:paraId="53234E2D" w14:textId="77777777" w:rsidR="000D07EA" w:rsidRDefault="00BE7C89">
            <w:pPr>
              <w:pStyle w:val="BodyText"/>
              <w:spacing w:before="100" w:after="100"/>
              <w:rPr>
                <w:b/>
              </w:rPr>
            </w:pPr>
            <w:r>
              <w:rPr>
                <w:b/>
              </w:rPr>
              <w:t>Cap Start</w:t>
            </w:r>
          </w:p>
        </w:tc>
        <w:tc>
          <w:tcPr>
            <w:tcW w:w="1182" w:type="pct"/>
          </w:tcPr>
          <w:p w14:paraId="0C7AF9A7" w14:textId="77777777" w:rsidR="000D07EA" w:rsidRDefault="00BE7C89">
            <w:pPr>
              <w:pStyle w:val="BodyText"/>
              <w:spacing w:before="100" w:after="100"/>
              <w:jc w:val="center"/>
            </w:pPr>
            <w:r>
              <w:t>$49</w:t>
            </w:r>
          </w:p>
        </w:tc>
        <w:tc>
          <w:tcPr>
            <w:tcW w:w="1182" w:type="pct"/>
          </w:tcPr>
          <w:p w14:paraId="64C84552" w14:textId="77777777" w:rsidR="000D07EA" w:rsidRDefault="00BE7C89">
            <w:pPr>
              <w:pStyle w:val="BodyText"/>
              <w:spacing w:before="100" w:after="100"/>
              <w:jc w:val="center"/>
            </w:pPr>
            <w:r>
              <w:t>-</w:t>
            </w:r>
          </w:p>
        </w:tc>
        <w:tc>
          <w:tcPr>
            <w:tcW w:w="1182" w:type="pct"/>
          </w:tcPr>
          <w:p w14:paraId="721849D4" w14:textId="77777777" w:rsidR="000D07EA" w:rsidRDefault="00BE7C89">
            <w:pPr>
              <w:pStyle w:val="BodyText"/>
              <w:spacing w:before="100" w:after="100"/>
              <w:jc w:val="center"/>
            </w:pPr>
            <w:r>
              <w:t>-</w:t>
            </w:r>
          </w:p>
        </w:tc>
      </w:tr>
      <w:tr w:rsidR="000D07EA" w14:paraId="35293F0D" w14:textId="77777777">
        <w:trPr>
          <w:trHeight w:val="58"/>
        </w:trPr>
        <w:tc>
          <w:tcPr>
            <w:tcW w:w="1455" w:type="pct"/>
          </w:tcPr>
          <w:p w14:paraId="1AA6CB6B" w14:textId="77777777" w:rsidR="000D07EA" w:rsidRDefault="00BE7C89">
            <w:pPr>
              <w:pStyle w:val="BodyText"/>
              <w:spacing w:before="100" w:after="100"/>
              <w:rPr>
                <w:b/>
              </w:rPr>
            </w:pPr>
            <w:r>
              <w:rPr>
                <w:b/>
              </w:rPr>
              <w:t>"Included (Cap) Value" per month</w:t>
            </w:r>
          </w:p>
        </w:tc>
        <w:tc>
          <w:tcPr>
            <w:tcW w:w="1182" w:type="pct"/>
          </w:tcPr>
          <w:p w14:paraId="0BD69400" w14:textId="77777777" w:rsidR="000D07EA" w:rsidRDefault="00BE7C89">
            <w:pPr>
              <w:pStyle w:val="BodyText"/>
              <w:spacing w:before="100" w:after="100"/>
              <w:jc w:val="center"/>
            </w:pPr>
            <w:r>
              <w:t>$500</w:t>
            </w:r>
          </w:p>
        </w:tc>
        <w:tc>
          <w:tcPr>
            <w:tcW w:w="1182" w:type="pct"/>
          </w:tcPr>
          <w:p w14:paraId="41F88C75" w14:textId="77777777" w:rsidR="000D07EA" w:rsidRDefault="00BE7C89">
            <w:pPr>
              <w:pStyle w:val="BodyText"/>
              <w:spacing w:before="100" w:after="100"/>
              <w:jc w:val="center"/>
            </w:pPr>
            <w:r>
              <w:t>Unlimited</w:t>
            </w:r>
          </w:p>
        </w:tc>
        <w:tc>
          <w:tcPr>
            <w:tcW w:w="1182" w:type="pct"/>
          </w:tcPr>
          <w:p w14:paraId="773130C7" w14:textId="77777777" w:rsidR="000D07EA" w:rsidRDefault="00BE7C89">
            <w:pPr>
              <w:pStyle w:val="BodyText"/>
              <w:spacing w:before="100" w:after="100"/>
              <w:jc w:val="center"/>
            </w:pPr>
            <w:r>
              <w:t>Unlimited</w:t>
            </w:r>
          </w:p>
        </w:tc>
      </w:tr>
      <w:tr w:rsidR="000D07EA" w14:paraId="56F69A40" w14:textId="77777777">
        <w:tc>
          <w:tcPr>
            <w:tcW w:w="1455" w:type="pct"/>
          </w:tcPr>
          <w:p w14:paraId="0A6499D6" w14:textId="77777777" w:rsidR="000D07EA" w:rsidRDefault="00BE7C89">
            <w:pPr>
              <w:pStyle w:val="BodyText"/>
              <w:keepNext/>
              <w:spacing w:before="100" w:after="100"/>
              <w:rPr>
                <w:b/>
              </w:rPr>
            </w:pPr>
            <w:r>
              <w:rPr>
                <w:b/>
              </w:rPr>
              <w:t>BYO Bonus per month (expires at 12 month contract term completion or if rate plan change action)</w:t>
            </w:r>
          </w:p>
        </w:tc>
        <w:tc>
          <w:tcPr>
            <w:tcW w:w="1182" w:type="pct"/>
          </w:tcPr>
          <w:p w14:paraId="506E5E7D" w14:textId="77777777" w:rsidR="000D07EA" w:rsidRDefault="00BE7C89">
            <w:pPr>
              <w:pStyle w:val="BodyText"/>
              <w:keepNext/>
              <w:spacing w:before="100" w:after="100"/>
              <w:jc w:val="center"/>
            </w:pPr>
            <w:r>
              <w:t>$150 additional cap value plus unlimited standard national SMS/MMS to Australian GSM mobiles (excluding Pivotel) within Australia</w:t>
            </w:r>
          </w:p>
        </w:tc>
        <w:tc>
          <w:tcPr>
            <w:tcW w:w="1182" w:type="pct"/>
          </w:tcPr>
          <w:p w14:paraId="352BC0A5" w14:textId="77777777" w:rsidR="000D07EA" w:rsidRDefault="00BE7C89">
            <w:pPr>
              <w:pStyle w:val="BodyText"/>
              <w:keepNext/>
              <w:spacing w:before="100" w:after="100"/>
              <w:jc w:val="center"/>
            </w:pPr>
            <w:r>
              <w:t>$20 recurring credit</w:t>
            </w:r>
          </w:p>
        </w:tc>
        <w:tc>
          <w:tcPr>
            <w:tcW w:w="1182" w:type="pct"/>
          </w:tcPr>
          <w:p w14:paraId="6A8A4E9C" w14:textId="77777777" w:rsidR="000D07EA" w:rsidRDefault="00BE7C89">
            <w:pPr>
              <w:pStyle w:val="BodyText"/>
              <w:keepNext/>
              <w:spacing w:before="100" w:after="100"/>
              <w:jc w:val="center"/>
            </w:pPr>
            <w:r>
              <w:t>$20 recurring credit</w:t>
            </w:r>
          </w:p>
        </w:tc>
      </w:tr>
      <w:tr w:rsidR="000D07EA" w14:paraId="77EA291D" w14:textId="77777777">
        <w:tc>
          <w:tcPr>
            <w:tcW w:w="1455" w:type="pct"/>
          </w:tcPr>
          <w:p w14:paraId="4D887273" w14:textId="77777777" w:rsidR="000D07EA" w:rsidRDefault="00BE7C89">
            <w:pPr>
              <w:pStyle w:val="BodyText"/>
              <w:spacing w:before="100" w:after="100"/>
              <w:rPr>
                <w:b/>
              </w:rPr>
            </w:pPr>
            <w:r>
              <w:rPr>
                <w:b/>
              </w:rPr>
              <w:t>Unlimited Standard National SMS and MMS</w:t>
            </w:r>
          </w:p>
          <w:p w14:paraId="069B8085" w14:textId="77777777" w:rsidR="000D07EA" w:rsidRDefault="00BE7C89">
            <w:pPr>
              <w:pStyle w:val="BodyText"/>
              <w:spacing w:before="100" w:after="100"/>
              <w:rPr>
                <w:b/>
              </w:rPr>
            </w:pPr>
            <w:r>
              <w:rPr>
                <w:b/>
              </w:rPr>
              <w:t>within Australia</w:t>
            </w:r>
          </w:p>
        </w:tc>
        <w:tc>
          <w:tcPr>
            <w:tcW w:w="1182" w:type="pct"/>
          </w:tcPr>
          <w:p w14:paraId="169E2085" w14:textId="77777777" w:rsidR="000D07EA" w:rsidRDefault="00BE7C89">
            <w:pPr>
              <w:pStyle w:val="BodyText"/>
              <w:spacing w:before="100" w:after="100"/>
              <w:jc w:val="center"/>
            </w:pPr>
            <w:r>
              <w:t>Yes with BYO Bonus</w:t>
            </w:r>
          </w:p>
        </w:tc>
        <w:tc>
          <w:tcPr>
            <w:tcW w:w="1182" w:type="pct"/>
          </w:tcPr>
          <w:p w14:paraId="4B525C9E" w14:textId="77777777" w:rsidR="000D07EA" w:rsidRDefault="00BE7C89">
            <w:pPr>
              <w:pStyle w:val="BodyText"/>
              <w:spacing w:before="100" w:after="100"/>
              <w:jc w:val="center"/>
            </w:pPr>
            <w:r>
              <w:t>Yes</w:t>
            </w:r>
          </w:p>
        </w:tc>
        <w:tc>
          <w:tcPr>
            <w:tcW w:w="1182" w:type="pct"/>
          </w:tcPr>
          <w:p w14:paraId="31B7EC1F" w14:textId="77777777" w:rsidR="000D07EA" w:rsidRDefault="00BE7C89">
            <w:pPr>
              <w:pStyle w:val="BodyText"/>
              <w:spacing w:before="100" w:after="100"/>
              <w:jc w:val="center"/>
            </w:pPr>
            <w:r>
              <w:t>Yes</w:t>
            </w:r>
          </w:p>
        </w:tc>
      </w:tr>
      <w:tr w:rsidR="000D07EA" w14:paraId="3F4814D4" w14:textId="77777777">
        <w:tc>
          <w:tcPr>
            <w:tcW w:w="1455" w:type="pct"/>
          </w:tcPr>
          <w:p w14:paraId="6D384527" w14:textId="77777777" w:rsidR="000D07EA" w:rsidRDefault="00BE7C89">
            <w:pPr>
              <w:pStyle w:val="BodyText"/>
              <w:spacing w:before="100" w:after="100"/>
              <w:rPr>
                <w:b/>
              </w:rPr>
            </w:pPr>
            <w:r>
              <w:rPr>
                <w:b/>
              </w:rPr>
              <w:t xml:space="preserve">Unlimited Optus GSM Mobile Calls on Same Customer Account Number within Australia Offer </w:t>
            </w:r>
          </w:p>
        </w:tc>
        <w:tc>
          <w:tcPr>
            <w:tcW w:w="1182" w:type="pct"/>
          </w:tcPr>
          <w:p w14:paraId="22C1E0AE" w14:textId="77777777" w:rsidR="000D07EA" w:rsidRDefault="00BE7C89">
            <w:pPr>
              <w:pStyle w:val="BodyText"/>
              <w:spacing w:before="100" w:after="100"/>
              <w:jc w:val="center"/>
            </w:pPr>
            <w:r>
              <w:t>Yes</w:t>
            </w:r>
          </w:p>
        </w:tc>
        <w:tc>
          <w:tcPr>
            <w:tcW w:w="1182" w:type="pct"/>
          </w:tcPr>
          <w:p w14:paraId="02D54244" w14:textId="77777777" w:rsidR="000D07EA" w:rsidRDefault="00BE7C89">
            <w:pPr>
              <w:pStyle w:val="BodyText"/>
              <w:spacing w:before="100" w:after="100"/>
              <w:jc w:val="center"/>
            </w:pPr>
            <w:r>
              <w:t>Yes</w:t>
            </w:r>
          </w:p>
        </w:tc>
        <w:tc>
          <w:tcPr>
            <w:tcW w:w="1182" w:type="pct"/>
          </w:tcPr>
          <w:p w14:paraId="4A5BD004" w14:textId="77777777" w:rsidR="000D07EA" w:rsidRDefault="00BE7C89">
            <w:pPr>
              <w:pStyle w:val="BodyText"/>
              <w:spacing w:before="100" w:after="100"/>
              <w:jc w:val="center"/>
            </w:pPr>
            <w:r>
              <w:t>Yes</w:t>
            </w:r>
          </w:p>
        </w:tc>
      </w:tr>
      <w:tr w:rsidR="000D07EA" w14:paraId="3DCA63B3" w14:textId="77777777">
        <w:tc>
          <w:tcPr>
            <w:tcW w:w="1455" w:type="pct"/>
          </w:tcPr>
          <w:p w14:paraId="4B53DEA9" w14:textId="77777777" w:rsidR="000D07EA" w:rsidRDefault="00BE7C89">
            <w:pPr>
              <w:pStyle w:val="BodyText"/>
              <w:spacing w:before="100" w:after="100"/>
              <w:rPr>
                <w:b/>
              </w:rPr>
            </w:pPr>
            <w:r>
              <w:rPr>
                <w:b/>
              </w:rPr>
              <w:lastRenderedPageBreak/>
              <w:t>Unlimited Voicemail – Deposit and retrievals within Australia</w:t>
            </w:r>
          </w:p>
        </w:tc>
        <w:tc>
          <w:tcPr>
            <w:tcW w:w="1182" w:type="pct"/>
          </w:tcPr>
          <w:p w14:paraId="6B91C478" w14:textId="77777777" w:rsidR="000D07EA" w:rsidRDefault="00BE7C89">
            <w:pPr>
              <w:pStyle w:val="BodyText"/>
              <w:spacing w:before="100" w:after="100"/>
              <w:jc w:val="center"/>
            </w:pPr>
            <w:r>
              <w:t>Yes</w:t>
            </w:r>
          </w:p>
        </w:tc>
        <w:tc>
          <w:tcPr>
            <w:tcW w:w="1182" w:type="pct"/>
          </w:tcPr>
          <w:p w14:paraId="522B2FF2" w14:textId="77777777" w:rsidR="000D07EA" w:rsidRDefault="00BE7C89">
            <w:pPr>
              <w:pStyle w:val="BodyText"/>
              <w:spacing w:before="100" w:after="100"/>
              <w:jc w:val="center"/>
            </w:pPr>
            <w:r>
              <w:t>Yes</w:t>
            </w:r>
          </w:p>
        </w:tc>
        <w:tc>
          <w:tcPr>
            <w:tcW w:w="1182" w:type="pct"/>
          </w:tcPr>
          <w:p w14:paraId="5DDB3699" w14:textId="77777777" w:rsidR="000D07EA" w:rsidRDefault="00BE7C89">
            <w:pPr>
              <w:pStyle w:val="BodyText"/>
              <w:spacing w:before="100" w:after="100"/>
              <w:jc w:val="center"/>
            </w:pPr>
            <w:r>
              <w:t>Yes</w:t>
            </w:r>
          </w:p>
        </w:tc>
      </w:tr>
      <w:tr w:rsidR="000D07EA" w14:paraId="0E6F2725" w14:textId="77777777">
        <w:tc>
          <w:tcPr>
            <w:tcW w:w="1455" w:type="pct"/>
          </w:tcPr>
          <w:p w14:paraId="185F94E2" w14:textId="77777777" w:rsidR="000D07EA" w:rsidRDefault="00BE7C89">
            <w:pPr>
              <w:pStyle w:val="BodyText"/>
              <w:spacing w:before="100" w:after="100"/>
              <w:rPr>
                <w:b/>
              </w:rPr>
            </w:pPr>
            <w:r>
              <w:rPr>
                <w:b/>
              </w:rPr>
              <w:t xml:space="preserve">Unlimited mobile access to Facebook®, Twitter, LinkedIn, Ebay, FourSquare, MySpace within Australia </w:t>
            </w:r>
          </w:p>
        </w:tc>
        <w:tc>
          <w:tcPr>
            <w:tcW w:w="1182" w:type="pct"/>
          </w:tcPr>
          <w:p w14:paraId="25DF6730" w14:textId="77777777" w:rsidR="000D07EA" w:rsidRDefault="00BE7C89">
            <w:pPr>
              <w:pStyle w:val="BodyText"/>
              <w:spacing w:before="100" w:after="100"/>
              <w:jc w:val="center"/>
            </w:pPr>
            <w:r>
              <w:t>Yes</w:t>
            </w:r>
          </w:p>
        </w:tc>
        <w:tc>
          <w:tcPr>
            <w:tcW w:w="1182" w:type="pct"/>
          </w:tcPr>
          <w:p w14:paraId="0686620D" w14:textId="77777777" w:rsidR="000D07EA" w:rsidRDefault="00BE7C89">
            <w:pPr>
              <w:pStyle w:val="BodyText"/>
              <w:spacing w:before="100" w:after="100"/>
              <w:jc w:val="center"/>
            </w:pPr>
            <w:r>
              <w:t>Yes</w:t>
            </w:r>
          </w:p>
        </w:tc>
        <w:tc>
          <w:tcPr>
            <w:tcW w:w="1182" w:type="pct"/>
          </w:tcPr>
          <w:p w14:paraId="6C6C3661" w14:textId="77777777" w:rsidR="000D07EA" w:rsidRDefault="00BE7C89">
            <w:pPr>
              <w:pStyle w:val="BodyText"/>
              <w:spacing w:before="100" w:after="100"/>
              <w:jc w:val="center"/>
            </w:pPr>
            <w:r>
              <w:t>Yes</w:t>
            </w:r>
          </w:p>
        </w:tc>
      </w:tr>
      <w:tr w:rsidR="000D07EA" w14:paraId="4010405D" w14:textId="77777777">
        <w:tc>
          <w:tcPr>
            <w:tcW w:w="1455" w:type="pct"/>
          </w:tcPr>
          <w:p w14:paraId="593D6C50" w14:textId="77777777" w:rsidR="000D07EA" w:rsidRDefault="00BE7C89">
            <w:pPr>
              <w:pStyle w:val="BodyText"/>
              <w:spacing w:before="100" w:after="100"/>
              <w:rPr>
                <w:b/>
              </w:rPr>
            </w:pPr>
            <w:r>
              <w:rPr>
                <w:b/>
              </w:rPr>
              <w:t>Minimum Monthly charge</w:t>
            </w:r>
          </w:p>
        </w:tc>
        <w:tc>
          <w:tcPr>
            <w:tcW w:w="1182" w:type="pct"/>
          </w:tcPr>
          <w:p w14:paraId="247129E8" w14:textId="77777777" w:rsidR="000D07EA" w:rsidRDefault="00BE7C89">
            <w:pPr>
              <w:pStyle w:val="BodyText"/>
              <w:spacing w:before="100" w:after="100"/>
              <w:jc w:val="center"/>
            </w:pPr>
            <w:r>
              <w:t>$49</w:t>
            </w:r>
          </w:p>
        </w:tc>
        <w:tc>
          <w:tcPr>
            <w:tcW w:w="1182" w:type="pct"/>
          </w:tcPr>
          <w:p w14:paraId="246171E4" w14:textId="77777777" w:rsidR="000D07EA" w:rsidRDefault="00BE7C89">
            <w:pPr>
              <w:pStyle w:val="BodyText"/>
              <w:spacing w:before="100" w:after="100"/>
              <w:jc w:val="center"/>
            </w:pPr>
            <w:r>
              <w:t>$89 or $69 with BYO Bonus</w:t>
            </w:r>
          </w:p>
        </w:tc>
        <w:tc>
          <w:tcPr>
            <w:tcW w:w="1182" w:type="pct"/>
          </w:tcPr>
          <w:p w14:paraId="495AEBAE" w14:textId="77777777" w:rsidR="000D07EA" w:rsidRDefault="00BE7C89">
            <w:pPr>
              <w:pStyle w:val="BodyText"/>
              <w:spacing w:before="100" w:after="100"/>
              <w:jc w:val="center"/>
            </w:pPr>
            <w:r>
              <w:t>$99 or $79 with BYO Bonus</w:t>
            </w:r>
          </w:p>
        </w:tc>
      </w:tr>
      <w:tr w:rsidR="000D07EA" w14:paraId="03D123A4" w14:textId="77777777">
        <w:tc>
          <w:tcPr>
            <w:tcW w:w="1455" w:type="pct"/>
          </w:tcPr>
          <w:p w14:paraId="4A81F492" w14:textId="77777777" w:rsidR="000D07EA" w:rsidRDefault="00BE7C89">
            <w:pPr>
              <w:pStyle w:val="BodyText"/>
              <w:spacing w:before="100" w:after="100"/>
              <w:rPr>
                <w:b/>
              </w:rPr>
            </w:pPr>
            <w:r>
              <w:rPr>
                <w:b/>
              </w:rPr>
              <w:t xml:space="preserve">National Voice call charges </w:t>
            </w:r>
            <w:r>
              <w:t>(per minute)</w:t>
            </w:r>
          </w:p>
        </w:tc>
        <w:tc>
          <w:tcPr>
            <w:tcW w:w="1182" w:type="pct"/>
          </w:tcPr>
          <w:p w14:paraId="76905522" w14:textId="77777777" w:rsidR="000D07EA" w:rsidRDefault="00BE7C89">
            <w:pPr>
              <w:pStyle w:val="BodyText"/>
              <w:spacing w:before="100" w:after="100"/>
              <w:jc w:val="center"/>
            </w:pPr>
            <w:r>
              <w:t>$0.90</w:t>
            </w:r>
          </w:p>
        </w:tc>
        <w:tc>
          <w:tcPr>
            <w:tcW w:w="1182" w:type="pct"/>
          </w:tcPr>
          <w:p w14:paraId="1A1F003A" w14:textId="77777777" w:rsidR="000D07EA" w:rsidRDefault="00BE7C89">
            <w:pPr>
              <w:pStyle w:val="BodyText"/>
              <w:spacing w:before="100" w:after="100"/>
              <w:jc w:val="center"/>
            </w:pPr>
            <w:r>
              <w:t>$0.00</w:t>
            </w:r>
          </w:p>
        </w:tc>
        <w:tc>
          <w:tcPr>
            <w:tcW w:w="1182" w:type="pct"/>
          </w:tcPr>
          <w:p w14:paraId="325862C0" w14:textId="77777777" w:rsidR="000D07EA" w:rsidRDefault="00BE7C89">
            <w:pPr>
              <w:pStyle w:val="BodyText"/>
              <w:spacing w:before="100" w:after="100"/>
              <w:jc w:val="center"/>
            </w:pPr>
            <w:r>
              <w:t>$0.00</w:t>
            </w:r>
          </w:p>
        </w:tc>
      </w:tr>
      <w:tr w:rsidR="000D07EA" w14:paraId="2AF0A1B7" w14:textId="77777777">
        <w:tc>
          <w:tcPr>
            <w:tcW w:w="1455" w:type="pct"/>
          </w:tcPr>
          <w:p w14:paraId="0950ED6C" w14:textId="77777777" w:rsidR="000D07EA" w:rsidRDefault="00BE7C89">
            <w:pPr>
              <w:pStyle w:val="BodyText"/>
              <w:spacing w:before="100" w:after="100"/>
              <w:rPr>
                <w:b/>
                <w:i/>
                <w:iCs/>
              </w:rPr>
            </w:pPr>
            <w:r>
              <w:rPr>
                <w:b/>
                <w:i/>
                <w:iCs/>
              </w:rPr>
              <w:t>Flagfall</w:t>
            </w:r>
            <w:r>
              <w:rPr>
                <w:b/>
              </w:rPr>
              <w:t xml:space="preserve"> for national voice calls (Call Connection Charge) </w:t>
            </w:r>
          </w:p>
        </w:tc>
        <w:tc>
          <w:tcPr>
            <w:tcW w:w="1182" w:type="pct"/>
          </w:tcPr>
          <w:p w14:paraId="00B10D79" w14:textId="77777777" w:rsidR="000D07EA" w:rsidRDefault="00BE7C89">
            <w:pPr>
              <w:pStyle w:val="BodyText"/>
              <w:spacing w:before="100" w:after="100"/>
              <w:jc w:val="center"/>
            </w:pPr>
            <w:r>
              <w:t>$0.35</w:t>
            </w:r>
          </w:p>
        </w:tc>
        <w:tc>
          <w:tcPr>
            <w:tcW w:w="1182" w:type="pct"/>
          </w:tcPr>
          <w:p w14:paraId="235E8824" w14:textId="77777777" w:rsidR="000D07EA" w:rsidRDefault="00BE7C89">
            <w:pPr>
              <w:pStyle w:val="BodyText"/>
              <w:spacing w:before="100" w:after="100"/>
              <w:jc w:val="center"/>
            </w:pPr>
            <w:r>
              <w:t>$0.35 on excluded call types</w:t>
            </w:r>
          </w:p>
        </w:tc>
        <w:tc>
          <w:tcPr>
            <w:tcW w:w="1182" w:type="pct"/>
          </w:tcPr>
          <w:p w14:paraId="7C9994DB" w14:textId="77777777" w:rsidR="000D07EA" w:rsidRDefault="00BE7C89">
            <w:pPr>
              <w:pStyle w:val="BodyText"/>
              <w:spacing w:before="100" w:after="100"/>
              <w:jc w:val="center"/>
            </w:pPr>
            <w:r>
              <w:t>$0.35 on excluded call types</w:t>
            </w:r>
          </w:p>
        </w:tc>
      </w:tr>
      <w:tr w:rsidR="000D07EA" w14:paraId="3F46A109" w14:textId="77777777">
        <w:tc>
          <w:tcPr>
            <w:tcW w:w="1455" w:type="pct"/>
          </w:tcPr>
          <w:p w14:paraId="6C78A6FF" w14:textId="77777777" w:rsidR="000D07EA" w:rsidRDefault="00BE7C89">
            <w:pPr>
              <w:pStyle w:val="BodyText"/>
              <w:spacing w:before="100" w:after="100"/>
              <w:rPr>
                <w:b/>
              </w:rPr>
            </w:pPr>
            <w:r>
              <w:rPr>
                <w:b/>
              </w:rPr>
              <w:t xml:space="preserve">National SMS Charges </w:t>
            </w:r>
            <w:r>
              <w:t>(for standard SMS of up to 160 characters)</w:t>
            </w:r>
          </w:p>
        </w:tc>
        <w:tc>
          <w:tcPr>
            <w:tcW w:w="1182" w:type="pct"/>
          </w:tcPr>
          <w:p w14:paraId="6BAB6358" w14:textId="77777777" w:rsidR="000D07EA" w:rsidRDefault="00BE7C89">
            <w:pPr>
              <w:pStyle w:val="BodyText"/>
              <w:spacing w:before="100" w:after="100"/>
              <w:jc w:val="center"/>
            </w:pPr>
            <w:r>
              <w:t>$0.25</w:t>
            </w:r>
          </w:p>
        </w:tc>
        <w:tc>
          <w:tcPr>
            <w:tcW w:w="1182" w:type="pct"/>
          </w:tcPr>
          <w:p w14:paraId="290F1796" w14:textId="77777777" w:rsidR="000D07EA" w:rsidRDefault="00BE7C89">
            <w:pPr>
              <w:pStyle w:val="BodyText"/>
              <w:spacing w:before="100" w:after="100"/>
              <w:jc w:val="center"/>
            </w:pPr>
            <w:r>
              <w:t>Unlimited</w:t>
            </w:r>
          </w:p>
        </w:tc>
        <w:tc>
          <w:tcPr>
            <w:tcW w:w="1182" w:type="pct"/>
          </w:tcPr>
          <w:p w14:paraId="4308AFA2" w14:textId="77777777" w:rsidR="000D07EA" w:rsidRDefault="00BE7C89">
            <w:pPr>
              <w:pStyle w:val="BodyText"/>
              <w:spacing w:before="100" w:after="100"/>
              <w:jc w:val="center"/>
            </w:pPr>
            <w:r>
              <w:t>Unlimited</w:t>
            </w:r>
          </w:p>
        </w:tc>
      </w:tr>
      <w:tr w:rsidR="000D07EA" w14:paraId="05A0180A" w14:textId="77777777">
        <w:tc>
          <w:tcPr>
            <w:tcW w:w="1455" w:type="pct"/>
          </w:tcPr>
          <w:p w14:paraId="139C9F2E" w14:textId="77777777" w:rsidR="000D07EA" w:rsidRDefault="00BE7C89">
            <w:pPr>
              <w:pStyle w:val="BodyText"/>
              <w:spacing w:before="100" w:after="100"/>
              <w:rPr>
                <w:b/>
              </w:rPr>
            </w:pPr>
            <w:r>
              <w:rPr>
                <w:b/>
              </w:rPr>
              <w:t>National Photo Message (per message)</w:t>
            </w:r>
          </w:p>
        </w:tc>
        <w:tc>
          <w:tcPr>
            <w:tcW w:w="1182" w:type="pct"/>
          </w:tcPr>
          <w:p w14:paraId="7A935111" w14:textId="77777777" w:rsidR="000D07EA" w:rsidRDefault="00BE7C89">
            <w:pPr>
              <w:pStyle w:val="BodyText"/>
              <w:spacing w:before="100" w:after="100"/>
              <w:jc w:val="center"/>
            </w:pPr>
            <w:r>
              <w:t>$0.50</w:t>
            </w:r>
          </w:p>
        </w:tc>
        <w:tc>
          <w:tcPr>
            <w:tcW w:w="1182" w:type="pct"/>
          </w:tcPr>
          <w:p w14:paraId="009A0393" w14:textId="77777777" w:rsidR="000D07EA" w:rsidRDefault="00BE7C89">
            <w:pPr>
              <w:pStyle w:val="BodyText"/>
              <w:spacing w:before="100" w:after="100"/>
              <w:jc w:val="center"/>
            </w:pPr>
            <w:r>
              <w:t>Unlimited</w:t>
            </w:r>
          </w:p>
        </w:tc>
        <w:tc>
          <w:tcPr>
            <w:tcW w:w="1182" w:type="pct"/>
          </w:tcPr>
          <w:p w14:paraId="2F87BE66" w14:textId="77777777" w:rsidR="000D07EA" w:rsidRDefault="00BE7C89">
            <w:pPr>
              <w:pStyle w:val="BodyText"/>
              <w:spacing w:before="100" w:after="100"/>
              <w:jc w:val="center"/>
            </w:pPr>
            <w:r>
              <w:t>Unlimited</w:t>
            </w:r>
          </w:p>
        </w:tc>
      </w:tr>
      <w:tr w:rsidR="000D07EA" w14:paraId="41BD1D41" w14:textId="77777777">
        <w:tc>
          <w:tcPr>
            <w:tcW w:w="1455" w:type="pct"/>
          </w:tcPr>
          <w:p w14:paraId="69C6F376" w14:textId="77777777" w:rsidR="000D07EA" w:rsidRDefault="00BE7C89">
            <w:pPr>
              <w:pStyle w:val="BodyText"/>
              <w:spacing w:before="100" w:after="100"/>
              <w:rPr>
                <w:b/>
              </w:rPr>
            </w:pPr>
            <w:r>
              <w:rPr>
                <w:b/>
              </w:rPr>
              <w:t>National Video Calling (per minute)</w:t>
            </w:r>
          </w:p>
        </w:tc>
        <w:tc>
          <w:tcPr>
            <w:tcW w:w="1182" w:type="pct"/>
          </w:tcPr>
          <w:p w14:paraId="1076E46D" w14:textId="77777777" w:rsidR="000D07EA" w:rsidRDefault="00BE7C89">
            <w:pPr>
              <w:pStyle w:val="BodyText"/>
              <w:spacing w:before="100" w:after="100"/>
              <w:jc w:val="center"/>
            </w:pPr>
            <w:r>
              <w:t>$1.00</w:t>
            </w:r>
          </w:p>
        </w:tc>
        <w:tc>
          <w:tcPr>
            <w:tcW w:w="1182" w:type="pct"/>
          </w:tcPr>
          <w:p w14:paraId="3C25F0A1" w14:textId="77777777" w:rsidR="000D07EA" w:rsidRDefault="00BE7C89">
            <w:pPr>
              <w:pStyle w:val="BodyText"/>
              <w:spacing w:before="100" w:after="100"/>
              <w:jc w:val="center"/>
            </w:pPr>
            <w:r>
              <w:t>Unlimited</w:t>
            </w:r>
          </w:p>
        </w:tc>
        <w:tc>
          <w:tcPr>
            <w:tcW w:w="1182" w:type="pct"/>
          </w:tcPr>
          <w:p w14:paraId="168D31D3" w14:textId="77777777" w:rsidR="000D07EA" w:rsidRDefault="00BE7C89">
            <w:pPr>
              <w:pStyle w:val="BodyText"/>
              <w:spacing w:before="100" w:after="100"/>
              <w:jc w:val="center"/>
            </w:pPr>
            <w:r>
              <w:t>Unlimited</w:t>
            </w:r>
          </w:p>
        </w:tc>
      </w:tr>
      <w:tr w:rsidR="000D07EA" w14:paraId="13BF79E6" w14:textId="77777777">
        <w:tc>
          <w:tcPr>
            <w:tcW w:w="1455" w:type="pct"/>
          </w:tcPr>
          <w:p w14:paraId="0F1829E6" w14:textId="77777777" w:rsidR="000D07EA" w:rsidRDefault="00BE7C89">
            <w:pPr>
              <w:pStyle w:val="BodyText"/>
              <w:spacing w:before="100" w:after="100"/>
              <w:rPr>
                <w:b/>
                <w:i/>
                <w:iCs/>
              </w:rPr>
            </w:pPr>
            <w:r>
              <w:rPr>
                <w:b/>
                <w:i/>
                <w:iCs/>
              </w:rPr>
              <w:t xml:space="preserve">Flagfall </w:t>
            </w:r>
            <w:r>
              <w:rPr>
                <w:b/>
              </w:rPr>
              <w:t>for National Video Calls (per call)</w:t>
            </w:r>
          </w:p>
        </w:tc>
        <w:tc>
          <w:tcPr>
            <w:tcW w:w="1182" w:type="pct"/>
          </w:tcPr>
          <w:p w14:paraId="2D0C0385" w14:textId="77777777" w:rsidR="000D07EA" w:rsidRDefault="00BE7C89">
            <w:pPr>
              <w:pStyle w:val="BodyText"/>
              <w:spacing w:before="100" w:after="100"/>
              <w:jc w:val="center"/>
            </w:pPr>
            <w:r>
              <w:t>$0.35</w:t>
            </w:r>
          </w:p>
        </w:tc>
        <w:tc>
          <w:tcPr>
            <w:tcW w:w="1182" w:type="pct"/>
          </w:tcPr>
          <w:p w14:paraId="40EFCA2D" w14:textId="77777777" w:rsidR="000D07EA" w:rsidRDefault="00BE7C89">
            <w:pPr>
              <w:pStyle w:val="BodyText"/>
              <w:spacing w:before="100" w:after="100"/>
              <w:jc w:val="center"/>
            </w:pPr>
            <w:r>
              <w:t>$0.35</w:t>
            </w:r>
          </w:p>
        </w:tc>
        <w:tc>
          <w:tcPr>
            <w:tcW w:w="1182" w:type="pct"/>
          </w:tcPr>
          <w:p w14:paraId="4A2BF76A" w14:textId="77777777" w:rsidR="000D07EA" w:rsidRDefault="00BE7C89">
            <w:pPr>
              <w:pStyle w:val="BodyText"/>
              <w:spacing w:before="100" w:after="100"/>
              <w:jc w:val="center"/>
            </w:pPr>
            <w:r>
              <w:t>$0.35</w:t>
            </w:r>
          </w:p>
        </w:tc>
      </w:tr>
      <w:tr w:rsidR="000D07EA" w14:paraId="1655B139" w14:textId="77777777">
        <w:tc>
          <w:tcPr>
            <w:tcW w:w="1455" w:type="pct"/>
          </w:tcPr>
          <w:p w14:paraId="33B41E9C" w14:textId="77777777" w:rsidR="000D07EA" w:rsidRDefault="00BE7C89">
            <w:pPr>
              <w:pStyle w:val="BodyText"/>
              <w:spacing w:before="100" w:after="100"/>
              <w:rPr>
                <w:b/>
                <w:iCs/>
              </w:rPr>
            </w:pPr>
            <w:r>
              <w:rPr>
                <w:b/>
                <w:iCs/>
              </w:rPr>
              <w:t>13/1300 Calls</w:t>
            </w:r>
          </w:p>
        </w:tc>
        <w:tc>
          <w:tcPr>
            <w:tcW w:w="1182" w:type="pct"/>
          </w:tcPr>
          <w:p w14:paraId="2007070A" w14:textId="77777777" w:rsidR="000D07EA" w:rsidRDefault="00BE7C89">
            <w:pPr>
              <w:pStyle w:val="BodyText"/>
              <w:spacing w:before="100" w:after="100"/>
              <w:jc w:val="center"/>
            </w:pPr>
            <w:r>
              <w:t>$0.90 p/min + $0.35 FlagFall</w:t>
            </w:r>
          </w:p>
        </w:tc>
        <w:tc>
          <w:tcPr>
            <w:tcW w:w="1182" w:type="pct"/>
          </w:tcPr>
          <w:p w14:paraId="48A5BF3B" w14:textId="77777777" w:rsidR="000D07EA" w:rsidRDefault="00BE7C89">
            <w:pPr>
              <w:pStyle w:val="BodyText"/>
              <w:spacing w:before="100" w:after="100"/>
              <w:jc w:val="center"/>
            </w:pPr>
            <w:r>
              <w:t>$0.30 flat rate</w:t>
            </w:r>
          </w:p>
        </w:tc>
        <w:tc>
          <w:tcPr>
            <w:tcW w:w="1182" w:type="pct"/>
          </w:tcPr>
          <w:p w14:paraId="19A627E8" w14:textId="77777777" w:rsidR="000D07EA" w:rsidRDefault="00BE7C89">
            <w:pPr>
              <w:pStyle w:val="BodyText"/>
              <w:spacing w:before="100" w:after="100"/>
              <w:jc w:val="center"/>
            </w:pPr>
            <w:r>
              <w:t>Unlimited</w:t>
            </w:r>
          </w:p>
        </w:tc>
      </w:tr>
      <w:tr w:rsidR="000D07EA" w14:paraId="41AE3F34" w14:textId="77777777">
        <w:tc>
          <w:tcPr>
            <w:tcW w:w="1455" w:type="pct"/>
          </w:tcPr>
          <w:p w14:paraId="707C8530" w14:textId="77777777" w:rsidR="000D07EA" w:rsidRDefault="00BE7C89">
            <w:pPr>
              <w:pStyle w:val="BodyText"/>
              <w:spacing w:before="100" w:after="100"/>
              <w:rPr>
                <w:b/>
                <w:iCs/>
              </w:rPr>
            </w:pPr>
            <w:r>
              <w:rPr>
                <w:b/>
                <w:iCs/>
              </w:rPr>
              <w:t>International SMS (per message)</w:t>
            </w:r>
          </w:p>
        </w:tc>
        <w:tc>
          <w:tcPr>
            <w:tcW w:w="1182" w:type="pct"/>
          </w:tcPr>
          <w:p w14:paraId="740E6617" w14:textId="77777777" w:rsidR="000D07EA" w:rsidRDefault="00BE7C89">
            <w:pPr>
              <w:pStyle w:val="BodyText"/>
              <w:spacing w:before="100" w:after="100"/>
              <w:jc w:val="center"/>
            </w:pPr>
            <w:r>
              <w:t>$0.50</w:t>
            </w:r>
          </w:p>
        </w:tc>
        <w:tc>
          <w:tcPr>
            <w:tcW w:w="1182" w:type="pct"/>
          </w:tcPr>
          <w:p w14:paraId="676F70AC" w14:textId="77777777" w:rsidR="000D07EA" w:rsidRDefault="00BE7C89">
            <w:pPr>
              <w:pStyle w:val="BodyText"/>
              <w:spacing w:before="100" w:after="100"/>
              <w:jc w:val="center"/>
            </w:pPr>
            <w:r>
              <w:t>$0.50</w:t>
            </w:r>
          </w:p>
        </w:tc>
        <w:tc>
          <w:tcPr>
            <w:tcW w:w="1182" w:type="pct"/>
          </w:tcPr>
          <w:p w14:paraId="39425B1D" w14:textId="77777777" w:rsidR="000D07EA" w:rsidRDefault="00BE7C89">
            <w:pPr>
              <w:pStyle w:val="BodyText"/>
              <w:spacing w:before="100" w:after="100"/>
              <w:jc w:val="center"/>
            </w:pPr>
            <w:r>
              <w:t>$0.50</w:t>
            </w:r>
          </w:p>
        </w:tc>
      </w:tr>
      <w:tr w:rsidR="000D07EA" w14:paraId="3F5B6698" w14:textId="77777777">
        <w:tc>
          <w:tcPr>
            <w:tcW w:w="1455" w:type="pct"/>
          </w:tcPr>
          <w:p w14:paraId="54BB754C" w14:textId="77777777" w:rsidR="000D07EA" w:rsidRDefault="00BE7C89">
            <w:pPr>
              <w:pStyle w:val="BodyText"/>
              <w:spacing w:before="100" w:after="100"/>
              <w:rPr>
                <w:b/>
                <w:iCs/>
              </w:rPr>
            </w:pPr>
            <w:r>
              <w:rPr>
                <w:b/>
                <w:iCs/>
              </w:rPr>
              <w:t>International MMS (per message)</w:t>
            </w:r>
          </w:p>
        </w:tc>
        <w:tc>
          <w:tcPr>
            <w:tcW w:w="1182" w:type="pct"/>
          </w:tcPr>
          <w:p w14:paraId="368FC26C" w14:textId="77777777" w:rsidR="000D07EA" w:rsidRDefault="00BE7C89">
            <w:pPr>
              <w:pStyle w:val="BodyText"/>
              <w:spacing w:before="100" w:after="100"/>
              <w:jc w:val="center"/>
            </w:pPr>
            <w:r>
              <w:t>$0.75</w:t>
            </w:r>
          </w:p>
        </w:tc>
        <w:tc>
          <w:tcPr>
            <w:tcW w:w="1182" w:type="pct"/>
          </w:tcPr>
          <w:p w14:paraId="44226C98" w14:textId="77777777" w:rsidR="000D07EA" w:rsidRDefault="00BE7C89">
            <w:pPr>
              <w:pStyle w:val="BodyText"/>
              <w:spacing w:before="100" w:after="100"/>
              <w:jc w:val="center"/>
            </w:pPr>
            <w:r>
              <w:t>$0.75</w:t>
            </w:r>
          </w:p>
        </w:tc>
        <w:tc>
          <w:tcPr>
            <w:tcW w:w="1182" w:type="pct"/>
          </w:tcPr>
          <w:p w14:paraId="77ACE85E" w14:textId="77777777" w:rsidR="000D07EA" w:rsidRDefault="00BE7C89">
            <w:pPr>
              <w:pStyle w:val="BodyText"/>
              <w:spacing w:before="100" w:after="100"/>
              <w:jc w:val="center"/>
            </w:pPr>
            <w:r>
              <w:t>$0.75</w:t>
            </w:r>
          </w:p>
        </w:tc>
      </w:tr>
      <w:tr w:rsidR="000D07EA" w14:paraId="3BF9FD67" w14:textId="77777777">
        <w:tc>
          <w:tcPr>
            <w:tcW w:w="1455" w:type="pct"/>
          </w:tcPr>
          <w:p w14:paraId="307BA638" w14:textId="77777777" w:rsidR="000D07EA" w:rsidRDefault="00BE7C89">
            <w:pPr>
              <w:pStyle w:val="BodyText"/>
              <w:spacing w:before="100" w:after="100"/>
              <w:rPr>
                <w:b/>
                <w:iCs/>
              </w:rPr>
            </w:pPr>
            <w:r>
              <w:rPr>
                <w:b/>
                <w:iCs/>
              </w:rPr>
              <w:t>Included International Value</w:t>
            </w:r>
          </w:p>
        </w:tc>
        <w:tc>
          <w:tcPr>
            <w:tcW w:w="1182" w:type="pct"/>
          </w:tcPr>
          <w:p w14:paraId="12A47362" w14:textId="77777777" w:rsidR="000D07EA" w:rsidRDefault="00BE7C89">
            <w:pPr>
              <w:pStyle w:val="BodyText"/>
              <w:spacing w:before="100" w:after="100"/>
              <w:jc w:val="center"/>
            </w:pPr>
            <w:r>
              <w:t>$0</w:t>
            </w:r>
          </w:p>
        </w:tc>
        <w:tc>
          <w:tcPr>
            <w:tcW w:w="1182" w:type="pct"/>
          </w:tcPr>
          <w:p w14:paraId="49EB438D" w14:textId="77777777" w:rsidR="000D07EA" w:rsidRDefault="00BE7C89">
            <w:pPr>
              <w:pStyle w:val="BodyText"/>
              <w:spacing w:before="100" w:after="100"/>
              <w:jc w:val="center"/>
            </w:pPr>
            <w:r>
              <w:t>$0</w:t>
            </w:r>
          </w:p>
        </w:tc>
        <w:tc>
          <w:tcPr>
            <w:tcW w:w="1182" w:type="pct"/>
          </w:tcPr>
          <w:p w14:paraId="618B66F7" w14:textId="77777777" w:rsidR="000D07EA" w:rsidRDefault="00BE7C89">
            <w:pPr>
              <w:pStyle w:val="BodyText"/>
              <w:spacing w:before="100" w:after="100"/>
              <w:jc w:val="center"/>
            </w:pPr>
            <w:r>
              <w:t>$100</w:t>
            </w:r>
          </w:p>
        </w:tc>
      </w:tr>
      <w:tr w:rsidR="000D07EA" w14:paraId="546175B6" w14:textId="77777777">
        <w:tc>
          <w:tcPr>
            <w:tcW w:w="1455" w:type="pct"/>
          </w:tcPr>
          <w:p w14:paraId="007B32F0" w14:textId="77777777" w:rsidR="000D07EA" w:rsidRDefault="00BE7C89">
            <w:pPr>
              <w:pStyle w:val="BodyText"/>
              <w:spacing w:before="100" w:after="100"/>
              <w:rPr>
                <w:b/>
                <w:iCs/>
              </w:rPr>
            </w:pPr>
            <w:r>
              <w:rPr>
                <w:b/>
                <w:iCs/>
              </w:rPr>
              <w:t>International Rates</w:t>
            </w:r>
          </w:p>
        </w:tc>
        <w:tc>
          <w:tcPr>
            <w:tcW w:w="3545" w:type="pct"/>
            <w:gridSpan w:val="3"/>
          </w:tcPr>
          <w:p w14:paraId="115DBE7D" w14:textId="77777777" w:rsidR="000D07EA" w:rsidRDefault="00BE7C89">
            <w:pPr>
              <w:pStyle w:val="BodyText"/>
              <w:spacing w:before="100" w:after="100"/>
              <w:jc w:val="center"/>
            </w:pPr>
            <w:r>
              <w:t xml:space="preserve">'yes' Business International Rates (see </w:t>
            </w:r>
            <w:hyperlink r:id="rId339" w:history="1">
              <w:r>
                <w:rPr>
                  <w:rStyle w:val="Hyperlink"/>
                </w:rPr>
                <w:t>Appendix J</w:t>
              </w:r>
            </w:hyperlink>
            <w:r>
              <w:t>)</w:t>
            </w:r>
          </w:p>
        </w:tc>
      </w:tr>
      <w:tr w:rsidR="000D07EA" w14:paraId="7A34EA3D" w14:textId="77777777">
        <w:trPr>
          <w:cantSplit/>
        </w:trPr>
        <w:tc>
          <w:tcPr>
            <w:tcW w:w="1455" w:type="pct"/>
            <w:vMerge w:val="restart"/>
          </w:tcPr>
          <w:p w14:paraId="39EDA437" w14:textId="77777777" w:rsidR="000D07EA" w:rsidRDefault="00BE7C89">
            <w:pPr>
              <w:pStyle w:val="BodyText"/>
              <w:spacing w:before="100" w:after="100"/>
              <w:rPr>
                <w:b/>
              </w:rPr>
            </w:pPr>
            <w:r>
              <w:rPr>
                <w:b/>
              </w:rPr>
              <w:t>Your Choice Of Data Option to use within Australia:</w:t>
            </w:r>
          </w:p>
        </w:tc>
        <w:tc>
          <w:tcPr>
            <w:tcW w:w="1182" w:type="pct"/>
          </w:tcPr>
          <w:p w14:paraId="6CC1B316" w14:textId="77777777" w:rsidR="000D07EA" w:rsidRDefault="00BE7C89">
            <w:pPr>
              <w:pStyle w:val="BodyText"/>
              <w:spacing w:before="100" w:after="100"/>
              <w:jc w:val="center"/>
            </w:pPr>
            <w:r>
              <w:t>1.5GB of Mobile Internet Data</w:t>
            </w:r>
          </w:p>
        </w:tc>
        <w:tc>
          <w:tcPr>
            <w:tcW w:w="1182" w:type="pct"/>
          </w:tcPr>
          <w:p w14:paraId="5E003C6A" w14:textId="77777777" w:rsidR="000D07EA" w:rsidRDefault="00BE7C89">
            <w:pPr>
              <w:pStyle w:val="BodyText"/>
              <w:spacing w:before="100" w:after="100"/>
              <w:jc w:val="center"/>
            </w:pPr>
            <w:r>
              <w:t>3GB of Mobile Internet Data</w:t>
            </w:r>
          </w:p>
        </w:tc>
        <w:tc>
          <w:tcPr>
            <w:tcW w:w="1182" w:type="pct"/>
          </w:tcPr>
          <w:p w14:paraId="4A1A9E3A" w14:textId="77777777" w:rsidR="000D07EA" w:rsidRDefault="00BE7C89">
            <w:pPr>
              <w:pStyle w:val="BodyText"/>
              <w:spacing w:before="100" w:after="100"/>
              <w:jc w:val="center"/>
            </w:pPr>
            <w:r>
              <w:t>5GB of Mobile Internet Data</w:t>
            </w:r>
          </w:p>
        </w:tc>
      </w:tr>
      <w:tr w:rsidR="000D07EA" w14:paraId="6BF1F5F9" w14:textId="77777777">
        <w:trPr>
          <w:cantSplit/>
        </w:trPr>
        <w:tc>
          <w:tcPr>
            <w:tcW w:w="1455" w:type="pct"/>
            <w:vMerge/>
          </w:tcPr>
          <w:p w14:paraId="5B0B17D3" w14:textId="77777777" w:rsidR="000D07EA" w:rsidRDefault="000D07EA">
            <w:pPr>
              <w:pStyle w:val="BodyText"/>
              <w:spacing w:before="100" w:after="100"/>
              <w:rPr>
                <w:b/>
              </w:rPr>
            </w:pPr>
          </w:p>
        </w:tc>
        <w:tc>
          <w:tcPr>
            <w:tcW w:w="3545" w:type="pct"/>
            <w:gridSpan w:val="3"/>
          </w:tcPr>
          <w:p w14:paraId="539DE89F" w14:textId="77777777" w:rsidR="000D07EA" w:rsidRDefault="00BE7C89">
            <w:pPr>
              <w:pStyle w:val="BodyText"/>
              <w:spacing w:before="100" w:after="100"/>
              <w:jc w:val="center"/>
            </w:pPr>
            <w:r>
              <w:t>OR</w:t>
            </w:r>
          </w:p>
        </w:tc>
      </w:tr>
      <w:tr w:rsidR="000D07EA" w14:paraId="72B10B4F" w14:textId="77777777">
        <w:trPr>
          <w:cantSplit/>
        </w:trPr>
        <w:tc>
          <w:tcPr>
            <w:tcW w:w="1455" w:type="pct"/>
            <w:vMerge/>
          </w:tcPr>
          <w:p w14:paraId="3C7645F9" w14:textId="77777777" w:rsidR="000D07EA" w:rsidRDefault="000D07EA">
            <w:pPr>
              <w:pStyle w:val="BodyText"/>
              <w:spacing w:before="100" w:after="100"/>
              <w:rPr>
                <w:b/>
              </w:rPr>
            </w:pPr>
          </w:p>
        </w:tc>
        <w:tc>
          <w:tcPr>
            <w:tcW w:w="1182" w:type="pct"/>
          </w:tcPr>
          <w:p w14:paraId="20672652" w14:textId="77777777" w:rsidR="000D07EA" w:rsidRDefault="00BE7C89">
            <w:pPr>
              <w:pStyle w:val="BodyText"/>
              <w:spacing w:before="100" w:after="100"/>
              <w:jc w:val="center"/>
            </w:pPr>
            <w:r>
              <w:t>Unlimited BlackBerry POP3 Email and Browsing through the BlackBerry Browser plus 500MB of Mobile Internet Data</w:t>
            </w:r>
          </w:p>
        </w:tc>
        <w:tc>
          <w:tcPr>
            <w:tcW w:w="1182" w:type="pct"/>
          </w:tcPr>
          <w:p w14:paraId="3035C87E" w14:textId="77777777" w:rsidR="000D07EA" w:rsidRDefault="00BE7C89">
            <w:pPr>
              <w:pStyle w:val="BodyText"/>
              <w:spacing w:before="100" w:after="100"/>
              <w:jc w:val="center"/>
            </w:pPr>
            <w:r>
              <w:t>Unlimited BlackBerry POP3 Email and Browsing through the BlackBerry Browser plus 1GB of Mobile Internet Data</w:t>
            </w:r>
          </w:p>
        </w:tc>
        <w:tc>
          <w:tcPr>
            <w:tcW w:w="1182" w:type="pct"/>
          </w:tcPr>
          <w:p w14:paraId="1A59662A" w14:textId="77777777" w:rsidR="000D07EA" w:rsidRDefault="00BE7C89">
            <w:pPr>
              <w:pStyle w:val="BodyText"/>
              <w:spacing w:before="100" w:after="100"/>
              <w:jc w:val="center"/>
            </w:pPr>
            <w:r>
              <w:t>Unlimited BlackBerry POP3 Email and Browsing through the BlackBerry Browser plus 2GB of Mobile Internet Data</w:t>
            </w:r>
          </w:p>
        </w:tc>
      </w:tr>
      <w:tr w:rsidR="000D07EA" w14:paraId="75E2474A" w14:textId="77777777">
        <w:tc>
          <w:tcPr>
            <w:tcW w:w="1455" w:type="pct"/>
          </w:tcPr>
          <w:p w14:paraId="0D0BBC6E" w14:textId="77777777" w:rsidR="000D07EA" w:rsidRDefault="00BE7C89">
            <w:pPr>
              <w:pStyle w:val="BodyText"/>
              <w:spacing w:before="100" w:after="100"/>
              <w:rPr>
                <w:b/>
              </w:rPr>
            </w:pPr>
            <w:r>
              <w:rPr>
                <w:b/>
              </w:rPr>
              <w:lastRenderedPageBreak/>
              <w:t>Other call charges (for example international calls, calls to mobiles)</w:t>
            </w:r>
          </w:p>
        </w:tc>
        <w:tc>
          <w:tcPr>
            <w:tcW w:w="3545" w:type="pct"/>
            <w:gridSpan w:val="3"/>
          </w:tcPr>
          <w:p w14:paraId="16487CA3" w14:textId="77777777" w:rsidR="000D07EA" w:rsidRDefault="00BE7C89">
            <w:pPr>
              <w:pStyle w:val="BodyText"/>
              <w:spacing w:before="100" w:after="100"/>
              <w:jc w:val="center"/>
            </w:pPr>
            <w:r>
              <w:t xml:space="preserve">See section 1 of this </w:t>
            </w:r>
            <w:r>
              <w:rPr>
                <w:i/>
                <w:iCs/>
              </w:rPr>
              <w:t>standard pricing table</w:t>
            </w:r>
            <w:r>
              <w:t xml:space="preserve"> and </w:t>
            </w:r>
            <w:hyperlink r:id="rId340" w:history="1">
              <w:r>
                <w:rPr>
                  <w:rStyle w:val="Hyperlink"/>
                  <w:i/>
                </w:rPr>
                <w:t>Appendix Y</w:t>
              </w:r>
            </w:hyperlink>
            <w:r>
              <w:t xml:space="preserve"> (Value Added Service Features)</w:t>
            </w:r>
          </w:p>
        </w:tc>
      </w:tr>
      <w:tr w:rsidR="000D07EA" w14:paraId="0B3B7AEA" w14:textId="77777777">
        <w:tc>
          <w:tcPr>
            <w:tcW w:w="1455" w:type="pct"/>
          </w:tcPr>
          <w:p w14:paraId="04D5C611" w14:textId="77777777" w:rsidR="000D07EA" w:rsidRDefault="00BE7C89">
            <w:pPr>
              <w:pStyle w:val="BodyText"/>
              <w:spacing w:before="100" w:after="100"/>
              <w:rPr>
                <w:b/>
              </w:rPr>
            </w:pPr>
            <w:r>
              <w:rPr>
                <w:b/>
              </w:rPr>
              <w:t xml:space="preserve">Other conditions </w:t>
            </w:r>
            <w:r>
              <w:t xml:space="preserve">(for details see Appendix </w:t>
            </w:r>
            <w:r w:rsidR="00DD7FB0">
              <w:t>S</w:t>
            </w:r>
            <w:r>
              <w:t>)</w:t>
            </w:r>
          </w:p>
        </w:tc>
        <w:tc>
          <w:tcPr>
            <w:tcW w:w="3545" w:type="pct"/>
            <w:gridSpan w:val="3"/>
          </w:tcPr>
          <w:p w14:paraId="181C281C" w14:textId="77777777" w:rsidR="000D07EA" w:rsidRDefault="00BE7C89">
            <w:pPr>
              <w:pStyle w:val="BodyText"/>
              <w:spacing w:before="100" w:after="100"/>
              <w:jc w:val="center"/>
            </w:pPr>
            <w:r>
              <w:t>Fair Go Policy (</w:t>
            </w:r>
            <w:hyperlink r:id="rId341" w:history="1">
              <w:r>
                <w:rPr>
                  <w:rStyle w:val="Hyperlink"/>
                  <w:i/>
                </w:rPr>
                <w:t>Appendix S</w:t>
              </w:r>
            </w:hyperlink>
            <w:r>
              <w:t>) applies to 'excessive use,' 'unreasonable use,' and 'unacceptable use'.</w:t>
            </w:r>
          </w:p>
        </w:tc>
      </w:tr>
      <w:tr w:rsidR="000D07EA" w14:paraId="236EA220" w14:textId="77777777">
        <w:tc>
          <w:tcPr>
            <w:tcW w:w="1455" w:type="pct"/>
          </w:tcPr>
          <w:p w14:paraId="03E71417" w14:textId="77777777" w:rsidR="000D07EA" w:rsidRDefault="00BE7C89">
            <w:pPr>
              <w:pStyle w:val="BodyText"/>
              <w:spacing w:before="100" w:after="100"/>
              <w:rPr>
                <w:b/>
              </w:rPr>
            </w:pPr>
            <w:r>
              <w:rPr>
                <w:b/>
              </w:rPr>
              <w:t>Available on Non Fixed Contract (Month to Month)</w:t>
            </w:r>
          </w:p>
        </w:tc>
        <w:tc>
          <w:tcPr>
            <w:tcW w:w="1182" w:type="pct"/>
          </w:tcPr>
          <w:p w14:paraId="52FA68DB" w14:textId="77777777" w:rsidR="000D07EA" w:rsidRDefault="00BE7C89">
            <w:pPr>
              <w:pStyle w:val="BodyText"/>
              <w:spacing w:before="100" w:after="100"/>
              <w:jc w:val="center"/>
            </w:pPr>
            <w:r>
              <w:t>No</w:t>
            </w:r>
          </w:p>
        </w:tc>
        <w:tc>
          <w:tcPr>
            <w:tcW w:w="1182" w:type="pct"/>
          </w:tcPr>
          <w:p w14:paraId="6B9583BB" w14:textId="77777777" w:rsidR="000D07EA" w:rsidRDefault="00BE7C89">
            <w:pPr>
              <w:pStyle w:val="BodyText"/>
              <w:spacing w:before="100" w:after="100"/>
              <w:jc w:val="center"/>
            </w:pPr>
            <w:r>
              <w:t>No</w:t>
            </w:r>
          </w:p>
        </w:tc>
        <w:tc>
          <w:tcPr>
            <w:tcW w:w="1182" w:type="pct"/>
          </w:tcPr>
          <w:p w14:paraId="61EB8588" w14:textId="77777777" w:rsidR="000D07EA" w:rsidRDefault="00BE7C89">
            <w:pPr>
              <w:pStyle w:val="BodyText"/>
              <w:spacing w:before="100" w:after="100"/>
              <w:jc w:val="center"/>
            </w:pPr>
            <w:r>
              <w:t>No</w:t>
            </w:r>
          </w:p>
        </w:tc>
      </w:tr>
      <w:tr w:rsidR="000D07EA" w14:paraId="40286003" w14:textId="77777777">
        <w:tc>
          <w:tcPr>
            <w:tcW w:w="1455" w:type="pct"/>
          </w:tcPr>
          <w:p w14:paraId="664E78CB" w14:textId="77777777" w:rsidR="000D07EA" w:rsidRDefault="00BE7C89">
            <w:pPr>
              <w:pStyle w:val="BodyText"/>
              <w:spacing w:before="100" w:after="100"/>
              <w:rPr>
                <w:b/>
              </w:rPr>
            </w:pPr>
            <w:r>
              <w:rPr>
                <w:b/>
              </w:rPr>
              <w:t>Available on a Fixed Term Contract (12 or 24 Months)</w:t>
            </w:r>
          </w:p>
        </w:tc>
        <w:tc>
          <w:tcPr>
            <w:tcW w:w="1182" w:type="pct"/>
          </w:tcPr>
          <w:p w14:paraId="6B7CF569" w14:textId="77777777" w:rsidR="000D07EA" w:rsidRDefault="00BE7C89">
            <w:pPr>
              <w:pStyle w:val="BodyText"/>
              <w:spacing w:before="100" w:after="100"/>
              <w:jc w:val="center"/>
            </w:pPr>
            <w:r>
              <w:t>12 Month only</w:t>
            </w:r>
          </w:p>
        </w:tc>
        <w:tc>
          <w:tcPr>
            <w:tcW w:w="1182" w:type="pct"/>
          </w:tcPr>
          <w:p w14:paraId="33DFAC0A" w14:textId="77777777" w:rsidR="000D07EA" w:rsidRDefault="00BE7C89">
            <w:pPr>
              <w:pStyle w:val="BodyText"/>
              <w:spacing w:before="100" w:after="100"/>
              <w:jc w:val="center"/>
            </w:pPr>
            <w:r>
              <w:t>12 Month only</w:t>
            </w:r>
          </w:p>
        </w:tc>
        <w:tc>
          <w:tcPr>
            <w:tcW w:w="1182" w:type="pct"/>
          </w:tcPr>
          <w:p w14:paraId="26D7CEE1" w14:textId="77777777" w:rsidR="000D07EA" w:rsidRDefault="00BE7C89">
            <w:pPr>
              <w:pStyle w:val="BodyText"/>
              <w:spacing w:before="100" w:after="100"/>
              <w:jc w:val="center"/>
            </w:pPr>
            <w:r>
              <w:t>12 Month only</w:t>
            </w:r>
          </w:p>
        </w:tc>
      </w:tr>
      <w:tr w:rsidR="000D07EA" w14:paraId="59142378" w14:textId="77777777">
        <w:tc>
          <w:tcPr>
            <w:tcW w:w="1455" w:type="pct"/>
          </w:tcPr>
          <w:p w14:paraId="67F8177F" w14:textId="77777777" w:rsidR="000D07EA" w:rsidRDefault="00BE7C89">
            <w:pPr>
              <w:pStyle w:val="BodyText"/>
              <w:spacing w:before="100" w:after="100"/>
              <w:rPr>
                <w:b/>
              </w:rPr>
            </w:pPr>
            <w:r>
              <w:rPr>
                <w:b/>
              </w:rPr>
              <w:t xml:space="preserve">Minimum Total Cost over a 12 month </w:t>
            </w:r>
            <w:r>
              <w:rPr>
                <w:b/>
                <w:i/>
                <w:iCs/>
              </w:rPr>
              <w:t>minimum term (</w:t>
            </w:r>
            <w:r>
              <w:rPr>
                <w:b/>
              </w:rPr>
              <w:t>amount excludes any handset repayments if any)</w:t>
            </w:r>
          </w:p>
        </w:tc>
        <w:tc>
          <w:tcPr>
            <w:tcW w:w="1182" w:type="pct"/>
          </w:tcPr>
          <w:p w14:paraId="33AA5D1F" w14:textId="77777777" w:rsidR="000D07EA" w:rsidRDefault="00BE7C89">
            <w:pPr>
              <w:pStyle w:val="BodyText"/>
              <w:spacing w:before="100" w:after="100"/>
              <w:jc w:val="center"/>
            </w:pPr>
            <w:r>
              <w:t>$588</w:t>
            </w:r>
          </w:p>
        </w:tc>
        <w:tc>
          <w:tcPr>
            <w:tcW w:w="1182" w:type="pct"/>
          </w:tcPr>
          <w:p w14:paraId="29C33D03" w14:textId="77777777" w:rsidR="000D07EA" w:rsidRDefault="00BE7C89">
            <w:pPr>
              <w:pStyle w:val="BodyText"/>
              <w:spacing w:before="100" w:after="100"/>
              <w:jc w:val="center"/>
            </w:pPr>
            <w:r>
              <w:t>$1068 or $828 with BYO Bonus</w:t>
            </w:r>
          </w:p>
        </w:tc>
        <w:tc>
          <w:tcPr>
            <w:tcW w:w="1182" w:type="pct"/>
          </w:tcPr>
          <w:p w14:paraId="42087242" w14:textId="77777777" w:rsidR="000D07EA" w:rsidRDefault="00BE7C89">
            <w:pPr>
              <w:pStyle w:val="BodyText"/>
              <w:spacing w:before="100" w:after="100"/>
              <w:jc w:val="center"/>
            </w:pPr>
            <w:r>
              <w:t>$1188 or $948 with BYO Bonus</w:t>
            </w:r>
          </w:p>
        </w:tc>
      </w:tr>
    </w:tbl>
    <w:p w14:paraId="74A19618" w14:textId="77777777" w:rsidR="000D07EA" w:rsidRDefault="000D07EA">
      <w:pPr>
        <w:pStyle w:val="BodyText"/>
      </w:pPr>
    </w:p>
    <w:p w14:paraId="76081F4F" w14:textId="77777777" w:rsidR="000D07EA" w:rsidRDefault="00BE7C89">
      <w:pPr>
        <w:pStyle w:val="Heading6"/>
        <w:ind w:left="0" w:firstLine="0"/>
      </w:pPr>
      <w:r>
        <w:t xml:space="preserve">What happens if the service is cancelled early? </w:t>
      </w:r>
    </w:p>
    <w:p w14:paraId="30A61EFF" w14:textId="77777777" w:rsidR="000D07EA" w:rsidRDefault="00BE7C89">
      <w:pPr>
        <w:pStyle w:val="Heading7"/>
      </w:pPr>
      <w:bookmarkStart w:id="506" w:name="_Ref461551776"/>
      <w:r>
        <w:t xml:space="preserve">If </w:t>
      </w:r>
      <w:r>
        <w:rPr>
          <w:i/>
        </w:rPr>
        <w:t>the service is cancelled</w:t>
      </w:r>
      <w:r>
        <w:t xml:space="preserve"> before the expiry of the minimum term, you will be required to pay </w:t>
      </w:r>
      <w:r>
        <w:rPr>
          <w:i/>
        </w:rPr>
        <w:t>us</w:t>
      </w:r>
      <w:r>
        <w:t>:</w:t>
      </w:r>
      <w:bookmarkEnd w:id="506"/>
    </w:p>
    <w:p w14:paraId="6FFFFBDE" w14:textId="77777777" w:rsidR="000D07EA" w:rsidRDefault="00BE7C89">
      <w:pPr>
        <w:pStyle w:val="Heading8"/>
      </w:pPr>
      <w:bookmarkStart w:id="507" w:name="_Ref461551782"/>
      <w:r>
        <w:t xml:space="preserve">any usage charges incurred up to, and including, the </w:t>
      </w:r>
      <w:r>
        <w:rPr>
          <w:i/>
        </w:rPr>
        <w:t>cancellation date</w:t>
      </w:r>
      <w:r>
        <w:t>; plus</w:t>
      </w:r>
      <w:bookmarkEnd w:id="507"/>
      <w:r>
        <w:t xml:space="preserve"> </w:t>
      </w:r>
    </w:p>
    <w:p w14:paraId="4A6E6EAE" w14:textId="77777777" w:rsidR="000D07EA" w:rsidRDefault="00BE7C89">
      <w:pPr>
        <w:pStyle w:val="Heading8"/>
      </w:pPr>
      <w:r>
        <w:t xml:space="preserve">the </w:t>
      </w:r>
      <w:r>
        <w:rPr>
          <w:i/>
        </w:rPr>
        <w:t>cancellation fee</w:t>
      </w:r>
      <w:r>
        <w:t xml:space="preserve"> set in paragraph </w:t>
      </w:r>
      <w:r>
        <w:fldChar w:fldCharType="begin"/>
      </w:r>
      <w:r>
        <w:instrText xml:space="preserve"> REF _Ref461551718 \n \h </w:instrText>
      </w:r>
      <w:r>
        <w:fldChar w:fldCharType="separate"/>
      </w:r>
      <w:r w:rsidR="0004083A">
        <w:t>(b)</w:t>
      </w:r>
      <w:r>
        <w:fldChar w:fldCharType="end"/>
      </w:r>
      <w:r>
        <w:t xml:space="preserve"> below (unless under clause 2A of the SMB terms, you are entitled to </w:t>
      </w:r>
      <w:r>
        <w:rPr>
          <w:i/>
        </w:rPr>
        <w:t>cancel the service</w:t>
      </w:r>
      <w:r>
        <w:t xml:space="preserve"> without incurring a </w:t>
      </w:r>
      <w:r>
        <w:rPr>
          <w:i/>
        </w:rPr>
        <w:t>cancellation fee</w:t>
      </w:r>
      <w:r>
        <w:t xml:space="preserve">); plus </w:t>
      </w:r>
    </w:p>
    <w:p w14:paraId="0998ECF2" w14:textId="77777777" w:rsidR="000D07EA" w:rsidRDefault="00BE7C89">
      <w:pPr>
        <w:pStyle w:val="Heading8"/>
      </w:pPr>
      <w:bookmarkStart w:id="508" w:name="_Ref461551793"/>
      <w:r>
        <w:t xml:space="preserve">the sum of unpaid </w:t>
      </w:r>
      <w:r>
        <w:rPr>
          <w:i/>
        </w:rPr>
        <w:t>equipment</w:t>
      </w:r>
      <w:r>
        <w:t xml:space="preserve"> charges, if any, owing on your </w:t>
      </w:r>
      <w:r>
        <w:rPr>
          <w:i/>
        </w:rPr>
        <w:t xml:space="preserve">mobile phone </w:t>
      </w:r>
      <w:r>
        <w:t xml:space="preserve">under the </w:t>
      </w:r>
      <w:r>
        <w:rPr>
          <w:i/>
        </w:rPr>
        <w:t>mobile equipment payment plan</w:t>
      </w:r>
      <w:r>
        <w:t xml:space="preserve"> (if any).</w:t>
      </w:r>
      <w:bookmarkEnd w:id="508"/>
    </w:p>
    <w:p w14:paraId="4AC6AA53" w14:textId="77777777" w:rsidR="000D07EA" w:rsidRDefault="00BE7C89">
      <w:pPr>
        <w:pStyle w:val="Heading7"/>
      </w:pPr>
      <w:bookmarkStart w:id="509" w:name="_Ref461551718"/>
      <w:r>
        <w:t xml:space="preserve">The </w:t>
      </w:r>
      <w:r>
        <w:rPr>
          <w:i/>
        </w:rPr>
        <w:t>cancellation fee</w:t>
      </w:r>
      <w:r>
        <w:t xml:space="preserve"> for a 12 Month Contract is calculated as a fixed amount if the service is </w:t>
      </w:r>
      <w:r>
        <w:rPr>
          <w:i/>
        </w:rPr>
        <w:t>cancelled</w:t>
      </w:r>
      <w:r>
        <w:t xml:space="preserve"> during the first 6 months of the </w:t>
      </w:r>
      <w:r>
        <w:rPr>
          <w:i/>
        </w:rPr>
        <w:t>minimum term</w:t>
      </w:r>
      <w:r>
        <w:t xml:space="preserve"> and then a pro-rata reduction of that fee (indicated as a percentage in brackets in the first column of the table below) if the </w:t>
      </w:r>
      <w:r>
        <w:rPr>
          <w:i/>
        </w:rPr>
        <w:t>service</w:t>
      </w:r>
      <w:r>
        <w:t xml:space="preserve"> is </w:t>
      </w:r>
      <w:r>
        <w:rPr>
          <w:i/>
        </w:rPr>
        <w:t>cancelled</w:t>
      </w:r>
      <w:r>
        <w:t xml:space="preserve"> during the last six months of the </w:t>
      </w:r>
      <w:r>
        <w:rPr>
          <w:i/>
        </w:rPr>
        <w:t>minimum term</w:t>
      </w:r>
      <w:r>
        <w:t>.</w:t>
      </w:r>
      <w:bookmarkEnd w:id="509"/>
    </w:p>
    <w:tbl>
      <w:tblPr>
        <w:tblW w:w="96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797"/>
        <w:gridCol w:w="2283"/>
        <w:gridCol w:w="2284"/>
        <w:gridCol w:w="2284"/>
      </w:tblGrid>
      <w:tr w:rsidR="000D07EA" w14:paraId="048EF406" w14:textId="77777777">
        <w:tc>
          <w:tcPr>
            <w:tcW w:w="2797" w:type="dxa"/>
            <w:vAlign w:val="bottom"/>
          </w:tcPr>
          <w:p w14:paraId="428104A6" w14:textId="77777777" w:rsidR="000D07EA" w:rsidRDefault="00BE7C89">
            <w:pPr>
              <w:pStyle w:val="BodyText"/>
              <w:keepNext/>
              <w:spacing w:before="100" w:after="100"/>
              <w:rPr>
                <w:b/>
              </w:rPr>
            </w:pPr>
            <w:r>
              <w:rPr>
                <w:b/>
              </w:rPr>
              <w:t xml:space="preserve">When the </w:t>
            </w:r>
            <w:r>
              <w:rPr>
                <w:b/>
                <w:i/>
              </w:rPr>
              <w:t>service</w:t>
            </w:r>
            <w:r>
              <w:rPr>
                <w:b/>
              </w:rPr>
              <w:t xml:space="preserve"> is </w:t>
            </w:r>
            <w:r>
              <w:rPr>
                <w:b/>
                <w:i/>
              </w:rPr>
              <w:t>cancelled</w:t>
            </w:r>
          </w:p>
        </w:tc>
        <w:tc>
          <w:tcPr>
            <w:tcW w:w="6851" w:type="dxa"/>
            <w:gridSpan w:val="3"/>
            <w:vAlign w:val="center"/>
          </w:tcPr>
          <w:p w14:paraId="6A9C2D9E" w14:textId="77777777" w:rsidR="000D07EA" w:rsidRDefault="00BE7C89">
            <w:pPr>
              <w:pStyle w:val="BodyText"/>
              <w:keepNext/>
              <w:spacing w:before="100" w:after="100"/>
              <w:jc w:val="center"/>
              <w:rPr>
                <w:b/>
                <w:bCs/>
                <w:i/>
                <w:lang w:eastAsia="ko-KR"/>
              </w:rPr>
            </w:pPr>
            <w:r>
              <w:rPr>
                <w:b/>
                <w:i/>
              </w:rPr>
              <w:t>Cancellation Fee</w:t>
            </w:r>
          </w:p>
        </w:tc>
      </w:tr>
      <w:tr w:rsidR="000D07EA" w14:paraId="007FC2AC" w14:textId="77777777">
        <w:tc>
          <w:tcPr>
            <w:tcW w:w="2797" w:type="dxa"/>
            <w:vAlign w:val="center"/>
          </w:tcPr>
          <w:p w14:paraId="7B3433B0" w14:textId="77777777" w:rsidR="000D07EA" w:rsidRDefault="000D07EA">
            <w:pPr>
              <w:pStyle w:val="BodyText"/>
              <w:keepNext/>
              <w:spacing w:before="100" w:after="100"/>
              <w:rPr>
                <w:b/>
              </w:rPr>
            </w:pPr>
          </w:p>
        </w:tc>
        <w:tc>
          <w:tcPr>
            <w:tcW w:w="2283" w:type="dxa"/>
            <w:vAlign w:val="center"/>
          </w:tcPr>
          <w:p w14:paraId="1CAFD8E8" w14:textId="77777777" w:rsidR="000D07EA" w:rsidRDefault="00BE7C89">
            <w:pPr>
              <w:pStyle w:val="BodyText"/>
              <w:keepNext/>
              <w:spacing w:before="100" w:after="100"/>
              <w:rPr>
                <w:b/>
              </w:rPr>
            </w:pPr>
            <w:r>
              <w:rPr>
                <w:b/>
                <w:bCs/>
                <w:lang w:eastAsia="en-AU"/>
              </w:rPr>
              <w:t xml:space="preserve">$49 Business Complete BYO </w:t>
            </w:r>
          </w:p>
        </w:tc>
        <w:tc>
          <w:tcPr>
            <w:tcW w:w="2284" w:type="dxa"/>
            <w:vAlign w:val="center"/>
          </w:tcPr>
          <w:p w14:paraId="2120FA66" w14:textId="77777777" w:rsidR="000D07EA" w:rsidRDefault="00BE7C89">
            <w:pPr>
              <w:pStyle w:val="BodyText"/>
              <w:keepNext/>
              <w:spacing w:before="100" w:after="100"/>
              <w:rPr>
                <w:b/>
              </w:rPr>
            </w:pPr>
            <w:r>
              <w:rPr>
                <w:b/>
                <w:bCs/>
                <w:lang w:eastAsia="en-AU"/>
              </w:rPr>
              <w:t xml:space="preserve">$89 Business Timeless BYO </w:t>
            </w:r>
          </w:p>
        </w:tc>
        <w:tc>
          <w:tcPr>
            <w:tcW w:w="2284" w:type="dxa"/>
            <w:vAlign w:val="center"/>
          </w:tcPr>
          <w:p w14:paraId="0932E4CA" w14:textId="77777777" w:rsidR="000D07EA" w:rsidRDefault="00BE7C89">
            <w:pPr>
              <w:pStyle w:val="BodyText"/>
              <w:keepNext/>
              <w:spacing w:before="100" w:after="100"/>
              <w:rPr>
                <w:b/>
              </w:rPr>
            </w:pPr>
            <w:r>
              <w:rPr>
                <w:b/>
                <w:bCs/>
                <w:lang w:eastAsia="en-AU"/>
              </w:rPr>
              <w:t>$89 Business Timeless BYO</w:t>
            </w:r>
          </w:p>
        </w:tc>
      </w:tr>
      <w:tr w:rsidR="000D07EA" w14:paraId="3967EAAC" w14:textId="77777777">
        <w:tc>
          <w:tcPr>
            <w:tcW w:w="2797" w:type="dxa"/>
            <w:vAlign w:val="center"/>
          </w:tcPr>
          <w:p w14:paraId="405BF72F" w14:textId="77777777" w:rsidR="000D07EA" w:rsidRDefault="00BE7C89">
            <w:pPr>
              <w:pStyle w:val="BodyText"/>
              <w:spacing w:before="100" w:after="100"/>
              <w:rPr>
                <w:b/>
              </w:rPr>
            </w:pPr>
            <w:r>
              <w:rPr>
                <w:b/>
              </w:rPr>
              <w:t xml:space="preserve">During the first 6 months – Initial </w:t>
            </w:r>
            <w:r>
              <w:rPr>
                <w:b/>
                <w:i/>
              </w:rPr>
              <w:t>cancellation fee</w:t>
            </w:r>
          </w:p>
        </w:tc>
        <w:tc>
          <w:tcPr>
            <w:tcW w:w="2283" w:type="dxa"/>
            <w:vAlign w:val="center"/>
          </w:tcPr>
          <w:p w14:paraId="2326907B" w14:textId="77777777" w:rsidR="000D07EA" w:rsidRDefault="00BE7C89">
            <w:pPr>
              <w:pStyle w:val="BodyText"/>
              <w:spacing w:before="100" w:after="100"/>
            </w:pPr>
            <w:r>
              <w:t xml:space="preserve"> $ 170.00 </w:t>
            </w:r>
          </w:p>
        </w:tc>
        <w:tc>
          <w:tcPr>
            <w:tcW w:w="2284" w:type="dxa"/>
            <w:vAlign w:val="center"/>
          </w:tcPr>
          <w:p w14:paraId="19818BCA" w14:textId="77777777" w:rsidR="000D07EA" w:rsidRDefault="00BE7C89">
            <w:pPr>
              <w:pStyle w:val="BodyText"/>
              <w:spacing w:before="100" w:after="100"/>
            </w:pPr>
            <w:r>
              <w:t xml:space="preserve"> $ 190.00 </w:t>
            </w:r>
          </w:p>
        </w:tc>
        <w:tc>
          <w:tcPr>
            <w:tcW w:w="2284" w:type="dxa"/>
            <w:vAlign w:val="center"/>
          </w:tcPr>
          <w:p w14:paraId="19DC7457" w14:textId="77777777" w:rsidR="000D07EA" w:rsidRDefault="00BE7C89">
            <w:pPr>
              <w:pStyle w:val="BodyText"/>
              <w:spacing w:before="100" w:after="100"/>
            </w:pPr>
            <w:r>
              <w:t xml:space="preserve"> $ 200.00 </w:t>
            </w:r>
          </w:p>
        </w:tc>
      </w:tr>
      <w:tr w:rsidR="000D07EA" w14:paraId="503A3578" w14:textId="77777777">
        <w:tc>
          <w:tcPr>
            <w:tcW w:w="2797" w:type="dxa"/>
            <w:vAlign w:val="center"/>
          </w:tcPr>
          <w:p w14:paraId="62A2A3BF" w14:textId="77777777" w:rsidR="000D07EA" w:rsidRDefault="00BE7C89">
            <w:pPr>
              <w:pStyle w:val="BodyText"/>
              <w:spacing w:before="100" w:after="100"/>
              <w:rPr>
                <w:b/>
              </w:rPr>
            </w:pPr>
            <w:r>
              <w:rPr>
                <w:b/>
              </w:rPr>
              <w:t xml:space="preserve">Months 7 - 9 (70% of Initial </w:t>
            </w:r>
            <w:r>
              <w:rPr>
                <w:b/>
                <w:i/>
              </w:rPr>
              <w:t>cancellation fee</w:t>
            </w:r>
            <w:r>
              <w:rPr>
                <w:b/>
              </w:rPr>
              <w:t>)</w:t>
            </w:r>
          </w:p>
        </w:tc>
        <w:tc>
          <w:tcPr>
            <w:tcW w:w="2283" w:type="dxa"/>
            <w:vAlign w:val="center"/>
          </w:tcPr>
          <w:p w14:paraId="1470B95F" w14:textId="77777777" w:rsidR="000D07EA" w:rsidRDefault="00BE7C89">
            <w:pPr>
              <w:pStyle w:val="BodyText"/>
              <w:spacing w:before="100" w:after="100"/>
            </w:pPr>
            <w:r>
              <w:t xml:space="preserve"> $ 119.00 </w:t>
            </w:r>
          </w:p>
        </w:tc>
        <w:tc>
          <w:tcPr>
            <w:tcW w:w="2284" w:type="dxa"/>
            <w:vAlign w:val="center"/>
          </w:tcPr>
          <w:p w14:paraId="438422F7" w14:textId="77777777" w:rsidR="000D07EA" w:rsidRDefault="00BE7C89">
            <w:pPr>
              <w:pStyle w:val="BodyText"/>
              <w:spacing w:before="100" w:after="100"/>
            </w:pPr>
            <w:r>
              <w:t xml:space="preserve"> $ 133.00 </w:t>
            </w:r>
          </w:p>
        </w:tc>
        <w:tc>
          <w:tcPr>
            <w:tcW w:w="2284" w:type="dxa"/>
            <w:vAlign w:val="center"/>
          </w:tcPr>
          <w:p w14:paraId="3F3E3313" w14:textId="77777777" w:rsidR="000D07EA" w:rsidRDefault="00BE7C89">
            <w:pPr>
              <w:pStyle w:val="BodyText"/>
              <w:spacing w:before="100" w:after="100"/>
            </w:pPr>
            <w:r>
              <w:t xml:space="preserve"> $ 140.00 </w:t>
            </w:r>
          </w:p>
        </w:tc>
      </w:tr>
      <w:tr w:rsidR="000D07EA" w14:paraId="440A0C3C" w14:textId="77777777">
        <w:tc>
          <w:tcPr>
            <w:tcW w:w="2797" w:type="dxa"/>
            <w:vAlign w:val="center"/>
          </w:tcPr>
          <w:p w14:paraId="64222711" w14:textId="77777777" w:rsidR="000D07EA" w:rsidRDefault="00BE7C89">
            <w:pPr>
              <w:pStyle w:val="BodyText"/>
              <w:spacing w:before="100" w:after="100"/>
              <w:rPr>
                <w:b/>
              </w:rPr>
            </w:pPr>
            <w:r>
              <w:rPr>
                <w:b/>
              </w:rPr>
              <w:t xml:space="preserve">Months 10 – 12 (40% of the Initial </w:t>
            </w:r>
            <w:r>
              <w:rPr>
                <w:b/>
                <w:i/>
              </w:rPr>
              <w:t>cancellation fee</w:t>
            </w:r>
            <w:r>
              <w:rPr>
                <w:b/>
              </w:rPr>
              <w:t>)</w:t>
            </w:r>
          </w:p>
        </w:tc>
        <w:tc>
          <w:tcPr>
            <w:tcW w:w="2283" w:type="dxa"/>
            <w:vAlign w:val="center"/>
          </w:tcPr>
          <w:p w14:paraId="0D41954A" w14:textId="77777777" w:rsidR="000D07EA" w:rsidRDefault="00BE7C89">
            <w:pPr>
              <w:pStyle w:val="BodyText"/>
              <w:spacing w:before="100" w:after="100"/>
            </w:pPr>
            <w:r>
              <w:t xml:space="preserve"> $ 68.00 </w:t>
            </w:r>
          </w:p>
        </w:tc>
        <w:tc>
          <w:tcPr>
            <w:tcW w:w="2284" w:type="dxa"/>
            <w:vAlign w:val="center"/>
          </w:tcPr>
          <w:p w14:paraId="2808F0C1" w14:textId="77777777" w:rsidR="000D07EA" w:rsidRDefault="00BE7C89">
            <w:pPr>
              <w:pStyle w:val="BodyText"/>
              <w:spacing w:before="100" w:after="100"/>
            </w:pPr>
            <w:r>
              <w:t xml:space="preserve"> $ 76.00 </w:t>
            </w:r>
          </w:p>
        </w:tc>
        <w:tc>
          <w:tcPr>
            <w:tcW w:w="2284" w:type="dxa"/>
            <w:vAlign w:val="center"/>
          </w:tcPr>
          <w:p w14:paraId="7A08F0C7" w14:textId="77777777" w:rsidR="000D07EA" w:rsidRDefault="00BE7C89">
            <w:pPr>
              <w:pStyle w:val="BodyText"/>
              <w:spacing w:before="100" w:after="100"/>
            </w:pPr>
            <w:r>
              <w:t xml:space="preserve"> $ 80.00 </w:t>
            </w:r>
          </w:p>
        </w:tc>
      </w:tr>
    </w:tbl>
    <w:p w14:paraId="50844312" w14:textId="77777777" w:rsidR="000D07EA" w:rsidRDefault="000D07EA">
      <w:pPr>
        <w:pStyle w:val="BodyText"/>
        <w:rPr>
          <w:b/>
        </w:rPr>
      </w:pPr>
    </w:p>
    <w:p w14:paraId="7D0DEB3E" w14:textId="77777777" w:rsidR="000D07EA" w:rsidRDefault="00BE7C89">
      <w:pPr>
        <w:pStyle w:val="Heading7"/>
      </w:pPr>
      <w:r>
        <w:t xml:space="preserve">If you recontract </w:t>
      </w:r>
      <w:r>
        <w:rPr>
          <w:i/>
        </w:rPr>
        <w:t>your service</w:t>
      </w:r>
      <w:r>
        <w:t xml:space="preserve"> from a Business Complete BYO or Business Timeless BYO plan to an Optus digital mobile plan which includes a digital mobile handset on a 12 or 24 month term before the expiry of the </w:t>
      </w:r>
      <w:r>
        <w:rPr>
          <w:i/>
        </w:rPr>
        <w:t>minimum term</w:t>
      </w:r>
      <w:r>
        <w:t xml:space="preserve"> of </w:t>
      </w:r>
      <w:r>
        <w:rPr>
          <w:i/>
        </w:rPr>
        <w:t>your</w:t>
      </w:r>
      <w:r>
        <w:t xml:space="preserve"> Business Complete BYO or Business Timeless BYO </w:t>
      </w:r>
      <w:r>
        <w:lastRenderedPageBreak/>
        <w:t xml:space="preserve">plan, we will waive the cancellation fee set out in paragraph </w:t>
      </w:r>
      <w:r>
        <w:fldChar w:fldCharType="begin"/>
      </w:r>
      <w:r>
        <w:instrText xml:space="preserve"> REF _Ref461551718 \n \h </w:instrText>
      </w:r>
      <w:r>
        <w:fldChar w:fldCharType="separate"/>
      </w:r>
      <w:r w:rsidR="0004083A">
        <w:t>(b)</w:t>
      </w:r>
      <w:r>
        <w:fldChar w:fldCharType="end"/>
      </w:r>
      <w:r>
        <w:t xml:space="preserve"> above. </w:t>
      </w:r>
      <w:r>
        <w:rPr>
          <w:i/>
        </w:rPr>
        <w:t>You</w:t>
      </w:r>
      <w:r>
        <w:t xml:space="preserve"> will be required to pay the charges set out in paragraph </w:t>
      </w:r>
      <w:r>
        <w:fldChar w:fldCharType="begin"/>
      </w:r>
      <w:r>
        <w:instrText xml:space="preserve"> REF _Ref461551776 \n \h </w:instrText>
      </w:r>
      <w:r>
        <w:fldChar w:fldCharType="separate"/>
      </w:r>
      <w:r w:rsidR="0004083A">
        <w:t>(a)</w:t>
      </w:r>
      <w:r>
        <w:fldChar w:fldCharType="end"/>
      </w:r>
      <w:r>
        <w:fldChar w:fldCharType="begin"/>
      </w:r>
      <w:r>
        <w:instrText xml:space="preserve"> REF _Ref461551782 \n \h </w:instrText>
      </w:r>
      <w:r>
        <w:fldChar w:fldCharType="separate"/>
      </w:r>
      <w:r w:rsidR="0004083A">
        <w:t>(i)</w:t>
      </w:r>
      <w:r>
        <w:fldChar w:fldCharType="end"/>
      </w:r>
      <w:r>
        <w:t xml:space="preserve"> and </w:t>
      </w:r>
      <w:r>
        <w:fldChar w:fldCharType="begin"/>
      </w:r>
      <w:r>
        <w:instrText xml:space="preserve"> REF _Ref461551776 \n \h </w:instrText>
      </w:r>
      <w:r>
        <w:fldChar w:fldCharType="separate"/>
      </w:r>
      <w:r w:rsidR="0004083A">
        <w:t>(a)</w:t>
      </w:r>
      <w:r>
        <w:fldChar w:fldCharType="end"/>
      </w:r>
      <w:r>
        <w:fldChar w:fldCharType="begin"/>
      </w:r>
      <w:r>
        <w:instrText xml:space="preserve"> REF _Ref461551793 \n \h </w:instrText>
      </w:r>
      <w:r>
        <w:fldChar w:fldCharType="separate"/>
      </w:r>
      <w:r w:rsidR="0004083A">
        <w:t>(iii)</w:t>
      </w:r>
      <w:r>
        <w:fldChar w:fldCharType="end"/>
      </w:r>
      <w:r>
        <w:t xml:space="preserve"> above.</w:t>
      </w:r>
    </w:p>
    <w:p w14:paraId="1A06A455" w14:textId="77777777" w:rsidR="000D07EA" w:rsidRDefault="00BE7C89">
      <w:pPr>
        <w:pStyle w:val="Heading4"/>
      </w:pPr>
      <w:bookmarkStart w:id="510" w:name="_Toc62644636"/>
      <w:r>
        <w:t>Business Complete Plans Incorporating $49 Business Complete, $59 Business Complete, $79 Business Complete and also $49 Business Complete (Premium H/Set), $59 Business Complete (Premium H/Set) and $79 Business Complete (Premium H/Set) effective from 1 June 2011.</w:t>
      </w:r>
      <w:bookmarkEnd w:id="510"/>
    </w:p>
    <w:p w14:paraId="0BDB1FA2" w14:textId="77777777" w:rsidR="000D07EA" w:rsidRDefault="00BE7C89">
      <w:pPr>
        <w:pStyle w:val="Heading6"/>
        <w:ind w:left="0" w:firstLine="0"/>
      </w:pPr>
      <w:r>
        <w:t>What are the Business Complete Offers?</w:t>
      </w:r>
    </w:p>
    <w:p w14:paraId="705939A7" w14:textId="77777777" w:rsidR="000D07EA" w:rsidRDefault="00BE7C89">
      <w:pPr>
        <w:pStyle w:val="BodyText"/>
        <w:ind w:left="720"/>
      </w:pPr>
      <w:r>
        <w:t xml:space="preserve">The Business Complete offers incorporate one of the following Business Complete or Business Complete (Premium H/set) mobile plans and are a special offer under </w:t>
      </w:r>
      <w:hyperlink r:id="rId342" w:history="1">
        <w:r>
          <w:rPr>
            <w:rStyle w:val="Hyperlink"/>
            <w:i/>
          </w:rPr>
          <w:t>SMB terms</w:t>
        </w:r>
      </w:hyperlink>
      <w:r>
        <w:t xml:space="preserve"> and relevant service descriptions:</w:t>
      </w:r>
    </w:p>
    <w:p w14:paraId="2A05B787" w14:textId="77777777" w:rsidR="000D07EA" w:rsidRDefault="00BE7C89">
      <w:pPr>
        <w:pStyle w:val="Heading7"/>
      </w:pPr>
      <w:r>
        <w:t xml:space="preserve">The Optus Business Complete Offers are governed by the terms in this </w:t>
      </w:r>
      <w:r>
        <w:rPr>
          <w:i/>
        </w:rPr>
        <w:t>appendix</w:t>
      </w:r>
      <w:r>
        <w:t xml:space="preserve"> and, to the extent that the terms are not inconsistent with the terms set out in this </w:t>
      </w:r>
      <w:r>
        <w:rPr>
          <w:i/>
        </w:rPr>
        <w:t>appendix</w:t>
      </w:r>
      <w:r>
        <w:t xml:space="preserve">, by the terms of the </w:t>
      </w:r>
      <w:hyperlink r:id="rId343" w:history="1">
        <w:r>
          <w:rPr>
            <w:rStyle w:val="Hyperlink"/>
            <w:i/>
          </w:rPr>
          <w:t>SMB terms</w:t>
        </w:r>
      </w:hyperlink>
      <w:r>
        <w:t xml:space="preserve">, and each relevant </w:t>
      </w:r>
      <w:r>
        <w:rPr>
          <w:i/>
        </w:rPr>
        <w:t>service description</w:t>
      </w:r>
      <w:r>
        <w:t xml:space="preserve"> and </w:t>
      </w:r>
      <w:r>
        <w:rPr>
          <w:i/>
        </w:rPr>
        <w:t>standard pricing table</w:t>
      </w:r>
      <w:r>
        <w:t xml:space="preserve">. </w:t>
      </w:r>
    </w:p>
    <w:p w14:paraId="385E7343" w14:textId="77777777" w:rsidR="000D07EA" w:rsidRDefault="00BE7C89">
      <w:pPr>
        <w:pStyle w:val="Heading7"/>
      </w:pPr>
      <w:r>
        <w:t xml:space="preserve">To be eligible for the Optus Business Complete Offer you must have at least 1 Optus Mobile Digital Service. </w:t>
      </w:r>
    </w:p>
    <w:p w14:paraId="1A78942E" w14:textId="77777777" w:rsidR="000D07EA" w:rsidRDefault="00BE7C89">
      <w:pPr>
        <w:pStyle w:val="Heading7"/>
      </w:pPr>
      <w:r>
        <w:t>A (Premium H/set) plan indicates a rate plan where a high value handset is available. The (Premium H/set) plan and standard Business Complete plans are identical except for the cancellation fees listed in Table 4A.</w:t>
      </w:r>
    </w:p>
    <w:p w14:paraId="1ED95D17" w14:textId="77777777" w:rsidR="000D07EA" w:rsidRDefault="00BE7C89">
      <w:pPr>
        <w:pStyle w:val="Heading7"/>
      </w:pPr>
      <w:r>
        <w:t>For the following information where the term "Business Complete" is used it also refers to the (Premium H/set) plans.</w:t>
      </w:r>
    </w:p>
    <w:p w14:paraId="13D4ED8F" w14:textId="77777777" w:rsidR="000D07EA" w:rsidRDefault="00BE7C89">
      <w:pPr>
        <w:pStyle w:val="Heading6"/>
        <w:ind w:left="0" w:firstLine="0"/>
      </w:pPr>
      <w:r>
        <w:t>What does the Optus Business Complete Offer allow you to do?</w:t>
      </w:r>
    </w:p>
    <w:p w14:paraId="6AAA553F" w14:textId="77777777" w:rsidR="000D07EA" w:rsidRDefault="00BE7C89">
      <w:pPr>
        <w:pStyle w:val="Heading7"/>
      </w:pPr>
      <w:r>
        <w:t xml:space="preserve">The Business Complete Offer allows </w:t>
      </w:r>
      <w:r>
        <w:rPr>
          <w:i/>
        </w:rPr>
        <w:t>you</w:t>
      </w:r>
      <w:r>
        <w:t xml:space="preserve"> to use </w:t>
      </w:r>
      <w:r>
        <w:rPr>
          <w:i/>
        </w:rPr>
        <w:t>your</w:t>
      </w:r>
      <w:r>
        <w:t xml:space="preserve"> Optus Mobile Digital Service and a Business Mobile Broadband service where:</w:t>
      </w:r>
    </w:p>
    <w:p w14:paraId="23954AF9" w14:textId="77777777" w:rsidR="000D07EA" w:rsidRDefault="00BE7C89">
      <w:pPr>
        <w:pStyle w:val="Heading8"/>
      </w:pPr>
      <w:r>
        <w:t>The included Data Value can be shared across Optus Mobile Digital Service(s) and Business Mobile Broadband Services(s) that are on the Business Complete plan.</w:t>
      </w:r>
    </w:p>
    <w:p w14:paraId="3169FA51" w14:textId="77777777" w:rsidR="000D07EA" w:rsidRDefault="00BE7C89">
      <w:pPr>
        <w:pStyle w:val="Heading8"/>
      </w:pPr>
      <w:r>
        <w:rPr>
          <w:b/>
        </w:rPr>
        <w:t>Unlimited mobile access to Facebook®, Twitter, LinkedIn, Ebay, FourSquare and MySpace, within Australia.</w:t>
      </w:r>
      <w:r>
        <w:t xml:space="preserve"> Offers cannot be shared and may be accessed on the mobile handset only. </w:t>
      </w:r>
    </w:p>
    <w:p w14:paraId="49B4B052" w14:textId="77777777" w:rsidR="000D07EA" w:rsidRDefault="00BE7C89">
      <w:pPr>
        <w:pStyle w:val="Heading7"/>
      </w:pPr>
      <w:r>
        <w:rPr>
          <w:i/>
        </w:rPr>
        <w:t>You</w:t>
      </w:r>
      <w:r>
        <w:t xml:space="preserve"> may purchase a </w:t>
      </w:r>
      <w:r>
        <w:rPr>
          <w:i/>
        </w:rPr>
        <w:t>mobile phone</w:t>
      </w:r>
      <w:r>
        <w:t xml:space="preserve"> with a:</w:t>
      </w:r>
    </w:p>
    <w:p w14:paraId="33DD0ACA" w14:textId="77777777" w:rsidR="000D07EA" w:rsidRDefault="00BE7C89">
      <w:pPr>
        <w:pStyle w:val="Heading8"/>
      </w:pPr>
      <w:r>
        <w:t xml:space="preserve">24 month </w:t>
      </w:r>
      <w:r>
        <w:rPr>
          <w:i/>
        </w:rPr>
        <w:t>equipment term</w:t>
      </w:r>
      <w:r>
        <w:t xml:space="preserve"> under a </w:t>
      </w:r>
      <w:r>
        <w:rPr>
          <w:i/>
        </w:rPr>
        <w:t>mobile equipment payment plan</w:t>
      </w:r>
      <w:r>
        <w:t xml:space="preserve"> on a 24 month </w:t>
      </w:r>
      <w:r>
        <w:rPr>
          <w:i/>
        </w:rPr>
        <w:t>fixed length agreement</w:t>
      </w:r>
      <w:r>
        <w:t xml:space="preserve">. If you agree to a 24 month </w:t>
      </w:r>
      <w:r>
        <w:rPr>
          <w:i/>
        </w:rPr>
        <w:t>fixed length agreement</w:t>
      </w:r>
      <w:r>
        <w:t xml:space="preserve"> the price of </w:t>
      </w:r>
      <w:r>
        <w:rPr>
          <w:i/>
        </w:rPr>
        <w:t>mobile phones</w:t>
      </w:r>
      <w:r>
        <w:t xml:space="preserve"> available is less than if </w:t>
      </w:r>
      <w:r>
        <w:rPr>
          <w:i/>
        </w:rPr>
        <w:t>you</w:t>
      </w:r>
      <w:r>
        <w:t xml:space="preserve"> only agree to a </w:t>
      </w:r>
      <w:r>
        <w:rPr>
          <w:i/>
        </w:rPr>
        <w:t>non-fixed length agreement</w:t>
      </w:r>
      <w:r>
        <w:t>; or</w:t>
      </w:r>
    </w:p>
    <w:p w14:paraId="41F3A86C" w14:textId="77777777" w:rsidR="000D07EA" w:rsidRDefault="00BE7C89">
      <w:pPr>
        <w:pStyle w:val="Heading8"/>
      </w:pPr>
      <w:r>
        <w:t xml:space="preserve">12 month </w:t>
      </w:r>
      <w:r>
        <w:rPr>
          <w:i/>
        </w:rPr>
        <w:t>equipment</w:t>
      </w:r>
      <w:r>
        <w:t xml:space="preserve"> </w:t>
      </w:r>
      <w:r>
        <w:rPr>
          <w:i/>
        </w:rPr>
        <w:t>term</w:t>
      </w:r>
      <w:r>
        <w:t xml:space="preserve"> under a </w:t>
      </w:r>
      <w:r>
        <w:rPr>
          <w:i/>
        </w:rPr>
        <w:t>mobile equipment payment plan</w:t>
      </w:r>
      <w:r>
        <w:t xml:space="preserve"> on a 12 month </w:t>
      </w:r>
      <w:r>
        <w:rPr>
          <w:i/>
        </w:rPr>
        <w:t>fixed length agreement</w:t>
      </w:r>
      <w:r>
        <w:t xml:space="preserve">. If you agree to a 12 month </w:t>
      </w:r>
      <w:r>
        <w:rPr>
          <w:i/>
        </w:rPr>
        <w:t>fixed length agreement</w:t>
      </w:r>
      <w:r>
        <w:t xml:space="preserve"> the price of mobile phones available is less than if </w:t>
      </w:r>
      <w:r>
        <w:rPr>
          <w:i/>
        </w:rPr>
        <w:t>you</w:t>
      </w:r>
      <w:r>
        <w:t xml:space="preserve"> only agree to a </w:t>
      </w:r>
      <w:r>
        <w:rPr>
          <w:i/>
        </w:rPr>
        <w:t>non-fixed length agreement</w:t>
      </w:r>
    </w:p>
    <w:p w14:paraId="3B910430" w14:textId="77777777" w:rsidR="000D07EA" w:rsidRDefault="00BE7C89">
      <w:pPr>
        <w:pStyle w:val="Heading7"/>
      </w:pPr>
      <w:r>
        <w:t>The charges for the Business Complete Offers are set out in Table 3A.</w:t>
      </w:r>
    </w:p>
    <w:p w14:paraId="455A6DD1" w14:textId="77777777" w:rsidR="000D07EA" w:rsidRDefault="00BE7C89">
      <w:pPr>
        <w:pStyle w:val="Heading6"/>
        <w:ind w:left="0" w:firstLine="0"/>
      </w:pPr>
      <w:r>
        <w:t>Eligibility</w:t>
      </w:r>
    </w:p>
    <w:p w14:paraId="3933D699" w14:textId="77777777" w:rsidR="000D07EA" w:rsidRDefault="00BE7C89">
      <w:pPr>
        <w:pStyle w:val="BodyText"/>
        <w:ind w:left="720"/>
      </w:pPr>
      <w:r>
        <w:t xml:space="preserve">The Business Complete plans are only available to customers we classify as </w:t>
      </w:r>
      <w:r>
        <w:rPr>
          <w:i/>
        </w:rPr>
        <w:t>small or medium business</w:t>
      </w:r>
      <w:r>
        <w:t xml:space="preserve"> customers who apply to connect to the service on the following terms:</w:t>
      </w:r>
    </w:p>
    <w:p w14:paraId="14BC8619" w14:textId="77777777" w:rsidR="000D07EA" w:rsidRDefault="00BE7C89">
      <w:pPr>
        <w:pStyle w:val="Heading7"/>
      </w:pPr>
      <w:r>
        <w:t xml:space="preserve">In order to be and remain eligible for the Business Complete Offers, you must: </w:t>
      </w:r>
    </w:p>
    <w:p w14:paraId="1F7130BF" w14:textId="77777777" w:rsidR="000D07EA" w:rsidRDefault="00BE7C89">
      <w:pPr>
        <w:pStyle w:val="Heading8"/>
      </w:pPr>
      <w:r>
        <w:lastRenderedPageBreak/>
        <w:t xml:space="preserve">connect all relevant </w:t>
      </w:r>
      <w:r>
        <w:rPr>
          <w:i/>
        </w:rPr>
        <w:t>services</w:t>
      </w:r>
      <w:r>
        <w:t xml:space="preserve"> in the same account holder name and service address, and ABN/ACN/ARBN;</w:t>
      </w:r>
    </w:p>
    <w:p w14:paraId="5467C3B0" w14:textId="77777777" w:rsidR="000D07EA" w:rsidRDefault="00BE7C89">
      <w:pPr>
        <w:pStyle w:val="Heading8"/>
      </w:pPr>
      <w:r>
        <w:t xml:space="preserve">meet all of the criteria for the particular services as set out in each of the relevant </w:t>
      </w:r>
      <w:r>
        <w:rPr>
          <w:i/>
        </w:rPr>
        <w:t>service descriptions</w:t>
      </w:r>
      <w:r>
        <w:t>; and</w:t>
      </w:r>
    </w:p>
    <w:p w14:paraId="2BCB0889" w14:textId="77777777" w:rsidR="000D07EA" w:rsidRDefault="00BE7C89">
      <w:pPr>
        <w:pStyle w:val="Heading8"/>
      </w:pPr>
      <w:r>
        <w:t>receive subscription charges on a monthly single bill.</w:t>
      </w:r>
    </w:p>
    <w:p w14:paraId="27134231" w14:textId="77777777" w:rsidR="000D07EA" w:rsidRDefault="00BE7C89">
      <w:pPr>
        <w:pStyle w:val="Heading7"/>
      </w:pPr>
      <w:r>
        <w:t xml:space="preserve">If </w:t>
      </w:r>
      <w:r>
        <w:rPr>
          <w:i/>
        </w:rPr>
        <w:t>you</w:t>
      </w:r>
      <w:r>
        <w:t xml:space="preserve"> already have a non-fixed length or fixed length agreement with us for either your Optus Mobile Digital Service(s) and your Optus Mobile Service(s) and you choose to connect as a new customer to our Business Complete offer:</w:t>
      </w:r>
    </w:p>
    <w:p w14:paraId="28DF2426" w14:textId="77777777" w:rsidR="000D07EA" w:rsidRDefault="00BE7C89">
      <w:pPr>
        <w:pStyle w:val="Heading8"/>
      </w:pPr>
      <w:r>
        <w:rPr>
          <w:i/>
        </w:rPr>
        <w:t>We</w:t>
      </w:r>
      <w:r>
        <w:t xml:space="preserve"> may agree (at </w:t>
      </w:r>
      <w:r>
        <w:rPr>
          <w:i/>
        </w:rPr>
        <w:t>our</w:t>
      </w:r>
      <w:r>
        <w:t xml:space="preserve"> discretion) to transfer </w:t>
      </w:r>
      <w:r>
        <w:rPr>
          <w:i/>
        </w:rPr>
        <w:t>you</w:t>
      </w:r>
      <w:r>
        <w:t xml:space="preserve"> to the Business Complete offer </w:t>
      </w:r>
    </w:p>
    <w:p w14:paraId="137A9130" w14:textId="77777777" w:rsidR="000D07EA" w:rsidRDefault="00BE7C89">
      <w:pPr>
        <w:pStyle w:val="Heading8"/>
      </w:pPr>
      <w:r>
        <w:t xml:space="preserve">In the case of the above, </w:t>
      </w:r>
      <w:r>
        <w:rPr>
          <w:i/>
        </w:rPr>
        <w:t>you</w:t>
      </w:r>
      <w:r>
        <w:t xml:space="preserve"> will start a monthly, 12 or 24 month </w:t>
      </w:r>
      <w:r>
        <w:rPr>
          <w:i/>
        </w:rPr>
        <w:t>minimum term fixed length agreement</w:t>
      </w:r>
      <w:r>
        <w:t xml:space="preserve"> for the new </w:t>
      </w:r>
      <w:r>
        <w:rPr>
          <w:i/>
        </w:rPr>
        <w:t>Business Complete offer</w:t>
      </w:r>
      <w:r>
        <w:t xml:space="preserve">. </w:t>
      </w:r>
    </w:p>
    <w:p w14:paraId="60208792" w14:textId="77777777" w:rsidR="000D07EA" w:rsidRDefault="00BE7C89">
      <w:pPr>
        <w:pStyle w:val="Heading7"/>
      </w:pPr>
      <w:r>
        <w:t xml:space="preserve">If </w:t>
      </w:r>
      <w:r>
        <w:rPr>
          <w:i/>
        </w:rPr>
        <w:t>you</w:t>
      </w:r>
      <w:r>
        <w:t xml:space="preserve"> are an existing customer </w:t>
      </w:r>
      <w:r>
        <w:rPr>
          <w:i/>
        </w:rPr>
        <w:t>you</w:t>
      </w:r>
      <w:r>
        <w:t xml:space="preserve"> may only transfer to the Business Complete plans with </w:t>
      </w:r>
      <w:r>
        <w:rPr>
          <w:i/>
        </w:rPr>
        <w:t>our</w:t>
      </w:r>
      <w:r>
        <w:t xml:space="preserve"> approval.</w:t>
      </w:r>
    </w:p>
    <w:p w14:paraId="5AFDE186" w14:textId="77777777" w:rsidR="000D07EA" w:rsidRDefault="00BE7C89">
      <w:pPr>
        <w:pStyle w:val="Heading6"/>
        <w:ind w:left="0" w:firstLine="0"/>
      </w:pPr>
      <w:r>
        <w:t>Blocking access to a number</w:t>
      </w:r>
    </w:p>
    <w:p w14:paraId="58C1CAB0" w14:textId="77777777" w:rsidR="000D07EA" w:rsidRDefault="00BE7C89">
      <w:pPr>
        <w:pStyle w:val="BodyText"/>
        <w:ind w:left="720"/>
      </w:pPr>
      <w:r>
        <w:t xml:space="preserve">In addition to what is stated in clause 11 of the </w:t>
      </w:r>
      <w:r>
        <w:rPr>
          <w:i/>
        </w:rPr>
        <w:t>service description</w:t>
      </w:r>
      <w:r>
        <w:t xml:space="preserve"> ("</w:t>
      </w:r>
      <w:r>
        <w:rPr>
          <w:i/>
        </w:rPr>
        <w:t>Access Restrictions</w:t>
      </w:r>
      <w:r>
        <w:t xml:space="preserve">"), </w:t>
      </w:r>
      <w:r>
        <w:rPr>
          <w:i/>
        </w:rPr>
        <w:t>we</w:t>
      </w:r>
      <w:r>
        <w:t xml:space="preserve"> may block access to a number (other than an emergency service number) if </w:t>
      </w:r>
      <w:r>
        <w:rPr>
          <w:i/>
        </w:rPr>
        <w:t>we</w:t>
      </w:r>
      <w:r>
        <w:t xml:space="preserve"> reasonably require this to be done for technical, operational or commercial reasons.</w:t>
      </w:r>
    </w:p>
    <w:p w14:paraId="1D89A931" w14:textId="77777777" w:rsidR="000D07EA" w:rsidRDefault="00BE7C89">
      <w:pPr>
        <w:pStyle w:val="Heading6"/>
        <w:ind w:left="0" w:firstLine="0"/>
      </w:pPr>
      <w:r>
        <w:t>Minimum Term</w:t>
      </w:r>
    </w:p>
    <w:p w14:paraId="452C7BD1" w14:textId="77777777" w:rsidR="000D07EA" w:rsidRDefault="00BE7C89">
      <w:pPr>
        <w:pStyle w:val="Heading7"/>
      </w:pPr>
      <w:r>
        <w:rPr>
          <w:i/>
        </w:rPr>
        <w:t>You</w:t>
      </w:r>
      <w:r>
        <w:t xml:space="preserve"> must agree to a </w:t>
      </w:r>
      <w:r>
        <w:rPr>
          <w:i/>
        </w:rPr>
        <w:t>non-fixed length agreement</w:t>
      </w:r>
      <w:r>
        <w:t xml:space="preserve"> or a </w:t>
      </w:r>
      <w:r>
        <w:rPr>
          <w:i/>
        </w:rPr>
        <w:t>fixed length agreement</w:t>
      </w:r>
      <w:r>
        <w:t xml:space="preserve"> with a 12 month or 24 month minimum term. </w:t>
      </w:r>
    </w:p>
    <w:p w14:paraId="5696D18C" w14:textId="77777777" w:rsidR="000D07EA" w:rsidRDefault="00BE7C89">
      <w:pPr>
        <w:pStyle w:val="Heading7"/>
      </w:pPr>
      <w:r>
        <w:rPr>
          <w:i/>
        </w:rPr>
        <w:t>You</w:t>
      </w:r>
      <w:r>
        <w:t xml:space="preserve"> may purchase a </w:t>
      </w:r>
      <w:r>
        <w:rPr>
          <w:i/>
        </w:rPr>
        <w:t>mobile phone</w:t>
      </w:r>
      <w:r>
        <w:t xml:space="preserve"> with a 12 month or 24 month </w:t>
      </w:r>
      <w:r>
        <w:rPr>
          <w:i/>
        </w:rPr>
        <w:t>equipment term</w:t>
      </w:r>
      <w:r>
        <w:t xml:space="preserve"> under a </w:t>
      </w:r>
      <w:r>
        <w:rPr>
          <w:i/>
        </w:rPr>
        <w:t>mobile equipment payment plan</w:t>
      </w:r>
      <w:r>
        <w:t xml:space="preserve"> depending on </w:t>
      </w:r>
      <w:r>
        <w:rPr>
          <w:i/>
        </w:rPr>
        <w:t>your</w:t>
      </w:r>
      <w:r>
        <w:t xml:space="preserve"> contract plan. If </w:t>
      </w:r>
      <w:r>
        <w:rPr>
          <w:i/>
        </w:rPr>
        <w:t>you</w:t>
      </w:r>
      <w:r>
        <w:t xml:space="preserve"> agree to a 24 month </w:t>
      </w:r>
      <w:r>
        <w:rPr>
          <w:i/>
        </w:rPr>
        <w:t>minimum term</w:t>
      </w:r>
      <w:r>
        <w:t xml:space="preserve"> the price of the </w:t>
      </w:r>
      <w:r>
        <w:rPr>
          <w:i/>
        </w:rPr>
        <w:t>mobile phone</w:t>
      </w:r>
      <w:r>
        <w:t xml:space="preserve"> available is less than if you only agree to a </w:t>
      </w:r>
      <w:r>
        <w:rPr>
          <w:i/>
        </w:rPr>
        <w:t>non-fixed length agreement</w:t>
      </w:r>
      <w:r>
        <w:t xml:space="preserve">. If </w:t>
      </w:r>
      <w:r>
        <w:rPr>
          <w:i/>
        </w:rPr>
        <w:t>you</w:t>
      </w:r>
      <w:r>
        <w:t xml:space="preserve"> agree to a 12 month </w:t>
      </w:r>
      <w:r>
        <w:rPr>
          <w:i/>
        </w:rPr>
        <w:t>minimum term</w:t>
      </w:r>
      <w:r>
        <w:t xml:space="preserve"> the price of the </w:t>
      </w:r>
      <w:r>
        <w:rPr>
          <w:i/>
        </w:rPr>
        <w:t>mobile phone</w:t>
      </w:r>
      <w:r>
        <w:t xml:space="preserve"> available is less than if </w:t>
      </w:r>
      <w:r>
        <w:rPr>
          <w:i/>
        </w:rPr>
        <w:t>you</w:t>
      </w:r>
      <w:r>
        <w:t xml:space="preserve"> only agree to a </w:t>
      </w:r>
      <w:r>
        <w:rPr>
          <w:i/>
        </w:rPr>
        <w:t>non-fixed length agreement</w:t>
      </w:r>
      <w:r>
        <w:t>.</w:t>
      </w:r>
    </w:p>
    <w:p w14:paraId="72F1D2C7" w14:textId="77777777" w:rsidR="000D07EA" w:rsidRDefault="00BE7C89">
      <w:pPr>
        <w:pStyle w:val="Heading6"/>
        <w:ind w:left="0" w:firstLine="0"/>
      </w:pPr>
      <w:r>
        <w:t>What happens if you are no longer eligible</w:t>
      </w:r>
    </w:p>
    <w:p w14:paraId="42302437" w14:textId="77777777" w:rsidR="000D07EA" w:rsidRDefault="00BE7C89">
      <w:pPr>
        <w:pStyle w:val="BodyText"/>
        <w:ind w:left="720"/>
      </w:pPr>
      <w:r>
        <w:t xml:space="preserve">If </w:t>
      </w:r>
      <w:r>
        <w:rPr>
          <w:i/>
        </w:rPr>
        <w:t>you</w:t>
      </w:r>
      <w:r>
        <w:t xml:space="preserve"> are no longer classified as a </w:t>
      </w:r>
      <w:r>
        <w:rPr>
          <w:i/>
        </w:rPr>
        <w:t>small and medium business</w:t>
      </w:r>
      <w:r>
        <w:t xml:space="preserve"> we may at our discretion change </w:t>
      </w:r>
      <w:r>
        <w:rPr>
          <w:i/>
        </w:rPr>
        <w:t>your</w:t>
      </w:r>
      <w:r>
        <w:t xml:space="preserve"> </w:t>
      </w:r>
      <w:r>
        <w:rPr>
          <w:i/>
        </w:rPr>
        <w:t>Optus Mobile Digital Service</w:t>
      </w:r>
      <w:r>
        <w:t xml:space="preserve"> to an eligible plan although other service options may be available to </w:t>
      </w:r>
      <w:r>
        <w:rPr>
          <w:i/>
        </w:rPr>
        <w:t>you</w:t>
      </w:r>
      <w:r>
        <w:t xml:space="preserve"> and </w:t>
      </w:r>
      <w:r>
        <w:rPr>
          <w:i/>
        </w:rPr>
        <w:t>you</w:t>
      </w:r>
      <w:r>
        <w:t xml:space="preserve"> may have to pay </w:t>
      </w:r>
      <w:r>
        <w:rPr>
          <w:i/>
        </w:rPr>
        <w:t>us</w:t>
      </w:r>
      <w:r>
        <w:t xml:space="preserve"> a cancellation fee.</w:t>
      </w:r>
    </w:p>
    <w:p w14:paraId="4BEA18A3" w14:textId="77777777" w:rsidR="000D07EA" w:rsidRDefault="00BE7C89">
      <w:pPr>
        <w:pStyle w:val="Heading6"/>
        <w:ind w:left="0" w:firstLine="0"/>
      </w:pPr>
      <w:r>
        <w:t>What you have to pay us</w:t>
      </w:r>
    </w:p>
    <w:p w14:paraId="6EC00A11" w14:textId="77777777" w:rsidR="000D07EA" w:rsidRDefault="00BE7C89">
      <w:pPr>
        <w:pStyle w:val="Heading7"/>
      </w:pPr>
      <w:r>
        <w:t xml:space="preserve">Subject to paragraphs below </w:t>
      </w:r>
      <w:r>
        <w:rPr>
          <w:i/>
        </w:rPr>
        <w:t>you</w:t>
      </w:r>
      <w:r>
        <w:t xml:space="preserve"> must pay </w:t>
      </w:r>
      <w:r>
        <w:rPr>
          <w:i/>
        </w:rPr>
        <w:t>us</w:t>
      </w:r>
      <w:r>
        <w:t xml:space="preserve"> for use of the </w:t>
      </w:r>
      <w:r>
        <w:rPr>
          <w:i/>
        </w:rPr>
        <w:t>service</w:t>
      </w:r>
      <w:r>
        <w:t xml:space="preserve"> at the rates set out in </w:t>
      </w:r>
      <w:hyperlink r:id="rId344" w:history="1">
        <w:r>
          <w:rPr>
            <w:rStyle w:val="Hyperlink"/>
          </w:rPr>
          <w:t>Section 1</w:t>
        </w:r>
      </w:hyperlink>
      <w:r>
        <w:t xml:space="preserve"> of this </w:t>
      </w:r>
      <w:r>
        <w:rPr>
          <w:i/>
        </w:rPr>
        <w:t>standard pricing table</w:t>
      </w:r>
      <w:r>
        <w:t xml:space="preserve"> and for </w:t>
      </w:r>
      <w:r>
        <w:rPr>
          <w:i/>
        </w:rPr>
        <w:t>value added service</w:t>
      </w:r>
      <w:r>
        <w:t xml:space="preserve"> </w:t>
      </w:r>
      <w:r>
        <w:rPr>
          <w:i/>
        </w:rPr>
        <w:t>features</w:t>
      </w:r>
      <w:r>
        <w:t xml:space="preserve"> at the rates set out in </w:t>
      </w:r>
      <w:hyperlink r:id="rId345" w:history="1">
        <w:r>
          <w:rPr>
            <w:rStyle w:val="Hyperlink"/>
            <w:i/>
          </w:rPr>
          <w:t>Appendix Y</w:t>
        </w:r>
      </w:hyperlink>
      <w:r>
        <w:t xml:space="preserve"> Value Added Service Features. </w:t>
      </w:r>
    </w:p>
    <w:p w14:paraId="584F1ABF" w14:textId="77777777" w:rsidR="000D07EA" w:rsidRDefault="00BE7C89">
      <w:pPr>
        <w:pStyle w:val="Heading7"/>
      </w:pPr>
      <w:r>
        <w:t xml:space="preserve">If there is a </w:t>
      </w:r>
      <w:r>
        <w:rPr>
          <w:i/>
        </w:rPr>
        <w:t>flagfall</w:t>
      </w:r>
      <w:r>
        <w:t xml:space="preserve"> or call connection charge for a particular call type, the charge for these calls is the </w:t>
      </w:r>
      <w:r>
        <w:rPr>
          <w:i/>
        </w:rPr>
        <w:t>flagfall</w:t>
      </w:r>
      <w:r>
        <w:t xml:space="preserve"> charge plus the relevant rate for the call multiplied by the duration of the call.</w:t>
      </w:r>
    </w:p>
    <w:p w14:paraId="6DC1F2DE" w14:textId="77777777" w:rsidR="000D07EA" w:rsidRDefault="00BE7C89">
      <w:pPr>
        <w:pStyle w:val="Heading7"/>
        <w:rPr>
          <w:b/>
        </w:rPr>
      </w:pPr>
      <w:r>
        <w:rPr>
          <w:b/>
        </w:rPr>
        <w:t>The Cap</w:t>
      </w:r>
    </w:p>
    <w:p w14:paraId="448F148D" w14:textId="77777777" w:rsidR="000D07EA" w:rsidRDefault="00BE7C89">
      <w:pPr>
        <w:pStyle w:val="Heading8"/>
      </w:pPr>
      <w:r>
        <w:t xml:space="preserve">Under the Business Complete Plans, a cap applies when the value of </w:t>
      </w:r>
      <w:r>
        <w:rPr>
          <w:b/>
        </w:rPr>
        <w:t>eligible calls and text</w:t>
      </w:r>
      <w:r>
        <w:t xml:space="preserve"> </w:t>
      </w:r>
      <w:r>
        <w:rPr>
          <w:i/>
        </w:rPr>
        <w:t>you</w:t>
      </w:r>
      <w:r>
        <w:t xml:space="preserve"> make in a month reaches </w:t>
      </w:r>
      <w:r>
        <w:rPr>
          <w:i/>
        </w:rPr>
        <w:t>your pricing plan's</w:t>
      </w:r>
      <w:r>
        <w:t xml:space="preserve"> </w:t>
      </w:r>
      <w:r>
        <w:rPr>
          <w:b/>
        </w:rPr>
        <w:t>cap start</w:t>
      </w:r>
      <w:r>
        <w:t xml:space="preserve">. Once </w:t>
      </w:r>
      <w:r>
        <w:rPr>
          <w:i/>
        </w:rPr>
        <w:t>your</w:t>
      </w:r>
      <w:r>
        <w:t xml:space="preserve"> eligible calls and text spend reaches the cap start, additional eligible calls and text made in that month are included until the value of </w:t>
      </w:r>
      <w:r>
        <w:rPr>
          <w:i/>
        </w:rPr>
        <w:t>your</w:t>
      </w:r>
      <w:r>
        <w:t xml:space="preserve"> eligible calls and text reach </w:t>
      </w:r>
      <w:r>
        <w:rPr>
          <w:i/>
        </w:rPr>
        <w:t>your pricing plan's</w:t>
      </w:r>
      <w:r>
        <w:t xml:space="preserve"> </w:t>
      </w:r>
      <w:r>
        <w:rPr>
          <w:b/>
        </w:rPr>
        <w:t>Included Cap Value</w:t>
      </w:r>
      <w:r>
        <w:t xml:space="preserve">. </w:t>
      </w:r>
    </w:p>
    <w:p w14:paraId="40144043" w14:textId="77777777" w:rsidR="000D07EA" w:rsidRDefault="00BE7C89">
      <w:pPr>
        <w:pStyle w:val="Heading8"/>
      </w:pPr>
      <w:r>
        <w:t>The '</w:t>
      </w:r>
      <w:r>
        <w:rPr>
          <w:b/>
        </w:rPr>
        <w:t>cap start</w:t>
      </w:r>
      <w:r>
        <w:t>' and '</w:t>
      </w:r>
      <w:r>
        <w:rPr>
          <w:b/>
        </w:rPr>
        <w:t>Included Cap Value</w:t>
      </w:r>
      <w:r>
        <w:t xml:space="preserve">' for each Business Complete Plan is set out in Table 3A below. </w:t>
      </w:r>
    </w:p>
    <w:p w14:paraId="63F2186A" w14:textId="77777777" w:rsidR="000D07EA" w:rsidRDefault="00BE7C89">
      <w:pPr>
        <w:pStyle w:val="Heading8"/>
      </w:pPr>
      <w:r>
        <w:lastRenderedPageBreak/>
        <w:t>The call types that are '</w:t>
      </w:r>
      <w:r>
        <w:rPr>
          <w:b/>
        </w:rPr>
        <w:t>eligible calls and text</w:t>
      </w:r>
      <w:r>
        <w:t xml:space="preserve">' for each Business Complete Plan is defined in Table 1A below. </w:t>
      </w:r>
    </w:p>
    <w:p w14:paraId="599F7EB0" w14:textId="77777777" w:rsidR="000D07EA" w:rsidRDefault="00BE7C89">
      <w:pPr>
        <w:pStyle w:val="Heading8"/>
      </w:pPr>
      <w:r>
        <w:rPr>
          <w:i/>
        </w:rPr>
        <w:t>You</w:t>
      </w:r>
      <w:r>
        <w:t xml:space="preserve"> must pay for any calls that are not eligible calls and text.</w:t>
      </w:r>
    </w:p>
    <w:p w14:paraId="56CBFA28" w14:textId="77777777" w:rsidR="000D07EA" w:rsidRDefault="00BE7C89">
      <w:pPr>
        <w:pStyle w:val="Heading8"/>
      </w:pPr>
      <w:r>
        <w:rPr>
          <w:i/>
        </w:rPr>
        <w:t>You</w:t>
      </w:r>
      <w:r>
        <w:t xml:space="preserve"> must pay </w:t>
      </w:r>
      <w:r>
        <w:rPr>
          <w:i/>
        </w:rPr>
        <w:t>us</w:t>
      </w:r>
      <w:r>
        <w:t xml:space="preserve"> call charges for eligible calls and text made beyond the Included Cap Value of </w:t>
      </w:r>
      <w:r>
        <w:rPr>
          <w:i/>
        </w:rPr>
        <w:t>your</w:t>
      </w:r>
      <w:r>
        <w:t xml:space="preserve"> Business Complete Plan.</w:t>
      </w:r>
    </w:p>
    <w:p w14:paraId="6A48B0A9" w14:textId="77777777" w:rsidR="000D07EA" w:rsidRDefault="00BE7C89">
      <w:pPr>
        <w:pStyle w:val="Heading8"/>
      </w:pPr>
      <w:r>
        <w:t>Any unused portion of the cap expires at the end of each month. This means that it does not roll over into following month.</w:t>
      </w:r>
    </w:p>
    <w:p w14:paraId="01AE4553" w14:textId="77777777" w:rsidR="000D07EA" w:rsidRDefault="00BE7C89">
      <w:pPr>
        <w:pStyle w:val="Heading7"/>
        <w:rPr>
          <w:b/>
        </w:rPr>
      </w:pPr>
      <w:r>
        <w:rPr>
          <w:b/>
        </w:rPr>
        <w:t>Included Cap Value</w:t>
      </w:r>
    </w:p>
    <w:p w14:paraId="15A63348" w14:textId="77777777" w:rsidR="000D07EA" w:rsidRDefault="00BE7C89">
      <w:pPr>
        <w:pStyle w:val="Heading8"/>
      </w:pPr>
      <w:r>
        <w:t xml:space="preserve">Under the Business Complete Plans, </w:t>
      </w:r>
      <w:r>
        <w:rPr>
          <w:i/>
        </w:rPr>
        <w:t>you</w:t>
      </w:r>
      <w:r>
        <w:t xml:space="preserve"> will receive "Included Cap Value".</w:t>
      </w:r>
    </w:p>
    <w:p w14:paraId="240A187E" w14:textId="77777777" w:rsidR="000D07EA" w:rsidRDefault="00BE7C89">
      <w:pPr>
        <w:pStyle w:val="Heading8"/>
      </w:pPr>
      <w:r>
        <w:t>The amount of the "Included Cap Value" included for each Business Complete plan is set out in Table 3A below.</w:t>
      </w:r>
    </w:p>
    <w:p w14:paraId="325A6142" w14:textId="77777777" w:rsidR="000D07EA" w:rsidRDefault="00BE7C89">
      <w:pPr>
        <w:pStyle w:val="Heading8"/>
      </w:pPr>
      <w:r>
        <w:t>The call types that are '</w:t>
      </w:r>
      <w:r>
        <w:rPr>
          <w:b/>
        </w:rPr>
        <w:t>eligible calls and text</w:t>
      </w:r>
      <w:r>
        <w:t>' for each Business Complete Plan under the "Included Cap Value" are defined in Table 1A below.</w:t>
      </w:r>
    </w:p>
    <w:p w14:paraId="5051DF64" w14:textId="77777777" w:rsidR="000D07EA" w:rsidRDefault="00BE7C89">
      <w:pPr>
        <w:pStyle w:val="Heading8"/>
      </w:pPr>
      <w:r>
        <w:rPr>
          <w:i/>
        </w:rPr>
        <w:t>You</w:t>
      </w:r>
      <w:r>
        <w:t xml:space="preserve"> must pay </w:t>
      </w:r>
      <w:r>
        <w:rPr>
          <w:i/>
        </w:rPr>
        <w:t>us</w:t>
      </w:r>
      <w:r>
        <w:t xml:space="preserve"> call charges for eligible calls and text made beyond the available "Included Cap Value". </w:t>
      </w:r>
    </w:p>
    <w:p w14:paraId="6FF3E4EE" w14:textId="77777777" w:rsidR="000D07EA" w:rsidRDefault="00BE7C89">
      <w:pPr>
        <w:pStyle w:val="Heading8"/>
      </w:pPr>
      <w:r>
        <w:t>Any unused portion of the "Included Cap Value" expires at the end of each month. This means that it does not roll over into the following month.</w:t>
      </w:r>
    </w:p>
    <w:p w14:paraId="7AA263FC" w14:textId="77777777" w:rsidR="000D07EA" w:rsidRDefault="00BE7C89">
      <w:pPr>
        <w:pStyle w:val="Heading8"/>
      </w:pPr>
      <w:r>
        <w:rPr>
          <w:i/>
        </w:rPr>
        <w:t>You</w:t>
      </w:r>
      <w:r>
        <w:t xml:space="preserve"> must pay for any calls and texts that are not eligible calls.</w:t>
      </w:r>
    </w:p>
    <w:p w14:paraId="42E2BF8B" w14:textId="77777777" w:rsidR="000D07EA" w:rsidRDefault="00BE7C89">
      <w:pPr>
        <w:pStyle w:val="Heading7"/>
        <w:rPr>
          <w:b/>
        </w:rPr>
      </w:pPr>
      <w:r>
        <w:rPr>
          <w:b/>
        </w:rPr>
        <w:t>Minimum Monthly Charge</w:t>
      </w:r>
    </w:p>
    <w:p w14:paraId="0FDB2139" w14:textId="77777777" w:rsidR="000D07EA" w:rsidRDefault="00BE7C89">
      <w:pPr>
        <w:pStyle w:val="Heading8"/>
      </w:pPr>
      <w:r>
        <w:t xml:space="preserve">Each Business Complete Plan has a Minimum Monthly Charge amount that you must pay us each month. </w:t>
      </w:r>
    </w:p>
    <w:p w14:paraId="6496467F" w14:textId="77777777" w:rsidR="000D07EA" w:rsidRDefault="00BE7C89">
      <w:pPr>
        <w:pStyle w:val="Heading8"/>
      </w:pPr>
      <w:r>
        <w:t xml:space="preserve">If </w:t>
      </w:r>
      <w:r>
        <w:rPr>
          <w:i/>
        </w:rPr>
        <w:t>you</w:t>
      </w:r>
      <w:r>
        <w:t xml:space="preserve"> do not make enough eligible calls and text in a month to reach </w:t>
      </w:r>
      <w:r>
        <w:rPr>
          <w:i/>
        </w:rPr>
        <w:t>your pricing plan's cap start</w:t>
      </w:r>
      <w:r>
        <w:t xml:space="preserve"> (or Minimum Monthly Charge) </w:t>
      </w:r>
      <w:r>
        <w:rPr>
          <w:i/>
        </w:rPr>
        <w:t>you</w:t>
      </w:r>
      <w:r>
        <w:t xml:space="preserve"> must still pay </w:t>
      </w:r>
      <w:r>
        <w:rPr>
          <w:i/>
        </w:rPr>
        <w:t>us your pricing plan's</w:t>
      </w:r>
      <w:r>
        <w:t xml:space="preserve"> Minimum Monthly Charge for that month.</w:t>
      </w:r>
    </w:p>
    <w:p w14:paraId="741B5837" w14:textId="77777777" w:rsidR="000D07EA" w:rsidRDefault="00BE7C89">
      <w:pPr>
        <w:pStyle w:val="Heading8"/>
      </w:pPr>
      <w:r>
        <w:t>The amount of the Minimum Monthly Charge and included calls for each Business Complete Plan is set out in Table 3A below.</w:t>
      </w:r>
    </w:p>
    <w:p w14:paraId="58142D44" w14:textId="77777777" w:rsidR="000D07EA" w:rsidRDefault="00BE7C89">
      <w:pPr>
        <w:pStyle w:val="Heading7"/>
        <w:rPr>
          <w:b/>
        </w:rPr>
      </w:pPr>
      <w:r>
        <w:rPr>
          <w:b/>
        </w:rPr>
        <w:t xml:space="preserve">Included Mobile Internet Data value or Unlimited BlackBerry POP3 Email and BlackBerry Browsing through the BlackBerry Browser </w:t>
      </w:r>
    </w:p>
    <w:p w14:paraId="19196A23" w14:textId="77777777" w:rsidR="000D07EA" w:rsidRDefault="00BE7C89">
      <w:pPr>
        <w:pStyle w:val="Heading8"/>
      </w:pPr>
      <w:r>
        <w:t xml:space="preserve">Under the Business Complete Plans, </w:t>
      </w:r>
      <w:r>
        <w:rPr>
          <w:i/>
        </w:rPr>
        <w:t>you</w:t>
      </w:r>
      <w:r>
        <w:t xml:space="preserve"> can choose from; </w:t>
      </w:r>
    </w:p>
    <w:p w14:paraId="7F0991C9" w14:textId="77777777" w:rsidR="000D07EA" w:rsidRDefault="00BE7C89">
      <w:pPr>
        <w:pStyle w:val="Heading9"/>
      </w:pPr>
      <w:r>
        <w:t>included Mobile Internet Data Value; or</w:t>
      </w:r>
    </w:p>
    <w:p w14:paraId="2D2ABA64" w14:textId="77777777" w:rsidR="000D07EA" w:rsidRDefault="00BE7C89">
      <w:pPr>
        <w:pStyle w:val="Heading9"/>
      </w:pPr>
      <w:r>
        <w:t>Unlimited BlackBerry POP3 Email and BlackBerry Browsing through the BlackBerry Browser</w:t>
      </w:r>
    </w:p>
    <w:p w14:paraId="5B3D573B" w14:textId="77777777" w:rsidR="000D07EA" w:rsidRDefault="00BE7C89">
      <w:pPr>
        <w:pStyle w:val="BodyText"/>
        <w:ind w:left="1440" w:firstLine="720"/>
      </w:pPr>
      <w:r>
        <w:t>to use within Australia.</w:t>
      </w:r>
    </w:p>
    <w:p w14:paraId="5B486885" w14:textId="77777777" w:rsidR="000D07EA" w:rsidRDefault="00BE7C89">
      <w:pPr>
        <w:pStyle w:val="Heading8"/>
      </w:pPr>
      <w:r>
        <w:t xml:space="preserve">If </w:t>
      </w:r>
      <w:r>
        <w:rPr>
          <w:i/>
        </w:rPr>
        <w:t>you</w:t>
      </w:r>
      <w:r>
        <w:t xml:space="preserve"> select the included Mobile Internet Data Value option:</w:t>
      </w:r>
    </w:p>
    <w:p w14:paraId="03DE9A5A" w14:textId="77777777" w:rsidR="000D07EA" w:rsidRDefault="00BE7C89">
      <w:pPr>
        <w:pStyle w:val="Heading9"/>
      </w:pPr>
      <w:r>
        <w:t>The amount of the "Mobile Internet Data Value" included that can be used within Australia for each Business Complete Plan is set out in Table 3A below.</w:t>
      </w:r>
    </w:p>
    <w:p w14:paraId="0DD40E9E" w14:textId="77777777" w:rsidR="000D07EA" w:rsidRDefault="00BE7C89">
      <w:pPr>
        <w:pStyle w:val="Heading9"/>
      </w:pPr>
      <w:r>
        <w:t>The usage types that are '</w:t>
      </w:r>
      <w:r>
        <w:rPr>
          <w:b/>
        </w:rPr>
        <w:t>eligible data</w:t>
      </w:r>
      <w:r>
        <w:t>' for each Business Complete Plan under the included Mobile Internet Data Value are defined in Table 2A below.</w:t>
      </w:r>
    </w:p>
    <w:p w14:paraId="1B41856A" w14:textId="77777777" w:rsidR="000D07EA" w:rsidRDefault="00BE7C89">
      <w:pPr>
        <w:pStyle w:val="Heading9"/>
      </w:pPr>
      <w:r>
        <w:t xml:space="preserve">The included data of the Business Complete plan can be shared with an eligible Business Mobile Broadband service and can only be used within Australia. </w:t>
      </w:r>
    </w:p>
    <w:p w14:paraId="3BA7E7F5" w14:textId="77777777" w:rsidR="000D07EA" w:rsidRDefault="00BE7C89">
      <w:pPr>
        <w:pStyle w:val="Heading9"/>
      </w:pPr>
      <w:r>
        <w:rPr>
          <w:i/>
        </w:rPr>
        <w:lastRenderedPageBreak/>
        <w:t>You</w:t>
      </w:r>
      <w:r>
        <w:t xml:space="preserve"> must pay us excess usage charges for data made beyond the available "Mobile Internet Data Value" as shown in Table 3A below. </w:t>
      </w:r>
    </w:p>
    <w:p w14:paraId="337A818A" w14:textId="77777777" w:rsidR="000D07EA" w:rsidRDefault="00BE7C89">
      <w:pPr>
        <w:pStyle w:val="Heading9"/>
      </w:pPr>
      <w:r>
        <w:t xml:space="preserve">Any unused portion of the "Mobile Internet Data Value" expires at the end of each month and does not rollover into the following month. </w:t>
      </w:r>
    </w:p>
    <w:p w14:paraId="7DC8554F" w14:textId="77777777" w:rsidR="000D07EA" w:rsidRDefault="00BE7C89">
      <w:pPr>
        <w:pStyle w:val="Heading8"/>
      </w:pPr>
      <w:r>
        <w:t xml:space="preserve">If </w:t>
      </w:r>
      <w:r>
        <w:rPr>
          <w:i/>
        </w:rPr>
        <w:t>you</w:t>
      </w:r>
      <w:r>
        <w:t xml:space="preserve"> select the Unlimited BlackBerry POP3 Email and BlackBerry Browsing through the BlackBerry Browser option:</w:t>
      </w:r>
    </w:p>
    <w:p w14:paraId="097DB129" w14:textId="77777777" w:rsidR="000D07EA" w:rsidRDefault="00BE7C89">
      <w:pPr>
        <w:pStyle w:val="Heading9"/>
      </w:pPr>
      <w:r>
        <w:rPr>
          <w:i/>
        </w:rPr>
        <w:t>You</w:t>
      </w:r>
      <w:r>
        <w:t xml:space="preserve"> will only receive unlimited BlackBerry POP3 Email and BlackBerry Browsing through the BlackBerry Internet Browser or the BlackBerry Browser and use of applications from Optus and third party applications that require a BlackBerry Data connection, within Australia.</w:t>
      </w:r>
    </w:p>
    <w:p w14:paraId="3602364E" w14:textId="77777777" w:rsidR="000D07EA" w:rsidRDefault="00BE7C89">
      <w:pPr>
        <w:pStyle w:val="Heading9"/>
      </w:pPr>
      <w:r>
        <w:rPr>
          <w:i/>
        </w:rPr>
        <w:t>You</w:t>
      </w:r>
      <w:r>
        <w:t xml:space="preserve"> will also receive an amount of "Mobile Internet Data Value" which is set out in Table 3A below. </w:t>
      </w:r>
    </w:p>
    <w:p w14:paraId="0DEA21F6" w14:textId="77777777" w:rsidR="000D07EA" w:rsidRDefault="00BE7C89">
      <w:pPr>
        <w:pStyle w:val="Heading9"/>
      </w:pPr>
      <w:r>
        <w:t xml:space="preserve">The included data of the Business Complete plan can be shared with an eligible Business Mobile Broadband service. </w:t>
      </w:r>
    </w:p>
    <w:p w14:paraId="6A2582C0" w14:textId="77777777" w:rsidR="000D07EA" w:rsidRDefault="00BE7C89">
      <w:pPr>
        <w:pStyle w:val="Heading9"/>
      </w:pPr>
      <w:r>
        <w:rPr>
          <w:i/>
        </w:rPr>
        <w:t>You</w:t>
      </w:r>
      <w:r>
        <w:t xml:space="preserve"> must pay us excess usage charges for data made beyond the available "Mobile Internet Data Value". </w:t>
      </w:r>
    </w:p>
    <w:p w14:paraId="3C15FC48" w14:textId="77777777" w:rsidR="000D07EA" w:rsidRDefault="00BE7C89">
      <w:pPr>
        <w:pStyle w:val="Heading9"/>
      </w:pPr>
      <w:r>
        <w:t>Any unused portion of the "Mobile Internet Data Value" expires at the end of each month and does not roll over into the following month.</w:t>
      </w:r>
    </w:p>
    <w:p w14:paraId="327C2BA7" w14:textId="77777777" w:rsidR="000D07EA" w:rsidRDefault="00BE7C89">
      <w:pPr>
        <w:pStyle w:val="Heading9"/>
      </w:pPr>
      <w:r>
        <w:t>The usage types that are '</w:t>
      </w:r>
      <w:r>
        <w:rPr>
          <w:b/>
        </w:rPr>
        <w:t>eligible data</w:t>
      </w:r>
      <w:r>
        <w:t>' for each Business Complete Plan under the Unlimited BlackBerry POP3 Email and BlackBerry Browsing through the BlackBerry Browser are defined in Table 2B below.</w:t>
      </w:r>
    </w:p>
    <w:p w14:paraId="60A362CF" w14:textId="77777777" w:rsidR="000D07EA" w:rsidRDefault="00BE7C89">
      <w:pPr>
        <w:pStyle w:val="Heading9"/>
      </w:pPr>
      <w:r>
        <w:t>Use of Unlimited BlackBerry POP3 Email is for personal or business use. Fair Go Policy (</w:t>
      </w:r>
      <w:hyperlink r:id="rId346" w:history="1">
        <w:r>
          <w:rPr>
            <w:rStyle w:val="Hyperlink"/>
            <w:i/>
          </w:rPr>
          <w:t>Appendix S</w:t>
        </w:r>
      </w:hyperlink>
      <w:r>
        <w:t xml:space="preserve">) also applies to unacceptable use. Please refer to </w:t>
      </w:r>
      <w:hyperlink r:id="rId347" w:history="1">
        <w:r w:rsidR="00F84E53">
          <w:rPr>
            <w:rStyle w:val="Hyperlink"/>
            <w:i/>
          </w:rPr>
          <w:t>Appendix S</w:t>
        </w:r>
      </w:hyperlink>
      <w:r>
        <w:t>for further details</w:t>
      </w:r>
    </w:p>
    <w:p w14:paraId="7712816D" w14:textId="77777777" w:rsidR="000D07EA" w:rsidRDefault="00BE7C89">
      <w:pPr>
        <w:pStyle w:val="Heading7"/>
        <w:rPr>
          <w:b/>
        </w:rPr>
      </w:pPr>
      <w:r>
        <w:rPr>
          <w:b/>
        </w:rPr>
        <w:t>Unlimited mobile access to Facebook®, Twitter, LinkedIn, Ebay, FourSquare and MySpace</w:t>
      </w:r>
    </w:p>
    <w:p w14:paraId="1BFC37D3" w14:textId="77777777" w:rsidR="000D07EA" w:rsidRDefault="00BE7C89">
      <w:pPr>
        <w:pStyle w:val="Heading8"/>
      </w:pPr>
      <w:r>
        <w:t xml:space="preserve">Under the Business Complete Plans, </w:t>
      </w:r>
      <w:r>
        <w:rPr>
          <w:i/>
        </w:rPr>
        <w:t>you</w:t>
      </w:r>
      <w:r>
        <w:t xml:space="preserve"> will receive unlimited mobile access to Facebook®, Twitter, LinkedIn, Ebay, FourSquare and MySpace, within Australia,.</w:t>
      </w:r>
    </w:p>
    <w:p w14:paraId="35F64BA1" w14:textId="77777777" w:rsidR="000D07EA" w:rsidRDefault="00BE7C89">
      <w:pPr>
        <w:pStyle w:val="Heading8"/>
      </w:pPr>
      <w:r>
        <w:t xml:space="preserve">These features are only available to </w:t>
      </w:r>
      <w:r>
        <w:rPr>
          <w:i/>
        </w:rPr>
        <w:t>you</w:t>
      </w:r>
      <w:r>
        <w:t xml:space="preserve"> if your handset is compatible with the service.</w:t>
      </w:r>
    </w:p>
    <w:p w14:paraId="44C03F3F" w14:textId="77777777" w:rsidR="000D07EA" w:rsidRDefault="00BE7C89">
      <w:pPr>
        <w:pStyle w:val="Heading8"/>
      </w:pPr>
      <w:r>
        <w:t xml:space="preserve">Use of Unlimited mobile access to Facebook®, Twitter, LinkedIn, Ebay, FourSquare and MySpace is for personal or business use. Please refer to Appendix </w:t>
      </w:r>
      <w:r w:rsidR="00DD7FB0">
        <w:t>S</w:t>
      </w:r>
      <w:r>
        <w:t xml:space="preserve"> for further details. </w:t>
      </w:r>
    </w:p>
    <w:p w14:paraId="1E4732F9" w14:textId="77777777" w:rsidR="000D07EA" w:rsidRDefault="00BE7C89">
      <w:pPr>
        <w:pStyle w:val="Heading7"/>
        <w:rPr>
          <w:b/>
        </w:rPr>
      </w:pPr>
      <w:r>
        <w:rPr>
          <w:b/>
        </w:rPr>
        <w:t>Unlimited Standard National SMS Offer on the $59 Business Complete, $59 Business Complete (Premium H/set), $79 Business Complete and $79 Business Complete (Premium H/set) Plans.</w:t>
      </w:r>
    </w:p>
    <w:p w14:paraId="2C7B4131" w14:textId="77777777" w:rsidR="000D07EA" w:rsidRDefault="00BE7C89">
      <w:pPr>
        <w:pStyle w:val="Heading8"/>
      </w:pPr>
      <w:r>
        <w:t>Under the $59 Business Complete, $59 Business Complete (Premium H/set), $79 Business Complete and $79 Business Complete (Premium H/set) plans you will receive the Unlimited standard national SMS Offer and may send unlimited standard national SMS to Australian GSM mobiles (excluding Pivotel), within Australia.</w:t>
      </w:r>
    </w:p>
    <w:p w14:paraId="0F80BA43" w14:textId="77777777" w:rsidR="000D07EA" w:rsidRDefault="00BE7C89">
      <w:pPr>
        <w:pStyle w:val="Heading8"/>
      </w:pPr>
      <w:r>
        <w:t>Unlimited standard national SMS offer excludes International, Premium, Group and Email SMS.</w:t>
      </w:r>
    </w:p>
    <w:p w14:paraId="58765E6D" w14:textId="77777777" w:rsidR="000D07EA" w:rsidRDefault="00BE7C89">
      <w:pPr>
        <w:pStyle w:val="Heading8"/>
      </w:pPr>
      <w:r>
        <w:rPr>
          <w:i/>
        </w:rPr>
        <w:t>You</w:t>
      </w:r>
      <w:r>
        <w:t xml:space="preserve"> must pay for any messages that are not eligible messages.</w:t>
      </w:r>
    </w:p>
    <w:p w14:paraId="50115D61" w14:textId="77777777" w:rsidR="000D07EA" w:rsidRDefault="00BE7C89">
      <w:pPr>
        <w:pStyle w:val="Heading8"/>
      </w:pPr>
      <w:r>
        <w:t>Any unused portion of the plan expires at the end of each month. This means that it does not roll over into following month.</w:t>
      </w:r>
    </w:p>
    <w:p w14:paraId="45382DA7" w14:textId="77777777" w:rsidR="000D07EA" w:rsidRDefault="00BE7C89">
      <w:pPr>
        <w:pStyle w:val="Heading8"/>
      </w:pPr>
      <w:r>
        <w:t xml:space="preserve">The unlimited standard national SMS offer only applies for personal and business use. For further details refer to Appendix </w:t>
      </w:r>
      <w:r w:rsidR="00DD7FB0">
        <w:t>S</w:t>
      </w:r>
      <w:r>
        <w:t xml:space="preserve">. </w:t>
      </w:r>
    </w:p>
    <w:p w14:paraId="173C2A39" w14:textId="77777777" w:rsidR="000D07EA" w:rsidRDefault="00BE7C89">
      <w:pPr>
        <w:pStyle w:val="Heading7"/>
        <w:rPr>
          <w:b/>
        </w:rPr>
      </w:pPr>
      <w:r>
        <w:rPr>
          <w:b/>
        </w:rPr>
        <w:lastRenderedPageBreak/>
        <w:t>Unlimited calls to Optus GSM Mobiles on Same Customer Account Number.</w:t>
      </w:r>
    </w:p>
    <w:p w14:paraId="7A2C9C47" w14:textId="77777777" w:rsidR="000D07EA" w:rsidRDefault="00BE7C89">
      <w:pPr>
        <w:pStyle w:val="Heading8"/>
      </w:pPr>
      <w:r>
        <w:t xml:space="preserve">If </w:t>
      </w:r>
      <w:r>
        <w:rPr>
          <w:i/>
        </w:rPr>
        <w:t>you</w:t>
      </w:r>
      <w:r>
        <w:t xml:space="preserve"> connect to the Business Complete Plans, </w:t>
      </w:r>
      <w:r>
        <w:rPr>
          <w:i/>
        </w:rPr>
        <w:t>you</w:t>
      </w:r>
      <w:r>
        <w:t xml:space="preserve"> will receive unlimited national standard voice calls within Australia to other Optus GSM Mobile services on the same customer account number for no additional cost. Fair Go Policy (</w:t>
      </w:r>
      <w:hyperlink r:id="rId348" w:history="1">
        <w:r>
          <w:rPr>
            <w:rStyle w:val="Hyperlink"/>
            <w:i/>
          </w:rPr>
          <w:t>Appendix S</w:t>
        </w:r>
      </w:hyperlink>
      <w:r>
        <w:t>) applies.</w:t>
      </w:r>
    </w:p>
    <w:p w14:paraId="1C744C40" w14:textId="77777777" w:rsidR="000D07EA" w:rsidRDefault="00BE7C89">
      <w:pPr>
        <w:pStyle w:val="Heading8"/>
      </w:pPr>
      <w:r>
        <w:rPr>
          <w:i/>
        </w:rPr>
        <w:t>You</w:t>
      </w:r>
      <w:r>
        <w:t xml:space="preserve"> must pay for any calls that are not eligible calls.</w:t>
      </w:r>
    </w:p>
    <w:p w14:paraId="349E01DA" w14:textId="77777777" w:rsidR="000D07EA" w:rsidRDefault="00BE7C89">
      <w:pPr>
        <w:pStyle w:val="Heading8"/>
      </w:pPr>
      <w:r>
        <w:t>The Fair Go Policy (</w:t>
      </w:r>
      <w:hyperlink r:id="rId349" w:history="1">
        <w:r>
          <w:rPr>
            <w:rStyle w:val="Hyperlink"/>
            <w:i/>
          </w:rPr>
          <w:t>Appendix S</w:t>
        </w:r>
      </w:hyperlink>
      <w:r>
        <w:t xml:space="preserve">) applies for the use of Unlimited Optus GSM Mobile Calls on Same Customer Account Number Offer. Please refer to </w:t>
      </w:r>
      <w:hyperlink r:id="rId350" w:history="1">
        <w:r w:rsidR="00F84E53">
          <w:rPr>
            <w:rStyle w:val="Hyperlink"/>
            <w:i/>
          </w:rPr>
          <w:t>Appendix S</w:t>
        </w:r>
      </w:hyperlink>
      <w:r>
        <w:t>for further details.</w:t>
      </w:r>
    </w:p>
    <w:p w14:paraId="2CB9D06D" w14:textId="77777777" w:rsidR="000D07EA" w:rsidRDefault="00BE7C89">
      <w:pPr>
        <w:pStyle w:val="Heading7"/>
        <w:rPr>
          <w:b/>
        </w:rPr>
      </w:pPr>
      <w:r>
        <w:rPr>
          <w:b/>
        </w:rPr>
        <w:t xml:space="preserve">Upon connection to the Business Complete plans </w:t>
      </w:r>
      <w:r>
        <w:rPr>
          <w:b/>
          <w:i/>
        </w:rPr>
        <w:t>you</w:t>
      </w:r>
      <w:r>
        <w:rPr>
          <w:b/>
        </w:rPr>
        <w:t xml:space="preserve"> will receive Unlimited VoiceMail. </w:t>
      </w:r>
    </w:p>
    <w:p w14:paraId="6F7DC355" w14:textId="77777777" w:rsidR="000D07EA" w:rsidRDefault="00BE7C89">
      <w:pPr>
        <w:pStyle w:val="BodyText"/>
        <w:ind w:left="1440"/>
      </w:pPr>
      <w:r>
        <w:t>Unlimited VoiceMail applies to VoiceMail Deposits and Retrievals, within Australia. Diversion charges may still apply. Subject to Fair Go Policy (</w:t>
      </w:r>
      <w:hyperlink r:id="rId351" w:history="1">
        <w:r>
          <w:rPr>
            <w:rStyle w:val="Hyperlink"/>
            <w:i/>
          </w:rPr>
          <w:t>Appendix S</w:t>
        </w:r>
      </w:hyperlink>
      <w:r>
        <w:t>).</w:t>
      </w:r>
    </w:p>
    <w:p w14:paraId="46BB76A2" w14:textId="77777777" w:rsidR="000D07EA" w:rsidRDefault="00BE7C89">
      <w:pPr>
        <w:pStyle w:val="Heading7"/>
        <w:rPr>
          <w:b/>
        </w:rPr>
      </w:pPr>
      <w:r>
        <w:rPr>
          <w:b/>
        </w:rPr>
        <w:t>Other Busines</w:t>
      </w:r>
      <w:r>
        <w:rPr>
          <w:rStyle w:val="Heading7Char"/>
          <w:b/>
        </w:rPr>
        <w:t>s</w:t>
      </w:r>
      <w:r>
        <w:rPr>
          <w:b/>
        </w:rPr>
        <w:t xml:space="preserve"> Complete Plans Conditions: </w:t>
      </w:r>
    </w:p>
    <w:p w14:paraId="20C30E47" w14:textId="77777777" w:rsidR="000D07EA" w:rsidRDefault="00BE7C89">
      <w:pPr>
        <w:pStyle w:val="Heading8"/>
      </w:pPr>
      <w:r>
        <w:t>The Fair Go Policy (</w:t>
      </w:r>
      <w:hyperlink r:id="rId352" w:history="1">
        <w:r>
          <w:rPr>
            <w:rStyle w:val="Hyperlink"/>
            <w:i/>
          </w:rPr>
          <w:t>Appendix S</w:t>
        </w:r>
      </w:hyperlink>
      <w:r>
        <w:t xml:space="preserve">) applies to Voice Over Internet Protocol (VOIP) services up to 10 megabytes per month. Please refer to </w:t>
      </w:r>
      <w:hyperlink r:id="rId353" w:history="1">
        <w:r w:rsidR="00F84E53">
          <w:rPr>
            <w:rStyle w:val="Hyperlink"/>
            <w:i/>
          </w:rPr>
          <w:t>Appendix S</w:t>
        </w:r>
      </w:hyperlink>
      <w:r>
        <w:t>.</w:t>
      </w:r>
    </w:p>
    <w:p w14:paraId="76078312" w14:textId="77777777" w:rsidR="000D07EA" w:rsidRDefault="00BE7C89">
      <w:pPr>
        <w:pStyle w:val="Heading8"/>
      </w:pPr>
      <w:r>
        <w:t xml:space="preserve">Voice Over Internet Protocol (VOIP) services will be charged at 1.5c per kilobyte of usage, capped at $9.90 per month until </w:t>
      </w:r>
      <w:r>
        <w:rPr>
          <w:i/>
        </w:rPr>
        <w:t>you</w:t>
      </w:r>
      <w:r>
        <w:t xml:space="preserve"> reach 5 megabytes of usage in that month, after which </w:t>
      </w:r>
      <w:r>
        <w:rPr>
          <w:i/>
        </w:rPr>
        <w:t>you</w:t>
      </w:r>
      <w:r>
        <w:t xml:space="preserve"> will be charged at 0.3c per kilobyte of usage for the remainder of that month.</w:t>
      </w:r>
    </w:p>
    <w:p w14:paraId="193C3C1B" w14:textId="77777777" w:rsidR="000D07EA" w:rsidRDefault="00BE7C89">
      <w:pPr>
        <w:pStyle w:val="Heading8"/>
      </w:pPr>
      <w:r>
        <w:t xml:space="preserve">Available features will vary depending on </w:t>
      </w:r>
      <w:r>
        <w:rPr>
          <w:i/>
        </w:rPr>
        <w:t>your</w:t>
      </w:r>
      <w:r>
        <w:t xml:space="preserve"> handset or software version. </w:t>
      </w:r>
    </w:p>
    <w:p w14:paraId="36DAA74F" w14:textId="77777777" w:rsidR="000D07EA" w:rsidRDefault="00BE7C89">
      <w:pPr>
        <w:pStyle w:val="Heading7"/>
        <w:rPr>
          <w:b/>
        </w:rPr>
      </w:pPr>
      <w:r>
        <w:rPr>
          <w:b/>
        </w:rPr>
        <w:t xml:space="preserve">Eligible Calls and Pricing </w:t>
      </w:r>
      <w:r>
        <w:rPr>
          <w:rStyle w:val="Heading6Char"/>
          <w:b/>
        </w:rPr>
        <w:t>P</w:t>
      </w:r>
      <w:r>
        <w:rPr>
          <w:b/>
        </w:rPr>
        <w:t>lans</w:t>
      </w:r>
    </w:p>
    <w:p w14:paraId="7D5150D2" w14:textId="77777777" w:rsidR="000D07EA" w:rsidRDefault="00BE7C89">
      <w:pPr>
        <w:pStyle w:val="Heading8"/>
      </w:pPr>
      <w:r>
        <w:t xml:space="preserve">Table 1A below indicates whether particular call types are an 'eligible call and text' which count towards the "Included Cap Value" and Minimum Monthly Charge of </w:t>
      </w:r>
      <w:r>
        <w:rPr>
          <w:i/>
        </w:rPr>
        <w:t>your</w:t>
      </w:r>
      <w:r>
        <w:t xml:space="preserve"> selected Business Complete Plan. </w:t>
      </w:r>
    </w:p>
    <w:p w14:paraId="3396814D" w14:textId="77777777" w:rsidR="000D07EA" w:rsidRDefault="00BE7C89">
      <w:pPr>
        <w:pStyle w:val="Heading8"/>
      </w:pPr>
      <w:r>
        <w:t xml:space="preserve">Table 2A below indicates whether a particular call type is 'eligible data usage' which counts towards the data value of </w:t>
      </w:r>
      <w:r>
        <w:rPr>
          <w:i/>
        </w:rPr>
        <w:t>your</w:t>
      </w:r>
      <w:r>
        <w:t xml:space="preserve"> selected Business Complete Plan.</w:t>
      </w:r>
    </w:p>
    <w:p w14:paraId="2FEB27F0" w14:textId="77777777" w:rsidR="000D07EA" w:rsidRDefault="00BE7C89">
      <w:pPr>
        <w:pStyle w:val="Heading8"/>
      </w:pPr>
      <w:r>
        <w:t xml:space="preserve">Table 2B below indicates whether a particular data type is 'eligible data usage' which counts towards the Unlimited BlackBerry POP3 Email and BlackBerry Browsing through the BlackBerry Browser value of </w:t>
      </w:r>
      <w:r>
        <w:rPr>
          <w:i/>
        </w:rPr>
        <w:t>your</w:t>
      </w:r>
      <w:r>
        <w:t xml:space="preserve"> selected Business Complete Ultimate Plan.</w:t>
      </w:r>
    </w:p>
    <w:p w14:paraId="6B67E82B" w14:textId="77777777" w:rsidR="000D07EA" w:rsidRDefault="00BE7C89">
      <w:pPr>
        <w:pStyle w:val="Heading8"/>
      </w:pPr>
      <w:r>
        <w:t>Table 3A below contains details of each Business Complete Plan.</w:t>
      </w:r>
    </w:p>
    <w:p w14:paraId="0C42AC7D" w14:textId="77777777" w:rsidR="000D07EA" w:rsidRDefault="00BE7C89">
      <w:pPr>
        <w:pStyle w:val="BodyText"/>
        <w:ind w:left="720"/>
        <w:rPr>
          <w:b/>
        </w:rPr>
      </w:pPr>
      <w:r>
        <w:rPr>
          <w:b/>
        </w:rPr>
        <w:t>Table 1A – Eligible Calls and Text for the Included Cap Value</w:t>
      </w: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730"/>
        <w:gridCol w:w="4731"/>
      </w:tblGrid>
      <w:tr w:rsidR="000D07EA" w14:paraId="64C75A84" w14:textId="77777777">
        <w:trPr>
          <w:tblHeader/>
        </w:trPr>
        <w:tc>
          <w:tcPr>
            <w:tcW w:w="2500" w:type="pct"/>
          </w:tcPr>
          <w:p w14:paraId="74DFFC6B" w14:textId="77777777" w:rsidR="000D07EA" w:rsidRDefault="00BE7C89">
            <w:pPr>
              <w:pStyle w:val="BodyText"/>
              <w:spacing w:before="100" w:after="100"/>
              <w:rPr>
                <w:b/>
              </w:rPr>
            </w:pPr>
            <w:r>
              <w:rPr>
                <w:b/>
              </w:rPr>
              <w:t>Call Type</w:t>
            </w:r>
          </w:p>
        </w:tc>
        <w:tc>
          <w:tcPr>
            <w:tcW w:w="2500" w:type="pct"/>
          </w:tcPr>
          <w:p w14:paraId="4FE379E0" w14:textId="77777777" w:rsidR="000D07EA" w:rsidRDefault="00BE7C89">
            <w:pPr>
              <w:pStyle w:val="BodyText"/>
              <w:spacing w:before="100" w:after="100"/>
              <w:jc w:val="center"/>
              <w:rPr>
                <w:b/>
              </w:rPr>
            </w:pPr>
            <w:r>
              <w:rPr>
                <w:b/>
              </w:rPr>
              <w:t>Eligible Call</w:t>
            </w:r>
          </w:p>
        </w:tc>
      </w:tr>
      <w:tr w:rsidR="000D07EA" w14:paraId="77EA4543" w14:textId="77777777">
        <w:tc>
          <w:tcPr>
            <w:tcW w:w="2500" w:type="pct"/>
          </w:tcPr>
          <w:p w14:paraId="4EE8797B" w14:textId="77777777" w:rsidR="000D07EA" w:rsidRDefault="00BE7C89">
            <w:pPr>
              <w:pStyle w:val="BodyText"/>
              <w:spacing w:before="100" w:after="100"/>
            </w:pPr>
            <w:r>
              <w:t>National Voice Calls</w:t>
            </w:r>
          </w:p>
        </w:tc>
        <w:tc>
          <w:tcPr>
            <w:tcW w:w="2500" w:type="pct"/>
          </w:tcPr>
          <w:p w14:paraId="4789435E" w14:textId="77777777" w:rsidR="000D07EA" w:rsidRDefault="00BE7C89">
            <w:pPr>
              <w:pStyle w:val="BodyText"/>
              <w:spacing w:before="100" w:after="100"/>
              <w:jc w:val="center"/>
            </w:pPr>
            <w:r>
              <w:t>Yes</w:t>
            </w:r>
          </w:p>
        </w:tc>
      </w:tr>
      <w:tr w:rsidR="000D07EA" w14:paraId="351DFE99" w14:textId="77777777">
        <w:trPr>
          <w:trHeight w:val="597"/>
        </w:trPr>
        <w:tc>
          <w:tcPr>
            <w:tcW w:w="2500" w:type="pct"/>
          </w:tcPr>
          <w:p w14:paraId="71700C8E" w14:textId="77777777" w:rsidR="000D07EA" w:rsidRDefault="00BE7C89">
            <w:pPr>
              <w:pStyle w:val="BodyText"/>
              <w:spacing w:before="100" w:after="100"/>
            </w:pPr>
            <w:r>
              <w:t>International Voice Calls</w:t>
            </w:r>
          </w:p>
          <w:p w14:paraId="729E8F1B" w14:textId="77777777" w:rsidR="000D07EA" w:rsidRDefault="00BE7C89">
            <w:pPr>
              <w:pStyle w:val="BodyText"/>
              <w:spacing w:before="100" w:after="100"/>
            </w:pPr>
            <w:r>
              <w:rPr>
                <w:snapToGrid w:val="0"/>
              </w:rPr>
              <w:t>(includes calls to national fixed or GSM mobile services that then divert/switch or re-route overseas)</w:t>
            </w:r>
          </w:p>
        </w:tc>
        <w:tc>
          <w:tcPr>
            <w:tcW w:w="2500" w:type="pct"/>
          </w:tcPr>
          <w:p w14:paraId="47E4F1D3" w14:textId="77777777" w:rsidR="000D07EA" w:rsidRDefault="00BE7C89">
            <w:pPr>
              <w:pStyle w:val="BodyText"/>
              <w:spacing w:before="100" w:after="100"/>
              <w:jc w:val="center"/>
            </w:pPr>
            <w:r>
              <w:t>No</w:t>
            </w:r>
          </w:p>
        </w:tc>
      </w:tr>
      <w:tr w:rsidR="000D07EA" w14:paraId="137AF469" w14:textId="77777777">
        <w:tc>
          <w:tcPr>
            <w:tcW w:w="2500" w:type="pct"/>
          </w:tcPr>
          <w:p w14:paraId="5ABD1058" w14:textId="77777777" w:rsidR="000D07EA" w:rsidRDefault="00BE7C89">
            <w:pPr>
              <w:pStyle w:val="BodyText"/>
              <w:spacing w:before="100" w:after="100"/>
            </w:pPr>
            <w:r>
              <w:t>National Video Calls</w:t>
            </w:r>
          </w:p>
        </w:tc>
        <w:tc>
          <w:tcPr>
            <w:tcW w:w="2500" w:type="pct"/>
          </w:tcPr>
          <w:p w14:paraId="2228D4DD" w14:textId="77777777" w:rsidR="000D07EA" w:rsidRDefault="00BE7C89">
            <w:pPr>
              <w:pStyle w:val="BodyText"/>
              <w:spacing w:before="100" w:after="100"/>
              <w:jc w:val="center"/>
            </w:pPr>
            <w:r>
              <w:t>Yes</w:t>
            </w:r>
          </w:p>
        </w:tc>
      </w:tr>
      <w:tr w:rsidR="000D07EA" w14:paraId="6C7C1D8E" w14:textId="77777777">
        <w:tc>
          <w:tcPr>
            <w:tcW w:w="2500" w:type="pct"/>
          </w:tcPr>
          <w:p w14:paraId="6EFF169D" w14:textId="77777777" w:rsidR="000D07EA" w:rsidRDefault="00BE7C89">
            <w:pPr>
              <w:pStyle w:val="BodyText"/>
              <w:spacing w:before="100" w:after="100"/>
            </w:pPr>
            <w:r>
              <w:t>International Video Calls</w:t>
            </w:r>
          </w:p>
          <w:p w14:paraId="4B138743" w14:textId="77777777" w:rsidR="000D07EA" w:rsidRDefault="00BE7C89">
            <w:pPr>
              <w:pStyle w:val="BodyText"/>
              <w:spacing w:before="100" w:after="100"/>
            </w:pPr>
            <w:r>
              <w:rPr>
                <w:snapToGrid w:val="0"/>
              </w:rPr>
              <w:t>(includes calls to national fixed or GSM mobile services that then divert/switch or re-route overseas)</w:t>
            </w:r>
          </w:p>
        </w:tc>
        <w:tc>
          <w:tcPr>
            <w:tcW w:w="2500" w:type="pct"/>
          </w:tcPr>
          <w:p w14:paraId="4738E37D" w14:textId="77777777" w:rsidR="000D07EA" w:rsidRDefault="00BE7C89">
            <w:pPr>
              <w:pStyle w:val="BodyText"/>
              <w:spacing w:before="100" w:after="100"/>
              <w:jc w:val="center"/>
            </w:pPr>
            <w:r>
              <w:t>No</w:t>
            </w:r>
          </w:p>
        </w:tc>
      </w:tr>
      <w:tr w:rsidR="000D07EA" w14:paraId="70CAB7A2" w14:textId="77777777">
        <w:tc>
          <w:tcPr>
            <w:tcW w:w="2500" w:type="pct"/>
          </w:tcPr>
          <w:p w14:paraId="7086C70C" w14:textId="77777777" w:rsidR="000D07EA" w:rsidRDefault="00BE7C89">
            <w:pPr>
              <w:pStyle w:val="BodyText"/>
              <w:spacing w:before="100" w:after="100"/>
            </w:pPr>
            <w:r>
              <w:t>National SMS</w:t>
            </w:r>
          </w:p>
        </w:tc>
        <w:tc>
          <w:tcPr>
            <w:tcW w:w="2500" w:type="pct"/>
          </w:tcPr>
          <w:p w14:paraId="7D8EF7F0" w14:textId="77777777" w:rsidR="000D07EA" w:rsidRDefault="00BE7C89">
            <w:pPr>
              <w:pStyle w:val="BodyText"/>
              <w:spacing w:before="100" w:after="100"/>
              <w:jc w:val="center"/>
            </w:pPr>
            <w:r>
              <w:t>Yes</w:t>
            </w:r>
          </w:p>
        </w:tc>
      </w:tr>
      <w:tr w:rsidR="000D07EA" w14:paraId="73140F81" w14:textId="77777777">
        <w:tc>
          <w:tcPr>
            <w:tcW w:w="2500" w:type="pct"/>
          </w:tcPr>
          <w:p w14:paraId="2BF3AF06" w14:textId="77777777" w:rsidR="000D07EA" w:rsidRDefault="00BE7C89">
            <w:pPr>
              <w:pStyle w:val="BodyText"/>
              <w:spacing w:before="100" w:after="100"/>
            </w:pPr>
            <w:r>
              <w:lastRenderedPageBreak/>
              <w:t>International SMS</w:t>
            </w:r>
          </w:p>
        </w:tc>
        <w:tc>
          <w:tcPr>
            <w:tcW w:w="2500" w:type="pct"/>
          </w:tcPr>
          <w:p w14:paraId="3E8E45AF" w14:textId="77777777" w:rsidR="000D07EA" w:rsidRDefault="00BE7C89">
            <w:pPr>
              <w:pStyle w:val="BodyText"/>
              <w:spacing w:before="100" w:after="100"/>
              <w:jc w:val="center"/>
            </w:pPr>
            <w:r>
              <w:t>No</w:t>
            </w:r>
          </w:p>
        </w:tc>
      </w:tr>
      <w:tr w:rsidR="000D07EA" w14:paraId="353A38F8" w14:textId="77777777">
        <w:tc>
          <w:tcPr>
            <w:tcW w:w="2500" w:type="pct"/>
          </w:tcPr>
          <w:p w14:paraId="63A3CC42" w14:textId="77777777" w:rsidR="000D07EA" w:rsidRDefault="00BE7C89">
            <w:pPr>
              <w:pStyle w:val="BodyText"/>
              <w:spacing w:before="100" w:after="100"/>
            </w:pPr>
            <w:r>
              <w:t>Voicemail Deposit, Retrievals and Diversions</w:t>
            </w:r>
          </w:p>
        </w:tc>
        <w:tc>
          <w:tcPr>
            <w:tcW w:w="2500" w:type="pct"/>
          </w:tcPr>
          <w:p w14:paraId="1DDFFEAF" w14:textId="77777777" w:rsidR="000D07EA" w:rsidRDefault="00BE7C89">
            <w:pPr>
              <w:pStyle w:val="BodyText"/>
              <w:spacing w:before="100" w:after="100"/>
              <w:jc w:val="center"/>
            </w:pPr>
            <w:r>
              <w:t>Yes</w:t>
            </w:r>
          </w:p>
        </w:tc>
      </w:tr>
      <w:tr w:rsidR="000D07EA" w14:paraId="0C7622E0" w14:textId="77777777">
        <w:tc>
          <w:tcPr>
            <w:tcW w:w="2500" w:type="pct"/>
          </w:tcPr>
          <w:p w14:paraId="15A8612E" w14:textId="77777777" w:rsidR="000D07EA" w:rsidRDefault="00BE7C89">
            <w:pPr>
              <w:pStyle w:val="BodyText"/>
              <w:spacing w:before="100" w:after="100"/>
            </w:pPr>
            <w:r>
              <w:t>International Roaming &amp; Diversion</w:t>
            </w:r>
          </w:p>
        </w:tc>
        <w:tc>
          <w:tcPr>
            <w:tcW w:w="2500" w:type="pct"/>
          </w:tcPr>
          <w:p w14:paraId="77A4E871" w14:textId="77777777" w:rsidR="000D07EA" w:rsidRDefault="00BE7C89">
            <w:pPr>
              <w:pStyle w:val="BodyText"/>
              <w:spacing w:before="100" w:after="100"/>
              <w:jc w:val="center"/>
            </w:pPr>
            <w:r>
              <w:t>No</w:t>
            </w:r>
          </w:p>
        </w:tc>
      </w:tr>
      <w:tr w:rsidR="000D07EA" w14:paraId="736B4A9B" w14:textId="77777777">
        <w:tc>
          <w:tcPr>
            <w:tcW w:w="2500" w:type="pct"/>
          </w:tcPr>
          <w:p w14:paraId="2B24AD8A" w14:textId="77777777" w:rsidR="000D07EA" w:rsidRDefault="00BE7C89">
            <w:pPr>
              <w:pStyle w:val="BodyText"/>
              <w:spacing w:before="100" w:after="100"/>
            </w:pPr>
            <w:r>
              <w:t>Premium SMS</w:t>
            </w:r>
          </w:p>
        </w:tc>
        <w:tc>
          <w:tcPr>
            <w:tcW w:w="2500" w:type="pct"/>
          </w:tcPr>
          <w:p w14:paraId="39224985" w14:textId="77777777" w:rsidR="000D07EA" w:rsidRDefault="00BE7C89">
            <w:pPr>
              <w:pStyle w:val="BodyText"/>
              <w:spacing w:before="100" w:after="100"/>
              <w:jc w:val="center"/>
            </w:pPr>
            <w:r>
              <w:t>No</w:t>
            </w:r>
          </w:p>
        </w:tc>
      </w:tr>
      <w:tr w:rsidR="000D07EA" w14:paraId="7362568F" w14:textId="77777777">
        <w:tc>
          <w:tcPr>
            <w:tcW w:w="2500" w:type="pct"/>
          </w:tcPr>
          <w:p w14:paraId="761A0D99" w14:textId="77777777" w:rsidR="000D07EA" w:rsidRDefault="00BE7C89">
            <w:pPr>
              <w:pStyle w:val="BodyText"/>
              <w:spacing w:before="100" w:after="100"/>
            </w:pPr>
            <w:r>
              <w:t xml:space="preserve">Premium Video </w:t>
            </w:r>
          </w:p>
        </w:tc>
        <w:tc>
          <w:tcPr>
            <w:tcW w:w="2500" w:type="pct"/>
          </w:tcPr>
          <w:p w14:paraId="608898FF" w14:textId="77777777" w:rsidR="000D07EA" w:rsidRDefault="00BE7C89">
            <w:pPr>
              <w:pStyle w:val="BodyText"/>
              <w:spacing w:before="100" w:after="100"/>
              <w:jc w:val="center"/>
            </w:pPr>
            <w:r>
              <w:t>No</w:t>
            </w:r>
          </w:p>
        </w:tc>
      </w:tr>
      <w:tr w:rsidR="000D07EA" w14:paraId="40569BD8" w14:textId="77777777">
        <w:tc>
          <w:tcPr>
            <w:tcW w:w="2500" w:type="pct"/>
          </w:tcPr>
          <w:p w14:paraId="1E9FA9AE" w14:textId="77777777" w:rsidR="000D07EA" w:rsidRDefault="00BE7C89">
            <w:pPr>
              <w:pStyle w:val="BodyText"/>
              <w:spacing w:before="100" w:after="100"/>
            </w:pPr>
            <w:r>
              <w:t xml:space="preserve">Video Conferencing </w:t>
            </w:r>
          </w:p>
        </w:tc>
        <w:tc>
          <w:tcPr>
            <w:tcW w:w="2500" w:type="pct"/>
          </w:tcPr>
          <w:p w14:paraId="6E3D4A41" w14:textId="77777777" w:rsidR="000D07EA" w:rsidRDefault="00BE7C89">
            <w:pPr>
              <w:pStyle w:val="BodyText"/>
              <w:spacing w:before="100" w:after="100"/>
              <w:jc w:val="center"/>
            </w:pPr>
            <w:r>
              <w:t>No</w:t>
            </w:r>
          </w:p>
        </w:tc>
      </w:tr>
      <w:tr w:rsidR="000D07EA" w14:paraId="77BCDBB7" w14:textId="77777777">
        <w:tc>
          <w:tcPr>
            <w:tcW w:w="2500" w:type="pct"/>
          </w:tcPr>
          <w:p w14:paraId="55A58D9A" w14:textId="77777777" w:rsidR="000D07EA" w:rsidRDefault="00BE7C89">
            <w:pPr>
              <w:pStyle w:val="BodyText"/>
              <w:spacing w:before="100" w:after="100"/>
            </w:pPr>
            <w:r>
              <w:t>National MMS</w:t>
            </w:r>
          </w:p>
        </w:tc>
        <w:tc>
          <w:tcPr>
            <w:tcW w:w="2500" w:type="pct"/>
          </w:tcPr>
          <w:p w14:paraId="4B362882" w14:textId="77777777" w:rsidR="000D07EA" w:rsidRDefault="00BE7C89">
            <w:pPr>
              <w:pStyle w:val="BodyText"/>
              <w:spacing w:before="100" w:after="100"/>
              <w:jc w:val="center"/>
            </w:pPr>
            <w:r>
              <w:t>Yes</w:t>
            </w:r>
          </w:p>
        </w:tc>
      </w:tr>
      <w:tr w:rsidR="000D07EA" w14:paraId="7F383147" w14:textId="77777777">
        <w:tc>
          <w:tcPr>
            <w:tcW w:w="2500" w:type="pct"/>
          </w:tcPr>
          <w:p w14:paraId="2345E92D" w14:textId="77777777" w:rsidR="000D07EA" w:rsidRDefault="00BE7C89">
            <w:pPr>
              <w:pStyle w:val="BodyText"/>
              <w:spacing w:before="100" w:after="100"/>
            </w:pPr>
            <w:r>
              <w:t>International MMS</w:t>
            </w:r>
          </w:p>
        </w:tc>
        <w:tc>
          <w:tcPr>
            <w:tcW w:w="2500" w:type="pct"/>
          </w:tcPr>
          <w:p w14:paraId="4C0F3A30" w14:textId="77777777" w:rsidR="000D07EA" w:rsidRDefault="00BE7C89">
            <w:pPr>
              <w:pStyle w:val="BodyText"/>
              <w:spacing w:before="100" w:after="100"/>
              <w:jc w:val="center"/>
            </w:pPr>
            <w:r>
              <w:t>No</w:t>
            </w:r>
          </w:p>
        </w:tc>
      </w:tr>
      <w:tr w:rsidR="000D07EA" w14:paraId="0F44CC00" w14:textId="77777777">
        <w:tc>
          <w:tcPr>
            <w:tcW w:w="2500" w:type="pct"/>
          </w:tcPr>
          <w:p w14:paraId="29C77BF0" w14:textId="77777777" w:rsidR="000D07EA" w:rsidRDefault="00BE7C89">
            <w:pPr>
              <w:pStyle w:val="BodyText"/>
              <w:spacing w:before="100" w:after="100"/>
            </w:pPr>
            <w:r>
              <w:t>Optus Zoo or Optus Zoo Browsing</w:t>
            </w:r>
          </w:p>
        </w:tc>
        <w:tc>
          <w:tcPr>
            <w:tcW w:w="2500" w:type="pct"/>
          </w:tcPr>
          <w:p w14:paraId="64EA6580" w14:textId="77777777" w:rsidR="000D07EA" w:rsidRDefault="00BE7C89">
            <w:pPr>
              <w:pStyle w:val="BodyText"/>
              <w:spacing w:before="100" w:after="100"/>
              <w:jc w:val="center"/>
            </w:pPr>
            <w:r>
              <w:t>No</w:t>
            </w:r>
          </w:p>
        </w:tc>
      </w:tr>
      <w:tr w:rsidR="000D07EA" w14:paraId="5F3FD4C9" w14:textId="77777777">
        <w:tc>
          <w:tcPr>
            <w:tcW w:w="2500" w:type="pct"/>
          </w:tcPr>
          <w:p w14:paraId="5D52D013" w14:textId="77777777" w:rsidR="000D07EA" w:rsidRDefault="00BE7C89">
            <w:pPr>
              <w:pStyle w:val="BodyText"/>
              <w:spacing w:before="100" w:after="100"/>
            </w:pPr>
            <w:r>
              <w:t>Optus Zoo or Optus Zoo Downloads</w:t>
            </w:r>
          </w:p>
        </w:tc>
        <w:tc>
          <w:tcPr>
            <w:tcW w:w="2500" w:type="pct"/>
          </w:tcPr>
          <w:p w14:paraId="4D054BF5" w14:textId="77777777" w:rsidR="000D07EA" w:rsidRDefault="00BE7C89">
            <w:pPr>
              <w:pStyle w:val="BodyText"/>
              <w:spacing w:before="100" w:after="100"/>
              <w:jc w:val="center"/>
            </w:pPr>
            <w:r>
              <w:t>No</w:t>
            </w:r>
          </w:p>
        </w:tc>
      </w:tr>
      <w:tr w:rsidR="000D07EA" w14:paraId="5581B833" w14:textId="77777777">
        <w:tc>
          <w:tcPr>
            <w:tcW w:w="2500" w:type="pct"/>
          </w:tcPr>
          <w:p w14:paraId="2ED31A9B" w14:textId="77777777" w:rsidR="000D07EA" w:rsidRDefault="00BE7C89">
            <w:pPr>
              <w:pStyle w:val="BodyText"/>
              <w:spacing w:before="100" w:after="100"/>
            </w:pPr>
            <w:r>
              <w:t>SMS to 966 (Zoo)</w:t>
            </w:r>
          </w:p>
        </w:tc>
        <w:tc>
          <w:tcPr>
            <w:tcW w:w="2500" w:type="pct"/>
          </w:tcPr>
          <w:p w14:paraId="73B08240" w14:textId="77777777" w:rsidR="000D07EA" w:rsidRDefault="00BE7C89">
            <w:pPr>
              <w:pStyle w:val="BodyText"/>
              <w:spacing w:before="100" w:after="100"/>
              <w:jc w:val="center"/>
            </w:pPr>
            <w:r>
              <w:t>No</w:t>
            </w:r>
          </w:p>
        </w:tc>
      </w:tr>
      <w:tr w:rsidR="000D07EA" w14:paraId="050C3278" w14:textId="77777777">
        <w:tc>
          <w:tcPr>
            <w:tcW w:w="2500" w:type="pct"/>
          </w:tcPr>
          <w:p w14:paraId="6C846C8B" w14:textId="77777777" w:rsidR="000D07EA" w:rsidRDefault="00BE7C89">
            <w:pPr>
              <w:pStyle w:val="BodyText"/>
              <w:spacing w:before="100" w:after="100"/>
            </w:pPr>
            <w:r>
              <w:t>Data used whilst roaming internationally</w:t>
            </w:r>
          </w:p>
        </w:tc>
        <w:tc>
          <w:tcPr>
            <w:tcW w:w="2500" w:type="pct"/>
          </w:tcPr>
          <w:p w14:paraId="2F44FF8B" w14:textId="77777777" w:rsidR="000D07EA" w:rsidRDefault="00BE7C89">
            <w:pPr>
              <w:pStyle w:val="BodyText"/>
              <w:spacing w:before="100" w:after="100"/>
              <w:jc w:val="center"/>
            </w:pPr>
            <w:r>
              <w:t>No</w:t>
            </w:r>
          </w:p>
        </w:tc>
      </w:tr>
      <w:tr w:rsidR="000D07EA" w14:paraId="5206EEBD" w14:textId="77777777">
        <w:tc>
          <w:tcPr>
            <w:tcW w:w="2500" w:type="pct"/>
          </w:tcPr>
          <w:p w14:paraId="3FF8D732" w14:textId="77777777" w:rsidR="000D07EA" w:rsidRDefault="00BE7C89">
            <w:pPr>
              <w:pStyle w:val="BodyText"/>
              <w:spacing w:before="100" w:after="100"/>
            </w:pPr>
            <w:r>
              <w:t xml:space="preserve">Directory Assistance – 1223 </w:t>
            </w:r>
          </w:p>
        </w:tc>
        <w:tc>
          <w:tcPr>
            <w:tcW w:w="2500" w:type="pct"/>
          </w:tcPr>
          <w:p w14:paraId="48647C72" w14:textId="77777777" w:rsidR="000D07EA" w:rsidRDefault="00BE7C89">
            <w:pPr>
              <w:pStyle w:val="BodyText"/>
              <w:spacing w:before="100" w:after="100"/>
              <w:jc w:val="center"/>
            </w:pPr>
            <w:r>
              <w:t>No</w:t>
            </w:r>
          </w:p>
        </w:tc>
      </w:tr>
      <w:tr w:rsidR="000D07EA" w14:paraId="60659A28" w14:textId="77777777">
        <w:tc>
          <w:tcPr>
            <w:tcW w:w="2500" w:type="pct"/>
          </w:tcPr>
          <w:p w14:paraId="6F01B3E1" w14:textId="77777777" w:rsidR="000D07EA" w:rsidRDefault="00BE7C89">
            <w:pPr>
              <w:pStyle w:val="BodyText"/>
              <w:spacing w:before="100" w:after="100"/>
            </w:pPr>
            <w:r>
              <w:t>19XX Numbers</w:t>
            </w:r>
          </w:p>
        </w:tc>
        <w:tc>
          <w:tcPr>
            <w:tcW w:w="2500" w:type="pct"/>
          </w:tcPr>
          <w:p w14:paraId="2F5EBC2B" w14:textId="77777777" w:rsidR="000D07EA" w:rsidRDefault="00BE7C89">
            <w:pPr>
              <w:pStyle w:val="BodyText"/>
              <w:spacing w:before="100" w:after="100"/>
              <w:jc w:val="center"/>
            </w:pPr>
            <w:r>
              <w:t>No</w:t>
            </w:r>
          </w:p>
        </w:tc>
      </w:tr>
      <w:tr w:rsidR="000D07EA" w14:paraId="6B7AA834" w14:textId="77777777">
        <w:tc>
          <w:tcPr>
            <w:tcW w:w="2500" w:type="pct"/>
          </w:tcPr>
          <w:p w14:paraId="34D7D6E2" w14:textId="77777777" w:rsidR="000D07EA" w:rsidRDefault="00BE7C89">
            <w:pPr>
              <w:pStyle w:val="BodyText"/>
              <w:spacing w:before="100" w:after="100"/>
            </w:pPr>
            <w:r>
              <w:t>1800 and 1300 numbers</w:t>
            </w:r>
          </w:p>
        </w:tc>
        <w:tc>
          <w:tcPr>
            <w:tcW w:w="2500" w:type="pct"/>
          </w:tcPr>
          <w:p w14:paraId="575B7A96" w14:textId="77777777" w:rsidR="000D07EA" w:rsidRDefault="00BE7C89">
            <w:pPr>
              <w:pStyle w:val="BodyText"/>
              <w:spacing w:before="100" w:after="100"/>
              <w:jc w:val="center"/>
            </w:pPr>
            <w:r>
              <w:t>Yes</w:t>
            </w:r>
          </w:p>
        </w:tc>
      </w:tr>
      <w:tr w:rsidR="000D07EA" w14:paraId="280A9834" w14:textId="77777777">
        <w:tc>
          <w:tcPr>
            <w:tcW w:w="2500" w:type="pct"/>
          </w:tcPr>
          <w:p w14:paraId="5B93B951" w14:textId="77777777" w:rsidR="000D07EA" w:rsidRDefault="00BE7C89">
            <w:pPr>
              <w:pStyle w:val="BodyText"/>
              <w:spacing w:before="100" w:after="100"/>
            </w:pPr>
            <w:r>
              <w:t>124YES(937)</w:t>
            </w:r>
          </w:p>
        </w:tc>
        <w:tc>
          <w:tcPr>
            <w:tcW w:w="2500" w:type="pct"/>
          </w:tcPr>
          <w:p w14:paraId="4D393DF4" w14:textId="77777777" w:rsidR="000D07EA" w:rsidRDefault="00BE7C89">
            <w:pPr>
              <w:pStyle w:val="BodyText"/>
              <w:spacing w:before="100" w:after="100"/>
              <w:jc w:val="center"/>
            </w:pPr>
            <w:r>
              <w:t>No</w:t>
            </w:r>
          </w:p>
        </w:tc>
      </w:tr>
      <w:tr w:rsidR="000D07EA" w14:paraId="03C2F1C8" w14:textId="77777777">
        <w:tc>
          <w:tcPr>
            <w:tcW w:w="2500" w:type="pct"/>
          </w:tcPr>
          <w:p w14:paraId="397DBF35" w14:textId="77777777" w:rsidR="000D07EA" w:rsidRDefault="00BE7C89">
            <w:pPr>
              <w:pStyle w:val="BodyText"/>
              <w:spacing w:before="100" w:after="100"/>
            </w:pPr>
            <w:r>
              <w:t>Insurance</w:t>
            </w:r>
          </w:p>
        </w:tc>
        <w:tc>
          <w:tcPr>
            <w:tcW w:w="2500" w:type="pct"/>
          </w:tcPr>
          <w:p w14:paraId="281D3690" w14:textId="77777777" w:rsidR="000D07EA" w:rsidRDefault="00BE7C89">
            <w:pPr>
              <w:pStyle w:val="BodyText"/>
              <w:spacing w:before="100" w:after="100"/>
              <w:jc w:val="center"/>
            </w:pPr>
            <w:r>
              <w:t>No</w:t>
            </w:r>
          </w:p>
        </w:tc>
      </w:tr>
      <w:tr w:rsidR="000D07EA" w14:paraId="19B1A8FE" w14:textId="77777777">
        <w:tc>
          <w:tcPr>
            <w:tcW w:w="2500" w:type="pct"/>
          </w:tcPr>
          <w:p w14:paraId="68C2335C" w14:textId="77777777" w:rsidR="000D07EA" w:rsidRDefault="00BE7C89">
            <w:pPr>
              <w:pStyle w:val="BodyText"/>
              <w:spacing w:before="100" w:after="100"/>
            </w:pPr>
            <w:r>
              <w:t>Handset Payments</w:t>
            </w:r>
          </w:p>
        </w:tc>
        <w:tc>
          <w:tcPr>
            <w:tcW w:w="2500" w:type="pct"/>
          </w:tcPr>
          <w:p w14:paraId="7D3948FA" w14:textId="77777777" w:rsidR="000D07EA" w:rsidRDefault="00BE7C89">
            <w:pPr>
              <w:pStyle w:val="BodyText"/>
              <w:spacing w:before="100" w:after="100"/>
              <w:jc w:val="center"/>
            </w:pPr>
            <w:r>
              <w:t>No</w:t>
            </w:r>
          </w:p>
        </w:tc>
      </w:tr>
      <w:tr w:rsidR="000D07EA" w14:paraId="2B79B1B0" w14:textId="77777777">
        <w:tc>
          <w:tcPr>
            <w:tcW w:w="2500" w:type="pct"/>
          </w:tcPr>
          <w:p w14:paraId="4FACC9A7" w14:textId="77777777" w:rsidR="000D07EA" w:rsidRDefault="00BE7C89">
            <w:pPr>
              <w:pStyle w:val="BodyText"/>
              <w:spacing w:before="100" w:after="100"/>
            </w:pPr>
            <w:r>
              <w:t>Content Packs (unless specified in promotions)</w:t>
            </w:r>
          </w:p>
        </w:tc>
        <w:tc>
          <w:tcPr>
            <w:tcW w:w="2500" w:type="pct"/>
          </w:tcPr>
          <w:p w14:paraId="32C0DA0B" w14:textId="77777777" w:rsidR="000D07EA" w:rsidRDefault="00BE7C89">
            <w:pPr>
              <w:pStyle w:val="BodyText"/>
              <w:spacing w:before="100" w:after="100"/>
              <w:jc w:val="center"/>
            </w:pPr>
            <w:r>
              <w:t>No</w:t>
            </w:r>
          </w:p>
        </w:tc>
      </w:tr>
      <w:tr w:rsidR="000D07EA" w14:paraId="57464473" w14:textId="77777777">
        <w:tc>
          <w:tcPr>
            <w:tcW w:w="2500" w:type="pct"/>
          </w:tcPr>
          <w:p w14:paraId="76A270AB" w14:textId="77777777" w:rsidR="000D07EA" w:rsidRDefault="00BE7C89">
            <w:pPr>
              <w:pStyle w:val="BodyText"/>
              <w:spacing w:before="100" w:after="100"/>
            </w:pPr>
            <w:r>
              <w:t>Mobile Internet usage</w:t>
            </w:r>
          </w:p>
        </w:tc>
        <w:tc>
          <w:tcPr>
            <w:tcW w:w="2500" w:type="pct"/>
          </w:tcPr>
          <w:p w14:paraId="50C9581E" w14:textId="77777777" w:rsidR="000D07EA" w:rsidRDefault="00BE7C89">
            <w:pPr>
              <w:pStyle w:val="BodyText"/>
              <w:spacing w:before="100" w:after="100"/>
              <w:jc w:val="center"/>
            </w:pPr>
            <w:r>
              <w:t>No</w:t>
            </w:r>
          </w:p>
        </w:tc>
      </w:tr>
      <w:tr w:rsidR="000D07EA" w14:paraId="4484160A" w14:textId="77777777">
        <w:tc>
          <w:tcPr>
            <w:tcW w:w="2500" w:type="pct"/>
          </w:tcPr>
          <w:p w14:paraId="3DBCC98B" w14:textId="77777777" w:rsidR="000D07EA" w:rsidRDefault="00BE7C89">
            <w:pPr>
              <w:pStyle w:val="BodyText"/>
              <w:spacing w:before="100" w:after="100"/>
            </w:pPr>
            <w:r>
              <w:t xml:space="preserve">True Local Usage </w:t>
            </w:r>
          </w:p>
        </w:tc>
        <w:tc>
          <w:tcPr>
            <w:tcW w:w="2500" w:type="pct"/>
          </w:tcPr>
          <w:p w14:paraId="0E8CA434" w14:textId="77777777" w:rsidR="000D07EA" w:rsidRDefault="00BE7C89">
            <w:pPr>
              <w:pStyle w:val="BodyText"/>
              <w:spacing w:before="100" w:after="100"/>
              <w:jc w:val="center"/>
            </w:pPr>
            <w:r>
              <w:t>No</w:t>
            </w:r>
          </w:p>
        </w:tc>
      </w:tr>
      <w:tr w:rsidR="000D07EA" w14:paraId="08306160" w14:textId="77777777">
        <w:tc>
          <w:tcPr>
            <w:tcW w:w="2500" w:type="pct"/>
          </w:tcPr>
          <w:p w14:paraId="1A4E4B7C" w14:textId="77777777" w:rsidR="000D07EA" w:rsidRDefault="00BE7C89">
            <w:pPr>
              <w:pStyle w:val="BodyText"/>
              <w:spacing w:before="100" w:after="100"/>
            </w:pPr>
            <w:r>
              <w:t>VOIP services</w:t>
            </w:r>
          </w:p>
        </w:tc>
        <w:tc>
          <w:tcPr>
            <w:tcW w:w="2500" w:type="pct"/>
          </w:tcPr>
          <w:p w14:paraId="48B2A352" w14:textId="77777777" w:rsidR="000D07EA" w:rsidRDefault="00BE7C89">
            <w:pPr>
              <w:pStyle w:val="BodyText"/>
              <w:spacing w:before="100" w:after="100"/>
              <w:jc w:val="center"/>
            </w:pPr>
            <w:r>
              <w:t>No</w:t>
            </w:r>
          </w:p>
        </w:tc>
      </w:tr>
      <w:tr w:rsidR="000D07EA" w14:paraId="2D73FAFF" w14:textId="77777777">
        <w:tc>
          <w:tcPr>
            <w:tcW w:w="2500" w:type="pct"/>
          </w:tcPr>
          <w:p w14:paraId="43145885" w14:textId="77777777" w:rsidR="000D07EA" w:rsidRDefault="00BE7C89">
            <w:pPr>
              <w:pStyle w:val="BodyText"/>
              <w:spacing w:before="100" w:after="100"/>
            </w:pPr>
            <w:r>
              <w:t xml:space="preserve">Calls to Satellite </w:t>
            </w:r>
          </w:p>
        </w:tc>
        <w:tc>
          <w:tcPr>
            <w:tcW w:w="2500" w:type="pct"/>
          </w:tcPr>
          <w:p w14:paraId="7E94CC71" w14:textId="77777777" w:rsidR="000D07EA" w:rsidRDefault="00BE7C89">
            <w:pPr>
              <w:pStyle w:val="BodyText"/>
              <w:spacing w:before="100" w:after="100"/>
              <w:jc w:val="center"/>
            </w:pPr>
            <w:r>
              <w:t>No</w:t>
            </w:r>
          </w:p>
        </w:tc>
      </w:tr>
      <w:tr w:rsidR="000D07EA" w14:paraId="45AC13A7" w14:textId="77777777">
        <w:tc>
          <w:tcPr>
            <w:tcW w:w="2500" w:type="pct"/>
          </w:tcPr>
          <w:p w14:paraId="5570CA7F" w14:textId="77777777" w:rsidR="000D07EA" w:rsidRDefault="00BE7C89">
            <w:pPr>
              <w:pStyle w:val="BodyText"/>
              <w:spacing w:before="100" w:after="100"/>
            </w:pPr>
            <w:r>
              <w:t>Surepage</w:t>
            </w:r>
          </w:p>
        </w:tc>
        <w:tc>
          <w:tcPr>
            <w:tcW w:w="2500" w:type="pct"/>
          </w:tcPr>
          <w:p w14:paraId="63155D60" w14:textId="77777777" w:rsidR="000D07EA" w:rsidRDefault="00BE7C89">
            <w:pPr>
              <w:pStyle w:val="BodyText"/>
              <w:spacing w:before="100" w:after="100"/>
              <w:jc w:val="center"/>
            </w:pPr>
            <w:r>
              <w:t>No</w:t>
            </w:r>
          </w:p>
        </w:tc>
      </w:tr>
    </w:tbl>
    <w:p w14:paraId="757AB718" w14:textId="77777777" w:rsidR="000D07EA" w:rsidRDefault="000D07EA">
      <w:pPr>
        <w:pStyle w:val="BodyText"/>
        <w:rPr>
          <w:b/>
        </w:rPr>
      </w:pPr>
    </w:p>
    <w:p w14:paraId="7FCF1438" w14:textId="77777777" w:rsidR="000D07EA" w:rsidRDefault="00BE7C89">
      <w:pPr>
        <w:pStyle w:val="BodyText"/>
        <w:ind w:left="720"/>
        <w:rPr>
          <w:b/>
        </w:rPr>
      </w:pPr>
      <w:r>
        <w:rPr>
          <w:b/>
        </w:rPr>
        <w:t>Table 2A – Eligible for the Included Mobile Internet Data</w:t>
      </w: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730"/>
        <w:gridCol w:w="4731"/>
      </w:tblGrid>
      <w:tr w:rsidR="000D07EA" w14:paraId="13C789C9" w14:textId="77777777">
        <w:trPr>
          <w:tblHeader/>
        </w:trPr>
        <w:tc>
          <w:tcPr>
            <w:tcW w:w="2500" w:type="pct"/>
          </w:tcPr>
          <w:p w14:paraId="464795F7" w14:textId="77777777" w:rsidR="000D07EA" w:rsidRDefault="00BE7C89">
            <w:pPr>
              <w:pStyle w:val="BodyText"/>
              <w:spacing w:before="100" w:after="100"/>
              <w:rPr>
                <w:b/>
              </w:rPr>
            </w:pPr>
            <w:r>
              <w:rPr>
                <w:b/>
              </w:rPr>
              <w:t>Call Type</w:t>
            </w:r>
          </w:p>
        </w:tc>
        <w:tc>
          <w:tcPr>
            <w:tcW w:w="2500" w:type="pct"/>
          </w:tcPr>
          <w:p w14:paraId="4350F4AE" w14:textId="77777777" w:rsidR="000D07EA" w:rsidRDefault="00BE7C89">
            <w:pPr>
              <w:pStyle w:val="BodyText"/>
              <w:spacing w:before="100" w:after="100"/>
              <w:jc w:val="center"/>
              <w:rPr>
                <w:b/>
              </w:rPr>
            </w:pPr>
            <w:r>
              <w:rPr>
                <w:b/>
              </w:rPr>
              <w:t>Eligible Data</w:t>
            </w:r>
          </w:p>
        </w:tc>
      </w:tr>
      <w:tr w:rsidR="000D07EA" w14:paraId="0C31D530" w14:textId="77777777">
        <w:tc>
          <w:tcPr>
            <w:tcW w:w="2500" w:type="pct"/>
          </w:tcPr>
          <w:p w14:paraId="68FD9DF0" w14:textId="77777777" w:rsidR="000D07EA" w:rsidRDefault="00BE7C89">
            <w:pPr>
              <w:pStyle w:val="BodyText"/>
              <w:spacing w:before="100" w:after="100"/>
            </w:pPr>
            <w:r>
              <w:t>National Voice and Video Calls</w:t>
            </w:r>
          </w:p>
        </w:tc>
        <w:tc>
          <w:tcPr>
            <w:tcW w:w="2500" w:type="pct"/>
          </w:tcPr>
          <w:p w14:paraId="64A0E9AF" w14:textId="77777777" w:rsidR="000D07EA" w:rsidRDefault="00BE7C89">
            <w:pPr>
              <w:pStyle w:val="BodyText"/>
              <w:spacing w:before="100" w:after="100"/>
              <w:jc w:val="center"/>
            </w:pPr>
            <w:r>
              <w:t>No</w:t>
            </w:r>
          </w:p>
        </w:tc>
      </w:tr>
      <w:tr w:rsidR="000D07EA" w14:paraId="39A470CD" w14:textId="77777777">
        <w:tc>
          <w:tcPr>
            <w:tcW w:w="2500" w:type="pct"/>
          </w:tcPr>
          <w:p w14:paraId="6ECC5A84" w14:textId="77777777" w:rsidR="000D07EA" w:rsidRDefault="00BE7C89">
            <w:pPr>
              <w:pStyle w:val="BodyText"/>
              <w:spacing w:before="100" w:after="100"/>
            </w:pPr>
            <w:r>
              <w:t>International Voice and Video Calls</w:t>
            </w:r>
          </w:p>
          <w:p w14:paraId="30B9701E" w14:textId="77777777" w:rsidR="000D07EA" w:rsidRDefault="00BE7C89">
            <w:pPr>
              <w:pStyle w:val="BodyText"/>
              <w:spacing w:before="100" w:after="100"/>
            </w:pPr>
            <w:r>
              <w:t>(including calls to national fixed or GSM mobile services that then divert/switch or re-route overseas)</w:t>
            </w:r>
          </w:p>
        </w:tc>
        <w:tc>
          <w:tcPr>
            <w:tcW w:w="2500" w:type="pct"/>
          </w:tcPr>
          <w:p w14:paraId="550EF39B" w14:textId="77777777" w:rsidR="000D07EA" w:rsidRDefault="00BE7C89">
            <w:pPr>
              <w:pStyle w:val="BodyText"/>
              <w:spacing w:before="100" w:after="100"/>
              <w:jc w:val="center"/>
            </w:pPr>
            <w:r>
              <w:t>No</w:t>
            </w:r>
          </w:p>
        </w:tc>
      </w:tr>
      <w:tr w:rsidR="000D07EA" w14:paraId="7F113E17" w14:textId="77777777">
        <w:tc>
          <w:tcPr>
            <w:tcW w:w="2500" w:type="pct"/>
          </w:tcPr>
          <w:p w14:paraId="74884D19" w14:textId="77777777" w:rsidR="000D07EA" w:rsidRDefault="00BE7C89">
            <w:pPr>
              <w:pStyle w:val="BodyText"/>
              <w:spacing w:before="100" w:after="100"/>
            </w:pPr>
            <w:r>
              <w:lastRenderedPageBreak/>
              <w:t>Premium Video</w:t>
            </w:r>
          </w:p>
        </w:tc>
        <w:tc>
          <w:tcPr>
            <w:tcW w:w="2500" w:type="pct"/>
          </w:tcPr>
          <w:p w14:paraId="2C02B61D" w14:textId="77777777" w:rsidR="000D07EA" w:rsidRDefault="00BE7C89">
            <w:pPr>
              <w:pStyle w:val="BodyText"/>
              <w:spacing w:before="100" w:after="100"/>
              <w:jc w:val="center"/>
            </w:pPr>
            <w:r>
              <w:t>No</w:t>
            </w:r>
          </w:p>
        </w:tc>
      </w:tr>
      <w:tr w:rsidR="000D07EA" w14:paraId="72B81BBD" w14:textId="77777777">
        <w:tc>
          <w:tcPr>
            <w:tcW w:w="2500" w:type="pct"/>
          </w:tcPr>
          <w:p w14:paraId="5387E41A" w14:textId="77777777" w:rsidR="000D07EA" w:rsidRDefault="00BE7C89">
            <w:pPr>
              <w:pStyle w:val="BodyText"/>
              <w:spacing w:before="100" w:after="100"/>
            </w:pPr>
            <w:r>
              <w:t>Content Video</w:t>
            </w:r>
          </w:p>
        </w:tc>
        <w:tc>
          <w:tcPr>
            <w:tcW w:w="2500" w:type="pct"/>
          </w:tcPr>
          <w:p w14:paraId="1F469B14" w14:textId="77777777" w:rsidR="000D07EA" w:rsidRDefault="00BE7C89">
            <w:pPr>
              <w:pStyle w:val="BodyText"/>
              <w:spacing w:before="100" w:after="100"/>
              <w:jc w:val="center"/>
            </w:pPr>
            <w:r>
              <w:t>No</w:t>
            </w:r>
          </w:p>
        </w:tc>
      </w:tr>
      <w:tr w:rsidR="000D07EA" w14:paraId="252F4A8B" w14:textId="77777777">
        <w:tc>
          <w:tcPr>
            <w:tcW w:w="2500" w:type="pct"/>
          </w:tcPr>
          <w:p w14:paraId="1C0D1AD2" w14:textId="77777777" w:rsidR="000D07EA" w:rsidRDefault="00BE7C89">
            <w:pPr>
              <w:pStyle w:val="BodyText"/>
              <w:spacing w:before="100" w:after="100"/>
            </w:pPr>
            <w:r>
              <w:t>National Standard SMS</w:t>
            </w:r>
          </w:p>
        </w:tc>
        <w:tc>
          <w:tcPr>
            <w:tcW w:w="2500" w:type="pct"/>
          </w:tcPr>
          <w:p w14:paraId="3DCAB930" w14:textId="77777777" w:rsidR="000D07EA" w:rsidRDefault="00BE7C89">
            <w:pPr>
              <w:pStyle w:val="BodyText"/>
              <w:spacing w:before="100" w:after="100"/>
              <w:jc w:val="center"/>
            </w:pPr>
            <w:r>
              <w:t>No</w:t>
            </w:r>
          </w:p>
        </w:tc>
      </w:tr>
      <w:tr w:rsidR="000D07EA" w14:paraId="0CACE0C5" w14:textId="77777777">
        <w:tc>
          <w:tcPr>
            <w:tcW w:w="2500" w:type="pct"/>
          </w:tcPr>
          <w:p w14:paraId="224B83C0" w14:textId="77777777" w:rsidR="000D07EA" w:rsidRDefault="00BE7C89">
            <w:pPr>
              <w:pStyle w:val="BodyText"/>
              <w:spacing w:before="100" w:after="100"/>
            </w:pPr>
            <w:r>
              <w:t>International SMS</w:t>
            </w:r>
          </w:p>
        </w:tc>
        <w:tc>
          <w:tcPr>
            <w:tcW w:w="2500" w:type="pct"/>
          </w:tcPr>
          <w:p w14:paraId="460A1AA4" w14:textId="77777777" w:rsidR="000D07EA" w:rsidRDefault="00BE7C89">
            <w:pPr>
              <w:pStyle w:val="BodyText"/>
              <w:spacing w:before="100" w:after="100"/>
              <w:jc w:val="center"/>
            </w:pPr>
            <w:r>
              <w:t>No</w:t>
            </w:r>
          </w:p>
        </w:tc>
      </w:tr>
      <w:tr w:rsidR="000D07EA" w14:paraId="08A7D458" w14:textId="77777777">
        <w:tc>
          <w:tcPr>
            <w:tcW w:w="2500" w:type="pct"/>
          </w:tcPr>
          <w:p w14:paraId="5F379B37" w14:textId="77777777" w:rsidR="000D07EA" w:rsidRDefault="00BE7C89">
            <w:pPr>
              <w:pStyle w:val="BodyText"/>
              <w:spacing w:before="100" w:after="100"/>
            </w:pPr>
            <w:r>
              <w:t>Premium SMS</w:t>
            </w:r>
          </w:p>
        </w:tc>
        <w:tc>
          <w:tcPr>
            <w:tcW w:w="2500" w:type="pct"/>
          </w:tcPr>
          <w:p w14:paraId="734A68EA" w14:textId="77777777" w:rsidR="000D07EA" w:rsidRDefault="00BE7C89">
            <w:pPr>
              <w:pStyle w:val="BodyText"/>
              <w:spacing w:before="100" w:after="100"/>
              <w:jc w:val="center"/>
            </w:pPr>
            <w:r>
              <w:t>No</w:t>
            </w:r>
          </w:p>
        </w:tc>
      </w:tr>
      <w:tr w:rsidR="000D07EA" w14:paraId="38D52042" w14:textId="77777777">
        <w:tc>
          <w:tcPr>
            <w:tcW w:w="2500" w:type="pct"/>
          </w:tcPr>
          <w:p w14:paraId="2989E6D9" w14:textId="77777777" w:rsidR="000D07EA" w:rsidRDefault="00BE7C89">
            <w:pPr>
              <w:pStyle w:val="BodyText"/>
              <w:spacing w:before="100" w:after="100"/>
            </w:pPr>
            <w:r>
              <w:t>National Standard MMS</w:t>
            </w:r>
          </w:p>
        </w:tc>
        <w:tc>
          <w:tcPr>
            <w:tcW w:w="2500" w:type="pct"/>
          </w:tcPr>
          <w:p w14:paraId="2A69D31F" w14:textId="77777777" w:rsidR="000D07EA" w:rsidRDefault="00BE7C89">
            <w:pPr>
              <w:pStyle w:val="BodyText"/>
              <w:spacing w:before="100" w:after="100"/>
              <w:jc w:val="center"/>
            </w:pPr>
            <w:r>
              <w:t>No</w:t>
            </w:r>
          </w:p>
        </w:tc>
      </w:tr>
      <w:tr w:rsidR="000D07EA" w14:paraId="1648DA4C" w14:textId="77777777">
        <w:tc>
          <w:tcPr>
            <w:tcW w:w="2500" w:type="pct"/>
          </w:tcPr>
          <w:p w14:paraId="63434F34" w14:textId="77777777" w:rsidR="000D07EA" w:rsidRDefault="00BE7C89">
            <w:pPr>
              <w:pStyle w:val="BodyText"/>
              <w:spacing w:before="100" w:after="100"/>
            </w:pPr>
            <w:r>
              <w:t>International MMS</w:t>
            </w:r>
          </w:p>
        </w:tc>
        <w:tc>
          <w:tcPr>
            <w:tcW w:w="2500" w:type="pct"/>
          </w:tcPr>
          <w:p w14:paraId="284265D1" w14:textId="77777777" w:rsidR="000D07EA" w:rsidRDefault="00BE7C89">
            <w:pPr>
              <w:pStyle w:val="BodyText"/>
              <w:spacing w:before="100" w:after="100"/>
              <w:jc w:val="center"/>
            </w:pPr>
            <w:r>
              <w:t>No</w:t>
            </w:r>
          </w:p>
        </w:tc>
      </w:tr>
      <w:tr w:rsidR="000D07EA" w14:paraId="6AC854BC" w14:textId="77777777">
        <w:tc>
          <w:tcPr>
            <w:tcW w:w="2500" w:type="pct"/>
          </w:tcPr>
          <w:p w14:paraId="03EB4126" w14:textId="77777777" w:rsidR="000D07EA" w:rsidRDefault="00BE7C89">
            <w:pPr>
              <w:pStyle w:val="BodyText"/>
              <w:spacing w:before="100" w:after="100"/>
            </w:pPr>
            <w:r>
              <w:t>Premium MMS</w:t>
            </w:r>
          </w:p>
        </w:tc>
        <w:tc>
          <w:tcPr>
            <w:tcW w:w="2500" w:type="pct"/>
          </w:tcPr>
          <w:p w14:paraId="732EF05F" w14:textId="77777777" w:rsidR="000D07EA" w:rsidRDefault="00BE7C89">
            <w:pPr>
              <w:pStyle w:val="BodyText"/>
              <w:spacing w:before="100" w:after="100"/>
              <w:jc w:val="center"/>
            </w:pPr>
            <w:r>
              <w:t>No</w:t>
            </w:r>
          </w:p>
        </w:tc>
      </w:tr>
      <w:tr w:rsidR="000D07EA" w14:paraId="7EC05C0C" w14:textId="77777777">
        <w:tc>
          <w:tcPr>
            <w:tcW w:w="2500" w:type="pct"/>
          </w:tcPr>
          <w:p w14:paraId="2267A39D" w14:textId="77777777" w:rsidR="000D07EA" w:rsidRDefault="00BE7C89">
            <w:pPr>
              <w:pStyle w:val="BodyText"/>
              <w:spacing w:before="100" w:after="100"/>
            </w:pPr>
            <w:r>
              <w:t>National Diversions</w:t>
            </w:r>
          </w:p>
        </w:tc>
        <w:tc>
          <w:tcPr>
            <w:tcW w:w="2500" w:type="pct"/>
          </w:tcPr>
          <w:p w14:paraId="7CFC867D" w14:textId="77777777" w:rsidR="000D07EA" w:rsidRDefault="00BE7C89">
            <w:pPr>
              <w:pStyle w:val="BodyText"/>
              <w:spacing w:before="100" w:after="100"/>
              <w:jc w:val="center"/>
            </w:pPr>
            <w:r>
              <w:t>No</w:t>
            </w:r>
          </w:p>
        </w:tc>
      </w:tr>
      <w:tr w:rsidR="000D07EA" w14:paraId="1273F29F" w14:textId="77777777">
        <w:tc>
          <w:tcPr>
            <w:tcW w:w="2500" w:type="pct"/>
          </w:tcPr>
          <w:p w14:paraId="34983544" w14:textId="77777777" w:rsidR="000D07EA" w:rsidRDefault="00BE7C89">
            <w:pPr>
              <w:pStyle w:val="BodyText"/>
              <w:spacing w:before="100" w:after="100"/>
            </w:pPr>
            <w:r>
              <w:t>Voicemail Deposit and Retrievals</w:t>
            </w:r>
          </w:p>
        </w:tc>
        <w:tc>
          <w:tcPr>
            <w:tcW w:w="2500" w:type="pct"/>
          </w:tcPr>
          <w:p w14:paraId="4E4043C0" w14:textId="77777777" w:rsidR="000D07EA" w:rsidRDefault="00BE7C89">
            <w:pPr>
              <w:pStyle w:val="BodyText"/>
              <w:spacing w:before="100" w:after="100"/>
              <w:jc w:val="center"/>
            </w:pPr>
            <w:r>
              <w:t>No</w:t>
            </w:r>
          </w:p>
        </w:tc>
      </w:tr>
      <w:tr w:rsidR="000D07EA" w14:paraId="6EBF69CD" w14:textId="77777777">
        <w:tc>
          <w:tcPr>
            <w:tcW w:w="2500" w:type="pct"/>
          </w:tcPr>
          <w:p w14:paraId="052F7763" w14:textId="77777777" w:rsidR="000D07EA" w:rsidRDefault="00BE7C89">
            <w:pPr>
              <w:pStyle w:val="BodyText"/>
              <w:spacing w:before="100" w:after="100"/>
            </w:pPr>
            <w:r>
              <w:t>International Roaming and Diversion</w:t>
            </w:r>
          </w:p>
        </w:tc>
        <w:tc>
          <w:tcPr>
            <w:tcW w:w="2500" w:type="pct"/>
          </w:tcPr>
          <w:p w14:paraId="0903B83B" w14:textId="77777777" w:rsidR="000D07EA" w:rsidRDefault="00BE7C89">
            <w:pPr>
              <w:pStyle w:val="BodyText"/>
              <w:spacing w:before="100" w:after="100"/>
              <w:jc w:val="center"/>
            </w:pPr>
            <w:r>
              <w:t>No</w:t>
            </w:r>
          </w:p>
        </w:tc>
      </w:tr>
      <w:tr w:rsidR="000D07EA" w14:paraId="26ADC48C" w14:textId="77777777">
        <w:tc>
          <w:tcPr>
            <w:tcW w:w="2500" w:type="pct"/>
          </w:tcPr>
          <w:p w14:paraId="404ACA6B" w14:textId="77777777" w:rsidR="000D07EA" w:rsidRDefault="00BE7C89">
            <w:pPr>
              <w:pStyle w:val="BodyText"/>
              <w:spacing w:before="100" w:after="100"/>
            </w:pPr>
            <w:r>
              <w:t>Video Conferencing</w:t>
            </w:r>
          </w:p>
        </w:tc>
        <w:tc>
          <w:tcPr>
            <w:tcW w:w="2500" w:type="pct"/>
          </w:tcPr>
          <w:p w14:paraId="104448E9" w14:textId="77777777" w:rsidR="000D07EA" w:rsidRDefault="00BE7C89">
            <w:pPr>
              <w:pStyle w:val="BodyText"/>
              <w:spacing w:before="100" w:after="100"/>
              <w:jc w:val="center"/>
            </w:pPr>
            <w:r>
              <w:t>No</w:t>
            </w:r>
          </w:p>
        </w:tc>
      </w:tr>
      <w:tr w:rsidR="000D07EA" w14:paraId="54A4BDF2" w14:textId="77777777">
        <w:tc>
          <w:tcPr>
            <w:tcW w:w="2500" w:type="pct"/>
          </w:tcPr>
          <w:p w14:paraId="735A07A6" w14:textId="77777777" w:rsidR="000D07EA" w:rsidRDefault="00BE7C89">
            <w:pPr>
              <w:pStyle w:val="BodyText"/>
              <w:spacing w:before="100" w:after="100"/>
            </w:pPr>
            <w:r>
              <w:t>BlackBerry Email</w:t>
            </w:r>
          </w:p>
        </w:tc>
        <w:tc>
          <w:tcPr>
            <w:tcW w:w="2500" w:type="pct"/>
          </w:tcPr>
          <w:p w14:paraId="5FE44E82" w14:textId="77777777" w:rsidR="000D07EA" w:rsidRDefault="00BE7C89">
            <w:pPr>
              <w:pStyle w:val="BodyText"/>
              <w:spacing w:before="100" w:after="100"/>
              <w:jc w:val="center"/>
            </w:pPr>
            <w:r>
              <w:t>No</w:t>
            </w:r>
          </w:p>
        </w:tc>
      </w:tr>
      <w:tr w:rsidR="000D07EA" w14:paraId="2D2BCE08" w14:textId="77777777">
        <w:tc>
          <w:tcPr>
            <w:tcW w:w="2500" w:type="pct"/>
          </w:tcPr>
          <w:p w14:paraId="4F17DC42" w14:textId="77777777" w:rsidR="000D07EA" w:rsidRDefault="00BE7C89">
            <w:pPr>
              <w:pStyle w:val="BodyText"/>
              <w:spacing w:before="100" w:after="100"/>
            </w:pPr>
            <w:r>
              <w:t>Optus Zoo Browsing*</w:t>
            </w:r>
          </w:p>
        </w:tc>
        <w:tc>
          <w:tcPr>
            <w:tcW w:w="2500" w:type="pct"/>
          </w:tcPr>
          <w:p w14:paraId="6169A6AB" w14:textId="77777777" w:rsidR="000D07EA" w:rsidRDefault="00BE7C89">
            <w:pPr>
              <w:pStyle w:val="BodyText"/>
              <w:spacing w:before="100" w:after="100"/>
              <w:jc w:val="center"/>
            </w:pPr>
            <w:r>
              <w:t>Yes, up to the monthly included data amount specified in Table 3A.</w:t>
            </w:r>
          </w:p>
        </w:tc>
      </w:tr>
      <w:tr w:rsidR="000D07EA" w14:paraId="4F27B3D4" w14:textId="77777777">
        <w:tc>
          <w:tcPr>
            <w:tcW w:w="2500" w:type="pct"/>
          </w:tcPr>
          <w:p w14:paraId="048BCF91" w14:textId="77777777" w:rsidR="000D07EA" w:rsidRDefault="00BE7C89">
            <w:pPr>
              <w:pStyle w:val="BodyText"/>
              <w:spacing w:before="100" w:after="100"/>
            </w:pPr>
            <w:r>
              <w:t>Optus Zoo Downloads</w:t>
            </w:r>
          </w:p>
        </w:tc>
        <w:tc>
          <w:tcPr>
            <w:tcW w:w="2500" w:type="pct"/>
          </w:tcPr>
          <w:p w14:paraId="02A6AC2C" w14:textId="77777777" w:rsidR="000D07EA" w:rsidRDefault="00BE7C89">
            <w:pPr>
              <w:pStyle w:val="BodyText"/>
              <w:spacing w:before="100" w:after="100"/>
              <w:jc w:val="center"/>
            </w:pPr>
            <w:r>
              <w:t>No</w:t>
            </w:r>
          </w:p>
        </w:tc>
      </w:tr>
      <w:tr w:rsidR="000D07EA" w14:paraId="0762B415" w14:textId="77777777">
        <w:tc>
          <w:tcPr>
            <w:tcW w:w="2500" w:type="pct"/>
          </w:tcPr>
          <w:p w14:paraId="412AAD6D" w14:textId="77777777" w:rsidR="000D07EA" w:rsidRDefault="00BE7C89">
            <w:pPr>
              <w:pStyle w:val="BodyText"/>
              <w:spacing w:before="100" w:after="100"/>
            </w:pPr>
            <w:r>
              <w:t>SMS to 966 (Zoo)</w:t>
            </w:r>
          </w:p>
        </w:tc>
        <w:tc>
          <w:tcPr>
            <w:tcW w:w="2500" w:type="pct"/>
          </w:tcPr>
          <w:p w14:paraId="1D4BFE2D" w14:textId="77777777" w:rsidR="000D07EA" w:rsidRDefault="00BE7C89">
            <w:pPr>
              <w:pStyle w:val="BodyText"/>
              <w:spacing w:before="100" w:after="100"/>
              <w:jc w:val="center"/>
            </w:pPr>
            <w:r>
              <w:t>No</w:t>
            </w:r>
          </w:p>
        </w:tc>
      </w:tr>
      <w:tr w:rsidR="000D07EA" w14:paraId="5CB900A8" w14:textId="77777777">
        <w:tc>
          <w:tcPr>
            <w:tcW w:w="2500" w:type="pct"/>
          </w:tcPr>
          <w:p w14:paraId="70A331CA" w14:textId="77777777" w:rsidR="000D07EA" w:rsidRDefault="00BE7C89">
            <w:pPr>
              <w:pStyle w:val="BodyText"/>
              <w:spacing w:before="100" w:after="100"/>
            </w:pPr>
            <w:r>
              <w:t>Mobile Internet usage*</w:t>
            </w:r>
          </w:p>
        </w:tc>
        <w:tc>
          <w:tcPr>
            <w:tcW w:w="2500" w:type="pct"/>
          </w:tcPr>
          <w:p w14:paraId="3FB9FA02" w14:textId="77777777" w:rsidR="000D07EA" w:rsidRDefault="00BE7C89">
            <w:pPr>
              <w:pStyle w:val="BodyText"/>
              <w:spacing w:before="100" w:after="100"/>
              <w:jc w:val="center"/>
            </w:pPr>
            <w:r>
              <w:t>Yes, up to the monthly included data amount specified in Table 3A.</w:t>
            </w:r>
          </w:p>
        </w:tc>
      </w:tr>
      <w:tr w:rsidR="000D07EA" w14:paraId="37B03455" w14:textId="77777777">
        <w:tc>
          <w:tcPr>
            <w:tcW w:w="2500" w:type="pct"/>
          </w:tcPr>
          <w:p w14:paraId="405B1661" w14:textId="77777777" w:rsidR="000D07EA" w:rsidRDefault="00BE7C89">
            <w:pPr>
              <w:pStyle w:val="BodyText"/>
              <w:spacing w:before="100" w:after="100"/>
            </w:pPr>
            <w:r>
              <w:t>Mobile as Modem</w:t>
            </w:r>
          </w:p>
        </w:tc>
        <w:tc>
          <w:tcPr>
            <w:tcW w:w="2500" w:type="pct"/>
          </w:tcPr>
          <w:p w14:paraId="01766FEB" w14:textId="77777777" w:rsidR="000D07EA" w:rsidRDefault="00BE7C89">
            <w:pPr>
              <w:pStyle w:val="BodyText"/>
              <w:spacing w:before="100" w:after="100"/>
              <w:jc w:val="center"/>
            </w:pPr>
            <w:r>
              <w:t>Yes</w:t>
            </w:r>
          </w:p>
        </w:tc>
      </w:tr>
      <w:tr w:rsidR="000D07EA" w14:paraId="21A6FB61" w14:textId="77777777">
        <w:tc>
          <w:tcPr>
            <w:tcW w:w="2500" w:type="pct"/>
          </w:tcPr>
          <w:p w14:paraId="7DD46FED" w14:textId="77777777" w:rsidR="000D07EA" w:rsidRDefault="00BE7C89">
            <w:pPr>
              <w:pStyle w:val="BodyText"/>
              <w:spacing w:before="100" w:after="100"/>
            </w:pPr>
            <w:r>
              <w:t>Data Used while Roaming Internationally</w:t>
            </w:r>
          </w:p>
        </w:tc>
        <w:tc>
          <w:tcPr>
            <w:tcW w:w="2500" w:type="pct"/>
          </w:tcPr>
          <w:p w14:paraId="59D6D49A" w14:textId="77777777" w:rsidR="000D07EA" w:rsidRDefault="00BE7C89">
            <w:pPr>
              <w:pStyle w:val="BodyText"/>
              <w:spacing w:before="100" w:after="100"/>
              <w:jc w:val="center"/>
            </w:pPr>
            <w:r>
              <w:t>No</w:t>
            </w:r>
          </w:p>
        </w:tc>
      </w:tr>
      <w:tr w:rsidR="000D07EA" w14:paraId="4628167B" w14:textId="77777777">
        <w:tc>
          <w:tcPr>
            <w:tcW w:w="2500" w:type="pct"/>
          </w:tcPr>
          <w:p w14:paraId="1E066D24" w14:textId="77777777" w:rsidR="000D07EA" w:rsidRDefault="00BE7C89">
            <w:pPr>
              <w:pStyle w:val="BodyText"/>
              <w:spacing w:before="100" w:after="100"/>
            </w:pPr>
            <w:r>
              <w:t xml:space="preserve">Content Packs </w:t>
            </w:r>
          </w:p>
        </w:tc>
        <w:tc>
          <w:tcPr>
            <w:tcW w:w="2500" w:type="pct"/>
          </w:tcPr>
          <w:p w14:paraId="7795BAB1" w14:textId="77777777" w:rsidR="000D07EA" w:rsidRDefault="00BE7C89">
            <w:pPr>
              <w:pStyle w:val="BodyText"/>
              <w:spacing w:before="100" w:after="100"/>
              <w:jc w:val="center"/>
            </w:pPr>
            <w:r>
              <w:t>No</w:t>
            </w:r>
          </w:p>
        </w:tc>
      </w:tr>
      <w:tr w:rsidR="000D07EA" w14:paraId="6D6108A4" w14:textId="77777777">
        <w:tc>
          <w:tcPr>
            <w:tcW w:w="2500" w:type="pct"/>
          </w:tcPr>
          <w:p w14:paraId="0AF34208" w14:textId="77777777" w:rsidR="000D07EA" w:rsidRDefault="00BE7C89">
            <w:pPr>
              <w:pStyle w:val="BodyText"/>
              <w:spacing w:before="100" w:after="100"/>
            </w:pPr>
            <w:r>
              <w:t>TrueLocal Usage</w:t>
            </w:r>
          </w:p>
        </w:tc>
        <w:tc>
          <w:tcPr>
            <w:tcW w:w="2500" w:type="pct"/>
          </w:tcPr>
          <w:p w14:paraId="3138DC1D" w14:textId="77777777" w:rsidR="000D07EA" w:rsidRDefault="00BE7C89">
            <w:pPr>
              <w:pStyle w:val="BodyText"/>
              <w:spacing w:before="100" w:after="100"/>
              <w:jc w:val="center"/>
            </w:pPr>
            <w:r>
              <w:t>No</w:t>
            </w:r>
          </w:p>
        </w:tc>
      </w:tr>
      <w:tr w:rsidR="000D07EA" w14:paraId="257AF8AD" w14:textId="77777777">
        <w:tc>
          <w:tcPr>
            <w:tcW w:w="2500" w:type="pct"/>
          </w:tcPr>
          <w:p w14:paraId="3E95800D" w14:textId="77777777" w:rsidR="000D07EA" w:rsidRDefault="00BE7C89">
            <w:pPr>
              <w:pStyle w:val="BodyText"/>
              <w:spacing w:before="100" w:after="100"/>
            </w:pPr>
            <w:r>
              <w:t xml:space="preserve">Directory Assistance- 1223 </w:t>
            </w:r>
          </w:p>
        </w:tc>
        <w:tc>
          <w:tcPr>
            <w:tcW w:w="2500" w:type="pct"/>
          </w:tcPr>
          <w:p w14:paraId="085E51F6" w14:textId="77777777" w:rsidR="000D07EA" w:rsidRDefault="00BE7C89">
            <w:pPr>
              <w:pStyle w:val="BodyText"/>
              <w:spacing w:before="100" w:after="100"/>
              <w:jc w:val="center"/>
            </w:pPr>
            <w:r>
              <w:t>No</w:t>
            </w:r>
          </w:p>
        </w:tc>
      </w:tr>
      <w:tr w:rsidR="000D07EA" w14:paraId="1D5B52D5" w14:textId="77777777">
        <w:tc>
          <w:tcPr>
            <w:tcW w:w="2500" w:type="pct"/>
          </w:tcPr>
          <w:p w14:paraId="79A2C210" w14:textId="77777777" w:rsidR="000D07EA" w:rsidRDefault="00BE7C89">
            <w:pPr>
              <w:pStyle w:val="BodyText"/>
              <w:spacing w:before="100" w:after="100"/>
            </w:pPr>
            <w:r>
              <w:t>19XX Numbers</w:t>
            </w:r>
          </w:p>
        </w:tc>
        <w:tc>
          <w:tcPr>
            <w:tcW w:w="2500" w:type="pct"/>
          </w:tcPr>
          <w:p w14:paraId="73FBC902" w14:textId="77777777" w:rsidR="000D07EA" w:rsidRDefault="00BE7C89">
            <w:pPr>
              <w:pStyle w:val="BodyText"/>
              <w:spacing w:before="100" w:after="100"/>
              <w:jc w:val="center"/>
            </w:pPr>
            <w:r>
              <w:t>No</w:t>
            </w:r>
          </w:p>
        </w:tc>
      </w:tr>
      <w:tr w:rsidR="000D07EA" w14:paraId="05FBF194" w14:textId="77777777">
        <w:tc>
          <w:tcPr>
            <w:tcW w:w="2500" w:type="pct"/>
          </w:tcPr>
          <w:p w14:paraId="538567A8" w14:textId="77777777" w:rsidR="000D07EA" w:rsidRDefault="00BE7C89">
            <w:pPr>
              <w:pStyle w:val="BodyText"/>
              <w:spacing w:before="100" w:after="100"/>
            </w:pPr>
            <w:r>
              <w:t>1800, 13 and 1300 numbers</w:t>
            </w:r>
          </w:p>
        </w:tc>
        <w:tc>
          <w:tcPr>
            <w:tcW w:w="2500" w:type="pct"/>
          </w:tcPr>
          <w:p w14:paraId="3FE66D4D" w14:textId="77777777" w:rsidR="000D07EA" w:rsidRDefault="00BE7C89">
            <w:pPr>
              <w:pStyle w:val="BodyText"/>
              <w:spacing w:before="100" w:after="100"/>
              <w:jc w:val="center"/>
            </w:pPr>
            <w:r>
              <w:t>No</w:t>
            </w:r>
          </w:p>
        </w:tc>
      </w:tr>
      <w:tr w:rsidR="000D07EA" w14:paraId="0254AD40" w14:textId="77777777">
        <w:tc>
          <w:tcPr>
            <w:tcW w:w="2500" w:type="pct"/>
          </w:tcPr>
          <w:p w14:paraId="2D6F5CA2" w14:textId="77777777" w:rsidR="000D07EA" w:rsidRDefault="00BE7C89">
            <w:pPr>
              <w:pStyle w:val="BodyText"/>
              <w:spacing w:before="100" w:after="100"/>
            </w:pPr>
            <w:r>
              <w:t>124YES(937)</w:t>
            </w:r>
          </w:p>
        </w:tc>
        <w:tc>
          <w:tcPr>
            <w:tcW w:w="2500" w:type="pct"/>
          </w:tcPr>
          <w:p w14:paraId="24419097" w14:textId="77777777" w:rsidR="000D07EA" w:rsidRDefault="00BE7C89">
            <w:pPr>
              <w:pStyle w:val="BodyText"/>
              <w:spacing w:before="100" w:after="100"/>
              <w:jc w:val="center"/>
            </w:pPr>
            <w:r>
              <w:t>No</w:t>
            </w:r>
          </w:p>
        </w:tc>
      </w:tr>
      <w:tr w:rsidR="000D07EA" w14:paraId="78BF3861" w14:textId="77777777">
        <w:tc>
          <w:tcPr>
            <w:tcW w:w="2500" w:type="pct"/>
          </w:tcPr>
          <w:p w14:paraId="0587332A" w14:textId="77777777" w:rsidR="000D07EA" w:rsidRDefault="00BE7C89">
            <w:pPr>
              <w:pStyle w:val="BodyText"/>
              <w:spacing w:before="100" w:after="100"/>
            </w:pPr>
            <w:r>
              <w:t>Insurance</w:t>
            </w:r>
          </w:p>
        </w:tc>
        <w:tc>
          <w:tcPr>
            <w:tcW w:w="2500" w:type="pct"/>
          </w:tcPr>
          <w:p w14:paraId="2EC28D9B" w14:textId="77777777" w:rsidR="000D07EA" w:rsidRDefault="00BE7C89">
            <w:pPr>
              <w:pStyle w:val="BodyText"/>
              <w:spacing w:before="100" w:after="100"/>
              <w:jc w:val="center"/>
            </w:pPr>
            <w:r>
              <w:t>No</w:t>
            </w:r>
          </w:p>
        </w:tc>
      </w:tr>
      <w:tr w:rsidR="000D07EA" w14:paraId="304F5853" w14:textId="77777777">
        <w:tc>
          <w:tcPr>
            <w:tcW w:w="2500" w:type="pct"/>
          </w:tcPr>
          <w:p w14:paraId="5AE2E453" w14:textId="77777777" w:rsidR="000D07EA" w:rsidRDefault="00BE7C89">
            <w:pPr>
              <w:pStyle w:val="BodyText"/>
              <w:spacing w:before="100" w:after="100"/>
            </w:pPr>
            <w:r>
              <w:t>Handset Payments</w:t>
            </w:r>
          </w:p>
        </w:tc>
        <w:tc>
          <w:tcPr>
            <w:tcW w:w="2500" w:type="pct"/>
          </w:tcPr>
          <w:p w14:paraId="4D5E28C8" w14:textId="77777777" w:rsidR="000D07EA" w:rsidRDefault="00BE7C89">
            <w:pPr>
              <w:pStyle w:val="BodyText"/>
              <w:spacing w:before="100" w:after="100"/>
              <w:jc w:val="center"/>
            </w:pPr>
            <w:r>
              <w:t>No</w:t>
            </w:r>
          </w:p>
        </w:tc>
      </w:tr>
      <w:tr w:rsidR="000D07EA" w14:paraId="71752233" w14:textId="77777777">
        <w:tc>
          <w:tcPr>
            <w:tcW w:w="2500" w:type="pct"/>
          </w:tcPr>
          <w:p w14:paraId="6EFC2F8E" w14:textId="77777777" w:rsidR="000D07EA" w:rsidRDefault="00BE7C89">
            <w:pPr>
              <w:pStyle w:val="BodyText"/>
              <w:spacing w:before="100" w:after="100"/>
            </w:pPr>
            <w:r>
              <w:t>Calls to Satellite</w:t>
            </w:r>
          </w:p>
        </w:tc>
        <w:tc>
          <w:tcPr>
            <w:tcW w:w="2500" w:type="pct"/>
          </w:tcPr>
          <w:p w14:paraId="5BB95EC2" w14:textId="77777777" w:rsidR="000D07EA" w:rsidRDefault="00BE7C89">
            <w:pPr>
              <w:pStyle w:val="BodyText"/>
              <w:spacing w:before="100" w:after="100"/>
              <w:jc w:val="center"/>
            </w:pPr>
            <w:r>
              <w:t>No</w:t>
            </w:r>
          </w:p>
        </w:tc>
      </w:tr>
      <w:tr w:rsidR="000D07EA" w14:paraId="23C109E9" w14:textId="77777777">
        <w:tc>
          <w:tcPr>
            <w:tcW w:w="2500" w:type="pct"/>
          </w:tcPr>
          <w:p w14:paraId="35ADE3AE" w14:textId="77777777" w:rsidR="000D07EA" w:rsidRDefault="00BE7C89">
            <w:pPr>
              <w:pStyle w:val="BodyText"/>
              <w:spacing w:before="100" w:after="100"/>
            </w:pPr>
            <w:r>
              <w:t>VOIP services</w:t>
            </w:r>
          </w:p>
        </w:tc>
        <w:tc>
          <w:tcPr>
            <w:tcW w:w="2500" w:type="pct"/>
          </w:tcPr>
          <w:p w14:paraId="6B046C71" w14:textId="77777777" w:rsidR="000D07EA" w:rsidRDefault="00BE7C89">
            <w:pPr>
              <w:pStyle w:val="BodyText"/>
              <w:spacing w:before="100" w:after="100"/>
              <w:jc w:val="center"/>
            </w:pPr>
            <w:r>
              <w:t>No</w:t>
            </w:r>
          </w:p>
        </w:tc>
      </w:tr>
      <w:tr w:rsidR="000D07EA" w14:paraId="4636456B" w14:textId="77777777">
        <w:tc>
          <w:tcPr>
            <w:tcW w:w="2500" w:type="pct"/>
          </w:tcPr>
          <w:p w14:paraId="3FA607FC" w14:textId="77777777" w:rsidR="000D07EA" w:rsidRDefault="00BE7C89">
            <w:pPr>
              <w:pStyle w:val="BodyText"/>
              <w:spacing w:before="100" w:after="100"/>
            </w:pPr>
            <w:r>
              <w:lastRenderedPageBreak/>
              <w:t>Surepage</w:t>
            </w:r>
          </w:p>
        </w:tc>
        <w:tc>
          <w:tcPr>
            <w:tcW w:w="2500" w:type="pct"/>
          </w:tcPr>
          <w:p w14:paraId="5F8D2E4E" w14:textId="77777777" w:rsidR="000D07EA" w:rsidRDefault="00BE7C89">
            <w:pPr>
              <w:pStyle w:val="BodyText"/>
              <w:spacing w:before="100" w:after="100"/>
              <w:jc w:val="center"/>
            </w:pPr>
            <w:r>
              <w:t>No</w:t>
            </w:r>
          </w:p>
        </w:tc>
      </w:tr>
    </w:tbl>
    <w:p w14:paraId="2B1206F8" w14:textId="77777777" w:rsidR="000D07EA" w:rsidRDefault="000D07EA">
      <w:pPr>
        <w:pStyle w:val="BodyText"/>
        <w:rPr>
          <w:b/>
        </w:rPr>
      </w:pPr>
    </w:p>
    <w:p w14:paraId="6DA21D8D" w14:textId="77777777" w:rsidR="000D07EA" w:rsidRDefault="00BE7C89">
      <w:pPr>
        <w:pStyle w:val="BodyText"/>
        <w:ind w:left="720"/>
        <w:rPr>
          <w:b/>
        </w:rPr>
      </w:pPr>
      <w:r>
        <w:rPr>
          <w:b/>
        </w:rPr>
        <w:t>Table 2B – Eligible for Unlimited BlackBerry POP3 Email &amp; Browsing through the BlackBerry Browser</w:t>
      </w: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730"/>
        <w:gridCol w:w="4731"/>
      </w:tblGrid>
      <w:tr w:rsidR="000D07EA" w14:paraId="0C4875EF" w14:textId="77777777">
        <w:tc>
          <w:tcPr>
            <w:tcW w:w="2500" w:type="pct"/>
          </w:tcPr>
          <w:p w14:paraId="7F5492AB" w14:textId="77777777" w:rsidR="000D07EA" w:rsidRDefault="00BE7C89">
            <w:pPr>
              <w:pStyle w:val="BodyText"/>
              <w:spacing w:before="100" w:after="100"/>
              <w:jc w:val="center"/>
              <w:rPr>
                <w:b/>
                <w:snapToGrid w:val="0"/>
              </w:rPr>
            </w:pPr>
            <w:r>
              <w:rPr>
                <w:b/>
                <w:snapToGrid w:val="0"/>
              </w:rPr>
              <w:t>Call Type</w:t>
            </w:r>
          </w:p>
        </w:tc>
        <w:tc>
          <w:tcPr>
            <w:tcW w:w="2500" w:type="pct"/>
          </w:tcPr>
          <w:p w14:paraId="6A8BB26A" w14:textId="77777777" w:rsidR="000D07EA" w:rsidRDefault="00BE7C89">
            <w:pPr>
              <w:pStyle w:val="BodyText"/>
              <w:spacing w:before="100" w:after="100"/>
              <w:jc w:val="center"/>
              <w:rPr>
                <w:b/>
                <w:snapToGrid w:val="0"/>
              </w:rPr>
            </w:pPr>
            <w:r>
              <w:rPr>
                <w:b/>
                <w:snapToGrid w:val="0"/>
              </w:rPr>
              <w:t>Eligible Data</w:t>
            </w:r>
          </w:p>
        </w:tc>
      </w:tr>
      <w:tr w:rsidR="000D07EA" w14:paraId="58E8ED83" w14:textId="77777777">
        <w:tc>
          <w:tcPr>
            <w:tcW w:w="2500" w:type="pct"/>
          </w:tcPr>
          <w:p w14:paraId="52E11B1A" w14:textId="77777777" w:rsidR="000D07EA" w:rsidRDefault="00BE7C89">
            <w:pPr>
              <w:pStyle w:val="BodyText"/>
              <w:spacing w:before="100" w:after="100"/>
              <w:jc w:val="center"/>
              <w:rPr>
                <w:snapToGrid w:val="0"/>
              </w:rPr>
            </w:pPr>
            <w:r>
              <w:rPr>
                <w:snapToGrid w:val="0"/>
              </w:rPr>
              <w:t>BlackBerry Email (POP3)</w:t>
            </w:r>
          </w:p>
        </w:tc>
        <w:tc>
          <w:tcPr>
            <w:tcW w:w="2500" w:type="pct"/>
          </w:tcPr>
          <w:p w14:paraId="20D9A703" w14:textId="77777777" w:rsidR="000D07EA" w:rsidRDefault="00BE7C89">
            <w:pPr>
              <w:pStyle w:val="BodyText"/>
              <w:spacing w:before="100" w:after="100"/>
              <w:jc w:val="center"/>
              <w:rPr>
                <w:b/>
                <w:snapToGrid w:val="0"/>
              </w:rPr>
            </w:pPr>
            <w:r>
              <w:rPr>
                <w:b/>
                <w:snapToGrid w:val="0"/>
              </w:rPr>
              <w:t>Yes</w:t>
            </w:r>
          </w:p>
        </w:tc>
      </w:tr>
      <w:tr w:rsidR="000D07EA" w14:paraId="4B267737" w14:textId="77777777">
        <w:tc>
          <w:tcPr>
            <w:tcW w:w="2500" w:type="pct"/>
          </w:tcPr>
          <w:p w14:paraId="7AECA91B" w14:textId="77777777" w:rsidR="000D07EA" w:rsidRDefault="00BE7C89">
            <w:pPr>
              <w:pStyle w:val="BodyText"/>
              <w:spacing w:before="100" w:after="100"/>
              <w:jc w:val="center"/>
              <w:rPr>
                <w:snapToGrid w:val="0"/>
              </w:rPr>
            </w:pPr>
            <w:r>
              <w:rPr>
                <w:snapToGrid w:val="0"/>
              </w:rPr>
              <w:t>Internet Browsing through the BlackBerry Browser and/or the BlackBerry Internet Browser</w:t>
            </w:r>
          </w:p>
        </w:tc>
        <w:tc>
          <w:tcPr>
            <w:tcW w:w="2500" w:type="pct"/>
          </w:tcPr>
          <w:p w14:paraId="64206DF0" w14:textId="77777777" w:rsidR="000D07EA" w:rsidRDefault="00BE7C89">
            <w:pPr>
              <w:pStyle w:val="BodyText"/>
              <w:spacing w:before="100" w:after="100"/>
              <w:jc w:val="center"/>
              <w:rPr>
                <w:b/>
                <w:snapToGrid w:val="0"/>
              </w:rPr>
            </w:pPr>
            <w:r>
              <w:rPr>
                <w:b/>
                <w:snapToGrid w:val="0"/>
              </w:rPr>
              <w:t>Yes</w:t>
            </w:r>
          </w:p>
        </w:tc>
      </w:tr>
      <w:tr w:rsidR="000D07EA" w14:paraId="4CFEE96C" w14:textId="77777777">
        <w:tc>
          <w:tcPr>
            <w:tcW w:w="2500" w:type="pct"/>
          </w:tcPr>
          <w:p w14:paraId="1DB84975" w14:textId="77777777" w:rsidR="000D07EA" w:rsidRDefault="00BE7C89">
            <w:pPr>
              <w:pStyle w:val="BodyText"/>
              <w:spacing w:before="100" w:after="100"/>
              <w:jc w:val="center"/>
              <w:rPr>
                <w:snapToGrid w:val="0"/>
              </w:rPr>
            </w:pPr>
            <w:r>
              <w:rPr>
                <w:snapToGrid w:val="0"/>
              </w:rPr>
              <w:t>Optus Zoo downloads and subscriptions</w:t>
            </w:r>
          </w:p>
        </w:tc>
        <w:tc>
          <w:tcPr>
            <w:tcW w:w="2500" w:type="pct"/>
          </w:tcPr>
          <w:p w14:paraId="41E6C420" w14:textId="77777777" w:rsidR="000D07EA" w:rsidRDefault="00BE7C89">
            <w:pPr>
              <w:pStyle w:val="BodyText"/>
              <w:spacing w:before="100" w:after="100"/>
              <w:jc w:val="center"/>
              <w:rPr>
                <w:b/>
              </w:rPr>
            </w:pPr>
            <w:r>
              <w:rPr>
                <w:b/>
                <w:snapToGrid w:val="0"/>
              </w:rPr>
              <w:t>No</w:t>
            </w:r>
          </w:p>
        </w:tc>
      </w:tr>
      <w:tr w:rsidR="000D07EA" w14:paraId="00A02E1E" w14:textId="77777777">
        <w:tc>
          <w:tcPr>
            <w:tcW w:w="2500" w:type="pct"/>
          </w:tcPr>
          <w:p w14:paraId="6A4DC05B" w14:textId="77777777" w:rsidR="000D07EA" w:rsidRDefault="00BE7C89">
            <w:pPr>
              <w:pStyle w:val="BodyText"/>
              <w:spacing w:before="100" w:after="100"/>
              <w:jc w:val="center"/>
              <w:rPr>
                <w:snapToGrid w:val="0"/>
              </w:rPr>
            </w:pPr>
            <w:r>
              <w:rPr>
                <w:snapToGrid w:val="0"/>
              </w:rPr>
              <w:t>Optus Zoo GPRS WAP browsing</w:t>
            </w:r>
          </w:p>
        </w:tc>
        <w:tc>
          <w:tcPr>
            <w:tcW w:w="2500" w:type="pct"/>
          </w:tcPr>
          <w:p w14:paraId="43D94105" w14:textId="77777777" w:rsidR="000D07EA" w:rsidRDefault="00BE7C89">
            <w:pPr>
              <w:pStyle w:val="BodyText"/>
              <w:spacing w:before="100" w:after="100"/>
              <w:jc w:val="center"/>
              <w:rPr>
                <w:b/>
                <w:snapToGrid w:val="0"/>
              </w:rPr>
            </w:pPr>
            <w:r>
              <w:rPr>
                <w:b/>
                <w:snapToGrid w:val="0"/>
              </w:rPr>
              <w:t>No</w:t>
            </w:r>
          </w:p>
        </w:tc>
      </w:tr>
      <w:tr w:rsidR="000D07EA" w14:paraId="787DE144" w14:textId="77777777">
        <w:trPr>
          <w:trHeight w:val="60"/>
        </w:trPr>
        <w:tc>
          <w:tcPr>
            <w:tcW w:w="2500" w:type="pct"/>
          </w:tcPr>
          <w:p w14:paraId="1C15EB73" w14:textId="77777777" w:rsidR="000D07EA" w:rsidRDefault="00BE7C89">
            <w:pPr>
              <w:pStyle w:val="BodyText"/>
              <w:spacing w:before="100" w:after="100"/>
              <w:jc w:val="center"/>
            </w:pPr>
            <w:r>
              <w:t>Applications from Optus and third party applications that require a BlackBerry Data connection</w:t>
            </w:r>
          </w:p>
        </w:tc>
        <w:tc>
          <w:tcPr>
            <w:tcW w:w="2500" w:type="pct"/>
          </w:tcPr>
          <w:p w14:paraId="0FF65740" w14:textId="77777777" w:rsidR="000D07EA" w:rsidRDefault="00BE7C89">
            <w:pPr>
              <w:pStyle w:val="BodyText"/>
              <w:spacing w:before="100" w:after="100"/>
              <w:jc w:val="center"/>
              <w:rPr>
                <w:b/>
                <w:snapToGrid w:val="0"/>
              </w:rPr>
            </w:pPr>
            <w:r>
              <w:rPr>
                <w:b/>
                <w:snapToGrid w:val="0"/>
              </w:rPr>
              <w:t>Yes</w:t>
            </w:r>
          </w:p>
        </w:tc>
      </w:tr>
      <w:tr w:rsidR="000D07EA" w14:paraId="1831B3FA" w14:textId="77777777">
        <w:tc>
          <w:tcPr>
            <w:tcW w:w="2500" w:type="pct"/>
          </w:tcPr>
          <w:p w14:paraId="1037D9F1" w14:textId="77777777" w:rsidR="000D07EA" w:rsidRDefault="00BE7C89">
            <w:pPr>
              <w:pStyle w:val="BodyText"/>
              <w:spacing w:before="100" w:after="100"/>
              <w:jc w:val="center"/>
              <w:rPr>
                <w:snapToGrid w:val="0"/>
              </w:rPr>
            </w:pPr>
            <w:r>
              <w:rPr>
                <w:snapToGrid w:val="0"/>
              </w:rPr>
              <w:t>All other call types or usage</w:t>
            </w:r>
          </w:p>
        </w:tc>
        <w:tc>
          <w:tcPr>
            <w:tcW w:w="2500" w:type="pct"/>
          </w:tcPr>
          <w:p w14:paraId="49B0A188" w14:textId="77777777" w:rsidR="000D07EA" w:rsidRDefault="00BE7C89">
            <w:pPr>
              <w:pStyle w:val="BodyText"/>
              <w:spacing w:before="100" w:after="100"/>
              <w:jc w:val="center"/>
              <w:rPr>
                <w:b/>
                <w:snapToGrid w:val="0"/>
              </w:rPr>
            </w:pPr>
            <w:r>
              <w:rPr>
                <w:b/>
                <w:snapToGrid w:val="0"/>
              </w:rPr>
              <w:t>No</w:t>
            </w:r>
          </w:p>
        </w:tc>
      </w:tr>
    </w:tbl>
    <w:p w14:paraId="45D241EE" w14:textId="77777777" w:rsidR="000D07EA" w:rsidRDefault="000D07EA">
      <w:pPr>
        <w:pStyle w:val="BodyText"/>
      </w:pPr>
    </w:p>
    <w:p w14:paraId="2E382593" w14:textId="77777777" w:rsidR="000D07EA" w:rsidRDefault="00BE7C89">
      <w:pPr>
        <w:pStyle w:val="BodyText"/>
        <w:ind w:left="720"/>
        <w:rPr>
          <w:b/>
        </w:rPr>
      </w:pPr>
      <w:r>
        <w:rPr>
          <w:b/>
        </w:rPr>
        <w:t>Table 3A – Charges and Cap Amounts for the Business Complete Plans</w:t>
      </w: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3954"/>
        <w:gridCol w:w="1835"/>
        <w:gridCol w:w="1835"/>
        <w:gridCol w:w="1837"/>
      </w:tblGrid>
      <w:tr w:rsidR="000D07EA" w14:paraId="2DE51AD4" w14:textId="77777777">
        <w:trPr>
          <w:tblHeader/>
        </w:trPr>
        <w:tc>
          <w:tcPr>
            <w:tcW w:w="2089" w:type="pct"/>
          </w:tcPr>
          <w:p w14:paraId="3B063146" w14:textId="77777777" w:rsidR="000D07EA" w:rsidRDefault="00BE7C89">
            <w:pPr>
              <w:pStyle w:val="BodyText"/>
              <w:spacing w:before="100" w:after="100"/>
            </w:pPr>
            <w:r>
              <w:t> </w:t>
            </w:r>
          </w:p>
        </w:tc>
        <w:tc>
          <w:tcPr>
            <w:tcW w:w="970" w:type="pct"/>
          </w:tcPr>
          <w:p w14:paraId="779D1F18" w14:textId="77777777" w:rsidR="000D07EA" w:rsidRDefault="00BE7C89">
            <w:pPr>
              <w:pStyle w:val="BodyText"/>
              <w:spacing w:before="100" w:after="100"/>
              <w:jc w:val="center"/>
              <w:rPr>
                <w:b/>
              </w:rPr>
            </w:pPr>
            <w:r>
              <w:rPr>
                <w:b/>
              </w:rPr>
              <w:t>$49 Business Complete / (Premium H/set)</w:t>
            </w:r>
          </w:p>
        </w:tc>
        <w:tc>
          <w:tcPr>
            <w:tcW w:w="970" w:type="pct"/>
          </w:tcPr>
          <w:p w14:paraId="61BEE5A9" w14:textId="77777777" w:rsidR="000D07EA" w:rsidRDefault="00BE7C89">
            <w:pPr>
              <w:pStyle w:val="BodyText"/>
              <w:spacing w:before="100" w:after="100"/>
              <w:jc w:val="center"/>
              <w:rPr>
                <w:b/>
              </w:rPr>
            </w:pPr>
            <w:r>
              <w:rPr>
                <w:b/>
              </w:rPr>
              <w:t>$59 Business Complete / (Premium H/set)</w:t>
            </w:r>
          </w:p>
        </w:tc>
        <w:tc>
          <w:tcPr>
            <w:tcW w:w="970" w:type="pct"/>
          </w:tcPr>
          <w:p w14:paraId="737D6DAA" w14:textId="77777777" w:rsidR="000D07EA" w:rsidRDefault="00BE7C89">
            <w:pPr>
              <w:pStyle w:val="BodyText"/>
              <w:spacing w:before="100" w:after="100"/>
              <w:jc w:val="center"/>
              <w:rPr>
                <w:b/>
              </w:rPr>
            </w:pPr>
            <w:r>
              <w:rPr>
                <w:b/>
              </w:rPr>
              <w:t>$79 Business Complete / (Premium H/set)</w:t>
            </w:r>
          </w:p>
        </w:tc>
      </w:tr>
      <w:tr w:rsidR="000D07EA" w14:paraId="1F809BED" w14:textId="77777777">
        <w:tc>
          <w:tcPr>
            <w:tcW w:w="2089" w:type="pct"/>
          </w:tcPr>
          <w:p w14:paraId="49430B76" w14:textId="77777777" w:rsidR="000D07EA" w:rsidRDefault="00BE7C89">
            <w:pPr>
              <w:pStyle w:val="BodyText"/>
              <w:spacing w:before="100" w:after="100"/>
              <w:rPr>
                <w:b/>
              </w:rPr>
            </w:pPr>
            <w:r>
              <w:rPr>
                <w:b/>
              </w:rPr>
              <w:t>Cap Start</w:t>
            </w:r>
          </w:p>
        </w:tc>
        <w:tc>
          <w:tcPr>
            <w:tcW w:w="970" w:type="pct"/>
            <w:vAlign w:val="center"/>
          </w:tcPr>
          <w:p w14:paraId="2C1B7C8B" w14:textId="77777777" w:rsidR="000D07EA" w:rsidRDefault="00BE7C89">
            <w:pPr>
              <w:pStyle w:val="BodyText"/>
              <w:spacing w:before="100" w:after="100"/>
              <w:jc w:val="center"/>
            </w:pPr>
            <w:r>
              <w:t>$49</w:t>
            </w:r>
          </w:p>
        </w:tc>
        <w:tc>
          <w:tcPr>
            <w:tcW w:w="970" w:type="pct"/>
            <w:vAlign w:val="center"/>
          </w:tcPr>
          <w:p w14:paraId="3585AFB2" w14:textId="77777777" w:rsidR="000D07EA" w:rsidRDefault="00BE7C89">
            <w:pPr>
              <w:pStyle w:val="BodyText"/>
              <w:spacing w:before="100" w:after="100"/>
              <w:jc w:val="center"/>
            </w:pPr>
            <w:r>
              <w:t>$59</w:t>
            </w:r>
          </w:p>
        </w:tc>
        <w:tc>
          <w:tcPr>
            <w:tcW w:w="970" w:type="pct"/>
            <w:vAlign w:val="center"/>
          </w:tcPr>
          <w:p w14:paraId="64B21947" w14:textId="77777777" w:rsidR="000D07EA" w:rsidRDefault="00BE7C89">
            <w:pPr>
              <w:pStyle w:val="BodyText"/>
              <w:spacing w:before="100" w:after="100"/>
              <w:jc w:val="center"/>
            </w:pPr>
            <w:r>
              <w:t>$79</w:t>
            </w:r>
          </w:p>
        </w:tc>
      </w:tr>
      <w:tr w:rsidR="000D07EA" w14:paraId="50B71574" w14:textId="77777777">
        <w:tc>
          <w:tcPr>
            <w:tcW w:w="2089" w:type="pct"/>
          </w:tcPr>
          <w:p w14:paraId="23EA927D" w14:textId="77777777" w:rsidR="000D07EA" w:rsidRDefault="00BE7C89">
            <w:pPr>
              <w:pStyle w:val="BodyText"/>
              <w:spacing w:before="100" w:after="100"/>
              <w:rPr>
                <w:b/>
              </w:rPr>
            </w:pPr>
            <w:r>
              <w:rPr>
                <w:b/>
              </w:rPr>
              <w:t>"Included Cap Value" per month</w:t>
            </w:r>
          </w:p>
        </w:tc>
        <w:tc>
          <w:tcPr>
            <w:tcW w:w="970" w:type="pct"/>
            <w:vAlign w:val="center"/>
          </w:tcPr>
          <w:p w14:paraId="79029282" w14:textId="77777777" w:rsidR="000D07EA" w:rsidRDefault="00BE7C89">
            <w:pPr>
              <w:pStyle w:val="BodyText"/>
              <w:spacing w:before="100" w:after="100"/>
              <w:jc w:val="center"/>
            </w:pPr>
            <w:r>
              <w:t>$550</w:t>
            </w:r>
          </w:p>
        </w:tc>
        <w:tc>
          <w:tcPr>
            <w:tcW w:w="970" w:type="pct"/>
            <w:vAlign w:val="center"/>
          </w:tcPr>
          <w:p w14:paraId="72BB81E8" w14:textId="77777777" w:rsidR="000D07EA" w:rsidRDefault="00BE7C89">
            <w:pPr>
              <w:pStyle w:val="BodyText"/>
              <w:spacing w:before="100" w:after="100"/>
              <w:jc w:val="center"/>
            </w:pPr>
            <w:r>
              <w:t>$750</w:t>
            </w:r>
          </w:p>
        </w:tc>
        <w:tc>
          <w:tcPr>
            <w:tcW w:w="970" w:type="pct"/>
            <w:vAlign w:val="center"/>
          </w:tcPr>
          <w:p w14:paraId="1E7384B7" w14:textId="77777777" w:rsidR="000D07EA" w:rsidRDefault="00BE7C89">
            <w:pPr>
              <w:pStyle w:val="BodyText"/>
              <w:spacing w:before="100" w:after="100"/>
              <w:jc w:val="center"/>
            </w:pPr>
            <w:r>
              <w:t>$900</w:t>
            </w:r>
          </w:p>
        </w:tc>
      </w:tr>
      <w:tr w:rsidR="000D07EA" w14:paraId="05D30E44" w14:textId="77777777">
        <w:tc>
          <w:tcPr>
            <w:tcW w:w="2089" w:type="pct"/>
          </w:tcPr>
          <w:p w14:paraId="1ABEED18" w14:textId="77777777" w:rsidR="000D07EA" w:rsidRDefault="00BE7C89">
            <w:pPr>
              <w:pStyle w:val="BodyText"/>
              <w:spacing w:before="100" w:after="100"/>
              <w:rPr>
                <w:b/>
              </w:rPr>
            </w:pPr>
            <w:r>
              <w:rPr>
                <w:b/>
              </w:rPr>
              <w:t>Unlimited Standard National SMS to Australian GSM mobiles (excludes Pivotel),</w:t>
            </w:r>
          </w:p>
          <w:p w14:paraId="299A5F0D" w14:textId="77777777" w:rsidR="000D07EA" w:rsidRDefault="00BE7C89">
            <w:pPr>
              <w:pStyle w:val="BodyText"/>
              <w:spacing w:before="100" w:after="100"/>
              <w:rPr>
                <w:b/>
              </w:rPr>
            </w:pPr>
            <w:r>
              <w:rPr>
                <w:b/>
              </w:rPr>
              <w:t>within Australia</w:t>
            </w:r>
          </w:p>
        </w:tc>
        <w:tc>
          <w:tcPr>
            <w:tcW w:w="970" w:type="pct"/>
            <w:vAlign w:val="center"/>
          </w:tcPr>
          <w:p w14:paraId="223D4B71" w14:textId="77777777" w:rsidR="000D07EA" w:rsidRDefault="00BE7C89">
            <w:pPr>
              <w:pStyle w:val="BodyText"/>
              <w:spacing w:before="100" w:after="100"/>
              <w:jc w:val="center"/>
            </w:pPr>
            <w:r>
              <w:t>No</w:t>
            </w:r>
          </w:p>
        </w:tc>
        <w:tc>
          <w:tcPr>
            <w:tcW w:w="970" w:type="pct"/>
            <w:vAlign w:val="center"/>
          </w:tcPr>
          <w:p w14:paraId="24840019" w14:textId="77777777" w:rsidR="000D07EA" w:rsidRDefault="00BE7C89">
            <w:pPr>
              <w:pStyle w:val="BodyText"/>
              <w:spacing w:before="100" w:after="100"/>
              <w:jc w:val="center"/>
            </w:pPr>
            <w:r>
              <w:t>Yes</w:t>
            </w:r>
          </w:p>
        </w:tc>
        <w:tc>
          <w:tcPr>
            <w:tcW w:w="970" w:type="pct"/>
            <w:vAlign w:val="center"/>
          </w:tcPr>
          <w:p w14:paraId="770494F2" w14:textId="77777777" w:rsidR="000D07EA" w:rsidRDefault="00BE7C89">
            <w:pPr>
              <w:pStyle w:val="BodyText"/>
              <w:spacing w:before="100" w:after="100"/>
              <w:jc w:val="center"/>
            </w:pPr>
            <w:r>
              <w:t>Yes</w:t>
            </w:r>
          </w:p>
        </w:tc>
      </w:tr>
      <w:tr w:rsidR="000D07EA" w14:paraId="1576C67A" w14:textId="77777777">
        <w:tc>
          <w:tcPr>
            <w:tcW w:w="2089" w:type="pct"/>
          </w:tcPr>
          <w:p w14:paraId="0CD6EE0B" w14:textId="77777777" w:rsidR="000D07EA" w:rsidRDefault="00BE7C89">
            <w:pPr>
              <w:pStyle w:val="BodyText"/>
              <w:spacing w:before="100" w:after="100"/>
              <w:rPr>
                <w:b/>
              </w:rPr>
            </w:pPr>
            <w:r>
              <w:rPr>
                <w:b/>
              </w:rPr>
              <w:t>Unlimited voice calls Optus GSM Mobiles on Same Customer Account Number Offer to use within Australia.</w:t>
            </w:r>
          </w:p>
        </w:tc>
        <w:tc>
          <w:tcPr>
            <w:tcW w:w="970" w:type="pct"/>
            <w:vAlign w:val="center"/>
          </w:tcPr>
          <w:p w14:paraId="2C76DD56" w14:textId="77777777" w:rsidR="000D07EA" w:rsidRDefault="00BE7C89">
            <w:pPr>
              <w:pStyle w:val="BodyText"/>
              <w:spacing w:before="100" w:after="100"/>
              <w:jc w:val="center"/>
            </w:pPr>
            <w:r>
              <w:t>Yes</w:t>
            </w:r>
          </w:p>
        </w:tc>
        <w:tc>
          <w:tcPr>
            <w:tcW w:w="970" w:type="pct"/>
            <w:vAlign w:val="center"/>
          </w:tcPr>
          <w:p w14:paraId="6715EEB4" w14:textId="77777777" w:rsidR="000D07EA" w:rsidRDefault="00BE7C89">
            <w:pPr>
              <w:pStyle w:val="BodyText"/>
              <w:spacing w:before="100" w:after="100"/>
              <w:jc w:val="center"/>
            </w:pPr>
            <w:r>
              <w:t>Yes</w:t>
            </w:r>
          </w:p>
        </w:tc>
        <w:tc>
          <w:tcPr>
            <w:tcW w:w="970" w:type="pct"/>
            <w:vAlign w:val="center"/>
          </w:tcPr>
          <w:p w14:paraId="4F734DA6" w14:textId="77777777" w:rsidR="000D07EA" w:rsidRDefault="00BE7C89">
            <w:pPr>
              <w:pStyle w:val="BodyText"/>
              <w:spacing w:before="100" w:after="100"/>
              <w:jc w:val="center"/>
            </w:pPr>
            <w:r>
              <w:t>Yes</w:t>
            </w:r>
          </w:p>
        </w:tc>
      </w:tr>
      <w:tr w:rsidR="000D07EA" w14:paraId="07046820" w14:textId="77777777">
        <w:tc>
          <w:tcPr>
            <w:tcW w:w="2089" w:type="pct"/>
          </w:tcPr>
          <w:p w14:paraId="08A902C0" w14:textId="77777777" w:rsidR="000D07EA" w:rsidRDefault="00BE7C89">
            <w:pPr>
              <w:pStyle w:val="BodyText"/>
              <w:spacing w:before="100" w:after="100"/>
              <w:rPr>
                <w:b/>
              </w:rPr>
            </w:pPr>
            <w:r>
              <w:rPr>
                <w:b/>
              </w:rPr>
              <w:t>Unlimited Voicemail – Deposit and retrievals within Australia</w:t>
            </w:r>
          </w:p>
        </w:tc>
        <w:tc>
          <w:tcPr>
            <w:tcW w:w="970" w:type="pct"/>
            <w:vAlign w:val="center"/>
          </w:tcPr>
          <w:p w14:paraId="56DB3DB7" w14:textId="77777777" w:rsidR="000D07EA" w:rsidRDefault="00BE7C89">
            <w:pPr>
              <w:pStyle w:val="BodyText"/>
              <w:spacing w:before="100" w:after="100"/>
              <w:jc w:val="center"/>
            </w:pPr>
            <w:r>
              <w:t>Yes</w:t>
            </w:r>
          </w:p>
        </w:tc>
        <w:tc>
          <w:tcPr>
            <w:tcW w:w="970" w:type="pct"/>
            <w:vAlign w:val="center"/>
          </w:tcPr>
          <w:p w14:paraId="33DB77A3" w14:textId="77777777" w:rsidR="000D07EA" w:rsidRDefault="00BE7C89">
            <w:pPr>
              <w:pStyle w:val="BodyText"/>
              <w:spacing w:before="100" w:after="100"/>
              <w:jc w:val="center"/>
            </w:pPr>
            <w:r>
              <w:t>Yes</w:t>
            </w:r>
          </w:p>
        </w:tc>
        <w:tc>
          <w:tcPr>
            <w:tcW w:w="970" w:type="pct"/>
            <w:vAlign w:val="center"/>
          </w:tcPr>
          <w:p w14:paraId="0589801C" w14:textId="77777777" w:rsidR="000D07EA" w:rsidRDefault="00BE7C89">
            <w:pPr>
              <w:pStyle w:val="BodyText"/>
              <w:spacing w:before="100" w:after="100"/>
              <w:jc w:val="center"/>
            </w:pPr>
            <w:r>
              <w:t>Yes</w:t>
            </w:r>
          </w:p>
        </w:tc>
      </w:tr>
      <w:tr w:rsidR="000D07EA" w14:paraId="29169799" w14:textId="77777777">
        <w:tc>
          <w:tcPr>
            <w:tcW w:w="2089" w:type="pct"/>
          </w:tcPr>
          <w:p w14:paraId="4F1B3EB5" w14:textId="77777777" w:rsidR="000D07EA" w:rsidRDefault="00BE7C89">
            <w:pPr>
              <w:pStyle w:val="BodyText"/>
              <w:spacing w:before="100" w:after="100"/>
              <w:rPr>
                <w:b/>
              </w:rPr>
            </w:pPr>
            <w:r>
              <w:rPr>
                <w:b/>
              </w:rPr>
              <w:t xml:space="preserve">Unlimited mobile access to Facebook®, Twitter, LinkedIn, Ebay, FourSquare, MySpace within Australia </w:t>
            </w:r>
          </w:p>
        </w:tc>
        <w:tc>
          <w:tcPr>
            <w:tcW w:w="970" w:type="pct"/>
            <w:vAlign w:val="center"/>
          </w:tcPr>
          <w:p w14:paraId="6341909A" w14:textId="77777777" w:rsidR="000D07EA" w:rsidRDefault="00BE7C89">
            <w:pPr>
              <w:pStyle w:val="BodyText"/>
              <w:spacing w:before="100" w:after="100"/>
              <w:jc w:val="center"/>
            </w:pPr>
            <w:r>
              <w:t>Yes</w:t>
            </w:r>
          </w:p>
        </w:tc>
        <w:tc>
          <w:tcPr>
            <w:tcW w:w="970" w:type="pct"/>
            <w:vAlign w:val="center"/>
          </w:tcPr>
          <w:p w14:paraId="65553E88" w14:textId="77777777" w:rsidR="000D07EA" w:rsidRDefault="00BE7C89">
            <w:pPr>
              <w:pStyle w:val="BodyText"/>
              <w:spacing w:before="100" w:after="100"/>
              <w:jc w:val="center"/>
            </w:pPr>
            <w:r>
              <w:t>Yes</w:t>
            </w:r>
          </w:p>
        </w:tc>
        <w:tc>
          <w:tcPr>
            <w:tcW w:w="970" w:type="pct"/>
            <w:vAlign w:val="center"/>
          </w:tcPr>
          <w:p w14:paraId="124CD867" w14:textId="77777777" w:rsidR="000D07EA" w:rsidRDefault="00BE7C89">
            <w:pPr>
              <w:pStyle w:val="BodyText"/>
              <w:spacing w:before="100" w:after="100"/>
              <w:jc w:val="center"/>
            </w:pPr>
            <w:r>
              <w:t>Yes</w:t>
            </w:r>
          </w:p>
        </w:tc>
      </w:tr>
      <w:tr w:rsidR="000D07EA" w14:paraId="7C1C071F" w14:textId="77777777">
        <w:tc>
          <w:tcPr>
            <w:tcW w:w="2089" w:type="pct"/>
          </w:tcPr>
          <w:p w14:paraId="62C29A8D" w14:textId="77777777" w:rsidR="000D07EA" w:rsidRDefault="00BE7C89">
            <w:pPr>
              <w:pStyle w:val="BodyText"/>
              <w:spacing w:before="100" w:after="100"/>
              <w:rPr>
                <w:b/>
              </w:rPr>
            </w:pPr>
            <w:r>
              <w:rPr>
                <w:b/>
              </w:rPr>
              <w:t>Minimum Monthly charge</w:t>
            </w:r>
          </w:p>
        </w:tc>
        <w:tc>
          <w:tcPr>
            <w:tcW w:w="970" w:type="pct"/>
            <w:vAlign w:val="center"/>
          </w:tcPr>
          <w:p w14:paraId="5EB0087C" w14:textId="77777777" w:rsidR="000D07EA" w:rsidRDefault="00BE7C89">
            <w:pPr>
              <w:pStyle w:val="BodyText"/>
              <w:spacing w:before="100" w:after="100"/>
              <w:jc w:val="center"/>
            </w:pPr>
            <w:r>
              <w:t>$49</w:t>
            </w:r>
          </w:p>
        </w:tc>
        <w:tc>
          <w:tcPr>
            <w:tcW w:w="970" w:type="pct"/>
            <w:vAlign w:val="center"/>
          </w:tcPr>
          <w:p w14:paraId="22426127" w14:textId="77777777" w:rsidR="000D07EA" w:rsidRDefault="00BE7C89">
            <w:pPr>
              <w:pStyle w:val="BodyText"/>
              <w:spacing w:before="100" w:after="100"/>
              <w:jc w:val="center"/>
            </w:pPr>
            <w:r>
              <w:t>$59</w:t>
            </w:r>
          </w:p>
        </w:tc>
        <w:tc>
          <w:tcPr>
            <w:tcW w:w="970" w:type="pct"/>
            <w:vAlign w:val="center"/>
          </w:tcPr>
          <w:p w14:paraId="6795E26B" w14:textId="77777777" w:rsidR="000D07EA" w:rsidRDefault="00BE7C89">
            <w:pPr>
              <w:pStyle w:val="BodyText"/>
              <w:spacing w:before="100" w:after="100"/>
              <w:jc w:val="center"/>
            </w:pPr>
            <w:r>
              <w:t>$79</w:t>
            </w:r>
          </w:p>
        </w:tc>
      </w:tr>
      <w:tr w:rsidR="000D07EA" w14:paraId="1D6135B3" w14:textId="77777777">
        <w:tc>
          <w:tcPr>
            <w:tcW w:w="2089" w:type="pct"/>
          </w:tcPr>
          <w:p w14:paraId="5A4A31D0" w14:textId="77777777" w:rsidR="000D07EA" w:rsidRDefault="00BE7C89">
            <w:pPr>
              <w:pStyle w:val="BodyText"/>
              <w:spacing w:before="100" w:after="100"/>
              <w:rPr>
                <w:b/>
              </w:rPr>
            </w:pPr>
            <w:r>
              <w:rPr>
                <w:b/>
              </w:rPr>
              <w:t xml:space="preserve">National Voice call charges </w:t>
            </w:r>
            <w:r>
              <w:t>(per minute)</w:t>
            </w:r>
          </w:p>
        </w:tc>
        <w:tc>
          <w:tcPr>
            <w:tcW w:w="970" w:type="pct"/>
            <w:vAlign w:val="center"/>
          </w:tcPr>
          <w:p w14:paraId="6B65D4A6" w14:textId="77777777" w:rsidR="000D07EA" w:rsidRDefault="00BE7C89">
            <w:pPr>
              <w:pStyle w:val="BodyText"/>
              <w:spacing w:before="100" w:after="100"/>
              <w:jc w:val="center"/>
            </w:pPr>
            <w:r>
              <w:t>$0.90</w:t>
            </w:r>
          </w:p>
        </w:tc>
        <w:tc>
          <w:tcPr>
            <w:tcW w:w="970" w:type="pct"/>
            <w:vAlign w:val="center"/>
          </w:tcPr>
          <w:p w14:paraId="3C9BC736" w14:textId="77777777" w:rsidR="000D07EA" w:rsidRDefault="00BE7C89">
            <w:pPr>
              <w:pStyle w:val="BodyText"/>
              <w:spacing w:before="100" w:after="100"/>
              <w:jc w:val="center"/>
            </w:pPr>
            <w:r>
              <w:t>$0.90</w:t>
            </w:r>
          </w:p>
        </w:tc>
        <w:tc>
          <w:tcPr>
            <w:tcW w:w="970" w:type="pct"/>
            <w:vAlign w:val="center"/>
          </w:tcPr>
          <w:p w14:paraId="3F363377" w14:textId="77777777" w:rsidR="000D07EA" w:rsidRDefault="00BE7C89">
            <w:pPr>
              <w:pStyle w:val="BodyText"/>
              <w:spacing w:before="100" w:after="100"/>
              <w:jc w:val="center"/>
            </w:pPr>
            <w:r>
              <w:t>$0.90</w:t>
            </w:r>
          </w:p>
        </w:tc>
      </w:tr>
      <w:tr w:rsidR="000D07EA" w14:paraId="5C4CED23" w14:textId="77777777">
        <w:tc>
          <w:tcPr>
            <w:tcW w:w="2089" w:type="pct"/>
          </w:tcPr>
          <w:p w14:paraId="3555C2DC" w14:textId="77777777" w:rsidR="000D07EA" w:rsidRDefault="00BE7C89">
            <w:pPr>
              <w:pStyle w:val="BodyText"/>
              <w:spacing w:before="100" w:after="100"/>
              <w:rPr>
                <w:b/>
                <w:i/>
                <w:iCs/>
              </w:rPr>
            </w:pPr>
            <w:r>
              <w:rPr>
                <w:b/>
                <w:i/>
                <w:iCs/>
              </w:rPr>
              <w:t>Flagfall</w:t>
            </w:r>
            <w:r>
              <w:rPr>
                <w:b/>
              </w:rPr>
              <w:t xml:space="preserve"> for national voice calls (Call Connection Charge) </w:t>
            </w:r>
          </w:p>
        </w:tc>
        <w:tc>
          <w:tcPr>
            <w:tcW w:w="970" w:type="pct"/>
            <w:vAlign w:val="center"/>
          </w:tcPr>
          <w:p w14:paraId="3621398E" w14:textId="77777777" w:rsidR="000D07EA" w:rsidRDefault="00BE7C89">
            <w:pPr>
              <w:pStyle w:val="BodyText"/>
              <w:spacing w:before="100" w:after="100"/>
              <w:jc w:val="center"/>
            </w:pPr>
            <w:r>
              <w:t>$0.35</w:t>
            </w:r>
          </w:p>
        </w:tc>
        <w:tc>
          <w:tcPr>
            <w:tcW w:w="970" w:type="pct"/>
            <w:vAlign w:val="center"/>
          </w:tcPr>
          <w:p w14:paraId="33A9C8F0" w14:textId="77777777" w:rsidR="000D07EA" w:rsidRDefault="00BE7C89">
            <w:pPr>
              <w:pStyle w:val="BodyText"/>
              <w:spacing w:before="100" w:after="100"/>
              <w:jc w:val="center"/>
            </w:pPr>
            <w:r>
              <w:t>$0.35</w:t>
            </w:r>
          </w:p>
        </w:tc>
        <w:tc>
          <w:tcPr>
            <w:tcW w:w="970" w:type="pct"/>
            <w:vAlign w:val="center"/>
          </w:tcPr>
          <w:p w14:paraId="138E7C8D" w14:textId="77777777" w:rsidR="000D07EA" w:rsidRDefault="00BE7C89">
            <w:pPr>
              <w:pStyle w:val="BodyText"/>
              <w:spacing w:before="100" w:after="100"/>
              <w:jc w:val="center"/>
            </w:pPr>
            <w:r>
              <w:t>$0.35</w:t>
            </w:r>
          </w:p>
        </w:tc>
      </w:tr>
      <w:tr w:rsidR="000D07EA" w14:paraId="6484D143" w14:textId="77777777">
        <w:tc>
          <w:tcPr>
            <w:tcW w:w="2089" w:type="pct"/>
          </w:tcPr>
          <w:p w14:paraId="0E322F3C" w14:textId="77777777" w:rsidR="000D07EA" w:rsidRDefault="00BE7C89">
            <w:pPr>
              <w:pStyle w:val="BodyText"/>
              <w:spacing w:before="100" w:after="100"/>
              <w:rPr>
                <w:b/>
              </w:rPr>
            </w:pPr>
            <w:r>
              <w:rPr>
                <w:b/>
              </w:rPr>
              <w:lastRenderedPageBreak/>
              <w:t xml:space="preserve">National SMS Charges </w:t>
            </w:r>
            <w:r>
              <w:t>(for standard SMS of up to 160 characters)</w:t>
            </w:r>
          </w:p>
        </w:tc>
        <w:tc>
          <w:tcPr>
            <w:tcW w:w="970" w:type="pct"/>
            <w:vAlign w:val="center"/>
          </w:tcPr>
          <w:p w14:paraId="364ACA45" w14:textId="77777777" w:rsidR="000D07EA" w:rsidRDefault="00BE7C89">
            <w:pPr>
              <w:pStyle w:val="BodyText"/>
              <w:spacing w:before="100" w:after="100"/>
              <w:jc w:val="center"/>
            </w:pPr>
            <w:r>
              <w:t>$0.25</w:t>
            </w:r>
          </w:p>
        </w:tc>
        <w:tc>
          <w:tcPr>
            <w:tcW w:w="970" w:type="pct"/>
            <w:vAlign w:val="center"/>
          </w:tcPr>
          <w:p w14:paraId="6E3E78C1" w14:textId="77777777" w:rsidR="000D07EA" w:rsidRDefault="00BE7C89">
            <w:pPr>
              <w:pStyle w:val="BodyText"/>
              <w:spacing w:before="100" w:after="100"/>
              <w:jc w:val="center"/>
            </w:pPr>
            <w:r>
              <w:t>Unlimited</w:t>
            </w:r>
          </w:p>
        </w:tc>
        <w:tc>
          <w:tcPr>
            <w:tcW w:w="970" w:type="pct"/>
            <w:vAlign w:val="center"/>
          </w:tcPr>
          <w:p w14:paraId="6DAB6D16" w14:textId="77777777" w:rsidR="000D07EA" w:rsidRDefault="00BE7C89">
            <w:pPr>
              <w:pStyle w:val="BodyText"/>
              <w:spacing w:before="100" w:after="100"/>
              <w:jc w:val="center"/>
            </w:pPr>
            <w:r>
              <w:t>Unlimited</w:t>
            </w:r>
          </w:p>
        </w:tc>
      </w:tr>
      <w:tr w:rsidR="000D07EA" w14:paraId="4B102E8D" w14:textId="77777777">
        <w:tc>
          <w:tcPr>
            <w:tcW w:w="2089" w:type="pct"/>
          </w:tcPr>
          <w:p w14:paraId="565CE34F" w14:textId="77777777" w:rsidR="000D07EA" w:rsidRDefault="00BE7C89">
            <w:pPr>
              <w:pStyle w:val="BodyText"/>
              <w:spacing w:before="100" w:after="100"/>
              <w:rPr>
                <w:b/>
              </w:rPr>
            </w:pPr>
            <w:r>
              <w:rPr>
                <w:b/>
              </w:rPr>
              <w:t>National Photo Message (per message)</w:t>
            </w:r>
          </w:p>
        </w:tc>
        <w:tc>
          <w:tcPr>
            <w:tcW w:w="970" w:type="pct"/>
            <w:vAlign w:val="center"/>
          </w:tcPr>
          <w:p w14:paraId="44894416" w14:textId="77777777" w:rsidR="000D07EA" w:rsidRDefault="00BE7C89">
            <w:pPr>
              <w:pStyle w:val="BodyText"/>
              <w:spacing w:before="100" w:after="100"/>
              <w:jc w:val="center"/>
            </w:pPr>
            <w:r>
              <w:t>$0.50</w:t>
            </w:r>
          </w:p>
        </w:tc>
        <w:tc>
          <w:tcPr>
            <w:tcW w:w="970" w:type="pct"/>
            <w:vAlign w:val="center"/>
          </w:tcPr>
          <w:p w14:paraId="6105D988" w14:textId="77777777" w:rsidR="000D07EA" w:rsidRDefault="00BE7C89">
            <w:pPr>
              <w:pStyle w:val="BodyText"/>
              <w:spacing w:before="100" w:after="100"/>
              <w:jc w:val="center"/>
            </w:pPr>
            <w:r>
              <w:t>Unlimited</w:t>
            </w:r>
          </w:p>
        </w:tc>
        <w:tc>
          <w:tcPr>
            <w:tcW w:w="970" w:type="pct"/>
            <w:vAlign w:val="center"/>
          </w:tcPr>
          <w:p w14:paraId="38771292" w14:textId="77777777" w:rsidR="000D07EA" w:rsidRDefault="00BE7C89">
            <w:pPr>
              <w:pStyle w:val="BodyText"/>
              <w:spacing w:before="100" w:after="100"/>
              <w:jc w:val="center"/>
            </w:pPr>
            <w:r>
              <w:t>Unlimited</w:t>
            </w:r>
          </w:p>
        </w:tc>
      </w:tr>
      <w:tr w:rsidR="000D07EA" w14:paraId="78E51342" w14:textId="77777777">
        <w:tc>
          <w:tcPr>
            <w:tcW w:w="2089" w:type="pct"/>
          </w:tcPr>
          <w:p w14:paraId="46D6A3F3" w14:textId="77777777" w:rsidR="000D07EA" w:rsidRDefault="00BE7C89">
            <w:pPr>
              <w:pStyle w:val="BodyText"/>
              <w:spacing w:before="100" w:after="100"/>
              <w:rPr>
                <w:b/>
              </w:rPr>
            </w:pPr>
            <w:r>
              <w:rPr>
                <w:b/>
              </w:rPr>
              <w:t>National Video Calling (per minute)</w:t>
            </w:r>
          </w:p>
        </w:tc>
        <w:tc>
          <w:tcPr>
            <w:tcW w:w="970" w:type="pct"/>
            <w:vAlign w:val="center"/>
          </w:tcPr>
          <w:p w14:paraId="335C7B1E" w14:textId="77777777" w:rsidR="000D07EA" w:rsidRDefault="00BE7C89">
            <w:pPr>
              <w:pStyle w:val="BodyText"/>
              <w:spacing w:before="100" w:after="100"/>
              <w:jc w:val="center"/>
            </w:pPr>
            <w:r>
              <w:t>$1.00</w:t>
            </w:r>
          </w:p>
        </w:tc>
        <w:tc>
          <w:tcPr>
            <w:tcW w:w="970" w:type="pct"/>
            <w:vAlign w:val="center"/>
          </w:tcPr>
          <w:p w14:paraId="7DEBFF91" w14:textId="77777777" w:rsidR="000D07EA" w:rsidRDefault="00BE7C89">
            <w:pPr>
              <w:pStyle w:val="BodyText"/>
              <w:spacing w:before="100" w:after="100"/>
              <w:jc w:val="center"/>
            </w:pPr>
            <w:r>
              <w:t>$1.00</w:t>
            </w:r>
          </w:p>
        </w:tc>
        <w:tc>
          <w:tcPr>
            <w:tcW w:w="970" w:type="pct"/>
            <w:vAlign w:val="center"/>
          </w:tcPr>
          <w:p w14:paraId="61B85D6D" w14:textId="77777777" w:rsidR="000D07EA" w:rsidRDefault="00BE7C89">
            <w:pPr>
              <w:pStyle w:val="BodyText"/>
              <w:spacing w:before="100" w:after="100"/>
              <w:jc w:val="center"/>
            </w:pPr>
            <w:r>
              <w:t>$1.00</w:t>
            </w:r>
          </w:p>
        </w:tc>
      </w:tr>
      <w:tr w:rsidR="000D07EA" w14:paraId="7AE9C532" w14:textId="77777777">
        <w:tc>
          <w:tcPr>
            <w:tcW w:w="2089" w:type="pct"/>
          </w:tcPr>
          <w:p w14:paraId="0720C411" w14:textId="77777777" w:rsidR="000D07EA" w:rsidRDefault="00BE7C89">
            <w:pPr>
              <w:pStyle w:val="BodyText"/>
              <w:spacing w:before="100" w:after="100"/>
              <w:rPr>
                <w:b/>
                <w:i/>
                <w:iCs/>
              </w:rPr>
            </w:pPr>
            <w:r>
              <w:rPr>
                <w:b/>
                <w:i/>
                <w:iCs/>
              </w:rPr>
              <w:t xml:space="preserve">Flagfall </w:t>
            </w:r>
            <w:r>
              <w:rPr>
                <w:b/>
              </w:rPr>
              <w:t>for National Video Calls (per call)</w:t>
            </w:r>
          </w:p>
        </w:tc>
        <w:tc>
          <w:tcPr>
            <w:tcW w:w="970" w:type="pct"/>
            <w:vAlign w:val="center"/>
          </w:tcPr>
          <w:p w14:paraId="0F0E61AC" w14:textId="77777777" w:rsidR="000D07EA" w:rsidRDefault="00BE7C89">
            <w:pPr>
              <w:pStyle w:val="BodyText"/>
              <w:spacing w:before="100" w:after="100"/>
              <w:jc w:val="center"/>
            </w:pPr>
            <w:r>
              <w:t>$0.35</w:t>
            </w:r>
          </w:p>
        </w:tc>
        <w:tc>
          <w:tcPr>
            <w:tcW w:w="970" w:type="pct"/>
            <w:vAlign w:val="center"/>
          </w:tcPr>
          <w:p w14:paraId="35C5BE61" w14:textId="77777777" w:rsidR="000D07EA" w:rsidRDefault="00BE7C89">
            <w:pPr>
              <w:pStyle w:val="BodyText"/>
              <w:spacing w:before="100" w:after="100"/>
              <w:jc w:val="center"/>
            </w:pPr>
            <w:r>
              <w:t>$0.35</w:t>
            </w:r>
          </w:p>
        </w:tc>
        <w:tc>
          <w:tcPr>
            <w:tcW w:w="970" w:type="pct"/>
            <w:vAlign w:val="center"/>
          </w:tcPr>
          <w:p w14:paraId="7E25603B" w14:textId="77777777" w:rsidR="000D07EA" w:rsidRDefault="00BE7C89">
            <w:pPr>
              <w:pStyle w:val="BodyText"/>
              <w:spacing w:before="100" w:after="100"/>
              <w:jc w:val="center"/>
            </w:pPr>
            <w:r>
              <w:t>$0.35</w:t>
            </w:r>
          </w:p>
        </w:tc>
      </w:tr>
      <w:tr w:rsidR="000D07EA" w14:paraId="2040B312" w14:textId="77777777">
        <w:tc>
          <w:tcPr>
            <w:tcW w:w="2089" w:type="pct"/>
            <w:vMerge w:val="restart"/>
          </w:tcPr>
          <w:p w14:paraId="753F027A" w14:textId="77777777" w:rsidR="000D07EA" w:rsidRDefault="00BE7C89">
            <w:pPr>
              <w:pStyle w:val="BodyText"/>
              <w:spacing w:before="100" w:after="100"/>
              <w:rPr>
                <w:b/>
              </w:rPr>
            </w:pPr>
            <w:r>
              <w:rPr>
                <w:b/>
              </w:rPr>
              <w:t>Your Choice Of Data Option to use within Australia:</w:t>
            </w:r>
          </w:p>
        </w:tc>
        <w:tc>
          <w:tcPr>
            <w:tcW w:w="970" w:type="pct"/>
          </w:tcPr>
          <w:p w14:paraId="0D4EF125" w14:textId="77777777" w:rsidR="000D07EA" w:rsidRDefault="00BE7C89">
            <w:pPr>
              <w:pStyle w:val="BodyText"/>
              <w:spacing w:before="100" w:after="100"/>
              <w:jc w:val="center"/>
            </w:pPr>
            <w:r>
              <w:t>1.5GB of Mobile Internet Data</w:t>
            </w:r>
          </w:p>
        </w:tc>
        <w:tc>
          <w:tcPr>
            <w:tcW w:w="970" w:type="pct"/>
          </w:tcPr>
          <w:p w14:paraId="2885BE6F" w14:textId="77777777" w:rsidR="000D07EA" w:rsidRDefault="00BE7C89">
            <w:pPr>
              <w:pStyle w:val="BodyText"/>
              <w:spacing w:before="100" w:after="100"/>
              <w:jc w:val="center"/>
            </w:pPr>
            <w:r>
              <w:t>2GB of Mobile Internet Data</w:t>
            </w:r>
          </w:p>
        </w:tc>
        <w:tc>
          <w:tcPr>
            <w:tcW w:w="970" w:type="pct"/>
          </w:tcPr>
          <w:p w14:paraId="2DE75F53" w14:textId="77777777" w:rsidR="000D07EA" w:rsidRDefault="00BE7C89">
            <w:pPr>
              <w:pStyle w:val="BodyText"/>
              <w:spacing w:before="100" w:after="100"/>
              <w:jc w:val="center"/>
            </w:pPr>
            <w:r>
              <w:t>3GB of Mobile Internet Data</w:t>
            </w:r>
          </w:p>
        </w:tc>
      </w:tr>
      <w:tr w:rsidR="000D07EA" w14:paraId="7FCD467A" w14:textId="77777777">
        <w:tc>
          <w:tcPr>
            <w:tcW w:w="2089" w:type="pct"/>
            <w:vMerge/>
          </w:tcPr>
          <w:p w14:paraId="6D226AB1" w14:textId="77777777" w:rsidR="000D07EA" w:rsidRDefault="000D07EA">
            <w:pPr>
              <w:pStyle w:val="BodyText"/>
              <w:spacing w:before="100" w:after="100"/>
              <w:rPr>
                <w:b/>
              </w:rPr>
            </w:pPr>
          </w:p>
        </w:tc>
        <w:tc>
          <w:tcPr>
            <w:tcW w:w="2911" w:type="pct"/>
            <w:gridSpan w:val="3"/>
          </w:tcPr>
          <w:p w14:paraId="5C63E822" w14:textId="77777777" w:rsidR="000D07EA" w:rsidRDefault="00BE7C89">
            <w:pPr>
              <w:pStyle w:val="BodyText"/>
              <w:spacing w:before="100" w:after="100"/>
              <w:jc w:val="center"/>
            </w:pPr>
            <w:r>
              <w:t>OR</w:t>
            </w:r>
          </w:p>
        </w:tc>
      </w:tr>
      <w:tr w:rsidR="000D07EA" w14:paraId="4D3819A4" w14:textId="77777777">
        <w:tc>
          <w:tcPr>
            <w:tcW w:w="2089" w:type="pct"/>
            <w:vMerge/>
          </w:tcPr>
          <w:p w14:paraId="0115A644" w14:textId="77777777" w:rsidR="000D07EA" w:rsidRDefault="000D07EA">
            <w:pPr>
              <w:pStyle w:val="BodyText"/>
              <w:spacing w:before="100" w:after="100"/>
              <w:rPr>
                <w:b/>
              </w:rPr>
            </w:pPr>
          </w:p>
        </w:tc>
        <w:tc>
          <w:tcPr>
            <w:tcW w:w="970" w:type="pct"/>
          </w:tcPr>
          <w:p w14:paraId="36984091" w14:textId="77777777" w:rsidR="000D07EA" w:rsidRDefault="00BE7C89">
            <w:pPr>
              <w:pStyle w:val="BodyText"/>
              <w:spacing w:before="100" w:after="100"/>
              <w:jc w:val="center"/>
            </w:pPr>
            <w:r>
              <w:t>Unlimited BlackBerry POP3 Email and Browsing through the BlackBerry Browser plus 500MB of Mobile Internet Data</w:t>
            </w:r>
          </w:p>
        </w:tc>
        <w:tc>
          <w:tcPr>
            <w:tcW w:w="970" w:type="pct"/>
          </w:tcPr>
          <w:p w14:paraId="09F1C78F" w14:textId="77777777" w:rsidR="000D07EA" w:rsidRDefault="00BE7C89">
            <w:pPr>
              <w:pStyle w:val="BodyText"/>
              <w:spacing w:before="100" w:after="100"/>
              <w:jc w:val="center"/>
            </w:pPr>
            <w:r>
              <w:t>Unlimited BlackBerry POP3 Email and Browsing through the BlackBerry Browser plus 750MB of Mobile Internet Data</w:t>
            </w:r>
          </w:p>
        </w:tc>
        <w:tc>
          <w:tcPr>
            <w:tcW w:w="970" w:type="pct"/>
          </w:tcPr>
          <w:p w14:paraId="1B815F77" w14:textId="77777777" w:rsidR="000D07EA" w:rsidRDefault="00BE7C89">
            <w:pPr>
              <w:pStyle w:val="BodyText"/>
              <w:spacing w:before="100" w:after="100"/>
              <w:jc w:val="center"/>
            </w:pPr>
            <w:r>
              <w:t>Unlimited BlackBerry POP3 Email and Browsing through the BlackBerry Browser plus 1GB of Mobile Internet Data</w:t>
            </w:r>
          </w:p>
        </w:tc>
      </w:tr>
      <w:tr w:rsidR="000D07EA" w14:paraId="290C23ED" w14:textId="77777777">
        <w:tc>
          <w:tcPr>
            <w:tcW w:w="2089" w:type="pct"/>
          </w:tcPr>
          <w:p w14:paraId="7C3C985E" w14:textId="77777777" w:rsidR="000D07EA" w:rsidRDefault="00BE7C89">
            <w:pPr>
              <w:pStyle w:val="BodyText"/>
              <w:spacing w:before="100" w:after="100"/>
              <w:rPr>
                <w:b/>
              </w:rPr>
            </w:pPr>
            <w:r>
              <w:rPr>
                <w:b/>
              </w:rPr>
              <w:t>Other call charges (for example international calls, calls to mobiles)</w:t>
            </w:r>
          </w:p>
        </w:tc>
        <w:tc>
          <w:tcPr>
            <w:tcW w:w="2911" w:type="pct"/>
            <w:gridSpan w:val="3"/>
          </w:tcPr>
          <w:p w14:paraId="3BAE4EA7" w14:textId="77777777" w:rsidR="000D07EA" w:rsidRDefault="00BE7C89">
            <w:pPr>
              <w:pStyle w:val="BodyText"/>
              <w:spacing w:before="100" w:after="100"/>
              <w:jc w:val="center"/>
            </w:pPr>
            <w:r>
              <w:t xml:space="preserve">See section 1 of this </w:t>
            </w:r>
            <w:r>
              <w:rPr>
                <w:i/>
                <w:iCs/>
              </w:rPr>
              <w:t>standard pricing table</w:t>
            </w:r>
            <w:r>
              <w:t xml:space="preserve"> and </w:t>
            </w:r>
            <w:hyperlink r:id="rId354" w:history="1">
              <w:r>
                <w:rPr>
                  <w:rStyle w:val="Hyperlink"/>
                  <w:i/>
                </w:rPr>
                <w:t>Appendix Y</w:t>
              </w:r>
            </w:hyperlink>
            <w:r>
              <w:t xml:space="preserve"> (Value Added Service Features)</w:t>
            </w:r>
          </w:p>
        </w:tc>
      </w:tr>
      <w:tr w:rsidR="000D07EA" w14:paraId="013829DB" w14:textId="77777777">
        <w:tc>
          <w:tcPr>
            <w:tcW w:w="2089" w:type="pct"/>
          </w:tcPr>
          <w:p w14:paraId="51CB0AF8" w14:textId="77777777" w:rsidR="000D07EA" w:rsidRDefault="00BE7C89">
            <w:pPr>
              <w:pStyle w:val="BodyText"/>
              <w:spacing w:before="100" w:after="100"/>
              <w:rPr>
                <w:b/>
              </w:rPr>
            </w:pPr>
            <w:r>
              <w:rPr>
                <w:b/>
              </w:rPr>
              <w:t xml:space="preserve">Other conditions </w:t>
            </w:r>
            <w:r>
              <w:t xml:space="preserve">(for details see Appendix </w:t>
            </w:r>
            <w:r w:rsidR="00DD7FB0">
              <w:t>S</w:t>
            </w:r>
            <w:r>
              <w:t>)</w:t>
            </w:r>
          </w:p>
        </w:tc>
        <w:tc>
          <w:tcPr>
            <w:tcW w:w="2911" w:type="pct"/>
            <w:gridSpan w:val="3"/>
          </w:tcPr>
          <w:p w14:paraId="7570BE0F" w14:textId="77777777" w:rsidR="000D07EA" w:rsidRDefault="00BE7C89">
            <w:pPr>
              <w:pStyle w:val="BodyText"/>
              <w:spacing w:before="100" w:after="100"/>
              <w:jc w:val="center"/>
            </w:pPr>
            <w:r>
              <w:t>Fair Go Policy (</w:t>
            </w:r>
            <w:hyperlink r:id="rId355" w:history="1">
              <w:r>
                <w:rPr>
                  <w:rStyle w:val="Hyperlink"/>
                  <w:i/>
                </w:rPr>
                <w:t>Appendix S</w:t>
              </w:r>
            </w:hyperlink>
            <w:r>
              <w:t>) applies to 'excessive use,' 'unreasonable use,' and 'unacceptable use'.</w:t>
            </w:r>
          </w:p>
        </w:tc>
      </w:tr>
      <w:tr w:rsidR="000D07EA" w14:paraId="0BFF6798" w14:textId="77777777">
        <w:tc>
          <w:tcPr>
            <w:tcW w:w="2089" w:type="pct"/>
          </w:tcPr>
          <w:p w14:paraId="62AA7951" w14:textId="77777777" w:rsidR="000D07EA" w:rsidRDefault="00BE7C89">
            <w:pPr>
              <w:pStyle w:val="BodyText"/>
              <w:spacing w:before="100" w:after="100"/>
              <w:rPr>
                <w:b/>
              </w:rPr>
            </w:pPr>
            <w:r>
              <w:rPr>
                <w:b/>
              </w:rPr>
              <w:t>Available on Non Fixed Contract (Month to Month)</w:t>
            </w:r>
          </w:p>
        </w:tc>
        <w:tc>
          <w:tcPr>
            <w:tcW w:w="970" w:type="pct"/>
            <w:vAlign w:val="center"/>
          </w:tcPr>
          <w:p w14:paraId="40FD128F" w14:textId="77777777" w:rsidR="000D07EA" w:rsidRDefault="00BE7C89">
            <w:pPr>
              <w:pStyle w:val="BodyText"/>
              <w:spacing w:before="100" w:after="100"/>
              <w:jc w:val="center"/>
            </w:pPr>
            <w:r>
              <w:t>Yes</w:t>
            </w:r>
          </w:p>
        </w:tc>
        <w:tc>
          <w:tcPr>
            <w:tcW w:w="970" w:type="pct"/>
            <w:vAlign w:val="center"/>
          </w:tcPr>
          <w:p w14:paraId="47BDE019" w14:textId="77777777" w:rsidR="000D07EA" w:rsidRDefault="00BE7C89">
            <w:pPr>
              <w:pStyle w:val="BodyText"/>
              <w:spacing w:before="100" w:after="100"/>
              <w:jc w:val="center"/>
            </w:pPr>
            <w:r>
              <w:t>Yes</w:t>
            </w:r>
          </w:p>
        </w:tc>
        <w:tc>
          <w:tcPr>
            <w:tcW w:w="970" w:type="pct"/>
            <w:vAlign w:val="center"/>
          </w:tcPr>
          <w:p w14:paraId="5A4B0B5A" w14:textId="77777777" w:rsidR="000D07EA" w:rsidRDefault="00BE7C89">
            <w:pPr>
              <w:pStyle w:val="BodyText"/>
              <w:spacing w:before="100" w:after="100"/>
              <w:jc w:val="center"/>
            </w:pPr>
            <w:r>
              <w:t>Yes</w:t>
            </w:r>
          </w:p>
        </w:tc>
      </w:tr>
      <w:tr w:rsidR="000D07EA" w14:paraId="0FF1BD4B" w14:textId="77777777">
        <w:tc>
          <w:tcPr>
            <w:tcW w:w="2089" w:type="pct"/>
          </w:tcPr>
          <w:p w14:paraId="6035FB46" w14:textId="77777777" w:rsidR="000D07EA" w:rsidRDefault="00BE7C89">
            <w:pPr>
              <w:pStyle w:val="BodyText"/>
              <w:spacing w:before="100" w:after="100"/>
              <w:rPr>
                <w:b/>
              </w:rPr>
            </w:pPr>
            <w:r>
              <w:rPr>
                <w:b/>
              </w:rPr>
              <w:t>Available on a Fixed Term Contract (12 or 24 Months)</w:t>
            </w:r>
          </w:p>
        </w:tc>
        <w:tc>
          <w:tcPr>
            <w:tcW w:w="970" w:type="pct"/>
            <w:vAlign w:val="center"/>
          </w:tcPr>
          <w:p w14:paraId="11F58A18" w14:textId="77777777" w:rsidR="000D07EA" w:rsidRDefault="00BE7C89">
            <w:pPr>
              <w:pStyle w:val="BodyText"/>
              <w:spacing w:before="100" w:after="100"/>
              <w:jc w:val="center"/>
            </w:pPr>
            <w:r>
              <w:t>Yes</w:t>
            </w:r>
          </w:p>
        </w:tc>
        <w:tc>
          <w:tcPr>
            <w:tcW w:w="970" w:type="pct"/>
            <w:vAlign w:val="center"/>
          </w:tcPr>
          <w:p w14:paraId="13BF7025" w14:textId="77777777" w:rsidR="000D07EA" w:rsidRDefault="00BE7C89">
            <w:pPr>
              <w:pStyle w:val="BodyText"/>
              <w:spacing w:before="100" w:after="100"/>
              <w:jc w:val="center"/>
            </w:pPr>
            <w:r>
              <w:t>Yes</w:t>
            </w:r>
          </w:p>
        </w:tc>
        <w:tc>
          <w:tcPr>
            <w:tcW w:w="970" w:type="pct"/>
            <w:vAlign w:val="center"/>
          </w:tcPr>
          <w:p w14:paraId="323E0279" w14:textId="77777777" w:rsidR="000D07EA" w:rsidRDefault="00BE7C89">
            <w:pPr>
              <w:pStyle w:val="BodyText"/>
              <w:spacing w:before="100" w:after="100"/>
              <w:jc w:val="center"/>
            </w:pPr>
            <w:r>
              <w:t>Yes</w:t>
            </w:r>
          </w:p>
        </w:tc>
      </w:tr>
      <w:tr w:rsidR="000D07EA" w14:paraId="463D4102" w14:textId="77777777">
        <w:tc>
          <w:tcPr>
            <w:tcW w:w="2089" w:type="pct"/>
          </w:tcPr>
          <w:p w14:paraId="47F797D9" w14:textId="77777777" w:rsidR="000D07EA" w:rsidRDefault="00BE7C89">
            <w:pPr>
              <w:pStyle w:val="BodyText"/>
              <w:spacing w:before="100" w:after="100"/>
              <w:rPr>
                <w:b/>
              </w:rPr>
            </w:pPr>
            <w:r>
              <w:rPr>
                <w:b/>
              </w:rPr>
              <w:t xml:space="preserve">Minimum Total Cost of the Business Complete Plans over a 24 month </w:t>
            </w:r>
            <w:r>
              <w:rPr>
                <w:b/>
                <w:i/>
                <w:iCs/>
              </w:rPr>
              <w:t>minimum term (</w:t>
            </w:r>
            <w:r>
              <w:rPr>
                <w:b/>
              </w:rPr>
              <w:t>amount excludes any handset repayments if any)</w:t>
            </w:r>
          </w:p>
        </w:tc>
        <w:tc>
          <w:tcPr>
            <w:tcW w:w="970" w:type="pct"/>
            <w:vAlign w:val="center"/>
          </w:tcPr>
          <w:p w14:paraId="0089431E" w14:textId="77777777" w:rsidR="000D07EA" w:rsidRDefault="00BE7C89">
            <w:pPr>
              <w:pStyle w:val="BodyText"/>
              <w:spacing w:before="100" w:after="100"/>
              <w:jc w:val="center"/>
            </w:pPr>
            <w:r>
              <w:t>$1,176</w:t>
            </w:r>
          </w:p>
        </w:tc>
        <w:tc>
          <w:tcPr>
            <w:tcW w:w="970" w:type="pct"/>
            <w:vAlign w:val="center"/>
          </w:tcPr>
          <w:p w14:paraId="2CE07CDD" w14:textId="77777777" w:rsidR="000D07EA" w:rsidRDefault="00BE7C89">
            <w:pPr>
              <w:pStyle w:val="BodyText"/>
              <w:spacing w:before="100" w:after="100"/>
              <w:jc w:val="center"/>
            </w:pPr>
            <w:r>
              <w:t>$1,416</w:t>
            </w:r>
          </w:p>
        </w:tc>
        <w:tc>
          <w:tcPr>
            <w:tcW w:w="970" w:type="pct"/>
            <w:vAlign w:val="center"/>
          </w:tcPr>
          <w:p w14:paraId="3B22EF25" w14:textId="77777777" w:rsidR="000D07EA" w:rsidRDefault="00BE7C89">
            <w:pPr>
              <w:pStyle w:val="BodyText"/>
              <w:spacing w:before="100" w:after="100"/>
              <w:jc w:val="center"/>
            </w:pPr>
            <w:r>
              <w:t>$1,896</w:t>
            </w:r>
          </w:p>
        </w:tc>
      </w:tr>
      <w:tr w:rsidR="000D07EA" w14:paraId="5186F693" w14:textId="77777777">
        <w:tc>
          <w:tcPr>
            <w:tcW w:w="2089" w:type="pct"/>
          </w:tcPr>
          <w:p w14:paraId="36F3D4BA" w14:textId="77777777" w:rsidR="000D07EA" w:rsidRDefault="00BE7C89">
            <w:pPr>
              <w:pStyle w:val="BodyText"/>
              <w:keepNext/>
              <w:spacing w:before="100" w:after="100"/>
              <w:rPr>
                <w:b/>
              </w:rPr>
            </w:pPr>
            <w:r>
              <w:rPr>
                <w:b/>
              </w:rPr>
              <w:t xml:space="preserve">Minimum Total Cost of the Business Complete Plans over a 12 month </w:t>
            </w:r>
            <w:r>
              <w:rPr>
                <w:b/>
                <w:i/>
                <w:iCs/>
              </w:rPr>
              <w:t>minimum term (</w:t>
            </w:r>
            <w:r>
              <w:rPr>
                <w:b/>
              </w:rPr>
              <w:t>amount excludes any handset repayments if any)</w:t>
            </w:r>
          </w:p>
        </w:tc>
        <w:tc>
          <w:tcPr>
            <w:tcW w:w="970" w:type="pct"/>
            <w:vAlign w:val="center"/>
          </w:tcPr>
          <w:p w14:paraId="4334A5BB" w14:textId="77777777" w:rsidR="000D07EA" w:rsidRDefault="00BE7C89">
            <w:pPr>
              <w:pStyle w:val="BodyText"/>
              <w:keepNext/>
              <w:spacing w:before="100" w:after="100"/>
              <w:jc w:val="center"/>
            </w:pPr>
            <w:r>
              <w:t>$588</w:t>
            </w:r>
          </w:p>
        </w:tc>
        <w:tc>
          <w:tcPr>
            <w:tcW w:w="970" w:type="pct"/>
            <w:vAlign w:val="center"/>
          </w:tcPr>
          <w:p w14:paraId="55C6DFAF" w14:textId="77777777" w:rsidR="000D07EA" w:rsidRDefault="00BE7C89">
            <w:pPr>
              <w:pStyle w:val="BodyText"/>
              <w:keepNext/>
              <w:spacing w:before="100" w:after="100"/>
              <w:jc w:val="center"/>
            </w:pPr>
            <w:r>
              <w:t>$708</w:t>
            </w:r>
          </w:p>
        </w:tc>
        <w:tc>
          <w:tcPr>
            <w:tcW w:w="970" w:type="pct"/>
            <w:vAlign w:val="center"/>
          </w:tcPr>
          <w:p w14:paraId="498013DE" w14:textId="77777777" w:rsidR="000D07EA" w:rsidRDefault="00BE7C89">
            <w:pPr>
              <w:pStyle w:val="BodyText"/>
              <w:keepNext/>
              <w:spacing w:before="100" w:after="100"/>
              <w:jc w:val="center"/>
            </w:pPr>
            <w:r>
              <w:t>$948</w:t>
            </w:r>
          </w:p>
        </w:tc>
      </w:tr>
    </w:tbl>
    <w:p w14:paraId="41AE57D1" w14:textId="77777777" w:rsidR="000D07EA" w:rsidRDefault="000D07EA">
      <w:pPr>
        <w:pStyle w:val="BodyText"/>
      </w:pPr>
    </w:p>
    <w:p w14:paraId="586BD4C6" w14:textId="77777777" w:rsidR="000D07EA" w:rsidRDefault="00BE7C89">
      <w:pPr>
        <w:pStyle w:val="Heading6"/>
        <w:ind w:left="0" w:firstLine="0"/>
      </w:pPr>
      <w:r>
        <w:t xml:space="preserve">What happens if the service is </w:t>
      </w:r>
      <w:r>
        <w:rPr>
          <w:i/>
        </w:rPr>
        <w:t>cancelled</w:t>
      </w:r>
      <w:r>
        <w:t xml:space="preserve"> early?</w:t>
      </w:r>
    </w:p>
    <w:p w14:paraId="3BCEA6B1" w14:textId="77777777" w:rsidR="000D07EA" w:rsidRDefault="00BE7C89">
      <w:pPr>
        <w:pStyle w:val="Heading7"/>
      </w:pPr>
      <w:r>
        <w:t xml:space="preserve">If </w:t>
      </w:r>
      <w:r>
        <w:rPr>
          <w:i/>
        </w:rPr>
        <w:t>the service is cancelled</w:t>
      </w:r>
      <w:r>
        <w:t xml:space="preserve"> before the expiry of the </w:t>
      </w:r>
      <w:r>
        <w:rPr>
          <w:i/>
        </w:rPr>
        <w:t>minimum term</w:t>
      </w:r>
      <w:r>
        <w:t>, you will be required to pay us:</w:t>
      </w:r>
    </w:p>
    <w:p w14:paraId="01DDAA53" w14:textId="77777777" w:rsidR="000D07EA" w:rsidRDefault="00BE7C89">
      <w:pPr>
        <w:pStyle w:val="Heading8"/>
      </w:pPr>
      <w:r>
        <w:t>any usage charges incurred up to, and including, the cancellation date; plus</w:t>
      </w:r>
    </w:p>
    <w:p w14:paraId="2FDBD359" w14:textId="77777777" w:rsidR="000D07EA" w:rsidRDefault="00BE7C89">
      <w:pPr>
        <w:pStyle w:val="Heading8"/>
      </w:pPr>
      <w:r>
        <w:t xml:space="preserve">the </w:t>
      </w:r>
      <w:r>
        <w:rPr>
          <w:i/>
        </w:rPr>
        <w:t>cancellation fee</w:t>
      </w:r>
      <w:r>
        <w:t xml:space="preserve"> set in Table 4A below (unless under clause 2A of the </w:t>
      </w:r>
      <w:r>
        <w:rPr>
          <w:i/>
        </w:rPr>
        <w:t>SME terms</w:t>
      </w:r>
      <w:r>
        <w:t xml:space="preserve">, </w:t>
      </w:r>
      <w:r>
        <w:rPr>
          <w:i/>
        </w:rPr>
        <w:t>you</w:t>
      </w:r>
      <w:r>
        <w:t xml:space="preserve"> are entitled to </w:t>
      </w:r>
      <w:r>
        <w:rPr>
          <w:i/>
        </w:rPr>
        <w:t>cancel the service</w:t>
      </w:r>
      <w:r>
        <w:t xml:space="preserve"> without incurring a </w:t>
      </w:r>
      <w:r>
        <w:rPr>
          <w:i/>
        </w:rPr>
        <w:t>cancellation fee</w:t>
      </w:r>
      <w:r>
        <w:t>); plus</w:t>
      </w:r>
    </w:p>
    <w:p w14:paraId="1F47C2B8" w14:textId="77777777" w:rsidR="000D07EA" w:rsidRDefault="00BE7C89">
      <w:pPr>
        <w:pStyle w:val="Heading8"/>
      </w:pPr>
      <w:r>
        <w:lastRenderedPageBreak/>
        <w:t>the sum of unpaid equipment charges owing on your mobile phone under the mobile equipment payment plan (if any).</w:t>
      </w:r>
    </w:p>
    <w:p w14:paraId="1F05DEF8" w14:textId="77777777" w:rsidR="000D07EA" w:rsidRDefault="00BE7C89">
      <w:pPr>
        <w:pStyle w:val="Heading7"/>
      </w:pPr>
      <w:r>
        <w:t xml:space="preserve">The </w:t>
      </w:r>
      <w:r>
        <w:rPr>
          <w:i/>
        </w:rPr>
        <w:t>cancellation fee</w:t>
      </w:r>
      <w:r>
        <w:t xml:space="preserve"> for a 24 month Contract is calculated as a fixed amount if the service is cancelled during the first 12 months of the </w:t>
      </w:r>
      <w:r>
        <w:rPr>
          <w:i/>
        </w:rPr>
        <w:t>minimum term</w:t>
      </w:r>
      <w:r>
        <w:t xml:space="preserve"> and then a pro-rata reduction of that fee (indicated as a percentage in brackets in the first column of the table below) if the service is cancelled during the second year of the </w:t>
      </w:r>
      <w:r>
        <w:rPr>
          <w:i/>
        </w:rPr>
        <w:t>minimum term</w:t>
      </w:r>
      <w:r>
        <w:t>.</w:t>
      </w:r>
    </w:p>
    <w:p w14:paraId="3F478691" w14:textId="77777777" w:rsidR="000D07EA" w:rsidRDefault="00BE7C89">
      <w:pPr>
        <w:pStyle w:val="Heading7"/>
      </w:pPr>
      <w:r>
        <w:t xml:space="preserve">The </w:t>
      </w:r>
      <w:r>
        <w:rPr>
          <w:i/>
        </w:rPr>
        <w:t>cancellation fee</w:t>
      </w:r>
      <w:r>
        <w:t xml:space="preserve"> for a 12 month Contract is calculated as a fixed amount if the service is cancelled during the first 6 months of the </w:t>
      </w:r>
      <w:r>
        <w:rPr>
          <w:i/>
        </w:rPr>
        <w:t>minimum term</w:t>
      </w:r>
      <w:r>
        <w:t xml:space="preserve"> and then a pro-rata reduction of that fee (indicated as a percentage in brackets in the first column of the table below) if the service is cancelled during the last 6 months of the </w:t>
      </w:r>
      <w:r>
        <w:rPr>
          <w:i/>
        </w:rPr>
        <w:t>minimum term</w:t>
      </w:r>
    </w:p>
    <w:p w14:paraId="3602448A" w14:textId="77777777" w:rsidR="000D07EA" w:rsidRDefault="00BE7C89">
      <w:pPr>
        <w:pStyle w:val="BodyText"/>
        <w:keepNext/>
        <w:ind w:left="720"/>
        <w:rPr>
          <w:b/>
        </w:rPr>
      </w:pPr>
      <w:r>
        <w:rPr>
          <w:b/>
        </w:rPr>
        <w:t>Table 4A Cancellation Fee for services activated June 1st 2011 and after</w:t>
      </w:r>
    </w:p>
    <w:tbl>
      <w:tblPr>
        <w:tblW w:w="4646" w:type="pct"/>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7"/>
        <w:gridCol w:w="1151"/>
        <w:gridCol w:w="1153"/>
        <w:gridCol w:w="1151"/>
        <w:gridCol w:w="1153"/>
        <w:gridCol w:w="1151"/>
        <w:gridCol w:w="1151"/>
      </w:tblGrid>
      <w:tr w:rsidR="000D07EA" w14:paraId="04081DA8" w14:textId="77777777">
        <w:tc>
          <w:tcPr>
            <w:tcW w:w="1350" w:type="pct"/>
          </w:tcPr>
          <w:p w14:paraId="100C3023" w14:textId="77777777" w:rsidR="000D07EA" w:rsidRDefault="00BE7C89">
            <w:pPr>
              <w:pStyle w:val="BodyText"/>
              <w:keepNext/>
              <w:spacing w:before="100" w:after="100"/>
              <w:rPr>
                <w:b/>
              </w:rPr>
            </w:pPr>
            <w:r>
              <w:rPr>
                <w:b/>
              </w:rPr>
              <w:t xml:space="preserve">When the </w:t>
            </w:r>
            <w:r>
              <w:rPr>
                <w:b/>
                <w:i/>
              </w:rPr>
              <w:t>service</w:t>
            </w:r>
            <w:r>
              <w:rPr>
                <w:b/>
              </w:rPr>
              <w:t xml:space="preserve"> is </w:t>
            </w:r>
            <w:r>
              <w:rPr>
                <w:b/>
                <w:i/>
              </w:rPr>
              <w:t>cancelled</w:t>
            </w:r>
          </w:p>
        </w:tc>
        <w:tc>
          <w:tcPr>
            <w:tcW w:w="3650" w:type="pct"/>
            <w:gridSpan w:val="6"/>
            <w:vAlign w:val="center"/>
          </w:tcPr>
          <w:p w14:paraId="3E9F6590" w14:textId="77777777" w:rsidR="000D07EA" w:rsidRDefault="00BE7C89">
            <w:pPr>
              <w:pStyle w:val="BodyText"/>
              <w:keepNext/>
              <w:spacing w:before="100" w:after="100"/>
              <w:jc w:val="center"/>
              <w:rPr>
                <w:b/>
                <w:i/>
              </w:rPr>
            </w:pPr>
            <w:r>
              <w:rPr>
                <w:b/>
                <w:i/>
              </w:rPr>
              <w:t>Cancellation Fee</w:t>
            </w:r>
          </w:p>
        </w:tc>
      </w:tr>
      <w:tr w:rsidR="000D07EA" w14:paraId="4B4D9B28" w14:textId="77777777">
        <w:tc>
          <w:tcPr>
            <w:tcW w:w="1350" w:type="pct"/>
          </w:tcPr>
          <w:p w14:paraId="46666F6D" w14:textId="77777777" w:rsidR="000D07EA" w:rsidRDefault="000D07EA">
            <w:pPr>
              <w:pStyle w:val="BodyText"/>
              <w:keepNext/>
              <w:spacing w:before="100" w:after="100"/>
            </w:pPr>
          </w:p>
        </w:tc>
        <w:tc>
          <w:tcPr>
            <w:tcW w:w="3650" w:type="pct"/>
            <w:gridSpan w:val="6"/>
          </w:tcPr>
          <w:p w14:paraId="62CD87AE" w14:textId="77777777" w:rsidR="000D07EA" w:rsidRDefault="00BE7C89">
            <w:pPr>
              <w:pStyle w:val="BodyText"/>
              <w:keepNext/>
              <w:spacing w:before="100" w:after="100"/>
              <w:jc w:val="center"/>
              <w:rPr>
                <w:b/>
              </w:rPr>
            </w:pPr>
            <w:r>
              <w:rPr>
                <w:b/>
              </w:rPr>
              <w:t>Business Complete Plans</w:t>
            </w:r>
          </w:p>
          <w:p w14:paraId="01DB0B50" w14:textId="77777777" w:rsidR="000D07EA" w:rsidRDefault="00BE7C89">
            <w:pPr>
              <w:pStyle w:val="BodyText"/>
              <w:keepNext/>
              <w:spacing w:before="100" w:after="100"/>
              <w:jc w:val="center"/>
              <w:rPr>
                <w:b/>
              </w:rPr>
            </w:pPr>
            <w:r>
              <w:rPr>
                <w:b/>
              </w:rPr>
              <w:t>12 Month Contract</w:t>
            </w:r>
          </w:p>
        </w:tc>
      </w:tr>
      <w:tr w:rsidR="000D07EA" w14:paraId="4A2AF7A0" w14:textId="77777777">
        <w:tc>
          <w:tcPr>
            <w:tcW w:w="1350" w:type="pct"/>
          </w:tcPr>
          <w:p w14:paraId="7B4635FB" w14:textId="77777777" w:rsidR="000D07EA" w:rsidRDefault="000D07EA">
            <w:pPr>
              <w:pStyle w:val="BodyText"/>
              <w:spacing w:before="100" w:after="100"/>
            </w:pPr>
          </w:p>
        </w:tc>
        <w:tc>
          <w:tcPr>
            <w:tcW w:w="608" w:type="pct"/>
          </w:tcPr>
          <w:p w14:paraId="4F91D6F8" w14:textId="77777777" w:rsidR="000D07EA" w:rsidRDefault="00BE7C89">
            <w:pPr>
              <w:pStyle w:val="BodyText"/>
              <w:spacing w:before="100" w:after="100"/>
              <w:jc w:val="center"/>
              <w:rPr>
                <w:b/>
              </w:rPr>
            </w:pPr>
            <w:r>
              <w:rPr>
                <w:b/>
                <w:bCs/>
                <w:lang w:eastAsia="en-AU"/>
              </w:rPr>
              <w:t xml:space="preserve">$49 </w:t>
            </w:r>
            <w:r>
              <w:rPr>
                <w:b/>
              </w:rPr>
              <w:t>Business Complete</w:t>
            </w:r>
          </w:p>
        </w:tc>
        <w:tc>
          <w:tcPr>
            <w:tcW w:w="609" w:type="pct"/>
          </w:tcPr>
          <w:p w14:paraId="28F0BA71" w14:textId="77777777" w:rsidR="000D07EA" w:rsidRDefault="00BE7C89">
            <w:pPr>
              <w:pStyle w:val="BodyText"/>
              <w:spacing w:before="100" w:after="100"/>
              <w:jc w:val="center"/>
              <w:rPr>
                <w:b/>
              </w:rPr>
            </w:pPr>
            <w:r>
              <w:rPr>
                <w:b/>
                <w:bCs/>
                <w:lang w:eastAsia="en-AU"/>
              </w:rPr>
              <w:t xml:space="preserve">$59 </w:t>
            </w:r>
            <w:r>
              <w:rPr>
                <w:b/>
              </w:rPr>
              <w:t>Business Complete</w:t>
            </w:r>
          </w:p>
        </w:tc>
        <w:tc>
          <w:tcPr>
            <w:tcW w:w="608" w:type="pct"/>
          </w:tcPr>
          <w:p w14:paraId="362D4C6E" w14:textId="77777777" w:rsidR="000D07EA" w:rsidRDefault="00BE7C89">
            <w:pPr>
              <w:pStyle w:val="BodyText"/>
              <w:spacing w:before="100" w:after="100"/>
              <w:jc w:val="center"/>
              <w:rPr>
                <w:b/>
              </w:rPr>
            </w:pPr>
            <w:r>
              <w:rPr>
                <w:b/>
                <w:bCs/>
                <w:lang w:eastAsia="en-AU"/>
              </w:rPr>
              <w:t xml:space="preserve">$79 </w:t>
            </w:r>
            <w:r>
              <w:rPr>
                <w:b/>
              </w:rPr>
              <w:t>Business Complete</w:t>
            </w:r>
          </w:p>
        </w:tc>
        <w:tc>
          <w:tcPr>
            <w:tcW w:w="609" w:type="pct"/>
          </w:tcPr>
          <w:p w14:paraId="02D9E777" w14:textId="77777777" w:rsidR="000D07EA" w:rsidRDefault="00BE7C89">
            <w:pPr>
              <w:pStyle w:val="BodyText"/>
              <w:spacing w:before="100" w:after="100"/>
              <w:jc w:val="center"/>
              <w:rPr>
                <w:b/>
                <w:bCs/>
                <w:lang w:eastAsia="en-AU"/>
              </w:rPr>
            </w:pPr>
            <w:r>
              <w:rPr>
                <w:b/>
                <w:bCs/>
                <w:lang w:eastAsia="en-AU"/>
              </w:rPr>
              <w:t xml:space="preserve">$49 </w:t>
            </w:r>
            <w:r>
              <w:rPr>
                <w:b/>
              </w:rPr>
              <w:t>Business Complete (Premium H/set)</w:t>
            </w:r>
          </w:p>
        </w:tc>
        <w:tc>
          <w:tcPr>
            <w:tcW w:w="608" w:type="pct"/>
          </w:tcPr>
          <w:p w14:paraId="7C9168FD" w14:textId="77777777" w:rsidR="000D07EA" w:rsidRDefault="00BE7C89">
            <w:pPr>
              <w:pStyle w:val="BodyText"/>
              <w:spacing w:before="100" w:after="100"/>
              <w:jc w:val="center"/>
              <w:rPr>
                <w:b/>
                <w:bCs/>
                <w:lang w:eastAsia="en-AU"/>
              </w:rPr>
            </w:pPr>
            <w:r>
              <w:rPr>
                <w:b/>
                <w:bCs/>
                <w:lang w:eastAsia="en-AU"/>
              </w:rPr>
              <w:t xml:space="preserve">$59 </w:t>
            </w:r>
            <w:r>
              <w:rPr>
                <w:b/>
              </w:rPr>
              <w:t>Business Complete (Premium H/set)</w:t>
            </w:r>
          </w:p>
        </w:tc>
        <w:tc>
          <w:tcPr>
            <w:tcW w:w="609" w:type="pct"/>
          </w:tcPr>
          <w:p w14:paraId="7175AAEB" w14:textId="77777777" w:rsidR="000D07EA" w:rsidRDefault="00BE7C89">
            <w:pPr>
              <w:pStyle w:val="BodyText"/>
              <w:spacing w:before="100" w:after="100"/>
              <w:jc w:val="center"/>
              <w:rPr>
                <w:b/>
                <w:bCs/>
                <w:lang w:eastAsia="en-AU"/>
              </w:rPr>
            </w:pPr>
            <w:r>
              <w:rPr>
                <w:b/>
                <w:bCs/>
                <w:lang w:eastAsia="en-AU"/>
              </w:rPr>
              <w:t xml:space="preserve">$79 </w:t>
            </w:r>
            <w:r>
              <w:rPr>
                <w:b/>
              </w:rPr>
              <w:t>Business Complete (Premium H/set)</w:t>
            </w:r>
          </w:p>
        </w:tc>
      </w:tr>
      <w:tr w:rsidR="000D07EA" w14:paraId="3861180E" w14:textId="77777777">
        <w:tc>
          <w:tcPr>
            <w:tcW w:w="1350" w:type="pct"/>
          </w:tcPr>
          <w:p w14:paraId="6D6A9182" w14:textId="77777777" w:rsidR="000D07EA" w:rsidRDefault="00BE7C89">
            <w:pPr>
              <w:pStyle w:val="BodyText"/>
              <w:spacing w:before="100" w:after="100"/>
              <w:rPr>
                <w:b/>
              </w:rPr>
            </w:pPr>
            <w:r>
              <w:rPr>
                <w:b/>
              </w:rPr>
              <w:t xml:space="preserve">During the first 6 months – Initial </w:t>
            </w:r>
            <w:r>
              <w:rPr>
                <w:b/>
                <w:i/>
              </w:rPr>
              <w:t>cancellation fee</w:t>
            </w:r>
          </w:p>
        </w:tc>
        <w:tc>
          <w:tcPr>
            <w:tcW w:w="608" w:type="pct"/>
            <w:vAlign w:val="center"/>
          </w:tcPr>
          <w:p w14:paraId="2C5D2702" w14:textId="77777777" w:rsidR="000D07EA" w:rsidRDefault="00BE7C89">
            <w:pPr>
              <w:pStyle w:val="BodyText"/>
              <w:spacing w:before="100" w:after="100"/>
              <w:jc w:val="center"/>
            </w:pPr>
            <w:r>
              <w:rPr>
                <w:color w:val="000000"/>
              </w:rPr>
              <w:t>$500</w:t>
            </w:r>
          </w:p>
        </w:tc>
        <w:tc>
          <w:tcPr>
            <w:tcW w:w="609" w:type="pct"/>
            <w:vAlign w:val="center"/>
          </w:tcPr>
          <w:p w14:paraId="0CAE3818" w14:textId="77777777" w:rsidR="000D07EA" w:rsidRDefault="00BE7C89">
            <w:pPr>
              <w:pStyle w:val="BodyText"/>
              <w:spacing w:before="100" w:after="100"/>
              <w:jc w:val="center"/>
            </w:pPr>
            <w:r>
              <w:rPr>
                <w:color w:val="000000"/>
              </w:rPr>
              <w:t>$560</w:t>
            </w:r>
          </w:p>
        </w:tc>
        <w:tc>
          <w:tcPr>
            <w:tcW w:w="608" w:type="pct"/>
            <w:vAlign w:val="center"/>
          </w:tcPr>
          <w:p w14:paraId="12AAA552" w14:textId="77777777" w:rsidR="000D07EA" w:rsidRDefault="00BE7C89">
            <w:pPr>
              <w:pStyle w:val="BodyText"/>
              <w:spacing w:before="100" w:after="100"/>
              <w:jc w:val="center"/>
            </w:pPr>
            <w:r>
              <w:rPr>
                <w:color w:val="000000"/>
              </w:rPr>
              <w:t>$590</w:t>
            </w:r>
          </w:p>
        </w:tc>
        <w:tc>
          <w:tcPr>
            <w:tcW w:w="609" w:type="pct"/>
            <w:vAlign w:val="center"/>
          </w:tcPr>
          <w:p w14:paraId="379501E6" w14:textId="77777777" w:rsidR="000D07EA" w:rsidRDefault="00BE7C89">
            <w:pPr>
              <w:pStyle w:val="BodyText"/>
              <w:spacing w:before="100" w:after="100"/>
              <w:jc w:val="center"/>
              <w:rPr>
                <w:color w:val="000000"/>
              </w:rPr>
            </w:pPr>
            <w:r>
              <w:t>$825</w:t>
            </w:r>
          </w:p>
        </w:tc>
        <w:tc>
          <w:tcPr>
            <w:tcW w:w="608" w:type="pct"/>
            <w:vAlign w:val="center"/>
          </w:tcPr>
          <w:p w14:paraId="6A76967D" w14:textId="77777777" w:rsidR="000D07EA" w:rsidRDefault="00BE7C89">
            <w:pPr>
              <w:pStyle w:val="BodyText"/>
              <w:spacing w:before="100" w:after="100"/>
              <w:jc w:val="center"/>
              <w:rPr>
                <w:color w:val="000000"/>
              </w:rPr>
            </w:pPr>
            <w:r>
              <w:t>$835</w:t>
            </w:r>
          </w:p>
        </w:tc>
        <w:tc>
          <w:tcPr>
            <w:tcW w:w="609" w:type="pct"/>
            <w:vAlign w:val="center"/>
          </w:tcPr>
          <w:p w14:paraId="6278339E" w14:textId="77777777" w:rsidR="000D07EA" w:rsidRDefault="00BE7C89">
            <w:pPr>
              <w:pStyle w:val="BodyText"/>
              <w:spacing w:before="100" w:after="100"/>
              <w:jc w:val="center"/>
              <w:rPr>
                <w:color w:val="000000"/>
              </w:rPr>
            </w:pPr>
            <w:r>
              <w:t>$840</w:t>
            </w:r>
          </w:p>
        </w:tc>
      </w:tr>
      <w:tr w:rsidR="000D07EA" w14:paraId="725946C8" w14:textId="77777777">
        <w:tc>
          <w:tcPr>
            <w:tcW w:w="1350" w:type="pct"/>
          </w:tcPr>
          <w:p w14:paraId="7FE49AE3" w14:textId="77777777" w:rsidR="000D07EA" w:rsidRDefault="00BE7C89">
            <w:pPr>
              <w:pStyle w:val="BodyText"/>
              <w:spacing w:before="100" w:after="100"/>
              <w:rPr>
                <w:b/>
              </w:rPr>
            </w:pPr>
            <w:r>
              <w:rPr>
                <w:b/>
              </w:rPr>
              <w:t xml:space="preserve">Months 7 - 9 (70% of Initial </w:t>
            </w:r>
            <w:r>
              <w:rPr>
                <w:b/>
                <w:i/>
              </w:rPr>
              <w:t>cancellation fee</w:t>
            </w:r>
            <w:r>
              <w:rPr>
                <w:b/>
              </w:rPr>
              <w:t>)</w:t>
            </w:r>
          </w:p>
        </w:tc>
        <w:tc>
          <w:tcPr>
            <w:tcW w:w="608" w:type="pct"/>
            <w:vAlign w:val="center"/>
          </w:tcPr>
          <w:p w14:paraId="0016F373" w14:textId="77777777" w:rsidR="000D07EA" w:rsidRDefault="00BE7C89">
            <w:pPr>
              <w:pStyle w:val="BodyText"/>
              <w:spacing w:before="100" w:after="100"/>
              <w:jc w:val="center"/>
              <w:rPr>
                <w:color w:val="000000"/>
              </w:rPr>
            </w:pPr>
            <w:r>
              <w:rPr>
                <w:color w:val="000000"/>
              </w:rPr>
              <w:t>$350</w:t>
            </w:r>
          </w:p>
        </w:tc>
        <w:tc>
          <w:tcPr>
            <w:tcW w:w="609" w:type="pct"/>
            <w:vAlign w:val="center"/>
          </w:tcPr>
          <w:p w14:paraId="0B86355C" w14:textId="77777777" w:rsidR="000D07EA" w:rsidRDefault="00BE7C89">
            <w:pPr>
              <w:pStyle w:val="BodyText"/>
              <w:spacing w:before="100" w:after="100"/>
              <w:jc w:val="center"/>
              <w:rPr>
                <w:color w:val="000000"/>
              </w:rPr>
            </w:pPr>
            <w:r>
              <w:rPr>
                <w:color w:val="000000"/>
              </w:rPr>
              <w:t>$392</w:t>
            </w:r>
          </w:p>
        </w:tc>
        <w:tc>
          <w:tcPr>
            <w:tcW w:w="608" w:type="pct"/>
            <w:vAlign w:val="center"/>
          </w:tcPr>
          <w:p w14:paraId="36B9AED7" w14:textId="77777777" w:rsidR="000D07EA" w:rsidRDefault="00BE7C89">
            <w:pPr>
              <w:pStyle w:val="BodyText"/>
              <w:spacing w:before="100" w:after="100"/>
              <w:jc w:val="center"/>
              <w:rPr>
                <w:color w:val="000000"/>
              </w:rPr>
            </w:pPr>
            <w:r>
              <w:rPr>
                <w:color w:val="000000"/>
              </w:rPr>
              <w:t>$413</w:t>
            </w:r>
          </w:p>
        </w:tc>
        <w:tc>
          <w:tcPr>
            <w:tcW w:w="609" w:type="pct"/>
            <w:vAlign w:val="center"/>
          </w:tcPr>
          <w:p w14:paraId="0C7539E1" w14:textId="77777777" w:rsidR="000D07EA" w:rsidRDefault="00BE7C89">
            <w:pPr>
              <w:pStyle w:val="BodyText"/>
              <w:spacing w:before="100" w:after="100"/>
              <w:jc w:val="center"/>
              <w:rPr>
                <w:color w:val="000000"/>
              </w:rPr>
            </w:pPr>
            <w:r>
              <w:rPr>
                <w:color w:val="000000"/>
              </w:rPr>
              <w:t>$577.50</w:t>
            </w:r>
          </w:p>
        </w:tc>
        <w:tc>
          <w:tcPr>
            <w:tcW w:w="608" w:type="pct"/>
            <w:vAlign w:val="center"/>
          </w:tcPr>
          <w:p w14:paraId="083A30DA" w14:textId="77777777" w:rsidR="000D07EA" w:rsidRDefault="00BE7C89">
            <w:pPr>
              <w:pStyle w:val="BodyText"/>
              <w:spacing w:before="100" w:after="100"/>
              <w:jc w:val="center"/>
              <w:rPr>
                <w:color w:val="000000"/>
              </w:rPr>
            </w:pPr>
            <w:r>
              <w:rPr>
                <w:color w:val="000000"/>
              </w:rPr>
              <w:t>$584.50</w:t>
            </w:r>
          </w:p>
        </w:tc>
        <w:tc>
          <w:tcPr>
            <w:tcW w:w="609" w:type="pct"/>
            <w:vAlign w:val="center"/>
          </w:tcPr>
          <w:p w14:paraId="3B70D2F1" w14:textId="77777777" w:rsidR="000D07EA" w:rsidRDefault="00BE7C89">
            <w:pPr>
              <w:pStyle w:val="BodyText"/>
              <w:spacing w:before="100" w:after="100"/>
              <w:jc w:val="center"/>
              <w:rPr>
                <w:color w:val="000000"/>
              </w:rPr>
            </w:pPr>
            <w:r>
              <w:rPr>
                <w:color w:val="000000"/>
              </w:rPr>
              <w:t>$588</w:t>
            </w:r>
          </w:p>
        </w:tc>
      </w:tr>
      <w:tr w:rsidR="000D07EA" w14:paraId="4F6A45F0" w14:textId="77777777">
        <w:tc>
          <w:tcPr>
            <w:tcW w:w="1350" w:type="pct"/>
          </w:tcPr>
          <w:p w14:paraId="65FD61B0" w14:textId="77777777" w:rsidR="000D07EA" w:rsidRDefault="00BE7C89">
            <w:pPr>
              <w:pStyle w:val="BodyText"/>
              <w:spacing w:before="100" w:after="100"/>
              <w:rPr>
                <w:b/>
              </w:rPr>
            </w:pPr>
            <w:r>
              <w:rPr>
                <w:b/>
              </w:rPr>
              <w:t xml:space="preserve">Months 10 – 12 (40% of the Initial </w:t>
            </w:r>
            <w:r>
              <w:rPr>
                <w:b/>
                <w:i/>
              </w:rPr>
              <w:t>cancellation fee</w:t>
            </w:r>
            <w:r>
              <w:rPr>
                <w:b/>
              </w:rPr>
              <w:t>)</w:t>
            </w:r>
          </w:p>
        </w:tc>
        <w:tc>
          <w:tcPr>
            <w:tcW w:w="608" w:type="pct"/>
            <w:vAlign w:val="center"/>
          </w:tcPr>
          <w:p w14:paraId="449980AB" w14:textId="77777777" w:rsidR="000D07EA" w:rsidRDefault="00BE7C89">
            <w:pPr>
              <w:pStyle w:val="BodyText"/>
              <w:spacing w:before="100" w:after="100"/>
              <w:jc w:val="center"/>
              <w:rPr>
                <w:color w:val="000000"/>
              </w:rPr>
            </w:pPr>
            <w:r>
              <w:rPr>
                <w:color w:val="000000"/>
              </w:rPr>
              <w:t>$200</w:t>
            </w:r>
          </w:p>
        </w:tc>
        <w:tc>
          <w:tcPr>
            <w:tcW w:w="609" w:type="pct"/>
            <w:vAlign w:val="center"/>
          </w:tcPr>
          <w:p w14:paraId="4FE9F0E5" w14:textId="77777777" w:rsidR="000D07EA" w:rsidRDefault="00BE7C89">
            <w:pPr>
              <w:pStyle w:val="BodyText"/>
              <w:spacing w:before="100" w:after="100"/>
              <w:jc w:val="center"/>
              <w:rPr>
                <w:color w:val="000000"/>
              </w:rPr>
            </w:pPr>
            <w:r>
              <w:rPr>
                <w:color w:val="000000"/>
              </w:rPr>
              <w:t>$224</w:t>
            </w:r>
          </w:p>
        </w:tc>
        <w:tc>
          <w:tcPr>
            <w:tcW w:w="608" w:type="pct"/>
            <w:vAlign w:val="center"/>
          </w:tcPr>
          <w:p w14:paraId="5CCB53B0" w14:textId="77777777" w:rsidR="000D07EA" w:rsidRDefault="00BE7C89">
            <w:pPr>
              <w:pStyle w:val="BodyText"/>
              <w:spacing w:before="100" w:after="100"/>
              <w:jc w:val="center"/>
              <w:rPr>
                <w:color w:val="000000"/>
              </w:rPr>
            </w:pPr>
            <w:r>
              <w:rPr>
                <w:color w:val="000000"/>
              </w:rPr>
              <w:t>$236</w:t>
            </w:r>
          </w:p>
        </w:tc>
        <w:tc>
          <w:tcPr>
            <w:tcW w:w="609" w:type="pct"/>
            <w:vAlign w:val="center"/>
          </w:tcPr>
          <w:p w14:paraId="7F566040" w14:textId="77777777" w:rsidR="000D07EA" w:rsidRDefault="00BE7C89">
            <w:pPr>
              <w:pStyle w:val="BodyText"/>
              <w:spacing w:before="100" w:after="100"/>
              <w:jc w:val="center"/>
              <w:rPr>
                <w:color w:val="000000"/>
              </w:rPr>
            </w:pPr>
            <w:r>
              <w:rPr>
                <w:color w:val="000000"/>
              </w:rPr>
              <w:t>$330</w:t>
            </w:r>
          </w:p>
        </w:tc>
        <w:tc>
          <w:tcPr>
            <w:tcW w:w="608" w:type="pct"/>
            <w:vAlign w:val="center"/>
          </w:tcPr>
          <w:p w14:paraId="2FB764DF" w14:textId="77777777" w:rsidR="000D07EA" w:rsidRDefault="00BE7C89">
            <w:pPr>
              <w:pStyle w:val="BodyText"/>
              <w:spacing w:before="100" w:after="100"/>
              <w:jc w:val="center"/>
              <w:rPr>
                <w:color w:val="000000"/>
              </w:rPr>
            </w:pPr>
            <w:r>
              <w:rPr>
                <w:color w:val="000000"/>
              </w:rPr>
              <w:t>$334</w:t>
            </w:r>
          </w:p>
        </w:tc>
        <w:tc>
          <w:tcPr>
            <w:tcW w:w="609" w:type="pct"/>
            <w:vAlign w:val="center"/>
          </w:tcPr>
          <w:p w14:paraId="29A58EF6" w14:textId="77777777" w:rsidR="000D07EA" w:rsidRDefault="00BE7C89">
            <w:pPr>
              <w:pStyle w:val="BodyText"/>
              <w:spacing w:before="100" w:after="100"/>
              <w:jc w:val="center"/>
              <w:rPr>
                <w:color w:val="000000"/>
              </w:rPr>
            </w:pPr>
            <w:r>
              <w:rPr>
                <w:color w:val="000000"/>
              </w:rPr>
              <w:t>$336</w:t>
            </w:r>
          </w:p>
        </w:tc>
      </w:tr>
    </w:tbl>
    <w:p w14:paraId="3B09E879" w14:textId="77777777" w:rsidR="000D07EA" w:rsidRDefault="000D07EA">
      <w:pPr>
        <w:pStyle w:val="BodyText"/>
      </w:pP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482"/>
        <w:gridCol w:w="1161"/>
        <w:gridCol w:w="1164"/>
        <w:gridCol w:w="1162"/>
        <w:gridCol w:w="1164"/>
        <w:gridCol w:w="1162"/>
        <w:gridCol w:w="1166"/>
      </w:tblGrid>
      <w:tr w:rsidR="000D07EA" w14:paraId="715C0F2C" w14:textId="77777777">
        <w:tc>
          <w:tcPr>
            <w:tcW w:w="1312" w:type="pct"/>
          </w:tcPr>
          <w:p w14:paraId="06282D19" w14:textId="77777777" w:rsidR="000D07EA" w:rsidRDefault="00BE7C89">
            <w:pPr>
              <w:pStyle w:val="BodyText"/>
              <w:keepNext/>
              <w:spacing w:before="100" w:after="100"/>
              <w:rPr>
                <w:b/>
              </w:rPr>
            </w:pPr>
            <w:r>
              <w:rPr>
                <w:b/>
              </w:rPr>
              <w:t xml:space="preserve">When the </w:t>
            </w:r>
            <w:r>
              <w:rPr>
                <w:b/>
                <w:i/>
              </w:rPr>
              <w:t>service</w:t>
            </w:r>
            <w:r>
              <w:rPr>
                <w:b/>
              </w:rPr>
              <w:t xml:space="preserve"> is </w:t>
            </w:r>
            <w:r>
              <w:rPr>
                <w:b/>
                <w:i/>
              </w:rPr>
              <w:t>cancelled</w:t>
            </w:r>
          </w:p>
        </w:tc>
        <w:tc>
          <w:tcPr>
            <w:tcW w:w="3688" w:type="pct"/>
            <w:gridSpan w:val="6"/>
            <w:vAlign w:val="center"/>
          </w:tcPr>
          <w:p w14:paraId="4E56C1F7" w14:textId="77777777" w:rsidR="000D07EA" w:rsidRDefault="00BE7C89">
            <w:pPr>
              <w:pStyle w:val="BodyText"/>
              <w:keepNext/>
              <w:spacing w:before="100" w:after="100"/>
              <w:jc w:val="center"/>
              <w:rPr>
                <w:b/>
                <w:i/>
              </w:rPr>
            </w:pPr>
            <w:r>
              <w:rPr>
                <w:b/>
                <w:i/>
              </w:rPr>
              <w:t>Cancellation Fee</w:t>
            </w:r>
          </w:p>
        </w:tc>
      </w:tr>
      <w:tr w:rsidR="000D07EA" w14:paraId="068D4222" w14:textId="77777777">
        <w:tc>
          <w:tcPr>
            <w:tcW w:w="1312" w:type="pct"/>
          </w:tcPr>
          <w:p w14:paraId="73BF0125" w14:textId="77777777" w:rsidR="000D07EA" w:rsidRDefault="000D07EA">
            <w:pPr>
              <w:pStyle w:val="BodyText"/>
              <w:keepNext/>
              <w:spacing w:before="100" w:after="100"/>
              <w:jc w:val="center"/>
              <w:rPr>
                <w:b/>
              </w:rPr>
            </w:pPr>
          </w:p>
        </w:tc>
        <w:tc>
          <w:tcPr>
            <w:tcW w:w="3688" w:type="pct"/>
            <w:gridSpan w:val="6"/>
          </w:tcPr>
          <w:p w14:paraId="019BD385" w14:textId="77777777" w:rsidR="000D07EA" w:rsidRDefault="00BE7C89">
            <w:pPr>
              <w:pStyle w:val="BodyText"/>
              <w:keepNext/>
              <w:spacing w:before="100" w:after="100"/>
              <w:jc w:val="center"/>
              <w:rPr>
                <w:b/>
              </w:rPr>
            </w:pPr>
            <w:r>
              <w:rPr>
                <w:b/>
              </w:rPr>
              <w:t>Business Complete Plans</w:t>
            </w:r>
          </w:p>
          <w:p w14:paraId="520E3828" w14:textId="77777777" w:rsidR="000D07EA" w:rsidRDefault="00BE7C89">
            <w:pPr>
              <w:pStyle w:val="BodyText"/>
              <w:keepNext/>
              <w:spacing w:before="100" w:after="100"/>
              <w:jc w:val="center"/>
              <w:rPr>
                <w:b/>
              </w:rPr>
            </w:pPr>
            <w:r>
              <w:rPr>
                <w:b/>
              </w:rPr>
              <w:t>24 Month Contract</w:t>
            </w:r>
          </w:p>
        </w:tc>
      </w:tr>
      <w:tr w:rsidR="000D07EA" w14:paraId="3272B266" w14:textId="77777777">
        <w:tc>
          <w:tcPr>
            <w:tcW w:w="1312" w:type="pct"/>
          </w:tcPr>
          <w:p w14:paraId="742ECAFF" w14:textId="77777777" w:rsidR="000D07EA" w:rsidRDefault="000D07EA">
            <w:pPr>
              <w:pStyle w:val="BodyText"/>
              <w:keepNext/>
              <w:spacing w:before="100" w:after="100"/>
              <w:jc w:val="center"/>
              <w:rPr>
                <w:b/>
              </w:rPr>
            </w:pPr>
          </w:p>
        </w:tc>
        <w:tc>
          <w:tcPr>
            <w:tcW w:w="614" w:type="pct"/>
          </w:tcPr>
          <w:p w14:paraId="422E7EC4" w14:textId="77777777" w:rsidR="000D07EA" w:rsidRDefault="00BE7C89">
            <w:pPr>
              <w:pStyle w:val="BodyText"/>
              <w:keepNext/>
              <w:spacing w:before="100" w:after="100"/>
              <w:jc w:val="center"/>
              <w:rPr>
                <w:b/>
              </w:rPr>
            </w:pPr>
            <w:r>
              <w:rPr>
                <w:b/>
                <w:bCs/>
                <w:lang w:eastAsia="en-AU"/>
              </w:rPr>
              <w:t xml:space="preserve">$49 </w:t>
            </w:r>
            <w:r>
              <w:rPr>
                <w:b/>
              </w:rPr>
              <w:t>Business Complete</w:t>
            </w:r>
          </w:p>
        </w:tc>
        <w:tc>
          <w:tcPr>
            <w:tcW w:w="615" w:type="pct"/>
          </w:tcPr>
          <w:p w14:paraId="0CC1EEDC" w14:textId="77777777" w:rsidR="000D07EA" w:rsidRDefault="00BE7C89">
            <w:pPr>
              <w:pStyle w:val="BodyText"/>
              <w:keepNext/>
              <w:spacing w:before="100" w:after="100"/>
              <w:jc w:val="center"/>
              <w:rPr>
                <w:b/>
              </w:rPr>
            </w:pPr>
            <w:r>
              <w:rPr>
                <w:b/>
                <w:bCs/>
                <w:lang w:eastAsia="en-AU"/>
              </w:rPr>
              <w:t xml:space="preserve">$59 </w:t>
            </w:r>
            <w:r>
              <w:rPr>
                <w:b/>
              </w:rPr>
              <w:t>Business Complete</w:t>
            </w:r>
          </w:p>
        </w:tc>
        <w:tc>
          <w:tcPr>
            <w:tcW w:w="614" w:type="pct"/>
          </w:tcPr>
          <w:p w14:paraId="06F5369B" w14:textId="77777777" w:rsidR="000D07EA" w:rsidRDefault="00BE7C89">
            <w:pPr>
              <w:pStyle w:val="BodyText"/>
              <w:keepNext/>
              <w:spacing w:before="100" w:after="100"/>
              <w:jc w:val="center"/>
              <w:rPr>
                <w:b/>
              </w:rPr>
            </w:pPr>
            <w:r>
              <w:rPr>
                <w:b/>
                <w:bCs/>
                <w:lang w:eastAsia="en-AU"/>
              </w:rPr>
              <w:t xml:space="preserve">$79 </w:t>
            </w:r>
            <w:r>
              <w:rPr>
                <w:b/>
              </w:rPr>
              <w:t>Business Complete</w:t>
            </w:r>
          </w:p>
        </w:tc>
        <w:tc>
          <w:tcPr>
            <w:tcW w:w="615" w:type="pct"/>
          </w:tcPr>
          <w:p w14:paraId="083C9322" w14:textId="77777777" w:rsidR="000D07EA" w:rsidRDefault="00BE7C89">
            <w:pPr>
              <w:pStyle w:val="BodyText"/>
              <w:keepNext/>
              <w:spacing w:before="100" w:after="100"/>
              <w:jc w:val="center"/>
              <w:rPr>
                <w:b/>
                <w:bCs/>
                <w:lang w:eastAsia="en-AU"/>
              </w:rPr>
            </w:pPr>
            <w:r>
              <w:rPr>
                <w:b/>
                <w:bCs/>
                <w:lang w:eastAsia="en-AU"/>
              </w:rPr>
              <w:t xml:space="preserve">$49 </w:t>
            </w:r>
            <w:r>
              <w:rPr>
                <w:b/>
              </w:rPr>
              <w:t>Business Complete (Premium H/set)</w:t>
            </w:r>
          </w:p>
        </w:tc>
        <w:tc>
          <w:tcPr>
            <w:tcW w:w="614" w:type="pct"/>
          </w:tcPr>
          <w:p w14:paraId="16E52305" w14:textId="77777777" w:rsidR="000D07EA" w:rsidRDefault="00BE7C89">
            <w:pPr>
              <w:pStyle w:val="BodyText"/>
              <w:keepNext/>
              <w:spacing w:before="100" w:after="100"/>
              <w:jc w:val="center"/>
              <w:rPr>
                <w:b/>
                <w:bCs/>
                <w:lang w:eastAsia="en-AU"/>
              </w:rPr>
            </w:pPr>
            <w:r>
              <w:rPr>
                <w:b/>
                <w:bCs/>
                <w:lang w:eastAsia="en-AU"/>
              </w:rPr>
              <w:t xml:space="preserve">$59 </w:t>
            </w:r>
            <w:r>
              <w:rPr>
                <w:b/>
              </w:rPr>
              <w:t>Business Complete (Premium H/set)</w:t>
            </w:r>
          </w:p>
        </w:tc>
        <w:tc>
          <w:tcPr>
            <w:tcW w:w="615" w:type="pct"/>
          </w:tcPr>
          <w:p w14:paraId="6F7D3BF9" w14:textId="77777777" w:rsidR="000D07EA" w:rsidRDefault="00BE7C89">
            <w:pPr>
              <w:pStyle w:val="BodyText"/>
              <w:keepNext/>
              <w:spacing w:before="100" w:after="100"/>
              <w:jc w:val="center"/>
              <w:rPr>
                <w:b/>
                <w:bCs/>
                <w:lang w:eastAsia="en-AU"/>
              </w:rPr>
            </w:pPr>
            <w:r>
              <w:rPr>
                <w:b/>
                <w:bCs/>
                <w:lang w:eastAsia="en-AU"/>
              </w:rPr>
              <w:t xml:space="preserve">$79 </w:t>
            </w:r>
            <w:r>
              <w:rPr>
                <w:b/>
              </w:rPr>
              <w:t>Business Complete (Premium H/set)</w:t>
            </w:r>
          </w:p>
        </w:tc>
      </w:tr>
      <w:tr w:rsidR="000D07EA" w14:paraId="67F6838E" w14:textId="77777777">
        <w:tc>
          <w:tcPr>
            <w:tcW w:w="1312" w:type="pct"/>
          </w:tcPr>
          <w:p w14:paraId="7532BF1B" w14:textId="77777777" w:rsidR="000D07EA" w:rsidRDefault="00BE7C89">
            <w:pPr>
              <w:pStyle w:val="BodyText"/>
              <w:spacing w:before="100" w:after="100"/>
              <w:rPr>
                <w:b/>
              </w:rPr>
            </w:pPr>
            <w:r>
              <w:rPr>
                <w:b/>
              </w:rPr>
              <w:t xml:space="preserve">During the first 12 months - Initial </w:t>
            </w:r>
            <w:r>
              <w:rPr>
                <w:b/>
                <w:i/>
              </w:rPr>
              <w:t>cancellation fee</w:t>
            </w:r>
          </w:p>
        </w:tc>
        <w:tc>
          <w:tcPr>
            <w:tcW w:w="614" w:type="pct"/>
            <w:vAlign w:val="center"/>
          </w:tcPr>
          <w:p w14:paraId="36DA56A9" w14:textId="77777777" w:rsidR="000D07EA" w:rsidRDefault="00BE7C89">
            <w:pPr>
              <w:pStyle w:val="BodyText"/>
              <w:spacing w:before="100" w:after="100"/>
              <w:jc w:val="center"/>
            </w:pPr>
            <w:r>
              <w:rPr>
                <w:color w:val="000000"/>
              </w:rPr>
              <w:t>$785</w:t>
            </w:r>
          </w:p>
        </w:tc>
        <w:tc>
          <w:tcPr>
            <w:tcW w:w="615" w:type="pct"/>
            <w:vAlign w:val="center"/>
          </w:tcPr>
          <w:p w14:paraId="713B61F1" w14:textId="77777777" w:rsidR="000D07EA" w:rsidRDefault="00BE7C89">
            <w:pPr>
              <w:pStyle w:val="BodyText"/>
              <w:spacing w:before="100" w:after="100"/>
              <w:jc w:val="center"/>
            </w:pPr>
            <w:r>
              <w:rPr>
                <w:color w:val="000000"/>
              </w:rPr>
              <w:t>$790</w:t>
            </w:r>
          </w:p>
        </w:tc>
        <w:tc>
          <w:tcPr>
            <w:tcW w:w="614" w:type="pct"/>
            <w:vAlign w:val="center"/>
          </w:tcPr>
          <w:p w14:paraId="0E293E82" w14:textId="77777777" w:rsidR="000D07EA" w:rsidRDefault="00BE7C89">
            <w:pPr>
              <w:pStyle w:val="BodyText"/>
              <w:spacing w:before="100" w:after="100"/>
              <w:jc w:val="center"/>
            </w:pPr>
            <w:r>
              <w:rPr>
                <w:color w:val="000000"/>
              </w:rPr>
              <w:t>$805</w:t>
            </w:r>
          </w:p>
        </w:tc>
        <w:tc>
          <w:tcPr>
            <w:tcW w:w="615" w:type="pct"/>
            <w:vAlign w:val="center"/>
          </w:tcPr>
          <w:p w14:paraId="5F4FC0B0" w14:textId="77777777" w:rsidR="000D07EA" w:rsidRDefault="00BE7C89">
            <w:pPr>
              <w:pStyle w:val="BodyText"/>
              <w:spacing w:before="100" w:after="100"/>
              <w:jc w:val="center"/>
              <w:rPr>
                <w:color w:val="000000"/>
              </w:rPr>
            </w:pPr>
            <w:r>
              <w:t>$1150</w:t>
            </w:r>
          </w:p>
        </w:tc>
        <w:tc>
          <w:tcPr>
            <w:tcW w:w="614" w:type="pct"/>
            <w:vAlign w:val="center"/>
          </w:tcPr>
          <w:p w14:paraId="11A01A60" w14:textId="77777777" w:rsidR="000D07EA" w:rsidRDefault="00BE7C89">
            <w:pPr>
              <w:pStyle w:val="BodyText"/>
              <w:spacing w:before="100" w:after="100"/>
              <w:jc w:val="center"/>
              <w:rPr>
                <w:color w:val="000000"/>
              </w:rPr>
            </w:pPr>
            <w:r>
              <w:t>$1155</w:t>
            </w:r>
          </w:p>
        </w:tc>
        <w:tc>
          <w:tcPr>
            <w:tcW w:w="615" w:type="pct"/>
            <w:vAlign w:val="center"/>
          </w:tcPr>
          <w:p w14:paraId="462080B5" w14:textId="77777777" w:rsidR="000D07EA" w:rsidRDefault="00BE7C89">
            <w:pPr>
              <w:pStyle w:val="BodyText"/>
              <w:spacing w:before="100" w:after="100"/>
              <w:jc w:val="center"/>
              <w:rPr>
                <w:color w:val="000000"/>
              </w:rPr>
            </w:pPr>
            <w:r>
              <w:t>$1170</w:t>
            </w:r>
          </w:p>
        </w:tc>
      </w:tr>
      <w:tr w:rsidR="000D07EA" w14:paraId="34260659" w14:textId="77777777">
        <w:tc>
          <w:tcPr>
            <w:tcW w:w="1312" w:type="pct"/>
          </w:tcPr>
          <w:p w14:paraId="7721DCB0" w14:textId="77777777" w:rsidR="000D07EA" w:rsidRDefault="00BE7C89">
            <w:pPr>
              <w:pStyle w:val="BodyText"/>
              <w:spacing w:before="100" w:after="100"/>
              <w:rPr>
                <w:b/>
              </w:rPr>
            </w:pPr>
            <w:r>
              <w:rPr>
                <w:b/>
              </w:rPr>
              <w:t xml:space="preserve">Months 13 – 15 (80% of Initial </w:t>
            </w:r>
            <w:r>
              <w:rPr>
                <w:b/>
                <w:i/>
              </w:rPr>
              <w:t>cancellation fee</w:t>
            </w:r>
            <w:r>
              <w:rPr>
                <w:b/>
              </w:rPr>
              <w:t>)</w:t>
            </w:r>
          </w:p>
        </w:tc>
        <w:tc>
          <w:tcPr>
            <w:tcW w:w="614" w:type="pct"/>
            <w:vAlign w:val="center"/>
          </w:tcPr>
          <w:p w14:paraId="691C40AC" w14:textId="77777777" w:rsidR="000D07EA" w:rsidRDefault="00BE7C89">
            <w:pPr>
              <w:pStyle w:val="BodyText"/>
              <w:spacing w:before="100" w:after="100"/>
              <w:jc w:val="center"/>
              <w:rPr>
                <w:color w:val="000000"/>
              </w:rPr>
            </w:pPr>
            <w:r>
              <w:rPr>
                <w:color w:val="000000"/>
              </w:rPr>
              <w:t>$628</w:t>
            </w:r>
          </w:p>
        </w:tc>
        <w:tc>
          <w:tcPr>
            <w:tcW w:w="615" w:type="pct"/>
            <w:vAlign w:val="center"/>
          </w:tcPr>
          <w:p w14:paraId="7BEA06AF" w14:textId="77777777" w:rsidR="000D07EA" w:rsidRDefault="00BE7C89">
            <w:pPr>
              <w:pStyle w:val="BodyText"/>
              <w:spacing w:before="100" w:after="100"/>
              <w:jc w:val="center"/>
              <w:rPr>
                <w:color w:val="000000"/>
              </w:rPr>
            </w:pPr>
            <w:r>
              <w:rPr>
                <w:color w:val="000000"/>
              </w:rPr>
              <w:t>$632</w:t>
            </w:r>
          </w:p>
        </w:tc>
        <w:tc>
          <w:tcPr>
            <w:tcW w:w="614" w:type="pct"/>
            <w:vAlign w:val="center"/>
          </w:tcPr>
          <w:p w14:paraId="5C0F5F9C" w14:textId="77777777" w:rsidR="000D07EA" w:rsidRDefault="00BE7C89">
            <w:pPr>
              <w:pStyle w:val="BodyText"/>
              <w:spacing w:before="100" w:after="100"/>
              <w:jc w:val="center"/>
              <w:rPr>
                <w:color w:val="000000"/>
              </w:rPr>
            </w:pPr>
            <w:r>
              <w:rPr>
                <w:color w:val="000000"/>
              </w:rPr>
              <w:t>$644</w:t>
            </w:r>
          </w:p>
        </w:tc>
        <w:tc>
          <w:tcPr>
            <w:tcW w:w="615" w:type="pct"/>
            <w:vAlign w:val="center"/>
          </w:tcPr>
          <w:p w14:paraId="54D3BD36" w14:textId="77777777" w:rsidR="000D07EA" w:rsidRDefault="00BE7C89">
            <w:pPr>
              <w:pStyle w:val="BodyText"/>
              <w:spacing w:before="100" w:after="100"/>
              <w:jc w:val="center"/>
              <w:rPr>
                <w:color w:val="000000"/>
              </w:rPr>
            </w:pPr>
            <w:r>
              <w:rPr>
                <w:color w:val="000000"/>
              </w:rPr>
              <w:t>$920</w:t>
            </w:r>
          </w:p>
        </w:tc>
        <w:tc>
          <w:tcPr>
            <w:tcW w:w="614" w:type="pct"/>
            <w:vAlign w:val="center"/>
          </w:tcPr>
          <w:p w14:paraId="5A0E9CC7" w14:textId="77777777" w:rsidR="000D07EA" w:rsidRDefault="00BE7C89">
            <w:pPr>
              <w:pStyle w:val="BodyText"/>
              <w:spacing w:before="100" w:after="100"/>
              <w:jc w:val="center"/>
              <w:rPr>
                <w:color w:val="000000"/>
              </w:rPr>
            </w:pPr>
            <w:r>
              <w:rPr>
                <w:color w:val="000000"/>
              </w:rPr>
              <w:t>$924</w:t>
            </w:r>
          </w:p>
        </w:tc>
        <w:tc>
          <w:tcPr>
            <w:tcW w:w="615" w:type="pct"/>
            <w:vAlign w:val="center"/>
          </w:tcPr>
          <w:p w14:paraId="7DA1682A" w14:textId="77777777" w:rsidR="000D07EA" w:rsidRDefault="00BE7C89">
            <w:pPr>
              <w:pStyle w:val="BodyText"/>
              <w:spacing w:before="100" w:after="100"/>
              <w:jc w:val="center"/>
              <w:rPr>
                <w:color w:val="000000"/>
              </w:rPr>
            </w:pPr>
            <w:r>
              <w:rPr>
                <w:color w:val="000000"/>
              </w:rPr>
              <w:t>$936</w:t>
            </w:r>
          </w:p>
        </w:tc>
      </w:tr>
      <w:tr w:rsidR="000D07EA" w14:paraId="40ED7B04" w14:textId="77777777">
        <w:tc>
          <w:tcPr>
            <w:tcW w:w="1312" w:type="pct"/>
          </w:tcPr>
          <w:p w14:paraId="31CE5E2C" w14:textId="77777777" w:rsidR="000D07EA" w:rsidRDefault="00BE7C89">
            <w:pPr>
              <w:pStyle w:val="BodyText"/>
              <w:spacing w:before="100" w:after="100"/>
              <w:rPr>
                <w:b/>
              </w:rPr>
            </w:pPr>
            <w:r>
              <w:rPr>
                <w:b/>
              </w:rPr>
              <w:lastRenderedPageBreak/>
              <w:t xml:space="preserve">Months 16 – 18 (60% of the Initial </w:t>
            </w:r>
            <w:r>
              <w:rPr>
                <w:b/>
                <w:i/>
              </w:rPr>
              <w:t>cancellation fee</w:t>
            </w:r>
            <w:r>
              <w:rPr>
                <w:b/>
              </w:rPr>
              <w:t>)</w:t>
            </w:r>
          </w:p>
        </w:tc>
        <w:tc>
          <w:tcPr>
            <w:tcW w:w="614" w:type="pct"/>
            <w:vAlign w:val="center"/>
          </w:tcPr>
          <w:p w14:paraId="54FF8FA8" w14:textId="77777777" w:rsidR="000D07EA" w:rsidRDefault="00BE7C89">
            <w:pPr>
              <w:pStyle w:val="BodyText"/>
              <w:spacing w:before="100" w:after="100"/>
              <w:jc w:val="center"/>
              <w:rPr>
                <w:color w:val="000000"/>
              </w:rPr>
            </w:pPr>
            <w:r>
              <w:rPr>
                <w:color w:val="000000"/>
              </w:rPr>
              <w:t>$471</w:t>
            </w:r>
          </w:p>
        </w:tc>
        <w:tc>
          <w:tcPr>
            <w:tcW w:w="615" w:type="pct"/>
            <w:vAlign w:val="center"/>
          </w:tcPr>
          <w:p w14:paraId="6B36F96B" w14:textId="77777777" w:rsidR="000D07EA" w:rsidRDefault="00BE7C89">
            <w:pPr>
              <w:pStyle w:val="BodyText"/>
              <w:spacing w:before="100" w:after="100"/>
              <w:jc w:val="center"/>
              <w:rPr>
                <w:color w:val="000000"/>
              </w:rPr>
            </w:pPr>
            <w:r>
              <w:rPr>
                <w:color w:val="000000"/>
              </w:rPr>
              <w:t>$474</w:t>
            </w:r>
          </w:p>
        </w:tc>
        <w:tc>
          <w:tcPr>
            <w:tcW w:w="614" w:type="pct"/>
            <w:vAlign w:val="center"/>
          </w:tcPr>
          <w:p w14:paraId="370B7276" w14:textId="77777777" w:rsidR="000D07EA" w:rsidRDefault="00BE7C89">
            <w:pPr>
              <w:pStyle w:val="BodyText"/>
              <w:spacing w:before="100" w:after="100"/>
              <w:jc w:val="center"/>
              <w:rPr>
                <w:color w:val="000000"/>
              </w:rPr>
            </w:pPr>
            <w:r>
              <w:rPr>
                <w:color w:val="000000"/>
              </w:rPr>
              <w:t>$483</w:t>
            </w:r>
          </w:p>
        </w:tc>
        <w:tc>
          <w:tcPr>
            <w:tcW w:w="615" w:type="pct"/>
            <w:vAlign w:val="center"/>
          </w:tcPr>
          <w:p w14:paraId="4D32E49F" w14:textId="77777777" w:rsidR="000D07EA" w:rsidRDefault="00BE7C89">
            <w:pPr>
              <w:pStyle w:val="BodyText"/>
              <w:spacing w:before="100" w:after="100"/>
              <w:jc w:val="center"/>
              <w:rPr>
                <w:color w:val="000000"/>
              </w:rPr>
            </w:pPr>
            <w:r>
              <w:rPr>
                <w:color w:val="000000"/>
              </w:rPr>
              <w:t>$690</w:t>
            </w:r>
          </w:p>
        </w:tc>
        <w:tc>
          <w:tcPr>
            <w:tcW w:w="614" w:type="pct"/>
            <w:vAlign w:val="center"/>
          </w:tcPr>
          <w:p w14:paraId="347973BD" w14:textId="77777777" w:rsidR="000D07EA" w:rsidRDefault="00BE7C89">
            <w:pPr>
              <w:pStyle w:val="BodyText"/>
              <w:spacing w:before="100" w:after="100"/>
              <w:jc w:val="center"/>
              <w:rPr>
                <w:color w:val="000000"/>
              </w:rPr>
            </w:pPr>
            <w:r>
              <w:rPr>
                <w:color w:val="000000"/>
              </w:rPr>
              <w:t>$693</w:t>
            </w:r>
          </w:p>
        </w:tc>
        <w:tc>
          <w:tcPr>
            <w:tcW w:w="615" w:type="pct"/>
            <w:vAlign w:val="center"/>
          </w:tcPr>
          <w:p w14:paraId="3259FA8B" w14:textId="77777777" w:rsidR="000D07EA" w:rsidRDefault="00BE7C89">
            <w:pPr>
              <w:pStyle w:val="BodyText"/>
              <w:spacing w:before="100" w:after="100"/>
              <w:jc w:val="center"/>
              <w:rPr>
                <w:color w:val="000000"/>
              </w:rPr>
            </w:pPr>
            <w:r>
              <w:rPr>
                <w:color w:val="000000"/>
              </w:rPr>
              <w:t>$702</w:t>
            </w:r>
          </w:p>
        </w:tc>
      </w:tr>
      <w:tr w:rsidR="000D07EA" w14:paraId="38E07BDE" w14:textId="77777777">
        <w:tc>
          <w:tcPr>
            <w:tcW w:w="1312" w:type="pct"/>
          </w:tcPr>
          <w:p w14:paraId="71951E18" w14:textId="77777777" w:rsidR="000D07EA" w:rsidRDefault="00BE7C89">
            <w:pPr>
              <w:pStyle w:val="BodyText"/>
              <w:spacing w:before="100" w:after="100"/>
              <w:rPr>
                <w:b/>
              </w:rPr>
            </w:pPr>
            <w:r>
              <w:rPr>
                <w:b/>
              </w:rPr>
              <w:t xml:space="preserve">Months 19 – 21 (40% of the Initial </w:t>
            </w:r>
            <w:r>
              <w:rPr>
                <w:b/>
                <w:i/>
              </w:rPr>
              <w:t>cancellation fee</w:t>
            </w:r>
            <w:r>
              <w:rPr>
                <w:b/>
              </w:rPr>
              <w:t>)</w:t>
            </w:r>
          </w:p>
        </w:tc>
        <w:tc>
          <w:tcPr>
            <w:tcW w:w="614" w:type="pct"/>
            <w:vAlign w:val="center"/>
          </w:tcPr>
          <w:p w14:paraId="00B0702A" w14:textId="77777777" w:rsidR="000D07EA" w:rsidRDefault="00BE7C89">
            <w:pPr>
              <w:pStyle w:val="BodyText"/>
              <w:spacing w:before="100" w:after="100"/>
              <w:jc w:val="center"/>
              <w:rPr>
                <w:color w:val="000000"/>
              </w:rPr>
            </w:pPr>
            <w:r>
              <w:rPr>
                <w:color w:val="000000"/>
              </w:rPr>
              <w:t>$314</w:t>
            </w:r>
          </w:p>
        </w:tc>
        <w:tc>
          <w:tcPr>
            <w:tcW w:w="615" w:type="pct"/>
            <w:vAlign w:val="center"/>
          </w:tcPr>
          <w:p w14:paraId="0BCBAF09" w14:textId="77777777" w:rsidR="000D07EA" w:rsidRDefault="00BE7C89">
            <w:pPr>
              <w:pStyle w:val="BodyText"/>
              <w:spacing w:before="100" w:after="100"/>
              <w:jc w:val="center"/>
              <w:rPr>
                <w:color w:val="000000"/>
              </w:rPr>
            </w:pPr>
            <w:r>
              <w:rPr>
                <w:color w:val="000000"/>
              </w:rPr>
              <w:t>$316</w:t>
            </w:r>
          </w:p>
        </w:tc>
        <w:tc>
          <w:tcPr>
            <w:tcW w:w="614" w:type="pct"/>
            <w:vAlign w:val="center"/>
          </w:tcPr>
          <w:p w14:paraId="2006B374" w14:textId="77777777" w:rsidR="000D07EA" w:rsidRDefault="00BE7C89">
            <w:pPr>
              <w:pStyle w:val="BodyText"/>
              <w:spacing w:before="100" w:after="100"/>
              <w:jc w:val="center"/>
              <w:rPr>
                <w:color w:val="000000"/>
              </w:rPr>
            </w:pPr>
            <w:r>
              <w:rPr>
                <w:color w:val="000000"/>
              </w:rPr>
              <w:t>$322</w:t>
            </w:r>
          </w:p>
        </w:tc>
        <w:tc>
          <w:tcPr>
            <w:tcW w:w="615" w:type="pct"/>
            <w:vAlign w:val="center"/>
          </w:tcPr>
          <w:p w14:paraId="3C1F3D8C" w14:textId="77777777" w:rsidR="000D07EA" w:rsidRDefault="00BE7C89">
            <w:pPr>
              <w:pStyle w:val="BodyText"/>
              <w:spacing w:before="100" w:after="100"/>
              <w:jc w:val="center"/>
              <w:rPr>
                <w:color w:val="000000"/>
              </w:rPr>
            </w:pPr>
            <w:r>
              <w:rPr>
                <w:color w:val="000000"/>
              </w:rPr>
              <w:t>$460</w:t>
            </w:r>
          </w:p>
        </w:tc>
        <w:tc>
          <w:tcPr>
            <w:tcW w:w="614" w:type="pct"/>
            <w:vAlign w:val="center"/>
          </w:tcPr>
          <w:p w14:paraId="1589023C" w14:textId="77777777" w:rsidR="000D07EA" w:rsidRDefault="00BE7C89">
            <w:pPr>
              <w:pStyle w:val="BodyText"/>
              <w:spacing w:before="100" w:after="100"/>
              <w:jc w:val="center"/>
              <w:rPr>
                <w:color w:val="000000"/>
              </w:rPr>
            </w:pPr>
            <w:r>
              <w:rPr>
                <w:color w:val="000000"/>
              </w:rPr>
              <w:t>$462</w:t>
            </w:r>
          </w:p>
        </w:tc>
        <w:tc>
          <w:tcPr>
            <w:tcW w:w="615" w:type="pct"/>
            <w:vAlign w:val="center"/>
          </w:tcPr>
          <w:p w14:paraId="442775D6" w14:textId="77777777" w:rsidR="000D07EA" w:rsidRDefault="00BE7C89">
            <w:pPr>
              <w:pStyle w:val="BodyText"/>
              <w:spacing w:before="100" w:after="100"/>
              <w:jc w:val="center"/>
              <w:rPr>
                <w:color w:val="000000"/>
              </w:rPr>
            </w:pPr>
            <w:r>
              <w:rPr>
                <w:color w:val="000000"/>
              </w:rPr>
              <w:t>$468</w:t>
            </w:r>
          </w:p>
        </w:tc>
      </w:tr>
      <w:tr w:rsidR="000D07EA" w14:paraId="202DB8AC" w14:textId="77777777">
        <w:tc>
          <w:tcPr>
            <w:tcW w:w="1312" w:type="pct"/>
          </w:tcPr>
          <w:p w14:paraId="16FCC76C" w14:textId="77777777" w:rsidR="000D07EA" w:rsidRDefault="00BE7C89">
            <w:pPr>
              <w:pStyle w:val="BodyText"/>
              <w:spacing w:before="100" w:after="100"/>
              <w:rPr>
                <w:b/>
              </w:rPr>
            </w:pPr>
            <w:r>
              <w:rPr>
                <w:b/>
              </w:rPr>
              <w:t xml:space="preserve">Months 22 – 24 (20% of the Initial </w:t>
            </w:r>
            <w:r>
              <w:rPr>
                <w:b/>
                <w:i/>
              </w:rPr>
              <w:t>cancellation fee</w:t>
            </w:r>
            <w:r>
              <w:rPr>
                <w:b/>
              </w:rPr>
              <w:t>)</w:t>
            </w:r>
          </w:p>
        </w:tc>
        <w:tc>
          <w:tcPr>
            <w:tcW w:w="614" w:type="pct"/>
            <w:vAlign w:val="center"/>
          </w:tcPr>
          <w:p w14:paraId="7A7B308E" w14:textId="77777777" w:rsidR="000D07EA" w:rsidRDefault="00BE7C89">
            <w:pPr>
              <w:pStyle w:val="BodyText"/>
              <w:spacing w:before="100" w:after="100"/>
              <w:jc w:val="center"/>
              <w:rPr>
                <w:color w:val="000000"/>
              </w:rPr>
            </w:pPr>
            <w:r>
              <w:rPr>
                <w:color w:val="000000"/>
              </w:rPr>
              <w:t>$157</w:t>
            </w:r>
          </w:p>
        </w:tc>
        <w:tc>
          <w:tcPr>
            <w:tcW w:w="615" w:type="pct"/>
            <w:vAlign w:val="center"/>
          </w:tcPr>
          <w:p w14:paraId="6302ABDF" w14:textId="77777777" w:rsidR="000D07EA" w:rsidRDefault="00BE7C89">
            <w:pPr>
              <w:pStyle w:val="BodyText"/>
              <w:spacing w:before="100" w:after="100"/>
              <w:jc w:val="center"/>
              <w:rPr>
                <w:color w:val="000000"/>
              </w:rPr>
            </w:pPr>
            <w:r>
              <w:rPr>
                <w:color w:val="000000"/>
              </w:rPr>
              <w:t>$158</w:t>
            </w:r>
          </w:p>
        </w:tc>
        <w:tc>
          <w:tcPr>
            <w:tcW w:w="614" w:type="pct"/>
            <w:vAlign w:val="center"/>
          </w:tcPr>
          <w:p w14:paraId="7888869D" w14:textId="77777777" w:rsidR="000D07EA" w:rsidRDefault="00BE7C89">
            <w:pPr>
              <w:pStyle w:val="BodyText"/>
              <w:spacing w:before="100" w:after="100"/>
              <w:jc w:val="center"/>
              <w:rPr>
                <w:color w:val="000000"/>
              </w:rPr>
            </w:pPr>
            <w:r>
              <w:rPr>
                <w:color w:val="000000"/>
              </w:rPr>
              <w:t>$161</w:t>
            </w:r>
          </w:p>
        </w:tc>
        <w:tc>
          <w:tcPr>
            <w:tcW w:w="615" w:type="pct"/>
            <w:vAlign w:val="center"/>
          </w:tcPr>
          <w:p w14:paraId="28A137DD" w14:textId="77777777" w:rsidR="000D07EA" w:rsidRDefault="00BE7C89">
            <w:pPr>
              <w:pStyle w:val="BodyText"/>
              <w:spacing w:before="100" w:after="100"/>
              <w:jc w:val="center"/>
              <w:rPr>
                <w:color w:val="000000"/>
              </w:rPr>
            </w:pPr>
            <w:r>
              <w:rPr>
                <w:color w:val="000000"/>
              </w:rPr>
              <w:t>$230</w:t>
            </w:r>
          </w:p>
        </w:tc>
        <w:tc>
          <w:tcPr>
            <w:tcW w:w="614" w:type="pct"/>
            <w:vAlign w:val="center"/>
          </w:tcPr>
          <w:p w14:paraId="4BE8D274" w14:textId="77777777" w:rsidR="000D07EA" w:rsidRDefault="00BE7C89">
            <w:pPr>
              <w:pStyle w:val="BodyText"/>
              <w:spacing w:before="100" w:after="100"/>
              <w:jc w:val="center"/>
              <w:rPr>
                <w:color w:val="000000"/>
              </w:rPr>
            </w:pPr>
            <w:r>
              <w:rPr>
                <w:color w:val="000000"/>
              </w:rPr>
              <w:t>$231</w:t>
            </w:r>
          </w:p>
        </w:tc>
        <w:tc>
          <w:tcPr>
            <w:tcW w:w="615" w:type="pct"/>
            <w:vAlign w:val="center"/>
          </w:tcPr>
          <w:p w14:paraId="3DDE9CAF" w14:textId="77777777" w:rsidR="000D07EA" w:rsidRDefault="00BE7C89">
            <w:pPr>
              <w:pStyle w:val="BodyText"/>
              <w:spacing w:before="100" w:after="100"/>
              <w:jc w:val="center"/>
              <w:rPr>
                <w:color w:val="000000"/>
              </w:rPr>
            </w:pPr>
            <w:r>
              <w:rPr>
                <w:color w:val="000000"/>
              </w:rPr>
              <w:t>$234</w:t>
            </w:r>
          </w:p>
        </w:tc>
      </w:tr>
    </w:tbl>
    <w:p w14:paraId="151262D2" w14:textId="77777777" w:rsidR="000D07EA" w:rsidRDefault="000D07EA">
      <w:pPr>
        <w:pStyle w:val="BodyText"/>
      </w:pPr>
    </w:p>
    <w:p w14:paraId="7D65DEF0" w14:textId="77777777" w:rsidR="000D07EA" w:rsidRDefault="00BE7C89">
      <w:pPr>
        <w:pStyle w:val="Heading6"/>
        <w:keepNext/>
      </w:pPr>
      <w:r>
        <w:t xml:space="preserve">What happens at the end of the 12 or 24 month </w:t>
      </w:r>
      <w:r>
        <w:rPr>
          <w:rFonts w:eastAsia="MS Mincho"/>
          <w:bCs w:val="0"/>
          <w:i/>
          <w:szCs w:val="24"/>
        </w:rPr>
        <w:t>minimum term</w:t>
      </w:r>
      <w:r>
        <w:t>?</w:t>
      </w:r>
    </w:p>
    <w:p w14:paraId="4826966C" w14:textId="77777777" w:rsidR="000D07EA" w:rsidRDefault="00BE7C89">
      <w:pPr>
        <w:pStyle w:val="BodyText"/>
        <w:spacing w:before="60"/>
        <w:ind w:left="720"/>
      </w:pPr>
      <w:r>
        <w:rPr>
          <w:i/>
        </w:rPr>
        <w:t>We</w:t>
      </w:r>
      <w:r>
        <w:t xml:space="preserve"> reserve the right not to offer </w:t>
      </w:r>
      <w:r>
        <w:rPr>
          <w:i/>
        </w:rPr>
        <w:t>you</w:t>
      </w:r>
      <w:r>
        <w:t xml:space="preserve"> the Business Complete offers at the end of </w:t>
      </w:r>
      <w:r>
        <w:rPr>
          <w:i/>
        </w:rPr>
        <w:t>your</w:t>
      </w:r>
      <w:r>
        <w:t xml:space="preserve"> 12 or 24 month </w:t>
      </w:r>
      <w:r>
        <w:rPr>
          <w:i/>
        </w:rPr>
        <w:t>minimum</w:t>
      </w:r>
      <w:r>
        <w:t xml:space="preserve"> term. At that time, if you haven't given us notice to change or </w:t>
      </w:r>
      <w:r>
        <w:rPr>
          <w:i/>
        </w:rPr>
        <w:t>cancel</w:t>
      </w:r>
      <w:r>
        <w:t xml:space="preserve"> </w:t>
      </w:r>
      <w:r>
        <w:rPr>
          <w:i/>
        </w:rPr>
        <w:t>the</w:t>
      </w:r>
      <w:r>
        <w:t xml:space="preserve"> </w:t>
      </w:r>
      <w:r>
        <w:rPr>
          <w:i/>
        </w:rPr>
        <w:t>services</w:t>
      </w:r>
      <w:r>
        <w:t>:</w:t>
      </w:r>
    </w:p>
    <w:p w14:paraId="0B65832E" w14:textId="77777777" w:rsidR="000D07EA" w:rsidRDefault="00BE7C89">
      <w:pPr>
        <w:pStyle w:val="Heading7"/>
      </w:pPr>
      <w:r>
        <w:t xml:space="preserve">the benefits of the Business Complete offers may be removed from </w:t>
      </w:r>
      <w:r>
        <w:rPr>
          <w:rFonts w:eastAsia="MS Mincho"/>
          <w:i/>
        </w:rPr>
        <w:t>your</w:t>
      </w:r>
      <w:r>
        <w:t xml:space="preserve"> account; and</w:t>
      </w:r>
    </w:p>
    <w:p w14:paraId="50663C4C" w14:textId="77777777" w:rsidR="000D07EA" w:rsidRDefault="00BE7C89">
      <w:pPr>
        <w:pStyle w:val="Heading7"/>
      </w:pPr>
      <w:r>
        <w:rPr>
          <w:rFonts w:eastAsia="MS Mincho"/>
          <w:i/>
        </w:rPr>
        <w:t>we</w:t>
      </w:r>
      <w:r>
        <w:t xml:space="preserve"> may move you to any other current </w:t>
      </w:r>
      <w:r>
        <w:rPr>
          <w:rFonts w:eastAsia="MS Mincho"/>
          <w:i/>
        </w:rPr>
        <w:t>pricing</w:t>
      </w:r>
      <w:r>
        <w:t xml:space="preserve"> </w:t>
      </w:r>
      <w:r>
        <w:rPr>
          <w:rFonts w:eastAsia="MS Mincho"/>
          <w:i/>
        </w:rPr>
        <w:t>plan</w:t>
      </w:r>
      <w:r>
        <w:t xml:space="preserve"> that is reasonably comparable.</w:t>
      </w:r>
    </w:p>
    <w:p w14:paraId="7D241F79" w14:textId="77777777" w:rsidR="000D07EA" w:rsidRDefault="00BE7C89">
      <w:pPr>
        <w:pStyle w:val="BodyText"/>
        <w:spacing w:before="60"/>
        <w:ind w:firstLine="720"/>
        <w:rPr>
          <w:b/>
        </w:rPr>
      </w:pPr>
      <w:r>
        <w:rPr>
          <w:i/>
        </w:rPr>
        <w:t>We</w:t>
      </w:r>
      <w:r>
        <w:t xml:space="preserve"> will tell </w:t>
      </w:r>
      <w:r>
        <w:rPr>
          <w:i/>
        </w:rPr>
        <w:t>you</w:t>
      </w:r>
      <w:r>
        <w:t xml:space="preserve"> before this happens.</w:t>
      </w:r>
    </w:p>
    <w:p w14:paraId="6DD86C6D" w14:textId="77777777" w:rsidR="000D07EA" w:rsidRDefault="00BE7C89">
      <w:pPr>
        <w:pStyle w:val="Heading4"/>
        <w:rPr>
          <w:lang w:val="en-AU"/>
        </w:rPr>
      </w:pPr>
      <w:bookmarkStart w:id="511" w:name="_Toc294167157"/>
      <w:bookmarkStart w:id="512" w:name="_Toc397941194"/>
      <w:bookmarkStart w:id="513" w:name="_Toc455147615"/>
      <w:bookmarkStart w:id="514" w:name="_Toc62644637"/>
      <w:r>
        <w:rPr>
          <w:lang w:val="en-AU"/>
        </w:rPr>
        <w:t>Business Timeless Plans (Incorporating $99 Business Timeless, $129 Business Timeless and $99 Business Timeless (Premium H/set) and $129 Business Timeless (Premium H/set) effective from 1 June 2011.</w:t>
      </w:r>
      <w:bookmarkEnd w:id="511"/>
      <w:bookmarkEnd w:id="512"/>
      <w:bookmarkEnd w:id="513"/>
      <w:bookmarkEnd w:id="514"/>
    </w:p>
    <w:p w14:paraId="22C47B06" w14:textId="77777777" w:rsidR="000D07EA" w:rsidRDefault="00BE7C89">
      <w:pPr>
        <w:pStyle w:val="Heading6"/>
        <w:ind w:left="0" w:firstLine="0"/>
        <w:rPr>
          <w:lang w:val="en-AU"/>
        </w:rPr>
      </w:pPr>
      <w:bookmarkStart w:id="515" w:name="_Toc294167158"/>
      <w:bookmarkStart w:id="516" w:name="_Toc397941195"/>
      <w:r>
        <w:rPr>
          <w:lang w:val="en-AU"/>
        </w:rPr>
        <w:t>What are the Optus Business Timeless Offers?</w:t>
      </w:r>
      <w:bookmarkEnd w:id="515"/>
      <w:bookmarkEnd w:id="516"/>
    </w:p>
    <w:p w14:paraId="66B05E88" w14:textId="77777777" w:rsidR="000D07EA" w:rsidRDefault="00BE7C89">
      <w:pPr>
        <w:pStyle w:val="BodyText"/>
        <w:ind w:left="709"/>
        <w:rPr>
          <w:lang w:val="en-AU"/>
        </w:rPr>
      </w:pPr>
      <w:r>
        <w:rPr>
          <w:lang w:val="en-AU"/>
        </w:rPr>
        <w:t xml:space="preserve">The Optus Business Timeless Offers are governed by the terms in this </w:t>
      </w:r>
      <w:r>
        <w:rPr>
          <w:i/>
          <w:lang w:val="en-AU"/>
        </w:rPr>
        <w:t xml:space="preserve">appendix </w:t>
      </w:r>
      <w:r>
        <w:rPr>
          <w:lang w:val="en-AU"/>
        </w:rPr>
        <w:t xml:space="preserve">and, to the extent that the terms are not inconsistent with the terms set out in this </w:t>
      </w:r>
      <w:r>
        <w:rPr>
          <w:i/>
          <w:lang w:val="en-AU"/>
        </w:rPr>
        <w:t>appendix</w:t>
      </w:r>
      <w:r>
        <w:rPr>
          <w:lang w:val="en-AU"/>
        </w:rPr>
        <w:t xml:space="preserve">, by the terms of the </w:t>
      </w:r>
      <w:hyperlink r:id="rId356" w:history="1">
        <w:r>
          <w:rPr>
            <w:rStyle w:val="Hyperlink"/>
            <w:i/>
            <w:lang w:val="en-AU"/>
          </w:rPr>
          <w:t>SMB terms</w:t>
        </w:r>
      </w:hyperlink>
      <w:r>
        <w:rPr>
          <w:lang w:val="en-AU"/>
        </w:rPr>
        <w:t xml:space="preserve">, and each relevant </w:t>
      </w:r>
      <w:r>
        <w:rPr>
          <w:i/>
          <w:lang w:val="en-AU"/>
        </w:rPr>
        <w:t xml:space="preserve">service description </w:t>
      </w:r>
      <w:r>
        <w:rPr>
          <w:lang w:val="en-AU"/>
        </w:rPr>
        <w:t xml:space="preserve">and </w:t>
      </w:r>
      <w:r>
        <w:rPr>
          <w:i/>
          <w:lang w:val="en-AU"/>
        </w:rPr>
        <w:t>standard pricing table</w:t>
      </w:r>
      <w:r>
        <w:rPr>
          <w:lang w:val="en-AU"/>
        </w:rPr>
        <w:t xml:space="preserve">. </w:t>
      </w:r>
    </w:p>
    <w:p w14:paraId="172780F1" w14:textId="77777777" w:rsidR="000D07EA" w:rsidRDefault="00BE7C89">
      <w:pPr>
        <w:pStyle w:val="Heading7"/>
        <w:rPr>
          <w:lang w:val="en-AU"/>
        </w:rPr>
      </w:pPr>
      <w:r>
        <w:rPr>
          <w:lang w:val="en-AU"/>
        </w:rPr>
        <w:t xml:space="preserve">To be eligible for the Optus Business Timeless Offer </w:t>
      </w:r>
      <w:r>
        <w:rPr>
          <w:i/>
          <w:lang w:val="en-AU"/>
        </w:rPr>
        <w:t xml:space="preserve">you </w:t>
      </w:r>
      <w:r>
        <w:rPr>
          <w:lang w:val="en-AU"/>
        </w:rPr>
        <w:t>must have at least 1 Optus Mobile Digital Service</w:t>
      </w:r>
    </w:p>
    <w:p w14:paraId="618A68DA" w14:textId="77777777" w:rsidR="000D07EA" w:rsidRDefault="00BE7C89">
      <w:pPr>
        <w:pStyle w:val="Heading7"/>
        <w:rPr>
          <w:lang w:val="en-AU"/>
        </w:rPr>
      </w:pPr>
      <w:r>
        <w:rPr>
          <w:lang w:val="en-AU"/>
        </w:rPr>
        <w:t>A (Premium H/set) plan indicates a rate plan where a high value handset is available. The (Premium H/set) plan and standard Business Timeless plans are identical except for the cancellation fees listed in Table 4A.</w:t>
      </w:r>
    </w:p>
    <w:p w14:paraId="15E56218" w14:textId="77777777" w:rsidR="000D07EA" w:rsidRDefault="00BE7C89">
      <w:pPr>
        <w:pStyle w:val="Heading7"/>
        <w:rPr>
          <w:lang w:val="en-AU"/>
        </w:rPr>
      </w:pPr>
      <w:r>
        <w:rPr>
          <w:lang w:val="en-AU"/>
        </w:rPr>
        <w:t>For the following information where the term "Business Timeless" is used it also refers to the (Premium H/set) plans.</w:t>
      </w:r>
    </w:p>
    <w:p w14:paraId="1BF0DF9A" w14:textId="77777777" w:rsidR="000D07EA" w:rsidRDefault="00BE7C89">
      <w:pPr>
        <w:pStyle w:val="Heading6"/>
        <w:ind w:left="0" w:firstLine="0"/>
        <w:rPr>
          <w:lang w:val="en-AU"/>
        </w:rPr>
      </w:pPr>
      <w:bookmarkStart w:id="517" w:name="_Toc294167159"/>
      <w:bookmarkStart w:id="518" w:name="_Toc397941196"/>
      <w:r>
        <w:rPr>
          <w:lang w:val="en-AU"/>
        </w:rPr>
        <w:t>What does the Optus Business Timeless Offers allow you to do?</w:t>
      </w:r>
      <w:bookmarkEnd w:id="517"/>
      <w:bookmarkEnd w:id="518"/>
    </w:p>
    <w:p w14:paraId="02BEE938" w14:textId="77777777" w:rsidR="000D07EA" w:rsidRDefault="00BE7C89">
      <w:pPr>
        <w:pStyle w:val="Heading7"/>
        <w:rPr>
          <w:lang w:val="en-AU"/>
        </w:rPr>
      </w:pPr>
      <w:r>
        <w:rPr>
          <w:lang w:val="en-AU"/>
        </w:rPr>
        <w:t xml:space="preserve">The Business Timeless Offer allows </w:t>
      </w:r>
      <w:r>
        <w:rPr>
          <w:i/>
          <w:lang w:val="en-AU"/>
        </w:rPr>
        <w:t>you</w:t>
      </w:r>
      <w:r>
        <w:rPr>
          <w:lang w:val="en-AU"/>
        </w:rPr>
        <w:t xml:space="preserve"> to use </w:t>
      </w:r>
      <w:r>
        <w:rPr>
          <w:i/>
          <w:lang w:val="en-AU"/>
        </w:rPr>
        <w:t>your</w:t>
      </w:r>
      <w:r>
        <w:rPr>
          <w:lang w:val="en-AU"/>
        </w:rPr>
        <w:t xml:space="preserve"> Optus Mobile Digital Service and a Business Mobile Broadband service where;</w:t>
      </w:r>
    </w:p>
    <w:p w14:paraId="7105CDC0" w14:textId="77777777" w:rsidR="000D07EA" w:rsidRDefault="00BE7C89">
      <w:pPr>
        <w:pStyle w:val="Heading8"/>
        <w:rPr>
          <w:lang w:val="en-AU"/>
        </w:rPr>
      </w:pPr>
      <w:r>
        <w:rPr>
          <w:lang w:val="en-AU"/>
        </w:rPr>
        <w:t xml:space="preserve">The included Data Value can be shared across Optus Mobile Digital Service(s) and Business Mobile Broadband Services(s) that are on the $99 Business Timeless plan. The 10GB or 2GB included Data Value on the $129 Business Timeless plan can be shared across Optus Mobile Digital Service(s) and Business Mobile Broadband Services(s). The bonus </w:t>
      </w:r>
      <w:r>
        <w:rPr>
          <w:b/>
          <w:lang w:val="en-AU"/>
        </w:rPr>
        <w:t>Unlimited Mobile Internet Data Value</w:t>
      </w:r>
      <w:r>
        <w:rPr>
          <w:lang w:val="en-AU"/>
        </w:rPr>
        <w:t xml:space="preserve"> on the $129 Business Timeless plan cannot be shared across Optus Mobile Digital Service(s) and Business Mobile Broadband Services(s).</w:t>
      </w:r>
    </w:p>
    <w:p w14:paraId="06B338BD" w14:textId="77777777" w:rsidR="000D07EA" w:rsidRDefault="00BE7C89">
      <w:pPr>
        <w:pStyle w:val="Heading8"/>
        <w:rPr>
          <w:lang w:val="en-AU"/>
        </w:rPr>
      </w:pPr>
      <w:r>
        <w:rPr>
          <w:b/>
          <w:snapToGrid w:val="0"/>
          <w:lang w:val="en-AU"/>
        </w:rPr>
        <w:lastRenderedPageBreak/>
        <w:t>Unlimited mobile access to Facebook®, Twitter, LinkedIn, Ebay, Four Square, MySpace, within Australia</w:t>
      </w:r>
      <w:r>
        <w:rPr>
          <w:snapToGrid w:val="0"/>
          <w:lang w:val="en-AU"/>
        </w:rPr>
        <w:t xml:space="preserve">. Offers cannot be shared and may be accessed on the mobile handset only. </w:t>
      </w:r>
    </w:p>
    <w:p w14:paraId="24946A20" w14:textId="77777777" w:rsidR="000D07EA" w:rsidRDefault="00BE7C89">
      <w:pPr>
        <w:pStyle w:val="Heading7"/>
        <w:rPr>
          <w:lang w:val="en-AU"/>
        </w:rPr>
      </w:pPr>
      <w:r>
        <w:rPr>
          <w:i/>
          <w:lang w:val="en-AU"/>
        </w:rPr>
        <w:t xml:space="preserve">You </w:t>
      </w:r>
      <w:r>
        <w:rPr>
          <w:lang w:val="en-AU"/>
        </w:rPr>
        <w:t xml:space="preserve">may purchase a </w:t>
      </w:r>
      <w:r>
        <w:rPr>
          <w:i/>
          <w:lang w:val="en-AU"/>
        </w:rPr>
        <w:t xml:space="preserve">mobile phone </w:t>
      </w:r>
      <w:r>
        <w:rPr>
          <w:lang w:val="en-AU"/>
        </w:rPr>
        <w:t xml:space="preserve">with a 24 month </w:t>
      </w:r>
      <w:r>
        <w:rPr>
          <w:i/>
          <w:lang w:val="en-AU"/>
        </w:rPr>
        <w:t xml:space="preserve">equipment term </w:t>
      </w:r>
      <w:r>
        <w:rPr>
          <w:lang w:val="en-AU"/>
        </w:rPr>
        <w:t xml:space="preserve">under a </w:t>
      </w:r>
      <w:r>
        <w:rPr>
          <w:i/>
          <w:lang w:val="en-AU"/>
        </w:rPr>
        <w:t>mobile equipment payment plan</w:t>
      </w:r>
      <w:r>
        <w:rPr>
          <w:lang w:val="en-AU"/>
        </w:rPr>
        <w:t xml:space="preserve"> on a 24 month </w:t>
      </w:r>
      <w:r>
        <w:rPr>
          <w:i/>
          <w:lang w:val="en-AU"/>
        </w:rPr>
        <w:t>fixed length agreement</w:t>
      </w:r>
      <w:r>
        <w:rPr>
          <w:lang w:val="en-AU"/>
        </w:rPr>
        <w:t xml:space="preserve">. If </w:t>
      </w:r>
      <w:r>
        <w:rPr>
          <w:i/>
          <w:lang w:val="en-AU"/>
        </w:rPr>
        <w:t>you</w:t>
      </w:r>
      <w:r>
        <w:rPr>
          <w:lang w:val="en-AU"/>
        </w:rPr>
        <w:t xml:space="preserve"> agree to a 24 month </w:t>
      </w:r>
      <w:r>
        <w:rPr>
          <w:i/>
          <w:lang w:val="en-AU"/>
        </w:rPr>
        <w:t>fixed length agreement</w:t>
      </w:r>
      <w:r>
        <w:rPr>
          <w:lang w:val="en-AU"/>
        </w:rPr>
        <w:t xml:space="preserve"> the price of </w:t>
      </w:r>
      <w:r>
        <w:rPr>
          <w:i/>
          <w:lang w:val="en-AU"/>
        </w:rPr>
        <w:t>mobile phones</w:t>
      </w:r>
      <w:r>
        <w:rPr>
          <w:lang w:val="en-AU"/>
        </w:rPr>
        <w:t xml:space="preserve"> available is less than if </w:t>
      </w:r>
      <w:r>
        <w:rPr>
          <w:i/>
          <w:lang w:val="en-AU"/>
        </w:rPr>
        <w:t>you</w:t>
      </w:r>
      <w:r>
        <w:rPr>
          <w:lang w:val="en-AU"/>
        </w:rPr>
        <w:t xml:space="preserve"> only agree to a </w:t>
      </w:r>
      <w:r>
        <w:rPr>
          <w:i/>
          <w:lang w:val="en-AU"/>
        </w:rPr>
        <w:t xml:space="preserve">non-fixed length agreement. </w:t>
      </w:r>
    </w:p>
    <w:p w14:paraId="6CB821B1" w14:textId="77777777" w:rsidR="000D07EA" w:rsidRDefault="00BE7C89">
      <w:pPr>
        <w:pStyle w:val="Heading7"/>
        <w:rPr>
          <w:lang w:val="en-AU"/>
        </w:rPr>
      </w:pPr>
      <w:r>
        <w:rPr>
          <w:i/>
          <w:lang w:val="en-AU"/>
        </w:rPr>
        <w:t xml:space="preserve">You </w:t>
      </w:r>
      <w:r>
        <w:rPr>
          <w:lang w:val="en-AU"/>
        </w:rPr>
        <w:t xml:space="preserve">may purchase a </w:t>
      </w:r>
      <w:r>
        <w:rPr>
          <w:i/>
          <w:lang w:val="en-AU"/>
        </w:rPr>
        <w:t xml:space="preserve">mobile phone </w:t>
      </w:r>
      <w:r>
        <w:rPr>
          <w:lang w:val="en-AU"/>
        </w:rPr>
        <w:t xml:space="preserve">with a 12 month </w:t>
      </w:r>
      <w:r>
        <w:rPr>
          <w:i/>
          <w:lang w:val="en-AU"/>
        </w:rPr>
        <w:t xml:space="preserve">equipment term </w:t>
      </w:r>
      <w:r>
        <w:rPr>
          <w:lang w:val="en-AU"/>
        </w:rPr>
        <w:t xml:space="preserve">under a </w:t>
      </w:r>
      <w:r>
        <w:rPr>
          <w:i/>
          <w:lang w:val="en-AU"/>
        </w:rPr>
        <w:t>mobile equipment payment plan</w:t>
      </w:r>
      <w:r>
        <w:rPr>
          <w:lang w:val="en-AU"/>
        </w:rPr>
        <w:t xml:space="preserve"> on a 12 month </w:t>
      </w:r>
      <w:r>
        <w:rPr>
          <w:i/>
          <w:lang w:val="en-AU"/>
        </w:rPr>
        <w:t>fixed length agreement</w:t>
      </w:r>
      <w:r>
        <w:rPr>
          <w:lang w:val="en-AU"/>
        </w:rPr>
        <w:t xml:space="preserve">. If </w:t>
      </w:r>
      <w:r>
        <w:rPr>
          <w:i/>
          <w:lang w:val="en-AU"/>
        </w:rPr>
        <w:t>you</w:t>
      </w:r>
      <w:r>
        <w:rPr>
          <w:lang w:val="en-AU"/>
        </w:rPr>
        <w:t xml:space="preserve"> agree to a 12 month </w:t>
      </w:r>
      <w:r>
        <w:rPr>
          <w:i/>
          <w:lang w:val="en-AU"/>
        </w:rPr>
        <w:t>fixed length agreement</w:t>
      </w:r>
      <w:r>
        <w:rPr>
          <w:lang w:val="en-AU"/>
        </w:rPr>
        <w:t xml:space="preserve"> the price of </w:t>
      </w:r>
      <w:r>
        <w:rPr>
          <w:i/>
          <w:lang w:val="en-AU"/>
        </w:rPr>
        <w:t>mobile phones</w:t>
      </w:r>
      <w:r>
        <w:rPr>
          <w:lang w:val="en-AU"/>
        </w:rPr>
        <w:t xml:space="preserve"> available is less than if </w:t>
      </w:r>
      <w:r>
        <w:rPr>
          <w:i/>
          <w:lang w:val="en-AU"/>
        </w:rPr>
        <w:t>you</w:t>
      </w:r>
      <w:r>
        <w:rPr>
          <w:lang w:val="en-AU"/>
        </w:rPr>
        <w:t xml:space="preserve"> only agree to a </w:t>
      </w:r>
      <w:r>
        <w:rPr>
          <w:i/>
          <w:lang w:val="en-AU"/>
        </w:rPr>
        <w:t xml:space="preserve">non-fixed length agreement. </w:t>
      </w:r>
    </w:p>
    <w:p w14:paraId="6EF17BDC" w14:textId="77777777" w:rsidR="000D07EA" w:rsidRDefault="00BE7C89">
      <w:pPr>
        <w:pStyle w:val="Heading7"/>
        <w:rPr>
          <w:lang w:val="en-AU"/>
        </w:rPr>
      </w:pPr>
      <w:r>
        <w:rPr>
          <w:lang w:val="en-AU"/>
        </w:rPr>
        <w:t>The charges for the Business Timeless Offers are set out in Table 3A.</w:t>
      </w:r>
    </w:p>
    <w:p w14:paraId="41298ACD" w14:textId="77777777" w:rsidR="000D07EA" w:rsidRDefault="00BE7C89">
      <w:pPr>
        <w:pStyle w:val="Heading6"/>
        <w:ind w:left="0" w:firstLine="0"/>
        <w:rPr>
          <w:lang w:val="en-AU"/>
        </w:rPr>
      </w:pPr>
      <w:bookmarkStart w:id="519" w:name="_Toc397941197"/>
      <w:r>
        <w:rPr>
          <w:lang w:val="en-AU"/>
        </w:rPr>
        <w:t>Eligibility</w:t>
      </w:r>
      <w:bookmarkEnd w:id="519"/>
    </w:p>
    <w:p w14:paraId="71BEB941" w14:textId="77777777" w:rsidR="000D07EA" w:rsidRDefault="00BE7C89">
      <w:pPr>
        <w:pStyle w:val="BodyText"/>
        <w:ind w:left="709"/>
        <w:rPr>
          <w:lang w:val="en-AU"/>
        </w:rPr>
      </w:pPr>
      <w:r>
        <w:rPr>
          <w:lang w:val="en-AU"/>
        </w:rPr>
        <w:t xml:space="preserve">The Business Timeless Plans are only available to customers </w:t>
      </w:r>
      <w:r>
        <w:rPr>
          <w:i/>
          <w:lang w:val="en-AU"/>
        </w:rPr>
        <w:t>we</w:t>
      </w:r>
      <w:r>
        <w:rPr>
          <w:lang w:val="en-AU"/>
        </w:rPr>
        <w:t xml:space="preserve"> classify as </w:t>
      </w:r>
      <w:r>
        <w:rPr>
          <w:i/>
          <w:lang w:val="en-AU"/>
        </w:rPr>
        <w:t>small or medium business</w:t>
      </w:r>
      <w:r>
        <w:rPr>
          <w:lang w:val="en-AU"/>
        </w:rPr>
        <w:t xml:space="preserve"> customers who apply to connect to the service on the following terms:</w:t>
      </w:r>
    </w:p>
    <w:p w14:paraId="3CD5EA33" w14:textId="77777777" w:rsidR="000D07EA" w:rsidRDefault="00BE7C89">
      <w:pPr>
        <w:pStyle w:val="Heading7"/>
        <w:rPr>
          <w:lang w:val="en-AU"/>
        </w:rPr>
      </w:pPr>
      <w:r>
        <w:rPr>
          <w:i/>
          <w:lang w:val="en-AU"/>
        </w:rPr>
        <w:t>You</w:t>
      </w:r>
      <w:r>
        <w:rPr>
          <w:lang w:val="en-AU"/>
        </w:rPr>
        <w:t xml:space="preserve"> must pass the Optus Credit assessment and be accepted by Optus.</w:t>
      </w:r>
    </w:p>
    <w:p w14:paraId="75867C78" w14:textId="77777777" w:rsidR="000D07EA" w:rsidRDefault="00BE7C89">
      <w:pPr>
        <w:pStyle w:val="Heading7"/>
        <w:rPr>
          <w:lang w:val="en-AU"/>
        </w:rPr>
      </w:pPr>
      <w:r>
        <w:rPr>
          <w:snapToGrid w:val="0"/>
          <w:lang w:val="en-AU"/>
        </w:rPr>
        <w:t xml:space="preserve">In order to be and remain eligible for the Business Timeless Offers, </w:t>
      </w:r>
      <w:r>
        <w:rPr>
          <w:i/>
          <w:snapToGrid w:val="0"/>
          <w:lang w:val="en-AU"/>
        </w:rPr>
        <w:t xml:space="preserve">you </w:t>
      </w:r>
      <w:r>
        <w:rPr>
          <w:snapToGrid w:val="0"/>
          <w:lang w:val="en-AU"/>
        </w:rPr>
        <w:t xml:space="preserve">must: </w:t>
      </w:r>
    </w:p>
    <w:p w14:paraId="4361EE8C" w14:textId="77777777" w:rsidR="000D07EA" w:rsidRDefault="00BE7C89">
      <w:pPr>
        <w:pStyle w:val="Heading8"/>
        <w:rPr>
          <w:lang w:val="en-AU"/>
        </w:rPr>
      </w:pPr>
      <w:r>
        <w:rPr>
          <w:lang w:val="en-AU"/>
        </w:rPr>
        <w:t>connect all relevant</w:t>
      </w:r>
      <w:r>
        <w:rPr>
          <w:i/>
          <w:lang w:val="en-AU"/>
        </w:rPr>
        <w:t xml:space="preserve"> services</w:t>
      </w:r>
      <w:r>
        <w:rPr>
          <w:lang w:val="en-AU"/>
        </w:rPr>
        <w:t xml:space="preserve"> in the same account holder name and service address, and ABN/ACN/ARBN;</w:t>
      </w:r>
    </w:p>
    <w:p w14:paraId="1F093A84" w14:textId="77777777" w:rsidR="000D07EA" w:rsidRDefault="00BE7C89">
      <w:pPr>
        <w:pStyle w:val="Heading8"/>
        <w:rPr>
          <w:lang w:val="en-AU"/>
        </w:rPr>
      </w:pPr>
      <w:r>
        <w:rPr>
          <w:lang w:val="en-AU"/>
        </w:rPr>
        <w:t xml:space="preserve">meet all of the criteria for the particular </w:t>
      </w:r>
      <w:r>
        <w:rPr>
          <w:i/>
          <w:lang w:val="en-AU"/>
        </w:rPr>
        <w:t>services</w:t>
      </w:r>
      <w:r>
        <w:rPr>
          <w:lang w:val="en-AU"/>
        </w:rPr>
        <w:t xml:space="preserve"> as set out in each of the relevant </w:t>
      </w:r>
      <w:r>
        <w:rPr>
          <w:i/>
          <w:lang w:val="en-AU"/>
        </w:rPr>
        <w:t>service descriptions</w:t>
      </w:r>
      <w:r>
        <w:rPr>
          <w:lang w:val="en-AU"/>
        </w:rPr>
        <w:t>; and</w:t>
      </w:r>
    </w:p>
    <w:p w14:paraId="4016A2A2" w14:textId="77777777" w:rsidR="000D07EA" w:rsidRDefault="00BE7C89">
      <w:pPr>
        <w:pStyle w:val="Heading8"/>
        <w:rPr>
          <w:lang w:val="en-AU"/>
        </w:rPr>
      </w:pPr>
      <w:r>
        <w:rPr>
          <w:lang w:val="en-AU"/>
        </w:rPr>
        <w:t>receive subscription charges on a monthly single bill.</w:t>
      </w:r>
    </w:p>
    <w:p w14:paraId="3F6A0209" w14:textId="77777777" w:rsidR="000D07EA" w:rsidRDefault="00BE7C89">
      <w:pPr>
        <w:pStyle w:val="Heading7"/>
        <w:rPr>
          <w:lang w:val="en-AU"/>
        </w:rPr>
      </w:pPr>
      <w:r>
        <w:rPr>
          <w:snapToGrid w:val="0"/>
          <w:lang w:val="en-AU"/>
        </w:rPr>
        <w:t xml:space="preserve">If </w:t>
      </w:r>
      <w:r>
        <w:rPr>
          <w:i/>
          <w:snapToGrid w:val="0"/>
          <w:lang w:val="en-AU"/>
        </w:rPr>
        <w:t xml:space="preserve">you </w:t>
      </w:r>
      <w:r>
        <w:rPr>
          <w:snapToGrid w:val="0"/>
          <w:lang w:val="en-AU"/>
        </w:rPr>
        <w:t>already have a non-fixed length or fixed length agreement with us for either your Optus Mobile Digital Service(s) and your Optus Mobile Service(s) and you choose to connect as a new customer to our Business Timeless offer:</w:t>
      </w:r>
    </w:p>
    <w:p w14:paraId="60DCDD4C" w14:textId="77777777" w:rsidR="000D07EA" w:rsidRDefault="00BE7C89">
      <w:pPr>
        <w:pStyle w:val="Heading8"/>
        <w:rPr>
          <w:snapToGrid w:val="0"/>
          <w:lang w:val="en-AU"/>
        </w:rPr>
      </w:pPr>
      <w:r>
        <w:rPr>
          <w:i/>
          <w:snapToGrid w:val="0"/>
          <w:lang w:val="en-AU"/>
        </w:rPr>
        <w:t>We</w:t>
      </w:r>
      <w:r>
        <w:rPr>
          <w:snapToGrid w:val="0"/>
          <w:lang w:val="en-AU"/>
        </w:rPr>
        <w:t xml:space="preserve"> may agree (at </w:t>
      </w:r>
      <w:r>
        <w:rPr>
          <w:i/>
          <w:snapToGrid w:val="0"/>
          <w:lang w:val="en-AU"/>
        </w:rPr>
        <w:t>our</w:t>
      </w:r>
      <w:r>
        <w:rPr>
          <w:snapToGrid w:val="0"/>
          <w:lang w:val="en-AU"/>
        </w:rPr>
        <w:t xml:space="preserve"> discretion) to transfer</w:t>
      </w:r>
      <w:r>
        <w:rPr>
          <w:i/>
          <w:snapToGrid w:val="0"/>
          <w:lang w:val="en-AU"/>
        </w:rPr>
        <w:t xml:space="preserve"> you</w:t>
      </w:r>
      <w:r>
        <w:rPr>
          <w:snapToGrid w:val="0"/>
          <w:lang w:val="en-AU"/>
        </w:rPr>
        <w:t xml:space="preserve"> to the Business Timeless offer </w:t>
      </w:r>
    </w:p>
    <w:p w14:paraId="14229822" w14:textId="77777777" w:rsidR="000D07EA" w:rsidRDefault="00BE7C89">
      <w:pPr>
        <w:pStyle w:val="Heading8"/>
        <w:rPr>
          <w:snapToGrid w:val="0"/>
          <w:lang w:val="en-AU"/>
        </w:rPr>
      </w:pPr>
      <w:r>
        <w:rPr>
          <w:snapToGrid w:val="0"/>
          <w:lang w:val="en-AU"/>
        </w:rPr>
        <w:t>In the case of the above,</w:t>
      </w:r>
      <w:r>
        <w:rPr>
          <w:i/>
          <w:snapToGrid w:val="0"/>
          <w:lang w:val="en-AU"/>
        </w:rPr>
        <w:t xml:space="preserve"> you</w:t>
      </w:r>
      <w:r>
        <w:rPr>
          <w:snapToGrid w:val="0"/>
          <w:lang w:val="en-AU"/>
        </w:rPr>
        <w:t xml:space="preserve"> will start a monthly, 24 month</w:t>
      </w:r>
      <w:r>
        <w:rPr>
          <w:i/>
          <w:snapToGrid w:val="0"/>
          <w:lang w:val="en-AU"/>
        </w:rPr>
        <w:t xml:space="preserve"> minimum term fixed length agreement</w:t>
      </w:r>
      <w:r>
        <w:rPr>
          <w:snapToGrid w:val="0"/>
          <w:lang w:val="en-AU"/>
        </w:rPr>
        <w:t xml:space="preserve"> for the new </w:t>
      </w:r>
      <w:r>
        <w:rPr>
          <w:i/>
          <w:snapToGrid w:val="0"/>
          <w:lang w:val="en-AU"/>
        </w:rPr>
        <w:t>Business Timeless offer</w:t>
      </w:r>
      <w:r>
        <w:rPr>
          <w:snapToGrid w:val="0"/>
          <w:lang w:val="en-AU"/>
        </w:rPr>
        <w:t>.</w:t>
      </w:r>
    </w:p>
    <w:p w14:paraId="0E331CEF" w14:textId="77777777" w:rsidR="000D07EA" w:rsidRDefault="00BE7C89">
      <w:pPr>
        <w:pStyle w:val="Heading7"/>
        <w:rPr>
          <w:lang w:val="en-AU"/>
        </w:rPr>
      </w:pPr>
      <w:r>
        <w:rPr>
          <w:lang w:val="en-AU"/>
        </w:rPr>
        <w:t>Optus Service Providers' customers are excluded; and</w:t>
      </w:r>
    </w:p>
    <w:p w14:paraId="59E9A25D" w14:textId="77777777" w:rsidR="000D07EA" w:rsidRDefault="00BE7C89">
      <w:pPr>
        <w:pStyle w:val="Heading7"/>
        <w:rPr>
          <w:lang w:val="en-AU"/>
        </w:rPr>
      </w:pPr>
      <w:r>
        <w:rPr>
          <w:snapToGrid w:val="0"/>
          <w:lang w:val="en-AU"/>
        </w:rPr>
        <w:t xml:space="preserve">If </w:t>
      </w:r>
      <w:r>
        <w:rPr>
          <w:i/>
          <w:snapToGrid w:val="0"/>
          <w:lang w:val="en-AU"/>
        </w:rPr>
        <w:t xml:space="preserve">you </w:t>
      </w:r>
      <w:r>
        <w:rPr>
          <w:snapToGrid w:val="0"/>
          <w:lang w:val="en-AU"/>
        </w:rPr>
        <w:t xml:space="preserve">are an existing customer </w:t>
      </w:r>
      <w:r>
        <w:rPr>
          <w:i/>
          <w:snapToGrid w:val="0"/>
          <w:lang w:val="en-AU"/>
        </w:rPr>
        <w:t xml:space="preserve">you </w:t>
      </w:r>
      <w:r>
        <w:rPr>
          <w:snapToGrid w:val="0"/>
          <w:lang w:val="en-AU"/>
        </w:rPr>
        <w:t xml:space="preserve">may only transfer to the Business Timeless Plan with </w:t>
      </w:r>
      <w:r>
        <w:rPr>
          <w:i/>
          <w:snapToGrid w:val="0"/>
          <w:lang w:val="en-AU"/>
        </w:rPr>
        <w:t xml:space="preserve">our </w:t>
      </w:r>
      <w:r>
        <w:rPr>
          <w:snapToGrid w:val="0"/>
          <w:lang w:val="en-AU"/>
        </w:rPr>
        <w:t>approval</w:t>
      </w:r>
      <w:r>
        <w:rPr>
          <w:snapToGrid w:val="0"/>
          <w:sz w:val="16"/>
          <w:szCs w:val="16"/>
          <w:lang w:val="en-AU"/>
        </w:rPr>
        <w:t>.</w:t>
      </w:r>
    </w:p>
    <w:p w14:paraId="7306A3B2" w14:textId="77777777" w:rsidR="000D07EA" w:rsidRDefault="00BE7C89">
      <w:pPr>
        <w:pStyle w:val="Heading6"/>
        <w:ind w:left="0" w:firstLine="0"/>
        <w:rPr>
          <w:lang w:val="en-AU"/>
        </w:rPr>
      </w:pPr>
      <w:bookmarkStart w:id="520" w:name="_Toc397941198"/>
      <w:r>
        <w:rPr>
          <w:lang w:val="en-AU"/>
        </w:rPr>
        <w:t>Minimum Term</w:t>
      </w:r>
      <w:bookmarkEnd w:id="520"/>
    </w:p>
    <w:p w14:paraId="60C2E2AA" w14:textId="77777777" w:rsidR="000D07EA" w:rsidRDefault="00BE7C89">
      <w:pPr>
        <w:pStyle w:val="Heading7"/>
        <w:rPr>
          <w:lang w:val="en-AU"/>
        </w:rPr>
      </w:pPr>
      <w:r>
        <w:rPr>
          <w:i/>
          <w:lang w:val="en-AU"/>
        </w:rPr>
        <w:t>You</w:t>
      </w:r>
      <w:r>
        <w:rPr>
          <w:lang w:val="en-AU"/>
        </w:rPr>
        <w:t xml:space="preserve"> must agree to either a </w:t>
      </w:r>
      <w:r>
        <w:rPr>
          <w:i/>
          <w:lang w:val="en-AU"/>
        </w:rPr>
        <w:t>non-fixed length agreement</w:t>
      </w:r>
      <w:r>
        <w:rPr>
          <w:lang w:val="en-AU"/>
        </w:rPr>
        <w:t xml:space="preserve"> or a </w:t>
      </w:r>
      <w:r>
        <w:rPr>
          <w:i/>
          <w:lang w:val="en-AU"/>
        </w:rPr>
        <w:t>fixed length agreement</w:t>
      </w:r>
      <w:r>
        <w:rPr>
          <w:lang w:val="en-AU"/>
        </w:rPr>
        <w:t xml:space="preserve"> with a 12 month or 24 month minimum term.</w:t>
      </w:r>
    </w:p>
    <w:p w14:paraId="2F7E8F77" w14:textId="77777777" w:rsidR="000D07EA" w:rsidRDefault="00BE7C89">
      <w:pPr>
        <w:pStyle w:val="Heading7"/>
        <w:rPr>
          <w:lang w:val="en-AU"/>
        </w:rPr>
      </w:pPr>
      <w:r>
        <w:rPr>
          <w:i/>
          <w:lang w:val="en-AU"/>
        </w:rPr>
        <w:t xml:space="preserve">You </w:t>
      </w:r>
      <w:r>
        <w:rPr>
          <w:lang w:val="en-AU"/>
        </w:rPr>
        <w:t xml:space="preserve">may purchase a </w:t>
      </w:r>
      <w:r>
        <w:rPr>
          <w:i/>
          <w:lang w:val="en-AU"/>
        </w:rPr>
        <w:t xml:space="preserve">mobile phone </w:t>
      </w:r>
      <w:r>
        <w:rPr>
          <w:lang w:val="en-AU"/>
        </w:rPr>
        <w:t xml:space="preserve">with a 24 month </w:t>
      </w:r>
      <w:r>
        <w:rPr>
          <w:i/>
          <w:lang w:val="en-AU"/>
        </w:rPr>
        <w:t xml:space="preserve">equipment term </w:t>
      </w:r>
      <w:r>
        <w:rPr>
          <w:lang w:val="en-AU"/>
        </w:rPr>
        <w:t xml:space="preserve">under a </w:t>
      </w:r>
      <w:r>
        <w:rPr>
          <w:i/>
          <w:lang w:val="en-AU"/>
        </w:rPr>
        <w:t>mobile equipment payment plan</w:t>
      </w:r>
      <w:r>
        <w:rPr>
          <w:lang w:val="en-AU"/>
        </w:rPr>
        <w:t xml:space="preserve"> on a 24 month </w:t>
      </w:r>
      <w:r>
        <w:rPr>
          <w:i/>
          <w:lang w:val="en-AU"/>
        </w:rPr>
        <w:t>fixed length agreement</w:t>
      </w:r>
      <w:r>
        <w:rPr>
          <w:lang w:val="en-AU"/>
        </w:rPr>
        <w:t xml:space="preserve">. If </w:t>
      </w:r>
      <w:r>
        <w:rPr>
          <w:i/>
          <w:lang w:val="en-AU"/>
        </w:rPr>
        <w:t>you</w:t>
      </w:r>
      <w:r>
        <w:rPr>
          <w:lang w:val="en-AU"/>
        </w:rPr>
        <w:t xml:space="preserve"> agree to a 24 month </w:t>
      </w:r>
      <w:r>
        <w:rPr>
          <w:i/>
          <w:lang w:val="en-AU"/>
        </w:rPr>
        <w:t>fixed length agreement</w:t>
      </w:r>
      <w:r>
        <w:rPr>
          <w:lang w:val="en-AU"/>
        </w:rPr>
        <w:t xml:space="preserve"> the price of </w:t>
      </w:r>
      <w:r>
        <w:rPr>
          <w:i/>
          <w:lang w:val="en-AU"/>
        </w:rPr>
        <w:t>mobile phones</w:t>
      </w:r>
      <w:r>
        <w:rPr>
          <w:lang w:val="en-AU"/>
        </w:rPr>
        <w:t xml:space="preserve"> available is less than if </w:t>
      </w:r>
      <w:r>
        <w:rPr>
          <w:i/>
          <w:lang w:val="en-AU"/>
        </w:rPr>
        <w:t>you</w:t>
      </w:r>
      <w:r>
        <w:rPr>
          <w:lang w:val="en-AU"/>
        </w:rPr>
        <w:t xml:space="preserve"> only agree to a </w:t>
      </w:r>
      <w:r>
        <w:rPr>
          <w:i/>
          <w:lang w:val="en-AU"/>
        </w:rPr>
        <w:t xml:space="preserve">non-fixed length agreement. </w:t>
      </w:r>
    </w:p>
    <w:p w14:paraId="25529DCD" w14:textId="77777777" w:rsidR="000D07EA" w:rsidRDefault="00BE7C89">
      <w:pPr>
        <w:pStyle w:val="Heading7"/>
        <w:rPr>
          <w:lang w:val="en-AU"/>
        </w:rPr>
      </w:pPr>
      <w:r>
        <w:rPr>
          <w:i/>
          <w:lang w:val="en-AU"/>
        </w:rPr>
        <w:t xml:space="preserve">You </w:t>
      </w:r>
      <w:r>
        <w:rPr>
          <w:lang w:val="en-AU"/>
        </w:rPr>
        <w:t xml:space="preserve">may purchase a </w:t>
      </w:r>
      <w:r>
        <w:rPr>
          <w:i/>
          <w:lang w:val="en-AU"/>
        </w:rPr>
        <w:t xml:space="preserve">mobile phone </w:t>
      </w:r>
      <w:r>
        <w:rPr>
          <w:lang w:val="en-AU"/>
        </w:rPr>
        <w:t xml:space="preserve">with a 12 month </w:t>
      </w:r>
      <w:r>
        <w:rPr>
          <w:i/>
          <w:lang w:val="en-AU"/>
        </w:rPr>
        <w:t xml:space="preserve">equipment term </w:t>
      </w:r>
      <w:r>
        <w:rPr>
          <w:lang w:val="en-AU"/>
        </w:rPr>
        <w:t xml:space="preserve">under a </w:t>
      </w:r>
      <w:r>
        <w:rPr>
          <w:i/>
          <w:lang w:val="en-AU"/>
        </w:rPr>
        <w:t>mobile equipment payment plan</w:t>
      </w:r>
      <w:r>
        <w:rPr>
          <w:lang w:val="en-AU"/>
        </w:rPr>
        <w:t xml:space="preserve"> on a 12 month </w:t>
      </w:r>
      <w:r>
        <w:rPr>
          <w:i/>
          <w:lang w:val="en-AU"/>
        </w:rPr>
        <w:t>fixed length agreement</w:t>
      </w:r>
      <w:r>
        <w:rPr>
          <w:lang w:val="en-AU"/>
        </w:rPr>
        <w:t xml:space="preserve">. If </w:t>
      </w:r>
      <w:r>
        <w:rPr>
          <w:i/>
          <w:lang w:val="en-AU"/>
        </w:rPr>
        <w:t>you</w:t>
      </w:r>
      <w:r>
        <w:rPr>
          <w:lang w:val="en-AU"/>
        </w:rPr>
        <w:t xml:space="preserve"> agree to a 12 month </w:t>
      </w:r>
      <w:r>
        <w:rPr>
          <w:i/>
          <w:lang w:val="en-AU"/>
        </w:rPr>
        <w:t>fixed length agreement</w:t>
      </w:r>
      <w:r>
        <w:rPr>
          <w:lang w:val="en-AU"/>
        </w:rPr>
        <w:t xml:space="preserve"> the price of </w:t>
      </w:r>
      <w:r>
        <w:rPr>
          <w:i/>
          <w:lang w:val="en-AU"/>
        </w:rPr>
        <w:t>mobile phones</w:t>
      </w:r>
      <w:r>
        <w:rPr>
          <w:lang w:val="en-AU"/>
        </w:rPr>
        <w:t xml:space="preserve"> available is less than if </w:t>
      </w:r>
      <w:r>
        <w:rPr>
          <w:i/>
          <w:lang w:val="en-AU"/>
        </w:rPr>
        <w:t>you</w:t>
      </w:r>
      <w:r>
        <w:rPr>
          <w:lang w:val="en-AU"/>
        </w:rPr>
        <w:t xml:space="preserve"> only agree to a </w:t>
      </w:r>
      <w:r>
        <w:rPr>
          <w:i/>
          <w:lang w:val="en-AU"/>
        </w:rPr>
        <w:t xml:space="preserve">non-fixed length agreement. </w:t>
      </w:r>
    </w:p>
    <w:p w14:paraId="6D7C8594" w14:textId="77777777" w:rsidR="000D07EA" w:rsidRDefault="00BE7C89">
      <w:pPr>
        <w:pStyle w:val="Heading6"/>
        <w:ind w:left="0" w:firstLine="0"/>
        <w:rPr>
          <w:lang w:val="en-AU"/>
        </w:rPr>
      </w:pPr>
      <w:bookmarkStart w:id="521" w:name="_Toc397941199"/>
      <w:r>
        <w:rPr>
          <w:lang w:val="en-AU"/>
        </w:rPr>
        <w:t>What happens if you are no longer eligible</w:t>
      </w:r>
      <w:bookmarkEnd w:id="521"/>
    </w:p>
    <w:p w14:paraId="5D1D833D" w14:textId="77777777" w:rsidR="000D07EA" w:rsidRDefault="00BE7C89">
      <w:pPr>
        <w:pStyle w:val="BodyText"/>
        <w:ind w:left="720"/>
        <w:rPr>
          <w:lang w:val="en-AU"/>
        </w:rPr>
      </w:pPr>
      <w:r>
        <w:rPr>
          <w:lang w:val="en-AU"/>
        </w:rPr>
        <w:lastRenderedPageBreak/>
        <w:t xml:space="preserve">If </w:t>
      </w:r>
      <w:r>
        <w:rPr>
          <w:i/>
          <w:lang w:val="en-AU"/>
        </w:rPr>
        <w:t>you</w:t>
      </w:r>
      <w:r>
        <w:rPr>
          <w:lang w:val="en-AU"/>
        </w:rPr>
        <w:t xml:space="preserve"> are no longer classified as a </w:t>
      </w:r>
      <w:r>
        <w:rPr>
          <w:i/>
          <w:lang w:val="en-AU"/>
        </w:rPr>
        <w:t>small and medium business</w:t>
      </w:r>
      <w:r>
        <w:rPr>
          <w:lang w:val="en-AU"/>
        </w:rPr>
        <w:t xml:space="preserve"> we may at our discretion change </w:t>
      </w:r>
      <w:r>
        <w:rPr>
          <w:i/>
          <w:lang w:val="en-AU"/>
        </w:rPr>
        <w:t>you</w:t>
      </w:r>
      <w:r>
        <w:rPr>
          <w:lang w:val="en-AU"/>
        </w:rPr>
        <w:t xml:space="preserve">r </w:t>
      </w:r>
      <w:r>
        <w:rPr>
          <w:i/>
          <w:lang w:val="en-AU"/>
        </w:rPr>
        <w:t xml:space="preserve">Optus Mobile Digital Service </w:t>
      </w:r>
      <w:r>
        <w:rPr>
          <w:lang w:val="en-AU"/>
        </w:rPr>
        <w:t xml:space="preserve">to an eligible plan although other service options may be available to </w:t>
      </w:r>
      <w:r>
        <w:rPr>
          <w:i/>
          <w:lang w:val="en-AU"/>
        </w:rPr>
        <w:t xml:space="preserve">you </w:t>
      </w:r>
      <w:r>
        <w:rPr>
          <w:lang w:val="en-AU"/>
        </w:rPr>
        <w:t xml:space="preserve">and </w:t>
      </w:r>
      <w:r>
        <w:rPr>
          <w:i/>
          <w:lang w:val="en-AU"/>
        </w:rPr>
        <w:t>you</w:t>
      </w:r>
      <w:r>
        <w:rPr>
          <w:lang w:val="en-AU"/>
        </w:rPr>
        <w:t xml:space="preserve"> may have to pay </w:t>
      </w:r>
      <w:r>
        <w:rPr>
          <w:i/>
          <w:lang w:val="en-AU"/>
        </w:rPr>
        <w:t>us</w:t>
      </w:r>
      <w:r>
        <w:rPr>
          <w:lang w:val="en-AU"/>
        </w:rPr>
        <w:t xml:space="preserve"> a cancellation fee</w:t>
      </w:r>
      <w:r>
        <w:rPr>
          <w:i/>
          <w:lang w:val="en-AU"/>
        </w:rPr>
        <w:t>.</w:t>
      </w:r>
    </w:p>
    <w:p w14:paraId="50409A65" w14:textId="77777777" w:rsidR="000D07EA" w:rsidRDefault="00BE7C89">
      <w:pPr>
        <w:pStyle w:val="Heading6"/>
        <w:ind w:left="0" w:firstLine="0"/>
        <w:rPr>
          <w:lang w:val="en-AU"/>
        </w:rPr>
      </w:pPr>
      <w:bookmarkStart w:id="522" w:name="_Toc397941200"/>
      <w:r>
        <w:rPr>
          <w:lang w:val="en-AU"/>
        </w:rPr>
        <w:t xml:space="preserve">What </w:t>
      </w:r>
      <w:r>
        <w:rPr>
          <w:i/>
          <w:lang w:val="en-AU"/>
        </w:rPr>
        <w:t>you</w:t>
      </w:r>
      <w:r>
        <w:rPr>
          <w:lang w:val="en-AU"/>
        </w:rPr>
        <w:t xml:space="preserve"> have to pay </w:t>
      </w:r>
      <w:r>
        <w:rPr>
          <w:i/>
          <w:lang w:val="en-AU"/>
        </w:rPr>
        <w:t>us</w:t>
      </w:r>
      <w:bookmarkEnd w:id="522"/>
    </w:p>
    <w:p w14:paraId="596FE95C" w14:textId="77777777" w:rsidR="000D07EA" w:rsidRDefault="00BE7C89">
      <w:pPr>
        <w:pStyle w:val="Heading7"/>
        <w:rPr>
          <w:lang w:val="en-AU"/>
        </w:rPr>
      </w:pPr>
      <w:r>
        <w:rPr>
          <w:lang w:val="en-AU"/>
        </w:rPr>
        <w:t xml:space="preserve">Subject to paragraphs below </w:t>
      </w:r>
      <w:r>
        <w:rPr>
          <w:i/>
          <w:lang w:val="en-AU"/>
        </w:rPr>
        <w:t xml:space="preserve">you </w:t>
      </w:r>
      <w:r>
        <w:rPr>
          <w:lang w:val="en-AU"/>
        </w:rPr>
        <w:t xml:space="preserve">must pay </w:t>
      </w:r>
      <w:r>
        <w:rPr>
          <w:i/>
          <w:lang w:val="en-AU"/>
        </w:rPr>
        <w:t xml:space="preserve">us </w:t>
      </w:r>
      <w:r>
        <w:rPr>
          <w:lang w:val="en-AU"/>
        </w:rPr>
        <w:t xml:space="preserve">for use of the </w:t>
      </w:r>
      <w:r>
        <w:rPr>
          <w:i/>
          <w:lang w:val="en-AU"/>
        </w:rPr>
        <w:t xml:space="preserve">service </w:t>
      </w:r>
      <w:r>
        <w:rPr>
          <w:lang w:val="en-AU"/>
        </w:rPr>
        <w:t xml:space="preserve">at the rates set out in </w:t>
      </w:r>
      <w:hyperlink r:id="rId357" w:history="1">
        <w:r>
          <w:rPr>
            <w:rStyle w:val="Hyperlink"/>
            <w:lang w:val="en-AU"/>
          </w:rPr>
          <w:t>Section 1</w:t>
        </w:r>
      </w:hyperlink>
      <w:r>
        <w:rPr>
          <w:lang w:val="en-AU"/>
        </w:rPr>
        <w:t xml:space="preserve"> of this </w:t>
      </w:r>
      <w:r>
        <w:rPr>
          <w:i/>
          <w:lang w:val="en-AU"/>
        </w:rPr>
        <w:t xml:space="preserve">standard pricing table </w:t>
      </w:r>
      <w:r>
        <w:rPr>
          <w:lang w:val="en-AU"/>
        </w:rPr>
        <w:t xml:space="preserve">and for </w:t>
      </w:r>
      <w:r>
        <w:rPr>
          <w:i/>
          <w:lang w:val="en-AU"/>
        </w:rPr>
        <w:t xml:space="preserve">value added service features </w:t>
      </w:r>
      <w:r>
        <w:rPr>
          <w:lang w:val="en-AU"/>
        </w:rPr>
        <w:t xml:space="preserve">at the rates set out in </w:t>
      </w:r>
      <w:hyperlink r:id="rId358" w:history="1">
        <w:r>
          <w:rPr>
            <w:rStyle w:val="Hyperlink"/>
            <w:lang w:val="en-AU"/>
          </w:rPr>
          <w:t>Appendix Y</w:t>
        </w:r>
      </w:hyperlink>
      <w:r>
        <w:rPr>
          <w:lang w:val="en-AU"/>
        </w:rPr>
        <w:t xml:space="preserve"> Value Added Service Features</w:t>
      </w:r>
      <w:r>
        <w:rPr>
          <w:i/>
          <w:lang w:val="en-AU"/>
        </w:rPr>
        <w:t>.</w:t>
      </w:r>
      <w:r>
        <w:rPr>
          <w:lang w:val="en-AU"/>
        </w:rPr>
        <w:t xml:space="preserve"> </w:t>
      </w:r>
    </w:p>
    <w:p w14:paraId="35585201" w14:textId="77777777" w:rsidR="000D07EA" w:rsidRDefault="00BE7C89">
      <w:pPr>
        <w:pStyle w:val="Heading7"/>
        <w:rPr>
          <w:lang w:val="en-AU"/>
        </w:rPr>
      </w:pPr>
      <w:r>
        <w:rPr>
          <w:lang w:val="en-AU"/>
        </w:rPr>
        <w:t xml:space="preserve">If there is a </w:t>
      </w:r>
      <w:r>
        <w:rPr>
          <w:i/>
          <w:lang w:val="en-AU"/>
        </w:rPr>
        <w:t xml:space="preserve">flagfall </w:t>
      </w:r>
      <w:r>
        <w:rPr>
          <w:lang w:val="en-AU"/>
        </w:rPr>
        <w:t xml:space="preserve">or call connection charge for a particular call type, the charge for these calls is the </w:t>
      </w:r>
      <w:r>
        <w:rPr>
          <w:i/>
          <w:lang w:val="en-AU"/>
        </w:rPr>
        <w:t xml:space="preserve">flagfall </w:t>
      </w:r>
      <w:r>
        <w:rPr>
          <w:lang w:val="en-AU"/>
        </w:rPr>
        <w:t xml:space="preserve">charge plus the relevant rate for the call multiplied by the duration of the call. </w:t>
      </w:r>
    </w:p>
    <w:p w14:paraId="184EB334" w14:textId="77777777" w:rsidR="000D07EA" w:rsidRDefault="00BE7C89">
      <w:pPr>
        <w:pStyle w:val="Heading7"/>
        <w:rPr>
          <w:b/>
          <w:lang w:val="en-AU"/>
        </w:rPr>
      </w:pPr>
      <w:r>
        <w:rPr>
          <w:b/>
          <w:lang w:val="en-AU"/>
        </w:rPr>
        <w:t>Minimum Monthly Charge</w:t>
      </w:r>
    </w:p>
    <w:p w14:paraId="1E3D8645" w14:textId="77777777" w:rsidR="000D07EA" w:rsidRDefault="00BE7C89">
      <w:pPr>
        <w:pStyle w:val="Heading8"/>
        <w:rPr>
          <w:lang w:val="en-AU"/>
        </w:rPr>
      </w:pPr>
      <w:r>
        <w:rPr>
          <w:lang w:val="en-AU"/>
        </w:rPr>
        <w:t xml:space="preserve">Each Business Timeless Plan has a Minimum Monthly Charge amount that </w:t>
      </w:r>
      <w:r>
        <w:rPr>
          <w:i/>
          <w:lang w:val="en-AU"/>
        </w:rPr>
        <w:t xml:space="preserve">you </w:t>
      </w:r>
      <w:r>
        <w:rPr>
          <w:lang w:val="en-AU"/>
        </w:rPr>
        <w:t xml:space="preserve">must pay us each month. </w:t>
      </w:r>
    </w:p>
    <w:p w14:paraId="3954B745" w14:textId="77777777" w:rsidR="000D07EA" w:rsidRDefault="00BE7C89">
      <w:pPr>
        <w:pStyle w:val="Heading8"/>
        <w:rPr>
          <w:lang w:val="en-AU"/>
        </w:rPr>
      </w:pPr>
      <w:r>
        <w:rPr>
          <w:lang w:val="en-AU"/>
        </w:rPr>
        <w:t>The amount of the Minimum Monthly Charge for each Business Timeless Plan is set out in Table 3A below.</w:t>
      </w:r>
    </w:p>
    <w:p w14:paraId="0207A05F" w14:textId="77777777" w:rsidR="000D07EA" w:rsidRDefault="00BE7C89">
      <w:pPr>
        <w:pStyle w:val="Heading8"/>
        <w:rPr>
          <w:lang w:val="en-AU"/>
        </w:rPr>
      </w:pPr>
      <w:r>
        <w:rPr>
          <w:i/>
          <w:lang w:val="en-AU"/>
        </w:rPr>
        <w:t>You</w:t>
      </w:r>
      <w:r>
        <w:rPr>
          <w:lang w:val="en-AU"/>
        </w:rPr>
        <w:t xml:space="preserve"> must pay </w:t>
      </w:r>
      <w:r>
        <w:rPr>
          <w:i/>
          <w:lang w:val="en-AU"/>
        </w:rPr>
        <w:t>us</w:t>
      </w:r>
      <w:r>
        <w:rPr>
          <w:lang w:val="en-AU"/>
        </w:rPr>
        <w:t xml:space="preserve"> for any calls or usages that are not eligible calls or usage.</w:t>
      </w:r>
    </w:p>
    <w:p w14:paraId="79A008DE" w14:textId="77777777" w:rsidR="000D07EA" w:rsidRDefault="00BE7C89">
      <w:pPr>
        <w:pStyle w:val="Heading7"/>
        <w:rPr>
          <w:b/>
          <w:lang w:val="en-AU"/>
        </w:rPr>
      </w:pPr>
      <w:r>
        <w:rPr>
          <w:b/>
          <w:lang w:val="en-AU"/>
        </w:rPr>
        <w:t xml:space="preserve">Unlimited Call Offer </w:t>
      </w:r>
    </w:p>
    <w:p w14:paraId="0B811AE0" w14:textId="77777777" w:rsidR="000D07EA" w:rsidRDefault="00BE7C89">
      <w:pPr>
        <w:pStyle w:val="Heading8"/>
        <w:rPr>
          <w:lang w:val="en-AU"/>
        </w:rPr>
      </w:pPr>
      <w:r>
        <w:rPr>
          <w:lang w:val="en-AU"/>
        </w:rPr>
        <w:t>Under the Business Timeless Plans, customers will receive Unlimited Standard National SMS &amp; MMS, Voice &amp; Video Calls to Australian fixed lines and Australian GSM mobiles (excluding Pivotel), 13/1300/1800 calls and Voicemail deposits and retrievals, to use within Australia.</w:t>
      </w:r>
    </w:p>
    <w:p w14:paraId="72F0AEE8" w14:textId="77777777" w:rsidR="000D07EA" w:rsidRDefault="00BE7C89">
      <w:pPr>
        <w:pStyle w:val="Heading8"/>
        <w:rPr>
          <w:lang w:val="en-AU"/>
        </w:rPr>
      </w:pPr>
      <w:r>
        <w:rPr>
          <w:lang w:val="en-AU"/>
        </w:rPr>
        <w:t xml:space="preserve">The call, message types and usage that are eligible for each Business Timeless Plan are defined in Table 1A below. </w:t>
      </w:r>
    </w:p>
    <w:p w14:paraId="1672E894" w14:textId="77777777" w:rsidR="000D07EA" w:rsidRDefault="00BE7C89">
      <w:pPr>
        <w:pStyle w:val="Heading8"/>
        <w:rPr>
          <w:lang w:val="en-AU"/>
        </w:rPr>
      </w:pPr>
      <w:r>
        <w:rPr>
          <w:i/>
          <w:lang w:val="en-AU"/>
        </w:rPr>
        <w:t xml:space="preserve">You </w:t>
      </w:r>
      <w:r>
        <w:rPr>
          <w:lang w:val="en-AU"/>
        </w:rPr>
        <w:t>must pay for any calls, messages or usage that are not eligible calls or message types.</w:t>
      </w:r>
    </w:p>
    <w:p w14:paraId="515137A0" w14:textId="77777777" w:rsidR="000D07EA" w:rsidRDefault="00BE7C89">
      <w:pPr>
        <w:pStyle w:val="Heading8"/>
        <w:rPr>
          <w:lang w:val="en-AU"/>
        </w:rPr>
      </w:pPr>
      <w:r>
        <w:rPr>
          <w:snapToGrid w:val="0"/>
          <w:lang w:val="en-AU"/>
        </w:rPr>
        <w:t>Any unused portion of the plan expires at the end of each month. This means that it does not roll over into following month.</w:t>
      </w:r>
    </w:p>
    <w:p w14:paraId="33CFE85E" w14:textId="77777777" w:rsidR="000D07EA" w:rsidRDefault="00BE7C89">
      <w:pPr>
        <w:pStyle w:val="Heading7"/>
        <w:rPr>
          <w:b/>
          <w:snapToGrid w:val="0"/>
          <w:lang w:val="en-AU"/>
        </w:rPr>
      </w:pPr>
      <w:r>
        <w:rPr>
          <w:b/>
          <w:snapToGrid w:val="0"/>
          <w:lang w:val="en-AU"/>
        </w:rPr>
        <w:t>Unlimited mobile access to Facebook®, Twitter, LinkedIn, Ebay, Four Square, MySpace</w:t>
      </w:r>
    </w:p>
    <w:p w14:paraId="4A121F90" w14:textId="77777777" w:rsidR="000D07EA" w:rsidRDefault="00BE7C89">
      <w:pPr>
        <w:pStyle w:val="Heading8"/>
        <w:rPr>
          <w:snapToGrid w:val="0"/>
          <w:lang w:val="en-AU"/>
        </w:rPr>
      </w:pPr>
      <w:r>
        <w:rPr>
          <w:lang w:val="en-AU"/>
        </w:rPr>
        <w:t xml:space="preserve">Under the Business Timeless Plans, </w:t>
      </w:r>
      <w:r>
        <w:rPr>
          <w:i/>
          <w:lang w:val="en-AU"/>
        </w:rPr>
        <w:t>you</w:t>
      </w:r>
      <w:r>
        <w:rPr>
          <w:lang w:val="en-AU"/>
        </w:rPr>
        <w:t xml:space="preserve"> will receive unlimited mobile access to </w:t>
      </w:r>
      <w:r>
        <w:rPr>
          <w:snapToGrid w:val="0"/>
          <w:lang w:val="en-AU"/>
        </w:rPr>
        <w:t>Facebook®, Twitter, LinkedIn, Ebay, Four Square, MySpace within Australia.</w:t>
      </w:r>
    </w:p>
    <w:p w14:paraId="3451A0BE" w14:textId="77777777" w:rsidR="000D07EA" w:rsidRDefault="00BE7C89">
      <w:pPr>
        <w:pStyle w:val="Heading8"/>
        <w:rPr>
          <w:lang w:val="en-AU"/>
        </w:rPr>
      </w:pPr>
      <w:r>
        <w:rPr>
          <w:lang w:val="en-AU"/>
        </w:rPr>
        <w:t>These features are only available to you if your handset is compatible with the service.</w:t>
      </w:r>
    </w:p>
    <w:p w14:paraId="3A90732A" w14:textId="77777777" w:rsidR="000D07EA" w:rsidRDefault="00BE7C89">
      <w:pPr>
        <w:pStyle w:val="Heading8"/>
        <w:rPr>
          <w:lang w:val="en-AU"/>
        </w:rPr>
      </w:pPr>
      <w:r>
        <w:rPr>
          <w:lang w:val="en-AU"/>
        </w:rPr>
        <w:t>Use of Unlimited Facebook®, Twitter, LinkedIn, Ebay, Four Square, and MySpace is for personal or business use. Please refer to</w:t>
      </w:r>
      <w:r w:rsidR="00F84E53">
        <w:rPr>
          <w:lang w:val="en-AU"/>
        </w:rPr>
        <w:t xml:space="preserve"> </w:t>
      </w:r>
      <w:hyperlink r:id="rId359" w:history="1">
        <w:r w:rsidR="00F84E53">
          <w:rPr>
            <w:rStyle w:val="Hyperlink"/>
            <w:i/>
          </w:rPr>
          <w:t>Appendix S</w:t>
        </w:r>
      </w:hyperlink>
      <w:r>
        <w:rPr>
          <w:lang w:val="en-AU"/>
        </w:rPr>
        <w:t xml:space="preserve"> for further details.</w:t>
      </w:r>
    </w:p>
    <w:p w14:paraId="529ED970" w14:textId="77777777" w:rsidR="000D07EA" w:rsidRDefault="00BE7C89">
      <w:pPr>
        <w:pStyle w:val="Heading7"/>
        <w:rPr>
          <w:b/>
          <w:lang w:val="en-AU"/>
        </w:rPr>
      </w:pPr>
      <w:r>
        <w:rPr>
          <w:b/>
          <w:lang w:val="en-AU"/>
        </w:rPr>
        <w:t>Included Mobile Internet Data Value or Unlimited BlackBerry POP3 Email and Browsing through the BlackBerry Browser</w:t>
      </w:r>
    </w:p>
    <w:p w14:paraId="33088CF5" w14:textId="77777777" w:rsidR="000D07EA" w:rsidRDefault="00BE7C89">
      <w:pPr>
        <w:pStyle w:val="Heading8"/>
        <w:rPr>
          <w:lang w:val="en-AU"/>
        </w:rPr>
      </w:pPr>
      <w:r>
        <w:rPr>
          <w:lang w:val="en-AU"/>
        </w:rPr>
        <w:t xml:space="preserve">Under the Business Timeless Plans, </w:t>
      </w:r>
      <w:r>
        <w:rPr>
          <w:i/>
          <w:lang w:val="en-AU"/>
        </w:rPr>
        <w:t>you</w:t>
      </w:r>
      <w:r>
        <w:rPr>
          <w:lang w:val="en-AU"/>
        </w:rPr>
        <w:t xml:space="preserve"> can choose from </w:t>
      </w:r>
    </w:p>
    <w:p w14:paraId="6A1462BA" w14:textId="77777777" w:rsidR="000D07EA" w:rsidRDefault="00BE7C89">
      <w:pPr>
        <w:pStyle w:val="Heading9"/>
        <w:rPr>
          <w:lang w:val="en-AU"/>
        </w:rPr>
      </w:pPr>
      <w:r>
        <w:rPr>
          <w:lang w:val="en-AU"/>
        </w:rPr>
        <w:t>Included Mobile Internet Data Value; or</w:t>
      </w:r>
    </w:p>
    <w:p w14:paraId="2B1C5D9A" w14:textId="77777777" w:rsidR="000D07EA" w:rsidRDefault="00BE7C89">
      <w:pPr>
        <w:pStyle w:val="Heading9"/>
        <w:rPr>
          <w:lang w:val="en-AU"/>
        </w:rPr>
      </w:pPr>
      <w:r>
        <w:rPr>
          <w:lang w:val="en-AU"/>
        </w:rPr>
        <w:t>Unlimited BlackBerry POP3 Email and Browsing through the BlackBerry Browser to use within Australia.</w:t>
      </w:r>
    </w:p>
    <w:p w14:paraId="7A3FA33A" w14:textId="77777777" w:rsidR="000D07EA" w:rsidRDefault="00BE7C89">
      <w:pPr>
        <w:pStyle w:val="BodyText"/>
        <w:ind w:left="2160"/>
        <w:rPr>
          <w:lang w:val="en-AU"/>
        </w:rPr>
      </w:pPr>
      <w:r>
        <w:rPr>
          <w:lang w:val="en-AU"/>
        </w:rPr>
        <w:t xml:space="preserve">If </w:t>
      </w:r>
      <w:r>
        <w:rPr>
          <w:i/>
          <w:lang w:val="en-AU"/>
        </w:rPr>
        <w:t>you</w:t>
      </w:r>
      <w:r>
        <w:rPr>
          <w:lang w:val="en-AU"/>
        </w:rPr>
        <w:t xml:space="preserve"> select the $129 Business Timeless or $129 Business Timeless (Premium H/set) plan, your 10GB or 2GB of Mobile Internet Data Value can be shared with a Business BMB service. In addition, regardless of which option you choose, you will also get bonus </w:t>
      </w:r>
      <w:r>
        <w:rPr>
          <w:b/>
          <w:lang w:val="en-AU"/>
        </w:rPr>
        <w:t>Unlimited Mobile Internet Data</w:t>
      </w:r>
      <w:r>
        <w:rPr>
          <w:lang w:val="en-AU"/>
        </w:rPr>
        <w:t xml:space="preserve"> to use from your mobile only. The Unlimited Mobile </w:t>
      </w:r>
      <w:r>
        <w:rPr>
          <w:lang w:val="en-AU"/>
        </w:rPr>
        <w:lastRenderedPageBreak/>
        <w:t xml:space="preserve">Internet Data cannot be shared with the Business BMB service or be used as mobile as a modem. </w:t>
      </w:r>
    </w:p>
    <w:p w14:paraId="7665D071" w14:textId="77777777" w:rsidR="000D07EA" w:rsidRDefault="00BE7C89">
      <w:pPr>
        <w:pStyle w:val="Heading8"/>
        <w:rPr>
          <w:lang w:val="en-AU"/>
        </w:rPr>
      </w:pPr>
      <w:r>
        <w:rPr>
          <w:lang w:val="en-AU"/>
        </w:rPr>
        <w:t xml:space="preserve">If </w:t>
      </w:r>
      <w:r>
        <w:rPr>
          <w:i/>
          <w:lang w:val="en-AU"/>
        </w:rPr>
        <w:t>you</w:t>
      </w:r>
      <w:r>
        <w:rPr>
          <w:lang w:val="en-AU"/>
        </w:rPr>
        <w:t xml:space="preserve"> select the included Mobile Internet Data Value option:</w:t>
      </w:r>
    </w:p>
    <w:p w14:paraId="3AFA804D" w14:textId="77777777" w:rsidR="000D07EA" w:rsidRDefault="00BE7C89">
      <w:pPr>
        <w:pStyle w:val="Heading9"/>
        <w:rPr>
          <w:lang w:val="en-AU"/>
        </w:rPr>
      </w:pPr>
      <w:r>
        <w:rPr>
          <w:lang w:val="en-AU"/>
        </w:rPr>
        <w:t>The amount of the "Mobile Internet Data Value" included, to use within Australia, for each Business Timeless Plan is set out in Table 3A below.</w:t>
      </w:r>
    </w:p>
    <w:p w14:paraId="3718F08D" w14:textId="77777777" w:rsidR="000D07EA" w:rsidRDefault="00BE7C89">
      <w:pPr>
        <w:pStyle w:val="Heading9"/>
        <w:rPr>
          <w:lang w:val="en-AU"/>
        </w:rPr>
      </w:pPr>
      <w:r>
        <w:rPr>
          <w:lang w:val="en-AU"/>
        </w:rPr>
        <w:t xml:space="preserve">The usage types that are </w:t>
      </w:r>
      <w:r>
        <w:rPr>
          <w:b/>
          <w:lang w:val="en-AU"/>
        </w:rPr>
        <w:t>'eligible data'</w:t>
      </w:r>
      <w:r>
        <w:rPr>
          <w:lang w:val="en-AU"/>
        </w:rPr>
        <w:t xml:space="preserve"> for each Business Timeless Plan under the included Mobile Internet Data Value are defined in Table 2A below.</w:t>
      </w:r>
    </w:p>
    <w:p w14:paraId="52D11E40" w14:textId="77777777" w:rsidR="000D07EA" w:rsidRDefault="00BE7C89">
      <w:pPr>
        <w:pStyle w:val="Heading9"/>
        <w:rPr>
          <w:lang w:val="en-AU"/>
        </w:rPr>
      </w:pPr>
      <w:r>
        <w:rPr>
          <w:lang w:val="en-AU"/>
        </w:rPr>
        <w:t>The included data of the Business Timeless plan can be shared with an eligible Business Mobile Broadband service and can only be used within Australia.</w:t>
      </w:r>
    </w:p>
    <w:p w14:paraId="3B824C9A" w14:textId="77777777" w:rsidR="000D07EA" w:rsidRDefault="00BE7C89">
      <w:pPr>
        <w:pStyle w:val="Heading9"/>
        <w:rPr>
          <w:lang w:val="en-AU"/>
        </w:rPr>
      </w:pPr>
      <w:r>
        <w:rPr>
          <w:i/>
          <w:lang w:val="en-AU"/>
        </w:rPr>
        <w:t xml:space="preserve">You </w:t>
      </w:r>
      <w:r>
        <w:rPr>
          <w:lang w:val="en-AU"/>
        </w:rPr>
        <w:t xml:space="preserve">must pay </w:t>
      </w:r>
      <w:r>
        <w:rPr>
          <w:i/>
          <w:lang w:val="en-AU"/>
        </w:rPr>
        <w:t xml:space="preserve">us </w:t>
      </w:r>
      <w:r>
        <w:rPr>
          <w:lang w:val="en-AU"/>
        </w:rPr>
        <w:t>excess usage charges for data used beyond the available "Mobile Internet Data Value" as shown in Table 3A below.</w:t>
      </w:r>
    </w:p>
    <w:p w14:paraId="10C17123" w14:textId="77777777" w:rsidR="000D07EA" w:rsidRDefault="00BE7C89">
      <w:pPr>
        <w:pStyle w:val="Heading9"/>
        <w:rPr>
          <w:lang w:val="en-AU"/>
        </w:rPr>
      </w:pPr>
      <w:r>
        <w:rPr>
          <w:snapToGrid w:val="0"/>
          <w:lang w:val="en-AU"/>
        </w:rPr>
        <w:t>Any unused portion of the "</w:t>
      </w:r>
      <w:r>
        <w:rPr>
          <w:lang w:val="en-AU"/>
        </w:rPr>
        <w:t>Mobile Internet Data Value</w:t>
      </w:r>
      <w:r>
        <w:rPr>
          <w:snapToGrid w:val="0"/>
          <w:lang w:val="en-AU"/>
        </w:rPr>
        <w:t>" expires at the end of each month and does not rollover into the following month.</w:t>
      </w:r>
    </w:p>
    <w:p w14:paraId="681E003D" w14:textId="77777777" w:rsidR="000D07EA" w:rsidRDefault="00BE7C89">
      <w:pPr>
        <w:pStyle w:val="Heading8"/>
        <w:rPr>
          <w:lang w:val="en-AU"/>
        </w:rPr>
      </w:pPr>
      <w:r>
        <w:rPr>
          <w:lang w:val="en-AU"/>
        </w:rPr>
        <w:t xml:space="preserve">If </w:t>
      </w:r>
      <w:r>
        <w:rPr>
          <w:i/>
          <w:lang w:val="en-AU"/>
        </w:rPr>
        <w:t>you</w:t>
      </w:r>
      <w:r>
        <w:rPr>
          <w:lang w:val="en-AU"/>
        </w:rPr>
        <w:t xml:space="preserve"> select the Unlimited BlackBerry POP3 Email and Browsing through the BlackBerry Browser option:</w:t>
      </w:r>
    </w:p>
    <w:p w14:paraId="61FC0AA9" w14:textId="77777777" w:rsidR="000D07EA" w:rsidRDefault="00BE7C89">
      <w:pPr>
        <w:pStyle w:val="Heading9"/>
        <w:rPr>
          <w:lang w:val="en-AU" w:eastAsia="en-AU"/>
        </w:rPr>
      </w:pPr>
      <w:r>
        <w:rPr>
          <w:i/>
          <w:lang w:val="en-AU" w:eastAsia="en-AU"/>
        </w:rPr>
        <w:t>You</w:t>
      </w:r>
      <w:r>
        <w:rPr>
          <w:lang w:val="en-AU" w:eastAsia="en-AU"/>
        </w:rPr>
        <w:t xml:space="preserve"> will only receive unlimited BlackBerry POP3 Email and Browsing through the BlackBerry Internet Browser or the BlackBerry Browser and use of applications from Optus and third party applications that require a BlackBerry Data connection, within Australia.</w:t>
      </w:r>
    </w:p>
    <w:p w14:paraId="1D31E1D1" w14:textId="77777777" w:rsidR="000D07EA" w:rsidRDefault="00BE7C89">
      <w:pPr>
        <w:pStyle w:val="Heading9"/>
        <w:rPr>
          <w:lang w:val="en-AU"/>
        </w:rPr>
      </w:pPr>
      <w:r>
        <w:rPr>
          <w:i/>
          <w:lang w:val="en-AU"/>
        </w:rPr>
        <w:t>You</w:t>
      </w:r>
      <w:r>
        <w:rPr>
          <w:lang w:val="en-AU"/>
        </w:rPr>
        <w:t xml:space="preserve"> will also receive an amount of "Mobile Internet Data Value" which is set out in Table 3A below.</w:t>
      </w:r>
    </w:p>
    <w:p w14:paraId="1DB0E266" w14:textId="77777777" w:rsidR="000D07EA" w:rsidRDefault="00BE7C89">
      <w:pPr>
        <w:pStyle w:val="Heading9"/>
        <w:rPr>
          <w:lang w:val="en-AU"/>
        </w:rPr>
      </w:pPr>
      <w:r>
        <w:rPr>
          <w:lang w:val="en-AU"/>
        </w:rPr>
        <w:t>The included data of the Business Complete plan can be shared with an eligible Business Mobile Broadband service.</w:t>
      </w:r>
    </w:p>
    <w:p w14:paraId="25EA23DF" w14:textId="77777777" w:rsidR="000D07EA" w:rsidRDefault="00BE7C89">
      <w:pPr>
        <w:pStyle w:val="Heading9"/>
        <w:rPr>
          <w:lang w:val="en-AU"/>
        </w:rPr>
      </w:pPr>
      <w:r>
        <w:rPr>
          <w:i/>
          <w:lang w:val="en-AU"/>
        </w:rPr>
        <w:t>You</w:t>
      </w:r>
      <w:r>
        <w:rPr>
          <w:lang w:val="en-AU"/>
        </w:rPr>
        <w:t xml:space="preserve"> must pay </w:t>
      </w:r>
      <w:r>
        <w:rPr>
          <w:i/>
          <w:lang w:val="en-AU"/>
        </w:rPr>
        <w:t>us</w:t>
      </w:r>
      <w:r>
        <w:rPr>
          <w:lang w:val="en-AU"/>
        </w:rPr>
        <w:t xml:space="preserve"> excess usage charges for data made beyond the available "Mobile Internet Data Value".</w:t>
      </w:r>
    </w:p>
    <w:p w14:paraId="226EDA0F" w14:textId="77777777" w:rsidR="000D07EA" w:rsidRDefault="00BE7C89">
      <w:pPr>
        <w:pStyle w:val="Heading9"/>
        <w:rPr>
          <w:lang w:val="en-AU"/>
        </w:rPr>
      </w:pPr>
      <w:r>
        <w:rPr>
          <w:lang w:val="en-AU"/>
        </w:rPr>
        <w:t>Any unused portion of the "Mobile Internet Data Value" expires at the end of each month and does not roll over into the following month.</w:t>
      </w:r>
    </w:p>
    <w:p w14:paraId="11B04632" w14:textId="77777777" w:rsidR="000D07EA" w:rsidRDefault="00BE7C89">
      <w:pPr>
        <w:pStyle w:val="Heading9"/>
        <w:rPr>
          <w:lang w:val="en-AU"/>
        </w:rPr>
      </w:pPr>
      <w:r>
        <w:rPr>
          <w:lang w:val="en-AU"/>
        </w:rPr>
        <w:t>The usage types that are '</w:t>
      </w:r>
      <w:r>
        <w:rPr>
          <w:b/>
          <w:lang w:val="en-AU"/>
        </w:rPr>
        <w:t>eligible data'</w:t>
      </w:r>
      <w:r>
        <w:rPr>
          <w:lang w:val="en-AU"/>
        </w:rPr>
        <w:t xml:space="preserve"> for each Business Timeless Plan under the Unlimited BlackBerry POP3 Email and Browsing through the BlackBerry Browser are defined in Table 2B below.</w:t>
      </w:r>
    </w:p>
    <w:p w14:paraId="3281B05A" w14:textId="77777777" w:rsidR="000D07EA" w:rsidRDefault="00BE7C89">
      <w:pPr>
        <w:pStyle w:val="Heading9"/>
        <w:rPr>
          <w:lang w:val="en-AU"/>
        </w:rPr>
      </w:pPr>
      <w:r>
        <w:rPr>
          <w:lang w:val="en-AU"/>
        </w:rPr>
        <w:t xml:space="preserve">Use of Unlimited BlackBerry POP3 Email is for personal or business use. </w:t>
      </w:r>
      <w:r>
        <w:rPr>
          <w:rFonts w:cs="Arial"/>
          <w:bCs/>
          <w:szCs w:val="20"/>
        </w:rPr>
        <w:t>Fair Go Policy (</w:t>
      </w:r>
      <w:hyperlink r:id="rId360" w:history="1">
        <w:r>
          <w:rPr>
            <w:rStyle w:val="Hyperlink"/>
          </w:rPr>
          <w:t>Appendix S</w:t>
        </w:r>
      </w:hyperlink>
      <w:r>
        <w:rPr>
          <w:rFonts w:cs="Arial"/>
          <w:bCs/>
          <w:szCs w:val="20"/>
        </w:rPr>
        <w:t>)</w:t>
      </w:r>
      <w:r>
        <w:rPr>
          <w:lang w:val="en-AU"/>
        </w:rPr>
        <w:t xml:space="preserve"> Policy also applies to unacceptable use. Please refer to </w:t>
      </w:r>
      <w:hyperlink r:id="rId361" w:history="1">
        <w:r w:rsidR="00F84E53">
          <w:rPr>
            <w:rStyle w:val="Hyperlink"/>
            <w:i/>
          </w:rPr>
          <w:t>Appendix S</w:t>
        </w:r>
      </w:hyperlink>
      <w:r>
        <w:rPr>
          <w:i/>
          <w:lang w:val="en-AU"/>
        </w:rPr>
        <w:t xml:space="preserve"> </w:t>
      </w:r>
      <w:r>
        <w:rPr>
          <w:lang w:val="en-AU"/>
        </w:rPr>
        <w:t>for further details.</w:t>
      </w:r>
    </w:p>
    <w:p w14:paraId="34572B69" w14:textId="77777777" w:rsidR="000D07EA" w:rsidRDefault="00BE7C89">
      <w:pPr>
        <w:pStyle w:val="Heading7"/>
        <w:rPr>
          <w:b/>
          <w:lang w:val="en-AU"/>
        </w:rPr>
      </w:pPr>
      <w:r>
        <w:rPr>
          <w:b/>
          <w:lang w:val="en-AU"/>
        </w:rPr>
        <w:t>Unlimited Mobile Internet Data Value on the $129 Business Timeless &amp; $129 Business Timeless (Premium H/set) plans</w:t>
      </w:r>
    </w:p>
    <w:p w14:paraId="0F293643" w14:textId="77777777" w:rsidR="000D07EA" w:rsidRDefault="00BE7C89">
      <w:pPr>
        <w:pStyle w:val="Heading8"/>
        <w:rPr>
          <w:lang w:val="en-AU"/>
        </w:rPr>
      </w:pPr>
      <w:r>
        <w:rPr>
          <w:lang w:val="en-AU"/>
        </w:rPr>
        <w:t xml:space="preserve">On the $129 Business Timeless &amp; $129 Business Timeless (Premium H/set) Plans, </w:t>
      </w:r>
      <w:r>
        <w:rPr>
          <w:i/>
          <w:lang w:val="en-AU"/>
        </w:rPr>
        <w:t>you</w:t>
      </w:r>
      <w:r>
        <w:rPr>
          <w:lang w:val="en-AU"/>
        </w:rPr>
        <w:t xml:space="preserve"> will receive unlimited mobile internet data per month to access services on Optus Zoo or Optus iZoo and browsing the Internet from your mobile only. </w:t>
      </w:r>
    </w:p>
    <w:p w14:paraId="3B135705" w14:textId="77777777" w:rsidR="000D07EA" w:rsidRDefault="00BE7C89">
      <w:pPr>
        <w:pStyle w:val="Heading8"/>
        <w:rPr>
          <w:lang w:val="en-AU"/>
        </w:rPr>
      </w:pPr>
      <w:r>
        <w:rPr>
          <w:lang w:val="en-AU"/>
        </w:rPr>
        <w:t xml:space="preserve">The </w:t>
      </w:r>
      <w:r>
        <w:rPr>
          <w:b/>
          <w:szCs w:val="20"/>
          <w:lang w:val="en-AU"/>
        </w:rPr>
        <w:t xml:space="preserve">Unlimited Mobile Internet Data </w:t>
      </w:r>
      <w:r>
        <w:rPr>
          <w:lang w:val="en-AU"/>
        </w:rPr>
        <w:t xml:space="preserve">cannot be shared with an eligible Business Mobile Broadband service and you can not used your mobile as a modem with the </w:t>
      </w:r>
      <w:r>
        <w:rPr>
          <w:b/>
          <w:szCs w:val="20"/>
          <w:lang w:val="en-AU"/>
        </w:rPr>
        <w:t>Unlimited Mobile Internet Data</w:t>
      </w:r>
      <w:r>
        <w:rPr>
          <w:lang w:val="en-AU"/>
        </w:rPr>
        <w:t>.</w:t>
      </w:r>
    </w:p>
    <w:p w14:paraId="6FFE3ADF" w14:textId="77777777" w:rsidR="000D07EA" w:rsidRDefault="00BE7C89">
      <w:pPr>
        <w:pStyle w:val="Heading8"/>
        <w:rPr>
          <w:b/>
          <w:lang w:val="en-AU"/>
        </w:rPr>
      </w:pPr>
      <w:r>
        <w:rPr>
          <w:lang w:val="en-AU"/>
        </w:rPr>
        <w:t xml:space="preserve">The usage types that are </w:t>
      </w:r>
      <w:r>
        <w:rPr>
          <w:b/>
          <w:lang w:val="en-AU"/>
        </w:rPr>
        <w:t>'eligible data'</w:t>
      </w:r>
      <w:r>
        <w:rPr>
          <w:lang w:val="en-AU"/>
        </w:rPr>
        <w:t xml:space="preserve"> for the </w:t>
      </w:r>
      <w:r>
        <w:rPr>
          <w:b/>
          <w:lang w:val="en-AU"/>
        </w:rPr>
        <w:t>Unlimited Mobile Internet Data Value</w:t>
      </w:r>
      <w:r>
        <w:rPr>
          <w:lang w:val="en-AU"/>
        </w:rPr>
        <w:t xml:space="preserve"> on the $129 Business Timeless and $129 Business Timeless (Premium H/set) plans are defined in Table 2C below.</w:t>
      </w:r>
    </w:p>
    <w:p w14:paraId="072577F9" w14:textId="77777777" w:rsidR="000D07EA" w:rsidRDefault="00BE7C89">
      <w:pPr>
        <w:pStyle w:val="Heading7"/>
        <w:rPr>
          <w:b/>
          <w:lang w:val="en-AU"/>
        </w:rPr>
      </w:pPr>
      <w:r>
        <w:rPr>
          <w:b/>
          <w:lang w:val="en-AU"/>
        </w:rPr>
        <w:lastRenderedPageBreak/>
        <w:t>Included International Value</w:t>
      </w:r>
    </w:p>
    <w:p w14:paraId="437841C8" w14:textId="77777777" w:rsidR="000D07EA" w:rsidRDefault="00BE7C89">
      <w:pPr>
        <w:pStyle w:val="Heading8"/>
        <w:rPr>
          <w:lang w:val="en-AU" w:eastAsia="en-AU"/>
        </w:rPr>
      </w:pPr>
      <w:r>
        <w:rPr>
          <w:lang w:val="en-AU" w:eastAsia="en-AU"/>
        </w:rPr>
        <w:t xml:space="preserve">On the $129 Business Timeless or the $129 Business Timeless (Premium H/set) Plans, </w:t>
      </w:r>
      <w:r>
        <w:rPr>
          <w:i/>
          <w:lang w:val="en-AU" w:eastAsia="en-AU"/>
        </w:rPr>
        <w:t>you</w:t>
      </w:r>
      <w:r>
        <w:rPr>
          <w:lang w:val="en-AU" w:eastAsia="en-AU"/>
        </w:rPr>
        <w:t xml:space="preserve"> will receive included International Value, to use within Australia. The amount of the International Value included for each Business Timeless Plan is set out in Table 3A below.</w:t>
      </w:r>
    </w:p>
    <w:p w14:paraId="77806394" w14:textId="77777777" w:rsidR="000D07EA" w:rsidRDefault="00BE7C89">
      <w:pPr>
        <w:pStyle w:val="Heading8"/>
        <w:rPr>
          <w:lang w:val="en-AU"/>
        </w:rPr>
      </w:pPr>
      <w:r>
        <w:rPr>
          <w:lang w:val="en-AU"/>
        </w:rPr>
        <w:t xml:space="preserve">The usage types that are </w:t>
      </w:r>
      <w:r>
        <w:rPr>
          <w:b/>
          <w:lang w:val="en-AU"/>
        </w:rPr>
        <w:t>'eligible calls and charges'</w:t>
      </w:r>
      <w:r>
        <w:rPr>
          <w:lang w:val="en-AU"/>
        </w:rPr>
        <w:t xml:space="preserve"> for each Business Timeless Plan under the included International Value are defined in Table 2D below.</w:t>
      </w:r>
    </w:p>
    <w:p w14:paraId="13792160" w14:textId="77777777" w:rsidR="000D07EA" w:rsidRDefault="00BE7C89">
      <w:pPr>
        <w:pStyle w:val="Heading8"/>
        <w:rPr>
          <w:lang w:val="en-AU"/>
        </w:rPr>
      </w:pPr>
      <w:r>
        <w:rPr>
          <w:i/>
          <w:lang w:val="en-AU"/>
        </w:rPr>
        <w:t xml:space="preserve">You </w:t>
      </w:r>
      <w:r>
        <w:rPr>
          <w:lang w:val="en-AU"/>
        </w:rPr>
        <w:t xml:space="preserve">must pay </w:t>
      </w:r>
      <w:r>
        <w:rPr>
          <w:i/>
          <w:lang w:val="en-AU"/>
        </w:rPr>
        <w:t xml:space="preserve">us </w:t>
      </w:r>
      <w:r>
        <w:rPr>
          <w:lang w:val="en-AU"/>
        </w:rPr>
        <w:t>for any calls or messages that are not eligible calls or messages under this offer.</w:t>
      </w:r>
    </w:p>
    <w:p w14:paraId="2902160D" w14:textId="77777777" w:rsidR="000D07EA" w:rsidRDefault="00BE7C89">
      <w:pPr>
        <w:pStyle w:val="Heading8"/>
        <w:rPr>
          <w:snapToGrid w:val="0"/>
          <w:lang w:val="en-AU"/>
        </w:rPr>
      </w:pPr>
      <w:r>
        <w:rPr>
          <w:i/>
          <w:lang w:val="en-AU"/>
        </w:rPr>
        <w:t>You</w:t>
      </w:r>
      <w:r>
        <w:rPr>
          <w:lang w:val="en-AU"/>
        </w:rPr>
        <w:t xml:space="preserve"> must pay </w:t>
      </w:r>
      <w:r>
        <w:rPr>
          <w:i/>
          <w:snapToGrid w:val="0"/>
          <w:lang w:val="en-AU"/>
        </w:rPr>
        <w:t xml:space="preserve">us </w:t>
      </w:r>
      <w:r>
        <w:rPr>
          <w:snapToGrid w:val="0"/>
          <w:lang w:val="en-AU"/>
        </w:rPr>
        <w:t xml:space="preserve">for any usage over the included International Value. 'yes' Business International Rates apply. See </w:t>
      </w:r>
      <w:hyperlink r:id="rId362" w:history="1">
        <w:r>
          <w:rPr>
            <w:rStyle w:val="Hyperlink"/>
          </w:rPr>
          <w:t>Appendix J</w:t>
        </w:r>
      </w:hyperlink>
      <w:r>
        <w:rPr>
          <w:snapToGrid w:val="0"/>
          <w:lang w:val="en-AU"/>
        </w:rPr>
        <w:t xml:space="preserve"> for more information.</w:t>
      </w:r>
    </w:p>
    <w:p w14:paraId="5014B0B6" w14:textId="77777777" w:rsidR="000D07EA" w:rsidRDefault="00BE7C89">
      <w:pPr>
        <w:pStyle w:val="Heading8"/>
        <w:rPr>
          <w:lang w:val="en-AU"/>
        </w:rPr>
      </w:pPr>
      <w:r>
        <w:rPr>
          <w:snapToGrid w:val="0"/>
          <w:lang w:val="en-AU"/>
        </w:rPr>
        <w:t>Any unused portion of the included International Value expires at the end of each month and does not rollover into the following month.</w:t>
      </w:r>
    </w:p>
    <w:p w14:paraId="44CC149A" w14:textId="77777777" w:rsidR="000D07EA" w:rsidRDefault="00BE7C89">
      <w:pPr>
        <w:pStyle w:val="Heading7"/>
        <w:rPr>
          <w:b/>
          <w:lang w:val="en-AU"/>
        </w:rPr>
      </w:pPr>
      <w:r>
        <w:rPr>
          <w:b/>
          <w:lang w:val="en-AU"/>
        </w:rPr>
        <w:t>Other Business Timeless Plan Conditions and Offers</w:t>
      </w:r>
    </w:p>
    <w:p w14:paraId="643F33A8" w14:textId="77777777" w:rsidR="000D07EA" w:rsidRDefault="00BE7C89">
      <w:pPr>
        <w:pStyle w:val="Heading8"/>
        <w:rPr>
          <w:lang w:val="en-AU"/>
        </w:rPr>
      </w:pPr>
      <w:r>
        <w:rPr>
          <w:lang w:val="en-AU"/>
        </w:rPr>
        <w:t xml:space="preserve">Available features will vary depending on </w:t>
      </w:r>
      <w:r>
        <w:rPr>
          <w:i/>
          <w:lang w:val="en-AU"/>
        </w:rPr>
        <w:t>your</w:t>
      </w:r>
      <w:r>
        <w:rPr>
          <w:lang w:val="en-AU"/>
        </w:rPr>
        <w:t xml:space="preserve"> handset or software version.</w:t>
      </w:r>
    </w:p>
    <w:p w14:paraId="67AD9A75" w14:textId="77777777" w:rsidR="000D07EA" w:rsidRDefault="00BE7C89">
      <w:pPr>
        <w:pStyle w:val="Heading8"/>
        <w:rPr>
          <w:lang w:val="en-AU"/>
        </w:rPr>
      </w:pPr>
      <w:r>
        <w:rPr>
          <w:lang w:val="en-AU"/>
        </w:rPr>
        <w:t xml:space="preserve">The </w:t>
      </w:r>
      <w:r>
        <w:rPr>
          <w:rFonts w:cs="Arial"/>
          <w:bCs/>
          <w:szCs w:val="20"/>
        </w:rPr>
        <w:t>Fair Go Policy (</w:t>
      </w:r>
      <w:hyperlink r:id="rId363" w:history="1">
        <w:r>
          <w:rPr>
            <w:rStyle w:val="Hyperlink"/>
          </w:rPr>
          <w:t>Appendix S</w:t>
        </w:r>
      </w:hyperlink>
      <w:r>
        <w:rPr>
          <w:rFonts w:cs="Arial"/>
          <w:bCs/>
          <w:szCs w:val="20"/>
        </w:rPr>
        <w:t>)</w:t>
      </w:r>
      <w:r>
        <w:rPr>
          <w:lang w:val="en-AU"/>
        </w:rPr>
        <w:t xml:space="preserve"> applies to: </w:t>
      </w:r>
      <w:r>
        <w:rPr>
          <w:rFonts w:ascii="DIN" w:hAnsi="DIN" w:cs="DIN"/>
          <w:color w:val="000000"/>
          <w:sz w:val="18"/>
          <w:lang w:val="en-AU"/>
        </w:rPr>
        <w:t xml:space="preserve">PTT Usage up to 150 minutes per month, </w:t>
      </w:r>
      <w:r>
        <w:rPr>
          <w:lang w:val="en-AU"/>
        </w:rPr>
        <w:t xml:space="preserve">Voice Over Internet Protocol (VOIP) services up to 10 megabytes per month. Please refer to </w:t>
      </w:r>
      <w:hyperlink r:id="rId364" w:history="1">
        <w:r w:rsidR="00F84E53">
          <w:rPr>
            <w:rStyle w:val="Hyperlink"/>
            <w:i/>
          </w:rPr>
          <w:t>Appendix S</w:t>
        </w:r>
      </w:hyperlink>
      <w:r>
        <w:rPr>
          <w:lang w:val="en-AU"/>
        </w:rPr>
        <w:t>.</w:t>
      </w:r>
    </w:p>
    <w:p w14:paraId="0A0B5FF6" w14:textId="77777777" w:rsidR="000D07EA" w:rsidRDefault="00BE7C89">
      <w:pPr>
        <w:pStyle w:val="Heading8"/>
        <w:rPr>
          <w:lang w:val="en-AU"/>
        </w:rPr>
      </w:pPr>
      <w:r>
        <w:rPr>
          <w:lang w:val="en-AU"/>
        </w:rPr>
        <w:t xml:space="preserve">Voice Over Internet Protocol (VOIP) services (other than PTT) will be charged at 1.5c per kilobyte of usage, capped at $9.90 per month until </w:t>
      </w:r>
      <w:r>
        <w:rPr>
          <w:i/>
          <w:lang w:val="en-AU"/>
        </w:rPr>
        <w:t xml:space="preserve">you </w:t>
      </w:r>
      <w:r>
        <w:rPr>
          <w:lang w:val="en-AU"/>
        </w:rPr>
        <w:t xml:space="preserve">reach 5 megabytes of usage in that month, after which </w:t>
      </w:r>
      <w:r>
        <w:rPr>
          <w:i/>
          <w:lang w:val="en-AU"/>
        </w:rPr>
        <w:t xml:space="preserve">you </w:t>
      </w:r>
      <w:r>
        <w:rPr>
          <w:lang w:val="en-AU"/>
        </w:rPr>
        <w:t>will be charged at 0.3c per kilobyte of usage for the remainder of that month.</w:t>
      </w:r>
    </w:p>
    <w:p w14:paraId="716D1198" w14:textId="77777777" w:rsidR="000D07EA" w:rsidRDefault="00BE7C89">
      <w:pPr>
        <w:pStyle w:val="Heading8"/>
        <w:rPr>
          <w:lang w:val="en-AU"/>
        </w:rPr>
      </w:pPr>
      <w:r>
        <w:rPr>
          <w:lang w:val="en-AU"/>
        </w:rPr>
        <w:t xml:space="preserve">Use of unlimited features is for personal or business use. </w:t>
      </w:r>
    </w:p>
    <w:p w14:paraId="0048DB06" w14:textId="77777777" w:rsidR="000D07EA" w:rsidRDefault="00BE7C89">
      <w:pPr>
        <w:pStyle w:val="Heading8"/>
        <w:rPr>
          <w:b/>
          <w:lang w:val="en-AU" w:eastAsia="en-AU"/>
        </w:rPr>
      </w:pPr>
      <w:r>
        <w:rPr>
          <w:b/>
          <w:lang w:val="en-AU" w:eastAsia="en-AU"/>
        </w:rPr>
        <w:t>Blocking access to a number</w:t>
      </w:r>
    </w:p>
    <w:p w14:paraId="060730C0" w14:textId="77777777" w:rsidR="000D07EA" w:rsidRDefault="00BE7C89">
      <w:pPr>
        <w:pStyle w:val="BodyText"/>
        <w:ind w:left="2160"/>
        <w:rPr>
          <w:lang w:val="en-AU" w:eastAsia="en-AU"/>
        </w:rPr>
      </w:pPr>
      <w:r>
        <w:rPr>
          <w:lang w:val="en-AU" w:eastAsia="en-AU"/>
        </w:rPr>
        <w:t xml:space="preserve">In addition to what is stated in clause 11 of the </w:t>
      </w:r>
      <w:r>
        <w:rPr>
          <w:i/>
          <w:lang w:val="en-AU" w:eastAsia="en-AU"/>
        </w:rPr>
        <w:t>service description</w:t>
      </w:r>
      <w:r>
        <w:rPr>
          <w:lang w:val="en-AU" w:eastAsia="en-AU"/>
        </w:rPr>
        <w:t xml:space="preserve"> ("Access Restrictions"), </w:t>
      </w:r>
      <w:r>
        <w:rPr>
          <w:i/>
          <w:lang w:val="en-AU" w:eastAsia="en-AU"/>
        </w:rPr>
        <w:t>we</w:t>
      </w:r>
      <w:r>
        <w:rPr>
          <w:lang w:val="en-AU" w:eastAsia="en-AU"/>
        </w:rPr>
        <w:t xml:space="preserve"> may block access to a number (other than an emergency service number) if </w:t>
      </w:r>
      <w:r>
        <w:rPr>
          <w:i/>
          <w:lang w:val="en-AU" w:eastAsia="en-AU"/>
        </w:rPr>
        <w:t>we</w:t>
      </w:r>
      <w:r>
        <w:rPr>
          <w:lang w:val="en-AU" w:eastAsia="en-AU"/>
        </w:rPr>
        <w:t xml:space="preserve"> reasonably require this to be done for technical, operational or commercial reasons. </w:t>
      </w:r>
    </w:p>
    <w:p w14:paraId="5CE5F8BC" w14:textId="77777777" w:rsidR="000D07EA" w:rsidRDefault="00BE7C89">
      <w:pPr>
        <w:pStyle w:val="Heading7"/>
        <w:rPr>
          <w:b/>
          <w:lang w:val="en-AU"/>
        </w:rPr>
      </w:pPr>
      <w:r>
        <w:rPr>
          <w:b/>
          <w:lang w:val="en-AU"/>
        </w:rPr>
        <w:t>Eligible Calls, Messages and Pricing Plans</w:t>
      </w:r>
    </w:p>
    <w:p w14:paraId="7D843B57" w14:textId="77777777" w:rsidR="000D07EA" w:rsidRDefault="00BE7C89">
      <w:pPr>
        <w:pStyle w:val="Heading8"/>
        <w:rPr>
          <w:lang w:val="en-AU"/>
        </w:rPr>
      </w:pPr>
      <w:r>
        <w:rPr>
          <w:lang w:val="en-AU"/>
        </w:rPr>
        <w:t>Table 1A below indicates whether a particular call or message type is 'eligible' in the unlimited offer for the Business Timeless Plan.</w:t>
      </w:r>
    </w:p>
    <w:p w14:paraId="54E57A01" w14:textId="77777777" w:rsidR="000D07EA" w:rsidRDefault="00BE7C89">
      <w:pPr>
        <w:pStyle w:val="Heading8"/>
        <w:rPr>
          <w:lang w:val="en-AU"/>
        </w:rPr>
      </w:pPr>
      <w:r>
        <w:rPr>
          <w:lang w:val="en-AU"/>
        </w:rPr>
        <w:t xml:space="preserve">Table 2A below indicates whether a particular data type is 'eligible data usage' which counts towards the Included Mobile Internet Data value of </w:t>
      </w:r>
      <w:r>
        <w:rPr>
          <w:i/>
          <w:lang w:val="en-AU"/>
        </w:rPr>
        <w:t xml:space="preserve">your </w:t>
      </w:r>
      <w:r>
        <w:rPr>
          <w:lang w:val="en-AU"/>
        </w:rPr>
        <w:t xml:space="preserve">selected Business Timeless Plan. </w:t>
      </w:r>
    </w:p>
    <w:p w14:paraId="02866CE1" w14:textId="77777777" w:rsidR="000D07EA" w:rsidRDefault="00BE7C89">
      <w:pPr>
        <w:pStyle w:val="Heading8"/>
        <w:rPr>
          <w:lang w:val="en-AU" w:eastAsia="en-AU"/>
        </w:rPr>
      </w:pPr>
      <w:r>
        <w:rPr>
          <w:lang w:val="en-AU" w:eastAsia="en-AU"/>
        </w:rPr>
        <w:t xml:space="preserve">Table 2B below indicates whether a particular data type is 'eligible data usage' which counts towards the Unlimited BlackBerry POP3 Email and Browsing through the BlackBerry Browser value of </w:t>
      </w:r>
      <w:r>
        <w:rPr>
          <w:i/>
          <w:lang w:val="en-AU" w:eastAsia="en-AU"/>
        </w:rPr>
        <w:t xml:space="preserve">your </w:t>
      </w:r>
      <w:r>
        <w:rPr>
          <w:lang w:val="en-AU" w:eastAsia="en-AU"/>
        </w:rPr>
        <w:t>selected Business Timeless Plan.</w:t>
      </w:r>
    </w:p>
    <w:p w14:paraId="7A0BB885" w14:textId="77777777" w:rsidR="000D07EA" w:rsidRDefault="00BE7C89">
      <w:pPr>
        <w:pStyle w:val="Heading8"/>
        <w:rPr>
          <w:lang w:val="en-AU"/>
        </w:rPr>
      </w:pPr>
      <w:r>
        <w:rPr>
          <w:lang w:val="en-AU"/>
        </w:rPr>
        <w:t xml:space="preserve">Table 2C below indicates whether a particular call type is 'eligible call' which counts towards the included International Value of </w:t>
      </w:r>
      <w:r>
        <w:rPr>
          <w:i/>
          <w:lang w:val="en-AU"/>
        </w:rPr>
        <w:t xml:space="preserve">your </w:t>
      </w:r>
      <w:r>
        <w:rPr>
          <w:lang w:val="en-AU"/>
        </w:rPr>
        <w:t>selected Business Timeless Plan.</w:t>
      </w:r>
    </w:p>
    <w:p w14:paraId="2EB2BCC8" w14:textId="77777777" w:rsidR="000D07EA" w:rsidRDefault="00BE7C89">
      <w:pPr>
        <w:pStyle w:val="Heading8"/>
        <w:rPr>
          <w:lang w:val="en-AU"/>
        </w:rPr>
      </w:pPr>
      <w:r>
        <w:rPr>
          <w:lang w:val="en-AU"/>
        </w:rPr>
        <w:t>Table 3A below contains pricing details of each Business Timeless Plan.</w:t>
      </w:r>
    </w:p>
    <w:p w14:paraId="1A0115CE" w14:textId="77777777" w:rsidR="000D07EA" w:rsidRDefault="00BE7C89">
      <w:pPr>
        <w:pStyle w:val="BodyText"/>
        <w:keepNext/>
        <w:ind w:left="720"/>
        <w:rPr>
          <w:b/>
          <w:lang w:val="en-AU"/>
        </w:rPr>
      </w:pPr>
      <w:r>
        <w:rPr>
          <w:b/>
          <w:lang w:val="en-AU"/>
        </w:rPr>
        <w:lastRenderedPageBreak/>
        <w:t>Table 1A – Eligible Calls</w:t>
      </w: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881"/>
        <w:gridCol w:w="2290"/>
        <w:gridCol w:w="2290"/>
      </w:tblGrid>
      <w:tr w:rsidR="000D07EA" w14:paraId="501EB48F" w14:textId="77777777">
        <w:trPr>
          <w:trHeight w:val="494"/>
          <w:tblHeader/>
        </w:trPr>
        <w:tc>
          <w:tcPr>
            <w:tcW w:w="2580" w:type="pct"/>
          </w:tcPr>
          <w:p w14:paraId="36AE4ED0" w14:textId="77777777" w:rsidR="000D07EA" w:rsidRDefault="00BE7C89">
            <w:pPr>
              <w:pStyle w:val="BodyText"/>
              <w:spacing w:before="100" w:after="100"/>
              <w:rPr>
                <w:b/>
                <w:lang w:val="en-AU"/>
              </w:rPr>
            </w:pPr>
            <w:r>
              <w:rPr>
                <w:b/>
                <w:lang w:val="en-AU"/>
              </w:rPr>
              <w:t>Call Type</w:t>
            </w:r>
          </w:p>
        </w:tc>
        <w:tc>
          <w:tcPr>
            <w:tcW w:w="2420" w:type="pct"/>
            <w:gridSpan w:val="2"/>
          </w:tcPr>
          <w:p w14:paraId="58124645" w14:textId="77777777" w:rsidR="000D07EA" w:rsidRDefault="00BE7C89">
            <w:pPr>
              <w:pStyle w:val="BodyText"/>
              <w:spacing w:before="100" w:after="100"/>
              <w:jc w:val="center"/>
              <w:rPr>
                <w:b/>
                <w:lang w:val="en-AU"/>
              </w:rPr>
            </w:pPr>
            <w:r>
              <w:rPr>
                <w:b/>
                <w:lang w:val="en-AU"/>
              </w:rPr>
              <w:t>Eligible Call</w:t>
            </w:r>
          </w:p>
        </w:tc>
      </w:tr>
      <w:tr w:rsidR="000D07EA" w14:paraId="67D683D1" w14:textId="77777777">
        <w:trPr>
          <w:trHeight w:val="494"/>
          <w:tblHeader/>
        </w:trPr>
        <w:tc>
          <w:tcPr>
            <w:tcW w:w="2580" w:type="pct"/>
          </w:tcPr>
          <w:p w14:paraId="4501B694" w14:textId="77777777" w:rsidR="000D07EA" w:rsidRDefault="000D07EA">
            <w:pPr>
              <w:pStyle w:val="BodyText"/>
              <w:spacing w:before="100" w:after="100"/>
              <w:jc w:val="center"/>
              <w:rPr>
                <w:lang w:val="en-AU"/>
              </w:rPr>
            </w:pPr>
          </w:p>
        </w:tc>
        <w:tc>
          <w:tcPr>
            <w:tcW w:w="1210" w:type="pct"/>
          </w:tcPr>
          <w:p w14:paraId="6DC6236E" w14:textId="77777777" w:rsidR="000D07EA" w:rsidRDefault="00BE7C89">
            <w:pPr>
              <w:pStyle w:val="BodyText"/>
              <w:spacing w:before="100" w:after="100"/>
              <w:jc w:val="center"/>
              <w:rPr>
                <w:b/>
                <w:lang w:val="en-AU"/>
              </w:rPr>
            </w:pPr>
            <w:r>
              <w:rPr>
                <w:b/>
                <w:lang w:val="en-AU"/>
              </w:rPr>
              <w:t>$99 Business Timeless / (Premium H/set)</w:t>
            </w:r>
          </w:p>
        </w:tc>
        <w:tc>
          <w:tcPr>
            <w:tcW w:w="1210" w:type="pct"/>
          </w:tcPr>
          <w:p w14:paraId="654A20BB" w14:textId="77777777" w:rsidR="000D07EA" w:rsidRDefault="00BE7C89">
            <w:pPr>
              <w:pStyle w:val="BodyText"/>
              <w:spacing w:before="100" w:after="100"/>
              <w:jc w:val="center"/>
              <w:rPr>
                <w:b/>
                <w:lang w:val="en-AU"/>
              </w:rPr>
            </w:pPr>
            <w:r>
              <w:rPr>
                <w:b/>
                <w:lang w:val="en-AU"/>
              </w:rPr>
              <w:t>$129 Business Timeless / (Premium H/set)</w:t>
            </w:r>
          </w:p>
        </w:tc>
      </w:tr>
      <w:tr w:rsidR="000D07EA" w14:paraId="3B7B556B" w14:textId="77777777">
        <w:trPr>
          <w:trHeight w:val="247"/>
        </w:trPr>
        <w:tc>
          <w:tcPr>
            <w:tcW w:w="2580" w:type="pct"/>
          </w:tcPr>
          <w:p w14:paraId="2B8BD99F" w14:textId="77777777" w:rsidR="000D07EA" w:rsidRDefault="00BE7C89">
            <w:pPr>
              <w:pStyle w:val="BodyText"/>
              <w:spacing w:before="100" w:after="100"/>
              <w:rPr>
                <w:lang w:val="en-AU"/>
              </w:rPr>
            </w:pPr>
            <w:r>
              <w:rPr>
                <w:lang w:val="en-AU"/>
              </w:rPr>
              <w:t>Standard National Voice Calls</w:t>
            </w:r>
          </w:p>
        </w:tc>
        <w:tc>
          <w:tcPr>
            <w:tcW w:w="2420" w:type="pct"/>
            <w:gridSpan w:val="2"/>
            <w:vAlign w:val="center"/>
          </w:tcPr>
          <w:p w14:paraId="2F28636F" w14:textId="77777777" w:rsidR="000D07EA" w:rsidRDefault="00BE7C89">
            <w:pPr>
              <w:pStyle w:val="BodyText"/>
              <w:spacing w:before="100" w:after="100"/>
              <w:jc w:val="center"/>
              <w:rPr>
                <w:lang w:val="en-AU"/>
              </w:rPr>
            </w:pPr>
            <w:r>
              <w:rPr>
                <w:lang w:val="en-AU"/>
              </w:rPr>
              <w:t>Yes</w:t>
            </w:r>
          </w:p>
        </w:tc>
      </w:tr>
      <w:tr w:rsidR="000D07EA" w14:paraId="37D4EAEC" w14:textId="77777777">
        <w:trPr>
          <w:trHeight w:val="247"/>
        </w:trPr>
        <w:tc>
          <w:tcPr>
            <w:tcW w:w="2580" w:type="pct"/>
          </w:tcPr>
          <w:p w14:paraId="0588B747" w14:textId="77777777" w:rsidR="000D07EA" w:rsidRDefault="00BE7C89">
            <w:pPr>
              <w:pStyle w:val="BodyText"/>
              <w:spacing w:before="100" w:after="100"/>
              <w:rPr>
                <w:lang w:val="en-AU"/>
              </w:rPr>
            </w:pPr>
            <w:r>
              <w:rPr>
                <w:lang w:val="en-AU"/>
              </w:rPr>
              <w:t>Standard National Video Calls</w:t>
            </w:r>
          </w:p>
        </w:tc>
        <w:tc>
          <w:tcPr>
            <w:tcW w:w="2420" w:type="pct"/>
            <w:gridSpan w:val="2"/>
            <w:vAlign w:val="center"/>
          </w:tcPr>
          <w:p w14:paraId="68EBC441" w14:textId="77777777" w:rsidR="000D07EA" w:rsidRDefault="00BE7C89">
            <w:pPr>
              <w:pStyle w:val="BodyText"/>
              <w:spacing w:before="100" w:after="100"/>
              <w:jc w:val="center"/>
              <w:rPr>
                <w:lang w:val="en-AU"/>
              </w:rPr>
            </w:pPr>
            <w:r>
              <w:rPr>
                <w:lang w:val="en-AU"/>
              </w:rPr>
              <w:t>Yes</w:t>
            </w:r>
          </w:p>
        </w:tc>
      </w:tr>
      <w:tr w:rsidR="000D07EA" w14:paraId="3B4E4B40" w14:textId="77777777">
        <w:trPr>
          <w:trHeight w:val="247"/>
        </w:trPr>
        <w:tc>
          <w:tcPr>
            <w:tcW w:w="2580" w:type="pct"/>
          </w:tcPr>
          <w:p w14:paraId="7E453C7E" w14:textId="77777777" w:rsidR="000D07EA" w:rsidRDefault="00BE7C89">
            <w:pPr>
              <w:pStyle w:val="BodyText"/>
              <w:spacing w:before="100" w:after="100"/>
              <w:rPr>
                <w:lang w:val="en-AU"/>
              </w:rPr>
            </w:pPr>
            <w:r>
              <w:rPr>
                <w:lang w:val="en-AU"/>
              </w:rPr>
              <w:t>International Voice Calls</w:t>
            </w:r>
          </w:p>
          <w:p w14:paraId="412EA908" w14:textId="77777777" w:rsidR="000D07EA" w:rsidRDefault="00BE7C89">
            <w:pPr>
              <w:pStyle w:val="BodyText"/>
              <w:spacing w:before="100" w:after="100"/>
              <w:rPr>
                <w:lang w:val="en-AU"/>
              </w:rPr>
            </w:pPr>
            <w:r>
              <w:rPr>
                <w:snapToGrid w:val="0"/>
                <w:lang w:val="en-AU"/>
              </w:rPr>
              <w:t>(includes calls to national fixed or GSM mobile services that then divert/switch or re-route overseas)</w:t>
            </w:r>
          </w:p>
        </w:tc>
        <w:tc>
          <w:tcPr>
            <w:tcW w:w="2420" w:type="pct"/>
            <w:gridSpan w:val="2"/>
            <w:vAlign w:val="center"/>
          </w:tcPr>
          <w:p w14:paraId="36176A1B" w14:textId="77777777" w:rsidR="000D07EA" w:rsidRDefault="00BE7C89">
            <w:pPr>
              <w:pStyle w:val="BodyText"/>
              <w:spacing w:before="100" w:after="100"/>
              <w:jc w:val="center"/>
              <w:rPr>
                <w:lang w:val="en-AU"/>
              </w:rPr>
            </w:pPr>
            <w:r>
              <w:rPr>
                <w:lang w:val="en-AU"/>
              </w:rPr>
              <w:t>No</w:t>
            </w:r>
          </w:p>
        </w:tc>
      </w:tr>
      <w:tr w:rsidR="000D07EA" w14:paraId="1EABDE60" w14:textId="77777777">
        <w:trPr>
          <w:trHeight w:val="247"/>
        </w:trPr>
        <w:tc>
          <w:tcPr>
            <w:tcW w:w="2580" w:type="pct"/>
          </w:tcPr>
          <w:p w14:paraId="45A9ADFE" w14:textId="77777777" w:rsidR="000D07EA" w:rsidRDefault="00BE7C89">
            <w:pPr>
              <w:pStyle w:val="BodyText"/>
              <w:spacing w:before="100" w:after="100"/>
              <w:rPr>
                <w:lang w:val="en-AU"/>
              </w:rPr>
            </w:pPr>
            <w:r>
              <w:rPr>
                <w:lang w:val="en-AU"/>
              </w:rPr>
              <w:t>International Video Calls</w:t>
            </w:r>
          </w:p>
          <w:p w14:paraId="1984B7A7" w14:textId="77777777" w:rsidR="000D07EA" w:rsidRDefault="00BE7C89">
            <w:pPr>
              <w:pStyle w:val="BodyText"/>
              <w:spacing w:before="100" w:after="100"/>
              <w:rPr>
                <w:lang w:val="en-AU"/>
              </w:rPr>
            </w:pPr>
            <w:r>
              <w:rPr>
                <w:snapToGrid w:val="0"/>
                <w:lang w:val="en-AU"/>
              </w:rPr>
              <w:t>(includes calls to national fixed or GSM mobile services that then divert/switch or re-route overseas)</w:t>
            </w:r>
          </w:p>
        </w:tc>
        <w:tc>
          <w:tcPr>
            <w:tcW w:w="2420" w:type="pct"/>
            <w:gridSpan w:val="2"/>
            <w:vAlign w:val="center"/>
          </w:tcPr>
          <w:p w14:paraId="138634FF" w14:textId="77777777" w:rsidR="000D07EA" w:rsidRDefault="00BE7C89">
            <w:pPr>
              <w:pStyle w:val="BodyText"/>
              <w:spacing w:before="100" w:after="100"/>
              <w:jc w:val="center"/>
              <w:rPr>
                <w:lang w:val="en-AU"/>
              </w:rPr>
            </w:pPr>
            <w:r>
              <w:rPr>
                <w:lang w:val="en-AU"/>
              </w:rPr>
              <w:t>No</w:t>
            </w:r>
          </w:p>
        </w:tc>
      </w:tr>
      <w:tr w:rsidR="000D07EA" w14:paraId="3225E62B" w14:textId="77777777">
        <w:trPr>
          <w:trHeight w:val="247"/>
        </w:trPr>
        <w:tc>
          <w:tcPr>
            <w:tcW w:w="2580" w:type="pct"/>
          </w:tcPr>
          <w:p w14:paraId="427EC425" w14:textId="77777777" w:rsidR="000D07EA" w:rsidRDefault="00BE7C89">
            <w:pPr>
              <w:pStyle w:val="BodyText"/>
              <w:spacing w:before="100" w:after="100"/>
              <w:rPr>
                <w:lang w:val="en-AU"/>
              </w:rPr>
            </w:pPr>
            <w:r>
              <w:rPr>
                <w:lang w:val="en-AU"/>
              </w:rPr>
              <w:t>Standard National SMS</w:t>
            </w:r>
          </w:p>
        </w:tc>
        <w:tc>
          <w:tcPr>
            <w:tcW w:w="2420" w:type="pct"/>
            <w:gridSpan w:val="2"/>
            <w:vAlign w:val="center"/>
          </w:tcPr>
          <w:p w14:paraId="14378CEC" w14:textId="77777777" w:rsidR="000D07EA" w:rsidRDefault="00BE7C89">
            <w:pPr>
              <w:pStyle w:val="BodyText"/>
              <w:spacing w:before="100" w:after="100"/>
              <w:jc w:val="center"/>
              <w:rPr>
                <w:lang w:val="en-AU"/>
              </w:rPr>
            </w:pPr>
            <w:r>
              <w:rPr>
                <w:lang w:val="en-AU"/>
              </w:rPr>
              <w:t>Yes</w:t>
            </w:r>
          </w:p>
        </w:tc>
      </w:tr>
      <w:tr w:rsidR="000D07EA" w14:paraId="47B99AAB" w14:textId="77777777">
        <w:trPr>
          <w:trHeight w:val="247"/>
        </w:trPr>
        <w:tc>
          <w:tcPr>
            <w:tcW w:w="2580" w:type="pct"/>
          </w:tcPr>
          <w:p w14:paraId="72FBCE71" w14:textId="77777777" w:rsidR="000D07EA" w:rsidRDefault="00BE7C89">
            <w:pPr>
              <w:pStyle w:val="BodyText"/>
              <w:spacing w:before="100" w:after="100"/>
              <w:rPr>
                <w:lang w:val="en-AU"/>
              </w:rPr>
            </w:pPr>
            <w:r>
              <w:rPr>
                <w:lang w:val="en-AU"/>
              </w:rPr>
              <w:t>International SMS</w:t>
            </w:r>
          </w:p>
        </w:tc>
        <w:tc>
          <w:tcPr>
            <w:tcW w:w="2420" w:type="pct"/>
            <w:gridSpan w:val="2"/>
            <w:vAlign w:val="center"/>
          </w:tcPr>
          <w:p w14:paraId="412BC88D" w14:textId="77777777" w:rsidR="000D07EA" w:rsidRDefault="00BE7C89">
            <w:pPr>
              <w:pStyle w:val="BodyText"/>
              <w:spacing w:before="100" w:after="100"/>
              <w:jc w:val="center"/>
              <w:rPr>
                <w:lang w:val="en-AU"/>
              </w:rPr>
            </w:pPr>
            <w:r>
              <w:rPr>
                <w:lang w:val="en-AU"/>
              </w:rPr>
              <w:t>No</w:t>
            </w:r>
          </w:p>
        </w:tc>
      </w:tr>
      <w:tr w:rsidR="000D07EA" w14:paraId="78FED433" w14:textId="77777777">
        <w:trPr>
          <w:trHeight w:val="247"/>
        </w:trPr>
        <w:tc>
          <w:tcPr>
            <w:tcW w:w="2580" w:type="pct"/>
          </w:tcPr>
          <w:p w14:paraId="366F7CF8" w14:textId="77777777" w:rsidR="000D07EA" w:rsidRDefault="00BE7C89">
            <w:pPr>
              <w:pStyle w:val="BodyText"/>
              <w:spacing w:before="100" w:after="100"/>
              <w:rPr>
                <w:lang w:val="en-AU"/>
              </w:rPr>
            </w:pPr>
            <w:r>
              <w:rPr>
                <w:lang w:val="en-AU"/>
              </w:rPr>
              <w:t>Standard National MMS</w:t>
            </w:r>
          </w:p>
        </w:tc>
        <w:tc>
          <w:tcPr>
            <w:tcW w:w="2420" w:type="pct"/>
            <w:gridSpan w:val="2"/>
            <w:vAlign w:val="center"/>
          </w:tcPr>
          <w:p w14:paraId="6E1A10AE" w14:textId="77777777" w:rsidR="000D07EA" w:rsidRDefault="00BE7C89">
            <w:pPr>
              <w:pStyle w:val="BodyText"/>
              <w:spacing w:before="100" w:after="100"/>
              <w:jc w:val="center"/>
              <w:rPr>
                <w:lang w:val="en-AU"/>
              </w:rPr>
            </w:pPr>
            <w:r>
              <w:rPr>
                <w:lang w:val="en-AU"/>
              </w:rPr>
              <w:t>Yes</w:t>
            </w:r>
          </w:p>
        </w:tc>
      </w:tr>
      <w:tr w:rsidR="000D07EA" w14:paraId="1FAFC362" w14:textId="77777777">
        <w:trPr>
          <w:trHeight w:val="247"/>
        </w:trPr>
        <w:tc>
          <w:tcPr>
            <w:tcW w:w="2580" w:type="pct"/>
          </w:tcPr>
          <w:p w14:paraId="631FA56E" w14:textId="77777777" w:rsidR="000D07EA" w:rsidRDefault="00BE7C89">
            <w:pPr>
              <w:pStyle w:val="BodyText"/>
              <w:spacing w:before="100" w:after="100"/>
              <w:rPr>
                <w:lang w:val="en-AU"/>
              </w:rPr>
            </w:pPr>
            <w:r>
              <w:rPr>
                <w:lang w:val="en-AU"/>
              </w:rPr>
              <w:t>International MMS</w:t>
            </w:r>
          </w:p>
        </w:tc>
        <w:tc>
          <w:tcPr>
            <w:tcW w:w="2420" w:type="pct"/>
            <w:gridSpan w:val="2"/>
            <w:vAlign w:val="center"/>
          </w:tcPr>
          <w:p w14:paraId="501A655F" w14:textId="77777777" w:rsidR="000D07EA" w:rsidRDefault="00BE7C89">
            <w:pPr>
              <w:pStyle w:val="BodyText"/>
              <w:spacing w:before="100" w:after="100"/>
              <w:jc w:val="center"/>
              <w:rPr>
                <w:lang w:val="en-AU"/>
              </w:rPr>
            </w:pPr>
            <w:r>
              <w:rPr>
                <w:lang w:val="en-AU"/>
              </w:rPr>
              <w:t>No</w:t>
            </w:r>
          </w:p>
        </w:tc>
      </w:tr>
      <w:tr w:rsidR="000D07EA" w14:paraId="20BBD59D" w14:textId="77777777">
        <w:trPr>
          <w:trHeight w:val="247"/>
        </w:trPr>
        <w:tc>
          <w:tcPr>
            <w:tcW w:w="2580" w:type="pct"/>
          </w:tcPr>
          <w:p w14:paraId="34E74039" w14:textId="77777777" w:rsidR="000D07EA" w:rsidRDefault="00BE7C89">
            <w:pPr>
              <w:pStyle w:val="BodyText"/>
              <w:spacing w:before="100" w:after="100"/>
              <w:rPr>
                <w:lang w:val="en-AU"/>
              </w:rPr>
            </w:pPr>
            <w:r>
              <w:rPr>
                <w:lang w:val="en-AU"/>
              </w:rPr>
              <w:t>National Diversions</w:t>
            </w:r>
          </w:p>
        </w:tc>
        <w:tc>
          <w:tcPr>
            <w:tcW w:w="2420" w:type="pct"/>
            <w:gridSpan w:val="2"/>
            <w:vAlign w:val="center"/>
          </w:tcPr>
          <w:p w14:paraId="26979856" w14:textId="77777777" w:rsidR="000D07EA" w:rsidRDefault="00BE7C89">
            <w:pPr>
              <w:pStyle w:val="BodyText"/>
              <w:spacing w:before="100" w:after="100"/>
              <w:jc w:val="center"/>
              <w:rPr>
                <w:lang w:val="en-AU"/>
              </w:rPr>
            </w:pPr>
            <w:r>
              <w:rPr>
                <w:lang w:val="en-AU"/>
              </w:rPr>
              <w:t>Yes</w:t>
            </w:r>
          </w:p>
        </w:tc>
      </w:tr>
      <w:tr w:rsidR="000D07EA" w14:paraId="646CD7D9" w14:textId="77777777">
        <w:trPr>
          <w:trHeight w:val="509"/>
        </w:trPr>
        <w:tc>
          <w:tcPr>
            <w:tcW w:w="2580" w:type="pct"/>
          </w:tcPr>
          <w:p w14:paraId="60FEAE9E" w14:textId="77777777" w:rsidR="000D07EA" w:rsidRDefault="00BE7C89">
            <w:pPr>
              <w:pStyle w:val="BodyText"/>
              <w:spacing w:before="100" w:after="100"/>
              <w:rPr>
                <w:lang w:val="en-AU"/>
              </w:rPr>
            </w:pPr>
            <w:r>
              <w:rPr>
                <w:lang w:val="en-AU"/>
              </w:rPr>
              <w:t>Voicemail Diversions</w:t>
            </w:r>
          </w:p>
        </w:tc>
        <w:tc>
          <w:tcPr>
            <w:tcW w:w="2420" w:type="pct"/>
            <w:gridSpan w:val="2"/>
            <w:vAlign w:val="center"/>
          </w:tcPr>
          <w:p w14:paraId="257DC149" w14:textId="77777777" w:rsidR="000D07EA" w:rsidRDefault="00BE7C89">
            <w:pPr>
              <w:pStyle w:val="BodyText"/>
              <w:spacing w:before="100" w:after="100"/>
              <w:jc w:val="center"/>
              <w:rPr>
                <w:lang w:val="en-AU"/>
              </w:rPr>
            </w:pPr>
            <w:r>
              <w:rPr>
                <w:lang w:val="en-AU"/>
              </w:rPr>
              <w:t>Yes</w:t>
            </w:r>
          </w:p>
        </w:tc>
      </w:tr>
      <w:tr w:rsidR="000D07EA" w14:paraId="372CC66D" w14:textId="77777777">
        <w:trPr>
          <w:trHeight w:val="509"/>
        </w:trPr>
        <w:tc>
          <w:tcPr>
            <w:tcW w:w="2580" w:type="pct"/>
          </w:tcPr>
          <w:p w14:paraId="3EA180DD" w14:textId="77777777" w:rsidR="000D07EA" w:rsidRDefault="00BE7C89">
            <w:pPr>
              <w:pStyle w:val="BodyText"/>
              <w:spacing w:before="100" w:after="100"/>
              <w:rPr>
                <w:lang w:val="en-AU"/>
              </w:rPr>
            </w:pPr>
            <w:r>
              <w:rPr>
                <w:lang w:val="en-AU"/>
              </w:rPr>
              <w:t>Voicemail Deposit and Retrievals</w:t>
            </w:r>
          </w:p>
        </w:tc>
        <w:tc>
          <w:tcPr>
            <w:tcW w:w="2420" w:type="pct"/>
            <w:gridSpan w:val="2"/>
            <w:vAlign w:val="center"/>
          </w:tcPr>
          <w:p w14:paraId="54D980BD" w14:textId="77777777" w:rsidR="000D07EA" w:rsidRDefault="00BE7C89">
            <w:pPr>
              <w:pStyle w:val="BodyText"/>
              <w:spacing w:before="100" w:after="100"/>
              <w:jc w:val="center"/>
              <w:rPr>
                <w:lang w:val="en-AU"/>
              </w:rPr>
            </w:pPr>
            <w:r>
              <w:rPr>
                <w:lang w:val="en-AU"/>
              </w:rPr>
              <w:t>Yes</w:t>
            </w:r>
          </w:p>
        </w:tc>
      </w:tr>
      <w:tr w:rsidR="000D07EA" w14:paraId="73750041" w14:textId="77777777">
        <w:trPr>
          <w:trHeight w:val="247"/>
        </w:trPr>
        <w:tc>
          <w:tcPr>
            <w:tcW w:w="2580" w:type="pct"/>
          </w:tcPr>
          <w:p w14:paraId="4BC50F6D" w14:textId="77777777" w:rsidR="000D07EA" w:rsidRDefault="00BE7C89">
            <w:pPr>
              <w:pStyle w:val="BodyText"/>
              <w:spacing w:before="100" w:after="100"/>
              <w:rPr>
                <w:lang w:val="en-AU"/>
              </w:rPr>
            </w:pPr>
            <w:r>
              <w:rPr>
                <w:lang w:val="en-AU"/>
              </w:rPr>
              <w:t>International Roaming and Diversion</w:t>
            </w:r>
          </w:p>
        </w:tc>
        <w:tc>
          <w:tcPr>
            <w:tcW w:w="2420" w:type="pct"/>
            <w:gridSpan w:val="2"/>
            <w:vAlign w:val="center"/>
          </w:tcPr>
          <w:p w14:paraId="61ED9B8B" w14:textId="77777777" w:rsidR="000D07EA" w:rsidRDefault="00BE7C89">
            <w:pPr>
              <w:pStyle w:val="BodyText"/>
              <w:spacing w:before="100" w:after="100"/>
              <w:jc w:val="center"/>
              <w:rPr>
                <w:lang w:val="en-AU"/>
              </w:rPr>
            </w:pPr>
            <w:r>
              <w:rPr>
                <w:lang w:val="en-AU"/>
              </w:rPr>
              <w:t>No</w:t>
            </w:r>
          </w:p>
        </w:tc>
      </w:tr>
      <w:tr w:rsidR="000D07EA" w14:paraId="53E6760F" w14:textId="77777777">
        <w:trPr>
          <w:trHeight w:val="247"/>
        </w:trPr>
        <w:tc>
          <w:tcPr>
            <w:tcW w:w="2580" w:type="pct"/>
          </w:tcPr>
          <w:p w14:paraId="6A97B8DE" w14:textId="77777777" w:rsidR="000D07EA" w:rsidRDefault="00BE7C89">
            <w:pPr>
              <w:pStyle w:val="BodyText"/>
              <w:spacing w:before="100" w:after="100"/>
              <w:rPr>
                <w:lang w:val="en-AU"/>
              </w:rPr>
            </w:pPr>
            <w:r>
              <w:rPr>
                <w:lang w:val="en-AU"/>
              </w:rPr>
              <w:t>Premium SMS</w:t>
            </w:r>
          </w:p>
        </w:tc>
        <w:tc>
          <w:tcPr>
            <w:tcW w:w="2420" w:type="pct"/>
            <w:gridSpan w:val="2"/>
            <w:vAlign w:val="center"/>
          </w:tcPr>
          <w:p w14:paraId="599C1535" w14:textId="77777777" w:rsidR="000D07EA" w:rsidRDefault="00BE7C89">
            <w:pPr>
              <w:pStyle w:val="BodyText"/>
              <w:spacing w:before="100" w:after="100"/>
              <w:jc w:val="center"/>
              <w:rPr>
                <w:lang w:val="en-AU"/>
              </w:rPr>
            </w:pPr>
            <w:r>
              <w:rPr>
                <w:lang w:val="en-AU"/>
              </w:rPr>
              <w:t>No</w:t>
            </w:r>
          </w:p>
        </w:tc>
      </w:tr>
      <w:tr w:rsidR="000D07EA" w14:paraId="6C8DC309" w14:textId="77777777">
        <w:trPr>
          <w:trHeight w:val="247"/>
        </w:trPr>
        <w:tc>
          <w:tcPr>
            <w:tcW w:w="2580" w:type="pct"/>
          </w:tcPr>
          <w:p w14:paraId="4B4BF531" w14:textId="77777777" w:rsidR="000D07EA" w:rsidRDefault="00BE7C89">
            <w:pPr>
              <w:pStyle w:val="BodyText"/>
              <w:spacing w:before="100" w:after="100"/>
              <w:rPr>
                <w:lang w:val="en-AU"/>
              </w:rPr>
            </w:pPr>
            <w:r>
              <w:rPr>
                <w:lang w:val="en-AU"/>
              </w:rPr>
              <w:t>Premium Video</w:t>
            </w:r>
          </w:p>
        </w:tc>
        <w:tc>
          <w:tcPr>
            <w:tcW w:w="2420" w:type="pct"/>
            <w:gridSpan w:val="2"/>
            <w:vAlign w:val="center"/>
          </w:tcPr>
          <w:p w14:paraId="3C0A272D" w14:textId="77777777" w:rsidR="000D07EA" w:rsidRDefault="00BE7C89">
            <w:pPr>
              <w:pStyle w:val="BodyText"/>
              <w:spacing w:before="100" w:after="100"/>
              <w:jc w:val="center"/>
              <w:rPr>
                <w:lang w:val="en-AU"/>
              </w:rPr>
            </w:pPr>
            <w:r>
              <w:rPr>
                <w:lang w:val="en-AU"/>
              </w:rPr>
              <w:t>No</w:t>
            </w:r>
          </w:p>
        </w:tc>
      </w:tr>
      <w:tr w:rsidR="000D07EA" w14:paraId="4F66EB22" w14:textId="77777777">
        <w:trPr>
          <w:trHeight w:val="247"/>
        </w:trPr>
        <w:tc>
          <w:tcPr>
            <w:tcW w:w="2580" w:type="pct"/>
          </w:tcPr>
          <w:p w14:paraId="15801A5F" w14:textId="77777777" w:rsidR="000D07EA" w:rsidRDefault="00BE7C89">
            <w:pPr>
              <w:pStyle w:val="BodyText"/>
              <w:spacing w:before="100" w:after="100"/>
              <w:rPr>
                <w:lang w:val="en-AU"/>
              </w:rPr>
            </w:pPr>
            <w:r>
              <w:rPr>
                <w:lang w:val="en-AU"/>
              </w:rPr>
              <w:t>Video Conferencing</w:t>
            </w:r>
          </w:p>
        </w:tc>
        <w:tc>
          <w:tcPr>
            <w:tcW w:w="2420" w:type="pct"/>
            <w:gridSpan w:val="2"/>
            <w:vAlign w:val="center"/>
          </w:tcPr>
          <w:p w14:paraId="6E8069C7" w14:textId="77777777" w:rsidR="000D07EA" w:rsidRDefault="00BE7C89">
            <w:pPr>
              <w:pStyle w:val="BodyText"/>
              <w:spacing w:before="100" w:after="100"/>
              <w:jc w:val="center"/>
              <w:rPr>
                <w:lang w:val="en-AU"/>
              </w:rPr>
            </w:pPr>
            <w:r>
              <w:rPr>
                <w:lang w:val="en-AU"/>
              </w:rPr>
              <w:t>No</w:t>
            </w:r>
          </w:p>
        </w:tc>
      </w:tr>
      <w:tr w:rsidR="000D07EA" w14:paraId="02956B69" w14:textId="77777777">
        <w:trPr>
          <w:trHeight w:val="247"/>
        </w:trPr>
        <w:tc>
          <w:tcPr>
            <w:tcW w:w="2580" w:type="pct"/>
          </w:tcPr>
          <w:p w14:paraId="3A574A4C" w14:textId="77777777" w:rsidR="000D07EA" w:rsidRDefault="00BE7C89">
            <w:pPr>
              <w:pStyle w:val="BodyText"/>
              <w:spacing w:before="100" w:after="100"/>
              <w:rPr>
                <w:lang w:val="en-AU"/>
              </w:rPr>
            </w:pPr>
            <w:r>
              <w:rPr>
                <w:lang w:val="en-AU"/>
              </w:rPr>
              <w:t>Optus Zoo or Optus iZoo Browsing</w:t>
            </w:r>
          </w:p>
        </w:tc>
        <w:tc>
          <w:tcPr>
            <w:tcW w:w="2420" w:type="pct"/>
            <w:gridSpan w:val="2"/>
            <w:vAlign w:val="center"/>
          </w:tcPr>
          <w:p w14:paraId="41CA225F" w14:textId="77777777" w:rsidR="000D07EA" w:rsidRDefault="00BE7C89">
            <w:pPr>
              <w:pStyle w:val="BodyText"/>
              <w:spacing w:before="100" w:after="100"/>
              <w:jc w:val="center"/>
              <w:rPr>
                <w:lang w:val="en-AU"/>
              </w:rPr>
            </w:pPr>
            <w:r>
              <w:rPr>
                <w:lang w:val="en-AU"/>
              </w:rPr>
              <w:t>No</w:t>
            </w:r>
          </w:p>
        </w:tc>
      </w:tr>
      <w:tr w:rsidR="000D07EA" w14:paraId="1B6026FB" w14:textId="77777777">
        <w:trPr>
          <w:trHeight w:val="494"/>
        </w:trPr>
        <w:tc>
          <w:tcPr>
            <w:tcW w:w="2580" w:type="pct"/>
          </w:tcPr>
          <w:p w14:paraId="394646E7" w14:textId="77777777" w:rsidR="000D07EA" w:rsidRDefault="00BE7C89">
            <w:pPr>
              <w:pStyle w:val="BodyText"/>
              <w:spacing w:before="100" w:after="100"/>
              <w:rPr>
                <w:lang w:val="en-AU"/>
              </w:rPr>
            </w:pPr>
            <w:r>
              <w:rPr>
                <w:lang w:val="en-AU"/>
              </w:rPr>
              <w:t>Optus Zoo or Optus iZoo Downloads</w:t>
            </w:r>
          </w:p>
        </w:tc>
        <w:tc>
          <w:tcPr>
            <w:tcW w:w="2420" w:type="pct"/>
            <w:gridSpan w:val="2"/>
            <w:vAlign w:val="center"/>
          </w:tcPr>
          <w:p w14:paraId="581AE8C1" w14:textId="77777777" w:rsidR="000D07EA" w:rsidRDefault="00BE7C89">
            <w:pPr>
              <w:pStyle w:val="BodyText"/>
              <w:spacing w:before="100" w:after="100"/>
              <w:jc w:val="center"/>
              <w:rPr>
                <w:lang w:val="en-AU"/>
              </w:rPr>
            </w:pPr>
            <w:r>
              <w:rPr>
                <w:lang w:val="en-AU"/>
              </w:rPr>
              <w:t>No</w:t>
            </w:r>
          </w:p>
        </w:tc>
      </w:tr>
      <w:tr w:rsidR="000D07EA" w14:paraId="27A0C517" w14:textId="77777777">
        <w:trPr>
          <w:trHeight w:val="494"/>
        </w:trPr>
        <w:tc>
          <w:tcPr>
            <w:tcW w:w="2580" w:type="pct"/>
          </w:tcPr>
          <w:p w14:paraId="52C4301E" w14:textId="77777777" w:rsidR="000D07EA" w:rsidRDefault="00BE7C89">
            <w:pPr>
              <w:pStyle w:val="BodyText"/>
              <w:spacing w:before="100" w:after="100"/>
              <w:rPr>
                <w:lang w:val="en-AU"/>
              </w:rPr>
            </w:pPr>
            <w:r>
              <w:rPr>
                <w:lang w:val="en-AU"/>
              </w:rPr>
              <w:t>SMS to 966 (Zoo)</w:t>
            </w:r>
          </w:p>
        </w:tc>
        <w:tc>
          <w:tcPr>
            <w:tcW w:w="2420" w:type="pct"/>
            <w:gridSpan w:val="2"/>
            <w:vAlign w:val="center"/>
          </w:tcPr>
          <w:p w14:paraId="4B76CCEF" w14:textId="77777777" w:rsidR="000D07EA" w:rsidRDefault="00BE7C89">
            <w:pPr>
              <w:pStyle w:val="BodyText"/>
              <w:spacing w:before="100" w:after="100"/>
              <w:jc w:val="center"/>
              <w:rPr>
                <w:lang w:val="en-AU"/>
              </w:rPr>
            </w:pPr>
            <w:r>
              <w:rPr>
                <w:lang w:val="en-AU"/>
              </w:rPr>
              <w:t>No</w:t>
            </w:r>
          </w:p>
        </w:tc>
      </w:tr>
      <w:tr w:rsidR="000D07EA" w14:paraId="286158AA" w14:textId="77777777">
        <w:trPr>
          <w:trHeight w:val="494"/>
        </w:trPr>
        <w:tc>
          <w:tcPr>
            <w:tcW w:w="2580" w:type="pct"/>
          </w:tcPr>
          <w:p w14:paraId="5DB5DC25" w14:textId="77777777" w:rsidR="000D07EA" w:rsidRDefault="00BE7C89">
            <w:pPr>
              <w:pStyle w:val="BodyText"/>
              <w:spacing w:before="100" w:after="100"/>
              <w:rPr>
                <w:lang w:val="en-AU"/>
              </w:rPr>
            </w:pPr>
            <w:r>
              <w:rPr>
                <w:lang w:val="en-AU"/>
              </w:rPr>
              <w:t>Mobile Internet usage</w:t>
            </w:r>
          </w:p>
        </w:tc>
        <w:tc>
          <w:tcPr>
            <w:tcW w:w="2420" w:type="pct"/>
            <w:gridSpan w:val="2"/>
            <w:vAlign w:val="center"/>
          </w:tcPr>
          <w:p w14:paraId="24CB5AA6" w14:textId="77777777" w:rsidR="000D07EA" w:rsidRDefault="00BE7C89">
            <w:pPr>
              <w:pStyle w:val="BodyText"/>
              <w:spacing w:before="100" w:after="100"/>
              <w:jc w:val="center"/>
              <w:rPr>
                <w:lang w:val="en-AU"/>
              </w:rPr>
            </w:pPr>
            <w:r>
              <w:rPr>
                <w:lang w:val="en-AU"/>
              </w:rPr>
              <w:t>No</w:t>
            </w:r>
          </w:p>
        </w:tc>
      </w:tr>
      <w:tr w:rsidR="000D07EA" w14:paraId="418ECB9B" w14:textId="77777777">
        <w:trPr>
          <w:trHeight w:val="494"/>
        </w:trPr>
        <w:tc>
          <w:tcPr>
            <w:tcW w:w="2580" w:type="pct"/>
          </w:tcPr>
          <w:p w14:paraId="39933ABD" w14:textId="77777777" w:rsidR="000D07EA" w:rsidRDefault="00BE7C89">
            <w:pPr>
              <w:pStyle w:val="BodyText"/>
              <w:spacing w:before="100" w:after="100"/>
              <w:rPr>
                <w:lang w:val="en-AU"/>
              </w:rPr>
            </w:pPr>
            <w:r>
              <w:rPr>
                <w:lang w:val="en-AU"/>
              </w:rPr>
              <w:t>Data Used while Roaming Internationally</w:t>
            </w:r>
          </w:p>
        </w:tc>
        <w:tc>
          <w:tcPr>
            <w:tcW w:w="2420" w:type="pct"/>
            <w:gridSpan w:val="2"/>
            <w:vAlign w:val="center"/>
          </w:tcPr>
          <w:p w14:paraId="60413B5A" w14:textId="77777777" w:rsidR="000D07EA" w:rsidRDefault="00BE7C89">
            <w:pPr>
              <w:pStyle w:val="BodyText"/>
              <w:spacing w:before="100" w:after="100"/>
              <w:jc w:val="center"/>
              <w:rPr>
                <w:lang w:val="en-AU"/>
              </w:rPr>
            </w:pPr>
            <w:r>
              <w:rPr>
                <w:lang w:val="en-AU"/>
              </w:rPr>
              <w:t>No</w:t>
            </w:r>
          </w:p>
        </w:tc>
      </w:tr>
      <w:tr w:rsidR="000D07EA" w14:paraId="6F5A7FB3" w14:textId="77777777">
        <w:trPr>
          <w:trHeight w:val="494"/>
        </w:trPr>
        <w:tc>
          <w:tcPr>
            <w:tcW w:w="2580" w:type="pct"/>
          </w:tcPr>
          <w:p w14:paraId="1E25BFF8" w14:textId="77777777" w:rsidR="000D07EA" w:rsidRDefault="00BE7C89">
            <w:pPr>
              <w:pStyle w:val="BodyText"/>
              <w:spacing w:before="100" w:after="100"/>
              <w:rPr>
                <w:lang w:val="en-AU"/>
              </w:rPr>
            </w:pPr>
            <w:r>
              <w:rPr>
                <w:lang w:val="en-AU"/>
              </w:rPr>
              <w:t>Content Packs (unless specified in promotions)</w:t>
            </w:r>
          </w:p>
        </w:tc>
        <w:tc>
          <w:tcPr>
            <w:tcW w:w="2420" w:type="pct"/>
            <w:gridSpan w:val="2"/>
            <w:vAlign w:val="center"/>
          </w:tcPr>
          <w:p w14:paraId="29424B96" w14:textId="77777777" w:rsidR="000D07EA" w:rsidRDefault="00BE7C89">
            <w:pPr>
              <w:pStyle w:val="BodyText"/>
              <w:spacing w:before="100" w:after="100"/>
              <w:jc w:val="center"/>
              <w:rPr>
                <w:lang w:val="en-AU"/>
              </w:rPr>
            </w:pPr>
            <w:r>
              <w:rPr>
                <w:lang w:val="en-AU"/>
              </w:rPr>
              <w:t>No</w:t>
            </w:r>
          </w:p>
        </w:tc>
      </w:tr>
      <w:tr w:rsidR="000D07EA" w14:paraId="51016F36" w14:textId="77777777">
        <w:trPr>
          <w:trHeight w:val="494"/>
        </w:trPr>
        <w:tc>
          <w:tcPr>
            <w:tcW w:w="2580" w:type="pct"/>
          </w:tcPr>
          <w:p w14:paraId="7DE1D76E" w14:textId="77777777" w:rsidR="000D07EA" w:rsidRDefault="00BE7C89">
            <w:pPr>
              <w:pStyle w:val="BodyText"/>
              <w:spacing w:before="100" w:after="100"/>
              <w:rPr>
                <w:lang w:val="en-AU"/>
              </w:rPr>
            </w:pPr>
            <w:r>
              <w:rPr>
                <w:lang w:val="en-AU"/>
              </w:rPr>
              <w:t>TrueLocal Usage</w:t>
            </w:r>
          </w:p>
        </w:tc>
        <w:tc>
          <w:tcPr>
            <w:tcW w:w="2420" w:type="pct"/>
            <w:gridSpan w:val="2"/>
            <w:vAlign w:val="center"/>
          </w:tcPr>
          <w:p w14:paraId="5C129C42" w14:textId="77777777" w:rsidR="000D07EA" w:rsidRDefault="00BE7C89">
            <w:pPr>
              <w:pStyle w:val="BodyText"/>
              <w:spacing w:before="100" w:after="100"/>
              <w:jc w:val="center"/>
              <w:rPr>
                <w:lang w:val="en-AU"/>
              </w:rPr>
            </w:pPr>
            <w:r>
              <w:rPr>
                <w:lang w:val="en-AU"/>
              </w:rPr>
              <w:t>No</w:t>
            </w:r>
          </w:p>
        </w:tc>
      </w:tr>
      <w:tr w:rsidR="000D07EA" w14:paraId="76992347" w14:textId="77777777">
        <w:trPr>
          <w:trHeight w:val="494"/>
        </w:trPr>
        <w:tc>
          <w:tcPr>
            <w:tcW w:w="2580" w:type="pct"/>
          </w:tcPr>
          <w:p w14:paraId="3F143F49" w14:textId="77777777" w:rsidR="000D07EA" w:rsidRDefault="00BE7C89">
            <w:pPr>
              <w:pStyle w:val="BodyText"/>
              <w:spacing w:before="100" w:after="100"/>
              <w:rPr>
                <w:lang w:val="en-AU"/>
              </w:rPr>
            </w:pPr>
            <w:r>
              <w:rPr>
                <w:lang w:val="en-AU"/>
              </w:rPr>
              <w:t xml:space="preserve">Directory Assistance- 1223 </w:t>
            </w:r>
          </w:p>
        </w:tc>
        <w:tc>
          <w:tcPr>
            <w:tcW w:w="2420" w:type="pct"/>
            <w:gridSpan w:val="2"/>
            <w:vAlign w:val="center"/>
          </w:tcPr>
          <w:p w14:paraId="06CCB71A" w14:textId="77777777" w:rsidR="000D07EA" w:rsidRDefault="00BE7C89">
            <w:pPr>
              <w:pStyle w:val="BodyText"/>
              <w:spacing w:before="100" w:after="100"/>
              <w:jc w:val="center"/>
              <w:rPr>
                <w:lang w:val="en-AU"/>
              </w:rPr>
            </w:pPr>
            <w:r>
              <w:rPr>
                <w:lang w:val="en-AU"/>
              </w:rPr>
              <w:t>No</w:t>
            </w:r>
          </w:p>
        </w:tc>
      </w:tr>
      <w:tr w:rsidR="000D07EA" w14:paraId="5E5E18B9" w14:textId="77777777">
        <w:trPr>
          <w:trHeight w:val="247"/>
        </w:trPr>
        <w:tc>
          <w:tcPr>
            <w:tcW w:w="2580" w:type="pct"/>
          </w:tcPr>
          <w:p w14:paraId="6BEB5BE4" w14:textId="77777777" w:rsidR="000D07EA" w:rsidRDefault="00BE7C89">
            <w:pPr>
              <w:pStyle w:val="BodyText"/>
              <w:spacing w:before="100" w:after="100"/>
              <w:rPr>
                <w:lang w:val="en-AU"/>
              </w:rPr>
            </w:pPr>
            <w:r>
              <w:rPr>
                <w:lang w:val="en-AU"/>
              </w:rPr>
              <w:lastRenderedPageBreak/>
              <w:t>19XX Numbers</w:t>
            </w:r>
          </w:p>
        </w:tc>
        <w:tc>
          <w:tcPr>
            <w:tcW w:w="2420" w:type="pct"/>
            <w:gridSpan w:val="2"/>
            <w:vAlign w:val="center"/>
          </w:tcPr>
          <w:p w14:paraId="3F3138D5" w14:textId="77777777" w:rsidR="000D07EA" w:rsidRDefault="00BE7C89">
            <w:pPr>
              <w:pStyle w:val="BodyText"/>
              <w:spacing w:before="100" w:after="100"/>
              <w:jc w:val="center"/>
              <w:rPr>
                <w:lang w:val="en-AU"/>
              </w:rPr>
            </w:pPr>
            <w:r>
              <w:rPr>
                <w:lang w:val="en-AU"/>
              </w:rPr>
              <w:t>No</w:t>
            </w:r>
          </w:p>
        </w:tc>
      </w:tr>
      <w:tr w:rsidR="000D07EA" w14:paraId="241CC188" w14:textId="77777777">
        <w:trPr>
          <w:trHeight w:val="247"/>
        </w:trPr>
        <w:tc>
          <w:tcPr>
            <w:tcW w:w="2580" w:type="pct"/>
          </w:tcPr>
          <w:p w14:paraId="5AE746C6" w14:textId="77777777" w:rsidR="000D07EA" w:rsidRDefault="00BE7C89">
            <w:pPr>
              <w:pStyle w:val="BodyText"/>
              <w:spacing w:before="100" w:after="100"/>
              <w:rPr>
                <w:lang w:val="en-AU"/>
              </w:rPr>
            </w:pPr>
            <w:r>
              <w:rPr>
                <w:lang w:val="en-AU"/>
              </w:rPr>
              <w:t>1800, 13 and 1300 numbers</w:t>
            </w:r>
          </w:p>
        </w:tc>
        <w:tc>
          <w:tcPr>
            <w:tcW w:w="2420" w:type="pct"/>
            <w:gridSpan w:val="2"/>
            <w:vAlign w:val="center"/>
          </w:tcPr>
          <w:p w14:paraId="75930466" w14:textId="77777777" w:rsidR="000D07EA" w:rsidRDefault="00BE7C89">
            <w:pPr>
              <w:pStyle w:val="BodyText"/>
              <w:spacing w:before="100" w:after="100"/>
              <w:jc w:val="center"/>
              <w:rPr>
                <w:lang w:val="en-AU"/>
              </w:rPr>
            </w:pPr>
            <w:r>
              <w:rPr>
                <w:lang w:val="en-AU"/>
              </w:rPr>
              <w:t>Yes</w:t>
            </w:r>
          </w:p>
        </w:tc>
      </w:tr>
      <w:tr w:rsidR="000D07EA" w14:paraId="4FFC5999" w14:textId="77777777">
        <w:trPr>
          <w:trHeight w:val="247"/>
        </w:trPr>
        <w:tc>
          <w:tcPr>
            <w:tcW w:w="2580" w:type="pct"/>
          </w:tcPr>
          <w:p w14:paraId="7E393746" w14:textId="77777777" w:rsidR="000D07EA" w:rsidRDefault="00BE7C89">
            <w:pPr>
              <w:pStyle w:val="BodyText"/>
              <w:spacing w:before="100" w:after="100"/>
              <w:rPr>
                <w:lang w:val="en-AU"/>
              </w:rPr>
            </w:pPr>
            <w:r>
              <w:rPr>
                <w:lang w:val="en-AU"/>
              </w:rPr>
              <w:t>124YES(937)</w:t>
            </w:r>
          </w:p>
        </w:tc>
        <w:tc>
          <w:tcPr>
            <w:tcW w:w="2420" w:type="pct"/>
            <w:gridSpan w:val="2"/>
            <w:vAlign w:val="center"/>
          </w:tcPr>
          <w:p w14:paraId="740A7376" w14:textId="77777777" w:rsidR="000D07EA" w:rsidRDefault="00BE7C89">
            <w:pPr>
              <w:pStyle w:val="BodyText"/>
              <w:spacing w:before="100" w:after="100"/>
              <w:jc w:val="center"/>
              <w:rPr>
                <w:lang w:val="en-AU"/>
              </w:rPr>
            </w:pPr>
            <w:r>
              <w:rPr>
                <w:lang w:val="en-AU"/>
              </w:rPr>
              <w:t>No</w:t>
            </w:r>
          </w:p>
        </w:tc>
      </w:tr>
      <w:tr w:rsidR="000D07EA" w14:paraId="542EF6CA" w14:textId="77777777">
        <w:trPr>
          <w:trHeight w:val="262"/>
        </w:trPr>
        <w:tc>
          <w:tcPr>
            <w:tcW w:w="2580" w:type="pct"/>
          </w:tcPr>
          <w:p w14:paraId="1F06136F" w14:textId="77777777" w:rsidR="000D07EA" w:rsidRDefault="00BE7C89">
            <w:pPr>
              <w:pStyle w:val="BodyText"/>
              <w:spacing w:before="100" w:after="100"/>
              <w:rPr>
                <w:lang w:val="en-AU"/>
              </w:rPr>
            </w:pPr>
            <w:r>
              <w:rPr>
                <w:lang w:val="en-AU"/>
              </w:rPr>
              <w:t>Insurance</w:t>
            </w:r>
          </w:p>
        </w:tc>
        <w:tc>
          <w:tcPr>
            <w:tcW w:w="2420" w:type="pct"/>
            <w:gridSpan w:val="2"/>
            <w:vAlign w:val="center"/>
          </w:tcPr>
          <w:p w14:paraId="47243C6D" w14:textId="77777777" w:rsidR="000D07EA" w:rsidRDefault="00BE7C89">
            <w:pPr>
              <w:pStyle w:val="BodyText"/>
              <w:spacing w:before="100" w:after="100"/>
              <w:jc w:val="center"/>
              <w:rPr>
                <w:lang w:val="en-AU"/>
              </w:rPr>
            </w:pPr>
            <w:r>
              <w:rPr>
                <w:lang w:val="en-AU"/>
              </w:rPr>
              <w:t>No</w:t>
            </w:r>
          </w:p>
        </w:tc>
      </w:tr>
      <w:tr w:rsidR="000D07EA" w14:paraId="605C3837" w14:textId="77777777">
        <w:trPr>
          <w:trHeight w:val="262"/>
        </w:trPr>
        <w:tc>
          <w:tcPr>
            <w:tcW w:w="2580" w:type="pct"/>
          </w:tcPr>
          <w:p w14:paraId="28BE9161" w14:textId="77777777" w:rsidR="000D07EA" w:rsidRDefault="00BE7C89">
            <w:pPr>
              <w:pStyle w:val="BodyText"/>
              <w:spacing w:before="100" w:after="100"/>
              <w:rPr>
                <w:lang w:val="en-AU"/>
              </w:rPr>
            </w:pPr>
            <w:r>
              <w:rPr>
                <w:lang w:val="en-AU"/>
              </w:rPr>
              <w:t>Handset Payments</w:t>
            </w:r>
          </w:p>
        </w:tc>
        <w:tc>
          <w:tcPr>
            <w:tcW w:w="2420" w:type="pct"/>
            <w:gridSpan w:val="2"/>
            <w:vAlign w:val="center"/>
          </w:tcPr>
          <w:p w14:paraId="31DC0297" w14:textId="77777777" w:rsidR="000D07EA" w:rsidRDefault="00BE7C89">
            <w:pPr>
              <w:pStyle w:val="BodyText"/>
              <w:spacing w:before="100" w:after="100"/>
              <w:jc w:val="center"/>
              <w:rPr>
                <w:lang w:val="en-AU"/>
              </w:rPr>
            </w:pPr>
            <w:r>
              <w:rPr>
                <w:lang w:val="en-AU"/>
              </w:rPr>
              <w:t>No</w:t>
            </w:r>
          </w:p>
        </w:tc>
      </w:tr>
      <w:tr w:rsidR="000D07EA" w14:paraId="22DE0C9C" w14:textId="77777777">
        <w:trPr>
          <w:trHeight w:val="262"/>
        </w:trPr>
        <w:tc>
          <w:tcPr>
            <w:tcW w:w="2580" w:type="pct"/>
          </w:tcPr>
          <w:p w14:paraId="4CE57C42" w14:textId="77777777" w:rsidR="000D07EA" w:rsidRDefault="00BE7C89">
            <w:pPr>
              <w:pStyle w:val="BodyText"/>
              <w:spacing w:before="100" w:after="100"/>
              <w:rPr>
                <w:lang w:val="en-AU"/>
              </w:rPr>
            </w:pPr>
            <w:r>
              <w:rPr>
                <w:lang w:val="en-AU"/>
              </w:rPr>
              <w:t>Calls to Satellite</w:t>
            </w:r>
          </w:p>
        </w:tc>
        <w:tc>
          <w:tcPr>
            <w:tcW w:w="2420" w:type="pct"/>
            <w:gridSpan w:val="2"/>
            <w:vAlign w:val="center"/>
          </w:tcPr>
          <w:p w14:paraId="1ADCC77F" w14:textId="77777777" w:rsidR="000D07EA" w:rsidRDefault="00BE7C89">
            <w:pPr>
              <w:pStyle w:val="BodyText"/>
              <w:spacing w:before="100" w:after="100"/>
              <w:jc w:val="center"/>
              <w:rPr>
                <w:lang w:val="en-AU"/>
              </w:rPr>
            </w:pPr>
            <w:r>
              <w:rPr>
                <w:lang w:val="en-AU"/>
              </w:rPr>
              <w:t>No</w:t>
            </w:r>
          </w:p>
        </w:tc>
      </w:tr>
      <w:tr w:rsidR="000D07EA" w14:paraId="50EE14E3" w14:textId="77777777">
        <w:trPr>
          <w:trHeight w:val="262"/>
        </w:trPr>
        <w:tc>
          <w:tcPr>
            <w:tcW w:w="2580" w:type="pct"/>
          </w:tcPr>
          <w:p w14:paraId="3B967C5D" w14:textId="77777777" w:rsidR="000D07EA" w:rsidRDefault="00BE7C89">
            <w:pPr>
              <w:pStyle w:val="BodyText"/>
              <w:spacing w:before="100" w:after="100"/>
              <w:rPr>
                <w:lang w:val="en-AU"/>
              </w:rPr>
            </w:pPr>
            <w:r>
              <w:rPr>
                <w:lang w:val="en-AU"/>
              </w:rPr>
              <w:t>VOIP services</w:t>
            </w:r>
          </w:p>
        </w:tc>
        <w:tc>
          <w:tcPr>
            <w:tcW w:w="2420" w:type="pct"/>
            <w:gridSpan w:val="2"/>
            <w:vAlign w:val="center"/>
          </w:tcPr>
          <w:p w14:paraId="172DBE66" w14:textId="77777777" w:rsidR="000D07EA" w:rsidRDefault="00BE7C89">
            <w:pPr>
              <w:pStyle w:val="BodyText"/>
              <w:spacing w:before="100" w:after="100"/>
              <w:jc w:val="center"/>
              <w:rPr>
                <w:lang w:val="en-AU"/>
              </w:rPr>
            </w:pPr>
            <w:r>
              <w:rPr>
                <w:lang w:val="en-AU"/>
              </w:rPr>
              <w:t>No</w:t>
            </w:r>
          </w:p>
        </w:tc>
      </w:tr>
    </w:tbl>
    <w:p w14:paraId="58A42D64" w14:textId="77777777" w:rsidR="000D07EA" w:rsidRDefault="000D07EA">
      <w:pPr>
        <w:pStyle w:val="BodyText"/>
        <w:rPr>
          <w:lang w:val="en-AU"/>
        </w:rPr>
      </w:pPr>
    </w:p>
    <w:p w14:paraId="2D6E48DE" w14:textId="77777777" w:rsidR="000D07EA" w:rsidRDefault="00BE7C89">
      <w:pPr>
        <w:pStyle w:val="BodyText"/>
        <w:ind w:left="720"/>
        <w:rPr>
          <w:b/>
          <w:lang w:val="en-AU"/>
        </w:rPr>
      </w:pPr>
      <w:r>
        <w:rPr>
          <w:b/>
          <w:lang w:val="en-AU"/>
        </w:rPr>
        <w:t>Table 2A – Eligible for the Included Mobile Internet Data</w:t>
      </w: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730"/>
        <w:gridCol w:w="4731"/>
      </w:tblGrid>
      <w:tr w:rsidR="000D07EA" w14:paraId="1DDE34FE" w14:textId="77777777">
        <w:trPr>
          <w:tblHeader/>
        </w:trPr>
        <w:tc>
          <w:tcPr>
            <w:tcW w:w="2500" w:type="pct"/>
          </w:tcPr>
          <w:p w14:paraId="7AEE49EE" w14:textId="77777777" w:rsidR="000D07EA" w:rsidRDefault="00BE7C89">
            <w:pPr>
              <w:pStyle w:val="BodyText"/>
              <w:spacing w:before="100" w:after="100"/>
              <w:rPr>
                <w:b/>
                <w:lang w:val="en-AU"/>
              </w:rPr>
            </w:pPr>
            <w:r>
              <w:rPr>
                <w:b/>
                <w:lang w:val="en-AU"/>
              </w:rPr>
              <w:t>Call Type</w:t>
            </w:r>
          </w:p>
        </w:tc>
        <w:tc>
          <w:tcPr>
            <w:tcW w:w="2500" w:type="pct"/>
            <w:vAlign w:val="center"/>
          </w:tcPr>
          <w:p w14:paraId="22973523" w14:textId="77777777" w:rsidR="000D07EA" w:rsidRDefault="00BE7C89">
            <w:pPr>
              <w:pStyle w:val="BodyText"/>
              <w:spacing w:before="100" w:after="100"/>
              <w:jc w:val="center"/>
              <w:rPr>
                <w:b/>
                <w:lang w:val="en-AU"/>
              </w:rPr>
            </w:pPr>
            <w:r>
              <w:rPr>
                <w:b/>
                <w:lang w:val="en-AU"/>
              </w:rPr>
              <w:t>Eligible Data</w:t>
            </w:r>
          </w:p>
        </w:tc>
      </w:tr>
      <w:tr w:rsidR="000D07EA" w14:paraId="500D087F" w14:textId="77777777">
        <w:tc>
          <w:tcPr>
            <w:tcW w:w="2500" w:type="pct"/>
          </w:tcPr>
          <w:p w14:paraId="70A3AD5E" w14:textId="77777777" w:rsidR="000D07EA" w:rsidRDefault="00BE7C89">
            <w:pPr>
              <w:pStyle w:val="BodyText"/>
              <w:spacing w:before="100" w:after="100"/>
              <w:rPr>
                <w:lang w:val="en-AU"/>
              </w:rPr>
            </w:pPr>
            <w:r>
              <w:rPr>
                <w:lang w:val="en-AU"/>
              </w:rPr>
              <w:t>National Voice Calls</w:t>
            </w:r>
          </w:p>
        </w:tc>
        <w:tc>
          <w:tcPr>
            <w:tcW w:w="2500" w:type="pct"/>
            <w:vAlign w:val="center"/>
          </w:tcPr>
          <w:p w14:paraId="523ED8B9" w14:textId="77777777" w:rsidR="000D07EA" w:rsidRDefault="00BE7C89">
            <w:pPr>
              <w:pStyle w:val="BodyText"/>
              <w:spacing w:before="100" w:after="100"/>
              <w:jc w:val="center"/>
              <w:rPr>
                <w:lang w:val="en-AU"/>
              </w:rPr>
            </w:pPr>
            <w:r>
              <w:rPr>
                <w:lang w:val="en-AU"/>
              </w:rPr>
              <w:t>No</w:t>
            </w:r>
          </w:p>
        </w:tc>
      </w:tr>
      <w:tr w:rsidR="000D07EA" w14:paraId="51D12BF1" w14:textId="77777777">
        <w:tc>
          <w:tcPr>
            <w:tcW w:w="2500" w:type="pct"/>
          </w:tcPr>
          <w:p w14:paraId="1F0BE16E" w14:textId="77777777" w:rsidR="000D07EA" w:rsidRDefault="00BE7C89">
            <w:pPr>
              <w:pStyle w:val="BodyText"/>
              <w:spacing w:before="100" w:after="100"/>
              <w:rPr>
                <w:lang w:val="en-AU"/>
              </w:rPr>
            </w:pPr>
            <w:r>
              <w:rPr>
                <w:lang w:val="en-AU"/>
              </w:rPr>
              <w:t>National Video Calls</w:t>
            </w:r>
          </w:p>
        </w:tc>
        <w:tc>
          <w:tcPr>
            <w:tcW w:w="2500" w:type="pct"/>
            <w:vAlign w:val="center"/>
          </w:tcPr>
          <w:p w14:paraId="25D40504" w14:textId="77777777" w:rsidR="000D07EA" w:rsidRDefault="00BE7C89">
            <w:pPr>
              <w:pStyle w:val="BodyText"/>
              <w:spacing w:before="100" w:after="100"/>
              <w:jc w:val="center"/>
              <w:rPr>
                <w:lang w:val="en-AU"/>
              </w:rPr>
            </w:pPr>
            <w:r>
              <w:rPr>
                <w:lang w:val="en-AU"/>
              </w:rPr>
              <w:t>No</w:t>
            </w:r>
          </w:p>
        </w:tc>
      </w:tr>
      <w:tr w:rsidR="000D07EA" w14:paraId="6B55D214" w14:textId="77777777">
        <w:tc>
          <w:tcPr>
            <w:tcW w:w="2500" w:type="pct"/>
          </w:tcPr>
          <w:p w14:paraId="608F8CF2" w14:textId="77777777" w:rsidR="000D07EA" w:rsidRDefault="00BE7C89">
            <w:pPr>
              <w:pStyle w:val="BodyText"/>
              <w:spacing w:before="100" w:after="100"/>
              <w:rPr>
                <w:lang w:val="en-AU"/>
              </w:rPr>
            </w:pPr>
            <w:r>
              <w:rPr>
                <w:lang w:val="en-AU"/>
              </w:rPr>
              <w:t>International Voice Calls</w:t>
            </w:r>
          </w:p>
          <w:p w14:paraId="7E1F1C4B" w14:textId="77777777" w:rsidR="000D07EA" w:rsidRDefault="00BE7C89">
            <w:pPr>
              <w:pStyle w:val="BodyText"/>
              <w:spacing w:before="100" w:after="100"/>
              <w:rPr>
                <w:lang w:val="en-AU"/>
              </w:rPr>
            </w:pPr>
            <w:r>
              <w:rPr>
                <w:snapToGrid w:val="0"/>
                <w:lang w:val="en-AU"/>
              </w:rPr>
              <w:t>(includes calls to national fixed or GSM mobile services that then divert/switch or re-route overseas)</w:t>
            </w:r>
          </w:p>
        </w:tc>
        <w:tc>
          <w:tcPr>
            <w:tcW w:w="2500" w:type="pct"/>
            <w:vAlign w:val="center"/>
          </w:tcPr>
          <w:p w14:paraId="0A8D572B" w14:textId="77777777" w:rsidR="000D07EA" w:rsidRDefault="00BE7C89">
            <w:pPr>
              <w:pStyle w:val="BodyText"/>
              <w:spacing w:before="100" w:after="100"/>
              <w:jc w:val="center"/>
              <w:rPr>
                <w:lang w:val="en-AU"/>
              </w:rPr>
            </w:pPr>
            <w:r>
              <w:rPr>
                <w:lang w:val="en-AU"/>
              </w:rPr>
              <w:t>No</w:t>
            </w:r>
          </w:p>
        </w:tc>
      </w:tr>
      <w:tr w:rsidR="000D07EA" w14:paraId="3C96EE73" w14:textId="77777777">
        <w:tc>
          <w:tcPr>
            <w:tcW w:w="2500" w:type="pct"/>
          </w:tcPr>
          <w:p w14:paraId="566931B7" w14:textId="77777777" w:rsidR="000D07EA" w:rsidRDefault="00BE7C89">
            <w:pPr>
              <w:pStyle w:val="BodyText"/>
              <w:spacing w:before="100" w:after="100"/>
              <w:rPr>
                <w:lang w:val="en-AU"/>
              </w:rPr>
            </w:pPr>
            <w:r>
              <w:rPr>
                <w:lang w:val="en-AU"/>
              </w:rPr>
              <w:t>International Video Calls</w:t>
            </w:r>
          </w:p>
          <w:p w14:paraId="1CA51B6A" w14:textId="77777777" w:rsidR="000D07EA" w:rsidRDefault="00BE7C89">
            <w:pPr>
              <w:pStyle w:val="BodyText"/>
              <w:spacing w:before="100" w:after="100"/>
              <w:rPr>
                <w:lang w:val="en-AU"/>
              </w:rPr>
            </w:pPr>
            <w:r>
              <w:rPr>
                <w:snapToGrid w:val="0"/>
                <w:lang w:val="en-AU"/>
              </w:rPr>
              <w:t>(includes calls to national fixed or GSM mobile services that then divert/switch or re-route overseas)</w:t>
            </w:r>
          </w:p>
        </w:tc>
        <w:tc>
          <w:tcPr>
            <w:tcW w:w="2500" w:type="pct"/>
            <w:vAlign w:val="center"/>
          </w:tcPr>
          <w:p w14:paraId="0519747F" w14:textId="77777777" w:rsidR="000D07EA" w:rsidRDefault="00BE7C89">
            <w:pPr>
              <w:pStyle w:val="BodyText"/>
              <w:spacing w:before="100" w:after="100"/>
              <w:jc w:val="center"/>
              <w:rPr>
                <w:lang w:val="en-AU"/>
              </w:rPr>
            </w:pPr>
            <w:r>
              <w:rPr>
                <w:lang w:val="en-AU"/>
              </w:rPr>
              <w:t>No</w:t>
            </w:r>
          </w:p>
        </w:tc>
      </w:tr>
      <w:tr w:rsidR="000D07EA" w14:paraId="1B3F49D1" w14:textId="77777777">
        <w:tc>
          <w:tcPr>
            <w:tcW w:w="2500" w:type="pct"/>
          </w:tcPr>
          <w:p w14:paraId="0546821B" w14:textId="77777777" w:rsidR="000D07EA" w:rsidRDefault="00BE7C89">
            <w:pPr>
              <w:pStyle w:val="BodyText"/>
              <w:spacing w:before="100" w:after="100"/>
              <w:rPr>
                <w:lang w:val="en-AU"/>
              </w:rPr>
            </w:pPr>
            <w:r>
              <w:rPr>
                <w:lang w:val="en-AU"/>
              </w:rPr>
              <w:t>National Standard SMS</w:t>
            </w:r>
          </w:p>
        </w:tc>
        <w:tc>
          <w:tcPr>
            <w:tcW w:w="2500" w:type="pct"/>
            <w:vAlign w:val="center"/>
          </w:tcPr>
          <w:p w14:paraId="7CF9EE7E" w14:textId="77777777" w:rsidR="000D07EA" w:rsidRDefault="00BE7C89">
            <w:pPr>
              <w:pStyle w:val="BodyText"/>
              <w:spacing w:before="100" w:after="100"/>
              <w:jc w:val="center"/>
              <w:rPr>
                <w:lang w:val="en-AU"/>
              </w:rPr>
            </w:pPr>
            <w:r>
              <w:rPr>
                <w:lang w:val="en-AU"/>
              </w:rPr>
              <w:t>No</w:t>
            </w:r>
          </w:p>
        </w:tc>
      </w:tr>
      <w:tr w:rsidR="000D07EA" w14:paraId="0368E0F2" w14:textId="77777777">
        <w:tc>
          <w:tcPr>
            <w:tcW w:w="2500" w:type="pct"/>
          </w:tcPr>
          <w:p w14:paraId="65FF9C15" w14:textId="77777777" w:rsidR="000D07EA" w:rsidRDefault="00BE7C89">
            <w:pPr>
              <w:pStyle w:val="BodyText"/>
              <w:spacing w:before="100" w:after="100"/>
              <w:rPr>
                <w:lang w:val="en-AU"/>
              </w:rPr>
            </w:pPr>
            <w:r>
              <w:rPr>
                <w:lang w:val="en-AU"/>
              </w:rPr>
              <w:t>International SMS</w:t>
            </w:r>
          </w:p>
        </w:tc>
        <w:tc>
          <w:tcPr>
            <w:tcW w:w="2500" w:type="pct"/>
            <w:vAlign w:val="center"/>
          </w:tcPr>
          <w:p w14:paraId="1A13C492" w14:textId="77777777" w:rsidR="000D07EA" w:rsidRDefault="00BE7C89">
            <w:pPr>
              <w:pStyle w:val="BodyText"/>
              <w:spacing w:before="100" w:after="100"/>
              <w:jc w:val="center"/>
              <w:rPr>
                <w:lang w:val="en-AU"/>
              </w:rPr>
            </w:pPr>
            <w:r>
              <w:rPr>
                <w:lang w:val="en-AU"/>
              </w:rPr>
              <w:t>No</w:t>
            </w:r>
          </w:p>
        </w:tc>
      </w:tr>
      <w:tr w:rsidR="000D07EA" w14:paraId="6BDA6847" w14:textId="77777777">
        <w:tc>
          <w:tcPr>
            <w:tcW w:w="2500" w:type="pct"/>
          </w:tcPr>
          <w:p w14:paraId="698A5776" w14:textId="77777777" w:rsidR="000D07EA" w:rsidRDefault="00BE7C89">
            <w:pPr>
              <w:pStyle w:val="BodyText"/>
              <w:spacing w:before="100" w:after="100"/>
              <w:rPr>
                <w:lang w:val="en-AU"/>
              </w:rPr>
            </w:pPr>
            <w:r>
              <w:rPr>
                <w:lang w:val="en-AU"/>
              </w:rPr>
              <w:t>National MMS</w:t>
            </w:r>
          </w:p>
        </w:tc>
        <w:tc>
          <w:tcPr>
            <w:tcW w:w="2500" w:type="pct"/>
            <w:vAlign w:val="center"/>
          </w:tcPr>
          <w:p w14:paraId="7B4A48DE" w14:textId="77777777" w:rsidR="000D07EA" w:rsidRDefault="00BE7C89">
            <w:pPr>
              <w:pStyle w:val="BodyText"/>
              <w:spacing w:before="100" w:after="100"/>
              <w:jc w:val="center"/>
              <w:rPr>
                <w:lang w:val="en-AU"/>
              </w:rPr>
            </w:pPr>
            <w:r>
              <w:rPr>
                <w:lang w:val="en-AU"/>
              </w:rPr>
              <w:t>No</w:t>
            </w:r>
          </w:p>
        </w:tc>
      </w:tr>
      <w:tr w:rsidR="000D07EA" w14:paraId="198A4325" w14:textId="77777777">
        <w:tc>
          <w:tcPr>
            <w:tcW w:w="2500" w:type="pct"/>
          </w:tcPr>
          <w:p w14:paraId="34DF60E8" w14:textId="77777777" w:rsidR="000D07EA" w:rsidRDefault="00BE7C89">
            <w:pPr>
              <w:pStyle w:val="BodyText"/>
              <w:spacing w:before="100" w:after="100"/>
              <w:rPr>
                <w:lang w:val="en-AU"/>
              </w:rPr>
            </w:pPr>
            <w:r>
              <w:rPr>
                <w:lang w:val="en-AU"/>
              </w:rPr>
              <w:t>International MMS</w:t>
            </w:r>
          </w:p>
        </w:tc>
        <w:tc>
          <w:tcPr>
            <w:tcW w:w="2500" w:type="pct"/>
            <w:vAlign w:val="center"/>
          </w:tcPr>
          <w:p w14:paraId="78957A85" w14:textId="77777777" w:rsidR="000D07EA" w:rsidRDefault="00BE7C89">
            <w:pPr>
              <w:pStyle w:val="BodyText"/>
              <w:spacing w:before="100" w:after="100"/>
              <w:jc w:val="center"/>
              <w:rPr>
                <w:lang w:val="en-AU"/>
              </w:rPr>
            </w:pPr>
            <w:r>
              <w:rPr>
                <w:lang w:val="en-AU"/>
              </w:rPr>
              <w:t>No</w:t>
            </w:r>
          </w:p>
        </w:tc>
      </w:tr>
      <w:tr w:rsidR="000D07EA" w14:paraId="11E33114" w14:textId="77777777">
        <w:tc>
          <w:tcPr>
            <w:tcW w:w="2500" w:type="pct"/>
          </w:tcPr>
          <w:p w14:paraId="683E9B9C" w14:textId="77777777" w:rsidR="000D07EA" w:rsidRDefault="00BE7C89">
            <w:pPr>
              <w:pStyle w:val="BodyText"/>
              <w:spacing w:before="100" w:after="100"/>
              <w:rPr>
                <w:lang w:val="en-AU"/>
              </w:rPr>
            </w:pPr>
            <w:r>
              <w:rPr>
                <w:lang w:val="en-AU"/>
              </w:rPr>
              <w:t>Voicemail Diversions</w:t>
            </w:r>
          </w:p>
        </w:tc>
        <w:tc>
          <w:tcPr>
            <w:tcW w:w="2500" w:type="pct"/>
            <w:vAlign w:val="center"/>
          </w:tcPr>
          <w:p w14:paraId="44E4A037" w14:textId="77777777" w:rsidR="000D07EA" w:rsidRDefault="00BE7C89">
            <w:pPr>
              <w:pStyle w:val="BodyText"/>
              <w:spacing w:before="100" w:after="100"/>
              <w:jc w:val="center"/>
              <w:rPr>
                <w:lang w:val="en-AU"/>
              </w:rPr>
            </w:pPr>
            <w:r>
              <w:rPr>
                <w:lang w:val="en-AU"/>
              </w:rPr>
              <w:t>No</w:t>
            </w:r>
          </w:p>
        </w:tc>
      </w:tr>
      <w:tr w:rsidR="000D07EA" w14:paraId="647B3073" w14:textId="77777777">
        <w:tc>
          <w:tcPr>
            <w:tcW w:w="2500" w:type="pct"/>
          </w:tcPr>
          <w:p w14:paraId="53DE9099" w14:textId="77777777" w:rsidR="000D07EA" w:rsidRDefault="00BE7C89">
            <w:pPr>
              <w:pStyle w:val="BodyText"/>
              <w:spacing w:before="100" w:after="100"/>
              <w:rPr>
                <w:lang w:val="en-AU"/>
              </w:rPr>
            </w:pPr>
            <w:r>
              <w:rPr>
                <w:lang w:val="en-AU"/>
              </w:rPr>
              <w:t>Voicemail Deposit and Retrievals</w:t>
            </w:r>
          </w:p>
        </w:tc>
        <w:tc>
          <w:tcPr>
            <w:tcW w:w="2500" w:type="pct"/>
            <w:vAlign w:val="center"/>
          </w:tcPr>
          <w:p w14:paraId="1C5E3099" w14:textId="77777777" w:rsidR="000D07EA" w:rsidRDefault="00BE7C89">
            <w:pPr>
              <w:pStyle w:val="BodyText"/>
              <w:spacing w:before="100" w:after="100"/>
              <w:jc w:val="center"/>
              <w:rPr>
                <w:lang w:val="en-AU"/>
              </w:rPr>
            </w:pPr>
            <w:r>
              <w:rPr>
                <w:lang w:val="en-AU"/>
              </w:rPr>
              <w:t>No</w:t>
            </w:r>
          </w:p>
        </w:tc>
      </w:tr>
      <w:tr w:rsidR="000D07EA" w14:paraId="1B2C8DDB" w14:textId="77777777">
        <w:tc>
          <w:tcPr>
            <w:tcW w:w="2500" w:type="pct"/>
          </w:tcPr>
          <w:p w14:paraId="64FEA7EE" w14:textId="77777777" w:rsidR="000D07EA" w:rsidRDefault="00BE7C89">
            <w:pPr>
              <w:pStyle w:val="BodyText"/>
              <w:spacing w:before="100" w:after="100"/>
              <w:rPr>
                <w:lang w:val="en-AU"/>
              </w:rPr>
            </w:pPr>
            <w:r>
              <w:rPr>
                <w:lang w:val="en-AU"/>
              </w:rPr>
              <w:t>International Roaming and Diversion</w:t>
            </w:r>
          </w:p>
        </w:tc>
        <w:tc>
          <w:tcPr>
            <w:tcW w:w="2500" w:type="pct"/>
            <w:vAlign w:val="center"/>
          </w:tcPr>
          <w:p w14:paraId="187D54D7" w14:textId="77777777" w:rsidR="000D07EA" w:rsidRDefault="00BE7C89">
            <w:pPr>
              <w:pStyle w:val="BodyText"/>
              <w:spacing w:before="100" w:after="100"/>
              <w:jc w:val="center"/>
              <w:rPr>
                <w:lang w:val="en-AU"/>
              </w:rPr>
            </w:pPr>
            <w:r>
              <w:rPr>
                <w:lang w:val="en-AU"/>
              </w:rPr>
              <w:t>No</w:t>
            </w:r>
          </w:p>
        </w:tc>
      </w:tr>
      <w:tr w:rsidR="000D07EA" w14:paraId="3D75636E" w14:textId="77777777">
        <w:tc>
          <w:tcPr>
            <w:tcW w:w="2500" w:type="pct"/>
          </w:tcPr>
          <w:p w14:paraId="174AC48E" w14:textId="77777777" w:rsidR="000D07EA" w:rsidRDefault="00BE7C89">
            <w:pPr>
              <w:pStyle w:val="BodyText"/>
              <w:spacing w:before="100" w:after="100"/>
              <w:rPr>
                <w:lang w:val="en-AU"/>
              </w:rPr>
            </w:pPr>
            <w:r>
              <w:rPr>
                <w:lang w:val="en-AU"/>
              </w:rPr>
              <w:t>Premium SMS</w:t>
            </w:r>
          </w:p>
        </w:tc>
        <w:tc>
          <w:tcPr>
            <w:tcW w:w="2500" w:type="pct"/>
            <w:vAlign w:val="center"/>
          </w:tcPr>
          <w:p w14:paraId="2A6345B1" w14:textId="77777777" w:rsidR="000D07EA" w:rsidRDefault="00BE7C89">
            <w:pPr>
              <w:pStyle w:val="BodyText"/>
              <w:spacing w:before="100" w:after="100"/>
              <w:jc w:val="center"/>
              <w:rPr>
                <w:lang w:val="en-AU"/>
              </w:rPr>
            </w:pPr>
            <w:r>
              <w:rPr>
                <w:lang w:val="en-AU"/>
              </w:rPr>
              <w:t>No</w:t>
            </w:r>
          </w:p>
        </w:tc>
      </w:tr>
      <w:tr w:rsidR="000D07EA" w14:paraId="5EFB3C32" w14:textId="77777777">
        <w:tc>
          <w:tcPr>
            <w:tcW w:w="2500" w:type="pct"/>
          </w:tcPr>
          <w:p w14:paraId="5B743B6A" w14:textId="77777777" w:rsidR="000D07EA" w:rsidRDefault="00BE7C89">
            <w:pPr>
              <w:pStyle w:val="BodyText"/>
              <w:spacing w:before="100" w:after="100"/>
              <w:rPr>
                <w:lang w:val="en-AU"/>
              </w:rPr>
            </w:pPr>
            <w:r>
              <w:rPr>
                <w:lang w:val="en-AU"/>
              </w:rPr>
              <w:t>Premium Video</w:t>
            </w:r>
          </w:p>
        </w:tc>
        <w:tc>
          <w:tcPr>
            <w:tcW w:w="2500" w:type="pct"/>
            <w:vAlign w:val="center"/>
          </w:tcPr>
          <w:p w14:paraId="15184427" w14:textId="77777777" w:rsidR="000D07EA" w:rsidRDefault="00BE7C89">
            <w:pPr>
              <w:pStyle w:val="BodyText"/>
              <w:spacing w:before="100" w:after="100"/>
              <w:jc w:val="center"/>
              <w:rPr>
                <w:lang w:val="en-AU"/>
              </w:rPr>
            </w:pPr>
            <w:r>
              <w:rPr>
                <w:lang w:val="en-AU"/>
              </w:rPr>
              <w:t>No</w:t>
            </w:r>
          </w:p>
        </w:tc>
      </w:tr>
      <w:tr w:rsidR="000D07EA" w14:paraId="1416F880" w14:textId="77777777">
        <w:tc>
          <w:tcPr>
            <w:tcW w:w="2500" w:type="pct"/>
          </w:tcPr>
          <w:p w14:paraId="6741348F" w14:textId="77777777" w:rsidR="000D07EA" w:rsidRDefault="00BE7C89">
            <w:pPr>
              <w:pStyle w:val="BodyText"/>
              <w:spacing w:before="100" w:after="100"/>
              <w:rPr>
                <w:lang w:val="en-AU"/>
              </w:rPr>
            </w:pPr>
            <w:r>
              <w:rPr>
                <w:lang w:val="en-AU"/>
              </w:rPr>
              <w:t>Video Conferencing</w:t>
            </w:r>
          </w:p>
        </w:tc>
        <w:tc>
          <w:tcPr>
            <w:tcW w:w="2500" w:type="pct"/>
            <w:vAlign w:val="center"/>
          </w:tcPr>
          <w:p w14:paraId="4B8A4F74" w14:textId="77777777" w:rsidR="000D07EA" w:rsidRDefault="00BE7C89">
            <w:pPr>
              <w:pStyle w:val="BodyText"/>
              <w:spacing w:before="100" w:after="100"/>
              <w:jc w:val="center"/>
              <w:rPr>
                <w:lang w:val="en-AU"/>
              </w:rPr>
            </w:pPr>
            <w:r>
              <w:rPr>
                <w:lang w:val="en-AU"/>
              </w:rPr>
              <w:t>No</w:t>
            </w:r>
          </w:p>
        </w:tc>
      </w:tr>
      <w:tr w:rsidR="000D07EA" w14:paraId="0510C842" w14:textId="77777777">
        <w:tc>
          <w:tcPr>
            <w:tcW w:w="2500" w:type="pct"/>
          </w:tcPr>
          <w:p w14:paraId="5047F46E" w14:textId="77777777" w:rsidR="000D07EA" w:rsidRDefault="00BE7C89">
            <w:pPr>
              <w:pStyle w:val="BodyText"/>
              <w:spacing w:before="100" w:after="100"/>
              <w:rPr>
                <w:lang w:val="en-AU"/>
              </w:rPr>
            </w:pPr>
            <w:r>
              <w:rPr>
                <w:lang w:val="en-AU"/>
              </w:rPr>
              <w:lastRenderedPageBreak/>
              <w:t>Optus Zoo or Optus iZoo Browsing</w:t>
            </w:r>
          </w:p>
        </w:tc>
        <w:tc>
          <w:tcPr>
            <w:tcW w:w="2500" w:type="pct"/>
            <w:vAlign w:val="center"/>
          </w:tcPr>
          <w:p w14:paraId="7379070F" w14:textId="77777777" w:rsidR="000D07EA" w:rsidRDefault="00BE7C89">
            <w:pPr>
              <w:pStyle w:val="BodyText"/>
              <w:spacing w:before="100" w:after="100"/>
              <w:jc w:val="center"/>
              <w:rPr>
                <w:lang w:val="en-AU"/>
              </w:rPr>
            </w:pPr>
            <w:r>
              <w:rPr>
                <w:lang w:val="en-AU"/>
              </w:rPr>
              <w:t>Yes, up to the monthly included data amount specified in Table 3A.</w:t>
            </w:r>
          </w:p>
        </w:tc>
      </w:tr>
      <w:tr w:rsidR="000D07EA" w14:paraId="6E350C69" w14:textId="77777777">
        <w:tc>
          <w:tcPr>
            <w:tcW w:w="2500" w:type="pct"/>
          </w:tcPr>
          <w:p w14:paraId="6FDF3E8D" w14:textId="77777777" w:rsidR="000D07EA" w:rsidRDefault="00BE7C89">
            <w:pPr>
              <w:pStyle w:val="BodyText"/>
              <w:spacing w:before="100" w:after="100"/>
              <w:rPr>
                <w:lang w:val="en-AU"/>
              </w:rPr>
            </w:pPr>
            <w:r>
              <w:rPr>
                <w:lang w:val="en-AU"/>
              </w:rPr>
              <w:t>Optus Zoo or Optus iZoo Downloads</w:t>
            </w:r>
          </w:p>
        </w:tc>
        <w:tc>
          <w:tcPr>
            <w:tcW w:w="2500" w:type="pct"/>
            <w:vAlign w:val="center"/>
          </w:tcPr>
          <w:p w14:paraId="626F985D" w14:textId="77777777" w:rsidR="000D07EA" w:rsidRDefault="00BE7C89">
            <w:pPr>
              <w:pStyle w:val="BodyText"/>
              <w:spacing w:before="100" w:after="100"/>
              <w:jc w:val="center"/>
              <w:rPr>
                <w:lang w:val="en-AU"/>
              </w:rPr>
            </w:pPr>
            <w:r>
              <w:rPr>
                <w:lang w:val="en-AU"/>
              </w:rPr>
              <w:t>No</w:t>
            </w:r>
          </w:p>
        </w:tc>
      </w:tr>
      <w:tr w:rsidR="000D07EA" w14:paraId="184E20AB" w14:textId="77777777">
        <w:tc>
          <w:tcPr>
            <w:tcW w:w="2500" w:type="pct"/>
          </w:tcPr>
          <w:p w14:paraId="042A162E" w14:textId="77777777" w:rsidR="000D07EA" w:rsidRDefault="00BE7C89">
            <w:pPr>
              <w:pStyle w:val="BodyText"/>
              <w:spacing w:before="100" w:after="100"/>
              <w:rPr>
                <w:lang w:val="en-AU"/>
              </w:rPr>
            </w:pPr>
            <w:r>
              <w:rPr>
                <w:lang w:val="en-AU"/>
              </w:rPr>
              <w:t>SMS to 966 (Zoo)</w:t>
            </w:r>
          </w:p>
        </w:tc>
        <w:tc>
          <w:tcPr>
            <w:tcW w:w="2500" w:type="pct"/>
            <w:vAlign w:val="center"/>
          </w:tcPr>
          <w:p w14:paraId="5DA183E7" w14:textId="77777777" w:rsidR="000D07EA" w:rsidRDefault="00BE7C89">
            <w:pPr>
              <w:pStyle w:val="BodyText"/>
              <w:spacing w:before="100" w:after="100"/>
              <w:jc w:val="center"/>
              <w:rPr>
                <w:lang w:val="en-AU"/>
              </w:rPr>
            </w:pPr>
            <w:r>
              <w:rPr>
                <w:lang w:val="en-AU"/>
              </w:rPr>
              <w:t>No</w:t>
            </w:r>
          </w:p>
        </w:tc>
      </w:tr>
      <w:tr w:rsidR="000D07EA" w14:paraId="215FF5DA" w14:textId="77777777">
        <w:tc>
          <w:tcPr>
            <w:tcW w:w="2500" w:type="pct"/>
          </w:tcPr>
          <w:p w14:paraId="0847FB3E" w14:textId="77777777" w:rsidR="000D07EA" w:rsidRDefault="00BE7C89">
            <w:pPr>
              <w:pStyle w:val="BodyText"/>
              <w:spacing w:before="100" w:after="100"/>
              <w:rPr>
                <w:lang w:val="en-AU"/>
              </w:rPr>
            </w:pPr>
            <w:r>
              <w:rPr>
                <w:lang w:val="en-AU"/>
              </w:rPr>
              <w:t>Mobile Internet usage</w:t>
            </w:r>
          </w:p>
        </w:tc>
        <w:tc>
          <w:tcPr>
            <w:tcW w:w="2500" w:type="pct"/>
            <w:vAlign w:val="center"/>
          </w:tcPr>
          <w:p w14:paraId="4C7E3910" w14:textId="77777777" w:rsidR="000D07EA" w:rsidRDefault="00BE7C89">
            <w:pPr>
              <w:pStyle w:val="BodyText"/>
              <w:spacing w:before="100" w:after="100"/>
              <w:jc w:val="center"/>
              <w:rPr>
                <w:lang w:val="en-AU"/>
              </w:rPr>
            </w:pPr>
            <w:r>
              <w:rPr>
                <w:lang w:val="en-AU"/>
              </w:rPr>
              <w:t>Yes, up to the monthly included data amount specified in Table 3A.</w:t>
            </w:r>
          </w:p>
        </w:tc>
      </w:tr>
      <w:tr w:rsidR="000D07EA" w14:paraId="22997E2F" w14:textId="77777777">
        <w:tc>
          <w:tcPr>
            <w:tcW w:w="2500" w:type="pct"/>
          </w:tcPr>
          <w:p w14:paraId="79677A44" w14:textId="77777777" w:rsidR="000D07EA" w:rsidRDefault="00BE7C89">
            <w:pPr>
              <w:pStyle w:val="BodyText"/>
              <w:spacing w:before="100" w:after="100"/>
              <w:rPr>
                <w:lang w:val="en-AU"/>
              </w:rPr>
            </w:pPr>
            <w:r>
              <w:rPr>
                <w:lang w:val="en-AU"/>
              </w:rPr>
              <w:t>Mobile as Modem</w:t>
            </w:r>
          </w:p>
        </w:tc>
        <w:tc>
          <w:tcPr>
            <w:tcW w:w="2500" w:type="pct"/>
            <w:vAlign w:val="center"/>
          </w:tcPr>
          <w:p w14:paraId="11CA8D40" w14:textId="77777777" w:rsidR="000D07EA" w:rsidRDefault="00BE7C89">
            <w:pPr>
              <w:pStyle w:val="BodyText"/>
              <w:spacing w:before="100" w:after="100"/>
              <w:jc w:val="center"/>
              <w:rPr>
                <w:lang w:val="en-AU"/>
              </w:rPr>
            </w:pPr>
            <w:r>
              <w:rPr>
                <w:lang w:val="en-AU"/>
              </w:rPr>
              <w:t>Yes</w:t>
            </w:r>
          </w:p>
        </w:tc>
      </w:tr>
      <w:tr w:rsidR="000D07EA" w14:paraId="4854EF4E" w14:textId="77777777">
        <w:tc>
          <w:tcPr>
            <w:tcW w:w="2500" w:type="pct"/>
          </w:tcPr>
          <w:p w14:paraId="758A91CF" w14:textId="77777777" w:rsidR="000D07EA" w:rsidRDefault="00BE7C89">
            <w:pPr>
              <w:pStyle w:val="BodyText"/>
              <w:spacing w:before="100" w:after="100"/>
              <w:rPr>
                <w:lang w:val="en-AU"/>
              </w:rPr>
            </w:pPr>
            <w:r>
              <w:rPr>
                <w:lang w:val="en-AU"/>
              </w:rPr>
              <w:t>Data Used while Roaming Internationally</w:t>
            </w:r>
          </w:p>
        </w:tc>
        <w:tc>
          <w:tcPr>
            <w:tcW w:w="2500" w:type="pct"/>
            <w:vAlign w:val="center"/>
          </w:tcPr>
          <w:p w14:paraId="6008B001" w14:textId="77777777" w:rsidR="000D07EA" w:rsidRDefault="00BE7C89">
            <w:pPr>
              <w:pStyle w:val="BodyText"/>
              <w:spacing w:before="100" w:after="100"/>
              <w:jc w:val="center"/>
              <w:rPr>
                <w:lang w:val="en-AU"/>
              </w:rPr>
            </w:pPr>
            <w:r>
              <w:rPr>
                <w:lang w:val="en-AU"/>
              </w:rPr>
              <w:t>No</w:t>
            </w:r>
          </w:p>
        </w:tc>
      </w:tr>
      <w:tr w:rsidR="000D07EA" w14:paraId="5EC6CA42" w14:textId="77777777">
        <w:tc>
          <w:tcPr>
            <w:tcW w:w="2500" w:type="pct"/>
          </w:tcPr>
          <w:p w14:paraId="7D6D4E1C" w14:textId="77777777" w:rsidR="000D07EA" w:rsidRDefault="00BE7C89">
            <w:pPr>
              <w:pStyle w:val="BodyText"/>
              <w:spacing w:before="100" w:after="100"/>
              <w:rPr>
                <w:lang w:val="en-AU"/>
              </w:rPr>
            </w:pPr>
            <w:r>
              <w:rPr>
                <w:lang w:val="en-AU"/>
              </w:rPr>
              <w:t>Content Packs (unless specified in promotions)</w:t>
            </w:r>
          </w:p>
        </w:tc>
        <w:tc>
          <w:tcPr>
            <w:tcW w:w="2500" w:type="pct"/>
            <w:vAlign w:val="center"/>
          </w:tcPr>
          <w:p w14:paraId="655A9303" w14:textId="77777777" w:rsidR="000D07EA" w:rsidRDefault="00BE7C89">
            <w:pPr>
              <w:pStyle w:val="BodyText"/>
              <w:spacing w:before="100" w:after="100"/>
              <w:jc w:val="center"/>
              <w:rPr>
                <w:lang w:val="en-AU"/>
              </w:rPr>
            </w:pPr>
            <w:r>
              <w:rPr>
                <w:lang w:val="en-AU"/>
              </w:rPr>
              <w:t>No</w:t>
            </w:r>
          </w:p>
        </w:tc>
      </w:tr>
      <w:tr w:rsidR="000D07EA" w14:paraId="38A00BAC" w14:textId="77777777">
        <w:tc>
          <w:tcPr>
            <w:tcW w:w="2500" w:type="pct"/>
          </w:tcPr>
          <w:p w14:paraId="0B4A1C99" w14:textId="77777777" w:rsidR="000D07EA" w:rsidRDefault="00BE7C89">
            <w:pPr>
              <w:pStyle w:val="BodyText"/>
              <w:spacing w:before="100" w:after="100"/>
              <w:rPr>
                <w:lang w:val="en-AU"/>
              </w:rPr>
            </w:pPr>
            <w:r>
              <w:rPr>
                <w:lang w:val="en-AU"/>
              </w:rPr>
              <w:t>TrueLocal Usage</w:t>
            </w:r>
          </w:p>
        </w:tc>
        <w:tc>
          <w:tcPr>
            <w:tcW w:w="2500" w:type="pct"/>
            <w:vAlign w:val="center"/>
          </w:tcPr>
          <w:p w14:paraId="3537CC29" w14:textId="77777777" w:rsidR="000D07EA" w:rsidRDefault="00BE7C89">
            <w:pPr>
              <w:pStyle w:val="BodyText"/>
              <w:spacing w:before="100" w:after="100"/>
              <w:jc w:val="center"/>
              <w:rPr>
                <w:lang w:val="en-AU"/>
              </w:rPr>
            </w:pPr>
            <w:r>
              <w:rPr>
                <w:lang w:val="en-AU"/>
              </w:rPr>
              <w:t>No</w:t>
            </w:r>
          </w:p>
        </w:tc>
      </w:tr>
      <w:tr w:rsidR="000D07EA" w14:paraId="4839A884" w14:textId="77777777">
        <w:tc>
          <w:tcPr>
            <w:tcW w:w="2500" w:type="pct"/>
          </w:tcPr>
          <w:p w14:paraId="6EECA9F6" w14:textId="77777777" w:rsidR="000D07EA" w:rsidRDefault="00BE7C89">
            <w:pPr>
              <w:pStyle w:val="BodyText"/>
              <w:spacing w:before="100" w:after="100"/>
              <w:rPr>
                <w:lang w:val="en-AU"/>
              </w:rPr>
            </w:pPr>
            <w:r>
              <w:rPr>
                <w:lang w:val="en-AU"/>
              </w:rPr>
              <w:t xml:space="preserve">Directory Assistance- 1223 </w:t>
            </w:r>
          </w:p>
        </w:tc>
        <w:tc>
          <w:tcPr>
            <w:tcW w:w="2500" w:type="pct"/>
            <w:vAlign w:val="center"/>
          </w:tcPr>
          <w:p w14:paraId="08413277" w14:textId="77777777" w:rsidR="000D07EA" w:rsidRDefault="00BE7C89">
            <w:pPr>
              <w:pStyle w:val="BodyText"/>
              <w:spacing w:before="100" w:after="100"/>
              <w:jc w:val="center"/>
              <w:rPr>
                <w:lang w:val="en-AU"/>
              </w:rPr>
            </w:pPr>
            <w:r>
              <w:rPr>
                <w:lang w:val="en-AU"/>
              </w:rPr>
              <w:t>No</w:t>
            </w:r>
          </w:p>
        </w:tc>
      </w:tr>
      <w:tr w:rsidR="000D07EA" w14:paraId="598F858F" w14:textId="77777777">
        <w:tc>
          <w:tcPr>
            <w:tcW w:w="2500" w:type="pct"/>
          </w:tcPr>
          <w:p w14:paraId="6702AD03" w14:textId="77777777" w:rsidR="000D07EA" w:rsidRDefault="00BE7C89">
            <w:pPr>
              <w:pStyle w:val="BodyText"/>
              <w:spacing w:before="100" w:after="100"/>
              <w:rPr>
                <w:lang w:val="en-AU"/>
              </w:rPr>
            </w:pPr>
            <w:r>
              <w:rPr>
                <w:lang w:val="en-AU"/>
              </w:rPr>
              <w:t>19XX Numbers</w:t>
            </w:r>
          </w:p>
        </w:tc>
        <w:tc>
          <w:tcPr>
            <w:tcW w:w="2500" w:type="pct"/>
            <w:vAlign w:val="center"/>
          </w:tcPr>
          <w:p w14:paraId="6CB43CDB" w14:textId="77777777" w:rsidR="000D07EA" w:rsidRDefault="00BE7C89">
            <w:pPr>
              <w:pStyle w:val="BodyText"/>
              <w:spacing w:before="100" w:after="100"/>
              <w:jc w:val="center"/>
              <w:rPr>
                <w:lang w:val="en-AU"/>
              </w:rPr>
            </w:pPr>
            <w:r>
              <w:rPr>
                <w:lang w:val="en-AU"/>
              </w:rPr>
              <w:t>No</w:t>
            </w:r>
          </w:p>
        </w:tc>
      </w:tr>
      <w:tr w:rsidR="000D07EA" w14:paraId="4BAB7711" w14:textId="77777777">
        <w:tc>
          <w:tcPr>
            <w:tcW w:w="2500" w:type="pct"/>
          </w:tcPr>
          <w:p w14:paraId="72039D48" w14:textId="77777777" w:rsidR="000D07EA" w:rsidRDefault="00BE7C89">
            <w:pPr>
              <w:pStyle w:val="BodyText"/>
              <w:spacing w:before="100" w:after="100"/>
              <w:rPr>
                <w:lang w:val="en-AU"/>
              </w:rPr>
            </w:pPr>
            <w:r>
              <w:rPr>
                <w:lang w:val="en-AU"/>
              </w:rPr>
              <w:t>1800, 13 and 1300 numbers</w:t>
            </w:r>
          </w:p>
        </w:tc>
        <w:tc>
          <w:tcPr>
            <w:tcW w:w="2500" w:type="pct"/>
            <w:vAlign w:val="center"/>
          </w:tcPr>
          <w:p w14:paraId="0FB5C74C" w14:textId="77777777" w:rsidR="000D07EA" w:rsidRDefault="00BE7C89">
            <w:pPr>
              <w:pStyle w:val="BodyText"/>
              <w:spacing w:before="100" w:after="100"/>
              <w:jc w:val="center"/>
              <w:rPr>
                <w:lang w:val="en-AU"/>
              </w:rPr>
            </w:pPr>
            <w:r>
              <w:rPr>
                <w:lang w:val="en-AU"/>
              </w:rPr>
              <w:t>No</w:t>
            </w:r>
          </w:p>
        </w:tc>
      </w:tr>
      <w:tr w:rsidR="000D07EA" w14:paraId="30C10ECE" w14:textId="77777777">
        <w:tc>
          <w:tcPr>
            <w:tcW w:w="2500" w:type="pct"/>
          </w:tcPr>
          <w:p w14:paraId="0C039375" w14:textId="77777777" w:rsidR="000D07EA" w:rsidRDefault="00BE7C89">
            <w:pPr>
              <w:pStyle w:val="BodyText"/>
              <w:spacing w:before="100" w:after="100"/>
              <w:rPr>
                <w:lang w:val="en-AU"/>
              </w:rPr>
            </w:pPr>
            <w:r>
              <w:rPr>
                <w:lang w:val="en-AU"/>
              </w:rPr>
              <w:t>124YES(937)</w:t>
            </w:r>
          </w:p>
        </w:tc>
        <w:tc>
          <w:tcPr>
            <w:tcW w:w="2500" w:type="pct"/>
            <w:vAlign w:val="center"/>
          </w:tcPr>
          <w:p w14:paraId="003C9F8A" w14:textId="77777777" w:rsidR="000D07EA" w:rsidRDefault="00BE7C89">
            <w:pPr>
              <w:pStyle w:val="BodyText"/>
              <w:spacing w:before="100" w:after="100"/>
              <w:jc w:val="center"/>
              <w:rPr>
                <w:lang w:val="en-AU"/>
              </w:rPr>
            </w:pPr>
            <w:r>
              <w:rPr>
                <w:lang w:val="en-AU"/>
              </w:rPr>
              <w:t>No</w:t>
            </w:r>
          </w:p>
        </w:tc>
      </w:tr>
      <w:tr w:rsidR="000D07EA" w14:paraId="6D898EF5" w14:textId="77777777">
        <w:tc>
          <w:tcPr>
            <w:tcW w:w="2500" w:type="pct"/>
          </w:tcPr>
          <w:p w14:paraId="7961CBFA" w14:textId="77777777" w:rsidR="000D07EA" w:rsidRDefault="00BE7C89">
            <w:pPr>
              <w:pStyle w:val="BodyText"/>
              <w:spacing w:before="100" w:after="100"/>
              <w:rPr>
                <w:lang w:val="en-AU"/>
              </w:rPr>
            </w:pPr>
            <w:r>
              <w:rPr>
                <w:lang w:val="en-AU"/>
              </w:rPr>
              <w:t>Insurance</w:t>
            </w:r>
          </w:p>
        </w:tc>
        <w:tc>
          <w:tcPr>
            <w:tcW w:w="2500" w:type="pct"/>
            <w:vAlign w:val="center"/>
          </w:tcPr>
          <w:p w14:paraId="37DB2790" w14:textId="77777777" w:rsidR="000D07EA" w:rsidRDefault="00BE7C89">
            <w:pPr>
              <w:pStyle w:val="BodyText"/>
              <w:spacing w:before="100" w:after="100"/>
              <w:jc w:val="center"/>
              <w:rPr>
                <w:lang w:val="en-AU"/>
              </w:rPr>
            </w:pPr>
            <w:r>
              <w:rPr>
                <w:lang w:val="en-AU"/>
              </w:rPr>
              <w:t>No</w:t>
            </w:r>
          </w:p>
        </w:tc>
      </w:tr>
      <w:tr w:rsidR="000D07EA" w14:paraId="4823D587" w14:textId="77777777">
        <w:tc>
          <w:tcPr>
            <w:tcW w:w="2500" w:type="pct"/>
          </w:tcPr>
          <w:p w14:paraId="513E506D" w14:textId="77777777" w:rsidR="000D07EA" w:rsidRDefault="00BE7C89">
            <w:pPr>
              <w:pStyle w:val="BodyText"/>
              <w:spacing w:before="100" w:after="100"/>
              <w:rPr>
                <w:lang w:val="en-AU"/>
              </w:rPr>
            </w:pPr>
            <w:r>
              <w:rPr>
                <w:lang w:val="en-AU"/>
              </w:rPr>
              <w:t>Handset Payments</w:t>
            </w:r>
          </w:p>
        </w:tc>
        <w:tc>
          <w:tcPr>
            <w:tcW w:w="2500" w:type="pct"/>
            <w:vAlign w:val="center"/>
          </w:tcPr>
          <w:p w14:paraId="5EA05683" w14:textId="77777777" w:rsidR="000D07EA" w:rsidRDefault="00BE7C89">
            <w:pPr>
              <w:pStyle w:val="BodyText"/>
              <w:spacing w:before="100" w:after="100"/>
              <w:jc w:val="center"/>
              <w:rPr>
                <w:lang w:val="en-AU"/>
              </w:rPr>
            </w:pPr>
            <w:r>
              <w:rPr>
                <w:lang w:val="en-AU"/>
              </w:rPr>
              <w:t>No</w:t>
            </w:r>
          </w:p>
        </w:tc>
      </w:tr>
      <w:tr w:rsidR="000D07EA" w14:paraId="7A3146C8" w14:textId="77777777">
        <w:tc>
          <w:tcPr>
            <w:tcW w:w="2500" w:type="pct"/>
          </w:tcPr>
          <w:p w14:paraId="21C37223" w14:textId="77777777" w:rsidR="000D07EA" w:rsidRDefault="00BE7C89">
            <w:pPr>
              <w:pStyle w:val="BodyText"/>
              <w:spacing w:before="100" w:after="100"/>
              <w:rPr>
                <w:lang w:val="en-AU"/>
              </w:rPr>
            </w:pPr>
            <w:r>
              <w:rPr>
                <w:lang w:val="en-AU"/>
              </w:rPr>
              <w:t>Calls to MobileSat</w:t>
            </w:r>
          </w:p>
        </w:tc>
        <w:tc>
          <w:tcPr>
            <w:tcW w:w="2500" w:type="pct"/>
            <w:vAlign w:val="center"/>
          </w:tcPr>
          <w:p w14:paraId="61FE773D" w14:textId="77777777" w:rsidR="000D07EA" w:rsidRDefault="00BE7C89">
            <w:pPr>
              <w:pStyle w:val="BodyText"/>
              <w:spacing w:before="100" w:after="100"/>
              <w:jc w:val="center"/>
              <w:rPr>
                <w:lang w:val="en-AU"/>
              </w:rPr>
            </w:pPr>
            <w:r>
              <w:rPr>
                <w:lang w:val="en-AU"/>
              </w:rPr>
              <w:t>No</w:t>
            </w:r>
          </w:p>
        </w:tc>
      </w:tr>
      <w:tr w:rsidR="000D07EA" w14:paraId="078ABDA7" w14:textId="77777777">
        <w:tc>
          <w:tcPr>
            <w:tcW w:w="2500" w:type="pct"/>
          </w:tcPr>
          <w:p w14:paraId="4F756EE0" w14:textId="77777777" w:rsidR="000D07EA" w:rsidRDefault="00BE7C89">
            <w:pPr>
              <w:pStyle w:val="BodyText"/>
              <w:spacing w:before="100" w:after="100"/>
              <w:rPr>
                <w:lang w:val="en-AU"/>
              </w:rPr>
            </w:pPr>
            <w:r>
              <w:rPr>
                <w:lang w:val="en-AU"/>
              </w:rPr>
              <w:t>VOIP services</w:t>
            </w:r>
          </w:p>
        </w:tc>
        <w:tc>
          <w:tcPr>
            <w:tcW w:w="2500" w:type="pct"/>
            <w:vAlign w:val="center"/>
          </w:tcPr>
          <w:p w14:paraId="672B69E7" w14:textId="77777777" w:rsidR="000D07EA" w:rsidRDefault="00BE7C89">
            <w:pPr>
              <w:pStyle w:val="BodyText"/>
              <w:spacing w:before="100" w:after="100"/>
              <w:jc w:val="center"/>
              <w:rPr>
                <w:lang w:val="en-AU"/>
              </w:rPr>
            </w:pPr>
            <w:r>
              <w:rPr>
                <w:lang w:val="en-AU"/>
              </w:rPr>
              <w:t>No</w:t>
            </w:r>
          </w:p>
        </w:tc>
      </w:tr>
    </w:tbl>
    <w:p w14:paraId="709A775F" w14:textId="77777777" w:rsidR="000D07EA" w:rsidRDefault="000D07EA">
      <w:pPr>
        <w:pStyle w:val="BodyText"/>
        <w:rPr>
          <w:lang w:val="en-AU"/>
        </w:rPr>
      </w:pPr>
    </w:p>
    <w:p w14:paraId="70E27131" w14:textId="77777777" w:rsidR="000D07EA" w:rsidRDefault="00BE7C89">
      <w:pPr>
        <w:pStyle w:val="BodyText"/>
        <w:ind w:left="720"/>
        <w:rPr>
          <w:b/>
          <w:lang w:val="en-AU"/>
        </w:rPr>
      </w:pPr>
      <w:r>
        <w:rPr>
          <w:b/>
          <w:lang w:val="en-AU"/>
        </w:rPr>
        <w:t>Table 2B – Eligible for Unlimited BlackBerry POP3 Email &amp; Browsing through the</w:t>
      </w:r>
      <w:r>
        <w:rPr>
          <w:b/>
          <w:lang w:val="en-AU"/>
        </w:rPr>
        <w:br/>
        <w:t>BlackBerry Browser</w:t>
      </w: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730"/>
        <w:gridCol w:w="4731"/>
      </w:tblGrid>
      <w:tr w:rsidR="000D07EA" w14:paraId="19092868" w14:textId="77777777">
        <w:trPr>
          <w:tblHeader/>
        </w:trPr>
        <w:tc>
          <w:tcPr>
            <w:tcW w:w="2500" w:type="pct"/>
          </w:tcPr>
          <w:p w14:paraId="3A1D6468" w14:textId="77777777" w:rsidR="000D07EA" w:rsidRDefault="00BE7C89">
            <w:pPr>
              <w:pStyle w:val="BodyText"/>
              <w:spacing w:before="100" w:after="100"/>
              <w:jc w:val="center"/>
              <w:rPr>
                <w:b/>
                <w:snapToGrid w:val="0"/>
                <w:lang w:val="en-AU" w:eastAsia="en-AU"/>
              </w:rPr>
            </w:pPr>
            <w:r>
              <w:rPr>
                <w:b/>
                <w:snapToGrid w:val="0"/>
                <w:lang w:val="en-AU" w:eastAsia="en-AU"/>
              </w:rPr>
              <w:t>Call Type</w:t>
            </w:r>
          </w:p>
        </w:tc>
        <w:tc>
          <w:tcPr>
            <w:tcW w:w="2500" w:type="pct"/>
          </w:tcPr>
          <w:p w14:paraId="14A1AA26" w14:textId="77777777" w:rsidR="000D07EA" w:rsidRDefault="00BE7C89">
            <w:pPr>
              <w:pStyle w:val="BodyText"/>
              <w:spacing w:before="100" w:after="100"/>
              <w:jc w:val="center"/>
              <w:rPr>
                <w:b/>
                <w:snapToGrid w:val="0"/>
                <w:lang w:val="en-AU" w:eastAsia="en-AU"/>
              </w:rPr>
            </w:pPr>
            <w:r>
              <w:rPr>
                <w:b/>
                <w:snapToGrid w:val="0"/>
                <w:lang w:val="en-AU" w:eastAsia="en-AU"/>
              </w:rPr>
              <w:t>Eligible Data</w:t>
            </w:r>
          </w:p>
        </w:tc>
      </w:tr>
      <w:tr w:rsidR="000D07EA" w14:paraId="6BDBF30C" w14:textId="77777777">
        <w:tc>
          <w:tcPr>
            <w:tcW w:w="2500" w:type="pct"/>
          </w:tcPr>
          <w:p w14:paraId="0F5FE4E4" w14:textId="77777777" w:rsidR="000D07EA" w:rsidRDefault="00BE7C89">
            <w:pPr>
              <w:pStyle w:val="BodyText"/>
              <w:spacing w:before="100" w:after="100"/>
              <w:jc w:val="center"/>
              <w:rPr>
                <w:snapToGrid w:val="0"/>
                <w:lang w:val="en-AU" w:eastAsia="en-AU"/>
              </w:rPr>
            </w:pPr>
            <w:r>
              <w:rPr>
                <w:snapToGrid w:val="0"/>
                <w:lang w:val="en-AU" w:eastAsia="en-AU"/>
              </w:rPr>
              <w:t>BlackBerry Email (POP3)</w:t>
            </w:r>
          </w:p>
        </w:tc>
        <w:tc>
          <w:tcPr>
            <w:tcW w:w="2500" w:type="pct"/>
          </w:tcPr>
          <w:p w14:paraId="6CDCC0C3" w14:textId="77777777" w:rsidR="000D07EA" w:rsidRDefault="00BE7C89">
            <w:pPr>
              <w:pStyle w:val="BodyText"/>
              <w:spacing w:before="100" w:after="100"/>
              <w:jc w:val="center"/>
              <w:rPr>
                <w:snapToGrid w:val="0"/>
                <w:lang w:val="en-AU" w:eastAsia="en-AU"/>
              </w:rPr>
            </w:pPr>
            <w:r>
              <w:rPr>
                <w:snapToGrid w:val="0"/>
                <w:lang w:val="en-AU" w:eastAsia="en-AU"/>
              </w:rPr>
              <w:t>Yes</w:t>
            </w:r>
          </w:p>
        </w:tc>
      </w:tr>
      <w:tr w:rsidR="000D07EA" w14:paraId="7A8AEA6D" w14:textId="77777777">
        <w:tc>
          <w:tcPr>
            <w:tcW w:w="2500" w:type="pct"/>
          </w:tcPr>
          <w:p w14:paraId="7007F716" w14:textId="77777777" w:rsidR="000D07EA" w:rsidRDefault="00BE7C89">
            <w:pPr>
              <w:pStyle w:val="BodyText"/>
              <w:spacing w:before="100" w:after="100"/>
              <w:jc w:val="center"/>
              <w:rPr>
                <w:snapToGrid w:val="0"/>
                <w:lang w:val="en-AU" w:eastAsia="en-AU"/>
              </w:rPr>
            </w:pPr>
            <w:r>
              <w:rPr>
                <w:snapToGrid w:val="0"/>
                <w:lang w:val="en-AU" w:eastAsia="en-AU"/>
              </w:rPr>
              <w:t>Internet Browsing through the BlackBerry Browser and/or the BlackBerry Internet Browser</w:t>
            </w:r>
          </w:p>
        </w:tc>
        <w:tc>
          <w:tcPr>
            <w:tcW w:w="2500" w:type="pct"/>
          </w:tcPr>
          <w:p w14:paraId="7C9EFE33" w14:textId="77777777" w:rsidR="000D07EA" w:rsidRDefault="00BE7C89">
            <w:pPr>
              <w:pStyle w:val="BodyText"/>
              <w:spacing w:before="100" w:after="100"/>
              <w:jc w:val="center"/>
              <w:rPr>
                <w:snapToGrid w:val="0"/>
                <w:lang w:val="en-AU" w:eastAsia="en-AU"/>
              </w:rPr>
            </w:pPr>
            <w:r>
              <w:rPr>
                <w:snapToGrid w:val="0"/>
                <w:lang w:val="en-AU" w:eastAsia="en-AU"/>
              </w:rPr>
              <w:t>Yes</w:t>
            </w:r>
          </w:p>
        </w:tc>
      </w:tr>
      <w:tr w:rsidR="000D07EA" w14:paraId="5F7EF233" w14:textId="77777777">
        <w:tc>
          <w:tcPr>
            <w:tcW w:w="2500" w:type="pct"/>
          </w:tcPr>
          <w:p w14:paraId="3E505A33" w14:textId="77777777" w:rsidR="000D07EA" w:rsidRDefault="00BE7C89">
            <w:pPr>
              <w:pStyle w:val="BodyText"/>
              <w:spacing w:before="100" w:after="100"/>
              <w:jc w:val="center"/>
              <w:rPr>
                <w:snapToGrid w:val="0"/>
                <w:lang w:val="en-AU" w:eastAsia="en-AU"/>
              </w:rPr>
            </w:pPr>
            <w:r>
              <w:rPr>
                <w:snapToGrid w:val="0"/>
                <w:lang w:val="en-AU" w:eastAsia="en-AU"/>
              </w:rPr>
              <w:t>Optus Zoo downloads and subscriptions</w:t>
            </w:r>
          </w:p>
        </w:tc>
        <w:tc>
          <w:tcPr>
            <w:tcW w:w="2500" w:type="pct"/>
          </w:tcPr>
          <w:p w14:paraId="2BA12115" w14:textId="77777777" w:rsidR="000D07EA" w:rsidRDefault="00BE7C89">
            <w:pPr>
              <w:pStyle w:val="BodyText"/>
              <w:spacing w:before="100" w:after="100"/>
              <w:jc w:val="center"/>
              <w:rPr>
                <w:lang w:val="en-AU" w:eastAsia="en-AU"/>
              </w:rPr>
            </w:pPr>
            <w:r>
              <w:rPr>
                <w:snapToGrid w:val="0"/>
                <w:lang w:val="en-AU" w:eastAsia="en-AU"/>
              </w:rPr>
              <w:t>No</w:t>
            </w:r>
          </w:p>
        </w:tc>
      </w:tr>
      <w:tr w:rsidR="000D07EA" w14:paraId="5BF6FE2A" w14:textId="77777777">
        <w:tc>
          <w:tcPr>
            <w:tcW w:w="2500" w:type="pct"/>
          </w:tcPr>
          <w:p w14:paraId="241E8AFC" w14:textId="77777777" w:rsidR="000D07EA" w:rsidRDefault="00BE7C89">
            <w:pPr>
              <w:pStyle w:val="BodyText"/>
              <w:spacing w:before="100" w:after="100"/>
              <w:jc w:val="center"/>
              <w:rPr>
                <w:snapToGrid w:val="0"/>
                <w:lang w:val="en-AU" w:eastAsia="en-AU"/>
              </w:rPr>
            </w:pPr>
            <w:r>
              <w:rPr>
                <w:snapToGrid w:val="0"/>
                <w:lang w:val="en-AU" w:eastAsia="en-AU"/>
              </w:rPr>
              <w:t>Optus Zoo GPRS WAP browsing</w:t>
            </w:r>
          </w:p>
        </w:tc>
        <w:tc>
          <w:tcPr>
            <w:tcW w:w="2500" w:type="pct"/>
          </w:tcPr>
          <w:p w14:paraId="42C6B412" w14:textId="77777777" w:rsidR="000D07EA" w:rsidRDefault="00BE7C89">
            <w:pPr>
              <w:pStyle w:val="BodyText"/>
              <w:spacing w:before="100" w:after="100"/>
              <w:jc w:val="center"/>
              <w:rPr>
                <w:snapToGrid w:val="0"/>
                <w:lang w:val="en-AU" w:eastAsia="en-AU"/>
              </w:rPr>
            </w:pPr>
            <w:r>
              <w:rPr>
                <w:snapToGrid w:val="0"/>
                <w:lang w:val="en-AU" w:eastAsia="en-AU"/>
              </w:rPr>
              <w:t>No</w:t>
            </w:r>
          </w:p>
        </w:tc>
      </w:tr>
      <w:tr w:rsidR="000D07EA" w14:paraId="18985ACE" w14:textId="77777777">
        <w:tc>
          <w:tcPr>
            <w:tcW w:w="2500" w:type="pct"/>
          </w:tcPr>
          <w:p w14:paraId="2D81731E" w14:textId="77777777" w:rsidR="000D07EA" w:rsidRDefault="00BE7C89">
            <w:pPr>
              <w:pStyle w:val="BodyText"/>
              <w:spacing w:before="100" w:after="100"/>
              <w:jc w:val="center"/>
              <w:rPr>
                <w:szCs w:val="20"/>
                <w:lang w:val="en-AU"/>
              </w:rPr>
            </w:pPr>
            <w:r>
              <w:rPr>
                <w:szCs w:val="20"/>
                <w:lang w:val="en-AU"/>
              </w:rPr>
              <w:t>Applications from Optus and third party applications that require a BlackBerry Data connection</w:t>
            </w:r>
          </w:p>
        </w:tc>
        <w:tc>
          <w:tcPr>
            <w:tcW w:w="2500" w:type="pct"/>
          </w:tcPr>
          <w:p w14:paraId="5A2A01EA" w14:textId="77777777" w:rsidR="000D07EA" w:rsidRDefault="00BE7C89">
            <w:pPr>
              <w:pStyle w:val="BodyText"/>
              <w:spacing w:before="100" w:after="100"/>
              <w:jc w:val="center"/>
              <w:rPr>
                <w:snapToGrid w:val="0"/>
                <w:lang w:val="en-AU" w:eastAsia="en-AU"/>
              </w:rPr>
            </w:pPr>
            <w:r>
              <w:rPr>
                <w:snapToGrid w:val="0"/>
                <w:lang w:val="en-AU" w:eastAsia="en-AU"/>
              </w:rPr>
              <w:t>Yes</w:t>
            </w:r>
          </w:p>
        </w:tc>
      </w:tr>
      <w:tr w:rsidR="000D07EA" w14:paraId="6F8E6E23" w14:textId="77777777">
        <w:tc>
          <w:tcPr>
            <w:tcW w:w="2500" w:type="pct"/>
          </w:tcPr>
          <w:p w14:paraId="27E060C9" w14:textId="77777777" w:rsidR="000D07EA" w:rsidRDefault="00BE7C89">
            <w:pPr>
              <w:pStyle w:val="BodyText"/>
              <w:spacing w:before="100" w:after="100"/>
              <w:jc w:val="center"/>
              <w:rPr>
                <w:snapToGrid w:val="0"/>
                <w:lang w:val="en-AU" w:eastAsia="en-AU"/>
              </w:rPr>
            </w:pPr>
            <w:r>
              <w:rPr>
                <w:snapToGrid w:val="0"/>
                <w:lang w:val="en-AU" w:eastAsia="en-AU"/>
              </w:rPr>
              <w:t>All other call types or usage</w:t>
            </w:r>
          </w:p>
        </w:tc>
        <w:tc>
          <w:tcPr>
            <w:tcW w:w="2500" w:type="pct"/>
          </w:tcPr>
          <w:p w14:paraId="65EDD197" w14:textId="77777777" w:rsidR="000D07EA" w:rsidRDefault="00BE7C89">
            <w:pPr>
              <w:pStyle w:val="BodyText"/>
              <w:spacing w:before="100" w:after="100"/>
              <w:jc w:val="center"/>
              <w:rPr>
                <w:snapToGrid w:val="0"/>
                <w:lang w:val="en-AU" w:eastAsia="en-AU"/>
              </w:rPr>
            </w:pPr>
            <w:r>
              <w:rPr>
                <w:snapToGrid w:val="0"/>
                <w:lang w:val="en-AU" w:eastAsia="en-AU"/>
              </w:rPr>
              <w:t>No</w:t>
            </w:r>
          </w:p>
        </w:tc>
      </w:tr>
    </w:tbl>
    <w:p w14:paraId="46241E37" w14:textId="77777777" w:rsidR="000D07EA" w:rsidRDefault="000D07EA">
      <w:pPr>
        <w:pStyle w:val="BodyText"/>
        <w:rPr>
          <w:lang w:val="en-AU"/>
        </w:rPr>
      </w:pPr>
    </w:p>
    <w:p w14:paraId="72A7F43A" w14:textId="77777777" w:rsidR="000D07EA" w:rsidRDefault="00BE7C89">
      <w:pPr>
        <w:pStyle w:val="BodyText"/>
        <w:ind w:left="720"/>
        <w:rPr>
          <w:b/>
          <w:lang w:val="en-AU"/>
        </w:rPr>
      </w:pPr>
      <w:r>
        <w:rPr>
          <w:b/>
          <w:lang w:val="en-AU"/>
        </w:rPr>
        <w:t>Table 2C – Eligible for the Unlimited Mobile Internet Data on the $129 Business</w:t>
      </w:r>
      <w:r>
        <w:rPr>
          <w:b/>
          <w:lang w:val="en-AU"/>
        </w:rPr>
        <w:br/>
        <w:t>Timeless &amp; $129 Business Timeless (Premium H/set) plans.</w:t>
      </w: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730"/>
        <w:gridCol w:w="4731"/>
      </w:tblGrid>
      <w:tr w:rsidR="000D07EA" w14:paraId="37B4E67D" w14:textId="77777777">
        <w:trPr>
          <w:tblHeader/>
        </w:trPr>
        <w:tc>
          <w:tcPr>
            <w:tcW w:w="2500" w:type="pct"/>
          </w:tcPr>
          <w:p w14:paraId="30514384" w14:textId="77777777" w:rsidR="000D07EA" w:rsidRDefault="00BE7C89">
            <w:pPr>
              <w:pStyle w:val="BodyText"/>
              <w:spacing w:before="100" w:after="100"/>
              <w:rPr>
                <w:b/>
                <w:lang w:val="en-AU"/>
              </w:rPr>
            </w:pPr>
            <w:r>
              <w:rPr>
                <w:b/>
                <w:lang w:val="en-AU"/>
              </w:rPr>
              <w:lastRenderedPageBreak/>
              <w:t>Call Type</w:t>
            </w:r>
          </w:p>
        </w:tc>
        <w:tc>
          <w:tcPr>
            <w:tcW w:w="2500" w:type="pct"/>
            <w:vAlign w:val="center"/>
          </w:tcPr>
          <w:p w14:paraId="3897EEE7" w14:textId="77777777" w:rsidR="000D07EA" w:rsidRDefault="00BE7C89">
            <w:pPr>
              <w:pStyle w:val="BodyText"/>
              <w:spacing w:before="100" w:after="100"/>
              <w:jc w:val="center"/>
              <w:rPr>
                <w:b/>
                <w:lang w:val="en-AU"/>
              </w:rPr>
            </w:pPr>
            <w:r>
              <w:rPr>
                <w:b/>
                <w:lang w:val="en-AU"/>
              </w:rPr>
              <w:t>Eligible Data</w:t>
            </w:r>
          </w:p>
        </w:tc>
      </w:tr>
      <w:tr w:rsidR="000D07EA" w14:paraId="15710CB9" w14:textId="77777777">
        <w:tc>
          <w:tcPr>
            <w:tcW w:w="2500" w:type="pct"/>
          </w:tcPr>
          <w:p w14:paraId="31FB29B2" w14:textId="77777777" w:rsidR="000D07EA" w:rsidRDefault="00BE7C89">
            <w:pPr>
              <w:pStyle w:val="BodyText"/>
              <w:spacing w:before="100" w:after="100"/>
              <w:rPr>
                <w:lang w:val="en-AU"/>
              </w:rPr>
            </w:pPr>
            <w:r>
              <w:rPr>
                <w:lang w:val="en-AU"/>
              </w:rPr>
              <w:t>National Voice Calls</w:t>
            </w:r>
          </w:p>
        </w:tc>
        <w:tc>
          <w:tcPr>
            <w:tcW w:w="2500" w:type="pct"/>
            <w:vAlign w:val="center"/>
          </w:tcPr>
          <w:p w14:paraId="0B7B54CE" w14:textId="77777777" w:rsidR="000D07EA" w:rsidRDefault="00BE7C89">
            <w:pPr>
              <w:pStyle w:val="BodyText"/>
              <w:spacing w:before="100" w:after="100"/>
              <w:jc w:val="center"/>
              <w:rPr>
                <w:lang w:val="en-AU"/>
              </w:rPr>
            </w:pPr>
            <w:r>
              <w:rPr>
                <w:lang w:val="en-AU"/>
              </w:rPr>
              <w:t>No</w:t>
            </w:r>
          </w:p>
        </w:tc>
      </w:tr>
      <w:tr w:rsidR="000D07EA" w14:paraId="18991136" w14:textId="77777777">
        <w:tc>
          <w:tcPr>
            <w:tcW w:w="2500" w:type="pct"/>
          </w:tcPr>
          <w:p w14:paraId="2D01DD4A" w14:textId="77777777" w:rsidR="000D07EA" w:rsidRDefault="00BE7C89">
            <w:pPr>
              <w:pStyle w:val="BodyText"/>
              <w:spacing w:before="100" w:after="100"/>
              <w:rPr>
                <w:lang w:val="en-AU"/>
              </w:rPr>
            </w:pPr>
            <w:r>
              <w:rPr>
                <w:lang w:val="en-AU"/>
              </w:rPr>
              <w:t>National Video Calls</w:t>
            </w:r>
          </w:p>
        </w:tc>
        <w:tc>
          <w:tcPr>
            <w:tcW w:w="2500" w:type="pct"/>
            <w:vAlign w:val="center"/>
          </w:tcPr>
          <w:p w14:paraId="3B932FAF" w14:textId="77777777" w:rsidR="000D07EA" w:rsidRDefault="00BE7C89">
            <w:pPr>
              <w:pStyle w:val="BodyText"/>
              <w:spacing w:before="100" w:after="100"/>
              <w:jc w:val="center"/>
              <w:rPr>
                <w:lang w:val="en-AU"/>
              </w:rPr>
            </w:pPr>
            <w:r>
              <w:rPr>
                <w:lang w:val="en-AU"/>
              </w:rPr>
              <w:t>No</w:t>
            </w:r>
          </w:p>
        </w:tc>
      </w:tr>
      <w:tr w:rsidR="000D07EA" w14:paraId="72433BCF" w14:textId="77777777">
        <w:tc>
          <w:tcPr>
            <w:tcW w:w="2500" w:type="pct"/>
          </w:tcPr>
          <w:p w14:paraId="433606C7" w14:textId="77777777" w:rsidR="000D07EA" w:rsidRDefault="00BE7C89">
            <w:pPr>
              <w:pStyle w:val="BodyText"/>
              <w:spacing w:before="100" w:after="100"/>
              <w:rPr>
                <w:lang w:val="en-AU"/>
              </w:rPr>
            </w:pPr>
            <w:r>
              <w:rPr>
                <w:lang w:val="en-AU"/>
              </w:rPr>
              <w:t>International Voice Calls</w:t>
            </w:r>
          </w:p>
          <w:p w14:paraId="0AAEE90C" w14:textId="77777777" w:rsidR="000D07EA" w:rsidRDefault="00BE7C89">
            <w:pPr>
              <w:pStyle w:val="BodyText"/>
              <w:spacing w:before="100" w:after="100"/>
              <w:rPr>
                <w:lang w:val="en-AU"/>
              </w:rPr>
            </w:pPr>
            <w:r>
              <w:rPr>
                <w:snapToGrid w:val="0"/>
                <w:lang w:val="en-AU"/>
              </w:rPr>
              <w:t>(includes calls to national fixed or GSM mobile services that then divert/switch or re</w:t>
            </w:r>
            <w:r>
              <w:rPr>
                <w:snapToGrid w:val="0"/>
                <w:lang w:val="en-AU"/>
              </w:rPr>
              <w:noBreakHyphen/>
              <w:t>route overseas)</w:t>
            </w:r>
          </w:p>
        </w:tc>
        <w:tc>
          <w:tcPr>
            <w:tcW w:w="2500" w:type="pct"/>
            <w:vAlign w:val="center"/>
          </w:tcPr>
          <w:p w14:paraId="732F2249" w14:textId="77777777" w:rsidR="000D07EA" w:rsidRDefault="00BE7C89">
            <w:pPr>
              <w:pStyle w:val="BodyText"/>
              <w:spacing w:before="100" w:after="100"/>
              <w:jc w:val="center"/>
              <w:rPr>
                <w:lang w:val="en-AU"/>
              </w:rPr>
            </w:pPr>
            <w:r>
              <w:rPr>
                <w:lang w:val="en-AU"/>
              </w:rPr>
              <w:t>No</w:t>
            </w:r>
          </w:p>
        </w:tc>
      </w:tr>
      <w:tr w:rsidR="000D07EA" w14:paraId="4F33BE31" w14:textId="77777777">
        <w:tc>
          <w:tcPr>
            <w:tcW w:w="2500" w:type="pct"/>
          </w:tcPr>
          <w:p w14:paraId="185A669E" w14:textId="77777777" w:rsidR="000D07EA" w:rsidRDefault="00BE7C89">
            <w:pPr>
              <w:pStyle w:val="BodyText"/>
              <w:spacing w:before="100" w:after="100"/>
              <w:rPr>
                <w:lang w:val="en-AU"/>
              </w:rPr>
            </w:pPr>
            <w:r>
              <w:rPr>
                <w:lang w:val="en-AU"/>
              </w:rPr>
              <w:t>International Video Calls</w:t>
            </w:r>
          </w:p>
          <w:p w14:paraId="5F1F7CF6" w14:textId="77777777" w:rsidR="000D07EA" w:rsidRDefault="00BE7C89">
            <w:pPr>
              <w:pStyle w:val="BodyText"/>
              <w:spacing w:before="100" w:after="100"/>
              <w:rPr>
                <w:lang w:val="en-AU"/>
              </w:rPr>
            </w:pPr>
            <w:r>
              <w:rPr>
                <w:snapToGrid w:val="0"/>
                <w:lang w:val="en-AU"/>
              </w:rPr>
              <w:t>(includes calls to national fixed or GSM mobile services that then divert/switch or re-route overseas)</w:t>
            </w:r>
          </w:p>
        </w:tc>
        <w:tc>
          <w:tcPr>
            <w:tcW w:w="2500" w:type="pct"/>
            <w:vAlign w:val="center"/>
          </w:tcPr>
          <w:p w14:paraId="5609C0BC" w14:textId="77777777" w:rsidR="000D07EA" w:rsidRDefault="00BE7C89">
            <w:pPr>
              <w:pStyle w:val="BodyText"/>
              <w:spacing w:before="100" w:after="100"/>
              <w:jc w:val="center"/>
              <w:rPr>
                <w:lang w:val="en-AU"/>
              </w:rPr>
            </w:pPr>
            <w:r>
              <w:rPr>
                <w:lang w:val="en-AU"/>
              </w:rPr>
              <w:t>No</w:t>
            </w:r>
          </w:p>
        </w:tc>
      </w:tr>
      <w:tr w:rsidR="000D07EA" w14:paraId="6A3B3CCA" w14:textId="77777777">
        <w:tc>
          <w:tcPr>
            <w:tcW w:w="2500" w:type="pct"/>
          </w:tcPr>
          <w:p w14:paraId="0F144C19" w14:textId="77777777" w:rsidR="000D07EA" w:rsidRDefault="00BE7C89">
            <w:pPr>
              <w:pStyle w:val="BodyText"/>
              <w:spacing w:before="100" w:after="100"/>
              <w:rPr>
                <w:lang w:val="en-AU"/>
              </w:rPr>
            </w:pPr>
            <w:r>
              <w:rPr>
                <w:lang w:val="en-AU"/>
              </w:rPr>
              <w:t>National Standard SMS</w:t>
            </w:r>
          </w:p>
        </w:tc>
        <w:tc>
          <w:tcPr>
            <w:tcW w:w="2500" w:type="pct"/>
            <w:vAlign w:val="center"/>
          </w:tcPr>
          <w:p w14:paraId="18B81CF2" w14:textId="77777777" w:rsidR="000D07EA" w:rsidRDefault="00BE7C89">
            <w:pPr>
              <w:pStyle w:val="BodyText"/>
              <w:spacing w:before="100" w:after="100"/>
              <w:jc w:val="center"/>
              <w:rPr>
                <w:lang w:val="en-AU"/>
              </w:rPr>
            </w:pPr>
            <w:r>
              <w:rPr>
                <w:lang w:val="en-AU"/>
              </w:rPr>
              <w:t>No</w:t>
            </w:r>
          </w:p>
        </w:tc>
      </w:tr>
      <w:tr w:rsidR="000D07EA" w14:paraId="5675414A" w14:textId="77777777">
        <w:tc>
          <w:tcPr>
            <w:tcW w:w="2500" w:type="pct"/>
          </w:tcPr>
          <w:p w14:paraId="7D97F928" w14:textId="77777777" w:rsidR="000D07EA" w:rsidRDefault="00BE7C89">
            <w:pPr>
              <w:pStyle w:val="BodyText"/>
              <w:spacing w:before="100" w:after="100"/>
              <w:rPr>
                <w:lang w:val="en-AU"/>
              </w:rPr>
            </w:pPr>
            <w:r>
              <w:rPr>
                <w:lang w:val="en-AU"/>
              </w:rPr>
              <w:t>International SMS</w:t>
            </w:r>
          </w:p>
        </w:tc>
        <w:tc>
          <w:tcPr>
            <w:tcW w:w="2500" w:type="pct"/>
            <w:vAlign w:val="center"/>
          </w:tcPr>
          <w:p w14:paraId="4A3E6353" w14:textId="77777777" w:rsidR="000D07EA" w:rsidRDefault="00BE7C89">
            <w:pPr>
              <w:pStyle w:val="BodyText"/>
              <w:spacing w:before="100" w:after="100"/>
              <w:jc w:val="center"/>
              <w:rPr>
                <w:lang w:val="en-AU"/>
              </w:rPr>
            </w:pPr>
            <w:r>
              <w:rPr>
                <w:lang w:val="en-AU"/>
              </w:rPr>
              <w:t>No</w:t>
            </w:r>
          </w:p>
        </w:tc>
      </w:tr>
      <w:tr w:rsidR="000D07EA" w14:paraId="27C93173" w14:textId="77777777">
        <w:tc>
          <w:tcPr>
            <w:tcW w:w="2500" w:type="pct"/>
          </w:tcPr>
          <w:p w14:paraId="6B56A16D" w14:textId="77777777" w:rsidR="000D07EA" w:rsidRDefault="00BE7C89">
            <w:pPr>
              <w:pStyle w:val="BodyText"/>
              <w:spacing w:before="100" w:after="100"/>
              <w:rPr>
                <w:lang w:val="en-AU"/>
              </w:rPr>
            </w:pPr>
            <w:r>
              <w:rPr>
                <w:lang w:val="en-AU"/>
              </w:rPr>
              <w:t>National MMS</w:t>
            </w:r>
          </w:p>
        </w:tc>
        <w:tc>
          <w:tcPr>
            <w:tcW w:w="2500" w:type="pct"/>
            <w:vAlign w:val="center"/>
          </w:tcPr>
          <w:p w14:paraId="757BC1DD" w14:textId="77777777" w:rsidR="000D07EA" w:rsidRDefault="00BE7C89">
            <w:pPr>
              <w:pStyle w:val="BodyText"/>
              <w:spacing w:before="100" w:after="100"/>
              <w:jc w:val="center"/>
              <w:rPr>
                <w:lang w:val="en-AU"/>
              </w:rPr>
            </w:pPr>
            <w:r>
              <w:rPr>
                <w:lang w:val="en-AU"/>
              </w:rPr>
              <w:t>No</w:t>
            </w:r>
          </w:p>
        </w:tc>
      </w:tr>
      <w:tr w:rsidR="000D07EA" w14:paraId="6BF07BC2" w14:textId="77777777">
        <w:tc>
          <w:tcPr>
            <w:tcW w:w="2500" w:type="pct"/>
          </w:tcPr>
          <w:p w14:paraId="6C7ACD7C" w14:textId="77777777" w:rsidR="000D07EA" w:rsidRDefault="00BE7C89">
            <w:pPr>
              <w:pStyle w:val="BodyText"/>
              <w:spacing w:before="100" w:after="100"/>
              <w:rPr>
                <w:lang w:val="en-AU"/>
              </w:rPr>
            </w:pPr>
            <w:r>
              <w:rPr>
                <w:lang w:val="en-AU"/>
              </w:rPr>
              <w:t>International MMS</w:t>
            </w:r>
          </w:p>
        </w:tc>
        <w:tc>
          <w:tcPr>
            <w:tcW w:w="2500" w:type="pct"/>
            <w:vAlign w:val="center"/>
          </w:tcPr>
          <w:p w14:paraId="3E29FD8A" w14:textId="77777777" w:rsidR="000D07EA" w:rsidRDefault="00BE7C89">
            <w:pPr>
              <w:pStyle w:val="BodyText"/>
              <w:spacing w:before="100" w:after="100"/>
              <w:jc w:val="center"/>
              <w:rPr>
                <w:lang w:val="en-AU"/>
              </w:rPr>
            </w:pPr>
            <w:r>
              <w:rPr>
                <w:lang w:val="en-AU"/>
              </w:rPr>
              <w:t>No</w:t>
            </w:r>
          </w:p>
        </w:tc>
      </w:tr>
      <w:tr w:rsidR="000D07EA" w14:paraId="6E4FD567" w14:textId="77777777">
        <w:tc>
          <w:tcPr>
            <w:tcW w:w="2500" w:type="pct"/>
          </w:tcPr>
          <w:p w14:paraId="03C8BF83" w14:textId="77777777" w:rsidR="000D07EA" w:rsidRDefault="00BE7C89">
            <w:pPr>
              <w:pStyle w:val="BodyText"/>
              <w:spacing w:before="100" w:after="100"/>
              <w:rPr>
                <w:lang w:val="en-AU"/>
              </w:rPr>
            </w:pPr>
            <w:r>
              <w:rPr>
                <w:lang w:val="en-AU"/>
              </w:rPr>
              <w:t>Voicemail Diversions</w:t>
            </w:r>
          </w:p>
        </w:tc>
        <w:tc>
          <w:tcPr>
            <w:tcW w:w="2500" w:type="pct"/>
            <w:vAlign w:val="center"/>
          </w:tcPr>
          <w:p w14:paraId="4767A5C8" w14:textId="77777777" w:rsidR="000D07EA" w:rsidRDefault="00BE7C89">
            <w:pPr>
              <w:pStyle w:val="BodyText"/>
              <w:spacing w:before="100" w:after="100"/>
              <w:jc w:val="center"/>
              <w:rPr>
                <w:lang w:val="en-AU"/>
              </w:rPr>
            </w:pPr>
            <w:r>
              <w:rPr>
                <w:lang w:val="en-AU"/>
              </w:rPr>
              <w:t>No</w:t>
            </w:r>
          </w:p>
        </w:tc>
      </w:tr>
      <w:tr w:rsidR="000D07EA" w14:paraId="78660569" w14:textId="77777777">
        <w:tc>
          <w:tcPr>
            <w:tcW w:w="2500" w:type="pct"/>
          </w:tcPr>
          <w:p w14:paraId="07BAB1E7" w14:textId="77777777" w:rsidR="000D07EA" w:rsidRDefault="00BE7C89">
            <w:pPr>
              <w:pStyle w:val="BodyText"/>
              <w:spacing w:before="100" w:after="100"/>
              <w:rPr>
                <w:lang w:val="en-AU"/>
              </w:rPr>
            </w:pPr>
            <w:r>
              <w:rPr>
                <w:lang w:val="en-AU"/>
              </w:rPr>
              <w:t>Voicemail Deposit and Retrievals</w:t>
            </w:r>
          </w:p>
        </w:tc>
        <w:tc>
          <w:tcPr>
            <w:tcW w:w="2500" w:type="pct"/>
            <w:vAlign w:val="center"/>
          </w:tcPr>
          <w:p w14:paraId="2047AA89" w14:textId="77777777" w:rsidR="000D07EA" w:rsidRDefault="00BE7C89">
            <w:pPr>
              <w:pStyle w:val="BodyText"/>
              <w:spacing w:before="100" w:after="100"/>
              <w:jc w:val="center"/>
              <w:rPr>
                <w:lang w:val="en-AU"/>
              </w:rPr>
            </w:pPr>
            <w:r>
              <w:rPr>
                <w:lang w:val="en-AU"/>
              </w:rPr>
              <w:t>No</w:t>
            </w:r>
          </w:p>
        </w:tc>
      </w:tr>
      <w:tr w:rsidR="000D07EA" w14:paraId="74726BE0" w14:textId="77777777">
        <w:tc>
          <w:tcPr>
            <w:tcW w:w="2500" w:type="pct"/>
          </w:tcPr>
          <w:p w14:paraId="7CEA7D75" w14:textId="77777777" w:rsidR="000D07EA" w:rsidRDefault="00BE7C89">
            <w:pPr>
              <w:pStyle w:val="BodyText"/>
              <w:spacing w:before="100" w:after="100"/>
              <w:rPr>
                <w:lang w:val="en-AU"/>
              </w:rPr>
            </w:pPr>
            <w:r>
              <w:rPr>
                <w:lang w:val="en-AU"/>
              </w:rPr>
              <w:t>International Roaming and Diversion</w:t>
            </w:r>
          </w:p>
        </w:tc>
        <w:tc>
          <w:tcPr>
            <w:tcW w:w="2500" w:type="pct"/>
            <w:vAlign w:val="center"/>
          </w:tcPr>
          <w:p w14:paraId="4ADBFC7F" w14:textId="77777777" w:rsidR="000D07EA" w:rsidRDefault="00BE7C89">
            <w:pPr>
              <w:pStyle w:val="BodyText"/>
              <w:spacing w:before="100" w:after="100"/>
              <w:jc w:val="center"/>
              <w:rPr>
                <w:lang w:val="en-AU"/>
              </w:rPr>
            </w:pPr>
            <w:r>
              <w:rPr>
                <w:lang w:val="en-AU"/>
              </w:rPr>
              <w:t>No</w:t>
            </w:r>
          </w:p>
        </w:tc>
      </w:tr>
      <w:tr w:rsidR="000D07EA" w14:paraId="030FAB8D" w14:textId="77777777">
        <w:tc>
          <w:tcPr>
            <w:tcW w:w="2500" w:type="pct"/>
          </w:tcPr>
          <w:p w14:paraId="64A1651D" w14:textId="77777777" w:rsidR="000D07EA" w:rsidRDefault="00BE7C89">
            <w:pPr>
              <w:pStyle w:val="BodyText"/>
              <w:spacing w:before="100" w:after="100"/>
              <w:rPr>
                <w:lang w:val="en-AU"/>
              </w:rPr>
            </w:pPr>
            <w:r>
              <w:rPr>
                <w:lang w:val="en-AU"/>
              </w:rPr>
              <w:t>Premium SMS</w:t>
            </w:r>
          </w:p>
        </w:tc>
        <w:tc>
          <w:tcPr>
            <w:tcW w:w="2500" w:type="pct"/>
            <w:vAlign w:val="center"/>
          </w:tcPr>
          <w:p w14:paraId="1EB0E360" w14:textId="77777777" w:rsidR="000D07EA" w:rsidRDefault="00BE7C89">
            <w:pPr>
              <w:pStyle w:val="BodyText"/>
              <w:spacing w:before="100" w:after="100"/>
              <w:jc w:val="center"/>
              <w:rPr>
                <w:lang w:val="en-AU"/>
              </w:rPr>
            </w:pPr>
            <w:r>
              <w:rPr>
                <w:lang w:val="en-AU"/>
              </w:rPr>
              <w:t>No</w:t>
            </w:r>
          </w:p>
        </w:tc>
      </w:tr>
      <w:tr w:rsidR="000D07EA" w14:paraId="7639A710" w14:textId="77777777">
        <w:tc>
          <w:tcPr>
            <w:tcW w:w="2500" w:type="pct"/>
          </w:tcPr>
          <w:p w14:paraId="0B34F341" w14:textId="77777777" w:rsidR="000D07EA" w:rsidRDefault="00BE7C89">
            <w:pPr>
              <w:pStyle w:val="BodyText"/>
              <w:spacing w:before="100" w:after="100"/>
              <w:rPr>
                <w:lang w:val="en-AU"/>
              </w:rPr>
            </w:pPr>
            <w:r>
              <w:rPr>
                <w:lang w:val="en-AU"/>
              </w:rPr>
              <w:t>Premium Video</w:t>
            </w:r>
          </w:p>
        </w:tc>
        <w:tc>
          <w:tcPr>
            <w:tcW w:w="2500" w:type="pct"/>
            <w:vAlign w:val="center"/>
          </w:tcPr>
          <w:p w14:paraId="0964AC7B" w14:textId="77777777" w:rsidR="000D07EA" w:rsidRDefault="00BE7C89">
            <w:pPr>
              <w:pStyle w:val="BodyText"/>
              <w:spacing w:before="100" w:after="100"/>
              <w:jc w:val="center"/>
              <w:rPr>
                <w:lang w:val="en-AU"/>
              </w:rPr>
            </w:pPr>
            <w:r>
              <w:rPr>
                <w:lang w:val="en-AU"/>
              </w:rPr>
              <w:t>No</w:t>
            </w:r>
          </w:p>
        </w:tc>
      </w:tr>
      <w:tr w:rsidR="000D07EA" w14:paraId="28B8747E" w14:textId="77777777">
        <w:tc>
          <w:tcPr>
            <w:tcW w:w="2500" w:type="pct"/>
          </w:tcPr>
          <w:p w14:paraId="1CCB1132" w14:textId="77777777" w:rsidR="000D07EA" w:rsidRDefault="00BE7C89">
            <w:pPr>
              <w:pStyle w:val="BodyText"/>
              <w:spacing w:before="100" w:after="100"/>
              <w:rPr>
                <w:lang w:val="en-AU"/>
              </w:rPr>
            </w:pPr>
            <w:r>
              <w:rPr>
                <w:lang w:val="en-AU"/>
              </w:rPr>
              <w:t>Video Conferencing</w:t>
            </w:r>
          </w:p>
        </w:tc>
        <w:tc>
          <w:tcPr>
            <w:tcW w:w="2500" w:type="pct"/>
            <w:vAlign w:val="center"/>
          </w:tcPr>
          <w:p w14:paraId="355F6BD4" w14:textId="77777777" w:rsidR="000D07EA" w:rsidRDefault="00BE7C89">
            <w:pPr>
              <w:pStyle w:val="BodyText"/>
              <w:spacing w:before="100" w:after="100"/>
              <w:jc w:val="center"/>
              <w:rPr>
                <w:lang w:val="en-AU"/>
              </w:rPr>
            </w:pPr>
            <w:r>
              <w:rPr>
                <w:lang w:val="en-AU"/>
              </w:rPr>
              <w:t>No</w:t>
            </w:r>
          </w:p>
        </w:tc>
      </w:tr>
      <w:tr w:rsidR="000D07EA" w14:paraId="27589F89" w14:textId="77777777">
        <w:tc>
          <w:tcPr>
            <w:tcW w:w="2500" w:type="pct"/>
          </w:tcPr>
          <w:p w14:paraId="4759BC65" w14:textId="77777777" w:rsidR="000D07EA" w:rsidRDefault="00BE7C89">
            <w:pPr>
              <w:pStyle w:val="BodyText"/>
              <w:spacing w:before="100" w:after="100"/>
              <w:rPr>
                <w:lang w:val="en-AU"/>
              </w:rPr>
            </w:pPr>
            <w:r>
              <w:rPr>
                <w:lang w:val="en-AU"/>
              </w:rPr>
              <w:t>Optus Zoo or Optus iZoo Browsing</w:t>
            </w:r>
          </w:p>
        </w:tc>
        <w:tc>
          <w:tcPr>
            <w:tcW w:w="2500" w:type="pct"/>
            <w:vAlign w:val="center"/>
          </w:tcPr>
          <w:p w14:paraId="589D587D" w14:textId="77777777" w:rsidR="000D07EA" w:rsidRDefault="00BE7C89">
            <w:pPr>
              <w:pStyle w:val="BodyText"/>
              <w:spacing w:before="100" w:after="100"/>
              <w:jc w:val="center"/>
              <w:rPr>
                <w:lang w:val="en-AU"/>
              </w:rPr>
            </w:pPr>
            <w:r>
              <w:rPr>
                <w:lang w:val="en-AU"/>
              </w:rPr>
              <w:t>Yes</w:t>
            </w:r>
          </w:p>
        </w:tc>
      </w:tr>
      <w:tr w:rsidR="000D07EA" w14:paraId="59BE6F53" w14:textId="77777777">
        <w:tc>
          <w:tcPr>
            <w:tcW w:w="2500" w:type="pct"/>
          </w:tcPr>
          <w:p w14:paraId="0DED025F" w14:textId="77777777" w:rsidR="000D07EA" w:rsidRDefault="00BE7C89">
            <w:pPr>
              <w:pStyle w:val="BodyText"/>
              <w:spacing w:before="100" w:after="100"/>
              <w:rPr>
                <w:lang w:val="en-AU"/>
              </w:rPr>
            </w:pPr>
            <w:r>
              <w:rPr>
                <w:lang w:val="en-AU"/>
              </w:rPr>
              <w:t>Optus Zoo or Optus iZoo Downloads</w:t>
            </w:r>
          </w:p>
        </w:tc>
        <w:tc>
          <w:tcPr>
            <w:tcW w:w="2500" w:type="pct"/>
            <w:vAlign w:val="center"/>
          </w:tcPr>
          <w:p w14:paraId="5880A172" w14:textId="77777777" w:rsidR="000D07EA" w:rsidRDefault="00BE7C89">
            <w:pPr>
              <w:pStyle w:val="BodyText"/>
              <w:spacing w:before="100" w:after="100"/>
              <w:jc w:val="center"/>
              <w:rPr>
                <w:lang w:val="en-AU"/>
              </w:rPr>
            </w:pPr>
            <w:r>
              <w:rPr>
                <w:lang w:val="en-AU"/>
              </w:rPr>
              <w:t>No</w:t>
            </w:r>
          </w:p>
        </w:tc>
      </w:tr>
      <w:tr w:rsidR="000D07EA" w14:paraId="2843F956" w14:textId="77777777">
        <w:tc>
          <w:tcPr>
            <w:tcW w:w="2500" w:type="pct"/>
          </w:tcPr>
          <w:p w14:paraId="79C1A5FB" w14:textId="77777777" w:rsidR="000D07EA" w:rsidRDefault="00BE7C89">
            <w:pPr>
              <w:pStyle w:val="BodyText"/>
              <w:spacing w:before="100" w:after="100"/>
              <w:rPr>
                <w:lang w:val="en-AU"/>
              </w:rPr>
            </w:pPr>
            <w:r>
              <w:rPr>
                <w:lang w:val="en-AU"/>
              </w:rPr>
              <w:t>SMS to 966 (Zoo)</w:t>
            </w:r>
          </w:p>
        </w:tc>
        <w:tc>
          <w:tcPr>
            <w:tcW w:w="2500" w:type="pct"/>
            <w:vAlign w:val="center"/>
          </w:tcPr>
          <w:p w14:paraId="15097E6E" w14:textId="77777777" w:rsidR="000D07EA" w:rsidRDefault="00BE7C89">
            <w:pPr>
              <w:pStyle w:val="BodyText"/>
              <w:spacing w:before="100" w:after="100"/>
              <w:jc w:val="center"/>
              <w:rPr>
                <w:lang w:val="en-AU"/>
              </w:rPr>
            </w:pPr>
            <w:r>
              <w:rPr>
                <w:lang w:val="en-AU"/>
              </w:rPr>
              <w:t>No</w:t>
            </w:r>
          </w:p>
        </w:tc>
      </w:tr>
      <w:tr w:rsidR="000D07EA" w14:paraId="6E10D154" w14:textId="77777777">
        <w:tc>
          <w:tcPr>
            <w:tcW w:w="2500" w:type="pct"/>
          </w:tcPr>
          <w:p w14:paraId="52C114A2" w14:textId="77777777" w:rsidR="000D07EA" w:rsidRDefault="00BE7C89">
            <w:pPr>
              <w:pStyle w:val="BodyText"/>
              <w:spacing w:before="100" w:after="100"/>
              <w:rPr>
                <w:lang w:val="en-AU"/>
              </w:rPr>
            </w:pPr>
            <w:r>
              <w:rPr>
                <w:lang w:val="en-AU"/>
              </w:rPr>
              <w:t>Mobile Internet usage</w:t>
            </w:r>
          </w:p>
        </w:tc>
        <w:tc>
          <w:tcPr>
            <w:tcW w:w="2500" w:type="pct"/>
            <w:vAlign w:val="center"/>
          </w:tcPr>
          <w:p w14:paraId="54417420" w14:textId="77777777" w:rsidR="000D07EA" w:rsidRDefault="00BE7C89">
            <w:pPr>
              <w:pStyle w:val="BodyText"/>
              <w:spacing w:before="100" w:after="100"/>
              <w:jc w:val="center"/>
              <w:rPr>
                <w:lang w:val="en-AU"/>
              </w:rPr>
            </w:pPr>
            <w:r>
              <w:rPr>
                <w:lang w:val="en-AU"/>
              </w:rPr>
              <w:t>Yes</w:t>
            </w:r>
          </w:p>
        </w:tc>
      </w:tr>
      <w:tr w:rsidR="000D07EA" w14:paraId="154AE817" w14:textId="77777777">
        <w:tc>
          <w:tcPr>
            <w:tcW w:w="2500" w:type="pct"/>
          </w:tcPr>
          <w:p w14:paraId="163B7E53" w14:textId="77777777" w:rsidR="000D07EA" w:rsidRDefault="00BE7C89">
            <w:pPr>
              <w:pStyle w:val="BodyText"/>
              <w:spacing w:before="100" w:after="100"/>
              <w:rPr>
                <w:lang w:val="en-AU"/>
              </w:rPr>
            </w:pPr>
            <w:r>
              <w:rPr>
                <w:lang w:val="en-AU"/>
              </w:rPr>
              <w:t>Mobile as Modem</w:t>
            </w:r>
          </w:p>
        </w:tc>
        <w:tc>
          <w:tcPr>
            <w:tcW w:w="2500" w:type="pct"/>
            <w:vAlign w:val="center"/>
          </w:tcPr>
          <w:p w14:paraId="036A04E8" w14:textId="77777777" w:rsidR="000D07EA" w:rsidRDefault="00BE7C89">
            <w:pPr>
              <w:pStyle w:val="BodyText"/>
              <w:spacing w:before="100" w:after="100"/>
              <w:jc w:val="center"/>
              <w:rPr>
                <w:lang w:val="en-AU"/>
              </w:rPr>
            </w:pPr>
            <w:r>
              <w:rPr>
                <w:lang w:val="en-AU"/>
              </w:rPr>
              <w:t>No</w:t>
            </w:r>
          </w:p>
        </w:tc>
      </w:tr>
      <w:tr w:rsidR="000D07EA" w14:paraId="101E0C75" w14:textId="77777777">
        <w:tc>
          <w:tcPr>
            <w:tcW w:w="2500" w:type="pct"/>
          </w:tcPr>
          <w:p w14:paraId="75B6697B" w14:textId="77777777" w:rsidR="000D07EA" w:rsidRDefault="00BE7C89">
            <w:pPr>
              <w:pStyle w:val="BodyText"/>
              <w:spacing w:before="100" w:after="100"/>
              <w:rPr>
                <w:lang w:val="en-AU"/>
              </w:rPr>
            </w:pPr>
            <w:r>
              <w:rPr>
                <w:lang w:val="en-AU"/>
              </w:rPr>
              <w:t>Data Used while Roaming Internationally</w:t>
            </w:r>
          </w:p>
        </w:tc>
        <w:tc>
          <w:tcPr>
            <w:tcW w:w="2500" w:type="pct"/>
            <w:vAlign w:val="center"/>
          </w:tcPr>
          <w:p w14:paraId="71F99D8D" w14:textId="77777777" w:rsidR="000D07EA" w:rsidRDefault="00BE7C89">
            <w:pPr>
              <w:pStyle w:val="BodyText"/>
              <w:spacing w:before="100" w:after="100"/>
              <w:jc w:val="center"/>
              <w:rPr>
                <w:lang w:val="en-AU"/>
              </w:rPr>
            </w:pPr>
            <w:r>
              <w:rPr>
                <w:lang w:val="en-AU"/>
              </w:rPr>
              <w:t>No</w:t>
            </w:r>
          </w:p>
        </w:tc>
      </w:tr>
      <w:tr w:rsidR="000D07EA" w14:paraId="12C950AB" w14:textId="77777777">
        <w:tc>
          <w:tcPr>
            <w:tcW w:w="2500" w:type="pct"/>
          </w:tcPr>
          <w:p w14:paraId="6BD09D13" w14:textId="77777777" w:rsidR="000D07EA" w:rsidRDefault="00BE7C89">
            <w:pPr>
              <w:pStyle w:val="BodyText"/>
              <w:spacing w:before="100" w:after="100"/>
              <w:rPr>
                <w:lang w:val="en-AU"/>
              </w:rPr>
            </w:pPr>
            <w:r>
              <w:rPr>
                <w:lang w:val="en-AU"/>
              </w:rPr>
              <w:t>Content Packs (unless specified in promotions)</w:t>
            </w:r>
          </w:p>
        </w:tc>
        <w:tc>
          <w:tcPr>
            <w:tcW w:w="2500" w:type="pct"/>
            <w:vAlign w:val="center"/>
          </w:tcPr>
          <w:p w14:paraId="3D26C110" w14:textId="77777777" w:rsidR="000D07EA" w:rsidRDefault="00BE7C89">
            <w:pPr>
              <w:pStyle w:val="BodyText"/>
              <w:spacing w:before="100" w:after="100"/>
              <w:jc w:val="center"/>
              <w:rPr>
                <w:lang w:val="en-AU"/>
              </w:rPr>
            </w:pPr>
            <w:r>
              <w:rPr>
                <w:lang w:val="en-AU"/>
              </w:rPr>
              <w:t>No</w:t>
            </w:r>
          </w:p>
        </w:tc>
      </w:tr>
      <w:tr w:rsidR="000D07EA" w14:paraId="2671626C" w14:textId="77777777">
        <w:tc>
          <w:tcPr>
            <w:tcW w:w="2500" w:type="pct"/>
          </w:tcPr>
          <w:p w14:paraId="50285908" w14:textId="77777777" w:rsidR="000D07EA" w:rsidRDefault="00BE7C89">
            <w:pPr>
              <w:pStyle w:val="BodyText"/>
              <w:spacing w:before="100" w:after="100"/>
              <w:rPr>
                <w:lang w:val="en-AU"/>
              </w:rPr>
            </w:pPr>
            <w:r>
              <w:rPr>
                <w:lang w:val="en-AU"/>
              </w:rPr>
              <w:t>TrueLocal Usage</w:t>
            </w:r>
          </w:p>
        </w:tc>
        <w:tc>
          <w:tcPr>
            <w:tcW w:w="2500" w:type="pct"/>
            <w:vAlign w:val="center"/>
          </w:tcPr>
          <w:p w14:paraId="36EC687D" w14:textId="77777777" w:rsidR="000D07EA" w:rsidRDefault="00BE7C89">
            <w:pPr>
              <w:pStyle w:val="BodyText"/>
              <w:spacing w:before="100" w:after="100"/>
              <w:jc w:val="center"/>
              <w:rPr>
                <w:lang w:val="en-AU"/>
              </w:rPr>
            </w:pPr>
            <w:r>
              <w:rPr>
                <w:lang w:val="en-AU"/>
              </w:rPr>
              <w:t>No</w:t>
            </w:r>
          </w:p>
        </w:tc>
      </w:tr>
      <w:tr w:rsidR="000D07EA" w14:paraId="668FABD7" w14:textId="77777777">
        <w:tc>
          <w:tcPr>
            <w:tcW w:w="2500" w:type="pct"/>
          </w:tcPr>
          <w:p w14:paraId="66D988FF" w14:textId="77777777" w:rsidR="000D07EA" w:rsidRDefault="00BE7C89">
            <w:pPr>
              <w:pStyle w:val="BodyText"/>
              <w:spacing w:before="100" w:after="100"/>
              <w:rPr>
                <w:lang w:val="en-AU"/>
              </w:rPr>
            </w:pPr>
            <w:r>
              <w:rPr>
                <w:lang w:val="en-AU"/>
              </w:rPr>
              <w:t xml:space="preserve">Directory Assistance- 1223 </w:t>
            </w:r>
          </w:p>
        </w:tc>
        <w:tc>
          <w:tcPr>
            <w:tcW w:w="2500" w:type="pct"/>
            <w:vAlign w:val="center"/>
          </w:tcPr>
          <w:p w14:paraId="42698E94" w14:textId="77777777" w:rsidR="000D07EA" w:rsidRDefault="00BE7C89">
            <w:pPr>
              <w:pStyle w:val="BodyText"/>
              <w:spacing w:before="100" w:after="100"/>
              <w:jc w:val="center"/>
              <w:rPr>
                <w:lang w:val="en-AU"/>
              </w:rPr>
            </w:pPr>
            <w:r>
              <w:rPr>
                <w:lang w:val="en-AU"/>
              </w:rPr>
              <w:t>No</w:t>
            </w:r>
          </w:p>
        </w:tc>
      </w:tr>
      <w:tr w:rsidR="000D07EA" w14:paraId="2780EE28" w14:textId="77777777">
        <w:tc>
          <w:tcPr>
            <w:tcW w:w="2500" w:type="pct"/>
          </w:tcPr>
          <w:p w14:paraId="30C03C69" w14:textId="77777777" w:rsidR="000D07EA" w:rsidRDefault="00BE7C89">
            <w:pPr>
              <w:pStyle w:val="BodyText"/>
              <w:spacing w:before="100" w:after="100"/>
              <w:rPr>
                <w:lang w:val="en-AU"/>
              </w:rPr>
            </w:pPr>
            <w:r>
              <w:rPr>
                <w:lang w:val="en-AU"/>
              </w:rPr>
              <w:t>19XX Numbers</w:t>
            </w:r>
          </w:p>
        </w:tc>
        <w:tc>
          <w:tcPr>
            <w:tcW w:w="2500" w:type="pct"/>
            <w:vAlign w:val="center"/>
          </w:tcPr>
          <w:p w14:paraId="59DA51CC" w14:textId="77777777" w:rsidR="000D07EA" w:rsidRDefault="00BE7C89">
            <w:pPr>
              <w:pStyle w:val="BodyText"/>
              <w:spacing w:before="100" w:after="100"/>
              <w:jc w:val="center"/>
              <w:rPr>
                <w:lang w:val="en-AU"/>
              </w:rPr>
            </w:pPr>
            <w:r>
              <w:rPr>
                <w:lang w:val="en-AU"/>
              </w:rPr>
              <w:t>No</w:t>
            </w:r>
          </w:p>
        </w:tc>
      </w:tr>
      <w:tr w:rsidR="000D07EA" w14:paraId="1ED4F9BB" w14:textId="77777777">
        <w:tc>
          <w:tcPr>
            <w:tcW w:w="2500" w:type="pct"/>
          </w:tcPr>
          <w:p w14:paraId="183D2F5A" w14:textId="77777777" w:rsidR="000D07EA" w:rsidRDefault="00BE7C89">
            <w:pPr>
              <w:pStyle w:val="BodyText"/>
              <w:spacing w:before="100" w:after="100"/>
              <w:rPr>
                <w:lang w:val="en-AU"/>
              </w:rPr>
            </w:pPr>
            <w:r>
              <w:rPr>
                <w:lang w:val="en-AU"/>
              </w:rPr>
              <w:t>1800, 13 and 1300 numbers</w:t>
            </w:r>
          </w:p>
        </w:tc>
        <w:tc>
          <w:tcPr>
            <w:tcW w:w="2500" w:type="pct"/>
            <w:vAlign w:val="center"/>
          </w:tcPr>
          <w:p w14:paraId="7E4E59B9" w14:textId="77777777" w:rsidR="000D07EA" w:rsidRDefault="00BE7C89">
            <w:pPr>
              <w:pStyle w:val="BodyText"/>
              <w:spacing w:before="100" w:after="100"/>
              <w:jc w:val="center"/>
              <w:rPr>
                <w:lang w:val="en-AU"/>
              </w:rPr>
            </w:pPr>
            <w:r>
              <w:rPr>
                <w:lang w:val="en-AU"/>
              </w:rPr>
              <w:t>No</w:t>
            </w:r>
          </w:p>
        </w:tc>
      </w:tr>
      <w:tr w:rsidR="000D07EA" w14:paraId="10237DBB" w14:textId="77777777">
        <w:tc>
          <w:tcPr>
            <w:tcW w:w="2500" w:type="pct"/>
          </w:tcPr>
          <w:p w14:paraId="6B7D4795" w14:textId="77777777" w:rsidR="000D07EA" w:rsidRDefault="00BE7C89">
            <w:pPr>
              <w:pStyle w:val="BodyText"/>
              <w:spacing w:before="100" w:after="100"/>
              <w:rPr>
                <w:lang w:val="en-AU"/>
              </w:rPr>
            </w:pPr>
            <w:r>
              <w:rPr>
                <w:lang w:val="en-AU"/>
              </w:rPr>
              <w:t>124YES(937)</w:t>
            </w:r>
          </w:p>
        </w:tc>
        <w:tc>
          <w:tcPr>
            <w:tcW w:w="2500" w:type="pct"/>
            <w:vAlign w:val="center"/>
          </w:tcPr>
          <w:p w14:paraId="4030185D" w14:textId="77777777" w:rsidR="000D07EA" w:rsidRDefault="00BE7C89">
            <w:pPr>
              <w:pStyle w:val="BodyText"/>
              <w:spacing w:before="100" w:after="100"/>
              <w:jc w:val="center"/>
              <w:rPr>
                <w:lang w:val="en-AU"/>
              </w:rPr>
            </w:pPr>
            <w:r>
              <w:rPr>
                <w:lang w:val="en-AU"/>
              </w:rPr>
              <w:t>No</w:t>
            </w:r>
          </w:p>
        </w:tc>
      </w:tr>
      <w:tr w:rsidR="000D07EA" w14:paraId="0F83792F" w14:textId="77777777">
        <w:tc>
          <w:tcPr>
            <w:tcW w:w="2500" w:type="pct"/>
          </w:tcPr>
          <w:p w14:paraId="3C9B2F86" w14:textId="77777777" w:rsidR="000D07EA" w:rsidRDefault="00BE7C89">
            <w:pPr>
              <w:pStyle w:val="BodyText"/>
              <w:spacing w:before="100" w:after="100"/>
              <w:rPr>
                <w:lang w:val="en-AU"/>
              </w:rPr>
            </w:pPr>
            <w:r>
              <w:rPr>
                <w:lang w:val="en-AU"/>
              </w:rPr>
              <w:t>Insurance</w:t>
            </w:r>
          </w:p>
        </w:tc>
        <w:tc>
          <w:tcPr>
            <w:tcW w:w="2500" w:type="pct"/>
            <w:vAlign w:val="center"/>
          </w:tcPr>
          <w:p w14:paraId="287AF130" w14:textId="77777777" w:rsidR="000D07EA" w:rsidRDefault="00BE7C89">
            <w:pPr>
              <w:pStyle w:val="BodyText"/>
              <w:spacing w:before="100" w:after="100"/>
              <w:jc w:val="center"/>
              <w:rPr>
                <w:lang w:val="en-AU"/>
              </w:rPr>
            </w:pPr>
            <w:r>
              <w:rPr>
                <w:lang w:val="en-AU"/>
              </w:rPr>
              <w:t>No</w:t>
            </w:r>
          </w:p>
        </w:tc>
      </w:tr>
      <w:tr w:rsidR="000D07EA" w14:paraId="7085A8D6" w14:textId="77777777">
        <w:tc>
          <w:tcPr>
            <w:tcW w:w="2500" w:type="pct"/>
          </w:tcPr>
          <w:p w14:paraId="41CCC323" w14:textId="77777777" w:rsidR="000D07EA" w:rsidRDefault="00BE7C89">
            <w:pPr>
              <w:pStyle w:val="BodyText"/>
              <w:spacing w:before="100" w:after="100"/>
              <w:rPr>
                <w:lang w:val="en-AU"/>
              </w:rPr>
            </w:pPr>
            <w:r>
              <w:rPr>
                <w:lang w:val="en-AU"/>
              </w:rPr>
              <w:lastRenderedPageBreak/>
              <w:t>Handset Payments</w:t>
            </w:r>
          </w:p>
        </w:tc>
        <w:tc>
          <w:tcPr>
            <w:tcW w:w="2500" w:type="pct"/>
            <w:vAlign w:val="center"/>
          </w:tcPr>
          <w:p w14:paraId="6766DEFE" w14:textId="77777777" w:rsidR="000D07EA" w:rsidRDefault="00BE7C89">
            <w:pPr>
              <w:pStyle w:val="BodyText"/>
              <w:spacing w:before="100" w:after="100"/>
              <w:jc w:val="center"/>
              <w:rPr>
                <w:lang w:val="en-AU"/>
              </w:rPr>
            </w:pPr>
            <w:r>
              <w:rPr>
                <w:lang w:val="en-AU"/>
              </w:rPr>
              <w:t>No</w:t>
            </w:r>
          </w:p>
        </w:tc>
      </w:tr>
      <w:tr w:rsidR="000D07EA" w14:paraId="45A61714" w14:textId="77777777">
        <w:tc>
          <w:tcPr>
            <w:tcW w:w="2500" w:type="pct"/>
          </w:tcPr>
          <w:p w14:paraId="52AB0F87" w14:textId="77777777" w:rsidR="000D07EA" w:rsidRDefault="00BE7C89">
            <w:pPr>
              <w:pStyle w:val="BodyText"/>
              <w:spacing w:before="100" w:after="100"/>
              <w:rPr>
                <w:lang w:val="en-AU"/>
              </w:rPr>
            </w:pPr>
            <w:r>
              <w:rPr>
                <w:lang w:val="en-AU"/>
              </w:rPr>
              <w:t>Calls to MobileSat</w:t>
            </w:r>
          </w:p>
        </w:tc>
        <w:tc>
          <w:tcPr>
            <w:tcW w:w="2500" w:type="pct"/>
            <w:vAlign w:val="center"/>
          </w:tcPr>
          <w:p w14:paraId="077F9C91" w14:textId="77777777" w:rsidR="000D07EA" w:rsidRDefault="00BE7C89">
            <w:pPr>
              <w:pStyle w:val="BodyText"/>
              <w:spacing w:before="100" w:after="100"/>
              <w:jc w:val="center"/>
              <w:rPr>
                <w:lang w:val="en-AU"/>
              </w:rPr>
            </w:pPr>
            <w:r>
              <w:rPr>
                <w:lang w:val="en-AU"/>
              </w:rPr>
              <w:t>No</w:t>
            </w:r>
          </w:p>
        </w:tc>
      </w:tr>
      <w:tr w:rsidR="000D07EA" w14:paraId="51C65E0C" w14:textId="77777777">
        <w:tc>
          <w:tcPr>
            <w:tcW w:w="2500" w:type="pct"/>
          </w:tcPr>
          <w:p w14:paraId="0FD04125" w14:textId="77777777" w:rsidR="000D07EA" w:rsidRDefault="00BE7C89">
            <w:pPr>
              <w:pStyle w:val="BodyText"/>
              <w:spacing w:before="100" w:after="100"/>
              <w:rPr>
                <w:lang w:val="en-AU"/>
              </w:rPr>
            </w:pPr>
            <w:r>
              <w:rPr>
                <w:lang w:val="en-AU"/>
              </w:rPr>
              <w:t>VOIP services</w:t>
            </w:r>
          </w:p>
        </w:tc>
        <w:tc>
          <w:tcPr>
            <w:tcW w:w="2500" w:type="pct"/>
            <w:vAlign w:val="center"/>
          </w:tcPr>
          <w:p w14:paraId="435FEAFA" w14:textId="77777777" w:rsidR="000D07EA" w:rsidRDefault="00BE7C89">
            <w:pPr>
              <w:pStyle w:val="BodyText"/>
              <w:spacing w:before="100" w:after="100"/>
              <w:jc w:val="center"/>
              <w:rPr>
                <w:lang w:val="en-AU"/>
              </w:rPr>
            </w:pPr>
            <w:r>
              <w:rPr>
                <w:lang w:val="en-AU"/>
              </w:rPr>
              <w:t>No</w:t>
            </w:r>
          </w:p>
        </w:tc>
      </w:tr>
    </w:tbl>
    <w:p w14:paraId="4212DB69" w14:textId="77777777" w:rsidR="000D07EA" w:rsidRDefault="000D07EA">
      <w:pPr>
        <w:pStyle w:val="BodyText"/>
        <w:rPr>
          <w:lang w:val="en-AU"/>
        </w:rPr>
      </w:pPr>
    </w:p>
    <w:p w14:paraId="687817F2" w14:textId="77777777" w:rsidR="000D07EA" w:rsidRDefault="00BE7C89">
      <w:pPr>
        <w:pStyle w:val="BodyText"/>
        <w:ind w:left="720"/>
        <w:rPr>
          <w:b/>
          <w:lang w:val="en-AU"/>
        </w:rPr>
      </w:pPr>
      <w:r>
        <w:rPr>
          <w:b/>
          <w:lang w:val="en-AU"/>
        </w:rPr>
        <w:t>Table 2D – Eligible for the included International Value</w:t>
      </w: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730"/>
        <w:gridCol w:w="4731"/>
      </w:tblGrid>
      <w:tr w:rsidR="000D07EA" w14:paraId="4B40513E" w14:textId="77777777">
        <w:trPr>
          <w:tblHeader/>
        </w:trPr>
        <w:tc>
          <w:tcPr>
            <w:tcW w:w="2500" w:type="pct"/>
          </w:tcPr>
          <w:p w14:paraId="623B7FB8" w14:textId="77777777" w:rsidR="000D07EA" w:rsidRDefault="00BE7C89">
            <w:pPr>
              <w:pStyle w:val="BodyText"/>
              <w:spacing w:before="100" w:after="100"/>
              <w:rPr>
                <w:b/>
                <w:lang w:val="en-AU"/>
              </w:rPr>
            </w:pPr>
            <w:r>
              <w:rPr>
                <w:b/>
                <w:lang w:val="en-AU"/>
              </w:rPr>
              <w:t>Call Type</w:t>
            </w:r>
          </w:p>
        </w:tc>
        <w:tc>
          <w:tcPr>
            <w:tcW w:w="2500" w:type="pct"/>
            <w:vAlign w:val="center"/>
          </w:tcPr>
          <w:p w14:paraId="1F9FA9C3" w14:textId="77777777" w:rsidR="000D07EA" w:rsidRDefault="00BE7C89">
            <w:pPr>
              <w:pStyle w:val="BodyText"/>
              <w:spacing w:before="100" w:after="100"/>
              <w:jc w:val="center"/>
              <w:rPr>
                <w:b/>
                <w:lang w:val="en-AU"/>
              </w:rPr>
            </w:pPr>
            <w:r>
              <w:rPr>
                <w:b/>
                <w:lang w:val="en-AU"/>
              </w:rPr>
              <w:t>Eligible Call</w:t>
            </w:r>
          </w:p>
        </w:tc>
      </w:tr>
      <w:tr w:rsidR="000D07EA" w14:paraId="5C6CC9FA" w14:textId="77777777">
        <w:tc>
          <w:tcPr>
            <w:tcW w:w="2500" w:type="pct"/>
          </w:tcPr>
          <w:p w14:paraId="7D798239" w14:textId="77777777" w:rsidR="000D07EA" w:rsidRDefault="00BE7C89">
            <w:pPr>
              <w:pStyle w:val="BodyText"/>
              <w:spacing w:before="100" w:after="100"/>
              <w:rPr>
                <w:lang w:val="en-AU"/>
              </w:rPr>
            </w:pPr>
            <w:r>
              <w:rPr>
                <w:lang w:val="en-AU"/>
              </w:rPr>
              <w:t>National Voice Calls</w:t>
            </w:r>
          </w:p>
        </w:tc>
        <w:tc>
          <w:tcPr>
            <w:tcW w:w="2500" w:type="pct"/>
            <w:vAlign w:val="center"/>
          </w:tcPr>
          <w:p w14:paraId="3985C895" w14:textId="77777777" w:rsidR="000D07EA" w:rsidRDefault="00BE7C89">
            <w:pPr>
              <w:pStyle w:val="BodyText"/>
              <w:spacing w:before="100" w:after="100"/>
              <w:jc w:val="center"/>
              <w:rPr>
                <w:lang w:val="en-AU"/>
              </w:rPr>
            </w:pPr>
            <w:r>
              <w:rPr>
                <w:lang w:val="en-AU"/>
              </w:rPr>
              <w:t>No</w:t>
            </w:r>
          </w:p>
        </w:tc>
      </w:tr>
      <w:tr w:rsidR="000D07EA" w14:paraId="172D0901" w14:textId="77777777">
        <w:tc>
          <w:tcPr>
            <w:tcW w:w="2500" w:type="pct"/>
          </w:tcPr>
          <w:p w14:paraId="548D7175" w14:textId="77777777" w:rsidR="000D07EA" w:rsidRDefault="00BE7C89">
            <w:pPr>
              <w:pStyle w:val="BodyText"/>
              <w:spacing w:before="100" w:after="100"/>
              <w:rPr>
                <w:lang w:val="en-AU"/>
              </w:rPr>
            </w:pPr>
            <w:r>
              <w:rPr>
                <w:lang w:val="en-AU"/>
              </w:rPr>
              <w:t>National Video Calls</w:t>
            </w:r>
          </w:p>
        </w:tc>
        <w:tc>
          <w:tcPr>
            <w:tcW w:w="2500" w:type="pct"/>
            <w:vAlign w:val="center"/>
          </w:tcPr>
          <w:p w14:paraId="51467616" w14:textId="77777777" w:rsidR="000D07EA" w:rsidRDefault="00BE7C89">
            <w:pPr>
              <w:pStyle w:val="BodyText"/>
              <w:spacing w:before="100" w:after="100"/>
              <w:jc w:val="center"/>
              <w:rPr>
                <w:lang w:val="en-AU"/>
              </w:rPr>
            </w:pPr>
            <w:r>
              <w:rPr>
                <w:lang w:val="en-AU"/>
              </w:rPr>
              <w:t>No</w:t>
            </w:r>
          </w:p>
        </w:tc>
      </w:tr>
      <w:tr w:rsidR="000D07EA" w14:paraId="4F192F0E" w14:textId="77777777">
        <w:tc>
          <w:tcPr>
            <w:tcW w:w="2500" w:type="pct"/>
          </w:tcPr>
          <w:p w14:paraId="35BF2B21" w14:textId="77777777" w:rsidR="000D07EA" w:rsidRDefault="00BE7C89">
            <w:pPr>
              <w:pStyle w:val="BodyText"/>
              <w:spacing w:before="100" w:after="100"/>
              <w:rPr>
                <w:lang w:val="en-AU"/>
              </w:rPr>
            </w:pPr>
            <w:r>
              <w:rPr>
                <w:lang w:val="en-AU"/>
              </w:rPr>
              <w:t>International Voice Calls</w:t>
            </w:r>
          </w:p>
          <w:p w14:paraId="01E65A92" w14:textId="77777777" w:rsidR="000D07EA" w:rsidRDefault="00BE7C89">
            <w:pPr>
              <w:pStyle w:val="BodyText"/>
              <w:spacing w:before="100" w:after="100"/>
              <w:rPr>
                <w:lang w:val="en-AU"/>
              </w:rPr>
            </w:pPr>
            <w:r>
              <w:rPr>
                <w:snapToGrid w:val="0"/>
                <w:lang w:val="en-AU"/>
              </w:rPr>
              <w:t>(includes calls to national fixed or GSM mobile services that then divert/switch or re</w:t>
            </w:r>
            <w:r>
              <w:rPr>
                <w:snapToGrid w:val="0"/>
                <w:lang w:val="en-AU"/>
              </w:rPr>
              <w:noBreakHyphen/>
              <w:t>route overseas)</w:t>
            </w:r>
          </w:p>
        </w:tc>
        <w:tc>
          <w:tcPr>
            <w:tcW w:w="2500" w:type="pct"/>
            <w:vAlign w:val="center"/>
          </w:tcPr>
          <w:p w14:paraId="7D2D54BF" w14:textId="77777777" w:rsidR="000D07EA" w:rsidRDefault="00BE7C89">
            <w:pPr>
              <w:pStyle w:val="BodyText"/>
              <w:spacing w:before="100" w:after="100"/>
              <w:jc w:val="center"/>
              <w:rPr>
                <w:lang w:val="en-AU"/>
              </w:rPr>
            </w:pPr>
            <w:r>
              <w:rPr>
                <w:lang w:val="en-AU"/>
              </w:rPr>
              <w:t>Yes</w:t>
            </w:r>
          </w:p>
        </w:tc>
      </w:tr>
      <w:tr w:rsidR="000D07EA" w14:paraId="257D53F6" w14:textId="77777777">
        <w:tc>
          <w:tcPr>
            <w:tcW w:w="2500" w:type="pct"/>
          </w:tcPr>
          <w:p w14:paraId="142F0CD2" w14:textId="77777777" w:rsidR="000D07EA" w:rsidRDefault="00BE7C89">
            <w:pPr>
              <w:pStyle w:val="BodyText"/>
              <w:spacing w:before="100" w:after="100"/>
              <w:rPr>
                <w:lang w:val="en-AU"/>
              </w:rPr>
            </w:pPr>
            <w:r>
              <w:rPr>
                <w:lang w:val="en-AU"/>
              </w:rPr>
              <w:t>International Video Calls</w:t>
            </w:r>
          </w:p>
          <w:p w14:paraId="6C0B9ADF" w14:textId="77777777" w:rsidR="000D07EA" w:rsidRDefault="00BE7C89">
            <w:pPr>
              <w:pStyle w:val="BodyText"/>
              <w:spacing w:before="100" w:after="100"/>
              <w:rPr>
                <w:lang w:val="en-AU"/>
              </w:rPr>
            </w:pPr>
            <w:r>
              <w:rPr>
                <w:snapToGrid w:val="0"/>
                <w:lang w:val="en-AU"/>
              </w:rPr>
              <w:t>(includes calls to national fixed or GSM mobile services that then divert/switch or re-route overseas)</w:t>
            </w:r>
          </w:p>
        </w:tc>
        <w:tc>
          <w:tcPr>
            <w:tcW w:w="2500" w:type="pct"/>
            <w:vAlign w:val="center"/>
          </w:tcPr>
          <w:p w14:paraId="14413AE6" w14:textId="77777777" w:rsidR="000D07EA" w:rsidRDefault="00BE7C89">
            <w:pPr>
              <w:pStyle w:val="BodyText"/>
              <w:spacing w:before="100" w:after="100"/>
              <w:jc w:val="center"/>
              <w:rPr>
                <w:lang w:val="en-AU"/>
              </w:rPr>
            </w:pPr>
            <w:r>
              <w:rPr>
                <w:lang w:val="en-AU"/>
              </w:rPr>
              <w:t>No</w:t>
            </w:r>
          </w:p>
        </w:tc>
      </w:tr>
      <w:tr w:rsidR="000D07EA" w14:paraId="081D8ACF" w14:textId="77777777">
        <w:tc>
          <w:tcPr>
            <w:tcW w:w="2500" w:type="pct"/>
          </w:tcPr>
          <w:p w14:paraId="540AC601" w14:textId="77777777" w:rsidR="000D07EA" w:rsidRDefault="00BE7C89">
            <w:pPr>
              <w:pStyle w:val="BodyText"/>
              <w:spacing w:before="100" w:after="100"/>
              <w:rPr>
                <w:lang w:val="en-AU"/>
              </w:rPr>
            </w:pPr>
            <w:r>
              <w:rPr>
                <w:lang w:val="en-AU"/>
              </w:rPr>
              <w:t>National Standard SMS</w:t>
            </w:r>
          </w:p>
        </w:tc>
        <w:tc>
          <w:tcPr>
            <w:tcW w:w="2500" w:type="pct"/>
            <w:vAlign w:val="center"/>
          </w:tcPr>
          <w:p w14:paraId="3C5AF2B3" w14:textId="77777777" w:rsidR="000D07EA" w:rsidRDefault="00BE7C89">
            <w:pPr>
              <w:pStyle w:val="BodyText"/>
              <w:spacing w:before="100" w:after="100"/>
              <w:jc w:val="center"/>
              <w:rPr>
                <w:lang w:val="en-AU"/>
              </w:rPr>
            </w:pPr>
            <w:r>
              <w:rPr>
                <w:lang w:val="en-AU"/>
              </w:rPr>
              <w:t>No</w:t>
            </w:r>
          </w:p>
        </w:tc>
      </w:tr>
      <w:tr w:rsidR="000D07EA" w14:paraId="4A9A2D4A" w14:textId="77777777">
        <w:tc>
          <w:tcPr>
            <w:tcW w:w="2500" w:type="pct"/>
          </w:tcPr>
          <w:p w14:paraId="7062C924" w14:textId="77777777" w:rsidR="000D07EA" w:rsidRDefault="00BE7C89">
            <w:pPr>
              <w:pStyle w:val="BodyText"/>
              <w:spacing w:before="100" w:after="100"/>
              <w:rPr>
                <w:lang w:val="en-AU"/>
              </w:rPr>
            </w:pPr>
            <w:r>
              <w:rPr>
                <w:lang w:val="en-AU"/>
              </w:rPr>
              <w:t>International SMS</w:t>
            </w:r>
          </w:p>
        </w:tc>
        <w:tc>
          <w:tcPr>
            <w:tcW w:w="2500" w:type="pct"/>
            <w:vAlign w:val="center"/>
          </w:tcPr>
          <w:p w14:paraId="18CB4EC9" w14:textId="77777777" w:rsidR="000D07EA" w:rsidRDefault="00BE7C89">
            <w:pPr>
              <w:pStyle w:val="BodyText"/>
              <w:spacing w:before="100" w:after="100"/>
              <w:jc w:val="center"/>
              <w:rPr>
                <w:lang w:val="en-AU"/>
              </w:rPr>
            </w:pPr>
            <w:r>
              <w:rPr>
                <w:lang w:val="en-AU"/>
              </w:rPr>
              <w:t>Yes</w:t>
            </w:r>
          </w:p>
        </w:tc>
      </w:tr>
      <w:tr w:rsidR="000D07EA" w14:paraId="62944B0E" w14:textId="77777777">
        <w:tc>
          <w:tcPr>
            <w:tcW w:w="2500" w:type="pct"/>
          </w:tcPr>
          <w:p w14:paraId="17C85989" w14:textId="77777777" w:rsidR="000D07EA" w:rsidRDefault="00BE7C89">
            <w:pPr>
              <w:pStyle w:val="BodyText"/>
              <w:spacing w:before="100" w:after="100"/>
              <w:rPr>
                <w:lang w:val="en-AU"/>
              </w:rPr>
            </w:pPr>
            <w:r>
              <w:rPr>
                <w:lang w:val="en-AU"/>
              </w:rPr>
              <w:t>National MMS</w:t>
            </w:r>
          </w:p>
        </w:tc>
        <w:tc>
          <w:tcPr>
            <w:tcW w:w="2500" w:type="pct"/>
            <w:vAlign w:val="center"/>
          </w:tcPr>
          <w:p w14:paraId="7C1F9496" w14:textId="77777777" w:rsidR="000D07EA" w:rsidRDefault="00BE7C89">
            <w:pPr>
              <w:pStyle w:val="BodyText"/>
              <w:spacing w:before="100" w:after="100"/>
              <w:jc w:val="center"/>
              <w:rPr>
                <w:lang w:val="en-AU"/>
              </w:rPr>
            </w:pPr>
            <w:r>
              <w:rPr>
                <w:lang w:val="en-AU"/>
              </w:rPr>
              <w:t>No</w:t>
            </w:r>
          </w:p>
        </w:tc>
      </w:tr>
      <w:tr w:rsidR="000D07EA" w14:paraId="38F336AF" w14:textId="77777777">
        <w:tc>
          <w:tcPr>
            <w:tcW w:w="2500" w:type="pct"/>
          </w:tcPr>
          <w:p w14:paraId="6E104EFF" w14:textId="77777777" w:rsidR="000D07EA" w:rsidRDefault="00BE7C89">
            <w:pPr>
              <w:pStyle w:val="BodyText"/>
              <w:spacing w:before="100" w:after="100"/>
              <w:rPr>
                <w:lang w:val="en-AU"/>
              </w:rPr>
            </w:pPr>
            <w:r>
              <w:rPr>
                <w:lang w:val="en-AU"/>
              </w:rPr>
              <w:t>International MMS</w:t>
            </w:r>
          </w:p>
        </w:tc>
        <w:tc>
          <w:tcPr>
            <w:tcW w:w="2500" w:type="pct"/>
            <w:vAlign w:val="center"/>
          </w:tcPr>
          <w:p w14:paraId="02B37098" w14:textId="77777777" w:rsidR="000D07EA" w:rsidRDefault="00BE7C89">
            <w:pPr>
              <w:pStyle w:val="BodyText"/>
              <w:spacing w:before="100" w:after="100"/>
              <w:jc w:val="center"/>
              <w:rPr>
                <w:lang w:val="en-AU"/>
              </w:rPr>
            </w:pPr>
            <w:r>
              <w:rPr>
                <w:lang w:val="en-AU"/>
              </w:rPr>
              <w:t>Yes</w:t>
            </w:r>
          </w:p>
        </w:tc>
      </w:tr>
      <w:tr w:rsidR="000D07EA" w14:paraId="0822B9D2" w14:textId="77777777">
        <w:tc>
          <w:tcPr>
            <w:tcW w:w="2500" w:type="pct"/>
          </w:tcPr>
          <w:p w14:paraId="6585ABA5" w14:textId="77777777" w:rsidR="000D07EA" w:rsidRDefault="00BE7C89">
            <w:pPr>
              <w:pStyle w:val="BodyText"/>
              <w:spacing w:before="100" w:after="100"/>
              <w:rPr>
                <w:lang w:val="en-AU"/>
              </w:rPr>
            </w:pPr>
            <w:r>
              <w:rPr>
                <w:lang w:val="en-AU"/>
              </w:rPr>
              <w:t>National Diversions</w:t>
            </w:r>
          </w:p>
        </w:tc>
        <w:tc>
          <w:tcPr>
            <w:tcW w:w="2500" w:type="pct"/>
            <w:vAlign w:val="center"/>
          </w:tcPr>
          <w:p w14:paraId="5416C224" w14:textId="77777777" w:rsidR="000D07EA" w:rsidRDefault="00BE7C89">
            <w:pPr>
              <w:pStyle w:val="BodyText"/>
              <w:spacing w:before="100" w:after="100"/>
              <w:jc w:val="center"/>
              <w:rPr>
                <w:lang w:val="en-AU"/>
              </w:rPr>
            </w:pPr>
            <w:r>
              <w:rPr>
                <w:lang w:val="en-AU"/>
              </w:rPr>
              <w:t>No</w:t>
            </w:r>
          </w:p>
        </w:tc>
      </w:tr>
      <w:tr w:rsidR="000D07EA" w14:paraId="349732A0" w14:textId="77777777">
        <w:tc>
          <w:tcPr>
            <w:tcW w:w="2500" w:type="pct"/>
          </w:tcPr>
          <w:p w14:paraId="373F5F7E" w14:textId="77777777" w:rsidR="000D07EA" w:rsidRDefault="00BE7C89">
            <w:pPr>
              <w:pStyle w:val="BodyText"/>
              <w:spacing w:before="100" w:after="100"/>
              <w:rPr>
                <w:lang w:val="en-AU"/>
              </w:rPr>
            </w:pPr>
            <w:r>
              <w:rPr>
                <w:lang w:val="en-AU"/>
              </w:rPr>
              <w:t>Voicemail Deposit and Retrievals</w:t>
            </w:r>
          </w:p>
        </w:tc>
        <w:tc>
          <w:tcPr>
            <w:tcW w:w="2500" w:type="pct"/>
            <w:vAlign w:val="center"/>
          </w:tcPr>
          <w:p w14:paraId="153F3314" w14:textId="77777777" w:rsidR="000D07EA" w:rsidRDefault="00BE7C89">
            <w:pPr>
              <w:pStyle w:val="BodyText"/>
              <w:spacing w:before="100" w:after="100"/>
              <w:jc w:val="center"/>
              <w:rPr>
                <w:lang w:val="en-AU"/>
              </w:rPr>
            </w:pPr>
            <w:r>
              <w:rPr>
                <w:lang w:val="en-AU"/>
              </w:rPr>
              <w:t>No</w:t>
            </w:r>
          </w:p>
        </w:tc>
      </w:tr>
      <w:tr w:rsidR="000D07EA" w14:paraId="4886090C" w14:textId="77777777">
        <w:tc>
          <w:tcPr>
            <w:tcW w:w="2500" w:type="pct"/>
          </w:tcPr>
          <w:p w14:paraId="277DEBFC" w14:textId="77777777" w:rsidR="000D07EA" w:rsidRDefault="00BE7C89">
            <w:pPr>
              <w:pStyle w:val="BodyText"/>
              <w:spacing w:before="100" w:after="100"/>
              <w:rPr>
                <w:lang w:val="en-AU"/>
              </w:rPr>
            </w:pPr>
            <w:r>
              <w:rPr>
                <w:lang w:val="en-AU"/>
              </w:rPr>
              <w:t>International Roaming and Diversion</w:t>
            </w:r>
          </w:p>
        </w:tc>
        <w:tc>
          <w:tcPr>
            <w:tcW w:w="2500" w:type="pct"/>
            <w:vAlign w:val="center"/>
          </w:tcPr>
          <w:p w14:paraId="24D2DD71" w14:textId="77777777" w:rsidR="000D07EA" w:rsidRDefault="00BE7C89">
            <w:pPr>
              <w:pStyle w:val="BodyText"/>
              <w:spacing w:before="100" w:after="100"/>
              <w:jc w:val="center"/>
              <w:rPr>
                <w:lang w:val="en-AU"/>
              </w:rPr>
            </w:pPr>
            <w:r>
              <w:rPr>
                <w:lang w:val="en-AU"/>
              </w:rPr>
              <w:t>No</w:t>
            </w:r>
          </w:p>
        </w:tc>
      </w:tr>
      <w:tr w:rsidR="000D07EA" w14:paraId="6884BD20" w14:textId="77777777">
        <w:tc>
          <w:tcPr>
            <w:tcW w:w="2500" w:type="pct"/>
          </w:tcPr>
          <w:p w14:paraId="5915F8C2" w14:textId="77777777" w:rsidR="000D07EA" w:rsidRDefault="00BE7C89">
            <w:pPr>
              <w:pStyle w:val="BodyText"/>
              <w:spacing w:before="100" w:after="100"/>
              <w:rPr>
                <w:lang w:val="en-AU"/>
              </w:rPr>
            </w:pPr>
            <w:r>
              <w:rPr>
                <w:lang w:val="en-AU"/>
              </w:rPr>
              <w:t>Premium SMS</w:t>
            </w:r>
          </w:p>
        </w:tc>
        <w:tc>
          <w:tcPr>
            <w:tcW w:w="2500" w:type="pct"/>
            <w:vAlign w:val="center"/>
          </w:tcPr>
          <w:p w14:paraId="3AF51DCB" w14:textId="77777777" w:rsidR="000D07EA" w:rsidRDefault="00BE7C89">
            <w:pPr>
              <w:pStyle w:val="BodyText"/>
              <w:spacing w:before="100" w:after="100"/>
              <w:jc w:val="center"/>
              <w:rPr>
                <w:lang w:val="en-AU"/>
              </w:rPr>
            </w:pPr>
            <w:r>
              <w:rPr>
                <w:lang w:val="en-AU"/>
              </w:rPr>
              <w:t>No</w:t>
            </w:r>
          </w:p>
        </w:tc>
      </w:tr>
      <w:tr w:rsidR="000D07EA" w14:paraId="6F577548" w14:textId="77777777">
        <w:tc>
          <w:tcPr>
            <w:tcW w:w="2500" w:type="pct"/>
          </w:tcPr>
          <w:p w14:paraId="4758604C" w14:textId="77777777" w:rsidR="000D07EA" w:rsidRDefault="00BE7C89">
            <w:pPr>
              <w:pStyle w:val="BodyText"/>
              <w:spacing w:before="100" w:after="100"/>
              <w:rPr>
                <w:lang w:val="en-AU"/>
              </w:rPr>
            </w:pPr>
            <w:r>
              <w:rPr>
                <w:lang w:val="en-AU"/>
              </w:rPr>
              <w:t>Premium Video</w:t>
            </w:r>
          </w:p>
        </w:tc>
        <w:tc>
          <w:tcPr>
            <w:tcW w:w="2500" w:type="pct"/>
            <w:vAlign w:val="center"/>
          </w:tcPr>
          <w:p w14:paraId="24731E20" w14:textId="77777777" w:rsidR="000D07EA" w:rsidRDefault="00BE7C89">
            <w:pPr>
              <w:pStyle w:val="BodyText"/>
              <w:spacing w:before="100" w:after="100"/>
              <w:jc w:val="center"/>
              <w:rPr>
                <w:lang w:val="en-AU"/>
              </w:rPr>
            </w:pPr>
            <w:r>
              <w:rPr>
                <w:lang w:val="en-AU"/>
              </w:rPr>
              <w:t>No</w:t>
            </w:r>
          </w:p>
        </w:tc>
      </w:tr>
      <w:tr w:rsidR="000D07EA" w14:paraId="1EB5F0A6" w14:textId="77777777">
        <w:tc>
          <w:tcPr>
            <w:tcW w:w="2500" w:type="pct"/>
          </w:tcPr>
          <w:p w14:paraId="093B4C30" w14:textId="77777777" w:rsidR="000D07EA" w:rsidRDefault="00BE7C89">
            <w:pPr>
              <w:pStyle w:val="BodyText"/>
              <w:spacing w:before="100" w:after="100"/>
              <w:rPr>
                <w:lang w:val="en-AU"/>
              </w:rPr>
            </w:pPr>
            <w:r>
              <w:rPr>
                <w:lang w:val="en-AU"/>
              </w:rPr>
              <w:t>Video Conferencing</w:t>
            </w:r>
          </w:p>
        </w:tc>
        <w:tc>
          <w:tcPr>
            <w:tcW w:w="2500" w:type="pct"/>
            <w:vAlign w:val="center"/>
          </w:tcPr>
          <w:p w14:paraId="42E678D2" w14:textId="77777777" w:rsidR="000D07EA" w:rsidRDefault="00BE7C89">
            <w:pPr>
              <w:pStyle w:val="BodyText"/>
              <w:spacing w:before="100" w:after="100"/>
              <w:jc w:val="center"/>
              <w:rPr>
                <w:lang w:val="en-AU"/>
              </w:rPr>
            </w:pPr>
            <w:r>
              <w:rPr>
                <w:lang w:val="en-AU"/>
              </w:rPr>
              <w:t>No</w:t>
            </w:r>
          </w:p>
        </w:tc>
      </w:tr>
      <w:tr w:rsidR="000D07EA" w14:paraId="32C6D7E3" w14:textId="77777777">
        <w:tc>
          <w:tcPr>
            <w:tcW w:w="2500" w:type="pct"/>
          </w:tcPr>
          <w:p w14:paraId="44DDDA69" w14:textId="77777777" w:rsidR="000D07EA" w:rsidRDefault="00BE7C89">
            <w:pPr>
              <w:pStyle w:val="BodyText"/>
              <w:spacing w:before="100" w:after="100"/>
              <w:rPr>
                <w:lang w:val="en-AU"/>
              </w:rPr>
            </w:pPr>
            <w:r>
              <w:rPr>
                <w:lang w:val="en-AU"/>
              </w:rPr>
              <w:t>Optus Zoo or Optus iZoo Browsing</w:t>
            </w:r>
          </w:p>
        </w:tc>
        <w:tc>
          <w:tcPr>
            <w:tcW w:w="2500" w:type="pct"/>
            <w:vAlign w:val="center"/>
          </w:tcPr>
          <w:p w14:paraId="0E10BA46" w14:textId="77777777" w:rsidR="000D07EA" w:rsidRDefault="00BE7C89">
            <w:pPr>
              <w:pStyle w:val="BodyText"/>
              <w:spacing w:before="100" w:after="100"/>
              <w:jc w:val="center"/>
              <w:rPr>
                <w:lang w:val="en-AU"/>
              </w:rPr>
            </w:pPr>
            <w:r>
              <w:rPr>
                <w:lang w:val="en-AU"/>
              </w:rPr>
              <w:t>No</w:t>
            </w:r>
          </w:p>
        </w:tc>
      </w:tr>
      <w:tr w:rsidR="000D07EA" w14:paraId="3D0402E8" w14:textId="77777777">
        <w:tc>
          <w:tcPr>
            <w:tcW w:w="2500" w:type="pct"/>
          </w:tcPr>
          <w:p w14:paraId="1154EBBF" w14:textId="77777777" w:rsidR="000D07EA" w:rsidRDefault="00BE7C89">
            <w:pPr>
              <w:pStyle w:val="BodyText"/>
              <w:spacing w:before="100" w:after="100"/>
              <w:rPr>
                <w:lang w:val="en-AU"/>
              </w:rPr>
            </w:pPr>
            <w:r>
              <w:rPr>
                <w:lang w:val="en-AU"/>
              </w:rPr>
              <w:t>Optus Zoo or Optus iZoo Downloads</w:t>
            </w:r>
          </w:p>
        </w:tc>
        <w:tc>
          <w:tcPr>
            <w:tcW w:w="2500" w:type="pct"/>
            <w:vAlign w:val="center"/>
          </w:tcPr>
          <w:p w14:paraId="01E4AE6B" w14:textId="77777777" w:rsidR="000D07EA" w:rsidRDefault="00BE7C89">
            <w:pPr>
              <w:pStyle w:val="BodyText"/>
              <w:spacing w:before="100" w:after="100"/>
              <w:jc w:val="center"/>
              <w:rPr>
                <w:lang w:val="en-AU"/>
              </w:rPr>
            </w:pPr>
            <w:r>
              <w:rPr>
                <w:lang w:val="en-AU"/>
              </w:rPr>
              <w:t>No</w:t>
            </w:r>
          </w:p>
        </w:tc>
      </w:tr>
      <w:tr w:rsidR="000D07EA" w14:paraId="64453472" w14:textId="77777777">
        <w:tc>
          <w:tcPr>
            <w:tcW w:w="2500" w:type="pct"/>
          </w:tcPr>
          <w:p w14:paraId="5DF0556C" w14:textId="77777777" w:rsidR="000D07EA" w:rsidRDefault="00BE7C89">
            <w:pPr>
              <w:pStyle w:val="BodyText"/>
              <w:spacing w:before="100" w:after="100"/>
              <w:rPr>
                <w:lang w:val="en-AU"/>
              </w:rPr>
            </w:pPr>
            <w:r>
              <w:rPr>
                <w:lang w:val="en-AU"/>
              </w:rPr>
              <w:t>SMS to 966 (Zoo)</w:t>
            </w:r>
          </w:p>
        </w:tc>
        <w:tc>
          <w:tcPr>
            <w:tcW w:w="2500" w:type="pct"/>
            <w:vAlign w:val="center"/>
          </w:tcPr>
          <w:p w14:paraId="680A0A97" w14:textId="77777777" w:rsidR="000D07EA" w:rsidRDefault="00BE7C89">
            <w:pPr>
              <w:pStyle w:val="BodyText"/>
              <w:spacing w:before="100" w:after="100"/>
              <w:jc w:val="center"/>
              <w:rPr>
                <w:lang w:val="en-AU"/>
              </w:rPr>
            </w:pPr>
            <w:r>
              <w:rPr>
                <w:lang w:val="en-AU"/>
              </w:rPr>
              <w:t>No</w:t>
            </w:r>
          </w:p>
        </w:tc>
      </w:tr>
      <w:tr w:rsidR="000D07EA" w14:paraId="5E272B5A" w14:textId="77777777">
        <w:tc>
          <w:tcPr>
            <w:tcW w:w="2500" w:type="pct"/>
          </w:tcPr>
          <w:p w14:paraId="4DF9E157" w14:textId="77777777" w:rsidR="000D07EA" w:rsidRDefault="00BE7C89">
            <w:pPr>
              <w:pStyle w:val="BodyText"/>
              <w:spacing w:before="100" w:after="100"/>
              <w:rPr>
                <w:lang w:val="en-AU"/>
              </w:rPr>
            </w:pPr>
            <w:r>
              <w:rPr>
                <w:lang w:val="en-AU"/>
              </w:rPr>
              <w:t>Mobile Internet usage</w:t>
            </w:r>
          </w:p>
        </w:tc>
        <w:tc>
          <w:tcPr>
            <w:tcW w:w="2500" w:type="pct"/>
            <w:vAlign w:val="center"/>
          </w:tcPr>
          <w:p w14:paraId="06469DFA" w14:textId="77777777" w:rsidR="000D07EA" w:rsidRDefault="00BE7C89">
            <w:pPr>
              <w:pStyle w:val="BodyText"/>
              <w:spacing w:before="100" w:after="100"/>
              <w:jc w:val="center"/>
              <w:rPr>
                <w:lang w:val="en-AU"/>
              </w:rPr>
            </w:pPr>
            <w:r>
              <w:rPr>
                <w:lang w:val="en-AU"/>
              </w:rPr>
              <w:t>No</w:t>
            </w:r>
          </w:p>
        </w:tc>
      </w:tr>
      <w:tr w:rsidR="000D07EA" w14:paraId="470F6697" w14:textId="77777777">
        <w:tc>
          <w:tcPr>
            <w:tcW w:w="2500" w:type="pct"/>
          </w:tcPr>
          <w:p w14:paraId="1FB709FE" w14:textId="77777777" w:rsidR="000D07EA" w:rsidRDefault="00BE7C89">
            <w:pPr>
              <w:pStyle w:val="BodyText"/>
              <w:spacing w:before="100" w:after="100"/>
              <w:rPr>
                <w:lang w:val="en-AU"/>
              </w:rPr>
            </w:pPr>
            <w:r>
              <w:rPr>
                <w:lang w:val="en-AU"/>
              </w:rPr>
              <w:t>Data Used while Roaming Internationally</w:t>
            </w:r>
          </w:p>
        </w:tc>
        <w:tc>
          <w:tcPr>
            <w:tcW w:w="2500" w:type="pct"/>
            <w:vAlign w:val="center"/>
          </w:tcPr>
          <w:p w14:paraId="4C071723" w14:textId="77777777" w:rsidR="000D07EA" w:rsidRDefault="00BE7C89">
            <w:pPr>
              <w:pStyle w:val="BodyText"/>
              <w:spacing w:before="100" w:after="100"/>
              <w:jc w:val="center"/>
              <w:rPr>
                <w:lang w:val="en-AU"/>
              </w:rPr>
            </w:pPr>
            <w:r>
              <w:rPr>
                <w:lang w:val="en-AU"/>
              </w:rPr>
              <w:t>No</w:t>
            </w:r>
          </w:p>
        </w:tc>
      </w:tr>
      <w:tr w:rsidR="000D07EA" w14:paraId="77393A4B" w14:textId="77777777">
        <w:tc>
          <w:tcPr>
            <w:tcW w:w="2500" w:type="pct"/>
          </w:tcPr>
          <w:p w14:paraId="34DF96A2" w14:textId="77777777" w:rsidR="000D07EA" w:rsidRDefault="00BE7C89">
            <w:pPr>
              <w:pStyle w:val="BodyText"/>
              <w:spacing w:before="100" w:after="100"/>
              <w:rPr>
                <w:lang w:val="en-AU"/>
              </w:rPr>
            </w:pPr>
            <w:r>
              <w:rPr>
                <w:lang w:val="en-AU"/>
              </w:rPr>
              <w:t>Content Packs (unless specified in promotions)</w:t>
            </w:r>
          </w:p>
        </w:tc>
        <w:tc>
          <w:tcPr>
            <w:tcW w:w="2500" w:type="pct"/>
            <w:vAlign w:val="center"/>
          </w:tcPr>
          <w:p w14:paraId="00A28E49" w14:textId="77777777" w:rsidR="000D07EA" w:rsidRDefault="00BE7C89">
            <w:pPr>
              <w:pStyle w:val="BodyText"/>
              <w:spacing w:before="100" w:after="100"/>
              <w:jc w:val="center"/>
              <w:rPr>
                <w:lang w:val="en-AU"/>
              </w:rPr>
            </w:pPr>
            <w:r>
              <w:rPr>
                <w:lang w:val="en-AU"/>
              </w:rPr>
              <w:t>No</w:t>
            </w:r>
          </w:p>
        </w:tc>
      </w:tr>
      <w:tr w:rsidR="000D07EA" w14:paraId="2FB3827A" w14:textId="77777777">
        <w:tc>
          <w:tcPr>
            <w:tcW w:w="2500" w:type="pct"/>
          </w:tcPr>
          <w:p w14:paraId="697E3CCA" w14:textId="77777777" w:rsidR="000D07EA" w:rsidRDefault="00BE7C89">
            <w:pPr>
              <w:pStyle w:val="BodyText"/>
              <w:spacing w:before="100" w:after="100"/>
              <w:rPr>
                <w:lang w:val="en-AU"/>
              </w:rPr>
            </w:pPr>
            <w:r>
              <w:rPr>
                <w:lang w:val="en-AU"/>
              </w:rPr>
              <w:t>TrueLocal Usage</w:t>
            </w:r>
          </w:p>
        </w:tc>
        <w:tc>
          <w:tcPr>
            <w:tcW w:w="2500" w:type="pct"/>
            <w:vAlign w:val="center"/>
          </w:tcPr>
          <w:p w14:paraId="2AEF0C31" w14:textId="77777777" w:rsidR="000D07EA" w:rsidRDefault="00BE7C89">
            <w:pPr>
              <w:pStyle w:val="BodyText"/>
              <w:spacing w:before="100" w:after="100"/>
              <w:jc w:val="center"/>
              <w:rPr>
                <w:lang w:val="en-AU"/>
              </w:rPr>
            </w:pPr>
            <w:r>
              <w:rPr>
                <w:lang w:val="en-AU"/>
              </w:rPr>
              <w:t>No</w:t>
            </w:r>
          </w:p>
        </w:tc>
      </w:tr>
      <w:tr w:rsidR="000D07EA" w14:paraId="0E187198" w14:textId="77777777">
        <w:tc>
          <w:tcPr>
            <w:tcW w:w="2500" w:type="pct"/>
          </w:tcPr>
          <w:p w14:paraId="14A15186" w14:textId="77777777" w:rsidR="000D07EA" w:rsidRDefault="00BE7C89">
            <w:pPr>
              <w:pStyle w:val="BodyText"/>
              <w:spacing w:before="100" w:after="100"/>
              <w:rPr>
                <w:lang w:val="en-AU"/>
              </w:rPr>
            </w:pPr>
            <w:r>
              <w:rPr>
                <w:lang w:val="en-AU"/>
              </w:rPr>
              <w:lastRenderedPageBreak/>
              <w:t xml:space="preserve">Directory Assistance- 1223 </w:t>
            </w:r>
          </w:p>
        </w:tc>
        <w:tc>
          <w:tcPr>
            <w:tcW w:w="2500" w:type="pct"/>
            <w:vAlign w:val="center"/>
          </w:tcPr>
          <w:p w14:paraId="0BC134EF" w14:textId="77777777" w:rsidR="000D07EA" w:rsidRDefault="00BE7C89">
            <w:pPr>
              <w:pStyle w:val="BodyText"/>
              <w:spacing w:before="100" w:after="100"/>
              <w:jc w:val="center"/>
              <w:rPr>
                <w:lang w:val="en-AU"/>
              </w:rPr>
            </w:pPr>
            <w:r>
              <w:rPr>
                <w:lang w:val="en-AU"/>
              </w:rPr>
              <w:t>No</w:t>
            </w:r>
          </w:p>
        </w:tc>
      </w:tr>
      <w:tr w:rsidR="000D07EA" w14:paraId="5A91463F" w14:textId="77777777">
        <w:tc>
          <w:tcPr>
            <w:tcW w:w="2500" w:type="pct"/>
          </w:tcPr>
          <w:p w14:paraId="5ACA939B" w14:textId="77777777" w:rsidR="000D07EA" w:rsidRDefault="00BE7C89">
            <w:pPr>
              <w:pStyle w:val="BodyText"/>
              <w:spacing w:before="100" w:after="100"/>
              <w:rPr>
                <w:lang w:val="en-AU"/>
              </w:rPr>
            </w:pPr>
            <w:r>
              <w:rPr>
                <w:lang w:val="en-AU"/>
              </w:rPr>
              <w:t>19XX Numbers</w:t>
            </w:r>
          </w:p>
        </w:tc>
        <w:tc>
          <w:tcPr>
            <w:tcW w:w="2500" w:type="pct"/>
            <w:vAlign w:val="center"/>
          </w:tcPr>
          <w:p w14:paraId="288D94C6" w14:textId="77777777" w:rsidR="000D07EA" w:rsidRDefault="00BE7C89">
            <w:pPr>
              <w:pStyle w:val="BodyText"/>
              <w:spacing w:before="100" w:after="100"/>
              <w:jc w:val="center"/>
              <w:rPr>
                <w:lang w:val="en-AU"/>
              </w:rPr>
            </w:pPr>
            <w:r>
              <w:rPr>
                <w:lang w:val="en-AU"/>
              </w:rPr>
              <w:t>No</w:t>
            </w:r>
          </w:p>
        </w:tc>
      </w:tr>
      <w:tr w:rsidR="000D07EA" w14:paraId="0B01DAEC" w14:textId="77777777">
        <w:tc>
          <w:tcPr>
            <w:tcW w:w="2500" w:type="pct"/>
          </w:tcPr>
          <w:p w14:paraId="1240C252" w14:textId="77777777" w:rsidR="000D07EA" w:rsidRDefault="00BE7C89">
            <w:pPr>
              <w:pStyle w:val="BodyText"/>
              <w:spacing w:before="100" w:after="100"/>
              <w:rPr>
                <w:lang w:val="en-AU"/>
              </w:rPr>
            </w:pPr>
            <w:r>
              <w:rPr>
                <w:lang w:val="en-AU"/>
              </w:rPr>
              <w:t>1800, 13 and 1300 numbers</w:t>
            </w:r>
          </w:p>
        </w:tc>
        <w:tc>
          <w:tcPr>
            <w:tcW w:w="2500" w:type="pct"/>
            <w:vAlign w:val="center"/>
          </w:tcPr>
          <w:p w14:paraId="596B78B0" w14:textId="77777777" w:rsidR="000D07EA" w:rsidRDefault="00BE7C89">
            <w:pPr>
              <w:pStyle w:val="BodyText"/>
              <w:spacing w:before="100" w:after="100"/>
              <w:jc w:val="center"/>
              <w:rPr>
                <w:lang w:val="en-AU"/>
              </w:rPr>
            </w:pPr>
            <w:r>
              <w:rPr>
                <w:lang w:val="en-AU"/>
              </w:rPr>
              <w:t>No</w:t>
            </w:r>
          </w:p>
        </w:tc>
      </w:tr>
      <w:tr w:rsidR="000D07EA" w14:paraId="467D0539" w14:textId="77777777">
        <w:tc>
          <w:tcPr>
            <w:tcW w:w="2500" w:type="pct"/>
          </w:tcPr>
          <w:p w14:paraId="6138412F" w14:textId="77777777" w:rsidR="000D07EA" w:rsidRDefault="00BE7C89">
            <w:pPr>
              <w:pStyle w:val="BodyText"/>
              <w:spacing w:before="100" w:after="100"/>
              <w:rPr>
                <w:lang w:val="en-AU"/>
              </w:rPr>
            </w:pPr>
            <w:r>
              <w:rPr>
                <w:lang w:val="en-AU"/>
              </w:rPr>
              <w:t>124YES(937)</w:t>
            </w:r>
          </w:p>
        </w:tc>
        <w:tc>
          <w:tcPr>
            <w:tcW w:w="2500" w:type="pct"/>
            <w:vAlign w:val="center"/>
          </w:tcPr>
          <w:p w14:paraId="4629A3C8" w14:textId="77777777" w:rsidR="000D07EA" w:rsidRDefault="00BE7C89">
            <w:pPr>
              <w:pStyle w:val="BodyText"/>
              <w:spacing w:before="100" w:after="100"/>
              <w:jc w:val="center"/>
              <w:rPr>
                <w:lang w:val="en-AU"/>
              </w:rPr>
            </w:pPr>
            <w:r>
              <w:rPr>
                <w:lang w:val="en-AU"/>
              </w:rPr>
              <w:t>No</w:t>
            </w:r>
          </w:p>
        </w:tc>
      </w:tr>
      <w:tr w:rsidR="000D07EA" w14:paraId="71B8C785" w14:textId="77777777">
        <w:tc>
          <w:tcPr>
            <w:tcW w:w="2500" w:type="pct"/>
          </w:tcPr>
          <w:p w14:paraId="453E462E" w14:textId="77777777" w:rsidR="000D07EA" w:rsidRDefault="00BE7C89">
            <w:pPr>
              <w:pStyle w:val="BodyText"/>
              <w:spacing w:before="100" w:after="100"/>
              <w:rPr>
                <w:lang w:val="en-AU"/>
              </w:rPr>
            </w:pPr>
            <w:r>
              <w:rPr>
                <w:lang w:val="en-AU"/>
              </w:rPr>
              <w:t>Insurance</w:t>
            </w:r>
          </w:p>
        </w:tc>
        <w:tc>
          <w:tcPr>
            <w:tcW w:w="2500" w:type="pct"/>
            <w:vAlign w:val="center"/>
          </w:tcPr>
          <w:p w14:paraId="011730D3" w14:textId="77777777" w:rsidR="000D07EA" w:rsidRDefault="00BE7C89">
            <w:pPr>
              <w:pStyle w:val="BodyText"/>
              <w:spacing w:before="100" w:after="100"/>
              <w:jc w:val="center"/>
              <w:rPr>
                <w:lang w:val="en-AU"/>
              </w:rPr>
            </w:pPr>
            <w:r>
              <w:rPr>
                <w:lang w:val="en-AU"/>
              </w:rPr>
              <w:t>No</w:t>
            </w:r>
          </w:p>
        </w:tc>
      </w:tr>
      <w:tr w:rsidR="000D07EA" w14:paraId="62D708ED" w14:textId="77777777">
        <w:tc>
          <w:tcPr>
            <w:tcW w:w="2500" w:type="pct"/>
          </w:tcPr>
          <w:p w14:paraId="58CB3459" w14:textId="77777777" w:rsidR="000D07EA" w:rsidRDefault="00BE7C89">
            <w:pPr>
              <w:pStyle w:val="BodyText"/>
              <w:spacing w:before="100" w:after="100"/>
              <w:rPr>
                <w:lang w:val="en-AU"/>
              </w:rPr>
            </w:pPr>
            <w:r>
              <w:rPr>
                <w:lang w:val="en-AU"/>
              </w:rPr>
              <w:t>Handset Payments</w:t>
            </w:r>
          </w:p>
        </w:tc>
        <w:tc>
          <w:tcPr>
            <w:tcW w:w="2500" w:type="pct"/>
            <w:vAlign w:val="center"/>
          </w:tcPr>
          <w:p w14:paraId="06A42974" w14:textId="77777777" w:rsidR="000D07EA" w:rsidRDefault="00BE7C89">
            <w:pPr>
              <w:pStyle w:val="BodyText"/>
              <w:spacing w:before="100" w:after="100"/>
              <w:jc w:val="center"/>
              <w:rPr>
                <w:lang w:val="en-AU"/>
              </w:rPr>
            </w:pPr>
            <w:r>
              <w:rPr>
                <w:lang w:val="en-AU"/>
              </w:rPr>
              <w:t>No</w:t>
            </w:r>
          </w:p>
        </w:tc>
      </w:tr>
      <w:tr w:rsidR="000D07EA" w14:paraId="2655676B" w14:textId="77777777">
        <w:tc>
          <w:tcPr>
            <w:tcW w:w="2500" w:type="pct"/>
          </w:tcPr>
          <w:p w14:paraId="6E7E585E" w14:textId="77777777" w:rsidR="000D07EA" w:rsidRDefault="00BE7C89">
            <w:pPr>
              <w:pStyle w:val="BodyText"/>
              <w:spacing w:before="100" w:after="100"/>
              <w:rPr>
                <w:lang w:val="en-AU"/>
              </w:rPr>
            </w:pPr>
            <w:r>
              <w:rPr>
                <w:lang w:val="en-AU"/>
              </w:rPr>
              <w:t>Calls to MobileSat</w:t>
            </w:r>
          </w:p>
        </w:tc>
        <w:tc>
          <w:tcPr>
            <w:tcW w:w="2500" w:type="pct"/>
            <w:vAlign w:val="center"/>
          </w:tcPr>
          <w:p w14:paraId="0010FA0D" w14:textId="77777777" w:rsidR="000D07EA" w:rsidRDefault="00BE7C89">
            <w:pPr>
              <w:pStyle w:val="BodyText"/>
              <w:spacing w:before="100" w:after="100"/>
              <w:jc w:val="center"/>
              <w:rPr>
                <w:lang w:val="en-AU"/>
              </w:rPr>
            </w:pPr>
            <w:r>
              <w:rPr>
                <w:lang w:val="en-AU"/>
              </w:rPr>
              <w:t>No</w:t>
            </w:r>
          </w:p>
        </w:tc>
      </w:tr>
      <w:tr w:rsidR="000D07EA" w14:paraId="710E67A3" w14:textId="77777777">
        <w:tc>
          <w:tcPr>
            <w:tcW w:w="2500" w:type="pct"/>
          </w:tcPr>
          <w:p w14:paraId="356D2B2C" w14:textId="77777777" w:rsidR="000D07EA" w:rsidRDefault="00BE7C89">
            <w:pPr>
              <w:pStyle w:val="BodyText"/>
              <w:spacing w:before="100" w:after="100"/>
              <w:rPr>
                <w:lang w:val="en-AU"/>
              </w:rPr>
            </w:pPr>
            <w:r>
              <w:rPr>
                <w:lang w:val="en-AU"/>
              </w:rPr>
              <w:t>VOIP services</w:t>
            </w:r>
          </w:p>
        </w:tc>
        <w:tc>
          <w:tcPr>
            <w:tcW w:w="2500" w:type="pct"/>
            <w:vAlign w:val="center"/>
          </w:tcPr>
          <w:p w14:paraId="381DFA0C" w14:textId="77777777" w:rsidR="000D07EA" w:rsidRDefault="00BE7C89">
            <w:pPr>
              <w:pStyle w:val="BodyText"/>
              <w:spacing w:before="100" w:after="100"/>
              <w:jc w:val="center"/>
              <w:rPr>
                <w:lang w:val="en-AU"/>
              </w:rPr>
            </w:pPr>
            <w:r>
              <w:rPr>
                <w:lang w:val="en-AU"/>
              </w:rPr>
              <w:t>No</w:t>
            </w:r>
          </w:p>
        </w:tc>
      </w:tr>
    </w:tbl>
    <w:p w14:paraId="50AACAC8" w14:textId="77777777" w:rsidR="000D07EA" w:rsidRDefault="000D07EA">
      <w:pPr>
        <w:pStyle w:val="BodyText"/>
        <w:rPr>
          <w:lang w:val="en-AU"/>
        </w:rPr>
      </w:pPr>
    </w:p>
    <w:p w14:paraId="43322A28" w14:textId="77777777" w:rsidR="000D07EA" w:rsidRDefault="00BE7C89">
      <w:pPr>
        <w:pStyle w:val="BodyText"/>
        <w:ind w:left="720"/>
        <w:rPr>
          <w:b/>
          <w:lang w:val="en-AU"/>
        </w:rPr>
      </w:pPr>
      <w:r>
        <w:rPr>
          <w:b/>
          <w:lang w:val="en-AU"/>
        </w:rPr>
        <w:t>Table 3A – Charges for the Business Timeless Plans</w:t>
      </w: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347"/>
        <w:gridCol w:w="2556"/>
        <w:gridCol w:w="2558"/>
      </w:tblGrid>
      <w:tr w:rsidR="000D07EA" w14:paraId="541F0A54" w14:textId="77777777">
        <w:trPr>
          <w:tblHeader/>
        </w:trPr>
        <w:tc>
          <w:tcPr>
            <w:tcW w:w="2297" w:type="pct"/>
          </w:tcPr>
          <w:p w14:paraId="76880FA7" w14:textId="77777777" w:rsidR="000D07EA" w:rsidRDefault="00BE7C89">
            <w:pPr>
              <w:pStyle w:val="BodyText"/>
              <w:spacing w:before="100" w:after="100"/>
              <w:rPr>
                <w:b/>
                <w:lang w:val="en-AU" w:eastAsia="en-AU"/>
              </w:rPr>
            </w:pPr>
            <w:r>
              <w:rPr>
                <w:b/>
                <w:lang w:val="en-AU" w:eastAsia="en-AU"/>
              </w:rPr>
              <w:t>M2M, 12 Month, or 24 Month plans</w:t>
            </w:r>
          </w:p>
        </w:tc>
        <w:tc>
          <w:tcPr>
            <w:tcW w:w="1351" w:type="pct"/>
          </w:tcPr>
          <w:p w14:paraId="5CCD72AD" w14:textId="77777777" w:rsidR="000D07EA" w:rsidRDefault="00BE7C89">
            <w:pPr>
              <w:pStyle w:val="BodyText"/>
              <w:spacing w:before="100" w:after="100"/>
              <w:jc w:val="center"/>
              <w:rPr>
                <w:b/>
                <w:lang w:val="en-AU" w:eastAsia="en-AU"/>
              </w:rPr>
            </w:pPr>
            <w:r>
              <w:rPr>
                <w:b/>
                <w:lang w:val="en-AU" w:eastAsia="en-AU"/>
              </w:rPr>
              <w:t>$99 Business Timeless / (Premium H/set)</w:t>
            </w:r>
          </w:p>
        </w:tc>
        <w:tc>
          <w:tcPr>
            <w:tcW w:w="1352" w:type="pct"/>
          </w:tcPr>
          <w:p w14:paraId="50B53E2C" w14:textId="77777777" w:rsidR="000D07EA" w:rsidRDefault="00BE7C89">
            <w:pPr>
              <w:pStyle w:val="BodyText"/>
              <w:spacing w:before="100" w:after="100"/>
              <w:jc w:val="center"/>
              <w:rPr>
                <w:b/>
                <w:lang w:val="en-AU" w:eastAsia="en-AU"/>
              </w:rPr>
            </w:pPr>
            <w:r>
              <w:rPr>
                <w:b/>
                <w:lang w:val="en-AU" w:eastAsia="en-AU"/>
              </w:rPr>
              <w:t>$129 Business Timeless / (Premium H/set)</w:t>
            </w:r>
          </w:p>
        </w:tc>
      </w:tr>
      <w:tr w:rsidR="000D07EA" w14:paraId="5462531A" w14:textId="77777777">
        <w:tc>
          <w:tcPr>
            <w:tcW w:w="2297" w:type="pct"/>
            <w:vAlign w:val="center"/>
          </w:tcPr>
          <w:p w14:paraId="45DC2B61" w14:textId="77777777" w:rsidR="000D07EA" w:rsidRDefault="00BE7C89">
            <w:pPr>
              <w:pStyle w:val="BodyText"/>
              <w:spacing w:before="100" w:after="100"/>
              <w:rPr>
                <w:b/>
                <w:lang w:val="en-AU" w:eastAsia="en-AU"/>
              </w:rPr>
            </w:pPr>
            <w:r>
              <w:rPr>
                <w:b/>
                <w:lang w:val="en-AU" w:eastAsia="en-AU"/>
              </w:rPr>
              <w:t>Minimum Monthly charge</w:t>
            </w:r>
          </w:p>
        </w:tc>
        <w:tc>
          <w:tcPr>
            <w:tcW w:w="1351" w:type="pct"/>
            <w:vAlign w:val="center"/>
          </w:tcPr>
          <w:p w14:paraId="2A79138A" w14:textId="77777777" w:rsidR="000D07EA" w:rsidRDefault="00BE7C89">
            <w:pPr>
              <w:pStyle w:val="BodyText"/>
              <w:spacing w:before="100" w:after="100"/>
              <w:jc w:val="center"/>
              <w:rPr>
                <w:lang w:val="en-AU" w:eastAsia="en-AU"/>
              </w:rPr>
            </w:pPr>
            <w:r>
              <w:rPr>
                <w:lang w:val="en-AU" w:eastAsia="en-AU"/>
              </w:rPr>
              <w:t>$99</w:t>
            </w:r>
          </w:p>
        </w:tc>
        <w:tc>
          <w:tcPr>
            <w:tcW w:w="1352" w:type="pct"/>
            <w:vAlign w:val="center"/>
          </w:tcPr>
          <w:p w14:paraId="01EF4CCF" w14:textId="77777777" w:rsidR="000D07EA" w:rsidRDefault="00BE7C89">
            <w:pPr>
              <w:pStyle w:val="BodyText"/>
              <w:spacing w:before="100" w:after="100"/>
              <w:jc w:val="center"/>
              <w:rPr>
                <w:lang w:val="en-AU" w:eastAsia="en-AU"/>
              </w:rPr>
            </w:pPr>
            <w:r>
              <w:rPr>
                <w:lang w:val="en-AU" w:eastAsia="en-AU"/>
              </w:rPr>
              <w:t>$129</w:t>
            </w:r>
          </w:p>
        </w:tc>
      </w:tr>
      <w:tr w:rsidR="000D07EA" w14:paraId="6C0C5C9E" w14:textId="77777777">
        <w:tc>
          <w:tcPr>
            <w:tcW w:w="2297" w:type="pct"/>
            <w:vAlign w:val="center"/>
          </w:tcPr>
          <w:p w14:paraId="5B1AE53D" w14:textId="77777777" w:rsidR="000D07EA" w:rsidRDefault="00BE7C89">
            <w:pPr>
              <w:pStyle w:val="BodyText"/>
              <w:spacing w:before="100" w:after="100"/>
              <w:rPr>
                <w:b/>
                <w:lang w:val="en-AU" w:eastAsia="en-AU"/>
              </w:rPr>
            </w:pPr>
            <w:r>
              <w:rPr>
                <w:b/>
                <w:lang w:val="en-AU" w:eastAsia="en-AU"/>
              </w:rPr>
              <w:t>Standard local &amp; national calls to Australian fixed lines within Australia</w:t>
            </w:r>
          </w:p>
        </w:tc>
        <w:tc>
          <w:tcPr>
            <w:tcW w:w="1351" w:type="pct"/>
            <w:vAlign w:val="center"/>
          </w:tcPr>
          <w:p w14:paraId="31D92902" w14:textId="77777777" w:rsidR="000D07EA" w:rsidRDefault="00BE7C89">
            <w:pPr>
              <w:pStyle w:val="BodyText"/>
              <w:spacing w:before="100" w:after="100"/>
              <w:jc w:val="center"/>
              <w:rPr>
                <w:lang w:val="en-AU" w:eastAsia="en-AU"/>
              </w:rPr>
            </w:pPr>
            <w:r>
              <w:rPr>
                <w:lang w:val="en-AU" w:eastAsia="en-AU"/>
              </w:rPr>
              <w:t>Unlimited</w:t>
            </w:r>
          </w:p>
        </w:tc>
        <w:tc>
          <w:tcPr>
            <w:tcW w:w="1352" w:type="pct"/>
            <w:vAlign w:val="center"/>
          </w:tcPr>
          <w:p w14:paraId="7306EF04" w14:textId="77777777" w:rsidR="000D07EA" w:rsidRDefault="00BE7C89">
            <w:pPr>
              <w:pStyle w:val="BodyText"/>
              <w:spacing w:before="100" w:after="100"/>
              <w:jc w:val="center"/>
              <w:rPr>
                <w:lang w:val="en-AU" w:eastAsia="en-AU"/>
              </w:rPr>
            </w:pPr>
            <w:r>
              <w:rPr>
                <w:lang w:val="en-AU" w:eastAsia="en-AU"/>
              </w:rPr>
              <w:t>Unlimited</w:t>
            </w:r>
          </w:p>
        </w:tc>
      </w:tr>
      <w:tr w:rsidR="000D07EA" w14:paraId="664F4CFC" w14:textId="77777777">
        <w:tc>
          <w:tcPr>
            <w:tcW w:w="2297" w:type="pct"/>
            <w:vAlign w:val="center"/>
          </w:tcPr>
          <w:p w14:paraId="314A1674" w14:textId="77777777" w:rsidR="000D07EA" w:rsidRDefault="00BE7C89">
            <w:pPr>
              <w:pStyle w:val="BodyText"/>
              <w:spacing w:before="100" w:after="100"/>
              <w:rPr>
                <w:b/>
                <w:lang w:val="en-AU" w:eastAsia="en-AU"/>
              </w:rPr>
            </w:pPr>
            <w:r>
              <w:rPr>
                <w:b/>
                <w:lang w:val="en-AU" w:eastAsia="en-AU"/>
              </w:rPr>
              <w:t>Standard voice &amp; video calls to Australian GSM mobiles (excludes Pivotel) within Australia</w:t>
            </w:r>
          </w:p>
        </w:tc>
        <w:tc>
          <w:tcPr>
            <w:tcW w:w="1351" w:type="pct"/>
            <w:vAlign w:val="center"/>
          </w:tcPr>
          <w:p w14:paraId="024C4021" w14:textId="77777777" w:rsidR="000D07EA" w:rsidRDefault="00BE7C89">
            <w:pPr>
              <w:pStyle w:val="BodyText"/>
              <w:spacing w:before="100" w:after="100"/>
              <w:jc w:val="center"/>
              <w:rPr>
                <w:lang w:val="en-AU" w:eastAsia="en-AU"/>
              </w:rPr>
            </w:pPr>
            <w:r>
              <w:rPr>
                <w:lang w:val="en-AU" w:eastAsia="en-AU"/>
              </w:rPr>
              <w:t>Unlimited</w:t>
            </w:r>
          </w:p>
        </w:tc>
        <w:tc>
          <w:tcPr>
            <w:tcW w:w="1352" w:type="pct"/>
            <w:vAlign w:val="center"/>
          </w:tcPr>
          <w:p w14:paraId="4244D940" w14:textId="77777777" w:rsidR="000D07EA" w:rsidRDefault="00BE7C89">
            <w:pPr>
              <w:pStyle w:val="BodyText"/>
              <w:spacing w:before="100" w:after="100"/>
              <w:jc w:val="center"/>
              <w:rPr>
                <w:lang w:val="en-AU" w:eastAsia="en-AU"/>
              </w:rPr>
            </w:pPr>
            <w:r>
              <w:rPr>
                <w:lang w:val="en-AU" w:eastAsia="en-AU"/>
              </w:rPr>
              <w:t>Unlimited</w:t>
            </w:r>
          </w:p>
        </w:tc>
      </w:tr>
      <w:tr w:rsidR="000D07EA" w14:paraId="58F15CAC" w14:textId="77777777">
        <w:tc>
          <w:tcPr>
            <w:tcW w:w="2297" w:type="pct"/>
            <w:vAlign w:val="center"/>
          </w:tcPr>
          <w:p w14:paraId="0B493D23" w14:textId="77777777" w:rsidR="000D07EA" w:rsidRDefault="00BE7C89">
            <w:pPr>
              <w:pStyle w:val="BodyText"/>
              <w:spacing w:before="100" w:after="100"/>
              <w:rPr>
                <w:b/>
                <w:lang w:val="en-AU" w:eastAsia="en-AU"/>
              </w:rPr>
            </w:pPr>
            <w:r>
              <w:rPr>
                <w:b/>
                <w:lang w:val="en-AU" w:eastAsia="en-AU"/>
              </w:rPr>
              <w:t>Standard national MMS to Australian GSM mobiles (excludes Pivotel) within Australia</w:t>
            </w:r>
          </w:p>
        </w:tc>
        <w:tc>
          <w:tcPr>
            <w:tcW w:w="1351" w:type="pct"/>
            <w:vAlign w:val="center"/>
          </w:tcPr>
          <w:p w14:paraId="13BB162C" w14:textId="77777777" w:rsidR="000D07EA" w:rsidRDefault="00BE7C89">
            <w:pPr>
              <w:pStyle w:val="BodyText"/>
              <w:spacing w:before="100" w:after="100"/>
              <w:jc w:val="center"/>
              <w:rPr>
                <w:lang w:val="en-AU" w:eastAsia="en-AU"/>
              </w:rPr>
            </w:pPr>
            <w:r>
              <w:rPr>
                <w:lang w:val="en-AU" w:eastAsia="en-AU"/>
              </w:rPr>
              <w:t>Unlimited</w:t>
            </w:r>
          </w:p>
        </w:tc>
        <w:tc>
          <w:tcPr>
            <w:tcW w:w="1352" w:type="pct"/>
            <w:vAlign w:val="center"/>
          </w:tcPr>
          <w:p w14:paraId="0B4E6124" w14:textId="77777777" w:rsidR="000D07EA" w:rsidRDefault="00BE7C89">
            <w:pPr>
              <w:pStyle w:val="BodyText"/>
              <w:spacing w:before="100" w:after="100"/>
              <w:jc w:val="center"/>
              <w:rPr>
                <w:lang w:val="en-AU" w:eastAsia="en-AU"/>
              </w:rPr>
            </w:pPr>
            <w:r>
              <w:rPr>
                <w:lang w:val="en-AU" w:eastAsia="en-AU"/>
              </w:rPr>
              <w:t>Unlimited</w:t>
            </w:r>
          </w:p>
        </w:tc>
      </w:tr>
      <w:tr w:rsidR="000D07EA" w14:paraId="153735AF" w14:textId="77777777">
        <w:tc>
          <w:tcPr>
            <w:tcW w:w="2297" w:type="pct"/>
            <w:vAlign w:val="center"/>
          </w:tcPr>
          <w:p w14:paraId="3E7D0DF9" w14:textId="77777777" w:rsidR="000D07EA" w:rsidRDefault="00BE7C89">
            <w:pPr>
              <w:pStyle w:val="BodyText"/>
              <w:spacing w:before="100" w:after="100"/>
              <w:rPr>
                <w:b/>
                <w:lang w:val="en-AU" w:eastAsia="en-AU"/>
              </w:rPr>
            </w:pPr>
            <w:r>
              <w:rPr>
                <w:b/>
                <w:lang w:val="en-AU" w:eastAsia="en-AU"/>
              </w:rPr>
              <w:t>Standard national SMS to Australian GSM mobiles (excludes Pivotel) within Australia</w:t>
            </w:r>
          </w:p>
        </w:tc>
        <w:tc>
          <w:tcPr>
            <w:tcW w:w="1351" w:type="pct"/>
            <w:vAlign w:val="center"/>
          </w:tcPr>
          <w:p w14:paraId="5E8DDAFA" w14:textId="77777777" w:rsidR="000D07EA" w:rsidRDefault="00BE7C89">
            <w:pPr>
              <w:pStyle w:val="BodyText"/>
              <w:spacing w:before="100" w:after="100"/>
              <w:jc w:val="center"/>
              <w:rPr>
                <w:lang w:val="en-AU" w:eastAsia="en-AU"/>
              </w:rPr>
            </w:pPr>
            <w:r>
              <w:rPr>
                <w:lang w:val="en-AU" w:eastAsia="en-AU"/>
              </w:rPr>
              <w:t>Unlimited</w:t>
            </w:r>
          </w:p>
        </w:tc>
        <w:tc>
          <w:tcPr>
            <w:tcW w:w="1352" w:type="pct"/>
            <w:vAlign w:val="center"/>
          </w:tcPr>
          <w:p w14:paraId="03169AA4" w14:textId="77777777" w:rsidR="000D07EA" w:rsidRDefault="00BE7C89">
            <w:pPr>
              <w:pStyle w:val="BodyText"/>
              <w:spacing w:before="100" w:after="100"/>
              <w:jc w:val="center"/>
              <w:rPr>
                <w:lang w:val="en-AU" w:eastAsia="en-AU"/>
              </w:rPr>
            </w:pPr>
            <w:r>
              <w:rPr>
                <w:lang w:val="en-AU" w:eastAsia="en-AU"/>
              </w:rPr>
              <w:t>Unlimited</w:t>
            </w:r>
          </w:p>
        </w:tc>
      </w:tr>
      <w:tr w:rsidR="000D07EA" w14:paraId="3749BCF6" w14:textId="77777777">
        <w:tc>
          <w:tcPr>
            <w:tcW w:w="2297" w:type="pct"/>
            <w:vAlign w:val="center"/>
          </w:tcPr>
          <w:p w14:paraId="02134595" w14:textId="77777777" w:rsidR="000D07EA" w:rsidRDefault="00BE7C89">
            <w:pPr>
              <w:pStyle w:val="BodyText"/>
              <w:spacing w:before="100" w:after="100"/>
              <w:rPr>
                <w:b/>
                <w:lang w:val="en-AU" w:eastAsia="en-AU"/>
              </w:rPr>
            </w:pPr>
            <w:r>
              <w:rPr>
                <w:b/>
                <w:lang w:val="en-AU" w:eastAsia="en-AU"/>
              </w:rPr>
              <w:t>Voicemail deposits and retrievals, within Australia</w:t>
            </w:r>
          </w:p>
        </w:tc>
        <w:tc>
          <w:tcPr>
            <w:tcW w:w="1351" w:type="pct"/>
            <w:vAlign w:val="center"/>
          </w:tcPr>
          <w:p w14:paraId="386128CA" w14:textId="77777777" w:rsidR="000D07EA" w:rsidRDefault="00BE7C89">
            <w:pPr>
              <w:pStyle w:val="BodyText"/>
              <w:spacing w:before="100" w:after="100"/>
              <w:jc w:val="center"/>
              <w:rPr>
                <w:lang w:val="en-AU" w:eastAsia="en-AU"/>
              </w:rPr>
            </w:pPr>
            <w:r>
              <w:rPr>
                <w:lang w:val="en-AU" w:eastAsia="en-AU"/>
              </w:rPr>
              <w:t>Unlimited</w:t>
            </w:r>
          </w:p>
        </w:tc>
        <w:tc>
          <w:tcPr>
            <w:tcW w:w="1352" w:type="pct"/>
            <w:vAlign w:val="center"/>
          </w:tcPr>
          <w:p w14:paraId="0266A80D" w14:textId="77777777" w:rsidR="000D07EA" w:rsidRDefault="00BE7C89">
            <w:pPr>
              <w:pStyle w:val="BodyText"/>
              <w:spacing w:before="100" w:after="100"/>
              <w:jc w:val="center"/>
              <w:rPr>
                <w:lang w:val="en-AU" w:eastAsia="en-AU"/>
              </w:rPr>
            </w:pPr>
            <w:r>
              <w:rPr>
                <w:lang w:val="en-AU" w:eastAsia="en-AU"/>
              </w:rPr>
              <w:t>Unlimited</w:t>
            </w:r>
          </w:p>
        </w:tc>
      </w:tr>
      <w:tr w:rsidR="000D07EA" w14:paraId="68A8C375" w14:textId="77777777">
        <w:tc>
          <w:tcPr>
            <w:tcW w:w="2297" w:type="pct"/>
            <w:vAlign w:val="center"/>
          </w:tcPr>
          <w:p w14:paraId="22E2F2BA" w14:textId="77777777" w:rsidR="000D07EA" w:rsidRDefault="00BE7C89">
            <w:pPr>
              <w:pStyle w:val="BodyText"/>
              <w:spacing w:before="100" w:after="100"/>
              <w:rPr>
                <w:b/>
                <w:lang w:val="en-AU" w:eastAsia="en-AU"/>
              </w:rPr>
            </w:pPr>
            <w:r>
              <w:rPr>
                <w:b/>
                <w:lang w:val="en-AU" w:eastAsia="en-AU"/>
              </w:rPr>
              <w:t>Unlimited access to Facebook®, Twitter, LinkedIn, Ebay, Four Square, MySpace within Australia</w:t>
            </w:r>
          </w:p>
        </w:tc>
        <w:tc>
          <w:tcPr>
            <w:tcW w:w="1351" w:type="pct"/>
            <w:vAlign w:val="center"/>
          </w:tcPr>
          <w:p w14:paraId="77868D61" w14:textId="77777777" w:rsidR="000D07EA" w:rsidRDefault="00BE7C89">
            <w:pPr>
              <w:pStyle w:val="BodyText"/>
              <w:spacing w:before="100" w:after="100"/>
              <w:jc w:val="center"/>
              <w:rPr>
                <w:lang w:val="en-AU" w:eastAsia="en-AU"/>
              </w:rPr>
            </w:pPr>
            <w:r>
              <w:rPr>
                <w:lang w:val="en-AU" w:eastAsia="en-AU"/>
              </w:rPr>
              <w:t>Unlimited</w:t>
            </w:r>
          </w:p>
        </w:tc>
        <w:tc>
          <w:tcPr>
            <w:tcW w:w="1352" w:type="pct"/>
            <w:vAlign w:val="center"/>
          </w:tcPr>
          <w:p w14:paraId="7FEAAAD6" w14:textId="77777777" w:rsidR="000D07EA" w:rsidRDefault="00BE7C89">
            <w:pPr>
              <w:pStyle w:val="BodyText"/>
              <w:spacing w:before="100" w:after="100"/>
              <w:jc w:val="center"/>
              <w:rPr>
                <w:lang w:val="en-AU" w:eastAsia="en-AU"/>
              </w:rPr>
            </w:pPr>
            <w:r>
              <w:rPr>
                <w:lang w:val="en-AU" w:eastAsia="en-AU"/>
              </w:rPr>
              <w:t>Unlimited</w:t>
            </w:r>
          </w:p>
        </w:tc>
      </w:tr>
      <w:tr w:rsidR="000D07EA" w14:paraId="77C2F04A" w14:textId="77777777">
        <w:tc>
          <w:tcPr>
            <w:tcW w:w="2297" w:type="pct"/>
            <w:vAlign w:val="center"/>
          </w:tcPr>
          <w:p w14:paraId="2D5F591D" w14:textId="77777777" w:rsidR="000D07EA" w:rsidRDefault="00BE7C89">
            <w:pPr>
              <w:pStyle w:val="BodyText"/>
              <w:spacing w:before="100" w:after="100"/>
              <w:rPr>
                <w:lang w:val="en-AU" w:eastAsia="en-AU"/>
              </w:rPr>
            </w:pPr>
            <w:r>
              <w:rPr>
                <w:b/>
                <w:lang w:val="en-AU" w:eastAsia="en-AU"/>
              </w:rPr>
              <w:t>National Voice call charges</w:t>
            </w:r>
            <w:r>
              <w:rPr>
                <w:i/>
                <w:iCs/>
                <w:lang w:val="en-AU" w:eastAsia="en-AU"/>
              </w:rPr>
              <w:t xml:space="preserve"> </w:t>
            </w:r>
            <w:r>
              <w:rPr>
                <w:lang w:val="en-AU" w:eastAsia="en-AU"/>
              </w:rPr>
              <w:t>(per minute)</w:t>
            </w:r>
          </w:p>
        </w:tc>
        <w:tc>
          <w:tcPr>
            <w:tcW w:w="1351" w:type="pct"/>
            <w:vAlign w:val="center"/>
          </w:tcPr>
          <w:p w14:paraId="3DEA7FCF" w14:textId="77777777" w:rsidR="000D07EA" w:rsidRDefault="00BE7C89">
            <w:pPr>
              <w:pStyle w:val="BodyText"/>
              <w:spacing w:before="100" w:after="100"/>
              <w:jc w:val="center"/>
              <w:rPr>
                <w:lang w:val="en-AU" w:eastAsia="en-AU"/>
              </w:rPr>
            </w:pPr>
            <w:r>
              <w:rPr>
                <w:lang w:val="en-AU" w:eastAsia="en-AU"/>
              </w:rPr>
              <w:t>Unlimited</w:t>
            </w:r>
          </w:p>
        </w:tc>
        <w:tc>
          <w:tcPr>
            <w:tcW w:w="1352" w:type="pct"/>
            <w:vAlign w:val="center"/>
          </w:tcPr>
          <w:p w14:paraId="6835EC9B" w14:textId="77777777" w:rsidR="000D07EA" w:rsidRDefault="00BE7C89">
            <w:pPr>
              <w:pStyle w:val="BodyText"/>
              <w:spacing w:before="100" w:after="100"/>
              <w:jc w:val="center"/>
              <w:rPr>
                <w:lang w:val="en-AU" w:eastAsia="en-AU"/>
              </w:rPr>
            </w:pPr>
            <w:r>
              <w:rPr>
                <w:lang w:val="en-AU" w:eastAsia="en-AU"/>
              </w:rPr>
              <w:t>Unlimited</w:t>
            </w:r>
          </w:p>
        </w:tc>
      </w:tr>
      <w:tr w:rsidR="000D07EA" w14:paraId="79AEDAE8" w14:textId="77777777">
        <w:tc>
          <w:tcPr>
            <w:tcW w:w="2297" w:type="pct"/>
            <w:vAlign w:val="center"/>
          </w:tcPr>
          <w:p w14:paraId="0C893C00" w14:textId="77777777" w:rsidR="000D07EA" w:rsidRDefault="00BE7C89">
            <w:pPr>
              <w:pStyle w:val="BodyText"/>
              <w:keepNext/>
              <w:spacing w:before="100" w:after="100"/>
              <w:rPr>
                <w:b/>
                <w:i/>
                <w:iCs/>
                <w:lang w:val="en-AU" w:eastAsia="en-AU"/>
              </w:rPr>
            </w:pPr>
            <w:r>
              <w:rPr>
                <w:b/>
                <w:i/>
                <w:iCs/>
                <w:lang w:val="en-AU" w:eastAsia="en-AU"/>
              </w:rPr>
              <w:t>Flagfall</w:t>
            </w:r>
            <w:r>
              <w:rPr>
                <w:b/>
                <w:lang w:val="en-AU" w:eastAsia="en-AU"/>
              </w:rPr>
              <w:t xml:space="preserve"> for national voice calls (Call Connection Charge per call)</w:t>
            </w:r>
          </w:p>
        </w:tc>
        <w:tc>
          <w:tcPr>
            <w:tcW w:w="1351" w:type="pct"/>
            <w:vAlign w:val="center"/>
          </w:tcPr>
          <w:p w14:paraId="07CF7BE2" w14:textId="77777777" w:rsidR="000D07EA" w:rsidRDefault="00BE7C89">
            <w:pPr>
              <w:pStyle w:val="BodyText"/>
              <w:keepNext/>
              <w:spacing w:before="100" w:after="100"/>
              <w:jc w:val="center"/>
              <w:rPr>
                <w:lang w:val="en-AU" w:eastAsia="en-AU"/>
              </w:rPr>
            </w:pPr>
            <w:r>
              <w:rPr>
                <w:lang w:val="en-AU" w:eastAsia="en-AU"/>
              </w:rPr>
              <w:t>$0.00</w:t>
            </w:r>
          </w:p>
        </w:tc>
        <w:tc>
          <w:tcPr>
            <w:tcW w:w="1352" w:type="pct"/>
            <w:vAlign w:val="center"/>
          </w:tcPr>
          <w:p w14:paraId="3DD04333" w14:textId="77777777" w:rsidR="000D07EA" w:rsidRDefault="00BE7C89">
            <w:pPr>
              <w:pStyle w:val="BodyText"/>
              <w:keepNext/>
              <w:spacing w:before="100" w:after="100"/>
              <w:jc w:val="center"/>
              <w:rPr>
                <w:lang w:val="en-AU" w:eastAsia="en-AU"/>
              </w:rPr>
            </w:pPr>
            <w:r>
              <w:rPr>
                <w:lang w:val="en-AU" w:eastAsia="en-AU"/>
              </w:rPr>
              <w:t>$0.00</w:t>
            </w:r>
          </w:p>
        </w:tc>
      </w:tr>
      <w:tr w:rsidR="000D07EA" w14:paraId="652793BE" w14:textId="77777777">
        <w:tc>
          <w:tcPr>
            <w:tcW w:w="2297" w:type="pct"/>
            <w:vAlign w:val="center"/>
          </w:tcPr>
          <w:p w14:paraId="4410FF40" w14:textId="77777777" w:rsidR="000D07EA" w:rsidRDefault="00BE7C89">
            <w:pPr>
              <w:pStyle w:val="BodyText"/>
              <w:spacing w:before="100" w:after="100"/>
              <w:rPr>
                <w:b/>
                <w:iCs/>
                <w:lang w:val="en-AU" w:eastAsia="en-AU"/>
              </w:rPr>
            </w:pPr>
            <w:r>
              <w:rPr>
                <w:b/>
                <w:iCs/>
                <w:lang w:val="en-AU" w:eastAsia="en-AU"/>
              </w:rPr>
              <w:t>13/1300 Calls</w:t>
            </w:r>
          </w:p>
        </w:tc>
        <w:tc>
          <w:tcPr>
            <w:tcW w:w="1351" w:type="pct"/>
            <w:vAlign w:val="center"/>
          </w:tcPr>
          <w:p w14:paraId="5B1D1596" w14:textId="77777777" w:rsidR="000D07EA" w:rsidRDefault="00BE7C89">
            <w:pPr>
              <w:pStyle w:val="BodyText"/>
              <w:spacing w:before="100" w:after="100"/>
              <w:jc w:val="center"/>
              <w:rPr>
                <w:lang w:val="en-AU" w:eastAsia="en-AU"/>
              </w:rPr>
            </w:pPr>
            <w:r>
              <w:rPr>
                <w:lang w:val="en-AU" w:eastAsia="en-AU"/>
              </w:rPr>
              <w:t>Unlimited</w:t>
            </w:r>
          </w:p>
        </w:tc>
        <w:tc>
          <w:tcPr>
            <w:tcW w:w="1352" w:type="pct"/>
            <w:vAlign w:val="center"/>
          </w:tcPr>
          <w:p w14:paraId="05D20572" w14:textId="77777777" w:rsidR="000D07EA" w:rsidRDefault="00BE7C89">
            <w:pPr>
              <w:pStyle w:val="BodyText"/>
              <w:spacing w:before="100" w:after="100"/>
              <w:jc w:val="center"/>
              <w:rPr>
                <w:lang w:val="en-AU" w:eastAsia="en-AU"/>
              </w:rPr>
            </w:pPr>
            <w:r>
              <w:rPr>
                <w:lang w:val="en-AU" w:eastAsia="en-AU"/>
              </w:rPr>
              <w:t>Unlimited</w:t>
            </w:r>
          </w:p>
        </w:tc>
      </w:tr>
      <w:tr w:rsidR="000D07EA" w14:paraId="138EB1BC" w14:textId="77777777">
        <w:tc>
          <w:tcPr>
            <w:tcW w:w="2297" w:type="pct"/>
            <w:vAlign w:val="center"/>
          </w:tcPr>
          <w:p w14:paraId="3A5BDC1B" w14:textId="77777777" w:rsidR="000D07EA" w:rsidRDefault="00BE7C89">
            <w:pPr>
              <w:pStyle w:val="BodyText"/>
              <w:spacing w:before="100" w:after="100"/>
              <w:rPr>
                <w:lang w:val="en-AU" w:eastAsia="en-AU"/>
              </w:rPr>
            </w:pPr>
            <w:r>
              <w:rPr>
                <w:b/>
                <w:lang w:val="en-AU" w:eastAsia="en-AU"/>
              </w:rPr>
              <w:t>International Video call charges</w:t>
            </w:r>
            <w:r>
              <w:rPr>
                <w:i/>
                <w:iCs/>
                <w:lang w:val="en-AU" w:eastAsia="en-AU"/>
              </w:rPr>
              <w:t xml:space="preserve"> </w:t>
            </w:r>
            <w:r>
              <w:rPr>
                <w:lang w:val="en-AU" w:eastAsia="en-AU"/>
              </w:rPr>
              <w:t>(per minute)</w:t>
            </w:r>
          </w:p>
        </w:tc>
        <w:tc>
          <w:tcPr>
            <w:tcW w:w="1351" w:type="pct"/>
            <w:vAlign w:val="center"/>
          </w:tcPr>
          <w:p w14:paraId="7117C9DA" w14:textId="77777777" w:rsidR="000D07EA" w:rsidRDefault="00BE7C89">
            <w:pPr>
              <w:pStyle w:val="BodyText"/>
              <w:spacing w:before="100" w:after="100"/>
              <w:jc w:val="center"/>
              <w:rPr>
                <w:lang w:val="sv-SE" w:eastAsia="en-AU"/>
              </w:rPr>
            </w:pPr>
            <w:r>
              <w:rPr>
                <w:lang w:val="sv-SE" w:eastAsia="en-AU"/>
              </w:rPr>
              <w:t>$1.50 per min plus 35c flagfall</w:t>
            </w:r>
          </w:p>
        </w:tc>
        <w:tc>
          <w:tcPr>
            <w:tcW w:w="1352" w:type="pct"/>
            <w:vAlign w:val="center"/>
          </w:tcPr>
          <w:p w14:paraId="38A7AC6D" w14:textId="77777777" w:rsidR="000D07EA" w:rsidRDefault="00BE7C89">
            <w:pPr>
              <w:pStyle w:val="BodyText"/>
              <w:spacing w:before="100" w:after="100"/>
              <w:jc w:val="center"/>
              <w:rPr>
                <w:lang w:val="sv-SE" w:eastAsia="en-AU"/>
              </w:rPr>
            </w:pPr>
            <w:r>
              <w:rPr>
                <w:lang w:val="sv-SE" w:eastAsia="en-AU"/>
              </w:rPr>
              <w:t>$1.50 per min plus 35c flagfall</w:t>
            </w:r>
          </w:p>
        </w:tc>
      </w:tr>
      <w:tr w:rsidR="000D07EA" w14:paraId="518F0021" w14:textId="77777777">
        <w:tc>
          <w:tcPr>
            <w:tcW w:w="2297" w:type="pct"/>
            <w:vAlign w:val="center"/>
          </w:tcPr>
          <w:p w14:paraId="64452E7E" w14:textId="77777777" w:rsidR="000D07EA" w:rsidRDefault="00BE7C89">
            <w:pPr>
              <w:pStyle w:val="BodyText"/>
              <w:spacing w:before="100" w:after="100"/>
              <w:rPr>
                <w:b/>
                <w:lang w:val="en-AU" w:eastAsia="en-AU"/>
              </w:rPr>
            </w:pPr>
            <w:r>
              <w:rPr>
                <w:b/>
                <w:lang w:val="en-AU" w:eastAsia="en-AU"/>
              </w:rPr>
              <w:t>International SMS (per message)</w:t>
            </w:r>
          </w:p>
        </w:tc>
        <w:tc>
          <w:tcPr>
            <w:tcW w:w="1351" w:type="pct"/>
            <w:vAlign w:val="center"/>
          </w:tcPr>
          <w:p w14:paraId="4D1596A0" w14:textId="77777777" w:rsidR="000D07EA" w:rsidRDefault="00BE7C89">
            <w:pPr>
              <w:pStyle w:val="BodyText"/>
              <w:spacing w:before="100" w:after="100"/>
              <w:jc w:val="center"/>
              <w:rPr>
                <w:lang w:val="en-AU" w:eastAsia="en-AU"/>
              </w:rPr>
            </w:pPr>
            <w:r>
              <w:rPr>
                <w:lang w:val="en-AU" w:eastAsia="en-AU"/>
              </w:rPr>
              <w:t>$0.50</w:t>
            </w:r>
          </w:p>
        </w:tc>
        <w:tc>
          <w:tcPr>
            <w:tcW w:w="1352" w:type="pct"/>
            <w:vAlign w:val="center"/>
          </w:tcPr>
          <w:p w14:paraId="504065D2" w14:textId="77777777" w:rsidR="000D07EA" w:rsidRDefault="00BE7C89">
            <w:pPr>
              <w:pStyle w:val="BodyText"/>
              <w:spacing w:before="100" w:after="100"/>
              <w:jc w:val="center"/>
              <w:rPr>
                <w:lang w:val="en-AU" w:eastAsia="en-AU"/>
              </w:rPr>
            </w:pPr>
            <w:r>
              <w:rPr>
                <w:lang w:val="en-AU" w:eastAsia="en-AU"/>
              </w:rPr>
              <w:t>$0.50</w:t>
            </w:r>
          </w:p>
        </w:tc>
      </w:tr>
      <w:tr w:rsidR="000D07EA" w14:paraId="43D95CC0" w14:textId="77777777">
        <w:tc>
          <w:tcPr>
            <w:tcW w:w="2297" w:type="pct"/>
            <w:vAlign w:val="center"/>
          </w:tcPr>
          <w:p w14:paraId="7604DFD5" w14:textId="77777777" w:rsidR="000D07EA" w:rsidRDefault="00BE7C89">
            <w:pPr>
              <w:pStyle w:val="BodyText"/>
              <w:spacing w:before="100" w:after="100"/>
              <w:rPr>
                <w:b/>
                <w:lang w:val="en-AU" w:eastAsia="en-AU"/>
              </w:rPr>
            </w:pPr>
            <w:r>
              <w:rPr>
                <w:b/>
                <w:lang w:val="en-AU" w:eastAsia="en-AU"/>
              </w:rPr>
              <w:t>International MMS (per message)</w:t>
            </w:r>
          </w:p>
        </w:tc>
        <w:tc>
          <w:tcPr>
            <w:tcW w:w="1351" w:type="pct"/>
            <w:vAlign w:val="center"/>
          </w:tcPr>
          <w:p w14:paraId="340BD329" w14:textId="77777777" w:rsidR="000D07EA" w:rsidRDefault="00BE7C89">
            <w:pPr>
              <w:pStyle w:val="BodyText"/>
              <w:spacing w:before="100" w:after="100"/>
              <w:jc w:val="center"/>
              <w:rPr>
                <w:lang w:val="en-AU" w:eastAsia="en-AU"/>
              </w:rPr>
            </w:pPr>
            <w:r>
              <w:rPr>
                <w:lang w:val="en-AU" w:eastAsia="en-AU"/>
              </w:rPr>
              <w:t>$0.75</w:t>
            </w:r>
          </w:p>
        </w:tc>
        <w:tc>
          <w:tcPr>
            <w:tcW w:w="1352" w:type="pct"/>
            <w:vAlign w:val="center"/>
          </w:tcPr>
          <w:p w14:paraId="44B08B35" w14:textId="77777777" w:rsidR="000D07EA" w:rsidRDefault="00BE7C89">
            <w:pPr>
              <w:pStyle w:val="BodyText"/>
              <w:spacing w:before="100" w:after="100"/>
              <w:jc w:val="center"/>
              <w:rPr>
                <w:lang w:val="en-AU" w:eastAsia="en-AU"/>
              </w:rPr>
            </w:pPr>
            <w:r>
              <w:rPr>
                <w:lang w:val="en-AU" w:eastAsia="en-AU"/>
              </w:rPr>
              <w:t>$0.75</w:t>
            </w:r>
          </w:p>
        </w:tc>
      </w:tr>
      <w:tr w:rsidR="000D07EA" w14:paraId="72FAEF2B" w14:textId="77777777">
        <w:tc>
          <w:tcPr>
            <w:tcW w:w="2297" w:type="pct"/>
            <w:vAlign w:val="center"/>
          </w:tcPr>
          <w:p w14:paraId="04C80C31" w14:textId="77777777" w:rsidR="000D07EA" w:rsidRDefault="00BE7C89">
            <w:pPr>
              <w:pStyle w:val="BodyText"/>
              <w:spacing w:before="100" w:after="100"/>
              <w:rPr>
                <w:b/>
                <w:lang w:val="en-AU" w:eastAsia="en-AU"/>
              </w:rPr>
            </w:pPr>
            <w:r>
              <w:rPr>
                <w:b/>
                <w:lang w:val="en-AU" w:eastAsia="en-AU"/>
              </w:rPr>
              <w:t>Included International Value</w:t>
            </w:r>
          </w:p>
        </w:tc>
        <w:tc>
          <w:tcPr>
            <w:tcW w:w="1351" w:type="pct"/>
            <w:vAlign w:val="center"/>
          </w:tcPr>
          <w:p w14:paraId="0988707F" w14:textId="77777777" w:rsidR="000D07EA" w:rsidRDefault="00BE7C89">
            <w:pPr>
              <w:pStyle w:val="BodyText"/>
              <w:spacing w:before="100" w:after="100"/>
              <w:jc w:val="center"/>
              <w:rPr>
                <w:lang w:val="en-AU" w:eastAsia="en-AU"/>
              </w:rPr>
            </w:pPr>
            <w:r>
              <w:rPr>
                <w:lang w:val="en-AU" w:eastAsia="en-AU"/>
              </w:rPr>
              <w:t>$0</w:t>
            </w:r>
          </w:p>
        </w:tc>
        <w:tc>
          <w:tcPr>
            <w:tcW w:w="1352" w:type="pct"/>
            <w:vAlign w:val="center"/>
          </w:tcPr>
          <w:p w14:paraId="5250708F" w14:textId="77777777" w:rsidR="000D07EA" w:rsidRDefault="00BE7C89">
            <w:pPr>
              <w:pStyle w:val="BodyText"/>
              <w:spacing w:before="100" w:after="100"/>
              <w:jc w:val="center"/>
              <w:rPr>
                <w:lang w:val="en-AU" w:eastAsia="en-AU"/>
              </w:rPr>
            </w:pPr>
            <w:r>
              <w:rPr>
                <w:lang w:val="en-AU" w:eastAsia="en-AU"/>
              </w:rPr>
              <w:t>$180</w:t>
            </w:r>
          </w:p>
        </w:tc>
      </w:tr>
      <w:tr w:rsidR="000D07EA" w14:paraId="5EE2BB19" w14:textId="77777777">
        <w:tc>
          <w:tcPr>
            <w:tcW w:w="2297" w:type="pct"/>
            <w:vAlign w:val="center"/>
          </w:tcPr>
          <w:p w14:paraId="1FB640EE" w14:textId="77777777" w:rsidR="000D07EA" w:rsidRDefault="00BE7C89">
            <w:pPr>
              <w:pStyle w:val="BodyText"/>
              <w:spacing w:before="100" w:after="100"/>
              <w:rPr>
                <w:b/>
                <w:lang w:val="en-AU" w:eastAsia="en-AU"/>
              </w:rPr>
            </w:pPr>
            <w:r>
              <w:rPr>
                <w:b/>
                <w:lang w:val="en-AU" w:eastAsia="en-AU"/>
              </w:rPr>
              <w:lastRenderedPageBreak/>
              <w:t>International Rates</w:t>
            </w:r>
          </w:p>
        </w:tc>
        <w:tc>
          <w:tcPr>
            <w:tcW w:w="2703" w:type="pct"/>
            <w:gridSpan w:val="2"/>
          </w:tcPr>
          <w:p w14:paraId="2DE5AB20" w14:textId="77777777" w:rsidR="000D07EA" w:rsidRDefault="00BE7C89">
            <w:pPr>
              <w:pStyle w:val="BodyText"/>
              <w:spacing w:before="100" w:after="100"/>
              <w:jc w:val="center"/>
              <w:rPr>
                <w:lang w:val="en-AU" w:eastAsia="en-AU"/>
              </w:rPr>
            </w:pPr>
            <w:r>
              <w:rPr>
                <w:lang w:val="en-AU" w:eastAsia="en-AU"/>
              </w:rPr>
              <w:t>'yes' Business International Call Rates (see </w:t>
            </w:r>
            <w:hyperlink r:id="rId365" w:history="1">
              <w:r>
                <w:rPr>
                  <w:rStyle w:val="Hyperlink"/>
                  <w:i/>
                </w:rPr>
                <w:t>Appendix J</w:t>
              </w:r>
            </w:hyperlink>
            <w:r>
              <w:rPr>
                <w:lang w:val="en-AU" w:eastAsia="en-AU"/>
              </w:rPr>
              <w:t>)</w:t>
            </w:r>
          </w:p>
        </w:tc>
      </w:tr>
      <w:tr w:rsidR="000D07EA" w14:paraId="0A596BBB" w14:textId="77777777">
        <w:tc>
          <w:tcPr>
            <w:tcW w:w="2297" w:type="pct"/>
            <w:vMerge w:val="restart"/>
            <w:vAlign w:val="center"/>
          </w:tcPr>
          <w:p w14:paraId="3B308B12" w14:textId="77777777" w:rsidR="000D07EA" w:rsidRDefault="00BE7C89">
            <w:pPr>
              <w:pStyle w:val="BodyText"/>
              <w:spacing w:before="100" w:after="100"/>
              <w:rPr>
                <w:b/>
                <w:lang w:val="en-AU" w:eastAsia="en-AU"/>
              </w:rPr>
            </w:pPr>
            <w:r>
              <w:rPr>
                <w:b/>
                <w:lang w:val="en-AU" w:eastAsia="en-AU"/>
              </w:rPr>
              <w:t>Your Choice Of Data to use within Australia:</w:t>
            </w:r>
          </w:p>
        </w:tc>
        <w:tc>
          <w:tcPr>
            <w:tcW w:w="1351" w:type="pct"/>
            <w:vAlign w:val="center"/>
          </w:tcPr>
          <w:p w14:paraId="5053F4F9" w14:textId="77777777" w:rsidR="000D07EA" w:rsidRDefault="00BE7C89">
            <w:pPr>
              <w:pStyle w:val="BodyText"/>
              <w:spacing w:before="100" w:after="100"/>
              <w:jc w:val="center"/>
              <w:rPr>
                <w:lang w:val="en-AU" w:eastAsia="en-AU"/>
              </w:rPr>
            </w:pPr>
            <w:r>
              <w:rPr>
                <w:lang w:val="en-AU" w:eastAsia="en-AU"/>
              </w:rPr>
              <w:t>5GB of Mobile Internet Data</w:t>
            </w:r>
          </w:p>
        </w:tc>
        <w:tc>
          <w:tcPr>
            <w:tcW w:w="1352" w:type="pct"/>
            <w:vAlign w:val="center"/>
          </w:tcPr>
          <w:p w14:paraId="3FE9E094" w14:textId="77777777" w:rsidR="000D07EA" w:rsidRDefault="00BE7C89">
            <w:pPr>
              <w:pStyle w:val="BodyText"/>
              <w:spacing w:before="100" w:after="100"/>
              <w:jc w:val="center"/>
              <w:rPr>
                <w:rFonts w:cs="Arial"/>
                <w:lang w:val="en-AU" w:eastAsia="en-AU"/>
              </w:rPr>
            </w:pPr>
            <w:r>
              <w:rPr>
                <w:lang w:val="en-AU" w:eastAsia="en-AU"/>
              </w:rPr>
              <w:t>10GB of Mobile Internet Data</w:t>
            </w:r>
          </w:p>
        </w:tc>
      </w:tr>
      <w:tr w:rsidR="000D07EA" w14:paraId="410394C8" w14:textId="77777777">
        <w:tc>
          <w:tcPr>
            <w:tcW w:w="2297" w:type="pct"/>
            <w:vMerge/>
            <w:vAlign w:val="center"/>
          </w:tcPr>
          <w:p w14:paraId="23868FDF" w14:textId="77777777" w:rsidR="000D07EA" w:rsidRDefault="000D07EA">
            <w:pPr>
              <w:pStyle w:val="BodyText"/>
              <w:spacing w:before="100" w:after="100"/>
              <w:rPr>
                <w:lang w:val="en-AU" w:eastAsia="en-AU"/>
              </w:rPr>
            </w:pPr>
          </w:p>
        </w:tc>
        <w:tc>
          <w:tcPr>
            <w:tcW w:w="2703" w:type="pct"/>
            <w:gridSpan w:val="2"/>
          </w:tcPr>
          <w:p w14:paraId="7C4A148E" w14:textId="77777777" w:rsidR="000D07EA" w:rsidRDefault="00BE7C89">
            <w:pPr>
              <w:pStyle w:val="BodyText"/>
              <w:spacing w:before="100" w:after="100"/>
              <w:jc w:val="center"/>
              <w:rPr>
                <w:rFonts w:cs="Arial"/>
                <w:lang w:val="en-AU" w:eastAsia="en-AU"/>
              </w:rPr>
            </w:pPr>
            <w:r>
              <w:rPr>
                <w:b/>
                <w:lang w:val="en-AU" w:eastAsia="en-AU"/>
              </w:rPr>
              <w:t>OR</w:t>
            </w:r>
          </w:p>
        </w:tc>
      </w:tr>
      <w:tr w:rsidR="000D07EA" w14:paraId="0E68F92C" w14:textId="77777777">
        <w:tc>
          <w:tcPr>
            <w:tcW w:w="2297" w:type="pct"/>
            <w:vMerge/>
            <w:vAlign w:val="center"/>
          </w:tcPr>
          <w:p w14:paraId="416F869C" w14:textId="77777777" w:rsidR="000D07EA" w:rsidRDefault="000D07EA">
            <w:pPr>
              <w:pStyle w:val="BodyText"/>
              <w:spacing w:before="100" w:after="100"/>
              <w:rPr>
                <w:lang w:val="en-AU" w:eastAsia="en-AU"/>
              </w:rPr>
            </w:pPr>
          </w:p>
        </w:tc>
        <w:tc>
          <w:tcPr>
            <w:tcW w:w="1351" w:type="pct"/>
            <w:vAlign w:val="center"/>
          </w:tcPr>
          <w:p w14:paraId="6E8BF339" w14:textId="77777777" w:rsidR="000D07EA" w:rsidRDefault="00BE7C89">
            <w:pPr>
              <w:pStyle w:val="BodyText"/>
              <w:spacing w:before="100" w:after="100"/>
              <w:jc w:val="center"/>
              <w:rPr>
                <w:lang w:val="en-AU" w:eastAsia="en-AU"/>
              </w:rPr>
            </w:pPr>
            <w:r>
              <w:rPr>
                <w:lang w:val="en-AU" w:eastAsia="en-AU"/>
              </w:rPr>
              <w:t>Unlimited BlackBerry POP3 Email and Browsing through the BlackBerry Browser plus 2GB of Mobile Internet Data</w:t>
            </w:r>
          </w:p>
        </w:tc>
        <w:tc>
          <w:tcPr>
            <w:tcW w:w="1352" w:type="pct"/>
            <w:vAlign w:val="center"/>
          </w:tcPr>
          <w:p w14:paraId="09FEC8C6" w14:textId="77777777" w:rsidR="000D07EA" w:rsidRDefault="00BE7C89">
            <w:pPr>
              <w:pStyle w:val="BodyText"/>
              <w:spacing w:before="100" w:after="100"/>
              <w:jc w:val="center"/>
              <w:rPr>
                <w:rFonts w:cs="Arial"/>
                <w:lang w:val="en-AU" w:eastAsia="en-AU"/>
              </w:rPr>
            </w:pPr>
            <w:r>
              <w:rPr>
                <w:lang w:val="en-AU" w:eastAsia="en-AU"/>
              </w:rPr>
              <w:t>Unlimited BlackBerry POP3 Email and Browsing through the BlackBerry Browser plus 2GB of Mobile Internet Data</w:t>
            </w:r>
          </w:p>
        </w:tc>
      </w:tr>
      <w:tr w:rsidR="000D07EA" w14:paraId="1BB13A5E" w14:textId="77777777">
        <w:tc>
          <w:tcPr>
            <w:tcW w:w="2297" w:type="pct"/>
            <w:vAlign w:val="center"/>
          </w:tcPr>
          <w:p w14:paraId="6C2BCB06" w14:textId="77777777" w:rsidR="000D07EA" w:rsidRDefault="00BE7C89">
            <w:pPr>
              <w:pStyle w:val="BodyText"/>
              <w:spacing w:before="100" w:after="100"/>
              <w:rPr>
                <w:b/>
                <w:lang w:val="en-AU" w:eastAsia="en-AU"/>
              </w:rPr>
            </w:pPr>
            <w:r>
              <w:rPr>
                <w:b/>
                <w:lang w:val="en-AU" w:eastAsia="en-AU"/>
              </w:rPr>
              <w:t>Bonus Unlimited Mobile Internet Data</w:t>
            </w:r>
          </w:p>
        </w:tc>
        <w:tc>
          <w:tcPr>
            <w:tcW w:w="1351" w:type="pct"/>
          </w:tcPr>
          <w:p w14:paraId="67188E4D" w14:textId="77777777" w:rsidR="000D07EA" w:rsidRDefault="00BE7C89">
            <w:pPr>
              <w:pStyle w:val="BodyText"/>
              <w:spacing w:before="100" w:after="100"/>
              <w:jc w:val="center"/>
              <w:rPr>
                <w:lang w:val="en-AU" w:eastAsia="en-AU"/>
              </w:rPr>
            </w:pPr>
            <w:r>
              <w:rPr>
                <w:lang w:val="en-AU" w:eastAsia="en-AU"/>
              </w:rPr>
              <w:t>N/A</w:t>
            </w:r>
          </w:p>
        </w:tc>
        <w:tc>
          <w:tcPr>
            <w:tcW w:w="1352" w:type="pct"/>
          </w:tcPr>
          <w:p w14:paraId="34181A2F" w14:textId="77777777" w:rsidR="000D07EA" w:rsidRDefault="00BE7C89">
            <w:pPr>
              <w:pStyle w:val="BodyText"/>
              <w:spacing w:before="100" w:after="100"/>
              <w:jc w:val="center"/>
              <w:rPr>
                <w:lang w:val="en-AU" w:eastAsia="en-AU"/>
              </w:rPr>
            </w:pPr>
            <w:r>
              <w:rPr>
                <w:lang w:val="en-AU" w:eastAsia="en-AU"/>
              </w:rPr>
              <w:t>Unlimited Mobile Internet Data from your mobile only</w:t>
            </w:r>
          </w:p>
        </w:tc>
      </w:tr>
      <w:tr w:rsidR="000D07EA" w14:paraId="1ED560EB" w14:textId="77777777">
        <w:tc>
          <w:tcPr>
            <w:tcW w:w="2297" w:type="pct"/>
            <w:vAlign w:val="center"/>
          </w:tcPr>
          <w:p w14:paraId="7918F1F3" w14:textId="77777777" w:rsidR="000D07EA" w:rsidRDefault="00BE7C89">
            <w:pPr>
              <w:pStyle w:val="BodyText"/>
              <w:spacing w:before="100" w:after="100"/>
              <w:rPr>
                <w:b/>
                <w:lang w:val="en-AU" w:eastAsia="en-AU"/>
              </w:rPr>
            </w:pPr>
            <w:r>
              <w:rPr>
                <w:b/>
                <w:lang w:val="en-AU" w:eastAsia="en-AU"/>
              </w:rPr>
              <w:t>Other call charges</w:t>
            </w:r>
          </w:p>
        </w:tc>
        <w:tc>
          <w:tcPr>
            <w:tcW w:w="2703" w:type="pct"/>
            <w:gridSpan w:val="2"/>
          </w:tcPr>
          <w:p w14:paraId="4D06F442" w14:textId="77777777" w:rsidR="000D07EA" w:rsidRDefault="00BE7C89">
            <w:pPr>
              <w:pStyle w:val="BodyText"/>
              <w:spacing w:before="100" w:after="100"/>
              <w:jc w:val="center"/>
              <w:rPr>
                <w:rFonts w:cs="Arial"/>
                <w:lang w:val="en-AU" w:eastAsia="en-AU"/>
              </w:rPr>
            </w:pPr>
            <w:r>
              <w:rPr>
                <w:lang w:val="en-AU" w:eastAsia="en-AU"/>
              </w:rPr>
              <w:t xml:space="preserve">See section 1 of this </w:t>
            </w:r>
            <w:r>
              <w:rPr>
                <w:i/>
                <w:iCs/>
                <w:lang w:val="en-AU" w:eastAsia="en-AU"/>
              </w:rPr>
              <w:t>standard pricing table</w:t>
            </w:r>
            <w:r>
              <w:rPr>
                <w:lang w:val="en-AU" w:eastAsia="en-AU"/>
              </w:rPr>
              <w:t xml:space="preserve"> and </w:t>
            </w:r>
            <w:hyperlink r:id="rId366" w:history="1">
              <w:r>
                <w:rPr>
                  <w:rStyle w:val="Hyperlink"/>
                  <w:i/>
                </w:rPr>
                <w:t>Appendix Y</w:t>
              </w:r>
            </w:hyperlink>
            <w:r>
              <w:rPr>
                <w:lang w:val="en-AU" w:eastAsia="en-AU"/>
              </w:rPr>
              <w:t xml:space="preserve"> (Value Added Service Features)</w:t>
            </w:r>
          </w:p>
        </w:tc>
      </w:tr>
      <w:tr w:rsidR="000D07EA" w14:paraId="6872AA52" w14:textId="77777777">
        <w:tc>
          <w:tcPr>
            <w:tcW w:w="2297" w:type="pct"/>
            <w:vAlign w:val="center"/>
          </w:tcPr>
          <w:p w14:paraId="7AF3E225" w14:textId="77777777" w:rsidR="000D07EA" w:rsidRDefault="00BE7C89" w:rsidP="00421012">
            <w:pPr>
              <w:pStyle w:val="BodyText"/>
              <w:spacing w:before="100" w:after="100"/>
              <w:rPr>
                <w:lang w:val="en-AU" w:eastAsia="en-AU"/>
              </w:rPr>
            </w:pPr>
            <w:r>
              <w:rPr>
                <w:b/>
                <w:lang w:val="en-AU" w:eastAsia="en-AU"/>
              </w:rPr>
              <w:t>Other conditions</w:t>
            </w:r>
            <w:r>
              <w:rPr>
                <w:lang w:val="en-AU" w:eastAsia="en-AU"/>
              </w:rPr>
              <w:t xml:space="preserve"> (for details see paragraph </w:t>
            </w:r>
            <w:r w:rsidRPr="00272628">
              <w:rPr>
                <w:lang w:val="en-AU" w:eastAsia="en-AU"/>
              </w:rPr>
              <w:fldChar w:fldCharType="begin"/>
            </w:r>
            <w:r w:rsidRPr="00272628">
              <w:rPr>
                <w:lang w:val="en-AU" w:eastAsia="en-AU"/>
              </w:rPr>
              <w:instrText xml:space="preserve"> REF _Ref258567800 \r \h  \* MERGEFORMAT </w:instrText>
            </w:r>
            <w:r w:rsidRPr="00272628">
              <w:rPr>
                <w:lang w:val="en-AU" w:eastAsia="en-AU"/>
              </w:rPr>
            </w:r>
            <w:r w:rsidRPr="00272628">
              <w:rPr>
                <w:lang w:val="en-AU" w:eastAsia="en-AU"/>
              </w:rPr>
              <w:fldChar w:fldCharType="separate"/>
            </w:r>
            <w:r w:rsidR="0004083A">
              <w:rPr>
                <w:lang w:val="en-AU" w:eastAsia="en-AU"/>
              </w:rPr>
              <w:t>88.3(g)(v)</w:t>
            </w:r>
            <w:r w:rsidRPr="00272628">
              <w:rPr>
                <w:lang w:val="en-AU" w:eastAsia="en-AU"/>
              </w:rPr>
              <w:fldChar w:fldCharType="end"/>
            </w:r>
            <w:r w:rsidRPr="00272628">
              <w:rPr>
                <w:lang w:val="en-AU" w:eastAsia="en-AU"/>
              </w:rPr>
              <w:t xml:space="preserve"> above</w:t>
            </w:r>
            <w:r>
              <w:rPr>
                <w:lang w:val="en-AU" w:eastAsia="en-AU"/>
              </w:rPr>
              <w:t>)</w:t>
            </w:r>
          </w:p>
        </w:tc>
        <w:tc>
          <w:tcPr>
            <w:tcW w:w="2703" w:type="pct"/>
            <w:gridSpan w:val="2"/>
          </w:tcPr>
          <w:p w14:paraId="7937B048" w14:textId="77777777" w:rsidR="000D07EA" w:rsidRDefault="00BE7C89">
            <w:pPr>
              <w:pStyle w:val="BodyText"/>
              <w:spacing w:before="100" w:after="100"/>
              <w:jc w:val="center"/>
              <w:rPr>
                <w:rFonts w:cs="Arial"/>
                <w:lang w:val="en-AU" w:eastAsia="en-AU"/>
              </w:rPr>
            </w:pPr>
            <w:r>
              <w:rPr>
                <w:rFonts w:cs="Arial"/>
                <w:bCs/>
                <w:szCs w:val="20"/>
              </w:rPr>
              <w:t>Fair Go Policy (</w:t>
            </w:r>
            <w:hyperlink r:id="rId367" w:history="1">
              <w:r>
                <w:rPr>
                  <w:rStyle w:val="Hyperlink"/>
                  <w:i/>
                </w:rPr>
                <w:t>Appendix S</w:t>
              </w:r>
            </w:hyperlink>
            <w:r>
              <w:rPr>
                <w:rFonts w:cs="Arial"/>
                <w:bCs/>
                <w:szCs w:val="20"/>
              </w:rPr>
              <w:t>)</w:t>
            </w:r>
            <w:r>
              <w:rPr>
                <w:lang w:val="en-AU" w:eastAsia="en-AU"/>
              </w:rPr>
              <w:t xml:space="preserve"> applies to 'excessive use,' 'unreasonable use,' and 'unacceptable use'.</w:t>
            </w:r>
          </w:p>
        </w:tc>
      </w:tr>
      <w:tr w:rsidR="000D07EA" w14:paraId="2151BF0C" w14:textId="77777777">
        <w:tc>
          <w:tcPr>
            <w:tcW w:w="2297" w:type="pct"/>
          </w:tcPr>
          <w:p w14:paraId="11FD08D9" w14:textId="77777777" w:rsidR="000D07EA" w:rsidRDefault="00BE7C89">
            <w:pPr>
              <w:pStyle w:val="BodyText"/>
              <w:spacing w:before="100" w:after="100"/>
              <w:rPr>
                <w:b/>
                <w:lang w:val="en-AU" w:eastAsia="en-AU"/>
              </w:rPr>
            </w:pPr>
            <w:r>
              <w:rPr>
                <w:b/>
                <w:lang w:val="en-AU" w:eastAsia="en-AU"/>
              </w:rPr>
              <w:t>Available on Non Fixed Contract (Month to Month)</w:t>
            </w:r>
          </w:p>
        </w:tc>
        <w:tc>
          <w:tcPr>
            <w:tcW w:w="1351" w:type="pct"/>
          </w:tcPr>
          <w:p w14:paraId="33492661" w14:textId="77777777" w:rsidR="000D07EA" w:rsidRDefault="00BE7C89">
            <w:pPr>
              <w:pStyle w:val="BodyText"/>
              <w:spacing w:before="100" w:after="100"/>
              <w:jc w:val="center"/>
              <w:rPr>
                <w:lang w:val="en-AU" w:eastAsia="en-AU"/>
              </w:rPr>
            </w:pPr>
            <w:r>
              <w:rPr>
                <w:lang w:val="en-AU" w:eastAsia="en-AU"/>
              </w:rPr>
              <w:t>Yes</w:t>
            </w:r>
          </w:p>
        </w:tc>
        <w:tc>
          <w:tcPr>
            <w:tcW w:w="1352" w:type="pct"/>
          </w:tcPr>
          <w:p w14:paraId="18521DE6" w14:textId="77777777" w:rsidR="000D07EA" w:rsidRDefault="00BE7C89">
            <w:pPr>
              <w:pStyle w:val="BodyText"/>
              <w:spacing w:before="100" w:after="100"/>
              <w:jc w:val="center"/>
              <w:rPr>
                <w:lang w:val="en-AU" w:eastAsia="en-AU"/>
              </w:rPr>
            </w:pPr>
            <w:r>
              <w:rPr>
                <w:lang w:val="en-AU" w:eastAsia="en-AU"/>
              </w:rPr>
              <w:t>Yes</w:t>
            </w:r>
          </w:p>
        </w:tc>
      </w:tr>
      <w:tr w:rsidR="000D07EA" w14:paraId="46D32C79" w14:textId="77777777">
        <w:tc>
          <w:tcPr>
            <w:tcW w:w="2297" w:type="pct"/>
          </w:tcPr>
          <w:p w14:paraId="581AF591" w14:textId="77777777" w:rsidR="000D07EA" w:rsidRDefault="00BE7C89">
            <w:pPr>
              <w:pStyle w:val="BodyText"/>
              <w:spacing w:before="100" w:after="100"/>
              <w:rPr>
                <w:b/>
                <w:lang w:val="en-AU" w:eastAsia="en-AU"/>
              </w:rPr>
            </w:pPr>
            <w:r>
              <w:rPr>
                <w:b/>
                <w:lang w:val="en-AU" w:eastAsia="en-AU"/>
              </w:rPr>
              <w:t>Available on a Fixed Term Contract (12 or 24 Months)</w:t>
            </w:r>
          </w:p>
        </w:tc>
        <w:tc>
          <w:tcPr>
            <w:tcW w:w="1351" w:type="pct"/>
          </w:tcPr>
          <w:p w14:paraId="1D4B9D16" w14:textId="77777777" w:rsidR="000D07EA" w:rsidRDefault="00BE7C89">
            <w:pPr>
              <w:pStyle w:val="BodyText"/>
              <w:spacing w:before="100" w:after="100"/>
              <w:jc w:val="center"/>
              <w:rPr>
                <w:lang w:val="en-AU" w:eastAsia="en-AU"/>
              </w:rPr>
            </w:pPr>
            <w:r>
              <w:rPr>
                <w:lang w:val="en-AU" w:eastAsia="en-AU"/>
              </w:rPr>
              <w:t>Yes</w:t>
            </w:r>
          </w:p>
        </w:tc>
        <w:tc>
          <w:tcPr>
            <w:tcW w:w="1352" w:type="pct"/>
          </w:tcPr>
          <w:p w14:paraId="78D60D8F" w14:textId="77777777" w:rsidR="000D07EA" w:rsidRDefault="00BE7C89">
            <w:pPr>
              <w:pStyle w:val="BodyText"/>
              <w:spacing w:before="100" w:after="100"/>
              <w:jc w:val="center"/>
              <w:rPr>
                <w:lang w:val="en-AU" w:eastAsia="en-AU"/>
              </w:rPr>
            </w:pPr>
            <w:r>
              <w:rPr>
                <w:lang w:val="en-AU" w:eastAsia="en-AU"/>
              </w:rPr>
              <w:t>Yes</w:t>
            </w:r>
          </w:p>
        </w:tc>
      </w:tr>
      <w:tr w:rsidR="000D07EA" w14:paraId="650C5224" w14:textId="77777777">
        <w:tc>
          <w:tcPr>
            <w:tcW w:w="2297" w:type="pct"/>
            <w:vMerge w:val="restart"/>
            <w:vAlign w:val="center"/>
          </w:tcPr>
          <w:p w14:paraId="2E5DEBCF" w14:textId="77777777" w:rsidR="000D07EA" w:rsidRDefault="00BE7C89">
            <w:pPr>
              <w:pStyle w:val="BodyText"/>
              <w:spacing w:before="100" w:after="100"/>
              <w:rPr>
                <w:b/>
                <w:lang w:val="en-AU" w:eastAsia="en-AU"/>
              </w:rPr>
            </w:pPr>
            <w:r>
              <w:rPr>
                <w:b/>
                <w:lang w:val="en-AU" w:eastAsia="en-AU"/>
              </w:rPr>
              <w:t xml:space="preserve">Minimum Total Cost of the Optus Business Timeless Plan over a 24 month </w:t>
            </w:r>
            <w:r>
              <w:rPr>
                <w:b/>
                <w:i/>
                <w:iCs/>
                <w:lang w:val="en-AU" w:eastAsia="en-AU"/>
              </w:rPr>
              <w:t>minimum term</w:t>
            </w:r>
          </w:p>
        </w:tc>
        <w:tc>
          <w:tcPr>
            <w:tcW w:w="1351" w:type="pct"/>
          </w:tcPr>
          <w:p w14:paraId="642C3379" w14:textId="77777777" w:rsidR="000D07EA" w:rsidRDefault="00BE7C89">
            <w:pPr>
              <w:pStyle w:val="BodyText"/>
              <w:spacing w:before="100" w:after="100"/>
              <w:jc w:val="center"/>
              <w:rPr>
                <w:lang w:val="en-AU" w:eastAsia="en-AU"/>
              </w:rPr>
            </w:pPr>
            <w:r>
              <w:rPr>
                <w:lang w:val="en-AU" w:eastAsia="en-AU"/>
              </w:rPr>
              <w:t>$2,376</w:t>
            </w:r>
          </w:p>
        </w:tc>
        <w:tc>
          <w:tcPr>
            <w:tcW w:w="1352" w:type="pct"/>
          </w:tcPr>
          <w:p w14:paraId="0EBF898B" w14:textId="77777777" w:rsidR="000D07EA" w:rsidRDefault="00BE7C89">
            <w:pPr>
              <w:pStyle w:val="BodyText"/>
              <w:spacing w:before="100" w:after="100"/>
              <w:jc w:val="center"/>
              <w:rPr>
                <w:lang w:val="en-AU" w:eastAsia="en-AU"/>
              </w:rPr>
            </w:pPr>
            <w:r>
              <w:rPr>
                <w:lang w:val="en-AU" w:eastAsia="en-AU"/>
              </w:rPr>
              <w:t>$3,096</w:t>
            </w:r>
          </w:p>
        </w:tc>
      </w:tr>
      <w:tr w:rsidR="000D07EA" w14:paraId="6C59E274" w14:textId="77777777">
        <w:tc>
          <w:tcPr>
            <w:tcW w:w="2297" w:type="pct"/>
            <w:vMerge/>
            <w:vAlign w:val="center"/>
          </w:tcPr>
          <w:p w14:paraId="24B81535" w14:textId="77777777" w:rsidR="000D07EA" w:rsidRDefault="000D07EA">
            <w:pPr>
              <w:pStyle w:val="BodyText"/>
              <w:spacing w:before="100" w:after="100"/>
              <w:rPr>
                <w:b/>
                <w:lang w:val="en-AU" w:eastAsia="en-AU"/>
              </w:rPr>
            </w:pPr>
          </w:p>
        </w:tc>
        <w:tc>
          <w:tcPr>
            <w:tcW w:w="2703" w:type="pct"/>
            <w:gridSpan w:val="2"/>
          </w:tcPr>
          <w:p w14:paraId="45125BD5" w14:textId="77777777" w:rsidR="000D07EA" w:rsidRDefault="00BE7C89">
            <w:pPr>
              <w:pStyle w:val="BodyText"/>
              <w:spacing w:before="100" w:after="100"/>
              <w:jc w:val="center"/>
              <w:rPr>
                <w:lang w:val="en-AU" w:eastAsia="en-AU"/>
              </w:rPr>
            </w:pPr>
            <w:r>
              <w:rPr>
                <w:lang w:val="en-AU" w:eastAsia="en-AU"/>
              </w:rPr>
              <w:t xml:space="preserve">(plus the cost of </w:t>
            </w:r>
            <w:r>
              <w:rPr>
                <w:i/>
                <w:iCs/>
                <w:lang w:val="en-AU" w:eastAsia="en-AU"/>
              </w:rPr>
              <w:t xml:space="preserve">equipment charges </w:t>
            </w:r>
            <w:r>
              <w:rPr>
                <w:lang w:val="en-AU" w:eastAsia="en-AU"/>
              </w:rPr>
              <w:t xml:space="preserve">for any </w:t>
            </w:r>
            <w:r>
              <w:rPr>
                <w:i/>
                <w:iCs/>
                <w:lang w:val="en-AU" w:eastAsia="en-AU"/>
              </w:rPr>
              <w:t xml:space="preserve">mobile phone you </w:t>
            </w:r>
            <w:r>
              <w:rPr>
                <w:lang w:val="en-AU" w:eastAsia="en-AU"/>
              </w:rPr>
              <w:t>purchase from us, if any)</w:t>
            </w:r>
          </w:p>
        </w:tc>
      </w:tr>
      <w:tr w:rsidR="000D07EA" w14:paraId="086CF088" w14:textId="77777777">
        <w:tc>
          <w:tcPr>
            <w:tcW w:w="2297" w:type="pct"/>
            <w:vMerge w:val="restart"/>
            <w:vAlign w:val="center"/>
          </w:tcPr>
          <w:p w14:paraId="4F516171" w14:textId="77777777" w:rsidR="000D07EA" w:rsidRDefault="00BE7C89">
            <w:pPr>
              <w:pStyle w:val="BodyText"/>
              <w:spacing w:before="100" w:after="100"/>
              <w:rPr>
                <w:b/>
                <w:lang w:val="en-AU" w:eastAsia="en-AU"/>
              </w:rPr>
            </w:pPr>
            <w:r>
              <w:rPr>
                <w:b/>
                <w:lang w:val="en-AU" w:eastAsia="en-AU"/>
              </w:rPr>
              <w:t xml:space="preserve">Minimum Total Cost of the Optus Business Timeless Plan over a 12 month </w:t>
            </w:r>
            <w:r>
              <w:rPr>
                <w:b/>
                <w:i/>
                <w:iCs/>
                <w:lang w:val="en-AU" w:eastAsia="en-AU"/>
              </w:rPr>
              <w:t xml:space="preserve">minimum term </w:t>
            </w:r>
          </w:p>
        </w:tc>
        <w:tc>
          <w:tcPr>
            <w:tcW w:w="1351" w:type="pct"/>
          </w:tcPr>
          <w:p w14:paraId="00141C13" w14:textId="77777777" w:rsidR="000D07EA" w:rsidRDefault="00BE7C89">
            <w:pPr>
              <w:pStyle w:val="BodyText"/>
              <w:spacing w:before="100" w:after="100"/>
              <w:jc w:val="center"/>
              <w:rPr>
                <w:lang w:val="en-AU" w:eastAsia="en-AU"/>
              </w:rPr>
            </w:pPr>
            <w:r>
              <w:rPr>
                <w:lang w:val="en-AU" w:eastAsia="en-AU"/>
              </w:rPr>
              <w:t>$1,188</w:t>
            </w:r>
          </w:p>
        </w:tc>
        <w:tc>
          <w:tcPr>
            <w:tcW w:w="1352" w:type="pct"/>
          </w:tcPr>
          <w:p w14:paraId="1E85A739" w14:textId="77777777" w:rsidR="000D07EA" w:rsidRDefault="00BE7C89">
            <w:pPr>
              <w:pStyle w:val="BodyText"/>
              <w:spacing w:before="100" w:after="100"/>
              <w:jc w:val="center"/>
              <w:rPr>
                <w:lang w:val="en-AU" w:eastAsia="en-AU"/>
              </w:rPr>
            </w:pPr>
            <w:r>
              <w:rPr>
                <w:lang w:val="en-AU" w:eastAsia="en-AU"/>
              </w:rPr>
              <w:t>$1,548</w:t>
            </w:r>
          </w:p>
        </w:tc>
      </w:tr>
      <w:tr w:rsidR="000D07EA" w14:paraId="257D7D7E" w14:textId="77777777">
        <w:tc>
          <w:tcPr>
            <w:tcW w:w="2297" w:type="pct"/>
            <w:vMerge/>
            <w:vAlign w:val="center"/>
          </w:tcPr>
          <w:p w14:paraId="565442B5" w14:textId="77777777" w:rsidR="000D07EA" w:rsidRDefault="000D07EA">
            <w:pPr>
              <w:pStyle w:val="BodyText"/>
              <w:spacing w:before="100" w:after="100"/>
              <w:rPr>
                <w:lang w:val="en-AU" w:eastAsia="en-AU"/>
              </w:rPr>
            </w:pPr>
          </w:p>
        </w:tc>
        <w:tc>
          <w:tcPr>
            <w:tcW w:w="2703" w:type="pct"/>
            <w:gridSpan w:val="2"/>
          </w:tcPr>
          <w:p w14:paraId="79900785" w14:textId="77777777" w:rsidR="000D07EA" w:rsidRDefault="00BE7C89">
            <w:pPr>
              <w:pStyle w:val="BodyText"/>
              <w:spacing w:before="100" w:after="100"/>
              <w:jc w:val="center"/>
              <w:rPr>
                <w:lang w:val="en-AU" w:eastAsia="en-AU"/>
              </w:rPr>
            </w:pPr>
            <w:r>
              <w:rPr>
                <w:iCs/>
                <w:lang w:val="en-AU" w:eastAsia="en-AU"/>
              </w:rPr>
              <w:t>(</w:t>
            </w:r>
            <w:r>
              <w:rPr>
                <w:lang w:val="en-AU" w:eastAsia="en-AU"/>
              </w:rPr>
              <w:t xml:space="preserve">plus the cost of </w:t>
            </w:r>
            <w:r>
              <w:rPr>
                <w:i/>
                <w:iCs/>
                <w:lang w:val="en-AU" w:eastAsia="en-AU"/>
              </w:rPr>
              <w:t xml:space="preserve">equipment charges </w:t>
            </w:r>
            <w:r>
              <w:rPr>
                <w:lang w:val="en-AU" w:eastAsia="en-AU"/>
              </w:rPr>
              <w:t xml:space="preserve">for any </w:t>
            </w:r>
            <w:r>
              <w:rPr>
                <w:i/>
                <w:iCs/>
                <w:lang w:val="en-AU" w:eastAsia="en-AU"/>
              </w:rPr>
              <w:t xml:space="preserve">mobile phone you </w:t>
            </w:r>
            <w:r>
              <w:rPr>
                <w:lang w:val="en-AU" w:eastAsia="en-AU"/>
              </w:rPr>
              <w:t>purchase from us, if any)</w:t>
            </w:r>
          </w:p>
        </w:tc>
      </w:tr>
    </w:tbl>
    <w:p w14:paraId="5A440E22" w14:textId="77777777" w:rsidR="000D07EA" w:rsidRDefault="000D07EA">
      <w:pPr>
        <w:pStyle w:val="BodyText"/>
        <w:rPr>
          <w:lang w:val="en-AU"/>
        </w:rPr>
      </w:pPr>
      <w:bookmarkStart w:id="523" w:name="_Toc397941201"/>
    </w:p>
    <w:p w14:paraId="7FDF1380" w14:textId="77777777" w:rsidR="000D07EA" w:rsidRDefault="00BE7C89">
      <w:pPr>
        <w:pStyle w:val="Heading6"/>
        <w:ind w:left="0" w:firstLine="0"/>
        <w:rPr>
          <w:lang w:val="en-AU"/>
        </w:rPr>
      </w:pPr>
      <w:r>
        <w:rPr>
          <w:lang w:val="en-AU"/>
        </w:rPr>
        <w:t>What happens if the service is cancelled early?</w:t>
      </w:r>
      <w:bookmarkEnd w:id="523"/>
    </w:p>
    <w:p w14:paraId="2BFC1DF2" w14:textId="77777777" w:rsidR="000D07EA" w:rsidRDefault="00BE7C89">
      <w:pPr>
        <w:pStyle w:val="Heading7"/>
        <w:rPr>
          <w:lang w:val="en-AU" w:eastAsia="en-AU"/>
        </w:rPr>
      </w:pPr>
      <w:r>
        <w:rPr>
          <w:lang w:val="en-AU" w:eastAsia="en-AU"/>
        </w:rPr>
        <w:t xml:space="preserve">If </w:t>
      </w:r>
      <w:r>
        <w:rPr>
          <w:i/>
          <w:lang w:val="en-AU" w:eastAsia="en-AU"/>
        </w:rPr>
        <w:t>the service</w:t>
      </w:r>
      <w:r>
        <w:rPr>
          <w:lang w:val="en-AU" w:eastAsia="en-AU"/>
        </w:rPr>
        <w:t xml:space="preserve"> </w:t>
      </w:r>
      <w:r>
        <w:rPr>
          <w:i/>
          <w:lang w:val="en-AU" w:eastAsia="en-AU"/>
        </w:rPr>
        <w:t xml:space="preserve">is cancelled </w:t>
      </w:r>
      <w:r>
        <w:rPr>
          <w:lang w:val="en-AU" w:eastAsia="en-AU"/>
        </w:rPr>
        <w:t xml:space="preserve">before the expiry of the </w:t>
      </w:r>
      <w:r>
        <w:rPr>
          <w:i/>
          <w:lang w:val="en-AU" w:eastAsia="en-AU"/>
        </w:rPr>
        <w:t xml:space="preserve">minimum term, you </w:t>
      </w:r>
      <w:r>
        <w:rPr>
          <w:lang w:val="en-AU" w:eastAsia="en-AU"/>
        </w:rPr>
        <w:t xml:space="preserve">will be required to pay </w:t>
      </w:r>
      <w:r>
        <w:rPr>
          <w:i/>
          <w:lang w:val="en-AU" w:eastAsia="en-AU"/>
        </w:rPr>
        <w:t>us</w:t>
      </w:r>
      <w:r>
        <w:rPr>
          <w:lang w:val="en-AU" w:eastAsia="en-AU"/>
        </w:rPr>
        <w:t>:</w:t>
      </w:r>
    </w:p>
    <w:p w14:paraId="02159DEA" w14:textId="77777777" w:rsidR="000D07EA" w:rsidRDefault="00BE7C89">
      <w:pPr>
        <w:pStyle w:val="Heading8"/>
        <w:rPr>
          <w:lang w:val="en-AU" w:eastAsia="en-AU"/>
        </w:rPr>
      </w:pPr>
      <w:r>
        <w:rPr>
          <w:lang w:val="en-AU" w:eastAsia="en-AU"/>
        </w:rPr>
        <w:t xml:space="preserve">any usage charges incurred up to, and including, the </w:t>
      </w:r>
      <w:r>
        <w:rPr>
          <w:i/>
          <w:lang w:val="en-AU" w:eastAsia="en-AU"/>
        </w:rPr>
        <w:t xml:space="preserve">cancellation date; </w:t>
      </w:r>
      <w:r>
        <w:rPr>
          <w:lang w:val="en-AU" w:eastAsia="en-AU"/>
        </w:rPr>
        <w:t>plus</w:t>
      </w:r>
    </w:p>
    <w:p w14:paraId="1257DB0C" w14:textId="77777777" w:rsidR="000D07EA" w:rsidRDefault="00BE7C89">
      <w:pPr>
        <w:pStyle w:val="Heading8"/>
        <w:rPr>
          <w:lang w:val="en-AU" w:eastAsia="en-AU"/>
        </w:rPr>
      </w:pPr>
      <w:r>
        <w:rPr>
          <w:lang w:val="en-AU" w:eastAsia="en-AU"/>
        </w:rPr>
        <w:t xml:space="preserve">the </w:t>
      </w:r>
      <w:r>
        <w:rPr>
          <w:i/>
          <w:lang w:val="en-AU" w:eastAsia="en-AU"/>
        </w:rPr>
        <w:t xml:space="preserve">cancellation fee </w:t>
      </w:r>
      <w:r>
        <w:rPr>
          <w:lang w:val="en-AU" w:eastAsia="en-AU"/>
        </w:rPr>
        <w:t xml:space="preserve">set in paragraph </w:t>
      </w:r>
      <w:r>
        <w:rPr>
          <w:lang w:val="en-AU" w:eastAsia="en-AU"/>
        </w:rPr>
        <w:fldChar w:fldCharType="begin"/>
      </w:r>
      <w:r>
        <w:rPr>
          <w:lang w:val="en-AU" w:eastAsia="en-AU"/>
        </w:rPr>
        <w:instrText xml:space="preserve"> REF _Ref461551905 \n \h </w:instrText>
      </w:r>
      <w:r>
        <w:rPr>
          <w:lang w:val="en-AU" w:eastAsia="en-AU"/>
        </w:rPr>
      </w:r>
      <w:r>
        <w:rPr>
          <w:lang w:val="en-AU" w:eastAsia="en-AU"/>
        </w:rPr>
        <w:fldChar w:fldCharType="separate"/>
      </w:r>
      <w:r w:rsidR="0004083A">
        <w:rPr>
          <w:lang w:val="en-AU" w:eastAsia="en-AU"/>
        </w:rPr>
        <w:t>(b)</w:t>
      </w:r>
      <w:r>
        <w:rPr>
          <w:lang w:val="en-AU" w:eastAsia="en-AU"/>
        </w:rPr>
        <w:fldChar w:fldCharType="end"/>
      </w:r>
      <w:r>
        <w:rPr>
          <w:lang w:val="en-AU" w:eastAsia="en-AU"/>
        </w:rPr>
        <w:t xml:space="preserve"> or </w:t>
      </w:r>
      <w:r>
        <w:rPr>
          <w:lang w:val="en-AU" w:eastAsia="en-AU"/>
        </w:rPr>
        <w:fldChar w:fldCharType="begin"/>
      </w:r>
      <w:r>
        <w:rPr>
          <w:lang w:val="en-AU" w:eastAsia="en-AU"/>
        </w:rPr>
        <w:instrText xml:space="preserve"> REF _Ref461551911 \n \h </w:instrText>
      </w:r>
      <w:r>
        <w:rPr>
          <w:lang w:val="en-AU" w:eastAsia="en-AU"/>
        </w:rPr>
      </w:r>
      <w:r>
        <w:rPr>
          <w:lang w:val="en-AU" w:eastAsia="en-AU"/>
        </w:rPr>
        <w:fldChar w:fldCharType="separate"/>
      </w:r>
      <w:r w:rsidR="0004083A">
        <w:rPr>
          <w:lang w:val="en-AU" w:eastAsia="en-AU"/>
        </w:rPr>
        <w:t>(c)</w:t>
      </w:r>
      <w:r>
        <w:rPr>
          <w:lang w:val="en-AU" w:eastAsia="en-AU"/>
        </w:rPr>
        <w:fldChar w:fldCharType="end"/>
      </w:r>
      <w:r>
        <w:rPr>
          <w:lang w:val="en-AU" w:eastAsia="en-AU"/>
        </w:rPr>
        <w:t xml:space="preserve"> below (unless under clause 2A of the </w:t>
      </w:r>
      <w:r>
        <w:rPr>
          <w:i/>
          <w:lang w:val="en-AU" w:eastAsia="en-AU"/>
        </w:rPr>
        <w:t xml:space="preserve">SMB terms, you </w:t>
      </w:r>
      <w:r>
        <w:rPr>
          <w:lang w:val="en-AU" w:eastAsia="en-AU"/>
        </w:rPr>
        <w:t xml:space="preserve">are entitled to </w:t>
      </w:r>
      <w:r>
        <w:rPr>
          <w:i/>
          <w:lang w:val="en-AU" w:eastAsia="en-AU"/>
        </w:rPr>
        <w:t xml:space="preserve">cancel the service </w:t>
      </w:r>
      <w:r>
        <w:rPr>
          <w:lang w:val="en-AU" w:eastAsia="en-AU"/>
        </w:rPr>
        <w:t xml:space="preserve">without incurring a </w:t>
      </w:r>
      <w:r>
        <w:rPr>
          <w:i/>
          <w:lang w:val="en-AU" w:eastAsia="en-AU"/>
        </w:rPr>
        <w:t>cancellation fee)</w:t>
      </w:r>
      <w:r>
        <w:rPr>
          <w:lang w:val="en-AU" w:eastAsia="en-AU"/>
        </w:rPr>
        <w:t xml:space="preserve">; plus </w:t>
      </w:r>
    </w:p>
    <w:p w14:paraId="4F7B2850" w14:textId="77777777" w:rsidR="000D07EA" w:rsidRDefault="00BE7C89">
      <w:pPr>
        <w:pStyle w:val="Heading8"/>
        <w:rPr>
          <w:lang w:val="en-AU" w:eastAsia="en-AU"/>
        </w:rPr>
      </w:pPr>
      <w:r>
        <w:rPr>
          <w:lang w:val="en-AU" w:eastAsia="en-AU"/>
        </w:rPr>
        <w:t xml:space="preserve">the sum of unpaid </w:t>
      </w:r>
      <w:r>
        <w:rPr>
          <w:i/>
          <w:lang w:val="en-AU" w:eastAsia="en-AU"/>
        </w:rPr>
        <w:t>equipment charges</w:t>
      </w:r>
      <w:r>
        <w:rPr>
          <w:lang w:val="en-AU" w:eastAsia="en-AU"/>
        </w:rPr>
        <w:t xml:space="preserve"> owing on </w:t>
      </w:r>
      <w:r>
        <w:rPr>
          <w:i/>
          <w:lang w:val="en-AU" w:eastAsia="en-AU"/>
        </w:rPr>
        <w:t>your mobile phone</w:t>
      </w:r>
      <w:r>
        <w:rPr>
          <w:lang w:val="en-AU" w:eastAsia="en-AU"/>
        </w:rPr>
        <w:t xml:space="preserve"> under the </w:t>
      </w:r>
      <w:r>
        <w:rPr>
          <w:i/>
          <w:lang w:val="en-AU" w:eastAsia="en-AU"/>
        </w:rPr>
        <w:t>mobile equipment payment plan</w:t>
      </w:r>
      <w:r>
        <w:rPr>
          <w:lang w:val="en-AU" w:eastAsia="en-AU"/>
        </w:rPr>
        <w:t xml:space="preserve"> (if any).</w:t>
      </w:r>
    </w:p>
    <w:p w14:paraId="42C66472" w14:textId="77777777" w:rsidR="000D07EA" w:rsidRDefault="00BE7C89">
      <w:pPr>
        <w:pStyle w:val="Heading7"/>
        <w:rPr>
          <w:lang w:val="en-AU" w:eastAsia="en-AU"/>
        </w:rPr>
      </w:pPr>
      <w:bookmarkStart w:id="524" w:name="_Ref461551905"/>
      <w:r>
        <w:rPr>
          <w:lang w:val="en-AU" w:eastAsia="en-AU"/>
        </w:rPr>
        <w:t xml:space="preserve">The </w:t>
      </w:r>
      <w:r>
        <w:rPr>
          <w:i/>
          <w:lang w:val="en-AU" w:eastAsia="en-AU"/>
        </w:rPr>
        <w:t>cancellation fee</w:t>
      </w:r>
      <w:r>
        <w:rPr>
          <w:lang w:val="en-AU" w:eastAsia="en-AU"/>
        </w:rPr>
        <w:t xml:space="preserve"> for a 12 Month Contract is calculated as a fixed amount if the </w:t>
      </w:r>
      <w:r>
        <w:rPr>
          <w:i/>
          <w:lang w:val="en-AU" w:eastAsia="en-AU"/>
        </w:rPr>
        <w:t xml:space="preserve">service </w:t>
      </w:r>
      <w:r>
        <w:rPr>
          <w:lang w:val="en-AU" w:eastAsia="en-AU"/>
        </w:rPr>
        <w:t xml:space="preserve">is </w:t>
      </w:r>
      <w:r>
        <w:rPr>
          <w:i/>
          <w:lang w:val="en-AU" w:eastAsia="en-AU"/>
        </w:rPr>
        <w:t xml:space="preserve">cancelled </w:t>
      </w:r>
      <w:r>
        <w:rPr>
          <w:lang w:val="en-AU" w:eastAsia="en-AU"/>
        </w:rPr>
        <w:t xml:space="preserve">during the first 6 months of the </w:t>
      </w:r>
      <w:r>
        <w:rPr>
          <w:i/>
          <w:lang w:val="en-AU" w:eastAsia="en-AU"/>
        </w:rPr>
        <w:t>minimum term</w:t>
      </w:r>
      <w:r>
        <w:rPr>
          <w:lang w:val="en-AU" w:eastAsia="en-AU"/>
        </w:rPr>
        <w:t xml:space="preserve"> and then a pro-rata reduction of that fee (indicated as a percentage in brackets in the first column of the table below) if the </w:t>
      </w:r>
      <w:r>
        <w:rPr>
          <w:i/>
          <w:lang w:val="en-AU" w:eastAsia="en-AU"/>
        </w:rPr>
        <w:t xml:space="preserve">service </w:t>
      </w:r>
      <w:r>
        <w:rPr>
          <w:lang w:val="en-AU" w:eastAsia="en-AU"/>
        </w:rPr>
        <w:t xml:space="preserve">is </w:t>
      </w:r>
      <w:r>
        <w:rPr>
          <w:i/>
          <w:lang w:val="en-AU" w:eastAsia="en-AU"/>
        </w:rPr>
        <w:t xml:space="preserve">cancelled </w:t>
      </w:r>
      <w:r>
        <w:rPr>
          <w:lang w:val="en-AU" w:eastAsia="en-AU"/>
        </w:rPr>
        <w:t xml:space="preserve">during the last six months of the </w:t>
      </w:r>
      <w:r>
        <w:rPr>
          <w:i/>
          <w:lang w:val="en-AU" w:eastAsia="en-AU"/>
        </w:rPr>
        <w:t>minimum term</w:t>
      </w:r>
      <w:r>
        <w:rPr>
          <w:lang w:val="en-AU" w:eastAsia="en-AU"/>
        </w:rPr>
        <w:t>.</w:t>
      </w:r>
      <w:bookmarkEnd w:id="524"/>
    </w:p>
    <w:p w14:paraId="50084C05" w14:textId="77777777" w:rsidR="000D07EA" w:rsidRDefault="00BE7C89">
      <w:pPr>
        <w:pStyle w:val="Heading7"/>
        <w:rPr>
          <w:lang w:val="en-AU" w:eastAsia="en-AU"/>
        </w:rPr>
      </w:pPr>
      <w:bookmarkStart w:id="525" w:name="_Ref461551911"/>
      <w:r>
        <w:rPr>
          <w:lang w:val="en-AU" w:eastAsia="en-AU"/>
        </w:rPr>
        <w:lastRenderedPageBreak/>
        <w:t xml:space="preserve">The </w:t>
      </w:r>
      <w:r>
        <w:rPr>
          <w:i/>
          <w:lang w:val="en-AU" w:eastAsia="en-AU"/>
        </w:rPr>
        <w:t>cancellation fee</w:t>
      </w:r>
      <w:r>
        <w:rPr>
          <w:lang w:val="en-AU" w:eastAsia="en-AU"/>
        </w:rPr>
        <w:t xml:space="preserve"> for a 24 Month Contract is calculated as a fixed amount if the </w:t>
      </w:r>
      <w:r>
        <w:rPr>
          <w:i/>
          <w:lang w:val="en-AU" w:eastAsia="en-AU"/>
        </w:rPr>
        <w:t xml:space="preserve">service </w:t>
      </w:r>
      <w:r>
        <w:rPr>
          <w:lang w:val="en-AU" w:eastAsia="en-AU"/>
        </w:rPr>
        <w:t xml:space="preserve">is </w:t>
      </w:r>
      <w:r>
        <w:rPr>
          <w:i/>
          <w:lang w:val="en-AU" w:eastAsia="en-AU"/>
        </w:rPr>
        <w:t xml:space="preserve">cancelled </w:t>
      </w:r>
      <w:r>
        <w:rPr>
          <w:lang w:val="en-AU" w:eastAsia="en-AU"/>
        </w:rPr>
        <w:t xml:space="preserve">during the first 12 months of the </w:t>
      </w:r>
      <w:r>
        <w:rPr>
          <w:i/>
          <w:lang w:val="en-AU" w:eastAsia="en-AU"/>
        </w:rPr>
        <w:t>minimum term</w:t>
      </w:r>
      <w:r>
        <w:rPr>
          <w:lang w:val="en-AU" w:eastAsia="en-AU"/>
        </w:rPr>
        <w:t xml:space="preserve"> and then a pro-rata reduction of that fee (indicated as a percentage in brackets in the first column of the table below) if the </w:t>
      </w:r>
      <w:r>
        <w:rPr>
          <w:i/>
          <w:lang w:val="en-AU" w:eastAsia="en-AU"/>
        </w:rPr>
        <w:t xml:space="preserve">service </w:t>
      </w:r>
      <w:r>
        <w:rPr>
          <w:lang w:val="en-AU" w:eastAsia="en-AU"/>
        </w:rPr>
        <w:t xml:space="preserve">is </w:t>
      </w:r>
      <w:r>
        <w:rPr>
          <w:i/>
          <w:lang w:val="en-AU" w:eastAsia="en-AU"/>
        </w:rPr>
        <w:t xml:space="preserve">cancelled </w:t>
      </w:r>
      <w:r>
        <w:rPr>
          <w:lang w:val="en-AU" w:eastAsia="en-AU"/>
        </w:rPr>
        <w:t xml:space="preserve">during the second year of the </w:t>
      </w:r>
      <w:r>
        <w:rPr>
          <w:i/>
          <w:lang w:val="en-AU" w:eastAsia="en-AU"/>
        </w:rPr>
        <w:t>minimum term</w:t>
      </w:r>
      <w:r>
        <w:rPr>
          <w:lang w:val="en-AU" w:eastAsia="en-AU"/>
        </w:rPr>
        <w:t>.</w:t>
      </w:r>
      <w:bookmarkEnd w:id="525"/>
    </w:p>
    <w:p w14:paraId="69593727" w14:textId="77777777" w:rsidR="000D07EA" w:rsidRDefault="00BE7C89">
      <w:pPr>
        <w:pStyle w:val="BodyText"/>
        <w:keepNext/>
        <w:ind w:left="720"/>
        <w:rPr>
          <w:b/>
          <w:lang w:val="en-AU" w:eastAsia="en-AU"/>
        </w:rPr>
      </w:pPr>
      <w:r>
        <w:rPr>
          <w:b/>
          <w:lang w:val="en-AU" w:eastAsia="en-AU"/>
        </w:rPr>
        <w:t>Cancellation Fee for services activated June 1st 2011 and after</w:t>
      </w:r>
    </w:p>
    <w:tbl>
      <w:tblPr>
        <w:tblW w:w="4646" w:type="pct"/>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1"/>
        <w:gridCol w:w="1433"/>
        <w:gridCol w:w="1433"/>
        <w:gridCol w:w="1433"/>
        <w:gridCol w:w="1437"/>
      </w:tblGrid>
      <w:tr w:rsidR="000D07EA" w14:paraId="7244CBEF" w14:textId="77777777">
        <w:trPr>
          <w:cantSplit/>
        </w:trPr>
        <w:tc>
          <w:tcPr>
            <w:tcW w:w="1970" w:type="pct"/>
            <w:vMerge w:val="restart"/>
          </w:tcPr>
          <w:p w14:paraId="1EA5BD1E" w14:textId="77777777" w:rsidR="000D07EA" w:rsidRDefault="00BE7C89">
            <w:pPr>
              <w:pStyle w:val="BodyText"/>
              <w:keepNext/>
              <w:spacing w:before="100" w:after="100"/>
              <w:rPr>
                <w:b/>
                <w:lang w:val="en-AU"/>
              </w:rPr>
            </w:pPr>
            <w:r>
              <w:rPr>
                <w:b/>
                <w:lang w:val="en-AU"/>
              </w:rPr>
              <w:t xml:space="preserve">When the </w:t>
            </w:r>
            <w:r>
              <w:rPr>
                <w:b/>
                <w:i/>
                <w:lang w:val="en-AU"/>
              </w:rPr>
              <w:t>service</w:t>
            </w:r>
            <w:r>
              <w:rPr>
                <w:b/>
                <w:lang w:val="en-AU"/>
              </w:rPr>
              <w:t xml:space="preserve"> is </w:t>
            </w:r>
            <w:r>
              <w:rPr>
                <w:b/>
                <w:i/>
                <w:lang w:val="en-AU"/>
              </w:rPr>
              <w:t>cancelled</w:t>
            </w:r>
          </w:p>
        </w:tc>
        <w:tc>
          <w:tcPr>
            <w:tcW w:w="3030" w:type="pct"/>
            <w:gridSpan w:val="4"/>
          </w:tcPr>
          <w:p w14:paraId="5754FB98" w14:textId="77777777" w:rsidR="000D07EA" w:rsidRDefault="00BE7C89">
            <w:pPr>
              <w:pStyle w:val="BodyText"/>
              <w:keepNext/>
              <w:spacing w:before="100" w:after="100"/>
              <w:jc w:val="center"/>
              <w:rPr>
                <w:b/>
                <w:i/>
                <w:lang w:val="en-AU"/>
              </w:rPr>
            </w:pPr>
            <w:r>
              <w:rPr>
                <w:b/>
                <w:i/>
                <w:lang w:val="en-AU"/>
              </w:rPr>
              <w:t>Cancellation Fee</w:t>
            </w:r>
          </w:p>
        </w:tc>
      </w:tr>
      <w:tr w:rsidR="000D07EA" w14:paraId="4F0BA89C" w14:textId="77777777">
        <w:trPr>
          <w:cantSplit/>
        </w:trPr>
        <w:tc>
          <w:tcPr>
            <w:tcW w:w="1970" w:type="pct"/>
            <w:vMerge/>
          </w:tcPr>
          <w:p w14:paraId="5450883C" w14:textId="77777777" w:rsidR="000D07EA" w:rsidRDefault="000D07EA">
            <w:pPr>
              <w:pStyle w:val="BodyText"/>
              <w:keepNext/>
              <w:spacing w:before="100" w:after="100"/>
              <w:rPr>
                <w:lang w:val="en-AU"/>
              </w:rPr>
            </w:pPr>
          </w:p>
        </w:tc>
        <w:tc>
          <w:tcPr>
            <w:tcW w:w="3030" w:type="pct"/>
            <w:gridSpan w:val="4"/>
          </w:tcPr>
          <w:p w14:paraId="30873BBE" w14:textId="77777777" w:rsidR="000D07EA" w:rsidRDefault="00BE7C89">
            <w:pPr>
              <w:pStyle w:val="BodyText"/>
              <w:keepNext/>
              <w:spacing w:before="100" w:after="100"/>
              <w:jc w:val="center"/>
              <w:rPr>
                <w:b/>
                <w:bCs/>
                <w:lang w:val="en-AU" w:eastAsia="en-AU"/>
              </w:rPr>
            </w:pPr>
            <w:r>
              <w:rPr>
                <w:b/>
                <w:bCs/>
                <w:lang w:val="en-AU" w:eastAsia="en-AU"/>
              </w:rPr>
              <w:t>Business Timeless Plans – 12 Month Contract</w:t>
            </w:r>
          </w:p>
        </w:tc>
      </w:tr>
      <w:tr w:rsidR="000D07EA" w14:paraId="3EFC92C7" w14:textId="77777777">
        <w:tc>
          <w:tcPr>
            <w:tcW w:w="1970" w:type="pct"/>
          </w:tcPr>
          <w:p w14:paraId="0D50588B" w14:textId="77777777" w:rsidR="000D07EA" w:rsidRDefault="000D07EA">
            <w:pPr>
              <w:pStyle w:val="BodyText"/>
              <w:keepNext/>
              <w:spacing w:before="100" w:after="100"/>
              <w:rPr>
                <w:lang w:val="en-AU"/>
              </w:rPr>
            </w:pPr>
          </w:p>
        </w:tc>
        <w:tc>
          <w:tcPr>
            <w:tcW w:w="757" w:type="pct"/>
          </w:tcPr>
          <w:p w14:paraId="5E61873D" w14:textId="77777777" w:rsidR="000D07EA" w:rsidRDefault="00BE7C89">
            <w:pPr>
              <w:pStyle w:val="BodyText"/>
              <w:keepNext/>
              <w:spacing w:before="100" w:after="100"/>
              <w:jc w:val="center"/>
              <w:rPr>
                <w:b/>
                <w:lang w:val="en-AU"/>
              </w:rPr>
            </w:pPr>
            <w:r>
              <w:rPr>
                <w:b/>
                <w:bCs/>
                <w:lang w:val="en-AU" w:eastAsia="en-AU"/>
              </w:rPr>
              <w:t>$99 Business Timeless</w:t>
            </w:r>
          </w:p>
        </w:tc>
        <w:tc>
          <w:tcPr>
            <w:tcW w:w="757" w:type="pct"/>
          </w:tcPr>
          <w:p w14:paraId="5E8E1895" w14:textId="77777777" w:rsidR="000D07EA" w:rsidRDefault="00BE7C89">
            <w:pPr>
              <w:pStyle w:val="BodyText"/>
              <w:keepNext/>
              <w:spacing w:before="100" w:after="100"/>
              <w:jc w:val="center"/>
              <w:rPr>
                <w:b/>
                <w:lang w:val="en-AU"/>
              </w:rPr>
            </w:pPr>
            <w:r>
              <w:rPr>
                <w:b/>
                <w:bCs/>
                <w:lang w:val="en-AU" w:eastAsia="en-AU"/>
              </w:rPr>
              <w:t>$129 Business Timeless</w:t>
            </w:r>
          </w:p>
        </w:tc>
        <w:tc>
          <w:tcPr>
            <w:tcW w:w="757" w:type="pct"/>
          </w:tcPr>
          <w:p w14:paraId="0C51FBC7" w14:textId="77777777" w:rsidR="000D07EA" w:rsidRDefault="00BE7C89">
            <w:pPr>
              <w:pStyle w:val="BodyText"/>
              <w:keepNext/>
              <w:spacing w:before="100" w:after="100"/>
              <w:jc w:val="center"/>
              <w:rPr>
                <w:b/>
                <w:bCs/>
                <w:lang w:val="en-AU" w:eastAsia="en-AU"/>
              </w:rPr>
            </w:pPr>
            <w:r>
              <w:rPr>
                <w:b/>
                <w:bCs/>
                <w:lang w:val="en-AU" w:eastAsia="en-AU"/>
              </w:rPr>
              <w:t>$99 Business Timeless (Premium H/set)</w:t>
            </w:r>
          </w:p>
        </w:tc>
        <w:tc>
          <w:tcPr>
            <w:tcW w:w="757" w:type="pct"/>
          </w:tcPr>
          <w:p w14:paraId="4034A722" w14:textId="77777777" w:rsidR="000D07EA" w:rsidRDefault="00BE7C89">
            <w:pPr>
              <w:pStyle w:val="BodyText"/>
              <w:keepNext/>
              <w:spacing w:before="100" w:after="100"/>
              <w:jc w:val="center"/>
              <w:rPr>
                <w:b/>
                <w:bCs/>
                <w:lang w:val="en-AU" w:eastAsia="en-AU"/>
              </w:rPr>
            </w:pPr>
            <w:r>
              <w:rPr>
                <w:b/>
                <w:bCs/>
                <w:lang w:val="en-AU" w:eastAsia="en-AU"/>
              </w:rPr>
              <w:t>$129 Business Timeless (Premium H/set)</w:t>
            </w:r>
          </w:p>
        </w:tc>
      </w:tr>
      <w:tr w:rsidR="000D07EA" w14:paraId="7B053CC8" w14:textId="77777777">
        <w:tc>
          <w:tcPr>
            <w:tcW w:w="1970" w:type="pct"/>
          </w:tcPr>
          <w:p w14:paraId="7A97A472" w14:textId="77777777" w:rsidR="000D07EA" w:rsidRDefault="00BE7C89">
            <w:pPr>
              <w:pStyle w:val="BodyText"/>
              <w:spacing w:before="100" w:after="100"/>
              <w:rPr>
                <w:b/>
                <w:lang w:val="en-AU"/>
              </w:rPr>
            </w:pPr>
            <w:r>
              <w:rPr>
                <w:b/>
                <w:lang w:val="en-AU"/>
              </w:rPr>
              <w:t xml:space="preserve">During the first 6 months – Initial </w:t>
            </w:r>
            <w:r>
              <w:rPr>
                <w:b/>
                <w:i/>
                <w:lang w:val="en-AU"/>
              </w:rPr>
              <w:t>cancellation</w:t>
            </w:r>
            <w:r>
              <w:rPr>
                <w:b/>
                <w:lang w:val="en-AU"/>
              </w:rPr>
              <w:t xml:space="preserve"> </w:t>
            </w:r>
            <w:r>
              <w:rPr>
                <w:b/>
                <w:i/>
                <w:lang w:val="en-AU"/>
              </w:rPr>
              <w:t>fee</w:t>
            </w:r>
          </w:p>
        </w:tc>
        <w:tc>
          <w:tcPr>
            <w:tcW w:w="757" w:type="pct"/>
          </w:tcPr>
          <w:p w14:paraId="268CA68C" w14:textId="77777777" w:rsidR="000D07EA" w:rsidRDefault="00BE7C89">
            <w:pPr>
              <w:pStyle w:val="BodyText"/>
              <w:spacing w:before="100" w:after="100"/>
              <w:jc w:val="center"/>
              <w:rPr>
                <w:lang w:val="en-AU"/>
              </w:rPr>
            </w:pPr>
            <w:r>
              <w:rPr>
                <w:lang w:val="en-AU"/>
              </w:rPr>
              <w:t>$605</w:t>
            </w:r>
          </w:p>
        </w:tc>
        <w:tc>
          <w:tcPr>
            <w:tcW w:w="757" w:type="pct"/>
          </w:tcPr>
          <w:p w14:paraId="7CDE0985" w14:textId="77777777" w:rsidR="000D07EA" w:rsidRDefault="00BE7C89">
            <w:pPr>
              <w:pStyle w:val="BodyText"/>
              <w:spacing w:before="100" w:after="100"/>
              <w:jc w:val="center"/>
              <w:rPr>
                <w:lang w:val="en-AU"/>
              </w:rPr>
            </w:pPr>
            <w:r>
              <w:rPr>
                <w:lang w:val="en-AU"/>
              </w:rPr>
              <w:t>$615</w:t>
            </w:r>
          </w:p>
        </w:tc>
        <w:tc>
          <w:tcPr>
            <w:tcW w:w="757" w:type="pct"/>
          </w:tcPr>
          <w:p w14:paraId="6D202A26" w14:textId="77777777" w:rsidR="000D07EA" w:rsidRDefault="00BE7C89">
            <w:pPr>
              <w:pStyle w:val="BodyText"/>
              <w:spacing w:before="100" w:after="100"/>
              <w:jc w:val="center"/>
              <w:rPr>
                <w:lang w:val="en-AU"/>
              </w:rPr>
            </w:pPr>
            <w:r>
              <w:rPr>
                <w:lang w:val="en-AU"/>
              </w:rPr>
              <w:t>$855</w:t>
            </w:r>
          </w:p>
        </w:tc>
        <w:tc>
          <w:tcPr>
            <w:tcW w:w="757" w:type="pct"/>
          </w:tcPr>
          <w:p w14:paraId="05FDF74F" w14:textId="77777777" w:rsidR="000D07EA" w:rsidRDefault="00BE7C89">
            <w:pPr>
              <w:pStyle w:val="BodyText"/>
              <w:spacing w:before="100" w:after="100"/>
              <w:jc w:val="center"/>
              <w:rPr>
                <w:lang w:val="en-AU"/>
              </w:rPr>
            </w:pPr>
            <w:r>
              <w:rPr>
                <w:lang w:val="en-AU"/>
              </w:rPr>
              <w:t>$865</w:t>
            </w:r>
          </w:p>
        </w:tc>
      </w:tr>
      <w:tr w:rsidR="000D07EA" w14:paraId="7819F713" w14:textId="77777777">
        <w:tc>
          <w:tcPr>
            <w:tcW w:w="1970" w:type="pct"/>
          </w:tcPr>
          <w:p w14:paraId="12F9AF82" w14:textId="77777777" w:rsidR="000D07EA" w:rsidRDefault="00BE7C89">
            <w:pPr>
              <w:pStyle w:val="BodyText"/>
              <w:spacing w:before="100" w:after="100"/>
              <w:rPr>
                <w:b/>
                <w:lang w:val="en-AU"/>
              </w:rPr>
            </w:pPr>
            <w:r>
              <w:rPr>
                <w:b/>
                <w:lang w:val="en-AU"/>
              </w:rPr>
              <w:t xml:space="preserve">Months 7 - 9 (70% of Initial </w:t>
            </w:r>
            <w:r>
              <w:rPr>
                <w:b/>
                <w:i/>
                <w:lang w:val="en-AU"/>
              </w:rPr>
              <w:t>cancellation</w:t>
            </w:r>
            <w:r>
              <w:rPr>
                <w:b/>
                <w:lang w:val="en-AU"/>
              </w:rPr>
              <w:t xml:space="preserve"> </w:t>
            </w:r>
            <w:r>
              <w:rPr>
                <w:b/>
                <w:i/>
                <w:lang w:val="en-AU"/>
              </w:rPr>
              <w:t>fee</w:t>
            </w:r>
            <w:r>
              <w:rPr>
                <w:b/>
                <w:lang w:val="en-AU"/>
              </w:rPr>
              <w:t>)</w:t>
            </w:r>
          </w:p>
        </w:tc>
        <w:tc>
          <w:tcPr>
            <w:tcW w:w="757" w:type="pct"/>
          </w:tcPr>
          <w:p w14:paraId="0FCEC29B" w14:textId="77777777" w:rsidR="000D07EA" w:rsidRDefault="00BE7C89">
            <w:pPr>
              <w:pStyle w:val="BodyText"/>
              <w:spacing w:before="100" w:after="100"/>
              <w:jc w:val="center"/>
              <w:rPr>
                <w:lang w:val="en-AU"/>
              </w:rPr>
            </w:pPr>
            <w:r>
              <w:rPr>
                <w:lang w:val="en-AU"/>
              </w:rPr>
              <w:t>$423.50</w:t>
            </w:r>
          </w:p>
        </w:tc>
        <w:tc>
          <w:tcPr>
            <w:tcW w:w="757" w:type="pct"/>
          </w:tcPr>
          <w:p w14:paraId="0A0C6684" w14:textId="77777777" w:rsidR="000D07EA" w:rsidRDefault="00BE7C89">
            <w:pPr>
              <w:pStyle w:val="BodyText"/>
              <w:spacing w:before="100" w:after="100"/>
              <w:jc w:val="center"/>
              <w:rPr>
                <w:lang w:val="en-AU"/>
              </w:rPr>
            </w:pPr>
            <w:r>
              <w:rPr>
                <w:lang w:val="en-AU"/>
              </w:rPr>
              <w:t>$430.50</w:t>
            </w:r>
          </w:p>
        </w:tc>
        <w:tc>
          <w:tcPr>
            <w:tcW w:w="757" w:type="pct"/>
          </w:tcPr>
          <w:p w14:paraId="18C57DE5" w14:textId="77777777" w:rsidR="000D07EA" w:rsidRDefault="00BE7C89">
            <w:pPr>
              <w:pStyle w:val="BodyText"/>
              <w:spacing w:before="100" w:after="100"/>
              <w:jc w:val="center"/>
              <w:rPr>
                <w:lang w:val="en-AU"/>
              </w:rPr>
            </w:pPr>
            <w:r>
              <w:rPr>
                <w:lang w:val="en-AU"/>
              </w:rPr>
              <w:t>$598.50</w:t>
            </w:r>
          </w:p>
        </w:tc>
        <w:tc>
          <w:tcPr>
            <w:tcW w:w="757" w:type="pct"/>
          </w:tcPr>
          <w:p w14:paraId="6B7B668C" w14:textId="77777777" w:rsidR="000D07EA" w:rsidRDefault="00BE7C89">
            <w:pPr>
              <w:pStyle w:val="BodyText"/>
              <w:spacing w:before="100" w:after="100"/>
              <w:jc w:val="center"/>
              <w:rPr>
                <w:lang w:val="en-AU"/>
              </w:rPr>
            </w:pPr>
            <w:r>
              <w:rPr>
                <w:lang w:val="en-AU"/>
              </w:rPr>
              <w:t>$605.50</w:t>
            </w:r>
          </w:p>
        </w:tc>
      </w:tr>
      <w:tr w:rsidR="000D07EA" w14:paraId="6E9DE003" w14:textId="77777777">
        <w:tc>
          <w:tcPr>
            <w:tcW w:w="1970" w:type="pct"/>
          </w:tcPr>
          <w:p w14:paraId="17289B9A" w14:textId="77777777" w:rsidR="000D07EA" w:rsidRDefault="00BE7C89">
            <w:pPr>
              <w:pStyle w:val="BodyText"/>
              <w:spacing w:before="100" w:after="100"/>
              <w:rPr>
                <w:b/>
              </w:rPr>
            </w:pPr>
            <w:r>
              <w:rPr>
                <w:b/>
                <w:lang w:val="en-AU"/>
              </w:rPr>
              <w:t xml:space="preserve">Months 10 – 12 (40% of the Initial </w:t>
            </w:r>
            <w:r>
              <w:rPr>
                <w:b/>
                <w:i/>
                <w:lang w:val="en-AU"/>
              </w:rPr>
              <w:t>cancellation</w:t>
            </w:r>
            <w:r>
              <w:rPr>
                <w:b/>
                <w:lang w:val="en-AU"/>
              </w:rPr>
              <w:t xml:space="preserve"> </w:t>
            </w:r>
            <w:r>
              <w:rPr>
                <w:b/>
                <w:i/>
                <w:lang w:val="en-AU"/>
              </w:rPr>
              <w:t>fee</w:t>
            </w:r>
            <w:r>
              <w:rPr>
                <w:b/>
                <w:lang w:val="en-AU"/>
              </w:rPr>
              <w:t>)</w:t>
            </w:r>
          </w:p>
        </w:tc>
        <w:tc>
          <w:tcPr>
            <w:tcW w:w="757" w:type="pct"/>
          </w:tcPr>
          <w:p w14:paraId="0BE614A0" w14:textId="77777777" w:rsidR="000D07EA" w:rsidRDefault="00BE7C89">
            <w:pPr>
              <w:pStyle w:val="BodyText"/>
              <w:spacing w:before="100" w:after="100"/>
              <w:jc w:val="center"/>
              <w:rPr>
                <w:lang w:val="en-AU"/>
              </w:rPr>
            </w:pPr>
            <w:r>
              <w:rPr>
                <w:lang w:val="en-AU"/>
              </w:rPr>
              <w:t>$242</w:t>
            </w:r>
          </w:p>
        </w:tc>
        <w:tc>
          <w:tcPr>
            <w:tcW w:w="757" w:type="pct"/>
          </w:tcPr>
          <w:p w14:paraId="14B20203" w14:textId="77777777" w:rsidR="000D07EA" w:rsidRDefault="00BE7C89">
            <w:pPr>
              <w:pStyle w:val="BodyText"/>
              <w:spacing w:before="100" w:after="100"/>
              <w:jc w:val="center"/>
              <w:rPr>
                <w:lang w:val="en-AU"/>
              </w:rPr>
            </w:pPr>
            <w:r>
              <w:rPr>
                <w:lang w:val="en-AU"/>
              </w:rPr>
              <w:t>$246</w:t>
            </w:r>
          </w:p>
        </w:tc>
        <w:tc>
          <w:tcPr>
            <w:tcW w:w="757" w:type="pct"/>
          </w:tcPr>
          <w:p w14:paraId="0C03F64C" w14:textId="77777777" w:rsidR="000D07EA" w:rsidRDefault="00BE7C89">
            <w:pPr>
              <w:pStyle w:val="BodyText"/>
              <w:spacing w:before="100" w:after="100"/>
              <w:jc w:val="center"/>
              <w:rPr>
                <w:lang w:val="en-AU"/>
              </w:rPr>
            </w:pPr>
            <w:r>
              <w:rPr>
                <w:lang w:val="en-AU"/>
              </w:rPr>
              <w:t>$342</w:t>
            </w:r>
          </w:p>
        </w:tc>
        <w:tc>
          <w:tcPr>
            <w:tcW w:w="757" w:type="pct"/>
          </w:tcPr>
          <w:p w14:paraId="0F0C86D9" w14:textId="77777777" w:rsidR="000D07EA" w:rsidRDefault="00BE7C89">
            <w:pPr>
              <w:pStyle w:val="BodyText"/>
              <w:spacing w:before="100" w:after="100"/>
              <w:jc w:val="center"/>
              <w:rPr>
                <w:lang w:val="en-AU"/>
              </w:rPr>
            </w:pPr>
            <w:r>
              <w:rPr>
                <w:lang w:val="en-AU"/>
              </w:rPr>
              <w:t>$346</w:t>
            </w:r>
          </w:p>
        </w:tc>
      </w:tr>
    </w:tbl>
    <w:p w14:paraId="39A7C13C" w14:textId="77777777" w:rsidR="000D07EA" w:rsidRDefault="000D07EA">
      <w:pPr>
        <w:pStyle w:val="BodyText"/>
        <w:rPr>
          <w:lang w:val="en-AU" w:eastAsia="en-AU"/>
        </w:rPr>
      </w:pPr>
    </w:p>
    <w:tbl>
      <w:tblPr>
        <w:tblW w:w="4646" w:type="pct"/>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7"/>
        <w:gridCol w:w="1443"/>
        <w:gridCol w:w="1443"/>
        <w:gridCol w:w="1443"/>
        <w:gridCol w:w="1441"/>
      </w:tblGrid>
      <w:tr w:rsidR="000D07EA" w14:paraId="000D4722" w14:textId="77777777">
        <w:trPr>
          <w:cantSplit/>
          <w:tblHeader/>
        </w:trPr>
        <w:tc>
          <w:tcPr>
            <w:tcW w:w="1953" w:type="pct"/>
            <w:vMerge w:val="restart"/>
          </w:tcPr>
          <w:p w14:paraId="73ACF53C" w14:textId="77777777" w:rsidR="000D07EA" w:rsidRDefault="00BE7C89">
            <w:pPr>
              <w:pStyle w:val="BodyText"/>
              <w:keepNext/>
              <w:spacing w:before="100" w:after="100"/>
              <w:jc w:val="center"/>
              <w:rPr>
                <w:b/>
                <w:lang w:val="en-AU"/>
              </w:rPr>
            </w:pPr>
            <w:r>
              <w:rPr>
                <w:b/>
                <w:lang w:val="en-AU"/>
              </w:rPr>
              <w:t xml:space="preserve">When the </w:t>
            </w:r>
            <w:r>
              <w:rPr>
                <w:b/>
                <w:i/>
                <w:lang w:val="en-AU"/>
              </w:rPr>
              <w:t>service</w:t>
            </w:r>
            <w:r>
              <w:rPr>
                <w:b/>
                <w:lang w:val="en-AU"/>
              </w:rPr>
              <w:t xml:space="preserve"> is </w:t>
            </w:r>
            <w:r>
              <w:rPr>
                <w:b/>
                <w:i/>
                <w:lang w:val="en-AU"/>
              </w:rPr>
              <w:t>cancelled</w:t>
            </w:r>
          </w:p>
        </w:tc>
        <w:tc>
          <w:tcPr>
            <w:tcW w:w="3047" w:type="pct"/>
            <w:gridSpan w:val="4"/>
            <w:vAlign w:val="center"/>
          </w:tcPr>
          <w:p w14:paraId="4D48E1DA" w14:textId="77777777" w:rsidR="000D07EA" w:rsidRDefault="00BE7C89">
            <w:pPr>
              <w:pStyle w:val="BodyText"/>
              <w:keepNext/>
              <w:spacing w:before="100" w:after="100"/>
              <w:jc w:val="center"/>
              <w:rPr>
                <w:b/>
                <w:i/>
                <w:lang w:val="en-AU"/>
              </w:rPr>
            </w:pPr>
            <w:r>
              <w:rPr>
                <w:b/>
                <w:i/>
                <w:lang w:val="en-AU"/>
              </w:rPr>
              <w:t>Cancellation Fee</w:t>
            </w:r>
          </w:p>
        </w:tc>
      </w:tr>
      <w:tr w:rsidR="000D07EA" w14:paraId="6BB6E938" w14:textId="77777777">
        <w:trPr>
          <w:cantSplit/>
          <w:tblHeader/>
        </w:trPr>
        <w:tc>
          <w:tcPr>
            <w:tcW w:w="1953" w:type="pct"/>
            <w:vMerge/>
          </w:tcPr>
          <w:p w14:paraId="186E9C26" w14:textId="77777777" w:rsidR="000D07EA" w:rsidRDefault="000D07EA">
            <w:pPr>
              <w:pStyle w:val="BodyText"/>
              <w:keepNext/>
              <w:spacing w:before="100" w:after="100"/>
              <w:jc w:val="center"/>
              <w:rPr>
                <w:b/>
                <w:lang w:val="en-AU"/>
              </w:rPr>
            </w:pPr>
          </w:p>
        </w:tc>
        <w:tc>
          <w:tcPr>
            <w:tcW w:w="3047" w:type="pct"/>
            <w:gridSpan w:val="4"/>
            <w:vAlign w:val="center"/>
          </w:tcPr>
          <w:p w14:paraId="66692B81" w14:textId="77777777" w:rsidR="000D07EA" w:rsidRDefault="00BE7C89">
            <w:pPr>
              <w:pStyle w:val="BodyText"/>
              <w:keepNext/>
              <w:spacing w:before="100" w:after="100"/>
              <w:jc w:val="center"/>
              <w:rPr>
                <w:b/>
                <w:bCs/>
                <w:lang w:val="en-AU" w:eastAsia="en-AU"/>
              </w:rPr>
            </w:pPr>
            <w:r>
              <w:rPr>
                <w:b/>
                <w:bCs/>
                <w:lang w:val="en-AU" w:eastAsia="en-AU"/>
              </w:rPr>
              <w:t>Business Timeless Plans – 24 Month Contract</w:t>
            </w:r>
          </w:p>
        </w:tc>
      </w:tr>
      <w:tr w:rsidR="000D07EA" w14:paraId="45C156B1" w14:textId="77777777">
        <w:trPr>
          <w:tblHeader/>
        </w:trPr>
        <w:tc>
          <w:tcPr>
            <w:tcW w:w="1953" w:type="pct"/>
          </w:tcPr>
          <w:p w14:paraId="631DEC8C" w14:textId="77777777" w:rsidR="000D07EA" w:rsidRDefault="000D07EA">
            <w:pPr>
              <w:pStyle w:val="BodyText"/>
              <w:keepNext/>
              <w:spacing w:before="100" w:after="100"/>
              <w:rPr>
                <w:lang w:val="en-AU"/>
              </w:rPr>
            </w:pPr>
          </w:p>
        </w:tc>
        <w:tc>
          <w:tcPr>
            <w:tcW w:w="762" w:type="pct"/>
          </w:tcPr>
          <w:p w14:paraId="0E08A395" w14:textId="77777777" w:rsidR="000D07EA" w:rsidRDefault="00BE7C89">
            <w:pPr>
              <w:pStyle w:val="BodyText"/>
              <w:keepNext/>
              <w:spacing w:before="100" w:after="100"/>
              <w:jc w:val="center"/>
              <w:rPr>
                <w:b/>
                <w:lang w:val="en-AU"/>
              </w:rPr>
            </w:pPr>
            <w:r>
              <w:rPr>
                <w:b/>
                <w:bCs/>
                <w:lang w:val="en-AU" w:eastAsia="en-AU"/>
              </w:rPr>
              <w:t>$99 Business Timeless</w:t>
            </w:r>
          </w:p>
        </w:tc>
        <w:tc>
          <w:tcPr>
            <w:tcW w:w="762" w:type="pct"/>
          </w:tcPr>
          <w:p w14:paraId="7C78541B" w14:textId="77777777" w:rsidR="000D07EA" w:rsidRDefault="00BE7C89">
            <w:pPr>
              <w:pStyle w:val="BodyText"/>
              <w:keepNext/>
              <w:spacing w:before="100" w:after="100"/>
              <w:jc w:val="center"/>
              <w:rPr>
                <w:b/>
                <w:lang w:val="en-AU"/>
              </w:rPr>
            </w:pPr>
            <w:r>
              <w:rPr>
                <w:b/>
                <w:bCs/>
                <w:lang w:val="en-AU" w:eastAsia="en-AU"/>
              </w:rPr>
              <w:t>$129 Business Timeless</w:t>
            </w:r>
          </w:p>
        </w:tc>
        <w:tc>
          <w:tcPr>
            <w:tcW w:w="762" w:type="pct"/>
          </w:tcPr>
          <w:p w14:paraId="2F3F8CDE" w14:textId="77777777" w:rsidR="000D07EA" w:rsidRDefault="00BE7C89">
            <w:pPr>
              <w:pStyle w:val="BodyText"/>
              <w:keepNext/>
              <w:spacing w:before="100" w:after="100"/>
              <w:jc w:val="center"/>
              <w:rPr>
                <w:b/>
                <w:bCs/>
                <w:lang w:val="en-AU" w:eastAsia="en-AU"/>
              </w:rPr>
            </w:pPr>
            <w:r>
              <w:rPr>
                <w:b/>
                <w:bCs/>
                <w:lang w:val="en-AU" w:eastAsia="en-AU"/>
              </w:rPr>
              <w:t>$99 Business Timeless (Premium H/set)</w:t>
            </w:r>
          </w:p>
        </w:tc>
        <w:tc>
          <w:tcPr>
            <w:tcW w:w="762" w:type="pct"/>
          </w:tcPr>
          <w:p w14:paraId="340BDA45" w14:textId="77777777" w:rsidR="000D07EA" w:rsidRDefault="00BE7C89">
            <w:pPr>
              <w:pStyle w:val="BodyText"/>
              <w:keepNext/>
              <w:spacing w:before="100" w:after="100"/>
              <w:jc w:val="center"/>
              <w:rPr>
                <w:b/>
                <w:bCs/>
                <w:lang w:val="en-AU" w:eastAsia="en-AU"/>
              </w:rPr>
            </w:pPr>
            <w:r>
              <w:rPr>
                <w:b/>
                <w:bCs/>
                <w:lang w:val="en-AU" w:eastAsia="en-AU"/>
              </w:rPr>
              <w:t>$129 Business Timeless (Premium H/set)</w:t>
            </w:r>
          </w:p>
        </w:tc>
      </w:tr>
      <w:tr w:rsidR="000D07EA" w14:paraId="6EAA419D" w14:textId="77777777">
        <w:tc>
          <w:tcPr>
            <w:tcW w:w="1953" w:type="pct"/>
          </w:tcPr>
          <w:p w14:paraId="2527A509" w14:textId="77777777" w:rsidR="000D07EA" w:rsidRDefault="00BE7C89">
            <w:pPr>
              <w:pStyle w:val="BodyText"/>
              <w:spacing w:before="100" w:after="100"/>
              <w:rPr>
                <w:b/>
                <w:lang w:val="en-AU"/>
              </w:rPr>
            </w:pPr>
            <w:r>
              <w:rPr>
                <w:b/>
                <w:lang w:val="en-AU"/>
              </w:rPr>
              <w:t xml:space="preserve">During the first 12 months – Initial </w:t>
            </w:r>
            <w:r>
              <w:rPr>
                <w:b/>
                <w:i/>
                <w:lang w:val="en-AU"/>
              </w:rPr>
              <w:t>cancellation</w:t>
            </w:r>
            <w:r>
              <w:rPr>
                <w:b/>
                <w:lang w:val="en-AU"/>
              </w:rPr>
              <w:t xml:space="preserve"> </w:t>
            </w:r>
            <w:r>
              <w:rPr>
                <w:b/>
                <w:i/>
                <w:lang w:val="en-AU"/>
              </w:rPr>
              <w:t>fee</w:t>
            </w:r>
          </w:p>
        </w:tc>
        <w:tc>
          <w:tcPr>
            <w:tcW w:w="762" w:type="pct"/>
          </w:tcPr>
          <w:p w14:paraId="7CF310D9" w14:textId="77777777" w:rsidR="000D07EA" w:rsidRDefault="00BE7C89">
            <w:pPr>
              <w:pStyle w:val="BodyText"/>
              <w:spacing w:before="100" w:after="100"/>
              <w:jc w:val="center"/>
              <w:rPr>
                <w:lang w:val="en-AU"/>
              </w:rPr>
            </w:pPr>
            <w:r>
              <w:rPr>
                <w:lang w:val="en-AU"/>
              </w:rPr>
              <w:t>$830</w:t>
            </w:r>
          </w:p>
        </w:tc>
        <w:tc>
          <w:tcPr>
            <w:tcW w:w="762" w:type="pct"/>
          </w:tcPr>
          <w:p w14:paraId="13DA5915" w14:textId="77777777" w:rsidR="000D07EA" w:rsidRDefault="00BE7C89">
            <w:pPr>
              <w:pStyle w:val="BodyText"/>
              <w:spacing w:before="100" w:after="100"/>
              <w:jc w:val="center"/>
              <w:rPr>
                <w:lang w:val="en-AU"/>
              </w:rPr>
            </w:pPr>
            <w:r>
              <w:rPr>
                <w:lang w:val="en-AU"/>
              </w:rPr>
              <w:t>$840</w:t>
            </w:r>
          </w:p>
        </w:tc>
        <w:tc>
          <w:tcPr>
            <w:tcW w:w="762" w:type="pct"/>
          </w:tcPr>
          <w:p w14:paraId="3A984509" w14:textId="77777777" w:rsidR="000D07EA" w:rsidRDefault="00BE7C89">
            <w:pPr>
              <w:pStyle w:val="BodyText"/>
              <w:spacing w:before="100" w:after="100"/>
              <w:jc w:val="center"/>
              <w:rPr>
                <w:lang w:val="en-AU"/>
              </w:rPr>
            </w:pPr>
            <w:r>
              <w:rPr>
                <w:lang w:val="en-AU"/>
              </w:rPr>
              <w:t>$1185</w:t>
            </w:r>
          </w:p>
        </w:tc>
        <w:tc>
          <w:tcPr>
            <w:tcW w:w="762" w:type="pct"/>
          </w:tcPr>
          <w:p w14:paraId="7E9D2BE7" w14:textId="77777777" w:rsidR="000D07EA" w:rsidRDefault="00BE7C89">
            <w:pPr>
              <w:pStyle w:val="BodyText"/>
              <w:spacing w:before="100" w:after="100"/>
              <w:jc w:val="center"/>
              <w:rPr>
                <w:lang w:val="en-AU"/>
              </w:rPr>
            </w:pPr>
            <w:r>
              <w:rPr>
                <w:lang w:val="en-AU"/>
              </w:rPr>
              <w:t>$1205</w:t>
            </w:r>
          </w:p>
        </w:tc>
      </w:tr>
      <w:tr w:rsidR="000D07EA" w14:paraId="45A82799" w14:textId="77777777">
        <w:tc>
          <w:tcPr>
            <w:tcW w:w="1953" w:type="pct"/>
          </w:tcPr>
          <w:p w14:paraId="14A41840" w14:textId="77777777" w:rsidR="000D07EA" w:rsidRDefault="00BE7C89">
            <w:pPr>
              <w:pStyle w:val="BodyText"/>
              <w:spacing w:before="100" w:after="100"/>
              <w:rPr>
                <w:b/>
                <w:lang w:val="en-AU"/>
              </w:rPr>
            </w:pPr>
            <w:r>
              <w:rPr>
                <w:b/>
                <w:lang w:val="en-AU"/>
              </w:rPr>
              <w:t xml:space="preserve">Months 13 - 15 (80% of Initial </w:t>
            </w:r>
            <w:r>
              <w:rPr>
                <w:b/>
                <w:i/>
                <w:lang w:val="en-AU"/>
              </w:rPr>
              <w:t>cancellation</w:t>
            </w:r>
            <w:r>
              <w:rPr>
                <w:b/>
                <w:lang w:val="en-AU"/>
              </w:rPr>
              <w:t xml:space="preserve"> </w:t>
            </w:r>
            <w:r>
              <w:rPr>
                <w:b/>
                <w:i/>
                <w:lang w:val="en-AU"/>
              </w:rPr>
              <w:t>fee</w:t>
            </w:r>
            <w:r>
              <w:rPr>
                <w:b/>
                <w:lang w:val="en-AU"/>
              </w:rPr>
              <w:t>)</w:t>
            </w:r>
          </w:p>
        </w:tc>
        <w:tc>
          <w:tcPr>
            <w:tcW w:w="762" w:type="pct"/>
          </w:tcPr>
          <w:p w14:paraId="76431E99" w14:textId="77777777" w:rsidR="000D07EA" w:rsidRDefault="00BE7C89">
            <w:pPr>
              <w:pStyle w:val="BodyText"/>
              <w:spacing w:before="100" w:after="100"/>
              <w:jc w:val="center"/>
              <w:rPr>
                <w:lang w:val="en-AU"/>
              </w:rPr>
            </w:pPr>
            <w:r>
              <w:rPr>
                <w:lang w:val="en-AU"/>
              </w:rPr>
              <w:t>$664</w:t>
            </w:r>
          </w:p>
        </w:tc>
        <w:tc>
          <w:tcPr>
            <w:tcW w:w="762" w:type="pct"/>
          </w:tcPr>
          <w:p w14:paraId="07F9BB23" w14:textId="77777777" w:rsidR="000D07EA" w:rsidRDefault="00BE7C89">
            <w:pPr>
              <w:pStyle w:val="BodyText"/>
              <w:spacing w:before="100" w:after="100"/>
              <w:jc w:val="center"/>
              <w:rPr>
                <w:lang w:val="en-AU"/>
              </w:rPr>
            </w:pPr>
            <w:r>
              <w:rPr>
                <w:lang w:val="en-AU"/>
              </w:rPr>
              <w:t>$672</w:t>
            </w:r>
          </w:p>
        </w:tc>
        <w:tc>
          <w:tcPr>
            <w:tcW w:w="762" w:type="pct"/>
          </w:tcPr>
          <w:p w14:paraId="128CE264" w14:textId="77777777" w:rsidR="000D07EA" w:rsidRDefault="00BE7C89">
            <w:pPr>
              <w:pStyle w:val="BodyText"/>
              <w:spacing w:before="100" w:after="100"/>
              <w:jc w:val="center"/>
              <w:rPr>
                <w:lang w:val="en-AU"/>
              </w:rPr>
            </w:pPr>
            <w:r>
              <w:rPr>
                <w:lang w:val="en-AU"/>
              </w:rPr>
              <w:t>$948</w:t>
            </w:r>
          </w:p>
        </w:tc>
        <w:tc>
          <w:tcPr>
            <w:tcW w:w="762" w:type="pct"/>
          </w:tcPr>
          <w:p w14:paraId="41D5E467" w14:textId="77777777" w:rsidR="000D07EA" w:rsidRDefault="00BE7C89">
            <w:pPr>
              <w:pStyle w:val="BodyText"/>
              <w:spacing w:before="100" w:after="100"/>
              <w:jc w:val="center"/>
              <w:rPr>
                <w:lang w:val="en-AU"/>
              </w:rPr>
            </w:pPr>
            <w:r>
              <w:rPr>
                <w:lang w:val="en-AU"/>
              </w:rPr>
              <w:t>$964</w:t>
            </w:r>
          </w:p>
        </w:tc>
      </w:tr>
      <w:tr w:rsidR="000D07EA" w14:paraId="357D1902" w14:textId="77777777">
        <w:tc>
          <w:tcPr>
            <w:tcW w:w="1953" w:type="pct"/>
          </w:tcPr>
          <w:p w14:paraId="5F03ECCD" w14:textId="77777777" w:rsidR="000D07EA" w:rsidRDefault="00BE7C89">
            <w:pPr>
              <w:pStyle w:val="BodyText"/>
              <w:spacing w:before="100" w:after="100"/>
              <w:rPr>
                <w:b/>
              </w:rPr>
            </w:pPr>
            <w:r>
              <w:rPr>
                <w:b/>
                <w:lang w:val="en-AU"/>
              </w:rPr>
              <w:t xml:space="preserve">Months 16 – 18 (60% of the Initial </w:t>
            </w:r>
            <w:r>
              <w:rPr>
                <w:b/>
                <w:i/>
                <w:lang w:val="en-AU"/>
              </w:rPr>
              <w:t>cancellation</w:t>
            </w:r>
            <w:r>
              <w:rPr>
                <w:b/>
                <w:lang w:val="en-AU"/>
              </w:rPr>
              <w:t xml:space="preserve"> </w:t>
            </w:r>
            <w:r>
              <w:rPr>
                <w:b/>
                <w:i/>
                <w:lang w:val="en-AU"/>
              </w:rPr>
              <w:t>fee</w:t>
            </w:r>
            <w:r>
              <w:rPr>
                <w:b/>
                <w:lang w:val="en-AU"/>
              </w:rPr>
              <w:t>)</w:t>
            </w:r>
          </w:p>
        </w:tc>
        <w:tc>
          <w:tcPr>
            <w:tcW w:w="762" w:type="pct"/>
          </w:tcPr>
          <w:p w14:paraId="34A0549B" w14:textId="77777777" w:rsidR="000D07EA" w:rsidRDefault="00BE7C89">
            <w:pPr>
              <w:pStyle w:val="BodyText"/>
              <w:spacing w:before="100" w:after="100"/>
              <w:jc w:val="center"/>
              <w:rPr>
                <w:lang w:val="en-AU"/>
              </w:rPr>
            </w:pPr>
            <w:r>
              <w:rPr>
                <w:lang w:val="en-AU"/>
              </w:rPr>
              <w:t>$498</w:t>
            </w:r>
          </w:p>
        </w:tc>
        <w:tc>
          <w:tcPr>
            <w:tcW w:w="762" w:type="pct"/>
          </w:tcPr>
          <w:p w14:paraId="05DA99E0" w14:textId="77777777" w:rsidR="000D07EA" w:rsidRDefault="00BE7C89">
            <w:pPr>
              <w:pStyle w:val="BodyText"/>
              <w:spacing w:before="100" w:after="100"/>
              <w:jc w:val="center"/>
              <w:rPr>
                <w:lang w:val="en-AU"/>
              </w:rPr>
            </w:pPr>
            <w:r>
              <w:rPr>
                <w:lang w:val="en-AU"/>
              </w:rPr>
              <w:t>$504</w:t>
            </w:r>
          </w:p>
        </w:tc>
        <w:tc>
          <w:tcPr>
            <w:tcW w:w="762" w:type="pct"/>
          </w:tcPr>
          <w:p w14:paraId="2E4DD881" w14:textId="77777777" w:rsidR="000D07EA" w:rsidRDefault="00BE7C89">
            <w:pPr>
              <w:pStyle w:val="BodyText"/>
              <w:spacing w:before="100" w:after="100"/>
              <w:jc w:val="center"/>
              <w:rPr>
                <w:lang w:val="en-AU"/>
              </w:rPr>
            </w:pPr>
            <w:r>
              <w:rPr>
                <w:lang w:val="en-AU"/>
              </w:rPr>
              <w:t>$711</w:t>
            </w:r>
          </w:p>
        </w:tc>
        <w:tc>
          <w:tcPr>
            <w:tcW w:w="762" w:type="pct"/>
          </w:tcPr>
          <w:p w14:paraId="7B779431" w14:textId="77777777" w:rsidR="000D07EA" w:rsidRDefault="00BE7C89">
            <w:pPr>
              <w:pStyle w:val="BodyText"/>
              <w:spacing w:before="100" w:after="100"/>
              <w:jc w:val="center"/>
              <w:rPr>
                <w:lang w:val="en-AU"/>
              </w:rPr>
            </w:pPr>
            <w:r>
              <w:rPr>
                <w:lang w:val="en-AU"/>
              </w:rPr>
              <w:t>$723</w:t>
            </w:r>
          </w:p>
        </w:tc>
      </w:tr>
      <w:tr w:rsidR="000D07EA" w14:paraId="7178D112" w14:textId="77777777">
        <w:tc>
          <w:tcPr>
            <w:tcW w:w="1953" w:type="pct"/>
          </w:tcPr>
          <w:p w14:paraId="1B352949" w14:textId="77777777" w:rsidR="000D07EA" w:rsidRDefault="00BE7C89">
            <w:pPr>
              <w:pStyle w:val="BodyText"/>
              <w:spacing w:before="100" w:after="100"/>
              <w:rPr>
                <w:b/>
                <w:lang w:val="en-AU"/>
              </w:rPr>
            </w:pPr>
            <w:r>
              <w:rPr>
                <w:b/>
                <w:lang w:val="en-AU"/>
              </w:rPr>
              <w:t xml:space="preserve">Months 19 – 21 (60% of the Initial </w:t>
            </w:r>
            <w:r>
              <w:rPr>
                <w:b/>
                <w:i/>
                <w:lang w:val="en-AU"/>
              </w:rPr>
              <w:t>cancellation</w:t>
            </w:r>
            <w:r>
              <w:rPr>
                <w:b/>
                <w:lang w:val="en-AU"/>
              </w:rPr>
              <w:t xml:space="preserve"> </w:t>
            </w:r>
            <w:r>
              <w:rPr>
                <w:b/>
                <w:i/>
                <w:lang w:val="en-AU"/>
              </w:rPr>
              <w:t>fee</w:t>
            </w:r>
            <w:r>
              <w:rPr>
                <w:b/>
                <w:lang w:val="en-AU"/>
              </w:rPr>
              <w:t>)</w:t>
            </w:r>
          </w:p>
        </w:tc>
        <w:tc>
          <w:tcPr>
            <w:tcW w:w="762" w:type="pct"/>
          </w:tcPr>
          <w:p w14:paraId="617D9AE7" w14:textId="77777777" w:rsidR="000D07EA" w:rsidRDefault="00BE7C89">
            <w:pPr>
              <w:pStyle w:val="BodyText"/>
              <w:spacing w:before="100" w:after="100"/>
              <w:jc w:val="center"/>
              <w:rPr>
                <w:lang w:val="en-AU"/>
              </w:rPr>
            </w:pPr>
            <w:r>
              <w:rPr>
                <w:lang w:val="en-AU"/>
              </w:rPr>
              <w:t>$332</w:t>
            </w:r>
          </w:p>
        </w:tc>
        <w:tc>
          <w:tcPr>
            <w:tcW w:w="762" w:type="pct"/>
          </w:tcPr>
          <w:p w14:paraId="2AAC7167" w14:textId="77777777" w:rsidR="000D07EA" w:rsidRDefault="00BE7C89">
            <w:pPr>
              <w:pStyle w:val="BodyText"/>
              <w:spacing w:before="100" w:after="100"/>
              <w:jc w:val="center"/>
              <w:rPr>
                <w:lang w:val="en-AU"/>
              </w:rPr>
            </w:pPr>
            <w:r>
              <w:rPr>
                <w:lang w:val="en-AU"/>
              </w:rPr>
              <w:t>$336</w:t>
            </w:r>
          </w:p>
        </w:tc>
        <w:tc>
          <w:tcPr>
            <w:tcW w:w="762" w:type="pct"/>
          </w:tcPr>
          <w:p w14:paraId="34873BF5" w14:textId="77777777" w:rsidR="000D07EA" w:rsidRDefault="00BE7C89">
            <w:pPr>
              <w:pStyle w:val="BodyText"/>
              <w:spacing w:before="100" w:after="100"/>
              <w:jc w:val="center"/>
              <w:rPr>
                <w:lang w:val="en-AU"/>
              </w:rPr>
            </w:pPr>
            <w:r>
              <w:rPr>
                <w:lang w:val="en-AU"/>
              </w:rPr>
              <w:t>$474</w:t>
            </w:r>
          </w:p>
        </w:tc>
        <w:tc>
          <w:tcPr>
            <w:tcW w:w="762" w:type="pct"/>
          </w:tcPr>
          <w:p w14:paraId="4314010B" w14:textId="77777777" w:rsidR="000D07EA" w:rsidRDefault="00BE7C89">
            <w:pPr>
              <w:pStyle w:val="BodyText"/>
              <w:spacing w:before="100" w:after="100"/>
              <w:jc w:val="center"/>
              <w:rPr>
                <w:lang w:val="en-AU"/>
              </w:rPr>
            </w:pPr>
            <w:r>
              <w:rPr>
                <w:lang w:val="en-AU"/>
              </w:rPr>
              <w:t>$482</w:t>
            </w:r>
          </w:p>
        </w:tc>
      </w:tr>
      <w:tr w:rsidR="000D07EA" w14:paraId="422383BA" w14:textId="77777777">
        <w:tc>
          <w:tcPr>
            <w:tcW w:w="1953" w:type="pct"/>
          </w:tcPr>
          <w:p w14:paraId="42F983B8" w14:textId="77777777" w:rsidR="000D07EA" w:rsidRDefault="00BE7C89">
            <w:pPr>
              <w:pStyle w:val="BodyText"/>
              <w:spacing w:before="100" w:after="100"/>
              <w:rPr>
                <w:b/>
                <w:lang w:val="en-AU"/>
              </w:rPr>
            </w:pPr>
            <w:r>
              <w:rPr>
                <w:b/>
                <w:lang w:val="en-AU"/>
              </w:rPr>
              <w:t xml:space="preserve">Months 22 – 24 (20% of the Initial </w:t>
            </w:r>
            <w:r>
              <w:rPr>
                <w:b/>
                <w:i/>
                <w:lang w:val="en-AU"/>
              </w:rPr>
              <w:t>cancellation</w:t>
            </w:r>
            <w:r>
              <w:rPr>
                <w:b/>
                <w:lang w:val="en-AU"/>
              </w:rPr>
              <w:t xml:space="preserve"> </w:t>
            </w:r>
            <w:r>
              <w:rPr>
                <w:b/>
                <w:i/>
                <w:lang w:val="en-AU"/>
              </w:rPr>
              <w:t>fee</w:t>
            </w:r>
            <w:r>
              <w:rPr>
                <w:b/>
                <w:lang w:val="en-AU"/>
              </w:rPr>
              <w:t>)</w:t>
            </w:r>
          </w:p>
        </w:tc>
        <w:tc>
          <w:tcPr>
            <w:tcW w:w="762" w:type="pct"/>
          </w:tcPr>
          <w:p w14:paraId="793EFE23" w14:textId="77777777" w:rsidR="000D07EA" w:rsidRDefault="00BE7C89">
            <w:pPr>
              <w:pStyle w:val="BodyText"/>
              <w:spacing w:before="100" w:after="100"/>
              <w:jc w:val="center"/>
              <w:rPr>
                <w:lang w:val="en-AU"/>
              </w:rPr>
            </w:pPr>
            <w:r>
              <w:rPr>
                <w:lang w:val="en-AU"/>
              </w:rPr>
              <w:t>$166</w:t>
            </w:r>
          </w:p>
        </w:tc>
        <w:tc>
          <w:tcPr>
            <w:tcW w:w="762" w:type="pct"/>
          </w:tcPr>
          <w:p w14:paraId="00A86BD2" w14:textId="77777777" w:rsidR="000D07EA" w:rsidRDefault="00BE7C89">
            <w:pPr>
              <w:pStyle w:val="BodyText"/>
              <w:spacing w:before="100" w:after="100"/>
              <w:jc w:val="center"/>
              <w:rPr>
                <w:lang w:val="en-AU"/>
              </w:rPr>
            </w:pPr>
            <w:r>
              <w:rPr>
                <w:lang w:val="en-AU"/>
              </w:rPr>
              <w:t>$168</w:t>
            </w:r>
          </w:p>
        </w:tc>
        <w:tc>
          <w:tcPr>
            <w:tcW w:w="762" w:type="pct"/>
          </w:tcPr>
          <w:p w14:paraId="583D085E" w14:textId="77777777" w:rsidR="000D07EA" w:rsidRDefault="00BE7C89">
            <w:pPr>
              <w:pStyle w:val="BodyText"/>
              <w:spacing w:before="100" w:after="100"/>
              <w:jc w:val="center"/>
              <w:rPr>
                <w:lang w:val="en-AU"/>
              </w:rPr>
            </w:pPr>
            <w:r>
              <w:rPr>
                <w:lang w:val="en-AU"/>
              </w:rPr>
              <w:t>$237</w:t>
            </w:r>
          </w:p>
        </w:tc>
        <w:tc>
          <w:tcPr>
            <w:tcW w:w="762" w:type="pct"/>
          </w:tcPr>
          <w:p w14:paraId="3876D704" w14:textId="77777777" w:rsidR="000D07EA" w:rsidRDefault="00BE7C89">
            <w:pPr>
              <w:pStyle w:val="BodyText"/>
              <w:spacing w:before="100" w:after="100"/>
              <w:jc w:val="center"/>
              <w:rPr>
                <w:lang w:val="en-AU"/>
              </w:rPr>
            </w:pPr>
            <w:r>
              <w:rPr>
                <w:lang w:val="en-AU"/>
              </w:rPr>
              <w:t>$241</w:t>
            </w:r>
          </w:p>
        </w:tc>
      </w:tr>
    </w:tbl>
    <w:p w14:paraId="67815727" w14:textId="77777777" w:rsidR="000D07EA" w:rsidRDefault="000D07EA">
      <w:pPr>
        <w:pStyle w:val="BodyText"/>
        <w:rPr>
          <w:lang w:val="en-AU"/>
        </w:rPr>
      </w:pPr>
    </w:p>
    <w:p w14:paraId="67F9522D" w14:textId="77777777" w:rsidR="000D07EA" w:rsidRDefault="00BE7C89">
      <w:pPr>
        <w:pStyle w:val="Heading6"/>
        <w:ind w:left="0" w:firstLine="0"/>
        <w:rPr>
          <w:lang w:val="en-AU"/>
        </w:rPr>
      </w:pPr>
      <w:bookmarkStart w:id="526" w:name="_Toc294167171"/>
      <w:bookmarkStart w:id="527" w:name="_Toc397941202"/>
      <w:r>
        <w:rPr>
          <w:lang w:val="en-AU"/>
        </w:rPr>
        <w:t>$129 Business Timeless /(Premium H/set) Recontracting Rules</w:t>
      </w:r>
      <w:bookmarkEnd w:id="526"/>
      <w:bookmarkEnd w:id="527"/>
    </w:p>
    <w:p w14:paraId="62D26E79" w14:textId="77777777" w:rsidR="000D07EA" w:rsidRDefault="00BE7C89">
      <w:pPr>
        <w:pStyle w:val="Heading7"/>
        <w:rPr>
          <w:lang w:val="en-AU"/>
        </w:rPr>
      </w:pPr>
      <w:r>
        <w:rPr>
          <w:lang w:val="en-AU"/>
        </w:rPr>
        <w:t>From May 1</w:t>
      </w:r>
      <w:r>
        <w:rPr>
          <w:vertAlign w:val="superscript"/>
          <w:lang w:val="en-AU"/>
        </w:rPr>
        <w:t>st</w:t>
      </w:r>
      <w:r>
        <w:rPr>
          <w:lang w:val="en-AU"/>
        </w:rPr>
        <w:t xml:space="preserve"> 2011, customers who commit to a new $129 Business Timeless /(Premium H/set) plan on a 24 month term are able to recontract onto a new 24 month minimum term with handset after completing 12 months of their 24 month minimum term. The below conditions outlined in points </w:t>
      </w:r>
      <w:r>
        <w:rPr>
          <w:lang w:val="en-AU"/>
        </w:rPr>
        <w:fldChar w:fldCharType="begin"/>
      </w:r>
      <w:r>
        <w:rPr>
          <w:lang w:val="en-AU"/>
        </w:rPr>
        <w:instrText xml:space="preserve"> REF _Ref461551946 \n \h </w:instrText>
      </w:r>
      <w:r>
        <w:rPr>
          <w:lang w:val="en-AU"/>
        </w:rPr>
      </w:r>
      <w:r>
        <w:rPr>
          <w:lang w:val="en-AU"/>
        </w:rPr>
        <w:fldChar w:fldCharType="separate"/>
      </w:r>
      <w:r w:rsidR="0004083A">
        <w:rPr>
          <w:lang w:val="en-AU"/>
        </w:rPr>
        <w:t>(i)</w:t>
      </w:r>
      <w:r>
        <w:rPr>
          <w:lang w:val="en-AU"/>
        </w:rPr>
        <w:fldChar w:fldCharType="end"/>
      </w:r>
      <w:r>
        <w:rPr>
          <w:lang w:val="en-AU"/>
        </w:rPr>
        <w:t xml:space="preserve">, </w:t>
      </w:r>
      <w:r>
        <w:rPr>
          <w:lang w:val="en-AU"/>
        </w:rPr>
        <w:fldChar w:fldCharType="begin"/>
      </w:r>
      <w:r>
        <w:rPr>
          <w:lang w:val="en-AU"/>
        </w:rPr>
        <w:instrText xml:space="preserve"> REF _Ref461551952 \n \h </w:instrText>
      </w:r>
      <w:r>
        <w:rPr>
          <w:lang w:val="en-AU"/>
        </w:rPr>
      </w:r>
      <w:r>
        <w:rPr>
          <w:lang w:val="en-AU"/>
        </w:rPr>
        <w:fldChar w:fldCharType="separate"/>
      </w:r>
      <w:r w:rsidR="0004083A">
        <w:rPr>
          <w:lang w:val="en-AU"/>
        </w:rPr>
        <w:t>(ii)</w:t>
      </w:r>
      <w:r>
        <w:rPr>
          <w:lang w:val="en-AU"/>
        </w:rPr>
        <w:fldChar w:fldCharType="end"/>
      </w:r>
      <w:r>
        <w:rPr>
          <w:lang w:val="en-AU"/>
        </w:rPr>
        <w:t xml:space="preserve"> and </w:t>
      </w:r>
      <w:r>
        <w:rPr>
          <w:lang w:val="en-AU"/>
        </w:rPr>
        <w:fldChar w:fldCharType="begin"/>
      </w:r>
      <w:r>
        <w:rPr>
          <w:lang w:val="en-AU"/>
        </w:rPr>
        <w:instrText xml:space="preserve"> REF _Ref461551959 \n \h </w:instrText>
      </w:r>
      <w:r>
        <w:rPr>
          <w:lang w:val="en-AU"/>
        </w:rPr>
      </w:r>
      <w:r>
        <w:rPr>
          <w:lang w:val="en-AU"/>
        </w:rPr>
        <w:fldChar w:fldCharType="separate"/>
      </w:r>
      <w:r w:rsidR="0004083A">
        <w:rPr>
          <w:lang w:val="en-AU"/>
        </w:rPr>
        <w:t>(iii)</w:t>
      </w:r>
      <w:r>
        <w:rPr>
          <w:lang w:val="en-AU"/>
        </w:rPr>
        <w:fldChar w:fldCharType="end"/>
      </w:r>
      <w:r>
        <w:rPr>
          <w:lang w:val="en-AU"/>
        </w:rPr>
        <w:t xml:space="preserve"> below must also be met. Services that do not meet below conditions may be charged the cancellation fee outlined in Table 4A:</w:t>
      </w:r>
    </w:p>
    <w:p w14:paraId="3DE507E6" w14:textId="77777777" w:rsidR="000D07EA" w:rsidRDefault="00BE7C89">
      <w:pPr>
        <w:pStyle w:val="Heading8"/>
        <w:rPr>
          <w:lang w:val="en-AU"/>
        </w:rPr>
      </w:pPr>
      <w:bookmarkStart w:id="528" w:name="_Ref461551946"/>
      <w:r>
        <w:rPr>
          <w:lang w:val="en-AU"/>
        </w:rPr>
        <w:lastRenderedPageBreak/>
        <w:t>Service must be contracted to/billing onto a SMB mobile plan with a minimum commitment of $129 per month for the previous consecutive 12 months.</w:t>
      </w:r>
      <w:bookmarkEnd w:id="528"/>
    </w:p>
    <w:p w14:paraId="166CEAA2" w14:textId="77777777" w:rsidR="000D07EA" w:rsidRDefault="00BE7C89">
      <w:pPr>
        <w:pStyle w:val="Heading8"/>
        <w:rPr>
          <w:lang w:val="en-AU"/>
        </w:rPr>
      </w:pPr>
      <w:bookmarkStart w:id="529" w:name="_Ref461551952"/>
      <w:r>
        <w:rPr>
          <w:lang w:val="en-AU"/>
        </w:rPr>
        <w:t>Service must have completed at least month 12 of their 24 month minimum term.</w:t>
      </w:r>
      <w:bookmarkEnd w:id="529"/>
    </w:p>
    <w:p w14:paraId="6B7207CA" w14:textId="77777777" w:rsidR="000D07EA" w:rsidRDefault="00BE7C89">
      <w:pPr>
        <w:pStyle w:val="Heading8"/>
        <w:rPr>
          <w:lang w:val="en-AU" w:eastAsia="en-AU"/>
        </w:rPr>
      </w:pPr>
      <w:bookmarkStart w:id="530" w:name="_Ref461551959"/>
      <w:r>
        <w:rPr>
          <w:lang w:val="en-AU" w:eastAsia="en-AU"/>
        </w:rPr>
        <w:t>Service must commit to a new 24 month minimum term on a rate plan with a minimum commitment of $129 per month.</w:t>
      </w:r>
      <w:bookmarkEnd w:id="530"/>
    </w:p>
    <w:p w14:paraId="10A1C067" w14:textId="77777777" w:rsidR="000D07EA" w:rsidRDefault="00BE7C89">
      <w:pPr>
        <w:pStyle w:val="Heading4"/>
        <w:rPr>
          <w:lang w:val="en-AU"/>
        </w:rPr>
      </w:pPr>
      <w:bookmarkStart w:id="531" w:name="_Toc306091577"/>
      <w:bookmarkStart w:id="532" w:name="_Toc306967548"/>
      <w:bookmarkStart w:id="533" w:name="_Toc397941203"/>
      <w:bookmarkStart w:id="534" w:name="_Toc455147616"/>
      <w:bookmarkStart w:id="535" w:name="_Toc62644638"/>
      <w:r>
        <w:rPr>
          <w:lang w:val="en-AU"/>
        </w:rPr>
        <w:t>Business Complete (Nov-11 Premium H/set) plans incorporating $49 Business Complete (Nov-11 - Premium H/set), $59 business complete (Nov-11 - Premium H/set) and $79 Business Complete (Nov-11 - Premium H/set) effective from 14 October 2011.</w:t>
      </w:r>
      <w:bookmarkEnd w:id="531"/>
      <w:bookmarkEnd w:id="532"/>
      <w:bookmarkEnd w:id="533"/>
      <w:bookmarkEnd w:id="534"/>
      <w:bookmarkEnd w:id="535"/>
    </w:p>
    <w:p w14:paraId="285EF82D" w14:textId="77777777" w:rsidR="000D07EA" w:rsidRDefault="00BE7C89">
      <w:pPr>
        <w:pStyle w:val="Heading6"/>
        <w:ind w:left="0" w:firstLine="0"/>
        <w:rPr>
          <w:lang w:val="en-AU"/>
        </w:rPr>
      </w:pPr>
      <w:bookmarkStart w:id="536" w:name="_Toc306091578"/>
      <w:bookmarkStart w:id="537" w:name="_Toc306967549"/>
      <w:bookmarkStart w:id="538" w:name="_Toc397941204"/>
      <w:r>
        <w:rPr>
          <w:lang w:val="en-AU"/>
        </w:rPr>
        <w:t>What are the Business Complete Offers?</w:t>
      </w:r>
      <w:bookmarkEnd w:id="536"/>
      <w:bookmarkEnd w:id="537"/>
      <w:bookmarkEnd w:id="538"/>
    </w:p>
    <w:p w14:paraId="5E639822" w14:textId="77777777" w:rsidR="000D07EA" w:rsidRDefault="00BE7C89">
      <w:pPr>
        <w:pStyle w:val="Heading7"/>
        <w:rPr>
          <w:lang w:val="en-AU"/>
        </w:rPr>
      </w:pPr>
      <w:r>
        <w:rPr>
          <w:lang w:val="en-AU"/>
        </w:rPr>
        <w:t xml:space="preserve">The Business Complete Offers incorporate the Business Complete (Nov-11 Premium H/set) mobile plans and are a special offer under the </w:t>
      </w:r>
      <w:hyperlink r:id="rId368" w:history="1">
        <w:r>
          <w:rPr>
            <w:rStyle w:val="Hyperlink"/>
            <w:i/>
          </w:rPr>
          <w:t>SMB terms</w:t>
        </w:r>
      </w:hyperlink>
      <w:r>
        <w:rPr>
          <w:lang w:val="en-AU"/>
        </w:rPr>
        <w:t xml:space="preserve"> and relevant </w:t>
      </w:r>
      <w:r>
        <w:rPr>
          <w:i/>
          <w:lang w:val="en-AU"/>
        </w:rPr>
        <w:t>service descriptions</w:t>
      </w:r>
      <w:r>
        <w:rPr>
          <w:lang w:val="en-AU"/>
        </w:rPr>
        <w:t>.</w:t>
      </w:r>
    </w:p>
    <w:p w14:paraId="2DD03CA0" w14:textId="77777777" w:rsidR="000D07EA" w:rsidRDefault="00BE7C89">
      <w:pPr>
        <w:pStyle w:val="Heading7"/>
        <w:rPr>
          <w:lang w:val="en-AU"/>
        </w:rPr>
      </w:pPr>
      <w:r>
        <w:rPr>
          <w:lang w:val="en-AU"/>
        </w:rPr>
        <w:t xml:space="preserve">The Optus Business Complete Offers are governed by the terms in this </w:t>
      </w:r>
      <w:r>
        <w:rPr>
          <w:i/>
          <w:lang w:val="en-AU"/>
        </w:rPr>
        <w:t xml:space="preserve">appendix </w:t>
      </w:r>
      <w:r>
        <w:rPr>
          <w:lang w:val="en-AU"/>
        </w:rPr>
        <w:t xml:space="preserve">and, to the extent that the terms are not inconsistent with the terms set out in this </w:t>
      </w:r>
      <w:r>
        <w:rPr>
          <w:i/>
          <w:lang w:val="en-AU"/>
        </w:rPr>
        <w:t>appendix</w:t>
      </w:r>
      <w:r>
        <w:rPr>
          <w:lang w:val="en-AU"/>
        </w:rPr>
        <w:t>,</w:t>
      </w:r>
      <w:r>
        <w:rPr>
          <w:i/>
          <w:lang w:val="en-AU"/>
        </w:rPr>
        <w:t xml:space="preserve"> </w:t>
      </w:r>
      <w:r>
        <w:rPr>
          <w:lang w:val="en-AU"/>
        </w:rPr>
        <w:t xml:space="preserve">by the </w:t>
      </w:r>
      <w:hyperlink r:id="rId369" w:history="1">
        <w:r>
          <w:rPr>
            <w:rStyle w:val="Hyperlink"/>
            <w:i/>
          </w:rPr>
          <w:t>SMB terms</w:t>
        </w:r>
      </w:hyperlink>
      <w:r>
        <w:rPr>
          <w:lang w:val="en-AU"/>
        </w:rPr>
        <w:t xml:space="preserve">, and each relevant </w:t>
      </w:r>
      <w:r>
        <w:rPr>
          <w:i/>
          <w:lang w:val="en-AU"/>
        </w:rPr>
        <w:t xml:space="preserve">service description </w:t>
      </w:r>
      <w:r>
        <w:rPr>
          <w:lang w:val="en-AU"/>
        </w:rPr>
        <w:t xml:space="preserve">and </w:t>
      </w:r>
      <w:r>
        <w:rPr>
          <w:i/>
          <w:lang w:val="en-AU"/>
        </w:rPr>
        <w:t>standard pricing table</w:t>
      </w:r>
      <w:r>
        <w:rPr>
          <w:lang w:val="en-AU"/>
        </w:rPr>
        <w:t xml:space="preserve">. </w:t>
      </w:r>
    </w:p>
    <w:p w14:paraId="28B28BA9" w14:textId="77777777" w:rsidR="000D07EA" w:rsidRDefault="00BE7C89">
      <w:pPr>
        <w:pStyle w:val="Heading7"/>
        <w:rPr>
          <w:lang w:val="en-AU"/>
        </w:rPr>
      </w:pPr>
      <w:r>
        <w:rPr>
          <w:lang w:val="en-AU"/>
        </w:rPr>
        <w:t xml:space="preserve">A (Nov-11 Premium H/set) plan indicates a rate plan where a high value handset is available. </w:t>
      </w:r>
    </w:p>
    <w:p w14:paraId="64A49B73" w14:textId="77777777" w:rsidR="000D07EA" w:rsidRDefault="00BE7C89">
      <w:pPr>
        <w:pStyle w:val="Heading7"/>
        <w:rPr>
          <w:lang w:val="en-AU"/>
        </w:rPr>
      </w:pPr>
      <w:r>
        <w:rPr>
          <w:lang w:val="en-AU"/>
        </w:rPr>
        <w:t>In this section, where the term 'Business Complete' is used, it refers to the (Nov-11 Premium H/set) plans.</w:t>
      </w:r>
    </w:p>
    <w:p w14:paraId="19EC6871" w14:textId="77777777" w:rsidR="000D07EA" w:rsidRDefault="00BE7C89">
      <w:pPr>
        <w:pStyle w:val="Heading6"/>
        <w:ind w:left="0" w:firstLine="0"/>
        <w:rPr>
          <w:lang w:val="en-AU"/>
        </w:rPr>
      </w:pPr>
      <w:bookmarkStart w:id="539" w:name="_Toc306091579"/>
      <w:bookmarkStart w:id="540" w:name="_Toc306967550"/>
      <w:bookmarkStart w:id="541" w:name="_Toc397941205"/>
      <w:r>
        <w:rPr>
          <w:lang w:val="en-AU"/>
        </w:rPr>
        <w:t>What does the Optus Business Complete Offer allow you to do?</w:t>
      </w:r>
      <w:bookmarkEnd w:id="539"/>
      <w:bookmarkEnd w:id="540"/>
      <w:bookmarkEnd w:id="541"/>
    </w:p>
    <w:p w14:paraId="1D6F6C7A" w14:textId="77777777" w:rsidR="000D07EA" w:rsidRDefault="00BE7C89">
      <w:pPr>
        <w:pStyle w:val="Heading7"/>
        <w:rPr>
          <w:lang w:val="en-AU"/>
        </w:rPr>
      </w:pPr>
      <w:r>
        <w:rPr>
          <w:lang w:val="en-AU"/>
        </w:rPr>
        <w:t xml:space="preserve">Under the Business Complete Offer, </w:t>
      </w:r>
      <w:r>
        <w:rPr>
          <w:i/>
          <w:lang w:val="en-AU"/>
        </w:rPr>
        <w:t>you</w:t>
      </w:r>
      <w:r>
        <w:rPr>
          <w:lang w:val="en-AU"/>
        </w:rPr>
        <w:t xml:space="preserve"> may share included Mobile Internet Data Value between </w:t>
      </w:r>
      <w:r>
        <w:rPr>
          <w:i/>
          <w:lang w:val="en-AU"/>
        </w:rPr>
        <w:t>your</w:t>
      </w:r>
      <w:r>
        <w:rPr>
          <w:lang w:val="en-AU"/>
        </w:rPr>
        <w:t xml:space="preserve"> Optus Mobile Digital Service(s) and Business Mobile Broadband service(s), subject to the exception in paragraph </w:t>
      </w:r>
      <w:r>
        <w:rPr>
          <w:lang w:val="en-AU"/>
        </w:rPr>
        <w:fldChar w:fldCharType="begin"/>
      </w:r>
      <w:r>
        <w:rPr>
          <w:lang w:val="en-AU"/>
        </w:rPr>
        <w:instrText xml:space="preserve"> REF _Ref461552018 \n \h </w:instrText>
      </w:r>
      <w:r>
        <w:rPr>
          <w:lang w:val="en-AU"/>
        </w:rPr>
      </w:r>
      <w:r>
        <w:rPr>
          <w:lang w:val="en-AU"/>
        </w:rPr>
        <w:fldChar w:fldCharType="separate"/>
      </w:r>
      <w:r w:rsidR="0004083A">
        <w:rPr>
          <w:lang w:val="en-AU"/>
        </w:rPr>
        <w:t>(b)</w:t>
      </w:r>
      <w:r>
        <w:rPr>
          <w:lang w:val="en-AU"/>
        </w:rPr>
        <w:fldChar w:fldCharType="end"/>
      </w:r>
      <w:r>
        <w:rPr>
          <w:lang w:val="en-AU"/>
        </w:rPr>
        <w:t xml:space="preserve"> below.</w:t>
      </w:r>
    </w:p>
    <w:p w14:paraId="56A14B5A" w14:textId="77777777" w:rsidR="000D07EA" w:rsidRDefault="00BE7C89">
      <w:pPr>
        <w:pStyle w:val="Heading7"/>
        <w:rPr>
          <w:lang w:val="en-AU"/>
        </w:rPr>
      </w:pPr>
      <w:bookmarkStart w:id="542" w:name="_Ref461552018"/>
      <w:r>
        <w:rPr>
          <w:lang w:val="en-AU"/>
        </w:rPr>
        <w:t xml:space="preserve">Unlimited mobile access to Facebook®, Twitter, LinkedIn, Ebay, FourSquare and MySpace, within Australia cannot be shared and may be accessed on </w:t>
      </w:r>
      <w:r>
        <w:rPr>
          <w:i/>
          <w:lang w:val="en-AU"/>
        </w:rPr>
        <w:t>your</w:t>
      </w:r>
      <w:r>
        <w:rPr>
          <w:lang w:val="en-AU"/>
        </w:rPr>
        <w:t xml:space="preserve"> mobile handset only.</w:t>
      </w:r>
      <w:bookmarkEnd w:id="542"/>
      <w:r>
        <w:rPr>
          <w:lang w:val="en-AU"/>
        </w:rPr>
        <w:t xml:space="preserve"> </w:t>
      </w:r>
    </w:p>
    <w:p w14:paraId="04D49D08" w14:textId="77777777" w:rsidR="000D07EA" w:rsidRDefault="00BE7C89">
      <w:pPr>
        <w:pStyle w:val="Heading7"/>
        <w:rPr>
          <w:lang w:val="en-AU"/>
        </w:rPr>
      </w:pPr>
      <w:r>
        <w:rPr>
          <w:lang w:val="en-AU"/>
        </w:rPr>
        <w:t>The charges for the Business Complete Offers are set out in Table 3A.</w:t>
      </w:r>
    </w:p>
    <w:p w14:paraId="6B98ED82" w14:textId="77777777" w:rsidR="000D07EA" w:rsidRDefault="00BE7C89">
      <w:pPr>
        <w:pStyle w:val="Heading6"/>
        <w:ind w:left="0" w:firstLine="0"/>
        <w:rPr>
          <w:lang w:val="en-AU"/>
        </w:rPr>
      </w:pPr>
      <w:bookmarkStart w:id="543" w:name="_Toc306091580"/>
      <w:bookmarkStart w:id="544" w:name="_Toc306967551"/>
      <w:bookmarkStart w:id="545" w:name="_Toc397941206"/>
      <w:r>
        <w:rPr>
          <w:lang w:val="en-AU"/>
        </w:rPr>
        <w:t>Eligibility</w:t>
      </w:r>
      <w:bookmarkEnd w:id="543"/>
      <w:bookmarkEnd w:id="544"/>
      <w:bookmarkEnd w:id="545"/>
    </w:p>
    <w:p w14:paraId="64DC7781" w14:textId="77777777" w:rsidR="000D07EA" w:rsidRDefault="00BE7C89">
      <w:pPr>
        <w:pStyle w:val="BodyText"/>
        <w:ind w:left="680"/>
        <w:rPr>
          <w:lang w:val="en-AU"/>
        </w:rPr>
      </w:pPr>
      <w:r>
        <w:rPr>
          <w:snapToGrid w:val="0"/>
          <w:lang w:val="en-AU"/>
        </w:rPr>
        <w:t xml:space="preserve">In order to be and remain eligible for the Business Complete Offers, </w:t>
      </w:r>
      <w:r>
        <w:rPr>
          <w:i/>
          <w:snapToGrid w:val="0"/>
          <w:lang w:val="en-AU"/>
        </w:rPr>
        <w:t xml:space="preserve">you </w:t>
      </w:r>
      <w:r>
        <w:rPr>
          <w:snapToGrid w:val="0"/>
          <w:lang w:val="en-AU"/>
        </w:rPr>
        <w:t xml:space="preserve">must: </w:t>
      </w:r>
    </w:p>
    <w:p w14:paraId="78E183A0" w14:textId="77777777" w:rsidR="000D07EA" w:rsidRDefault="00BE7C89">
      <w:pPr>
        <w:pStyle w:val="Heading7"/>
        <w:rPr>
          <w:lang w:val="en-AU"/>
        </w:rPr>
      </w:pPr>
      <w:r>
        <w:rPr>
          <w:lang w:val="en-AU"/>
        </w:rPr>
        <w:t xml:space="preserve">be a customer </w:t>
      </w:r>
      <w:r>
        <w:rPr>
          <w:i/>
          <w:lang w:val="en-AU"/>
        </w:rPr>
        <w:t>we</w:t>
      </w:r>
      <w:r>
        <w:rPr>
          <w:lang w:val="en-AU"/>
        </w:rPr>
        <w:t xml:space="preserve"> classify as a </w:t>
      </w:r>
      <w:r>
        <w:rPr>
          <w:i/>
          <w:lang w:val="en-AU"/>
        </w:rPr>
        <w:t>small or medium</w:t>
      </w:r>
      <w:r>
        <w:rPr>
          <w:lang w:val="en-AU"/>
        </w:rPr>
        <w:t xml:space="preserve"> </w:t>
      </w:r>
      <w:r>
        <w:rPr>
          <w:i/>
          <w:lang w:val="en-AU"/>
        </w:rPr>
        <w:t>business</w:t>
      </w:r>
      <w:r>
        <w:rPr>
          <w:lang w:val="en-AU"/>
        </w:rPr>
        <w:t xml:space="preserve"> </w:t>
      </w:r>
      <w:r>
        <w:rPr>
          <w:i/>
          <w:lang w:val="en-AU"/>
        </w:rPr>
        <w:t>customer</w:t>
      </w:r>
      <w:r>
        <w:rPr>
          <w:lang w:val="en-AU"/>
        </w:rPr>
        <w:t>;</w:t>
      </w:r>
    </w:p>
    <w:p w14:paraId="7E838350" w14:textId="77777777" w:rsidR="000D07EA" w:rsidRDefault="00BE7C89">
      <w:pPr>
        <w:pStyle w:val="Heading7"/>
        <w:rPr>
          <w:lang w:val="en-AU"/>
        </w:rPr>
      </w:pPr>
      <w:r>
        <w:rPr>
          <w:lang w:val="en-AU"/>
        </w:rPr>
        <w:t>have at least 1 Optus Mobile Digital Service;</w:t>
      </w:r>
    </w:p>
    <w:p w14:paraId="16518D60" w14:textId="77777777" w:rsidR="000D07EA" w:rsidRDefault="00BE7C89">
      <w:pPr>
        <w:pStyle w:val="Heading7"/>
        <w:rPr>
          <w:lang w:val="en-AU"/>
        </w:rPr>
      </w:pPr>
      <w:r>
        <w:rPr>
          <w:lang w:val="en-AU"/>
        </w:rPr>
        <w:t>connect all relevant</w:t>
      </w:r>
      <w:r>
        <w:rPr>
          <w:i/>
          <w:lang w:val="en-AU"/>
        </w:rPr>
        <w:t xml:space="preserve"> services</w:t>
      </w:r>
      <w:r>
        <w:rPr>
          <w:lang w:val="en-AU"/>
        </w:rPr>
        <w:t xml:space="preserve"> in the same account holder name, service address, and ABN/ACN/ARBN;</w:t>
      </w:r>
    </w:p>
    <w:p w14:paraId="51A95259" w14:textId="77777777" w:rsidR="000D07EA" w:rsidRDefault="00BE7C89">
      <w:pPr>
        <w:pStyle w:val="Heading7"/>
        <w:rPr>
          <w:lang w:val="en-AU"/>
        </w:rPr>
      </w:pPr>
      <w:r>
        <w:rPr>
          <w:lang w:val="en-AU"/>
        </w:rPr>
        <w:t xml:space="preserve">meet all of the criteria for the particular </w:t>
      </w:r>
      <w:r>
        <w:rPr>
          <w:i/>
          <w:lang w:val="en-AU"/>
        </w:rPr>
        <w:t>services</w:t>
      </w:r>
      <w:r>
        <w:rPr>
          <w:lang w:val="en-AU"/>
        </w:rPr>
        <w:t xml:space="preserve"> as set out in each of the relevant </w:t>
      </w:r>
      <w:r>
        <w:rPr>
          <w:i/>
          <w:lang w:val="en-AU"/>
        </w:rPr>
        <w:t>service descriptions</w:t>
      </w:r>
      <w:r>
        <w:rPr>
          <w:lang w:val="en-AU"/>
        </w:rPr>
        <w:t>; and</w:t>
      </w:r>
    </w:p>
    <w:p w14:paraId="67C8FC31" w14:textId="77777777" w:rsidR="000D07EA" w:rsidRDefault="00BE7C89">
      <w:pPr>
        <w:pStyle w:val="Heading7"/>
        <w:rPr>
          <w:lang w:val="en-AU" w:eastAsia="en-AU"/>
        </w:rPr>
      </w:pPr>
      <w:r>
        <w:rPr>
          <w:lang w:val="en-AU" w:eastAsia="en-AU"/>
        </w:rPr>
        <w:t>receive subscription charges on a monthly single bill.</w:t>
      </w:r>
    </w:p>
    <w:p w14:paraId="247FD82B" w14:textId="77777777" w:rsidR="000D07EA" w:rsidRDefault="00BE7C89">
      <w:pPr>
        <w:pStyle w:val="Heading6"/>
        <w:ind w:left="0" w:firstLine="0"/>
        <w:rPr>
          <w:lang w:val="en-AU"/>
        </w:rPr>
      </w:pPr>
      <w:bookmarkStart w:id="546" w:name="_Toc306091581"/>
      <w:bookmarkStart w:id="547" w:name="_Toc306967560"/>
      <w:bookmarkStart w:id="548" w:name="_Toc397941207"/>
      <w:r>
        <w:rPr>
          <w:lang w:val="en-AU"/>
        </w:rPr>
        <w:t>Blocking access to a number</w:t>
      </w:r>
      <w:bookmarkEnd w:id="546"/>
      <w:bookmarkEnd w:id="547"/>
      <w:bookmarkEnd w:id="548"/>
    </w:p>
    <w:p w14:paraId="5794A078" w14:textId="77777777" w:rsidR="000D07EA" w:rsidRDefault="00BE7C89">
      <w:pPr>
        <w:pStyle w:val="BodyText"/>
        <w:ind w:left="680"/>
        <w:rPr>
          <w:lang w:val="en-AU"/>
        </w:rPr>
      </w:pPr>
      <w:r>
        <w:rPr>
          <w:lang w:val="en-AU"/>
        </w:rPr>
        <w:t xml:space="preserve">In addition to what is stated in clause 11 of the </w:t>
      </w:r>
      <w:r>
        <w:rPr>
          <w:i/>
          <w:lang w:val="en-AU"/>
        </w:rPr>
        <w:t xml:space="preserve">service </w:t>
      </w:r>
      <w:r>
        <w:rPr>
          <w:lang w:val="en-AU"/>
        </w:rPr>
        <w:t xml:space="preserve">description ("Access Restrictions"), </w:t>
      </w:r>
      <w:r>
        <w:rPr>
          <w:i/>
          <w:lang w:val="en-AU"/>
        </w:rPr>
        <w:t>we</w:t>
      </w:r>
      <w:r>
        <w:rPr>
          <w:lang w:val="en-AU"/>
        </w:rPr>
        <w:t xml:space="preserve"> may block access to a number (other than an emergency service number) if </w:t>
      </w:r>
      <w:r>
        <w:rPr>
          <w:i/>
          <w:lang w:val="en-AU"/>
        </w:rPr>
        <w:t>we</w:t>
      </w:r>
      <w:r>
        <w:rPr>
          <w:lang w:val="en-AU"/>
        </w:rPr>
        <w:t xml:space="preserve"> reasonably require this to be done for technical, operational or commercial reasons.</w:t>
      </w:r>
    </w:p>
    <w:p w14:paraId="7BDCF3EE" w14:textId="77777777" w:rsidR="000D07EA" w:rsidRDefault="00BE7C89">
      <w:pPr>
        <w:pStyle w:val="Heading6"/>
        <w:ind w:left="0" w:firstLine="0"/>
        <w:rPr>
          <w:lang w:val="en-AU"/>
        </w:rPr>
      </w:pPr>
      <w:bookmarkStart w:id="549" w:name="_Toc306091582"/>
      <w:bookmarkStart w:id="550" w:name="_Toc306967561"/>
      <w:bookmarkStart w:id="551" w:name="_Toc397941208"/>
      <w:r>
        <w:rPr>
          <w:lang w:val="en-AU"/>
        </w:rPr>
        <w:t>Minimum Term</w:t>
      </w:r>
      <w:bookmarkEnd w:id="549"/>
      <w:bookmarkEnd w:id="550"/>
      <w:bookmarkEnd w:id="551"/>
    </w:p>
    <w:p w14:paraId="6686F795" w14:textId="77777777" w:rsidR="000D07EA" w:rsidRDefault="00BE7C89">
      <w:pPr>
        <w:pStyle w:val="Heading7"/>
        <w:rPr>
          <w:lang w:val="en-AU"/>
        </w:rPr>
      </w:pPr>
      <w:r>
        <w:rPr>
          <w:i/>
          <w:lang w:val="en-AU"/>
        </w:rPr>
        <w:lastRenderedPageBreak/>
        <w:t xml:space="preserve">You </w:t>
      </w:r>
      <w:r>
        <w:rPr>
          <w:lang w:val="en-AU"/>
        </w:rPr>
        <w:t>must agree to a n</w:t>
      </w:r>
      <w:r>
        <w:rPr>
          <w:i/>
          <w:lang w:val="en-AU"/>
        </w:rPr>
        <w:t>on-fixed length agreement</w:t>
      </w:r>
      <w:r>
        <w:rPr>
          <w:lang w:val="en-AU"/>
        </w:rPr>
        <w:t xml:space="preserve"> or a </w:t>
      </w:r>
      <w:r>
        <w:rPr>
          <w:i/>
          <w:lang w:val="en-AU"/>
        </w:rPr>
        <w:t>fixed length agreement</w:t>
      </w:r>
      <w:r>
        <w:rPr>
          <w:lang w:val="en-AU"/>
        </w:rPr>
        <w:t xml:space="preserve"> with a 12 month or 24 month </w:t>
      </w:r>
      <w:r>
        <w:rPr>
          <w:i/>
          <w:lang w:val="en-AU"/>
        </w:rPr>
        <w:t>minimum term</w:t>
      </w:r>
      <w:r>
        <w:rPr>
          <w:lang w:val="en-AU"/>
        </w:rPr>
        <w:t>.</w:t>
      </w:r>
    </w:p>
    <w:p w14:paraId="62D4EE5C" w14:textId="77777777" w:rsidR="000D07EA" w:rsidRDefault="00BE7C89">
      <w:pPr>
        <w:pStyle w:val="Heading7"/>
        <w:rPr>
          <w:lang w:val="en-AU"/>
        </w:rPr>
      </w:pPr>
      <w:r>
        <w:rPr>
          <w:i/>
          <w:lang w:val="en-AU"/>
        </w:rPr>
        <w:t>You</w:t>
      </w:r>
      <w:r>
        <w:rPr>
          <w:lang w:val="en-AU"/>
        </w:rPr>
        <w:t xml:space="preserve"> may purchase a mobile phone with a:</w:t>
      </w:r>
    </w:p>
    <w:p w14:paraId="1DC93A75" w14:textId="77777777" w:rsidR="000D07EA" w:rsidRDefault="00BE7C89">
      <w:pPr>
        <w:pStyle w:val="Heading8"/>
        <w:rPr>
          <w:lang w:val="en-AU"/>
        </w:rPr>
      </w:pPr>
      <w:r>
        <w:rPr>
          <w:lang w:val="en-AU"/>
        </w:rPr>
        <w:t xml:space="preserve">24 month </w:t>
      </w:r>
      <w:r>
        <w:rPr>
          <w:i/>
          <w:lang w:val="en-AU"/>
        </w:rPr>
        <w:t>equipment term</w:t>
      </w:r>
      <w:r>
        <w:rPr>
          <w:lang w:val="en-AU"/>
        </w:rPr>
        <w:t xml:space="preserve"> under a </w:t>
      </w:r>
      <w:r>
        <w:rPr>
          <w:i/>
          <w:lang w:val="en-AU"/>
        </w:rPr>
        <w:t>mobile equipment payment plan</w:t>
      </w:r>
      <w:r>
        <w:rPr>
          <w:lang w:val="en-AU"/>
        </w:rPr>
        <w:t xml:space="preserve"> on a 24 month </w:t>
      </w:r>
      <w:r>
        <w:rPr>
          <w:i/>
          <w:lang w:val="en-AU"/>
        </w:rPr>
        <w:t>fixed length agreement</w:t>
      </w:r>
      <w:r>
        <w:rPr>
          <w:lang w:val="en-AU"/>
        </w:rPr>
        <w:t xml:space="preserve">. If </w:t>
      </w:r>
      <w:r>
        <w:rPr>
          <w:i/>
          <w:lang w:val="en-AU"/>
        </w:rPr>
        <w:t>you</w:t>
      </w:r>
      <w:r>
        <w:rPr>
          <w:lang w:val="en-AU"/>
        </w:rPr>
        <w:t xml:space="preserve"> do so, the price of </w:t>
      </w:r>
      <w:r>
        <w:rPr>
          <w:i/>
          <w:lang w:val="en-AU"/>
        </w:rPr>
        <w:t>mobile phones</w:t>
      </w:r>
      <w:r>
        <w:rPr>
          <w:lang w:val="en-AU"/>
        </w:rPr>
        <w:t xml:space="preserve"> available is less than if </w:t>
      </w:r>
      <w:r>
        <w:rPr>
          <w:i/>
          <w:lang w:val="en-AU"/>
        </w:rPr>
        <w:t>you</w:t>
      </w:r>
      <w:r>
        <w:rPr>
          <w:lang w:val="en-AU"/>
        </w:rPr>
        <w:t xml:space="preserve"> only agree to a </w:t>
      </w:r>
      <w:r>
        <w:rPr>
          <w:i/>
          <w:lang w:val="en-AU"/>
        </w:rPr>
        <w:t>non-fixed length agreement</w:t>
      </w:r>
      <w:r>
        <w:rPr>
          <w:lang w:val="en-AU"/>
        </w:rPr>
        <w:t>; or,</w:t>
      </w:r>
    </w:p>
    <w:p w14:paraId="4BD457B8" w14:textId="77777777" w:rsidR="000D07EA" w:rsidRDefault="00BE7C89">
      <w:pPr>
        <w:pStyle w:val="Heading8"/>
        <w:rPr>
          <w:lang w:val="en-AU"/>
        </w:rPr>
      </w:pPr>
      <w:r>
        <w:rPr>
          <w:lang w:val="en-AU"/>
        </w:rPr>
        <w:t xml:space="preserve">12 month </w:t>
      </w:r>
      <w:r>
        <w:rPr>
          <w:i/>
          <w:lang w:val="en-AU"/>
        </w:rPr>
        <w:t>equipment term</w:t>
      </w:r>
      <w:r>
        <w:rPr>
          <w:lang w:val="en-AU"/>
        </w:rPr>
        <w:t xml:space="preserve"> under a </w:t>
      </w:r>
      <w:r>
        <w:rPr>
          <w:i/>
          <w:lang w:val="en-AU"/>
        </w:rPr>
        <w:t>mobile equipment payment plan</w:t>
      </w:r>
      <w:r>
        <w:rPr>
          <w:lang w:val="en-AU"/>
        </w:rPr>
        <w:t xml:space="preserve"> on a 12 month </w:t>
      </w:r>
      <w:r>
        <w:rPr>
          <w:i/>
          <w:lang w:val="en-AU"/>
        </w:rPr>
        <w:t>fixed length agreement</w:t>
      </w:r>
      <w:r>
        <w:rPr>
          <w:lang w:val="en-AU"/>
        </w:rPr>
        <w:t xml:space="preserve">. If </w:t>
      </w:r>
      <w:r>
        <w:rPr>
          <w:i/>
          <w:lang w:val="en-AU"/>
        </w:rPr>
        <w:t>you</w:t>
      </w:r>
      <w:r>
        <w:rPr>
          <w:lang w:val="en-AU"/>
        </w:rPr>
        <w:t xml:space="preserve"> do so, the price of </w:t>
      </w:r>
      <w:r>
        <w:rPr>
          <w:i/>
          <w:lang w:val="en-AU"/>
        </w:rPr>
        <w:t>mobile phones</w:t>
      </w:r>
      <w:r>
        <w:rPr>
          <w:lang w:val="en-AU"/>
        </w:rPr>
        <w:t xml:space="preserve"> available is less than if </w:t>
      </w:r>
      <w:r>
        <w:rPr>
          <w:i/>
          <w:lang w:val="en-AU"/>
        </w:rPr>
        <w:t>you</w:t>
      </w:r>
      <w:r>
        <w:rPr>
          <w:lang w:val="en-AU"/>
        </w:rPr>
        <w:t xml:space="preserve"> agree to a </w:t>
      </w:r>
      <w:r>
        <w:rPr>
          <w:i/>
          <w:lang w:val="en-AU"/>
        </w:rPr>
        <w:t>non-fixed length agreement</w:t>
      </w:r>
    </w:p>
    <w:p w14:paraId="2C36170B" w14:textId="77777777" w:rsidR="000D07EA" w:rsidRDefault="00BE7C89">
      <w:pPr>
        <w:pStyle w:val="Heading6"/>
        <w:ind w:left="0" w:firstLine="0"/>
        <w:rPr>
          <w:lang w:val="en-AU"/>
        </w:rPr>
      </w:pPr>
      <w:bookmarkStart w:id="552" w:name="_Toc306967563"/>
      <w:bookmarkStart w:id="553" w:name="_Toc306091584"/>
      <w:bookmarkStart w:id="554" w:name="_Toc306967564"/>
      <w:bookmarkStart w:id="555" w:name="_Toc397941209"/>
      <w:bookmarkEnd w:id="552"/>
      <w:r>
        <w:rPr>
          <w:lang w:val="en-AU"/>
        </w:rPr>
        <w:t xml:space="preserve">What </w:t>
      </w:r>
      <w:r>
        <w:rPr>
          <w:i/>
          <w:lang w:val="en-AU"/>
        </w:rPr>
        <w:t>you</w:t>
      </w:r>
      <w:r>
        <w:rPr>
          <w:lang w:val="en-AU"/>
        </w:rPr>
        <w:t xml:space="preserve"> have to pay </w:t>
      </w:r>
      <w:r>
        <w:rPr>
          <w:i/>
          <w:lang w:val="en-AU"/>
        </w:rPr>
        <w:t>us</w:t>
      </w:r>
      <w:bookmarkEnd w:id="553"/>
      <w:bookmarkEnd w:id="554"/>
      <w:bookmarkEnd w:id="555"/>
    </w:p>
    <w:p w14:paraId="321EDBBC" w14:textId="77777777" w:rsidR="000D07EA" w:rsidRDefault="00BE7C89">
      <w:pPr>
        <w:pStyle w:val="Heading7"/>
        <w:rPr>
          <w:lang w:val="en-AU"/>
        </w:rPr>
      </w:pPr>
      <w:r>
        <w:rPr>
          <w:lang w:val="en-AU"/>
        </w:rPr>
        <w:t>Subject to paragraphs below</w:t>
      </w:r>
      <w:r>
        <w:rPr>
          <w:i/>
          <w:lang w:val="en-AU"/>
        </w:rPr>
        <w:t xml:space="preserve"> you </w:t>
      </w:r>
      <w:r>
        <w:rPr>
          <w:lang w:val="en-AU"/>
        </w:rPr>
        <w:t xml:space="preserve">must pay </w:t>
      </w:r>
      <w:r>
        <w:rPr>
          <w:i/>
          <w:lang w:val="en-AU"/>
        </w:rPr>
        <w:t>us</w:t>
      </w:r>
      <w:r>
        <w:rPr>
          <w:lang w:val="en-AU"/>
        </w:rPr>
        <w:t xml:space="preserve"> for use of the </w:t>
      </w:r>
      <w:r>
        <w:rPr>
          <w:i/>
          <w:lang w:val="en-AU"/>
        </w:rPr>
        <w:t>service</w:t>
      </w:r>
      <w:r>
        <w:rPr>
          <w:lang w:val="en-AU"/>
        </w:rPr>
        <w:t xml:space="preserve"> at the rates set out in </w:t>
      </w:r>
      <w:hyperlink r:id="rId370" w:history="1">
        <w:r>
          <w:rPr>
            <w:rStyle w:val="Hyperlink"/>
            <w:i/>
          </w:rPr>
          <w:t>Section 1</w:t>
        </w:r>
      </w:hyperlink>
      <w:r>
        <w:rPr>
          <w:lang w:val="en-AU"/>
        </w:rPr>
        <w:t xml:space="preserve"> of this </w:t>
      </w:r>
      <w:r>
        <w:rPr>
          <w:i/>
          <w:lang w:val="en-AU"/>
        </w:rPr>
        <w:t>standard pricing table</w:t>
      </w:r>
      <w:r>
        <w:rPr>
          <w:lang w:val="en-AU"/>
        </w:rPr>
        <w:t xml:space="preserve"> and for </w:t>
      </w:r>
      <w:r>
        <w:rPr>
          <w:i/>
          <w:lang w:val="en-AU"/>
        </w:rPr>
        <w:t>value added service features</w:t>
      </w:r>
      <w:r>
        <w:rPr>
          <w:lang w:val="en-AU"/>
        </w:rPr>
        <w:t xml:space="preserve"> at the rates set out in </w:t>
      </w:r>
      <w:hyperlink r:id="rId371" w:history="1">
        <w:r>
          <w:rPr>
            <w:rStyle w:val="Hyperlink"/>
            <w:i/>
          </w:rPr>
          <w:t>Appendix Y</w:t>
        </w:r>
      </w:hyperlink>
      <w:r>
        <w:rPr>
          <w:lang w:val="en-AU"/>
        </w:rPr>
        <w:t xml:space="preserve"> Value Added Service Features.</w:t>
      </w:r>
    </w:p>
    <w:p w14:paraId="64E093DC" w14:textId="77777777" w:rsidR="000D07EA" w:rsidRDefault="00BE7C89">
      <w:pPr>
        <w:pStyle w:val="Heading7"/>
        <w:rPr>
          <w:lang w:val="en-AU"/>
        </w:rPr>
      </w:pPr>
      <w:r>
        <w:rPr>
          <w:lang w:val="en-AU"/>
        </w:rPr>
        <w:t xml:space="preserve">If there is a </w:t>
      </w:r>
      <w:r>
        <w:rPr>
          <w:i/>
          <w:lang w:val="en-AU"/>
        </w:rPr>
        <w:t>flagfall</w:t>
      </w:r>
      <w:r>
        <w:rPr>
          <w:lang w:val="en-AU"/>
        </w:rPr>
        <w:t xml:space="preserve"> or call connection charge for a particular call type, the charge for these calls is the </w:t>
      </w:r>
      <w:r>
        <w:rPr>
          <w:i/>
          <w:lang w:val="en-AU"/>
        </w:rPr>
        <w:t>flagfall</w:t>
      </w:r>
      <w:r>
        <w:rPr>
          <w:lang w:val="en-AU"/>
        </w:rPr>
        <w:t xml:space="preserve"> charge plus the relevant rate for the call multiplied by the duration of the call.</w:t>
      </w:r>
    </w:p>
    <w:p w14:paraId="16955397" w14:textId="77777777" w:rsidR="000D07EA" w:rsidRDefault="00BE7C89">
      <w:pPr>
        <w:pStyle w:val="Heading7"/>
        <w:rPr>
          <w:b/>
          <w:lang w:val="en-AU"/>
        </w:rPr>
      </w:pPr>
      <w:r>
        <w:rPr>
          <w:b/>
          <w:lang w:val="en-AU"/>
        </w:rPr>
        <w:t>The Cap</w:t>
      </w:r>
    </w:p>
    <w:p w14:paraId="79B47436" w14:textId="77777777" w:rsidR="000D07EA" w:rsidRDefault="00BE7C89">
      <w:pPr>
        <w:pStyle w:val="Heading8"/>
        <w:rPr>
          <w:lang w:val="en-AU"/>
        </w:rPr>
      </w:pPr>
      <w:r>
        <w:rPr>
          <w:lang w:val="en-AU"/>
        </w:rPr>
        <w:t xml:space="preserve">Under the Business Complete Plans, a cap applies when the value of </w:t>
      </w:r>
      <w:r>
        <w:rPr>
          <w:b/>
          <w:lang w:val="en-AU"/>
        </w:rPr>
        <w:t>eligible calls and text</w:t>
      </w:r>
      <w:r>
        <w:rPr>
          <w:lang w:val="en-AU"/>
        </w:rPr>
        <w:t xml:space="preserve"> </w:t>
      </w:r>
      <w:r>
        <w:rPr>
          <w:i/>
          <w:lang w:val="en-AU"/>
        </w:rPr>
        <w:t>you</w:t>
      </w:r>
      <w:r>
        <w:rPr>
          <w:lang w:val="en-AU"/>
        </w:rPr>
        <w:t xml:space="preserve"> make in a month reaches </w:t>
      </w:r>
      <w:r>
        <w:rPr>
          <w:i/>
          <w:lang w:val="en-AU"/>
        </w:rPr>
        <w:t>your pricing plan's</w:t>
      </w:r>
      <w:r>
        <w:rPr>
          <w:lang w:val="en-AU"/>
        </w:rPr>
        <w:t xml:space="preserve"> </w:t>
      </w:r>
      <w:r>
        <w:rPr>
          <w:b/>
          <w:lang w:val="en-AU"/>
        </w:rPr>
        <w:t>Minimum Monthly Charge</w:t>
      </w:r>
      <w:r>
        <w:rPr>
          <w:lang w:val="en-AU"/>
        </w:rPr>
        <w:t xml:space="preserve">. Once </w:t>
      </w:r>
      <w:r>
        <w:rPr>
          <w:i/>
          <w:lang w:val="en-AU"/>
        </w:rPr>
        <w:t>your</w:t>
      </w:r>
      <w:r>
        <w:rPr>
          <w:lang w:val="en-AU"/>
        </w:rPr>
        <w:t xml:space="preserve"> eligible calls and text spend reaches the Minimum Monthly Charge, additional eligible calls and text made in that month are included until the value of </w:t>
      </w:r>
      <w:r>
        <w:rPr>
          <w:i/>
          <w:lang w:val="en-AU"/>
        </w:rPr>
        <w:t>your</w:t>
      </w:r>
      <w:r>
        <w:rPr>
          <w:lang w:val="en-AU"/>
        </w:rPr>
        <w:t xml:space="preserve"> eligible calls and text reach </w:t>
      </w:r>
      <w:r>
        <w:rPr>
          <w:i/>
          <w:lang w:val="en-AU"/>
        </w:rPr>
        <w:t>your</w:t>
      </w:r>
      <w:r>
        <w:rPr>
          <w:lang w:val="en-AU"/>
        </w:rPr>
        <w:t xml:space="preserve"> </w:t>
      </w:r>
      <w:r>
        <w:rPr>
          <w:i/>
          <w:lang w:val="en-AU"/>
        </w:rPr>
        <w:t>pricing plan's</w:t>
      </w:r>
      <w:r>
        <w:rPr>
          <w:lang w:val="en-AU"/>
        </w:rPr>
        <w:t xml:space="preserve"> </w:t>
      </w:r>
      <w:r>
        <w:rPr>
          <w:b/>
          <w:lang w:val="en-AU"/>
        </w:rPr>
        <w:t>Included Cap Value</w:t>
      </w:r>
      <w:r>
        <w:rPr>
          <w:lang w:val="en-AU"/>
        </w:rPr>
        <w:t xml:space="preserve">. </w:t>
      </w:r>
    </w:p>
    <w:p w14:paraId="1ADB29D7" w14:textId="77777777" w:rsidR="000D07EA" w:rsidRDefault="00BE7C89">
      <w:pPr>
        <w:pStyle w:val="Heading8"/>
        <w:rPr>
          <w:lang w:val="en-AU"/>
        </w:rPr>
      </w:pPr>
      <w:r>
        <w:rPr>
          <w:lang w:val="en-AU"/>
        </w:rPr>
        <w:t>The '</w:t>
      </w:r>
      <w:r>
        <w:rPr>
          <w:b/>
          <w:lang w:val="en-AU"/>
        </w:rPr>
        <w:t>Minimum Monthly Charge</w:t>
      </w:r>
      <w:r>
        <w:rPr>
          <w:lang w:val="en-AU"/>
        </w:rPr>
        <w:t>' and '</w:t>
      </w:r>
      <w:r>
        <w:rPr>
          <w:b/>
          <w:lang w:val="en-AU"/>
        </w:rPr>
        <w:t>Included Cap Value</w:t>
      </w:r>
      <w:r>
        <w:rPr>
          <w:lang w:val="en-AU"/>
        </w:rPr>
        <w:t xml:space="preserve">' for each Business Complete Plan is set out in Table 3A below. </w:t>
      </w:r>
    </w:p>
    <w:p w14:paraId="64E0D812" w14:textId="77777777" w:rsidR="000D07EA" w:rsidRDefault="00BE7C89">
      <w:pPr>
        <w:pStyle w:val="Heading7"/>
        <w:rPr>
          <w:b/>
          <w:lang w:val="en-AU"/>
        </w:rPr>
      </w:pPr>
      <w:r>
        <w:rPr>
          <w:b/>
          <w:lang w:val="en-AU"/>
        </w:rPr>
        <w:t>Included Cap Value</w:t>
      </w:r>
    </w:p>
    <w:p w14:paraId="20CE28DF" w14:textId="77777777" w:rsidR="000D07EA" w:rsidRDefault="00BE7C89">
      <w:pPr>
        <w:pStyle w:val="Heading8"/>
        <w:rPr>
          <w:lang w:val="en-AU"/>
        </w:rPr>
      </w:pPr>
      <w:r>
        <w:rPr>
          <w:lang w:val="en-AU"/>
        </w:rPr>
        <w:t xml:space="preserve">Under the Business Complete Plans, </w:t>
      </w:r>
      <w:r>
        <w:rPr>
          <w:i/>
          <w:lang w:val="en-AU"/>
        </w:rPr>
        <w:t>you</w:t>
      </w:r>
      <w:r>
        <w:rPr>
          <w:lang w:val="en-AU"/>
        </w:rPr>
        <w:t xml:space="preserve"> will receive 'Included Cap Value'.</w:t>
      </w:r>
    </w:p>
    <w:p w14:paraId="2002AFEE" w14:textId="77777777" w:rsidR="000D07EA" w:rsidRDefault="00BE7C89">
      <w:pPr>
        <w:pStyle w:val="Heading8"/>
        <w:rPr>
          <w:lang w:val="en-AU" w:eastAsia="en-AU"/>
        </w:rPr>
      </w:pPr>
      <w:r>
        <w:rPr>
          <w:lang w:val="en-AU" w:eastAsia="en-AU"/>
        </w:rPr>
        <w:t>The amount of 'Included Cap Value' included for each Business Complete Plan is set out in Table 3A below.</w:t>
      </w:r>
    </w:p>
    <w:p w14:paraId="22240ACA" w14:textId="77777777" w:rsidR="000D07EA" w:rsidRDefault="00BE7C89">
      <w:pPr>
        <w:pStyle w:val="Heading8"/>
        <w:rPr>
          <w:lang w:val="en-AU"/>
        </w:rPr>
      </w:pPr>
      <w:r>
        <w:rPr>
          <w:lang w:val="en-AU"/>
        </w:rPr>
        <w:t>The call types that are '</w:t>
      </w:r>
      <w:r>
        <w:rPr>
          <w:b/>
          <w:lang w:val="en-AU"/>
        </w:rPr>
        <w:t>eligible calls and text</w:t>
      </w:r>
      <w:r>
        <w:rPr>
          <w:lang w:val="en-AU"/>
        </w:rPr>
        <w:t>' for each Business Complete Plan under the 'Included Cap Value' are defined in Table 1A below.</w:t>
      </w:r>
    </w:p>
    <w:p w14:paraId="5BBEAC3E" w14:textId="77777777" w:rsidR="000D07EA" w:rsidRDefault="00BE7C89">
      <w:pPr>
        <w:pStyle w:val="Heading8"/>
        <w:rPr>
          <w:lang w:val="en-AU"/>
        </w:rPr>
      </w:pPr>
      <w:r>
        <w:rPr>
          <w:i/>
          <w:lang w:val="en-AU"/>
        </w:rPr>
        <w:t>You</w:t>
      </w:r>
      <w:r>
        <w:rPr>
          <w:lang w:val="en-AU"/>
        </w:rPr>
        <w:t xml:space="preserve"> must pay </w:t>
      </w:r>
      <w:r>
        <w:rPr>
          <w:i/>
          <w:lang w:val="en-AU"/>
        </w:rPr>
        <w:t>us</w:t>
      </w:r>
      <w:r>
        <w:rPr>
          <w:lang w:val="en-AU"/>
        </w:rPr>
        <w:t xml:space="preserve"> call charges for eligible calls and text made beyond the available 'Included Cap Value'. </w:t>
      </w:r>
    </w:p>
    <w:p w14:paraId="3CE29D97" w14:textId="77777777" w:rsidR="000D07EA" w:rsidRDefault="00BE7C89">
      <w:pPr>
        <w:pStyle w:val="Heading8"/>
        <w:rPr>
          <w:lang w:val="en-AU"/>
        </w:rPr>
      </w:pPr>
      <w:r>
        <w:rPr>
          <w:lang w:val="en-AU"/>
        </w:rPr>
        <w:t>Any unused portion of the 'Included Cap Value' expires at the end of each month. This means that it does not roll over into the following month.</w:t>
      </w:r>
    </w:p>
    <w:p w14:paraId="5CC4863E" w14:textId="77777777" w:rsidR="000D07EA" w:rsidRDefault="00BE7C89">
      <w:pPr>
        <w:pStyle w:val="Heading8"/>
        <w:rPr>
          <w:lang w:val="en-AU"/>
        </w:rPr>
      </w:pPr>
      <w:r>
        <w:rPr>
          <w:i/>
          <w:lang w:val="en-AU"/>
        </w:rPr>
        <w:t>You</w:t>
      </w:r>
      <w:r>
        <w:rPr>
          <w:lang w:val="en-AU"/>
        </w:rPr>
        <w:t xml:space="preserve"> must pay for any calls and texts that are not 'eligible calls and text'.</w:t>
      </w:r>
    </w:p>
    <w:p w14:paraId="7A5ED0F0" w14:textId="77777777" w:rsidR="000D07EA" w:rsidRDefault="00BE7C89">
      <w:pPr>
        <w:pStyle w:val="Heading7"/>
        <w:rPr>
          <w:b/>
          <w:lang w:val="en-AU"/>
        </w:rPr>
      </w:pPr>
      <w:r>
        <w:rPr>
          <w:b/>
          <w:lang w:val="en-AU"/>
        </w:rPr>
        <w:t>Minimum Monthly Charge</w:t>
      </w:r>
    </w:p>
    <w:p w14:paraId="22826DEB" w14:textId="77777777" w:rsidR="000D07EA" w:rsidRDefault="00BE7C89">
      <w:pPr>
        <w:pStyle w:val="Heading8"/>
        <w:rPr>
          <w:lang w:val="en-AU"/>
        </w:rPr>
      </w:pPr>
      <w:r>
        <w:rPr>
          <w:lang w:val="en-AU"/>
        </w:rPr>
        <w:t xml:space="preserve">Each Business Complete Plan has a Minimum Monthly Charge amount that </w:t>
      </w:r>
      <w:r>
        <w:rPr>
          <w:i/>
          <w:lang w:val="en-AU"/>
        </w:rPr>
        <w:t>you</w:t>
      </w:r>
      <w:r>
        <w:rPr>
          <w:lang w:val="en-AU"/>
        </w:rPr>
        <w:t xml:space="preserve"> must pay </w:t>
      </w:r>
      <w:r>
        <w:rPr>
          <w:i/>
          <w:lang w:val="en-AU"/>
        </w:rPr>
        <w:t>us</w:t>
      </w:r>
      <w:r>
        <w:rPr>
          <w:lang w:val="en-AU"/>
        </w:rPr>
        <w:t xml:space="preserve"> each month. </w:t>
      </w:r>
    </w:p>
    <w:p w14:paraId="00BF850D" w14:textId="77777777" w:rsidR="000D07EA" w:rsidRDefault="00BE7C89">
      <w:pPr>
        <w:pStyle w:val="Heading8"/>
        <w:rPr>
          <w:lang w:val="en-AU"/>
        </w:rPr>
      </w:pPr>
      <w:r>
        <w:rPr>
          <w:lang w:val="en-AU"/>
        </w:rPr>
        <w:t xml:space="preserve">If </w:t>
      </w:r>
      <w:r>
        <w:rPr>
          <w:i/>
          <w:lang w:val="en-AU"/>
        </w:rPr>
        <w:t>you</w:t>
      </w:r>
      <w:r>
        <w:rPr>
          <w:lang w:val="en-AU"/>
        </w:rPr>
        <w:t xml:space="preserve"> do not make enough eligible calls and text in a month to reach </w:t>
      </w:r>
      <w:r>
        <w:rPr>
          <w:i/>
          <w:lang w:val="en-AU"/>
        </w:rPr>
        <w:t>your</w:t>
      </w:r>
      <w:r>
        <w:rPr>
          <w:lang w:val="en-AU"/>
        </w:rPr>
        <w:t xml:space="preserve"> </w:t>
      </w:r>
      <w:r>
        <w:rPr>
          <w:i/>
          <w:lang w:val="en-AU"/>
        </w:rPr>
        <w:t xml:space="preserve">pricing plan's </w:t>
      </w:r>
      <w:r>
        <w:rPr>
          <w:lang w:val="en-AU"/>
        </w:rPr>
        <w:t>Minimum Monthly Charge,</w:t>
      </w:r>
      <w:r>
        <w:rPr>
          <w:i/>
          <w:lang w:val="en-AU"/>
        </w:rPr>
        <w:t>you</w:t>
      </w:r>
      <w:r>
        <w:rPr>
          <w:lang w:val="en-AU"/>
        </w:rPr>
        <w:t xml:space="preserve"> must still pay </w:t>
      </w:r>
      <w:r>
        <w:rPr>
          <w:i/>
          <w:lang w:val="en-AU"/>
        </w:rPr>
        <w:t>us</w:t>
      </w:r>
      <w:r>
        <w:rPr>
          <w:lang w:val="en-AU"/>
        </w:rPr>
        <w:t xml:space="preserve"> </w:t>
      </w:r>
      <w:r>
        <w:rPr>
          <w:i/>
          <w:lang w:val="en-AU"/>
        </w:rPr>
        <w:t>your pricing plan's</w:t>
      </w:r>
      <w:r>
        <w:rPr>
          <w:lang w:val="en-AU"/>
        </w:rPr>
        <w:t xml:space="preserve"> Minimum Monthly Charge for that month.</w:t>
      </w:r>
    </w:p>
    <w:p w14:paraId="4E5FEB6F" w14:textId="77777777" w:rsidR="000D07EA" w:rsidRDefault="00BE7C89">
      <w:pPr>
        <w:pStyle w:val="Heading8"/>
        <w:rPr>
          <w:lang w:val="en-AU"/>
        </w:rPr>
      </w:pPr>
      <w:r>
        <w:rPr>
          <w:lang w:val="en-AU"/>
        </w:rPr>
        <w:t>The amount of the Minimum Monthly Charge and included calls for each Business Complete Plan is set out in Table 3A below.</w:t>
      </w:r>
    </w:p>
    <w:p w14:paraId="50D7E581" w14:textId="77777777" w:rsidR="000D07EA" w:rsidRDefault="00BE7C89">
      <w:pPr>
        <w:pStyle w:val="Heading7"/>
        <w:rPr>
          <w:b/>
          <w:lang w:val="en-AU"/>
        </w:rPr>
      </w:pPr>
      <w:r>
        <w:rPr>
          <w:b/>
          <w:lang w:val="en-AU"/>
        </w:rPr>
        <w:lastRenderedPageBreak/>
        <w:t xml:space="preserve">Included Mobile Internet Data value or Unlimited BlackBerry POP3 Email and BlackBerry Browsing through the BlackBerry Browser </w:t>
      </w:r>
    </w:p>
    <w:p w14:paraId="058C658D" w14:textId="77777777" w:rsidR="000D07EA" w:rsidRDefault="00BE7C89">
      <w:pPr>
        <w:pStyle w:val="Heading8"/>
        <w:rPr>
          <w:lang w:val="en-AU"/>
        </w:rPr>
      </w:pPr>
      <w:r>
        <w:rPr>
          <w:lang w:val="en-AU"/>
        </w:rPr>
        <w:t xml:space="preserve">Under the Business Complete Plans, </w:t>
      </w:r>
      <w:r>
        <w:rPr>
          <w:i/>
          <w:lang w:val="en-AU"/>
        </w:rPr>
        <w:t>you</w:t>
      </w:r>
      <w:r>
        <w:rPr>
          <w:lang w:val="en-AU"/>
        </w:rPr>
        <w:t xml:space="preserve"> can choose from; </w:t>
      </w:r>
    </w:p>
    <w:p w14:paraId="762083F9" w14:textId="77777777" w:rsidR="000D07EA" w:rsidRDefault="00BE7C89">
      <w:pPr>
        <w:pStyle w:val="Heading9"/>
        <w:rPr>
          <w:lang w:val="en-AU"/>
        </w:rPr>
      </w:pPr>
      <w:r>
        <w:rPr>
          <w:lang w:val="en-AU"/>
        </w:rPr>
        <w:t>included Mobile Internet Data Value; OR</w:t>
      </w:r>
    </w:p>
    <w:p w14:paraId="5873D8AC" w14:textId="77777777" w:rsidR="000D07EA" w:rsidRDefault="00BE7C89">
      <w:pPr>
        <w:pStyle w:val="Heading9"/>
        <w:rPr>
          <w:lang w:val="en-AU"/>
        </w:rPr>
      </w:pPr>
      <w:r>
        <w:rPr>
          <w:lang w:val="en-AU"/>
        </w:rPr>
        <w:t>Unlimited BlackBerry POP3 Email and BlackBerry Browsing through the BlackBerry Browser</w:t>
      </w:r>
    </w:p>
    <w:p w14:paraId="6F4C2A01" w14:textId="77777777" w:rsidR="000D07EA" w:rsidRDefault="00BE7C89">
      <w:pPr>
        <w:pStyle w:val="BodyText"/>
        <w:ind w:left="2160"/>
        <w:rPr>
          <w:lang w:val="en-AU"/>
        </w:rPr>
      </w:pPr>
      <w:r>
        <w:rPr>
          <w:lang w:val="en-AU"/>
        </w:rPr>
        <w:t>to use within Australia.</w:t>
      </w:r>
    </w:p>
    <w:p w14:paraId="57F45B4D" w14:textId="77777777" w:rsidR="000D07EA" w:rsidRDefault="00BE7C89">
      <w:pPr>
        <w:pStyle w:val="Heading8"/>
        <w:rPr>
          <w:lang w:val="en-AU"/>
        </w:rPr>
      </w:pPr>
      <w:r>
        <w:rPr>
          <w:lang w:val="en-AU"/>
        </w:rPr>
        <w:t xml:space="preserve">If </w:t>
      </w:r>
      <w:r>
        <w:rPr>
          <w:i/>
          <w:lang w:val="en-AU"/>
        </w:rPr>
        <w:t>you</w:t>
      </w:r>
      <w:r>
        <w:rPr>
          <w:lang w:val="en-AU"/>
        </w:rPr>
        <w:t xml:space="preserve"> select the included Mobile Internet Data Value option:</w:t>
      </w:r>
    </w:p>
    <w:p w14:paraId="545F8B63" w14:textId="77777777" w:rsidR="000D07EA" w:rsidRDefault="00BE7C89">
      <w:pPr>
        <w:pStyle w:val="Heading9"/>
        <w:rPr>
          <w:lang w:val="en-AU"/>
        </w:rPr>
      </w:pPr>
      <w:r>
        <w:rPr>
          <w:lang w:val="en-AU"/>
        </w:rPr>
        <w:t>The amount of = 'Mobile Internet Data Value' included that can be used within Australia for each Business Complete Plan is set out in Table 3A below.</w:t>
      </w:r>
    </w:p>
    <w:p w14:paraId="70733CD0" w14:textId="77777777" w:rsidR="000D07EA" w:rsidRDefault="00BE7C89">
      <w:pPr>
        <w:pStyle w:val="Heading9"/>
        <w:rPr>
          <w:lang w:val="en-AU"/>
        </w:rPr>
      </w:pPr>
      <w:r>
        <w:rPr>
          <w:lang w:val="en-AU"/>
        </w:rPr>
        <w:t>The usage types that are 'eligible data' for each Business Complete Plan under the included Mobile Internet Data Value are defined in Table 2A below.</w:t>
      </w:r>
    </w:p>
    <w:p w14:paraId="0FF0EE54" w14:textId="77777777" w:rsidR="000D07EA" w:rsidRDefault="00BE7C89">
      <w:pPr>
        <w:pStyle w:val="Heading9"/>
        <w:rPr>
          <w:lang w:val="en-AU" w:eastAsia="en-AU"/>
        </w:rPr>
      </w:pPr>
      <w:r>
        <w:rPr>
          <w:lang w:val="en-AU" w:eastAsia="en-AU"/>
        </w:rPr>
        <w:t>The included data of the Business Complete plan can be shared with an eligible Business Mobile Broadband service and can only be used within Australia.</w:t>
      </w:r>
    </w:p>
    <w:p w14:paraId="28F3BC3F" w14:textId="77777777" w:rsidR="000D07EA" w:rsidRDefault="00BE7C89">
      <w:pPr>
        <w:pStyle w:val="Heading9"/>
        <w:rPr>
          <w:lang w:val="en-AU"/>
        </w:rPr>
      </w:pPr>
      <w:r>
        <w:rPr>
          <w:i/>
          <w:lang w:val="en-AU"/>
        </w:rPr>
        <w:t>You</w:t>
      </w:r>
      <w:r>
        <w:rPr>
          <w:lang w:val="en-AU"/>
        </w:rPr>
        <w:t xml:space="preserve"> must pay </w:t>
      </w:r>
      <w:r>
        <w:rPr>
          <w:i/>
          <w:lang w:val="en-AU"/>
        </w:rPr>
        <w:t>us</w:t>
      </w:r>
      <w:r>
        <w:rPr>
          <w:lang w:val="en-AU"/>
        </w:rPr>
        <w:t xml:space="preserve"> excess usage charges for data made beyond the available 'Mobile Internet Data Value' as shown in Table 3A below. </w:t>
      </w:r>
    </w:p>
    <w:p w14:paraId="29898B6A" w14:textId="77777777" w:rsidR="000D07EA" w:rsidRDefault="00BE7C89">
      <w:pPr>
        <w:pStyle w:val="Heading9"/>
        <w:rPr>
          <w:lang w:val="en-AU"/>
        </w:rPr>
      </w:pPr>
      <w:r>
        <w:rPr>
          <w:lang w:val="en-AU"/>
        </w:rPr>
        <w:t>Any unused portion of the 'Mobile Internet Data Value' expires at the end of each month and does not roll over into the following month.</w:t>
      </w:r>
    </w:p>
    <w:p w14:paraId="1CB622C6" w14:textId="77777777" w:rsidR="000D07EA" w:rsidRDefault="00BE7C89">
      <w:pPr>
        <w:pStyle w:val="Heading8"/>
        <w:rPr>
          <w:lang w:val="en-AU"/>
        </w:rPr>
      </w:pPr>
      <w:r>
        <w:rPr>
          <w:lang w:val="en-AU"/>
        </w:rPr>
        <w:t xml:space="preserve">If </w:t>
      </w:r>
      <w:r>
        <w:rPr>
          <w:i/>
          <w:lang w:val="en-AU"/>
        </w:rPr>
        <w:t>you</w:t>
      </w:r>
      <w:r>
        <w:rPr>
          <w:lang w:val="en-AU"/>
        </w:rPr>
        <w:t xml:space="preserve"> select the Unlimited BlackBerry POP3 Email and BlackBerry Browsing through the BlackBerry Browser option:</w:t>
      </w:r>
    </w:p>
    <w:p w14:paraId="1260C16D" w14:textId="77777777" w:rsidR="000D07EA" w:rsidRDefault="00BE7C89">
      <w:pPr>
        <w:pStyle w:val="Heading9"/>
        <w:rPr>
          <w:lang w:val="en-AU"/>
        </w:rPr>
      </w:pPr>
      <w:r>
        <w:rPr>
          <w:i/>
          <w:lang w:val="en-AU"/>
        </w:rPr>
        <w:t>You</w:t>
      </w:r>
      <w:r>
        <w:rPr>
          <w:lang w:val="en-AU"/>
        </w:rPr>
        <w:t xml:space="preserve"> will only receive unlimited BlackBerry POP3 Email and BlackBerry Browsing through the BlackBerry Internet Browser or the BlackBerry Browser and use of applications from Optus and third party applications that require a BlackBerry Data connection, within Australia.</w:t>
      </w:r>
    </w:p>
    <w:p w14:paraId="24E92E9E" w14:textId="77777777" w:rsidR="000D07EA" w:rsidRDefault="00BE7C89">
      <w:pPr>
        <w:pStyle w:val="Heading9"/>
        <w:rPr>
          <w:lang w:val="en-AU"/>
        </w:rPr>
      </w:pPr>
      <w:r>
        <w:rPr>
          <w:i/>
          <w:lang w:val="en-AU"/>
        </w:rPr>
        <w:t>You</w:t>
      </w:r>
      <w:r>
        <w:rPr>
          <w:lang w:val="en-AU"/>
        </w:rPr>
        <w:t xml:space="preserve"> will also receive an amount of 'Mobile Internet Data Value' which is set out in Table 3A below. </w:t>
      </w:r>
    </w:p>
    <w:p w14:paraId="20AE29D5" w14:textId="77777777" w:rsidR="000D07EA" w:rsidRDefault="00BE7C89">
      <w:pPr>
        <w:pStyle w:val="Heading9"/>
        <w:rPr>
          <w:lang w:val="en-AU"/>
        </w:rPr>
      </w:pPr>
      <w:r>
        <w:rPr>
          <w:lang w:val="en-AU"/>
        </w:rPr>
        <w:t xml:space="preserve">The included data of the Business Complete plan can be shared with an eligible Business Mobile Broadband service. </w:t>
      </w:r>
    </w:p>
    <w:p w14:paraId="5487A054" w14:textId="77777777" w:rsidR="000D07EA" w:rsidRDefault="00BE7C89">
      <w:pPr>
        <w:pStyle w:val="Heading9"/>
        <w:rPr>
          <w:lang w:val="en-AU"/>
        </w:rPr>
      </w:pPr>
      <w:r>
        <w:rPr>
          <w:i/>
          <w:lang w:val="en-AU"/>
        </w:rPr>
        <w:t>You</w:t>
      </w:r>
      <w:r>
        <w:rPr>
          <w:lang w:val="en-AU"/>
        </w:rPr>
        <w:t xml:space="preserve"> must pay </w:t>
      </w:r>
      <w:r>
        <w:rPr>
          <w:i/>
          <w:lang w:val="en-AU"/>
        </w:rPr>
        <w:t>us</w:t>
      </w:r>
      <w:r>
        <w:rPr>
          <w:lang w:val="en-AU"/>
        </w:rPr>
        <w:t xml:space="preserve"> excess usage charges for data made beyond the available 'Mobile Internet Data Value'. </w:t>
      </w:r>
    </w:p>
    <w:p w14:paraId="721E8915" w14:textId="77777777" w:rsidR="000D07EA" w:rsidRDefault="00BE7C89">
      <w:pPr>
        <w:pStyle w:val="Heading9"/>
        <w:rPr>
          <w:lang w:val="en-AU"/>
        </w:rPr>
      </w:pPr>
      <w:r>
        <w:rPr>
          <w:lang w:val="en-AU"/>
        </w:rPr>
        <w:t>Any unused portion of the 'Mobile Internet Data Value' expires at the end of each month and does not roll over into the following month.</w:t>
      </w:r>
    </w:p>
    <w:p w14:paraId="187DF147" w14:textId="77777777" w:rsidR="000D07EA" w:rsidRDefault="00BE7C89">
      <w:pPr>
        <w:pStyle w:val="Heading9"/>
        <w:rPr>
          <w:lang w:val="en-AU"/>
        </w:rPr>
      </w:pPr>
      <w:r>
        <w:rPr>
          <w:lang w:val="en-AU"/>
        </w:rPr>
        <w:t>The usage types that are '</w:t>
      </w:r>
      <w:r>
        <w:rPr>
          <w:b/>
          <w:lang w:val="en-AU"/>
        </w:rPr>
        <w:t>eligible data</w:t>
      </w:r>
      <w:r>
        <w:rPr>
          <w:lang w:val="en-AU"/>
        </w:rPr>
        <w:t>' for each Business Complete Plan under the Unlimited BlackBerry POP3 Email and BlackBerry Browsing through the BlackBerry Browser are defined in Table 2B below.</w:t>
      </w:r>
    </w:p>
    <w:p w14:paraId="329DF401" w14:textId="77777777" w:rsidR="000D07EA" w:rsidRDefault="00BE7C89">
      <w:pPr>
        <w:pStyle w:val="Heading9"/>
        <w:rPr>
          <w:lang w:val="en-AU"/>
        </w:rPr>
      </w:pPr>
      <w:r>
        <w:rPr>
          <w:lang w:val="en-AU"/>
        </w:rPr>
        <w:t xml:space="preserve">Use of Unlimited BlackBerry POP3 Email is for personal or business use. </w:t>
      </w:r>
      <w:r>
        <w:rPr>
          <w:rFonts w:cs="Arial"/>
          <w:bCs/>
          <w:szCs w:val="20"/>
        </w:rPr>
        <w:t>Fair Go Policy (</w:t>
      </w:r>
      <w:hyperlink r:id="rId372" w:history="1">
        <w:r>
          <w:rPr>
            <w:rStyle w:val="Hyperlink"/>
          </w:rPr>
          <w:t>Appendix S</w:t>
        </w:r>
      </w:hyperlink>
      <w:r>
        <w:rPr>
          <w:rFonts w:cs="Arial"/>
          <w:bCs/>
          <w:szCs w:val="20"/>
        </w:rPr>
        <w:t>)</w:t>
      </w:r>
      <w:r>
        <w:rPr>
          <w:lang w:val="en-AU"/>
        </w:rPr>
        <w:t xml:space="preserve"> also applies to unacceptable use. Please refer to </w:t>
      </w:r>
      <w:hyperlink r:id="rId373" w:history="1">
        <w:r w:rsidR="00F84E53">
          <w:rPr>
            <w:rStyle w:val="Hyperlink"/>
            <w:i/>
          </w:rPr>
          <w:t>Appendix S</w:t>
        </w:r>
      </w:hyperlink>
      <w:r>
        <w:rPr>
          <w:lang w:val="en-AU"/>
        </w:rPr>
        <w:t xml:space="preserve"> for further details.</w:t>
      </w:r>
    </w:p>
    <w:p w14:paraId="70A6A194" w14:textId="77777777" w:rsidR="000D07EA" w:rsidRDefault="00BE7C89">
      <w:pPr>
        <w:pStyle w:val="Heading7"/>
        <w:rPr>
          <w:b/>
          <w:lang w:val="en-AU"/>
        </w:rPr>
      </w:pPr>
      <w:r>
        <w:rPr>
          <w:b/>
          <w:lang w:val="en-AU"/>
        </w:rPr>
        <w:t>Unlimited mobile access to Facebook®, Twitter, LinkedIn, Ebay, FourSquare and MySpace</w:t>
      </w:r>
    </w:p>
    <w:p w14:paraId="43919517" w14:textId="77777777" w:rsidR="000D07EA" w:rsidRDefault="00BE7C89">
      <w:pPr>
        <w:pStyle w:val="Heading8"/>
        <w:rPr>
          <w:lang w:val="en-AU"/>
        </w:rPr>
      </w:pPr>
      <w:r>
        <w:rPr>
          <w:lang w:val="en-AU"/>
        </w:rPr>
        <w:t xml:space="preserve">Under the Business Complete Plans, </w:t>
      </w:r>
      <w:r>
        <w:rPr>
          <w:i/>
          <w:lang w:val="en-AU"/>
        </w:rPr>
        <w:t>you</w:t>
      </w:r>
      <w:r>
        <w:rPr>
          <w:lang w:val="en-AU"/>
        </w:rPr>
        <w:t xml:space="preserve"> will receive unlimited mobile access to Facebook®, Twitter, LinkedIn, Ebay, FourSquare and MySpace, within Australia.</w:t>
      </w:r>
    </w:p>
    <w:p w14:paraId="4311639B" w14:textId="77777777" w:rsidR="000D07EA" w:rsidRDefault="00BE7C89">
      <w:pPr>
        <w:pStyle w:val="Heading8"/>
        <w:rPr>
          <w:lang w:val="en-AU"/>
        </w:rPr>
      </w:pPr>
      <w:r>
        <w:rPr>
          <w:lang w:val="en-AU"/>
        </w:rPr>
        <w:t xml:space="preserve">These features are only available to </w:t>
      </w:r>
      <w:r>
        <w:rPr>
          <w:i/>
          <w:lang w:val="en-AU"/>
        </w:rPr>
        <w:t>you</w:t>
      </w:r>
      <w:r>
        <w:rPr>
          <w:lang w:val="en-AU"/>
        </w:rPr>
        <w:t xml:space="preserve"> if </w:t>
      </w:r>
      <w:r>
        <w:rPr>
          <w:i/>
          <w:lang w:val="en-AU"/>
        </w:rPr>
        <w:t>your</w:t>
      </w:r>
      <w:r>
        <w:rPr>
          <w:lang w:val="en-AU"/>
        </w:rPr>
        <w:t xml:space="preserve"> handset is compatible with the service.</w:t>
      </w:r>
    </w:p>
    <w:p w14:paraId="0D26F965" w14:textId="77777777" w:rsidR="000D07EA" w:rsidRDefault="00BE7C89">
      <w:pPr>
        <w:pStyle w:val="Heading8"/>
        <w:rPr>
          <w:lang w:val="en-AU" w:eastAsia="en-AU"/>
        </w:rPr>
      </w:pPr>
      <w:r>
        <w:rPr>
          <w:lang w:val="en-AU" w:eastAsia="en-AU"/>
        </w:rPr>
        <w:lastRenderedPageBreak/>
        <w:t xml:space="preserve">Use of Unlimited mobile access to Facebook®, Twitter, LinkedIn, Ebay, FourSquare and MySpace is for personal or business use. Please refer to </w:t>
      </w:r>
      <w:hyperlink r:id="rId374" w:history="1">
        <w:r w:rsidR="00F84E53">
          <w:rPr>
            <w:rStyle w:val="Hyperlink"/>
            <w:i/>
          </w:rPr>
          <w:t>Appendix S</w:t>
        </w:r>
      </w:hyperlink>
      <w:r>
        <w:rPr>
          <w:lang w:val="en-AU" w:eastAsia="en-AU"/>
        </w:rPr>
        <w:t xml:space="preserve"> for further details.</w:t>
      </w:r>
    </w:p>
    <w:p w14:paraId="2B3A4121" w14:textId="77777777" w:rsidR="000D07EA" w:rsidRDefault="00BE7C89">
      <w:pPr>
        <w:pStyle w:val="Heading7"/>
        <w:rPr>
          <w:lang w:val="en-AU"/>
        </w:rPr>
      </w:pPr>
      <w:r>
        <w:rPr>
          <w:lang w:val="en-AU"/>
        </w:rPr>
        <w:t>Unlimited Standard National SMS Offer on the $59 Business Complete (Nov-11 Premium H/set) and $79 Business Complete (Nov-11 Premium H/set) Plans</w:t>
      </w:r>
    </w:p>
    <w:p w14:paraId="74E1539F" w14:textId="77777777" w:rsidR="000D07EA" w:rsidRDefault="00BE7C89">
      <w:pPr>
        <w:pStyle w:val="Heading8"/>
        <w:rPr>
          <w:lang w:val="en-AU"/>
        </w:rPr>
      </w:pPr>
      <w:r>
        <w:rPr>
          <w:lang w:val="en-AU"/>
        </w:rPr>
        <w:t xml:space="preserve">Under the $59 Business Complete (Nov-11 Premium H/set) and $79 Business Complete (Nov-11 Premium H/set) plans </w:t>
      </w:r>
      <w:r>
        <w:rPr>
          <w:i/>
          <w:lang w:val="en-AU"/>
        </w:rPr>
        <w:t>you</w:t>
      </w:r>
      <w:r>
        <w:rPr>
          <w:lang w:val="en-AU"/>
        </w:rPr>
        <w:t xml:space="preserve"> will receive the Unlimited Standard National SMS Offer and may send unlimited standard national SMS to Australian GSM mobiles (excluding Pivotel), within Australia.</w:t>
      </w:r>
    </w:p>
    <w:p w14:paraId="0351E34A" w14:textId="77777777" w:rsidR="000D07EA" w:rsidRDefault="00BE7C89">
      <w:pPr>
        <w:pStyle w:val="Heading8"/>
        <w:rPr>
          <w:lang w:val="en-AU"/>
        </w:rPr>
      </w:pPr>
      <w:r>
        <w:rPr>
          <w:lang w:val="en-AU"/>
        </w:rPr>
        <w:t>The Unlimited Standard National SMS Offer excludes standard national MMS, International, Premium, Group and Email SMS.</w:t>
      </w:r>
    </w:p>
    <w:p w14:paraId="77895057" w14:textId="77777777" w:rsidR="000D07EA" w:rsidRDefault="00BE7C89">
      <w:pPr>
        <w:pStyle w:val="Heading8"/>
        <w:rPr>
          <w:lang w:val="en-AU"/>
        </w:rPr>
      </w:pPr>
      <w:r>
        <w:rPr>
          <w:i/>
          <w:lang w:val="en-AU"/>
        </w:rPr>
        <w:t>You</w:t>
      </w:r>
      <w:r>
        <w:rPr>
          <w:lang w:val="en-AU"/>
        </w:rPr>
        <w:t xml:space="preserve"> must pay for any SMS that are not included as unlimited SMS.</w:t>
      </w:r>
    </w:p>
    <w:p w14:paraId="69DC1E3B" w14:textId="77777777" w:rsidR="000D07EA" w:rsidRDefault="00BE7C89">
      <w:pPr>
        <w:pStyle w:val="Heading8"/>
        <w:rPr>
          <w:lang w:val="en-AU"/>
        </w:rPr>
      </w:pPr>
      <w:r>
        <w:rPr>
          <w:lang w:val="en-AU"/>
        </w:rPr>
        <w:t xml:space="preserve">The </w:t>
      </w:r>
      <w:r>
        <w:rPr>
          <w:rFonts w:cs="Arial"/>
          <w:bCs/>
          <w:szCs w:val="20"/>
        </w:rPr>
        <w:t>Fair Go Policy (</w:t>
      </w:r>
      <w:hyperlink r:id="rId375" w:history="1">
        <w:r>
          <w:rPr>
            <w:rStyle w:val="Hyperlink"/>
            <w:i/>
          </w:rPr>
          <w:t>Appendix S</w:t>
        </w:r>
      </w:hyperlink>
      <w:r>
        <w:rPr>
          <w:rFonts w:cs="Arial"/>
          <w:bCs/>
          <w:szCs w:val="20"/>
        </w:rPr>
        <w:t>)</w:t>
      </w:r>
      <w:r>
        <w:rPr>
          <w:lang w:val="en-AU"/>
        </w:rPr>
        <w:t xml:space="preserve"> applies to the use of the Unlimited Standard National SMS Offer. Please refer to </w:t>
      </w:r>
      <w:hyperlink r:id="rId376" w:history="1">
        <w:r w:rsidR="00DD7FB0">
          <w:rPr>
            <w:lang w:val="en-AU"/>
          </w:rPr>
          <w:t>S</w:t>
        </w:r>
      </w:hyperlink>
      <w:r>
        <w:rPr>
          <w:lang w:val="en-AU"/>
        </w:rPr>
        <w:t xml:space="preserve"> for further details.</w:t>
      </w:r>
    </w:p>
    <w:p w14:paraId="3C809B52" w14:textId="77777777" w:rsidR="000D07EA" w:rsidRDefault="00BE7C89">
      <w:pPr>
        <w:pStyle w:val="Heading7"/>
        <w:rPr>
          <w:b/>
          <w:lang w:val="en-AU"/>
        </w:rPr>
      </w:pPr>
      <w:r>
        <w:rPr>
          <w:b/>
          <w:lang w:val="en-AU"/>
        </w:rPr>
        <w:t>Unlimited calls to Optus GSM Mobiles on Same Customer Account Number</w:t>
      </w:r>
    </w:p>
    <w:p w14:paraId="2CD3631F" w14:textId="77777777" w:rsidR="000D07EA" w:rsidRDefault="00BE7C89">
      <w:pPr>
        <w:pStyle w:val="Heading8"/>
        <w:rPr>
          <w:b/>
          <w:lang w:val="en-AU"/>
        </w:rPr>
      </w:pPr>
      <w:r>
        <w:rPr>
          <w:lang w:val="en-AU"/>
        </w:rPr>
        <w:t>Under</w:t>
      </w:r>
      <w:r>
        <w:t xml:space="preserve"> the </w:t>
      </w:r>
      <w:r>
        <w:rPr>
          <w:lang w:val="en-AU"/>
        </w:rPr>
        <w:t xml:space="preserve">Business Complete </w:t>
      </w:r>
      <w:r>
        <w:t xml:space="preserve">Plans, </w:t>
      </w:r>
      <w:r>
        <w:rPr>
          <w:i/>
        </w:rPr>
        <w:t>you</w:t>
      </w:r>
      <w:r>
        <w:t xml:space="preserve"> will receive unlimited national standard </w:t>
      </w:r>
      <w:r>
        <w:rPr>
          <w:lang w:val="en-AU"/>
        </w:rPr>
        <w:t xml:space="preserve">voice calls within Australia to other Optus GSM Mobile services on the same customer account number for no additional cost. </w:t>
      </w:r>
    </w:p>
    <w:p w14:paraId="448E56EE" w14:textId="77777777" w:rsidR="000D07EA" w:rsidRDefault="00BE7C89">
      <w:pPr>
        <w:pStyle w:val="Heading8"/>
        <w:rPr>
          <w:lang w:val="en-AU"/>
        </w:rPr>
      </w:pPr>
      <w:r>
        <w:rPr>
          <w:i/>
          <w:lang w:val="en-AU"/>
        </w:rPr>
        <w:t>You</w:t>
      </w:r>
      <w:r>
        <w:rPr>
          <w:lang w:val="en-AU"/>
        </w:rPr>
        <w:t xml:space="preserve"> must pay for any calls that are not eligible calls.</w:t>
      </w:r>
    </w:p>
    <w:p w14:paraId="23A9CAEB" w14:textId="77777777" w:rsidR="000D07EA" w:rsidRDefault="00BE7C89">
      <w:pPr>
        <w:pStyle w:val="Heading8"/>
        <w:rPr>
          <w:lang w:val="en-AU"/>
        </w:rPr>
      </w:pPr>
      <w:r>
        <w:rPr>
          <w:lang w:val="en-AU"/>
        </w:rPr>
        <w:t xml:space="preserve">The </w:t>
      </w:r>
      <w:r>
        <w:rPr>
          <w:rFonts w:cs="Arial"/>
          <w:bCs/>
          <w:szCs w:val="20"/>
        </w:rPr>
        <w:t>Fair Go Policy (</w:t>
      </w:r>
      <w:hyperlink r:id="rId377" w:history="1">
        <w:r>
          <w:rPr>
            <w:rStyle w:val="Hyperlink"/>
          </w:rPr>
          <w:t>Appendix S</w:t>
        </w:r>
      </w:hyperlink>
      <w:r>
        <w:rPr>
          <w:rFonts w:cs="Arial"/>
          <w:bCs/>
          <w:szCs w:val="20"/>
        </w:rPr>
        <w:t>)</w:t>
      </w:r>
      <w:r>
        <w:rPr>
          <w:lang w:val="en-AU"/>
        </w:rPr>
        <w:t xml:space="preserve"> applies for the use of Unlimited Optus GSM Mobile Calls on Same Customer Account Number Offer. Please refer to </w:t>
      </w:r>
      <w:hyperlink r:id="rId378" w:history="1">
        <w:r w:rsidR="00F84E53">
          <w:rPr>
            <w:rStyle w:val="Hyperlink"/>
            <w:i/>
          </w:rPr>
          <w:t>Appendix S</w:t>
        </w:r>
      </w:hyperlink>
      <w:r>
        <w:rPr>
          <w:lang w:val="en-AU"/>
        </w:rPr>
        <w:t xml:space="preserve"> for further details.</w:t>
      </w:r>
    </w:p>
    <w:p w14:paraId="43DA66C6" w14:textId="77777777" w:rsidR="000D07EA" w:rsidRDefault="00BE7C89">
      <w:pPr>
        <w:pStyle w:val="Heading7"/>
        <w:rPr>
          <w:b/>
          <w:lang w:val="en-AU"/>
        </w:rPr>
      </w:pPr>
      <w:r>
        <w:rPr>
          <w:b/>
          <w:lang w:val="en-AU"/>
        </w:rPr>
        <w:t>Unlimited VoiceMail Deposits and Retrievals</w:t>
      </w:r>
    </w:p>
    <w:p w14:paraId="2CA585C2" w14:textId="77777777" w:rsidR="000D07EA" w:rsidRDefault="00BE7C89">
      <w:pPr>
        <w:pStyle w:val="Heading8"/>
        <w:rPr>
          <w:lang w:val="en-AU"/>
        </w:rPr>
      </w:pPr>
      <w:r>
        <w:t xml:space="preserve">Under the Business Complete Plans, </w:t>
      </w:r>
      <w:r>
        <w:rPr>
          <w:i/>
        </w:rPr>
        <w:t xml:space="preserve">you </w:t>
      </w:r>
      <w:r>
        <w:t>will receive Unlimited</w:t>
      </w:r>
      <w:r>
        <w:rPr>
          <w:lang w:val="en-AU"/>
        </w:rPr>
        <w:t xml:space="preserve"> VoiceMail Deposits and Retrievals within Australia. Diversion charges may still apply. </w:t>
      </w:r>
    </w:p>
    <w:p w14:paraId="6509366C" w14:textId="77777777" w:rsidR="000D07EA" w:rsidRDefault="00BE7C89">
      <w:pPr>
        <w:pStyle w:val="Heading8"/>
        <w:rPr>
          <w:lang w:val="en-AU"/>
        </w:rPr>
      </w:pPr>
      <w:r>
        <w:rPr>
          <w:lang w:val="en-AU"/>
        </w:rPr>
        <w:t xml:space="preserve">The </w:t>
      </w:r>
      <w:r>
        <w:rPr>
          <w:rFonts w:cs="Arial"/>
          <w:bCs/>
          <w:szCs w:val="20"/>
        </w:rPr>
        <w:t>Fair Go Policy (</w:t>
      </w:r>
      <w:hyperlink r:id="rId379" w:history="1">
        <w:r>
          <w:rPr>
            <w:rStyle w:val="Hyperlink"/>
          </w:rPr>
          <w:t>Appendix S</w:t>
        </w:r>
      </w:hyperlink>
      <w:r>
        <w:rPr>
          <w:rFonts w:cs="Arial"/>
          <w:bCs/>
          <w:szCs w:val="20"/>
        </w:rPr>
        <w:t>)</w:t>
      </w:r>
      <w:r>
        <w:rPr>
          <w:lang w:val="en-AU"/>
        </w:rPr>
        <w:t xml:space="preserve"> applies for the use of Unlimited VoiceMail Deposits and Retrievals. Please refer to </w:t>
      </w:r>
      <w:r>
        <w:rPr>
          <w:i/>
          <w:lang w:val="en-AU"/>
        </w:rPr>
        <w:t xml:space="preserve">Appendix </w:t>
      </w:r>
      <w:r w:rsidR="00DD7FB0">
        <w:rPr>
          <w:i/>
          <w:lang w:val="en-AU"/>
        </w:rPr>
        <w:t>S</w:t>
      </w:r>
      <w:r>
        <w:rPr>
          <w:i/>
          <w:lang w:val="en-AU"/>
        </w:rPr>
        <w:t xml:space="preserve"> </w:t>
      </w:r>
      <w:r>
        <w:rPr>
          <w:lang w:val="en-AU"/>
        </w:rPr>
        <w:t>for further details.</w:t>
      </w:r>
    </w:p>
    <w:p w14:paraId="2D79A9FF" w14:textId="77777777" w:rsidR="000D07EA" w:rsidRDefault="00BE7C89">
      <w:pPr>
        <w:pStyle w:val="Heading7"/>
        <w:rPr>
          <w:b/>
          <w:lang w:val="en-AU"/>
        </w:rPr>
      </w:pPr>
      <w:r>
        <w:rPr>
          <w:b/>
          <w:lang w:val="en-AU"/>
        </w:rPr>
        <w:t xml:space="preserve">Other Business Complete Plans Conditions: </w:t>
      </w:r>
    </w:p>
    <w:p w14:paraId="2F7B7088" w14:textId="77777777" w:rsidR="000D07EA" w:rsidRDefault="00BE7C89">
      <w:pPr>
        <w:pStyle w:val="Heading8"/>
        <w:rPr>
          <w:lang w:val="en-AU"/>
        </w:rPr>
      </w:pPr>
      <w:r>
        <w:rPr>
          <w:lang w:val="en-AU"/>
        </w:rPr>
        <w:t xml:space="preserve">The </w:t>
      </w:r>
      <w:r>
        <w:rPr>
          <w:rFonts w:cs="Arial"/>
          <w:bCs/>
          <w:szCs w:val="20"/>
        </w:rPr>
        <w:t>Fair Go Policy (</w:t>
      </w:r>
      <w:hyperlink r:id="rId380" w:history="1">
        <w:r>
          <w:rPr>
            <w:rStyle w:val="Hyperlink"/>
            <w:i/>
          </w:rPr>
          <w:t>Appendix S</w:t>
        </w:r>
      </w:hyperlink>
      <w:r>
        <w:rPr>
          <w:rFonts w:cs="Arial"/>
          <w:bCs/>
          <w:szCs w:val="20"/>
        </w:rPr>
        <w:t>)</w:t>
      </w:r>
      <w:r>
        <w:rPr>
          <w:lang w:val="en-AU"/>
        </w:rPr>
        <w:t xml:space="preserve"> applies to Voice Over Internet Protocol (VOIP) services up to 10 megabytes per month. Please refer to </w:t>
      </w:r>
      <w:hyperlink r:id="rId381" w:history="1">
        <w:r w:rsidR="00F84E53">
          <w:rPr>
            <w:rStyle w:val="Hyperlink"/>
            <w:i/>
          </w:rPr>
          <w:t>Appendix S</w:t>
        </w:r>
      </w:hyperlink>
      <w:r>
        <w:rPr>
          <w:lang w:val="en-AU"/>
        </w:rPr>
        <w:t>for further details.</w:t>
      </w:r>
    </w:p>
    <w:p w14:paraId="2D98E387" w14:textId="77777777" w:rsidR="000D07EA" w:rsidRDefault="00BE7C89">
      <w:pPr>
        <w:pStyle w:val="Heading8"/>
        <w:rPr>
          <w:lang w:val="en-AU" w:eastAsia="en-AU"/>
        </w:rPr>
      </w:pPr>
      <w:r>
        <w:rPr>
          <w:lang w:val="en-AU" w:eastAsia="en-AU"/>
        </w:rPr>
        <w:t xml:space="preserve">Voice Over Internet Protocol (VOIP) services will be charged at 1.5c per kilobyte of usage, capped at $9.90 per month until </w:t>
      </w:r>
      <w:r>
        <w:rPr>
          <w:i/>
          <w:lang w:val="en-AU" w:eastAsia="en-AU"/>
        </w:rPr>
        <w:t>you</w:t>
      </w:r>
      <w:r>
        <w:rPr>
          <w:lang w:val="en-AU" w:eastAsia="en-AU"/>
        </w:rPr>
        <w:t xml:space="preserve"> reach 5 megabytes of usage in that month, after which </w:t>
      </w:r>
      <w:r>
        <w:rPr>
          <w:i/>
          <w:lang w:val="en-AU" w:eastAsia="en-AU"/>
        </w:rPr>
        <w:t>you</w:t>
      </w:r>
      <w:r>
        <w:rPr>
          <w:lang w:val="en-AU" w:eastAsia="en-AU"/>
        </w:rPr>
        <w:t xml:space="preserve"> will be charged at 0.3c per kilobyte of usage for the remainder of that month.</w:t>
      </w:r>
    </w:p>
    <w:p w14:paraId="5D5D8EE1" w14:textId="77777777" w:rsidR="000D07EA" w:rsidRDefault="00BE7C89">
      <w:pPr>
        <w:pStyle w:val="Heading8"/>
        <w:rPr>
          <w:lang w:val="en-AU"/>
        </w:rPr>
      </w:pPr>
      <w:r>
        <w:rPr>
          <w:lang w:val="en-AU"/>
        </w:rPr>
        <w:t xml:space="preserve">Available features will vary depending on </w:t>
      </w:r>
      <w:r>
        <w:rPr>
          <w:i/>
          <w:lang w:val="en-AU"/>
        </w:rPr>
        <w:t>your</w:t>
      </w:r>
      <w:r>
        <w:rPr>
          <w:lang w:val="en-AU"/>
        </w:rPr>
        <w:t xml:space="preserve"> handset or software version.</w:t>
      </w:r>
    </w:p>
    <w:p w14:paraId="693F2999" w14:textId="77777777" w:rsidR="000D07EA" w:rsidRDefault="00BE7C89">
      <w:pPr>
        <w:pStyle w:val="Heading7"/>
        <w:rPr>
          <w:b/>
          <w:lang w:val="en-AU"/>
        </w:rPr>
      </w:pPr>
      <w:r>
        <w:rPr>
          <w:b/>
          <w:lang w:val="en-AU"/>
        </w:rPr>
        <w:t>Additional benefit – Handset Credit</w:t>
      </w:r>
    </w:p>
    <w:p w14:paraId="372BC6F2" w14:textId="77777777" w:rsidR="000D07EA" w:rsidRDefault="00BE7C89">
      <w:pPr>
        <w:pStyle w:val="Heading8"/>
        <w:rPr>
          <w:lang w:val="en-AU"/>
        </w:rPr>
      </w:pPr>
      <w:r>
        <w:rPr>
          <w:lang w:val="en-AU"/>
        </w:rPr>
        <w:t xml:space="preserve">If </w:t>
      </w:r>
      <w:r>
        <w:rPr>
          <w:i/>
          <w:lang w:val="en-AU"/>
        </w:rPr>
        <w:t>you</w:t>
      </w:r>
      <w:r>
        <w:rPr>
          <w:lang w:val="en-AU"/>
        </w:rPr>
        <w:t>:</w:t>
      </w:r>
    </w:p>
    <w:p w14:paraId="257C0F20" w14:textId="77777777" w:rsidR="000D07EA" w:rsidRDefault="00BE7C89">
      <w:pPr>
        <w:pStyle w:val="Heading9"/>
        <w:rPr>
          <w:lang w:val="en-AU"/>
        </w:rPr>
      </w:pPr>
      <w:r>
        <w:rPr>
          <w:lang w:val="en-AU"/>
        </w:rPr>
        <w:t xml:space="preserve">connect to a $49/$59/$79 Business Complete (Nov-11 Premium H/set) Plan on a 12 month or 24 month </w:t>
      </w:r>
      <w:r>
        <w:rPr>
          <w:i/>
          <w:lang w:val="en-AU"/>
        </w:rPr>
        <w:t>minimum term;</w:t>
      </w:r>
      <w:r>
        <w:rPr>
          <w:lang w:val="en-AU"/>
        </w:rPr>
        <w:t xml:space="preserve"> and</w:t>
      </w:r>
    </w:p>
    <w:p w14:paraId="235D16F8" w14:textId="77777777" w:rsidR="000D07EA" w:rsidRDefault="00BE7C89">
      <w:pPr>
        <w:pStyle w:val="Heading9"/>
        <w:rPr>
          <w:lang w:val="en-AU"/>
        </w:rPr>
      </w:pPr>
      <w:r>
        <w:rPr>
          <w:lang w:val="en-AU"/>
        </w:rPr>
        <w:t xml:space="preserve">purchase a </w:t>
      </w:r>
      <w:r>
        <w:rPr>
          <w:i/>
          <w:lang w:val="en-AU"/>
        </w:rPr>
        <w:t>mobile phone</w:t>
      </w:r>
      <w:r>
        <w:rPr>
          <w:lang w:val="en-AU"/>
        </w:rPr>
        <w:t xml:space="preserve"> with a 12 month or 24 month </w:t>
      </w:r>
      <w:r>
        <w:rPr>
          <w:i/>
          <w:lang w:val="en-AU"/>
        </w:rPr>
        <w:t>equipment term</w:t>
      </w:r>
      <w:r>
        <w:rPr>
          <w:lang w:val="en-AU"/>
        </w:rPr>
        <w:t xml:space="preserve"> under a </w:t>
      </w:r>
      <w:r>
        <w:rPr>
          <w:i/>
          <w:lang w:val="en-AU"/>
        </w:rPr>
        <w:t>mobile equipment payment plan,</w:t>
      </w:r>
      <w:r>
        <w:rPr>
          <w:lang w:val="en-AU"/>
        </w:rPr>
        <w:t xml:space="preserve"> depending on </w:t>
      </w:r>
      <w:r>
        <w:rPr>
          <w:i/>
          <w:lang w:val="en-AU"/>
        </w:rPr>
        <w:t>your</w:t>
      </w:r>
      <w:r>
        <w:rPr>
          <w:lang w:val="en-AU"/>
        </w:rPr>
        <w:t xml:space="preserve"> </w:t>
      </w:r>
      <w:r>
        <w:rPr>
          <w:i/>
          <w:lang w:val="en-AU"/>
        </w:rPr>
        <w:t>pricing plan</w:t>
      </w:r>
      <w:r>
        <w:rPr>
          <w:lang w:val="en-AU"/>
        </w:rPr>
        <w:t xml:space="preserve">, </w:t>
      </w:r>
      <w:r>
        <w:rPr>
          <w:i/>
          <w:lang w:val="en-AU"/>
        </w:rPr>
        <w:t>you</w:t>
      </w:r>
      <w:r>
        <w:rPr>
          <w:lang w:val="en-AU"/>
        </w:rPr>
        <w:t xml:space="preserve"> will receive an amount to offset the cost of </w:t>
      </w:r>
      <w:r>
        <w:rPr>
          <w:i/>
          <w:lang w:val="en-AU"/>
        </w:rPr>
        <w:t>your mobile phone</w:t>
      </w:r>
      <w:r>
        <w:rPr>
          <w:lang w:val="en-AU"/>
        </w:rPr>
        <w:t xml:space="preserve"> (</w:t>
      </w:r>
      <w:r>
        <w:rPr>
          <w:b/>
          <w:lang w:val="en-AU"/>
        </w:rPr>
        <w:t>Handset Credit</w:t>
      </w:r>
      <w:r>
        <w:rPr>
          <w:lang w:val="en-AU"/>
        </w:rPr>
        <w:t xml:space="preserve">) of up to $10/$15/$20 respectively for each month for the contracted period of </w:t>
      </w:r>
      <w:r>
        <w:rPr>
          <w:i/>
          <w:lang w:val="en-AU"/>
        </w:rPr>
        <w:t>your</w:t>
      </w:r>
      <w:r>
        <w:rPr>
          <w:lang w:val="en-AU"/>
        </w:rPr>
        <w:t xml:space="preserve"> plan to put towards reducing the monthly repayment costs of the handset (if any). </w:t>
      </w:r>
    </w:p>
    <w:p w14:paraId="4546E17D" w14:textId="77777777" w:rsidR="000D07EA" w:rsidRDefault="00BE7C89">
      <w:pPr>
        <w:pStyle w:val="Heading8"/>
        <w:rPr>
          <w:lang w:val="en-AU"/>
        </w:rPr>
      </w:pPr>
      <w:r>
        <w:rPr>
          <w:lang w:val="en-AU"/>
        </w:rPr>
        <w:lastRenderedPageBreak/>
        <w:t xml:space="preserve">If </w:t>
      </w:r>
      <w:r>
        <w:rPr>
          <w:i/>
          <w:lang w:val="en-AU"/>
        </w:rPr>
        <w:t>you</w:t>
      </w:r>
      <w:r>
        <w:rPr>
          <w:lang w:val="en-AU"/>
        </w:rPr>
        <w:t xml:space="preserve"> cancel </w:t>
      </w:r>
      <w:r>
        <w:rPr>
          <w:i/>
          <w:lang w:val="en-AU"/>
        </w:rPr>
        <w:t>your</w:t>
      </w:r>
      <w:r>
        <w:rPr>
          <w:lang w:val="en-AU"/>
        </w:rPr>
        <w:t xml:space="preserve"> plan and/or the </w:t>
      </w:r>
      <w:r>
        <w:rPr>
          <w:i/>
          <w:lang w:val="en-AU"/>
        </w:rPr>
        <w:t>mobile equipment payment plan</w:t>
      </w:r>
      <w:r>
        <w:rPr>
          <w:lang w:val="en-AU"/>
        </w:rPr>
        <w:t xml:space="preserve"> during the contracted period, </w:t>
      </w:r>
      <w:r>
        <w:rPr>
          <w:i/>
          <w:lang w:val="en-AU"/>
        </w:rPr>
        <w:t>you</w:t>
      </w:r>
      <w:r>
        <w:rPr>
          <w:lang w:val="en-AU"/>
        </w:rPr>
        <w:t xml:space="preserve"> will no longer be entitled to the Handset Credit and </w:t>
      </w:r>
      <w:r>
        <w:rPr>
          <w:i/>
          <w:lang w:val="en-AU"/>
        </w:rPr>
        <w:t>you</w:t>
      </w:r>
      <w:r>
        <w:rPr>
          <w:lang w:val="en-AU"/>
        </w:rPr>
        <w:t xml:space="preserve"> must pay the remaining </w:t>
      </w:r>
      <w:r>
        <w:rPr>
          <w:i/>
          <w:lang w:val="en-AU"/>
        </w:rPr>
        <w:t xml:space="preserve">mobile equipment payments </w:t>
      </w:r>
      <w:r>
        <w:rPr>
          <w:lang w:val="en-AU"/>
        </w:rPr>
        <w:t xml:space="preserve">in addition to any </w:t>
      </w:r>
      <w:r>
        <w:rPr>
          <w:i/>
          <w:lang w:val="en-AU"/>
        </w:rPr>
        <w:t xml:space="preserve">cancellation fee </w:t>
      </w:r>
      <w:r>
        <w:rPr>
          <w:lang w:val="en-AU"/>
        </w:rPr>
        <w:t xml:space="preserve">required by clause </w:t>
      </w:r>
      <w:r>
        <w:rPr>
          <w:lang w:val="en-AU"/>
        </w:rPr>
        <w:fldChar w:fldCharType="begin"/>
      </w:r>
      <w:r>
        <w:rPr>
          <w:lang w:val="en-AU"/>
        </w:rPr>
        <w:instrText xml:space="preserve"> REF _Ref306632820 \r \h  \* MERGEFORMAT </w:instrText>
      </w:r>
      <w:r>
        <w:rPr>
          <w:lang w:val="en-AU"/>
        </w:rPr>
      </w:r>
      <w:r>
        <w:rPr>
          <w:lang w:val="en-AU"/>
        </w:rPr>
        <w:fldChar w:fldCharType="separate"/>
      </w:r>
      <w:r w:rsidR="0004083A">
        <w:rPr>
          <w:lang w:val="en-AU"/>
        </w:rPr>
        <w:t>97.7</w:t>
      </w:r>
      <w:r>
        <w:rPr>
          <w:lang w:val="en-AU"/>
        </w:rPr>
        <w:fldChar w:fldCharType="end"/>
      </w:r>
      <w:r>
        <w:rPr>
          <w:lang w:val="en-AU"/>
        </w:rPr>
        <w:t>.</w:t>
      </w:r>
    </w:p>
    <w:p w14:paraId="4B45577E" w14:textId="77777777" w:rsidR="000D07EA" w:rsidRDefault="00BE7C89">
      <w:pPr>
        <w:pStyle w:val="Heading7"/>
        <w:rPr>
          <w:b/>
          <w:lang w:val="en-AU"/>
        </w:rPr>
      </w:pPr>
      <w:r>
        <w:rPr>
          <w:b/>
          <w:lang w:val="en-AU"/>
        </w:rPr>
        <w:t>Eligible Calls and Pricing Plans</w:t>
      </w:r>
    </w:p>
    <w:p w14:paraId="3E3A69DF" w14:textId="77777777" w:rsidR="000D07EA" w:rsidRDefault="00BE7C89">
      <w:pPr>
        <w:pStyle w:val="Heading8"/>
        <w:rPr>
          <w:lang w:val="en-AU"/>
        </w:rPr>
      </w:pPr>
      <w:r>
        <w:rPr>
          <w:lang w:val="en-AU"/>
        </w:rPr>
        <w:t xml:space="preserve">Table 1A below indicates whether particular call types are an 'eligible call and text' which count towards the 'Included Cap Value' and Minimum Monthly Charge of </w:t>
      </w:r>
      <w:r>
        <w:rPr>
          <w:i/>
          <w:lang w:val="en-AU"/>
        </w:rPr>
        <w:t>your</w:t>
      </w:r>
      <w:r>
        <w:rPr>
          <w:lang w:val="en-AU"/>
        </w:rPr>
        <w:t xml:space="preserve"> selected Business Complete Plan. </w:t>
      </w:r>
    </w:p>
    <w:p w14:paraId="61FC5578" w14:textId="77777777" w:rsidR="000D07EA" w:rsidRDefault="00BE7C89">
      <w:pPr>
        <w:pStyle w:val="Heading8"/>
        <w:rPr>
          <w:lang w:val="en-AU"/>
        </w:rPr>
      </w:pPr>
      <w:r>
        <w:rPr>
          <w:lang w:val="en-AU"/>
        </w:rPr>
        <w:t xml:space="preserve">Table 2A below indicates whether a particular call type is 'eligible data usage' which counts towards the data value of </w:t>
      </w:r>
      <w:r>
        <w:rPr>
          <w:i/>
          <w:lang w:val="en-AU"/>
        </w:rPr>
        <w:t>your</w:t>
      </w:r>
      <w:r>
        <w:rPr>
          <w:lang w:val="en-AU"/>
        </w:rPr>
        <w:t xml:space="preserve"> selected Business Complete Plan.</w:t>
      </w:r>
    </w:p>
    <w:p w14:paraId="2867C50C" w14:textId="77777777" w:rsidR="000D07EA" w:rsidRDefault="00BE7C89">
      <w:pPr>
        <w:pStyle w:val="Heading8"/>
        <w:rPr>
          <w:lang w:val="en-AU"/>
        </w:rPr>
      </w:pPr>
      <w:r>
        <w:rPr>
          <w:lang w:val="en-AU"/>
        </w:rPr>
        <w:t xml:space="preserve">Table 2B below indicates whether a particular data type is 'eligible data usage' which counts towards the Unlimited BlackBerry POP3 Email and BlackBerry Browsing through the BlackBerry Browser value of </w:t>
      </w:r>
      <w:r>
        <w:rPr>
          <w:i/>
          <w:lang w:val="en-AU"/>
        </w:rPr>
        <w:t>your</w:t>
      </w:r>
      <w:r>
        <w:rPr>
          <w:lang w:val="en-AU"/>
        </w:rPr>
        <w:t xml:space="preserve"> selected Business Complete Plan.</w:t>
      </w:r>
    </w:p>
    <w:p w14:paraId="2FFF18C7" w14:textId="77777777" w:rsidR="000D07EA" w:rsidRDefault="00BE7C89">
      <w:pPr>
        <w:pStyle w:val="Heading8"/>
        <w:rPr>
          <w:lang w:val="en-AU"/>
        </w:rPr>
      </w:pPr>
      <w:r>
        <w:rPr>
          <w:lang w:val="en-AU"/>
        </w:rPr>
        <w:t>Table 3A below contains details of each Business Complete Plan.</w:t>
      </w:r>
    </w:p>
    <w:p w14:paraId="686665B4" w14:textId="77777777" w:rsidR="000D07EA" w:rsidRDefault="00BE7C89">
      <w:pPr>
        <w:pStyle w:val="BodyText"/>
        <w:ind w:left="720"/>
        <w:rPr>
          <w:b/>
          <w:lang w:val="en-AU"/>
        </w:rPr>
      </w:pPr>
      <w:r>
        <w:rPr>
          <w:b/>
          <w:lang w:val="en-AU"/>
        </w:rPr>
        <w:t>Table 1A – Eligible Calls and Text for the Included Cap Value</w:t>
      </w: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730"/>
        <w:gridCol w:w="4731"/>
      </w:tblGrid>
      <w:tr w:rsidR="000D07EA" w14:paraId="43B05486" w14:textId="77777777">
        <w:trPr>
          <w:tblHeader/>
        </w:trPr>
        <w:tc>
          <w:tcPr>
            <w:tcW w:w="2500" w:type="pct"/>
          </w:tcPr>
          <w:p w14:paraId="3B589B4F" w14:textId="77777777" w:rsidR="000D07EA" w:rsidRDefault="00BE7C89">
            <w:pPr>
              <w:pStyle w:val="BodyText"/>
              <w:spacing w:before="100" w:after="100"/>
              <w:rPr>
                <w:b/>
                <w:lang w:val="en-AU"/>
              </w:rPr>
            </w:pPr>
            <w:r>
              <w:rPr>
                <w:b/>
                <w:lang w:val="en-AU"/>
              </w:rPr>
              <w:t>Call Type</w:t>
            </w:r>
          </w:p>
        </w:tc>
        <w:tc>
          <w:tcPr>
            <w:tcW w:w="2500" w:type="pct"/>
          </w:tcPr>
          <w:p w14:paraId="514AF546" w14:textId="77777777" w:rsidR="000D07EA" w:rsidRDefault="00BE7C89">
            <w:pPr>
              <w:pStyle w:val="BodyText"/>
              <w:spacing w:before="100" w:after="100"/>
              <w:jc w:val="center"/>
              <w:rPr>
                <w:b/>
                <w:lang w:val="en-AU"/>
              </w:rPr>
            </w:pPr>
            <w:r>
              <w:rPr>
                <w:b/>
                <w:lang w:val="en-AU"/>
              </w:rPr>
              <w:t>Eligible Call</w:t>
            </w:r>
          </w:p>
        </w:tc>
      </w:tr>
      <w:tr w:rsidR="000D07EA" w14:paraId="458C32CF" w14:textId="77777777">
        <w:tc>
          <w:tcPr>
            <w:tcW w:w="2500" w:type="pct"/>
          </w:tcPr>
          <w:p w14:paraId="5EA76734" w14:textId="77777777" w:rsidR="000D07EA" w:rsidRDefault="00BE7C89">
            <w:pPr>
              <w:pStyle w:val="BodyText"/>
              <w:spacing w:before="100" w:after="100"/>
              <w:rPr>
                <w:lang w:val="en-AU"/>
              </w:rPr>
            </w:pPr>
            <w:r>
              <w:rPr>
                <w:lang w:val="en-AU"/>
              </w:rPr>
              <w:t>National Voice Calls</w:t>
            </w:r>
          </w:p>
        </w:tc>
        <w:tc>
          <w:tcPr>
            <w:tcW w:w="2500" w:type="pct"/>
          </w:tcPr>
          <w:p w14:paraId="572F1D84" w14:textId="77777777" w:rsidR="000D07EA" w:rsidRDefault="00BE7C89">
            <w:pPr>
              <w:pStyle w:val="BodyText"/>
              <w:spacing w:before="100" w:after="100"/>
              <w:jc w:val="center"/>
              <w:rPr>
                <w:lang w:val="en-AU"/>
              </w:rPr>
            </w:pPr>
            <w:r>
              <w:rPr>
                <w:lang w:val="en-AU"/>
              </w:rPr>
              <w:t>Yes</w:t>
            </w:r>
          </w:p>
        </w:tc>
      </w:tr>
      <w:tr w:rsidR="000D07EA" w14:paraId="5914EFE9" w14:textId="77777777">
        <w:trPr>
          <w:trHeight w:val="579"/>
        </w:trPr>
        <w:tc>
          <w:tcPr>
            <w:tcW w:w="2500" w:type="pct"/>
          </w:tcPr>
          <w:p w14:paraId="2E861195" w14:textId="77777777" w:rsidR="000D07EA" w:rsidRDefault="00BE7C89">
            <w:pPr>
              <w:pStyle w:val="BodyText"/>
              <w:spacing w:before="100" w:after="100"/>
              <w:rPr>
                <w:lang w:val="en-AU"/>
              </w:rPr>
            </w:pPr>
            <w:r>
              <w:rPr>
                <w:lang w:val="en-AU"/>
              </w:rPr>
              <w:t>International Voice Calls</w:t>
            </w:r>
          </w:p>
          <w:p w14:paraId="685D478F" w14:textId="77777777" w:rsidR="000D07EA" w:rsidRDefault="00BE7C89">
            <w:pPr>
              <w:pStyle w:val="BodyText"/>
              <w:spacing w:before="100" w:after="100"/>
              <w:rPr>
                <w:lang w:val="en-AU"/>
              </w:rPr>
            </w:pPr>
            <w:r>
              <w:rPr>
                <w:snapToGrid w:val="0"/>
                <w:lang w:val="en-AU"/>
              </w:rPr>
              <w:t>(includes calls to national fixed or GSM mobile services that then divert/switch or re</w:t>
            </w:r>
            <w:r>
              <w:rPr>
                <w:snapToGrid w:val="0"/>
                <w:lang w:val="en-AU"/>
              </w:rPr>
              <w:noBreakHyphen/>
              <w:t>route overseas)</w:t>
            </w:r>
          </w:p>
        </w:tc>
        <w:tc>
          <w:tcPr>
            <w:tcW w:w="2500" w:type="pct"/>
          </w:tcPr>
          <w:p w14:paraId="5D8F2F42" w14:textId="77777777" w:rsidR="000D07EA" w:rsidRDefault="00BE7C89">
            <w:pPr>
              <w:pStyle w:val="BodyText"/>
              <w:spacing w:before="100" w:after="100"/>
              <w:jc w:val="center"/>
              <w:rPr>
                <w:lang w:val="en-AU"/>
              </w:rPr>
            </w:pPr>
            <w:r>
              <w:rPr>
                <w:lang w:val="en-AU"/>
              </w:rPr>
              <w:t>No</w:t>
            </w:r>
          </w:p>
        </w:tc>
      </w:tr>
      <w:tr w:rsidR="000D07EA" w14:paraId="17B19BD5" w14:textId="77777777">
        <w:tc>
          <w:tcPr>
            <w:tcW w:w="2500" w:type="pct"/>
          </w:tcPr>
          <w:p w14:paraId="13449DEE" w14:textId="77777777" w:rsidR="000D07EA" w:rsidRDefault="00BE7C89">
            <w:pPr>
              <w:pStyle w:val="BodyText"/>
              <w:spacing w:before="100" w:after="100"/>
              <w:rPr>
                <w:lang w:val="en-AU"/>
              </w:rPr>
            </w:pPr>
            <w:r>
              <w:rPr>
                <w:lang w:val="en-AU"/>
              </w:rPr>
              <w:t>National Video Calls</w:t>
            </w:r>
          </w:p>
        </w:tc>
        <w:tc>
          <w:tcPr>
            <w:tcW w:w="2500" w:type="pct"/>
          </w:tcPr>
          <w:p w14:paraId="4A6B7699" w14:textId="77777777" w:rsidR="000D07EA" w:rsidRDefault="00BE7C89">
            <w:pPr>
              <w:pStyle w:val="BodyText"/>
              <w:spacing w:before="100" w:after="100"/>
              <w:jc w:val="center"/>
              <w:rPr>
                <w:lang w:val="en-AU"/>
              </w:rPr>
            </w:pPr>
            <w:r>
              <w:rPr>
                <w:lang w:val="en-AU"/>
              </w:rPr>
              <w:t>Yes</w:t>
            </w:r>
          </w:p>
        </w:tc>
      </w:tr>
      <w:tr w:rsidR="000D07EA" w14:paraId="24FF20A4" w14:textId="77777777">
        <w:tc>
          <w:tcPr>
            <w:tcW w:w="2500" w:type="pct"/>
          </w:tcPr>
          <w:p w14:paraId="13B40277" w14:textId="77777777" w:rsidR="000D07EA" w:rsidRDefault="00BE7C89">
            <w:pPr>
              <w:pStyle w:val="BodyText"/>
              <w:spacing w:before="100" w:after="100"/>
              <w:rPr>
                <w:lang w:val="en-AU"/>
              </w:rPr>
            </w:pPr>
            <w:r>
              <w:rPr>
                <w:lang w:val="en-AU"/>
              </w:rPr>
              <w:t>International Video Calls</w:t>
            </w:r>
          </w:p>
          <w:p w14:paraId="7BCF38AA" w14:textId="77777777" w:rsidR="000D07EA" w:rsidRDefault="00BE7C89">
            <w:pPr>
              <w:pStyle w:val="BodyText"/>
              <w:spacing w:before="100" w:after="100"/>
              <w:rPr>
                <w:lang w:val="en-AU"/>
              </w:rPr>
            </w:pPr>
            <w:r>
              <w:rPr>
                <w:snapToGrid w:val="0"/>
                <w:lang w:val="en-AU"/>
              </w:rPr>
              <w:t>(includes calls to national fixed or GSM mobile services that then divert/switch or re-route overseas)</w:t>
            </w:r>
          </w:p>
        </w:tc>
        <w:tc>
          <w:tcPr>
            <w:tcW w:w="2500" w:type="pct"/>
          </w:tcPr>
          <w:p w14:paraId="57BDBCC1" w14:textId="77777777" w:rsidR="000D07EA" w:rsidRDefault="00BE7C89">
            <w:pPr>
              <w:pStyle w:val="BodyText"/>
              <w:spacing w:before="100" w:after="100"/>
              <w:jc w:val="center"/>
              <w:rPr>
                <w:lang w:val="en-AU"/>
              </w:rPr>
            </w:pPr>
            <w:r>
              <w:rPr>
                <w:lang w:val="en-AU"/>
              </w:rPr>
              <w:t>No</w:t>
            </w:r>
          </w:p>
        </w:tc>
      </w:tr>
      <w:tr w:rsidR="000D07EA" w14:paraId="17B89D1C" w14:textId="77777777">
        <w:tc>
          <w:tcPr>
            <w:tcW w:w="2500" w:type="pct"/>
          </w:tcPr>
          <w:p w14:paraId="6A93F5F6" w14:textId="77777777" w:rsidR="000D07EA" w:rsidRDefault="00BE7C89">
            <w:pPr>
              <w:pStyle w:val="BodyText"/>
              <w:spacing w:before="100" w:after="100"/>
              <w:rPr>
                <w:lang w:val="en-AU"/>
              </w:rPr>
            </w:pPr>
            <w:r>
              <w:rPr>
                <w:lang w:val="en-AU"/>
              </w:rPr>
              <w:t>National SMS</w:t>
            </w:r>
          </w:p>
        </w:tc>
        <w:tc>
          <w:tcPr>
            <w:tcW w:w="2500" w:type="pct"/>
          </w:tcPr>
          <w:p w14:paraId="494FDC06" w14:textId="77777777" w:rsidR="000D07EA" w:rsidRDefault="00BE7C89">
            <w:pPr>
              <w:pStyle w:val="BodyText"/>
              <w:spacing w:before="100" w:after="100"/>
              <w:jc w:val="center"/>
              <w:rPr>
                <w:lang w:val="en-AU"/>
              </w:rPr>
            </w:pPr>
            <w:r>
              <w:rPr>
                <w:lang w:val="en-AU"/>
              </w:rPr>
              <w:t>Yes</w:t>
            </w:r>
          </w:p>
        </w:tc>
      </w:tr>
      <w:tr w:rsidR="000D07EA" w14:paraId="06F9275A" w14:textId="77777777">
        <w:tc>
          <w:tcPr>
            <w:tcW w:w="2500" w:type="pct"/>
          </w:tcPr>
          <w:p w14:paraId="2070073A" w14:textId="77777777" w:rsidR="000D07EA" w:rsidRDefault="00BE7C89">
            <w:pPr>
              <w:pStyle w:val="BodyText"/>
              <w:spacing w:before="100" w:after="100"/>
              <w:rPr>
                <w:lang w:val="en-AU"/>
              </w:rPr>
            </w:pPr>
            <w:r>
              <w:rPr>
                <w:lang w:val="en-AU"/>
              </w:rPr>
              <w:t>International SMS</w:t>
            </w:r>
          </w:p>
        </w:tc>
        <w:tc>
          <w:tcPr>
            <w:tcW w:w="2500" w:type="pct"/>
          </w:tcPr>
          <w:p w14:paraId="04D1FD90" w14:textId="77777777" w:rsidR="000D07EA" w:rsidRDefault="00BE7C89">
            <w:pPr>
              <w:pStyle w:val="BodyText"/>
              <w:spacing w:before="100" w:after="100"/>
              <w:jc w:val="center"/>
              <w:rPr>
                <w:lang w:val="en-AU"/>
              </w:rPr>
            </w:pPr>
            <w:r>
              <w:rPr>
                <w:lang w:val="en-AU"/>
              </w:rPr>
              <w:t>No</w:t>
            </w:r>
          </w:p>
        </w:tc>
      </w:tr>
      <w:tr w:rsidR="000D07EA" w14:paraId="361785FF" w14:textId="77777777">
        <w:tc>
          <w:tcPr>
            <w:tcW w:w="2500" w:type="pct"/>
          </w:tcPr>
          <w:p w14:paraId="1F67575A" w14:textId="77777777" w:rsidR="000D07EA" w:rsidRDefault="00BE7C89">
            <w:pPr>
              <w:pStyle w:val="BodyText"/>
              <w:spacing w:before="100" w:after="100"/>
              <w:rPr>
                <w:lang w:val="en-AU"/>
              </w:rPr>
            </w:pPr>
            <w:r>
              <w:rPr>
                <w:lang w:val="en-AU"/>
              </w:rPr>
              <w:t>Voicemail Deposit, Retrievals and Diversions</w:t>
            </w:r>
          </w:p>
        </w:tc>
        <w:tc>
          <w:tcPr>
            <w:tcW w:w="2500" w:type="pct"/>
          </w:tcPr>
          <w:p w14:paraId="5A8EDF40" w14:textId="77777777" w:rsidR="000D07EA" w:rsidRDefault="00BE7C89">
            <w:pPr>
              <w:pStyle w:val="BodyText"/>
              <w:spacing w:before="100" w:after="100"/>
              <w:jc w:val="center"/>
              <w:rPr>
                <w:lang w:val="en-AU"/>
              </w:rPr>
            </w:pPr>
            <w:r>
              <w:rPr>
                <w:lang w:val="en-AU"/>
              </w:rPr>
              <w:t>Yes</w:t>
            </w:r>
          </w:p>
        </w:tc>
      </w:tr>
      <w:tr w:rsidR="000D07EA" w14:paraId="0E885884" w14:textId="77777777">
        <w:tc>
          <w:tcPr>
            <w:tcW w:w="2500" w:type="pct"/>
          </w:tcPr>
          <w:p w14:paraId="3F7C691E" w14:textId="77777777" w:rsidR="000D07EA" w:rsidRDefault="00BE7C89">
            <w:pPr>
              <w:pStyle w:val="BodyText"/>
              <w:spacing w:before="100" w:after="100"/>
              <w:rPr>
                <w:lang w:val="en-AU"/>
              </w:rPr>
            </w:pPr>
            <w:r>
              <w:rPr>
                <w:lang w:val="en-AU"/>
              </w:rPr>
              <w:t>International Roaming &amp; Diversion</w:t>
            </w:r>
          </w:p>
        </w:tc>
        <w:tc>
          <w:tcPr>
            <w:tcW w:w="2500" w:type="pct"/>
          </w:tcPr>
          <w:p w14:paraId="22D989CE" w14:textId="77777777" w:rsidR="000D07EA" w:rsidRDefault="00BE7C89">
            <w:pPr>
              <w:pStyle w:val="BodyText"/>
              <w:spacing w:before="100" w:after="100"/>
              <w:jc w:val="center"/>
              <w:rPr>
                <w:lang w:val="en-AU"/>
              </w:rPr>
            </w:pPr>
            <w:r>
              <w:rPr>
                <w:lang w:val="en-AU"/>
              </w:rPr>
              <w:t>No</w:t>
            </w:r>
          </w:p>
        </w:tc>
      </w:tr>
      <w:tr w:rsidR="000D07EA" w14:paraId="0EC27369" w14:textId="77777777">
        <w:tc>
          <w:tcPr>
            <w:tcW w:w="2500" w:type="pct"/>
          </w:tcPr>
          <w:p w14:paraId="1FB867AB" w14:textId="77777777" w:rsidR="000D07EA" w:rsidRDefault="00BE7C89">
            <w:pPr>
              <w:pStyle w:val="BodyText"/>
              <w:spacing w:before="100" w:after="100"/>
              <w:rPr>
                <w:lang w:val="en-AU"/>
              </w:rPr>
            </w:pPr>
            <w:r>
              <w:rPr>
                <w:lang w:val="en-AU"/>
              </w:rPr>
              <w:t>Premium SMS</w:t>
            </w:r>
          </w:p>
        </w:tc>
        <w:tc>
          <w:tcPr>
            <w:tcW w:w="2500" w:type="pct"/>
          </w:tcPr>
          <w:p w14:paraId="006DC8F1" w14:textId="77777777" w:rsidR="000D07EA" w:rsidRDefault="00BE7C89">
            <w:pPr>
              <w:pStyle w:val="BodyText"/>
              <w:spacing w:before="100" w:after="100"/>
              <w:jc w:val="center"/>
              <w:rPr>
                <w:lang w:val="en-AU"/>
              </w:rPr>
            </w:pPr>
            <w:r>
              <w:rPr>
                <w:lang w:val="en-AU"/>
              </w:rPr>
              <w:t>No</w:t>
            </w:r>
          </w:p>
        </w:tc>
      </w:tr>
      <w:tr w:rsidR="000D07EA" w14:paraId="2DA9CDA4" w14:textId="77777777">
        <w:tc>
          <w:tcPr>
            <w:tcW w:w="2500" w:type="pct"/>
          </w:tcPr>
          <w:p w14:paraId="54D23CEA" w14:textId="77777777" w:rsidR="000D07EA" w:rsidRDefault="00BE7C89">
            <w:pPr>
              <w:pStyle w:val="BodyText"/>
              <w:spacing w:before="100" w:after="100"/>
              <w:rPr>
                <w:lang w:val="en-AU"/>
              </w:rPr>
            </w:pPr>
            <w:r>
              <w:rPr>
                <w:lang w:val="en-AU"/>
              </w:rPr>
              <w:t xml:space="preserve">Premium Video </w:t>
            </w:r>
          </w:p>
        </w:tc>
        <w:tc>
          <w:tcPr>
            <w:tcW w:w="2500" w:type="pct"/>
          </w:tcPr>
          <w:p w14:paraId="2077C413" w14:textId="77777777" w:rsidR="000D07EA" w:rsidRDefault="00BE7C89">
            <w:pPr>
              <w:pStyle w:val="BodyText"/>
              <w:spacing w:before="100" w:after="100"/>
              <w:jc w:val="center"/>
              <w:rPr>
                <w:lang w:val="en-AU"/>
              </w:rPr>
            </w:pPr>
            <w:r>
              <w:rPr>
                <w:lang w:val="en-AU"/>
              </w:rPr>
              <w:t>No</w:t>
            </w:r>
          </w:p>
        </w:tc>
      </w:tr>
      <w:tr w:rsidR="000D07EA" w14:paraId="3C803963" w14:textId="77777777">
        <w:tc>
          <w:tcPr>
            <w:tcW w:w="2500" w:type="pct"/>
          </w:tcPr>
          <w:p w14:paraId="6642E404" w14:textId="77777777" w:rsidR="000D07EA" w:rsidRDefault="00BE7C89">
            <w:pPr>
              <w:pStyle w:val="BodyText"/>
              <w:spacing w:before="100" w:after="100"/>
              <w:rPr>
                <w:lang w:val="en-AU"/>
              </w:rPr>
            </w:pPr>
            <w:r>
              <w:rPr>
                <w:lang w:val="en-AU"/>
              </w:rPr>
              <w:t xml:space="preserve">Video Conferencing </w:t>
            </w:r>
          </w:p>
        </w:tc>
        <w:tc>
          <w:tcPr>
            <w:tcW w:w="2500" w:type="pct"/>
          </w:tcPr>
          <w:p w14:paraId="2F326CAF" w14:textId="77777777" w:rsidR="000D07EA" w:rsidRDefault="00BE7C89">
            <w:pPr>
              <w:pStyle w:val="BodyText"/>
              <w:spacing w:before="100" w:after="100"/>
              <w:jc w:val="center"/>
              <w:rPr>
                <w:lang w:val="en-AU"/>
              </w:rPr>
            </w:pPr>
            <w:r>
              <w:rPr>
                <w:lang w:val="en-AU"/>
              </w:rPr>
              <w:t>No</w:t>
            </w:r>
          </w:p>
        </w:tc>
      </w:tr>
      <w:tr w:rsidR="000D07EA" w14:paraId="65737D0E" w14:textId="77777777">
        <w:tc>
          <w:tcPr>
            <w:tcW w:w="2500" w:type="pct"/>
          </w:tcPr>
          <w:p w14:paraId="1E264D34" w14:textId="77777777" w:rsidR="000D07EA" w:rsidRDefault="00BE7C89">
            <w:pPr>
              <w:pStyle w:val="BodyText"/>
              <w:spacing w:before="100" w:after="100"/>
              <w:rPr>
                <w:lang w:val="en-AU"/>
              </w:rPr>
            </w:pPr>
            <w:r>
              <w:rPr>
                <w:lang w:val="en-AU"/>
              </w:rPr>
              <w:t>National MMS</w:t>
            </w:r>
          </w:p>
        </w:tc>
        <w:tc>
          <w:tcPr>
            <w:tcW w:w="2500" w:type="pct"/>
          </w:tcPr>
          <w:p w14:paraId="3E6C8D3F" w14:textId="77777777" w:rsidR="000D07EA" w:rsidRDefault="00BE7C89">
            <w:pPr>
              <w:pStyle w:val="BodyText"/>
              <w:spacing w:before="100" w:after="100"/>
              <w:jc w:val="center"/>
              <w:rPr>
                <w:lang w:val="en-AU"/>
              </w:rPr>
            </w:pPr>
            <w:r>
              <w:rPr>
                <w:lang w:val="en-AU"/>
              </w:rPr>
              <w:t>Yes</w:t>
            </w:r>
          </w:p>
        </w:tc>
      </w:tr>
      <w:tr w:rsidR="000D07EA" w14:paraId="351E3C30" w14:textId="77777777">
        <w:tc>
          <w:tcPr>
            <w:tcW w:w="2500" w:type="pct"/>
          </w:tcPr>
          <w:p w14:paraId="1A9173C1" w14:textId="77777777" w:rsidR="000D07EA" w:rsidRDefault="00BE7C89">
            <w:pPr>
              <w:pStyle w:val="BodyText"/>
              <w:spacing w:before="100" w:after="100"/>
              <w:rPr>
                <w:lang w:val="en-AU"/>
              </w:rPr>
            </w:pPr>
            <w:r>
              <w:rPr>
                <w:lang w:val="en-AU"/>
              </w:rPr>
              <w:t>International MMS</w:t>
            </w:r>
          </w:p>
        </w:tc>
        <w:tc>
          <w:tcPr>
            <w:tcW w:w="2500" w:type="pct"/>
          </w:tcPr>
          <w:p w14:paraId="59127BA5" w14:textId="77777777" w:rsidR="000D07EA" w:rsidRDefault="00BE7C89">
            <w:pPr>
              <w:pStyle w:val="BodyText"/>
              <w:spacing w:before="100" w:after="100"/>
              <w:jc w:val="center"/>
              <w:rPr>
                <w:lang w:val="en-AU"/>
              </w:rPr>
            </w:pPr>
            <w:r>
              <w:rPr>
                <w:lang w:val="en-AU"/>
              </w:rPr>
              <w:t>No</w:t>
            </w:r>
          </w:p>
        </w:tc>
      </w:tr>
      <w:tr w:rsidR="000D07EA" w14:paraId="4C8D37AA" w14:textId="77777777">
        <w:tc>
          <w:tcPr>
            <w:tcW w:w="2500" w:type="pct"/>
          </w:tcPr>
          <w:p w14:paraId="63F7CFB5" w14:textId="77777777" w:rsidR="000D07EA" w:rsidRDefault="00BE7C89">
            <w:pPr>
              <w:pStyle w:val="BodyText"/>
              <w:spacing w:before="100" w:after="100"/>
              <w:rPr>
                <w:lang w:val="en-AU"/>
              </w:rPr>
            </w:pPr>
            <w:r>
              <w:rPr>
                <w:lang w:val="en-AU"/>
              </w:rPr>
              <w:t>Optus Zoo or Optus Zoo Browsing</w:t>
            </w:r>
          </w:p>
        </w:tc>
        <w:tc>
          <w:tcPr>
            <w:tcW w:w="2500" w:type="pct"/>
          </w:tcPr>
          <w:p w14:paraId="34E83D87" w14:textId="77777777" w:rsidR="000D07EA" w:rsidRDefault="00BE7C89">
            <w:pPr>
              <w:pStyle w:val="BodyText"/>
              <w:spacing w:before="100" w:after="100"/>
              <w:jc w:val="center"/>
              <w:rPr>
                <w:lang w:val="en-AU"/>
              </w:rPr>
            </w:pPr>
            <w:r>
              <w:rPr>
                <w:lang w:val="en-AU"/>
              </w:rPr>
              <w:t>No</w:t>
            </w:r>
          </w:p>
        </w:tc>
      </w:tr>
      <w:tr w:rsidR="000D07EA" w14:paraId="34D00030" w14:textId="77777777">
        <w:tc>
          <w:tcPr>
            <w:tcW w:w="2500" w:type="pct"/>
          </w:tcPr>
          <w:p w14:paraId="609D4381" w14:textId="77777777" w:rsidR="000D07EA" w:rsidRDefault="00BE7C89">
            <w:pPr>
              <w:pStyle w:val="BodyText"/>
              <w:spacing w:before="100" w:after="100"/>
              <w:rPr>
                <w:lang w:val="en-AU"/>
              </w:rPr>
            </w:pPr>
            <w:r>
              <w:rPr>
                <w:lang w:val="en-AU"/>
              </w:rPr>
              <w:t>Optus Zoo or Optus Zoo Downloads</w:t>
            </w:r>
          </w:p>
        </w:tc>
        <w:tc>
          <w:tcPr>
            <w:tcW w:w="2500" w:type="pct"/>
          </w:tcPr>
          <w:p w14:paraId="0C33A866" w14:textId="77777777" w:rsidR="000D07EA" w:rsidRDefault="00BE7C89">
            <w:pPr>
              <w:pStyle w:val="BodyText"/>
              <w:spacing w:before="100" w:after="100"/>
              <w:jc w:val="center"/>
              <w:rPr>
                <w:lang w:val="en-AU"/>
              </w:rPr>
            </w:pPr>
            <w:r>
              <w:rPr>
                <w:lang w:val="en-AU"/>
              </w:rPr>
              <w:t>No</w:t>
            </w:r>
          </w:p>
        </w:tc>
      </w:tr>
      <w:tr w:rsidR="000D07EA" w14:paraId="3E95667F" w14:textId="77777777">
        <w:tc>
          <w:tcPr>
            <w:tcW w:w="2500" w:type="pct"/>
          </w:tcPr>
          <w:p w14:paraId="2AA3EE95" w14:textId="77777777" w:rsidR="000D07EA" w:rsidRDefault="00BE7C89">
            <w:pPr>
              <w:pStyle w:val="BodyText"/>
              <w:spacing w:before="100" w:after="100"/>
              <w:rPr>
                <w:lang w:val="en-AU"/>
              </w:rPr>
            </w:pPr>
            <w:r>
              <w:rPr>
                <w:lang w:val="en-AU"/>
              </w:rPr>
              <w:t>SMS to 966 (Zoo)</w:t>
            </w:r>
          </w:p>
        </w:tc>
        <w:tc>
          <w:tcPr>
            <w:tcW w:w="2500" w:type="pct"/>
          </w:tcPr>
          <w:p w14:paraId="6E0485FE" w14:textId="77777777" w:rsidR="000D07EA" w:rsidRDefault="00BE7C89">
            <w:pPr>
              <w:pStyle w:val="BodyText"/>
              <w:spacing w:before="100" w:after="100"/>
              <w:jc w:val="center"/>
              <w:rPr>
                <w:lang w:val="en-AU"/>
              </w:rPr>
            </w:pPr>
            <w:r>
              <w:rPr>
                <w:lang w:val="en-AU"/>
              </w:rPr>
              <w:t>No</w:t>
            </w:r>
          </w:p>
        </w:tc>
      </w:tr>
      <w:tr w:rsidR="000D07EA" w14:paraId="0C53445A" w14:textId="77777777">
        <w:tc>
          <w:tcPr>
            <w:tcW w:w="2500" w:type="pct"/>
          </w:tcPr>
          <w:p w14:paraId="0489EE7B" w14:textId="77777777" w:rsidR="000D07EA" w:rsidRDefault="00BE7C89">
            <w:pPr>
              <w:pStyle w:val="BodyText"/>
              <w:spacing w:before="100" w:after="100"/>
              <w:rPr>
                <w:lang w:val="en-AU"/>
              </w:rPr>
            </w:pPr>
            <w:r>
              <w:rPr>
                <w:lang w:val="en-AU"/>
              </w:rPr>
              <w:lastRenderedPageBreak/>
              <w:t>Data used whilst roaming internationally</w:t>
            </w:r>
          </w:p>
        </w:tc>
        <w:tc>
          <w:tcPr>
            <w:tcW w:w="2500" w:type="pct"/>
          </w:tcPr>
          <w:p w14:paraId="3A8E9E14" w14:textId="77777777" w:rsidR="000D07EA" w:rsidRDefault="00BE7C89">
            <w:pPr>
              <w:pStyle w:val="BodyText"/>
              <w:spacing w:before="100" w:after="100"/>
              <w:jc w:val="center"/>
              <w:rPr>
                <w:lang w:val="en-AU"/>
              </w:rPr>
            </w:pPr>
            <w:r>
              <w:rPr>
                <w:lang w:val="en-AU"/>
              </w:rPr>
              <w:t>No</w:t>
            </w:r>
          </w:p>
        </w:tc>
      </w:tr>
      <w:tr w:rsidR="000D07EA" w14:paraId="4B397D65" w14:textId="77777777">
        <w:tc>
          <w:tcPr>
            <w:tcW w:w="2500" w:type="pct"/>
          </w:tcPr>
          <w:p w14:paraId="7171F76D" w14:textId="77777777" w:rsidR="000D07EA" w:rsidRDefault="00BE7C89">
            <w:pPr>
              <w:pStyle w:val="BodyText"/>
              <w:spacing w:before="100" w:after="100"/>
              <w:rPr>
                <w:lang w:val="en-AU"/>
              </w:rPr>
            </w:pPr>
            <w:r>
              <w:rPr>
                <w:lang w:val="en-AU"/>
              </w:rPr>
              <w:t xml:space="preserve">Directory Assistance – 1223 </w:t>
            </w:r>
          </w:p>
        </w:tc>
        <w:tc>
          <w:tcPr>
            <w:tcW w:w="2500" w:type="pct"/>
          </w:tcPr>
          <w:p w14:paraId="3C2DFC6C" w14:textId="77777777" w:rsidR="000D07EA" w:rsidRDefault="00BE7C89">
            <w:pPr>
              <w:pStyle w:val="BodyText"/>
              <w:spacing w:before="100" w:after="100"/>
              <w:jc w:val="center"/>
              <w:rPr>
                <w:lang w:val="en-AU"/>
              </w:rPr>
            </w:pPr>
            <w:r>
              <w:rPr>
                <w:lang w:val="en-AU"/>
              </w:rPr>
              <w:t>No</w:t>
            </w:r>
          </w:p>
        </w:tc>
      </w:tr>
      <w:tr w:rsidR="000D07EA" w14:paraId="7B39FCF8" w14:textId="77777777">
        <w:tc>
          <w:tcPr>
            <w:tcW w:w="2500" w:type="pct"/>
          </w:tcPr>
          <w:p w14:paraId="778C7470" w14:textId="77777777" w:rsidR="000D07EA" w:rsidRDefault="00BE7C89">
            <w:pPr>
              <w:pStyle w:val="BodyText"/>
              <w:spacing w:before="100" w:after="100"/>
              <w:rPr>
                <w:lang w:val="en-AU"/>
              </w:rPr>
            </w:pPr>
            <w:r>
              <w:rPr>
                <w:lang w:val="en-AU"/>
              </w:rPr>
              <w:t>19XX Numbers</w:t>
            </w:r>
          </w:p>
        </w:tc>
        <w:tc>
          <w:tcPr>
            <w:tcW w:w="2500" w:type="pct"/>
          </w:tcPr>
          <w:p w14:paraId="625BEA57" w14:textId="77777777" w:rsidR="000D07EA" w:rsidRDefault="00BE7C89">
            <w:pPr>
              <w:pStyle w:val="BodyText"/>
              <w:spacing w:before="100" w:after="100"/>
              <w:jc w:val="center"/>
              <w:rPr>
                <w:lang w:val="en-AU"/>
              </w:rPr>
            </w:pPr>
            <w:r>
              <w:rPr>
                <w:lang w:val="en-AU"/>
              </w:rPr>
              <w:t>No</w:t>
            </w:r>
          </w:p>
        </w:tc>
      </w:tr>
      <w:tr w:rsidR="000D07EA" w14:paraId="7A202691" w14:textId="77777777">
        <w:tc>
          <w:tcPr>
            <w:tcW w:w="2500" w:type="pct"/>
          </w:tcPr>
          <w:p w14:paraId="7AAAAF79" w14:textId="77777777" w:rsidR="000D07EA" w:rsidRDefault="00BE7C89">
            <w:pPr>
              <w:pStyle w:val="BodyText"/>
              <w:spacing w:before="100" w:after="100"/>
              <w:rPr>
                <w:lang w:val="en-AU"/>
              </w:rPr>
            </w:pPr>
            <w:r>
              <w:rPr>
                <w:lang w:val="en-AU"/>
              </w:rPr>
              <w:t>1800 and 1300 numbers</w:t>
            </w:r>
          </w:p>
        </w:tc>
        <w:tc>
          <w:tcPr>
            <w:tcW w:w="2500" w:type="pct"/>
          </w:tcPr>
          <w:p w14:paraId="011ABF0E" w14:textId="77777777" w:rsidR="000D07EA" w:rsidRDefault="00BE7C89">
            <w:pPr>
              <w:pStyle w:val="BodyText"/>
              <w:spacing w:before="100" w:after="100"/>
              <w:jc w:val="center"/>
              <w:rPr>
                <w:lang w:val="en-AU"/>
              </w:rPr>
            </w:pPr>
            <w:r>
              <w:rPr>
                <w:lang w:val="en-AU"/>
              </w:rPr>
              <w:t>Yes</w:t>
            </w:r>
          </w:p>
        </w:tc>
      </w:tr>
      <w:tr w:rsidR="000D07EA" w14:paraId="479BBD2A" w14:textId="77777777">
        <w:tc>
          <w:tcPr>
            <w:tcW w:w="2500" w:type="pct"/>
          </w:tcPr>
          <w:p w14:paraId="3E748881" w14:textId="77777777" w:rsidR="000D07EA" w:rsidRDefault="00BE7C89">
            <w:pPr>
              <w:pStyle w:val="BodyText"/>
              <w:spacing w:before="100" w:after="100"/>
              <w:rPr>
                <w:lang w:val="en-AU"/>
              </w:rPr>
            </w:pPr>
            <w:r>
              <w:rPr>
                <w:lang w:val="en-AU"/>
              </w:rPr>
              <w:t>124YES(937)</w:t>
            </w:r>
          </w:p>
        </w:tc>
        <w:tc>
          <w:tcPr>
            <w:tcW w:w="2500" w:type="pct"/>
          </w:tcPr>
          <w:p w14:paraId="17A59D99" w14:textId="77777777" w:rsidR="000D07EA" w:rsidRDefault="00BE7C89">
            <w:pPr>
              <w:pStyle w:val="BodyText"/>
              <w:spacing w:before="100" w:after="100"/>
              <w:jc w:val="center"/>
              <w:rPr>
                <w:lang w:val="en-AU"/>
              </w:rPr>
            </w:pPr>
            <w:r>
              <w:rPr>
                <w:lang w:val="en-AU"/>
              </w:rPr>
              <w:t>No</w:t>
            </w:r>
          </w:p>
        </w:tc>
      </w:tr>
      <w:tr w:rsidR="000D07EA" w14:paraId="0074299A" w14:textId="77777777">
        <w:tc>
          <w:tcPr>
            <w:tcW w:w="2500" w:type="pct"/>
          </w:tcPr>
          <w:p w14:paraId="3CB4D225" w14:textId="77777777" w:rsidR="000D07EA" w:rsidRDefault="00BE7C89">
            <w:pPr>
              <w:pStyle w:val="BodyText"/>
              <w:spacing w:before="100" w:after="100"/>
              <w:rPr>
                <w:lang w:val="en-AU"/>
              </w:rPr>
            </w:pPr>
            <w:r>
              <w:rPr>
                <w:lang w:val="en-AU"/>
              </w:rPr>
              <w:t>Insurance</w:t>
            </w:r>
          </w:p>
        </w:tc>
        <w:tc>
          <w:tcPr>
            <w:tcW w:w="2500" w:type="pct"/>
          </w:tcPr>
          <w:p w14:paraId="7FEE9FC4" w14:textId="77777777" w:rsidR="000D07EA" w:rsidRDefault="00BE7C89">
            <w:pPr>
              <w:pStyle w:val="BodyText"/>
              <w:spacing w:before="100" w:after="100"/>
              <w:jc w:val="center"/>
              <w:rPr>
                <w:lang w:val="en-AU"/>
              </w:rPr>
            </w:pPr>
            <w:r>
              <w:rPr>
                <w:lang w:val="en-AU"/>
              </w:rPr>
              <w:t>No</w:t>
            </w:r>
          </w:p>
        </w:tc>
      </w:tr>
      <w:tr w:rsidR="000D07EA" w14:paraId="79EFB07B" w14:textId="77777777">
        <w:tc>
          <w:tcPr>
            <w:tcW w:w="2500" w:type="pct"/>
          </w:tcPr>
          <w:p w14:paraId="036CB51E" w14:textId="77777777" w:rsidR="000D07EA" w:rsidRDefault="00BE7C89">
            <w:pPr>
              <w:pStyle w:val="BodyText"/>
              <w:spacing w:before="100" w:after="100"/>
              <w:rPr>
                <w:lang w:val="en-AU"/>
              </w:rPr>
            </w:pPr>
            <w:r>
              <w:rPr>
                <w:lang w:val="en-AU"/>
              </w:rPr>
              <w:t>Handset Payments</w:t>
            </w:r>
          </w:p>
        </w:tc>
        <w:tc>
          <w:tcPr>
            <w:tcW w:w="2500" w:type="pct"/>
          </w:tcPr>
          <w:p w14:paraId="7C6CEDE7" w14:textId="77777777" w:rsidR="000D07EA" w:rsidRDefault="00BE7C89">
            <w:pPr>
              <w:pStyle w:val="BodyText"/>
              <w:spacing w:before="100" w:after="100"/>
              <w:jc w:val="center"/>
              <w:rPr>
                <w:lang w:val="en-AU"/>
              </w:rPr>
            </w:pPr>
            <w:r>
              <w:rPr>
                <w:lang w:val="en-AU"/>
              </w:rPr>
              <w:t>No</w:t>
            </w:r>
          </w:p>
        </w:tc>
      </w:tr>
      <w:tr w:rsidR="000D07EA" w14:paraId="2621D32D" w14:textId="77777777">
        <w:tc>
          <w:tcPr>
            <w:tcW w:w="2500" w:type="pct"/>
          </w:tcPr>
          <w:p w14:paraId="7B525F7B" w14:textId="77777777" w:rsidR="000D07EA" w:rsidRDefault="00BE7C89">
            <w:pPr>
              <w:pStyle w:val="BodyText"/>
              <w:spacing w:before="100" w:after="100"/>
              <w:rPr>
                <w:lang w:val="en-AU"/>
              </w:rPr>
            </w:pPr>
            <w:r>
              <w:rPr>
                <w:lang w:val="en-AU"/>
              </w:rPr>
              <w:t>Content Packs (unless specified in promotions)</w:t>
            </w:r>
          </w:p>
        </w:tc>
        <w:tc>
          <w:tcPr>
            <w:tcW w:w="2500" w:type="pct"/>
          </w:tcPr>
          <w:p w14:paraId="2225FB2E" w14:textId="77777777" w:rsidR="000D07EA" w:rsidRDefault="00BE7C89">
            <w:pPr>
              <w:pStyle w:val="BodyText"/>
              <w:spacing w:before="100" w:after="100"/>
              <w:jc w:val="center"/>
              <w:rPr>
                <w:lang w:val="en-AU"/>
              </w:rPr>
            </w:pPr>
            <w:r>
              <w:rPr>
                <w:lang w:val="en-AU"/>
              </w:rPr>
              <w:t>No</w:t>
            </w:r>
          </w:p>
        </w:tc>
      </w:tr>
      <w:tr w:rsidR="000D07EA" w14:paraId="74B5C00D" w14:textId="77777777">
        <w:tc>
          <w:tcPr>
            <w:tcW w:w="2500" w:type="pct"/>
          </w:tcPr>
          <w:p w14:paraId="7AAF396A" w14:textId="77777777" w:rsidR="000D07EA" w:rsidRDefault="00BE7C89">
            <w:pPr>
              <w:pStyle w:val="BodyText"/>
              <w:spacing w:before="100" w:after="100"/>
              <w:rPr>
                <w:lang w:val="en-AU"/>
              </w:rPr>
            </w:pPr>
            <w:r>
              <w:rPr>
                <w:lang w:val="en-AU"/>
              </w:rPr>
              <w:t>Mobile Internet usage</w:t>
            </w:r>
          </w:p>
        </w:tc>
        <w:tc>
          <w:tcPr>
            <w:tcW w:w="2500" w:type="pct"/>
          </w:tcPr>
          <w:p w14:paraId="2F3A9012" w14:textId="77777777" w:rsidR="000D07EA" w:rsidRDefault="00BE7C89">
            <w:pPr>
              <w:pStyle w:val="BodyText"/>
              <w:spacing w:before="100" w:after="100"/>
              <w:jc w:val="center"/>
              <w:rPr>
                <w:lang w:val="en-AU"/>
              </w:rPr>
            </w:pPr>
            <w:r>
              <w:rPr>
                <w:lang w:val="en-AU"/>
              </w:rPr>
              <w:t>No</w:t>
            </w:r>
          </w:p>
        </w:tc>
      </w:tr>
      <w:tr w:rsidR="000D07EA" w14:paraId="032AE4EE" w14:textId="77777777">
        <w:tc>
          <w:tcPr>
            <w:tcW w:w="2500" w:type="pct"/>
          </w:tcPr>
          <w:p w14:paraId="7B95B7CB" w14:textId="77777777" w:rsidR="000D07EA" w:rsidRDefault="00BE7C89">
            <w:pPr>
              <w:pStyle w:val="BodyText"/>
              <w:spacing w:before="100" w:after="100"/>
              <w:rPr>
                <w:lang w:val="en-AU"/>
              </w:rPr>
            </w:pPr>
            <w:r>
              <w:rPr>
                <w:lang w:val="en-AU"/>
              </w:rPr>
              <w:t xml:space="preserve">True Local Usage </w:t>
            </w:r>
          </w:p>
        </w:tc>
        <w:tc>
          <w:tcPr>
            <w:tcW w:w="2500" w:type="pct"/>
          </w:tcPr>
          <w:p w14:paraId="39B8D75D" w14:textId="77777777" w:rsidR="000D07EA" w:rsidRDefault="00BE7C89">
            <w:pPr>
              <w:pStyle w:val="BodyText"/>
              <w:spacing w:before="100" w:after="100"/>
              <w:jc w:val="center"/>
              <w:rPr>
                <w:lang w:val="en-AU"/>
              </w:rPr>
            </w:pPr>
            <w:r>
              <w:rPr>
                <w:lang w:val="en-AU"/>
              </w:rPr>
              <w:t>No</w:t>
            </w:r>
          </w:p>
        </w:tc>
      </w:tr>
      <w:tr w:rsidR="000D07EA" w14:paraId="65B20A8A" w14:textId="77777777">
        <w:tc>
          <w:tcPr>
            <w:tcW w:w="2500" w:type="pct"/>
          </w:tcPr>
          <w:p w14:paraId="1F9D1F48" w14:textId="77777777" w:rsidR="000D07EA" w:rsidRDefault="00BE7C89">
            <w:pPr>
              <w:pStyle w:val="BodyText"/>
              <w:spacing w:before="100" w:after="100"/>
              <w:rPr>
                <w:lang w:val="en-AU"/>
              </w:rPr>
            </w:pPr>
            <w:r>
              <w:rPr>
                <w:lang w:val="en-AU"/>
              </w:rPr>
              <w:t>VOIP services</w:t>
            </w:r>
          </w:p>
        </w:tc>
        <w:tc>
          <w:tcPr>
            <w:tcW w:w="2500" w:type="pct"/>
          </w:tcPr>
          <w:p w14:paraId="69C5D610" w14:textId="77777777" w:rsidR="000D07EA" w:rsidRDefault="00BE7C89">
            <w:pPr>
              <w:pStyle w:val="BodyText"/>
              <w:spacing w:before="100" w:after="100"/>
              <w:jc w:val="center"/>
              <w:rPr>
                <w:lang w:val="en-AU"/>
              </w:rPr>
            </w:pPr>
            <w:r>
              <w:rPr>
                <w:lang w:val="en-AU"/>
              </w:rPr>
              <w:t>No</w:t>
            </w:r>
          </w:p>
        </w:tc>
      </w:tr>
      <w:tr w:rsidR="000D07EA" w14:paraId="7CBC8ACF" w14:textId="77777777">
        <w:tc>
          <w:tcPr>
            <w:tcW w:w="2500" w:type="pct"/>
          </w:tcPr>
          <w:p w14:paraId="7A4B2B18" w14:textId="77777777" w:rsidR="000D07EA" w:rsidRDefault="00BE7C89">
            <w:pPr>
              <w:pStyle w:val="BodyText"/>
              <w:spacing w:before="100" w:after="100"/>
              <w:rPr>
                <w:lang w:val="en-AU"/>
              </w:rPr>
            </w:pPr>
            <w:r>
              <w:rPr>
                <w:lang w:val="en-AU"/>
              </w:rPr>
              <w:t>Calls to Satellite</w:t>
            </w:r>
          </w:p>
        </w:tc>
        <w:tc>
          <w:tcPr>
            <w:tcW w:w="2500" w:type="pct"/>
          </w:tcPr>
          <w:p w14:paraId="30C12531" w14:textId="77777777" w:rsidR="000D07EA" w:rsidRDefault="00BE7C89">
            <w:pPr>
              <w:pStyle w:val="BodyText"/>
              <w:spacing w:before="100" w:after="100"/>
              <w:jc w:val="center"/>
              <w:rPr>
                <w:lang w:val="en-AU"/>
              </w:rPr>
            </w:pPr>
            <w:r>
              <w:rPr>
                <w:lang w:val="en-AU"/>
              </w:rPr>
              <w:t>No</w:t>
            </w:r>
          </w:p>
        </w:tc>
      </w:tr>
      <w:tr w:rsidR="000D07EA" w14:paraId="494CE853" w14:textId="77777777">
        <w:tc>
          <w:tcPr>
            <w:tcW w:w="2500" w:type="pct"/>
          </w:tcPr>
          <w:p w14:paraId="68262860" w14:textId="77777777" w:rsidR="000D07EA" w:rsidRDefault="00BE7C89">
            <w:pPr>
              <w:pStyle w:val="BodyText"/>
              <w:spacing w:before="100" w:after="100"/>
              <w:rPr>
                <w:lang w:val="en-AU"/>
              </w:rPr>
            </w:pPr>
            <w:r>
              <w:rPr>
                <w:lang w:val="en-AU"/>
              </w:rPr>
              <w:t>Surepage</w:t>
            </w:r>
          </w:p>
        </w:tc>
        <w:tc>
          <w:tcPr>
            <w:tcW w:w="2500" w:type="pct"/>
          </w:tcPr>
          <w:p w14:paraId="1AE7CA69" w14:textId="77777777" w:rsidR="000D07EA" w:rsidRDefault="00BE7C89">
            <w:pPr>
              <w:pStyle w:val="BodyText"/>
              <w:spacing w:before="100" w:after="100"/>
              <w:jc w:val="center"/>
              <w:rPr>
                <w:lang w:val="en-AU"/>
              </w:rPr>
            </w:pPr>
            <w:r>
              <w:rPr>
                <w:lang w:val="en-AU"/>
              </w:rPr>
              <w:t>No</w:t>
            </w:r>
          </w:p>
        </w:tc>
      </w:tr>
    </w:tbl>
    <w:p w14:paraId="26798B40" w14:textId="77777777" w:rsidR="000D07EA" w:rsidRDefault="000D07EA">
      <w:pPr>
        <w:pStyle w:val="BodyText"/>
        <w:rPr>
          <w:lang w:val="en-AU" w:eastAsia="en-AU"/>
        </w:rPr>
      </w:pPr>
    </w:p>
    <w:p w14:paraId="1FDFDA96" w14:textId="77777777" w:rsidR="000D07EA" w:rsidRDefault="00BE7C89">
      <w:pPr>
        <w:pStyle w:val="BodyText"/>
        <w:ind w:left="720"/>
        <w:rPr>
          <w:b/>
          <w:lang w:val="en-AU"/>
        </w:rPr>
      </w:pPr>
      <w:r>
        <w:rPr>
          <w:b/>
          <w:lang w:val="en-AU"/>
        </w:rPr>
        <w:t>Table 2A – Eligible for the Included Mobile Internet Data</w:t>
      </w: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730"/>
        <w:gridCol w:w="4731"/>
      </w:tblGrid>
      <w:tr w:rsidR="000D07EA" w14:paraId="2D85F9DB" w14:textId="77777777">
        <w:trPr>
          <w:tblHeader/>
        </w:trPr>
        <w:tc>
          <w:tcPr>
            <w:tcW w:w="2500" w:type="pct"/>
          </w:tcPr>
          <w:p w14:paraId="69D17924" w14:textId="77777777" w:rsidR="000D07EA" w:rsidRDefault="00BE7C89">
            <w:pPr>
              <w:pStyle w:val="BodyText"/>
              <w:spacing w:before="100" w:after="100"/>
              <w:rPr>
                <w:b/>
                <w:lang w:val="en-AU"/>
              </w:rPr>
            </w:pPr>
            <w:r>
              <w:rPr>
                <w:b/>
                <w:lang w:val="en-AU"/>
              </w:rPr>
              <w:t>Call Type</w:t>
            </w:r>
          </w:p>
        </w:tc>
        <w:tc>
          <w:tcPr>
            <w:tcW w:w="2500" w:type="pct"/>
          </w:tcPr>
          <w:p w14:paraId="24215350" w14:textId="77777777" w:rsidR="000D07EA" w:rsidRDefault="00BE7C89">
            <w:pPr>
              <w:pStyle w:val="BodyText"/>
              <w:spacing w:before="100" w:after="100"/>
              <w:jc w:val="center"/>
              <w:rPr>
                <w:b/>
                <w:lang w:val="en-AU"/>
              </w:rPr>
            </w:pPr>
            <w:r>
              <w:rPr>
                <w:b/>
                <w:lang w:val="en-AU"/>
              </w:rPr>
              <w:t>Eligible Data</w:t>
            </w:r>
          </w:p>
        </w:tc>
      </w:tr>
      <w:tr w:rsidR="000D07EA" w14:paraId="4F73BE29" w14:textId="77777777">
        <w:tc>
          <w:tcPr>
            <w:tcW w:w="2500" w:type="pct"/>
          </w:tcPr>
          <w:p w14:paraId="07CF1F94" w14:textId="77777777" w:rsidR="000D07EA" w:rsidRDefault="00BE7C89">
            <w:pPr>
              <w:pStyle w:val="BodyText"/>
              <w:spacing w:before="100" w:after="100"/>
              <w:rPr>
                <w:lang w:val="en-AU"/>
              </w:rPr>
            </w:pPr>
            <w:r>
              <w:rPr>
                <w:lang w:val="en-AU"/>
              </w:rPr>
              <w:t>National Voice and Video Calls</w:t>
            </w:r>
          </w:p>
        </w:tc>
        <w:tc>
          <w:tcPr>
            <w:tcW w:w="2500" w:type="pct"/>
          </w:tcPr>
          <w:p w14:paraId="2FFB1C27" w14:textId="77777777" w:rsidR="000D07EA" w:rsidRDefault="00BE7C89">
            <w:pPr>
              <w:pStyle w:val="BodyText"/>
              <w:spacing w:before="100" w:after="100"/>
              <w:jc w:val="center"/>
              <w:rPr>
                <w:lang w:val="en-AU"/>
              </w:rPr>
            </w:pPr>
            <w:r>
              <w:rPr>
                <w:lang w:val="en-AU"/>
              </w:rPr>
              <w:t>No</w:t>
            </w:r>
          </w:p>
        </w:tc>
      </w:tr>
      <w:tr w:rsidR="000D07EA" w14:paraId="0C79D083" w14:textId="77777777">
        <w:tc>
          <w:tcPr>
            <w:tcW w:w="2500" w:type="pct"/>
          </w:tcPr>
          <w:p w14:paraId="26531B5D" w14:textId="77777777" w:rsidR="000D07EA" w:rsidRDefault="00BE7C89">
            <w:pPr>
              <w:pStyle w:val="BodyText"/>
              <w:spacing w:before="100" w:after="100"/>
              <w:rPr>
                <w:lang w:val="en-AU"/>
              </w:rPr>
            </w:pPr>
            <w:r>
              <w:rPr>
                <w:lang w:val="en-AU"/>
              </w:rPr>
              <w:t>International Voice and Video Calls</w:t>
            </w:r>
          </w:p>
          <w:p w14:paraId="5D4D8AE9" w14:textId="77777777" w:rsidR="000D07EA" w:rsidRDefault="00BE7C89">
            <w:pPr>
              <w:pStyle w:val="BodyText"/>
              <w:spacing w:before="100" w:after="100"/>
              <w:rPr>
                <w:lang w:val="en-AU"/>
              </w:rPr>
            </w:pPr>
            <w:r>
              <w:rPr>
                <w:lang w:val="en-AU"/>
              </w:rPr>
              <w:t>(including calls to national fixed or GSM mobile services that then divert/switch or re-route overseas)</w:t>
            </w:r>
          </w:p>
        </w:tc>
        <w:tc>
          <w:tcPr>
            <w:tcW w:w="2500" w:type="pct"/>
          </w:tcPr>
          <w:p w14:paraId="02D6FB78" w14:textId="77777777" w:rsidR="000D07EA" w:rsidRDefault="00BE7C89">
            <w:pPr>
              <w:pStyle w:val="BodyText"/>
              <w:spacing w:before="100" w:after="100"/>
              <w:jc w:val="center"/>
              <w:rPr>
                <w:lang w:val="en-AU"/>
              </w:rPr>
            </w:pPr>
            <w:r>
              <w:rPr>
                <w:lang w:val="en-AU"/>
              </w:rPr>
              <w:t>No</w:t>
            </w:r>
          </w:p>
        </w:tc>
      </w:tr>
      <w:tr w:rsidR="000D07EA" w14:paraId="59600989" w14:textId="77777777">
        <w:tc>
          <w:tcPr>
            <w:tcW w:w="2500" w:type="pct"/>
          </w:tcPr>
          <w:p w14:paraId="3840E19F" w14:textId="77777777" w:rsidR="000D07EA" w:rsidRDefault="00BE7C89">
            <w:pPr>
              <w:pStyle w:val="BodyText"/>
              <w:spacing w:before="100" w:after="100"/>
              <w:rPr>
                <w:lang w:val="en-AU"/>
              </w:rPr>
            </w:pPr>
            <w:r>
              <w:rPr>
                <w:lang w:val="en-AU"/>
              </w:rPr>
              <w:t>Premium Video</w:t>
            </w:r>
          </w:p>
        </w:tc>
        <w:tc>
          <w:tcPr>
            <w:tcW w:w="2500" w:type="pct"/>
          </w:tcPr>
          <w:p w14:paraId="2C1C6BCB" w14:textId="77777777" w:rsidR="000D07EA" w:rsidRDefault="00BE7C89">
            <w:pPr>
              <w:pStyle w:val="BodyText"/>
              <w:spacing w:before="100" w:after="100"/>
              <w:jc w:val="center"/>
              <w:rPr>
                <w:lang w:val="en-AU"/>
              </w:rPr>
            </w:pPr>
            <w:r>
              <w:rPr>
                <w:lang w:val="en-AU"/>
              </w:rPr>
              <w:t>No</w:t>
            </w:r>
          </w:p>
        </w:tc>
      </w:tr>
      <w:tr w:rsidR="000D07EA" w14:paraId="3AA80955" w14:textId="77777777">
        <w:tc>
          <w:tcPr>
            <w:tcW w:w="2500" w:type="pct"/>
          </w:tcPr>
          <w:p w14:paraId="545AAEDA" w14:textId="77777777" w:rsidR="000D07EA" w:rsidRDefault="00BE7C89">
            <w:pPr>
              <w:pStyle w:val="BodyText"/>
              <w:spacing w:before="100" w:after="100"/>
              <w:rPr>
                <w:lang w:val="en-AU"/>
              </w:rPr>
            </w:pPr>
            <w:r>
              <w:rPr>
                <w:lang w:val="en-AU"/>
              </w:rPr>
              <w:t>Content Video</w:t>
            </w:r>
          </w:p>
        </w:tc>
        <w:tc>
          <w:tcPr>
            <w:tcW w:w="2500" w:type="pct"/>
          </w:tcPr>
          <w:p w14:paraId="35F2B21E" w14:textId="77777777" w:rsidR="000D07EA" w:rsidRDefault="00BE7C89">
            <w:pPr>
              <w:pStyle w:val="BodyText"/>
              <w:spacing w:before="100" w:after="100"/>
              <w:jc w:val="center"/>
              <w:rPr>
                <w:lang w:val="en-AU"/>
              </w:rPr>
            </w:pPr>
            <w:r>
              <w:rPr>
                <w:lang w:val="en-AU"/>
              </w:rPr>
              <w:t>No</w:t>
            </w:r>
          </w:p>
        </w:tc>
      </w:tr>
      <w:tr w:rsidR="000D07EA" w14:paraId="7D9B8322" w14:textId="77777777">
        <w:tc>
          <w:tcPr>
            <w:tcW w:w="2500" w:type="pct"/>
          </w:tcPr>
          <w:p w14:paraId="5B7AD2F3" w14:textId="77777777" w:rsidR="000D07EA" w:rsidRDefault="00BE7C89">
            <w:pPr>
              <w:pStyle w:val="BodyText"/>
              <w:spacing w:before="100" w:after="100"/>
              <w:rPr>
                <w:lang w:val="en-AU"/>
              </w:rPr>
            </w:pPr>
            <w:r>
              <w:rPr>
                <w:lang w:val="en-AU"/>
              </w:rPr>
              <w:t>National Standard SMS</w:t>
            </w:r>
          </w:p>
        </w:tc>
        <w:tc>
          <w:tcPr>
            <w:tcW w:w="2500" w:type="pct"/>
          </w:tcPr>
          <w:p w14:paraId="11FBA2A6" w14:textId="77777777" w:rsidR="000D07EA" w:rsidRDefault="00BE7C89">
            <w:pPr>
              <w:pStyle w:val="BodyText"/>
              <w:spacing w:before="100" w:after="100"/>
              <w:jc w:val="center"/>
              <w:rPr>
                <w:lang w:val="en-AU"/>
              </w:rPr>
            </w:pPr>
            <w:r>
              <w:rPr>
                <w:lang w:val="en-AU"/>
              </w:rPr>
              <w:t>No</w:t>
            </w:r>
          </w:p>
        </w:tc>
      </w:tr>
      <w:tr w:rsidR="000D07EA" w14:paraId="3FCACA2A" w14:textId="77777777">
        <w:tc>
          <w:tcPr>
            <w:tcW w:w="2500" w:type="pct"/>
          </w:tcPr>
          <w:p w14:paraId="52029E78" w14:textId="77777777" w:rsidR="000D07EA" w:rsidRDefault="00BE7C89">
            <w:pPr>
              <w:pStyle w:val="BodyText"/>
              <w:spacing w:before="100" w:after="100"/>
              <w:rPr>
                <w:lang w:val="en-AU"/>
              </w:rPr>
            </w:pPr>
            <w:r>
              <w:rPr>
                <w:lang w:val="en-AU"/>
              </w:rPr>
              <w:t>International SMS</w:t>
            </w:r>
          </w:p>
        </w:tc>
        <w:tc>
          <w:tcPr>
            <w:tcW w:w="2500" w:type="pct"/>
          </w:tcPr>
          <w:p w14:paraId="498649D2" w14:textId="77777777" w:rsidR="000D07EA" w:rsidRDefault="00BE7C89">
            <w:pPr>
              <w:pStyle w:val="BodyText"/>
              <w:spacing w:before="100" w:after="100"/>
              <w:jc w:val="center"/>
              <w:rPr>
                <w:lang w:val="en-AU"/>
              </w:rPr>
            </w:pPr>
            <w:r>
              <w:rPr>
                <w:lang w:val="en-AU"/>
              </w:rPr>
              <w:t>No</w:t>
            </w:r>
          </w:p>
        </w:tc>
      </w:tr>
      <w:tr w:rsidR="000D07EA" w14:paraId="2ED6042B" w14:textId="77777777">
        <w:tc>
          <w:tcPr>
            <w:tcW w:w="2500" w:type="pct"/>
          </w:tcPr>
          <w:p w14:paraId="61BA9508" w14:textId="77777777" w:rsidR="000D07EA" w:rsidRDefault="00BE7C89">
            <w:pPr>
              <w:pStyle w:val="BodyText"/>
              <w:spacing w:before="100" w:after="100"/>
              <w:rPr>
                <w:lang w:val="en-AU"/>
              </w:rPr>
            </w:pPr>
            <w:r>
              <w:rPr>
                <w:lang w:val="en-AU"/>
              </w:rPr>
              <w:t>Premium SMS</w:t>
            </w:r>
          </w:p>
        </w:tc>
        <w:tc>
          <w:tcPr>
            <w:tcW w:w="2500" w:type="pct"/>
          </w:tcPr>
          <w:p w14:paraId="4DF443B3" w14:textId="77777777" w:rsidR="000D07EA" w:rsidRDefault="00BE7C89">
            <w:pPr>
              <w:pStyle w:val="BodyText"/>
              <w:spacing w:before="100" w:after="100"/>
              <w:jc w:val="center"/>
              <w:rPr>
                <w:lang w:val="en-AU"/>
              </w:rPr>
            </w:pPr>
            <w:r>
              <w:rPr>
                <w:lang w:val="en-AU"/>
              </w:rPr>
              <w:t>No</w:t>
            </w:r>
          </w:p>
        </w:tc>
      </w:tr>
      <w:tr w:rsidR="000D07EA" w14:paraId="188BFFC0" w14:textId="77777777">
        <w:tc>
          <w:tcPr>
            <w:tcW w:w="2500" w:type="pct"/>
          </w:tcPr>
          <w:p w14:paraId="636AACCD" w14:textId="77777777" w:rsidR="000D07EA" w:rsidRDefault="00BE7C89">
            <w:pPr>
              <w:pStyle w:val="BodyText"/>
              <w:spacing w:before="100" w:after="100"/>
              <w:rPr>
                <w:lang w:val="en-AU"/>
              </w:rPr>
            </w:pPr>
            <w:r>
              <w:rPr>
                <w:lang w:val="en-AU"/>
              </w:rPr>
              <w:t>National Standard MMS</w:t>
            </w:r>
          </w:p>
        </w:tc>
        <w:tc>
          <w:tcPr>
            <w:tcW w:w="2500" w:type="pct"/>
          </w:tcPr>
          <w:p w14:paraId="0E7423BF" w14:textId="77777777" w:rsidR="000D07EA" w:rsidRDefault="00BE7C89">
            <w:pPr>
              <w:pStyle w:val="BodyText"/>
              <w:spacing w:before="100" w:after="100"/>
              <w:jc w:val="center"/>
              <w:rPr>
                <w:lang w:val="en-AU"/>
              </w:rPr>
            </w:pPr>
            <w:r>
              <w:rPr>
                <w:lang w:val="en-AU"/>
              </w:rPr>
              <w:t>No</w:t>
            </w:r>
          </w:p>
        </w:tc>
      </w:tr>
      <w:tr w:rsidR="000D07EA" w14:paraId="7886C98A" w14:textId="77777777">
        <w:tc>
          <w:tcPr>
            <w:tcW w:w="2500" w:type="pct"/>
          </w:tcPr>
          <w:p w14:paraId="4DDF266A" w14:textId="77777777" w:rsidR="000D07EA" w:rsidRDefault="00BE7C89">
            <w:pPr>
              <w:pStyle w:val="BodyText"/>
              <w:spacing w:before="100" w:after="100"/>
              <w:rPr>
                <w:lang w:val="en-AU"/>
              </w:rPr>
            </w:pPr>
            <w:r>
              <w:rPr>
                <w:lang w:val="en-AU"/>
              </w:rPr>
              <w:t>International MMS</w:t>
            </w:r>
          </w:p>
        </w:tc>
        <w:tc>
          <w:tcPr>
            <w:tcW w:w="2500" w:type="pct"/>
          </w:tcPr>
          <w:p w14:paraId="04D19D28" w14:textId="77777777" w:rsidR="000D07EA" w:rsidRDefault="00BE7C89">
            <w:pPr>
              <w:pStyle w:val="BodyText"/>
              <w:spacing w:before="100" w:after="100"/>
              <w:jc w:val="center"/>
              <w:rPr>
                <w:lang w:val="en-AU"/>
              </w:rPr>
            </w:pPr>
            <w:r>
              <w:rPr>
                <w:lang w:val="en-AU"/>
              </w:rPr>
              <w:t>No</w:t>
            </w:r>
          </w:p>
        </w:tc>
      </w:tr>
      <w:tr w:rsidR="000D07EA" w14:paraId="2D6339FA" w14:textId="77777777">
        <w:tc>
          <w:tcPr>
            <w:tcW w:w="2500" w:type="pct"/>
          </w:tcPr>
          <w:p w14:paraId="65EEB44F" w14:textId="77777777" w:rsidR="000D07EA" w:rsidRDefault="00BE7C89">
            <w:pPr>
              <w:pStyle w:val="BodyText"/>
              <w:spacing w:before="100" w:after="100"/>
              <w:rPr>
                <w:lang w:val="en-AU"/>
              </w:rPr>
            </w:pPr>
            <w:r>
              <w:rPr>
                <w:lang w:val="en-AU"/>
              </w:rPr>
              <w:t>Premium MMS</w:t>
            </w:r>
          </w:p>
        </w:tc>
        <w:tc>
          <w:tcPr>
            <w:tcW w:w="2500" w:type="pct"/>
          </w:tcPr>
          <w:p w14:paraId="11881A3C" w14:textId="77777777" w:rsidR="000D07EA" w:rsidRDefault="00BE7C89">
            <w:pPr>
              <w:pStyle w:val="BodyText"/>
              <w:spacing w:before="100" w:after="100"/>
              <w:jc w:val="center"/>
              <w:rPr>
                <w:lang w:val="en-AU"/>
              </w:rPr>
            </w:pPr>
            <w:r>
              <w:rPr>
                <w:lang w:val="en-AU"/>
              </w:rPr>
              <w:t>No</w:t>
            </w:r>
          </w:p>
        </w:tc>
      </w:tr>
      <w:tr w:rsidR="000D07EA" w14:paraId="6EB08967" w14:textId="77777777">
        <w:tc>
          <w:tcPr>
            <w:tcW w:w="2500" w:type="pct"/>
          </w:tcPr>
          <w:p w14:paraId="52B3FEEA" w14:textId="77777777" w:rsidR="000D07EA" w:rsidRDefault="00BE7C89">
            <w:pPr>
              <w:pStyle w:val="BodyText"/>
              <w:spacing w:before="100" w:after="100"/>
              <w:rPr>
                <w:lang w:val="en-AU"/>
              </w:rPr>
            </w:pPr>
            <w:r>
              <w:rPr>
                <w:lang w:val="en-AU"/>
              </w:rPr>
              <w:t>National Diversions</w:t>
            </w:r>
          </w:p>
        </w:tc>
        <w:tc>
          <w:tcPr>
            <w:tcW w:w="2500" w:type="pct"/>
          </w:tcPr>
          <w:p w14:paraId="5E4741B4" w14:textId="77777777" w:rsidR="000D07EA" w:rsidRDefault="00BE7C89">
            <w:pPr>
              <w:pStyle w:val="BodyText"/>
              <w:spacing w:before="100" w:after="100"/>
              <w:jc w:val="center"/>
              <w:rPr>
                <w:lang w:val="en-AU"/>
              </w:rPr>
            </w:pPr>
            <w:r>
              <w:rPr>
                <w:lang w:val="en-AU"/>
              </w:rPr>
              <w:t>No</w:t>
            </w:r>
          </w:p>
        </w:tc>
      </w:tr>
      <w:tr w:rsidR="000D07EA" w14:paraId="701D889F" w14:textId="77777777">
        <w:tc>
          <w:tcPr>
            <w:tcW w:w="2500" w:type="pct"/>
          </w:tcPr>
          <w:p w14:paraId="05942DA8" w14:textId="77777777" w:rsidR="000D07EA" w:rsidRDefault="00BE7C89">
            <w:pPr>
              <w:pStyle w:val="BodyText"/>
              <w:spacing w:before="100" w:after="100"/>
              <w:rPr>
                <w:lang w:val="en-AU"/>
              </w:rPr>
            </w:pPr>
            <w:r>
              <w:rPr>
                <w:lang w:val="en-AU"/>
              </w:rPr>
              <w:t>Voicemail Deposit and Retrievals</w:t>
            </w:r>
          </w:p>
        </w:tc>
        <w:tc>
          <w:tcPr>
            <w:tcW w:w="2500" w:type="pct"/>
          </w:tcPr>
          <w:p w14:paraId="20A8359D" w14:textId="77777777" w:rsidR="000D07EA" w:rsidRDefault="00BE7C89">
            <w:pPr>
              <w:pStyle w:val="BodyText"/>
              <w:spacing w:before="100" w:after="100"/>
              <w:jc w:val="center"/>
              <w:rPr>
                <w:lang w:val="en-AU"/>
              </w:rPr>
            </w:pPr>
            <w:r>
              <w:rPr>
                <w:lang w:val="en-AU"/>
              </w:rPr>
              <w:t>No</w:t>
            </w:r>
          </w:p>
        </w:tc>
      </w:tr>
      <w:tr w:rsidR="000D07EA" w14:paraId="4165B084" w14:textId="77777777">
        <w:tc>
          <w:tcPr>
            <w:tcW w:w="2500" w:type="pct"/>
          </w:tcPr>
          <w:p w14:paraId="380F2BA1" w14:textId="77777777" w:rsidR="000D07EA" w:rsidRDefault="00BE7C89">
            <w:pPr>
              <w:pStyle w:val="BodyText"/>
              <w:spacing w:before="100" w:after="100"/>
              <w:rPr>
                <w:lang w:val="en-AU"/>
              </w:rPr>
            </w:pPr>
            <w:r>
              <w:rPr>
                <w:lang w:val="en-AU"/>
              </w:rPr>
              <w:t>International Roaming and Diversion</w:t>
            </w:r>
          </w:p>
        </w:tc>
        <w:tc>
          <w:tcPr>
            <w:tcW w:w="2500" w:type="pct"/>
          </w:tcPr>
          <w:p w14:paraId="3909A0AC" w14:textId="77777777" w:rsidR="000D07EA" w:rsidRDefault="00BE7C89">
            <w:pPr>
              <w:pStyle w:val="BodyText"/>
              <w:spacing w:before="100" w:after="100"/>
              <w:jc w:val="center"/>
              <w:rPr>
                <w:lang w:val="en-AU"/>
              </w:rPr>
            </w:pPr>
            <w:r>
              <w:rPr>
                <w:lang w:val="en-AU"/>
              </w:rPr>
              <w:t>No</w:t>
            </w:r>
          </w:p>
        </w:tc>
      </w:tr>
      <w:tr w:rsidR="000D07EA" w14:paraId="4BEDBA96" w14:textId="77777777">
        <w:tc>
          <w:tcPr>
            <w:tcW w:w="2500" w:type="pct"/>
          </w:tcPr>
          <w:p w14:paraId="75317D1C" w14:textId="77777777" w:rsidR="000D07EA" w:rsidRDefault="00BE7C89">
            <w:pPr>
              <w:pStyle w:val="BodyText"/>
              <w:spacing w:before="100" w:after="100"/>
              <w:rPr>
                <w:lang w:val="en-AU"/>
              </w:rPr>
            </w:pPr>
            <w:r>
              <w:rPr>
                <w:lang w:val="en-AU"/>
              </w:rPr>
              <w:lastRenderedPageBreak/>
              <w:t>Video Conferencing</w:t>
            </w:r>
          </w:p>
        </w:tc>
        <w:tc>
          <w:tcPr>
            <w:tcW w:w="2500" w:type="pct"/>
          </w:tcPr>
          <w:p w14:paraId="06998E1E" w14:textId="77777777" w:rsidR="000D07EA" w:rsidRDefault="00BE7C89">
            <w:pPr>
              <w:pStyle w:val="BodyText"/>
              <w:spacing w:before="100" w:after="100"/>
              <w:jc w:val="center"/>
              <w:rPr>
                <w:lang w:val="en-AU"/>
              </w:rPr>
            </w:pPr>
            <w:r>
              <w:rPr>
                <w:lang w:val="en-AU"/>
              </w:rPr>
              <w:t>No</w:t>
            </w:r>
          </w:p>
        </w:tc>
      </w:tr>
      <w:tr w:rsidR="000D07EA" w14:paraId="5EA3803D" w14:textId="77777777">
        <w:tc>
          <w:tcPr>
            <w:tcW w:w="2500" w:type="pct"/>
          </w:tcPr>
          <w:p w14:paraId="7A1BF457" w14:textId="77777777" w:rsidR="000D07EA" w:rsidRDefault="00BE7C89">
            <w:pPr>
              <w:pStyle w:val="BodyText"/>
              <w:spacing w:before="100" w:after="100"/>
              <w:rPr>
                <w:lang w:val="en-AU"/>
              </w:rPr>
            </w:pPr>
            <w:r>
              <w:rPr>
                <w:lang w:val="en-AU"/>
              </w:rPr>
              <w:t>BlackBerry Email</w:t>
            </w:r>
          </w:p>
        </w:tc>
        <w:tc>
          <w:tcPr>
            <w:tcW w:w="2500" w:type="pct"/>
          </w:tcPr>
          <w:p w14:paraId="1D79A45F" w14:textId="77777777" w:rsidR="000D07EA" w:rsidRDefault="00BE7C89">
            <w:pPr>
              <w:pStyle w:val="BodyText"/>
              <w:spacing w:before="100" w:after="100"/>
              <w:jc w:val="center"/>
              <w:rPr>
                <w:lang w:val="en-AU"/>
              </w:rPr>
            </w:pPr>
            <w:r>
              <w:rPr>
                <w:lang w:val="en-AU"/>
              </w:rPr>
              <w:t>No</w:t>
            </w:r>
          </w:p>
        </w:tc>
      </w:tr>
      <w:tr w:rsidR="000D07EA" w14:paraId="6F1BCD67" w14:textId="77777777">
        <w:tc>
          <w:tcPr>
            <w:tcW w:w="2500" w:type="pct"/>
          </w:tcPr>
          <w:p w14:paraId="417B990C" w14:textId="77777777" w:rsidR="000D07EA" w:rsidRDefault="00BE7C89">
            <w:pPr>
              <w:pStyle w:val="BodyText"/>
              <w:spacing w:before="100" w:after="100"/>
              <w:rPr>
                <w:lang w:val="en-AU"/>
              </w:rPr>
            </w:pPr>
            <w:r>
              <w:rPr>
                <w:lang w:val="en-AU"/>
              </w:rPr>
              <w:t>Optus Zoo Browsing*</w:t>
            </w:r>
          </w:p>
        </w:tc>
        <w:tc>
          <w:tcPr>
            <w:tcW w:w="2500" w:type="pct"/>
          </w:tcPr>
          <w:p w14:paraId="3DAB48FC" w14:textId="77777777" w:rsidR="000D07EA" w:rsidRDefault="00BE7C89">
            <w:pPr>
              <w:pStyle w:val="BodyText"/>
              <w:spacing w:before="100" w:after="100"/>
              <w:jc w:val="center"/>
              <w:rPr>
                <w:lang w:val="en-AU"/>
              </w:rPr>
            </w:pPr>
            <w:r>
              <w:rPr>
                <w:lang w:val="en-AU"/>
              </w:rPr>
              <w:t>Yes, up to the monthly included data amount specified in Table 3A.</w:t>
            </w:r>
          </w:p>
        </w:tc>
      </w:tr>
      <w:tr w:rsidR="000D07EA" w14:paraId="696ED419" w14:textId="77777777">
        <w:tc>
          <w:tcPr>
            <w:tcW w:w="2500" w:type="pct"/>
          </w:tcPr>
          <w:p w14:paraId="18A3CACD" w14:textId="77777777" w:rsidR="000D07EA" w:rsidRDefault="00BE7C89">
            <w:pPr>
              <w:pStyle w:val="BodyText"/>
              <w:spacing w:before="100" w:after="100"/>
              <w:rPr>
                <w:lang w:val="en-AU"/>
              </w:rPr>
            </w:pPr>
            <w:r>
              <w:rPr>
                <w:lang w:val="en-AU"/>
              </w:rPr>
              <w:t>Optus Zoo Downloads</w:t>
            </w:r>
          </w:p>
        </w:tc>
        <w:tc>
          <w:tcPr>
            <w:tcW w:w="2500" w:type="pct"/>
          </w:tcPr>
          <w:p w14:paraId="5EA7E0FB" w14:textId="77777777" w:rsidR="000D07EA" w:rsidRDefault="00BE7C89">
            <w:pPr>
              <w:pStyle w:val="BodyText"/>
              <w:spacing w:before="100" w:after="100"/>
              <w:jc w:val="center"/>
              <w:rPr>
                <w:lang w:val="en-AU"/>
              </w:rPr>
            </w:pPr>
            <w:r>
              <w:rPr>
                <w:lang w:val="en-AU"/>
              </w:rPr>
              <w:t>No</w:t>
            </w:r>
          </w:p>
        </w:tc>
      </w:tr>
      <w:tr w:rsidR="000D07EA" w14:paraId="7EA5E6CE" w14:textId="77777777">
        <w:tc>
          <w:tcPr>
            <w:tcW w:w="2500" w:type="pct"/>
          </w:tcPr>
          <w:p w14:paraId="5BCBB7E5" w14:textId="77777777" w:rsidR="000D07EA" w:rsidRDefault="00BE7C89">
            <w:pPr>
              <w:pStyle w:val="BodyText"/>
              <w:spacing w:before="100" w:after="100"/>
              <w:rPr>
                <w:lang w:val="en-AU"/>
              </w:rPr>
            </w:pPr>
            <w:r>
              <w:rPr>
                <w:lang w:val="en-AU"/>
              </w:rPr>
              <w:t>SMS to 966 (Zoo)</w:t>
            </w:r>
          </w:p>
        </w:tc>
        <w:tc>
          <w:tcPr>
            <w:tcW w:w="2500" w:type="pct"/>
          </w:tcPr>
          <w:p w14:paraId="315AACDA" w14:textId="77777777" w:rsidR="000D07EA" w:rsidRDefault="00BE7C89">
            <w:pPr>
              <w:pStyle w:val="BodyText"/>
              <w:spacing w:before="100" w:after="100"/>
              <w:jc w:val="center"/>
              <w:rPr>
                <w:lang w:val="en-AU"/>
              </w:rPr>
            </w:pPr>
            <w:r>
              <w:rPr>
                <w:lang w:val="en-AU"/>
              </w:rPr>
              <w:t>No</w:t>
            </w:r>
          </w:p>
        </w:tc>
      </w:tr>
      <w:tr w:rsidR="000D07EA" w14:paraId="444FA1CF" w14:textId="77777777">
        <w:tc>
          <w:tcPr>
            <w:tcW w:w="2500" w:type="pct"/>
          </w:tcPr>
          <w:p w14:paraId="3D947535" w14:textId="77777777" w:rsidR="000D07EA" w:rsidRDefault="00BE7C89">
            <w:pPr>
              <w:pStyle w:val="BodyText"/>
              <w:spacing w:before="100" w:after="100"/>
              <w:rPr>
                <w:lang w:val="en-AU"/>
              </w:rPr>
            </w:pPr>
            <w:r>
              <w:rPr>
                <w:lang w:val="en-AU"/>
              </w:rPr>
              <w:t>Mobile Internet usage*</w:t>
            </w:r>
          </w:p>
        </w:tc>
        <w:tc>
          <w:tcPr>
            <w:tcW w:w="2500" w:type="pct"/>
          </w:tcPr>
          <w:p w14:paraId="03613C36" w14:textId="77777777" w:rsidR="000D07EA" w:rsidRDefault="00BE7C89">
            <w:pPr>
              <w:pStyle w:val="BodyText"/>
              <w:spacing w:before="100" w:after="100"/>
              <w:jc w:val="center"/>
              <w:rPr>
                <w:lang w:val="en-AU"/>
              </w:rPr>
            </w:pPr>
            <w:r>
              <w:rPr>
                <w:lang w:val="en-AU"/>
              </w:rPr>
              <w:t>Yes, up to the monthly included data amount specified in Table 3A.</w:t>
            </w:r>
          </w:p>
        </w:tc>
      </w:tr>
      <w:tr w:rsidR="000D07EA" w14:paraId="5A2EBC10" w14:textId="77777777">
        <w:tc>
          <w:tcPr>
            <w:tcW w:w="2500" w:type="pct"/>
          </w:tcPr>
          <w:p w14:paraId="3DFF52E6" w14:textId="77777777" w:rsidR="000D07EA" w:rsidRDefault="00BE7C89">
            <w:pPr>
              <w:pStyle w:val="BodyText"/>
              <w:spacing w:before="100" w:after="100"/>
              <w:rPr>
                <w:lang w:val="en-AU"/>
              </w:rPr>
            </w:pPr>
            <w:r>
              <w:rPr>
                <w:lang w:val="en-AU"/>
              </w:rPr>
              <w:t>Mobile as Modem</w:t>
            </w:r>
          </w:p>
        </w:tc>
        <w:tc>
          <w:tcPr>
            <w:tcW w:w="2500" w:type="pct"/>
          </w:tcPr>
          <w:p w14:paraId="071C0D16" w14:textId="77777777" w:rsidR="000D07EA" w:rsidRDefault="00BE7C89">
            <w:pPr>
              <w:pStyle w:val="BodyText"/>
              <w:spacing w:before="100" w:after="100"/>
              <w:jc w:val="center"/>
              <w:rPr>
                <w:lang w:val="en-AU"/>
              </w:rPr>
            </w:pPr>
            <w:r>
              <w:rPr>
                <w:lang w:val="en-AU"/>
              </w:rPr>
              <w:t>Yes</w:t>
            </w:r>
          </w:p>
        </w:tc>
      </w:tr>
      <w:tr w:rsidR="000D07EA" w14:paraId="626B9FAD" w14:textId="77777777">
        <w:tc>
          <w:tcPr>
            <w:tcW w:w="2500" w:type="pct"/>
          </w:tcPr>
          <w:p w14:paraId="4DF19F0F" w14:textId="77777777" w:rsidR="000D07EA" w:rsidRDefault="00BE7C89">
            <w:pPr>
              <w:pStyle w:val="BodyText"/>
              <w:spacing w:before="100" w:after="100"/>
              <w:rPr>
                <w:lang w:val="en-AU"/>
              </w:rPr>
            </w:pPr>
            <w:r>
              <w:rPr>
                <w:lang w:val="en-AU"/>
              </w:rPr>
              <w:t>Data Used while Roaming Internationally</w:t>
            </w:r>
          </w:p>
        </w:tc>
        <w:tc>
          <w:tcPr>
            <w:tcW w:w="2500" w:type="pct"/>
          </w:tcPr>
          <w:p w14:paraId="496FD5D8" w14:textId="77777777" w:rsidR="000D07EA" w:rsidRDefault="00BE7C89">
            <w:pPr>
              <w:pStyle w:val="BodyText"/>
              <w:spacing w:before="100" w:after="100"/>
              <w:jc w:val="center"/>
              <w:rPr>
                <w:lang w:val="en-AU"/>
              </w:rPr>
            </w:pPr>
            <w:r>
              <w:rPr>
                <w:lang w:val="en-AU"/>
              </w:rPr>
              <w:t>No</w:t>
            </w:r>
          </w:p>
        </w:tc>
      </w:tr>
      <w:tr w:rsidR="000D07EA" w14:paraId="7A809360" w14:textId="77777777">
        <w:tc>
          <w:tcPr>
            <w:tcW w:w="2500" w:type="pct"/>
          </w:tcPr>
          <w:p w14:paraId="55D99261" w14:textId="77777777" w:rsidR="000D07EA" w:rsidRDefault="00BE7C89">
            <w:pPr>
              <w:pStyle w:val="BodyText"/>
              <w:spacing w:before="100" w:after="100"/>
              <w:rPr>
                <w:lang w:val="en-AU"/>
              </w:rPr>
            </w:pPr>
            <w:r>
              <w:rPr>
                <w:lang w:val="en-AU"/>
              </w:rPr>
              <w:t xml:space="preserve">Content Packs </w:t>
            </w:r>
          </w:p>
        </w:tc>
        <w:tc>
          <w:tcPr>
            <w:tcW w:w="2500" w:type="pct"/>
          </w:tcPr>
          <w:p w14:paraId="16D1679C" w14:textId="77777777" w:rsidR="000D07EA" w:rsidRDefault="00BE7C89">
            <w:pPr>
              <w:pStyle w:val="BodyText"/>
              <w:spacing w:before="100" w:after="100"/>
              <w:jc w:val="center"/>
              <w:rPr>
                <w:lang w:val="en-AU"/>
              </w:rPr>
            </w:pPr>
            <w:r>
              <w:rPr>
                <w:lang w:val="en-AU"/>
              </w:rPr>
              <w:t>No</w:t>
            </w:r>
          </w:p>
        </w:tc>
      </w:tr>
      <w:tr w:rsidR="000D07EA" w14:paraId="2CD3FE17" w14:textId="77777777">
        <w:tc>
          <w:tcPr>
            <w:tcW w:w="2500" w:type="pct"/>
          </w:tcPr>
          <w:p w14:paraId="31A2C38F" w14:textId="77777777" w:rsidR="000D07EA" w:rsidRDefault="00BE7C89">
            <w:pPr>
              <w:pStyle w:val="BodyText"/>
              <w:spacing w:before="100" w:after="100"/>
              <w:rPr>
                <w:lang w:val="en-AU"/>
              </w:rPr>
            </w:pPr>
            <w:r>
              <w:rPr>
                <w:lang w:val="en-AU"/>
              </w:rPr>
              <w:t>TrueLocal Usage</w:t>
            </w:r>
          </w:p>
        </w:tc>
        <w:tc>
          <w:tcPr>
            <w:tcW w:w="2500" w:type="pct"/>
          </w:tcPr>
          <w:p w14:paraId="4C351E30" w14:textId="77777777" w:rsidR="000D07EA" w:rsidRDefault="00BE7C89">
            <w:pPr>
              <w:pStyle w:val="BodyText"/>
              <w:spacing w:before="100" w:after="100"/>
              <w:jc w:val="center"/>
              <w:rPr>
                <w:lang w:val="en-AU"/>
              </w:rPr>
            </w:pPr>
            <w:r>
              <w:rPr>
                <w:lang w:val="en-AU"/>
              </w:rPr>
              <w:t>No</w:t>
            </w:r>
          </w:p>
        </w:tc>
      </w:tr>
      <w:tr w:rsidR="000D07EA" w14:paraId="304EFCA9" w14:textId="77777777">
        <w:tc>
          <w:tcPr>
            <w:tcW w:w="2500" w:type="pct"/>
          </w:tcPr>
          <w:p w14:paraId="5BC78C59" w14:textId="77777777" w:rsidR="000D07EA" w:rsidRDefault="00BE7C89">
            <w:pPr>
              <w:pStyle w:val="BodyText"/>
              <w:spacing w:before="100" w:after="100"/>
              <w:rPr>
                <w:lang w:val="en-AU"/>
              </w:rPr>
            </w:pPr>
            <w:r>
              <w:rPr>
                <w:lang w:val="en-AU"/>
              </w:rPr>
              <w:t xml:space="preserve">Directory Assistance- 1223 </w:t>
            </w:r>
          </w:p>
        </w:tc>
        <w:tc>
          <w:tcPr>
            <w:tcW w:w="2500" w:type="pct"/>
          </w:tcPr>
          <w:p w14:paraId="116023ED" w14:textId="77777777" w:rsidR="000D07EA" w:rsidRDefault="00BE7C89">
            <w:pPr>
              <w:pStyle w:val="BodyText"/>
              <w:spacing w:before="100" w:after="100"/>
              <w:jc w:val="center"/>
              <w:rPr>
                <w:lang w:val="en-AU"/>
              </w:rPr>
            </w:pPr>
            <w:r>
              <w:rPr>
                <w:lang w:val="en-AU"/>
              </w:rPr>
              <w:t>No</w:t>
            </w:r>
          </w:p>
        </w:tc>
      </w:tr>
      <w:tr w:rsidR="000D07EA" w14:paraId="654EA297" w14:textId="77777777">
        <w:tc>
          <w:tcPr>
            <w:tcW w:w="2500" w:type="pct"/>
          </w:tcPr>
          <w:p w14:paraId="613FB6C2" w14:textId="77777777" w:rsidR="000D07EA" w:rsidRDefault="00BE7C89">
            <w:pPr>
              <w:pStyle w:val="BodyText"/>
              <w:spacing w:before="100" w:after="100"/>
              <w:rPr>
                <w:lang w:val="en-AU"/>
              </w:rPr>
            </w:pPr>
            <w:r>
              <w:rPr>
                <w:lang w:val="en-AU"/>
              </w:rPr>
              <w:t>19XX Numbers</w:t>
            </w:r>
          </w:p>
        </w:tc>
        <w:tc>
          <w:tcPr>
            <w:tcW w:w="2500" w:type="pct"/>
          </w:tcPr>
          <w:p w14:paraId="645328BC" w14:textId="77777777" w:rsidR="000D07EA" w:rsidRDefault="00BE7C89">
            <w:pPr>
              <w:pStyle w:val="BodyText"/>
              <w:spacing w:before="100" w:after="100"/>
              <w:jc w:val="center"/>
              <w:rPr>
                <w:lang w:val="en-AU"/>
              </w:rPr>
            </w:pPr>
            <w:r>
              <w:rPr>
                <w:lang w:val="en-AU"/>
              </w:rPr>
              <w:t>No</w:t>
            </w:r>
          </w:p>
        </w:tc>
      </w:tr>
      <w:tr w:rsidR="000D07EA" w14:paraId="7EFBE1A3" w14:textId="77777777">
        <w:tc>
          <w:tcPr>
            <w:tcW w:w="2500" w:type="pct"/>
          </w:tcPr>
          <w:p w14:paraId="14C06315" w14:textId="77777777" w:rsidR="000D07EA" w:rsidRDefault="00BE7C89">
            <w:pPr>
              <w:pStyle w:val="BodyText"/>
              <w:spacing w:before="100" w:after="100"/>
              <w:rPr>
                <w:lang w:val="en-AU"/>
              </w:rPr>
            </w:pPr>
            <w:r>
              <w:rPr>
                <w:lang w:val="en-AU"/>
              </w:rPr>
              <w:t>1800, 13 and 1300 numbers</w:t>
            </w:r>
          </w:p>
        </w:tc>
        <w:tc>
          <w:tcPr>
            <w:tcW w:w="2500" w:type="pct"/>
          </w:tcPr>
          <w:p w14:paraId="33A5E982" w14:textId="77777777" w:rsidR="000D07EA" w:rsidRDefault="00BE7C89">
            <w:pPr>
              <w:pStyle w:val="BodyText"/>
              <w:spacing w:before="100" w:after="100"/>
              <w:jc w:val="center"/>
              <w:rPr>
                <w:lang w:val="en-AU"/>
              </w:rPr>
            </w:pPr>
            <w:r>
              <w:rPr>
                <w:lang w:val="en-AU"/>
              </w:rPr>
              <w:t>No</w:t>
            </w:r>
          </w:p>
        </w:tc>
      </w:tr>
      <w:tr w:rsidR="000D07EA" w14:paraId="614B43D4" w14:textId="77777777">
        <w:tc>
          <w:tcPr>
            <w:tcW w:w="2500" w:type="pct"/>
          </w:tcPr>
          <w:p w14:paraId="200C1A03" w14:textId="77777777" w:rsidR="000D07EA" w:rsidRDefault="00BE7C89">
            <w:pPr>
              <w:pStyle w:val="BodyText"/>
              <w:spacing w:before="100" w:after="100"/>
              <w:rPr>
                <w:lang w:val="en-AU"/>
              </w:rPr>
            </w:pPr>
            <w:r>
              <w:rPr>
                <w:lang w:val="en-AU"/>
              </w:rPr>
              <w:t>124YES(937)</w:t>
            </w:r>
          </w:p>
        </w:tc>
        <w:tc>
          <w:tcPr>
            <w:tcW w:w="2500" w:type="pct"/>
          </w:tcPr>
          <w:p w14:paraId="0B4E98DE" w14:textId="77777777" w:rsidR="000D07EA" w:rsidRDefault="00BE7C89">
            <w:pPr>
              <w:pStyle w:val="BodyText"/>
              <w:spacing w:before="100" w:after="100"/>
              <w:jc w:val="center"/>
              <w:rPr>
                <w:lang w:val="en-AU"/>
              </w:rPr>
            </w:pPr>
            <w:r>
              <w:rPr>
                <w:lang w:val="en-AU"/>
              </w:rPr>
              <w:t>No</w:t>
            </w:r>
          </w:p>
        </w:tc>
      </w:tr>
      <w:tr w:rsidR="000D07EA" w14:paraId="0804918E" w14:textId="77777777">
        <w:tc>
          <w:tcPr>
            <w:tcW w:w="2500" w:type="pct"/>
          </w:tcPr>
          <w:p w14:paraId="1F760B49" w14:textId="77777777" w:rsidR="000D07EA" w:rsidRDefault="00BE7C89">
            <w:pPr>
              <w:pStyle w:val="BodyText"/>
              <w:spacing w:before="100" w:after="100"/>
              <w:rPr>
                <w:lang w:val="en-AU"/>
              </w:rPr>
            </w:pPr>
            <w:r>
              <w:rPr>
                <w:lang w:val="en-AU"/>
              </w:rPr>
              <w:t>Insurance</w:t>
            </w:r>
          </w:p>
        </w:tc>
        <w:tc>
          <w:tcPr>
            <w:tcW w:w="2500" w:type="pct"/>
          </w:tcPr>
          <w:p w14:paraId="0E9BBF3F" w14:textId="77777777" w:rsidR="000D07EA" w:rsidRDefault="00BE7C89">
            <w:pPr>
              <w:pStyle w:val="BodyText"/>
              <w:spacing w:before="100" w:after="100"/>
              <w:jc w:val="center"/>
              <w:rPr>
                <w:lang w:val="en-AU"/>
              </w:rPr>
            </w:pPr>
            <w:r>
              <w:rPr>
                <w:lang w:val="en-AU"/>
              </w:rPr>
              <w:t>No</w:t>
            </w:r>
          </w:p>
        </w:tc>
      </w:tr>
      <w:tr w:rsidR="000D07EA" w14:paraId="363623FE" w14:textId="77777777">
        <w:tc>
          <w:tcPr>
            <w:tcW w:w="2500" w:type="pct"/>
          </w:tcPr>
          <w:p w14:paraId="3250BADF" w14:textId="77777777" w:rsidR="000D07EA" w:rsidRDefault="00BE7C89">
            <w:pPr>
              <w:pStyle w:val="BodyText"/>
              <w:spacing w:before="100" w:after="100"/>
              <w:rPr>
                <w:lang w:val="en-AU"/>
              </w:rPr>
            </w:pPr>
            <w:r>
              <w:rPr>
                <w:lang w:val="en-AU"/>
              </w:rPr>
              <w:t>Handset Payments</w:t>
            </w:r>
          </w:p>
        </w:tc>
        <w:tc>
          <w:tcPr>
            <w:tcW w:w="2500" w:type="pct"/>
          </w:tcPr>
          <w:p w14:paraId="5E1DBF06" w14:textId="77777777" w:rsidR="000D07EA" w:rsidRDefault="00BE7C89">
            <w:pPr>
              <w:pStyle w:val="BodyText"/>
              <w:spacing w:before="100" w:after="100"/>
              <w:jc w:val="center"/>
              <w:rPr>
                <w:lang w:val="en-AU"/>
              </w:rPr>
            </w:pPr>
            <w:r>
              <w:rPr>
                <w:lang w:val="en-AU"/>
              </w:rPr>
              <w:t>No</w:t>
            </w:r>
          </w:p>
        </w:tc>
      </w:tr>
      <w:tr w:rsidR="000D07EA" w14:paraId="7496E555" w14:textId="77777777">
        <w:tc>
          <w:tcPr>
            <w:tcW w:w="2500" w:type="pct"/>
          </w:tcPr>
          <w:p w14:paraId="560FA6CE" w14:textId="77777777" w:rsidR="000D07EA" w:rsidRDefault="00BE7C89">
            <w:pPr>
              <w:pStyle w:val="BodyText"/>
              <w:spacing w:before="100" w:after="100"/>
              <w:rPr>
                <w:lang w:val="en-AU"/>
              </w:rPr>
            </w:pPr>
            <w:r>
              <w:rPr>
                <w:lang w:val="en-AU"/>
              </w:rPr>
              <w:t>Calls to Satellite</w:t>
            </w:r>
          </w:p>
        </w:tc>
        <w:tc>
          <w:tcPr>
            <w:tcW w:w="2500" w:type="pct"/>
          </w:tcPr>
          <w:p w14:paraId="317F1D61" w14:textId="77777777" w:rsidR="000D07EA" w:rsidRDefault="00BE7C89">
            <w:pPr>
              <w:pStyle w:val="BodyText"/>
              <w:spacing w:before="100" w:after="100"/>
              <w:jc w:val="center"/>
              <w:rPr>
                <w:lang w:val="en-AU"/>
              </w:rPr>
            </w:pPr>
            <w:r>
              <w:rPr>
                <w:lang w:val="en-AU"/>
              </w:rPr>
              <w:t>No</w:t>
            </w:r>
          </w:p>
        </w:tc>
      </w:tr>
      <w:tr w:rsidR="000D07EA" w14:paraId="613745BD" w14:textId="77777777">
        <w:tc>
          <w:tcPr>
            <w:tcW w:w="2500" w:type="pct"/>
          </w:tcPr>
          <w:p w14:paraId="5BE8D893" w14:textId="77777777" w:rsidR="000D07EA" w:rsidRDefault="00BE7C89">
            <w:pPr>
              <w:pStyle w:val="BodyText"/>
              <w:spacing w:before="100" w:after="100"/>
              <w:rPr>
                <w:lang w:val="en-AU"/>
              </w:rPr>
            </w:pPr>
            <w:r>
              <w:rPr>
                <w:lang w:val="en-AU"/>
              </w:rPr>
              <w:t>VOIP services</w:t>
            </w:r>
          </w:p>
        </w:tc>
        <w:tc>
          <w:tcPr>
            <w:tcW w:w="2500" w:type="pct"/>
          </w:tcPr>
          <w:p w14:paraId="0EC9726C" w14:textId="77777777" w:rsidR="000D07EA" w:rsidRDefault="00BE7C89">
            <w:pPr>
              <w:pStyle w:val="BodyText"/>
              <w:spacing w:before="100" w:after="100"/>
              <w:jc w:val="center"/>
              <w:rPr>
                <w:lang w:val="en-AU"/>
              </w:rPr>
            </w:pPr>
            <w:r>
              <w:rPr>
                <w:lang w:val="en-AU"/>
              </w:rPr>
              <w:t>No</w:t>
            </w:r>
          </w:p>
        </w:tc>
      </w:tr>
      <w:tr w:rsidR="000D07EA" w14:paraId="7F78C84B" w14:textId="77777777">
        <w:tc>
          <w:tcPr>
            <w:tcW w:w="2500" w:type="pct"/>
          </w:tcPr>
          <w:p w14:paraId="207B5FD2" w14:textId="77777777" w:rsidR="000D07EA" w:rsidRDefault="00BE7C89">
            <w:pPr>
              <w:pStyle w:val="BodyText"/>
              <w:spacing w:before="100" w:after="100"/>
              <w:rPr>
                <w:lang w:val="en-AU"/>
              </w:rPr>
            </w:pPr>
            <w:r>
              <w:rPr>
                <w:lang w:val="en-AU"/>
              </w:rPr>
              <w:t>Surepage</w:t>
            </w:r>
          </w:p>
        </w:tc>
        <w:tc>
          <w:tcPr>
            <w:tcW w:w="2500" w:type="pct"/>
          </w:tcPr>
          <w:p w14:paraId="3817ADF1" w14:textId="77777777" w:rsidR="000D07EA" w:rsidRDefault="00BE7C89">
            <w:pPr>
              <w:pStyle w:val="BodyText"/>
              <w:spacing w:before="100" w:after="100"/>
              <w:jc w:val="center"/>
              <w:rPr>
                <w:lang w:val="en-AU"/>
              </w:rPr>
            </w:pPr>
            <w:r>
              <w:rPr>
                <w:lang w:val="en-AU"/>
              </w:rPr>
              <w:t>No</w:t>
            </w:r>
          </w:p>
        </w:tc>
      </w:tr>
    </w:tbl>
    <w:p w14:paraId="57A8EBF7" w14:textId="77777777" w:rsidR="000D07EA" w:rsidRDefault="000D07EA">
      <w:pPr>
        <w:pStyle w:val="BodyText"/>
        <w:rPr>
          <w:lang w:val="en-AU" w:eastAsia="en-AU"/>
        </w:rPr>
      </w:pPr>
    </w:p>
    <w:p w14:paraId="0671535A" w14:textId="77777777" w:rsidR="000D07EA" w:rsidRDefault="00BE7C89">
      <w:pPr>
        <w:pStyle w:val="BodyText"/>
        <w:ind w:left="720"/>
        <w:rPr>
          <w:b/>
          <w:lang w:val="en-AU"/>
        </w:rPr>
      </w:pPr>
      <w:r>
        <w:rPr>
          <w:b/>
          <w:lang w:val="en-AU"/>
        </w:rPr>
        <w:t>Table 2B – Eligible for Unlimited BlackBerry POP3 Email &amp; Browsing through the</w:t>
      </w:r>
      <w:r>
        <w:rPr>
          <w:b/>
          <w:lang w:val="en-AU"/>
        </w:rPr>
        <w:br/>
        <w:t>BlackBerry Browser</w:t>
      </w: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730"/>
        <w:gridCol w:w="4731"/>
      </w:tblGrid>
      <w:tr w:rsidR="000D07EA" w14:paraId="1CAAB818" w14:textId="77777777">
        <w:tc>
          <w:tcPr>
            <w:tcW w:w="2500" w:type="pct"/>
          </w:tcPr>
          <w:p w14:paraId="44975765" w14:textId="77777777" w:rsidR="000D07EA" w:rsidRDefault="00BE7C89">
            <w:pPr>
              <w:pStyle w:val="BodyText"/>
              <w:spacing w:before="100" w:after="100"/>
              <w:rPr>
                <w:b/>
                <w:snapToGrid w:val="0"/>
                <w:lang w:val="en-AU" w:eastAsia="en-AU"/>
              </w:rPr>
            </w:pPr>
            <w:r>
              <w:rPr>
                <w:b/>
                <w:snapToGrid w:val="0"/>
                <w:lang w:val="en-AU" w:eastAsia="en-AU"/>
              </w:rPr>
              <w:t>Call Type</w:t>
            </w:r>
          </w:p>
        </w:tc>
        <w:tc>
          <w:tcPr>
            <w:tcW w:w="2500" w:type="pct"/>
          </w:tcPr>
          <w:p w14:paraId="7D00A444" w14:textId="77777777" w:rsidR="000D07EA" w:rsidRDefault="00BE7C89">
            <w:pPr>
              <w:pStyle w:val="BodyText"/>
              <w:spacing w:before="100" w:after="100"/>
              <w:jc w:val="center"/>
              <w:rPr>
                <w:b/>
                <w:snapToGrid w:val="0"/>
                <w:lang w:val="en-AU" w:eastAsia="en-AU"/>
              </w:rPr>
            </w:pPr>
            <w:r>
              <w:rPr>
                <w:b/>
                <w:snapToGrid w:val="0"/>
                <w:lang w:val="en-AU" w:eastAsia="en-AU"/>
              </w:rPr>
              <w:t>Eligible Data</w:t>
            </w:r>
          </w:p>
        </w:tc>
      </w:tr>
      <w:tr w:rsidR="000D07EA" w14:paraId="4696C175" w14:textId="77777777">
        <w:tc>
          <w:tcPr>
            <w:tcW w:w="2500" w:type="pct"/>
          </w:tcPr>
          <w:p w14:paraId="5C654011" w14:textId="77777777" w:rsidR="000D07EA" w:rsidRDefault="00BE7C89">
            <w:pPr>
              <w:pStyle w:val="BodyText"/>
              <w:spacing w:before="100" w:after="100"/>
              <w:rPr>
                <w:snapToGrid w:val="0"/>
                <w:lang w:val="en-AU" w:eastAsia="en-AU"/>
              </w:rPr>
            </w:pPr>
            <w:r>
              <w:rPr>
                <w:snapToGrid w:val="0"/>
                <w:lang w:val="en-AU" w:eastAsia="en-AU"/>
              </w:rPr>
              <w:t>BlackBerry Email (POP3)</w:t>
            </w:r>
          </w:p>
        </w:tc>
        <w:tc>
          <w:tcPr>
            <w:tcW w:w="2500" w:type="pct"/>
          </w:tcPr>
          <w:p w14:paraId="3357B3BA" w14:textId="77777777" w:rsidR="000D07EA" w:rsidRDefault="00BE7C89">
            <w:pPr>
              <w:pStyle w:val="BodyText"/>
              <w:spacing w:before="100" w:after="100"/>
              <w:jc w:val="center"/>
              <w:rPr>
                <w:snapToGrid w:val="0"/>
                <w:lang w:val="en-AU" w:eastAsia="en-AU"/>
              </w:rPr>
            </w:pPr>
            <w:r>
              <w:rPr>
                <w:snapToGrid w:val="0"/>
                <w:lang w:val="en-AU" w:eastAsia="en-AU"/>
              </w:rPr>
              <w:t>Yes</w:t>
            </w:r>
          </w:p>
        </w:tc>
      </w:tr>
      <w:tr w:rsidR="000D07EA" w14:paraId="2E28687E" w14:textId="77777777">
        <w:tc>
          <w:tcPr>
            <w:tcW w:w="2500" w:type="pct"/>
          </w:tcPr>
          <w:p w14:paraId="20888C02" w14:textId="77777777" w:rsidR="000D07EA" w:rsidRDefault="00BE7C89">
            <w:pPr>
              <w:pStyle w:val="BodyText"/>
              <w:spacing w:before="100" w:after="100"/>
              <w:rPr>
                <w:snapToGrid w:val="0"/>
                <w:lang w:val="en-AU" w:eastAsia="en-AU"/>
              </w:rPr>
            </w:pPr>
            <w:r>
              <w:rPr>
                <w:snapToGrid w:val="0"/>
                <w:lang w:val="en-AU" w:eastAsia="en-AU"/>
              </w:rPr>
              <w:t>Internet Browsing through the BlackBerry Browser and/or the BlackBerry Internet Browser</w:t>
            </w:r>
          </w:p>
        </w:tc>
        <w:tc>
          <w:tcPr>
            <w:tcW w:w="2500" w:type="pct"/>
          </w:tcPr>
          <w:p w14:paraId="316FEEC9" w14:textId="77777777" w:rsidR="000D07EA" w:rsidRDefault="00BE7C89">
            <w:pPr>
              <w:pStyle w:val="BodyText"/>
              <w:spacing w:before="100" w:after="100"/>
              <w:jc w:val="center"/>
              <w:rPr>
                <w:snapToGrid w:val="0"/>
                <w:lang w:val="en-AU" w:eastAsia="en-AU"/>
              </w:rPr>
            </w:pPr>
            <w:r>
              <w:rPr>
                <w:snapToGrid w:val="0"/>
                <w:lang w:val="en-AU" w:eastAsia="en-AU"/>
              </w:rPr>
              <w:t>Yes</w:t>
            </w:r>
          </w:p>
        </w:tc>
      </w:tr>
      <w:tr w:rsidR="000D07EA" w14:paraId="6A90A4A9" w14:textId="77777777">
        <w:tc>
          <w:tcPr>
            <w:tcW w:w="2500" w:type="pct"/>
          </w:tcPr>
          <w:p w14:paraId="5F3D6A96" w14:textId="77777777" w:rsidR="000D07EA" w:rsidRDefault="00BE7C89">
            <w:pPr>
              <w:pStyle w:val="BodyText"/>
              <w:spacing w:before="100" w:after="100"/>
              <w:rPr>
                <w:snapToGrid w:val="0"/>
                <w:lang w:val="en-AU" w:eastAsia="en-AU"/>
              </w:rPr>
            </w:pPr>
            <w:r>
              <w:rPr>
                <w:snapToGrid w:val="0"/>
                <w:lang w:val="en-AU" w:eastAsia="en-AU"/>
              </w:rPr>
              <w:t xml:space="preserve">Optus Zoo downloads and subscriptions </w:t>
            </w:r>
          </w:p>
        </w:tc>
        <w:tc>
          <w:tcPr>
            <w:tcW w:w="2500" w:type="pct"/>
          </w:tcPr>
          <w:p w14:paraId="522EDAE7" w14:textId="77777777" w:rsidR="000D07EA" w:rsidRDefault="00BE7C89">
            <w:pPr>
              <w:pStyle w:val="BodyText"/>
              <w:spacing w:before="100" w:after="100"/>
              <w:jc w:val="center"/>
              <w:rPr>
                <w:lang w:val="en-AU" w:eastAsia="en-AU"/>
              </w:rPr>
            </w:pPr>
            <w:r>
              <w:rPr>
                <w:snapToGrid w:val="0"/>
                <w:lang w:val="en-AU" w:eastAsia="en-AU"/>
              </w:rPr>
              <w:t>No</w:t>
            </w:r>
          </w:p>
        </w:tc>
      </w:tr>
      <w:tr w:rsidR="000D07EA" w14:paraId="1240CE9B" w14:textId="77777777">
        <w:tc>
          <w:tcPr>
            <w:tcW w:w="2500" w:type="pct"/>
          </w:tcPr>
          <w:p w14:paraId="4A09D1F1" w14:textId="77777777" w:rsidR="000D07EA" w:rsidRDefault="00BE7C89">
            <w:pPr>
              <w:pStyle w:val="BodyText"/>
              <w:spacing w:before="100" w:after="100"/>
              <w:rPr>
                <w:snapToGrid w:val="0"/>
                <w:lang w:val="en-AU" w:eastAsia="en-AU"/>
              </w:rPr>
            </w:pPr>
            <w:r>
              <w:rPr>
                <w:snapToGrid w:val="0"/>
                <w:lang w:val="en-AU" w:eastAsia="en-AU"/>
              </w:rPr>
              <w:t xml:space="preserve">Optus Zoo GPRS WAP browsing </w:t>
            </w:r>
          </w:p>
        </w:tc>
        <w:tc>
          <w:tcPr>
            <w:tcW w:w="2500" w:type="pct"/>
          </w:tcPr>
          <w:p w14:paraId="75C7EFA0" w14:textId="77777777" w:rsidR="000D07EA" w:rsidRDefault="00BE7C89">
            <w:pPr>
              <w:pStyle w:val="BodyText"/>
              <w:spacing w:before="100" w:after="100"/>
              <w:jc w:val="center"/>
              <w:rPr>
                <w:snapToGrid w:val="0"/>
                <w:lang w:val="en-AU" w:eastAsia="en-AU"/>
              </w:rPr>
            </w:pPr>
            <w:r>
              <w:rPr>
                <w:snapToGrid w:val="0"/>
                <w:lang w:val="en-AU" w:eastAsia="en-AU"/>
              </w:rPr>
              <w:t>No</w:t>
            </w:r>
          </w:p>
        </w:tc>
      </w:tr>
      <w:tr w:rsidR="000D07EA" w14:paraId="3F07098D" w14:textId="77777777">
        <w:tc>
          <w:tcPr>
            <w:tcW w:w="2500" w:type="pct"/>
          </w:tcPr>
          <w:p w14:paraId="5B42BEFD" w14:textId="77777777" w:rsidR="000D07EA" w:rsidRDefault="00BE7C89">
            <w:pPr>
              <w:pStyle w:val="BodyText"/>
              <w:spacing w:before="100" w:after="100"/>
              <w:rPr>
                <w:szCs w:val="20"/>
                <w:lang w:val="en-AU"/>
              </w:rPr>
            </w:pPr>
            <w:r>
              <w:rPr>
                <w:szCs w:val="20"/>
                <w:lang w:val="en-AU"/>
              </w:rPr>
              <w:t>Applications from Optus and third party applications that require a BlackBerry Data connection</w:t>
            </w:r>
          </w:p>
        </w:tc>
        <w:tc>
          <w:tcPr>
            <w:tcW w:w="2500" w:type="pct"/>
          </w:tcPr>
          <w:p w14:paraId="2AA5CFF8" w14:textId="77777777" w:rsidR="000D07EA" w:rsidRDefault="000D07EA">
            <w:pPr>
              <w:pStyle w:val="BodyText"/>
              <w:spacing w:before="100" w:after="100"/>
              <w:jc w:val="center"/>
              <w:rPr>
                <w:snapToGrid w:val="0"/>
                <w:lang w:val="en-AU" w:eastAsia="en-AU"/>
              </w:rPr>
            </w:pPr>
          </w:p>
          <w:p w14:paraId="362831B0" w14:textId="77777777" w:rsidR="000D07EA" w:rsidRDefault="00BE7C89">
            <w:pPr>
              <w:pStyle w:val="BodyText"/>
              <w:spacing w:before="100" w:after="100"/>
              <w:jc w:val="center"/>
              <w:rPr>
                <w:snapToGrid w:val="0"/>
                <w:lang w:val="en-AU" w:eastAsia="en-AU"/>
              </w:rPr>
            </w:pPr>
            <w:r>
              <w:rPr>
                <w:snapToGrid w:val="0"/>
                <w:lang w:val="en-AU" w:eastAsia="en-AU"/>
              </w:rPr>
              <w:t>Yes</w:t>
            </w:r>
          </w:p>
        </w:tc>
      </w:tr>
      <w:tr w:rsidR="000D07EA" w14:paraId="72A86CFD" w14:textId="77777777">
        <w:tc>
          <w:tcPr>
            <w:tcW w:w="2500" w:type="pct"/>
          </w:tcPr>
          <w:p w14:paraId="0C062D2F" w14:textId="77777777" w:rsidR="000D07EA" w:rsidRDefault="00BE7C89">
            <w:pPr>
              <w:pStyle w:val="BodyText"/>
              <w:spacing w:before="100" w:after="100"/>
              <w:rPr>
                <w:snapToGrid w:val="0"/>
                <w:lang w:val="en-AU" w:eastAsia="en-AU"/>
              </w:rPr>
            </w:pPr>
            <w:r>
              <w:rPr>
                <w:snapToGrid w:val="0"/>
                <w:lang w:val="en-AU" w:eastAsia="en-AU"/>
              </w:rPr>
              <w:lastRenderedPageBreak/>
              <w:t>All other call types or usage</w:t>
            </w:r>
          </w:p>
        </w:tc>
        <w:tc>
          <w:tcPr>
            <w:tcW w:w="2500" w:type="pct"/>
          </w:tcPr>
          <w:p w14:paraId="64001813" w14:textId="77777777" w:rsidR="000D07EA" w:rsidRDefault="00BE7C89">
            <w:pPr>
              <w:pStyle w:val="BodyText"/>
              <w:spacing w:before="100" w:after="100"/>
              <w:jc w:val="center"/>
              <w:rPr>
                <w:snapToGrid w:val="0"/>
                <w:lang w:val="en-AU" w:eastAsia="en-AU"/>
              </w:rPr>
            </w:pPr>
            <w:r>
              <w:rPr>
                <w:snapToGrid w:val="0"/>
                <w:lang w:val="en-AU" w:eastAsia="en-AU"/>
              </w:rPr>
              <w:t>No</w:t>
            </w:r>
          </w:p>
        </w:tc>
      </w:tr>
    </w:tbl>
    <w:p w14:paraId="426A08D1" w14:textId="77777777" w:rsidR="000D07EA" w:rsidRDefault="000D07EA">
      <w:pPr>
        <w:pStyle w:val="BodyText"/>
        <w:rPr>
          <w:lang w:val="en-AU"/>
        </w:rPr>
      </w:pPr>
    </w:p>
    <w:p w14:paraId="78E10AC5" w14:textId="77777777" w:rsidR="000D07EA" w:rsidRDefault="00BE7C89">
      <w:pPr>
        <w:pStyle w:val="BodyText"/>
        <w:ind w:left="720"/>
        <w:rPr>
          <w:b/>
          <w:lang w:val="en-AU"/>
        </w:rPr>
      </w:pPr>
      <w:r>
        <w:rPr>
          <w:b/>
          <w:lang w:val="en-AU"/>
        </w:rPr>
        <w:t>Table 3A – Charges and Cap Amounts for the Handset Plan with Bonus Credit</w:t>
      </w:r>
      <w:r>
        <w:rPr>
          <w:b/>
          <w:lang w:val="en-AU"/>
        </w:rPr>
        <w:br/>
        <w:t>Business Complete Plans</w:t>
      </w: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220"/>
        <w:gridCol w:w="1747"/>
        <w:gridCol w:w="1747"/>
        <w:gridCol w:w="1747"/>
      </w:tblGrid>
      <w:tr w:rsidR="000D07EA" w14:paraId="4866DF21" w14:textId="77777777">
        <w:trPr>
          <w:tblHeader/>
        </w:trPr>
        <w:tc>
          <w:tcPr>
            <w:tcW w:w="2231" w:type="pct"/>
          </w:tcPr>
          <w:p w14:paraId="6C672764" w14:textId="77777777" w:rsidR="000D07EA" w:rsidRDefault="000D07EA">
            <w:pPr>
              <w:pStyle w:val="BodyText"/>
              <w:spacing w:before="100" w:after="100"/>
              <w:rPr>
                <w:lang w:val="en-AU" w:eastAsia="en-AU"/>
              </w:rPr>
            </w:pPr>
          </w:p>
        </w:tc>
        <w:tc>
          <w:tcPr>
            <w:tcW w:w="923" w:type="pct"/>
          </w:tcPr>
          <w:p w14:paraId="4C5F2309" w14:textId="77777777" w:rsidR="000D07EA" w:rsidRDefault="00BE7C89">
            <w:pPr>
              <w:pStyle w:val="BodyText"/>
              <w:spacing w:before="100" w:after="100"/>
              <w:jc w:val="center"/>
              <w:rPr>
                <w:b/>
                <w:lang w:val="en-AU" w:eastAsia="en-AU"/>
              </w:rPr>
            </w:pPr>
            <w:r>
              <w:rPr>
                <w:b/>
                <w:lang w:val="en-AU" w:eastAsia="en-AU"/>
              </w:rPr>
              <w:t>$49 Business Complete (Premium H/set)</w:t>
            </w:r>
          </w:p>
        </w:tc>
        <w:tc>
          <w:tcPr>
            <w:tcW w:w="923" w:type="pct"/>
          </w:tcPr>
          <w:p w14:paraId="78CFE5E9" w14:textId="77777777" w:rsidR="000D07EA" w:rsidRDefault="00BE7C89">
            <w:pPr>
              <w:pStyle w:val="BodyText"/>
              <w:spacing w:before="100" w:after="100"/>
              <w:jc w:val="center"/>
              <w:rPr>
                <w:b/>
                <w:lang w:val="en-AU" w:eastAsia="en-AU"/>
              </w:rPr>
            </w:pPr>
            <w:r>
              <w:rPr>
                <w:b/>
                <w:lang w:val="en-AU" w:eastAsia="en-AU"/>
              </w:rPr>
              <w:t>$59 Business Complete (Premium H/set)</w:t>
            </w:r>
          </w:p>
        </w:tc>
        <w:tc>
          <w:tcPr>
            <w:tcW w:w="923" w:type="pct"/>
          </w:tcPr>
          <w:p w14:paraId="5AB40D16" w14:textId="77777777" w:rsidR="000D07EA" w:rsidRDefault="00BE7C89">
            <w:pPr>
              <w:pStyle w:val="BodyText"/>
              <w:spacing w:before="100" w:after="100"/>
              <w:jc w:val="center"/>
              <w:rPr>
                <w:b/>
                <w:lang w:val="en-AU" w:eastAsia="en-AU"/>
              </w:rPr>
            </w:pPr>
            <w:r>
              <w:rPr>
                <w:b/>
                <w:lang w:val="en-AU" w:eastAsia="en-AU"/>
              </w:rPr>
              <w:t>$79 Business Complete (Premium H/set)</w:t>
            </w:r>
          </w:p>
        </w:tc>
      </w:tr>
      <w:tr w:rsidR="000D07EA" w14:paraId="1B9BB7D3" w14:textId="77777777">
        <w:tc>
          <w:tcPr>
            <w:tcW w:w="2231" w:type="pct"/>
          </w:tcPr>
          <w:p w14:paraId="2D8AE289" w14:textId="77777777" w:rsidR="000D07EA" w:rsidRDefault="00BE7C89">
            <w:pPr>
              <w:pStyle w:val="BodyText"/>
              <w:spacing w:before="100" w:after="100"/>
              <w:rPr>
                <w:b/>
                <w:lang w:val="en-AU" w:eastAsia="en-AU"/>
              </w:rPr>
            </w:pPr>
            <w:r>
              <w:rPr>
                <w:b/>
                <w:lang w:val="en-AU" w:eastAsia="en-AU"/>
              </w:rPr>
              <w:t>Cap Start</w:t>
            </w:r>
          </w:p>
        </w:tc>
        <w:tc>
          <w:tcPr>
            <w:tcW w:w="923" w:type="pct"/>
          </w:tcPr>
          <w:p w14:paraId="44216AAD" w14:textId="77777777" w:rsidR="000D07EA" w:rsidRDefault="00BE7C89">
            <w:pPr>
              <w:pStyle w:val="BodyText"/>
              <w:spacing w:before="100" w:after="100"/>
              <w:jc w:val="center"/>
              <w:rPr>
                <w:lang w:val="en-AU" w:eastAsia="en-AU"/>
              </w:rPr>
            </w:pPr>
            <w:r>
              <w:rPr>
                <w:lang w:val="en-AU" w:eastAsia="en-AU"/>
              </w:rPr>
              <w:t>$49</w:t>
            </w:r>
          </w:p>
        </w:tc>
        <w:tc>
          <w:tcPr>
            <w:tcW w:w="923" w:type="pct"/>
          </w:tcPr>
          <w:p w14:paraId="51063E92" w14:textId="77777777" w:rsidR="000D07EA" w:rsidRDefault="00BE7C89">
            <w:pPr>
              <w:pStyle w:val="BodyText"/>
              <w:spacing w:before="100" w:after="100"/>
              <w:jc w:val="center"/>
              <w:rPr>
                <w:lang w:val="en-AU" w:eastAsia="en-AU"/>
              </w:rPr>
            </w:pPr>
            <w:r>
              <w:rPr>
                <w:lang w:val="en-AU" w:eastAsia="en-AU"/>
              </w:rPr>
              <w:t>$59</w:t>
            </w:r>
          </w:p>
        </w:tc>
        <w:tc>
          <w:tcPr>
            <w:tcW w:w="923" w:type="pct"/>
          </w:tcPr>
          <w:p w14:paraId="779B4B11" w14:textId="77777777" w:rsidR="000D07EA" w:rsidRDefault="00BE7C89">
            <w:pPr>
              <w:pStyle w:val="BodyText"/>
              <w:spacing w:before="100" w:after="100"/>
              <w:jc w:val="center"/>
              <w:rPr>
                <w:lang w:val="en-AU" w:eastAsia="en-AU"/>
              </w:rPr>
            </w:pPr>
            <w:r>
              <w:rPr>
                <w:lang w:val="en-AU" w:eastAsia="en-AU"/>
              </w:rPr>
              <w:t>$79</w:t>
            </w:r>
          </w:p>
        </w:tc>
      </w:tr>
      <w:tr w:rsidR="000D07EA" w14:paraId="6FDFF1F6" w14:textId="77777777">
        <w:tc>
          <w:tcPr>
            <w:tcW w:w="2231" w:type="pct"/>
          </w:tcPr>
          <w:p w14:paraId="3FE7DBD0" w14:textId="77777777" w:rsidR="000D07EA" w:rsidRDefault="00BE7C89">
            <w:pPr>
              <w:pStyle w:val="BodyText"/>
              <w:spacing w:before="100" w:after="100"/>
              <w:rPr>
                <w:b/>
                <w:lang w:val="en-AU" w:eastAsia="en-AU"/>
              </w:rPr>
            </w:pPr>
            <w:r>
              <w:rPr>
                <w:b/>
                <w:lang w:val="en-AU" w:eastAsia="en-AU"/>
              </w:rPr>
              <w:t>"Included Cap Value" per month</w:t>
            </w:r>
          </w:p>
        </w:tc>
        <w:tc>
          <w:tcPr>
            <w:tcW w:w="923" w:type="pct"/>
          </w:tcPr>
          <w:p w14:paraId="3CE8A350" w14:textId="77777777" w:rsidR="000D07EA" w:rsidRDefault="00BE7C89">
            <w:pPr>
              <w:pStyle w:val="BodyText"/>
              <w:spacing w:before="100" w:after="100"/>
              <w:jc w:val="center"/>
              <w:rPr>
                <w:lang w:val="en-AU" w:eastAsia="en-AU"/>
              </w:rPr>
            </w:pPr>
            <w:r>
              <w:rPr>
                <w:lang w:val="en-AU" w:eastAsia="en-AU"/>
              </w:rPr>
              <w:t>$550</w:t>
            </w:r>
          </w:p>
        </w:tc>
        <w:tc>
          <w:tcPr>
            <w:tcW w:w="923" w:type="pct"/>
          </w:tcPr>
          <w:p w14:paraId="43CE0B5B" w14:textId="77777777" w:rsidR="000D07EA" w:rsidRDefault="00BE7C89">
            <w:pPr>
              <w:pStyle w:val="BodyText"/>
              <w:spacing w:before="100" w:after="100"/>
              <w:jc w:val="center"/>
              <w:rPr>
                <w:lang w:val="en-AU" w:eastAsia="en-AU"/>
              </w:rPr>
            </w:pPr>
            <w:r>
              <w:rPr>
                <w:lang w:val="en-AU" w:eastAsia="en-AU"/>
              </w:rPr>
              <w:t>$750</w:t>
            </w:r>
          </w:p>
        </w:tc>
        <w:tc>
          <w:tcPr>
            <w:tcW w:w="923" w:type="pct"/>
          </w:tcPr>
          <w:p w14:paraId="52966CFC" w14:textId="77777777" w:rsidR="000D07EA" w:rsidRDefault="00BE7C89">
            <w:pPr>
              <w:pStyle w:val="BodyText"/>
              <w:spacing w:before="100" w:after="100"/>
              <w:jc w:val="center"/>
              <w:rPr>
                <w:lang w:val="en-AU" w:eastAsia="en-AU"/>
              </w:rPr>
            </w:pPr>
            <w:r>
              <w:rPr>
                <w:lang w:val="en-AU" w:eastAsia="en-AU"/>
              </w:rPr>
              <w:t>$900</w:t>
            </w:r>
          </w:p>
        </w:tc>
      </w:tr>
      <w:tr w:rsidR="000D07EA" w14:paraId="10E8A443" w14:textId="77777777">
        <w:tc>
          <w:tcPr>
            <w:tcW w:w="2231" w:type="pct"/>
          </w:tcPr>
          <w:p w14:paraId="7D525237" w14:textId="77777777" w:rsidR="000D07EA" w:rsidRDefault="00BE7C89">
            <w:pPr>
              <w:pStyle w:val="BodyText"/>
              <w:spacing w:before="100" w:after="100"/>
              <w:rPr>
                <w:b/>
                <w:lang w:val="en-AU" w:eastAsia="en-AU"/>
              </w:rPr>
            </w:pPr>
            <w:r>
              <w:rPr>
                <w:b/>
                <w:lang w:val="en-AU" w:eastAsia="en-AU"/>
              </w:rPr>
              <w:t>Unlimited Standard National SMS to Australian GSM mobiles (excludes Pivotel),</w:t>
            </w:r>
          </w:p>
          <w:p w14:paraId="5A28FEE4" w14:textId="77777777" w:rsidR="000D07EA" w:rsidRDefault="00BE7C89">
            <w:pPr>
              <w:pStyle w:val="BodyText"/>
              <w:spacing w:before="100" w:after="100"/>
              <w:rPr>
                <w:b/>
                <w:lang w:val="en-AU" w:eastAsia="en-AU"/>
              </w:rPr>
            </w:pPr>
            <w:r>
              <w:rPr>
                <w:b/>
                <w:lang w:val="en-AU" w:eastAsia="en-AU"/>
              </w:rPr>
              <w:t>within Australia</w:t>
            </w:r>
          </w:p>
        </w:tc>
        <w:tc>
          <w:tcPr>
            <w:tcW w:w="923" w:type="pct"/>
          </w:tcPr>
          <w:p w14:paraId="71C754DB" w14:textId="77777777" w:rsidR="000D07EA" w:rsidRDefault="00BE7C89">
            <w:pPr>
              <w:pStyle w:val="BodyText"/>
              <w:spacing w:before="100" w:after="100"/>
              <w:jc w:val="center"/>
              <w:rPr>
                <w:lang w:val="en-AU" w:eastAsia="en-AU"/>
              </w:rPr>
            </w:pPr>
            <w:r>
              <w:rPr>
                <w:lang w:val="en-AU" w:eastAsia="en-AU"/>
              </w:rPr>
              <w:t>No</w:t>
            </w:r>
          </w:p>
        </w:tc>
        <w:tc>
          <w:tcPr>
            <w:tcW w:w="923" w:type="pct"/>
          </w:tcPr>
          <w:p w14:paraId="070F4235" w14:textId="77777777" w:rsidR="000D07EA" w:rsidRDefault="00BE7C89">
            <w:pPr>
              <w:pStyle w:val="BodyText"/>
              <w:spacing w:before="100" w:after="100"/>
              <w:jc w:val="center"/>
              <w:rPr>
                <w:lang w:val="en-AU" w:eastAsia="en-AU"/>
              </w:rPr>
            </w:pPr>
            <w:r>
              <w:rPr>
                <w:lang w:val="en-AU" w:eastAsia="en-AU"/>
              </w:rPr>
              <w:t>Yes</w:t>
            </w:r>
          </w:p>
        </w:tc>
        <w:tc>
          <w:tcPr>
            <w:tcW w:w="923" w:type="pct"/>
          </w:tcPr>
          <w:p w14:paraId="6F6BAD6A" w14:textId="77777777" w:rsidR="000D07EA" w:rsidRDefault="00BE7C89">
            <w:pPr>
              <w:pStyle w:val="BodyText"/>
              <w:spacing w:before="100" w:after="100"/>
              <w:jc w:val="center"/>
              <w:rPr>
                <w:lang w:val="en-AU" w:eastAsia="en-AU"/>
              </w:rPr>
            </w:pPr>
            <w:r>
              <w:rPr>
                <w:lang w:val="en-AU" w:eastAsia="en-AU"/>
              </w:rPr>
              <w:t>Yes</w:t>
            </w:r>
          </w:p>
        </w:tc>
      </w:tr>
      <w:tr w:rsidR="000D07EA" w14:paraId="42994585" w14:textId="77777777">
        <w:tc>
          <w:tcPr>
            <w:tcW w:w="2231" w:type="pct"/>
          </w:tcPr>
          <w:p w14:paraId="47F24F6B" w14:textId="77777777" w:rsidR="000D07EA" w:rsidRDefault="00BE7C89">
            <w:pPr>
              <w:pStyle w:val="BodyText"/>
              <w:spacing w:before="100" w:after="100"/>
              <w:rPr>
                <w:b/>
                <w:lang w:val="en-AU" w:eastAsia="en-AU"/>
              </w:rPr>
            </w:pPr>
            <w:r>
              <w:rPr>
                <w:b/>
                <w:lang w:val="en-AU" w:eastAsia="en-AU"/>
              </w:rPr>
              <w:t>Unlimited voice calls Optus GSM Mobiles on Same Customer Account Number Offer to use within Australia.</w:t>
            </w:r>
          </w:p>
        </w:tc>
        <w:tc>
          <w:tcPr>
            <w:tcW w:w="923" w:type="pct"/>
          </w:tcPr>
          <w:p w14:paraId="35DD94BD" w14:textId="77777777" w:rsidR="000D07EA" w:rsidRDefault="00BE7C89">
            <w:pPr>
              <w:pStyle w:val="BodyText"/>
              <w:spacing w:before="100" w:after="100"/>
              <w:jc w:val="center"/>
              <w:rPr>
                <w:lang w:val="en-AU" w:eastAsia="en-AU"/>
              </w:rPr>
            </w:pPr>
            <w:r>
              <w:rPr>
                <w:lang w:val="en-AU" w:eastAsia="en-AU"/>
              </w:rPr>
              <w:t>Yes</w:t>
            </w:r>
          </w:p>
        </w:tc>
        <w:tc>
          <w:tcPr>
            <w:tcW w:w="923" w:type="pct"/>
          </w:tcPr>
          <w:p w14:paraId="109FDA79" w14:textId="77777777" w:rsidR="000D07EA" w:rsidRDefault="00BE7C89">
            <w:pPr>
              <w:pStyle w:val="BodyText"/>
              <w:spacing w:before="100" w:after="100"/>
              <w:jc w:val="center"/>
              <w:rPr>
                <w:lang w:val="en-AU" w:eastAsia="en-AU"/>
              </w:rPr>
            </w:pPr>
            <w:r>
              <w:rPr>
                <w:lang w:val="en-AU" w:eastAsia="en-AU"/>
              </w:rPr>
              <w:t>Yes</w:t>
            </w:r>
          </w:p>
        </w:tc>
        <w:tc>
          <w:tcPr>
            <w:tcW w:w="923" w:type="pct"/>
          </w:tcPr>
          <w:p w14:paraId="5F8D1631" w14:textId="77777777" w:rsidR="000D07EA" w:rsidRDefault="00BE7C89">
            <w:pPr>
              <w:pStyle w:val="BodyText"/>
              <w:spacing w:before="100" w:after="100"/>
              <w:jc w:val="center"/>
              <w:rPr>
                <w:lang w:val="en-AU" w:eastAsia="en-AU"/>
              </w:rPr>
            </w:pPr>
            <w:r>
              <w:rPr>
                <w:lang w:val="en-AU" w:eastAsia="en-AU"/>
              </w:rPr>
              <w:t>Yes</w:t>
            </w:r>
          </w:p>
        </w:tc>
      </w:tr>
      <w:tr w:rsidR="000D07EA" w14:paraId="1E45D084" w14:textId="77777777">
        <w:tc>
          <w:tcPr>
            <w:tcW w:w="2231" w:type="pct"/>
          </w:tcPr>
          <w:p w14:paraId="0D0CD27E" w14:textId="77777777" w:rsidR="000D07EA" w:rsidRDefault="00BE7C89">
            <w:pPr>
              <w:pStyle w:val="BodyText"/>
              <w:spacing w:before="100" w:after="100"/>
              <w:rPr>
                <w:b/>
                <w:lang w:val="en-AU" w:eastAsia="en-AU"/>
              </w:rPr>
            </w:pPr>
            <w:r>
              <w:rPr>
                <w:b/>
                <w:lang w:val="en-AU" w:eastAsia="en-AU"/>
              </w:rPr>
              <w:t>Unlimited Voicemail – Deposit and retrievals within Australia</w:t>
            </w:r>
          </w:p>
        </w:tc>
        <w:tc>
          <w:tcPr>
            <w:tcW w:w="923" w:type="pct"/>
          </w:tcPr>
          <w:p w14:paraId="3FF3D0B7" w14:textId="77777777" w:rsidR="000D07EA" w:rsidRDefault="00BE7C89">
            <w:pPr>
              <w:pStyle w:val="BodyText"/>
              <w:spacing w:before="100" w:after="100"/>
              <w:jc w:val="center"/>
              <w:rPr>
                <w:lang w:val="en-AU" w:eastAsia="en-AU"/>
              </w:rPr>
            </w:pPr>
            <w:r>
              <w:rPr>
                <w:lang w:val="en-AU" w:eastAsia="en-AU"/>
              </w:rPr>
              <w:t>Yes</w:t>
            </w:r>
          </w:p>
        </w:tc>
        <w:tc>
          <w:tcPr>
            <w:tcW w:w="923" w:type="pct"/>
          </w:tcPr>
          <w:p w14:paraId="079AC504" w14:textId="77777777" w:rsidR="000D07EA" w:rsidRDefault="00BE7C89">
            <w:pPr>
              <w:pStyle w:val="BodyText"/>
              <w:spacing w:before="100" w:after="100"/>
              <w:jc w:val="center"/>
              <w:rPr>
                <w:lang w:val="en-AU" w:eastAsia="en-AU"/>
              </w:rPr>
            </w:pPr>
            <w:r>
              <w:rPr>
                <w:lang w:val="en-AU" w:eastAsia="en-AU"/>
              </w:rPr>
              <w:t>Yes</w:t>
            </w:r>
          </w:p>
        </w:tc>
        <w:tc>
          <w:tcPr>
            <w:tcW w:w="923" w:type="pct"/>
          </w:tcPr>
          <w:p w14:paraId="5784D756" w14:textId="77777777" w:rsidR="000D07EA" w:rsidRDefault="00BE7C89">
            <w:pPr>
              <w:pStyle w:val="BodyText"/>
              <w:spacing w:before="100" w:after="100"/>
              <w:jc w:val="center"/>
              <w:rPr>
                <w:lang w:val="en-AU" w:eastAsia="en-AU"/>
              </w:rPr>
            </w:pPr>
            <w:r>
              <w:rPr>
                <w:lang w:val="en-AU" w:eastAsia="en-AU"/>
              </w:rPr>
              <w:t>Yes</w:t>
            </w:r>
          </w:p>
        </w:tc>
      </w:tr>
      <w:tr w:rsidR="000D07EA" w14:paraId="51A206E5" w14:textId="77777777">
        <w:tc>
          <w:tcPr>
            <w:tcW w:w="2231" w:type="pct"/>
          </w:tcPr>
          <w:p w14:paraId="775D1C5C" w14:textId="77777777" w:rsidR="000D07EA" w:rsidRDefault="00BE7C89">
            <w:pPr>
              <w:pStyle w:val="BodyText"/>
              <w:spacing w:before="100" w:after="100"/>
              <w:rPr>
                <w:b/>
                <w:lang w:val="en-AU" w:eastAsia="en-AU"/>
              </w:rPr>
            </w:pPr>
            <w:r>
              <w:rPr>
                <w:b/>
                <w:lang w:val="en-AU" w:eastAsia="en-AU"/>
              </w:rPr>
              <w:t>Unlimited mobile access to Facebook®, Twitter, LinkedIn, Ebay, FourSquare, MySpace within Australia</w:t>
            </w:r>
          </w:p>
        </w:tc>
        <w:tc>
          <w:tcPr>
            <w:tcW w:w="923" w:type="pct"/>
          </w:tcPr>
          <w:p w14:paraId="4A15EF68" w14:textId="77777777" w:rsidR="000D07EA" w:rsidRDefault="00BE7C89">
            <w:pPr>
              <w:pStyle w:val="BodyText"/>
              <w:spacing w:before="100" w:after="100"/>
              <w:jc w:val="center"/>
              <w:rPr>
                <w:lang w:val="en-AU" w:eastAsia="en-AU"/>
              </w:rPr>
            </w:pPr>
            <w:r>
              <w:rPr>
                <w:lang w:val="en-AU" w:eastAsia="en-AU"/>
              </w:rPr>
              <w:t>Yes</w:t>
            </w:r>
          </w:p>
        </w:tc>
        <w:tc>
          <w:tcPr>
            <w:tcW w:w="923" w:type="pct"/>
          </w:tcPr>
          <w:p w14:paraId="468E3788" w14:textId="77777777" w:rsidR="000D07EA" w:rsidRDefault="00BE7C89">
            <w:pPr>
              <w:pStyle w:val="BodyText"/>
              <w:spacing w:before="100" w:after="100"/>
              <w:jc w:val="center"/>
              <w:rPr>
                <w:lang w:val="en-AU" w:eastAsia="en-AU"/>
              </w:rPr>
            </w:pPr>
            <w:r>
              <w:rPr>
                <w:lang w:val="en-AU" w:eastAsia="en-AU"/>
              </w:rPr>
              <w:t>Yes</w:t>
            </w:r>
          </w:p>
        </w:tc>
        <w:tc>
          <w:tcPr>
            <w:tcW w:w="923" w:type="pct"/>
          </w:tcPr>
          <w:p w14:paraId="58F53293" w14:textId="77777777" w:rsidR="000D07EA" w:rsidRDefault="00BE7C89">
            <w:pPr>
              <w:pStyle w:val="BodyText"/>
              <w:spacing w:before="100" w:after="100"/>
              <w:jc w:val="center"/>
              <w:rPr>
                <w:lang w:val="en-AU" w:eastAsia="en-AU"/>
              </w:rPr>
            </w:pPr>
            <w:r>
              <w:rPr>
                <w:lang w:val="en-AU" w:eastAsia="en-AU"/>
              </w:rPr>
              <w:t>Yes</w:t>
            </w:r>
          </w:p>
        </w:tc>
      </w:tr>
      <w:tr w:rsidR="000D07EA" w14:paraId="6B9ABCE7" w14:textId="77777777">
        <w:tc>
          <w:tcPr>
            <w:tcW w:w="2231" w:type="pct"/>
          </w:tcPr>
          <w:p w14:paraId="4FEF62B2" w14:textId="77777777" w:rsidR="000D07EA" w:rsidRDefault="00BE7C89">
            <w:pPr>
              <w:pStyle w:val="BodyText"/>
              <w:spacing w:before="100" w:after="100"/>
              <w:rPr>
                <w:b/>
                <w:lang w:val="en-AU" w:eastAsia="en-AU"/>
              </w:rPr>
            </w:pPr>
            <w:r>
              <w:rPr>
                <w:b/>
                <w:lang w:val="en-AU" w:eastAsia="en-AU"/>
              </w:rPr>
              <w:t>Minimum Monthly charge</w:t>
            </w:r>
          </w:p>
        </w:tc>
        <w:tc>
          <w:tcPr>
            <w:tcW w:w="923" w:type="pct"/>
          </w:tcPr>
          <w:p w14:paraId="2DAA28E6" w14:textId="77777777" w:rsidR="000D07EA" w:rsidRDefault="00BE7C89">
            <w:pPr>
              <w:pStyle w:val="BodyText"/>
              <w:spacing w:before="100" w:after="100"/>
              <w:jc w:val="center"/>
              <w:rPr>
                <w:lang w:val="en-AU" w:eastAsia="en-AU"/>
              </w:rPr>
            </w:pPr>
            <w:r>
              <w:rPr>
                <w:lang w:val="en-AU" w:eastAsia="en-AU"/>
              </w:rPr>
              <w:t>$49</w:t>
            </w:r>
          </w:p>
        </w:tc>
        <w:tc>
          <w:tcPr>
            <w:tcW w:w="923" w:type="pct"/>
          </w:tcPr>
          <w:p w14:paraId="73EFB80C" w14:textId="77777777" w:rsidR="000D07EA" w:rsidRDefault="00BE7C89">
            <w:pPr>
              <w:pStyle w:val="BodyText"/>
              <w:spacing w:before="100" w:after="100"/>
              <w:jc w:val="center"/>
              <w:rPr>
                <w:lang w:val="en-AU" w:eastAsia="en-AU"/>
              </w:rPr>
            </w:pPr>
            <w:r>
              <w:rPr>
                <w:lang w:val="en-AU" w:eastAsia="en-AU"/>
              </w:rPr>
              <w:t>$59</w:t>
            </w:r>
          </w:p>
        </w:tc>
        <w:tc>
          <w:tcPr>
            <w:tcW w:w="923" w:type="pct"/>
          </w:tcPr>
          <w:p w14:paraId="4E74A2EA" w14:textId="77777777" w:rsidR="000D07EA" w:rsidRDefault="00BE7C89">
            <w:pPr>
              <w:pStyle w:val="BodyText"/>
              <w:spacing w:before="100" w:after="100"/>
              <w:jc w:val="center"/>
              <w:rPr>
                <w:lang w:val="en-AU" w:eastAsia="en-AU"/>
              </w:rPr>
            </w:pPr>
            <w:r>
              <w:rPr>
                <w:lang w:val="en-AU" w:eastAsia="en-AU"/>
              </w:rPr>
              <w:t>$79</w:t>
            </w:r>
          </w:p>
        </w:tc>
      </w:tr>
      <w:tr w:rsidR="000D07EA" w14:paraId="0E59D9D2" w14:textId="77777777">
        <w:tc>
          <w:tcPr>
            <w:tcW w:w="2231" w:type="pct"/>
          </w:tcPr>
          <w:p w14:paraId="2A4DD837" w14:textId="77777777" w:rsidR="000D07EA" w:rsidRDefault="00BE7C89">
            <w:pPr>
              <w:pStyle w:val="BodyText"/>
              <w:spacing w:before="100" w:after="100"/>
              <w:rPr>
                <w:lang w:val="en-AU" w:eastAsia="en-AU"/>
              </w:rPr>
            </w:pPr>
            <w:r>
              <w:rPr>
                <w:b/>
                <w:lang w:val="en-AU" w:eastAsia="en-AU"/>
              </w:rPr>
              <w:t xml:space="preserve">National Voice call charges </w:t>
            </w:r>
            <w:r>
              <w:rPr>
                <w:lang w:val="en-AU" w:eastAsia="en-AU"/>
              </w:rPr>
              <w:t>(per minute)</w:t>
            </w:r>
          </w:p>
        </w:tc>
        <w:tc>
          <w:tcPr>
            <w:tcW w:w="923" w:type="pct"/>
          </w:tcPr>
          <w:p w14:paraId="076C77D9" w14:textId="77777777" w:rsidR="000D07EA" w:rsidRDefault="00BE7C89">
            <w:pPr>
              <w:pStyle w:val="BodyText"/>
              <w:spacing w:before="100" w:after="100"/>
              <w:jc w:val="center"/>
              <w:rPr>
                <w:lang w:val="en-AU" w:eastAsia="en-AU"/>
              </w:rPr>
            </w:pPr>
            <w:r>
              <w:rPr>
                <w:lang w:val="en-AU" w:eastAsia="en-AU"/>
              </w:rPr>
              <w:t>$0.90</w:t>
            </w:r>
          </w:p>
        </w:tc>
        <w:tc>
          <w:tcPr>
            <w:tcW w:w="923" w:type="pct"/>
          </w:tcPr>
          <w:p w14:paraId="673E6658" w14:textId="77777777" w:rsidR="000D07EA" w:rsidRDefault="00BE7C89">
            <w:pPr>
              <w:pStyle w:val="BodyText"/>
              <w:spacing w:before="100" w:after="100"/>
              <w:jc w:val="center"/>
              <w:rPr>
                <w:lang w:val="en-AU" w:eastAsia="en-AU"/>
              </w:rPr>
            </w:pPr>
            <w:r>
              <w:rPr>
                <w:lang w:val="en-AU" w:eastAsia="en-AU"/>
              </w:rPr>
              <w:t>$0.90</w:t>
            </w:r>
          </w:p>
        </w:tc>
        <w:tc>
          <w:tcPr>
            <w:tcW w:w="923" w:type="pct"/>
          </w:tcPr>
          <w:p w14:paraId="5FE925BE" w14:textId="77777777" w:rsidR="000D07EA" w:rsidRDefault="00BE7C89">
            <w:pPr>
              <w:pStyle w:val="BodyText"/>
              <w:spacing w:before="100" w:after="100"/>
              <w:jc w:val="center"/>
              <w:rPr>
                <w:lang w:val="en-AU" w:eastAsia="en-AU"/>
              </w:rPr>
            </w:pPr>
            <w:r>
              <w:rPr>
                <w:lang w:val="en-AU" w:eastAsia="en-AU"/>
              </w:rPr>
              <w:t>$0.90</w:t>
            </w:r>
          </w:p>
        </w:tc>
      </w:tr>
      <w:tr w:rsidR="000D07EA" w14:paraId="2C8D2831" w14:textId="77777777">
        <w:tc>
          <w:tcPr>
            <w:tcW w:w="2231" w:type="pct"/>
          </w:tcPr>
          <w:p w14:paraId="28060111" w14:textId="77777777" w:rsidR="000D07EA" w:rsidRDefault="00BE7C89">
            <w:pPr>
              <w:pStyle w:val="BodyText"/>
              <w:spacing w:before="100" w:after="100"/>
              <w:rPr>
                <w:b/>
                <w:i/>
                <w:iCs/>
                <w:lang w:val="en-AU" w:eastAsia="en-AU"/>
              </w:rPr>
            </w:pPr>
            <w:r>
              <w:rPr>
                <w:b/>
                <w:i/>
                <w:iCs/>
                <w:lang w:val="en-AU" w:eastAsia="en-AU"/>
              </w:rPr>
              <w:t>Flagfall</w:t>
            </w:r>
            <w:r>
              <w:rPr>
                <w:b/>
                <w:lang w:val="en-AU" w:eastAsia="en-AU"/>
              </w:rPr>
              <w:t xml:space="preserve"> for national voice calls (Call Connection Charge) </w:t>
            </w:r>
          </w:p>
        </w:tc>
        <w:tc>
          <w:tcPr>
            <w:tcW w:w="923" w:type="pct"/>
          </w:tcPr>
          <w:p w14:paraId="0963B05C" w14:textId="77777777" w:rsidR="000D07EA" w:rsidRDefault="00BE7C89">
            <w:pPr>
              <w:pStyle w:val="BodyText"/>
              <w:spacing w:before="100" w:after="100"/>
              <w:jc w:val="center"/>
              <w:rPr>
                <w:lang w:val="en-AU" w:eastAsia="en-AU"/>
              </w:rPr>
            </w:pPr>
            <w:r>
              <w:rPr>
                <w:lang w:val="en-AU" w:eastAsia="en-AU"/>
              </w:rPr>
              <w:t>$0.35</w:t>
            </w:r>
          </w:p>
        </w:tc>
        <w:tc>
          <w:tcPr>
            <w:tcW w:w="923" w:type="pct"/>
          </w:tcPr>
          <w:p w14:paraId="50718254" w14:textId="77777777" w:rsidR="000D07EA" w:rsidRDefault="00BE7C89">
            <w:pPr>
              <w:pStyle w:val="BodyText"/>
              <w:spacing w:before="100" w:after="100"/>
              <w:jc w:val="center"/>
              <w:rPr>
                <w:lang w:val="en-AU" w:eastAsia="en-AU"/>
              </w:rPr>
            </w:pPr>
            <w:r>
              <w:rPr>
                <w:lang w:val="en-AU" w:eastAsia="en-AU"/>
              </w:rPr>
              <w:t>$0.35</w:t>
            </w:r>
          </w:p>
        </w:tc>
        <w:tc>
          <w:tcPr>
            <w:tcW w:w="923" w:type="pct"/>
          </w:tcPr>
          <w:p w14:paraId="2DA1A03E" w14:textId="77777777" w:rsidR="000D07EA" w:rsidRDefault="00BE7C89">
            <w:pPr>
              <w:pStyle w:val="BodyText"/>
              <w:spacing w:before="100" w:after="100"/>
              <w:jc w:val="center"/>
              <w:rPr>
                <w:lang w:val="en-AU" w:eastAsia="en-AU"/>
              </w:rPr>
            </w:pPr>
            <w:r>
              <w:rPr>
                <w:lang w:val="en-AU" w:eastAsia="en-AU"/>
              </w:rPr>
              <w:t>$0.35</w:t>
            </w:r>
          </w:p>
        </w:tc>
      </w:tr>
      <w:tr w:rsidR="000D07EA" w14:paraId="185C465C" w14:textId="77777777">
        <w:tc>
          <w:tcPr>
            <w:tcW w:w="2231" w:type="pct"/>
          </w:tcPr>
          <w:p w14:paraId="3E4BA615" w14:textId="77777777" w:rsidR="000D07EA" w:rsidRDefault="00BE7C89">
            <w:pPr>
              <w:pStyle w:val="BodyText"/>
              <w:spacing w:before="100" w:after="100"/>
              <w:rPr>
                <w:lang w:val="en-AU" w:eastAsia="en-AU"/>
              </w:rPr>
            </w:pPr>
            <w:r>
              <w:rPr>
                <w:b/>
                <w:lang w:val="en-AU" w:eastAsia="en-AU"/>
              </w:rPr>
              <w:t>National SMS Charges</w:t>
            </w:r>
            <w:r>
              <w:rPr>
                <w:lang w:val="en-AU" w:eastAsia="en-AU"/>
              </w:rPr>
              <w:t xml:space="preserve"> (for standard SMS of up to 160 characters)</w:t>
            </w:r>
          </w:p>
        </w:tc>
        <w:tc>
          <w:tcPr>
            <w:tcW w:w="923" w:type="pct"/>
          </w:tcPr>
          <w:p w14:paraId="772F5C00" w14:textId="77777777" w:rsidR="000D07EA" w:rsidRDefault="00BE7C89">
            <w:pPr>
              <w:pStyle w:val="BodyText"/>
              <w:spacing w:before="100" w:after="100"/>
              <w:jc w:val="center"/>
              <w:rPr>
                <w:lang w:val="en-AU" w:eastAsia="en-AU"/>
              </w:rPr>
            </w:pPr>
            <w:r>
              <w:rPr>
                <w:lang w:val="en-AU" w:eastAsia="en-AU"/>
              </w:rPr>
              <w:t>$0.25</w:t>
            </w:r>
          </w:p>
        </w:tc>
        <w:tc>
          <w:tcPr>
            <w:tcW w:w="923" w:type="pct"/>
          </w:tcPr>
          <w:p w14:paraId="6EE96D2D" w14:textId="77777777" w:rsidR="000D07EA" w:rsidRDefault="00BE7C89">
            <w:pPr>
              <w:pStyle w:val="BodyText"/>
              <w:spacing w:before="100" w:after="100"/>
              <w:jc w:val="center"/>
              <w:rPr>
                <w:lang w:val="en-AU" w:eastAsia="en-AU"/>
              </w:rPr>
            </w:pPr>
            <w:r>
              <w:rPr>
                <w:lang w:val="en-AU" w:eastAsia="en-AU"/>
              </w:rPr>
              <w:t>Unlimited</w:t>
            </w:r>
          </w:p>
        </w:tc>
        <w:tc>
          <w:tcPr>
            <w:tcW w:w="923" w:type="pct"/>
          </w:tcPr>
          <w:p w14:paraId="0C0E36E2" w14:textId="77777777" w:rsidR="000D07EA" w:rsidRDefault="00BE7C89">
            <w:pPr>
              <w:pStyle w:val="BodyText"/>
              <w:spacing w:before="100" w:after="100"/>
              <w:jc w:val="center"/>
              <w:rPr>
                <w:lang w:val="en-AU" w:eastAsia="en-AU"/>
              </w:rPr>
            </w:pPr>
            <w:r>
              <w:rPr>
                <w:lang w:val="en-AU" w:eastAsia="en-AU"/>
              </w:rPr>
              <w:t>Unlimited</w:t>
            </w:r>
          </w:p>
        </w:tc>
      </w:tr>
      <w:tr w:rsidR="000D07EA" w14:paraId="01AC2495" w14:textId="77777777">
        <w:tc>
          <w:tcPr>
            <w:tcW w:w="2231" w:type="pct"/>
          </w:tcPr>
          <w:p w14:paraId="2703EB20" w14:textId="77777777" w:rsidR="000D07EA" w:rsidRDefault="00BE7C89">
            <w:pPr>
              <w:pStyle w:val="BodyText"/>
              <w:spacing w:before="100" w:after="100"/>
              <w:rPr>
                <w:b/>
                <w:lang w:val="en-AU" w:eastAsia="en-AU"/>
              </w:rPr>
            </w:pPr>
            <w:r>
              <w:rPr>
                <w:b/>
                <w:lang w:val="en-AU" w:eastAsia="en-AU"/>
              </w:rPr>
              <w:t>National Photo Message (per message)</w:t>
            </w:r>
          </w:p>
        </w:tc>
        <w:tc>
          <w:tcPr>
            <w:tcW w:w="923" w:type="pct"/>
          </w:tcPr>
          <w:p w14:paraId="5C5FEAD6" w14:textId="77777777" w:rsidR="000D07EA" w:rsidRDefault="00BE7C89">
            <w:pPr>
              <w:pStyle w:val="BodyText"/>
              <w:spacing w:before="100" w:after="100"/>
              <w:jc w:val="center"/>
              <w:rPr>
                <w:lang w:val="en-AU" w:eastAsia="en-AU"/>
              </w:rPr>
            </w:pPr>
            <w:r>
              <w:rPr>
                <w:lang w:val="en-AU" w:eastAsia="en-AU"/>
              </w:rPr>
              <w:t>$0.50</w:t>
            </w:r>
          </w:p>
        </w:tc>
        <w:tc>
          <w:tcPr>
            <w:tcW w:w="923" w:type="pct"/>
          </w:tcPr>
          <w:p w14:paraId="66C10721" w14:textId="77777777" w:rsidR="000D07EA" w:rsidRDefault="00BE7C89">
            <w:pPr>
              <w:pStyle w:val="BodyText"/>
              <w:spacing w:before="100" w:after="100"/>
              <w:jc w:val="center"/>
              <w:rPr>
                <w:lang w:val="en-AU" w:eastAsia="en-AU"/>
              </w:rPr>
            </w:pPr>
            <w:r>
              <w:rPr>
                <w:lang w:val="en-AU" w:eastAsia="en-AU"/>
              </w:rPr>
              <w:t>$0.50</w:t>
            </w:r>
          </w:p>
        </w:tc>
        <w:tc>
          <w:tcPr>
            <w:tcW w:w="923" w:type="pct"/>
          </w:tcPr>
          <w:p w14:paraId="163B72B4" w14:textId="77777777" w:rsidR="000D07EA" w:rsidRDefault="00BE7C89">
            <w:pPr>
              <w:pStyle w:val="BodyText"/>
              <w:spacing w:before="100" w:after="100"/>
              <w:jc w:val="center"/>
              <w:rPr>
                <w:lang w:val="en-AU" w:eastAsia="en-AU"/>
              </w:rPr>
            </w:pPr>
            <w:r>
              <w:rPr>
                <w:lang w:val="en-AU" w:eastAsia="en-AU"/>
              </w:rPr>
              <w:t>$0.50</w:t>
            </w:r>
          </w:p>
        </w:tc>
      </w:tr>
      <w:tr w:rsidR="000D07EA" w14:paraId="32ECB8A8" w14:textId="77777777">
        <w:tc>
          <w:tcPr>
            <w:tcW w:w="2231" w:type="pct"/>
          </w:tcPr>
          <w:p w14:paraId="44041CA7" w14:textId="77777777" w:rsidR="000D07EA" w:rsidRDefault="00BE7C89">
            <w:pPr>
              <w:pStyle w:val="BodyText"/>
              <w:spacing w:before="100" w:after="100"/>
              <w:rPr>
                <w:b/>
                <w:lang w:val="en-AU" w:eastAsia="en-AU"/>
              </w:rPr>
            </w:pPr>
            <w:r>
              <w:rPr>
                <w:b/>
                <w:lang w:val="en-AU" w:eastAsia="en-AU"/>
              </w:rPr>
              <w:t>National Video Calling (per minute)</w:t>
            </w:r>
          </w:p>
        </w:tc>
        <w:tc>
          <w:tcPr>
            <w:tcW w:w="923" w:type="pct"/>
          </w:tcPr>
          <w:p w14:paraId="6CCC192B" w14:textId="77777777" w:rsidR="000D07EA" w:rsidRDefault="00BE7C89">
            <w:pPr>
              <w:pStyle w:val="BodyText"/>
              <w:spacing w:before="100" w:after="100"/>
              <w:jc w:val="center"/>
              <w:rPr>
                <w:lang w:val="en-AU" w:eastAsia="en-AU"/>
              </w:rPr>
            </w:pPr>
            <w:r>
              <w:rPr>
                <w:lang w:val="en-AU" w:eastAsia="en-AU"/>
              </w:rPr>
              <w:t>$1.00</w:t>
            </w:r>
          </w:p>
        </w:tc>
        <w:tc>
          <w:tcPr>
            <w:tcW w:w="923" w:type="pct"/>
          </w:tcPr>
          <w:p w14:paraId="6CEE8A0B" w14:textId="77777777" w:rsidR="000D07EA" w:rsidRDefault="00BE7C89">
            <w:pPr>
              <w:pStyle w:val="BodyText"/>
              <w:spacing w:before="100" w:after="100"/>
              <w:jc w:val="center"/>
              <w:rPr>
                <w:lang w:val="en-AU" w:eastAsia="en-AU"/>
              </w:rPr>
            </w:pPr>
            <w:r>
              <w:rPr>
                <w:lang w:val="en-AU" w:eastAsia="en-AU"/>
              </w:rPr>
              <w:t>$1.00</w:t>
            </w:r>
          </w:p>
        </w:tc>
        <w:tc>
          <w:tcPr>
            <w:tcW w:w="923" w:type="pct"/>
          </w:tcPr>
          <w:p w14:paraId="1632B8EA" w14:textId="77777777" w:rsidR="000D07EA" w:rsidRDefault="00BE7C89">
            <w:pPr>
              <w:pStyle w:val="BodyText"/>
              <w:spacing w:before="100" w:after="100"/>
              <w:jc w:val="center"/>
              <w:rPr>
                <w:lang w:val="en-AU" w:eastAsia="en-AU"/>
              </w:rPr>
            </w:pPr>
            <w:r>
              <w:rPr>
                <w:lang w:val="en-AU" w:eastAsia="en-AU"/>
              </w:rPr>
              <w:t>$1.00</w:t>
            </w:r>
          </w:p>
        </w:tc>
      </w:tr>
      <w:tr w:rsidR="000D07EA" w14:paraId="73CE289F" w14:textId="77777777">
        <w:tc>
          <w:tcPr>
            <w:tcW w:w="2231" w:type="pct"/>
          </w:tcPr>
          <w:p w14:paraId="3E74E218" w14:textId="77777777" w:rsidR="000D07EA" w:rsidRDefault="00BE7C89">
            <w:pPr>
              <w:pStyle w:val="BodyText"/>
              <w:spacing w:before="100" w:after="100"/>
              <w:rPr>
                <w:b/>
                <w:i/>
                <w:iCs/>
                <w:lang w:val="en-AU" w:eastAsia="en-AU"/>
              </w:rPr>
            </w:pPr>
            <w:r>
              <w:rPr>
                <w:b/>
                <w:i/>
                <w:iCs/>
                <w:lang w:val="en-AU" w:eastAsia="en-AU"/>
              </w:rPr>
              <w:t xml:space="preserve">Flagfall </w:t>
            </w:r>
            <w:r>
              <w:rPr>
                <w:b/>
                <w:lang w:val="en-AU" w:eastAsia="en-AU"/>
              </w:rPr>
              <w:t>for National Video Calls (per call)</w:t>
            </w:r>
          </w:p>
        </w:tc>
        <w:tc>
          <w:tcPr>
            <w:tcW w:w="923" w:type="pct"/>
          </w:tcPr>
          <w:p w14:paraId="25127D20" w14:textId="77777777" w:rsidR="000D07EA" w:rsidRDefault="00BE7C89">
            <w:pPr>
              <w:pStyle w:val="BodyText"/>
              <w:spacing w:before="100" w:after="100"/>
              <w:jc w:val="center"/>
              <w:rPr>
                <w:lang w:val="en-AU" w:eastAsia="en-AU"/>
              </w:rPr>
            </w:pPr>
            <w:r>
              <w:rPr>
                <w:lang w:val="en-AU" w:eastAsia="en-AU"/>
              </w:rPr>
              <w:t>$0.35</w:t>
            </w:r>
          </w:p>
        </w:tc>
        <w:tc>
          <w:tcPr>
            <w:tcW w:w="923" w:type="pct"/>
          </w:tcPr>
          <w:p w14:paraId="5156F643" w14:textId="77777777" w:rsidR="000D07EA" w:rsidRDefault="00BE7C89">
            <w:pPr>
              <w:pStyle w:val="BodyText"/>
              <w:spacing w:before="100" w:after="100"/>
              <w:jc w:val="center"/>
              <w:rPr>
                <w:lang w:val="en-AU" w:eastAsia="en-AU"/>
              </w:rPr>
            </w:pPr>
            <w:r>
              <w:rPr>
                <w:lang w:val="en-AU" w:eastAsia="en-AU"/>
              </w:rPr>
              <w:t>$0.35</w:t>
            </w:r>
          </w:p>
        </w:tc>
        <w:tc>
          <w:tcPr>
            <w:tcW w:w="923" w:type="pct"/>
          </w:tcPr>
          <w:p w14:paraId="103246AE" w14:textId="77777777" w:rsidR="000D07EA" w:rsidRDefault="00BE7C89">
            <w:pPr>
              <w:pStyle w:val="BodyText"/>
              <w:spacing w:before="100" w:after="100"/>
              <w:jc w:val="center"/>
              <w:rPr>
                <w:lang w:val="en-AU" w:eastAsia="en-AU"/>
              </w:rPr>
            </w:pPr>
            <w:r>
              <w:rPr>
                <w:lang w:val="en-AU" w:eastAsia="en-AU"/>
              </w:rPr>
              <w:t>$0.35</w:t>
            </w:r>
          </w:p>
        </w:tc>
      </w:tr>
      <w:tr w:rsidR="000D07EA" w14:paraId="7C903834" w14:textId="77777777">
        <w:tc>
          <w:tcPr>
            <w:tcW w:w="2231" w:type="pct"/>
            <w:vMerge w:val="restart"/>
          </w:tcPr>
          <w:p w14:paraId="46F94A6E" w14:textId="77777777" w:rsidR="000D07EA" w:rsidRDefault="00BE7C89">
            <w:pPr>
              <w:pStyle w:val="BodyText"/>
              <w:spacing w:before="100" w:after="100"/>
              <w:rPr>
                <w:b/>
                <w:lang w:val="en-AU" w:eastAsia="en-AU"/>
              </w:rPr>
            </w:pPr>
            <w:r>
              <w:rPr>
                <w:b/>
                <w:lang w:val="en-AU" w:eastAsia="en-AU"/>
              </w:rPr>
              <w:t>Your Choice Of Data Option to use within Australia:</w:t>
            </w:r>
          </w:p>
        </w:tc>
        <w:tc>
          <w:tcPr>
            <w:tcW w:w="923" w:type="pct"/>
          </w:tcPr>
          <w:p w14:paraId="64A942BD" w14:textId="77777777" w:rsidR="000D07EA" w:rsidRDefault="00BE7C89">
            <w:pPr>
              <w:pStyle w:val="BodyText"/>
              <w:spacing w:before="100" w:after="100"/>
              <w:jc w:val="center"/>
              <w:rPr>
                <w:lang w:val="en-AU" w:eastAsia="en-AU"/>
              </w:rPr>
            </w:pPr>
            <w:r>
              <w:rPr>
                <w:lang w:val="en-AU" w:eastAsia="en-AU"/>
              </w:rPr>
              <w:t>1.5GB of Mobile Internet Data</w:t>
            </w:r>
          </w:p>
        </w:tc>
        <w:tc>
          <w:tcPr>
            <w:tcW w:w="923" w:type="pct"/>
          </w:tcPr>
          <w:p w14:paraId="4C723243" w14:textId="77777777" w:rsidR="000D07EA" w:rsidRDefault="00BE7C89">
            <w:pPr>
              <w:pStyle w:val="BodyText"/>
              <w:spacing w:before="100" w:after="100"/>
              <w:jc w:val="center"/>
              <w:rPr>
                <w:lang w:val="en-AU" w:eastAsia="en-AU"/>
              </w:rPr>
            </w:pPr>
            <w:r>
              <w:rPr>
                <w:lang w:val="en-AU" w:eastAsia="en-AU"/>
              </w:rPr>
              <w:t>2GB of Mobile Internet Data</w:t>
            </w:r>
          </w:p>
        </w:tc>
        <w:tc>
          <w:tcPr>
            <w:tcW w:w="923" w:type="pct"/>
          </w:tcPr>
          <w:p w14:paraId="53FF19DE" w14:textId="77777777" w:rsidR="000D07EA" w:rsidRDefault="00BE7C89">
            <w:pPr>
              <w:pStyle w:val="BodyText"/>
              <w:spacing w:before="100" w:after="100"/>
              <w:jc w:val="center"/>
              <w:rPr>
                <w:lang w:val="en-AU" w:eastAsia="en-AU"/>
              </w:rPr>
            </w:pPr>
            <w:r>
              <w:rPr>
                <w:lang w:val="en-AU" w:eastAsia="en-AU"/>
              </w:rPr>
              <w:t>3GB of Mobile Internet Data</w:t>
            </w:r>
          </w:p>
        </w:tc>
      </w:tr>
      <w:tr w:rsidR="000D07EA" w14:paraId="090981B1" w14:textId="77777777">
        <w:tc>
          <w:tcPr>
            <w:tcW w:w="2231" w:type="pct"/>
            <w:vMerge/>
          </w:tcPr>
          <w:p w14:paraId="43C92BEF" w14:textId="77777777" w:rsidR="000D07EA" w:rsidRDefault="000D07EA">
            <w:pPr>
              <w:pStyle w:val="BodyText"/>
              <w:spacing w:before="100" w:after="100"/>
              <w:rPr>
                <w:lang w:val="en-AU" w:eastAsia="en-AU"/>
              </w:rPr>
            </w:pPr>
          </w:p>
        </w:tc>
        <w:tc>
          <w:tcPr>
            <w:tcW w:w="2769" w:type="pct"/>
            <w:gridSpan w:val="3"/>
          </w:tcPr>
          <w:p w14:paraId="17A75235" w14:textId="77777777" w:rsidR="000D07EA" w:rsidRDefault="00BE7C89">
            <w:pPr>
              <w:pStyle w:val="BodyText"/>
              <w:spacing w:before="100" w:after="100"/>
              <w:jc w:val="center"/>
              <w:rPr>
                <w:lang w:val="en-AU" w:eastAsia="en-AU"/>
              </w:rPr>
            </w:pPr>
            <w:r>
              <w:rPr>
                <w:lang w:val="en-AU" w:eastAsia="en-AU"/>
              </w:rPr>
              <w:t>OR</w:t>
            </w:r>
          </w:p>
        </w:tc>
      </w:tr>
      <w:tr w:rsidR="000D07EA" w14:paraId="7392EB74" w14:textId="77777777">
        <w:tc>
          <w:tcPr>
            <w:tcW w:w="2231" w:type="pct"/>
            <w:vMerge/>
          </w:tcPr>
          <w:p w14:paraId="4CC10CE3" w14:textId="77777777" w:rsidR="000D07EA" w:rsidRDefault="000D07EA">
            <w:pPr>
              <w:pStyle w:val="BodyText"/>
              <w:spacing w:before="100" w:after="100"/>
              <w:rPr>
                <w:lang w:val="en-AU" w:eastAsia="en-AU"/>
              </w:rPr>
            </w:pPr>
          </w:p>
        </w:tc>
        <w:tc>
          <w:tcPr>
            <w:tcW w:w="923" w:type="pct"/>
          </w:tcPr>
          <w:p w14:paraId="2518330A" w14:textId="77777777" w:rsidR="000D07EA" w:rsidRDefault="00BE7C89">
            <w:pPr>
              <w:pStyle w:val="BodyText"/>
              <w:spacing w:before="100" w:after="100"/>
              <w:jc w:val="center"/>
              <w:rPr>
                <w:lang w:val="en-AU" w:eastAsia="en-AU"/>
              </w:rPr>
            </w:pPr>
            <w:r>
              <w:rPr>
                <w:lang w:val="en-AU" w:eastAsia="en-AU"/>
              </w:rPr>
              <w:t xml:space="preserve">Unlimited BlackBerry POP3 Email and Browsing through the BlackBerry Browser plus </w:t>
            </w:r>
            <w:r>
              <w:rPr>
                <w:lang w:val="en-AU" w:eastAsia="en-AU"/>
              </w:rPr>
              <w:lastRenderedPageBreak/>
              <w:t>500MB of Mobile Internet Data</w:t>
            </w:r>
          </w:p>
        </w:tc>
        <w:tc>
          <w:tcPr>
            <w:tcW w:w="923" w:type="pct"/>
          </w:tcPr>
          <w:p w14:paraId="2C6AC08E" w14:textId="77777777" w:rsidR="000D07EA" w:rsidRDefault="00BE7C89">
            <w:pPr>
              <w:pStyle w:val="BodyText"/>
              <w:spacing w:before="100" w:after="100"/>
              <w:jc w:val="center"/>
              <w:rPr>
                <w:lang w:val="en-AU" w:eastAsia="en-AU"/>
              </w:rPr>
            </w:pPr>
            <w:r>
              <w:rPr>
                <w:lang w:val="en-AU" w:eastAsia="en-AU"/>
              </w:rPr>
              <w:lastRenderedPageBreak/>
              <w:t xml:space="preserve">Unlimited BlackBerry POP3 Email and Browsing through the BlackBerry Browser plus </w:t>
            </w:r>
            <w:r>
              <w:rPr>
                <w:lang w:val="en-AU" w:eastAsia="en-AU"/>
              </w:rPr>
              <w:lastRenderedPageBreak/>
              <w:t>750MB of Mobile Internet Data</w:t>
            </w:r>
          </w:p>
        </w:tc>
        <w:tc>
          <w:tcPr>
            <w:tcW w:w="923" w:type="pct"/>
          </w:tcPr>
          <w:p w14:paraId="1669CAB9" w14:textId="77777777" w:rsidR="000D07EA" w:rsidRDefault="00BE7C89">
            <w:pPr>
              <w:pStyle w:val="BodyText"/>
              <w:spacing w:before="100" w:after="100"/>
              <w:jc w:val="center"/>
              <w:rPr>
                <w:lang w:val="en-AU" w:eastAsia="en-AU"/>
              </w:rPr>
            </w:pPr>
            <w:r>
              <w:rPr>
                <w:lang w:val="en-AU" w:eastAsia="en-AU"/>
              </w:rPr>
              <w:lastRenderedPageBreak/>
              <w:t xml:space="preserve">Unlimited BlackBerry POP3 Email and Browsing through the BlackBerry Browser plus </w:t>
            </w:r>
            <w:r>
              <w:rPr>
                <w:lang w:val="en-AU" w:eastAsia="en-AU"/>
              </w:rPr>
              <w:lastRenderedPageBreak/>
              <w:t>1GB of Mobile Internet Data</w:t>
            </w:r>
          </w:p>
        </w:tc>
      </w:tr>
      <w:tr w:rsidR="000D07EA" w14:paraId="4A3F0A9F" w14:textId="77777777">
        <w:tc>
          <w:tcPr>
            <w:tcW w:w="2231" w:type="pct"/>
          </w:tcPr>
          <w:p w14:paraId="665FAF95" w14:textId="77777777" w:rsidR="000D07EA" w:rsidRDefault="00BE7C89">
            <w:pPr>
              <w:pStyle w:val="BodyText"/>
              <w:spacing w:before="100" w:after="100"/>
              <w:rPr>
                <w:b/>
                <w:lang w:val="en-AU" w:eastAsia="en-AU"/>
              </w:rPr>
            </w:pPr>
            <w:r>
              <w:rPr>
                <w:b/>
                <w:lang w:val="en-AU" w:eastAsia="en-AU"/>
              </w:rPr>
              <w:lastRenderedPageBreak/>
              <w:t>Other call charges (for example international calls, calls to mobiles)</w:t>
            </w:r>
          </w:p>
        </w:tc>
        <w:tc>
          <w:tcPr>
            <w:tcW w:w="2769" w:type="pct"/>
            <w:gridSpan w:val="3"/>
          </w:tcPr>
          <w:p w14:paraId="7FDFDD70" w14:textId="77777777" w:rsidR="000D07EA" w:rsidRDefault="00BE7C89">
            <w:pPr>
              <w:pStyle w:val="BodyText"/>
              <w:spacing w:before="100" w:after="100"/>
              <w:jc w:val="center"/>
              <w:rPr>
                <w:lang w:val="en-AU" w:eastAsia="en-AU"/>
              </w:rPr>
            </w:pPr>
            <w:r>
              <w:rPr>
                <w:lang w:val="en-AU" w:eastAsia="en-AU"/>
              </w:rPr>
              <w:t xml:space="preserve">See section 1 of this </w:t>
            </w:r>
            <w:r>
              <w:rPr>
                <w:i/>
                <w:iCs/>
                <w:lang w:val="en-AU" w:eastAsia="en-AU"/>
              </w:rPr>
              <w:t>standard pricing table</w:t>
            </w:r>
            <w:r>
              <w:rPr>
                <w:lang w:val="en-AU" w:eastAsia="en-AU"/>
              </w:rPr>
              <w:t xml:space="preserve"> and </w:t>
            </w:r>
            <w:hyperlink r:id="rId382" w:history="1">
              <w:r>
                <w:rPr>
                  <w:rStyle w:val="Hyperlink"/>
                  <w:i/>
                </w:rPr>
                <w:t>Appendix Y</w:t>
              </w:r>
            </w:hyperlink>
            <w:r>
              <w:rPr>
                <w:lang w:val="en-AU" w:eastAsia="en-AU"/>
              </w:rPr>
              <w:t xml:space="preserve"> (Value Added Service Features)</w:t>
            </w:r>
          </w:p>
        </w:tc>
      </w:tr>
      <w:tr w:rsidR="000D07EA" w14:paraId="1AF12552" w14:textId="77777777">
        <w:tc>
          <w:tcPr>
            <w:tcW w:w="2231" w:type="pct"/>
          </w:tcPr>
          <w:p w14:paraId="6F875631" w14:textId="77777777" w:rsidR="000D07EA" w:rsidRDefault="00BE7C89">
            <w:pPr>
              <w:pStyle w:val="BodyText"/>
              <w:spacing w:before="100" w:after="100"/>
              <w:rPr>
                <w:lang w:val="en-AU" w:eastAsia="en-AU"/>
              </w:rPr>
            </w:pPr>
            <w:r>
              <w:rPr>
                <w:b/>
                <w:lang w:val="en-AU" w:eastAsia="en-AU"/>
              </w:rPr>
              <w:t>Other conditions</w:t>
            </w:r>
            <w:r>
              <w:rPr>
                <w:lang w:val="en-AU" w:eastAsia="en-AU"/>
              </w:rPr>
              <w:t xml:space="preserve"> (for details see </w:t>
            </w:r>
            <w:hyperlink r:id="rId383" w:history="1">
              <w:r w:rsidR="008D6257">
                <w:rPr>
                  <w:rStyle w:val="Hyperlink"/>
                  <w:i/>
                </w:rPr>
                <w:t>Appendix S</w:t>
              </w:r>
            </w:hyperlink>
            <w:r>
              <w:rPr>
                <w:lang w:val="en-AU" w:eastAsia="en-AU"/>
              </w:rPr>
              <w:t>)</w:t>
            </w:r>
          </w:p>
        </w:tc>
        <w:tc>
          <w:tcPr>
            <w:tcW w:w="2769" w:type="pct"/>
            <w:gridSpan w:val="3"/>
          </w:tcPr>
          <w:p w14:paraId="36028D3D" w14:textId="77777777" w:rsidR="000D07EA" w:rsidRDefault="00BE7C89">
            <w:pPr>
              <w:pStyle w:val="BodyText"/>
              <w:spacing w:before="100" w:after="100"/>
              <w:jc w:val="center"/>
              <w:rPr>
                <w:lang w:val="en-AU" w:eastAsia="en-AU"/>
              </w:rPr>
            </w:pPr>
            <w:r>
              <w:rPr>
                <w:rFonts w:cs="Arial"/>
                <w:bCs/>
                <w:szCs w:val="20"/>
              </w:rPr>
              <w:t>Fair Go Policy (</w:t>
            </w:r>
            <w:hyperlink r:id="rId384" w:history="1">
              <w:r>
                <w:rPr>
                  <w:rStyle w:val="Hyperlink"/>
                  <w:i/>
                </w:rPr>
                <w:t>Appendix S</w:t>
              </w:r>
            </w:hyperlink>
            <w:r>
              <w:rPr>
                <w:rFonts w:cs="Arial"/>
                <w:bCs/>
                <w:szCs w:val="20"/>
              </w:rPr>
              <w:t>)</w:t>
            </w:r>
            <w:r>
              <w:rPr>
                <w:lang w:val="en-AU" w:eastAsia="en-AU"/>
              </w:rPr>
              <w:t xml:space="preserve"> applies.</w:t>
            </w:r>
          </w:p>
        </w:tc>
      </w:tr>
      <w:tr w:rsidR="000D07EA" w14:paraId="16CA3216" w14:textId="77777777">
        <w:tc>
          <w:tcPr>
            <w:tcW w:w="2231" w:type="pct"/>
          </w:tcPr>
          <w:p w14:paraId="30316B32" w14:textId="77777777" w:rsidR="000D07EA" w:rsidRDefault="00BE7C89">
            <w:pPr>
              <w:pStyle w:val="BodyText"/>
              <w:keepNext/>
              <w:spacing w:before="100" w:after="100"/>
              <w:rPr>
                <w:b/>
                <w:lang w:val="en-AU" w:eastAsia="en-AU"/>
              </w:rPr>
            </w:pPr>
            <w:r>
              <w:rPr>
                <w:b/>
                <w:lang w:val="en-AU" w:eastAsia="en-AU"/>
              </w:rPr>
              <w:t>Available on Non Fixed Contract (Month to Month)</w:t>
            </w:r>
          </w:p>
        </w:tc>
        <w:tc>
          <w:tcPr>
            <w:tcW w:w="923" w:type="pct"/>
          </w:tcPr>
          <w:p w14:paraId="72EA1DAD" w14:textId="77777777" w:rsidR="000D07EA" w:rsidRDefault="00BE7C89">
            <w:pPr>
              <w:pStyle w:val="BodyText"/>
              <w:keepNext/>
              <w:spacing w:before="100" w:after="100"/>
              <w:jc w:val="center"/>
              <w:rPr>
                <w:lang w:val="en-AU" w:eastAsia="en-AU"/>
              </w:rPr>
            </w:pPr>
            <w:r>
              <w:rPr>
                <w:lang w:val="en-AU" w:eastAsia="en-AU"/>
              </w:rPr>
              <w:t>Yes</w:t>
            </w:r>
          </w:p>
        </w:tc>
        <w:tc>
          <w:tcPr>
            <w:tcW w:w="923" w:type="pct"/>
          </w:tcPr>
          <w:p w14:paraId="1A815EC0" w14:textId="77777777" w:rsidR="000D07EA" w:rsidRDefault="00BE7C89">
            <w:pPr>
              <w:pStyle w:val="BodyText"/>
              <w:keepNext/>
              <w:spacing w:before="100" w:after="100"/>
              <w:jc w:val="center"/>
              <w:rPr>
                <w:lang w:val="en-AU" w:eastAsia="en-AU"/>
              </w:rPr>
            </w:pPr>
            <w:r>
              <w:rPr>
                <w:lang w:val="en-AU" w:eastAsia="en-AU"/>
              </w:rPr>
              <w:t>Yes</w:t>
            </w:r>
          </w:p>
        </w:tc>
        <w:tc>
          <w:tcPr>
            <w:tcW w:w="923" w:type="pct"/>
          </w:tcPr>
          <w:p w14:paraId="701CAA9D" w14:textId="77777777" w:rsidR="000D07EA" w:rsidRDefault="00BE7C89">
            <w:pPr>
              <w:pStyle w:val="BodyText"/>
              <w:keepNext/>
              <w:spacing w:before="100" w:after="100"/>
              <w:jc w:val="center"/>
              <w:rPr>
                <w:lang w:val="en-AU" w:eastAsia="en-AU"/>
              </w:rPr>
            </w:pPr>
            <w:r>
              <w:rPr>
                <w:lang w:val="en-AU" w:eastAsia="en-AU"/>
              </w:rPr>
              <w:t>Yes</w:t>
            </w:r>
          </w:p>
        </w:tc>
      </w:tr>
      <w:tr w:rsidR="000D07EA" w14:paraId="72B37B1F" w14:textId="77777777">
        <w:tc>
          <w:tcPr>
            <w:tcW w:w="2231" w:type="pct"/>
          </w:tcPr>
          <w:p w14:paraId="65F042F1" w14:textId="77777777" w:rsidR="000D07EA" w:rsidRDefault="00BE7C89">
            <w:pPr>
              <w:pStyle w:val="BodyText"/>
              <w:spacing w:before="100" w:after="100"/>
              <w:rPr>
                <w:b/>
                <w:lang w:val="en-AU" w:eastAsia="en-AU"/>
              </w:rPr>
            </w:pPr>
            <w:r>
              <w:rPr>
                <w:b/>
                <w:lang w:val="en-AU" w:eastAsia="en-AU"/>
              </w:rPr>
              <w:t>Available on a Fixed Term Contract (12 or 24 Months)</w:t>
            </w:r>
          </w:p>
        </w:tc>
        <w:tc>
          <w:tcPr>
            <w:tcW w:w="923" w:type="pct"/>
          </w:tcPr>
          <w:p w14:paraId="4D45064B" w14:textId="77777777" w:rsidR="000D07EA" w:rsidRDefault="00BE7C89">
            <w:pPr>
              <w:pStyle w:val="BodyText"/>
              <w:spacing w:before="100" w:after="100"/>
              <w:jc w:val="center"/>
              <w:rPr>
                <w:lang w:val="en-AU" w:eastAsia="en-AU"/>
              </w:rPr>
            </w:pPr>
            <w:r>
              <w:rPr>
                <w:lang w:val="en-AU" w:eastAsia="en-AU"/>
              </w:rPr>
              <w:t>Yes</w:t>
            </w:r>
          </w:p>
        </w:tc>
        <w:tc>
          <w:tcPr>
            <w:tcW w:w="923" w:type="pct"/>
          </w:tcPr>
          <w:p w14:paraId="6C0F56EA" w14:textId="77777777" w:rsidR="000D07EA" w:rsidRDefault="00BE7C89">
            <w:pPr>
              <w:pStyle w:val="BodyText"/>
              <w:spacing w:before="100" w:after="100"/>
              <w:jc w:val="center"/>
              <w:rPr>
                <w:lang w:val="en-AU" w:eastAsia="en-AU"/>
              </w:rPr>
            </w:pPr>
            <w:r>
              <w:rPr>
                <w:lang w:val="en-AU" w:eastAsia="en-AU"/>
              </w:rPr>
              <w:t>Yes</w:t>
            </w:r>
          </w:p>
        </w:tc>
        <w:tc>
          <w:tcPr>
            <w:tcW w:w="923" w:type="pct"/>
          </w:tcPr>
          <w:p w14:paraId="23864FE3" w14:textId="77777777" w:rsidR="000D07EA" w:rsidRDefault="00BE7C89">
            <w:pPr>
              <w:pStyle w:val="BodyText"/>
              <w:spacing w:before="100" w:after="100"/>
              <w:jc w:val="center"/>
              <w:rPr>
                <w:lang w:val="en-AU" w:eastAsia="en-AU"/>
              </w:rPr>
            </w:pPr>
            <w:r>
              <w:rPr>
                <w:lang w:val="en-AU" w:eastAsia="en-AU"/>
              </w:rPr>
              <w:t>Yes</w:t>
            </w:r>
          </w:p>
        </w:tc>
      </w:tr>
      <w:tr w:rsidR="000D07EA" w14:paraId="4DAE0664" w14:textId="77777777">
        <w:tc>
          <w:tcPr>
            <w:tcW w:w="2231" w:type="pct"/>
            <w:vMerge w:val="restart"/>
          </w:tcPr>
          <w:p w14:paraId="6A875549" w14:textId="77777777" w:rsidR="000D07EA" w:rsidRDefault="00BE7C89">
            <w:pPr>
              <w:pStyle w:val="BodyText"/>
              <w:spacing w:before="100" w:after="100"/>
              <w:rPr>
                <w:b/>
                <w:lang w:val="en-AU" w:eastAsia="en-AU"/>
              </w:rPr>
            </w:pPr>
            <w:r>
              <w:rPr>
                <w:b/>
                <w:lang w:val="en-AU" w:eastAsia="en-AU"/>
              </w:rPr>
              <w:t xml:space="preserve">Minimum Total Cost of the Business Complete Plans over a 24 month </w:t>
            </w:r>
            <w:r>
              <w:rPr>
                <w:b/>
                <w:i/>
                <w:iCs/>
                <w:lang w:val="en-AU" w:eastAsia="en-AU"/>
              </w:rPr>
              <w:t>minimum term (</w:t>
            </w:r>
            <w:r>
              <w:rPr>
                <w:b/>
                <w:lang w:val="en-AU" w:eastAsia="en-AU"/>
              </w:rPr>
              <w:t>amount excludes any handset repayments if any)</w:t>
            </w:r>
          </w:p>
        </w:tc>
        <w:tc>
          <w:tcPr>
            <w:tcW w:w="923" w:type="pct"/>
          </w:tcPr>
          <w:p w14:paraId="64DFC9A1" w14:textId="77777777" w:rsidR="000D07EA" w:rsidRDefault="00BE7C89">
            <w:pPr>
              <w:pStyle w:val="BodyText"/>
              <w:spacing w:before="100" w:after="100"/>
              <w:jc w:val="center"/>
              <w:rPr>
                <w:lang w:val="en-AU" w:eastAsia="en-AU"/>
              </w:rPr>
            </w:pPr>
            <w:r>
              <w:rPr>
                <w:lang w:val="en-AU" w:eastAsia="en-AU"/>
              </w:rPr>
              <w:t>$1,176</w:t>
            </w:r>
          </w:p>
        </w:tc>
        <w:tc>
          <w:tcPr>
            <w:tcW w:w="923" w:type="pct"/>
          </w:tcPr>
          <w:p w14:paraId="784705D8" w14:textId="77777777" w:rsidR="000D07EA" w:rsidRDefault="00BE7C89">
            <w:pPr>
              <w:pStyle w:val="BodyText"/>
              <w:spacing w:before="100" w:after="100"/>
              <w:jc w:val="center"/>
              <w:rPr>
                <w:lang w:val="en-AU" w:eastAsia="en-AU"/>
              </w:rPr>
            </w:pPr>
            <w:r>
              <w:rPr>
                <w:lang w:val="en-AU" w:eastAsia="en-AU"/>
              </w:rPr>
              <w:t>$1,416</w:t>
            </w:r>
          </w:p>
        </w:tc>
        <w:tc>
          <w:tcPr>
            <w:tcW w:w="923" w:type="pct"/>
          </w:tcPr>
          <w:p w14:paraId="57B81FEF" w14:textId="77777777" w:rsidR="000D07EA" w:rsidRDefault="00BE7C89">
            <w:pPr>
              <w:pStyle w:val="BodyText"/>
              <w:spacing w:before="100" w:after="100"/>
              <w:jc w:val="center"/>
              <w:rPr>
                <w:lang w:val="en-AU" w:eastAsia="en-AU"/>
              </w:rPr>
            </w:pPr>
            <w:r>
              <w:rPr>
                <w:lang w:val="en-AU" w:eastAsia="en-AU"/>
              </w:rPr>
              <w:t>$1,896</w:t>
            </w:r>
          </w:p>
        </w:tc>
      </w:tr>
      <w:tr w:rsidR="000D07EA" w14:paraId="57BD12D5" w14:textId="77777777">
        <w:tc>
          <w:tcPr>
            <w:tcW w:w="2231" w:type="pct"/>
            <w:vMerge/>
          </w:tcPr>
          <w:p w14:paraId="2837F9C1" w14:textId="77777777" w:rsidR="000D07EA" w:rsidRDefault="000D07EA">
            <w:pPr>
              <w:pStyle w:val="BodyText"/>
              <w:spacing w:before="100" w:after="100"/>
              <w:rPr>
                <w:b/>
                <w:lang w:val="en-AU" w:eastAsia="en-AU"/>
              </w:rPr>
            </w:pPr>
          </w:p>
        </w:tc>
        <w:tc>
          <w:tcPr>
            <w:tcW w:w="2769" w:type="pct"/>
            <w:gridSpan w:val="3"/>
          </w:tcPr>
          <w:p w14:paraId="06752946" w14:textId="77777777" w:rsidR="000D07EA" w:rsidRDefault="00BE7C89">
            <w:pPr>
              <w:pStyle w:val="BodyText"/>
              <w:spacing w:before="100" w:after="100"/>
              <w:jc w:val="center"/>
              <w:rPr>
                <w:lang w:val="en-AU" w:eastAsia="en-AU"/>
              </w:rPr>
            </w:pPr>
            <w:r>
              <w:rPr>
                <w:lang w:val="en-AU" w:eastAsia="en-AU"/>
              </w:rPr>
              <w:t xml:space="preserve">(plus the cost of </w:t>
            </w:r>
            <w:r>
              <w:rPr>
                <w:i/>
                <w:iCs/>
                <w:lang w:val="en-AU" w:eastAsia="en-AU"/>
              </w:rPr>
              <w:t xml:space="preserve">equipment charges </w:t>
            </w:r>
            <w:r>
              <w:rPr>
                <w:lang w:val="en-AU" w:eastAsia="en-AU"/>
              </w:rPr>
              <w:t xml:space="preserve">for any </w:t>
            </w:r>
            <w:r>
              <w:rPr>
                <w:i/>
                <w:iCs/>
                <w:lang w:val="en-AU" w:eastAsia="en-AU"/>
              </w:rPr>
              <w:t xml:space="preserve">mobile phone you </w:t>
            </w:r>
            <w:r>
              <w:rPr>
                <w:lang w:val="en-AU" w:eastAsia="en-AU"/>
              </w:rPr>
              <w:t>purchase from us, if any)</w:t>
            </w:r>
          </w:p>
        </w:tc>
      </w:tr>
      <w:tr w:rsidR="000D07EA" w14:paraId="26CEE5A0" w14:textId="77777777">
        <w:tc>
          <w:tcPr>
            <w:tcW w:w="2231" w:type="pct"/>
            <w:vMerge w:val="restart"/>
          </w:tcPr>
          <w:p w14:paraId="0B885C42" w14:textId="77777777" w:rsidR="000D07EA" w:rsidRDefault="00BE7C89">
            <w:pPr>
              <w:pStyle w:val="BodyText"/>
              <w:spacing w:before="100" w:after="100"/>
              <w:rPr>
                <w:b/>
                <w:lang w:val="en-AU" w:eastAsia="en-AU"/>
              </w:rPr>
            </w:pPr>
            <w:r>
              <w:rPr>
                <w:b/>
                <w:lang w:val="en-AU" w:eastAsia="en-AU"/>
              </w:rPr>
              <w:t xml:space="preserve">Minimum Total Cost of the Business Complete Plans over a 12 month </w:t>
            </w:r>
            <w:r>
              <w:rPr>
                <w:b/>
                <w:i/>
                <w:iCs/>
                <w:lang w:val="en-AU" w:eastAsia="en-AU"/>
              </w:rPr>
              <w:t>minimum term (</w:t>
            </w:r>
            <w:r>
              <w:rPr>
                <w:b/>
                <w:lang w:val="en-AU" w:eastAsia="en-AU"/>
              </w:rPr>
              <w:t>amount excludes any handset repayments if any)</w:t>
            </w:r>
          </w:p>
        </w:tc>
        <w:tc>
          <w:tcPr>
            <w:tcW w:w="923" w:type="pct"/>
          </w:tcPr>
          <w:p w14:paraId="09481284" w14:textId="77777777" w:rsidR="000D07EA" w:rsidRDefault="00BE7C89">
            <w:pPr>
              <w:pStyle w:val="BodyText"/>
              <w:spacing w:before="100" w:after="100"/>
              <w:jc w:val="center"/>
              <w:rPr>
                <w:lang w:val="en-AU" w:eastAsia="en-AU"/>
              </w:rPr>
            </w:pPr>
            <w:r>
              <w:rPr>
                <w:lang w:val="en-AU" w:eastAsia="en-AU"/>
              </w:rPr>
              <w:t>$588</w:t>
            </w:r>
          </w:p>
        </w:tc>
        <w:tc>
          <w:tcPr>
            <w:tcW w:w="923" w:type="pct"/>
          </w:tcPr>
          <w:p w14:paraId="2CFB10D2" w14:textId="77777777" w:rsidR="000D07EA" w:rsidRDefault="00BE7C89">
            <w:pPr>
              <w:pStyle w:val="BodyText"/>
              <w:spacing w:before="100" w:after="100"/>
              <w:jc w:val="center"/>
              <w:rPr>
                <w:lang w:val="en-AU" w:eastAsia="en-AU"/>
              </w:rPr>
            </w:pPr>
            <w:r>
              <w:rPr>
                <w:lang w:val="en-AU" w:eastAsia="en-AU"/>
              </w:rPr>
              <w:t>$708</w:t>
            </w:r>
          </w:p>
        </w:tc>
        <w:tc>
          <w:tcPr>
            <w:tcW w:w="923" w:type="pct"/>
          </w:tcPr>
          <w:p w14:paraId="36C10AFA" w14:textId="77777777" w:rsidR="000D07EA" w:rsidRDefault="00BE7C89">
            <w:pPr>
              <w:pStyle w:val="BodyText"/>
              <w:spacing w:before="100" w:after="100"/>
              <w:jc w:val="center"/>
              <w:rPr>
                <w:lang w:val="en-AU" w:eastAsia="en-AU"/>
              </w:rPr>
            </w:pPr>
            <w:r>
              <w:rPr>
                <w:lang w:val="en-AU" w:eastAsia="en-AU"/>
              </w:rPr>
              <w:t>$948</w:t>
            </w:r>
          </w:p>
        </w:tc>
      </w:tr>
      <w:tr w:rsidR="000D07EA" w14:paraId="75387D9E" w14:textId="77777777">
        <w:tc>
          <w:tcPr>
            <w:tcW w:w="2231" w:type="pct"/>
            <w:vMerge/>
          </w:tcPr>
          <w:p w14:paraId="6A4BE591" w14:textId="77777777" w:rsidR="000D07EA" w:rsidRDefault="000D07EA">
            <w:pPr>
              <w:pStyle w:val="BodyText"/>
              <w:spacing w:before="100" w:after="100"/>
              <w:rPr>
                <w:lang w:val="en-AU" w:eastAsia="en-AU"/>
              </w:rPr>
            </w:pPr>
          </w:p>
        </w:tc>
        <w:tc>
          <w:tcPr>
            <w:tcW w:w="2769" w:type="pct"/>
            <w:gridSpan w:val="3"/>
          </w:tcPr>
          <w:p w14:paraId="7CB2DF96" w14:textId="77777777" w:rsidR="000D07EA" w:rsidRDefault="00BE7C89">
            <w:pPr>
              <w:pStyle w:val="BodyText"/>
              <w:spacing w:before="100" w:after="100"/>
              <w:jc w:val="center"/>
              <w:rPr>
                <w:lang w:val="en-AU" w:eastAsia="en-AU"/>
              </w:rPr>
            </w:pPr>
            <w:r>
              <w:rPr>
                <w:lang w:val="en-AU" w:eastAsia="en-AU"/>
              </w:rPr>
              <w:t xml:space="preserve">(plus the cost of </w:t>
            </w:r>
            <w:r>
              <w:rPr>
                <w:i/>
                <w:iCs/>
                <w:lang w:val="en-AU" w:eastAsia="en-AU"/>
              </w:rPr>
              <w:t xml:space="preserve">equipment charges </w:t>
            </w:r>
            <w:r>
              <w:rPr>
                <w:lang w:val="en-AU" w:eastAsia="en-AU"/>
              </w:rPr>
              <w:t xml:space="preserve">for any </w:t>
            </w:r>
            <w:r>
              <w:rPr>
                <w:i/>
                <w:iCs/>
                <w:lang w:val="en-AU" w:eastAsia="en-AU"/>
              </w:rPr>
              <w:t xml:space="preserve">mobile phone you </w:t>
            </w:r>
            <w:r>
              <w:rPr>
                <w:lang w:val="en-AU" w:eastAsia="en-AU"/>
              </w:rPr>
              <w:t>purchase from us, if any)</w:t>
            </w:r>
          </w:p>
        </w:tc>
      </w:tr>
    </w:tbl>
    <w:p w14:paraId="1338079E" w14:textId="77777777" w:rsidR="000D07EA" w:rsidRDefault="000D07EA">
      <w:pPr>
        <w:pStyle w:val="BodyText"/>
        <w:rPr>
          <w:lang w:val="en-AU" w:eastAsia="en-AU"/>
        </w:rPr>
      </w:pPr>
    </w:p>
    <w:p w14:paraId="6788FD8E" w14:textId="77777777" w:rsidR="000D07EA" w:rsidRDefault="00BE7C89">
      <w:pPr>
        <w:pStyle w:val="Heading6"/>
        <w:ind w:left="0" w:firstLine="0"/>
        <w:rPr>
          <w:lang w:val="en-AU"/>
        </w:rPr>
      </w:pPr>
      <w:bookmarkStart w:id="556" w:name="_Toc306091585"/>
      <w:bookmarkStart w:id="557" w:name="_Ref306632820"/>
      <w:bookmarkStart w:id="558" w:name="_Toc306967565"/>
      <w:bookmarkStart w:id="559" w:name="_Toc397941210"/>
      <w:r>
        <w:rPr>
          <w:lang w:val="en-AU"/>
        </w:rPr>
        <w:t xml:space="preserve">What happens if the service is </w:t>
      </w:r>
      <w:r>
        <w:rPr>
          <w:i/>
          <w:lang w:val="en-AU"/>
        </w:rPr>
        <w:t>cancelled</w:t>
      </w:r>
      <w:r>
        <w:rPr>
          <w:lang w:val="en-AU"/>
        </w:rPr>
        <w:t xml:space="preserve"> early?</w:t>
      </w:r>
      <w:bookmarkEnd w:id="556"/>
      <w:bookmarkEnd w:id="557"/>
      <w:bookmarkEnd w:id="558"/>
      <w:bookmarkEnd w:id="559"/>
    </w:p>
    <w:p w14:paraId="0D742388" w14:textId="77777777" w:rsidR="000D07EA" w:rsidRDefault="00BE7C89">
      <w:pPr>
        <w:pStyle w:val="Heading7"/>
        <w:rPr>
          <w:lang w:val="en-AU"/>
        </w:rPr>
      </w:pPr>
      <w:r>
        <w:rPr>
          <w:lang w:val="en-AU"/>
        </w:rPr>
        <w:t xml:space="preserve">If </w:t>
      </w:r>
      <w:r>
        <w:rPr>
          <w:i/>
          <w:lang w:val="en-AU"/>
        </w:rPr>
        <w:t>the service</w:t>
      </w:r>
      <w:r>
        <w:rPr>
          <w:lang w:val="en-AU"/>
        </w:rPr>
        <w:t xml:space="preserve"> is cancelled before the expiry of the </w:t>
      </w:r>
      <w:r>
        <w:rPr>
          <w:i/>
          <w:lang w:val="en-AU"/>
        </w:rPr>
        <w:t>minimum term</w:t>
      </w:r>
      <w:r>
        <w:rPr>
          <w:lang w:val="en-AU"/>
        </w:rPr>
        <w:t xml:space="preserve">, </w:t>
      </w:r>
      <w:r>
        <w:rPr>
          <w:i/>
          <w:lang w:val="en-AU"/>
        </w:rPr>
        <w:t>you</w:t>
      </w:r>
      <w:r>
        <w:rPr>
          <w:lang w:val="en-AU"/>
        </w:rPr>
        <w:t xml:space="preserve"> will be required to pay </w:t>
      </w:r>
      <w:r>
        <w:rPr>
          <w:i/>
          <w:lang w:val="en-AU"/>
        </w:rPr>
        <w:t>us</w:t>
      </w:r>
      <w:r>
        <w:rPr>
          <w:lang w:val="en-AU"/>
        </w:rPr>
        <w:t>:</w:t>
      </w:r>
    </w:p>
    <w:p w14:paraId="3B83BDF2" w14:textId="77777777" w:rsidR="000D07EA" w:rsidRDefault="00BE7C89">
      <w:pPr>
        <w:pStyle w:val="Heading8"/>
        <w:rPr>
          <w:lang w:val="en-AU"/>
        </w:rPr>
      </w:pPr>
      <w:r>
        <w:rPr>
          <w:lang w:val="en-AU"/>
        </w:rPr>
        <w:t>any usage charges incurred up to, and including, the cancellation date; plus</w:t>
      </w:r>
    </w:p>
    <w:p w14:paraId="481AC6D4" w14:textId="77777777" w:rsidR="000D07EA" w:rsidRDefault="00BE7C89">
      <w:pPr>
        <w:pStyle w:val="Heading8"/>
        <w:rPr>
          <w:lang w:val="en-AU"/>
        </w:rPr>
      </w:pPr>
      <w:r>
        <w:rPr>
          <w:lang w:val="en-AU"/>
        </w:rPr>
        <w:t xml:space="preserve">the </w:t>
      </w:r>
      <w:r>
        <w:rPr>
          <w:i/>
          <w:lang w:val="en-AU"/>
        </w:rPr>
        <w:t xml:space="preserve">cancellation fee </w:t>
      </w:r>
      <w:r>
        <w:rPr>
          <w:lang w:val="en-AU"/>
        </w:rPr>
        <w:t xml:space="preserve">set in Table 4A below (unless under clause 2A of the </w:t>
      </w:r>
      <w:hyperlink r:id="rId385" w:history="1">
        <w:r>
          <w:rPr>
            <w:rStyle w:val="Hyperlink"/>
            <w:i/>
          </w:rPr>
          <w:t>SME terms</w:t>
        </w:r>
      </w:hyperlink>
      <w:r>
        <w:rPr>
          <w:lang w:val="en-AU"/>
        </w:rPr>
        <w:t xml:space="preserve">, </w:t>
      </w:r>
      <w:r>
        <w:rPr>
          <w:i/>
          <w:lang w:val="en-AU"/>
        </w:rPr>
        <w:t>you</w:t>
      </w:r>
      <w:r>
        <w:rPr>
          <w:lang w:val="en-AU"/>
        </w:rPr>
        <w:t xml:space="preserve"> are entitled to </w:t>
      </w:r>
      <w:r>
        <w:rPr>
          <w:i/>
          <w:lang w:val="en-AU"/>
        </w:rPr>
        <w:t>cancel the service</w:t>
      </w:r>
      <w:r>
        <w:rPr>
          <w:lang w:val="en-AU"/>
        </w:rPr>
        <w:t xml:space="preserve"> without incurring a </w:t>
      </w:r>
      <w:r>
        <w:rPr>
          <w:i/>
          <w:lang w:val="en-AU"/>
        </w:rPr>
        <w:t>cancellation fee</w:t>
      </w:r>
      <w:r>
        <w:rPr>
          <w:lang w:val="en-AU"/>
        </w:rPr>
        <w:t>); plus</w:t>
      </w:r>
    </w:p>
    <w:p w14:paraId="464A8BA8" w14:textId="77777777" w:rsidR="000D07EA" w:rsidRDefault="00BE7C89">
      <w:pPr>
        <w:pStyle w:val="Heading8"/>
        <w:rPr>
          <w:lang w:val="en-AU"/>
        </w:rPr>
      </w:pPr>
      <w:r>
        <w:rPr>
          <w:lang w:val="en-AU"/>
        </w:rPr>
        <w:t xml:space="preserve">the sum of unpaid equipment charges owing on </w:t>
      </w:r>
      <w:r>
        <w:rPr>
          <w:i/>
          <w:lang w:val="en-AU"/>
        </w:rPr>
        <w:t>your</w:t>
      </w:r>
      <w:r>
        <w:rPr>
          <w:lang w:val="en-AU"/>
        </w:rPr>
        <w:t xml:space="preserve"> mobile phone under the </w:t>
      </w:r>
      <w:r>
        <w:rPr>
          <w:i/>
          <w:lang w:val="en-AU"/>
        </w:rPr>
        <w:t>mobile equipment payment plan</w:t>
      </w:r>
      <w:r>
        <w:rPr>
          <w:lang w:val="en-AU"/>
        </w:rPr>
        <w:t xml:space="preserve"> (if any).</w:t>
      </w:r>
    </w:p>
    <w:p w14:paraId="34DC814D" w14:textId="77777777" w:rsidR="000D07EA" w:rsidRDefault="00BE7C89">
      <w:pPr>
        <w:pStyle w:val="Heading7"/>
        <w:rPr>
          <w:lang w:val="en-AU"/>
        </w:rPr>
      </w:pPr>
      <w:r>
        <w:rPr>
          <w:lang w:val="en-AU"/>
        </w:rPr>
        <w:t xml:space="preserve">The </w:t>
      </w:r>
      <w:r>
        <w:rPr>
          <w:i/>
          <w:lang w:val="en-AU"/>
        </w:rPr>
        <w:t>cancellation fee</w:t>
      </w:r>
      <w:r>
        <w:rPr>
          <w:lang w:val="en-AU"/>
        </w:rPr>
        <w:t xml:space="preserve"> for a 24 month Contract is calculated as a fixed amount if the </w:t>
      </w:r>
      <w:r>
        <w:rPr>
          <w:i/>
          <w:lang w:val="en-AU"/>
        </w:rPr>
        <w:t>service</w:t>
      </w:r>
      <w:r>
        <w:rPr>
          <w:lang w:val="en-AU"/>
        </w:rPr>
        <w:t xml:space="preserve"> is cancelled during the first 12 months of the </w:t>
      </w:r>
      <w:r>
        <w:rPr>
          <w:i/>
          <w:lang w:val="en-AU"/>
        </w:rPr>
        <w:t>minimum term</w:t>
      </w:r>
      <w:r>
        <w:rPr>
          <w:lang w:val="en-AU"/>
        </w:rPr>
        <w:t xml:space="preserve"> and then a pro-rata reduction of that fee (indicated as a percentage in brackets in the first column of the table below) if the service is cancelled during the second year of the </w:t>
      </w:r>
      <w:r>
        <w:rPr>
          <w:i/>
          <w:lang w:val="en-AU"/>
        </w:rPr>
        <w:t>minimum term</w:t>
      </w:r>
      <w:r>
        <w:rPr>
          <w:lang w:val="en-AU"/>
        </w:rPr>
        <w:t>.</w:t>
      </w:r>
    </w:p>
    <w:p w14:paraId="0A593593" w14:textId="77777777" w:rsidR="000D07EA" w:rsidRDefault="00BE7C89">
      <w:pPr>
        <w:pStyle w:val="Heading7"/>
        <w:rPr>
          <w:i/>
          <w:lang w:val="en-AU" w:eastAsia="en-AU"/>
        </w:rPr>
      </w:pPr>
      <w:r>
        <w:rPr>
          <w:lang w:val="en-AU" w:eastAsia="en-AU"/>
        </w:rPr>
        <w:t xml:space="preserve">The </w:t>
      </w:r>
      <w:r>
        <w:rPr>
          <w:i/>
          <w:lang w:val="en-AU" w:eastAsia="en-AU"/>
        </w:rPr>
        <w:t>cancellation fee</w:t>
      </w:r>
      <w:r>
        <w:rPr>
          <w:lang w:val="en-AU" w:eastAsia="en-AU"/>
        </w:rPr>
        <w:t xml:space="preserve"> for a 12 month Contract is calculated as a fixed amount if the </w:t>
      </w:r>
      <w:r>
        <w:rPr>
          <w:i/>
          <w:lang w:val="en-AU" w:eastAsia="en-AU"/>
        </w:rPr>
        <w:t>service</w:t>
      </w:r>
      <w:r>
        <w:rPr>
          <w:lang w:val="en-AU" w:eastAsia="en-AU"/>
        </w:rPr>
        <w:t xml:space="preserve"> is cancelled during the first 6 months of the </w:t>
      </w:r>
      <w:r>
        <w:rPr>
          <w:i/>
          <w:lang w:val="en-AU" w:eastAsia="en-AU"/>
        </w:rPr>
        <w:t>minimum term</w:t>
      </w:r>
      <w:r>
        <w:rPr>
          <w:lang w:val="en-AU" w:eastAsia="en-AU"/>
        </w:rPr>
        <w:t xml:space="preserve"> and then a pro-rata reduction of that fee (indicated as a percentage in brackets in the first column of the table below) if the </w:t>
      </w:r>
      <w:r>
        <w:rPr>
          <w:i/>
          <w:u w:val="single"/>
          <w:lang w:val="en-AU" w:eastAsia="en-AU"/>
        </w:rPr>
        <w:t>service</w:t>
      </w:r>
      <w:r>
        <w:rPr>
          <w:lang w:val="en-AU" w:eastAsia="en-AU"/>
        </w:rPr>
        <w:t xml:space="preserve"> is cancelled during the last 6 months of the </w:t>
      </w:r>
      <w:r>
        <w:rPr>
          <w:i/>
          <w:lang w:val="en-AU" w:eastAsia="en-AU"/>
        </w:rPr>
        <w:t>minimum term.</w:t>
      </w:r>
    </w:p>
    <w:p w14:paraId="1B6910A3" w14:textId="77777777" w:rsidR="000D07EA" w:rsidRDefault="00BE7C89">
      <w:pPr>
        <w:pStyle w:val="BodyText"/>
        <w:ind w:left="720"/>
        <w:rPr>
          <w:b/>
          <w:lang w:val="en-AU"/>
        </w:rPr>
      </w:pPr>
      <w:r>
        <w:rPr>
          <w:b/>
          <w:lang w:val="en-AU"/>
        </w:rPr>
        <w:t>Table 4A Cancellation Fee</w:t>
      </w:r>
    </w:p>
    <w:tbl>
      <w:tblPr>
        <w:tblW w:w="4646" w:type="pct"/>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413"/>
        <w:gridCol w:w="2018"/>
        <w:gridCol w:w="2018"/>
        <w:gridCol w:w="2018"/>
      </w:tblGrid>
      <w:tr w:rsidR="000D07EA" w14:paraId="1C07B72A" w14:textId="77777777">
        <w:trPr>
          <w:tblHeader/>
        </w:trPr>
        <w:tc>
          <w:tcPr>
            <w:tcW w:w="1802" w:type="pct"/>
          </w:tcPr>
          <w:p w14:paraId="28AFF497" w14:textId="77777777" w:rsidR="000D07EA" w:rsidRDefault="00BE7C89">
            <w:pPr>
              <w:pStyle w:val="BodyText"/>
              <w:spacing w:before="100" w:after="100"/>
              <w:rPr>
                <w:b/>
                <w:lang w:val="en-AU"/>
              </w:rPr>
            </w:pPr>
            <w:r>
              <w:rPr>
                <w:b/>
                <w:lang w:val="en-AU"/>
              </w:rPr>
              <w:lastRenderedPageBreak/>
              <w:t xml:space="preserve">When the </w:t>
            </w:r>
            <w:r>
              <w:rPr>
                <w:b/>
                <w:i/>
                <w:lang w:val="en-AU"/>
              </w:rPr>
              <w:t>service</w:t>
            </w:r>
            <w:r>
              <w:rPr>
                <w:b/>
                <w:lang w:val="en-AU"/>
              </w:rPr>
              <w:t xml:space="preserve"> is </w:t>
            </w:r>
            <w:r>
              <w:rPr>
                <w:b/>
                <w:i/>
                <w:lang w:val="en-AU"/>
              </w:rPr>
              <w:t>cancelled</w:t>
            </w:r>
          </w:p>
        </w:tc>
        <w:tc>
          <w:tcPr>
            <w:tcW w:w="3198" w:type="pct"/>
            <w:gridSpan w:val="3"/>
          </w:tcPr>
          <w:p w14:paraId="01470140" w14:textId="77777777" w:rsidR="000D07EA" w:rsidRDefault="00BE7C89">
            <w:pPr>
              <w:pStyle w:val="BodyText"/>
              <w:spacing w:before="100" w:after="100"/>
              <w:jc w:val="center"/>
              <w:rPr>
                <w:b/>
                <w:i/>
                <w:lang w:val="en-AU" w:eastAsia="en-AU"/>
              </w:rPr>
            </w:pPr>
            <w:r>
              <w:rPr>
                <w:b/>
                <w:i/>
                <w:lang w:val="en-AU" w:eastAsia="en-AU"/>
              </w:rPr>
              <w:t>Cancellation Fee</w:t>
            </w:r>
          </w:p>
        </w:tc>
      </w:tr>
      <w:tr w:rsidR="000D07EA" w14:paraId="4FFA2F96" w14:textId="77777777">
        <w:trPr>
          <w:tblHeader/>
        </w:trPr>
        <w:tc>
          <w:tcPr>
            <w:tcW w:w="1802" w:type="pct"/>
          </w:tcPr>
          <w:p w14:paraId="6F0A819A" w14:textId="77777777" w:rsidR="000D07EA" w:rsidRDefault="000D07EA">
            <w:pPr>
              <w:pStyle w:val="BodyText"/>
              <w:spacing w:before="100" w:after="100"/>
              <w:rPr>
                <w:lang w:val="en-AU"/>
              </w:rPr>
            </w:pPr>
          </w:p>
        </w:tc>
        <w:tc>
          <w:tcPr>
            <w:tcW w:w="3198" w:type="pct"/>
            <w:gridSpan w:val="3"/>
          </w:tcPr>
          <w:p w14:paraId="011AD0E5" w14:textId="77777777" w:rsidR="000D07EA" w:rsidRDefault="00BE7C89">
            <w:pPr>
              <w:pStyle w:val="BodyText"/>
              <w:spacing w:before="100" w:after="100"/>
              <w:jc w:val="center"/>
              <w:rPr>
                <w:b/>
                <w:lang w:val="en-AU" w:eastAsia="en-AU"/>
              </w:rPr>
            </w:pPr>
            <w:r>
              <w:rPr>
                <w:b/>
                <w:lang w:val="en-AU" w:eastAsia="en-AU"/>
              </w:rPr>
              <w:t>Business Complete Plans</w:t>
            </w:r>
          </w:p>
          <w:p w14:paraId="7CCC9843" w14:textId="77777777" w:rsidR="000D07EA" w:rsidRDefault="00BE7C89">
            <w:pPr>
              <w:pStyle w:val="BodyText"/>
              <w:spacing w:before="100" w:after="100"/>
              <w:jc w:val="center"/>
              <w:rPr>
                <w:b/>
                <w:lang w:val="en-AU" w:eastAsia="en-AU"/>
              </w:rPr>
            </w:pPr>
            <w:r>
              <w:rPr>
                <w:b/>
                <w:lang w:val="en-AU" w:eastAsia="en-AU"/>
              </w:rPr>
              <w:t>12 Month Contract</w:t>
            </w:r>
          </w:p>
        </w:tc>
      </w:tr>
      <w:tr w:rsidR="000D07EA" w14:paraId="26151330" w14:textId="77777777">
        <w:trPr>
          <w:tblHeader/>
        </w:trPr>
        <w:tc>
          <w:tcPr>
            <w:tcW w:w="1802" w:type="pct"/>
          </w:tcPr>
          <w:p w14:paraId="4C006C6D" w14:textId="77777777" w:rsidR="000D07EA" w:rsidRDefault="000D07EA">
            <w:pPr>
              <w:pStyle w:val="BodyText"/>
              <w:spacing w:before="100" w:after="100"/>
              <w:rPr>
                <w:szCs w:val="20"/>
                <w:lang w:val="en-AU"/>
              </w:rPr>
            </w:pPr>
          </w:p>
        </w:tc>
        <w:tc>
          <w:tcPr>
            <w:tcW w:w="1066" w:type="pct"/>
          </w:tcPr>
          <w:p w14:paraId="474C70C2" w14:textId="77777777" w:rsidR="000D07EA" w:rsidRDefault="00BE7C89">
            <w:pPr>
              <w:pStyle w:val="BodyText"/>
              <w:spacing w:before="100" w:after="100"/>
              <w:jc w:val="center"/>
              <w:rPr>
                <w:b/>
                <w:bCs/>
                <w:lang w:val="en-AU" w:eastAsia="en-AU"/>
              </w:rPr>
            </w:pPr>
            <w:r>
              <w:rPr>
                <w:b/>
                <w:bCs/>
                <w:lang w:val="en-AU" w:eastAsia="en-AU"/>
              </w:rPr>
              <w:t xml:space="preserve">$49 </w:t>
            </w:r>
            <w:r>
              <w:rPr>
                <w:b/>
                <w:szCs w:val="20"/>
                <w:lang w:val="en-AU"/>
              </w:rPr>
              <w:t>Business Complete (Nov-11 - Premium H/set)</w:t>
            </w:r>
          </w:p>
        </w:tc>
        <w:tc>
          <w:tcPr>
            <w:tcW w:w="1066" w:type="pct"/>
          </w:tcPr>
          <w:p w14:paraId="5A8E902D" w14:textId="77777777" w:rsidR="000D07EA" w:rsidRDefault="00BE7C89">
            <w:pPr>
              <w:pStyle w:val="BodyText"/>
              <w:spacing w:before="100" w:after="100"/>
              <w:jc w:val="center"/>
              <w:rPr>
                <w:b/>
                <w:bCs/>
                <w:lang w:val="en-AU" w:eastAsia="en-AU"/>
              </w:rPr>
            </w:pPr>
            <w:r>
              <w:rPr>
                <w:b/>
                <w:bCs/>
                <w:lang w:val="en-AU" w:eastAsia="en-AU"/>
              </w:rPr>
              <w:t xml:space="preserve">$59 </w:t>
            </w:r>
            <w:r>
              <w:rPr>
                <w:b/>
                <w:szCs w:val="20"/>
                <w:lang w:val="en-AU"/>
              </w:rPr>
              <w:t>Business Complete (Nov-11 - Premium H/set)</w:t>
            </w:r>
          </w:p>
        </w:tc>
        <w:tc>
          <w:tcPr>
            <w:tcW w:w="1067" w:type="pct"/>
          </w:tcPr>
          <w:p w14:paraId="2A3DF60D" w14:textId="77777777" w:rsidR="000D07EA" w:rsidRDefault="00BE7C89">
            <w:pPr>
              <w:pStyle w:val="BodyText"/>
              <w:spacing w:before="100" w:after="100"/>
              <w:jc w:val="center"/>
              <w:rPr>
                <w:b/>
                <w:bCs/>
                <w:lang w:val="en-AU" w:eastAsia="en-AU"/>
              </w:rPr>
            </w:pPr>
            <w:r>
              <w:rPr>
                <w:b/>
                <w:bCs/>
                <w:lang w:val="en-AU" w:eastAsia="en-AU"/>
              </w:rPr>
              <w:t xml:space="preserve">$79 </w:t>
            </w:r>
            <w:r>
              <w:rPr>
                <w:b/>
                <w:szCs w:val="20"/>
                <w:lang w:val="en-AU"/>
              </w:rPr>
              <w:t>Business Complete (Nov-11 - Premium H/set)</w:t>
            </w:r>
          </w:p>
        </w:tc>
      </w:tr>
      <w:tr w:rsidR="000D07EA" w14:paraId="6B749195" w14:textId="77777777">
        <w:tc>
          <w:tcPr>
            <w:tcW w:w="1802" w:type="pct"/>
          </w:tcPr>
          <w:p w14:paraId="118DD056" w14:textId="77777777" w:rsidR="000D07EA" w:rsidRDefault="00BE7C89">
            <w:pPr>
              <w:pStyle w:val="BodyText"/>
              <w:spacing w:before="100" w:after="100"/>
              <w:rPr>
                <w:b/>
                <w:szCs w:val="20"/>
                <w:lang w:val="en-AU"/>
              </w:rPr>
            </w:pPr>
            <w:r>
              <w:rPr>
                <w:b/>
                <w:szCs w:val="20"/>
                <w:lang w:val="en-AU"/>
              </w:rPr>
              <w:t xml:space="preserve">During the first 6 months – Initial </w:t>
            </w:r>
            <w:r>
              <w:rPr>
                <w:b/>
                <w:i/>
                <w:szCs w:val="20"/>
                <w:lang w:val="en-AU"/>
              </w:rPr>
              <w:t>cancellation</w:t>
            </w:r>
            <w:r>
              <w:rPr>
                <w:b/>
                <w:szCs w:val="20"/>
                <w:lang w:val="en-AU"/>
              </w:rPr>
              <w:t xml:space="preserve"> </w:t>
            </w:r>
            <w:r>
              <w:rPr>
                <w:b/>
                <w:i/>
                <w:szCs w:val="20"/>
                <w:lang w:val="en-AU"/>
              </w:rPr>
              <w:t>fee</w:t>
            </w:r>
          </w:p>
        </w:tc>
        <w:tc>
          <w:tcPr>
            <w:tcW w:w="1066" w:type="pct"/>
          </w:tcPr>
          <w:p w14:paraId="087E3A0E" w14:textId="77777777" w:rsidR="000D07EA" w:rsidRDefault="00BE7C89">
            <w:pPr>
              <w:pStyle w:val="BodyText"/>
              <w:spacing w:before="100" w:after="100"/>
              <w:jc w:val="center"/>
              <w:rPr>
                <w:color w:val="000000"/>
                <w:lang w:val="en-AU"/>
              </w:rPr>
            </w:pPr>
            <w:r>
              <w:rPr>
                <w:lang w:val="en-AU"/>
              </w:rPr>
              <w:t>$825</w:t>
            </w:r>
          </w:p>
        </w:tc>
        <w:tc>
          <w:tcPr>
            <w:tcW w:w="1066" w:type="pct"/>
          </w:tcPr>
          <w:p w14:paraId="6D85D126" w14:textId="77777777" w:rsidR="000D07EA" w:rsidRDefault="00BE7C89">
            <w:pPr>
              <w:pStyle w:val="BodyText"/>
              <w:spacing w:before="100" w:after="100"/>
              <w:jc w:val="center"/>
              <w:rPr>
                <w:color w:val="000000"/>
                <w:lang w:val="en-AU"/>
              </w:rPr>
            </w:pPr>
            <w:r>
              <w:rPr>
                <w:lang w:val="en-AU"/>
              </w:rPr>
              <w:t>$835</w:t>
            </w:r>
          </w:p>
        </w:tc>
        <w:tc>
          <w:tcPr>
            <w:tcW w:w="1067" w:type="pct"/>
          </w:tcPr>
          <w:p w14:paraId="41B58322" w14:textId="77777777" w:rsidR="000D07EA" w:rsidRDefault="00BE7C89">
            <w:pPr>
              <w:pStyle w:val="BodyText"/>
              <w:spacing w:before="100" w:after="100"/>
              <w:jc w:val="center"/>
              <w:rPr>
                <w:color w:val="000000"/>
                <w:lang w:val="en-AU"/>
              </w:rPr>
            </w:pPr>
            <w:r>
              <w:rPr>
                <w:lang w:val="en-AU"/>
              </w:rPr>
              <w:t>$840</w:t>
            </w:r>
          </w:p>
        </w:tc>
      </w:tr>
      <w:tr w:rsidR="000D07EA" w14:paraId="3EE94330" w14:textId="77777777">
        <w:tc>
          <w:tcPr>
            <w:tcW w:w="1802" w:type="pct"/>
          </w:tcPr>
          <w:p w14:paraId="7201DFFC" w14:textId="77777777" w:rsidR="000D07EA" w:rsidRDefault="00BE7C89">
            <w:pPr>
              <w:pStyle w:val="BodyText"/>
              <w:spacing w:before="100" w:after="100"/>
              <w:rPr>
                <w:b/>
                <w:szCs w:val="20"/>
                <w:lang w:val="en-AU"/>
              </w:rPr>
            </w:pPr>
            <w:r>
              <w:rPr>
                <w:b/>
                <w:szCs w:val="20"/>
                <w:lang w:val="en-AU"/>
              </w:rPr>
              <w:t xml:space="preserve">Months 7 - 9 (70% of Initial </w:t>
            </w:r>
            <w:r>
              <w:rPr>
                <w:b/>
                <w:i/>
                <w:szCs w:val="20"/>
                <w:lang w:val="en-AU"/>
              </w:rPr>
              <w:t>cancellation</w:t>
            </w:r>
            <w:r>
              <w:rPr>
                <w:b/>
                <w:szCs w:val="20"/>
                <w:lang w:val="en-AU"/>
              </w:rPr>
              <w:t xml:space="preserve"> </w:t>
            </w:r>
            <w:r>
              <w:rPr>
                <w:b/>
                <w:i/>
                <w:szCs w:val="20"/>
                <w:lang w:val="en-AU"/>
              </w:rPr>
              <w:t>fee</w:t>
            </w:r>
            <w:r>
              <w:rPr>
                <w:b/>
                <w:szCs w:val="20"/>
                <w:lang w:val="en-AU"/>
              </w:rPr>
              <w:t>)</w:t>
            </w:r>
          </w:p>
        </w:tc>
        <w:tc>
          <w:tcPr>
            <w:tcW w:w="1066" w:type="pct"/>
          </w:tcPr>
          <w:p w14:paraId="4CFAC540" w14:textId="77777777" w:rsidR="000D07EA" w:rsidRDefault="00BE7C89">
            <w:pPr>
              <w:pStyle w:val="BodyText"/>
              <w:spacing w:before="100" w:after="100"/>
              <w:jc w:val="center"/>
              <w:rPr>
                <w:color w:val="000000"/>
                <w:lang w:val="en-AU" w:eastAsia="en-AU"/>
              </w:rPr>
            </w:pPr>
            <w:r>
              <w:rPr>
                <w:color w:val="000000"/>
                <w:lang w:val="en-AU" w:eastAsia="en-AU"/>
              </w:rPr>
              <w:t>$577.50</w:t>
            </w:r>
          </w:p>
        </w:tc>
        <w:tc>
          <w:tcPr>
            <w:tcW w:w="1066" w:type="pct"/>
          </w:tcPr>
          <w:p w14:paraId="4B6E0815" w14:textId="77777777" w:rsidR="000D07EA" w:rsidRDefault="00BE7C89">
            <w:pPr>
              <w:pStyle w:val="BodyText"/>
              <w:spacing w:before="100" w:after="100"/>
              <w:jc w:val="center"/>
              <w:rPr>
                <w:color w:val="000000"/>
                <w:lang w:val="en-AU" w:eastAsia="en-AU"/>
              </w:rPr>
            </w:pPr>
            <w:r>
              <w:rPr>
                <w:color w:val="000000"/>
                <w:lang w:val="en-AU" w:eastAsia="en-AU"/>
              </w:rPr>
              <w:t>$584.50</w:t>
            </w:r>
          </w:p>
        </w:tc>
        <w:tc>
          <w:tcPr>
            <w:tcW w:w="1067" w:type="pct"/>
          </w:tcPr>
          <w:p w14:paraId="5738F3AE" w14:textId="77777777" w:rsidR="000D07EA" w:rsidRDefault="00BE7C89">
            <w:pPr>
              <w:pStyle w:val="BodyText"/>
              <w:spacing w:before="100" w:after="100"/>
              <w:jc w:val="center"/>
              <w:rPr>
                <w:color w:val="000000"/>
                <w:lang w:val="en-AU" w:eastAsia="en-AU"/>
              </w:rPr>
            </w:pPr>
            <w:r>
              <w:rPr>
                <w:color w:val="000000"/>
                <w:lang w:val="en-AU" w:eastAsia="en-AU"/>
              </w:rPr>
              <w:t>$588</w:t>
            </w:r>
          </w:p>
        </w:tc>
      </w:tr>
      <w:tr w:rsidR="000D07EA" w14:paraId="2C01879B" w14:textId="77777777">
        <w:tc>
          <w:tcPr>
            <w:tcW w:w="1802" w:type="pct"/>
          </w:tcPr>
          <w:p w14:paraId="15C34E46" w14:textId="77777777" w:rsidR="000D07EA" w:rsidRDefault="00BE7C89">
            <w:pPr>
              <w:pStyle w:val="BodyText"/>
              <w:spacing w:before="100" w:after="100"/>
              <w:rPr>
                <w:b/>
                <w:szCs w:val="20"/>
              </w:rPr>
            </w:pPr>
            <w:r>
              <w:rPr>
                <w:b/>
                <w:szCs w:val="20"/>
                <w:lang w:val="en-AU"/>
              </w:rPr>
              <w:t xml:space="preserve">Months 10 – 12 (40% of the Initial </w:t>
            </w:r>
            <w:r>
              <w:rPr>
                <w:b/>
                <w:i/>
                <w:szCs w:val="20"/>
                <w:lang w:val="en-AU"/>
              </w:rPr>
              <w:t>cancellation</w:t>
            </w:r>
            <w:r>
              <w:rPr>
                <w:b/>
                <w:szCs w:val="20"/>
                <w:lang w:val="en-AU"/>
              </w:rPr>
              <w:t xml:space="preserve"> </w:t>
            </w:r>
            <w:r>
              <w:rPr>
                <w:b/>
                <w:i/>
                <w:szCs w:val="20"/>
                <w:lang w:val="en-AU"/>
              </w:rPr>
              <w:t>fee</w:t>
            </w:r>
            <w:r>
              <w:rPr>
                <w:b/>
                <w:szCs w:val="20"/>
                <w:lang w:val="en-AU"/>
              </w:rPr>
              <w:t>)</w:t>
            </w:r>
          </w:p>
        </w:tc>
        <w:tc>
          <w:tcPr>
            <w:tcW w:w="1066" w:type="pct"/>
          </w:tcPr>
          <w:p w14:paraId="009E9200" w14:textId="77777777" w:rsidR="000D07EA" w:rsidRDefault="00BE7C89">
            <w:pPr>
              <w:pStyle w:val="BodyText"/>
              <w:spacing w:before="100" w:after="100"/>
              <w:jc w:val="center"/>
              <w:rPr>
                <w:color w:val="000000"/>
                <w:lang w:val="en-AU" w:eastAsia="en-AU"/>
              </w:rPr>
            </w:pPr>
            <w:r>
              <w:rPr>
                <w:color w:val="000000"/>
                <w:lang w:val="en-AU" w:eastAsia="en-AU"/>
              </w:rPr>
              <w:t>$330</w:t>
            </w:r>
          </w:p>
        </w:tc>
        <w:tc>
          <w:tcPr>
            <w:tcW w:w="1066" w:type="pct"/>
          </w:tcPr>
          <w:p w14:paraId="5E53B0D0" w14:textId="77777777" w:rsidR="000D07EA" w:rsidRDefault="00BE7C89">
            <w:pPr>
              <w:pStyle w:val="BodyText"/>
              <w:spacing w:before="100" w:after="100"/>
              <w:jc w:val="center"/>
              <w:rPr>
                <w:color w:val="000000"/>
                <w:lang w:val="en-AU" w:eastAsia="en-AU"/>
              </w:rPr>
            </w:pPr>
            <w:r>
              <w:rPr>
                <w:color w:val="000000"/>
                <w:lang w:val="en-AU" w:eastAsia="en-AU"/>
              </w:rPr>
              <w:t>$334</w:t>
            </w:r>
          </w:p>
        </w:tc>
        <w:tc>
          <w:tcPr>
            <w:tcW w:w="1067" w:type="pct"/>
          </w:tcPr>
          <w:p w14:paraId="4BB2F8D9" w14:textId="77777777" w:rsidR="000D07EA" w:rsidRDefault="00BE7C89">
            <w:pPr>
              <w:pStyle w:val="BodyText"/>
              <w:spacing w:before="100" w:after="100"/>
              <w:jc w:val="center"/>
              <w:rPr>
                <w:color w:val="000000"/>
                <w:lang w:val="en-AU" w:eastAsia="en-AU"/>
              </w:rPr>
            </w:pPr>
            <w:r>
              <w:rPr>
                <w:color w:val="000000"/>
                <w:lang w:val="en-AU" w:eastAsia="en-AU"/>
              </w:rPr>
              <w:t>$336</w:t>
            </w:r>
          </w:p>
        </w:tc>
      </w:tr>
    </w:tbl>
    <w:p w14:paraId="51BC18EE" w14:textId="77777777" w:rsidR="000D07EA" w:rsidRDefault="000D07EA">
      <w:pPr>
        <w:pStyle w:val="BodyText"/>
        <w:rPr>
          <w:lang w:val="en-AU"/>
        </w:rPr>
      </w:pP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435"/>
        <w:gridCol w:w="2008"/>
        <w:gridCol w:w="2010"/>
        <w:gridCol w:w="2008"/>
      </w:tblGrid>
      <w:tr w:rsidR="000D07EA" w14:paraId="49C38683" w14:textId="77777777">
        <w:tc>
          <w:tcPr>
            <w:tcW w:w="1816" w:type="pct"/>
          </w:tcPr>
          <w:p w14:paraId="38153136" w14:textId="77777777" w:rsidR="000D07EA" w:rsidRDefault="00BE7C89">
            <w:pPr>
              <w:pStyle w:val="BodyText"/>
              <w:spacing w:before="100" w:after="100"/>
              <w:rPr>
                <w:b/>
                <w:lang w:val="en-AU"/>
              </w:rPr>
            </w:pPr>
            <w:r>
              <w:rPr>
                <w:b/>
                <w:lang w:val="en-AU"/>
              </w:rPr>
              <w:t>When the service is cancelled</w:t>
            </w:r>
          </w:p>
        </w:tc>
        <w:tc>
          <w:tcPr>
            <w:tcW w:w="3184" w:type="pct"/>
            <w:gridSpan w:val="3"/>
            <w:vAlign w:val="center"/>
          </w:tcPr>
          <w:p w14:paraId="200DBAC9" w14:textId="77777777" w:rsidR="000D07EA" w:rsidRDefault="00BE7C89">
            <w:pPr>
              <w:pStyle w:val="BodyText"/>
              <w:spacing w:before="100" w:after="100"/>
              <w:jc w:val="center"/>
              <w:rPr>
                <w:b/>
                <w:i/>
                <w:lang w:val="en-AU" w:eastAsia="en-AU"/>
              </w:rPr>
            </w:pPr>
            <w:r>
              <w:rPr>
                <w:b/>
                <w:i/>
                <w:lang w:val="en-AU" w:eastAsia="en-AU"/>
              </w:rPr>
              <w:t>Cancellation Fee</w:t>
            </w:r>
          </w:p>
        </w:tc>
      </w:tr>
      <w:tr w:rsidR="000D07EA" w14:paraId="6EE944C6" w14:textId="77777777">
        <w:tc>
          <w:tcPr>
            <w:tcW w:w="1816" w:type="pct"/>
          </w:tcPr>
          <w:p w14:paraId="6D0C3318" w14:textId="77777777" w:rsidR="000D07EA" w:rsidRDefault="000D07EA">
            <w:pPr>
              <w:pStyle w:val="BodyText"/>
              <w:spacing w:before="100" w:after="100"/>
              <w:rPr>
                <w:b/>
                <w:lang w:val="en-AU"/>
              </w:rPr>
            </w:pPr>
          </w:p>
        </w:tc>
        <w:tc>
          <w:tcPr>
            <w:tcW w:w="3184" w:type="pct"/>
            <w:gridSpan w:val="3"/>
          </w:tcPr>
          <w:p w14:paraId="081101F4" w14:textId="77777777" w:rsidR="000D07EA" w:rsidRDefault="00BE7C89">
            <w:pPr>
              <w:pStyle w:val="BodyText"/>
              <w:spacing w:before="100" w:after="100"/>
              <w:jc w:val="center"/>
              <w:rPr>
                <w:b/>
                <w:lang w:val="en-AU" w:eastAsia="en-AU"/>
              </w:rPr>
            </w:pPr>
            <w:r>
              <w:rPr>
                <w:b/>
                <w:lang w:val="en-AU" w:eastAsia="en-AU"/>
              </w:rPr>
              <w:t>Business Complete Plans</w:t>
            </w:r>
          </w:p>
          <w:p w14:paraId="0F84A637" w14:textId="77777777" w:rsidR="000D07EA" w:rsidRDefault="00BE7C89">
            <w:pPr>
              <w:pStyle w:val="BodyText"/>
              <w:spacing w:before="100" w:after="100"/>
              <w:jc w:val="center"/>
              <w:rPr>
                <w:b/>
                <w:lang w:val="en-AU" w:eastAsia="en-AU"/>
              </w:rPr>
            </w:pPr>
            <w:r>
              <w:rPr>
                <w:b/>
                <w:lang w:val="en-AU" w:eastAsia="en-AU"/>
              </w:rPr>
              <w:t>24 Month Contract</w:t>
            </w:r>
          </w:p>
        </w:tc>
      </w:tr>
      <w:tr w:rsidR="000D07EA" w14:paraId="44147EF5" w14:textId="77777777">
        <w:tc>
          <w:tcPr>
            <w:tcW w:w="1816" w:type="pct"/>
          </w:tcPr>
          <w:p w14:paraId="060053FF" w14:textId="77777777" w:rsidR="000D07EA" w:rsidRDefault="000D07EA">
            <w:pPr>
              <w:pStyle w:val="BodyText"/>
              <w:spacing w:before="100" w:after="100"/>
              <w:rPr>
                <w:szCs w:val="20"/>
                <w:lang w:val="en-AU"/>
              </w:rPr>
            </w:pPr>
          </w:p>
        </w:tc>
        <w:tc>
          <w:tcPr>
            <w:tcW w:w="1061" w:type="pct"/>
          </w:tcPr>
          <w:p w14:paraId="55A31F0C" w14:textId="77777777" w:rsidR="000D07EA" w:rsidRDefault="00BE7C89">
            <w:pPr>
              <w:pStyle w:val="BodyText"/>
              <w:spacing w:before="100" w:after="100"/>
              <w:jc w:val="center"/>
              <w:rPr>
                <w:b/>
                <w:bCs/>
                <w:lang w:val="en-AU" w:eastAsia="en-AU"/>
              </w:rPr>
            </w:pPr>
            <w:r>
              <w:rPr>
                <w:b/>
                <w:bCs/>
                <w:lang w:val="en-AU" w:eastAsia="en-AU"/>
              </w:rPr>
              <w:t xml:space="preserve">$49 </w:t>
            </w:r>
            <w:r>
              <w:rPr>
                <w:b/>
                <w:szCs w:val="20"/>
                <w:lang w:val="en-AU"/>
              </w:rPr>
              <w:t>Business Complete (Nov-11 - Premium H/set)</w:t>
            </w:r>
          </w:p>
        </w:tc>
        <w:tc>
          <w:tcPr>
            <w:tcW w:w="1062" w:type="pct"/>
          </w:tcPr>
          <w:p w14:paraId="6DEAFF26" w14:textId="77777777" w:rsidR="000D07EA" w:rsidRDefault="00BE7C89">
            <w:pPr>
              <w:pStyle w:val="BodyText"/>
              <w:spacing w:before="100" w:after="100"/>
              <w:jc w:val="center"/>
              <w:rPr>
                <w:b/>
                <w:bCs/>
                <w:lang w:val="en-AU" w:eastAsia="en-AU"/>
              </w:rPr>
            </w:pPr>
            <w:r>
              <w:rPr>
                <w:b/>
                <w:bCs/>
                <w:lang w:val="en-AU" w:eastAsia="en-AU"/>
              </w:rPr>
              <w:t xml:space="preserve">$59 </w:t>
            </w:r>
            <w:r>
              <w:rPr>
                <w:b/>
                <w:szCs w:val="20"/>
                <w:lang w:val="en-AU"/>
              </w:rPr>
              <w:t>Business Complete (Nov-11 - Premium H/set)</w:t>
            </w:r>
          </w:p>
        </w:tc>
        <w:tc>
          <w:tcPr>
            <w:tcW w:w="1062" w:type="pct"/>
          </w:tcPr>
          <w:p w14:paraId="6B4B554E" w14:textId="77777777" w:rsidR="000D07EA" w:rsidRDefault="00BE7C89">
            <w:pPr>
              <w:pStyle w:val="BodyText"/>
              <w:spacing w:before="100" w:after="100"/>
              <w:jc w:val="center"/>
              <w:rPr>
                <w:b/>
                <w:bCs/>
                <w:lang w:val="en-AU" w:eastAsia="en-AU"/>
              </w:rPr>
            </w:pPr>
            <w:r>
              <w:rPr>
                <w:b/>
                <w:bCs/>
                <w:lang w:val="en-AU" w:eastAsia="en-AU"/>
              </w:rPr>
              <w:t xml:space="preserve">$79 </w:t>
            </w:r>
            <w:r>
              <w:rPr>
                <w:b/>
                <w:szCs w:val="20"/>
                <w:lang w:val="en-AU"/>
              </w:rPr>
              <w:t>Business Complete (Nov-11 - Premium H/set)</w:t>
            </w:r>
          </w:p>
        </w:tc>
      </w:tr>
      <w:tr w:rsidR="000D07EA" w14:paraId="58A6F034" w14:textId="77777777">
        <w:tc>
          <w:tcPr>
            <w:tcW w:w="1816" w:type="pct"/>
          </w:tcPr>
          <w:p w14:paraId="61574CF3" w14:textId="77777777" w:rsidR="000D07EA" w:rsidRDefault="00BE7C89">
            <w:pPr>
              <w:pStyle w:val="BodyText"/>
              <w:spacing w:before="100" w:after="100"/>
              <w:rPr>
                <w:b/>
                <w:szCs w:val="20"/>
              </w:rPr>
            </w:pPr>
            <w:r>
              <w:rPr>
                <w:b/>
                <w:szCs w:val="20"/>
                <w:lang w:val="en-AU"/>
              </w:rPr>
              <w:t xml:space="preserve">During the first 12 months - Initial </w:t>
            </w:r>
            <w:r>
              <w:rPr>
                <w:b/>
                <w:i/>
                <w:szCs w:val="20"/>
                <w:lang w:val="en-AU"/>
              </w:rPr>
              <w:t>cancellation</w:t>
            </w:r>
            <w:r>
              <w:rPr>
                <w:b/>
                <w:szCs w:val="20"/>
                <w:lang w:val="en-AU"/>
              </w:rPr>
              <w:t xml:space="preserve"> </w:t>
            </w:r>
            <w:r>
              <w:rPr>
                <w:b/>
                <w:i/>
                <w:szCs w:val="20"/>
                <w:lang w:val="en-AU"/>
              </w:rPr>
              <w:t>fee</w:t>
            </w:r>
          </w:p>
        </w:tc>
        <w:tc>
          <w:tcPr>
            <w:tcW w:w="1061" w:type="pct"/>
          </w:tcPr>
          <w:p w14:paraId="6D2FFF36" w14:textId="77777777" w:rsidR="000D07EA" w:rsidRDefault="00BE7C89">
            <w:pPr>
              <w:pStyle w:val="BodyText"/>
              <w:spacing w:before="100" w:after="100"/>
              <w:jc w:val="center"/>
              <w:rPr>
                <w:color w:val="000000"/>
                <w:lang w:val="en-AU"/>
              </w:rPr>
            </w:pPr>
            <w:r>
              <w:rPr>
                <w:lang w:val="en-AU"/>
              </w:rPr>
              <w:t>$1,150</w:t>
            </w:r>
          </w:p>
        </w:tc>
        <w:tc>
          <w:tcPr>
            <w:tcW w:w="1062" w:type="pct"/>
          </w:tcPr>
          <w:p w14:paraId="655E9AE6" w14:textId="77777777" w:rsidR="000D07EA" w:rsidRDefault="00BE7C89">
            <w:pPr>
              <w:pStyle w:val="BodyText"/>
              <w:spacing w:before="100" w:after="100"/>
              <w:jc w:val="center"/>
              <w:rPr>
                <w:color w:val="000000"/>
                <w:lang w:val="en-AU"/>
              </w:rPr>
            </w:pPr>
            <w:r>
              <w:rPr>
                <w:lang w:val="en-AU"/>
              </w:rPr>
              <w:t>$1,155</w:t>
            </w:r>
          </w:p>
        </w:tc>
        <w:tc>
          <w:tcPr>
            <w:tcW w:w="1062" w:type="pct"/>
          </w:tcPr>
          <w:p w14:paraId="79695320" w14:textId="77777777" w:rsidR="000D07EA" w:rsidRDefault="00BE7C89">
            <w:pPr>
              <w:pStyle w:val="BodyText"/>
              <w:spacing w:before="100" w:after="100"/>
              <w:jc w:val="center"/>
              <w:rPr>
                <w:color w:val="000000"/>
                <w:lang w:val="en-AU"/>
              </w:rPr>
            </w:pPr>
            <w:r>
              <w:rPr>
                <w:lang w:val="en-AU"/>
              </w:rPr>
              <w:t>$1,170</w:t>
            </w:r>
          </w:p>
        </w:tc>
      </w:tr>
      <w:tr w:rsidR="000D07EA" w14:paraId="045E2D6B" w14:textId="77777777">
        <w:tc>
          <w:tcPr>
            <w:tcW w:w="1816" w:type="pct"/>
          </w:tcPr>
          <w:p w14:paraId="1759E537" w14:textId="77777777" w:rsidR="000D07EA" w:rsidRDefault="00BE7C89">
            <w:pPr>
              <w:pStyle w:val="BodyText"/>
              <w:spacing w:before="100" w:after="100"/>
              <w:rPr>
                <w:b/>
                <w:szCs w:val="20"/>
                <w:lang w:val="en-AU"/>
              </w:rPr>
            </w:pPr>
            <w:r>
              <w:rPr>
                <w:b/>
                <w:szCs w:val="20"/>
                <w:lang w:val="en-AU"/>
              </w:rPr>
              <w:t xml:space="preserve">Months 13 – 15 (80% of Initial </w:t>
            </w:r>
            <w:r>
              <w:rPr>
                <w:b/>
                <w:i/>
                <w:szCs w:val="20"/>
                <w:lang w:val="en-AU"/>
              </w:rPr>
              <w:t>cancellation</w:t>
            </w:r>
            <w:r>
              <w:rPr>
                <w:b/>
                <w:szCs w:val="20"/>
                <w:lang w:val="en-AU"/>
              </w:rPr>
              <w:t xml:space="preserve"> </w:t>
            </w:r>
            <w:r>
              <w:rPr>
                <w:b/>
                <w:i/>
                <w:szCs w:val="20"/>
                <w:lang w:val="en-AU"/>
              </w:rPr>
              <w:t>fee</w:t>
            </w:r>
            <w:r>
              <w:rPr>
                <w:b/>
                <w:szCs w:val="20"/>
                <w:lang w:val="en-AU"/>
              </w:rPr>
              <w:t>)</w:t>
            </w:r>
          </w:p>
        </w:tc>
        <w:tc>
          <w:tcPr>
            <w:tcW w:w="1061" w:type="pct"/>
          </w:tcPr>
          <w:p w14:paraId="6EBB3F27" w14:textId="77777777" w:rsidR="000D07EA" w:rsidRDefault="00BE7C89">
            <w:pPr>
              <w:pStyle w:val="BodyText"/>
              <w:spacing w:before="100" w:after="100"/>
              <w:jc w:val="center"/>
              <w:rPr>
                <w:color w:val="000000"/>
                <w:lang w:val="en-AU" w:eastAsia="en-AU"/>
              </w:rPr>
            </w:pPr>
            <w:r>
              <w:rPr>
                <w:color w:val="000000"/>
                <w:lang w:val="en-AU" w:eastAsia="en-AU"/>
              </w:rPr>
              <w:t>$920</w:t>
            </w:r>
          </w:p>
        </w:tc>
        <w:tc>
          <w:tcPr>
            <w:tcW w:w="1062" w:type="pct"/>
          </w:tcPr>
          <w:p w14:paraId="2072A2A5" w14:textId="77777777" w:rsidR="000D07EA" w:rsidRDefault="00BE7C89">
            <w:pPr>
              <w:pStyle w:val="BodyText"/>
              <w:spacing w:before="100" w:after="100"/>
              <w:jc w:val="center"/>
              <w:rPr>
                <w:color w:val="000000"/>
                <w:lang w:val="en-AU" w:eastAsia="en-AU"/>
              </w:rPr>
            </w:pPr>
            <w:r>
              <w:rPr>
                <w:color w:val="000000"/>
                <w:lang w:val="en-AU" w:eastAsia="en-AU"/>
              </w:rPr>
              <w:t>$924</w:t>
            </w:r>
          </w:p>
        </w:tc>
        <w:tc>
          <w:tcPr>
            <w:tcW w:w="1062" w:type="pct"/>
          </w:tcPr>
          <w:p w14:paraId="68D667EF" w14:textId="77777777" w:rsidR="000D07EA" w:rsidRDefault="00BE7C89">
            <w:pPr>
              <w:pStyle w:val="BodyText"/>
              <w:spacing w:before="100" w:after="100"/>
              <w:jc w:val="center"/>
              <w:rPr>
                <w:color w:val="000000"/>
                <w:lang w:val="en-AU" w:eastAsia="en-AU"/>
              </w:rPr>
            </w:pPr>
            <w:r>
              <w:rPr>
                <w:color w:val="000000"/>
                <w:lang w:val="en-AU" w:eastAsia="en-AU"/>
              </w:rPr>
              <w:t>$936</w:t>
            </w:r>
          </w:p>
        </w:tc>
      </w:tr>
      <w:tr w:rsidR="000D07EA" w14:paraId="0A8BB4BC" w14:textId="77777777">
        <w:tc>
          <w:tcPr>
            <w:tcW w:w="1816" w:type="pct"/>
          </w:tcPr>
          <w:p w14:paraId="2C01236F" w14:textId="77777777" w:rsidR="000D07EA" w:rsidRDefault="00BE7C89">
            <w:pPr>
              <w:pStyle w:val="BodyText"/>
              <w:spacing w:before="100" w:after="100"/>
              <w:rPr>
                <w:b/>
                <w:szCs w:val="20"/>
              </w:rPr>
            </w:pPr>
            <w:r>
              <w:rPr>
                <w:b/>
                <w:szCs w:val="20"/>
                <w:lang w:val="en-AU"/>
              </w:rPr>
              <w:t xml:space="preserve">Months 16 – 18 (60% of the Initial </w:t>
            </w:r>
            <w:r>
              <w:rPr>
                <w:b/>
                <w:i/>
                <w:szCs w:val="20"/>
                <w:lang w:val="en-AU"/>
              </w:rPr>
              <w:t>cancellation</w:t>
            </w:r>
            <w:r>
              <w:rPr>
                <w:b/>
                <w:szCs w:val="20"/>
                <w:lang w:val="en-AU"/>
              </w:rPr>
              <w:t xml:space="preserve"> </w:t>
            </w:r>
            <w:r>
              <w:rPr>
                <w:b/>
                <w:i/>
                <w:szCs w:val="20"/>
                <w:lang w:val="en-AU"/>
              </w:rPr>
              <w:t>fee</w:t>
            </w:r>
            <w:r>
              <w:rPr>
                <w:b/>
                <w:szCs w:val="20"/>
                <w:lang w:val="en-AU"/>
              </w:rPr>
              <w:t>)</w:t>
            </w:r>
          </w:p>
        </w:tc>
        <w:tc>
          <w:tcPr>
            <w:tcW w:w="1061" w:type="pct"/>
          </w:tcPr>
          <w:p w14:paraId="42B930B1" w14:textId="77777777" w:rsidR="000D07EA" w:rsidRDefault="00BE7C89">
            <w:pPr>
              <w:pStyle w:val="BodyText"/>
              <w:spacing w:before="100" w:after="100"/>
              <w:jc w:val="center"/>
              <w:rPr>
                <w:color w:val="000000"/>
                <w:lang w:val="en-AU" w:eastAsia="en-AU"/>
              </w:rPr>
            </w:pPr>
            <w:r>
              <w:rPr>
                <w:color w:val="000000"/>
                <w:lang w:val="en-AU" w:eastAsia="en-AU"/>
              </w:rPr>
              <w:t>$690</w:t>
            </w:r>
          </w:p>
        </w:tc>
        <w:tc>
          <w:tcPr>
            <w:tcW w:w="1062" w:type="pct"/>
          </w:tcPr>
          <w:p w14:paraId="558DC832" w14:textId="77777777" w:rsidR="000D07EA" w:rsidRDefault="00BE7C89">
            <w:pPr>
              <w:pStyle w:val="BodyText"/>
              <w:spacing w:before="100" w:after="100"/>
              <w:jc w:val="center"/>
              <w:rPr>
                <w:color w:val="000000"/>
                <w:lang w:val="en-AU" w:eastAsia="en-AU"/>
              </w:rPr>
            </w:pPr>
            <w:r>
              <w:rPr>
                <w:color w:val="000000"/>
                <w:lang w:val="en-AU" w:eastAsia="en-AU"/>
              </w:rPr>
              <w:t>$693</w:t>
            </w:r>
          </w:p>
        </w:tc>
        <w:tc>
          <w:tcPr>
            <w:tcW w:w="1062" w:type="pct"/>
          </w:tcPr>
          <w:p w14:paraId="3B461476" w14:textId="77777777" w:rsidR="000D07EA" w:rsidRDefault="00BE7C89">
            <w:pPr>
              <w:pStyle w:val="BodyText"/>
              <w:spacing w:before="100" w:after="100"/>
              <w:jc w:val="center"/>
              <w:rPr>
                <w:color w:val="000000"/>
                <w:lang w:val="en-AU" w:eastAsia="en-AU"/>
              </w:rPr>
            </w:pPr>
            <w:r>
              <w:rPr>
                <w:color w:val="000000"/>
                <w:lang w:val="en-AU" w:eastAsia="en-AU"/>
              </w:rPr>
              <w:t>$702</w:t>
            </w:r>
          </w:p>
        </w:tc>
      </w:tr>
      <w:tr w:rsidR="000D07EA" w14:paraId="634FC282" w14:textId="77777777">
        <w:tc>
          <w:tcPr>
            <w:tcW w:w="1816" w:type="pct"/>
          </w:tcPr>
          <w:p w14:paraId="2CA136D0" w14:textId="77777777" w:rsidR="000D07EA" w:rsidRDefault="00BE7C89">
            <w:pPr>
              <w:pStyle w:val="BodyText"/>
              <w:spacing w:before="100" w:after="100"/>
              <w:rPr>
                <w:b/>
                <w:szCs w:val="20"/>
              </w:rPr>
            </w:pPr>
            <w:r>
              <w:rPr>
                <w:b/>
                <w:szCs w:val="20"/>
                <w:lang w:val="en-AU"/>
              </w:rPr>
              <w:t xml:space="preserve">Months 19 – 21 (40% of the Initial </w:t>
            </w:r>
            <w:r>
              <w:rPr>
                <w:b/>
                <w:i/>
                <w:szCs w:val="20"/>
                <w:lang w:val="en-AU"/>
              </w:rPr>
              <w:t>cancellation</w:t>
            </w:r>
            <w:r>
              <w:rPr>
                <w:b/>
                <w:szCs w:val="20"/>
                <w:lang w:val="en-AU"/>
              </w:rPr>
              <w:t xml:space="preserve"> </w:t>
            </w:r>
            <w:r>
              <w:rPr>
                <w:b/>
                <w:i/>
                <w:szCs w:val="20"/>
                <w:lang w:val="en-AU"/>
              </w:rPr>
              <w:t>fee</w:t>
            </w:r>
            <w:r>
              <w:rPr>
                <w:b/>
                <w:szCs w:val="20"/>
                <w:lang w:val="en-AU"/>
              </w:rPr>
              <w:t>)</w:t>
            </w:r>
          </w:p>
        </w:tc>
        <w:tc>
          <w:tcPr>
            <w:tcW w:w="1061" w:type="pct"/>
          </w:tcPr>
          <w:p w14:paraId="3FC08AFA" w14:textId="77777777" w:rsidR="000D07EA" w:rsidRDefault="00BE7C89">
            <w:pPr>
              <w:pStyle w:val="BodyText"/>
              <w:spacing w:before="100" w:after="100"/>
              <w:jc w:val="center"/>
              <w:rPr>
                <w:color w:val="000000"/>
                <w:lang w:val="en-AU" w:eastAsia="en-AU"/>
              </w:rPr>
            </w:pPr>
            <w:r>
              <w:rPr>
                <w:color w:val="000000"/>
                <w:lang w:val="en-AU" w:eastAsia="en-AU"/>
              </w:rPr>
              <w:t>$460</w:t>
            </w:r>
          </w:p>
        </w:tc>
        <w:tc>
          <w:tcPr>
            <w:tcW w:w="1062" w:type="pct"/>
          </w:tcPr>
          <w:p w14:paraId="58A06240" w14:textId="77777777" w:rsidR="000D07EA" w:rsidRDefault="00BE7C89">
            <w:pPr>
              <w:pStyle w:val="BodyText"/>
              <w:spacing w:before="100" w:after="100"/>
              <w:jc w:val="center"/>
              <w:rPr>
                <w:color w:val="000000"/>
                <w:lang w:val="en-AU" w:eastAsia="en-AU"/>
              </w:rPr>
            </w:pPr>
            <w:r>
              <w:rPr>
                <w:color w:val="000000"/>
                <w:lang w:val="en-AU" w:eastAsia="en-AU"/>
              </w:rPr>
              <w:t>$462</w:t>
            </w:r>
          </w:p>
        </w:tc>
        <w:tc>
          <w:tcPr>
            <w:tcW w:w="1062" w:type="pct"/>
          </w:tcPr>
          <w:p w14:paraId="1BE60B64" w14:textId="77777777" w:rsidR="000D07EA" w:rsidRDefault="00BE7C89">
            <w:pPr>
              <w:pStyle w:val="BodyText"/>
              <w:spacing w:before="100" w:after="100"/>
              <w:jc w:val="center"/>
              <w:rPr>
                <w:color w:val="000000"/>
                <w:lang w:val="en-AU" w:eastAsia="en-AU"/>
              </w:rPr>
            </w:pPr>
            <w:r>
              <w:rPr>
                <w:color w:val="000000"/>
                <w:lang w:val="en-AU" w:eastAsia="en-AU"/>
              </w:rPr>
              <w:t>$468</w:t>
            </w:r>
          </w:p>
        </w:tc>
      </w:tr>
      <w:tr w:rsidR="000D07EA" w14:paraId="5192CE1C" w14:textId="77777777">
        <w:tc>
          <w:tcPr>
            <w:tcW w:w="1816" w:type="pct"/>
          </w:tcPr>
          <w:p w14:paraId="05E5E480" w14:textId="77777777" w:rsidR="000D07EA" w:rsidRDefault="00BE7C89">
            <w:pPr>
              <w:pStyle w:val="BodyText"/>
              <w:spacing w:before="100" w:after="100"/>
              <w:rPr>
                <w:b/>
                <w:szCs w:val="20"/>
                <w:lang w:val="en-AU"/>
              </w:rPr>
            </w:pPr>
            <w:r>
              <w:rPr>
                <w:b/>
                <w:szCs w:val="20"/>
                <w:lang w:val="en-AU"/>
              </w:rPr>
              <w:t xml:space="preserve">Months 22 – 24 (20% of the Initial </w:t>
            </w:r>
            <w:r>
              <w:rPr>
                <w:b/>
                <w:i/>
                <w:szCs w:val="20"/>
                <w:lang w:val="en-AU"/>
              </w:rPr>
              <w:t>cancellation</w:t>
            </w:r>
            <w:r>
              <w:rPr>
                <w:b/>
                <w:szCs w:val="20"/>
                <w:lang w:val="en-AU"/>
              </w:rPr>
              <w:t xml:space="preserve"> </w:t>
            </w:r>
            <w:r>
              <w:rPr>
                <w:b/>
                <w:i/>
                <w:szCs w:val="20"/>
                <w:lang w:val="en-AU"/>
              </w:rPr>
              <w:t>fee</w:t>
            </w:r>
            <w:r>
              <w:rPr>
                <w:b/>
                <w:szCs w:val="20"/>
                <w:lang w:val="en-AU"/>
              </w:rPr>
              <w:t>)</w:t>
            </w:r>
          </w:p>
        </w:tc>
        <w:tc>
          <w:tcPr>
            <w:tcW w:w="1061" w:type="pct"/>
          </w:tcPr>
          <w:p w14:paraId="5F7BABDC" w14:textId="77777777" w:rsidR="000D07EA" w:rsidRDefault="00BE7C89">
            <w:pPr>
              <w:pStyle w:val="BodyText"/>
              <w:spacing w:before="100" w:after="100"/>
              <w:jc w:val="center"/>
              <w:rPr>
                <w:color w:val="000000"/>
                <w:lang w:val="en-AU" w:eastAsia="en-AU"/>
              </w:rPr>
            </w:pPr>
            <w:r>
              <w:rPr>
                <w:color w:val="000000"/>
                <w:lang w:val="en-AU" w:eastAsia="en-AU"/>
              </w:rPr>
              <w:t>$230</w:t>
            </w:r>
          </w:p>
        </w:tc>
        <w:tc>
          <w:tcPr>
            <w:tcW w:w="1062" w:type="pct"/>
          </w:tcPr>
          <w:p w14:paraId="267CFAF4" w14:textId="77777777" w:rsidR="000D07EA" w:rsidRDefault="00BE7C89">
            <w:pPr>
              <w:pStyle w:val="BodyText"/>
              <w:spacing w:before="100" w:after="100"/>
              <w:jc w:val="center"/>
              <w:rPr>
                <w:color w:val="000000"/>
                <w:lang w:val="en-AU" w:eastAsia="en-AU"/>
              </w:rPr>
            </w:pPr>
            <w:r>
              <w:rPr>
                <w:color w:val="000000"/>
                <w:lang w:val="en-AU" w:eastAsia="en-AU"/>
              </w:rPr>
              <w:t>$231</w:t>
            </w:r>
          </w:p>
        </w:tc>
        <w:tc>
          <w:tcPr>
            <w:tcW w:w="1062" w:type="pct"/>
          </w:tcPr>
          <w:p w14:paraId="23B428ED" w14:textId="77777777" w:rsidR="000D07EA" w:rsidRDefault="00BE7C89">
            <w:pPr>
              <w:pStyle w:val="BodyText"/>
              <w:spacing w:before="100" w:after="100"/>
              <w:jc w:val="center"/>
              <w:rPr>
                <w:color w:val="000000"/>
                <w:lang w:val="en-AU" w:eastAsia="en-AU"/>
              </w:rPr>
            </w:pPr>
            <w:r>
              <w:rPr>
                <w:color w:val="000000"/>
                <w:lang w:val="en-AU" w:eastAsia="en-AU"/>
              </w:rPr>
              <w:t>$234</w:t>
            </w:r>
          </w:p>
        </w:tc>
      </w:tr>
    </w:tbl>
    <w:p w14:paraId="07F9E2FD" w14:textId="77777777" w:rsidR="000D07EA" w:rsidRDefault="000D07EA">
      <w:pPr>
        <w:pStyle w:val="BodyText"/>
        <w:rPr>
          <w:lang w:val="en-AU"/>
        </w:rPr>
      </w:pPr>
      <w:bookmarkStart w:id="560" w:name="_Toc306091587"/>
      <w:bookmarkStart w:id="561" w:name="_Toc306967571"/>
      <w:bookmarkStart w:id="562" w:name="_Toc397941211"/>
      <w:bookmarkStart w:id="563" w:name="_Toc455147617"/>
    </w:p>
    <w:p w14:paraId="1885BD15" w14:textId="77777777" w:rsidR="000D07EA" w:rsidRDefault="00BE7C89">
      <w:pPr>
        <w:pStyle w:val="Heading4"/>
        <w:rPr>
          <w:lang w:val="en-AU"/>
        </w:rPr>
      </w:pPr>
      <w:bookmarkStart w:id="564" w:name="_Toc62644639"/>
      <w:r>
        <w:rPr>
          <w:lang w:val="en-AU"/>
        </w:rPr>
        <w:t>Business Timeless (Nov-11 Premium H/set) plans incorporating $99 Business Timeless (Nov-11 Premium H/set) and $129 Business Timeless (Nov-11 Premium H/set) effective from 14 October 2011.</w:t>
      </w:r>
      <w:bookmarkEnd w:id="560"/>
      <w:bookmarkEnd w:id="561"/>
      <w:bookmarkEnd w:id="562"/>
      <w:bookmarkEnd w:id="563"/>
      <w:bookmarkEnd w:id="564"/>
    </w:p>
    <w:p w14:paraId="5DB398CE" w14:textId="77777777" w:rsidR="000D07EA" w:rsidRDefault="00BE7C89">
      <w:pPr>
        <w:pStyle w:val="Heading6"/>
        <w:ind w:left="0" w:firstLine="0"/>
        <w:rPr>
          <w:lang w:val="en-AU"/>
        </w:rPr>
      </w:pPr>
      <w:bookmarkStart w:id="565" w:name="_Toc306091588"/>
      <w:bookmarkStart w:id="566" w:name="_Toc306967572"/>
      <w:bookmarkStart w:id="567" w:name="_Toc397941212"/>
      <w:r>
        <w:rPr>
          <w:lang w:val="en-AU"/>
        </w:rPr>
        <w:t>What are the Optus Business Timeless Offers?</w:t>
      </w:r>
      <w:bookmarkEnd w:id="565"/>
      <w:bookmarkEnd w:id="566"/>
      <w:bookmarkEnd w:id="567"/>
    </w:p>
    <w:p w14:paraId="4DFA104B" w14:textId="77777777" w:rsidR="000D07EA" w:rsidRDefault="00BE7C89">
      <w:pPr>
        <w:pStyle w:val="Heading7"/>
        <w:rPr>
          <w:lang w:val="en-AU"/>
        </w:rPr>
      </w:pPr>
      <w:r>
        <w:rPr>
          <w:lang w:val="en-AU"/>
        </w:rPr>
        <w:t xml:space="preserve">The Optus Business Timeline Offers incorporate the Business Timeless (Nov-11 Premium H/set) mobile plans and are a special offer under the </w:t>
      </w:r>
      <w:r>
        <w:rPr>
          <w:i/>
          <w:lang w:val="en-AU"/>
        </w:rPr>
        <w:t xml:space="preserve">SMB terms </w:t>
      </w:r>
      <w:r>
        <w:rPr>
          <w:lang w:val="en-AU"/>
        </w:rPr>
        <w:t xml:space="preserve">and relevant </w:t>
      </w:r>
      <w:r>
        <w:rPr>
          <w:i/>
          <w:lang w:val="en-AU"/>
        </w:rPr>
        <w:t>service descriptions.</w:t>
      </w:r>
    </w:p>
    <w:p w14:paraId="0D4FF7F3" w14:textId="77777777" w:rsidR="000D07EA" w:rsidRDefault="00BE7C89">
      <w:pPr>
        <w:pStyle w:val="Heading7"/>
        <w:rPr>
          <w:lang w:val="en-AU"/>
        </w:rPr>
      </w:pPr>
      <w:r>
        <w:rPr>
          <w:lang w:val="en-AU"/>
        </w:rPr>
        <w:t xml:space="preserve">The Optus Business Timeless Offers are governed by the terms in this </w:t>
      </w:r>
      <w:r>
        <w:rPr>
          <w:i/>
          <w:lang w:val="en-AU"/>
        </w:rPr>
        <w:t xml:space="preserve">appendix </w:t>
      </w:r>
      <w:r>
        <w:rPr>
          <w:lang w:val="en-AU"/>
        </w:rPr>
        <w:t xml:space="preserve">and, to the extent that the terms are not inconsistent with the terms set out in this </w:t>
      </w:r>
      <w:r>
        <w:rPr>
          <w:i/>
          <w:lang w:val="en-AU"/>
        </w:rPr>
        <w:t>appendix</w:t>
      </w:r>
      <w:r>
        <w:rPr>
          <w:lang w:val="en-AU"/>
        </w:rPr>
        <w:t>,</w:t>
      </w:r>
      <w:r>
        <w:rPr>
          <w:i/>
          <w:lang w:val="en-AU"/>
        </w:rPr>
        <w:t xml:space="preserve"> </w:t>
      </w:r>
      <w:r>
        <w:rPr>
          <w:lang w:val="en-AU"/>
        </w:rPr>
        <w:t xml:space="preserve">by the </w:t>
      </w:r>
      <w:hyperlink r:id="rId386" w:history="1">
        <w:r>
          <w:rPr>
            <w:rStyle w:val="Hyperlink"/>
            <w:i/>
          </w:rPr>
          <w:t>SMB terms</w:t>
        </w:r>
      </w:hyperlink>
      <w:r>
        <w:rPr>
          <w:lang w:val="en-AU"/>
        </w:rPr>
        <w:t xml:space="preserve">, each relevant </w:t>
      </w:r>
      <w:r>
        <w:rPr>
          <w:i/>
          <w:lang w:val="en-AU"/>
        </w:rPr>
        <w:t xml:space="preserve">service description </w:t>
      </w:r>
      <w:r>
        <w:rPr>
          <w:lang w:val="en-AU"/>
        </w:rPr>
        <w:t xml:space="preserve">and </w:t>
      </w:r>
      <w:r>
        <w:rPr>
          <w:i/>
          <w:lang w:val="en-AU"/>
        </w:rPr>
        <w:t>standard pricing table</w:t>
      </w:r>
      <w:r>
        <w:rPr>
          <w:lang w:val="en-AU"/>
        </w:rPr>
        <w:t xml:space="preserve">. </w:t>
      </w:r>
    </w:p>
    <w:p w14:paraId="4FE7CB91" w14:textId="77777777" w:rsidR="000D07EA" w:rsidRDefault="00BE7C89">
      <w:pPr>
        <w:pStyle w:val="Heading7"/>
        <w:rPr>
          <w:lang w:val="en-AU"/>
        </w:rPr>
      </w:pPr>
      <w:r>
        <w:rPr>
          <w:lang w:val="en-AU"/>
        </w:rPr>
        <w:t xml:space="preserve">A (Premium H/set) plan indicates a </w:t>
      </w:r>
      <w:r>
        <w:rPr>
          <w:i/>
          <w:lang w:val="en-AU"/>
        </w:rPr>
        <w:t>pricing plan</w:t>
      </w:r>
      <w:r>
        <w:rPr>
          <w:lang w:val="en-AU"/>
        </w:rPr>
        <w:t xml:space="preserve"> where a high value handset is available.</w:t>
      </w:r>
    </w:p>
    <w:p w14:paraId="0A794C8D" w14:textId="77777777" w:rsidR="000D07EA" w:rsidRDefault="00BE7C89">
      <w:pPr>
        <w:pStyle w:val="Heading7"/>
        <w:rPr>
          <w:lang w:val="en-AU"/>
        </w:rPr>
      </w:pPr>
      <w:r>
        <w:rPr>
          <w:lang w:val="en-AU"/>
        </w:rPr>
        <w:lastRenderedPageBreak/>
        <w:t>wherein this section, where the term 'Business Timeless' is used it also refers to the (Nov-11 Premium H/set) plans.</w:t>
      </w:r>
    </w:p>
    <w:p w14:paraId="6A7A6CA6" w14:textId="77777777" w:rsidR="000D07EA" w:rsidRDefault="00BE7C89">
      <w:pPr>
        <w:pStyle w:val="Heading6"/>
        <w:ind w:left="0" w:firstLine="0"/>
        <w:rPr>
          <w:lang w:val="en-AU"/>
        </w:rPr>
      </w:pPr>
      <w:bookmarkStart w:id="568" w:name="_Toc306091589"/>
      <w:bookmarkStart w:id="569" w:name="_Toc306967573"/>
      <w:bookmarkStart w:id="570" w:name="_Toc397941213"/>
      <w:r>
        <w:rPr>
          <w:lang w:val="en-AU"/>
        </w:rPr>
        <w:t>What does the Optus Business Timeless Offers allow you to do?</w:t>
      </w:r>
      <w:bookmarkEnd w:id="568"/>
      <w:bookmarkEnd w:id="569"/>
      <w:bookmarkEnd w:id="570"/>
    </w:p>
    <w:p w14:paraId="75A71BAE" w14:textId="77777777" w:rsidR="000D07EA" w:rsidRDefault="00BE7C89">
      <w:pPr>
        <w:pStyle w:val="Heading7"/>
        <w:rPr>
          <w:lang w:val="en-AU"/>
        </w:rPr>
      </w:pPr>
      <w:r>
        <w:rPr>
          <w:lang w:val="en-AU"/>
        </w:rPr>
        <w:t xml:space="preserve">Under the Business Timeless Offer, </w:t>
      </w:r>
      <w:r>
        <w:rPr>
          <w:i/>
          <w:lang w:val="en-AU"/>
        </w:rPr>
        <w:t>you</w:t>
      </w:r>
      <w:r>
        <w:rPr>
          <w:lang w:val="en-AU"/>
        </w:rPr>
        <w:t xml:space="preserve"> may share included Mobile Internet Data Value between </w:t>
      </w:r>
      <w:r>
        <w:rPr>
          <w:i/>
          <w:lang w:val="en-AU"/>
        </w:rPr>
        <w:t>your</w:t>
      </w:r>
      <w:r>
        <w:rPr>
          <w:lang w:val="en-AU"/>
        </w:rPr>
        <w:t xml:space="preserve"> Optus Mobile Digital Service(s) and Business Mobile Broadband service(s) as follows:</w:t>
      </w:r>
    </w:p>
    <w:p w14:paraId="26DDDA53" w14:textId="77777777" w:rsidR="000D07EA" w:rsidRDefault="00BE7C89">
      <w:pPr>
        <w:pStyle w:val="Heading8"/>
        <w:rPr>
          <w:lang w:val="en-AU"/>
        </w:rPr>
      </w:pPr>
      <w:r>
        <w:rPr>
          <w:lang w:val="en-AU"/>
        </w:rPr>
        <w:t>The 5GB or 2GB included Mobile Internet Data Value on the $99 Business Timeless plan can be shared across Optus Mobile Digital Service(s) and Business Mobile Broadband Services(s).</w:t>
      </w:r>
    </w:p>
    <w:p w14:paraId="280D5C39" w14:textId="77777777" w:rsidR="000D07EA" w:rsidRDefault="00BE7C89">
      <w:pPr>
        <w:pStyle w:val="Heading8"/>
        <w:rPr>
          <w:lang w:val="en-AU"/>
        </w:rPr>
      </w:pPr>
      <w:r>
        <w:rPr>
          <w:lang w:val="en-AU"/>
        </w:rPr>
        <w:t xml:space="preserve">The 10GB or 2GB included Mobile Internet Data Value on the $129 Business Timeless plan can be shared across Optus Mobile Digital Service(s) and Business Mobile Broadband Services(s). </w:t>
      </w:r>
    </w:p>
    <w:p w14:paraId="2397C7C8" w14:textId="77777777" w:rsidR="000D07EA" w:rsidRDefault="00BE7C89">
      <w:pPr>
        <w:pStyle w:val="Heading8"/>
        <w:rPr>
          <w:lang w:val="en-AU"/>
        </w:rPr>
      </w:pPr>
      <w:r>
        <w:rPr>
          <w:lang w:val="en-AU"/>
        </w:rPr>
        <w:t>The bonus Unlimited Mobile Internet Data Value on the $129 Business Timeless plan cannot be shared across Optus Mobile Digital Service(s) and Business Mobile Broadband Services(s).</w:t>
      </w:r>
    </w:p>
    <w:p w14:paraId="10D80BAA" w14:textId="77777777" w:rsidR="000D07EA" w:rsidRDefault="00BE7C89">
      <w:pPr>
        <w:pStyle w:val="Heading8"/>
        <w:rPr>
          <w:lang w:val="en-AU"/>
        </w:rPr>
      </w:pPr>
      <w:r>
        <w:rPr>
          <w:lang w:val="en-AU"/>
        </w:rPr>
        <w:t xml:space="preserve">Offers consisting of Unlimited mobile access to Facebook®, Twitter, LinkedIn, Ebay, Four Square, MySpace, within Australia cannot be shared between </w:t>
      </w:r>
      <w:r>
        <w:rPr>
          <w:i/>
          <w:lang w:val="en-AU"/>
        </w:rPr>
        <w:t xml:space="preserve">your </w:t>
      </w:r>
      <w:r>
        <w:rPr>
          <w:lang w:val="en-AU"/>
        </w:rPr>
        <w:t xml:space="preserve">Optus Mobile Digital Service(s) and Business Mobile Broadband service(s), and may only be accessed on </w:t>
      </w:r>
      <w:r>
        <w:rPr>
          <w:i/>
          <w:lang w:val="en-AU"/>
        </w:rPr>
        <w:t xml:space="preserve">your </w:t>
      </w:r>
      <w:r>
        <w:rPr>
          <w:lang w:val="en-AU"/>
        </w:rPr>
        <w:t xml:space="preserve">mobile handset. </w:t>
      </w:r>
    </w:p>
    <w:p w14:paraId="4B444196" w14:textId="77777777" w:rsidR="000D07EA" w:rsidRDefault="00BE7C89">
      <w:pPr>
        <w:pStyle w:val="Heading7"/>
        <w:rPr>
          <w:lang w:val="en-AU" w:eastAsia="en-AU"/>
        </w:rPr>
      </w:pPr>
      <w:r>
        <w:rPr>
          <w:lang w:val="en-AU" w:eastAsia="en-AU"/>
        </w:rPr>
        <w:t>The charges for the Business Timeless Offers are set out in Table 3A.</w:t>
      </w:r>
    </w:p>
    <w:p w14:paraId="1495069D" w14:textId="77777777" w:rsidR="000D07EA" w:rsidRDefault="00BE7C89">
      <w:pPr>
        <w:pStyle w:val="Heading6"/>
        <w:ind w:left="0" w:firstLine="0"/>
        <w:rPr>
          <w:lang w:val="en-AU"/>
        </w:rPr>
      </w:pPr>
      <w:bookmarkStart w:id="571" w:name="_Toc306091590"/>
      <w:bookmarkStart w:id="572" w:name="_Toc306967574"/>
      <w:bookmarkStart w:id="573" w:name="_Toc397941214"/>
      <w:r>
        <w:rPr>
          <w:lang w:val="en-AU"/>
        </w:rPr>
        <w:t>Eligibility</w:t>
      </w:r>
      <w:bookmarkEnd w:id="571"/>
      <w:bookmarkEnd w:id="572"/>
      <w:bookmarkEnd w:id="573"/>
    </w:p>
    <w:p w14:paraId="342B76D3" w14:textId="77777777" w:rsidR="000D07EA" w:rsidRDefault="00BE7C89">
      <w:pPr>
        <w:pStyle w:val="BodyText"/>
        <w:ind w:left="680"/>
        <w:rPr>
          <w:lang w:val="en-AU"/>
        </w:rPr>
      </w:pPr>
      <w:r>
        <w:rPr>
          <w:lang w:val="en-AU"/>
        </w:rPr>
        <w:t xml:space="preserve">In order to be and remain eligible for the Business Timeless Offers, </w:t>
      </w:r>
      <w:r>
        <w:rPr>
          <w:i/>
          <w:lang w:val="en-AU"/>
        </w:rPr>
        <w:t>you</w:t>
      </w:r>
      <w:r>
        <w:rPr>
          <w:lang w:val="en-AU"/>
        </w:rPr>
        <w:t xml:space="preserve"> must:</w:t>
      </w:r>
    </w:p>
    <w:p w14:paraId="027A4291" w14:textId="77777777" w:rsidR="000D07EA" w:rsidRDefault="00BE7C89">
      <w:pPr>
        <w:pStyle w:val="Heading7"/>
        <w:rPr>
          <w:lang w:val="en-AU"/>
        </w:rPr>
      </w:pPr>
      <w:r>
        <w:rPr>
          <w:lang w:val="en-AU"/>
        </w:rPr>
        <w:t xml:space="preserve">be a customer </w:t>
      </w:r>
      <w:r>
        <w:rPr>
          <w:i/>
          <w:lang w:val="en-AU"/>
        </w:rPr>
        <w:t>we</w:t>
      </w:r>
      <w:r>
        <w:rPr>
          <w:lang w:val="en-AU"/>
        </w:rPr>
        <w:t xml:space="preserve"> classify as </w:t>
      </w:r>
      <w:r>
        <w:rPr>
          <w:i/>
          <w:lang w:val="en-AU"/>
        </w:rPr>
        <w:t>small or medium business</w:t>
      </w:r>
      <w:r>
        <w:rPr>
          <w:lang w:val="en-AU"/>
        </w:rPr>
        <w:t xml:space="preserve"> customer;</w:t>
      </w:r>
    </w:p>
    <w:p w14:paraId="275853D9" w14:textId="77777777" w:rsidR="000D07EA" w:rsidRDefault="00BE7C89">
      <w:pPr>
        <w:pStyle w:val="Heading7"/>
        <w:rPr>
          <w:lang w:val="en-AU"/>
        </w:rPr>
      </w:pPr>
      <w:r>
        <w:rPr>
          <w:lang w:val="en-AU"/>
        </w:rPr>
        <w:t>not be a customer of an Optus Service Provider;</w:t>
      </w:r>
    </w:p>
    <w:p w14:paraId="029574E5" w14:textId="77777777" w:rsidR="000D07EA" w:rsidRDefault="00BE7C89">
      <w:pPr>
        <w:pStyle w:val="Heading7"/>
        <w:rPr>
          <w:lang w:val="en-AU"/>
        </w:rPr>
      </w:pPr>
      <w:r>
        <w:rPr>
          <w:lang w:val="en-AU"/>
        </w:rPr>
        <w:t xml:space="preserve">must pass the Optus Credit assessment and be accepted by </w:t>
      </w:r>
      <w:r>
        <w:rPr>
          <w:i/>
          <w:lang w:val="en-AU"/>
        </w:rPr>
        <w:t>us</w:t>
      </w:r>
      <w:r>
        <w:rPr>
          <w:lang w:val="en-AU"/>
        </w:rPr>
        <w:t>;</w:t>
      </w:r>
    </w:p>
    <w:p w14:paraId="3AB21D21" w14:textId="77777777" w:rsidR="000D07EA" w:rsidRDefault="00BE7C89">
      <w:pPr>
        <w:pStyle w:val="Heading7"/>
        <w:rPr>
          <w:lang w:val="en-AU"/>
        </w:rPr>
      </w:pPr>
      <w:r>
        <w:rPr>
          <w:lang w:val="en-AU"/>
        </w:rPr>
        <w:t xml:space="preserve">connect all relevant </w:t>
      </w:r>
      <w:r>
        <w:rPr>
          <w:i/>
          <w:lang w:val="en-AU"/>
        </w:rPr>
        <w:t>services</w:t>
      </w:r>
      <w:r>
        <w:rPr>
          <w:lang w:val="en-AU"/>
        </w:rPr>
        <w:t xml:space="preserve"> in the same account holder name, service address, and ABN/ACN/ARBN;</w:t>
      </w:r>
    </w:p>
    <w:p w14:paraId="5E144DB6" w14:textId="77777777" w:rsidR="000D07EA" w:rsidRDefault="00BE7C89">
      <w:pPr>
        <w:pStyle w:val="Heading7"/>
        <w:rPr>
          <w:lang w:val="en-AU"/>
        </w:rPr>
      </w:pPr>
      <w:r>
        <w:rPr>
          <w:lang w:val="en-AU"/>
        </w:rPr>
        <w:t xml:space="preserve">meet all of the criteria for the particular </w:t>
      </w:r>
      <w:r>
        <w:rPr>
          <w:i/>
          <w:lang w:val="en-AU"/>
        </w:rPr>
        <w:t>services</w:t>
      </w:r>
      <w:r>
        <w:rPr>
          <w:lang w:val="en-AU"/>
        </w:rPr>
        <w:t xml:space="preserve"> as set out in each of the relevant </w:t>
      </w:r>
      <w:r>
        <w:rPr>
          <w:i/>
          <w:lang w:val="en-AU"/>
        </w:rPr>
        <w:t>service descriptions</w:t>
      </w:r>
      <w:r>
        <w:rPr>
          <w:lang w:val="en-AU"/>
        </w:rPr>
        <w:t>; and</w:t>
      </w:r>
    </w:p>
    <w:p w14:paraId="4BF61DFA" w14:textId="77777777" w:rsidR="000D07EA" w:rsidRDefault="00BE7C89">
      <w:pPr>
        <w:pStyle w:val="Heading7"/>
        <w:rPr>
          <w:lang w:val="en-AU"/>
        </w:rPr>
      </w:pPr>
      <w:r>
        <w:rPr>
          <w:lang w:val="en-AU"/>
        </w:rPr>
        <w:t>receive subscription charges on a monthly single bill.</w:t>
      </w:r>
    </w:p>
    <w:p w14:paraId="3BE8D803" w14:textId="77777777" w:rsidR="000D07EA" w:rsidRDefault="00BE7C89">
      <w:pPr>
        <w:pStyle w:val="Heading6"/>
        <w:ind w:left="0" w:firstLine="0"/>
        <w:rPr>
          <w:lang w:val="en-AU"/>
        </w:rPr>
      </w:pPr>
      <w:bookmarkStart w:id="574" w:name="_Toc306967581"/>
      <w:bookmarkStart w:id="575" w:name="_Toc306967583"/>
      <w:bookmarkStart w:id="576" w:name="_Toc306967584"/>
      <w:bookmarkStart w:id="577" w:name="_Toc397941215"/>
      <w:bookmarkStart w:id="578" w:name="_Toc306091591"/>
      <w:bookmarkEnd w:id="574"/>
      <w:bookmarkEnd w:id="575"/>
      <w:r>
        <w:rPr>
          <w:lang w:val="en-AU"/>
        </w:rPr>
        <w:t>Blocking access to a number</w:t>
      </w:r>
      <w:bookmarkEnd w:id="576"/>
      <w:bookmarkEnd w:id="577"/>
    </w:p>
    <w:p w14:paraId="6EB3BCE9" w14:textId="77777777" w:rsidR="000D07EA" w:rsidRDefault="00BE7C89">
      <w:pPr>
        <w:pStyle w:val="BodyText"/>
        <w:ind w:left="680"/>
        <w:rPr>
          <w:lang w:val="en-AU"/>
        </w:rPr>
      </w:pPr>
      <w:r>
        <w:rPr>
          <w:lang w:val="en-AU"/>
        </w:rPr>
        <w:t xml:space="preserve">In addition to what is stated in clause 11 of the </w:t>
      </w:r>
      <w:r>
        <w:rPr>
          <w:i/>
          <w:lang w:val="en-AU"/>
        </w:rPr>
        <w:t>service description</w:t>
      </w:r>
      <w:r>
        <w:rPr>
          <w:lang w:val="en-AU"/>
        </w:rPr>
        <w:t xml:space="preserve"> ("Access Restrictions"), </w:t>
      </w:r>
      <w:r>
        <w:rPr>
          <w:i/>
          <w:lang w:val="en-AU"/>
        </w:rPr>
        <w:t>we</w:t>
      </w:r>
      <w:r>
        <w:rPr>
          <w:lang w:val="en-AU"/>
        </w:rPr>
        <w:t xml:space="preserve"> may block access to a number (other than an emergency service number) if </w:t>
      </w:r>
      <w:r>
        <w:rPr>
          <w:i/>
          <w:lang w:val="en-AU"/>
        </w:rPr>
        <w:t>we</w:t>
      </w:r>
      <w:r>
        <w:rPr>
          <w:lang w:val="en-AU"/>
        </w:rPr>
        <w:t xml:space="preserve"> reasonably require this to be done for technical, operational or commercial reasons.</w:t>
      </w:r>
    </w:p>
    <w:p w14:paraId="00631DFA" w14:textId="77777777" w:rsidR="000D07EA" w:rsidRDefault="00BE7C89">
      <w:pPr>
        <w:pStyle w:val="Heading6"/>
        <w:ind w:left="0" w:firstLine="0"/>
        <w:rPr>
          <w:lang w:val="en-AU"/>
        </w:rPr>
      </w:pPr>
      <w:bookmarkStart w:id="579" w:name="_Toc306967585"/>
      <w:bookmarkStart w:id="580" w:name="_Toc397941216"/>
      <w:r>
        <w:rPr>
          <w:lang w:val="en-AU"/>
        </w:rPr>
        <w:t>Minimum Term</w:t>
      </w:r>
      <w:bookmarkEnd w:id="578"/>
      <w:bookmarkEnd w:id="579"/>
      <w:bookmarkEnd w:id="580"/>
    </w:p>
    <w:p w14:paraId="75819F83" w14:textId="77777777" w:rsidR="000D07EA" w:rsidRDefault="00BE7C89">
      <w:pPr>
        <w:pStyle w:val="Heading7"/>
        <w:rPr>
          <w:lang w:val="en-AU"/>
        </w:rPr>
      </w:pPr>
      <w:r>
        <w:rPr>
          <w:i/>
          <w:lang w:val="en-AU"/>
        </w:rPr>
        <w:t>You</w:t>
      </w:r>
      <w:r>
        <w:rPr>
          <w:lang w:val="en-AU"/>
        </w:rPr>
        <w:t xml:space="preserve"> must agree to either a </w:t>
      </w:r>
      <w:r>
        <w:rPr>
          <w:i/>
          <w:lang w:val="en-AU"/>
        </w:rPr>
        <w:t>non-fixed length agreement</w:t>
      </w:r>
      <w:r>
        <w:rPr>
          <w:lang w:val="en-AU"/>
        </w:rPr>
        <w:t xml:space="preserve"> or a</w:t>
      </w:r>
      <w:r>
        <w:rPr>
          <w:i/>
          <w:lang w:val="en-AU"/>
        </w:rPr>
        <w:t xml:space="preserve"> fixed length agreement</w:t>
      </w:r>
      <w:r>
        <w:rPr>
          <w:lang w:val="en-AU"/>
        </w:rPr>
        <w:t xml:space="preserve"> with a 12 month or 24 month </w:t>
      </w:r>
      <w:r>
        <w:rPr>
          <w:i/>
          <w:lang w:val="en-AU"/>
        </w:rPr>
        <w:t>minimum</w:t>
      </w:r>
      <w:r>
        <w:rPr>
          <w:lang w:val="en-AU"/>
        </w:rPr>
        <w:t xml:space="preserve"> </w:t>
      </w:r>
      <w:r>
        <w:rPr>
          <w:i/>
          <w:lang w:val="en-AU"/>
        </w:rPr>
        <w:t>term</w:t>
      </w:r>
      <w:r>
        <w:rPr>
          <w:lang w:val="en-AU"/>
        </w:rPr>
        <w:t>.</w:t>
      </w:r>
    </w:p>
    <w:p w14:paraId="08D15E6E" w14:textId="77777777" w:rsidR="000D07EA" w:rsidRDefault="00BE7C89">
      <w:pPr>
        <w:pStyle w:val="Heading7"/>
        <w:rPr>
          <w:lang w:val="en-AU"/>
        </w:rPr>
      </w:pPr>
      <w:r>
        <w:rPr>
          <w:i/>
          <w:lang w:val="en-AU"/>
        </w:rPr>
        <w:t>You</w:t>
      </w:r>
      <w:r>
        <w:rPr>
          <w:lang w:val="en-AU"/>
        </w:rPr>
        <w:t xml:space="preserve"> may purchase a </w:t>
      </w:r>
      <w:r>
        <w:rPr>
          <w:i/>
          <w:lang w:val="en-AU"/>
        </w:rPr>
        <w:t>mobile phone</w:t>
      </w:r>
      <w:r>
        <w:rPr>
          <w:lang w:val="en-AU"/>
        </w:rPr>
        <w:t xml:space="preserve"> with a:</w:t>
      </w:r>
    </w:p>
    <w:p w14:paraId="63204ACC" w14:textId="77777777" w:rsidR="000D07EA" w:rsidRDefault="00BE7C89">
      <w:pPr>
        <w:pStyle w:val="Heading8"/>
        <w:rPr>
          <w:lang w:val="en-AU"/>
        </w:rPr>
      </w:pPr>
      <w:r>
        <w:rPr>
          <w:lang w:val="en-AU"/>
        </w:rPr>
        <w:t xml:space="preserve">24 month </w:t>
      </w:r>
      <w:r>
        <w:rPr>
          <w:i/>
          <w:lang w:val="en-AU"/>
        </w:rPr>
        <w:t>equipment term</w:t>
      </w:r>
      <w:r>
        <w:rPr>
          <w:lang w:val="en-AU"/>
        </w:rPr>
        <w:t xml:space="preserve"> under a </w:t>
      </w:r>
      <w:r>
        <w:rPr>
          <w:i/>
          <w:lang w:val="en-AU"/>
        </w:rPr>
        <w:t>mobile equipment payment plan</w:t>
      </w:r>
      <w:r>
        <w:rPr>
          <w:lang w:val="en-AU"/>
        </w:rPr>
        <w:t xml:space="preserve"> on a 24 month </w:t>
      </w:r>
      <w:r>
        <w:rPr>
          <w:i/>
          <w:lang w:val="en-AU"/>
        </w:rPr>
        <w:t>fixed length agreement</w:t>
      </w:r>
      <w:r>
        <w:rPr>
          <w:lang w:val="en-AU"/>
        </w:rPr>
        <w:t xml:space="preserve">. If </w:t>
      </w:r>
      <w:r>
        <w:rPr>
          <w:i/>
          <w:lang w:val="en-AU"/>
        </w:rPr>
        <w:t>you</w:t>
      </w:r>
      <w:r>
        <w:rPr>
          <w:lang w:val="en-AU"/>
        </w:rPr>
        <w:t xml:space="preserve"> do so, the price of mobile phones available is less than if you agree to a </w:t>
      </w:r>
      <w:r>
        <w:rPr>
          <w:i/>
          <w:lang w:val="en-AU"/>
        </w:rPr>
        <w:t>non-fixed length agreement</w:t>
      </w:r>
      <w:r>
        <w:rPr>
          <w:lang w:val="en-AU"/>
        </w:rPr>
        <w:t>; or</w:t>
      </w:r>
    </w:p>
    <w:p w14:paraId="68E24DB9" w14:textId="77777777" w:rsidR="000D07EA" w:rsidRDefault="00BE7C89">
      <w:pPr>
        <w:pStyle w:val="Heading8"/>
        <w:rPr>
          <w:lang w:val="en-AU"/>
        </w:rPr>
      </w:pPr>
      <w:r>
        <w:rPr>
          <w:lang w:val="en-AU"/>
        </w:rPr>
        <w:lastRenderedPageBreak/>
        <w:t xml:space="preserve">12 month </w:t>
      </w:r>
      <w:r>
        <w:rPr>
          <w:i/>
          <w:lang w:val="en-AU"/>
        </w:rPr>
        <w:t xml:space="preserve">equipment term </w:t>
      </w:r>
      <w:r>
        <w:rPr>
          <w:lang w:val="en-AU"/>
        </w:rPr>
        <w:t xml:space="preserve">under a </w:t>
      </w:r>
      <w:r>
        <w:rPr>
          <w:i/>
          <w:lang w:val="en-AU"/>
        </w:rPr>
        <w:t>mobile equipment payment plan</w:t>
      </w:r>
      <w:r>
        <w:rPr>
          <w:lang w:val="en-AU"/>
        </w:rPr>
        <w:t xml:space="preserve"> on a 12 month </w:t>
      </w:r>
      <w:r>
        <w:rPr>
          <w:i/>
          <w:lang w:val="en-AU"/>
        </w:rPr>
        <w:t>fixed length agreement</w:t>
      </w:r>
      <w:r>
        <w:rPr>
          <w:lang w:val="en-AU"/>
        </w:rPr>
        <w:t xml:space="preserve">. If you do so, the price of </w:t>
      </w:r>
      <w:r>
        <w:rPr>
          <w:i/>
          <w:lang w:val="en-AU"/>
        </w:rPr>
        <w:t>mobile phones</w:t>
      </w:r>
      <w:r>
        <w:rPr>
          <w:lang w:val="en-AU"/>
        </w:rPr>
        <w:t xml:space="preserve"> available is less than if </w:t>
      </w:r>
      <w:r>
        <w:rPr>
          <w:i/>
          <w:lang w:val="en-AU"/>
        </w:rPr>
        <w:t xml:space="preserve">you </w:t>
      </w:r>
      <w:r>
        <w:rPr>
          <w:lang w:val="en-AU"/>
        </w:rPr>
        <w:t xml:space="preserve">agree to a </w:t>
      </w:r>
      <w:r>
        <w:rPr>
          <w:i/>
          <w:lang w:val="en-AU"/>
        </w:rPr>
        <w:t>non-fixed length agreement</w:t>
      </w:r>
      <w:r>
        <w:rPr>
          <w:lang w:val="en-AU"/>
        </w:rPr>
        <w:t>.</w:t>
      </w:r>
    </w:p>
    <w:p w14:paraId="4CCC9556" w14:textId="77777777" w:rsidR="000D07EA" w:rsidRDefault="00BE7C89">
      <w:pPr>
        <w:pStyle w:val="Heading6"/>
        <w:ind w:left="0" w:firstLine="0"/>
        <w:rPr>
          <w:lang w:val="en-AU"/>
        </w:rPr>
      </w:pPr>
      <w:bookmarkStart w:id="581" w:name="_Toc306967587"/>
      <w:bookmarkStart w:id="582" w:name="_Toc306091593"/>
      <w:bookmarkStart w:id="583" w:name="_Toc306967588"/>
      <w:bookmarkStart w:id="584" w:name="_Toc397941217"/>
      <w:bookmarkEnd w:id="581"/>
      <w:r>
        <w:rPr>
          <w:lang w:val="en-AU"/>
        </w:rPr>
        <w:t xml:space="preserve">What </w:t>
      </w:r>
      <w:r>
        <w:rPr>
          <w:i/>
          <w:lang w:val="en-AU"/>
        </w:rPr>
        <w:t>you</w:t>
      </w:r>
      <w:r>
        <w:rPr>
          <w:lang w:val="en-AU"/>
        </w:rPr>
        <w:t xml:space="preserve"> have to pay </w:t>
      </w:r>
      <w:r>
        <w:rPr>
          <w:i/>
          <w:lang w:val="en-AU"/>
        </w:rPr>
        <w:t>us</w:t>
      </w:r>
      <w:bookmarkEnd w:id="582"/>
      <w:bookmarkEnd w:id="583"/>
      <w:bookmarkEnd w:id="584"/>
    </w:p>
    <w:p w14:paraId="5F89E9FE" w14:textId="77777777" w:rsidR="000D07EA" w:rsidRDefault="00BE7C89">
      <w:pPr>
        <w:pStyle w:val="Heading7"/>
        <w:rPr>
          <w:lang w:val="en-AU"/>
        </w:rPr>
      </w:pPr>
      <w:r>
        <w:rPr>
          <w:lang w:val="en-AU"/>
        </w:rPr>
        <w:t xml:space="preserve">Subject to the paragraphs below </w:t>
      </w:r>
      <w:r>
        <w:rPr>
          <w:i/>
          <w:lang w:val="en-AU"/>
        </w:rPr>
        <w:t>you</w:t>
      </w:r>
      <w:r>
        <w:rPr>
          <w:lang w:val="en-AU"/>
        </w:rPr>
        <w:t xml:space="preserve"> must pay </w:t>
      </w:r>
      <w:r>
        <w:rPr>
          <w:i/>
          <w:lang w:val="en-AU"/>
        </w:rPr>
        <w:t>us</w:t>
      </w:r>
      <w:r>
        <w:rPr>
          <w:lang w:val="en-AU"/>
        </w:rPr>
        <w:t xml:space="preserve"> for use of the service at the rates set out in </w:t>
      </w:r>
      <w:hyperlink r:id="rId387" w:history="1">
        <w:r>
          <w:rPr>
            <w:rStyle w:val="Hyperlink"/>
            <w:i/>
          </w:rPr>
          <w:t>Section 1</w:t>
        </w:r>
      </w:hyperlink>
      <w:r>
        <w:rPr>
          <w:lang w:val="en-AU"/>
        </w:rPr>
        <w:t xml:space="preserve"> of this </w:t>
      </w:r>
      <w:r>
        <w:rPr>
          <w:i/>
          <w:lang w:val="en-AU"/>
        </w:rPr>
        <w:t>standard pricing table</w:t>
      </w:r>
      <w:r>
        <w:rPr>
          <w:lang w:val="en-AU"/>
        </w:rPr>
        <w:t xml:space="preserve"> and for </w:t>
      </w:r>
      <w:r>
        <w:rPr>
          <w:i/>
          <w:lang w:val="en-AU"/>
        </w:rPr>
        <w:t>value added service features</w:t>
      </w:r>
      <w:r>
        <w:rPr>
          <w:lang w:val="en-AU"/>
        </w:rPr>
        <w:t xml:space="preserve"> at the rates set out in </w:t>
      </w:r>
      <w:hyperlink r:id="rId388" w:history="1">
        <w:r>
          <w:rPr>
            <w:rStyle w:val="Hyperlink"/>
            <w:i/>
          </w:rPr>
          <w:t>Appendix Y</w:t>
        </w:r>
      </w:hyperlink>
      <w:r>
        <w:rPr>
          <w:lang w:val="en-AU"/>
        </w:rPr>
        <w:t xml:space="preserve"> Value Added Service Features.</w:t>
      </w:r>
    </w:p>
    <w:p w14:paraId="48E2A8BD" w14:textId="77777777" w:rsidR="000D07EA" w:rsidRDefault="00BE7C89">
      <w:pPr>
        <w:pStyle w:val="Heading7"/>
        <w:rPr>
          <w:lang w:val="en-AU" w:eastAsia="en-AU"/>
        </w:rPr>
      </w:pPr>
      <w:r>
        <w:rPr>
          <w:lang w:val="en-AU" w:eastAsia="en-AU"/>
        </w:rPr>
        <w:t xml:space="preserve">If there is a </w:t>
      </w:r>
      <w:r>
        <w:rPr>
          <w:i/>
          <w:lang w:val="en-AU" w:eastAsia="en-AU"/>
        </w:rPr>
        <w:t>flagfall</w:t>
      </w:r>
      <w:r>
        <w:rPr>
          <w:lang w:val="en-AU" w:eastAsia="en-AU"/>
        </w:rPr>
        <w:t xml:space="preserve"> or call connection charge for a particular call type, the charge for these calls is the </w:t>
      </w:r>
      <w:r>
        <w:rPr>
          <w:i/>
          <w:lang w:val="en-AU" w:eastAsia="en-AU"/>
        </w:rPr>
        <w:t>flagfall</w:t>
      </w:r>
      <w:r>
        <w:rPr>
          <w:lang w:val="en-AU" w:eastAsia="en-AU"/>
        </w:rPr>
        <w:t xml:space="preserve"> charge plus the relevant rate for the call multiplied by the duration of the call.</w:t>
      </w:r>
    </w:p>
    <w:p w14:paraId="3A7030FA" w14:textId="77777777" w:rsidR="000D07EA" w:rsidRDefault="00BE7C89">
      <w:pPr>
        <w:pStyle w:val="Heading7"/>
        <w:rPr>
          <w:b/>
          <w:lang w:val="en-AU"/>
        </w:rPr>
      </w:pPr>
      <w:r>
        <w:rPr>
          <w:b/>
          <w:lang w:val="en-AU"/>
        </w:rPr>
        <w:t>Minimum Monthly Charge</w:t>
      </w:r>
    </w:p>
    <w:p w14:paraId="7D13CA3F" w14:textId="77777777" w:rsidR="000D07EA" w:rsidRDefault="00BE7C89">
      <w:pPr>
        <w:pStyle w:val="Heading8"/>
        <w:rPr>
          <w:lang w:val="en-AU"/>
        </w:rPr>
      </w:pPr>
      <w:r>
        <w:rPr>
          <w:lang w:val="en-AU"/>
        </w:rPr>
        <w:t xml:space="preserve">Each Business Timeless Plan has a Minimum Monthly Charge amount that </w:t>
      </w:r>
      <w:r>
        <w:rPr>
          <w:i/>
          <w:lang w:val="en-AU"/>
        </w:rPr>
        <w:t>you</w:t>
      </w:r>
      <w:r>
        <w:rPr>
          <w:lang w:val="en-AU"/>
        </w:rPr>
        <w:t xml:space="preserve"> must pay </w:t>
      </w:r>
      <w:r>
        <w:rPr>
          <w:i/>
          <w:lang w:val="en-AU"/>
        </w:rPr>
        <w:t>us</w:t>
      </w:r>
      <w:r>
        <w:rPr>
          <w:lang w:val="en-AU"/>
        </w:rPr>
        <w:t xml:space="preserve"> each month. </w:t>
      </w:r>
    </w:p>
    <w:p w14:paraId="7B42D482" w14:textId="77777777" w:rsidR="000D07EA" w:rsidRDefault="00BE7C89">
      <w:pPr>
        <w:pStyle w:val="Heading8"/>
        <w:rPr>
          <w:lang w:val="en-AU"/>
        </w:rPr>
      </w:pPr>
      <w:r>
        <w:rPr>
          <w:lang w:val="en-AU"/>
        </w:rPr>
        <w:t>The Minimum Monthly Charge for each Business Timeless Plan is set out in Table 3A below.</w:t>
      </w:r>
    </w:p>
    <w:p w14:paraId="4DDF88B8" w14:textId="77777777" w:rsidR="000D07EA" w:rsidRDefault="00BE7C89">
      <w:pPr>
        <w:pStyle w:val="Heading8"/>
        <w:rPr>
          <w:lang w:val="en-AU"/>
        </w:rPr>
      </w:pPr>
      <w:r>
        <w:rPr>
          <w:i/>
          <w:lang w:val="en-AU"/>
        </w:rPr>
        <w:t>You</w:t>
      </w:r>
      <w:r>
        <w:rPr>
          <w:lang w:val="en-AU"/>
        </w:rPr>
        <w:t xml:space="preserve"> must pay </w:t>
      </w:r>
      <w:r>
        <w:rPr>
          <w:i/>
          <w:lang w:val="en-AU"/>
        </w:rPr>
        <w:t>us</w:t>
      </w:r>
      <w:r>
        <w:rPr>
          <w:lang w:val="en-AU"/>
        </w:rPr>
        <w:t xml:space="preserve"> for any calls or usages that are not eligible calls or usage.</w:t>
      </w:r>
    </w:p>
    <w:p w14:paraId="138CE0AD" w14:textId="77777777" w:rsidR="000D07EA" w:rsidRDefault="00BE7C89">
      <w:pPr>
        <w:pStyle w:val="Heading7"/>
        <w:rPr>
          <w:b/>
          <w:lang w:val="en-AU"/>
        </w:rPr>
      </w:pPr>
      <w:r>
        <w:rPr>
          <w:b/>
          <w:lang w:val="en-AU"/>
        </w:rPr>
        <w:t xml:space="preserve">Unlimited Call Offer </w:t>
      </w:r>
    </w:p>
    <w:p w14:paraId="1E93FA8E" w14:textId="77777777" w:rsidR="000D07EA" w:rsidRDefault="00BE7C89">
      <w:pPr>
        <w:pStyle w:val="Heading8"/>
      </w:pPr>
      <w:r>
        <w:t xml:space="preserve">Under the Business Timeless Plans, </w:t>
      </w:r>
      <w:r>
        <w:rPr>
          <w:i/>
          <w:u w:val="single"/>
        </w:rPr>
        <w:t>you</w:t>
      </w:r>
      <w:r>
        <w:t xml:space="preserve"> will receive Unlimited Standard National SMS &amp; MMS, Voice &amp; Video Calls to Australian fixed lines and Australian GSM mobiles (excluding Pivotel), 13/1300/1800 calls to use within Australia.</w:t>
      </w:r>
    </w:p>
    <w:p w14:paraId="2DFFEBC9" w14:textId="77777777" w:rsidR="000D07EA" w:rsidRDefault="00BE7C89">
      <w:pPr>
        <w:pStyle w:val="Heading8"/>
      </w:pPr>
      <w:r>
        <w:t xml:space="preserve">The call, message types and usage that are eligible for each Business Timeless Plan are defined in Table 1A below. </w:t>
      </w:r>
    </w:p>
    <w:p w14:paraId="4E053B76" w14:textId="77777777" w:rsidR="000D07EA" w:rsidRDefault="00BE7C89">
      <w:pPr>
        <w:pStyle w:val="Heading8"/>
      </w:pPr>
      <w:r>
        <w:rPr>
          <w:i/>
        </w:rPr>
        <w:t>You</w:t>
      </w:r>
      <w:r>
        <w:t xml:space="preserve"> must pay for any calls, messages or usage that are not eligible calls or message types.</w:t>
      </w:r>
    </w:p>
    <w:p w14:paraId="39C6F59C" w14:textId="77777777" w:rsidR="000D07EA" w:rsidRDefault="00BE7C89">
      <w:pPr>
        <w:pStyle w:val="Heading8"/>
      </w:pPr>
      <w:r>
        <w:t>The Fair Go Policy (</w:t>
      </w:r>
      <w:hyperlink r:id="rId389" w:history="1">
        <w:r>
          <w:rPr>
            <w:rStyle w:val="Hyperlink"/>
            <w:i/>
          </w:rPr>
          <w:t>Appendix S</w:t>
        </w:r>
      </w:hyperlink>
      <w:r>
        <w:t xml:space="preserve">) applies to the use of the Unlimited Call Offer. Please refer to </w:t>
      </w:r>
      <w:hyperlink r:id="rId390" w:history="1">
        <w:r w:rsidR="008D6257">
          <w:rPr>
            <w:rStyle w:val="Hyperlink"/>
            <w:i/>
          </w:rPr>
          <w:t>Appendix S</w:t>
        </w:r>
      </w:hyperlink>
      <w:r>
        <w:t xml:space="preserve"> for further details.</w:t>
      </w:r>
    </w:p>
    <w:p w14:paraId="20C9300D" w14:textId="77777777" w:rsidR="000D07EA" w:rsidRDefault="00BE7C89">
      <w:pPr>
        <w:pStyle w:val="Heading7"/>
        <w:rPr>
          <w:b/>
        </w:rPr>
      </w:pPr>
      <w:r>
        <w:rPr>
          <w:b/>
        </w:rPr>
        <w:t>Unlimited VoiceMail Deposits and Retrievals</w:t>
      </w:r>
    </w:p>
    <w:p w14:paraId="6145160C" w14:textId="77777777" w:rsidR="000D07EA" w:rsidRDefault="00BE7C89">
      <w:pPr>
        <w:pStyle w:val="Heading8"/>
      </w:pPr>
      <w:r>
        <w:t xml:space="preserve">Under the Business Timeless Plans, </w:t>
      </w:r>
      <w:r>
        <w:rPr>
          <w:i/>
          <w:u w:val="single"/>
        </w:rPr>
        <w:t>you</w:t>
      </w:r>
      <w:r>
        <w:t xml:space="preserve"> will receive Unlimited Voicemail Deposits and Retrievals within Australia. Diversion charges may still apply.</w:t>
      </w:r>
    </w:p>
    <w:p w14:paraId="326BB476" w14:textId="77777777" w:rsidR="000D07EA" w:rsidRDefault="00BE7C89">
      <w:pPr>
        <w:pStyle w:val="Heading8"/>
        <w:rPr>
          <w:b/>
        </w:rPr>
      </w:pPr>
      <w:r>
        <w:t>The Fair Go Policy (</w:t>
      </w:r>
      <w:hyperlink r:id="rId391" w:history="1">
        <w:r>
          <w:rPr>
            <w:rStyle w:val="Hyperlink"/>
            <w:i/>
          </w:rPr>
          <w:t>Appendix S</w:t>
        </w:r>
      </w:hyperlink>
      <w:r>
        <w:t xml:space="preserve">) applies to the use of Unlimited VoiceMail Deposits and Retrievals. Please refer to </w:t>
      </w:r>
      <w:r>
        <w:rPr>
          <w:i/>
        </w:rPr>
        <w:t xml:space="preserve">Appendix </w:t>
      </w:r>
      <w:r w:rsidR="00DD7FB0">
        <w:rPr>
          <w:i/>
        </w:rPr>
        <w:t>S</w:t>
      </w:r>
      <w:r>
        <w:rPr>
          <w:i/>
        </w:rPr>
        <w:t xml:space="preserve"> </w:t>
      </w:r>
      <w:r>
        <w:t xml:space="preserve">for further details. </w:t>
      </w:r>
    </w:p>
    <w:p w14:paraId="68F6CE22" w14:textId="77777777" w:rsidR="000D07EA" w:rsidRDefault="00BE7C89">
      <w:pPr>
        <w:pStyle w:val="Heading7"/>
        <w:rPr>
          <w:b/>
        </w:rPr>
      </w:pPr>
      <w:r>
        <w:rPr>
          <w:b/>
        </w:rPr>
        <w:t>Unlimited mobile access to Facebook®, Twitter, LinkedIn, Ebay, Four Square, MySpace</w:t>
      </w:r>
    </w:p>
    <w:p w14:paraId="5F4EE230" w14:textId="77777777" w:rsidR="000D07EA" w:rsidRDefault="00BE7C89">
      <w:pPr>
        <w:pStyle w:val="Heading8"/>
      </w:pPr>
      <w:r>
        <w:t xml:space="preserve">Under the Business Timeless Plans, </w:t>
      </w:r>
      <w:r>
        <w:rPr>
          <w:i/>
        </w:rPr>
        <w:t>you</w:t>
      </w:r>
      <w:r>
        <w:t xml:space="preserve"> will receive unlimited mobile access to Facebook®, Twitter, LinkedIn, Ebay, Four Square, MySpace within Australia.</w:t>
      </w:r>
    </w:p>
    <w:p w14:paraId="70484498" w14:textId="77777777" w:rsidR="000D07EA" w:rsidRDefault="00BE7C89">
      <w:pPr>
        <w:pStyle w:val="Heading8"/>
      </w:pPr>
      <w:r>
        <w:t xml:space="preserve">These features are only available to </w:t>
      </w:r>
      <w:r>
        <w:rPr>
          <w:i/>
        </w:rPr>
        <w:t>you</w:t>
      </w:r>
      <w:r>
        <w:t xml:space="preserve"> if </w:t>
      </w:r>
      <w:r>
        <w:rPr>
          <w:i/>
        </w:rPr>
        <w:t>your</w:t>
      </w:r>
      <w:r>
        <w:t xml:space="preserve"> handset is compatible with the service.</w:t>
      </w:r>
    </w:p>
    <w:p w14:paraId="1F7C7069" w14:textId="77777777" w:rsidR="000D07EA" w:rsidRDefault="00BE7C89">
      <w:pPr>
        <w:pStyle w:val="Heading8"/>
      </w:pPr>
      <w:r>
        <w:t>The Fair Go Policy (</w:t>
      </w:r>
      <w:hyperlink r:id="rId392" w:history="1">
        <w:r>
          <w:rPr>
            <w:rStyle w:val="Hyperlink"/>
            <w:i/>
          </w:rPr>
          <w:t>Appendix S</w:t>
        </w:r>
      </w:hyperlink>
      <w:r>
        <w:t>)</w:t>
      </w:r>
      <w:r>
        <w:rPr>
          <w:rFonts w:ascii="Times New (W1)" w:hAnsi="Times New (W1)"/>
          <w:vertAlign w:val="superscript"/>
        </w:rPr>
        <w:t xml:space="preserve"> </w:t>
      </w:r>
      <w:r>
        <w:t xml:space="preserve">applies to the use of Unlimited Facebook®, Twitter, LinkedIn, Ebay, Four Square, and MySpace. Please refer to </w:t>
      </w:r>
      <w:hyperlink r:id="rId393" w:history="1">
        <w:r w:rsidR="008D6257">
          <w:rPr>
            <w:rStyle w:val="Hyperlink"/>
            <w:i/>
          </w:rPr>
          <w:t>Appendix S</w:t>
        </w:r>
      </w:hyperlink>
      <w:r>
        <w:t>for further details.</w:t>
      </w:r>
    </w:p>
    <w:p w14:paraId="03F122EC" w14:textId="77777777" w:rsidR="000D07EA" w:rsidRDefault="00BE7C89">
      <w:pPr>
        <w:pStyle w:val="Heading7"/>
        <w:rPr>
          <w:b/>
        </w:rPr>
      </w:pPr>
      <w:r>
        <w:rPr>
          <w:b/>
        </w:rPr>
        <w:t>Included Mobile Internet Data Value or Unlimited BlackBerry POP3 Email and Browsing through the BlackBerry Browser</w:t>
      </w:r>
    </w:p>
    <w:p w14:paraId="54D562BE" w14:textId="77777777" w:rsidR="000D07EA" w:rsidRDefault="00BE7C89">
      <w:pPr>
        <w:pStyle w:val="Heading8"/>
      </w:pPr>
      <w:r>
        <w:t xml:space="preserve">Under the Business Timeless Plans, </w:t>
      </w:r>
      <w:r>
        <w:rPr>
          <w:i/>
        </w:rPr>
        <w:t>you</w:t>
      </w:r>
      <w:r>
        <w:t xml:space="preserve"> can choose from </w:t>
      </w:r>
    </w:p>
    <w:p w14:paraId="1939F6E8" w14:textId="77777777" w:rsidR="000D07EA" w:rsidRDefault="00BE7C89">
      <w:pPr>
        <w:pStyle w:val="Heading9"/>
      </w:pPr>
      <w:r>
        <w:t>Included Mobile Internet Data Value; OR</w:t>
      </w:r>
    </w:p>
    <w:p w14:paraId="5FC1DAA0" w14:textId="77777777" w:rsidR="000D07EA" w:rsidRDefault="00BE7C89">
      <w:pPr>
        <w:pStyle w:val="Heading9"/>
      </w:pPr>
      <w:r>
        <w:lastRenderedPageBreak/>
        <w:t>Unlimited BlackBerry POP3 Email and Browsing through the BlackBerry Browser to use within Australia</w:t>
      </w:r>
    </w:p>
    <w:p w14:paraId="2AED1CBE" w14:textId="77777777" w:rsidR="000D07EA" w:rsidRDefault="00BE7C89">
      <w:pPr>
        <w:pStyle w:val="Heading8"/>
      </w:pPr>
      <w:r>
        <w:t xml:space="preserve">If </w:t>
      </w:r>
      <w:r>
        <w:rPr>
          <w:i/>
        </w:rPr>
        <w:t>you</w:t>
      </w:r>
      <w:r>
        <w:t xml:space="preserve"> select the $129 Business Timeless (Premium H/set) plan, </w:t>
      </w:r>
      <w:r>
        <w:rPr>
          <w:i/>
        </w:rPr>
        <w:t>your</w:t>
      </w:r>
      <w:r>
        <w:t xml:space="preserve"> 10GB or 2GB of Mobile Internet Data Value can be shared with a Business BMB service.</w:t>
      </w:r>
    </w:p>
    <w:p w14:paraId="65747F16" w14:textId="77777777" w:rsidR="000D07EA" w:rsidRDefault="00BE7C89">
      <w:pPr>
        <w:pStyle w:val="Heading8"/>
      </w:pPr>
      <w:r>
        <w:t xml:space="preserve">If </w:t>
      </w:r>
      <w:r>
        <w:rPr>
          <w:i/>
        </w:rPr>
        <w:t>you</w:t>
      </w:r>
      <w:r>
        <w:t xml:space="preserve"> select either the $129 Business Timeless (Premium H/set) plan or the $99 Business Timeless (Premium H/set) plan, </w:t>
      </w:r>
      <w:r>
        <w:rPr>
          <w:i/>
        </w:rPr>
        <w:t>you</w:t>
      </w:r>
      <w:r>
        <w:t xml:space="preserve"> will also get bonus Unlimited Mobile Internet Data to use from </w:t>
      </w:r>
      <w:r>
        <w:rPr>
          <w:i/>
        </w:rPr>
        <w:t>your</w:t>
      </w:r>
      <w:r>
        <w:t xml:space="preserve"> mobile phone only. The </w:t>
      </w:r>
      <w:r>
        <w:rPr>
          <w:b/>
        </w:rPr>
        <w:t>Unlimited Mobile Internet Data</w:t>
      </w:r>
      <w:r>
        <w:t xml:space="preserve"> cannot be shared with the Business BMB service or be used to make </w:t>
      </w:r>
      <w:r>
        <w:rPr>
          <w:i/>
        </w:rPr>
        <w:t>your</w:t>
      </w:r>
      <w:r>
        <w:t xml:space="preserve"> mobile phone operate as a modem.</w:t>
      </w:r>
    </w:p>
    <w:p w14:paraId="413C5592" w14:textId="77777777" w:rsidR="000D07EA" w:rsidRDefault="00BE7C89">
      <w:pPr>
        <w:pStyle w:val="Heading8"/>
      </w:pPr>
      <w:r>
        <w:t xml:space="preserve">If </w:t>
      </w:r>
      <w:r>
        <w:rPr>
          <w:i/>
        </w:rPr>
        <w:t>you</w:t>
      </w:r>
      <w:r>
        <w:t xml:space="preserve"> select the included Mobile Internet Data Value option:</w:t>
      </w:r>
    </w:p>
    <w:p w14:paraId="42AB8F11" w14:textId="77777777" w:rsidR="000D07EA" w:rsidRDefault="00BE7C89">
      <w:pPr>
        <w:pStyle w:val="Heading9"/>
      </w:pPr>
      <w:r>
        <w:t>The amount of 'Mobile Internet Data Value' included, to use within Australia, for each Business Timeless Plan, is set out in Table 3A below.</w:t>
      </w:r>
    </w:p>
    <w:p w14:paraId="4A9C4E86" w14:textId="77777777" w:rsidR="000D07EA" w:rsidRDefault="00BE7C89">
      <w:pPr>
        <w:pStyle w:val="Heading9"/>
      </w:pPr>
      <w:r>
        <w:t>The usage types that are '</w:t>
      </w:r>
      <w:r>
        <w:rPr>
          <w:b/>
        </w:rPr>
        <w:t>eligible data</w:t>
      </w:r>
      <w:r>
        <w:t>' for each Business Timeless Plan under the included Mobile Internet Data Value are defined in Table 2A below.</w:t>
      </w:r>
    </w:p>
    <w:p w14:paraId="697D523A" w14:textId="77777777" w:rsidR="000D07EA" w:rsidRDefault="00BE7C89">
      <w:pPr>
        <w:pStyle w:val="Heading9"/>
      </w:pPr>
      <w:r>
        <w:t>The included data of the Business Timeless plan can be shared with an eligible Business Mobile Broadband service and can only be used within Australia.</w:t>
      </w:r>
    </w:p>
    <w:p w14:paraId="07C87C53" w14:textId="77777777" w:rsidR="000D07EA" w:rsidRDefault="00BE7C89">
      <w:pPr>
        <w:pStyle w:val="Heading9"/>
      </w:pPr>
      <w:r>
        <w:t xml:space="preserve">You must pay </w:t>
      </w:r>
      <w:r>
        <w:rPr>
          <w:i/>
        </w:rPr>
        <w:t>us</w:t>
      </w:r>
      <w:r>
        <w:t xml:space="preserve"> excess usage charges for data used beyond the available 'Mobile Internet Data Value' as shown in Table 3A below. </w:t>
      </w:r>
    </w:p>
    <w:p w14:paraId="31563C4B" w14:textId="77777777" w:rsidR="000D07EA" w:rsidRDefault="00BE7C89">
      <w:pPr>
        <w:pStyle w:val="Heading9"/>
      </w:pPr>
      <w:r>
        <w:t xml:space="preserve">Any unused portion of the 'Mobile Internet Data Value' expires at the end of each month and does not rollover into the following month.   </w:t>
      </w:r>
    </w:p>
    <w:p w14:paraId="5453CF4E" w14:textId="77777777" w:rsidR="000D07EA" w:rsidRDefault="00BE7C89">
      <w:pPr>
        <w:pStyle w:val="Heading8"/>
      </w:pPr>
      <w:r>
        <w:t xml:space="preserve">If </w:t>
      </w:r>
      <w:r>
        <w:rPr>
          <w:i/>
        </w:rPr>
        <w:t>you</w:t>
      </w:r>
      <w:r>
        <w:t xml:space="preserve"> select the Unlimited BlackBerry POP3 Email and Browsing through the BlackBerry Browser option:</w:t>
      </w:r>
    </w:p>
    <w:p w14:paraId="2E44B6CF" w14:textId="77777777" w:rsidR="000D07EA" w:rsidRDefault="00BE7C89">
      <w:pPr>
        <w:pStyle w:val="Heading9"/>
      </w:pPr>
      <w:r>
        <w:rPr>
          <w:i/>
        </w:rPr>
        <w:t>You</w:t>
      </w:r>
      <w:r>
        <w:t xml:space="preserve"> will only receive unlimited BlackBerry POP3 Email and Browsing through the BlackBerry Internet Browser or the BlackBerry Browser and use of applications from Optus and third party applications that require a BlackBerry Data connection, within Australia.</w:t>
      </w:r>
    </w:p>
    <w:p w14:paraId="1D25E404" w14:textId="77777777" w:rsidR="000D07EA" w:rsidRDefault="00BE7C89">
      <w:pPr>
        <w:pStyle w:val="Heading9"/>
      </w:pPr>
      <w:r>
        <w:rPr>
          <w:i/>
        </w:rPr>
        <w:t>You</w:t>
      </w:r>
      <w:r>
        <w:t xml:space="preserve"> will also receive an amount of 'Mobile Internet Data Value' which is set out in Table 3A below.</w:t>
      </w:r>
    </w:p>
    <w:p w14:paraId="51A92580" w14:textId="77777777" w:rsidR="000D07EA" w:rsidRDefault="00BE7C89">
      <w:pPr>
        <w:pStyle w:val="Heading9"/>
      </w:pPr>
      <w:r>
        <w:t>The included data of the Business Complete plan can be shared with an eligible Business Mobile Broadband service.</w:t>
      </w:r>
    </w:p>
    <w:p w14:paraId="6110743E" w14:textId="77777777" w:rsidR="000D07EA" w:rsidRDefault="00BE7C89">
      <w:pPr>
        <w:pStyle w:val="Heading9"/>
      </w:pPr>
      <w:r>
        <w:rPr>
          <w:i/>
        </w:rPr>
        <w:t>You</w:t>
      </w:r>
      <w:r>
        <w:t xml:space="preserve"> must pay </w:t>
      </w:r>
      <w:r>
        <w:rPr>
          <w:i/>
        </w:rPr>
        <w:t>us</w:t>
      </w:r>
      <w:r>
        <w:t xml:space="preserve"> excess usage charges for data made beyond the available 'Mobile Internet Data Value'.</w:t>
      </w:r>
    </w:p>
    <w:p w14:paraId="4F485912" w14:textId="77777777" w:rsidR="000D07EA" w:rsidRDefault="00BE7C89">
      <w:pPr>
        <w:pStyle w:val="Heading9"/>
      </w:pPr>
      <w:r>
        <w:t>Any unused portion of the 'Mobile Internet Data Value' expires at the end of each month and does not roll over into the following month.</w:t>
      </w:r>
    </w:p>
    <w:p w14:paraId="258DEC9F" w14:textId="77777777" w:rsidR="000D07EA" w:rsidRDefault="00BE7C89">
      <w:pPr>
        <w:pStyle w:val="Heading9"/>
      </w:pPr>
      <w:r>
        <w:t>The usage types that are '</w:t>
      </w:r>
      <w:r>
        <w:rPr>
          <w:b/>
        </w:rPr>
        <w:t>eligible data</w:t>
      </w:r>
      <w:r>
        <w:t>' for each Business Timeless Plan under the Unlimited BlackBerry POP3 Email and Browsing through the BlackBerry Browser are defined in Table 2B below.</w:t>
      </w:r>
    </w:p>
    <w:p w14:paraId="50BB4483" w14:textId="77777777" w:rsidR="000D07EA" w:rsidRDefault="00BE7C89">
      <w:pPr>
        <w:pStyle w:val="Heading9"/>
      </w:pPr>
      <w:r>
        <w:t>Use of Unlimited BlackBerry POP3 Email is for personal or business use. The Fair Go Policy (</w:t>
      </w:r>
      <w:hyperlink r:id="rId394" w:history="1">
        <w:r>
          <w:rPr>
            <w:rStyle w:val="Hyperlink"/>
            <w:i/>
          </w:rPr>
          <w:t>Appendix S</w:t>
        </w:r>
      </w:hyperlink>
      <w:r>
        <w:t xml:space="preserve">) applies to unacceptable use. Please refer to </w:t>
      </w:r>
      <w:hyperlink r:id="rId395" w:history="1">
        <w:r w:rsidR="008D6257">
          <w:rPr>
            <w:rStyle w:val="Hyperlink"/>
            <w:i/>
          </w:rPr>
          <w:t>Appendix S</w:t>
        </w:r>
      </w:hyperlink>
      <w:r>
        <w:t xml:space="preserve"> for further details.</w:t>
      </w:r>
    </w:p>
    <w:p w14:paraId="3B402AA2" w14:textId="77777777" w:rsidR="000D07EA" w:rsidRDefault="00BE7C89">
      <w:pPr>
        <w:pStyle w:val="Heading7"/>
        <w:rPr>
          <w:b/>
        </w:rPr>
      </w:pPr>
      <w:r>
        <w:rPr>
          <w:b/>
        </w:rPr>
        <w:t>Unlimited Mobile Internet Data Value on the $129 Business Timeless (Premium H/set) plan</w:t>
      </w:r>
    </w:p>
    <w:p w14:paraId="27B068E9" w14:textId="77777777" w:rsidR="000D07EA" w:rsidRDefault="00BE7C89">
      <w:pPr>
        <w:pStyle w:val="Heading8"/>
      </w:pPr>
      <w:r>
        <w:t xml:space="preserve">On the $129 Business Timeless (Premium H/set) Plan, </w:t>
      </w:r>
      <w:r>
        <w:rPr>
          <w:i/>
        </w:rPr>
        <w:t>you</w:t>
      </w:r>
      <w:r>
        <w:t xml:space="preserve"> will receive unlimited mobile internet data per month to access services on Optus Zoo or Optus iZoo and browsing the Internet from </w:t>
      </w:r>
      <w:r>
        <w:rPr>
          <w:i/>
        </w:rPr>
        <w:t>your</w:t>
      </w:r>
      <w:r>
        <w:t xml:space="preserve"> mobile only. </w:t>
      </w:r>
    </w:p>
    <w:p w14:paraId="35B5873D" w14:textId="77777777" w:rsidR="000D07EA" w:rsidRDefault="00BE7C89">
      <w:pPr>
        <w:pStyle w:val="Heading8"/>
      </w:pPr>
      <w:r>
        <w:lastRenderedPageBreak/>
        <w:t xml:space="preserve">The </w:t>
      </w:r>
      <w:r>
        <w:rPr>
          <w:b/>
        </w:rPr>
        <w:t>Unlimited Mobile Internet Data</w:t>
      </w:r>
      <w:r>
        <w:t xml:space="preserve"> cannot be shared with an eligible Business Mobile Broadband service and </w:t>
      </w:r>
      <w:r>
        <w:rPr>
          <w:i/>
        </w:rPr>
        <w:t>you</w:t>
      </w:r>
      <w:r>
        <w:t xml:space="preserve"> cannot used </w:t>
      </w:r>
      <w:r>
        <w:rPr>
          <w:i/>
        </w:rPr>
        <w:t>your</w:t>
      </w:r>
      <w:r>
        <w:t xml:space="preserve"> mobile as a modem with the </w:t>
      </w:r>
      <w:r>
        <w:rPr>
          <w:b/>
        </w:rPr>
        <w:t>Unlimited Mobile Internet Data</w:t>
      </w:r>
      <w:r>
        <w:t xml:space="preserve">. </w:t>
      </w:r>
    </w:p>
    <w:p w14:paraId="10120BC6" w14:textId="77777777" w:rsidR="000D07EA" w:rsidRDefault="00BE7C89">
      <w:pPr>
        <w:pStyle w:val="Heading8"/>
      </w:pPr>
      <w:r>
        <w:t>The usage types that are '</w:t>
      </w:r>
      <w:r>
        <w:rPr>
          <w:b/>
        </w:rPr>
        <w:t>eligible data</w:t>
      </w:r>
      <w:r>
        <w:t xml:space="preserve">' for the </w:t>
      </w:r>
      <w:r>
        <w:rPr>
          <w:b/>
        </w:rPr>
        <w:t>Unlimited Mobile Internet Data Value</w:t>
      </w:r>
      <w:r>
        <w:t xml:space="preserve"> on the $129 Business Timeless (Premium H/set) plans are defined in Table 2C below.</w:t>
      </w:r>
    </w:p>
    <w:p w14:paraId="1F5A71E4" w14:textId="77777777" w:rsidR="000D07EA" w:rsidRDefault="00BE7C89">
      <w:pPr>
        <w:pStyle w:val="Heading8"/>
      </w:pPr>
      <w:r>
        <w:t>The Fair Go Policy (</w:t>
      </w:r>
      <w:hyperlink r:id="rId396" w:history="1">
        <w:r>
          <w:rPr>
            <w:rStyle w:val="Hyperlink"/>
            <w:i/>
          </w:rPr>
          <w:t>Appendix S</w:t>
        </w:r>
      </w:hyperlink>
      <w:r>
        <w:t xml:space="preserve">) applies to the use of Unlimited Mobile Internet Data. Please refer to </w:t>
      </w:r>
      <w:r>
        <w:rPr>
          <w:i/>
        </w:rPr>
        <w:t xml:space="preserve">Appendix </w:t>
      </w:r>
      <w:r w:rsidR="00DD7FB0">
        <w:rPr>
          <w:i/>
        </w:rPr>
        <w:t>S</w:t>
      </w:r>
      <w:r>
        <w:t xml:space="preserve"> for further details. </w:t>
      </w:r>
    </w:p>
    <w:p w14:paraId="6BCFEBD3" w14:textId="77777777" w:rsidR="000D07EA" w:rsidRDefault="00BE7C89">
      <w:pPr>
        <w:pStyle w:val="Heading7"/>
        <w:rPr>
          <w:b/>
        </w:rPr>
      </w:pPr>
      <w:r>
        <w:rPr>
          <w:b/>
        </w:rPr>
        <w:t>Included International Value</w:t>
      </w:r>
    </w:p>
    <w:p w14:paraId="2297001B" w14:textId="77777777" w:rsidR="000D07EA" w:rsidRDefault="00BE7C89">
      <w:pPr>
        <w:pStyle w:val="Heading8"/>
      </w:pPr>
      <w:r>
        <w:t>On the $129 Business Timeless (Premium H/set) Plan, you will receive included International Value, to use within Australia. The amount of the International Value included for each Business Timeless Plan is set out in Table 3A below.</w:t>
      </w:r>
    </w:p>
    <w:p w14:paraId="15EBC86E" w14:textId="77777777" w:rsidR="000D07EA" w:rsidRDefault="00BE7C89">
      <w:pPr>
        <w:pStyle w:val="Heading8"/>
      </w:pPr>
      <w:r>
        <w:t>The usage types that are '</w:t>
      </w:r>
      <w:r>
        <w:rPr>
          <w:b/>
        </w:rPr>
        <w:t>eligible calls and charges</w:t>
      </w:r>
      <w:r>
        <w:t>' for each Business Timeless Plan under the included International Value are defined in Table 2D below.</w:t>
      </w:r>
    </w:p>
    <w:p w14:paraId="1174D56B" w14:textId="77777777" w:rsidR="000D07EA" w:rsidRDefault="00BE7C89">
      <w:pPr>
        <w:pStyle w:val="Heading8"/>
      </w:pPr>
      <w:r>
        <w:rPr>
          <w:i/>
        </w:rPr>
        <w:t>You</w:t>
      </w:r>
      <w:r>
        <w:t xml:space="preserve"> must pay </w:t>
      </w:r>
      <w:r>
        <w:rPr>
          <w:i/>
        </w:rPr>
        <w:t>us</w:t>
      </w:r>
      <w:r>
        <w:t xml:space="preserve"> for any calls or messages that are not eligible calls or messages under this offer.</w:t>
      </w:r>
    </w:p>
    <w:p w14:paraId="4A2C18DA" w14:textId="77777777" w:rsidR="000D07EA" w:rsidRDefault="00BE7C89">
      <w:pPr>
        <w:pStyle w:val="Heading8"/>
      </w:pPr>
      <w:r>
        <w:rPr>
          <w:i/>
        </w:rPr>
        <w:t>You</w:t>
      </w:r>
      <w:r>
        <w:t xml:space="preserve"> must pay </w:t>
      </w:r>
      <w:r>
        <w:rPr>
          <w:i/>
        </w:rPr>
        <w:t>us</w:t>
      </w:r>
      <w:r>
        <w:t xml:space="preserve"> for any usage over the included International Value. 'yes' Business International Rates apply. See </w:t>
      </w:r>
      <w:hyperlink r:id="rId397" w:history="1">
        <w:r>
          <w:rPr>
            <w:rStyle w:val="Hyperlink"/>
            <w:i/>
          </w:rPr>
          <w:t>Appendix J</w:t>
        </w:r>
      </w:hyperlink>
      <w:r>
        <w:t xml:space="preserve"> for more information.</w:t>
      </w:r>
    </w:p>
    <w:p w14:paraId="18C238C4" w14:textId="77777777" w:rsidR="000D07EA" w:rsidRDefault="00BE7C89">
      <w:pPr>
        <w:pStyle w:val="Heading8"/>
      </w:pPr>
      <w:r>
        <w:t>Any unused portion of the included International Value expires at the end of each month and does not roll over into the following month.</w:t>
      </w:r>
    </w:p>
    <w:p w14:paraId="6E087B4F" w14:textId="77777777" w:rsidR="000D07EA" w:rsidRDefault="00BE7C89">
      <w:pPr>
        <w:pStyle w:val="Heading7"/>
        <w:rPr>
          <w:b/>
        </w:rPr>
      </w:pPr>
      <w:r>
        <w:rPr>
          <w:b/>
        </w:rPr>
        <w:t>Additional benefit - Handset Credit</w:t>
      </w:r>
    </w:p>
    <w:p w14:paraId="566F8A2C" w14:textId="77777777" w:rsidR="000D07EA" w:rsidRDefault="00BE7C89">
      <w:pPr>
        <w:pStyle w:val="Heading8"/>
      </w:pPr>
      <w:r>
        <w:t>If you:</w:t>
      </w:r>
    </w:p>
    <w:p w14:paraId="10149939" w14:textId="77777777" w:rsidR="000D07EA" w:rsidRDefault="00BE7C89">
      <w:pPr>
        <w:pStyle w:val="Heading9"/>
      </w:pPr>
      <w:r>
        <w:t xml:space="preserve">connect to either the $99 or $129 Business Timeless (Nov-11 Premium H/set) plan on a 12 month or 24 month </w:t>
      </w:r>
      <w:r>
        <w:rPr>
          <w:i/>
        </w:rPr>
        <w:t>minimum term</w:t>
      </w:r>
      <w:r>
        <w:t xml:space="preserve">; and </w:t>
      </w:r>
    </w:p>
    <w:p w14:paraId="0146CE04" w14:textId="77777777" w:rsidR="000D07EA" w:rsidRDefault="00BE7C89">
      <w:pPr>
        <w:pStyle w:val="Heading9"/>
      </w:pPr>
      <w:r>
        <w:t xml:space="preserve">purchase a </w:t>
      </w:r>
      <w:r>
        <w:rPr>
          <w:i/>
        </w:rPr>
        <w:t>mobile phone</w:t>
      </w:r>
      <w:r>
        <w:t xml:space="preserve"> with a 12 month or 24 month </w:t>
      </w:r>
      <w:r>
        <w:rPr>
          <w:i/>
        </w:rPr>
        <w:t>equipment term</w:t>
      </w:r>
      <w:r>
        <w:t xml:space="preserve"> under a </w:t>
      </w:r>
      <w:r>
        <w:rPr>
          <w:i/>
        </w:rPr>
        <w:t>mobile equipment payment plan</w:t>
      </w:r>
      <w:r>
        <w:t xml:space="preserve">, depending on </w:t>
      </w:r>
      <w:r>
        <w:rPr>
          <w:i/>
        </w:rPr>
        <w:t>your pricing plan</w:t>
      </w:r>
      <w:r>
        <w:t xml:space="preserve">, </w:t>
      </w:r>
      <w:r>
        <w:rPr>
          <w:i/>
        </w:rPr>
        <w:t>you</w:t>
      </w:r>
      <w:r>
        <w:t xml:space="preserve"> will receive an amount to offset the cost of your </w:t>
      </w:r>
      <w:r>
        <w:rPr>
          <w:i/>
        </w:rPr>
        <w:t>mobile phone</w:t>
      </w:r>
      <w:r>
        <w:t xml:space="preserve"> (</w:t>
      </w:r>
      <w:r>
        <w:rPr>
          <w:b/>
        </w:rPr>
        <w:t>Handset Credit</w:t>
      </w:r>
      <w:r>
        <w:t xml:space="preserve">) of up to $20 for each month for the contracted period of </w:t>
      </w:r>
      <w:r>
        <w:rPr>
          <w:i/>
        </w:rPr>
        <w:t>your</w:t>
      </w:r>
      <w:r>
        <w:t xml:space="preserve"> selected plan to put towards reducing the monthly repayment costs of the handset (if any). </w:t>
      </w:r>
    </w:p>
    <w:p w14:paraId="145A2CAC" w14:textId="77777777" w:rsidR="000D07EA" w:rsidRDefault="00BE7C89">
      <w:pPr>
        <w:pStyle w:val="Heading8"/>
      </w:pPr>
      <w:r>
        <w:t xml:space="preserve">If </w:t>
      </w:r>
      <w:r>
        <w:rPr>
          <w:i/>
        </w:rPr>
        <w:t>you</w:t>
      </w:r>
      <w:r>
        <w:t xml:space="preserve"> cancel </w:t>
      </w:r>
      <w:r>
        <w:rPr>
          <w:i/>
        </w:rPr>
        <w:t>your</w:t>
      </w:r>
      <w:r>
        <w:t xml:space="preserve"> plan and/or the </w:t>
      </w:r>
      <w:r>
        <w:rPr>
          <w:i/>
        </w:rPr>
        <w:t>mobile equipment payment plan</w:t>
      </w:r>
      <w:r>
        <w:t xml:space="preserve"> during the contracted period, </w:t>
      </w:r>
      <w:r>
        <w:rPr>
          <w:i/>
        </w:rPr>
        <w:t>you</w:t>
      </w:r>
      <w:r>
        <w:t xml:space="preserve"> will no longer be entitled to the Handset Credit and </w:t>
      </w:r>
      <w:r>
        <w:rPr>
          <w:i/>
        </w:rPr>
        <w:t>you</w:t>
      </w:r>
      <w:r>
        <w:t xml:space="preserve"> must pay the remaining </w:t>
      </w:r>
      <w:r>
        <w:rPr>
          <w:i/>
        </w:rPr>
        <w:t>mobile equipment payment</w:t>
      </w:r>
      <w:r>
        <w:t xml:space="preserve"> in addition to any </w:t>
      </w:r>
      <w:r>
        <w:rPr>
          <w:i/>
        </w:rPr>
        <w:t>cancellation fee</w:t>
      </w:r>
      <w:r>
        <w:t xml:space="preserve"> required by Clause </w:t>
      </w:r>
      <w:r>
        <w:fldChar w:fldCharType="begin"/>
      </w:r>
      <w:r>
        <w:instrText xml:space="preserve"> REF _Ref461552255 \n \h </w:instrText>
      </w:r>
      <w:r>
        <w:fldChar w:fldCharType="separate"/>
      </w:r>
      <w:r w:rsidR="0004083A">
        <w:t>98.7</w:t>
      </w:r>
      <w:r>
        <w:fldChar w:fldCharType="end"/>
      </w:r>
      <w:r>
        <w:t>.</w:t>
      </w:r>
    </w:p>
    <w:p w14:paraId="62708552" w14:textId="77777777" w:rsidR="000D07EA" w:rsidRDefault="00BE7C89">
      <w:pPr>
        <w:pStyle w:val="Heading7"/>
        <w:rPr>
          <w:b/>
        </w:rPr>
      </w:pPr>
      <w:r>
        <w:rPr>
          <w:b/>
        </w:rPr>
        <w:t xml:space="preserve">Other Business Timeless Plan Conditions </w:t>
      </w:r>
    </w:p>
    <w:p w14:paraId="11B78108" w14:textId="77777777" w:rsidR="000D07EA" w:rsidRDefault="00BE7C89">
      <w:pPr>
        <w:pStyle w:val="Heading8"/>
      </w:pPr>
      <w:r>
        <w:t xml:space="preserve">Available features will vary depending on </w:t>
      </w:r>
      <w:r>
        <w:rPr>
          <w:i/>
        </w:rPr>
        <w:t>your</w:t>
      </w:r>
      <w:r>
        <w:t xml:space="preserve"> handset or software version.</w:t>
      </w:r>
    </w:p>
    <w:p w14:paraId="47DDD0CB" w14:textId="77777777" w:rsidR="000D07EA" w:rsidRDefault="00BE7C89">
      <w:pPr>
        <w:pStyle w:val="Heading8"/>
      </w:pPr>
      <w:r>
        <w:t>The Fair Go Policy (</w:t>
      </w:r>
      <w:hyperlink r:id="rId398" w:history="1">
        <w:r>
          <w:rPr>
            <w:rStyle w:val="Hyperlink"/>
            <w:i/>
          </w:rPr>
          <w:t>Appendix S</w:t>
        </w:r>
      </w:hyperlink>
      <w:r>
        <w:t xml:space="preserve">) applies to Voice Over Internet Protocol (VOIP) services up to 10 megabytes per month. Please refer to </w:t>
      </w:r>
      <w:hyperlink r:id="rId399" w:history="1">
        <w:r w:rsidR="008D6257">
          <w:rPr>
            <w:rStyle w:val="Hyperlink"/>
            <w:i/>
          </w:rPr>
          <w:t>Appendix S</w:t>
        </w:r>
      </w:hyperlink>
      <w:r>
        <w:t>.</w:t>
      </w:r>
    </w:p>
    <w:p w14:paraId="239FE120" w14:textId="77777777" w:rsidR="000D07EA" w:rsidRDefault="00BE7C89">
      <w:pPr>
        <w:pStyle w:val="Heading8"/>
      </w:pPr>
      <w:r>
        <w:t xml:space="preserve">Voice Over Internet Protocol (VOIP) services will be charged at 1.5c per kilobyte of usage, capped at $9.90 per month until </w:t>
      </w:r>
      <w:r>
        <w:rPr>
          <w:i/>
        </w:rPr>
        <w:t>you</w:t>
      </w:r>
      <w:r>
        <w:t xml:space="preserve"> reach 5 megabytes of usage in that month, after which </w:t>
      </w:r>
      <w:r>
        <w:rPr>
          <w:i/>
        </w:rPr>
        <w:t>you</w:t>
      </w:r>
      <w:r>
        <w:t xml:space="preserve"> will be charged at 0.3c per kilobyte of usage for the remainder of that month.</w:t>
      </w:r>
    </w:p>
    <w:p w14:paraId="478C593F" w14:textId="77777777" w:rsidR="000D07EA" w:rsidRDefault="00BE7C89">
      <w:pPr>
        <w:pStyle w:val="Heading7"/>
        <w:rPr>
          <w:b/>
        </w:rPr>
      </w:pPr>
      <w:r>
        <w:rPr>
          <w:b/>
        </w:rPr>
        <w:t>Eligible Calls, Messages and Pricing Plans</w:t>
      </w:r>
    </w:p>
    <w:p w14:paraId="6E48B0CF" w14:textId="77777777" w:rsidR="000D07EA" w:rsidRDefault="00BE7C89">
      <w:pPr>
        <w:pStyle w:val="Heading8"/>
      </w:pPr>
      <w:r>
        <w:t>Table 1A below indicates whether a particular call or message type is 'eligible' in the unlimited offer for the Business Timeless Plan.</w:t>
      </w:r>
    </w:p>
    <w:p w14:paraId="75B3D6C1" w14:textId="77777777" w:rsidR="000D07EA" w:rsidRDefault="00BE7C89">
      <w:pPr>
        <w:pStyle w:val="Heading8"/>
      </w:pPr>
      <w:r>
        <w:lastRenderedPageBreak/>
        <w:t xml:space="preserve">Table 2A below indicates whether a particular data type is 'eligible data usage' which counts towards the Included Mobile Internet Data value of </w:t>
      </w:r>
      <w:r>
        <w:rPr>
          <w:i/>
        </w:rPr>
        <w:t>your</w:t>
      </w:r>
      <w:r>
        <w:t xml:space="preserve"> selected Business Timeless Plan. </w:t>
      </w:r>
    </w:p>
    <w:p w14:paraId="0F429723" w14:textId="77777777" w:rsidR="000D07EA" w:rsidRDefault="00BE7C89">
      <w:pPr>
        <w:pStyle w:val="Heading8"/>
      </w:pPr>
      <w:r>
        <w:t xml:space="preserve">Table 2B below indicates whether a particular data type is 'eligible data usage' which counts towards the Unlimited BlackBerry POP3 Email and Browsing through the BlackBerry Browser value of </w:t>
      </w:r>
      <w:r>
        <w:rPr>
          <w:i/>
        </w:rPr>
        <w:t>your</w:t>
      </w:r>
      <w:r>
        <w:t xml:space="preserve"> selected Business Timeless Plan.</w:t>
      </w:r>
    </w:p>
    <w:p w14:paraId="08ACD849" w14:textId="77777777" w:rsidR="000D07EA" w:rsidRDefault="00BE7C89">
      <w:pPr>
        <w:pStyle w:val="Heading8"/>
      </w:pPr>
      <w:r>
        <w:t xml:space="preserve">Table 2C below indicates whether a particular call type is 'eligible call' which counts towards the included International Value of </w:t>
      </w:r>
      <w:r>
        <w:rPr>
          <w:i/>
        </w:rPr>
        <w:t>your</w:t>
      </w:r>
      <w:r>
        <w:t xml:space="preserve"> selected Business Timeless Plan.</w:t>
      </w:r>
    </w:p>
    <w:p w14:paraId="69F20F55" w14:textId="77777777" w:rsidR="000D07EA" w:rsidRDefault="00BE7C89">
      <w:pPr>
        <w:pStyle w:val="Heading8"/>
      </w:pPr>
      <w:r>
        <w:t>Table 3A below contains pricing details of each Business Timeless Plan.</w:t>
      </w:r>
    </w:p>
    <w:p w14:paraId="06430D2B" w14:textId="77777777" w:rsidR="000D07EA" w:rsidRDefault="00BE7C89">
      <w:pPr>
        <w:pStyle w:val="BodyText"/>
        <w:ind w:left="720"/>
        <w:rPr>
          <w:b/>
        </w:rPr>
      </w:pPr>
      <w:bookmarkStart w:id="585" w:name="_Toc314147499"/>
      <w:bookmarkStart w:id="586" w:name="_Toc397941235"/>
      <w:r>
        <w:rPr>
          <w:b/>
        </w:rPr>
        <w:t>Table 1A – Eligible Calls</w:t>
      </w: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661"/>
        <w:gridCol w:w="2401"/>
        <w:gridCol w:w="2399"/>
      </w:tblGrid>
      <w:tr w:rsidR="000D07EA" w14:paraId="0F729586" w14:textId="77777777">
        <w:trPr>
          <w:tblHeader/>
        </w:trPr>
        <w:tc>
          <w:tcPr>
            <w:tcW w:w="2463" w:type="pct"/>
          </w:tcPr>
          <w:p w14:paraId="555CE391" w14:textId="77777777" w:rsidR="000D07EA" w:rsidRDefault="00BE7C89">
            <w:pPr>
              <w:pStyle w:val="BodyText"/>
              <w:spacing w:before="100" w:after="100"/>
              <w:rPr>
                <w:b/>
              </w:rPr>
            </w:pPr>
            <w:r>
              <w:rPr>
                <w:b/>
              </w:rPr>
              <w:t>Call Type</w:t>
            </w:r>
          </w:p>
        </w:tc>
        <w:tc>
          <w:tcPr>
            <w:tcW w:w="2537" w:type="pct"/>
            <w:gridSpan w:val="2"/>
          </w:tcPr>
          <w:p w14:paraId="67930D50" w14:textId="77777777" w:rsidR="000D07EA" w:rsidRDefault="00BE7C89">
            <w:pPr>
              <w:pStyle w:val="BodyText"/>
              <w:spacing w:before="100" w:after="100"/>
              <w:jc w:val="center"/>
              <w:rPr>
                <w:b/>
              </w:rPr>
            </w:pPr>
            <w:r>
              <w:rPr>
                <w:b/>
              </w:rPr>
              <w:t>Eligible Call</w:t>
            </w:r>
          </w:p>
        </w:tc>
      </w:tr>
      <w:tr w:rsidR="000D07EA" w14:paraId="5E40D3F6" w14:textId="77777777">
        <w:trPr>
          <w:tblHeader/>
        </w:trPr>
        <w:tc>
          <w:tcPr>
            <w:tcW w:w="2463" w:type="pct"/>
          </w:tcPr>
          <w:p w14:paraId="39DEF8E4" w14:textId="77777777" w:rsidR="000D07EA" w:rsidRDefault="000D07EA">
            <w:pPr>
              <w:pStyle w:val="BodyText"/>
              <w:spacing w:before="100" w:after="100"/>
              <w:rPr>
                <w:b/>
              </w:rPr>
            </w:pPr>
          </w:p>
        </w:tc>
        <w:tc>
          <w:tcPr>
            <w:tcW w:w="1269" w:type="pct"/>
          </w:tcPr>
          <w:p w14:paraId="39FF1A0C" w14:textId="77777777" w:rsidR="000D07EA" w:rsidRDefault="00BE7C89">
            <w:pPr>
              <w:pStyle w:val="BodyText"/>
              <w:spacing w:before="100" w:after="100"/>
              <w:jc w:val="center"/>
              <w:rPr>
                <w:b/>
              </w:rPr>
            </w:pPr>
            <w:r>
              <w:rPr>
                <w:b/>
              </w:rPr>
              <w:t>$99 Business Timeless (Nov-11 Premium H/set)</w:t>
            </w:r>
          </w:p>
        </w:tc>
        <w:tc>
          <w:tcPr>
            <w:tcW w:w="1268" w:type="pct"/>
          </w:tcPr>
          <w:p w14:paraId="0A970253" w14:textId="77777777" w:rsidR="000D07EA" w:rsidRDefault="00BE7C89">
            <w:pPr>
              <w:pStyle w:val="BodyText"/>
              <w:spacing w:before="100" w:after="100"/>
              <w:jc w:val="center"/>
              <w:rPr>
                <w:b/>
              </w:rPr>
            </w:pPr>
            <w:r>
              <w:rPr>
                <w:b/>
              </w:rPr>
              <w:t>$129 Business Timeless (Nov-11 Premium H/set)</w:t>
            </w:r>
          </w:p>
        </w:tc>
      </w:tr>
      <w:tr w:rsidR="000D07EA" w14:paraId="68D5ED96" w14:textId="77777777">
        <w:tc>
          <w:tcPr>
            <w:tcW w:w="2463" w:type="pct"/>
          </w:tcPr>
          <w:p w14:paraId="78106BD7" w14:textId="77777777" w:rsidR="000D07EA" w:rsidRDefault="00BE7C89">
            <w:pPr>
              <w:pStyle w:val="BodyText"/>
              <w:spacing w:before="100" w:after="100"/>
            </w:pPr>
            <w:r>
              <w:t>Standard National Voice Calls</w:t>
            </w:r>
          </w:p>
        </w:tc>
        <w:tc>
          <w:tcPr>
            <w:tcW w:w="2537" w:type="pct"/>
            <w:gridSpan w:val="2"/>
          </w:tcPr>
          <w:p w14:paraId="29061164" w14:textId="77777777" w:rsidR="000D07EA" w:rsidRDefault="00BE7C89">
            <w:pPr>
              <w:pStyle w:val="BodyText"/>
              <w:spacing w:before="100" w:after="100"/>
              <w:jc w:val="center"/>
            </w:pPr>
            <w:r>
              <w:t>Yes</w:t>
            </w:r>
          </w:p>
        </w:tc>
      </w:tr>
      <w:tr w:rsidR="000D07EA" w14:paraId="7F6BA91D" w14:textId="77777777">
        <w:tc>
          <w:tcPr>
            <w:tcW w:w="2463" w:type="pct"/>
          </w:tcPr>
          <w:p w14:paraId="72087F89" w14:textId="77777777" w:rsidR="000D07EA" w:rsidRDefault="00BE7C89">
            <w:pPr>
              <w:pStyle w:val="BodyText"/>
              <w:spacing w:before="100" w:after="100"/>
            </w:pPr>
            <w:r>
              <w:t>Standard National Video Calls</w:t>
            </w:r>
          </w:p>
        </w:tc>
        <w:tc>
          <w:tcPr>
            <w:tcW w:w="2537" w:type="pct"/>
            <w:gridSpan w:val="2"/>
          </w:tcPr>
          <w:p w14:paraId="4B11A820" w14:textId="77777777" w:rsidR="000D07EA" w:rsidRDefault="00BE7C89">
            <w:pPr>
              <w:pStyle w:val="BodyText"/>
              <w:spacing w:before="100" w:after="100"/>
              <w:jc w:val="center"/>
            </w:pPr>
            <w:r>
              <w:t>Yes</w:t>
            </w:r>
          </w:p>
        </w:tc>
      </w:tr>
      <w:tr w:rsidR="000D07EA" w14:paraId="0BF70274" w14:textId="77777777">
        <w:tc>
          <w:tcPr>
            <w:tcW w:w="2463" w:type="pct"/>
          </w:tcPr>
          <w:p w14:paraId="6043C767" w14:textId="77777777" w:rsidR="000D07EA" w:rsidRDefault="00BE7C89">
            <w:pPr>
              <w:pStyle w:val="BodyText"/>
              <w:spacing w:before="100" w:after="100"/>
            </w:pPr>
            <w:r>
              <w:t>International Voice Calls</w:t>
            </w:r>
          </w:p>
          <w:p w14:paraId="23459CA7" w14:textId="77777777" w:rsidR="000D07EA" w:rsidRDefault="00BE7C89">
            <w:pPr>
              <w:pStyle w:val="BodyText"/>
              <w:spacing w:before="100" w:after="100"/>
            </w:pPr>
            <w:r>
              <w:t>(includes calls to national fixed or GSM mobile services that then divert/switch or re-route overseas)</w:t>
            </w:r>
          </w:p>
        </w:tc>
        <w:tc>
          <w:tcPr>
            <w:tcW w:w="2537" w:type="pct"/>
            <w:gridSpan w:val="2"/>
          </w:tcPr>
          <w:p w14:paraId="40976B2A" w14:textId="77777777" w:rsidR="000D07EA" w:rsidRDefault="00BE7C89">
            <w:pPr>
              <w:pStyle w:val="BodyText"/>
              <w:spacing w:before="100" w:after="100"/>
              <w:jc w:val="center"/>
            </w:pPr>
            <w:r>
              <w:t>No</w:t>
            </w:r>
          </w:p>
        </w:tc>
      </w:tr>
      <w:tr w:rsidR="000D07EA" w14:paraId="1D7233FE" w14:textId="77777777">
        <w:tc>
          <w:tcPr>
            <w:tcW w:w="2463" w:type="pct"/>
          </w:tcPr>
          <w:p w14:paraId="1E25C79A" w14:textId="77777777" w:rsidR="000D07EA" w:rsidRDefault="00BE7C89">
            <w:pPr>
              <w:pStyle w:val="BodyText"/>
              <w:spacing w:before="100" w:after="100"/>
            </w:pPr>
            <w:r>
              <w:t>International Video Calls</w:t>
            </w:r>
          </w:p>
          <w:p w14:paraId="2A671FE9" w14:textId="77777777" w:rsidR="000D07EA" w:rsidRDefault="00BE7C89">
            <w:pPr>
              <w:pStyle w:val="BodyText"/>
              <w:spacing w:before="100" w:after="100"/>
            </w:pPr>
            <w:r>
              <w:t>(includes calls to national fixed or GSM mobile services that then divert/switch or re-route overseas)</w:t>
            </w:r>
          </w:p>
        </w:tc>
        <w:tc>
          <w:tcPr>
            <w:tcW w:w="2537" w:type="pct"/>
            <w:gridSpan w:val="2"/>
          </w:tcPr>
          <w:p w14:paraId="513FF3A0" w14:textId="77777777" w:rsidR="000D07EA" w:rsidRDefault="00BE7C89">
            <w:pPr>
              <w:pStyle w:val="BodyText"/>
              <w:spacing w:before="100" w:after="100"/>
              <w:jc w:val="center"/>
            </w:pPr>
            <w:r>
              <w:t>No</w:t>
            </w:r>
          </w:p>
        </w:tc>
      </w:tr>
      <w:tr w:rsidR="000D07EA" w14:paraId="299E5E26" w14:textId="77777777">
        <w:tc>
          <w:tcPr>
            <w:tcW w:w="2463" w:type="pct"/>
          </w:tcPr>
          <w:p w14:paraId="41415C35" w14:textId="77777777" w:rsidR="000D07EA" w:rsidRDefault="00BE7C89">
            <w:pPr>
              <w:pStyle w:val="BodyText"/>
              <w:spacing w:before="100" w:after="100"/>
            </w:pPr>
            <w:r>
              <w:t>Standard National SMS</w:t>
            </w:r>
          </w:p>
        </w:tc>
        <w:tc>
          <w:tcPr>
            <w:tcW w:w="2537" w:type="pct"/>
            <w:gridSpan w:val="2"/>
          </w:tcPr>
          <w:p w14:paraId="037B3B4B" w14:textId="77777777" w:rsidR="000D07EA" w:rsidRDefault="00BE7C89">
            <w:pPr>
              <w:pStyle w:val="BodyText"/>
              <w:spacing w:before="100" w:after="100"/>
              <w:jc w:val="center"/>
            </w:pPr>
            <w:r>
              <w:t>Yes</w:t>
            </w:r>
          </w:p>
        </w:tc>
      </w:tr>
      <w:tr w:rsidR="000D07EA" w14:paraId="2D460DF5" w14:textId="77777777">
        <w:tc>
          <w:tcPr>
            <w:tcW w:w="2463" w:type="pct"/>
          </w:tcPr>
          <w:p w14:paraId="3B8EB098" w14:textId="77777777" w:rsidR="000D07EA" w:rsidRDefault="00BE7C89">
            <w:pPr>
              <w:pStyle w:val="BodyText"/>
              <w:spacing w:before="100" w:after="100"/>
            </w:pPr>
            <w:r>
              <w:t>International SMS</w:t>
            </w:r>
          </w:p>
        </w:tc>
        <w:tc>
          <w:tcPr>
            <w:tcW w:w="2537" w:type="pct"/>
            <w:gridSpan w:val="2"/>
          </w:tcPr>
          <w:p w14:paraId="6C199A6C" w14:textId="77777777" w:rsidR="000D07EA" w:rsidRDefault="00BE7C89">
            <w:pPr>
              <w:pStyle w:val="BodyText"/>
              <w:spacing w:before="100" w:after="100"/>
              <w:jc w:val="center"/>
            </w:pPr>
            <w:r>
              <w:t>No</w:t>
            </w:r>
          </w:p>
        </w:tc>
      </w:tr>
      <w:tr w:rsidR="000D07EA" w14:paraId="66C0581B" w14:textId="77777777">
        <w:tc>
          <w:tcPr>
            <w:tcW w:w="2463" w:type="pct"/>
          </w:tcPr>
          <w:p w14:paraId="7392390E" w14:textId="77777777" w:rsidR="000D07EA" w:rsidRDefault="00BE7C89">
            <w:pPr>
              <w:pStyle w:val="BodyText"/>
              <w:spacing w:before="100" w:after="100"/>
            </w:pPr>
            <w:r>
              <w:t>Standard National MMS</w:t>
            </w:r>
          </w:p>
        </w:tc>
        <w:tc>
          <w:tcPr>
            <w:tcW w:w="2537" w:type="pct"/>
            <w:gridSpan w:val="2"/>
          </w:tcPr>
          <w:p w14:paraId="4BA3D21C" w14:textId="77777777" w:rsidR="000D07EA" w:rsidRDefault="00BE7C89">
            <w:pPr>
              <w:pStyle w:val="BodyText"/>
              <w:spacing w:before="100" w:after="100"/>
              <w:jc w:val="center"/>
            </w:pPr>
            <w:r>
              <w:t>Yes</w:t>
            </w:r>
          </w:p>
        </w:tc>
      </w:tr>
      <w:tr w:rsidR="000D07EA" w14:paraId="7FF30768" w14:textId="77777777">
        <w:tc>
          <w:tcPr>
            <w:tcW w:w="2463" w:type="pct"/>
          </w:tcPr>
          <w:p w14:paraId="7C00FF23" w14:textId="77777777" w:rsidR="000D07EA" w:rsidRDefault="00BE7C89">
            <w:pPr>
              <w:pStyle w:val="BodyText"/>
              <w:spacing w:before="100" w:after="100"/>
            </w:pPr>
            <w:r>
              <w:t>International MMS</w:t>
            </w:r>
          </w:p>
        </w:tc>
        <w:tc>
          <w:tcPr>
            <w:tcW w:w="2537" w:type="pct"/>
            <w:gridSpan w:val="2"/>
          </w:tcPr>
          <w:p w14:paraId="4D48E12B" w14:textId="77777777" w:rsidR="000D07EA" w:rsidRDefault="00BE7C89">
            <w:pPr>
              <w:pStyle w:val="BodyText"/>
              <w:spacing w:before="100" w:after="100"/>
              <w:jc w:val="center"/>
            </w:pPr>
            <w:r>
              <w:t>No</w:t>
            </w:r>
          </w:p>
        </w:tc>
      </w:tr>
      <w:tr w:rsidR="000D07EA" w14:paraId="079E3312" w14:textId="77777777">
        <w:tc>
          <w:tcPr>
            <w:tcW w:w="2463" w:type="pct"/>
          </w:tcPr>
          <w:p w14:paraId="29702A5A" w14:textId="77777777" w:rsidR="000D07EA" w:rsidRDefault="00BE7C89">
            <w:pPr>
              <w:pStyle w:val="BodyText"/>
              <w:spacing w:before="100" w:after="100"/>
            </w:pPr>
            <w:r>
              <w:t>National Diversions</w:t>
            </w:r>
          </w:p>
        </w:tc>
        <w:tc>
          <w:tcPr>
            <w:tcW w:w="2537" w:type="pct"/>
            <w:gridSpan w:val="2"/>
          </w:tcPr>
          <w:p w14:paraId="4F15850D" w14:textId="77777777" w:rsidR="000D07EA" w:rsidRDefault="00BE7C89">
            <w:pPr>
              <w:pStyle w:val="BodyText"/>
              <w:spacing w:before="100" w:after="100"/>
              <w:jc w:val="center"/>
            </w:pPr>
            <w:r>
              <w:t>Yes</w:t>
            </w:r>
          </w:p>
        </w:tc>
      </w:tr>
      <w:tr w:rsidR="000D07EA" w14:paraId="539A399B" w14:textId="77777777">
        <w:tc>
          <w:tcPr>
            <w:tcW w:w="2463" w:type="pct"/>
          </w:tcPr>
          <w:p w14:paraId="5B19E9DE" w14:textId="77777777" w:rsidR="000D07EA" w:rsidRDefault="00BE7C89">
            <w:pPr>
              <w:pStyle w:val="BodyText"/>
              <w:spacing w:before="100" w:after="100"/>
            </w:pPr>
            <w:r>
              <w:t>Voicemail Diversions</w:t>
            </w:r>
          </w:p>
        </w:tc>
        <w:tc>
          <w:tcPr>
            <w:tcW w:w="2537" w:type="pct"/>
            <w:gridSpan w:val="2"/>
          </w:tcPr>
          <w:p w14:paraId="0C2DC98F" w14:textId="77777777" w:rsidR="000D07EA" w:rsidRDefault="00BE7C89">
            <w:pPr>
              <w:pStyle w:val="BodyText"/>
              <w:spacing w:before="100" w:after="100"/>
              <w:jc w:val="center"/>
            </w:pPr>
            <w:r>
              <w:t>Yes</w:t>
            </w:r>
          </w:p>
        </w:tc>
      </w:tr>
      <w:tr w:rsidR="000D07EA" w14:paraId="7A5C57A2" w14:textId="77777777">
        <w:tc>
          <w:tcPr>
            <w:tcW w:w="2463" w:type="pct"/>
          </w:tcPr>
          <w:p w14:paraId="5EA0D429" w14:textId="77777777" w:rsidR="000D07EA" w:rsidRDefault="00BE7C89">
            <w:pPr>
              <w:pStyle w:val="BodyText"/>
              <w:spacing w:before="100" w:after="100"/>
            </w:pPr>
            <w:r>
              <w:t>Voicemail Deposit and Retrievals</w:t>
            </w:r>
          </w:p>
        </w:tc>
        <w:tc>
          <w:tcPr>
            <w:tcW w:w="2537" w:type="pct"/>
            <w:gridSpan w:val="2"/>
          </w:tcPr>
          <w:p w14:paraId="5AF81577" w14:textId="77777777" w:rsidR="000D07EA" w:rsidRDefault="00BE7C89">
            <w:pPr>
              <w:pStyle w:val="BodyText"/>
              <w:spacing w:before="100" w:after="100"/>
              <w:jc w:val="center"/>
            </w:pPr>
            <w:r>
              <w:t>Yes</w:t>
            </w:r>
          </w:p>
        </w:tc>
      </w:tr>
      <w:tr w:rsidR="000D07EA" w14:paraId="7C7D604C" w14:textId="77777777">
        <w:tc>
          <w:tcPr>
            <w:tcW w:w="2463" w:type="pct"/>
          </w:tcPr>
          <w:p w14:paraId="439AE726" w14:textId="77777777" w:rsidR="000D07EA" w:rsidRDefault="00BE7C89">
            <w:pPr>
              <w:pStyle w:val="BodyText"/>
              <w:spacing w:before="100" w:after="100"/>
            </w:pPr>
            <w:r>
              <w:t>International Roaming and Diversion</w:t>
            </w:r>
          </w:p>
        </w:tc>
        <w:tc>
          <w:tcPr>
            <w:tcW w:w="2537" w:type="pct"/>
            <w:gridSpan w:val="2"/>
          </w:tcPr>
          <w:p w14:paraId="28A27C0A" w14:textId="77777777" w:rsidR="000D07EA" w:rsidRDefault="00BE7C89">
            <w:pPr>
              <w:pStyle w:val="BodyText"/>
              <w:spacing w:before="100" w:after="100"/>
              <w:jc w:val="center"/>
            </w:pPr>
            <w:r>
              <w:t>No</w:t>
            </w:r>
          </w:p>
        </w:tc>
      </w:tr>
      <w:tr w:rsidR="000D07EA" w14:paraId="271300EC" w14:textId="77777777">
        <w:tc>
          <w:tcPr>
            <w:tcW w:w="2463" w:type="pct"/>
          </w:tcPr>
          <w:p w14:paraId="70E44D8D" w14:textId="77777777" w:rsidR="000D07EA" w:rsidRDefault="00BE7C89">
            <w:pPr>
              <w:pStyle w:val="BodyText"/>
              <w:spacing w:before="100" w:after="100"/>
            </w:pPr>
            <w:r>
              <w:t>Premium SMS</w:t>
            </w:r>
          </w:p>
        </w:tc>
        <w:tc>
          <w:tcPr>
            <w:tcW w:w="2537" w:type="pct"/>
            <w:gridSpan w:val="2"/>
          </w:tcPr>
          <w:p w14:paraId="01800380" w14:textId="77777777" w:rsidR="000D07EA" w:rsidRDefault="00BE7C89">
            <w:pPr>
              <w:pStyle w:val="BodyText"/>
              <w:spacing w:before="100" w:after="100"/>
              <w:jc w:val="center"/>
            </w:pPr>
            <w:r>
              <w:t>No</w:t>
            </w:r>
          </w:p>
        </w:tc>
      </w:tr>
      <w:tr w:rsidR="000D07EA" w14:paraId="396FDA20" w14:textId="77777777">
        <w:tc>
          <w:tcPr>
            <w:tcW w:w="2463" w:type="pct"/>
          </w:tcPr>
          <w:p w14:paraId="1F1712CA" w14:textId="77777777" w:rsidR="000D07EA" w:rsidRDefault="00BE7C89">
            <w:pPr>
              <w:pStyle w:val="BodyText"/>
              <w:spacing w:before="100" w:after="100"/>
            </w:pPr>
            <w:r>
              <w:t>Premium Video</w:t>
            </w:r>
          </w:p>
        </w:tc>
        <w:tc>
          <w:tcPr>
            <w:tcW w:w="2537" w:type="pct"/>
            <w:gridSpan w:val="2"/>
          </w:tcPr>
          <w:p w14:paraId="53387F13" w14:textId="77777777" w:rsidR="000D07EA" w:rsidRDefault="00BE7C89">
            <w:pPr>
              <w:pStyle w:val="BodyText"/>
              <w:spacing w:before="100" w:after="100"/>
              <w:jc w:val="center"/>
            </w:pPr>
            <w:r>
              <w:t>No</w:t>
            </w:r>
          </w:p>
        </w:tc>
      </w:tr>
      <w:tr w:rsidR="000D07EA" w14:paraId="31BFF73B" w14:textId="77777777">
        <w:tc>
          <w:tcPr>
            <w:tcW w:w="2463" w:type="pct"/>
          </w:tcPr>
          <w:p w14:paraId="130FD418" w14:textId="77777777" w:rsidR="000D07EA" w:rsidRDefault="00BE7C89">
            <w:pPr>
              <w:pStyle w:val="BodyText"/>
              <w:spacing w:before="100" w:after="100"/>
            </w:pPr>
            <w:r>
              <w:t>Video Conferencing</w:t>
            </w:r>
          </w:p>
        </w:tc>
        <w:tc>
          <w:tcPr>
            <w:tcW w:w="2537" w:type="pct"/>
            <w:gridSpan w:val="2"/>
          </w:tcPr>
          <w:p w14:paraId="614867B8" w14:textId="77777777" w:rsidR="000D07EA" w:rsidRDefault="00BE7C89">
            <w:pPr>
              <w:pStyle w:val="BodyText"/>
              <w:spacing w:before="100" w:after="100"/>
              <w:jc w:val="center"/>
            </w:pPr>
            <w:r>
              <w:t>No</w:t>
            </w:r>
          </w:p>
        </w:tc>
      </w:tr>
      <w:tr w:rsidR="000D07EA" w14:paraId="152A0F63" w14:textId="77777777">
        <w:tc>
          <w:tcPr>
            <w:tcW w:w="2463" w:type="pct"/>
          </w:tcPr>
          <w:p w14:paraId="2C7C4FCD" w14:textId="77777777" w:rsidR="000D07EA" w:rsidRDefault="00BE7C89">
            <w:pPr>
              <w:pStyle w:val="BodyText"/>
              <w:spacing w:before="100" w:after="100"/>
            </w:pPr>
            <w:r>
              <w:t>Optus Zoo or Optus iZoo Browsing</w:t>
            </w:r>
          </w:p>
        </w:tc>
        <w:tc>
          <w:tcPr>
            <w:tcW w:w="2537" w:type="pct"/>
            <w:gridSpan w:val="2"/>
          </w:tcPr>
          <w:p w14:paraId="380E3C3F" w14:textId="77777777" w:rsidR="000D07EA" w:rsidRDefault="00BE7C89">
            <w:pPr>
              <w:pStyle w:val="BodyText"/>
              <w:spacing w:before="100" w:after="100"/>
              <w:jc w:val="center"/>
            </w:pPr>
            <w:r>
              <w:t>No</w:t>
            </w:r>
          </w:p>
        </w:tc>
      </w:tr>
      <w:tr w:rsidR="000D07EA" w14:paraId="51D8495C" w14:textId="77777777">
        <w:tc>
          <w:tcPr>
            <w:tcW w:w="2463" w:type="pct"/>
          </w:tcPr>
          <w:p w14:paraId="099CFBEB" w14:textId="77777777" w:rsidR="000D07EA" w:rsidRDefault="00BE7C89">
            <w:pPr>
              <w:pStyle w:val="BodyText"/>
              <w:spacing w:before="100" w:after="100"/>
            </w:pPr>
            <w:r>
              <w:t>Optus Zoo or Optus iZoo Downloads</w:t>
            </w:r>
          </w:p>
        </w:tc>
        <w:tc>
          <w:tcPr>
            <w:tcW w:w="2537" w:type="pct"/>
            <w:gridSpan w:val="2"/>
          </w:tcPr>
          <w:p w14:paraId="66792DA0" w14:textId="77777777" w:rsidR="000D07EA" w:rsidRDefault="00BE7C89">
            <w:pPr>
              <w:pStyle w:val="BodyText"/>
              <w:spacing w:before="100" w:after="100"/>
              <w:jc w:val="center"/>
            </w:pPr>
            <w:r>
              <w:t>No</w:t>
            </w:r>
          </w:p>
        </w:tc>
      </w:tr>
      <w:tr w:rsidR="000D07EA" w14:paraId="5816D146" w14:textId="77777777">
        <w:tc>
          <w:tcPr>
            <w:tcW w:w="2463" w:type="pct"/>
          </w:tcPr>
          <w:p w14:paraId="71834063" w14:textId="77777777" w:rsidR="000D07EA" w:rsidRDefault="00BE7C89">
            <w:pPr>
              <w:pStyle w:val="BodyText"/>
              <w:spacing w:before="100" w:after="100"/>
            </w:pPr>
            <w:r>
              <w:lastRenderedPageBreak/>
              <w:t>SMS to 966 (Zoo)</w:t>
            </w:r>
          </w:p>
        </w:tc>
        <w:tc>
          <w:tcPr>
            <w:tcW w:w="2537" w:type="pct"/>
            <w:gridSpan w:val="2"/>
          </w:tcPr>
          <w:p w14:paraId="5349FA5E" w14:textId="77777777" w:rsidR="000D07EA" w:rsidRDefault="00BE7C89">
            <w:pPr>
              <w:pStyle w:val="BodyText"/>
              <w:spacing w:before="100" w:after="100"/>
              <w:jc w:val="center"/>
            </w:pPr>
            <w:r>
              <w:t>No</w:t>
            </w:r>
          </w:p>
        </w:tc>
      </w:tr>
      <w:tr w:rsidR="000D07EA" w14:paraId="368396FB" w14:textId="77777777">
        <w:tc>
          <w:tcPr>
            <w:tcW w:w="2463" w:type="pct"/>
          </w:tcPr>
          <w:p w14:paraId="7E673E32" w14:textId="77777777" w:rsidR="000D07EA" w:rsidRDefault="00BE7C89">
            <w:pPr>
              <w:pStyle w:val="BodyText"/>
              <w:spacing w:before="100" w:after="100"/>
            </w:pPr>
            <w:r>
              <w:t>Mobile Internet usage</w:t>
            </w:r>
          </w:p>
        </w:tc>
        <w:tc>
          <w:tcPr>
            <w:tcW w:w="2537" w:type="pct"/>
            <w:gridSpan w:val="2"/>
          </w:tcPr>
          <w:p w14:paraId="59CA0736" w14:textId="77777777" w:rsidR="000D07EA" w:rsidRDefault="00BE7C89">
            <w:pPr>
              <w:pStyle w:val="BodyText"/>
              <w:spacing w:before="100" w:after="100"/>
              <w:jc w:val="center"/>
            </w:pPr>
            <w:r>
              <w:t>No</w:t>
            </w:r>
          </w:p>
        </w:tc>
      </w:tr>
      <w:tr w:rsidR="000D07EA" w14:paraId="3FEFF9BD" w14:textId="77777777">
        <w:tc>
          <w:tcPr>
            <w:tcW w:w="2463" w:type="pct"/>
          </w:tcPr>
          <w:p w14:paraId="7143F864" w14:textId="77777777" w:rsidR="000D07EA" w:rsidRDefault="00BE7C89">
            <w:pPr>
              <w:pStyle w:val="BodyText"/>
              <w:spacing w:before="100" w:after="100"/>
            </w:pPr>
            <w:r>
              <w:t>Data Used while Roaming Internationally</w:t>
            </w:r>
          </w:p>
        </w:tc>
        <w:tc>
          <w:tcPr>
            <w:tcW w:w="2537" w:type="pct"/>
            <w:gridSpan w:val="2"/>
          </w:tcPr>
          <w:p w14:paraId="579D1308" w14:textId="77777777" w:rsidR="000D07EA" w:rsidRDefault="00BE7C89">
            <w:pPr>
              <w:pStyle w:val="BodyText"/>
              <w:spacing w:before="100" w:after="100"/>
              <w:jc w:val="center"/>
            </w:pPr>
            <w:r>
              <w:t>No</w:t>
            </w:r>
          </w:p>
        </w:tc>
      </w:tr>
      <w:tr w:rsidR="000D07EA" w14:paraId="6E9046A0" w14:textId="77777777">
        <w:tc>
          <w:tcPr>
            <w:tcW w:w="2463" w:type="pct"/>
          </w:tcPr>
          <w:p w14:paraId="744CADB6" w14:textId="77777777" w:rsidR="000D07EA" w:rsidRDefault="00BE7C89">
            <w:pPr>
              <w:pStyle w:val="BodyText"/>
              <w:spacing w:before="100" w:after="100"/>
            </w:pPr>
            <w:r>
              <w:t>Content Packs (unless specified in promotions)</w:t>
            </w:r>
          </w:p>
        </w:tc>
        <w:tc>
          <w:tcPr>
            <w:tcW w:w="2537" w:type="pct"/>
            <w:gridSpan w:val="2"/>
          </w:tcPr>
          <w:p w14:paraId="3CB10818" w14:textId="77777777" w:rsidR="000D07EA" w:rsidRDefault="00BE7C89">
            <w:pPr>
              <w:pStyle w:val="BodyText"/>
              <w:spacing w:before="100" w:after="100"/>
              <w:jc w:val="center"/>
            </w:pPr>
            <w:r>
              <w:t>No</w:t>
            </w:r>
          </w:p>
        </w:tc>
      </w:tr>
      <w:tr w:rsidR="000D07EA" w14:paraId="30506275" w14:textId="77777777">
        <w:tc>
          <w:tcPr>
            <w:tcW w:w="2463" w:type="pct"/>
          </w:tcPr>
          <w:p w14:paraId="2FF25406" w14:textId="77777777" w:rsidR="000D07EA" w:rsidRDefault="00BE7C89">
            <w:pPr>
              <w:pStyle w:val="BodyText"/>
              <w:spacing w:before="100" w:after="100"/>
            </w:pPr>
            <w:r>
              <w:t>TrueLocal Usage</w:t>
            </w:r>
          </w:p>
        </w:tc>
        <w:tc>
          <w:tcPr>
            <w:tcW w:w="2537" w:type="pct"/>
            <w:gridSpan w:val="2"/>
          </w:tcPr>
          <w:p w14:paraId="7E8E333B" w14:textId="77777777" w:rsidR="000D07EA" w:rsidRDefault="00BE7C89">
            <w:pPr>
              <w:pStyle w:val="BodyText"/>
              <w:spacing w:before="100" w:after="100"/>
              <w:jc w:val="center"/>
            </w:pPr>
            <w:r>
              <w:t>No</w:t>
            </w:r>
          </w:p>
        </w:tc>
      </w:tr>
      <w:tr w:rsidR="000D07EA" w14:paraId="3AC83AE8" w14:textId="77777777">
        <w:tc>
          <w:tcPr>
            <w:tcW w:w="2463" w:type="pct"/>
          </w:tcPr>
          <w:p w14:paraId="16DDFE72" w14:textId="77777777" w:rsidR="000D07EA" w:rsidRDefault="00BE7C89">
            <w:pPr>
              <w:pStyle w:val="BodyText"/>
              <w:spacing w:before="100" w:after="100"/>
            </w:pPr>
            <w:r>
              <w:t xml:space="preserve">Directory Assistance- 1223 </w:t>
            </w:r>
          </w:p>
        </w:tc>
        <w:tc>
          <w:tcPr>
            <w:tcW w:w="2537" w:type="pct"/>
            <w:gridSpan w:val="2"/>
          </w:tcPr>
          <w:p w14:paraId="5D770A05" w14:textId="77777777" w:rsidR="000D07EA" w:rsidRDefault="00BE7C89">
            <w:pPr>
              <w:pStyle w:val="BodyText"/>
              <w:spacing w:before="100" w:after="100"/>
              <w:jc w:val="center"/>
            </w:pPr>
            <w:r>
              <w:t>No</w:t>
            </w:r>
          </w:p>
        </w:tc>
      </w:tr>
      <w:tr w:rsidR="000D07EA" w14:paraId="552E83DA" w14:textId="77777777">
        <w:tc>
          <w:tcPr>
            <w:tcW w:w="2463" w:type="pct"/>
          </w:tcPr>
          <w:p w14:paraId="2E88AEFF" w14:textId="77777777" w:rsidR="000D07EA" w:rsidRDefault="00BE7C89">
            <w:pPr>
              <w:pStyle w:val="BodyText"/>
              <w:spacing w:before="100" w:after="100"/>
            </w:pPr>
            <w:r>
              <w:t>19XX Numbers</w:t>
            </w:r>
          </w:p>
        </w:tc>
        <w:tc>
          <w:tcPr>
            <w:tcW w:w="2537" w:type="pct"/>
            <w:gridSpan w:val="2"/>
          </w:tcPr>
          <w:p w14:paraId="4CAE48DF" w14:textId="77777777" w:rsidR="000D07EA" w:rsidRDefault="00BE7C89">
            <w:pPr>
              <w:pStyle w:val="BodyText"/>
              <w:spacing w:before="100" w:after="100"/>
              <w:jc w:val="center"/>
            </w:pPr>
            <w:r>
              <w:t>No</w:t>
            </w:r>
          </w:p>
        </w:tc>
      </w:tr>
      <w:tr w:rsidR="000D07EA" w14:paraId="2951DA1C" w14:textId="77777777">
        <w:tc>
          <w:tcPr>
            <w:tcW w:w="2463" w:type="pct"/>
          </w:tcPr>
          <w:p w14:paraId="74853129" w14:textId="77777777" w:rsidR="000D07EA" w:rsidRDefault="00BE7C89">
            <w:pPr>
              <w:pStyle w:val="BodyText"/>
              <w:spacing w:before="100" w:after="100"/>
            </w:pPr>
            <w:r>
              <w:t>1800, 13 and 1300 numbers</w:t>
            </w:r>
          </w:p>
        </w:tc>
        <w:tc>
          <w:tcPr>
            <w:tcW w:w="2537" w:type="pct"/>
            <w:gridSpan w:val="2"/>
          </w:tcPr>
          <w:p w14:paraId="34BBF279" w14:textId="77777777" w:rsidR="000D07EA" w:rsidRDefault="00BE7C89">
            <w:pPr>
              <w:pStyle w:val="BodyText"/>
              <w:spacing w:before="100" w:after="100"/>
              <w:jc w:val="center"/>
            </w:pPr>
            <w:r>
              <w:t>Yes</w:t>
            </w:r>
          </w:p>
        </w:tc>
      </w:tr>
      <w:tr w:rsidR="000D07EA" w14:paraId="14F138F5" w14:textId="77777777">
        <w:tc>
          <w:tcPr>
            <w:tcW w:w="2463" w:type="pct"/>
          </w:tcPr>
          <w:p w14:paraId="442928F5" w14:textId="77777777" w:rsidR="000D07EA" w:rsidRDefault="00BE7C89">
            <w:pPr>
              <w:pStyle w:val="BodyText"/>
              <w:spacing w:before="100" w:after="100"/>
            </w:pPr>
            <w:r>
              <w:t>124YES(937)</w:t>
            </w:r>
          </w:p>
        </w:tc>
        <w:tc>
          <w:tcPr>
            <w:tcW w:w="2537" w:type="pct"/>
            <w:gridSpan w:val="2"/>
          </w:tcPr>
          <w:p w14:paraId="7A150F19" w14:textId="77777777" w:rsidR="000D07EA" w:rsidRDefault="00BE7C89">
            <w:pPr>
              <w:pStyle w:val="BodyText"/>
              <w:spacing w:before="100" w:after="100"/>
              <w:jc w:val="center"/>
            </w:pPr>
            <w:r>
              <w:t>No</w:t>
            </w:r>
          </w:p>
        </w:tc>
      </w:tr>
      <w:tr w:rsidR="000D07EA" w14:paraId="31DF2113" w14:textId="77777777">
        <w:tc>
          <w:tcPr>
            <w:tcW w:w="2463" w:type="pct"/>
          </w:tcPr>
          <w:p w14:paraId="0522C0AF" w14:textId="77777777" w:rsidR="000D07EA" w:rsidRDefault="00BE7C89">
            <w:pPr>
              <w:pStyle w:val="BodyText"/>
              <w:spacing w:before="100" w:after="100"/>
            </w:pPr>
            <w:r>
              <w:t>Insurance</w:t>
            </w:r>
          </w:p>
        </w:tc>
        <w:tc>
          <w:tcPr>
            <w:tcW w:w="2537" w:type="pct"/>
            <w:gridSpan w:val="2"/>
          </w:tcPr>
          <w:p w14:paraId="2146BD76" w14:textId="77777777" w:rsidR="000D07EA" w:rsidRDefault="00BE7C89">
            <w:pPr>
              <w:pStyle w:val="BodyText"/>
              <w:spacing w:before="100" w:after="100"/>
              <w:jc w:val="center"/>
            </w:pPr>
            <w:r>
              <w:t>No</w:t>
            </w:r>
          </w:p>
        </w:tc>
      </w:tr>
      <w:tr w:rsidR="000D07EA" w14:paraId="46600F1F" w14:textId="77777777">
        <w:tc>
          <w:tcPr>
            <w:tcW w:w="2463" w:type="pct"/>
          </w:tcPr>
          <w:p w14:paraId="58049B23" w14:textId="77777777" w:rsidR="000D07EA" w:rsidRDefault="00BE7C89">
            <w:pPr>
              <w:pStyle w:val="BodyText"/>
              <w:spacing w:before="100" w:after="100"/>
            </w:pPr>
            <w:r>
              <w:t>Handset Payments</w:t>
            </w:r>
          </w:p>
        </w:tc>
        <w:tc>
          <w:tcPr>
            <w:tcW w:w="2537" w:type="pct"/>
            <w:gridSpan w:val="2"/>
          </w:tcPr>
          <w:p w14:paraId="43C06143" w14:textId="77777777" w:rsidR="000D07EA" w:rsidRDefault="00BE7C89">
            <w:pPr>
              <w:pStyle w:val="BodyText"/>
              <w:spacing w:before="100" w:after="100"/>
              <w:jc w:val="center"/>
            </w:pPr>
            <w:r>
              <w:t>No</w:t>
            </w:r>
          </w:p>
        </w:tc>
      </w:tr>
      <w:tr w:rsidR="000D07EA" w14:paraId="360C50A2" w14:textId="77777777">
        <w:tc>
          <w:tcPr>
            <w:tcW w:w="2463" w:type="pct"/>
          </w:tcPr>
          <w:p w14:paraId="6E30F28C" w14:textId="77777777" w:rsidR="000D07EA" w:rsidRDefault="00BE7C89">
            <w:pPr>
              <w:pStyle w:val="BodyText"/>
              <w:spacing w:before="100" w:after="100"/>
            </w:pPr>
            <w:r>
              <w:t>Calls to Satellite</w:t>
            </w:r>
          </w:p>
        </w:tc>
        <w:tc>
          <w:tcPr>
            <w:tcW w:w="2537" w:type="pct"/>
            <w:gridSpan w:val="2"/>
          </w:tcPr>
          <w:p w14:paraId="66D5E057" w14:textId="77777777" w:rsidR="000D07EA" w:rsidRDefault="00BE7C89">
            <w:pPr>
              <w:pStyle w:val="BodyText"/>
              <w:spacing w:before="100" w:after="100"/>
              <w:jc w:val="center"/>
            </w:pPr>
            <w:r>
              <w:t>No</w:t>
            </w:r>
          </w:p>
        </w:tc>
      </w:tr>
      <w:tr w:rsidR="000D07EA" w14:paraId="2C88C084" w14:textId="77777777">
        <w:tc>
          <w:tcPr>
            <w:tcW w:w="2463" w:type="pct"/>
          </w:tcPr>
          <w:p w14:paraId="117E2754" w14:textId="77777777" w:rsidR="000D07EA" w:rsidRDefault="00BE7C89">
            <w:pPr>
              <w:pStyle w:val="BodyText"/>
              <w:spacing w:before="100" w:after="100"/>
            </w:pPr>
            <w:r>
              <w:t>VOIP services</w:t>
            </w:r>
          </w:p>
        </w:tc>
        <w:tc>
          <w:tcPr>
            <w:tcW w:w="2537" w:type="pct"/>
            <w:gridSpan w:val="2"/>
          </w:tcPr>
          <w:p w14:paraId="2FB77824" w14:textId="77777777" w:rsidR="000D07EA" w:rsidRDefault="00BE7C89">
            <w:pPr>
              <w:pStyle w:val="BodyText"/>
              <w:spacing w:before="100" w:after="100"/>
              <w:jc w:val="center"/>
            </w:pPr>
            <w:r>
              <w:t>No</w:t>
            </w:r>
          </w:p>
        </w:tc>
      </w:tr>
    </w:tbl>
    <w:p w14:paraId="154E4DB7" w14:textId="77777777" w:rsidR="000D07EA" w:rsidRDefault="000D07EA">
      <w:pPr>
        <w:pStyle w:val="BodyText"/>
      </w:pPr>
    </w:p>
    <w:p w14:paraId="78081D13" w14:textId="77777777" w:rsidR="000D07EA" w:rsidRDefault="00BE7C89">
      <w:pPr>
        <w:pStyle w:val="BodyText"/>
        <w:ind w:left="720"/>
        <w:rPr>
          <w:b/>
        </w:rPr>
      </w:pPr>
      <w:r>
        <w:rPr>
          <w:b/>
        </w:rPr>
        <w:t>Table 2A – Eligible for the Included Mobile Internet Data</w:t>
      </w: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730"/>
        <w:gridCol w:w="4731"/>
      </w:tblGrid>
      <w:tr w:rsidR="000D07EA" w14:paraId="452C3B68" w14:textId="77777777">
        <w:trPr>
          <w:tblHeader/>
        </w:trPr>
        <w:tc>
          <w:tcPr>
            <w:tcW w:w="2500" w:type="pct"/>
          </w:tcPr>
          <w:p w14:paraId="6A505990" w14:textId="77777777" w:rsidR="000D07EA" w:rsidRDefault="00BE7C89">
            <w:pPr>
              <w:pStyle w:val="BodyText"/>
              <w:spacing w:before="100" w:after="100"/>
              <w:rPr>
                <w:b/>
              </w:rPr>
            </w:pPr>
            <w:r>
              <w:rPr>
                <w:b/>
              </w:rPr>
              <w:t>Call Type</w:t>
            </w:r>
          </w:p>
        </w:tc>
        <w:tc>
          <w:tcPr>
            <w:tcW w:w="2500" w:type="pct"/>
          </w:tcPr>
          <w:p w14:paraId="2788C64D" w14:textId="77777777" w:rsidR="000D07EA" w:rsidRDefault="00BE7C89">
            <w:pPr>
              <w:pStyle w:val="BodyText"/>
              <w:spacing w:before="100" w:after="100"/>
              <w:jc w:val="center"/>
              <w:rPr>
                <w:b/>
              </w:rPr>
            </w:pPr>
            <w:r>
              <w:rPr>
                <w:b/>
              </w:rPr>
              <w:t>Eligible Data</w:t>
            </w:r>
          </w:p>
        </w:tc>
      </w:tr>
      <w:tr w:rsidR="000D07EA" w14:paraId="2443A80A" w14:textId="77777777">
        <w:tc>
          <w:tcPr>
            <w:tcW w:w="2500" w:type="pct"/>
          </w:tcPr>
          <w:p w14:paraId="4CEFF0E7" w14:textId="77777777" w:rsidR="000D07EA" w:rsidRDefault="00BE7C89">
            <w:pPr>
              <w:pStyle w:val="BodyText"/>
              <w:spacing w:before="100" w:after="100"/>
            </w:pPr>
            <w:r>
              <w:t>National Voice Calls</w:t>
            </w:r>
          </w:p>
        </w:tc>
        <w:tc>
          <w:tcPr>
            <w:tcW w:w="2500" w:type="pct"/>
          </w:tcPr>
          <w:p w14:paraId="2BF9ABE1" w14:textId="77777777" w:rsidR="000D07EA" w:rsidRDefault="00BE7C89">
            <w:pPr>
              <w:pStyle w:val="BodyText"/>
              <w:spacing w:before="100" w:after="100"/>
              <w:jc w:val="center"/>
            </w:pPr>
            <w:r>
              <w:t>No</w:t>
            </w:r>
          </w:p>
        </w:tc>
      </w:tr>
      <w:tr w:rsidR="000D07EA" w14:paraId="6F73975F" w14:textId="77777777">
        <w:tc>
          <w:tcPr>
            <w:tcW w:w="2500" w:type="pct"/>
          </w:tcPr>
          <w:p w14:paraId="52923E2E" w14:textId="77777777" w:rsidR="000D07EA" w:rsidRDefault="00BE7C89">
            <w:pPr>
              <w:pStyle w:val="BodyText"/>
              <w:spacing w:before="100" w:after="100"/>
            </w:pPr>
            <w:r>
              <w:t>National Video Calls</w:t>
            </w:r>
          </w:p>
        </w:tc>
        <w:tc>
          <w:tcPr>
            <w:tcW w:w="2500" w:type="pct"/>
          </w:tcPr>
          <w:p w14:paraId="4F684D8A" w14:textId="77777777" w:rsidR="000D07EA" w:rsidRDefault="00BE7C89">
            <w:pPr>
              <w:pStyle w:val="BodyText"/>
              <w:spacing w:before="100" w:after="100"/>
              <w:jc w:val="center"/>
            </w:pPr>
            <w:r>
              <w:t>No</w:t>
            </w:r>
          </w:p>
        </w:tc>
      </w:tr>
      <w:tr w:rsidR="000D07EA" w14:paraId="3646BE35" w14:textId="77777777">
        <w:tc>
          <w:tcPr>
            <w:tcW w:w="2500" w:type="pct"/>
          </w:tcPr>
          <w:p w14:paraId="40831B76" w14:textId="77777777" w:rsidR="000D07EA" w:rsidRDefault="00BE7C89">
            <w:pPr>
              <w:pStyle w:val="BodyText"/>
              <w:spacing w:before="100" w:after="100"/>
            </w:pPr>
            <w:r>
              <w:t>International Voice Calls</w:t>
            </w:r>
          </w:p>
          <w:p w14:paraId="00C152C4" w14:textId="77777777" w:rsidR="000D07EA" w:rsidRDefault="00BE7C89">
            <w:pPr>
              <w:pStyle w:val="BodyText"/>
              <w:spacing w:before="100" w:after="100"/>
            </w:pPr>
            <w:r>
              <w:t>(includes calls to national fixed or GSM mobile services that then divert/switch or re-route overseas)</w:t>
            </w:r>
          </w:p>
        </w:tc>
        <w:tc>
          <w:tcPr>
            <w:tcW w:w="2500" w:type="pct"/>
          </w:tcPr>
          <w:p w14:paraId="1390D4F7" w14:textId="77777777" w:rsidR="000D07EA" w:rsidRDefault="00BE7C89">
            <w:pPr>
              <w:pStyle w:val="BodyText"/>
              <w:spacing w:before="100" w:after="100"/>
              <w:jc w:val="center"/>
            </w:pPr>
            <w:r>
              <w:t>No</w:t>
            </w:r>
          </w:p>
        </w:tc>
      </w:tr>
      <w:tr w:rsidR="000D07EA" w14:paraId="6AC600E7" w14:textId="77777777">
        <w:tc>
          <w:tcPr>
            <w:tcW w:w="2500" w:type="pct"/>
          </w:tcPr>
          <w:p w14:paraId="52FBB841" w14:textId="77777777" w:rsidR="000D07EA" w:rsidRDefault="00BE7C89">
            <w:pPr>
              <w:pStyle w:val="BodyText"/>
              <w:spacing w:before="100" w:after="100"/>
            </w:pPr>
            <w:r>
              <w:t>International Video Calls</w:t>
            </w:r>
          </w:p>
          <w:p w14:paraId="1DD8723A" w14:textId="77777777" w:rsidR="000D07EA" w:rsidRDefault="00BE7C89">
            <w:pPr>
              <w:pStyle w:val="BodyText"/>
              <w:spacing w:before="100" w:after="100"/>
            </w:pPr>
            <w:r>
              <w:t>(includes calls to national fixed or GSM mobile services that then divert/switch or re-route overseas)</w:t>
            </w:r>
          </w:p>
        </w:tc>
        <w:tc>
          <w:tcPr>
            <w:tcW w:w="2500" w:type="pct"/>
          </w:tcPr>
          <w:p w14:paraId="13A2E208" w14:textId="77777777" w:rsidR="000D07EA" w:rsidRDefault="00BE7C89">
            <w:pPr>
              <w:pStyle w:val="BodyText"/>
              <w:spacing w:before="100" w:after="100"/>
              <w:jc w:val="center"/>
            </w:pPr>
            <w:r>
              <w:t>No</w:t>
            </w:r>
          </w:p>
        </w:tc>
      </w:tr>
      <w:tr w:rsidR="000D07EA" w14:paraId="1C36DECF" w14:textId="77777777">
        <w:tc>
          <w:tcPr>
            <w:tcW w:w="2500" w:type="pct"/>
          </w:tcPr>
          <w:p w14:paraId="491DA05E" w14:textId="77777777" w:rsidR="000D07EA" w:rsidRDefault="00BE7C89">
            <w:pPr>
              <w:pStyle w:val="BodyText"/>
              <w:spacing w:before="100" w:after="100"/>
            </w:pPr>
            <w:r>
              <w:t>National Standard SMS</w:t>
            </w:r>
          </w:p>
        </w:tc>
        <w:tc>
          <w:tcPr>
            <w:tcW w:w="2500" w:type="pct"/>
          </w:tcPr>
          <w:p w14:paraId="109E1922" w14:textId="77777777" w:rsidR="000D07EA" w:rsidRDefault="00BE7C89">
            <w:pPr>
              <w:pStyle w:val="BodyText"/>
              <w:spacing w:before="100" w:after="100"/>
              <w:jc w:val="center"/>
            </w:pPr>
            <w:r>
              <w:t>No</w:t>
            </w:r>
          </w:p>
        </w:tc>
      </w:tr>
      <w:tr w:rsidR="000D07EA" w14:paraId="2894CA45" w14:textId="77777777">
        <w:tc>
          <w:tcPr>
            <w:tcW w:w="2500" w:type="pct"/>
          </w:tcPr>
          <w:p w14:paraId="000E5A2F" w14:textId="77777777" w:rsidR="000D07EA" w:rsidRDefault="00BE7C89">
            <w:pPr>
              <w:pStyle w:val="BodyText"/>
              <w:spacing w:before="100" w:after="100"/>
            </w:pPr>
            <w:r>
              <w:t>International SMS</w:t>
            </w:r>
          </w:p>
        </w:tc>
        <w:tc>
          <w:tcPr>
            <w:tcW w:w="2500" w:type="pct"/>
          </w:tcPr>
          <w:p w14:paraId="41A66C47" w14:textId="77777777" w:rsidR="000D07EA" w:rsidRDefault="00BE7C89">
            <w:pPr>
              <w:pStyle w:val="BodyText"/>
              <w:spacing w:before="100" w:after="100"/>
              <w:jc w:val="center"/>
            </w:pPr>
            <w:r>
              <w:t>No</w:t>
            </w:r>
          </w:p>
        </w:tc>
      </w:tr>
      <w:tr w:rsidR="000D07EA" w14:paraId="2CDE40F5" w14:textId="77777777">
        <w:tc>
          <w:tcPr>
            <w:tcW w:w="2500" w:type="pct"/>
          </w:tcPr>
          <w:p w14:paraId="6F207E73" w14:textId="77777777" w:rsidR="000D07EA" w:rsidRDefault="00BE7C89">
            <w:pPr>
              <w:pStyle w:val="BodyText"/>
              <w:spacing w:before="100" w:after="100"/>
            </w:pPr>
            <w:r>
              <w:t>National MMS</w:t>
            </w:r>
          </w:p>
        </w:tc>
        <w:tc>
          <w:tcPr>
            <w:tcW w:w="2500" w:type="pct"/>
          </w:tcPr>
          <w:p w14:paraId="4C9FE342" w14:textId="77777777" w:rsidR="000D07EA" w:rsidRDefault="00BE7C89">
            <w:pPr>
              <w:pStyle w:val="BodyText"/>
              <w:spacing w:before="100" w:after="100"/>
              <w:jc w:val="center"/>
            </w:pPr>
            <w:r>
              <w:t>No</w:t>
            </w:r>
          </w:p>
        </w:tc>
      </w:tr>
      <w:tr w:rsidR="000D07EA" w14:paraId="3A554C88" w14:textId="77777777">
        <w:tc>
          <w:tcPr>
            <w:tcW w:w="2500" w:type="pct"/>
          </w:tcPr>
          <w:p w14:paraId="656EB2A5" w14:textId="77777777" w:rsidR="000D07EA" w:rsidRDefault="00BE7C89">
            <w:pPr>
              <w:pStyle w:val="BodyText"/>
              <w:spacing w:before="100" w:after="100"/>
            </w:pPr>
            <w:r>
              <w:t>International MMS</w:t>
            </w:r>
          </w:p>
        </w:tc>
        <w:tc>
          <w:tcPr>
            <w:tcW w:w="2500" w:type="pct"/>
          </w:tcPr>
          <w:p w14:paraId="62C85442" w14:textId="77777777" w:rsidR="000D07EA" w:rsidRDefault="00BE7C89">
            <w:pPr>
              <w:pStyle w:val="BodyText"/>
              <w:spacing w:before="100" w:after="100"/>
              <w:jc w:val="center"/>
            </w:pPr>
            <w:r>
              <w:t>No</w:t>
            </w:r>
          </w:p>
        </w:tc>
      </w:tr>
      <w:tr w:rsidR="000D07EA" w14:paraId="782699AD" w14:textId="77777777">
        <w:tc>
          <w:tcPr>
            <w:tcW w:w="2500" w:type="pct"/>
          </w:tcPr>
          <w:p w14:paraId="7565CE1A" w14:textId="77777777" w:rsidR="000D07EA" w:rsidRDefault="00BE7C89">
            <w:pPr>
              <w:pStyle w:val="BodyText"/>
              <w:spacing w:before="100" w:after="100"/>
            </w:pPr>
            <w:r>
              <w:t>Voicemail Diversions</w:t>
            </w:r>
          </w:p>
        </w:tc>
        <w:tc>
          <w:tcPr>
            <w:tcW w:w="2500" w:type="pct"/>
          </w:tcPr>
          <w:p w14:paraId="5DA0AD56" w14:textId="77777777" w:rsidR="000D07EA" w:rsidRDefault="00BE7C89">
            <w:pPr>
              <w:pStyle w:val="BodyText"/>
              <w:spacing w:before="100" w:after="100"/>
              <w:jc w:val="center"/>
            </w:pPr>
            <w:r>
              <w:t>No</w:t>
            </w:r>
          </w:p>
        </w:tc>
      </w:tr>
      <w:tr w:rsidR="000D07EA" w14:paraId="21D25B90" w14:textId="77777777">
        <w:tc>
          <w:tcPr>
            <w:tcW w:w="2500" w:type="pct"/>
          </w:tcPr>
          <w:p w14:paraId="7BE26F17" w14:textId="77777777" w:rsidR="000D07EA" w:rsidRDefault="00BE7C89">
            <w:pPr>
              <w:pStyle w:val="BodyText"/>
              <w:spacing w:before="100" w:after="100"/>
            </w:pPr>
            <w:r>
              <w:lastRenderedPageBreak/>
              <w:t>Voicemail Deposit and Retrievals</w:t>
            </w:r>
          </w:p>
        </w:tc>
        <w:tc>
          <w:tcPr>
            <w:tcW w:w="2500" w:type="pct"/>
          </w:tcPr>
          <w:p w14:paraId="38CCBF44" w14:textId="77777777" w:rsidR="000D07EA" w:rsidRDefault="00BE7C89">
            <w:pPr>
              <w:pStyle w:val="BodyText"/>
              <w:spacing w:before="100" w:after="100"/>
              <w:jc w:val="center"/>
            </w:pPr>
            <w:r>
              <w:t>No</w:t>
            </w:r>
          </w:p>
        </w:tc>
      </w:tr>
      <w:tr w:rsidR="000D07EA" w14:paraId="1AE3C6A7" w14:textId="77777777">
        <w:tc>
          <w:tcPr>
            <w:tcW w:w="2500" w:type="pct"/>
          </w:tcPr>
          <w:p w14:paraId="1E0F5E35" w14:textId="77777777" w:rsidR="000D07EA" w:rsidRDefault="00BE7C89">
            <w:pPr>
              <w:pStyle w:val="BodyText"/>
              <w:spacing w:before="100" w:after="100"/>
            </w:pPr>
            <w:r>
              <w:t>International Roaming and Diversion</w:t>
            </w:r>
          </w:p>
        </w:tc>
        <w:tc>
          <w:tcPr>
            <w:tcW w:w="2500" w:type="pct"/>
          </w:tcPr>
          <w:p w14:paraId="4E9DE840" w14:textId="77777777" w:rsidR="000D07EA" w:rsidRDefault="00BE7C89">
            <w:pPr>
              <w:pStyle w:val="BodyText"/>
              <w:spacing w:before="100" w:after="100"/>
              <w:jc w:val="center"/>
            </w:pPr>
            <w:r>
              <w:t>No</w:t>
            </w:r>
          </w:p>
        </w:tc>
      </w:tr>
      <w:tr w:rsidR="000D07EA" w14:paraId="3C2385C0" w14:textId="77777777">
        <w:tc>
          <w:tcPr>
            <w:tcW w:w="2500" w:type="pct"/>
          </w:tcPr>
          <w:p w14:paraId="2F48C19F" w14:textId="77777777" w:rsidR="000D07EA" w:rsidRDefault="00BE7C89">
            <w:pPr>
              <w:pStyle w:val="BodyText"/>
              <w:spacing w:before="100" w:after="100"/>
            </w:pPr>
            <w:r>
              <w:t>Premium SMS</w:t>
            </w:r>
          </w:p>
        </w:tc>
        <w:tc>
          <w:tcPr>
            <w:tcW w:w="2500" w:type="pct"/>
          </w:tcPr>
          <w:p w14:paraId="1538B925" w14:textId="77777777" w:rsidR="000D07EA" w:rsidRDefault="00BE7C89">
            <w:pPr>
              <w:pStyle w:val="BodyText"/>
              <w:spacing w:before="100" w:after="100"/>
              <w:jc w:val="center"/>
            </w:pPr>
            <w:r>
              <w:t>No</w:t>
            </w:r>
          </w:p>
        </w:tc>
      </w:tr>
      <w:tr w:rsidR="000D07EA" w14:paraId="5511A773" w14:textId="77777777">
        <w:tc>
          <w:tcPr>
            <w:tcW w:w="2500" w:type="pct"/>
          </w:tcPr>
          <w:p w14:paraId="39CEF144" w14:textId="77777777" w:rsidR="000D07EA" w:rsidRDefault="00BE7C89">
            <w:pPr>
              <w:pStyle w:val="BodyText"/>
              <w:spacing w:before="100" w:after="100"/>
            </w:pPr>
            <w:r>
              <w:t>Premium Video</w:t>
            </w:r>
          </w:p>
        </w:tc>
        <w:tc>
          <w:tcPr>
            <w:tcW w:w="2500" w:type="pct"/>
          </w:tcPr>
          <w:p w14:paraId="530A815D" w14:textId="77777777" w:rsidR="000D07EA" w:rsidRDefault="00BE7C89">
            <w:pPr>
              <w:pStyle w:val="BodyText"/>
              <w:spacing w:before="100" w:after="100"/>
              <w:jc w:val="center"/>
            </w:pPr>
            <w:r>
              <w:t>No</w:t>
            </w:r>
          </w:p>
        </w:tc>
      </w:tr>
      <w:tr w:rsidR="000D07EA" w14:paraId="43D9EEF5" w14:textId="77777777">
        <w:tc>
          <w:tcPr>
            <w:tcW w:w="2500" w:type="pct"/>
          </w:tcPr>
          <w:p w14:paraId="2151B860" w14:textId="77777777" w:rsidR="000D07EA" w:rsidRDefault="00BE7C89">
            <w:pPr>
              <w:pStyle w:val="BodyText"/>
              <w:spacing w:before="100" w:after="100"/>
            </w:pPr>
            <w:r>
              <w:t>Video Conferencing</w:t>
            </w:r>
          </w:p>
        </w:tc>
        <w:tc>
          <w:tcPr>
            <w:tcW w:w="2500" w:type="pct"/>
          </w:tcPr>
          <w:p w14:paraId="571B0D4C" w14:textId="77777777" w:rsidR="000D07EA" w:rsidRDefault="00BE7C89">
            <w:pPr>
              <w:pStyle w:val="BodyText"/>
              <w:spacing w:before="100" w:after="100"/>
              <w:jc w:val="center"/>
            </w:pPr>
            <w:r>
              <w:t>No</w:t>
            </w:r>
          </w:p>
        </w:tc>
      </w:tr>
      <w:tr w:rsidR="000D07EA" w14:paraId="2CF28F92" w14:textId="77777777">
        <w:tc>
          <w:tcPr>
            <w:tcW w:w="2500" w:type="pct"/>
          </w:tcPr>
          <w:p w14:paraId="1AB0F862" w14:textId="77777777" w:rsidR="000D07EA" w:rsidRDefault="00BE7C89">
            <w:pPr>
              <w:pStyle w:val="BodyText"/>
              <w:spacing w:before="100" w:after="100"/>
            </w:pPr>
            <w:r>
              <w:t>Optus Zoo or Optus iZoo Browsing</w:t>
            </w:r>
          </w:p>
        </w:tc>
        <w:tc>
          <w:tcPr>
            <w:tcW w:w="2500" w:type="pct"/>
          </w:tcPr>
          <w:p w14:paraId="1235971B" w14:textId="77777777" w:rsidR="000D07EA" w:rsidRDefault="00BE7C89">
            <w:pPr>
              <w:pStyle w:val="BodyText"/>
              <w:spacing w:before="100" w:after="100"/>
              <w:jc w:val="center"/>
            </w:pPr>
            <w:r>
              <w:t>Yes, up to the monthly included data amount specified in Table 3A.</w:t>
            </w:r>
          </w:p>
        </w:tc>
      </w:tr>
      <w:tr w:rsidR="000D07EA" w14:paraId="7DFD7A2D" w14:textId="77777777">
        <w:tc>
          <w:tcPr>
            <w:tcW w:w="2500" w:type="pct"/>
          </w:tcPr>
          <w:p w14:paraId="707AA6AF" w14:textId="77777777" w:rsidR="000D07EA" w:rsidRDefault="00BE7C89">
            <w:pPr>
              <w:pStyle w:val="BodyText"/>
              <w:spacing w:before="100" w:after="100"/>
            </w:pPr>
            <w:r>
              <w:t>Optus Zoo or Optus iZoo Downloads</w:t>
            </w:r>
          </w:p>
        </w:tc>
        <w:tc>
          <w:tcPr>
            <w:tcW w:w="2500" w:type="pct"/>
          </w:tcPr>
          <w:p w14:paraId="2C596ED4" w14:textId="77777777" w:rsidR="000D07EA" w:rsidRDefault="00BE7C89">
            <w:pPr>
              <w:pStyle w:val="BodyText"/>
              <w:spacing w:before="100" w:after="100"/>
              <w:jc w:val="center"/>
            </w:pPr>
            <w:r>
              <w:t>No</w:t>
            </w:r>
          </w:p>
        </w:tc>
      </w:tr>
      <w:tr w:rsidR="000D07EA" w14:paraId="46D3736F" w14:textId="77777777">
        <w:tc>
          <w:tcPr>
            <w:tcW w:w="2500" w:type="pct"/>
          </w:tcPr>
          <w:p w14:paraId="00451546" w14:textId="77777777" w:rsidR="000D07EA" w:rsidRDefault="00BE7C89">
            <w:pPr>
              <w:pStyle w:val="BodyText"/>
              <w:spacing w:before="100" w:after="100"/>
            </w:pPr>
            <w:r>
              <w:t>SMS to 966 (Zoo)</w:t>
            </w:r>
          </w:p>
        </w:tc>
        <w:tc>
          <w:tcPr>
            <w:tcW w:w="2500" w:type="pct"/>
          </w:tcPr>
          <w:p w14:paraId="754DDAE5" w14:textId="77777777" w:rsidR="000D07EA" w:rsidRDefault="00BE7C89">
            <w:pPr>
              <w:pStyle w:val="BodyText"/>
              <w:spacing w:before="100" w:after="100"/>
              <w:jc w:val="center"/>
            </w:pPr>
            <w:r>
              <w:t>No</w:t>
            </w:r>
          </w:p>
        </w:tc>
      </w:tr>
      <w:tr w:rsidR="000D07EA" w14:paraId="75856463" w14:textId="77777777">
        <w:tc>
          <w:tcPr>
            <w:tcW w:w="2500" w:type="pct"/>
          </w:tcPr>
          <w:p w14:paraId="3900554C" w14:textId="77777777" w:rsidR="000D07EA" w:rsidRDefault="00BE7C89">
            <w:pPr>
              <w:pStyle w:val="BodyText"/>
              <w:spacing w:before="100" w:after="100"/>
            </w:pPr>
            <w:r>
              <w:t>Mobile Internet usage</w:t>
            </w:r>
          </w:p>
        </w:tc>
        <w:tc>
          <w:tcPr>
            <w:tcW w:w="2500" w:type="pct"/>
          </w:tcPr>
          <w:p w14:paraId="5CD514A2" w14:textId="77777777" w:rsidR="000D07EA" w:rsidRDefault="00BE7C89">
            <w:pPr>
              <w:pStyle w:val="BodyText"/>
              <w:spacing w:before="100" w:after="100"/>
              <w:jc w:val="center"/>
            </w:pPr>
            <w:r>
              <w:t>Yes, up to the monthly included data amount specified in Table 3A.</w:t>
            </w:r>
          </w:p>
        </w:tc>
      </w:tr>
      <w:tr w:rsidR="000D07EA" w14:paraId="1529F9FE" w14:textId="77777777">
        <w:tc>
          <w:tcPr>
            <w:tcW w:w="2500" w:type="pct"/>
          </w:tcPr>
          <w:p w14:paraId="19692C7E" w14:textId="77777777" w:rsidR="000D07EA" w:rsidRDefault="00BE7C89">
            <w:pPr>
              <w:pStyle w:val="BodyText"/>
              <w:spacing w:before="100" w:after="100"/>
            </w:pPr>
            <w:r>
              <w:t>Mobile as Modem</w:t>
            </w:r>
          </w:p>
        </w:tc>
        <w:tc>
          <w:tcPr>
            <w:tcW w:w="2500" w:type="pct"/>
          </w:tcPr>
          <w:p w14:paraId="72DCA16E" w14:textId="77777777" w:rsidR="000D07EA" w:rsidRDefault="00BE7C89">
            <w:pPr>
              <w:pStyle w:val="BodyText"/>
              <w:spacing w:before="100" w:after="100"/>
              <w:jc w:val="center"/>
            </w:pPr>
            <w:r>
              <w:t>Yes</w:t>
            </w:r>
          </w:p>
        </w:tc>
      </w:tr>
      <w:tr w:rsidR="000D07EA" w14:paraId="611A2F6E" w14:textId="77777777">
        <w:tc>
          <w:tcPr>
            <w:tcW w:w="2500" w:type="pct"/>
          </w:tcPr>
          <w:p w14:paraId="066830A9" w14:textId="77777777" w:rsidR="000D07EA" w:rsidRDefault="00BE7C89">
            <w:pPr>
              <w:pStyle w:val="BodyText"/>
              <w:spacing w:before="100" w:after="100"/>
            </w:pPr>
            <w:r>
              <w:t>Data Used while Roaming Internationally</w:t>
            </w:r>
          </w:p>
        </w:tc>
        <w:tc>
          <w:tcPr>
            <w:tcW w:w="2500" w:type="pct"/>
          </w:tcPr>
          <w:p w14:paraId="661F7D63" w14:textId="77777777" w:rsidR="000D07EA" w:rsidRDefault="00BE7C89">
            <w:pPr>
              <w:pStyle w:val="BodyText"/>
              <w:spacing w:before="100" w:after="100"/>
              <w:jc w:val="center"/>
            </w:pPr>
            <w:r>
              <w:t>No</w:t>
            </w:r>
          </w:p>
        </w:tc>
      </w:tr>
      <w:tr w:rsidR="000D07EA" w14:paraId="1CE144DD" w14:textId="77777777">
        <w:tc>
          <w:tcPr>
            <w:tcW w:w="2500" w:type="pct"/>
          </w:tcPr>
          <w:p w14:paraId="449A8174" w14:textId="77777777" w:rsidR="000D07EA" w:rsidRDefault="00BE7C89">
            <w:pPr>
              <w:pStyle w:val="BodyText"/>
              <w:spacing w:before="100" w:after="100"/>
            </w:pPr>
            <w:r>
              <w:t>Content Packs (unless specified in promotions)</w:t>
            </w:r>
          </w:p>
        </w:tc>
        <w:tc>
          <w:tcPr>
            <w:tcW w:w="2500" w:type="pct"/>
          </w:tcPr>
          <w:p w14:paraId="76650798" w14:textId="77777777" w:rsidR="000D07EA" w:rsidRDefault="00BE7C89">
            <w:pPr>
              <w:pStyle w:val="BodyText"/>
              <w:spacing w:before="100" w:after="100"/>
              <w:jc w:val="center"/>
            </w:pPr>
            <w:r>
              <w:t>No</w:t>
            </w:r>
          </w:p>
        </w:tc>
      </w:tr>
      <w:tr w:rsidR="000D07EA" w14:paraId="759456CA" w14:textId="77777777">
        <w:tc>
          <w:tcPr>
            <w:tcW w:w="2500" w:type="pct"/>
          </w:tcPr>
          <w:p w14:paraId="091B8278" w14:textId="77777777" w:rsidR="000D07EA" w:rsidRDefault="00BE7C89">
            <w:pPr>
              <w:pStyle w:val="BodyText"/>
              <w:spacing w:before="100" w:after="100"/>
            </w:pPr>
            <w:r>
              <w:t>TrueLocal Usage</w:t>
            </w:r>
          </w:p>
        </w:tc>
        <w:tc>
          <w:tcPr>
            <w:tcW w:w="2500" w:type="pct"/>
          </w:tcPr>
          <w:p w14:paraId="7F68E133" w14:textId="77777777" w:rsidR="000D07EA" w:rsidRDefault="00BE7C89">
            <w:pPr>
              <w:pStyle w:val="BodyText"/>
              <w:spacing w:before="100" w:after="100"/>
              <w:jc w:val="center"/>
            </w:pPr>
            <w:r>
              <w:t>No</w:t>
            </w:r>
          </w:p>
        </w:tc>
      </w:tr>
      <w:tr w:rsidR="000D07EA" w14:paraId="6C51C868" w14:textId="77777777">
        <w:tc>
          <w:tcPr>
            <w:tcW w:w="2500" w:type="pct"/>
          </w:tcPr>
          <w:p w14:paraId="56D26790" w14:textId="77777777" w:rsidR="000D07EA" w:rsidRDefault="00BE7C89">
            <w:pPr>
              <w:pStyle w:val="BodyText"/>
              <w:spacing w:before="100" w:after="100"/>
            </w:pPr>
            <w:r>
              <w:t>Directory Assistance- 1223</w:t>
            </w:r>
          </w:p>
        </w:tc>
        <w:tc>
          <w:tcPr>
            <w:tcW w:w="2500" w:type="pct"/>
          </w:tcPr>
          <w:p w14:paraId="60DBD39B" w14:textId="77777777" w:rsidR="000D07EA" w:rsidRDefault="00BE7C89">
            <w:pPr>
              <w:pStyle w:val="BodyText"/>
              <w:spacing w:before="100" w:after="100"/>
              <w:jc w:val="center"/>
            </w:pPr>
            <w:r>
              <w:t>No</w:t>
            </w:r>
          </w:p>
        </w:tc>
      </w:tr>
      <w:tr w:rsidR="000D07EA" w14:paraId="1E13E71B" w14:textId="77777777">
        <w:tc>
          <w:tcPr>
            <w:tcW w:w="2500" w:type="pct"/>
          </w:tcPr>
          <w:p w14:paraId="18823B97" w14:textId="77777777" w:rsidR="000D07EA" w:rsidRDefault="00BE7C89">
            <w:pPr>
              <w:pStyle w:val="BodyText"/>
              <w:spacing w:before="100" w:after="100"/>
            </w:pPr>
            <w:r>
              <w:t>19XX Numbers</w:t>
            </w:r>
          </w:p>
        </w:tc>
        <w:tc>
          <w:tcPr>
            <w:tcW w:w="2500" w:type="pct"/>
          </w:tcPr>
          <w:p w14:paraId="5734C26E" w14:textId="77777777" w:rsidR="000D07EA" w:rsidRDefault="00BE7C89">
            <w:pPr>
              <w:pStyle w:val="BodyText"/>
              <w:spacing w:before="100" w:after="100"/>
              <w:jc w:val="center"/>
            </w:pPr>
            <w:r>
              <w:t>No</w:t>
            </w:r>
          </w:p>
        </w:tc>
      </w:tr>
      <w:tr w:rsidR="000D07EA" w14:paraId="4A94E1AA" w14:textId="77777777">
        <w:tc>
          <w:tcPr>
            <w:tcW w:w="2500" w:type="pct"/>
          </w:tcPr>
          <w:p w14:paraId="7C95B4EC" w14:textId="77777777" w:rsidR="000D07EA" w:rsidRDefault="00BE7C89">
            <w:pPr>
              <w:pStyle w:val="BodyText"/>
              <w:spacing w:before="100" w:after="100"/>
            </w:pPr>
            <w:r>
              <w:t>1800, 13 and 1300 numbers</w:t>
            </w:r>
          </w:p>
        </w:tc>
        <w:tc>
          <w:tcPr>
            <w:tcW w:w="2500" w:type="pct"/>
          </w:tcPr>
          <w:p w14:paraId="164AB1D4" w14:textId="77777777" w:rsidR="000D07EA" w:rsidRDefault="00BE7C89">
            <w:pPr>
              <w:pStyle w:val="BodyText"/>
              <w:spacing w:before="100" w:after="100"/>
              <w:jc w:val="center"/>
            </w:pPr>
            <w:r>
              <w:t>No</w:t>
            </w:r>
          </w:p>
        </w:tc>
      </w:tr>
      <w:tr w:rsidR="000D07EA" w14:paraId="0C4F534E" w14:textId="77777777">
        <w:tc>
          <w:tcPr>
            <w:tcW w:w="2500" w:type="pct"/>
          </w:tcPr>
          <w:p w14:paraId="4CA213D1" w14:textId="77777777" w:rsidR="000D07EA" w:rsidRDefault="00BE7C89">
            <w:pPr>
              <w:pStyle w:val="BodyText"/>
              <w:spacing w:before="100" w:after="100"/>
            </w:pPr>
            <w:r>
              <w:t>124YES(937)</w:t>
            </w:r>
          </w:p>
        </w:tc>
        <w:tc>
          <w:tcPr>
            <w:tcW w:w="2500" w:type="pct"/>
          </w:tcPr>
          <w:p w14:paraId="00DF29B2" w14:textId="77777777" w:rsidR="000D07EA" w:rsidRDefault="00BE7C89">
            <w:pPr>
              <w:pStyle w:val="BodyText"/>
              <w:spacing w:before="100" w:after="100"/>
              <w:jc w:val="center"/>
            </w:pPr>
            <w:r>
              <w:t>No</w:t>
            </w:r>
          </w:p>
        </w:tc>
      </w:tr>
      <w:tr w:rsidR="000D07EA" w14:paraId="1F7A27BD" w14:textId="77777777">
        <w:tc>
          <w:tcPr>
            <w:tcW w:w="2500" w:type="pct"/>
          </w:tcPr>
          <w:p w14:paraId="5A3B8F4F" w14:textId="77777777" w:rsidR="000D07EA" w:rsidRDefault="00BE7C89">
            <w:pPr>
              <w:pStyle w:val="BodyText"/>
              <w:spacing w:before="100" w:after="100"/>
            </w:pPr>
            <w:r>
              <w:t>Insurance</w:t>
            </w:r>
          </w:p>
        </w:tc>
        <w:tc>
          <w:tcPr>
            <w:tcW w:w="2500" w:type="pct"/>
          </w:tcPr>
          <w:p w14:paraId="39F5A2FA" w14:textId="77777777" w:rsidR="000D07EA" w:rsidRDefault="00BE7C89">
            <w:pPr>
              <w:pStyle w:val="BodyText"/>
              <w:spacing w:before="100" w:after="100"/>
              <w:jc w:val="center"/>
            </w:pPr>
            <w:r>
              <w:t>No</w:t>
            </w:r>
          </w:p>
        </w:tc>
      </w:tr>
      <w:tr w:rsidR="000D07EA" w14:paraId="798EE0FD" w14:textId="77777777">
        <w:tc>
          <w:tcPr>
            <w:tcW w:w="2500" w:type="pct"/>
          </w:tcPr>
          <w:p w14:paraId="2C534C1D" w14:textId="77777777" w:rsidR="000D07EA" w:rsidRDefault="00BE7C89">
            <w:pPr>
              <w:pStyle w:val="BodyText"/>
              <w:spacing w:before="100" w:after="100"/>
            </w:pPr>
            <w:r>
              <w:t>Handset Payments</w:t>
            </w:r>
          </w:p>
        </w:tc>
        <w:tc>
          <w:tcPr>
            <w:tcW w:w="2500" w:type="pct"/>
          </w:tcPr>
          <w:p w14:paraId="129BAED5" w14:textId="77777777" w:rsidR="000D07EA" w:rsidRDefault="00BE7C89">
            <w:pPr>
              <w:pStyle w:val="BodyText"/>
              <w:spacing w:before="100" w:after="100"/>
              <w:jc w:val="center"/>
            </w:pPr>
            <w:r>
              <w:t>No</w:t>
            </w:r>
          </w:p>
        </w:tc>
      </w:tr>
      <w:tr w:rsidR="000D07EA" w14:paraId="170E3CCE" w14:textId="77777777">
        <w:tc>
          <w:tcPr>
            <w:tcW w:w="2500" w:type="pct"/>
          </w:tcPr>
          <w:p w14:paraId="795A5247" w14:textId="77777777" w:rsidR="000D07EA" w:rsidRDefault="00BE7C89">
            <w:pPr>
              <w:pStyle w:val="BodyText"/>
              <w:spacing w:before="100" w:after="100"/>
            </w:pPr>
            <w:r>
              <w:t>Calls to MobileSat</w:t>
            </w:r>
          </w:p>
        </w:tc>
        <w:tc>
          <w:tcPr>
            <w:tcW w:w="2500" w:type="pct"/>
          </w:tcPr>
          <w:p w14:paraId="19135E1D" w14:textId="77777777" w:rsidR="000D07EA" w:rsidRDefault="00BE7C89">
            <w:pPr>
              <w:pStyle w:val="BodyText"/>
              <w:spacing w:before="100" w:after="100"/>
              <w:jc w:val="center"/>
            </w:pPr>
            <w:r>
              <w:t>No</w:t>
            </w:r>
          </w:p>
        </w:tc>
      </w:tr>
      <w:tr w:rsidR="000D07EA" w14:paraId="17ECAADC" w14:textId="77777777">
        <w:tc>
          <w:tcPr>
            <w:tcW w:w="2500" w:type="pct"/>
          </w:tcPr>
          <w:p w14:paraId="183F5C24" w14:textId="77777777" w:rsidR="000D07EA" w:rsidRDefault="00BE7C89">
            <w:pPr>
              <w:pStyle w:val="BodyText"/>
              <w:spacing w:before="100" w:after="100"/>
            </w:pPr>
            <w:r>
              <w:t>VOIP services</w:t>
            </w:r>
          </w:p>
        </w:tc>
        <w:tc>
          <w:tcPr>
            <w:tcW w:w="2500" w:type="pct"/>
          </w:tcPr>
          <w:p w14:paraId="51BE987C" w14:textId="77777777" w:rsidR="000D07EA" w:rsidRDefault="00BE7C89">
            <w:pPr>
              <w:pStyle w:val="BodyText"/>
              <w:spacing w:before="100" w:after="100"/>
              <w:jc w:val="center"/>
            </w:pPr>
            <w:r>
              <w:t>No</w:t>
            </w:r>
          </w:p>
        </w:tc>
      </w:tr>
    </w:tbl>
    <w:p w14:paraId="6D637D48" w14:textId="77777777" w:rsidR="000D07EA" w:rsidRDefault="000D07EA">
      <w:pPr>
        <w:pStyle w:val="BodyText"/>
      </w:pPr>
    </w:p>
    <w:p w14:paraId="1CCA1850" w14:textId="77777777" w:rsidR="000D07EA" w:rsidRDefault="00BE7C89">
      <w:pPr>
        <w:pStyle w:val="BodyText"/>
        <w:ind w:left="720"/>
        <w:rPr>
          <w:b/>
        </w:rPr>
      </w:pPr>
      <w:r>
        <w:rPr>
          <w:b/>
        </w:rPr>
        <w:t>Table 2B – Eligible for Unlimited BlackBerry POP3 Email &amp; Browsing through the BlackBerry Browser</w:t>
      </w: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730"/>
        <w:gridCol w:w="4731"/>
      </w:tblGrid>
      <w:tr w:rsidR="000D07EA" w14:paraId="3903D6FB" w14:textId="77777777">
        <w:tc>
          <w:tcPr>
            <w:tcW w:w="2500" w:type="pct"/>
          </w:tcPr>
          <w:p w14:paraId="101370EF" w14:textId="77777777" w:rsidR="000D07EA" w:rsidRDefault="00BE7C89">
            <w:pPr>
              <w:pStyle w:val="BodyText"/>
              <w:spacing w:before="100" w:after="100"/>
              <w:jc w:val="center"/>
              <w:rPr>
                <w:b/>
              </w:rPr>
            </w:pPr>
            <w:r>
              <w:rPr>
                <w:b/>
              </w:rPr>
              <w:t>Call Type</w:t>
            </w:r>
          </w:p>
        </w:tc>
        <w:tc>
          <w:tcPr>
            <w:tcW w:w="2500" w:type="pct"/>
          </w:tcPr>
          <w:p w14:paraId="54E03952" w14:textId="77777777" w:rsidR="000D07EA" w:rsidRDefault="00BE7C89">
            <w:pPr>
              <w:pStyle w:val="BodyText"/>
              <w:spacing w:before="100" w:after="100"/>
              <w:jc w:val="center"/>
              <w:rPr>
                <w:b/>
              </w:rPr>
            </w:pPr>
            <w:r>
              <w:rPr>
                <w:b/>
              </w:rPr>
              <w:t>Eligible Data</w:t>
            </w:r>
          </w:p>
        </w:tc>
      </w:tr>
      <w:tr w:rsidR="000D07EA" w14:paraId="44A25A49" w14:textId="77777777">
        <w:tc>
          <w:tcPr>
            <w:tcW w:w="2500" w:type="pct"/>
          </w:tcPr>
          <w:p w14:paraId="635B2D01" w14:textId="77777777" w:rsidR="000D07EA" w:rsidRDefault="00BE7C89">
            <w:pPr>
              <w:pStyle w:val="BodyText"/>
              <w:spacing w:before="100" w:after="100"/>
              <w:jc w:val="center"/>
            </w:pPr>
            <w:r>
              <w:t>BlackBerry Email (POP3)</w:t>
            </w:r>
          </w:p>
        </w:tc>
        <w:tc>
          <w:tcPr>
            <w:tcW w:w="2500" w:type="pct"/>
          </w:tcPr>
          <w:p w14:paraId="3BDA66B1" w14:textId="77777777" w:rsidR="000D07EA" w:rsidRDefault="00BE7C89">
            <w:pPr>
              <w:pStyle w:val="BodyText"/>
              <w:spacing w:before="100" w:after="100"/>
              <w:jc w:val="center"/>
            </w:pPr>
            <w:r>
              <w:t>Yes</w:t>
            </w:r>
          </w:p>
        </w:tc>
      </w:tr>
      <w:tr w:rsidR="000D07EA" w14:paraId="21127C93" w14:textId="77777777">
        <w:tc>
          <w:tcPr>
            <w:tcW w:w="2500" w:type="pct"/>
          </w:tcPr>
          <w:p w14:paraId="236E6F06" w14:textId="77777777" w:rsidR="000D07EA" w:rsidRDefault="00BE7C89">
            <w:pPr>
              <w:pStyle w:val="BodyText"/>
              <w:spacing w:before="100" w:after="100"/>
              <w:jc w:val="center"/>
            </w:pPr>
            <w:r>
              <w:t>Internet Browsing through the BlackBerry Browser and/or the BlackBerry Internet Browser</w:t>
            </w:r>
          </w:p>
        </w:tc>
        <w:tc>
          <w:tcPr>
            <w:tcW w:w="2500" w:type="pct"/>
          </w:tcPr>
          <w:p w14:paraId="5EA5FE1D" w14:textId="77777777" w:rsidR="000D07EA" w:rsidRDefault="00BE7C89">
            <w:pPr>
              <w:pStyle w:val="BodyText"/>
              <w:spacing w:before="100" w:after="100"/>
              <w:jc w:val="center"/>
            </w:pPr>
            <w:r>
              <w:t>Yes</w:t>
            </w:r>
          </w:p>
        </w:tc>
      </w:tr>
      <w:tr w:rsidR="000D07EA" w14:paraId="596620D4" w14:textId="77777777">
        <w:tc>
          <w:tcPr>
            <w:tcW w:w="2500" w:type="pct"/>
          </w:tcPr>
          <w:p w14:paraId="5D41C54E" w14:textId="77777777" w:rsidR="000D07EA" w:rsidRDefault="00BE7C89">
            <w:pPr>
              <w:pStyle w:val="BodyText"/>
              <w:spacing w:before="100" w:after="100"/>
              <w:jc w:val="center"/>
            </w:pPr>
            <w:r>
              <w:t>Optus Zoo downloads and subscriptions</w:t>
            </w:r>
          </w:p>
        </w:tc>
        <w:tc>
          <w:tcPr>
            <w:tcW w:w="2500" w:type="pct"/>
          </w:tcPr>
          <w:p w14:paraId="3F3B1A20" w14:textId="77777777" w:rsidR="000D07EA" w:rsidRDefault="00BE7C89">
            <w:pPr>
              <w:pStyle w:val="BodyText"/>
              <w:spacing w:before="100" w:after="100"/>
              <w:jc w:val="center"/>
            </w:pPr>
            <w:r>
              <w:t>No</w:t>
            </w:r>
          </w:p>
        </w:tc>
      </w:tr>
      <w:tr w:rsidR="000D07EA" w14:paraId="5ED8D245" w14:textId="77777777">
        <w:tc>
          <w:tcPr>
            <w:tcW w:w="2500" w:type="pct"/>
          </w:tcPr>
          <w:p w14:paraId="3E0651BD" w14:textId="77777777" w:rsidR="000D07EA" w:rsidRDefault="00BE7C89">
            <w:pPr>
              <w:pStyle w:val="BodyText"/>
              <w:spacing w:before="100" w:after="100"/>
              <w:jc w:val="center"/>
            </w:pPr>
            <w:r>
              <w:t>Optus Zoo GPRS WAP browsing</w:t>
            </w:r>
          </w:p>
        </w:tc>
        <w:tc>
          <w:tcPr>
            <w:tcW w:w="2500" w:type="pct"/>
          </w:tcPr>
          <w:p w14:paraId="137A88A5" w14:textId="77777777" w:rsidR="000D07EA" w:rsidRDefault="00BE7C89">
            <w:pPr>
              <w:pStyle w:val="BodyText"/>
              <w:spacing w:before="100" w:after="100"/>
              <w:jc w:val="center"/>
            </w:pPr>
            <w:r>
              <w:t>No</w:t>
            </w:r>
          </w:p>
        </w:tc>
      </w:tr>
      <w:tr w:rsidR="000D07EA" w14:paraId="77D0D62C" w14:textId="77777777">
        <w:tc>
          <w:tcPr>
            <w:tcW w:w="2500" w:type="pct"/>
          </w:tcPr>
          <w:p w14:paraId="3F0780FA" w14:textId="77777777" w:rsidR="000D07EA" w:rsidRDefault="00BE7C89">
            <w:pPr>
              <w:pStyle w:val="BodyText"/>
              <w:spacing w:before="100" w:after="100"/>
              <w:jc w:val="center"/>
            </w:pPr>
            <w:r>
              <w:lastRenderedPageBreak/>
              <w:t>Applications from Optus and third party applications that require a BlackBerry Data connection</w:t>
            </w:r>
          </w:p>
        </w:tc>
        <w:tc>
          <w:tcPr>
            <w:tcW w:w="2500" w:type="pct"/>
          </w:tcPr>
          <w:p w14:paraId="1DEBBD7B" w14:textId="77777777" w:rsidR="000D07EA" w:rsidRDefault="00BE7C89">
            <w:pPr>
              <w:pStyle w:val="BodyText"/>
              <w:spacing w:before="100" w:after="100"/>
              <w:jc w:val="center"/>
            </w:pPr>
            <w:r>
              <w:t>Yes</w:t>
            </w:r>
          </w:p>
        </w:tc>
      </w:tr>
      <w:tr w:rsidR="000D07EA" w14:paraId="0F992915" w14:textId="77777777">
        <w:tc>
          <w:tcPr>
            <w:tcW w:w="2500" w:type="pct"/>
          </w:tcPr>
          <w:p w14:paraId="21B5428F" w14:textId="77777777" w:rsidR="000D07EA" w:rsidRDefault="00BE7C89">
            <w:pPr>
              <w:pStyle w:val="BodyText"/>
              <w:spacing w:before="100" w:after="100"/>
              <w:jc w:val="center"/>
            </w:pPr>
            <w:r>
              <w:t>All other call types or usage</w:t>
            </w:r>
          </w:p>
        </w:tc>
        <w:tc>
          <w:tcPr>
            <w:tcW w:w="2500" w:type="pct"/>
          </w:tcPr>
          <w:p w14:paraId="41C72311" w14:textId="77777777" w:rsidR="000D07EA" w:rsidRDefault="00BE7C89">
            <w:pPr>
              <w:pStyle w:val="BodyText"/>
              <w:spacing w:before="100" w:after="100"/>
              <w:jc w:val="center"/>
            </w:pPr>
            <w:r>
              <w:t>No</w:t>
            </w:r>
          </w:p>
        </w:tc>
      </w:tr>
    </w:tbl>
    <w:p w14:paraId="01C9BF4F" w14:textId="77777777" w:rsidR="000D07EA" w:rsidRDefault="000D07EA">
      <w:pPr>
        <w:pStyle w:val="BodyText"/>
      </w:pPr>
    </w:p>
    <w:p w14:paraId="33BCE16A" w14:textId="77777777" w:rsidR="000D07EA" w:rsidRDefault="00BE7C89">
      <w:pPr>
        <w:pStyle w:val="BodyText"/>
        <w:ind w:left="720"/>
        <w:rPr>
          <w:b/>
        </w:rPr>
      </w:pPr>
      <w:r>
        <w:rPr>
          <w:b/>
        </w:rPr>
        <w:t>Table 2C – Eligible for the Unlimited Mobile Internet Data, on the $129 Business Timeless (Nov-11 Premium H/set) plan.</w:t>
      </w: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730"/>
        <w:gridCol w:w="4731"/>
      </w:tblGrid>
      <w:tr w:rsidR="000D07EA" w14:paraId="07E54E05" w14:textId="77777777">
        <w:trPr>
          <w:tblHeader/>
        </w:trPr>
        <w:tc>
          <w:tcPr>
            <w:tcW w:w="2500" w:type="pct"/>
          </w:tcPr>
          <w:p w14:paraId="70205D53" w14:textId="77777777" w:rsidR="000D07EA" w:rsidRDefault="00BE7C89">
            <w:pPr>
              <w:pStyle w:val="BodyText"/>
              <w:spacing w:before="100" w:after="100"/>
              <w:rPr>
                <w:b/>
              </w:rPr>
            </w:pPr>
            <w:r>
              <w:rPr>
                <w:b/>
              </w:rPr>
              <w:t>Call Type</w:t>
            </w:r>
          </w:p>
        </w:tc>
        <w:tc>
          <w:tcPr>
            <w:tcW w:w="2500" w:type="pct"/>
          </w:tcPr>
          <w:p w14:paraId="24A92460" w14:textId="77777777" w:rsidR="000D07EA" w:rsidRDefault="00BE7C89">
            <w:pPr>
              <w:pStyle w:val="BodyText"/>
              <w:spacing w:before="100" w:after="100"/>
              <w:jc w:val="center"/>
              <w:rPr>
                <w:b/>
              </w:rPr>
            </w:pPr>
            <w:r>
              <w:rPr>
                <w:b/>
              </w:rPr>
              <w:t>Eligible Data</w:t>
            </w:r>
          </w:p>
        </w:tc>
      </w:tr>
      <w:tr w:rsidR="000D07EA" w14:paraId="48D07FE0" w14:textId="77777777">
        <w:tc>
          <w:tcPr>
            <w:tcW w:w="2500" w:type="pct"/>
          </w:tcPr>
          <w:p w14:paraId="02EED2D0" w14:textId="77777777" w:rsidR="000D07EA" w:rsidRDefault="00BE7C89">
            <w:pPr>
              <w:pStyle w:val="BodyText"/>
              <w:spacing w:before="100" w:after="100"/>
            </w:pPr>
            <w:r>
              <w:t>National Voice Calls</w:t>
            </w:r>
          </w:p>
        </w:tc>
        <w:tc>
          <w:tcPr>
            <w:tcW w:w="2500" w:type="pct"/>
          </w:tcPr>
          <w:p w14:paraId="1F1A237F" w14:textId="77777777" w:rsidR="000D07EA" w:rsidRDefault="00BE7C89">
            <w:pPr>
              <w:pStyle w:val="BodyText"/>
              <w:spacing w:before="100" w:after="100"/>
              <w:jc w:val="center"/>
            </w:pPr>
            <w:r>
              <w:t>No</w:t>
            </w:r>
          </w:p>
        </w:tc>
      </w:tr>
      <w:tr w:rsidR="000D07EA" w14:paraId="756590FD" w14:textId="77777777">
        <w:tc>
          <w:tcPr>
            <w:tcW w:w="2500" w:type="pct"/>
          </w:tcPr>
          <w:p w14:paraId="01C6A2D3" w14:textId="77777777" w:rsidR="000D07EA" w:rsidRDefault="00BE7C89">
            <w:pPr>
              <w:pStyle w:val="BodyText"/>
              <w:spacing w:before="100" w:after="100"/>
            </w:pPr>
            <w:r>
              <w:t>National Video Calls</w:t>
            </w:r>
          </w:p>
        </w:tc>
        <w:tc>
          <w:tcPr>
            <w:tcW w:w="2500" w:type="pct"/>
          </w:tcPr>
          <w:p w14:paraId="3C612217" w14:textId="77777777" w:rsidR="000D07EA" w:rsidRDefault="00BE7C89">
            <w:pPr>
              <w:pStyle w:val="BodyText"/>
              <w:spacing w:before="100" w:after="100"/>
              <w:jc w:val="center"/>
            </w:pPr>
            <w:r>
              <w:t>No</w:t>
            </w:r>
          </w:p>
        </w:tc>
      </w:tr>
      <w:tr w:rsidR="000D07EA" w14:paraId="6AB2081F" w14:textId="77777777">
        <w:tc>
          <w:tcPr>
            <w:tcW w:w="2500" w:type="pct"/>
          </w:tcPr>
          <w:p w14:paraId="54783970" w14:textId="77777777" w:rsidR="000D07EA" w:rsidRDefault="00BE7C89">
            <w:pPr>
              <w:pStyle w:val="BodyText"/>
              <w:spacing w:before="100" w:after="100"/>
            </w:pPr>
            <w:r>
              <w:t>International Voice Calls</w:t>
            </w:r>
          </w:p>
          <w:p w14:paraId="23405D86" w14:textId="77777777" w:rsidR="000D07EA" w:rsidRDefault="00BE7C89">
            <w:pPr>
              <w:pStyle w:val="BodyText"/>
              <w:spacing w:before="100" w:after="100"/>
            </w:pPr>
            <w:r>
              <w:t>(includes calls to national fixed or GSM mobile services that then divert/switch or re-route overseas)</w:t>
            </w:r>
          </w:p>
        </w:tc>
        <w:tc>
          <w:tcPr>
            <w:tcW w:w="2500" w:type="pct"/>
          </w:tcPr>
          <w:p w14:paraId="77509D5E" w14:textId="77777777" w:rsidR="000D07EA" w:rsidRDefault="00BE7C89">
            <w:pPr>
              <w:pStyle w:val="BodyText"/>
              <w:spacing w:before="100" w:after="100"/>
              <w:jc w:val="center"/>
            </w:pPr>
            <w:r>
              <w:t>No</w:t>
            </w:r>
          </w:p>
        </w:tc>
      </w:tr>
      <w:tr w:rsidR="000D07EA" w14:paraId="6B24A0FC" w14:textId="77777777">
        <w:tc>
          <w:tcPr>
            <w:tcW w:w="2500" w:type="pct"/>
          </w:tcPr>
          <w:p w14:paraId="4AEE7988" w14:textId="77777777" w:rsidR="000D07EA" w:rsidRDefault="00BE7C89">
            <w:pPr>
              <w:pStyle w:val="BodyText"/>
              <w:spacing w:before="100" w:after="100"/>
            </w:pPr>
            <w:r>
              <w:t>International Video Calls</w:t>
            </w:r>
          </w:p>
          <w:p w14:paraId="39B9424E" w14:textId="77777777" w:rsidR="000D07EA" w:rsidRDefault="00BE7C89">
            <w:pPr>
              <w:pStyle w:val="BodyText"/>
              <w:spacing w:before="100" w:after="100"/>
            </w:pPr>
            <w:r>
              <w:t>(includes calls to national fixed or GSM mobile services that then divert/switch or re-route overseas)</w:t>
            </w:r>
          </w:p>
        </w:tc>
        <w:tc>
          <w:tcPr>
            <w:tcW w:w="2500" w:type="pct"/>
          </w:tcPr>
          <w:p w14:paraId="13317365" w14:textId="77777777" w:rsidR="000D07EA" w:rsidRDefault="00BE7C89">
            <w:pPr>
              <w:pStyle w:val="BodyText"/>
              <w:spacing w:before="100" w:after="100"/>
              <w:jc w:val="center"/>
            </w:pPr>
            <w:r>
              <w:t>No</w:t>
            </w:r>
          </w:p>
        </w:tc>
      </w:tr>
      <w:tr w:rsidR="000D07EA" w14:paraId="3F55BFBA" w14:textId="77777777">
        <w:tc>
          <w:tcPr>
            <w:tcW w:w="2500" w:type="pct"/>
          </w:tcPr>
          <w:p w14:paraId="7740E5B2" w14:textId="77777777" w:rsidR="000D07EA" w:rsidRDefault="00BE7C89">
            <w:pPr>
              <w:pStyle w:val="BodyText"/>
              <w:spacing w:before="100" w:after="100"/>
            </w:pPr>
            <w:r>
              <w:t>National Standard SMS</w:t>
            </w:r>
          </w:p>
        </w:tc>
        <w:tc>
          <w:tcPr>
            <w:tcW w:w="2500" w:type="pct"/>
          </w:tcPr>
          <w:p w14:paraId="0FB8CB23" w14:textId="77777777" w:rsidR="000D07EA" w:rsidRDefault="00BE7C89">
            <w:pPr>
              <w:pStyle w:val="BodyText"/>
              <w:spacing w:before="100" w:after="100"/>
              <w:jc w:val="center"/>
            </w:pPr>
            <w:r>
              <w:t>No</w:t>
            </w:r>
          </w:p>
        </w:tc>
      </w:tr>
      <w:tr w:rsidR="000D07EA" w14:paraId="5C7FC0E4" w14:textId="77777777">
        <w:tc>
          <w:tcPr>
            <w:tcW w:w="2500" w:type="pct"/>
          </w:tcPr>
          <w:p w14:paraId="57A91D62" w14:textId="77777777" w:rsidR="000D07EA" w:rsidRDefault="00BE7C89">
            <w:pPr>
              <w:pStyle w:val="BodyText"/>
              <w:spacing w:before="100" w:after="100"/>
            </w:pPr>
            <w:r>
              <w:t>International SMS</w:t>
            </w:r>
          </w:p>
        </w:tc>
        <w:tc>
          <w:tcPr>
            <w:tcW w:w="2500" w:type="pct"/>
          </w:tcPr>
          <w:p w14:paraId="0DD91823" w14:textId="77777777" w:rsidR="000D07EA" w:rsidRDefault="00BE7C89">
            <w:pPr>
              <w:pStyle w:val="BodyText"/>
              <w:spacing w:before="100" w:after="100"/>
              <w:jc w:val="center"/>
            </w:pPr>
            <w:r>
              <w:t>No</w:t>
            </w:r>
          </w:p>
        </w:tc>
      </w:tr>
      <w:tr w:rsidR="000D07EA" w14:paraId="5B57C3FE" w14:textId="77777777">
        <w:tc>
          <w:tcPr>
            <w:tcW w:w="2500" w:type="pct"/>
          </w:tcPr>
          <w:p w14:paraId="2C17E44A" w14:textId="77777777" w:rsidR="000D07EA" w:rsidRDefault="00BE7C89">
            <w:pPr>
              <w:pStyle w:val="BodyText"/>
              <w:spacing w:before="100" w:after="100"/>
            </w:pPr>
            <w:r>
              <w:t>National MMS</w:t>
            </w:r>
          </w:p>
        </w:tc>
        <w:tc>
          <w:tcPr>
            <w:tcW w:w="2500" w:type="pct"/>
          </w:tcPr>
          <w:p w14:paraId="2B9DAF38" w14:textId="77777777" w:rsidR="000D07EA" w:rsidRDefault="00BE7C89">
            <w:pPr>
              <w:pStyle w:val="BodyText"/>
              <w:spacing w:before="100" w:after="100"/>
              <w:jc w:val="center"/>
            </w:pPr>
            <w:r>
              <w:t>No</w:t>
            </w:r>
          </w:p>
        </w:tc>
      </w:tr>
      <w:tr w:rsidR="000D07EA" w14:paraId="1396E5D6" w14:textId="77777777">
        <w:tc>
          <w:tcPr>
            <w:tcW w:w="2500" w:type="pct"/>
          </w:tcPr>
          <w:p w14:paraId="5106E082" w14:textId="77777777" w:rsidR="000D07EA" w:rsidRDefault="00BE7C89">
            <w:pPr>
              <w:pStyle w:val="BodyText"/>
              <w:spacing w:before="100" w:after="100"/>
            </w:pPr>
            <w:r>
              <w:t>International MMS</w:t>
            </w:r>
          </w:p>
        </w:tc>
        <w:tc>
          <w:tcPr>
            <w:tcW w:w="2500" w:type="pct"/>
          </w:tcPr>
          <w:p w14:paraId="0FDFB106" w14:textId="77777777" w:rsidR="000D07EA" w:rsidRDefault="00BE7C89">
            <w:pPr>
              <w:pStyle w:val="BodyText"/>
              <w:spacing w:before="100" w:after="100"/>
              <w:jc w:val="center"/>
            </w:pPr>
            <w:r>
              <w:t>No</w:t>
            </w:r>
          </w:p>
        </w:tc>
      </w:tr>
      <w:tr w:rsidR="000D07EA" w14:paraId="74838AA6" w14:textId="77777777">
        <w:tc>
          <w:tcPr>
            <w:tcW w:w="2500" w:type="pct"/>
          </w:tcPr>
          <w:p w14:paraId="1EFBEE21" w14:textId="77777777" w:rsidR="000D07EA" w:rsidRDefault="00BE7C89">
            <w:pPr>
              <w:pStyle w:val="BodyText"/>
              <w:spacing w:before="100" w:after="100"/>
            </w:pPr>
            <w:r>
              <w:t>Voicemail Diversions</w:t>
            </w:r>
          </w:p>
        </w:tc>
        <w:tc>
          <w:tcPr>
            <w:tcW w:w="2500" w:type="pct"/>
          </w:tcPr>
          <w:p w14:paraId="41EB21FC" w14:textId="77777777" w:rsidR="000D07EA" w:rsidRDefault="00BE7C89">
            <w:pPr>
              <w:pStyle w:val="BodyText"/>
              <w:spacing w:before="100" w:after="100"/>
              <w:jc w:val="center"/>
            </w:pPr>
            <w:r>
              <w:t>No</w:t>
            </w:r>
          </w:p>
        </w:tc>
      </w:tr>
      <w:tr w:rsidR="000D07EA" w14:paraId="1C5BCD08" w14:textId="77777777">
        <w:tc>
          <w:tcPr>
            <w:tcW w:w="2500" w:type="pct"/>
          </w:tcPr>
          <w:p w14:paraId="756AF4CB" w14:textId="77777777" w:rsidR="000D07EA" w:rsidRDefault="00BE7C89">
            <w:pPr>
              <w:pStyle w:val="BodyText"/>
              <w:spacing w:before="100" w:after="100"/>
            </w:pPr>
            <w:r>
              <w:t>Voicemail Deposit and Retrievals</w:t>
            </w:r>
          </w:p>
        </w:tc>
        <w:tc>
          <w:tcPr>
            <w:tcW w:w="2500" w:type="pct"/>
          </w:tcPr>
          <w:p w14:paraId="233DFE91" w14:textId="77777777" w:rsidR="000D07EA" w:rsidRDefault="00BE7C89">
            <w:pPr>
              <w:pStyle w:val="BodyText"/>
              <w:spacing w:before="100" w:after="100"/>
              <w:jc w:val="center"/>
            </w:pPr>
            <w:r>
              <w:t>No</w:t>
            </w:r>
          </w:p>
        </w:tc>
      </w:tr>
      <w:tr w:rsidR="000D07EA" w14:paraId="1FD33BAF" w14:textId="77777777">
        <w:tc>
          <w:tcPr>
            <w:tcW w:w="2500" w:type="pct"/>
          </w:tcPr>
          <w:p w14:paraId="08D562E8" w14:textId="77777777" w:rsidR="000D07EA" w:rsidRDefault="00BE7C89">
            <w:pPr>
              <w:pStyle w:val="BodyText"/>
              <w:spacing w:before="100" w:after="100"/>
            </w:pPr>
            <w:r>
              <w:t>International Roaming and Diversion</w:t>
            </w:r>
          </w:p>
        </w:tc>
        <w:tc>
          <w:tcPr>
            <w:tcW w:w="2500" w:type="pct"/>
          </w:tcPr>
          <w:p w14:paraId="7D401E31" w14:textId="77777777" w:rsidR="000D07EA" w:rsidRDefault="00BE7C89">
            <w:pPr>
              <w:pStyle w:val="BodyText"/>
              <w:spacing w:before="100" w:after="100"/>
              <w:jc w:val="center"/>
            </w:pPr>
            <w:r>
              <w:t>No</w:t>
            </w:r>
          </w:p>
        </w:tc>
      </w:tr>
      <w:tr w:rsidR="000D07EA" w14:paraId="3E538356" w14:textId="77777777">
        <w:tc>
          <w:tcPr>
            <w:tcW w:w="2500" w:type="pct"/>
          </w:tcPr>
          <w:p w14:paraId="05A5620C" w14:textId="77777777" w:rsidR="000D07EA" w:rsidRDefault="00BE7C89">
            <w:pPr>
              <w:pStyle w:val="BodyText"/>
              <w:spacing w:before="100" w:after="100"/>
            </w:pPr>
            <w:r>
              <w:t>Premium SMS</w:t>
            </w:r>
          </w:p>
        </w:tc>
        <w:tc>
          <w:tcPr>
            <w:tcW w:w="2500" w:type="pct"/>
          </w:tcPr>
          <w:p w14:paraId="34AF260D" w14:textId="77777777" w:rsidR="000D07EA" w:rsidRDefault="00BE7C89">
            <w:pPr>
              <w:pStyle w:val="BodyText"/>
              <w:spacing w:before="100" w:after="100"/>
              <w:jc w:val="center"/>
            </w:pPr>
            <w:r>
              <w:t>No</w:t>
            </w:r>
          </w:p>
        </w:tc>
      </w:tr>
      <w:tr w:rsidR="000D07EA" w14:paraId="04D6A18F" w14:textId="77777777">
        <w:tc>
          <w:tcPr>
            <w:tcW w:w="2500" w:type="pct"/>
          </w:tcPr>
          <w:p w14:paraId="24E24014" w14:textId="77777777" w:rsidR="000D07EA" w:rsidRDefault="00BE7C89">
            <w:pPr>
              <w:pStyle w:val="BodyText"/>
              <w:spacing w:before="100" w:after="100"/>
            </w:pPr>
            <w:r>
              <w:t>Premium Video</w:t>
            </w:r>
          </w:p>
        </w:tc>
        <w:tc>
          <w:tcPr>
            <w:tcW w:w="2500" w:type="pct"/>
          </w:tcPr>
          <w:p w14:paraId="16C0FDD5" w14:textId="77777777" w:rsidR="000D07EA" w:rsidRDefault="00BE7C89">
            <w:pPr>
              <w:pStyle w:val="BodyText"/>
              <w:spacing w:before="100" w:after="100"/>
              <w:jc w:val="center"/>
            </w:pPr>
            <w:r>
              <w:t>No</w:t>
            </w:r>
          </w:p>
        </w:tc>
      </w:tr>
      <w:tr w:rsidR="000D07EA" w14:paraId="3141706D" w14:textId="77777777">
        <w:tc>
          <w:tcPr>
            <w:tcW w:w="2500" w:type="pct"/>
          </w:tcPr>
          <w:p w14:paraId="3900A1DF" w14:textId="77777777" w:rsidR="000D07EA" w:rsidRDefault="00BE7C89">
            <w:pPr>
              <w:pStyle w:val="BodyText"/>
              <w:spacing w:before="100" w:after="100"/>
            </w:pPr>
            <w:r>
              <w:t>Video Conferencing</w:t>
            </w:r>
          </w:p>
        </w:tc>
        <w:tc>
          <w:tcPr>
            <w:tcW w:w="2500" w:type="pct"/>
          </w:tcPr>
          <w:p w14:paraId="684EC752" w14:textId="77777777" w:rsidR="000D07EA" w:rsidRDefault="00BE7C89">
            <w:pPr>
              <w:pStyle w:val="BodyText"/>
              <w:spacing w:before="100" w:after="100"/>
              <w:jc w:val="center"/>
            </w:pPr>
            <w:r>
              <w:t>No</w:t>
            </w:r>
          </w:p>
        </w:tc>
      </w:tr>
      <w:tr w:rsidR="000D07EA" w14:paraId="74BCB19C" w14:textId="77777777">
        <w:tc>
          <w:tcPr>
            <w:tcW w:w="2500" w:type="pct"/>
          </w:tcPr>
          <w:p w14:paraId="3682E50F" w14:textId="77777777" w:rsidR="000D07EA" w:rsidRDefault="00BE7C89">
            <w:pPr>
              <w:pStyle w:val="BodyText"/>
              <w:spacing w:before="100" w:after="100"/>
            </w:pPr>
            <w:r>
              <w:t>Optus Zoo or Optus iZoo Browsing</w:t>
            </w:r>
          </w:p>
        </w:tc>
        <w:tc>
          <w:tcPr>
            <w:tcW w:w="2500" w:type="pct"/>
          </w:tcPr>
          <w:p w14:paraId="569A33A9" w14:textId="77777777" w:rsidR="000D07EA" w:rsidRDefault="00BE7C89">
            <w:pPr>
              <w:pStyle w:val="BodyText"/>
              <w:spacing w:before="100" w:after="100"/>
              <w:jc w:val="center"/>
            </w:pPr>
            <w:r>
              <w:t>Yes, ONLY from the Mobile Handset</w:t>
            </w:r>
          </w:p>
        </w:tc>
      </w:tr>
      <w:tr w:rsidR="000D07EA" w14:paraId="74B3898B" w14:textId="77777777">
        <w:tc>
          <w:tcPr>
            <w:tcW w:w="2500" w:type="pct"/>
          </w:tcPr>
          <w:p w14:paraId="05F69800" w14:textId="77777777" w:rsidR="000D07EA" w:rsidRDefault="00BE7C89">
            <w:pPr>
              <w:pStyle w:val="BodyText"/>
              <w:spacing w:before="100" w:after="100"/>
            </w:pPr>
            <w:r>
              <w:t>Optus Zoo or Optus iZoo Downloads</w:t>
            </w:r>
          </w:p>
        </w:tc>
        <w:tc>
          <w:tcPr>
            <w:tcW w:w="2500" w:type="pct"/>
          </w:tcPr>
          <w:p w14:paraId="6031E1E2" w14:textId="77777777" w:rsidR="000D07EA" w:rsidRDefault="00BE7C89">
            <w:pPr>
              <w:pStyle w:val="BodyText"/>
              <w:spacing w:before="100" w:after="100"/>
              <w:jc w:val="center"/>
            </w:pPr>
            <w:r>
              <w:t>No</w:t>
            </w:r>
          </w:p>
        </w:tc>
      </w:tr>
      <w:tr w:rsidR="000D07EA" w14:paraId="0AAAD3F1" w14:textId="77777777">
        <w:tc>
          <w:tcPr>
            <w:tcW w:w="2500" w:type="pct"/>
          </w:tcPr>
          <w:p w14:paraId="26B08FA9" w14:textId="77777777" w:rsidR="000D07EA" w:rsidRDefault="00BE7C89">
            <w:pPr>
              <w:pStyle w:val="BodyText"/>
              <w:spacing w:before="100" w:after="100"/>
            </w:pPr>
            <w:r>
              <w:t>SMS to 966 (Zoo)</w:t>
            </w:r>
          </w:p>
        </w:tc>
        <w:tc>
          <w:tcPr>
            <w:tcW w:w="2500" w:type="pct"/>
          </w:tcPr>
          <w:p w14:paraId="5E840B1A" w14:textId="77777777" w:rsidR="000D07EA" w:rsidRDefault="00BE7C89">
            <w:pPr>
              <w:pStyle w:val="BodyText"/>
              <w:spacing w:before="100" w:after="100"/>
              <w:jc w:val="center"/>
            </w:pPr>
            <w:r>
              <w:t>No</w:t>
            </w:r>
          </w:p>
        </w:tc>
      </w:tr>
      <w:tr w:rsidR="000D07EA" w14:paraId="6B7D85A0" w14:textId="77777777">
        <w:tc>
          <w:tcPr>
            <w:tcW w:w="2500" w:type="pct"/>
          </w:tcPr>
          <w:p w14:paraId="569182D1" w14:textId="77777777" w:rsidR="000D07EA" w:rsidRDefault="00BE7C89">
            <w:pPr>
              <w:pStyle w:val="BodyText"/>
              <w:spacing w:before="100" w:after="100"/>
            </w:pPr>
            <w:r>
              <w:t>Mobile Internet usage</w:t>
            </w:r>
          </w:p>
        </w:tc>
        <w:tc>
          <w:tcPr>
            <w:tcW w:w="2500" w:type="pct"/>
          </w:tcPr>
          <w:p w14:paraId="27546398" w14:textId="77777777" w:rsidR="000D07EA" w:rsidRDefault="00BE7C89">
            <w:pPr>
              <w:pStyle w:val="BodyText"/>
              <w:spacing w:before="100" w:after="100"/>
              <w:jc w:val="center"/>
            </w:pPr>
            <w:r>
              <w:t>Yes, ONLY from the Mobile Handset</w:t>
            </w:r>
          </w:p>
        </w:tc>
      </w:tr>
      <w:tr w:rsidR="000D07EA" w14:paraId="6B74DA03" w14:textId="77777777">
        <w:tc>
          <w:tcPr>
            <w:tcW w:w="2500" w:type="pct"/>
          </w:tcPr>
          <w:p w14:paraId="497C28EF" w14:textId="77777777" w:rsidR="000D07EA" w:rsidRDefault="00BE7C89">
            <w:pPr>
              <w:pStyle w:val="BodyText"/>
              <w:spacing w:before="100" w:after="100"/>
            </w:pPr>
            <w:r>
              <w:t>Mobile as Modem</w:t>
            </w:r>
          </w:p>
        </w:tc>
        <w:tc>
          <w:tcPr>
            <w:tcW w:w="2500" w:type="pct"/>
          </w:tcPr>
          <w:p w14:paraId="3B3B428C" w14:textId="77777777" w:rsidR="000D07EA" w:rsidRDefault="00BE7C89">
            <w:pPr>
              <w:pStyle w:val="BodyText"/>
              <w:spacing w:before="100" w:after="100"/>
              <w:jc w:val="center"/>
            </w:pPr>
            <w:r>
              <w:t>No</w:t>
            </w:r>
          </w:p>
        </w:tc>
      </w:tr>
      <w:tr w:rsidR="000D07EA" w14:paraId="64804BA8" w14:textId="77777777">
        <w:tc>
          <w:tcPr>
            <w:tcW w:w="2500" w:type="pct"/>
          </w:tcPr>
          <w:p w14:paraId="7CDC872B" w14:textId="77777777" w:rsidR="000D07EA" w:rsidRDefault="00BE7C89">
            <w:pPr>
              <w:pStyle w:val="BodyText"/>
              <w:spacing w:before="100" w:after="100"/>
            </w:pPr>
            <w:r>
              <w:t>Data Used while Roaming Internationally</w:t>
            </w:r>
          </w:p>
        </w:tc>
        <w:tc>
          <w:tcPr>
            <w:tcW w:w="2500" w:type="pct"/>
          </w:tcPr>
          <w:p w14:paraId="333A73FC" w14:textId="77777777" w:rsidR="000D07EA" w:rsidRDefault="00BE7C89">
            <w:pPr>
              <w:pStyle w:val="BodyText"/>
              <w:spacing w:before="100" w:after="100"/>
              <w:jc w:val="center"/>
            </w:pPr>
            <w:r>
              <w:t>No</w:t>
            </w:r>
          </w:p>
        </w:tc>
      </w:tr>
      <w:tr w:rsidR="000D07EA" w14:paraId="3C56269F" w14:textId="77777777">
        <w:tc>
          <w:tcPr>
            <w:tcW w:w="2500" w:type="pct"/>
          </w:tcPr>
          <w:p w14:paraId="28E36651" w14:textId="77777777" w:rsidR="000D07EA" w:rsidRDefault="00BE7C89">
            <w:pPr>
              <w:pStyle w:val="BodyText"/>
              <w:spacing w:before="100" w:after="100"/>
            </w:pPr>
            <w:r>
              <w:t>Content Packs (unless specified in promotions)</w:t>
            </w:r>
          </w:p>
        </w:tc>
        <w:tc>
          <w:tcPr>
            <w:tcW w:w="2500" w:type="pct"/>
          </w:tcPr>
          <w:p w14:paraId="36D8F5B0" w14:textId="77777777" w:rsidR="000D07EA" w:rsidRDefault="00BE7C89">
            <w:pPr>
              <w:pStyle w:val="BodyText"/>
              <w:spacing w:before="100" w:after="100"/>
              <w:jc w:val="center"/>
            </w:pPr>
            <w:r>
              <w:t>No</w:t>
            </w:r>
          </w:p>
        </w:tc>
      </w:tr>
      <w:tr w:rsidR="000D07EA" w14:paraId="309C92F2" w14:textId="77777777">
        <w:tc>
          <w:tcPr>
            <w:tcW w:w="2500" w:type="pct"/>
          </w:tcPr>
          <w:p w14:paraId="501478C1" w14:textId="77777777" w:rsidR="000D07EA" w:rsidRDefault="00BE7C89">
            <w:pPr>
              <w:pStyle w:val="BodyText"/>
              <w:spacing w:before="100" w:after="100"/>
            </w:pPr>
            <w:r>
              <w:lastRenderedPageBreak/>
              <w:t>TrueLocal Usage</w:t>
            </w:r>
          </w:p>
        </w:tc>
        <w:tc>
          <w:tcPr>
            <w:tcW w:w="2500" w:type="pct"/>
          </w:tcPr>
          <w:p w14:paraId="3C695988" w14:textId="77777777" w:rsidR="000D07EA" w:rsidRDefault="00BE7C89">
            <w:pPr>
              <w:pStyle w:val="BodyText"/>
              <w:spacing w:before="100" w:after="100"/>
              <w:jc w:val="center"/>
            </w:pPr>
            <w:r>
              <w:t>No</w:t>
            </w:r>
          </w:p>
        </w:tc>
      </w:tr>
      <w:tr w:rsidR="000D07EA" w14:paraId="68958C21" w14:textId="77777777">
        <w:tc>
          <w:tcPr>
            <w:tcW w:w="2500" w:type="pct"/>
          </w:tcPr>
          <w:p w14:paraId="01BE0DE8" w14:textId="77777777" w:rsidR="000D07EA" w:rsidRDefault="00BE7C89">
            <w:pPr>
              <w:pStyle w:val="BodyText"/>
              <w:spacing w:before="100" w:after="100"/>
            </w:pPr>
            <w:r>
              <w:t xml:space="preserve">Directory Assistance- 1223 </w:t>
            </w:r>
          </w:p>
        </w:tc>
        <w:tc>
          <w:tcPr>
            <w:tcW w:w="2500" w:type="pct"/>
          </w:tcPr>
          <w:p w14:paraId="73283566" w14:textId="77777777" w:rsidR="000D07EA" w:rsidRDefault="00BE7C89">
            <w:pPr>
              <w:pStyle w:val="BodyText"/>
              <w:spacing w:before="100" w:after="100"/>
              <w:jc w:val="center"/>
            </w:pPr>
            <w:r>
              <w:t>No</w:t>
            </w:r>
          </w:p>
        </w:tc>
      </w:tr>
      <w:tr w:rsidR="000D07EA" w14:paraId="40ADBA48" w14:textId="77777777">
        <w:tc>
          <w:tcPr>
            <w:tcW w:w="2500" w:type="pct"/>
          </w:tcPr>
          <w:p w14:paraId="4C2DCB7E" w14:textId="77777777" w:rsidR="000D07EA" w:rsidRDefault="00BE7C89">
            <w:pPr>
              <w:pStyle w:val="BodyText"/>
              <w:spacing w:before="100" w:after="100"/>
            </w:pPr>
            <w:r>
              <w:t>19XX Numbers</w:t>
            </w:r>
          </w:p>
        </w:tc>
        <w:tc>
          <w:tcPr>
            <w:tcW w:w="2500" w:type="pct"/>
          </w:tcPr>
          <w:p w14:paraId="13E48422" w14:textId="77777777" w:rsidR="000D07EA" w:rsidRDefault="00BE7C89">
            <w:pPr>
              <w:pStyle w:val="BodyText"/>
              <w:spacing w:before="100" w:after="100"/>
              <w:jc w:val="center"/>
            </w:pPr>
            <w:r>
              <w:t>No</w:t>
            </w:r>
          </w:p>
        </w:tc>
      </w:tr>
      <w:tr w:rsidR="000D07EA" w14:paraId="6F1C6BBC" w14:textId="77777777">
        <w:tc>
          <w:tcPr>
            <w:tcW w:w="2500" w:type="pct"/>
          </w:tcPr>
          <w:p w14:paraId="63D04341" w14:textId="77777777" w:rsidR="000D07EA" w:rsidRDefault="00BE7C89">
            <w:pPr>
              <w:pStyle w:val="BodyText"/>
              <w:spacing w:before="100" w:after="100"/>
            </w:pPr>
            <w:r>
              <w:t>1800, 13 and 1300 numbers</w:t>
            </w:r>
          </w:p>
        </w:tc>
        <w:tc>
          <w:tcPr>
            <w:tcW w:w="2500" w:type="pct"/>
          </w:tcPr>
          <w:p w14:paraId="47B1126B" w14:textId="77777777" w:rsidR="000D07EA" w:rsidRDefault="00BE7C89">
            <w:pPr>
              <w:pStyle w:val="BodyText"/>
              <w:spacing w:before="100" w:after="100"/>
              <w:jc w:val="center"/>
            </w:pPr>
            <w:r>
              <w:t>No</w:t>
            </w:r>
          </w:p>
        </w:tc>
      </w:tr>
      <w:tr w:rsidR="000D07EA" w14:paraId="2DCE5864" w14:textId="77777777">
        <w:tc>
          <w:tcPr>
            <w:tcW w:w="2500" w:type="pct"/>
          </w:tcPr>
          <w:p w14:paraId="305DF579" w14:textId="77777777" w:rsidR="000D07EA" w:rsidRDefault="00BE7C89">
            <w:pPr>
              <w:pStyle w:val="BodyText"/>
              <w:spacing w:before="100" w:after="100"/>
            </w:pPr>
            <w:r>
              <w:t>124YES(937)</w:t>
            </w:r>
          </w:p>
        </w:tc>
        <w:tc>
          <w:tcPr>
            <w:tcW w:w="2500" w:type="pct"/>
          </w:tcPr>
          <w:p w14:paraId="1F9EE545" w14:textId="77777777" w:rsidR="000D07EA" w:rsidRDefault="00BE7C89">
            <w:pPr>
              <w:pStyle w:val="BodyText"/>
              <w:spacing w:before="100" w:after="100"/>
              <w:jc w:val="center"/>
            </w:pPr>
            <w:r>
              <w:t>No</w:t>
            </w:r>
          </w:p>
        </w:tc>
      </w:tr>
      <w:tr w:rsidR="000D07EA" w14:paraId="670E9B61" w14:textId="77777777">
        <w:tc>
          <w:tcPr>
            <w:tcW w:w="2500" w:type="pct"/>
          </w:tcPr>
          <w:p w14:paraId="6021C360" w14:textId="77777777" w:rsidR="000D07EA" w:rsidRDefault="00BE7C89">
            <w:pPr>
              <w:pStyle w:val="BodyText"/>
              <w:spacing w:before="100" w:after="100"/>
            </w:pPr>
            <w:r>
              <w:t>Insurance</w:t>
            </w:r>
          </w:p>
        </w:tc>
        <w:tc>
          <w:tcPr>
            <w:tcW w:w="2500" w:type="pct"/>
          </w:tcPr>
          <w:p w14:paraId="0A512BEB" w14:textId="77777777" w:rsidR="000D07EA" w:rsidRDefault="00BE7C89">
            <w:pPr>
              <w:pStyle w:val="BodyText"/>
              <w:spacing w:before="100" w:after="100"/>
              <w:jc w:val="center"/>
            </w:pPr>
            <w:r>
              <w:t>No</w:t>
            </w:r>
          </w:p>
        </w:tc>
      </w:tr>
      <w:tr w:rsidR="000D07EA" w14:paraId="02C3C44A" w14:textId="77777777">
        <w:tc>
          <w:tcPr>
            <w:tcW w:w="2500" w:type="pct"/>
          </w:tcPr>
          <w:p w14:paraId="366BBD3E" w14:textId="77777777" w:rsidR="000D07EA" w:rsidRDefault="00BE7C89">
            <w:pPr>
              <w:pStyle w:val="BodyText"/>
              <w:spacing w:before="100" w:after="100"/>
            </w:pPr>
            <w:r>
              <w:t>Handset Payments</w:t>
            </w:r>
          </w:p>
        </w:tc>
        <w:tc>
          <w:tcPr>
            <w:tcW w:w="2500" w:type="pct"/>
          </w:tcPr>
          <w:p w14:paraId="5E47C7AB" w14:textId="77777777" w:rsidR="000D07EA" w:rsidRDefault="00BE7C89">
            <w:pPr>
              <w:pStyle w:val="BodyText"/>
              <w:spacing w:before="100" w:after="100"/>
              <w:jc w:val="center"/>
            </w:pPr>
            <w:r>
              <w:t>No</w:t>
            </w:r>
          </w:p>
        </w:tc>
      </w:tr>
      <w:tr w:rsidR="000D07EA" w14:paraId="16F38996" w14:textId="77777777">
        <w:tc>
          <w:tcPr>
            <w:tcW w:w="2500" w:type="pct"/>
          </w:tcPr>
          <w:p w14:paraId="2B4E0434" w14:textId="77777777" w:rsidR="000D07EA" w:rsidRDefault="00BE7C89">
            <w:pPr>
              <w:pStyle w:val="BodyText"/>
              <w:spacing w:before="100" w:after="100"/>
            </w:pPr>
            <w:r>
              <w:t>Calls to MobileSat</w:t>
            </w:r>
          </w:p>
        </w:tc>
        <w:tc>
          <w:tcPr>
            <w:tcW w:w="2500" w:type="pct"/>
          </w:tcPr>
          <w:p w14:paraId="6B041702" w14:textId="77777777" w:rsidR="000D07EA" w:rsidRDefault="00BE7C89">
            <w:pPr>
              <w:pStyle w:val="BodyText"/>
              <w:spacing w:before="100" w:after="100"/>
              <w:jc w:val="center"/>
            </w:pPr>
            <w:r>
              <w:t>No</w:t>
            </w:r>
          </w:p>
        </w:tc>
      </w:tr>
      <w:tr w:rsidR="000D07EA" w14:paraId="5A1D64E9" w14:textId="77777777">
        <w:tc>
          <w:tcPr>
            <w:tcW w:w="2500" w:type="pct"/>
          </w:tcPr>
          <w:p w14:paraId="17F1FBAA" w14:textId="77777777" w:rsidR="000D07EA" w:rsidRDefault="00BE7C89">
            <w:pPr>
              <w:pStyle w:val="BodyText"/>
              <w:spacing w:before="100" w:after="100"/>
            </w:pPr>
            <w:r>
              <w:t>VOIP services</w:t>
            </w:r>
          </w:p>
        </w:tc>
        <w:tc>
          <w:tcPr>
            <w:tcW w:w="2500" w:type="pct"/>
          </w:tcPr>
          <w:p w14:paraId="395056C4" w14:textId="77777777" w:rsidR="000D07EA" w:rsidRDefault="00BE7C89">
            <w:pPr>
              <w:pStyle w:val="BodyText"/>
              <w:spacing w:before="100" w:after="100"/>
              <w:jc w:val="center"/>
            </w:pPr>
            <w:r>
              <w:t>No</w:t>
            </w:r>
          </w:p>
        </w:tc>
      </w:tr>
    </w:tbl>
    <w:p w14:paraId="34B511F7" w14:textId="77777777" w:rsidR="000D07EA" w:rsidRDefault="000D07EA">
      <w:pPr>
        <w:pStyle w:val="BodyText"/>
      </w:pPr>
    </w:p>
    <w:p w14:paraId="217F09F9" w14:textId="77777777" w:rsidR="000D07EA" w:rsidRDefault="00BE7C89">
      <w:pPr>
        <w:pStyle w:val="BodyText"/>
        <w:ind w:left="720"/>
        <w:rPr>
          <w:b/>
        </w:rPr>
      </w:pPr>
      <w:r>
        <w:rPr>
          <w:b/>
        </w:rPr>
        <w:t>Table 2D – Eligible for the Included International Value</w:t>
      </w: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730"/>
        <w:gridCol w:w="4731"/>
      </w:tblGrid>
      <w:tr w:rsidR="000D07EA" w14:paraId="31DDFED5" w14:textId="77777777">
        <w:trPr>
          <w:tblHeader/>
        </w:trPr>
        <w:tc>
          <w:tcPr>
            <w:tcW w:w="2500" w:type="pct"/>
          </w:tcPr>
          <w:p w14:paraId="21AE55BF" w14:textId="77777777" w:rsidR="000D07EA" w:rsidRDefault="00BE7C89">
            <w:pPr>
              <w:pStyle w:val="BodyText"/>
              <w:spacing w:before="100" w:after="100"/>
              <w:rPr>
                <w:b/>
              </w:rPr>
            </w:pPr>
            <w:r>
              <w:rPr>
                <w:b/>
              </w:rPr>
              <w:t>Call Type</w:t>
            </w:r>
          </w:p>
        </w:tc>
        <w:tc>
          <w:tcPr>
            <w:tcW w:w="2500" w:type="pct"/>
          </w:tcPr>
          <w:p w14:paraId="381C5462" w14:textId="77777777" w:rsidR="000D07EA" w:rsidRDefault="00BE7C89">
            <w:pPr>
              <w:pStyle w:val="BodyText"/>
              <w:spacing w:before="100" w:after="100"/>
              <w:jc w:val="center"/>
              <w:rPr>
                <w:b/>
              </w:rPr>
            </w:pPr>
            <w:r>
              <w:rPr>
                <w:b/>
              </w:rPr>
              <w:t>Eligible Call</w:t>
            </w:r>
          </w:p>
        </w:tc>
      </w:tr>
      <w:tr w:rsidR="000D07EA" w14:paraId="2705AF45" w14:textId="77777777">
        <w:tc>
          <w:tcPr>
            <w:tcW w:w="2500" w:type="pct"/>
          </w:tcPr>
          <w:p w14:paraId="2C85F2F1" w14:textId="77777777" w:rsidR="000D07EA" w:rsidRDefault="00BE7C89">
            <w:pPr>
              <w:pStyle w:val="BodyText"/>
              <w:spacing w:before="100" w:after="100"/>
            </w:pPr>
            <w:r>
              <w:t>National Voice Calls</w:t>
            </w:r>
          </w:p>
        </w:tc>
        <w:tc>
          <w:tcPr>
            <w:tcW w:w="2500" w:type="pct"/>
          </w:tcPr>
          <w:p w14:paraId="29C5DEEB" w14:textId="77777777" w:rsidR="000D07EA" w:rsidRDefault="00BE7C89">
            <w:pPr>
              <w:pStyle w:val="BodyText"/>
              <w:spacing w:before="100" w:after="100"/>
              <w:jc w:val="center"/>
            </w:pPr>
            <w:r>
              <w:t>No</w:t>
            </w:r>
          </w:p>
        </w:tc>
      </w:tr>
      <w:tr w:rsidR="000D07EA" w14:paraId="3C54CA2A" w14:textId="77777777">
        <w:tc>
          <w:tcPr>
            <w:tcW w:w="2500" w:type="pct"/>
          </w:tcPr>
          <w:p w14:paraId="2021B200" w14:textId="77777777" w:rsidR="000D07EA" w:rsidRDefault="00BE7C89">
            <w:pPr>
              <w:pStyle w:val="BodyText"/>
              <w:spacing w:before="100" w:after="100"/>
            </w:pPr>
            <w:r>
              <w:t>National Video Calls</w:t>
            </w:r>
          </w:p>
        </w:tc>
        <w:tc>
          <w:tcPr>
            <w:tcW w:w="2500" w:type="pct"/>
          </w:tcPr>
          <w:p w14:paraId="47B66BDD" w14:textId="77777777" w:rsidR="000D07EA" w:rsidRDefault="00BE7C89">
            <w:pPr>
              <w:pStyle w:val="BodyText"/>
              <w:spacing w:before="100" w:after="100"/>
              <w:jc w:val="center"/>
            </w:pPr>
            <w:r>
              <w:t>No</w:t>
            </w:r>
          </w:p>
        </w:tc>
      </w:tr>
      <w:tr w:rsidR="000D07EA" w14:paraId="7D74450F" w14:textId="77777777">
        <w:tc>
          <w:tcPr>
            <w:tcW w:w="2500" w:type="pct"/>
          </w:tcPr>
          <w:p w14:paraId="1BDC6EAC" w14:textId="77777777" w:rsidR="000D07EA" w:rsidRDefault="00BE7C89">
            <w:pPr>
              <w:pStyle w:val="BodyText"/>
              <w:spacing w:before="100" w:after="100"/>
            </w:pPr>
            <w:r>
              <w:t>International Voice Calls</w:t>
            </w:r>
          </w:p>
          <w:p w14:paraId="728E85E9" w14:textId="77777777" w:rsidR="000D07EA" w:rsidRDefault="00BE7C89">
            <w:pPr>
              <w:pStyle w:val="BodyText"/>
              <w:spacing w:before="100" w:after="100"/>
            </w:pPr>
            <w:r>
              <w:t>(includes calls to national fixed or GSM mobile services that then divert/switch or re-route overseas)</w:t>
            </w:r>
          </w:p>
        </w:tc>
        <w:tc>
          <w:tcPr>
            <w:tcW w:w="2500" w:type="pct"/>
          </w:tcPr>
          <w:p w14:paraId="60B43C25" w14:textId="77777777" w:rsidR="000D07EA" w:rsidRDefault="00BE7C89">
            <w:pPr>
              <w:pStyle w:val="BodyText"/>
              <w:spacing w:before="100" w:after="100"/>
              <w:jc w:val="center"/>
            </w:pPr>
            <w:r>
              <w:t>Yes</w:t>
            </w:r>
          </w:p>
        </w:tc>
      </w:tr>
      <w:tr w:rsidR="000D07EA" w14:paraId="0B724F8D" w14:textId="77777777">
        <w:tc>
          <w:tcPr>
            <w:tcW w:w="2500" w:type="pct"/>
          </w:tcPr>
          <w:p w14:paraId="708A46AF" w14:textId="77777777" w:rsidR="000D07EA" w:rsidRDefault="00BE7C89">
            <w:pPr>
              <w:pStyle w:val="BodyText"/>
              <w:spacing w:before="100" w:after="100"/>
            </w:pPr>
            <w:r>
              <w:t>International Video Calls</w:t>
            </w:r>
          </w:p>
          <w:p w14:paraId="03C699B2" w14:textId="77777777" w:rsidR="000D07EA" w:rsidRDefault="00BE7C89">
            <w:pPr>
              <w:pStyle w:val="BodyText"/>
              <w:spacing w:before="100" w:after="100"/>
            </w:pPr>
            <w:r>
              <w:t>(includes calls to national fixed or GSM mobile services that then divert/switch or re-route overseas)</w:t>
            </w:r>
          </w:p>
        </w:tc>
        <w:tc>
          <w:tcPr>
            <w:tcW w:w="2500" w:type="pct"/>
          </w:tcPr>
          <w:p w14:paraId="7502E75A" w14:textId="77777777" w:rsidR="000D07EA" w:rsidRDefault="00BE7C89">
            <w:pPr>
              <w:pStyle w:val="BodyText"/>
              <w:spacing w:before="100" w:after="100"/>
              <w:jc w:val="center"/>
            </w:pPr>
            <w:r>
              <w:t>No</w:t>
            </w:r>
          </w:p>
        </w:tc>
      </w:tr>
      <w:tr w:rsidR="000D07EA" w14:paraId="07D1F4FA" w14:textId="77777777">
        <w:tc>
          <w:tcPr>
            <w:tcW w:w="2500" w:type="pct"/>
          </w:tcPr>
          <w:p w14:paraId="3B627E68" w14:textId="77777777" w:rsidR="000D07EA" w:rsidRDefault="00BE7C89">
            <w:pPr>
              <w:pStyle w:val="BodyText"/>
              <w:spacing w:before="100" w:after="100"/>
            </w:pPr>
            <w:r>
              <w:t>National Standard SMS</w:t>
            </w:r>
          </w:p>
        </w:tc>
        <w:tc>
          <w:tcPr>
            <w:tcW w:w="2500" w:type="pct"/>
          </w:tcPr>
          <w:p w14:paraId="4C983FBC" w14:textId="77777777" w:rsidR="000D07EA" w:rsidRDefault="00BE7C89">
            <w:pPr>
              <w:pStyle w:val="BodyText"/>
              <w:spacing w:before="100" w:after="100"/>
              <w:jc w:val="center"/>
            </w:pPr>
            <w:r>
              <w:t>No</w:t>
            </w:r>
          </w:p>
        </w:tc>
      </w:tr>
      <w:tr w:rsidR="000D07EA" w14:paraId="505CA152" w14:textId="77777777">
        <w:tc>
          <w:tcPr>
            <w:tcW w:w="2500" w:type="pct"/>
          </w:tcPr>
          <w:p w14:paraId="1CAFE0F5" w14:textId="77777777" w:rsidR="000D07EA" w:rsidRDefault="00BE7C89">
            <w:pPr>
              <w:pStyle w:val="BodyText"/>
              <w:spacing w:before="100" w:after="100"/>
            </w:pPr>
            <w:r>
              <w:t>International SMS</w:t>
            </w:r>
          </w:p>
        </w:tc>
        <w:tc>
          <w:tcPr>
            <w:tcW w:w="2500" w:type="pct"/>
          </w:tcPr>
          <w:p w14:paraId="2255CB15" w14:textId="77777777" w:rsidR="000D07EA" w:rsidRDefault="00BE7C89">
            <w:pPr>
              <w:pStyle w:val="BodyText"/>
              <w:spacing w:before="100" w:after="100"/>
              <w:jc w:val="center"/>
            </w:pPr>
            <w:r>
              <w:t>Yes</w:t>
            </w:r>
          </w:p>
        </w:tc>
      </w:tr>
      <w:tr w:rsidR="000D07EA" w14:paraId="76BCD511" w14:textId="77777777">
        <w:tc>
          <w:tcPr>
            <w:tcW w:w="2500" w:type="pct"/>
          </w:tcPr>
          <w:p w14:paraId="0CA5A594" w14:textId="77777777" w:rsidR="000D07EA" w:rsidRDefault="00BE7C89">
            <w:pPr>
              <w:pStyle w:val="BodyText"/>
              <w:spacing w:before="100" w:after="100"/>
            </w:pPr>
            <w:r>
              <w:t>National MMS</w:t>
            </w:r>
          </w:p>
        </w:tc>
        <w:tc>
          <w:tcPr>
            <w:tcW w:w="2500" w:type="pct"/>
          </w:tcPr>
          <w:p w14:paraId="49CDC9A0" w14:textId="77777777" w:rsidR="000D07EA" w:rsidRDefault="00BE7C89">
            <w:pPr>
              <w:pStyle w:val="BodyText"/>
              <w:spacing w:before="100" w:after="100"/>
              <w:jc w:val="center"/>
            </w:pPr>
            <w:r>
              <w:t>No</w:t>
            </w:r>
          </w:p>
        </w:tc>
      </w:tr>
      <w:tr w:rsidR="000D07EA" w14:paraId="6D78E59F" w14:textId="77777777">
        <w:tc>
          <w:tcPr>
            <w:tcW w:w="2500" w:type="pct"/>
          </w:tcPr>
          <w:p w14:paraId="4546D421" w14:textId="77777777" w:rsidR="000D07EA" w:rsidRDefault="00BE7C89">
            <w:pPr>
              <w:pStyle w:val="BodyText"/>
              <w:spacing w:before="100" w:after="100"/>
            </w:pPr>
            <w:r>
              <w:t>International MMS</w:t>
            </w:r>
          </w:p>
        </w:tc>
        <w:tc>
          <w:tcPr>
            <w:tcW w:w="2500" w:type="pct"/>
          </w:tcPr>
          <w:p w14:paraId="4944BFA4" w14:textId="77777777" w:rsidR="000D07EA" w:rsidRDefault="00BE7C89">
            <w:pPr>
              <w:pStyle w:val="BodyText"/>
              <w:spacing w:before="100" w:after="100"/>
              <w:jc w:val="center"/>
            </w:pPr>
            <w:r>
              <w:t>Yes</w:t>
            </w:r>
          </w:p>
        </w:tc>
      </w:tr>
      <w:tr w:rsidR="000D07EA" w14:paraId="4DED6EF1" w14:textId="77777777">
        <w:tc>
          <w:tcPr>
            <w:tcW w:w="2500" w:type="pct"/>
          </w:tcPr>
          <w:p w14:paraId="520DE5F1" w14:textId="77777777" w:rsidR="000D07EA" w:rsidRDefault="00BE7C89">
            <w:pPr>
              <w:pStyle w:val="BodyText"/>
              <w:spacing w:before="100" w:after="100"/>
            </w:pPr>
            <w:r>
              <w:t>National Diversions</w:t>
            </w:r>
          </w:p>
        </w:tc>
        <w:tc>
          <w:tcPr>
            <w:tcW w:w="2500" w:type="pct"/>
          </w:tcPr>
          <w:p w14:paraId="7A3B3F04" w14:textId="77777777" w:rsidR="000D07EA" w:rsidRDefault="00BE7C89">
            <w:pPr>
              <w:pStyle w:val="BodyText"/>
              <w:spacing w:before="100" w:after="100"/>
              <w:jc w:val="center"/>
            </w:pPr>
            <w:r>
              <w:t>No</w:t>
            </w:r>
          </w:p>
        </w:tc>
      </w:tr>
      <w:tr w:rsidR="000D07EA" w14:paraId="281E95C7" w14:textId="77777777">
        <w:tc>
          <w:tcPr>
            <w:tcW w:w="2500" w:type="pct"/>
          </w:tcPr>
          <w:p w14:paraId="28C6025F" w14:textId="77777777" w:rsidR="000D07EA" w:rsidRDefault="00BE7C89">
            <w:pPr>
              <w:pStyle w:val="BodyText"/>
              <w:spacing w:before="100" w:after="100"/>
            </w:pPr>
            <w:r>
              <w:t>Voicemail Deposit and Retrievals</w:t>
            </w:r>
          </w:p>
        </w:tc>
        <w:tc>
          <w:tcPr>
            <w:tcW w:w="2500" w:type="pct"/>
          </w:tcPr>
          <w:p w14:paraId="4F55C2CA" w14:textId="77777777" w:rsidR="000D07EA" w:rsidRDefault="00BE7C89">
            <w:pPr>
              <w:pStyle w:val="BodyText"/>
              <w:spacing w:before="100" w:after="100"/>
              <w:jc w:val="center"/>
            </w:pPr>
            <w:r>
              <w:t>No</w:t>
            </w:r>
          </w:p>
        </w:tc>
      </w:tr>
      <w:tr w:rsidR="000D07EA" w14:paraId="64BF5862" w14:textId="77777777">
        <w:tc>
          <w:tcPr>
            <w:tcW w:w="2500" w:type="pct"/>
          </w:tcPr>
          <w:p w14:paraId="3864B754" w14:textId="77777777" w:rsidR="000D07EA" w:rsidRDefault="00BE7C89">
            <w:pPr>
              <w:pStyle w:val="BodyText"/>
              <w:spacing w:before="100" w:after="100"/>
            </w:pPr>
            <w:r>
              <w:t>International Roaming and Diversion</w:t>
            </w:r>
          </w:p>
        </w:tc>
        <w:tc>
          <w:tcPr>
            <w:tcW w:w="2500" w:type="pct"/>
          </w:tcPr>
          <w:p w14:paraId="0AD9E8A9" w14:textId="77777777" w:rsidR="000D07EA" w:rsidRDefault="00BE7C89">
            <w:pPr>
              <w:pStyle w:val="BodyText"/>
              <w:spacing w:before="100" w:after="100"/>
              <w:jc w:val="center"/>
            </w:pPr>
            <w:r>
              <w:t>No</w:t>
            </w:r>
          </w:p>
        </w:tc>
      </w:tr>
      <w:tr w:rsidR="000D07EA" w14:paraId="5C30C7B5" w14:textId="77777777">
        <w:tc>
          <w:tcPr>
            <w:tcW w:w="2500" w:type="pct"/>
          </w:tcPr>
          <w:p w14:paraId="1BAEA243" w14:textId="77777777" w:rsidR="000D07EA" w:rsidRDefault="00BE7C89">
            <w:pPr>
              <w:pStyle w:val="BodyText"/>
              <w:spacing w:before="100" w:after="100"/>
            </w:pPr>
            <w:r>
              <w:t>Premium SMS</w:t>
            </w:r>
          </w:p>
        </w:tc>
        <w:tc>
          <w:tcPr>
            <w:tcW w:w="2500" w:type="pct"/>
          </w:tcPr>
          <w:p w14:paraId="1593A515" w14:textId="77777777" w:rsidR="000D07EA" w:rsidRDefault="00BE7C89">
            <w:pPr>
              <w:pStyle w:val="BodyText"/>
              <w:spacing w:before="100" w:after="100"/>
              <w:jc w:val="center"/>
            </w:pPr>
            <w:r>
              <w:t>No</w:t>
            </w:r>
          </w:p>
        </w:tc>
      </w:tr>
      <w:tr w:rsidR="000D07EA" w14:paraId="2FBD3FA4" w14:textId="77777777">
        <w:tc>
          <w:tcPr>
            <w:tcW w:w="2500" w:type="pct"/>
          </w:tcPr>
          <w:p w14:paraId="566A439E" w14:textId="77777777" w:rsidR="000D07EA" w:rsidRDefault="00BE7C89">
            <w:pPr>
              <w:pStyle w:val="BodyText"/>
              <w:spacing w:before="100" w:after="100"/>
            </w:pPr>
            <w:r>
              <w:t>Premium Video</w:t>
            </w:r>
          </w:p>
        </w:tc>
        <w:tc>
          <w:tcPr>
            <w:tcW w:w="2500" w:type="pct"/>
          </w:tcPr>
          <w:p w14:paraId="45B0EE92" w14:textId="77777777" w:rsidR="000D07EA" w:rsidRDefault="00BE7C89">
            <w:pPr>
              <w:pStyle w:val="BodyText"/>
              <w:spacing w:before="100" w:after="100"/>
              <w:jc w:val="center"/>
            </w:pPr>
            <w:r>
              <w:t>No</w:t>
            </w:r>
          </w:p>
        </w:tc>
      </w:tr>
      <w:tr w:rsidR="000D07EA" w14:paraId="723BAFF0" w14:textId="77777777">
        <w:tc>
          <w:tcPr>
            <w:tcW w:w="2500" w:type="pct"/>
          </w:tcPr>
          <w:p w14:paraId="0A3F3FF0" w14:textId="77777777" w:rsidR="000D07EA" w:rsidRDefault="00BE7C89">
            <w:pPr>
              <w:pStyle w:val="BodyText"/>
              <w:spacing w:before="100" w:after="100"/>
            </w:pPr>
            <w:r>
              <w:t>Video Conferencing</w:t>
            </w:r>
          </w:p>
        </w:tc>
        <w:tc>
          <w:tcPr>
            <w:tcW w:w="2500" w:type="pct"/>
          </w:tcPr>
          <w:p w14:paraId="378486FF" w14:textId="77777777" w:rsidR="000D07EA" w:rsidRDefault="00BE7C89">
            <w:pPr>
              <w:pStyle w:val="BodyText"/>
              <w:spacing w:before="100" w:after="100"/>
              <w:jc w:val="center"/>
            </w:pPr>
            <w:r>
              <w:t>No</w:t>
            </w:r>
          </w:p>
        </w:tc>
      </w:tr>
      <w:tr w:rsidR="000D07EA" w14:paraId="74E07CB8" w14:textId="77777777">
        <w:tc>
          <w:tcPr>
            <w:tcW w:w="2500" w:type="pct"/>
          </w:tcPr>
          <w:p w14:paraId="76D97914" w14:textId="77777777" w:rsidR="000D07EA" w:rsidRDefault="00BE7C89">
            <w:pPr>
              <w:pStyle w:val="BodyText"/>
              <w:spacing w:before="100" w:after="100"/>
            </w:pPr>
            <w:r>
              <w:t>Optus Zoo or Optus iZoo Browsing</w:t>
            </w:r>
          </w:p>
        </w:tc>
        <w:tc>
          <w:tcPr>
            <w:tcW w:w="2500" w:type="pct"/>
          </w:tcPr>
          <w:p w14:paraId="1006EDE1" w14:textId="77777777" w:rsidR="000D07EA" w:rsidRDefault="00BE7C89">
            <w:pPr>
              <w:pStyle w:val="BodyText"/>
              <w:spacing w:before="100" w:after="100"/>
              <w:jc w:val="center"/>
            </w:pPr>
            <w:r>
              <w:t>No</w:t>
            </w:r>
          </w:p>
        </w:tc>
      </w:tr>
      <w:tr w:rsidR="000D07EA" w14:paraId="49663424" w14:textId="77777777">
        <w:tc>
          <w:tcPr>
            <w:tcW w:w="2500" w:type="pct"/>
          </w:tcPr>
          <w:p w14:paraId="631D9095" w14:textId="77777777" w:rsidR="000D07EA" w:rsidRDefault="00BE7C89">
            <w:pPr>
              <w:pStyle w:val="BodyText"/>
              <w:spacing w:before="100" w:after="100"/>
            </w:pPr>
            <w:r>
              <w:lastRenderedPageBreak/>
              <w:t>Optus Zoo or Optus iZoo Downloads</w:t>
            </w:r>
          </w:p>
        </w:tc>
        <w:tc>
          <w:tcPr>
            <w:tcW w:w="2500" w:type="pct"/>
          </w:tcPr>
          <w:p w14:paraId="00409A25" w14:textId="77777777" w:rsidR="000D07EA" w:rsidRDefault="00BE7C89">
            <w:pPr>
              <w:pStyle w:val="BodyText"/>
              <w:spacing w:before="100" w:after="100"/>
              <w:jc w:val="center"/>
            </w:pPr>
            <w:r>
              <w:t>No</w:t>
            </w:r>
          </w:p>
        </w:tc>
      </w:tr>
      <w:tr w:rsidR="000D07EA" w14:paraId="010E2815" w14:textId="77777777">
        <w:tc>
          <w:tcPr>
            <w:tcW w:w="2500" w:type="pct"/>
          </w:tcPr>
          <w:p w14:paraId="70EB137B" w14:textId="77777777" w:rsidR="000D07EA" w:rsidRDefault="00BE7C89">
            <w:pPr>
              <w:pStyle w:val="BodyText"/>
              <w:spacing w:before="100" w:after="100"/>
            </w:pPr>
            <w:r>
              <w:t>SMS to 966 (Zoo)</w:t>
            </w:r>
          </w:p>
        </w:tc>
        <w:tc>
          <w:tcPr>
            <w:tcW w:w="2500" w:type="pct"/>
          </w:tcPr>
          <w:p w14:paraId="05574C13" w14:textId="77777777" w:rsidR="000D07EA" w:rsidRDefault="00BE7C89">
            <w:pPr>
              <w:pStyle w:val="BodyText"/>
              <w:spacing w:before="100" w:after="100"/>
              <w:jc w:val="center"/>
            </w:pPr>
            <w:r>
              <w:t>No</w:t>
            </w:r>
          </w:p>
        </w:tc>
      </w:tr>
      <w:tr w:rsidR="000D07EA" w14:paraId="31C19830" w14:textId="77777777">
        <w:tc>
          <w:tcPr>
            <w:tcW w:w="2500" w:type="pct"/>
          </w:tcPr>
          <w:p w14:paraId="1724636E" w14:textId="77777777" w:rsidR="000D07EA" w:rsidRDefault="00BE7C89">
            <w:pPr>
              <w:pStyle w:val="BodyText"/>
              <w:spacing w:before="100" w:after="100"/>
            </w:pPr>
            <w:r>
              <w:t>Mobile Internet usage</w:t>
            </w:r>
          </w:p>
        </w:tc>
        <w:tc>
          <w:tcPr>
            <w:tcW w:w="2500" w:type="pct"/>
          </w:tcPr>
          <w:p w14:paraId="6A073678" w14:textId="77777777" w:rsidR="000D07EA" w:rsidRDefault="00BE7C89">
            <w:pPr>
              <w:pStyle w:val="BodyText"/>
              <w:spacing w:before="100" w:after="100"/>
              <w:jc w:val="center"/>
            </w:pPr>
            <w:r>
              <w:t>No</w:t>
            </w:r>
          </w:p>
        </w:tc>
      </w:tr>
      <w:tr w:rsidR="000D07EA" w14:paraId="2434AB5B" w14:textId="77777777">
        <w:tc>
          <w:tcPr>
            <w:tcW w:w="2500" w:type="pct"/>
          </w:tcPr>
          <w:p w14:paraId="6AF82B86" w14:textId="77777777" w:rsidR="000D07EA" w:rsidRDefault="00BE7C89">
            <w:pPr>
              <w:pStyle w:val="BodyText"/>
              <w:spacing w:before="100" w:after="100"/>
            </w:pPr>
            <w:r>
              <w:t>Data Used while Roaming Internationally</w:t>
            </w:r>
          </w:p>
        </w:tc>
        <w:tc>
          <w:tcPr>
            <w:tcW w:w="2500" w:type="pct"/>
          </w:tcPr>
          <w:p w14:paraId="4DAA9576" w14:textId="77777777" w:rsidR="000D07EA" w:rsidRDefault="00BE7C89">
            <w:pPr>
              <w:pStyle w:val="BodyText"/>
              <w:spacing w:before="100" w:after="100"/>
              <w:jc w:val="center"/>
            </w:pPr>
            <w:r>
              <w:t>No</w:t>
            </w:r>
          </w:p>
        </w:tc>
      </w:tr>
      <w:tr w:rsidR="000D07EA" w14:paraId="5487D898" w14:textId="77777777">
        <w:tc>
          <w:tcPr>
            <w:tcW w:w="2500" w:type="pct"/>
          </w:tcPr>
          <w:p w14:paraId="139E9395" w14:textId="77777777" w:rsidR="000D07EA" w:rsidRDefault="00BE7C89">
            <w:pPr>
              <w:pStyle w:val="BodyText"/>
              <w:spacing w:before="100" w:after="100"/>
            </w:pPr>
            <w:r>
              <w:t>Content Packs (unless specified in promotions)</w:t>
            </w:r>
          </w:p>
        </w:tc>
        <w:tc>
          <w:tcPr>
            <w:tcW w:w="2500" w:type="pct"/>
          </w:tcPr>
          <w:p w14:paraId="45908695" w14:textId="77777777" w:rsidR="000D07EA" w:rsidRDefault="00BE7C89">
            <w:pPr>
              <w:pStyle w:val="BodyText"/>
              <w:spacing w:before="100" w:after="100"/>
              <w:jc w:val="center"/>
            </w:pPr>
            <w:r>
              <w:t>No</w:t>
            </w:r>
          </w:p>
        </w:tc>
      </w:tr>
      <w:tr w:rsidR="000D07EA" w14:paraId="79AC2E51" w14:textId="77777777">
        <w:tc>
          <w:tcPr>
            <w:tcW w:w="2500" w:type="pct"/>
          </w:tcPr>
          <w:p w14:paraId="7A8D3095" w14:textId="77777777" w:rsidR="000D07EA" w:rsidRDefault="00BE7C89">
            <w:pPr>
              <w:pStyle w:val="BodyText"/>
              <w:spacing w:before="100" w:after="100"/>
            </w:pPr>
            <w:r>
              <w:t>TrueLocal Usage</w:t>
            </w:r>
          </w:p>
        </w:tc>
        <w:tc>
          <w:tcPr>
            <w:tcW w:w="2500" w:type="pct"/>
          </w:tcPr>
          <w:p w14:paraId="158DBD84" w14:textId="77777777" w:rsidR="000D07EA" w:rsidRDefault="00BE7C89">
            <w:pPr>
              <w:pStyle w:val="BodyText"/>
              <w:spacing w:before="100" w:after="100"/>
              <w:jc w:val="center"/>
            </w:pPr>
            <w:r>
              <w:t>No</w:t>
            </w:r>
          </w:p>
        </w:tc>
      </w:tr>
      <w:tr w:rsidR="000D07EA" w14:paraId="1508FC42" w14:textId="77777777">
        <w:tc>
          <w:tcPr>
            <w:tcW w:w="2500" w:type="pct"/>
          </w:tcPr>
          <w:p w14:paraId="5D79D08F" w14:textId="77777777" w:rsidR="000D07EA" w:rsidRDefault="00BE7C89">
            <w:pPr>
              <w:pStyle w:val="BodyText"/>
              <w:spacing w:before="100" w:after="100"/>
            </w:pPr>
            <w:r>
              <w:t xml:space="preserve">Directory Assistance- 1223 </w:t>
            </w:r>
          </w:p>
        </w:tc>
        <w:tc>
          <w:tcPr>
            <w:tcW w:w="2500" w:type="pct"/>
          </w:tcPr>
          <w:p w14:paraId="2542F6F6" w14:textId="77777777" w:rsidR="000D07EA" w:rsidRDefault="00BE7C89">
            <w:pPr>
              <w:pStyle w:val="BodyText"/>
              <w:spacing w:before="100" w:after="100"/>
              <w:jc w:val="center"/>
            </w:pPr>
            <w:r>
              <w:t>No</w:t>
            </w:r>
          </w:p>
        </w:tc>
      </w:tr>
      <w:tr w:rsidR="000D07EA" w14:paraId="0456BA1E" w14:textId="77777777">
        <w:tc>
          <w:tcPr>
            <w:tcW w:w="2500" w:type="pct"/>
          </w:tcPr>
          <w:p w14:paraId="14C22EFF" w14:textId="77777777" w:rsidR="000D07EA" w:rsidRDefault="00BE7C89">
            <w:pPr>
              <w:pStyle w:val="BodyText"/>
              <w:spacing w:before="100" w:after="100"/>
            </w:pPr>
            <w:r>
              <w:t>19XX Numbers</w:t>
            </w:r>
          </w:p>
        </w:tc>
        <w:tc>
          <w:tcPr>
            <w:tcW w:w="2500" w:type="pct"/>
          </w:tcPr>
          <w:p w14:paraId="789196E5" w14:textId="77777777" w:rsidR="000D07EA" w:rsidRDefault="00BE7C89">
            <w:pPr>
              <w:pStyle w:val="BodyText"/>
              <w:spacing w:before="100" w:after="100"/>
              <w:jc w:val="center"/>
            </w:pPr>
            <w:r>
              <w:t>No</w:t>
            </w:r>
          </w:p>
        </w:tc>
      </w:tr>
      <w:tr w:rsidR="000D07EA" w14:paraId="2FC2A0E1" w14:textId="77777777">
        <w:tc>
          <w:tcPr>
            <w:tcW w:w="2500" w:type="pct"/>
          </w:tcPr>
          <w:p w14:paraId="0E2ECC2C" w14:textId="77777777" w:rsidR="000D07EA" w:rsidRDefault="00BE7C89">
            <w:pPr>
              <w:pStyle w:val="BodyText"/>
              <w:spacing w:before="100" w:after="100"/>
            </w:pPr>
            <w:r>
              <w:t>1800, 13 and 1300 numbers</w:t>
            </w:r>
          </w:p>
        </w:tc>
        <w:tc>
          <w:tcPr>
            <w:tcW w:w="2500" w:type="pct"/>
          </w:tcPr>
          <w:p w14:paraId="345B5B19" w14:textId="77777777" w:rsidR="000D07EA" w:rsidRDefault="00BE7C89">
            <w:pPr>
              <w:pStyle w:val="BodyText"/>
              <w:spacing w:before="100" w:after="100"/>
              <w:jc w:val="center"/>
            </w:pPr>
            <w:r>
              <w:t>No</w:t>
            </w:r>
          </w:p>
        </w:tc>
      </w:tr>
      <w:tr w:rsidR="000D07EA" w14:paraId="19A97027" w14:textId="77777777">
        <w:tc>
          <w:tcPr>
            <w:tcW w:w="2500" w:type="pct"/>
          </w:tcPr>
          <w:p w14:paraId="58A2A690" w14:textId="77777777" w:rsidR="000D07EA" w:rsidRDefault="00BE7C89">
            <w:pPr>
              <w:pStyle w:val="BodyText"/>
              <w:spacing w:before="100" w:after="100"/>
            </w:pPr>
            <w:r>
              <w:t>124YES(937)</w:t>
            </w:r>
          </w:p>
        </w:tc>
        <w:tc>
          <w:tcPr>
            <w:tcW w:w="2500" w:type="pct"/>
          </w:tcPr>
          <w:p w14:paraId="72DCBF72" w14:textId="77777777" w:rsidR="000D07EA" w:rsidRDefault="00BE7C89">
            <w:pPr>
              <w:pStyle w:val="BodyText"/>
              <w:spacing w:before="100" w:after="100"/>
              <w:jc w:val="center"/>
            </w:pPr>
            <w:r>
              <w:t>No</w:t>
            </w:r>
          </w:p>
        </w:tc>
      </w:tr>
      <w:tr w:rsidR="000D07EA" w14:paraId="76CF738D" w14:textId="77777777">
        <w:tc>
          <w:tcPr>
            <w:tcW w:w="2500" w:type="pct"/>
          </w:tcPr>
          <w:p w14:paraId="144045D6" w14:textId="77777777" w:rsidR="000D07EA" w:rsidRDefault="00BE7C89">
            <w:pPr>
              <w:pStyle w:val="BodyText"/>
              <w:spacing w:before="100" w:after="100"/>
            </w:pPr>
            <w:r>
              <w:t>Insurance</w:t>
            </w:r>
          </w:p>
        </w:tc>
        <w:tc>
          <w:tcPr>
            <w:tcW w:w="2500" w:type="pct"/>
          </w:tcPr>
          <w:p w14:paraId="00C3E907" w14:textId="77777777" w:rsidR="000D07EA" w:rsidRDefault="00BE7C89">
            <w:pPr>
              <w:pStyle w:val="BodyText"/>
              <w:spacing w:before="100" w:after="100"/>
              <w:jc w:val="center"/>
            </w:pPr>
            <w:r>
              <w:t>No</w:t>
            </w:r>
          </w:p>
        </w:tc>
      </w:tr>
      <w:tr w:rsidR="000D07EA" w14:paraId="2FD4901F" w14:textId="77777777">
        <w:tc>
          <w:tcPr>
            <w:tcW w:w="2500" w:type="pct"/>
          </w:tcPr>
          <w:p w14:paraId="0F90E967" w14:textId="77777777" w:rsidR="000D07EA" w:rsidRDefault="00BE7C89">
            <w:pPr>
              <w:pStyle w:val="BodyText"/>
              <w:spacing w:before="100" w:after="100"/>
            </w:pPr>
            <w:r>
              <w:t>Handset Payments</w:t>
            </w:r>
          </w:p>
        </w:tc>
        <w:tc>
          <w:tcPr>
            <w:tcW w:w="2500" w:type="pct"/>
          </w:tcPr>
          <w:p w14:paraId="4556D921" w14:textId="77777777" w:rsidR="000D07EA" w:rsidRDefault="00BE7C89">
            <w:pPr>
              <w:pStyle w:val="BodyText"/>
              <w:spacing w:before="100" w:after="100"/>
              <w:jc w:val="center"/>
            </w:pPr>
            <w:r>
              <w:t>No</w:t>
            </w:r>
          </w:p>
        </w:tc>
      </w:tr>
      <w:tr w:rsidR="000D07EA" w14:paraId="023C2287" w14:textId="77777777">
        <w:tc>
          <w:tcPr>
            <w:tcW w:w="2500" w:type="pct"/>
          </w:tcPr>
          <w:p w14:paraId="08A9B388" w14:textId="77777777" w:rsidR="000D07EA" w:rsidRDefault="00BE7C89">
            <w:pPr>
              <w:pStyle w:val="BodyText"/>
              <w:spacing w:before="100" w:after="100"/>
            </w:pPr>
            <w:r>
              <w:t>Calls to MobileSat</w:t>
            </w:r>
          </w:p>
        </w:tc>
        <w:tc>
          <w:tcPr>
            <w:tcW w:w="2500" w:type="pct"/>
          </w:tcPr>
          <w:p w14:paraId="715919B5" w14:textId="77777777" w:rsidR="000D07EA" w:rsidRDefault="00BE7C89">
            <w:pPr>
              <w:pStyle w:val="BodyText"/>
              <w:spacing w:before="100" w:after="100"/>
              <w:jc w:val="center"/>
            </w:pPr>
            <w:r>
              <w:t>No</w:t>
            </w:r>
          </w:p>
        </w:tc>
      </w:tr>
      <w:tr w:rsidR="000D07EA" w14:paraId="4F9A1B66" w14:textId="77777777">
        <w:tc>
          <w:tcPr>
            <w:tcW w:w="2500" w:type="pct"/>
          </w:tcPr>
          <w:p w14:paraId="58054C90" w14:textId="77777777" w:rsidR="000D07EA" w:rsidRDefault="00BE7C89">
            <w:pPr>
              <w:pStyle w:val="BodyText"/>
              <w:spacing w:before="100" w:after="100"/>
            </w:pPr>
            <w:r>
              <w:t>VOIP services</w:t>
            </w:r>
          </w:p>
        </w:tc>
        <w:tc>
          <w:tcPr>
            <w:tcW w:w="2500" w:type="pct"/>
          </w:tcPr>
          <w:p w14:paraId="5E572101" w14:textId="77777777" w:rsidR="000D07EA" w:rsidRDefault="00BE7C89">
            <w:pPr>
              <w:pStyle w:val="BodyText"/>
              <w:spacing w:before="100" w:after="100"/>
              <w:jc w:val="center"/>
            </w:pPr>
            <w:r>
              <w:t>No</w:t>
            </w:r>
          </w:p>
        </w:tc>
      </w:tr>
    </w:tbl>
    <w:p w14:paraId="6619F171" w14:textId="77777777" w:rsidR="000D07EA" w:rsidRDefault="000D07EA">
      <w:pPr>
        <w:pStyle w:val="BodyText"/>
      </w:pPr>
    </w:p>
    <w:p w14:paraId="0C5070A5" w14:textId="77777777" w:rsidR="000D07EA" w:rsidRDefault="00BE7C89">
      <w:pPr>
        <w:pStyle w:val="BodyText"/>
        <w:ind w:left="720"/>
        <w:rPr>
          <w:b/>
        </w:rPr>
      </w:pPr>
      <w:r>
        <w:rPr>
          <w:b/>
        </w:rPr>
        <w:t>Table 3A – Charges for the Handset Plan with Bonus Credit Business Timeless Plans</w:t>
      </w: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661"/>
        <w:gridCol w:w="2399"/>
        <w:gridCol w:w="2401"/>
      </w:tblGrid>
      <w:tr w:rsidR="000D07EA" w14:paraId="4D458092" w14:textId="77777777">
        <w:trPr>
          <w:tblHeader/>
        </w:trPr>
        <w:tc>
          <w:tcPr>
            <w:tcW w:w="2463" w:type="pct"/>
          </w:tcPr>
          <w:p w14:paraId="04FE0F56" w14:textId="77777777" w:rsidR="000D07EA" w:rsidRDefault="00BE7C89">
            <w:pPr>
              <w:pStyle w:val="BodyText"/>
              <w:rPr>
                <w:b/>
              </w:rPr>
            </w:pPr>
            <w:r>
              <w:rPr>
                <w:b/>
              </w:rPr>
              <w:t>M2M, 12 Month, or 24 Month plans</w:t>
            </w:r>
          </w:p>
        </w:tc>
        <w:tc>
          <w:tcPr>
            <w:tcW w:w="1268" w:type="pct"/>
          </w:tcPr>
          <w:p w14:paraId="219EFBDC" w14:textId="77777777" w:rsidR="000D07EA" w:rsidRDefault="00BE7C89">
            <w:pPr>
              <w:pStyle w:val="BodyText"/>
              <w:jc w:val="center"/>
              <w:rPr>
                <w:b/>
              </w:rPr>
            </w:pPr>
            <w:r>
              <w:rPr>
                <w:b/>
              </w:rPr>
              <w:t>$99 Business Timeless (Nov-11 Premium H/set)</w:t>
            </w:r>
          </w:p>
        </w:tc>
        <w:tc>
          <w:tcPr>
            <w:tcW w:w="1269" w:type="pct"/>
          </w:tcPr>
          <w:p w14:paraId="6B30E170" w14:textId="77777777" w:rsidR="000D07EA" w:rsidRDefault="00BE7C89">
            <w:pPr>
              <w:pStyle w:val="BodyText"/>
              <w:jc w:val="center"/>
              <w:rPr>
                <w:b/>
              </w:rPr>
            </w:pPr>
            <w:r>
              <w:rPr>
                <w:b/>
              </w:rPr>
              <w:t>$129 Business Timeless (Nov-11 Premium H/set)</w:t>
            </w:r>
          </w:p>
        </w:tc>
      </w:tr>
      <w:tr w:rsidR="000D07EA" w14:paraId="66DF5E61" w14:textId="77777777">
        <w:tc>
          <w:tcPr>
            <w:tcW w:w="2463" w:type="pct"/>
          </w:tcPr>
          <w:p w14:paraId="7E6236AE" w14:textId="77777777" w:rsidR="000D07EA" w:rsidRDefault="00BE7C89">
            <w:pPr>
              <w:pStyle w:val="BodyText"/>
            </w:pPr>
            <w:r>
              <w:t>Minimum Monthly charge</w:t>
            </w:r>
          </w:p>
        </w:tc>
        <w:tc>
          <w:tcPr>
            <w:tcW w:w="1268" w:type="pct"/>
          </w:tcPr>
          <w:p w14:paraId="18D8A2A8" w14:textId="77777777" w:rsidR="000D07EA" w:rsidRDefault="00BE7C89">
            <w:pPr>
              <w:pStyle w:val="BodyText"/>
              <w:jc w:val="center"/>
            </w:pPr>
            <w:r>
              <w:t>$99</w:t>
            </w:r>
          </w:p>
        </w:tc>
        <w:tc>
          <w:tcPr>
            <w:tcW w:w="1269" w:type="pct"/>
          </w:tcPr>
          <w:p w14:paraId="49E4BACE" w14:textId="77777777" w:rsidR="000D07EA" w:rsidRDefault="00BE7C89">
            <w:pPr>
              <w:pStyle w:val="BodyText"/>
              <w:jc w:val="center"/>
            </w:pPr>
            <w:r>
              <w:t>$129</w:t>
            </w:r>
          </w:p>
        </w:tc>
      </w:tr>
      <w:tr w:rsidR="000D07EA" w14:paraId="270922FC" w14:textId="77777777">
        <w:tc>
          <w:tcPr>
            <w:tcW w:w="2463" w:type="pct"/>
          </w:tcPr>
          <w:p w14:paraId="22349E82" w14:textId="77777777" w:rsidR="000D07EA" w:rsidRDefault="00BE7C89">
            <w:pPr>
              <w:pStyle w:val="BodyText"/>
            </w:pPr>
            <w:r>
              <w:t>Standard local &amp; national calls to Australian fixed lines within Australia</w:t>
            </w:r>
          </w:p>
        </w:tc>
        <w:tc>
          <w:tcPr>
            <w:tcW w:w="1268" w:type="pct"/>
          </w:tcPr>
          <w:p w14:paraId="57B1B0F3" w14:textId="77777777" w:rsidR="000D07EA" w:rsidRDefault="00BE7C89">
            <w:pPr>
              <w:pStyle w:val="BodyText"/>
              <w:jc w:val="center"/>
            </w:pPr>
            <w:r>
              <w:t>Unlimited</w:t>
            </w:r>
          </w:p>
        </w:tc>
        <w:tc>
          <w:tcPr>
            <w:tcW w:w="1269" w:type="pct"/>
          </w:tcPr>
          <w:p w14:paraId="56DE3E4E" w14:textId="77777777" w:rsidR="000D07EA" w:rsidRDefault="00BE7C89">
            <w:pPr>
              <w:pStyle w:val="BodyText"/>
              <w:jc w:val="center"/>
            </w:pPr>
            <w:r>
              <w:t>Unlimited</w:t>
            </w:r>
          </w:p>
        </w:tc>
      </w:tr>
      <w:tr w:rsidR="000D07EA" w14:paraId="780FC80D" w14:textId="77777777">
        <w:tc>
          <w:tcPr>
            <w:tcW w:w="2463" w:type="pct"/>
          </w:tcPr>
          <w:p w14:paraId="248FDF90" w14:textId="77777777" w:rsidR="000D07EA" w:rsidRDefault="00BE7C89">
            <w:pPr>
              <w:pStyle w:val="BodyText"/>
            </w:pPr>
            <w:r>
              <w:t>Standard voice &amp; video calls to Australian GSM mobiles (excludes Pivotel) within Australia</w:t>
            </w:r>
          </w:p>
        </w:tc>
        <w:tc>
          <w:tcPr>
            <w:tcW w:w="1268" w:type="pct"/>
          </w:tcPr>
          <w:p w14:paraId="3E804BC3" w14:textId="77777777" w:rsidR="000D07EA" w:rsidRDefault="00BE7C89">
            <w:pPr>
              <w:pStyle w:val="BodyText"/>
              <w:jc w:val="center"/>
            </w:pPr>
            <w:r>
              <w:t>Unlimited</w:t>
            </w:r>
          </w:p>
        </w:tc>
        <w:tc>
          <w:tcPr>
            <w:tcW w:w="1269" w:type="pct"/>
          </w:tcPr>
          <w:p w14:paraId="5AE7575F" w14:textId="77777777" w:rsidR="000D07EA" w:rsidRDefault="00BE7C89">
            <w:pPr>
              <w:pStyle w:val="BodyText"/>
              <w:jc w:val="center"/>
            </w:pPr>
            <w:r>
              <w:t>Unlimited</w:t>
            </w:r>
          </w:p>
        </w:tc>
      </w:tr>
      <w:tr w:rsidR="000D07EA" w14:paraId="0464A1E0" w14:textId="77777777">
        <w:tc>
          <w:tcPr>
            <w:tcW w:w="2463" w:type="pct"/>
          </w:tcPr>
          <w:p w14:paraId="107A942F" w14:textId="77777777" w:rsidR="000D07EA" w:rsidRDefault="00BE7C89">
            <w:pPr>
              <w:pStyle w:val="BodyText"/>
            </w:pPr>
            <w:r>
              <w:t>Standard national SMS to Australian GSM mobiles (excludes Pivotel) within Australia</w:t>
            </w:r>
          </w:p>
        </w:tc>
        <w:tc>
          <w:tcPr>
            <w:tcW w:w="1268" w:type="pct"/>
          </w:tcPr>
          <w:p w14:paraId="4993937C" w14:textId="77777777" w:rsidR="000D07EA" w:rsidRDefault="00BE7C89">
            <w:pPr>
              <w:pStyle w:val="BodyText"/>
              <w:jc w:val="center"/>
            </w:pPr>
            <w:r>
              <w:t>Unlimited</w:t>
            </w:r>
          </w:p>
        </w:tc>
        <w:tc>
          <w:tcPr>
            <w:tcW w:w="1269" w:type="pct"/>
          </w:tcPr>
          <w:p w14:paraId="3D8DCFAB" w14:textId="77777777" w:rsidR="000D07EA" w:rsidRDefault="00BE7C89">
            <w:pPr>
              <w:pStyle w:val="BodyText"/>
              <w:jc w:val="center"/>
            </w:pPr>
            <w:r>
              <w:t>Unlimited</w:t>
            </w:r>
          </w:p>
        </w:tc>
      </w:tr>
      <w:tr w:rsidR="000D07EA" w14:paraId="0CDFFAED" w14:textId="77777777">
        <w:tc>
          <w:tcPr>
            <w:tcW w:w="2463" w:type="pct"/>
          </w:tcPr>
          <w:p w14:paraId="23A2BE2E" w14:textId="77777777" w:rsidR="000D07EA" w:rsidRDefault="00BE7C89">
            <w:pPr>
              <w:pStyle w:val="BodyText"/>
            </w:pPr>
            <w:r>
              <w:t>Standard national MMS to Australian GSM mobiles (excludes Pivotel) within Australia</w:t>
            </w:r>
          </w:p>
        </w:tc>
        <w:tc>
          <w:tcPr>
            <w:tcW w:w="1268" w:type="pct"/>
          </w:tcPr>
          <w:p w14:paraId="3566C035" w14:textId="77777777" w:rsidR="000D07EA" w:rsidRDefault="00BE7C89">
            <w:pPr>
              <w:pStyle w:val="BodyText"/>
              <w:jc w:val="center"/>
            </w:pPr>
            <w:r>
              <w:t>Unlimited</w:t>
            </w:r>
          </w:p>
        </w:tc>
        <w:tc>
          <w:tcPr>
            <w:tcW w:w="1269" w:type="pct"/>
          </w:tcPr>
          <w:p w14:paraId="41E86E65" w14:textId="77777777" w:rsidR="000D07EA" w:rsidRDefault="00BE7C89">
            <w:pPr>
              <w:pStyle w:val="BodyText"/>
              <w:jc w:val="center"/>
            </w:pPr>
            <w:r>
              <w:t>Unlimited</w:t>
            </w:r>
          </w:p>
        </w:tc>
      </w:tr>
      <w:tr w:rsidR="000D07EA" w14:paraId="791C410E" w14:textId="77777777">
        <w:tc>
          <w:tcPr>
            <w:tcW w:w="2463" w:type="pct"/>
          </w:tcPr>
          <w:p w14:paraId="07AA0E99" w14:textId="77777777" w:rsidR="000D07EA" w:rsidRDefault="00BE7C89">
            <w:pPr>
              <w:pStyle w:val="BodyText"/>
            </w:pPr>
            <w:r>
              <w:t>Voicemail deposits and retrievals, within Australia</w:t>
            </w:r>
          </w:p>
        </w:tc>
        <w:tc>
          <w:tcPr>
            <w:tcW w:w="1268" w:type="pct"/>
          </w:tcPr>
          <w:p w14:paraId="21FEB569" w14:textId="77777777" w:rsidR="000D07EA" w:rsidRDefault="00BE7C89">
            <w:pPr>
              <w:pStyle w:val="BodyText"/>
              <w:jc w:val="center"/>
            </w:pPr>
            <w:r>
              <w:t>Unlimited</w:t>
            </w:r>
          </w:p>
        </w:tc>
        <w:tc>
          <w:tcPr>
            <w:tcW w:w="1269" w:type="pct"/>
          </w:tcPr>
          <w:p w14:paraId="43824EF7" w14:textId="77777777" w:rsidR="000D07EA" w:rsidRDefault="00BE7C89">
            <w:pPr>
              <w:pStyle w:val="BodyText"/>
              <w:jc w:val="center"/>
            </w:pPr>
            <w:r>
              <w:t>Unlimited</w:t>
            </w:r>
          </w:p>
        </w:tc>
      </w:tr>
      <w:tr w:rsidR="000D07EA" w14:paraId="49FE6918" w14:textId="77777777">
        <w:tc>
          <w:tcPr>
            <w:tcW w:w="2463" w:type="pct"/>
          </w:tcPr>
          <w:p w14:paraId="4BF8A26F" w14:textId="77777777" w:rsidR="000D07EA" w:rsidRDefault="00BE7C89">
            <w:pPr>
              <w:pStyle w:val="BodyText"/>
            </w:pPr>
            <w:r>
              <w:t>Unlimited access to Facebook®, Twitter, LinkedIn, Ebay, Four Square, MySpace within Australia</w:t>
            </w:r>
          </w:p>
        </w:tc>
        <w:tc>
          <w:tcPr>
            <w:tcW w:w="1268" w:type="pct"/>
          </w:tcPr>
          <w:p w14:paraId="1C7C48FA" w14:textId="77777777" w:rsidR="000D07EA" w:rsidRDefault="00BE7C89">
            <w:pPr>
              <w:pStyle w:val="BodyText"/>
              <w:jc w:val="center"/>
            </w:pPr>
            <w:r>
              <w:t>Unlimited</w:t>
            </w:r>
          </w:p>
        </w:tc>
        <w:tc>
          <w:tcPr>
            <w:tcW w:w="1269" w:type="pct"/>
          </w:tcPr>
          <w:p w14:paraId="670871B0" w14:textId="77777777" w:rsidR="000D07EA" w:rsidRDefault="00BE7C89">
            <w:pPr>
              <w:pStyle w:val="BodyText"/>
              <w:jc w:val="center"/>
            </w:pPr>
            <w:r>
              <w:t>Unlimited</w:t>
            </w:r>
          </w:p>
        </w:tc>
      </w:tr>
      <w:tr w:rsidR="000D07EA" w14:paraId="1787772A" w14:textId="77777777">
        <w:tc>
          <w:tcPr>
            <w:tcW w:w="2463" w:type="pct"/>
          </w:tcPr>
          <w:p w14:paraId="401296BC" w14:textId="77777777" w:rsidR="000D07EA" w:rsidRDefault="00BE7C89">
            <w:pPr>
              <w:pStyle w:val="BodyText"/>
            </w:pPr>
            <w:r>
              <w:t>National Voice call charges (per minute)</w:t>
            </w:r>
          </w:p>
        </w:tc>
        <w:tc>
          <w:tcPr>
            <w:tcW w:w="1268" w:type="pct"/>
          </w:tcPr>
          <w:p w14:paraId="242D7C0C" w14:textId="77777777" w:rsidR="000D07EA" w:rsidRDefault="00BE7C89">
            <w:pPr>
              <w:pStyle w:val="BodyText"/>
              <w:jc w:val="center"/>
            </w:pPr>
            <w:r>
              <w:t>Unlimited</w:t>
            </w:r>
          </w:p>
        </w:tc>
        <w:tc>
          <w:tcPr>
            <w:tcW w:w="1269" w:type="pct"/>
          </w:tcPr>
          <w:p w14:paraId="7FFC925A" w14:textId="77777777" w:rsidR="000D07EA" w:rsidRDefault="00BE7C89">
            <w:pPr>
              <w:pStyle w:val="BodyText"/>
              <w:jc w:val="center"/>
            </w:pPr>
            <w:r>
              <w:t>Unlimited</w:t>
            </w:r>
          </w:p>
        </w:tc>
      </w:tr>
      <w:tr w:rsidR="000D07EA" w14:paraId="505B9F2F" w14:textId="77777777">
        <w:tc>
          <w:tcPr>
            <w:tcW w:w="2463" w:type="pct"/>
          </w:tcPr>
          <w:p w14:paraId="42F35276" w14:textId="77777777" w:rsidR="000D07EA" w:rsidRDefault="00BE7C89">
            <w:pPr>
              <w:pStyle w:val="BodyText"/>
            </w:pPr>
            <w:r>
              <w:rPr>
                <w:i/>
              </w:rPr>
              <w:t>Flagfall</w:t>
            </w:r>
            <w:r>
              <w:t xml:space="preserve"> for national voice calls (Call Connection Charge per call)</w:t>
            </w:r>
          </w:p>
        </w:tc>
        <w:tc>
          <w:tcPr>
            <w:tcW w:w="1268" w:type="pct"/>
          </w:tcPr>
          <w:p w14:paraId="0BAF484B" w14:textId="77777777" w:rsidR="000D07EA" w:rsidRDefault="00BE7C89">
            <w:pPr>
              <w:pStyle w:val="BodyText"/>
              <w:jc w:val="center"/>
            </w:pPr>
            <w:r>
              <w:t>$0.00</w:t>
            </w:r>
          </w:p>
        </w:tc>
        <w:tc>
          <w:tcPr>
            <w:tcW w:w="1269" w:type="pct"/>
          </w:tcPr>
          <w:p w14:paraId="5E752D67" w14:textId="77777777" w:rsidR="000D07EA" w:rsidRDefault="00BE7C89">
            <w:pPr>
              <w:pStyle w:val="BodyText"/>
              <w:jc w:val="center"/>
            </w:pPr>
            <w:r>
              <w:t>$0.00</w:t>
            </w:r>
          </w:p>
        </w:tc>
      </w:tr>
      <w:tr w:rsidR="000D07EA" w14:paraId="22E9D674" w14:textId="77777777">
        <w:tc>
          <w:tcPr>
            <w:tcW w:w="2463" w:type="pct"/>
          </w:tcPr>
          <w:p w14:paraId="65F6B4F3" w14:textId="77777777" w:rsidR="000D07EA" w:rsidRDefault="00BE7C89">
            <w:pPr>
              <w:pStyle w:val="BodyText"/>
            </w:pPr>
            <w:r>
              <w:lastRenderedPageBreak/>
              <w:t>13/1300 Calls</w:t>
            </w:r>
          </w:p>
        </w:tc>
        <w:tc>
          <w:tcPr>
            <w:tcW w:w="1268" w:type="pct"/>
          </w:tcPr>
          <w:p w14:paraId="4488B72D" w14:textId="77777777" w:rsidR="000D07EA" w:rsidRDefault="00BE7C89">
            <w:pPr>
              <w:pStyle w:val="BodyText"/>
              <w:jc w:val="center"/>
            </w:pPr>
            <w:r>
              <w:t>Unlimited</w:t>
            </w:r>
          </w:p>
        </w:tc>
        <w:tc>
          <w:tcPr>
            <w:tcW w:w="1269" w:type="pct"/>
          </w:tcPr>
          <w:p w14:paraId="4BE81E93" w14:textId="77777777" w:rsidR="000D07EA" w:rsidRDefault="00BE7C89">
            <w:pPr>
              <w:pStyle w:val="BodyText"/>
              <w:jc w:val="center"/>
            </w:pPr>
            <w:r>
              <w:t>Unlimited</w:t>
            </w:r>
          </w:p>
        </w:tc>
      </w:tr>
      <w:tr w:rsidR="000D07EA" w14:paraId="48A4B239" w14:textId="77777777">
        <w:tc>
          <w:tcPr>
            <w:tcW w:w="2463" w:type="pct"/>
          </w:tcPr>
          <w:p w14:paraId="7FD4ECF0" w14:textId="77777777" w:rsidR="000D07EA" w:rsidRDefault="00BE7C89">
            <w:pPr>
              <w:pStyle w:val="BodyText"/>
            </w:pPr>
            <w:r>
              <w:t>International Video call charges (per minute)</w:t>
            </w:r>
          </w:p>
        </w:tc>
        <w:tc>
          <w:tcPr>
            <w:tcW w:w="1268" w:type="pct"/>
          </w:tcPr>
          <w:p w14:paraId="2692BA5C" w14:textId="77777777" w:rsidR="000D07EA" w:rsidRDefault="00BE7C89">
            <w:pPr>
              <w:pStyle w:val="BodyText"/>
              <w:jc w:val="center"/>
            </w:pPr>
            <w:r>
              <w:t>$1.50 per min plus 35c flagfall</w:t>
            </w:r>
          </w:p>
        </w:tc>
        <w:tc>
          <w:tcPr>
            <w:tcW w:w="1269" w:type="pct"/>
          </w:tcPr>
          <w:p w14:paraId="660428F8" w14:textId="77777777" w:rsidR="000D07EA" w:rsidRDefault="00BE7C89">
            <w:pPr>
              <w:pStyle w:val="BodyText"/>
              <w:jc w:val="center"/>
            </w:pPr>
            <w:r>
              <w:t>$1.50 per min plus 35c flagfall</w:t>
            </w:r>
          </w:p>
        </w:tc>
      </w:tr>
      <w:tr w:rsidR="000D07EA" w14:paraId="3B659B60" w14:textId="77777777">
        <w:tc>
          <w:tcPr>
            <w:tcW w:w="2463" w:type="pct"/>
          </w:tcPr>
          <w:p w14:paraId="7155FF68" w14:textId="77777777" w:rsidR="000D07EA" w:rsidRDefault="00BE7C89">
            <w:pPr>
              <w:pStyle w:val="BodyText"/>
            </w:pPr>
            <w:r>
              <w:t>International SMS (per message)</w:t>
            </w:r>
          </w:p>
        </w:tc>
        <w:tc>
          <w:tcPr>
            <w:tcW w:w="1268" w:type="pct"/>
          </w:tcPr>
          <w:p w14:paraId="0B343CA9" w14:textId="77777777" w:rsidR="000D07EA" w:rsidRDefault="00BE7C89">
            <w:pPr>
              <w:pStyle w:val="BodyText"/>
              <w:jc w:val="center"/>
            </w:pPr>
            <w:r>
              <w:t>$0.50</w:t>
            </w:r>
          </w:p>
        </w:tc>
        <w:tc>
          <w:tcPr>
            <w:tcW w:w="1269" w:type="pct"/>
          </w:tcPr>
          <w:p w14:paraId="6E07C6E1" w14:textId="77777777" w:rsidR="000D07EA" w:rsidRDefault="00BE7C89">
            <w:pPr>
              <w:pStyle w:val="BodyText"/>
              <w:jc w:val="center"/>
            </w:pPr>
            <w:r>
              <w:t>$0.50</w:t>
            </w:r>
          </w:p>
        </w:tc>
      </w:tr>
      <w:tr w:rsidR="000D07EA" w14:paraId="32B6C0D4" w14:textId="77777777">
        <w:tc>
          <w:tcPr>
            <w:tcW w:w="2463" w:type="pct"/>
          </w:tcPr>
          <w:p w14:paraId="4406929C" w14:textId="77777777" w:rsidR="000D07EA" w:rsidRDefault="00BE7C89">
            <w:pPr>
              <w:pStyle w:val="BodyText"/>
            </w:pPr>
            <w:r>
              <w:t>International MMS (per message)</w:t>
            </w:r>
          </w:p>
        </w:tc>
        <w:tc>
          <w:tcPr>
            <w:tcW w:w="1268" w:type="pct"/>
          </w:tcPr>
          <w:p w14:paraId="4B333141" w14:textId="77777777" w:rsidR="000D07EA" w:rsidRDefault="00BE7C89">
            <w:pPr>
              <w:pStyle w:val="BodyText"/>
              <w:jc w:val="center"/>
            </w:pPr>
            <w:r>
              <w:t>$0.75</w:t>
            </w:r>
          </w:p>
        </w:tc>
        <w:tc>
          <w:tcPr>
            <w:tcW w:w="1269" w:type="pct"/>
          </w:tcPr>
          <w:p w14:paraId="05F56881" w14:textId="77777777" w:rsidR="000D07EA" w:rsidRDefault="00BE7C89">
            <w:pPr>
              <w:pStyle w:val="BodyText"/>
              <w:jc w:val="center"/>
            </w:pPr>
            <w:r>
              <w:t>$0.75</w:t>
            </w:r>
          </w:p>
        </w:tc>
      </w:tr>
      <w:tr w:rsidR="000D07EA" w14:paraId="17B94159" w14:textId="77777777">
        <w:tc>
          <w:tcPr>
            <w:tcW w:w="2463" w:type="pct"/>
          </w:tcPr>
          <w:p w14:paraId="2810660D" w14:textId="77777777" w:rsidR="000D07EA" w:rsidRDefault="00BE7C89">
            <w:pPr>
              <w:pStyle w:val="BodyText"/>
            </w:pPr>
            <w:r>
              <w:t>Included International Value</w:t>
            </w:r>
          </w:p>
        </w:tc>
        <w:tc>
          <w:tcPr>
            <w:tcW w:w="1268" w:type="pct"/>
          </w:tcPr>
          <w:p w14:paraId="1827BCD1" w14:textId="77777777" w:rsidR="000D07EA" w:rsidRDefault="00BE7C89">
            <w:pPr>
              <w:pStyle w:val="BodyText"/>
              <w:jc w:val="center"/>
            </w:pPr>
            <w:r>
              <w:t>$0</w:t>
            </w:r>
          </w:p>
        </w:tc>
        <w:tc>
          <w:tcPr>
            <w:tcW w:w="1269" w:type="pct"/>
          </w:tcPr>
          <w:p w14:paraId="47836B54" w14:textId="77777777" w:rsidR="000D07EA" w:rsidRDefault="00BE7C89">
            <w:pPr>
              <w:pStyle w:val="BodyText"/>
              <w:jc w:val="center"/>
            </w:pPr>
            <w:r>
              <w:t>$180</w:t>
            </w:r>
          </w:p>
        </w:tc>
      </w:tr>
      <w:tr w:rsidR="000D07EA" w14:paraId="560D4A76" w14:textId="77777777">
        <w:tc>
          <w:tcPr>
            <w:tcW w:w="2463" w:type="pct"/>
          </w:tcPr>
          <w:p w14:paraId="390C9FEA" w14:textId="77777777" w:rsidR="000D07EA" w:rsidRDefault="00BE7C89">
            <w:pPr>
              <w:pStyle w:val="BodyText"/>
            </w:pPr>
            <w:r>
              <w:t>International Rates</w:t>
            </w:r>
          </w:p>
        </w:tc>
        <w:tc>
          <w:tcPr>
            <w:tcW w:w="2537" w:type="pct"/>
            <w:gridSpan w:val="2"/>
          </w:tcPr>
          <w:p w14:paraId="345FB0C5" w14:textId="77777777" w:rsidR="000D07EA" w:rsidRDefault="00BE7C89">
            <w:pPr>
              <w:pStyle w:val="BodyText"/>
              <w:jc w:val="center"/>
            </w:pPr>
            <w:r>
              <w:t xml:space="preserve">'yes' Business International Call Rates (see </w:t>
            </w:r>
            <w:hyperlink r:id="rId400" w:history="1">
              <w:r>
                <w:rPr>
                  <w:rStyle w:val="Hyperlink"/>
                  <w:i/>
                </w:rPr>
                <w:t>Appendix J</w:t>
              </w:r>
            </w:hyperlink>
            <w:r>
              <w:t>)</w:t>
            </w:r>
          </w:p>
        </w:tc>
      </w:tr>
      <w:tr w:rsidR="000D07EA" w14:paraId="67AD7440" w14:textId="77777777">
        <w:tc>
          <w:tcPr>
            <w:tcW w:w="2463" w:type="pct"/>
            <w:vMerge w:val="restart"/>
          </w:tcPr>
          <w:p w14:paraId="56EE62FD" w14:textId="77777777" w:rsidR="000D07EA" w:rsidRDefault="00BE7C89">
            <w:pPr>
              <w:pStyle w:val="BodyText"/>
            </w:pPr>
            <w:r>
              <w:t>Your Choice Of Data to use within Australia:</w:t>
            </w:r>
          </w:p>
        </w:tc>
        <w:tc>
          <w:tcPr>
            <w:tcW w:w="1268" w:type="pct"/>
          </w:tcPr>
          <w:p w14:paraId="125860C0" w14:textId="77777777" w:rsidR="000D07EA" w:rsidRDefault="00BE7C89">
            <w:pPr>
              <w:pStyle w:val="BodyText"/>
              <w:jc w:val="center"/>
            </w:pPr>
            <w:r>
              <w:t>5GB of Mobile Internet Data</w:t>
            </w:r>
          </w:p>
        </w:tc>
        <w:tc>
          <w:tcPr>
            <w:tcW w:w="1269" w:type="pct"/>
          </w:tcPr>
          <w:p w14:paraId="63845B3F" w14:textId="77777777" w:rsidR="000D07EA" w:rsidRDefault="00BE7C89">
            <w:pPr>
              <w:pStyle w:val="BodyText"/>
              <w:jc w:val="center"/>
            </w:pPr>
            <w:r>
              <w:t>10GB of Mobile Internet Data</w:t>
            </w:r>
          </w:p>
        </w:tc>
      </w:tr>
      <w:tr w:rsidR="000D07EA" w14:paraId="067E3404" w14:textId="77777777">
        <w:tc>
          <w:tcPr>
            <w:tcW w:w="2463" w:type="pct"/>
            <w:vMerge/>
          </w:tcPr>
          <w:p w14:paraId="04519877" w14:textId="77777777" w:rsidR="000D07EA" w:rsidRDefault="000D07EA">
            <w:pPr>
              <w:pStyle w:val="BodyText"/>
            </w:pPr>
          </w:p>
        </w:tc>
        <w:tc>
          <w:tcPr>
            <w:tcW w:w="2537" w:type="pct"/>
            <w:gridSpan w:val="2"/>
          </w:tcPr>
          <w:p w14:paraId="4952BF35" w14:textId="77777777" w:rsidR="000D07EA" w:rsidRDefault="00BE7C89">
            <w:pPr>
              <w:pStyle w:val="BodyText"/>
              <w:jc w:val="center"/>
            </w:pPr>
            <w:r>
              <w:t>OR</w:t>
            </w:r>
          </w:p>
        </w:tc>
      </w:tr>
      <w:tr w:rsidR="000D07EA" w14:paraId="2CFBA217" w14:textId="77777777">
        <w:tc>
          <w:tcPr>
            <w:tcW w:w="2463" w:type="pct"/>
            <w:vMerge/>
          </w:tcPr>
          <w:p w14:paraId="329E362D" w14:textId="77777777" w:rsidR="000D07EA" w:rsidRDefault="000D07EA">
            <w:pPr>
              <w:pStyle w:val="BodyText"/>
            </w:pPr>
          </w:p>
        </w:tc>
        <w:tc>
          <w:tcPr>
            <w:tcW w:w="2537" w:type="pct"/>
            <w:gridSpan w:val="2"/>
          </w:tcPr>
          <w:p w14:paraId="7A912314" w14:textId="77777777" w:rsidR="000D07EA" w:rsidRDefault="00BE7C89">
            <w:pPr>
              <w:pStyle w:val="BodyText"/>
              <w:jc w:val="center"/>
            </w:pPr>
            <w:r>
              <w:t>Unlimited BlackBerry POP3 Email and Browsing through the BlackBerry Browser plus 2GB of Mobile Internet Data</w:t>
            </w:r>
          </w:p>
        </w:tc>
      </w:tr>
      <w:tr w:rsidR="000D07EA" w14:paraId="63A60A80" w14:textId="77777777">
        <w:tc>
          <w:tcPr>
            <w:tcW w:w="2463" w:type="pct"/>
          </w:tcPr>
          <w:p w14:paraId="4C860E84" w14:textId="77777777" w:rsidR="000D07EA" w:rsidRDefault="00BE7C89">
            <w:pPr>
              <w:pStyle w:val="BodyText"/>
            </w:pPr>
            <w:r>
              <w:t>Bonus Unlimited Mobile Internet Data to use within Australia</w:t>
            </w:r>
          </w:p>
        </w:tc>
        <w:tc>
          <w:tcPr>
            <w:tcW w:w="1268" w:type="pct"/>
          </w:tcPr>
          <w:p w14:paraId="4DE7C6B4" w14:textId="77777777" w:rsidR="000D07EA" w:rsidRDefault="00BE7C89">
            <w:pPr>
              <w:pStyle w:val="BodyText"/>
              <w:jc w:val="center"/>
            </w:pPr>
            <w:r>
              <w:t>N/A</w:t>
            </w:r>
          </w:p>
        </w:tc>
        <w:tc>
          <w:tcPr>
            <w:tcW w:w="1269" w:type="pct"/>
          </w:tcPr>
          <w:p w14:paraId="4FBEBEAE" w14:textId="77777777" w:rsidR="000D07EA" w:rsidRDefault="00BE7C89">
            <w:pPr>
              <w:pStyle w:val="BodyText"/>
              <w:jc w:val="center"/>
            </w:pPr>
            <w:r>
              <w:t>Unlimited Mobile Internet Data from your mobile only</w:t>
            </w:r>
          </w:p>
        </w:tc>
      </w:tr>
      <w:tr w:rsidR="000D07EA" w14:paraId="66523278" w14:textId="77777777">
        <w:tc>
          <w:tcPr>
            <w:tcW w:w="2463" w:type="pct"/>
          </w:tcPr>
          <w:p w14:paraId="73EDC2EA" w14:textId="77777777" w:rsidR="000D07EA" w:rsidRDefault="00BE7C89">
            <w:pPr>
              <w:pStyle w:val="BodyText"/>
            </w:pPr>
            <w:r>
              <w:t>Other call charges</w:t>
            </w:r>
          </w:p>
        </w:tc>
        <w:tc>
          <w:tcPr>
            <w:tcW w:w="2537" w:type="pct"/>
            <w:gridSpan w:val="2"/>
          </w:tcPr>
          <w:p w14:paraId="035B72DD" w14:textId="77777777" w:rsidR="000D07EA" w:rsidRDefault="00BE7C89">
            <w:pPr>
              <w:pStyle w:val="BodyText"/>
              <w:jc w:val="center"/>
            </w:pPr>
            <w:r>
              <w:t xml:space="preserve">See section 1 of this </w:t>
            </w:r>
            <w:r>
              <w:rPr>
                <w:i/>
              </w:rPr>
              <w:t>standard pricing table</w:t>
            </w:r>
            <w:r>
              <w:t xml:space="preserve"> and </w:t>
            </w:r>
            <w:hyperlink r:id="rId401" w:history="1">
              <w:r>
                <w:rPr>
                  <w:rStyle w:val="Hyperlink"/>
                  <w:i/>
                </w:rPr>
                <w:t>Appendix Y</w:t>
              </w:r>
            </w:hyperlink>
            <w:r>
              <w:t xml:space="preserve"> (Value Added Service Features)</w:t>
            </w:r>
          </w:p>
        </w:tc>
      </w:tr>
      <w:tr w:rsidR="000D07EA" w14:paraId="613AE557" w14:textId="77777777">
        <w:trPr>
          <w:trHeight w:val="93"/>
        </w:trPr>
        <w:tc>
          <w:tcPr>
            <w:tcW w:w="2463" w:type="pct"/>
          </w:tcPr>
          <w:p w14:paraId="7A67098B" w14:textId="77777777" w:rsidR="000D07EA" w:rsidRDefault="00BE7C89" w:rsidP="004B6163">
            <w:pPr>
              <w:pStyle w:val="BodyText"/>
            </w:pPr>
            <w:r>
              <w:t xml:space="preserve">Other conditions (for details see paragraph </w:t>
            </w:r>
            <w:r w:rsidR="004B6163">
              <w:t>97.6(k)</w:t>
            </w:r>
            <w:r>
              <w:t xml:space="preserve"> above)</w:t>
            </w:r>
          </w:p>
        </w:tc>
        <w:tc>
          <w:tcPr>
            <w:tcW w:w="2537" w:type="pct"/>
            <w:gridSpan w:val="2"/>
          </w:tcPr>
          <w:p w14:paraId="5DE62589" w14:textId="77777777" w:rsidR="000D07EA" w:rsidRDefault="00BE7C89">
            <w:pPr>
              <w:pStyle w:val="BodyText"/>
              <w:jc w:val="center"/>
            </w:pPr>
            <w:r>
              <w:t>Fair Go Policy (</w:t>
            </w:r>
            <w:hyperlink r:id="rId402" w:history="1">
              <w:r>
                <w:rPr>
                  <w:rStyle w:val="Hyperlink"/>
                  <w:i/>
                </w:rPr>
                <w:t>Appendix S</w:t>
              </w:r>
            </w:hyperlink>
            <w:r>
              <w:t>) applies.</w:t>
            </w:r>
          </w:p>
        </w:tc>
      </w:tr>
      <w:tr w:rsidR="000D07EA" w14:paraId="66A95674" w14:textId="77777777">
        <w:tc>
          <w:tcPr>
            <w:tcW w:w="2463" w:type="pct"/>
          </w:tcPr>
          <w:p w14:paraId="2B7D1C04" w14:textId="77777777" w:rsidR="000D07EA" w:rsidRDefault="00BE7C89">
            <w:pPr>
              <w:pStyle w:val="BodyText"/>
            </w:pPr>
            <w:r>
              <w:t>Available on Non Fixed Contract (Month to Month)</w:t>
            </w:r>
          </w:p>
        </w:tc>
        <w:tc>
          <w:tcPr>
            <w:tcW w:w="1268" w:type="pct"/>
          </w:tcPr>
          <w:p w14:paraId="79A87E05" w14:textId="77777777" w:rsidR="000D07EA" w:rsidRDefault="00BE7C89">
            <w:pPr>
              <w:pStyle w:val="BodyText"/>
              <w:jc w:val="center"/>
            </w:pPr>
            <w:r>
              <w:t>Yes</w:t>
            </w:r>
          </w:p>
        </w:tc>
        <w:tc>
          <w:tcPr>
            <w:tcW w:w="1269" w:type="pct"/>
          </w:tcPr>
          <w:p w14:paraId="4FF78B57" w14:textId="77777777" w:rsidR="000D07EA" w:rsidRDefault="00BE7C89">
            <w:pPr>
              <w:pStyle w:val="BodyText"/>
              <w:jc w:val="center"/>
            </w:pPr>
            <w:r>
              <w:t>Yes</w:t>
            </w:r>
          </w:p>
        </w:tc>
      </w:tr>
      <w:tr w:rsidR="000D07EA" w14:paraId="29F2F0BB" w14:textId="77777777">
        <w:tc>
          <w:tcPr>
            <w:tcW w:w="2463" w:type="pct"/>
          </w:tcPr>
          <w:p w14:paraId="096695C8" w14:textId="77777777" w:rsidR="000D07EA" w:rsidRDefault="00BE7C89">
            <w:pPr>
              <w:pStyle w:val="BodyText"/>
            </w:pPr>
            <w:r>
              <w:t>Available on a Fixed Term Contract (12 or 24 Months)</w:t>
            </w:r>
          </w:p>
        </w:tc>
        <w:tc>
          <w:tcPr>
            <w:tcW w:w="1268" w:type="pct"/>
          </w:tcPr>
          <w:p w14:paraId="3F8CD3E0" w14:textId="77777777" w:rsidR="000D07EA" w:rsidRDefault="00BE7C89">
            <w:pPr>
              <w:pStyle w:val="BodyText"/>
              <w:jc w:val="center"/>
            </w:pPr>
            <w:r>
              <w:t>Yes</w:t>
            </w:r>
          </w:p>
        </w:tc>
        <w:tc>
          <w:tcPr>
            <w:tcW w:w="1269" w:type="pct"/>
          </w:tcPr>
          <w:p w14:paraId="18A91763" w14:textId="77777777" w:rsidR="000D07EA" w:rsidRDefault="00BE7C89">
            <w:pPr>
              <w:pStyle w:val="BodyText"/>
              <w:jc w:val="center"/>
            </w:pPr>
            <w:r>
              <w:t>Yes</w:t>
            </w:r>
          </w:p>
        </w:tc>
      </w:tr>
      <w:tr w:rsidR="000D07EA" w14:paraId="37343E78" w14:textId="77777777">
        <w:tc>
          <w:tcPr>
            <w:tcW w:w="2463" w:type="pct"/>
            <w:vMerge w:val="restart"/>
          </w:tcPr>
          <w:p w14:paraId="6809FF83" w14:textId="77777777" w:rsidR="000D07EA" w:rsidRDefault="00BE7C89">
            <w:pPr>
              <w:pStyle w:val="BodyText"/>
            </w:pPr>
            <w:r>
              <w:t xml:space="preserve">Minimum Total Cost of the Optus Business Timeless Plan over a 24 month </w:t>
            </w:r>
            <w:r>
              <w:rPr>
                <w:i/>
              </w:rPr>
              <w:t>minimum term</w:t>
            </w:r>
          </w:p>
        </w:tc>
        <w:tc>
          <w:tcPr>
            <w:tcW w:w="1268" w:type="pct"/>
          </w:tcPr>
          <w:p w14:paraId="629C2CAA" w14:textId="77777777" w:rsidR="000D07EA" w:rsidRDefault="00BE7C89">
            <w:pPr>
              <w:pStyle w:val="BodyText"/>
              <w:jc w:val="center"/>
            </w:pPr>
            <w:r>
              <w:t>$2,376</w:t>
            </w:r>
          </w:p>
        </w:tc>
        <w:tc>
          <w:tcPr>
            <w:tcW w:w="1269" w:type="pct"/>
          </w:tcPr>
          <w:p w14:paraId="1C6A5B10" w14:textId="77777777" w:rsidR="000D07EA" w:rsidRDefault="00BE7C89">
            <w:pPr>
              <w:pStyle w:val="BodyText"/>
              <w:jc w:val="center"/>
            </w:pPr>
            <w:r>
              <w:t>$3,096</w:t>
            </w:r>
          </w:p>
        </w:tc>
      </w:tr>
      <w:tr w:rsidR="000D07EA" w14:paraId="26E69111" w14:textId="77777777">
        <w:tc>
          <w:tcPr>
            <w:tcW w:w="2463" w:type="pct"/>
            <w:vMerge/>
          </w:tcPr>
          <w:p w14:paraId="6A4D4A46" w14:textId="77777777" w:rsidR="000D07EA" w:rsidRDefault="000D07EA">
            <w:pPr>
              <w:pStyle w:val="BodyText"/>
            </w:pPr>
          </w:p>
        </w:tc>
        <w:tc>
          <w:tcPr>
            <w:tcW w:w="2537" w:type="pct"/>
            <w:gridSpan w:val="2"/>
          </w:tcPr>
          <w:p w14:paraId="3227409D" w14:textId="77777777" w:rsidR="000D07EA" w:rsidRDefault="00BE7C89">
            <w:pPr>
              <w:pStyle w:val="BodyText"/>
              <w:jc w:val="center"/>
            </w:pPr>
            <w:r>
              <w:t xml:space="preserve">(plus the cost of </w:t>
            </w:r>
            <w:r>
              <w:rPr>
                <w:i/>
              </w:rPr>
              <w:t>equipment charges</w:t>
            </w:r>
            <w:r>
              <w:t xml:space="preserve"> for any </w:t>
            </w:r>
            <w:r>
              <w:rPr>
                <w:i/>
              </w:rPr>
              <w:t>mobile phone you</w:t>
            </w:r>
            <w:r>
              <w:t xml:space="preserve"> purchase from us, if any)</w:t>
            </w:r>
          </w:p>
        </w:tc>
      </w:tr>
      <w:tr w:rsidR="000D07EA" w14:paraId="42CC0275" w14:textId="77777777">
        <w:tc>
          <w:tcPr>
            <w:tcW w:w="2463" w:type="pct"/>
            <w:vMerge w:val="restart"/>
          </w:tcPr>
          <w:p w14:paraId="7657FE55" w14:textId="77777777" w:rsidR="000D07EA" w:rsidRDefault="00BE7C89">
            <w:pPr>
              <w:pStyle w:val="BodyText"/>
            </w:pPr>
            <w:r>
              <w:t xml:space="preserve">Minimum Total Cost of the Optus Business Timeless Plan over a 12 month </w:t>
            </w:r>
            <w:r>
              <w:rPr>
                <w:i/>
              </w:rPr>
              <w:t>minimum term</w:t>
            </w:r>
          </w:p>
        </w:tc>
        <w:tc>
          <w:tcPr>
            <w:tcW w:w="1268" w:type="pct"/>
          </w:tcPr>
          <w:p w14:paraId="28C4F5D2" w14:textId="77777777" w:rsidR="000D07EA" w:rsidRDefault="00BE7C89">
            <w:pPr>
              <w:pStyle w:val="BodyText"/>
              <w:jc w:val="center"/>
            </w:pPr>
            <w:r>
              <w:t>$1,188</w:t>
            </w:r>
          </w:p>
        </w:tc>
        <w:tc>
          <w:tcPr>
            <w:tcW w:w="1269" w:type="pct"/>
          </w:tcPr>
          <w:p w14:paraId="27174558" w14:textId="77777777" w:rsidR="000D07EA" w:rsidRDefault="00BE7C89">
            <w:pPr>
              <w:pStyle w:val="BodyText"/>
              <w:jc w:val="center"/>
            </w:pPr>
            <w:r>
              <w:t>$1,548</w:t>
            </w:r>
          </w:p>
        </w:tc>
      </w:tr>
      <w:tr w:rsidR="000D07EA" w14:paraId="35D6A7BF" w14:textId="77777777">
        <w:tc>
          <w:tcPr>
            <w:tcW w:w="2463" w:type="pct"/>
            <w:vMerge/>
          </w:tcPr>
          <w:p w14:paraId="278712E7" w14:textId="77777777" w:rsidR="000D07EA" w:rsidRDefault="000D07EA">
            <w:pPr>
              <w:pStyle w:val="BodyText"/>
              <w:jc w:val="center"/>
            </w:pPr>
          </w:p>
        </w:tc>
        <w:tc>
          <w:tcPr>
            <w:tcW w:w="2537" w:type="pct"/>
            <w:gridSpan w:val="2"/>
          </w:tcPr>
          <w:p w14:paraId="03ECFDF1" w14:textId="77777777" w:rsidR="000D07EA" w:rsidRDefault="00BE7C89">
            <w:pPr>
              <w:pStyle w:val="BodyText"/>
              <w:jc w:val="center"/>
            </w:pPr>
            <w:r>
              <w:t xml:space="preserve">(plus the cost of </w:t>
            </w:r>
            <w:r>
              <w:rPr>
                <w:i/>
              </w:rPr>
              <w:t>equipment charges</w:t>
            </w:r>
            <w:r>
              <w:t xml:space="preserve"> for any </w:t>
            </w:r>
            <w:r>
              <w:rPr>
                <w:i/>
              </w:rPr>
              <w:t xml:space="preserve">mobile phone you </w:t>
            </w:r>
            <w:r>
              <w:t>purchase from us, if any)</w:t>
            </w:r>
          </w:p>
        </w:tc>
      </w:tr>
    </w:tbl>
    <w:p w14:paraId="06EE0FC6" w14:textId="77777777" w:rsidR="000D07EA" w:rsidRDefault="000D07EA">
      <w:pPr>
        <w:pStyle w:val="BodyText"/>
      </w:pPr>
    </w:p>
    <w:p w14:paraId="75DFDA0C" w14:textId="77777777" w:rsidR="000D07EA" w:rsidRDefault="00BE7C89">
      <w:pPr>
        <w:pStyle w:val="Heading6"/>
        <w:ind w:left="0" w:firstLine="0"/>
      </w:pPr>
      <w:bookmarkStart w:id="587" w:name="_Ref461552255"/>
      <w:r>
        <w:t xml:space="preserve">What happens if the </w:t>
      </w:r>
      <w:r>
        <w:rPr>
          <w:i/>
        </w:rPr>
        <w:t>service</w:t>
      </w:r>
      <w:r>
        <w:t xml:space="preserve"> is cancelled early?</w:t>
      </w:r>
      <w:bookmarkEnd w:id="585"/>
      <w:bookmarkEnd w:id="586"/>
      <w:bookmarkEnd w:id="587"/>
    </w:p>
    <w:p w14:paraId="27BCE443" w14:textId="77777777" w:rsidR="000D07EA" w:rsidRDefault="00BE7C89">
      <w:pPr>
        <w:pStyle w:val="Heading7"/>
      </w:pPr>
      <w:r>
        <w:t xml:space="preserve">If </w:t>
      </w:r>
      <w:r>
        <w:rPr>
          <w:i/>
        </w:rPr>
        <w:t>the service</w:t>
      </w:r>
      <w:r>
        <w:t xml:space="preserve"> </w:t>
      </w:r>
      <w:r>
        <w:rPr>
          <w:i/>
        </w:rPr>
        <w:t xml:space="preserve">is cancelled </w:t>
      </w:r>
      <w:r>
        <w:t xml:space="preserve">before the expiry of the </w:t>
      </w:r>
      <w:r>
        <w:rPr>
          <w:i/>
        </w:rPr>
        <w:t xml:space="preserve">minimum term, you </w:t>
      </w:r>
      <w:r>
        <w:t xml:space="preserve">will be required to pay </w:t>
      </w:r>
      <w:r>
        <w:rPr>
          <w:i/>
        </w:rPr>
        <w:t>us</w:t>
      </w:r>
      <w:r>
        <w:t>:</w:t>
      </w:r>
    </w:p>
    <w:p w14:paraId="148DB961" w14:textId="77777777" w:rsidR="000D07EA" w:rsidRDefault="00BE7C89">
      <w:pPr>
        <w:pStyle w:val="Heading8"/>
      </w:pPr>
      <w:r>
        <w:t xml:space="preserve">any usage charges incurred up to, and including, the </w:t>
      </w:r>
      <w:r>
        <w:rPr>
          <w:i/>
        </w:rPr>
        <w:t xml:space="preserve">cancellation date; </w:t>
      </w:r>
      <w:r>
        <w:t xml:space="preserve">plus </w:t>
      </w:r>
    </w:p>
    <w:p w14:paraId="1C0D8C51" w14:textId="77777777" w:rsidR="000D07EA" w:rsidRDefault="00BE7C89">
      <w:pPr>
        <w:pStyle w:val="Heading8"/>
      </w:pPr>
      <w:r>
        <w:t xml:space="preserve">the </w:t>
      </w:r>
      <w:r>
        <w:rPr>
          <w:i/>
        </w:rPr>
        <w:t xml:space="preserve">cancellation fee </w:t>
      </w:r>
      <w:r>
        <w:t xml:space="preserve">set in paragraph </w:t>
      </w:r>
      <w:r>
        <w:fldChar w:fldCharType="begin"/>
      </w:r>
      <w:r>
        <w:instrText xml:space="preserve"> REF _Ref461552295 \n \h </w:instrText>
      </w:r>
      <w:r>
        <w:fldChar w:fldCharType="separate"/>
      </w:r>
      <w:r w:rsidR="0004083A">
        <w:t>(b)</w:t>
      </w:r>
      <w:r>
        <w:fldChar w:fldCharType="end"/>
      </w:r>
      <w:r>
        <w:t xml:space="preserve"> or </w:t>
      </w:r>
      <w:r>
        <w:fldChar w:fldCharType="begin"/>
      </w:r>
      <w:r>
        <w:instrText xml:space="preserve"> REF _Ref461552303 \n \h </w:instrText>
      </w:r>
      <w:r>
        <w:fldChar w:fldCharType="separate"/>
      </w:r>
      <w:r w:rsidR="0004083A">
        <w:t>(c)</w:t>
      </w:r>
      <w:r>
        <w:fldChar w:fldCharType="end"/>
      </w:r>
      <w:r>
        <w:t xml:space="preserve"> below (unless under clause 2A of the </w:t>
      </w:r>
      <w:hyperlink r:id="rId403" w:history="1">
        <w:r>
          <w:rPr>
            <w:rStyle w:val="Hyperlink"/>
            <w:i/>
          </w:rPr>
          <w:t>SMB terms</w:t>
        </w:r>
      </w:hyperlink>
      <w:r>
        <w:rPr>
          <w:i/>
        </w:rPr>
        <w:t xml:space="preserve">, you </w:t>
      </w:r>
      <w:r>
        <w:t xml:space="preserve">are entitled to </w:t>
      </w:r>
      <w:r>
        <w:rPr>
          <w:i/>
        </w:rPr>
        <w:t xml:space="preserve">cancel the service </w:t>
      </w:r>
      <w:r>
        <w:t xml:space="preserve">without incurring a </w:t>
      </w:r>
      <w:r>
        <w:rPr>
          <w:i/>
        </w:rPr>
        <w:t>cancellation fee)</w:t>
      </w:r>
      <w:r>
        <w:t xml:space="preserve">; plus </w:t>
      </w:r>
    </w:p>
    <w:p w14:paraId="4ECCBD3E" w14:textId="77777777" w:rsidR="000D07EA" w:rsidRDefault="00BE7C89">
      <w:pPr>
        <w:pStyle w:val="Heading8"/>
      </w:pPr>
      <w:r>
        <w:lastRenderedPageBreak/>
        <w:t xml:space="preserve">the sum of unpaid </w:t>
      </w:r>
      <w:r>
        <w:rPr>
          <w:i/>
        </w:rPr>
        <w:t xml:space="preserve">equipment charges </w:t>
      </w:r>
      <w:r>
        <w:t xml:space="preserve">owing on </w:t>
      </w:r>
      <w:r>
        <w:rPr>
          <w:i/>
        </w:rPr>
        <w:t xml:space="preserve">your mobile phone </w:t>
      </w:r>
      <w:r>
        <w:t xml:space="preserve">under the </w:t>
      </w:r>
      <w:r>
        <w:rPr>
          <w:i/>
        </w:rPr>
        <w:t xml:space="preserve">mobile equipment payment plan </w:t>
      </w:r>
      <w:r>
        <w:t>(if any)</w:t>
      </w:r>
      <w:r>
        <w:rPr>
          <w:i/>
        </w:rPr>
        <w:t>.</w:t>
      </w:r>
    </w:p>
    <w:p w14:paraId="1F84C7BF" w14:textId="77777777" w:rsidR="000D07EA" w:rsidRDefault="00BE7C89">
      <w:pPr>
        <w:pStyle w:val="Heading7"/>
      </w:pPr>
      <w:bookmarkStart w:id="588" w:name="_Ref461552295"/>
      <w:r>
        <w:t xml:space="preserve">The </w:t>
      </w:r>
      <w:r>
        <w:rPr>
          <w:i/>
        </w:rPr>
        <w:t>cancellation fee</w:t>
      </w:r>
      <w:r>
        <w:t xml:space="preserve"> for a 12 Month Contract is calculated as a fixed amount if the </w:t>
      </w:r>
      <w:r>
        <w:rPr>
          <w:i/>
        </w:rPr>
        <w:t xml:space="preserve">service </w:t>
      </w:r>
      <w:r>
        <w:t xml:space="preserve">is </w:t>
      </w:r>
      <w:r>
        <w:rPr>
          <w:i/>
        </w:rPr>
        <w:t xml:space="preserve">cancelled </w:t>
      </w:r>
      <w:r>
        <w:t xml:space="preserve">during the first 6 months of the </w:t>
      </w:r>
      <w:r>
        <w:rPr>
          <w:i/>
        </w:rPr>
        <w:t>minimum term</w:t>
      </w:r>
      <w:r>
        <w:t xml:space="preserve"> and then a pro-rata reduction of that fee (indicated as a percentage in brackets in the first column of the table below) if the </w:t>
      </w:r>
      <w:r>
        <w:rPr>
          <w:i/>
        </w:rPr>
        <w:t xml:space="preserve">service </w:t>
      </w:r>
      <w:r>
        <w:t xml:space="preserve">is </w:t>
      </w:r>
      <w:r>
        <w:rPr>
          <w:i/>
        </w:rPr>
        <w:t xml:space="preserve">cancelled </w:t>
      </w:r>
      <w:r>
        <w:t xml:space="preserve">during the last six months of the </w:t>
      </w:r>
      <w:r>
        <w:rPr>
          <w:i/>
        </w:rPr>
        <w:t>minimum term</w:t>
      </w:r>
      <w:r>
        <w:t>.</w:t>
      </w:r>
      <w:bookmarkEnd w:id="588"/>
    </w:p>
    <w:p w14:paraId="43EFA428" w14:textId="77777777" w:rsidR="000D07EA" w:rsidRDefault="00BE7C89">
      <w:pPr>
        <w:pStyle w:val="Heading7"/>
      </w:pPr>
      <w:bookmarkStart w:id="589" w:name="_Ref461552303"/>
      <w:r>
        <w:t xml:space="preserve">The </w:t>
      </w:r>
      <w:r>
        <w:rPr>
          <w:i/>
        </w:rPr>
        <w:t>cancellation fee</w:t>
      </w:r>
      <w:r>
        <w:t xml:space="preserve"> for a 24 Month Contract is calculated as a fixed amount if the </w:t>
      </w:r>
      <w:r>
        <w:rPr>
          <w:i/>
        </w:rPr>
        <w:t>service</w:t>
      </w:r>
      <w:r>
        <w:t xml:space="preserve"> is </w:t>
      </w:r>
      <w:r>
        <w:rPr>
          <w:i/>
        </w:rPr>
        <w:t>cancelled</w:t>
      </w:r>
      <w:r>
        <w:t xml:space="preserve"> during the first 12 months of the </w:t>
      </w:r>
      <w:r>
        <w:rPr>
          <w:i/>
        </w:rPr>
        <w:t>minimum term</w:t>
      </w:r>
      <w:r>
        <w:t xml:space="preserve"> and then a pro-rata reduction of that fee (indicated as a percentage in brackets in the first column of the table below) if the </w:t>
      </w:r>
      <w:r>
        <w:rPr>
          <w:i/>
        </w:rPr>
        <w:t>service</w:t>
      </w:r>
      <w:r>
        <w:t xml:space="preserve"> is </w:t>
      </w:r>
      <w:r>
        <w:rPr>
          <w:i/>
        </w:rPr>
        <w:t>cancelled</w:t>
      </w:r>
      <w:r>
        <w:t xml:space="preserve"> during the second year of the </w:t>
      </w:r>
      <w:r>
        <w:rPr>
          <w:i/>
        </w:rPr>
        <w:t>minimum term</w:t>
      </w:r>
      <w:r>
        <w:t>.</w:t>
      </w:r>
      <w:bookmarkEnd w:id="589"/>
    </w:p>
    <w:p w14:paraId="5B796E18" w14:textId="77777777" w:rsidR="000D07EA" w:rsidRDefault="00BE7C89">
      <w:pPr>
        <w:pStyle w:val="BodyText"/>
        <w:ind w:left="720"/>
        <w:rPr>
          <w:b/>
        </w:rPr>
      </w:pPr>
      <w:r>
        <w:rPr>
          <w:b/>
        </w:rPr>
        <w:t>Table 4A - Cancellation Fee</w:t>
      </w:r>
    </w:p>
    <w:tbl>
      <w:tblPr>
        <w:tblW w:w="910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2880"/>
        <w:gridCol w:w="2880"/>
      </w:tblGrid>
      <w:tr w:rsidR="000D07EA" w14:paraId="0E5EC61F" w14:textId="77777777">
        <w:tc>
          <w:tcPr>
            <w:tcW w:w="3348" w:type="dxa"/>
            <w:vMerge w:val="restart"/>
            <w:vAlign w:val="center"/>
          </w:tcPr>
          <w:p w14:paraId="5C816735" w14:textId="77777777" w:rsidR="000D07EA" w:rsidRDefault="00BE7C89">
            <w:pPr>
              <w:pStyle w:val="BodyText"/>
              <w:spacing w:before="100" w:after="100"/>
              <w:rPr>
                <w:b/>
              </w:rPr>
            </w:pPr>
            <w:r>
              <w:rPr>
                <w:b/>
              </w:rPr>
              <w:t xml:space="preserve">When the </w:t>
            </w:r>
            <w:r>
              <w:rPr>
                <w:b/>
                <w:i/>
              </w:rPr>
              <w:t>service</w:t>
            </w:r>
            <w:r>
              <w:rPr>
                <w:b/>
              </w:rPr>
              <w:t xml:space="preserve"> is </w:t>
            </w:r>
            <w:r>
              <w:rPr>
                <w:b/>
                <w:i/>
              </w:rPr>
              <w:t>cancelled</w:t>
            </w:r>
          </w:p>
        </w:tc>
        <w:tc>
          <w:tcPr>
            <w:tcW w:w="5760" w:type="dxa"/>
            <w:gridSpan w:val="2"/>
            <w:vAlign w:val="center"/>
          </w:tcPr>
          <w:p w14:paraId="6B6149F2" w14:textId="77777777" w:rsidR="000D07EA" w:rsidRDefault="00BE7C89">
            <w:pPr>
              <w:pStyle w:val="BodyText"/>
              <w:spacing w:before="100" w:after="100"/>
              <w:jc w:val="center"/>
              <w:rPr>
                <w:b/>
                <w:i/>
              </w:rPr>
            </w:pPr>
            <w:r>
              <w:rPr>
                <w:b/>
                <w:i/>
              </w:rPr>
              <w:t>Cancellation Fee</w:t>
            </w:r>
          </w:p>
        </w:tc>
      </w:tr>
      <w:tr w:rsidR="000D07EA" w14:paraId="413A7AF7" w14:textId="77777777">
        <w:tc>
          <w:tcPr>
            <w:tcW w:w="3348" w:type="dxa"/>
            <w:vMerge/>
          </w:tcPr>
          <w:p w14:paraId="64E35AD1" w14:textId="77777777" w:rsidR="000D07EA" w:rsidRDefault="000D07EA">
            <w:pPr>
              <w:pStyle w:val="BodyText"/>
              <w:spacing w:before="100" w:after="100"/>
              <w:rPr>
                <w:b/>
              </w:rPr>
            </w:pPr>
          </w:p>
        </w:tc>
        <w:tc>
          <w:tcPr>
            <w:tcW w:w="5760" w:type="dxa"/>
            <w:gridSpan w:val="2"/>
            <w:vAlign w:val="center"/>
          </w:tcPr>
          <w:p w14:paraId="011FEFAD" w14:textId="77777777" w:rsidR="000D07EA" w:rsidRDefault="00BE7C89">
            <w:pPr>
              <w:pStyle w:val="BodyText"/>
              <w:spacing w:before="100" w:after="100"/>
              <w:jc w:val="center"/>
              <w:rPr>
                <w:b/>
              </w:rPr>
            </w:pPr>
            <w:r>
              <w:rPr>
                <w:b/>
              </w:rPr>
              <w:t>Business Timeless Plans – 12 Month Contract</w:t>
            </w:r>
          </w:p>
        </w:tc>
      </w:tr>
      <w:tr w:rsidR="000D07EA" w14:paraId="4D7DF35E" w14:textId="77777777">
        <w:tc>
          <w:tcPr>
            <w:tcW w:w="3348" w:type="dxa"/>
          </w:tcPr>
          <w:p w14:paraId="7B8C3BA1" w14:textId="77777777" w:rsidR="000D07EA" w:rsidRDefault="000D07EA">
            <w:pPr>
              <w:pStyle w:val="BodyText"/>
              <w:spacing w:before="100" w:after="100"/>
              <w:rPr>
                <w:b/>
              </w:rPr>
            </w:pPr>
          </w:p>
        </w:tc>
        <w:tc>
          <w:tcPr>
            <w:tcW w:w="2880" w:type="dxa"/>
            <w:vAlign w:val="center"/>
          </w:tcPr>
          <w:p w14:paraId="4DD89C5A" w14:textId="77777777" w:rsidR="000D07EA" w:rsidRDefault="00BE7C89">
            <w:pPr>
              <w:pStyle w:val="BodyText"/>
              <w:spacing w:before="100" w:after="100"/>
              <w:jc w:val="center"/>
              <w:rPr>
                <w:b/>
              </w:rPr>
            </w:pPr>
            <w:r>
              <w:rPr>
                <w:b/>
              </w:rPr>
              <w:t>$99 Business Timeless (Nov-11 Premium H/set)</w:t>
            </w:r>
          </w:p>
        </w:tc>
        <w:tc>
          <w:tcPr>
            <w:tcW w:w="2880" w:type="dxa"/>
            <w:vAlign w:val="center"/>
          </w:tcPr>
          <w:p w14:paraId="09F3151F" w14:textId="77777777" w:rsidR="000D07EA" w:rsidRDefault="00BE7C89">
            <w:pPr>
              <w:pStyle w:val="BodyText"/>
              <w:spacing w:before="100" w:after="100"/>
              <w:jc w:val="center"/>
              <w:rPr>
                <w:b/>
              </w:rPr>
            </w:pPr>
            <w:r>
              <w:rPr>
                <w:b/>
              </w:rPr>
              <w:t>$129 Business Timeless (Nov-11 Premium H/set)</w:t>
            </w:r>
          </w:p>
        </w:tc>
      </w:tr>
      <w:tr w:rsidR="000D07EA" w14:paraId="2E60BAA3" w14:textId="77777777">
        <w:tc>
          <w:tcPr>
            <w:tcW w:w="3348" w:type="dxa"/>
          </w:tcPr>
          <w:p w14:paraId="73EE4452" w14:textId="77777777" w:rsidR="000D07EA" w:rsidRDefault="00BE7C89">
            <w:pPr>
              <w:pStyle w:val="BodyText"/>
              <w:spacing w:before="100" w:after="100"/>
              <w:rPr>
                <w:b/>
              </w:rPr>
            </w:pPr>
            <w:r>
              <w:rPr>
                <w:b/>
              </w:rPr>
              <w:t xml:space="preserve">During the first 6 months – Initial </w:t>
            </w:r>
            <w:r>
              <w:rPr>
                <w:b/>
                <w:i/>
              </w:rPr>
              <w:t>cancellation fee</w:t>
            </w:r>
          </w:p>
        </w:tc>
        <w:tc>
          <w:tcPr>
            <w:tcW w:w="2880" w:type="dxa"/>
            <w:vAlign w:val="center"/>
          </w:tcPr>
          <w:p w14:paraId="16C00291" w14:textId="77777777" w:rsidR="000D07EA" w:rsidRDefault="00BE7C89">
            <w:pPr>
              <w:pStyle w:val="BodyText"/>
              <w:spacing w:before="100" w:after="100"/>
            </w:pPr>
            <w:r>
              <w:t>$855</w:t>
            </w:r>
          </w:p>
        </w:tc>
        <w:tc>
          <w:tcPr>
            <w:tcW w:w="2880" w:type="dxa"/>
            <w:vAlign w:val="center"/>
          </w:tcPr>
          <w:p w14:paraId="5F2F230E" w14:textId="77777777" w:rsidR="000D07EA" w:rsidRDefault="00BE7C89">
            <w:pPr>
              <w:pStyle w:val="BodyText"/>
              <w:spacing w:before="100" w:after="100"/>
            </w:pPr>
            <w:r>
              <w:t>$865</w:t>
            </w:r>
          </w:p>
        </w:tc>
      </w:tr>
      <w:tr w:rsidR="000D07EA" w14:paraId="13D8FF7A" w14:textId="77777777">
        <w:tc>
          <w:tcPr>
            <w:tcW w:w="3348" w:type="dxa"/>
          </w:tcPr>
          <w:p w14:paraId="4FE4BDEE" w14:textId="77777777" w:rsidR="000D07EA" w:rsidRDefault="00BE7C89">
            <w:pPr>
              <w:pStyle w:val="BodyText"/>
              <w:spacing w:before="100" w:after="100"/>
              <w:rPr>
                <w:b/>
              </w:rPr>
            </w:pPr>
            <w:r>
              <w:rPr>
                <w:b/>
              </w:rPr>
              <w:t xml:space="preserve">Months 7 - 9 (70% of Initial </w:t>
            </w:r>
            <w:r>
              <w:rPr>
                <w:b/>
                <w:i/>
              </w:rPr>
              <w:t>cancellation fee</w:t>
            </w:r>
            <w:r>
              <w:rPr>
                <w:b/>
              </w:rPr>
              <w:t>)</w:t>
            </w:r>
          </w:p>
        </w:tc>
        <w:tc>
          <w:tcPr>
            <w:tcW w:w="2880" w:type="dxa"/>
            <w:vAlign w:val="center"/>
          </w:tcPr>
          <w:p w14:paraId="15572E94" w14:textId="77777777" w:rsidR="000D07EA" w:rsidRDefault="00BE7C89">
            <w:pPr>
              <w:pStyle w:val="BodyText"/>
              <w:spacing w:before="100" w:after="100"/>
            </w:pPr>
            <w:r>
              <w:t>$598.50</w:t>
            </w:r>
          </w:p>
        </w:tc>
        <w:tc>
          <w:tcPr>
            <w:tcW w:w="2880" w:type="dxa"/>
            <w:vAlign w:val="center"/>
          </w:tcPr>
          <w:p w14:paraId="4CA29272" w14:textId="77777777" w:rsidR="000D07EA" w:rsidRDefault="00BE7C89">
            <w:pPr>
              <w:pStyle w:val="BodyText"/>
              <w:spacing w:before="100" w:after="100"/>
            </w:pPr>
            <w:r>
              <w:t>$605.50</w:t>
            </w:r>
          </w:p>
        </w:tc>
      </w:tr>
      <w:tr w:rsidR="000D07EA" w14:paraId="2786C765" w14:textId="77777777">
        <w:tc>
          <w:tcPr>
            <w:tcW w:w="3348" w:type="dxa"/>
          </w:tcPr>
          <w:p w14:paraId="06CD998E" w14:textId="77777777" w:rsidR="000D07EA" w:rsidRDefault="00BE7C89">
            <w:pPr>
              <w:pStyle w:val="BodyText"/>
              <w:spacing w:before="100" w:after="100"/>
              <w:rPr>
                <w:b/>
              </w:rPr>
            </w:pPr>
            <w:r>
              <w:rPr>
                <w:b/>
              </w:rPr>
              <w:t xml:space="preserve">Months 10 – 12 (40% of the Initial </w:t>
            </w:r>
            <w:r>
              <w:rPr>
                <w:b/>
                <w:i/>
              </w:rPr>
              <w:t>cancellation fee</w:t>
            </w:r>
            <w:r>
              <w:rPr>
                <w:b/>
              </w:rPr>
              <w:t>)</w:t>
            </w:r>
          </w:p>
        </w:tc>
        <w:tc>
          <w:tcPr>
            <w:tcW w:w="2880" w:type="dxa"/>
            <w:vAlign w:val="center"/>
          </w:tcPr>
          <w:p w14:paraId="188892D6" w14:textId="77777777" w:rsidR="000D07EA" w:rsidRDefault="00BE7C89">
            <w:pPr>
              <w:pStyle w:val="BodyText"/>
              <w:spacing w:before="100" w:after="100"/>
            </w:pPr>
            <w:r>
              <w:t>$342</w:t>
            </w:r>
          </w:p>
        </w:tc>
        <w:tc>
          <w:tcPr>
            <w:tcW w:w="2880" w:type="dxa"/>
            <w:vAlign w:val="center"/>
          </w:tcPr>
          <w:p w14:paraId="4A75E2B3" w14:textId="77777777" w:rsidR="000D07EA" w:rsidRDefault="00BE7C89">
            <w:pPr>
              <w:pStyle w:val="BodyText"/>
              <w:spacing w:before="100" w:after="100"/>
            </w:pPr>
            <w:r>
              <w:t>$346</w:t>
            </w:r>
          </w:p>
        </w:tc>
      </w:tr>
    </w:tbl>
    <w:p w14:paraId="789C2369" w14:textId="77777777" w:rsidR="000D07EA" w:rsidRDefault="000D07EA">
      <w:pPr>
        <w:pStyle w:val="BodyText"/>
        <w:ind w:left="720"/>
      </w:pPr>
    </w:p>
    <w:tbl>
      <w:tblPr>
        <w:tblW w:w="911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3355"/>
        <w:gridCol w:w="2880"/>
        <w:gridCol w:w="2880"/>
      </w:tblGrid>
      <w:tr w:rsidR="000D07EA" w14:paraId="6885DF85" w14:textId="77777777">
        <w:trPr>
          <w:tblHeader/>
        </w:trPr>
        <w:tc>
          <w:tcPr>
            <w:tcW w:w="3355" w:type="dxa"/>
            <w:vMerge w:val="restart"/>
            <w:vAlign w:val="center"/>
          </w:tcPr>
          <w:p w14:paraId="19077C6A" w14:textId="77777777" w:rsidR="000D07EA" w:rsidRDefault="00BE7C89">
            <w:pPr>
              <w:pStyle w:val="BodyText"/>
              <w:spacing w:before="100" w:after="100"/>
              <w:rPr>
                <w:b/>
              </w:rPr>
            </w:pPr>
            <w:r>
              <w:rPr>
                <w:b/>
              </w:rPr>
              <w:t xml:space="preserve">When the </w:t>
            </w:r>
            <w:r>
              <w:rPr>
                <w:b/>
                <w:i/>
              </w:rPr>
              <w:t>service</w:t>
            </w:r>
            <w:r>
              <w:rPr>
                <w:b/>
              </w:rPr>
              <w:t xml:space="preserve"> is </w:t>
            </w:r>
            <w:r>
              <w:rPr>
                <w:b/>
                <w:i/>
              </w:rPr>
              <w:t>cancelled</w:t>
            </w:r>
          </w:p>
        </w:tc>
        <w:tc>
          <w:tcPr>
            <w:tcW w:w="5760" w:type="dxa"/>
            <w:gridSpan w:val="2"/>
            <w:vAlign w:val="center"/>
          </w:tcPr>
          <w:p w14:paraId="4F3CBF5B" w14:textId="77777777" w:rsidR="000D07EA" w:rsidRDefault="00BE7C89">
            <w:pPr>
              <w:pStyle w:val="BodyText"/>
              <w:spacing w:before="100" w:after="100"/>
              <w:jc w:val="center"/>
              <w:rPr>
                <w:b/>
                <w:i/>
              </w:rPr>
            </w:pPr>
            <w:r>
              <w:rPr>
                <w:b/>
                <w:i/>
              </w:rPr>
              <w:t>Cancellation Fee</w:t>
            </w:r>
          </w:p>
        </w:tc>
      </w:tr>
      <w:tr w:rsidR="000D07EA" w14:paraId="39CABA14" w14:textId="77777777">
        <w:trPr>
          <w:tblHeader/>
        </w:trPr>
        <w:tc>
          <w:tcPr>
            <w:tcW w:w="3355" w:type="dxa"/>
            <w:vMerge/>
          </w:tcPr>
          <w:p w14:paraId="72DCECDF" w14:textId="77777777" w:rsidR="000D07EA" w:rsidRDefault="000D07EA">
            <w:pPr>
              <w:pStyle w:val="BodyText"/>
              <w:spacing w:before="100" w:after="100"/>
              <w:rPr>
                <w:b/>
              </w:rPr>
            </w:pPr>
          </w:p>
        </w:tc>
        <w:tc>
          <w:tcPr>
            <w:tcW w:w="5760" w:type="dxa"/>
            <w:gridSpan w:val="2"/>
            <w:vAlign w:val="center"/>
          </w:tcPr>
          <w:p w14:paraId="20781502" w14:textId="77777777" w:rsidR="000D07EA" w:rsidRDefault="00BE7C89">
            <w:pPr>
              <w:pStyle w:val="BodyText"/>
              <w:spacing w:before="100" w:after="100"/>
              <w:jc w:val="center"/>
              <w:rPr>
                <w:b/>
              </w:rPr>
            </w:pPr>
            <w:r>
              <w:rPr>
                <w:b/>
              </w:rPr>
              <w:t>Business Timeless Plans – 24 Month Contract</w:t>
            </w:r>
          </w:p>
        </w:tc>
      </w:tr>
      <w:tr w:rsidR="000D07EA" w14:paraId="0EB524A9" w14:textId="77777777">
        <w:trPr>
          <w:tblHeader/>
        </w:trPr>
        <w:tc>
          <w:tcPr>
            <w:tcW w:w="3355" w:type="dxa"/>
          </w:tcPr>
          <w:p w14:paraId="31516EA1" w14:textId="77777777" w:rsidR="000D07EA" w:rsidRDefault="000D07EA">
            <w:pPr>
              <w:pStyle w:val="BodyText"/>
              <w:spacing w:before="100" w:after="100"/>
              <w:rPr>
                <w:b/>
              </w:rPr>
            </w:pPr>
          </w:p>
        </w:tc>
        <w:tc>
          <w:tcPr>
            <w:tcW w:w="2880" w:type="dxa"/>
            <w:vAlign w:val="center"/>
          </w:tcPr>
          <w:p w14:paraId="1C0DD668" w14:textId="77777777" w:rsidR="000D07EA" w:rsidRDefault="00BE7C89">
            <w:pPr>
              <w:pStyle w:val="BodyText"/>
              <w:spacing w:before="100" w:after="100"/>
              <w:jc w:val="center"/>
              <w:rPr>
                <w:b/>
              </w:rPr>
            </w:pPr>
            <w:r>
              <w:rPr>
                <w:b/>
              </w:rPr>
              <w:t>$99 Business Timeless (Nov-11 Premium H/set)</w:t>
            </w:r>
          </w:p>
        </w:tc>
        <w:tc>
          <w:tcPr>
            <w:tcW w:w="2880" w:type="dxa"/>
            <w:vAlign w:val="center"/>
          </w:tcPr>
          <w:p w14:paraId="59E704EF" w14:textId="77777777" w:rsidR="000D07EA" w:rsidRDefault="00BE7C89">
            <w:pPr>
              <w:pStyle w:val="BodyText"/>
              <w:spacing w:before="100" w:after="100"/>
              <w:jc w:val="center"/>
              <w:rPr>
                <w:b/>
              </w:rPr>
            </w:pPr>
            <w:r>
              <w:rPr>
                <w:b/>
              </w:rPr>
              <w:t>$129 Business Timeless (Nov-11 Premium H/set)</w:t>
            </w:r>
          </w:p>
        </w:tc>
      </w:tr>
      <w:tr w:rsidR="000D07EA" w14:paraId="2E0C0B02" w14:textId="77777777">
        <w:tc>
          <w:tcPr>
            <w:tcW w:w="3355" w:type="dxa"/>
          </w:tcPr>
          <w:p w14:paraId="564C2715" w14:textId="77777777" w:rsidR="000D07EA" w:rsidRDefault="00BE7C89">
            <w:pPr>
              <w:pStyle w:val="BodyText"/>
              <w:spacing w:before="100" w:after="100"/>
              <w:rPr>
                <w:b/>
              </w:rPr>
            </w:pPr>
            <w:r>
              <w:rPr>
                <w:b/>
              </w:rPr>
              <w:t xml:space="preserve">During the first 12 months – Initial </w:t>
            </w:r>
            <w:r>
              <w:rPr>
                <w:b/>
                <w:i/>
              </w:rPr>
              <w:t>cancellation fee</w:t>
            </w:r>
          </w:p>
        </w:tc>
        <w:tc>
          <w:tcPr>
            <w:tcW w:w="2880" w:type="dxa"/>
            <w:vAlign w:val="center"/>
          </w:tcPr>
          <w:p w14:paraId="4284399B" w14:textId="77777777" w:rsidR="000D07EA" w:rsidRDefault="00BE7C89">
            <w:pPr>
              <w:pStyle w:val="BodyText"/>
              <w:spacing w:before="100" w:after="100"/>
            </w:pPr>
            <w:r>
              <w:t>$1,185</w:t>
            </w:r>
          </w:p>
        </w:tc>
        <w:tc>
          <w:tcPr>
            <w:tcW w:w="2880" w:type="dxa"/>
            <w:vAlign w:val="center"/>
          </w:tcPr>
          <w:p w14:paraId="65A2B524" w14:textId="77777777" w:rsidR="000D07EA" w:rsidRDefault="00BE7C89">
            <w:pPr>
              <w:pStyle w:val="BodyText"/>
              <w:spacing w:before="100" w:after="100"/>
            </w:pPr>
            <w:r>
              <w:t>$1,205</w:t>
            </w:r>
          </w:p>
        </w:tc>
      </w:tr>
      <w:tr w:rsidR="000D07EA" w14:paraId="5BF44D2A" w14:textId="77777777">
        <w:tc>
          <w:tcPr>
            <w:tcW w:w="3355" w:type="dxa"/>
          </w:tcPr>
          <w:p w14:paraId="1F0F18E8" w14:textId="77777777" w:rsidR="000D07EA" w:rsidRDefault="00BE7C89">
            <w:pPr>
              <w:pStyle w:val="BodyText"/>
              <w:spacing w:before="100" w:after="100"/>
              <w:rPr>
                <w:b/>
              </w:rPr>
            </w:pPr>
            <w:r>
              <w:rPr>
                <w:b/>
              </w:rPr>
              <w:t xml:space="preserve">Months 13 - 15 (80% of Initial </w:t>
            </w:r>
            <w:r>
              <w:rPr>
                <w:b/>
                <w:i/>
              </w:rPr>
              <w:t>cancellation fee</w:t>
            </w:r>
            <w:r>
              <w:rPr>
                <w:b/>
              </w:rPr>
              <w:t>)</w:t>
            </w:r>
          </w:p>
        </w:tc>
        <w:tc>
          <w:tcPr>
            <w:tcW w:w="2880" w:type="dxa"/>
            <w:vAlign w:val="center"/>
          </w:tcPr>
          <w:p w14:paraId="213B3335" w14:textId="77777777" w:rsidR="000D07EA" w:rsidRDefault="00BE7C89">
            <w:pPr>
              <w:pStyle w:val="BodyText"/>
              <w:spacing w:before="100" w:after="100"/>
            </w:pPr>
            <w:r>
              <w:t>$948</w:t>
            </w:r>
          </w:p>
        </w:tc>
        <w:tc>
          <w:tcPr>
            <w:tcW w:w="2880" w:type="dxa"/>
            <w:vAlign w:val="center"/>
          </w:tcPr>
          <w:p w14:paraId="77283132" w14:textId="77777777" w:rsidR="000D07EA" w:rsidRDefault="00BE7C89">
            <w:pPr>
              <w:pStyle w:val="BodyText"/>
              <w:spacing w:before="100" w:after="100"/>
            </w:pPr>
            <w:r>
              <w:t>$964</w:t>
            </w:r>
          </w:p>
        </w:tc>
      </w:tr>
      <w:tr w:rsidR="000D07EA" w14:paraId="0A392981" w14:textId="77777777">
        <w:tc>
          <w:tcPr>
            <w:tcW w:w="3355" w:type="dxa"/>
          </w:tcPr>
          <w:p w14:paraId="464123CB" w14:textId="77777777" w:rsidR="000D07EA" w:rsidRDefault="00BE7C89">
            <w:pPr>
              <w:pStyle w:val="BodyText"/>
              <w:spacing w:before="100" w:after="100"/>
              <w:rPr>
                <w:b/>
              </w:rPr>
            </w:pPr>
            <w:r>
              <w:rPr>
                <w:b/>
              </w:rPr>
              <w:t xml:space="preserve">Months 16 – 18 (60% of the Initial </w:t>
            </w:r>
            <w:r>
              <w:rPr>
                <w:b/>
                <w:i/>
              </w:rPr>
              <w:t>cancellation fee</w:t>
            </w:r>
            <w:r>
              <w:rPr>
                <w:b/>
              </w:rPr>
              <w:t>)</w:t>
            </w:r>
          </w:p>
        </w:tc>
        <w:tc>
          <w:tcPr>
            <w:tcW w:w="2880" w:type="dxa"/>
            <w:vAlign w:val="center"/>
          </w:tcPr>
          <w:p w14:paraId="4C06ECED" w14:textId="77777777" w:rsidR="000D07EA" w:rsidRDefault="00BE7C89">
            <w:pPr>
              <w:pStyle w:val="BodyText"/>
              <w:spacing w:before="100" w:after="100"/>
            </w:pPr>
            <w:r>
              <w:t>$711</w:t>
            </w:r>
          </w:p>
        </w:tc>
        <w:tc>
          <w:tcPr>
            <w:tcW w:w="2880" w:type="dxa"/>
            <w:vAlign w:val="center"/>
          </w:tcPr>
          <w:p w14:paraId="40BC1332" w14:textId="77777777" w:rsidR="000D07EA" w:rsidRDefault="00BE7C89">
            <w:pPr>
              <w:pStyle w:val="BodyText"/>
              <w:spacing w:before="100" w:after="100"/>
            </w:pPr>
            <w:r>
              <w:t>$723</w:t>
            </w:r>
          </w:p>
        </w:tc>
      </w:tr>
      <w:tr w:rsidR="000D07EA" w14:paraId="0BB8B29E" w14:textId="77777777">
        <w:tc>
          <w:tcPr>
            <w:tcW w:w="3355" w:type="dxa"/>
          </w:tcPr>
          <w:p w14:paraId="4DF9E027" w14:textId="77777777" w:rsidR="000D07EA" w:rsidRDefault="00BE7C89">
            <w:pPr>
              <w:pStyle w:val="BodyText"/>
              <w:spacing w:before="100" w:after="100"/>
              <w:rPr>
                <w:b/>
              </w:rPr>
            </w:pPr>
            <w:r>
              <w:rPr>
                <w:b/>
              </w:rPr>
              <w:t xml:space="preserve">Months 19 – 21 (60% of the Initial </w:t>
            </w:r>
            <w:r>
              <w:rPr>
                <w:b/>
                <w:i/>
              </w:rPr>
              <w:t>cancellation fee</w:t>
            </w:r>
            <w:r>
              <w:rPr>
                <w:b/>
              </w:rPr>
              <w:t>)</w:t>
            </w:r>
          </w:p>
        </w:tc>
        <w:tc>
          <w:tcPr>
            <w:tcW w:w="2880" w:type="dxa"/>
            <w:vAlign w:val="center"/>
          </w:tcPr>
          <w:p w14:paraId="06190B0B" w14:textId="77777777" w:rsidR="000D07EA" w:rsidRDefault="00BE7C89">
            <w:pPr>
              <w:pStyle w:val="BodyText"/>
              <w:spacing w:before="100" w:after="100"/>
            </w:pPr>
            <w:r>
              <w:t>$474</w:t>
            </w:r>
          </w:p>
        </w:tc>
        <w:tc>
          <w:tcPr>
            <w:tcW w:w="2880" w:type="dxa"/>
            <w:vAlign w:val="center"/>
          </w:tcPr>
          <w:p w14:paraId="09C9546E" w14:textId="77777777" w:rsidR="000D07EA" w:rsidRDefault="00BE7C89">
            <w:pPr>
              <w:pStyle w:val="BodyText"/>
              <w:spacing w:before="100" w:after="100"/>
            </w:pPr>
            <w:r>
              <w:t>$482</w:t>
            </w:r>
          </w:p>
        </w:tc>
      </w:tr>
      <w:tr w:rsidR="000D07EA" w14:paraId="5F679C13" w14:textId="77777777">
        <w:tc>
          <w:tcPr>
            <w:tcW w:w="3355" w:type="dxa"/>
          </w:tcPr>
          <w:p w14:paraId="47A902C8" w14:textId="77777777" w:rsidR="000D07EA" w:rsidRDefault="00BE7C89">
            <w:pPr>
              <w:pStyle w:val="BodyText"/>
              <w:keepNext/>
              <w:spacing w:before="100" w:after="100"/>
              <w:rPr>
                <w:b/>
              </w:rPr>
            </w:pPr>
            <w:r>
              <w:rPr>
                <w:b/>
              </w:rPr>
              <w:t xml:space="preserve">Months 22 – 24 (20% of the Initial </w:t>
            </w:r>
            <w:r>
              <w:rPr>
                <w:b/>
                <w:i/>
              </w:rPr>
              <w:t>cancellation fee</w:t>
            </w:r>
            <w:r>
              <w:rPr>
                <w:b/>
              </w:rPr>
              <w:t>)</w:t>
            </w:r>
          </w:p>
        </w:tc>
        <w:tc>
          <w:tcPr>
            <w:tcW w:w="2880" w:type="dxa"/>
            <w:vAlign w:val="center"/>
          </w:tcPr>
          <w:p w14:paraId="39DC9304" w14:textId="77777777" w:rsidR="000D07EA" w:rsidRDefault="00BE7C89">
            <w:pPr>
              <w:pStyle w:val="BodyText"/>
              <w:keepNext/>
              <w:spacing w:before="100" w:after="100"/>
            </w:pPr>
            <w:r>
              <w:t>$237</w:t>
            </w:r>
          </w:p>
        </w:tc>
        <w:tc>
          <w:tcPr>
            <w:tcW w:w="2880" w:type="dxa"/>
            <w:vAlign w:val="center"/>
          </w:tcPr>
          <w:p w14:paraId="5E00CA8E" w14:textId="77777777" w:rsidR="000D07EA" w:rsidRDefault="00BE7C89">
            <w:pPr>
              <w:pStyle w:val="BodyText"/>
              <w:keepNext/>
              <w:spacing w:before="100" w:after="100"/>
            </w:pPr>
            <w:r>
              <w:t>$241</w:t>
            </w:r>
          </w:p>
        </w:tc>
      </w:tr>
    </w:tbl>
    <w:p w14:paraId="24DB73B9" w14:textId="77777777" w:rsidR="000D07EA" w:rsidRDefault="000D07EA">
      <w:pPr>
        <w:pStyle w:val="BodyText"/>
      </w:pPr>
    </w:p>
    <w:p w14:paraId="11F34C7D" w14:textId="77777777" w:rsidR="000D07EA" w:rsidRDefault="00BE7C89">
      <w:pPr>
        <w:pStyle w:val="Heading6"/>
      </w:pPr>
      <w:r>
        <w:t>$129 Business Timeless (Nov-11 Premium H/set) Recontracting Rules</w:t>
      </w:r>
    </w:p>
    <w:p w14:paraId="3DCA0771" w14:textId="77777777" w:rsidR="000D07EA" w:rsidRDefault="00BE7C89">
      <w:pPr>
        <w:pStyle w:val="Heading7"/>
      </w:pPr>
      <w:r>
        <w:t xml:space="preserve">If </w:t>
      </w:r>
      <w:r>
        <w:rPr>
          <w:i/>
        </w:rPr>
        <w:t>you</w:t>
      </w:r>
      <w:r>
        <w:t xml:space="preserve"> commit to a new $129 Business Timeless (Nov-11 Premium H/set) plan on a 24 month </w:t>
      </w:r>
      <w:r>
        <w:rPr>
          <w:i/>
        </w:rPr>
        <w:t>minimum term</w:t>
      </w:r>
      <w:r>
        <w:t xml:space="preserve">, </w:t>
      </w:r>
      <w:r>
        <w:rPr>
          <w:i/>
        </w:rPr>
        <w:t>you</w:t>
      </w:r>
      <w:r>
        <w:t xml:space="preserve"> may recontract onto a new 24 month SMB </w:t>
      </w:r>
      <w:r>
        <w:rPr>
          <w:i/>
        </w:rPr>
        <w:t>pricing plan</w:t>
      </w:r>
      <w:r>
        <w:t xml:space="preserve"> with handset after completing 12 months of </w:t>
      </w:r>
      <w:r>
        <w:rPr>
          <w:i/>
        </w:rPr>
        <w:t>your</w:t>
      </w:r>
      <w:r>
        <w:t xml:space="preserve"> 24 month </w:t>
      </w:r>
      <w:r>
        <w:rPr>
          <w:i/>
        </w:rPr>
        <w:t>minimum term</w:t>
      </w:r>
      <w:r>
        <w:t xml:space="preserve">, subject to the following conditions: </w:t>
      </w:r>
    </w:p>
    <w:p w14:paraId="0A8C3E17" w14:textId="77777777" w:rsidR="000D07EA" w:rsidRDefault="00BE7C89">
      <w:pPr>
        <w:pStyle w:val="Heading8"/>
      </w:pPr>
      <w:r>
        <w:rPr>
          <w:i/>
        </w:rPr>
        <w:lastRenderedPageBreak/>
        <w:t>You</w:t>
      </w:r>
      <w:r>
        <w:t xml:space="preserve"> must be contracted to and billing onto a SMB mobile plan with a minimum Monthly Access Fee of $129 per month for the previous consecutive 12 months; </w:t>
      </w:r>
    </w:p>
    <w:p w14:paraId="4136A922" w14:textId="77777777" w:rsidR="000D07EA" w:rsidRDefault="00BE7C89">
      <w:pPr>
        <w:pStyle w:val="Heading8"/>
      </w:pPr>
      <w:r>
        <w:rPr>
          <w:i/>
        </w:rPr>
        <w:t>You</w:t>
      </w:r>
      <w:r>
        <w:t xml:space="preserve"> must have completed at least month 12 of </w:t>
      </w:r>
      <w:r>
        <w:rPr>
          <w:i/>
        </w:rPr>
        <w:t>your</w:t>
      </w:r>
      <w:r>
        <w:t xml:space="preserve"> 24 month </w:t>
      </w:r>
      <w:r>
        <w:rPr>
          <w:i/>
        </w:rPr>
        <w:t>minimum term</w:t>
      </w:r>
      <w:r>
        <w:t>; and</w:t>
      </w:r>
    </w:p>
    <w:p w14:paraId="690360B4" w14:textId="77777777" w:rsidR="000D07EA" w:rsidRDefault="00BE7C89">
      <w:pPr>
        <w:pStyle w:val="Heading8"/>
      </w:pPr>
      <w:r>
        <w:rPr>
          <w:i/>
        </w:rPr>
        <w:t>You</w:t>
      </w:r>
      <w:r>
        <w:t xml:space="preserve"> must commit to a new 24 month </w:t>
      </w:r>
      <w:r>
        <w:rPr>
          <w:i/>
        </w:rPr>
        <w:t>minimum term</w:t>
      </w:r>
      <w:r>
        <w:t xml:space="preserve"> on a SMB </w:t>
      </w:r>
      <w:r>
        <w:rPr>
          <w:i/>
        </w:rPr>
        <w:t>pricing plan</w:t>
      </w:r>
      <w:r>
        <w:t xml:space="preserve"> with a minimum Monthly Access Fee of $129 per month.</w:t>
      </w:r>
    </w:p>
    <w:p w14:paraId="41A1D40C" w14:textId="77777777" w:rsidR="000D07EA" w:rsidRDefault="00BE7C89">
      <w:pPr>
        <w:pStyle w:val="Heading7"/>
      </w:pPr>
      <w:r>
        <w:t xml:space="preserve">If </w:t>
      </w:r>
      <w:r>
        <w:rPr>
          <w:i/>
        </w:rPr>
        <w:t>you</w:t>
      </w:r>
      <w:r>
        <w:t xml:space="preserve"> do not meet the conditions in (a)(i) to (iii), </w:t>
      </w:r>
      <w:r>
        <w:rPr>
          <w:i/>
        </w:rPr>
        <w:t>you</w:t>
      </w:r>
      <w:r>
        <w:t xml:space="preserve"> may be charged the </w:t>
      </w:r>
      <w:r>
        <w:rPr>
          <w:i/>
        </w:rPr>
        <w:t>cancellation fee</w:t>
      </w:r>
      <w:r>
        <w:t xml:space="preserve"> set out in Table 4A.</w:t>
      </w:r>
    </w:p>
    <w:p w14:paraId="7850B775" w14:textId="77777777" w:rsidR="000D07EA" w:rsidRDefault="00BE7C89">
      <w:pPr>
        <w:pStyle w:val="Heading4"/>
      </w:pPr>
      <w:bookmarkStart w:id="590" w:name="_Toc62644640"/>
      <w:r>
        <w:t>$89 Business Timeless Plan (Incorporating $89 Business Timeless (FEB-12) and $89 Business Timeless (Feb-12 - Premium H/S) Plans) effective from 1 february 2012.</w:t>
      </w:r>
      <w:bookmarkEnd w:id="590"/>
    </w:p>
    <w:p w14:paraId="4B9B014F" w14:textId="77777777" w:rsidR="000D07EA" w:rsidRDefault="00BE7C89">
      <w:pPr>
        <w:pStyle w:val="Heading6"/>
      </w:pPr>
      <w:r>
        <w:t>What are the $89 Business Timeless Plans?</w:t>
      </w:r>
    </w:p>
    <w:p w14:paraId="148E0CA4" w14:textId="77777777" w:rsidR="000D07EA" w:rsidRDefault="00BE7C89">
      <w:pPr>
        <w:pStyle w:val="BodyText"/>
        <w:ind w:left="720"/>
      </w:pPr>
      <w:r>
        <w:t xml:space="preserve">The $89 Business Timeless Offers are governed by the terms in this </w:t>
      </w:r>
      <w:r>
        <w:rPr>
          <w:i/>
        </w:rPr>
        <w:t>appendix</w:t>
      </w:r>
      <w:r>
        <w:t xml:space="preserve"> and, to the extent that the terms are not inconsistent with the terms set out in this </w:t>
      </w:r>
      <w:r>
        <w:rPr>
          <w:i/>
        </w:rPr>
        <w:t>appendix</w:t>
      </w:r>
      <w:r>
        <w:t xml:space="preserve">, by the terms of the </w:t>
      </w:r>
      <w:hyperlink r:id="rId404" w:history="1">
        <w:r>
          <w:rPr>
            <w:rStyle w:val="Hyperlink"/>
            <w:i/>
          </w:rPr>
          <w:t>SMB terms</w:t>
        </w:r>
      </w:hyperlink>
      <w:r>
        <w:t xml:space="preserve">, and each relevant </w:t>
      </w:r>
      <w:r>
        <w:rPr>
          <w:i/>
        </w:rPr>
        <w:t>service description</w:t>
      </w:r>
      <w:r>
        <w:t xml:space="preserve"> and </w:t>
      </w:r>
      <w:r>
        <w:rPr>
          <w:i/>
        </w:rPr>
        <w:t>standard pricing table</w:t>
      </w:r>
      <w:r>
        <w:t xml:space="preserve">. </w:t>
      </w:r>
    </w:p>
    <w:p w14:paraId="2887BA5C" w14:textId="77777777" w:rsidR="000D07EA" w:rsidRDefault="00BE7C89">
      <w:pPr>
        <w:pStyle w:val="Heading7"/>
      </w:pPr>
      <w:r>
        <w:t xml:space="preserve">To be eligible for the $89 Business Timeless Plans </w:t>
      </w:r>
      <w:r>
        <w:rPr>
          <w:i/>
        </w:rPr>
        <w:t>you</w:t>
      </w:r>
      <w:r>
        <w:t xml:space="preserve"> must have at least 1 Optus Mobile Digital Service,</w:t>
      </w:r>
    </w:p>
    <w:p w14:paraId="7A051989" w14:textId="77777777" w:rsidR="000D07EA" w:rsidRDefault="00BE7C89">
      <w:pPr>
        <w:pStyle w:val="Heading7"/>
      </w:pPr>
      <w:r>
        <w:t xml:space="preserve">A (Premium H/S) plan indicates a rate plan where a high value handset is available. </w:t>
      </w:r>
    </w:p>
    <w:p w14:paraId="30B18CDD" w14:textId="77777777" w:rsidR="000D07EA" w:rsidRDefault="00BE7C89">
      <w:pPr>
        <w:pStyle w:val="Heading7"/>
      </w:pPr>
      <w:r>
        <w:t>In this section, where the term "$89 Business Timeless" is used it also refers to the (Premium H/S) plans.</w:t>
      </w:r>
    </w:p>
    <w:p w14:paraId="2675C9F0" w14:textId="77777777" w:rsidR="000D07EA" w:rsidRDefault="00BE7C89">
      <w:pPr>
        <w:pStyle w:val="Heading6"/>
      </w:pPr>
      <w:r>
        <w:t>What does the $89 Business Timeless Plans allow you to do?</w:t>
      </w:r>
    </w:p>
    <w:p w14:paraId="0FD0B2E3" w14:textId="77777777" w:rsidR="000D07EA" w:rsidRDefault="00BE7C89">
      <w:pPr>
        <w:pStyle w:val="Heading7"/>
      </w:pPr>
      <w:r>
        <w:t>Under the $89 Business Timeless Plan, you may share the included Mobile Internet Data Value between your Optus Mobile Digital Service(s) and eligible Business Mobile Broadband Services(s), as follows:</w:t>
      </w:r>
    </w:p>
    <w:p w14:paraId="546B78DE" w14:textId="77777777" w:rsidR="000D07EA" w:rsidRDefault="00BE7C89">
      <w:pPr>
        <w:pStyle w:val="Heading8"/>
      </w:pPr>
      <w:r>
        <w:t>The 1GB or 750MB included Mobile Internet Data Value on the $89 Business Timeless plan can be shared across Optus Mobile Digital Service(s) and Business Mobile Broadband Services(s).</w:t>
      </w:r>
    </w:p>
    <w:p w14:paraId="3A08C4A6" w14:textId="77777777" w:rsidR="000D07EA" w:rsidRDefault="00BE7C89">
      <w:pPr>
        <w:pStyle w:val="Heading8"/>
      </w:pPr>
      <w:r>
        <w:t xml:space="preserve">$89 Business Timeless Plans consisting of Unlimited mobile access to Facebook®, Twitter, LinkedIn, Ebay, Four Square, MySpace, within Australia, across Optus Mobile Digital Service(s) and Business Mobile Broadband Service(s) cannot be shared and may be accessed on the mobile handset only. </w:t>
      </w:r>
    </w:p>
    <w:p w14:paraId="7D6CF2A3" w14:textId="77777777" w:rsidR="000D07EA" w:rsidRDefault="00BE7C89">
      <w:pPr>
        <w:pStyle w:val="Heading7"/>
      </w:pPr>
      <w:r>
        <w:rPr>
          <w:i/>
        </w:rPr>
        <w:t>You</w:t>
      </w:r>
      <w:r>
        <w:t xml:space="preserve"> may purchase a </w:t>
      </w:r>
      <w:r>
        <w:rPr>
          <w:i/>
        </w:rPr>
        <w:t>mobile phone</w:t>
      </w:r>
      <w:r>
        <w:t xml:space="preserve"> with a 24 month </w:t>
      </w:r>
      <w:r>
        <w:rPr>
          <w:i/>
        </w:rPr>
        <w:t>equipment term</w:t>
      </w:r>
      <w:r>
        <w:t xml:space="preserve"> under a </w:t>
      </w:r>
      <w:r>
        <w:rPr>
          <w:i/>
        </w:rPr>
        <w:t>mobile equipment payment plan</w:t>
      </w:r>
      <w:r>
        <w:t xml:space="preserve"> on a 24 month </w:t>
      </w:r>
      <w:r>
        <w:rPr>
          <w:i/>
        </w:rPr>
        <w:t>fixed length agreement</w:t>
      </w:r>
      <w:r>
        <w:t>.</w:t>
      </w:r>
    </w:p>
    <w:p w14:paraId="57A54B5A" w14:textId="77777777" w:rsidR="000D07EA" w:rsidRDefault="00BE7C89">
      <w:pPr>
        <w:pStyle w:val="Heading7"/>
      </w:pPr>
      <w:r>
        <w:rPr>
          <w:i/>
        </w:rPr>
        <w:t>You</w:t>
      </w:r>
      <w:r>
        <w:t xml:space="preserve"> may purchase a </w:t>
      </w:r>
      <w:r>
        <w:rPr>
          <w:i/>
        </w:rPr>
        <w:t>mobile phone</w:t>
      </w:r>
      <w:r>
        <w:t xml:space="preserve"> with a 12 month </w:t>
      </w:r>
      <w:r>
        <w:rPr>
          <w:i/>
        </w:rPr>
        <w:t>equipment term</w:t>
      </w:r>
      <w:r>
        <w:t xml:space="preserve"> under a </w:t>
      </w:r>
      <w:r>
        <w:rPr>
          <w:i/>
        </w:rPr>
        <w:t>mobile equipment payment plan</w:t>
      </w:r>
      <w:r>
        <w:t xml:space="preserve"> on a 12 month </w:t>
      </w:r>
      <w:r>
        <w:rPr>
          <w:i/>
        </w:rPr>
        <w:t>fixed length agreement</w:t>
      </w:r>
      <w:r>
        <w:t>.</w:t>
      </w:r>
    </w:p>
    <w:p w14:paraId="7B48AA83" w14:textId="77777777" w:rsidR="000D07EA" w:rsidRDefault="00BE7C89">
      <w:pPr>
        <w:pStyle w:val="Heading7"/>
      </w:pPr>
      <w:r>
        <w:t>The charges for the $89 Business Timeless Plans are set out in Table 3A.</w:t>
      </w:r>
    </w:p>
    <w:p w14:paraId="2DC2563B" w14:textId="77777777" w:rsidR="000D07EA" w:rsidRDefault="00BE7C89">
      <w:pPr>
        <w:pStyle w:val="Heading6"/>
      </w:pPr>
      <w:r>
        <w:t>Eligibility</w:t>
      </w:r>
    </w:p>
    <w:p w14:paraId="1372EBFB" w14:textId="77777777" w:rsidR="000D07EA" w:rsidRDefault="00BE7C89">
      <w:pPr>
        <w:pStyle w:val="BodyText"/>
        <w:ind w:left="720"/>
      </w:pPr>
      <w:r>
        <w:t>In order to be and remain eligible for the $89 Business Timeless Plan you must:</w:t>
      </w:r>
    </w:p>
    <w:p w14:paraId="3AD3A7CB" w14:textId="77777777" w:rsidR="000D07EA" w:rsidRDefault="00BE7C89">
      <w:pPr>
        <w:pStyle w:val="Heading7"/>
      </w:pPr>
      <w:r>
        <w:t xml:space="preserve">be a customer </w:t>
      </w:r>
      <w:r>
        <w:rPr>
          <w:i/>
        </w:rPr>
        <w:t>we</w:t>
      </w:r>
      <w:r>
        <w:t xml:space="preserve"> classify as </w:t>
      </w:r>
      <w:r>
        <w:rPr>
          <w:i/>
        </w:rPr>
        <w:t>small or medium business customers</w:t>
      </w:r>
      <w:r>
        <w:t>;</w:t>
      </w:r>
    </w:p>
    <w:p w14:paraId="64D8E5A5" w14:textId="77777777" w:rsidR="000D07EA" w:rsidRDefault="00BE7C89">
      <w:pPr>
        <w:pStyle w:val="Heading7"/>
      </w:pPr>
      <w:r>
        <w:t>not be a customer of an Optus Service Provider;</w:t>
      </w:r>
    </w:p>
    <w:p w14:paraId="6FEECF0B" w14:textId="77777777" w:rsidR="000D07EA" w:rsidRDefault="00BE7C89">
      <w:pPr>
        <w:pStyle w:val="Heading7"/>
      </w:pPr>
      <w:r>
        <w:t xml:space="preserve">must pass the Optus Credit assessment and be accepted by </w:t>
      </w:r>
      <w:r>
        <w:rPr>
          <w:i/>
        </w:rPr>
        <w:t>us</w:t>
      </w:r>
      <w:r>
        <w:t>;</w:t>
      </w:r>
    </w:p>
    <w:p w14:paraId="3789CC9C" w14:textId="77777777" w:rsidR="000D07EA" w:rsidRDefault="00BE7C89">
      <w:pPr>
        <w:pStyle w:val="Heading7"/>
      </w:pPr>
      <w:r>
        <w:lastRenderedPageBreak/>
        <w:t xml:space="preserve">connect all relevant </w:t>
      </w:r>
      <w:r>
        <w:rPr>
          <w:i/>
        </w:rPr>
        <w:t>services</w:t>
      </w:r>
      <w:r>
        <w:t xml:space="preserve"> in the same account holder name, service address, and ABN/ACN/ARBN;</w:t>
      </w:r>
    </w:p>
    <w:p w14:paraId="3C7B6100" w14:textId="77777777" w:rsidR="000D07EA" w:rsidRDefault="00BE7C89">
      <w:pPr>
        <w:pStyle w:val="Heading7"/>
      </w:pPr>
      <w:r>
        <w:t xml:space="preserve">meet all of the criteria for the particular </w:t>
      </w:r>
      <w:r>
        <w:rPr>
          <w:i/>
        </w:rPr>
        <w:t>services</w:t>
      </w:r>
      <w:r>
        <w:t xml:space="preserve"> as set out in each of the relevant </w:t>
      </w:r>
      <w:r>
        <w:rPr>
          <w:i/>
        </w:rPr>
        <w:t>service descriptions</w:t>
      </w:r>
      <w:r>
        <w:t>; and</w:t>
      </w:r>
    </w:p>
    <w:p w14:paraId="64451F27" w14:textId="77777777" w:rsidR="000D07EA" w:rsidRDefault="00BE7C89">
      <w:pPr>
        <w:pStyle w:val="Heading7"/>
      </w:pPr>
      <w:r>
        <w:t>receive subscription charges on a monthly single bill.</w:t>
      </w:r>
    </w:p>
    <w:p w14:paraId="4AC9196C" w14:textId="77777777" w:rsidR="000D07EA" w:rsidRDefault="00BE7C89">
      <w:pPr>
        <w:pStyle w:val="Heading6"/>
      </w:pPr>
      <w:r>
        <w:t>Blocking access to a number</w:t>
      </w:r>
    </w:p>
    <w:p w14:paraId="1FE1208C" w14:textId="77777777" w:rsidR="000D07EA" w:rsidRDefault="00BE7C89">
      <w:pPr>
        <w:pStyle w:val="BodyText"/>
        <w:ind w:left="720"/>
      </w:pPr>
      <w:r>
        <w:t>In addition to what is stated in clause 11 of the service description ("Access Restrictions"), we may block access to a number (other than an emergency service number) if we reasonably require this to be done for technical, operational or commercial reasons.</w:t>
      </w:r>
    </w:p>
    <w:p w14:paraId="1AAA6C4F" w14:textId="77777777" w:rsidR="000D07EA" w:rsidRDefault="00BE7C89">
      <w:pPr>
        <w:pStyle w:val="Heading6"/>
        <w:rPr>
          <w:i/>
        </w:rPr>
      </w:pPr>
      <w:r>
        <w:rPr>
          <w:i/>
        </w:rPr>
        <w:t>Minimum Term</w:t>
      </w:r>
    </w:p>
    <w:p w14:paraId="1709D730" w14:textId="77777777" w:rsidR="000D07EA" w:rsidRDefault="00BE7C89">
      <w:pPr>
        <w:pStyle w:val="Heading7"/>
      </w:pPr>
      <w:r>
        <w:rPr>
          <w:i/>
        </w:rPr>
        <w:t>You</w:t>
      </w:r>
      <w:r>
        <w:t xml:space="preserve"> must agree to either a </w:t>
      </w:r>
      <w:r>
        <w:rPr>
          <w:i/>
        </w:rPr>
        <w:t>fixed length agreement</w:t>
      </w:r>
      <w:r>
        <w:t xml:space="preserve"> with a 12 month or 24 month minimum term.</w:t>
      </w:r>
    </w:p>
    <w:p w14:paraId="6F9100A9" w14:textId="77777777" w:rsidR="000D07EA" w:rsidRDefault="00BE7C89">
      <w:pPr>
        <w:pStyle w:val="Heading7"/>
      </w:pPr>
      <w:r>
        <w:rPr>
          <w:i/>
        </w:rPr>
        <w:t>You</w:t>
      </w:r>
      <w:r>
        <w:t xml:space="preserve"> may purchase a </w:t>
      </w:r>
      <w:r>
        <w:rPr>
          <w:i/>
        </w:rPr>
        <w:t>mobile phone</w:t>
      </w:r>
      <w:r>
        <w:t xml:space="preserve"> with a:</w:t>
      </w:r>
    </w:p>
    <w:p w14:paraId="28D34463" w14:textId="77777777" w:rsidR="000D07EA" w:rsidRDefault="00BE7C89">
      <w:pPr>
        <w:pStyle w:val="Heading8"/>
      </w:pPr>
      <w:r>
        <w:t xml:space="preserve">24 month </w:t>
      </w:r>
      <w:r>
        <w:rPr>
          <w:i/>
        </w:rPr>
        <w:t>equipment term</w:t>
      </w:r>
      <w:r>
        <w:t xml:space="preserve"> under a </w:t>
      </w:r>
      <w:r>
        <w:rPr>
          <w:i/>
        </w:rPr>
        <w:t>mobile equipment payment plan</w:t>
      </w:r>
      <w:r>
        <w:t xml:space="preserve"> on a 24 month </w:t>
      </w:r>
      <w:r>
        <w:rPr>
          <w:i/>
        </w:rPr>
        <w:t>fixed length agreement</w:t>
      </w:r>
      <w:r>
        <w:t xml:space="preserve">; or, </w:t>
      </w:r>
    </w:p>
    <w:p w14:paraId="4BF36082" w14:textId="77777777" w:rsidR="000D07EA" w:rsidRDefault="00BE7C89">
      <w:pPr>
        <w:pStyle w:val="Heading8"/>
      </w:pPr>
      <w:r>
        <w:t xml:space="preserve">12 month </w:t>
      </w:r>
      <w:r>
        <w:rPr>
          <w:i/>
        </w:rPr>
        <w:t>equipment term</w:t>
      </w:r>
      <w:r>
        <w:t xml:space="preserve"> under a </w:t>
      </w:r>
      <w:r>
        <w:rPr>
          <w:i/>
        </w:rPr>
        <w:t>mobile equipment payment plan</w:t>
      </w:r>
      <w:r>
        <w:t xml:space="preserve"> on a 12 month </w:t>
      </w:r>
      <w:r>
        <w:rPr>
          <w:i/>
        </w:rPr>
        <w:t>fixed length agreement</w:t>
      </w:r>
      <w:r>
        <w:t>.</w:t>
      </w:r>
    </w:p>
    <w:p w14:paraId="52CA2D33" w14:textId="77777777" w:rsidR="000D07EA" w:rsidRDefault="00BE7C89">
      <w:pPr>
        <w:pStyle w:val="Heading6"/>
      </w:pPr>
      <w:r>
        <w:t xml:space="preserve">What </w:t>
      </w:r>
      <w:r>
        <w:rPr>
          <w:i/>
        </w:rPr>
        <w:t>you</w:t>
      </w:r>
      <w:r>
        <w:t xml:space="preserve"> have to pay </w:t>
      </w:r>
      <w:r>
        <w:rPr>
          <w:i/>
        </w:rPr>
        <w:t>us</w:t>
      </w:r>
    </w:p>
    <w:p w14:paraId="3134CC6E" w14:textId="77777777" w:rsidR="000D07EA" w:rsidRDefault="00BE7C89">
      <w:pPr>
        <w:pStyle w:val="Heading7"/>
      </w:pPr>
      <w:r>
        <w:t xml:space="preserve">Subject to paragraphs below </w:t>
      </w:r>
      <w:r>
        <w:rPr>
          <w:i/>
        </w:rPr>
        <w:t>you</w:t>
      </w:r>
      <w:r>
        <w:t xml:space="preserve"> must pay </w:t>
      </w:r>
      <w:r>
        <w:rPr>
          <w:i/>
        </w:rPr>
        <w:t>us</w:t>
      </w:r>
      <w:r>
        <w:t xml:space="preserve"> for use of the </w:t>
      </w:r>
      <w:r>
        <w:rPr>
          <w:i/>
        </w:rPr>
        <w:t>service</w:t>
      </w:r>
      <w:r>
        <w:t xml:space="preserve"> at the rates set out in </w:t>
      </w:r>
      <w:hyperlink r:id="rId405" w:history="1">
        <w:r>
          <w:rPr>
            <w:rStyle w:val="Hyperlink"/>
          </w:rPr>
          <w:t>Section 1</w:t>
        </w:r>
      </w:hyperlink>
      <w:r>
        <w:t xml:space="preserve"> of this </w:t>
      </w:r>
      <w:r>
        <w:rPr>
          <w:i/>
        </w:rPr>
        <w:t>standard pricing table</w:t>
      </w:r>
      <w:r>
        <w:t xml:space="preserve"> and for </w:t>
      </w:r>
      <w:r>
        <w:rPr>
          <w:i/>
        </w:rPr>
        <w:t>value added service features</w:t>
      </w:r>
      <w:r>
        <w:t xml:space="preserve"> at the rates set out in </w:t>
      </w:r>
      <w:hyperlink r:id="rId406" w:history="1">
        <w:r>
          <w:rPr>
            <w:rStyle w:val="Hyperlink"/>
          </w:rPr>
          <w:t>Appendix Y</w:t>
        </w:r>
      </w:hyperlink>
      <w:r>
        <w:t xml:space="preserve"> Value Added Service Features.</w:t>
      </w:r>
    </w:p>
    <w:p w14:paraId="519355B3" w14:textId="77777777" w:rsidR="000D07EA" w:rsidRDefault="00BE7C89">
      <w:pPr>
        <w:pStyle w:val="Heading7"/>
      </w:pPr>
      <w:r>
        <w:t xml:space="preserve">If there is a </w:t>
      </w:r>
      <w:r>
        <w:rPr>
          <w:i/>
        </w:rPr>
        <w:t>flagfall</w:t>
      </w:r>
      <w:r>
        <w:t xml:space="preserve"> or call connection charge for a particular call type, the charge for these calls is the </w:t>
      </w:r>
      <w:r>
        <w:rPr>
          <w:i/>
        </w:rPr>
        <w:t>flagfall</w:t>
      </w:r>
      <w:r>
        <w:t xml:space="preserve"> charge plus the relevant rate for the call multiplied by the duration of the call.  </w:t>
      </w:r>
    </w:p>
    <w:p w14:paraId="1C4BA7A5" w14:textId="77777777" w:rsidR="000D07EA" w:rsidRDefault="00BE7C89">
      <w:pPr>
        <w:pStyle w:val="Heading7"/>
        <w:rPr>
          <w:b/>
        </w:rPr>
      </w:pPr>
      <w:r>
        <w:rPr>
          <w:b/>
        </w:rPr>
        <w:t>Minimum Monthly Charge</w:t>
      </w:r>
    </w:p>
    <w:p w14:paraId="1D6B22D6" w14:textId="77777777" w:rsidR="000D07EA" w:rsidRDefault="00BE7C89">
      <w:pPr>
        <w:pStyle w:val="Heading8"/>
      </w:pPr>
      <w:r>
        <w:t xml:space="preserve">The $89 Business Timeless Plan has a Minimum Monthly Charge amount that </w:t>
      </w:r>
      <w:r>
        <w:rPr>
          <w:i/>
        </w:rPr>
        <w:t>you</w:t>
      </w:r>
      <w:r>
        <w:t xml:space="preserve"> must pay us each month. </w:t>
      </w:r>
    </w:p>
    <w:p w14:paraId="32242091" w14:textId="77777777" w:rsidR="000D07EA" w:rsidRDefault="00BE7C89">
      <w:pPr>
        <w:pStyle w:val="Heading8"/>
      </w:pPr>
      <w:r>
        <w:t>The amount of the Minimum Monthly Charge for the $89 Business Timeless Plan is set out in Table 3A below.</w:t>
      </w:r>
    </w:p>
    <w:p w14:paraId="2F0236B0" w14:textId="77777777" w:rsidR="000D07EA" w:rsidRDefault="00BE7C89">
      <w:pPr>
        <w:pStyle w:val="Heading8"/>
      </w:pPr>
      <w:r>
        <w:rPr>
          <w:i/>
        </w:rPr>
        <w:t>You</w:t>
      </w:r>
      <w:r>
        <w:t xml:space="preserve"> must pay </w:t>
      </w:r>
      <w:r>
        <w:rPr>
          <w:i/>
        </w:rPr>
        <w:t>us</w:t>
      </w:r>
      <w:r>
        <w:t xml:space="preserve"> for any calls or usages that are not eligible calls or usage.</w:t>
      </w:r>
    </w:p>
    <w:p w14:paraId="02F8D9E1" w14:textId="77777777" w:rsidR="000D07EA" w:rsidRDefault="00BE7C89">
      <w:pPr>
        <w:pStyle w:val="Heading7"/>
        <w:rPr>
          <w:b/>
        </w:rPr>
      </w:pPr>
      <w:r>
        <w:rPr>
          <w:b/>
        </w:rPr>
        <w:t xml:space="preserve">Unlimited Call Offer </w:t>
      </w:r>
    </w:p>
    <w:p w14:paraId="1FCB3B59" w14:textId="77777777" w:rsidR="000D07EA" w:rsidRDefault="00BE7C89">
      <w:pPr>
        <w:pStyle w:val="Heading8"/>
      </w:pPr>
      <w:r>
        <w:t xml:space="preserve">Under the $89 Business Timeless Plan, </w:t>
      </w:r>
      <w:r>
        <w:rPr>
          <w:i/>
        </w:rPr>
        <w:t>you</w:t>
      </w:r>
      <w:r>
        <w:t xml:space="preserve"> will receive Unlimited Standard National SMS &amp; MMS, Voice &amp; Video Calls to Australian fixed lines and Australian GSM mobiles (excluding Pivotel) and Voicemail deposits and retrievals, to use within Australia.</w:t>
      </w:r>
    </w:p>
    <w:p w14:paraId="52B0780F" w14:textId="77777777" w:rsidR="000D07EA" w:rsidRDefault="00BE7C89">
      <w:pPr>
        <w:pStyle w:val="Heading8"/>
      </w:pPr>
      <w:r>
        <w:t xml:space="preserve">The call, message types and usage that are eligible for the $89 Business Timeless Plan are defined in Table 1A below.  </w:t>
      </w:r>
    </w:p>
    <w:p w14:paraId="56FAC72B" w14:textId="77777777" w:rsidR="000D07EA" w:rsidRDefault="00BE7C89">
      <w:pPr>
        <w:pStyle w:val="Heading8"/>
      </w:pPr>
      <w:r>
        <w:rPr>
          <w:i/>
        </w:rPr>
        <w:t>You</w:t>
      </w:r>
      <w:r>
        <w:t xml:space="preserve"> must pay for any calls, messages or usage that are not eligible calls or message types.</w:t>
      </w:r>
    </w:p>
    <w:p w14:paraId="6DB78FCA" w14:textId="77777777" w:rsidR="000D07EA" w:rsidRDefault="00BE7C89">
      <w:pPr>
        <w:pStyle w:val="Heading8"/>
      </w:pPr>
      <w:r>
        <w:t xml:space="preserve">The Fair Go policy applies. Please refer to </w:t>
      </w:r>
      <w:hyperlink r:id="rId407" w:history="1">
        <w:r w:rsidR="008D6257">
          <w:rPr>
            <w:rStyle w:val="Hyperlink"/>
            <w:i/>
          </w:rPr>
          <w:t>Appendix S</w:t>
        </w:r>
      </w:hyperlink>
      <w:r>
        <w:t xml:space="preserve">for further details </w:t>
      </w:r>
    </w:p>
    <w:p w14:paraId="36142A0D" w14:textId="77777777" w:rsidR="000D07EA" w:rsidRDefault="00BE7C89">
      <w:pPr>
        <w:pStyle w:val="Heading7"/>
        <w:rPr>
          <w:b/>
        </w:rPr>
      </w:pPr>
      <w:r>
        <w:rPr>
          <w:b/>
        </w:rPr>
        <w:t>Unlimited mobile access to Facebook®, Twitter, LinkedIn, Ebay, Four Square, MySpace</w:t>
      </w:r>
    </w:p>
    <w:p w14:paraId="3E9DFD54" w14:textId="77777777" w:rsidR="000D07EA" w:rsidRDefault="00BE7C89">
      <w:pPr>
        <w:pStyle w:val="Heading8"/>
      </w:pPr>
      <w:r>
        <w:t xml:space="preserve">Under the $89 Business Timeless Plans, </w:t>
      </w:r>
      <w:r>
        <w:rPr>
          <w:i/>
        </w:rPr>
        <w:t>you</w:t>
      </w:r>
      <w:r>
        <w:t xml:space="preserve"> will receive unlimited mobile access to Facebook®, Twitter, LinkedIn, Ebay, Four Square, MySpace within Australia. </w:t>
      </w:r>
    </w:p>
    <w:p w14:paraId="4E0C59BB" w14:textId="77777777" w:rsidR="000D07EA" w:rsidRDefault="00BE7C89">
      <w:pPr>
        <w:pStyle w:val="Heading8"/>
      </w:pPr>
      <w:r>
        <w:lastRenderedPageBreak/>
        <w:t>These features are only available to you if your handset is compatible with the service. Unlimited access to LinkedIn not available to handsets using BlackBerry OS7 operating system.</w:t>
      </w:r>
    </w:p>
    <w:p w14:paraId="4ADB2915" w14:textId="77777777" w:rsidR="000D07EA" w:rsidRDefault="00BE7C89">
      <w:pPr>
        <w:pStyle w:val="Heading8"/>
      </w:pPr>
      <w:r>
        <w:t xml:space="preserve">The Fair Go policy applies. Please refer to </w:t>
      </w:r>
      <w:hyperlink r:id="rId408" w:history="1">
        <w:r w:rsidR="008D6257">
          <w:rPr>
            <w:rStyle w:val="Hyperlink"/>
            <w:i/>
          </w:rPr>
          <w:t>Appendix S</w:t>
        </w:r>
      </w:hyperlink>
      <w:r>
        <w:t xml:space="preserve"> for further details.</w:t>
      </w:r>
    </w:p>
    <w:p w14:paraId="54C3F5C7" w14:textId="77777777" w:rsidR="000D07EA" w:rsidRDefault="00BE7C89">
      <w:pPr>
        <w:pStyle w:val="Heading7"/>
        <w:rPr>
          <w:b/>
        </w:rPr>
      </w:pPr>
      <w:r>
        <w:rPr>
          <w:b/>
        </w:rPr>
        <w:t>Included Mobile Internet Data Value or Unlimited BlackBerry POP3 Email and Browsing through the BlackBerry Browser</w:t>
      </w:r>
    </w:p>
    <w:p w14:paraId="7CB8A363" w14:textId="77777777" w:rsidR="000D07EA" w:rsidRDefault="00BE7C89">
      <w:pPr>
        <w:pStyle w:val="Heading8"/>
      </w:pPr>
      <w:r>
        <w:t xml:space="preserve">Under the $89 Business Timeless Plans, </w:t>
      </w:r>
      <w:r>
        <w:rPr>
          <w:i/>
        </w:rPr>
        <w:t>you</w:t>
      </w:r>
      <w:r>
        <w:t xml:space="preserve"> can choose from </w:t>
      </w:r>
    </w:p>
    <w:p w14:paraId="526113D6" w14:textId="77777777" w:rsidR="000D07EA" w:rsidRDefault="00BE7C89">
      <w:pPr>
        <w:pStyle w:val="Heading9"/>
      </w:pPr>
      <w:r>
        <w:t>Included Mobile Internet Data Value; or</w:t>
      </w:r>
    </w:p>
    <w:p w14:paraId="7142D0C8" w14:textId="77777777" w:rsidR="000D07EA" w:rsidRDefault="00BE7C89">
      <w:pPr>
        <w:pStyle w:val="Heading9"/>
      </w:pPr>
      <w:r>
        <w:t xml:space="preserve">Unlimited BlackBerry POP3 Email and Browsing through the BlackBerry Browser to use within Australia. </w:t>
      </w:r>
    </w:p>
    <w:p w14:paraId="2B5072E8" w14:textId="77777777" w:rsidR="000D07EA" w:rsidRDefault="00BE7C89">
      <w:pPr>
        <w:pStyle w:val="Heading8"/>
      </w:pPr>
      <w:r>
        <w:t xml:space="preserve">If </w:t>
      </w:r>
      <w:r>
        <w:rPr>
          <w:i/>
        </w:rPr>
        <w:t>you</w:t>
      </w:r>
      <w:r>
        <w:t xml:space="preserve"> select the included Mobile Internet Data Value option:</w:t>
      </w:r>
    </w:p>
    <w:p w14:paraId="4854F7A3" w14:textId="77777777" w:rsidR="000D07EA" w:rsidRDefault="00BE7C89">
      <w:pPr>
        <w:pStyle w:val="Heading9"/>
      </w:pPr>
      <w:r>
        <w:t>The amount of the "Mobile Internet Data Value" included, to use within Australia, for the $89 Business Timeless Plan is set out in Table 3A below.</w:t>
      </w:r>
    </w:p>
    <w:p w14:paraId="7EACFB62" w14:textId="77777777" w:rsidR="000D07EA" w:rsidRDefault="00BE7C89">
      <w:pPr>
        <w:pStyle w:val="Heading9"/>
      </w:pPr>
      <w:r>
        <w:t>The usage types that are 'eligible data' for the $89 Business Timeless Plan under the included Mobile Internet Data Value are defined in Table 2A below.</w:t>
      </w:r>
    </w:p>
    <w:p w14:paraId="4D34D044" w14:textId="77777777" w:rsidR="000D07EA" w:rsidRDefault="00BE7C89">
      <w:pPr>
        <w:pStyle w:val="Heading9"/>
      </w:pPr>
      <w:r>
        <w:t>The included data of the $89 Business Timeless plan can be shared with an eligible Business Mobile Broadband service and can only be used within Australia.</w:t>
      </w:r>
    </w:p>
    <w:p w14:paraId="7E26AFAB" w14:textId="77777777" w:rsidR="000D07EA" w:rsidRDefault="00BE7C89">
      <w:pPr>
        <w:pStyle w:val="Heading9"/>
      </w:pPr>
      <w:r>
        <w:rPr>
          <w:i/>
        </w:rPr>
        <w:t>You</w:t>
      </w:r>
      <w:r>
        <w:t xml:space="preserve"> must pay </w:t>
      </w:r>
      <w:r>
        <w:rPr>
          <w:i/>
        </w:rPr>
        <w:t>us</w:t>
      </w:r>
      <w:r>
        <w:t xml:space="preserve"> excess usage charges for data used beyond the available "Mobile Internet Data Value" as shown in Table 3A below. </w:t>
      </w:r>
    </w:p>
    <w:p w14:paraId="2D2E33B3" w14:textId="77777777" w:rsidR="000D07EA" w:rsidRDefault="00BE7C89">
      <w:pPr>
        <w:pStyle w:val="Heading9"/>
      </w:pPr>
      <w:r>
        <w:t xml:space="preserve">Any unused portion of the "Mobile Internet Data Value" expires at the end of each month and does not rollover into the following month.   </w:t>
      </w:r>
    </w:p>
    <w:p w14:paraId="6082282D" w14:textId="77777777" w:rsidR="000D07EA" w:rsidRDefault="00BE7C89">
      <w:pPr>
        <w:pStyle w:val="Heading8"/>
      </w:pPr>
      <w:r>
        <w:t xml:space="preserve">If </w:t>
      </w:r>
      <w:r>
        <w:rPr>
          <w:i/>
        </w:rPr>
        <w:t>you</w:t>
      </w:r>
      <w:r>
        <w:t xml:space="preserve"> select the Unlimited BlackBerry POP3 Email and Browsing through the BlackBerry Browser option:</w:t>
      </w:r>
    </w:p>
    <w:p w14:paraId="7C4C317E" w14:textId="77777777" w:rsidR="000D07EA" w:rsidRDefault="00BE7C89">
      <w:pPr>
        <w:pStyle w:val="Heading9"/>
      </w:pPr>
      <w:r>
        <w:rPr>
          <w:i/>
        </w:rPr>
        <w:t>You</w:t>
      </w:r>
      <w:r>
        <w:t xml:space="preserve"> will only receive unlimited BlackBerry POP3 Email and Browsing through the BlackBerry Internet Browser or the BlackBerry Browser and use of applications from Optus and third party applications that require a BlackBerry Data connection, within Australia.</w:t>
      </w:r>
    </w:p>
    <w:p w14:paraId="1213A53D" w14:textId="77777777" w:rsidR="000D07EA" w:rsidRDefault="00BE7C89">
      <w:pPr>
        <w:pStyle w:val="Heading9"/>
      </w:pPr>
      <w:r>
        <w:rPr>
          <w:i/>
        </w:rPr>
        <w:t>You</w:t>
      </w:r>
      <w:r>
        <w:t xml:space="preserve"> will also receive an amount of 'Mobile Internet Data Value' which is set out in Table 3A below.</w:t>
      </w:r>
    </w:p>
    <w:p w14:paraId="16B6CF62" w14:textId="77777777" w:rsidR="000D07EA" w:rsidRDefault="00BE7C89">
      <w:pPr>
        <w:pStyle w:val="Heading9"/>
      </w:pPr>
      <w:r>
        <w:t>The included data of the $89 Business Timeless plan can be shared with an eligible Business Mobile Broadband service.</w:t>
      </w:r>
    </w:p>
    <w:p w14:paraId="7E3E9B3E" w14:textId="77777777" w:rsidR="000D07EA" w:rsidRDefault="00BE7C89">
      <w:pPr>
        <w:pStyle w:val="Heading9"/>
      </w:pPr>
      <w:r>
        <w:rPr>
          <w:i/>
        </w:rPr>
        <w:t>You</w:t>
      </w:r>
      <w:r>
        <w:t xml:space="preserve"> must pay </w:t>
      </w:r>
      <w:r>
        <w:rPr>
          <w:i/>
        </w:rPr>
        <w:t>us</w:t>
      </w:r>
      <w:r>
        <w:t xml:space="preserve"> excess usage charges for data made beyond the available 'Mobile Internet Data Value'.</w:t>
      </w:r>
    </w:p>
    <w:p w14:paraId="42D6A604" w14:textId="77777777" w:rsidR="000D07EA" w:rsidRDefault="00BE7C89">
      <w:pPr>
        <w:pStyle w:val="Heading9"/>
      </w:pPr>
      <w:r>
        <w:t>Any unused portion of the 'Mobile Internet Data Value' expires at the end of each month and does not roll over into the following month.</w:t>
      </w:r>
    </w:p>
    <w:p w14:paraId="3FABB11C" w14:textId="77777777" w:rsidR="000D07EA" w:rsidRDefault="00BE7C89">
      <w:pPr>
        <w:pStyle w:val="Heading9"/>
      </w:pPr>
      <w:r>
        <w:t>The usage types that are '</w:t>
      </w:r>
      <w:r>
        <w:rPr>
          <w:b/>
        </w:rPr>
        <w:t>eligible data</w:t>
      </w:r>
      <w:r>
        <w:t>' for the $89 Business Timeless Plan under the Unlimited BlackBerry POP3 Email and Browsing through the BlackBerry Browser are defined in Table 2B below.</w:t>
      </w:r>
    </w:p>
    <w:p w14:paraId="38B647DA" w14:textId="77777777" w:rsidR="000D07EA" w:rsidRDefault="00BE7C89">
      <w:pPr>
        <w:pStyle w:val="Heading9"/>
      </w:pPr>
      <w:r>
        <w:t>Use of Unlimited BlackBerry POP3 Email is for personal or business use. The Fair Go Policy (</w:t>
      </w:r>
      <w:hyperlink r:id="rId409" w:history="1">
        <w:r>
          <w:rPr>
            <w:rStyle w:val="Hyperlink"/>
            <w:i/>
          </w:rPr>
          <w:t>Appendix S</w:t>
        </w:r>
      </w:hyperlink>
      <w:r>
        <w:t xml:space="preserve">) also applies to unacceptable use. Please refer to </w:t>
      </w:r>
      <w:hyperlink r:id="rId410" w:history="1">
        <w:r w:rsidR="008D6257">
          <w:rPr>
            <w:rStyle w:val="Hyperlink"/>
            <w:i/>
          </w:rPr>
          <w:t>Appendix S</w:t>
        </w:r>
      </w:hyperlink>
      <w:r>
        <w:t xml:space="preserve"> for further details.</w:t>
      </w:r>
    </w:p>
    <w:p w14:paraId="43EF5761" w14:textId="77777777" w:rsidR="000D07EA" w:rsidRDefault="00BE7C89">
      <w:pPr>
        <w:pStyle w:val="Heading7"/>
        <w:rPr>
          <w:b/>
        </w:rPr>
      </w:pPr>
      <w:r>
        <w:rPr>
          <w:b/>
        </w:rPr>
        <w:t>Additional benefit - Handset Credit</w:t>
      </w:r>
    </w:p>
    <w:p w14:paraId="4FF7EE44" w14:textId="77777777" w:rsidR="000D07EA" w:rsidRDefault="00BE7C89">
      <w:pPr>
        <w:pStyle w:val="Heading8"/>
      </w:pPr>
      <w:r>
        <w:lastRenderedPageBreak/>
        <w:t xml:space="preserve">If </w:t>
      </w:r>
      <w:r>
        <w:rPr>
          <w:i/>
        </w:rPr>
        <w:t>you</w:t>
      </w:r>
      <w:r>
        <w:t>:</w:t>
      </w:r>
    </w:p>
    <w:p w14:paraId="757C9239" w14:textId="77777777" w:rsidR="000D07EA" w:rsidRDefault="00BE7C89">
      <w:pPr>
        <w:pStyle w:val="Heading9"/>
      </w:pPr>
      <w:r>
        <w:t xml:space="preserve">connect to the $89 Business Timeless (Feb-12 Premium H/set) plan on a 12 month or 24 month </w:t>
      </w:r>
      <w:r>
        <w:rPr>
          <w:i/>
        </w:rPr>
        <w:t>minimum term</w:t>
      </w:r>
      <w:r>
        <w:t xml:space="preserve">; and </w:t>
      </w:r>
    </w:p>
    <w:p w14:paraId="470287A6" w14:textId="77777777" w:rsidR="000D07EA" w:rsidRDefault="00BE7C89">
      <w:pPr>
        <w:pStyle w:val="Heading9"/>
      </w:pPr>
      <w:r>
        <w:t xml:space="preserve">purchase a </w:t>
      </w:r>
      <w:r>
        <w:rPr>
          <w:i/>
        </w:rPr>
        <w:t>mobile phone</w:t>
      </w:r>
      <w:r>
        <w:t xml:space="preserve"> with a 12 month or 24 month </w:t>
      </w:r>
      <w:r>
        <w:rPr>
          <w:i/>
        </w:rPr>
        <w:t>equipment term</w:t>
      </w:r>
      <w:r>
        <w:t xml:space="preserve"> under a </w:t>
      </w:r>
      <w:r>
        <w:rPr>
          <w:i/>
        </w:rPr>
        <w:t>mobile equipment payment plan</w:t>
      </w:r>
      <w:r>
        <w:t xml:space="preserve">, depending on </w:t>
      </w:r>
      <w:r>
        <w:rPr>
          <w:i/>
        </w:rPr>
        <w:t>your pricing plan</w:t>
      </w:r>
      <w:r>
        <w:t xml:space="preserve">, </w:t>
      </w:r>
      <w:r>
        <w:rPr>
          <w:i/>
        </w:rPr>
        <w:t>you</w:t>
      </w:r>
      <w:r>
        <w:t xml:space="preserve"> will receive an amount to offset the cost of your </w:t>
      </w:r>
      <w:r>
        <w:rPr>
          <w:i/>
        </w:rPr>
        <w:t>mobile phone</w:t>
      </w:r>
      <w:r>
        <w:t xml:space="preserve"> (</w:t>
      </w:r>
      <w:r>
        <w:rPr>
          <w:b/>
        </w:rPr>
        <w:t>Handset Credit</w:t>
      </w:r>
      <w:r>
        <w:t xml:space="preserve">) of up to $20 for each month for the contracted period of </w:t>
      </w:r>
      <w:r>
        <w:rPr>
          <w:i/>
        </w:rPr>
        <w:t>your</w:t>
      </w:r>
      <w:r>
        <w:t xml:space="preserve"> selected plan to put towards reducing the monthly repayment costs of the handset (if any). </w:t>
      </w:r>
    </w:p>
    <w:p w14:paraId="471AB75B" w14:textId="77777777" w:rsidR="000D07EA" w:rsidRDefault="00BE7C89">
      <w:pPr>
        <w:pStyle w:val="Heading9"/>
      </w:pPr>
      <w:r>
        <w:t xml:space="preserve">If </w:t>
      </w:r>
      <w:r>
        <w:rPr>
          <w:i/>
        </w:rPr>
        <w:t>you</w:t>
      </w:r>
      <w:r>
        <w:t xml:space="preserve"> cancel </w:t>
      </w:r>
      <w:r>
        <w:rPr>
          <w:i/>
        </w:rPr>
        <w:t>your</w:t>
      </w:r>
      <w:r>
        <w:t xml:space="preserve"> plan and/or the </w:t>
      </w:r>
      <w:r>
        <w:rPr>
          <w:i/>
        </w:rPr>
        <w:t>mobile equipment payment plan</w:t>
      </w:r>
      <w:r>
        <w:t xml:space="preserve"> during the contracted period, you will no longer be entitled to the Handset Credit and you must pay the remaining mobile equipment payment in addition to any cancellation fee required by </w:t>
      </w:r>
      <w:r w:rsidRPr="00272628">
        <w:t xml:space="preserve">clause </w:t>
      </w:r>
      <w:r w:rsidR="004B6163" w:rsidRPr="00272628">
        <w:t>99</w:t>
      </w:r>
      <w:r w:rsidRPr="00272628">
        <w:t>.7.</w:t>
      </w:r>
    </w:p>
    <w:p w14:paraId="66F905E8" w14:textId="77777777" w:rsidR="000D07EA" w:rsidRDefault="00BE7C89">
      <w:pPr>
        <w:pStyle w:val="Heading7"/>
        <w:rPr>
          <w:b/>
        </w:rPr>
      </w:pPr>
      <w:r>
        <w:rPr>
          <w:b/>
        </w:rPr>
        <w:t>Other $89 Business Timeless Plan Conditions and Offers</w:t>
      </w:r>
    </w:p>
    <w:p w14:paraId="7A648C0A" w14:textId="77777777" w:rsidR="000D07EA" w:rsidRDefault="00BE7C89">
      <w:pPr>
        <w:pStyle w:val="Heading8"/>
      </w:pPr>
      <w:r>
        <w:t xml:space="preserve">Available features will vary depending on </w:t>
      </w:r>
      <w:r>
        <w:rPr>
          <w:i/>
        </w:rPr>
        <w:t>your</w:t>
      </w:r>
      <w:r>
        <w:t xml:space="preserve"> handset or software version.</w:t>
      </w:r>
    </w:p>
    <w:p w14:paraId="7E5D5803" w14:textId="77777777" w:rsidR="000D07EA" w:rsidRDefault="00BE7C89">
      <w:pPr>
        <w:pStyle w:val="Heading8"/>
      </w:pPr>
      <w:r>
        <w:t>The Fair Go Policy (</w:t>
      </w:r>
      <w:hyperlink r:id="rId411" w:history="1">
        <w:r>
          <w:rPr>
            <w:rStyle w:val="Hyperlink"/>
            <w:i/>
          </w:rPr>
          <w:t>Appendix S</w:t>
        </w:r>
      </w:hyperlink>
      <w:r>
        <w:t xml:space="preserve">) applies to: Voice Over Internet Protocol (VOIP) services up to 10 megabytes per month. Please refer to </w:t>
      </w:r>
      <w:hyperlink r:id="rId412" w:history="1">
        <w:r w:rsidR="008D6257">
          <w:rPr>
            <w:rStyle w:val="Hyperlink"/>
            <w:i/>
          </w:rPr>
          <w:t>Appendix S</w:t>
        </w:r>
      </w:hyperlink>
      <w:r>
        <w:t>.</w:t>
      </w:r>
    </w:p>
    <w:p w14:paraId="5E065902" w14:textId="77777777" w:rsidR="000D07EA" w:rsidRDefault="00BE7C89">
      <w:pPr>
        <w:pStyle w:val="Heading8"/>
      </w:pPr>
      <w:r>
        <w:t xml:space="preserve">Voice Over Internet Protocol (VOIP) services will be charged at 1.5c per kilobyte of usage, capped at $9.90 per month until </w:t>
      </w:r>
      <w:r>
        <w:rPr>
          <w:i/>
        </w:rPr>
        <w:t>you</w:t>
      </w:r>
      <w:r>
        <w:t xml:space="preserve"> reach 5 megabytes of usage in that month, after which </w:t>
      </w:r>
      <w:r>
        <w:rPr>
          <w:i/>
        </w:rPr>
        <w:t>you</w:t>
      </w:r>
      <w:r>
        <w:t xml:space="preserve"> will be charged at 0.3c per kilobyte of usage for the remainder of that month.</w:t>
      </w:r>
    </w:p>
    <w:p w14:paraId="34918D8D" w14:textId="77777777" w:rsidR="000D07EA" w:rsidRDefault="00BE7C89">
      <w:pPr>
        <w:pStyle w:val="Heading7"/>
        <w:rPr>
          <w:b/>
        </w:rPr>
      </w:pPr>
      <w:r>
        <w:rPr>
          <w:b/>
        </w:rPr>
        <w:t>Eligible Calls, Messages and Pricing Plans</w:t>
      </w:r>
    </w:p>
    <w:p w14:paraId="4EF01C4F" w14:textId="77777777" w:rsidR="000D07EA" w:rsidRDefault="00BE7C89">
      <w:pPr>
        <w:pStyle w:val="Heading8"/>
      </w:pPr>
      <w:r>
        <w:t>Table 1A below indicates whether a particular call or message type is 'eligible' in the unlimited offer for the $89 Business Timeless Plan.</w:t>
      </w:r>
    </w:p>
    <w:p w14:paraId="6C7AE47A" w14:textId="77777777" w:rsidR="000D07EA" w:rsidRDefault="00BE7C89">
      <w:pPr>
        <w:pStyle w:val="Heading8"/>
      </w:pPr>
      <w:r>
        <w:t xml:space="preserve">Table 2A below indicates whether a particular data type is 'eligible data usage' which counts towards the Included Mobile Internet Data value of the $89 Business Timeless Plan. </w:t>
      </w:r>
    </w:p>
    <w:p w14:paraId="419C1E19" w14:textId="77777777" w:rsidR="000D07EA" w:rsidRDefault="00BE7C89">
      <w:pPr>
        <w:pStyle w:val="Heading8"/>
      </w:pPr>
      <w:r>
        <w:t>Table 2B below indicates whether a particular data type is 'eligible data usage' which counts towards the Unlimited BlackBerry POP3 Email and Browsing through the BlackBerry Browser value of the $89 Business Timeless Plan.</w:t>
      </w:r>
    </w:p>
    <w:p w14:paraId="1D3B6FA3" w14:textId="77777777" w:rsidR="000D07EA" w:rsidRDefault="00BE7C89">
      <w:pPr>
        <w:pStyle w:val="Heading8"/>
      </w:pPr>
      <w:r>
        <w:t>Table 3A below contains pricing details of the $89 Business Timeless Plan.</w:t>
      </w:r>
    </w:p>
    <w:p w14:paraId="0C368FCB" w14:textId="77777777" w:rsidR="000D07EA" w:rsidRDefault="00BE7C89">
      <w:pPr>
        <w:pStyle w:val="BodyText"/>
        <w:keepNext/>
        <w:ind w:left="720"/>
        <w:rPr>
          <w:b/>
        </w:rPr>
      </w:pPr>
      <w:r>
        <w:rPr>
          <w:b/>
        </w:rPr>
        <w:t>Table 1A – Eligible Calls</w:t>
      </w: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730"/>
        <w:gridCol w:w="4731"/>
      </w:tblGrid>
      <w:tr w:rsidR="000D07EA" w14:paraId="194C4219" w14:textId="77777777">
        <w:trPr>
          <w:tblHeader/>
        </w:trPr>
        <w:tc>
          <w:tcPr>
            <w:tcW w:w="2500" w:type="pct"/>
          </w:tcPr>
          <w:p w14:paraId="24370E7A" w14:textId="77777777" w:rsidR="000D07EA" w:rsidRDefault="00BE7C89">
            <w:pPr>
              <w:pStyle w:val="BodyText"/>
              <w:keepNext/>
              <w:spacing w:before="100" w:after="100"/>
              <w:rPr>
                <w:b/>
              </w:rPr>
            </w:pPr>
            <w:r>
              <w:rPr>
                <w:b/>
              </w:rPr>
              <w:t>Call Type</w:t>
            </w:r>
          </w:p>
        </w:tc>
        <w:tc>
          <w:tcPr>
            <w:tcW w:w="2500" w:type="pct"/>
          </w:tcPr>
          <w:p w14:paraId="6F332CD8" w14:textId="77777777" w:rsidR="000D07EA" w:rsidRDefault="00BE7C89">
            <w:pPr>
              <w:pStyle w:val="BodyText"/>
              <w:keepNext/>
              <w:spacing w:before="100" w:after="100"/>
              <w:jc w:val="center"/>
              <w:rPr>
                <w:b/>
              </w:rPr>
            </w:pPr>
            <w:r>
              <w:rPr>
                <w:b/>
              </w:rPr>
              <w:t>Eligible Call</w:t>
            </w:r>
          </w:p>
        </w:tc>
      </w:tr>
      <w:tr w:rsidR="000D07EA" w14:paraId="6C25544B" w14:textId="77777777">
        <w:trPr>
          <w:tblHeader/>
        </w:trPr>
        <w:tc>
          <w:tcPr>
            <w:tcW w:w="2500" w:type="pct"/>
          </w:tcPr>
          <w:p w14:paraId="1D9074A7" w14:textId="77777777" w:rsidR="000D07EA" w:rsidRDefault="000D07EA">
            <w:pPr>
              <w:pStyle w:val="BodyText"/>
              <w:keepNext/>
              <w:spacing w:before="100" w:after="100"/>
              <w:rPr>
                <w:b/>
              </w:rPr>
            </w:pPr>
          </w:p>
        </w:tc>
        <w:tc>
          <w:tcPr>
            <w:tcW w:w="2500" w:type="pct"/>
          </w:tcPr>
          <w:p w14:paraId="49D7EDA7" w14:textId="77777777" w:rsidR="000D07EA" w:rsidRDefault="00BE7C89">
            <w:pPr>
              <w:pStyle w:val="BodyText"/>
              <w:keepNext/>
              <w:spacing w:before="100" w:after="100"/>
              <w:jc w:val="center"/>
              <w:rPr>
                <w:b/>
              </w:rPr>
            </w:pPr>
            <w:r>
              <w:rPr>
                <w:b/>
              </w:rPr>
              <w:t>$89 Business Timeless (Feb-12)</w:t>
            </w:r>
          </w:p>
          <w:p w14:paraId="7BC50857" w14:textId="77777777" w:rsidR="000D07EA" w:rsidRDefault="00BE7C89">
            <w:pPr>
              <w:pStyle w:val="BodyText"/>
              <w:keepNext/>
              <w:spacing w:before="100" w:after="100"/>
              <w:jc w:val="center"/>
              <w:rPr>
                <w:b/>
              </w:rPr>
            </w:pPr>
            <w:r>
              <w:rPr>
                <w:b/>
              </w:rPr>
              <w:t>AND</w:t>
            </w:r>
          </w:p>
          <w:p w14:paraId="50DDE84B" w14:textId="77777777" w:rsidR="000D07EA" w:rsidRDefault="00BE7C89">
            <w:pPr>
              <w:pStyle w:val="BodyText"/>
              <w:keepNext/>
              <w:spacing w:before="100" w:after="100"/>
              <w:jc w:val="center"/>
              <w:rPr>
                <w:b/>
              </w:rPr>
            </w:pPr>
            <w:r>
              <w:rPr>
                <w:b/>
              </w:rPr>
              <w:t>$89 Business Timeless (Feb-12 - Premium H/S)</w:t>
            </w:r>
          </w:p>
        </w:tc>
      </w:tr>
      <w:tr w:rsidR="000D07EA" w14:paraId="316BE9A6" w14:textId="77777777">
        <w:tc>
          <w:tcPr>
            <w:tcW w:w="2500" w:type="pct"/>
          </w:tcPr>
          <w:p w14:paraId="6F1FB349" w14:textId="77777777" w:rsidR="000D07EA" w:rsidRDefault="00BE7C89">
            <w:pPr>
              <w:pStyle w:val="BodyText"/>
              <w:spacing w:before="100" w:after="100"/>
            </w:pPr>
            <w:r>
              <w:t>Standard National Voice Calls</w:t>
            </w:r>
          </w:p>
        </w:tc>
        <w:tc>
          <w:tcPr>
            <w:tcW w:w="2500" w:type="pct"/>
          </w:tcPr>
          <w:p w14:paraId="2E2DE30B" w14:textId="77777777" w:rsidR="000D07EA" w:rsidRDefault="00BE7C89">
            <w:pPr>
              <w:pStyle w:val="BodyText"/>
              <w:spacing w:before="100" w:after="100"/>
              <w:jc w:val="center"/>
            </w:pPr>
            <w:r>
              <w:t>Yes</w:t>
            </w:r>
          </w:p>
        </w:tc>
      </w:tr>
      <w:tr w:rsidR="000D07EA" w14:paraId="5C0B1A17" w14:textId="77777777">
        <w:tc>
          <w:tcPr>
            <w:tcW w:w="2500" w:type="pct"/>
          </w:tcPr>
          <w:p w14:paraId="13EF582E" w14:textId="77777777" w:rsidR="000D07EA" w:rsidRDefault="00BE7C89">
            <w:pPr>
              <w:pStyle w:val="BodyText"/>
              <w:spacing w:before="100" w:after="100"/>
            </w:pPr>
            <w:r>
              <w:t>Standard National Video Calls</w:t>
            </w:r>
          </w:p>
        </w:tc>
        <w:tc>
          <w:tcPr>
            <w:tcW w:w="2500" w:type="pct"/>
          </w:tcPr>
          <w:p w14:paraId="60168C24" w14:textId="77777777" w:rsidR="000D07EA" w:rsidRDefault="00BE7C89">
            <w:pPr>
              <w:pStyle w:val="BodyText"/>
              <w:spacing w:before="100" w:after="100"/>
              <w:jc w:val="center"/>
            </w:pPr>
            <w:r>
              <w:t>Yes</w:t>
            </w:r>
          </w:p>
        </w:tc>
      </w:tr>
      <w:tr w:rsidR="000D07EA" w14:paraId="4F30947E" w14:textId="77777777">
        <w:tc>
          <w:tcPr>
            <w:tcW w:w="2500" w:type="pct"/>
          </w:tcPr>
          <w:p w14:paraId="30F4DC77" w14:textId="77777777" w:rsidR="000D07EA" w:rsidRDefault="00BE7C89">
            <w:pPr>
              <w:pStyle w:val="BodyText"/>
              <w:spacing w:before="100" w:after="100"/>
            </w:pPr>
            <w:r>
              <w:t>International Voice Calls</w:t>
            </w:r>
          </w:p>
          <w:p w14:paraId="3CBAA197" w14:textId="77777777" w:rsidR="000D07EA" w:rsidRDefault="00BE7C89">
            <w:pPr>
              <w:pStyle w:val="BodyText"/>
              <w:spacing w:before="100" w:after="100"/>
            </w:pPr>
            <w:r>
              <w:rPr>
                <w:snapToGrid w:val="0"/>
              </w:rPr>
              <w:t>(includes calls to national fixed or GSM mobile services that then divert/switch or re-route overseas)</w:t>
            </w:r>
          </w:p>
        </w:tc>
        <w:tc>
          <w:tcPr>
            <w:tcW w:w="2500" w:type="pct"/>
          </w:tcPr>
          <w:p w14:paraId="5ED5E7F5" w14:textId="77777777" w:rsidR="000D07EA" w:rsidRDefault="00BE7C89">
            <w:pPr>
              <w:pStyle w:val="BodyText"/>
              <w:spacing w:before="100" w:after="100"/>
              <w:jc w:val="center"/>
            </w:pPr>
            <w:r>
              <w:t>No</w:t>
            </w:r>
          </w:p>
        </w:tc>
      </w:tr>
      <w:tr w:rsidR="000D07EA" w14:paraId="74721A70" w14:textId="77777777">
        <w:tc>
          <w:tcPr>
            <w:tcW w:w="2500" w:type="pct"/>
          </w:tcPr>
          <w:p w14:paraId="15BD9498" w14:textId="77777777" w:rsidR="000D07EA" w:rsidRDefault="00BE7C89">
            <w:pPr>
              <w:pStyle w:val="BodyText"/>
              <w:spacing w:before="100" w:after="100"/>
            </w:pPr>
            <w:r>
              <w:t>International Video Calls</w:t>
            </w:r>
          </w:p>
          <w:p w14:paraId="24FA577F" w14:textId="77777777" w:rsidR="000D07EA" w:rsidRDefault="00BE7C89">
            <w:pPr>
              <w:pStyle w:val="BodyText"/>
              <w:spacing w:before="100" w:after="100"/>
            </w:pPr>
            <w:r>
              <w:rPr>
                <w:snapToGrid w:val="0"/>
              </w:rPr>
              <w:lastRenderedPageBreak/>
              <w:t>(includes calls to national fixed or GSM mobile services that then divert/switch or re-route overseas)</w:t>
            </w:r>
          </w:p>
        </w:tc>
        <w:tc>
          <w:tcPr>
            <w:tcW w:w="2500" w:type="pct"/>
          </w:tcPr>
          <w:p w14:paraId="32FB7988" w14:textId="77777777" w:rsidR="000D07EA" w:rsidRDefault="00BE7C89">
            <w:pPr>
              <w:pStyle w:val="BodyText"/>
              <w:spacing w:before="100" w:after="100"/>
              <w:jc w:val="center"/>
            </w:pPr>
            <w:r>
              <w:lastRenderedPageBreak/>
              <w:t>No</w:t>
            </w:r>
          </w:p>
        </w:tc>
      </w:tr>
      <w:tr w:rsidR="000D07EA" w14:paraId="4A4A19B2" w14:textId="77777777">
        <w:tc>
          <w:tcPr>
            <w:tcW w:w="2500" w:type="pct"/>
          </w:tcPr>
          <w:p w14:paraId="586D3831" w14:textId="77777777" w:rsidR="000D07EA" w:rsidRDefault="00BE7C89">
            <w:pPr>
              <w:pStyle w:val="BodyText"/>
              <w:spacing w:before="100" w:after="100"/>
            </w:pPr>
            <w:r>
              <w:t>Standard National SMS</w:t>
            </w:r>
          </w:p>
        </w:tc>
        <w:tc>
          <w:tcPr>
            <w:tcW w:w="2500" w:type="pct"/>
          </w:tcPr>
          <w:p w14:paraId="7111933A" w14:textId="77777777" w:rsidR="000D07EA" w:rsidRDefault="00BE7C89">
            <w:pPr>
              <w:pStyle w:val="BodyText"/>
              <w:spacing w:before="100" w:after="100"/>
              <w:jc w:val="center"/>
            </w:pPr>
            <w:r>
              <w:t>Yes</w:t>
            </w:r>
          </w:p>
        </w:tc>
      </w:tr>
      <w:tr w:rsidR="000D07EA" w14:paraId="117F2C9B" w14:textId="77777777">
        <w:tc>
          <w:tcPr>
            <w:tcW w:w="2500" w:type="pct"/>
          </w:tcPr>
          <w:p w14:paraId="17C8A4CC" w14:textId="77777777" w:rsidR="000D07EA" w:rsidRDefault="00BE7C89">
            <w:pPr>
              <w:pStyle w:val="BodyText"/>
              <w:spacing w:before="100" w:after="100"/>
            </w:pPr>
            <w:r>
              <w:t>International SMS</w:t>
            </w:r>
          </w:p>
        </w:tc>
        <w:tc>
          <w:tcPr>
            <w:tcW w:w="2500" w:type="pct"/>
          </w:tcPr>
          <w:p w14:paraId="0766E581" w14:textId="77777777" w:rsidR="000D07EA" w:rsidRDefault="00BE7C89">
            <w:pPr>
              <w:pStyle w:val="BodyText"/>
              <w:spacing w:before="100" w:after="100"/>
              <w:jc w:val="center"/>
            </w:pPr>
            <w:r>
              <w:t>No</w:t>
            </w:r>
          </w:p>
        </w:tc>
      </w:tr>
      <w:tr w:rsidR="000D07EA" w14:paraId="387D0FD4" w14:textId="77777777">
        <w:tc>
          <w:tcPr>
            <w:tcW w:w="2500" w:type="pct"/>
          </w:tcPr>
          <w:p w14:paraId="56DEE643" w14:textId="77777777" w:rsidR="000D07EA" w:rsidRDefault="00BE7C89">
            <w:pPr>
              <w:pStyle w:val="BodyText"/>
              <w:spacing w:before="100" w:after="100"/>
            </w:pPr>
            <w:r>
              <w:t>Standard National MMS</w:t>
            </w:r>
          </w:p>
        </w:tc>
        <w:tc>
          <w:tcPr>
            <w:tcW w:w="2500" w:type="pct"/>
          </w:tcPr>
          <w:p w14:paraId="40347BC5" w14:textId="77777777" w:rsidR="000D07EA" w:rsidRDefault="00BE7C89">
            <w:pPr>
              <w:pStyle w:val="BodyText"/>
              <w:spacing w:before="100" w:after="100"/>
              <w:jc w:val="center"/>
            </w:pPr>
            <w:r>
              <w:t>Yes</w:t>
            </w:r>
          </w:p>
        </w:tc>
      </w:tr>
      <w:tr w:rsidR="000D07EA" w14:paraId="2241B77C" w14:textId="77777777">
        <w:tc>
          <w:tcPr>
            <w:tcW w:w="2500" w:type="pct"/>
          </w:tcPr>
          <w:p w14:paraId="30D51AFF" w14:textId="77777777" w:rsidR="000D07EA" w:rsidRDefault="00BE7C89">
            <w:pPr>
              <w:pStyle w:val="BodyText"/>
              <w:spacing w:before="100" w:after="100"/>
            </w:pPr>
            <w:r>
              <w:t>International MMS</w:t>
            </w:r>
          </w:p>
        </w:tc>
        <w:tc>
          <w:tcPr>
            <w:tcW w:w="2500" w:type="pct"/>
          </w:tcPr>
          <w:p w14:paraId="7A798073" w14:textId="77777777" w:rsidR="000D07EA" w:rsidRDefault="00BE7C89">
            <w:pPr>
              <w:pStyle w:val="BodyText"/>
              <w:spacing w:before="100" w:after="100"/>
              <w:jc w:val="center"/>
            </w:pPr>
            <w:r>
              <w:t>No</w:t>
            </w:r>
          </w:p>
        </w:tc>
      </w:tr>
      <w:tr w:rsidR="000D07EA" w14:paraId="38969D3A" w14:textId="77777777">
        <w:tc>
          <w:tcPr>
            <w:tcW w:w="2500" w:type="pct"/>
          </w:tcPr>
          <w:p w14:paraId="4E28E5B0" w14:textId="77777777" w:rsidR="000D07EA" w:rsidRDefault="00BE7C89">
            <w:pPr>
              <w:pStyle w:val="BodyText"/>
              <w:spacing w:before="100" w:after="100"/>
            </w:pPr>
            <w:r>
              <w:t>National Diversions</w:t>
            </w:r>
          </w:p>
        </w:tc>
        <w:tc>
          <w:tcPr>
            <w:tcW w:w="2500" w:type="pct"/>
          </w:tcPr>
          <w:p w14:paraId="12008262" w14:textId="77777777" w:rsidR="000D07EA" w:rsidRDefault="00BE7C89">
            <w:pPr>
              <w:pStyle w:val="BodyText"/>
              <w:spacing w:before="100" w:after="100"/>
              <w:jc w:val="center"/>
            </w:pPr>
            <w:r>
              <w:t>Yes</w:t>
            </w:r>
          </w:p>
        </w:tc>
      </w:tr>
      <w:tr w:rsidR="000D07EA" w14:paraId="09EA8D66" w14:textId="77777777">
        <w:tc>
          <w:tcPr>
            <w:tcW w:w="2500" w:type="pct"/>
          </w:tcPr>
          <w:p w14:paraId="051A99AF" w14:textId="77777777" w:rsidR="000D07EA" w:rsidRDefault="00BE7C89">
            <w:pPr>
              <w:pStyle w:val="BodyText"/>
              <w:spacing w:before="100" w:after="100"/>
            </w:pPr>
            <w:r>
              <w:t>Voicemail Diversions</w:t>
            </w:r>
          </w:p>
        </w:tc>
        <w:tc>
          <w:tcPr>
            <w:tcW w:w="2500" w:type="pct"/>
          </w:tcPr>
          <w:p w14:paraId="6886795B" w14:textId="77777777" w:rsidR="000D07EA" w:rsidRDefault="00BE7C89">
            <w:pPr>
              <w:pStyle w:val="BodyText"/>
              <w:spacing w:before="100" w:after="100"/>
              <w:jc w:val="center"/>
            </w:pPr>
            <w:r>
              <w:t>Yes</w:t>
            </w:r>
          </w:p>
        </w:tc>
      </w:tr>
      <w:tr w:rsidR="000D07EA" w14:paraId="13B61F83" w14:textId="77777777">
        <w:tc>
          <w:tcPr>
            <w:tcW w:w="2500" w:type="pct"/>
          </w:tcPr>
          <w:p w14:paraId="063F46C5" w14:textId="77777777" w:rsidR="000D07EA" w:rsidRDefault="00BE7C89">
            <w:pPr>
              <w:pStyle w:val="BodyText"/>
              <w:spacing w:before="100" w:after="100"/>
            </w:pPr>
            <w:r>
              <w:t>Voicemail Deposit and Retrievals</w:t>
            </w:r>
          </w:p>
        </w:tc>
        <w:tc>
          <w:tcPr>
            <w:tcW w:w="2500" w:type="pct"/>
          </w:tcPr>
          <w:p w14:paraId="448A9655" w14:textId="77777777" w:rsidR="000D07EA" w:rsidRDefault="00BE7C89">
            <w:pPr>
              <w:pStyle w:val="BodyText"/>
              <w:spacing w:before="100" w:after="100"/>
              <w:jc w:val="center"/>
            </w:pPr>
            <w:r>
              <w:t>Yes</w:t>
            </w:r>
          </w:p>
        </w:tc>
      </w:tr>
      <w:tr w:rsidR="000D07EA" w14:paraId="07808065" w14:textId="77777777">
        <w:tc>
          <w:tcPr>
            <w:tcW w:w="2500" w:type="pct"/>
          </w:tcPr>
          <w:p w14:paraId="4CE395E4" w14:textId="77777777" w:rsidR="000D07EA" w:rsidRDefault="00BE7C89">
            <w:pPr>
              <w:pStyle w:val="BodyText"/>
              <w:spacing w:before="100" w:after="100"/>
            </w:pPr>
            <w:r>
              <w:t>International Roaming and Diversion</w:t>
            </w:r>
          </w:p>
        </w:tc>
        <w:tc>
          <w:tcPr>
            <w:tcW w:w="2500" w:type="pct"/>
          </w:tcPr>
          <w:p w14:paraId="51FA3999" w14:textId="77777777" w:rsidR="000D07EA" w:rsidRDefault="00BE7C89">
            <w:pPr>
              <w:pStyle w:val="BodyText"/>
              <w:spacing w:before="100" w:after="100"/>
              <w:jc w:val="center"/>
            </w:pPr>
            <w:r>
              <w:t>No</w:t>
            </w:r>
          </w:p>
        </w:tc>
      </w:tr>
      <w:tr w:rsidR="000D07EA" w14:paraId="28B4A475" w14:textId="77777777">
        <w:tc>
          <w:tcPr>
            <w:tcW w:w="2500" w:type="pct"/>
          </w:tcPr>
          <w:p w14:paraId="67CA660D" w14:textId="77777777" w:rsidR="000D07EA" w:rsidRDefault="00BE7C89">
            <w:pPr>
              <w:pStyle w:val="BodyText"/>
              <w:spacing w:before="100" w:after="100"/>
            </w:pPr>
            <w:r>
              <w:t>Premium SMS</w:t>
            </w:r>
          </w:p>
        </w:tc>
        <w:tc>
          <w:tcPr>
            <w:tcW w:w="2500" w:type="pct"/>
          </w:tcPr>
          <w:p w14:paraId="5AB9E5E0" w14:textId="77777777" w:rsidR="000D07EA" w:rsidRDefault="00BE7C89">
            <w:pPr>
              <w:pStyle w:val="BodyText"/>
              <w:spacing w:before="100" w:after="100"/>
              <w:jc w:val="center"/>
            </w:pPr>
            <w:r>
              <w:t>No</w:t>
            </w:r>
          </w:p>
        </w:tc>
      </w:tr>
      <w:tr w:rsidR="000D07EA" w14:paraId="7BDEB6FA" w14:textId="77777777">
        <w:tc>
          <w:tcPr>
            <w:tcW w:w="2500" w:type="pct"/>
          </w:tcPr>
          <w:p w14:paraId="3515ED6D" w14:textId="77777777" w:rsidR="000D07EA" w:rsidRDefault="00BE7C89">
            <w:pPr>
              <w:pStyle w:val="BodyText"/>
              <w:spacing w:before="100" w:after="100"/>
            </w:pPr>
            <w:r>
              <w:t>Premium Video</w:t>
            </w:r>
          </w:p>
        </w:tc>
        <w:tc>
          <w:tcPr>
            <w:tcW w:w="2500" w:type="pct"/>
          </w:tcPr>
          <w:p w14:paraId="25424F08" w14:textId="77777777" w:rsidR="000D07EA" w:rsidRDefault="00BE7C89">
            <w:pPr>
              <w:pStyle w:val="BodyText"/>
              <w:spacing w:before="100" w:after="100"/>
              <w:jc w:val="center"/>
            </w:pPr>
            <w:r>
              <w:t>No</w:t>
            </w:r>
          </w:p>
        </w:tc>
      </w:tr>
      <w:tr w:rsidR="000D07EA" w14:paraId="43E36A7A" w14:textId="77777777">
        <w:tc>
          <w:tcPr>
            <w:tcW w:w="2500" w:type="pct"/>
          </w:tcPr>
          <w:p w14:paraId="2A1E8331" w14:textId="77777777" w:rsidR="000D07EA" w:rsidRDefault="00BE7C89">
            <w:pPr>
              <w:pStyle w:val="BodyText"/>
              <w:spacing w:before="100" w:after="100"/>
            </w:pPr>
            <w:r>
              <w:t>Video Conferencing</w:t>
            </w:r>
          </w:p>
        </w:tc>
        <w:tc>
          <w:tcPr>
            <w:tcW w:w="2500" w:type="pct"/>
          </w:tcPr>
          <w:p w14:paraId="6F9BB7B4" w14:textId="77777777" w:rsidR="000D07EA" w:rsidRDefault="00BE7C89">
            <w:pPr>
              <w:pStyle w:val="BodyText"/>
              <w:spacing w:before="100" w:after="100"/>
              <w:jc w:val="center"/>
            </w:pPr>
            <w:r>
              <w:t>No</w:t>
            </w:r>
          </w:p>
        </w:tc>
      </w:tr>
      <w:tr w:rsidR="000D07EA" w14:paraId="58BEF732" w14:textId="77777777">
        <w:tc>
          <w:tcPr>
            <w:tcW w:w="2500" w:type="pct"/>
          </w:tcPr>
          <w:p w14:paraId="0678AE5A" w14:textId="77777777" w:rsidR="000D07EA" w:rsidRDefault="00BE7C89">
            <w:pPr>
              <w:pStyle w:val="BodyText"/>
              <w:spacing w:before="100" w:after="100"/>
            </w:pPr>
            <w:r>
              <w:t>Optus Zoo or Optus iZoo Browsing</w:t>
            </w:r>
          </w:p>
        </w:tc>
        <w:tc>
          <w:tcPr>
            <w:tcW w:w="2500" w:type="pct"/>
          </w:tcPr>
          <w:p w14:paraId="5EC578FA" w14:textId="77777777" w:rsidR="000D07EA" w:rsidRDefault="00BE7C89">
            <w:pPr>
              <w:pStyle w:val="BodyText"/>
              <w:spacing w:before="100" w:after="100"/>
              <w:jc w:val="center"/>
            </w:pPr>
            <w:r>
              <w:t>No</w:t>
            </w:r>
          </w:p>
        </w:tc>
      </w:tr>
      <w:tr w:rsidR="000D07EA" w14:paraId="66CB963C" w14:textId="77777777">
        <w:tc>
          <w:tcPr>
            <w:tcW w:w="2500" w:type="pct"/>
          </w:tcPr>
          <w:p w14:paraId="311E13FA" w14:textId="77777777" w:rsidR="000D07EA" w:rsidRDefault="00BE7C89">
            <w:pPr>
              <w:pStyle w:val="BodyText"/>
              <w:spacing w:before="100" w:after="100"/>
            </w:pPr>
            <w:r>
              <w:t>Optus Zoo or Optus iZoo Downloads</w:t>
            </w:r>
          </w:p>
        </w:tc>
        <w:tc>
          <w:tcPr>
            <w:tcW w:w="2500" w:type="pct"/>
          </w:tcPr>
          <w:p w14:paraId="69F13D5A" w14:textId="77777777" w:rsidR="000D07EA" w:rsidRDefault="00BE7C89">
            <w:pPr>
              <w:pStyle w:val="BodyText"/>
              <w:spacing w:before="100" w:after="100"/>
              <w:jc w:val="center"/>
            </w:pPr>
            <w:r>
              <w:t>No</w:t>
            </w:r>
          </w:p>
        </w:tc>
      </w:tr>
      <w:tr w:rsidR="000D07EA" w14:paraId="4507AEB7" w14:textId="77777777">
        <w:tc>
          <w:tcPr>
            <w:tcW w:w="2500" w:type="pct"/>
          </w:tcPr>
          <w:p w14:paraId="2B4F7542" w14:textId="77777777" w:rsidR="000D07EA" w:rsidRDefault="00BE7C89">
            <w:pPr>
              <w:pStyle w:val="BodyText"/>
              <w:spacing w:before="100" w:after="100"/>
            </w:pPr>
            <w:r>
              <w:t>SMS to 966 (Zoo)</w:t>
            </w:r>
          </w:p>
        </w:tc>
        <w:tc>
          <w:tcPr>
            <w:tcW w:w="2500" w:type="pct"/>
          </w:tcPr>
          <w:p w14:paraId="22522950" w14:textId="77777777" w:rsidR="000D07EA" w:rsidRDefault="00BE7C89">
            <w:pPr>
              <w:pStyle w:val="BodyText"/>
              <w:spacing w:before="100" w:after="100"/>
              <w:jc w:val="center"/>
            </w:pPr>
            <w:r>
              <w:t>No</w:t>
            </w:r>
          </w:p>
        </w:tc>
      </w:tr>
      <w:tr w:rsidR="000D07EA" w14:paraId="290E3B6D" w14:textId="77777777">
        <w:tc>
          <w:tcPr>
            <w:tcW w:w="2500" w:type="pct"/>
          </w:tcPr>
          <w:p w14:paraId="52C6755A" w14:textId="77777777" w:rsidR="000D07EA" w:rsidRDefault="00BE7C89">
            <w:pPr>
              <w:pStyle w:val="BodyText"/>
              <w:spacing w:before="100" w:after="100"/>
            </w:pPr>
            <w:r>
              <w:t>Mobile Internet usage</w:t>
            </w:r>
          </w:p>
        </w:tc>
        <w:tc>
          <w:tcPr>
            <w:tcW w:w="2500" w:type="pct"/>
          </w:tcPr>
          <w:p w14:paraId="2290D37E" w14:textId="77777777" w:rsidR="000D07EA" w:rsidRDefault="00BE7C89">
            <w:pPr>
              <w:pStyle w:val="BodyText"/>
              <w:spacing w:before="100" w:after="100"/>
              <w:jc w:val="center"/>
            </w:pPr>
            <w:r>
              <w:t>No</w:t>
            </w:r>
          </w:p>
        </w:tc>
      </w:tr>
      <w:tr w:rsidR="000D07EA" w14:paraId="46FEF69F" w14:textId="77777777">
        <w:tc>
          <w:tcPr>
            <w:tcW w:w="2500" w:type="pct"/>
          </w:tcPr>
          <w:p w14:paraId="220A9659" w14:textId="77777777" w:rsidR="000D07EA" w:rsidRDefault="00BE7C89">
            <w:pPr>
              <w:pStyle w:val="BodyText"/>
              <w:spacing w:before="100" w:after="100"/>
            </w:pPr>
            <w:r>
              <w:t>Data Used while Roaming Internationally</w:t>
            </w:r>
          </w:p>
        </w:tc>
        <w:tc>
          <w:tcPr>
            <w:tcW w:w="2500" w:type="pct"/>
          </w:tcPr>
          <w:p w14:paraId="0B368E55" w14:textId="77777777" w:rsidR="000D07EA" w:rsidRDefault="00BE7C89">
            <w:pPr>
              <w:pStyle w:val="BodyText"/>
              <w:spacing w:before="100" w:after="100"/>
              <w:jc w:val="center"/>
            </w:pPr>
            <w:r>
              <w:t>No</w:t>
            </w:r>
          </w:p>
        </w:tc>
      </w:tr>
      <w:tr w:rsidR="000D07EA" w14:paraId="4286A8CC" w14:textId="77777777">
        <w:tc>
          <w:tcPr>
            <w:tcW w:w="2500" w:type="pct"/>
          </w:tcPr>
          <w:p w14:paraId="3E47FDE4" w14:textId="77777777" w:rsidR="000D07EA" w:rsidRDefault="00BE7C89">
            <w:pPr>
              <w:pStyle w:val="BodyText"/>
              <w:spacing w:before="100" w:after="100"/>
            </w:pPr>
            <w:r>
              <w:t>Content Packs (unless specified in promotions)</w:t>
            </w:r>
          </w:p>
        </w:tc>
        <w:tc>
          <w:tcPr>
            <w:tcW w:w="2500" w:type="pct"/>
          </w:tcPr>
          <w:p w14:paraId="6AE3DC48" w14:textId="77777777" w:rsidR="000D07EA" w:rsidRDefault="00BE7C89">
            <w:pPr>
              <w:pStyle w:val="BodyText"/>
              <w:spacing w:before="100" w:after="100"/>
              <w:jc w:val="center"/>
            </w:pPr>
            <w:r>
              <w:t>No</w:t>
            </w:r>
          </w:p>
        </w:tc>
      </w:tr>
      <w:tr w:rsidR="000D07EA" w14:paraId="06B2CA7B" w14:textId="77777777">
        <w:tc>
          <w:tcPr>
            <w:tcW w:w="2500" w:type="pct"/>
          </w:tcPr>
          <w:p w14:paraId="430670A7" w14:textId="77777777" w:rsidR="000D07EA" w:rsidRDefault="00BE7C89">
            <w:pPr>
              <w:pStyle w:val="BodyText"/>
              <w:spacing w:before="100" w:after="100"/>
            </w:pPr>
            <w:r>
              <w:t>TrueLocal Usage</w:t>
            </w:r>
          </w:p>
        </w:tc>
        <w:tc>
          <w:tcPr>
            <w:tcW w:w="2500" w:type="pct"/>
          </w:tcPr>
          <w:p w14:paraId="691C88A3" w14:textId="77777777" w:rsidR="000D07EA" w:rsidRDefault="00BE7C89">
            <w:pPr>
              <w:pStyle w:val="BodyText"/>
              <w:spacing w:before="100" w:after="100"/>
              <w:jc w:val="center"/>
            </w:pPr>
            <w:r>
              <w:t>No</w:t>
            </w:r>
          </w:p>
        </w:tc>
      </w:tr>
      <w:tr w:rsidR="000D07EA" w14:paraId="38124116" w14:textId="77777777">
        <w:tc>
          <w:tcPr>
            <w:tcW w:w="2500" w:type="pct"/>
          </w:tcPr>
          <w:p w14:paraId="140E8E6D" w14:textId="77777777" w:rsidR="000D07EA" w:rsidRDefault="00BE7C89">
            <w:pPr>
              <w:pStyle w:val="BodyText"/>
              <w:spacing w:before="100" w:after="100"/>
            </w:pPr>
            <w:r>
              <w:t>Directory Assistance- 1223</w:t>
            </w:r>
          </w:p>
        </w:tc>
        <w:tc>
          <w:tcPr>
            <w:tcW w:w="2500" w:type="pct"/>
          </w:tcPr>
          <w:p w14:paraId="0D7AB8DA" w14:textId="77777777" w:rsidR="000D07EA" w:rsidRDefault="00BE7C89">
            <w:pPr>
              <w:pStyle w:val="BodyText"/>
              <w:spacing w:before="100" w:after="100"/>
              <w:jc w:val="center"/>
            </w:pPr>
            <w:r>
              <w:t>No</w:t>
            </w:r>
          </w:p>
        </w:tc>
      </w:tr>
      <w:tr w:rsidR="000D07EA" w14:paraId="13723926" w14:textId="77777777">
        <w:tc>
          <w:tcPr>
            <w:tcW w:w="2500" w:type="pct"/>
          </w:tcPr>
          <w:p w14:paraId="2F57C42E" w14:textId="77777777" w:rsidR="000D07EA" w:rsidRDefault="00BE7C89">
            <w:pPr>
              <w:pStyle w:val="BodyText"/>
              <w:spacing w:before="100" w:after="100"/>
            </w:pPr>
            <w:r>
              <w:t>19XX Numbers</w:t>
            </w:r>
          </w:p>
        </w:tc>
        <w:tc>
          <w:tcPr>
            <w:tcW w:w="2500" w:type="pct"/>
          </w:tcPr>
          <w:p w14:paraId="550DF4B9" w14:textId="77777777" w:rsidR="000D07EA" w:rsidRDefault="00BE7C89">
            <w:pPr>
              <w:pStyle w:val="BodyText"/>
              <w:spacing w:before="100" w:after="100"/>
              <w:jc w:val="center"/>
            </w:pPr>
            <w:r>
              <w:t>No</w:t>
            </w:r>
          </w:p>
        </w:tc>
      </w:tr>
      <w:tr w:rsidR="000D07EA" w14:paraId="3DA67483" w14:textId="77777777">
        <w:tc>
          <w:tcPr>
            <w:tcW w:w="2500" w:type="pct"/>
          </w:tcPr>
          <w:p w14:paraId="2007156A" w14:textId="77777777" w:rsidR="000D07EA" w:rsidRDefault="00BE7C89">
            <w:pPr>
              <w:pStyle w:val="BodyText"/>
              <w:spacing w:before="100" w:after="100"/>
            </w:pPr>
            <w:r>
              <w:t>1800, 13 and 1300 numbers</w:t>
            </w:r>
          </w:p>
        </w:tc>
        <w:tc>
          <w:tcPr>
            <w:tcW w:w="2500" w:type="pct"/>
          </w:tcPr>
          <w:p w14:paraId="4ACD363C" w14:textId="77777777" w:rsidR="000D07EA" w:rsidRDefault="00BE7C89">
            <w:pPr>
              <w:pStyle w:val="BodyText"/>
              <w:spacing w:before="100" w:after="100"/>
              <w:jc w:val="center"/>
            </w:pPr>
            <w:r>
              <w:t>No</w:t>
            </w:r>
          </w:p>
        </w:tc>
      </w:tr>
      <w:tr w:rsidR="000D07EA" w14:paraId="7E352CBD" w14:textId="77777777">
        <w:tc>
          <w:tcPr>
            <w:tcW w:w="2500" w:type="pct"/>
          </w:tcPr>
          <w:p w14:paraId="35D0A1D4" w14:textId="77777777" w:rsidR="000D07EA" w:rsidRDefault="00BE7C89">
            <w:pPr>
              <w:pStyle w:val="BodyText"/>
              <w:spacing w:before="100" w:after="100"/>
            </w:pPr>
            <w:r>
              <w:t>124YES(937)</w:t>
            </w:r>
          </w:p>
        </w:tc>
        <w:tc>
          <w:tcPr>
            <w:tcW w:w="2500" w:type="pct"/>
          </w:tcPr>
          <w:p w14:paraId="1FDD0C7F" w14:textId="77777777" w:rsidR="000D07EA" w:rsidRDefault="00BE7C89">
            <w:pPr>
              <w:pStyle w:val="BodyText"/>
              <w:spacing w:before="100" w:after="100"/>
              <w:jc w:val="center"/>
            </w:pPr>
            <w:r>
              <w:t>No</w:t>
            </w:r>
          </w:p>
        </w:tc>
      </w:tr>
      <w:tr w:rsidR="000D07EA" w14:paraId="3C20B2D9" w14:textId="77777777">
        <w:tc>
          <w:tcPr>
            <w:tcW w:w="2500" w:type="pct"/>
          </w:tcPr>
          <w:p w14:paraId="59024F3C" w14:textId="77777777" w:rsidR="000D07EA" w:rsidRDefault="00BE7C89">
            <w:pPr>
              <w:pStyle w:val="BodyText"/>
              <w:spacing w:before="100" w:after="100"/>
            </w:pPr>
            <w:r>
              <w:t>Insurance</w:t>
            </w:r>
          </w:p>
        </w:tc>
        <w:tc>
          <w:tcPr>
            <w:tcW w:w="2500" w:type="pct"/>
          </w:tcPr>
          <w:p w14:paraId="48A6A54F" w14:textId="77777777" w:rsidR="000D07EA" w:rsidRDefault="00BE7C89">
            <w:pPr>
              <w:pStyle w:val="BodyText"/>
              <w:spacing w:before="100" w:after="100"/>
              <w:jc w:val="center"/>
            </w:pPr>
            <w:r>
              <w:t>No</w:t>
            </w:r>
          </w:p>
        </w:tc>
      </w:tr>
      <w:tr w:rsidR="000D07EA" w14:paraId="179E9223" w14:textId="77777777">
        <w:tc>
          <w:tcPr>
            <w:tcW w:w="2500" w:type="pct"/>
          </w:tcPr>
          <w:p w14:paraId="4D79FEEE" w14:textId="77777777" w:rsidR="000D07EA" w:rsidRDefault="00BE7C89">
            <w:pPr>
              <w:pStyle w:val="BodyText"/>
              <w:spacing w:before="100" w:after="100"/>
            </w:pPr>
            <w:r>
              <w:t>Handset Payments</w:t>
            </w:r>
          </w:p>
        </w:tc>
        <w:tc>
          <w:tcPr>
            <w:tcW w:w="2500" w:type="pct"/>
          </w:tcPr>
          <w:p w14:paraId="5C35D0F8" w14:textId="77777777" w:rsidR="000D07EA" w:rsidRDefault="00BE7C89">
            <w:pPr>
              <w:pStyle w:val="BodyText"/>
              <w:spacing w:before="100" w:after="100"/>
              <w:jc w:val="center"/>
            </w:pPr>
            <w:r>
              <w:t>No</w:t>
            </w:r>
          </w:p>
        </w:tc>
      </w:tr>
      <w:tr w:rsidR="000D07EA" w14:paraId="02AE5268" w14:textId="77777777">
        <w:tc>
          <w:tcPr>
            <w:tcW w:w="2500" w:type="pct"/>
          </w:tcPr>
          <w:p w14:paraId="39590C9A" w14:textId="77777777" w:rsidR="000D07EA" w:rsidRDefault="00BE7C89">
            <w:pPr>
              <w:pStyle w:val="BodyText"/>
              <w:spacing w:before="100" w:after="100"/>
            </w:pPr>
            <w:r>
              <w:t>Calls to Satellite</w:t>
            </w:r>
          </w:p>
        </w:tc>
        <w:tc>
          <w:tcPr>
            <w:tcW w:w="2500" w:type="pct"/>
          </w:tcPr>
          <w:p w14:paraId="28453927" w14:textId="77777777" w:rsidR="000D07EA" w:rsidRDefault="00BE7C89">
            <w:pPr>
              <w:pStyle w:val="BodyText"/>
              <w:spacing w:before="100" w:after="100"/>
              <w:jc w:val="center"/>
            </w:pPr>
            <w:r>
              <w:t>No</w:t>
            </w:r>
          </w:p>
        </w:tc>
      </w:tr>
      <w:tr w:rsidR="000D07EA" w14:paraId="17BABDF6" w14:textId="77777777">
        <w:tc>
          <w:tcPr>
            <w:tcW w:w="2500" w:type="pct"/>
          </w:tcPr>
          <w:p w14:paraId="749C0CF6" w14:textId="77777777" w:rsidR="000D07EA" w:rsidRDefault="00BE7C89">
            <w:pPr>
              <w:pStyle w:val="BodyText"/>
              <w:spacing w:before="100" w:after="100"/>
            </w:pPr>
            <w:r>
              <w:t>VOIP services</w:t>
            </w:r>
          </w:p>
        </w:tc>
        <w:tc>
          <w:tcPr>
            <w:tcW w:w="2500" w:type="pct"/>
          </w:tcPr>
          <w:p w14:paraId="21AA2784" w14:textId="77777777" w:rsidR="000D07EA" w:rsidRDefault="00BE7C89">
            <w:pPr>
              <w:pStyle w:val="BodyText"/>
              <w:spacing w:before="100" w:after="100"/>
              <w:jc w:val="center"/>
            </w:pPr>
            <w:r>
              <w:t>No</w:t>
            </w:r>
          </w:p>
        </w:tc>
      </w:tr>
    </w:tbl>
    <w:p w14:paraId="72163306" w14:textId="77777777" w:rsidR="000D07EA" w:rsidRDefault="000D07EA">
      <w:pPr>
        <w:pStyle w:val="BodyText"/>
      </w:pPr>
    </w:p>
    <w:p w14:paraId="58B050E8" w14:textId="77777777" w:rsidR="000D07EA" w:rsidRDefault="00BE7C89">
      <w:pPr>
        <w:pStyle w:val="BodyText"/>
        <w:ind w:left="720"/>
        <w:rPr>
          <w:b/>
        </w:rPr>
      </w:pPr>
      <w:r>
        <w:rPr>
          <w:b/>
        </w:rPr>
        <w:lastRenderedPageBreak/>
        <w:t>Table 2A – Eligible for the Included Mobile Internet Data</w:t>
      </w: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730"/>
        <w:gridCol w:w="4731"/>
      </w:tblGrid>
      <w:tr w:rsidR="000D07EA" w14:paraId="2FD94B81" w14:textId="77777777">
        <w:trPr>
          <w:tblHeader/>
        </w:trPr>
        <w:tc>
          <w:tcPr>
            <w:tcW w:w="2500" w:type="pct"/>
          </w:tcPr>
          <w:p w14:paraId="7F1CCB7D" w14:textId="77777777" w:rsidR="000D07EA" w:rsidRDefault="00BE7C89">
            <w:pPr>
              <w:pStyle w:val="BodyText"/>
              <w:spacing w:before="100" w:after="100"/>
              <w:rPr>
                <w:b/>
              </w:rPr>
            </w:pPr>
            <w:r>
              <w:rPr>
                <w:b/>
              </w:rPr>
              <w:t>Call Type</w:t>
            </w:r>
          </w:p>
        </w:tc>
        <w:tc>
          <w:tcPr>
            <w:tcW w:w="2500" w:type="pct"/>
          </w:tcPr>
          <w:p w14:paraId="0EB77A3E" w14:textId="77777777" w:rsidR="000D07EA" w:rsidRDefault="00BE7C89">
            <w:pPr>
              <w:pStyle w:val="BodyText"/>
              <w:spacing w:before="100" w:after="100"/>
              <w:jc w:val="center"/>
              <w:rPr>
                <w:b/>
              </w:rPr>
            </w:pPr>
            <w:r>
              <w:rPr>
                <w:b/>
              </w:rPr>
              <w:t>Eligible Data</w:t>
            </w:r>
          </w:p>
        </w:tc>
      </w:tr>
      <w:tr w:rsidR="000D07EA" w14:paraId="3608FF6F" w14:textId="77777777">
        <w:tc>
          <w:tcPr>
            <w:tcW w:w="2500" w:type="pct"/>
          </w:tcPr>
          <w:p w14:paraId="3E32696F" w14:textId="77777777" w:rsidR="000D07EA" w:rsidRDefault="00BE7C89">
            <w:pPr>
              <w:pStyle w:val="BodyText"/>
              <w:spacing w:before="100" w:after="100"/>
            </w:pPr>
            <w:r>
              <w:t>National Voice Calls</w:t>
            </w:r>
          </w:p>
        </w:tc>
        <w:tc>
          <w:tcPr>
            <w:tcW w:w="2500" w:type="pct"/>
          </w:tcPr>
          <w:p w14:paraId="2F038B6F" w14:textId="77777777" w:rsidR="000D07EA" w:rsidRDefault="00BE7C89">
            <w:pPr>
              <w:pStyle w:val="BodyText"/>
              <w:spacing w:before="100" w:after="100"/>
              <w:jc w:val="center"/>
            </w:pPr>
            <w:r>
              <w:t>No</w:t>
            </w:r>
          </w:p>
        </w:tc>
      </w:tr>
      <w:tr w:rsidR="000D07EA" w14:paraId="202ECEFB" w14:textId="77777777">
        <w:tc>
          <w:tcPr>
            <w:tcW w:w="2500" w:type="pct"/>
          </w:tcPr>
          <w:p w14:paraId="123C2490" w14:textId="77777777" w:rsidR="000D07EA" w:rsidRDefault="00BE7C89">
            <w:pPr>
              <w:pStyle w:val="BodyText"/>
              <w:spacing w:before="100" w:after="100"/>
            </w:pPr>
            <w:r>
              <w:t>National Video Calls</w:t>
            </w:r>
          </w:p>
        </w:tc>
        <w:tc>
          <w:tcPr>
            <w:tcW w:w="2500" w:type="pct"/>
          </w:tcPr>
          <w:p w14:paraId="2853569F" w14:textId="77777777" w:rsidR="000D07EA" w:rsidRDefault="00BE7C89">
            <w:pPr>
              <w:pStyle w:val="BodyText"/>
              <w:spacing w:before="100" w:after="100"/>
              <w:jc w:val="center"/>
            </w:pPr>
            <w:r>
              <w:t>No</w:t>
            </w:r>
          </w:p>
        </w:tc>
      </w:tr>
      <w:tr w:rsidR="000D07EA" w14:paraId="13AC3E9F" w14:textId="77777777">
        <w:tc>
          <w:tcPr>
            <w:tcW w:w="2500" w:type="pct"/>
          </w:tcPr>
          <w:p w14:paraId="3EC73605" w14:textId="77777777" w:rsidR="000D07EA" w:rsidRDefault="00BE7C89">
            <w:pPr>
              <w:pStyle w:val="BodyText"/>
              <w:spacing w:before="100" w:after="100"/>
            </w:pPr>
            <w:r>
              <w:t>International Voice Calls</w:t>
            </w:r>
          </w:p>
          <w:p w14:paraId="7B70388D" w14:textId="77777777" w:rsidR="000D07EA" w:rsidRDefault="00BE7C89">
            <w:pPr>
              <w:pStyle w:val="BodyText"/>
              <w:spacing w:before="100" w:after="100"/>
            </w:pPr>
            <w:r>
              <w:t>(includes calls to national fixed or GSM mobile services that then divert/switch or re-route overseas)</w:t>
            </w:r>
          </w:p>
        </w:tc>
        <w:tc>
          <w:tcPr>
            <w:tcW w:w="2500" w:type="pct"/>
          </w:tcPr>
          <w:p w14:paraId="1B367827" w14:textId="77777777" w:rsidR="000D07EA" w:rsidRDefault="00BE7C89">
            <w:pPr>
              <w:pStyle w:val="BodyText"/>
              <w:spacing w:before="100" w:after="100"/>
              <w:jc w:val="center"/>
            </w:pPr>
            <w:r>
              <w:t>No</w:t>
            </w:r>
          </w:p>
        </w:tc>
      </w:tr>
      <w:tr w:rsidR="000D07EA" w14:paraId="0383A83F" w14:textId="77777777">
        <w:tc>
          <w:tcPr>
            <w:tcW w:w="2500" w:type="pct"/>
          </w:tcPr>
          <w:p w14:paraId="51EB140E" w14:textId="77777777" w:rsidR="000D07EA" w:rsidRDefault="00BE7C89">
            <w:pPr>
              <w:pStyle w:val="BodyText"/>
              <w:spacing w:before="100" w:after="100"/>
            </w:pPr>
            <w:r>
              <w:t>International Video Calls</w:t>
            </w:r>
          </w:p>
          <w:p w14:paraId="426D4310" w14:textId="77777777" w:rsidR="000D07EA" w:rsidRDefault="00BE7C89">
            <w:pPr>
              <w:pStyle w:val="BodyText"/>
              <w:spacing w:before="100" w:after="100"/>
            </w:pPr>
            <w:r>
              <w:t>(includes calls to national fixed or GSM mobile services that then divert/switch or re-route overseas)</w:t>
            </w:r>
          </w:p>
        </w:tc>
        <w:tc>
          <w:tcPr>
            <w:tcW w:w="2500" w:type="pct"/>
          </w:tcPr>
          <w:p w14:paraId="74B29ED1" w14:textId="77777777" w:rsidR="000D07EA" w:rsidRDefault="00BE7C89">
            <w:pPr>
              <w:pStyle w:val="BodyText"/>
              <w:spacing w:before="100" w:after="100"/>
              <w:jc w:val="center"/>
            </w:pPr>
            <w:r>
              <w:t>No</w:t>
            </w:r>
          </w:p>
        </w:tc>
      </w:tr>
      <w:tr w:rsidR="000D07EA" w14:paraId="51E09B4C" w14:textId="77777777">
        <w:tc>
          <w:tcPr>
            <w:tcW w:w="2500" w:type="pct"/>
          </w:tcPr>
          <w:p w14:paraId="6CDA3726" w14:textId="77777777" w:rsidR="000D07EA" w:rsidRDefault="00BE7C89">
            <w:pPr>
              <w:pStyle w:val="BodyText"/>
              <w:spacing w:before="100" w:after="100"/>
            </w:pPr>
            <w:r>
              <w:t>National Standard SMS</w:t>
            </w:r>
          </w:p>
        </w:tc>
        <w:tc>
          <w:tcPr>
            <w:tcW w:w="2500" w:type="pct"/>
          </w:tcPr>
          <w:p w14:paraId="0A82AAD6" w14:textId="77777777" w:rsidR="000D07EA" w:rsidRDefault="00BE7C89">
            <w:pPr>
              <w:pStyle w:val="BodyText"/>
              <w:spacing w:before="100" w:after="100"/>
              <w:jc w:val="center"/>
            </w:pPr>
            <w:r>
              <w:t>No</w:t>
            </w:r>
          </w:p>
        </w:tc>
      </w:tr>
      <w:tr w:rsidR="000D07EA" w14:paraId="603F9609" w14:textId="77777777">
        <w:tc>
          <w:tcPr>
            <w:tcW w:w="2500" w:type="pct"/>
          </w:tcPr>
          <w:p w14:paraId="30B29E5C" w14:textId="77777777" w:rsidR="000D07EA" w:rsidRDefault="00BE7C89">
            <w:pPr>
              <w:pStyle w:val="BodyText"/>
              <w:spacing w:before="100" w:after="100"/>
            </w:pPr>
            <w:r>
              <w:t>International SMS</w:t>
            </w:r>
          </w:p>
        </w:tc>
        <w:tc>
          <w:tcPr>
            <w:tcW w:w="2500" w:type="pct"/>
          </w:tcPr>
          <w:p w14:paraId="4F71EA8A" w14:textId="77777777" w:rsidR="000D07EA" w:rsidRDefault="00BE7C89">
            <w:pPr>
              <w:pStyle w:val="BodyText"/>
              <w:spacing w:before="100" w:after="100"/>
              <w:jc w:val="center"/>
            </w:pPr>
            <w:r>
              <w:t>No</w:t>
            </w:r>
          </w:p>
        </w:tc>
      </w:tr>
      <w:tr w:rsidR="000D07EA" w14:paraId="526EE61C" w14:textId="77777777">
        <w:tc>
          <w:tcPr>
            <w:tcW w:w="2500" w:type="pct"/>
          </w:tcPr>
          <w:p w14:paraId="026BB250" w14:textId="77777777" w:rsidR="000D07EA" w:rsidRDefault="00BE7C89">
            <w:pPr>
              <w:pStyle w:val="BodyText"/>
              <w:spacing w:before="100" w:after="100"/>
            </w:pPr>
            <w:r>
              <w:t>National MMS</w:t>
            </w:r>
          </w:p>
        </w:tc>
        <w:tc>
          <w:tcPr>
            <w:tcW w:w="2500" w:type="pct"/>
          </w:tcPr>
          <w:p w14:paraId="78A44EC5" w14:textId="77777777" w:rsidR="000D07EA" w:rsidRDefault="00BE7C89">
            <w:pPr>
              <w:pStyle w:val="BodyText"/>
              <w:spacing w:before="100" w:after="100"/>
              <w:jc w:val="center"/>
            </w:pPr>
            <w:r>
              <w:t>No</w:t>
            </w:r>
          </w:p>
        </w:tc>
      </w:tr>
      <w:tr w:rsidR="000D07EA" w14:paraId="72FCA6DC" w14:textId="77777777">
        <w:tc>
          <w:tcPr>
            <w:tcW w:w="2500" w:type="pct"/>
          </w:tcPr>
          <w:p w14:paraId="037EAB66" w14:textId="77777777" w:rsidR="000D07EA" w:rsidRDefault="00BE7C89">
            <w:pPr>
              <w:pStyle w:val="BodyText"/>
              <w:spacing w:before="100" w:after="100"/>
            </w:pPr>
            <w:r>
              <w:t>International MMS</w:t>
            </w:r>
          </w:p>
        </w:tc>
        <w:tc>
          <w:tcPr>
            <w:tcW w:w="2500" w:type="pct"/>
          </w:tcPr>
          <w:p w14:paraId="2D8218C2" w14:textId="77777777" w:rsidR="000D07EA" w:rsidRDefault="00BE7C89">
            <w:pPr>
              <w:pStyle w:val="BodyText"/>
              <w:spacing w:before="100" w:after="100"/>
              <w:jc w:val="center"/>
            </w:pPr>
            <w:r>
              <w:t>No</w:t>
            </w:r>
          </w:p>
        </w:tc>
      </w:tr>
      <w:tr w:rsidR="000D07EA" w14:paraId="20616014" w14:textId="77777777">
        <w:tc>
          <w:tcPr>
            <w:tcW w:w="2500" w:type="pct"/>
          </w:tcPr>
          <w:p w14:paraId="619A44B3" w14:textId="77777777" w:rsidR="000D07EA" w:rsidRDefault="00BE7C89">
            <w:pPr>
              <w:pStyle w:val="BodyText"/>
              <w:spacing w:before="100" w:after="100"/>
            </w:pPr>
            <w:r>
              <w:t>Voicemail Diversions</w:t>
            </w:r>
          </w:p>
        </w:tc>
        <w:tc>
          <w:tcPr>
            <w:tcW w:w="2500" w:type="pct"/>
          </w:tcPr>
          <w:p w14:paraId="764A6DC0" w14:textId="77777777" w:rsidR="000D07EA" w:rsidRDefault="00BE7C89">
            <w:pPr>
              <w:pStyle w:val="BodyText"/>
              <w:spacing w:before="100" w:after="100"/>
              <w:jc w:val="center"/>
            </w:pPr>
            <w:r>
              <w:t>No</w:t>
            </w:r>
          </w:p>
        </w:tc>
      </w:tr>
      <w:tr w:rsidR="000D07EA" w14:paraId="4B643D30" w14:textId="77777777">
        <w:tc>
          <w:tcPr>
            <w:tcW w:w="2500" w:type="pct"/>
          </w:tcPr>
          <w:p w14:paraId="52AFA686" w14:textId="77777777" w:rsidR="000D07EA" w:rsidRDefault="00BE7C89">
            <w:pPr>
              <w:pStyle w:val="BodyText"/>
              <w:spacing w:before="100" w:after="100"/>
            </w:pPr>
            <w:r>
              <w:t>Voicemail Deposit and Retrievals</w:t>
            </w:r>
          </w:p>
        </w:tc>
        <w:tc>
          <w:tcPr>
            <w:tcW w:w="2500" w:type="pct"/>
          </w:tcPr>
          <w:p w14:paraId="3794328E" w14:textId="77777777" w:rsidR="000D07EA" w:rsidRDefault="00BE7C89">
            <w:pPr>
              <w:pStyle w:val="BodyText"/>
              <w:spacing w:before="100" w:after="100"/>
              <w:jc w:val="center"/>
            </w:pPr>
            <w:r>
              <w:t>No</w:t>
            </w:r>
          </w:p>
        </w:tc>
      </w:tr>
      <w:tr w:rsidR="000D07EA" w14:paraId="7E435633" w14:textId="77777777">
        <w:tc>
          <w:tcPr>
            <w:tcW w:w="2500" w:type="pct"/>
          </w:tcPr>
          <w:p w14:paraId="5F8C3ED7" w14:textId="77777777" w:rsidR="000D07EA" w:rsidRDefault="00BE7C89">
            <w:pPr>
              <w:pStyle w:val="BodyText"/>
              <w:spacing w:before="100" w:after="100"/>
            </w:pPr>
            <w:r>
              <w:t>International Roaming and Diversion</w:t>
            </w:r>
          </w:p>
        </w:tc>
        <w:tc>
          <w:tcPr>
            <w:tcW w:w="2500" w:type="pct"/>
          </w:tcPr>
          <w:p w14:paraId="2253A73B" w14:textId="77777777" w:rsidR="000D07EA" w:rsidRDefault="00BE7C89">
            <w:pPr>
              <w:pStyle w:val="BodyText"/>
              <w:spacing w:before="100" w:after="100"/>
              <w:jc w:val="center"/>
            </w:pPr>
            <w:r>
              <w:t>No</w:t>
            </w:r>
          </w:p>
        </w:tc>
      </w:tr>
      <w:tr w:rsidR="000D07EA" w14:paraId="3824387D" w14:textId="77777777">
        <w:tc>
          <w:tcPr>
            <w:tcW w:w="2500" w:type="pct"/>
          </w:tcPr>
          <w:p w14:paraId="784EE593" w14:textId="77777777" w:rsidR="000D07EA" w:rsidRDefault="00BE7C89">
            <w:pPr>
              <w:pStyle w:val="BodyText"/>
              <w:spacing w:before="100" w:after="100"/>
            </w:pPr>
            <w:r>
              <w:t>Premium SMS</w:t>
            </w:r>
          </w:p>
        </w:tc>
        <w:tc>
          <w:tcPr>
            <w:tcW w:w="2500" w:type="pct"/>
          </w:tcPr>
          <w:p w14:paraId="05CA2CC5" w14:textId="77777777" w:rsidR="000D07EA" w:rsidRDefault="00BE7C89">
            <w:pPr>
              <w:pStyle w:val="BodyText"/>
              <w:spacing w:before="100" w:after="100"/>
              <w:jc w:val="center"/>
            </w:pPr>
            <w:r>
              <w:t>No</w:t>
            </w:r>
          </w:p>
        </w:tc>
      </w:tr>
      <w:tr w:rsidR="000D07EA" w14:paraId="0C1A4625" w14:textId="77777777">
        <w:tc>
          <w:tcPr>
            <w:tcW w:w="2500" w:type="pct"/>
          </w:tcPr>
          <w:p w14:paraId="6097F2B8" w14:textId="77777777" w:rsidR="000D07EA" w:rsidRDefault="00BE7C89">
            <w:pPr>
              <w:pStyle w:val="BodyText"/>
              <w:spacing w:before="100" w:after="100"/>
            </w:pPr>
            <w:r>
              <w:t>Premium Video</w:t>
            </w:r>
          </w:p>
        </w:tc>
        <w:tc>
          <w:tcPr>
            <w:tcW w:w="2500" w:type="pct"/>
          </w:tcPr>
          <w:p w14:paraId="4047587B" w14:textId="77777777" w:rsidR="000D07EA" w:rsidRDefault="00BE7C89">
            <w:pPr>
              <w:pStyle w:val="BodyText"/>
              <w:spacing w:before="100" w:after="100"/>
              <w:jc w:val="center"/>
            </w:pPr>
            <w:r>
              <w:t>No</w:t>
            </w:r>
          </w:p>
        </w:tc>
      </w:tr>
      <w:tr w:rsidR="000D07EA" w14:paraId="02E6AD6E" w14:textId="77777777">
        <w:tc>
          <w:tcPr>
            <w:tcW w:w="2500" w:type="pct"/>
          </w:tcPr>
          <w:p w14:paraId="6701BCA6" w14:textId="77777777" w:rsidR="000D07EA" w:rsidRDefault="00BE7C89">
            <w:pPr>
              <w:pStyle w:val="BodyText"/>
              <w:spacing w:before="100" w:after="100"/>
            </w:pPr>
            <w:r>
              <w:t>Video Conferencing</w:t>
            </w:r>
          </w:p>
        </w:tc>
        <w:tc>
          <w:tcPr>
            <w:tcW w:w="2500" w:type="pct"/>
          </w:tcPr>
          <w:p w14:paraId="48AF29E2" w14:textId="77777777" w:rsidR="000D07EA" w:rsidRDefault="00BE7C89">
            <w:pPr>
              <w:pStyle w:val="BodyText"/>
              <w:spacing w:before="100" w:after="100"/>
              <w:jc w:val="center"/>
            </w:pPr>
            <w:r>
              <w:t>No</w:t>
            </w:r>
          </w:p>
        </w:tc>
      </w:tr>
      <w:tr w:rsidR="000D07EA" w14:paraId="0B8297EC" w14:textId="77777777">
        <w:tc>
          <w:tcPr>
            <w:tcW w:w="2500" w:type="pct"/>
            <w:vAlign w:val="center"/>
          </w:tcPr>
          <w:p w14:paraId="6697FEC5" w14:textId="77777777" w:rsidR="000D07EA" w:rsidRDefault="00BE7C89">
            <w:pPr>
              <w:pStyle w:val="BodyText"/>
              <w:spacing w:before="100" w:after="100"/>
            </w:pPr>
            <w:r>
              <w:t>Optus Zoo or Optus iZoo Browsing</w:t>
            </w:r>
          </w:p>
        </w:tc>
        <w:tc>
          <w:tcPr>
            <w:tcW w:w="2500" w:type="pct"/>
          </w:tcPr>
          <w:p w14:paraId="7015B30B" w14:textId="77777777" w:rsidR="000D07EA" w:rsidRDefault="00BE7C89">
            <w:pPr>
              <w:pStyle w:val="BodyText"/>
              <w:spacing w:before="100" w:after="100"/>
              <w:jc w:val="center"/>
            </w:pPr>
            <w:r>
              <w:t>Yes, up to the monthly included data amount specified in Table 3A.</w:t>
            </w:r>
          </w:p>
        </w:tc>
      </w:tr>
      <w:tr w:rsidR="000D07EA" w14:paraId="11B0E5E8" w14:textId="77777777">
        <w:tc>
          <w:tcPr>
            <w:tcW w:w="2500" w:type="pct"/>
          </w:tcPr>
          <w:p w14:paraId="2C0AF401" w14:textId="77777777" w:rsidR="000D07EA" w:rsidRDefault="00BE7C89">
            <w:pPr>
              <w:pStyle w:val="BodyText"/>
              <w:spacing w:before="100" w:after="100"/>
            </w:pPr>
            <w:r>
              <w:t>Optus Zoo or Optus iZoo Downloads</w:t>
            </w:r>
          </w:p>
        </w:tc>
        <w:tc>
          <w:tcPr>
            <w:tcW w:w="2500" w:type="pct"/>
          </w:tcPr>
          <w:p w14:paraId="3B3F97D7" w14:textId="77777777" w:rsidR="000D07EA" w:rsidRDefault="00BE7C89">
            <w:pPr>
              <w:pStyle w:val="BodyText"/>
              <w:spacing w:before="100" w:after="100"/>
              <w:jc w:val="center"/>
            </w:pPr>
            <w:r>
              <w:t>No</w:t>
            </w:r>
          </w:p>
        </w:tc>
      </w:tr>
      <w:tr w:rsidR="000D07EA" w14:paraId="552F7944" w14:textId="77777777">
        <w:tc>
          <w:tcPr>
            <w:tcW w:w="2500" w:type="pct"/>
          </w:tcPr>
          <w:p w14:paraId="4A709DBE" w14:textId="77777777" w:rsidR="000D07EA" w:rsidRDefault="00BE7C89">
            <w:pPr>
              <w:pStyle w:val="BodyText"/>
              <w:spacing w:before="100" w:after="100"/>
            </w:pPr>
            <w:r>
              <w:t>SMS to 966 (Zoo)</w:t>
            </w:r>
          </w:p>
        </w:tc>
        <w:tc>
          <w:tcPr>
            <w:tcW w:w="2500" w:type="pct"/>
          </w:tcPr>
          <w:p w14:paraId="5D605F28" w14:textId="77777777" w:rsidR="000D07EA" w:rsidRDefault="00BE7C89">
            <w:pPr>
              <w:pStyle w:val="BodyText"/>
              <w:spacing w:before="100" w:after="100"/>
              <w:jc w:val="center"/>
            </w:pPr>
            <w:r>
              <w:t>No</w:t>
            </w:r>
          </w:p>
        </w:tc>
      </w:tr>
      <w:tr w:rsidR="000D07EA" w14:paraId="66BA3D5B" w14:textId="77777777">
        <w:tc>
          <w:tcPr>
            <w:tcW w:w="2500" w:type="pct"/>
            <w:vAlign w:val="center"/>
          </w:tcPr>
          <w:p w14:paraId="194C0996" w14:textId="77777777" w:rsidR="000D07EA" w:rsidRDefault="00BE7C89">
            <w:pPr>
              <w:pStyle w:val="BodyText"/>
              <w:spacing w:before="100" w:after="100"/>
            </w:pPr>
            <w:r>
              <w:t>Mobile Internet usage</w:t>
            </w:r>
          </w:p>
        </w:tc>
        <w:tc>
          <w:tcPr>
            <w:tcW w:w="2500" w:type="pct"/>
          </w:tcPr>
          <w:p w14:paraId="151877D7" w14:textId="77777777" w:rsidR="000D07EA" w:rsidRDefault="00BE7C89">
            <w:pPr>
              <w:pStyle w:val="BodyText"/>
              <w:spacing w:before="100" w:after="100"/>
              <w:jc w:val="center"/>
            </w:pPr>
            <w:r>
              <w:t>Yes, up to the monthly included data amount specified in Table 3A.</w:t>
            </w:r>
          </w:p>
        </w:tc>
      </w:tr>
      <w:tr w:rsidR="000D07EA" w14:paraId="7962A226" w14:textId="77777777">
        <w:tc>
          <w:tcPr>
            <w:tcW w:w="2500" w:type="pct"/>
          </w:tcPr>
          <w:p w14:paraId="11D0CC7D" w14:textId="77777777" w:rsidR="000D07EA" w:rsidRDefault="00BE7C89">
            <w:pPr>
              <w:pStyle w:val="BodyText"/>
              <w:spacing w:before="100" w:after="100"/>
            </w:pPr>
            <w:r>
              <w:t>Mobile as Modem</w:t>
            </w:r>
          </w:p>
        </w:tc>
        <w:tc>
          <w:tcPr>
            <w:tcW w:w="2500" w:type="pct"/>
          </w:tcPr>
          <w:p w14:paraId="124197A0" w14:textId="77777777" w:rsidR="000D07EA" w:rsidRDefault="00BE7C89">
            <w:pPr>
              <w:pStyle w:val="BodyText"/>
              <w:spacing w:before="100" w:after="100"/>
              <w:jc w:val="center"/>
            </w:pPr>
            <w:r>
              <w:t>Yes</w:t>
            </w:r>
          </w:p>
        </w:tc>
      </w:tr>
      <w:tr w:rsidR="000D07EA" w14:paraId="6369EB9F" w14:textId="77777777">
        <w:tc>
          <w:tcPr>
            <w:tcW w:w="2500" w:type="pct"/>
          </w:tcPr>
          <w:p w14:paraId="57F38184" w14:textId="77777777" w:rsidR="000D07EA" w:rsidRDefault="00BE7C89">
            <w:pPr>
              <w:pStyle w:val="BodyText"/>
              <w:spacing w:before="100" w:after="100"/>
            </w:pPr>
            <w:r>
              <w:t>Data Used while Roaming Internationally</w:t>
            </w:r>
          </w:p>
        </w:tc>
        <w:tc>
          <w:tcPr>
            <w:tcW w:w="2500" w:type="pct"/>
          </w:tcPr>
          <w:p w14:paraId="33BC8C94" w14:textId="77777777" w:rsidR="000D07EA" w:rsidRDefault="00BE7C89">
            <w:pPr>
              <w:pStyle w:val="BodyText"/>
              <w:spacing w:before="100" w:after="100"/>
              <w:jc w:val="center"/>
            </w:pPr>
            <w:r>
              <w:t>No</w:t>
            </w:r>
          </w:p>
        </w:tc>
      </w:tr>
      <w:tr w:rsidR="000D07EA" w14:paraId="3EB64B53" w14:textId="77777777">
        <w:tc>
          <w:tcPr>
            <w:tcW w:w="2500" w:type="pct"/>
          </w:tcPr>
          <w:p w14:paraId="71811524" w14:textId="77777777" w:rsidR="000D07EA" w:rsidRDefault="00BE7C89">
            <w:pPr>
              <w:pStyle w:val="BodyText"/>
              <w:spacing w:before="100" w:after="100"/>
            </w:pPr>
            <w:r>
              <w:t>Content Packs (unless specified in promotions)</w:t>
            </w:r>
          </w:p>
        </w:tc>
        <w:tc>
          <w:tcPr>
            <w:tcW w:w="2500" w:type="pct"/>
          </w:tcPr>
          <w:p w14:paraId="0014F2E1" w14:textId="77777777" w:rsidR="000D07EA" w:rsidRDefault="00BE7C89">
            <w:pPr>
              <w:pStyle w:val="BodyText"/>
              <w:spacing w:before="100" w:after="100"/>
              <w:jc w:val="center"/>
            </w:pPr>
            <w:r>
              <w:t>No</w:t>
            </w:r>
          </w:p>
        </w:tc>
      </w:tr>
      <w:tr w:rsidR="000D07EA" w14:paraId="2156AB73" w14:textId="77777777">
        <w:tc>
          <w:tcPr>
            <w:tcW w:w="2500" w:type="pct"/>
          </w:tcPr>
          <w:p w14:paraId="727481B9" w14:textId="77777777" w:rsidR="000D07EA" w:rsidRDefault="00BE7C89">
            <w:pPr>
              <w:pStyle w:val="BodyText"/>
              <w:spacing w:before="100" w:after="100"/>
            </w:pPr>
            <w:r>
              <w:t>TrueLocal Usage</w:t>
            </w:r>
          </w:p>
        </w:tc>
        <w:tc>
          <w:tcPr>
            <w:tcW w:w="2500" w:type="pct"/>
          </w:tcPr>
          <w:p w14:paraId="7AA18420" w14:textId="77777777" w:rsidR="000D07EA" w:rsidRDefault="00BE7C89">
            <w:pPr>
              <w:pStyle w:val="BodyText"/>
              <w:spacing w:before="100" w:after="100"/>
              <w:jc w:val="center"/>
            </w:pPr>
            <w:r>
              <w:t>No</w:t>
            </w:r>
          </w:p>
        </w:tc>
      </w:tr>
      <w:tr w:rsidR="000D07EA" w14:paraId="3BA9CD7B" w14:textId="77777777">
        <w:tc>
          <w:tcPr>
            <w:tcW w:w="2500" w:type="pct"/>
          </w:tcPr>
          <w:p w14:paraId="14FC1CF1" w14:textId="77777777" w:rsidR="000D07EA" w:rsidRDefault="00BE7C89">
            <w:pPr>
              <w:pStyle w:val="BodyText"/>
              <w:spacing w:before="100" w:after="100"/>
            </w:pPr>
            <w:r>
              <w:t xml:space="preserve">Directory Assistance- 1223 </w:t>
            </w:r>
          </w:p>
        </w:tc>
        <w:tc>
          <w:tcPr>
            <w:tcW w:w="2500" w:type="pct"/>
          </w:tcPr>
          <w:p w14:paraId="26EF0BF0" w14:textId="77777777" w:rsidR="000D07EA" w:rsidRDefault="00BE7C89">
            <w:pPr>
              <w:pStyle w:val="BodyText"/>
              <w:spacing w:before="100" w:after="100"/>
              <w:jc w:val="center"/>
            </w:pPr>
            <w:r>
              <w:t>No</w:t>
            </w:r>
          </w:p>
        </w:tc>
      </w:tr>
      <w:tr w:rsidR="000D07EA" w14:paraId="04A61CEC" w14:textId="77777777">
        <w:tc>
          <w:tcPr>
            <w:tcW w:w="2500" w:type="pct"/>
          </w:tcPr>
          <w:p w14:paraId="7C3CB29C" w14:textId="77777777" w:rsidR="000D07EA" w:rsidRDefault="00BE7C89">
            <w:pPr>
              <w:pStyle w:val="BodyText"/>
              <w:spacing w:before="100" w:after="100"/>
            </w:pPr>
            <w:r>
              <w:t>19XX Numbers</w:t>
            </w:r>
          </w:p>
        </w:tc>
        <w:tc>
          <w:tcPr>
            <w:tcW w:w="2500" w:type="pct"/>
          </w:tcPr>
          <w:p w14:paraId="3F9CFD16" w14:textId="77777777" w:rsidR="000D07EA" w:rsidRDefault="00BE7C89">
            <w:pPr>
              <w:pStyle w:val="BodyText"/>
              <w:spacing w:before="100" w:after="100"/>
              <w:jc w:val="center"/>
            </w:pPr>
            <w:r>
              <w:t>No</w:t>
            </w:r>
          </w:p>
        </w:tc>
      </w:tr>
      <w:tr w:rsidR="000D07EA" w14:paraId="4A9BD3F4" w14:textId="77777777">
        <w:tc>
          <w:tcPr>
            <w:tcW w:w="2500" w:type="pct"/>
          </w:tcPr>
          <w:p w14:paraId="73B03ABC" w14:textId="77777777" w:rsidR="000D07EA" w:rsidRDefault="00BE7C89">
            <w:pPr>
              <w:pStyle w:val="BodyText"/>
              <w:spacing w:before="100" w:after="100"/>
            </w:pPr>
            <w:r>
              <w:t>1800, 13 and 1300 numbers</w:t>
            </w:r>
          </w:p>
        </w:tc>
        <w:tc>
          <w:tcPr>
            <w:tcW w:w="2500" w:type="pct"/>
          </w:tcPr>
          <w:p w14:paraId="4ACA368E" w14:textId="77777777" w:rsidR="000D07EA" w:rsidRDefault="00BE7C89">
            <w:pPr>
              <w:pStyle w:val="BodyText"/>
              <w:spacing w:before="100" w:after="100"/>
              <w:jc w:val="center"/>
            </w:pPr>
            <w:r>
              <w:t>No</w:t>
            </w:r>
          </w:p>
        </w:tc>
      </w:tr>
      <w:tr w:rsidR="000D07EA" w14:paraId="6349F849" w14:textId="77777777">
        <w:tc>
          <w:tcPr>
            <w:tcW w:w="2500" w:type="pct"/>
          </w:tcPr>
          <w:p w14:paraId="571F26D5" w14:textId="77777777" w:rsidR="000D07EA" w:rsidRDefault="00BE7C89">
            <w:pPr>
              <w:pStyle w:val="BodyText"/>
              <w:spacing w:before="100" w:after="100"/>
            </w:pPr>
            <w:r>
              <w:lastRenderedPageBreak/>
              <w:t>124YES(937)</w:t>
            </w:r>
          </w:p>
        </w:tc>
        <w:tc>
          <w:tcPr>
            <w:tcW w:w="2500" w:type="pct"/>
          </w:tcPr>
          <w:p w14:paraId="6121A87F" w14:textId="77777777" w:rsidR="000D07EA" w:rsidRDefault="00BE7C89">
            <w:pPr>
              <w:pStyle w:val="BodyText"/>
              <w:spacing w:before="100" w:after="100"/>
              <w:jc w:val="center"/>
            </w:pPr>
            <w:r>
              <w:t>No</w:t>
            </w:r>
          </w:p>
        </w:tc>
      </w:tr>
      <w:tr w:rsidR="000D07EA" w14:paraId="0C67F437" w14:textId="77777777">
        <w:tc>
          <w:tcPr>
            <w:tcW w:w="2500" w:type="pct"/>
          </w:tcPr>
          <w:p w14:paraId="27C6F4CB" w14:textId="77777777" w:rsidR="000D07EA" w:rsidRDefault="00BE7C89">
            <w:pPr>
              <w:pStyle w:val="BodyText"/>
              <w:spacing w:before="100" w:after="100"/>
            </w:pPr>
            <w:r>
              <w:t>Insurance</w:t>
            </w:r>
          </w:p>
        </w:tc>
        <w:tc>
          <w:tcPr>
            <w:tcW w:w="2500" w:type="pct"/>
          </w:tcPr>
          <w:p w14:paraId="16A9D548" w14:textId="77777777" w:rsidR="000D07EA" w:rsidRDefault="00BE7C89">
            <w:pPr>
              <w:pStyle w:val="BodyText"/>
              <w:spacing w:before="100" w:after="100"/>
              <w:jc w:val="center"/>
            </w:pPr>
            <w:r>
              <w:t>No</w:t>
            </w:r>
          </w:p>
        </w:tc>
      </w:tr>
      <w:tr w:rsidR="000D07EA" w14:paraId="07835F2A" w14:textId="77777777">
        <w:tc>
          <w:tcPr>
            <w:tcW w:w="2500" w:type="pct"/>
          </w:tcPr>
          <w:p w14:paraId="0B109948" w14:textId="77777777" w:rsidR="000D07EA" w:rsidRDefault="00BE7C89">
            <w:pPr>
              <w:pStyle w:val="BodyText"/>
              <w:spacing w:before="100" w:after="100"/>
            </w:pPr>
            <w:r>
              <w:t>Handset Payments</w:t>
            </w:r>
          </w:p>
        </w:tc>
        <w:tc>
          <w:tcPr>
            <w:tcW w:w="2500" w:type="pct"/>
          </w:tcPr>
          <w:p w14:paraId="16D51495" w14:textId="77777777" w:rsidR="000D07EA" w:rsidRDefault="00BE7C89">
            <w:pPr>
              <w:pStyle w:val="BodyText"/>
              <w:spacing w:before="100" w:after="100"/>
              <w:jc w:val="center"/>
            </w:pPr>
            <w:r>
              <w:t>No</w:t>
            </w:r>
          </w:p>
        </w:tc>
      </w:tr>
      <w:tr w:rsidR="000D07EA" w14:paraId="005D928E" w14:textId="77777777">
        <w:tc>
          <w:tcPr>
            <w:tcW w:w="2500" w:type="pct"/>
          </w:tcPr>
          <w:p w14:paraId="55E6893A" w14:textId="77777777" w:rsidR="000D07EA" w:rsidRDefault="00BE7C89">
            <w:pPr>
              <w:pStyle w:val="BodyText"/>
              <w:spacing w:before="100" w:after="100"/>
            </w:pPr>
            <w:r>
              <w:t>Calls to MobileSat</w:t>
            </w:r>
          </w:p>
        </w:tc>
        <w:tc>
          <w:tcPr>
            <w:tcW w:w="2500" w:type="pct"/>
          </w:tcPr>
          <w:p w14:paraId="082B4E0A" w14:textId="77777777" w:rsidR="000D07EA" w:rsidRDefault="00BE7C89">
            <w:pPr>
              <w:pStyle w:val="BodyText"/>
              <w:spacing w:before="100" w:after="100"/>
              <w:jc w:val="center"/>
            </w:pPr>
            <w:r>
              <w:t>No</w:t>
            </w:r>
          </w:p>
        </w:tc>
      </w:tr>
      <w:tr w:rsidR="000D07EA" w14:paraId="5CC25115" w14:textId="77777777">
        <w:tc>
          <w:tcPr>
            <w:tcW w:w="2500" w:type="pct"/>
          </w:tcPr>
          <w:p w14:paraId="20CBF88D" w14:textId="77777777" w:rsidR="000D07EA" w:rsidRDefault="00BE7C89">
            <w:pPr>
              <w:pStyle w:val="BodyText"/>
              <w:spacing w:before="100" w:after="100"/>
            </w:pPr>
            <w:r>
              <w:t>VOIP services</w:t>
            </w:r>
          </w:p>
        </w:tc>
        <w:tc>
          <w:tcPr>
            <w:tcW w:w="2500" w:type="pct"/>
          </w:tcPr>
          <w:p w14:paraId="4C0AFE15" w14:textId="77777777" w:rsidR="000D07EA" w:rsidRDefault="00BE7C89">
            <w:pPr>
              <w:pStyle w:val="BodyText"/>
              <w:spacing w:before="100" w:after="100"/>
              <w:jc w:val="center"/>
            </w:pPr>
            <w:r>
              <w:t>No</w:t>
            </w:r>
          </w:p>
        </w:tc>
      </w:tr>
    </w:tbl>
    <w:p w14:paraId="25AD6A39" w14:textId="77777777" w:rsidR="000D07EA" w:rsidRDefault="000D07EA">
      <w:pPr>
        <w:pStyle w:val="BodyText"/>
      </w:pPr>
    </w:p>
    <w:p w14:paraId="08D0CD26" w14:textId="77777777" w:rsidR="000D07EA" w:rsidRDefault="00BE7C89">
      <w:pPr>
        <w:pStyle w:val="BodyText"/>
        <w:ind w:left="720"/>
        <w:rPr>
          <w:b/>
        </w:rPr>
      </w:pPr>
      <w:r>
        <w:rPr>
          <w:b/>
        </w:rPr>
        <w:t>Table 2B – Eligible for Unlimited BlackBerry POP3 Email &amp; Browsing through the BlackBerry Browser</w:t>
      </w: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730"/>
        <w:gridCol w:w="4731"/>
      </w:tblGrid>
      <w:tr w:rsidR="000D07EA" w14:paraId="6DB4E798" w14:textId="77777777">
        <w:trPr>
          <w:tblHeader/>
        </w:trPr>
        <w:tc>
          <w:tcPr>
            <w:tcW w:w="2500" w:type="pct"/>
          </w:tcPr>
          <w:p w14:paraId="4D5AE65F" w14:textId="77777777" w:rsidR="000D07EA" w:rsidRDefault="00BE7C89">
            <w:pPr>
              <w:pStyle w:val="BodyText"/>
              <w:spacing w:before="100" w:after="100"/>
              <w:rPr>
                <w:b/>
              </w:rPr>
            </w:pPr>
            <w:r>
              <w:rPr>
                <w:b/>
              </w:rPr>
              <w:t>Call Type</w:t>
            </w:r>
          </w:p>
        </w:tc>
        <w:tc>
          <w:tcPr>
            <w:tcW w:w="2500" w:type="pct"/>
          </w:tcPr>
          <w:p w14:paraId="3344B3DD" w14:textId="77777777" w:rsidR="000D07EA" w:rsidRDefault="00BE7C89">
            <w:pPr>
              <w:pStyle w:val="BodyText"/>
              <w:spacing w:before="100" w:after="100"/>
              <w:jc w:val="center"/>
              <w:rPr>
                <w:b/>
              </w:rPr>
            </w:pPr>
            <w:r>
              <w:rPr>
                <w:b/>
              </w:rPr>
              <w:t>Eligible Data</w:t>
            </w:r>
          </w:p>
        </w:tc>
      </w:tr>
      <w:tr w:rsidR="000D07EA" w14:paraId="1DCCD78F" w14:textId="77777777">
        <w:tc>
          <w:tcPr>
            <w:tcW w:w="2500" w:type="pct"/>
          </w:tcPr>
          <w:p w14:paraId="5025A8E8" w14:textId="77777777" w:rsidR="000D07EA" w:rsidRDefault="00BE7C89">
            <w:pPr>
              <w:pStyle w:val="BodyText"/>
              <w:spacing w:before="100" w:after="100"/>
            </w:pPr>
            <w:r>
              <w:t>BlackBerry Email (POP3)</w:t>
            </w:r>
          </w:p>
        </w:tc>
        <w:tc>
          <w:tcPr>
            <w:tcW w:w="2500" w:type="pct"/>
          </w:tcPr>
          <w:p w14:paraId="4FCD9B54" w14:textId="77777777" w:rsidR="000D07EA" w:rsidRDefault="00BE7C89">
            <w:pPr>
              <w:pStyle w:val="BodyText"/>
              <w:spacing w:before="100" w:after="100"/>
              <w:jc w:val="center"/>
            </w:pPr>
            <w:r>
              <w:t>Yes</w:t>
            </w:r>
          </w:p>
        </w:tc>
      </w:tr>
      <w:tr w:rsidR="000D07EA" w14:paraId="05F641E0" w14:textId="77777777">
        <w:tc>
          <w:tcPr>
            <w:tcW w:w="2500" w:type="pct"/>
          </w:tcPr>
          <w:p w14:paraId="56764DF5" w14:textId="77777777" w:rsidR="000D07EA" w:rsidRDefault="00BE7C89">
            <w:pPr>
              <w:pStyle w:val="BodyText"/>
              <w:spacing w:before="100" w:after="100"/>
            </w:pPr>
            <w:r>
              <w:t>Internet Browsing through the BlackBerry Browser and/or the BlackBerry Internet Browser</w:t>
            </w:r>
          </w:p>
        </w:tc>
        <w:tc>
          <w:tcPr>
            <w:tcW w:w="2500" w:type="pct"/>
          </w:tcPr>
          <w:p w14:paraId="13999503" w14:textId="77777777" w:rsidR="000D07EA" w:rsidRDefault="00BE7C89">
            <w:pPr>
              <w:pStyle w:val="BodyText"/>
              <w:spacing w:before="100" w:after="100"/>
              <w:jc w:val="center"/>
            </w:pPr>
            <w:r>
              <w:t>Yes</w:t>
            </w:r>
          </w:p>
        </w:tc>
      </w:tr>
      <w:tr w:rsidR="000D07EA" w14:paraId="29C11A06" w14:textId="77777777">
        <w:tc>
          <w:tcPr>
            <w:tcW w:w="2500" w:type="pct"/>
          </w:tcPr>
          <w:p w14:paraId="5349E12D" w14:textId="77777777" w:rsidR="000D07EA" w:rsidRDefault="00BE7C89">
            <w:pPr>
              <w:pStyle w:val="BodyText"/>
              <w:spacing w:before="100" w:after="100"/>
            </w:pPr>
            <w:r>
              <w:t>Optus Zoo downloads and subscriptions</w:t>
            </w:r>
          </w:p>
        </w:tc>
        <w:tc>
          <w:tcPr>
            <w:tcW w:w="2500" w:type="pct"/>
          </w:tcPr>
          <w:p w14:paraId="54505B08" w14:textId="77777777" w:rsidR="000D07EA" w:rsidRDefault="00BE7C89">
            <w:pPr>
              <w:pStyle w:val="BodyText"/>
              <w:spacing w:before="100" w:after="100"/>
              <w:jc w:val="center"/>
            </w:pPr>
            <w:r>
              <w:t>No</w:t>
            </w:r>
          </w:p>
        </w:tc>
      </w:tr>
      <w:tr w:rsidR="000D07EA" w14:paraId="0B31C9D2" w14:textId="77777777">
        <w:tc>
          <w:tcPr>
            <w:tcW w:w="2500" w:type="pct"/>
          </w:tcPr>
          <w:p w14:paraId="70102308" w14:textId="77777777" w:rsidR="000D07EA" w:rsidRDefault="00BE7C89">
            <w:pPr>
              <w:pStyle w:val="BodyText"/>
              <w:spacing w:before="100" w:after="100"/>
            </w:pPr>
            <w:r>
              <w:t>Optus Zoo GPRS WAP browsing</w:t>
            </w:r>
          </w:p>
        </w:tc>
        <w:tc>
          <w:tcPr>
            <w:tcW w:w="2500" w:type="pct"/>
          </w:tcPr>
          <w:p w14:paraId="361CD55B" w14:textId="77777777" w:rsidR="000D07EA" w:rsidRDefault="00BE7C89">
            <w:pPr>
              <w:pStyle w:val="BodyText"/>
              <w:spacing w:before="100" w:after="100"/>
              <w:jc w:val="center"/>
            </w:pPr>
            <w:r>
              <w:t>No</w:t>
            </w:r>
          </w:p>
        </w:tc>
      </w:tr>
      <w:tr w:rsidR="000D07EA" w14:paraId="3C304AC0" w14:textId="77777777">
        <w:tc>
          <w:tcPr>
            <w:tcW w:w="2500" w:type="pct"/>
          </w:tcPr>
          <w:p w14:paraId="101834E4" w14:textId="77777777" w:rsidR="000D07EA" w:rsidRDefault="00BE7C89">
            <w:pPr>
              <w:pStyle w:val="BodyText"/>
              <w:spacing w:before="100" w:after="100"/>
            </w:pPr>
            <w:r>
              <w:t>Applications from Optus and third party applications that require a BlackBerry Data connection</w:t>
            </w:r>
          </w:p>
        </w:tc>
        <w:tc>
          <w:tcPr>
            <w:tcW w:w="2500" w:type="pct"/>
          </w:tcPr>
          <w:p w14:paraId="0BB1B9C4" w14:textId="77777777" w:rsidR="000D07EA" w:rsidRDefault="00BE7C89">
            <w:pPr>
              <w:pStyle w:val="BodyText"/>
              <w:spacing w:before="100" w:after="100"/>
              <w:jc w:val="center"/>
            </w:pPr>
            <w:r>
              <w:t>Yes</w:t>
            </w:r>
          </w:p>
        </w:tc>
      </w:tr>
      <w:tr w:rsidR="000D07EA" w14:paraId="7EC16A4F" w14:textId="77777777">
        <w:tc>
          <w:tcPr>
            <w:tcW w:w="2500" w:type="pct"/>
          </w:tcPr>
          <w:p w14:paraId="23B08A95" w14:textId="77777777" w:rsidR="000D07EA" w:rsidRDefault="00BE7C89">
            <w:pPr>
              <w:pStyle w:val="BodyText"/>
              <w:spacing w:before="100" w:after="100"/>
            </w:pPr>
            <w:r>
              <w:t>Applications from Optus and third party applications that require a Mobile Internet Data connection</w:t>
            </w:r>
          </w:p>
        </w:tc>
        <w:tc>
          <w:tcPr>
            <w:tcW w:w="2500" w:type="pct"/>
          </w:tcPr>
          <w:p w14:paraId="46C14002" w14:textId="77777777" w:rsidR="000D07EA" w:rsidRDefault="00BE7C89">
            <w:pPr>
              <w:pStyle w:val="BodyText"/>
              <w:spacing w:before="100" w:after="100"/>
              <w:jc w:val="center"/>
            </w:pPr>
            <w:r>
              <w:t>No</w:t>
            </w:r>
          </w:p>
        </w:tc>
      </w:tr>
      <w:tr w:rsidR="000D07EA" w14:paraId="62802E92" w14:textId="77777777">
        <w:tc>
          <w:tcPr>
            <w:tcW w:w="2500" w:type="pct"/>
          </w:tcPr>
          <w:p w14:paraId="5D1853E1" w14:textId="77777777" w:rsidR="000D07EA" w:rsidRDefault="00BE7C89">
            <w:pPr>
              <w:pStyle w:val="BodyText"/>
              <w:spacing w:before="100" w:after="100"/>
            </w:pPr>
            <w:r>
              <w:t>Mobile as Modem/Tethering</w:t>
            </w:r>
          </w:p>
        </w:tc>
        <w:tc>
          <w:tcPr>
            <w:tcW w:w="2500" w:type="pct"/>
          </w:tcPr>
          <w:p w14:paraId="0956D042" w14:textId="77777777" w:rsidR="000D07EA" w:rsidRDefault="00BE7C89">
            <w:pPr>
              <w:pStyle w:val="BodyText"/>
              <w:spacing w:before="100" w:after="100"/>
              <w:jc w:val="center"/>
            </w:pPr>
            <w:r>
              <w:t>No</w:t>
            </w:r>
          </w:p>
        </w:tc>
      </w:tr>
      <w:tr w:rsidR="000D07EA" w14:paraId="0F6E6422" w14:textId="77777777">
        <w:tc>
          <w:tcPr>
            <w:tcW w:w="2500" w:type="pct"/>
          </w:tcPr>
          <w:p w14:paraId="6A877286" w14:textId="77777777" w:rsidR="000D07EA" w:rsidRDefault="00BE7C89">
            <w:pPr>
              <w:pStyle w:val="BodyText"/>
              <w:spacing w:before="100" w:after="100"/>
            </w:pPr>
            <w:r>
              <w:t>Data Used while Roaming Internationally</w:t>
            </w:r>
          </w:p>
        </w:tc>
        <w:tc>
          <w:tcPr>
            <w:tcW w:w="2500" w:type="pct"/>
          </w:tcPr>
          <w:p w14:paraId="69417690" w14:textId="77777777" w:rsidR="000D07EA" w:rsidRDefault="00BE7C89">
            <w:pPr>
              <w:pStyle w:val="BodyText"/>
              <w:spacing w:before="100" w:after="100"/>
              <w:jc w:val="center"/>
            </w:pPr>
            <w:r>
              <w:t>No</w:t>
            </w:r>
          </w:p>
        </w:tc>
      </w:tr>
      <w:tr w:rsidR="000D07EA" w14:paraId="065C7140" w14:textId="77777777">
        <w:tc>
          <w:tcPr>
            <w:tcW w:w="2500" w:type="pct"/>
          </w:tcPr>
          <w:p w14:paraId="19041C75" w14:textId="77777777" w:rsidR="000D07EA" w:rsidRDefault="00BE7C89">
            <w:pPr>
              <w:pStyle w:val="BodyText"/>
              <w:spacing w:before="100" w:after="100"/>
            </w:pPr>
            <w:r>
              <w:t>Content Packs (unless specified in promotions)</w:t>
            </w:r>
          </w:p>
        </w:tc>
        <w:tc>
          <w:tcPr>
            <w:tcW w:w="2500" w:type="pct"/>
          </w:tcPr>
          <w:p w14:paraId="4DC47F82" w14:textId="77777777" w:rsidR="000D07EA" w:rsidRDefault="00BE7C89">
            <w:pPr>
              <w:pStyle w:val="BodyText"/>
              <w:spacing w:before="100" w:after="100"/>
              <w:jc w:val="center"/>
            </w:pPr>
            <w:r>
              <w:t>No</w:t>
            </w:r>
          </w:p>
        </w:tc>
      </w:tr>
      <w:tr w:rsidR="000D07EA" w14:paraId="49AB597B" w14:textId="77777777">
        <w:tc>
          <w:tcPr>
            <w:tcW w:w="2500" w:type="pct"/>
          </w:tcPr>
          <w:p w14:paraId="2371619E" w14:textId="77777777" w:rsidR="000D07EA" w:rsidRDefault="00BE7C89">
            <w:pPr>
              <w:pStyle w:val="BodyText"/>
              <w:spacing w:before="100" w:after="100"/>
            </w:pPr>
            <w:r>
              <w:t>Video Streaming (You Tube)</w:t>
            </w:r>
          </w:p>
        </w:tc>
        <w:tc>
          <w:tcPr>
            <w:tcW w:w="2500" w:type="pct"/>
          </w:tcPr>
          <w:p w14:paraId="4FBABB2C" w14:textId="77777777" w:rsidR="000D07EA" w:rsidRDefault="00BE7C89">
            <w:pPr>
              <w:pStyle w:val="BodyText"/>
              <w:spacing w:before="100" w:after="100"/>
              <w:jc w:val="center"/>
            </w:pPr>
            <w:r>
              <w:t>No</w:t>
            </w:r>
          </w:p>
        </w:tc>
      </w:tr>
      <w:tr w:rsidR="000D07EA" w14:paraId="18DD43DA" w14:textId="77777777">
        <w:tc>
          <w:tcPr>
            <w:tcW w:w="2500" w:type="pct"/>
          </w:tcPr>
          <w:p w14:paraId="4D949CFF" w14:textId="77777777" w:rsidR="000D07EA" w:rsidRDefault="00BE7C89">
            <w:pPr>
              <w:pStyle w:val="BodyText"/>
              <w:spacing w:before="100" w:after="100"/>
            </w:pPr>
            <w:r>
              <w:t>All other call types or usage</w:t>
            </w:r>
          </w:p>
        </w:tc>
        <w:tc>
          <w:tcPr>
            <w:tcW w:w="2500" w:type="pct"/>
          </w:tcPr>
          <w:p w14:paraId="5957D041" w14:textId="77777777" w:rsidR="000D07EA" w:rsidRDefault="00BE7C89">
            <w:pPr>
              <w:pStyle w:val="BodyText"/>
              <w:spacing w:before="100" w:after="100"/>
              <w:jc w:val="center"/>
            </w:pPr>
            <w:r>
              <w:t>No</w:t>
            </w:r>
          </w:p>
        </w:tc>
      </w:tr>
    </w:tbl>
    <w:p w14:paraId="7B80CDCB" w14:textId="77777777" w:rsidR="000D07EA" w:rsidRDefault="000D07EA">
      <w:pPr>
        <w:pStyle w:val="BodyText"/>
      </w:pPr>
    </w:p>
    <w:p w14:paraId="1763EF84" w14:textId="77777777" w:rsidR="000D07EA" w:rsidRDefault="00BE7C89">
      <w:pPr>
        <w:pStyle w:val="BodyText"/>
        <w:ind w:left="720"/>
        <w:rPr>
          <w:b/>
        </w:rPr>
      </w:pPr>
      <w:r>
        <w:rPr>
          <w:b/>
        </w:rPr>
        <w:t>Table 3A – Charges for Handset Plan ($89 Business Timeless (Feb-12)) and Handset Plan with Handset Credit ($89 Business Timeless (Feb-12 – Premium H/S))</w:t>
      </w:r>
    </w:p>
    <w:tbl>
      <w:tblPr>
        <w:tblW w:w="4646" w:type="pct"/>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733"/>
        <w:gridCol w:w="4734"/>
      </w:tblGrid>
      <w:tr w:rsidR="000D07EA" w14:paraId="3F4FB916" w14:textId="77777777">
        <w:trPr>
          <w:tblHeader/>
        </w:trPr>
        <w:tc>
          <w:tcPr>
            <w:tcW w:w="2500" w:type="pct"/>
          </w:tcPr>
          <w:p w14:paraId="6FE85DB6" w14:textId="77777777" w:rsidR="000D07EA" w:rsidRDefault="00BE7C89">
            <w:pPr>
              <w:pStyle w:val="BodyText"/>
              <w:rPr>
                <w:b/>
              </w:rPr>
            </w:pPr>
            <w:r>
              <w:rPr>
                <w:b/>
              </w:rPr>
              <w:t>12 Month OR 24 Month plans</w:t>
            </w:r>
          </w:p>
        </w:tc>
        <w:tc>
          <w:tcPr>
            <w:tcW w:w="2500" w:type="pct"/>
          </w:tcPr>
          <w:p w14:paraId="40600940" w14:textId="77777777" w:rsidR="000D07EA" w:rsidRDefault="00BE7C89">
            <w:pPr>
              <w:pStyle w:val="BodyText"/>
              <w:jc w:val="center"/>
            </w:pPr>
            <w:r>
              <w:rPr>
                <w:b/>
              </w:rPr>
              <w:t>$89 Business Timeless (Feb-12)</w:t>
            </w:r>
            <w:r>
              <w:rPr>
                <w:b/>
              </w:rPr>
              <w:br/>
              <w:t>and</w:t>
            </w:r>
            <w:r>
              <w:rPr>
                <w:b/>
              </w:rPr>
              <w:br/>
              <w:t>$89 Business Timeless (Feb-12 - Premium H/S)</w:t>
            </w:r>
          </w:p>
        </w:tc>
      </w:tr>
      <w:tr w:rsidR="000D07EA" w14:paraId="05DF4A3D" w14:textId="77777777">
        <w:tc>
          <w:tcPr>
            <w:tcW w:w="2500" w:type="pct"/>
          </w:tcPr>
          <w:p w14:paraId="707C5CDA" w14:textId="77777777" w:rsidR="000D07EA" w:rsidRDefault="00BE7C89">
            <w:pPr>
              <w:pStyle w:val="BodyText"/>
            </w:pPr>
            <w:r>
              <w:t>Minimum Monthly charge</w:t>
            </w:r>
          </w:p>
        </w:tc>
        <w:tc>
          <w:tcPr>
            <w:tcW w:w="2500" w:type="pct"/>
          </w:tcPr>
          <w:p w14:paraId="6E030B8E" w14:textId="77777777" w:rsidR="000D07EA" w:rsidRDefault="00BE7C89">
            <w:pPr>
              <w:pStyle w:val="BodyText"/>
              <w:jc w:val="center"/>
            </w:pPr>
            <w:r>
              <w:t>$89</w:t>
            </w:r>
          </w:p>
        </w:tc>
      </w:tr>
      <w:tr w:rsidR="000D07EA" w14:paraId="395240C4" w14:textId="77777777">
        <w:tc>
          <w:tcPr>
            <w:tcW w:w="2500" w:type="pct"/>
          </w:tcPr>
          <w:p w14:paraId="622FBF2E" w14:textId="77777777" w:rsidR="000D07EA" w:rsidRDefault="00BE7C89">
            <w:pPr>
              <w:pStyle w:val="BodyText"/>
            </w:pPr>
            <w:r>
              <w:t>Standard local &amp; national calls to Australian fixed lines within Australia</w:t>
            </w:r>
          </w:p>
        </w:tc>
        <w:tc>
          <w:tcPr>
            <w:tcW w:w="2500" w:type="pct"/>
          </w:tcPr>
          <w:p w14:paraId="5CC62A51" w14:textId="77777777" w:rsidR="000D07EA" w:rsidRDefault="00BE7C89">
            <w:pPr>
              <w:pStyle w:val="BodyText"/>
              <w:jc w:val="center"/>
            </w:pPr>
            <w:r>
              <w:t>Unlimited</w:t>
            </w:r>
          </w:p>
        </w:tc>
      </w:tr>
      <w:tr w:rsidR="000D07EA" w14:paraId="4D37DBFC" w14:textId="77777777">
        <w:tc>
          <w:tcPr>
            <w:tcW w:w="2500" w:type="pct"/>
          </w:tcPr>
          <w:p w14:paraId="238B62CA" w14:textId="77777777" w:rsidR="000D07EA" w:rsidRDefault="00BE7C89">
            <w:pPr>
              <w:pStyle w:val="BodyText"/>
            </w:pPr>
            <w:r>
              <w:t>Standard voice &amp; video calls to Australian GSM mobiles (excludes Pivotel) within Australia</w:t>
            </w:r>
          </w:p>
        </w:tc>
        <w:tc>
          <w:tcPr>
            <w:tcW w:w="2500" w:type="pct"/>
          </w:tcPr>
          <w:p w14:paraId="3559B314" w14:textId="77777777" w:rsidR="000D07EA" w:rsidRDefault="00BE7C89">
            <w:pPr>
              <w:pStyle w:val="BodyText"/>
              <w:jc w:val="center"/>
            </w:pPr>
            <w:r>
              <w:t>Unlimited</w:t>
            </w:r>
          </w:p>
        </w:tc>
      </w:tr>
      <w:tr w:rsidR="000D07EA" w14:paraId="44357920" w14:textId="77777777">
        <w:tc>
          <w:tcPr>
            <w:tcW w:w="2500" w:type="pct"/>
          </w:tcPr>
          <w:p w14:paraId="72FF2497" w14:textId="77777777" w:rsidR="000D07EA" w:rsidRDefault="00BE7C89">
            <w:pPr>
              <w:pStyle w:val="BodyText"/>
            </w:pPr>
            <w:r>
              <w:lastRenderedPageBreak/>
              <w:t>Standard national SMS to Australian GSM mobiles (excludes Pivotel) within Australia</w:t>
            </w:r>
          </w:p>
        </w:tc>
        <w:tc>
          <w:tcPr>
            <w:tcW w:w="2500" w:type="pct"/>
          </w:tcPr>
          <w:p w14:paraId="412BB116" w14:textId="77777777" w:rsidR="000D07EA" w:rsidRDefault="00BE7C89">
            <w:pPr>
              <w:pStyle w:val="BodyText"/>
              <w:jc w:val="center"/>
            </w:pPr>
            <w:r>
              <w:t>Unlimited</w:t>
            </w:r>
          </w:p>
        </w:tc>
      </w:tr>
      <w:tr w:rsidR="000D07EA" w14:paraId="238832CB" w14:textId="77777777">
        <w:tc>
          <w:tcPr>
            <w:tcW w:w="2500" w:type="pct"/>
          </w:tcPr>
          <w:p w14:paraId="52749C30" w14:textId="77777777" w:rsidR="000D07EA" w:rsidRDefault="00BE7C89">
            <w:pPr>
              <w:pStyle w:val="BodyText"/>
            </w:pPr>
            <w:r>
              <w:t>Standard national MMS to Australian GSM mobiles (excludes Pivotel) within Australia</w:t>
            </w:r>
          </w:p>
        </w:tc>
        <w:tc>
          <w:tcPr>
            <w:tcW w:w="2500" w:type="pct"/>
          </w:tcPr>
          <w:p w14:paraId="5E98B5ED" w14:textId="77777777" w:rsidR="000D07EA" w:rsidRDefault="00BE7C89">
            <w:pPr>
              <w:pStyle w:val="BodyText"/>
              <w:jc w:val="center"/>
            </w:pPr>
            <w:r>
              <w:t>Unlimited</w:t>
            </w:r>
          </w:p>
        </w:tc>
      </w:tr>
      <w:tr w:rsidR="000D07EA" w14:paraId="09D05C06" w14:textId="77777777">
        <w:tc>
          <w:tcPr>
            <w:tcW w:w="2500" w:type="pct"/>
          </w:tcPr>
          <w:p w14:paraId="3B116C97" w14:textId="77777777" w:rsidR="000D07EA" w:rsidRDefault="00BE7C89">
            <w:pPr>
              <w:pStyle w:val="BodyText"/>
            </w:pPr>
            <w:r>
              <w:t>Voicemail deposits and retrievals, within Australia</w:t>
            </w:r>
          </w:p>
        </w:tc>
        <w:tc>
          <w:tcPr>
            <w:tcW w:w="2500" w:type="pct"/>
          </w:tcPr>
          <w:p w14:paraId="267FA457" w14:textId="77777777" w:rsidR="000D07EA" w:rsidRDefault="00BE7C89">
            <w:pPr>
              <w:pStyle w:val="BodyText"/>
              <w:jc w:val="center"/>
            </w:pPr>
            <w:r>
              <w:t>Unlimited</w:t>
            </w:r>
          </w:p>
        </w:tc>
      </w:tr>
      <w:tr w:rsidR="000D07EA" w14:paraId="786BF69C" w14:textId="77777777">
        <w:tc>
          <w:tcPr>
            <w:tcW w:w="2500" w:type="pct"/>
          </w:tcPr>
          <w:p w14:paraId="1967116C" w14:textId="77777777" w:rsidR="000D07EA" w:rsidRDefault="00BE7C89">
            <w:pPr>
              <w:pStyle w:val="BodyText"/>
            </w:pPr>
            <w:r>
              <w:t>Unlimited access to Facebook®, Twitter, LinkedIn, Ebay, Four Square, MySpace within Australia</w:t>
            </w:r>
          </w:p>
        </w:tc>
        <w:tc>
          <w:tcPr>
            <w:tcW w:w="2500" w:type="pct"/>
          </w:tcPr>
          <w:p w14:paraId="22141B67" w14:textId="77777777" w:rsidR="000D07EA" w:rsidRDefault="00BE7C89">
            <w:pPr>
              <w:pStyle w:val="BodyText"/>
              <w:jc w:val="center"/>
            </w:pPr>
            <w:r>
              <w:t>Unlimited</w:t>
            </w:r>
          </w:p>
        </w:tc>
      </w:tr>
      <w:tr w:rsidR="000D07EA" w14:paraId="70CD79B7" w14:textId="77777777">
        <w:tc>
          <w:tcPr>
            <w:tcW w:w="2500" w:type="pct"/>
          </w:tcPr>
          <w:p w14:paraId="60E0C7B7" w14:textId="77777777" w:rsidR="000D07EA" w:rsidRDefault="00BE7C89">
            <w:pPr>
              <w:pStyle w:val="BodyText"/>
            </w:pPr>
            <w:r>
              <w:t>National Voice call charges  (per minute)</w:t>
            </w:r>
          </w:p>
        </w:tc>
        <w:tc>
          <w:tcPr>
            <w:tcW w:w="2500" w:type="pct"/>
          </w:tcPr>
          <w:p w14:paraId="2A5A99DD" w14:textId="77777777" w:rsidR="000D07EA" w:rsidRDefault="00BE7C89">
            <w:pPr>
              <w:pStyle w:val="BodyText"/>
              <w:jc w:val="center"/>
            </w:pPr>
            <w:r>
              <w:t>Unlimited</w:t>
            </w:r>
          </w:p>
        </w:tc>
      </w:tr>
      <w:tr w:rsidR="000D07EA" w14:paraId="1B9FB895" w14:textId="77777777">
        <w:tc>
          <w:tcPr>
            <w:tcW w:w="2500" w:type="pct"/>
          </w:tcPr>
          <w:p w14:paraId="15C357CC" w14:textId="77777777" w:rsidR="000D07EA" w:rsidRDefault="00BE7C89">
            <w:pPr>
              <w:pStyle w:val="BodyText"/>
            </w:pPr>
            <w:r>
              <w:rPr>
                <w:i/>
              </w:rPr>
              <w:t>Flagfall</w:t>
            </w:r>
            <w:r>
              <w:t xml:space="preserve"> for national voice calls (Call Connection Charge per call)</w:t>
            </w:r>
          </w:p>
        </w:tc>
        <w:tc>
          <w:tcPr>
            <w:tcW w:w="2500" w:type="pct"/>
          </w:tcPr>
          <w:p w14:paraId="020BD965" w14:textId="77777777" w:rsidR="000D07EA" w:rsidRDefault="00BE7C89">
            <w:pPr>
              <w:pStyle w:val="BodyText"/>
              <w:jc w:val="center"/>
            </w:pPr>
            <w:r>
              <w:t>$0.00</w:t>
            </w:r>
          </w:p>
        </w:tc>
      </w:tr>
      <w:tr w:rsidR="000D07EA" w14:paraId="0844B809" w14:textId="77777777">
        <w:tc>
          <w:tcPr>
            <w:tcW w:w="2500" w:type="pct"/>
          </w:tcPr>
          <w:p w14:paraId="5978EB25" w14:textId="77777777" w:rsidR="000D07EA" w:rsidRDefault="00BE7C89">
            <w:pPr>
              <w:pStyle w:val="BodyText"/>
            </w:pPr>
            <w:r>
              <w:t>13/1300 Calls</w:t>
            </w:r>
          </w:p>
        </w:tc>
        <w:tc>
          <w:tcPr>
            <w:tcW w:w="2500" w:type="pct"/>
          </w:tcPr>
          <w:p w14:paraId="0EE1D212" w14:textId="77777777" w:rsidR="000D07EA" w:rsidRDefault="00BE7C89">
            <w:pPr>
              <w:pStyle w:val="BodyText"/>
              <w:jc w:val="center"/>
            </w:pPr>
            <w:r>
              <w:t>$0.90 per min plus 35c flagfall</w:t>
            </w:r>
          </w:p>
        </w:tc>
      </w:tr>
      <w:tr w:rsidR="000D07EA" w14:paraId="4D395160" w14:textId="77777777">
        <w:tc>
          <w:tcPr>
            <w:tcW w:w="2500" w:type="pct"/>
          </w:tcPr>
          <w:p w14:paraId="4F54ED49" w14:textId="77777777" w:rsidR="000D07EA" w:rsidRDefault="00BE7C89">
            <w:pPr>
              <w:pStyle w:val="BodyText"/>
            </w:pPr>
            <w:r>
              <w:t>International Video call charges  (per minute)</w:t>
            </w:r>
          </w:p>
        </w:tc>
        <w:tc>
          <w:tcPr>
            <w:tcW w:w="2500" w:type="pct"/>
          </w:tcPr>
          <w:p w14:paraId="081FF652" w14:textId="77777777" w:rsidR="000D07EA" w:rsidRDefault="00BE7C89">
            <w:pPr>
              <w:pStyle w:val="BodyText"/>
              <w:jc w:val="center"/>
            </w:pPr>
            <w:r>
              <w:t>$1.50 per min plus 35c flagfall</w:t>
            </w:r>
          </w:p>
        </w:tc>
      </w:tr>
      <w:tr w:rsidR="000D07EA" w14:paraId="5D4BC929" w14:textId="77777777">
        <w:tc>
          <w:tcPr>
            <w:tcW w:w="2500" w:type="pct"/>
          </w:tcPr>
          <w:p w14:paraId="2AF3A273" w14:textId="77777777" w:rsidR="000D07EA" w:rsidRDefault="00BE7C89">
            <w:pPr>
              <w:pStyle w:val="BodyText"/>
            </w:pPr>
            <w:r>
              <w:t>International SMS (per message)</w:t>
            </w:r>
          </w:p>
        </w:tc>
        <w:tc>
          <w:tcPr>
            <w:tcW w:w="2500" w:type="pct"/>
          </w:tcPr>
          <w:p w14:paraId="5FABCFB2" w14:textId="77777777" w:rsidR="000D07EA" w:rsidRDefault="00BE7C89">
            <w:pPr>
              <w:pStyle w:val="BodyText"/>
              <w:jc w:val="center"/>
            </w:pPr>
            <w:r>
              <w:t>$0.50</w:t>
            </w:r>
          </w:p>
        </w:tc>
      </w:tr>
      <w:tr w:rsidR="000D07EA" w14:paraId="74351D7F" w14:textId="77777777">
        <w:tc>
          <w:tcPr>
            <w:tcW w:w="2500" w:type="pct"/>
          </w:tcPr>
          <w:p w14:paraId="3F712082" w14:textId="77777777" w:rsidR="000D07EA" w:rsidRDefault="00BE7C89">
            <w:pPr>
              <w:pStyle w:val="BodyText"/>
            </w:pPr>
            <w:r>
              <w:t>International MMS (per message)</w:t>
            </w:r>
          </w:p>
        </w:tc>
        <w:tc>
          <w:tcPr>
            <w:tcW w:w="2500" w:type="pct"/>
          </w:tcPr>
          <w:p w14:paraId="71F8E34E" w14:textId="77777777" w:rsidR="000D07EA" w:rsidRDefault="00BE7C89">
            <w:pPr>
              <w:pStyle w:val="BodyText"/>
              <w:jc w:val="center"/>
            </w:pPr>
            <w:r>
              <w:t>$0.75</w:t>
            </w:r>
          </w:p>
        </w:tc>
      </w:tr>
      <w:tr w:rsidR="000D07EA" w14:paraId="65301FE2" w14:textId="77777777">
        <w:tc>
          <w:tcPr>
            <w:tcW w:w="2500" w:type="pct"/>
          </w:tcPr>
          <w:p w14:paraId="34B97C36" w14:textId="77777777" w:rsidR="000D07EA" w:rsidRDefault="00BE7C89">
            <w:pPr>
              <w:pStyle w:val="BodyText"/>
            </w:pPr>
            <w:r>
              <w:t>Included International Value</w:t>
            </w:r>
          </w:p>
        </w:tc>
        <w:tc>
          <w:tcPr>
            <w:tcW w:w="2500" w:type="pct"/>
          </w:tcPr>
          <w:p w14:paraId="4ADEECD2" w14:textId="77777777" w:rsidR="000D07EA" w:rsidRDefault="00BE7C89">
            <w:pPr>
              <w:pStyle w:val="BodyText"/>
              <w:jc w:val="center"/>
            </w:pPr>
            <w:r>
              <w:t>$0</w:t>
            </w:r>
          </w:p>
        </w:tc>
      </w:tr>
      <w:tr w:rsidR="000D07EA" w14:paraId="1A008A4E" w14:textId="77777777">
        <w:tc>
          <w:tcPr>
            <w:tcW w:w="2500" w:type="pct"/>
          </w:tcPr>
          <w:p w14:paraId="02441B04" w14:textId="77777777" w:rsidR="000D07EA" w:rsidRDefault="00BE7C89">
            <w:pPr>
              <w:pStyle w:val="BodyText"/>
            </w:pPr>
            <w:r>
              <w:t>International Rates</w:t>
            </w:r>
          </w:p>
        </w:tc>
        <w:tc>
          <w:tcPr>
            <w:tcW w:w="2500" w:type="pct"/>
          </w:tcPr>
          <w:p w14:paraId="09CD09E0" w14:textId="77777777" w:rsidR="000D07EA" w:rsidRDefault="00BE7C89">
            <w:pPr>
              <w:pStyle w:val="BodyText"/>
              <w:jc w:val="center"/>
            </w:pPr>
            <w:r>
              <w:t xml:space="preserve">'yes' Business International Call Rates (see </w:t>
            </w:r>
            <w:hyperlink r:id="rId413" w:history="1">
              <w:r>
                <w:rPr>
                  <w:rStyle w:val="Hyperlink"/>
                  <w:i/>
                </w:rPr>
                <w:t>Appendix J</w:t>
              </w:r>
            </w:hyperlink>
            <w:r>
              <w:t>)</w:t>
            </w:r>
          </w:p>
        </w:tc>
      </w:tr>
      <w:tr w:rsidR="000D07EA" w14:paraId="761F82B6" w14:textId="77777777">
        <w:tc>
          <w:tcPr>
            <w:tcW w:w="2500" w:type="pct"/>
          </w:tcPr>
          <w:p w14:paraId="21C69816" w14:textId="77777777" w:rsidR="000D07EA" w:rsidRDefault="00BE7C89">
            <w:pPr>
              <w:pStyle w:val="BodyText"/>
            </w:pPr>
            <w:r>
              <w:t>Your Choice Of Data to use within Australia:</w:t>
            </w:r>
          </w:p>
        </w:tc>
        <w:tc>
          <w:tcPr>
            <w:tcW w:w="2500" w:type="pct"/>
          </w:tcPr>
          <w:p w14:paraId="5AC552B4" w14:textId="77777777" w:rsidR="000D07EA" w:rsidRDefault="00BE7C89">
            <w:pPr>
              <w:pStyle w:val="BodyText"/>
              <w:jc w:val="center"/>
            </w:pPr>
            <w:r>
              <w:t>1GB of Mobile Internet Data</w:t>
            </w:r>
          </w:p>
          <w:p w14:paraId="5F02A941" w14:textId="77777777" w:rsidR="000D07EA" w:rsidRDefault="00BE7C89">
            <w:pPr>
              <w:pStyle w:val="BodyText"/>
              <w:jc w:val="center"/>
            </w:pPr>
            <w:r>
              <w:t>OR</w:t>
            </w:r>
          </w:p>
          <w:p w14:paraId="04240D51" w14:textId="77777777" w:rsidR="000D07EA" w:rsidRDefault="00BE7C89">
            <w:pPr>
              <w:pStyle w:val="BodyText"/>
              <w:jc w:val="center"/>
            </w:pPr>
            <w:r>
              <w:t>Unlimited BlackBerry POP3 Email and Browsing through the BlackBerry Browser plus 750MB of Mobile Internet Data</w:t>
            </w:r>
          </w:p>
        </w:tc>
      </w:tr>
      <w:tr w:rsidR="000D07EA" w14:paraId="782B1F2A" w14:textId="77777777">
        <w:tc>
          <w:tcPr>
            <w:tcW w:w="2500" w:type="pct"/>
          </w:tcPr>
          <w:p w14:paraId="31E6795A" w14:textId="77777777" w:rsidR="000D07EA" w:rsidRDefault="00BE7C89">
            <w:pPr>
              <w:pStyle w:val="BodyText"/>
            </w:pPr>
            <w:r>
              <w:t>Bonus Unlimited Mobile Internet Data</w:t>
            </w:r>
          </w:p>
        </w:tc>
        <w:tc>
          <w:tcPr>
            <w:tcW w:w="2500" w:type="pct"/>
          </w:tcPr>
          <w:p w14:paraId="71CA47A3" w14:textId="77777777" w:rsidR="000D07EA" w:rsidRDefault="00BE7C89">
            <w:pPr>
              <w:pStyle w:val="BodyText"/>
              <w:jc w:val="center"/>
            </w:pPr>
            <w:r>
              <w:t>N/A</w:t>
            </w:r>
          </w:p>
        </w:tc>
      </w:tr>
      <w:tr w:rsidR="000D07EA" w14:paraId="7C640D02" w14:textId="77777777">
        <w:tc>
          <w:tcPr>
            <w:tcW w:w="2500" w:type="pct"/>
          </w:tcPr>
          <w:p w14:paraId="29577E47" w14:textId="77777777" w:rsidR="000D07EA" w:rsidRDefault="00BE7C89">
            <w:pPr>
              <w:pStyle w:val="BodyText"/>
            </w:pPr>
            <w:r>
              <w:t>Mobile Internet Data Excess Usage</w:t>
            </w:r>
          </w:p>
        </w:tc>
        <w:tc>
          <w:tcPr>
            <w:tcW w:w="2500" w:type="pct"/>
          </w:tcPr>
          <w:p w14:paraId="1C94328D" w14:textId="77777777" w:rsidR="000D07EA" w:rsidRDefault="00BE7C89">
            <w:pPr>
              <w:pStyle w:val="BodyText"/>
              <w:jc w:val="center"/>
            </w:pPr>
            <w:r>
              <w:t>$0.10 per MB</w:t>
            </w:r>
          </w:p>
        </w:tc>
      </w:tr>
      <w:tr w:rsidR="000D07EA" w14:paraId="2A98C3B2" w14:textId="77777777">
        <w:tc>
          <w:tcPr>
            <w:tcW w:w="2500" w:type="pct"/>
          </w:tcPr>
          <w:p w14:paraId="2553F200" w14:textId="77777777" w:rsidR="000D07EA" w:rsidRDefault="00BE7C89">
            <w:pPr>
              <w:pStyle w:val="BodyText"/>
            </w:pPr>
            <w:r>
              <w:t>Other call charges</w:t>
            </w:r>
          </w:p>
        </w:tc>
        <w:tc>
          <w:tcPr>
            <w:tcW w:w="2500" w:type="pct"/>
          </w:tcPr>
          <w:p w14:paraId="2077AF9C" w14:textId="77777777" w:rsidR="000D07EA" w:rsidRDefault="00BE7C89">
            <w:pPr>
              <w:pStyle w:val="BodyText"/>
              <w:jc w:val="center"/>
            </w:pPr>
            <w:r>
              <w:t xml:space="preserve">See section 1 of this </w:t>
            </w:r>
            <w:r>
              <w:rPr>
                <w:i/>
              </w:rPr>
              <w:t>standard pricing table</w:t>
            </w:r>
            <w:r>
              <w:t xml:space="preserve"> and </w:t>
            </w:r>
            <w:hyperlink r:id="rId414" w:history="1">
              <w:r>
                <w:rPr>
                  <w:rStyle w:val="Hyperlink"/>
                  <w:i/>
                </w:rPr>
                <w:t>Appendix Y</w:t>
              </w:r>
            </w:hyperlink>
            <w:r>
              <w:t xml:space="preserve"> (Value Added Service Features)</w:t>
            </w:r>
          </w:p>
        </w:tc>
      </w:tr>
      <w:tr w:rsidR="000D07EA" w14:paraId="3755964F" w14:textId="77777777">
        <w:tc>
          <w:tcPr>
            <w:tcW w:w="2500" w:type="pct"/>
          </w:tcPr>
          <w:p w14:paraId="41985D34" w14:textId="77777777" w:rsidR="000D07EA" w:rsidRDefault="00BE7C89">
            <w:pPr>
              <w:pStyle w:val="BodyText"/>
            </w:pPr>
            <w:r>
              <w:t>Other conditions</w:t>
            </w:r>
          </w:p>
        </w:tc>
        <w:tc>
          <w:tcPr>
            <w:tcW w:w="2500" w:type="pct"/>
          </w:tcPr>
          <w:p w14:paraId="0D3C700E" w14:textId="77777777" w:rsidR="000D07EA" w:rsidRDefault="00BE7C89">
            <w:pPr>
              <w:pStyle w:val="BodyText"/>
              <w:jc w:val="center"/>
            </w:pPr>
            <w:r>
              <w:t>Fair Go Policy (</w:t>
            </w:r>
            <w:hyperlink r:id="rId415" w:history="1">
              <w:r>
                <w:rPr>
                  <w:rStyle w:val="Hyperlink"/>
                  <w:i/>
                </w:rPr>
                <w:t>Appendix S</w:t>
              </w:r>
            </w:hyperlink>
            <w:r>
              <w:t>) applies.</w:t>
            </w:r>
          </w:p>
          <w:p w14:paraId="62A38C98" w14:textId="77777777" w:rsidR="000D07EA" w:rsidRDefault="00BE7C89">
            <w:pPr>
              <w:pStyle w:val="BodyText"/>
              <w:jc w:val="center"/>
            </w:pPr>
            <w:r>
              <w:t xml:space="preserve">Please refer to </w:t>
            </w:r>
            <w:hyperlink r:id="rId416" w:history="1">
              <w:r w:rsidR="008D6257">
                <w:rPr>
                  <w:rStyle w:val="Hyperlink"/>
                  <w:i/>
                </w:rPr>
                <w:t>Appendix S</w:t>
              </w:r>
            </w:hyperlink>
            <w:r>
              <w:t>.</w:t>
            </w:r>
          </w:p>
        </w:tc>
      </w:tr>
      <w:tr w:rsidR="000D07EA" w14:paraId="535EF939" w14:textId="77777777">
        <w:tc>
          <w:tcPr>
            <w:tcW w:w="2500" w:type="pct"/>
          </w:tcPr>
          <w:p w14:paraId="69742E89" w14:textId="77777777" w:rsidR="000D07EA" w:rsidRDefault="00BE7C89">
            <w:pPr>
              <w:pStyle w:val="BodyText"/>
            </w:pPr>
            <w:r>
              <w:t>Available on Non Fixed Contract (Month to Month)</w:t>
            </w:r>
          </w:p>
        </w:tc>
        <w:tc>
          <w:tcPr>
            <w:tcW w:w="2500" w:type="pct"/>
          </w:tcPr>
          <w:p w14:paraId="292A35CE" w14:textId="77777777" w:rsidR="000D07EA" w:rsidRDefault="00BE7C89">
            <w:pPr>
              <w:pStyle w:val="BodyText"/>
              <w:jc w:val="center"/>
            </w:pPr>
            <w:r>
              <w:t>No</w:t>
            </w:r>
          </w:p>
        </w:tc>
      </w:tr>
      <w:tr w:rsidR="000D07EA" w14:paraId="7BE462D6" w14:textId="77777777">
        <w:tc>
          <w:tcPr>
            <w:tcW w:w="2500" w:type="pct"/>
          </w:tcPr>
          <w:p w14:paraId="7D8BF44B" w14:textId="77777777" w:rsidR="000D07EA" w:rsidRDefault="00BE7C89">
            <w:pPr>
              <w:pStyle w:val="BodyText"/>
            </w:pPr>
            <w:r>
              <w:t>Available on a Fixed Term Contract (12 or 24 Months)</w:t>
            </w:r>
          </w:p>
        </w:tc>
        <w:tc>
          <w:tcPr>
            <w:tcW w:w="2500" w:type="pct"/>
          </w:tcPr>
          <w:p w14:paraId="7D27D35C" w14:textId="77777777" w:rsidR="000D07EA" w:rsidRDefault="00BE7C89">
            <w:pPr>
              <w:pStyle w:val="BodyText"/>
              <w:jc w:val="center"/>
            </w:pPr>
            <w:r>
              <w:t>Yes</w:t>
            </w:r>
          </w:p>
        </w:tc>
      </w:tr>
      <w:tr w:rsidR="000D07EA" w14:paraId="411C8F85" w14:textId="77777777">
        <w:tc>
          <w:tcPr>
            <w:tcW w:w="2500" w:type="pct"/>
          </w:tcPr>
          <w:p w14:paraId="03B093AC" w14:textId="77777777" w:rsidR="000D07EA" w:rsidRDefault="00BE7C89">
            <w:pPr>
              <w:pStyle w:val="BodyText"/>
            </w:pPr>
            <w:r>
              <w:t xml:space="preserve">Minimum Total Cost of the $89 Business Timeless Plan over a 24 month </w:t>
            </w:r>
            <w:r>
              <w:rPr>
                <w:i/>
              </w:rPr>
              <w:t>minimum term</w:t>
            </w:r>
          </w:p>
        </w:tc>
        <w:tc>
          <w:tcPr>
            <w:tcW w:w="2500" w:type="pct"/>
          </w:tcPr>
          <w:p w14:paraId="281DDE90" w14:textId="77777777" w:rsidR="000D07EA" w:rsidRDefault="00BE7C89">
            <w:pPr>
              <w:pStyle w:val="BodyText"/>
              <w:jc w:val="center"/>
            </w:pPr>
            <w:r>
              <w:t>$2,136</w:t>
            </w:r>
          </w:p>
          <w:p w14:paraId="1CF0132E" w14:textId="77777777" w:rsidR="000D07EA" w:rsidRDefault="00BE7C89">
            <w:pPr>
              <w:pStyle w:val="BodyText"/>
              <w:jc w:val="center"/>
            </w:pPr>
            <w:r>
              <w:t xml:space="preserve">(plus the cost of </w:t>
            </w:r>
            <w:r>
              <w:rPr>
                <w:i/>
              </w:rPr>
              <w:t>equipment charges</w:t>
            </w:r>
            <w:r>
              <w:t xml:space="preserve"> for any </w:t>
            </w:r>
            <w:r>
              <w:rPr>
                <w:i/>
              </w:rPr>
              <w:t xml:space="preserve">mobile phone you </w:t>
            </w:r>
            <w:r>
              <w:t>purchase from us, if any)</w:t>
            </w:r>
          </w:p>
        </w:tc>
      </w:tr>
      <w:tr w:rsidR="000D07EA" w14:paraId="62BEBB32" w14:textId="77777777">
        <w:tc>
          <w:tcPr>
            <w:tcW w:w="2500" w:type="pct"/>
          </w:tcPr>
          <w:p w14:paraId="7FBAC9EA" w14:textId="77777777" w:rsidR="000D07EA" w:rsidRDefault="00BE7C89">
            <w:pPr>
              <w:pStyle w:val="BodyText"/>
            </w:pPr>
            <w:r>
              <w:lastRenderedPageBreak/>
              <w:t xml:space="preserve">Minimum Total Cost of the $89 Business Timeless Plan over a 12 month </w:t>
            </w:r>
            <w:r>
              <w:rPr>
                <w:i/>
              </w:rPr>
              <w:t>minimum term</w:t>
            </w:r>
          </w:p>
        </w:tc>
        <w:tc>
          <w:tcPr>
            <w:tcW w:w="2500" w:type="pct"/>
          </w:tcPr>
          <w:p w14:paraId="3BE105BA" w14:textId="77777777" w:rsidR="000D07EA" w:rsidRDefault="00BE7C89">
            <w:pPr>
              <w:pStyle w:val="BodyText"/>
              <w:jc w:val="center"/>
            </w:pPr>
            <w:r>
              <w:t>$1,068</w:t>
            </w:r>
          </w:p>
          <w:p w14:paraId="42A583D1" w14:textId="77777777" w:rsidR="000D07EA" w:rsidRDefault="00BE7C89">
            <w:pPr>
              <w:pStyle w:val="BodyText"/>
              <w:jc w:val="center"/>
            </w:pPr>
            <w:r>
              <w:t xml:space="preserve">(plus the cost of </w:t>
            </w:r>
            <w:r>
              <w:rPr>
                <w:i/>
              </w:rPr>
              <w:t xml:space="preserve">equipment charges </w:t>
            </w:r>
            <w:r>
              <w:t xml:space="preserve">for any </w:t>
            </w:r>
            <w:r>
              <w:rPr>
                <w:i/>
              </w:rPr>
              <w:t xml:space="preserve">mobile phone you </w:t>
            </w:r>
            <w:r>
              <w:t>purchase from us, if any)</w:t>
            </w:r>
          </w:p>
        </w:tc>
      </w:tr>
    </w:tbl>
    <w:p w14:paraId="4A2057F0" w14:textId="77777777" w:rsidR="000D07EA" w:rsidRDefault="000D07EA">
      <w:pPr>
        <w:pStyle w:val="BodyText"/>
      </w:pPr>
    </w:p>
    <w:p w14:paraId="55DA65CE" w14:textId="77777777" w:rsidR="000D07EA" w:rsidRDefault="00BE7C89">
      <w:pPr>
        <w:pStyle w:val="Heading6"/>
      </w:pPr>
      <w:r>
        <w:t>What happens if the service is cancelled early?</w:t>
      </w:r>
    </w:p>
    <w:p w14:paraId="368084F3" w14:textId="77777777" w:rsidR="000D07EA" w:rsidRDefault="00BE7C89">
      <w:pPr>
        <w:pStyle w:val="Heading7"/>
      </w:pPr>
      <w:r>
        <w:t xml:space="preserve">If </w:t>
      </w:r>
      <w:r>
        <w:rPr>
          <w:i/>
        </w:rPr>
        <w:t>the service is cancelled</w:t>
      </w:r>
      <w:r>
        <w:t xml:space="preserve"> before the expiry of the </w:t>
      </w:r>
      <w:r>
        <w:rPr>
          <w:i/>
        </w:rPr>
        <w:t>minimum term</w:t>
      </w:r>
      <w:r>
        <w:t xml:space="preserve">, </w:t>
      </w:r>
      <w:r>
        <w:rPr>
          <w:i/>
        </w:rPr>
        <w:t>you</w:t>
      </w:r>
      <w:r>
        <w:t xml:space="preserve"> will be required to pay </w:t>
      </w:r>
      <w:r>
        <w:rPr>
          <w:i/>
        </w:rPr>
        <w:t>us</w:t>
      </w:r>
      <w:r>
        <w:t>:</w:t>
      </w:r>
    </w:p>
    <w:p w14:paraId="7B793471" w14:textId="77777777" w:rsidR="000D07EA" w:rsidRDefault="00BE7C89">
      <w:pPr>
        <w:pStyle w:val="Heading8"/>
      </w:pPr>
      <w:r>
        <w:t xml:space="preserve">any usage charges incurred up to, and including, the </w:t>
      </w:r>
      <w:r>
        <w:rPr>
          <w:i/>
        </w:rPr>
        <w:t>cancellation date</w:t>
      </w:r>
      <w:r>
        <w:t xml:space="preserve">; plus </w:t>
      </w:r>
    </w:p>
    <w:p w14:paraId="73DDCEE8" w14:textId="77777777" w:rsidR="000D07EA" w:rsidRDefault="00BE7C89">
      <w:pPr>
        <w:pStyle w:val="Heading8"/>
      </w:pPr>
      <w:r>
        <w:t xml:space="preserve">the </w:t>
      </w:r>
      <w:r>
        <w:rPr>
          <w:i/>
        </w:rPr>
        <w:t>cancellation fee</w:t>
      </w:r>
      <w:r>
        <w:t xml:space="preserve"> set in paragraph </w:t>
      </w:r>
      <w:r>
        <w:fldChar w:fldCharType="begin"/>
      </w:r>
      <w:r>
        <w:instrText xml:space="preserve"> REF _Ref461552419 \n \h </w:instrText>
      </w:r>
      <w:r>
        <w:fldChar w:fldCharType="separate"/>
      </w:r>
      <w:r w:rsidR="0004083A">
        <w:t>(b)</w:t>
      </w:r>
      <w:r>
        <w:fldChar w:fldCharType="end"/>
      </w:r>
      <w:r>
        <w:t xml:space="preserve"> or </w:t>
      </w:r>
      <w:r>
        <w:fldChar w:fldCharType="begin"/>
      </w:r>
      <w:r>
        <w:instrText xml:space="preserve"> REF _Ref461552426 \n \h </w:instrText>
      </w:r>
      <w:r>
        <w:fldChar w:fldCharType="separate"/>
      </w:r>
      <w:r w:rsidR="0004083A">
        <w:t>(c)</w:t>
      </w:r>
      <w:r>
        <w:fldChar w:fldCharType="end"/>
      </w:r>
      <w:r>
        <w:t xml:space="preserve"> below (unless under clause 2A of the </w:t>
      </w:r>
      <w:hyperlink r:id="rId417" w:history="1">
        <w:r>
          <w:rPr>
            <w:rStyle w:val="Hyperlink"/>
          </w:rPr>
          <w:t>SMB terms</w:t>
        </w:r>
      </w:hyperlink>
      <w:r>
        <w:t xml:space="preserve">, you are entitled to </w:t>
      </w:r>
      <w:r>
        <w:rPr>
          <w:i/>
        </w:rPr>
        <w:t>cancel the service</w:t>
      </w:r>
      <w:r>
        <w:t xml:space="preserve"> without incurring a </w:t>
      </w:r>
      <w:r>
        <w:rPr>
          <w:i/>
        </w:rPr>
        <w:t>cancellation fee</w:t>
      </w:r>
      <w:r>
        <w:t xml:space="preserve">); plus </w:t>
      </w:r>
    </w:p>
    <w:p w14:paraId="1F577DDD" w14:textId="77777777" w:rsidR="000D07EA" w:rsidRDefault="00BE7C89">
      <w:pPr>
        <w:pStyle w:val="Heading8"/>
      </w:pPr>
      <w:r>
        <w:t xml:space="preserve">the sum of unpaid </w:t>
      </w:r>
      <w:r>
        <w:rPr>
          <w:i/>
        </w:rPr>
        <w:t>equipment charges</w:t>
      </w:r>
      <w:r>
        <w:t xml:space="preserve"> owing on </w:t>
      </w:r>
      <w:r>
        <w:rPr>
          <w:i/>
        </w:rPr>
        <w:t>your mobile phone</w:t>
      </w:r>
      <w:r>
        <w:t xml:space="preserve"> under the </w:t>
      </w:r>
      <w:r>
        <w:rPr>
          <w:i/>
        </w:rPr>
        <w:t>mobile equipment payment plan</w:t>
      </w:r>
      <w:r>
        <w:t xml:space="preserve"> (if any).</w:t>
      </w:r>
    </w:p>
    <w:p w14:paraId="7A844A31" w14:textId="77777777" w:rsidR="000D07EA" w:rsidRDefault="00BE7C89">
      <w:pPr>
        <w:pStyle w:val="Heading7"/>
      </w:pPr>
      <w:bookmarkStart w:id="591" w:name="_Ref461552419"/>
      <w:r>
        <w:t xml:space="preserve">The </w:t>
      </w:r>
      <w:r>
        <w:rPr>
          <w:i/>
        </w:rPr>
        <w:t>cancellation fee</w:t>
      </w:r>
      <w:r>
        <w:t xml:space="preserve"> for a 12 Month Contract is calculated as a fixed amount if the </w:t>
      </w:r>
      <w:r>
        <w:rPr>
          <w:i/>
        </w:rPr>
        <w:t>service</w:t>
      </w:r>
      <w:r>
        <w:t xml:space="preserve"> is </w:t>
      </w:r>
      <w:r>
        <w:rPr>
          <w:i/>
        </w:rPr>
        <w:t>cancelled</w:t>
      </w:r>
      <w:r>
        <w:t xml:space="preserve"> during the first 6 months of the </w:t>
      </w:r>
      <w:r>
        <w:rPr>
          <w:i/>
        </w:rPr>
        <w:t>minimum term</w:t>
      </w:r>
      <w:r>
        <w:t xml:space="preserve"> and then a pro-rata reduction of that fee (indicated as a percentage in brackets in the first column of the table below) if the </w:t>
      </w:r>
      <w:r>
        <w:rPr>
          <w:i/>
        </w:rPr>
        <w:t>service</w:t>
      </w:r>
      <w:r>
        <w:t xml:space="preserve"> is </w:t>
      </w:r>
      <w:r>
        <w:rPr>
          <w:i/>
        </w:rPr>
        <w:t>cancelled</w:t>
      </w:r>
      <w:r>
        <w:t xml:space="preserve"> during the last six months of the </w:t>
      </w:r>
      <w:r>
        <w:rPr>
          <w:i/>
        </w:rPr>
        <w:t>minimum term</w:t>
      </w:r>
      <w:r>
        <w:t>.</w:t>
      </w:r>
      <w:bookmarkEnd w:id="591"/>
    </w:p>
    <w:p w14:paraId="401F41DF" w14:textId="77777777" w:rsidR="000D07EA" w:rsidRDefault="00BE7C89">
      <w:pPr>
        <w:pStyle w:val="Heading7"/>
      </w:pPr>
      <w:bookmarkStart w:id="592" w:name="_Ref461552426"/>
      <w:r>
        <w:t xml:space="preserve">The </w:t>
      </w:r>
      <w:r>
        <w:rPr>
          <w:i/>
        </w:rPr>
        <w:t>cancellation fee</w:t>
      </w:r>
      <w:r>
        <w:t xml:space="preserve"> for a 24 Month Contract is calculated as a fixed amount if the </w:t>
      </w:r>
      <w:r>
        <w:rPr>
          <w:i/>
        </w:rPr>
        <w:t>service</w:t>
      </w:r>
      <w:r>
        <w:t xml:space="preserve"> is </w:t>
      </w:r>
      <w:r>
        <w:rPr>
          <w:i/>
        </w:rPr>
        <w:t>cancelled</w:t>
      </w:r>
      <w:r>
        <w:t xml:space="preserve"> during the first 12 months of the </w:t>
      </w:r>
      <w:r>
        <w:rPr>
          <w:i/>
        </w:rPr>
        <w:t>minimum term</w:t>
      </w:r>
      <w:r>
        <w:t xml:space="preserve"> and then a pro-rata reduction of that fee (indicated as a percentage in brackets in the first column of the table below) if the </w:t>
      </w:r>
      <w:r>
        <w:rPr>
          <w:i/>
        </w:rPr>
        <w:t>service</w:t>
      </w:r>
      <w:r>
        <w:t xml:space="preserve"> is </w:t>
      </w:r>
      <w:r>
        <w:rPr>
          <w:i/>
        </w:rPr>
        <w:t>cancelled</w:t>
      </w:r>
      <w:r>
        <w:t xml:space="preserve"> during the second year of the </w:t>
      </w:r>
      <w:r>
        <w:rPr>
          <w:i/>
        </w:rPr>
        <w:t>minimum term</w:t>
      </w:r>
      <w:r>
        <w:t>.</w:t>
      </w:r>
      <w:bookmarkEnd w:id="592"/>
    </w:p>
    <w:p w14:paraId="0A2EDC76" w14:textId="77777777" w:rsidR="000D07EA" w:rsidRDefault="00BE7C89">
      <w:pPr>
        <w:pStyle w:val="BodyText"/>
        <w:keepNext/>
        <w:ind w:left="720"/>
        <w:rPr>
          <w:b/>
        </w:rPr>
      </w:pPr>
      <w:r>
        <w:rPr>
          <w:b/>
        </w:rPr>
        <w:t>Table 4A - Cancellation Fee</w:t>
      </w: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5189"/>
        <w:gridCol w:w="2136"/>
        <w:gridCol w:w="2136"/>
      </w:tblGrid>
      <w:tr w:rsidR="000D07EA" w14:paraId="1AC16643" w14:textId="77777777">
        <w:tc>
          <w:tcPr>
            <w:tcW w:w="2742" w:type="pct"/>
            <w:vMerge w:val="restart"/>
          </w:tcPr>
          <w:p w14:paraId="42CC432E" w14:textId="77777777" w:rsidR="000D07EA" w:rsidRDefault="00BE7C89">
            <w:pPr>
              <w:pStyle w:val="BodyText"/>
              <w:keepNext/>
              <w:rPr>
                <w:b/>
              </w:rPr>
            </w:pPr>
            <w:r>
              <w:rPr>
                <w:b/>
              </w:rPr>
              <w:t xml:space="preserve">When the </w:t>
            </w:r>
            <w:r>
              <w:rPr>
                <w:b/>
                <w:i/>
              </w:rPr>
              <w:t>service</w:t>
            </w:r>
            <w:r>
              <w:rPr>
                <w:b/>
              </w:rPr>
              <w:t xml:space="preserve"> is </w:t>
            </w:r>
            <w:r>
              <w:rPr>
                <w:b/>
                <w:i/>
              </w:rPr>
              <w:t>cancelled</w:t>
            </w:r>
          </w:p>
        </w:tc>
        <w:tc>
          <w:tcPr>
            <w:tcW w:w="2258" w:type="pct"/>
            <w:gridSpan w:val="2"/>
          </w:tcPr>
          <w:p w14:paraId="313A0AE9" w14:textId="77777777" w:rsidR="000D07EA" w:rsidRDefault="00BE7C89">
            <w:pPr>
              <w:pStyle w:val="BodyText"/>
              <w:keepNext/>
              <w:jc w:val="center"/>
              <w:rPr>
                <w:b/>
                <w:i/>
              </w:rPr>
            </w:pPr>
            <w:r>
              <w:rPr>
                <w:b/>
                <w:i/>
              </w:rPr>
              <w:t>Cancellation Fee</w:t>
            </w:r>
          </w:p>
        </w:tc>
      </w:tr>
      <w:tr w:rsidR="000D07EA" w14:paraId="621257D3" w14:textId="77777777">
        <w:tc>
          <w:tcPr>
            <w:tcW w:w="2742" w:type="pct"/>
            <w:vMerge/>
          </w:tcPr>
          <w:p w14:paraId="087CD51C" w14:textId="77777777" w:rsidR="000D07EA" w:rsidRDefault="000D07EA">
            <w:pPr>
              <w:pStyle w:val="BodyText"/>
              <w:keepNext/>
              <w:rPr>
                <w:b/>
              </w:rPr>
            </w:pPr>
          </w:p>
        </w:tc>
        <w:tc>
          <w:tcPr>
            <w:tcW w:w="2258" w:type="pct"/>
            <w:gridSpan w:val="2"/>
          </w:tcPr>
          <w:p w14:paraId="38085290" w14:textId="77777777" w:rsidR="000D07EA" w:rsidRDefault="00BE7C89">
            <w:pPr>
              <w:pStyle w:val="BodyText"/>
              <w:keepNext/>
              <w:jc w:val="center"/>
              <w:rPr>
                <w:b/>
              </w:rPr>
            </w:pPr>
            <w:r>
              <w:rPr>
                <w:b/>
              </w:rPr>
              <w:t>$89 Business Timeless Plan</w:t>
            </w:r>
          </w:p>
          <w:p w14:paraId="32542B6A" w14:textId="77777777" w:rsidR="000D07EA" w:rsidRDefault="00BE7C89">
            <w:pPr>
              <w:pStyle w:val="BodyText"/>
              <w:keepNext/>
              <w:jc w:val="center"/>
              <w:rPr>
                <w:b/>
              </w:rPr>
            </w:pPr>
            <w:r>
              <w:rPr>
                <w:b/>
              </w:rPr>
              <w:t>12 Month Contract</w:t>
            </w:r>
          </w:p>
        </w:tc>
      </w:tr>
      <w:tr w:rsidR="000D07EA" w14:paraId="4C2FE6C2" w14:textId="77777777">
        <w:tc>
          <w:tcPr>
            <w:tcW w:w="2742" w:type="pct"/>
          </w:tcPr>
          <w:p w14:paraId="74C01D14" w14:textId="77777777" w:rsidR="000D07EA" w:rsidRDefault="000D07EA">
            <w:pPr>
              <w:pStyle w:val="BodyText"/>
              <w:rPr>
                <w:b/>
              </w:rPr>
            </w:pPr>
          </w:p>
        </w:tc>
        <w:tc>
          <w:tcPr>
            <w:tcW w:w="1129" w:type="pct"/>
          </w:tcPr>
          <w:p w14:paraId="092889E5" w14:textId="77777777" w:rsidR="000D07EA" w:rsidRDefault="00BE7C89">
            <w:pPr>
              <w:pStyle w:val="BodyText"/>
              <w:jc w:val="center"/>
              <w:rPr>
                <w:b/>
              </w:rPr>
            </w:pPr>
            <w:r>
              <w:rPr>
                <w:b/>
              </w:rPr>
              <w:t>$89 Business Timeless (Feb-12)</w:t>
            </w:r>
          </w:p>
        </w:tc>
        <w:tc>
          <w:tcPr>
            <w:tcW w:w="1129" w:type="pct"/>
          </w:tcPr>
          <w:p w14:paraId="733ED2F5" w14:textId="77777777" w:rsidR="000D07EA" w:rsidRDefault="00BE7C89">
            <w:pPr>
              <w:pStyle w:val="BodyText"/>
              <w:jc w:val="center"/>
              <w:rPr>
                <w:b/>
              </w:rPr>
            </w:pPr>
            <w:r>
              <w:rPr>
                <w:b/>
              </w:rPr>
              <w:t>$89 Business Timeless (Feb-12 - Premium H/S)</w:t>
            </w:r>
          </w:p>
        </w:tc>
      </w:tr>
      <w:tr w:rsidR="000D07EA" w14:paraId="3FF14531" w14:textId="77777777">
        <w:tc>
          <w:tcPr>
            <w:tcW w:w="2742" w:type="pct"/>
          </w:tcPr>
          <w:p w14:paraId="64B46DBA" w14:textId="77777777" w:rsidR="000D07EA" w:rsidRDefault="00BE7C89">
            <w:pPr>
              <w:pStyle w:val="BodyText"/>
              <w:rPr>
                <w:b/>
              </w:rPr>
            </w:pPr>
            <w:r>
              <w:rPr>
                <w:b/>
              </w:rPr>
              <w:t xml:space="preserve">During the first 6 months – Initial </w:t>
            </w:r>
            <w:r>
              <w:rPr>
                <w:b/>
                <w:i/>
              </w:rPr>
              <w:t>cancellation fee</w:t>
            </w:r>
          </w:p>
        </w:tc>
        <w:tc>
          <w:tcPr>
            <w:tcW w:w="1129" w:type="pct"/>
          </w:tcPr>
          <w:p w14:paraId="78E25CD2" w14:textId="77777777" w:rsidR="000D07EA" w:rsidRDefault="00BE7C89">
            <w:pPr>
              <w:pStyle w:val="BodyText"/>
              <w:jc w:val="center"/>
            </w:pPr>
            <w:r>
              <w:t>$605</w:t>
            </w:r>
          </w:p>
        </w:tc>
        <w:tc>
          <w:tcPr>
            <w:tcW w:w="1129" w:type="pct"/>
          </w:tcPr>
          <w:p w14:paraId="1F0FE5D8" w14:textId="77777777" w:rsidR="000D07EA" w:rsidRDefault="00BE7C89">
            <w:pPr>
              <w:pStyle w:val="BodyText"/>
              <w:jc w:val="center"/>
            </w:pPr>
            <w:r>
              <w:t>$855</w:t>
            </w:r>
          </w:p>
        </w:tc>
      </w:tr>
      <w:tr w:rsidR="000D07EA" w14:paraId="34549157" w14:textId="77777777">
        <w:tc>
          <w:tcPr>
            <w:tcW w:w="2742" w:type="pct"/>
          </w:tcPr>
          <w:p w14:paraId="25F84BB5" w14:textId="77777777" w:rsidR="000D07EA" w:rsidRDefault="00BE7C89">
            <w:pPr>
              <w:pStyle w:val="BodyText"/>
              <w:rPr>
                <w:b/>
              </w:rPr>
            </w:pPr>
            <w:r>
              <w:rPr>
                <w:b/>
              </w:rPr>
              <w:t xml:space="preserve">Months 7 - 9 (70% of Initial </w:t>
            </w:r>
            <w:r>
              <w:rPr>
                <w:b/>
                <w:i/>
              </w:rPr>
              <w:t>cancellation fee</w:t>
            </w:r>
            <w:r>
              <w:rPr>
                <w:b/>
              </w:rPr>
              <w:t>)</w:t>
            </w:r>
          </w:p>
        </w:tc>
        <w:tc>
          <w:tcPr>
            <w:tcW w:w="1129" w:type="pct"/>
          </w:tcPr>
          <w:p w14:paraId="417D2F9A" w14:textId="77777777" w:rsidR="000D07EA" w:rsidRDefault="00BE7C89">
            <w:pPr>
              <w:pStyle w:val="BodyText"/>
              <w:jc w:val="center"/>
            </w:pPr>
            <w:r>
              <w:t>$423.50</w:t>
            </w:r>
          </w:p>
        </w:tc>
        <w:tc>
          <w:tcPr>
            <w:tcW w:w="1129" w:type="pct"/>
          </w:tcPr>
          <w:p w14:paraId="7A980068" w14:textId="77777777" w:rsidR="000D07EA" w:rsidRDefault="00BE7C89">
            <w:pPr>
              <w:pStyle w:val="BodyText"/>
              <w:jc w:val="center"/>
            </w:pPr>
            <w:r>
              <w:t>$598.50</w:t>
            </w:r>
          </w:p>
        </w:tc>
      </w:tr>
      <w:tr w:rsidR="000D07EA" w14:paraId="27934CD5" w14:textId="77777777">
        <w:tc>
          <w:tcPr>
            <w:tcW w:w="2742" w:type="pct"/>
          </w:tcPr>
          <w:p w14:paraId="2B587E50" w14:textId="77777777" w:rsidR="000D07EA" w:rsidRDefault="00BE7C89">
            <w:pPr>
              <w:pStyle w:val="BodyText"/>
              <w:rPr>
                <w:b/>
              </w:rPr>
            </w:pPr>
            <w:r>
              <w:rPr>
                <w:b/>
              </w:rPr>
              <w:t xml:space="preserve">Months 10 - 12 (40% of the Initial </w:t>
            </w:r>
            <w:r>
              <w:rPr>
                <w:b/>
                <w:i/>
              </w:rPr>
              <w:t>cancellation fee</w:t>
            </w:r>
            <w:r>
              <w:rPr>
                <w:b/>
              </w:rPr>
              <w:t>)</w:t>
            </w:r>
          </w:p>
        </w:tc>
        <w:tc>
          <w:tcPr>
            <w:tcW w:w="1129" w:type="pct"/>
          </w:tcPr>
          <w:p w14:paraId="7CF29661" w14:textId="77777777" w:rsidR="000D07EA" w:rsidRDefault="00BE7C89">
            <w:pPr>
              <w:pStyle w:val="BodyText"/>
              <w:jc w:val="center"/>
            </w:pPr>
            <w:r>
              <w:t>$242</w:t>
            </w:r>
          </w:p>
        </w:tc>
        <w:tc>
          <w:tcPr>
            <w:tcW w:w="1129" w:type="pct"/>
          </w:tcPr>
          <w:p w14:paraId="018006D8" w14:textId="77777777" w:rsidR="000D07EA" w:rsidRDefault="00BE7C89">
            <w:pPr>
              <w:pStyle w:val="BodyText"/>
              <w:jc w:val="center"/>
            </w:pPr>
            <w:r>
              <w:t>$342</w:t>
            </w:r>
          </w:p>
        </w:tc>
      </w:tr>
    </w:tbl>
    <w:p w14:paraId="58F76258" w14:textId="77777777" w:rsidR="000D07EA" w:rsidRDefault="000D07EA">
      <w:pPr>
        <w:pStyle w:val="BodyText"/>
      </w:pP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5189"/>
        <w:gridCol w:w="2136"/>
        <w:gridCol w:w="2136"/>
      </w:tblGrid>
      <w:tr w:rsidR="000D07EA" w14:paraId="68D082E3" w14:textId="77777777">
        <w:tc>
          <w:tcPr>
            <w:tcW w:w="2742" w:type="pct"/>
            <w:vMerge w:val="restart"/>
          </w:tcPr>
          <w:p w14:paraId="25849C94" w14:textId="77777777" w:rsidR="000D07EA" w:rsidRDefault="00BE7C89">
            <w:pPr>
              <w:pStyle w:val="BodyText"/>
              <w:rPr>
                <w:b/>
              </w:rPr>
            </w:pPr>
            <w:r>
              <w:rPr>
                <w:b/>
              </w:rPr>
              <w:t xml:space="preserve">When the </w:t>
            </w:r>
            <w:r>
              <w:rPr>
                <w:b/>
                <w:i/>
              </w:rPr>
              <w:t>service</w:t>
            </w:r>
            <w:r>
              <w:rPr>
                <w:b/>
              </w:rPr>
              <w:t xml:space="preserve"> is </w:t>
            </w:r>
            <w:r>
              <w:rPr>
                <w:b/>
                <w:i/>
              </w:rPr>
              <w:t>cancelled</w:t>
            </w:r>
          </w:p>
        </w:tc>
        <w:tc>
          <w:tcPr>
            <w:tcW w:w="2258" w:type="pct"/>
            <w:gridSpan w:val="2"/>
          </w:tcPr>
          <w:p w14:paraId="6B77AA63" w14:textId="77777777" w:rsidR="000D07EA" w:rsidRDefault="00BE7C89">
            <w:pPr>
              <w:pStyle w:val="BodyText"/>
              <w:jc w:val="center"/>
              <w:rPr>
                <w:b/>
                <w:bCs/>
                <w:i/>
                <w:lang w:eastAsia="en-AU"/>
              </w:rPr>
            </w:pPr>
            <w:r>
              <w:rPr>
                <w:b/>
                <w:i/>
              </w:rPr>
              <w:t>Cancellation Fee</w:t>
            </w:r>
          </w:p>
        </w:tc>
      </w:tr>
      <w:tr w:rsidR="000D07EA" w14:paraId="6B973A35" w14:textId="77777777">
        <w:tc>
          <w:tcPr>
            <w:tcW w:w="2742" w:type="pct"/>
            <w:vMerge/>
          </w:tcPr>
          <w:p w14:paraId="223A2019" w14:textId="77777777" w:rsidR="000D07EA" w:rsidRDefault="000D07EA">
            <w:pPr>
              <w:pStyle w:val="BodyText"/>
              <w:rPr>
                <w:b/>
              </w:rPr>
            </w:pPr>
          </w:p>
        </w:tc>
        <w:tc>
          <w:tcPr>
            <w:tcW w:w="2258" w:type="pct"/>
            <w:gridSpan w:val="2"/>
          </w:tcPr>
          <w:p w14:paraId="2AEE2C8F" w14:textId="77777777" w:rsidR="000D07EA" w:rsidRDefault="00BE7C89">
            <w:pPr>
              <w:pStyle w:val="BodyText"/>
              <w:jc w:val="center"/>
              <w:rPr>
                <w:b/>
              </w:rPr>
            </w:pPr>
            <w:r>
              <w:rPr>
                <w:b/>
              </w:rPr>
              <w:t>$89 Business Timeless Plan</w:t>
            </w:r>
          </w:p>
          <w:p w14:paraId="0E303CC0" w14:textId="77777777" w:rsidR="000D07EA" w:rsidRDefault="00BE7C89">
            <w:pPr>
              <w:pStyle w:val="BodyText"/>
              <w:jc w:val="center"/>
              <w:rPr>
                <w:b/>
              </w:rPr>
            </w:pPr>
            <w:r>
              <w:rPr>
                <w:b/>
              </w:rPr>
              <w:t>24 Month Contract</w:t>
            </w:r>
          </w:p>
        </w:tc>
      </w:tr>
      <w:tr w:rsidR="000D07EA" w14:paraId="27D8E7D9" w14:textId="77777777">
        <w:tc>
          <w:tcPr>
            <w:tcW w:w="2742" w:type="pct"/>
          </w:tcPr>
          <w:p w14:paraId="23A106C1" w14:textId="77777777" w:rsidR="000D07EA" w:rsidRDefault="000D07EA">
            <w:pPr>
              <w:pStyle w:val="BodyText"/>
              <w:rPr>
                <w:b/>
              </w:rPr>
            </w:pPr>
          </w:p>
        </w:tc>
        <w:tc>
          <w:tcPr>
            <w:tcW w:w="1129" w:type="pct"/>
          </w:tcPr>
          <w:p w14:paraId="738CEB8F" w14:textId="77777777" w:rsidR="000D07EA" w:rsidRDefault="00BE7C89">
            <w:pPr>
              <w:pStyle w:val="BodyText"/>
              <w:jc w:val="center"/>
              <w:rPr>
                <w:b/>
              </w:rPr>
            </w:pPr>
            <w:r>
              <w:rPr>
                <w:b/>
                <w:bCs/>
                <w:lang w:eastAsia="en-AU"/>
              </w:rPr>
              <w:t>$89 Business Timeless (Feb-12)</w:t>
            </w:r>
          </w:p>
        </w:tc>
        <w:tc>
          <w:tcPr>
            <w:tcW w:w="1129" w:type="pct"/>
          </w:tcPr>
          <w:p w14:paraId="0035B7CD" w14:textId="77777777" w:rsidR="000D07EA" w:rsidRDefault="00BE7C89">
            <w:pPr>
              <w:pStyle w:val="BodyText"/>
              <w:jc w:val="center"/>
              <w:rPr>
                <w:b/>
              </w:rPr>
            </w:pPr>
            <w:r>
              <w:rPr>
                <w:b/>
                <w:bCs/>
                <w:lang w:eastAsia="en-AU"/>
              </w:rPr>
              <w:t>$89 Business Timeless (Feb-12 - Premium H/S)</w:t>
            </w:r>
          </w:p>
        </w:tc>
      </w:tr>
      <w:tr w:rsidR="000D07EA" w14:paraId="118E2386" w14:textId="77777777">
        <w:tc>
          <w:tcPr>
            <w:tcW w:w="2742" w:type="pct"/>
          </w:tcPr>
          <w:p w14:paraId="47434866" w14:textId="77777777" w:rsidR="000D07EA" w:rsidRDefault="00BE7C89">
            <w:pPr>
              <w:pStyle w:val="BodyText"/>
              <w:rPr>
                <w:b/>
              </w:rPr>
            </w:pPr>
            <w:r>
              <w:rPr>
                <w:b/>
              </w:rPr>
              <w:lastRenderedPageBreak/>
              <w:t xml:space="preserve">During the first 12 months – Initial </w:t>
            </w:r>
            <w:r>
              <w:rPr>
                <w:b/>
                <w:i/>
              </w:rPr>
              <w:t>cancellation fee</w:t>
            </w:r>
          </w:p>
        </w:tc>
        <w:tc>
          <w:tcPr>
            <w:tcW w:w="1129" w:type="pct"/>
          </w:tcPr>
          <w:p w14:paraId="7B3D4DBD" w14:textId="77777777" w:rsidR="000D07EA" w:rsidRDefault="00BE7C89">
            <w:pPr>
              <w:pStyle w:val="BodyText"/>
              <w:jc w:val="center"/>
            </w:pPr>
            <w:r>
              <w:t>$830</w:t>
            </w:r>
          </w:p>
        </w:tc>
        <w:tc>
          <w:tcPr>
            <w:tcW w:w="1129" w:type="pct"/>
          </w:tcPr>
          <w:p w14:paraId="79DC3FF2" w14:textId="77777777" w:rsidR="000D07EA" w:rsidRDefault="00BE7C89">
            <w:pPr>
              <w:pStyle w:val="BodyText"/>
              <w:jc w:val="center"/>
            </w:pPr>
            <w:r>
              <w:t>$1,185</w:t>
            </w:r>
          </w:p>
        </w:tc>
      </w:tr>
      <w:tr w:rsidR="000D07EA" w14:paraId="2F033EAF" w14:textId="77777777">
        <w:tc>
          <w:tcPr>
            <w:tcW w:w="2742" w:type="pct"/>
          </w:tcPr>
          <w:p w14:paraId="14F581DB" w14:textId="77777777" w:rsidR="000D07EA" w:rsidRDefault="00BE7C89">
            <w:pPr>
              <w:pStyle w:val="BodyText"/>
              <w:rPr>
                <w:b/>
              </w:rPr>
            </w:pPr>
            <w:r>
              <w:rPr>
                <w:b/>
              </w:rPr>
              <w:t xml:space="preserve">Months 13 - 15 (80% of Initial </w:t>
            </w:r>
            <w:r>
              <w:rPr>
                <w:b/>
                <w:i/>
              </w:rPr>
              <w:t>cancellation fee</w:t>
            </w:r>
            <w:r>
              <w:rPr>
                <w:b/>
              </w:rPr>
              <w:t>)</w:t>
            </w:r>
          </w:p>
        </w:tc>
        <w:tc>
          <w:tcPr>
            <w:tcW w:w="1129" w:type="pct"/>
          </w:tcPr>
          <w:p w14:paraId="29836E8D" w14:textId="77777777" w:rsidR="000D07EA" w:rsidRDefault="00BE7C89">
            <w:pPr>
              <w:pStyle w:val="BodyText"/>
              <w:jc w:val="center"/>
            </w:pPr>
            <w:r>
              <w:rPr>
                <w:color w:val="000000"/>
              </w:rPr>
              <w:t>$664</w:t>
            </w:r>
          </w:p>
        </w:tc>
        <w:tc>
          <w:tcPr>
            <w:tcW w:w="1129" w:type="pct"/>
          </w:tcPr>
          <w:p w14:paraId="3234CF58" w14:textId="77777777" w:rsidR="000D07EA" w:rsidRDefault="00BE7C89">
            <w:pPr>
              <w:pStyle w:val="BodyText"/>
              <w:jc w:val="center"/>
            </w:pPr>
            <w:r>
              <w:rPr>
                <w:color w:val="000000"/>
              </w:rPr>
              <w:t>$948</w:t>
            </w:r>
          </w:p>
        </w:tc>
      </w:tr>
      <w:tr w:rsidR="000D07EA" w14:paraId="5E8544EB" w14:textId="77777777">
        <w:tc>
          <w:tcPr>
            <w:tcW w:w="2742" w:type="pct"/>
          </w:tcPr>
          <w:p w14:paraId="2A887FA4" w14:textId="77777777" w:rsidR="000D07EA" w:rsidRDefault="00BE7C89">
            <w:pPr>
              <w:pStyle w:val="BodyText"/>
              <w:rPr>
                <w:b/>
              </w:rPr>
            </w:pPr>
            <w:r>
              <w:rPr>
                <w:b/>
              </w:rPr>
              <w:t xml:space="preserve">Months 16 – 18 (60% of the Initial </w:t>
            </w:r>
            <w:r>
              <w:rPr>
                <w:b/>
                <w:i/>
              </w:rPr>
              <w:t>cancellation fee</w:t>
            </w:r>
            <w:r>
              <w:rPr>
                <w:b/>
              </w:rPr>
              <w:t>)</w:t>
            </w:r>
          </w:p>
        </w:tc>
        <w:tc>
          <w:tcPr>
            <w:tcW w:w="1129" w:type="pct"/>
          </w:tcPr>
          <w:p w14:paraId="519575AB" w14:textId="77777777" w:rsidR="000D07EA" w:rsidRDefault="00BE7C89">
            <w:pPr>
              <w:pStyle w:val="BodyText"/>
              <w:jc w:val="center"/>
            </w:pPr>
            <w:r>
              <w:rPr>
                <w:color w:val="000000"/>
              </w:rPr>
              <w:t>$498</w:t>
            </w:r>
          </w:p>
        </w:tc>
        <w:tc>
          <w:tcPr>
            <w:tcW w:w="1129" w:type="pct"/>
          </w:tcPr>
          <w:p w14:paraId="6DCFF8B6" w14:textId="77777777" w:rsidR="000D07EA" w:rsidRDefault="00BE7C89">
            <w:pPr>
              <w:pStyle w:val="BodyText"/>
              <w:jc w:val="center"/>
            </w:pPr>
            <w:r>
              <w:rPr>
                <w:color w:val="000000"/>
              </w:rPr>
              <w:t>$711</w:t>
            </w:r>
          </w:p>
        </w:tc>
      </w:tr>
      <w:tr w:rsidR="000D07EA" w14:paraId="506C1BA1" w14:textId="77777777">
        <w:tc>
          <w:tcPr>
            <w:tcW w:w="2742" w:type="pct"/>
          </w:tcPr>
          <w:p w14:paraId="39B1CD4E" w14:textId="77777777" w:rsidR="000D07EA" w:rsidRDefault="00BE7C89">
            <w:pPr>
              <w:pStyle w:val="BodyText"/>
              <w:rPr>
                <w:b/>
              </w:rPr>
            </w:pPr>
            <w:r>
              <w:rPr>
                <w:b/>
              </w:rPr>
              <w:t xml:space="preserve">Months 19 – 21 (40% of the Initial </w:t>
            </w:r>
            <w:r>
              <w:rPr>
                <w:b/>
                <w:i/>
              </w:rPr>
              <w:t>cancellation fee</w:t>
            </w:r>
            <w:r>
              <w:rPr>
                <w:b/>
              </w:rPr>
              <w:t>)</w:t>
            </w:r>
          </w:p>
        </w:tc>
        <w:tc>
          <w:tcPr>
            <w:tcW w:w="1129" w:type="pct"/>
          </w:tcPr>
          <w:p w14:paraId="751DEC52" w14:textId="77777777" w:rsidR="000D07EA" w:rsidRDefault="00BE7C89">
            <w:pPr>
              <w:pStyle w:val="BodyText"/>
              <w:jc w:val="center"/>
            </w:pPr>
            <w:r>
              <w:rPr>
                <w:color w:val="000000"/>
              </w:rPr>
              <w:t>$332</w:t>
            </w:r>
          </w:p>
        </w:tc>
        <w:tc>
          <w:tcPr>
            <w:tcW w:w="1129" w:type="pct"/>
          </w:tcPr>
          <w:p w14:paraId="17FFEE77" w14:textId="77777777" w:rsidR="000D07EA" w:rsidRDefault="00BE7C89">
            <w:pPr>
              <w:pStyle w:val="BodyText"/>
              <w:jc w:val="center"/>
            </w:pPr>
            <w:r>
              <w:rPr>
                <w:color w:val="000000"/>
              </w:rPr>
              <w:t>$474</w:t>
            </w:r>
          </w:p>
        </w:tc>
      </w:tr>
      <w:tr w:rsidR="000D07EA" w14:paraId="639ECFE6" w14:textId="77777777">
        <w:tc>
          <w:tcPr>
            <w:tcW w:w="2742" w:type="pct"/>
          </w:tcPr>
          <w:p w14:paraId="5E6CC581" w14:textId="77777777" w:rsidR="000D07EA" w:rsidRDefault="00BE7C89">
            <w:pPr>
              <w:pStyle w:val="BodyText"/>
              <w:rPr>
                <w:b/>
              </w:rPr>
            </w:pPr>
            <w:r>
              <w:rPr>
                <w:b/>
              </w:rPr>
              <w:t xml:space="preserve">Months 22 – 24 (20% of the Initial </w:t>
            </w:r>
            <w:r>
              <w:rPr>
                <w:b/>
                <w:i/>
              </w:rPr>
              <w:t>cancellation fee</w:t>
            </w:r>
            <w:r>
              <w:rPr>
                <w:b/>
              </w:rPr>
              <w:t>)</w:t>
            </w:r>
          </w:p>
        </w:tc>
        <w:tc>
          <w:tcPr>
            <w:tcW w:w="1129" w:type="pct"/>
          </w:tcPr>
          <w:p w14:paraId="0DE1D3C9" w14:textId="77777777" w:rsidR="000D07EA" w:rsidRDefault="00BE7C89">
            <w:pPr>
              <w:pStyle w:val="BodyText"/>
              <w:jc w:val="center"/>
            </w:pPr>
            <w:r>
              <w:rPr>
                <w:color w:val="000000"/>
              </w:rPr>
              <w:t>$166</w:t>
            </w:r>
          </w:p>
        </w:tc>
        <w:tc>
          <w:tcPr>
            <w:tcW w:w="1129" w:type="pct"/>
          </w:tcPr>
          <w:p w14:paraId="2B868B68" w14:textId="77777777" w:rsidR="000D07EA" w:rsidRDefault="00BE7C89">
            <w:pPr>
              <w:pStyle w:val="BodyText"/>
              <w:jc w:val="center"/>
            </w:pPr>
            <w:r>
              <w:rPr>
                <w:color w:val="000000"/>
              </w:rPr>
              <w:t>$237</w:t>
            </w:r>
          </w:p>
        </w:tc>
      </w:tr>
    </w:tbl>
    <w:p w14:paraId="5E9A9075" w14:textId="77777777" w:rsidR="000D07EA" w:rsidRDefault="000D07EA">
      <w:pPr>
        <w:pStyle w:val="BodyText"/>
      </w:pPr>
    </w:p>
    <w:p w14:paraId="6AA4B38A" w14:textId="77777777" w:rsidR="000D07EA" w:rsidRDefault="00BE7C89">
      <w:pPr>
        <w:pStyle w:val="Heading4"/>
      </w:pPr>
      <w:bookmarkStart w:id="593" w:name="_Toc62644641"/>
      <w:r>
        <w:t>$29 Business Complete Plan (Incorparating $29 Business Complete (Feb-12) Plan) effective from 1 February 2012.</w:t>
      </w:r>
      <w:bookmarkEnd w:id="593"/>
    </w:p>
    <w:p w14:paraId="4B88A992" w14:textId="77777777" w:rsidR="000D07EA" w:rsidRDefault="00BE7C89">
      <w:pPr>
        <w:pStyle w:val="Heading6"/>
      </w:pPr>
      <w:r>
        <w:t>What is the $29 Business Complete Plan?</w:t>
      </w:r>
    </w:p>
    <w:p w14:paraId="54DE2A38" w14:textId="77777777" w:rsidR="000D07EA" w:rsidRDefault="00BE7C89">
      <w:pPr>
        <w:pStyle w:val="BodyText"/>
        <w:ind w:left="720"/>
      </w:pPr>
      <w:r>
        <w:t xml:space="preserve">The $29 Business Complete Plan is governed by the terms in this </w:t>
      </w:r>
      <w:r>
        <w:rPr>
          <w:i/>
        </w:rPr>
        <w:t>appendix</w:t>
      </w:r>
      <w:r>
        <w:t xml:space="preserve"> and, to the extent that the terms are not inconsistent with the terms set out in this </w:t>
      </w:r>
      <w:r>
        <w:rPr>
          <w:i/>
        </w:rPr>
        <w:t>appendix</w:t>
      </w:r>
      <w:r>
        <w:t xml:space="preserve">, by the terms of the </w:t>
      </w:r>
      <w:hyperlink r:id="rId418" w:history="1">
        <w:r>
          <w:rPr>
            <w:rStyle w:val="Hyperlink"/>
            <w:i/>
          </w:rPr>
          <w:t>SMB terms</w:t>
        </w:r>
      </w:hyperlink>
      <w:r>
        <w:t xml:space="preserve">, and each relevant </w:t>
      </w:r>
      <w:r>
        <w:rPr>
          <w:i/>
        </w:rPr>
        <w:t>service description</w:t>
      </w:r>
      <w:r>
        <w:t xml:space="preserve"> and </w:t>
      </w:r>
      <w:r>
        <w:rPr>
          <w:i/>
        </w:rPr>
        <w:t>standard pricing table</w:t>
      </w:r>
      <w:r>
        <w:t xml:space="preserve">. </w:t>
      </w:r>
    </w:p>
    <w:p w14:paraId="6A067A90" w14:textId="77777777" w:rsidR="000D07EA" w:rsidRDefault="00BE7C89">
      <w:pPr>
        <w:pStyle w:val="Heading7"/>
      </w:pPr>
      <w:r>
        <w:t xml:space="preserve">To be eligible for the $29 Business Complete Plan </w:t>
      </w:r>
      <w:r>
        <w:rPr>
          <w:i/>
        </w:rPr>
        <w:t>you</w:t>
      </w:r>
      <w:r>
        <w:t xml:space="preserve"> must have at least 1 Optus Mobile Digital Service.</w:t>
      </w:r>
    </w:p>
    <w:p w14:paraId="1598C673" w14:textId="77777777" w:rsidR="000D07EA" w:rsidRDefault="00BE7C89">
      <w:pPr>
        <w:pStyle w:val="Heading6"/>
      </w:pPr>
      <w:r>
        <w:t>What does the $29 Business Complete Plan allow you to do?</w:t>
      </w:r>
    </w:p>
    <w:p w14:paraId="2101DEFB" w14:textId="77777777" w:rsidR="000D07EA" w:rsidRDefault="00BE7C89">
      <w:pPr>
        <w:pStyle w:val="Heading7"/>
      </w:pPr>
      <w:r>
        <w:t xml:space="preserve">Under the $29 Business Complete Plan, </w:t>
      </w:r>
      <w:r>
        <w:rPr>
          <w:i/>
        </w:rPr>
        <w:t>you</w:t>
      </w:r>
      <w:r>
        <w:t xml:space="preserve"> may not share the included Mobile Internet Data Value between </w:t>
      </w:r>
      <w:r>
        <w:rPr>
          <w:i/>
        </w:rPr>
        <w:t>your</w:t>
      </w:r>
      <w:r>
        <w:t xml:space="preserve"> Optus Mobile Digital Service(s) and eligible Business Mobile Broadband Services(s), as follows:</w:t>
      </w:r>
    </w:p>
    <w:p w14:paraId="5FD3F54F" w14:textId="77777777" w:rsidR="000D07EA" w:rsidRDefault="00BE7C89">
      <w:pPr>
        <w:pStyle w:val="Heading8"/>
      </w:pPr>
      <w:r>
        <w:t>The 200MB included Mobile Internet Data Value on the $29 Business Complete plan cannot be shared across Optus Mobile Digital Service(s) and Business Mobile Broadband Services(s).</w:t>
      </w:r>
    </w:p>
    <w:p w14:paraId="6176C564" w14:textId="77777777" w:rsidR="000D07EA" w:rsidRDefault="00BE7C89">
      <w:pPr>
        <w:pStyle w:val="Heading8"/>
      </w:pPr>
      <w:r>
        <w:t xml:space="preserve">$29 Business Complete Plan consisting of Unlimited mobile access to Facebook®, Twitter, LinkedIn, Ebay, Four Square, MySpace, within Australia, across Optus Mobile Digital Service(s) and Business Mobile Broadband Service(s) cannot be shared and may be accessed on the mobile handset only. </w:t>
      </w:r>
    </w:p>
    <w:p w14:paraId="247F8A89" w14:textId="77777777" w:rsidR="000D07EA" w:rsidRDefault="00BE7C89">
      <w:pPr>
        <w:pStyle w:val="Heading7"/>
      </w:pPr>
      <w:r>
        <w:rPr>
          <w:i/>
        </w:rPr>
        <w:t>You</w:t>
      </w:r>
      <w:r>
        <w:t xml:space="preserve"> may purchase a </w:t>
      </w:r>
      <w:r>
        <w:rPr>
          <w:i/>
        </w:rPr>
        <w:t>mobile phone</w:t>
      </w:r>
      <w:r>
        <w:t xml:space="preserve"> with a 24 month </w:t>
      </w:r>
      <w:r>
        <w:rPr>
          <w:i/>
        </w:rPr>
        <w:t>equipment term</w:t>
      </w:r>
      <w:r>
        <w:t xml:space="preserve"> under a </w:t>
      </w:r>
      <w:r>
        <w:rPr>
          <w:i/>
        </w:rPr>
        <w:t>mobile equipment payment plan</w:t>
      </w:r>
      <w:r>
        <w:t xml:space="preserve"> on a 24 month </w:t>
      </w:r>
      <w:r>
        <w:rPr>
          <w:i/>
        </w:rPr>
        <w:t>fixed length agreement</w:t>
      </w:r>
      <w:r>
        <w:t xml:space="preserve">.  </w:t>
      </w:r>
    </w:p>
    <w:p w14:paraId="4BF27140" w14:textId="77777777" w:rsidR="000D07EA" w:rsidRDefault="00BE7C89">
      <w:pPr>
        <w:pStyle w:val="Heading7"/>
      </w:pPr>
      <w:r>
        <w:rPr>
          <w:i/>
        </w:rPr>
        <w:t>You</w:t>
      </w:r>
      <w:r>
        <w:t xml:space="preserve"> may purchase a </w:t>
      </w:r>
      <w:r>
        <w:rPr>
          <w:i/>
        </w:rPr>
        <w:t>mobile phone</w:t>
      </w:r>
      <w:r>
        <w:t xml:space="preserve"> with a 12 month </w:t>
      </w:r>
      <w:r>
        <w:rPr>
          <w:i/>
        </w:rPr>
        <w:t>equipment term</w:t>
      </w:r>
      <w:r>
        <w:t xml:space="preserve"> under a </w:t>
      </w:r>
      <w:r>
        <w:rPr>
          <w:i/>
        </w:rPr>
        <w:t>mobile equipment payment plan</w:t>
      </w:r>
      <w:r>
        <w:t xml:space="preserve"> on a 12 month </w:t>
      </w:r>
      <w:r>
        <w:rPr>
          <w:i/>
        </w:rPr>
        <w:t>fixed length agreement</w:t>
      </w:r>
      <w:r>
        <w:t>.</w:t>
      </w:r>
    </w:p>
    <w:p w14:paraId="2EEF8908" w14:textId="77777777" w:rsidR="000D07EA" w:rsidRDefault="00BE7C89">
      <w:pPr>
        <w:pStyle w:val="Heading7"/>
      </w:pPr>
      <w:r>
        <w:t>The charges for the $29 Business Complete Plan is set out in Table 3A.</w:t>
      </w:r>
    </w:p>
    <w:p w14:paraId="3668B726" w14:textId="77777777" w:rsidR="000D07EA" w:rsidRDefault="00BE7C89">
      <w:pPr>
        <w:pStyle w:val="Heading6"/>
      </w:pPr>
      <w:r>
        <w:t>Eligibility</w:t>
      </w:r>
    </w:p>
    <w:p w14:paraId="6A46EBF8" w14:textId="77777777" w:rsidR="000D07EA" w:rsidRDefault="00BE7C89">
      <w:pPr>
        <w:pStyle w:val="BodyText"/>
        <w:ind w:left="720"/>
      </w:pPr>
      <w:r>
        <w:t xml:space="preserve">In order to be and remain eligible for the $29 Business Complete Plan </w:t>
      </w:r>
      <w:r>
        <w:rPr>
          <w:i/>
        </w:rPr>
        <w:t>you</w:t>
      </w:r>
      <w:r>
        <w:t xml:space="preserve"> must:</w:t>
      </w:r>
    </w:p>
    <w:p w14:paraId="3DD767A7" w14:textId="77777777" w:rsidR="000D07EA" w:rsidRDefault="00BE7C89">
      <w:pPr>
        <w:pStyle w:val="Heading7"/>
      </w:pPr>
      <w:r>
        <w:t xml:space="preserve">be a customer </w:t>
      </w:r>
      <w:r>
        <w:rPr>
          <w:i/>
        </w:rPr>
        <w:t>we</w:t>
      </w:r>
      <w:r>
        <w:t xml:space="preserve"> classify as a </w:t>
      </w:r>
      <w:r>
        <w:rPr>
          <w:i/>
        </w:rPr>
        <w:t>small or medium business</w:t>
      </w:r>
      <w:r>
        <w:t xml:space="preserve"> customers;</w:t>
      </w:r>
    </w:p>
    <w:p w14:paraId="0BB0545A" w14:textId="77777777" w:rsidR="000D07EA" w:rsidRDefault="00BE7C89">
      <w:pPr>
        <w:pStyle w:val="Heading7"/>
      </w:pPr>
      <w:r>
        <w:t>not be a customer of an Optus Service Provider;</w:t>
      </w:r>
    </w:p>
    <w:p w14:paraId="06A0BCA4" w14:textId="77777777" w:rsidR="000D07EA" w:rsidRDefault="00BE7C89">
      <w:pPr>
        <w:pStyle w:val="Heading7"/>
      </w:pPr>
      <w:r>
        <w:t xml:space="preserve">must pass the Optus Credit assessment and be accepted by </w:t>
      </w:r>
      <w:r>
        <w:rPr>
          <w:i/>
        </w:rPr>
        <w:t>us</w:t>
      </w:r>
      <w:r>
        <w:t>;</w:t>
      </w:r>
    </w:p>
    <w:p w14:paraId="5F719F0A" w14:textId="77777777" w:rsidR="000D07EA" w:rsidRDefault="00BE7C89">
      <w:pPr>
        <w:pStyle w:val="Heading7"/>
      </w:pPr>
      <w:r>
        <w:t xml:space="preserve">connect all relevant </w:t>
      </w:r>
      <w:r>
        <w:rPr>
          <w:i/>
        </w:rPr>
        <w:t>services</w:t>
      </w:r>
      <w:r>
        <w:t xml:space="preserve"> in the same account holder name, service address, and ABN/ACN/ARBN;</w:t>
      </w:r>
    </w:p>
    <w:p w14:paraId="24EF3D11" w14:textId="77777777" w:rsidR="000D07EA" w:rsidRDefault="00BE7C89">
      <w:pPr>
        <w:pStyle w:val="Heading7"/>
      </w:pPr>
      <w:r>
        <w:t xml:space="preserve">meet all of the criteria for the particular </w:t>
      </w:r>
      <w:r>
        <w:rPr>
          <w:i/>
        </w:rPr>
        <w:t>services</w:t>
      </w:r>
      <w:r>
        <w:t xml:space="preserve"> as set out in each of the relevant </w:t>
      </w:r>
      <w:r>
        <w:rPr>
          <w:i/>
        </w:rPr>
        <w:t>service descriptions</w:t>
      </w:r>
      <w:r>
        <w:t>; and</w:t>
      </w:r>
    </w:p>
    <w:p w14:paraId="09068760" w14:textId="77777777" w:rsidR="000D07EA" w:rsidRDefault="00BE7C89">
      <w:pPr>
        <w:pStyle w:val="Heading7"/>
      </w:pPr>
      <w:r>
        <w:lastRenderedPageBreak/>
        <w:t>receive subscription charges on a monthly single bill.</w:t>
      </w:r>
    </w:p>
    <w:p w14:paraId="5A842B51" w14:textId="77777777" w:rsidR="000D07EA" w:rsidRDefault="00BE7C89">
      <w:pPr>
        <w:pStyle w:val="Heading6"/>
      </w:pPr>
      <w:r>
        <w:t>Blocking access to a number</w:t>
      </w:r>
    </w:p>
    <w:p w14:paraId="1B7E9A2B" w14:textId="77777777" w:rsidR="000D07EA" w:rsidRDefault="00BE7C89">
      <w:pPr>
        <w:pStyle w:val="Heading7"/>
      </w:pPr>
      <w:r>
        <w:t xml:space="preserve">In addition to what is stated in clause 11 of the </w:t>
      </w:r>
      <w:r>
        <w:rPr>
          <w:i/>
        </w:rPr>
        <w:t>service description</w:t>
      </w:r>
      <w:r>
        <w:t xml:space="preserve"> ("Access Restrictions"), </w:t>
      </w:r>
      <w:r>
        <w:rPr>
          <w:i/>
        </w:rPr>
        <w:t>we</w:t>
      </w:r>
      <w:r>
        <w:t xml:space="preserve"> may block access to a number (other than an emergency service number) if </w:t>
      </w:r>
      <w:r>
        <w:rPr>
          <w:i/>
        </w:rPr>
        <w:t>we</w:t>
      </w:r>
      <w:r>
        <w:t xml:space="preserve"> reasonably require this to be done for technical, operational or commercial reasons.</w:t>
      </w:r>
    </w:p>
    <w:p w14:paraId="62ED31FF" w14:textId="77777777" w:rsidR="000D07EA" w:rsidRDefault="00BE7C89">
      <w:pPr>
        <w:pStyle w:val="Heading6"/>
      </w:pPr>
      <w:r>
        <w:t>Minimum Term</w:t>
      </w:r>
    </w:p>
    <w:p w14:paraId="40A3DD53" w14:textId="77777777" w:rsidR="000D07EA" w:rsidRDefault="00BE7C89">
      <w:pPr>
        <w:pStyle w:val="Heading7"/>
      </w:pPr>
      <w:r>
        <w:rPr>
          <w:i/>
        </w:rPr>
        <w:t>You</w:t>
      </w:r>
      <w:r>
        <w:t xml:space="preserve"> must agree to a </w:t>
      </w:r>
      <w:r>
        <w:rPr>
          <w:i/>
        </w:rPr>
        <w:t>non-fixed term agreement</w:t>
      </w:r>
      <w:r>
        <w:t xml:space="preserve"> or a </w:t>
      </w:r>
      <w:r>
        <w:rPr>
          <w:i/>
        </w:rPr>
        <w:t>fixed length agreement</w:t>
      </w:r>
      <w:r>
        <w:t xml:space="preserve"> with a 12 month or 24 month </w:t>
      </w:r>
      <w:r>
        <w:rPr>
          <w:i/>
        </w:rPr>
        <w:t>minimum term</w:t>
      </w:r>
      <w:r>
        <w:t>.</w:t>
      </w:r>
    </w:p>
    <w:p w14:paraId="696EA340" w14:textId="77777777" w:rsidR="000D07EA" w:rsidRDefault="00BE7C89">
      <w:pPr>
        <w:pStyle w:val="Heading7"/>
      </w:pPr>
      <w:r>
        <w:rPr>
          <w:i/>
        </w:rPr>
        <w:t>You</w:t>
      </w:r>
      <w:r>
        <w:t xml:space="preserve"> may purchase a </w:t>
      </w:r>
      <w:r>
        <w:rPr>
          <w:i/>
        </w:rPr>
        <w:t>mobile phone</w:t>
      </w:r>
      <w:r>
        <w:t xml:space="preserve"> with a:</w:t>
      </w:r>
    </w:p>
    <w:p w14:paraId="5479AFE1" w14:textId="77777777" w:rsidR="000D07EA" w:rsidRDefault="00BE7C89">
      <w:pPr>
        <w:pStyle w:val="Heading8"/>
      </w:pPr>
      <w:r>
        <w:t xml:space="preserve">24 month </w:t>
      </w:r>
      <w:r>
        <w:rPr>
          <w:i/>
        </w:rPr>
        <w:t>equipment term</w:t>
      </w:r>
      <w:r>
        <w:t xml:space="preserve"> under a </w:t>
      </w:r>
      <w:r>
        <w:rPr>
          <w:i/>
        </w:rPr>
        <w:t>mobile equipment payment plan</w:t>
      </w:r>
      <w:r>
        <w:t xml:space="preserve"> on a 24 month </w:t>
      </w:r>
      <w:r>
        <w:rPr>
          <w:i/>
        </w:rPr>
        <w:t>fixed length agreement</w:t>
      </w:r>
      <w:r>
        <w:t xml:space="preserve">. If </w:t>
      </w:r>
      <w:r>
        <w:rPr>
          <w:i/>
        </w:rPr>
        <w:t>you</w:t>
      </w:r>
      <w:r>
        <w:t xml:space="preserve"> do so, the price of </w:t>
      </w:r>
      <w:r>
        <w:rPr>
          <w:i/>
        </w:rPr>
        <w:t>mobile phones</w:t>
      </w:r>
      <w:r>
        <w:t xml:space="preserve"> available is less than if </w:t>
      </w:r>
      <w:r>
        <w:rPr>
          <w:i/>
        </w:rPr>
        <w:t>you</w:t>
      </w:r>
      <w:r>
        <w:t xml:space="preserve"> only agree to a </w:t>
      </w:r>
      <w:r>
        <w:rPr>
          <w:i/>
        </w:rPr>
        <w:t>non-fixed length agreement</w:t>
      </w:r>
      <w:r>
        <w:t xml:space="preserve">; or, </w:t>
      </w:r>
    </w:p>
    <w:p w14:paraId="5B5D3E93" w14:textId="77777777" w:rsidR="000D07EA" w:rsidRDefault="00BE7C89">
      <w:pPr>
        <w:pStyle w:val="Heading8"/>
      </w:pPr>
      <w:r>
        <w:t xml:space="preserve">12 month </w:t>
      </w:r>
      <w:r>
        <w:rPr>
          <w:i/>
        </w:rPr>
        <w:t>equipment term</w:t>
      </w:r>
      <w:r>
        <w:t xml:space="preserve"> under a </w:t>
      </w:r>
      <w:r>
        <w:rPr>
          <w:i/>
        </w:rPr>
        <w:t>mobile equipment payment plan</w:t>
      </w:r>
      <w:r>
        <w:t xml:space="preserve"> on a 12 month </w:t>
      </w:r>
      <w:r>
        <w:rPr>
          <w:i/>
        </w:rPr>
        <w:t>fixed length agreement</w:t>
      </w:r>
      <w:r>
        <w:t xml:space="preserve">. If </w:t>
      </w:r>
      <w:r>
        <w:rPr>
          <w:i/>
        </w:rPr>
        <w:t>you</w:t>
      </w:r>
      <w:r>
        <w:t xml:space="preserve"> do so, the price of </w:t>
      </w:r>
      <w:r>
        <w:rPr>
          <w:i/>
        </w:rPr>
        <w:t>mobile phones</w:t>
      </w:r>
      <w:r>
        <w:t xml:space="preserve"> available is less than if </w:t>
      </w:r>
      <w:r>
        <w:rPr>
          <w:i/>
        </w:rPr>
        <w:t>you</w:t>
      </w:r>
      <w:r>
        <w:t xml:space="preserve"> only agree to a </w:t>
      </w:r>
      <w:r>
        <w:rPr>
          <w:i/>
        </w:rPr>
        <w:t>non-fixed length agreement</w:t>
      </w:r>
      <w:r>
        <w:t>.</w:t>
      </w:r>
    </w:p>
    <w:p w14:paraId="23368690" w14:textId="77777777" w:rsidR="000D07EA" w:rsidRDefault="00BE7C89">
      <w:pPr>
        <w:pStyle w:val="Heading6"/>
      </w:pPr>
      <w:r>
        <w:t xml:space="preserve">What </w:t>
      </w:r>
      <w:r>
        <w:rPr>
          <w:i/>
        </w:rPr>
        <w:t>you</w:t>
      </w:r>
      <w:r>
        <w:t xml:space="preserve"> have to pay </w:t>
      </w:r>
      <w:r>
        <w:rPr>
          <w:i/>
        </w:rPr>
        <w:t>us</w:t>
      </w:r>
    </w:p>
    <w:p w14:paraId="7DD51122" w14:textId="77777777" w:rsidR="000D07EA" w:rsidRDefault="00BE7C89">
      <w:pPr>
        <w:pStyle w:val="Heading7"/>
      </w:pPr>
      <w:r>
        <w:t xml:space="preserve">Subject to paragraphs below </w:t>
      </w:r>
      <w:r>
        <w:rPr>
          <w:i/>
        </w:rPr>
        <w:t>you</w:t>
      </w:r>
      <w:r>
        <w:t xml:space="preserve"> must pay </w:t>
      </w:r>
      <w:r>
        <w:rPr>
          <w:i/>
        </w:rPr>
        <w:t>us</w:t>
      </w:r>
      <w:r>
        <w:t xml:space="preserve"> for use of the </w:t>
      </w:r>
      <w:r>
        <w:rPr>
          <w:i/>
        </w:rPr>
        <w:t>service</w:t>
      </w:r>
      <w:r>
        <w:t xml:space="preserve"> at the rates set out in </w:t>
      </w:r>
      <w:hyperlink r:id="rId419" w:history="1">
        <w:r>
          <w:rPr>
            <w:rStyle w:val="Hyperlink"/>
          </w:rPr>
          <w:t>Section 1</w:t>
        </w:r>
      </w:hyperlink>
      <w:r>
        <w:t xml:space="preserve"> of this </w:t>
      </w:r>
      <w:r>
        <w:rPr>
          <w:i/>
        </w:rPr>
        <w:t>standard pricing tabl</w:t>
      </w:r>
      <w:r>
        <w:t xml:space="preserve">e and for </w:t>
      </w:r>
      <w:r>
        <w:rPr>
          <w:i/>
        </w:rPr>
        <w:t>value added service features</w:t>
      </w:r>
      <w:r>
        <w:t xml:space="preserve"> at the rates set out in </w:t>
      </w:r>
      <w:hyperlink r:id="rId420" w:history="1">
        <w:r>
          <w:rPr>
            <w:rStyle w:val="Hyperlink"/>
            <w:i/>
          </w:rPr>
          <w:t>Appendix Y</w:t>
        </w:r>
      </w:hyperlink>
      <w:r>
        <w:rPr>
          <w:i/>
        </w:rPr>
        <w:t xml:space="preserve"> </w:t>
      </w:r>
      <w:r>
        <w:t>Value Added Service Features.</w:t>
      </w:r>
    </w:p>
    <w:p w14:paraId="71FF48D9" w14:textId="77777777" w:rsidR="000D07EA" w:rsidRDefault="00BE7C89">
      <w:pPr>
        <w:pStyle w:val="Heading7"/>
      </w:pPr>
      <w:r>
        <w:t xml:space="preserve">If there is a </w:t>
      </w:r>
      <w:r>
        <w:rPr>
          <w:i/>
        </w:rPr>
        <w:t>flagfall</w:t>
      </w:r>
      <w:r>
        <w:t xml:space="preserve"> or call connection charge for a particular call type, the charge for these calls is the </w:t>
      </w:r>
      <w:r>
        <w:rPr>
          <w:i/>
        </w:rPr>
        <w:t>flagfall</w:t>
      </w:r>
      <w:r>
        <w:t xml:space="preserve"> charge plus the relevant rate for the call multiplied by the duration of the call.  </w:t>
      </w:r>
    </w:p>
    <w:p w14:paraId="699AA4A4" w14:textId="77777777" w:rsidR="000D07EA" w:rsidRDefault="00BE7C89">
      <w:pPr>
        <w:pStyle w:val="Heading7"/>
        <w:rPr>
          <w:b/>
        </w:rPr>
      </w:pPr>
      <w:r>
        <w:rPr>
          <w:b/>
        </w:rPr>
        <w:t>Included Call &amp; Text Value</w:t>
      </w:r>
    </w:p>
    <w:p w14:paraId="6CAB1280" w14:textId="77777777" w:rsidR="000D07EA" w:rsidRDefault="00BE7C89">
      <w:pPr>
        <w:pStyle w:val="Heading8"/>
      </w:pPr>
      <w:r>
        <w:t xml:space="preserve">Under the $29 Business Complete Plan, a set amount of Included Call &amp; Text Value applies when the value of </w:t>
      </w:r>
      <w:r>
        <w:rPr>
          <w:b/>
        </w:rPr>
        <w:t>eligible calls and text</w:t>
      </w:r>
      <w:r>
        <w:t xml:space="preserve"> </w:t>
      </w:r>
      <w:r>
        <w:rPr>
          <w:i/>
        </w:rPr>
        <w:t>you</w:t>
      </w:r>
      <w:r>
        <w:t xml:space="preserve"> make in a month reaches </w:t>
      </w:r>
      <w:r>
        <w:rPr>
          <w:i/>
        </w:rPr>
        <w:t>your pricing plan's</w:t>
      </w:r>
      <w:r>
        <w:t xml:space="preserve"> </w:t>
      </w:r>
      <w:r>
        <w:rPr>
          <w:b/>
        </w:rPr>
        <w:t>Minimum Monthly Charge</w:t>
      </w:r>
      <w:r>
        <w:t xml:space="preserve">. Once </w:t>
      </w:r>
      <w:r>
        <w:rPr>
          <w:i/>
        </w:rPr>
        <w:t>your</w:t>
      </w:r>
      <w:r>
        <w:t xml:space="preserve"> eligible calls and text spend reaches the </w:t>
      </w:r>
      <w:r>
        <w:rPr>
          <w:b/>
        </w:rPr>
        <w:t>Minimum Monthly Charge</w:t>
      </w:r>
      <w:r>
        <w:t xml:space="preserve">, additional eligible calls and text made in that month are included until the value of </w:t>
      </w:r>
      <w:r>
        <w:rPr>
          <w:i/>
        </w:rPr>
        <w:t>your</w:t>
      </w:r>
      <w:r>
        <w:t xml:space="preserve"> eligible calls and text reach </w:t>
      </w:r>
      <w:r>
        <w:rPr>
          <w:i/>
        </w:rPr>
        <w:t>your pricing plan's</w:t>
      </w:r>
      <w:r>
        <w:t xml:space="preserve"> </w:t>
      </w:r>
      <w:r>
        <w:rPr>
          <w:b/>
        </w:rPr>
        <w:t>Included Call &amp; Text Value</w:t>
      </w:r>
      <w:r>
        <w:t>.</w:t>
      </w:r>
    </w:p>
    <w:p w14:paraId="79F19A0E" w14:textId="77777777" w:rsidR="000D07EA" w:rsidRDefault="00BE7C89">
      <w:pPr>
        <w:pStyle w:val="Heading8"/>
      </w:pPr>
      <w:r>
        <w:t>The '</w:t>
      </w:r>
      <w:r>
        <w:rPr>
          <w:b/>
        </w:rPr>
        <w:t>Minimum Monthly Charge</w:t>
      </w:r>
      <w:r>
        <w:t>' and '</w:t>
      </w:r>
      <w:r>
        <w:rPr>
          <w:b/>
        </w:rPr>
        <w:t>Included Call &amp; Text Value</w:t>
      </w:r>
      <w:r>
        <w:t>' for the $29 Business Complete Plan is set out in Table 3A below.</w:t>
      </w:r>
    </w:p>
    <w:p w14:paraId="44AFF81B" w14:textId="77777777" w:rsidR="000D07EA" w:rsidRDefault="00BE7C89">
      <w:pPr>
        <w:pStyle w:val="Heading8"/>
      </w:pPr>
      <w:r>
        <w:t xml:space="preserve">Under the $29 Business Complete Plan, </w:t>
      </w:r>
      <w:r>
        <w:rPr>
          <w:i/>
        </w:rPr>
        <w:t>you</w:t>
      </w:r>
      <w:r>
        <w:t xml:space="preserve"> will receive '</w:t>
      </w:r>
      <w:r>
        <w:rPr>
          <w:b/>
        </w:rPr>
        <w:t>Included Call &amp; Text Value</w:t>
      </w:r>
      <w:r>
        <w:t>'.</w:t>
      </w:r>
    </w:p>
    <w:p w14:paraId="2DCE08BD" w14:textId="77777777" w:rsidR="000D07EA" w:rsidRDefault="00BE7C89">
      <w:pPr>
        <w:pStyle w:val="Heading8"/>
      </w:pPr>
      <w:r>
        <w:t>The amount of '</w:t>
      </w:r>
      <w:r>
        <w:rPr>
          <w:b/>
        </w:rPr>
        <w:t>Included Call &amp; Text Value</w:t>
      </w:r>
      <w:r>
        <w:t>' included for the $29 Business Complete Plan is set out in Table 3A below.</w:t>
      </w:r>
    </w:p>
    <w:p w14:paraId="543207D6" w14:textId="77777777" w:rsidR="000D07EA" w:rsidRDefault="00BE7C89">
      <w:pPr>
        <w:pStyle w:val="Heading8"/>
      </w:pPr>
      <w:r>
        <w:t>The call types that are '</w:t>
      </w:r>
      <w:r>
        <w:rPr>
          <w:b/>
        </w:rPr>
        <w:t>eligible calls and text</w:t>
      </w:r>
      <w:r>
        <w:t>' for the $29 Business Complete Plan under the 'Included Call &amp; Text Value' is defined in Table 1A below.</w:t>
      </w:r>
    </w:p>
    <w:p w14:paraId="1E637A08" w14:textId="77777777" w:rsidR="000D07EA" w:rsidRDefault="00BE7C89">
      <w:pPr>
        <w:pStyle w:val="Heading8"/>
      </w:pPr>
      <w:r>
        <w:rPr>
          <w:i/>
        </w:rPr>
        <w:t>You</w:t>
      </w:r>
      <w:r>
        <w:t xml:space="preserve"> must pay </w:t>
      </w:r>
      <w:r>
        <w:rPr>
          <w:i/>
        </w:rPr>
        <w:t>us</w:t>
      </w:r>
      <w:r>
        <w:t xml:space="preserve"> call charges for eligible calls and text made beyond the available '</w:t>
      </w:r>
      <w:r>
        <w:rPr>
          <w:b/>
        </w:rPr>
        <w:t>Included Call &amp; Text Value</w:t>
      </w:r>
      <w:r>
        <w:t xml:space="preserve">'. </w:t>
      </w:r>
    </w:p>
    <w:p w14:paraId="694D3DD9" w14:textId="77777777" w:rsidR="000D07EA" w:rsidRDefault="00BE7C89">
      <w:pPr>
        <w:pStyle w:val="Heading8"/>
      </w:pPr>
      <w:r>
        <w:t>Any unused portion of the '</w:t>
      </w:r>
      <w:r>
        <w:rPr>
          <w:b/>
        </w:rPr>
        <w:t>Included Call &amp; Text Value</w:t>
      </w:r>
      <w:r>
        <w:t>' expires at the end of each month.  This means that it does not roll over into the following month.</w:t>
      </w:r>
    </w:p>
    <w:p w14:paraId="534AAFD5" w14:textId="77777777" w:rsidR="000D07EA" w:rsidRDefault="00BE7C89">
      <w:pPr>
        <w:pStyle w:val="Heading8"/>
      </w:pPr>
      <w:r>
        <w:rPr>
          <w:i/>
        </w:rPr>
        <w:t>You</w:t>
      </w:r>
      <w:r>
        <w:t xml:space="preserve"> must pay for any calls and texts that are not '</w:t>
      </w:r>
      <w:r>
        <w:rPr>
          <w:b/>
        </w:rPr>
        <w:t>eligible calls and text</w:t>
      </w:r>
      <w:r>
        <w:t>'.</w:t>
      </w:r>
    </w:p>
    <w:p w14:paraId="73485DD6" w14:textId="77777777" w:rsidR="000D07EA" w:rsidRDefault="00BE7C89">
      <w:pPr>
        <w:pStyle w:val="Heading7"/>
        <w:rPr>
          <w:b/>
        </w:rPr>
      </w:pPr>
      <w:r>
        <w:rPr>
          <w:b/>
        </w:rPr>
        <w:t>Minimum Monthly Charge</w:t>
      </w:r>
    </w:p>
    <w:p w14:paraId="3A44C451" w14:textId="77777777" w:rsidR="000D07EA" w:rsidRDefault="00BE7C89">
      <w:pPr>
        <w:pStyle w:val="Heading8"/>
      </w:pPr>
      <w:r>
        <w:lastRenderedPageBreak/>
        <w:t xml:space="preserve">The $29 Business Complete Plan has a </w:t>
      </w:r>
      <w:r>
        <w:rPr>
          <w:b/>
        </w:rPr>
        <w:t>Minimum Monthly Charge</w:t>
      </w:r>
      <w:r>
        <w:t xml:space="preserve"> amount that </w:t>
      </w:r>
      <w:r>
        <w:rPr>
          <w:i/>
        </w:rPr>
        <w:t>you</w:t>
      </w:r>
      <w:r>
        <w:t xml:space="preserve"> must pay us each month. </w:t>
      </w:r>
    </w:p>
    <w:p w14:paraId="7B2C2EB7" w14:textId="77777777" w:rsidR="000D07EA" w:rsidRDefault="00BE7C89">
      <w:pPr>
        <w:pStyle w:val="Heading8"/>
      </w:pPr>
      <w:r>
        <w:t xml:space="preserve">If </w:t>
      </w:r>
      <w:r>
        <w:rPr>
          <w:i/>
        </w:rPr>
        <w:t>you</w:t>
      </w:r>
      <w:r>
        <w:t xml:space="preserve"> do not make enough eligible calls and text in a month to reach </w:t>
      </w:r>
      <w:r>
        <w:rPr>
          <w:i/>
        </w:rPr>
        <w:t>your pricing plan's</w:t>
      </w:r>
      <w:r>
        <w:t xml:space="preserve"> </w:t>
      </w:r>
      <w:r>
        <w:rPr>
          <w:b/>
        </w:rPr>
        <w:t>Minimum Monthly Charge</w:t>
      </w:r>
      <w:r>
        <w:t xml:space="preserve">, </w:t>
      </w:r>
      <w:r>
        <w:rPr>
          <w:i/>
        </w:rPr>
        <w:t>you</w:t>
      </w:r>
      <w:r>
        <w:t xml:space="preserve"> must still pay us your</w:t>
      </w:r>
      <w:r>
        <w:rPr>
          <w:i/>
        </w:rPr>
        <w:t xml:space="preserve"> pricing plan's</w:t>
      </w:r>
      <w:r>
        <w:t xml:space="preserve"> </w:t>
      </w:r>
      <w:r>
        <w:rPr>
          <w:b/>
        </w:rPr>
        <w:t>Minimum Monthly Charge</w:t>
      </w:r>
      <w:r>
        <w:t xml:space="preserve"> for that month.</w:t>
      </w:r>
    </w:p>
    <w:p w14:paraId="690913C5" w14:textId="77777777" w:rsidR="000D07EA" w:rsidRDefault="00BE7C89">
      <w:pPr>
        <w:pStyle w:val="Heading8"/>
      </w:pPr>
      <w:r>
        <w:t>The amount of the '</w:t>
      </w:r>
      <w:r>
        <w:rPr>
          <w:b/>
        </w:rPr>
        <w:t>Minimum Monthly Charge</w:t>
      </w:r>
      <w:r>
        <w:t>' and '</w:t>
      </w:r>
      <w:r>
        <w:rPr>
          <w:b/>
        </w:rPr>
        <w:t>Included Call &amp; Text Value</w:t>
      </w:r>
      <w:r>
        <w:t>' for the $29 Business Complete Plan is set out in Table 3A below.</w:t>
      </w:r>
    </w:p>
    <w:p w14:paraId="1C485EFC" w14:textId="77777777" w:rsidR="000D07EA" w:rsidRDefault="00BE7C89">
      <w:pPr>
        <w:pStyle w:val="Heading8"/>
      </w:pPr>
      <w:r>
        <w:rPr>
          <w:i/>
        </w:rPr>
        <w:t>You</w:t>
      </w:r>
      <w:r>
        <w:t xml:space="preserve"> must pay </w:t>
      </w:r>
      <w:r>
        <w:rPr>
          <w:i/>
        </w:rPr>
        <w:t>us</w:t>
      </w:r>
      <w:r>
        <w:t xml:space="preserve"> for any calls or usages that are not eligible calls or usage.</w:t>
      </w:r>
    </w:p>
    <w:p w14:paraId="1F70AB09" w14:textId="77777777" w:rsidR="000D07EA" w:rsidRDefault="00BE7C89">
      <w:pPr>
        <w:pStyle w:val="Heading7"/>
        <w:rPr>
          <w:b/>
        </w:rPr>
      </w:pPr>
      <w:r>
        <w:rPr>
          <w:b/>
        </w:rPr>
        <w:t>Included Mobile Internet Data Value or Unlimited BlackBerry POP3 Email and Browsing through the BlackBerry Browser</w:t>
      </w:r>
    </w:p>
    <w:p w14:paraId="405E48AB" w14:textId="77777777" w:rsidR="000D07EA" w:rsidRDefault="00BE7C89">
      <w:pPr>
        <w:pStyle w:val="Heading8"/>
      </w:pPr>
      <w:r>
        <w:t xml:space="preserve">Under the $29 Business Complete Plan, </w:t>
      </w:r>
      <w:r>
        <w:rPr>
          <w:i/>
        </w:rPr>
        <w:t>you</w:t>
      </w:r>
      <w:r>
        <w:t xml:space="preserve"> can choose from </w:t>
      </w:r>
    </w:p>
    <w:p w14:paraId="7C169E23" w14:textId="77777777" w:rsidR="000D07EA" w:rsidRDefault="00BE7C89">
      <w:pPr>
        <w:pStyle w:val="Heading9"/>
      </w:pPr>
      <w:r>
        <w:t>Included Mobile Internet Data Value; or</w:t>
      </w:r>
    </w:p>
    <w:p w14:paraId="0ABD92A3" w14:textId="77777777" w:rsidR="000D07EA" w:rsidRDefault="00BE7C89">
      <w:pPr>
        <w:pStyle w:val="Heading9"/>
      </w:pPr>
      <w:r>
        <w:t xml:space="preserve">Unlimited BlackBerry POP3 Email and Browsing through the BlackBerry Browser to use within Australia. </w:t>
      </w:r>
    </w:p>
    <w:p w14:paraId="25AF3CAD" w14:textId="77777777" w:rsidR="000D07EA" w:rsidRDefault="00BE7C89">
      <w:pPr>
        <w:pStyle w:val="Heading8"/>
      </w:pPr>
      <w:r>
        <w:t xml:space="preserve">If </w:t>
      </w:r>
      <w:r>
        <w:rPr>
          <w:i/>
        </w:rPr>
        <w:t>you</w:t>
      </w:r>
      <w:r>
        <w:t xml:space="preserve"> select the included Mobile Internet Data Value option:</w:t>
      </w:r>
    </w:p>
    <w:p w14:paraId="4EB77AEF" w14:textId="77777777" w:rsidR="000D07EA" w:rsidRDefault="00BE7C89">
      <w:pPr>
        <w:pStyle w:val="Heading9"/>
      </w:pPr>
      <w:r>
        <w:t>The amount of the "Mobile Internet Data Value" included, to use within Australia, for the $29 Business Complete Plan is set out in Table 3A below.</w:t>
      </w:r>
    </w:p>
    <w:p w14:paraId="6FF4049A" w14:textId="77777777" w:rsidR="000D07EA" w:rsidRDefault="00BE7C89">
      <w:pPr>
        <w:pStyle w:val="Heading9"/>
      </w:pPr>
      <w:r>
        <w:t>The usage types that are '</w:t>
      </w:r>
      <w:r>
        <w:rPr>
          <w:b/>
        </w:rPr>
        <w:t>eligible data</w:t>
      </w:r>
      <w:r>
        <w:t>' for the $29 Business Complete Plan under the included Mobile Internet Data Value are defined in Table 2A below.</w:t>
      </w:r>
    </w:p>
    <w:p w14:paraId="7F6189B8" w14:textId="77777777" w:rsidR="000D07EA" w:rsidRDefault="00BE7C89">
      <w:pPr>
        <w:pStyle w:val="Heading9"/>
      </w:pPr>
      <w:r>
        <w:t xml:space="preserve">The included data of the $29 Business Complete Plan </w:t>
      </w:r>
      <w:r>
        <w:rPr>
          <w:b/>
        </w:rPr>
        <w:t>cannot</w:t>
      </w:r>
      <w:r>
        <w:t xml:space="preserve"> be shared with an eligible Business Mobile Broadband service.</w:t>
      </w:r>
    </w:p>
    <w:p w14:paraId="5BED48C2" w14:textId="77777777" w:rsidR="000D07EA" w:rsidRDefault="00BE7C89">
      <w:pPr>
        <w:pStyle w:val="Heading9"/>
      </w:pPr>
      <w:r>
        <w:rPr>
          <w:i/>
        </w:rPr>
        <w:t>You</w:t>
      </w:r>
      <w:r>
        <w:t xml:space="preserve"> must pay </w:t>
      </w:r>
      <w:r>
        <w:rPr>
          <w:i/>
        </w:rPr>
        <w:t>us</w:t>
      </w:r>
      <w:r>
        <w:t xml:space="preserve"> excess usage charges for data used beyond the available "Mobile Internet Data Value" as shown in Table 3A below. </w:t>
      </w:r>
    </w:p>
    <w:p w14:paraId="390D307D" w14:textId="77777777" w:rsidR="000D07EA" w:rsidRDefault="00BE7C89">
      <w:pPr>
        <w:pStyle w:val="Heading9"/>
      </w:pPr>
      <w:r>
        <w:t xml:space="preserve">Any unused portion of the "Mobile Internet Data Value" expires at the end of each month and does not rollover into the following month.   </w:t>
      </w:r>
    </w:p>
    <w:p w14:paraId="4A0A0879" w14:textId="77777777" w:rsidR="000D07EA" w:rsidRDefault="00BE7C89">
      <w:pPr>
        <w:pStyle w:val="Heading8"/>
      </w:pPr>
      <w:r>
        <w:t xml:space="preserve">If </w:t>
      </w:r>
      <w:r>
        <w:rPr>
          <w:i/>
        </w:rPr>
        <w:t>you</w:t>
      </w:r>
      <w:r>
        <w:t xml:space="preserve"> select the Unlimited BlackBerry POP3 Email and Browsing through the BlackBerry Browser option:</w:t>
      </w:r>
    </w:p>
    <w:p w14:paraId="7DF3D45B" w14:textId="77777777" w:rsidR="000D07EA" w:rsidRDefault="00BE7C89">
      <w:pPr>
        <w:pStyle w:val="Heading9"/>
      </w:pPr>
      <w:r>
        <w:rPr>
          <w:i/>
        </w:rPr>
        <w:t>You</w:t>
      </w:r>
      <w:r>
        <w:t xml:space="preserve"> will only receive unlimited BlackBerry POP3 Email and Browsing through the BlackBerry Internet Browser or the BlackBerry Browser and use of applications from Optus and third party applications that require a BlackBerry Data connection, within Australia.</w:t>
      </w:r>
    </w:p>
    <w:p w14:paraId="0E26B56D" w14:textId="77777777" w:rsidR="000D07EA" w:rsidRDefault="00BE7C89">
      <w:pPr>
        <w:pStyle w:val="Heading9"/>
      </w:pPr>
      <w:r>
        <w:t>The usage types that are '</w:t>
      </w:r>
      <w:r>
        <w:rPr>
          <w:b/>
        </w:rPr>
        <w:t>eligible data</w:t>
      </w:r>
      <w:r>
        <w:t>' for the $29 Business Complete Plan under the Unlimited BlackBerry POP3 Email and Browsing through the BlackBerry Browser are defined in Table 2B below.</w:t>
      </w:r>
    </w:p>
    <w:p w14:paraId="7E0ACE91" w14:textId="77777777" w:rsidR="000D07EA" w:rsidRDefault="00BE7C89">
      <w:pPr>
        <w:pStyle w:val="Heading9"/>
      </w:pPr>
      <w:r>
        <w:t>Use of Unlimited BlackBerry POP3 Email is for personal or business use. The Fair Go Policy (</w:t>
      </w:r>
      <w:hyperlink r:id="rId421" w:history="1">
        <w:r>
          <w:rPr>
            <w:rStyle w:val="Hyperlink"/>
            <w:i/>
          </w:rPr>
          <w:t>Appendix S</w:t>
        </w:r>
      </w:hyperlink>
      <w:r>
        <w:t xml:space="preserve">) also applies to unacceptable use. Please refer to </w:t>
      </w:r>
      <w:hyperlink r:id="rId422" w:history="1">
        <w:r w:rsidR="008D6257">
          <w:rPr>
            <w:rStyle w:val="Hyperlink"/>
            <w:i/>
          </w:rPr>
          <w:t>Appendix S</w:t>
        </w:r>
      </w:hyperlink>
      <w:r>
        <w:rPr>
          <w:i/>
        </w:rPr>
        <w:t xml:space="preserve"> </w:t>
      </w:r>
      <w:r>
        <w:t>for further details.</w:t>
      </w:r>
    </w:p>
    <w:p w14:paraId="7FA384D0" w14:textId="77777777" w:rsidR="000D07EA" w:rsidRDefault="00BE7C89">
      <w:pPr>
        <w:pStyle w:val="Heading7"/>
        <w:rPr>
          <w:b/>
        </w:rPr>
      </w:pPr>
      <w:r>
        <w:rPr>
          <w:b/>
        </w:rPr>
        <w:t>Unlimited mobile access to Facebook®, Twitter, LinkedIn, Ebay, Four Square, MySpace</w:t>
      </w:r>
    </w:p>
    <w:p w14:paraId="3F2B0E62" w14:textId="77777777" w:rsidR="000D07EA" w:rsidRDefault="00BE7C89">
      <w:pPr>
        <w:pStyle w:val="Heading8"/>
      </w:pPr>
      <w:r>
        <w:t xml:space="preserve">Under the $29 Business Complete Plan, </w:t>
      </w:r>
      <w:r>
        <w:rPr>
          <w:i/>
        </w:rPr>
        <w:t>you</w:t>
      </w:r>
      <w:r>
        <w:t xml:space="preserve"> will receive unlimited mobile access to Facebook®, Twitter, LinkedIn, Ebay, Four Square, MySpace within Australia. </w:t>
      </w:r>
    </w:p>
    <w:p w14:paraId="71D391F3" w14:textId="77777777" w:rsidR="000D07EA" w:rsidRDefault="00BE7C89">
      <w:pPr>
        <w:pStyle w:val="Heading8"/>
      </w:pPr>
      <w:r>
        <w:t>These features are only available to you if your handset is compatible with the service. Unlimited access to LinkedIn not available to handsets using BlackBerry OS7 operating system.</w:t>
      </w:r>
    </w:p>
    <w:p w14:paraId="5C931B00" w14:textId="77777777" w:rsidR="000D07EA" w:rsidRDefault="00BE7C89">
      <w:pPr>
        <w:pStyle w:val="Heading8"/>
      </w:pPr>
      <w:r>
        <w:lastRenderedPageBreak/>
        <w:t xml:space="preserve">The Fair Go policy applies. Please refer to </w:t>
      </w:r>
      <w:hyperlink r:id="rId423" w:history="1">
        <w:r w:rsidR="008D6257">
          <w:rPr>
            <w:rStyle w:val="Hyperlink"/>
            <w:i/>
          </w:rPr>
          <w:t>Appendix S</w:t>
        </w:r>
      </w:hyperlink>
      <w:r>
        <w:t>for further details.</w:t>
      </w:r>
    </w:p>
    <w:p w14:paraId="127FB56E" w14:textId="77777777" w:rsidR="000D07EA" w:rsidRDefault="00BE7C89">
      <w:pPr>
        <w:pStyle w:val="Heading7"/>
        <w:rPr>
          <w:b/>
        </w:rPr>
      </w:pPr>
      <w:r>
        <w:rPr>
          <w:b/>
        </w:rPr>
        <w:t>Unlimited calls to Optus GSM Mobiles on Same Customer Account Number</w:t>
      </w:r>
    </w:p>
    <w:p w14:paraId="485FFC0D" w14:textId="77777777" w:rsidR="000D07EA" w:rsidRDefault="00BE7C89">
      <w:pPr>
        <w:pStyle w:val="Heading8"/>
      </w:pPr>
      <w:r>
        <w:t xml:space="preserve">Under the $29 Business Complete Plan, </w:t>
      </w:r>
      <w:r>
        <w:rPr>
          <w:i/>
        </w:rPr>
        <w:t>you</w:t>
      </w:r>
      <w:r>
        <w:t xml:space="preserve"> will receive unlimited national standard voice calls within Australia to other Optus GSM Mobile services on the same customer account number for no additional cost. </w:t>
      </w:r>
    </w:p>
    <w:p w14:paraId="25555651" w14:textId="77777777" w:rsidR="000D07EA" w:rsidRDefault="00BE7C89">
      <w:pPr>
        <w:pStyle w:val="Heading8"/>
      </w:pPr>
      <w:r>
        <w:rPr>
          <w:i/>
        </w:rPr>
        <w:t>You</w:t>
      </w:r>
      <w:r>
        <w:t xml:space="preserve"> must pay for any calls that are not eligible calls.</w:t>
      </w:r>
    </w:p>
    <w:p w14:paraId="55DD21DD" w14:textId="77777777" w:rsidR="000D07EA" w:rsidRDefault="00BE7C89">
      <w:pPr>
        <w:pStyle w:val="Heading8"/>
      </w:pPr>
      <w:r>
        <w:t>The Fair Go Policy (</w:t>
      </w:r>
      <w:hyperlink r:id="rId424" w:history="1">
        <w:r>
          <w:rPr>
            <w:rStyle w:val="Hyperlink"/>
            <w:i/>
          </w:rPr>
          <w:t>Appendix S</w:t>
        </w:r>
      </w:hyperlink>
      <w:r>
        <w:t xml:space="preserve">) applies. Please refer to </w:t>
      </w:r>
      <w:hyperlink r:id="rId425" w:history="1">
        <w:r w:rsidR="008D6257">
          <w:rPr>
            <w:rStyle w:val="Hyperlink"/>
            <w:i/>
          </w:rPr>
          <w:t>Appendix S</w:t>
        </w:r>
      </w:hyperlink>
      <w:r>
        <w:t>for further details.</w:t>
      </w:r>
    </w:p>
    <w:p w14:paraId="1F68FD38" w14:textId="77777777" w:rsidR="000D07EA" w:rsidRDefault="00BE7C89">
      <w:pPr>
        <w:pStyle w:val="Heading7"/>
        <w:rPr>
          <w:b/>
        </w:rPr>
      </w:pPr>
      <w:r>
        <w:rPr>
          <w:b/>
        </w:rPr>
        <w:t>Unlimited VoiceMail Deposits and Retrievals</w:t>
      </w:r>
    </w:p>
    <w:p w14:paraId="19C71055" w14:textId="77777777" w:rsidR="000D07EA" w:rsidRDefault="00BE7C89">
      <w:pPr>
        <w:pStyle w:val="Heading8"/>
      </w:pPr>
      <w:r>
        <w:t xml:space="preserve">Under the $29 Business Complete Plan, </w:t>
      </w:r>
      <w:r>
        <w:rPr>
          <w:i/>
        </w:rPr>
        <w:t>you</w:t>
      </w:r>
      <w:r>
        <w:t xml:space="preserve"> will receive Unlimited VoiceMail Deposits and Retrievals within Australia.  Diversion charges may still apply. </w:t>
      </w:r>
    </w:p>
    <w:p w14:paraId="04CA4F32" w14:textId="77777777" w:rsidR="000D07EA" w:rsidRDefault="00BE7C89">
      <w:pPr>
        <w:pStyle w:val="Heading8"/>
      </w:pPr>
      <w:r>
        <w:t>The Fair Go Policy (</w:t>
      </w:r>
      <w:hyperlink r:id="rId426" w:history="1">
        <w:r>
          <w:rPr>
            <w:rStyle w:val="Hyperlink"/>
            <w:i/>
          </w:rPr>
          <w:t>Appendix S</w:t>
        </w:r>
      </w:hyperlink>
      <w:r>
        <w:t xml:space="preserve">) applies. Please refer to </w:t>
      </w:r>
      <w:hyperlink r:id="rId427" w:history="1">
        <w:r w:rsidR="008D6257">
          <w:rPr>
            <w:rStyle w:val="Hyperlink"/>
            <w:i/>
          </w:rPr>
          <w:t>Appendix S</w:t>
        </w:r>
      </w:hyperlink>
      <w:r>
        <w:t>for further details.</w:t>
      </w:r>
    </w:p>
    <w:p w14:paraId="604CDB1F" w14:textId="77777777" w:rsidR="000D07EA" w:rsidRDefault="00BE7C89">
      <w:pPr>
        <w:pStyle w:val="Heading7"/>
        <w:rPr>
          <w:b/>
        </w:rPr>
      </w:pPr>
      <w:r>
        <w:rPr>
          <w:b/>
        </w:rPr>
        <w:t xml:space="preserve">Other $29 Business Complete Plan Conditions: </w:t>
      </w:r>
    </w:p>
    <w:p w14:paraId="7F7F29AC" w14:textId="77777777" w:rsidR="000D07EA" w:rsidRDefault="00BE7C89">
      <w:pPr>
        <w:pStyle w:val="Heading8"/>
      </w:pPr>
      <w:r>
        <w:t>The Fair Go Policy (</w:t>
      </w:r>
      <w:hyperlink r:id="rId428" w:history="1">
        <w:r>
          <w:rPr>
            <w:rStyle w:val="Hyperlink"/>
            <w:i/>
          </w:rPr>
          <w:t>Appendix S</w:t>
        </w:r>
      </w:hyperlink>
      <w:r>
        <w:t xml:space="preserve">) applies to Voice Over Internet Protocol (VOIP) services up to 10 megabytes per month. Please refer to </w:t>
      </w:r>
      <w:hyperlink r:id="rId429" w:history="1">
        <w:r w:rsidR="008D6257">
          <w:rPr>
            <w:rStyle w:val="Hyperlink"/>
            <w:i/>
          </w:rPr>
          <w:t>Appendix S</w:t>
        </w:r>
      </w:hyperlink>
      <w:r>
        <w:t>for further details.</w:t>
      </w:r>
    </w:p>
    <w:p w14:paraId="4C6E9D86" w14:textId="77777777" w:rsidR="000D07EA" w:rsidRDefault="00BE7C89">
      <w:pPr>
        <w:pStyle w:val="Heading8"/>
      </w:pPr>
      <w:r>
        <w:t xml:space="preserve">Voice Over Internet Protocol (VOIP) services will be charged at 1.5c per kilobyte of usage, capped at $9.90 per month until </w:t>
      </w:r>
      <w:r>
        <w:rPr>
          <w:i/>
        </w:rPr>
        <w:t>you</w:t>
      </w:r>
      <w:r>
        <w:t xml:space="preserve"> reach 5 megabytes of usage in that month, after which </w:t>
      </w:r>
      <w:r>
        <w:rPr>
          <w:i/>
        </w:rPr>
        <w:t>you</w:t>
      </w:r>
      <w:r>
        <w:t xml:space="preserve"> will be charged at 0.3c per kilobyte of usage for the remainder of that month.</w:t>
      </w:r>
    </w:p>
    <w:p w14:paraId="4A9E0934" w14:textId="77777777" w:rsidR="000D07EA" w:rsidRDefault="00BE7C89">
      <w:pPr>
        <w:pStyle w:val="Heading8"/>
      </w:pPr>
      <w:r>
        <w:t xml:space="preserve">Available features will vary depending on </w:t>
      </w:r>
      <w:r>
        <w:rPr>
          <w:i/>
        </w:rPr>
        <w:t>your</w:t>
      </w:r>
      <w:r>
        <w:t xml:space="preserve"> handset or software version.</w:t>
      </w:r>
    </w:p>
    <w:p w14:paraId="2BD3DC78" w14:textId="77777777" w:rsidR="000D07EA" w:rsidRDefault="00BE7C89">
      <w:pPr>
        <w:pStyle w:val="Heading7"/>
        <w:rPr>
          <w:b/>
        </w:rPr>
      </w:pPr>
      <w:r>
        <w:rPr>
          <w:b/>
        </w:rPr>
        <w:t>Eligible Calls, Messages and Pricing Plans</w:t>
      </w:r>
    </w:p>
    <w:p w14:paraId="79BDB37E" w14:textId="77777777" w:rsidR="000D07EA" w:rsidRDefault="00BE7C89">
      <w:pPr>
        <w:pStyle w:val="Heading8"/>
      </w:pPr>
      <w:r>
        <w:t>Table 1A below indicates whether a particular call or message type is 'eligible' in the "Included Call &amp; Text Value" for the $29 Business Complete Plan.</w:t>
      </w:r>
    </w:p>
    <w:p w14:paraId="7D9BE90C" w14:textId="77777777" w:rsidR="000D07EA" w:rsidRDefault="00BE7C89">
      <w:pPr>
        <w:pStyle w:val="Heading8"/>
      </w:pPr>
      <w:r>
        <w:t>Table 2A below indicates whether a particular data type is 'eligible data usage' which counts towards the Included Mobile Internet Data value of the $29 Business Complete Plan.</w:t>
      </w:r>
    </w:p>
    <w:p w14:paraId="6148705C" w14:textId="77777777" w:rsidR="000D07EA" w:rsidRDefault="00BE7C89">
      <w:pPr>
        <w:pStyle w:val="Heading8"/>
      </w:pPr>
      <w:r>
        <w:t>Table 2B below indicates whether a particular data type is 'eligible data usage' which counts towards the Unlimited BlackBerry POP3 Email and Browsing through the BlackBerry Browser value of the $29 Business Complete Plan.</w:t>
      </w:r>
    </w:p>
    <w:p w14:paraId="330B7521" w14:textId="77777777" w:rsidR="000D07EA" w:rsidRDefault="00BE7C89">
      <w:pPr>
        <w:pStyle w:val="Heading8"/>
      </w:pPr>
      <w:r>
        <w:t>Table 3A below contains pricing details of the $29 Business Complete Plan.</w:t>
      </w:r>
    </w:p>
    <w:p w14:paraId="5999488E" w14:textId="77777777" w:rsidR="000D07EA" w:rsidRDefault="00BE7C89">
      <w:pPr>
        <w:pStyle w:val="BodyText"/>
        <w:ind w:left="720"/>
        <w:rPr>
          <w:b/>
        </w:rPr>
      </w:pPr>
      <w:r>
        <w:rPr>
          <w:b/>
        </w:rPr>
        <w:t>Table 1A – Eligible Calls and Messages for the Included Call &amp; Text Value</w:t>
      </w: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730"/>
        <w:gridCol w:w="4731"/>
      </w:tblGrid>
      <w:tr w:rsidR="000D07EA" w14:paraId="60EF802E" w14:textId="77777777">
        <w:trPr>
          <w:tblHeader/>
        </w:trPr>
        <w:tc>
          <w:tcPr>
            <w:tcW w:w="2500" w:type="pct"/>
          </w:tcPr>
          <w:p w14:paraId="68815A0F" w14:textId="77777777" w:rsidR="000D07EA" w:rsidRDefault="00BE7C89">
            <w:pPr>
              <w:pStyle w:val="BodyText"/>
              <w:spacing w:before="100" w:after="100"/>
              <w:rPr>
                <w:b/>
              </w:rPr>
            </w:pPr>
            <w:r>
              <w:rPr>
                <w:b/>
              </w:rPr>
              <w:t>Call Type</w:t>
            </w:r>
          </w:p>
        </w:tc>
        <w:tc>
          <w:tcPr>
            <w:tcW w:w="2500" w:type="pct"/>
          </w:tcPr>
          <w:p w14:paraId="4568CF8F" w14:textId="77777777" w:rsidR="000D07EA" w:rsidRDefault="00BE7C89">
            <w:pPr>
              <w:pStyle w:val="BodyText"/>
              <w:spacing w:before="100" w:after="100"/>
              <w:jc w:val="center"/>
              <w:rPr>
                <w:b/>
              </w:rPr>
            </w:pPr>
            <w:r>
              <w:rPr>
                <w:b/>
              </w:rPr>
              <w:t>Eligible Call</w:t>
            </w:r>
          </w:p>
        </w:tc>
      </w:tr>
      <w:tr w:rsidR="000D07EA" w14:paraId="6CBD0024" w14:textId="77777777">
        <w:tc>
          <w:tcPr>
            <w:tcW w:w="2500" w:type="pct"/>
          </w:tcPr>
          <w:p w14:paraId="5F155FBE" w14:textId="77777777" w:rsidR="000D07EA" w:rsidRDefault="000D07EA">
            <w:pPr>
              <w:pStyle w:val="BodyText"/>
              <w:spacing w:before="100" w:after="100"/>
            </w:pPr>
          </w:p>
        </w:tc>
        <w:tc>
          <w:tcPr>
            <w:tcW w:w="2500" w:type="pct"/>
          </w:tcPr>
          <w:p w14:paraId="5206DF9A" w14:textId="77777777" w:rsidR="000D07EA" w:rsidRDefault="00BE7C89">
            <w:pPr>
              <w:pStyle w:val="BodyText"/>
              <w:spacing w:before="100" w:after="100"/>
              <w:jc w:val="center"/>
            </w:pPr>
            <w:r>
              <w:t>$29 Business Complete (Feb-12)</w:t>
            </w:r>
          </w:p>
        </w:tc>
      </w:tr>
      <w:tr w:rsidR="000D07EA" w14:paraId="17C510F7" w14:textId="77777777">
        <w:tc>
          <w:tcPr>
            <w:tcW w:w="2500" w:type="pct"/>
          </w:tcPr>
          <w:p w14:paraId="29BB662E" w14:textId="77777777" w:rsidR="000D07EA" w:rsidRDefault="00BE7C89">
            <w:pPr>
              <w:pStyle w:val="BodyText"/>
              <w:spacing w:before="100" w:after="100"/>
            </w:pPr>
            <w:r>
              <w:t>Standard National Voice Calls</w:t>
            </w:r>
          </w:p>
        </w:tc>
        <w:tc>
          <w:tcPr>
            <w:tcW w:w="2500" w:type="pct"/>
          </w:tcPr>
          <w:p w14:paraId="154BCB5B" w14:textId="77777777" w:rsidR="000D07EA" w:rsidRDefault="00BE7C89">
            <w:pPr>
              <w:pStyle w:val="BodyText"/>
              <w:spacing w:before="100" w:after="100"/>
              <w:jc w:val="center"/>
            </w:pPr>
            <w:r>
              <w:t>Yes</w:t>
            </w:r>
          </w:p>
        </w:tc>
      </w:tr>
      <w:tr w:rsidR="000D07EA" w14:paraId="289592E9" w14:textId="77777777">
        <w:tc>
          <w:tcPr>
            <w:tcW w:w="2500" w:type="pct"/>
          </w:tcPr>
          <w:p w14:paraId="7E28A254" w14:textId="77777777" w:rsidR="000D07EA" w:rsidRDefault="00BE7C89">
            <w:pPr>
              <w:pStyle w:val="BodyText"/>
              <w:spacing w:before="100" w:after="100"/>
            </w:pPr>
            <w:r>
              <w:t>Standard National Video Calls</w:t>
            </w:r>
          </w:p>
        </w:tc>
        <w:tc>
          <w:tcPr>
            <w:tcW w:w="2500" w:type="pct"/>
          </w:tcPr>
          <w:p w14:paraId="77E85F1B" w14:textId="77777777" w:rsidR="000D07EA" w:rsidRDefault="00BE7C89">
            <w:pPr>
              <w:pStyle w:val="BodyText"/>
              <w:spacing w:before="100" w:after="100"/>
              <w:jc w:val="center"/>
            </w:pPr>
            <w:r>
              <w:t>Yes</w:t>
            </w:r>
          </w:p>
        </w:tc>
      </w:tr>
      <w:tr w:rsidR="000D07EA" w14:paraId="74D05489" w14:textId="77777777">
        <w:tc>
          <w:tcPr>
            <w:tcW w:w="2500" w:type="pct"/>
          </w:tcPr>
          <w:p w14:paraId="0D31B11D" w14:textId="77777777" w:rsidR="000D07EA" w:rsidRDefault="00BE7C89">
            <w:pPr>
              <w:pStyle w:val="BodyText"/>
              <w:spacing w:before="100" w:after="100"/>
            </w:pPr>
            <w:r>
              <w:t>International Voice Calls</w:t>
            </w:r>
          </w:p>
          <w:p w14:paraId="46646F6A" w14:textId="77777777" w:rsidR="000D07EA" w:rsidRDefault="00BE7C89">
            <w:pPr>
              <w:pStyle w:val="BodyText"/>
              <w:spacing w:before="100" w:after="100"/>
            </w:pPr>
            <w:r>
              <w:t>(includes calls to national fixed or GSM mobile services that then divert/switch or re-route overseas)</w:t>
            </w:r>
          </w:p>
        </w:tc>
        <w:tc>
          <w:tcPr>
            <w:tcW w:w="2500" w:type="pct"/>
          </w:tcPr>
          <w:p w14:paraId="16131319" w14:textId="77777777" w:rsidR="000D07EA" w:rsidRDefault="00BE7C89">
            <w:pPr>
              <w:pStyle w:val="BodyText"/>
              <w:spacing w:before="100" w:after="100"/>
              <w:jc w:val="center"/>
            </w:pPr>
            <w:r>
              <w:t>No</w:t>
            </w:r>
          </w:p>
        </w:tc>
      </w:tr>
      <w:tr w:rsidR="000D07EA" w14:paraId="6606E17B" w14:textId="77777777">
        <w:tc>
          <w:tcPr>
            <w:tcW w:w="2500" w:type="pct"/>
          </w:tcPr>
          <w:p w14:paraId="7747FD48" w14:textId="77777777" w:rsidR="000D07EA" w:rsidRDefault="00BE7C89">
            <w:pPr>
              <w:pStyle w:val="BodyText"/>
              <w:spacing w:before="100" w:after="100"/>
            </w:pPr>
            <w:r>
              <w:t>International Video Calls</w:t>
            </w:r>
          </w:p>
          <w:p w14:paraId="1FCCBA8E" w14:textId="77777777" w:rsidR="000D07EA" w:rsidRDefault="00BE7C89">
            <w:pPr>
              <w:pStyle w:val="BodyText"/>
              <w:spacing w:before="100" w:after="100"/>
            </w:pPr>
            <w:r>
              <w:lastRenderedPageBreak/>
              <w:t>(includes calls to national fixed or GSM mobile services that then divert/switch or re-route overseas)</w:t>
            </w:r>
          </w:p>
        </w:tc>
        <w:tc>
          <w:tcPr>
            <w:tcW w:w="2500" w:type="pct"/>
          </w:tcPr>
          <w:p w14:paraId="0C1D95C2" w14:textId="77777777" w:rsidR="000D07EA" w:rsidRDefault="00BE7C89">
            <w:pPr>
              <w:pStyle w:val="BodyText"/>
              <w:spacing w:before="100" w:after="100"/>
              <w:jc w:val="center"/>
            </w:pPr>
            <w:r>
              <w:lastRenderedPageBreak/>
              <w:t>No</w:t>
            </w:r>
          </w:p>
        </w:tc>
      </w:tr>
      <w:tr w:rsidR="000D07EA" w14:paraId="13177F91" w14:textId="77777777">
        <w:tc>
          <w:tcPr>
            <w:tcW w:w="2500" w:type="pct"/>
          </w:tcPr>
          <w:p w14:paraId="310519C1" w14:textId="77777777" w:rsidR="000D07EA" w:rsidRDefault="00BE7C89">
            <w:pPr>
              <w:pStyle w:val="BodyText"/>
              <w:spacing w:before="100" w:after="100"/>
            </w:pPr>
            <w:r>
              <w:t>Standard National SMS</w:t>
            </w:r>
          </w:p>
        </w:tc>
        <w:tc>
          <w:tcPr>
            <w:tcW w:w="2500" w:type="pct"/>
          </w:tcPr>
          <w:p w14:paraId="2BB9D46F" w14:textId="77777777" w:rsidR="000D07EA" w:rsidRDefault="00BE7C89">
            <w:pPr>
              <w:pStyle w:val="BodyText"/>
              <w:spacing w:before="100" w:after="100"/>
              <w:jc w:val="center"/>
            </w:pPr>
            <w:r>
              <w:t>Yes</w:t>
            </w:r>
          </w:p>
        </w:tc>
      </w:tr>
      <w:tr w:rsidR="000D07EA" w14:paraId="11FF0ACD" w14:textId="77777777">
        <w:tc>
          <w:tcPr>
            <w:tcW w:w="2500" w:type="pct"/>
          </w:tcPr>
          <w:p w14:paraId="07859DF8" w14:textId="77777777" w:rsidR="000D07EA" w:rsidRDefault="00BE7C89">
            <w:pPr>
              <w:pStyle w:val="BodyText"/>
              <w:spacing w:before="100" w:after="100"/>
            </w:pPr>
            <w:r>
              <w:t>International SMS</w:t>
            </w:r>
          </w:p>
        </w:tc>
        <w:tc>
          <w:tcPr>
            <w:tcW w:w="2500" w:type="pct"/>
          </w:tcPr>
          <w:p w14:paraId="2C09E0BA" w14:textId="77777777" w:rsidR="000D07EA" w:rsidRDefault="00BE7C89">
            <w:pPr>
              <w:pStyle w:val="BodyText"/>
              <w:spacing w:before="100" w:after="100"/>
              <w:jc w:val="center"/>
            </w:pPr>
            <w:r>
              <w:t>No</w:t>
            </w:r>
          </w:p>
        </w:tc>
      </w:tr>
      <w:tr w:rsidR="000D07EA" w14:paraId="566CAB1D" w14:textId="77777777">
        <w:tc>
          <w:tcPr>
            <w:tcW w:w="2500" w:type="pct"/>
          </w:tcPr>
          <w:p w14:paraId="004E1C0A" w14:textId="77777777" w:rsidR="000D07EA" w:rsidRDefault="00BE7C89">
            <w:pPr>
              <w:pStyle w:val="BodyText"/>
              <w:spacing w:before="100" w:after="100"/>
            </w:pPr>
            <w:r>
              <w:t>Standard National MMS</w:t>
            </w:r>
          </w:p>
        </w:tc>
        <w:tc>
          <w:tcPr>
            <w:tcW w:w="2500" w:type="pct"/>
          </w:tcPr>
          <w:p w14:paraId="4F965CA3" w14:textId="77777777" w:rsidR="000D07EA" w:rsidRDefault="00BE7C89">
            <w:pPr>
              <w:pStyle w:val="BodyText"/>
              <w:spacing w:before="100" w:after="100"/>
              <w:jc w:val="center"/>
            </w:pPr>
            <w:r>
              <w:t>Yes</w:t>
            </w:r>
          </w:p>
        </w:tc>
      </w:tr>
      <w:tr w:rsidR="000D07EA" w14:paraId="05EFE064" w14:textId="77777777">
        <w:tc>
          <w:tcPr>
            <w:tcW w:w="2500" w:type="pct"/>
          </w:tcPr>
          <w:p w14:paraId="21ED4DDB" w14:textId="77777777" w:rsidR="000D07EA" w:rsidRDefault="00BE7C89">
            <w:pPr>
              <w:pStyle w:val="BodyText"/>
              <w:spacing w:before="100" w:after="100"/>
            </w:pPr>
            <w:r>
              <w:t>International MMS</w:t>
            </w:r>
          </w:p>
        </w:tc>
        <w:tc>
          <w:tcPr>
            <w:tcW w:w="2500" w:type="pct"/>
          </w:tcPr>
          <w:p w14:paraId="27D087A1" w14:textId="77777777" w:rsidR="000D07EA" w:rsidRDefault="00BE7C89">
            <w:pPr>
              <w:pStyle w:val="BodyText"/>
              <w:spacing w:before="100" w:after="100"/>
              <w:jc w:val="center"/>
            </w:pPr>
            <w:r>
              <w:t>No</w:t>
            </w:r>
          </w:p>
        </w:tc>
      </w:tr>
      <w:tr w:rsidR="000D07EA" w14:paraId="724C8246" w14:textId="77777777">
        <w:tc>
          <w:tcPr>
            <w:tcW w:w="2500" w:type="pct"/>
          </w:tcPr>
          <w:p w14:paraId="5E8018F2" w14:textId="77777777" w:rsidR="000D07EA" w:rsidRDefault="00BE7C89">
            <w:pPr>
              <w:pStyle w:val="BodyText"/>
              <w:spacing w:before="100" w:after="100"/>
            </w:pPr>
            <w:r>
              <w:t>National Diversions</w:t>
            </w:r>
          </w:p>
        </w:tc>
        <w:tc>
          <w:tcPr>
            <w:tcW w:w="2500" w:type="pct"/>
          </w:tcPr>
          <w:p w14:paraId="7349D3BA" w14:textId="77777777" w:rsidR="000D07EA" w:rsidRDefault="00BE7C89">
            <w:pPr>
              <w:pStyle w:val="BodyText"/>
              <w:spacing w:before="100" w:after="100"/>
              <w:jc w:val="center"/>
            </w:pPr>
            <w:r>
              <w:t>Yes</w:t>
            </w:r>
          </w:p>
        </w:tc>
      </w:tr>
      <w:tr w:rsidR="000D07EA" w14:paraId="608F0B23" w14:textId="77777777">
        <w:tc>
          <w:tcPr>
            <w:tcW w:w="2500" w:type="pct"/>
          </w:tcPr>
          <w:p w14:paraId="7C2EB36F" w14:textId="77777777" w:rsidR="000D07EA" w:rsidRDefault="00BE7C89">
            <w:pPr>
              <w:pStyle w:val="BodyText"/>
              <w:spacing w:before="100" w:after="100"/>
            </w:pPr>
            <w:r>
              <w:t>Voicemail Diversions</w:t>
            </w:r>
          </w:p>
        </w:tc>
        <w:tc>
          <w:tcPr>
            <w:tcW w:w="2500" w:type="pct"/>
          </w:tcPr>
          <w:p w14:paraId="26A69AD8" w14:textId="77777777" w:rsidR="000D07EA" w:rsidRDefault="00BE7C89">
            <w:pPr>
              <w:pStyle w:val="BodyText"/>
              <w:spacing w:before="100" w:after="100"/>
              <w:jc w:val="center"/>
            </w:pPr>
            <w:r>
              <w:t>Yes</w:t>
            </w:r>
          </w:p>
        </w:tc>
      </w:tr>
      <w:tr w:rsidR="000D07EA" w14:paraId="492172CB" w14:textId="77777777">
        <w:tc>
          <w:tcPr>
            <w:tcW w:w="2500" w:type="pct"/>
          </w:tcPr>
          <w:p w14:paraId="6AAB202B" w14:textId="77777777" w:rsidR="000D07EA" w:rsidRDefault="00BE7C89">
            <w:pPr>
              <w:pStyle w:val="BodyText"/>
              <w:spacing w:before="100" w:after="100"/>
            </w:pPr>
            <w:r>
              <w:t>Voicemail Deposit and Retrievals</w:t>
            </w:r>
          </w:p>
        </w:tc>
        <w:tc>
          <w:tcPr>
            <w:tcW w:w="2500" w:type="pct"/>
          </w:tcPr>
          <w:p w14:paraId="41FE0563" w14:textId="77777777" w:rsidR="000D07EA" w:rsidRDefault="00BE7C89">
            <w:pPr>
              <w:pStyle w:val="BodyText"/>
              <w:spacing w:before="100" w:after="100"/>
              <w:jc w:val="center"/>
            </w:pPr>
            <w:r>
              <w:t>Yes</w:t>
            </w:r>
          </w:p>
        </w:tc>
      </w:tr>
      <w:tr w:rsidR="000D07EA" w14:paraId="598119B4" w14:textId="77777777">
        <w:tc>
          <w:tcPr>
            <w:tcW w:w="2500" w:type="pct"/>
          </w:tcPr>
          <w:p w14:paraId="233DA8B2" w14:textId="77777777" w:rsidR="000D07EA" w:rsidRDefault="00BE7C89">
            <w:pPr>
              <w:pStyle w:val="BodyText"/>
              <w:spacing w:before="100" w:after="100"/>
            </w:pPr>
            <w:r>
              <w:t>International Roaming and Diversion</w:t>
            </w:r>
          </w:p>
        </w:tc>
        <w:tc>
          <w:tcPr>
            <w:tcW w:w="2500" w:type="pct"/>
          </w:tcPr>
          <w:p w14:paraId="0F7D6B11" w14:textId="77777777" w:rsidR="000D07EA" w:rsidRDefault="00BE7C89">
            <w:pPr>
              <w:pStyle w:val="BodyText"/>
              <w:spacing w:before="100" w:after="100"/>
              <w:jc w:val="center"/>
            </w:pPr>
            <w:r>
              <w:t>No</w:t>
            </w:r>
          </w:p>
        </w:tc>
      </w:tr>
      <w:tr w:rsidR="000D07EA" w14:paraId="339D9F7B" w14:textId="77777777">
        <w:tc>
          <w:tcPr>
            <w:tcW w:w="2500" w:type="pct"/>
          </w:tcPr>
          <w:p w14:paraId="48C406E0" w14:textId="77777777" w:rsidR="000D07EA" w:rsidRDefault="00BE7C89">
            <w:pPr>
              <w:pStyle w:val="BodyText"/>
              <w:spacing w:before="100" w:after="100"/>
            </w:pPr>
            <w:r>
              <w:t>Premium SMS</w:t>
            </w:r>
          </w:p>
        </w:tc>
        <w:tc>
          <w:tcPr>
            <w:tcW w:w="2500" w:type="pct"/>
          </w:tcPr>
          <w:p w14:paraId="23489C37" w14:textId="77777777" w:rsidR="000D07EA" w:rsidRDefault="00BE7C89">
            <w:pPr>
              <w:pStyle w:val="BodyText"/>
              <w:spacing w:before="100" w:after="100"/>
              <w:jc w:val="center"/>
            </w:pPr>
            <w:r>
              <w:t>No</w:t>
            </w:r>
          </w:p>
        </w:tc>
      </w:tr>
      <w:tr w:rsidR="000D07EA" w14:paraId="17C02C5D" w14:textId="77777777">
        <w:tc>
          <w:tcPr>
            <w:tcW w:w="2500" w:type="pct"/>
          </w:tcPr>
          <w:p w14:paraId="40FBFFAF" w14:textId="77777777" w:rsidR="000D07EA" w:rsidRDefault="00BE7C89">
            <w:pPr>
              <w:pStyle w:val="BodyText"/>
              <w:spacing w:before="100" w:after="100"/>
            </w:pPr>
            <w:r>
              <w:t>Premium Video</w:t>
            </w:r>
          </w:p>
        </w:tc>
        <w:tc>
          <w:tcPr>
            <w:tcW w:w="2500" w:type="pct"/>
          </w:tcPr>
          <w:p w14:paraId="1E8CB9CA" w14:textId="77777777" w:rsidR="000D07EA" w:rsidRDefault="00BE7C89">
            <w:pPr>
              <w:pStyle w:val="BodyText"/>
              <w:spacing w:before="100" w:after="100"/>
              <w:jc w:val="center"/>
            </w:pPr>
            <w:r>
              <w:t>No</w:t>
            </w:r>
          </w:p>
        </w:tc>
      </w:tr>
      <w:tr w:rsidR="000D07EA" w14:paraId="4B1FBCD7" w14:textId="77777777">
        <w:tc>
          <w:tcPr>
            <w:tcW w:w="2500" w:type="pct"/>
          </w:tcPr>
          <w:p w14:paraId="4272A52E" w14:textId="77777777" w:rsidR="000D07EA" w:rsidRDefault="00BE7C89">
            <w:pPr>
              <w:pStyle w:val="BodyText"/>
              <w:spacing w:before="100" w:after="100"/>
            </w:pPr>
            <w:r>
              <w:t>Video Conferencing</w:t>
            </w:r>
          </w:p>
        </w:tc>
        <w:tc>
          <w:tcPr>
            <w:tcW w:w="2500" w:type="pct"/>
          </w:tcPr>
          <w:p w14:paraId="4337B4CC" w14:textId="77777777" w:rsidR="000D07EA" w:rsidRDefault="00BE7C89">
            <w:pPr>
              <w:pStyle w:val="BodyText"/>
              <w:spacing w:before="100" w:after="100"/>
              <w:jc w:val="center"/>
            </w:pPr>
            <w:r>
              <w:t>No</w:t>
            </w:r>
          </w:p>
        </w:tc>
      </w:tr>
      <w:tr w:rsidR="000D07EA" w14:paraId="28873FA4" w14:textId="77777777">
        <w:tc>
          <w:tcPr>
            <w:tcW w:w="2500" w:type="pct"/>
          </w:tcPr>
          <w:p w14:paraId="1B9C6FEE" w14:textId="77777777" w:rsidR="000D07EA" w:rsidRDefault="00BE7C89">
            <w:pPr>
              <w:pStyle w:val="BodyText"/>
              <w:spacing w:before="100" w:after="100"/>
            </w:pPr>
            <w:r>
              <w:t>Optus Zoo or Optus iZoo Browsing</w:t>
            </w:r>
          </w:p>
        </w:tc>
        <w:tc>
          <w:tcPr>
            <w:tcW w:w="2500" w:type="pct"/>
          </w:tcPr>
          <w:p w14:paraId="5B7EBF8C" w14:textId="77777777" w:rsidR="000D07EA" w:rsidRDefault="00BE7C89">
            <w:pPr>
              <w:pStyle w:val="BodyText"/>
              <w:spacing w:before="100" w:after="100"/>
              <w:jc w:val="center"/>
            </w:pPr>
            <w:r>
              <w:t>No</w:t>
            </w:r>
          </w:p>
        </w:tc>
      </w:tr>
      <w:tr w:rsidR="000D07EA" w14:paraId="6E775F96" w14:textId="77777777">
        <w:tc>
          <w:tcPr>
            <w:tcW w:w="2500" w:type="pct"/>
          </w:tcPr>
          <w:p w14:paraId="67A151FD" w14:textId="77777777" w:rsidR="000D07EA" w:rsidRDefault="00BE7C89">
            <w:pPr>
              <w:pStyle w:val="BodyText"/>
              <w:spacing w:before="100" w:after="100"/>
            </w:pPr>
            <w:r>
              <w:t>Optus Zoo or Optus iZoo Downloads</w:t>
            </w:r>
          </w:p>
        </w:tc>
        <w:tc>
          <w:tcPr>
            <w:tcW w:w="2500" w:type="pct"/>
          </w:tcPr>
          <w:p w14:paraId="32D347D4" w14:textId="77777777" w:rsidR="000D07EA" w:rsidRDefault="00BE7C89">
            <w:pPr>
              <w:pStyle w:val="BodyText"/>
              <w:spacing w:before="100" w:after="100"/>
              <w:jc w:val="center"/>
            </w:pPr>
            <w:r>
              <w:t>No</w:t>
            </w:r>
          </w:p>
        </w:tc>
      </w:tr>
      <w:tr w:rsidR="000D07EA" w14:paraId="08E2590C" w14:textId="77777777">
        <w:tc>
          <w:tcPr>
            <w:tcW w:w="2500" w:type="pct"/>
          </w:tcPr>
          <w:p w14:paraId="749AF9F2" w14:textId="77777777" w:rsidR="000D07EA" w:rsidRDefault="00BE7C89">
            <w:pPr>
              <w:pStyle w:val="BodyText"/>
              <w:spacing w:before="100" w:after="100"/>
            </w:pPr>
            <w:r>
              <w:t>SMS to 966 (Zoo)</w:t>
            </w:r>
          </w:p>
        </w:tc>
        <w:tc>
          <w:tcPr>
            <w:tcW w:w="2500" w:type="pct"/>
          </w:tcPr>
          <w:p w14:paraId="7873ADE0" w14:textId="77777777" w:rsidR="000D07EA" w:rsidRDefault="00BE7C89">
            <w:pPr>
              <w:pStyle w:val="BodyText"/>
              <w:spacing w:before="100" w:after="100"/>
              <w:jc w:val="center"/>
            </w:pPr>
            <w:r>
              <w:t>No</w:t>
            </w:r>
          </w:p>
        </w:tc>
      </w:tr>
      <w:tr w:rsidR="000D07EA" w14:paraId="185E0AF0" w14:textId="77777777">
        <w:tc>
          <w:tcPr>
            <w:tcW w:w="2500" w:type="pct"/>
          </w:tcPr>
          <w:p w14:paraId="6E7EDFC6" w14:textId="77777777" w:rsidR="000D07EA" w:rsidRDefault="00BE7C89">
            <w:pPr>
              <w:pStyle w:val="BodyText"/>
              <w:spacing w:before="100" w:after="100"/>
            </w:pPr>
            <w:r>
              <w:t>Mobile Internet usage</w:t>
            </w:r>
          </w:p>
        </w:tc>
        <w:tc>
          <w:tcPr>
            <w:tcW w:w="2500" w:type="pct"/>
          </w:tcPr>
          <w:p w14:paraId="145B9489" w14:textId="77777777" w:rsidR="000D07EA" w:rsidRDefault="00BE7C89">
            <w:pPr>
              <w:pStyle w:val="BodyText"/>
              <w:spacing w:before="100" w:after="100"/>
              <w:jc w:val="center"/>
            </w:pPr>
            <w:r>
              <w:t>No</w:t>
            </w:r>
          </w:p>
        </w:tc>
      </w:tr>
      <w:tr w:rsidR="000D07EA" w14:paraId="16DA4F8A" w14:textId="77777777">
        <w:tc>
          <w:tcPr>
            <w:tcW w:w="2500" w:type="pct"/>
          </w:tcPr>
          <w:p w14:paraId="6AD65162" w14:textId="77777777" w:rsidR="000D07EA" w:rsidRDefault="00BE7C89">
            <w:pPr>
              <w:pStyle w:val="BodyText"/>
              <w:spacing w:before="100" w:after="100"/>
            </w:pPr>
            <w:r>
              <w:t>Data Used while Roaming Internationally</w:t>
            </w:r>
          </w:p>
        </w:tc>
        <w:tc>
          <w:tcPr>
            <w:tcW w:w="2500" w:type="pct"/>
          </w:tcPr>
          <w:p w14:paraId="3AFCFF48" w14:textId="77777777" w:rsidR="000D07EA" w:rsidRDefault="00BE7C89">
            <w:pPr>
              <w:pStyle w:val="BodyText"/>
              <w:spacing w:before="100" w:after="100"/>
              <w:jc w:val="center"/>
            </w:pPr>
            <w:r>
              <w:t>No</w:t>
            </w:r>
          </w:p>
        </w:tc>
      </w:tr>
      <w:tr w:rsidR="000D07EA" w14:paraId="40108DB2" w14:textId="77777777">
        <w:tc>
          <w:tcPr>
            <w:tcW w:w="2500" w:type="pct"/>
          </w:tcPr>
          <w:p w14:paraId="502A2791" w14:textId="77777777" w:rsidR="000D07EA" w:rsidRDefault="00BE7C89">
            <w:pPr>
              <w:pStyle w:val="BodyText"/>
              <w:spacing w:before="100" w:after="100"/>
            </w:pPr>
            <w:r>
              <w:t>Content Packs (unless specified in promotions)</w:t>
            </w:r>
          </w:p>
        </w:tc>
        <w:tc>
          <w:tcPr>
            <w:tcW w:w="2500" w:type="pct"/>
          </w:tcPr>
          <w:p w14:paraId="7C3CB59F" w14:textId="77777777" w:rsidR="000D07EA" w:rsidRDefault="00BE7C89">
            <w:pPr>
              <w:pStyle w:val="BodyText"/>
              <w:spacing w:before="100" w:after="100"/>
              <w:jc w:val="center"/>
            </w:pPr>
            <w:r>
              <w:t>No</w:t>
            </w:r>
          </w:p>
        </w:tc>
      </w:tr>
      <w:tr w:rsidR="000D07EA" w14:paraId="03188C8B" w14:textId="77777777">
        <w:tc>
          <w:tcPr>
            <w:tcW w:w="2500" w:type="pct"/>
          </w:tcPr>
          <w:p w14:paraId="5618C619" w14:textId="77777777" w:rsidR="000D07EA" w:rsidRDefault="00BE7C89">
            <w:pPr>
              <w:pStyle w:val="BodyText"/>
              <w:spacing w:before="100" w:after="100"/>
            </w:pPr>
            <w:r>
              <w:t>TrueLocal Usage</w:t>
            </w:r>
          </w:p>
        </w:tc>
        <w:tc>
          <w:tcPr>
            <w:tcW w:w="2500" w:type="pct"/>
          </w:tcPr>
          <w:p w14:paraId="0F747E28" w14:textId="77777777" w:rsidR="000D07EA" w:rsidRDefault="00BE7C89">
            <w:pPr>
              <w:pStyle w:val="BodyText"/>
              <w:spacing w:before="100" w:after="100"/>
              <w:jc w:val="center"/>
            </w:pPr>
            <w:r>
              <w:t>No</w:t>
            </w:r>
          </w:p>
        </w:tc>
      </w:tr>
      <w:tr w:rsidR="000D07EA" w14:paraId="0CBD1234" w14:textId="77777777">
        <w:tc>
          <w:tcPr>
            <w:tcW w:w="2500" w:type="pct"/>
          </w:tcPr>
          <w:p w14:paraId="5FD452F6" w14:textId="77777777" w:rsidR="000D07EA" w:rsidRDefault="00BE7C89">
            <w:pPr>
              <w:pStyle w:val="BodyText"/>
              <w:spacing w:before="100" w:after="100"/>
            </w:pPr>
            <w:r>
              <w:t>Directory Assistance- 1223</w:t>
            </w:r>
          </w:p>
        </w:tc>
        <w:tc>
          <w:tcPr>
            <w:tcW w:w="2500" w:type="pct"/>
          </w:tcPr>
          <w:p w14:paraId="6F7F967C" w14:textId="77777777" w:rsidR="000D07EA" w:rsidRDefault="00BE7C89">
            <w:pPr>
              <w:pStyle w:val="BodyText"/>
              <w:spacing w:before="100" w:after="100"/>
              <w:jc w:val="center"/>
            </w:pPr>
            <w:r>
              <w:t>No</w:t>
            </w:r>
          </w:p>
        </w:tc>
      </w:tr>
      <w:tr w:rsidR="000D07EA" w14:paraId="6AC2A2E6" w14:textId="77777777">
        <w:tc>
          <w:tcPr>
            <w:tcW w:w="2500" w:type="pct"/>
          </w:tcPr>
          <w:p w14:paraId="4C7011CF" w14:textId="77777777" w:rsidR="000D07EA" w:rsidRDefault="00BE7C89">
            <w:pPr>
              <w:pStyle w:val="BodyText"/>
              <w:spacing w:before="100" w:after="100"/>
            </w:pPr>
            <w:r>
              <w:t>19XX Numbers</w:t>
            </w:r>
          </w:p>
        </w:tc>
        <w:tc>
          <w:tcPr>
            <w:tcW w:w="2500" w:type="pct"/>
          </w:tcPr>
          <w:p w14:paraId="0267FF88" w14:textId="77777777" w:rsidR="000D07EA" w:rsidRDefault="00BE7C89">
            <w:pPr>
              <w:pStyle w:val="BodyText"/>
              <w:spacing w:before="100" w:after="100"/>
              <w:jc w:val="center"/>
            </w:pPr>
            <w:r>
              <w:t>No</w:t>
            </w:r>
          </w:p>
        </w:tc>
      </w:tr>
      <w:tr w:rsidR="000D07EA" w14:paraId="1AE4228A" w14:textId="77777777">
        <w:tc>
          <w:tcPr>
            <w:tcW w:w="2500" w:type="pct"/>
          </w:tcPr>
          <w:p w14:paraId="47F04EFD" w14:textId="77777777" w:rsidR="000D07EA" w:rsidRDefault="00BE7C89">
            <w:pPr>
              <w:pStyle w:val="BodyText"/>
              <w:spacing w:before="100" w:after="100"/>
            </w:pPr>
            <w:r>
              <w:t>1800, 13 and 1300 numbers</w:t>
            </w:r>
          </w:p>
        </w:tc>
        <w:tc>
          <w:tcPr>
            <w:tcW w:w="2500" w:type="pct"/>
          </w:tcPr>
          <w:p w14:paraId="69130CEF" w14:textId="77777777" w:rsidR="000D07EA" w:rsidRDefault="00BE7C89">
            <w:pPr>
              <w:pStyle w:val="BodyText"/>
              <w:spacing w:before="100" w:after="100"/>
              <w:jc w:val="center"/>
            </w:pPr>
            <w:r>
              <w:t>No</w:t>
            </w:r>
          </w:p>
        </w:tc>
      </w:tr>
      <w:tr w:rsidR="000D07EA" w14:paraId="42D8B85A" w14:textId="77777777">
        <w:tc>
          <w:tcPr>
            <w:tcW w:w="2500" w:type="pct"/>
          </w:tcPr>
          <w:p w14:paraId="3D0DC952" w14:textId="77777777" w:rsidR="000D07EA" w:rsidRDefault="00BE7C89">
            <w:pPr>
              <w:pStyle w:val="BodyText"/>
              <w:spacing w:before="100" w:after="100"/>
            </w:pPr>
            <w:r>
              <w:t>124YES(937)</w:t>
            </w:r>
          </w:p>
        </w:tc>
        <w:tc>
          <w:tcPr>
            <w:tcW w:w="2500" w:type="pct"/>
          </w:tcPr>
          <w:p w14:paraId="54F129AD" w14:textId="77777777" w:rsidR="000D07EA" w:rsidRDefault="00BE7C89">
            <w:pPr>
              <w:pStyle w:val="BodyText"/>
              <w:spacing w:before="100" w:after="100"/>
              <w:jc w:val="center"/>
            </w:pPr>
            <w:r>
              <w:t>No</w:t>
            </w:r>
          </w:p>
        </w:tc>
      </w:tr>
      <w:tr w:rsidR="000D07EA" w14:paraId="59FB084E" w14:textId="77777777">
        <w:tc>
          <w:tcPr>
            <w:tcW w:w="2500" w:type="pct"/>
          </w:tcPr>
          <w:p w14:paraId="0F251AC2" w14:textId="77777777" w:rsidR="000D07EA" w:rsidRDefault="00BE7C89">
            <w:pPr>
              <w:pStyle w:val="BodyText"/>
              <w:spacing w:before="100" w:after="100"/>
            </w:pPr>
            <w:r>
              <w:t>Insurance</w:t>
            </w:r>
          </w:p>
        </w:tc>
        <w:tc>
          <w:tcPr>
            <w:tcW w:w="2500" w:type="pct"/>
          </w:tcPr>
          <w:p w14:paraId="1D803196" w14:textId="77777777" w:rsidR="000D07EA" w:rsidRDefault="00BE7C89">
            <w:pPr>
              <w:pStyle w:val="BodyText"/>
              <w:spacing w:before="100" w:after="100"/>
              <w:jc w:val="center"/>
            </w:pPr>
            <w:r>
              <w:t>No</w:t>
            </w:r>
          </w:p>
        </w:tc>
      </w:tr>
      <w:tr w:rsidR="000D07EA" w14:paraId="719DA689" w14:textId="77777777">
        <w:tc>
          <w:tcPr>
            <w:tcW w:w="2500" w:type="pct"/>
          </w:tcPr>
          <w:p w14:paraId="0E7A76C0" w14:textId="77777777" w:rsidR="000D07EA" w:rsidRDefault="00BE7C89">
            <w:pPr>
              <w:pStyle w:val="BodyText"/>
              <w:spacing w:before="100" w:after="100"/>
            </w:pPr>
            <w:r>
              <w:t>Handset Payments</w:t>
            </w:r>
          </w:p>
        </w:tc>
        <w:tc>
          <w:tcPr>
            <w:tcW w:w="2500" w:type="pct"/>
          </w:tcPr>
          <w:p w14:paraId="0B2A5222" w14:textId="77777777" w:rsidR="000D07EA" w:rsidRDefault="00BE7C89">
            <w:pPr>
              <w:pStyle w:val="BodyText"/>
              <w:spacing w:before="100" w:after="100"/>
              <w:jc w:val="center"/>
            </w:pPr>
            <w:r>
              <w:t>No</w:t>
            </w:r>
          </w:p>
        </w:tc>
      </w:tr>
      <w:tr w:rsidR="000D07EA" w14:paraId="788785D3" w14:textId="77777777">
        <w:tc>
          <w:tcPr>
            <w:tcW w:w="2500" w:type="pct"/>
          </w:tcPr>
          <w:p w14:paraId="480ABAD9" w14:textId="77777777" w:rsidR="000D07EA" w:rsidRDefault="00BE7C89">
            <w:pPr>
              <w:pStyle w:val="BodyText"/>
              <w:spacing w:before="100" w:after="100"/>
            </w:pPr>
            <w:r>
              <w:t>Calls to Satellite</w:t>
            </w:r>
          </w:p>
        </w:tc>
        <w:tc>
          <w:tcPr>
            <w:tcW w:w="2500" w:type="pct"/>
          </w:tcPr>
          <w:p w14:paraId="5EAEF205" w14:textId="77777777" w:rsidR="000D07EA" w:rsidRDefault="00BE7C89">
            <w:pPr>
              <w:pStyle w:val="BodyText"/>
              <w:spacing w:before="100" w:after="100"/>
              <w:jc w:val="center"/>
            </w:pPr>
            <w:r>
              <w:t>No</w:t>
            </w:r>
          </w:p>
        </w:tc>
      </w:tr>
      <w:tr w:rsidR="000D07EA" w14:paraId="52CE03A2" w14:textId="77777777">
        <w:tc>
          <w:tcPr>
            <w:tcW w:w="2500" w:type="pct"/>
          </w:tcPr>
          <w:p w14:paraId="0225F1F5" w14:textId="77777777" w:rsidR="000D07EA" w:rsidRDefault="00BE7C89">
            <w:pPr>
              <w:pStyle w:val="BodyText"/>
              <w:spacing w:before="100" w:after="100"/>
            </w:pPr>
            <w:r>
              <w:t>VOIP services</w:t>
            </w:r>
          </w:p>
        </w:tc>
        <w:tc>
          <w:tcPr>
            <w:tcW w:w="2500" w:type="pct"/>
          </w:tcPr>
          <w:p w14:paraId="04BFF2B0" w14:textId="77777777" w:rsidR="000D07EA" w:rsidRDefault="00BE7C89">
            <w:pPr>
              <w:pStyle w:val="BodyText"/>
              <w:spacing w:before="100" w:after="100"/>
              <w:jc w:val="center"/>
            </w:pPr>
            <w:r>
              <w:t>No</w:t>
            </w:r>
          </w:p>
        </w:tc>
      </w:tr>
      <w:tr w:rsidR="000D07EA" w14:paraId="7AF11ABE" w14:textId="77777777">
        <w:tc>
          <w:tcPr>
            <w:tcW w:w="2500" w:type="pct"/>
          </w:tcPr>
          <w:p w14:paraId="446E4970" w14:textId="77777777" w:rsidR="000D07EA" w:rsidRDefault="00BE7C89">
            <w:pPr>
              <w:pStyle w:val="BodyText"/>
              <w:spacing w:before="100" w:after="100"/>
            </w:pPr>
            <w:r>
              <w:t>Surepage</w:t>
            </w:r>
          </w:p>
        </w:tc>
        <w:tc>
          <w:tcPr>
            <w:tcW w:w="2500" w:type="pct"/>
          </w:tcPr>
          <w:p w14:paraId="5604384F" w14:textId="77777777" w:rsidR="000D07EA" w:rsidRDefault="00BE7C89">
            <w:pPr>
              <w:pStyle w:val="BodyText"/>
              <w:spacing w:before="100" w:after="100"/>
              <w:jc w:val="center"/>
            </w:pPr>
            <w:r>
              <w:t>No</w:t>
            </w:r>
          </w:p>
        </w:tc>
      </w:tr>
    </w:tbl>
    <w:p w14:paraId="0E9BE862" w14:textId="77777777" w:rsidR="000D07EA" w:rsidRDefault="000D07EA">
      <w:pPr>
        <w:pStyle w:val="BodyText"/>
      </w:pPr>
    </w:p>
    <w:p w14:paraId="0E2EA6BC" w14:textId="77777777" w:rsidR="000D07EA" w:rsidRDefault="00BE7C89">
      <w:pPr>
        <w:pStyle w:val="BodyText"/>
        <w:ind w:left="720"/>
        <w:rPr>
          <w:b/>
        </w:rPr>
      </w:pPr>
      <w:r>
        <w:rPr>
          <w:b/>
        </w:rPr>
        <w:t>Table 2A – Eligible for the Included Mobile Internet Data</w:t>
      </w: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730"/>
        <w:gridCol w:w="4731"/>
      </w:tblGrid>
      <w:tr w:rsidR="000D07EA" w14:paraId="44F0073B" w14:textId="77777777">
        <w:trPr>
          <w:cantSplit/>
          <w:tblHeader/>
        </w:trPr>
        <w:tc>
          <w:tcPr>
            <w:tcW w:w="2500" w:type="pct"/>
          </w:tcPr>
          <w:p w14:paraId="2EBF3771" w14:textId="77777777" w:rsidR="000D07EA" w:rsidRDefault="00BE7C89">
            <w:pPr>
              <w:pStyle w:val="BodyText"/>
              <w:spacing w:before="100" w:after="100"/>
              <w:rPr>
                <w:b/>
              </w:rPr>
            </w:pPr>
            <w:r>
              <w:rPr>
                <w:b/>
              </w:rPr>
              <w:lastRenderedPageBreak/>
              <w:t>Call Type</w:t>
            </w:r>
          </w:p>
        </w:tc>
        <w:tc>
          <w:tcPr>
            <w:tcW w:w="2500" w:type="pct"/>
          </w:tcPr>
          <w:p w14:paraId="78BEA5EA" w14:textId="77777777" w:rsidR="000D07EA" w:rsidRDefault="00BE7C89">
            <w:pPr>
              <w:pStyle w:val="BodyText"/>
              <w:spacing w:before="100" w:after="100"/>
              <w:jc w:val="center"/>
              <w:rPr>
                <w:b/>
              </w:rPr>
            </w:pPr>
            <w:r>
              <w:rPr>
                <w:b/>
              </w:rPr>
              <w:t>Eligible Data</w:t>
            </w:r>
          </w:p>
        </w:tc>
      </w:tr>
      <w:tr w:rsidR="000D07EA" w14:paraId="449F4806" w14:textId="77777777">
        <w:trPr>
          <w:cantSplit/>
        </w:trPr>
        <w:tc>
          <w:tcPr>
            <w:tcW w:w="2500" w:type="pct"/>
          </w:tcPr>
          <w:p w14:paraId="47523AC6" w14:textId="77777777" w:rsidR="000D07EA" w:rsidRDefault="00BE7C89">
            <w:pPr>
              <w:pStyle w:val="BodyText"/>
              <w:spacing w:before="100" w:after="100"/>
            </w:pPr>
            <w:r>
              <w:t>National Voice Calls</w:t>
            </w:r>
          </w:p>
        </w:tc>
        <w:tc>
          <w:tcPr>
            <w:tcW w:w="2500" w:type="pct"/>
          </w:tcPr>
          <w:p w14:paraId="38A59DB0" w14:textId="77777777" w:rsidR="000D07EA" w:rsidRDefault="00BE7C89">
            <w:pPr>
              <w:pStyle w:val="BodyText"/>
              <w:spacing w:before="100" w:after="100"/>
              <w:jc w:val="center"/>
            </w:pPr>
            <w:r>
              <w:t>No</w:t>
            </w:r>
          </w:p>
        </w:tc>
      </w:tr>
      <w:tr w:rsidR="000D07EA" w14:paraId="5E57EFAE" w14:textId="77777777">
        <w:trPr>
          <w:cantSplit/>
        </w:trPr>
        <w:tc>
          <w:tcPr>
            <w:tcW w:w="2500" w:type="pct"/>
          </w:tcPr>
          <w:p w14:paraId="2D9AD4EA" w14:textId="77777777" w:rsidR="000D07EA" w:rsidRDefault="00BE7C89">
            <w:pPr>
              <w:pStyle w:val="BodyText"/>
              <w:spacing w:before="100" w:after="100"/>
            </w:pPr>
            <w:r>
              <w:t>National Video Calls</w:t>
            </w:r>
          </w:p>
        </w:tc>
        <w:tc>
          <w:tcPr>
            <w:tcW w:w="2500" w:type="pct"/>
          </w:tcPr>
          <w:p w14:paraId="27E6DA78" w14:textId="77777777" w:rsidR="000D07EA" w:rsidRDefault="00BE7C89">
            <w:pPr>
              <w:pStyle w:val="BodyText"/>
              <w:spacing w:before="100" w:after="100"/>
              <w:jc w:val="center"/>
            </w:pPr>
            <w:r>
              <w:t>No</w:t>
            </w:r>
          </w:p>
        </w:tc>
      </w:tr>
      <w:tr w:rsidR="000D07EA" w14:paraId="69655958" w14:textId="77777777">
        <w:trPr>
          <w:cantSplit/>
        </w:trPr>
        <w:tc>
          <w:tcPr>
            <w:tcW w:w="2500" w:type="pct"/>
          </w:tcPr>
          <w:p w14:paraId="6E92C7FD" w14:textId="77777777" w:rsidR="000D07EA" w:rsidRDefault="00BE7C89">
            <w:pPr>
              <w:pStyle w:val="BodyText"/>
              <w:spacing w:before="100" w:after="100"/>
            </w:pPr>
            <w:r>
              <w:t>International Voice Calls</w:t>
            </w:r>
          </w:p>
          <w:p w14:paraId="100F36B0" w14:textId="77777777" w:rsidR="000D07EA" w:rsidRDefault="00BE7C89">
            <w:pPr>
              <w:pStyle w:val="BodyText"/>
              <w:spacing w:before="100" w:after="100"/>
            </w:pPr>
            <w:r>
              <w:t>(includes calls to national fixed or GSM mobile services that then divert/switch or re-route overseas)</w:t>
            </w:r>
          </w:p>
        </w:tc>
        <w:tc>
          <w:tcPr>
            <w:tcW w:w="2500" w:type="pct"/>
          </w:tcPr>
          <w:p w14:paraId="32B1C87E" w14:textId="77777777" w:rsidR="000D07EA" w:rsidRDefault="00BE7C89">
            <w:pPr>
              <w:pStyle w:val="BodyText"/>
              <w:spacing w:before="100" w:after="100"/>
              <w:jc w:val="center"/>
            </w:pPr>
            <w:r>
              <w:t>No</w:t>
            </w:r>
          </w:p>
        </w:tc>
      </w:tr>
      <w:tr w:rsidR="000D07EA" w14:paraId="653B8B52" w14:textId="77777777">
        <w:trPr>
          <w:cantSplit/>
        </w:trPr>
        <w:tc>
          <w:tcPr>
            <w:tcW w:w="2500" w:type="pct"/>
          </w:tcPr>
          <w:p w14:paraId="7021816C" w14:textId="77777777" w:rsidR="000D07EA" w:rsidRDefault="00BE7C89">
            <w:pPr>
              <w:pStyle w:val="BodyText"/>
              <w:spacing w:before="100" w:after="100"/>
            </w:pPr>
            <w:r>
              <w:t>International Video Calls</w:t>
            </w:r>
          </w:p>
          <w:p w14:paraId="506F011F" w14:textId="77777777" w:rsidR="000D07EA" w:rsidRDefault="00BE7C89">
            <w:pPr>
              <w:pStyle w:val="BodyText"/>
              <w:spacing w:before="100" w:after="100"/>
            </w:pPr>
            <w:r>
              <w:t>(includes calls to national fixed or GSM mobile services that then divert/switch or re-route overseas)</w:t>
            </w:r>
          </w:p>
        </w:tc>
        <w:tc>
          <w:tcPr>
            <w:tcW w:w="2500" w:type="pct"/>
          </w:tcPr>
          <w:p w14:paraId="4D8AE9E3" w14:textId="77777777" w:rsidR="000D07EA" w:rsidRDefault="00BE7C89">
            <w:pPr>
              <w:pStyle w:val="BodyText"/>
              <w:spacing w:before="100" w:after="100"/>
              <w:jc w:val="center"/>
            </w:pPr>
            <w:r>
              <w:t>No</w:t>
            </w:r>
          </w:p>
        </w:tc>
      </w:tr>
      <w:tr w:rsidR="000D07EA" w14:paraId="111B41D3" w14:textId="77777777">
        <w:trPr>
          <w:cantSplit/>
        </w:trPr>
        <w:tc>
          <w:tcPr>
            <w:tcW w:w="2500" w:type="pct"/>
          </w:tcPr>
          <w:p w14:paraId="385CAB2C" w14:textId="77777777" w:rsidR="000D07EA" w:rsidRDefault="00BE7C89">
            <w:pPr>
              <w:pStyle w:val="BodyText"/>
              <w:spacing w:before="100" w:after="100"/>
            </w:pPr>
            <w:r>
              <w:t>National Standard SMS</w:t>
            </w:r>
          </w:p>
        </w:tc>
        <w:tc>
          <w:tcPr>
            <w:tcW w:w="2500" w:type="pct"/>
          </w:tcPr>
          <w:p w14:paraId="561F7D6A" w14:textId="77777777" w:rsidR="000D07EA" w:rsidRDefault="00BE7C89">
            <w:pPr>
              <w:pStyle w:val="BodyText"/>
              <w:spacing w:before="100" w:after="100"/>
              <w:jc w:val="center"/>
            </w:pPr>
            <w:r>
              <w:t>No</w:t>
            </w:r>
          </w:p>
        </w:tc>
      </w:tr>
      <w:tr w:rsidR="000D07EA" w14:paraId="3A848B64" w14:textId="77777777">
        <w:trPr>
          <w:cantSplit/>
        </w:trPr>
        <w:tc>
          <w:tcPr>
            <w:tcW w:w="2500" w:type="pct"/>
          </w:tcPr>
          <w:p w14:paraId="5DB8E7DC" w14:textId="77777777" w:rsidR="000D07EA" w:rsidRDefault="00BE7C89">
            <w:pPr>
              <w:pStyle w:val="BodyText"/>
              <w:spacing w:before="100" w:after="100"/>
            </w:pPr>
            <w:r>
              <w:t>International SMS</w:t>
            </w:r>
          </w:p>
        </w:tc>
        <w:tc>
          <w:tcPr>
            <w:tcW w:w="2500" w:type="pct"/>
          </w:tcPr>
          <w:p w14:paraId="19A3C335" w14:textId="77777777" w:rsidR="000D07EA" w:rsidRDefault="00BE7C89">
            <w:pPr>
              <w:pStyle w:val="BodyText"/>
              <w:spacing w:before="100" w:after="100"/>
              <w:jc w:val="center"/>
            </w:pPr>
            <w:r>
              <w:t>No</w:t>
            </w:r>
          </w:p>
        </w:tc>
      </w:tr>
      <w:tr w:rsidR="000D07EA" w14:paraId="6BDC38A1" w14:textId="77777777">
        <w:trPr>
          <w:cantSplit/>
        </w:trPr>
        <w:tc>
          <w:tcPr>
            <w:tcW w:w="2500" w:type="pct"/>
          </w:tcPr>
          <w:p w14:paraId="09E44B94" w14:textId="77777777" w:rsidR="000D07EA" w:rsidRDefault="00BE7C89">
            <w:pPr>
              <w:pStyle w:val="BodyText"/>
              <w:spacing w:before="100" w:after="100"/>
            </w:pPr>
            <w:r>
              <w:t>National MMS</w:t>
            </w:r>
          </w:p>
        </w:tc>
        <w:tc>
          <w:tcPr>
            <w:tcW w:w="2500" w:type="pct"/>
          </w:tcPr>
          <w:p w14:paraId="163434D9" w14:textId="77777777" w:rsidR="000D07EA" w:rsidRDefault="00BE7C89">
            <w:pPr>
              <w:pStyle w:val="BodyText"/>
              <w:spacing w:before="100" w:after="100"/>
              <w:jc w:val="center"/>
            </w:pPr>
            <w:r>
              <w:t>No</w:t>
            </w:r>
          </w:p>
        </w:tc>
      </w:tr>
      <w:tr w:rsidR="000D07EA" w14:paraId="4F62EDDD" w14:textId="77777777">
        <w:trPr>
          <w:cantSplit/>
        </w:trPr>
        <w:tc>
          <w:tcPr>
            <w:tcW w:w="2500" w:type="pct"/>
          </w:tcPr>
          <w:p w14:paraId="7A75637C" w14:textId="77777777" w:rsidR="000D07EA" w:rsidRDefault="00BE7C89">
            <w:pPr>
              <w:pStyle w:val="BodyText"/>
              <w:spacing w:before="100" w:after="100"/>
            </w:pPr>
            <w:r>
              <w:t>International MMS</w:t>
            </w:r>
          </w:p>
        </w:tc>
        <w:tc>
          <w:tcPr>
            <w:tcW w:w="2500" w:type="pct"/>
          </w:tcPr>
          <w:p w14:paraId="04767493" w14:textId="77777777" w:rsidR="000D07EA" w:rsidRDefault="00BE7C89">
            <w:pPr>
              <w:pStyle w:val="BodyText"/>
              <w:spacing w:before="100" w:after="100"/>
              <w:jc w:val="center"/>
            </w:pPr>
            <w:r>
              <w:t>No</w:t>
            </w:r>
          </w:p>
        </w:tc>
      </w:tr>
      <w:tr w:rsidR="000D07EA" w14:paraId="744D068C" w14:textId="77777777">
        <w:trPr>
          <w:cantSplit/>
        </w:trPr>
        <w:tc>
          <w:tcPr>
            <w:tcW w:w="2500" w:type="pct"/>
          </w:tcPr>
          <w:p w14:paraId="214C158C" w14:textId="77777777" w:rsidR="000D07EA" w:rsidRDefault="00BE7C89">
            <w:pPr>
              <w:pStyle w:val="BodyText"/>
              <w:spacing w:before="100" w:after="100"/>
            </w:pPr>
            <w:r>
              <w:t>Voicemail Diversions</w:t>
            </w:r>
          </w:p>
        </w:tc>
        <w:tc>
          <w:tcPr>
            <w:tcW w:w="2500" w:type="pct"/>
          </w:tcPr>
          <w:p w14:paraId="7EE362AA" w14:textId="77777777" w:rsidR="000D07EA" w:rsidRDefault="00BE7C89">
            <w:pPr>
              <w:pStyle w:val="BodyText"/>
              <w:spacing w:before="100" w:after="100"/>
              <w:jc w:val="center"/>
            </w:pPr>
            <w:r>
              <w:t>No</w:t>
            </w:r>
          </w:p>
        </w:tc>
      </w:tr>
      <w:tr w:rsidR="000D07EA" w14:paraId="00AF9AFC" w14:textId="77777777">
        <w:trPr>
          <w:cantSplit/>
        </w:trPr>
        <w:tc>
          <w:tcPr>
            <w:tcW w:w="2500" w:type="pct"/>
          </w:tcPr>
          <w:p w14:paraId="4A010D30" w14:textId="77777777" w:rsidR="000D07EA" w:rsidRDefault="00BE7C89">
            <w:pPr>
              <w:pStyle w:val="BodyText"/>
              <w:spacing w:before="100" w:after="100"/>
            </w:pPr>
            <w:r>
              <w:t>Voicemail Deposit and Retrievals</w:t>
            </w:r>
          </w:p>
        </w:tc>
        <w:tc>
          <w:tcPr>
            <w:tcW w:w="2500" w:type="pct"/>
          </w:tcPr>
          <w:p w14:paraId="2563CCAC" w14:textId="77777777" w:rsidR="000D07EA" w:rsidRDefault="00BE7C89">
            <w:pPr>
              <w:pStyle w:val="BodyText"/>
              <w:spacing w:before="100" w:after="100"/>
              <w:jc w:val="center"/>
            </w:pPr>
            <w:r>
              <w:t>No</w:t>
            </w:r>
          </w:p>
        </w:tc>
      </w:tr>
      <w:tr w:rsidR="000D07EA" w14:paraId="057E6288" w14:textId="77777777">
        <w:trPr>
          <w:cantSplit/>
        </w:trPr>
        <w:tc>
          <w:tcPr>
            <w:tcW w:w="2500" w:type="pct"/>
          </w:tcPr>
          <w:p w14:paraId="6BD9675F" w14:textId="77777777" w:rsidR="000D07EA" w:rsidRDefault="00BE7C89">
            <w:pPr>
              <w:pStyle w:val="BodyText"/>
              <w:spacing w:before="100" w:after="100"/>
            </w:pPr>
            <w:r>
              <w:t>International Roaming and Diversion</w:t>
            </w:r>
          </w:p>
        </w:tc>
        <w:tc>
          <w:tcPr>
            <w:tcW w:w="2500" w:type="pct"/>
          </w:tcPr>
          <w:p w14:paraId="0E5F9FB4" w14:textId="77777777" w:rsidR="000D07EA" w:rsidRDefault="00BE7C89">
            <w:pPr>
              <w:pStyle w:val="BodyText"/>
              <w:spacing w:before="100" w:after="100"/>
              <w:jc w:val="center"/>
            </w:pPr>
            <w:r>
              <w:t>No</w:t>
            </w:r>
          </w:p>
        </w:tc>
      </w:tr>
      <w:tr w:rsidR="000D07EA" w14:paraId="09F516D9" w14:textId="77777777">
        <w:trPr>
          <w:cantSplit/>
        </w:trPr>
        <w:tc>
          <w:tcPr>
            <w:tcW w:w="2500" w:type="pct"/>
          </w:tcPr>
          <w:p w14:paraId="5C96C057" w14:textId="77777777" w:rsidR="000D07EA" w:rsidRDefault="00BE7C89">
            <w:pPr>
              <w:pStyle w:val="BodyText"/>
              <w:spacing w:before="100" w:after="100"/>
            </w:pPr>
            <w:r>
              <w:t>Premium SMS</w:t>
            </w:r>
          </w:p>
        </w:tc>
        <w:tc>
          <w:tcPr>
            <w:tcW w:w="2500" w:type="pct"/>
          </w:tcPr>
          <w:p w14:paraId="1E5DA7A5" w14:textId="77777777" w:rsidR="000D07EA" w:rsidRDefault="00BE7C89">
            <w:pPr>
              <w:pStyle w:val="BodyText"/>
              <w:spacing w:before="100" w:after="100"/>
              <w:jc w:val="center"/>
            </w:pPr>
            <w:r>
              <w:t>No</w:t>
            </w:r>
          </w:p>
        </w:tc>
      </w:tr>
      <w:tr w:rsidR="000D07EA" w14:paraId="61F8B96E" w14:textId="77777777">
        <w:trPr>
          <w:cantSplit/>
        </w:trPr>
        <w:tc>
          <w:tcPr>
            <w:tcW w:w="2500" w:type="pct"/>
          </w:tcPr>
          <w:p w14:paraId="1A7A3543" w14:textId="77777777" w:rsidR="000D07EA" w:rsidRDefault="00BE7C89">
            <w:pPr>
              <w:pStyle w:val="BodyText"/>
              <w:spacing w:before="100" w:after="100"/>
            </w:pPr>
            <w:r>
              <w:t>Premium Video</w:t>
            </w:r>
          </w:p>
        </w:tc>
        <w:tc>
          <w:tcPr>
            <w:tcW w:w="2500" w:type="pct"/>
          </w:tcPr>
          <w:p w14:paraId="5D5A082E" w14:textId="77777777" w:rsidR="000D07EA" w:rsidRDefault="00BE7C89">
            <w:pPr>
              <w:pStyle w:val="BodyText"/>
              <w:spacing w:before="100" w:after="100"/>
              <w:jc w:val="center"/>
            </w:pPr>
            <w:r>
              <w:t>No</w:t>
            </w:r>
          </w:p>
        </w:tc>
      </w:tr>
      <w:tr w:rsidR="000D07EA" w14:paraId="237C9774" w14:textId="77777777">
        <w:trPr>
          <w:cantSplit/>
        </w:trPr>
        <w:tc>
          <w:tcPr>
            <w:tcW w:w="2500" w:type="pct"/>
          </w:tcPr>
          <w:p w14:paraId="1DEEA04F" w14:textId="77777777" w:rsidR="000D07EA" w:rsidRDefault="00BE7C89">
            <w:pPr>
              <w:pStyle w:val="BodyText"/>
              <w:spacing w:before="100" w:after="100"/>
            </w:pPr>
            <w:r>
              <w:t>Video Conferencing</w:t>
            </w:r>
          </w:p>
        </w:tc>
        <w:tc>
          <w:tcPr>
            <w:tcW w:w="2500" w:type="pct"/>
          </w:tcPr>
          <w:p w14:paraId="6688A707" w14:textId="77777777" w:rsidR="000D07EA" w:rsidRDefault="00BE7C89">
            <w:pPr>
              <w:pStyle w:val="BodyText"/>
              <w:spacing w:before="100" w:after="100"/>
              <w:jc w:val="center"/>
            </w:pPr>
            <w:r>
              <w:t>No</w:t>
            </w:r>
          </w:p>
        </w:tc>
      </w:tr>
      <w:tr w:rsidR="000D07EA" w14:paraId="501C0316" w14:textId="77777777">
        <w:trPr>
          <w:cantSplit/>
        </w:trPr>
        <w:tc>
          <w:tcPr>
            <w:tcW w:w="2500" w:type="pct"/>
          </w:tcPr>
          <w:p w14:paraId="7DCB03CB" w14:textId="77777777" w:rsidR="000D07EA" w:rsidRDefault="00BE7C89">
            <w:pPr>
              <w:pStyle w:val="BodyText"/>
              <w:spacing w:before="100" w:after="100"/>
            </w:pPr>
            <w:r>
              <w:t>Optus Zoo or Optus iZoo Browsing</w:t>
            </w:r>
          </w:p>
        </w:tc>
        <w:tc>
          <w:tcPr>
            <w:tcW w:w="2500" w:type="pct"/>
          </w:tcPr>
          <w:p w14:paraId="705D8DF6" w14:textId="77777777" w:rsidR="000D07EA" w:rsidRDefault="00BE7C89">
            <w:pPr>
              <w:pStyle w:val="BodyText"/>
              <w:spacing w:before="100" w:after="100"/>
              <w:jc w:val="center"/>
            </w:pPr>
            <w:r>
              <w:t>Yes, up to the monthly included data amount specified in Table 3A.</w:t>
            </w:r>
          </w:p>
        </w:tc>
      </w:tr>
      <w:tr w:rsidR="000D07EA" w14:paraId="5F76B19F" w14:textId="77777777">
        <w:trPr>
          <w:cantSplit/>
        </w:trPr>
        <w:tc>
          <w:tcPr>
            <w:tcW w:w="2500" w:type="pct"/>
          </w:tcPr>
          <w:p w14:paraId="5DAF5269" w14:textId="77777777" w:rsidR="000D07EA" w:rsidRDefault="00BE7C89">
            <w:pPr>
              <w:pStyle w:val="BodyText"/>
              <w:spacing w:before="100" w:after="100"/>
            </w:pPr>
            <w:r>
              <w:t>Optus Zoo or Optus iZoo Downloads</w:t>
            </w:r>
          </w:p>
        </w:tc>
        <w:tc>
          <w:tcPr>
            <w:tcW w:w="2500" w:type="pct"/>
          </w:tcPr>
          <w:p w14:paraId="29F963CE" w14:textId="77777777" w:rsidR="000D07EA" w:rsidRDefault="00BE7C89">
            <w:pPr>
              <w:pStyle w:val="BodyText"/>
              <w:spacing w:before="100" w:after="100"/>
              <w:jc w:val="center"/>
            </w:pPr>
            <w:r>
              <w:t>No</w:t>
            </w:r>
          </w:p>
        </w:tc>
      </w:tr>
      <w:tr w:rsidR="000D07EA" w14:paraId="2A14F741" w14:textId="77777777">
        <w:trPr>
          <w:cantSplit/>
        </w:trPr>
        <w:tc>
          <w:tcPr>
            <w:tcW w:w="2500" w:type="pct"/>
          </w:tcPr>
          <w:p w14:paraId="67890E28" w14:textId="77777777" w:rsidR="000D07EA" w:rsidRDefault="00BE7C89">
            <w:pPr>
              <w:pStyle w:val="BodyText"/>
              <w:spacing w:before="100" w:after="100"/>
            </w:pPr>
            <w:r>
              <w:t>SMS to 966 (Zoo)</w:t>
            </w:r>
          </w:p>
        </w:tc>
        <w:tc>
          <w:tcPr>
            <w:tcW w:w="2500" w:type="pct"/>
          </w:tcPr>
          <w:p w14:paraId="0FF0F5DE" w14:textId="77777777" w:rsidR="000D07EA" w:rsidRDefault="00BE7C89">
            <w:pPr>
              <w:pStyle w:val="BodyText"/>
              <w:spacing w:before="100" w:after="100"/>
              <w:jc w:val="center"/>
            </w:pPr>
            <w:r>
              <w:t>No</w:t>
            </w:r>
          </w:p>
        </w:tc>
      </w:tr>
      <w:tr w:rsidR="000D07EA" w14:paraId="0E234429" w14:textId="77777777">
        <w:trPr>
          <w:cantSplit/>
        </w:trPr>
        <w:tc>
          <w:tcPr>
            <w:tcW w:w="2500" w:type="pct"/>
          </w:tcPr>
          <w:p w14:paraId="015E3589" w14:textId="77777777" w:rsidR="000D07EA" w:rsidRDefault="00BE7C89">
            <w:pPr>
              <w:pStyle w:val="BodyText"/>
              <w:spacing w:before="100" w:after="100"/>
            </w:pPr>
            <w:r>
              <w:t>Mobile Internet usage</w:t>
            </w:r>
          </w:p>
        </w:tc>
        <w:tc>
          <w:tcPr>
            <w:tcW w:w="2500" w:type="pct"/>
          </w:tcPr>
          <w:p w14:paraId="16386FBC" w14:textId="77777777" w:rsidR="000D07EA" w:rsidRDefault="00BE7C89">
            <w:pPr>
              <w:pStyle w:val="BodyText"/>
              <w:spacing w:before="100" w:after="100"/>
              <w:jc w:val="center"/>
            </w:pPr>
            <w:r>
              <w:t>Yes, up to the monthly included data amount specified in Table 3A.</w:t>
            </w:r>
          </w:p>
        </w:tc>
      </w:tr>
      <w:tr w:rsidR="000D07EA" w14:paraId="5A1B16D6" w14:textId="77777777">
        <w:trPr>
          <w:cantSplit/>
        </w:trPr>
        <w:tc>
          <w:tcPr>
            <w:tcW w:w="2500" w:type="pct"/>
          </w:tcPr>
          <w:p w14:paraId="79FA9519" w14:textId="77777777" w:rsidR="000D07EA" w:rsidRDefault="00BE7C89">
            <w:pPr>
              <w:pStyle w:val="BodyText"/>
              <w:spacing w:before="100" w:after="100"/>
            </w:pPr>
            <w:r>
              <w:t>Mobile as Modem</w:t>
            </w:r>
          </w:p>
        </w:tc>
        <w:tc>
          <w:tcPr>
            <w:tcW w:w="2500" w:type="pct"/>
          </w:tcPr>
          <w:p w14:paraId="1D36CB1F" w14:textId="77777777" w:rsidR="000D07EA" w:rsidRDefault="00BE7C89">
            <w:pPr>
              <w:pStyle w:val="BodyText"/>
              <w:spacing w:before="100" w:after="100"/>
              <w:jc w:val="center"/>
            </w:pPr>
            <w:r>
              <w:t>Yes</w:t>
            </w:r>
          </w:p>
        </w:tc>
      </w:tr>
      <w:tr w:rsidR="000D07EA" w14:paraId="087397DD" w14:textId="77777777">
        <w:trPr>
          <w:cantSplit/>
        </w:trPr>
        <w:tc>
          <w:tcPr>
            <w:tcW w:w="2500" w:type="pct"/>
          </w:tcPr>
          <w:p w14:paraId="5C4800E2" w14:textId="77777777" w:rsidR="000D07EA" w:rsidRDefault="00BE7C89">
            <w:pPr>
              <w:pStyle w:val="BodyText"/>
              <w:spacing w:before="100" w:after="100"/>
            </w:pPr>
            <w:r>
              <w:t>Data Used while Roaming Internationally</w:t>
            </w:r>
          </w:p>
        </w:tc>
        <w:tc>
          <w:tcPr>
            <w:tcW w:w="2500" w:type="pct"/>
          </w:tcPr>
          <w:p w14:paraId="5156C294" w14:textId="77777777" w:rsidR="000D07EA" w:rsidRDefault="00BE7C89">
            <w:pPr>
              <w:pStyle w:val="BodyText"/>
              <w:spacing w:before="100" w:after="100"/>
              <w:jc w:val="center"/>
            </w:pPr>
            <w:r>
              <w:t>No</w:t>
            </w:r>
          </w:p>
        </w:tc>
      </w:tr>
      <w:tr w:rsidR="000D07EA" w14:paraId="27F9E7DA" w14:textId="77777777">
        <w:trPr>
          <w:cantSplit/>
        </w:trPr>
        <w:tc>
          <w:tcPr>
            <w:tcW w:w="2500" w:type="pct"/>
          </w:tcPr>
          <w:p w14:paraId="5595A292" w14:textId="77777777" w:rsidR="000D07EA" w:rsidRDefault="00BE7C89">
            <w:pPr>
              <w:pStyle w:val="BodyText"/>
              <w:spacing w:before="100" w:after="100"/>
            </w:pPr>
            <w:r>
              <w:t>Content Packs (unless specified in promotions)</w:t>
            </w:r>
          </w:p>
        </w:tc>
        <w:tc>
          <w:tcPr>
            <w:tcW w:w="2500" w:type="pct"/>
          </w:tcPr>
          <w:p w14:paraId="688A9819" w14:textId="77777777" w:rsidR="000D07EA" w:rsidRDefault="00BE7C89">
            <w:pPr>
              <w:pStyle w:val="BodyText"/>
              <w:spacing w:before="100" w:after="100"/>
              <w:jc w:val="center"/>
            </w:pPr>
            <w:r>
              <w:t>No</w:t>
            </w:r>
          </w:p>
        </w:tc>
      </w:tr>
      <w:tr w:rsidR="000D07EA" w14:paraId="7D028E41" w14:textId="77777777">
        <w:trPr>
          <w:cantSplit/>
        </w:trPr>
        <w:tc>
          <w:tcPr>
            <w:tcW w:w="2500" w:type="pct"/>
          </w:tcPr>
          <w:p w14:paraId="394057D5" w14:textId="77777777" w:rsidR="000D07EA" w:rsidRDefault="00BE7C89">
            <w:pPr>
              <w:pStyle w:val="BodyText"/>
              <w:spacing w:before="100" w:after="100"/>
            </w:pPr>
            <w:r>
              <w:t>TrueLocal Usage</w:t>
            </w:r>
          </w:p>
        </w:tc>
        <w:tc>
          <w:tcPr>
            <w:tcW w:w="2500" w:type="pct"/>
          </w:tcPr>
          <w:p w14:paraId="747664B6" w14:textId="77777777" w:rsidR="000D07EA" w:rsidRDefault="00BE7C89">
            <w:pPr>
              <w:pStyle w:val="BodyText"/>
              <w:spacing w:before="100" w:after="100"/>
              <w:jc w:val="center"/>
            </w:pPr>
            <w:r>
              <w:t>No</w:t>
            </w:r>
          </w:p>
        </w:tc>
      </w:tr>
      <w:tr w:rsidR="000D07EA" w14:paraId="22F19236" w14:textId="77777777">
        <w:trPr>
          <w:cantSplit/>
        </w:trPr>
        <w:tc>
          <w:tcPr>
            <w:tcW w:w="2500" w:type="pct"/>
          </w:tcPr>
          <w:p w14:paraId="6618426E" w14:textId="77777777" w:rsidR="000D07EA" w:rsidRDefault="00BE7C89">
            <w:pPr>
              <w:pStyle w:val="BodyText"/>
              <w:spacing w:before="100" w:after="100"/>
            </w:pPr>
            <w:r>
              <w:t xml:space="preserve">Directory Assistance- 1223 </w:t>
            </w:r>
          </w:p>
        </w:tc>
        <w:tc>
          <w:tcPr>
            <w:tcW w:w="2500" w:type="pct"/>
          </w:tcPr>
          <w:p w14:paraId="4BB968AD" w14:textId="77777777" w:rsidR="000D07EA" w:rsidRDefault="00BE7C89">
            <w:pPr>
              <w:pStyle w:val="BodyText"/>
              <w:spacing w:before="100" w:after="100"/>
              <w:jc w:val="center"/>
            </w:pPr>
            <w:r>
              <w:t>No</w:t>
            </w:r>
          </w:p>
        </w:tc>
      </w:tr>
      <w:tr w:rsidR="000D07EA" w14:paraId="32713E92" w14:textId="77777777">
        <w:trPr>
          <w:cantSplit/>
        </w:trPr>
        <w:tc>
          <w:tcPr>
            <w:tcW w:w="2500" w:type="pct"/>
          </w:tcPr>
          <w:p w14:paraId="2882E188" w14:textId="77777777" w:rsidR="000D07EA" w:rsidRDefault="00BE7C89">
            <w:pPr>
              <w:pStyle w:val="BodyText"/>
              <w:spacing w:before="100" w:after="100"/>
            </w:pPr>
            <w:r>
              <w:t>19XX Numbers</w:t>
            </w:r>
          </w:p>
        </w:tc>
        <w:tc>
          <w:tcPr>
            <w:tcW w:w="2500" w:type="pct"/>
          </w:tcPr>
          <w:p w14:paraId="4012F5EC" w14:textId="77777777" w:rsidR="000D07EA" w:rsidRDefault="00BE7C89">
            <w:pPr>
              <w:pStyle w:val="BodyText"/>
              <w:spacing w:before="100" w:after="100"/>
              <w:jc w:val="center"/>
            </w:pPr>
            <w:r>
              <w:t>No</w:t>
            </w:r>
          </w:p>
        </w:tc>
      </w:tr>
      <w:tr w:rsidR="000D07EA" w14:paraId="53983EB1" w14:textId="77777777">
        <w:trPr>
          <w:cantSplit/>
        </w:trPr>
        <w:tc>
          <w:tcPr>
            <w:tcW w:w="2500" w:type="pct"/>
          </w:tcPr>
          <w:p w14:paraId="3D7A26BB" w14:textId="77777777" w:rsidR="000D07EA" w:rsidRDefault="00BE7C89">
            <w:pPr>
              <w:pStyle w:val="BodyText"/>
              <w:spacing w:before="100" w:after="100"/>
            </w:pPr>
            <w:r>
              <w:t>1800, 13 and 1300 numbers</w:t>
            </w:r>
          </w:p>
        </w:tc>
        <w:tc>
          <w:tcPr>
            <w:tcW w:w="2500" w:type="pct"/>
          </w:tcPr>
          <w:p w14:paraId="122C968C" w14:textId="77777777" w:rsidR="000D07EA" w:rsidRDefault="00BE7C89">
            <w:pPr>
              <w:pStyle w:val="BodyText"/>
              <w:spacing w:before="100" w:after="100"/>
              <w:jc w:val="center"/>
            </w:pPr>
            <w:r>
              <w:t>No</w:t>
            </w:r>
          </w:p>
        </w:tc>
      </w:tr>
      <w:tr w:rsidR="000D07EA" w14:paraId="15B40AF6" w14:textId="77777777">
        <w:trPr>
          <w:cantSplit/>
        </w:trPr>
        <w:tc>
          <w:tcPr>
            <w:tcW w:w="2500" w:type="pct"/>
          </w:tcPr>
          <w:p w14:paraId="12A9F13B" w14:textId="77777777" w:rsidR="000D07EA" w:rsidRDefault="00BE7C89">
            <w:pPr>
              <w:pStyle w:val="BodyText"/>
              <w:spacing w:before="100" w:after="100"/>
            </w:pPr>
            <w:r>
              <w:t>124YES(937)</w:t>
            </w:r>
          </w:p>
        </w:tc>
        <w:tc>
          <w:tcPr>
            <w:tcW w:w="2500" w:type="pct"/>
          </w:tcPr>
          <w:p w14:paraId="1C98319D" w14:textId="77777777" w:rsidR="000D07EA" w:rsidRDefault="00BE7C89">
            <w:pPr>
              <w:pStyle w:val="BodyText"/>
              <w:spacing w:before="100" w:after="100"/>
              <w:jc w:val="center"/>
            </w:pPr>
            <w:r>
              <w:t>No</w:t>
            </w:r>
          </w:p>
        </w:tc>
      </w:tr>
      <w:tr w:rsidR="000D07EA" w14:paraId="553F227C" w14:textId="77777777">
        <w:trPr>
          <w:cantSplit/>
        </w:trPr>
        <w:tc>
          <w:tcPr>
            <w:tcW w:w="2500" w:type="pct"/>
          </w:tcPr>
          <w:p w14:paraId="37153850" w14:textId="77777777" w:rsidR="000D07EA" w:rsidRDefault="00BE7C89">
            <w:pPr>
              <w:pStyle w:val="BodyText"/>
              <w:spacing w:before="100" w:after="100"/>
            </w:pPr>
            <w:r>
              <w:lastRenderedPageBreak/>
              <w:t>Insurance</w:t>
            </w:r>
          </w:p>
        </w:tc>
        <w:tc>
          <w:tcPr>
            <w:tcW w:w="2500" w:type="pct"/>
          </w:tcPr>
          <w:p w14:paraId="441E30B3" w14:textId="77777777" w:rsidR="000D07EA" w:rsidRDefault="00BE7C89">
            <w:pPr>
              <w:pStyle w:val="BodyText"/>
              <w:spacing w:before="100" w:after="100"/>
              <w:jc w:val="center"/>
            </w:pPr>
            <w:r>
              <w:t>No</w:t>
            </w:r>
          </w:p>
        </w:tc>
      </w:tr>
      <w:tr w:rsidR="000D07EA" w14:paraId="794BBB24" w14:textId="77777777">
        <w:trPr>
          <w:cantSplit/>
        </w:trPr>
        <w:tc>
          <w:tcPr>
            <w:tcW w:w="2500" w:type="pct"/>
          </w:tcPr>
          <w:p w14:paraId="721AD89E" w14:textId="77777777" w:rsidR="000D07EA" w:rsidRDefault="00BE7C89">
            <w:pPr>
              <w:pStyle w:val="BodyText"/>
              <w:spacing w:before="100" w:after="100"/>
            </w:pPr>
            <w:r>
              <w:t>Handset Payments</w:t>
            </w:r>
          </w:p>
        </w:tc>
        <w:tc>
          <w:tcPr>
            <w:tcW w:w="2500" w:type="pct"/>
          </w:tcPr>
          <w:p w14:paraId="0AF522FB" w14:textId="77777777" w:rsidR="000D07EA" w:rsidRDefault="00BE7C89">
            <w:pPr>
              <w:pStyle w:val="BodyText"/>
              <w:spacing w:before="100" w:after="100"/>
              <w:jc w:val="center"/>
            </w:pPr>
            <w:r>
              <w:t>No</w:t>
            </w:r>
          </w:p>
        </w:tc>
      </w:tr>
      <w:tr w:rsidR="000D07EA" w14:paraId="3CE14540" w14:textId="77777777">
        <w:trPr>
          <w:cantSplit/>
        </w:trPr>
        <w:tc>
          <w:tcPr>
            <w:tcW w:w="2500" w:type="pct"/>
          </w:tcPr>
          <w:p w14:paraId="69574A9D" w14:textId="77777777" w:rsidR="000D07EA" w:rsidRDefault="00BE7C89">
            <w:pPr>
              <w:pStyle w:val="BodyText"/>
              <w:spacing w:before="100" w:after="100"/>
            </w:pPr>
            <w:r>
              <w:t>Calls to MobileSat</w:t>
            </w:r>
          </w:p>
        </w:tc>
        <w:tc>
          <w:tcPr>
            <w:tcW w:w="2500" w:type="pct"/>
          </w:tcPr>
          <w:p w14:paraId="54D650A9" w14:textId="77777777" w:rsidR="000D07EA" w:rsidRDefault="00BE7C89">
            <w:pPr>
              <w:pStyle w:val="BodyText"/>
              <w:spacing w:before="100" w:after="100"/>
              <w:jc w:val="center"/>
            </w:pPr>
            <w:r>
              <w:t>No</w:t>
            </w:r>
          </w:p>
        </w:tc>
      </w:tr>
      <w:tr w:rsidR="000D07EA" w14:paraId="27C3D378" w14:textId="77777777">
        <w:trPr>
          <w:cantSplit/>
        </w:trPr>
        <w:tc>
          <w:tcPr>
            <w:tcW w:w="2500" w:type="pct"/>
          </w:tcPr>
          <w:p w14:paraId="292A8AA2" w14:textId="77777777" w:rsidR="000D07EA" w:rsidRDefault="00BE7C89">
            <w:pPr>
              <w:pStyle w:val="BodyText"/>
              <w:spacing w:before="100" w:after="100"/>
            </w:pPr>
            <w:r>
              <w:t>VOIP services</w:t>
            </w:r>
          </w:p>
        </w:tc>
        <w:tc>
          <w:tcPr>
            <w:tcW w:w="2500" w:type="pct"/>
          </w:tcPr>
          <w:p w14:paraId="60152F48" w14:textId="77777777" w:rsidR="000D07EA" w:rsidRDefault="00BE7C89">
            <w:pPr>
              <w:pStyle w:val="BodyText"/>
              <w:spacing w:before="100" w:after="100"/>
              <w:jc w:val="center"/>
            </w:pPr>
            <w:r>
              <w:t>No</w:t>
            </w:r>
          </w:p>
        </w:tc>
      </w:tr>
      <w:tr w:rsidR="000D07EA" w14:paraId="316B13A2" w14:textId="77777777">
        <w:trPr>
          <w:cantSplit/>
        </w:trPr>
        <w:tc>
          <w:tcPr>
            <w:tcW w:w="2500" w:type="pct"/>
          </w:tcPr>
          <w:p w14:paraId="1E94752B" w14:textId="77777777" w:rsidR="000D07EA" w:rsidRDefault="00BE7C89">
            <w:pPr>
              <w:pStyle w:val="BodyText"/>
              <w:spacing w:before="100" w:after="100"/>
            </w:pPr>
            <w:r>
              <w:t>Surepage</w:t>
            </w:r>
          </w:p>
        </w:tc>
        <w:tc>
          <w:tcPr>
            <w:tcW w:w="2500" w:type="pct"/>
          </w:tcPr>
          <w:p w14:paraId="405FAC8A" w14:textId="77777777" w:rsidR="000D07EA" w:rsidRDefault="00BE7C89">
            <w:pPr>
              <w:pStyle w:val="BodyText"/>
              <w:spacing w:before="100" w:after="100"/>
              <w:jc w:val="center"/>
            </w:pPr>
            <w:r>
              <w:t>No</w:t>
            </w:r>
          </w:p>
        </w:tc>
      </w:tr>
    </w:tbl>
    <w:p w14:paraId="73DCFE19" w14:textId="77777777" w:rsidR="000D07EA" w:rsidRDefault="000D07EA">
      <w:pPr>
        <w:pStyle w:val="BodyText"/>
      </w:pPr>
    </w:p>
    <w:p w14:paraId="000CF388" w14:textId="77777777" w:rsidR="000D07EA" w:rsidRDefault="00BE7C89">
      <w:pPr>
        <w:pStyle w:val="BodyText"/>
        <w:ind w:left="720"/>
        <w:rPr>
          <w:b/>
        </w:rPr>
      </w:pPr>
      <w:r>
        <w:rPr>
          <w:b/>
        </w:rPr>
        <w:t>Table 2B – Eligible for Unlimited BlackBerry POP3 Email &amp; Browsing through the BlackBerry Browser</w:t>
      </w: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730"/>
        <w:gridCol w:w="4731"/>
      </w:tblGrid>
      <w:tr w:rsidR="000D07EA" w14:paraId="18A0FF69" w14:textId="77777777">
        <w:trPr>
          <w:tblHeader/>
        </w:trPr>
        <w:tc>
          <w:tcPr>
            <w:tcW w:w="2500" w:type="pct"/>
          </w:tcPr>
          <w:p w14:paraId="0BE751FF" w14:textId="77777777" w:rsidR="000D07EA" w:rsidRDefault="00BE7C89">
            <w:pPr>
              <w:pStyle w:val="BodyText"/>
              <w:spacing w:before="100" w:after="100"/>
              <w:rPr>
                <w:b/>
              </w:rPr>
            </w:pPr>
            <w:r>
              <w:rPr>
                <w:b/>
              </w:rPr>
              <w:t>Call Type</w:t>
            </w:r>
          </w:p>
        </w:tc>
        <w:tc>
          <w:tcPr>
            <w:tcW w:w="2500" w:type="pct"/>
          </w:tcPr>
          <w:p w14:paraId="44414FD9" w14:textId="77777777" w:rsidR="000D07EA" w:rsidRDefault="00BE7C89">
            <w:pPr>
              <w:pStyle w:val="BodyText"/>
              <w:spacing w:before="100" w:after="100"/>
              <w:jc w:val="center"/>
              <w:rPr>
                <w:b/>
              </w:rPr>
            </w:pPr>
            <w:r>
              <w:rPr>
                <w:b/>
              </w:rPr>
              <w:t>Eligible Data</w:t>
            </w:r>
          </w:p>
        </w:tc>
      </w:tr>
      <w:tr w:rsidR="000D07EA" w14:paraId="2869FC10" w14:textId="77777777">
        <w:tc>
          <w:tcPr>
            <w:tcW w:w="2500" w:type="pct"/>
          </w:tcPr>
          <w:p w14:paraId="73731CA8" w14:textId="77777777" w:rsidR="000D07EA" w:rsidRDefault="00BE7C89">
            <w:pPr>
              <w:pStyle w:val="BodyText"/>
              <w:spacing w:before="100" w:after="100"/>
            </w:pPr>
            <w:r>
              <w:t>BlackBerry Email (POP3)</w:t>
            </w:r>
          </w:p>
        </w:tc>
        <w:tc>
          <w:tcPr>
            <w:tcW w:w="2500" w:type="pct"/>
          </w:tcPr>
          <w:p w14:paraId="221F5E1B" w14:textId="77777777" w:rsidR="000D07EA" w:rsidRDefault="00BE7C89">
            <w:pPr>
              <w:pStyle w:val="BodyText"/>
              <w:spacing w:before="100" w:after="100"/>
              <w:jc w:val="center"/>
            </w:pPr>
            <w:r>
              <w:t>Yes</w:t>
            </w:r>
          </w:p>
        </w:tc>
      </w:tr>
      <w:tr w:rsidR="000D07EA" w14:paraId="2D29FBAB" w14:textId="77777777">
        <w:tc>
          <w:tcPr>
            <w:tcW w:w="2500" w:type="pct"/>
          </w:tcPr>
          <w:p w14:paraId="04F7CBE1" w14:textId="77777777" w:rsidR="000D07EA" w:rsidRDefault="00BE7C89">
            <w:pPr>
              <w:pStyle w:val="BodyText"/>
              <w:spacing w:before="100" w:after="100"/>
            </w:pPr>
            <w:r>
              <w:t>Internet Browsing through the BlackBerry Browser and/or the BlackBerry Internet Browser</w:t>
            </w:r>
          </w:p>
        </w:tc>
        <w:tc>
          <w:tcPr>
            <w:tcW w:w="2500" w:type="pct"/>
          </w:tcPr>
          <w:p w14:paraId="315536F4" w14:textId="77777777" w:rsidR="000D07EA" w:rsidRDefault="00BE7C89">
            <w:pPr>
              <w:pStyle w:val="BodyText"/>
              <w:spacing w:before="100" w:after="100"/>
              <w:jc w:val="center"/>
            </w:pPr>
            <w:r>
              <w:t>Yes</w:t>
            </w:r>
          </w:p>
        </w:tc>
      </w:tr>
      <w:tr w:rsidR="000D07EA" w14:paraId="1C06EB55" w14:textId="77777777">
        <w:tc>
          <w:tcPr>
            <w:tcW w:w="2500" w:type="pct"/>
          </w:tcPr>
          <w:p w14:paraId="3EA89E78" w14:textId="77777777" w:rsidR="000D07EA" w:rsidRDefault="00BE7C89">
            <w:pPr>
              <w:pStyle w:val="BodyText"/>
              <w:spacing w:before="100" w:after="100"/>
            </w:pPr>
            <w:r>
              <w:t xml:space="preserve">Optus Zoo downloads and subscriptions </w:t>
            </w:r>
          </w:p>
        </w:tc>
        <w:tc>
          <w:tcPr>
            <w:tcW w:w="2500" w:type="pct"/>
          </w:tcPr>
          <w:p w14:paraId="65D44925" w14:textId="77777777" w:rsidR="000D07EA" w:rsidRDefault="00BE7C89">
            <w:pPr>
              <w:pStyle w:val="BodyText"/>
              <w:spacing w:before="100" w:after="100"/>
              <w:jc w:val="center"/>
            </w:pPr>
            <w:r>
              <w:t>No</w:t>
            </w:r>
          </w:p>
        </w:tc>
      </w:tr>
      <w:tr w:rsidR="000D07EA" w14:paraId="70DC71D8" w14:textId="77777777">
        <w:tc>
          <w:tcPr>
            <w:tcW w:w="2500" w:type="pct"/>
          </w:tcPr>
          <w:p w14:paraId="507EDC04" w14:textId="77777777" w:rsidR="000D07EA" w:rsidRDefault="00BE7C89">
            <w:pPr>
              <w:pStyle w:val="BodyText"/>
              <w:spacing w:before="100" w:after="100"/>
            </w:pPr>
            <w:r>
              <w:t xml:space="preserve">Optus Zoo GPRS WAP browsing </w:t>
            </w:r>
          </w:p>
        </w:tc>
        <w:tc>
          <w:tcPr>
            <w:tcW w:w="2500" w:type="pct"/>
          </w:tcPr>
          <w:p w14:paraId="2DCB71E0" w14:textId="77777777" w:rsidR="000D07EA" w:rsidRDefault="00BE7C89">
            <w:pPr>
              <w:pStyle w:val="BodyText"/>
              <w:spacing w:before="100" w:after="100"/>
              <w:jc w:val="center"/>
            </w:pPr>
            <w:r>
              <w:t>No</w:t>
            </w:r>
          </w:p>
        </w:tc>
      </w:tr>
      <w:tr w:rsidR="000D07EA" w14:paraId="5967CB4F" w14:textId="77777777">
        <w:tc>
          <w:tcPr>
            <w:tcW w:w="2500" w:type="pct"/>
          </w:tcPr>
          <w:p w14:paraId="540852A5" w14:textId="77777777" w:rsidR="000D07EA" w:rsidRDefault="00BE7C89">
            <w:pPr>
              <w:pStyle w:val="BodyText"/>
              <w:spacing w:before="100" w:after="100"/>
            </w:pPr>
            <w:r>
              <w:t>Applications from Optus and third party applications that require a BlackBerry Data connection</w:t>
            </w:r>
          </w:p>
        </w:tc>
        <w:tc>
          <w:tcPr>
            <w:tcW w:w="2500" w:type="pct"/>
          </w:tcPr>
          <w:p w14:paraId="5E57626D" w14:textId="77777777" w:rsidR="000D07EA" w:rsidRDefault="00BE7C89">
            <w:pPr>
              <w:pStyle w:val="BodyText"/>
              <w:spacing w:before="100" w:after="100"/>
              <w:jc w:val="center"/>
            </w:pPr>
            <w:r>
              <w:t>Yes</w:t>
            </w:r>
          </w:p>
        </w:tc>
      </w:tr>
      <w:tr w:rsidR="000D07EA" w14:paraId="44578002" w14:textId="77777777">
        <w:tc>
          <w:tcPr>
            <w:tcW w:w="2500" w:type="pct"/>
          </w:tcPr>
          <w:p w14:paraId="7DEF7C1F" w14:textId="77777777" w:rsidR="000D07EA" w:rsidRDefault="00BE7C89">
            <w:pPr>
              <w:pStyle w:val="BodyText"/>
              <w:spacing w:before="100" w:after="100"/>
            </w:pPr>
            <w:r>
              <w:t>Applications from Optus and third party applications that require a Mobile Internet Data connection</w:t>
            </w:r>
          </w:p>
        </w:tc>
        <w:tc>
          <w:tcPr>
            <w:tcW w:w="2500" w:type="pct"/>
          </w:tcPr>
          <w:p w14:paraId="6779BD13" w14:textId="77777777" w:rsidR="000D07EA" w:rsidRDefault="00BE7C89">
            <w:pPr>
              <w:pStyle w:val="BodyText"/>
              <w:spacing w:before="100" w:after="100"/>
              <w:jc w:val="center"/>
            </w:pPr>
            <w:r>
              <w:t>No</w:t>
            </w:r>
          </w:p>
        </w:tc>
      </w:tr>
      <w:tr w:rsidR="000D07EA" w14:paraId="2D701887" w14:textId="77777777">
        <w:tc>
          <w:tcPr>
            <w:tcW w:w="2500" w:type="pct"/>
          </w:tcPr>
          <w:p w14:paraId="6BD69B19" w14:textId="77777777" w:rsidR="000D07EA" w:rsidRDefault="00BE7C89">
            <w:pPr>
              <w:pStyle w:val="BodyText"/>
              <w:spacing w:before="100" w:after="100"/>
            </w:pPr>
            <w:r>
              <w:t>Mobile as Modem/Tethering</w:t>
            </w:r>
          </w:p>
        </w:tc>
        <w:tc>
          <w:tcPr>
            <w:tcW w:w="2500" w:type="pct"/>
          </w:tcPr>
          <w:p w14:paraId="23090E23" w14:textId="77777777" w:rsidR="000D07EA" w:rsidRDefault="00BE7C89">
            <w:pPr>
              <w:pStyle w:val="BodyText"/>
              <w:spacing w:before="100" w:after="100"/>
              <w:jc w:val="center"/>
            </w:pPr>
            <w:r>
              <w:t>No</w:t>
            </w:r>
          </w:p>
        </w:tc>
      </w:tr>
      <w:tr w:rsidR="000D07EA" w14:paraId="1B22F8C3" w14:textId="77777777">
        <w:tc>
          <w:tcPr>
            <w:tcW w:w="2500" w:type="pct"/>
          </w:tcPr>
          <w:p w14:paraId="4069B548" w14:textId="77777777" w:rsidR="000D07EA" w:rsidRDefault="00BE7C89">
            <w:pPr>
              <w:pStyle w:val="BodyText"/>
              <w:spacing w:before="100" w:after="100"/>
            </w:pPr>
            <w:r>
              <w:t>Data Used while Roaming Internationally</w:t>
            </w:r>
          </w:p>
        </w:tc>
        <w:tc>
          <w:tcPr>
            <w:tcW w:w="2500" w:type="pct"/>
          </w:tcPr>
          <w:p w14:paraId="325C5483" w14:textId="77777777" w:rsidR="000D07EA" w:rsidRDefault="00BE7C89">
            <w:pPr>
              <w:pStyle w:val="BodyText"/>
              <w:spacing w:before="100" w:after="100"/>
              <w:jc w:val="center"/>
            </w:pPr>
            <w:r>
              <w:t>No</w:t>
            </w:r>
          </w:p>
        </w:tc>
      </w:tr>
      <w:tr w:rsidR="000D07EA" w14:paraId="3F8C46B4" w14:textId="77777777">
        <w:tc>
          <w:tcPr>
            <w:tcW w:w="2500" w:type="pct"/>
          </w:tcPr>
          <w:p w14:paraId="27AE1C25" w14:textId="77777777" w:rsidR="000D07EA" w:rsidRDefault="00BE7C89">
            <w:pPr>
              <w:pStyle w:val="BodyText"/>
              <w:spacing w:before="100" w:after="100"/>
            </w:pPr>
            <w:r>
              <w:t>Content Packs (unless specified in promotions)</w:t>
            </w:r>
          </w:p>
        </w:tc>
        <w:tc>
          <w:tcPr>
            <w:tcW w:w="2500" w:type="pct"/>
          </w:tcPr>
          <w:p w14:paraId="5D7A7FF8" w14:textId="77777777" w:rsidR="000D07EA" w:rsidRDefault="00BE7C89">
            <w:pPr>
              <w:pStyle w:val="BodyText"/>
              <w:spacing w:before="100" w:after="100"/>
              <w:jc w:val="center"/>
            </w:pPr>
            <w:r>
              <w:t>No</w:t>
            </w:r>
          </w:p>
        </w:tc>
      </w:tr>
      <w:tr w:rsidR="000D07EA" w14:paraId="53B68C3D" w14:textId="77777777">
        <w:tc>
          <w:tcPr>
            <w:tcW w:w="2500" w:type="pct"/>
          </w:tcPr>
          <w:p w14:paraId="038139AA" w14:textId="77777777" w:rsidR="000D07EA" w:rsidRDefault="00BE7C89">
            <w:pPr>
              <w:pStyle w:val="BodyText"/>
              <w:spacing w:before="100" w:after="100"/>
            </w:pPr>
            <w:r>
              <w:t>Video Streaming (You Tube)</w:t>
            </w:r>
          </w:p>
        </w:tc>
        <w:tc>
          <w:tcPr>
            <w:tcW w:w="2500" w:type="pct"/>
          </w:tcPr>
          <w:p w14:paraId="0F8DF32C" w14:textId="77777777" w:rsidR="000D07EA" w:rsidRDefault="00BE7C89">
            <w:pPr>
              <w:pStyle w:val="BodyText"/>
              <w:spacing w:before="100" w:after="100"/>
              <w:jc w:val="center"/>
            </w:pPr>
            <w:r>
              <w:t>No</w:t>
            </w:r>
          </w:p>
        </w:tc>
      </w:tr>
      <w:tr w:rsidR="000D07EA" w14:paraId="48AE4713" w14:textId="77777777">
        <w:tc>
          <w:tcPr>
            <w:tcW w:w="2500" w:type="pct"/>
          </w:tcPr>
          <w:p w14:paraId="1D2EF547" w14:textId="77777777" w:rsidR="000D07EA" w:rsidRDefault="00BE7C89">
            <w:pPr>
              <w:pStyle w:val="BodyText"/>
              <w:spacing w:before="100" w:after="100"/>
            </w:pPr>
            <w:r>
              <w:t>All other call types or usage</w:t>
            </w:r>
          </w:p>
        </w:tc>
        <w:tc>
          <w:tcPr>
            <w:tcW w:w="2500" w:type="pct"/>
          </w:tcPr>
          <w:p w14:paraId="2D845499" w14:textId="77777777" w:rsidR="000D07EA" w:rsidRDefault="00BE7C89">
            <w:pPr>
              <w:pStyle w:val="BodyText"/>
              <w:spacing w:before="100" w:after="100"/>
              <w:jc w:val="center"/>
            </w:pPr>
            <w:r>
              <w:t>No</w:t>
            </w:r>
          </w:p>
        </w:tc>
      </w:tr>
    </w:tbl>
    <w:p w14:paraId="60E98768" w14:textId="77777777" w:rsidR="000D07EA" w:rsidRDefault="000D07EA">
      <w:pPr>
        <w:pStyle w:val="BodyText"/>
      </w:pPr>
    </w:p>
    <w:p w14:paraId="79FC8302" w14:textId="77777777" w:rsidR="000D07EA" w:rsidRDefault="00BE7C89">
      <w:pPr>
        <w:pStyle w:val="BodyText"/>
        <w:ind w:left="720"/>
        <w:rPr>
          <w:b/>
        </w:rPr>
      </w:pPr>
      <w:r>
        <w:rPr>
          <w:b/>
        </w:rPr>
        <w:t>Table 3A – Charges for Handset Plan ($29 Business Complete (Feb-12))</w:t>
      </w: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730"/>
        <w:gridCol w:w="4731"/>
      </w:tblGrid>
      <w:tr w:rsidR="000D07EA" w14:paraId="6E5DAF27" w14:textId="77777777">
        <w:trPr>
          <w:cantSplit/>
          <w:tblHeader/>
        </w:trPr>
        <w:tc>
          <w:tcPr>
            <w:tcW w:w="2500" w:type="pct"/>
          </w:tcPr>
          <w:p w14:paraId="673AE8F2" w14:textId="77777777" w:rsidR="000D07EA" w:rsidRDefault="00BE7C89">
            <w:pPr>
              <w:pStyle w:val="BodyText"/>
              <w:spacing w:before="100" w:after="100"/>
              <w:rPr>
                <w:b/>
              </w:rPr>
            </w:pPr>
            <w:r>
              <w:rPr>
                <w:b/>
              </w:rPr>
              <w:t> </w:t>
            </w:r>
          </w:p>
        </w:tc>
        <w:tc>
          <w:tcPr>
            <w:tcW w:w="2500" w:type="pct"/>
          </w:tcPr>
          <w:p w14:paraId="5A078A9E" w14:textId="77777777" w:rsidR="000D07EA" w:rsidRDefault="00BE7C89">
            <w:pPr>
              <w:pStyle w:val="BodyText"/>
              <w:spacing w:before="100" w:after="100"/>
              <w:jc w:val="center"/>
              <w:rPr>
                <w:b/>
              </w:rPr>
            </w:pPr>
            <w:r>
              <w:rPr>
                <w:b/>
              </w:rPr>
              <w:t>$29 Business Complete (Feb-12)</w:t>
            </w:r>
          </w:p>
        </w:tc>
      </w:tr>
      <w:tr w:rsidR="000D07EA" w14:paraId="080FD1AF" w14:textId="77777777">
        <w:trPr>
          <w:cantSplit/>
        </w:trPr>
        <w:tc>
          <w:tcPr>
            <w:tcW w:w="2500" w:type="pct"/>
          </w:tcPr>
          <w:p w14:paraId="1B15709E" w14:textId="77777777" w:rsidR="000D07EA" w:rsidRDefault="00BE7C89">
            <w:pPr>
              <w:pStyle w:val="BodyText"/>
              <w:spacing w:before="100" w:after="100"/>
            </w:pPr>
            <w:r>
              <w:t>Minimum Monthly Charge</w:t>
            </w:r>
          </w:p>
        </w:tc>
        <w:tc>
          <w:tcPr>
            <w:tcW w:w="2500" w:type="pct"/>
          </w:tcPr>
          <w:p w14:paraId="208E2435" w14:textId="77777777" w:rsidR="000D07EA" w:rsidRDefault="00BE7C89">
            <w:pPr>
              <w:pStyle w:val="BodyText"/>
              <w:spacing w:before="100" w:after="100"/>
              <w:jc w:val="center"/>
            </w:pPr>
            <w:r>
              <w:t>$29</w:t>
            </w:r>
          </w:p>
        </w:tc>
      </w:tr>
      <w:tr w:rsidR="000D07EA" w14:paraId="173342C7" w14:textId="77777777">
        <w:trPr>
          <w:cantSplit/>
        </w:trPr>
        <w:tc>
          <w:tcPr>
            <w:tcW w:w="2500" w:type="pct"/>
          </w:tcPr>
          <w:p w14:paraId="61EBE48A" w14:textId="77777777" w:rsidR="000D07EA" w:rsidRDefault="00BE7C89">
            <w:pPr>
              <w:pStyle w:val="BodyText"/>
              <w:spacing w:before="100" w:after="100"/>
            </w:pPr>
            <w:r>
              <w:t>"Included Call &amp; Text Value" per month (to use within Australia)</w:t>
            </w:r>
          </w:p>
        </w:tc>
        <w:tc>
          <w:tcPr>
            <w:tcW w:w="2500" w:type="pct"/>
          </w:tcPr>
          <w:p w14:paraId="31AB644A" w14:textId="77777777" w:rsidR="000D07EA" w:rsidRDefault="00BE7C89">
            <w:pPr>
              <w:pStyle w:val="BodyText"/>
              <w:spacing w:before="100" w:after="100"/>
              <w:jc w:val="center"/>
            </w:pPr>
            <w:r>
              <w:t>$180</w:t>
            </w:r>
          </w:p>
        </w:tc>
      </w:tr>
      <w:tr w:rsidR="000D07EA" w14:paraId="5298F5F1" w14:textId="77777777">
        <w:trPr>
          <w:cantSplit/>
        </w:trPr>
        <w:tc>
          <w:tcPr>
            <w:tcW w:w="2500" w:type="pct"/>
          </w:tcPr>
          <w:p w14:paraId="2495823E" w14:textId="77777777" w:rsidR="000D07EA" w:rsidRDefault="00BE7C89">
            <w:pPr>
              <w:pStyle w:val="BodyText"/>
              <w:spacing w:before="100" w:after="100"/>
            </w:pPr>
            <w:r>
              <w:t>Unlimited Standard National SMS to Australian GSM mobiles (excludes Pivotel) within Australia</w:t>
            </w:r>
          </w:p>
        </w:tc>
        <w:tc>
          <w:tcPr>
            <w:tcW w:w="2500" w:type="pct"/>
          </w:tcPr>
          <w:p w14:paraId="16B255F9" w14:textId="77777777" w:rsidR="000D07EA" w:rsidRDefault="00BE7C89">
            <w:pPr>
              <w:pStyle w:val="BodyText"/>
              <w:spacing w:before="100" w:after="100"/>
              <w:jc w:val="center"/>
            </w:pPr>
            <w:r>
              <w:t>No</w:t>
            </w:r>
          </w:p>
        </w:tc>
      </w:tr>
      <w:tr w:rsidR="000D07EA" w14:paraId="37AC8A4C" w14:textId="77777777">
        <w:trPr>
          <w:cantSplit/>
        </w:trPr>
        <w:tc>
          <w:tcPr>
            <w:tcW w:w="2500" w:type="pct"/>
          </w:tcPr>
          <w:p w14:paraId="511FF923" w14:textId="77777777" w:rsidR="000D07EA" w:rsidRDefault="00BE7C89">
            <w:pPr>
              <w:pStyle w:val="BodyText"/>
              <w:spacing w:before="100" w:after="100"/>
            </w:pPr>
            <w:r>
              <w:lastRenderedPageBreak/>
              <w:t>Unlimited Standard Voice Calls to Mobiles on Same Customer Account Number Offer within Australia.</w:t>
            </w:r>
          </w:p>
        </w:tc>
        <w:tc>
          <w:tcPr>
            <w:tcW w:w="2500" w:type="pct"/>
          </w:tcPr>
          <w:p w14:paraId="52A5A4B5" w14:textId="77777777" w:rsidR="000D07EA" w:rsidRDefault="00BE7C89">
            <w:pPr>
              <w:pStyle w:val="BodyText"/>
              <w:spacing w:before="100" w:after="100"/>
              <w:jc w:val="center"/>
            </w:pPr>
            <w:r>
              <w:t>Yes</w:t>
            </w:r>
          </w:p>
        </w:tc>
      </w:tr>
      <w:tr w:rsidR="000D07EA" w14:paraId="7E54F6B8" w14:textId="77777777">
        <w:trPr>
          <w:cantSplit/>
        </w:trPr>
        <w:tc>
          <w:tcPr>
            <w:tcW w:w="2500" w:type="pct"/>
          </w:tcPr>
          <w:p w14:paraId="71425794" w14:textId="77777777" w:rsidR="000D07EA" w:rsidRDefault="00BE7C89">
            <w:pPr>
              <w:pStyle w:val="BodyText"/>
              <w:spacing w:before="100" w:after="100"/>
            </w:pPr>
            <w:r>
              <w:t>Unlimited Voicemail – Deposit and retrievals within Australia</w:t>
            </w:r>
          </w:p>
        </w:tc>
        <w:tc>
          <w:tcPr>
            <w:tcW w:w="2500" w:type="pct"/>
          </w:tcPr>
          <w:p w14:paraId="1926BE08" w14:textId="77777777" w:rsidR="000D07EA" w:rsidRDefault="00BE7C89">
            <w:pPr>
              <w:pStyle w:val="BodyText"/>
              <w:spacing w:before="100" w:after="100"/>
              <w:jc w:val="center"/>
            </w:pPr>
            <w:r>
              <w:t>Yes</w:t>
            </w:r>
          </w:p>
        </w:tc>
      </w:tr>
      <w:tr w:rsidR="000D07EA" w14:paraId="5A6BA57F" w14:textId="77777777">
        <w:trPr>
          <w:cantSplit/>
        </w:trPr>
        <w:tc>
          <w:tcPr>
            <w:tcW w:w="2500" w:type="pct"/>
          </w:tcPr>
          <w:p w14:paraId="1C89EB6E" w14:textId="77777777" w:rsidR="000D07EA" w:rsidRDefault="00BE7C89">
            <w:pPr>
              <w:pStyle w:val="BodyText"/>
              <w:spacing w:before="100" w:after="100"/>
            </w:pPr>
            <w:r>
              <w:t xml:space="preserve">Unlimited mobile access to Facebook®, Twitter, LinkedIn, Ebay, FourSquare, MySpace within Australia </w:t>
            </w:r>
          </w:p>
        </w:tc>
        <w:tc>
          <w:tcPr>
            <w:tcW w:w="2500" w:type="pct"/>
          </w:tcPr>
          <w:p w14:paraId="721994BA" w14:textId="77777777" w:rsidR="000D07EA" w:rsidRDefault="00BE7C89">
            <w:pPr>
              <w:pStyle w:val="BodyText"/>
              <w:spacing w:before="100" w:after="100"/>
              <w:jc w:val="center"/>
            </w:pPr>
            <w:r>
              <w:t>Yes</w:t>
            </w:r>
          </w:p>
        </w:tc>
      </w:tr>
      <w:tr w:rsidR="000D07EA" w14:paraId="1ED42711" w14:textId="77777777">
        <w:trPr>
          <w:cantSplit/>
        </w:trPr>
        <w:tc>
          <w:tcPr>
            <w:tcW w:w="2500" w:type="pct"/>
          </w:tcPr>
          <w:p w14:paraId="6EB8D1C6" w14:textId="77777777" w:rsidR="000D07EA" w:rsidRDefault="00BE7C89">
            <w:pPr>
              <w:pStyle w:val="BodyText"/>
              <w:spacing w:before="100" w:after="100"/>
            </w:pPr>
            <w:r>
              <w:t xml:space="preserve">National Voice call charges </w:t>
            </w:r>
            <w:r>
              <w:rPr>
                <w:i/>
                <w:iCs/>
              </w:rPr>
              <w:t xml:space="preserve"> </w:t>
            </w:r>
            <w:r>
              <w:t>(per minute)</w:t>
            </w:r>
          </w:p>
        </w:tc>
        <w:tc>
          <w:tcPr>
            <w:tcW w:w="2500" w:type="pct"/>
          </w:tcPr>
          <w:p w14:paraId="43549490" w14:textId="77777777" w:rsidR="000D07EA" w:rsidRDefault="00BE7C89">
            <w:pPr>
              <w:pStyle w:val="BodyText"/>
              <w:spacing w:before="100" w:after="100"/>
              <w:jc w:val="center"/>
            </w:pPr>
            <w:r>
              <w:t>$0.90</w:t>
            </w:r>
          </w:p>
        </w:tc>
      </w:tr>
      <w:tr w:rsidR="000D07EA" w14:paraId="79875059" w14:textId="77777777">
        <w:trPr>
          <w:cantSplit/>
        </w:trPr>
        <w:tc>
          <w:tcPr>
            <w:tcW w:w="2500" w:type="pct"/>
          </w:tcPr>
          <w:p w14:paraId="4BEB66FB" w14:textId="77777777" w:rsidR="000D07EA" w:rsidRDefault="00BE7C89">
            <w:pPr>
              <w:pStyle w:val="BodyText"/>
              <w:spacing w:before="100" w:after="100"/>
              <w:rPr>
                <w:i/>
                <w:iCs/>
              </w:rPr>
            </w:pPr>
            <w:r>
              <w:rPr>
                <w:i/>
                <w:iCs/>
              </w:rPr>
              <w:t>Flagfall</w:t>
            </w:r>
            <w:r>
              <w:t xml:space="preserve"> for standard national voice calls (per call) </w:t>
            </w:r>
          </w:p>
        </w:tc>
        <w:tc>
          <w:tcPr>
            <w:tcW w:w="2500" w:type="pct"/>
          </w:tcPr>
          <w:p w14:paraId="20DA80AE" w14:textId="77777777" w:rsidR="000D07EA" w:rsidRDefault="00BE7C89">
            <w:pPr>
              <w:pStyle w:val="BodyText"/>
              <w:spacing w:before="100" w:after="100"/>
              <w:jc w:val="center"/>
            </w:pPr>
            <w:r>
              <w:t>$0.35</w:t>
            </w:r>
          </w:p>
        </w:tc>
      </w:tr>
      <w:tr w:rsidR="000D07EA" w14:paraId="11926711" w14:textId="77777777">
        <w:trPr>
          <w:cantSplit/>
        </w:trPr>
        <w:tc>
          <w:tcPr>
            <w:tcW w:w="2500" w:type="pct"/>
          </w:tcPr>
          <w:p w14:paraId="57226EED" w14:textId="77777777" w:rsidR="000D07EA" w:rsidRDefault="00BE7C89">
            <w:pPr>
              <w:pStyle w:val="BodyText"/>
              <w:spacing w:before="100" w:after="100"/>
            </w:pPr>
            <w:r>
              <w:t>Standard National SMS Charges (for standard SMS of up to 160 characters)</w:t>
            </w:r>
          </w:p>
        </w:tc>
        <w:tc>
          <w:tcPr>
            <w:tcW w:w="2500" w:type="pct"/>
          </w:tcPr>
          <w:p w14:paraId="5F065908" w14:textId="77777777" w:rsidR="000D07EA" w:rsidRDefault="00BE7C89">
            <w:pPr>
              <w:pStyle w:val="BodyText"/>
              <w:spacing w:before="100" w:after="100"/>
              <w:jc w:val="center"/>
            </w:pPr>
            <w:r>
              <w:t>$0.25</w:t>
            </w:r>
          </w:p>
        </w:tc>
      </w:tr>
      <w:tr w:rsidR="000D07EA" w14:paraId="78FD9AB9" w14:textId="77777777">
        <w:trPr>
          <w:cantSplit/>
        </w:trPr>
        <w:tc>
          <w:tcPr>
            <w:tcW w:w="2500" w:type="pct"/>
          </w:tcPr>
          <w:p w14:paraId="3888C4E1" w14:textId="77777777" w:rsidR="000D07EA" w:rsidRDefault="00BE7C89">
            <w:pPr>
              <w:pStyle w:val="BodyText"/>
              <w:spacing w:before="100" w:after="100"/>
            </w:pPr>
            <w:r>
              <w:t>Standard National Photo Message (per message)</w:t>
            </w:r>
          </w:p>
        </w:tc>
        <w:tc>
          <w:tcPr>
            <w:tcW w:w="2500" w:type="pct"/>
          </w:tcPr>
          <w:p w14:paraId="71F5AD13" w14:textId="77777777" w:rsidR="000D07EA" w:rsidRDefault="00BE7C89">
            <w:pPr>
              <w:pStyle w:val="BodyText"/>
              <w:spacing w:before="100" w:after="100"/>
              <w:jc w:val="center"/>
            </w:pPr>
            <w:r>
              <w:t>$0.50</w:t>
            </w:r>
          </w:p>
        </w:tc>
      </w:tr>
      <w:tr w:rsidR="000D07EA" w14:paraId="5FCF58A0" w14:textId="77777777">
        <w:trPr>
          <w:cantSplit/>
        </w:trPr>
        <w:tc>
          <w:tcPr>
            <w:tcW w:w="2500" w:type="pct"/>
          </w:tcPr>
          <w:p w14:paraId="3425AFE8" w14:textId="77777777" w:rsidR="000D07EA" w:rsidRDefault="00BE7C89">
            <w:pPr>
              <w:pStyle w:val="BodyText"/>
              <w:spacing w:before="100" w:after="100"/>
            </w:pPr>
            <w:r>
              <w:t>Standard National Video Calling (per minute)</w:t>
            </w:r>
          </w:p>
        </w:tc>
        <w:tc>
          <w:tcPr>
            <w:tcW w:w="2500" w:type="pct"/>
          </w:tcPr>
          <w:p w14:paraId="24DA2522" w14:textId="77777777" w:rsidR="000D07EA" w:rsidRDefault="00BE7C89">
            <w:pPr>
              <w:pStyle w:val="BodyText"/>
              <w:spacing w:before="100" w:after="100"/>
              <w:jc w:val="center"/>
            </w:pPr>
            <w:r>
              <w:t>$1.00</w:t>
            </w:r>
          </w:p>
        </w:tc>
      </w:tr>
      <w:tr w:rsidR="000D07EA" w14:paraId="771346F7" w14:textId="77777777">
        <w:trPr>
          <w:cantSplit/>
        </w:trPr>
        <w:tc>
          <w:tcPr>
            <w:tcW w:w="2500" w:type="pct"/>
          </w:tcPr>
          <w:p w14:paraId="3087D2B5" w14:textId="77777777" w:rsidR="000D07EA" w:rsidRDefault="00BE7C89">
            <w:pPr>
              <w:pStyle w:val="BodyText"/>
              <w:spacing w:before="100" w:after="100"/>
              <w:rPr>
                <w:i/>
                <w:iCs/>
              </w:rPr>
            </w:pPr>
            <w:r>
              <w:rPr>
                <w:i/>
                <w:iCs/>
              </w:rPr>
              <w:t xml:space="preserve">Flagfall </w:t>
            </w:r>
            <w:r>
              <w:t>for Standard National Video Calls (per call)</w:t>
            </w:r>
          </w:p>
        </w:tc>
        <w:tc>
          <w:tcPr>
            <w:tcW w:w="2500" w:type="pct"/>
          </w:tcPr>
          <w:p w14:paraId="65AB48C3" w14:textId="77777777" w:rsidR="000D07EA" w:rsidRDefault="00BE7C89">
            <w:pPr>
              <w:pStyle w:val="BodyText"/>
              <w:spacing w:before="100" w:after="100"/>
              <w:jc w:val="center"/>
            </w:pPr>
            <w:r>
              <w:t>$0.35</w:t>
            </w:r>
          </w:p>
        </w:tc>
      </w:tr>
      <w:tr w:rsidR="000D07EA" w14:paraId="51B871FE" w14:textId="77777777">
        <w:trPr>
          <w:cantSplit/>
        </w:trPr>
        <w:tc>
          <w:tcPr>
            <w:tcW w:w="2500" w:type="pct"/>
          </w:tcPr>
          <w:p w14:paraId="399661AD" w14:textId="77777777" w:rsidR="000D07EA" w:rsidRDefault="00BE7C89">
            <w:pPr>
              <w:pStyle w:val="BodyText"/>
              <w:spacing w:before="100" w:after="100"/>
              <w:rPr>
                <w:i/>
                <w:iCs/>
              </w:rPr>
            </w:pPr>
            <w:r>
              <w:rPr>
                <w:iCs/>
              </w:rPr>
              <w:t>13/1300 Calls</w:t>
            </w:r>
          </w:p>
        </w:tc>
        <w:tc>
          <w:tcPr>
            <w:tcW w:w="2500" w:type="pct"/>
          </w:tcPr>
          <w:p w14:paraId="592DEBB5" w14:textId="77777777" w:rsidR="000D07EA" w:rsidRDefault="00BE7C89">
            <w:pPr>
              <w:pStyle w:val="BodyText"/>
              <w:spacing w:before="100" w:after="100"/>
              <w:jc w:val="center"/>
            </w:pPr>
            <w:r>
              <w:t>$0.90 per min plus 35c flagfall</w:t>
            </w:r>
          </w:p>
        </w:tc>
      </w:tr>
      <w:tr w:rsidR="000D07EA" w14:paraId="7753EB4E" w14:textId="77777777">
        <w:trPr>
          <w:cantSplit/>
        </w:trPr>
        <w:tc>
          <w:tcPr>
            <w:tcW w:w="2500" w:type="pct"/>
          </w:tcPr>
          <w:p w14:paraId="2BFA050D" w14:textId="77777777" w:rsidR="000D07EA" w:rsidRDefault="00BE7C89">
            <w:pPr>
              <w:pStyle w:val="BodyText"/>
              <w:spacing w:before="100" w:after="100"/>
              <w:rPr>
                <w:iCs/>
              </w:rPr>
            </w:pPr>
            <w:r>
              <w:rPr>
                <w:iCs/>
              </w:rPr>
              <w:t>International Rates</w:t>
            </w:r>
          </w:p>
        </w:tc>
        <w:tc>
          <w:tcPr>
            <w:tcW w:w="2500" w:type="pct"/>
          </w:tcPr>
          <w:p w14:paraId="31A08D27" w14:textId="77777777" w:rsidR="000D07EA" w:rsidRDefault="00BE7C89">
            <w:pPr>
              <w:pStyle w:val="BodyText"/>
              <w:spacing w:before="100" w:after="100"/>
              <w:jc w:val="center"/>
            </w:pPr>
            <w:r>
              <w:t xml:space="preserve">'yes' Business International Call Rates (see </w:t>
            </w:r>
            <w:hyperlink r:id="rId430" w:history="1">
              <w:r>
                <w:rPr>
                  <w:rStyle w:val="Hyperlink"/>
                  <w:i/>
                </w:rPr>
                <w:t>Appendix J</w:t>
              </w:r>
            </w:hyperlink>
            <w:r>
              <w:t>)</w:t>
            </w:r>
          </w:p>
        </w:tc>
      </w:tr>
      <w:tr w:rsidR="000D07EA" w14:paraId="12476332" w14:textId="77777777">
        <w:trPr>
          <w:cantSplit/>
        </w:trPr>
        <w:tc>
          <w:tcPr>
            <w:tcW w:w="2500" w:type="pct"/>
          </w:tcPr>
          <w:p w14:paraId="6976FCE1" w14:textId="77777777" w:rsidR="000D07EA" w:rsidRDefault="00BE7C89">
            <w:pPr>
              <w:pStyle w:val="BodyText"/>
              <w:spacing w:before="100" w:after="100"/>
              <w:rPr>
                <w:i/>
                <w:iCs/>
              </w:rPr>
            </w:pPr>
            <w:r>
              <w:t>International Video call charges</w:t>
            </w:r>
          </w:p>
        </w:tc>
        <w:tc>
          <w:tcPr>
            <w:tcW w:w="2500" w:type="pct"/>
          </w:tcPr>
          <w:p w14:paraId="14D03329" w14:textId="77777777" w:rsidR="000D07EA" w:rsidRDefault="00BE7C89">
            <w:pPr>
              <w:pStyle w:val="BodyText"/>
              <w:spacing w:before="100" w:after="100"/>
              <w:jc w:val="center"/>
            </w:pPr>
            <w:r>
              <w:rPr>
                <w:lang w:val="sv-SE"/>
              </w:rPr>
              <w:t>$1.50 per min plus 35c flagfall</w:t>
            </w:r>
          </w:p>
        </w:tc>
      </w:tr>
      <w:tr w:rsidR="000D07EA" w14:paraId="2B954ACC" w14:textId="77777777">
        <w:trPr>
          <w:cantSplit/>
        </w:trPr>
        <w:tc>
          <w:tcPr>
            <w:tcW w:w="2500" w:type="pct"/>
          </w:tcPr>
          <w:p w14:paraId="57B52A96" w14:textId="77777777" w:rsidR="000D07EA" w:rsidRDefault="00BE7C89">
            <w:pPr>
              <w:pStyle w:val="BodyText"/>
              <w:spacing w:before="100" w:after="100"/>
              <w:rPr>
                <w:i/>
                <w:iCs/>
              </w:rPr>
            </w:pPr>
            <w:r>
              <w:t>International SMS (per message)</w:t>
            </w:r>
          </w:p>
        </w:tc>
        <w:tc>
          <w:tcPr>
            <w:tcW w:w="2500" w:type="pct"/>
          </w:tcPr>
          <w:p w14:paraId="5C2FA9E3" w14:textId="77777777" w:rsidR="000D07EA" w:rsidRDefault="00BE7C89">
            <w:pPr>
              <w:pStyle w:val="BodyText"/>
              <w:spacing w:before="100" w:after="100"/>
              <w:jc w:val="center"/>
            </w:pPr>
            <w:r>
              <w:t>$0.50</w:t>
            </w:r>
          </w:p>
        </w:tc>
      </w:tr>
      <w:tr w:rsidR="000D07EA" w14:paraId="37C5D067" w14:textId="77777777">
        <w:trPr>
          <w:cantSplit/>
        </w:trPr>
        <w:tc>
          <w:tcPr>
            <w:tcW w:w="2500" w:type="pct"/>
          </w:tcPr>
          <w:p w14:paraId="19634C14" w14:textId="77777777" w:rsidR="000D07EA" w:rsidRDefault="00BE7C89">
            <w:pPr>
              <w:pStyle w:val="BodyText"/>
              <w:spacing w:before="100" w:after="100"/>
              <w:rPr>
                <w:i/>
                <w:iCs/>
              </w:rPr>
            </w:pPr>
            <w:r>
              <w:t>International MMS (per message)</w:t>
            </w:r>
          </w:p>
        </w:tc>
        <w:tc>
          <w:tcPr>
            <w:tcW w:w="2500" w:type="pct"/>
          </w:tcPr>
          <w:p w14:paraId="116A582F" w14:textId="77777777" w:rsidR="000D07EA" w:rsidRDefault="00BE7C89">
            <w:pPr>
              <w:pStyle w:val="BodyText"/>
              <w:spacing w:before="100" w:after="100"/>
              <w:jc w:val="center"/>
            </w:pPr>
            <w:r>
              <w:t>$0.75</w:t>
            </w:r>
          </w:p>
        </w:tc>
      </w:tr>
      <w:tr w:rsidR="000D07EA" w14:paraId="241BAC44" w14:textId="77777777">
        <w:trPr>
          <w:cantSplit/>
        </w:trPr>
        <w:tc>
          <w:tcPr>
            <w:tcW w:w="2500" w:type="pct"/>
          </w:tcPr>
          <w:p w14:paraId="3AD8C447" w14:textId="77777777" w:rsidR="000D07EA" w:rsidRDefault="00BE7C89">
            <w:pPr>
              <w:pStyle w:val="BodyText"/>
              <w:spacing w:before="100" w:after="100"/>
            </w:pPr>
            <w:r>
              <w:t>Your Choice Of Data Option to use within Australia:</w:t>
            </w:r>
          </w:p>
        </w:tc>
        <w:tc>
          <w:tcPr>
            <w:tcW w:w="2500" w:type="pct"/>
          </w:tcPr>
          <w:p w14:paraId="28EEAEDD" w14:textId="77777777" w:rsidR="000D07EA" w:rsidRDefault="00BE7C89">
            <w:pPr>
              <w:pStyle w:val="BodyText"/>
              <w:spacing w:before="100" w:after="100"/>
              <w:jc w:val="center"/>
            </w:pPr>
            <w:r>
              <w:t>200MB of Mobile Internet Data</w:t>
            </w:r>
          </w:p>
          <w:p w14:paraId="67B70A4E" w14:textId="77777777" w:rsidR="000D07EA" w:rsidRDefault="00BE7C89">
            <w:pPr>
              <w:pStyle w:val="BodyText"/>
              <w:spacing w:before="100" w:after="100"/>
              <w:jc w:val="center"/>
            </w:pPr>
            <w:r>
              <w:t>OR</w:t>
            </w:r>
          </w:p>
          <w:p w14:paraId="7413511D" w14:textId="77777777" w:rsidR="000D07EA" w:rsidRDefault="00BE7C89">
            <w:pPr>
              <w:pStyle w:val="BodyText"/>
              <w:spacing w:before="100" w:after="100"/>
              <w:jc w:val="center"/>
            </w:pPr>
            <w:r>
              <w:t>Unlimited BlackBerry POP3 Email and Browsing through the BlackBerry Browser</w:t>
            </w:r>
          </w:p>
        </w:tc>
      </w:tr>
      <w:tr w:rsidR="000D07EA" w14:paraId="20E6A53E" w14:textId="77777777">
        <w:trPr>
          <w:cantSplit/>
        </w:trPr>
        <w:tc>
          <w:tcPr>
            <w:tcW w:w="2500" w:type="pct"/>
          </w:tcPr>
          <w:p w14:paraId="54AC6160" w14:textId="77777777" w:rsidR="000D07EA" w:rsidRDefault="00BE7C89">
            <w:pPr>
              <w:pStyle w:val="BodyText"/>
              <w:spacing w:before="100" w:after="100"/>
            </w:pPr>
            <w:r>
              <w:t>Mobile Internet Data Excess Usage</w:t>
            </w:r>
          </w:p>
        </w:tc>
        <w:tc>
          <w:tcPr>
            <w:tcW w:w="2500" w:type="pct"/>
          </w:tcPr>
          <w:p w14:paraId="74209450" w14:textId="77777777" w:rsidR="000D07EA" w:rsidRDefault="00BE7C89">
            <w:pPr>
              <w:pStyle w:val="BodyText"/>
              <w:spacing w:before="100" w:after="100"/>
              <w:jc w:val="center"/>
            </w:pPr>
            <w:r>
              <w:t>$0.10 per MB</w:t>
            </w:r>
          </w:p>
        </w:tc>
      </w:tr>
      <w:tr w:rsidR="000D07EA" w14:paraId="59815FFC" w14:textId="77777777">
        <w:trPr>
          <w:cantSplit/>
        </w:trPr>
        <w:tc>
          <w:tcPr>
            <w:tcW w:w="2500" w:type="pct"/>
          </w:tcPr>
          <w:p w14:paraId="4B5E0FD1" w14:textId="77777777" w:rsidR="000D07EA" w:rsidRDefault="00BE7C89">
            <w:pPr>
              <w:pStyle w:val="BodyText"/>
              <w:spacing w:before="100" w:after="100"/>
            </w:pPr>
            <w:r>
              <w:t xml:space="preserve">Other call charges </w:t>
            </w:r>
          </w:p>
        </w:tc>
        <w:tc>
          <w:tcPr>
            <w:tcW w:w="2500" w:type="pct"/>
          </w:tcPr>
          <w:p w14:paraId="7291AC06" w14:textId="77777777" w:rsidR="000D07EA" w:rsidRDefault="00BE7C89">
            <w:pPr>
              <w:pStyle w:val="BodyText"/>
              <w:spacing w:before="100" w:after="100"/>
              <w:jc w:val="center"/>
            </w:pPr>
            <w:r>
              <w:t xml:space="preserve">See Section 1 of the </w:t>
            </w:r>
            <w:r>
              <w:rPr>
                <w:i/>
                <w:iCs/>
              </w:rPr>
              <w:t>standard pricing table</w:t>
            </w:r>
            <w:r>
              <w:t xml:space="preserve"> and </w:t>
            </w:r>
            <w:hyperlink r:id="rId431" w:history="1">
              <w:r>
                <w:rPr>
                  <w:rStyle w:val="Hyperlink"/>
                  <w:i/>
                </w:rPr>
                <w:t>Appendix Y</w:t>
              </w:r>
            </w:hyperlink>
            <w:r>
              <w:t xml:space="preserve"> (Value Added Service Features)</w:t>
            </w:r>
          </w:p>
        </w:tc>
      </w:tr>
      <w:tr w:rsidR="000D07EA" w14:paraId="1DFC731A" w14:textId="77777777">
        <w:trPr>
          <w:cantSplit/>
        </w:trPr>
        <w:tc>
          <w:tcPr>
            <w:tcW w:w="2500" w:type="pct"/>
          </w:tcPr>
          <w:p w14:paraId="534C1F7C" w14:textId="77777777" w:rsidR="000D07EA" w:rsidRDefault="00BE7C89">
            <w:pPr>
              <w:pStyle w:val="BodyText"/>
              <w:spacing w:before="100" w:after="100"/>
            </w:pPr>
            <w:r>
              <w:t xml:space="preserve">Other conditions </w:t>
            </w:r>
          </w:p>
        </w:tc>
        <w:tc>
          <w:tcPr>
            <w:tcW w:w="2500" w:type="pct"/>
          </w:tcPr>
          <w:p w14:paraId="2A60C931" w14:textId="77777777" w:rsidR="000D07EA" w:rsidRDefault="00BE7C89">
            <w:pPr>
              <w:pStyle w:val="BodyText"/>
              <w:spacing w:before="100" w:after="100"/>
              <w:jc w:val="center"/>
            </w:pPr>
            <w:r>
              <w:t>Fair Go Policy (</w:t>
            </w:r>
            <w:hyperlink r:id="rId432" w:history="1">
              <w:r>
                <w:rPr>
                  <w:rStyle w:val="Hyperlink"/>
                  <w:i/>
                </w:rPr>
                <w:t>Appendix S</w:t>
              </w:r>
            </w:hyperlink>
            <w:r>
              <w:t>) applies.</w:t>
            </w:r>
          </w:p>
          <w:p w14:paraId="5E131AEA" w14:textId="77777777" w:rsidR="000D07EA" w:rsidRDefault="00BE7C89">
            <w:pPr>
              <w:pStyle w:val="BodyText"/>
              <w:spacing w:before="100" w:after="100"/>
              <w:jc w:val="center"/>
            </w:pPr>
            <w:r>
              <w:t xml:space="preserve">Please refer to </w:t>
            </w:r>
            <w:hyperlink r:id="rId433" w:history="1">
              <w:r w:rsidR="008D6257">
                <w:rPr>
                  <w:rStyle w:val="Hyperlink"/>
                  <w:i/>
                </w:rPr>
                <w:t>Appendix S</w:t>
              </w:r>
            </w:hyperlink>
          </w:p>
        </w:tc>
      </w:tr>
      <w:tr w:rsidR="000D07EA" w14:paraId="1B08A036" w14:textId="77777777">
        <w:trPr>
          <w:cantSplit/>
        </w:trPr>
        <w:tc>
          <w:tcPr>
            <w:tcW w:w="2500" w:type="pct"/>
          </w:tcPr>
          <w:p w14:paraId="78D87C17" w14:textId="77777777" w:rsidR="000D07EA" w:rsidRDefault="00BE7C89">
            <w:pPr>
              <w:pStyle w:val="BodyText"/>
              <w:spacing w:before="100" w:after="100"/>
            </w:pPr>
            <w:r>
              <w:t>Available on Non Fixed Contract (Month to Month)</w:t>
            </w:r>
          </w:p>
        </w:tc>
        <w:tc>
          <w:tcPr>
            <w:tcW w:w="2500" w:type="pct"/>
          </w:tcPr>
          <w:p w14:paraId="241D81C8" w14:textId="77777777" w:rsidR="000D07EA" w:rsidRDefault="00BE7C89">
            <w:pPr>
              <w:pStyle w:val="BodyText"/>
              <w:spacing w:before="100" w:after="100"/>
              <w:jc w:val="center"/>
            </w:pPr>
            <w:r>
              <w:t>Yes</w:t>
            </w:r>
          </w:p>
        </w:tc>
      </w:tr>
      <w:tr w:rsidR="000D07EA" w14:paraId="1F50F7B8" w14:textId="77777777">
        <w:trPr>
          <w:cantSplit/>
        </w:trPr>
        <w:tc>
          <w:tcPr>
            <w:tcW w:w="2500" w:type="pct"/>
          </w:tcPr>
          <w:p w14:paraId="34F70731" w14:textId="77777777" w:rsidR="000D07EA" w:rsidRDefault="00BE7C89">
            <w:pPr>
              <w:pStyle w:val="BodyText"/>
              <w:spacing w:before="100" w:after="100"/>
            </w:pPr>
            <w:r>
              <w:t>Available on a Fixed Term Contract (12 or 24 Months)</w:t>
            </w:r>
          </w:p>
        </w:tc>
        <w:tc>
          <w:tcPr>
            <w:tcW w:w="2500" w:type="pct"/>
          </w:tcPr>
          <w:p w14:paraId="03DBB8E6" w14:textId="77777777" w:rsidR="000D07EA" w:rsidRDefault="00BE7C89">
            <w:pPr>
              <w:pStyle w:val="BodyText"/>
              <w:spacing w:before="100" w:after="100"/>
              <w:jc w:val="center"/>
            </w:pPr>
            <w:r>
              <w:t>Yes</w:t>
            </w:r>
          </w:p>
        </w:tc>
      </w:tr>
      <w:tr w:rsidR="000D07EA" w14:paraId="05D105E7" w14:textId="77777777">
        <w:trPr>
          <w:cantSplit/>
        </w:trPr>
        <w:tc>
          <w:tcPr>
            <w:tcW w:w="2500" w:type="pct"/>
          </w:tcPr>
          <w:p w14:paraId="003C0F1C" w14:textId="77777777" w:rsidR="000D07EA" w:rsidRDefault="00BE7C89">
            <w:pPr>
              <w:pStyle w:val="BodyText"/>
              <w:spacing w:before="100" w:after="100"/>
            </w:pPr>
            <w:r>
              <w:t xml:space="preserve">Minimum Total Cost of the $29 Business Complete Plan over a 24 month </w:t>
            </w:r>
            <w:r>
              <w:rPr>
                <w:i/>
                <w:iCs/>
              </w:rPr>
              <w:t>minimum term</w:t>
            </w:r>
          </w:p>
        </w:tc>
        <w:tc>
          <w:tcPr>
            <w:tcW w:w="2500" w:type="pct"/>
          </w:tcPr>
          <w:p w14:paraId="1B1C60AB" w14:textId="77777777" w:rsidR="000D07EA" w:rsidRDefault="00BE7C89">
            <w:pPr>
              <w:pStyle w:val="BodyText"/>
              <w:spacing w:before="100" w:after="100"/>
              <w:jc w:val="center"/>
            </w:pPr>
            <w:r>
              <w:t>$696</w:t>
            </w:r>
          </w:p>
          <w:p w14:paraId="2AB53C24" w14:textId="77777777" w:rsidR="000D07EA" w:rsidRDefault="00BE7C89">
            <w:pPr>
              <w:pStyle w:val="BodyText"/>
              <w:spacing w:before="100" w:after="100"/>
              <w:jc w:val="center"/>
            </w:pPr>
            <w:r>
              <w:t xml:space="preserve">(plus the cost of </w:t>
            </w:r>
            <w:r>
              <w:rPr>
                <w:i/>
                <w:iCs/>
              </w:rPr>
              <w:t xml:space="preserve">equipment charges </w:t>
            </w:r>
            <w:r>
              <w:t xml:space="preserve">for any </w:t>
            </w:r>
            <w:r>
              <w:rPr>
                <w:i/>
                <w:iCs/>
              </w:rPr>
              <w:t xml:space="preserve">mobile phone you </w:t>
            </w:r>
            <w:r>
              <w:t>purchase from us, if any)</w:t>
            </w:r>
          </w:p>
        </w:tc>
      </w:tr>
      <w:tr w:rsidR="000D07EA" w14:paraId="1A2A67D5" w14:textId="77777777">
        <w:trPr>
          <w:cantSplit/>
        </w:trPr>
        <w:tc>
          <w:tcPr>
            <w:tcW w:w="2500" w:type="pct"/>
          </w:tcPr>
          <w:p w14:paraId="3EDC13B5" w14:textId="77777777" w:rsidR="000D07EA" w:rsidRDefault="00BE7C89">
            <w:pPr>
              <w:pStyle w:val="BodyText"/>
              <w:spacing w:before="100" w:after="100"/>
            </w:pPr>
            <w:r>
              <w:lastRenderedPageBreak/>
              <w:t xml:space="preserve">Minimum Total Cost of the $29 Business Complete Plan over a 12 month </w:t>
            </w:r>
            <w:r>
              <w:rPr>
                <w:i/>
                <w:iCs/>
              </w:rPr>
              <w:t>minimum term</w:t>
            </w:r>
          </w:p>
        </w:tc>
        <w:tc>
          <w:tcPr>
            <w:tcW w:w="2500" w:type="pct"/>
          </w:tcPr>
          <w:p w14:paraId="1BECE7B7" w14:textId="77777777" w:rsidR="000D07EA" w:rsidRDefault="00BE7C89">
            <w:pPr>
              <w:pStyle w:val="BodyText"/>
              <w:spacing w:before="100" w:after="100"/>
              <w:jc w:val="center"/>
            </w:pPr>
            <w:r>
              <w:t>$348</w:t>
            </w:r>
          </w:p>
          <w:p w14:paraId="6A820C9A" w14:textId="77777777" w:rsidR="000D07EA" w:rsidRDefault="00BE7C89">
            <w:pPr>
              <w:pStyle w:val="BodyText"/>
              <w:spacing w:before="100" w:after="100"/>
              <w:jc w:val="center"/>
            </w:pPr>
            <w:r>
              <w:t xml:space="preserve">(plus the cost of </w:t>
            </w:r>
            <w:r>
              <w:rPr>
                <w:i/>
                <w:iCs/>
              </w:rPr>
              <w:t xml:space="preserve">equipment charges </w:t>
            </w:r>
            <w:r>
              <w:t xml:space="preserve">for any </w:t>
            </w:r>
            <w:r>
              <w:rPr>
                <w:i/>
                <w:iCs/>
              </w:rPr>
              <w:t xml:space="preserve">mobile phone you </w:t>
            </w:r>
            <w:r>
              <w:t>purchase from us, if any)</w:t>
            </w:r>
          </w:p>
        </w:tc>
      </w:tr>
    </w:tbl>
    <w:p w14:paraId="67DE21D4" w14:textId="77777777" w:rsidR="000D07EA" w:rsidRDefault="000D07EA">
      <w:pPr>
        <w:pStyle w:val="BodyText"/>
      </w:pPr>
    </w:p>
    <w:p w14:paraId="4FC4BED8" w14:textId="77777777" w:rsidR="000D07EA" w:rsidRDefault="00BE7C89">
      <w:pPr>
        <w:pStyle w:val="Heading6"/>
      </w:pPr>
      <w:r>
        <w:t>What happens if the service is cancelled early?</w:t>
      </w:r>
    </w:p>
    <w:p w14:paraId="49DA55D6" w14:textId="77777777" w:rsidR="000D07EA" w:rsidRDefault="00BE7C89">
      <w:pPr>
        <w:pStyle w:val="Heading7"/>
      </w:pPr>
      <w:r>
        <w:t xml:space="preserve">If the </w:t>
      </w:r>
      <w:r>
        <w:rPr>
          <w:i/>
        </w:rPr>
        <w:t>service is cancelled</w:t>
      </w:r>
      <w:r>
        <w:t xml:space="preserve"> before the expiry of the </w:t>
      </w:r>
      <w:r>
        <w:rPr>
          <w:i/>
        </w:rPr>
        <w:t>minimum term</w:t>
      </w:r>
      <w:r>
        <w:t xml:space="preserve">, </w:t>
      </w:r>
      <w:r>
        <w:rPr>
          <w:i/>
        </w:rPr>
        <w:t>you</w:t>
      </w:r>
      <w:r>
        <w:t xml:space="preserve"> will be required to pay </w:t>
      </w:r>
      <w:r>
        <w:rPr>
          <w:i/>
        </w:rPr>
        <w:t>us</w:t>
      </w:r>
      <w:r>
        <w:t>:</w:t>
      </w:r>
    </w:p>
    <w:p w14:paraId="581BC5C3" w14:textId="77777777" w:rsidR="000D07EA" w:rsidRDefault="00BE7C89">
      <w:pPr>
        <w:pStyle w:val="Heading8"/>
      </w:pPr>
      <w:r>
        <w:t xml:space="preserve">any usage charges incurred up to, and including, the </w:t>
      </w:r>
      <w:r>
        <w:rPr>
          <w:i/>
        </w:rPr>
        <w:t>cancellation date</w:t>
      </w:r>
      <w:r>
        <w:t xml:space="preserve">; plus </w:t>
      </w:r>
    </w:p>
    <w:p w14:paraId="3C7EAD92" w14:textId="77777777" w:rsidR="000D07EA" w:rsidRDefault="00BE7C89">
      <w:pPr>
        <w:pStyle w:val="Heading8"/>
      </w:pPr>
      <w:r>
        <w:t xml:space="preserve">the </w:t>
      </w:r>
      <w:r>
        <w:rPr>
          <w:i/>
        </w:rPr>
        <w:t>cancellation fee</w:t>
      </w:r>
      <w:r>
        <w:t xml:space="preserve"> set in paragraph </w:t>
      </w:r>
      <w:r>
        <w:fldChar w:fldCharType="begin"/>
      </w:r>
      <w:r>
        <w:instrText xml:space="preserve"> REF _Ref461552521 \n \h </w:instrText>
      </w:r>
      <w:r>
        <w:fldChar w:fldCharType="separate"/>
      </w:r>
      <w:r w:rsidR="0004083A">
        <w:t>(b)</w:t>
      </w:r>
      <w:r>
        <w:fldChar w:fldCharType="end"/>
      </w:r>
      <w:r>
        <w:t xml:space="preserve"> or </w:t>
      </w:r>
      <w:r>
        <w:fldChar w:fldCharType="begin"/>
      </w:r>
      <w:r>
        <w:instrText xml:space="preserve"> REF _Ref461552529 \n \h </w:instrText>
      </w:r>
      <w:r>
        <w:fldChar w:fldCharType="separate"/>
      </w:r>
      <w:r w:rsidR="0004083A">
        <w:t>(c)</w:t>
      </w:r>
      <w:r>
        <w:fldChar w:fldCharType="end"/>
      </w:r>
      <w:r>
        <w:t xml:space="preserve"> below (unless under clause 2A of the </w:t>
      </w:r>
      <w:hyperlink r:id="rId434" w:history="1">
        <w:r>
          <w:rPr>
            <w:rStyle w:val="Hyperlink"/>
            <w:i/>
          </w:rPr>
          <w:t>SMB terms</w:t>
        </w:r>
      </w:hyperlink>
      <w:r>
        <w:t xml:space="preserve">, </w:t>
      </w:r>
      <w:r>
        <w:rPr>
          <w:i/>
        </w:rPr>
        <w:t>you</w:t>
      </w:r>
      <w:r>
        <w:t xml:space="preserve"> are entitled to </w:t>
      </w:r>
      <w:r>
        <w:rPr>
          <w:i/>
        </w:rPr>
        <w:t>cancel the service</w:t>
      </w:r>
      <w:r>
        <w:t xml:space="preserve"> without incurring a </w:t>
      </w:r>
      <w:r>
        <w:rPr>
          <w:i/>
        </w:rPr>
        <w:t>cancellation fee</w:t>
      </w:r>
      <w:r>
        <w:t xml:space="preserve">); plus </w:t>
      </w:r>
    </w:p>
    <w:p w14:paraId="62D58ACF" w14:textId="77777777" w:rsidR="000D07EA" w:rsidRDefault="00BE7C89">
      <w:pPr>
        <w:pStyle w:val="Heading8"/>
      </w:pPr>
      <w:r>
        <w:t xml:space="preserve">the sum of unpaid </w:t>
      </w:r>
      <w:r>
        <w:rPr>
          <w:i/>
        </w:rPr>
        <w:t>equipment charges</w:t>
      </w:r>
      <w:r>
        <w:t xml:space="preserve"> owing on </w:t>
      </w:r>
      <w:r>
        <w:rPr>
          <w:i/>
        </w:rPr>
        <w:t>your mobile phone</w:t>
      </w:r>
      <w:r>
        <w:t xml:space="preserve"> under the </w:t>
      </w:r>
      <w:r>
        <w:rPr>
          <w:i/>
        </w:rPr>
        <w:t>mobile equipment payment plan</w:t>
      </w:r>
      <w:r>
        <w:t xml:space="preserve"> (if any).</w:t>
      </w:r>
    </w:p>
    <w:p w14:paraId="353B200F" w14:textId="77777777" w:rsidR="000D07EA" w:rsidRDefault="00BE7C89">
      <w:pPr>
        <w:pStyle w:val="Heading7"/>
      </w:pPr>
      <w:bookmarkStart w:id="594" w:name="_Ref461552521"/>
      <w:r>
        <w:t xml:space="preserve">The </w:t>
      </w:r>
      <w:r>
        <w:rPr>
          <w:i/>
        </w:rPr>
        <w:t>cancellation fee</w:t>
      </w:r>
      <w:r>
        <w:t xml:space="preserve"> for a 12 Month Contract is calculated as a fixed amount if the </w:t>
      </w:r>
      <w:r>
        <w:rPr>
          <w:i/>
        </w:rPr>
        <w:t>service</w:t>
      </w:r>
      <w:r>
        <w:t xml:space="preserve"> is </w:t>
      </w:r>
      <w:r>
        <w:rPr>
          <w:i/>
        </w:rPr>
        <w:t>cancelled</w:t>
      </w:r>
      <w:r>
        <w:t xml:space="preserve"> during the first 6 months of the </w:t>
      </w:r>
      <w:r>
        <w:rPr>
          <w:i/>
        </w:rPr>
        <w:t>minimum term</w:t>
      </w:r>
      <w:r>
        <w:t xml:space="preserve"> and then a pro-rata reduction of that fee (indicated as a percentage in brackets in the first column of the table below) if the </w:t>
      </w:r>
      <w:r>
        <w:rPr>
          <w:i/>
        </w:rPr>
        <w:t>service</w:t>
      </w:r>
      <w:r>
        <w:t xml:space="preserve"> is </w:t>
      </w:r>
      <w:r>
        <w:rPr>
          <w:i/>
        </w:rPr>
        <w:t>cancelled</w:t>
      </w:r>
      <w:r>
        <w:t xml:space="preserve"> during the last six months of the minimum term.</w:t>
      </w:r>
      <w:bookmarkEnd w:id="594"/>
    </w:p>
    <w:p w14:paraId="3849B8C4" w14:textId="77777777" w:rsidR="000D07EA" w:rsidRDefault="00BE7C89">
      <w:pPr>
        <w:pStyle w:val="Heading7"/>
      </w:pPr>
      <w:bookmarkStart w:id="595" w:name="_Ref461552529"/>
      <w:r>
        <w:t xml:space="preserve">The </w:t>
      </w:r>
      <w:r>
        <w:rPr>
          <w:i/>
        </w:rPr>
        <w:t>cancellation fee</w:t>
      </w:r>
      <w:r>
        <w:t xml:space="preserve"> for a 24 Month Contract is calculated as a fixed amount if the </w:t>
      </w:r>
      <w:r>
        <w:rPr>
          <w:i/>
        </w:rPr>
        <w:t>service</w:t>
      </w:r>
      <w:r>
        <w:t xml:space="preserve"> is </w:t>
      </w:r>
      <w:r>
        <w:rPr>
          <w:i/>
        </w:rPr>
        <w:t>cancelled</w:t>
      </w:r>
      <w:r>
        <w:t xml:space="preserve"> during the first 12 months of the </w:t>
      </w:r>
      <w:r>
        <w:rPr>
          <w:i/>
        </w:rPr>
        <w:t>minimum term</w:t>
      </w:r>
      <w:r>
        <w:t xml:space="preserve"> and then a pro-rata reduction of that fee (indicated as a percentage in brackets in the first column of the table below) if the </w:t>
      </w:r>
      <w:r>
        <w:rPr>
          <w:i/>
        </w:rPr>
        <w:t>service</w:t>
      </w:r>
      <w:r>
        <w:t xml:space="preserve"> is </w:t>
      </w:r>
      <w:r>
        <w:rPr>
          <w:i/>
        </w:rPr>
        <w:t>cancelled</w:t>
      </w:r>
      <w:r>
        <w:t xml:space="preserve"> during the second year of the </w:t>
      </w:r>
      <w:r>
        <w:rPr>
          <w:i/>
        </w:rPr>
        <w:t>minimum term</w:t>
      </w:r>
      <w:r>
        <w:t>.</w:t>
      </w:r>
      <w:bookmarkEnd w:id="595"/>
    </w:p>
    <w:p w14:paraId="7F41FE75" w14:textId="77777777" w:rsidR="000D07EA" w:rsidRDefault="00BE7C89">
      <w:pPr>
        <w:pStyle w:val="BodyText"/>
        <w:keepNext/>
        <w:ind w:left="720"/>
        <w:rPr>
          <w:b/>
        </w:rPr>
      </w:pPr>
      <w:r>
        <w:rPr>
          <w:b/>
        </w:rPr>
        <w:t>Table 4A - Cancellation Fee</w:t>
      </w:r>
    </w:p>
    <w:tbl>
      <w:tblPr>
        <w:tblW w:w="4646" w:type="pct"/>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33"/>
        <w:gridCol w:w="4734"/>
      </w:tblGrid>
      <w:tr w:rsidR="000D07EA" w14:paraId="4DF13645" w14:textId="77777777">
        <w:tc>
          <w:tcPr>
            <w:tcW w:w="2500" w:type="pct"/>
          </w:tcPr>
          <w:p w14:paraId="21CBC4BE" w14:textId="77777777" w:rsidR="000D07EA" w:rsidRDefault="00BE7C89">
            <w:pPr>
              <w:pStyle w:val="BodyText"/>
              <w:keepNext/>
              <w:spacing w:before="100" w:after="100"/>
              <w:rPr>
                <w:b/>
              </w:rPr>
            </w:pPr>
            <w:r>
              <w:rPr>
                <w:b/>
              </w:rPr>
              <w:t xml:space="preserve">When the </w:t>
            </w:r>
            <w:r>
              <w:rPr>
                <w:b/>
                <w:i/>
              </w:rPr>
              <w:t>service</w:t>
            </w:r>
            <w:r>
              <w:rPr>
                <w:b/>
              </w:rPr>
              <w:t xml:space="preserve"> is </w:t>
            </w:r>
            <w:r>
              <w:rPr>
                <w:b/>
                <w:i/>
              </w:rPr>
              <w:t>cancelled</w:t>
            </w:r>
          </w:p>
        </w:tc>
        <w:tc>
          <w:tcPr>
            <w:tcW w:w="2500" w:type="pct"/>
          </w:tcPr>
          <w:p w14:paraId="214778C7" w14:textId="77777777" w:rsidR="000D07EA" w:rsidRDefault="00BE7C89">
            <w:pPr>
              <w:pStyle w:val="BodyText"/>
              <w:keepNext/>
              <w:spacing w:before="100" w:after="100"/>
              <w:jc w:val="center"/>
              <w:rPr>
                <w:b/>
                <w:i/>
              </w:rPr>
            </w:pPr>
            <w:r>
              <w:rPr>
                <w:b/>
                <w:i/>
              </w:rPr>
              <w:t>Cancellation Fee</w:t>
            </w:r>
          </w:p>
        </w:tc>
      </w:tr>
      <w:tr w:rsidR="000D07EA" w14:paraId="4FBAF944" w14:textId="77777777">
        <w:tc>
          <w:tcPr>
            <w:tcW w:w="2500" w:type="pct"/>
          </w:tcPr>
          <w:p w14:paraId="39BBD5F3" w14:textId="77777777" w:rsidR="000D07EA" w:rsidRDefault="000D07EA">
            <w:pPr>
              <w:pStyle w:val="BodyText"/>
              <w:spacing w:before="100" w:after="100"/>
              <w:rPr>
                <w:b/>
              </w:rPr>
            </w:pPr>
          </w:p>
        </w:tc>
        <w:tc>
          <w:tcPr>
            <w:tcW w:w="2500" w:type="pct"/>
          </w:tcPr>
          <w:p w14:paraId="760B9FCB" w14:textId="77777777" w:rsidR="000D07EA" w:rsidRDefault="00BE7C89">
            <w:pPr>
              <w:pStyle w:val="BodyText"/>
              <w:spacing w:before="100" w:after="100"/>
              <w:jc w:val="center"/>
              <w:rPr>
                <w:b/>
              </w:rPr>
            </w:pPr>
            <w:r>
              <w:rPr>
                <w:b/>
              </w:rPr>
              <w:t>$29 Business Complete (Feb-12) Plan</w:t>
            </w:r>
          </w:p>
          <w:p w14:paraId="36FE2AC1" w14:textId="77777777" w:rsidR="000D07EA" w:rsidRDefault="00BE7C89">
            <w:pPr>
              <w:pStyle w:val="BodyText"/>
              <w:spacing w:before="100" w:after="100"/>
              <w:jc w:val="center"/>
              <w:rPr>
                <w:b/>
              </w:rPr>
            </w:pPr>
            <w:r>
              <w:rPr>
                <w:b/>
              </w:rPr>
              <w:t>12 Month Contract</w:t>
            </w:r>
          </w:p>
        </w:tc>
      </w:tr>
      <w:tr w:rsidR="000D07EA" w14:paraId="7AB99B9F" w14:textId="77777777">
        <w:tc>
          <w:tcPr>
            <w:tcW w:w="2500" w:type="pct"/>
          </w:tcPr>
          <w:p w14:paraId="52F986A9" w14:textId="77777777" w:rsidR="000D07EA" w:rsidRDefault="00BE7C89">
            <w:pPr>
              <w:pStyle w:val="BodyText"/>
              <w:spacing w:before="100" w:after="100"/>
            </w:pPr>
            <w:r>
              <w:t xml:space="preserve">During the first 6 months – Initial </w:t>
            </w:r>
            <w:r>
              <w:rPr>
                <w:i/>
              </w:rPr>
              <w:t>cancellation fee</w:t>
            </w:r>
          </w:p>
        </w:tc>
        <w:tc>
          <w:tcPr>
            <w:tcW w:w="2500" w:type="pct"/>
          </w:tcPr>
          <w:p w14:paraId="49AFDCE2" w14:textId="77777777" w:rsidR="000D07EA" w:rsidRDefault="00BE7C89">
            <w:pPr>
              <w:pStyle w:val="BodyText"/>
              <w:spacing w:before="100" w:after="100"/>
              <w:jc w:val="center"/>
            </w:pPr>
            <w:r>
              <w:t>$310</w:t>
            </w:r>
          </w:p>
        </w:tc>
      </w:tr>
      <w:tr w:rsidR="000D07EA" w14:paraId="4170D0AC" w14:textId="77777777">
        <w:tc>
          <w:tcPr>
            <w:tcW w:w="2500" w:type="pct"/>
          </w:tcPr>
          <w:p w14:paraId="3D941494" w14:textId="77777777" w:rsidR="000D07EA" w:rsidRDefault="00BE7C89">
            <w:pPr>
              <w:pStyle w:val="BodyText"/>
              <w:spacing w:before="100" w:after="100"/>
            </w:pPr>
            <w:r>
              <w:t xml:space="preserve">Months 7 - 9 (70% of Initial </w:t>
            </w:r>
            <w:r>
              <w:rPr>
                <w:i/>
              </w:rPr>
              <w:t>cancellation fee</w:t>
            </w:r>
            <w:r>
              <w:t>)</w:t>
            </w:r>
          </w:p>
        </w:tc>
        <w:tc>
          <w:tcPr>
            <w:tcW w:w="2500" w:type="pct"/>
          </w:tcPr>
          <w:p w14:paraId="74E6484E" w14:textId="77777777" w:rsidR="000D07EA" w:rsidRDefault="00BE7C89">
            <w:pPr>
              <w:pStyle w:val="BodyText"/>
              <w:spacing w:before="100" w:after="100"/>
              <w:jc w:val="center"/>
            </w:pPr>
            <w:r>
              <w:t>$217</w:t>
            </w:r>
          </w:p>
        </w:tc>
      </w:tr>
      <w:tr w:rsidR="000D07EA" w14:paraId="3A8B34C9" w14:textId="77777777">
        <w:tc>
          <w:tcPr>
            <w:tcW w:w="2500" w:type="pct"/>
          </w:tcPr>
          <w:p w14:paraId="20022589" w14:textId="77777777" w:rsidR="000D07EA" w:rsidRDefault="00BE7C89">
            <w:pPr>
              <w:pStyle w:val="BodyText"/>
              <w:spacing w:before="100" w:after="100"/>
            </w:pPr>
            <w:r>
              <w:t xml:space="preserve">Months 10 - 12 (40% of the Initial </w:t>
            </w:r>
            <w:r>
              <w:rPr>
                <w:i/>
              </w:rPr>
              <w:t>cancellation fee</w:t>
            </w:r>
            <w:r>
              <w:t>)</w:t>
            </w:r>
          </w:p>
        </w:tc>
        <w:tc>
          <w:tcPr>
            <w:tcW w:w="2500" w:type="pct"/>
          </w:tcPr>
          <w:p w14:paraId="0D66C473" w14:textId="77777777" w:rsidR="000D07EA" w:rsidRDefault="00BE7C89">
            <w:pPr>
              <w:pStyle w:val="BodyText"/>
              <w:spacing w:before="100" w:after="100"/>
              <w:jc w:val="center"/>
            </w:pPr>
            <w:r>
              <w:t>$124</w:t>
            </w:r>
          </w:p>
        </w:tc>
      </w:tr>
    </w:tbl>
    <w:p w14:paraId="0974E807" w14:textId="77777777" w:rsidR="000D07EA" w:rsidRDefault="000D07EA">
      <w:pPr>
        <w:pStyle w:val="BodyText"/>
      </w:pPr>
    </w:p>
    <w:tbl>
      <w:tblPr>
        <w:tblW w:w="4643"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4730"/>
        <w:gridCol w:w="4731"/>
      </w:tblGrid>
      <w:tr w:rsidR="000D07EA" w14:paraId="16C01A1D" w14:textId="77777777">
        <w:tc>
          <w:tcPr>
            <w:tcW w:w="2500" w:type="pct"/>
          </w:tcPr>
          <w:p w14:paraId="64F60252" w14:textId="77777777" w:rsidR="000D07EA" w:rsidRDefault="00BE7C89">
            <w:pPr>
              <w:pStyle w:val="BodyText"/>
              <w:spacing w:before="100" w:after="100"/>
              <w:rPr>
                <w:b/>
              </w:rPr>
            </w:pPr>
            <w:r>
              <w:rPr>
                <w:b/>
              </w:rPr>
              <w:t xml:space="preserve">When the </w:t>
            </w:r>
            <w:r>
              <w:rPr>
                <w:b/>
                <w:i/>
              </w:rPr>
              <w:t>service</w:t>
            </w:r>
            <w:r>
              <w:rPr>
                <w:b/>
              </w:rPr>
              <w:t xml:space="preserve"> is </w:t>
            </w:r>
            <w:r>
              <w:rPr>
                <w:b/>
                <w:i/>
              </w:rPr>
              <w:t>cancelled</w:t>
            </w:r>
          </w:p>
        </w:tc>
        <w:tc>
          <w:tcPr>
            <w:tcW w:w="2500" w:type="pct"/>
          </w:tcPr>
          <w:p w14:paraId="4CC40351" w14:textId="77777777" w:rsidR="000D07EA" w:rsidRDefault="00BE7C89">
            <w:pPr>
              <w:pStyle w:val="BodyText"/>
              <w:spacing w:before="100" w:after="100"/>
              <w:jc w:val="center"/>
              <w:rPr>
                <w:b/>
                <w:bCs/>
                <w:i/>
                <w:lang w:eastAsia="en-AU"/>
              </w:rPr>
            </w:pPr>
            <w:r>
              <w:rPr>
                <w:b/>
                <w:i/>
              </w:rPr>
              <w:t>Cancellation Fee</w:t>
            </w:r>
          </w:p>
        </w:tc>
      </w:tr>
      <w:tr w:rsidR="000D07EA" w14:paraId="0ACDD500" w14:textId="77777777">
        <w:tc>
          <w:tcPr>
            <w:tcW w:w="2500" w:type="pct"/>
          </w:tcPr>
          <w:p w14:paraId="62B67C49" w14:textId="77777777" w:rsidR="000D07EA" w:rsidRDefault="000D07EA">
            <w:pPr>
              <w:pStyle w:val="BodyText"/>
              <w:spacing w:before="100" w:after="100"/>
              <w:rPr>
                <w:b/>
              </w:rPr>
            </w:pPr>
          </w:p>
        </w:tc>
        <w:tc>
          <w:tcPr>
            <w:tcW w:w="2500" w:type="pct"/>
          </w:tcPr>
          <w:p w14:paraId="0DCAEDBD" w14:textId="77777777" w:rsidR="000D07EA" w:rsidRDefault="00BE7C89">
            <w:pPr>
              <w:pStyle w:val="BodyText"/>
              <w:spacing w:before="100" w:after="100"/>
              <w:jc w:val="center"/>
              <w:rPr>
                <w:b/>
                <w:bCs/>
                <w:lang w:eastAsia="en-AU"/>
              </w:rPr>
            </w:pPr>
            <w:r>
              <w:rPr>
                <w:b/>
              </w:rPr>
              <w:t>$29 Business Complete (Feb-12) Plan</w:t>
            </w:r>
          </w:p>
          <w:p w14:paraId="3D0F30BF" w14:textId="77777777" w:rsidR="000D07EA" w:rsidRDefault="00BE7C89">
            <w:pPr>
              <w:pStyle w:val="BodyText"/>
              <w:spacing w:before="100" w:after="100"/>
              <w:jc w:val="center"/>
              <w:rPr>
                <w:b/>
              </w:rPr>
            </w:pPr>
            <w:r>
              <w:rPr>
                <w:b/>
              </w:rPr>
              <w:t>24 Month Contract</w:t>
            </w:r>
          </w:p>
        </w:tc>
      </w:tr>
      <w:tr w:rsidR="000D07EA" w14:paraId="62B982FC" w14:textId="77777777">
        <w:tc>
          <w:tcPr>
            <w:tcW w:w="2500" w:type="pct"/>
          </w:tcPr>
          <w:p w14:paraId="15710AAA" w14:textId="77777777" w:rsidR="000D07EA" w:rsidRDefault="00BE7C89">
            <w:pPr>
              <w:pStyle w:val="BodyText"/>
              <w:spacing w:before="100" w:after="100"/>
            </w:pPr>
            <w:r>
              <w:t xml:space="preserve">During the first 12 months – Initial </w:t>
            </w:r>
            <w:r>
              <w:rPr>
                <w:i/>
              </w:rPr>
              <w:t>cancellation fee</w:t>
            </w:r>
          </w:p>
        </w:tc>
        <w:tc>
          <w:tcPr>
            <w:tcW w:w="2500" w:type="pct"/>
          </w:tcPr>
          <w:p w14:paraId="2CB2CEEF" w14:textId="77777777" w:rsidR="000D07EA" w:rsidRDefault="00BE7C89">
            <w:pPr>
              <w:pStyle w:val="BodyText"/>
              <w:spacing w:before="100" w:after="100"/>
              <w:jc w:val="center"/>
            </w:pPr>
            <w:r>
              <w:rPr>
                <w:color w:val="000000"/>
              </w:rPr>
              <w:t>$460</w:t>
            </w:r>
          </w:p>
        </w:tc>
      </w:tr>
      <w:tr w:rsidR="000D07EA" w14:paraId="1AAD4536" w14:textId="77777777">
        <w:tc>
          <w:tcPr>
            <w:tcW w:w="2500" w:type="pct"/>
          </w:tcPr>
          <w:p w14:paraId="01E2E76D" w14:textId="77777777" w:rsidR="000D07EA" w:rsidRDefault="00BE7C89">
            <w:pPr>
              <w:pStyle w:val="BodyText"/>
              <w:spacing w:before="100" w:after="100"/>
            </w:pPr>
            <w:r>
              <w:t xml:space="preserve">Months 13 - 15 (80% of Initial </w:t>
            </w:r>
            <w:r>
              <w:rPr>
                <w:i/>
              </w:rPr>
              <w:t>cancellation fee</w:t>
            </w:r>
            <w:r>
              <w:t>)</w:t>
            </w:r>
          </w:p>
        </w:tc>
        <w:tc>
          <w:tcPr>
            <w:tcW w:w="2500" w:type="pct"/>
          </w:tcPr>
          <w:p w14:paraId="78D4E6F5" w14:textId="77777777" w:rsidR="000D07EA" w:rsidRDefault="00BE7C89">
            <w:pPr>
              <w:pStyle w:val="BodyText"/>
              <w:spacing w:before="100" w:after="100"/>
              <w:jc w:val="center"/>
            </w:pPr>
            <w:r>
              <w:rPr>
                <w:color w:val="000000"/>
              </w:rPr>
              <w:t>$368</w:t>
            </w:r>
          </w:p>
        </w:tc>
      </w:tr>
      <w:tr w:rsidR="000D07EA" w14:paraId="7EC0FA11" w14:textId="77777777">
        <w:tc>
          <w:tcPr>
            <w:tcW w:w="2500" w:type="pct"/>
          </w:tcPr>
          <w:p w14:paraId="0444EAEF" w14:textId="77777777" w:rsidR="000D07EA" w:rsidRDefault="00BE7C89">
            <w:pPr>
              <w:pStyle w:val="BodyText"/>
              <w:spacing w:before="100" w:after="100"/>
            </w:pPr>
            <w:r>
              <w:t xml:space="preserve">Months 16 – 18 (60% of the Initial </w:t>
            </w:r>
            <w:r>
              <w:rPr>
                <w:i/>
              </w:rPr>
              <w:t>cancellation fee</w:t>
            </w:r>
            <w:r>
              <w:t>)</w:t>
            </w:r>
          </w:p>
        </w:tc>
        <w:tc>
          <w:tcPr>
            <w:tcW w:w="2500" w:type="pct"/>
          </w:tcPr>
          <w:p w14:paraId="62F57CC8" w14:textId="77777777" w:rsidR="000D07EA" w:rsidRDefault="00BE7C89">
            <w:pPr>
              <w:pStyle w:val="BodyText"/>
              <w:spacing w:before="100" w:after="100"/>
              <w:jc w:val="center"/>
            </w:pPr>
            <w:r>
              <w:rPr>
                <w:color w:val="000000"/>
              </w:rPr>
              <w:t>$276</w:t>
            </w:r>
          </w:p>
        </w:tc>
      </w:tr>
      <w:tr w:rsidR="000D07EA" w14:paraId="122AD671" w14:textId="77777777">
        <w:tc>
          <w:tcPr>
            <w:tcW w:w="2500" w:type="pct"/>
          </w:tcPr>
          <w:p w14:paraId="4C465037" w14:textId="77777777" w:rsidR="000D07EA" w:rsidRDefault="00BE7C89">
            <w:pPr>
              <w:pStyle w:val="BodyText"/>
              <w:spacing w:before="100" w:after="100"/>
            </w:pPr>
            <w:r>
              <w:t xml:space="preserve">Months 19 – 21 (40% of the Initial </w:t>
            </w:r>
            <w:r>
              <w:rPr>
                <w:i/>
              </w:rPr>
              <w:t>cancellation fee</w:t>
            </w:r>
            <w:r>
              <w:t>)</w:t>
            </w:r>
          </w:p>
        </w:tc>
        <w:tc>
          <w:tcPr>
            <w:tcW w:w="2500" w:type="pct"/>
          </w:tcPr>
          <w:p w14:paraId="40803981" w14:textId="77777777" w:rsidR="000D07EA" w:rsidRDefault="00BE7C89">
            <w:pPr>
              <w:pStyle w:val="BodyText"/>
              <w:spacing w:before="100" w:after="100"/>
              <w:jc w:val="center"/>
            </w:pPr>
            <w:r>
              <w:rPr>
                <w:color w:val="000000"/>
              </w:rPr>
              <w:t>$184</w:t>
            </w:r>
          </w:p>
        </w:tc>
      </w:tr>
      <w:tr w:rsidR="000D07EA" w14:paraId="0880DA3B" w14:textId="77777777">
        <w:tc>
          <w:tcPr>
            <w:tcW w:w="2500" w:type="pct"/>
          </w:tcPr>
          <w:p w14:paraId="107178F5" w14:textId="77777777" w:rsidR="000D07EA" w:rsidRDefault="00BE7C89">
            <w:pPr>
              <w:pStyle w:val="BodyText"/>
              <w:spacing w:before="100" w:after="100"/>
            </w:pPr>
            <w:r>
              <w:t xml:space="preserve">Months 22 – 24 (20% of the Initial </w:t>
            </w:r>
            <w:r>
              <w:rPr>
                <w:i/>
              </w:rPr>
              <w:t>cancellation fee</w:t>
            </w:r>
            <w:r>
              <w:t>)</w:t>
            </w:r>
          </w:p>
        </w:tc>
        <w:tc>
          <w:tcPr>
            <w:tcW w:w="2500" w:type="pct"/>
          </w:tcPr>
          <w:p w14:paraId="6C3A028D" w14:textId="77777777" w:rsidR="000D07EA" w:rsidRDefault="00BE7C89">
            <w:pPr>
              <w:pStyle w:val="BodyText"/>
              <w:spacing w:before="100" w:after="100"/>
              <w:jc w:val="center"/>
            </w:pPr>
            <w:r>
              <w:rPr>
                <w:color w:val="000000"/>
              </w:rPr>
              <w:t>$92</w:t>
            </w:r>
          </w:p>
        </w:tc>
      </w:tr>
    </w:tbl>
    <w:p w14:paraId="5240B86A" w14:textId="77777777" w:rsidR="000D07EA" w:rsidRDefault="000D07EA">
      <w:pPr>
        <w:pStyle w:val="BodyText"/>
      </w:pPr>
    </w:p>
    <w:p w14:paraId="17EF9014" w14:textId="77777777" w:rsidR="000D07EA" w:rsidRDefault="00BE7C89">
      <w:pPr>
        <w:pStyle w:val="Heading4"/>
      </w:pPr>
      <w:bookmarkStart w:id="596" w:name="_Toc397941236"/>
      <w:bookmarkStart w:id="597" w:name="_Toc455147620"/>
      <w:bookmarkStart w:id="598" w:name="_Toc62644642"/>
      <w:bookmarkStart w:id="599" w:name="_Toc315795616"/>
      <w:r>
        <w:lastRenderedPageBreak/>
        <w:t>Business Complete Plans [Incorporating $30 Business Complete Plan (4g Sept 2012), $35 Business Complete Plan (4g Sept 2012), $50 Business Complete Plan (4g Sept 2012), $60 Business Complete Plan (4g Sept 2012), $80 Business Complete Plan (4g Sept 2012)], (Small Business Plans), effective from 4 September 2012.</w:t>
      </w:r>
      <w:bookmarkEnd w:id="596"/>
      <w:bookmarkEnd w:id="597"/>
      <w:bookmarkEnd w:id="598"/>
    </w:p>
    <w:p w14:paraId="5C771360" w14:textId="77777777" w:rsidR="000D07EA" w:rsidRDefault="00BE7C89">
      <w:pPr>
        <w:pStyle w:val="Heading6"/>
        <w:ind w:left="0" w:firstLine="0"/>
      </w:pPr>
      <w:bookmarkStart w:id="600" w:name="_Toc321242921"/>
      <w:bookmarkStart w:id="601" w:name="_Toc333484568"/>
      <w:bookmarkStart w:id="602" w:name="_Toc397941237"/>
      <w:r>
        <w:t>Eligibility</w:t>
      </w:r>
      <w:bookmarkEnd w:id="599"/>
      <w:bookmarkEnd w:id="600"/>
      <w:bookmarkEnd w:id="601"/>
      <w:bookmarkEnd w:id="602"/>
    </w:p>
    <w:p w14:paraId="5F2F27FC" w14:textId="77777777" w:rsidR="000D07EA" w:rsidRDefault="00BE7C89">
      <w:pPr>
        <w:pStyle w:val="BodyText"/>
        <w:ind w:left="720"/>
      </w:pPr>
      <w:r>
        <w:t xml:space="preserve">The Business Complete Plans are only available to approved new and existing mobile customers </w:t>
      </w:r>
      <w:r>
        <w:rPr>
          <w:i/>
        </w:rPr>
        <w:t>we</w:t>
      </w:r>
      <w:r>
        <w:t xml:space="preserve"> classify as </w:t>
      </w:r>
      <w:r>
        <w:rPr>
          <w:i/>
        </w:rPr>
        <w:t>small or medium business customers</w:t>
      </w:r>
      <w:r>
        <w:t xml:space="preserve"> connecting to the </w:t>
      </w:r>
      <w:r>
        <w:rPr>
          <w:i/>
        </w:rPr>
        <w:t xml:space="preserve">service </w:t>
      </w:r>
      <w:r>
        <w:t>on the following terms:</w:t>
      </w:r>
    </w:p>
    <w:p w14:paraId="2F1DCDC8" w14:textId="77777777" w:rsidR="000D07EA" w:rsidRDefault="00BE7C89">
      <w:pPr>
        <w:pStyle w:val="Heading7"/>
      </w:pPr>
      <w:r>
        <w:rPr>
          <w:snapToGrid w:val="0"/>
        </w:rPr>
        <w:t xml:space="preserve">In order to be and remain eligible for the Business Complete Offers, </w:t>
      </w:r>
      <w:r>
        <w:rPr>
          <w:i/>
          <w:snapToGrid w:val="0"/>
        </w:rPr>
        <w:t xml:space="preserve">you </w:t>
      </w:r>
      <w:r>
        <w:rPr>
          <w:snapToGrid w:val="0"/>
        </w:rPr>
        <w:t xml:space="preserve">must: </w:t>
      </w:r>
    </w:p>
    <w:p w14:paraId="256C4654" w14:textId="77777777" w:rsidR="000D07EA" w:rsidRDefault="00BE7C89">
      <w:pPr>
        <w:pStyle w:val="Heading8"/>
      </w:pPr>
      <w:r>
        <w:t>connect all relevant</w:t>
      </w:r>
      <w:r>
        <w:rPr>
          <w:i/>
        </w:rPr>
        <w:t xml:space="preserve"> services</w:t>
      </w:r>
      <w:r>
        <w:t xml:space="preserve"> in the same account holder name and service address, and ABN/ACN/ARBN;</w:t>
      </w:r>
    </w:p>
    <w:p w14:paraId="45D2C1BB" w14:textId="77777777" w:rsidR="000D07EA" w:rsidRDefault="00BE7C89">
      <w:pPr>
        <w:pStyle w:val="Heading8"/>
      </w:pPr>
      <w:r>
        <w:t xml:space="preserve">meet all of the criteria for the particular </w:t>
      </w:r>
      <w:r>
        <w:rPr>
          <w:i/>
        </w:rPr>
        <w:t>services</w:t>
      </w:r>
      <w:r>
        <w:t xml:space="preserve"> as set out in each of the relevant </w:t>
      </w:r>
      <w:r>
        <w:rPr>
          <w:i/>
        </w:rPr>
        <w:t>service descriptions</w:t>
      </w:r>
      <w:r>
        <w:t>; and</w:t>
      </w:r>
    </w:p>
    <w:p w14:paraId="415F0C22" w14:textId="77777777" w:rsidR="000D07EA" w:rsidRDefault="00BE7C89">
      <w:pPr>
        <w:pStyle w:val="Heading8"/>
      </w:pPr>
      <w:r>
        <w:t xml:space="preserve">be billed for all </w:t>
      </w:r>
      <w:r>
        <w:rPr>
          <w:i/>
        </w:rPr>
        <w:t>services</w:t>
      </w:r>
      <w:r>
        <w:t xml:space="preserve"> on a single monthly bill.</w:t>
      </w:r>
    </w:p>
    <w:p w14:paraId="76614F16" w14:textId="77777777" w:rsidR="000D07EA" w:rsidRDefault="00BE7C89">
      <w:pPr>
        <w:pStyle w:val="Heading7"/>
        <w:rPr>
          <w:snapToGrid w:val="0"/>
        </w:rPr>
      </w:pPr>
      <w:r>
        <w:rPr>
          <w:snapToGrid w:val="0"/>
        </w:rPr>
        <w:t xml:space="preserve">If </w:t>
      </w:r>
      <w:r>
        <w:rPr>
          <w:i/>
          <w:snapToGrid w:val="0"/>
        </w:rPr>
        <w:t xml:space="preserve">you </w:t>
      </w:r>
      <w:r>
        <w:rPr>
          <w:snapToGrid w:val="0"/>
        </w:rPr>
        <w:t xml:space="preserve">already have a </w:t>
      </w:r>
      <w:r>
        <w:rPr>
          <w:i/>
          <w:snapToGrid w:val="0"/>
        </w:rPr>
        <w:t>non-fixed length</w:t>
      </w:r>
      <w:r>
        <w:rPr>
          <w:snapToGrid w:val="0"/>
        </w:rPr>
        <w:t xml:space="preserve"> or </w:t>
      </w:r>
      <w:r>
        <w:rPr>
          <w:i/>
          <w:snapToGrid w:val="0"/>
        </w:rPr>
        <w:t>fixed length agreement</w:t>
      </w:r>
      <w:r>
        <w:rPr>
          <w:snapToGrid w:val="0"/>
        </w:rPr>
        <w:t xml:space="preserve"> with </w:t>
      </w:r>
      <w:r>
        <w:rPr>
          <w:i/>
          <w:snapToGrid w:val="0"/>
        </w:rPr>
        <w:t>us</w:t>
      </w:r>
      <w:r>
        <w:rPr>
          <w:snapToGrid w:val="0"/>
        </w:rPr>
        <w:t xml:space="preserve"> for any of </w:t>
      </w:r>
      <w:r>
        <w:rPr>
          <w:i/>
          <w:snapToGrid w:val="0"/>
        </w:rPr>
        <w:t>your</w:t>
      </w:r>
      <w:r>
        <w:rPr>
          <w:snapToGrid w:val="0"/>
        </w:rPr>
        <w:t xml:space="preserve"> </w:t>
      </w:r>
      <w:r>
        <w:rPr>
          <w:i/>
          <w:snapToGrid w:val="0"/>
        </w:rPr>
        <w:t>Optus Mobile service(s)</w:t>
      </w:r>
      <w:r>
        <w:rPr>
          <w:snapToGrid w:val="0"/>
        </w:rPr>
        <w:t xml:space="preserve"> and </w:t>
      </w:r>
      <w:r>
        <w:rPr>
          <w:i/>
          <w:snapToGrid w:val="0"/>
        </w:rPr>
        <w:t>you</w:t>
      </w:r>
      <w:r>
        <w:rPr>
          <w:snapToGrid w:val="0"/>
        </w:rPr>
        <w:t xml:space="preserve"> choose to connect a new service to </w:t>
      </w:r>
      <w:r>
        <w:rPr>
          <w:i/>
          <w:snapToGrid w:val="0"/>
        </w:rPr>
        <w:t>our</w:t>
      </w:r>
      <w:r>
        <w:rPr>
          <w:snapToGrid w:val="0"/>
        </w:rPr>
        <w:t xml:space="preserve"> Business Complete offer, </w:t>
      </w:r>
      <w:r>
        <w:rPr>
          <w:i/>
          <w:snapToGrid w:val="0"/>
        </w:rPr>
        <w:t>we</w:t>
      </w:r>
      <w:r>
        <w:rPr>
          <w:snapToGrid w:val="0"/>
        </w:rPr>
        <w:t xml:space="preserve"> may agree (at </w:t>
      </w:r>
      <w:r>
        <w:rPr>
          <w:i/>
          <w:snapToGrid w:val="0"/>
        </w:rPr>
        <w:t>our</w:t>
      </w:r>
      <w:r>
        <w:rPr>
          <w:snapToGrid w:val="0"/>
        </w:rPr>
        <w:t xml:space="preserve"> discretion) to transfer</w:t>
      </w:r>
      <w:r>
        <w:rPr>
          <w:i/>
          <w:snapToGrid w:val="0"/>
        </w:rPr>
        <w:t xml:space="preserve"> your </w:t>
      </w:r>
      <w:r>
        <w:rPr>
          <w:snapToGrid w:val="0"/>
        </w:rPr>
        <w:t xml:space="preserve">existing </w:t>
      </w:r>
      <w:r>
        <w:rPr>
          <w:i/>
          <w:snapToGrid w:val="0"/>
        </w:rPr>
        <w:t>service(s)</w:t>
      </w:r>
      <w:r>
        <w:rPr>
          <w:snapToGrid w:val="0"/>
        </w:rPr>
        <w:t xml:space="preserve"> to the Business Complete offer, in which case </w:t>
      </w:r>
      <w:r>
        <w:rPr>
          <w:i/>
          <w:snapToGrid w:val="0"/>
        </w:rPr>
        <w:t xml:space="preserve">your </w:t>
      </w:r>
      <w:r>
        <w:rPr>
          <w:snapToGrid w:val="0"/>
        </w:rPr>
        <w:t xml:space="preserve">existing </w:t>
      </w:r>
      <w:r>
        <w:rPr>
          <w:i/>
          <w:snapToGrid w:val="0"/>
        </w:rPr>
        <w:t xml:space="preserve">service(s) </w:t>
      </w:r>
      <w:r>
        <w:rPr>
          <w:snapToGrid w:val="0"/>
        </w:rPr>
        <w:t>will be contracted on a:</w:t>
      </w:r>
    </w:p>
    <w:p w14:paraId="0E23FDED" w14:textId="77777777" w:rsidR="000D07EA" w:rsidRDefault="00BE7C89">
      <w:pPr>
        <w:pStyle w:val="Heading8"/>
      </w:pPr>
      <w:r>
        <w:rPr>
          <w:snapToGrid w:val="0"/>
        </w:rPr>
        <w:t xml:space="preserve">month to month basis for </w:t>
      </w:r>
      <w:r>
        <w:rPr>
          <w:i/>
          <w:snapToGrid w:val="0"/>
        </w:rPr>
        <w:t>your non-fixed length agreement</w:t>
      </w:r>
      <w:r>
        <w:rPr>
          <w:snapToGrid w:val="0"/>
        </w:rPr>
        <w:t xml:space="preserve">; or </w:t>
      </w:r>
    </w:p>
    <w:p w14:paraId="15D11530" w14:textId="77777777" w:rsidR="000D07EA" w:rsidRDefault="00BE7C89">
      <w:pPr>
        <w:pStyle w:val="Heading8"/>
      </w:pPr>
      <w:r>
        <w:rPr>
          <w:snapToGrid w:val="0"/>
        </w:rPr>
        <w:t xml:space="preserve">12 or 24 month </w:t>
      </w:r>
      <w:r>
        <w:rPr>
          <w:i/>
          <w:snapToGrid w:val="0"/>
        </w:rPr>
        <w:t xml:space="preserve">minimum term fixed length agreement </w:t>
      </w:r>
      <w:r>
        <w:rPr>
          <w:snapToGrid w:val="0"/>
        </w:rPr>
        <w:t xml:space="preserve">for </w:t>
      </w:r>
      <w:r>
        <w:rPr>
          <w:i/>
          <w:snapToGrid w:val="0"/>
        </w:rPr>
        <w:t>your existing service(s)</w:t>
      </w:r>
    </w:p>
    <w:p w14:paraId="11268CBC" w14:textId="77777777" w:rsidR="000D07EA" w:rsidRDefault="00BE7C89">
      <w:pPr>
        <w:pStyle w:val="BodyText"/>
        <w:ind w:left="1440"/>
      </w:pPr>
      <w:r>
        <w:rPr>
          <w:i/>
          <w:snapToGrid w:val="0"/>
        </w:rPr>
        <w:t xml:space="preserve">on </w:t>
      </w:r>
      <w:r>
        <w:rPr>
          <w:snapToGrid w:val="0"/>
        </w:rPr>
        <w:t>the new Business Complete</w:t>
      </w:r>
      <w:r>
        <w:rPr>
          <w:i/>
          <w:snapToGrid w:val="0"/>
        </w:rPr>
        <w:t xml:space="preserve"> offer</w:t>
      </w:r>
      <w:r>
        <w:rPr>
          <w:snapToGrid w:val="0"/>
        </w:rPr>
        <w:t xml:space="preserve">. </w:t>
      </w:r>
    </w:p>
    <w:p w14:paraId="0EF1C7EA" w14:textId="77777777" w:rsidR="000D07EA" w:rsidRDefault="00BE7C89">
      <w:pPr>
        <w:pStyle w:val="Heading7"/>
      </w:pPr>
      <w:r>
        <w:rPr>
          <w:snapToGrid w:val="0"/>
        </w:rPr>
        <w:t xml:space="preserve">If </w:t>
      </w:r>
      <w:r>
        <w:rPr>
          <w:i/>
          <w:snapToGrid w:val="0"/>
        </w:rPr>
        <w:t xml:space="preserve">you </w:t>
      </w:r>
      <w:r>
        <w:rPr>
          <w:snapToGrid w:val="0"/>
        </w:rPr>
        <w:t xml:space="preserve">are an existing customer </w:t>
      </w:r>
      <w:r>
        <w:rPr>
          <w:i/>
          <w:snapToGrid w:val="0"/>
        </w:rPr>
        <w:t xml:space="preserve">you </w:t>
      </w:r>
      <w:r>
        <w:rPr>
          <w:snapToGrid w:val="0"/>
        </w:rPr>
        <w:t xml:space="preserve">may only transfer to the Business Complete plans with </w:t>
      </w:r>
      <w:r>
        <w:rPr>
          <w:i/>
          <w:snapToGrid w:val="0"/>
        </w:rPr>
        <w:t xml:space="preserve">our </w:t>
      </w:r>
      <w:r>
        <w:rPr>
          <w:snapToGrid w:val="0"/>
        </w:rPr>
        <w:t>approval</w:t>
      </w:r>
      <w:r>
        <w:rPr>
          <w:snapToGrid w:val="0"/>
          <w:sz w:val="16"/>
          <w:szCs w:val="16"/>
        </w:rPr>
        <w:t>.</w:t>
      </w:r>
    </w:p>
    <w:p w14:paraId="6C8F17A6" w14:textId="77777777" w:rsidR="000D07EA" w:rsidRDefault="00BE7C89">
      <w:pPr>
        <w:pStyle w:val="Heading8"/>
      </w:pPr>
      <w:r>
        <w:rPr>
          <w:i/>
        </w:rPr>
        <w:t>You</w:t>
      </w:r>
      <w:r>
        <w:t xml:space="preserve"> must pass the Optus credit assessment and be accepted by </w:t>
      </w:r>
      <w:r>
        <w:rPr>
          <w:i/>
        </w:rPr>
        <w:t>us</w:t>
      </w:r>
      <w:r>
        <w:t>; and</w:t>
      </w:r>
    </w:p>
    <w:p w14:paraId="488B2B9F" w14:textId="77777777" w:rsidR="000D07EA" w:rsidRDefault="00BE7C89">
      <w:pPr>
        <w:pStyle w:val="Heading8"/>
      </w:pPr>
      <w:r>
        <w:t>Optus Service Providers' customers are not eligible to apply</w:t>
      </w:r>
      <w:r>
        <w:rPr>
          <w:snapToGrid w:val="0"/>
        </w:rPr>
        <w:t>.</w:t>
      </w:r>
    </w:p>
    <w:p w14:paraId="1E155765" w14:textId="77777777" w:rsidR="000D07EA" w:rsidRDefault="00BE7C89">
      <w:pPr>
        <w:pStyle w:val="Heading6"/>
        <w:ind w:left="0" w:firstLine="0"/>
        <w:rPr>
          <w:i/>
        </w:rPr>
      </w:pPr>
      <w:bookmarkStart w:id="603" w:name="_Toc315795617"/>
      <w:bookmarkStart w:id="604" w:name="_Toc321242922"/>
      <w:bookmarkStart w:id="605" w:name="_Toc333484569"/>
      <w:bookmarkStart w:id="606" w:name="_Toc397941238"/>
      <w:r>
        <w:rPr>
          <w:i/>
          <w:snapToGrid w:val="0"/>
        </w:rPr>
        <w:t>Minimum Term</w:t>
      </w:r>
      <w:bookmarkEnd w:id="603"/>
      <w:bookmarkEnd w:id="604"/>
      <w:bookmarkEnd w:id="605"/>
      <w:bookmarkEnd w:id="606"/>
    </w:p>
    <w:p w14:paraId="33C66EFF" w14:textId="77777777" w:rsidR="000D07EA" w:rsidRDefault="00BE7C89">
      <w:pPr>
        <w:pStyle w:val="Heading7"/>
      </w:pPr>
      <w:r>
        <w:rPr>
          <w:i/>
        </w:rPr>
        <w:t xml:space="preserve">You </w:t>
      </w:r>
      <w:r>
        <w:t xml:space="preserve">must agree to either a </w:t>
      </w:r>
      <w:r>
        <w:rPr>
          <w:i/>
        </w:rPr>
        <w:t>non-fixed length agreement or</w:t>
      </w:r>
      <w:r>
        <w:t xml:space="preserve"> a </w:t>
      </w:r>
      <w:r>
        <w:rPr>
          <w:i/>
        </w:rPr>
        <w:t>fixed length agreement</w:t>
      </w:r>
      <w:r>
        <w:t xml:space="preserve"> with a 12 month or 24 month </w:t>
      </w:r>
      <w:r>
        <w:rPr>
          <w:i/>
        </w:rPr>
        <w:t>minimum term</w:t>
      </w:r>
      <w:r>
        <w:t xml:space="preserve">. </w:t>
      </w:r>
    </w:p>
    <w:p w14:paraId="5E9CF40B" w14:textId="77777777" w:rsidR="000D07EA" w:rsidRDefault="00BE7C89">
      <w:pPr>
        <w:pStyle w:val="Heading7"/>
      </w:pPr>
      <w:r>
        <w:rPr>
          <w:i/>
        </w:rPr>
        <w:t xml:space="preserve">You </w:t>
      </w:r>
      <w:r>
        <w:t xml:space="preserve">may purchase a mobile phone upfront or with a 12 or 24 month </w:t>
      </w:r>
      <w:r>
        <w:rPr>
          <w:i/>
        </w:rPr>
        <w:t>equipment term</w:t>
      </w:r>
      <w:r>
        <w:t xml:space="preserve"> under a </w:t>
      </w:r>
      <w:r>
        <w:rPr>
          <w:i/>
        </w:rPr>
        <w:t>mobile equipment payment plan</w:t>
      </w:r>
      <w:r>
        <w:t xml:space="preserve"> on 12 or 24 month </w:t>
      </w:r>
      <w:r>
        <w:rPr>
          <w:i/>
        </w:rPr>
        <w:t>fixed length agreement</w:t>
      </w:r>
      <w:r>
        <w:t xml:space="preserve"> depending on </w:t>
      </w:r>
      <w:r>
        <w:rPr>
          <w:i/>
        </w:rPr>
        <w:t>your pricing plan</w:t>
      </w:r>
      <w:r>
        <w:t xml:space="preserve">. </w:t>
      </w:r>
    </w:p>
    <w:p w14:paraId="464B27CE" w14:textId="77777777" w:rsidR="000D07EA" w:rsidRDefault="00BE7C89">
      <w:pPr>
        <w:pStyle w:val="Heading6"/>
        <w:ind w:left="0" w:firstLine="0"/>
      </w:pPr>
      <w:bookmarkStart w:id="607" w:name="_Toc315795618"/>
      <w:bookmarkStart w:id="608" w:name="_Toc321242923"/>
      <w:bookmarkStart w:id="609" w:name="_Toc333484570"/>
      <w:bookmarkStart w:id="610" w:name="_Toc397941239"/>
      <w:r>
        <w:t>Blocking access to a number</w:t>
      </w:r>
      <w:bookmarkEnd w:id="607"/>
      <w:bookmarkEnd w:id="608"/>
      <w:bookmarkEnd w:id="609"/>
      <w:bookmarkEnd w:id="610"/>
    </w:p>
    <w:p w14:paraId="4C42F38F" w14:textId="77777777" w:rsidR="000D07EA" w:rsidRDefault="00BE7C89">
      <w:pPr>
        <w:pStyle w:val="BodyText"/>
        <w:ind w:left="720"/>
      </w:pPr>
      <w:r>
        <w:rPr>
          <w:iCs/>
        </w:rPr>
        <w:t>In addition to what is stated in clause 11 of the</w:t>
      </w:r>
      <w:r>
        <w:rPr>
          <w:i/>
          <w:iCs/>
        </w:rPr>
        <w:t xml:space="preserve"> Service Description </w:t>
      </w:r>
      <w:r>
        <w:rPr>
          <w:iCs/>
        </w:rPr>
        <w:t>("Access Restrictions"),</w:t>
      </w:r>
      <w:r>
        <w:rPr>
          <w:i/>
          <w:iCs/>
        </w:rPr>
        <w:t xml:space="preserve"> we</w:t>
      </w:r>
      <w:r>
        <w:t xml:space="preserve"> may block access to a number (other than an emergency service number) if </w:t>
      </w:r>
      <w:r>
        <w:rPr>
          <w:i/>
        </w:rPr>
        <w:t>we</w:t>
      </w:r>
      <w:r>
        <w:t xml:space="preserve"> reasonably require this to be done for technical, operational or commercial reasons. </w:t>
      </w:r>
    </w:p>
    <w:p w14:paraId="3F869A1A" w14:textId="77777777" w:rsidR="000D07EA" w:rsidRDefault="00BE7C89">
      <w:pPr>
        <w:pStyle w:val="Heading6"/>
        <w:ind w:left="0" w:firstLine="0"/>
        <w:rPr>
          <w:i/>
        </w:rPr>
      </w:pPr>
      <w:bookmarkStart w:id="611" w:name="_Toc315795619"/>
      <w:bookmarkStart w:id="612" w:name="_Toc321242924"/>
      <w:bookmarkStart w:id="613" w:name="_Toc333484571"/>
      <w:bookmarkStart w:id="614" w:name="_Toc397941240"/>
      <w:r>
        <w:t xml:space="preserve">What </w:t>
      </w:r>
      <w:r>
        <w:rPr>
          <w:i/>
        </w:rPr>
        <w:t xml:space="preserve">you </w:t>
      </w:r>
      <w:r>
        <w:t xml:space="preserve">have to pay </w:t>
      </w:r>
      <w:r>
        <w:rPr>
          <w:i/>
        </w:rPr>
        <w:t>us</w:t>
      </w:r>
      <w:bookmarkEnd w:id="611"/>
      <w:bookmarkEnd w:id="612"/>
      <w:bookmarkEnd w:id="613"/>
      <w:bookmarkEnd w:id="614"/>
    </w:p>
    <w:p w14:paraId="29D2B987" w14:textId="77777777" w:rsidR="000D07EA" w:rsidRDefault="00BE7C89">
      <w:pPr>
        <w:pStyle w:val="Heading7"/>
      </w:pPr>
      <w:r>
        <w:t xml:space="preserve">Subject to paragraphs </w:t>
      </w:r>
      <w:r>
        <w:fldChar w:fldCharType="begin"/>
      </w:r>
      <w:r>
        <w:instrText xml:space="preserve"> REF _Ref461552560 \n \h </w:instrText>
      </w:r>
      <w:r>
        <w:fldChar w:fldCharType="separate"/>
      </w:r>
      <w:r w:rsidR="0004083A">
        <w:t>(c)</w:t>
      </w:r>
      <w:r>
        <w:fldChar w:fldCharType="end"/>
      </w:r>
      <w:r>
        <w:t xml:space="preserve">, </w:t>
      </w:r>
      <w:r>
        <w:fldChar w:fldCharType="begin"/>
      </w:r>
      <w:r>
        <w:instrText xml:space="preserve"> REF _Ref461552568 \n \h </w:instrText>
      </w:r>
      <w:r>
        <w:fldChar w:fldCharType="separate"/>
      </w:r>
      <w:r w:rsidR="0004083A">
        <w:t>(d)</w:t>
      </w:r>
      <w:r>
        <w:fldChar w:fldCharType="end"/>
      </w:r>
      <w:r>
        <w:t xml:space="preserve">, </w:t>
      </w:r>
      <w:r>
        <w:fldChar w:fldCharType="begin"/>
      </w:r>
      <w:r>
        <w:instrText xml:space="preserve"> REF _Ref461552576 \n \h </w:instrText>
      </w:r>
      <w:r>
        <w:fldChar w:fldCharType="separate"/>
      </w:r>
      <w:r w:rsidR="0004083A">
        <w:t>(e)</w:t>
      </w:r>
      <w:r>
        <w:fldChar w:fldCharType="end"/>
      </w:r>
      <w:r>
        <w:t xml:space="preserve">, </w:t>
      </w:r>
      <w:r>
        <w:fldChar w:fldCharType="begin"/>
      </w:r>
      <w:r>
        <w:instrText xml:space="preserve"> REF _Ref461552583 \n \h </w:instrText>
      </w:r>
      <w:r>
        <w:fldChar w:fldCharType="separate"/>
      </w:r>
      <w:r w:rsidR="0004083A">
        <w:t>(f)</w:t>
      </w:r>
      <w:r>
        <w:fldChar w:fldCharType="end"/>
      </w:r>
      <w:r>
        <w:t xml:space="preserve">, </w:t>
      </w:r>
      <w:r>
        <w:fldChar w:fldCharType="begin"/>
      </w:r>
      <w:r>
        <w:instrText xml:space="preserve"> REF _Ref461552591 \n \h </w:instrText>
      </w:r>
      <w:r>
        <w:fldChar w:fldCharType="separate"/>
      </w:r>
      <w:r w:rsidR="0004083A">
        <w:t>(g)</w:t>
      </w:r>
      <w:r>
        <w:fldChar w:fldCharType="end"/>
      </w:r>
      <w:r>
        <w:t xml:space="preserve">, </w:t>
      </w:r>
      <w:r>
        <w:fldChar w:fldCharType="begin"/>
      </w:r>
      <w:r>
        <w:instrText xml:space="preserve"> REF _Ref461552599 \n \h </w:instrText>
      </w:r>
      <w:r>
        <w:fldChar w:fldCharType="separate"/>
      </w:r>
      <w:r w:rsidR="0004083A">
        <w:t>(h)</w:t>
      </w:r>
      <w:r>
        <w:fldChar w:fldCharType="end"/>
      </w:r>
      <w:r>
        <w:t xml:space="preserve">, </w:t>
      </w:r>
      <w:r>
        <w:fldChar w:fldCharType="begin"/>
      </w:r>
      <w:r>
        <w:instrText xml:space="preserve"> REF _Ref461552607 \n \h </w:instrText>
      </w:r>
      <w:r>
        <w:fldChar w:fldCharType="separate"/>
      </w:r>
      <w:r w:rsidR="0004083A">
        <w:t>(i)</w:t>
      </w:r>
      <w:r>
        <w:fldChar w:fldCharType="end"/>
      </w:r>
      <w:r>
        <w:t xml:space="preserve"> and </w:t>
      </w:r>
      <w:r>
        <w:fldChar w:fldCharType="begin"/>
      </w:r>
      <w:r>
        <w:instrText xml:space="preserve"> REF _Ref461552615 \n \h </w:instrText>
      </w:r>
      <w:r>
        <w:fldChar w:fldCharType="separate"/>
      </w:r>
      <w:r w:rsidR="0004083A">
        <w:t>(j)</w:t>
      </w:r>
      <w:r>
        <w:fldChar w:fldCharType="end"/>
      </w:r>
      <w:r>
        <w:t xml:space="preserve"> below </w:t>
      </w:r>
      <w:r>
        <w:rPr>
          <w:i/>
        </w:rPr>
        <w:t xml:space="preserve">you </w:t>
      </w:r>
      <w:r>
        <w:t xml:space="preserve">must pay </w:t>
      </w:r>
      <w:r>
        <w:rPr>
          <w:i/>
        </w:rPr>
        <w:t xml:space="preserve">us </w:t>
      </w:r>
      <w:r>
        <w:t xml:space="preserve">for use of the </w:t>
      </w:r>
      <w:r>
        <w:rPr>
          <w:i/>
        </w:rPr>
        <w:t xml:space="preserve">service </w:t>
      </w:r>
      <w:r>
        <w:t xml:space="preserve">at the rates set out in </w:t>
      </w:r>
      <w:hyperlink r:id="rId435" w:history="1">
        <w:r>
          <w:rPr>
            <w:rStyle w:val="Hyperlink"/>
          </w:rPr>
          <w:t>Section 1</w:t>
        </w:r>
      </w:hyperlink>
      <w:r>
        <w:t xml:space="preserve"> of this </w:t>
      </w:r>
      <w:r>
        <w:rPr>
          <w:i/>
        </w:rPr>
        <w:t xml:space="preserve">standard pricing table </w:t>
      </w:r>
      <w:r>
        <w:t xml:space="preserve">and for </w:t>
      </w:r>
      <w:r>
        <w:rPr>
          <w:i/>
        </w:rPr>
        <w:t xml:space="preserve">value added service features </w:t>
      </w:r>
      <w:r>
        <w:t xml:space="preserve">at the rates set out in </w:t>
      </w:r>
      <w:hyperlink r:id="rId436" w:history="1">
        <w:r>
          <w:rPr>
            <w:rStyle w:val="Hyperlink"/>
            <w:i/>
          </w:rPr>
          <w:t>Appendix Y</w:t>
        </w:r>
      </w:hyperlink>
      <w:r>
        <w:rPr>
          <w:i/>
        </w:rPr>
        <w:t xml:space="preserve"> Value Added Service Features.</w:t>
      </w:r>
      <w:r>
        <w:t xml:space="preserve"> </w:t>
      </w:r>
    </w:p>
    <w:p w14:paraId="142440F8" w14:textId="77777777" w:rsidR="000D07EA" w:rsidRDefault="00BE7C89">
      <w:pPr>
        <w:pStyle w:val="Heading7"/>
      </w:pPr>
      <w:r>
        <w:lastRenderedPageBreak/>
        <w:t xml:space="preserve">If there is a </w:t>
      </w:r>
      <w:r>
        <w:rPr>
          <w:i/>
        </w:rPr>
        <w:t xml:space="preserve">flagfall </w:t>
      </w:r>
      <w:r>
        <w:t xml:space="preserve">or call connection charge for a particular call type, the charge for these calls is the </w:t>
      </w:r>
      <w:r>
        <w:rPr>
          <w:i/>
        </w:rPr>
        <w:t xml:space="preserve">flagfall </w:t>
      </w:r>
      <w:r>
        <w:t>charge plus the relevant rate for the call multiplied by the duration of the call.</w:t>
      </w:r>
    </w:p>
    <w:p w14:paraId="4DDD242A" w14:textId="77777777" w:rsidR="000D07EA" w:rsidRDefault="00BE7C89">
      <w:pPr>
        <w:pStyle w:val="Heading7"/>
        <w:rPr>
          <w:b/>
        </w:rPr>
      </w:pPr>
      <w:bookmarkStart w:id="615" w:name="_Ref461552560"/>
      <w:r>
        <w:rPr>
          <w:b/>
        </w:rPr>
        <w:t>Minimum Monthly Charge</w:t>
      </w:r>
      <w:bookmarkEnd w:id="615"/>
      <w:r>
        <w:rPr>
          <w:b/>
        </w:rPr>
        <w:t xml:space="preserve"> </w:t>
      </w:r>
    </w:p>
    <w:p w14:paraId="37C13055" w14:textId="77777777" w:rsidR="000D07EA" w:rsidRDefault="00BE7C89">
      <w:pPr>
        <w:pStyle w:val="Heading8"/>
      </w:pPr>
      <w:r>
        <w:t xml:space="preserve">Each Business Complete Plan has a minimum monthly charge amount that </w:t>
      </w:r>
      <w:r>
        <w:rPr>
          <w:i/>
        </w:rPr>
        <w:t xml:space="preserve">you </w:t>
      </w:r>
      <w:r>
        <w:t xml:space="preserve">must pay </w:t>
      </w:r>
      <w:r>
        <w:rPr>
          <w:i/>
        </w:rPr>
        <w:t>us</w:t>
      </w:r>
      <w:r>
        <w:t xml:space="preserve"> each month. </w:t>
      </w:r>
    </w:p>
    <w:p w14:paraId="0967F4E3" w14:textId="77777777" w:rsidR="000D07EA" w:rsidRDefault="00BE7C89">
      <w:pPr>
        <w:pStyle w:val="Heading8"/>
      </w:pPr>
      <w:r>
        <w:t>The amount of the minimum monthly charge and included calls for each Business Complete Plan is set out in Table 2A below.</w:t>
      </w:r>
    </w:p>
    <w:p w14:paraId="742A714B" w14:textId="77777777" w:rsidR="000D07EA" w:rsidRDefault="00BE7C89">
      <w:pPr>
        <w:pStyle w:val="Heading7"/>
        <w:rPr>
          <w:b/>
        </w:rPr>
      </w:pPr>
      <w:bookmarkStart w:id="616" w:name="_Ref461552568"/>
      <w:r>
        <w:rPr>
          <w:b/>
        </w:rPr>
        <w:t>Included Value</w:t>
      </w:r>
      <w:bookmarkEnd w:id="616"/>
    </w:p>
    <w:p w14:paraId="1B49395E" w14:textId="77777777" w:rsidR="000D07EA" w:rsidRDefault="00BE7C89">
      <w:pPr>
        <w:pStyle w:val="Heading8"/>
      </w:pPr>
      <w:r>
        <w:t xml:space="preserve">Under the Business Complete Plans, </w:t>
      </w:r>
      <w:r>
        <w:rPr>
          <w:i/>
        </w:rPr>
        <w:t xml:space="preserve">you </w:t>
      </w:r>
      <w:r>
        <w:t>will receive an amount of 'Included Value'.</w:t>
      </w:r>
    </w:p>
    <w:p w14:paraId="632A8D02" w14:textId="77777777" w:rsidR="000D07EA" w:rsidRDefault="00BE7C89">
      <w:pPr>
        <w:pStyle w:val="Heading8"/>
      </w:pPr>
      <w:r>
        <w:t>The amount of the 'Included Value' included for each Business Complete Plan is set out in Table 2A below.</w:t>
      </w:r>
    </w:p>
    <w:p w14:paraId="727078F7" w14:textId="77777777" w:rsidR="000D07EA" w:rsidRDefault="00BE7C89">
      <w:pPr>
        <w:pStyle w:val="Heading8"/>
      </w:pPr>
      <w:r>
        <w:t xml:space="preserve">The call types that are </w:t>
      </w:r>
      <w:r>
        <w:rPr>
          <w:b/>
        </w:rPr>
        <w:t>'eligible calls and text'</w:t>
      </w:r>
      <w:r>
        <w:t xml:space="preserve"> for each Business Complete Plan under the 'Included Value' are defined in Table 1A below.</w:t>
      </w:r>
    </w:p>
    <w:p w14:paraId="5FDD8381" w14:textId="77777777" w:rsidR="000D07EA" w:rsidRDefault="00BE7C89">
      <w:pPr>
        <w:pStyle w:val="Heading8"/>
      </w:pPr>
      <w:r>
        <w:rPr>
          <w:i/>
        </w:rPr>
        <w:t xml:space="preserve">You </w:t>
      </w:r>
      <w:r>
        <w:t xml:space="preserve">must pay </w:t>
      </w:r>
      <w:r>
        <w:rPr>
          <w:i/>
        </w:rPr>
        <w:t xml:space="preserve">us </w:t>
      </w:r>
      <w:r>
        <w:t xml:space="preserve">call charges for eligible calls and text made beyond </w:t>
      </w:r>
      <w:r>
        <w:rPr>
          <w:i/>
        </w:rPr>
        <w:t xml:space="preserve">your </w:t>
      </w:r>
      <w:r>
        <w:t xml:space="preserve">'Included Value' amount. </w:t>
      </w:r>
    </w:p>
    <w:p w14:paraId="500ADBBB" w14:textId="77777777" w:rsidR="000D07EA" w:rsidRDefault="00BE7C89">
      <w:pPr>
        <w:pStyle w:val="Heading8"/>
      </w:pPr>
      <w:r>
        <w:rPr>
          <w:i/>
        </w:rPr>
        <w:t xml:space="preserve">You </w:t>
      </w:r>
      <w:r>
        <w:t>must pay for any calls and texts that are not eligible calls and text.</w:t>
      </w:r>
    </w:p>
    <w:p w14:paraId="4B9C760A" w14:textId="77777777" w:rsidR="000D07EA" w:rsidRDefault="00BE7C89">
      <w:pPr>
        <w:pStyle w:val="Heading8"/>
      </w:pPr>
      <w:r>
        <w:rPr>
          <w:snapToGrid w:val="0"/>
        </w:rPr>
        <w:t>Any unused portion of the 'Included Value' expires at the end of each month. This means that it does not roll over into the following month.</w:t>
      </w:r>
    </w:p>
    <w:p w14:paraId="4C69470E" w14:textId="77777777" w:rsidR="000D07EA" w:rsidRDefault="00BE7C89" w:rsidP="0051170A">
      <w:pPr>
        <w:pStyle w:val="Heading7"/>
        <w:keepNext/>
        <w:rPr>
          <w:b/>
        </w:rPr>
      </w:pPr>
      <w:bookmarkStart w:id="617" w:name="_Ref461552576"/>
      <w:r>
        <w:rPr>
          <w:b/>
        </w:rPr>
        <w:t>Included Mobile Internet Data Value and Unlimited BlackBerry POP3 Email and Browsing</w:t>
      </w:r>
      <w:bookmarkEnd w:id="617"/>
    </w:p>
    <w:p w14:paraId="7DD7D3BA" w14:textId="77777777" w:rsidR="000D07EA" w:rsidRDefault="00BE7C89" w:rsidP="0051170A">
      <w:pPr>
        <w:pStyle w:val="Heading8"/>
        <w:keepNext/>
      </w:pPr>
      <w:r>
        <w:t xml:space="preserve">Under the Business Complete Plans, </w:t>
      </w:r>
      <w:r>
        <w:rPr>
          <w:i/>
        </w:rPr>
        <w:t>you</w:t>
      </w:r>
      <w:r>
        <w:t xml:space="preserve"> will receive:</w:t>
      </w:r>
    </w:p>
    <w:p w14:paraId="5BE27922" w14:textId="77777777" w:rsidR="000D07EA" w:rsidRDefault="00BE7C89">
      <w:pPr>
        <w:pStyle w:val="Heading9"/>
      </w:pPr>
      <w:r>
        <w:t xml:space="preserve">included Mobile Internet Data Value; and (if </w:t>
      </w:r>
      <w:r>
        <w:rPr>
          <w:i/>
          <w:u w:val="single"/>
        </w:rPr>
        <w:t>you</w:t>
      </w:r>
      <w:r>
        <w:t xml:space="preserve"> have a compatible handset)</w:t>
      </w:r>
    </w:p>
    <w:p w14:paraId="1A4E0337" w14:textId="77777777" w:rsidR="000D07EA" w:rsidRDefault="00BE7C89">
      <w:pPr>
        <w:pStyle w:val="Heading9"/>
      </w:pPr>
      <w:r>
        <w:t>the amount of 'Mobile Internet Data Value' included for each Business Complete Plans is set out in Table 2A below.</w:t>
      </w:r>
    </w:p>
    <w:p w14:paraId="3DDE241B" w14:textId="77777777" w:rsidR="000D07EA" w:rsidRDefault="00BE7C89">
      <w:pPr>
        <w:pStyle w:val="Heading9"/>
      </w:pPr>
      <w:r>
        <w:t xml:space="preserve">the usage types that are </w:t>
      </w:r>
      <w:r>
        <w:rPr>
          <w:b/>
        </w:rPr>
        <w:t>'eligible data'</w:t>
      </w:r>
      <w:r>
        <w:t xml:space="preserve"> for each Business Complete Plan under the included Mobile Internet Data Value are defined in Table 1B below.</w:t>
      </w:r>
    </w:p>
    <w:p w14:paraId="0E1BF275" w14:textId="77777777" w:rsidR="000D07EA" w:rsidRDefault="00BE7C89">
      <w:pPr>
        <w:pStyle w:val="Heading9"/>
      </w:pPr>
      <w:r>
        <w:rPr>
          <w:i/>
        </w:rPr>
        <w:t xml:space="preserve">you </w:t>
      </w:r>
      <w:r>
        <w:t xml:space="preserve">must pay </w:t>
      </w:r>
      <w:r>
        <w:rPr>
          <w:i/>
        </w:rPr>
        <w:t xml:space="preserve">us </w:t>
      </w:r>
      <w:r>
        <w:t xml:space="preserve">excess usage charges for data used in excess of </w:t>
      </w:r>
      <w:r>
        <w:rPr>
          <w:i/>
        </w:rPr>
        <w:t xml:space="preserve">your </w:t>
      </w:r>
      <w:r>
        <w:t xml:space="preserve">'Mobile Internet Data Value' as shown in Table 2A below. </w:t>
      </w:r>
    </w:p>
    <w:p w14:paraId="61313364" w14:textId="77777777" w:rsidR="000D07EA" w:rsidRDefault="00BE7C89">
      <w:pPr>
        <w:pStyle w:val="Heading9"/>
        <w:rPr>
          <w:szCs w:val="24"/>
        </w:rPr>
      </w:pPr>
      <w:r>
        <w:rPr>
          <w:snapToGrid w:val="0"/>
        </w:rPr>
        <w:t>any unused portion of the 'Mobile Internet Data Value' expires at the end of each month and does not roll over into the following month.</w:t>
      </w:r>
      <w:r>
        <w:t xml:space="preserve"> </w:t>
      </w:r>
    </w:p>
    <w:p w14:paraId="378D68B5" w14:textId="77777777" w:rsidR="000D07EA" w:rsidRDefault="00BE7C89">
      <w:pPr>
        <w:pStyle w:val="Heading8"/>
      </w:pPr>
      <w:r>
        <w:t>Unlimited BlackBerry POP3 Email and Browsing:</w:t>
      </w:r>
    </w:p>
    <w:p w14:paraId="46F6B860" w14:textId="77777777" w:rsidR="000D07EA" w:rsidRDefault="00BE7C89">
      <w:pPr>
        <w:pStyle w:val="Heading9"/>
      </w:pPr>
      <w:r>
        <w:rPr>
          <w:i/>
        </w:rPr>
        <w:t>You</w:t>
      </w:r>
      <w:r>
        <w:t xml:space="preserve"> will receive unlimited BlackBerry POP3 Email and Browsing through the BlackBerry Browser only, use of applications from </w:t>
      </w:r>
      <w:r>
        <w:rPr>
          <w:i/>
        </w:rPr>
        <w:t>Optus</w:t>
      </w:r>
      <w:r>
        <w:t xml:space="preserve"> and third party applications that require a BlackBerry Data connection as set out in Table 2A below.</w:t>
      </w:r>
    </w:p>
    <w:p w14:paraId="020C25CD" w14:textId="77777777" w:rsidR="000D07EA" w:rsidRDefault="00BE7C89">
      <w:pPr>
        <w:pStyle w:val="Heading9"/>
      </w:pPr>
      <w:r>
        <w:t>The usage types that are '</w:t>
      </w:r>
      <w:r>
        <w:rPr>
          <w:b/>
        </w:rPr>
        <w:t>eligible data'</w:t>
      </w:r>
      <w:r>
        <w:t xml:space="preserve"> for each Business Complete Plan under the Unlimited BlackBerry POP3 Email and Browsing are defined in Table 1C below.</w:t>
      </w:r>
    </w:p>
    <w:p w14:paraId="2712E4AB" w14:textId="77777777" w:rsidR="000D07EA" w:rsidRDefault="00BE7C89">
      <w:pPr>
        <w:pStyle w:val="Heading9"/>
        <w:rPr>
          <w:szCs w:val="24"/>
        </w:rPr>
      </w:pPr>
      <w:r>
        <w:t>Unlimited BlackBerry POP3 Email is only for personal use and is not to be used for commercial purposes. Fair Go Policy (</w:t>
      </w:r>
      <w:hyperlink r:id="rId437" w:history="1">
        <w:r>
          <w:rPr>
            <w:rStyle w:val="Hyperlink"/>
            <w:i/>
          </w:rPr>
          <w:t>Appendix S</w:t>
        </w:r>
      </w:hyperlink>
      <w:r>
        <w:t xml:space="preserve">) also applies to unacceptable use. </w:t>
      </w:r>
      <w:r>
        <w:rPr>
          <w:szCs w:val="24"/>
        </w:rPr>
        <w:t xml:space="preserve">Please refer to </w:t>
      </w:r>
      <w:hyperlink r:id="rId438" w:history="1">
        <w:r w:rsidR="008D6257">
          <w:rPr>
            <w:rStyle w:val="Hyperlink"/>
            <w:i/>
          </w:rPr>
          <w:t>Appendix S</w:t>
        </w:r>
      </w:hyperlink>
      <w:r>
        <w:rPr>
          <w:i/>
          <w:szCs w:val="24"/>
        </w:rPr>
        <w:t xml:space="preserve"> </w:t>
      </w:r>
      <w:r>
        <w:rPr>
          <w:szCs w:val="24"/>
        </w:rPr>
        <w:t>for further details.</w:t>
      </w:r>
    </w:p>
    <w:p w14:paraId="1ADB3AA2" w14:textId="77777777" w:rsidR="000D07EA" w:rsidRDefault="00BE7C89">
      <w:pPr>
        <w:pStyle w:val="Heading7"/>
        <w:rPr>
          <w:b/>
          <w:snapToGrid w:val="0"/>
        </w:rPr>
      </w:pPr>
      <w:bookmarkStart w:id="618" w:name="_Ref461552583"/>
      <w:r>
        <w:rPr>
          <w:b/>
          <w:snapToGrid w:val="0"/>
        </w:rPr>
        <w:lastRenderedPageBreak/>
        <w:t>Unlimited mobile access to Facebook®, Twitter®, LinkedIn, eBay, Foursquare, MySpace within Australia</w:t>
      </w:r>
      <w:bookmarkEnd w:id="618"/>
    </w:p>
    <w:p w14:paraId="67652068" w14:textId="77777777" w:rsidR="000D07EA" w:rsidRDefault="00BE7C89">
      <w:pPr>
        <w:pStyle w:val="Heading8"/>
        <w:rPr>
          <w:snapToGrid w:val="0"/>
        </w:rPr>
      </w:pPr>
      <w:bookmarkStart w:id="619" w:name="_Ref461552715"/>
      <w:r>
        <w:t xml:space="preserve">Under the Business Complete Plans, </w:t>
      </w:r>
      <w:r>
        <w:rPr>
          <w:i/>
        </w:rPr>
        <w:t>you</w:t>
      </w:r>
      <w:r>
        <w:t xml:space="preserve"> will receive unlimited mobile access to </w:t>
      </w:r>
      <w:r>
        <w:rPr>
          <w:snapToGrid w:val="0"/>
        </w:rPr>
        <w:t xml:space="preserve">Facebook®, Twitter®, LinkedIn, eBay, Foursquare and MySpace within Australia, subject to paragraph </w:t>
      </w:r>
      <w:r>
        <w:rPr>
          <w:snapToGrid w:val="0"/>
        </w:rPr>
        <w:fldChar w:fldCharType="begin"/>
      </w:r>
      <w:r>
        <w:rPr>
          <w:snapToGrid w:val="0"/>
        </w:rPr>
        <w:instrText xml:space="preserve"> REF _Ref461552700 \n \h </w:instrText>
      </w:r>
      <w:r>
        <w:rPr>
          <w:snapToGrid w:val="0"/>
        </w:rPr>
      </w:r>
      <w:r>
        <w:rPr>
          <w:snapToGrid w:val="0"/>
        </w:rPr>
        <w:fldChar w:fldCharType="separate"/>
      </w:r>
      <w:r w:rsidR="0004083A">
        <w:rPr>
          <w:snapToGrid w:val="0"/>
        </w:rPr>
        <w:t>(iv)</w:t>
      </w:r>
      <w:r>
        <w:rPr>
          <w:snapToGrid w:val="0"/>
        </w:rPr>
        <w:fldChar w:fldCharType="end"/>
      </w:r>
      <w:r>
        <w:rPr>
          <w:snapToGrid w:val="0"/>
        </w:rPr>
        <w:t xml:space="preserve"> below.</w:t>
      </w:r>
      <w:bookmarkEnd w:id="619"/>
    </w:p>
    <w:p w14:paraId="2D992188" w14:textId="77777777" w:rsidR="000D07EA" w:rsidRDefault="00BE7C89">
      <w:pPr>
        <w:pStyle w:val="Heading8"/>
        <w:rPr>
          <w:snapToGrid w:val="0"/>
        </w:rPr>
      </w:pPr>
      <w:r>
        <w:rPr>
          <w:snapToGrid w:val="0"/>
        </w:rPr>
        <w:t xml:space="preserve">Use of the services described in paragraph </w:t>
      </w:r>
      <w:r>
        <w:rPr>
          <w:snapToGrid w:val="0"/>
        </w:rPr>
        <w:fldChar w:fldCharType="begin"/>
      </w:r>
      <w:r>
        <w:rPr>
          <w:snapToGrid w:val="0"/>
        </w:rPr>
        <w:instrText xml:space="preserve"> REF _Ref461552583 \n \h </w:instrText>
      </w:r>
      <w:r>
        <w:rPr>
          <w:snapToGrid w:val="0"/>
        </w:rPr>
      </w:r>
      <w:r>
        <w:rPr>
          <w:snapToGrid w:val="0"/>
        </w:rPr>
        <w:fldChar w:fldCharType="separate"/>
      </w:r>
      <w:r w:rsidR="0004083A">
        <w:rPr>
          <w:snapToGrid w:val="0"/>
        </w:rPr>
        <w:t>(f)</w:t>
      </w:r>
      <w:r>
        <w:rPr>
          <w:snapToGrid w:val="0"/>
        </w:rPr>
        <w:fldChar w:fldCharType="end"/>
      </w:r>
      <w:r>
        <w:rPr>
          <w:snapToGrid w:val="0"/>
        </w:rPr>
        <w:fldChar w:fldCharType="begin"/>
      </w:r>
      <w:r>
        <w:rPr>
          <w:snapToGrid w:val="0"/>
        </w:rPr>
        <w:instrText xml:space="preserve"> REF _Ref461552715 \n \h </w:instrText>
      </w:r>
      <w:r>
        <w:rPr>
          <w:snapToGrid w:val="0"/>
        </w:rPr>
      </w:r>
      <w:r>
        <w:rPr>
          <w:snapToGrid w:val="0"/>
        </w:rPr>
        <w:fldChar w:fldCharType="separate"/>
      </w:r>
      <w:r w:rsidR="0004083A">
        <w:rPr>
          <w:snapToGrid w:val="0"/>
        </w:rPr>
        <w:t>(i)</w:t>
      </w:r>
      <w:r>
        <w:rPr>
          <w:snapToGrid w:val="0"/>
        </w:rPr>
        <w:fldChar w:fldCharType="end"/>
      </w:r>
      <w:r>
        <w:rPr>
          <w:snapToGrid w:val="0"/>
        </w:rPr>
        <w:t xml:space="preserve"> above is separate to and is not included in </w:t>
      </w:r>
      <w:r>
        <w:rPr>
          <w:i/>
          <w:snapToGrid w:val="0"/>
        </w:rPr>
        <w:t>your</w:t>
      </w:r>
      <w:r>
        <w:rPr>
          <w:snapToGrid w:val="0"/>
        </w:rPr>
        <w:t xml:space="preserve"> </w:t>
      </w:r>
      <w:r>
        <w:t>'Mobile Internet Data Value'.</w:t>
      </w:r>
    </w:p>
    <w:p w14:paraId="66A81986" w14:textId="77777777" w:rsidR="000D07EA" w:rsidRDefault="00BE7C89">
      <w:pPr>
        <w:pStyle w:val="Heading8"/>
        <w:rPr>
          <w:b/>
        </w:rPr>
      </w:pPr>
      <w:r>
        <w:t xml:space="preserve">These features are only available to </w:t>
      </w:r>
      <w:r>
        <w:rPr>
          <w:i/>
        </w:rPr>
        <w:t>you</w:t>
      </w:r>
      <w:r>
        <w:t xml:space="preserve"> if </w:t>
      </w:r>
      <w:r>
        <w:rPr>
          <w:i/>
        </w:rPr>
        <w:t>your</w:t>
      </w:r>
      <w:r>
        <w:t xml:space="preserve"> handset is compatible with the service.</w:t>
      </w:r>
    </w:p>
    <w:p w14:paraId="59E80F95" w14:textId="77777777" w:rsidR="000D07EA" w:rsidRDefault="00BE7C89">
      <w:pPr>
        <w:pStyle w:val="Heading8"/>
        <w:rPr>
          <w:b/>
        </w:rPr>
      </w:pPr>
      <w:bookmarkStart w:id="620" w:name="_Ref461552700"/>
      <w:r>
        <w:t>The Fair Go Policy (</w:t>
      </w:r>
      <w:hyperlink r:id="rId439" w:history="1">
        <w:r>
          <w:rPr>
            <w:rStyle w:val="Hyperlink"/>
            <w:i/>
          </w:rPr>
          <w:t>Appendix S</w:t>
        </w:r>
      </w:hyperlink>
      <w:r>
        <w:t xml:space="preserve">) applies for the use of Unlimited Facebook®, Twitter®, </w:t>
      </w:r>
      <w:r>
        <w:rPr>
          <w:snapToGrid w:val="0"/>
        </w:rPr>
        <w:t>LinkedIn, eBay, Foursquare,</w:t>
      </w:r>
      <w:r>
        <w:t xml:space="preserve"> and MySpace. Please refer to </w:t>
      </w:r>
      <w:hyperlink r:id="rId440" w:history="1">
        <w:r w:rsidR="008D6257">
          <w:rPr>
            <w:rStyle w:val="Hyperlink"/>
            <w:i/>
          </w:rPr>
          <w:t>Appendix S</w:t>
        </w:r>
      </w:hyperlink>
      <w:r>
        <w:t>for further details.</w:t>
      </w:r>
      <w:bookmarkEnd w:id="620"/>
    </w:p>
    <w:p w14:paraId="36AAA22B" w14:textId="77777777" w:rsidR="000D07EA" w:rsidRDefault="00BE7C89">
      <w:pPr>
        <w:pStyle w:val="Heading7"/>
        <w:keepNext/>
        <w:rPr>
          <w:b/>
        </w:rPr>
      </w:pPr>
      <w:bookmarkStart w:id="621" w:name="_Ref461552591"/>
      <w:r>
        <w:rPr>
          <w:b/>
        </w:rPr>
        <w:t>Unlimited standard national SMS on the $35 Business Complete Plan (4G Sept 2012), $50 Business Complete Plan (4G Sept 2012), $60 Business Complete Plan (4GSept 2012), $80 Business Complete Plan (4G Sept 2012)</w:t>
      </w:r>
      <w:bookmarkEnd w:id="621"/>
      <w:r>
        <w:rPr>
          <w:b/>
        </w:rPr>
        <w:t xml:space="preserve"> </w:t>
      </w:r>
    </w:p>
    <w:p w14:paraId="4B1C19B2" w14:textId="77777777" w:rsidR="000D07EA" w:rsidRDefault="00BE7C89">
      <w:pPr>
        <w:pStyle w:val="Heading8"/>
      </w:pPr>
      <w:r>
        <w:rPr>
          <w:i/>
        </w:rPr>
        <w:t xml:space="preserve">You </w:t>
      </w:r>
      <w:r>
        <w:t>may send unlimited standard national SMS to Australian mobiles within Australia.</w:t>
      </w:r>
    </w:p>
    <w:p w14:paraId="1012A5D9" w14:textId="77777777" w:rsidR="000D07EA" w:rsidRDefault="00BE7C89">
      <w:pPr>
        <w:pStyle w:val="Heading8"/>
      </w:pPr>
      <w:r>
        <w:t>Unlimited SMS excludes Satellite, International, Premium, Group and Email SMS.</w:t>
      </w:r>
    </w:p>
    <w:p w14:paraId="367123B0" w14:textId="77777777" w:rsidR="000D07EA" w:rsidRDefault="00BE7C89">
      <w:pPr>
        <w:pStyle w:val="Heading8"/>
      </w:pPr>
      <w:r>
        <w:rPr>
          <w:i/>
        </w:rPr>
        <w:t xml:space="preserve">You </w:t>
      </w:r>
      <w:r>
        <w:t>must pay for any SMS that are not included as unlimited standard national SMS.</w:t>
      </w:r>
    </w:p>
    <w:p w14:paraId="2D72F712" w14:textId="77777777" w:rsidR="000D07EA" w:rsidRDefault="00BE7C89">
      <w:pPr>
        <w:pStyle w:val="Heading8"/>
      </w:pPr>
      <w:r>
        <w:t xml:space="preserve">Unlimited standard national SMS is only available for personal use and is not to be used for commercial purposes. For further details refer to </w:t>
      </w:r>
      <w:hyperlink r:id="rId441" w:history="1">
        <w:r w:rsidR="008D6257">
          <w:rPr>
            <w:rStyle w:val="Hyperlink"/>
            <w:i/>
          </w:rPr>
          <w:t>Appendix S</w:t>
        </w:r>
      </w:hyperlink>
      <w:r w:rsidRPr="008D6257">
        <w:t>.</w:t>
      </w:r>
    </w:p>
    <w:p w14:paraId="2E7D491A" w14:textId="77777777" w:rsidR="000D07EA" w:rsidRDefault="00BE7C89">
      <w:pPr>
        <w:pStyle w:val="Heading8"/>
      </w:pPr>
      <w:r>
        <w:t>Fair Go Policy (</w:t>
      </w:r>
      <w:hyperlink r:id="rId442" w:history="1">
        <w:r>
          <w:rPr>
            <w:rStyle w:val="Hyperlink"/>
            <w:i/>
          </w:rPr>
          <w:t>Appendix S</w:t>
        </w:r>
      </w:hyperlink>
      <w:r>
        <w:t xml:space="preserve">) applies. Please refer to </w:t>
      </w:r>
      <w:r>
        <w:rPr>
          <w:i/>
        </w:rPr>
        <w:t>Appendix</w:t>
      </w:r>
      <w:r w:rsidR="00DD7FB0">
        <w:rPr>
          <w:i/>
        </w:rPr>
        <w:t>S</w:t>
      </w:r>
      <w:r>
        <w:rPr>
          <w:i/>
        </w:rPr>
        <w:t>W</w:t>
      </w:r>
      <w:r>
        <w:t xml:space="preserve"> for further details. </w:t>
      </w:r>
    </w:p>
    <w:p w14:paraId="176A42F0" w14:textId="77777777" w:rsidR="000D07EA" w:rsidRDefault="00BE7C89">
      <w:pPr>
        <w:pStyle w:val="Heading7"/>
        <w:rPr>
          <w:b/>
        </w:rPr>
      </w:pPr>
      <w:bookmarkStart w:id="622" w:name="_Ref461552599"/>
      <w:r>
        <w:rPr>
          <w:b/>
        </w:rPr>
        <w:t>Unlimited National Mobile Voice Calls Optus to Optus within Australia on the Business Complete Plan $60 Business Complete Plan (4G Sept 2012), $80 Business Complete Plan (4G Sept2012)</w:t>
      </w:r>
      <w:bookmarkEnd w:id="622"/>
    </w:p>
    <w:p w14:paraId="6296B884" w14:textId="77777777" w:rsidR="000D07EA" w:rsidRDefault="00BE7C89">
      <w:pPr>
        <w:pStyle w:val="Heading8"/>
      </w:pPr>
      <w:r>
        <w:rPr>
          <w:i/>
        </w:rPr>
        <w:t xml:space="preserve">You </w:t>
      </w:r>
      <w:r>
        <w:t xml:space="preserve">will receive the Unlimited National Mobile Voice Calls Optus to Optus offer. </w:t>
      </w:r>
    </w:p>
    <w:p w14:paraId="4B319D28" w14:textId="77777777" w:rsidR="000D07EA" w:rsidRDefault="00BE7C89">
      <w:pPr>
        <w:pStyle w:val="Heading8"/>
      </w:pPr>
      <w:r>
        <w:t xml:space="preserve">This means </w:t>
      </w:r>
      <w:r>
        <w:rPr>
          <w:i/>
        </w:rPr>
        <w:t>you</w:t>
      </w:r>
      <w:r>
        <w:t xml:space="preserve"> can make unlimited voice calls from </w:t>
      </w:r>
      <w:r>
        <w:rPr>
          <w:i/>
        </w:rPr>
        <w:t>your Optus</w:t>
      </w:r>
      <w:r>
        <w:t xml:space="preserve"> mobile to any other </w:t>
      </w:r>
      <w:r>
        <w:rPr>
          <w:i/>
        </w:rPr>
        <w:t>Optus</w:t>
      </w:r>
      <w:r>
        <w:t xml:space="preserve"> mobile from within Australia. </w:t>
      </w:r>
    </w:p>
    <w:p w14:paraId="4966F560" w14:textId="77777777" w:rsidR="000D07EA" w:rsidRDefault="00BE7C89">
      <w:pPr>
        <w:pStyle w:val="Heading8"/>
      </w:pPr>
      <w:r>
        <w:t xml:space="preserve">The call types that are </w:t>
      </w:r>
      <w:r>
        <w:rPr>
          <w:b/>
        </w:rPr>
        <w:t>'eligible calls'</w:t>
      </w:r>
      <w:r>
        <w:t xml:space="preserve"> for the Unlimited National Mobile Voice Calls Optus to Optus offer under the Business Complete Plans are defined in Table 1C below.</w:t>
      </w:r>
    </w:p>
    <w:p w14:paraId="0DE048A8" w14:textId="77777777" w:rsidR="000D07EA" w:rsidRDefault="00BE7C89">
      <w:pPr>
        <w:pStyle w:val="Heading8"/>
      </w:pPr>
      <w:r>
        <w:rPr>
          <w:i/>
        </w:rPr>
        <w:t xml:space="preserve">You </w:t>
      </w:r>
      <w:r>
        <w:t>must pay for any calls that are not eligible calls.</w:t>
      </w:r>
    </w:p>
    <w:p w14:paraId="70501445" w14:textId="77777777" w:rsidR="000D07EA" w:rsidRDefault="00BE7C89">
      <w:pPr>
        <w:pStyle w:val="Heading8"/>
      </w:pPr>
      <w:r>
        <w:t>The Fair Go Policy (</w:t>
      </w:r>
      <w:hyperlink r:id="rId443" w:history="1">
        <w:r>
          <w:rPr>
            <w:rStyle w:val="Hyperlink"/>
            <w:i/>
          </w:rPr>
          <w:t>Appendix S</w:t>
        </w:r>
      </w:hyperlink>
      <w:r>
        <w:t xml:space="preserve">) applies for the use of Unlimited National Mobile Voice Calls Optus to Optus offer. Please refer to </w:t>
      </w:r>
      <w:hyperlink r:id="rId444" w:history="1">
        <w:r w:rsidR="008D6257">
          <w:rPr>
            <w:rStyle w:val="Hyperlink"/>
            <w:i/>
          </w:rPr>
          <w:t>Appendix S</w:t>
        </w:r>
      </w:hyperlink>
      <w:r>
        <w:rPr>
          <w:i/>
        </w:rPr>
        <w:t xml:space="preserve"> </w:t>
      </w:r>
      <w:r>
        <w:t xml:space="preserve">for further details. </w:t>
      </w:r>
    </w:p>
    <w:p w14:paraId="4B268098" w14:textId="77777777" w:rsidR="000D07EA" w:rsidRDefault="00BE7C89">
      <w:pPr>
        <w:pStyle w:val="Heading7"/>
        <w:rPr>
          <w:b/>
        </w:rPr>
      </w:pPr>
      <w:bookmarkStart w:id="623" w:name="_Ref461552607"/>
      <w:r>
        <w:rPr>
          <w:b/>
        </w:rPr>
        <w:t>Unlimited calls to Optus Mobiles on the same Customer Account Number.</w:t>
      </w:r>
      <w:bookmarkEnd w:id="623"/>
    </w:p>
    <w:p w14:paraId="1F2025DB" w14:textId="77777777" w:rsidR="000D07EA" w:rsidRDefault="00BE7C89">
      <w:pPr>
        <w:pStyle w:val="Heading8"/>
        <w:rPr>
          <w:b/>
        </w:rPr>
      </w:pPr>
      <w:r>
        <w:t xml:space="preserve">If </w:t>
      </w:r>
      <w:r>
        <w:rPr>
          <w:i/>
        </w:rPr>
        <w:t xml:space="preserve">you </w:t>
      </w:r>
      <w:r>
        <w:t xml:space="preserve">connect to the Business Complete Plans, </w:t>
      </w:r>
      <w:r>
        <w:rPr>
          <w:i/>
        </w:rPr>
        <w:t>you</w:t>
      </w:r>
      <w:r>
        <w:t xml:space="preserve"> can make unlimited national voice calls within Australia to other </w:t>
      </w:r>
      <w:r>
        <w:rPr>
          <w:i/>
        </w:rPr>
        <w:t>Optus</w:t>
      </w:r>
      <w:r>
        <w:t xml:space="preserve"> mobile services on the same customer account number for no additional cost. Fair Go Policy (</w:t>
      </w:r>
      <w:hyperlink r:id="rId445" w:history="1">
        <w:r>
          <w:rPr>
            <w:rStyle w:val="Hyperlink"/>
            <w:i/>
          </w:rPr>
          <w:t>Appendix S</w:t>
        </w:r>
      </w:hyperlink>
      <w:r>
        <w:t>) applies</w:t>
      </w:r>
      <w:r>
        <w:rPr>
          <w:rFonts w:cs="Arial"/>
        </w:rPr>
        <w:t>.</w:t>
      </w:r>
    </w:p>
    <w:p w14:paraId="2F5905D8" w14:textId="77777777" w:rsidR="000D07EA" w:rsidRDefault="00BE7C89">
      <w:pPr>
        <w:pStyle w:val="Heading8"/>
      </w:pPr>
      <w:r>
        <w:rPr>
          <w:i/>
        </w:rPr>
        <w:t>You</w:t>
      </w:r>
      <w:r>
        <w:t xml:space="preserve"> must pay for any calls that are not eligible calls.</w:t>
      </w:r>
    </w:p>
    <w:p w14:paraId="05420DA8" w14:textId="77777777" w:rsidR="000D07EA" w:rsidRDefault="00BE7C89">
      <w:pPr>
        <w:pStyle w:val="Heading8"/>
      </w:pPr>
      <w:r>
        <w:t>The Fair Go Policy (</w:t>
      </w:r>
      <w:hyperlink r:id="rId446" w:history="1">
        <w:r>
          <w:rPr>
            <w:rStyle w:val="Hyperlink"/>
            <w:i/>
          </w:rPr>
          <w:t>Appendix S</w:t>
        </w:r>
      </w:hyperlink>
      <w:r>
        <w:t xml:space="preserve">) applies for the use of Unlimited </w:t>
      </w:r>
      <w:r>
        <w:rPr>
          <w:i/>
        </w:rPr>
        <w:t>Optus</w:t>
      </w:r>
      <w:r>
        <w:t xml:space="preserve"> mobile voice calls on the same Customer Account Number Offer. Please refer to </w:t>
      </w:r>
      <w:hyperlink r:id="rId447" w:history="1">
        <w:r w:rsidR="008D6257">
          <w:rPr>
            <w:rStyle w:val="Hyperlink"/>
            <w:i/>
          </w:rPr>
          <w:t>Appendix S</w:t>
        </w:r>
      </w:hyperlink>
      <w:r>
        <w:t>for further details.</w:t>
      </w:r>
    </w:p>
    <w:p w14:paraId="5212A5DF" w14:textId="77777777" w:rsidR="000D07EA" w:rsidRDefault="00BE7C89">
      <w:pPr>
        <w:pStyle w:val="Heading7"/>
        <w:rPr>
          <w:b/>
        </w:rPr>
      </w:pPr>
      <w:bookmarkStart w:id="624" w:name="_Ref461552615"/>
      <w:r>
        <w:rPr>
          <w:b/>
        </w:rPr>
        <w:t xml:space="preserve">Upon connection to the Business Complete plans </w:t>
      </w:r>
      <w:r>
        <w:rPr>
          <w:b/>
          <w:i/>
        </w:rPr>
        <w:t>you</w:t>
      </w:r>
      <w:r>
        <w:rPr>
          <w:b/>
        </w:rPr>
        <w:t xml:space="preserve"> will receive Unlimited VoiceMail.</w:t>
      </w:r>
      <w:bookmarkEnd w:id="624"/>
      <w:r>
        <w:rPr>
          <w:b/>
        </w:rPr>
        <w:t xml:space="preserve"> </w:t>
      </w:r>
    </w:p>
    <w:p w14:paraId="30722C90" w14:textId="77777777" w:rsidR="000D07EA" w:rsidRDefault="00BE7C89">
      <w:pPr>
        <w:pStyle w:val="BodyText"/>
        <w:ind w:left="1440"/>
      </w:pPr>
      <w:r>
        <w:t>Unlimited VoiceMail applies to VoiceMail Deposits and Retrievals, within Australia. Subject to Fair Go Policy (</w:t>
      </w:r>
      <w:hyperlink r:id="rId448" w:history="1">
        <w:r>
          <w:rPr>
            <w:rStyle w:val="Hyperlink"/>
            <w:i/>
          </w:rPr>
          <w:t>Appendix S</w:t>
        </w:r>
      </w:hyperlink>
      <w:r>
        <w:t>).</w:t>
      </w:r>
    </w:p>
    <w:p w14:paraId="27244DE8" w14:textId="77777777" w:rsidR="000D07EA" w:rsidRDefault="00BE7C89">
      <w:pPr>
        <w:pStyle w:val="Heading7"/>
        <w:rPr>
          <w:b/>
        </w:rPr>
      </w:pPr>
      <w:r>
        <w:rPr>
          <w:b/>
        </w:rPr>
        <w:lastRenderedPageBreak/>
        <w:t>Other Business Complete Plans Conditions and Offers</w:t>
      </w:r>
    </w:p>
    <w:p w14:paraId="36CD7C99" w14:textId="77777777" w:rsidR="000D07EA" w:rsidRDefault="00BE7C89">
      <w:pPr>
        <w:pStyle w:val="Heading8"/>
      </w:pPr>
      <w:r>
        <w:t>The Fair Go Policy (</w:t>
      </w:r>
      <w:hyperlink r:id="rId449" w:history="1">
        <w:r>
          <w:rPr>
            <w:rStyle w:val="Hyperlink"/>
            <w:i/>
          </w:rPr>
          <w:t>Appendix S</w:t>
        </w:r>
      </w:hyperlink>
      <w:r>
        <w:t>) applies to Voice Over Internet Protocol (VOIP) services up to 10 megabytes per month</w:t>
      </w:r>
      <w:r>
        <w:rPr>
          <w:rFonts w:ascii="DIN" w:hAnsi="DIN" w:cs="DIN"/>
          <w:color w:val="000000"/>
          <w:sz w:val="18"/>
        </w:rPr>
        <w:t>.</w:t>
      </w:r>
      <w:r>
        <w:t xml:space="preserve"> Please refer to </w:t>
      </w:r>
      <w:hyperlink r:id="rId450" w:history="1">
        <w:r w:rsidR="008D6257">
          <w:rPr>
            <w:rStyle w:val="Hyperlink"/>
            <w:i/>
          </w:rPr>
          <w:t>Appendix S</w:t>
        </w:r>
      </w:hyperlink>
      <w:r w:rsidRPr="008D6257">
        <w:rPr>
          <w:i/>
        </w:rPr>
        <w:t>.</w:t>
      </w:r>
    </w:p>
    <w:p w14:paraId="0431BFB8" w14:textId="77777777" w:rsidR="000D07EA" w:rsidRDefault="00BE7C89">
      <w:pPr>
        <w:pStyle w:val="Heading8"/>
      </w:pPr>
      <w:r>
        <w:t xml:space="preserve">Voice Over Internet Protocol (VOIP) services will be charged at 1.5c per kilobyte of usage, capped at $9.90 per month until </w:t>
      </w:r>
      <w:r>
        <w:rPr>
          <w:i/>
        </w:rPr>
        <w:t xml:space="preserve">you </w:t>
      </w:r>
      <w:r>
        <w:t xml:space="preserve">reach 5 megabytes of usage in that month, after which </w:t>
      </w:r>
      <w:r>
        <w:rPr>
          <w:i/>
        </w:rPr>
        <w:t xml:space="preserve">you </w:t>
      </w:r>
      <w:r>
        <w:t>will be charged at 0.3c per kilobyte of usage for the remainder of that month.</w:t>
      </w:r>
    </w:p>
    <w:p w14:paraId="0394A9EC" w14:textId="77777777" w:rsidR="000D07EA" w:rsidRDefault="00BE7C89">
      <w:pPr>
        <w:pStyle w:val="Heading8"/>
      </w:pPr>
      <w:r>
        <w:t xml:space="preserve">Some handsets are locked to </w:t>
      </w:r>
      <w:r>
        <w:rPr>
          <w:i/>
        </w:rPr>
        <w:t xml:space="preserve">our </w:t>
      </w:r>
      <w:r>
        <w:t xml:space="preserve">network. If </w:t>
      </w:r>
      <w:r>
        <w:rPr>
          <w:i/>
        </w:rPr>
        <w:t>you</w:t>
      </w:r>
      <w:r>
        <w:t xml:space="preserve"> wish to unlock one of these handsets </w:t>
      </w:r>
      <w:r>
        <w:rPr>
          <w:i/>
        </w:rPr>
        <w:t>you</w:t>
      </w:r>
      <w:r>
        <w:t xml:space="preserve"> should call </w:t>
      </w:r>
      <w:r>
        <w:rPr>
          <w:i/>
        </w:rPr>
        <w:t xml:space="preserve">our </w:t>
      </w:r>
      <w:r>
        <w:t xml:space="preserve">Customer Service centre. </w:t>
      </w:r>
    </w:p>
    <w:p w14:paraId="79477F6C" w14:textId="77777777" w:rsidR="000D07EA" w:rsidRDefault="00BE7C89">
      <w:pPr>
        <w:pStyle w:val="Heading8"/>
      </w:pPr>
      <w:r>
        <w:t xml:space="preserve">Available features will vary depending on </w:t>
      </w:r>
      <w:r>
        <w:rPr>
          <w:i/>
        </w:rPr>
        <w:t>your</w:t>
      </w:r>
      <w:r>
        <w:t xml:space="preserve"> handset or software version.</w:t>
      </w:r>
    </w:p>
    <w:p w14:paraId="46F05762" w14:textId="77777777" w:rsidR="000D07EA" w:rsidRDefault="00BE7C89">
      <w:pPr>
        <w:pStyle w:val="Heading7"/>
        <w:rPr>
          <w:b/>
        </w:rPr>
      </w:pPr>
      <w:r>
        <w:rPr>
          <w:b/>
        </w:rPr>
        <w:t>Eligible Calls and Pricing Plans</w:t>
      </w:r>
    </w:p>
    <w:p w14:paraId="0D551BE7" w14:textId="77777777" w:rsidR="000D07EA" w:rsidRDefault="00BE7C89">
      <w:pPr>
        <w:pStyle w:val="Heading8"/>
      </w:pPr>
      <w:r>
        <w:t xml:space="preserve">Table 1A below indicates whether particular call and message types are an 'eligible call and text' which count towards the 'Included Value' and Minimum Monthly Charge of </w:t>
      </w:r>
      <w:r>
        <w:rPr>
          <w:i/>
        </w:rPr>
        <w:t xml:space="preserve">your </w:t>
      </w:r>
      <w:r>
        <w:t xml:space="preserve">selected Business Complete Plan. </w:t>
      </w:r>
    </w:p>
    <w:p w14:paraId="151C2378" w14:textId="77777777" w:rsidR="000D07EA" w:rsidRDefault="00BE7C89">
      <w:pPr>
        <w:pStyle w:val="Heading8"/>
      </w:pPr>
      <w:r>
        <w:t xml:space="preserve">Table 1B below indicates whether a particular data type is 'eligible data usage' which counts towards the data value of </w:t>
      </w:r>
      <w:r>
        <w:rPr>
          <w:i/>
        </w:rPr>
        <w:t xml:space="preserve">your </w:t>
      </w:r>
      <w:r>
        <w:t xml:space="preserve">selected Business Complete Plan. </w:t>
      </w:r>
    </w:p>
    <w:p w14:paraId="73896F0F" w14:textId="77777777" w:rsidR="000D07EA" w:rsidRDefault="00BE7C89">
      <w:pPr>
        <w:pStyle w:val="Heading8"/>
      </w:pPr>
      <w:r>
        <w:t xml:space="preserve">Table 2A below contains details of each Business Complete Plan. </w:t>
      </w:r>
    </w:p>
    <w:p w14:paraId="7A7682B0" w14:textId="77777777" w:rsidR="000D07EA" w:rsidRDefault="00BE7C89">
      <w:pPr>
        <w:pStyle w:val="BodyText"/>
        <w:keepNext/>
        <w:ind w:left="720"/>
        <w:rPr>
          <w:b/>
        </w:rPr>
      </w:pPr>
      <w:r>
        <w:rPr>
          <w:b/>
        </w:rPr>
        <w:t>Table 1A –- Eligible Calls and Text for the Included Value</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875"/>
        <w:gridCol w:w="2880"/>
      </w:tblGrid>
      <w:tr w:rsidR="000D07EA" w14:paraId="2EC68953" w14:textId="77777777">
        <w:trPr>
          <w:trHeight w:val="58"/>
          <w:tblHeader/>
        </w:trPr>
        <w:tc>
          <w:tcPr>
            <w:tcW w:w="5875" w:type="dxa"/>
          </w:tcPr>
          <w:p w14:paraId="2F809E0A" w14:textId="77777777" w:rsidR="000D07EA" w:rsidRDefault="00BE7C89" w:rsidP="0051170A">
            <w:pPr>
              <w:pStyle w:val="BodyText"/>
              <w:keepNext/>
              <w:spacing w:before="100" w:after="100"/>
              <w:rPr>
                <w:b/>
                <w:szCs w:val="20"/>
              </w:rPr>
            </w:pPr>
            <w:r>
              <w:rPr>
                <w:b/>
                <w:szCs w:val="20"/>
              </w:rPr>
              <w:t>Call Type</w:t>
            </w:r>
          </w:p>
        </w:tc>
        <w:tc>
          <w:tcPr>
            <w:tcW w:w="2880" w:type="dxa"/>
          </w:tcPr>
          <w:p w14:paraId="743BA219" w14:textId="77777777" w:rsidR="000D07EA" w:rsidRDefault="00BE7C89" w:rsidP="0051170A">
            <w:pPr>
              <w:pStyle w:val="BodyText"/>
              <w:keepNext/>
              <w:spacing w:before="100" w:after="100"/>
              <w:rPr>
                <w:b/>
                <w:szCs w:val="20"/>
              </w:rPr>
            </w:pPr>
            <w:r>
              <w:rPr>
                <w:b/>
                <w:szCs w:val="20"/>
              </w:rPr>
              <w:t xml:space="preserve">Eligible Call </w:t>
            </w:r>
          </w:p>
        </w:tc>
      </w:tr>
      <w:tr w:rsidR="000D07EA" w14:paraId="49085A9E" w14:textId="77777777">
        <w:trPr>
          <w:trHeight w:val="58"/>
        </w:trPr>
        <w:tc>
          <w:tcPr>
            <w:tcW w:w="5875" w:type="dxa"/>
          </w:tcPr>
          <w:p w14:paraId="118F12E4" w14:textId="77777777" w:rsidR="000D07EA" w:rsidRDefault="00BE7C89">
            <w:pPr>
              <w:pStyle w:val="BodyText"/>
              <w:spacing w:before="100" w:after="100"/>
              <w:rPr>
                <w:szCs w:val="20"/>
              </w:rPr>
            </w:pPr>
            <w:r>
              <w:rPr>
                <w:szCs w:val="20"/>
              </w:rPr>
              <w:t>Standard National Voice Calls</w:t>
            </w:r>
          </w:p>
        </w:tc>
        <w:tc>
          <w:tcPr>
            <w:tcW w:w="2880" w:type="dxa"/>
          </w:tcPr>
          <w:p w14:paraId="38D47139" w14:textId="77777777" w:rsidR="000D07EA" w:rsidRDefault="00BE7C89">
            <w:pPr>
              <w:pStyle w:val="BodyText"/>
              <w:spacing w:before="100" w:after="100"/>
              <w:rPr>
                <w:szCs w:val="20"/>
              </w:rPr>
            </w:pPr>
            <w:r>
              <w:rPr>
                <w:szCs w:val="20"/>
              </w:rPr>
              <w:t>Yes</w:t>
            </w:r>
          </w:p>
        </w:tc>
      </w:tr>
      <w:tr w:rsidR="000D07EA" w14:paraId="5126E715" w14:textId="77777777">
        <w:trPr>
          <w:trHeight w:val="58"/>
        </w:trPr>
        <w:tc>
          <w:tcPr>
            <w:tcW w:w="5875" w:type="dxa"/>
          </w:tcPr>
          <w:p w14:paraId="6089411A" w14:textId="77777777" w:rsidR="000D07EA" w:rsidRDefault="00BE7C89">
            <w:pPr>
              <w:pStyle w:val="BodyText"/>
              <w:spacing w:before="100" w:after="100"/>
              <w:rPr>
                <w:szCs w:val="20"/>
              </w:rPr>
            </w:pPr>
            <w:r>
              <w:rPr>
                <w:szCs w:val="20"/>
              </w:rPr>
              <w:t>International Voice Calls</w:t>
            </w:r>
          </w:p>
          <w:p w14:paraId="0C937D42" w14:textId="77777777" w:rsidR="000D07EA" w:rsidRDefault="00BE7C89">
            <w:pPr>
              <w:pStyle w:val="BodyText"/>
              <w:spacing w:before="100" w:after="100"/>
              <w:rPr>
                <w:szCs w:val="20"/>
              </w:rPr>
            </w:pPr>
            <w:r>
              <w:rPr>
                <w:snapToGrid w:val="0"/>
                <w:szCs w:val="20"/>
              </w:rPr>
              <w:t>(includes calls to national fixed or mobile services that then divert/switch or re-route overseas)</w:t>
            </w:r>
          </w:p>
        </w:tc>
        <w:tc>
          <w:tcPr>
            <w:tcW w:w="2880" w:type="dxa"/>
          </w:tcPr>
          <w:p w14:paraId="1138F54B" w14:textId="77777777" w:rsidR="000D07EA" w:rsidRDefault="00BE7C89">
            <w:pPr>
              <w:pStyle w:val="BodyText"/>
              <w:spacing w:before="100" w:after="100"/>
              <w:rPr>
                <w:szCs w:val="20"/>
              </w:rPr>
            </w:pPr>
            <w:r>
              <w:rPr>
                <w:szCs w:val="20"/>
              </w:rPr>
              <w:t xml:space="preserve">No </w:t>
            </w:r>
          </w:p>
        </w:tc>
      </w:tr>
      <w:tr w:rsidR="000D07EA" w14:paraId="6BEEFF6B" w14:textId="77777777">
        <w:trPr>
          <w:trHeight w:val="20"/>
        </w:trPr>
        <w:tc>
          <w:tcPr>
            <w:tcW w:w="5875" w:type="dxa"/>
          </w:tcPr>
          <w:p w14:paraId="5C7BEA3E" w14:textId="77777777" w:rsidR="000D07EA" w:rsidRDefault="00BE7C89">
            <w:pPr>
              <w:pStyle w:val="BodyText"/>
              <w:spacing w:before="100" w:after="100"/>
              <w:rPr>
                <w:szCs w:val="20"/>
              </w:rPr>
            </w:pPr>
            <w:r>
              <w:rPr>
                <w:szCs w:val="20"/>
              </w:rPr>
              <w:t>Standard National Video Calls</w:t>
            </w:r>
          </w:p>
        </w:tc>
        <w:tc>
          <w:tcPr>
            <w:tcW w:w="2880" w:type="dxa"/>
          </w:tcPr>
          <w:p w14:paraId="18D62FA8" w14:textId="77777777" w:rsidR="000D07EA" w:rsidRDefault="00BE7C89">
            <w:pPr>
              <w:pStyle w:val="BodyText"/>
              <w:spacing w:before="100" w:after="100"/>
              <w:rPr>
                <w:szCs w:val="20"/>
              </w:rPr>
            </w:pPr>
            <w:r>
              <w:rPr>
                <w:szCs w:val="20"/>
              </w:rPr>
              <w:t>No</w:t>
            </w:r>
          </w:p>
        </w:tc>
      </w:tr>
      <w:tr w:rsidR="000D07EA" w14:paraId="4FCE9764" w14:textId="77777777">
        <w:trPr>
          <w:trHeight w:val="20"/>
        </w:trPr>
        <w:tc>
          <w:tcPr>
            <w:tcW w:w="5875" w:type="dxa"/>
          </w:tcPr>
          <w:p w14:paraId="4AC99F56" w14:textId="77777777" w:rsidR="000D07EA" w:rsidRDefault="00BE7C89">
            <w:pPr>
              <w:pStyle w:val="BodyText"/>
              <w:spacing w:before="100" w:after="100"/>
              <w:rPr>
                <w:szCs w:val="20"/>
              </w:rPr>
            </w:pPr>
            <w:r>
              <w:rPr>
                <w:szCs w:val="20"/>
              </w:rPr>
              <w:t>International Video Calls</w:t>
            </w:r>
          </w:p>
          <w:p w14:paraId="33F27CA3" w14:textId="77777777" w:rsidR="000D07EA" w:rsidRDefault="00BE7C89">
            <w:pPr>
              <w:pStyle w:val="BodyText"/>
              <w:spacing w:before="100" w:after="100"/>
              <w:rPr>
                <w:szCs w:val="20"/>
              </w:rPr>
            </w:pPr>
            <w:r>
              <w:rPr>
                <w:snapToGrid w:val="0"/>
                <w:szCs w:val="20"/>
              </w:rPr>
              <w:t>(includes calls to national fixed or mobile services that then divert/switch or re-route overseas)</w:t>
            </w:r>
          </w:p>
        </w:tc>
        <w:tc>
          <w:tcPr>
            <w:tcW w:w="2880" w:type="dxa"/>
          </w:tcPr>
          <w:p w14:paraId="78A43D3F" w14:textId="77777777" w:rsidR="000D07EA" w:rsidRDefault="00BE7C89">
            <w:pPr>
              <w:pStyle w:val="BodyText"/>
              <w:spacing w:before="100" w:after="100"/>
              <w:rPr>
                <w:szCs w:val="20"/>
              </w:rPr>
            </w:pPr>
            <w:r>
              <w:rPr>
                <w:szCs w:val="20"/>
              </w:rPr>
              <w:t>No</w:t>
            </w:r>
          </w:p>
        </w:tc>
      </w:tr>
      <w:tr w:rsidR="000D07EA" w14:paraId="5A1858A4" w14:textId="77777777">
        <w:trPr>
          <w:trHeight w:val="20"/>
        </w:trPr>
        <w:tc>
          <w:tcPr>
            <w:tcW w:w="5875" w:type="dxa"/>
          </w:tcPr>
          <w:p w14:paraId="4392BAC2" w14:textId="77777777" w:rsidR="000D07EA" w:rsidRDefault="00BE7C89">
            <w:pPr>
              <w:pStyle w:val="BodyText"/>
              <w:spacing w:before="100" w:after="100"/>
              <w:rPr>
                <w:szCs w:val="20"/>
              </w:rPr>
            </w:pPr>
            <w:r>
              <w:rPr>
                <w:szCs w:val="20"/>
              </w:rPr>
              <w:t>Standard National SMS</w:t>
            </w:r>
          </w:p>
        </w:tc>
        <w:tc>
          <w:tcPr>
            <w:tcW w:w="2880" w:type="dxa"/>
          </w:tcPr>
          <w:p w14:paraId="6F137FBD" w14:textId="77777777" w:rsidR="000D07EA" w:rsidRDefault="00BE7C89">
            <w:pPr>
              <w:pStyle w:val="BodyText"/>
              <w:spacing w:before="100" w:after="100"/>
              <w:rPr>
                <w:szCs w:val="20"/>
              </w:rPr>
            </w:pPr>
            <w:r>
              <w:rPr>
                <w:szCs w:val="20"/>
              </w:rPr>
              <w:t>Yes</w:t>
            </w:r>
          </w:p>
        </w:tc>
      </w:tr>
      <w:tr w:rsidR="000D07EA" w14:paraId="1DE76BBB" w14:textId="77777777">
        <w:trPr>
          <w:trHeight w:val="20"/>
        </w:trPr>
        <w:tc>
          <w:tcPr>
            <w:tcW w:w="5875" w:type="dxa"/>
          </w:tcPr>
          <w:p w14:paraId="730D6377" w14:textId="77777777" w:rsidR="000D07EA" w:rsidRDefault="00BE7C89">
            <w:pPr>
              <w:pStyle w:val="BodyText"/>
              <w:spacing w:before="100" w:after="100"/>
              <w:rPr>
                <w:szCs w:val="20"/>
              </w:rPr>
            </w:pPr>
            <w:r>
              <w:rPr>
                <w:szCs w:val="20"/>
              </w:rPr>
              <w:t>International SMS</w:t>
            </w:r>
          </w:p>
        </w:tc>
        <w:tc>
          <w:tcPr>
            <w:tcW w:w="2880" w:type="dxa"/>
          </w:tcPr>
          <w:p w14:paraId="63ADCEE7" w14:textId="77777777" w:rsidR="000D07EA" w:rsidRDefault="00BE7C89">
            <w:pPr>
              <w:pStyle w:val="BodyText"/>
              <w:spacing w:before="100" w:after="100"/>
              <w:rPr>
                <w:szCs w:val="20"/>
              </w:rPr>
            </w:pPr>
            <w:r>
              <w:rPr>
                <w:szCs w:val="20"/>
              </w:rPr>
              <w:t>No</w:t>
            </w:r>
          </w:p>
        </w:tc>
      </w:tr>
      <w:tr w:rsidR="000D07EA" w14:paraId="7694A17E" w14:textId="77777777">
        <w:trPr>
          <w:trHeight w:val="20"/>
        </w:trPr>
        <w:tc>
          <w:tcPr>
            <w:tcW w:w="5875" w:type="dxa"/>
          </w:tcPr>
          <w:p w14:paraId="521CA96B" w14:textId="77777777" w:rsidR="000D07EA" w:rsidRDefault="00BE7C89">
            <w:pPr>
              <w:pStyle w:val="BodyText"/>
              <w:spacing w:before="100" w:after="100"/>
              <w:rPr>
                <w:szCs w:val="20"/>
              </w:rPr>
            </w:pPr>
            <w:r>
              <w:rPr>
                <w:szCs w:val="20"/>
              </w:rPr>
              <w:t>Voicemail Deposit and Retrievals</w:t>
            </w:r>
          </w:p>
        </w:tc>
        <w:tc>
          <w:tcPr>
            <w:tcW w:w="2880" w:type="dxa"/>
          </w:tcPr>
          <w:p w14:paraId="309C4876" w14:textId="77777777" w:rsidR="000D07EA" w:rsidRDefault="00BE7C89">
            <w:pPr>
              <w:pStyle w:val="BodyText"/>
              <w:spacing w:before="100" w:after="100"/>
              <w:rPr>
                <w:szCs w:val="20"/>
              </w:rPr>
            </w:pPr>
            <w:r>
              <w:rPr>
                <w:szCs w:val="20"/>
              </w:rPr>
              <w:t>Yes</w:t>
            </w:r>
          </w:p>
        </w:tc>
      </w:tr>
      <w:tr w:rsidR="000D07EA" w14:paraId="54D05DD8" w14:textId="77777777">
        <w:trPr>
          <w:trHeight w:val="20"/>
        </w:trPr>
        <w:tc>
          <w:tcPr>
            <w:tcW w:w="5875" w:type="dxa"/>
          </w:tcPr>
          <w:p w14:paraId="3F045BAE" w14:textId="77777777" w:rsidR="000D07EA" w:rsidRDefault="00BE7C89">
            <w:pPr>
              <w:pStyle w:val="BodyText"/>
              <w:spacing w:before="100" w:after="100"/>
              <w:rPr>
                <w:szCs w:val="20"/>
              </w:rPr>
            </w:pPr>
            <w:r>
              <w:rPr>
                <w:szCs w:val="20"/>
              </w:rPr>
              <w:t>National Diversions</w:t>
            </w:r>
          </w:p>
        </w:tc>
        <w:tc>
          <w:tcPr>
            <w:tcW w:w="2880" w:type="dxa"/>
          </w:tcPr>
          <w:p w14:paraId="253DF442" w14:textId="77777777" w:rsidR="000D07EA" w:rsidRDefault="00BE7C89">
            <w:pPr>
              <w:pStyle w:val="BodyText"/>
              <w:spacing w:before="100" w:after="100"/>
              <w:rPr>
                <w:szCs w:val="20"/>
              </w:rPr>
            </w:pPr>
            <w:r>
              <w:rPr>
                <w:szCs w:val="20"/>
              </w:rPr>
              <w:t>Yes</w:t>
            </w:r>
          </w:p>
        </w:tc>
      </w:tr>
      <w:tr w:rsidR="000D07EA" w14:paraId="0720D1F0" w14:textId="77777777">
        <w:trPr>
          <w:trHeight w:val="20"/>
        </w:trPr>
        <w:tc>
          <w:tcPr>
            <w:tcW w:w="5875" w:type="dxa"/>
          </w:tcPr>
          <w:p w14:paraId="58AD0773" w14:textId="77777777" w:rsidR="000D07EA" w:rsidRDefault="00BE7C89">
            <w:pPr>
              <w:pStyle w:val="BodyText"/>
              <w:spacing w:before="100" w:after="100"/>
              <w:rPr>
                <w:szCs w:val="20"/>
              </w:rPr>
            </w:pPr>
            <w:r>
              <w:rPr>
                <w:szCs w:val="20"/>
              </w:rPr>
              <w:t>International Roaming &amp; Diversions</w:t>
            </w:r>
          </w:p>
        </w:tc>
        <w:tc>
          <w:tcPr>
            <w:tcW w:w="2880" w:type="dxa"/>
          </w:tcPr>
          <w:p w14:paraId="0103BAC5" w14:textId="77777777" w:rsidR="000D07EA" w:rsidRDefault="00BE7C89">
            <w:pPr>
              <w:pStyle w:val="BodyText"/>
              <w:spacing w:before="100" w:after="100"/>
              <w:rPr>
                <w:szCs w:val="20"/>
              </w:rPr>
            </w:pPr>
            <w:r>
              <w:rPr>
                <w:szCs w:val="20"/>
              </w:rPr>
              <w:t>No</w:t>
            </w:r>
          </w:p>
        </w:tc>
      </w:tr>
      <w:tr w:rsidR="000D07EA" w14:paraId="27A8D99F" w14:textId="77777777">
        <w:trPr>
          <w:trHeight w:val="20"/>
        </w:trPr>
        <w:tc>
          <w:tcPr>
            <w:tcW w:w="5875" w:type="dxa"/>
          </w:tcPr>
          <w:p w14:paraId="1122AAC6" w14:textId="77777777" w:rsidR="000D07EA" w:rsidRDefault="00BE7C89">
            <w:pPr>
              <w:pStyle w:val="BodyText"/>
              <w:spacing w:before="100" w:after="100"/>
              <w:rPr>
                <w:szCs w:val="20"/>
              </w:rPr>
            </w:pPr>
            <w:r>
              <w:rPr>
                <w:szCs w:val="20"/>
              </w:rPr>
              <w:t>Premium SMS</w:t>
            </w:r>
          </w:p>
        </w:tc>
        <w:tc>
          <w:tcPr>
            <w:tcW w:w="2880" w:type="dxa"/>
          </w:tcPr>
          <w:p w14:paraId="79FE30F3" w14:textId="77777777" w:rsidR="000D07EA" w:rsidRDefault="00BE7C89">
            <w:pPr>
              <w:pStyle w:val="BodyText"/>
              <w:spacing w:before="100" w:after="100"/>
              <w:rPr>
                <w:szCs w:val="20"/>
              </w:rPr>
            </w:pPr>
            <w:r>
              <w:rPr>
                <w:szCs w:val="20"/>
              </w:rPr>
              <w:t>No</w:t>
            </w:r>
          </w:p>
        </w:tc>
      </w:tr>
      <w:tr w:rsidR="000D07EA" w14:paraId="2FC0329E" w14:textId="77777777">
        <w:trPr>
          <w:trHeight w:val="20"/>
        </w:trPr>
        <w:tc>
          <w:tcPr>
            <w:tcW w:w="5875" w:type="dxa"/>
          </w:tcPr>
          <w:p w14:paraId="13B163E2" w14:textId="77777777" w:rsidR="000D07EA" w:rsidRDefault="00BE7C89">
            <w:pPr>
              <w:pStyle w:val="BodyText"/>
              <w:spacing w:before="100" w:after="100"/>
              <w:rPr>
                <w:szCs w:val="20"/>
              </w:rPr>
            </w:pPr>
            <w:r>
              <w:rPr>
                <w:szCs w:val="20"/>
              </w:rPr>
              <w:t xml:space="preserve">Premium Video </w:t>
            </w:r>
          </w:p>
        </w:tc>
        <w:tc>
          <w:tcPr>
            <w:tcW w:w="2880" w:type="dxa"/>
          </w:tcPr>
          <w:p w14:paraId="175194A5" w14:textId="77777777" w:rsidR="000D07EA" w:rsidRDefault="00BE7C89">
            <w:pPr>
              <w:pStyle w:val="BodyText"/>
              <w:spacing w:before="100" w:after="100"/>
              <w:rPr>
                <w:szCs w:val="20"/>
              </w:rPr>
            </w:pPr>
            <w:r>
              <w:rPr>
                <w:szCs w:val="20"/>
              </w:rPr>
              <w:t>No</w:t>
            </w:r>
          </w:p>
        </w:tc>
      </w:tr>
      <w:tr w:rsidR="000D07EA" w14:paraId="5F7FCE02" w14:textId="77777777">
        <w:trPr>
          <w:trHeight w:val="20"/>
        </w:trPr>
        <w:tc>
          <w:tcPr>
            <w:tcW w:w="5875" w:type="dxa"/>
          </w:tcPr>
          <w:p w14:paraId="7B62A578" w14:textId="77777777" w:rsidR="000D07EA" w:rsidRDefault="00BE7C89">
            <w:pPr>
              <w:pStyle w:val="BodyText"/>
              <w:spacing w:before="100" w:after="100"/>
              <w:rPr>
                <w:szCs w:val="20"/>
              </w:rPr>
            </w:pPr>
            <w:r>
              <w:rPr>
                <w:szCs w:val="20"/>
              </w:rPr>
              <w:t xml:space="preserve">Video Conferencing </w:t>
            </w:r>
          </w:p>
        </w:tc>
        <w:tc>
          <w:tcPr>
            <w:tcW w:w="2880" w:type="dxa"/>
          </w:tcPr>
          <w:p w14:paraId="1272F724" w14:textId="77777777" w:rsidR="000D07EA" w:rsidRDefault="00BE7C89">
            <w:pPr>
              <w:pStyle w:val="BodyText"/>
              <w:spacing w:before="100" w:after="100"/>
              <w:rPr>
                <w:szCs w:val="20"/>
              </w:rPr>
            </w:pPr>
            <w:r>
              <w:rPr>
                <w:szCs w:val="20"/>
              </w:rPr>
              <w:t>No</w:t>
            </w:r>
          </w:p>
        </w:tc>
      </w:tr>
      <w:tr w:rsidR="000D07EA" w14:paraId="22EE1E5F" w14:textId="77777777">
        <w:trPr>
          <w:trHeight w:val="20"/>
        </w:trPr>
        <w:tc>
          <w:tcPr>
            <w:tcW w:w="5875" w:type="dxa"/>
          </w:tcPr>
          <w:p w14:paraId="450F09D4" w14:textId="77777777" w:rsidR="000D07EA" w:rsidRDefault="00BE7C89">
            <w:pPr>
              <w:pStyle w:val="BodyText"/>
              <w:spacing w:before="100" w:after="100"/>
              <w:rPr>
                <w:szCs w:val="20"/>
              </w:rPr>
            </w:pPr>
            <w:r>
              <w:rPr>
                <w:szCs w:val="20"/>
              </w:rPr>
              <w:t>Standard National MMS</w:t>
            </w:r>
          </w:p>
        </w:tc>
        <w:tc>
          <w:tcPr>
            <w:tcW w:w="2880" w:type="dxa"/>
          </w:tcPr>
          <w:p w14:paraId="6CF8E174" w14:textId="77777777" w:rsidR="000D07EA" w:rsidRDefault="00BE7C89">
            <w:pPr>
              <w:pStyle w:val="BodyText"/>
              <w:spacing w:before="100" w:after="100"/>
              <w:rPr>
                <w:szCs w:val="20"/>
              </w:rPr>
            </w:pPr>
            <w:r>
              <w:rPr>
                <w:szCs w:val="20"/>
              </w:rPr>
              <w:t>Yes</w:t>
            </w:r>
          </w:p>
        </w:tc>
      </w:tr>
      <w:tr w:rsidR="000D07EA" w14:paraId="34855977" w14:textId="77777777">
        <w:trPr>
          <w:trHeight w:val="20"/>
        </w:trPr>
        <w:tc>
          <w:tcPr>
            <w:tcW w:w="5875" w:type="dxa"/>
          </w:tcPr>
          <w:p w14:paraId="240FE679" w14:textId="77777777" w:rsidR="000D07EA" w:rsidRDefault="00BE7C89">
            <w:pPr>
              <w:pStyle w:val="BodyText"/>
              <w:spacing w:before="100" w:after="100"/>
              <w:rPr>
                <w:szCs w:val="20"/>
              </w:rPr>
            </w:pPr>
            <w:r>
              <w:rPr>
                <w:szCs w:val="20"/>
              </w:rPr>
              <w:t>International MMS</w:t>
            </w:r>
          </w:p>
        </w:tc>
        <w:tc>
          <w:tcPr>
            <w:tcW w:w="2880" w:type="dxa"/>
          </w:tcPr>
          <w:p w14:paraId="11098022" w14:textId="77777777" w:rsidR="000D07EA" w:rsidRDefault="00BE7C89">
            <w:pPr>
              <w:pStyle w:val="BodyText"/>
              <w:spacing w:before="100" w:after="100"/>
              <w:rPr>
                <w:szCs w:val="20"/>
              </w:rPr>
            </w:pPr>
            <w:r>
              <w:rPr>
                <w:szCs w:val="20"/>
              </w:rPr>
              <w:t>No</w:t>
            </w:r>
          </w:p>
        </w:tc>
      </w:tr>
      <w:tr w:rsidR="000D07EA" w14:paraId="48025BB8" w14:textId="77777777">
        <w:trPr>
          <w:trHeight w:val="20"/>
        </w:trPr>
        <w:tc>
          <w:tcPr>
            <w:tcW w:w="5875" w:type="dxa"/>
          </w:tcPr>
          <w:p w14:paraId="7AC5FE26" w14:textId="77777777" w:rsidR="000D07EA" w:rsidRDefault="00BE7C89">
            <w:pPr>
              <w:pStyle w:val="BodyText"/>
              <w:spacing w:before="100" w:after="100"/>
              <w:rPr>
                <w:szCs w:val="20"/>
              </w:rPr>
            </w:pPr>
            <w:r>
              <w:rPr>
                <w:szCs w:val="20"/>
              </w:rPr>
              <w:lastRenderedPageBreak/>
              <w:t>Optus iZoo Browsing</w:t>
            </w:r>
          </w:p>
        </w:tc>
        <w:tc>
          <w:tcPr>
            <w:tcW w:w="2880" w:type="dxa"/>
          </w:tcPr>
          <w:p w14:paraId="18B3E26E" w14:textId="77777777" w:rsidR="000D07EA" w:rsidRDefault="00BE7C89">
            <w:pPr>
              <w:pStyle w:val="BodyText"/>
              <w:spacing w:before="100" w:after="100"/>
              <w:rPr>
                <w:szCs w:val="20"/>
              </w:rPr>
            </w:pPr>
            <w:r>
              <w:rPr>
                <w:szCs w:val="20"/>
              </w:rPr>
              <w:t>No</w:t>
            </w:r>
          </w:p>
        </w:tc>
      </w:tr>
      <w:tr w:rsidR="000D07EA" w14:paraId="73A49C43" w14:textId="77777777">
        <w:trPr>
          <w:trHeight w:val="20"/>
        </w:trPr>
        <w:tc>
          <w:tcPr>
            <w:tcW w:w="5875" w:type="dxa"/>
          </w:tcPr>
          <w:p w14:paraId="1D857FCE" w14:textId="77777777" w:rsidR="000D07EA" w:rsidRDefault="00BE7C89">
            <w:pPr>
              <w:pStyle w:val="BodyText"/>
              <w:spacing w:before="100" w:after="100"/>
              <w:rPr>
                <w:szCs w:val="20"/>
              </w:rPr>
            </w:pPr>
            <w:r>
              <w:rPr>
                <w:szCs w:val="20"/>
              </w:rPr>
              <w:t>Optus Zoo iZoo Downloads</w:t>
            </w:r>
          </w:p>
        </w:tc>
        <w:tc>
          <w:tcPr>
            <w:tcW w:w="2880" w:type="dxa"/>
          </w:tcPr>
          <w:p w14:paraId="2584D323" w14:textId="77777777" w:rsidR="000D07EA" w:rsidRDefault="00BE7C89">
            <w:pPr>
              <w:pStyle w:val="BodyText"/>
              <w:spacing w:before="100" w:after="100"/>
              <w:rPr>
                <w:szCs w:val="20"/>
              </w:rPr>
            </w:pPr>
            <w:r>
              <w:rPr>
                <w:szCs w:val="20"/>
              </w:rPr>
              <w:t>No</w:t>
            </w:r>
          </w:p>
        </w:tc>
      </w:tr>
      <w:tr w:rsidR="000D07EA" w14:paraId="46B139BE" w14:textId="77777777">
        <w:trPr>
          <w:trHeight w:val="20"/>
        </w:trPr>
        <w:tc>
          <w:tcPr>
            <w:tcW w:w="5875" w:type="dxa"/>
          </w:tcPr>
          <w:p w14:paraId="0D0B992C" w14:textId="77777777" w:rsidR="000D07EA" w:rsidRDefault="00BE7C89">
            <w:pPr>
              <w:pStyle w:val="BodyText"/>
              <w:spacing w:before="100" w:after="100"/>
              <w:rPr>
                <w:szCs w:val="20"/>
              </w:rPr>
            </w:pPr>
            <w:r>
              <w:rPr>
                <w:szCs w:val="20"/>
              </w:rPr>
              <w:t>SMS to 966 (Zoo)</w:t>
            </w:r>
          </w:p>
        </w:tc>
        <w:tc>
          <w:tcPr>
            <w:tcW w:w="2880" w:type="dxa"/>
          </w:tcPr>
          <w:p w14:paraId="10FFF6F1" w14:textId="77777777" w:rsidR="000D07EA" w:rsidRDefault="00BE7C89">
            <w:pPr>
              <w:pStyle w:val="BodyText"/>
              <w:spacing w:before="100" w:after="100"/>
              <w:rPr>
                <w:szCs w:val="20"/>
              </w:rPr>
            </w:pPr>
            <w:r>
              <w:rPr>
                <w:szCs w:val="20"/>
              </w:rPr>
              <w:t>No</w:t>
            </w:r>
          </w:p>
        </w:tc>
      </w:tr>
      <w:tr w:rsidR="000D07EA" w14:paraId="12C66BBC" w14:textId="77777777">
        <w:trPr>
          <w:trHeight w:val="20"/>
        </w:trPr>
        <w:tc>
          <w:tcPr>
            <w:tcW w:w="5875" w:type="dxa"/>
          </w:tcPr>
          <w:p w14:paraId="1800FEB9" w14:textId="77777777" w:rsidR="000D07EA" w:rsidRDefault="00BE7C89">
            <w:pPr>
              <w:pStyle w:val="BodyText"/>
              <w:spacing w:before="100" w:after="100"/>
              <w:rPr>
                <w:szCs w:val="20"/>
              </w:rPr>
            </w:pPr>
            <w:r>
              <w:rPr>
                <w:szCs w:val="20"/>
              </w:rPr>
              <w:t>Data used whilst roaming internationally</w:t>
            </w:r>
          </w:p>
        </w:tc>
        <w:tc>
          <w:tcPr>
            <w:tcW w:w="2880" w:type="dxa"/>
          </w:tcPr>
          <w:p w14:paraId="7938CABB" w14:textId="77777777" w:rsidR="000D07EA" w:rsidRDefault="00BE7C89">
            <w:pPr>
              <w:pStyle w:val="BodyText"/>
              <w:spacing w:before="100" w:after="100"/>
              <w:rPr>
                <w:szCs w:val="20"/>
              </w:rPr>
            </w:pPr>
            <w:r>
              <w:rPr>
                <w:szCs w:val="20"/>
              </w:rPr>
              <w:t>No</w:t>
            </w:r>
          </w:p>
        </w:tc>
      </w:tr>
      <w:tr w:rsidR="000D07EA" w14:paraId="3AD70FE8" w14:textId="77777777">
        <w:trPr>
          <w:trHeight w:val="20"/>
        </w:trPr>
        <w:tc>
          <w:tcPr>
            <w:tcW w:w="5875" w:type="dxa"/>
          </w:tcPr>
          <w:p w14:paraId="611FD241" w14:textId="77777777" w:rsidR="000D07EA" w:rsidRDefault="00BE7C89">
            <w:pPr>
              <w:pStyle w:val="BodyText"/>
              <w:spacing w:before="100" w:after="100"/>
              <w:rPr>
                <w:szCs w:val="20"/>
              </w:rPr>
            </w:pPr>
            <w:r>
              <w:rPr>
                <w:szCs w:val="20"/>
              </w:rPr>
              <w:t xml:space="preserve">Directory Assistance – 1223 </w:t>
            </w:r>
          </w:p>
        </w:tc>
        <w:tc>
          <w:tcPr>
            <w:tcW w:w="2880" w:type="dxa"/>
          </w:tcPr>
          <w:p w14:paraId="1CD1E1FB" w14:textId="77777777" w:rsidR="000D07EA" w:rsidRDefault="00BE7C89">
            <w:pPr>
              <w:pStyle w:val="BodyText"/>
              <w:spacing w:before="100" w:after="100"/>
              <w:rPr>
                <w:szCs w:val="20"/>
              </w:rPr>
            </w:pPr>
            <w:r>
              <w:rPr>
                <w:szCs w:val="20"/>
              </w:rPr>
              <w:t>Yes</w:t>
            </w:r>
          </w:p>
        </w:tc>
      </w:tr>
      <w:tr w:rsidR="000D07EA" w14:paraId="1048EDFD" w14:textId="77777777">
        <w:trPr>
          <w:trHeight w:val="20"/>
        </w:trPr>
        <w:tc>
          <w:tcPr>
            <w:tcW w:w="5875" w:type="dxa"/>
          </w:tcPr>
          <w:p w14:paraId="678A1A2F" w14:textId="77777777" w:rsidR="000D07EA" w:rsidRDefault="00BE7C89">
            <w:pPr>
              <w:pStyle w:val="BodyText"/>
              <w:spacing w:before="100" w:after="100"/>
              <w:rPr>
                <w:szCs w:val="20"/>
              </w:rPr>
            </w:pPr>
            <w:r>
              <w:rPr>
                <w:szCs w:val="20"/>
              </w:rPr>
              <w:t>19XX Numbers</w:t>
            </w:r>
          </w:p>
        </w:tc>
        <w:tc>
          <w:tcPr>
            <w:tcW w:w="2880" w:type="dxa"/>
          </w:tcPr>
          <w:p w14:paraId="381B7449" w14:textId="77777777" w:rsidR="000D07EA" w:rsidRDefault="00BE7C89">
            <w:pPr>
              <w:pStyle w:val="BodyText"/>
              <w:spacing w:before="100" w:after="100"/>
              <w:rPr>
                <w:szCs w:val="20"/>
              </w:rPr>
            </w:pPr>
            <w:r>
              <w:rPr>
                <w:szCs w:val="20"/>
              </w:rPr>
              <w:t>No</w:t>
            </w:r>
          </w:p>
        </w:tc>
      </w:tr>
      <w:tr w:rsidR="000D07EA" w14:paraId="57283262" w14:textId="77777777">
        <w:trPr>
          <w:trHeight w:val="20"/>
        </w:trPr>
        <w:tc>
          <w:tcPr>
            <w:tcW w:w="5875" w:type="dxa"/>
          </w:tcPr>
          <w:p w14:paraId="58DEB1BD" w14:textId="77777777" w:rsidR="000D07EA" w:rsidRDefault="00BE7C89">
            <w:pPr>
              <w:pStyle w:val="BodyText"/>
              <w:spacing w:before="100" w:after="100"/>
              <w:rPr>
                <w:szCs w:val="20"/>
              </w:rPr>
            </w:pPr>
            <w:r>
              <w:rPr>
                <w:szCs w:val="20"/>
              </w:rPr>
              <w:t>1800 and 1300 numbers</w:t>
            </w:r>
          </w:p>
        </w:tc>
        <w:tc>
          <w:tcPr>
            <w:tcW w:w="2880" w:type="dxa"/>
          </w:tcPr>
          <w:p w14:paraId="72558DA7" w14:textId="77777777" w:rsidR="000D07EA" w:rsidRDefault="00BE7C89">
            <w:pPr>
              <w:pStyle w:val="BodyText"/>
              <w:spacing w:before="100" w:after="100"/>
              <w:rPr>
                <w:szCs w:val="20"/>
              </w:rPr>
            </w:pPr>
            <w:r>
              <w:rPr>
                <w:szCs w:val="20"/>
              </w:rPr>
              <w:t>Yes</w:t>
            </w:r>
          </w:p>
        </w:tc>
      </w:tr>
      <w:tr w:rsidR="000D07EA" w14:paraId="3147B859" w14:textId="77777777">
        <w:trPr>
          <w:trHeight w:val="20"/>
        </w:trPr>
        <w:tc>
          <w:tcPr>
            <w:tcW w:w="5875" w:type="dxa"/>
          </w:tcPr>
          <w:p w14:paraId="3C21B70A" w14:textId="77777777" w:rsidR="000D07EA" w:rsidRDefault="00BE7C89">
            <w:pPr>
              <w:pStyle w:val="BodyText"/>
              <w:spacing w:before="100" w:after="100"/>
              <w:rPr>
                <w:szCs w:val="20"/>
              </w:rPr>
            </w:pPr>
            <w:r>
              <w:rPr>
                <w:szCs w:val="20"/>
              </w:rPr>
              <w:t>124YES(937)</w:t>
            </w:r>
          </w:p>
        </w:tc>
        <w:tc>
          <w:tcPr>
            <w:tcW w:w="2880" w:type="dxa"/>
          </w:tcPr>
          <w:p w14:paraId="7477C183" w14:textId="77777777" w:rsidR="000D07EA" w:rsidRDefault="00BE7C89">
            <w:pPr>
              <w:pStyle w:val="BodyText"/>
              <w:spacing w:before="100" w:after="100"/>
              <w:rPr>
                <w:szCs w:val="20"/>
              </w:rPr>
            </w:pPr>
            <w:r>
              <w:rPr>
                <w:szCs w:val="20"/>
              </w:rPr>
              <w:t>No</w:t>
            </w:r>
          </w:p>
        </w:tc>
      </w:tr>
      <w:tr w:rsidR="000D07EA" w14:paraId="71970604" w14:textId="77777777">
        <w:trPr>
          <w:trHeight w:val="20"/>
        </w:trPr>
        <w:tc>
          <w:tcPr>
            <w:tcW w:w="5875" w:type="dxa"/>
          </w:tcPr>
          <w:p w14:paraId="27780E9E" w14:textId="77777777" w:rsidR="000D07EA" w:rsidRDefault="00BE7C89">
            <w:pPr>
              <w:pStyle w:val="BodyText"/>
              <w:spacing w:before="100" w:after="100"/>
              <w:rPr>
                <w:szCs w:val="20"/>
              </w:rPr>
            </w:pPr>
            <w:r>
              <w:rPr>
                <w:szCs w:val="20"/>
              </w:rPr>
              <w:t>Content Packs (unless specified in promotions)</w:t>
            </w:r>
          </w:p>
        </w:tc>
        <w:tc>
          <w:tcPr>
            <w:tcW w:w="2880" w:type="dxa"/>
          </w:tcPr>
          <w:p w14:paraId="43D58689" w14:textId="77777777" w:rsidR="000D07EA" w:rsidRDefault="00BE7C89">
            <w:pPr>
              <w:pStyle w:val="BodyText"/>
              <w:spacing w:before="100" w:after="100"/>
              <w:rPr>
                <w:szCs w:val="20"/>
              </w:rPr>
            </w:pPr>
            <w:r>
              <w:rPr>
                <w:szCs w:val="20"/>
              </w:rPr>
              <w:t>No</w:t>
            </w:r>
          </w:p>
        </w:tc>
      </w:tr>
      <w:tr w:rsidR="000D07EA" w14:paraId="19C40F70" w14:textId="77777777">
        <w:trPr>
          <w:trHeight w:val="20"/>
        </w:trPr>
        <w:tc>
          <w:tcPr>
            <w:tcW w:w="5875" w:type="dxa"/>
          </w:tcPr>
          <w:p w14:paraId="49CEB5E6" w14:textId="77777777" w:rsidR="000D07EA" w:rsidRDefault="00BE7C89">
            <w:pPr>
              <w:pStyle w:val="BodyText"/>
              <w:spacing w:before="100" w:after="100"/>
              <w:rPr>
                <w:szCs w:val="20"/>
              </w:rPr>
            </w:pPr>
            <w:r>
              <w:rPr>
                <w:szCs w:val="20"/>
              </w:rPr>
              <w:t>Mobile Internet usage</w:t>
            </w:r>
          </w:p>
        </w:tc>
        <w:tc>
          <w:tcPr>
            <w:tcW w:w="2880" w:type="dxa"/>
          </w:tcPr>
          <w:p w14:paraId="1A250881" w14:textId="77777777" w:rsidR="000D07EA" w:rsidRDefault="00BE7C89">
            <w:pPr>
              <w:pStyle w:val="BodyText"/>
              <w:spacing w:before="100" w:after="100"/>
              <w:rPr>
                <w:szCs w:val="20"/>
              </w:rPr>
            </w:pPr>
            <w:r>
              <w:rPr>
                <w:szCs w:val="20"/>
              </w:rPr>
              <w:t>No</w:t>
            </w:r>
          </w:p>
        </w:tc>
      </w:tr>
      <w:tr w:rsidR="000D07EA" w14:paraId="6F2FE972" w14:textId="77777777">
        <w:trPr>
          <w:trHeight w:val="20"/>
        </w:trPr>
        <w:tc>
          <w:tcPr>
            <w:tcW w:w="5875" w:type="dxa"/>
          </w:tcPr>
          <w:p w14:paraId="1190F59C" w14:textId="77777777" w:rsidR="000D07EA" w:rsidRDefault="00BE7C89">
            <w:pPr>
              <w:pStyle w:val="BodyText"/>
              <w:spacing w:before="100" w:after="100"/>
              <w:rPr>
                <w:szCs w:val="20"/>
              </w:rPr>
            </w:pPr>
            <w:r>
              <w:rPr>
                <w:szCs w:val="20"/>
              </w:rPr>
              <w:t xml:space="preserve">True Local Usage </w:t>
            </w:r>
          </w:p>
        </w:tc>
        <w:tc>
          <w:tcPr>
            <w:tcW w:w="2880" w:type="dxa"/>
          </w:tcPr>
          <w:p w14:paraId="012B24D0" w14:textId="77777777" w:rsidR="000D07EA" w:rsidRDefault="00BE7C89">
            <w:pPr>
              <w:pStyle w:val="BodyText"/>
              <w:spacing w:before="100" w:after="100"/>
              <w:rPr>
                <w:szCs w:val="20"/>
              </w:rPr>
            </w:pPr>
            <w:r>
              <w:rPr>
                <w:szCs w:val="20"/>
              </w:rPr>
              <w:t>No</w:t>
            </w:r>
          </w:p>
        </w:tc>
      </w:tr>
      <w:tr w:rsidR="000D07EA" w14:paraId="1CCD5CED" w14:textId="77777777">
        <w:trPr>
          <w:trHeight w:val="20"/>
        </w:trPr>
        <w:tc>
          <w:tcPr>
            <w:tcW w:w="5875" w:type="dxa"/>
          </w:tcPr>
          <w:p w14:paraId="1C1BA8DD" w14:textId="77777777" w:rsidR="000D07EA" w:rsidRDefault="00BE7C89">
            <w:pPr>
              <w:pStyle w:val="BodyText"/>
              <w:spacing w:before="100" w:after="100"/>
              <w:rPr>
                <w:szCs w:val="20"/>
              </w:rPr>
            </w:pPr>
            <w:r>
              <w:rPr>
                <w:szCs w:val="20"/>
              </w:rPr>
              <w:t>VOIP services</w:t>
            </w:r>
          </w:p>
        </w:tc>
        <w:tc>
          <w:tcPr>
            <w:tcW w:w="2880" w:type="dxa"/>
          </w:tcPr>
          <w:p w14:paraId="6C29DB42" w14:textId="77777777" w:rsidR="000D07EA" w:rsidRDefault="00BE7C89">
            <w:pPr>
              <w:pStyle w:val="BodyText"/>
              <w:spacing w:before="100" w:after="100"/>
              <w:rPr>
                <w:szCs w:val="20"/>
              </w:rPr>
            </w:pPr>
            <w:r>
              <w:rPr>
                <w:szCs w:val="20"/>
              </w:rPr>
              <w:t>No</w:t>
            </w:r>
          </w:p>
        </w:tc>
      </w:tr>
      <w:tr w:rsidR="000D07EA" w14:paraId="081A3310" w14:textId="77777777">
        <w:trPr>
          <w:trHeight w:val="20"/>
        </w:trPr>
        <w:tc>
          <w:tcPr>
            <w:tcW w:w="5875" w:type="dxa"/>
          </w:tcPr>
          <w:p w14:paraId="0D72C3F2" w14:textId="77777777" w:rsidR="000D07EA" w:rsidRDefault="00BE7C89">
            <w:pPr>
              <w:pStyle w:val="BodyText"/>
              <w:spacing w:before="100" w:after="100"/>
              <w:rPr>
                <w:szCs w:val="20"/>
              </w:rPr>
            </w:pPr>
            <w:r>
              <w:rPr>
                <w:szCs w:val="20"/>
              </w:rPr>
              <w:t xml:space="preserve">Calls to Satellite </w:t>
            </w:r>
          </w:p>
        </w:tc>
        <w:tc>
          <w:tcPr>
            <w:tcW w:w="2880" w:type="dxa"/>
          </w:tcPr>
          <w:p w14:paraId="06D3D836" w14:textId="77777777" w:rsidR="000D07EA" w:rsidRDefault="00BE7C89">
            <w:pPr>
              <w:pStyle w:val="BodyText"/>
              <w:spacing w:before="100" w:after="100"/>
              <w:rPr>
                <w:szCs w:val="20"/>
              </w:rPr>
            </w:pPr>
            <w:r>
              <w:rPr>
                <w:szCs w:val="20"/>
              </w:rPr>
              <w:t>No</w:t>
            </w:r>
          </w:p>
        </w:tc>
      </w:tr>
      <w:tr w:rsidR="000D07EA" w14:paraId="2E183FC1" w14:textId="77777777">
        <w:trPr>
          <w:trHeight w:val="20"/>
        </w:trPr>
        <w:tc>
          <w:tcPr>
            <w:tcW w:w="5875" w:type="dxa"/>
          </w:tcPr>
          <w:p w14:paraId="70259D10" w14:textId="77777777" w:rsidR="000D07EA" w:rsidRDefault="00BE7C89">
            <w:pPr>
              <w:pStyle w:val="BodyText"/>
              <w:spacing w:before="100" w:after="100"/>
              <w:rPr>
                <w:szCs w:val="20"/>
              </w:rPr>
            </w:pPr>
            <w:r>
              <w:rPr>
                <w:szCs w:val="20"/>
              </w:rPr>
              <w:t>Surepage</w:t>
            </w:r>
          </w:p>
        </w:tc>
        <w:tc>
          <w:tcPr>
            <w:tcW w:w="2880" w:type="dxa"/>
          </w:tcPr>
          <w:p w14:paraId="6E076E1D" w14:textId="77777777" w:rsidR="000D07EA" w:rsidRDefault="00BE7C89">
            <w:pPr>
              <w:pStyle w:val="BodyText"/>
              <w:spacing w:before="100" w:after="100"/>
              <w:rPr>
                <w:szCs w:val="20"/>
              </w:rPr>
            </w:pPr>
            <w:r>
              <w:rPr>
                <w:szCs w:val="20"/>
              </w:rPr>
              <w:t>No</w:t>
            </w:r>
          </w:p>
        </w:tc>
      </w:tr>
    </w:tbl>
    <w:p w14:paraId="73529445" w14:textId="77777777" w:rsidR="000D07EA" w:rsidRDefault="000D07EA">
      <w:pPr>
        <w:pStyle w:val="BodyText"/>
      </w:pPr>
    </w:p>
    <w:p w14:paraId="420F0E02" w14:textId="77777777" w:rsidR="000D07EA" w:rsidRDefault="00BE7C89">
      <w:pPr>
        <w:pStyle w:val="BodyText"/>
        <w:ind w:left="720"/>
        <w:jc w:val="both"/>
        <w:rPr>
          <w:b/>
        </w:rPr>
      </w:pPr>
      <w:r>
        <w:rPr>
          <w:b/>
        </w:rPr>
        <w:t>Table 1B – Eligible for the Included Mobile Internet Data</w:t>
      </w:r>
    </w:p>
    <w:tbl>
      <w:tblPr>
        <w:tblW w:w="875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875"/>
        <w:gridCol w:w="2880"/>
      </w:tblGrid>
      <w:tr w:rsidR="000D07EA" w14:paraId="386F0BD7" w14:textId="77777777">
        <w:trPr>
          <w:trHeight w:val="58"/>
          <w:tblHeader/>
        </w:trPr>
        <w:tc>
          <w:tcPr>
            <w:tcW w:w="5875" w:type="dxa"/>
          </w:tcPr>
          <w:p w14:paraId="56992EC7" w14:textId="77777777" w:rsidR="000D07EA" w:rsidRDefault="00BE7C89">
            <w:pPr>
              <w:pStyle w:val="BodyText"/>
              <w:spacing w:before="100" w:after="100"/>
              <w:rPr>
                <w:b/>
              </w:rPr>
            </w:pPr>
            <w:r>
              <w:rPr>
                <w:b/>
              </w:rPr>
              <w:t>Call Type</w:t>
            </w:r>
          </w:p>
        </w:tc>
        <w:tc>
          <w:tcPr>
            <w:tcW w:w="2880" w:type="dxa"/>
          </w:tcPr>
          <w:p w14:paraId="4DA47025" w14:textId="77777777" w:rsidR="000D07EA" w:rsidRDefault="00BE7C89">
            <w:pPr>
              <w:pStyle w:val="BodyText"/>
              <w:spacing w:before="100" w:after="100"/>
              <w:rPr>
                <w:b/>
              </w:rPr>
            </w:pPr>
            <w:r>
              <w:rPr>
                <w:b/>
              </w:rPr>
              <w:t>Eligible Data</w:t>
            </w:r>
          </w:p>
        </w:tc>
      </w:tr>
      <w:tr w:rsidR="000D07EA" w14:paraId="03C16C76" w14:textId="77777777">
        <w:trPr>
          <w:trHeight w:val="58"/>
        </w:trPr>
        <w:tc>
          <w:tcPr>
            <w:tcW w:w="5875" w:type="dxa"/>
          </w:tcPr>
          <w:p w14:paraId="17260D20" w14:textId="77777777" w:rsidR="000D07EA" w:rsidRDefault="00BE7C89">
            <w:pPr>
              <w:pStyle w:val="BodyText"/>
              <w:spacing w:before="100" w:after="100"/>
            </w:pPr>
            <w:r>
              <w:t>Standard National Voice and Video Calls</w:t>
            </w:r>
          </w:p>
        </w:tc>
        <w:tc>
          <w:tcPr>
            <w:tcW w:w="2880" w:type="dxa"/>
          </w:tcPr>
          <w:p w14:paraId="29D24C2F" w14:textId="77777777" w:rsidR="000D07EA" w:rsidRDefault="00BE7C89">
            <w:pPr>
              <w:pStyle w:val="BodyText"/>
              <w:spacing w:before="100" w:after="100"/>
            </w:pPr>
            <w:r>
              <w:t>No</w:t>
            </w:r>
          </w:p>
        </w:tc>
      </w:tr>
      <w:tr w:rsidR="000D07EA" w14:paraId="7CE707FF" w14:textId="77777777">
        <w:trPr>
          <w:trHeight w:val="58"/>
        </w:trPr>
        <w:tc>
          <w:tcPr>
            <w:tcW w:w="5875" w:type="dxa"/>
          </w:tcPr>
          <w:p w14:paraId="2E6AA5FD" w14:textId="77777777" w:rsidR="000D07EA" w:rsidRDefault="00BE7C89">
            <w:pPr>
              <w:pStyle w:val="BodyText"/>
              <w:spacing w:before="100" w:after="100"/>
            </w:pPr>
            <w:r>
              <w:t>International Voice and Video Calls</w:t>
            </w:r>
          </w:p>
          <w:p w14:paraId="4C6E9A73" w14:textId="77777777" w:rsidR="000D07EA" w:rsidRDefault="00BE7C89">
            <w:pPr>
              <w:pStyle w:val="BodyText"/>
              <w:spacing w:before="100" w:after="100"/>
            </w:pPr>
            <w:r>
              <w:t>(including calls to national fixed or mobile services that then divert/switch or re-route overseas)</w:t>
            </w:r>
          </w:p>
        </w:tc>
        <w:tc>
          <w:tcPr>
            <w:tcW w:w="2880" w:type="dxa"/>
          </w:tcPr>
          <w:p w14:paraId="4A2808D1" w14:textId="77777777" w:rsidR="000D07EA" w:rsidRDefault="00BE7C89">
            <w:pPr>
              <w:pStyle w:val="BodyText"/>
              <w:spacing w:before="100" w:after="100"/>
            </w:pPr>
            <w:r>
              <w:t xml:space="preserve">No </w:t>
            </w:r>
          </w:p>
        </w:tc>
      </w:tr>
      <w:tr w:rsidR="000D07EA" w14:paraId="42E36E77" w14:textId="77777777">
        <w:trPr>
          <w:trHeight w:val="20"/>
        </w:trPr>
        <w:tc>
          <w:tcPr>
            <w:tcW w:w="5875" w:type="dxa"/>
          </w:tcPr>
          <w:p w14:paraId="462ACC2E" w14:textId="77777777" w:rsidR="000D07EA" w:rsidRDefault="00BE7C89">
            <w:pPr>
              <w:pStyle w:val="BodyText"/>
              <w:spacing w:before="100" w:after="100"/>
            </w:pPr>
            <w:r>
              <w:t>Premium Video</w:t>
            </w:r>
          </w:p>
        </w:tc>
        <w:tc>
          <w:tcPr>
            <w:tcW w:w="2880" w:type="dxa"/>
          </w:tcPr>
          <w:p w14:paraId="72E7D501" w14:textId="77777777" w:rsidR="000D07EA" w:rsidRDefault="00BE7C89">
            <w:pPr>
              <w:pStyle w:val="BodyText"/>
              <w:spacing w:before="100" w:after="100"/>
            </w:pPr>
            <w:r>
              <w:t>No</w:t>
            </w:r>
          </w:p>
        </w:tc>
      </w:tr>
      <w:tr w:rsidR="000D07EA" w14:paraId="1E2E3582" w14:textId="77777777">
        <w:trPr>
          <w:trHeight w:val="20"/>
        </w:trPr>
        <w:tc>
          <w:tcPr>
            <w:tcW w:w="5875" w:type="dxa"/>
          </w:tcPr>
          <w:p w14:paraId="2A11A2AC" w14:textId="77777777" w:rsidR="000D07EA" w:rsidRDefault="00BE7C89">
            <w:pPr>
              <w:pStyle w:val="BodyText"/>
              <w:spacing w:before="100" w:after="100"/>
            </w:pPr>
            <w:r>
              <w:t>Content Video</w:t>
            </w:r>
          </w:p>
        </w:tc>
        <w:tc>
          <w:tcPr>
            <w:tcW w:w="2880" w:type="dxa"/>
          </w:tcPr>
          <w:p w14:paraId="019A795A" w14:textId="77777777" w:rsidR="000D07EA" w:rsidRDefault="00BE7C89">
            <w:pPr>
              <w:pStyle w:val="BodyText"/>
              <w:spacing w:before="100" w:after="100"/>
            </w:pPr>
            <w:r>
              <w:t>No</w:t>
            </w:r>
          </w:p>
        </w:tc>
      </w:tr>
      <w:tr w:rsidR="000D07EA" w14:paraId="7E17DDEC" w14:textId="77777777">
        <w:trPr>
          <w:trHeight w:val="20"/>
        </w:trPr>
        <w:tc>
          <w:tcPr>
            <w:tcW w:w="5875" w:type="dxa"/>
          </w:tcPr>
          <w:p w14:paraId="6DC77E76" w14:textId="77777777" w:rsidR="000D07EA" w:rsidRDefault="00BE7C89">
            <w:pPr>
              <w:pStyle w:val="BodyText"/>
              <w:spacing w:before="100" w:after="100"/>
            </w:pPr>
            <w:r>
              <w:t>Standard National Standard SMS</w:t>
            </w:r>
          </w:p>
        </w:tc>
        <w:tc>
          <w:tcPr>
            <w:tcW w:w="2880" w:type="dxa"/>
          </w:tcPr>
          <w:p w14:paraId="194B7017" w14:textId="77777777" w:rsidR="000D07EA" w:rsidRDefault="00BE7C89">
            <w:pPr>
              <w:pStyle w:val="BodyText"/>
              <w:spacing w:before="100" w:after="100"/>
            </w:pPr>
            <w:r>
              <w:t>No</w:t>
            </w:r>
          </w:p>
        </w:tc>
      </w:tr>
      <w:tr w:rsidR="000D07EA" w14:paraId="0A79667B" w14:textId="77777777">
        <w:trPr>
          <w:trHeight w:val="20"/>
        </w:trPr>
        <w:tc>
          <w:tcPr>
            <w:tcW w:w="5875" w:type="dxa"/>
          </w:tcPr>
          <w:p w14:paraId="74A99015" w14:textId="77777777" w:rsidR="000D07EA" w:rsidRDefault="00BE7C89">
            <w:pPr>
              <w:pStyle w:val="BodyText"/>
              <w:spacing w:before="100" w:after="100"/>
            </w:pPr>
            <w:r>
              <w:t>International SMS</w:t>
            </w:r>
          </w:p>
        </w:tc>
        <w:tc>
          <w:tcPr>
            <w:tcW w:w="2880" w:type="dxa"/>
          </w:tcPr>
          <w:p w14:paraId="28095E75" w14:textId="77777777" w:rsidR="000D07EA" w:rsidRDefault="00BE7C89">
            <w:pPr>
              <w:pStyle w:val="BodyText"/>
              <w:spacing w:before="100" w:after="100"/>
            </w:pPr>
            <w:r>
              <w:t>No</w:t>
            </w:r>
          </w:p>
        </w:tc>
      </w:tr>
      <w:tr w:rsidR="000D07EA" w14:paraId="2ADC09BF" w14:textId="77777777">
        <w:trPr>
          <w:trHeight w:val="20"/>
        </w:trPr>
        <w:tc>
          <w:tcPr>
            <w:tcW w:w="5875" w:type="dxa"/>
          </w:tcPr>
          <w:p w14:paraId="6E5D2418" w14:textId="77777777" w:rsidR="000D07EA" w:rsidRDefault="00BE7C89">
            <w:pPr>
              <w:pStyle w:val="BodyText"/>
              <w:spacing w:before="100" w:after="100"/>
            </w:pPr>
            <w:r>
              <w:t>Premium SMS</w:t>
            </w:r>
          </w:p>
        </w:tc>
        <w:tc>
          <w:tcPr>
            <w:tcW w:w="2880" w:type="dxa"/>
          </w:tcPr>
          <w:p w14:paraId="063E9B64" w14:textId="77777777" w:rsidR="000D07EA" w:rsidRDefault="00BE7C89">
            <w:pPr>
              <w:pStyle w:val="BodyText"/>
              <w:spacing w:before="100" w:after="100"/>
            </w:pPr>
            <w:r>
              <w:t>No</w:t>
            </w:r>
          </w:p>
        </w:tc>
      </w:tr>
      <w:tr w:rsidR="000D07EA" w14:paraId="18D9E33B" w14:textId="77777777">
        <w:trPr>
          <w:trHeight w:val="20"/>
        </w:trPr>
        <w:tc>
          <w:tcPr>
            <w:tcW w:w="5875" w:type="dxa"/>
          </w:tcPr>
          <w:p w14:paraId="566EA3A0" w14:textId="77777777" w:rsidR="000D07EA" w:rsidRDefault="00BE7C89">
            <w:pPr>
              <w:pStyle w:val="BodyText"/>
              <w:spacing w:before="100" w:after="100"/>
            </w:pPr>
            <w:r>
              <w:t>Standard National Standard MMS</w:t>
            </w:r>
          </w:p>
        </w:tc>
        <w:tc>
          <w:tcPr>
            <w:tcW w:w="2880" w:type="dxa"/>
          </w:tcPr>
          <w:p w14:paraId="6D8816A6" w14:textId="77777777" w:rsidR="000D07EA" w:rsidRDefault="00BE7C89">
            <w:pPr>
              <w:pStyle w:val="BodyText"/>
              <w:spacing w:before="100" w:after="100"/>
            </w:pPr>
            <w:r>
              <w:t>No</w:t>
            </w:r>
          </w:p>
        </w:tc>
      </w:tr>
      <w:tr w:rsidR="000D07EA" w14:paraId="31BEB4D9" w14:textId="77777777">
        <w:trPr>
          <w:trHeight w:val="20"/>
        </w:trPr>
        <w:tc>
          <w:tcPr>
            <w:tcW w:w="5875" w:type="dxa"/>
          </w:tcPr>
          <w:p w14:paraId="79EF0AE6" w14:textId="77777777" w:rsidR="000D07EA" w:rsidRDefault="00BE7C89">
            <w:pPr>
              <w:pStyle w:val="BodyText"/>
              <w:spacing w:before="100" w:after="100"/>
            </w:pPr>
            <w:r>
              <w:t>International MMS</w:t>
            </w:r>
          </w:p>
        </w:tc>
        <w:tc>
          <w:tcPr>
            <w:tcW w:w="2880" w:type="dxa"/>
          </w:tcPr>
          <w:p w14:paraId="628209CC" w14:textId="77777777" w:rsidR="000D07EA" w:rsidRDefault="00BE7C89">
            <w:pPr>
              <w:pStyle w:val="BodyText"/>
              <w:spacing w:before="100" w:after="100"/>
            </w:pPr>
            <w:r>
              <w:t>No</w:t>
            </w:r>
          </w:p>
        </w:tc>
      </w:tr>
      <w:tr w:rsidR="000D07EA" w14:paraId="30EDD2F7" w14:textId="77777777">
        <w:trPr>
          <w:trHeight w:val="20"/>
        </w:trPr>
        <w:tc>
          <w:tcPr>
            <w:tcW w:w="5875" w:type="dxa"/>
          </w:tcPr>
          <w:p w14:paraId="7C2CA539" w14:textId="77777777" w:rsidR="000D07EA" w:rsidRDefault="00BE7C89">
            <w:pPr>
              <w:pStyle w:val="BodyText"/>
              <w:spacing w:before="100" w:after="100"/>
            </w:pPr>
            <w:r>
              <w:t>Premium MMS</w:t>
            </w:r>
          </w:p>
        </w:tc>
        <w:tc>
          <w:tcPr>
            <w:tcW w:w="2880" w:type="dxa"/>
          </w:tcPr>
          <w:p w14:paraId="57CB64FB" w14:textId="77777777" w:rsidR="000D07EA" w:rsidRDefault="00BE7C89">
            <w:pPr>
              <w:pStyle w:val="BodyText"/>
              <w:spacing w:before="100" w:after="100"/>
            </w:pPr>
            <w:r>
              <w:t>No</w:t>
            </w:r>
          </w:p>
        </w:tc>
      </w:tr>
      <w:tr w:rsidR="000D07EA" w14:paraId="0CFA1837" w14:textId="77777777">
        <w:trPr>
          <w:trHeight w:val="20"/>
        </w:trPr>
        <w:tc>
          <w:tcPr>
            <w:tcW w:w="5875" w:type="dxa"/>
          </w:tcPr>
          <w:p w14:paraId="2EC32925" w14:textId="77777777" w:rsidR="000D07EA" w:rsidRDefault="00BE7C89">
            <w:pPr>
              <w:pStyle w:val="BodyText"/>
              <w:spacing w:before="100" w:after="100"/>
            </w:pPr>
            <w:r>
              <w:t>National Diversions</w:t>
            </w:r>
          </w:p>
        </w:tc>
        <w:tc>
          <w:tcPr>
            <w:tcW w:w="2880" w:type="dxa"/>
          </w:tcPr>
          <w:p w14:paraId="100E3B00" w14:textId="77777777" w:rsidR="000D07EA" w:rsidRDefault="00BE7C89">
            <w:pPr>
              <w:pStyle w:val="BodyText"/>
              <w:spacing w:before="100" w:after="100"/>
            </w:pPr>
            <w:r>
              <w:t>No</w:t>
            </w:r>
          </w:p>
        </w:tc>
      </w:tr>
      <w:tr w:rsidR="000D07EA" w14:paraId="60B64C34" w14:textId="77777777">
        <w:trPr>
          <w:trHeight w:val="20"/>
        </w:trPr>
        <w:tc>
          <w:tcPr>
            <w:tcW w:w="5875" w:type="dxa"/>
          </w:tcPr>
          <w:p w14:paraId="717FA5B5" w14:textId="77777777" w:rsidR="000D07EA" w:rsidRDefault="00BE7C89">
            <w:pPr>
              <w:pStyle w:val="BodyText"/>
              <w:spacing w:before="100" w:after="100"/>
            </w:pPr>
            <w:r>
              <w:t>Voicemail Deposit and Retrievals</w:t>
            </w:r>
          </w:p>
        </w:tc>
        <w:tc>
          <w:tcPr>
            <w:tcW w:w="2880" w:type="dxa"/>
          </w:tcPr>
          <w:p w14:paraId="490505A4" w14:textId="77777777" w:rsidR="000D07EA" w:rsidRDefault="00BE7C89">
            <w:pPr>
              <w:pStyle w:val="BodyText"/>
              <w:spacing w:before="100" w:after="100"/>
            </w:pPr>
            <w:r>
              <w:t>No</w:t>
            </w:r>
          </w:p>
        </w:tc>
      </w:tr>
      <w:tr w:rsidR="000D07EA" w14:paraId="6F8AB0FF" w14:textId="77777777">
        <w:trPr>
          <w:trHeight w:val="20"/>
        </w:trPr>
        <w:tc>
          <w:tcPr>
            <w:tcW w:w="5875" w:type="dxa"/>
          </w:tcPr>
          <w:p w14:paraId="4C9648BF" w14:textId="77777777" w:rsidR="000D07EA" w:rsidRDefault="00BE7C89">
            <w:pPr>
              <w:pStyle w:val="BodyText"/>
              <w:spacing w:before="100" w:after="100"/>
            </w:pPr>
            <w:r>
              <w:lastRenderedPageBreak/>
              <w:t>International Roaming and Diversion</w:t>
            </w:r>
          </w:p>
        </w:tc>
        <w:tc>
          <w:tcPr>
            <w:tcW w:w="2880" w:type="dxa"/>
          </w:tcPr>
          <w:p w14:paraId="3C71A9C5" w14:textId="77777777" w:rsidR="000D07EA" w:rsidRDefault="00BE7C89">
            <w:pPr>
              <w:pStyle w:val="BodyText"/>
              <w:spacing w:before="100" w:after="100"/>
            </w:pPr>
            <w:r>
              <w:t>No</w:t>
            </w:r>
          </w:p>
        </w:tc>
      </w:tr>
      <w:tr w:rsidR="000D07EA" w14:paraId="58DA0CFC" w14:textId="77777777">
        <w:trPr>
          <w:trHeight w:val="20"/>
        </w:trPr>
        <w:tc>
          <w:tcPr>
            <w:tcW w:w="5875" w:type="dxa"/>
          </w:tcPr>
          <w:p w14:paraId="36B51CF3" w14:textId="77777777" w:rsidR="000D07EA" w:rsidRDefault="00BE7C89">
            <w:pPr>
              <w:pStyle w:val="BodyText"/>
              <w:spacing w:before="100" w:after="100"/>
            </w:pPr>
            <w:r>
              <w:t>Video Conferencing</w:t>
            </w:r>
          </w:p>
        </w:tc>
        <w:tc>
          <w:tcPr>
            <w:tcW w:w="2880" w:type="dxa"/>
          </w:tcPr>
          <w:p w14:paraId="5D2468EC" w14:textId="77777777" w:rsidR="000D07EA" w:rsidRDefault="00BE7C89">
            <w:pPr>
              <w:pStyle w:val="BodyText"/>
              <w:spacing w:before="100" w:after="100"/>
            </w:pPr>
            <w:r>
              <w:t>No</w:t>
            </w:r>
          </w:p>
        </w:tc>
      </w:tr>
      <w:tr w:rsidR="000D07EA" w14:paraId="3A9F25C4" w14:textId="77777777">
        <w:trPr>
          <w:trHeight w:val="20"/>
        </w:trPr>
        <w:tc>
          <w:tcPr>
            <w:tcW w:w="5875" w:type="dxa"/>
          </w:tcPr>
          <w:p w14:paraId="403104ED" w14:textId="77777777" w:rsidR="000D07EA" w:rsidRDefault="00BE7C89">
            <w:pPr>
              <w:pStyle w:val="BodyText"/>
              <w:spacing w:before="100" w:after="100"/>
            </w:pPr>
            <w:r>
              <w:t>Optus iZoo Browsing*</w:t>
            </w:r>
          </w:p>
        </w:tc>
        <w:tc>
          <w:tcPr>
            <w:tcW w:w="2880" w:type="dxa"/>
          </w:tcPr>
          <w:p w14:paraId="3396C8B9" w14:textId="77777777" w:rsidR="000D07EA" w:rsidRDefault="00BE7C89">
            <w:pPr>
              <w:pStyle w:val="BodyText"/>
              <w:spacing w:before="100" w:after="100"/>
            </w:pPr>
            <w:r>
              <w:t>Yes, up to the monthly included data amount specified in Table 2A.</w:t>
            </w:r>
          </w:p>
        </w:tc>
      </w:tr>
      <w:tr w:rsidR="000D07EA" w14:paraId="73A5C93F" w14:textId="77777777">
        <w:trPr>
          <w:trHeight w:val="20"/>
        </w:trPr>
        <w:tc>
          <w:tcPr>
            <w:tcW w:w="5875" w:type="dxa"/>
          </w:tcPr>
          <w:p w14:paraId="0678B1C3" w14:textId="77777777" w:rsidR="000D07EA" w:rsidRDefault="00BE7C89">
            <w:pPr>
              <w:pStyle w:val="BodyText"/>
              <w:spacing w:before="100" w:after="100"/>
            </w:pPr>
            <w:r>
              <w:t>Optus iZoo Downloads</w:t>
            </w:r>
          </w:p>
        </w:tc>
        <w:tc>
          <w:tcPr>
            <w:tcW w:w="2880" w:type="dxa"/>
          </w:tcPr>
          <w:p w14:paraId="5F484C59" w14:textId="77777777" w:rsidR="000D07EA" w:rsidRDefault="00BE7C89">
            <w:pPr>
              <w:pStyle w:val="BodyText"/>
              <w:spacing w:before="100" w:after="100"/>
            </w:pPr>
            <w:r>
              <w:t>No</w:t>
            </w:r>
          </w:p>
        </w:tc>
      </w:tr>
      <w:tr w:rsidR="000D07EA" w14:paraId="7793406B" w14:textId="77777777">
        <w:trPr>
          <w:trHeight w:val="20"/>
        </w:trPr>
        <w:tc>
          <w:tcPr>
            <w:tcW w:w="5875" w:type="dxa"/>
          </w:tcPr>
          <w:p w14:paraId="3A266AB3" w14:textId="77777777" w:rsidR="000D07EA" w:rsidRDefault="00BE7C89">
            <w:pPr>
              <w:pStyle w:val="BodyText"/>
              <w:spacing w:before="100" w:after="100"/>
            </w:pPr>
            <w:r>
              <w:t>SMS to 966 (Zoo)</w:t>
            </w:r>
          </w:p>
        </w:tc>
        <w:tc>
          <w:tcPr>
            <w:tcW w:w="2880" w:type="dxa"/>
          </w:tcPr>
          <w:p w14:paraId="6ED835C2" w14:textId="77777777" w:rsidR="000D07EA" w:rsidRDefault="00BE7C89">
            <w:pPr>
              <w:pStyle w:val="BodyText"/>
              <w:spacing w:before="100" w:after="100"/>
            </w:pPr>
            <w:r>
              <w:t>No</w:t>
            </w:r>
          </w:p>
        </w:tc>
      </w:tr>
      <w:tr w:rsidR="000D07EA" w14:paraId="72CAFD89" w14:textId="77777777">
        <w:trPr>
          <w:trHeight w:val="20"/>
        </w:trPr>
        <w:tc>
          <w:tcPr>
            <w:tcW w:w="5875" w:type="dxa"/>
          </w:tcPr>
          <w:p w14:paraId="671B4D44" w14:textId="77777777" w:rsidR="000D07EA" w:rsidRDefault="00BE7C89">
            <w:pPr>
              <w:pStyle w:val="BodyText"/>
              <w:spacing w:before="100" w:after="100"/>
            </w:pPr>
            <w:r>
              <w:t>Mobile Internet usage*</w:t>
            </w:r>
          </w:p>
        </w:tc>
        <w:tc>
          <w:tcPr>
            <w:tcW w:w="2880" w:type="dxa"/>
          </w:tcPr>
          <w:p w14:paraId="1D702869" w14:textId="77777777" w:rsidR="000D07EA" w:rsidRDefault="00BE7C89">
            <w:pPr>
              <w:pStyle w:val="BodyText"/>
              <w:spacing w:before="100" w:after="100"/>
            </w:pPr>
            <w:r>
              <w:t>Yes, up to the monthly included data amount specified in Table 2A.</w:t>
            </w:r>
          </w:p>
        </w:tc>
      </w:tr>
      <w:tr w:rsidR="000D07EA" w14:paraId="3634E9AC" w14:textId="77777777">
        <w:trPr>
          <w:trHeight w:val="20"/>
        </w:trPr>
        <w:tc>
          <w:tcPr>
            <w:tcW w:w="5875" w:type="dxa"/>
          </w:tcPr>
          <w:p w14:paraId="706D7637" w14:textId="77777777" w:rsidR="000D07EA" w:rsidRDefault="00BE7C89">
            <w:pPr>
              <w:pStyle w:val="BodyText"/>
              <w:spacing w:before="100" w:after="100"/>
            </w:pPr>
            <w:r>
              <w:t>Mobile as Modem</w:t>
            </w:r>
          </w:p>
        </w:tc>
        <w:tc>
          <w:tcPr>
            <w:tcW w:w="2880" w:type="dxa"/>
          </w:tcPr>
          <w:p w14:paraId="325D0927" w14:textId="77777777" w:rsidR="000D07EA" w:rsidRDefault="00BE7C89">
            <w:pPr>
              <w:pStyle w:val="BodyText"/>
              <w:spacing w:before="100" w:after="100"/>
            </w:pPr>
            <w:r>
              <w:t>No</w:t>
            </w:r>
          </w:p>
        </w:tc>
      </w:tr>
      <w:tr w:rsidR="000D07EA" w14:paraId="29C5DA8C" w14:textId="77777777">
        <w:trPr>
          <w:trHeight w:val="20"/>
        </w:trPr>
        <w:tc>
          <w:tcPr>
            <w:tcW w:w="5875" w:type="dxa"/>
          </w:tcPr>
          <w:p w14:paraId="26F5306C" w14:textId="77777777" w:rsidR="000D07EA" w:rsidRDefault="00BE7C89">
            <w:pPr>
              <w:pStyle w:val="BodyText"/>
              <w:spacing w:before="100" w:after="100"/>
            </w:pPr>
            <w:r>
              <w:t>Data Used while Roaming Internationally</w:t>
            </w:r>
          </w:p>
        </w:tc>
        <w:tc>
          <w:tcPr>
            <w:tcW w:w="2880" w:type="dxa"/>
          </w:tcPr>
          <w:p w14:paraId="274F56E8" w14:textId="77777777" w:rsidR="000D07EA" w:rsidRDefault="00BE7C89">
            <w:pPr>
              <w:pStyle w:val="BodyText"/>
              <w:spacing w:before="100" w:after="100"/>
            </w:pPr>
            <w:r>
              <w:t>No</w:t>
            </w:r>
          </w:p>
        </w:tc>
      </w:tr>
      <w:tr w:rsidR="000D07EA" w14:paraId="574D2BF2" w14:textId="77777777">
        <w:trPr>
          <w:trHeight w:val="20"/>
        </w:trPr>
        <w:tc>
          <w:tcPr>
            <w:tcW w:w="5875" w:type="dxa"/>
          </w:tcPr>
          <w:p w14:paraId="265E05A7" w14:textId="77777777" w:rsidR="000D07EA" w:rsidRDefault="00BE7C89">
            <w:pPr>
              <w:pStyle w:val="BodyText"/>
              <w:spacing w:before="100" w:after="100"/>
            </w:pPr>
            <w:r>
              <w:t xml:space="preserve">Content Packs </w:t>
            </w:r>
          </w:p>
        </w:tc>
        <w:tc>
          <w:tcPr>
            <w:tcW w:w="2880" w:type="dxa"/>
          </w:tcPr>
          <w:p w14:paraId="000B9484" w14:textId="77777777" w:rsidR="000D07EA" w:rsidRDefault="00BE7C89">
            <w:pPr>
              <w:pStyle w:val="BodyText"/>
              <w:spacing w:before="100" w:after="100"/>
            </w:pPr>
            <w:r>
              <w:t>No</w:t>
            </w:r>
          </w:p>
        </w:tc>
      </w:tr>
      <w:tr w:rsidR="000D07EA" w14:paraId="7C711C7D" w14:textId="77777777">
        <w:trPr>
          <w:trHeight w:val="20"/>
        </w:trPr>
        <w:tc>
          <w:tcPr>
            <w:tcW w:w="5875" w:type="dxa"/>
          </w:tcPr>
          <w:p w14:paraId="469BD242" w14:textId="77777777" w:rsidR="000D07EA" w:rsidRDefault="00BE7C89">
            <w:pPr>
              <w:pStyle w:val="BodyText"/>
              <w:spacing w:before="100" w:after="100"/>
            </w:pPr>
            <w:r>
              <w:t>TrueLocal Usage</w:t>
            </w:r>
          </w:p>
        </w:tc>
        <w:tc>
          <w:tcPr>
            <w:tcW w:w="2880" w:type="dxa"/>
          </w:tcPr>
          <w:p w14:paraId="62DE124E" w14:textId="77777777" w:rsidR="000D07EA" w:rsidRDefault="00BE7C89">
            <w:pPr>
              <w:pStyle w:val="BodyText"/>
              <w:spacing w:before="100" w:after="100"/>
            </w:pPr>
            <w:r>
              <w:t>No</w:t>
            </w:r>
          </w:p>
        </w:tc>
      </w:tr>
      <w:tr w:rsidR="000D07EA" w14:paraId="47566EDB" w14:textId="77777777">
        <w:trPr>
          <w:trHeight w:val="20"/>
        </w:trPr>
        <w:tc>
          <w:tcPr>
            <w:tcW w:w="5875" w:type="dxa"/>
          </w:tcPr>
          <w:p w14:paraId="1A5EE5AB" w14:textId="77777777" w:rsidR="000D07EA" w:rsidRDefault="00BE7C89">
            <w:pPr>
              <w:pStyle w:val="BodyText"/>
              <w:spacing w:before="100" w:after="100"/>
            </w:pPr>
            <w:r>
              <w:t xml:space="preserve">Directory Assistance- 1223 </w:t>
            </w:r>
          </w:p>
        </w:tc>
        <w:tc>
          <w:tcPr>
            <w:tcW w:w="2880" w:type="dxa"/>
          </w:tcPr>
          <w:p w14:paraId="459D8725" w14:textId="77777777" w:rsidR="000D07EA" w:rsidRDefault="00BE7C89">
            <w:pPr>
              <w:pStyle w:val="BodyText"/>
              <w:spacing w:before="100" w:after="100"/>
            </w:pPr>
            <w:r>
              <w:t>No</w:t>
            </w:r>
          </w:p>
        </w:tc>
      </w:tr>
      <w:tr w:rsidR="000D07EA" w14:paraId="6F43B927" w14:textId="77777777">
        <w:trPr>
          <w:trHeight w:val="20"/>
        </w:trPr>
        <w:tc>
          <w:tcPr>
            <w:tcW w:w="5875" w:type="dxa"/>
          </w:tcPr>
          <w:p w14:paraId="59E7AE49" w14:textId="77777777" w:rsidR="000D07EA" w:rsidRDefault="00BE7C89">
            <w:pPr>
              <w:pStyle w:val="BodyText"/>
              <w:spacing w:before="100" w:after="100"/>
            </w:pPr>
            <w:r>
              <w:t>19XX Numbers</w:t>
            </w:r>
          </w:p>
        </w:tc>
        <w:tc>
          <w:tcPr>
            <w:tcW w:w="2880" w:type="dxa"/>
          </w:tcPr>
          <w:p w14:paraId="2816017C" w14:textId="77777777" w:rsidR="000D07EA" w:rsidRDefault="00BE7C89">
            <w:pPr>
              <w:pStyle w:val="BodyText"/>
              <w:spacing w:before="100" w:after="100"/>
            </w:pPr>
            <w:r>
              <w:t>No</w:t>
            </w:r>
          </w:p>
        </w:tc>
      </w:tr>
      <w:tr w:rsidR="000D07EA" w14:paraId="715C3C57" w14:textId="77777777">
        <w:trPr>
          <w:trHeight w:val="20"/>
        </w:trPr>
        <w:tc>
          <w:tcPr>
            <w:tcW w:w="5875" w:type="dxa"/>
          </w:tcPr>
          <w:p w14:paraId="1422F579" w14:textId="77777777" w:rsidR="000D07EA" w:rsidRDefault="00BE7C89">
            <w:pPr>
              <w:pStyle w:val="BodyText"/>
              <w:spacing w:before="100" w:after="100"/>
            </w:pPr>
            <w:r>
              <w:t>1800, 13 and 1300 numbers</w:t>
            </w:r>
          </w:p>
        </w:tc>
        <w:tc>
          <w:tcPr>
            <w:tcW w:w="2880" w:type="dxa"/>
          </w:tcPr>
          <w:p w14:paraId="1C2FD071" w14:textId="77777777" w:rsidR="000D07EA" w:rsidRDefault="00BE7C89">
            <w:pPr>
              <w:pStyle w:val="BodyText"/>
              <w:spacing w:before="100" w:after="100"/>
            </w:pPr>
            <w:r>
              <w:t>No</w:t>
            </w:r>
          </w:p>
        </w:tc>
      </w:tr>
      <w:tr w:rsidR="000D07EA" w14:paraId="3DC89ABF" w14:textId="77777777">
        <w:trPr>
          <w:trHeight w:val="20"/>
        </w:trPr>
        <w:tc>
          <w:tcPr>
            <w:tcW w:w="5875" w:type="dxa"/>
          </w:tcPr>
          <w:p w14:paraId="7A83C5C5" w14:textId="77777777" w:rsidR="000D07EA" w:rsidRDefault="00BE7C89">
            <w:pPr>
              <w:pStyle w:val="BodyText"/>
              <w:spacing w:before="100" w:after="100"/>
            </w:pPr>
            <w:r>
              <w:t>124YES(937)</w:t>
            </w:r>
          </w:p>
        </w:tc>
        <w:tc>
          <w:tcPr>
            <w:tcW w:w="2880" w:type="dxa"/>
          </w:tcPr>
          <w:p w14:paraId="2C4713A0" w14:textId="77777777" w:rsidR="000D07EA" w:rsidRDefault="00BE7C89">
            <w:pPr>
              <w:pStyle w:val="BodyText"/>
              <w:spacing w:before="100" w:after="100"/>
            </w:pPr>
            <w:r>
              <w:t>No</w:t>
            </w:r>
          </w:p>
        </w:tc>
      </w:tr>
      <w:tr w:rsidR="000D07EA" w14:paraId="0090233D" w14:textId="77777777">
        <w:trPr>
          <w:trHeight w:val="20"/>
        </w:trPr>
        <w:tc>
          <w:tcPr>
            <w:tcW w:w="5875" w:type="dxa"/>
          </w:tcPr>
          <w:p w14:paraId="53E55F03" w14:textId="77777777" w:rsidR="000D07EA" w:rsidRDefault="00BE7C89">
            <w:pPr>
              <w:pStyle w:val="BodyText"/>
              <w:spacing w:before="100" w:after="100"/>
            </w:pPr>
            <w:r>
              <w:t>Calls to Satellite</w:t>
            </w:r>
          </w:p>
        </w:tc>
        <w:tc>
          <w:tcPr>
            <w:tcW w:w="2880" w:type="dxa"/>
          </w:tcPr>
          <w:p w14:paraId="217AD6D3" w14:textId="77777777" w:rsidR="000D07EA" w:rsidRDefault="00BE7C89">
            <w:pPr>
              <w:pStyle w:val="BodyText"/>
              <w:spacing w:before="100" w:after="100"/>
            </w:pPr>
            <w:r>
              <w:t>No</w:t>
            </w:r>
          </w:p>
        </w:tc>
      </w:tr>
      <w:tr w:rsidR="000D07EA" w14:paraId="05CE4375" w14:textId="77777777">
        <w:trPr>
          <w:trHeight w:val="20"/>
        </w:trPr>
        <w:tc>
          <w:tcPr>
            <w:tcW w:w="5875" w:type="dxa"/>
          </w:tcPr>
          <w:p w14:paraId="34A492AF" w14:textId="77777777" w:rsidR="000D07EA" w:rsidRDefault="00BE7C89">
            <w:pPr>
              <w:pStyle w:val="BodyText"/>
              <w:spacing w:before="100" w:after="100"/>
            </w:pPr>
            <w:r>
              <w:t>VOIP services</w:t>
            </w:r>
          </w:p>
        </w:tc>
        <w:tc>
          <w:tcPr>
            <w:tcW w:w="2880" w:type="dxa"/>
          </w:tcPr>
          <w:p w14:paraId="289C0DE8" w14:textId="77777777" w:rsidR="000D07EA" w:rsidRDefault="00BE7C89">
            <w:pPr>
              <w:pStyle w:val="BodyText"/>
              <w:spacing w:before="100" w:after="100"/>
            </w:pPr>
            <w:r>
              <w:t>No</w:t>
            </w:r>
          </w:p>
        </w:tc>
      </w:tr>
      <w:tr w:rsidR="000D07EA" w14:paraId="4811EA04" w14:textId="77777777">
        <w:trPr>
          <w:trHeight w:val="20"/>
        </w:trPr>
        <w:tc>
          <w:tcPr>
            <w:tcW w:w="5875" w:type="dxa"/>
          </w:tcPr>
          <w:p w14:paraId="54FE83E1" w14:textId="77777777" w:rsidR="000D07EA" w:rsidRDefault="00BE7C89">
            <w:pPr>
              <w:pStyle w:val="BodyText"/>
              <w:spacing w:before="100" w:after="100"/>
            </w:pPr>
            <w:r>
              <w:t>Surepage</w:t>
            </w:r>
          </w:p>
        </w:tc>
        <w:tc>
          <w:tcPr>
            <w:tcW w:w="2880" w:type="dxa"/>
          </w:tcPr>
          <w:p w14:paraId="431642EA" w14:textId="77777777" w:rsidR="000D07EA" w:rsidRDefault="00BE7C89">
            <w:pPr>
              <w:pStyle w:val="BodyText"/>
              <w:spacing w:before="100" w:after="100"/>
            </w:pPr>
            <w:r>
              <w:t>No</w:t>
            </w:r>
          </w:p>
        </w:tc>
      </w:tr>
    </w:tbl>
    <w:p w14:paraId="724B8194" w14:textId="77777777" w:rsidR="000D07EA" w:rsidRDefault="000D07EA">
      <w:pPr>
        <w:pStyle w:val="BodyText"/>
      </w:pPr>
    </w:p>
    <w:p w14:paraId="55B6FAB5" w14:textId="77777777" w:rsidR="000D07EA" w:rsidRDefault="00BE7C89">
      <w:pPr>
        <w:pStyle w:val="BodyText"/>
        <w:ind w:left="720"/>
        <w:jc w:val="both"/>
        <w:rPr>
          <w:b/>
        </w:rPr>
      </w:pPr>
      <w:r>
        <w:rPr>
          <w:b/>
        </w:rPr>
        <w:t>Table 1C – Eligible for Unlimited BlackBerry POP3 Email &amp; Browsing</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790"/>
        <w:gridCol w:w="2880"/>
      </w:tblGrid>
      <w:tr w:rsidR="000D07EA" w14:paraId="3E970A3A" w14:textId="77777777">
        <w:trPr>
          <w:trHeight w:val="20"/>
          <w:tblHeader/>
        </w:trPr>
        <w:tc>
          <w:tcPr>
            <w:tcW w:w="5790" w:type="dxa"/>
          </w:tcPr>
          <w:p w14:paraId="67BCD9FA" w14:textId="77777777" w:rsidR="000D07EA" w:rsidRDefault="00BE7C89">
            <w:pPr>
              <w:pStyle w:val="BodyText"/>
              <w:spacing w:before="100" w:after="100"/>
              <w:jc w:val="center"/>
              <w:rPr>
                <w:b/>
              </w:rPr>
            </w:pPr>
            <w:r>
              <w:rPr>
                <w:b/>
              </w:rPr>
              <w:t>Call Type</w:t>
            </w:r>
          </w:p>
        </w:tc>
        <w:tc>
          <w:tcPr>
            <w:tcW w:w="2880" w:type="dxa"/>
          </w:tcPr>
          <w:p w14:paraId="53033F0F" w14:textId="77777777" w:rsidR="000D07EA" w:rsidRDefault="00BE7C89">
            <w:pPr>
              <w:pStyle w:val="BodyText"/>
              <w:spacing w:before="100" w:after="100"/>
              <w:jc w:val="center"/>
              <w:rPr>
                <w:b/>
              </w:rPr>
            </w:pPr>
            <w:r>
              <w:rPr>
                <w:b/>
              </w:rPr>
              <w:t>Eligible Data</w:t>
            </w:r>
          </w:p>
        </w:tc>
      </w:tr>
      <w:tr w:rsidR="000D07EA" w14:paraId="52AA3EC2" w14:textId="77777777">
        <w:trPr>
          <w:trHeight w:val="20"/>
        </w:trPr>
        <w:tc>
          <w:tcPr>
            <w:tcW w:w="5790" w:type="dxa"/>
          </w:tcPr>
          <w:p w14:paraId="43701C80" w14:textId="77777777" w:rsidR="000D07EA" w:rsidRDefault="00BE7C89">
            <w:pPr>
              <w:pStyle w:val="BodyText"/>
              <w:spacing w:before="100" w:after="100"/>
              <w:jc w:val="center"/>
            </w:pPr>
            <w:r>
              <w:t>BlackBerry Email (POP3)</w:t>
            </w:r>
          </w:p>
        </w:tc>
        <w:tc>
          <w:tcPr>
            <w:tcW w:w="2880" w:type="dxa"/>
          </w:tcPr>
          <w:p w14:paraId="3F0234A4" w14:textId="77777777" w:rsidR="000D07EA" w:rsidRDefault="00BE7C89">
            <w:pPr>
              <w:pStyle w:val="BodyText"/>
              <w:spacing w:before="100" w:after="100"/>
              <w:jc w:val="center"/>
            </w:pPr>
            <w:r>
              <w:t>Yes</w:t>
            </w:r>
          </w:p>
        </w:tc>
      </w:tr>
      <w:tr w:rsidR="000D07EA" w14:paraId="6D136833" w14:textId="77777777">
        <w:trPr>
          <w:trHeight w:val="20"/>
        </w:trPr>
        <w:tc>
          <w:tcPr>
            <w:tcW w:w="5790" w:type="dxa"/>
          </w:tcPr>
          <w:p w14:paraId="683687BE" w14:textId="77777777" w:rsidR="000D07EA" w:rsidRDefault="00BE7C89">
            <w:pPr>
              <w:pStyle w:val="BodyText"/>
              <w:spacing w:before="100" w:after="100"/>
              <w:jc w:val="center"/>
            </w:pPr>
            <w:r>
              <w:t>Internet Browsing through the BlackBerry Browser</w:t>
            </w:r>
          </w:p>
        </w:tc>
        <w:tc>
          <w:tcPr>
            <w:tcW w:w="2880" w:type="dxa"/>
          </w:tcPr>
          <w:p w14:paraId="0F027A1D" w14:textId="77777777" w:rsidR="000D07EA" w:rsidRDefault="00BE7C89">
            <w:pPr>
              <w:pStyle w:val="BodyText"/>
              <w:spacing w:before="100" w:after="100"/>
              <w:jc w:val="center"/>
            </w:pPr>
            <w:r>
              <w:t>Yes</w:t>
            </w:r>
          </w:p>
        </w:tc>
      </w:tr>
      <w:tr w:rsidR="000D07EA" w14:paraId="7A09C4F9" w14:textId="77777777">
        <w:trPr>
          <w:trHeight w:val="20"/>
        </w:trPr>
        <w:tc>
          <w:tcPr>
            <w:tcW w:w="5790" w:type="dxa"/>
          </w:tcPr>
          <w:p w14:paraId="1C91592D" w14:textId="77777777" w:rsidR="000D07EA" w:rsidRDefault="00BE7C89">
            <w:pPr>
              <w:pStyle w:val="BodyText"/>
              <w:spacing w:before="100" w:after="100"/>
              <w:jc w:val="center"/>
            </w:pPr>
            <w:r>
              <w:t>Optus Zoo downloads and subscriptions</w:t>
            </w:r>
          </w:p>
        </w:tc>
        <w:tc>
          <w:tcPr>
            <w:tcW w:w="2880" w:type="dxa"/>
          </w:tcPr>
          <w:p w14:paraId="0F16D583" w14:textId="77777777" w:rsidR="000D07EA" w:rsidRDefault="00BE7C89">
            <w:pPr>
              <w:pStyle w:val="BodyText"/>
              <w:spacing w:before="100" w:after="100"/>
              <w:jc w:val="center"/>
            </w:pPr>
            <w:r>
              <w:t>No</w:t>
            </w:r>
          </w:p>
        </w:tc>
      </w:tr>
      <w:tr w:rsidR="000D07EA" w14:paraId="3AF34A27" w14:textId="77777777">
        <w:trPr>
          <w:trHeight w:val="20"/>
        </w:trPr>
        <w:tc>
          <w:tcPr>
            <w:tcW w:w="5790" w:type="dxa"/>
          </w:tcPr>
          <w:p w14:paraId="63D6821C" w14:textId="77777777" w:rsidR="000D07EA" w:rsidRDefault="00BE7C89">
            <w:pPr>
              <w:pStyle w:val="BodyText"/>
              <w:spacing w:before="100" w:after="100"/>
              <w:jc w:val="center"/>
            </w:pPr>
            <w:r>
              <w:t>Optus Zoo GPRS WAP browsing</w:t>
            </w:r>
          </w:p>
        </w:tc>
        <w:tc>
          <w:tcPr>
            <w:tcW w:w="2880" w:type="dxa"/>
          </w:tcPr>
          <w:p w14:paraId="374A5D8A" w14:textId="77777777" w:rsidR="000D07EA" w:rsidRDefault="00BE7C89">
            <w:pPr>
              <w:pStyle w:val="BodyText"/>
              <w:spacing w:before="100" w:after="100"/>
              <w:jc w:val="center"/>
            </w:pPr>
            <w:r>
              <w:t>No</w:t>
            </w:r>
          </w:p>
        </w:tc>
      </w:tr>
      <w:tr w:rsidR="000D07EA" w14:paraId="514AD603" w14:textId="77777777">
        <w:trPr>
          <w:trHeight w:val="20"/>
        </w:trPr>
        <w:tc>
          <w:tcPr>
            <w:tcW w:w="5790" w:type="dxa"/>
          </w:tcPr>
          <w:p w14:paraId="22709DE6" w14:textId="77777777" w:rsidR="000D07EA" w:rsidRDefault="00BE7C89">
            <w:pPr>
              <w:pStyle w:val="BodyText"/>
              <w:spacing w:before="100" w:after="100"/>
              <w:jc w:val="center"/>
            </w:pPr>
            <w:r>
              <w:t>Applications from Optus and third party applications that require a BlackBerry Data connection</w:t>
            </w:r>
          </w:p>
        </w:tc>
        <w:tc>
          <w:tcPr>
            <w:tcW w:w="2880" w:type="dxa"/>
          </w:tcPr>
          <w:p w14:paraId="55665154" w14:textId="77777777" w:rsidR="000D07EA" w:rsidRDefault="00BE7C89">
            <w:pPr>
              <w:pStyle w:val="BodyText"/>
              <w:spacing w:before="100" w:after="100"/>
              <w:jc w:val="center"/>
            </w:pPr>
            <w:r>
              <w:t>Yes</w:t>
            </w:r>
          </w:p>
        </w:tc>
      </w:tr>
      <w:tr w:rsidR="000D07EA" w14:paraId="5C5CF281" w14:textId="77777777">
        <w:trPr>
          <w:trHeight w:val="20"/>
        </w:trPr>
        <w:tc>
          <w:tcPr>
            <w:tcW w:w="5790" w:type="dxa"/>
          </w:tcPr>
          <w:p w14:paraId="3F010A68" w14:textId="77777777" w:rsidR="000D07EA" w:rsidRDefault="00BE7C89">
            <w:pPr>
              <w:pStyle w:val="BodyText"/>
              <w:spacing w:before="100" w:after="100"/>
              <w:jc w:val="center"/>
            </w:pPr>
            <w:r>
              <w:t>All other call types or usage</w:t>
            </w:r>
          </w:p>
        </w:tc>
        <w:tc>
          <w:tcPr>
            <w:tcW w:w="2880" w:type="dxa"/>
          </w:tcPr>
          <w:p w14:paraId="25F8FF0A" w14:textId="77777777" w:rsidR="000D07EA" w:rsidRDefault="00BE7C89">
            <w:pPr>
              <w:pStyle w:val="BodyText"/>
              <w:spacing w:before="100" w:after="100"/>
              <w:jc w:val="center"/>
            </w:pPr>
            <w:r>
              <w:t>No</w:t>
            </w:r>
          </w:p>
        </w:tc>
      </w:tr>
    </w:tbl>
    <w:p w14:paraId="74D030D4" w14:textId="77777777" w:rsidR="000D07EA" w:rsidRDefault="000D07EA">
      <w:pPr>
        <w:pStyle w:val="BodyText"/>
      </w:pPr>
    </w:p>
    <w:p w14:paraId="71EE196B" w14:textId="77777777" w:rsidR="000D07EA" w:rsidRDefault="00BE7C89">
      <w:pPr>
        <w:pStyle w:val="BodyText"/>
        <w:ind w:left="720"/>
        <w:jc w:val="both"/>
        <w:rPr>
          <w:b/>
        </w:rPr>
      </w:pPr>
      <w:r>
        <w:rPr>
          <w:b/>
        </w:rPr>
        <w:t>Table 2A – Charges and Plan Inclusions for the Business Complete Plans</w:t>
      </w:r>
    </w:p>
    <w:tbl>
      <w:tblPr>
        <w:tblW w:w="4632"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270"/>
        <w:gridCol w:w="1433"/>
        <w:gridCol w:w="1433"/>
        <w:gridCol w:w="1433"/>
        <w:gridCol w:w="1433"/>
        <w:gridCol w:w="1436"/>
      </w:tblGrid>
      <w:tr w:rsidR="000D07EA" w14:paraId="49957B6F" w14:textId="77777777">
        <w:trPr>
          <w:tblHeader/>
        </w:trPr>
        <w:tc>
          <w:tcPr>
            <w:tcW w:w="1203" w:type="pct"/>
            <w:shd w:val="clear" w:color="auto" w:fill="auto"/>
          </w:tcPr>
          <w:p w14:paraId="565206FF" w14:textId="77777777" w:rsidR="000D07EA" w:rsidRDefault="000D07EA">
            <w:pPr>
              <w:pStyle w:val="BodyText"/>
              <w:spacing w:before="100" w:after="100"/>
              <w:jc w:val="center"/>
              <w:rPr>
                <w:b/>
                <w:szCs w:val="20"/>
              </w:rPr>
            </w:pPr>
          </w:p>
        </w:tc>
        <w:tc>
          <w:tcPr>
            <w:tcW w:w="759" w:type="pct"/>
            <w:shd w:val="clear" w:color="auto" w:fill="auto"/>
            <w:vAlign w:val="center"/>
          </w:tcPr>
          <w:p w14:paraId="23E3387C" w14:textId="77777777" w:rsidR="000D07EA" w:rsidRDefault="00BE7C89">
            <w:pPr>
              <w:pStyle w:val="BodyText"/>
              <w:spacing w:before="100" w:after="100"/>
              <w:jc w:val="center"/>
              <w:rPr>
                <w:b/>
              </w:rPr>
            </w:pPr>
            <w:r>
              <w:rPr>
                <w:b/>
              </w:rPr>
              <w:t>$30 Business Complete Plan (4G Sept 2012)</w:t>
            </w:r>
          </w:p>
        </w:tc>
        <w:tc>
          <w:tcPr>
            <w:tcW w:w="759" w:type="pct"/>
            <w:shd w:val="clear" w:color="auto" w:fill="auto"/>
          </w:tcPr>
          <w:p w14:paraId="5EFAAA56" w14:textId="77777777" w:rsidR="000D07EA" w:rsidRDefault="00BE7C89">
            <w:pPr>
              <w:pStyle w:val="BodyText"/>
              <w:spacing w:before="100" w:after="100"/>
              <w:jc w:val="center"/>
              <w:rPr>
                <w:b/>
              </w:rPr>
            </w:pPr>
            <w:r>
              <w:rPr>
                <w:b/>
              </w:rPr>
              <w:t>$35 Business Complete Plan (4G Sept 2012)</w:t>
            </w:r>
          </w:p>
        </w:tc>
        <w:tc>
          <w:tcPr>
            <w:tcW w:w="759" w:type="pct"/>
            <w:shd w:val="clear" w:color="auto" w:fill="auto"/>
          </w:tcPr>
          <w:p w14:paraId="51659569" w14:textId="77777777" w:rsidR="000D07EA" w:rsidRDefault="00BE7C89">
            <w:pPr>
              <w:pStyle w:val="BodyText"/>
              <w:spacing w:before="100" w:after="100"/>
              <w:jc w:val="center"/>
              <w:rPr>
                <w:b/>
              </w:rPr>
            </w:pPr>
            <w:r>
              <w:rPr>
                <w:b/>
              </w:rPr>
              <w:t>$50 Business Complete Plan (4G Sept 2012)</w:t>
            </w:r>
          </w:p>
        </w:tc>
        <w:tc>
          <w:tcPr>
            <w:tcW w:w="759" w:type="pct"/>
            <w:shd w:val="clear" w:color="auto" w:fill="auto"/>
            <w:vAlign w:val="center"/>
          </w:tcPr>
          <w:p w14:paraId="4121B3C3" w14:textId="77777777" w:rsidR="000D07EA" w:rsidRDefault="00BE7C89">
            <w:pPr>
              <w:pStyle w:val="BodyText"/>
              <w:spacing w:before="100" w:after="100"/>
              <w:jc w:val="center"/>
              <w:rPr>
                <w:b/>
              </w:rPr>
            </w:pPr>
            <w:r>
              <w:rPr>
                <w:b/>
              </w:rPr>
              <w:t>$60 Business Complete Plan (4G Sept 2012)</w:t>
            </w:r>
          </w:p>
        </w:tc>
        <w:tc>
          <w:tcPr>
            <w:tcW w:w="760" w:type="pct"/>
            <w:shd w:val="clear" w:color="auto" w:fill="auto"/>
            <w:vAlign w:val="center"/>
          </w:tcPr>
          <w:p w14:paraId="44FA18C8" w14:textId="77777777" w:rsidR="000D07EA" w:rsidRDefault="00BE7C89">
            <w:pPr>
              <w:pStyle w:val="BodyText"/>
              <w:spacing w:before="100" w:after="100"/>
              <w:jc w:val="center"/>
              <w:rPr>
                <w:b/>
              </w:rPr>
            </w:pPr>
            <w:r>
              <w:rPr>
                <w:b/>
              </w:rPr>
              <w:t>$80 Business Complete Plan (4G Sept 2012)</w:t>
            </w:r>
          </w:p>
        </w:tc>
      </w:tr>
      <w:tr w:rsidR="000D07EA" w14:paraId="3022F548" w14:textId="77777777">
        <w:trPr>
          <w:trHeight w:val="58"/>
        </w:trPr>
        <w:tc>
          <w:tcPr>
            <w:tcW w:w="1203" w:type="pct"/>
            <w:shd w:val="clear" w:color="auto" w:fill="auto"/>
          </w:tcPr>
          <w:p w14:paraId="06AD35CF" w14:textId="77777777" w:rsidR="000D07EA" w:rsidRDefault="00BE7C89">
            <w:pPr>
              <w:pStyle w:val="BodyText"/>
              <w:spacing w:before="100" w:after="100"/>
              <w:rPr>
                <w:szCs w:val="20"/>
              </w:rPr>
            </w:pPr>
            <w:r>
              <w:rPr>
                <w:b/>
                <w:bCs/>
                <w:szCs w:val="20"/>
              </w:rPr>
              <w:t>Minimum Monthly charge</w:t>
            </w:r>
          </w:p>
        </w:tc>
        <w:tc>
          <w:tcPr>
            <w:tcW w:w="759" w:type="pct"/>
            <w:shd w:val="clear" w:color="auto" w:fill="auto"/>
            <w:vAlign w:val="center"/>
          </w:tcPr>
          <w:p w14:paraId="3DF5E991" w14:textId="77777777" w:rsidR="000D07EA" w:rsidRDefault="00BE7C89">
            <w:pPr>
              <w:pStyle w:val="BodyText"/>
              <w:spacing w:before="100" w:after="100"/>
              <w:jc w:val="center"/>
            </w:pPr>
            <w:r>
              <w:t>$30</w:t>
            </w:r>
          </w:p>
        </w:tc>
        <w:tc>
          <w:tcPr>
            <w:tcW w:w="759" w:type="pct"/>
            <w:shd w:val="clear" w:color="auto" w:fill="auto"/>
            <w:vAlign w:val="center"/>
          </w:tcPr>
          <w:p w14:paraId="1E0E2F54" w14:textId="77777777" w:rsidR="000D07EA" w:rsidRDefault="00BE7C89">
            <w:pPr>
              <w:pStyle w:val="BodyText"/>
              <w:spacing w:before="100" w:after="100"/>
              <w:jc w:val="center"/>
            </w:pPr>
            <w:r>
              <w:t>$35</w:t>
            </w:r>
          </w:p>
        </w:tc>
        <w:tc>
          <w:tcPr>
            <w:tcW w:w="759" w:type="pct"/>
            <w:shd w:val="clear" w:color="auto" w:fill="auto"/>
            <w:vAlign w:val="center"/>
          </w:tcPr>
          <w:p w14:paraId="213A6037" w14:textId="77777777" w:rsidR="000D07EA" w:rsidRDefault="00BE7C89">
            <w:pPr>
              <w:pStyle w:val="BodyText"/>
              <w:spacing w:before="100" w:after="100"/>
              <w:jc w:val="center"/>
            </w:pPr>
            <w:r>
              <w:t>$50</w:t>
            </w:r>
          </w:p>
        </w:tc>
        <w:tc>
          <w:tcPr>
            <w:tcW w:w="759" w:type="pct"/>
            <w:shd w:val="clear" w:color="auto" w:fill="auto"/>
            <w:vAlign w:val="center"/>
          </w:tcPr>
          <w:p w14:paraId="5789E862" w14:textId="77777777" w:rsidR="000D07EA" w:rsidRDefault="00BE7C89">
            <w:pPr>
              <w:pStyle w:val="BodyText"/>
              <w:spacing w:before="100" w:after="100"/>
              <w:jc w:val="center"/>
            </w:pPr>
            <w:r>
              <w:t>$60</w:t>
            </w:r>
          </w:p>
        </w:tc>
        <w:tc>
          <w:tcPr>
            <w:tcW w:w="760" w:type="pct"/>
            <w:shd w:val="clear" w:color="auto" w:fill="auto"/>
            <w:vAlign w:val="center"/>
          </w:tcPr>
          <w:p w14:paraId="60A4DF9A" w14:textId="77777777" w:rsidR="000D07EA" w:rsidRDefault="00BE7C89">
            <w:pPr>
              <w:pStyle w:val="BodyText"/>
              <w:spacing w:before="100" w:after="100"/>
              <w:jc w:val="center"/>
            </w:pPr>
            <w:r>
              <w:t>$80</w:t>
            </w:r>
          </w:p>
        </w:tc>
      </w:tr>
      <w:tr w:rsidR="000D07EA" w14:paraId="42487C48" w14:textId="77777777">
        <w:tc>
          <w:tcPr>
            <w:tcW w:w="1203" w:type="pct"/>
            <w:shd w:val="clear" w:color="auto" w:fill="auto"/>
          </w:tcPr>
          <w:p w14:paraId="482898EF" w14:textId="77777777" w:rsidR="000D07EA" w:rsidRDefault="00BE7C89">
            <w:pPr>
              <w:pStyle w:val="BodyText"/>
              <w:spacing w:before="100" w:after="100"/>
              <w:rPr>
                <w:szCs w:val="20"/>
              </w:rPr>
            </w:pPr>
            <w:r>
              <w:rPr>
                <w:b/>
                <w:bCs/>
                <w:szCs w:val="20"/>
              </w:rPr>
              <w:t>Monthly Included Mobile Internet Data</w:t>
            </w:r>
          </w:p>
        </w:tc>
        <w:tc>
          <w:tcPr>
            <w:tcW w:w="759" w:type="pct"/>
            <w:shd w:val="clear" w:color="auto" w:fill="auto"/>
            <w:vAlign w:val="center"/>
          </w:tcPr>
          <w:p w14:paraId="587FD121" w14:textId="77777777" w:rsidR="000D07EA" w:rsidRDefault="00BE7C89">
            <w:pPr>
              <w:pStyle w:val="BodyText"/>
              <w:spacing w:before="100" w:after="100"/>
              <w:jc w:val="center"/>
            </w:pPr>
            <w:r>
              <w:t>200MB</w:t>
            </w:r>
          </w:p>
        </w:tc>
        <w:tc>
          <w:tcPr>
            <w:tcW w:w="759" w:type="pct"/>
            <w:shd w:val="clear" w:color="auto" w:fill="auto"/>
            <w:vAlign w:val="center"/>
          </w:tcPr>
          <w:p w14:paraId="3A86C3B1" w14:textId="77777777" w:rsidR="000D07EA" w:rsidRDefault="00BE7C89">
            <w:pPr>
              <w:pStyle w:val="BodyText"/>
              <w:spacing w:before="100" w:after="100"/>
              <w:jc w:val="center"/>
            </w:pPr>
            <w:r>
              <w:t>200MB</w:t>
            </w:r>
          </w:p>
        </w:tc>
        <w:tc>
          <w:tcPr>
            <w:tcW w:w="759" w:type="pct"/>
            <w:shd w:val="clear" w:color="auto" w:fill="auto"/>
            <w:vAlign w:val="center"/>
          </w:tcPr>
          <w:p w14:paraId="5F0E3BEF" w14:textId="77777777" w:rsidR="000D07EA" w:rsidRDefault="00BE7C89">
            <w:pPr>
              <w:pStyle w:val="BodyText"/>
              <w:spacing w:before="100" w:after="100"/>
              <w:jc w:val="center"/>
            </w:pPr>
            <w:r>
              <w:t>1GB</w:t>
            </w:r>
          </w:p>
        </w:tc>
        <w:tc>
          <w:tcPr>
            <w:tcW w:w="759" w:type="pct"/>
            <w:shd w:val="clear" w:color="auto" w:fill="auto"/>
            <w:vAlign w:val="center"/>
          </w:tcPr>
          <w:p w14:paraId="401E2979" w14:textId="77777777" w:rsidR="000D07EA" w:rsidRDefault="00BE7C89">
            <w:pPr>
              <w:pStyle w:val="BodyText"/>
              <w:spacing w:before="100" w:after="100"/>
              <w:jc w:val="center"/>
            </w:pPr>
            <w:r>
              <w:t>1.5GB</w:t>
            </w:r>
          </w:p>
        </w:tc>
        <w:tc>
          <w:tcPr>
            <w:tcW w:w="760" w:type="pct"/>
            <w:shd w:val="clear" w:color="auto" w:fill="auto"/>
            <w:vAlign w:val="center"/>
          </w:tcPr>
          <w:p w14:paraId="6029E524" w14:textId="77777777" w:rsidR="000D07EA" w:rsidRDefault="00BE7C89">
            <w:pPr>
              <w:pStyle w:val="BodyText"/>
              <w:spacing w:before="100" w:after="100"/>
              <w:jc w:val="center"/>
            </w:pPr>
            <w:r>
              <w:t>2GB</w:t>
            </w:r>
          </w:p>
        </w:tc>
      </w:tr>
      <w:tr w:rsidR="000D07EA" w14:paraId="2B4703BC" w14:textId="77777777">
        <w:tc>
          <w:tcPr>
            <w:tcW w:w="1203" w:type="pct"/>
            <w:shd w:val="clear" w:color="auto" w:fill="auto"/>
          </w:tcPr>
          <w:p w14:paraId="71D4A6B4" w14:textId="77777777" w:rsidR="000D07EA" w:rsidRDefault="00BE7C89">
            <w:pPr>
              <w:pStyle w:val="BodyText"/>
              <w:spacing w:before="100" w:after="100"/>
              <w:rPr>
                <w:szCs w:val="20"/>
              </w:rPr>
            </w:pPr>
            <w:r>
              <w:rPr>
                <w:b/>
                <w:bCs/>
                <w:szCs w:val="20"/>
              </w:rPr>
              <w:t>Unlimited Mobile Access to Facebook®, Twitter, LinkedIn, eBay, Four Square, MySpace</w:t>
            </w:r>
          </w:p>
        </w:tc>
        <w:tc>
          <w:tcPr>
            <w:tcW w:w="759" w:type="pct"/>
            <w:shd w:val="clear" w:color="auto" w:fill="auto"/>
            <w:vAlign w:val="center"/>
          </w:tcPr>
          <w:p w14:paraId="060C2B59" w14:textId="77777777" w:rsidR="000D07EA" w:rsidRDefault="00BE7C89">
            <w:pPr>
              <w:pStyle w:val="BodyText"/>
              <w:spacing w:before="100" w:after="100"/>
              <w:jc w:val="center"/>
            </w:pPr>
            <w:r>
              <w:t>Yes</w:t>
            </w:r>
          </w:p>
        </w:tc>
        <w:tc>
          <w:tcPr>
            <w:tcW w:w="759" w:type="pct"/>
            <w:shd w:val="clear" w:color="auto" w:fill="auto"/>
            <w:vAlign w:val="center"/>
          </w:tcPr>
          <w:p w14:paraId="1BE7B4CC" w14:textId="77777777" w:rsidR="000D07EA" w:rsidRDefault="00BE7C89">
            <w:pPr>
              <w:pStyle w:val="BodyText"/>
              <w:spacing w:before="100" w:after="100"/>
              <w:jc w:val="center"/>
            </w:pPr>
            <w:r>
              <w:t>Yes</w:t>
            </w:r>
          </w:p>
        </w:tc>
        <w:tc>
          <w:tcPr>
            <w:tcW w:w="759" w:type="pct"/>
            <w:shd w:val="clear" w:color="auto" w:fill="auto"/>
            <w:vAlign w:val="center"/>
          </w:tcPr>
          <w:p w14:paraId="230FCA2E" w14:textId="77777777" w:rsidR="000D07EA" w:rsidRDefault="00BE7C89">
            <w:pPr>
              <w:pStyle w:val="BodyText"/>
              <w:spacing w:before="100" w:after="100"/>
              <w:jc w:val="center"/>
            </w:pPr>
            <w:r>
              <w:t>Yes</w:t>
            </w:r>
          </w:p>
        </w:tc>
        <w:tc>
          <w:tcPr>
            <w:tcW w:w="759" w:type="pct"/>
            <w:shd w:val="clear" w:color="auto" w:fill="auto"/>
            <w:vAlign w:val="center"/>
          </w:tcPr>
          <w:p w14:paraId="2FCC18E9" w14:textId="77777777" w:rsidR="000D07EA" w:rsidRDefault="00BE7C89">
            <w:pPr>
              <w:pStyle w:val="BodyText"/>
              <w:spacing w:before="100" w:after="100"/>
              <w:jc w:val="center"/>
            </w:pPr>
            <w:r>
              <w:t>Yes</w:t>
            </w:r>
          </w:p>
        </w:tc>
        <w:tc>
          <w:tcPr>
            <w:tcW w:w="760" w:type="pct"/>
            <w:shd w:val="clear" w:color="auto" w:fill="auto"/>
            <w:vAlign w:val="center"/>
          </w:tcPr>
          <w:p w14:paraId="43E46016" w14:textId="77777777" w:rsidR="000D07EA" w:rsidRDefault="00BE7C89">
            <w:pPr>
              <w:pStyle w:val="BodyText"/>
              <w:spacing w:before="100" w:after="100"/>
              <w:jc w:val="center"/>
            </w:pPr>
            <w:r>
              <w:t>Yes</w:t>
            </w:r>
          </w:p>
        </w:tc>
      </w:tr>
      <w:tr w:rsidR="000D07EA" w14:paraId="235F38C6" w14:textId="77777777">
        <w:tc>
          <w:tcPr>
            <w:tcW w:w="1203" w:type="pct"/>
            <w:shd w:val="clear" w:color="auto" w:fill="auto"/>
          </w:tcPr>
          <w:p w14:paraId="5E6711AC" w14:textId="77777777" w:rsidR="000D07EA" w:rsidRDefault="00BE7C89">
            <w:pPr>
              <w:pStyle w:val="BodyText"/>
              <w:spacing w:before="100" w:after="100"/>
              <w:rPr>
                <w:szCs w:val="20"/>
              </w:rPr>
            </w:pPr>
            <w:r>
              <w:rPr>
                <w:b/>
                <w:bCs/>
                <w:szCs w:val="20"/>
              </w:rPr>
              <w:t>'Included Value' per month</w:t>
            </w:r>
          </w:p>
        </w:tc>
        <w:tc>
          <w:tcPr>
            <w:tcW w:w="759" w:type="pct"/>
            <w:shd w:val="clear" w:color="auto" w:fill="auto"/>
            <w:vAlign w:val="center"/>
          </w:tcPr>
          <w:p w14:paraId="331DCD2D" w14:textId="77777777" w:rsidR="000D07EA" w:rsidRDefault="00BE7C89">
            <w:pPr>
              <w:pStyle w:val="BodyText"/>
              <w:spacing w:before="100" w:after="100"/>
              <w:jc w:val="center"/>
            </w:pPr>
            <w:r>
              <w:t>$200</w:t>
            </w:r>
          </w:p>
        </w:tc>
        <w:tc>
          <w:tcPr>
            <w:tcW w:w="759" w:type="pct"/>
            <w:shd w:val="clear" w:color="auto" w:fill="auto"/>
            <w:vAlign w:val="center"/>
          </w:tcPr>
          <w:p w14:paraId="1954FB16" w14:textId="77777777" w:rsidR="000D07EA" w:rsidRDefault="00BE7C89">
            <w:pPr>
              <w:pStyle w:val="BodyText"/>
              <w:spacing w:before="100" w:after="100"/>
              <w:jc w:val="center"/>
            </w:pPr>
            <w:r>
              <w:t>$200</w:t>
            </w:r>
          </w:p>
        </w:tc>
        <w:tc>
          <w:tcPr>
            <w:tcW w:w="759" w:type="pct"/>
            <w:shd w:val="clear" w:color="auto" w:fill="auto"/>
            <w:vAlign w:val="center"/>
          </w:tcPr>
          <w:p w14:paraId="6C313642" w14:textId="77777777" w:rsidR="000D07EA" w:rsidRDefault="00BE7C89">
            <w:pPr>
              <w:pStyle w:val="BodyText"/>
              <w:spacing w:before="100" w:after="100"/>
              <w:jc w:val="center"/>
            </w:pPr>
            <w:r>
              <w:t>$500</w:t>
            </w:r>
          </w:p>
        </w:tc>
        <w:tc>
          <w:tcPr>
            <w:tcW w:w="759" w:type="pct"/>
            <w:shd w:val="clear" w:color="auto" w:fill="auto"/>
            <w:vAlign w:val="center"/>
          </w:tcPr>
          <w:p w14:paraId="36FB75D1" w14:textId="77777777" w:rsidR="000D07EA" w:rsidRDefault="00BE7C89">
            <w:pPr>
              <w:pStyle w:val="BodyText"/>
              <w:spacing w:before="100" w:after="100"/>
              <w:jc w:val="center"/>
            </w:pPr>
            <w:r>
              <w:t>$650</w:t>
            </w:r>
          </w:p>
        </w:tc>
        <w:tc>
          <w:tcPr>
            <w:tcW w:w="760" w:type="pct"/>
            <w:shd w:val="clear" w:color="auto" w:fill="auto"/>
            <w:vAlign w:val="center"/>
          </w:tcPr>
          <w:p w14:paraId="67E3A5DF" w14:textId="77777777" w:rsidR="000D07EA" w:rsidRDefault="00BE7C89">
            <w:pPr>
              <w:pStyle w:val="BodyText"/>
              <w:spacing w:before="100" w:after="100"/>
              <w:jc w:val="center"/>
            </w:pPr>
            <w:r>
              <w:t>$850</w:t>
            </w:r>
          </w:p>
        </w:tc>
      </w:tr>
      <w:tr w:rsidR="000D07EA" w14:paraId="68C1364A" w14:textId="77777777">
        <w:tc>
          <w:tcPr>
            <w:tcW w:w="1203" w:type="pct"/>
            <w:shd w:val="clear" w:color="auto" w:fill="auto"/>
          </w:tcPr>
          <w:p w14:paraId="1711D8D4" w14:textId="77777777" w:rsidR="000D07EA" w:rsidRDefault="00BE7C89">
            <w:pPr>
              <w:pStyle w:val="BodyText"/>
              <w:spacing w:before="100" w:after="100"/>
              <w:rPr>
                <w:szCs w:val="20"/>
              </w:rPr>
            </w:pPr>
            <w:r>
              <w:rPr>
                <w:b/>
                <w:bCs/>
                <w:szCs w:val="20"/>
              </w:rPr>
              <w:t>Unlimited Standard National SMS</w:t>
            </w:r>
          </w:p>
        </w:tc>
        <w:tc>
          <w:tcPr>
            <w:tcW w:w="759" w:type="pct"/>
            <w:shd w:val="clear" w:color="auto" w:fill="auto"/>
            <w:vAlign w:val="center"/>
          </w:tcPr>
          <w:p w14:paraId="22B7E8C7" w14:textId="77777777" w:rsidR="000D07EA" w:rsidRDefault="00BE7C89">
            <w:pPr>
              <w:pStyle w:val="BodyText"/>
              <w:spacing w:before="100" w:after="100"/>
              <w:jc w:val="center"/>
            </w:pPr>
            <w:r>
              <w:t>No</w:t>
            </w:r>
          </w:p>
        </w:tc>
        <w:tc>
          <w:tcPr>
            <w:tcW w:w="759" w:type="pct"/>
            <w:shd w:val="clear" w:color="auto" w:fill="auto"/>
            <w:vAlign w:val="center"/>
          </w:tcPr>
          <w:p w14:paraId="0469D0C5" w14:textId="77777777" w:rsidR="000D07EA" w:rsidRDefault="00BE7C89">
            <w:pPr>
              <w:pStyle w:val="BodyText"/>
              <w:spacing w:before="100" w:after="100"/>
              <w:jc w:val="center"/>
            </w:pPr>
            <w:r>
              <w:t>Yes</w:t>
            </w:r>
          </w:p>
        </w:tc>
        <w:tc>
          <w:tcPr>
            <w:tcW w:w="759" w:type="pct"/>
            <w:shd w:val="clear" w:color="auto" w:fill="auto"/>
            <w:vAlign w:val="center"/>
          </w:tcPr>
          <w:p w14:paraId="6A7ACB10" w14:textId="77777777" w:rsidR="000D07EA" w:rsidRDefault="00BE7C89">
            <w:pPr>
              <w:pStyle w:val="BodyText"/>
              <w:spacing w:before="100" w:after="100"/>
              <w:jc w:val="center"/>
            </w:pPr>
            <w:r>
              <w:t>Yes</w:t>
            </w:r>
          </w:p>
        </w:tc>
        <w:tc>
          <w:tcPr>
            <w:tcW w:w="759" w:type="pct"/>
            <w:shd w:val="clear" w:color="auto" w:fill="auto"/>
            <w:vAlign w:val="center"/>
          </w:tcPr>
          <w:p w14:paraId="03CD192E" w14:textId="77777777" w:rsidR="000D07EA" w:rsidRDefault="00BE7C89">
            <w:pPr>
              <w:pStyle w:val="BodyText"/>
              <w:spacing w:before="100" w:after="100"/>
              <w:jc w:val="center"/>
            </w:pPr>
            <w:r>
              <w:t>Yes</w:t>
            </w:r>
          </w:p>
        </w:tc>
        <w:tc>
          <w:tcPr>
            <w:tcW w:w="760" w:type="pct"/>
            <w:shd w:val="clear" w:color="auto" w:fill="auto"/>
            <w:vAlign w:val="center"/>
          </w:tcPr>
          <w:p w14:paraId="6E4BB08E" w14:textId="77777777" w:rsidR="000D07EA" w:rsidRDefault="00BE7C89">
            <w:pPr>
              <w:pStyle w:val="BodyText"/>
              <w:spacing w:before="100" w:after="100"/>
              <w:jc w:val="center"/>
            </w:pPr>
            <w:r>
              <w:t>Yes</w:t>
            </w:r>
          </w:p>
        </w:tc>
      </w:tr>
      <w:tr w:rsidR="000D07EA" w14:paraId="6EDC54AA" w14:textId="77777777">
        <w:tc>
          <w:tcPr>
            <w:tcW w:w="1203" w:type="pct"/>
            <w:shd w:val="clear" w:color="auto" w:fill="auto"/>
          </w:tcPr>
          <w:p w14:paraId="574C94B7" w14:textId="77777777" w:rsidR="000D07EA" w:rsidRDefault="00BE7C89">
            <w:pPr>
              <w:pStyle w:val="BodyText"/>
              <w:spacing w:before="100" w:after="100"/>
              <w:rPr>
                <w:b/>
                <w:szCs w:val="20"/>
              </w:rPr>
            </w:pPr>
            <w:r>
              <w:rPr>
                <w:b/>
                <w:szCs w:val="20"/>
              </w:rPr>
              <w:t xml:space="preserve">Unlimited voice calls to Optus mobiles on the same Customer Account Number Offer to use within Australia </w:t>
            </w:r>
          </w:p>
        </w:tc>
        <w:tc>
          <w:tcPr>
            <w:tcW w:w="759" w:type="pct"/>
            <w:shd w:val="clear" w:color="auto" w:fill="auto"/>
            <w:vAlign w:val="center"/>
          </w:tcPr>
          <w:p w14:paraId="2FF21689" w14:textId="77777777" w:rsidR="000D07EA" w:rsidRDefault="00BE7C89">
            <w:pPr>
              <w:pStyle w:val="BodyText"/>
              <w:spacing w:before="100" w:after="100"/>
              <w:jc w:val="center"/>
            </w:pPr>
            <w:r>
              <w:t>Yes</w:t>
            </w:r>
          </w:p>
        </w:tc>
        <w:tc>
          <w:tcPr>
            <w:tcW w:w="759" w:type="pct"/>
            <w:shd w:val="clear" w:color="auto" w:fill="auto"/>
            <w:vAlign w:val="center"/>
          </w:tcPr>
          <w:p w14:paraId="75574861" w14:textId="77777777" w:rsidR="000D07EA" w:rsidRDefault="00BE7C89">
            <w:pPr>
              <w:pStyle w:val="BodyText"/>
              <w:spacing w:before="100" w:after="100"/>
              <w:jc w:val="center"/>
            </w:pPr>
            <w:r>
              <w:t>Yes</w:t>
            </w:r>
          </w:p>
        </w:tc>
        <w:tc>
          <w:tcPr>
            <w:tcW w:w="759" w:type="pct"/>
            <w:shd w:val="clear" w:color="auto" w:fill="auto"/>
            <w:vAlign w:val="center"/>
          </w:tcPr>
          <w:p w14:paraId="30809D70" w14:textId="77777777" w:rsidR="000D07EA" w:rsidRDefault="00BE7C89">
            <w:pPr>
              <w:pStyle w:val="BodyText"/>
              <w:spacing w:before="100" w:after="100"/>
              <w:jc w:val="center"/>
            </w:pPr>
            <w:r>
              <w:t>Yes</w:t>
            </w:r>
          </w:p>
        </w:tc>
        <w:tc>
          <w:tcPr>
            <w:tcW w:w="759" w:type="pct"/>
            <w:shd w:val="clear" w:color="auto" w:fill="auto"/>
            <w:vAlign w:val="center"/>
          </w:tcPr>
          <w:p w14:paraId="51249040" w14:textId="77777777" w:rsidR="000D07EA" w:rsidRDefault="00BE7C89">
            <w:pPr>
              <w:pStyle w:val="BodyText"/>
              <w:spacing w:before="100" w:after="100"/>
              <w:jc w:val="center"/>
            </w:pPr>
            <w:r>
              <w:t>Yes</w:t>
            </w:r>
          </w:p>
        </w:tc>
        <w:tc>
          <w:tcPr>
            <w:tcW w:w="760" w:type="pct"/>
            <w:shd w:val="clear" w:color="auto" w:fill="auto"/>
            <w:vAlign w:val="center"/>
          </w:tcPr>
          <w:p w14:paraId="02BEDACB" w14:textId="77777777" w:rsidR="000D07EA" w:rsidRDefault="00BE7C89">
            <w:pPr>
              <w:pStyle w:val="BodyText"/>
              <w:spacing w:before="100" w:after="100"/>
              <w:jc w:val="center"/>
            </w:pPr>
            <w:r>
              <w:t>Yes</w:t>
            </w:r>
          </w:p>
        </w:tc>
      </w:tr>
      <w:tr w:rsidR="000D07EA" w14:paraId="446CFFCE" w14:textId="77777777">
        <w:tc>
          <w:tcPr>
            <w:tcW w:w="1203" w:type="pct"/>
            <w:shd w:val="clear" w:color="auto" w:fill="auto"/>
          </w:tcPr>
          <w:p w14:paraId="15A9036F" w14:textId="77777777" w:rsidR="000D07EA" w:rsidRDefault="00BE7C89">
            <w:pPr>
              <w:pStyle w:val="BodyText"/>
              <w:spacing w:before="100" w:after="100"/>
              <w:rPr>
                <w:b/>
                <w:bCs/>
                <w:szCs w:val="20"/>
              </w:rPr>
            </w:pPr>
            <w:r>
              <w:rPr>
                <w:b/>
                <w:szCs w:val="20"/>
              </w:rPr>
              <w:t>Unlimited Standard National Voice Calls to Optus mobiles within Australia</w:t>
            </w:r>
          </w:p>
        </w:tc>
        <w:tc>
          <w:tcPr>
            <w:tcW w:w="759" w:type="pct"/>
            <w:shd w:val="clear" w:color="auto" w:fill="auto"/>
            <w:vAlign w:val="center"/>
          </w:tcPr>
          <w:p w14:paraId="0FF585AE" w14:textId="77777777" w:rsidR="000D07EA" w:rsidRDefault="00BE7C89">
            <w:pPr>
              <w:pStyle w:val="BodyText"/>
              <w:spacing w:before="100" w:after="100"/>
              <w:jc w:val="center"/>
            </w:pPr>
            <w:r>
              <w:t>No</w:t>
            </w:r>
          </w:p>
        </w:tc>
        <w:tc>
          <w:tcPr>
            <w:tcW w:w="759" w:type="pct"/>
            <w:shd w:val="clear" w:color="auto" w:fill="auto"/>
            <w:vAlign w:val="center"/>
          </w:tcPr>
          <w:p w14:paraId="59161B35" w14:textId="77777777" w:rsidR="000D07EA" w:rsidRDefault="00BE7C89">
            <w:pPr>
              <w:pStyle w:val="BodyText"/>
              <w:spacing w:before="100" w:after="100"/>
              <w:jc w:val="center"/>
            </w:pPr>
            <w:r>
              <w:t>No</w:t>
            </w:r>
          </w:p>
        </w:tc>
        <w:tc>
          <w:tcPr>
            <w:tcW w:w="759" w:type="pct"/>
            <w:shd w:val="clear" w:color="auto" w:fill="auto"/>
            <w:vAlign w:val="center"/>
          </w:tcPr>
          <w:p w14:paraId="401EA688" w14:textId="77777777" w:rsidR="000D07EA" w:rsidRDefault="00BE7C89">
            <w:pPr>
              <w:pStyle w:val="BodyText"/>
              <w:spacing w:before="100" w:after="100"/>
              <w:jc w:val="center"/>
            </w:pPr>
            <w:r>
              <w:t>Yes</w:t>
            </w:r>
          </w:p>
        </w:tc>
        <w:tc>
          <w:tcPr>
            <w:tcW w:w="759" w:type="pct"/>
            <w:shd w:val="clear" w:color="auto" w:fill="auto"/>
            <w:vAlign w:val="center"/>
          </w:tcPr>
          <w:p w14:paraId="72E786EB" w14:textId="77777777" w:rsidR="000D07EA" w:rsidRDefault="00BE7C89">
            <w:pPr>
              <w:pStyle w:val="BodyText"/>
              <w:spacing w:before="100" w:after="100"/>
              <w:jc w:val="center"/>
            </w:pPr>
            <w:r>
              <w:t>Yes</w:t>
            </w:r>
          </w:p>
        </w:tc>
        <w:tc>
          <w:tcPr>
            <w:tcW w:w="760" w:type="pct"/>
            <w:shd w:val="clear" w:color="auto" w:fill="auto"/>
            <w:vAlign w:val="center"/>
          </w:tcPr>
          <w:p w14:paraId="372FEB92" w14:textId="77777777" w:rsidR="000D07EA" w:rsidRDefault="00BE7C89">
            <w:pPr>
              <w:pStyle w:val="BodyText"/>
              <w:spacing w:before="100" w:after="100"/>
              <w:jc w:val="center"/>
            </w:pPr>
            <w:r>
              <w:t>Yes</w:t>
            </w:r>
          </w:p>
        </w:tc>
      </w:tr>
      <w:tr w:rsidR="000D07EA" w14:paraId="1210AAA0" w14:textId="77777777">
        <w:tc>
          <w:tcPr>
            <w:tcW w:w="1203" w:type="pct"/>
            <w:shd w:val="clear" w:color="auto" w:fill="auto"/>
          </w:tcPr>
          <w:p w14:paraId="249E4B6B" w14:textId="77777777" w:rsidR="000D07EA" w:rsidRDefault="00BE7C89">
            <w:pPr>
              <w:pStyle w:val="BodyText"/>
              <w:spacing w:before="100" w:after="100"/>
              <w:rPr>
                <w:szCs w:val="20"/>
              </w:rPr>
            </w:pPr>
            <w:r>
              <w:rPr>
                <w:b/>
                <w:bCs/>
                <w:szCs w:val="20"/>
              </w:rPr>
              <w:t>Standard National Voice call charges</w:t>
            </w:r>
            <w:r>
              <w:rPr>
                <w:szCs w:val="20"/>
              </w:rPr>
              <w:t xml:space="preserve"> (per minute) (excluding flagfall)</w:t>
            </w:r>
          </w:p>
        </w:tc>
        <w:tc>
          <w:tcPr>
            <w:tcW w:w="759" w:type="pct"/>
            <w:shd w:val="clear" w:color="auto" w:fill="auto"/>
            <w:vAlign w:val="center"/>
          </w:tcPr>
          <w:p w14:paraId="67C00995" w14:textId="77777777" w:rsidR="000D07EA" w:rsidRDefault="00BE7C89">
            <w:pPr>
              <w:pStyle w:val="BodyText"/>
              <w:spacing w:before="100" w:after="100"/>
              <w:jc w:val="center"/>
            </w:pPr>
            <w:r>
              <w:t>$0.90</w:t>
            </w:r>
          </w:p>
        </w:tc>
        <w:tc>
          <w:tcPr>
            <w:tcW w:w="759" w:type="pct"/>
            <w:shd w:val="clear" w:color="auto" w:fill="auto"/>
            <w:vAlign w:val="center"/>
          </w:tcPr>
          <w:p w14:paraId="4D3C7E6E" w14:textId="77777777" w:rsidR="000D07EA" w:rsidRDefault="00BE7C89">
            <w:pPr>
              <w:pStyle w:val="BodyText"/>
              <w:spacing w:before="100" w:after="100"/>
              <w:jc w:val="center"/>
            </w:pPr>
            <w:r>
              <w:t>$0.90</w:t>
            </w:r>
          </w:p>
        </w:tc>
        <w:tc>
          <w:tcPr>
            <w:tcW w:w="759" w:type="pct"/>
            <w:shd w:val="clear" w:color="auto" w:fill="auto"/>
            <w:vAlign w:val="center"/>
          </w:tcPr>
          <w:p w14:paraId="24CB31FB" w14:textId="77777777" w:rsidR="000D07EA" w:rsidRDefault="00BE7C89">
            <w:pPr>
              <w:pStyle w:val="BodyText"/>
              <w:spacing w:before="100" w:after="100"/>
              <w:jc w:val="center"/>
            </w:pPr>
            <w:r>
              <w:t>$0.90</w:t>
            </w:r>
          </w:p>
        </w:tc>
        <w:tc>
          <w:tcPr>
            <w:tcW w:w="759" w:type="pct"/>
            <w:shd w:val="clear" w:color="auto" w:fill="auto"/>
            <w:vAlign w:val="center"/>
          </w:tcPr>
          <w:p w14:paraId="224932DE" w14:textId="77777777" w:rsidR="000D07EA" w:rsidRDefault="00BE7C89">
            <w:pPr>
              <w:pStyle w:val="BodyText"/>
              <w:spacing w:before="100" w:after="100"/>
              <w:jc w:val="center"/>
            </w:pPr>
            <w:r>
              <w:t>$0.90</w:t>
            </w:r>
          </w:p>
        </w:tc>
        <w:tc>
          <w:tcPr>
            <w:tcW w:w="760" w:type="pct"/>
            <w:shd w:val="clear" w:color="auto" w:fill="auto"/>
            <w:vAlign w:val="center"/>
          </w:tcPr>
          <w:p w14:paraId="6D312977" w14:textId="77777777" w:rsidR="000D07EA" w:rsidRDefault="00BE7C89">
            <w:pPr>
              <w:pStyle w:val="BodyText"/>
              <w:spacing w:before="100" w:after="100"/>
              <w:jc w:val="center"/>
            </w:pPr>
            <w:r>
              <w:t>$0.90</w:t>
            </w:r>
          </w:p>
        </w:tc>
      </w:tr>
      <w:tr w:rsidR="000D07EA" w14:paraId="1F6C32BD" w14:textId="77777777">
        <w:tc>
          <w:tcPr>
            <w:tcW w:w="1203" w:type="pct"/>
            <w:shd w:val="clear" w:color="auto" w:fill="auto"/>
          </w:tcPr>
          <w:p w14:paraId="246E8149" w14:textId="77777777" w:rsidR="000D07EA" w:rsidRDefault="00BE7C89">
            <w:pPr>
              <w:pStyle w:val="BodyText"/>
              <w:spacing w:before="100" w:after="100"/>
              <w:rPr>
                <w:szCs w:val="20"/>
              </w:rPr>
            </w:pPr>
            <w:r>
              <w:rPr>
                <w:b/>
                <w:bCs/>
                <w:i/>
                <w:iCs/>
                <w:szCs w:val="20"/>
              </w:rPr>
              <w:t>Flagfall</w:t>
            </w:r>
            <w:r>
              <w:rPr>
                <w:b/>
                <w:bCs/>
                <w:szCs w:val="20"/>
              </w:rPr>
              <w:t xml:space="preserve"> for national voice calls (Call Connection Charge)</w:t>
            </w:r>
          </w:p>
        </w:tc>
        <w:tc>
          <w:tcPr>
            <w:tcW w:w="759" w:type="pct"/>
            <w:shd w:val="clear" w:color="auto" w:fill="auto"/>
            <w:vAlign w:val="center"/>
          </w:tcPr>
          <w:p w14:paraId="3E629A19" w14:textId="77777777" w:rsidR="000D07EA" w:rsidRDefault="00BE7C89">
            <w:pPr>
              <w:pStyle w:val="BodyText"/>
              <w:spacing w:before="100" w:after="100"/>
              <w:jc w:val="center"/>
            </w:pPr>
            <w:r>
              <w:t>$0.35</w:t>
            </w:r>
          </w:p>
        </w:tc>
        <w:tc>
          <w:tcPr>
            <w:tcW w:w="759" w:type="pct"/>
            <w:shd w:val="clear" w:color="auto" w:fill="auto"/>
            <w:vAlign w:val="center"/>
          </w:tcPr>
          <w:p w14:paraId="67BE7CFB" w14:textId="77777777" w:rsidR="000D07EA" w:rsidRDefault="00BE7C89">
            <w:pPr>
              <w:pStyle w:val="BodyText"/>
              <w:spacing w:before="100" w:after="100"/>
              <w:jc w:val="center"/>
            </w:pPr>
            <w:r>
              <w:t>$0.35</w:t>
            </w:r>
          </w:p>
        </w:tc>
        <w:tc>
          <w:tcPr>
            <w:tcW w:w="759" w:type="pct"/>
            <w:shd w:val="clear" w:color="auto" w:fill="auto"/>
            <w:vAlign w:val="center"/>
          </w:tcPr>
          <w:p w14:paraId="11CDA977" w14:textId="77777777" w:rsidR="000D07EA" w:rsidRDefault="00BE7C89">
            <w:pPr>
              <w:pStyle w:val="BodyText"/>
              <w:spacing w:before="100" w:after="100"/>
              <w:jc w:val="center"/>
            </w:pPr>
            <w:r>
              <w:t>$0.35</w:t>
            </w:r>
          </w:p>
        </w:tc>
        <w:tc>
          <w:tcPr>
            <w:tcW w:w="759" w:type="pct"/>
            <w:shd w:val="clear" w:color="auto" w:fill="auto"/>
            <w:vAlign w:val="center"/>
          </w:tcPr>
          <w:p w14:paraId="19EAEC83" w14:textId="77777777" w:rsidR="000D07EA" w:rsidRDefault="00BE7C89">
            <w:pPr>
              <w:pStyle w:val="BodyText"/>
              <w:spacing w:before="100" w:after="100"/>
              <w:jc w:val="center"/>
            </w:pPr>
            <w:r>
              <w:t>$0.35</w:t>
            </w:r>
          </w:p>
        </w:tc>
        <w:tc>
          <w:tcPr>
            <w:tcW w:w="760" w:type="pct"/>
            <w:shd w:val="clear" w:color="auto" w:fill="auto"/>
            <w:vAlign w:val="center"/>
          </w:tcPr>
          <w:p w14:paraId="64800C7E" w14:textId="77777777" w:rsidR="000D07EA" w:rsidRDefault="00BE7C89">
            <w:pPr>
              <w:pStyle w:val="BodyText"/>
              <w:spacing w:before="100" w:after="100"/>
              <w:jc w:val="center"/>
            </w:pPr>
            <w:r>
              <w:t>$0.35</w:t>
            </w:r>
          </w:p>
        </w:tc>
      </w:tr>
      <w:tr w:rsidR="000D07EA" w14:paraId="675AB6DA" w14:textId="77777777">
        <w:tc>
          <w:tcPr>
            <w:tcW w:w="1203" w:type="pct"/>
            <w:shd w:val="clear" w:color="auto" w:fill="auto"/>
          </w:tcPr>
          <w:p w14:paraId="14E344E5" w14:textId="77777777" w:rsidR="000D07EA" w:rsidRDefault="00BE7C89">
            <w:pPr>
              <w:pStyle w:val="BodyText"/>
              <w:spacing w:before="100" w:after="100"/>
              <w:rPr>
                <w:szCs w:val="20"/>
              </w:rPr>
            </w:pPr>
            <w:r>
              <w:rPr>
                <w:b/>
                <w:bCs/>
                <w:szCs w:val="20"/>
              </w:rPr>
              <w:t xml:space="preserve">Standard National SMS Charges </w:t>
            </w:r>
            <w:r>
              <w:rPr>
                <w:szCs w:val="20"/>
              </w:rPr>
              <w:t>(for standard SMS of up to 160 characters)</w:t>
            </w:r>
          </w:p>
        </w:tc>
        <w:tc>
          <w:tcPr>
            <w:tcW w:w="759" w:type="pct"/>
            <w:shd w:val="clear" w:color="auto" w:fill="auto"/>
            <w:vAlign w:val="center"/>
          </w:tcPr>
          <w:p w14:paraId="6DD6BC90" w14:textId="77777777" w:rsidR="000D07EA" w:rsidRDefault="00BE7C89">
            <w:pPr>
              <w:pStyle w:val="BodyText"/>
              <w:spacing w:before="100" w:after="100"/>
              <w:jc w:val="center"/>
            </w:pPr>
            <w:r>
              <w:t>$0.25</w:t>
            </w:r>
          </w:p>
        </w:tc>
        <w:tc>
          <w:tcPr>
            <w:tcW w:w="759" w:type="pct"/>
            <w:shd w:val="clear" w:color="auto" w:fill="auto"/>
            <w:vAlign w:val="center"/>
          </w:tcPr>
          <w:p w14:paraId="620CC311" w14:textId="77777777" w:rsidR="000D07EA" w:rsidRDefault="00BE7C89">
            <w:pPr>
              <w:pStyle w:val="BodyText"/>
              <w:spacing w:before="100" w:after="100"/>
              <w:jc w:val="center"/>
            </w:pPr>
            <w:r>
              <w:t>Unlimited</w:t>
            </w:r>
          </w:p>
        </w:tc>
        <w:tc>
          <w:tcPr>
            <w:tcW w:w="759" w:type="pct"/>
            <w:shd w:val="clear" w:color="auto" w:fill="auto"/>
            <w:vAlign w:val="center"/>
          </w:tcPr>
          <w:p w14:paraId="1EA44C9A" w14:textId="77777777" w:rsidR="000D07EA" w:rsidRDefault="00BE7C89">
            <w:pPr>
              <w:pStyle w:val="BodyText"/>
              <w:spacing w:before="100" w:after="100"/>
              <w:jc w:val="center"/>
            </w:pPr>
            <w:r>
              <w:t>Unlimited</w:t>
            </w:r>
          </w:p>
        </w:tc>
        <w:tc>
          <w:tcPr>
            <w:tcW w:w="759" w:type="pct"/>
            <w:shd w:val="clear" w:color="auto" w:fill="auto"/>
            <w:vAlign w:val="center"/>
          </w:tcPr>
          <w:p w14:paraId="201B793A" w14:textId="77777777" w:rsidR="000D07EA" w:rsidRDefault="00BE7C89">
            <w:pPr>
              <w:pStyle w:val="BodyText"/>
              <w:spacing w:before="100" w:after="100"/>
              <w:jc w:val="center"/>
            </w:pPr>
            <w:r>
              <w:t>Unlimited</w:t>
            </w:r>
          </w:p>
        </w:tc>
        <w:tc>
          <w:tcPr>
            <w:tcW w:w="760" w:type="pct"/>
            <w:shd w:val="clear" w:color="auto" w:fill="auto"/>
            <w:vAlign w:val="center"/>
          </w:tcPr>
          <w:p w14:paraId="59067245" w14:textId="77777777" w:rsidR="000D07EA" w:rsidRDefault="00BE7C89">
            <w:pPr>
              <w:pStyle w:val="BodyText"/>
              <w:spacing w:before="100" w:after="100"/>
              <w:jc w:val="center"/>
            </w:pPr>
            <w:r>
              <w:t>Unlimited</w:t>
            </w:r>
          </w:p>
        </w:tc>
      </w:tr>
      <w:tr w:rsidR="000D07EA" w14:paraId="44036EC1" w14:textId="77777777">
        <w:tc>
          <w:tcPr>
            <w:tcW w:w="1203" w:type="pct"/>
            <w:shd w:val="clear" w:color="auto" w:fill="auto"/>
          </w:tcPr>
          <w:p w14:paraId="1E25B7B8" w14:textId="77777777" w:rsidR="000D07EA" w:rsidRDefault="00BE7C89">
            <w:pPr>
              <w:pStyle w:val="BodyText"/>
              <w:spacing w:before="100" w:after="100"/>
              <w:rPr>
                <w:b/>
                <w:bCs/>
                <w:szCs w:val="20"/>
              </w:rPr>
            </w:pPr>
            <w:r>
              <w:rPr>
                <w:b/>
                <w:bCs/>
                <w:szCs w:val="20"/>
              </w:rPr>
              <w:t xml:space="preserve">National Photo Message </w:t>
            </w:r>
            <w:r>
              <w:rPr>
                <w:szCs w:val="20"/>
              </w:rPr>
              <w:t>(per message)</w:t>
            </w:r>
          </w:p>
        </w:tc>
        <w:tc>
          <w:tcPr>
            <w:tcW w:w="759" w:type="pct"/>
            <w:shd w:val="clear" w:color="auto" w:fill="auto"/>
            <w:vAlign w:val="center"/>
          </w:tcPr>
          <w:p w14:paraId="2805BE40" w14:textId="77777777" w:rsidR="000D07EA" w:rsidRDefault="00BE7C89">
            <w:pPr>
              <w:pStyle w:val="BodyText"/>
              <w:spacing w:before="100" w:after="100"/>
              <w:jc w:val="center"/>
            </w:pPr>
            <w:r>
              <w:t>$0.50</w:t>
            </w:r>
          </w:p>
        </w:tc>
        <w:tc>
          <w:tcPr>
            <w:tcW w:w="759" w:type="pct"/>
            <w:shd w:val="clear" w:color="auto" w:fill="auto"/>
            <w:vAlign w:val="center"/>
          </w:tcPr>
          <w:p w14:paraId="7F605DC2" w14:textId="77777777" w:rsidR="000D07EA" w:rsidRDefault="00BE7C89">
            <w:pPr>
              <w:pStyle w:val="BodyText"/>
              <w:spacing w:before="100" w:after="100"/>
              <w:jc w:val="center"/>
            </w:pPr>
            <w:r>
              <w:t>$0.50</w:t>
            </w:r>
          </w:p>
        </w:tc>
        <w:tc>
          <w:tcPr>
            <w:tcW w:w="759" w:type="pct"/>
            <w:shd w:val="clear" w:color="auto" w:fill="auto"/>
            <w:vAlign w:val="center"/>
          </w:tcPr>
          <w:p w14:paraId="2EF9EABE" w14:textId="77777777" w:rsidR="000D07EA" w:rsidRDefault="00BE7C89">
            <w:pPr>
              <w:pStyle w:val="BodyText"/>
              <w:spacing w:before="100" w:after="100"/>
              <w:jc w:val="center"/>
            </w:pPr>
            <w:r>
              <w:t>$0.50</w:t>
            </w:r>
          </w:p>
        </w:tc>
        <w:tc>
          <w:tcPr>
            <w:tcW w:w="759" w:type="pct"/>
            <w:shd w:val="clear" w:color="auto" w:fill="auto"/>
            <w:vAlign w:val="center"/>
          </w:tcPr>
          <w:p w14:paraId="44AF39E3" w14:textId="77777777" w:rsidR="000D07EA" w:rsidRDefault="00BE7C89">
            <w:pPr>
              <w:pStyle w:val="BodyText"/>
              <w:spacing w:before="100" w:after="100"/>
              <w:jc w:val="center"/>
            </w:pPr>
            <w:r>
              <w:t>$0.50</w:t>
            </w:r>
          </w:p>
        </w:tc>
        <w:tc>
          <w:tcPr>
            <w:tcW w:w="760" w:type="pct"/>
            <w:shd w:val="clear" w:color="auto" w:fill="auto"/>
            <w:vAlign w:val="center"/>
          </w:tcPr>
          <w:p w14:paraId="114CA284" w14:textId="77777777" w:rsidR="000D07EA" w:rsidRDefault="00BE7C89">
            <w:pPr>
              <w:pStyle w:val="BodyText"/>
              <w:spacing w:before="100" w:after="100"/>
              <w:jc w:val="center"/>
            </w:pPr>
            <w:r>
              <w:t>$0.50</w:t>
            </w:r>
          </w:p>
        </w:tc>
      </w:tr>
      <w:tr w:rsidR="000D07EA" w14:paraId="65457170" w14:textId="77777777">
        <w:tc>
          <w:tcPr>
            <w:tcW w:w="1203" w:type="pct"/>
            <w:shd w:val="clear" w:color="auto" w:fill="auto"/>
          </w:tcPr>
          <w:p w14:paraId="52BCC2EB" w14:textId="77777777" w:rsidR="000D07EA" w:rsidRDefault="00BE7C89">
            <w:pPr>
              <w:pStyle w:val="BodyText"/>
              <w:spacing w:before="100" w:after="100"/>
              <w:rPr>
                <w:szCs w:val="20"/>
              </w:rPr>
            </w:pPr>
            <w:r>
              <w:rPr>
                <w:b/>
                <w:bCs/>
                <w:szCs w:val="20"/>
              </w:rPr>
              <w:t xml:space="preserve">National Video Calling </w:t>
            </w:r>
            <w:r>
              <w:rPr>
                <w:szCs w:val="20"/>
              </w:rPr>
              <w:t>(per minute) (excluding flagfall)</w:t>
            </w:r>
          </w:p>
        </w:tc>
        <w:tc>
          <w:tcPr>
            <w:tcW w:w="759" w:type="pct"/>
            <w:shd w:val="clear" w:color="auto" w:fill="auto"/>
            <w:vAlign w:val="center"/>
          </w:tcPr>
          <w:p w14:paraId="2E8EA549" w14:textId="77777777" w:rsidR="000D07EA" w:rsidRDefault="00BE7C89">
            <w:pPr>
              <w:pStyle w:val="BodyText"/>
              <w:spacing w:before="100" w:after="100"/>
              <w:jc w:val="center"/>
            </w:pPr>
            <w:r>
              <w:t>$1.00</w:t>
            </w:r>
          </w:p>
        </w:tc>
        <w:tc>
          <w:tcPr>
            <w:tcW w:w="759" w:type="pct"/>
            <w:shd w:val="clear" w:color="auto" w:fill="auto"/>
            <w:vAlign w:val="center"/>
          </w:tcPr>
          <w:p w14:paraId="3167BB49" w14:textId="77777777" w:rsidR="000D07EA" w:rsidRDefault="00BE7C89">
            <w:pPr>
              <w:pStyle w:val="BodyText"/>
              <w:spacing w:before="100" w:after="100"/>
              <w:jc w:val="center"/>
            </w:pPr>
            <w:r>
              <w:t>$1.00</w:t>
            </w:r>
          </w:p>
        </w:tc>
        <w:tc>
          <w:tcPr>
            <w:tcW w:w="759" w:type="pct"/>
            <w:shd w:val="clear" w:color="auto" w:fill="auto"/>
            <w:vAlign w:val="center"/>
          </w:tcPr>
          <w:p w14:paraId="7388AA38" w14:textId="77777777" w:rsidR="000D07EA" w:rsidRDefault="00BE7C89">
            <w:pPr>
              <w:pStyle w:val="BodyText"/>
              <w:spacing w:before="100" w:after="100"/>
              <w:jc w:val="center"/>
            </w:pPr>
            <w:r>
              <w:t>$1.00</w:t>
            </w:r>
          </w:p>
        </w:tc>
        <w:tc>
          <w:tcPr>
            <w:tcW w:w="759" w:type="pct"/>
            <w:shd w:val="clear" w:color="auto" w:fill="auto"/>
            <w:vAlign w:val="center"/>
          </w:tcPr>
          <w:p w14:paraId="5CF72A37" w14:textId="77777777" w:rsidR="000D07EA" w:rsidRDefault="00BE7C89">
            <w:pPr>
              <w:pStyle w:val="BodyText"/>
              <w:spacing w:before="100" w:after="100"/>
              <w:jc w:val="center"/>
            </w:pPr>
            <w:r>
              <w:t>$1.00</w:t>
            </w:r>
          </w:p>
        </w:tc>
        <w:tc>
          <w:tcPr>
            <w:tcW w:w="760" w:type="pct"/>
            <w:shd w:val="clear" w:color="auto" w:fill="auto"/>
            <w:vAlign w:val="center"/>
          </w:tcPr>
          <w:p w14:paraId="111B7433" w14:textId="77777777" w:rsidR="000D07EA" w:rsidRDefault="00BE7C89">
            <w:pPr>
              <w:pStyle w:val="BodyText"/>
              <w:spacing w:before="100" w:after="100"/>
              <w:jc w:val="center"/>
            </w:pPr>
            <w:r>
              <w:t>$1.00</w:t>
            </w:r>
          </w:p>
        </w:tc>
      </w:tr>
      <w:tr w:rsidR="000D07EA" w14:paraId="6F11BA88" w14:textId="77777777">
        <w:tc>
          <w:tcPr>
            <w:tcW w:w="1203" w:type="pct"/>
            <w:shd w:val="clear" w:color="auto" w:fill="auto"/>
          </w:tcPr>
          <w:p w14:paraId="341DB645" w14:textId="77777777" w:rsidR="000D07EA" w:rsidRDefault="00BE7C89">
            <w:pPr>
              <w:pStyle w:val="BodyText"/>
              <w:spacing w:before="100" w:after="100"/>
              <w:rPr>
                <w:szCs w:val="20"/>
              </w:rPr>
            </w:pPr>
            <w:r>
              <w:rPr>
                <w:b/>
                <w:bCs/>
                <w:i/>
                <w:iCs/>
                <w:szCs w:val="20"/>
              </w:rPr>
              <w:t xml:space="preserve">Flagfall </w:t>
            </w:r>
            <w:r>
              <w:rPr>
                <w:b/>
                <w:bCs/>
                <w:szCs w:val="20"/>
              </w:rPr>
              <w:t xml:space="preserve">for National Video Calls </w:t>
            </w:r>
            <w:r>
              <w:rPr>
                <w:szCs w:val="20"/>
              </w:rPr>
              <w:t>(per call)</w:t>
            </w:r>
          </w:p>
        </w:tc>
        <w:tc>
          <w:tcPr>
            <w:tcW w:w="759" w:type="pct"/>
            <w:shd w:val="clear" w:color="auto" w:fill="auto"/>
            <w:vAlign w:val="center"/>
          </w:tcPr>
          <w:p w14:paraId="72E65413" w14:textId="77777777" w:rsidR="000D07EA" w:rsidRDefault="00BE7C89">
            <w:pPr>
              <w:pStyle w:val="BodyText"/>
              <w:spacing w:before="100" w:after="100"/>
              <w:jc w:val="center"/>
            </w:pPr>
            <w:r>
              <w:t>$0.40</w:t>
            </w:r>
          </w:p>
        </w:tc>
        <w:tc>
          <w:tcPr>
            <w:tcW w:w="759" w:type="pct"/>
            <w:shd w:val="clear" w:color="auto" w:fill="auto"/>
            <w:vAlign w:val="center"/>
          </w:tcPr>
          <w:p w14:paraId="09344309" w14:textId="77777777" w:rsidR="000D07EA" w:rsidRDefault="00BE7C89">
            <w:pPr>
              <w:pStyle w:val="BodyText"/>
              <w:spacing w:before="100" w:after="100"/>
              <w:jc w:val="center"/>
            </w:pPr>
            <w:r>
              <w:t>$0.40</w:t>
            </w:r>
          </w:p>
        </w:tc>
        <w:tc>
          <w:tcPr>
            <w:tcW w:w="759" w:type="pct"/>
            <w:shd w:val="clear" w:color="auto" w:fill="auto"/>
            <w:vAlign w:val="center"/>
          </w:tcPr>
          <w:p w14:paraId="34FC5390" w14:textId="77777777" w:rsidR="000D07EA" w:rsidRDefault="00BE7C89">
            <w:pPr>
              <w:pStyle w:val="BodyText"/>
              <w:spacing w:before="100" w:after="100"/>
              <w:jc w:val="center"/>
            </w:pPr>
            <w:r>
              <w:t>$0.40</w:t>
            </w:r>
          </w:p>
        </w:tc>
        <w:tc>
          <w:tcPr>
            <w:tcW w:w="759" w:type="pct"/>
            <w:shd w:val="clear" w:color="auto" w:fill="auto"/>
            <w:vAlign w:val="center"/>
          </w:tcPr>
          <w:p w14:paraId="4F1E83FE" w14:textId="77777777" w:rsidR="000D07EA" w:rsidRDefault="00BE7C89">
            <w:pPr>
              <w:pStyle w:val="BodyText"/>
              <w:spacing w:before="100" w:after="100"/>
              <w:jc w:val="center"/>
            </w:pPr>
            <w:r>
              <w:t>$0.40</w:t>
            </w:r>
          </w:p>
        </w:tc>
        <w:tc>
          <w:tcPr>
            <w:tcW w:w="760" w:type="pct"/>
            <w:shd w:val="clear" w:color="auto" w:fill="auto"/>
            <w:vAlign w:val="center"/>
          </w:tcPr>
          <w:p w14:paraId="60BA8874" w14:textId="77777777" w:rsidR="000D07EA" w:rsidRDefault="00BE7C89">
            <w:pPr>
              <w:pStyle w:val="BodyText"/>
              <w:spacing w:before="100" w:after="100"/>
              <w:jc w:val="center"/>
            </w:pPr>
            <w:r>
              <w:t>$0.40</w:t>
            </w:r>
          </w:p>
        </w:tc>
      </w:tr>
      <w:tr w:rsidR="000D07EA" w14:paraId="28EA4B3D" w14:textId="77777777">
        <w:tc>
          <w:tcPr>
            <w:tcW w:w="1203" w:type="pct"/>
            <w:shd w:val="clear" w:color="auto" w:fill="auto"/>
          </w:tcPr>
          <w:p w14:paraId="162DDEEE" w14:textId="77777777" w:rsidR="000D07EA" w:rsidRDefault="00BE7C89">
            <w:pPr>
              <w:pStyle w:val="BodyText"/>
              <w:spacing w:before="100" w:after="100"/>
              <w:rPr>
                <w:szCs w:val="20"/>
              </w:rPr>
            </w:pPr>
            <w:r>
              <w:rPr>
                <w:b/>
                <w:bCs/>
                <w:iCs/>
                <w:szCs w:val="20"/>
              </w:rPr>
              <w:lastRenderedPageBreak/>
              <w:t>Excess Data Charge</w:t>
            </w:r>
            <w:r>
              <w:rPr>
                <w:b/>
                <w:bCs/>
                <w:i/>
                <w:iCs/>
                <w:szCs w:val="20"/>
              </w:rPr>
              <w:t xml:space="preserve"> </w:t>
            </w:r>
            <w:r>
              <w:rPr>
                <w:i/>
                <w:iCs/>
                <w:szCs w:val="20"/>
              </w:rPr>
              <w:t>(charged per kb, includes uploads and downloads)</w:t>
            </w:r>
          </w:p>
        </w:tc>
        <w:tc>
          <w:tcPr>
            <w:tcW w:w="759" w:type="pct"/>
            <w:shd w:val="clear" w:color="auto" w:fill="auto"/>
            <w:vAlign w:val="center"/>
          </w:tcPr>
          <w:p w14:paraId="78CE1D1C" w14:textId="77777777" w:rsidR="000D07EA" w:rsidRDefault="00BE7C89">
            <w:pPr>
              <w:pStyle w:val="BodyText"/>
              <w:spacing w:before="100" w:after="100"/>
              <w:jc w:val="center"/>
            </w:pPr>
            <w:r>
              <w:t>$0.50/MB</w:t>
            </w:r>
          </w:p>
        </w:tc>
        <w:tc>
          <w:tcPr>
            <w:tcW w:w="759" w:type="pct"/>
            <w:shd w:val="clear" w:color="auto" w:fill="auto"/>
            <w:vAlign w:val="center"/>
          </w:tcPr>
          <w:p w14:paraId="163FB469" w14:textId="77777777" w:rsidR="000D07EA" w:rsidRDefault="00BE7C89">
            <w:pPr>
              <w:pStyle w:val="BodyText"/>
              <w:spacing w:before="100" w:after="100"/>
              <w:jc w:val="center"/>
            </w:pPr>
            <w:r>
              <w:t>$0.50/MB</w:t>
            </w:r>
          </w:p>
        </w:tc>
        <w:tc>
          <w:tcPr>
            <w:tcW w:w="759" w:type="pct"/>
            <w:shd w:val="clear" w:color="auto" w:fill="auto"/>
            <w:vAlign w:val="center"/>
          </w:tcPr>
          <w:p w14:paraId="24F8CFBA" w14:textId="77777777" w:rsidR="000D07EA" w:rsidRDefault="00BE7C89">
            <w:pPr>
              <w:pStyle w:val="BodyText"/>
              <w:spacing w:before="100" w:after="100"/>
              <w:jc w:val="center"/>
            </w:pPr>
            <w:r>
              <w:t>$0.25/MB</w:t>
            </w:r>
          </w:p>
        </w:tc>
        <w:tc>
          <w:tcPr>
            <w:tcW w:w="759" w:type="pct"/>
            <w:shd w:val="clear" w:color="auto" w:fill="auto"/>
            <w:vAlign w:val="center"/>
          </w:tcPr>
          <w:p w14:paraId="7845D328" w14:textId="77777777" w:rsidR="000D07EA" w:rsidRDefault="00BE7C89">
            <w:pPr>
              <w:pStyle w:val="BodyText"/>
              <w:spacing w:before="100" w:after="100"/>
              <w:jc w:val="center"/>
            </w:pPr>
            <w:r>
              <w:t>$0.25/MB</w:t>
            </w:r>
          </w:p>
        </w:tc>
        <w:tc>
          <w:tcPr>
            <w:tcW w:w="760" w:type="pct"/>
            <w:shd w:val="clear" w:color="auto" w:fill="auto"/>
            <w:vAlign w:val="center"/>
          </w:tcPr>
          <w:p w14:paraId="29C29567" w14:textId="77777777" w:rsidR="000D07EA" w:rsidRDefault="00BE7C89">
            <w:pPr>
              <w:pStyle w:val="BodyText"/>
              <w:spacing w:before="100" w:after="100"/>
              <w:jc w:val="center"/>
            </w:pPr>
            <w:r>
              <w:t>$0.25/MB</w:t>
            </w:r>
          </w:p>
        </w:tc>
      </w:tr>
      <w:tr w:rsidR="000D07EA" w14:paraId="5B9B9CA7" w14:textId="77777777">
        <w:tc>
          <w:tcPr>
            <w:tcW w:w="1203" w:type="pct"/>
            <w:shd w:val="clear" w:color="auto" w:fill="auto"/>
          </w:tcPr>
          <w:p w14:paraId="3F552D31" w14:textId="77777777" w:rsidR="000D07EA" w:rsidRDefault="00BE7C89">
            <w:pPr>
              <w:pStyle w:val="BodyText"/>
              <w:spacing w:before="100" w:after="100"/>
              <w:rPr>
                <w:szCs w:val="20"/>
              </w:rPr>
            </w:pPr>
            <w:r>
              <w:rPr>
                <w:b/>
                <w:bCs/>
                <w:szCs w:val="20"/>
              </w:rPr>
              <w:t>VoiceMail</w:t>
            </w:r>
          </w:p>
        </w:tc>
        <w:tc>
          <w:tcPr>
            <w:tcW w:w="759" w:type="pct"/>
            <w:shd w:val="clear" w:color="auto" w:fill="auto"/>
            <w:vAlign w:val="center"/>
          </w:tcPr>
          <w:p w14:paraId="41B375F6" w14:textId="77777777" w:rsidR="000D07EA" w:rsidRDefault="00BE7C89">
            <w:pPr>
              <w:pStyle w:val="BodyText"/>
              <w:spacing w:before="100" w:after="100"/>
              <w:jc w:val="center"/>
            </w:pPr>
            <w:r>
              <w:t>$0 Deposits/ $0.90 per 60 secs Retrieval</w:t>
            </w:r>
          </w:p>
        </w:tc>
        <w:tc>
          <w:tcPr>
            <w:tcW w:w="759" w:type="pct"/>
            <w:shd w:val="clear" w:color="auto" w:fill="auto"/>
            <w:vAlign w:val="center"/>
          </w:tcPr>
          <w:p w14:paraId="1CC12AF2" w14:textId="77777777" w:rsidR="000D07EA" w:rsidRDefault="00BE7C89">
            <w:pPr>
              <w:pStyle w:val="BodyText"/>
              <w:spacing w:before="100" w:after="100"/>
              <w:jc w:val="center"/>
            </w:pPr>
            <w:r>
              <w:t>$0 Deposits/ $0.90 per 60 secs Retrieval</w:t>
            </w:r>
          </w:p>
        </w:tc>
        <w:tc>
          <w:tcPr>
            <w:tcW w:w="759" w:type="pct"/>
            <w:shd w:val="clear" w:color="auto" w:fill="auto"/>
            <w:vAlign w:val="center"/>
          </w:tcPr>
          <w:p w14:paraId="399951D1" w14:textId="77777777" w:rsidR="000D07EA" w:rsidRDefault="00BE7C89">
            <w:pPr>
              <w:pStyle w:val="BodyText"/>
              <w:spacing w:before="100" w:after="100"/>
              <w:jc w:val="center"/>
            </w:pPr>
            <w:r>
              <w:t>$0 Deposits/ $0.90 per 60 secs Retrieval</w:t>
            </w:r>
          </w:p>
        </w:tc>
        <w:tc>
          <w:tcPr>
            <w:tcW w:w="759" w:type="pct"/>
            <w:shd w:val="clear" w:color="auto" w:fill="auto"/>
          </w:tcPr>
          <w:p w14:paraId="49E498D7" w14:textId="77777777" w:rsidR="000D07EA" w:rsidRDefault="00BE7C89">
            <w:pPr>
              <w:pStyle w:val="BodyText"/>
              <w:spacing w:before="100" w:after="100"/>
              <w:jc w:val="center"/>
            </w:pPr>
            <w:r>
              <w:t>$0 Deposits/ $0.90 per 60 secs Retrieval</w:t>
            </w:r>
          </w:p>
        </w:tc>
        <w:tc>
          <w:tcPr>
            <w:tcW w:w="760" w:type="pct"/>
            <w:shd w:val="clear" w:color="auto" w:fill="auto"/>
          </w:tcPr>
          <w:p w14:paraId="61C848BE" w14:textId="77777777" w:rsidR="000D07EA" w:rsidRDefault="00BE7C89">
            <w:pPr>
              <w:pStyle w:val="BodyText"/>
              <w:spacing w:before="100" w:after="100"/>
              <w:jc w:val="center"/>
            </w:pPr>
            <w:r>
              <w:t>$0 Deposits/ $0.90 per 60 secs Retrieval</w:t>
            </w:r>
          </w:p>
        </w:tc>
      </w:tr>
      <w:tr w:rsidR="000D07EA" w14:paraId="07CB955E" w14:textId="77777777">
        <w:tc>
          <w:tcPr>
            <w:tcW w:w="1203" w:type="pct"/>
            <w:shd w:val="clear" w:color="auto" w:fill="auto"/>
          </w:tcPr>
          <w:p w14:paraId="7BD5A7A1" w14:textId="77777777" w:rsidR="000D07EA" w:rsidRDefault="00BE7C89">
            <w:pPr>
              <w:pStyle w:val="BodyText"/>
              <w:spacing w:before="100" w:after="100"/>
              <w:rPr>
                <w:szCs w:val="20"/>
              </w:rPr>
            </w:pPr>
            <w:r>
              <w:rPr>
                <w:b/>
                <w:bCs/>
                <w:szCs w:val="20"/>
              </w:rPr>
              <w:t xml:space="preserve">Other call charges </w:t>
            </w:r>
            <w:r>
              <w:rPr>
                <w:szCs w:val="20"/>
              </w:rPr>
              <w:t>(for example international calls, calls to mobiles)</w:t>
            </w:r>
          </w:p>
        </w:tc>
        <w:tc>
          <w:tcPr>
            <w:tcW w:w="3797" w:type="pct"/>
            <w:gridSpan w:val="5"/>
            <w:shd w:val="clear" w:color="auto" w:fill="auto"/>
            <w:vAlign w:val="center"/>
          </w:tcPr>
          <w:p w14:paraId="4E8CBA15" w14:textId="77777777" w:rsidR="000D07EA" w:rsidRDefault="00BE7C89">
            <w:pPr>
              <w:pStyle w:val="BodyText"/>
              <w:spacing w:before="100" w:after="100"/>
              <w:jc w:val="center"/>
            </w:pPr>
            <w:r>
              <w:t xml:space="preserve">See section 1 of this </w:t>
            </w:r>
            <w:r>
              <w:rPr>
                <w:i/>
                <w:iCs/>
              </w:rPr>
              <w:t>standard pricing table</w:t>
            </w:r>
            <w:r>
              <w:t xml:space="preserve"> and Appendix Y (Value Added Service Features)</w:t>
            </w:r>
          </w:p>
        </w:tc>
      </w:tr>
      <w:tr w:rsidR="000D07EA" w14:paraId="38351D7D" w14:textId="77777777">
        <w:tc>
          <w:tcPr>
            <w:tcW w:w="1203" w:type="pct"/>
            <w:shd w:val="clear" w:color="auto" w:fill="auto"/>
          </w:tcPr>
          <w:p w14:paraId="282DF38B" w14:textId="77777777" w:rsidR="000D07EA" w:rsidRDefault="00BE7C89">
            <w:pPr>
              <w:pStyle w:val="BodyText"/>
              <w:spacing w:before="100" w:after="100"/>
              <w:rPr>
                <w:szCs w:val="20"/>
              </w:rPr>
            </w:pPr>
            <w:r>
              <w:rPr>
                <w:b/>
                <w:bCs/>
                <w:szCs w:val="20"/>
              </w:rPr>
              <w:t xml:space="preserve">Other conditions </w:t>
            </w:r>
            <w:r>
              <w:rPr>
                <w:szCs w:val="20"/>
              </w:rPr>
              <w:t xml:space="preserve">(for details see Appendix </w:t>
            </w:r>
            <w:r w:rsidR="00DD7FB0">
              <w:rPr>
                <w:szCs w:val="20"/>
              </w:rPr>
              <w:t>S</w:t>
            </w:r>
            <w:r>
              <w:rPr>
                <w:szCs w:val="20"/>
              </w:rPr>
              <w:t>)</w:t>
            </w:r>
          </w:p>
        </w:tc>
        <w:tc>
          <w:tcPr>
            <w:tcW w:w="3797" w:type="pct"/>
            <w:gridSpan w:val="5"/>
            <w:shd w:val="clear" w:color="auto" w:fill="auto"/>
            <w:vAlign w:val="center"/>
          </w:tcPr>
          <w:p w14:paraId="05E4DE69" w14:textId="77777777" w:rsidR="000D07EA" w:rsidRDefault="00BE7C89">
            <w:pPr>
              <w:pStyle w:val="BodyText"/>
              <w:spacing w:before="100" w:after="100"/>
              <w:jc w:val="center"/>
            </w:pPr>
            <w:r>
              <w:t>Fair Go Policy (</w:t>
            </w:r>
            <w:hyperlink r:id="rId451" w:history="1">
              <w:r>
                <w:rPr>
                  <w:rStyle w:val="Hyperlink"/>
                  <w:i/>
                </w:rPr>
                <w:t>Appendix S</w:t>
              </w:r>
            </w:hyperlink>
            <w:r>
              <w:t>) applies to 'excessive use,' 'unreasonable use,' 'unacceptable use' and commercial use.</w:t>
            </w:r>
          </w:p>
        </w:tc>
      </w:tr>
      <w:tr w:rsidR="000D07EA" w14:paraId="67E50860" w14:textId="77777777">
        <w:tc>
          <w:tcPr>
            <w:tcW w:w="1203" w:type="pct"/>
            <w:shd w:val="clear" w:color="auto" w:fill="auto"/>
          </w:tcPr>
          <w:p w14:paraId="68B918DA" w14:textId="77777777" w:rsidR="000D07EA" w:rsidRDefault="00BE7C89">
            <w:pPr>
              <w:pStyle w:val="BodyText"/>
              <w:spacing w:before="100" w:after="100"/>
              <w:rPr>
                <w:szCs w:val="20"/>
              </w:rPr>
            </w:pPr>
            <w:r>
              <w:rPr>
                <w:b/>
                <w:bCs/>
                <w:szCs w:val="20"/>
              </w:rPr>
              <w:t xml:space="preserve">Available on Non Fixed Length Agreement </w:t>
            </w:r>
            <w:r>
              <w:rPr>
                <w:szCs w:val="20"/>
              </w:rPr>
              <w:t>(Month to Month)</w:t>
            </w:r>
          </w:p>
        </w:tc>
        <w:tc>
          <w:tcPr>
            <w:tcW w:w="759" w:type="pct"/>
            <w:shd w:val="clear" w:color="auto" w:fill="auto"/>
            <w:vAlign w:val="center"/>
          </w:tcPr>
          <w:p w14:paraId="1FFB583C" w14:textId="77777777" w:rsidR="000D07EA" w:rsidRDefault="00BE7C89">
            <w:pPr>
              <w:pStyle w:val="BodyText"/>
              <w:spacing w:before="100" w:after="100"/>
              <w:jc w:val="center"/>
            </w:pPr>
            <w:r>
              <w:t>Yes</w:t>
            </w:r>
          </w:p>
        </w:tc>
        <w:tc>
          <w:tcPr>
            <w:tcW w:w="759" w:type="pct"/>
            <w:shd w:val="clear" w:color="auto" w:fill="auto"/>
            <w:vAlign w:val="center"/>
          </w:tcPr>
          <w:p w14:paraId="0874C500" w14:textId="77777777" w:rsidR="000D07EA" w:rsidRDefault="00BE7C89">
            <w:pPr>
              <w:pStyle w:val="BodyText"/>
              <w:spacing w:before="100" w:after="100"/>
              <w:jc w:val="center"/>
            </w:pPr>
            <w:r>
              <w:t>Yes</w:t>
            </w:r>
          </w:p>
        </w:tc>
        <w:tc>
          <w:tcPr>
            <w:tcW w:w="759" w:type="pct"/>
            <w:shd w:val="clear" w:color="auto" w:fill="auto"/>
            <w:vAlign w:val="center"/>
          </w:tcPr>
          <w:p w14:paraId="02B64441" w14:textId="77777777" w:rsidR="000D07EA" w:rsidRDefault="00BE7C89">
            <w:pPr>
              <w:pStyle w:val="BodyText"/>
              <w:spacing w:before="100" w:after="100"/>
              <w:jc w:val="center"/>
            </w:pPr>
            <w:r>
              <w:t>Yes</w:t>
            </w:r>
          </w:p>
        </w:tc>
        <w:tc>
          <w:tcPr>
            <w:tcW w:w="759" w:type="pct"/>
            <w:shd w:val="clear" w:color="auto" w:fill="auto"/>
            <w:vAlign w:val="center"/>
          </w:tcPr>
          <w:p w14:paraId="25652E62" w14:textId="77777777" w:rsidR="000D07EA" w:rsidRDefault="00BE7C89">
            <w:pPr>
              <w:pStyle w:val="BodyText"/>
              <w:spacing w:before="100" w:after="100"/>
              <w:jc w:val="center"/>
            </w:pPr>
            <w:r>
              <w:t>Yes</w:t>
            </w:r>
          </w:p>
        </w:tc>
        <w:tc>
          <w:tcPr>
            <w:tcW w:w="760" w:type="pct"/>
            <w:shd w:val="clear" w:color="auto" w:fill="auto"/>
            <w:vAlign w:val="center"/>
          </w:tcPr>
          <w:p w14:paraId="35B124FF" w14:textId="77777777" w:rsidR="000D07EA" w:rsidRDefault="00BE7C89">
            <w:pPr>
              <w:pStyle w:val="BodyText"/>
              <w:spacing w:before="100" w:after="100"/>
              <w:jc w:val="center"/>
            </w:pPr>
            <w:r>
              <w:t>Yes</w:t>
            </w:r>
          </w:p>
        </w:tc>
      </w:tr>
      <w:tr w:rsidR="000D07EA" w14:paraId="6907833F" w14:textId="77777777">
        <w:tc>
          <w:tcPr>
            <w:tcW w:w="1203" w:type="pct"/>
            <w:shd w:val="clear" w:color="auto" w:fill="auto"/>
          </w:tcPr>
          <w:p w14:paraId="587F3E7D" w14:textId="77777777" w:rsidR="000D07EA" w:rsidRDefault="00BE7C89">
            <w:pPr>
              <w:pStyle w:val="BodyText"/>
              <w:spacing w:before="100" w:after="100"/>
              <w:rPr>
                <w:szCs w:val="20"/>
              </w:rPr>
            </w:pPr>
            <w:r>
              <w:rPr>
                <w:b/>
                <w:bCs/>
                <w:szCs w:val="20"/>
              </w:rPr>
              <w:t>Available on a Fixed Term Length Agreement</w:t>
            </w:r>
            <w:r>
              <w:rPr>
                <w:szCs w:val="20"/>
              </w:rPr>
              <w:t xml:space="preserve"> (12 or 24 Months)</w:t>
            </w:r>
          </w:p>
        </w:tc>
        <w:tc>
          <w:tcPr>
            <w:tcW w:w="759" w:type="pct"/>
            <w:shd w:val="clear" w:color="auto" w:fill="auto"/>
            <w:vAlign w:val="center"/>
          </w:tcPr>
          <w:p w14:paraId="248D25AB" w14:textId="77777777" w:rsidR="000D07EA" w:rsidRDefault="00BE7C89">
            <w:pPr>
              <w:pStyle w:val="BodyText"/>
              <w:spacing w:before="100" w:after="100"/>
              <w:jc w:val="center"/>
            </w:pPr>
            <w:r>
              <w:t>Yes</w:t>
            </w:r>
          </w:p>
        </w:tc>
        <w:tc>
          <w:tcPr>
            <w:tcW w:w="759" w:type="pct"/>
            <w:shd w:val="clear" w:color="auto" w:fill="auto"/>
            <w:vAlign w:val="center"/>
          </w:tcPr>
          <w:p w14:paraId="55EAC5F2" w14:textId="77777777" w:rsidR="000D07EA" w:rsidRDefault="00BE7C89">
            <w:pPr>
              <w:pStyle w:val="BodyText"/>
              <w:spacing w:before="100" w:after="100"/>
              <w:jc w:val="center"/>
            </w:pPr>
            <w:r>
              <w:t>Yes</w:t>
            </w:r>
          </w:p>
        </w:tc>
        <w:tc>
          <w:tcPr>
            <w:tcW w:w="759" w:type="pct"/>
            <w:shd w:val="clear" w:color="auto" w:fill="auto"/>
            <w:vAlign w:val="center"/>
          </w:tcPr>
          <w:p w14:paraId="2AB8B0ED" w14:textId="77777777" w:rsidR="000D07EA" w:rsidRDefault="00BE7C89">
            <w:pPr>
              <w:pStyle w:val="BodyText"/>
              <w:spacing w:before="100" w:after="100"/>
              <w:jc w:val="center"/>
            </w:pPr>
            <w:r>
              <w:t>Yes</w:t>
            </w:r>
          </w:p>
        </w:tc>
        <w:tc>
          <w:tcPr>
            <w:tcW w:w="759" w:type="pct"/>
            <w:shd w:val="clear" w:color="auto" w:fill="auto"/>
            <w:vAlign w:val="center"/>
          </w:tcPr>
          <w:p w14:paraId="0A68500A" w14:textId="77777777" w:rsidR="000D07EA" w:rsidRDefault="00BE7C89">
            <w:pPr>
              <w:pStyle w:val="BodyText"/>
              <w:spacing w:before="100" w:after="100"/>
              <w:jc w:val="center"/>
            </w:pPr>
            <w:r>
              <w:t>Yes</w:t>
            </w:r>
          </w:p>
        </w:tc>
        <w:tc>
          <w:tcPr>
            <w:tcW w:w="760" w:type="pct"/>
            <w:shd w:val="clear" w:color="auto" w:fill="auto"/>
            <w:vAlign w:val="center"/>
          </w:tcPr>
          <w:p w14:paraId="5ED33E3D" w14:textId="77777777" w:rsidR="000D07EA" w:rsidRDefault="00BE7C89">
            <w:pPr>
              <w:pStyle w:val="BodyText"/>
              <w:spacing w:before="100" w:after="100"/>
              <w:jc w:val="center"/>
            </w:pPr>
            <w:r>
              <w:t>Yes</w:t>
            </w:r>
          </w:p>
        </w:tc>
      </w:tr>
      <w:tr w:rsidR="000D07EA" w14:paraId="48F3AA11" w14:textId="77777777">
        <w:tc>
          <w:tcPr>
            <w:tcW w:w="1203" w:type="pct"/>
            <w:shd w:val="clear" w:color="auto" w:fill="auto"/>
          </w:tcPr>
          <w:p w14:paraId="604306F7" w14:textId="77777777" w:rsidR="000D07EA" w:rsidRDefault="00BE7C89">
            <w:pPr>
              <w:pStyle w:val="BodyText"/>
              <w:spacing w:before="100" w:after="100"/>
              <w:rPr>
                <w:szCs w:val="20"/>
              </w:rPr>
            </w:pPr>
            <w:r>
              <w:rPr>
                <w:b/>
                <w:bCs/>
                <w:szCs w:val="20"/>
              </w:rPr>
              <w:t xml:space="preserve">Minimum Total Cost of the Business Complete Plans over a 24 month minimum term </w:t>
            </w:r>
            <w:r>
              <w:rPr>
                <w:szCs w:val="20"/>
              </w:rPr>
              <w:t>(amount excludes handset repayments if any)</w:t>
            </w:r>
          </w:p>
        </w:tc>
        <w:tc>
          <w:tcPr>
            <w:tcW w:w="759" w:type="pct"/>
            <w:shd w:val="clear" w:color="auto" w:fill="auto"/>
            <w:vAlign w:val="center"/>
          </w:tcPr>
          <w:p w14:paraId="066F0DF9" w14:textId="77777777" w:rsidR="000D07EA" w:rsidRDefault="00BE7C89">
            <w:pPr>
              <w:pStyle w:val="BodyText"/>
              <w:spacing w:before="100" w:after="100"/>
              <w:jc w:val="center"/>
            </w:pPr>
            <w:r>
              <w:t>$720</w:t>
            </w:r>
          </w:p>
        </w:tc>
        <w:tc>
          <w:tcPr>
            <w:tcW w:w="759" w:type="pct"/>
            <w:shd w:val="clear" w:color="auto" w:fill="auto"/>
            <w:vAlign w:val="center"/>
          </w:tcPr>
          <w:p w14:paraId="6D77AD92" w14:textId="77777777" w:rsidR="000D07EA" w:rsidRDefault="00BE7C89">
            <w:pPr>
              <w:pStyle w:val="BodyText"/>
              <w:spacing w:before="100" w:after="100"/>
              <w:jc w:val="center"/>
            </w:pPr>
            <w:r>
              <w:t>$840</w:t>
            </w:r>
          </w:p>
        </w:tc>
        <w:tc>
          <w:tcPr>
            <w:tcW w:w="759" w:type="pct"/>
            <w:shd w:val="clear" w:color="auto" w:fill="auto"/>
            <w:vAlign w:val="center"/>
          </w:tcPr>
          <w:p w14:paraId="234AA903" w14:textId="77777777" w:rsidR="000D07EA" w:rsidRDefault="00BE7C89">
            <w:pPr>
              <w:pStyle w:val="BodyText"/>
              <w:spacing w:before="100" w:after="100"/>
              <w:jc w:val="center"/>
            </w:pPr>
            <w:r>
              <w:t>$1200</w:t>
            </w:r>
          </w:p>
        </w:tc>
        <w:tc>
          <w:tcPr>
            <w:tcW w:w="759" w:type="pct"/>
            <w:shd w:val="clear" w:color="auto" w:fill="auto"/>
            <w:vAlign w:val="center"/>
          </w:tcPr>
          <w:p w14:paraId="02428C05" w14:textId="77777777" w:rsidR="000D07EA" w:rsidRDefault="00BE7C89">
            <w:pPr>
              <w:pStyle w:val="BodyText"/>
              <w:spacing w:before="100" w:after="100"/>
              <w:jc w:val="center"/>
            </w:pPr>
            <w:r>
              <w:t>$1440</w:t>
            </w:r>
          </w:p>
        </w:tc>
        <w:tc>
          <w:tcPr>
            <w:tcW w:w="760" w:type="pct"/>
            <w:shd w:val="clear" w:color="auto" w:fill="auto"/>
            <w:vAlign w:val="center"/>
          </w:tcPr>
          <w:p w14:paraId="4E024A92" w14:textId="77777777" w:rsidR="000D07EA" w:rsidRDefault="00BE7C89">
            <w:pPr>
              <w:pStyle w:val="BodyText"/>
              <w:spacing w:before="100" w:after="100"/>
              <w:jc w:val="center"/>
            </w:pPr>
            <w:r>
              <w:t>$1920</w:t>
            </w:r>
          </w:p>
        </w:tc>
      </w:tr>
      <w:tr w:rsidR="000D07EA" w14:paraId="0E0BA088" w14:textId="77777777">
        <w:tc>
          <w:tcPr>
            <w:tcW w:w="1203" w:type="pct"/>
            <w:shd w:val="clear" w:color="auto" w:fill="auto"/>
          </w:tcPr>
          <w:p w14:paraId="46D035A7" w14:textId="77777777" w:rsidR="000D07EA" w:rsidRDefault="00BE7C89">
            <w:pPr>
              <w:pStyle w:val="BodyText"/>
              <w:spacing w:before="100" w:after="100"/>
              <w:rPr>
                <w:szCs w:val="20"/>
              </w:rPr>
            </w:pPr>
            <w:r>
              <w:rPr>
                <w:b/>
                <w:bCs/>
                <w:szCs w:val="20"/>
              </w:rPr>
              <w:t xml:space="preserve">Minimum Total Cost of the Business Complete Plans over a 12 month minimum term </w:t>
            </w:r>
            <w:r>
              <w:rPr>
                <w:szCs w:val="20"/>
              </w:rPr>
              <w:t>(amount excludes handset repayments if any)</w:t>
            </w:r>
          </w:p>
        </w:tc>
        <w:tc>
          <w:tcPr>
            <w:tcW w:w="759" w:type="pct"/>
            <w:shd w:val="clear" w:color="auto" w:fill="auto"/>
            <w:vAlign w:val="center"/>
          </w:tcPr>
          <w:p w14:paraId="3CA71B97" w14:textId="77777777" w:rsidR="000D07EA" w:rsidRDefault="00BE7C89">
            <w:pPr>
              <w:pStyle w:val="BodyText"/>
              <w:spacing w:before="100" w:after="100"/>
              <w:jc w:val="center"/>
            </w:pPr>
            <w:r>
              <w:t>$360</w:t>
            </w:r>
          </w:p>
        </w:tc>
        <w:tc>
          <w:tcPr>
            <w:tcW w:w="759" w:type="pct"/>
            <w:shd w:val="clear" w:color="auto" w:fill="auto"/>
            <w:vAlign w:val="center"/>
          </w:tcPr>
          <w:p w14:paraId="71DA341D" w14:textId="77777777" w:rsidR="000D07EA" w:rsidRDefault="00BE7C89">
            <w:pPr>
              <w:pStyle w:val="BodyText"/>
              <w:spacing w:before="100" w:after="100"/>
              <w:jc w:val="center"/>
            </w:pPr>
            <w:r>
              <w:t>$420</w:t>
            </w:r>
          </w:p>
        </w:tc>
        <w:tc>
          <w:tcPr>
            <w:tcW w:w="759" w:type="pct"/>
            <w:shd w:val="clear" w:color="auto" w:fill="auto"/>
            <w:vAlign w:val="center"/>
          </w:tcPr>
          <w:p w14:paraId="5B0E2895" w14:textId="77777777" w:rsidR="000D07EA" w:rsidRDefault="00BE7C89">
            <w:pPr>
              <w:pStyle w:val="BodyText"/>
              <w:spacing w:before="100" w:after="100"/>
              <w:jc w:val="center"/>
            </w:pPr>
            <w:r>
              <w:t>$600</w:t>
            </w:r>
          </w:p>
        </w:tc>
        <w:tc>
          <w:tcPr>
            <w:tcW w:w="759" w:type="pct"/>
            <w:shd w:val="clear" w:color="auto" w:fill="auto"/>
            <w:vAlign w:val="center"/>
          </w:tcPr>
          <w:p w14:paraId="4937B345" w14:textId="77777777" w:rsidR="000D07EA" w:rsidRDefault="00BE7C89">
            <w:pPr>
              <w:pStyle w:val="BodyText"/>
              <w:spacing w:before="100" w:after="100"/>
              <w:jc w:val="center"/>
            </w:pPr>
            <w:r>
              <w:t>$720</w:t>
            </w:r>
          </w:p>
        </w:tc>
        <w:tc>
          <w:tcPr>
            <w:tcW w:w="760" w:type="pct"/>
            <w:shd w:val="clear" w:color="auto" w:fill="auto"/>
            <w:vAlign w:val="center"/>
          </w:tcPr>
          <w:p w14:paraId="78E5416B" w14:textId="77777777" w:rsidR="000D07EA" w:rsidRDefault="00BE7C89">
            <w:pPr>
              <w:pStyle w:val="BodyText"/>
              <w:spacing w:before="100" w:after="100"/>
              <w:jc w:val="center"/>
            </w:pPr>
            <w:r>
              <w:t>$960</w:t>
            </w:r>
          </w:p>
        </w:tc>
      </w:tr>
    </w:tbl>
    <w:p w14:paraId="6F1A4237" w14:textId="77777777" w:rsidR="000D07EA" w:rsidRDefault="000D07EA">
      <w:pPr>
        <w:pStyle w:val="BodyText"/>
      </w:pPr>
      <w:bookmarkStart w:id="625" w:name="_Toc315795620"/>
    </w:p>
    <w:p w14:paraId="5D6B3CC0" w14:textId="77777777" w:rsidR="000D07EA" w:rsidRDefault="00BE7C89">
      <w:pPr>
        <w:pStyle w:val="Heading6"/>
        <w:ind w:left="0" w:firstLine="0"/>
      </w:pPr>
      <w:bookmarkStart w:id="626" w:name="_Toc321242925"/>
      <w:bookmarkStart w:id="627" w:name="_Toc333484572"/>
      <w:bookmarkStart w:id="628" w:name="_Toc397941241"/>
      <w:r>
        <w:t xml:space="preserve">What happens if the </w:t>
      </w:r>
      <w:r>
        <w:rPr>
          <w:i/>
        </w:rPr>
        <w:t xml:space="preserve">service is cancelled </w:t>
      </w:r>
      <w:r>
        <w:t>early?</w:t>
      </w:r>
      <w:bookmarkEnd w:id="625"/>
      <w:bookmarkEnd w:id="626"/>
      <w:bookmarkEnd w:id="627"/>
      <w:bookmarkEnd w:id="628"/>
      <w:r>
        <w:t xml:space="preserve"> </w:t>
      </w:r>
    </w:p>
    <w:p w14:paraId="76068CDB" w14:textId="77777777" w:rsidR="000D07EA" w:rsidRDefault="00BE7C89">
      <w:pPr>
        <w:pStyle w:val="Heading7"/>
      </w:pPr>
      <w:r>
        <w:t xml:space="preserve">If </w:t>
      </w:r>
      <w:r>
        <w:rPr>
          <w:i/>
        </w:rPr>
        <w:t>the service</w:t>
      </w:r>
      <w:r>
        <w:t xml:space="preserve"> </w:t>
      </w:r>
      <w:r>
        <w:rPr>
          <w:i/>
        </w:rPr>
        <w:t xml:space="preserve">is cancelled </w:t>
      </w:r>
      <w:r>
        <w:t xml:space="preserve">before the expiry of the </w:t>
      </w:r>
      <w:r>
        <w:rPr>
          <w:i/>
        </w:rPr>
        <w:t xml:space="preserve">minimum term, you </w:t>
      </w:r>
      <w:r>
        <w:t xml:space="preserve">will be required to pay </w:t>
      </w:r>
      <w:r>
        <w:rPr>
          <w:i/>
        </w:rPr>
        <w:t>us</w:t>
      </w:r>
      <w:r>
        <w:t>:</w:t>
      </w:r>
    </w:p>
    <w:p w14:paraId="7456981B" w14:textId="77777777" w:rsidR="000D07EA" w:rsidRDefault="00BE7C89">
      <w:pPr>
        <w:pStyle w:val="Heading8"/>
      </w:pPr>
      <w:r>
        <w:t xml:space="preserve">any usage charges incurred up to, and including, the </w:t>
      </w:r>
      <w:r>
        <w:rPr>
          <w:i/>
        </w:rPr>
        <w:t xml:space="preserve">cancellation date; </w:t>
      </w:r>
      <w:r>
        <w:t>plus</w:t>
      </w:r>
    </w:p>
    <w:p w14:paraId="3916290A" w14:textId="77777777" w:rsidR="000D07EA" w:rsidRDefault="00BE7C89">
      <w:pPr>
        <w:pStyle w:val="Heading8"/>
      </w:pPr>
      <w:r>
        <w:t xml:space="preserve">the </w:t>
      </w:r>
      <w:r>
        <w:rPr>
          <w:i/>
        </w:rPr>
        <w:t xml:space="preserve">cancellation fee </w:t>
      </w:r>
      <w:r>
        <w:t xml:space="preserve">set in paragraphs </w:t>
      </w:r>
      <w:r>
        <w:fldChar w:fldCharType="begin"/>
      </w:r>
      <w:r>
        <w:instrText xml:space="preserve"> REF _Ref461552759 \n \h </w:instrText>
      </w:r>
      <w:r>
        <w:fldChar w:fldCharType="separate"/>
      </w:r>
      <w:r w:rsidR="0004083A">
        <w:t>(b)</w:t>
      </w:r>
      <w:r>
        <w:fldChar w:fldCharType="end"/>
      </w:r>
      <w:r>
        <w:t xml:space="preserve"> and </w:t>
      </w:r>
      <w:r>
        <w:fldChar w:fldCharType="begin"/>
      </w:r>
      <w:r>
        <w:instrText xml:space="preserve"> REF _Ref461552767 \n \h </w:instrText>
      </w:r>
      <w:r>
        <w:fldChar w:fldCharType="separate"/>
      </w:r>
      <w:r w:rsidR="0004083A">
        <w:t>(c)</w:t>
      </w:r>
      <w:r>
        <w:fldChar w:fldCharType="end"/>
      </w:r>
      <w:r>
        <w:t xml:space="preserve"> below (unless under clause 2A of the </w:t>
      </w:r>
      <w:r>
        <w:rPr>
          <w:i/>
        </w:rPr>
        <w:t xml:space="preserve">SME terms, you </w:t>
      </w:r>
      <w:r>
        <w:t xml:space="preserve">are entitled to </w:t>
      </w:r>
      <w:r>
        <w:rPr>
          <w:i/>
        </w:rPr>
        <w:t xml:space="preserve">cancel the service </w:t>
      </w:r>
      <w:r>
        <w:t xml:space="preserve">without incurring a </w:t>
      </w:r>
      <w:r>
        <w:rPr>
          <w:i/>
        </w:rPr>
        <w:t>cancellation fee)</w:t>
      </w:r>
      <w:r>
        <w:t>; plus</w:t>
      </w:r>
    </w:p>
    <w:p w14:paraId="22312765" w14:textId="77777777" w:rsidR="000D07EA" w:rsidRDefault="00BE7C89">
      <w:pPr>
        <w:pStyle w:val="Heading8"/>
      </w:pPr>
      <w:r>
        <w:lastRenderedPageBreak/>
        <w:t xml:space="preserve">the sum of unpaid </w:t>
      </w:r>
      <w:r>
        <w:rPr>
          <w:i/>
        </w:rPr>
        <w:t xml:space="preserve">equipment charges </w:t>
      </w:r>
      <w:r>
        <w:t xml:space="preserve">owing on </w:t>
      </w:r>
      <w:r>
        <w:rPr>
          <w:i/>
        </w:rPr>
        <w:t xml:space="preserve">your mobile phone </w:t>
      </w:r>
      <w:r>
        <w:t xml:space="preserve">under the </w:t>
      </w:r>
      <w:r>
        <w:rPr>
          <w:i/>
        </w:rPr>
        <w:t xml:space="preserve">mobile equipment payment plan </w:t>
      </w:r>
      <w:r>
        <w:t>(if any)</w:t>
      </w:r>
      <w:r>
        <w:rPr>
          <w:i/>
        </w:rPr>
        <w:t>.</w:t>
      </w:r>
    </w:p>
    <w:p w14:paraId="52C12176" w14:textId="77777777" w:rsidR="000D07EA" w:rsidRDefault="00BE7C89">
      <w:pPr>
        <w:pStyle w:val="Heading7"/>
      </w:pPr>
      <w:bookmarkStart w:id="629" w:name="_Ref461552759"/>
      <w:r>
        <w:t xml:space="preserve">The </w:t>
      </w:r>
      <w:r>
        <w:rPr>
          <w:i/>
        </w:rPr>
        <w:t>cancellation fee</w:t>
      </w:r>
      <w:r>
        <w:t xml:space="preserve"> for a 24 month </w:t>
      </w:r>
      <w:r>
        <w:rPr>
          <w:i/>
        </w:rPr>
        <w:t xml:space="preserve">fixed length agreement </w:t>
      </w:r>
      <w:r>
        <w:t xml:space="preserve">is calculated as a fixed amount if the </w:t>
      </w:r>
      <w:r>
        <w:rPr>
          <w:i/>
        </w:rPr>
        <w:t xml:space="preserve">service </w:t>
      </w:r>
      <w:r>
        <w:t xml:space="preserve">is </w:t>
      </w:r>
      <w:r>
        <w:rPr>
          <w:i/>
        </w:rPr>
        <w:t xml:space="preserve">cancelled </w:t>
      </w:r>
      <w:r>
        <w:t xml:space="preserve">during the first 12 months of the </w:t>
      </w:r>
      <w:r>
        <w:rPr>
          <w:i/>
        </w:rPr>
        <w:t>minimum term</w:t>
      </w:r>
      <w:r>
        <w:t xml:space="preserve"> and then a pro-rata reduction of that fee (indicated as a percentage in brackets in the first column of the table below) if the </w:t>
      </w:r>
      <w:r>
        <w:rPr>
          <w:i/>
        </w:rPr>
        <w:t xml:space="preserve">service </w:t>
      </w:r>
      <w:r>
        <w:t xml:space="preserve">is </w:t>
      </w:r>
      <w:r>
        <w:rPr>
          <w:i/>
        </w:rPr>
        <w:t xml:space="preserve">cancelled </w:t>
      </w:r>
      <w:r>
        <w:t xml:space="preserve">during the second year of the </w:t>
      </w:r>
      <w:r>
        <w:rPr>
          <w:i/>
        </w:rPr>
        <w:t>minimum term</w:t>
      </w:r>
      <w:r>
        <w:t>.</w:t>
      </w:r>
      <w:bookmarkEnd w:id="629"/>
    </w:p>
    <w:p w14:paraId="562D888D" w14:textId="77777777" w:rsidR="000D07EA" w:rsidRDefault="00BE7C89">
      <w:pPr>
        <w:pStyle w:val="Heading7"/>
      </w:pPr>
      <w:bookmarkStart w:id="630" w:name="_Ref461552767"/>
      <w:r>
        <w:t xml:space="preserve">The </w:t>
      </w:r>
      <w:r>
        <w:rPr>
          <w:i/>
        </w:rPr>
        <w:t>cancellation fee</w:t>
      </w:r>
      <w:r>
        <w:t xml:space="preserve"> for a 12 month </w:t>
      </w:r>
      <w:r>
        <w:rPr>
          <w:i/>
        </w:rPr>
        <w:t xml:space="preserve">fixed length agreement </w:t>
      </w:r>
      <w:r>
        <w:t xml:space="preserve">is calculated as a fixed amount if the </w:t>
      </w:r>
      <w:r>
        <w:rPr>
          <w:i/>
        </w:rPr>
        <w:t xml:space="preserve">service </w:t>
      </w:r>
      <w:r>
        <w:t xml:space="preserve">is </w:t>
      </w:r>
      <w:r>
        <w:rPr>
          <w:i/>
        </w:rPr>
        <w:t xml:space="preserve">cancelled </w:t>
      </w:r>
      <w:r>
        <w:t xml:space="preserve">during the first 6 months of the </w:t>
      </w:r>
      <w:r>
        <w:rPr>
          <w:i/>
        </w:rPr>
        <w:t>minimum term</w:t>
      </w:r>
      <w:r>
        <w:t xml:space="preserve"> and then a pro-rata reduction of that fee (indicated as a percentage in brackets in the first column of the table below) if the </w:t>
      </w:r>
      <w:r>
        <w:rPr>
          <w:i/>
        </w:rPr>
        <w:t xml:space="preserve">service </w:t>
      </w:r>
      <w:r>
        <w:t xml:space="preserve">is </w:t>
      </w:r>
      <w:r>
        <w:rPr>
          <w:i/>
        </w:rPr>
        <w:t xml:space="preserve">cancelled </w:t>
      </w:r>
      <w:r>
        <w:t xml:space="preserve">during the last 6 months of the </w:t>
      </w:r>
      <w:r>
        <w:rPr>
          <w:i/>
        </w:rPr>
        <w:t>minimum term</w:t>
      </w:r>
      <w:r>
        <w:t>.</w:t>
      </w:r>
      <w:bookmarkEnd w:id="630"/>
    </w:p>
    <w:tbl>
      <w:tblPr>
        <w:tblW w:w="96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8"/>
        <w:gridCol w:w="1494"/>
        <w:gridCol w:w="1494"/>
        <w:gridCol w:w="1494"/>
        <w:gridCol w:w="1494"/>
        <w:gridCol w:w="1494"/>
      </w:tblGrid>
      <w:tr w:rsidR="000D07EA" w14:paraId="430927D7" w14:textId="77777777">
        <w:trPr>
          <w:trHeight w:val="20"/>
        </w:trPr>
        <w:tc>
          <w:tcPr>
            <w:tcW w:w="2178" w:type="dxa"/>
            <w:shd w:val="clear" w:color="auto" w:fill="auto"/>
            <w:vAlign w:val="center"/>
          </w:tcPr>
          <w:p w14:paraId="2BDC7D83" w14:textId="77777777" w:rsidR="000D07EA" w:rsidRDefault="00BE7C89">
            <w:pPr>
              <w:pStyle w:val="BodyText"/>
              <w:keepNext/>
              <w:spacing w:before="100" w:after="100"/>
              <w:rPr>
                <w:b/>
              </w:rPr>
            </w:pPr>
            <w:r>
              <w:rPr>
                <w:b/>
              </w:rPr>
              <w:t>When the service is cancelled</w:t>
            </w:r>
          </w:p>
        </w:tc>
        <w:tc>
          <w:tcPr>
            <w:tcW w:w="7470" w:type="dxa"/>
            <w:gridSpan w:val="5"/>
            <w:shd w:val="clear" w:color="auto" w:fill="auto"/>
            <w:vAlign w:val="center"/>
          </w:tcPr>
          <w:p w14:paraId="44C7E0D5" w14:textId="77777777" w:rsidR="000D07EA" w:rsidRDefault="00BE7C89">
            <w:pPr>
              <w:pStyle w:val="BodyText"/>
              <w:keepNext/>
              <w:spacing w:before="100" w:after="100"/>
              <w:jc w:val="center"/>
              <w:rPr>
                <w:b/>
                <w:i/>
              </w:rPr>
            </w:pPr>
            <w:r>
              <w:rPr>
                <w:b/>
                <w:i/>
              </w:rPr>
              <w:t>Cancellation Fee</w:t>
            </w:r>
          </w:p>
        </w:tc>
      </w:tr>
      <w:tr w:rsidR="000D07EA" w14:paraId="0B05ACCB" w14:textId="77777777">
        <w:trPr>
          <w:trHeight w:val="20"/>
        </w:trPr>
        <w:tc>
          <w:tcPr>
            <w:tcW w:w="2178" w:type="dxa"/>
            <w:shd w:val="clear" w:color="auto" w:fill="auto"/>
            <w:vAlign w:val="center"/>
          </w:tcPr>
          <w:p w14:paraId="514A427D" w14:textId="77777777" w:rsidR="000D07EA" w:rsidRDefault="000D07EA">
            <w:pPr>
              <w:pStyle w:val="BodyText"/>
              <w:keepNext/>
              <w:spacing w:before="100" w:after="100"/>
              <w:rPr>
                <w:b/>
              </w:rPr>
            </w:pPr>
          </w:p>
        </w:tc>
        <w:tc>
          <w:tcPr>
            <w:tcW w:w="7470" w:type="dxa"/>
            <w:gridSpan w:val="5"/>
            <w:shd w:val="clear" w:color="auto" w:fill="auto"/>
            <w:vAlign w:val="center"/>
          </w:tcPr>
          <w:p w14:paraId="28E59804" w14:textId="77777777" w:rsidR="000D07EA" w:rsidRDefault="00BE7C89">
            <w:pPr>
              <w:pStyle w:val="BodyText"/>
              <w:keepNext/>
              <w:spacing w:before="100" w:after="100"/>
              <w:jc w:val="center"/>
              <w:rPr>
                <w:b/>
              </w:rPr>
            </w:pPr>
            <w:r>
              <w:rPr>
                <w:b/>
              </w:rPr>
              <w:t>Business Complete Plans – 24 Month Contract</w:t>
            </w:r>
          </w:p>
        </w:tc>
      </w:tr>
      <w:tr w:rsidR="000D07EA" w14:paraId="0D9DD065" w14:textId="77777777">
        <w:trPr>
          <w:trHeight w:val="20"/>
        </w:trPr>
        <w:tc>
          <w:tcPr>
            <w:tcW w:w="2178" w:type="dxa"/>
            <w:shd w:val="clear" w:color="auto" w:fill="auto"/>
            <w:vAlign w:val="center"/>
          </w:tcPr>
          <w:p w14:paraId="73C2AB54" w14:textId="77777777" w:rsidR="000D07EA" w:rsidRDefault="000D07EA">
            <w:pPr>
              <w:pStyle w:val="BodyText"/>
              <w:spacing w:before="100" w:after="100"/>
              <w:rPr>
                <w:b/>
              </w:rPr>
            </w:pPr>
          </w:p>
        </w:tc>
        <w:tc>
          <w:tcPr>
            <w:tcW w:w="1494" w:type="dxa"/>
            <w:shd w:val="clear" w:color="auto" w:fill="auto"/>
            <w:vAlign w:val="center"/>
          </w:tcPr>
          <w:p w14:paraId="0E33AF94" w14:textId="77777777" w:rsidR="000D07EA" w:rsidRDefault="00BE7C89">
            <w:pPr>
              <w:pStyle w:val="BodyText"/>
              <w:spacing w:before="100" w:after="100"/>
              <w:jc w:val="center"/>
              <w:rPr>
                <w:b/>
              </w:rPr>
            </w:pPr>
            <w:r>
              <w:rPr>
                <w:b/>
              </w:rPr>
              <w:t>$30 Business Complete Plan (4G Sept 2012)</w:t>
            </w:r>
          </w:p>
        </w:tc>
        <w:tc>
          <w:tcPr>
            <w:tcW w:w="1494" w:type="dxa"/>
            <w:shd w:val="clear" w:color="auto" w:fill="auto"/>
            <w:vAlign w:val="center"/>
          </w:tcPr>
          <w:p w14:paraId="6FE37031" w14:textId="77777777" w:rsidR="000D07EA" w:rsidRDefault="00BE7C89">
            <w:pPr>
              <w:pStyle w:val="BodyText"/>
              <w:spacing w:before="100" w:after="100"/>
              <w:jc w:val="center"/>
              <w:rPr>
                <w:b/>
              </w:rPr>
            </w:pPr>
            <w:r>
              <w:rPr>
                <w:b/>
              </w:rPr>
              <w:t>$35 Business Complete Plan (4G Sept 2012)</w:t>
            </w:r>
          </w:p>
        </w:tc>
        <w:tc>
          <w:tcPr>
            <w:tcW w:w="1494" w:type="dxa"/>
            <w:shd w:val="clear" w:color="auto" w:fill="auto"/>
            <w:vAlign w:val="center"/>
          </w:tcPr>
          <w:p w14:paraId="0354072F" w14:textId="77777777" w:rsidR="000D07EA" w:rsidRDefault="00BE7C89">
            <w:pPr>
              <w:pStyle w:val="BodyText"/>
              <w:spacing w:before="100" w:after="100"/>
              <w:jc w:val="center"/>
              <w:rPr>
                <w:b/>
              </w:rPr>
            </w:pPr>
            <w:r>
              <w:rPr>
                <w:b/>
              </w:rPr>
              <w:t>$50 Business Complete Plan (4G Sept 2012)</w:t>
            </w:r>
          </w:p>
        </w:tc>
        <w:tc>
          <w:tcPr>
            <w:tcW w:w="1494" w:type="dxa"/>
            <w:shd w:val="clear" w:color="auto" w:fill="auto"/>
            <w:vAlign w:val="center"/>
          </w:tcPr>
          <w:p w14:paraId="49A44175" w14:textId="77777777" w:rsidR="000D07EA" w:rsidRDefault="00BE7C89">
            <w:pPr>
              <w:pStyle w:val="BodyText"/>
              <w:spacing w:before="100" w:after="100"/>
              <w:jc w:val="center"/>
              <w:rPr>
                <w:b/>
              </w:rPr>
            </w:pPr>
            <w:r>
              <w:rPr>
                <w:b/>
              </w:rPr>
              <w:t>$60 Business Complete Plan (4G Sept 2012)</w:t>
            </w:r>
          </w:p>
        </w:tc>
        <w:tc>
          <w:tcPr>
            <w:tcW w:w="1494" w:type="dxa"/>
            <w:shd w:val="clear" w:color="auto" w:fill="auto"/>
            <w:vAlign w:val="center"/>
          </w:tcPr>
          <w:p w14:paraId="3D7005DD" w14:textId="77777777" w:rsidR="000D07EA" w:rsidRDefault="00BE7C89">
            <w:pPr>
              <w:pStyle w:val="BodyText"/>
              <w:spacing w:before="100" w:after="100"/>
              <w:jc w:val="center"/>
              <w:rPr>
                <w:b/>
              </w:rPr>
            </w:pPr>
            <w:r>
              <w:rPr>
                <w:b/>
              </w:rPr>
              <w:t>$80 Business Complete Plan (4G Sept 2012)</w:t>
            </w:r>
          </w:p>
        </w:tc>
      </w:tr>
      <w:tr w:rsidR="000D07EA" w14:paraId="5A76D154" w14:textId="77777777">
        <w:trPr>
          <w:trHeight w:val="20"/>
        </w:trPr>
        <w:tc>
          <w:tcPr>
            <w:tcW w:w="2178" w:type="dxa"/>
            <w:shd w:val="clear" w:color="auto" w:fill="auto"/>
            <w:vAlign w:val="center"/>
          </w:tcPr>
          <w:p w14:paraId="7A5075C0" w14:textId="77777777" w:rsidR="000D07EA" w:rsidRDefault="00BE7C89">
            <w:pPr>
              <w:pStyle w:val="BodyText"/>
              <w:spacing w:before="100" w:after="100"/>
            </w:pPr>
            <w:r>
              <w:t>During the first 12 months - Initial cancellation fee</w:t>
            </w:r>
          </w:p>
        </w:tc>
        <w:tc>
          <w:tcPr>
            <w:tcW w:w="1494" w:type="dxa"/>
            <w:shd w:val="clear" w:color="auto" w:fill="auto"/>
            <w:vAlign w:val="center"/>
          </w:tcPr>
          <w:p w14:paraId="7BC23664" w14:textId="77777777" w:rsidR="000D07EA" w:rsidRDefault="00BE7C89">
            <w:pPr>
              <w:pStyle w:val="BodyText"/>
              <w:spacing w:before="100" w:after="100"/>
              <w:jc w:val="center"/>
            </w:pPr>
            <w:r>
              <w:t>$560</w:t>
            </w:r>
          </w:p>
        </w:tc>
        <w:tc>
          <w:tcPr>
            <w:tcW w:w="1494" w:type="dxa"/>
            <w:shd w:val="clear" w:color="auto" w:fill="auto"/>
            <w:vAlign w:val="center"/>
          </w:tcPr>
          <w:p w14:paraId="64AD8D0B" w14:textId="77777777" w:rsidR="000D07EA" w:rsidRDefault="00BE7C89">
            <w:pPr>
              <w:pStyle w:val="BodyText"/>
              <w:spacing w:before="100" w:after="100"/>
              <w:jc w:val="center"/>
            </w:pPr>
            <w:r>
              <w:t>$600</w:t>
            </w:r>
          </w:p>
        </w:tc>
        <w:tc>
          <w:tcPr>
            <w:tcW w:w="1494" w:type="dxa"/>
            <w:shd w:val="clear" w:color="auto" w:fill="auto"/>
            <w:vAlign w:val="center"/>
          </w:tcPr>
          <w:p w14:paraId="7108BC6E" w14:textId="77777777" w:rsidR="000D07EA" w:rsidRDefault="00BE7C89">
            <w:pPr>
              <w:pStyle w:val="BodyText"/>
              <w:spacing w:before="100" w:after="100"/>
              <w:jc w:val="center"/>
            </w:pPr>
            <w:r>
              <w:t>$800</w:t>
            </w:r>
          </w:p>
        </w:tc>
        <w:tc>
          <w:tcPr>
            <w:tcW w:w="1494" w:type="dxa"/>
            <w:shd w:val="clear" w:color="auto" w:fill="auto"/>
            <w:vAlign w:val="center"/>
          </w:tcPr>
          <w:p w14:paraId="7731B534" w14:textId="77777777" w:rsidR="000D07EA" w:rsidRDefault="00BE7C89">
            <w:pPr>
              <w:pStyle w:val="BodyText"/>
              <w:spacing w:before="100" w:after="100"/>
              <w:jc w:val="center"/>
            </w:pPr>
            <w:r>
              <w:t>$1060</w:t>
            </w:r>
          </w:p>
        </w:tc>
        <w:tc>
          <w:tcPr>
            <w:tcW w:w="1494" w:type="dxa"/>
            <w:shd w:val="clear" w:color="auto" w:fill="auto"/>
            <w:vAlign w:val="center"/>
          </w:tcPr>
          <w:p w14:paraId="490185CC" w14:textId="77777777" w:rsidR="000D07EA" w:rsidRDefault="00BE7C89">
            <w:pPr>
              <w:pStyle w:val="BodyText"/>
              <w:spacing w:before="100" w:after="100"/>
              <w:jc w:val="center"/>
            </w:pPr>
            <w:r>
              <w:t>$1,140</w:t>
            </w:r>
          </w:p>
        </w:tc>
      </w:tr>
      <w:tr w:rsidR="000D07EA" w14:paraId="7D6ACF50" w14:textId="77777777">
        <w:trPr>
          <w:trHeight w:val="20"/>
        </w:trPr>
        <w:tc>
          <w:tcPr>
            <w:tcW w:w="2178" w:type="dxa"/>
            <w:shd w:val="clear" w:color="auto" w:fill="auto"/>
            <w:vAlign w:val="center"/>
          </w:tcPr>
          <w:p w14:paraId="1B4964C6" w14:textId="77777777" w:rsidR="000D07EA" w:rsidRDefault="00BE7C89">
            <w:pPr>
              <w:pStyle w:val="BodyText"/>
              <w:spacing w:before="100" w:after="100"/>
            </w:pPr>
            <w:r>
              <w:t>Months 13 – 15 (80% of Initial cancellation fee)</w:t>
            </w:r>
          </w:p>
        </w:tc>
        <w:tc>
          <w:tcPr>
            <w:tcW w:w="1494" w:type="dxa"/>
            <w:shd w:val="clear" w:color="auto" w:fill="auto"/>
            <w:vAlign w:val="center"/>
          </w:tcPr>
          <w:p w14:paraId="69ABD0ED" w14:textId="77777777" w:rsidR="000D07EA" w:rsidRDefault="00BE7C89">
            <w:pPr>
              <w:pStyle w:val="BodyText"/>
              <w:spacing w:before="100" w:after="100"/>
              <w:jc w:val="center"/>
            </w:pPr>
            <w:r>
              <w:t>$448</w:t>
            </w:r>
          </w:p>
        </w:tc>
        <w:tc>
          <w:tcPr>
            <w:tcW w:w="1494" w:type="dxa"/>
            <w:shd w:val="clear" w:color="auto" w:fill="auto"/>
            <w:vAlign w:val="center"/>
          </w:tcPr>
          <w:p w14:paraId="7F7AFB7F" w14:textId="77777777" w:rsidR="000D07EA" w:rsidRDefault="00BE7C89">
            <w:pPr>
              <w:pStyle w:val="BodyText"/>
              <w:spacing w:before="100" w:after="100"/>
              <w:jc w:val="center"/>
            </w:pPr>
            <w:r>
              <w:t>$480</w:t>
            </w:r>
          </w:p>
        </w:tc>
        <w:tc>
          <w:tcPr>
            <w:tcW w:w="1494" w:type="dxa"/>
            <w:shd w:val="clear" w:color="auto" w:fill="auto"/>
            <w:vAlign w:val="center"/>
          </w:tcPr>
          <w:p w14:paraId="2C0F2A74" w14:textId="77777777" w:rsidR="000D07EA" w:rsidRDefault="00BE7C89">
            <w:pPr>
              <w:pStyle w:val="BodyText"/>
              <w:spacing w:before="100" w:after="100"/>
              <w:jc w:val="center"/>
            </w:pPr>
            <w:r>
              <w:t>$640</w:t>
            </w:r>
          </w:p>
        </w:tc>
        <w:tc>
          <w:tcPr>
            <w:tcW w:w="1494" w:type="dxa"/>
            <w:shd w:val="clear" w:color="auto" w:fill="auto"/>
            <w:vAlign w:val="center"/>
          </w:tcPr>
          <w:p w14:paraId="5CDC6C98" w14:textId="77777777" w:rsidR="000D07EA" w:rsidRDefault="00BE7C89">
            <w:pPr>
              <w:pStyle w:val="BodyText"/>
              <w:spacing w:before="100" w:after="100"/>
              <w:jc w:val="center"/>
            </w:pPr>
            <w:r>
              <w:t>$848</w:t>
            </w:r>
          </w:p>
        </w:tc>
        <w:tc>
          <w:tcPr>
            <w:tcW w:w="1494" w:type="dxa"/>
            <w:shd w:val="clear" w:color="auto" w:fill="auto"/>
            <w:vAlign w:val="center"/>
          </w:tcPr>
          <w:p w14:paraId="0F3EF5DD" w14:textId="77777777" w:rsidR="000D07EA" w:rsidRDefault="00BE7C89">
            <w:pPr>
              <w:pStyle w:val="BodyText"/>
              <w:spacing w:before="100" w:after="100"/>
              <w:jc w:val="center"/>
            </w:pPr>
            <w:r>
              <w:t>$912</w:t>
            </w:r>
          </w:p>
        </w:tc>
      </w:tr>
      <w:tr w:rsidR="000D07EA" w14:paraId="3C245E27" w14:textId="77777777">
        <w:trPr>
          <w:trHeight w:val="20"/>
        </w:trPr>
        <w:tc>
          <w:tcPr>
            <w:tcW w:w="2178" w:type="dxa"/>
            <w:shd w:val="clear" w:color="auto" w:fill="auto"/>
            <w:vAlign w:val="center"/>
          </w:tcPr>
          <w:p w14:paraId="05A01A77" w14:textId="77777777" w:rsidR="000D07EA" w:rsidRDefault="00BE7C89">
            <w:pPr>
              <w:pStyle w:val="BodyText"/>
              <w:spacing w:before="100" w:after="100"/>
            </w:pPr>
            <w:r>
              <w:t>Months 16 – 18 (60% of the Initial cancellation fee)</w:t>
            </w:r>
          </w:p>
        </w:tc>
        <w:tc>
          <w:tcPr>
            <w:tcW w:w="1494" w:type="dxa"/>
            <w:shd w:val="clear" w:color="auto" w:fill="auto"/>
            <w:vAlign w:val="center"/>
          </w:tcPr>
          <w:p w14:paraId="6A23F802" w14:textId="77777777" w:rsidR="000D07EA" w:rsidRDefault="00BE7C89">
            <w:pPr>
              <w:pStyle w:val="BodyText"/>
              <w:spacing w:before="100" w:after="100"/>
              <w:jc w:val="center"/>
            </w:pPr>
            <w:r>
              <w:t>$336</w:t>
            </w:r>
          </w:p>
        </w:tc>
        <w:tc>
          <w:tcPr>
            <w:tcW w:w="1494" w:type="dxa"/>
            <w:shd w:val="clear" w:color="auto" w:fill="auto"/>
            <w:vAlign w:val="center"/>
          </w:tcPr>
          <w:p w14:paraId="00EE4816" w14:textId="77777777" w:rsidR="000D07EA" w:rsidRDefault="00BE7C89">
            <w:pPr>
              <w:pStyle w:val="BodyText"/>
              <w:spacing w:before="100" w:after="100"/>
              <w:jc w:val="center"/>
            </w:pPr>
            <w:r>
              <w:t>$360</w:t>
            </w:r>
          </w:p>
        </w:tc>
        <w:tc>
          <w:tcPr>
            <w:tcW w:w="1494" w:type="dxa"/>
            <w:shd w:val="clear" w:color="auto" w:fill="auto"/>
            <w:vAlign w:val="center"/>
          </w:tcPr>
          <w:p w14:paraId="505021EC" w14:textId="77777777" w:rsidR="000D07EA" w:rsidRDefault="00BE7C89">
            <w:pPr>
              <w:pStyle w:val="BodyText"/>
              <w:spacing w:before="100" w:after="100"/>
              <w:jc w:val="center"/>
            </w:pPr>
            <w:r>
              <w:t>$480</w:t>
            </w:r>
          </w:p>
        </w:tc>
        <w:tc>
          <w:tcPr>
            <w:tcW w:w="1494" w:type="dxa"/>
            <w:shd w:val="clear" w:color="auto" w:fill="auto"/>
            <w:vAlign w:val="center"/>
          </w:tcPr>
          <w:p w14:paraId="2D3241D7" w14:textId="77777777" w:rsidR="000D07EA" w:rsidRDefault="00BE7C89">
            <w:pPr>
              <w:pStyle w:val="BodyText"/>
              <w:spacing w:before="100" w:after="100"/>
              <w:jc w:val="center"/>
            </w:pPr>
            <w:r>
              <w:t>$636</w:t>
            </w:r>
          </w:p>
        </w:tc>
        <w:tc>
          <w:tcPr>
            <w:tcW w:w="1494" w:type="dxa"/>
            <w:shd w:val="clear" w:color="auto" w:fill="auto"/>
            <w:vAlign w:val="center"/>
          </w:tcPr>
          <w:p w14:paraId="7C1491A5" w14:textId="77777777" w:rsidR="000D07EA" w:rsidRDefault="00BE7C89">
            <w:pPr>
              <w:pStyle w:val="BodyText"/>
              <w:spacing w:before="100" w:after="100"/>
              <w:jc w:val="center"/>
            </w:pPr>
            <w:r>
              <w:t>$684</w:t>
            </w:r>
          </w:p>
        </w:tc>
      </w:tr>
      <w:tr w:rsidR="000D07EA" w14:paraId="53491006" w14:textId="77777777">
        <w:trPr>
          <w:trHeight w:val="20"/>
        </w:trPr>
        <w:tc>
          <w:tcPr>
            <w:tcW w:w="2178" w:type="dxa"/>
            <w:shd w:val="clear" w:color="auto" w:fill="auto"/>
            <w:vAlign w:val="center"/>
          </w:tcPr>
          <w:p w14:paraId="5A3CD7B5" w14:textId="77777777" w:rsidR="000D07EA" w:rsidRDefault="00BE7C89">
            <w:pPr>
              <w:pStyle w:val="BodyText"/>
              <w:spacing w:before="100" w:after="100"/>
            </w:pPr>
            <w:r>
              <w:t>Months 19 – 21 (40% of the Initial cancellation fee)</w:t>
            </w:r>
          </w:p>
        </w:tc>
        <w:tc>
          <w:tcPr>
            <w:tcW w:w="1494" w:type="dxa"/>
            <w:shd w:val="clear" w:color="auto" w:fill="auto"/>
            <w:vAlign w:val="center"/>
          </w:tcPr>
          <w:p w14:paraId="6B2C16EA" w14:textId="77777777" w:rsidR="000D07EA" w:rsidRDefault="00BE7C89">
            <w:pPr>
              <w:pStyle w:val="BodyText"/>
              <w:spacing w:before="100" w:after="100"/>
              <w:jc w:val="center"/>
            </w:pPr>
            <w:r>
              <w:t>$224</w:t>
            </w:r>
          </w:p>
        </w:tc>
        <w:tc>
          <w:tcPr>
            <w:tcW w:w="1494" w:type="dxa"/>
            <w:shd w:val="clear" w:color="auto" w:fill="auto"/>
            <w:vAlign w:val="center"/>
          </w:tcPr>
          <w:p w14:paraId="1577F8E2" w14:textId="77777777" w:rsidR="000D07EA" w:rsidRDefault="00BE7C89">
            <w:pPr>
              <w:pStyle w:val="BodyText"/>
              <w:spacing w:before="100" w:after="100"/>
              <w:jc w:val="center"/>
            </w:pPr>
            <w:r>
              <w:t>$240</w:t>
            </w:r>
          </w:p>
        </w:tc>
        <w:tc>
          <w:tcPr>
            <w:tcW w:w="1494" w:type="dxa"/>
            <w:shd w:val="clear" w:color="auto" w:fill="auto"/>
            <w:vAlign w:val="center"/>
          </w:tcPr>
          <w:p w14:paraId="3693C2E7" w14:textId="77777777" w:rsidR="000D07EA" w:rsidRDefault="00BE7C89">
            <w:pPr>
              <w:pStyle w:val="BodyText"/>
              <w:spacing w:before="100" w:after="100"/>
              <w:jc w:val="center"/>
            </w:pPr>
            <w:r>
              <w:t>$320</w:t>
            </w:r>
          </w:p>
        </w:tc>
        <w:tc>
          <w:tcPr>
            <w:tcW w:w="1494" w:type="dxa"/>
            <w:shd w:val="clear" w:color="auto" w:fill="auto"/>
            <w:vAlign w:val="center"/>
          </w:tcPr>
          <w:p w14:paraId="5DA8F8B9" w14:textId="77777777" w:rsidR="000D07EA" w:rsidRDefault="00BE7C89">
            <w:pPr>
              <w:pStyle w:val="BodyText"/>
              <w:spacing w:before="100" w:after="100"/>
              <w:jc w:val="center"/>
            </w:pPr>
            <w:r>
              <w:t>$424</w:t>
            </w:r>
          </w:p>
        </w:tc>
        <w:tc>
          <w:tcPr>
            <w:tcW w:w="1494" w:type="dxa"/>
            <w:shd w:val="clear" w:color="auto" w:fill="auto"/>
            <w:vAlign w:val="center"/>
          </w:tcPr>
          <w:p w14:paraId="365AC51F" w14:textId="77777777" w:rsidR="000D07EA" w:rsidRDefault="00BE7C89">
            <w:pPr>
              <w:pStyle w:val="BodyText"/>
              <w:spacing w:before="100" w:after="100"/>
              <w:jc w:val="center"/>
            </w:pPr>
            <w:r>
              <w:t>$456</w:t>
            </w:r>
          </w:p>
        </w:tc>
      </w:tr>
      <w:tr w:rsidR="000D07EA" w14:paraId="26D9B87D" w14:textId="77777777">
        <w:trPr>
          <w:trHeight w:val="20"/>
        </w:trPr>
        <w:tc>
          <w:tcPr>
            <w:tcW w:w="2178" w:type="dxa"/>
            <w:shd w:val="clear" w:color="auto" w:fill="auto"/>
            <w:vAlign w:val="center"/>
          </w:tcPr>
          <w:p w14:paraId="34F8A73F" w14:textId="77777777" w:rsidR="000D07EA" w:rsidRDefault="00BE7C89">
            <w:pPr>
              <w:pStyle w:val="BodyText"/>
              <w:spacing w:before="100" w:after="100"/>
            </w:pPr>
            <w:r>
              <w:t>Months 22 – 24 (20% of the Initial cancellation fee)</w:t>
            </w:r>
          </w:p>
        </w:tc>
        <w:tc>
          <w:tcPr>
            <w:tcW w:w="1494" w:type="dxa"/>
            <w:shd w:val="clear" w:color="auto" w:fill="auto"/>
            <w:vAlign w:val="center"/>
          </w:tcPr>
          <w:p w14:paraId="4234F966" w14:textId="77777777" w:rsidR="000D07EA" w:rsidRDefault="00BE7C89">
            <w:pPr>
              <w:pStyle w:val="BodyText"/>
              <w:spacing w:before="100" w:after="100"/>
              <w:jc w:val="center"/>
            </w:pPr>
            <w:r>
              <w:t>$112</w:t>
            </w:r>
          </w:p>
        </w:tc>
        <w:tc>
          <w:tcPr>
            <w:tcW w:w="1494" w:type="dxa"/>
            <w:shd w:val="clear" w:color="auto" w:fill="auto"/>
            <w:vAlign w:val="center"/>
          </w:tcPr>
          <w:p w14:paraId="05508BE9" w14:textId="77777777" w:rsidR="000D07EA" w:rsidRDefault="00BE7C89">
            <w:pPr>
              <w:pStyle w:val="BodyText"/>
              <w:spacing w:before="100" w:after="100"/>
              <w:jc w:val="center"/>
            </w:pPr>
            <w:r>
              <w:t>$120</w:t>
            </w:r>
          </w:p>
        </w:tc>
        <w:tc>
          <w:tcPr>
            <w:tcW w:w="1494" w:type="dxa"/>
            <w:shd w:val="clear" w:color="auto" w:fill="auto"/>
            <w:vAlign w:val="center"/>
          </w:tcPr>
          <w:p w14:paraId="7E14128D" w14:textId="77777777" w:rsidR="000D07EA" w:rsidRDefault="00BE7C89">
            <w:pPr>
              <w:pStyle w:val="BodyText"/>
              <w:spacing w:before="100" w:after="100"/>
              <w:jc w:val="center"/>
            </w:pPr>
            <w:r>
              <w:t>$160</w:t>
            </w:r>
          </w:p>
        </w:tc>
        <w:tc>
          <w:tcPr>
            <w:tcW w:w="1494" w:type="dxa"/>
            <w:shd w:val="clear" w:color="auto" w:fill="auto"/>
            <w:vAlign w:val="center"/>
          </w:tcPr>
          <w:p w14:paraId="6318B22B" w14:textId="77777777" w:rsidR="000D07EA" w:rsidRDefault="00BE7C89">
            <w:pPr>
              <w:pStyle w:val="BodyText"/>
              <w:spacing w:before="100" w:after="100"/>
              <w:jc w:val="center"/>
            </w:pPr>
            <w:r>
              <w:t>$212</w:t>
            </w:r>
          </w:p>
        </w:tc>
        <w:tc>
          <w:tcPr>
            <w:tcW w:w="1494" w:type="dxa"/>
            <w:shd w:val="clear" w:color="auto" w:fill="auto"/>
            <w:vAlign w:val="center"/>
          </w:tcPr>
          <w:p w14:paraId="4577FAB5" w14:textId="77777777" w:rsidR="000D07EA" w:rsidRDefault="00BE7C89">
            <w:pPr>
              <w:pStyle w:val="BodyText"/>
              <w:spacing w:before="100" w:after="100"/>
              <w:jc w:val="center"/>
            </w:pPr>
            <w:r>
              <w:t>$228</w:t>
            </w:r>
          </w:p>
        </w:tc>
      </w:tr>
    </w:tbl>
    <w:p w14:paraId="098758DF" w14:textId="77777777" w:rsidR="000D07EA" w:rsidRDefault="000D07EA">
      <w:pPr>
        <w:pStyle w:val="BodyText"/>
      </w:pPr>
    </w:p>
    <w:tbl>
      <w:tblPr>
        <w:tblW w:w="96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0"/>
        <w:gridCol w:w="1511"/>
        <w:gridCol w:w="1512"/>
        <w:gridCol w:w="1511"/>
        <w:gridCol w:w="1512"/>
        <w:gridCol w:w="1512"/>
      </w:tblGrid>
      <w:tr w:rsidR="000D07EA" w14:paraId="5DD726B2" w14:textId="77777777">
        <w:trPr>
          <w:trHeight w:val="20"/>
        </w:trPr>
        <w:tc>
          <w:tcPr>
            <w:tcW w:w="2090" w:type="dxa"/>
            <w:shd w:val="clear" w:color="auto" w:fill="auto"/>
            <w:vAlign w:val="center"/>
          </w:tcPr>
          <w:p w14:paraId="2869251A" w14:textId="77777777" w:rsidR="000D07EA" w:rsidRDefault="00BE7C89">
            <w:pPr>
              <w:pStyle w:val="BodyText"/>
              <w:spacing w:before="100" w:after="100"/>
              <w:rPr>
                <w:b/>
              </w:rPr>
            </w:pPr>
            <w:r>
              <w:rPr>
                <w:b/>
              </w:rPr>
              <w:t xml:space="preserve">When the </w:t>
            </w:r>
            <w:r>
              <w:rPr>
                <w:b/>
                <w:i/>
              </w:rPr>
              <w:t>service</w:t>
            </w:r>
            <w:r>
              <w:rPr>
                <w:b/>
              </w:rPr>
              <w:t xml:space="preserve"> is </w:t>
            </w:r>
            <w:r>
              <w:rPr>
                <w:b/>
                <w:i/>
              </w:rPr>
              <w:t>cancelled</w:t>
            </w:r>
          </w:p>
        </w:tc>
        <w:tc>
          <w:tcPr>
            <w:tcW w:w="7558" w:type="dxa"/>
            <w:gridSpan w:val="5"/>
            <w:shd w:val="clear" w:color="auto" w:fill="auto"/>
            <w:vAlign w:val="center"/>
          </w:tcPr>
          <w:p w14:paraId="64C111DD" w14:textId="77777777" w:rsidR="000D07EA" w:rsidRDefault="00BE7C89">
            <w:pPr>
              <w:pStyle w:val="BodyText"/>
              <w:spacing w:before="100" w:after="100"/>
              <w:jc w:val="center"/>
              <w:rPr>
                <w:b/>
                <w:i/>
              </w:rPr>
            </w:pPr>
            <w:r>
              <w:rPr>
                <w:b/>
                <w:i/>
              </w:rPr>
              <w:t>Cancellation Fee</w:t>
            </w:r>
          </w:p>
        </w:tc>
      </w:tr>
      <w:tr w:rsidR="000D07EA" w14:paraId="1F04897C" w14:textId="77777777">
        <w:trPr>
          <w:trHeight w:val="20"/>
        </w:trPr>
        <w:tc>
          <w:tcPr>
            <w:tcW w:w="2090" w:type="dxa"/>
            <w:shd w:val="clear" w:color="auto" w:fill="auto"/>
            <w:vAlign w:val="center"/>
          </w:tcPr>
          <w:p w14:paraId="21F46B95" w14:textId="77777777" w:rsidR="000D07EA" w:rsidRDefault="000D07EA">
            <w:pPr>
              <w:pStyle w:val="BodyText"/>
              <w:spacing w:before="100" w:after="100"/>
              <w:rPr>
                <w:b/>
              </w:rPr>
            </w:pPr>
          </w:p>
        </w:tc>
        <w:tc>
          <w:tcPr>
            <w:tcW w:w="7558" w:type="dxa"/>
            <w:gridSpan w:val="5"/>
            <w:shd w:val="clear" w:color="auto" w:fill="auto"/>
            <w:vAlign w:val="center"/>
          </w:tcPr>
          <w:p w14:paraId="38D002B4" w14:textId="77777777" w:rsidR="000D07EA" w:rsidRDefault="00BE7C89">
            <w:pPr>
              <w:pStyle w:val="BodyText"/>
              <w:spacing w:before="100" w:after="100"/>
              <w:jc w:val="center"/>
              <w:rPr>
                <w:b/>
              </w:rPr>
            </w:pPr>
            <w:r>
              <w:rPr>
                <w:b/>
              </w:rPr>
              <w:t>Business Complete Plans – 12 Month Contract</w:t>
            </w:r>
          </w:p>
        </w:tc>
      </w:tr>
      <w:tr w:rsidR="000D07EA" w14:paraId="34553217" w14:textId="77777777">
        <w:trPr>
          <w:trHeight w:val="20"/>
        </w:trPr>
        <w:tc>
          <w:tcPr>
            <w:tcW w:w="2090" w:type="dxa"/>
            <w:shd w:val="clear" w:color="auto" w:fill="auto"/>
            <w:vAlign w:val="center"/>
          </w:tcPr>
          <w:p w14:paraId="0C1B2893" w14:textId="77777777" w:rsidR="000D07EA" w:rsidRDefault="000D07EA">
            <w:pPr>
              <w:pStyle w:val="BodyText"/>
              <w:spacing w:before="100" w:after="100"/>
              <w:rPr>
                <w:b/>
              </w:rPr>
            </w:pPr>
          </w:p>
        </w:tc>
        <w:tc>
          <w:tcPr>
            <w:tcW w:w="1511" w:type="dxa"/>
            <w:shd w:val="clear" w:color="auto" w:fill="auto"/>
            <w:vAlign w:val="center"/>
          </w:tcPr>
          <w:p w14:paraId="08F050AB" w14:textId="77777777" w:rsidR="000D07EA" w:rsidRDefault="00BE7C89">
            <w:pPr>
              <w:pStyle w:val="BodyText"/>
              <w:spacing w:before="100" w:after="100"/>
              <w:jc w:val="center"/>
              <w:rPr>
                <w:b/>
              </w:rPr>
            </w:pPr>
            <w:r>
              <w:rPr>
                <w:b/>
              </w:rPr>
              <w:t>$30 Business Complete Plan (4G Sept 2012)</w:t>
            </w:r>
          </w:p>
        </w:tc>
        <w:tc>
          <w:tcPr>
            <w:tcW w:w="1512" w:type="dxa"/>
            <w:shd w:val="clear" w:color="auto" w:fill="auto"/>
            <w:vAlign w:val="center"/>
          </w:tcPr>
          <w:p w14:paraId="06536B9E" w14:textId="77777777" w:rsidR="000D07EA" w:rsidRDefault="00BE7C89">
            <w:pPr>
              <w:pStyle w:val="BodyText"/>
              <w:spacing w:before="100" w:after="100"/>
              <w:jc w:val="center"/>
              <w:rPr>
                <w:b/>
              </w:rPr>
            </w:pPr>
            <w:r>
              <w:rPr>
                <w:b/>
              </w:rPr>
              <w:t>$35 Business Complete Plan (4G Sept 2012)</w:t>
            </w:r>
          </w:p>
        </w:tc>
        <w:tc>
          <w:tcPr>
            <w:tcW w:w="1511" w:type="dxa"/>
            <w:shd w:val="clear" w:color="auto" w:fill="auto"/>
            <w:vAlign w:val="center"/>
          </w:tcPr>
          <w:p w14:paraId="4954486A" w14:textId="77777777" w:rsidR="000D07EA" w:rsidRDefault="00BE7C89">
            <w:pPr>
              <w:pStyle w:val="BodyText"/>
              <w:spacing w:before="100" w:after="100"/>
              <w:jc w:val="center"/>
              <w:rPr>
                <w:b/>
              </w:rPr>
            </w:pPr>
            <w:r>
              <w:rPr>
                <w:b/>
              </w:rPr>
              <w:t>$50 Business Complete Plan (4GSept 2012)</w:t>
            </w:r>
          </w:p>
        </w:tc>
        <w:tc>
          <w:tcPr>
            <w:tcW w:w="1512" w:type="dxa"/>
            <w:shd w:val="clear" w:color="auto" w:fill="auto"/>
            <w:vAlign w:val="center"/>
          </w:tcPr>
          <w:p w14:paraId="416AF74E" w14:textId="77777777" w:rsidR="000D07EA" w:rsidRDefault="00BE7C89">
            <w:pPr>
              <w:pStyle w:val="BodyText"/>
              <w:spacing w:before="100" w:after="100"/>
              <w:jc w:val="center"/>
              <w:rPr>
                <w:b/>
              </w:rPr>
            </w:pPr>
            <w:r>
              <w:rPr>
                <w:b/>
              </w:rPr>
              <w:t>$60 Business Complete Plan (4G Sept 2012)</w:t>
            </w:r>
          </w:p>
        </w:tc>
        <w:tc>
          <w:tcPr>
            <w:tcW w:w="1512" w:type="dxa"/>
            <w:shd w:val="clear" w:color="auto" w:fill="auto"/>
            <w:vAlign w:val="center"/>
          </w:tcPr>
          <w:p w14:paraId="3F9E3B49" w14:textId="77777777" w:rsidR="000D07EA" w:rsidRDefault="00BE7C89">
            <w:pPr>
              <w:pStyle w:val="BodyText"/>
              <w:spacing w:before="100" w:after="100"/>
              <w:jc w:val="center"/>
              <w:rPr>
                <w:b/>
              </w:rPr>
            </w:pPr>
            <w:r>
              <w:rPr>
                <w:b/>
              </w:rPr>
              <w:t>$80 Business Complete Plan (4G Sept 2012)</w:t>
            </w:r>
          </w:p>
        </w:tc>
      </w:tr>
      <w:tr w:rsidR="000D07EA" w14:paraId="6AB0C069" w14:textId="77777777">
        <w:trPr>
          <w:trHeight w:val="20"/>
        </w:trPr>
        <w:tc>
          <w:tcPr>
            <w:tcW w:w="2090" w:type="dxa"/>
            <w:shd w:val="clear" w:color="auto" w:fill="auto"/>
            <w:vAlign w:val="center"/>
          </w:tcPr>
          <w:p w14:paraId="436F7CA3" w14:textId="77777777" w:rsidR="000D07EA" w:rsidRDefault="00BE7C89">
            <w:pPr>
              <w:pStyle w:val="BodyText"/>
              <w:spacing w:before="100" w:after="100"/>
              <w:rPr>
                <w:b/>
              </w:rPr>
            </w:pPr>
            <w:r>
              <w:rPr>
                <w:b/>
              </w:rPr>
              <w:t xml:space="preserve">During the first 6 months – Initial </w:t>
            </w:r>
            <w:r>
              <w:rPr>
                <w:b/>
                <w:i/>
              </w:rPr>
              <w:t>cancellation</w:t>
            </w:r>
            <w:r>
              <w:rPr>
                <w:b/>
              </w:rPr>
              <w:t xml:space="preserve"> </w:t>
            </w:r>
            <w:r>
              <w:rPr>
                <w:b/>
                <w:i/>
              </w:rPr>
              <w:t>fee</w:t>
            </w:r>
          </w:p>
        </w:tc>
        <w:tc>
          <w:tcPr>
            <w:tcW w:w="1511" w:type="dxa"/>
            <w:shd w:val="clear" w:color="auto" w:fill="auto"/>
            <w:vAlign w:val="center"/>
          </w:tcPr>
          <w:p w14:paraId="270D62B7" w14:textId="77777777" w:rsidR="000D07EA" w:rsidRDefault="00BE7C89">
            <w:pPr>
              <w:pStyle w:val="BodyText"/>
              <w:spacing w:before="100" w:after="100"/>
              <w:jc w:val="center"/>
            </w:pPr>
            <w:r>
              <w:t>$350</w:t>
            </w:r>
          </w:p>
        </w:tc>
        <w:tc>
          <w:tcPr>
            <w:tcW w:w="1512" w:type="dxa"/>
            <w:shd w:val="clear" w:color="auto" w:fill="auto"/>
            <w:vAlign w:val="center"/>
          </w:tcPr>
          <w:p w14:paraId="4790D6BB" w14:textId="77777777" w:rsidR="000D07EA" w:rsidRDefault="00BE7C89">
            <w:pPr>
              <w:pStyle w:val="BodyText"/>
              <w:spacing w:before="100" w:after="100"/>
              <w:jc w:val="center"/>
            </w:pPr>
            <w:r>
              <w:t>$370</w:t>
            </w:r>
          </w:p>
        </w:tc>
        <w:tc>
          <w:tcPr>
            <w:tcW w:w="1511" w:type="dxa"/>
            <w:shd w:val="clear" w:color="auto" w:fill="auto"/>
            <w:vAlign w:val="center"/>
          </w:tcPr>
          <w:p w14:paraId="1A8A8C04" w14:textId="77777777" w:rsidR="000D07EA" w:rsidRDefault="00BE7C89">
            <w:pPr>
              <w:pStyle w:val="BodyText"/>
              <w:spacing w:before="100" w:after="100"/>
              <w:jc w:val="center"/>
            </w:pPr>
            <w:r>
              <w:t>$470</w:t>
            </w:r>
          </w:p>
        </w:tc>
        <w:tc>
          <w:tcPr>
            <w:tcW w:w="1512" w:type="dxa"/>
            <w:shd w:val="clear" w:color="auto" w:fill="auto"/>
            <w:vAlign w:val="center"/>
          </w:tcPr>
          <w:p w14:paraId="502A4540" w14:textId="77777777" w:rsidR="000D07EA" w:rsidRDefault="00BE7C89">
            <w:pPr>
              <w:pStyle w:val="BodyText"/>
              <w:spacing w:before="100" w:after="100"/>
              <w:jc w:val="center"/>
            </w:pPr>
            <w:r>
              <w:t>$610</w:t>
            </w:r>
          </w:p>
        </w:tc>
        <w:tc>
          <w:tcPr>
            <w:tcW w:w="1512" w:type="dxa"/>
            <w:shd w:val="clear" w:color="auto" w:fill="auto"/>
            <w:vAlign w:val="center"/>
          </w:tcPr>
          <w:p w14:paraId="00AF9340" w14:textId="77777777" w:rsidR="000D07EA" w:rsidRDefault="00BE7C89">
            <w:pPr>
              <w:pStyle w:val="BodyText"/>
              <w:spacing w:before="100" w:after="100"/>
              <w:jc w:val="center"/>
            </w:pPr>
            <w:r>
              <w:t>$640</w:t>
            </w:r>
          </w:p>
        </w:tc>
      </w:tr>
      <w:tr w:rsidR="000D07EA" w14:paraId="05658948" w14:textId="77777777">
        <w:trPr>
          <w:trHeight w:val="20"/>
        </w:trPr>
        <w:tc>
          <w:tcPr>
            <w:tcW w:w="2090" w:type="dxa"/>
            <w:shd w:val="clear" w:color="auto" w:fill="auto"/>
            <w:vAlign w:val="center"/>
          </w:tcPr>
          <w:p w14:paraId="19D264E6" w14:textId="77777777" w:rsidR="000D07EA" w:rsidRDefault="00BE7C89">
            <w:pPr>
              <w:pStyle w:val="BodyText"/>
              <w:spacing w:before="100" w:after="100"/>
              <w:rPr>
                <w:b/>
              </w:rPr>
            </w:pPr>
            <w:r>
              <w:rPr>
                <w:b/>
              </w:rPr>
              <w:lastRenderedPageBreak/>
              <w:t xml:space="preserve">Months 7 - 9 (70% of Initial </w:t>
            </w:r>
            <w:r>
              <w:rPr>
                <w:b/>
                <w:i/>
              </w:rPr>
              <w:t>cancellation</w:t>
            </w:r>
            <w:r>
              <w:rPr>
                <w:b/>
              </w:rPr>
              <w:t xml:space="preserve"> </w:t>
            </w:r>
            <w:r>
              <w:rPr>
                <w:b/>
                <w:i/>
              </w:rPr>
              <w:t>fee</w:t>
            </w:r>
            <w:r>
              <w:rPr>
                <w:b/>
              </w:rPr>
              <w:t>)</w:t>
            </w:r>
          </w:p>
        </w:tc>
        <w:tc>
          <w:tcPr>
            <w:tcW w:w="1511" w:type="dxa"/>
            <w:shd w:val="clear" w:color="auto" w:fill="auto"/>
            <w:vAlign w:val="center"/>
          </w:tcPr>
          <w:p w14:paraId="377587F3" w14:textId="77777777" w:rsidR="000D07EA" w:rsidRDefault="00BE7C89">
            <w:pPr>
              <w:pStyle w:val="BodyText"/>
              <w:spacing w:before="100" w:after="100"/>
              <w:jc w:val="center"/>
            </w:pPr>
            <w:r>
              <w:t>$245</w:t>
            </w:r>
          </w:p>
        </w:tc>
        <w:tc>
          <w:tcPr>
            <w:tcW w:w="1512" w:type="dxa"/>
            <w:shd w:val="clear" w:color="auto" w:fill="auto"/>
            <w:vAlign w:val="center"/>
          </w:tcPr>
          <w:p w14:paraId="32ED3830" w14:textId="77777777" w:rsidR="000D07EA" w:rsidRDefault="00BE7C89">
            <w:pPr>
              <w:pStyle w:val="BodyText"/>
              <w:spacing w:before="100" w:after="100"/>
              <w:jc w:val="center"/>
            </w:pPr>
            <w:r>
              <w:t>$259</w:t>
            </w:r>
          </w:p>
        </w:tc>
        <w:tc>
          <w:tcPr>
            <w:tcW w:w="1511" w:type="dxa"/>
            <w:shd w:val="clear" w:color="auto" w:fill="auto"/>
            <w:vAlign w:val="center"/>
          </w:tcPr>
          <w:p w14:paraId="51916B25" w14:textId="77777777" w:rsidR="000D07EA" w:rsidRDefault="00BE7C89">
            <w:pPr>
              <w:pStyle w:val="BodyText"/>
              <w:spacing w:before="100" w:after="100"/>
              <w:jc w:val="center"/>
            </w:pPr>
            <w:r>
              <w:t>$329</w:t>
            </w:r>
          </w:p>
        </w:tc>
        <w:tc>
          <w:tcPr>
            <w:tcW w:w="1512" w:type="dxa"/>
            <w:shd w:val="clear" w:color="auto" w:fill="auto"/>
            <w:vAlign w:val="center"/>
          </w:tcPr>
          <w:p w14:paraId="52C83EE3" w14:textId="77777777" w:rsidR="000D07EA" w:rsidRDefault="00BE7C89">
            <w:pPr>
              <w:pStyle w:val="BodyText"/>
              <w:spacing w:before="100" w:after="100"/>
              <w:jc w:val="center"/>
            </w:pPr>
            <w:r>
              <w:t>$427</w:t>
            </w:r>
          </w:p>
        </w:tc>
        <w:tc>
          <w:tcPr>
            <w:tcW w:w="1512" w:type="dxa"/>
            <w:shd w:val="clear" w:color="auto" w:fill="auto"/>
            <w:vAlign w:val="center"/>
          </w:tcPr>
          <w:p w14:paraId="67215923" w14:textId="77777777" w:rsidR="000D07EA" w:rsidRDefault="00BE7C89">
            <w:pPr>
              <w:pStyle w:val="BodyText"/>
              <w:spacing w:before="100" w:after="100"/>
              <w:jc w:val="center"/>
            </w:pPr>
            <w:r>
              <w:t>$448</w:t>
            </w:r>
          </w:p>
        </w:tc>
      </w:tr>
      <w:tr w:rsidR="000D07EA" w14:paraId="19B8E99B" w14:textId="77777777">
        <w:trPr>
          <w:trHeight w:val="20"/>
        </w:trPr>
        <w:tc>
          <w:tcPr>
            <w:tcW w:w="2090" w:type="dxa"/>
            <w:shd w:val="clear" w:color="auto" w:fill="auto"/>
            <w:vAlign w:val="center"/>
          </w:tcPr>
          <w:p w14:paraId="23504269" w14:textId="77777777" w:rsidR="000D07EA" w:rsidRDefault="00BE7C89">
            <w:pPr>
              <w:pStyle w:val="BodyText"/>
              <w:spacing w:before="100" w:after="100"/>
              <w:rPr>
                <w:b/>
              </w:rPr>
            </w:pPr>
            <w:r>
              <w:rPr>
                <w:b/>
              </w:rPr>
              <w:t xml:space="preserve">Months 10 – 12 (40% of the Initial </w:t>
            </w:r>
            <w:r>
              <w:rPr>
                <w:b/>
                <w:i/>
              </w:rPr>
              <w:t>cancellation</w:t>
            </w:r>
            <w:r>
              <w:rPr>
                <w:b/>
              </w:rPr>
              <w:t xml:space="preserve"> </w:t>
            </w:r>
            <w:r>
              <w:rPr>
                <w:b/>
                <w:i/>
              </w:rPr>
              <w:t>fee</w:t>
            </w:r>
            <w:r>
              <w:rPr>
                <w:b/>
              </w:rPr>
              <w:t>)</w:t>
            </w:r>
          </w:p>
        </w:tc>
        <w:tc>
          <w:tcPr>
            <w:tcW w:w="1511" w:type="dxa"/>
            <w:shd w:val="clear" w:color="auto" w:fill="auto"/>
            <w:vAlign w:val="center"/>
          </w:tcPr>
          <w:p w14:paraId="591072E9" w14:textId="77777777" w:rsidR="000D07EA" w:rsidRDefault="00BE7C89">
            <w:pPr>
              <w:pStyle w:val="BodyText"/>
              <w:spacing w:before="100" w:after="100"/>
              <w:jc w:val="center"/>
            </w:pPr>
            <w:r>
              <w:t>$140</w:t>
            </w:r>
          </w:p>
        </w:tc>
        <w:tc>
          <w:tcPr>
            <w:tcW w:w="1512" w:type="dxa"/>
            <w:shd w:val="clear" w:color="auto" w:fill="auto"/>
            <w:vAlign w:val="center"/>
          </w:tcPr>
          <w:p w14:paraId="67153A65" w14:textId="77777777" w:rsidR="000D07EA" w:rsidRDefault="00BE7C89">
            <w:pPr>
              <w:pStyle w:val="BodyText"/>
              <w:spacing w:before="100" w:after="100"/>
              <w:jc w:val="center"/>
            </w:pPr>
            <w:r>
              <w:t>$148</w:t>
            </w:r>
          </w:p>
        </w:tc>
        <w:tc>
          <w:tcPr>
            <w:tcW w:w="1511" w:type="dxa"/>
            <w:shd w:val="clear" w:color="auto" w:fill="auto"/>
            <w:vAlign w:val="center"/>
          </w:tcPr>
          <w:p w14:paraId="346E2828" w14:textId="77777777" w:rsidR="000D07EA" w:rsidRDefault="00BE7C89">
            <w:pPr>
              <w:pStyle w:val="BodyText"/>
              <w:spacing w:before="100" w:after="100"/>
              <w:jc w:val="center"/>
            </w:pPr>
            <w:r>
              <w:t>$188</w:t>
            </w:r>
          </w:p>
        </w:tc>
        <w:tc>
          <w:tcPr>
            <w:tcW w:w="1512" w:type="dxa"/>
            <w:shd w:val="clear" w:color="auto" w:fill="auto"/>
            <w:vAlign w:val="center"/>
          </w:tcPr>
          <w:p w14:paraId="01075CDA" w14:textId="77777777" w:rsidR="000D07EA" w:rsidRDefault="00BE7C89">
            <w:pPr>
              <w:pStyle w:val="BodyText"/>
              <w:spacing w:before="100" w:after="100"/>
              <w:jc w:val="center"/>
            </w:pPr>
            <w:r>
              <w:t>$244</w:t>
            </w:r>
          </w:p>
        </w:tc>
        <w:tc>
          <w:tcPr>
            <w:tcW w:w="1512" w:type="dxa"/>
            <w:shd w:val="clear" w:color="auto" w:fill="auto"/>
            <w:vAlign w:val="center"/>
          </w:tcPr>
          <w:p w14:paraId="1281D444" w14:textId="77777777" w:rsidR="000D07EA" w:rsidRDefault="00BE7C89">
            <w:pPr>
              <w:pStyle w:val="BodyText"/>
              <w:spacing w:before="100" w:after="100"/>
              <w:jc w:val="center"/>
            </w:pPr>
            <w:r>
              <w:t>$256</w:t>
            </w:r>
          </w:p>
        </w:tc>
      </w:tr>
    </w:tbl>
    <w:p w14:paraId="65E6A76D" w14:textId="77777777" w:rsidR="000D07EA" w:rsidRDefault="000D07EA">
      <w:pPr>
        <w:pStyle w:val="BodyText"/>
      </w:pPr>
    </w:p>
    <w:p w14:paraId="5CB1E710" w14:textId="77777777" w:rsidR="000D07EA" w:rsidRDefault="00BE7C89">
      <w:pPr>
        <w:pStyle w:val="Heading4"/>
      </w:pPr>
      <w:bookmarkStart w:id="631" w:name="_Toc314124697"/>
      <w:bookmarkStart w:id="632" w:name="_Toc397941242"/>
      <w:bookmarkStart w:id="633" w:name="_Toc455147621"/>
      <w:bookmarkStart w:id="634" w:name="_Toc62644643"/>
      <w:r>
        <w:t>Business Timeless Plans (4G Sept 2012), Business Timeless (incorporating $89 Business Timeless plan, $99 Business Timeless plan and $129 Business Timeless Plan) (small business plans), effective from 04 September 2012.</w:t>
      </w:r>
      <w:bookmarkEnd w:id="631"/>
      <w:bookmarkEnd w:id="632"/>
      <w:bookmarkEnd w:id="633"/>
      <w:bookmarkEnd w:id="634"/>
      <w:r>
        <w:t xml:space="preserve"> </w:t>
      </w:r>
    </w:p>
    <w:p w14:paraId="2FFA2688" w14:textId="77777777" w:rsidR="000D07EA" w:rsidRDefault="00BE7C89">
      <w:pPr>
        <w:pStyle w:val="Heading6"/>
        <w:ind w:left="0" w:firstLine="0"/>
      </w:pPr>
      <w:bookmarkStart w:id="635" w:name="_Toc314124698"/>
      <w:bookmarkStart w:id="636" w:name="_Toc397941243"/>
      <w:r>
        <w:t>Eligibility</w:t>
      </w:r>
      <w:bookmarkEnd w:id="635"/>
      <w:bookmarkEnd w:id="636"/>
    </w:p>
    <w:p w14:paraId="2AA50174" w14:textId="77777777" w:rsidR="000D07EA" w:rsidRDefault="00BE7C89">
      <w:pPr>
        <w:pStyle w:val="BodyText"/>
        <w:ind w:left="720"/>
      </w:pPr>
      <w:r>
        <w:t xml:space="preserve">Business Timeless Plans are only available to approved new and existing mobile customers connecting to the </w:t>
      </w:r>
      <w:r>
        <w:rPr>
          <w:i/>
        </w:rPr>
        <w:t xml:space="preserve">service </w:t>
      </w:r>
      <w:r>
        <w:t>on the following terms:</w:t>
      </w:r>
    </w:p>
    <w:p w14:paraId="17359503" w14:textId="77777777" w:rsidR="000D07EA" w:rsidRDefault="00BE7C89">
      <w:pPr>
        <w:pStyle w:val="Heading7"/>
      </w:pPr>
      <w:r>
        <w:rPr>
          <w:snapToGrid w:val="0"/>
        </w:rPr>
        <w:t xml:space="preserve">In order to be and remain eligible for the Business Timeless Offers, </w:t>
      </w:r>
      <w:r>
        <w:rPr>
          <w:i/>
          <w:snapToGrid w:val="0"/>
        </w:rPr>
        <w:t xml:space="preserve">you </w:t>
      </w:r>
      <w:r>
        <w:rPr>
          <w:snapToGrid w:val="0"/>
        </w:rPr>
        <w:t xml:space="preserve">must: </w:t>
      </w:r>
    </w:p>
    <w:p w14:paraId="7DA24DB5" w14:textId="77777777" w:rsidR="000D07EA" w:rsidRDefault="00BE7C89">
      <w:pPr>
        <w:pStyle w:val="Heading8"/>
      </w:pPr>
      <w:r>
        <w:t>connect all relevant</w:t>
      </w:r>
      <w:r>
        <w:rPr>
          <w:i/>
        </w:rPr>
        <w:t xml:space="preserve"> services</w:t>
      </w:r>
      <w:r>
        <w:t xml:space="preserve"> in the same account holder name and service address, and ABN/ACN/ARBN;</w:t>
      </w:r>
    </w:p>
    <w:p w14:paraId="568C0CBE" w14:textId="77777777" w:rsidR="000D07EA" w:rsidRDefault="00BE7C89">
      <w:pPr>
        <w:pStyle w:val="Heading8"/>
      </w:pPr>
      <w:r>
        <w:t xml:space="preserve">meet all of the criteria for the particular </w:t>
      </w:r>
      <w:r>
        <w:rPr>
          <w:i/>
        </w:rPr>
        <w:t>services</w:t>
      </w:r>
      <w:r>
        <w:t xml:space="preserve"> as set out in each of the relevant </w:t>
      </w:r>
      <w:r>
        <w:rPr>
          <w:i/>
        </w:rPr>
        <w:t>service descriptions</w:t>
      </w:r>
      <w:r>
        <w:t>; and</w:t>
      </w:r>
    </w:p>
    <w:p w14:paraId="55D1B5C1" w14:textId="77777777" w:rsidR="000D07EA" w:rsidRDefault="00BE7C89">
      <w:pPr>
        <w:pStyle w:val="Heading8"/>
      </w:pPr>
      <w:r>
        <w:t xml:space="preserve">be billed for all </w:t>
      </w:r>
      <w:r>
        <w:rPr>
          <w:i/>
        </w:rPr>
        <w:t>services</w:t>
      </w:r>
      <w:r>
        <w:t xml:space="preserve"> on a single monthly bill.</w:t>
      </w:r>
    </w:p>
    <w:p w14:paraId="69369A0F" w14:textId="77777777" w:rsidR="000D07EA" w:rsidRDefault="00BE7C89">
      <w:pPr>
        <w:pStyle w:val="Heading7"/>
        <w:rPr>
          <w:snapToGrid w:val="0"/>
        </w:rPr>
      </w:pPr>
      <w:r>
        <w:rPr>
          <w:snapToGrid w:val="0"/>
        </w:rPr>
        <w:t xml:space="preserve">If </w:t>
      </w:r>
      <w:r>
        <w:rPr>
          <w:i/>
          <w:snapToGrid w:val="0"/>
        </w:rPr>
        <w:t xml:space="preserve">you </w:t>
      </w:r>
      <w:r>
        <w:rPr>
          <w:snapToGrid w:val="0"/>
        </w:rPr>
        <w:t xml:space="preserve">already have a </w:t>
      </w:r>
      <w:r>
        <w:rPr>
          <w:i/>
          <w:snapToGrid w:val="0"/>
        </w:rPr>
        <w:t>non-fixed length</w:t>
      </w:r>
      <w:r>
        <w:rPr>
          <w:snapToGrid w:val="0"/>
        </w:rPr>
        <w:t xml:space="preserve"> or </w:t>
      </w:r>
      <w:r>
        <w:rPr>
          <w:i/>
          <w:snapToGrid w:val="0"/>
        </w:rPr>
        <w:t>fixed length agreement</w:t>
      </w:r>
      <w:r>
        <w:rPr>
          <w:snapToGrid w:val="0"/>
        </w:rPr>
        <w:t xml:space="preserve"> with </w:t>
      </w:r>
      <w:r>
        <w:rPr>
          <w:i/>
          <w:snapToGrid w:val="0"/>
        </w:rPr>
        <w:t>us</w:t>
      </w:r>
      <w:r>
        <w:rPr>
          <w:snapToGrid w:val="0"/>
        </w:rPr>
        <w:t xml:space="preserve"> for any of </w:t>
      </w:r>
      <w:r>
        <w:rPr>
          <w:i/>
          <w:snapToGrid w:val="0"/>
        </w:rPr>
        <w:t>your</w:t>
      </w:r>
      <w:r>
        <w:rPr>
          <w:snapToGrid w:val="0"/>
        </w:rPr>
        <w:t xml:space="preserve"> </w:t>
      </w:r>
      <w:r>
        <w:rPr>
          <w:i/>
          <w:snapToGrid w:val="0"/>
        </w:rPr>
        <w:t>Optus Mobile service(s)</w:t>
      </w:r>
      <w:r>
        <w:rPr>
          <w:snapToGrid w:val="0"/>
        </w:rPr>
        <w:t xml:space="preserve"> and </w:t>
      </w:r>
      <w:r>
        <w:rPr>
          <w:i/>
          <w:snapToGrid w:val="0"/>
        </w:rPr>
        <w:t>you</w:t>
      </w:r>
      <w:r>
        <w:rPr>
          <w:snapToGrid w:val="0"/>
        </w:rPr>
        <w:t xml:space="preserve"> choose to connect a new service to </w:t>
      </w:r>
      <w:r>
        <w:rPr>
          <w:i/>
          <w:snapToGrid w:val="0"/>
        </w:rPr>
        <w:t>our</w:t>
      </w:r>
      <w:r>
        <w:rPr>
          <w:snapToGrid w:val="0"/>
        </w:rPr>
        <w:t xml:space="preserve"> Business Timeless offer, </w:t>
      </w:r>
      <w:r>
        <w:rPr>
          <w:i/>
          <w:snapToGrid w:val="0"/>
        </w:rPr>
        <w:t>we</w:t>
      </w:r>
      <w:r>
        <w:rPr>
          <w:snapToGrid w:val="0"/>
        </w:rPr>
        <w:t xml:space="preserve"> may agree (at </w:t>
      </w:r>
      <w:r>
        <w:rPr>
          <w:i/>
          <w:snapToGrid w:val="0"/>
        </w:rPr>
        <w:t>our</w:t>
      </w:r>
      <w:r>
        <w:rPr>
          <w:snapToGrid w:val="0"/>
        </w:rPr>
        <w:t xml:space="preserve"> discretion) to transfer</w:t>
      </w:r>
      <w:r>
        <w:rPr>
          <w:i/>
          <w:snapToGrid w:val="0"/>
        </w:rPr>
        <w:t xml:space="preserve"> your </w:t>
      </w:r>
      <w:r>
        <w:rPr>
          <w:snapToGrid w:val="0"/>
        </w:rPr>
        <w:t xml:space="preserve">existing </w:t>
      </w:r>
      <w:r>
        <w:rPr>
          <w:i/>
          <w:snapToGrid w:val="0"/>
        </w:rPr>
        <w:t>service(s)</w:t>
      </w:r>
      <w:r>
        <w:rPr>
          <w:snapToGrid w:val="0"/>
        </w:rPr>
        <w:t xml:space="preserve"> to the Business Timeless offer, in which case </w:t>
      </w:r>
      <w:r>
        <w:rPr>
          <w:i/>
          <w:snapToGrid w:val="0"/>
        </w:rPr>
        <w:t xml:space="preserve">your </w:t>
      </w:r>
      <w:r>
        <w:rPr>
          <w:snapToGrid w:val="0"/>
        </w:rPr>
        <w:t xml:space="preserve">existing </w:t>
      </w:r>
      <w:r>
        <w:rPr>
          <w:i/>
          <w:snapToGrid w:val="0"/>
        </w:rPr>
        <w:t xml:space="preserve">service(s) </w:t>
      </w:r>
      <w:r>
        <w:rPr>
          <w:snapToGrid w:val="0"/>
        </w:rPr>
        <w:t>will be contracted on a:</w:t>
      </w:r>
    </w:p>
    <w:p w14:paraId="6EC10F55" w14:textId="77777777" w:rsidR="000D07EA" w:rsidRDefault="00BE7C89">
      <w:pPr>
        <w:pStyle w:val="Heading8"/>
      </w:pPr>
      <w:r>
        <w:rPr>
          <w:snapToGrid w:val="0"/>
        </w:rPr>
        <w:t xml:space="preserve">month to month basis for your non-fixed length agreement; or </w:t>
      </w:r>
    </w:p>
    <w:p w14:paraId="7F762091" w14:textId="77777777" w:rsidR="000D07EA" w:rsidRDefault="00BE7C89">
      <w:pPr>
        <w:pStyle w:val="Heading8"/>
      </w:pPr>
      <w:r>
        <w:rPr>
          <w:snapToGrid w:val="0"/>
        </w:rPr>
        <w:t>12 or 24 month minimum term fixed length agreement for your existing service(s)</w:t>
      </w:r>
    </w:p>
    <w:p w14:paraId="71CC6212" w14:textId="77777777" w:rsidR="000D07EA" w:rsidRDefault="00BE7C89">
      <w:pPr>
        <w:pStyle w:val="BodyText"/>
        <w:ind w:left="1440"/>
      </w:pPr>
      <w:r>
        <w:rPr>
          <w:i/>
          <w:snapToGrid w:val="0"/>
        </w:rPr>
        <w:t>on</w:t>
      </w:r>
      <w:r>
        <w:rPr>
          <w:snapToGrid w:val="0"/>
        </w:rPr>
        <w:t xml:space="preserve"> the new </w:t>
      </w:r>
      <w:r>
        <w:rPr>
          <w:i/>
          <w:snapToGrid w:val="0"/>
        </w:rPr>
        <w:t>Business Timeless offer</w:t>
      </w:r>
      <w:r>
        <w:rPr>
          <w:snapToGrid w:val="0"/>
        </w:rPr>
        <w:t xml:space="preserve">. </w:t>
      </w:r>
    </w:p>
    <w:p w14:paraId="48DB2F12" w14:textId="77777777" w:rsidR="000D07EA" w:rsidRDefault="00BE7C89">
      <w:pPr>
        <w:pStyle w:val="Heading8"/>
      </w:pPr>
      <w:r>
        <w:rPr>
          <w:snapToGrid w:val="0"/>
        </w:rPr>
        <w:t xml:space="preserve">If you are an existing customer you may only transfer to the Business Timeless plans with </w:t>
      </w:r>
      <w:r>
        <w:rPr>
          <w:i/>
          <w:snapToGrid w:val="0"/>
        </w:rPr>
        <w:t xml:space="preserve">our </w:t>
      </w:r>
      <w:r>
        <w:rPr>
          <w:snapToGrid w:val="0"/>
        </w:rPr>
        <w:t>approval.</w:t>
      </w:r>
    </w:p>
    <w:p w14:paraId="1BA999FC" w14:textId="77777777" w:rsidR="000D07EA" w:rsidRDefault="00BE7C89">
      <w:pPr>
        <w:pStyle w:val="Heading8"/>
      </w:pPr>
      <w:r>
        <w:rPr>
          <w:i/>
        </w:rPr>
        <w:t>You</w:t>
      </w:r>
      <w:r>
        <w:t xml:space="preserve"> must pass the Optus credit assessment and be accepted by </w:t>
      </w:r>
      <w:r>
        <w:rPr>
          <w:i/>
        </w:rPr>
        <w:t>us</w:t>
      </w:r>
      <w:r>
        <w:t>; and</w:t>
      </w:r>
    </w:p>
    <w:p w14:paraId="54852738" w14:textId="77777777" w:rsidR="000D07EA" w:rsidRDefault="00BE7C89">
      <w:pPr>
        <w:pStyle w:val="Heading8"/>
      </w:pPr>
      <w:r>
        <w:t>Optus Service Providers' customers are not eligible to apply</w:t>
      </w:r>
      <w:r>
        <w:rPr>
          <w:snapToGrid w:val="0"/>
        </w:rPr>
        <w:t>.</w:t>
      </w:r>
    </w:p>
    <w:p w14:paraId="133E84E9" w14:textId="77777777" w:rsidR="000D07EA" w:rsidRDefault="00BE7C89">
      <w:pPr>
        <w:pStyle w:val="Heading6"/>
        <w:ind w:left="0" w:firstLine="0"/>
        <w:rPr>
          <w:i/>
        </w:rPr>
      </w:pPr>
      <w:bookmarkStart w:id="637" w:name="_Toc314124699"/>
      <w:bookmarkStart w:id="638" w:name="_Toc397941244"/>
      <w:r>
        <w:rPr>
          <w:i/>
        </w:rPr>
        <w:t>Minimum Term</w:t>
      </w:r>
      <w:bookmarkEnd w:id="637"/>
      <w:bookmarkEnd w:id="638"/>
    </w:p>
    <w:p w14:paraId="607D91E5" w14:textId="77777777" w:rsidR="000D07EA" w:rsidRDefault="00BE7C89">
      <w:pPr>
        <w:pStyle w:val="Heading7"/>
      </w:pPr>
      <w:r>
        <w:rPr>
          <w:i/>
        </w:rPr>
        <w:t xml:space="preserve">You </w:t>
      </w:r>
      <w:r>
        <w:t xml:space="preserve">must agree to either a </w:t>
      </w:r>
      <w:r>
        <w:rPr>
          <w:i/>
        </w:rPr>
        <w:t>non-fixed length agreement</w:t>
      </w:r>
      <w:r>
        <w:t xml:space="preserve"> or a </w:t>
      </w:r>
      <w:r>
        <w:rPr>
          <w:i/>
        </w:rPr>
        <w:t>fixed length agreement</w:t>
      </w:r>
      <w:r>
        <w:t xml:space="preserve"> with a 12 month or 24 month </w:t>
      </w:r>
      <w:r>
        <w:rPr>
          <w:i/>
        </w:rPr>
        <w:t>minimum term</w:t>
      </w:r>
      <w:r>
        <w:t xml:space="preserve">. </w:t>
      </w:r>
    </w:p>
    <w:p w14:paraId="4C52E152" w14:textId="77777777" w:rsidR="000D07EA" w:rsidRDefault="00BE7C89">
      <w:pPr>
        <w:pStyle w:val="Heading7"/>
      </w:pPr>
      <w:r>
        <w:rPr>
          <w:i/>
        </w:rPr>
        <w:t>You</w:t>
      </w:r>
      <w:r>
        <w:t xml:space="preserve"> may purchase a </w:t>
      </w:r>
      <w:r>
        <w:rPr>
          <w:i/>
        </w:rPr>
        <w:t>mobile phone</w:t>
      </w:r>
      <w:r>
        <w:t xml:space="preserve"> upfront or with a 12 or 24 month </w:t>
      </w:r>
      <w:r>
        <w:rPr>
          <w:i/>
        </w:rPr>
        <w:t>equipment term</w:t>
      </w:r>
      <w:r>
        <w:t xml:space="preserve"> under a </w:t>
      </w:r>
      <w:r>
        <w:rPr>
          <w:i/>
        </w:rPr>
        <w:t>mobile equipment payment plan</w:t>
      </w:r>
      <w:r>
        <w:t xml:space="preserve"> on a 12 or 24 month </w:t>
      </w:r>
      <w:r>
        <w:rPr>
          <w:i/>
        </w:rPr>
        <w:t>fixed length agreement</w:t>
      </w:r>
      <w:r>
        <w:t xml:space="preserve">. </w:t>
      </w:r>
    </w:p>
    <w:p w14:paraId="229AEC8B" w14:textId="77777777" w:rsidR="000D07EA" w:rsidRDefault="00BE7C89">
      <w:pPr>
        <w:pStyle w:val="Heading6"/>
        <w:ind w:left="0" w:firstLine="0"/>
        <w:rPr>
          <w:i/>
        </w:rPr>
      </w:pPr>
      <w:bookmarkStart w:id="639" w:name="_Toc314124700"/>
      <w:bookmarkStart w:id="640" w:name="_Toc397941245"/>
      <w:r>
        <w:t xml:space="preserve">What </w:t>
      </w:r>
      <w:r>
        <w:rPr>
          <w:i/>
        </w:rPr>
        <w:t xml:space="preserve">you </w:t>
      </w:r>
      <w:r>
        <w:t xml:space="preserve">have to pay </w:t>
      </w:r>
      <w:r>
        <w:rPr>
          <w:i/>
        </w:rPr>
        <w:t>us</w:t>
      </w:r>
      <w:bookmarkEnd w:id="639"/>
      <w:bookmarkEnd w:id="640"/>
    </w:p>
    <w:p w14:paraId="2C715D99" w14:textId="77777777" w:rsidR="000D07EA" w:rsidRDefault="00BE7C89">
      <w:pPr>
        <w:pStyle w:val="Heading7"/>
      </w:pPr>
      <w:r>
        <w:t xml:space="preserve">Subject to paragraphs </w:t>
      </w:r>
      <w:r>
        <w:fldChar w:fldCharType="begin"/>
      </w:r>
      <w:r>
        <w:instrText xml:space="preserve"> REF _Ref461552847 \n \h </w:instrText>
      </w:r>
      <w:r>
        <w:fldChar w:fldCharType="separate"/>
      </w:r>
      <w:r w:rsidR="0004083A">
        <w:t>(c)</w:t>
      </w:r>
      <w:r>
        <w:fldChar w:fldCharType="end"/>
      </w:r>
      <w:r>
        <w:t xml:space="preserve">, </w:t>
      </w:r>
      <w:r>
        <w:fldChar w:fldCharType="begin"/>
      </w:r>
      <w:r>
        <w:instrText xml:space="preserve"> REF _Ref461552855 \n \h </w:instrText>
      </w:r>
      <w:r>
        <w:fldChar w:fldCharType="separate"/>
      </w:r>
      <w:r w:rsidR="0004083A">
        <w:t>(d)</w:t>
      </w:r>
      <w:r>
        <w:fldChar w:fldCharType="end"/>
      </w:r>
      <w:r>
        <w:t xml:space="preserve">, </w:t>
      </w:r>
      <w:r>
        <w:fldChar w:fldCharType="begin"/>
      </w:r>
      <w:r>
        <w:instrText xml:space="preserve"> REF _Ref461552863 \n \h </w:instrText>
      </w:r>
      <w:r>
        <w:fldChar w:fldCharType="separate"/>
      </w:r>
      <w:r w:rsidR="0004083A">
        <w:t>(e)</w:t>
      </w:r>
      <w:r>
        <w:fldChar w:fldCharType="end"/>
      </w:r>
      <w:r>
        <w:t xml:space="preserve">, </w:t>
      </w:r>
      <w:r>
        <w:fldChar w:fldCharType="begin"/>
      </w:r>
      <w:r>
        <w:instrText xml:space="preserve"> REF _Ref461552872 \n \h </w:instrText>
      </w:r>
      <w:r>
        <w:fldChar w:fldCharType="separate"/>
      </w:r>
      <w:r w:rsidR="0004083A">
        <w:t>(f)</w:t>
      </w:r>
      <w:r>
        <w:fldChar w:fldCharType="end"/>
      </w:r>
      <w:r>
        <w:t xml:space="preserve">, and </w:t>
      </w:r>
      <w:r>
        <w:fldChar w:fldCharType="begin"/>
      </w:r>
      <w:r>
        <w:instrText xml:space="preserve"> REF _Ref461552880 \n \h </w:instrText>
      </w:r>
      <w:r>
        <w:fldChar w:fldCharType="separate"/>
      </w:r>
      <w:r w:rsidR="0004083A">
        <w:t>(g)</w:t>
      </w:r>
      <w:r>
        <w:fldChar w:fldCharType="end"/>
      </w:r>
      <w:r>
        <w:t xml:space="preserve"> below </w:t>
      </w:r>
      <w:r>
        <w:rPr>
          <w:i/>
        </w:rPr>
        <w:t xml:space="preserve">you </w:t>
      </w:r>
      <w:r>
        <w:t xml:space="preserve">must pay </w:t>
      </w:r>
      <w:r>
        <w:rPr>
          <w:i/>
        </w:rPr>
        <w:t xml:space="preserve">us </w:t>
      </w:r>
      <w:r>
        <w:t xml:space="preserve">for use of the </w:t>
      </w:r>
      <w:r>
        <w:rPr>
          <w:i/>
        </w:rPr>
        <w:t xml:space="preserve">service </w:t>
      </w:r>
      <w:r>
        <w:t xml:space="preserve">at the rates set out in </w:t>
      </w:r>
      <w:hyperlink r:id="rId452" w:history="1">
        <w:r>
          <w:rPr>
            <w:rStyle w:val="Hyperlink"/>
          </w:rPr>
          <w:t>Section 1</w:t>
        </w:r>
      </w:hyperlink>
      <w:r>
        <w:t xml:space="preserve"> of this </w:t>
      </w:r>
      <w:r>
        <w:rPr>
          <w:i/>
        </w:rPr>
        <w:t xml:space="preserve">standard pricing table </w:t>
      </w:r>
      <w:r>
        <w:t xml:space="preserve">and for </w:t>
      </w:r>
      <w:r>
        <w:rPr>
          <w:i/>
        </w:rPr>
        <w:t xml:space="preserve">value added service features </w:t>
      </w:r>
      <w:r>
        <w:t xml:space="preserve">at the rates set out in </w:t>
      </w:r>
      <w:hyperlink r:id="rId453" w:history="1">
        <w:r>
          <w:rPr>
            <w:rStyle w:val="Hyperlink"/>
            <w:i/>
          </w:rPr>
          <w:t>Appendix Y</w:t>
        </w:r>
      </w:hyperlink>
      <w:r>
        <w:rPr>
          <w:i/>
        </w:rPr>
        <w:t xml:space="preserve"> Value Added Service Features.</w:t>
      </w:r>
      <w:r>
        <w:t xml:space="preserve"> </w:t>
      </w:r>
    </w:p>
    <w:p w14:paraId="14208CE7" w14:textId="77777777" w:rsidR="000D07EA" w:rsidRDefault="00BE7C89">
      <w:pPr>
        <w:pStyle w:val="Heading7"/>
      </w:pPr>
      <w:r>
        <w:lastRenderedPageBreak/>
        <w:t xml:space="preserve">If there is a </w:t>
      </w:r>
      <w:r>
        <w:rPr>
          <w:i/>
        </w:rPr>
        <w:t xml:space="preserve">flagfall </w:t>
      </w:r>
      <w:r>
        <w:t xml:space="preserve">or call connection charge for a particular call type, the charge for these calls is the </w:t>
      </w:r>
      <w:r>
        <w:rPr>
          <w:i/>
        </w:rPr>
        <w:t xml:space="preserve">flagfall </w:t>
      </w:r>
      <w:r>
        <w:t>charge plus the relevant rate for the call multiplied by the duration of the call.</w:t>
      </w:r>
    </w:p>
    <w:p w14:paraId="3FCA36FC" w14:textId="77777777" w:rsidR="000D07EA" w:rsidRDefault="00BE7C89">
      <w:pPr>
        <w:pStyle w:val="Heading7"/>
        <w:rPr>
          <w:b/>
        </w:rPr>
      </w:pPr>
      <w:bookmarkStart w:id="641" w:name="_Ref461552847"/>
      <w:r>
        <w:rPr>
          <w:b/>
        </w:rPr>
        <w:t>Minimum Monthly Charge</w:t>
      </w:r>
      <w:bookmarkEnd w:id="641"/>
    </w:p>
    <w:p w14:paraId="4BAC3CCF" w14:textId="77777777" w:rsidR="000D07EA" w:rsidRDefault="00BE7C89">
      <w:pPr>
        <w:pStyle w:val="Heading8"/>
      </w:pPr>
      <w:r>
        <w:t xml:space="preserve">Each Business Timeless Plan has a minimum monthly charge amount that </w:t>
      </w:r>
      <w:r>
        <w:rPr>
          <w:i/>
        </w:rPr>
        <w:t xml:space="preserve">you </w:t>
      </w:r>
      <w:r>
        <w:t xml:space="preserve">must pay us each month. </w:t>
      </w:r>
    </w:p>
    <w:p w14:paraId="29A5B42E" w14:textId="77777777" w:rsidR="000D07EA" w:rsidRDefault="00BE7C89">
      <w:pPr>
        <w:pStyle w:val="Heading8"/>
      </w:pPr>
      <w:r>
        <w:t xml:space="preserve">If </w:t>
      </w:r>
      <w:r>
        <w:rPr>
          <w:i/>
        </w:rPr>
        <w:t xml:space="preserve">you </w:t>
      </w:r>
      <w:r>
        <w:t xml:space="preserve">do not make enough eligible calls and text in a month to reach </w:t>
      </w:r>
      <w:r>
        <w:rPr>
          <w:i/>
        </w:rPr>
        <w:t xml:space="preserve">your pricing plan's </w:t>
      </w:r>
      <w:r>
        <w:t xml:space="preserve">minimum monthly charge </w:t>
      </w:r>
      <w:r>
        <w:rPr>
          <w:i/>
        </w:rPr>
        <w:t xml:space="preserve">you </w:t>
      </w:r>
      <w:r>
        <w:t xml:space="preserve">must still pay </w:t>
      </w:r>
      <w:r>
        <w:rPr>
          <w:i/>
        </w:rPr>
        <w:t>us your pricing plan's</w:t>
      </w:r>
      <w:r>
        <w:t xml:space="preserve"> minimum monthly charge for that month.</w:t>
      </w:r>
    </w:p>
    <w:p w14:paraId="54FE2087" w14:textId="77777777" w:rsidR="000D07EA" w:rsidRDefault="00BE7C89">
      <w:pPr>
        <w:pStyle w:val="Heading8"/>
      </w:pPr>
      <w:r>
        <w:t>The amount of the minimum monthly charge for each of the Business Timeless Plans is set out in Table 2A below.</w:t>
      </w:r>
    </w:p>
    <w:p w14:paraId="3432B063" w14:textId="77777777" w:rsidR="000D07EA" w:rsidRDefault="00BE7C89">
      <w:pPr>
        <w:pStyle w:val="Heading7"/>
        <w:rPr>
          <w:b/>
        </w:rPr>
      </w:pPr>
      <w:bookmarkStart w:id="642" w:name="_Ref461552855"/>
      <w:r>
        <w:rPr>
          <w:b/>
        </w:rPr>
        <w:t>Unlimited Call and Text Offer</w:t>
      </w:r>
      <w:bookmarkEnd w:id="642"/>
    </w:p>
    <w:p w14:paraId="17A59B89" w14:textId="77777777" w:rsidR="000D07EA" w:rsidRDefault="00BE7C89">
      <w:pPr>
        <w:pStyle w:val="Heading8"/>
      </w:pPr>
      <w:r>
        <w:t xml:space="preserve">Under the Business Timeless Plans, </w:t>
      </w:r>
      <w:r>
        <w:rPr>
          <w:i/>
        </w:rPr>
        <w:t>you</w:t>
      </w:r>
      <w:r>
        <w:t xml:space="preserve"> will receive unlimited standard national mobile calls, standard national voice calls standard national SMS, calls to 13/1300/1800 numbers (except on the $89 Business Timeless Plan (4G Sept 2012), and VoiceMail deposits and retrievals.</w:t>
      </w:r>
    </w:p>
    <w:p w14:paraId="474C9AE1" w14:textId="77777777" w:rsidR="000D07EA" w:rsidRDefault="00BE7C89">
      <w:pPr>
        <w:pStyle w:val="Heading8"/>
      </w:pPr>
      <w:r>
        <w:t xml:space="preserve">The call, message types and usage that are eligible for the Business Timeless Plans are defined in Table 1A below. </w:t>
      </w:r>
    </w:p>
    <w:p w14:paraId="60DE87D9" w14:textId="77777777" w:rsidR="000D07EA" w:rsidRDefault="00BE7C89">
      <w:pPr>
        <w:pStyle w:val="Heading8"/>
      </w:pPr>
      <w:r>
        <w:rPr>
          <w:i/>
        </w:rPr>
        <w:t xml:space="preserve">You </w:t>
      </w:r>
      <w:r>
        <w:t>must pay for any calls, messages or usage types that are not eligible calls, message or usage types.</w:t>
      </w:r>
    </w:p>
    <w:p w14:paraId="540E6F11" w14:textId="77777777" w:rsidR="000D07EA" w:rsidRDefault="00BE7C89">
      <w:pPr>
        <w:pStyle w:val="Heading8"/>
      </w:pPr>
      <w:r>
        <w:t>Fair Go Policy (</w:t>
      </w:r>
      <w:hyperlink r:id="rId454" w:history="1">
        <w:r>
          <w:rPr>
            <w:rStyle w:val="Hyperlink"/>
            <w:i/>
          </w:rPr>
          <w:t>Appendix S</w:t>
        </w:r>
      </w:hyperlink>
      <w:r>
        <w:t>)</w:t>
      </w:r>
      <w:r>
        <w:rPr>
          <w:snapToGrid w:val="0"/>
        </w:rPr>
        <w:t xml:space="preserve"> applies.</w:t>
      </w:r>
      <w:r>
        <w:t xml:space="preserve"> Please refer to </w:t>
      </w:r>
      <w:hyperlink r:id="rId455" w:history="1">
        <w:r w:rsidR="008D6257">
          <w:rPr>
            <w:rStyle w:val="Hyperlink"/>
            <w:i/>
          </w:rPr>
          <w:t>Appendix S</w:t>
        </w:r>
      </w:hyperlink>
      <w:r>
        <w:rPr>
          <w:i/>
        </w:rPr>
        <w:t xml:space="preserve"> </w:t>
      </w:r>
      <w:r>
        <w:t>for further details.</w:t>
      </w:r>
    </w:p>
    <w:p w14:paraId="48C7B3D8" w14:textId="77777777" w:rsidR="000D07EA" w:rsidRDefault="00BE7C89">
      <w:pPr>
        <w:pStyle w:val="Heading7"/>
        <w:rPr>
          <w:b/>
        </w:rPr>
      </w:pPr>
      <w:bookmarkStart w:id="643" w:name="_Ref461552863"/>
      <w:r>
        <w:rPr>
          <w:b/>
        </w:rPr>
        <w:t>Included Mobile Internet Data Value and Unlimited BlackBerry POP3 Email and Browsing</w:t>
      </w:r>
      <w:bookmarkEnd w:id="643"/>
    </w:p>
    <w:p w14:paraId="304B490D" w14:textId="77777777" w:rsidR="000D07EA" w:rsidRDefault="00BE7C89">
      <w:pPr>
        <w:pStyle w:val="Heading8"/>
        <w:rPr>
          <w:b/>
        </w:rPr>
      </w:pPr>
      <w:r>
        <w:t xml:space="preserve">Under the Business Timeless Plans, </w:t>
      </w:r>
      <w:r>
        <w:rPr>
          <w:i/>
        </w:rPr>
        <w:t>you</w:t>
      </w:r>
      <w:r>
        <w:t xml:space="preserve"> will receive:</w:t>
      </w:r>
    </w:p>
    <w:p w14:paraId="533E3A8F" w14:textId="77777777" w:rsidR="000D07EA" w:rsidRDefault="00BE7C89">
      <w:pPr>
        <w:pStyle w:val="Heading9"/>
      </w:pPr>
      <w:r>
        <w:t xml:space="preserve">(if </w:t>
      </w:r>
      <w:r>
        <w:rPr>
          <w:i/>
          <w:u w:val="single"/>
        </w:rPr>
        <w:t>you</w:t>
      </w:r>
      <w:r>
        <w:t xml:space="preserve"> have a compatible handset) included Mobile Internet Data Value.</w:t>
      </w:r>
    </w:p>
    <w:p w14:paraId="15595AB1" w14:textId="77777777" w:rsidR="000D07EA" w:rsidRDefault="00BE7C89">
      <w:pPr>
        <w:pStyle w:val="Heading9"/>
      </w:pPr>
      <w:r>
        <w:t>the amount of 'Mobile Internet Data Value' included for each Business Timeless Plan is set out in Table 2A below.</w:t>
      </w:r>
    </w:p>
    <w:p w14:paraId="1FF8EA81" w14:textId="77777777" w:rsidR="000D07EA" w:rsidRDefault="00BE7C89">
      <w:pPr>
        <w:pStyle w:val="Heading9"/>
      </w:pPr>
      <w:r>
        <w:t xml:space="preserve">The usage types that are </w:t>
      </w:r>
      <w:r>
        <w:rPr>
          <w:b/>
        </w:rPr>
        <w:t>'eligible data'</w:t>
      </w:r>
      <w:r>
        <w:t xml:space="preserve"> for each Business Timeless Plan under the included Mobile Internet Data Value are defined in Table 1B below.</w:t>
      </w:r>
    </w:p>
    <w:p w14:paraId="2B49252A" w14:textId="77777777" w:rsidR="000D07EA" w:rsidRDefault="00BE7C89">
      <w:pPr>
        <w:pStyle w:val="Heading9"/>
      </w:pPr>
      <w:r>
        <w:rPr>
          <w:i/>
        </w:rPr>
        <w:t xml:space="preserve">You </w:t>
      </w:r>
      <w:r>
        <w:t xml:space="preserve">must pay </w:t>
      </w:r>
      <w:r>
        <w:rPr>
          <w:i/>
        </w:rPr>
        <w:t xml:space="preserve">us </w:t>
      </w:r>
      <w:r>
        <w:t xml:space="preserve">excess usage charges for data used in excess of </w:t>
      </w:r>
      <w:r>
        <w:rPr>
          <w:i/>
        </w:rPr>
        <w:t xml:space="preserve">your </w:t>
      </w:r>
      <w:r>
        <w:t xml:space="preserve">included 'Mobile Internet Data Value' as shown in Table 2A below. </w:t>
      </w:r>
    </w:p>
    <w:p w14:paraId="30238EFB" w14:textId="77777777" w:rsidR="000D07EA" w:rsidRDefault="00BE7C89">
      <w:pPr>
        <w:pStyle w:val="Heading9"/>
        <w:rPr>
          <w:szCs w:val="24"/>
        </w:rPr>
      </w:pPr>
      <w:r>
        <w:rPr>
          <w:snapToGrid w:val="0"/>
        </w:rPr>
        <w:t>Any unused portion of the 'Mobile Internet Data Value' expires at the end of each month and does not roll over into the following month.</w:t>
      </w:r>
      <w:r>
        <w:t xml:space="preserve"> </w:t>
      </w:r>
    </w:p>
    <w:p w14:paraId="5F30FB0A" w14:textId="77777777" w:rsidR="000D07EA" w:rsidRDefault="00BE7C89">
      <w:pPr>
        <w:pStyle w:val="Heading8"/>
      </w:pPr>
      <w:r>
        <w:t xml:space="preserve">Unlimited BlackBerry POP3 Email and Browsing. </w:t>
      </w:r>
    </w:p>
    <w:p w14:paraId="751B8FE3" w14:textId="77777777" w:rsidR="000D07EA" w:rsidRDefault="00BE7C89">
      <w:pPr>
        <w:pStyle w:val="Heading9"/>
      </w:pPr>
      <w:r>
        <w:rPr>
          <w:i/>
        </w:rPr>
        <w:t>You</w:t>
      </w:r>
      <w:r>
        <w:t xml:space="preserve"> will receive unlimited BlackBerry POP3 Email and Browsing through the BlackBerry Browser only, use of applications from </w:t>
      </w:r>
      <w:r>
        <w:rPr>
          <w:i/>
        </w:rPr>
        <w:t>Optus</w:t>
      </w:r>
      <w:r>
        <w:t xml:space="preserve"> and third party applications that require a BlackBerry Data connection set out in Table 2A below.</w:t>
      </w:r>
    </w:p>
    <w:p w14:paraId="3D6BEED3" w14:textId="77777777" w:rsidR="000D07EA" w:rsidRDefault="00BE7C89">
      <w:pPr>
        <w:pStyle w:val="Heading9"/>
      </w:pPr>
      <w:r>
        <w:t>The usage types that are '</w:t>
      </w:r>
      <w:r>
        <w:rPr>
          <w:b/>
        </w:rPr>
        <w:t>eligible data</w:t>
      </w:r>
      <w:r>
        <w:t>' for each Business Timeless Plan under the Unlimited BlackBerry POP3 Email and Browsing are defined in Table 1C below.</w:t>
      </w:r>
    </w:p>
    <w:p w14:paraId="70B5FC20" w14:textId="77777777" w:rsidR="000D07EA" w:rsidRDefault="00BE7C89">
      <w:pPr>
        <w:pStyle w:val="Heading9"/>
        <w:rPr>
          <w:szCs w:val="24"/>
        </w:rPr>
      </w:pPr>
      <w:r>
        <w:t>Unlimited BlackBerry POP3 Email is only for personal use and is not to be used for commercial purposes. Fair Go Policy (</w:t>
      </w:r>
      <w:hyperlink r:id="rId456" w:history="1">
        <w:r>
          <w:rPr>
            <w:rStyle w:val="Hyperlink"/>
            <w:i/>
          </w:rPr>
          <w:t>Appendix S</w:t>
        </w:r>
      </w:hyperlink>
      <w:r>
        <w:t xml:space="preserve">) also applies to unacceptable use. </w:t>
      </w:r>
      <w:r>
        <w:rPr>
          <w:szCs w:val="24"/>
        </w:rPr>
        <w:t xml:space="preserve">Please refer to </w:t>
      </w:r>
      <w:hyperlink r:id="rId457" w:history="1">
        <w:r w:rsidR="008D6257">
          <w:rPr>
            <w:rStyle w:val="Hyperlink"/>
            <w:i/>
          </w:rPr>
          <w:t>Appendix S</w:t>
        </w:r>
      </w:hyperlink>
      <w:r>
        <w:rPr>
          <w:szCs w:val="24"/>
        </w:rPr>
        <w:t>for further details.</w:t>
      </w:r>
    </w:p>
    <w:p w14:paraId="109651E9" w14:textId="77777777" w:rsidR="000D07EA" w:rsidRDefault="00BE7C89">
      <w:pPr>
        <w:pStyle w:val="Heading7"/>
        <w:rPr>
          <w:b/>
          <w:snapToGrid w:val="0"/>
        </w:rPr>
      </w:pPr>
      <w:bookmarkStart w:id="644" w:name="_Ref461552872"/>
      <w:r>
        <w:rPr>
          <w:b/>
          <w:snapToGrid w:val="0"/>
        </w:rPr>
        <w:lastRenderedPageBreak/>
        <w:t>Unlimited mobile access to Facebook®, Twitter®, LinkedIn, Ebay, Foursquare and MySpace within Australia</w:t>
      </w:r>
      <w:bookmarkEnd w:id="644"/>
    </w:p>
    <w:p w14:paraId="71D11BE7" w14:textId="77777777" w:rsidR="000D07EA" w:rsidRDefault="00BE7C89">
      <w:pPr>
        <w:pStyle w:val="Heading8"/>
        <w:rPr>
          <w:snapToGrid w:val="0"/>
        </w:rPr>
      </w:pPr>
      <w:bookmarkStart w:id="645" w:name="_Ref461552946"/>
      <w:r>
        <w:t xml:space="preserve">Under the Business Timeless Plans, </w:t>
      </w:r>
      <w:r>
        <w:rPr>
          <w:i/>
        </w:rPr>
        <w:t>you</w:t>
      </w:r>
      <w:r>
        <w:t xml:space="preserve"> will receive unlimited mobile access to </w:t>
      </w:r>
      <w:r>
        <w:rPr>
          <w:snapToGrid w:val="0"/>
        </w:rPr>
        <w:t>Facebook®, Twitter®, LinkedIn, Ebay, Foursquare and MySpace within Australia.</w:t>
      </w:r>
      <w:bookmarkEnd w:id="645"/>
    </w:p>
    <w:p w14:paraId="7E2858F6" w14:textId="77777777" w:rsidR="000D07EA" w:rsidRDefault="00BE7C89">
      <w:pPr>
        <w:pStyle w:val="Heading8"/>
        <w:rPr>
          <w:snapToGrid w:val="0"/>
        </w:rPr>
      </w:pPr>
      <w:r>
        <w:rPr>
          <w:snapToGrid w:val="0"/>
        </w:rPr>
        <w:t xml:space="preserve">Use of the services described in paragraph </w:t>
      </w:r>
      <w:r>
        <w:rPr>
          <w:snapToGrid w:val="0"/>
        </w:rPr>
        <w:fldChar w:fldCharType="begin"/>
      </w:r>
      <w:r>
        <w:rPr>
          <w:snapToGrid w:val="0"/>
        </w:rPr>
        <w:instrText xml:space="preserve"> REF _Ref461552872 \n \h </w:instrText>
      </w:r>
      <w:r>
        <w:rPr>
          <w:snapToGrid w:val="0"/>
        </w:rPr>
      </w:r>
      <w:r>
        <w:rPr>
          <w:snapToGrid w:val="0"/>
        </w:rPr>
        <w:fldChar w:fldCharType="separate"/>
      </w:r>
      <w:r w:rsidR="0004083A">
        <w:rPr>
          <w:snapToGrid w:val="0"/>
        </w:rPr>
        <w:t>(f)</w:t>
      </w:r>
      <w:r>
        <w:rPr>
          <w:snapToGrid w:val="0"/>
        </w:rPr>
        <w:fldChar w:fldCharType="end"/>
      </w:r>
      <w:r>
        <w:rPr>
          <w:snapToGrid w:val="0"/>
        </w:rPr>
        <w:fldChar w:fldCharType="begin"/>
      </w:r>
      <w:r>
        <w:rPr>
          <w:snapToGrid w:val="0"/>
        </w:rPr>
        <w:instrText xml:space="preserve"> REF _Ref461552946 \n \h </w:instrText>
      </w:r>
      <w:r>
        <w:rPr>
          <w:snapToGrid w:val="0"/>
        </w:rPr>
      </w:r>
      <w:r>
        <w:rPr>
          <w:snapToGrid w:val="0"/>
        </w:rPr>
        <w:fldChar w:fldCharType="separate"/>
      </w:r>
      <w:r w:rsidR="0004083A">
        <w:rPr>
          <w:snapToGrid w:val="0"/>
        </w:rPr>
        <w:t>(i)</w:t>
      </w:r>
      <w:r>
        <w:rPr>
          <w:snapToGrid w:val="0"/>
        </w:rPr>
        <w:fldChar w:fldCharType="end"/>
      </w:r>
      <w:r>
        <w:rPr>
          <w:snapToGrid w:val="0"/>
        </w:rPr>
        <w:t xml:space="preserve"> is separate to and is not included in </w:t>
      </w:r>
      <w:r>
        <w:rPr>
          <w:i/>
          <w:snapToGrid w:val="0"/>
        </w:rPr>
        <w:t>your</w:t>
      </w:r>
      <w:r>
        <w:rPr>
          <w:snapToGrid w:val="0"/>
        </w:rPr>
        <w:t xml:space="preserve"> </w:t>
      </w:r>
      <w:r>
        <w:t>'Mobile Internet Data Value'</w:t>
      </w:r>
    </w:p>
    <w:p w14:paraId="6CE9D2DF" w14:textId="77777777" w:rsidR="000D07EA" w:rsidRDefault="00BE7C89">
      <w:pPr>
        <w:pStyle w:val="Heading8"/>
        <w:rPr>
          <w:b/>
        </w:rPr>
      </w:pPr>
      <w:r>
        <w:t xml:space="preserve">These features are only available to </w:t>
      </w:r>
      <w:r>
        <w:rPr>
          <w:i/>
        </w:rPr>
        <w:t>you</w:t>
      </w:r>
      <w:r>
        <w:t xml:space="preserve"> if </w:t>
      </w:r>
      <w:r>
        <w:rPr>
          <w:i/>
        </w:rPr>
        <w:t>your</w:t>
      </w:r>
      <w:r>
        <w:t xml:space="preserve"> handset is compatible with the service.</w:t>
      </w:r>
    </w:p>
    <w:p w14:paraId="614B9871" w14:textId="77777777" w:rsidR="000D07EA" w:rsidRDefault="00BE7C89">
      <w:pPr>
        <w:pStyle w:val="Heading8"/>
        <w:rPr>
          <w:b/>
        </w:rPr>
      </w:pPr>
      <w:r>
        <w:t>The Fair Go Policy (</w:t>
      </w:r>
      <w:hyperlink r:id="rId458" w:history="1">
        <w:r>
          <w:rPr>
            <w:rStyle w:val="Hyperlink"/>
            <w:i/>
          </w:rPr>
          <w:t>Appendix S</w:t>
        </w:r>
      </w:hyperlink>
      <w:r>
        <w:t xml:space="preserve">) applies for the use of Unlimited Facebook®, Twitter, </w:t>
      </w:r>
      <w:r>
        <w:rPr>
          <w:snapToGrid w:val="0"/>
        </w:rPr>
        <w:t>LinkedIn, Ebay, Four Square,</w:t>
      </w:r>
      <w:r>
        <w:t xml:space="preserve"> and MySpace. Please refer to </w:t>
      </w:r>
      <w:hyperlink r:id="rId459" w:history="1">
        <w:r w:rsidR="008D6257">
          <w:rPr>
            <w:rStyle w:val="Hyperlink"/>
            <w:i/>
          </w:rPr>
          <w:t>Appendix S</w:t>
        </w:r>
      </w:hyperlink>
      <w:r>
        <w:t xml:space="preserve">for further details. </w:t>
      </w:r>
    </w:p>
    <w:p w14:paraId="2C240264" w14:textId="77777777" w:rsidR="000D07EA" w:rsidRDefault="00BE7C89">
      <w:pPr>
        <w:pStyle w:val="Heading7"/>
        <w:rPr>
          <w:b/>
        </w:rPr>
      </w:pPr>
      <w:bookmarkStart w:id="646" w:name="_Ref461552880"/>
      <w:r>
        <w:rPr>
          <w:b/>
        </w:rPr>
        <w:t>Included International Value</w:t>
      </w:r>
      <w:bookmarkEnd w:id="646"/>
    </w:p>
    <w:p w14:paraId="7C7C79E9" w14:textId="77777777" w:rsidR="000D07EA" w:rsidRDefault="00BE7C89">
      <w:pPr>
        <w:pStyle w:val="Heading8"/>
      </w:pPr>
      <w:r>
        <w:t xml:space="preserve">On the $129 Business Timeless Plan </w:t>
      </w:r>
      <w:r>
        <w:rPr>
          <w:i/>
        </w:rPr>
        <w:t>you</w:t>
      </w:r>
      <w:r>
        <w:t xml:space="preserve"> will receive an amount of included International Value. The amount of the International Value included for the $129 Business Timeless Plans is set out in Table 2A below.</w:t>
      </w:r>
    </w:p>
    <w:p w14:paraId="4E5DD9B4" w14:textId="77777777" w:rsidR="000D07EA" w:rsidRDefault="00BE7C89">
      <w:pPr>
        <w:pStyle w:val="Heading8"/>
      </w:pPr>
      <w:r>
        <w:t xml:space="preserve">The usage types that are </w:t>
      </w:r>
      <w:r>
        <w:rPr>
          <w:b/>
        </w:rPr>
        <w:t>'eligible calls and charges</w:t>
      </w:r>
      <w:r>
        <w:t>' for the $129 Business Timeless Plans under the included International Value are defined in Table 1D below.</w:t>
      </w:r>
    </w:p>
    <w:p w14:paraId="0175A430" w14:textId="77777777" w:rsidR="000D07EA" w:rsidRDefault="00BE7C89">
      <w:pPr>
        <w:pStyle w:val="Heading8"/>
      </w:pPr>
      <w:r>
        <w:rPr>
          <w:i/>
        </w:rPr>
        <w:t xml:space="preserve">You </w:t>
      </w:r>
      <w:r>
        <w:t xml:space="preserve">must pay </w:t>
      </w:r>
      <w:r>
        <w:rPr>
          <w:i/>
        </w:rPr>
        <w:t xml:space="preserve">us </w:t>
      </w:r>
      <w:r>
        <w:t>for any calls or messages that are not eligible calls or messages under this offer.</w:t>
      </w:r>
    </w:p>
    <w:p w14:paraId="19287817" w14:textId="77777777" w:rsidR="000D07EA" w:rsidRDefault="00BE7C89">
      <w:pPr>
        <w:pStyle w:val="Heading8"/>
        <w:rPr>
          <w:snapToGrid w:val="0"/>
        </w:rPr>
      </w:pPr>
      <w:r>
        <w:rPr>
          <w:i/>
        </w:rPr>
        <w:t>You</w:t>
      </w:r>
      <w:r>
        <w:t xml:space="preserve"> must pay </w:t>
      </w:r>
      <w:r>
        <w:rPr>
          <w:i/>
          <w:snapToGrid w:val="0"/>
        </w:rPr>
        <w:t xml:space="preserve">us </w:t>
      </w:r>
      <w:r>
        <w:rPr>
          <w:snapToGrid w:val="0"/>
        </w:rPr>
        <w:t xml:space="preserve">for any usage over the included International Value. Standard International rates apply. See </w:t>
      </w:r>
      <w:hyperlink r:id="rId460" w:history="1">
        <w:r>
          <w:rPr>
            <w:rStyle w:val="Hyperlink"/>
            <w:snapToGrid w:val="0"/>
          </w:rPr>
          <w:t>Appendix J</w:t>
        </w:r>
      </w:hyperlink>
      <w:r>
        <w:rPr>
          <w:snapToGrid w:val="0"/>
        </w:rPr>
        <w:t xml:space="preserve"> for more information.</w:t>
      </w:r>
    </w:p>
    <w:p w14:paraId="4093DC1B" w14:textId="77777777" w:rsidR="000D07EA" w:rsidRDefault="00BE7C89">
      <w:pPr>
        <w:pStyle w:val="Heading8"/>
      </w:pPr>
      <w:r>
        <w:rPr>
          <w:snapToGrid w:val="0"/>
        </w:rPr>
        <w:t>Any unused portion of the included International Value expires at the end of each month and does not rollover into the following month.</w:t>
      </w:r>
      <w:r>
        <w:t xml:space="preserve"> </w:t>
      </w:r>
    </w:p>
    <w:p w14:paraId="036FBD4F" w14:textId="77777777" w:rsidR="000D07EA" w:rsidRDefault="00BE7C89">
      <w:pPr>
        <w:pStyle w:val="Heading7"/>
        <w:rPr>
          <w:b/>
        </w:rPr>
      </w:pPr>
      <w:r>
        <w:rPr>
          <w:b/>
        </w:rPr>
        <w:t>Blocking access to a number</w:t>
      </w:r>
    </w:p>
    <w:p w14:paraId="70BE320C" w14:textId="77777777" w:rsidR="000D07EA" w:rsidRDefault="00BE7C89">
      <w:pPr>
        <w:pStyle w:val="BodyText"/>
        <w:ind w:left="1440"/>
      </w:pPr>
      <w:r>
        <w:t xml:space="preserve">In addition to what is stated in clause 11 of the </w:t>
      </w:r>
      <w:r>
        <w:rPr>
          <w:i/>
        </w:rPr>
        <w:t>service description</w:t>
      </w:r>
      <w:r>
        <w:t xml:space="preserve"> ("Access Restrictions"), </w:t>
      </w:r>
      <w:r>
        <w:rPr>
          <w:i/>
        </w:rPr>
        <w:t>we</w:t>
      </w:r>
      <w:r>
        <w:t xml:space="preserve"> may block access to a number (other than an emergency service number) if </w:t>
      </w:r>
      <w:r>
        <w:rPr>
          <w:i/>
        </w:rPr>
        <w:t>we</w:t>
      </w:r>
      <w:r>
        <w:t xml:space="preserve"> reasonably require this to be done for technical, operational or commercial reasons. </w:t>
      </w:r>
    </w:p>
    <w:p w14:paraId="4B92F8F6" w14:textId="77777777" w:rsidR="000D07EA" w:rsidRDefault="00BE7C89">
      <w:pPr>
        <w:pStyle w:val="Heading7"/>
        <w:rPr>
          <w:b/>
        </w:rPr>
      </w:pPr>
      <w:r>
        <w:rPr>
          <w:b/>
        </w:rPr>
        <w:t>Other Business Timeless Plan Conditions and Offers</w:t>
      </w:r>
    </w:p>
    <w:p w14:paraId="6065BFEB" w14:textId="77777777" w:rsidR="000D07EA" w:rsidRDefault="00BE7C89">
      <w:pPr>
        <w:pStyle w:val="Heading8"/>
      </w:pPr>
      <w:r>
        <w:t>The Fair Go Policy (</w:t>
      </w:r>
      <w:hyperlink r:id="rId461" w:history="1">
        <w:r>
          <w:rPr>
            <w:rStyle w:val="Hyperlink"/>
            <w:i/>
          </w:rPr>
          <w:t>Appendix S</w:t>
        </w:r>
      </w:hyperlink>
      <w:r>
        <w:t>) applies to Voice Over Internet Protocol (VOIP) services up to 10 megabytes per month</w:t>
      </w:r>
      <w:r>
        <w:rPr>
          <w:rFonts w:ascii="DIN" w:hAnsi="DIN" w:cs="DIN"/>
          <w:color w:val="000000"/>
          <w:sz w:val="18"/>
        </w:rPr>
        <w:t>.</w:t>
      </w:r>
      <w:r>
        <w:t xml:space="preserve"> Please refer to </w:t>
      </w:r>
      <w:hyperlink r:id="rId462" w:history="1">
        <w:r w:rsidR="008D6257">
          <w:rPr>
            <w:rStyle w:val="Hyperlink"/>
            <w:i/>
          </w:rPr>
          <w:t>Appendix S</w:t>
        </w:r>
      </w:hyperlink>
      <w:r>
        <w:rPr>
          <w:i/>
        </w:rPr>
        <w:t>.</w:t>
      </w:r>
    </w:p>
    <w:p w14:paraId="3A80904F" w14:textId="77777777" w:rsidR="000D07EA" w:rsidRDefault="00BE7C89">
      <w:pPr>
        <w:pStyle w:val="Heading8"/>
      </w:pPr>
      <w:r>
        <w:t xml:space="preserve">Some handsets are locked to </w:t>
      </w:r>
      <w:r>
        <w:rPr>
          <w:i/>
        </w:rPr>
        <w:t>our</w:t>
      </w:r>
      <w:r>
        <w:t xml:space="preserve"> network. If </w:t>
      </w:r>
      <w:r>
        <w:rPr>
          <w:i/>
        </w:rPr>
        <w:t>you</w:t>
      </w:r>
      <w:r>
        <w:t xml:space="preserve"> wish to unlock one of these handsets </w:t>
      </w:r>
      <w:r>
        <w:rPr>
          <w:i/>
        </w:rPr>
        <w:t>you</w:t>
      </w:r>
      <w:r>
        <w:t xml:space="preserve"> should contact </w:t>
      </w:r>
      <w:r>
        <w:rPr>
          <w:i/>
        </w:rPr>
        <w:t>our</w:t>
      </w:r>
      <w:r>
        <w:t xml:space="preserve"> Customer Service centre. </w:t>
      </w:r>
    </w:p>
    <w:p w14:paraId="712CFCCA" w14:textId="77777777" w:rsidR="000D07EA" w:rsidRDefault="00BE7C89">
      <w:pPr>
        <w:pStyle w:val="Heading8"/>
      </w:pPr>
      <w:r>
        <w:t xml:space="preserve">Available features will vary depending on </w:t>
      </w:r>
      <w:r>
        <w:rPr>
          <w:i/>
        </w:rPr>
        <w:t>your</w:t>
      </w:r>
      <w:r>
        <w:t xml:space="preserve"> handset or software version.</w:t>
      </w:r>
    </w:p>
    <w:p w14:paraId="65EAC645" w14:textId="77777777" w:rsidR="000D07EA" w:rsidRDefault="00BE7C89">
      <w:pPr>
        <w:pStyle w:val="Heading7"/>
        <w:rPr>
          <w:b/>
        </w:rPr>
      </w:pPr>
      <w:r>
        <w:rPr>
          <w:b/>
        </w:rPr>
        <w:t xml:space="preserve">Additional benefit – 12 Month Handset Upgrade - $129 Business Timeless Plan </w:t>
      </w:r>
    </w:p>
    <w:p w14:paraId="7AC52CB0" w14:textId="77777777" w:rsidR="000D07EA" w:rsidRDefault="00BE7C89">
      <w:pPr>
        <w:pStyle w:val="BodyText"/>
        <w:ind w:left="1440"/>
      </w:pPr>
      <w:r>
        <w:t xml:space="preserve">If </w:t>
      </w:r>
      <w:r>
        <w:rPr>
          <w:i/>
        </w:rPr>
        <w:t>you</w:t>
      </w:r>
      <w:r>
        <w:t xml:space="preserve"> connect to the $129 Business Timeless Plan </w:t>
      </w:r>
      <w:r>
        <w:rPr>
          <w:i/>
        </w:rPr>
        <w:t>you</w:t>
      </w:r>
      <w:r>
        <w:t xml:space="preserve"> are able to upgrade </w:t>
      </w:r>
      <w:r>
        <w:rPr>
          <w:i/>
        </w:rPr>
        <w:t>your</w:t>
      </w:r>
      <w:r>
        <w:t xml:space="preserve"> handset after 12 months of </w:t>
      </w:r>
      <w:r>
        <w:rPr>
          <w:i/>
        </w:rPr>
        <w:t>your fixed length agreement</w:t>
      </w:r>
      <w:r>
        <w:t xml:space="preserve">, by recontracting on another 24 month </w:t>
      </w:r>
      <w:r>
        <w:rPr>
          <w:i/>
        </w:rPr>
        <w:t>fixed length agreement</w:t>
      </w:r>
      <w:r>
        <w:t xml:space="preserve">. </w:t>
      </w:r>
    </w:p>
    <w:p w14:paraId="79506427" w14:textId="77777777" w:rsidR="000D07EA" w:rsidRDefault="00BE7C89">
      <w:pPr>
        <w:pStyle w:val="Heading7"/>
        <w:rPr>
          <w:b/>
        </w:rPr>
      </w:pPr>
      <w:r>
        <w:rPr>
          <w:b/>
        </w:rPr>
        <w:t>Eligible Calls, Messages and Pricing Plans</w:t>
      </w:r>
    </w:p>
    <w:p w14:paraId="1C1F3511" w14:textId="77777777" w:rsidR="000D07EA" w:rsidRDefault="00BE7C89">
      <w:pPr>
        <w:pStyle w:val="Heading8"/>
      </w:pPr>
      <w:r>
        <w:t xml:space="preserve">Table 1A below indicates whether a particular call and message type is eligible in the unlimited offer for </w:t>
      </w:r>
      <w:r>
        <w:rPr>
          <w:i/>
        </w:rPr>
        <w:t xml:space="preserve">your </w:t>
      </w:r>
      <w:r>
        <w:t>selected Business Timeless Plan.</w:t>
      </w:r>
    </w:p>
    <w:p w14:paraId="74437B41" w14:textId="77777777" w:rsidR="000D07EA" w:rsidRDefault="00BE7C89">
      <w:pPr>
        <w:pStyle w:val="Heading8"/>
      </w:pPr>
      <w:r>
        <w:t xml:space="preserve">Table 1B below indicates whether a particular data type is 'eligible data usage' which counts towards the data value of </w:t>
      </w:r>
      <w:r>
        <w:rPr>
          <w:i/>
        </w:rPr>
        <w:t xml:space="preserve">your </w:t>
      </w:r>
      <w:r>
        <w:t xml:space="preserve">selected Business Timeless Plan. </w:t>
      </w:r>
    </w:p>
    <w:p w14:paraId="5BDC61A6" w14:textId="77777777" w:rsidR="000D07EA" w:rsidRDefault="00BE7C89">
      <w:pPr>
        <w:pStyle w:val="Heading8"/>
      </w:pPr>
      <w:r>
        <w:lastRenderedPageBreak/>
        <w:t xml:space="preserve">Table 1C below indicates whether a particular data type is 'eligible data usage' which counts towards the Unlimited BlackBerry POP3 Email and Browsing value of </w:t>
      </w:r>
      <w:r>
        <w:rPr>
          <w:i/>
        </w:rPr>
        <w:t xml:space="preserve">your </w:t>
      </w:r>
      <w:r>
        <w:t>selected Business Timeless Plan.</w:t>
      </w:r>
    </w:p>
    <w:p w14:paraId="309B1305" w14:textId="77777777" w:rsidR="000D07EA" w:rsidRDefault="00BE7C89">
      <w:pPr>
        <w:pStyle w:val="Heading8"/>
      </w:pPr>
      <w:r>
        <w:t xml:space="preserve">Table 1D below indicates whether a particular call or message type is an 'eligible call or message' which counts towards the included International Value of </w:t>
      </w:r>
      <w:r>
        <w:rPr>
          <w:i/>
        </w:rPr>
        <w:t xml:space="preserve">your </w:t>
      </w:r>
      <w:r>
        <w:t>selected $129 Business Timeless Plan.</w:t>
      </w:r>
    </w:p>
    <w:p w14:paraId="48356801" w14:textId="77777777" w:rsidR="000D07EA" w:rsidRDefault="00BE7C89">
      <w:pPr>
        <w:pStyle w:val="Heading8"/>
      </w:pPr>
      <w:r>
        <w:t>Table 2A below contains pricing details of each Business Timeless Plan.</w:t>
      </w:r>
    </w:p>
    <w:p w14:paraId="43E3C940" w14:textId="77777777" w:rsidR="000D07EA" w:rsidRDefault="00BE7C89">
      <w:pPr>
        <w:pStyle w:val="BodyText"/>
        <w:keepNext/>
        <w:ind w:left="1440"/>
        <w:rPr>
          <w:b/>
        </w:rPr>
      </w:pPr>
      <w:r>
        <w:rPr>
          <w:b/>
        </w:rPr>
        <w:t>Table 1A – Eligible Calls</w:t>
      </w:r>
    </w:p>
    <w:tbl>
      <w:tblPr>
        <w:tblW w:w="8139"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155"/>
        <w:gridCol w:w="2984"/>
      </w:tblGrid>
      <w:tr w:rsidR="000D07EA" w14:paraId="3F112774" w14:textId="77777777">
        <w:trPr>
          <w:trHeight w:val="20"/>
          <w:tblHeader/>
        </w:trPr>
        <w:tc>
          <w:tcPr>
            <w:tcW w:w="5155" w:type="dxa"/>
          </w:tcPr>
          <w:p w14:paraId="14AC82C1" w14:textId="77777777" w:rsidR="000D07EA" w:rsidRDefault="00BE7C89">
            <w:pPr>
              <w:pStyle w:val="BodyText"/>
              <w:keepNext/>
              <w:spacing w:before="100" w:after="100"/>
              <w:rPr>
                <w:b/>
              </w:rPr>
            </w:pPr>
            <w:r>
              <w:rPr>
                <w:b/>
              </w:rPr>
              <w:t>Call Type</w:t>
            </w:r>
          </w:p>
        </w:tc>
        <w:tc>
          <w:tcPr>
            <w:tcW w:w="2984" w:type="dxa"/>
          </w:tcPr>
          <w:p w14:paraId="3920EC2C" w14:textId="77777777" w:rsidR="000D07EA" w:rsidRDefault="00BE7C89">
            <w:pPr>
              <w:pStyle w:val="BodyText"/>
              <w:keepNext/>
              <w:spacing w:before="100" w:after="100"/>
              <w:rPr>
                <w:b/>
              </w:rPr>
            </w:pPr>
            <w:r>
              <w:rPr>
                <w:b/>
              </w:rPr>
              <w:t xml:space="preserve">Eligible Call </w:t>
            </w:r>
          </w:p>
        </w:tc>
      </w:tr>
      <w:tr w:rsidR="000D07EA" w14:paraId="0DE2577D" w14:textId="77777777">
        <w:trPr>
          <w:trHeight w:val="20"/>
        </w:trPr>
        <w:tc>
          <w:tcPr>
            <w:tcW w:w="5155" w:type="dxa"/>
          </w:tcPr>
          <w:p w14:paraId="10237452" w14:textId="77777777" w:rsidR="000D07EA" w:rsidRDefault="00BE7C89">
            <w:pPr>
              <w:pStyle w:val="BodyText"/>
              <w:spacing w:before="100" w:after="100"/>
            </w:pPr>
            <w:r>
              <w:t>Standard National Mobile Calls</w:t>
            </w:r>
          </w:p>
        </w:tc>
        <w:tc>
          <w:tcPr>
            <w:tcW w:w="2984" w:type="dxa"/>
          </w:tcPr>
          <w:p w14:paraId="3B3225D6" w14:textId="77777777" w:rsidR="000D07EA" w:rsidRDefault="00BE7C89">
            <w:pPr>
              <w:pStyle w:val="BodyText"/>
              <w:spacing w:before="100" w:after="100"/>
            </w:pPr>
            <w:r>
              <w:t>Yes</w:t>
            </w:r>
          </w:p>
        </w:tc>
      </w:tr>
      <w:tr w:rsidR="000D07EA" w14:paraId="5E7724B8" w14:textId="77777777">
        <w:trPr>
          <w:trHeight w:val="20"/>
        </w:trPr>
        <w:tc>
          <w:tcPr>
            <w:tcW w:w="5155" w:type="dxa"/>
          </w:tcPr>
          <w:p w14:paraId="3F431A98" w14:textId="77777777" w:rsidR="000D07EA" w:rsidRDefault="00BE7C89">
            <w:pPr>
              <w:pStyle w:val="BodyText"/>
              <w:spacing w:before="100" w:after="100"/>
            </w:pPr>
            <w:r>
              <w:t>Standard National Voice Calls</w:t>
            </w:r>
          </w:p>
        </w:tc>
        <w:tc>
          <w:tcPr>
            <w:tcW w:w="2984" w:type="dxa"/>
          </w:tcPr>
          <w:p w14:paraId="0C601E4D" w14:textId="77777777" w:rsidR="000D07EA" w:rsidRDefault="00BE7C89">
            <w:pPr>
              <w:pStyle w:val="BodyText"/>
              <w:spacing w:before="100" w:after="100"/>
            </w:pPr>
            <w:r>
              <w:t>Yes</w:t>
            </w:r>
          </w:p>
        </w:tc>
      </w:tr>
      <w:tr w:rsidR="000D07EA" w14:paraId="160D184C" w14:textId="77777777">
        <w:trPr>
          <w:trHeight w:val="20"/>
        </w:trPr>
        <w:tc>
          <w:tcPr>
            <w:tcW w:w="5155" w:type="dxa"/>
          </w:tcPr>
          <w:p w14:paraId="1BC8A241" w14:textId="77777777" w:rsidR="000D07EA" w:rsidRDefault="00BE7C89">
            <w:pPr>
              <w:pStyle w:val="BodyText"/>
              <w:spacing w:before="100" w:after="100"/>
            </w:pPr>
            <w:r>
              <w:t>National Video Calls</w:t>
            </w:r>
          </w:p>
        </w:tc>
        <w:tc>
          <w:tcPr>
            <w:tcW w:w="2984" w:type="dxa"/>
          </w:tcPr>
          <w:p w14:paraId="7B05514E" w14:textId="77777777" w:rsidR="000D07EA" w:rsidRDefault="00BE7C89">
            <w:pPr>
              <w:pStyle w:val="BodyText"/>
              <w:spacing w:before="100" w:after="100"/>
            </w:pPr>
            <w:r>
              <w:t>No</w:t>
            </w:r>
          </w:p>
        </w:tc>
      </w:tr>
      <w:tr w:rsidR="000D07EA" w14:paraId="017D5EBD" w14:textId="77777777">
        <w:trPr>
          <w:trHeight w:val="20"/>
        </w:trPr>
        <w:tc>
          <w:tcPr>
            <w:tcW w:w="5155" w:type="dxa"/>
          </w:tcPr>
          <w:p w14:paraId="0F69D1F0" w14:textId="77777777" w:rsidR="000D07EA" w:rsidRDefault="00BE7C89">
            <w:pPr>
              <w:pStyle w:val="BodyText"/>
              <w:spacing w:before="100" w:after="100"/>
            </w:pPr>
            <w:r>
              <w:t>International Voice Calls</w:t>
            </w:r>
          </w:p>
          <w:p w14:paraId="69A78BBF" w14:textId="77777777" w:rsidR="000D07EA" w:rsidRDefault="00BE7C89">
            <w:pPr>
              <w:pStyle w:val="BodyText"/>
              <w:spacing w:before="100" w:after="100"/>
            </w:pPr>
            <w:r>
              <w:rPr>
                <w:snapToGrid w:val="0"/>
              </w:rPr>
              <w:t>(includes calls to national fixed or mobile services that then divert/switch or re-route overseas)</w:t>
            </w:r>
          </w:p>
        </w:tc>
        <w:tc>
          <w:tcPr>
            <w:tcW w:w="2984" w:type="dxa"/>
          </w:tcPr>
          <w:p w14:paraId="5BA91AFE" w14:textId="77777777" w:rsidR="000D07EA" w:rsidRDefault="00BE7C89">
            <w:pPr>
              <w:pStyle w:val="BodyText"/>
              <w:spacing w:before="100" w:after="100"/>
            </w:pPr>
            <w:r>
              <w:t xml:space="preserve">No </w:t>
            </w:r>
          </w:p>
        </w:tc>
      </w:tr>
      <w:tr w:rsidR="000D07EA" w14:paraId="7B916B80" w14:textId="77777777">
        <w:trPr>
          <w:trHeight w:val="20"/>
        </w:trPr>
        <w:tc>
          <w:tcPr>
            <w:tcW w:w="5155" w:type="dxa"/>
          </w:tcPr>
          <w:p w14:paraId="41A831AE" w14:textId="77777777" w:rsidR="000D07EA" w:rsidRDefault="00BE7C89">
            <w:pPr>
              <w:pStyle w:val="BodyText"/>
              <w:spacing w:before="100" w:after="100"/>
            </w:pPr>
            <w:r>
              <w:t>International Video Calls</w:t>
            </w:r>
          </w:p>
          <w:p w14:paraId="6C86C2D1" w14:textId="77777777" w:rsidR="000D07EA" w:rsidRDefault="00BE7C89">
            <w:pPr>
              <w:pStyle w:val="BodyText"/>
              <w:spacing w:before="100" w:after="100"/>
            </w:pPr>
            <w:r>
              <w:rPr>
                <w:snapToGrid w:val="0"/>
              </w:rPr>
              <w:t>(includes calls to national fixed or mobile services that then divert/switch or re-route overseas)</w:t>
            </w:r>
          </w:p>
        </w:tc>
        <w:tc>
          <w:tcPr>
            <w:tcW w:w="2984" w:type="dxa"/>
          </w:tcPr>
          <w:p w14:paraId="08ECB2BB" w14:textId="77777777" w:rsidR="000D07EA" w:rsidRDefault="00BE7C89">
            <w:pPr>
              <w:pStyle w:val="BodyText"/>
              <w:spacing w:before="100" w:after="100"/>
            </w:pPr>
            <w:r>
              <w:t>No</w:t>
            </w:r>
          </w:p>
        </w:tc>
      </w:tr>
      <w:tr w:rsidR="000D07EA" w14:paraId="1570CA4B" w14:textId="77777777">
        <w:trPr>
          <w:trHeight w:val="20"/>
        </w:trPr>
        <w:tc>
          <w:tcPr>
            <w:tcW w:w="5155" w:type="dxa"/>
          </w:tcPr>
          <w:p w14:paraId="14D5F6DA" w14:textId="77777777" w:rsidR="000D07EA" w:rsidRDefault="00BE7C89">
            <w:pPr>
              <w:pStyle w:val="BodyText"/>
              <w:spacing w:before="100" w:after="100"/>
            </w:pPr>
            <w:r>
              <w:t>Standard National SMS</w:t>
            </w:r>
          </w:p>
        </w:tc>
        <w:tc>
          <w:tcPr>
            <w:tcW w:w="2984" w:type="dxa"/>
          </w:tcPr>
          <w:p w14:paraId="6F6BCBA7" w14:textId="77777777" w:rsidR="000D07EA" w:rsidRDefault="00BE7C89">
            <w:pPr>
              <w:pStyle w:val="BodyText"/>
              <w:spacing w:before="100" w:after="100"/>
            </w:pPr>
            <w:r>
              <w:t>Yes</w:t>
            </w:r>
          </w:p>
        </w:tc>
      </w:tr>
      <w:tr w:rsidR="000D07EA" w14:paraId="05E7A0B4" w14:textId="77777777">
        <w:trPr>
          <w:trHeight w:val="20"/>
        </w:trPr>
        <w:tc>
          <w:tcPr>
            <w:tcW w:w="5155" w:type="dxa"/>
          </w:tcPr>
          <w:p w14:paraId="230D6635" w14:textId="77777777" w:rsidR="000D07EA" w:rsidRDefault="00BE7C89">
            <w:pPr>
              <w:pStyle w:val="BodyText"/>
              <w:spacing w:before="100" w:after="100"/>
            </w:pPr>
            <w:r>
              <w:t>International SMS</w:t>
            </w:r>
          </w:p>
        </w:tc>
        <w:tc>
          <w:tcPr>
            <w:tcW w:w="2984" w:type="dxa"/>
          </w:tcPr>
          <w:p w14:paraId="5416B341" w14:textId="77777777" w:rsidR="000D07EA" w:rsidRDefault="00BE7C89">
            <w:pPr>
              <w:pStyle w:val="BodyText"/>
              <w:spacing w:before="100" w:after="100"/>
            </w:pPr>
            <w:r>
              <w:t>No</w:t>
            </w:r>
          </w:p>
        </w:tc>
      </w:tr>
      <w:tr w:rsidR="000D07EA" w14:paraId="540B59F3" w14:textId="77777777">
        <w:trPr>
          <w:trHeight w:val="20"/>
        </w:trPr>
        <w:tc>
          <w:tcPr>
            <w:tcW w:w="5155" w:type="dxa"/>
          </w:tcPr>
          <w:p w14:paraId="220CD5EF" w14:textId="77777777" w:rsidR="000D07EA" w:rsidRDefault="00BE7C89">
            <w:pPr>
              <w:pStyle w:val="BodyText"/>
              <w:spacing w:before="100" w:after="100"/>
            </w:pPr>
            <w:r>
              <w:t>National MMS</w:t>
            </w:r>
          </w:p>
        </w:tc>
        <w:tc>
          <w:tcPr>
            <w:tcW w:w="2984" w:type="dxa"/>
          </w:tcPr>
          <w:p w14:paraId="617802AC" w14:textId="77777777" w:rsidR="000D07EA" w:rsidRDefault="00BE7C89">
            <w:pPr>
              <w:pStyle w:val="BodyText"/>
              <w:spacing w:before="100" w:after="100"/>
            </w:pPr>
            <w:r>
              <w:t>Yes</w:t>
            </w:r>
          </w:p>
        </w:tc>
      </w:tr>
      <w:tr w:rsidR="000D07EA" w14:paraId="1EE24636" w14:textId="77777777">
        <w:trPr>
          <w:trHeight w:val="20"/>
        </w:trPr>
        <w:tc>
          <w:tcPr>
            <w:tcW w:w="5155" w:type="dxa"/>
          </w:tcPr>
          <w:p w14:paraId="52869478" w14:textId="77777777" w:rsidR="000D07EA" w:rsidRDefault="00BE7C89">
            <w:pPr>
              <w:pStyle w:val="BodyText"/>
              <w:spacing w:before="100" w:after="100"/>
            </w:pPr>
            <w:r>
              <w:t>International MMS</w:t>
            </w:r>
          </w:p>
        </w:tc>
        <w:tc>
          <w:tcPr>
            <w:tcW w:w="2984" w:type="dxa"/>
          </w:tcPr>
          <w:p w14:paraId="0FFAAD97" w14:textId="77777777" w:rsidR="000D07EA" w:rsidRDefault="00BE7C89">
            <w:pPr>
              <w:pStyle w:val="BodyText"/>
              <w:spacing w:before="100" w:after="100"/>
            </w:pPr>
            <w:r>
              <w:t>No</w:t>
            </w:r>
          </w:p>
        </w:tc>
      </w:tr>
      <w:tr w:rsidR="000D07EA" w14:paraId="44098994" w14:textId="77777777">
        <w:trPr>
          <w:trHeight w:val="20"/>
        </w:trPr>
        <w:tc>
          <w:tcPr>
            <w:tcW w:w="5155" w:type="dxa"/>
          </w:tcPr>
          <w:p w14:paraId="69AC3C9D" w14:textId="77777777" w:rsidR="000D07EA" w:rsidRDefault="00BE7C89">
            <w:pPr>
              <w:pStyle w:val="BodyText"/>
              <w:spacing w:before="100" w:after="100"/>
            </w:pPr>
            <w:r>
              <w:t>National Diversions</w:t>
            </w:r>
          </w:p>
        </w:tc>
        <w:tc>
          <w:tcPr>
            <w:tcW w:w="2984" w:type="dxa"/>
          </w:tcPr>
          <w:p w14:paraId="0F9E3951" w14:textId="77777777" w:rsidR="000D07EA" w:rsidRDefault="00BE7C89">
            <w:pPr>
              <w:pStyle w:val="BodyText"/>
              <w:spacing w:before="100" w:after="100"/>
            </w:pPr>
            <w:r>
              <w:t>Yes</w:t>
            </w:r>
          </w:p>
        </w:tc>
      </w:tr>
      <w:tr w:rsidR="000D07EA" w14:paraId="5CD0B8D3" w14:textId="77777777">
        <w:trPr>
          <w:trHeight w:val="20"/>
        </w:trPr>
        <w:tc>
          <w:tcPr>
            <w:tcW w:w="5155" w:type="dxa"/>
          </w:tcPr>
          <w:p w14:paraId="3CEFD299" w14:textId="77777777" w:rsidR="000D07EA" w:rsidRDefault="00BE7C89">
            <w:pPr>
              <w:pStyle w:val="BodyText"/>
              <w:spacing w:before="100" w:after="100"/>
            </w:pPr>
            <w:r>
              <w:t>Voicemail Deposit and Retrievals</w:t>
            </w:r>
          </w:p>
        </w:tc>
        <w:tc>
          <w:tcPr>
            <w:tcW w:w="2984" w:type="dxa"/>
          </w:tcPr>
          <w:p w14:paraId="576F1DA2" w14:textId="77777777" w:rsidR="000D07EA" w:rsidRDefault="00BE7C89">
            <w:pPr>
              <w:pStyle w:val="BodyText"/>
              <w:spacing w:before="100" w:after="100"/>
            </w:pPr>
            <w:r>
              <w:t>Yes</w:t>
            </w:r>
          </w:p>
        </w:tc>
      </w:tr>
      <w:tr w:rsidR="000D07EA" w14:paraId="6DED1D03" w14:textId="77777777">
        <w:trPr>
          <w:trHeight w:val="20"/>
        </w:trPr>
        <w:tc>
          <w:tcPr>
            <w:tcW w:w="5155" w:type="dxa"/>
          </w:tcPr>
          <w:p w14:paraId="4E4F62D9" w14:textId="77777777" w:rsidR="000D07EA" w:rsidRDefault="00BE7C89">
            <w:pPr>
              <w:pStyle w:val="BodyText"/>
              <w:spacing w:before="100" w:after="100"/>
            </w:pPr>
            <w:r>
              <w:t>International Roaming and Diversions</w:t>
            </w:r>
          </w:p>
        </w:tc>
        <w:tc>
          <w:tcPr>
            <w:tcW w:w="2984" w:type="dxa"/>
          </w:tcPr>
          <w:p w14:paraId="569003C2" w14:textId="77777777" w:rsidR="000D07EA" w:rsidRDefault="00BE7C89">
            <w:pPr>
              <w:pStyle w:val="BodyText"/>
              <w:spacing w:before="100" w:after="100"/>
            </w:pPr>
            <w:r>
              <w:t>No</w:t>
            </w:r>
          </w:p>
        </w:tc>
      </w:tr>
      <w:tr w:rsidR="000D07EA" w14:paraId="196AE99B" w14:textId="77777777">
        <w:trPr>
          <w:trHeight w:val="20"/>
        </w:trPr>
        <w:tc>
          <w:tcPr>
            <w:tcW w:w="5155" w:type="dxa"/>
          </w:tcPr>
          <w:p w14:paraId="3C7EFFBD" w14:textId="77777777" w:rsidR="000D07EA" w:rsidRDefault="00BE7C89">
            <w:pPr>
              <w:pStyle w:val="BodyText"/>
              <w:spacing w:before="100" w:after="100"/>
            </w:pPr>
            <w:r>
              <w:t>Premium SMS</w:t>
            </w:r>
          </w:p>
        </w:tc>
        <w:tc>
          <w:tcPr>
            <w:tcW w:w="2984" w:type="dxa"/>
          </w:tcPr>
          <w:p w14:paraId="6F25D50B" w14:textId="77777777" w:rsidR="000D07EA" w:rsidRDefault="00BE7C89">
            <w:pPr>
              <w:pStyle w:val="BodyText"/>
              <w:spacing w:before="100" w:after="100"/>
            </w:pPr>
            <w:r>
              <w:t>No</w:t>
            </w:r>
          </w:p>
        </w:tc>
      </w:tr>
      <w:tr w:rsidR="000D07EA" w14:paraId="2F2D7781" w14:textId="77777777">
        <w:trPr>
          <w:trHeight w:val="20"/>
        </w:trPr>
        <w:tc>
          <w:tcPr>
            <w:tcW w:w="5155" w:type="dxa"/>
          </w:tcPr>
          <w:p w14:paraId="35909449" w14:textId="77777777" w:rsidR="000D07EA" w:rsidRDefault="00BE7C89">
            <w:pPr>
              <w:pStyle w:val="BodyText"/>
              <w:spacing w:before="100" w:after="100"/>
            </w:pPr>
            <w:r>
              <w:t>Premium Video</w:t>
            </w:r>
          </w:p>
        </w:tc>
        <w:tc>
          <w:tcPr>
            <w:tcW w:w="2984" w:type="dxa"/>
          </w:tcPr>
          <w:p w14:paraId="0695781C" w14:textId="77777777" w:rsidR="000D07EA" w:rsidRDefault="00BE7C89">
            <w:pPr>
              <w:pStyle w:val="BodyText"/>
              <w:spacing w:before="100" w:after="100"/>
            </w:pPr>
            <w:r>
              <w:t>No</w:t>
            </w:r>
          </w:p>
        </w:tc>
      </w:tr>
      <w:tr w:rsidR="000D07EA" w14:paraId="159AAF4B" w14:textId="77777777">
        <w:trPr>
          <w:trHeight w:val="20"/>
        </w:trPr>
        <w:tc>
          <w:tcPr>
            <w:tcW w:w="5155" w:type="dxa"/>
          </w:tcPr>
          <w:p w14:paraId="7E4E6594" w14:textId="77777777" w:rsidR="000D07EA" w:rsidRDefault="00BE7C89">
            <w:pPr>
              <w:pStyle w:val="BodyText"/>
              <w:spacing w:before="100" w:after="100"/>
            </w:pPr>
            <w:r>
              <w:t>Video Conferencing</w:t>
            </w:r>
          </w:p>
        </w:tc>
        <w:tc>
          <w:tcPr>
            <w:tcW w:w="2984" w:type="dxa"/>
          </w:tcPr>
          <w:p w14:paraId="209BD72D" w14:textId="77777777" w:rsidR="000D07EA" w:rsidRDefault="00BE7C89">
            <w:pPr>
              <w:pStyle w:val="BodyText"/>
              <w:spacing w:before="100" w:after="100"/>
            </w:pPr>
            <w:r>
              <w:t>No</w:t>
            </w:r>
          </w:p>
        </w:tc>
      </w:tr>
      <w:tr w:rsidR="000D07EA" w14:paraId="633FF0FE" w14:textId="77777777">
        <w:trPr>
          <w:trHeight w:val="20"/>
        </w:trPr>
        <w:tc>
          <w:tcPr>
            <w:tcW w:w="5155" w:type="dxa"/>
          </w:tcPr>
          <w:p w14:paraId="6A4390D5" w14:textId="77777777" w:rsidR="000D07EA" w:rsidRDefault="00BE7C89">
            <w:pPr>
              <w:pStyle w:val="BodyText"/>
              <w:spacing w:before="100" w:after="100"/>
            </w:pPr>
            <w:r>
              <w:t>Optus Zoo or Optus Zoo and iZoo Browsing</w:t>
            </w:r>
          </w:p>
        </w:tc>
        <w:tc>
          <w:tcPr>
            <w:tcW w:w="2984" w:type="dxa"/>
          </w:tcPr>
          <w:p w14:paraId="3D182B3F" w14:textId="77777777" w:rsidR="000D07EA" w:rsidRDefault="00BE7C89">
            <w:pPr>
              <w:pStyle w:val="BodyText"/>
              <w:spacing w:before="100" w:after="100"/>
            </w:pPr>
            <w:r>
              <w:t>No</w:t>
            </w:r>
          </w:p>
        </w:tc>
      </w:tr>
      <w:tr w:rsidR="000D07EA" w14:paraId="513E7FE7" w14:textId="77777777">
        <w:trPr>
          <w:trHeight w:val="20"/>
        </w:trPr>
        <w:tc>
          <w:tcPr>
            <w:tcW w:w="5155" w:type="dxa"/>
          </w:tcPr>
          <w:p w14:paraId="270D29B3" w14:textId="77777777" w:rsidR="000D07EA" w:rsidRDefault="00BE7C89">
            <w:pPr>
              <w:pStyle w:val="BodyText"/>
              <w:spacing w:before="100" w:after="100"/>
            </w:pPr>
            <w:r>
              <w:t>Optus Zoo or Optus Zoo and iZoo Downloads</w:t>
            </w:r>
          </w:p>
        </w:tc>
        <w:tc>
          <w:tcPr>
            <w:tcW w:w="2984" w:type="dxa"/>
          </w:tcPr>
          <w:p w14:paraId="3F05814F" w14:textId="77777777" w:rsidR="000D07EA" w:rsidRDefault="00BE7C89">
            <w:pPr>
              <w:pStyle w:val="BodyText"/>
              <w:spacing w:before="100" w:after="100"/>
            </w:pPr>
            <w:r>
              <w:t>No</w:t>
            </w:r>
          </w:p>
        </w:tc>
      </w:tr>
      <w:tr w:rsidR="000D07EA" w14:paraId="1376CA65" w14:textId="77777777">
        <w:trPr>
          <w:trHeight w:val="20"/>
        </w:trPr>
        <w:tc>
          <w:tcPr>
            <w:tcW w:w="5155" w:type="dxa"/>
          </w:tcPr>
          <w:p w14:paraId="65BD9057" w14:textId="77777777" w:rsidR="000D07EA" w:rsidRDefault="00BE7C89">
            <w:pPr>
              <w:pStyle w:val="BodyText"/>
              <w:spacing w:before="100" w:after="100"/>
            </w:pPr>
            <w:r>
              <w:t>SMS to 966 (Zoo)</w:t>
            </w:r>
          </w:p>
        </w:tc>
        <w:tc>
          <w:tcPr>
            <w:tcW w:w="2984" w:type="dxa"/>
          </w:tcPr>
          <w:p w14:paraId="34574820" w14:textId="77777777" w:rsidR="000D07EA" w:rsidRDefault="00BE7C89">
            <w:pPr>
              <w:pStyle w:val="BodyText"/>
              <w:spacing w:before="100" w:after="100"/>
            </w:pPr>
            <w:r>
              <w:t>No</w:t>
            </w:r>
          </w:p>
        </w:tc>
      </w:tr>
      <w:tr w:rsidR="000D07EA" w14:paraId="6DE05E9C" w14:textId="77777777">
        <w:trPr>
          <w:trHeight w:val="20"/>
        </w:trPr>
        <w:tc>
          <w:tcPr>
            <w:tcW w:w="5155" w:type="dxa"/>
          </w:tcPr>
          <w:p w14:paraId="4F3F4534" w14:textId="77777777" w:rsidR="000D07EA" w:rsidRDefault="00BE7C89">
            <w:pPr>
              <w:pStyle w:val="BodyText"/>
              <w:spacing w:before="100" w:after="100"/>
            </w:pPr>
            <w:r>
              <w:t>Mobile Internet usage</w:t>
            </w:r>
          </w:p>
        </w:tc>
        <w:tc>
          <w:tcPr>
            <w:tcW w:w="2984" w:type="dxa"/>
          </w:tcPr>
          <w:p w14:paraId="494EC4CA" w14:textId="77777777" w:rsidR="000D07EA" w:rsidRDefault="00BE7C89">
            <w:pPr>
              <w:pStyle w:val="BodyText"/>
              <w:spacing w:before="100" w:after="100"/>
            </w:pPr>
            <w:r>
              <w:t>No</w:t>
            </w:r>
          </w:p>
        </w:tc>
      </w:tr>
      <w:tr w:rsidR="000D07EA" w14:paraId="75E3C246" w14:textId="77777777">
        <w:trPr>
          <w:trHeight w:val="20"/>
        </w:trPr>
        <w:tc>
          <w:tcPr>
            <w:tcW w:w="5155" w:type="dxa"/>
          </w:tcPr>
          <w:p w14:paraId="539A6FB8" w14:textId="77777777" w:rsidR="000D07EA" w:rsidRDefault="00BE7C89">
            <w:pPr>
              <w:pStyle w:val="BodyText"/>
              <w:spacing w:before="100" w:after="100"/>
            </w:pPr>
            <w:r>
              <w:t>Data Used while Roaming Internationally</w:t>
            </w:r>
          </w:p>
        </w:tc>
        <w:tc>
          <w:tcPr>
            <w:tcW w:w="2984" w:type="dxa"/>
          </w:tcPr>
          <w:p w14:paraId="66BCD928" w14:textId="77777777" w:rsidR="000D07EA" w:rsidRDefault="00BE7C89">
            <w:pPr>
              <w:pStyle w:val="BodyText"/>
              <w:spacing w:before="100" w:after="100"/>
            </w:pPr>
            <w:r>
              <w:t>No</w:t>
            </w:r>
          </w:p>
        </w:tc>
      </w:tr>
      <w:tr w:rsidR="000D07EA" w14:paraId="748D1EE5" w14:textId="77777777">
        <w:trPr>
          <w:trHeight w:val="20"/>
        </w:trPr>
        <w:tc>
          <w:tcPr>
            <w:tcW w:w="5155" w:type="dxa"/>
          </w:tcPr>
          <w:p w14:paraId="3DA0E31A" w14:textId="77777777" w:rsidR="000D07EA" w:rsidRDefault="00BE7C89">
            <w:pPr>
              <w:pStyle w:val="BodyText"/>
              <w:spacing w:before="100" w:after="100"/>
            </w:pPr>
            <w:r>
              <w:t>Content Packs (unless specified in promotions)</w:t>
            </w:r>
          </w:p>
        </w:tc>
        <w:tc>
          <w:tcPr>
            <w:tcW w:w="2984" w:type="dxa"/>
          </w:tcPr>
          <w:p w14:paraId="60353708" w14:textId="77777777" w:rsidR="000D07EA" w:rsidRDefault="00BE7C89">
            <w:pPr>
              <w:pStyle w:val="BodyText"/>
              <w:spacing w:before="100" w:after="100"/>
            </w:pPr>
            <w:r>
              <w:t>No</w:t>
            </w:r>
          </w:p>
        </w:tc>
      </w:tr>
      <w:tr w:rsidR="000D07EA" w14:paraId="1C8848DC" w14:textId="77777777">
        <w:trPr>
          <w:trHeight w:val="20"/>
        </w:trPr>
        <w:tc>
          <w:tcPr>
            <w:tcW w:w="5155" w:type="dxa"/>
          </w:tcPr>
          <w:p w14:paraId="64E73418" w14:textId="77777777" w:rsidR="000D07EA" w:rsidRDefault="00BE7C89">
            <w:pPr>
              <w:pStyle w:val="BodyText"/>
              <w:spacing w:before="100" w:after="100"/>
            </w:pPr>
            <w:r>
              <w:t>TrueLocal Usage</w:t>
            </w:r>
          </w:p>
        </w:tc>
        <w:tc>
          <w:tcPr>
            <w:tcW w:w="2984" w:type="dxa"/>
          </w:tcPr>
          <w:p w14:paraId="14C67522" w14:textId="77777777" w:rsidR="000D07EA" w:rsidRDefault="00BE7C89">
            <w:pPr>
              <w:pStyle w:val="BodyText"/>
              <w:spacing w:before="100" w:after="100"/>
            </w:pPr>
            <w:r>
              <w:t>No</w:t>
            </w:r>
          </w:p>
        </w:tc>
      </w:tr>
      <w:tr w:rsidR="000D07EA" w14:paraId="74CBC0FE" w14:textId="77777777">
        <w:trPr>
          <w:trHeight w:val="20"/>
        </w:trPr>
        <w:tc>
          <w:tcPr>
            <w:tcW w:w="5155" w:type="dxa"/>
          </w:tcPr>
          <w:p w14:paraId="335FD98B" w14:textId="77777777" w:rsidR="000D07EA" w:rsidRDefault="00BE7C89">
            <w:pPr>
              <w:pStyle w:val="BodyText"/>
              <w:spacing w:before="100" w:after="100"/>
            </w:pPr>
            <w:r>
              <w:lastRenderedPageBreak/>
              <w:t xml:space="preserve">Directory Assistance- 1223 </w:t>
            </w:r>
          </w:p>
        </w:tc>
        <w:tc>
          <w:tcPr>
            <w:tcW w:w="2984" w:type="dxa"/>
          </w:tcPr>
          <w:p w14:paraId="7F29771E" w14:textId="77777777" w:rsidR="000D07EA" w:rsidRDefault="00BE7C89">
            <w:pPr>
              <w:pStyle w:val="BodyText"/>
              <w:spacing w:before="100" w:after="100"/>
            </w:pPr>
            <w:r>
              <w:t>No</w:t>
            </w:r>
          </w:p>
        </w:tc>
      </w:tr>
      <w:tr w:rsidR="000D07EA" w14:paraId="00B04A87" w14:textId="77777777">
        <w:trPr>
          <w:trHeight w:val="20"/>
        </w:trPr>
        <w:tc>
          <w:tcPr>
            <w:tcW w:w="5155" w:type="dxa"/>
          </w:tcPr>
          <w:p w14:paraId="47B7BD4B" w14:textId="77777777" w:rsidR="000D07EA" w:rsidRDefault="00BE7C89">
            <w:pPr>
              <w:pStyle w:val="BodyText"/>
              <w:spacing w:before="100" w:after="100"/>
            </w:pPr>
            <w:r>
              <w:t>19XX Numbers</w:t>
            </w:r>
          </w:p>
        </w:tc>
        <w:tc>
          <w:tcPr>
            <w:tcW w:w="2984" w:type="dxa"/>
          </w:tcPr>
          <w:p w14:paraId="6EE5CB2C" w14:textId="77777777" w:rsidR="000D07EA" w:rsidRDefault="00BE7C89">
            <w:pPr>
              <w:pStyle w:val="BodyText"/>
              <w:spacing w:before="100" w:after="100"/>
            </w:pPr>
            <w:r>
              <w:t>No</w:t>
            </w:r>
          </w:p>
        </w:tc>
      </w:tr>
      <w:tr w:rsidR="000D07EA" w14:paraId="69785C8C" w14:textId="77777777">
        <w:trPr>
          <w:trHeight w:val="20"/>
        </w:trPr>
        <w:tc>
          <w:tcPr>
            <w:tcW w:w="5155" w:type="dxa"/>
          </w:tcPr>
          <w:p w14:paraId="0627D41E" w14:textId="77777777" w:rsidR="000D07EA" w:rsidRDefault="00BE7C89">
            <w:pPr>
              <w:pStyle w:val="BodyText"/>
              <w:spacing w:before="100" w:after="100"/>
            </w:pPr>
            <w:r>
              <w:t>1800, 13 and 1300 numbers</w:t>
            </w:r>
          </w:p>
        </w:tc>
        <w:tc>
          <w:tcPr>
            <w:tcW w:w="2984" w:type="dxa"/>
          </w:tcPr>
          <w:p w14:paraId="410149C8" w14:textId="77777777" w:rsidR="000D07EA" w:rsidRDefault="00BE7C89">
            <w:pPr>
              <w:pStyle w:val="BodyText"/>
              <w:spacing w:before="100" w:after="100"/>
            </w:pPr>
            <w:r>
              <w:t>Yes (except on the $89 Business Timeless Plan)</w:t>
            </w:r>
          </w:p>
        </w:tc>
      </w:tr>
      <w:tr w:rsidR="000D07EA" w14:paraId="546F8AD8" w14:textId="77777777">
        <w:trPr>
          <w:trHeight w:val="20"/>
        </w:trPr>
        <w:tc>
          <w:tcPr>
            <w:tcW w:w="5155" w:type="dxa"/>
          </w:tcPr>
          <w:p w14:paraId="49834E1C" w14:textId="77777777" w:rsidR="000D07EA" w:rsidRDefault="00BE7C89">
            <w:pPr>
              <w:pStyle w:val="BodyText"/>
              <w:spacing w:before="100" w:after="100"/>
            </w:pPr>
            <w:r>
              <w:t>124YES(937)</w:t>
            </w:r>
          </w:p>
        </w:tc>
        <w:tc>
          <w:tcPr>
            <w:tcW w:w="2984" w:type="dxa"/>
          </w:tcPr>
          <w:p w14:paraId="4D586D8D" w14:textId="77777777" w:rsidR="000D07EA" w:rsidRDefault="00BE7C89">
            <w:pPr>
              <w:pStyle w:val="BodyText"/>
              <w:spacing w:before="100" w:after="100"/>
            </w:pPr>
            <w:r>
              <w:t>No</w:t>
            </w:r>
          </w:p>
        </w:tc>
      </w:tr>
      <w:tr w:rsidR="000D07EA" w14:paraId="5B8D16F9" w14:textId="77777777">
        <w:trPr>
          <w:trHeight w:val="20"/>
        </w:trPr>
        <w:tc>
          <w:tcPr>
            <w:tcW w:w="5155" w:type="dxa"/>
          </w:tcPr>
          <w:p w14:paraId="562E6B64" w14:textId="77777777" w:rsidR="000D07EA" w:rsidRDefault="00BE7C89">
            <w:pPr>
              <w:pStyle w:val="BodyText"/>
              <w:spacing w:before="100" w:after="100"/>
            </w:pPr>
            <w:r>
              <w:t>Calls to Satellite</w:t>
            </w:r>
          </w:p>
        </w:tc>
        <w:tc>
          <w:tcPr>
            <w:tcW w:w="2984" w:type="dxa"/>
          </w:tcPr>
          <w:p w14:paraId="4DDABCE2" w14:textId="77777777" w:rsidR="000D07EA" w:rsidRDefault="00BE7C89">
            <w:pPr>
              <w:pStyle w:val="BodyText"/>
              <w:spacing w:before="100" w:after="100"/>
            </w:pPr>
            <w:r>
              <w:t>No</w:t>
            </w:r>
          </w:p>
        </w:tc>
      </w:tr>
      <w:tr w:rsidR="000D07EA" w14:paraId="1C5D2AD0" w14:textId="77777777">
        <w:trPr>
          <w:trHeight w:val="20"/>
        </w:trPr>
        <w:tc>
          <w:tcPr>
            <w:tcW w:w="5155" w:type="dxa"/>
          </w:tcPr>
          <w:p w14:paraId="4EB72560" w14:textId="77777777" w:rsidR="000D07EA" w:rsidRDefault="00BE7C89">
            <w:pPr>
              <w:pStyle w:val="BodyText"/>
              <w:spacing w:before="100" w:after="100"/>
            </w:pPr>
            <w:r>
              <w:t>VOIP services</w:t>
            </w:r>
          </w:p>
        </w:tc>
        <w:tc>
          <w:tcPr>
            <w:tcW w:w="2984" w:type="dxa"/>
          </w:tcPr>
          <w:p w14:paraId="6321A253" w14:textId="77777777" w:rsidR="000D07EA" w:rsidRDefault="00BE7C89">
            <w:pPr>
              <w:pStyle w:val="BodyText"/>
              <w:spacing w:before="100" w:after="100"/>
            </w:pPr>
            <w:r>
              <w:t>No</w:t>
            </w:r>
          </w:p>
        </w:tc>
      </w:tr>
    </w:tbl>
    <w:p w14:paraId="3D402D2D" w14:textId="77777777" w:rsidR="000D07EA" w:rsidRDefault="000D07EA">
      <w:pPr>
        <w:pStyle w:val="BodyText"/>
      </w:pPr>
    </w:p>
    <w:p w14:paraId="6211F95A" w14:textId="77777777" w:rsidR="000D07EA" w:rsidRDefault="00BE7C89">
      <w:pPr>
        <w:pStyle w:val="BodyText"/>
        <w:ind w:left="1440"/>
        <w:jc w:val="both"/>
        <w:rPr>
          <w:b/>
        </w:rPr>
      </w:pPr>
      <w:r>
        <w:rPr>
          <w:b/>
        </w:rPr>
        <w:t>Table 1B – Eligible for the Included Mobile Internet Data</w:t>
      </w:r>
    </w:p>
    <w:tbl>
      <w:tblPr>
        <w:tblW w:w="8139"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155"/>
        <w:gridCol w:w="2984"/>
      </w:tblGrid>
      <w:tr w:rsidR="000D07EA" w14:paraId="370297A4" w14:textId="77777777">
        <w:trPr>
          <w:trHeight w:val="20"/>
          <w:tblHeader/>
        </w:trPr>
        <w:tc>
          <w:tcPr>
            <w:tcW w:w="5155" w:type="dxa"/>
          </w:tcPr>
          <w:p w14:paraId="6697E203" w14:textId="77777777" w:rsidR="000D07EA" w:rsidRDefault="00BE7C89">
            <w:pPr>
              <w:pStyle w:val="BodyText"/>
              <w:spacing w:before="100" w:after="100"/>
              <w:rPr>
                <w:b/>
              </w:rPr>
            </w:pPr>
            <w:r>
              <w:rPr>
                <w:b/>
              </w:rPr>
              <w:t>Call Type</w:t>
            </w:r>
          </w:p>
        </w:tc>
        <w:tc>
          <w:tcPr>
            <w:tcW w:w="2984" w:type="dxa"/>
          </w:tcPr>
          <w:p w14:paraId="6BC671A4" w14:textId="77777777" w:rsidR="000D07EA" w:rsidRDefault="00BE7C89">
            <w:pPr>
              <w:pStyle w:val="BodyText"/>
              <w:spacing w:before="100" w:after="100"/>
              <w:rPr>
                <w:b/>
              </w:rPr>
            </w:pPr>
            <w:r>
              <w:rPr>
                <w:b/>
              </w:rPr>
              <w:t>Eligible Data</w:t>
            </w:r>
          </w:p>
        </w:tc>
      </w:tr>
      <w:tr w:rsidR="000D07EA" w14:paraId="3796D0A9" w14:textId="77777777">
        <w:trPr>
          <w:trHeight w:val="20"/>
        </w:trPr>
        <w:tc>
          <w:tcPr>
            <w:tcW w:w="5155" w:type="dxa"/>
          </w:tcPr>
          <w:p w14:paraId="79803A2D" w14:textId="77777777" w:rsidR="000D07EA" w:rsidRDefault="00BE7C89">
            <w:pPr>
              <w:pStyle w:val="BodyText"/>
              <w:spacing w:before="100" w:after="100"/>
            </w:pPr>
            <w:r>
              <w:t>Standard National Mobile Calls</w:t>
            </w:r>
          </w:p>
        </w:tc>
        <w:tc>
          <w:tcPr>
            <w:tcW w:w="2984" w:type="dxa"/>
          </w:tcPr>
          <w:p w14:paraId="4744DB1D" w14:textId="77777777" w:rsidR="000D07EA" w:rsidRDefault="00BE7C89">
            <w:pPr>
              <w:pStyle w:val="BodyText"/>
              <w:spacing w:before="100" w:after="100"/>
            </w:pPr>
            <w:r>
              <w:t>No</w:t>
            </w:r>
          </w:p>
        </w:tc>
      </w:tr>
      <w:tr w:rsidR="000D07EA" w14:paraId="3621EBD7" w14:textId="77777777">
        <w:trPr>
          <w:trHeight w:val="20"/>
        </w:trPr>
        <w:tc>
          <w:tcPr>
            <w:tcW w:w="5155" w:type="dxa"/>
          </w:tcPr>
          <w:p w14:paraId="2FCFB72A" w14:textId="77777777" w:rsidR="000D07EA" w:rsidRDefault="00BE7C89">
            <w:pPr>
              <w:pStyle w:val="BodyText"/>
              <w:spacing w:before="100" w:after="100"/>
            </w:pPr>
            <w:r>
              <w:t>National Voice and Video Calls</w:t>
            </w:r>
          </w:p>
        </w:tc>
        <w:tc>
          <w:tcPr>
            <w:tcW w:w="2984" w:type="dxa"/>
          </w:tcPr>
          <w:p w14:paraId="4EB2A2F2" w14:textId="77777777" w:rsidR="000D07EA" w:rsidRDefault="00BE7C89">
            <w:pPr>
              <w:pStyle w:val="BodyText"/>
              <w:spacing w:before="100" w:after="100"/>
            </w:pPr>
            <w:r>
              <w:t>No</w:t>
            </w:r>
          </w:p>
        </w:tc>
      </w:tr>
      <w:tr w:rsidR="000D07EA" w14:paraId="4F787698" w14:textId="77777777">
        <w:trPr>
          <w:trHeight w:val="20"/>
        </w:trPr>
        <w:tc>
          <w:tcPr>
            <w:tcW w:w="5155" w:type="dxa"/>
          </w:tcPr>
          <w:p w14:paraId="4E616D59" w14:textId="77777777" w:rsidR="000D07EA" w:rsidRDefault="00BE7C89">
            <w:pPr>
              <w:pStyle w:val="BodyText"/>
              <w:spacing w:before="100" w:after="100"/>
            </w:pPr>
            <w:r>
              <w:t>International Voice and Video Calls</w:t>
            </w:r>
          </w:p>
          <w:p w14:paraId="0AACCBCC" w14:textId="77777777" w:rsidR="000D07EA" w:rsidRDefault="00BE7C89">
            <w:pPr>
              <w:pStyle w:val="BodyText"/>
              <w:spacing w:before="100" w:after="100"/>
            </w:pPr>
            <w:r>
              <w:t>(including calls to national fixed or mobile services that then divert/switch or re-route overseas)</w:t>
            </w:r>
          </w:p>
        </w:tc>
        <w:tc>
          <w:tcPr>
            <w:tcW w:w="2984" w:type="dxa"/>
          </w:tcPr>
          <w:p w14:paraId="22130A22" w14:textId="77777777" w:rsidR="000D07EA" w:rsidRDefault="00BE7C89">
            <w:pPr>
              <w:pStyle w:val="BodyText"/>
              <w:spacing w:before="100" w:after="100"/>
            </w:pPr>
            <w:r>
              <w:t xml:space="preserve">No </w:t>
            </w:r>
          </w:p>
        </w:tc>
      </w:tr>
      <w:tr w:rsidR="000D07EA" w14:paraId="70F1A876" w14:textId="77777777">
        <w:trPr>
          <w:trHeight w:val="20"/>
        </w:trPr>
        <w:tc>
          <w:tcPr>
            <w:tcW w:w="5155" w:type="dxa"/>
          </w:tcPr>
          <w:p w14:paraId="5B6A808E" w14:textId="77777777" w:rsidR="000D07EA" w:rsidRDefault="00BE7C89">
            <w:pPr>
              <w:pStyle w:val="BodyText"/>
              <w:spacing w:before="100" w:after="100"/>
            </w:pPr>
            <w:r>
              <w:t>Premium Video</w:t>
            </w:r>
          </w:p>
        </w:tc>
        <w:tc>
          <w:tcPr>
            <w:tcW w:w="2984" w:type="dxa"/>
          </w:tcPr>
          <w:p w14:paraId="1FD2B189" w14:textId="77777777" w:rsidR="000D07EA" w:rsidRDefault="00BE7C89">
            <w:pPr>
              <w:pStyle w:val="BodyText"/>
              <w:spacing w:before="100" w:after="100"/>
            </w:pPr>
            <w:r>
              <w:t>No</w:t>
            </w:r>
          </w:p>
        </w:tc>
      </w:tr>
      <w:tr w:rsidR="000D07EA" w14:paraId="0771D407" w14:textId="77777777">
        <w:trPr>
          <w:trHeight w:val="20"/>
        </w:trPr>
        <w:tc>
          <w:tcPr>
            <w:tcW w:w="5155" w:type="dxa"/>
          </w:tcPr>
          <w:p w14:paraId="01D8B2F4" w14:textId="77777777" w:rsidR="000D07EA" w:rsidRDefault="00BE7C89">
            <w:pPr>
              <w:pStyle w:val="BodyText"/>
              <w:spacing w:before="100" w:after="100"/>
            </w:pPr>
            <w:r>
              <w:t>Content Video</w:t>
            </w:r>
          </w:p>
        </w:tc>
        <w:tc>
          <w:tcPr>
            <w:tcW w:w="2984" w:type="dxa"/>
          </w:tcPr>
          <w:p w14:paraId="7155E652" w14:textId="77777777" w:rsidR="000D07EA" w:rsidRDefault="00BE7C89">
            <w:pPr>
              <w:pStyle w:val="BodyText"/>
              <w:spacing w:before="100" w:after="100"/>
            </w:pPr>
            <w:r>
              <w:t>No</w:t>
            </w:r>
          </w:p>
        </w:tc>
      </w:tr>
      <w:tr w:rsidR="000D07EA" w14:paraId="5869AF23" w14:textId="77777777">
        <w:trPr>
          <w:trHeight w:val="20"/>
        </w:trPr>
        <w:tc>
          <w:tcPr>
            <w:tcW w:w="5155" w:type="dxa"/>
          </w:tcPr>
          <w:p w14:paraId="34DFBAE1" w14:textId="77777777" w:rsidR="000D07EA" w:rsidRDefault="00BE7C89">
            <w:pPr>
              <w:pStyle w:val="BodyText"/>
              <w:spacing w:before="100" w:after="100"/>
            </w:pPr>
            <w:r>
              <w:t>Standard National SMS</w:t>
            </w:r>
          </w:p>
        </w:tc>
        <w:tc>
          <w:tcPr>
            <w:tcW w:w="2984" w:type="dxa"/>
          </w:tcPr>
          <w:p w14:paraId="06111545" w14:textId="77777777" w:rsidR="000D07EA" w:rsidRDefault="00BE7C89">
            <w:pPr>
              <w:pStyle w:val="BodyText"/>
              <w:spacing w:before="100" w:after="100"/>
            </w:pPr>
            <w:r>
              <w:t>No</w:t>
            </w:r>
          </w:p>
        </w:tc>
      </w:tr>
      <w:tr w:rsidR="000D07EA" w14:paraId="2422370D" w14:textId="77777777">
        <w:trPr>
          <w:trHeight w:val="20"/>
        </w:trPr>
        <w:tc>
          <w:tcPr>
            <w:tcW w:w="5155" w:type="dxa"/>
          </w:tcPr>
          <w:p w14:paraId="6970BEF5" w14:textId="77777777" w:rsidR="000D07EA" w:rsidRDefault="00BE7C89">
            <w:pPr>
              <w:pStyle w:val="BodyText"/>
              <w:spacing w:before="100" w:after="100"/>
            </w:pPr>
            <w:r>
              <w:t>International SMS</w:t>
            </w:r>
          </w:p>
        </w:tc>
        <w:tc>
          <w:tcPr>
            <w:tcW w:w="2984" w:type="dxa"/>
          </w:tcPr>
          <w:p w14:paraId="255AB6C4" w14:textId="77777777" w:rsidR="000D07EA" w:rsidRDefault="00BE7C89">
            <w:pPr>
              <w:pStyle w:val="BodyText"/>
              <w:spacing w:before="100" w:after="100"/>
            </w:pPr>
            <w:r>
              <w:t>No</w:t>
            </w:r>
          </w:p>
        </w:tc>
      </w:tr>
      <w:tr w:rsidR="000D07EA" w14:paraId="20A0C03C" w14:textId="77777777">
        <w:trPr>
          <w:trHeight w:val="20"/>
        </w:trPr>
        <w:tc>
          <w:tcPr>
            <w:tcW w:w="5155" w:type="dxa"/>
          </w:tcPr>
          <w:p w14:paraId="4FA6A9E4" w14:textId="77777777" w:rsidR="000D07EA" w:rsidRDefault="00BE7C89">
            <w:pPr>
              <w:pStyle w:val="BodyText"/>
              <w:spacing w:before="100" w:after="100"/>
            </w:pPr>
            <w:r>
              <w:t>Premium SMS</w:t>
            </w:r>
          </w:p>
        </w:tc>
        <w:tc>
          <w:tcPr>
            <w:tcW w:w="2984" w:type="dxa"/>
          </w:tcPr>
          <w:p w14:paraId="47D06432" w14:textId="77777777" w:rsidR="000D07EA" w:rsidRDefault="00BE7C89">
            <w:pPr>
              <w:pStyle w:val="BodyText"/>
              <w:spacing w:before="100" w:after="100"/>
            </w:pPr>
            <w:r>
              <w:t>No</w:t>
            </w:r>
          </w:p>
        </w:tc>
      </w:tr>
      <w:tr w:rsidR="000D07EA" w14:paraId="4B00F65E" w14:textId="77777777">
        <w:trPr>
          <w:trHeight w:val="20"/>
        </w:trPr>
        <w:tc>
          <w:tcPr>
            <w:tcW w:w="5155" w:type="dxa"/>
          </w:tcPr>
          <w:p w14:paraId="51FB911E" w14:textId="77777777" w:rsidR="000D07EA" w:rsidRDefault="00BE7C89">
            <w:pPr>
              <w:pStyle w:val="BodyText"/>
              <w:spacing w:before="100" w:after="100"/>
            </w:pPr>
            <w:r>
              <w:t>National Standard MMS</w:t>
            </w:r>
          </w:p>
        </w:tc>
        <w:tc>
          <w:tcPr>
            <w:tcW w:w="2984" w:type="dxa"/>
          </w:tcPr>
          <w:p w14:paraId="3AFB0523" w14:textId="77777777" w:rsidR="000D07EA" w:rsidRDefault="00BE7C89">
            <w:pPr>
              <w:pStyle w:val="BodyText"/>
              <w:spacing w:before="100" w:after="100"/>
            </w:pPr>
            <w:r>
              <w:t>No</w:t>
            </w:r>
          </w:p>
        </w:tc>
      </w:tr>
      <w:tr w:rsidR="000D07EA" w14:paraId="5FAC4E0C" w14:textId="77777777">
        <w:trPr>
          <w:trHeight w:val="20"/>
        </w:trPr>
        <w:tc>
          <w:tcPr>
            <w:tcW w:w="5155" w:type="dxa"/>
          </w:tcPr>
          <w:p w14:paraId="7EF84824" w14:textId="77777777" w:rsidR="000D07EA" w:rsidRDefault="00BE7C89">
            <w:pPr>
              <w:pStyle w:val="BodyText"/>
              <w:spacing w:before="100" w:after="100"/>
            </w:pPr>
            <w:r>
              <w:t>International MMS</w:t>
            </w:r>
          </w:p>
        </w:tc>
        <w:tc>
          <w:tcPr>
            <w:tcW w:w="2984" w:type="dxa"/>
          </w:tcPr>
          <w:p w14:paraId="15F47EAC" w14:textId="77777777" w:rsidR="000D07EA" w:rsidRDefault="00BE7C89">
            <w:pPr>
              <w:pStyle w:val="BodyText"/>
              <w:spacing w:before="100" w:after="100"/>
            </w:pPr>
            <w:r>
              <w:t>No</w:t>
            </w:r>
          </w:p>
        </w:tc>
      </w:tr>
      <w:tr w:rsidR="000D07EA" w14:paraId="724F9199" w14:textId="77777777">
        <w:trPr>
          <w:trHeight w:val="20"/>
        </w:trPr>
        <w:tc>
          <w:tcPr>
            <w:tcW w:w="5155" w:type="dxa"/>
          </w:tcPr>
          <w:p w14:paraId="703AF9B9" w14:textId="77777777" w:rsidR="000D07EA" w:rsidRDefault="00BE7C89">
            <w:pPr>
              <w:pStyle w:val="BodyText"/>
              <w:spacing w:before="100" w:after="100"/>
            </w:pPr>
            <w:r>
              <w:t>Premium MMS</w:t>
            </w:r>
          </w:p>
        </w:tc>
        <w:tc>
          <w:tcPr>
            <w:tcW w:w="2984" w:type="dxa"/>
          </w:tcPr>
          <w:p w14:paraId="218B2678" w14:textId="77777777" w:rsidR="000D07EA" w:rsidRDefault="00BE7C89">
            <w:pPr>
              <w:pStyle w:val="BodyText"/>
              <w:spacing w:before="100" w:after="100"/>
            </w:pPr>
            <w:r>
              <w:t>No</w:t>
            </w:r>
          </w:p>
        </w:tc>
      </w:tr>
      <w:tr w:rsidR="000D07EA" w14:paraId="20F49496" w14:textId="77777777">
        <w:trPr>
          <w:trHeight w:val="20"/>
        </w:trPr>
        <w:tc>
          <w:tcPr>
            <w:tcW w:w="5155" w:type="dxa"/>
          </w:tcPr>
          <w:p w14:paraId="719189C6" w14:textId="77777777" w:rsidR="000D07EA" w:rsidRDefault="00BE7C89">
            <w:pPr>
              <w:pStyle w:val="BodyText"/>
              <w:spacing w:before="100" w:after="100"/>
            </w:pPr>
            <w:r>
              <w:t>National Diversions</w:t>
            </w:r>
          </w:p>
        </w:tc>
        <w:tc>
          <w:tcPr>
            <w:tcW w:w="2984" w:type="dxa"/>
          </w:tcPr>
          <w:p w14:paraId="775F600C" w14:textId="77777777" w:rsidR="000D07EA" w:rsidRDefault="00BE7C89">
            <w:pPr>
              <w:pStyle w:val="BodyText"/>
              <w:spacing w:before="100" w:after="100"/>
            </w:pPr>
            <w:r>
              <w:t>No</w:t>
            </w:r>
          </w:p>
        </w:tc>
      </w:tr>
      <w:tr w:rsidR="000D07EA" w14:paraId="6B57436A" w14:textId="77777777">
        <w:trPr>
          <w:trHeight w:val="20"/>
        </w:trPr>
        <w:tc>
          <w:tcPr>
            <w:tcW w:w="5155" w:type="dxa"/>
          </w:tcPr>
          <w:p w14:paraId="61F50B71" w14:textId="77777777" w:rsidR="000D07EA" w:rsidRDefault="00BE7C89">
            <w:pPr>
              <w:pStyle w:val="BodyText"/>
              <w:spacing w:before="100" w:after="100"/>
            </w:pPr>
            <w:r>
              <w:t>Voicemail Deposit and Retrievals</w:t>
            </w:r>
          </w:p>
        </w:tc>
        <w:tc>
          <w:tcPr>
            <w:tcW w:w="2984" w:type="dxa"/>
          </w:tcPr>
          <w:p w14:paraId="10C4DCCC" w14:textId="77777777" w:rsidR="000D07EA" w:rsidRDefault="00BE7C89">
            <w:pPr>
              <w:pStyle w:val="BodyText"/>
              <w:spacing w:before="100" w:after="100"/>
            </w:pPr>
            <w:r>
              <w:t>No</w:t>
            </w:r>
          </w:p>
        </w:tc>
      </w:tr>
      <w:tr w:rsidR="000D07EA" w14:paraId="0532F3CB" w14:textId="77777777">
        <w:trPr>
          <w:trHeight w:val="20"/>
        </w:trPr>
        <w:tc>
          <w:tcPr>
            <w:tcW w:w="5155" w:type="dxa"/>
          </w:tcPr>
          <w:p w14:paraId="0DC23A63" w14:textId="77777777" w:rsidR="000D07EA" w:rsidRDefault="00BE7C89">
            <w:pPr>
              <w:pStyle w:val="BodyText"/>
              <w:spacing w:before="100" w:after="100"/>
            </w:pPr>
            <w:r>
              <w:t>International Roaming and Diversion</w:t>
            </w:r>
          </w:p>
        </w:tc>
        <w:tc>
          <w:tcPr>
            <w:tcW w:w="2984" w:type="dxa"/>
          </w:tcPr>
          <w:p w14:paraId="6F46AB9F" w14:textId="77777777" w:rsidR="000D07EA" w:rsidRDefault="00BE7C89">
            <w:pPr>
              <w:pStyle w:val="BodyText"/>
              <w:spacing w:before="100" w:after="100"/>
            </w:pPr>
            <w:r>
              <w:t>No</w:t>
            </w:r>
          </w:p>
        </w:tc>
      </w:tr>
      <w:tr w:rsidR="000D07EA" w14:paraId="14663870" w14:textId="77777777">
        <w:trPr>
          <w:trHeight w:val="20"/>
        </w:trPr>
        <w:tc>
          <w:tcPr>
            <w:tcW w:w="5155" w:type="dxa"/>
          </w:tcPr>
          <w:p w14:paraId="0EBF5E22" w14:textId="77777777" w:rsidR="000D07EA" w:rsidRDefault="00BE7C89">
            <w:pPr>
              <w:pStyle w:val="BodyText"/>
              <w:spacing w:before="100" w:after="100"/>
            </w:pPr>
            <w:r>
              <w:t>Video Conferencing</w:t>
            </w:r>
          </w:p>
        </w:tc>
        <w:tc>
          <w:tcPr>
            <w:tcW w:w="2984" w:type="dxa"/>
          </w:tcPr>
          <w:p w14:paraId="5E8AF858" w14:textId="77777777" w:rsidR="000D07EA" w:rsidRDefault="00BE7C89">
            <w:pPr>
              <w:pStyle w:val="BodyText"/>
              <w:spacing w:before="100" w:after="100"/>
            </w:pPr>
            <w:r>
              <w:t>No</w:t>
            </w:r>
          </w:p>
        </w:tc>
      </w:tr>
      <w:tr w:rsidR="000D07EA" w14:paraId="7C3939E0" w14:textId="77777777">
        <w:trPr>
          <w:trHeight w:val="20"/>
        </w:trPr>
        <w:tc>
          <w:tcPr>
            <w:tcW w:w="5155" w:type="dxa"/>
          </w:tcPr>
          <w:p w14:paraId="308FECD1" w14:textId="77777777" w:rsidR="000D07EA" w:rsidRDefault="00BE7C89">
            <w:pPr>
              <w:pStyle w:val="BodyText"/>
              <w:spacing w:before="100" w:after="100"/>
            </w:pPr>
            <w:r>
              <w:t>Optus Zoo and iZoo Browsing*</w:t>
            </w:r>
          </w:p>
        </w:tc>
        <w:tc>
          <w:tcPr>
            <w:tcW w:w="2984" w:type="dxa"/>
          </w:tcPr>
          <w:p w14:paraId="1C7CD662" w14:textId="77777777" w:rsidR="000D07EA" w:rsidRDefault="00BE7C89">
            <w:pPr>
              <w:pStyle w:val="BodyText"/>
              <w:spacing w:before="100" w:after="100"/>
            </w:pPr>
            <w:r>
              <w:t>Yes, up to the monthly included data amount specified in Table 2A.</w:t>
            </w:r>
          </w:p>
        </w:tc>
      </w:tr>
      <w:tr w:rsidR="000D07EA" w14:paraId="5C4D13FA" w14:textId="77777777">
        <w:trPr>
          <w:trHeight w:val="20"/>
        </w:trPr>
        <w:tc>
          <w:tcPr>
            <w:tcW w:w="5155" w:type="dxa"/>
          </w:tcPr>
          <w:p w14:paraId="3A6E4322" w14:textId="77777777" w:rsidR="000D07EA" w:rsidRDefault="00BE7C89">
            <w:pPr>
              <w:pStyle w:val="BodyText"/>
              <w:spacing w:before="100" w:after="100"/>
            </w:pPr>
            <w:r>
              <w:t>Optus Zoo and iZoo Downloads</w:t>
            </w:r>
          </w:p>
        </w:tc>
        <w:tc>
          <w:tcPr>
            <w:tcW w:w="2984" w:type="dxa"/>
          </w:tcPr>
          <w:p w14:paraId="33123376" w14:textId="77777777" w:rsidR="000D07EA" w:rsidRDefault="00BE7C89">
            <w:pPr>
              <w:pStyle w:val="BodyText"/>
              <w:spacing w:before="100" w:after="100"/>
            </w:pPr>
            <w:r>
              <w:t>No</w:t>
            </w:r>
          </w:p>
        </w:tc>
      </w:tr>
      <w:tr w:rsidR="000D07EA" w14:paraId="0220CDB2" w14:textId="77777777">
        <w:trPr>
          <w:trHeight w:val="20"/>
        </w:trPr>
        <w:tc>
          <w:tcPr>
            <w:tcW w:w="5155" w:type="dxa"/>
          </w:tcPr>
          <w:p w14:paraId="14043D0F" w14:textId="77777777" w:rsidR="000D07EA" w:rsidRDefault="00BE7C89">
            <w:pPr>
              <w:pStyle w:val="BodyText"/>
              <w:spacing w:before="100" w:after="100"/>
            </w:pPr>
            <w:r>
              <w:t>SMS to 966 (Zoo)</w:t>
            </w:r>
          </w:p>
        </w:tc>
        <w:tc>
          <w:tcPr>
            <w:tcW w:w="2984" w:type="dxa"/>
          </w:tcPr>
          <w:p w14:paraId="01A716C2" w14:textId="77777777" w:rsidR="000D07EA" w:rsidRDefault="00BE7C89">
            <w:pPr>
              <w:pStyle w:val="BodyText"/>
              <w:spacing w:before="100" w:after="100"/>
            </w:pPr>
            <w:r>
              <w:t>No</w:t>
            </w:r>
          </w:p>
        </w:tc>
      </w:tr>
      <w:tr w:rsidR="000D07EA" w14:paraId="1A7D8EE9" w14:textId="77777777">
        <w:trPr>
          <w:trHeight w:val="20"/>
        </w:trPr>
        <w:tc>
          <w:tcPr>
            <w:tcW w:w="5155" w:type="dxa"/>
          </w:tcPr>
          <w:p w14:paraId="3F7FE880" w14:textId="77777777" w:rsidR="000D07EA" w:rsidRDefault="00BE7C89">
            <w:pPr>
              <w:pStyle w:val="BodyText"/>
              <w:spacing w:before="100" w:after="100"/>
            </w:pPr>
            <w:r>
              <w:lastRenderedPageBreak/>
              <w:t>Mobile Internet usage*</w:t>
            </w:r>
          </w:p>
        </w:tc>
        <w:tc>
          <w:tcPr>
            <w:tcW w:w="2984" w:type="dxa"/>
          </w:tcPr>
          <w:p w14:paraId="29075CBD" w14:textId="77777777" w:rsidR="000D07EA" w:rsidRDefault="00BE7C89">
            <w:pPr>
              <w:pStyle w:val="BodyText"/>
              <w:spacing w:before="100" w:after="100"/>
            </w:pPr>
            <w:r>
              <w:t>Yes, up to the monthly included data amount specified in Table 2A.</w:t>
            </w:r>
          </w:p>
        </w:tc>
      </w:tr>
      <w:tr w:rsidR="000D07EA" w14:paraId="051D1C26" w14:textId="77777777">
        <w:trPr>
          <w:trHeight w:val="20"/>
        </w:trPr>
        <w:tc>
          <w:tcPr>
            <w:tcW w:w="5155" w:type="dxa"/>
          </w:tcPr>
          <w:p w14:paraId="5DE048B9" w14:textId="77777777" w:rsidR="000D07EA" w:rsidRDefault="00BE7C89">
            <w:pPr>
              <w:pStyle w:val="BodyText"/>
              <w:spacing w:before="100" w:after="100"/>
            </w:pPr>
            <w:r>
              <w:t>Mobile as Modem</w:t>
            </w:r>
          </w:p>
        </w:tc>
        <w:tc>
          <w:tcPr>
            <w:tcW w:w="2984" w:type="dxa"/>
          </w:tcPr>
          <w:p w14:paraId="0052D760" w14:textId="77777777" w:rsidR="000D07EA" w:rsidRDefault="00BE7C89">
            <w:pPr>
              <w:pStyle w:val="BodyText"/>
              <w:spacing w:before="100" w:after="100"/>
            </w:pPr>
            <w:r>
              <w:t>Yes</w:t>
            </w:r>
          </w:p>
        </w:tc>
      </w:tr>
      <w:tr w:rsidR="000D07EA" w14:paraId="00463635" w14:textId="77777777">
        <w:trPr>
          <w:trHeight w:val="20"/>
        </w:trPr>
        <w:tc>
          <w:tcPr>
            <w:tcW w:w="5155" w:type="dxa"/>
          </w:tcPr>
          <w:p w14:paraId="48CD9FF8" w14:textId="77777777" w:rsidR="000D07EA" w:rsidRDefault="00BE7C89">
            <w:pPr>
              <w:pStyle w:val="BodyText"/>
              <w:spacing w:before="100" w:after="100"/>
            </w:pPr>
            <w:r>
              <w:t>Data Used while Roaming Internationally</w:t>
            </w:r>
          </w:p>
        </w:tc>
        <w:tc>
          <w:tcPr>
            <w:tcW w:w="2984" w:type="dxa"/>
          </w:tcPr>
          <w:p w14:paraId="137EBDDB" w14:textId="77777777" w:rsidR="000D07EA" w:rsidRDefault="00BE7C89">
            <w:pPr>
              <w:pStyle w:val="BodyText"/>
              <w:spacing w:before="100" w:after="100"/>
            </w:pPr>
            <w:r>
              <w:t>No</w:t>
            </w:r>
          </w:p>
        </w:tc>
      </w:tr>
      <w:tr w:rsidR="000D07EA" w14:paraId="706C5E43" w14:textId="77777777">
        <w:trPr>
          <w:trHeight w:val="20"/>
        </w:trPr>
        <w:tc>
          <w:tcPr>
            <w:tcW w:w="5155" w:type="dxa"/>
          </w:tcPr>
          <w:p w14:paraId="209A32D9" w14:textId="77777777" w:rsidR="000D07EA" w:rsidRDefault="00BE7C89">
            <w:pPr>
              <w:pStyle w:val="BodyText"/>
              <w:spacing w:before="100" w:after="100"/>
            </w:pPr>
            <w:r>
              <w:t xml:space="preserve">Content Packs </w:t>
            </w:r>
          </w:p>
        </w:tc>
        <w:tc>
          <w:tcPr>
            <w:tcW w:w="2984" w:type="dxa"/>
          </w:tcPr>
          <w:p w14:paraId="569D6D06" w14:textId="77777777" w:rsidR="000D07EA" w:rsidRDefault="00BE7C89">
            <w:pPr>
              <w:pStyle w:val="BodyText"/>
              <w:spacing w:before="100" w:after="100"/>
            </w:pPr>
            <w:r>
              <w:t>No</w:t>
            </w:r>
          </w:p>
        </w:tc>
      </w:tr>
      <w:tr w:rsidR="000D07EA" w14:paraId="2FD3CEE5" w14:textId="77777777">
        <w:trPr>
          <w:trHeight w:val="20"/>
        </w:trPr>
        <w:tc>
          <w:tcPr>
            <w:tcW w:w="5155" w:type="dxa"/>
          </w:tcPr>
          <w:p w14:paraId="08691D70" w14:textId="77777777" w:rsidR="000D07EA" w:rsidRDefault="00BE7C89">
            <w:pPr>
              <w:pStyle w:val="BodyText"/>
              <w:spacing w:before="100" w:after="100"/>
            </w:pPr>
            <w:r>
              <w:t>TrueLocal Usage</w:t>
            </w:r>
          </w:p>
        </w:tc>
        <w:tc>
          <w:tcPr>
            <w:tcW w:w="2984" w:type="dxa"/>
          </w:tcPr>
          <w:p w14:paraId="439B1725" w14:textId="77777777" w:rsidR="000D07EA" w:rsidRDefault="00BE7C89">
            <w:pPr>
              <w:pStyle w:val="BodyText"/>
              <w:spacing w:before="100" w:after="100"/>
            </w:pPr>
            <w:r>
              <w:t>No</w:t>
            </w:r>
          </w:p>
        </w:tc>
      </w:tr>
      <w:tr w:rsidR="000D07EA" w14:paraId="1201548D" w14:textId="77777777">
        <w:trPr>
          <w:trHeight w:val="20"/>
        </w:trPr>
        <w:tc>
          <w:tcPr>
            <w:tcW w:w="5155" w:type="dxa"/>
          </w:tcPr>
          <w:p w14:paraId="6BB4E29B" w14:textId="77777777" w:rsidR="000D07EA" w:rsidRDefault="00BE7C89">
            <w:pPr>
              <w:pStyle w:val="BodyText"/>
              <w:spacing w:before="100" w:after="100"/>
            </w:pPr>
            <w:r>
              <w:t xml:space="preserve">Directory Assistance- 1223 </w:t>
            </w:r>
          </w:p>
        </w:tc>
        <w:tc>
          <w:tcPr>
            <w:tcW w:w="2984" w:type="dxa"/>
          </w:tcPr>
          <w:p w14:paraId="15665616" w14:textId="77777777" w:rsidR="000D07EA" w:rsidRDefault="00BE7C89">
            <w:pPr>
              <w:pStyle w:val="BodyText"/>
              <w:spacing w:before="100" w:after="100"/>
            </w:pPr>
            <w:r>
              <w:t>No</w:t>
            </w:r>
          </w:p>
        </w:tc>
      </w:tr>
      <w:tr w:rsidR="000D07EA" w14:paraId="69F1AD65" w14:textId="77777777">
        <w:trPr>
          <w:trHeight w:val="20"/>
        </w:trPr>
        <w:tc>
          <w:tcPr>
            <w:tcW w:w="5155" w:type="dxa"/>
          </w:tcPr>
          <w:p w14:paraId="58154E6F" w14:textId="77777777" w:rsidR="000D07EA" w:rsidRDefault="00BE7C89">
            <w:pPr>
              <w:pStyle w:val="BodyText"/>
              <w:spacing w:before="100" w:after="100"/>
            </w:pPr>
            <w:r>
              <w:t>19XX Numbers</w:t>
            </w:r>
          </w:p>
        </w:tc>
        <w:tc>
          <w:tcPr>
            <w:tcW w:w="2984" w:type="dxa"/>
          </w:tcPr>
          <w:p w14:paraId="446ECE6B" w14:textId="77777777" w:rsidR="000D07EA" w:rsidRDefault="00BE7C89">
            <w:pPr>
              <w:pStyle w:val="BodyText"/>
              <w:spacing w:before="100" w:after="100"/>
            </w:pPr>
            <w:r>
              <w:t>No</w:t>
            </w:r>
          </w:p>
        </w:tc>
      </w:tr>
      <w:tr w:rsidR="000D07EA" w14:paraId="1432B8B1" w14:textId="77777777">
        <w:trPr>
          <w:trHeight w:val="20"/>
        </w:trPr>
        <w:tc>
          <w:tcPr>
            <w:tcW w:w="5155" w:type="dxa"/>
          </w:tcPr>
          <w:p w14:paraId="7795E350" w14:textId="77777777" w:rsidR="000D07EA" w:rsidRDefault="00BE7C89">
            <w:pPr>
              <w:pStyle w:val="BodyText"/>
              <w:spacing w:before="100" w:after="100"/>
            </w:pPr>
            <w:r>
              <w:t>1800, 13 and 1300 numbers</w:t>
            </w:r>
          </w:p>
        </w:tc>
        <w:tc>
          <w:tcPr>
            <w:tcW w:w="2984" w:type="dxa"/>
          </w:tcPr>
          <w:p w14:paraId="4C3E7C48" w14:textId="77777777" w:rsidR="000D07EA" w:rsidRDefault="00BE7C89">
            <w:pPr>
              <w:pStyle w:val="BodyText"/>
              <w:spacing w:before="100" w:after="100"/>
            </w:pPr>
            <w:r>
              <w:t>No</w:t>
            </w:r>
          </w:p>
        </w:tc>
      </w:tr>
      <w:tr w:rsidR="000D07EA" w14:paraId="566B3B2D" w14:textId="77777777">
        <w:trPr>
          <w:trHeight w:val="20"/>
        </w:trPr>
        <w:tc>
          <w:tcPr>
            <w:tcW w:w="5155" w:type="dxa"/>
          </w:tcPr>
          <w:p w14:paraId="78E40C4E" w14:textId="77777777" w:rsidR="000D07EA" w:rsidRDefault="00BE7C89">
            <w:pPr>
              <w:pStyle w:val="BodyText"/>
              <w:spacing w:before="100" w:after="100"/>
            </w:pPr>
            <w:r>
              <w:t>124YES(937)</w:t>
            </w:r>
          </w:p>
        </w:tc>
        <w:tc>
          <w:tcPr>
            <w:tcW w:w="2984" w:type="dxa"/>
          </w:tcPr>
          <w:p w14:paraId="5FB8FA67" w14:textId="77777777" w:rsidR="000D07EA" w:rsidRDefault="00BE7C89">
            <w:pPr>
              <w:pStyle w:val="BodyText"/>
              <w:spacing w:before="100" w:after="100"/>
            </w:pPr>
            <w:r>
              <w:t>No</w:t>
            </w:r>
          </w:p>
        </w:tc>
      </w:tr>
      <w:tr w:rsidR="000D07EA" w14:paraId="3FF3CA58" w14:textId="77777777">
        <w:trPr>
          <w:trHeight w:val="20"/>
        </w:trPr>
        <w:tc>
          <w:tcPr>
            <w:tcW w:w="5155" w:type="dxa"/>
          </w:tcPr>
          <w:p w14:paraId="6ACA0D8E" w14:textId="77777777" w:rsidR="000D07EA" w:rsidRDefault="00BE7C89">
            <w:pPr>
              <w:pStyle w:val="BodyText"/>
              <w:spacing w:before="100" w:after="100"/>
            </w:pPr>
            <w:r>
              <w:t>Calls to Satellite</w:t>
            </w:r>
          </w:p>
        </w:tc>
        <w:tc>
          <w:tcPr>
            <w:tcW w:w="2984" w:type="dxa"/>
          </w:tcPr>
          <w:p w14:paraId="6476E31D" w14:textId="77777777" w:rsidR="000D07EA" w:rsidRDefault="00BE7C89">
            <w:pPr>
              <w:pStyle w:val="BodyText"/>
              <w:spacing w:before="100" w:after="100"/>
            </w:pPr>
            <w:r>
              <w:t>No</w:t>
            </w:r>
          </w:p>
        </w:tc>
      </w:tr>
      <w:tr w:rsidR="000D07EA" w14:paraId="378C63B1" w14:textId="77777777">
        <w:trPr>
          <w:trHeight w:val="20"/>
        </w:trPr>
        <w:tc>
          <w:tcPr>
            <w:tcW w:w="5155" w:type="dxa"/>
          </w:tcPr>
          <w:p w14:paraId="06A660A6" w14:textId="77777777" w:rsidR="000D07EA" w:rsidRDefault="00BE7C89">
            <w:pPr>
              <w:pStyle w:val="BodyText"/>
              <w:spacing w:before="100" w:after="100"/>
            </w:pPr>
            <w:r>
              <w:t>VOIP services</w:t>
            </w:r>
          </w:p>
        </w:tc>
        <w:tc>
          <w:tcPr>
            <w:tcW w:w="2984" w:type="dxa"/>
          </w:tcPr>
          <w:p w14:paraId="37D66924" w14:textId="77777777" w:rsidR="000D07EA" w:rsidRDefault="00BE7C89">
            <w:pPr>
              <w:pStyle w:val="BodyText"/>
              <w:spacing w:before="100" w:after="100"/>
            </w:pPr>
            <w:r>
              <w:t>No</w:t>
            </w:r>
          </w:p>
        </w:tc>
      </w:tr>
      <w:tr w:rsidR="000D07EA" w14:paraId="6EC6D694" w14:textId="77777777">
        <w:trPr>
          <w:trHeight w:val="20"/>
        </w:trPr>
        <w:tc>
          <w:tcPr>
            <w:tcW w:w="5155" w:type="dxa"/>
          </w:tcPr>
          <w:p w14:paraId="1FD9606F" w14:textId="77777777" w:rsidR="000D07EA" w:rsidRDefault="00BE7C89">
            <w:pPr>
              <w:pStyle w:val="BodyText"/>
              <w:spacing w:before="100" w:after="100"/>
            </w:pPr>
            <w:r>
              <w:t>Surepage</w:t>
            </w:r>
          </w:p>
        </w:tc>
        <w:tc>
          <w:tcPr>
            <w:tcW w:w="2984" w:type="dxa"/>
          </w:tcPr>
          <w:p w14:paraId="715541B6" w14:textId="77777777" w:rsidR="000D07EA" w:rsidRDefault="00BE7C89">
            <w:pPr>
              <w:pStyle w:val="BodyText"/>
              <w:spacing w:before="100" w:after="100"/>
            </w:pPr>
            <w:r>
              <w:t>No</w:t>
            </w:r>
          </w:p>
        </w:tc>
      </w:tr>
    </w:tbl>
    <w:p w14:paraId="5D22E885" w14:textId="77777777" w:rsidR="000D07EA" w:rsidRDefault="000D07EA">
      <w:pPr>
        <w:pStyle w:val="BodyText"/>
      </w:pPr>
    </w:p>
    <w:p w14:paraId="1F3F20CB" w14:textId="77777777" w:rsidR="000D07EA" w:rsidRDefault="00BE7C89">
      <w:pPr>
        <w:pStyle w:val="BodyText"/>
        <w:ind w:left="1440"/>
        <w:jc w:val="both"/>
        <w:rPr>
          <w:b/>
        </w:rPr>
      </w:pPr>
      <w:r>
        <w:rPr>
          <w:b/>
        </w:rPr>
        <w:t xml:space="preserve">Table 1C – Eligible for Unlimited BlackBerry POP3 Email &amp; Browsing </w:t>
      </w: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575"/>
        <w:gridCol w:w="2430"/>
      </w:tblGrid>
      <w:tr w:rsidR="000D07EA" w14:paraId="442D5965" w14:textId="77777777">
        <w:trPr>
          <w:trHeight w:val="20"/>
        </w:trPr>
        <w:tc>
          <w:tcPr>
            <w:tcW w:w="5575" w:type="dxa"/>
          </w:tcPr>
          <w:p w14:paraId="53D9C37E" w14:textId="77777777" w:rsidR="000D07EA" w:rsidRDefault="00BE7C89">
            <w:pPr>
              <w:pStyle w:val="BodyText"/>
              <w:spacing w:before="100" w:after="100"/>
              <w:jc w:val="center"/>
              <w:rPr>
                <w:b/>
              </w:rPr>
            </w:pPr>
            <w:r>
              <w:rPr>
                <w:b/>
              </w:rPr>
              <w:t>Call Type</w:t>
            </w:r>
          </w:p>
        </w:tc>
        <w:tc>
          <w:tcPr>
            <w:tcW w:w="2430" w:type="dxa"/>
          </w:tcPr>
          <w:p w14:paraId="642D9801" w14:textId="77777777" w:rsidR="000D07EA" w:rsidRDefault="00BE7C89">
            <w:pPr>
              <w:pStyle w:val="BodyText"/>
              <w:spacing w:before="100" w:after="100"/>
              <w:jc w:val="center"/>
              <w:rPr>
                <w:b/>
              </w:rPr>
            </w:pPr>
            <w:r>
              <w:rPr>
                <w:b/>
              </w:rPr>
              <w:t>Eligible Data</w:t>
            </w:r>
          </w:p>
        </w:tc>
      </w:tr>
      <w:tr w:rsidR="000D07EA" w14:paraId="76E2BE70" w14:textId="77777777">
        <w:trPr>
          <w:trHeight w:val="58"/>
        </w:trPr>
        <w:tc>
          <w:tcPr>
            <w:tcW w:w="5575" w:type="dxa"/>
          </w:tcPr>
          <w:p w14:paraId="1ACB5B46" w14:textId="77777777" w:rsidR="000D07EA" w:rsidRDefault="00BE7C89">
            <w:pPr>
              <w:pStyle w:val="BodyText"/>
              <w:spacing w:before="100" w:after="100"/>
              <w:jc w:val="center"/>
            </w:pPr>
            <w:r>
              <w:t>BlackBerry Email (POP3)</w:t>
            </w:r>
          </w:p>
        </w:tc>
        <w:tc>
          <w:tcPr>
            <w:tcW w:w="2430" w:type="dxa"/>
          </w:tcPr>
          <w:p w14:paraId="06794F45" w14:textId="77777777" w:rsidR="000D07EA" w:rsidRDefault="00BE7C89">
            <w:pPr>
              <w:pStyle w:val="BodyText"/>
              <w:spacing w:before="100" w:after="100"/>
              <w:jc w:val="center"/>
            </w:pPr>
            <w:r>
              <w:t>Yes</w:t>
            </w:r>
          </w:p>
        </w:tc>
      </w:tr>
      <w:tr w:rsidR="000D07EA" w14:paraId="31DA0991" w14:textId="77777777">
        <w:trPr>
          <w:trHeight w:val="20"/>
        </w:trPr>
        <w:tc>
          <w:tcPr>
            <w:tcW w:w="5575" w:type="dxa"/>
          </w:tcPr>
          <w:p w14:paraId="73B0CD9D" w14:textId="77777777" w:rsidR="000D07EA" w:rsidRDefault="00BE7C89">
            <w:pPr>
              <w:pStyle w:val="BodyText"/>
              <w:spacing w:before="100" w:after="100"/>
              <w:jc w:val="center"/>
            </w:pPr>
            <w:r>
              <w:t>Internet Browsing through the BlackBerry Browser</w:t>
            </w:r>
          </w:p>
        </w:tc>
        <w:tc>
          <w:tcPr>
            <w:tcW w:w="2430" w:type="dxa"/>
          </w:tcPr>
          <w:p w14:paraId="60CCF4D9" w14:textId="77777777" w:rsidR="000D07EA" w:rsidRDefault="00BE7C89">
            <w:pPr>
              <w:pStyle w:val="BodyText"/>
              <w:spacing w:before="100" w:after="100"/>
              <w:jc w:val="center"/>
            </w:pPr>
            <w:r>
              <w:t>Yes</w:t>
            </w:r>
          </w:p>
        </w:tc>
      </w:tr>
      <w:tr w:rsidR="000D07EA" w14:paraId="14B67B9E" w14:textId="77777777">
        <w:trPr>
          <w:trHeight w:val="20"/>
        </w:trPr>
        <w:tc>
          <w:tcPr>
            <w:tcW w:w="5575" w:type="dxa"/>
          </w:tcPr>
          <w:p w14:paraId="14ADC643" w14:textId="77777777" w:rsidR="000D07EA" w:rsidRDefault="00BE7C89">
            <w:pPr>
              <w:pStyle w:val="BodyText"/>
              <w:spacing w:before="100" w:after="100"/>
              <w:jc w:val="center"/>
            </w:pPr>
            <w:r>
              <w:t>Optus Zoo downloads and subscriptions</w:t>
            </w:r>
          </w:p>
        </w:tc>
        <w:tc>
          <w:tcPr>
            <w:tcW w:w="2430" w:type="dxa"/>
          </w:tcPr>
          <w:p w14:paraId="699BAFDC" w14:textId="77777777" w:rsidR="000D07EA" w:rsidRDefault="00BE7C89">
            <w:pPr>
              <w:pStyle w:val="BodyText"/>
              <w:spacing w:before="100" w:after="100"/>
              <w:jc w:val="center"/>
            </w:pPr>
            <w:r>
              <w:t>No</w:t>
            </w:r>
          </w:p>
        </w:tc>
      </w:tr>
      <w:tr w:rsidR="000D07EA" w14:paraId="5B1A1940" w14:textId="77777777">
        <w:trPr>
          <w:trHeight w:val="20"/>
        </w:trPr>
        <w:tc>
          <w:tcPr>
            <w:tcW w:w="5575" w:type="dxa"/>
          </w:tcPr>
          <w:p w14:paraId="37B11711" w14:textId="77777777" w:rsidR="000D07EA" w:rsidRDefault="00BE7C89">
            <w:pPr>
              <w:pStyle w:val="BodyText"/>
              <w:spacing w:before="100" w:after="100"/>
              <w:jc w:val="center"/>
            </w:pPr>
            <w:r>
              <w:t>Optus Zoo GPRS WAP browsing</w:t>
            </w:r>
          </w:p>
        </w:tc>
        <w:tc>
          <w:tcPr>
            <w:tcW w:w="2430" w:type="dxa"/>
          </w:tcPr>
          <w:p w14:paraId="1FCEC9A2" w14:textId="77777777" w:rsidR="000D07EA" w:rsidRDefault="00BE7C89">
            <w:pPr>
              <w:pStyle w:val="BodyText"/>
              <w:spacing w:before="100" w:after="100"/>
              <w:jc w:val="center"/>
            </w:pPr>
            <w:r>
              <w:t>No</w:t>
            </w:r>
          </w:p>
        </w:tc>
      </w:tr>
      <w:tr w:rsidR="000D07EA" w14:paraId="44893E66" w14:textId="77777777">
        <w:trPr>
          <w:trHeight w:val="20"/>
        </w:trPr>
        <w:tc>
          <w:tcPr>
            <w:tcW w:w="5575" w:type="dxa"/>
          </w:tcPr>
          <w:p w14:paraId="13479E72" w14:textId="77777777" w:rsidR="000D07EA" w:rsidRDefault="00BE7C89">
            <w:pPr>
              <w:pStyle w:val="BodyText"/>
              <w:spacing w:before="100" w:after="100"/>
              <w:jc w:val="center"/>
            </w:pPr>
            <w:r>
              <w:t>Applications from Optus and third party applications that require a BlackBerry Data connection</w:t>
            </w:r>
          </w:p>
        </w:tc>
        <w:tc>
          <w:tcPr>
            <w:tcW w:w="2430" w:type="dxa"/>
          </w:tcPr>
          <w:p w14:paraId="3D9627FF" w14:textId="77777777" w:rsidR="000D07EA" w:rsidRDefault="00BE7C89">
            <w:pPr>
              <w:pStyle w:val="BodyText"/>
              <w:spacing w:before="100" w:after="100"/>
              <w:jc w:val="center"/>
            </w:pPr>
            <w:r>
              <w:t>Yes</w:t>
            </w:r>
          </w:p>
        </w:tc>
      </w:tr>
      <w:tr w:rsidR="000D07EA" w14:paraId="2180ECE5" w14:textId="77777777">
        <w:trPr>
          <w:trHeight w:val="20"/>
        </w:trPr>
        <w:tc>
          <w:tcPr>
            <w:tcW w:w="5575" w:type="dxa"/>
          </w:tcPr>
          <w:p w14:paraId="602BA3F2" w14:textId="77777777" w:rsidR="000D07EA" w:rsidRDefault="00BE7C89">
            <w:pPr>
              <w:pStyle w:val="BodyText"/>
              <w:spacing w:before="100" w:after="100"/>
              <w:jc w:val="center"/>
            </w:pPr>
            <w:r>
              <w:t>All other call types or usage</w:t>
            </w:r>
          </w:p>
        </w:tc>
        <w:tc>
          <w:tcPr>
            <w:tcW w:w="2430" w:type="dxa"/>
          </w:tcPr>
          <w:p w14:paraId="053D7367" w14:textId="77777777" w:rsidR="000D07EA" w:rsidRDefault="00BE7C89">
            <w:pPr>
              <w:pStyle w:val="BodyText"/>
              <w:spacing w:before="100" w:after="100"/>
              <w:jc w:val="center"/>
            </w:pPr>
            <w:r>
              <w:t>No</w:t>
            </w:r>
          </w:p>
        </w:tc>
      </w:tr>
    </w:tbl>
    <w:p w14:paraId="6A0CC2B0" w14:textId="77777777" w:rsidR="000D07EA" w:rsidRDefault="000D07EA">
      <w:pPr>
        <w:pStyle w:val="BodyText"/>
      </w:pPr>
    </w:p>
    <w:p w14:paraId="0695CE4E" w14:textId="77777777" w:rsidR="000D07EA" w:rsidRDefault="00BE7C89">
      <w:pPr>
        <w:pStyle w:val="BodyText"/>
        <w:ind w:left="1440"/>
        <w:jc w:val="both"/>
        <w:rPr>
          <w:b/>
        </w:rPr>
      </w:pPr>
      <w:r>
        <w:rPr>
          <w:b/>
        </w:rPr>
        <w:t>Table 1D – Eligible for the included International Value - $129 Business Timeless Plans</w:t>
      </w:r>
    </w:p>
    <w:tbl>
      <w:tblPr>
        <w:tblW w:w="8139"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111"/>
        <w:gridCol w:w="4028"/>
      </w:tblGrid>
      <w:tr w:rsidR="000D07EA" w14:paraId="7C191E43" w14:textId="77777777">
        <w:trPr>
          <w:trHeight w:val="20"/>
          <w:tblHeader/>
        </w:trPr>
        <w:tc>
          <w:tcPr>
            <w:tcW w:w="4111" w:type="dxa"/>
          </w:tcPr>
          <w:p w14:paraId="3C183D2F" w14:textId="77777777" w:rsidR="000D07EA" w:rsidRDefault="00BE7C89">
            <w:pPr>
              <w:pStyle w:val="BodyText"/>
              <w:spacing w:before="100" w:after="100"/>
              <w:rPr>
                <w:b/>
              </w:rPr>
            </w:pPr>
            <w:r>
              <w:rPr>
                <w:b/>
              </w:rPr>
              <w:t>Call Type</w:t>
            </w:r>
          </w:p>
        </w:tc>
        <w:tc>
          <w:tcPr>
            <w:tcW w:w="4028" w:type="dxa"/>
          </w:tcPr>
          <w:p w14:paraId="08F00C6B" w14:textId="77777777" w:rsidR="000D07EA" w:rsidRDefault="00BE7C89">
            <w:pPr>
              <w:pStyle w:val="BodyText"/>
              <w:spacing w:before="100" w:after="100"/>
              <w:rPr>
                <w:b/>
              </w:rPr>
            </w:pPr>
            <w:r>
              <w:rPr>
                <w:b/>
              </w:rPr>
              <w:t xml:space="preserve">Eligible Call </w:t>
            </w:r>
          </w:p>
        </w:tc>
      </w:tr>
      <w:tr w:rsidR="000D07EA" w14:paraId="1F9ADD3B" w14:textId="77777777">
        <w:trPr>
          <w:trHeight w:val="20"/>
        </w:trPr>
        <w:tc>
          <w:tcPr>
            <w:tcW w:w="4111" w:type="dxa"/>
          </w:tcPr>
          <w:p w14:paraId="6AAAF5C9" w14:textId="77777777" w:rsidR="000D07EA" w:rsidRDefault="00BE7C89">
            <w:pPr>
              <w:pStyle w:val="BodyText"/>
              <w:spacing w:before="100" w:after="100"/>
            </w:pPr>
            <w:r>
              <w:t>Standard National Mobile Calls</w:t>
            </w:r>
          </w:p>
        </w:tc>
        <w:tc>
          <w:tcPr>
            <w:tcW w:w="4028" w:type="dxa"/>
          </w:tcPr>
          <w:p w14:paraId="3BA40D31" w14:textId="77777777" w:rsidR="000D07EA" w:rsidRDefault="00BE7C89">
            <w:pPr>
              <w:pStyle w:val="BodyText"/>
              <w:spacing w:before="100" w:after="100"/>
            </w:pPr>
            <w:r>
              <w:t>No</w:t>
            </w:r>
          </w:p>
        </w:tc>
      </w:tr>
      <w:tr w:rsidR="000D07EA" w14:paraId="4253DC82" w14:textId="77777777">
        <w:trPr>
          <w:trHeight w:val="20"/>
        </w:trPr>
        <w:tc>
          <w:tcPr>
            <w:tcW w:w="4111" w:type="dxa"/>
          </w:tcPr>
          <w:p w14:paraId="1325DE67" w14:textId="77777777" w:rsidR="000D07EA" w:rsidRDefault="00BE7C89">
            <w:pPr>
              <w:pStyle w:val="BodyText"/>
              <w:spacing w:before="100" w:after="100"/>
            </w:pPr>
            <w:r>
              <w:t>Standard National Voice Calls</w:t>
            </w:r>
          </w:p>
        </w:tc>
        <w:tc>
          <w:tcPr>
            <w:tcW w:w="4028" w:type="dxa"/>
          </w:tcPr>
          <w:p w14:paraId="2ED1D136" w14:textId="77777777" w:rsidR="000D07EA" w:rsidRDefault="00BE7C89">
            <w:pPr>
              <w:pStyle w:val="BodyText"/>
              <w:spacing w:before="100" w:after="100"/>
            </w:pPr>
            <w:r>
              <w:t>No</w:t>
            </w:r>
          </w:p>
        </w:tc>
      </w:tr>
      <w:tr w:rsidR="000D07EA" w14:paraId="284AD69D" w14:textId="77777777">
        <w:trPr>
          <w:trHeight w:val="20"/>
        </w:trPr>
        <w:tc>
          <w:tcPr>
            <w:tcW w:w="4111" w:type="dxa"/>
          </w:tcPr>
          <w:p w14:paraId="263F438A" w14:textId="77777777" w:rsidR="000D07EA" w:rsidRDefault="00BE7C89">
            <w:pPr>
              <w:pStyle w:val="BodyText"/>
              <w:spacing w:before="100" w:after="100"/>
            </w:pPr>
            <w:r>
              <w:t>National Video Calls</w:t>
            </w:r>
          </w:p>
        </w:tc>
        <w:tc>
          <w:tcPr>
            <w:tcW w:w="4028" w:type="dxa"/>
          </w:tcPr>
          <w:p w14:paraId="640ED694" w14:textId="77777777" w:rsidR="000D07EA" w:rsidRDefault="00BE7C89">
            <w:pPr>
              <w:pStyle w:val="BodyText"/>
              <w:spacing w:before="100" w:after="100"/>
            </w:pPr>
            <w:r>
              <w:t>No</w:t>
            </w:r>
          </w:p>
        </w:tc>
      </w:tr>
      <w:tr w:rsidR="000D07EA" w14:paraId="045FF802" w14:textId="77777777">
        <w:trPr>
          <w:trHeight w:val="20"/>
        </w:trPr>
        <w:tc>
          <w:tcPr>
            <w:tcW w:w="4111" w:type="dxa"/>
          </w:tcPr>
          <w:p w14:paraId="5A181F9F" w14:textId="77777777" w:rsidR="000D07EA" w:rsidRDefault="00BE7C89">
            <w:pPr>
              <w:pStyle w:val="BodyText"/>
              <w:spacing w:before="100" w:after="100"/>
            </w:pPr>
            <w:r>
              <w:t>International Voice Calls</w:t>
            </w:r>
          </w:p>
          <w:p w14:paraId="6A8207C0" w14:textId="77777777" w:rsidR="000D07EA" w:rsidRDefault="00BE7C89">
            <w:pPr>
              <w:pStyle w:val="BodyText"/>
              <w:spacing w:before="100" w:after="100"/>
            </w:pPr>
            <w:r>
              <w:rPr>
                <w:snapToGrid w:val="0"/>
              </w:rPr>
              <w:lastRenderedPageBreak/>
              <w:t>(includes calls to national fixed or mobile services that then divert/switch or re-route overseas)</w:t>
            </w:r>
          </w:p>
        </w:tc>
        <w:tc>
          <w:tcPr>
            <w:tcW w:w="4028" w:type="dxa"/>
          </w:tcPr>
          <w:p w14:paraId="19704DA8" w14:textId="77777777" w:rsidR="000D07EA" w:rsidRDefault="00BE7C89">
            <w:pPr>
              <w:pStyle w:val="BodyText"/>
              <w:spacing w:before="100" w:after="100"/>
            </w:pPr>
            <w:r>
              <w:lastRenderedPageBreak/>
              <w:t>Yes</w:t>
            </w:r>
          </w:p>
        </w:tc>
      </w:tr>
      <w:tr w:rsidR="000D07EA" w14:paraId="6E0E9702" w14:textId="77777777">
        <w:trPr>
          <w:trHeight w:val="20"/>
        </w:trPr>
        <w:tc>
          <w:tcPr>
            <w:tcW w:w="4111" w:type="dxa"/>
          </w:tcPr>
          <w:p w14:paraId="70BA0D43" w14:textId="77777777" w:rsidR="000D07EA" w:rsidRDefault="00BE7C89">
            <w:pPr>
              <w:pStyle w:val="BodyText"/>
              <w:spacing w:before="100" w:after="100"/>
            </w:pPr>
            <w:r>
              <w:t>International Video Calls</w:t>
            </w:r>
          </w:p>
          <w:p w14:paraId="2C9BA772" w14:textId="77777777" w:rsidR="000D07EA" w:rsidRDefault="00BE7C89">
            <w:pPr>
              <w:pStyle w:val="BodyText"/>
              <w:spacing w:before="100" w:after="100"/>
            </w:pPr>
            <w:r>
              <w:rPr>
                <w:snapToGrid w:val="0"/>
              </w:rPr>
              <w:t>(includes calls to national fixed or mobile services that then divert/switch or re-route overseas)</w:t>
            </w:r>
          </w:p>
        </w:tc>
        <w:tc>
          <w:tcPr>
            <w:tcW w:w="4028" w:type="dxa"/>
          </w:tcPr>
          <w:p w14:paraId="6A738DAA" w14:textId="77777777" w:rsidR="000D07EA" w:rsidRDefault="00BE7C89">
            <w:pPr>
              <w:pStyle w:val="BodyText"/>
              <w:spacing w:before="100" w:after="100"/>
            </w:pPr>
            <w:r>
              <w:t>No</w:t>
            </w:r>
          </w:p>
        </w:tc>
      </w:tr>
      <w:tr w:rsidR="000D07EA" w14:paraId="32DAEEA5" w14:textId="77777777">
        <w:trPr>
          <w:trHeight w:val="20"/>
        </w:trPr>
        <w:tc>
          <w:tcPr>
            <w:tcW w:w="4111" w:type="dxa"/>
          </w:tcPr>
          <w:p w14:paraId="40C42947" w14:textId="77777777" w:rsidR="000D07EA" w:rsidRDefault="00BE7C89">
            <w:pPr>
              <w:pStyle w:val="BodyText"/>
              <w:spacing w:before="100" w:after="100"/>
            </w:pPr>
            <w:r>
              <w:t>Standard National SMS</w:t>
            </w:r>
          </w:p>
        </w:tc>
        <w:tc>
          <w:tcPr>
            <w:tcW w:w="4028" w:type="dxa"/>
          </w:tcPr>
          <w:p w14:paraId="407064E1" w14:textId="77777777" w:rsidR="000D07EA" w:rsidRDefault="00BE7C89">
            <w:pPr>
              <w:pStyle w:val="BodyText"/>
              <w:spacing w:before="100" w:after="100"/>
            </w:pPr>
            <w:r>
              <w:t>No</w:t>
            </w:r>
          </w:p>
        </w:tc>
      </w:tr>
      <w:tr w:rsidR="000D07EA" w14:paraId="0FDD4007" w14:textId="77777777">
        <w:trPr>
          <w:trHeight w:val="20"/>
        </w:trPr>
        <w:tc>
          <w:tcPr>
            <w:tcW w:w="4111" w:type="dxa"/>
          </w:tcPr>
          <w:p w14:paraId="140200CB" w14:textId="77777777" w:rsidR="000D07EA" w:rsidRDefault="00BE7C89">
            <w:pPr>
              <w:pStyle w:val="BodyText"/>
              <w:spacing w:before="100" w:after="100"/>
            </w:pPr>
            <w:r>
              <w:t>International SMS</w:t>
            </w:r>
          </w:p>
        </w:tc>
        <w:tc>
          <w:tcPr>
            <w:tcW w:w="4028" w:type="dxa"/>
          </w:tcPr>
          <w:p w14:paraId="2BE51ED9" w14:textId="77777777" w:rsidR="000D07EA" w:rsidRDefault="00BE7C89">
            <w:pPr>
              <w:pStyle w:val="BodyText"/>
              <w:spacing w:before="100" w:after="100"/>
            </w:pPr>
            <w:r>
              <w:t>Yes</w:t>
            </w:r>
          </w:p>
        </w:tc>
      </w:tr>
      <w:tr w:rsidR="000D07EA" w14:paraId="606E8663" w14:textId="77777777">
        <w:trPr>
          <w:trHeight w:val="20"/>
        </w:trPr>
        <w:tc>
          <w:tcPr>
            <w:tcW w:w="4111" w:type="dxa"/>
          </w:tcPr>
          <w:p w14:paraId="35EE142D" w14:textId="77777777" w:rsidR="000D07EA" w:rsidRDefault="00BE7C89">
            <w:pPr>
              <w:pStyle w:val="BodyText"/>
              <w:spacing w:before="100" w:after="100"/>
            </w:pPr>
            <w:r>
              <w:t>National MMS</w:t>
            </w:r>
          </w:p>
        </w:tc>
        <w:tc>
          <w:tcPr>
            <w:tcW w:w="4028" w:type="dxa"/>
          </w:tcPr>
          <w:p w14:paraId="0988CEB4" w14:textId="77777777" w:rsidR="000D07EA" w:rsidRDefault="00BE7C89">
            <w:pPr>
              <w:pStyle w:val="BodyText"/>
              <w:spacing w:before="100" w:after="100"/>
            </w:pPr>
            <w:r>
              <w:t>No</w:t>
            </w:r>
          </w:p>
        </w:tc>
      </w:tr>
      <w:tr w:rsidR="000D07EA" w14:paraId="6E8FF377" w14:textId="77777777">
        <w:trPr>
          <w:trHeight w:val="20"/>
        </w:trPr>
        <w:tc>
          <w:tcPr>
            <w:tcW w:w="4111" w:type="dxa"/>
          </w:tcPr>
          <w:p w14:paraId="0B266A3F" w14:textId="77777777" w:rsidR="000D07EA" w:rsidRDefault="00BE7C89">
            <w:pPr>
              <w:pStyle w:val="BodyText"/>
              <w:spacing w:before="100" w:after="100"/>
            </w:pPr>
            <w:r>
              <w:t>International MMS</w:t>
            </w:r>
          </w:p>
        </w:tc>
        <w:tc>
          <w:tcPr>
            <w:tcW w:w="4028" w:type="dxa"/>
          </w:tcPr>
          <w:p w14:paraId="5BC6A40A" w14:textId="77777777" w:rsidR="000D07EA" w:rsidRDefault="00BE7C89">
            <w:pPr>
              <w:pStyle w:val="BodyText"/>
              <w:spacing w:before="100" w:after="100"/>
            </w:pPr>
            <w:r>
              <w:t>Yes</w:t>
            </w:r>
          </w:p>
        </w:tc>
      </w:tr>
      <w:tr w:rsidR="000D07EA" w14:paraId="5F1D36ED" w14:textId="77777777">
        <w:trPr>
          <w:trHeight w:val="20"/>
        </w:trPr>
        <w:tc>
          <w:tcPr>
            <w:tcW w:w="4111" w:type="dxa"/>
          </w:tcPr>
          <w:p w14:paraId="237C0249" w14:textId="77777777" w:rsidR="000D07EA" w:rsidRDefault="00BE7C89">
            <w:pPr>
              <w:pStyle w:val="BodyText"/>
              <w:spacing w:before="100" w:after="100"/>
            </w:pPr>
            <w:r>
              <w:t>National Diversions</w:t>
            </w:r>
          </w:p>
        </w:tc>
        <w:tc>
          <w:tcPr>
            <w:tcW w:w="4028" w:type="dxa"/>
          </w:tcPr>
          <w:p w14:paraId="67706D47" w14:textId="77777777" w:rsidR="000D07EA" w:rsidRDefault="00BE7C89">
            <w:pPr>
              <w:pStyle w:val="BodyText"/>
              <w:spacing w:before="100" w:after="100"/>
            </w:pPr>
            <w:r>
              <w:t>No</w:t>
            </w:r>
          </w:p>
        </w:tc>
      </w:tr>
      <w:tr w:rsidR="000D07EA" w14:paraId="386E4428" w14:textId="77777777">
        <w:trPr>
          <w:trHeight w:val="20"/>
        </w:trPr>
        <w:tc>
          <w:tcPr>
            <w:tcW w:w="4111" w:type="dxa"/>
          </w:tcPr>
          <w:p w14:paraId="7ED0FEC8" w14:textId="77777777" w:rsidR="000D07EA" w:rsidRDefault="00BE7C89">
            <w:pPr>
              <w:pStyle w:val="BodyText"/>
              <w:spacing w:before="100" w:after="100"/>
            </w:pPr>
            <w:r>
              <w:t>Voicemail Deposit and Retrievals</w:t>
            </w:r>
          </w:p>
        </w:tc>
        <w:tc>
          <w:tcPr>
            <w:tcW w:w="4028" w:type="dxa"/>
          </w:tcPr>
          <w:p w14:paraId="32CB32F2" w14:textId="77777777" w:rsidR="000D07EA" w:rsidRDefault="00BE7C89">
            <w:pPr>
              <w:pStyle w:val="BodyText"/>
              <w:spacing w:before="100" w:after="100"/>
            </w:pPr>
            <w:r>
              <w:t>No</w:t>
            </w:r>
          </w:p>
        </w:tc>
      </w:tr>
      <w:tr w:rsidR="000D07EA" w14:paraId="2A2760B7" w14:textId="77777777">
        <w:trPr>
          <w:trHeight w:val="20"/>
        </w:trPr>
        <w:tc>
          <w:tcPr>
            <w:tcW w:w="4111" w:type="dxa"/>
          </w:tcPr>
          <w:p w14:paraId="79398EFD" w14:textId="77777777" w:rsidR="000D07EA" w:rsidRDefault="00BE7C89">
            <w:pPr>
              <w:pStyle w:val="BodyText"/>
              <w:spacing w:before="100" w:after="100"/>
            </w:pPr>
            <w:r>
              <w:t>International Roaming and Diversion</w:t>
            </w:r>
          </w:p>
        </w:tc>
        <w:tc>
          <w:tcPr>
            <w:tcW w:w="4028" w:type="dxa"/>
          </w:tcPr>
          <w:p w14:paraId="302F85A9" w14:textId="77777777" w:rsidR="000D07EA" w:rsidRDefault="00BE7C89">
            <w:pPr>
              <w:pStyle w:val="BodyText"/>
              <w:spacing w:before="100" w:after="100"/>
            </w:pPr>
            <w:r>
              <w:t>No</w:t>
            </w:r>
          </w:p>
        </w:tc>
      </w:tr>
      <w:tr w:rsidR="000D07EA" w14:paraId="4B9222E2" w14:textId="77777777">
        <w:trPr>
          <w:trHeight w:val="20"/>
        </w:trPr>
        <w:tc>
          <w:tcPr>
            <w:tcW w:w="4111" w:type="dxa"/>
          </w:tcPr>
          <w:p w14:paraId="43B6086C" w14:textId="77777777" w:rsidR="000D07EA" w:rsidRDefault="00BE7C89">
            <w:pPr>
              <w:pStyle w:val="BodyText"/>
              <w:spacing w:before="100" w:after="100"/>
            </w:pPr>
            <w:r>
              <w:t>Premium SMS</w:t>
            </w:r>
          </w:p>
        </w:tc>
        <w:tc>
          <w:tcPr>
            <w:tcW w:w="4028" w:type="dxa"/>
          </w:tcPr>
          <w:p w14:paraId="396DFD10" w14:textId="77777777" w:rsidR="000D07EA" w:rsidRDefault="00BE7C89">
            <w:pPr>
              <w:pStyle w:val="BodyText"/>
              <w:spacing w:before="100" w:after="100"/>
            </w:pPr>
            <w:r>
              <w:t>No</w:t>
            </w:r>
          </w:p>
        </w:tc>
      </w:tr>
      <w:tr w:rsidR="000D07EA" w14:paraId="577B5F3F" w14:textId="77777777">
        <w:trPr>
          <w:trHeight w:val="20"/>
        </w:trPr>
        <w:tc>
          <w:tcPr>
            <w:tcW w:w="4111" w:type="dxa"/>
          </w:tcPr>
          <w:p w14:paraId="40510A4C" w14:textId="77777777" w:rsidR="000D07EA" w:rsidRDefault="00BE7C89">
            <w:pPr>
              <w:pStyle w:val="BodyText"/>
              <w:spacing w:before="100" w:after="100"/>
            </w:pPr>
            <w:r>
              <w:t>Premium Video</w:t>
            </w:r>
          </w:p>
        </w:tc>
        <w:tc>
          <w:tcPr>
            <w:tcW w:w="4028" w:type="dxa"/>
          </w:tcPr>
          <w:p w14:paraId="0004E96B" w14:textId="77777777" w:rsidR="000D07EA" w:rsidRDefault="00BE7C89">
            <w:pPr>
              <w:pStyle w:val="BodyText"/>
              <w:spacing w:before="100" w:after="100"/>
            </w:pPr>
            <w:r>
              <w:t>No</w:t>
            </w:r>
          </w:p>
        </w:tc>
      </w:tr>
      <w:tr w:rsidR="000D07EA" w14:paraId="7DB9ACBB" w14:textId="77777777">
        <w:trPr>
          <w:trHeight w:val="20"/>
        </w:trPr>
        <w:tc>
          <w:tcPr>
            <w:tcW w:w="4111" w:type="dxa"/>
          </w:tcPr>
          <w:p w14:paraId="3301E8A1" w14:textId="77777777" w:rsidR="000D07EA" w:rsidRDefault="00BE7C89">
            <w:pPr>
              <w:pStyle w:val="BodyText"/>
              <w:spacing w:before="100" w:after="100"/>
            </w:pPr>
            <w:r>
              <w:t>Video Conferencing</w:t>
            </w:r>
          </w:p>
        </w:tc>
        <w:tc>
          <w:tcPr>
            <w:tcW w:w="4028" w:type="dxa"/>
          </w:tcPr>
          <w:p w14:paraId="6B4629AC" w14:textId="77777777" w:rsidR="000D07EA" w:rsidRDefault="00BE7C89">
            <w:pPr>
              <w:pStyle w:val="BodyText"/>
              <w:spacing w:before="100" w:after="100"/>
            </w:pPr>
            <w:r>
              <w:t>No</w:t>
            </w:r>
          </w:p>
        </w:tc>
      </w:tr>
      <w:tr w:rsidR="000D07EA" w14:paraId="3774C2A3" w14:textId="77777777">
        <w:trPr>
          <w:trHeight w:val="20"/>
        </w:trPr>
        <w:tc>
          <w:tcPr>
            <w:tcW w:w="4111" w:type="dxa"/>
          </w:tcPr>
          <w:p w14:paraId="57248EDF" w14:textId="77777777" w:rsidR="000D07EA" w:rsidRDefault="00BE7C89">
            <w:pPr>
              <w:pStyle w:val="BodyText"/>
              <w:spacing w:before="100" w:after="100"/>
            </w:pPr>
            <w:r>
              <w:t>Optus Zoo or Optus iZoo Browsing</w:t>
            </w:r>
          </w:p>
        </w:tc>
        <w:tc>
          <w:tcPr>
            <w:tcW w:w="4028" w:type="dxa"/>
          </w:tcPr>
          <w:p w14:paraId="3089F47A" w14:textId="77777777" w:rsidR="000D07EA" w:rsidRDefault="00BE7C89">
            <w:pPr>
              <w:pStyle w:val="BodyText"/>
              <w:spacing w:before="100" w:after="100"/>
            </w:pPr>
            <w:r>
              <w:t>No</w:t>
            </w:r>
          </w:p>
        </w:tc>
      </w:tr>
      <w:tr w:rsidR="000D07EA" w14:paraId="4B0D68DF" w14:textId="77777777">
        <w:trPr>
          <w:trHeight w:val="20"/>
        </w:trPr>
        <w:tc>
          <w:tcPr>
            <w:tcW w:w="4111" w:type="dxa"/>
          </w:tcPr>
          <w:p w14:paraId="155BCAA6" w14:textId="77777777" w:rsidR="000D07EA" w:rsidRDefault="00BE7C89">
            <w:pPr>
              <w:pStyle w:val="BodyText"/>
              <w:spacing w:before="100" w:after="100"/>
            </w:pPr>
            <w:r>
              <w:t>Optus Zoo or Optus iZoo Downloads</w:t>
            </w:r>
          </w:p>
        </w:tc>
        <w:tc>
          <w:tcPr>
            <w:tcW w:w="4028" w:type="dxa"/>
          </w:tcPr>
          <w:p w14:paraId="7D79F733" w14:textId="77777777" w:rsidR="000D07EA" w:rsidRDefault="00BE7C89">
            <w:pPr>
              <w:pStyle w:val="BodyText"/>
              <w:spacing w:before="100" w:after="100"/>
            </w:pPr>
            <w:r>
              <w:t>No</w:t>
            </w:r>
          </w:p>
        </w:tc>
      </w:tr>
      <w:tr w:rsidR="000D07EA" w14:paraId="6BFFD4E1" w14:textId="77777777">
        <w:trPr>
          <w:trHeight w:val="20"/>
        </w:trPr>
        <w:tc>
          <w:tcPr>
            <w:tcW w:w="4111" w:type="dxa"/>
          </w:tcPr>
          <w:p w14:paraId="5C7D0AE7" w14:textId="77777777" w:rsidR="000D07EA" w:rsidRDefault="00BE7C89">
            <w:pPr>
              <w:pStyle w:val="BodyText"/>
              <w:spacing w:before="100" w:after="100"/>
            </w:pPr>
            <w:r>
              <w:t>SMS to 966 (Zoo)</w:t>
            </w:r>
          </w:p>
        </w:tc>
        <w:tc>
          <w:tcPr>
            <w:tcW w:w="4028" w:type="dxa"/>
          </w:tcPr>
          <w:p w14:paraId="44181C3B" w14:textId="77777777" w:rsidR="000D07EA" w:rsidRDefault="00BE7C89">
            <w:pPr>
              <w:pStyle w:val="BodyText"/>
              <w:spacing w:before="100" w:after="100"/>
            </w:pPr>
            <w:r>
              <w:t>No</w:t>
            </w:r>
          </w:p>
        </w:tc>
      </w:tr>
      <w:tr w:rsidR="000D07EA" w14:paraId="0E5FE701" w14:textId="77777777">
        <w:trPr>
          <w:trHeight w:val="20"/>
        </w:trPr>
        <w:tc>
          <w:tcPr>
            <w:tcW w:w="4111" w:type="dxa"/>
          </w:tcPr>
          <w:p w14:paraId="5096A696" w14:textId="77777777" w:rsidR="000D07EA" w:rsidRDefault="00BE7C89">
            <w:pPr>
              <w:pStyle w:val="BodyText"/>
              <w:spacing w:before="100" w:after="100"/>
            </w:pPr>
            <w:r>
              <w:t>Mobile Internet usage</w:t>
            </w:r>
          </w:p>
        </w:tc>
        <w:tc>
          <w:tcPr>
            <w:tcW w:w="4028" w:type="dxa"/>
          </w:tcPr>
          <w:p w14:paraId="3E81A33B" w14:textId="77777777" w:rsidR="000D07EA" w:rsidRDefault="00BE7C89">
            <w:pPr>
              <w:pStyle w:val="BodyText"/>
              <w:spacing w:before="100" w:after="100"/>
            </w:pPr>
            <w:r>
              <w:t>No</w:t>
            </w:r>
          </w:p>
        </w:tc>
      </w:tr>
      <w:tr w:rsidR="000D07EA" w14:paraId="0D242186" w14:textId="77777777">
        <w:trPr>
          <w:trHeight w:val="20"/>
        </w:trPr>
        <w:tc>
          <w:tcPr>
            <w:tcW w:w="4111" w:type="dxa"/>
          </w:tcPr>
          <w:p w14:paraId="102DB94E" w14:textId="77777777" w:rsidR="000D07EA" w:rsidRDefault="00BE7C89">
            <w:pPr>
              <w:pStyle w:val="BodyText"/>
              <w:spacing w:before="100" w:after="100"/>
            </w:pPr>
            <w:r>
              <w:t>Data Used while Roaming Internationally</w:t>
            </w:r>
          </w:p>
        </w:tc>
        <w:tc>
          <w:tcPr>
            <w:tcW w:w="4028" w:type="dxa"/>
          </w:tcPr>
          <w:p w14:paraId="452A91B2" w14:textId="77777777" w:rsidR="000D07EA" w:rsidRDefault="00BE7C89">
            <w:pPr>
              <w:pStyle w:val="BodyText"/>
              <w:spacing w:before="100" w:after="100"/>
            </w:pPr>
            <w:r>
              <w:t>No</w:t>
            </w:r>
          </w:p>
        </w:tc>
      </w:tr>
      <w:tr w:rsidR="000D07EA" w14:paraId="47E6D475" w14:textId="77777777">
        <w:trPr>
          <w:trHeight w:val="20"/>
        </w:trPr>
        <w:tc>
          <w:tcPr>
            <w:tcW w:w="4111" w:type="dxa"/>
          </w:tcPr>
          <w:p w14:paraId="3E26CC93" w14:textId="77777777" w:rsidR="000D07EA" w:rsidRDefault="00BE7C89">
            <w:pPr>
              <w:pStyle w:val="BodyText"/>
              <w:spacing w:before="100" w:after="100"/>
            </w:pPr>
            <w:r>
              <w:t>Content Packs (unless specified in promotions)</w:t>
            </w:r>
          </w:p>
        </w:tc>
        <w:tc>
          <w:tcPr>
            <w:tcW w:w="4028" w:type="dxa"/>
          </w:tcPr>
          <w:p w14:paraId="7182F466" w14:textId="77777777" w:rsidR="000D07EA" w:rsidRDefault="00BE7C89">
            <w:pPr>
              <w:pStyle w:val="BodyText"/>
              <w:spacing w:before="100" w:after="100"/>
            </w:pPr>
            <w:r>
              <w:t>No</w:t>
            </w:r>
          </w:p>
        </w:tc>
      </w:tr>
      <w:tr w:rsidR="000D07EA" w14:paraId="08C5BAED" w14:textId="77777777">
        <w:trPr>
          <w:trHeight w:val="20"/>
        </w:trPr>
        <w:tc>
          <w:tcPr>
            <w:tcW w:w="4111" w:type="dxa"/>
          </w:tcPr>
          <w:p w14:paraId="7D715974" w14:textId="77777777" w:rsidR="000D07EA" w:rsidRDefault="00BE7C89">
            <w:pPr>
              <w:pStyle w:val="BodyText"/>
              <w:spacing w:before="100" w:after="100"/>
            </w:pPr>
            <w:r>
              <w:t>TrueLocal Usage</w:t>
            </w:r>
          </w:p>
        </w:tc>
        <w:tc>
          <w:tcPr>
            <w:tcW w:w="4028" w:type="dxa"/>
          </w:tcPr>
          <w:p w14:paraId="0081A5E4" w14:textId="77777777" w:rsidR="000D07EA" w:rsidRDefault="00BE7C89">
            <w:pPr>
              <w:pStyle w:val="BodyText"/>
              <w:spacing w:before="100" w:after="100"/>
            </w:pPr>
            <w:r>
              <w:t>No</w:t>
            </w:r>
          </w:p>
        </w:tc>
      </w:tr>
      <w:tr w:rsidR="000D07EA" w14:paraId="11ED3D1F" w14:textId="77777777">
        <w:trPr>
          <w:trHeight w:val="20"/>
        </w:trPr>
        <w:tc>
          <w:tcPr>
            <w:tcW w:w="4111" w:type="dxa"/>
          </w:tcPr>
          <w:p w14:paraId="24A0D830" w14:textId="77777777" w:rsidR="000D07EA" w:rsidRDefault="00BE7C89">
            <w:pPr>
              <w:pStyle w:val="BodyText"/>
              <w:spacing w:before="100" w:after="100"/>
            </w:pPr>
            <w:r>
              <w:t xml:space="preserve">Directory Assistance- 1223 </w:t>
            </w:r>
          </w:p>
        </w:tc>
        <w:tc>
          <w:tcPr>
            <w:tcW w:w="4028" w:type="dxa"/>
          </w:tcPr>
          <w:p w14:paraId="4992705B" w14:textId="77777777" w:rsidR="000D07EA" w:rsidRDefault="00BE7C89">
            <w:pPr>
              <w:pStyle w:val="BodyText"/>
              <w:spacing w:before="100" w:after="100"/>
            </w:pPr>
            <w:r>
              <w:t>No</w:t>
            </w:r>
          </w:p>
        </w:tc>
      </w:tr>
      <w:tr w:rsidR="000D07EA" w14:paraId="175B6B0C" w14:textId="77777777">
        <w:trPr>
          <w:trHeight w:val="20"/>
        </w:trPr>
        <w:tc>
          <w:tcPr>
            <w:tcW w:w="4111" w:type="dxa"/>
          </w:tcPr>
          <w:p w14:paraId="554E9930" w14:textId="77777777" w:rsidR="000D07EA" w:rsidRDefault="00BE7C89">
            <w:pPr>
              <w:pStyle w:val="BodyText"/>
              <w:spacing w:before="100" w:after="100"/>
            </w:pPr>
            <w:r>
              <w:t>19XX Numbers</w:t>
            </w:r>
          </w:p>
        </w:tc>
        <w:tc>
          <w:tcPr>
            <w:tcW w:w="4028" w:type="dxa"/>
          </w:tcPr>
          <w:p w14:paraId="4357B8DA" w14:textId="77777777" w:rsidR="000D07EA" w:rsidRDefault="00BE7C89">
            <w:pPr>
              <w:pStyle w:val="BodyText"/>
              <w:spacing w:before="100" w:after="100"/>
            </w:pPr>
            <w:r>
              <w:t>No</w:t>
            </w:r>
          </w:p>
        </w:tc>
      </w:tr>
      <w:tr w:rsidR="000D07EA" w14:paraId="2ECEAAB2" w14:textId="77777777">
        <w:trPr>
          <w:trHeight w:val="20"/>
        </w:trPr>
        <w:tc>
          <w:tcPr>
            <w:tcW w:w="4111" w:type="dxa"/>
          </w:tcPr>
          <w:p w14:paraId="29267BC2" w14:textId="77777777" w:rsidR="000D07EA" w:rsidRDefault="00BE7C89">
            <w:pPr>
              <w:pStyle w:val="BodyText"/>
              <w:spacing w:before="100" w:after="100"/>
            </w:pPr>
            <w:r>
              <w:t>1800, 13 and 1300 numbers</w:t>
            </w:r>
          </w:p>
        </w:tc>
        <w:tc>
          <w:tcPr>
            <w:tcW w:w="4028" w:type="dxa"/>
          </w:tcPr>
          <w:p w14:paraId="4466977F" w14:textId="77777777" w:rsidR="000D07EA" w:rsidRDefault="00BE7C89">
            <w:pPr>
              <w:pStyle w:val="BodyText"/>
              <w:spacing w:before="100" w:after="100"/>
            </w:pPr>
            <w:r>
              <w:t>No</w:t>
            </w:r>
          </w:p>
        </w:tc>
      </w:tr>
      <w:tr w:rsidR="000D07EA" w14:paraId="192BCB03" w14:textId="77777777">
        <w:trPr>
          <w:trHeight w:val="20"/>
        </w:trPr>
        <w:tc>
          <w:tcPr>
            <w:tcW w:w="4111" w:type="dxa"/>
          </w:tcPr>
          <w:p w14:paraId="4977340C" w14:textId="77777777" w:rsidR="000D07EA" w:rsidRDefault="00BE7C89">
            <w:pPr>
              <w:pStyle w:val="BodyText"/>
              <w:spacing w:before="100" w:after="100"/>
            </w:pPr>
            <w:r>
              <w:t>124YES(937)</w:t>
            </w:r>
          </w:p>
        </w:tc>
        <w:tc>
          <w:tcPr>
            <w:tcW w:w="4028" w:type="dxa"/>
          </w:tcPr>
          <w:p w14:paraId="7D1491D6" w14:textId="77777777" w:rsidR="000D07EA" w:rsidRDefault="00BE7C89">
            <w:pPr>
              <w:pStyle w:val="BodyText"/>
              <w:spacing w:before="100" w:after="100"/>
            </w:pPr>
            <w:r>
              <w:t>No</w:t>
            </w:r>
          </w:p>
        </w:tc>
      </w:tr>
      <w:tr w:rsidR="000D07EA" w14:paraId="4DA976F9" w14:textId="77777777">
        <w:trPr>
          <w:trHeight w:val="20"/>
        </w:trPr>
        <w:tc>
          <w:tcPr>
            <w:tcW w:w="4111" w:type="dxa"/>
          </w:tcPr>
          <w:p w14:paraId="4017E6C4" w14:textId="77777777" w:rsidR="000D07EA" w:rsidRDefault="00BE7C89">
            <w:pPr>
              <w:pStyle w:val="BodyText"/>
              <w:spacing w:before="100" w:after="100"/>
            </w:pPr>
            <w:r>
              <w:t>Calls to MobileSat</w:t>
            </w:r>
          </w:p>
        </w:tc>
        <w:tc>
          <w:tcPr>
            <w:tcW w:w="4028" w:type="dxa"/>
          </w:tcPr>
          <w:p w14:paraId="6FFCBB47" w14:textId="77777777" w:rsidR="000D07EA" w:rsidRDefault="00BE7C89">
            <w:pPr>
              <w:pStyle w:val="BodyText"/>
              <w:spacing w:before="100" w:after="100"/>
            </w:pPr>
            <w:r>
              <w:t>No</w:t>
            </w:r>
          </w:p>
        </w:tc>
      </w:tr>
      <w:tr w:rsidR="000D07EA" w14:paraId="0E4A90A4" w14:textId="77777777">
        <w:trPr>
          <w:trHeight w:val="20"/>
        </w:trPr>
        <w:tc>
          <w:tcPr>
            <w:tcW w:w="4111" w:type="dxa"/>
          </w:tcPr>
          <w:p w14:paraId="794602C0" w14:textId="77777777" w:rsidR="000D07EA" w:rsidRDefault="00BE7C89">
            <w:pPr>
              <w:pStyle w:val="BodyText"/>
              <w:spacing w:before="100" w:after="100"/>
            </w:pPr>
            <w:r>
              <w:t>VOIP services</w:t>
            </w:r>
          </w:p>
        </w:tc>
        <w:tc>
          <w:tcPr>
            <w:tcW w:w="4028" w:type="dxa"/>
          </w:tcPr>
          <w:p w14:paraId="0DE466DB" w14:textId="77777777" w:rsidR="000D07EA" w:rsidRDefault="00BE7C89">
            <w:pPr>
              <w:pStyle w:val="BodyText"/>
              <w:spacing w:before="100" w:after="100"/>
            </w:pPr>
            <w:r>
              <w:t>No</w:t>
            </w:r>
          </w:p>
        </w:tc>
      </w:tr>
      <w:tr w:rsidR="000D07EA" w14:paraId="13621C4A" w14:textId="77777777">
        <w:trPr>
          <w:trHeight w:val="20"/>
        </w:trPr>
        <w:tc>
          <w:tcPr>
            <w:tcW w:w="4111" w:type="dxa"/>
          </w:tcPr>
          <w:p w14:paraId="5D9B9614" w14:textId="77777777" w:rsidR="000D07EA" w:rsidRDefault="00BE7C89">
            <w:pPr>
              <w:pStyle w:val="BodyText"/>
              <w:spacing w:before="100" w:after="100"/>
            </w:pPr>
            <w:r>
              <w:t>Inmarsat calls</w:t>
            </w:r>
          </w:p>
        </w:tc>
        <w:tc>
          <w:tcPr>
            <w:tcW w:w="4028" w:type="dxa"/>
          </w:tcPr>
          <w:p w14:paraId="34D96771" w14:textId="77777777" w:rsidR="000D07EA" w:rsidRDefault="00BE7C89">
            <w:pPr>
              <w:pStyle w:val="BodyText"/>
              <w:spacing w:before="100" w:after="100"/>
            </w:pPr>
            <w:r>
              <w:t>No</w:t>
            </w:r>
          </w:p>
        </w:tc>
      </w:tr>
    </w:tbl>
    <w:p w14:paraId="35E40C3D" w14:textId="77777777" w:rsidR="000D07EA" w:rsidRDefault="000D07EA">
      <w:pPr>
        <w:pStyle w:val="BodyText"/>
      </w:pPr>
    </w:p>
    <w:p w14:paraId="08B65356" w14:textId="77777777" w:rsidR="000D07EA" w:rsidRDefault="00BE7C89">
      <w:pPr>
        <w:pStyle w:val="BodyText"/>
        <w:ind w:left="1440"/>
        <w:jc w:val="both"/>
        <w:rPr>
          <w:b/>
        </w:rPr>
      </w:pPr>
      <w:r>
        <w:rPr>
          <w:b/>
        </w:rPr>
        <w:t>Table 2A – Charges for the Business Timeless Plan</w:t>
      </w:r>
    </w:p>
    <w:tbl>
      <w:tblPr>
        <w:tblW w:w="8928"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7"/>
        <w:gridCol w:w="1900"/>
        <w:gridCol w:w="1900"/>
        <w:gridCol w:w="1901"/>
      </w:tblGrid>
      <w:tr w:rsidR="000D07EA" w14:paraId="58B80455" w14:textId="77777777">
        <w:trPr>
          <w:trHeight w:val="630"/>
          <w:tblHeader/>
        </w:trPr>
        <w:tc>
          <w:tcPr>
            <w:tcW w:w="3227" w:type="dxa"/>
          </w:tcPr>
          <w:p w14:paraId="55A7AF2E" w14:textId="77777777" w:rsidR="000D07EA" w:rsidRDefault="00BE7C89">
            <w:pPr>
              <w:pStyle w:val="BodyText"/>
              <w:rPr>
                <w:b/>
              </w:rPr>
            </w:pPr>
            <w:r>
              <w:rPr>
                <w:b/>
              </w:rPr>
              <w:lastRenderedPageBreak/>
              <w:t> </w:t>
            </w:r>
          </w:p>
        </w:tc>
        <w:tc>
          <w:tcPr>
            <w:tcW w:w="1900" w:type="dxa"/>
          </w:tcPr>
          <w:p w14:paraId="1CF8669B" w14:textId="77777777" w:rsidR="000D07EA" w:rsidRDefault="00BE7C89">
            <w:pPr>
              <w:pStyle w:val="BodyText"/>
              <w:rPr>
                <w:b/>
              </w:rPr>
            </w:pPr>
            <w:r>
              <w:rPr>
                <w:b/>
              </w:rPr>
              <w:t>$89 Business Timeless Plan (4G Sept 2012)</w:t>
            </w:r>
          </w:p>
        </w:tc>
        <w:tc>
          <w:tcPr>
            <w:tcW w:w="1900" w:type="dxa"/>
          </w:tcPr>
          <w:p w14:paraId="00851B8F" w14:textId="77777777" w:rsidR="000D07EA" w:rsidRDefault="00BE7C89">
            <w:pPr>
              <w:pStyle w:val="BodyText"/>
              <w:rPr>
                <w:b/>
              </w:rPr>
            </w:pPr>
            <w:r>
              <w:rPr>
                <w:b/>
              </w:rPr>
              <w:t>$99 Business Timeless Plan (4G Sept 2012)</w:t>
            </w:r>
          </w:p>
        </w:tc>
        <w:tc>
          <w:tcPr>
            <w:tcW w:w="1901" w:type="dxa"/>
          </w:tcPr>
          <w:p w14:paraId="0D7EE8DC" w14:textId="77777777" w:rsidR="000D07EA" w:rsidRDefault="00BE7C89">
            <w:pPr>
              <w:pStyle w:val="BodyText"/>
              <w:rPr>
                <w:b/>
              </w:rPr>
            </w:pPr>
            <w:r>
              <w:rPr>
                <w:b/>
              </w:rPr>
              <w:t>$129 Business Timeless Plan (4G Sept 2012)</w:t>
            </w:r>
          </w:p>
        </w:tc>
      </w:tr>
      <w:tr w:rsidR="000D07EA" w14:paraId="0DCD3E55" w14:textId="77777777">
        <w:trPr>
          <w:trHeight w:val="315"/>
        </w:trPr>
        <w:tc>
          <w:tcPr>
            <w:tcW w:w="3227" w:type="dxa"/>
          </w:tcPr>
          <w:p w14:paraId="268B1001" w14:textId="77777777" w:rsidR="000D07EA" w:rsidRDefault="00BE7C89">
            <w:pPr>
              <w:pStyle w:val="BodyText"/>
              <w:rPr>
                <w:b/>
              </w:rPr>
            </w:pPr>
            <w:r>
              <w:rPr>
                <w:b/>
              </w:rPr>
              <w:t>Minimum Monthly charge</w:t>
            </w:r>
          </w:p>
        </w:tc>
        <w:tc>
          <w:tcPr>
            <w:tcW w:w="1900" w:type="dxa"/>
          </w:tcPr>
          <w:p w14:paraId="3FF1AD5C" w14:textId="77777777" w:rsidR="000D07EA" w:rsidRDefault="00BE7C89">
            <w:pPr>
              <w:pStyle w:val="BodyText"/>
            </w:pPr>
            <w:r>
              <w:t>$89</w:t>
            </w:r>
          </w:p>
        </w:tc>
        <w:tc>
          <w:tcPr>
            <w:tcW w:w="1900" w:type="dxa"/>
          </w:tcPr>
          <w:p w14:paraId="359488B3" w14:textId="77777777" w:rsidR="000D07EA" w:rsidRDefault="00BE7C89">
            <w:pPr>
              <w:pStyle w:val="BodyText"/>
            </w:pPr>
            <w:r>
              <w:t>$99</w:t>
            </w:r>
          </w:p>
        </w:tc>
        <w:tc>
          <w:tcPr>
            <w:tcW w:w="1901" w:type="dxa"/>
          </w:tcPr>
          <w:p w14:paraId="1E4D128C" w14:textId="77777777" w:rsidR="000D07EA" w:rsidRDefault="00BE7C89">
            <w:pPr>
              <w:pStyle w:val="BodyText"/>
            </w:pPr>
            <w:r>
              <w:t>$129</w:t>
            </w:r>
          </w:p>
        </w:tc>
      </w:tr>
      <w:tr w:rsidR="000D07EA" w14:paraId="1A212D37" w14:textId="77777777">
        <w:trPr>
          <w:trHeight w:val="630"/>
        </w:trPr>
        <w:tc>
          <w:tcPr>
            <w:tcW w:w="3227" w:type="dxa"/>
          </w:tcPr>
          <w:p w14:paraId="15DD0292" w14:textId="77777777" w:rsidR="000D07EA" w:rsidRDefault="00BE7C89">
            <w:pPr>
              <w:pStyle w:val="BodyText"/>
              <w:rPr>
                <w:b/>
              </w:rPr>
            </w:pPr>
            <w:r>
              <w:rPr>
                <w:b/>
              </w:rPr>
              <w:t>Standard local &amp; national calls to Australian fixed lines</w:t>
            </w:r>
          </w:p>
        </w:tc>
        <w:tc>
          <w:tcPr>
            <w:tcW w:w="1900" w:type="dxa"/>
          </w:tcPr>
          <w:p w14:paraId="5AB85DA6" w14:textId="77777777" w:rsidR="000D07EA" w:rsidRDefault="00BE7C89">
            <w:pPr>
              <w:pStyle w:val="BodyText"/>
            </w:pPr>
            <w:r>
              <w:t>Unlimited</w:t>
            </w:r>
          </w:p>
        </w:tc>
        <w:tc>
          <w:tcPr>
            <w:tcW w:w="1900" w:type="dxa"/>
          </w:tcPr>
          <w:p w14:paraId="6DED9580" w14:textId="77777777" w:rsidR="000D07EA" w:rsidRDefault="00BE7C89">
            <w:pPr>
              <w:pStyle w:val="BodyText"/>
            </w:pPr>
            <w:r>
              <w:t>Unlimited</w:t>
            </w:r>
          </w:p>
        </w:tc>
        <w:tc>
          <w:tcPr>
            <w:tcW w:w="1901" w:type="dxa"/>
          </w:tcPr>
          <w:p w14:paraId="4E8D346E" w14:textId="77777777" w:rsidR="000D07EA" w:rsidRDefault="00BE7C89">
            <w:pPr>
              <w:pStyle w:val="BodyText"/>
            </w:pPr>
            <w:r>
              <w:t>Unlimited</w:t>
            </w:r>
          </w:p>
        </w:tc>
      </w:tr>
      <w:tr w:rsidR="000D07EA" w14:paraId="47CB1B82" w14:textId="77777777">
        <w:trPr>
          <w:trHeight w:val="630"/>
        </w:trPr>
        <w:tc>
          <w:tcPr>
            <w:tcW w:w="3227" w:type="dxa"/>
          </w:tcPr>
          <w:p w14:paraId="05D054E0" w14:textId="77777777" w:rsidR="000D07EA" w:rsidRDefault="00BE7C89">
            <w:pPr>
              <w:pStyle w:val="BodyText"/>
              <w:rPr>
                <w:b/>
              </w:rPr>
            </w:pPr>
            <w:r>
              <w:rPr>
                <w:b/>
              </w:rPr>
              <w:t>Standard national voice call to any Australian mobile.</w:t>
            </w:r>
          </w:p>
        </w:tc>
        <w:tc>
          <w:tcPr>
            <w:tcW w:w="1900" w:type="dxa"/>
          </w:tcPr>
          <w:p w14:paraId="2454CA34" w14:textId="77777777" w:rsidR="000D07EA" w:rsidRDefault="00BE7C89">
            <w:pPr>
              <w:pStyle w:val="BodyText"/>
            </w:pPr>
            <w:r>
              <w:t>Unlimited</w:t>
            </w:r>
          </w:p>
        </w:tc>
        <w:tc>
          <w:tcPr>
            <w:tcW w:w="1900" w:type="dxa"/>
          </w:tcPr>
          <w:p w14:paraId="63DDE28A" w14:textId="77777777" w:rsidR="000D07EA" w:rsidRDefault="00BE7C89">
            <w:pPr>
              <w:pStyle w:val="BodyText"/>
            </w:pPr>
            <w:r>
              <w:t>Unlimited</w:t>
            </w:r>
          </w:p>
        </w:tc>
        <w:tc>
          <w:tcPr>
            <w:tcW w:w="1901" w:type="dxa"/>
          </w:tcPr>
          <w:p w14:paraId="5248A412" w14:textId="77777777" w:rsidR="000D07EA" w:rsidRDefault="00BE7C89">
            <w:pPr>
              <w:pStyle w:val="BodyText"/>
            </w:pPr>
            <w:r>
              <w:t>Unlimited</w:t>
            </w:r>
          </w:p>
        </w:tc>
      </w:tr>
      <w:tr w:rsidR="000D07EA" w14:paraId="41272DE3" w14:textId="77777777">
        <w:trPr>
          <w:trHeight w:val="630"/>
        </w:trPr>
        <w:tc>
          <w:tcPr>
            <w:tcW w:w="3227" w:type="dxa"/>
          </w:tcPr>
          <w:p w14:paraId="55EB2351" w14:textId="77777777" w:rsidR="000D07EA" w:rsidRDefault="00BE7C89">
            <w:pPr>
              <w:pStyle w:val="BodyText"/>
              <w:rPr>
                <w:b/>
              </w:rPr>
            </w:pPr>
            <w:r>
              <w:rPr>
                <w:b/>
              </w:rPr>
              <w:t>Standard national SMS to any Australian mobile.</w:t>
            </w:r>
          </w:p>
        </w:tc>
        <w:tc>
          <w:tcPr>
            <w:tcW w:w="1900" w:type="dxa"/>
          </w:tcPr>
          <w:p w14:paraId="38B6B324" w14:textId="77777777" w:rsidR="000D07EA" w:rsidRDefault="00BE7C89">
            <w:pPr>
              <w:pStyle w:val="BodyText"/>
            </w:pPr>
            <w:r>
              <w:t>Unlimited</w:t>
            </w:r>
          </w:p>
        </w:tc>
        <w:tc>
          <w:tcPr>
            <w:tcW w:w="1900" w:type="dxa"/>
          </w:tcPr>
          <w:p w14:paraId="54034850" w14:textId="77777777" w:rsidR="000D07EA" w:rsidRDefault="00BE7C89">
            <w:pPr>
              <w:pStyle w:val="BodyText"/>
            </w:pPr>
            <w:r>
              <w:t>Unlimited</w:t>
            </w:r>
          </w:p>
        </w:tc>
        <w:tc>
          <w:tcPr>
            <w:tcW w:w="1901" w:type="dxa"/>
          </w:tcPr>
          <w:p w14:paraId="1CFA15E8" w14:textId="77777777" w:rsidR="000D07EA" w:rsidRDefault="00BE7C89">
            <w:pPr>
              <w:pStyle w:val="BodyText"/>
            </w:pPr>
            <w:r>
              <w:t>Unlimited</w:t>
            </w:r>
          </w:p>
        </w:tc>
      </w:tr>
      <w:tr w:rsidR="000D07EA" w14:paraId="3B3E0C39" w14:textId="77777777">
        <w:trPr>
          <w:trHeight w:val="945"/>
        </w:trPr>
        <w:tc>
          <w:tcPr>
            <w:tcW w:w="3227" w:type="dxa"/>
          </w:tcPr>
          <w:p w14:paraId="171837AE" w14:textId="77777777" w:rsidR="000D07EA" w:rsidRDefault="00BE7C89">
            <w:pPr>
              <w:pStyle w:val="BodyText"/>
              <w:rPr>
                <w:b/>
              </w:rPr>
            </w:pPr>
            <w:r>
              <w:rPr>
                <w:b/>
              </w:rPr>
              <w:t>VoiceMail</w:t>
            </w:r>
          </w:p>
        </w:tc>
        <w:tc>
          <w:tcPr>
            <w:tcW w:w="1900" w:type="dxa"/>
          </w:tcPr>
          <w:p w14:paraId="171CDC5D" w14:textId="77777777" w:rsidR="000D07EA" w:rsidRDefault="00BE7C89">
            <w:pPr>
              <w:pStyle w:val="BodyText"/>
            </w:pPr>
            <w:r>
              <w:t>Unlimited</w:t>
            </w:r>
          </w:p>
        </w:tc>
        <w:tc>
          <w:tcPr>
            <w:tcW w:w="1900" w:type="dxa"/>
          </w:tcPr>
          <w:p w14:paraId="493EA092" w14:textId="77777777" w:rsidR="000D07EA" w:rsidRDefault="00BE7C89">
            <w:pPr>
              <w:pStyle w:val="BodyText"/>
            </w:pPr>
            <w:r>
              <w:t>Unlimited</w:t>
            </w:r>
          </w:p>
        </w:tc>
        <w:tc>
          <w:tcPr>
            <w:tcW w:w="1901" w:type="dxa"/>
          </w:tcPr>
          <w:p w14:paraId="02A2D124" w14:textId="77777777" w:rsidR="000D07EA" w:rsidRDefault="00BE7C89">
            <w:pPr>
              <w:pStyle w:val="BodyText"/>
            </w:pPr>
            <w:r>
              <w:t>Unlimited</w:t>
            </w:r>
          </w:p>
        </w:tc>
      </w:tr>
      <w:tr w:rsidR="000D07EA" w14:paraId="3670D264" w14:textId="77777777">
        <w:trPr>
          <w:trHeight w:val="630"/>
        </w:trPr>
        <w:tc>
          <w:tcPr>
            <w:tcW w:w="3227" w:type="dxa"/>
          </w:tcPr>
          <w:p w14:paraId="5667BEC0" w14:textId="77777777" w:rsidR="000D07EA" w:rsidRDefault="00BE7C89">
            <w:pPr>
              <w:pStyle w:val="BodyText"/>
              <w:rPr>
                <w:b/>
              </w:rPr>
            </w:pPr>
            <w:r>
              <w:rPr>
                <w:b/>
              </w:rPr>
              <w:t>Calls to 13/1300/1800 Numbers</w:t>
            </w:r>
          </w:p>
        </w:tc>
        <w:tc>
          <w:tcPr>
            <w:tcW w:w="1900" w:type="dxa"/>
            <w:tcBorders>
              <w:bottom w:val="single" w:sz="4" w:space="0" w:color="auto"/>
            </w:tcBorders>
          </w:tcPr>
          <w:p w14:paraId="650DA6A3" w14:textId="77777777" w:rsidR="000D07EA" w:rsidRDefault="00BE7C89">
            <w:pPr>
              <w:pStyle w:val="BodyText"/>
            </w:pPr>
            <w:r>
              <w:t>$0.30 per min with $0.35 flagfall</w:t>
            </w:r>
          </w:p>
        </w:tc>
        <w:tc>
          <w:tcPr>
            <w:tcW w:w="1900" w:type="dxa"/>
          </w:tcPr>
          <w:p w14:paraId="57BEA1B7" w14:textId="77777777" w:rsidR="000D07EA" w:rsidRDefault="00BE7C89">
            <w:pPr>
              <w:pStyle w:val="BodyText"/>
            </w:pPr>
            <w:r>
              <w:t>Unlimited</w:t>
            </w:r>
          </w:p>
        </w:tc>
        <w:tc>
          <w:tcPr>
            <w:tcW w:w="1901" w:type="dxa"/>
            <w:tcBorders>
              <w:bottom w:val="single" w:sz="4" w:space="0" w:color="auto"/>
            </w:tcBorders>
          </w:tcPr>
          <w:p w14:paraId="474ED5E7" w14:textId="77777777" w:rsidR="000D07EA" w:rsidRDefault="00BE7C89">
            <w:pPr>
              <w:pStyle w:val="BodyText"/>
            </w:pPr>
            <w:r>
              <w:t>Unlimited</w:t>
            </w:r>
          </w:p>
        </w:tc>
      </w:tr>
      <w:tr w:rsidR="000D07EA" w14:paraId="2EEAE18F" w14:textId="77777777">
        <w:trPr>
          <w:cantSplit/>
          <w:trHeight w:val="1055"/>
        </w:trPr>
        <w:tc>
          <w:tcPr>
            <w:tcW w:w="3227" w:type="dxa"/>
            <w:vMerge w:val="restart"/>
          </w:tcPr>
          <w:p w14:paraId="21440725" w14:textId="77777777" w:rsidR="000D07EA" w:rsidRDefault="00BE7C89">
            <w:pPr>
              <w:pStyle w:val="BodyText"/>
              <w:rPr>
                <w:b/>
              </w:rPr>
            </w:pPr>
            <w:r>
              <w:rPr>
                <w:b/>
              </w:rPr>
              <w:t>Monthly Included Mobile Internet Data and Unlimited BlackBerry POP3 Email and Browsing</w:t>
            </w:r>
          </w:p>
        </w:tc>
        <w:tc>
          <w:tcPr>
            <w:tcW w:w="1900" w:type="dxa"/>
            <w:tcBorders>
              <w:bottom w:val="nil"/>
            </w:tcBorders>
          </w:tcPr>
          <w:p w14:paraId="49D2CE7D" w14:textId="77777777" w:rsidR="000D07EA" w:rsidRDefault="00BE7C89">
            <w:pPr>
              <w:pStyle w:val="BodyText"/>
            </w:pPr>
            <w:r>
              <w:t>2GB</w:t>
            </w:r>
          </w:p>
        </w:tc>
        <w:tc>
          <w:tcPr>
            <w:tcW w:w="1900" w:type="dxa"/>
          </w:tcPr>
          <w:p w14:paraId="37486628" w14:textId="77777777" w:rsidR="000D07EA" w:rsidRDefault="00BE7C89">
            <w:pPr>
              <w:pStyle w:val="BodyText"/>
            </w:pPr>
            <w:r>
              <w:t>3GB</w:t>
            </w:r>
          </w:p>
        </w:tc>
        <w:tc>
          <w:tcPr>
            <w:tcW w:w="1901" w:type="dxa"/>
            <w:tcBorders>
              <w:bottom w:val="nil"/>
            </w:tcBorders>
          </w:tcPr>
          <w:p w14:paraId="6F83D0B7" w14:textId="77777777" w:rsidR="000D07EA" w:rsidRDefault="00BE7C89">
            <w:pPr>
              <w:pStyle w:val="BodyText"/>
            </w:pPr>
            <w:r>
              <w:t>4GB</w:t>
            </w:r>
          </w:p>
        </w:tc>
      </w:tr>
      <w:tr w:rsidR="000D07EA" w14:paraId="3270A241" w14:textId="77777777">
        <w:trPr>
          <w:cantSplit/>
          <w:trHeight w:val="1260"/>
        </w:trPr>
        <w:tc>
          <w:tcPr>
            <w:tcW w:w="3227" w:type="dxa"/>
            <w:vMerge/>
            <w:vAlign w:val="center"/>
          </w:tcPr>
          <w:p w14:paraId="03DC0624" w14:textId="77777777" w:rsidR="000D07EA" w:rsidRDefault="000D07EA">
            <w:pPr>
              <w:pStyle w:val="BodyText"/>
              <w:rPr>
                <w:b/>
              </w:rPr>
            </w:pPr>
          </w:p>
        </w:tc>
        <w:tc>
          <w:tcPr>
            <w:tcW w:w="1900" w:type="dxa"/>
            <w:tcBorders>
              <w:top w:val="nil"/>
            </w:tcBorders>
          </w:tcPr>
          <w:p w14:paraId="2AE448BA" w14:textId="77777777" w:rsidR="000D07EA" w:rsidRDefault="00BE7C89">
            <w:pPr>
              <w:pStyle w:val="BodyText"/>
            </w:pPr>
            <w:r>
              <w:t xml:space="preserve">Unlimited BlackBerry POP3 Email and Browsing </w:t>
            </w:r>
          </w:p>
        </w:tc>
        <w:tc>
          <w:tcPr>
            <w:tcW w:w="1900" w:type="dxa"/>
          </w:tcPr>
          <w:p w14:paraId="12C6E383" w14:textId="77777777" w:rsidR="000D07EA" w:rsidRDefault="00BE7C89">
            <w:pPr>
              <w:pStyle w:val="BodyText"/>
            </w:pPr>
            <w:r>
              <w:t xml:space="preserve">Unlimited BlackBerry POP3 Email and Browsing </w:t>
            </w:r>
          </w:p>
        </w:tc>
        <w:tc>
          <w:tcPr>
            <w:tcW w:w="1901" w:type="dxa"/>
            <w:tcBorders>
              <w:top w:val="nil"/>
            </w:tcBorders>
          </w:tcPr>
          <w:p w14:paraId="7312C731" w14:textId="77777777" w:rsidR="000D07EA" w:rsidRDefault="00BE7C89">
            <w:pPr>
              <w:pStyle w:val="BodyText"/>
            </w:pPr>
            <w:r>
              <w:t xml:space="preserve">Unlimited BlackBerry POP3 Email and Browsing </w:t>
            </w:r>
          </w:p>
        </w:tc>
      </w:tr>
      <w:tr w:rsidR="000D07EA" w14:paraId="05AAB31C" w14:textId="77777777">
        <w:trPr>
          <w:trHeight w:val="315"/>
        </w:trPr>
        <w:tc>
          <w:tcPr>
            <w:tcW w:w="3227" w:type="dxa"/>
          </w:tcPr>
          <w:p w14:paraId="260D7068" w14:textId="77777777" w:rsidR="000D07EA" w:rsidRDefault="00BE7C89">
            <w:pPr>
              <w:pStyle w:val="BodyText"/>
              <w:rPr>
                <w:b/>
              </w:rPr>
            </w:pPr>
            <w:r>
              <w:rPr>
                <w:b/>
              </w:rPr>
              <w:t>Included International Value</w:t>
            </w:r>
          </w:p>
        </w:tc>
        <w:tc>
          <w:tcPr>
            <w:tcW w:w="1900" w:type="dxa"/>
          </w:tcPr>
          <w:p w14:paraId="6C9E029F" w14:textId="77777777" w:rsidR="000D07EA" w:rsidRDefault="00BE7C89">
            <w:pPr>
              <w:pStyle w:val="BodyText"/>
            </w:pPr>
            <w:r>
              <w:t>N/A</w:t>
            </w:r>
          </w:p>
        </w:tc>
        <w:tc>
          <w:tcPr>
            <w:tcW w:w="1900" w:type="dxa"/>
          </w:tcPr>
          <w:p w14:paraId="04D77A7D" w14:textId="77777777" w:rsidR="000D07EA" w:rsidRDefault="00BE7C89">
            <w:pPr>
              <w:pStyle w:val="BodyText"/>
            </w:pPr>
            <w:r>
              <w:t>N/A</w:t>
            </w:r>
          </w:p>
        </w:tc>
        <w:tc>
          <w:tcPr>
            <w:tcW w:w="1901" w:type="dxa"/>
          </w:tcPr>
          <w:p w14:paraId="5982B01A" w14:textId="77777777" w:rsidR="000D07EA" w:rsidRDefault="00BE7C89">
            <w:pPr>
              <w:pStyle w:val="BodyText"/>
            </w:pPr>
            <w:r>
              <w:t>$100</w:t>
            </w:r>
          </w:p>
        </w:tc>
      </w:tr>
      <w:tr w:rsidR="000D07EA" w14:paraId="0FD4B7C6" w14:textId="77777777">
        <w:trPr>
          <w:trHeight w:val="945"/>
        </w:trPr>
        <w:tc>
          <w:tcPr>
            <w:tcW w:w="3227" w:type="dxa"/>
          </w:tcPr>
          <w:p w14:paraId="00A5EE9A" w14:textId="77777777" w:rsidR="000D07EA" w:rsidRDefault="00BE7C89">
            <w:pPr>
              <w:pStyle w:val="BodyText"/>
              <w:rPr>
                <w:b/>
                <w:i/>
                <w:iCs/>
              </w:rPr>
            </w:pPr>
            <w:r>
              <w:rPr>
                <w:b/>
                <w:i/>
                <w:iCs/>
              </w:rPr>
              <w:t>Excess Data Charge (charged per kb, includes uploads and downloads)</w:t>
            </w:r>
          </w:p>
        </w:tc>
        <w:tc>
          <w:tcPr>
            <w:tcW w:w="1900" w:type="dxa"/>
          </w:tcPr>
          <w:p w14:paraId="78BF2A9C" w14:textId="77777777" w:rsidR="000D07EA" w:rsidRDefault="00BE7C89">
            <w:pPr>
              <w:pStyle w:val="BodyText"/>
            </w:pPr>
            <w:r>
              <w:t>$0.25/MB</w:t>
            </w:r>
          </w:p>
        </w:tc>
        <w:tc>
          <w:tcPr>
            <w:tcW w:w="1900" w:type="dxa"/>
          </w:tcPr>
          <w:p w14:paraId="58D2AA5E" w14:textId="77777777" w:rsidR="000D07EA" w:rsidRDefault="00BE7C89">
            <w:pPr>
              <w:pStyle w:val="BodyText"/>
            </w:pPr>
            <w:r>
              <w:t>$0.25/MB</w:t>
            </w:r>
          </w:p>
        </w:tc>
        <w:tc>
          <w:tcPr>
            <w:tcW w:w="1901" w:type="dxa"/>
          </w:tcPr>
          <w:p w14:paraId="24DEBBBB" w14:textId="77777777" w:rsidR="000D07EA" w:rsidRDefault="00BE7C89">
            <w:pPr>
              <w:pStyle w:val="BodyText"/>
            </w:pPr>
            <w:r>
              <w:t>$0.25/MB</w:t>
            </w:r>
          </w:p>
        </w:tc>
      </w:tr>
      <w:tr w:rsidR="000D07EA" w14:paraId="27B761D1" w14:textId="77777777">
        <w:trPr>
          <w:trHeight w:val="630"/>
        </w:trPr>
        <w:tc>
          <w:tcPr>
            <w:tcW w:w="3227" w:type="dxa"/>
          </w:tcPr>
          <w:p w14:paraId="6E9ADB4D" w14:textId="77777777" w:rsidR="000D07EA" w:rsidRDefault="00BE7C89">
            <w:pPr>
              <w:pStyle w:val="BodyText"/>
              <w:rPr>
                <w:b/>
              </w:rPr>
            </w:pPr>
            <w:r>
              <w:rPr>
                <w:b/>
              </w:rPr>
              <w:t xml:space="preserve">International Video call charges </w:t>
            </w:r>
            <w:r>
              <w:t>(per minute)</w:t>
            </w:r>
          </w:p>
        </w:tc>
        <w:tc>
          <w:tcPr>
            <w:tcW w:w="1900" w:type="dxa"/>
          </w:tcPr>
          <w:p w14:paraId="45DC17E7" w14:textId="77777777" w:rsidR="000D07EA" w:rsidRDefault="00BE7C89">
            <w:pPr>
              <w:pStyle w:val="BodyText"/>
            </w:pPr>
            <w:r>
              <w:t>$1.50 per min plus 35c flagfall</w:t>
            </w:r>
          </w:p>
        </w:tc>
        <w:tc>
          <w:tcPr>
            <w:tcW w:w="1900" w:type="dxa"/>
          </w:tcPr>
          <w:p w14:paraId="278DC75F" w14:textId="77777777" w:rsidR="000D07EA" w:rsidRDefault="00BE7C89">
            <w:pPr>
              <w:pStyle w:val="BodyText"/>
            </w:pPr>
            <w:r>
              <w:t>$1.50 per min plus 35c flagfall</w:t>
            </w:r>
          </w:p>
        </w:tc>
        <w:tc>
          <w:tcPr>
            <w:tcW w:w="1901" w:type="dxa"/>
          </w:tcPr>
          <w:p w14:paraId="052641CF" w14:textId="77777777" w:rsidR="000D07EA" w:rsidRDefault="00BE7C89">
            <w:pPr>
              <w:pStyle w:val="BodyText"/>
            </w:pPr>
            <w:r>
              <w:t>$1.50 per min plus 35c flagfall</w:t>
            </w:r>
          </w:p>
        </w:tc>
      </w:tr>
      <w:tr w:rsidR="000D07EA" w14:paraId="3E5368C0" w14:textId="77777777">
        <w:trPr>
          <w:trHeight w:val="315"/>
        </w:trPr>
        <w:tc>
          <w:tcPr>
            <w:tcW w:w="3227" w:type="dxa"/>
          </w:tcPr>
          <w:p w14:paraId="41304A92" w14:textId="77777777" w:rsidR="000D07EA" w:rsidRDefault="00BE7C89">
            <w:pPr>
              <w:pStyle w:val="BodyText"/>
              <w:rPr>
                <w:b/>
              </w:rPr>
            </w:pPr>
            <w:r>
              <w:rPr>
                <w:b/>
              </w:rPr>
              <w:t>Standard national MMS to any Australian mobile.</w:t>
            </w:r>
          </w:p>
        </w:tc>
        <w:tc>
          <w:tcPr>
            <w:tcW w:w="1900" w:type="dxa"/>
          </w:tcPr>
          <w:p w14:paraId="74A98CFE" w14:textId="77777777" w:rsidR="000D07EA" w:rsidRDefault="00BE7C89">
            <w:pPr>
              <w:pStyle w:val="BodyText"/>
            </w:pPr>
            <w:r>
              <w:t>$0.50</w:t>
            </w:r>
          </w:p>
        </w:tc>
        <w:tc>
          <w:tcPr>
            <w:tcW w:w="1900" w:type="dxa"/>
          </w:tcPr>
          <w:p w14:paraId="2792D0D4" w14:textId="77777777" w:rsidR="000D07EA" w:rsidRDefault="00BE7C89">
            <w:pPr>
              <w:pStyle w:val="BodyText"/>
            </w:pPr>
            <w:r>
              <w:t>$0.50</w:t>
            </w:r>
          </w:p>
        </w:tc>
        <w:tc>
          <w:tcPr>
            <w:tcW w:w="1901" w:type="dxa"/>
          </w:tcPr>
          <w:p w14:paraId="466225DD" w14:textId="77777777" w:rsidR="000D07EA" w:rsidRDefault="00BE7C89">
            <w:pPr>
              <w:pStyle w:val="BodyText"/>
            </w:pPr>
            <w:r>
              <w:t>$0.50</w:t>
            </w:r>
          </w:p>
        </w:tc>
      </w:tr>
      <w:tr w:rsidR="000D07EA" w14:paraId="7B887918" w14:textId="77777777">
        <w:trPr>
          <w:trHeight w:val="315"/>
        </w:trPr>
        <w:tc>
          <w:tcPr>
            <w:tcW w:w="3227" w:type="dxa"/>
          </w:tcPr>
          <w:p w14:paraId="20E662F2" w14:textId="77777777" w:rsidR="000D07EA" w:rsidRDefault="00BE7C89">
            <w:pPr>
              <w:pStyle w:val="BodyText"/>
              <w:rPr>
                <w:b/>
              </w:rPr>
            </w:pPr>
            <w:r>
              <w:rPr>
                <w:b/>
              </w:rPr>
              <w:t>International SMS (per message of up to 160 characters)</w:t>
            </w:r>
          </w:p>
        </w:tc>
        <w:tc>
          <w:tcPr>
            <w:tcW w:w="1900" w:type="dxa"/>
          </w:tcPr>
          <w:p w14:paraId="416EA58C" w14:textId="77777777" w:rsidR="000D07EA" w:rsidRDefault="00BE7C89">
            <w:pPr>
              <w:pStyle w:val="BodyText"/>
            </w:pPr>
            <w:r>
              <w:t>$0.50</w:t>
            </w:r>
          </w:p>
        </w:tc>
        <w:tc>
          <w:tcPr>
            <w:tcW w:w="1900" w:type="dxa"/>
          </w:tcPr>
          <w:p w14:paraId="4CD1B836" w14:textId="77777777" w:rsidR="000D07EA" w:rsidRDefault="00BE7C89">
            <w:pPr>
              <w:pStyle w:val="BodyText"/>
            </w:pPr>
            <w:r>
              <w:t>$0.50</w:t>
            </w:r>
          </w:p>
        </w:tc>
        <w:tc>
          <w:tcPr>
            <w:tcW w:w="1901" w:type="dxa"/>
          </w:tcPr>
          <w:p w14:paraId="2494CCFB" w14:textId="77777777" w:rsidR="000D07EA" w:rsidRDefault="00BE7C89">
            <w:pPr>
              <w:pStyle w:val="BodyText"/>
            </w:pPr>
            <w:r>
              <w:t>$0.50</w:t>
            </w:r>
          </w:p>
        </w:tc>
      </w:tr>
      <w:tr w:rsidR="000D07EA" w14:paraId="20A7CBC0" w14:textId="77777777">
        <w:trPr>
          <w:trHeight w:val="630"/>
        </w:trPr>
        <w:tc>
          <w:tcPr>
            <w:tcW w:w="3227" w:type="dxa"/>
          </w:tcPr>
          <w:p w14:paraId="3D9A8B99" w14:textId="77777777" w:rsidR="000D07EA" w:rsidRDefault="00BE7C89">
            <w:pPr>
              <w:pStyle w:val="BodyText"/>
              <w:rPr>
                <w:b/>
              </w:rPr>
            </w:pPr>
            <w:r>
              <w:rPr>
                <w:b/>
              </w:rPr>
              <w:t>International MMS (per message)</w:t>
            </w:r>
          </w:p>
        </w:tc>
        <w:tc>
          <w:tcPr>
            <w:tcW w:w="1900" w:type="dxa"/>
          </w:tcPr>
          <w:p w14:paraId="6CEA4C6A" w14:textId="77777777" w:rsidR="000D07EA" w:rsidRDefault="00BE7C89">
            <w:pPr>
              <w:pStyle w:val="BodyText"/>
            </w:pPr>
            <w:r>
              <w:t>$0.75</w:t>
            </w:r>
          </w:p>
        </w:tc>
        <w:tc>
          <w:tcPr>
            <w:tcW w:w="1900" w:type="dxa"/>
          </w:tcPr>
          <w:p w14:paraId="7382648F" w14:textId="77777777" w:rsidR="000D07EA" w:rsidRDefault="00BE7C89">
            <w:pPr>
              <w:pStyle w:val="BodyText"/>
            </w:pPr>
            <w:r>
              <w:t>$0.75</w:t>
            </w:r>
          </w:p>
        </w:tc>
        <w:tc>
          <w:tcPr>
            <w:tcW w:w="1901" w:type="dxa"/>
          </w:tcPr>
          <w:p w14:paraId="6C58AB12" w14:textId="77777777" w:rsidR="000D07EA" w:rsidRDefault="00BE7C89">
            <w:pPr>
              <w:pStyle w:val="BodyText"/>
            </w:pPr>
            <w:r>
              <w:t>$0.75</w:t>
            </w:r>
          </w:p>
        </w:tc>
      </w:tr>
      <w:tr w:rsidR="000D07EA" w14:paraId="0A9098C3" w14:textId="77777777">
        <w:trPr>
          <w:trHeight w:val="312"/>
        </w:trPr>
        <w:tc>
          <w:tcPr>
            <w:tcW w:w="3227" w:type="dxa"/>
          </w:tcPr>
          <w:p w14:paraId="6040421D" w14:textId="77777777" w:rsidR="000D07EA" w:rsidRDefault="00BE7C89">
            <w:pPr>
              <w:pStyle w:val="BodyText"/>
              <w:rPr>
                <w:b/>
              </w:rPr>
            </w:pPr>
            <w:r>
              <w:rPr>
                <w:b/>
              </w:rPr>
              <w:t>International Rates</w:t>
            </w:r>
          </w:p>
        </w:tc>
        <w:tc>
          <w:tcPr>
            <w:tcW w:w="1900" w:type="dxa"/>
          </w:tcPr>
          <w:p w14:paraId="1C3549AC" w14:textId="77777777" w:rsidR="000D07EA" w:rsidRDefault="00BE7C89">
            <w:pPr>
              <w:pStyle w:val="BodyText"/>
              <w:jc w:val="center"/>
              <w:rPr>
                <w:iCs/>
              </w:rPr>
            </w:pPr>
            <w:r>
              <w:rPr>
                <w:iCs/>
              </w:rPr>
              <w:t>International 'yes' Call Rates (see Appendix J)</w:t>
            </w:r>
          </w:p>
        </w:tc>
        <w:tc>
          <w:tcPr>
            <w:tcW w:w="1900" w:type="dxa"/>
          </w:tcPr>
          <w:p w14:paraId="43581DFB" w14:textId="77777777" w:rsidR="000D07EA" w:rsidRDefault="00BE7C89">
            <w:pPr>
              <w:pStyle w:val="BodyText"/>
              <w:jc w:val="center"/>
              <w:rPr>
                <w:iCs/>
              </w:rPr>
            </w:pPr>
            <w:r>
              <w:rPr>
                <w:iCs/>
              </w:rPr>
              <w:t>International 'yes' Call Rates (see Appendix J)</w:t>
            </w:r>
          </w:p>
        </w:tc>
        <w:tc>
          <w:tcPr>
            <w:tcW w:w="1901" w:type="dxa"/>
          </w:tcPr>
          <w:p w14:paraId="2682FF80" w14:textId="77777777" w:rsidR="000D07EA" w:rsidRDefault="00BE7C89">
            <w:pPr>
              <w:pStyle w:val="BodyText"/>
              <w:jc w:val="center"/>
              <w:rPr>
                <w:iCs/>
              </w:rPr>
            </w:pPr>
            <w:r>
              <w:rPr>
                <w:iCs/>
              </w:rPr>
              <w:t>International 'yes' Call Rates (see Appendix J)</w:t>
            </w:r>
          </w:p>
        </w:tc>
      </w:tr>
      <w:tr w:rsidR="000D07EA" w14:paraId="4C2FA7C0" w14:textId="77777777">
        <w:trPr>
          <w:trHeight w:val="571"/>
        </w:trPr>
        <w:tc>
          <w:tcPr>
            <w:tcW w:w="3227" w:type="dxa"/>
          </w:tcPr>
          <w:p w14:paraId="68411A59" w14:textId="77777777" w:rsidR="000D07EA" w:rsidRDefault="00BE7C89">
            <w:pPr>
              <w:pStyle w:val="BodyText"/>
              <w:rPr>
                <w:b/>
              </w:rPr>
            </w:pPr>
            <w:r>
              <w:rPr>
                <w:b/>
              </w:rPr>
              <w:t xml:space="preserve">Other call charges </w:t>
            </w:r>
          </w:p>
        </w:tc>
        <w:tc>
          <w:tcPr>
            <w:tcW w:w="1900" w:type="dxa"/>
          </w:tcPr>
          <w:p w14:paraId="249CBA4D" w14:textId="77777777" w:rsidR="000D07EA" w:rsidRDefault="00BE7C89">
            <w:pPr>
              <w:pStyle w:val="BodyText"/>
              <w:jc w:val="center"/>
            </w:pPr>
            <w:r>
              <w:t xml:space="preserve">See section 1 of this </w:t>
            </w:r>
            <w:r>
              <w:rPr>
                <w:i/>
                <w:iCs/>
              </w:rPr>
              <w:t>standard pricing table</w:t>
            </w:r>
            <w:r>
              <w:t xml:space="preserve"> and Appendix Y (Value </w:t>
            </w:r>
            <w:r>
              <w:lastRenderedPageBreak/>
              <w:t>Added Service Features)</w:t>
            </w:r>
          </w:p>
        </w:tc>
        <w:tc>
          <w:tcPr>
            <w:tcW w:w="1900" w:type="dxa"/>
          </w:tcPr>
          <w:p w14:paraId="2BA3DA04" w14:textId="77777777" w:rsidR="000D07EA" w:rsidRDefault="00BE7C89">
            <w:pPr>
              <w:pStyle w:val="BodyText"/>
              <w:jc w:val="center"/>
            </w:pPr>
            <w:r>
              <w:lastRenderedPageBreak/>
              <w:t xml:space="preserve">See section 1 of this </w:t>
            </w:r>
            <w:r>
              <w:rPr>
                <w:i/>
                <w:iCs/>
              </w:rPr>
              <w:t>standard pricing table</w:t>
            </w:r>
            <w:r>
              <w:t xml:space="preserve"> and Appendix Y (Value </w:t>
            </w:r>
            <w:r>
              <w:lastRenderedPageBreak/>
              <w:t>Added Service Features)</w:t>
            </w:r>
          </w:p>
        </w:tc>
        <w:tc>
          <w:tcPr>
            <w:tcW w:w="1901" w:type="dxa"/>
          </w:tcPr>
          <w:p w14:paraId="47EF8E37" w14:textId="77777777" w:rsidR="000D07EA" w:rsidRDefault="00BE7C89">
            <w:pPr>
              <w:pStyle w:val="BodyText"/>
              <w:jc w:val="center"/>
            </w:pPr>
            <w:r>
              <w:lastRenderedPageBreak/>
              <w:t xml:space="preserve">See section 1 of this </w:t>
            </w:r>
            <w:r>
              <w:rPr>
                <w:i/>
                <w:iCs/>
              </w:rPr>
              <w:t>standard pricing table</w:t>
            </w:r>
            <w:r>
              <w:t xml:space="preserve"> and Appendix Y (Value </w:t>
            </w:r>
            <w:r>
              <w:lastRenderedPageBreak/>
              <w:t>Added Service Features)</w:t>
            </w:r>
          </w:p>
        </w:tc>
      </w:tr>
      <w:tr w:rsidR="000D07EA" w14:paraId="7786ECFE" w14:textId="77777777">
        <w:trPr>
          <w:trHeight w:val="693"/>
        </w:trPr>
        <w:tc>
          <w:tcPr>
            <w:tcW w:w="3227" w:type="dxa"/>
          </w:tcPr>
          <w:p w14:paraId="5B434D6F" w14:textId="77777777" w:rsidR="000D07EA" w:rsidRDefault="00BE7C89">
            <w:pPr>
              <w:pStyle w:val="BodyText"/>
              <w:rPr>
                <w:b/>
              </w:rPr>
            </w:pPr>
            <w:r>
              <w:rPr>
                <w:b/>
              </w:rPr>
              <w:lastRenderedPageBreak/>
              <w:t xml:space="preserve">Other conditions </w:t>
            </w:r>
            <w:r>
              <w:t xml:space="preserve">(for details see </w:t>
            </w:r>
            <w:r w:rsidRPr="00272628">
              <w:t>paragraph 1</w:t>
            </w:r>
            <w:r w:rsidR="004B6163" w:rsidRPr="00272628">
              <w:t>02</w:t>
            </w:r>
            <w:r w:rsidRPr="00272628">
              <w:t>.3(</w:t>
            </w:r>
            <w:r w:rsidR="004B6163" w:rsidRPr="00272628">
              <w:t>i</w:t>
            </w:r>
            <w:r w:rsidRPr="00272628">
              <w:t>) above</w:t>
            </w:r>
            <w:r>
              <w:t>)</w:t>
            </w:r>
          </w:p>
        </w:tc>
        <w:tc>
          <w:tcPr>
            <w:tcW w:w="1900" w:type="dxa"/>
          </w:tcPr>
          <w:p w14:paraId="3FFE8F9D" w14:textId="77777777" w:rsidR="000D07EA" w:rsidRDefault="00BE7C89">
            <w:pPr>
              <w:pStyle w:val="BodyText"/>
              <w:jc w:val="center"/>
            </w:pPr>
            <w:r>
              <w:t>Fair Go Policy (</w:t>
            </w:r>
            <w:hyperlink r:id="rId463" w:history="1">
              <w:r>
                <w:rPr>
                  <w:rStyle w:val="Hyperlink"/>
                  <w:i/>
                </w:rPr>
                <w:t>Appendix S</w:t>
              </w:r>
            </w:hyperlink>
            <w:r>
              <w:t>) applies to 'unreasonable use', 'unacceptable use', 'commercial purpose', and 'non-ordinary purpose'</w:t>
            </w:r>
          </w:p>
        </w:tc>
        <w:tc>
          <w:tcPr>
            <w:tcW w:w="1900" w:type="dxa"/>
          </w:tcPr>
          <w:p w14:paraId="23D85048" w14:textId="77777777" w:rsidR="000D07EA" w:rsidRDefault="00BE7C89">
            <w:pPr>
              <w:pStyle w:val="BodyText"/>
              <w:jc w:val="center"/>
            </w:pPr>
            <w:r>
              <w:t>Fair Go Policy (</w:t>
            </w:r>
            <w:hyperlink r:id="rId464" w:history="1">
              <w:r>
                <w:rPr>
                  <w:rStyle w:val="Hyperlink"/>
                  <w:i/>
                </w:rPr>
                <w:t>Appendix S</w:t>
              </w:r>
            </w:hyperlink>
            <w:r>
              <w:t>) applies to 'unreasonable use', 'unacceptable use', 'commercial purpose', and 'non-ordinary purpose'</w:t>
            </w:r>
          </w:p>
        </w:tc>
        <w:tc>
          <w:tcPr>
            <w:tcW w:w="1901" w:type="dxa"/>
          </w:tcPr>
          <w:p w14:paraId="3C8C9041" w14:textId="77777777" w:rsidR="000D07EA" w:rsidRDefault="00BE7C89">
            <w:pPr>
              <w:pStyle w:val="BodyText"/>
              <w:jc w:val="center"/>
            </w:pPr>
            <w:r>
              <w:t>Fair Go Policy (</w:t>
            </w:r>
            <w:hyperlink r:id="rId465" w:history="1">
              <w:r>
                <w:rPr>
                  <w:rStyle w:val="Hyperlink"/>
                  <w:i/>
                </w:rPr>
                <w:t>Appendix S</w:t>
              </w:r>
            </w:hyperlink>
            <w:r>
              <w:t>) applies to 'unreasonable use', 'unacceptable use', 'commercial purpose', and 'non-ordinary purpose'</w:t>
            </w:r>
          </w:p>
        </w:tc>
      </w:tr>
      <w:tr w:rsidR="000D07EA" w14:paraId="49A0C279" w14:textId="77777777">
        <w:trPr>
          <w:trHeight w:val="630"/>
        </w:trPr>
        <w:tc>
          <w:tcPr>
            <w:tcW w:w="3227" w:type="dxa"/>
          </w:tcPr>
          <w:p w14:paraId="0E3ED53F" w14:textId="77777777" w:rsidR="000D07EA" w:rsidRDefault="00BE7C89">
            <w:pPr>
              <w:pStyle w:val="BodyText"/>
              <w:rPr>
                <w:b/>
              </w:rPr>
            </w:pPr>
            <w:r>
              <w:rPr>
                <w:b/>
              </w:rPr>
              <w:t xml:space="preserve">Available on Non </w:t>
            </w:r>
            <w:r>
              <w:rPr>
                <w:b/>
                <w:i/>
              </w:rPr>
              <w:t xml:space="preserve">Fixed Length Agreement </w:t>
            </w:r>
            <w:r>
              <w:rPr>
                <w:b/>
              </w:rPr>
              <w:t>(Month to Month)</w:t>
            </w:r>
          </w:p>
        </w:tc>
        <w:tc>
          <w:tcPr>
            <w:tcW w:w="1900" w:type="dxa"/>
          </w:tcPr>
          <w:p w14:paraId="1B8786DD" w14:textId="77777777" w:rsidR="000D07EA" w:rsidRDefault="00BE7C89">
            <w:pPr>
              <w:pStyle w:val="BodyText"/>
            </w:pPr>
            <w:r>
              <w:t>Yes</w:t>
            </w:r>
          </w:p>
        </w:tc>
        <w:tc>
          <w:tcPr>
            <w:tcW w:w="1900" w:type="dxa"/>
          </w:tcPr>
          <w:p w14:paraId="394D8FDF" w14:textId="77777777" w:rsidR="000D07EA" w:rsidRDefault="00BE7C89">
            <w:pPr>
              <w:pStyle w:val="BodyText"/>
            </w:pPr>
            <w:r>
              <w:t>Yes</w:t>
            </w:r>
          </w:p>
        </w:tc>
        <w:tc>
          <w:tcPr>
            <w:tcW w:w="1901" w:type="dxa"/>
          </w:tcPr>
          <w:p w14:paraId="6F9531B4" w14:textId="77777777" w:rsidR="000D07EA" w:rsidRDefault="00BE7C89">
            <w:pPr>
              <w:pStyle w:val="BodyText"/>
            </w:pPr>
            <w:r>
              <w:t>Yes</w:t>
            </w:r>
          </w:p>
        </w:tc>
      </w:tr>
      <w:tr w:rsidR="000D07EA" w14:paraId="1E630FDF" w14:textId="77777777">
        <w:trPr>
          <w:trHeight w:val="630"/>
        </w:trPr>
        <w:tc>
          <w:tcPr>
            <w:tcW w:w="3227" w:type="dxa"/>
          </w:tcPr>
          <w:p w14:paraId="37516E01" w14:textId="77777777" w:rsidR="000D07EA" w:rsidRDefault="00BE7C89">
            <w:pPr>
              <w:pStyle w:val="BodyText"/>
              <w:rPr>
                <w:b/>
              </w:rPr>
            </w:pPr>
            <w:r>
              <w:rPr>
                <w:b/>
              </w:rPr>
              <w:t xml:space="preserve">Available on a </w:t>
            </w:r>
            <w:r>
              <w:rPr>
                <w:b/>
                <w:i/>
              </w:rPr>
              <w:t>Fixed Length Agreement</w:t>
            </w:r>
            <w:r>
              <w:rPr>
                <w:b/>
              </w:rPr>
              <w:t xml:space="preserve"> (12 or 24 Months)</w:t>
            </w:r>
          </w:p>
        </w:tc>
        <w:tc>
          <w:tcPr>
            <w:tcW w:w="1900" w:type="dxa"/>
          </w:tcPr>
          <w:p w14:paraId="49F5F23B" w14:textId="77777777" w:rsidR="000D07EA" w:rsidRDefault="00BE7C89">
            <w:pPr>
              <w:pStyle w:val="BodyText"/>
            </w:pPr>
            <w:r>
              <w:t>Yes</w:t>
            </w:r>
          </w:p>
        </w:tc>
        <w:tc>
          <w:tcPr>
            <w:tcW w:w="1900" w:type="dxa"/>
          </w:tcPr>
          <w:p w14:paraId="7B5AA16A" w14:textId="77777777" w:rsidR="000D07EA" w:rsidRDefault="00BE7C89">
            <w:pPr>
              <w:pStyle w:val="BodyText"/>
            </w:pPr>
            <w:r>
              <w:t>Yes</w:t>
            </w:r>
          </w:p>
        </w:tc>
        <w:tc>
          <w:tcPr>
            <w:tcW w:w="1901" w:type="dxa"/>
          </w:tcPr>
          <w:p w14:paraId="5EEF537F" w14:textId="77777777" w:rsidR="000D07EA" w:rsidRDefault="00BE7C89">
            <w:pPr>
              <w:pStyle w:val="BodyText"/>
            </w:pPr>
            <w:r>
              <w:t>Yes</w:t>
            </w:r>
          </w:p>
        </w:tc>
      </w:tr>
      <w:tr w:rsidR="000D07EA" w14:paraId="524EE7D7" w14:textId="77777777">
        <w:trPr>
          <w:trHeight w:val="1575"/>
        </w:trPr>
        <w:tc>
          <w:tcPr>
            <w:tcW w:w="3227" w:type="dxa"/>
          </w:tcPr>
          <w:p w14:paraId="5964A498" w14:textId="77777777" w:rsidR="000D07EA" w:rsidRDefault="00BE7C89">
            <w:pPr>
              <w:pStyle w:val="BodyText"/>
              <w:rPr>
                <w:b/>
              </w:rPr>
            </w:pPr>
            <w:r>
              <w:rPr>
                <w:b/>
              </w:rPr>
              <w:t xml:space="preserve">Minimum Total Cost of the Business Timeless Plans over a 24 month </w:t>
            </w:r>
            <w:r>
              <w:rPr>
                <w:b/>
                <w:i/>
              </w:rPr>
              <w:t>minimum term</w:t>
            </w:r>
            <w:r>
              <w:rPr>
                <w:b/>
              </w:rPr>
              <w:t xml:space="preserve"> (amount excludes handset repayments if any)</w:t>
            </w:r>
          </w:p>
        </w:tc>
        <w:tc>
          <w:tcPr>
            <w:tcW w:w="1900" w:type="dxa"/>
          </w:tcPr>
          <w:p w14:paraId="050B391C" w14:textId="77777777" w:rsidR="000D07EA" w:rsidRDefault="00BE7C89">
            <w:pPr>
              <w:pStyle w:val="BodyText"/>
            </w:pPr>
            <w:r>
              <w:t>$2,376</w:t>
            </w:r>
          </w:p>
        </w:tc>
        <w:tc>
          <w:tcPr>
            <w:tcW w:w="1900" w:type="dxa"/>
          </w:tcPr>
          <w:p w14:paraId="1A9A8B24" w14:textId="77777777" w:rsidR="000D07EA" w:rsidRDefault="00BE7C89">
            <w:pPr>
              <w:pStyle w:val="BodyText"/>
            </w:pPr>
            <w:r>
              <w:t>$2,376</w:t>
            </w:r>
          </w:p>
        </w:tc>
        <w:tc>
          <w:tcPr>
            <w:tcW w:w="1901" w:type="dxa"/>
          </w:tcPr>
          <w:p w14:paraId="35D89EBF" w14:textId="77777777" w:rsidR="000D07EA" w:rsidRDefault="00BE7C89">
            <w:pPr>
              <w:pStyle w:val="BodyText"/>
            </w:pPr>
            <w:r>
              <w:t>$3,096</w:t>
            </w:r>
          </w:p>
        </w:tc>
      </w:tr>
      <w:tr w:rsidR="000D07EA" w14:paraId="75AB43F0" w14:textId="77777777">
        <w:trPr>
          <w:trHeight w:val="1575"/>
        </w:trPr>
        <w:tc>
          <w:tcPr>
            <w:tcW w:w="3227" w:type="dxa"/>
          </w:tcPr>
          <w:p w14:paraId="382116DF" w14:textId="77777777" w:rsidR="000D07EA" w:rsidRDefault="00BE7C89">
            <w:pPr>
              <w:pStyle w:val="BodyText"/>
              <w:rPr>
                <w:b/>
              </w:rPr>
            </w:pPr>
            <w:r>
              <w:rPr>
                <w:b/>
              </w:rPr>
              <w:t xml:space="preserve">Minimum Total Cost of the Business Timeless Plans over a 12 month </w:t>
            </w:r>
            <w:r>
              <w:rPr>
                <w:b/>
                <w:i/>
              </w:rPr>
              <w:t>minimum term</w:t>
            </w:r>
            <w:r>
              <w:rPr>
                <w:b/>
              </w:rPr>
              <w:t xml:space="preserve"> (amount excludes handset repayments if any)</w:t>
            </w:r>
          </w:p>
        </w:tc>
        <w:tc>
          <w:tcPr>
            <w:tcW w:w="1900" w:type="dxa"/>
          </w:tcPr>
          <w:p w14:paraId="687734D6" w14:textId="77777777" w:rsidR="000D07EA" w:rsidRDefault="00BE7C89">
            <w:pPr>
              <w:pStyle w:val="BodyText"/>
            </w:pPr>
            <w:r>
              <w:t>$1,188</w:t>
            </w:r>
          </w:p>
        </w:tc>
        <w:tc>
          <w:tcPr>
            <w:tcW w:w="1900" w:type="dxa"/>
          </w:tcPr>
          <w:p w14:paraId="4032EF0D" w14:textId="77777777" w:rsidR="000D07EA" w:rsidRDefault="00BE7C89">
            <w:pPr>
              <w:pStyle w:val="BodyText"/>
            </w:pPr>
            <w:r>
              <w:t>$1,188</w:t>
            </w:r>
          </w:p>
        </w:tc>
        <w:tc>
          <w:tcPr>
            <w:tcW w:w="1901" w:type="dxa"/>
          </w:tcPr>
          <w:p w14:paraId="7D09A27B" w14:textId="77777777" w:rsidR="000D07EA" w:rsidRDefault="00BE7C89">
            <w:pPr>
              <w:pStyle w:val="BodyText"/>
            </w:pPr>
            <w:r>
              <w:t>$1,548</w:t>
            </w:r>
          </w:p>
        </w:tc>
      </w:tr>
    </w:tbl>
    <w:p w14:paraId="465A46BF" w14:textId="77777777" w:rsidR="000D07EA" w:rsidRDefault="000D07EA">
      <w:pPr>
        <w:pStyle w:val="BodyText"/>
      </w:pPr>
    </w:p>
    <w:p w14:paraId="1058F145" w14:textId="77777777" w:rsidR="000D07EA" w:rsidRDefault="00BE7C89">
      <w:pPr>
        <w:pStyle w:val="Heading6"/>
        <w:ind w:left="0" w:firstLine="0"/>
      </w:pPr>
      <w:bookmarkStart w:id="647" w:name="_Toc314124701"/>
      <w:bookmarkStart w:id="648" w:name="_Toc397941246"/>
      <w:r>
        <w:t xml:space="preserve">What happens if the </w:t>
      </w:r>
      <w:r>
        <w:rPr>
          <w:i/>
        </w:rPr>
        <w:t xml:space="preserve">service is cancelled </w:t>
      </w:r>
      <w:r>
        <w:t>early?</w:t>
      </w:r>
      <w:bookmarkEnd w:id="647"/>
      <w:bookmarkEnd w:id="648"/>
      <w:r>
        <w:t xml:space="preserve"> </w:t>
      </w:r>
    </w:p>
    <w:p w14:paraId="3F2C9C6A" w14:textId="77777777" w:rsidR="000D07EA" w:rsidRDefault="00BE7C89">
      <w:pPr>
        <w:pStyle w:val="Heading7"/>
      </w:pPr>
      <w:r>
        <w:t xml:space="preserve">If </w:t>
      </w:r>
      <w:r>
        <w:rPr>
          <w:i/>
        </w:rPr>
        <w:t>the service</w:t>
      </w:r>
      <w:r>
        <w:t xml:space="preserve"> </w:t>
      </w:r>
      <w:r>
        <w:rPr>
          <w:i/>
        </w:rPr>
        <w:t xml:space="preserve">is cancelled </w:t>
      </w:r>
      <w:r>
        <w:t xml:space="preserve">before the expiry of the </w:t>
      </w:r>
      <w:r>
        <w:rPr>
          <w:i/>
        </w:rPr>
        <w:t xml:space="preserve">minimum term, you </w:t>
      </w:r>
      <w:r>
        <w:t xml:space="preserve">will be required to pay </w:t>
      </w:r>
      <w:r>
        <w:rPr>
          <w:i/>
        </w:rPr>
        <w:t>us</w:t>
      </w:r>
      <w:r>
        <w:t>:</w:t>
      </w:r>
    </w:p>
    <w:p w14:paraId="2D7958C3" w14:textId="77777777" w:rsidR="000D07EA" w:rsidRDefault="00BE7C89">
      <w:pPr>
        <w:pStyle w:val="Heading8"/>
      </w:pPr>
      <w:r>
        <w:t xml:space="preserve">any usage charges incurred up to, and including, the </w:t>
      </w:r>
      <w:r>
        <w:rPr>
          <w:i/>
        </w:rPr>
        <w:t xml:space="preserve">cancellation date; </w:t>
      </w:r>
      <w:r>
        <w:t>plus</w:t>
      </w:r>
    </w:p>
    <w:p w14:paraId="234F0AE8" w14:textId="77777777" w:rsidR="000D07EA" w:rsidRDefault="00BE7C89">
      <w:pPr>
        <w:pStyle w:val="Heading8"/>
      </w:pPr>
      <w:r>
        <w:t xml:space="preserve">the </w:t>
      </w:r>
      <w:r>
        <w:rPr>
          <w:i/>
        </w:rPr>
        <w:t xml:space="preserve">cancellation fee </w:t>
      </w:r>
      <w:r>
        <w:t xml:space="preserve">set in paragraph </w:t>
      </w:r>
      <w:r>
        <w:fldChar w:fldCharType="begin"/>
      </w:r>
      <w:r>
        <w:instrText xml:space="preserve"> REF _Ref461552982 \n \h </w:instrText>
      </w:r>
      <w:r>
        <w:fldChar w:fldCharType="separate"/>
      </w:r>
      <w:r w:rsidR="0004083A">
        <w:t>(b)</w:t>
      </w:r>
      <w:r>
        <w:fldChar w:fldCharType="end"/>
      </w:r>
      <w:r>
        <w:t xml:space="preserve"> and </w:t>
      </w:r>
      <w:r>
        <w:fldChar w:fldCharType="begin"/>
      </w:r>
      <w:r>
        <w:instrText xml:space="preserve"> REF _Ref461552990 \n \h </w:instrText>
      </w:r>
      <w:r>
        <w:fldChar w:fldCharType="separate"/>
      </w:r>
      <w:r w:rsidR="0004083A">
        <w:t>(c)</w:t>
      </w:r>
      <w:r>
        <w:fldChar w:fldCharType="end"/>
      </w:r>
      <w:r>
        <w:t xml:space="preserve"> below (unless under clause 2A of the </w:t>
      </w:r>
      <w:r>
        <w:rPr>
          <w:i/>
        </w:rPr>
        <w:t xml:space="preserve">SME terms, you </w:t>
      </w:r>
      <w:r>
        <w:t xml:space="preserve">are entitled to </w:t>
      </w:r>
      <w:r>
        <w:rPr>
          <w:i/>
        </w:rPr>
        <w:t xml:space="preserve">cancel the service </w:t>
      </w:r>
      <w:r>
        <w:t xml:space="preserve">without incurring a </w:t>
      </w:r>
      <w:r>
        <w:rPr>
          <w:i/>
        </w:rPr>
        <w:t>cancellation fee)</w:t>
      </w:r>
      <w:r>
        <w:t>; plus</w:t>
      </w:r>
    </w:p>
    <w:p w14:paraId="2A62267F" w14:textId="77777777" w:rsidR="000D07EA" w:rsidRDefault="00BE7C89">
      <w:pPr>
        <w:pStyle w:val="Heading8"/>
      </w:pPr>
      <w:r>
        <w:t xml:space="preserve">the sum of unpaid </w:t>
      </w:r>
      <w:r>
        <w:rPr>
          <w:i/>
        </w:rPr>
        <w:t xml:space="preserve">equipment charges </w:t>
      </w:r>
      <w:r>
        <w:t xml:space="preserve">owing on </w:t>
      </w:r>
      <w:r>
        <w:rPr>
          <w:i/>
        </w:rPr>
        <w:t xml:space="preserve">your mobile phone </w:t>
      </w:r>
      <w:r>
        <w:t xml:space="preserve">under the </w:t>
      </w:r>
      <w:r>
        <w:rPr>
          <w:i/>
        </w:rPr>
        <w:t xml:space="preserve">mobile equipment payment plan </w:t>
      </w:r>
      <w:r>
        <w:t>(if any)</w:t>
      </w:r>
      <w:r>
        <w:rPr>
          <w:i/>
        </w:rPr>
        <w:t>.</w:t>
      </w:r>
    </w:p>
    <w:p w14:paraId="126BA32B" w14:textId="77777777" w:rsidR="000D07EA" w:rsidRDefault="00BE7C89">
      <w:pPr>
        <w:pStyle w:val="Heading7"/>
      </w:pPr>
      <w:bookmarkStart w:id="649" w:name="_Ref461552982"/>
      <w:r>
        <w:t xml:space="preserve">The </w:t>
      </w:r>
      <w:r>
        <w:rPr>
          <w:i/>
        </w:rPr>
        <w:t>cancellation fee</w:t>
      </w:r>
      <w:r>
        <w:t xml:space="preserve"> for a 24 Month </w:t>
      </w:r>
      <w:r>
        <w:rPr>
          <w:i/>
        </w:rPr>
        <w:t>fixed length agreement</w:t>
      </w:r>
      <w:r>
        <w:t xml:space="preserve"> is calculated as a fixed amount if the </w:t>
      </w:r>
      <w:r>
        <w:rPr>
          <w:i/>
        </w:rPr>
        <w:t xml:space="preserve">service </w:t>
      </w:r>
      <w:r>
        <w:t xml:space="preserve">is </w:t>
      </w:r>
      <w:r>
        <w:rPr>
          <w:i/>
        </w:rPr>
        <w:t xml:space="preserve">cancelled </w:t>
      </w:r>
      <w:r>
        <w:t xml:space="preserve">during the first 12 months of the </w:t>
      </w:r>
      <w:r>
        <w:rPr>
          <w:i/>
        </w:rPr>
        <w:t>minimum term</w:t>
      </w:r>
      <w:r>
        <w:t xml:space="preserve"> and then a pro-rata reduction of that fee (indicated as a percentage in brackets in the first column of the table below) if the </w:t>
      </w:r>
      <w:r>
        <w:rPr>
          <w:i/>
        </w:rPr>
        <w:t xml:space="preserve">service </w:t>
      </w:r>
      <w:r>
        <w:t xml:space="preserve">is </w:t>
      </w:r>
      <w:r>
        <w:rPr>
          <w:i/>
        </w:rPr>
        <w:t xml:space="preserve">cancelled </w:t>
      </w:r>
      <w:r>
        <w:t xml:space="preserve">during the second year of the </w:t>
      </w:r>
      <w:r>
        <w:rPr>
          <w:i/>
        </w:rPr>
        <w:t>minimum term</w:t>
      </w:r>
      <w:r>
        <w:t>.</w:t>
      </w:r>
      <w:bookmarkEnd w:id="649"/>
    </w:p>
    <w:p w14:paraId="465F519B" w14:textId="77777777" w:rsidR="000D07EA" w:rsidRDefault="00BE7C89">
      <w:pPr>
        <w:pStyle w:val="Heading7"/>
      </w:pPr>
      <w:bookmarkStart w:id="650" w:name="_Ref461552990"/>
      <w:r>
        <w:t xml:space="preserve">The </w:t>
      </w:r>
      <w:r>
        <w:rPr>
          <w:i/>
        </w:rPr>
        <w:t>cancellation fee</w:t>
      </w:r>
      <w:r>
        <w:t xml:space="preserve"> for a 12 month </w:t>
      </w:r>
      <w:r>
        <w:rPr>
          <w:i/>
        </w:rPr>
        <w:t>fixed length agreement</w:t>
      </w:r>
      <w:r>
        <w:t xml:space="preserve"> is calculated as a fixed amount if the </w:t>
      </w:r>
      <w:r>
        <w:rPr>
          <w:i/>
        </w:rPr>
        <w:t xml:space="preserve">service </w:t>
      </w:r>
      <w:r>
        <w:t xml:space="preserve">is </w:t>
      </w:r>
      <w:r>
        <w:rPr>
          <w:i/>
        </w:rPr>
        <w:t xml:space="preserve">cancelled </w:t>
      </w:r>
      <w:r>
        <w:t xml:space="preserve">during the first 6 months of the </w:t>
      </w:r>
      <w:r>
        <w:rPr>
          <w:i/>
        </w:rPr>
        <w:t>minimum term</w:t>
      </w:r>
      <w:r>
        <w:t xml:space="preserve"> and then a pro-rata reduction of that fee (indicated as a percentage in brackets in the first column of the table below) if the </w:t>
      </w:r>
      <w:r>
        <w:rPr>
          <w:i/>
        </w:rPr>
        <w:t xml:space="preserve">service </w:t>
      </w:r>
      <w:r>
        <w:t xml:space="preserve">is </w:t>
      </w:r>
      <w:r>
        <w:rPr>
          <w:i/>
        </w:rPr>
        <w:t xml:space="preserve">cancelled </w:t>
      </w:r>
      <w:r>
        <w:t xml:space="preserve">during the last 6 months of the </w:t>
      </w:r>
      <w:r>
        <w:rPr>
          <w:i/>
        </w:rPr>
        <w:t>minimum term</w:t>
      </w:r>
      <w:r>
        <w:t>.</w:t>
      </w:r>
      <w:bookmarkEnd w:id="650"/>
    </w:p>
    <w:tbl>
      <w:tblPr>
        <w:tblW w:w="87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8"/>
        <w:gridCol w:w="1980"/>
        <w:gridCol w:w="1980"/>
        <w:gridCol w:w="1980"/>
      </w:tblGrid>
      <w:tr w:rsidR="000D07EA" w14:paraId="7CDCB3B3" w14:textId="77777777">
        <w:trPr>
          <w:trHeight w:val="20"/>
        </w:trPr>
        <w:tc>
          <w:tcPr>
            <w:tcW w:w="2808" w:type="dxa"/>
            <w:vAlign w:val="center"/>
          </w:tcPr>
          <w:p w14:paraId="51CA8EDC" w14:textId="77777777" w:rsidR="000D07EA" w:rsidRDefault="00BE7C89">
            <w:pPr>
              <w:pStyle w:val="BodyText"/>
              <w:keepNext/>
              <w:spacing w:before="100" w:after="100"/>
              <w:rPr>
                <w:b/>
              </w:rPr>
            </w:pPr>
            <w:r>
              <w:rPr>
                <w:b/>
              </w:rPr>
              <w:lastRenderedPageBreak/>
              <w:t xml:space="preserve">When the </w:t>
            </w:r>
            <w:r>
              <w:rPr>
                <w:b/>
                <w:i/>
              </w:rPr>
              <w:t>service</w:t>
            </w:r>
            <w:r>
              <w:rPr>
                <w:b/>
              </w:rPr>
              <w:t xml:space="preserve"> is </w:t>
            </w:r>
            <w:r>
              <w:rPr>
                <w:b/>
                <w:i/>
              </w:rPr>
              <w:t>cancelled</w:t>
            </w:r>
          </w:p>
        </w:tc>
        <w:tc>
          <w:tcPr>
            <w:tcW w:w="5940" w:type="dxa"/>
            <w:gridSpan w:val="3"/>
          </w:tcPr>
          <w:p w14:paraId="62D768CF" w14:textId="77777777" w:rsidR="000D07EA" w:rsidRDefault="00BE7C89">
            <w:pPr>
              <w:pStyle w:val="BodyText"/>
              <w:keepNext/>
              <w:spacing w:before="100" w:after="100"/>
              <w:jc w:val="center"/>
              <w:rPr>
                <w:b/>
                <w:i/>
              </w:rPr>
            </w:pPr>
            <w:r>
              <w:rPr>
                <w:b/>
                <w:i/>
              </w:rPr>
              <w:t>Cancellation Fees</w:t>
            </w:r>
          </w:p>
        </w:tc>
      </w:tr>
      <w:tr w:rsidR="000D07EA" w14:paraId="61E86CBA" w14:textId="77777777">
        <w:trPr>
          <w:trHeight w:val="20"/>
        </w:trPr>
        <w:tc>
          <w:tcPr>
            <w:tcW w:w="2808" w:type="dxa"/>
            <w:vAlign w:val="center"/>
          </w:tcPr>
          <w:p w14:paraId="39E6C673" w14:textId="77777777" w:rsidR="000D07EA" w:rsidRDefault="000D07EA">
            <w:pPr>
              <w:pStyle w:val="BodyText"/>
              <w:keepNext/>
              <w:spacing w:before="100" w:after="100"/>
              <w:rPr>
                <w:b/>
              </w:rPr>
            </w:pPr>
          </w:p>
        </w:tc>
        <w:tc>
          <w:tcPr>
            <w:tcW w:w="1980" w:type="dxa"/>
            <w:vAlign w:val="center"/>
          </w:tcPr>
          <w:p w14:paraId="6557FD52" w14:textId="77777777" w:rsidR="000D07EA" w:rsidRDefault="00BE7C89">
            <w:pPr>
              <w:pStyle w:val="BodyText"/>
              <w:keepNext/>
              <w:spacing w:before="100" w:after="100"/>
              <w:jc w:val="center"/>
              <w:rPr>
                <w:b/>
              </w:rPr>
            </w:pPr>
            <w:r>
              <w:rPr>
                <w:b/>
              </w:rPr>
              <w:t>Business Timeless Plans – 24 Month Contract</w:t>
            </w:r>
          </w:p>
        </w:tc>
        <w:tc>
          <w:tcPr>
            <w:tcW w:w="1980" w:type="dxa"/>
            <w:vAlign w:val="center"/>
          </w:tcPr>
          <w:p w14:paraId="7B9E20EE" w14:textId="77777777" w:rsidR="000D07EA" w:rsidRDefault="00BE7C89">
            <w:pPr>
              <w:pStyle w:val="BodyText"/>
              <w:keepNext/>
              <w:spacing w:before="100" w:after="100"/>
              <w:jc w:val="center"/>
              <w:rPr>
                <w:b/>
              </w:rPr>
            </w:pPr>
            <w:r>
              <w:rPr>
                <w:b/>
              </w:rPr>
              <w:t>Business Timeless Plans – 24 Month Contract</w:t>
            </w:r>
          </w:p>
        </w:tc>
        <w:tc>
          <w:tcPr>
            <w:tcW w:w="1980" w:type="dxa"/>
            <w:vAlign w:val="center"/>
          </w:tcPr>
          <w:p w14:paraId="7C624B1C" w14:textId="77777777" w:rsidR="000D07EA" w:rsidRDefault="00BE7C89">
            <w:pPr>
              <w:pStyle w:val="BodyText"/>
              <w:keepNext/>
              <w:spacing w:before="100" w:after="100"/>
              <w:jc w:val="center"/>
              <w:rPr>
                <w:b/>
              </w:rPr>
            </w:pPr>
            <w:r>
              <w:rPr>
                <w:b/>
              </w:rPr>
              <w:t>Business Timeless Plans – 24 Month Contract</w:t>
            </w:r>
          </w:p>
        </w:tc>
      </w:tr>
      <w:tr w:rsidR="000D07EA" w14:paraId="21EC0E34" w14:textId="77777777">
        <w:trPr>
          <w:trHeight w:val="20"/>
        </w:trPr>
        <w:tc>
          <w:tcPr>
            <w:tcW w:w="2808" w:type="dxa"/>
            <w:vAlign w:val="center"/>
          </w:tcPr>
          <w:p w14:paraId="2CA009A4" w14:textId="77777777" w:rsidR="000D07EA" w:rsidRDefault="000D07EA">
            <w:pPr>
              <w:pStyle w:val="BodyText"/>
              <w:keepNext/>
              <w:spacing w:before="100" w:after="100"/>
              <w:rPr>
                <w:b/>
              </w:rPr>
            </w:pPr>
          </w:p>
        </w:tc>
        <w:tc>
          <w:tcPr>
            <w:tcW w:w="1980" w:type="dxa"/>
            <w:vAlign w:val="center"/>
          </w:tcPr>
          <w:p w14:paraId="129EABE7" w14:textId="77777777" w:rsidR="000D07EA" w:rsidRDefault="00BE7C89">
            <w:pPr>
              <w:pStyle w:val="BodyText"/>
              <w:keepNext/>
              <w:spacing w:before="100" w:after="100"/>
              <w:jc w:val="center"/>
              <w:rPr>
                <w:b/>
              </w:rPr>
            </w:pPr>
            <w:r>
              <w:rPr>
                <w:b/>
              </w:rPr>
              <w:t>$89 Business Timeless Plans</w:t>
            </w:r>
          </w:p>
        </w:tc>
        <w:tc>
          <w:tcPr>
            <w:tcW w:w="1980" w:type="dxa"/>
            <w:vAlign w:val="center"/>
          </w:tcPr>
          <w:p w14:paraId="6C356FCB" w14:textId="77777777" w:rsidR="000D07EA" w:rsidRDefault="00BE7C89">
            <w:pPr>
              <w:pStyle w:val="BodyText"/>
              <w:keepNext/>
              <w:spacing w:before="100" w:after="100"/>
              <w:jc w:val="center"/>
              <w:rPr>
                <w:b/>
              </w:rPr>
            </w:pPr>
            <w:r>
              <w:rPr>
                <w:b/>
              </w:rPr>
              <w:t>$99 Business Timeless Plans</w:t>
            </w:r>
          </w:p>
        </w:tc>
        <w:tc>
          <w:tcPr>
            <w:tcW w:w="1980" w:type="dxa"/>
            <w:vAlign w:val="center"/>
          </w:tcPr>
          <w:p w14:paraId="590EA566" w14:textId="77777777" w:rsidR="000D07EA" w:rsidRDefault="00BE7C89">
            <w:pPr>
              <w:pStyle w:val="BodyText"/>
              <w:keepNext/>
              <w:spacing w:before="100" w:after="100"/>
              <w:jc w:val="center"/>
              <w:rPr>
                <w:b/>
              </w:rPr>
            </w:pPr>
            <w:r>
              <w:rPr>
                <w:b/>
              </w:rPr>
              <w:t>$129 Business Timeless Plans</w:t>
            </w:r>
          </w:p>
        </w:tc>
      </w:tr>
      <w:tr w:rsidR="000D07EA" w14:paraId="3E171903" w14:textId="77777777">
        <w:trPr>
          <w:trHeight w:val="20"/>
        </w:trPr>
        <w:tc>
          <w:tcPr>
            <w:tcW w:w="2808" w:type="dxa"/>
            <w:vAlign w:val="center"/>
          </w:tcPr>
          <w:p w14:paraId="77E993B0" w14:textId="77777777" w:rsidR="000D07EA" w:rsidRDefault="00BE7C89">
            <w:pPr>
              <w:pStyle w:val="BodyText"/>
              <w:spacing w:before="100" w:after="100"/>
              <w:rPr>
                <w:b/>
              </w:rPr>
            </w:pPr>
            <w:r>
              <w:rPr>
                <w:b/>
              </w:rPr>
              <w:t xml:space="preserve">During the first 12 months - Initial </w:t>
            </w:r>
            <w:r>
              <w:rPr>
                <w:b/>
                <w:i/>
              </w:rPr>
              <w:t>cancellation</w:t>
            </w:r>
            <w:r>
              <w:rPr>
                <w:b/>
              </w:rPr>
              <w:t xml:space="preserve"> </w:t>
            </w:r>
            <w:r>
              <w:rPr>
                <w:b/>
                <w:i/>
              </w:rPr>
              <w:t>fee</w:t>
            </w:r>
          </w:p>
        </w:tc>
        <w:tc>
          <w:tcPr>
            <w:tcW w:w="1980" w:type="dxa"/>
            <w:vAlign w:val="center"/>
          </w:tcPr>
          <w:p w14:paraId="56D3CCFC" w14:textId="77777777" w:rsidR="000D07EA" w:rsidRDefault="00BE7C89">
            <w:pPr>
              <w:pStyle w:val="BodyText"/>
              <w:spacing w:before="100" w:after="100"/>
              <w:jc w:val="center"/>
            </w:pPr>
            <w:r>
              <w:t>$1,190</w:t>
            </w:r>
          </w:p>
        </w:tc>
        <w:tc>
          <w:tcPr>
            <w:tcW w:w="1980" w:type="dxa"/>
            <w:vAlign w:val="center"/>
          </w:tcPr>
          <w:p w14:paraId="166BB7BE" w14:textId="77777777" w:rsidR="000D07EA" w:rsidRDefault="00BE7C89">
            <w:pPr>
              <w:pStyle w:val="BodyText"/>
              <w:spacing w:before="100" w:after="100"/>
              <w:jc w:val="center"/>
            </w:pPr>
            <w:r>
              <w:t>$1,188</w:t>
            </w:r>
          </w:p>
        </w:tc>
        <w:tc>
          <w:tcPr>
            <w:tcW w:w="1980" w:type="dxa"/>
            <w:vAlign w:val="center"/>
          </w:tcPr>
          <w:p w14:paraId="3D749F7B" w14:textId="77777777" w:rsidR="000D07EA" w:rsidRDefault="00BE7C89">
            <w:pPr>
              <w:pStyle w:val="BodyText"/>
              <w:spacing w:before="100" w:after="100"/>
              <w:jc w:val="center"/>
            </w:pPr>
            <w:r>
              <w:t>$1,238</w:t>
            </w:r>
          </w:p>
        </w:tc>
      </w:tr>
      <w:tr w:rsidR="000D07EA" w14:paraId="08231339" w14:textId="77777777">
        <w:trPr>
          <w:trHeight w:val="20"/>
        </w:trPr>
        <w:tc>
          <w:tcPr>
            <w:tcW w:w="2808" w:type="dxa"/>
            <w:vAlign w:val="center"/>
          </w:tcPr>
          <w:p w14:paraId="17274E13" w14:textId="77777777" w:rsidR="000D07EA" w:rsidRDefault="00BE7C89">
            <w:pPr>
              <w:pStyle w:val="BodyText"/>
              <w:spacing w:before="100" w:after="100"/>
              <w:rPr>
                <w:b/>
              </w:rPr>
            </w:pPr>
            <w:r>
              <w:rPr>
                <w:b/>
              </w:rPr>
              <w:t xml:space="preserve">Months 13 – 15 (80% of Initial </w:t>
            </w:r>
            <w:r>
              <w:rPr>
                <w:b/>
                <w:i/>
              </w:rPr>
              <w:t>cancellation</w:t>
            </w:r>
            <w:r>
              <w:rPr>
                <w:b/>
              </w:rPr>
              <w:t xml:space="preserve"> </w:t>
            </w:r>
            <w:r>
              <w:rPr>
                <w:b/>
                <w:i/>
              </w:rPr>
              <w:t>fee</w:t>
            </w:r>
            <w:r>
              <w:rPr>
                <w:b/>
              </w:rPr>
              <w:t>)</w:t>
            </w:r>
          </w:p>
        </w:tc>
        <w:tc>
          <w:tcPr>
            <w:tcW w:w="1980" w:type="dxa"/>
            <w:vAlign w:val="center"/>
          </w:tcPr>
          <w:p w14:paraId="59EAFB67" w14:textId="77777777" w:rsidR="000D07EA" w:rsidRDefault="00BE7C89">
            <w:pPr>
              <w:pStyle w:val="BodyText"/>
              <w:spacing w:before="100" w:after="100"/>
              <w:jc w:val="center"/>
            </w:pPr>
            <w:r>
              <w:t>$952</w:t>
            </w:r>
          </w:p>
        </w:tc>
        <w:tc>
          <w:tcPr>
            <w:tcW w:w="1980" w:type="dxa"/>
            <w:vAlign w:val="center"/>
          </w:tcPr>
          <w:p w14:paraId="26BB89B8" w14:textId="77777777" w:rsidR="000D07EA" w:rsidRDefault="00BE7C89">
            <w:pPr>
              <w:pStyle w:val="BodyText"/>
              <w:spacing w:before="100" w:after="100"/>
              <w:jc w:val="center"/>
            </w:pPr>
            <w:r>
              <w:t>$951</w:t>
            </w:r>
          </w:p>
        </w:tc>
        <w:tc>
          <w:tcPr>
            <w:tcW w:w="1980" w:type="dxa"/>
            <w:vAlign w:val="center"/>
          </w:tcPr>
          <w:p w14:paraId="039F0F85" w14:textId="77777777" w:rsidR="000D07EA" w:rsidRDefault="00BE7C89">
            <w:pPr>
              <w:pStyle w:val="BodyText"/>
              <w:spacing w:before="100" w:after="100"/>
              <w:jc w:val="center"/>
            </w:pPr>
            <w:r>
              <w:t>$991</w:t>
            </w:r>
          </w:p>
        </w:tc>
      </w:tr>
      <w:tr w:rsidR="000D07EA" w14:paraId="65B1CBE7" w14:textId="77777777">
        <w:trPr>
          <w:trHeight w:val="20"/>
        </w:trPr>
        <w:tc>
          <w:tcPr>
            <w:tcW w:w="2808" w:type="dxa"/>
            <w:vAlign w:val="center"/>
          </w:tcPr>
          <w:p w14:paraId="44A52422" w14:textId="77777777" w:rsidR="000D07EA" w:rsidRDefault="00BE7C89">
            <w:pPr>
              <w:pStyle w:val="BodyText"/>
              <w:spacing w:before="100" w:after="100"/>
              <w:rPr>
                <w:b/>
              </w:rPr>
            </w:pPr>
            <w:r>
              <w:rPr>
                <w:b/>
              </w:rPr>
              <w:t xml:space="preserve">Months 16 – 18 (60% of the Initial </w:t>
            </w:r>
            <w:r>
              <w:rPr>
                <w:b/>
                <w:i/>
              </w:rPr>
              <w:t>cancellation</w:t>
            </w:r>
            <w:r>
              <w:rPr>
                <w:b/>
              </w:rPr>
              <w:t xml:space="preserve"> </w:t>
            </w:r>
            <w:r>
              <w:rPr>
                <w:b/>
                <w:i/>
              </w:rPr>
              <w:t>fee</w:t>
            </w:r>
            <w:r>
              <w:rPr>
                <w:b/>
              </w:rPr>
              <w:t>)</w:t>
            </w:r>
          </w:p>
        </w:tc>
        <w:tc>
          <w:tcPr>
            <w:tcW w:w="1980" w:type="dxa"/>
            <w:vAlign w:val="center"/>
          </w:tcPr>
          <w:p w14:paraId="0E680F8F" w14:textId="77777777" w:rsidR="000D07EA" w:rsidRDefault="00BE7C89">
            <w:pPr>
              <w:pStyle w:val="BodyText"/>
              <w:spacing w:before="100" w:after="100"/>
              <w:jc w:val="center"/>
            </w:pPr>
            <w:r>
              <w:t>$714</w:t>
            </w:r>
          </w:p>
        </w:tc>
        <w:tc>
          <w:tcPr>
            <w:tcW w:w="1980" w:type="dxa"/>
            <w:vAlign w:val="center"/>
          </w:tcPr>
          <w:p w14:paraId="4929A74F" w14:textId="77777777" w:rsidR="000D07EA" w:rsidRDefault="00BE7C89">
            <w:pPr>
              <w:pStyle w:val="BodyText"/>
              <w:spacing w:before="100" w:after="100"/>
              <w:jc w:val="center"/>
            </w:pPr>
            <w:r>
              <w:t>$713</w:t>
            </w:r>
          </w:p>
        </w:tc>
        <w:tc>
          <w:tcPr>
            <w:tcW w:w="1980" w:type="dxa"/>
            <w:vAlign w:val="center"/>
          </w:tcPr>
          <w:p w14:paraId="5E044AAE" w14:textId="77777777" w:rsidR="000D07EA" w:rsidRDefault="00BE7C89">
            <w:pPr>
              <w:pStyle w:val="BodyText"/>
              <w:spacing w:before="100" w:after="100"/>
              <w:jc w:val="center"/>
            </w:pPr>
            <w:r>
              <w:t>$743</w:t>
            </w:r>
          </w:p>
        </w:tc>
      </w:tr>
      <w:tr w:rsidR="000D07EA" w14:paraId="2C5BA003" w14:textId="77777777">
        <w:trPr>
          <w:trHeight w:val="20"/>
        </w:trPr>
        <w:tc>
          <w:tcPr>
            <w:tcW w:w="2808" w:type="dxa"/>
            <w:vAlign w:val="center"/>
          </w:tcPr>
          <w:p w14:paraId="70E83CD3" w14:textId="77777777" w:rsidR="000D07EA" w:rsidRDefault="00BE7C89">
            <w:pPr>
              <w:pStyle w:val="BodyText"/>
              <w:spacing w:before="100" w:after="100"/>
              <w:rPr>
                <w:b/>
              </w:rPr>
            </w:pPr>
            <w:r>
              <w:rPr>
                <w:b/>
              </w:rPr>
              <w:t xml:space="preserve">Months 19 – 21 (40% of the Initial </w:t>
            </w:r>
            <w:r>
              <w:rPr>
                <w:b/>
                <w:i/>
              </w:rPr>
              <w:t>cancellation</w:t>
            </w:r>
            <w:r>
              <w:rPr>
                <w:b/>
              </w:rPr>
              <w:t xml:space="preserve"> </w:t>
            </w:r>
            <w:r>
              <w:rPr>
                <w:b/>
                <w:i/>
              </w:rPr>
              <w:t>fee</w:t>
            </w:r>
            <w:r>
              <w:rPr>
                <w:b/>
              </w:rPr>
              <w:t>)</w:t>
            </w:r>
          </w:p>
        </w:tc>
        <w:tc>
          <w:tcPr>
            <w:tcW w:w="1980" w:type="dxa"/>
            <w:vAlign w:val="center"/>
          </w:tcPr>
          <w:p w14:paraId="187257AD" w14:textId="77777777" w:rsidR="000D07EA" w:rsidRDefault="00BE7C89">
            <w:pPr>
              <w:pStyle w:val="BodyText"/>
              <w:spacing w:before="100" w:after="100"/>
              <w:jc w:val="center"/>
            </w:pPr>
            <w:r>
              <w:t>$476</w:t>
            </w:r>
          </w:p>
        </w:tc>
        <w:tc>
          <w:tcPr>
            <w:tcW w:w="1980" w:type="dxa"/>
            <w:vAlign w:val="center"/>
          </w:tcPr>
          <w:p w14:paraId="759A4669" w14:textId="77777777" w:rsidR="000D07EA" w:rsidRDefault="00BE7C89">
            <w:pPr>
              <w:pStyle w:val="BodyText"/>
              <w:spacing w:before="100" w:after="100"/>
              <w:jc w:val="center"/>
            </w:pPr>
            <w:r>
              <w:t>$476</w:t>
            </w:r>
          </w:p>
        </w:tc>
        <w:tc>
          <w:tcPr>
            <w:tcW w:w="1980" w:type="dxa"/>
            <w:vAlign w:val="center"/>
          </w:tcPr>
          <w:p w14:paraId="3A8C1DAF" w14:textId="77777777" w:rsidR="000D07EA" w:rsidRDefault="00BE7C89">
            <w:pPr>
              <w:pStyle w:val="BodyText"/>
              <w:spacing w:before="100" w:after="100"/>
              <w:jc w:val="center"/>
            </w:pPr>
            <w:r>
              <w:t>$496</w:t>
            </w:r>
          </w:p>
        </w:tc>
      </w:tr>
      <w:tr w:rsidR="000D07EA" w14:paraId="024226A7" w14:textId="77777777">
        <w:trPr>
          <w:trHeight w:val="20"/>
        </w:trPr>
        <w:tc>
          <w:tcPr>
            <w:tcW w:w="2808" w:type="dxa"/>
            <w:vAlign w:val="center"/>
          </w:tcPr>
          <w:p w14:paraId="521659F9" w14:textId="77777777" w:rsidR="000D07EA" w:rsidRDefault="00BE7C89">
            <w:pPr>
              <w:pStyle w:val="BodyText"/>
              <w:spacing w:before="100" w:after="100"/>
              <w:rPr>
                <w:b/>
              </w:rPr>
            </w:pPr>
            <w:r>
              <w:rPr>
                <w:b/>
              </w:rPr>
              <w:t xml:space="preserve">Months 22 – 24 (20% of the Initial </w:t>
            </w:r>
            <w:r>
              <w:rPr>
                <w:b/>
                <w:i/>
              </w:rPr>
              <w:t>cancellation</w:t>
            </w:r>
            <w:r>
              <w:rPr>
                <w:b/>
              </w:rPr>
              <w:t xml:space="preserve"> </w:t>
            </w:r>
            <w:r>
              <w:rPr>
                <w:b/>
                <w:i/>
              </w:rPr>
              <w:t>fee</w:t>
            </w:r>
            <w:r>
              <w:rPr>
                <w:b/>
              </w:rPr>
              <w:t>)</w:t>
            </w:r>
          </w:p>
        </w:tc>
        <w:tc>
          <w:tcPr>
            <w:tcW w:w="1980" w:type="dxa"/>
            <w:vAlign w:val="center"/>
          </w:tcPr>
          <w:p w14:paraId="3E8678DA" w14:textId="77777777" w:rsidR="000D07EA" w:rsidRDefault="00BE7C89">
            <w:pPr>
              <w:pStyle w:val="BodyText"/>
              <w:spacing w:before="100" w:after="100"/>
              <w:jc w:val="center"/>
            </w:pPr>
            <w:r>
              <w:t>$238</w:t>
            </w:r>
          </w:p>
        </w:tc>
        <w:tc>
          <w:tcPr>
            <w:tcW w:w="1980" w:type="dxa"/>
            <w:vAlign w:val="center"/>
          </w:tcPr>
          <w:p w14:paraId="47D72367" w14:textId="77777777" w:rsidR="000D07EA" w:rsidRDefault="00BE7C89">
            <w:pPr>
              <w:pStyle w:val="BodyText"/>
              <w:spacing w:before="100" w:after="100"/>
              <w:jc w:val="center"/>
            </w:pPr>
            <w:r>
              <w:t>$238</w:t>
            </w:r>
          </w:p>
        </w:tc>
        <w:tc>
          <w:tcPr>
            <w:tcW w:w="1980" w:type="dxa"/>
            <w:vAlign w:val="center"/>
          </w:tcPr>
          <w:p w14:paraId="237608F3" w14:textId="77777777" w:rsidR="000D07EA" w:rsidRDefault="00BE7C89">
            <w:pPr>
              <w:pStyle w:val="BodyText"/>
              <w:spacing w:before="100" w:after="100"/>
              <w:jc w:val="center"/>
            </w:pPr>
            <w:r>
              <w:t>$248</w:t>
            </w:r>
          </w:p>
        </w:tc>
      </w:tr>
    </w:tbl>
    <w:p w14:paraId="3ED17603" w14:textId="77777777" w:rsidR="000D07EA" w:rsidRDefault="000D07EA">
      <w:pPr>
        <w:pStyle w:val="BodyText"/>
      </w:pPr>
    </w:p>
    <w:tbl>
      <w:tblPr>
        <w:tblW w:w="87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8"/>
        <w:gridCol w:w="1980"/>
        <w:gridCol w:w="1980"/>
        <w:gridCol w:w="1980"/>
      </w:tblGrid>
      <w:tr w:rsidR="000D07EA" w14:paraId="1A6F738E" w14:textId="77777777">
        <w:trPr>
          <w:trHeight w:val="20"/>
        </w:trPr>
        <w:tc>
          <w:tcPr>
            <w:tcW w:w="2808" w:type="dxa"/>
            <w:vAlign w:val="center"/>
          </w:tcPr>
          <w:p w14:paraId="04A9246B" w14:textId="77777777" w:rsidR="000D07EA" w:rsidRDefault="00BE7C89">
            <w:pPr>
              <w:pStyle w:val="BodyText"/>
              <w:spacing w:before="100" w:after="100"/>
              <w:rPr>
                <w:b/>
              </w:rPr>
            </w:pPr>
            <w:r>
              <w:rPr>
                <w:b/>
              </w:rPr>
              <w:t xml:space="preserve">When the </w:t>
            </w:r>
            <w:r>
              <w:rPr>
                <w:b/>
                <w:i/>
              </w:rPr>
              <w:t>service</w:t>
            </w:r>
            <w:r>
              <w:rPr>
                <w:b/>
              </w:rPr>
              <w:t xml:space="preserve"> is </w:t>
            </w:r>
            <w:r>
              <w:rPr>
                <w:b/>
                <w:i/>
              </w:rPr>
              <w:t>cancelled</w:t>
            </w:r>
          </w:p>
        </w:tc>
        <w:tc>
          <w:tcPr>
            <w:tcW w:w="5940" w:type="dxa"/>
            <w:gridSpan w:val="3"/>
          </w:tcPr>
          <w:p w14:paraId="67E6C063" w14:textId="77777777" w:rsidR="000D07EA" w:rsidRDefault="00BE7C89">
            <w:pPr>
              <w:pStyle w:val="BodyText"/>
              <w:spacing w:before="100" w:after="100"/>
              <w:jc w:val="center"/>
              <w:rPr>
                <w:b/>
                <w:i/>
              </w:rPr>
            </w:pPr>
            <w:r>
              <w:rPr>
                <w:b/>
                <w:i/>
              </w:rPr>
              <w:t>Cancellation Fees</w:t>
            </w:r>
          </w:p>
        </w:tc>
      </w:tr>
      <w:tr w:rsidR="000D07EA" w14:paraId="1C9ED00A" w14:textId="77777777">
        <w:trPr>
          <w:trHeight w:val="20"/>
        </w:trPr>
        <w:tc>
          <w:tcPr>
            <w:tcW w:w="2808" w:type="dxa"/>
            <w:vAlign w:val="center"/>
          </w:tcPr>
          <w:p w14:paraId="40B0BD0B" w14:textId="77777777" w:rsidR="000D07EA" w:rsidRDefault="000D07EA">
            <w:pPr>
              <w:pStyle w:val="BodyText"/>
              <w:spacing w:before="100" w:after="100"/>
              <w:rPr>
                <w:b/>
              </w:rPr>
            </w:pPr>
          </w:p>
        </w:tc>
        <w:tc>
          <w:tcPr>
            <w:tcW w:w="1980" w:type="dxa"/>
          </w:tcPr>
          <w:p w14:paraId="57511A26" w14:textId="77777777" w:rsidR="000D07EA" w:rsidRDefault="00BE7C89">
            <w:pPr>
              <w:pStyle w:val="BodyText"/>
              <w:spacing w:before="100" w:after="100"/>
              <w:jc w:val="center"/>
              <w:rPr>
                <w:b/>
              </w:rPr>
            </w:pPr>
            <w:r>
              <w:rPr>
                <w:b/>
              </w:rPr>
              <w:t>Business Timeless Plans – 12 Month Contract</w:t>
            </w:r>
          </w:p>
        </w:tc>
        <w:tc>
          <w:tcPr>
            <w:tcW w:w="1980" w:type="dxa"/>
          </w:tcPr>
          <w:p w14:paraId="5D6504C3" w14:textId="77777777" w:rsidR="000D07EA" w:rsidRDefault="00BE7C89">
            <w:pPr>
              <w:pStyle w:val="BodyText"/>
              <w:spacing w:before="100" w:after="100"/>
              <w:jc w:val="center"/>
              <w:rPr>
                <w:b/>
              </w:rPr>
            </w:pPr>
            <w:r>
              <w:rPr>
                <w:b/>
              </w:rPr>
              <w:t>Business Timeless Plans – 12 Month Contract</w:t>
            </w:r>
          </w:p>
        </w:tc>
        <w:tc>
          <w:tcPr>
            <w:tcW w:w="1980" w:type="dxa"/>
          </w:tcPr>
          <w:p w14:paraId="07748855" w14:textId="77777777" w:rsidR="000D07EA" w:rsidRDefault="00BE7C89">
            <w:pPr>
              <w:pStyle w:val="BodyText"/>
              <w:spacing w:before="100" w:after="100"/>
              <w:jc w:val="center"/>
              <w:rPr>
                <w:b/>
              </w:rPr>
            </w:pPr>
            <w:r>
              <w:rPr>
                <w:b/>
              </w:rPr>
              <w:t>Business Timeless Plans – 12 Month Contract</w:t>
            </w:r>
          </w:p>
        </w:tc>
      </w:tr>
      <w:tr w:rsidR="000D07EA" w14:paraId="47D2F282" w14:textId="77777777">
        <w:trPr>
          <w:trHeight w:val="20"/>
        </w:trPr>
        <w:tc>
          <w:tcPr>
            <w:tcW w:w="2808" w:type="dxa"/>
            <w:vAlign w:val="center"/>
          </w:tcPr>
          <w:p w14:paraId="139FDB17" w14:textId="77777777" w:rsidR="000D07EA" w:rsidRDefault="000D07EA">
            <w:pPr>
              <w:pStyle w:val="BodyText"/>
              <w:spacing w:before="100" w:after="100"/>
              <w:rPr>
                <w:b/>
              </w:rPr>
            </w:pPr>
          </w:p>
        </w:tc>
        <w:tc>
          <w:tcPr>
            <w:tcW w:w="1980" w:type="dxa"/>
            <w:vAlign w:val="center"/>
          </w:tcPr>
          <w:p w14:paraId="76A4B175" w14:textId="77777777" w:rsidR="000D07EA" w:rsidRDefault="00BE7C89">
            <w:pPr>
              <w:pStyle w:val="BodyText"/>
              <w:spacing w:before="100" w:after="100"/>
              <w:jc w:val="center"/>
              <w:rPr>
                <w:b/>
              </w:rPr>
            </w:pPr>
            <w:r>
              <w:rPr>
                <w:b/>
              </w:rPr>
              <w:t>$89 Business Timeless Plans</w:t>
            </w:r>
          </w:p>
        </w:tc>
        <w:tc>
          <w:tcPr>
            <w:tcW w:w="1980" w:type="dxa"/>
            <w:vAlign w:val="center"/>
          </w:tcPr>
          <w:p w14:paraId="2738C6DF" w14:textId="77777777" w:rsidR="000D07EA" w:rsidRDefault="00BE7C89">
            <w:pPr>
              <w:pStyle w:val="BodyText"/>
              <w:spacing w:before="100" w:after="100"/>
              <w:jc w:val="center"/>
              <w:rPr>
                <w:b/>
              </w:rPr>
            </w:pPr>
            <w:r>
              <w:rPr>
                <w:b/>
              </w:rPr>
              <w:t>$99 Business Timeless Plans</w:t>
            </w:r>
          </w:p>
        </w:tc>
        <w:tc>
          <w:tcPr>
            <w:tcW w:w="1980" w:type="dxa"/>
            <w:vAlign w:val="center"/>
          </w:tcPr>
          <w:p w14:paraId="48322C1B" w14:textId="77777777" w:rsidR="000D07EA" w:rsidRDefault="00BE7C89">
            <w:pPr>
              <w:pStyle w:val="BodyText"/>
              <w:spacing w:before="100" w:after="100"/>
              <w:jc w:val="center"/>
              <w:rPr>
                <w:b/>
              </w:rPr>
            </w:pPr>
            <w:r>
              <w:rPr>
                <w:b/>
              </w:rPr>
              <w:t>$129 Business Timeless Plans</w:t>
            </w:r>
          </w:p>
        </w:tc>
      </w:tr>
      <w:tr w:rsidR="000D07EA" w14:paraId="637409EE" w14:textId="77777777">
        <w:trPr>
          <w:trHeight w:val="20"/>
        </w:trPr>
        <w:tc>
          <w:tcPr>
            <w:tcW w:w="2808" w:type="dxa"/>
          </w:tcPr>
          <w:p w14:paraId="02AE31E2" w14:textId="77777777" w:rsidR="000D07EA" w:rsidRDefault="00BE7C89">
            <w:pPr>
              <w:pStyle w:val="BodyText"/>
              <w:spacing w:before="100" w:after="100"/>
              <w:rPr>
                <w:b/>
              </w:rPr>
            </w:pPr>
            <w:r>
              <w:rPr>
                <w:b/>
              </w:rPr>
              <w:t xml:space="preserve">During the first 6 months – Initial </w:t>
            </w:r>
            <w:r>
              <w:rPr>
                <w:b/>
                <w:i/>
              </w:rPr>
              <w:t>cancellation</w:t>
            </w:r>
            <w:r>
              <w:rPr>
                <w:b/>
              </w:rPr>
              <w:t xml:space="preserve"> </w:t>
            </w:r>
            <w:r>
              <w:rPr>
                <w:b/>
                <w:i/>
              </w:rPr>
              <w:t>fee</w:t>
            </w:r>
          </w:p>
        </w:tc>
        <w:tc>
          <w:tcPr>
            <w:tcW w:w="1980" w:type="dxa"/>
          </w:tcPr>
          <w:p w14:paraId="6FBC579B" w14:textId="77777777" w:rsidR="000D07EA" w:rsidRDefault="00BE7C89">
            <w:pPr>
              <w:pStyle w:val="BodyText"/>
              <w:spacing w:before="100" w:after="100"/>
              <w:jc w:val="center"/>
            </w:pPr>
            <w:r>
              <w:t>$685</w:t>
            </w:r>
          </w:p>
        </w:tc>
        <w:tc>
          <w:tcPr>
            <w:tcW w:w="1980" w:type="dxa"/>
          </w:tcPr>
          <w:p w14:paraId="2779D178" w14:textId="77777777" w:rsidR="000D07EA" w:rsidRDefault="00BE7C89">
            <w:pPr>
              <w:pStyle w:val="BodyText"/>
              <w:spacing w:before="100" w:after="100"/>
              <w:jc w:val="center"/>
            </w:pPr>
            <w:r>
              <w:t>$641</w:t>
            </w:r>
          </w:p>
        </w:tc>
        <w:tc>
          <w:tcPr>
            <w:tcW w:w="1980" w:type="dxa"/>
          </w:tcPr>
          <w:p w14:paraId="0765B241" w14:textId="77777777" w:rsidR="000D07EA" w:rsidRDefault="00BE7C89">
            <w:pPr>
              <w:pStyle w:val="BodyText"/>
              <w:spacing w:before="100" w:after="100"/>
              <w:jc w:val="center"/>
            </w:pPr>
            <w:r>
              <w:t>$670</w:t>
            </w:r>
          </w:p>
        </w:tc>
      </w:tr>
      <w:tr w:rsidR="000D07EA" w14:paraId="30E613E0" w14:textId="77777777">
        <w:trPr>
          <w:trHeight w:val="20"/>
        </w:trPr>
        <w:tc>
          <w:tcPr>
            <w:tcW w:w="2808" w:type="dxa"/>
          </w:tcPr>
          <w:p w14:paraId="75ADD0A4" w14:textId="77777777" w:rsidR="000D07EA" w:rsidRDefault="00BE7C89">
            <w:pPr>
              <w:pStyle w:val="BodyText"/>
              <w:spacing w:before="100" w:after="100"/>
              <w:rPr>
                <w:b/>
              </w:rPr>
            </w:pPr>
            <w:r>
              <w:rPr>
                <w:b/>
              </w:rPr>
              <w:t xml:space="preserve">Months 7 - 9 (70% of Initial </w:t>
            </w:r>
            <w:r>
              <w:rPr>
                <w:b/>
                <w:i/>
              </w:rPr>
              <w:t>cancellation</w:t>
            </w:r>
            <w:r>
              <w:rPr>
                <w:b/>
              </w:rPr>
              <w:t xml:space="preserve"> </w:t>
            </w:r>
            <w:r>
              <w:rPr>
                <w:b/>
                <w:i/>
              </w:rPr>
              <w:t>fee</w:t>
            </w:r>
            <w:r>
              <w:rPr>
                <w:b/>
              </w:rPr>
              <w:t>)</w:t>
            </w:r>
          </w:p>
        </w:tc>
        <w:tc>
          <w:tcPr>
            <w:tcW w:w="1980" w:type="dxa"/>
          </w:tcPr>
          <w:p w14:paraId="282A13F9" w14:textId="77777777" w:rsidR="000D07EA" w:rsidRDefault="00BE7C89">
            <w:pPr>
              <w:pStyle w:val="BodyText"/>
              <w:spacing w:before="100" w:after="100"/>
              <w:jc w:val="center"/>
            </w:pPr>
            <w:r>
              <w:t>$480</w:t>
            </w:r>
          </w:p>
        </w:tc>
        <w:tc>
          <w:tcPr>
            <w:tcW w:w="1980" w:type="dxa"/>
          </w:tcPr>
          <w:p w14:paraId="714CFC9D" w14:textId="77777777" w:rsidR="000D07EA" w:rsidRDefault="00BE7C89">
            <w:pPr>
              <w:pStyle w:val="BodyText"/>
              <w:spacing w:before="100" w:after="100"/>
              <w:jc w:val="center"/>
            </w:pPr>
            <w:r>
              <w:t>$449</w:t>
            </w:r>
          </w:p>
        </w:tc>
        <w:tc>
          <w:tcPr>
            <w:tcW w:w="1980" w:type="dxa"/>
          </w:tcPr>
          <w:p w14:paraId="318405FA" w14:textId="77777777" w:rsidR="000D07EA" w:rsidRDefault="00BE7C89">
            <w:pPr>
              <w:pStyle w:val="BodyText"/>
              <w:spacing w:before="100" w:after="100"/>
              <w:jc w:val="center"/>
            </w:pPr>
            <w:r>
              <w:t>$469</w:t>
            </w:r>
          </w:p>
        </w:tc>
      </w:tr>
      <w:tr w:rsidR="000D07EA" w14:paraId="637F23AD" w14:textId="77777777">
        <w:trPr>
          <w:trHeight w:val="20"/>
        </w:trPr>
        <w:tc>
          <w:tcPr>
            <w:tcW w:w="2808" w:type="dxa"/>
          </w:tcPr>
          <w:p w14:paraId="059539DE" w14:textId="77777777" w:rsidR="000D07EA" w:rsidRDefault="00BE7C89">
            <w:pPr>
              <w:pStyle w:val="BodyText"/>
              <w:spacing w:before="100" w:after="100"/>
              <w:rPr>
                <w:b/>
              </w:rPr>
            </w:pPr>
            <w:r>
              <w:rPr>
                <w:b/>
              </w:rPr>
              <w:t xml:space="preserve">Months 10 – 12 (40% of the Initial </w:t>
            </w:r>
            <w:r>
              <w:rPr>
                <w:b/>
                <w:i/>
              </w:rPr>
              <w:t>cancellation</w:t>
            </w:r>
            <w:r>
              <w:rPr>
                <w:b/>
              </w:rPr>
              <w:t xml:space="preserve"> </w:t>
            </w:r>
            <w:r>
              <w:rPr>
                <w:b/>
                <w:i/>
              </w:rPr>
              <w:t>fee</w:t>
            </w:r>
            <w:r>
              <w:rPr>
                <w:b/>
              </w:rPr>
              <w:t>)</w:t>
            </w:r>
          </w:p>
        </w:tc>
        <w:tc>
          <w:tcPr>
            <w:tcW w:w="1980" w:type="dxa"/>
          </w:tcPr>
          <w:p w14:paraId="48D9A3AF" w14:textId="77777777" w:rsidR="000D07EA" w:rsidRDefault="00BE7C89">
            <w:pPr>
              <w:pStyle w:val="BodyText"/>
              <w:spacing w:before="100" w:after="100"/>
              <w:jc w:val="center"/>
            </w:pPr>
            <w:r>
              <w:t>$274</w:t>
            </w:r>
          </w:p>
        </w:tc>
        <w:tc>
          <w:tcPr>
            <w:tcW w:w="1980" w:type="dxa"/>
          </w:tcPr>
          <w:p w14:paraId="60694697" w14:textId="77777777" w:rsidR="000D07EA" w:rsidRDefault="00BE7C89">
            <w:pPr>
              <w:pStyle w:val="BodyText"/>
              <w:spacing w:before="100" w:after="100"/>
              <w:jc w:val="center"/>
            </w:pPr>
            <w:r>
              <w:t>$257</w:t>
            </w:r>
          </w:p>
        </w:tc>
        <w:tc>
          <w:tcPr>
            <w:tcW w:w="1980" w:type="dxa"/>
          </w:tcPr>
          <w:p w14:paraId="41C5FCC7" w14:textId="77777777" w:rsidR="000D07EA" w:rsidRDefault="00BE7C89">
            <w:pPr>
              <w:pStyle w:val="BodyText"/>
              <w:spacing w:before="100" w:after="100"/>
              <w:jc w:val="center"/>
            </w:pPr>
            <w:r>
              <w:t>$268</w:t>
            </w:r>
          </w:p>
        </w:tc>
      </w:tr>
    </w:tbl>
    <w:p w14:paraId="1F888555" w14:textId="77777777" w:rsidR="000D07EA" w:rsidRDefault="000D07EA">
      <w:pPr>
        <w:pStyle w:val="BodyText"/>
        <w:rPr>
          <w:b/>
        </w:rPr>
      </w:pPr>
    </w:p>
    <w:p w14:paraId="536FCD6B" w14:textId="77777777" w:rsidR="000D07EA" w:rsidRDefault="00BE7C89">
      <w:pPr>
        <w:pStyle w:val="Heading4"/>
      </w:pPr>
      <w:bookmarkStart w:id="651" w:name="_Toc397941247"/>
      <w:bookmarkStart w:id="652" w:name="_Toc455147622"/>
      <w:bookmarkStart w:id="653" w:name="_Toc62644644"/>
      <w:r>
        <w:t>Business Complete Plans PREMIUM [incorporating $30 Business Complete Plan PREMIUM (4G Sept 2012), $35 Business Complete Plan PREMIUM (4G Sept 2012), $50 Business Complete Plan PREMIUM (4G Sept 2012), $60 Business Complete Plan PREMIUM (4G Sept 2012), $80 Business Complete Plan PREMIUM (4G Sept 2012)], (SMALL BUSINESS plans), effective from 4 September 2012.</w:t>
      </w:r>
      <w:bookmarkEnd w:id="651"/>
      <w:bookmarkEnd w:id="652"/>
      <w:bookmarkEnd w:id="653"/>
    </w:p>
    <w:p w14:paraId="03285CEA" w14:textId="77777777" w:rsidR="000D07EA" w:rsidRDefault="00BE7C89">
      <w:pPr>
        <w:pStyle w:val="Heading6"/>
        <w:ind w:left="0" w:firstLine="0"/>
      </w:pPr>
      <w:bookmarkStart w:id="654" w:name="_Toc397941248"/>
      <w:r>
        <w:t>Eligibility</w:t>
      </w:r>
      <w:bookmarkEnd w:id="654"/>
    </w:p>
    <w:p w14:paraId="3E8124B8" w14:textId="77777777" w:rsidR="000D07EA" w:rsidRDefault="00BE7C89">
      <w:pPr>
        <w:pStyle w:val="BodyText"/>
        <w:ind w:left="720"/>
      </w:pPr>
      <w:r>
        <w:t xml:space="preserve">The Business Complete Plans are only available to approved new and existing mobile customers we classify as small or medium business customers connecting to the </w:t>
      </w:r>
      <w:r>
        <w:rPr>
          <w:i/>
        </w:rPr>
        <w:t xml:space="preserve">service </w:t>
      </w:r>
      <w:r>
        <w:t>on the following terms:</w:t>
      </w:r>
    </w:p>
    <w:p w14:paraId="7B6A8B06" w14:textId="77777777" w:rsidR="000D07EA" w:rsidRDefault="00BE7C89">
      <w:pPr>
        <w:pStyle w:val="Heading7"/>
      </w:pPr>
      <w:r>
        <w:rPr>
          <w:snapToGrid w:val="0"/>
        </w:rPr>
        <w:lastRenderedPageBreak/>
        <w:t xml:space="preserve">In order to be and remain eligible for the Business Complete Offers, </w:t>
      </w:r>
      <w:r>
        <w:rPr>
          <w:i/>
          <w:snapToGrid w:val="0"/>
        </w:rPr>
        <w:t xml:space="preserve">you </w:t>
      </w:r>
      <w:r>
        <w:rPr>
          <w:snapToGrid w:val="0"/>
        </w:rPr>
        <w:t xml:space="preserve">must: </w:t>
      </w:r>
    </w:p>
    <w:p w14:paraId="41645067" w14:textId="77777777" w:rsidR="000D07EA" w:rsidRDefault="00BE7C89">
      <w:pPr>
        <w:pStyle w:val="Heading8"/>
      </w:pPr>
      <w:r>
        <w:t>connect all relevant</w:t>
      </w:r>
      <w:r>
        <w:rPr>
          <w:i/>
        </w:rPr>
        <w:t xml:space="preserve"> services</w:t>
      </w:r>
      <w:r>
        <w:t xml:space="preserve"> in the same account holder name and service address, and ABN/ACN/ARBN;</w:t>
      </w:r>
    </w:p>
    <w:p w14:paraId="406D568F" w14:textId="77777777" w:rsidR="000D07EA" w:rsidRDefault="00BE7C89">
      <w:pPr>
        <w:pStyle w:val="Heading8"/>
      </w:pPr>
      <w:r>
        <w:t xml:space="preserve">meet all of the criteria for the particular </w:t>
      </w:r>
      <w:r>
        <w:rPr>
          <w:i/>
        </w:rPr>
        <w:t>services</w:t>
      </w:r>
      <w:r>
        <w:t xml:space="preserve"> as set out in each of the relevant </w:t>
      </w:r>
      <w:r>
        <w:rPr>
          <w:i/>
        </w:rPr>
        <w:t>service descriptions</w:t>
      </w:r>
      <w:r>
        <w:t>; and</w:t>
      </w:r>
    </w:p>
    <w:p w14:paraId="3D9E8F4E" w14:textId="77777777" w:rsidR="000D07EA" w:rsidRDefault="00BE7C89">
      <w:pPr>
        <w:pStyle w:val="Heading8"/>
      </w:pPr>
      <w:r>
        <w:t xml:space="preserve">be billed for all </w:t>
      </w:r>
      <w:r>
        <w:rPr>
          <w:i/>
        </w:rPr>
        <w:t>services</w:t>
      </w:r>
      <w:r>
        <w:t xml:space="preserve"> on a single monthly bill.</w:t>
      </w:r>
    </w:p>
    <w:p w14:paraId="06EC77A2" w14:textId="77777777" w:rsidR="000D07EA" w:rsidRDefault="00BE7C89">
      <w:pPr>
        <w:pStyle w:val="Heading7"/>
      </w:pPr>
      <w:r>
        <w:rPr>
          <w:snapToGrid w:val="0"/>
        </w:rPr>
        <w:t xml:space="preserve">If </w:t>
      </w:r>
      <w:r>
        <w:rPr>
          <w:i/>
          <w:snapToGrid w:val="0"/>
        </w:rPr>
        <w:t xml:space="preserve">you </w:t>
      </w:r>
      <w:r>
        <w:rPr>
          <w:snapToGrid w:val="0"/>
        </w:rPr>
        <w:t xml:space="preserve">already have a non-fixed length or fixed length agreement with us for any of </w:t>
      </w:r>
      <w:r>
        <w:rPr>
          <w:i/>
          <w:snapToGrid w:val="0"/>
        </w:rPr>
        <w:t>your</w:t>
      </w:r>
      <w:r>
        <w:rPr>
          <w:snapToGrid w:val="0"/>
        </w:rPr>
        <w:t xml:space="preserve"> </w:t>
      </w:r>
      <w:r>
        <w:rPr>
          <w:i/>
          <w:snapToGrid w:val="0"/>
        </w:rPr>
        <w:t>Optus Mobile Service(s)</w:t>
      </w:r>
      <w:r>
        <w:rPr>
          <w:snapToGrid w:val="0"/>
        </w:rPr>
        <w:t xml:space="preserve"> and </w:t>
      </w:r>
      <w:r>
        <w:rPr>
          <w:i/>
          <w:snapToGrid w:val="0"/>
        </w:rPr>
        <w:t>you</w:t>
      </w:r>
      <w:r>
        <w:rPr>
          <w:snapToGrid w:val="0"/>
        </w:rPr>
        <w:t xml:space="preserve"> choose to connect a new service to our Business Complete offer, we may agree (at our discretion) to transfer your existing </w:t>
      </w:r>
      <w:r>
        <w:rPr>
          <w:i/>
          <w:snapToGrid w:val="0"/>
        </w:rPr>
        <w:t>service(s)</w:t>
      </w:r>
      <w:r>
        <w:rPr>
          <w:snapToGrid w:val="0"/>
        </w:rPr>
        <w:t xml:space="preserve"> to the Business Complete offer, in which case </w:t>
      </w:r>
      <w:r>
        <w:rPr>
          <w:i/>
          <w:snapToGrid w:val="0"/>
        </w:rPr>
        <w:t>your</w:t>
      </w:r>
      <w:r>
        <w:rPr>
          <w:snapToGrid w:val="0"/>
        </w:rPr>
        <w:t xml:space="preserve"> existing </w:t>
      </w:r>
      <w:r>
        <w:rPr>
          <w:i/>
          <w:snapToGrid w:val="0"/>
        </w:rPr>
        <w:t xml:space="preserve">service(s) </w:t>
      </w:r>
      <w:r>
        <w:rPr>
          <w:snapToGrid w:val="0"/>
        </w:rPr>
        <w:t xml:space="preserve">will be contracted on a: </w:t>
      </w:r>
    </w:p>
    <w:p w14:paraId="38B64297" w14:textId="77777777" w:rsidR="000D07EA" w:rsidRDefault="00BE7C89">
      <w:pPr>
        <w:pStyle w:val="Heading8"/>
        <w:rPr>
          <w:snapToGrid w:val="0"/>
        </w:rPr>
      </w:pPr>
      <w:r>
        <w:rPr>
          <w:snapToGrid w:val="0"/>
        </w:rPr>
        <w:t xml:space="preserve">month to month basis </w:t>
      </w:r>
      <w:r>
        <w:rPr>
          <w:i/>
          <w:snapToGrid w:val="0"/>
        </w:rPr>
        <w:t>your non-fixed length agreement</w:t>
      </w:r>
      <w:r>
        <w:rPr>
          <w:snapToGrid w:val="0"/>
        </w:rPr>
        <w:t>; or</w:t>
      </w:r>
    </w:p>
    <w:p w14:paraId="4325724C" w14:textId="77777777" w:rsidR="000D07EA" w:rsidRDefault="00BE7C89">
      <w:pPr>
        <w:pStyle w:val="Heading8"/>
      </w:pPr>
      <w:r>
        <w:rPr>
          <w:snapToGrid w:val="0"/>
        </w:rPr>
        <w:t xml:space="preserve">12 or 24 month </w:t>
      </w:r>
      <w:r>
        <w:rPr>
          <w:i/>
          <w:snapToGrid w:val="0"/>
        </w:rPr>
        <w:t>minimum term fixed length agreement</w:t>
      </w:r>
      <w:r>
        <w:rPr>
          <w:snapToGrid w:val="0"/>
        </w:rPr>
        <w:t xml:space="preserve"> </w:t>
      </w:r>
    </w:p>
    <w:p w14:paraId="0E9EA67A" w14:textId="77777777" w:rsidR="000D07EA" w:rsidRDefault="00BE7C89">
      <w:pPr>
        <w:pStyle w:val="Heading7"/>
      </w:pPr>
      <w:r>
        <w:rPr>
          <w:snapToGrid w:val="0"/>
        </w:rPr>
        <w:t xml:space="preserve">If </w:t>
      </w:r>
      <w:r>
        <w:rPr>
          <w:i/>
          <w:snapToGrid w:val="0"/>
        </w:rPr>
        <w:t xml:space="preserve">you </w:t>
      </w:r>
      <w:r>
        <w:rPr>
          <w:snapToGrid w:val="0"/>
        </w:rPr>
        <w:t xml:space="preserve">are an existing customer </w:t>
      </w:r>
      <w:r>
        <w:rPr>
          <w:i/>
          <w:snapToGrid w:val="0"/>
        </w:rPr>
        <w:t xml:space="preserve">you </w:t>
      </w:r>
      <w:r>
        <w:rPr>
          <w:snapToGrid w:val="0"/>
        </w:rPr>
        <w:t xml:space="preserve">may only transfer to the Business Complete plans with </w:t>
      </w:r>
      <w:r>
        <w:rPr>
          <w:i/>
          <w:snapToGrid w:val="0"/>
        </w:rPr>
        <w:t xml:space="preserve">our </w:t>
      </w:r>
      <w:r>
        <w:rPr>
          <w:snapToGrid w:val="0"/>
        </w:rPr>
        <w:t>approval</w:t>
      </w:r>
      <w:r>
        <w:rPr>
          <w:snapToGrid w:val="0"/>
          <w:sz w:val="16"/>
          <w:szCs w:val="16"/>
        </w:rPr>
        <w:t>.</w:t>
      </w:r>
    </w:p>
    <w:p w14:paraId="77655A21" w14:textId="77777777" w:rsidR="000D07EA" w:rsidRDefault="00BE7C89">
      <w:pPr>
        <w:pStyle w:val="Heading8"/>
      </w:pPr>
      <w:r>
        <w:rPr>
          <w:i/>
        </w:rPr>
        <w:t>You</w:t>
      </w:r>
      <w:r>
        <w:t xml:space="preserve"> must pass the Optus credit assessment and be accepted by </w:t>
      </w:r>
      <w:r>
        <w:rPr>
          <w:i/>
        </w:rPr>
        <w:t>us</w:t>
      </w:r>
      <w:r>
        <w:t>; and</w:t>
      </w:r>
    </w:p>
    <w:p w14:paraId="063F8C98" w14:textId="77777777" w:rsidR="000D07EA" w:rsidRDefault="00BE7C89">
      <w:pPr>
        <w:pStyle w:val="Heading8"/>
      </w:pPr>
      <w:r>
        <w:t>Optus Service Providers' customers are not eligible to apply</w:t>
      </w:r>
      <w:r>
        <w:rPr>
          <w:snapToGrid w:val="0"/>
        </w:rPr>
        <w:t>.</w:t>
      </w:r>
    </w:p>
    <w:p w14:paraId="4F014636" w14:textId="77777777" w:rsidR="000D07EA" w:rsidRDefault="00BE7C89">
      <w:pPr>
        <w:pStyle w:val="Heading6"/>
        <w:ind w:left="0" w:firstLine="0"/>
        <w:rPr>
          <w:i/>
        </w:rPr>
      </w:pPr>
      <w:bookmarkStart w:id="655" w:name="_Toc397941249"/>
      <w:r>
        <w:rPr>
          <w:i/>
          <w:snapToGrid w:val="0"/>
        </w:rPr>
        <w:t>Minimum Term</w:t>
      </w:r>
      <w:bookmarkEnd w:id="655"/>
    </w:p>
    <w:p w14:paraId="7EEF58C9" w14:textId="77777777" w:rsidR="000D07EA" w:rsidRDefault="00BE7C89">
      <w:pPr>
        <w:pStyle w:val="Heading7"/>
      </w:pPr>
      <w:r>
        <w:rPr>
          <w:i/>
        </w:rPr>
        <w:t xml:space="preserve">You </w:t>
      </w:r>
      <w:r>
        <w:t xml:space="preserve">must agree to either a </w:t>
      </w:r>
      <w:r>
        <w:rPr>
          <w:i/>
        </w:rPr>
        <w:t>fixed length agreement</w:t>
      </w:r>
      <w:r>
        <w:t xml:space="preserve"> with a 12 month or 24 month </w:t>
      </w:r>
      <w:r>
        <w:rPr>
          <w:i/>
        </w:rPr>
        <w:t>minimum term</w:t>
      </w:r>
      <w:r>
        <w:t xml:space="preserve">. </w:t>
      </w:r>
    </w:p>
    <w:p w14:paraId="3F2E08B0" w14:textId="77777777" w:rsidR="000D07EA" w:rsidRDefault="00BE7C89">
      <w:pPr>
        <w:pStyle w:val="Heading7"/>
      </w:pPr>
      <w:r>
        <w:rPr>
          <w:i/>
        </w:rPr>
        <w:t xml:space="preserve">You </w:t>
      </w:r>
      <w:r>
        <w:t xml:space="preserve">may purchase a </w:t>
      </w:r>
      <w:r>
        <w:rPr>
          <w:i/>
        </w:rPr>
        <w:t>mobile phone</w:t>
      </w:r>
      <w:r>
        <w:t xml:space="preserve"> upfront or with a 12 or 24 month </w:t>
      </w:r>
      <w:r>
        <w:rPr>
          <w:i/>
        </w:rPr>
        <w:t>equipment term</w:t>
      </w:r>
      <w:r>
        <w:t xml:space="preserve"> under a </w:t>
      </w:r>
      <w:r>
        <w:rPr>
          <w:i/>
        </w:rPr>
        <w:t>mobile equipment payment plan</w:t>
      </w:r>
      <w:r>
        <w:t xml:space="preserve"> on 12 or 24 month </w:t>
      </w:r>
      <w:r>
        <w:rPr>
          <w:i/>
        </w:rPr>
        <w:t>fixed length agreement</w:t>
      </w:r>
      <w:r>
        <w:t xml:space="preserve"> depending on </w:t>
      </w:r>
      <w:r>
        <w:rPr>
          <w:i/>
        </w:rPr>
        <w:t>your</w:t>
      </w:r>
      <w:r>
        <w:t xml:space="preserve"> pricing plan. </w:t>
      </w:r>
    </w:p>
    <w:p w14:paraId="6410108B" w14:textId="77777777" w:rsidR="000D07EA" w:rsidRDefault="00BE7C89">
      <w:pPr>
        <w:pStyle w:val="Heading6"/>
        <w:ind w:left="0" w:firstLine="0"/>
      </w:pPr>
      <w:bookmarkStart w:id="656" w:name="_Toc397941250"/>
      <w:r>
        <w:t>Blocking access to a number</w:t>
      </w:r>
      <w:bookmarkEnd w:id="656"/>
    </w:p>
    <w:p w14:paraId="57577EB5" w14:textId="77777777" w:rsidR="000D07EA" w:rsidRDefault="00BE7C89">
      <w:pPr>
        <w:pStyle w:val="BodyText"/>
        <w:ind w:left="720"/>
      </w:pPr>
      <w:r>
        <w:rPr>
          <w:i/>
          <w:iCs/>
        </w:rPr>
        <w:t>In addition to what is stated in clause 11 of the Service Description ("Access Restrictions"), we</w:t>
      </w:r>
      <w:r>
        <w:t xml:space="preserve"> may block access to a number (other than an emergency service number) if </w:t>
      </w:r>
      <w:r>
        <w:rPr>
          <w:i/>
        </w:rPr>
        <w:t>we</w:t>
      </w:r>
      <w:r>
        <w:t xml:space="preserve"> reasonably require this to be done for technical, operational or commercial reasons. </w:t>
      </w:r>
    </w:p>
    <w:p w14:paraId="52A4DA44" w14:textId="77777777" w:rsidR="000D07EA" w:rsidRDefault="00BE7C89">
      <w:pPr>
        <w:pStyle w:val="Heading6"/>
        <w:ind w:left="0" w:firstLine="0"/>
      </w:pPr>
      <w:bookmarkStart w:id="657" w:name="_Toc397941251"/>
      <w:r>
        <w:t>What happens if you are no longer eligible</w:t>
      </w:r>
      <w:bookmarkEnd w:id="657"/>
    </w:p>
    <w:p w14:paraId="19564DDA" w14:textId="77777777" w:rsidR="000D07EA" w:rsidRDefault="00BE7C89">
      <w:pPr>
        <w:pStyle w:val="BodyText"/>
        <w:ind w:left="720"/>
      </w:pPr>
      <w:r>
        <w:t xml:space="preserve">If </w:t>
      </w:r>
      <w:r>
        <w:rPr>
          <w:i/>
        </w:rPr>
        <w:t>you</w:t>
      </w:r>
      <w:r>
        <w:t xml:space="preserve"> are no longer classified as a </w:t>
      </w:r>
      <w:r>
        <w:rPr>
          <w:i/>
        </w:rPr>
        <w:t>small and medium business</w:t>
      </w:r>
      <w:r>
        <w:t xml:space="preserve"> we may at our discretion change </w:t>
      </w:r>
      <w:r>
        <w:rPr>
          <w:i/>
        </w:rPr>
        <w:t>you</w:t>
      </w:r>
      <w:r>
        <w:t xml:space="preserve">r </w:t>
      </w:r>
      <w:r>
        <w:rPr>
          <w:i/>
        </w:rPr>
        <w:t xml:space="preserve">Optus Mobile service </w:t>
      </w:r>
      <w:r>
        <w:t xml:space="preserve">to an eligible plan although other service options may be available to </w:t>
      </w:r>
      <w:r>
        <w:rPr>
          <w:i/>
        </w:rPr>
        <w:t xml:space="preserve">you </w:t>
      </w:r>
      <w:r>
        <w:t xml:space="preserve">and </w:t>
      </w:r>
      <w:r>
        <w:rPr>
          <w:i/>
        </w:rPr>
        <w:t>you</w:t>
      </w:r>
      <w:r>
        <w:t xml:space="preserve"> may have to pay </w:t>
      </w:r>
      <w:r>
        <w:rPr>
          <w:i/>
        </w:rPr>
        <w:t>us</w:t>
      </w:r>
      <w:r>
        <w:t xml:space="preserve"> a cancellation fee</w:t>
      </w:r>
      <w:r>
        <w:rPr>
          <w:i/>
        </w:rPr>
        <w:t>.</w:t>
      </w:r>
    </w:p>
    <w:p w14:paraId="1EF5744C" w14:textId="77777777" w:rsidR="000D07EA" w:rsidRDefault="00BE7C89">
      <w:pPr>
        <w:pStyle w:val="Heading6"/>
        <w:ind w:left="0" w:firstLine="0"/>
        <w:rPr>
          <w:i/>
        </w:rPr>
      </w:pPr>
      <w:bookmarkStart w:id="658" w:name="_Toc397941252"/>
      <w:r>
        <w:t xml:space="preserve">What </w:t>
      </w:r>
      <w:r>
        <w:rPr>
          <w:i/>
        </w:rPr>
        <w:t xml:space="preserve">you </w:t>
      </w:r>
      <w:r>
        <w:t xml:space="preserve">have to pay </w:t>
      </w:r>
      <w:r>
        <w:rPr>
          <w:i/>
        </w:rPr>
        <w:t>us</w:t>
      </w:r>
      <w:bookmarkEnd w:id="658"/>
    </w:p>
    <w:p w14:paraId="497B41C1" w14:textId="77777777" w:rsidR="000D07EA" w:rsidRDefault="00BE7C89">
      <w:pPr>
        <w:pStyle w:val="Heading7"/>
      </w:pPr>
      <w:r>
        <w:t xml:space="preserve">Subject to paragraphs </w:t>
      </w:r>
      <w:r>
        <w:fldChar w:fldCharType="begin"/>
      </w:r>
      <w:r>
        <w:instrText xml:space="preserve"> REF _Ref461553023 \n \h </w:instrText>
      </w:r>
      <w:r>
        <w:fldChar w:fldCharType="separate"/>
      </w:r>
      <w:r w:rsidR="0004083A">
        <w:t>(c)</w:t>
      </w:r>
      <w:r>
        <w:fldChar w:fldCharType="end"/>
      </w:r>
      <w:r>
        <w:t xml:space="preserve">, </w:t>
      </w:r>
      <w:r>
        <w:fldChar w:fldCharType="begin"/>
      </w:r>
      <w:r>
        <w:instrText xml:space="preserve"> REF _Ref461553031 \n \h </w:instrText>
      </w:r>
      <w:r>
        <w:fldChar w:fldCharType="separate"/>
      </w:r>
      <w:r w:rsidR="0004083A">
        <w:t>(d)</w:t>
      </w:r>
      <w:r>
        <w:fldChar w:fldCharType="end"/>
      </w:r>
      <w:r>
        <w:t xml:space="preserve">, </w:t>
      </w:r>
      <w:r>
        <w:fldChar w:fldCharType="begin"/>
      </w:r>
      <w:r>
        <w:instrText xml:space="preserve"> REF _Ref461553039 \n \h </w:instrText>
      </w:r>
      <w:r>
        <w:fldChar w:fldCharType="separate"/>
      </w:r>
      <w:r w:rsidR="0004083A">
        <w:t>(e)</w:t>
      </w:r>
      <w:r>
        <w:fldChar w:fldCharType="end"/>
      </w:r>
      <w:r>
        <w:t xml:space="preserve">, </w:t>
      </w:r>
      <w:r>
        <w:fldChar w:fldCharType="begin"/>
      </w:r>
      <w:r>
        <w:instrText xml:space="preserve"> REF _Ref461553048 \n \h </w:instrText>
      </w:r>
      <w:r>
        <w:fldChar w:fldCharType="separate"/>
      </w:r>
      <w:r w:rsidR="0004083A">
        <w:t>(f)</w:t>
      </w:r>
      <w:r>
        <w:fldChar w:fldCharType="end"/>
      </w:r>
      <w:r>
        <w:t xml:space="preserve">, </w:t>
      </w:r>
      <w:r>
        <w:fldChar w:fldCharType="begin"/>
      </w:r>
      <w:r>
        <w:instrText xml:space="preserve"> REF _Ref461553056 \n \h </w:instrText>
      </w:r>
      <w:r>
        <w:fldChar w:fldCharType="separate"/>
      </w:r>
      <w:r w:rsidR="0004083A">
        <w:t>(g)</w:t>
      </w:r>
      <w:r>
        <w:fldChar w:fldCharType="end"/>
      </w:r>
      <w:r>
        <w:t xml:space="preserve">, </w:t>
      </w:r>
      <w:r>
        <w:fldChar w:fldCharType="begin"/>
      </w:r>
      <w:r>
        <w:instrText xml:space="preserve"> REF _Ref461553064 \n \h </w:instrText>
      </w:r>
      <w:r>
        <w:fldChar w:fldCharType="separate"/>
      </w:r>
      <w:r w:rsidR="0004083A">
        <w:t>(h)</w:t>
      </w:r>
      <w:r>
        <w:fldChar w:fldCharType="end"/>
      </w:r>
      <w:r>
        <w:t xml:space="preserve">, </w:t>
      </w:r>
      <w:r>
        <w:fldChar w:fldCharType="begin"/>
      </w:r>
      <w:r>
        <w:instrText xml:space="preserve"> REF _Ref461553073 \n \h </w:instrText>
      </w:r>
      <w:r>
        <w:fldChar w:fldCharType="separate"/>
      </w:r>
      <w:r w:rsidR="0004083A">
        <w:t>(i)</w:t>
      </w:r>
      <w:r>
        <w:fldChar w:fldCharType="end"/>
      </w:r>
      <w:r>
        <w:t xml:space="preserve"> and </w:t>
      </w:r>
      <w:r>
        <w:fldChar w:fldCharType="begin"/>
      </w:r>
      <w:r>
        <w:instrText xml:space="preserve"> REF _Ref461553081 \n \h </w:instrText>
      </w:r>
      <w:r>
        <w:fldChar w:fldCharType="separate"/>
      </w:r>
      <w:r w:rsidR="0004083A">
        <w:t>(j)</w:t>
      </w:r>
      <w:r>
        <w:fldChar w:fldCharType="end"/>
      </w:r>
      <w:r>
        <w:t xml:space="preserve"> below </w:t>
      </w:r>
      <w:r>
        <w:rPr>
          <w:i/>
        </w:rPr>
        <w:t xml:space="preserve">you </w:t>
      </w:r>
      <w:r>
        <w:t xml:space="preserve">must pay </w:t>
      </w:r>
      <w:r>
        <w:rPr>
          <w:i/>
        </w:rPr>
        <w:t xml:space="preserve">us </w:t>
      </w:r>
      <w:r>
        <w:t xml:space="preserve">for use of the </w:t>
      </w:r>
      <w:r>
        <w:rPr>
          <w:i/>
        </w:rPr>
        <w:t xml:space="preserve">service </w:t>
      </w:r>
      <w:r>
        <w:t xml:space="preserve">at the rates set out in </w:t>
      </w:r>
      <w:hyperlink r:id="rId466" w:history="1">
        <w:r>
          <w:rPr>
            <w:rStyle w:val="Hyperlink"/>
          </w:rPr>
          <w:t>Section 1</w:t>
        </w:r>
      </w:hyperlink>
      <w:r>
        <w:t xml:space="preserve"> of this </w:t>
      </w:r>
      <w:r>
        <w:rPr>
          <w:i/>
        </w:rPr>
        <w:t xml:space="preserve">standard pricing table </w:t>
      </w:r>
      <w:r>
        <w:t xml:space="preserve">and for </w:t>
      </w:r>
      <w:r>
        <w:rPr>
          <w:i/>
        </w:rPr>
        <w:t xml:space="preserve">value added service features </w:t>
      </w:r>
      <w:r>
        <w:t xml:space="preserve">at the rates set out in </w:t>
      </w:r>
      <w:hyperlink r:id="rId467" w:history="1">
        <w:r>
          <w:rPr>
            <w:rStyle w:val="Hyperlink"/>
          </w:rPr>
          <w:t>Appendix Y</w:t>
        </w:r>
      </w:hyperlink>
      <w:r>
        <w:t xml:space="preserve"> Value Added Service Features</w:t>
      </w:r>
      <w:r>
        <w:rPr>
          <w:i/>
        </w:rPr>
        <w:t>.</w:t>
      </w:r>
      <w:r>
        <w:t xml:space="preserve"> </w:t>
      </w:r>
    </w:p>
    <w:p w14:paraId="18966128" w14:textId="77777777" w:rsidR="000D07EA" w:rsidRDefault="00BE7C89">
      <w:pPr>
        <w:pStyle w:val="Heading7"/>
      </w:pPr>
      <w:r>
        <w:t xml:space="preserve">If there is a </w:t>
      </w:r>
      <w:r>
        <w:rPr>
          <w:i/>
        </w:rPr>
        <w:t xml:space="preserve">flagfall </w:t>
      </w:r>
      <w:r>
        <w:t xml:space="preserve">or call connection charge for a particular call type, the charge for these calls is the </w:t>
      </w:r>
      <w:r>
        <w:rPr>
          <w:i/>
        </w:rPr>
        <w:t xml:space="preserve">flagfall </w:t>
      </w:r>
      <w:r>
        <w:t>charge plus the relevant rate for the call multiplied by the duration of the call.</w:t>
      </w:r>
    </w:p>
    <w:p w14:paraId="5C19FF6A" w14:textId="77777777" w:rsidR="000D07EA" w:rsidRDefault="00BE7C89">
      <w:pPr>
        <w:pStyle w:val="Heading7"/>
        <w:rPr>
          <w:b/>
        </w:rPr>
      </w:pPr>
      <w:bookmarkStart w:id="659" w:name="_Ref461553023"/>
      <w:r>
        <w:rPr>
          <w:b/>
        </w:rPr>
        <w:t>Minimum Monthly Charge</w:t>
      </w:r>
      <w:bookmarkEnd w:id="659"/>
    </w:p>
    <w:p w14:paraId="6C687513" w14:textId="77777777" w:rsidR="000D07EA" w:rsidRDefault="00BE7C89">
      <w:pPr>
        <w:pStyle w:val="Heading8"/>
      </w:pPr>
      <w:r>
        <w:t xml:space="preserve">Each Business Complete Plan has a minimum monthly charge amount that </w:t>
      </w:r>
      <w:r>
        <w:rPr>
          <w:i/>
        </w:rPr>
        <w:t xml:space="preserve">you </w:t>
      </w:r>
      <w:r>
        <w:t xml:space="preserve">must pay </w:t>
      </w:r>
      <w:r>
        <w:rPr>
          <w:i/>
        </w:rPr>
        <w:t>us</w:t>
      </w:r>
      <w:r>
        <w:t xml:space="preserve"> each month. </w:t>
      </w:r>
    </w:p>
    <w:p w14:paraId="7E60457F" w14:textId="77777777" w:rsidR="000D07EA" w:rsidRDefault="00BE7C89">
      <w:pPr>
        <w:pStyle w:val="Heading8"/>
      </w:pPr>
      <w:r>
        <w:t>The amount of the minimum monthly charge and included calls for each Business Complete Plan is set out in Table 2A below.</w:t>
      </w:r>
    </w:p>
    <w:p w14:paraId="4E57130B" w14:textId="77777777" w:rsidR="000D07EA" w:rsidRDefault="00BE7C89">
      <w:pPr>
        <w:pStyle w:val="Heading7"/>
        <w:keepNext/>
        <w:rPr>
          <w:b/>
        </w:rPr>
      </w:pPr>
      <w:bookmarkStart w:id="660" w:name="_Ref461553031"/>
      <w:r>
        <w:rPr>
          <w:b/>
        </w:rPr>
        <w:lastRenderedPageBreak/>
        <w:t>Included Value</w:t>
      </w:r>
      <w:bookmarkEnd w:id="660"/>
    </w:p>
    <w:p w14:paraId="7D827B36" w14:textId="77777777" w:rsidR="000D07EA" w:rsidRDefault="00BE7C89">
      <w:pPr>
        <w:pStyle w:val="Heading8"/>
      </w:pPr>
      <w:r>
        <w:t xml:space="preserve">Under the Business Complete Plans, </w:t>
      </w:r>
      <w:r>
        <w:rPr>
          <w:i/>
        </w:rPr>
        <w:t xml:space="preserve">you </w:t>
      </w:r>
      <w:r>
        <w:t>will receive an amount of 'Included Value'.</w:t>
      </w:r>
    </w:p>
    <w:p w14:paraId="11BDCE3E" w14:textId="77777777" w:rsidR="000D07EA" w:rsidRDefault="00BE7C89">
      <w:pPr>
        <w:pStyle w:val="Heading8"/>
      </w:pPr>
      <w:r>
        <w:t>The amount of the 'Included Value' included for each Business Complete Plan is set out in Table 2A below.</w:t>
      </w:r>
    </w:p>
    <w:p w14:paraId="399DCB4F" w14:textId="77777777" w:rsidR="000D07EA" w:rsidRDefault="00BE7C89">
      <w:pPr>
        <w:pStyle w:val="Heading8"/>
      </w:pPr>
      <w:r>
        <w:t xml:space="preserve">The call types that are </w:t>
      </w:r>
      <w:r>
        <w:rPr>
          <w:b/>
        </w:rPr>
        <w:t>'eligible calls and text'</w:t>
      </w:r>
      <w:r>
        <w:t xml:space="preserve"> for each Business Complete Plan under the 'Included Value' are defined in Table 1A below.</w:t>
      </w:r>
    </w:p>
    <w:p w14:paraId="758D64AC" w14:textId="77777777" w:rsidR="000D07EA" w:rsidRDefault="00BE7C89">
      <w:pPr>
        <w:pStyle w:val="Heading8"/>
      </w:pPr>
      <w:r>
        <w:rPr>
          <w:i/>
        </w:rPr>
        <w:t xml:space="preserve">You </w:t>
      </w:r>
      <w:r>
        <w:t xml:space="preserve">must pay </w:t>
      </w:r>
      <w:r>
        <w:rPr>
          <w:i/>
        </w:rPr>
        <w:t xml:space="preserve">us </w:t>
      </w:r>
      <w:r>
        <w:t xml:space="preserve">call charges for eligible calls and text made beyond </w:t>
      </w:r>
      <w:r>
        <w:rPr>
          <w:i/>
        </w:rPr>
        <w:t>your</w:t>
      </w:r>
      <w:r>
        <w:t xml:space="preserve"> 'Included Value' amount. </w:t>
      </w:r>
    </w:p>
    <w:p w14:paraId="4C5C058E" w14:textId="77777777" w:rsidR="000D07EA" w:rsidRDefault="00BE7C89">
      <w:pPr>
        <w:pStyle w:val="Heading8"/>
      </w:pPr>
      <w:r>
        <w:rPr>
          <w:i/>
        </w:rPr>
        <w:t xml:space="preserve">You </w:t>
      </w:r>
      <w:r>
        <w:t>must pay for any calls and texts that are not eligible calls and text.</w:t>
      </w:r>
    </w:p>
    <w:p w14:paraId="014E0829" w14:textId="77777777" w:rsidR="000D07EA" w:rsidRDefault="00BE7C89">
      <w:pPr>
        <w:pStyle w:val="Heading8"/>
      </w:pPr>
      <w:r>
        <w:rPr>
          <w:snapToGrid w:val="0"/>
        </w:rPr>
        <w:t>Any unused portion of the 'Included Value' expires at the end of each month. This means that it does not roll over into the following month.</w:t>
      </w:r>
    </w:p>
    <w:p w14:paraId="299BABC4" w14:textId="77777777" w:rsidR="000D07EA" w:rsidRDefault="00BE7C89">
      <w:pPr>
        <w:pStyle w:val="Heading7"/>
        <w:rPr>
          <w:b/>
        </w:rPr>
      </w:pPr>
      <w:bookmarkStart w:id="661" w:name="_Ref461553039"/>
      <w:r>
        <w:rPr>
          <w:b/>
        </w:rPr>
        <w:t>Included Mobile Internet Data Value and Unlimited BlackBerry POP3 Email and Browsing</w:t>
      </w:r>
      <w:bookmarkEnd w:id="661"/>
    </w:p>
    <w:p w14:paraId="541951C0" w14:textId="77777777" w:rsidR="000D07EA" w:rsidRDefault="00BE7C89">
      <w:pPr>
        <w:pStyle w:val="Heading8"/>
        <w:rPr>
          <w:b/>
        </w:rPr>
      </w:pPr>
      <w:r>
        <w:t xml:space="preserve">Under the Business Complete Plans, </w:t>
      </w:r>
      <w:r>
        <w:rPr>
          <w:i/>
        </w:rPr>
        <w:t>you</w:t>
      </w:r>
      <w:r>
        <w:t xml:space="preserve"> will receive:</w:t>
      </w:r>
    </w:p>
    <w:p w14:paraId="6A620608" w14:textId="77777777" w:rsidR="000D07EA" w:rsidRDefault="00BE7C89">
      <w:pPr>
        <w:pStyle w:val="Heading9"/>
      </w:pPr>
      <w:r>
        <w:t xml:space="preserve">included Mobile Internet Data Value; and (if </w:t>
      </w:r>
      <w:r>
        <w:rPr>
          <w:i/>
          <w:u w:val="single"/>
        </w:rPr>
        <w:t>you</w:t>
      </w:r>
      <w:r>
        <w:t xml:space="preserve"> have a compatible handset)</w:t>
      </w:r>
    </w:p>
    <w:p w14:paraId="4D8E49CE" w14:textId="77777777" w:rsidR="000D07EA" w:rsidRDefault="00BE7C89">
      <w:pPr>
        <w:pStyle w:val="Heading9"/>
      </w:pPr>
      <w:r>
        <w:t>the amount of 'Mobile Internet Data Value' included for each Business Complete Plans is set out in Table 2A below.</w:t>
      </w:r>
    </w:p>
    <w:p w14:paraId="66B24910" w14:textId="77777777" w:rsidR="000D07EA" w:rsidRDefault="00BE7C89">
      <w:pPr>
        <w:pStyle w:val="Heading9"/>
      </w:pPr>
      <w:r>
        <w:t xml:space="preserve">the usage types that are </w:t>
      </w:r>
      <w:r>
        <w:rPr>
          <w:b/>
        </w:rPr>
        <w:t>'eligible data'</w:t>
      </w:r>
      <w:r>
        <w:t xml:space="preserve"> for each Business Complete Plan under the included Mobile Internet Data Value are defined in Table 1B below.</w:t>
      </w:r>
    </w:p>
    <w:p w14:paraId="60A9D3DC" w14:textId="77777777" w:rsidR="000D07EA" w:rsidRDefault="00BE7C89">
      <w:pPr>
        <w:pStyle w:val="Heading9"/>
      </w:pPr>
      <w:r>
        <w:rPr>
          <w:i/>
        </w:rPr>
        <w:t xml:space="preserve">you </w:t>
      </w:r>
      <w:r>
        <w:t xml:space="preserve">must pay </w:t>
      </w:r>
      <w:r>
        <w:rPr>
          <w:i/>
        </w:rPr>
        <w:t xml:space="preserve">us </w:t>
      </w:r>
      <w:r>
        <w:t xml:space="preserve">excess usage charges for data used in excess of </w:t>
      </w:r>
      <w:r>
        <w:rPr>
          <w:i/>
        </w:rPr>
        <w:t>your</w:t>
      </w:r>
      <w:r>
        <w:t xml:space="preserve"> 'Mobile Internet Data Value' as shown in Table 2A below. </w:t>
      </w:r>
    </w:p>
    <w:p w14:paraId="6E319216" w14:textId="77777777" w:rsidR="000D07EA" w:rsidRDefault="00BE7C89">
      <w:pPr>
        <w:pStyle w:val="Heading9"/>
        <w:rPr>
          <w:szCs w:val="24"/>
        </w:rPr>
      </w:pPr>
      <w:r>
        <w:rPr>
          <w:snapToGrid w:val="0"/>
        </w:rPr>
        <w:t>any unused portion of the 'Mobile Internet Data Value' expires at the end of each month and does not roll over into the following month.</w:t>
      </w:r>
      <w:r>
        <w:t xml:space="preserve"> </w:t>
      </w:r>
    </w:p>
    <w:p w14:paraId="7EBE36CC" w14:textId="77777777" w:rsidR="000D07EA" w:rsidRDefault="00BE7C89">
      <w:pPr>
        <w:pStyle w:val="Heading8"/>
      </w:pPr>
      <w:r>
        <w:t>Unlimited BlackBerry POP3 Email and Browsing.</w:t>
      </w:r>
    </w:p>
    <w:p w14:paraId="62492406" w14:textId="77777777" w:rsidR="000D07EA" w:rsidRDefault="00BE7C89">
      <w:pPr>
        <w:pStyle w:val="Heading9"/>
      </w:pPr>
      <w:r>
        <w:rPr>
          <w:i/>
        </w:rPr>
        <w:t>You</w:t>
      </w:r>
      <w:r>
        <w:t xml:space="preserve"> will receive unlimited BlackBerry POP3 Email and Browsing through the BlackBerry Browser only, use of applications from Optus and third party applications that require a BlackBerry Data connection as set out in Table 2A below.</w:t>
      </w:r>
    </w:p>
    <w:p w14:paraId="2AF7D405" w14:textId="77777777" w:rsidR="000D07EA" w:rsidRDefault="00BE7C89">
      <w:pPr>
        <w:pStyle w:val="Heading9"/>
      </w:pPr>
      <w:r>
        <w:t>The usage types that are '</w:t>
      </w:r>
      <w:r>
        <w:rPr>
          <w:b/>
        </w:rPr>
        <w:t>eligible data'</w:t>
      </w:r>
      <w:r>
        <w:t xml:space="preserve"> for each Business Complete Plan under the Unlimited BlackBerry POP3 Email and Browsing are defined in Table 1C below.</w:t>
      </w:r>
    </w:p>
    <w:p w14:paraId="008D957E" w14:textId="77777777" w:rsidR="000D07EA" w:rsidRDefault="00BE7C89">
      <w:pPr>
        <w:pStyle w:val="Heading9"/>
        <w:rPr>
          <w:szCs w:val="24"/>
        </w:rPr>
      </w:pPr>
      <w:r>
        <w:t>Unlimited BlackBerry POP3 Email is only for personal use and is not to be used for commercial purposes. Fair Go Policy (</w:t>
      </w:r>
      <w:hyperlink r:id="rId468" w:history="1">
        <w:r>
          <w:rPr>
            <w:rStyle w:val="Hyperlink"/>
            <w:i/>
          </w:rPr>
          <w:t>Appendix S</w:t>
        </w:r>
      </w:hyperlink>
      <w:r>
        <w:t xml:space="preserve">) also applies to unacceptable use. </w:t>
      </w:r>
      <w:r>
        <w:rPr>
          <w:szCs w:val="24"/>
        </w:rPr>
        <w:t xml:space="preserve">Please refer to </w:t>
      </w:r>
      <w:hyperlink r:id="rId469" w:history="1">
        <w:r w:rsidR="008D6257">
          <w:rPr>
            <w:rStyle w:val="Hyperlink"/>
            <w:i/>
          </w:rPr>
          <w:t>Appendix S</w:t>
        </w:r>
      </w:hyperlink>
      <w:r>
        <w:rPr>
          <w:i/>
          <w:szCs w:val="24"/>
        </w:rPr>
        <w:t xml:space="preserve"> </w:t>
      </w:r>
      <w:r>
        <w:rPr>
          <w:szCs w:val="24"/>
        </w:rPr>
        <w:t>for further details.</w:t>
      </w:r>
    </w:p>
    <w:p w14:paraId="52ACB5CC" w14:textId="77777777" w:rsidR="000D07EA" w:rsidRDefault="00BE7C89">
      <w:pPr>
        <w:pStyle w:val="Heading7"/>
        <w:rPr>
          <w:b/>
          <w:snapToGrid w:val="0"/>
        </w:rPr>
      </w:pPr>
      <w:bookmarkStart w:id="662" w:name="_Ref461553048"/>
      <w:r>
        <w:rPr>
          <w:b/>
          <w:snapToGrid w:val="0"/>
        </w:rPr>
        <w:t>Unlimited mobile access to Facebook®, Twitter®, LinkedIn, eBay, Foursquare, MySpace within Australia</w:t>
      </w:r>
      <w:bookmarkEnd w:id="662"/>
    </w:p>
    <w:p w14:paraId="46C747B3" w14:textId="77777777" w:rsidR="000D07EA" w:rsidRDefault="00BE7C89">
      <w:pPr>
        <w:pStyle w:val="Heading8"/>
        <w:rPr>
          <w:snapToGrid w:val="0"/>
        </w:rPr>
      </w:pPr>
      <w:bookmarkStart w:id="663" w:name="_Ref461553178"/>
      <w:r>
        <w:t xml:space="preserve">Under the Business Complete Plans, </w:t>
      </w:r>
      <w:r>
        <w:rPr>
          <w:i/>
        </w:rPr>
        <w:t>you</w:t>
      </w:r>
      <w:r>
        <w:t xml:space="preserve"> will receive unlimited mobile access to </w:t>
      </w:r>
      <w:r>
        <w:rPr>
          <w:snapToGrid w:val="0"/>
        </w:rPr>
        <w:t xml:space="preserve">Facebook®, Twitter®, LinkedIn, eBay, Foursquare and MySpace within Australia, subject to paragraph </w:t>
      </w:r>
      <w:r>
        <w:fldChar w:fldCharType="begin"/>
      </w:r>
      <w:r>
        <w:rPr>
          <w:snapToGrid w:val="0"/>
        </w:rPr>
        <w:instrText xml:space="preserve"> REF _Ref461553161 \n \h </w:instrText>
      </w:r>
      <w:r>
        <w:fldChar w:fldCharType="separate"/>
      </w:r>
      <w:r w:rsidR="0004083A">
        <w:rPr>
          <w:snapToGrid w:val="0"/>
        </w:rPr>
        <w:t>(iv)</w:t>
      </w:r>
      <w:r>
        <w:fldChar w:fldCharType="end"/>
      </w:r>
      <w:r>
        <w:rPr>
          <w:snapToGrid w:val="0"/>
        </w:rPr>
        <w:t xml:space="preserve"> below</w:t>
      </w:r>
      <w:bookmarkEnd w:id="663"/>
      <w:r>
        <w:rPr>
          <w:snapToGrid w:val="0"/>
        </w:rPr>
        <w:t>.</w:t>
      </w:r>
    </w:p>
    <w:p w14:paraId="6616753E" w14:textId="77777777" w:rsidR="000D07EA" w:rsidRDefault="00BE7C89">
      <w:pPr>
        <w:pStyle w:val="Heading8"/>
        <w:rPr>
          <w:snapToGrid w:val="0"/>
        </w:rPr>
      </w:pPr>
      <w:r>
        <w:rPr>
          <w:snapToGrid w:val="0"/>
        </w:rPr>
        <w:t xml:space="preserve">Use of the services described in paragraph </w:t>
      </w:r>
      <w:r>
        <w:fldChar w:fldCharType="begin"/>
      </w:r>
      <w:r>
        <w:instrText xml:space="preserve"> REF _Ref461553048 \n \h </w:instrText>
      </w:r>
      <w:r>
        <w:fldChar w:fldCharType="separate"/>
      </w:r>
      <w:r w:rsidR="0004083A">
        <w:t>(f)</w:t>
      </w:r>
      <w:r>
        <w:fldChar w:fldCharType="end"/>
      </w:r>
      <w:r>
        <w:fldChar w:fldCharType="begin"/>
      </w:r>
      <w:r>
        <w:instrText xml:space="preserve"> REF _Ref461553178 \n \h </w:instrText>
      </w:r>
      <w:r>
        <w:fldChar w:fldCharType="separate"/>
      </w:r>
      <w:r w:rsidR="0004083A">
        <w:t>(i)</w:t>
      </w:r>
      <w:r>
        <w:fldChar w:fldCharType="end"/>
      </w:r>
      <w:r>
        <w:rPr>
          <w:snapToGrid w:val="0"/>
        </w:rPr>
        <w:t xml:space="preserve"> above is separate to and is not included in </w:t>
      </w:r>
      <w:r>
        <w:rPr>
          <w:i/>
          <w:snapToGrid w:val="0"/>
        </w:rPr>
        <w:t>your</w:t>
      </w:r>
      <w:r>
        <w:rPr>
          <w:snapToGrid w:val="0"/>
        </w:rPr>
        <w:t xml:space="preserve"> </w:t>
      </w:r>
      <w:r>
        <w:t>'Mobile Internet Data Value'.</w:t>
      </w:r>
    </w:p>
    <w:p w14:paraId="069CB5DA" w14:textId="77777777" w:rsidR="000D07EA" w:rsidRDefault="00BE7C89">
      <w:pPr>
        <w:pStyle w:val="Heading8"/>
        <w:rPr>
          <w:b/>
        </w:rPr>
      </w:pPr>
      <w:r>
        <w:t xml:space="preserve">These features are only available to </w:t>
      </w:r>
      <w:r>
        <w:rPr>
          <w:i/>
        </w:rPr>
        <w:t>you</w:t>
      </w:r>
      <w:r>
        <w:t xml:space="preserve"> if </w:t>
      </w:r>
      <w:r>
        <w:rPr>
          <w:i/>
        </w:rPr>
        <w:t>your</w:t>
      </w:r>
      <w:r>
        <w:t xml:space="preserve"> handset is compatible with the service.</w:t>
      </w:r>
    </w:p>
    <w:p w14:paraId="44F91601" w14:textId="77777777" w:rsidR="000D07EA" w:rsidRDefault="00BE7C89">
      <w:pPr>
        <w:pStyle w:val="Heading8"/>
        <w:rPr>
          <w:b/>
        </w:rPr>
      </w:pPr>
      <w:bookmarkStart w:id="664" w:name="_Ref461553161"/>
      <w:r>
        <w:lastRenderedPageBreak/>
        <w:t>The Fair Go Policy (</w:t>
      </w:r>
      <w:hyperlink r:id="rId470" w:history="1">
        <w:r>
          <w:rPr>
            <w:rStyle w:val="Hyperlink"/>
            <w:i/>
          </w:rPr>
          <w:t>Appendix S</w:t>
        </w:r>
      </w:hyperlink>
      <w:r>
        <w:t xml:space="preserve">) applies for the use of Unlimited Facebook®, Twitter®, </w:t>
      </w:r>
      <w:r>
        <w:rPr>
          <w:snapToGrid w:val="0"/>
        </w:rPr>
        <w:t>LinkedIn, eBay, Foursquare,</w:t>
      </w:r>
      <w:r>
        <w:t xml:space="preserve"> and MySpace. Please refer to </w:t>
      </w:r>
      <w:hyperlink r:id="rId471" w:history="1">
        <w:r w:rsidR="008D6257">
          <w:rPr>
            <w:rStyle w:val="Hyperlink"/>
            <w:i/>
          </w:rPr>
          <w:t>Appendix S</w:t>
        </w:r>
      </w:hyperlink>
      <w:r>
        <w:t>for further details.</w:t>
      </w:r>
      <w:bookmarkEnd w:id="664"/>
    </w:p>
    <w:p w14:paraId="22CE0BD7" w14:textId="77777777" w:rsidR="000D07EA" w:rsidRDefault="00BE7C89">
      <w:pPr>
        <w:pStyle w:val="Heading7"/>
        <w:rPr>
          <w:b/>
        </w:rPr>
      </w:pPr>
      <w:bookmarkStart w:id="665" w:name="_Ref461553056"/>
      <w:r>
        <w:rPr>
          <w:b/>
        </w:rPr>
        <w:t>Unlimited standard national SMS on the $35 Business Complete Plan (4G Sept 2012), $50 Business Complete Plan (4G Sept 2012), $60 Business Complete Plan (4GSept 2012), $80 Business Complete Plan (4G Sept 2012)</w:t>
      </w:r>
      <w:bookmarkEnd w:id="665"/>
    </w:p>
    <w:p w14:paraId="55A90B06" w14:textId="77777777" w:rsidR="000D07EA" w:rsidRDefault="00BE7C89">
      <w:pPr>
        <w:pStyle w:val="Heading8"/>
      </w:pPr>
      <w:r>
        <w:rPr>
          <w:i/>
        </w:rPr>
        <w:t xml:space="preserve">You </w:t>
      </w:r>
      <w:r>
        <w:t>may send unlimited standard national SMS to Australian mobiles within Australia.</w:t>
      </w:r>
    </w:p>
    <w:p w14:paraId="5118CFCD" w14:textId="77777777" w:rsidR="000D07EA" w:rsidRDefault="00BE7C89">
      <w:pPr>
        <w:pStyle w:val="Heading8"/>
      </w:pPr>
      <w:r>
        <w:t>Unlimited SMS excludes Satellite, International, Premium, Group and Email SMS.</w:t>
      </w:r>
    </w:p>
    <w:p w14:paraId="3FE8D785" w14:textId="77777777" w:rsidR="000D07EA" w:rsidRDefault="00BE7C89">
      <w:pPr>
        <w:pStyle w:val="Heading8"/>
      </w:pPr>
      <w:r>
        <w:rPr>
          <w:i/>
        </w:rPr>
        <w:t xml:space="preserve">You </w:t>
      </w:r>
      <w:r>
        <w:t>must pay for any SMS that are not included as unlimited standard national SMS.</w:t>
      </w:r>
    </w:p>
    <w:p w14:paraId="62A0E04E" w14:textId="77777777" w:rsidR="000D07EA" w:rsidRDefault="00BE7C89">
      <w:pPr>
        <w:pStyle w:val="Heading8"/>
      </w:pPr>
      <w:r>
        <w:t xml:space="preserve">Unlimited standard national SMS is only available for personal use and is not to be used for commercial purposes. For further details refer to </w:t>
      </w:r>
      <w:hyperlink r:id="rId472" w:history="1">
        <w:r w:rsidR="008D6257">
          <w:rPr>
            <w:rStyle w:val="Hyperlink"/>
            <w:i/>
          </w:rPr>
          <w:t>Appendix S</w:t>
        </w:r>
      </w:hyperlink>
    </w:p>
    <w:p w14:paraId="50CA0C1E" w14:textId="77777777" w:rsidR="000D07EA" w:rsidRDefault="00BE7C89">
      <w:pPr>
        <w:pStyle w:val="Heading8"/>
      </w:pPr>
      <w:r>
        <w:t>Fair Go Policy (</w:t>
      </w:r>
      <w:hyperlink r:id="rId473" w:history="1">
        <w:r>
          <w:rPr>
            <w:rStyle w:val="Hyperlink"/>
            <w:i/>
          </w:rPr>
          <w:t>Appendix S</w:t>
        </w:r>
      </w:hyperlink>
      <w:r>
        <w:t xml:space="preserve">) applies. Please refer to </w:t>
      </w:r>
      <w:r>
        <w:rPr>
          <w:i/>
        </w:rPr>
        <w:t xml:space="preserve">Appendix </w:t>
      </w:r>
      <w:r w:rsidR="00DD7FB0">
        <w:rPr>
          <w:i/>
        </w:rPr>
        <w:t>S</w:t>
      </w:r>
      <w:r>
        <w:t xml:space="preserve"> for further details. </w:t>
      </w:r>
    </w:p>
    <w:p w14:paraId="723FB76F" w14:textId="77777777" w:rsidR="000D07EA" w:rsidRDefault="00BE7C89">
      <w:pPr>
        <w:pStyle w:val="Heading7"/>
        <w:rPr>
          <w:b/>
        </w:rPr>
      </w:pPr>
      <w:bookmarkStart w:id="666" w:name="_Ref461553064"/>
      <w:r>
        <w:rPr>
          <w:b/>
        </w:rPr>
        <w:t>Unlimited National Mobile Voice Calls Optus to Optus within Australia on the Business Complete Plans, $60 Business Complete Plan (4G Sept 2012), $80 Business Complete Plan (4G Sept 2012)</w:t>
      </w:r>
      <w:bookmarkEnd w:id="666"/>
    </w:p>
    <w:p w14:paraId="116D03AE" w14:textId="77777777" w:rsidR="000D07EA" w:rsidRDefault="00BE7C89">
      <w:pPr>
        <w:pStyle w:val="Heading8"/>
      </w:pPr>
      <w:r>
        <w:rPr>
          <w:i/>
        </w:rPr>
        <w:t xml:space="preserve">You </w:t>
      </w:r>
      <w:r>
        <w:t xml:space="preserve">will receive the Unlimited Standard National Voice Calls Optus to Optus offer. </w:t>
      </w:r>
    </w:p>
    <w:p w14:paraId="1E32E27C" w14:textId="77777777" w:rsidR="000D07EA" w:rsidRDefault="00BE7C89">
      <w:pPr>
        <w:pStyle w:val="Heading8"/>
      </w:pPr>
      <w:r>
        <w:t xml:space="preserve">This mean </w:t>
      </w:r>
      <w:r>
        <w:rPr>
          <w:i/>
        </w:rPr>
        <w:t>you</w:t>
      </w:r>
      <w:r>
        <w:t xml:space="preserve"> can make unlimited voice calls from </w:t>
      </w:r>
      <w:r>
        <w:rPr>
          <w:i/>
        </w:rPr>
        <w:t>your</w:t>
      </w:r>
      <w:r>
        <w:t xml:space="preserve"> </w:t>
      </w:r>
      <w:r>
        <w:rPr>
          <w:i/>
        </w:rPr>
        <w:t>Optus</w:t>
      </w:r>
      <w:r>
        <w:t xml:space="preserve"> mobile to any other </w:t>
      </w:r>
      <w:r>
        <w:rPr>
          <w:i/>
        </w:rPr>
        <w:t xml:space="preserve">Optus </w:t>
      </w:r>
      <w:r>
        <w:t>mobile from within Australia.</w:t>
      </w:r>
    </w:p>
    <w:p w14:paraId="21277256" w14:textId="77777777" w:rsidR="000D07EA" w:rsidRDefault="00BE7C89">
      <w:pPr>
        <w:pStyle w:val="Heading8"/>
      </w:pPr>
      <w:r>
        <w:t xml:space="preserve">The call types that are </w:t>
      </w:r>
      <w:r>
        <w:rPr>
          <w:b/>
        </w:rPr>
        <w:t>'eligible calls'</w:t>
      </w:r>
      <w:r>
        <w:t xml:space="preserve"> for the Unlimited National Mobile Voice Calls Optus to Optus offer under the Business Complete Plans are defined in Table 1C below.</w:t>
      </w:r>
    </w:p>
    <w:p w14:paraId="015A0511" w14:textId="77777777" w:rsidR="000D07EA" w:rsidRDefault="00BE7C89">
      <w:pPr>
        <w:pStyle w:val="Heading8"/>
      </w:pPr>
      <w:r>
        <w:rPr>
          <w:i/>
        </w:rPr>
        <w:t xml:space="preserve">You </w:t>
      </w:r>
      <w:r>
        <w:t>must pay for any calls that are not eligible calls.</w:t>
      </w:r>
    </w:p>
    <w:p w14:paraId="75811D03" w14:textId="77777777" w:rsidR="000D07EA" w:rsidRDefault="00BE7C89">
      <w:pPr>
        <w:pStyle w:val="Heading8"/>
      </w:pPr>
      <w:r>
        <w:t>The Fair Go Policy (</w:t>
      </w:r>
      <w:hyperlink r:id="rId474" w:history="1">
        <w:r>
          <w:rPr>
            <w:rStyle w:val="Hyperlink"/>
            <w:i/>
          </w:rPr>
          <w:t>Appendix S</w:t>
        </w:r>
      </w:hyperlink>
      <w:r>
        <w:t xml:space="preserve">) applies for the use of Unlimited National Mobile Voice Calls Optus to Optus offer. Please refer to </w:t>
      </w:r>
      <w:hyperlink r:id="rId475" w:history="1">
        <w:r w:rsidR="008D6257">
          <w:rPr>
            <w:rStyle w:val="Hyperlink"/>
            <w:i/>
          </w:rPr>
          <w:t>Appendix S</w:t>
        </w:r>
      </w:hyperlink>
      <w:r>
        <w:t xml:space="preserve">for further details. </w:t>
      </w:r>
    </w:p>
    <w:p w14:paraId="7542F300" w14:textId="77777777" w:rsidR="000D07EA" w:rsidRDefault="00BE7C89">
      <w:pPr>
        <w:pStyle w:val="Heading7"/>
        <w:rPr>
          <w:b/>
        </w:rPr>
      </w:pPr>
      <w:bookmarkStart w:id="667" w:name="_Ref461553073"/>
      <w:r>
        <w:rPr>
          <w:b/>
        </w:rPr>
        <w:t>Unlimited calls to Optus Mobiles on the same Customer Account Number.</w:t>
      </w:r>
      <w:bookmarkEnd w:id="667"/>
    </w:p>
    <w:p w14:paraId="24713692" w14:textId="77777777" w:rsidR="000D07EA" w:rsidRDefault="00BE7C89">
      <w:pPr>
        <w:pStyle w:val="Heading8"/>
        <w:rPr>
          <w:b/>
        </w:rPr>
      </w:pPr>
      <w:r>
        <w:t xml:space="preserve">If </w:t>
      </w:r>
      <w:r>
        <w:rPr>
          <w:i/>
        </w:rPr>
        <w:t xml:space="preserve">you </w:t>
      </w:r>
      <w:r>
        <w:t xml:space="preserve">connect to the Business Complete Plans, </w:t>
      </w:r>
      <w:r>
        <w:rPr>
          <w:i/>
        </w:rPr>
        <w:t>you</w:t>
      </w:r>
      <w:r>
        <w:t xml:space="preserve"> can make unlimited national voice calls within Australia to other Optus mobile services on the same customer account number for no additional cost. Fair Go Policy (</w:t>
      </w:r>
      <w:hyperlink r:id="rId476" w:history="1">
        <w:r>
          <w:rPr>
            <w:rStyle w:val="Hyperlink"/>
            <w:i/>
          </w:rPr>
          <w:t>Appendix S</w:t>
        </w:r>
      </w:hyperlink>
      <w:r>
        <w:t>) applies</w:t>
      </w:r>
      <w:r>
        <w:rPr>
          <w:rFonts w:cs="Arial"/>
        </w:rPr>
        <w:t>.</w:t>
      </w:r>
    </w:p>
    <w:p w14:paraId="2647445A" w14:textId="77777777" w:rsidR="000D07EA" w:rsidRDefault="00BE7C89">
      <w:pPr>
        <w:pStyle w:val="Heading8"/>
      </w:pPr>
      <w:r>
        <w:rPr>
          <w:i/>
        </w:rPr>
        <w:t>You</w:t>
      </w:r>
      <w:r>
        <w:t xml:space="preserve"> must pay for any calls that are not eligible calls.</w:t>
      </w:r>
    </w:p>
    <w:p w14:paraId="1715E4D9" w14:textId="77777777" w:rsidR="000D07EA" w:rsidRDefault="00BE7C89">
      <w:pPr>
        <w:pStyle w:val="Heading8"/>
      </w:pPr>
      <w:r>
        <w:t>The Fair Go Policy (</w:t>
      </w:r>
      <w:hyperlink r:id="rId477" w:history="1">
        <w:r>
          <w:rPr>
            <w:rStyle w:val="Hyperlink"/>
            <w:i/>
          </w:rPr>
          <w:t>Appendix S</w:t>
        </w:r>
      </w:hyperlink>
      <w:r>
        <w:t xml:space="preserve">) applies for the use of Unlimited Optus mobile voice calls on the same Customer Account Number Offer. Please refer to </w:t>
      </w:r>
      <w:hyperlink r:id="rId478" w:history="1">
        <w:r w:rsidR="008D6257">
          <w:rPr>
            <w:rStyle w:val="Hyperlink"/>
            <w:i/>
          </w:rPr>
          <w:t>Appendix S</w:t>
        </w:r>
      </w:hyperlink>
      <w:r>
        <w:t>for further details.</w:t>
      </w:r>
    </w:p>
    <w:p w14:paraId="3DF91C7E" w14:textId="77777777" w:rsidR="000D07EA" w:rsidRDefault="00BE7C89">
      <w:pPr>
        <w:pStyle w:val="Heading7"/>
        <w:rPr>
          <w:b/>
        </w:rPr>
      </w:pPr>
      <w:bookmarkStart w:id="668" w:name="_Ref461553081"/>
      <w:r>
        <w:rPr>
          <w:b/>
        </w:rPr>
        <w:t xml:space="preserve">Upon connection to the Business Complete plans </w:t>
      </w:r>
      <w:r>
        <w:rPr>
          <w:b/>
          <w:i/>
        </w:rPr>
        <w:t>you</w:t>
      </w:r>
      <w:r>
        <w:rPr>
          <w:b/>
        </w:rPr>
        <w:t xml:space="preserve"> will receive Unlimited VoiceMail.</w:t>
      </w:r>
      <w:bookmarkEnd w:id="668"/>
      <w:r>
        <w:rPr>
          <w:b/>
        </w:rPr>
        <w:t xml:space="preserve"> </w:t>
      </w:r>
    </w:p>
    <w:p w14:paraId="18C6E870" w14:textId="77777777" w:rsidR="000D07EA" w:rsidRDefault="00BE7C89">
      <w:pPr>
        <w:pStyle w:val="BodyText"/>
        <w:ind w:left="1440"/>
      </w:pPr>
      <w:r>
        <w:t>Unlimited VoiceMail applies to VoiceMail Deposits and Retrievals, within Australia. Subject to Fair Go Policy (</w:t>
      </w:r>
      <w:hyperlink r:id="rId479" w:history="1">
        <w:r>
          <w:rPr>
            <w:rStyle w:val="Hyperlink"/>
            <w:i/>
          </w:rPr>
          <w:t>Appendix S</w:t>
        </w:r>
      </w:hyperlink>
      <w:r>
        <w:t>).</w:t>
      </w:r>
    </w:p>
    <w:p w14:paraId="21CFE249" w14:textId="77777777" w:rsidR="000D07EA" w:rsidRDefault="00BE7C89">
      <w:pPr>
        <w:pStyle w:val="Heading7"/>
        <w:rPr>
          <w:b/>
        </w:rPr>
      </w:pPr>
      <w:r>
        <w:rPr>
          <w:b/>
        </w:rPr>
        <w:t>Other Business Complete Plans Conditions and Offers</w:t>
      </w:r>
    </w:p>
    <w:p w14:paraId="3F28DCF1" w14:textId="77777777" w:rsidR="000D07EA" w:rsidRDefault="00BE7C89">
      <w:pPr>
        <w:pStyle w:val="Heading8"/>
      </w:pPr>
      <w:r>
        <w:t>The Fair Go Policy (</w:t>
      </w:r>
      <w:hyperlink r:id="rId480" w:history="1">
        <w:r>
          <w:rPr>
            <w:rStyle w:val="Hyperlink"/>
            <w:i/>
          </w:rPr>
          <w:t>Appendix S</w:t>
        </w:r>
      </w:hyperlink>
      <w:r>
        <w:t>) applies to Voice Over Internet Protocol (VOIP) services up to 10 megabytes per month</w:t>
      </w:r>
      <w:r>
        <w:rPr>
          <w:rFonts w:ascii="DIN" w:hAnsi="DIN" w:cs="DIN"/>
          <w:color w:val="000000"/>
          <w:sz w:val="18"/>
        </w:rPr>
        <w:t>.</w:t>
      </w:r>
      <w:r>
        <w:t xml:space="preserve"> Please refer to </w:t>
      </w:r>
      <w:hyperlink r:id="rId481" w:history="1">
        <w:r w:rsidR="008D6257">
          <w:rPr>
            <w:rStyle w:val="Hyperlink"/>
            <w:i/>
          </w:rPr>
          <w:t>Appendix S</w:t>
        </w:r>
      </w:hyperlink>
      <w:r>
        <w:rPr>
          <w:i/>
        </w:rPr>
        <w:t>.</w:t>
      </w:r>
    </w:p>
    <w:p w14:paraId="1DB0DBE6" w14:textId="77777777" w:rsidR="000D07EA" w:rsidRDefault="00BE7C89">
      <w:pPr>
        <w:pStyle w:val="Heading8"/>
      </w:pPr>
      <w:r>
        <w:t xml:space="preserve">Voice Over Internet Protocol (VOIP) services will be charged at 1.5c per kilobyte of usage, capped at $9.90 per month until </w:t>
      </w:r>
      <w:r>
        <w:rPr>
          <w:i/>
        </w:rPr>
        <w:t xml:space="preserve">you </w:t>
      </w:r>
      <w:r>
        <w:t xml:space="preserve">reach 5 megabytes of usage in that month, after which </w:t>
      </w:r>
      <w:r>
        <w:rPr>
          <w:i/>
        </w:rPr>
        <w:t xml:space="preserve">you </w:t>
      </w:r>
      <w:r>
        <w:t>will be charged at 0.3c per kilobyte of usage for the remainder of that month.</w:t>
      </w:r>
    </w:p>
    <w:p w14:paraId="24F0D1EF" w14:textId="77777777" w:rsidR="000D07EA" w:rsidRDefault="00BE7C89">
      <w:pPr>
        <w:pStyle w:val="Heading8"/>
      </w:pPr>
      <w:r>
        <w:t xml:space="preserve"> Some handsets are locked to </w:t>
      </w:r>
      <w:r>
        <w:rPr>
          <w:i/>
        </w:rPr>
        <w:t xml:space="preserve">our </w:t>
      </w:r>
      <w:r>
        <w:t xml:space="preserve">network. If </w:t>
      </w:r>
      <w:r>
        <w:rPr>
          <w:i/>
        </w:rPr>
        <w:t>you</w:t>
      </w:r>
      <w:r>
        <w:t xml:space="preserve"> wish to unlock one of these handsets </w:t>
      </w:r>
      <w:r>
        <w:rPr>
          <w:i/>
        </w:rPr>
        <w:t>you</w:t>
      </w:r>
      <w:r>
        <w:t xml:space="preserve"> should call </w:t>
      </w:r>
      <w:r>
        <w:rPr>
          <w:i/>
        </w:rPr>
        <w:t xml:space="preserve">our </w:t>
      </w:r>
      <w:r>
        <w:t xml:space="preserve">Customer Service centre. </w:t>
      </w:r>
    </w:p>
    <w:p w14:paraId="45B28D53" w14:textId="77777777" w:rsidR="000D07EA" w:rsidRDefault="00BE7C89">
      <w:pPr>
        <w:pStyle w:val="Heading8"/>
      </w:pPr>
      <w:r>
        <w:lastRenderedPageBreak/>
        <w:t xml:space="preserve">Available features will vary depending on </w:t>
      </w:r>
      <w:r>
        <w:rPr>
          <w:i/>
        </w:rPr>
        <w:t>your</w:t>
      </w:r>
      <w:r>
        <w:t xml:space="preserve"> handset or software version.</w:t>
      </w:r>
    </w:p>
    <w:p w14:paraId="6DE47846" w14:textId="77777777" w:rsidR="000D07EA" w:rsidRDefault="00BE7C89">
      <w:pPr>
        <w:pStyle w:val="Heading7"/>
        <w:rPr>
          <w:b/>
        </w:rPr>
      </w:pPr>
      <w:r>
        <w:rPr>
          <w:b/>
        </w:rPr>
        <w:t>Eligible Calls and Pricing Plans</w:t>
      </w:r>
    </w:p>
    <w:p w14:paraId="70E70E70" w14:textId="77777777" w:rsidR="000D07EA" w:rsidRDefault="00BE7C89">
      <w:pPr>
        <w:pStyle w:val="Heading8"/>
      </w:pPr>
      <w:r>
        <w:t xml:space="preserve">Table 1A below indicates whether particular call and message types are an 'eligible call and text' which count towards the 'Included Value' and Minimum Monthly Charge of </w:t>
      </w:r>
      <w:r>
        <w:rPr>
          <w:i/>
        </w:rPr>
        <w:t xml:space="preserve">your </w:t>
      </w:r>
      <w:r>
        <w:t xml:space="preserve">selected Business Complete Plan. </w:t>
      </w:r>
    </w:p>
    <w:p w14:paraId="6B21C603" w14:textId="77777777" w:rsidR="000D07EA" w:rsidRDefault="00BE7C89">
      <w:pPr>
        <w:pStyle w:val="Heading8"/>
      </w:pPr>
      <w:r>
        <w:t xml:space="preserve">Table 1B below indicates whether a particular data type is 'eligible data usage' which counts towards the data value of </w:t>
      </w:r>
      <w:r>
        <w:rPr>
          <w:i/>
        </w:rPr>
        <w:t xml:space="preserve">your </w:t>
      </w:r>
      <w:r>
        <w:t xml:space="preserve">selected Business Complete Plan. </w:t>
      </w:r>
    </w:p>
    <w:p w14:paraId="09B64D84" w14:textId="77777777" w:rsidR="000D07EA" w:rsidRDefault="00BE7C89">
      <w:pPr>
        <w:pStyle w:val="Heading8"/>
      </w:pPr>
      <w:r>
        <w:t xml:space="preserve">Table 2A below contains details of each Business Complete Plan. </w:t>
      </w:r>
    </w:p>
    <w:p w14:paraId="31C86E23" w14:textId="77777777" w:rsidR="000D07EA" w:rsidRDefault="00BE7C89">
      <w:pPr>
        <w:pStyle w:val="BodyText"/>
        <w:ind w:left="720"/>
        <w:rPr>
          <w:b/>
        </w:rPr>
      </w:pPr>
      <w:r>
        <w:rPr>
          <w:b/>
        </w:rPr>
        <w:t>Table 1A –- Eligible Calls and Text for the Included Value</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875"/>
        <w:gridCol w:w="2520"/>
      </w:tblGrid>
      <w:tr w:rsidR="000D07EA" w14:paraId="73AD20CA" w14:textId="77777777">
        <w:trPr>
          <w:trHeight w:val="20"/>
          <w:tblHeader/>
        </w:trPr>
        <w:tc>
          <w:tcPr>
            <w:tcW w:w="5875" w:type="dxa"/>
          </w:tcPr>
          <w:p w14:paraId="7135FC7E" w14:textId="77777777" w:rsidR="000D07EA" w:rsidRDefault="00BE7C89">
            <w:pPr>
              <w:pStyle w:val="BodyText"/>
              <w:spacing w:before="100" w:after="100"/>
              <w:rPr>
                <w:b/>
                <w:szCs w:val="20"/>
              </w:rPr>
            </w:pPr>
            <w:r>
              <w:rPr>
                <w:b/>
                <w:szCs w:val="20"/>
              </w:rPr>
              <w:t>Call Type</w:t>
            </w:r>
          </w:p>
        </w:tc>
        <w:tc>
          <w:tcPr>
            <w:tcW w:w="2520" w:type="dxa"/>
          </w:tcPr>
          <w:p w14:paraId="3F246E6D" w14:textId="77777777" w:rsidR="000D07EA" w:rsidRDefault="00BE7C89">
            <w:pPr>
              <w:pStyle w:val="BodyText"/>
              <w:spacing w:before="100" w:after="100"/>
              <w:rPr>
                <w:b/>
                <w:szCs w:val="20"/>
              </w:rPr>
            </w:pPr>
            <w:r>
              <w:rPr>
                <w:b/>
                <w:szCs w:val="20"/>
              </w:rPr>
              <w:t xml:space="preserve">Eligible Call </w:t>
            </w:r>
          </w:p>
        </w:tc>
      </w:tr>
      <w:tr w:rsidR="000D07EA" w14:paraId="2CA30A38" w14:textId="77777777">
        <w:trPr>
          <w:trHeight w:val="58"/>
        </w:trPr>
        <w:tc>
          <w:tcPr>
            <w:tcW w:w="5875" w:type="dxa"/>
          </w:tcPr>
          <w:p w14:paraId="53CFD360" w14:textId="77777777" w:rsidR="000D07EA" w:rsidRDefault="00BE7C89">
            <w:pPr>
              <w:pStyle w:val="BodyText"/>
              <w:spacing w:before="100" w:after="100"/>
              <w:rPr>
                <w:szCs w:val="20"/>
              </w:rPr>
            </w:pPr>
            <w:r>
              <w:rPr>
                <w:szCs w:val="20"/>
              </w:rPr>
              <w:t>Standard National Voice Calls</w:t>
            </w:r>
          </w:p>
        </w:tc>
        <w:tc>
          <w:tcPr>
            <w:tcW w:w="2520" w:type="dxa"/>
          </w:tcPr>
          <w:p w14:paraId="66ECFC97" w14:textId="77777777" w:rsidR="000D07EA" w:rsidRDefault="00BE7C89">
            <w:pPr>
              <w:pStyle w:val="BodyText"/>
              <w:spacing w:before="100" w:after="100"/>
              <w:rPr>
                <w:szCs w:val="20"/>
              </w:rPr>
            </w:pPr>
            <w:r>
              <w:rPr>
                <w:szCs w:val="20"/>
              </w:rPr>
              <w:t>Yes</w:t>
            </w:r>
          </w:p>
        </w:tc>
      </w:tr>
      <w:tr w:rsidR="000D07EA" w14:paraId="3FE5EE70" w14:textId="77777777">
        <w:trPr>
          <w:trHeight w:val="58"/>
        </w:trPr>
        <w:tc>
          <w:tcPr>
            <w:tcW w:w="5875" w:type="dxa"/>
          </w:tcPr>
          <w:p w14:paraId="05CBC643" w14:textId="77777777" w:rsidR="000D07EA" w:rsidRDefault="00BE7C89">
            <w:pPr>
              <w:pStyle w:val="BodyText"/>
              <w:spacing w:before="100" w:after="100"/>
              <w:rPr>
                <w:szCs w:val="20"/>
              </w:rPr>
            </w:pPr>
            <w:r>
              <w:rPr>
                <w:szCs w:val="20"/>
              </w:rPr>
              <w:t>International Voice Calls</w:t>
            </w:r>
          </w:p>
          <w:p w14:paraId="7581A97D" w14:textId="77777777" w:rsidR="000D07EA" w:rsidRDefault="00BE7C89">
            <w:pPr>
              <w:pStyle w:val="BodyText"/>
              <w:spacing w:before="100" w:after="100"/>
              <w:rPr>
                <w:szCs w:val="20"/>
              </w:rPr>
            </w:pPr>
            <w:r>
              <w:rPr>
                <w:snapToGrid w:val="0"/>
                <w:szCs w:val="20"/>
              </w:rPr>
              <w:t>(includes calls to national fixed or mobile services that then divert/switch or re-route overseas)</w:t>
            </w:r>
          </w:p>
        </w:tc>
        <w:tc>
          <w:tcPr>
            <w:tcW w:w="2520" w:type="dxa"/>
          </w:tcPr>
          <w:p w14:paraId="0A50269C" w14:textId="77777777" w:rsidR="000D07EA" w:rsidRDefault="00BE7C89">
            <w:pPr>
              <w:pStyle w:val="BodyText"/>
              <w:spacing w:before="100" w:after="100"/>
              <w:rPr>
                <w:szCs w:val="20"/>
              </w:rPr>
            </w:pPr>
            <w:r>
              <w:rPr>
                <w:szCs w:val="20"/>
              </w:rPr>
              <w:t xml:space="preserve">No </w:t>
            </w:r>
          </w:p>
        </w:tc>
      </w:tr>
      <w:tr w:rsidR="000D07EA" w14:paraId="788DB7AB" w14:textId="77777777">
        <w:trPr>
          <w:trHeight w:val="20"/>
        </w:trPr>
        <w:tc>
          <w:tcPr>
            <w:tcW w:w="5875" w:type="dxa"/>
          </w:tcPr>
          <w:p w14:paraId="72F90844" w14:textId="77777777" w:rsidR="000D07EA" w:rsidRDefault="00BE7C89">
            <w:pPr>
              <w:pStyle w:val="BodyText"/>
              <w:spacing w:before="100" w:after="100"/>
              <w:rPr>
                <w:szCs w:val="20"/>
              </w:rPr>
            </w:pPr>
            <w:r>
              <w:rPr>
                <w:szCs w:val="20"/>
              </w:rPr>
              <w:t>Standard National Video Calls</w:t>
            </w:r>
          </w:p>
        </w:tc>
        <w:tc>
          <w:tcPr>
            <w:tcW w:w="2520" w:type="dxa"/>
          </w:tcPr>
          <w:p w14:paraId="56BF00C7" w14:textId="77777777" w:rsidR="000D07EA" w:rsidRDefault="00BE7C89">
            <w:pPr>
              <w:pStyle w:val="BodyText"/>
              <w:spacing w:before="100" w:after="100"/>
              <w:rPr>
                <w:szCs w:val="20"/>
              </w:rPr>
            </w:pPr>
            <w:r>
              <w:rPr>
                <w:szCs w:val="20"/>
              </w:rPr>
              <w:t>No</w:t>
            </w:r>
          </w:p>
        </w:tc>
      </w:tr>
      <w:tr w:rsidR="000D07EA" w14:paraId="4E43F327" w14:textId="77777777">
        <w:trPr>
          <w:trHeight w:val="20"/>
        </w:trPr>
        <w:tc>
          <w:tcPr>
            <w:tcW w:w="5875" w:type="dxa"/>
          </w:tcPr>
          <w:p w14:paraId="6FCC121B" w14:textId="77777777" w:rsidR="000D07EA" w:rsidRDefault="00BE7C89">
            <w:pPr>
              <w:pStyle w:val="BodyText"/>
              <w:spacing w:before="100" w:after="100"/>
              <w:rPr>
                <w:szCs w:val="20"/>
              </w:rPr>
            </w:pPr>
            <w:r>
              <w:rPr>
                <w:szCs w:val="20"/>
              </w:rPr>
              <w:t>International Video Calls</w:t>
            </w:r>
          </w:p>
          <w:p w14:paraId="02DF80BC" w14:textId="77777777" w:rsidR="000D07EA" w:rsidRDefault="00BE7C89">
            <w:pPr>
              <w:pStyle w:val="BodyText"/>
              <w:spacing w:before="100" w:after="100"/>
              <w:rPr>
                <w:szCs w:val="20"/>
              </w:rPr>
            </w:pPr>
            <w:r>
              <w:rPr>
                <w:snapToGrid w:val="0"/>
                <w:szCs w:val="20"/>
              </w:rPr>
              <w:t>(includes calls to national fixed or mobile services that then divert/switch or re-route overseas)</w:t>
            </w:r>
          </w:p>
        </w:tc>
        <w:tc>
          <w:tcPr>
            <w:tcW w:w="2520" w:type="dxa"/>
          </w:tcPr>
          <w:p w14:paraId="535A6790" w14:textId="77777777" w:rsidR="000D07EA" w:rsidRDefault="00BE7C89">
            <w:pPr>
              <w:pStyle w:val="BodyText"/>
              <w:spacing w:before="100" w:after="100"/>
              <w:rPr>
                <w:szCs w:val="20"/>
              </w:rPr>
            </w:pPr>
            <w:r>
              <w:rPr>
                <w:szCs w:val="20"/>
              </w:rPr>
              <w:t>No</w:t>
            </w:r>
          </w:p>
        </w:tc>
      </w:tr>
      <w:tr w:rsidR="000D07EA" w14:paraId="652DA427" w14:textId="77777777">
        <w:trPr>
          <w:trHeight w:val="20"/>
        </w:trPr>
        <w:tc>
          <w:tcPr>
            <w:tcW w:w="5875" w:type="dxa"/>
          </w:tcPr>
          <w:p w14:paraId="1FD408F8" w14:textId="77777777" w:rsidR="000D07EA" w:rsidRDefault="00BE7C89">
            <w:pPr>
              <w:pStyle w:val="BodyText"/>
              <w:spacing w:before="100" w:after="100"/>
              <w:rPr>
                <w:szCs w:val="20"/>
              </w:rPr>
            </w:pPr>
            <w:r>
              <w:rPr>
                <w:szCs w:val="20"/>
              </w:rPr>
              <w:t>Standard National SMS</w:t>
            </w:r>
          </w:p>
        </w:tc>
        <w:tc>
          <w:tcPr>
            <w:tcW w:w="2520" w:type="dxa"/>
          </w:tcPr>
          <w:p w14:paraId="2468D7DB" w14:textId="77777777" w:rsidR="000D07EA" w:rsidRDefault="00BE7C89">
            <w:pPr>
              <w:pStyle w:val="BodyText"/>
              <w:spacing w:before="100" w:after="100"/>
              <w:rPr>
                <w:szCs w:val="20"/>
              </w:rPr>
            </w:pPr>
            <w:r>
              <w:rPr>
                <w:szCs w:val="20"/>
              </w:rPr>
              <w:t>Yes</w:t>
            </w:r>
          </w:p>
        </w:tc>
      </w:tr>
      <w:tr w:rsidR="000D07EA" w14:paraId="7DE89EED" w14:textId="77777777">
        <w:trPr>
          <w:trHeight w:val="20"/>
        </w:trPr>
        <w:tc>
          <w:tcPr>
            <w:tcW w:w="5875" w:type="dxa"/>
          </w:tcPr>
          <w:p w14:paraId="22FF63D5" w14:textId="77777777" w:rsidR="000D07EA" w:rsidRDefault="00BE7C89">
            <w:pPr>
              <w:pStyle w:val="BodyText"/>
              <w:spacing w:before="100" w:after="100"/>
              <w:rPr>
                <w:szCs w:val="20"/>
              </w:rPr>
            </w:pPr>
            <w:r>
              <w:rPr>
                <w:szCs w:val="20"/>
              </w:rPr>
              <w:t>International SMS</w:t>
            </w:r>
          </w:p>
        </w:tc>
        <w:tc>
          <w:tcPr>
            <w:tcW w:w="2520" w:type="dxa"/>
          </w:tcPr>
          <w:p w14:paraId="3AA598ED" w14:textId="77777777" w:rsidR="000D07EA" w:rsidRDefault="00BE7C89">
            <w:pPr>
              <w:pStyle w:val="BodyText"/>
              <w:spacing w:before="100" w:after="100"/>
              <w:rPr>
                <w:szCs w:val="20"/>
              </w:rPr>
            </w:pPr>
            <w:r>
              <w:rPr>
                <w:szCs w:val="20"/>
              </w:rPr>
              <w:t>No</w:t>
            </w:r>
          </w:p>
        </w:tc>
      </w:tr>
      <w:tr w:rsidR="000D07EA" w14:paraId="6177015C" w14:textId="77777777">
        <w:trPr>
          <w:trHeight w:val="20"/>
        </w:trPr>
        <w:tc>
          <w:tcPr>
            <w:tcW w:w="5875" w:type="dxa"/>
          </w:tcPr>
          <w:p w14:paraId="6025DA57" w14:textId="77777777" w:rsidR="000D07EA" w:rsidRDefault="00BE7C89">
            <w:pPr>
              <w:pStyle w:val="BodyText"/>
              <w:spacing w:before="100" w:after="100"/>
              <w:rPr>
                <w:szCs w:val="20"/>
              </w:rPr>
            </w:pPr>
            <w:r>
              <w:rPr>
                <w:szCs w:val="20"/>
              </w:rPr>
              <w:t>Voicemail Deposit and Retrievals</w:t>
            </w:r>
          </w:p>
        </w:tc>
        <w:tc>
          <w:tcPr>
            <w:tcW w:w="2520" w:type="dxa"/>
          </w:tcPr>
          <w:p w14:paraId="27361958" w14:textId="77777777" w:rsidR="000D07EA" w:rsidRDefault="00BE7C89">
            <w:pPr>
              <w:pStyle w:val="BodyText"/>
              <w:spacing w:before="100" w:after="100"/>
              <w:rPr>
                <w:szCs w:val="20"/>
              </w:rPr>
            </w:pPr>
            <w:r>
              <w:rPr>
                <w:szCs w:val="20"/>
              </w:rPr>
              <w:t>Yes</w:t>
            </w:r>
          </w:p>
        </w:tc>
      </w:tr>
      <w:tr w:rsidR="000D07EA" w14:paraId="56086DF4" w14:textId="77777777">
        <w:trPr>
          <w:trHeight w:val="20"/>
        </w:trPr>
        <w:tc>
          <w:tcPr>
            <w:tcW w:w="5875" w:type="dxa"/>
          </w:tcPr>
          <w:p w14:paraId="2D7C0FB3" w14:textId="77777777" w:rsidR="000D07EA" w:rsidRDefault="00BE7C89">
            <w:pPr>
              <w:pStyle w:val="BodyText"/>
              <w:spacing w:before="100" w:after="100"/>
              <w:rPr>
                <w:szCs w:val="20"/>
              </w:rPr>
            </w:pPr>
            <w:r>
              <w:rPr>
                <w:szCs w:val="20"/>
              </w:rPr>
              <w:t>National Diversions</w:t>
            </w:r>
          </w:p>
        </w:tc>
        <w:tc>
          <w:tcPr>
            <w:tcW w:w="2520" w:type="dxa"/>
          </w:tcPr>
          <w:p w14:paraId="0B730160" w14:textId="77777777" w:rsidR="000D07EA" w:rsidRDefault="00BE7C89">
            <w:pPr>
              <w:pStyle w:val="BodyText"/>
              <w:spacing w:before="100" w:after="100"/>
              <w:rPr>
                <w:szCs w:val="20"/>
              </w:rPr>
            </w:pPr>
            <w:r>
              <w:rPr>
                <w:szCs w:val="20"/>
              </w:rPr>
              <w:t>Yes</w:t>
            </w:r>
          </w:p>
        </w:tc>
      </w:tr>
      <w:tr w:rsidR="000D07EA" w14:paraId="7C2D3DC1" w14:textId="77777777">
        <w:trPr>
          <w:trHeight w:val="20"/>
        </w:trPr>
        <w:tc>
          <w:tcPr>
            <w:tcW w:w="5875" w:type="dxa"/>
          </w:tcPr>
          <w:p w14:paraId="1C6F1EAE" w14:textId="77777777" w:rsidR="000D07EA" w:rsidRDefault="00BE7C89">
            <w:pPr>
              <w:pStyle w:val="BodyText"/>
              <w:spacing w:before="100" w:after="100"/>
              <w:rPr>
                <w:szCs w:val="20"/>
              </w:rPr>
            </w:pPr>
            <w:r>
              <w:rPr>
                <w:szCs w:val="20"/>
              </w:rPr>
              <w:t>International Roaming &amp; Diversions</w:t>
            </w:r>
          </w:p>
        </w:tc>
        <w:tc>
          <w:tcPr>
            <w:tcW w:w="2520" w:type="dxa"/>
          </w:tcPr>
          <w:p w14:paraId="6DF8C868" w14:textId="77777777" w:rsidR="000D07EA" w:rsidRDefault="00BE7C89">
            <w:pPr>
              <w:pStyle w:val="BodyText"/>
              <w:spacing w:before="100" w:after="100"/>
              <w:rPr>
                <w:szCs w:val="20"/>
              </w:rPr>
            </w:pPr>
            <w:r>
              <w:rPr>
                <w:szCs w:val="20"/>
              </w:rPr>
              <w:t>No</w:t>
            </w:r>
          </w:p>
        </w:tc>
      </w:tr>
      <w:tr w:rsidR="000D07EA" w14:paraId="784E40DB" w14:textId="77777777">
        <w:trPr>
          <w:trHeight w:val="20"/>
        </w:trPr>
        <w:tc>
          <w:tcPr>
            <w:tcW w:w="5875" w:type="dxa"/>
          </w:tcPr>
          <w:p w14:paraId="6EA71E9B" w14:textId="77777777" w:rsidR="000D07EA" w:rsidRDefault="00BE7C89">
            <w:pPr>
              <w:pStyle w:val="BodyText"/>
              <w:spacing w:before="100" w:after="100"/>
              <w:rPr>
                <w:szCs w:val="20"/>
              </w:rPr>
            </w:pPr>
            <w:r>
              <w:rPr>
                <w:szCs w:val="20"/>
              </w:rPr>
              <w:t>Premium SMS</w:t>
            </w:r>
          </w:p>
        </w:tc>
        <w:tc>
          <w:tcPr>
            <w:tcW w:w="2520" w:type="dxa"/>
          </w:tcPr>
          <w:p w14:paraId="1C4E0623" w14:textId="77777777" w:rsidR="000D07EA" w:rsidRDefault="00BE7C89">
            <w:pPr>
              <w:pStyle w:val="BodyText"/>
              <w:spacing w:before="100" w:after="100"/>
              <w:rPr>
                <w:szCs w:val="20"/>
              </w:rPr>
            </w:pPr>
            <w:r>
              <w:rPr>
                <w:szCs w:val="20"/>
              </w:rPr>
              <w:t>No</w:t>
            </w:r>
          </w:p>
        </w:tc>
      </w:tr>
      <w:tr w:rsidR="000D07EA" w14:paraId="2B3B7CC8" w14:textId="77777777">
        <w:trPr>
          <w:trHeight w:val="20"/>
        </w:trPr>
        <w:tc>
          <w:tcPr>
            <w:tcW w:w="5875" w:type="dxa"/>
          </w:tcPr>
          <w:p w14:paraId="6D1B1116" w14:textId="77777777" w:rsidR="000D07EA" w:rsidRDefault="00BE7C89">
            <w:pPr>
              <w:pStyle w:val="BodyText"/>
              <w:spacing w:before="100" w:after="100"/>
              <w:rPr>
                <w:szCs w:val="20"/>
              </w:rPr>
            </w:pPr>
            <w:r>
              <w:rPr>
                <w:szCs w:val="20"/>
              </w:rPr>
              <w:t xml:space="preserve">Premium Video </w:t>
            </w:r>
          </w:p>
        </w:tc>
        <w:tc>
          <w:tcPr>
            <w:tcW w:w="2520" w:type="dxa"/>
          </w:tcPr>
          <w:p w14:paraId="426B58D3" w14:textId="77777777" w:rsidR="000D07EA" w:rsidRDefault="00BE7C89">
            <w:pPr>
              <w:pStyle w:val="BodyText"/>
              <w:spacing w:before="100" w:after="100"/>
              <w:rPr>
                <w:szCs w:val="20"/>
              </w:rPr>
            </w:pPr>
            <w:r>
              <w:rPr>
                <w:szCs w:val="20"/>
              </w:rPr>
              <w:t>No</w:t>
            </w:r>
          </w:p>
        </w:tc>
      </w:tr>
      <w:tr w:rsidR="000D07EA" w14:paraId="5AF63F50" w14:textId="77777777">
        <w:trPr>
          <w:trHeight w:val="20"/>
        </w:trPr>
        <w:tc>
          <w:tcPr>
            <w:tcW w:w="5875" w:type="dxa"/>
          </w:tcPr>
          <w:p w14:paraId="242ECE3D" w14:textId="77777777" w:rsidR="000D07EA" w:rsidRDefault="00BE7C89">
            <w:pPr>
              <w:pStyle w:val="BodyText"/>
              <w:spacing w:before="100" w:after="100"/>
              <w:rPr>
                <w:szCs w:val="20"/>
              </w:rPr>
            </w:pPr>
            <w:r>
              <w:rPr>
                <w:szCs w:val="20"/>
              </w:rPr>
              <w:t xml:space="preserve">Video Conferencing </w:t>
            </w:r>
          </w:p>
        </w:tc>
        <w:tc>
          <w:tcPr>
            <w:tcW w:w="2520" w:type="dxa"/>
          </w:tcPr>
          <w:p w14:paraId="32AABBE0" w14:textId="77777777" w:rsidR="000D07EA" w:rsidRDefault="00BE7C89">
            <w:pPr>
              <w:pStyle w:val="BodyText"/>
              <w:spacing w:before="100" w:after="100"/>
              <w:rPr>
                <w:szCs w:val="20"/>
              </w:rPr>
            </w:pPr>
            <w:r>
              <w:rPr>
                <w:szCs w:val="20"/>
              </w:rPr>
              <w:t>No</w:t>
            </w:r>
          </w:p>
        </w:tc>
      </w:tr>
      <w:tr w:rsidR="000D07EA" w14:paraId="62C87DE1" w14:textId="77777777">
        <w:trPr>
          <w:trHeight w:val="20"/>
        </w:trPr>
        <w:tc>
          <w:tcPr>
            <w:tcW w:w="5875" w:type="dxa"/>
          </w:tcPr>
          <w:p w14:paraId="33E7D015" w14:textId="77777777" w:rsidR="000D07EA" w:rsidRDefault="00BE7C89">
            <w:pPr>
              <w:pStyle w:val="BodyText"/>
              <w:spacing w:before="100" w:after="100"/>
              <w:rPr>
                <w:szCs w:val="20"/>
              </w:rPr>
            </w:pPr>
            <w:r>
              <w:rPr>
                <w:szCs w:val="20"/>
              </w:rPr>
              <w:t>Standard National MMS</w:t>
            </w:r>
          </w:p>
        </w:tc>
        <w:tc>
          <w:tcPr>
            <w:tcW w:w="2520" w:type="dxa"/>
          </w:tcPr>
          <w:p w14:paraId="5F267E4F" w14:textId="77777777" w:rsidR="000D07EA" w:rsidRDefault="00BE7C89">
            <w:pPr>
              <w:pStyle w:val="BodyText"/>
              <w:spacing w:before="100" w:after="100"/>
              <w:rPr>
                <w:szCs w:val="20"/>
              </w:rPr>
            </w:pPr>
            <w:r>
              <w:rPr>
                <w:szCs w:val="20"/>
              </w:rPr>
              <w:t>Yes</w:t>
            </w:r>
          </w:p>
        </w:tc>
      </w:tr>
      <w:tr w:rsidR="000D07EA" w14:paraId="4FA8102A" w14:textId="77777777">
        <w:trPr>
          <w:trHeight w:val="20"/>
        </w:trPr>
        <w:tc>
          <w:tcPr>
            <w:tcW w:w="5875" w:type="dxa"/>
          </w:tcPr>
          <w:p w14:paraId="40921122" w14:textId="77777777" w:rsidR="000D07EA" w:rsidRDefault="00BE7C89">
            <w:pPr>
              <w:pStyle w:val="BodyText"/>
              <w:spacing w:before="100" w:after="100"/>
              <w:rPr>
                <w:szCs w:val="20"/>
              </w:rPr>
            </w:pPr>
            <w:r>
              <w:rPr>
                <w:szCs w:val="20"/>
              </w:rPr>
              <w:t>International MMS</w:t>
            </w:r>
          </w:p>
        </w:tc>
        <w:tc>
          <w:tcPr>
            <w:tcW w:w="2520" w:type="dxa"/>
          </w:tcPr>
          <w:p w14:paraId="3EA80A83" w14:textId="77777777" w:rsidR="000D07EA" w:rsidRDefault="00BE7C89">
            <w:pPr>
              <w:pStyle w:val="BodyText"/>
              <w:spacing w:before="100" w:after="100"/>
              <w:rPr>
                <w:szCs w:val="20"/>
              </w:rPr>
            </w:pPr>
            <w:r>
              <w:rPr>
                <w:szCs w:val="20"/>
              </w:rPr>
              <w:t>No</w:t>
            </w:r>
          </w:p>
        </w:tc>
      </w:tr>
      <w:tr w:rsidR="000D07EA" w14:paraId="5D5A4ADC" w14:textId="77777777">
        <w:trPr>
          <w:trHeight w:val="20"/>
        </w:trPr>
        <w:tc>
          <w:tcPr>
            <w:tcW w:w="5875" w:type="dxa"/>
          </w:tcPr>
          <w:p w14:paraId="7D810D85" w14:textId="77777777" w:rsidR="000D07EA" w:rsidRDefault="00BE7C89">
            <w:pPr>
              <w:pStyle w:val="BodyText"/>
              <w:spacing w:before="100" w:after="100"/>
              <w:rPr>
                <w:szCs w:val="20"/>
              </w:rPr>
            </w:pPr>
            <w:r>
              <w:rPr>
                <w:szCs w:val="20"/>
              </w:rPr>
              <w:t>Optus iZoo Browsing</w:t>
            </w:r>
          </w:p>
        </w:tc>
        <w:tc>
          <w:tcPr>
            <w:tcW w:w="2520" w:type="dxa"/>
          </w:tcPr>
          <w:p w14:paraId="5AF0A798" w14:textId="77777777" w:rsidR="000D07EA" w:rsidRDefault="00BE7C89">
            <w:pPr>
              <w:pStyle w:val="BodyText"/>
              <w:spacing w:before="100" w:after="100"/>
              <w:rPr>
                <w:szCs w:val="20"/>
              </w:rPr>
            </w:pPr>
            <w:r>
              <w:rPr>
                <w:szCs w:val="20"/>
              </w:rPr>
              <w:t>No</w:t>
            </w:r>
          </w:p>
        </w:tc>
      </w:tr>
      <w:tr w:rsidR="000D07EA" w14:paraId="63F46CB9" w14:textId="77777777">
        <w:trPr>
          <w:trHeight w:val="20"/>
        </w:trPr>
        <w:tc>
          <w:tcPr>
            <w:tcW w:w="5875" w:type="dxa"/>
          </w:tcPr>
          <w:p w14:paraId="6BF6AF30" w14:textId="77777777" w:rsidR="000D07EA" w:rsidRDefault="00BE7C89">
            <w:pPr>
              <w:pStyle w:val="BodyText"/>
              <w:spacing w:before="100" w:after="100"/>
              <w:rPr>
                <w:szCs w:val="20"/>
              </w:rPr>
            </w:pPr>
            <w:r>
              <w:rPr>
                <w:szCs w:val="20"/>
              </w:rPr>
              <w:t>Optus Zoo iZoo Downloads</w:t>
            </w:r>
          </w:p>
        </w:tc>
        <w:tc>
          <w:tcPr>
            <w:tcW w:w="2520" w:type="dxa"/>
          </w:tcPr>
          <w:p w14:paraId="71ABB966" w14:textId="77777777" w:rsidR="000D07EA" w:rsidRDefault="00BE7C89">
            <w:pPr>
              <w:pStyle w:val="BodyText"/>
              <w:spacing w:before="100" w:after="100"/>
              <w:rPr>
                <w:szCs w:val="20"/>
              </w:rPr>
            </w:pPr>
            <w:r>
              <w:rPr>
                <w:szCs w:val="20"/>
              </w:rPr>
              <w:t>No</w:t>
            </w:r>
          </w:p>
        </w:tc>
      </w:tr>
      <w:tr w:rsidR="000D07EA" w14:paraId="5F825D55" w14:textId="77777777">
        <w:trPr>
          <w:trHeight w:val="20"/>
        </w:trPr>
        <w:tc>
          <w:tcPr>
            <w:tcW w:w="5875" w:type="dxa"/>
          </w:tcPr>
          <w:p w14:paraId="32FBD9FD" w14:textId="77777777" w:rsidR="000D07EA" w:rsidRDefault="00BE7C89">
            <w:pPr>
              <w:pStyle w:val="BodyText"/>
              <w:spacing w:before="100" w:after="100"/>
              <w:rPr>
                <w:szCs w:val="20"/>
              </w:rPr>
            </w:pPr>
            <w:r>
              <w:rPr>
                <w:szCs w:val="20"/>
              </w:rPr>
              <w:t>SMS to 966 (Zoo)</w:t>
            </w:r>
          </w:p>
        </w:tc>
        <w:tc>
          <w:tcPr>
            <w:tcW w:w="2520" w:type="dxa"/>
          </w:tcPr>
          <w:p w14:paraId="02E67E27" w14:textId="77777777" w:rsidR="000D07EA" w:rsidRDefault="00BE7C89">
            <w:pPr>
              <w:pStyle w:val="BodyText"/>
              <w:spacing w:before="100" w:after="100"/>
              <w:rPr>
                <w:szCs w:val="20"/>
              </w:rPr>
            </w:pPr>
            <w:r>
              <w:rPr>
                <w:szCs w:val="20"/>
              </w:rPr>
              <w:t>No</w:t>
            </w:r>
          </w:p>
        </w:tc>
      </w:tr>
      <w:tr w:rsidR="000D07EA" w14:paraId="107413C1" w14:textId="77777777">
        <w:trPr>
          <w:trHeight w:val="20"/>
        </w:trPr>
        <w:tc>
          <w:tcPr>
            <w:tcW w:w="5875" w:type="dxa"/>
          </w:tcPr>
          <w:p w14:paraId="27436471" w14:textId="77777777" w:rsidR="000D07EA" w:rsidRDefault="00BE7C89">
            <w:pPr>
              <w:pStyle w:val="BodyText"/>
              <w:spacing w:before="100" w:after="100"/>
              <w:rPr>
                <w:szCs w:val="20"/>
              </w:rPr>
            </w:pPr>
            <w:r>
              <w:rPr>
                <w:szCs w:val="20"/>
              </w:rPr>
              <w:t>Data used whilst roaming internationally</w:t>
            </w:r>
          </w:p>
        </w:tc>
        <w:tc>
          <w:tcPr>
            <w:tcW w:w="2520" w:type="dxa"/>
          </w:tcPr>
          <w:p w14:paraId="5F71165F" w14:textId="77777777" w:rsidR="000D07EA" w:rsidRDefault="00BE7C89">
            <w:pPr>
              <w:pStyle w:val="BodyText"/>
              <w:spacing w:before="100" w:after="100"/>
              <w:rPr>
                <w:szCs w:val="20"/>
              </w:rPr>
            </w:pPr>
            <w:r>
              <w:rPr>
                <w:szCs w:val="20"/>
              </w:rPr>
              <w:t>No</w:t>
            </w:r>
          </w:p>
        </w:tc>
      </w:tr>
      <w:tr w:rsidR="000D07EA" w14:paraId="3C236FBD" w14:textId="77777777">
        <w:trPr>
          <w:trHeight w:val="20"/>
        </w:trPr>
        <w:tc>
          <w:tcPr>
            <w:tcW w:w="5875" w:type="dxa"/>
          </w:tcPr>
          <w:p w14:paraId="50269367" w14:textId="77777777" w:rsidR="000D07EA" w:rsidRDefault="00BE7C89">
            <w:pPr>
              <w:pStyle w:val="BodyText"/>
              <w:spacing w:before="100" w:after="100"/>
              <w:rPr>
                <w:szCs w:val="20"/>
              </w:rPr>
            </w:pPr>
            <w:r>
              <w:rPr>
                <w:szCs w:val="20"/>
              </w:rPr>
              <w:t xml:space="preserve">Directory Assistance – 1223 </w:t>
            </w:r>
          </w:p>
        </w:tc>
        <w:tc>
          <w:tcPr>
            <w:tcW w:w="2520" w:type="dxa"/>
          </w:tcPr>
          <w:p w14:paraId="72F1AA69" w14:textId="77777777" w:rsidR="000D07EA" w:rsidRDefault="00BE7C89">
            <w:pPr>
              <w:pStyle w:val="BodyText"/>
              <w:spacing w:before="100" w:after="100"/>
              <w:rPr>
                <w:szCs w:val="20"/>
              </w:rPr>
            </w:pPr>
            <w:r>
              <w:rPr>
                <w:szCs w:val="20"/>
              </w:rPr>
              <w:t>Yes</w:t>
            </w:r>
          </w:p>
        </w:tc>
      </w:tr>
      <w:tr w:rsidR="000D07EA" w14:paraId="09CE23CD" w14:textId="77777777">
        <w:trPr>
          <w:trHeight w:val="20"/>
        </w:trPr>
        <w:tc>
          <w:tcPr>
            <w:tcW w:w="5875" w:type="dxa"/>
          </w:tcPr>
          <w:p w14:paraId="36826739" w14:textId="77777777" w:rsidR="000D07EA" w:rsidRDefault="00BE7C89">
            <w:pPr>
              <w:pStyle w:val="BodyText"/>
              <w:spacing w:before="100" w:after="100"/>
              <w:rPr>
                <w:szCs w:val="20"/>
              </w:rPr>
            </w:pPr>
            <w:r>
              <w:rPr>
                <w:szCs w:val="20"/>
              </w:rPr>
              <w:t>19XX Numbers</w:t>
            </w:r>
          </w:p>
        </w:tc>
        <w:tc>
          <w:tcPr>
            <w:tcW w:w="2520" w:type="dxa"/>
          </w:tcPr>
          <w:p w14:paraId="43BECD13" w14:textId="77777777" w:rsidR="000D07EA" w:rsidRDefault="00BE7C89">
            <w:pPr>
              <w:pStyle w:val="BodyText"/>
              <w:spacing w:before="100" w:after="100"/>
              <w:rPr>
                <w:szCs w:val="20"/>
              </w:rPr>
            </w:pPr>
            <w:r>
              <w:rPr>
                <w:szCs w:val="20"/>
              </w:rPr>
              <w:t>No</w:t>
            </w:r>
          </w:p>
        </w:tc>
      </w:tr>
      <w:tr w:rsidR="000D07EA" w14:paraId="316150D2" w14:textId="77777777">
        <w:trPr>
          <w:trHeight w:val="20"/>
        </w:trPr>
        <w:tc>
          <w:tcPr>
            <w:tcW w:w="5875" w:type="dxa"/>
          </w:tcPr>
          <w:p w14:paraId="44403767" w14:textId="77777777" w:rsidR="000D07EA" w:rsidRDefault="00BE7C89">
            <w:pPr>
              <w:pStyle w:val="BodyText"/>
              <w:spacing w:before="100" w:after="100"/>
              <w:rPr>
                <w:szCs w:val="20"/>
              </w:rPr>
            </w:pPr>
            <w:r>
              <w:rPr>
                <w:szCs w:val="20"/>
              </w:rPr>
              <w:lastRenderedPageBreak/>
              <w:t>1800 and 1300 numbers</w:t>
            </w:r>
          </w:p>
        </w:tc>
        <w:tc>
          <w:tcPr>
            <w:tcW w:w="2520" w:type="dxa"/>
          </w:tcPr>
          <w:p w14:paraId="6E9A52A4" w14:textId="77777777" w:rsidR="000D07EA" w:rsidRDefault="00BE7C89">
            <w:pPr>
              <w:pStyle w:val="BodyText"/>
              <w:spacing w:before="100" w:after="100"/>
              <w:rPr>
                <w:szCs w:val="20"/>
              </w:rPr>
            </w:pPr>
            <w:r>
              <w:rPr>
                <w:szCs w:val="20"/>
              </w:rPr>
              <w:t>Yes</w:t>
            </w:r>
          </w:p>
        </w:tc>
      </w:tr>
      <w:tr w:rsidR="000D07EA" w14:paraId="2C2AF15C" w14:textId="77777777">
        <w:trPr>
          <w:trHeight w:val="20"/>
        </w:trPr>
        <w:tc>
          <w:tcPr>
            <w:tcW w:w="5875" w:type="dxa"/>
          </w:tcPr>
          <w:p w14:paraId="7D6649D9" w14:textId="77777777" w:rsidR="000D07EA" w:rsidRDefault="00BE7C89">
            <w:pPr>
              <w:pStyle w:val="BodyText"/>
              <w:spacing w:before="100" w:after="100"/>
              <w:rPr>
                <w:szCs w:val="20"/>
              </w:rPr>
            </w:pPr>
            <w:r>
              <w:rPr>
                <w:szCs w:val="20"/>
              </w:rPr>
              <w:t>124YES(937)</w:t>
            </w:r>
          </w:p>
        </w:tc>
        <w:tc>
          <w:tcPr>
            <w:tcW w:w="2520" w:type="dxa"/>
          </w:tcPr>
          <w:p w14:paraId="582C0790" w14:textId="77777777" w:rsidR="000D07EA" w:rsidRDefault="00BE7C89">
            <w:pPr>
              <w:pStyle w:val="BodyText"/>
              <w:spacing w:before="100" w:after="100"/>
              <w:rPr>
                <w:szCs w:val="20"/>
              </w:rPr>
            </w:pPr>
            <w:r>
              <w:rPr>
                <w:szCs w:val="20"/>
              </w:rPr>
              <w:t>No</w:t>
            </w:r>
          </w:p>
        </w:tc>
      </w:tr>
      <w:tr w:rsidR="000D07EA" w14:paraId="1DCEFC47" w14:textId="77777777">
        <w:trPr>
          <w:trHeight w:val="20"/>
        </w:trPr>
        <w:tc>
          <w:tcPr>
            <w:tcW w:w="5875" w:type="dxa"/>
          </w:tcPr>
          <w:p w14:paraId="067A2C4B" w14:textId="77777777" w:rsidR="000D07EA" w:rsidRDefault="00BE7C89">
            <w:pPr>
              <w:pStyle w:val="BodyText"/>
              <w:spacing w:before="100" w:after="100"/>
              <w:rPr>
                <w:szCs w:val="20"/>
              </w:rPr>
            </w:pPr>
            <w:r>
              <w:rPr>
                <w:szCs w:val="20"/>
              </w:rPr>
              <w:t>Content Packs (unless specified in promotions)</w:t>
            </w:r>
          </w:p>
        </w:tc>
        <w:tc>
          <w:tcPr>
            <w:tcW w:w="2520" w:type="dxa"/>
          </w:tcPr>
          <w:p w14:paraId="1801F2DE" w14:textId="77777777" w:rsidR="000D07EA" w:rsidRDefault="00BE7C89">
            <w:pPr>
              <w:pStyle w:val="BodyText"/>
              <w:spacing w:before="100" w:after="100"/>
              <w:rPr>
                <w:szCs w:val="20"/>
              </w:rPr>
            </w:pPr>
            <w:r>
              <w:rPr>
                <w:szCs w:val="20"/>
              </w:rPr>
              <w:t>No</w:t>
            </w:r>
          </w:p>
        </w:tc>
      </w:tr>
      <w:tr w:rsidR="000D07EA" w14:paraId="6B49FCFD" w14:textId="77777777">
        <w:trPr>
          <w:trHeight w:val="20"/>
        </w:trPr>
        <w:tc>
          <w:tcPr>
            <w:tcW w:w="5875" w:type="dxa"/>
          </w:tcPr>
          <w:p w14:paraId="28B0EA2A" w14:textId="77777777" w:rsidR="000D07EA" w:rsidRDefault="00BE7C89">
            <w:pPr>
              <w:pStyle w:val="BodyText"/>
              <w:spacing w:before="100" w:after="100"/>
              <w:rPr>
                <w:szCs w:val="20"/>
              </w:rPr>
            </w:pPr>
            <w:r>
              <w:rPr>
                <w:szCs w:val="20"/>
              </w:rPr>
              <w:t>Mobile Internet usage</w:t>
            </w:r>
          </w:p>
        </w:tc>
        <w:tc>
          <w:tcPr>
            <w:tcW w:w="2520" w:type="dxa"/>
          </w:tcPr>
          <w:p w14:paraId="261413D8" w14:textId="77777777" w:rsidR="000D07EA" w:rsidRDefault="00BE7C89">
            <w:pPr>
              <w:pStyle w:val="BodyText"/>
              <w:spacing w:before="100" w:after="100"/>
              <w:rPr>
                <w:szCs w:val="20"/>
              </w:rPr>
            </w:pPr>
            <w:r>
              <w:rPr>
                <w:szCs w:val="20"/>
              </w:rPr>
              <w:t>No</w:t>
            </w:r>
          </w:p>
        </w:tc>
      </w:tr>
      <w:tr w:rsidR="000D07EA" w14:paraId="72AB1346" w14:textId="77777777">
        <w:trPr>
          <w:trHeight w:val="20"/>
        </w:trPr>
        <w:tc>
          <w:tcPr>
            <w:tcW w:w="5875" w:type="dxa"/>
          </w:tcPr>
          <w:p w14:paraId="107B669B" w14:textId="77777777" w:rsidR="000D07EA" w:rsidRDefault="00BE7C89">
            <w:pPr>
              <w:pStyle w:val="BodyText"/>
              <w:spacing w:before="100" w:after="100"/>
              <w:rPr>
                <w:szCs w:val="20"/>
              </w:rPr>
            </w:pPr>
            <w:r>
              <w:rPr>
                <w:szCs w:val="20"/>
              </w:rPr>
              <w:t xml:space="preserve">True Local Usage </w:t>
            </w:r>
          </w:p>
        </w:tc>
        <w:tc>
          <w:tcPr>
            <w:tcW w:w="2520" w:type="dxa"/>
          </w:tcPr>
          <w:p w14:paraId="691C02FA" w14:textId="77777777" w:rsidR="000D07EA" w:rsidRDefault="00BE7C89">
            <w:pPr>
              <w:pStyle w:val="BodyText"/>
              <w:spacing w:before="100" w:after="100"/>
              <w:rPr>
                <w:szCs w:val="20"/>
              </w:rPr>
            </w:pPr>
            <w:r>
              <w:rPr>
                <w:szCs w:val="20"/>
              </w:rPr>
              <w:t>No</w:t>
            </w:r>
          </w:p>
        </w:tc>
      </w:tr>
      <w:tr w:rsidR="000D07EA" w14:paraId="646E6016" w14:textId="77777777">
        <w:trPr>
          <w:trHeight w:val="20"/>
        </w:trPr>
        <w:tc>
          <w:tcPr>
            <w:tcW w:w="5875" w:type="dxa"/>
          </w:tcPr>
          <w:p w14:paraId="280F5832" w14:textId="77777777" w:rsidR="000D07EA" w:rsidRDefault="00BE7C89">
            <w:pPr>
              <w:pStyle w:val="BodyText"/>
              <w:spacing w:before="100" w:after="100"/>
              <w:rPr>
                <w:szCs w:val="20"/>
              </w:rPr>
            </w:pPr>
            <w:r>
              <w:rPr>
                <w:szCs w:val="20"/>
              </w:rPr>
              <w:t>VOIP services</w:t>
            </w:r>
          </w:p>
        </w:tc>
        <w:tc>
          <w:tcPr>
            <w:tcW w:w="2520" w:type="dxa"/>
          </w:tcPr>
          <w:p w14:paraId="6FB74210" w14:textId="77777777" w:rsidR="000D07EA" w:rsidRDefault="00BE7C89">
            <w:pPr>
              <w:pStyle w:val="BodyText"/>
              <w:spacing w:before="100" w:after="100"/>
              <w:rPr>
                <w:szCs w:val="20"/>
              </w:rPr>
            </w:pPr>
            <w:r>
              <w:rPr>
                <w:szCs w:val="20"/>
              </w:rPr>
              <w:t>No</w:t>
            </w:r>
          </w:p>
        </w:tc>
      </w:tr>
      <w:tr w:rsidR="000D07EA" w14:paraId="5DF08C08" w14:textId="77777777">
        <w:trPr>
          <w:trHeight w:val="20"/>
        </w:trPr>
        <w:tc>
          <w:tcPr>
            <w:tcW w:w="5875" w:type="dxa"/>
          </w:tcPr>
          <w:p w14:paraId="79692AFE" w14:textId="77777777" w:rsidR="000D07EA" w:rsidRDefault="00BE7C89">
            <w:pPr>
              <w:pStyle w:val="BodyText"/>
              <w:spacing w:before="100" w:after="100"/>
              <w:rPr>
                <w:szCs w:val="20"/>
              </w:rPr>
            </w:pPr>
            <w:r>
              <w:rPr>
                <w:szCs w:val="20"/>
              </w:rPr>
              <w:t xml:space="preserve">Calls to Satellite </w:t>
            </w:r>
          </w:p>
        </w:tc>
        <w:tc>
          <w:tcPr>
            <w:tcW w:w="2520" w:type="dxa"/>
          </w:tcPr>
          <w:p w14:paraId="52A34DE8" w14:textId="77777777" w:rsidR="000D07EA" w:rsidRDefault="00BE7C89">
            <w:pPr>
              <w:pStyle w:val="BodyText"/>
              <w:spacing w:before="100" w:after="100"/>
              <w:rPr>
                <w:szCs w:val="20"/>
              </w:rPr>
            </w:pPr>
            <w:r>
              <w:rPr>
                <w:szCs w:val="20"/>
              </w:rPr>
              <w:t>No</w:t>
            </w:r>
          </w:p>
        </w:tc>
      </w:tr>
      <w:tr w:rsidR="000D07EA" w14:paraId="3C5F0946" w14:textId="77777777">
        <w:trPr>
          <w:trHeight w:val="20"/>
        </w:trPr>
        <w:tc>
          <w:tcPr>
            <w:tcW w:w="5875" w:type="dxa"/>
          </w:tcPr>
          <w:p w14:paraId="7038E512" w14:textId="77777777" w:rsidR="000D07EA" w:rsidRDefault="00BE7C89">
            <w:pPr>
              <w:pStyle w:val="BodyText"/>
              <w:spacing w:before="100" w:after="100"/>
              <w:rPr>
                <w:szCs w:val="20"/>
              </w:rPr>
            </w:pPr>
            <w:r>
              <w:rPr>
                <w:szCs w:val="20"/>
              </w:rPr>
              <w:t>Surepage</w:t>
            </w:r>
          </w:p>
        </w:tc>
        <w:tc>
          <w:tcPr>
            <w:tcW w:w="2520" w:type="dxa"/>
          </w:tcPr>
          <w:p w14:paraId="51B8DF65" w14:textId="77777777" w:rsidR="000D07EA" w:rsidRDefault="00BE7C89">
            <w:pPr>
              <w:pStyle w:val="BodyText"/>
              <w:spacing w:before="100" w:after="100"/>
              <w:rPr>
                <w:szCs w:val="20"/>
              </w:rPr>
            </w:pPr>
            <w:r>
              <w:rPr>
                <w:szCs w:val="20"/>
              </w:rPr>
              <w:t>No</w:t>
            </w:r>
          </w:p>
        </w:tc>
      </w:tr>
    </w:tbl>
    <w:p w14:paraId="24F38545" w14:textId="77777777" w:rsidR="000D07EA" w:rsidRDefault="000D07EA">
      <w:pPr>
        <w:pStyle w:val="BodyText"/>
      </w:pPr>
    </w:p>
    <w:p w14:paraId="2D4C5C71" w14:textId="77777777" w:rsidR="000D07EA" w:rsidRDefault="00BE7C89">
      <w:pPr>
        <w:pStyle w:val="BodyText"/>
        <w:ind w:left="720"/>
        <w:rPr>
          <w:b/>
        </w:rPr>
      </w:pPr>
      <w:r>
        <w:rPr>
          <w:b/>
        </w:rPr>
        <w:t>Table 1B – Eligible for the Included Mobile Internet Data</w:t>
      </w:r>
    </w:p>
    <w:tbl>
      <w:tblPr>
        <w:tblW w:w="839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875"/>
        <w:gridCol w:w="2520"/>
      </w:tblGrid>
      <w:tr w:rsidR="000D07EA" w14:paraId="7F545FBF" w14:textId="77777777">
        <w:trPr>
          <w:trHeight w:val="20"/>
          <w:tblHeader/>
        </w:trPr>
        <w:tc>
          <w:tcPr>
            <w:tcW w:w="5875" w:type="dxa"/>
          </w:tcPr>
          <w:p w14:paraId="6583339D" w14:textId="77777777" w:rsidR="000D07EA" w:rsidRDefault="00BE7C89">
            <w:pPr>
              <w:pStyle w:val="BodyText"/>
              <w:spacing w:before="100" w:after="100"/>
              <w:rPr>
                <w:b/>
                <w:szCs w:val="20"/>
              </w:rPr>
            </w:pPr>
            <w:r>
              <w:rPr>
                <w:b/>
                <w:szCs w:val="20"/>
              </w:rPr>
              <w:t>Call Type</w:t>
            </w:r>
          </w:p>
        </w:tc>
        <w:tc>
          <w:tcPr>
            <w:tcW w:w="2520" w:type="dxa"/>
          </w:tcPr>
          <w:p w14:paraId="756002B2" w14:textId="77777777" w:rsidR="000D07EA" w:rsidRDefault="00BE7C89">
            <w:pPr>
              <w:pStyle w:val="BodyText"/>
              <w:spacing w:before="100" w:after="100"/>
              <w:rPr>
                <w:b/>
                <w:szCs w:val="20"/>
              </w:rPr>
            </w:pPr>
            <w:r>
              <w:rPr>
                <w:b/>
                <w:szCs w:val="20"/>
              </w:rPr>
              <w:t>Eligible Data</w:t>
            </w:r>
          </w:p>
        </w:tc>
      </w:tr>
      <w:tr w:rsidR="000D07EA" w14:paraId="3ADBCA8B" w14:textId="77777777">
        <w:trPr>
          <w:trHeight w:val="20"/>
        </w:trPr>
        <w:tc>
          <w:tcPr>
            <w:tcW w:w="5875" w:type="dxa"/>
          </w:tcPr>
          <w:p w14:paraId="62EA109B" w14:textId="77777777" w:rsidR="000D07EA" w:rsidRDefault="00BE7C89">
            <w:pPr>
              <w:pStyle w:val="BodyText"/>
              <w:spacing w:before="100" w:after="100"/>
              <w:rPr>
                <w:szCs w:val="20"/>
              </w:rPr>
            </w:pPr>
            <w:r>
              <w:rPr>
                <w:szCs w:val="20"/>
              </w:rPr>
              <w:t>Standard National Voice and Video Calls</w:t>
            </w:r>
          </w:p>
        </w:tc>
        <w:tc>
          <w:tcPr>
            <w:tcW w:w="2520" w:type="dxa"/>
          </w:tcPr>
          <w:p w14:paraId="488BEBA4" w14:textId="77777777" w:rsidR="000D07EA" w:rsidRDefault="00BE7C89">
            <w:pPr>
              <w:pStyle w:val="BodyText"/>
              <w:spacing w:before="100" w:after="100"/>
              <w:rPr>
                <w:szCs w:val="20"/>
              </w:rPr>
            </w:pPr>
            <w:r>
              <w:rPr>
                <w:szCs w:val="20"/>
              </w:rPr>
              <w:t>No</w:t>
            </w:r>
          </w:p>
        </w:tc>
      </w:tr>
      <w:tr w:rsidR="000D07EA" w14:paraId="423036D4" w14:textId="77777777">
        <w:trPr>
          <w:trHeight w:val="20"/>
        </w:trPr>
        <w:tc>
          <w:tcPr>
            <w:tcW w:w="5875" w:type="dxa"/>
          </w:tcPr>
          <w:p w14:paraId="1CF619C7" w14:textId="77777777" w:rsidR="000D07EA" w:rsidRDefault="00BE7C89">
            <w:pPr>
              <w:pStyle w:val="BodyText"/>
              <w:spacing w:before="100" w:after="100"/>
              <w:rPr>
                <w:szCs w:val="20"/>
              </w:rPr>
            </w:pPr>
            <w:r>
              <w:rPr>
                <w:szCs w:val="20"/>
              </w:rPr>
              <w:t>International Voice and Video Calls</w:t>
            </w:r>
          </w:p>
          <w:p w14:paraId="2847B49F" w14:textId="77777777" w:rsidR="000D07EA" w:rsidRDefault="00BE7C89">
            <w:pPr>
              <w:pStyle w:val="BodyText"/>
              <w:spacing w:before="100" w:after="100"/>
              <w:rPr>
                <w:szCs w:val="20"/>
              </w:rPr>
            </w:pPr>
            <w:r>
              <w:rPr>
                <w:szCs w:val="20"/>
              </w:rPr>
              <w:t>(including calls to national fixed or mobile services that then divert/switch or re-route overseas)</w:t>
            </w:r>
          </w:p>
        </w:tc>
        <w:tc>
          <w:tcPr>
            <w:tcW w:w="2520" w:type="dxa"/>
          </w:tcPr>
          <w:p w14:paraId="61E8FC9E" w14:textId="77777777" w:rsidR="000D07EA" w:rsidRDefault="00BE7C89">
            <w:pPr>
              <w:pStyle w:val="BodyText"/>
              <w:spacing w:before="100" w:after="100"/>
              <w:rPr>
                <w:szCs w:val="20"/>
              </w:rPr>
            </w:pPr>
            <w:r>
              <w:rPr>
                <w:szCs w:val="20"/>
              </w:rPr>
              <w:t xml:space="preserve">No </w:t>
            </w:r>
          </w:p>
        </w:tc>
      </w:tr>
      <w:tr w:rsidR="000D07EA" w14:paraId="0605141C" w14:textId="77777777">
        <w:trPr>
          <w:trHeight w:val="20"/>
        </w:trPr>
        <w:tc>
          <w:tcPr>
            <w:tcW w:w="5875" w:type="dxa"/>
          </w:tcPr>
          <w:p w14:paraId="4EB43F67" w14:textId="77777777" w:rsidR="000D07EA" w:rsidRDefault="00BE7C89">
            <w:pPr>
              <w:pStyle w:val="BodyText"/>
              <w:spacing w:before="100" w:after="100"/>
              <w:rPr>
                <w:szCs w:val="20"/>
              </w:rPr>
            </w:pPr>
            <w:r>
              <w:rPr>
                <w:szCs w:val="20"/>
              </w:rPr>
              <w:t>Premium Video</w:t>
            </w:r>
          </w:p>
        </w:tc>
        <w:tc>
          <w:tcPr>
            <w:tcW w:w="2520" w:type="dxa"/>
          </w:tcPr>
          <w:p w14:paraId="73F12AD5" w14:textId="77777777" w:rsidR="000D07EA" w:rsidRDefault="00BE7C89">
            <w:pPr>
              <w:pStyle w:val="BodyText"/>
              <w:spacing w:before="100" w:after="100"/>
              <w:rPr>
                <w:szCs w:val="20"/>
              </w:rPr>
            </w:pPr>
            <w:r>
              <w:rPr>
                <w:szCs w:val="20"/>
              </w:rPr>
              <w:t>No</w:t>
            </w:r>
          </w:p>
        </w:tc>
      </w:tr>
      <w:tr w:rsidR="000D07EA" w14:paraId="1A9E6C77" w14:textId="77777777">
        <w:trPr>
          <w:trHeight w:val="20"/>
        </w:trPr>
        <w:tc>
          <w:tcPr>
            <w:tcW w:w="5875" w:type="dxa"/>
          </w:tcPr>
          <w:p w14:paraId="0BE12ADA" w14:textId="77777777" w:rsidR="000D07EA" w:rsidRDefault="00BE7C89">
            <w:pPr>
              <w:pStyle w:val="BodyText"/>
              <w:spacing w:before="100" w:after="100"/>
              <w:rPr>
                <w:szCs w:val="20"/>
              </w:rPr>
            </w:pPr>
            <w:r>
              <w:rPr>
                <w:szCs w:val="20"/>
              </w:rPr>
              <w:t>Content Video</w:t>
            </w:r>
          </w:p>
        </w:tc>
        <w:tc>
          <w:tcPr>
            <w:tcW w:w="2520" w:type="dxa"/>
          </w:tcPr>
          <w:p w14:paraId="583594E8" w14:textId="77777777" w:rsidR="000D07EA" w:rsidRDefault="00BE7C89">
            <w:pPr>
              <w:pStyle w:val="BodyText"/>
              <w:spacing w:before="100" w:after="100"/>
              <w:rPr>
                <w:szCs w:val="20"/>
              </w:rPr>
            </w:pPr>
            <w:r>
              <w:rPr>
                <w:szCs w:val="20"/>
              </w:rPr>
              <w:t>No</w:t>
            </w:r>
          </w:p>
        </w:tc>
      </w:tr>
      <w:tr w:rsidR="000D07EA" w14:paraId="329D9A30" w14:textId="77777777">
        <w:trPr>
          <w:trHeight w:val="20"/>
        </w:trPr>
        <w:tc>
          <w:tcPr>
            <w:tcW w:w="5875" w:type="dxa"/>
          </w:tcPr>
          <w:p w14:paraId="4AB3BF16" w14:textId="77777777" w:rsidR="000D07EA" w:rsidRDefault="00BE7C89">
            <w:pPr>
              <w:pStyle w:val="BodyText"/>
              <w:spacing w:before="100" w:after="100"/>
              <w:rPr>
                <w:szCs w:val="20"/>
              </w:rPr>
            </w:pPr>
            <w:r>
              <w:rPr>
                <w:szCs w:val="20"/>
              </w:rPr>
              <w:t>Standard National Standard SMS</w:t>
            </w:r>
          </w:p>
        </w:tc>
        <w:tc>
          <w:tcPr>
            <w:tcW w:w="2520" w:type="dxa"/>
          </w:tcPr>
          <w:p w14:paraId="6CB68F1F" w14:textId="77777777" w:rsidR="000D07EA" w:rsidRDefault="00BE7C89">
            <w:pPr>
              <w:pStyle w:val="BodyText"/>
              <w:spacing w:before="100" w:after="100"/>
              <w:rPr>
                <w:szCs w:val="20"/>
              </w:rPr>
            </w:pPr>
            <w:r>
              <w:rPr>
                <w:szCs w:val="20"/>
              </w:rPr>
              <w:t>No</w:t>
            </w:r>
          </w:p>
        </w:tc>
      </w:tr>
      <w:tr w:rsidR="000D07EA" w14:paraId="58DB365E" w14:textId="77777777">
        <w:trPr>
          <w:trHeight w:val="20"/>
        </w:trPr>
        <w:tc>
          <w:tcPr>
            <w:tcW w:w="5875" w:type="dxa"/>
          </w:tcPr>
          <w:p w14:paraId="6330FC13" w14:textId="77777777" w:rsidR="000D07EA" w:rsidRDefault="00BE7C89">
            <w:pPr>
              <w:pStyle w:val="BodyText"/>
              <w:spacing w:before="100" w:after="100"/>
              <w:rPr>
                <w:szCs w:val="20"/>
              </w:rPr>
            </w:pPr>
            <w:r>
              <w:rPr>
                <w:szCs w:val="20"/>
              </w:rPr>
              <w:t>International SMS</w:t>
            </w:r>
          </w:p>
        </w:tc>
        <w:tc>
          <w:tcPr>
            <w:tcW w:w="2520" w:type="dxa"/>
          </w:tcPr>
          <w:p w14:paraId="69436088" w14:textId="77777777" w:rsidR="000D07EA" w:rsidRDefault="00BE7C89">
            <w:pPr>
              <w:pStyle w:val="BodyText"/>
              <w:spacing w:before="100" w:after="100"/>
              <w:rPr>
                <w:szCs w:val="20"/>
              </w:rPr>
            </w:pPr>
            <w:r>
              <w:rPr>
                <w:szCs w:val="20"/>
              </w:rPr>
              <w:t>No</w:t>
            </w:r>
          </w:p>
        </w:tc>
      </w:tr>
      <w:tr w:rsidR="000D07EA" w14:paraId="5294654E" w14:textId="77777777">
        <w:trPr>
          <w:trHeight w:val="20"/>
        </w:trPr>
        <w:tc>
          <w:tcPr>
            <w:tcW w:w="5875" w:type="dxa"/>
          </w:tcPr>
          <w:p w14:paraId="6CC1A2BD" w14:textId="77777777" w:rsidR="000D07EA" w:rsidRDefault="00BE7C89">
            <w:pPr>
              <w:pStyle w:val="BodyText"/>
              <w:spacing w:before="100" w:after="100"/>
              <w:rPr>
                <w:szCs w:val="20"/>
              </w:rPr>
            </w:pPr>
            <w:r>
              <w:rPr>
                <w:szCs w:val="20"/>
              </w:rPr>
              <w:t>Premium SMS</w:t>
            </w:r>
          </w:p>
        </w:tc>
        <w:tc>
          <w:tcPr>
            <w:tcW w:w="2520" w:type="dxa"/>
          </w:tcPr>
          <w:p w14:paraId="5B8D30C2" w14:textId="77777777" w:rsidR="000D07EA" w:rsidRDefault="00BE7C89">
            <w:pPr>
              <w:pStyle w:val="BodyText"/>
              <w:spacing w:before="100" w:after="100"/>
              <w:rPr>
                <w:szCs w:val="20"/>
              </w:rPr>
            </w:pPr>
            <w:r>
              <w:rPr>
                <w:szCs w:val="20"/>
              </w:rPr>
              <w:t>No</w:t>
            </w:r>
          </w:p>
        </w:tc>
      </w:tr>
      <w:tr w:rsidR="000D07EA" w14:paraId="49BAE984" w14:textId="77777777">
        <w:trPr>
          <w:trHeight w:val="20"/>
        </w:trPr>
        <w:tc>
          <w:tcPr>
            <w:tcW w:w="5875" w:type="dxa"/>
          </w:tcPr>
          <w:p w14:paraId="21FF5195" w14:textId="77777777" w:rsidR="000D07EA" w:rsidRDefault="00BE7C89">
            <w:pPr>
              <w:pStyle w:val="BodyText"/>
              <w:spacing w:before="100" w:after="100"/>
              <w:rPr>
                <w:szCs w:val="20"/>
              </w:rPr>
            </w:pPr>
            <w:r>
              <w:rPr>
                <w:szCs w:val="20"/>
              </w:rPr>
              <w:t>Standard National Standard MMS</w:t>
            </w:r>
          </w:p>
        </w:tc>
        <w:tc>
          <w:tcPr>
            <w:tcW w:w="2520" w:type="dxa"/>
          </w:tcPr>
          <w:p w14:paraId="5AE9785A" w14:textId="77777777" w:rsidR="000D07EA" w:rsidRDefault="00BE7C89">
            <w:pPr>
              <w:pStyle w:val="BodyText"/>
              <w:spacing w:before="100" w:after="100"/>
              <w:rPr>
                <w:szCs w:val="20"/>
              </w:rPr>
            </w:pPr>
            <w:r>
              <w:rPr>
                <w:szCs w:val="20"/>
              </w:rPr>
              <w:t>No</w:t>
            </w:r>
          </w:p>
        </w:tc>
      </w:tr>
      <w:tr w:rsidR="000D07EA" w14:paraId="7B20EEB0" w14:textId="77777777">
        <w:trPr>
          <w:trHeight w:val="20"/>
        </w:trPr>
        <w:tc>
          <w:tcPr>
            <w:tcW w:w="5875" w:type="dxa"/>
          </w:tcPr>
          <w:p w14:paraId="229D381C" w14:textId="77777777" w:rsidR="000D07EA" w:rsidRDefault="00BE7C89">
            <w:pPr>
              <w:pStyle w:val="BodyText"/>
              <w:spacing w:before="100" w:after="100"/>
              <w:rPr>
                <w:szCs w:val="20"/>
              </w:rPr>
            </w:pPr>
            <w:r>
              <w:rPr>
                <w:szCs w:val="20"/>
              </w:rPr>
              <w:t>International MMS</w:t>
            </w:r>
          </w:p>
        </w:tc>
        <w:tc>
          <w:tcPr>
            <w:tcW w:w="2520" w:type="dxa"/>
          </w:tcPr>
          <w:p w14:paraId="047E44C5" w14:textId="77777777" w:rsidR="000D07EA" w:rsidRDefault="00BE7C89">
            <w:pPr>
              <w:pStyle w:val="BodyText"/>
              <w:spacing w:before="100" w:after="100"/>
              <w:rPr>
                <w:szCs w:val="20"/>
              </w:rPr>
            </w:pPr>
            <w:r>
              <w:rPr>
                <w:szCs w:val="20"/>
              </w:rPr>
              <w:t>No</w:t>
            </w:r>
          </w:p>
        </w:tc>
      </w:tr>
      <w:tr w:rsidR="000D07EA" w14:paraId="23A25947" w14:textId="77777777">
        <w:trPr>
          <w:trHeight w:val="20"/>
        </w:trPr>
        <w:tc>
          <w:tcPr>
            <w:tcW w:w="5875" w:type="dxa"/>
          </w:tcPr>
          <w:p w14:paraId="3971CDD3" w14:textId="77777777" w:rsidR="000D07EA" w:rsidRDefault="00BE7C89">
            <w:pPr>
              <w:pStyle w:val="BodyText"/>
              <w:spacing w:before="100" w:after="100"/>
              <w:rPr>
                <w:szCs w:val="20"/>
              </w:rPr>
            </w:pPr>
            <w:r>
              <w:rPr>
                <w:szCs w:val="20"/>
              </w:rPr>
              <w:t>Premium MMS</w:t>
            </w:r>
          </w:p>
        </w:tc>
        <w:tc>
          <w:tcPr>
            <w:tcW w:w="2520" w:type="dxa"/>
          </w:tcPr>
          <w:p w14:paraId="5DF1E31B" w14:textId="77777777" w:rsidR="000D07EA" w:rsidRDefault="00BE7C89">
            <w:pPr>
              <w:pStyle w:val="BodyText"/>
              <w:spacing w:before="100" w:after="100"/>
              <w:rPr>
                <w:szCs w:val="20"/>
              </w:rPr>
            </w:pPr>
            <w:r>
              <w:rPr>
                <w:szCs w:val="20"/>
              </w:rPr>
              <w:t>No</w:t>
            </w:r>
          </w:p>
        </w:tc>
      </w:tr>
      <w:tr w:rsidR="000D07EA" w14:paraId="7122A1B7" w14:textId="77777777">
        <w:trPr>
          <w:trHeight w:val="20"/>
        </w:trPr>
        <w:tc>
          <w:tcPr>
            <w:tcW w:w="5875" w:type="dxa"/>
          </w:tcPr>
          <w:p w14:paraId="2647C3CC" w14:textId="77777777" w:rsidR="000D07EA" w:rsidRDefault="00BE7C89">
            <w:pPr>
              <w:pStyle w:val="BodyText"/>
              <w:spacing w:before="100" w:after="100"/>
              <w:rPr>
                <w:szCs w:val="20"/>
              </w:rPr>
            </w:pPr>
            <w:r>
              <w:rPr>
                <w:szCs w:val="20"/>
              </w:rPr>
              <w:t>National Diversions</w:t>
            </w:r>
          </w:p>
        </w:tc>
        <w:tc>
          <w:tcPr>
            <w:tcW w:w="2520" w:type="dxa"/>
          </w:tcPr>
          <w:p w14:paraId="2A2F3C22" w14:textId="77777777" w:rsidR="000D07EA" w:rsidRDefault="00BE7C89">
            <w:pPr>
              <w:pStyle w:val="BodyText"/>
              <w:spacing w:before="100" w:after="100"/>
              <w:rPr>
                <w:szCs w:val="20"/>
              </w:rPr>
            </w:pPr>
            <w:r>
              <w:rPr>
                <w:szCs w:val="20"/>
              </w:rPr>
              <w:t>No</w:t>
            </w:r>
          </w:p>
        </w:tc>
      </w:tr>
      <w:tr w:rsidR="000D07EA" w14:paraId="5992ED3F" w14:textId="77777777">
        <w:trPr>
          <w:trHeight w:val="20"/>
        </w:trPr>
        <w:tc>
          <w:tcPr>
            <w:tcW w:w="5875" w:type="dxa"/>
          </w:tcPr>
          <w:p w14:paraId="58A2E09E" w14:textId="77777777" w:rsidR="000D07EA" w:rsidRDefault="00BE7C89">
            <w:pPr>
              <w:pStyle w:val="BodyText"/>
              <w:spacing w:before="100" w:after="100"/>
              <w:rPr>
                <w:szCs w:val="20"/>
              </w:rPr>
            </w:pPr>
            <w:r>
              <w:rPr>
                <w:szCs w:val="20"/>
              </w:rPr>
              <w:t>Voicemail Deposit and Retrievals</w:t>
            </w:r>
          </w:p>
        </w:tc>
        <w:tc>
          <w:tcPr>
            <w:tcW w:w="2520" w:type="dxa"/>
          </w:tcPr>
          <w:p w14:paraId="7B8FE00B" w14:textId="77777777" w:rsidR="000D07EA" w:rsidRDefault="00BE7C89">
            <w:pPr>
              <w:pStyle w:val="BodyText"/>
              <w:spacing w:before="100" w:after="100"/>
              <w:rPr>
                <w:szCs w:val="20"/>
              </w:rPr>
            </w:pPr>
            <w:r>
              <w:rPr>
                <w:szCs w:val="20"/>
              </w:rPr>
              <w:t>No</w:t>
            </w:r>
          </w:p>
        </w:tc>
      </w:tr>
      <w:tr w:rsidR="000D07EA" w14:paraId="0535B303" w14:textId="77777777">
        <w:trPr>
          <w:trHeight w:val="20"/>
        </w:trPr>
        <w:tc>
          <w:tcPr>
            <w:tcW w:w="5875" w:type="dxa"/>
          </w:tcPr>
          <w:p w14:paraId="74A46F69" w14:textId="77777777" w:rsidR="000D07EA" w:rsidRDefault="00BE7C89">
            <w:pPr>
              <w:pStyle w:val="BodyText"/>
              <w:spacing w:before="100" w:after="100"/>
              <w:rPr>
                <w:szCs w:val="20"/>
              </w:rPr>
            </w:pPr>
            <w:r>
              <w:rPr>
                <w:szCs w:val="20"/>
              </w:rPr>
              <w:t>International Roaming and Diversion</w:t>
            </w:r>
          </w:p>
        </w:tc>
        <w:tc>
          <w:tcPr>
            <w:tcW w:w="2520" w:type="dxa"/>
          </w:tcPr>
          <w:p w14:paraId="63531411" w14:textId="77777777" w:rsidR="000D07EA" w:rsidRDefault="00BE7C89">
            <w:pPr>
              <w:pStyle w:val="BodyText"/>
              <w:spacing w:before="100" w:after="100"/>
              <w:rPr>
                <w:szCs w:val="20"/>
              </w:rPr>
            </w:pPr>
            <w:r>
              <w:rPr>
                <w:szCs w:val="20"/>
              </w:rPr>
              <w:t>No</w:t>
            </w:r>
          </w:p>
        </w:tc>
      </w:tr>
      <w:tr w:rsidR="000D07EA" w14:paraId="3A1E4616" w14:textId="77777777">
        <w:trPr>
          <w:trHeight w:val="20"/>
        </w:trPr>
        <w:tc>
          <w:tcPr>
            <w:tcW w:w="5875" w:type="dxa"/>
          </w:tcPr>
          <w:p w14:paraId="78211D9A" w14:textId="77777777" w:rsidR="000D07EA" w:rsidRDefault="00BE7C89">
            <w:pPr>
              <w:pStyle w:val="BodyText"/>
              <w:spacing w:before="100" w:after="100"/>
              <w:rPr>
                <w:szCs w:val="20"/>
              </w:rPr>
            </w:pPr>
            <w:r>
              <w:rPr>
                <w:szCs w:val="20"/>
              </w:rPr>
              <w:t>Video Conferencing</w:t>
            </w:r>
          </w:p>
        </w:tc>
        <w:tc>
          <w:tcPr>
            <w:tcW w:w="2520" w:type="dxa"/>
          </w:tcPr>
          <w:p w14:paraId="2979A0E5" w14:textId="77777777" w:rsidR="000D07EA" w:rsidRDefault="00BE7C89">
            <w:pPr>
              <w:pStyle w:val="BodyText"/>
              <w:spacing w:before="100" w:after="100"/>
              <w:rPr>
                <w:szCs w:val="20"/>
              </w:rPr>
            </w:pPr>
            <w:r>
              <w:rPr>
                <w:szCs w:val="20"/>
              </w:rPr>
              <w:t>No</w:t>
            </w:r>
          </w:p>
        </w:tc>
      </w:tr>
      <w:tr w:rsidR="000D07EA" w14:paraId="014E4561" w14:textId="77777777">
        <w:trPr>
          <w:trHeight w:val="20"/>
        </w:trPr>
        <w:tc>
          <w:tcPr>
            <w:tcW w:w="5875" w:type="dxa"/>
          </w:tcPr>
          <w:p w14:paraId="36738C1D" w14:textId="77777777" w:rsidR="000D07EA" w:rsidRDefault="00BE7C89">
            <w:pPr>
              <w:pStyle w:val="BodyText"/>
              <w:spacing w:before="100" w:after="100"/>
              <w:rPr>
                <w:szCs w:val="20"/>
              </w:rPr>
            </w:pPr>
            <w:r>
              <w:rPr>
                <w:szCs w:val="20"/>
              </w:rPr>
              <w:t>Optus iZoo Browsing*</w:t>
            </w:r>
          </w:p>
        </w:tc>
        <w:tc>
          <w:tcPr>
            <w:tcW w:w="2520" w:type="dxa"/>
          </w:tcPr>
          <w:p w14:paraId="09D31160" w14:textId="77777777" w:rsidR="000D07EA" w:rsidRDefault="00BE7C89">
            <w:pPr>
              <w:pStyle w:val="BodyText"/>
              <w:spacing w:before="100" w:after="100"/>
              <w:rPr>
                <w:szCs w:val="20"/>
              </w:rPr>
            </w:pPr>
            <w:r>
              <w:rPr>
                <w:szCs w:val="20"/>
              </w:rPr>
              <w:t>Yes, up to the monthly included data amount specified in Table 2A.</w:t>
            </w:r>
          </w:p>
        </w:tc>
      </w:tr>
      <w:tr w:rsidR="000D07EA" w14:paraId="158D5D56" w14:textId="77777777">
        <w:trPr>
          <w:trHeight w:val="20"/>
        </w:trPr>
        <w:tc>
          <w:tcPr>
            <w:tcW w:w="5875" w:type="dxa"/>
          </w:tcPr>
          <w:p w14:paraId="32C841E0" w14:textId="77777777" w:rsidR="000D07EA" w:rsidRDefault="00BE7C89">
            <w:pPr>
              <w:pStyle w:val="BodyText"/>
              <w:spacing w:before="100" w:after="100"/>
              <w:rPr>
                <w:szCs w:val="20"/>
              </w:rPr>
            </w:pPr>
            <w:r>
              <w:rPr>
                <w:szCs w:val="20"/>
              </w:rPr>
              <w:t>Optus iZoo Downloads</w:t>
            </w:r>
          </w:p>
        </w:tc>
        <w:tc>
          <w:tcPr>
            <w:tcW w:w="2520" w:type="dxa"/>
          </w:tcPr>
          <w:p w14:paraId="47940B96" w14:textId="77777777" w:rsidR="000D07EA" w:rsidRDefault="00BE7C89">
            <w:pPr>
              <w:pStyle w:val="BodyText"/>
              <w:spacing w:before="100" w:after="100"/>
              <w:rPr>
                <w:szCs w:val="20"/>
              </w:rPr>
            </w:pPr>
            <w:r>
              <w:rPr>
                <w:szCs w:val="20"/>
              </w:rPr>
              <w:t>No</w:t>
            </w:r>
          </w:p>
        </w:tc>
      </w:tr>
      <w:tr w:rsidR="000D07EA" w14:paraId="05884C5B" w14:textId="77777777">
        <w:trPr>
          <w:trHeight w:val="20"/>
        </w:trPr>
        <w:tc>
          <w:tcPr>
            <w:tcW w:w="5875" w:type="dxa"/>
          </w:tcPr>
          <w:p w14:paraId="6B427452" w14:textId="77777777" w:rsidR="000D07EA" w:rsidRDefault="00BE7C89">
            <w:pPr>
              <w:pStyle w:val="BodyText"/>
              <w:spacing w:before="100" w:after="100"/>
              <w:rPr>
                <w:szCs w:val="20"/>
              </w:rPr>
            </w:pPr>
            <w:r>
              <w:rPr>
                <w:szCs w:val="20"/>
              </w:rPr>
              <w:t>SMS to 966 (Zoo)</w:t>
            </w:r>
          </w:p>
        </w:tc>
        <w:tc>
          <w:tcPr>
            <w:tcW w:w="2520" w:type="dxa"/>
          </w:tcPr>
          <w:p w14:paraId="6F7563F3" w14:textId="77777777" w:rsidR="000D07EA" w:rsidRDefault="00BE7C89">
            <w:pPr>
              <w:pStyle w:val="BodyText"/>
              <w:spacing w:before="100" w:after="100"/>
              <w:rPr>
                <w:szCs w:val="20"/>
              </w:rPr>
            </w:pPr>
            <w:r>
              <w:rPr>
                <w:szCs w:val="20"/>
              </w:rPr>
              <w:t>No</w:t>
            </w:r>
          </w:p>
        </w:tc>
      </w:tr>
      <w:tr w:rsidR="000D07EA" w14:paraId="66964BB6" w14:textId="77777777">
        <w:trPr>
          <w:trHeight w:val="20"/>
        </w:trPr>
        <w:tc>
          <w:tcPr>
            <w:tcW w:w="5875" w:type="dxa"/>
          </w:tcPr>
          <w:p w14:paraId="58E5E1E6" w14:textId="77777777" w:rsidR="000D07EA" w:rsidRDefault="00BE7C89">
            <w:pPr>
              <w:pStyle w:val="BodyText"/>
              <w:spacing w:before="100" w:after="100"/>
              <w:rPr>
                <w:szCs w:val="20"/>
              </w:rPr>
            </w:pPr>
            <w:r>
              <w:rPr>
                <w:szCs w:val="20"/>
              </w:rPr>
              <w:lastRenderedPageBreak/>
              <w:t>Mobile Internet usage*</w:t>
            </w:r>
          </w:p>
        </w:tc>
        <w:tc>
          <w:tcPr>
            <w:tcW w:w="2520" w:type="dxa"/>
          </w:tcPr>
          <w:p w14:paraId="06182028" w14:textId="77777777" w:rsidR="000D07EA" w:rsidRDefault="00BE7C89">
            <w:pPr>
              <w:pStyle w:val="BodyText"/>
              <w:spacing w:before="100" w:after="100"/>
              <w:rPr>
                <w:szCs w:val="20"/>
              </w:rPr>
            </w:pPr>
            <w:r>
              <w:rPr>
                <w:szCs w:val="20"/>
              </w:rPr>
              <w:t>Yes, up to the monthly included data amount specified in Table 2A.</w:t>
            </w:r>
          </w:p>
        </w:tc>
      </w:tr>
      <w:tr w:rsidR="000D07EA" w14:paraId="61CA149B" w14:textId="77777777">
        <w:trPr>
          <w:trHeight w:val="20"/>
        </w:trPr>
        <w:tc>
          <w:tcPr>
            <w:tcW w:w="5875" w:type="dxa"/>
          </w:tcPr>
          <w:p w14:paraId="2EE37343" w14:textId="77777777" w:rsidR="000D07EA" w:rsidRDefault="00BE7C89">
            <w:pPr>
              <w:pStyle w:val="BodyText"/>
              <w:spacing w:before="100" w:after="100"/>
              <w:rPr>
                <w:szCs w:val="20"/>
              </w:rPr>
            </w:pPr>
            <w:r>
              <w:rPr>
                <w:szCs w:val="20"/>
              </w:rPr>
              <w:t>Mobile as Modem</w:t>
            </w:r>
          </w:p>
        </w:tc>
        <w:tc>
          <w:tcPr>
            <w:tcW w:w="2520" w:type="dxa"/>
          </w:tcPr>
          <w:p w14:paraId="66C9ABA0" w14:textId="77777777" w:rsidR="000D07EA" w:rsidRDefault="00BE7C89">
            <w:pPr>
              <w:pStyle w:val="BodyText"/>
              <w:spacing w:before="100" w:after="100"/>
              <w:rPr>
                <w:szCs w:val="20"/>
              </w:rPr>
            </w:pPr>
            <w:r>
              <w:rPr>
                <w:szCs w:val="20"/>
              </w:rPr>
              <w:t>No</w:t>
            </w:r>
          </w:p>
        </w:tc>
      </w:tr>
      <w:tr w:rsidR="000D07EA" w14:paraId="235D9D78" w14:textId="77777777">
        <w:trPr>
          <w:trHeight w:val="20"/>
        </w:trPr>
        <w:tc>
          <w:tcPr>
            <w:tcW w:w="5875" w:type="dxa"/>
          </w:tcPr>
          <w:p w14:paraId="20856556" w14:textId="77777777" w:rsidR="000D07EA" w:rsidRDefault="00BE7C89">
            <w:pPr>
              <w:pStyle w:val="BodyText"/>
              <w:spacing w:before="100" w:after="100"/>
              <w:rPr>
                <w:szCs w:val="20"/>
              </w:rPr>
            </w:pPr>
            <w:r>
              <w:rPr>
                <w:szCs w:val="20"/>
              </w:rPr>
              <w:t>Data Used while Roaming Internationally</w:t>
            </w:r>
          </w:p>
        </w:tc>
        <w:tc>
          <w:tcPr>
            <w:tcW w:w="2520" w:type="dxa"/>
          </w:tcPr>
          <w:p w14:paraId="388D64B7" w14:textId="77777777" w:rsidR="000D07EA" w:rsidRDefault="00BE7C89">
            <w:pPr>
              <w:pStyle w:val="BodyText"/>
              <w:spacing w:before="100" w:after="100"/>
              <w:rPr>
                <w:szCs w:val="20"/>
              </w:rPr>
            </w:pPr>
            <w:r>
              <w:rPr>
                <w:szCs w:val="20"/>
              </w:rPr>
              <w:t>No</w:t>
            </w:r>
          </w:p>
        </w:tc>
      </w:tr>
      <w:tr w:rsidR="000D07EA" w14:paraId="3BAC77B8" w14:textId="77777777">
        <w:trPr>
          <w:trHeight w:val="20"/>
        </w:trPr>
        <w:tc>
          <w:tcPr>
            <w:tcW w:w="5875" w:type="dxa"/>
          </w:tcPr>
          <w:p w14:paraId="596EC807" w14:textId="77777777" w:rsidR="000D07EA" w:rsidRDefault="00BE7C89">
            <w:pPr>
              <w:pStyle w:val="BodyText"/>
              <w:spacing w:before="100" w:after="100"/>
              <w:rPr>
                <w:szCs w:val="20"/>
              </w:rPr>
            </w:pPr>
            <w:r>
              <w:rPr>
                <w:szCs w:val="20"/>
              </w:rPr>
              <w:t xml:space="preserve">Content Packs </w:t>
            </w:r>
          </w:p>
        </w:tc>
        <w:tc>
          <w:tcPr>
            <w:tcW w:w="2520" w:type="dxa"/>
          </w:tcPr>
          <w:p w14:paraId="09FCA0AB" w14:textId="77777777" w:rsidR="000D07EA" w:rsidRDefault="00BE7C89">
            <w:pPr>
              <w:pStyle w:val="BodyText"/>
              <w:spacing w:before="100" w:after="100"/>
              <w:rPr>
                <w:szCs w:val="20"/>
              </w:rPr>
            </w:pPr>
            <w:r>
              <w:rPr>
                <w:szCs w:val="20"/>
              </w:rPr>
              <w:t>No</w:t>
            </w:r>
          </w:p>
        </w:tc>
      </w:tr>
      <w:tr w:rsidR="000D07EA" w14:paraId="635B40BD" w14:textId="77777777">
        <w:trPr>
          <w:trHeight w:val="20"/>
        </w:trPr>
        <w:tc>
          <w:tcPr>
            <w:tcW w:w="5875" w:type="dxa"/>
          </w:tcPr>
          <w:p w14:paraId="62799F24" w14:textId="77777777" w:rsidR="000D07EA" w:rsidRDefault="00BE7C89">
            <w:pPr>
              <w:pStyle w:val="BodyText"/>
              <w:spacing w:before="100" w:after="100"/>
              <w:rPr>
                <w:szCs w:val="20"/>
              </w:rPr>
            </w:pPr>
            <w:r>
              <w:rPr>
                <w:szCs w:val="20"/>
              </w:rPr>
              <w:t>TrueLocal Usage</w:t>
            </w:r>
          </w:p>
        </w:tc>
        <w:tc>
          <w:tcPr>
            <w:tcW w:w="2520" w:type="dxa"/>
          </w:tcPr>
          <w:p w14:paraId="6EDB04FD" w14:textId="77777777" w:rsidR="000D07EA" w:rsidRDefault="00BE7C89">
            <w:pPr>
              <w:pStyle w:val="BodyText"/>
              <w:spacing w:before="100" w:after="100"/>
              <w:rPr>
                <w:szCs w:val="20"/>
              </w:rPr>
            </w:pPr>
            <w:r>
              <w:rPr>
                <w:szCs w:val="20"/>
              </w:rPr>
              <w:t>No</w:t>
            </w:r>
          </w:p>
        </w:tc>
      </w:tr>
      <w:tr w:rsidR="000D07EA" w14:paraId="77CF5492" w14:textId="77777777">
        <w:trPr>
          <w:trHeight w:val="20"/>
        </w:trPr>
        <w:tc>
          <w:tcPr>
            <w:tcW w:w="5875" w:type="dxa"/>
          </w:tcPr>
          <w:p w14:paraId="3ECF82FA" w14:textId="77777777" w:rsidR="000D07EA" w:rsidRDefault="00BE7C89">
            <w:pPr>
              <w:pStyle w:val="BodyText"/>
              <w:spacing w:before="100" w:after="100"/>
              <w:rPr>
                <w:szCs w:val="20"/>
              </w:rPr>
            </w:pPr>
            <w:r>
              <w:rPr>
                <w:szCs w:val="20"/>
              </w:rPr>
              <w:t xml:space="preserve">Directory Assistance- 1223 </w:t>
            </w:r>
          </w:p>
        </w:tc>
        <w:tc>
          <w:tcPr>
            <w:tcW w:w="2520" w:type="dxa"/>
          </w:tcPr>
          <w:p w14:paraId="39E09560" w14:textId="77777777" w:rsidR="000D07EA" w:rsidRDefault="00BE7C89">
            <w:pPr>
              <w:pStyle w:val="BodyText"/>
              <w:spacing w:before="100" w:after="100"/>
              <w:rPr>
                <w:szCs w:val="20"/>
              </w:rPr>
            </w:pPr>
            <w:r>
              <w:rPr>
                <w:szCs w:val="20"/>
              </w:rPr>
              <w:t>No</w:t>
            </w:r>
          </w:p>
        </w:tc>
      </w:tr>
      <w:tr w:rsidR="000D07EA" w14:paraId="6DE7CF6F" w14:textId="77777777">
        <w:trPr>
          <w:trHeight w:val="20"/>
        </w:trPr>
        <w:tc>
          <w:tcPr>
            <w:tcW w:w="5875" w:type="dxa"/>
          </w:tcPr>
          <w:p w14:paraId="67EC56EE" w14:textId="77777777" w:rsidR="000D07EA" w:rsidRDefault="00BE7C89">
            <w:pPr>
              <w:pStyle w:val="BodyText"/>
              <w:spacing w:before="100" w:after="100"/>
              <w:rPr>
                <w:szCs w:val="20"/>
              </w:rPr>
            </w:pPr>
            <w:r>
              <w:rPr>
                <w:szCs w:val="20"/>
              </w:rPr>
              <w:t>19XX Numbers</w:t>
            </w:r>
          </w:p>
        </w:tc>
        <w:tc>
          <w:tcPr>
            <w:tcW w:w="2520" w:type="dxa"/>
          </w:tcPr>
          <w:p w14:paraId="70CFC5E5" w14:textId="77777777" w:rsidR="000D07EA" w:rsidRDefault="00BE7C89">
            <w:pPr>
              <w:pStyle w:val="BodyText"/>
              <w:spacing w:before="100" w:after="100"/>
              <w:rPr>
                <w:szCs w:val="20"/>
              </w:rPr>
            </w:pPr>
            <w:r>
              <w:rPr>
                <w:szCs w:val="20"/>
              </w:rPr>
              <w:t>No</w:t>
            </w:r>
          </w:p>
        </w:tc>
      </w:tr>
      <w:tr w:rsidR="000D07EA" w14:paraId="13F70001" w14:textId="77777777">
        <w:trPr>
          <w:trHeight w:val="20"/>
        </w:trPr>
        <w:tc>
          <w:tcPr>
            <w:tcW w:w="5875" w:type="dxa"/>
          </w:tcPr>
          <w:p w14:paraId="710DCF3B" w14:textId="77777777" w:rsidR="000D07EA" w:rsidRDefault="00BE7C89">
            <w:pPr>
              <w:pStyle w:val="BodyText"/>
              <w:spacing w:before="100" w:after="100"/>
              <w:rPr>
                <w:szCs w:val="20"/>
              </w:rPr>
            </w:pPr>
            <w:r>
              <w:rPr>
                <w:szCs w:val="20"/>
              </w:rPr>
              <w:t>1800, 13 and 1300 numbers</w:t>
            </w:r>
          </w:p>
        </w:tc>
        <w:tc>
          <w:tcPr>
            <w:tcW w:w="2520" w:type="dxa"/>
          </w:tcPr>
          <w:p w14:paraId="39D3F8A7" w14:textId="77777777" w:rsidR="000D07EA" w:rsidRDefault="00BE7C89">
            <w:pPr>
              <w:pStyle w:val="BodyText"/>
              <w:spacing w:before="100" w:after="100"/>
              <w:rPr>
                <w:szCs w:val="20"/>
              </w:rPr>
            </w:pPr>
            <w:r>
              <w:rPr>
                <w:szCs w:val="20"/>
              </w:rPr>
              <w:t>No</w:t>
            </w:r>
          </w:p>
        </w:tc>
      </w:tr>
      <w:tr w:rsidR="000D07EA" w14:paraId="611AFA6A" w14:textId="77777777">
        <w:trPr>
          <w:trHeight w:val="20"/>
        </w:trPr>
        <w:tc>
          <w:tcPr>
            <w:tcW w:w="5875" w:type="dxa"/>
          </w:tcPr>
          <w:p w14:paraId="05C7D7F8" w14:textId="77777777" w:rsidR="000D07EA" w:rsidRDefault="00BE7C89">
            <w:pPr>
              <w:pStyle w:val="BodyText"/>
              <w:spacing w:before="100" w:after="100"/>
              <w:rPr>
                <w:szCs w:val="20"/>
              </w:rPr>
            </w:pPr>
            <w:r>
              <w:rPr>
                <w:szCs w:val="20"/>
              </w:rPr>
              <w:t>124YES(937)</w:t>
            </w:r>
          </w:p>
        </w:tc>
        <w:tc>
          <w:tcPr>
            <w:tcW w:w="2520" w:type="dxa"/>
          </w:tcPr>
          <w:p w14:paraId="5EB50202" w14:textId="77777777" w:rsidR="000D07EA" w:rsidRDefault="00BE7C89">
            <w:pPr>
              <w:pStyle w:val="BodyText"/>
              <w:spacing w:before="100" w:after="100"/>
              <w:rPr>
                <w:szCs w:val="20"/>
              </w:rPr>
            </w:pPr>
            <w:r>
              <w:rPr>
                <w:szCs w:val="20"/>
              </w:rPr>
              <w:t>No</w:t>
            </w:r>
          </w:p>
        </w:tc>
      </w:tr>
      <w:tr w:rsidR="000D07EA" w14:paraId="107FFC64" w14:textId="77777777">
        <w:trPr>
          <w:trHeight w:val="20"/>
        </w:trPr>
        <w:tc>
          <w:tcPr>
            <w:tcW w:w="5875" w:type="dxa"/>
          </w:tcPr>
          <w:p w14:paraId="63059FBA" w14:textId="77777777" w:rsidR="000D07EA" w:rsidRDefault="00BE7C89">
            <w:pPr>
              <w:pStyle w:val="BodyText"/>
              <w:spacing w:before="100" w:after="100"/>
              <w:rPr>
                <w:szCs w:val="20"/>
              </w:rPr>
            </w:pPr>
            <w:r>
              <w:rPr>
                <w:szCs w:val="20"/>
              </w:rPr>
              <w:t>Calls to Satellite</w:t>
            </w:r>
          </w:p>
        </w:tc>
        <w:tc>
          <w:tcPr>
            <w:tcW w:w="2520" w:type="dxa"/>
          </w:tcPr>
          <w:p w14:paraId="69CD9FFF" w14:textId="77777777" w:rsidR="000D07EA" w:rsidRDefault="00BE7C89">
            <w:pPr>
              <w:pStyle w:val="BodyText"/>
              <w:spacing w:before="100" w:after="100"/>
              <w:rPr>
                <w:szCs w:val="20"/>
              </w:rPr>
            </w:pPr>
            <w:r>
              <w:rPr>
                <w:szCs w:val="20"/>
              </w:rPr>
              <w:t>No</w:t>
            </w:r>
          </w:p>
        </w:tc>
      </w:tr>
      <w:tr w:rsidR="000D07EA" w14:paraId="1434BBB2" w14:textId="77777777">
        <w:trPr>
          <w:trHeight w:val="20"/>
        </w:trPr>
        <w:tc>
          <w:tcPr>
            <w:tcW w:w="5875" w:type="dxa"/>
          </w:tcPr>
          <w:p w14:paraId="19023A62" w14:textId="77777777" w:rsidR="000D07EA" w:rsidRDefault="00BE7C89">
            <w:pPr>
              <w:pStyle w:val="BodyText"/>
              <w:spacing w:before="100" w:after="100"/>
              <w:rPr>
                <w:szCs w:val="20"/>
              </w:rPr>
            </w:pPr>
            <w:r>
              <w:rPr>
                <w:szCs w:val="20"/>
              </w:rPr>
              <w:t>VOIP services</w:t>
            </w:r>
          </w:p>
        </w:tc>
        <w:tc>
          <w:tcPr>
            <w:tcW w:w="2520" w:type="dxa"/>
          </w:tcPr>
          <w:p w14:paraId="058681F8" w14:textId="77777777" w:rsidR="000D07EA" w:rsidRDefault="00BE7C89">
            <w:pPr>
              <w:pStyle w:val="BodyText"/>
              <w:spacing w:before="100" w:after="100"/>
              <w:rPr>
                <w:szCs w:val="20"/>
              </w:rPr>
            </w:pPr>
            <w:r>
              <w:rPr>
                <w:szCs w:val="20"/>
              </w:rPr>
              <w:t>No</w:t>
            </w:r>
          </w:p>
        </w:tc>
      </w:tr>
      <w:tr w:rsidR="000D07EA" w14:paraId="3CC5A37E" w14:textId="77777777">
        <w:trPr>
          <w:trHeight w:val="20"/>
        </w:trPr>
        <w:tc>
          <w:tcPr>
            <w:tcW w:w="5875" w:type="dxa"/>
          </w:tcPr>
          <w:p w14:paraId="461162C5" w14:textId="77777777" w:rsidR="000D07EA" w:rsidRDefault="00BE7C89">
            <w:pPr>
              <w:pStyle w:val="BodyText"/>
              <w:spacing w:before="100" w:after="100"/>
              <w:rPr>
                <w:szCs w:val="20"/>
              </w:rPr>
            </w:pPr>
            <w:r>
              <w:rPr>
                <w:szCs w:val="20"/>
              </w:rPr>
              <w:t>Surepage</w:t>
            </w:r>
          </w:p>
        </w:tc>
        <w:tc>
          <w:tcPr>
            <w:tcW w:w="2520" w:type="dxa"/>
          </w:tcPr>
          <w:p w14:paraId="240707DE" w14:textId="77777777" w:rsidR="000D07EA" w:rsidRDefault="00BE7C89">
            <w:pPr>
              <w:pStyle w:val="BodyText"/>
              <w:spacing w:before="100" w:after="100"/>
              <w:rPr>
                <w:szCs w:val="20"/>
              </w:rPr>
            </w:pPr>
            <w:r>
              <w:rPr>
                <w:szCs w:val="20"/>
              </w:rPr>
              <w:t>No</w:t>
            </w:r>
          </w:p>
        </w:tc>
      </w:tr>
    </w:tbl>
    <w:p w14:paraId="051DFC6F" w14:textId="77777777" w:rsidR="000D07EA" w:rsidRDefault="000D07EA">
      <w:pPr>
        <w:pStyle w:val="BodyText"/>
      </w:pPr>
    </w:p>
    <w:p w14:paraId="6A69D1C3" w14:textId="77777777" w:rsidR="000D07EA" w:rsidRDefault="00BE7C89">
      <w:pPr>
        <w:pStyle w:val="BodyText"/>
        <w:ind w:left="720"/>
        <w:rPr>
          <w:b/>
        </w:rPr>
      </w:pPr>
      <w:r>
        <w:rPr>
          <w:b/>
        </w:rPr>
        <w:t>Table 1C – Eligible for Unlimited BlackBerry POP3 Email &amp; Browsing</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875"/>
        <w:gridCol w:w="2520"/>
      </w:tblGrid>
      <w:tr w:rsidR="000D07EA" w14:paraId="18D2C14A" w14:textId="77777777">
        <w:trPr>
          <w:trHeight w:val="58"/>
        </w:trPr>
        <w:tc>
          <w:tcPr>
            <w:tcW w:w="5875" w:type="dxa"/>
          </w:tcPr>
          <w:p w14:paraId="78A122D1" w14:textId="77777777" w:rsidR="000D07EA" w:rsidRDefault="00BE7C89">
            <w:pPr>
              <w:pStyle w:val="BodyText"/>
              <w:spacing w:before="100" w:after="100"/>
              <w:jc w:val="center"/>
              <w:rPr>
                <w:b/>
              </w:rPr>
            </w:pPr>
            <w:r>
              <w:rPr>
                <w:b/>
              </w:rPr>
              <w:t>Call Type</w:t>
            </w:r>
          </w:p>
        </w:tc>
        <w:tc>
          <w:tcPr>
            <w:tcW w:w="2520" w:type="dxa"/>
          </w:tcPr>
          <w:p w14:paraId="58C1AB3A" w14:textId="77777777" w:rsidR="000D07EA" w:rsidRDefault="00BE7C89">
            <w:pPr>
              <w:pStyle w:val="BodyText"/>
              <w:spacing w:before="100" w:after="100"/>
              <w:jc w:val="center"/>
              <w:rPr>
                <w:b/>
              </w:rPr>
            </w:pPr>
            <w:r>
              <w:rPr>
                <w:b/>
              </w:rPr>
              <w:t>Eligible Data</w:t>
            </w:r>
          </w:p>
        </w:tc>
      </w:tr>
      <w:tr w:rsidR="000D07EA" w14:paraId="6315546A" w14:textId="77777777">
        <w:trPr>
          <w:trHeight w:val="58"/>
        </w:trPr>
        <w:tc>
          <w:tcPr>
            <w:tcW w:w="5875" w:type="dxa"/>
          </w:tcPr>
          <w:p w14:paraId="684DF8F7" w14:textId="77777777" w:rsidR="000D07EA" w:rsidRDefault="00BE7C89">
            <w:pPr>
              <w:pStyle w:val="BodyText"/>
              <w:spacing w:before="100" w:after="100"/>
              <w:jc w:val="center"/>
            </w:pPr>
            <w:r>
              <w:t>BlackBerry Email (POP3)</w:t>
            </w:r>
          </w:p>
        </w:tc>
        <w:tc>
          <w:tcPr>
            <w:tcW w:w="2520" w:type="dxa"/>
          </w:tcPr>
          <w:p w14:paraId="125507B5" w14:textId="77777777" w:rsidR="000D07EA" w:rsidRDefault="00BE7C89">
            <w:pPr>
              <w:pStyle w:val="BodyText"/>
              <w:spacing w:before="100" w:after="100"/>
              <w:jc w:val="center"/>
            </w:pPr>
            <w:r>
              <w:t>Yes</w:t>
            </w:r>
          </w:p>
        </w:tc>
      </w:tr>
      <w:tr w:rsidR="000D07EA" w14:paraId="35CA2031" w14:textId="77777777">
        <w:trPr>
          <w:trHeight w:val="58"/>
        </w:trPr>
        <w:tc>
          <w:tcPr>
            <w:tcW w:w="5875" w:type="dxa"/>
          </w:tcPr>
          <w:p w14:paraId="4454400C" w14:textId="77777777" w:rsidR="000D07EA" w:rsidRDefault="00BE7C89">
            <w:pPr>
              <w:pStyle w:val="BodyText"/>
              <w:spacing w:before="100" w:after="100"/>
              <w:jc w:val="center"/>
            </w:pPr>
            <w:r>
              <w:t>Internet Browsing through the BlackBerry Browser</w:t>
            </w:r>
          </w:p>
        </w:tc>
        <w:tc>
          <w:tcPr>
            <w:tcW w:w="2520" w:type="dxa"/>
          </w:tcPr>
          <w:p w14:paraId="6F29E885" w14:textId="77777777" w:rsidR="000D07EA" w:rsidRDefault="00BE7C89">
            <w:pPr>
              <w:pStyle w:val="BodyText"/>
              <w:spacing w:before="100" w:after="100"/>
              <w:jc w:val="center"/>
            </w:pPr>
            <w:r>
              <w:t>Yes</w:t>
            </w:r>
          </w:p>
        </w:tc>
      </w:tr>
      <w:tr w:rsidR="000D07EA" w14:paraId="20C841AB" w14:textId="77777777">
        <w:trPr>
          <w:trHeight w:val="58"/>
        </w:trPr>
        <w:tc>
          <w:tcPr>
            <w:tcW w:w="5875" w:type="dxa"/>
          </w:tcPr>
          <w:p w14:paraId="2641C49B" w14:textId="77777777" w:rsidR="000D07EA" w:rsidRDefault="00BE7C89">
            <w:pPr>
              <w:pStyle w:val="BodyText"/>
              <w:spacing w:before="100" w:after="100"/>
              <w:jc w:val="center"/>
            </w:pPr>
            <w:r>
              <w:t>Optus Zoo downloads and subscriptions</w:t>
            </w:r>
          </w:p>
        </w:tc>
        <w:tc>
          <w:tcPr>
            <w:tcW w:w="2520" w:type="dxa"/>
          </w:tcPr>
          <w:p w14:paraId="442028C1" w14:textId="77777777" w:rsidR="000D07EA" w:rsidRDefault="00BE7C89">
            <w:pPr>
              <w:pStyle w:val="BodyText"/>
              <w:spacing w:before="100" w:after="100"/>
              <w:jc w:val="center"/>
            </w:pPr>
            <w:r>
              <w:t>No</w:t>
            </w:r>
          </w:p>
        </w:tc>
      </w:tr>
      <w:tr w:rsidR="000D07EA" w14:paraId="0A36001E" w14:textId="77777777">
        <w:trPr>
          <w:trHeight w:val="58"/>
        </w:trPr>
        <w:tc>
          <w:tcPr>
            <w:tcW w:w="5875" w:type="dxa"/>
          </w:tcPr>
          <w:p w14:paraId="3D8BF086" w14:textId="77777777" w:rsidR="000D07EA" w:rsidRDefault="00BE7C89">
            <w:pPr>
              <w:pStyle w:val="BodyText"/>
              <w:spacing w:before="100" w:after="100"/>
              <w:jc w:val="center"/>
            </w:pPr>
            <w:r>
              <w:t>Optus Zoo GPRS WAP browsing</w:t>
            </w:r>
          </w:p>
        </w:tc>
        <w:tc>
          <w:tcPr>
            <w:tcW w:w="2520" w:type="dxa"/>
          </w:tcPr>
          <w:p w14:paraId="3C970F62" w14:textId="77777777" w:rsidR="000D07EA" w:rsidRDefault="00BE7C89">
            <w:pPr>
              <w:pStyle w:val="BodyText"/>
              <w:spacing w:before="100" w:after="100"/>
              <w:jc w:val="center"/>
            </w:pPr>
            <w:r>
              <w:t>No</w:t>
            </w:r>
          </w:p>
        </w:tc>
      </w:tr>
      <w:tr w:rsidR="000D07EA" w14:paraId="3531CBBE" w14:textId="77777777">
        <w:trPr>
          <w:trHeight w:val="58"/>
        </w:trPr>
        <w:tc>
          <w:tcPr>
            <w:tcW w:w="5875" w:type="dxa"/>
          </w:tcPr>
          <w:p w14:paraId="54AF2662" w14:textId="77777777" w:rsidR="000D07EA" w:rsidRDefault="00BE7C89">
            <w:pPr>
              <w:pStyle w:val="BodyText"/>
              <w:spacing w:before="100" w:after="100"/>
              <w:jc w:val="center"/>
            </w:pPr>
            <w:r>
              <w:t>Applications from Optus and third party applications that require a BlackBerry Data connection</w:t>
            </w:r>
          </w:p>
        </w:tc>
        <w:tc>
          <w:tcPr>
            <w:tcW w:w="2520" w:type="dxa"/>
          </w:tcPr>
          <w:p w14:paraId="5E60733D" w14:textId="77777777" w:rsidR="000D07EA" w:rsidRDefault="00BE7C89">
            <w:pPr>
              <w:pStyle w:val="BodyText"/>
              <w:spacing w:before="100" w:after="100"/>
              <w:jc w:val="center"/>
            </w:pPr>
            <w:r>
              <w:t>Yes</w:t>
            </w:r>
          </w:p>
        </w:tc>
      </w:tr>
      <w:tr w:rsidR="000D07EA" w14:paraId="49E246D9" w14:textId="77777777">
        <w:trPr>
          <w:trHeight w:val="247"/>
        </w:trPr>
        <w:tc>
          <w:tcPr>
            <w:tcW w:w="5875" w:type="dxa"/>
          </w:tcPr>
          <w:p w14:paraId="52621708" w14:textId="77777777" w:rsidR="000D07EA" w:rsidRDefault="00BE7C89">
            <w:pPr>
              <w:pStyle w:val="BodyText"/>
              <w:spacing w:before="100" w:after="100"/>
              <w:jc w:val="center"/>
            </w:pPr>
            <w:r>
              <w:t>All other call types or usage</w:t>
            </w:r>
          </w:p>
        </w:tc>
        <w:tc>
          <w:tcPr>
            <w:tcW w:w="2520" w:type="dxa"/>
          </w:tcPr>
          <w:p w14:paraId="181A7409" w14:textId="77777777" w:rsidR="000D07EA" w:rsidRDefault="00BE7C89">
            <w:pPr>
              <w:pStyle w:val="BodyText"/>
              <w:spacing w:before="100" w:after="100"/>
              <w:jc w:val="center"/>
            </w:pPr>
            <w:r>
              <w:t>No</w:t>
            </w:r>
          </w:p>
        </w:tc>
      </w:tr>
    </w:tbl>
    <w:p w14:paraId="08C4DAE9" w14:textId="77777777" w:rsidR="000D07EA" w:rsidRDefault="000D07EA">
      <w:pPr>
        <w:pStyle w:val="BodyText"/>
      </w:pPr>
    </w:p>
    <w:p w14:paraId="030EDB97" w14:textId="77777777" w:rsidR="000D07EA" w:rsidRDefault="00BE7C89">
      <w:pPr>
        <w:pStyle w:val="BodyText"/>
        <w:ind w:left="720"/>
        <w:rPr>
          <w:b/>
        </w:rPr>
      </w:pPr>
      <w:r>
        <w:rPr>
          <w:b/>
        </w:rPr>
        <w:t>Table 2A – Charges and Plan Inclusions for the Business Complete Plans</w:t>
      </w:r>
    </w:p>
    <w:tbl>
      <w:tblPr>
        <w:tblW w:w="96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476"/>
        <w:gridCol w:w="1476"/>
        <w:gridCol w:w="1476"/>
        <w:gridCol w:w="1476"/>
        <w:gridCol w:w="1476"/>
      </w:tblGrid>
      <w:tr w:rsidR="000D07EA" w14:paraId="7A5501ED" w14:textId="77777777">
        <w:trPr>
          <w:tblHeader/>
        </w:trPr>
        <w:tc>
          <w:tcPr>
            <w:tcW w:w="2268" w:type="dxa"/>
            <w:shd w:val="clear" w:color="auto" w:fill="auto"/>
          </w:tcPr>
          <w:p w14:paraId="6C0AD325" w14:textId="77777777" w:rsidR="000D07EA" w:rsidRDefault="000D07EA">
            <w:pPr>
              <w:pStyle w:val="BodyText"/>
              <w:spacing w:before="100" w:after="100"/>
              <w:rPr>
                <w:b/>
                <w:szCs w:val="20"/>
              </w:rPr>
            </w:pPr>
          </w:p>
        </w:tc>
        <w:tc>
          <w:tcPr>
            <w:tcW w:w="1476" w:type="dxa"/>
            <w:shd w:val="clear" w:color="auto" w:fill="auto"/>
            <w:vAlign w:val="center"/>
          </w:tcPr>
          <w:p w14:paraId="7653217C" w14:textId="77777777" w:rsidR="000D07EA" w:rsidRDefault="00BE7C89">
            <w:pPr>
              <w:pStyle w:val="BodyText"/>
              <w:spacing w:before="100" w:after="100"/>
              <w:jc w:val="center"/>
              <w:rPr>
                <w:b/>
                <w:szCs w:val="20"/>
              </w:rPr>
            </w:pPr>
            <w:r>
              <w:rPr>
                <w:b/>
                <w:szCs w:val="20"/>
              </w:rPr>
              <w:t>$30 Business Complete Plan Premium (4G Sept 2012)</w:t>
            </w:r>
          </w:p>
        </w:tc>
        <w:tc>
          <w:tcPr>
            <w:tcW w:w="1476" w:type="dxa"/>
            <w:shd w:val="clear" w:color="auto" w:fill="auto"/>
          </w:tcPr>
          <w:p w14:paraId="6E388A4E" w14:textId="77777777" w:rsidR="000D07EA" w:rsidRDefault="00BE7C89">
            <w:pPr>
              <w:pStyle w:val="BodyText"/>
              <w:spacing w:before="100" w:after="100"/>
              <w:jc w:val="center"/>
              <w:rPr>
                <w:b/>
                <w:szCs w:val="20"/>
              </w:rPr>
            </w:pPr>
            <w:r>
              <w:rPr>
                <w:b/>
                <w:szCs w:val="20"/>
              </w:rPr>
              <w:t>$35 Business Complete Plan Premium (4G Sept 2012)</w:t>
            </w:r>
          </w:p>
        </w:tc>
        <w:tc>
          <w:tcPr>
            <w:tcW w:w="1476" w:type="dxa"/>
            <w:shd w:val="clear" w:color="auto" w:fill="auto"/>
          </w:tcPr>
          <w:p w14:paraId="0A1EC0B5" w14:textId="77777777" w:rsidR="000D07EA" w:rsidRDefault="00BE7C89">
            <w:pPr>
              <w:pStyle w:val="BodyText"/>
              <w:spacing w:before="100" w:after="100"/>
              <w:jc w:val="center"/>
              <w:rPr>
                <w:b/>
                <w:szCs w:val="20"/>
              </w:rPr>
            </w:pPr>
            <w:r>
              <w:rPr>
                <w:b/>
                <w:szCs w:val="20"/>
              </w:rPr>
              <w:t>$50 Business Complete Plan Premium (4G Sept 2012)</w:t>
            </w:r>
          </w:p>
        </w:tc>
        <w:tc>
          <w:tcPr>
            <w:tcW w:w="1476" w:type="dxa"/>
            <w:shd w:val="clear" w:color="auto" w:fill="auto"/>
            <w:vAlign w:val="center"/>
          </w:tcPr>
          <w:p w14:paraId="58D3A8A8" w14:textId="77777777" w:rsidR="000D07EA" w:rsidRDefault="00BE7C89">
            <w:pPr>
              <w:pStyle w:val="BodyText"/>
              <w:spacing w:before="100" w:after="100"/>
              <w:jc w:val="center"/>
              <w:rPr>
                <w:b/>
                <w:szCs w:val="20"/>
              </w:rPr>
            </w:pPr>
            <w:r>
              <w:rPr>
                <w:b/>
                <w:szCs w:val="20"/>
              </w:rPr>
              <w:t>$60 Business Complete Plan Premium (4G Sept 2012)</w:t>
            </w:r>
          </w:p>
        </w:tc>
        <w:tc>
          <w:tcPr>
            <w:tcW w:w="1476" w:type="dxa"/>
            <w:shd w:val="clear" w:color="auto" w:fill="auto"/>
            <w:vAlign w:val="center"/>
          </w:tcPr>
          <w:p w14:paraId="4AFA2B1E" w14:textId="77777777" w:rsidR="000D07EA" w:rsidRDefault="00BE7C89">
            <w:pPr>
              <w:pStyle w:val="BodyText"/>
              <w:spacing w:before="100" w:after="100"/>
              <w:jc w:val="center"/>
              <w:rPr>
                <w:b/>
                <w:szCs w:val="20"/>
              </w:rPr>
            </w:pPr>
            <w:r>
              <w:rPr>
                <w:b/>
                <w:szCs w:val="20"/>
              </w:rPr>
              <w:t>$80 Business Complete Plan Premium (4G Sept 2012)</w:t>
            </w:r>
          </w:p>
        </w:tc>
      </w:tr>
      <w:tr w:rsidR="000D07EA" w14:paraId="2FFC3644" w14:textId="77777777">
        <w:tc>
          <w:tcPr>
            <w:tcW w:w="2268" w:type="dxa"/>
            <w:shd w:val="clear" w:color="auto" w:fill="auto"/>
          </w:tcPr>
          <w:p w14:paraId="2A37CDBF" w14:textId="77777777" w:rsidR="000D07EA" w:rsidRDefault="00BE7C89">
            <w:pPr>
              <w:pStyle w:val="BodyText"/>
              <w:spacing w:before="100" w:after="100"/>
              <w:rPr>
                <w:b/>
                <w:szCs w:val="20"/>
              </w:rPr>
            </w:pPr>
            <w:r>
              <w:rPr>
                <w:b/>
                <w:szCs w:val="20"/>
              </w:rPr>
              <w:t>Minimum Monthly charge</w:t>
            </w:r>
          </w:p>
        </w:tc>
        <w:tc>
          <w:tcPr>
            <w:tcW w:w="1476" w:type="dxa"/>
            <w:shd w:val="clear" w:color="auto" w:fill="auto"/>
            <w:vAlign w:val="center"/>
          </w:tcPr>
          <w:p w14:paraId="39DCDA8D" w14:textId="77777777" w:rsidR="000D07EA" w:rsidRDefault="00BE7C89">
            <w:pPr>
              <w:pStyle w:val="BodyText"/>
              <w:spacing w:before="100" w:after="100"/>
              <w:jc w:val="center"/>
              <w:rPr>
                <w:szCs w:val="20"/>
              </w:rPr>
            </w:pPr>
            <w:r>
              <w:rPr>
                <w:szCs w:val="20"/>
              </w:rPr>
              <w:t>$30</w:t>
            </w:r>
          </w:p>
        </w:tc>
        <w:tc>
          <w:tcPr>
            <w:tcW w:w="1476" w:type="dxa"/>
            <w:shd w:val="clear" w:color="auto" w:fill="auto"/>
            <w:vAlign w:val="center"/>
          </w:tcPr>
          <w:p w14:paraId="68B9159B" w14:textId="77777777" w:rsidR="000D07EA" w:rsidRDefault="00BE7C89">
            <w:pPr>
              <w:pStyle w:val="BodyText"/>
              <w:spacing w:before="100" w:after="100"/>
              <w:jc w:val="center"/>
              <w:rPr>
                <w:szCs w:val="20"/>
              </w:rPr>
            </w:pPr>
            <w:r>
              <w:rPr>
                <w:szCs w:val="20"/>
              </w:rPr>
              <w:t>$35</w:t>
            </w:r>
          </w:p>
        </w:tc>
        <w:tc>
          <w:tcPr>
            <w:tcW w:w="1476" w:type="dxa"/>
            <w:shd w:val="clear" w:color="auto" w:fill="auto"/>
            <w:vAlign w:val="center"/>
          </w:tcPr>
          <w:p w14:paraId="1F7ED8F7" w14:textId="77777777" w:rsidR="000D07EA" w:rsidRDefault="00BE7C89">
            <w:pPr>
              <w:pStyle w:val="BodyText"/>
              <w:spacing w:before="100" w:after="100"/>
              <w:jc w:val="center"/>
              <w:rPr>
                <w:szCs w:val="20"/>
              </w:rPr>
            </w:pPr>
            <w:r>
              <w:rPr>
                <w:szCs w:val="20"/>
              </w:rPr>
              <w:t>$50</w:t>
            </w:r>
          </w:p>
        </w:tc>
        <w:tc>
          <w:tcPr>
            <w:tcW w:w="1476" w:type="dxa"/>
            <w:shd w:val="clear" w:color="auto" w:fill="auto"/>
            <w:vAlign w:val="center"/>
          </w:tcPr>
          <w:p w14:paraId="605646A8" w14:textId="77777777" w:rsidR="000D07EA" w:rsidRDefault="00BE7C89">
            <w:pPr>
              <w:pStyle w:val="BodyText"/>
              <w:spacing w:before="100" w:after="100"/>
              <w:jc w:val="center"/>
              <w:rPr>
                <w:szCs w:val="20"/>
              </w:rPr>
            </w:pPr>
            <w:r>
              <w:rPr>
                <w:szCs w:val="20"/>
              </w:rPr>
              <w:t>$60</w:t>
            </w:r>
          </w:p>
        </w:tc>
        <w:tc>
          <w:tcPr>
            <w:tcW w:w="1476" w:type="dxa"/>
            <w:shd w:val="clear" w:color="auto" w:fill="auto"/>
            <w:vAlign w:val="center"/>
          </w:tcPr>
          <w:p w14:paraId="68E18D72" w14:textId="77777777" w:rsidR="000D07EA" w:rsidRDefault="00BE7C89">
            <w:pPr>
              <w:pStyle w:val="BodyText"/>
              <w:spacing w:before="100" w:after="100"/>
              <w:jc w:val="center"/>
              <w:rPr>
                <w:szCs w:val="20"/>
              </w:rPr>
            </w:pPr>
            <w:r>
              <w:rPr>
                <w:szCs w:val="20"/>
              </w:rPr>
              <w:t>$80</w:t>
            </w:r>
          </w:p>
        </w:tc>
      </w:tr>
      <w:tr w:rsidR="000D07EA" w14:paraId="77FEDA5B" w14:textId="77777777">
        <w:tc>
          <w:tcPr>
            <w:tcW w:w="2268" w:type="dxa"/>
            <w:shd w:val="clear" w:color="auto" w:fill="auto"/>
          </w:tcPr>
          <w:p w14:paraId="79BA9F19" w14:textId="77777777" w:rsidR="000D07EA" w:rsidRDefault="00BE7C89">
            <w:pPr>
              <w:pStyle w:val="BodyText"/>
              <w:spacing w:before="100" w:after="100"/>
              <w:rPr>
                <w:b/>
                <w:szCs w:val="20"/>
              </w:rPr>
            </w:pPr>
            <w:r>
              <w:rPr>
                <w:b/>
                <w:szCs w:val="20"/>
              </w:rPr>
              <w:lastRenderedPageBreak/>
              <w:t>Monthly Included Mobile Internet Data</w:t>
            </w:r>
          </w:p>
        </w:tc>
        <w:tc>
          <w:tcPr>
            <w:tcW w:w="1476" w:type="dxa"/>
            <w:shd w:val="clear" w:color="auto" w:fill="auto"/>
            <w:vAlign w:val="center"/>
          </w:tcPr>
          <w:p w14:paraId="07767E77" w14:textId="77777777" w:rsidR="000D07EA" w:rsidRDefault="00BE7C89">
            <w:pPr>
              <w:pStyle w:val="BodyText"/>
              <w:spacing w:before="100" w:after="100"/>
              <w:jc w:val="center"/>
              <w:rPr>
                <w:szCs w:val="20"/>
              </w:rPr>
            </w:pPr>
            <w:r>
              <w:rPr>
                <w:szCs w:val="20"/>
              </w:rPr>
              <w:t>200MB</w:t>
            </w:r>
          </w:p>
        </w:tc>
        <w:tc>
          <w:tcPr>
            <w:tcW w:w="1476" w:type="dxa"/>
            <w:shd w:val="clear" w:color="auto" w:fill="auto"/>
            <w:vAlign w:val="center"/>
          </w:tcPr>
          <w:p w14:paraId="67DE62C9" w14:textId="77777777" w:rsidR="000D07EA" w:rsidRDefault="00BE7C89">
            <w:pPr>
              <w:pStyle w:val="BodyText"/>
              <w:spacing w:before="100" w:after="100"/>
              <w:jc w:val="center"/>
              <w:rPr>
                <w:szCs w:val="20"/>
              </w:rPr>
            </w:pPr>
            <w:r>
              <w:rPr>
                <w:szCs w:val="20"/>
              </w:rPr>
              <w:t>200MB</w:t>
            </w:r>
          </w:p>
        </w:tc>
        <w:tc>
          <w:tcPr>
            <w:tcW w:w="1476" w:type="dxa"/>
            <w:shd w:val="clear" w:color="auto" w:fill="auto"/>
            <w:vAlign w:val="center"/>
          </w:tcPr>
          <w:p w14:paraId="5980A4C4" w14:textId="77777777" w:rsidR="000D07EA" w:rsidRDefault="00BE7C89">
            <w:pPr>
              <w:pStyle w:val="BodyText"/>
              <w:spacing w:before="100" w:after="100"/>
              <w:jc w:val="center"/>
              <w:rPr>
                <w:szCs w:val="20"/>
              </w:rPr>
            </w:pPr>
            <w:r>
              <w:rPr>
                <w:szCs w:val="20"/>
              </w:rPr>
              <w:t>1GB</w:t>
            </w:r>
          </w:p>
        </w:tc>
        <w:tc>
          <w:tcPr>
            <w:tcW w:w="1476" w:type="dxa"/>
            <w:shd w:val="clear" w:color="auto" w:fill="auto"/>
            <w:vAlign w:val="center"/>
          </w:tcPr>
          <w:p w14:paraId="373DD4B0" w14:textId="77777777" w:rsidR="000D07EA" w:rsidRDefault="00BE7C89">
            <w:pPr>
              <w:pStyle w:val="BodyText"/>
              <w:spacing w:before="100" w:after="100"/>
              <w:jc w:val="center"/>
              <w:rPr>
                <w:szCs w:val="20"/>
              </w:rPr>
            </w:pPr>
            <w:r>
              <w:rPr>
                <w:szCs w:val="20"/>
              </w:rPr>
              <w:t>1.5GB</w:t>
            </w:r>
          </w:p>
        </w:tc>
        <w:tc>
          <w:tcPr>
            <w:tcW w:w="1476" w:type="dxa"/>
            <w:shd w:val="clear" w:color="auto" w:fill="auto"/>
            <w:vAlign w:val="center"/>
          </w:tcPr>
          <w:p w14:paraId="5A15237A" w14:textId="77777777" w:rsidR="000D07EA" w:rsidRDefault="00BE7C89">
            <w:pPr>
              <w:pStyle w:val="BodyText"/>
              <w:spacing w:before="100" w:after="100"/>
              <w:jc w:val="center"/>
              <w:rPr>
                <w:szCs w:val="20"/>
              </w:rPr>
            </w:pPr>
            <w:r>
              <w:rPr>
                <w:szCs w:val="20"/>
              </w:rPr>
              <w:t>2GB</w:t>
            </w:r>
          </w:p>
        </w:tc>
      </w:tr>
      <w:tr w:rsidR="000D07EA" w14:paraId="3E22F95A" w14:textId="77777777">
        <w:tc>
          <w:tcPr>
            <w:tcW w:w="2268" w:type="dxa"/>
            <w:shd w:val="clear" w:color="auto" w:fill="auto"/>
          </w:tcPr>
          <w:p w14:paraId="070BC980" w14:textId="77777777" w:rsidR="000D07EA" w:rsidRDefault="00BE7C89">
            <w:pPr>
              <w:pStyle w:val="BodyText"/>
              <w:spacing w:before="100" w:after="100"/>
              <w:rPr>
                <w:b/>
                <w:szCs w:val="20"/>
              </w:rPr>
            </w:pPr>
            <w:r>
              <w:rPr>
                <w:b/>
                <w:szCs w:val="20"/>
              </w:rPr>
              <w:t>Unlimited Mobile Access to Facebook®, Twitter, LinkedIn, eBay, Four Square, MySpace</w:t>
            </w:r>
          </w:p>
        </w:tc>
        <w:tc>
          <w:tcPr>
            <w:tcW w:w="1476" w:type="dxa"/>
            <w:shd w:val="clear" w:color="auto" w:fill="auto"/>
            <w:vAlign w:val="center"/>
          </w:tcPr>
          <w:p w14:paraId="6A3DF177" w14:textId="77777777" w:rsidR="000D07EA" w:rsidRDefault="00BE7C89">
            <w:pPr>
              <w:pStyle w:val="BodyText"/>
              <w:spacing w:before="100" w:after="100"/>
              <w:jc w:val="center"/>
              <w:rPr>
                <w:szCs w:val="20"/>
              </w:rPr>
            </w:pPr>
            <w:r>
              <w:rPr>
                <w:szCs w:val="20"/>
              </w:rPr>
              <w:t>Yes</w:t>
            </w:r>
          </w:p>
        </w:tc>
        <w:tc>
          <w:tcPr>
            <w:tcW w:w="1476" w:type="dxa"/>
            <w:shd w:val="clear" w:color="auto" w:fill="auto"/>
            <w:vAlign w:val="center"/>
          </w:tcPr>
          <w:p w14:paraId="65654462" w14:textId="77777777" w:rsidR="000D07EA" w:rsidRDefault="00BE7C89">
            <w:pPr>
              <w:pStyle w:val="BodyText"/>
              <w:spacing w:before="100" w:after="100"/>
              <w:jc w:val="center"/>
              <w:rPr>
                <w:szCs w:val="20"/>
              </w:rPr>
            </w:pPr>
            <w:r>
              <w:rPr>
                <w:szCs w:val="20"/>
              </w:rPr>
              <w:t>Yes</w:t>
            </w:r>
          </w:p>
        </w:tc>
        <w:tc>
          <w:tcPr>
            <w:tcW w:w="1476" w:type="dxa"/>
            <w:shd w:val="clear" w:color="auto" w:fill="auto"/>
            <w:vAlign w:val="center"/>
          </w:tcPr>
          <w:p w14:paraId="78FD61DA" w14:textId="77777777" w:rsidR="000D07EA" w:rsidRDefault="00BE7C89">
            <w:pPr>
              <w:pStyle w:val="BodyText"/>
              <w:spacing w:before="100" w:after="100"/>
              <w:jc w:val="center"/>
              <w:rPr>
                <w:szCs w:val="20"/>
              </w:rPr>
            </w:pPr>
            <w:r>
              <w:rPr>
                <w:szCs w:val="20"/>
              </w:rPr>
              <w:t>Yes</w:t>
            </w:r>
          </w:p>
        </w:tc>
        <w:tc>
          <w:tcPr>
            <w:tcW w:w="1476" w:type="dxa"/>
            <w:shd w:val="clear" w:color="auto" w:fill="auto"/>
            <w:vAlign w:val="center"/>
          </w:tcPr>
          <w:p w14:paraId="2B9FEADF" w14:textId="77777777" w:rsidR="000D07EA" w:rsidRDefault="00BE7C89">
            <w:pPr>
              <w:pStyle w:val="BodyText"/>
              <w:spacing w:before="100" w:after="100"/>
              <w:jc w:val="center"/>
              <w:rPr>
                <w:szCs w:val="20"/>
              </w:rPr>
            </w:pPr>
            <w:r>
              <w:rPr>
                <w:szCs w:val="20"/>
              </w:rPr>
              <w:t>Yes</w:t>
            </w:r>
          </w:p>
        </w:tc>
        <w:tc>
          <w:tcPr>
            <w:tcW w:w="1476" w:type="dxa"/>
            <w:shd w:val="clear" w:color="auto" w:fill="auto"/>
            <w:vAlign w:val="center"/>
          </w:tcPr>
          <w:p w14:paraId="31023E76" w14:textId="77777777" w:rsidR="000D07EA" w:rsidRDefault="00BE7C89">
            <w:pPr>
              <w:pStyle w:val="BodyText"/>
              <w:spacing w:before="100" w:after="100"/>
              <w:jc w:val="center"/>
              <w:rPr>
                <w:szCs w:val="20"/>
              </w:rPr>
            </w:pPr>
            <w:r>
              <w:rPr>
                <w:szCs w:val="20"/>
              </w:rPr>
              <w:t>Yes</w:t>
            </w:r>
          </w:p>
        </w:tc>
      </w:tr>
      <w:tr w:rsidR="000D07EA" w14:paraId="0B66BA2C" w14:textId="77777777">
        <w:tc>
          <w:tcPr>
            <w:tcW w:w="2268" w:type="dxa"/>
            <w:shd w:val="clear" w:color="auto" w:fill="auto"/>
          </w:tcPr>
          <w:p w14:paraId="5EC4CC48" w14:textId="77777777" w:rsidR="000D07EA" w:rsidRDefault="00BE7C89">
            <w:pPr>
              <w:pStyle w:val="BodyText"/>
              <w:spacing w:before="100" w:after="100"/>
              <w:rPr>
                <w:b/>
                <w:szCs w:val="20"/>
              </w:rPr>
            </w:pPr>
            <w:r>
              <w:rPr>
                <w:b/>
                <w:szCs w:val="20"/>
              </w:rPr>
              <w:t>'Included Value' per month</w:t>
            </w:r>
          </w:p>
        </w:tc>
        <w:tc>
          <w:tcPr>
            <w:tcW w:w="1476" w:type="dxa"/>
            <w:shd w:val="clear" w:color="auto" w:fill="auto"/>
            <w:vAlign w:val="center"/>
          </w:tcPr>
          <w:p w14:paraId="3EDDD726" w14:textId="77777777" w:rsidR="000D07EA" w:rsidRDefault="00BE7C89">
            <w:pPr>
              <w:pStyle w:val="BodyText"/>
              <w:spacing w:before="100" w:after="100"/>
              <w:jc w:val="center"/>
              <w:rPr>
                <w:szCs w:val="20"/>
              </w:rPr>
            </w:pPr>
            <w:r>
              <w:rPr>
                <w:szCs w:val="20"/>
              </w:rPr>
              <w:t>$200</w:t>
            </w:r>
          </w:p>
        </w:tc>
        <w:tc>
          <w:tcPr>
            <w:tcW w:w="1476" w:type="dxa"/>
            <w:shd w:val="clear" w:color="auto" w:fill="auto"/>
            <w:vAlign w:val="center"/>
          </w:tcPr>
          <w:p w14:paraId="5F93A358" w14:textId="77777777" w:rsidR="000D07EA" w:rsidRDefault="00BE7C89">
            <w:pPr>
              <w:pStyle w:val="BodyText"/>
              <w:spacing w:before="100" w:after="100"/>
              <w:jc w:val="center"/>
              <w:rPr>
                <w:szCs w:val="20"/>
              </w:rPr>
            </w:pPr>
            <w:r>
              <w:rPr>
                <w:szCs w:val="20"/>
              </w:rPr>
              <w:t>$200</w:t>
            </w:r>
          </w:p>
        </w:tc>
        <w:tc>
          <w:tcPr>
            <w:tcW w:w="1476" w:type="dxa"/>
            <w:shd w:val="clear" w:color="auto" w:fill="auto"/>
            <w:vAlign w:val="center"/>
          </w:tcPr>
          <w:p w14:paraId="3DEE5F4E" w14:textId="77777777" w:rsidR="000D07EA" w:rsidRDefault="00BE7C89">
            <w:pPr>
              <w:pStyle w:val="BodyText"/>
              <w:spacing w:before="100" w:after="100"/>
              <w:jc w:val="center"/>
              <w:rPr>
                <w:szCs w:val="20"/>
              </w:rPr>
            </w:pPr>
            <w:r>
              <w:rPr>
                <w:szCs w:val="20"/>
              </w:rPr>
              <w:t>$500</w:t>
            </w:r>
          </w:p>
        </w:tc>
        <w:tc>
          <w:tcPr>
            <w:tcW w:w="1476" w:type="dxa"/>
            <w:shd w:val="clear" w:color="auto" w:fill="auto"/>
            <w:vAlign w:val="center"/>
          </w:tcPr>
          <w:p w14:paraId="7CCB023B" w14:textId="77777777" w:rsidR="000D07EA" w:rsidRDefault="00BE7C89">
            <w:pPr>
              <w:pStyle w:val="BodyText"/>
              <w:spacing w:before="100" w:after="100"/>
              <w:jc w:val="center"/>
              <w:rPr>
                <w:szCs w:val="20"/>
              </w:rPr>
            </w:pPr>
            <w:r>
              <w:rPr>
                <w:szCs w:val="20"/>
              </w:rPr>
              <w:t>$650</w:t>
            </w:r>
          </w:p>
        </w:tc>
        <w:tc>
          <w:tcPr>
            <w:tcW w:w="1476" w:type="dxa"/>
            <w:shd w:val="clear" w:color="auto" w:fill="auto"/>
            <w:vAlign w:val="center"/>
          </w:tcPr>
          <w:p w14:paraId="13219BE7" w14:textId="77777777" w:rsidR="000D07EA" w:rsidRDefault="00BE7C89">
            <w:pPr>
              <w:pStyle w:val="BodyText"/>
              <w:spacing w:before="100" w:after="100"/>
              <w:jc w:val="center"/>
              <w:rPr>
                <w:szCs w:val="20"/>
              </w:rPr>
            </w:pPr>
            <w:r>
              <w:rPr>
                <w:szCs w:val="20"/>
              </w:rPr>
              <w:t>$850</w:t>
            </w:r>
          </w:p>
        </w:tc>
      </w:tr>
      <w:tr w:rsidR="000D07EA" w14:paraId="380BB59C" w14:textId="77777777">
        <w:tc>
          <w:tcPr>
            <w:tcW w:w="2268" w:type="dxa"/>
            <w:shd w:val="clear" w:color="auto" w:fill="auto"/>
          </w:tcPr>
          <w:p w14:paraId="7F00E7DF" w14:textId="77777777" w:rsidR="000D07EA" w:rsidRDefault="00BE7C89">
            <w:pPr>
              <w:pStyle w:val="BodyText"/>
              <w:spacing w:before="100" w:after="100"/>
              <w:rPr>
                <w:b/>
                <w:szCs w:val="20"/>
              </w:rPr>
            </w:pPr>
            <w:r>
              <w:rPr>
                <w:b/>
                <w:szCs w:val="20"/>
              </w:rPr>
              <w:t>Unlimited Standard National SMS</w:t>
            </w:r>
          </w:p>
        </w:tc>
        <w:tc>
          <w:tcPr>
            <w:tcW w:w="1476" w:type="dxa"/>
            <w:shd w:val="clear" w:color="auto" w:fill="auto"/>
            <w:vAlign w:val="center"/>
          </w:tcPr>
          <w:p w14:paraId="60CC5790" w14:textId="77777777" w:rsidR="000D07EA" w:rsidRDefault="00BE7C89">
            <w:pPr>
              <w:pStyle w:val="BodyText"/>
              <w:spacing w:before="100" w:after="100"/>
              <w:jc w:val="center"/>
              <w:rPr>
                <w:szCs w:val="20"/>
              </w:rPr>
            </w:pPr>
            <w:r>
              <w:rPr>
                <w:szCs w:val="20"/>
              </w:rPr>
              <w:t>No</w:t>
            </w:r>
          </w:p>
        </w:tc>
        <w:tc>
          <w:tcPr>
            <w:tcW w:w="1476" w:type="dxa"/>
            <w:shd w:val="clear" w:color="auto" w:fill="auto"/>
            <w:vAlign w:val="center"/>
          </w:tcPr>
          <w:p w14:paraId="1A480B67" w14:textId="77777777" w:rsidR="000D07EA" w:rsidRDefault="00BE7C89">
            <w:pPr>
              <w:pStyle w:val="BodyText"/>
              <w:spacing w:before="100" w:after="100"/>
              <w:jc w:val="center"/>
              <w:rPr>
                <w:szCs w:val="20"/>
              </w:rPr>
            </w:pPr>
            <w:r>
              <w:rPr>
                <w:szCs w:val="20"/>
              </w:rPr>
              <w:t>Yes</w:t>
            </w:r>
          </w:p>
        </w:tc>
        <w:tc>
          <w:tcPr>
            <w:tcW w:w="1476" w:type="dxa"/>
            <w:shd w:val="clear" w:color="auto" w:fill="auto"/>
            <w:vAlign w:val="center"/>
          </w:tcPr>
          <w:p w14:paraId="58EA2AF5" w14:textId="77777777" w:rsidR="000D07EA" w:rsidRDefault="00BE7C89">
            <w:pPr>
              <w:pStyle w:val="BodyText"/>
              <w:spacing w:before="100" w:after="100"/>
              <w:jc w:val="center"/>
              <w:rPr>
                <w:szCs w:val="20"/>
              </w:rPr>
            </w:pPr>
            <w:r>
              <w:rPr>
                <w:szCs w:val="20"/>
              </w:rPr>
              <w:t>Yes</w:t>
            </w:r>
          </w:p>
        </w:tc>
        <w:tc>
          <w:tcPr>
            <w:tcW w:w="1476" w:type="dxa"/>
            <w:shd w:val="clear" w:color="auto" w:fill="auto"/>
            <w:vAlign w:val="center"/>
          </w:tcPr>
          <w:p w14:paraId="2A7EF037" w14:textId="77777777" w:rsidR="000D07EA" w:rsidRDefault="00BE7C89">
            <w:pPr>
              <w:pStyle w:val="BodyText"/>
              <w:spacing w:before="100" w:after="100"/>
              <w:jc w:val="center"/>
              <w:rPr>
                <w:szCs w:val="20"/>
              </w:rPr>
            </w:pPr>
            <w:r>
              <w:rPr>
                <w:szCs w:val="20"/>
              </w:rPr>
              <w:t>Yes</w:t>
            </w:r>
          </w:p>
        </w:tc>
        <w:tc>
          <w:tcPr>
            <w:tcW w:w="1476" w:type="dxa"/>
            <w:shd w:val="clear" w:color="auto" w:fill="auto"/>
            <w:vAlign w:val="center"/>
          </w:tcPr>
          <w:p w14:paraId="62D24771" w14:textId="77777777" w:rsidR="000D07EA" w:rsidRDefault="00BE7C89">
            <w:pPr>
              <w:pStyle w:val="BodyText"/>
              <w:spacing w:before="100" w:after="100"/>
              <w:jc w:val="center"/>
              <w:rPr>
                <w:szCs w:val="20"/>
              </w:rPr>
            </w:pPr>
            <w:r>
              <w:rPr>
                <w:szCs w:val="20"/>
              </w:rPr>
              <w:t>Yes</w:t>
            </w:r>
          </w:p>
        </w:tc>
      </w:tr>
      <w:tr w:rsidR="000D07EA" w14:paraId="6D14A294" w14:textId="77777777">
        <w:tc>
          <w:tcPr>
            <w:tcW w:w="2268" w:type="dxa"/>
            <w:shd w:val="clear" w:color="auto" w:fill="auto"/>
          </w:tcPr>
          <w:p w14:paraId="3442E94E" w14:textId="77777777" w:rsidR="000D07EA" w:rsidRDefault="00BE7C89">
            <w:pPr>
              <w:pStyle w:val="BodyText"/>
              <w:spacing w:before="100" w:after="100"/>
              <w:rPr>
                <w:b/>
                <w:szCs w:val="20"/>
              </w:rPr>
            </w:pPr>
            <w:r>
              <w:rPr>
                <w:b/>
                <w:szCs w:val="20"/>
              </w:rPr>
              <w:t xml:space="preserve">Unlimited voice calls to Optus mobiles on the same Customer Account Number Offer to use within Australia </w:t>
            </w:r>
          </w:p>
        </w:tc>
        <w:tc>
          <w:tcPr>
            <w:tcW w:w="1476" w:type="dxa"/>
            <w:shd w:val="clear" w:color="auto" w:fill="auto"/>
            <w:vAlign w:val="center"/>
          </w:tcPr>
          <w:p w14:paraId="05FD21B1" w14:textId="77777777" w:rsidR="000D07EA" w:rsidRDefault="00BE7C89">
            <w:pPr>
              <w:pStyle w:val="BodyText"/>
              <w:spacing w:before="100" w:after="100"/>
              <w:jc w:val="center"/>
              <w:rPr>
                <w:szCs w:val="20"/>
              </w:rPr>
            </w:pPr>
            <w:r>
              <w:rPr>
                <w:szCs w:val="20"/>
              </w:rPr>
              <w:t>Yes</w:t>
            </w:r>
          </w:p>
        </w:tc>
        <w:tc>
          <w:tcPr>
            <w:tcW w:w="1476" w:type="dxa"/>
            <w:shd w:val="clear" w:color="auto" w:fill="auto"/>
            <w:vAlign w:val="center"/>
          </w:tcPr>
          <w:p w14:paraId="5B023A4C" w14:textId="77777777" w:rsidR="000D07EA" w:rsidRDefault="00BE7C89">
            <w:pPr>
              <w:pStyle w:val="BodyText"/>
              <w:spacing w:before="100" w:after="100"/>
              <w:jc w:val="center"/>
              <w:rPr>
                <w:szCs w:val="20"/>
              </w:rPr>
            </w:pPr>
            <w:r>
              <w:rPr>
                <w:szCs w:val="20"/>
              </w:rPr>
              <w:t>Yes</w:t>
            </w:r>
          </w:p>
        </w:tc>
        <w:tc>
          <w:tcPr>
            <w:tcW w:w="1476" w:type="dxa"/>
            <w:shd w:val="clear" w:color="auto" w:fill="auto"/>
            <w:vAlign w:val="center"/>
          </w:tcPr>
          <w:p w14:paraId="7F835BE2" w14:textId="77777777" w:rsidR="000D07EA" w:rsidRDefault="00BE7C89">
            <w:pPr>
              <w:pStyle w:val="BodyText"/>
              <w:spacing w:before="100" w:after="100"/>
              <w:jc w:val="center"/>
              <w:rPr>
                <w:szCs w:val="20"/>
              </w:rPr>
            </w:pPr>
            <w:r>
              <w:rPr>
                <w:szCs w:val="20"/>
              </w:rPr>
              <w:t>Yes</w:t>
            </w:r>
          </w:p>
        </w:tc>
        <w:tc>
          <w:tcPr>
            <w:tcW w:w="1476" w:type="dxa"/>
            <w:shd w:val="clear" w:color="auto" w:fill="auto"/>
            <w:vAlign w:val="center"/>
          </w:tcPr>
          <w:p w14:paraId="6D68EAFB" w14:textId="77777777" w:rsidR="000D07EA" w:rsidRDefault="00BE7C89">
            <w:pPr>
              <w:pStyle w:val="BodyText"/>
              <w:spacing w:before="100" w:after="100"/>
              <w:jc w:val="center"/>
              <w:rPr>
                <w:szCs w:val="20"/>
              </w:rPr>
            </w:pPr>
            <w:r>
              <w:rPr>
                <w:szCs w:val="20"/>
              </w:rPr>
              <w:t>Yes</w:t>
            </w:r>
          </w:p>
        </w:tc>
        <w:tc>
          <w:tcPr>
            <w:tcW w:w="1476" w:type="dxa"/>
            <w:shd w:val="clear" w:color="auto" w:fill="auto"/>
            <w:vAlign w:val="center"/>
          </w:tcPr>
          <w:p w14:paraId="6D0B7F04" w14:textId="77777777" w:rsidR="000D07EA" w:rsidRDefault="00BE7C89">
            <w:pPr>
              <w:pStyle w:val="BodyText"/>
              <w:spacing w:before="100" w:after="100"/>
              <w:jc w:val="center"/>
              <w:rPr>
                <w:szCs w:val="20"/>
              </w:rPr>
            </w:pPr>
            <w:r>
              <w:rPr>
                <w:szCs w:val="20"/>
              </w:rPr>
              <w:t>Yes</w:t>
            </w:r>
          </w:p>
        </w:tc>
      </w:tr>
      <w:tr w:rsidR="000D07EA" w14:paraId="1DE67B4E" w14:textId="77777777">
        <w:tc>
          <w:tcPr>
            <w:tcW w:w="2268" w:type="dxa"/>
            <w:shd w:val="clear" w:color="auto" w:fill="auto"/>
          </w:tcPr>
          <w:p w14:paraId="4BADF7C8" w14:textId="77777777" w:rsidR="000D07EA" w:rsidRDefault="00BE7C89">
            <w:pPr>
              <w:pStyle w:val="BodyText"/>
              <w:spacing w:before="100" w:after="100"/>
              <w:rPr>
                <w:b/>
                <w:szCs w:val="20"/>
              </w:rPr>
            </w:pPr>
            <w:r>
              <w:rPr>
                <w:b/>
                <w:szCs w:val="20"/>
              </w:rPr>
              <w:t>Unlimited Standard National Voice Calls to Optus mobiles within Australia</w:t>
            </w:r>
          </w:p>
        </w:tc>
        <w:tc>
          <w:tcPr>
            <w:tcW w:w="1476" w:type="dxa"/>
            <w:shd w:val="clear" w:color="auto" w:fill="auto"/>
            <w:vAlign w:val="center"/>
          </w:tcPr>
          <w:p w14:paraId="6C07A2C6" w14:textId="77777777" w:rsidR="000D07EA" w:rsidRDefault="00BE7C89">
            <w:pPr>
              <w:pStyle w:val="BodyText"/>
              <w:spacing w:before="100" w:after="100"/>
              <w:jc w:val="center"/>
              <w:rPr>
                <w:szCs w:val="20"/>
              </w:rPr>
            </w:pPr>
            <w:r>
              <w:rPr>
                <w:szCs w:val="20"/>
              </w:rPr>
              <w:t>No</w:t>
            </w:r>
          </w:p>
        </w:tc>
        <w:tc>
          <w:tcPr>
            <w:tcW w:w="1476" w:type="dxa"/>
            <w:shd w:val="clear" w:color="auto" w:fill="auto"/>
            <w:vAlign w:val="center"/>
          </w:tcPr>
          <w:p w14:paraId="7BFC6E14" w14:textId="77777777" w:rsidR="000D07EA" w:rsidRDefault="00BE7C89">
            <w:pPr>
              <w:pStyle w:val="BodyText"/>
              <w:spacing w:before="100" w:after="100"/>
              <w:jc w:val="center"/>
              <w:rPr>
                <w:szCs w:val="20"/>
              </w:rPr>
            </w:pPr>
            <w:r>
              <w:rPr>
                <w:szCs w:val="20"/>
              </w:rPr>
              <w:t>No</w:t>
            </w:r>
          </w:p>
        </w:tc>
        <w:tc>
          <w:tcPr>
            <w:tcW w:w="1476" w:type="dxa"/>
            <w:shd w:val="clear" w:color="auto" w:fill="auto"/>
            <w:vAlign w:val="center"/>
          </w:tcPr>
          <w:p w14:paraId="1E17E1B0" w14:textId="77777777" w:rsidR="000D07EA" w:rsidRDefault="00BE7C89">
            <w:pPr>
              <w:pStyle w:val="BodyText"/>
              <w:spacing w:before="100" w:after="100"/>
              <w:jc w:val="center"/>
              <w:rPr>
                <w:szCs w:val="20"/>
              </w:rPr>
            </w:pPr>
            <w:r>
              <w:rPr>
                <w:szCs w:val="20"/>
              </w:rPr>
              <w:t>Yes</w:t>
            </w:r>
          </w:p>
        </w:tc>
        <w:tc>
          <w:tcPr>
            <w:tcW w:w="1476" w:type="dxa"/>
            <w:shd w:val="clear" w:color="auto" w:fill="auto"/>
            <w:vAlign w:val="center"/>
          </w:tcPr>
          <w:p w14:paraId="1539F07C" w14:textId="77777777" w:rsidR="000D07EA" w:rsidRDefault="00BE7C89">
            <w:pPr>
              <w:pStyle w:val="BodyText"/>
              <w:spacing w:before="100" w:after="100"/>
              <w:jc w:val="center"/>
              <w:rPr>
                <w:szCs w:val="20"/>
              </w:rPr>
            </w:pPr>
            <w:r>
              <w:rPr>
                <w:szCs w:val="20"/>
              </w:rPr>
              <w:t>Yes</w:t>
            </w:r>
          </w:p>
        </w:tc>
        <w:tc>
          <w:tcPr>
            <w:tcW w:w="1476" w:type="dxa"/>
            <w:shd w:val="clear" w:color="auto" w:fill="auto"/>
            <w:vAlign w:val="center"/>
          </w:tcPr>
          <w:p w14:paraId="6ACB8CD3" w14:textId="77777777" w:rsidR="000D07EA" w:rsidRDefault="00BE7C89">
            <w:pPr>
              <w:pStyle w:val="BodyText"/>
              <w:spacing w:before="100" w:after="100"/>
              <w:jc w:val="center"/>
              <w:rPr>
                <w:szCs w:val="20"/>
              </w:rPr>
            </w:pPr>
            <w:r>
              <w:rPr>
                <w:szCs w:val="20"/>
              </w:rPr>
              <w:t>Yes</w:t>
            </w:r>
          </w:p>
        </w:tc>
      </w:tr>
      <w:tr w:rsidR="000D07EA" w14:paraId="2F00F445" w14:textId="77777777">
        <w:tc>
          <w:tcPr>
            <w:tcW w:w="2268" w:type="dxa"/>
            <w:shd w:val="clear" w:color="auto" w:fill="auto"/>
          </w:tcPr>
          <w:p w14:paraId="2E153488" w14:textId="77777777" w:rsidR="000D07EA" w:rsidRDefault="00BE7C89">
            <w:pPr>
              <w:pStyle w:val="BodyText"/>
              <w:spacing w:before="100" w:after="100"/>
              <w:rPr>
                <w:b/>
                <w:szCs w:val="20"/>
              </w:rPr>
            </w:pPr>
            <w:r>
              <w:rPr>
                <w:b/>
                <w:szCs w:val="20"/>
              </w:rPr>
              <w:t xml:space="preserve">Standard National Voice call charges </w:t>
            </w:r>
            <w:r>
              <w:rPr>
                <w:szCs w:val="20"/>
              </w:rPr>
              <w:t>(per minute) (excluding flagfall)</w:t>
            </w:r>
          </w:p>
        </w:tc>
        <w:tc>
          <w:tcPr>
            <w:tcW w:w="1476" w:type="dxa"/>
            <w:shd w:val="clear" w:color="auto" w:fill="auto"/>
            <w:vAlign w:val="center"/>
          </w:tcPr>
          <w:p w14:paraId="7E8D0D09" w14:textId="77777777" w:rsidR="000D07EA" w:rsidRDefault="00BE7C89">
            <w:pPr>
              <w:pStyle w:val="BodyText"/>
              <w:spacing w:before="100" w:after="100"/>
              <w:jc w:val="center"/>
              <w:rPr>
                <w:szCs w:val="20"/>
              </w:rPr>
            </w:pPr>
            <w:r>
              <w:rPr>
                <w:szCs w:val="20"/>
              </w:rPr>
              <w:t>$0.90</w:t>
            </w:r>
          </w:p>
        </w:tc>
        <w:tc>
          <w:tcPr>
            <w:tcW w:w="1476" w:type="dxa"/>
            <w:shd w:val="clear" w:color="auto" w:fill="auto"/>
            <w:vAlign w:val="center"/>
          </w:tcPr>
          <w:p w14:paraId="043A04FD" w14:textId="77777777" w:rsidR="000D07EA" w:rsidRDefault="00BE7C89">
            <w:pPr>
              <w:pStyle w:val="BodyText"/>
              <w:spacing w:before="100" w:after="100"/>
              <w:jc w:val="center"/>
              <w:rPr>
                <w:szCs w:val="20"/>
              </w:rPr>
            </w:pPr>
            <w:r>
              <w:rPr>
                <w:szCs w:val="20"/>
              </w:rPr>
              <w:t>$0.90</w:t>
            </w:r>
          </w:p>
        </w:tc>
        <w:tc>
          <w:tcPr>
            <w:tcW w:w="1476" w:type="dxa"/>
            <w:shd w:val="clear" w:color="auto" w:fill="auto"/>
            <w:vAlign w:val="center"/>
          </w:tcPr>
          <w:p w14:paraId="40DE14FC" w14:textId="77777777" w:rsidR="000D07EA" w:rsidRDefault="00BE7C89">
            <w:pPr>
              <w:pStyle w:val="BodyText"/>
              <w:spacing w:before="100" w:after="100"/>
              <w:jc w:val="center"/>
              <w:rPr>
                <w:szCs w:val="20"/>
              </w:rPr>
            </w:pPr>
            <w:r>
              <w:rPr>
                <w:szCs w:val="20"/>
              </w:rPr>
              <w:t>$0.90</w:t>
            </w:r>
          </w:p>
        </w:tc>
        <w:tc>
          <w:tcPr>
            <w:tcW w:w="1476" w:type="dxa"/>
            <w:shd w:val="clear" w:color="auto" w:fill="auto"/>
            <w:vAlign w:val="center"/>
          </w:tcPr>
          <w:p w14:paraId="22D7CE6E" w14:textId="77777777" w:rsidR="000D07EA" w:rsidRDefault="00BE7C89">
            <w:pPr>
              <w:pStyle w:val="BodyText"/>
              <w:spacing w:before="100" w:after="100"/>
              <w:jc w:val="center"/>
              <w:rPr>
                <w:szCs w:val="20"/>
              </w:rPr>
            </w:pPr>
            <w:r>
              <w:rPr>
                <w:szCs w:val="20"/>
              </w:rPr>
              <w:t>$0.90</w:t>
            </w:r>
          </w:p>
        </w:tc>
        <w:tc>
          <w:tcPr>
            <w:tcW w:w="1476" w:type="dxa"/>
            <w:shd w:val="clear" w:color="auto" w:fill="auto"/>
            <w:vAlign w:val="center"/>
          </w:tcPr>
          <w:p w14:paraId="4C17255B" w14:textId="77777777" w:rsidR="000D07EA" w:rsidRDefault="00BE7C89">
            <w:pPr>
              <w:pStyle w:val="BodyText"/>
              <w:spacing w:before="100" w:after="100"/>
              <w:jc w:val="center"/>
              <w:rPr>
                <w:szCs w:val="20"/>
              </w:rPr>
            </w:pPr>
            <w:r>
              <w:rPr>
                <w:szCs w:val="20"/>
              </w:rPr>
              <w:t>$0.90</w:t>
            </w:r>
          </w:p>
        </w:tc>
      </w:tr>
      <w:tr w:rsidR="000D07EA" w14:paraId="33A215BD" w14:textId="77777777">
        <w:tc>
          <w:tcPr>
            <w:tcW w:w="2268" w:type="dxa"/>
            <w:shd w:val="clear" w:color="auto" w:fill="auto"/>
          </w:tcPr>
          <w:p w14:paraId="52A7B73C" w14:textId="77777777" w:rsidR="000D07EA" w:rsidRDefault="00BE7C89">
            <w:pPr>
              <w:pStyle w:val="BodyText"/>
              <w:spacing w:before="100" w:after="100"/>
              <w:rPr>
                <w:b/>
                <w:szCs w:val="20"/>
              </w:rPr>
            </w:pPr>
            <w:r>
              <w:rPr>
                <w:b/>
                <w:i/>
                <w:szCs w:val="20"/>
              </w:rPr>
              <w:t>Flagfall</w:t>
            </w:r>
            <w:r>
              <w:rPr>
                <w:b/>
                <w:szCs w:val="20"/>
              </w:rPr>
              <w:t xml:space="preserve"> for national voice calls (Call Connection Charge)</w:t>
            </w:r>
          </w:p>
        </w:tc>
        <w:tc>
          <w:tcPr>
            <w:tcW w:w="1476" w:type="dxa"/>
            <w:shd w:val="clear" w:color="auto" w:fill="auto"/>
            <w:vAlign w:val="center"/>
          </w:tcPr>
          <w:p w14:paraId="072D4D2C" w14:textId="77777777" w:rsidR="000D07EA" w:rsidRDefault="00BE7C89">
            <w:pPr>
              <w:pStyle w:val="BodyText"/>
              <w:spacing w:before="100" w:after="100"/>
              <w:jc w:val="center"/>
              <w:rPr>
                <w:szCs w:val="20"/>
              </w:rPr>
            </w:pPr>
            <w:r>
              <w:rPr>
                <w:szCs w:val="20"/>
              </w:rPr>
              <w:t>$0.35</w:t>
            </w:r>
          </w:p>
        </w:tc>
        <w:tc>
          <w:tcPr>
            <w:tcW w:w="1476" w:type="dxa"/>
            <w:shd w:val="clear" w:color="auto" w:fill="auto"/>
            <w:vAlign w:val="center"/>
          </w:tcPr>
          <w:p w14:paraId="6FF63253" w14:textId="77777777" w:rsidR="000D07EA" w:rsidRDefault="00BE7C89">
            <w:pPr>
              <w:pStyle w:val="BodyText"/>
              <w:spacing w:before="100" w:after="100"/>
              <w:jc w:val="center"/>
              <w:rPr>
                <w:szCs w:val="20"/>
              </w:rPr>
            </w:pPr>
            <w:r>
              <w:rPr>
                <w:szCs w:val="20"/>
              </w:rPr>
              <w:t>$0.35</w:t>
            </w:r>
          </w:p>
        </w:tc>
        <w:tc>
          <w:tcPr>
            <w:tcW w:w="1476" w:type="dxa"/>
            <w:shd w:val="clear" w:color="auto" w:fill="auto"/>
            <w:vAlign w:val="center"/>
          </w:tcPr>
          <w:p w14:paraId="52F593D6" w14:textId="77777777" w:rsidR="000D07EA" w:rsidRDefault="00BE7C89">
            <w:pPr>
              <w:pStyle w:val="BodyText"/>
              <w:spacing w:before="100" w:after="100"/>
              <w:jc w:val="center"/>
              <w:rPr>
                <w:szCs w:val="20"/>
              </w:rPr>
            </w:pPr>
            <w:r>
              <w:rPr>
                <w:szCs w:val="20"/>
              </w:rPr>
              <w:t>$0.35</w:t>
            </w:r>
          </w:p>
        </w:tc>
        <w:tc>
          <w:tcPr>
            <w:tcW w:w="1476" w:type="dxa"/>
            <w:shd w:val="clear" w:color="auto" w:fill="auto"/>
            <w:vAlign w:val="center"/>
          </w:tcPr>
          <w:p w14:paraId="323551FC" w14:textId="77777777" w:rsidR="000D07EA" w:rsidRDefault="00BE7C89">
            <w:pPr>
              <w:pStyle w:val="BodyText"/>
              <w:spacing w:before="100" w:after="100"/>
              <w:jc w:val="center"/>
              <w:rPr>
                <w:szCs w:val="20"/>
              </w:rPr>
            </w:pPr>
            <w:r>
              <w:rPr>
                <w:szCs w:val="20"/>
              </w:rPr>
              <w:t>$0.35</w:t>
            </w:r>
          </w:p>
        </w:tc>
        <w:tc>
          <w:tcPr>
            <w:tcW w:w="1476" w:type="dxa"/>
            <w:shd w:val="clear" w:color="auto" w:fill="auto"/>
            <w:vAlign w:val="center"/>
          </w:tcPr>
          <w:p w14:paraId="4296F0D6" w14:textId="77777777" w:rsidR="000D07EA" w:rsidRDefault="00BE7C89">
            <w:pPr>
              <w:pStyle w:val="BodyText"/>
              <w:spacing w:before="100" w:after="100"/>
              <w:jc w:val="center"/>
              <w:rPr>
                <w:szCs w:val="20"/>
              </w:rPr>
            </w:pPr>
            <w:r>
              <w:rPr>
                <w:szCs w:val="20"/>
              </w:rPr>
              <w:t>$0.35</w:t>
            </w:r>
          </w:p>
        </w:tc>
      </w:tr>
      <w:tr w:rsidR="000D07EA" w14:paraId="6F65E332" w14:textId="77777777">
        <w:tc>
          <w:tcPr>
            <w:tcW w:w="2268" w:type="dxa"/>
            <w:shd w:val="clear" w:color="auto" w:fill="auto"/>
          </w:tcPr>
          <w:p w14:paraId="6C28BEE3" w14:textId="77777777" w:rsidR="000D07EA" w:rsidRDefault="00BE7C89">
            <w:pPr>
              <w:pStyle w:val="BodyText"/>
              <w:spacing w:before="100" w:after="100"/>
              <w:rPr>
                <w:b/>
                <w:szCs w:val="20"/>
              </w:rPr>
            </w:pPr>
            <w:r>
              <w:rPr>
                <w:b/>
                <w:szCs w:val="20"/>
              </w:rPr>
              <w:t xml:space="preserve">Standard National SMS Charges </w:t>
            </w:r>
            <w:r>
              <w:rPr>
                <w:szCs w:val="20"/>
              </w:rPr>
              <w:t>(for standard SMS of up to 160 characters)</w:t>
            </w:r>
          </w:p>
        </w:tc>
        <w:tc>
          <w:tcPr>
            <w:tcW w:w="1476" w:type="dxa"/>
            <w:shd w:val="clear" w:color="auto" w:fill="auto"/>
            <w:vAlign w:val="center"/>
          </w:tcPr>
          <w:p w14:paraId="722FF263" w14:textId="77777777" w:rsidR="000D07EA" w:rsidRDefault="00BE7C89">
            <w:pPr>
              <w:pStyle w:val="BodyText"/>
              <w:spacing w:before="100" w:after="100"/>
              <w:jc w:val="center"/>
              <w:rPr>
                <w:szCs w:val="20"/>
              </w:rPr>
            </w:pPr>
            <w:r>
              <w:rPr>
                <w:szCs w:val="20"/>
              </w:rPr>
              <w:t>$0.25</w:t>
            </w:r>
          </w:p>
        </w:tc>
        <w:tc>
          <w:tcPr>
            <w:tcW w:w="1476" w:type="dxa"/>
            <w:shd w:val="clear" w:color="auto" w:fill="auto"/>
            <w:vAlign w:val="center"/>
          </w:tcPr>
          <w:p w14:paraId="3472BDC5" w14:textId="77777777" w:rsidR="000D07EA" w:rsidRDefault="00BE7C89">
            <w:pPr>
              <w:pStyle w:val="BodyText"/>
              <w:spacing w:before="100" w:after="100"/>
              <w:jc w:val="center"/>
              <w:rPr>
                <w:szCs w:val="20"/>
              </w:rPr>
            </w:pPr>
            <w:r>
              <w:rPr>
                <w:szCs w:val="20"/>
              </w:rPr>
              <w:t>Unlimited</w:t>
            </w:r>
          </w:p>
        </w:tc>
        <w:tc>
          <w:tcPr>
            <w:tcW w:w="1476" w:type="dxa"/>
            <w:shd w:val="clear" w:color="auto" w:fill="auto"/>
            <w:vAlign w:val="center"/>
          </w:tcPr>
          <w:p w14:paraId="30E70782" w14:textId="77777777" w:rsidR="000D07EA" w:rsidRDefault="00BE7C89">
            <w:pPr>
              <w:pStyle w:val="BodyText"/>
              <w:spacing w:before="100" w:after="100"/>
              <w:jc w:val="center"/>
              <w:rPr>
                <w:szCs w:val="20"/>
              </w:rPr>
            </w:pPr>
            <w:r>
              <w:rPr>
                <w:szCs w:val="20"/>
              </w:rPr>
              <w:t>Unlimited</w:t>
            </w:r>
          </w:p>
        </w:tc>
        <w:tc>
          <w:tcPr>
            <w:tcW w:w="1476" w:type="dxa"/>
            <w:shd w:val="clear" w:color="auto" w:fill="auto"/>
            <w:vAlign w:val="center"/>
          </w:tcPr>
          <w:p w14:paraId="2A17D102" w14:textId="77777777" w:rsidR="000D07EA" w:rsidRDefault="00BE7C89">
            <w:pPr>
              <w:pStyle w:val="BodyText"/>
              <w:spacing w:before="100" w:after="100"/>
              <w:jc w:val="center"/>
              <w:rPr>
                <w:szCs w:val="20"/>
              </w:rPr>
            </w:pPr>
            <w:r>
              <w:rPr>
                <w:szCs w:val="20"/>
              </w:rPr>
              <w:t>Unlimited</w:t>
            </w:r>
          </w:p>
        </w:tc>
        <w:tc>
          <w:tcPr>
            <w:tcW w:w="1476" w:type="dxa"/>
            <w:shd w:val="clear" w:color="auto" w:fill="auto"/>
            <w:vAlign w:val="center"/>
          </w:tcPr>
          <w:p w14:paraId="6EB9F7D7" w14:textId="77777777" w:rsidR="000D07EA" w:rsidRDefault="00BE7C89">
            <w:pPr>
              <w:pStyle w:val="BodyText"/>
              <w:spacing w:before="100" w:after="100"/>
              <w:jc w:val="center"/>
              <w:rPr>
                <w:szCs w:val="20"/>
              </w:rPr>
            </w:pPr>
            <w:r>
              <w:rPr>
                <w:szCs w:val="20"/>
              </w:rPr>
              <w:t>Unlimited</w:t>
            </w:r>
          </w:p>
        </w:tc>
      </w:tr>
      <w:tr w:rsidR="000D07EA" w14:paraId="001E8C55" w14:textId="77777777">
        <w:tc>
          <w:tcPr>
            <w:tcW w:w="2268" w:type="dxa"/>
            <w:shd w:val="clear" w:color="auto" w:fill="auto"/>
          </w:tcPr>
          <w:p w14:paraId="32C9EB2D" w14:textId="77777777" w:rsidR="000D07EA" w:rsidRDefault="00BE7C89">
            <w:pPr>
              <w:pStyle w:val="BodyText"/>
              <w:spacing w:before="100" w:after="100"/>
              <w:rPr>
                <w:b/>
                <w:szCs w:val="20"/>
              </w:rPr>
            </w:pPr>
            <w:r>
              <w:rPr>
                <w:b/>
                <w:szCs w:val="20"/>
              </w:rPr>
              <w:t xml:space="preserve">National Photo Message </w:t>
            </w:r>
            <w:r>
              <w:rPr>
                <w:szCs w:val="20"/>
              </w:rPr>
              <w:t>(per message)</w:t>
            </w:r>
          </w:p>
        </w:tc>
        <w:tc>
          <w:tcPr>
            <w:tcW w:w="1476" w:type="dxa"/>
            <w:shd w:val="clear" w:color="auto" w:fill="auto"/>
            <w:vAlign w:val="center"/>
          </w:tcPr>
          <w:p w14:paraId="074FFA7D" w14:textId="77777777" w:rsidR="000D07EA" w:rsidRDefault="00BE7C89">
            <w:pPr>
              <w:pStyle w:val="BodyText"/>
              <w:spacing w:before="100" w:after="100"/>
              <w:jc w:val="center"/>
              <w:rPr>
                <w:szCs w:val="20"/>
              </w:rPr>
            </w:pPr>
            <w:r>
              <w:rPr>
                <w:szCs w:val="20"/>
              </w:rPr>
              <w:t>$0.50</w:t>
            </w:r>
          </w:p>
        </w:tc>
        <w:tc>
          <w:tcPr>
            <w:tcW w:w="1476" w:type="dxa"/>
            <w:shd w:val="clear" w:color="auto" w:fill="auto"/>
            <w:vAlign w:val="center"/>
          </w:tcPr>
          <w:p w14:paraId="2249386C" w14:textId="77777777" w:rsidR="000D07EA" w:rsidRDefault="00BE7C89">
            <w:pPr>
              <w:pStyle w:val="BodyText"/>
              <w:spacing w:before="100" w:after="100"/>
              <w:jc w:val="center"/>
              <w:rPr>
                <w:szCs w:val="20"/>
              </w:rPr>
            </w:pPr>
            <w:r>
              <w:rPr>
                <w:szCs w:val="20"/>
              </w:rPr>
              <w:t>$0.50</w:t>
            </w:r>
          </w:p>
        </w:tc>
        <w:tc>
          <w:tcPr>
            <w:tcW w:w="1476" w:type="dxa"/>
            <w:shd w:val="clear" w:color="auto" w:fill="auto"/>
            <w:vAlign w:val="center"/>
          </w:tcPr>
          <w:p w14:paraId="6E0644BF" w14:textId="77777777" w:rsidR="000D07EA" w:rsidRDefault="00BE7C89">
            <w:pPr>
              <w:pStyle w:val="BodyText"/>
              <w:spacing w:before="100" w:after="100"/>
              <w:jc w:val="center"/>
              <w:rPr>
                <w:szCs w:val="20"/>
              </w:rPr>
            </w:pPr>
            <w:r>
              <w:rPr>
                <w:szCs w:val="20"/>
              </w:rPr>
              <w:t>$0.50</w:t>
            </w:r>
          </w:p>
        </w:tc>
        <w:tc>
          <w:tcPr>
            <w:tcW w:w="1476" w:type="dxa"/>
            <w:shd w:val="clear" w:color="auto" w:fill="auto"/>
            <w:vAlign w:val="center"/>
          </w:tcPr>
          <w:p w14:paraId="01885877" w14:textId="77777777" w:rsidR="000D07EA" w:rsidRDefault="00BE7C89">
            <w:pPr>
              <w:pStyle w:val="BodyText"/>
              <w:spacing w:before="100" w:after="100"/>
              <w:jc w:val="center"/>
              <w:rPr>
                <w:szCs w:val="20"/>
              </w:rPr>
            </w:pPr>
            <w:r>
              <w:rPr>
                <w:szCs w:val="20"/>
              </w:rPr>
              <w:t>$0.50</w:t>
            </w:r>
          </w:p>
        </w:tc>
        <w:tc>
          <w:tcPr>
            <w:tcW w:w="1476" w:type="dxa"/>
            <w:shd w:val="clear" w:color="auto" w:fill="auto"/>
            <w:vAlign w:val="center"/>
          </w:tcPr>
          <w:p w14:paraId="66B6711E" w14:textId="77777777" w:rsidR="000D07EA" w:rsidRDefault="00BE7C89">
            <w:pPr>
              <w:pStyle w:val="BodyText"/>
              <w:spacing w:before="100" w:after="100"/>
              <w:jc w:val="center"/>
              <w:rPr>
                <w:szCs w:val="20"/>
              </w:rPr>
            </w:pPr>
            <w:r>
              <w:rPr>
                <w:szCs w:val="20"/>
              </w:rPr>
              <w:t>$0.50</w:t>
            </w:r>
          </w:p>
        </w:tc>
      </w:tr>
      <w:tr w:rsidR="000D07EA" w14:paraId="69E516C9" w14:textId="77777777">
        <w:tc>
          <w:tcPr>
            <w:tcW w:w="2268" w:type="dxa"/>
            <w:shd w:val="clear" w:color="auto" w:fill="auto"/>
          </w:tcPr>
          <w:p w14:paraId="2EFA3E32" w14:textId="77777777" w:rsidR="000D07EA" w:rsidRDefault="00BE7C89">
            <w:pPr>
              <w:pStyle w:val="BodyText"/>
              <w:spacing w:before="100" w:after="100"/>
              <w:rPr>
                <w:b/>
                <w:szCs w:val="20"/>
              </w:rPr>
            </w:pPr>
            <w:r>
              <w:rPr>
                <w:b/>
                <w:bCs/>
                <w:szCs w:val="20"/>
              </w:rPr>
              <w:t xml:space="preserve">National Video Calling </w:t>
            </w:r>
            <w:r>
              <w:rPr>
                <w:szCs w:val="20"/>
              </w:rPr>
              <w:t>(per minute) (excluding flagfall)</w:t>
            </w:r>
          </w:p>
        </w:tc>
        <w:tc>
          <w:tcPr>
            <w:tcW w:w="1476" w:type="dxa"/>
            <w:shd w:val="clear" w:color="auto" w:fill="auto"/>
            <w:vAlign w:val="center"/>
          </w:tcPr>
          <w:p w14:paraId="5130C92C" w14:textId="77777777" w:rsidR="000D07EA" w:rsidRDefault="00BE7C89">
            <w:pPr>
              <w:pStyle w:val="BodyText"/>
              <w:spacing w:before="100" w:after="100"/>
              <w:jc w:val="center"/>
              <w:rPr>
                <w:szCs w:val="20"/>
              </w:rPr>
            </w:pPr>
            <w:r>
              <w:rPr>
                <w:szCs w:val="20"/>
              </w:rPr>
              <w:t>$1.00</w:t>
            </w:r>
          </w:p>
        </w:tc>
        <w:tc>
          <w:tcPr>
            <w:tcW w:w="1476" w:type="dxa"/>
            <w:shd w:val="clear" w:color="auto" w:fill="auto"/>
            <w:vAlign w:val="center"/>
          </w:tcPr>
          <w:p w14:paraId="57A2905F" w14:textId="77777777" w:rsidR="000D07EA" w:rsidRDefault="00BE7C89">
            <w:pPr>
              <w:pStyle w:val="BodyText"/>
              <w:spacing w:before="100" w:after="100"/>
              <w:jc w:val="center"/>
              <w:rPr>
                <w:szCs w:val="20"/>
              </w:rPr>
            </w:pPr>
            <w:r>
              <w:rPr>
                <w:szCs w:val="20"/>
              </w:rPr>
              <w:t>$1.00</w:t>
            </w:r>
          </w:p>
        </w:tc>
        <w:tc>
          <w:tcPr>
            <w:tcW w:w="1476" w:type="dxa"/>
            <w:shd w:val="clear" w:color="auto" w:fill="auto"/>
            <w:vAlign w:val="center"/>
          </w:tcPr>
          <w:p w14:paraId="1289823A" w14:textId="77777777" w:rsidR="000D07EA" w:rsidRDefault="00BE7C89">
            <w:pPr>
              <w:pStyle w:val="BodyText"/>
              <w:spacing w:before="100" w:after="100"/>
              <w:jc w:val="center"/>
              <w:rPr>
                <w:szCs w:val="20"/>
              </w:rPr>
            </w:pPr>
            <w:r>
              <w:rPr>
                <w:szCs w:val="20"/>
              </w:rPr>
              <w:t>$1.00</w:t>
            </w:r>
          </w:p>
        </w:tc>
        <w:tc>
          <w:tcPr>
            <w:tcW w:w="1476" w:type="dxa"/>
            <w:shd w:val="clear" w:color="auto" w:fill="auto"/>
            <w:vAlign w:val="center"/>
          </w:tcPr>
          <w:p w14:paraId="4055AC42" w14:textId="77777777" w:rsidR="000D07EA" w:rsidRDefault="00BE7C89">
            <w:pPr>
              <w:pStyle w:val="BodyText"/>
              <w:spacing w:before="100" w:after="100"/>
              <w:jc w:val="center"/>
              <w:rPr>
                <w:szCs w:val="20"/>
              </w:rPr>
            </w:pPr>
            <w:r>
              <w:rPr>
                <w:szCs w:val="20"/>
              </w:rPr>
              <w:t>$1.00</w:t>
            </w:r>
          </w:p>
        </w:tc>
        <w:tc>
          <w:tcPr>
            <w:tcW w:w="1476" w:type="dxa"/>
            <w:shd w:val="clear" w:color="auto" w:fill="auto"/>
            <w:vAlign w:val="center"/>
          </w:tcPr>
          <w:p w14:paraId="31BE3ADE" w14:textId="77777777" w:rsidR="000D07EA" w:rsidRDefault="00BE7C89">
            <w:pPr>
              <w:pStyle w:val="BodyText"/>
              <w:spacing w:before="100" w:after="100"/>
              <w:jc w:val="center"/>
              <w:rPr>
                <w:szCs w:val="20"/>
              </w:rPr>
            </w:pPr>
            <w:r>
              <w:rPr>
                <w:szCs w:val="20"/>
              </w:rPr>
              <w:t>$1.00</w:t>
            </w:r>
          </w:p>
        </w:tc>
      </w:tr>
      <w:tr w:rsidR="000D07EA" w14:paraId="7535E9E7" w14:textId="77777777">
        <w:tc>
          <w:tcPr>
            <w:tcW w:w="2268" w:type="dxa"/>
            <w:shd w:val="clear" w:color="auto" w:fill="auto"/>
          </w:tcPr>
          <w:p w14:paraId="14A80972" w14:textId="77777777" w:rsidR="000D07EA" w:rsidRDefault="00BE7C89">
            <w:pPr>
              <w:pStyle w:val="BodyText"/>
              <w:spacing w:before="100" w:after="100"/>
              <w:rPr>
                <w:b/>
                <w:szCs w:val="20"/>
              </w:rPr>
            </w:pPr>
            <w:r>
              <w:rPr>
                <w:b/>
                <w:bCs/>
                <w:i/>
                <w:iCs/>
                <w:szCs w:val="20"/>
              </w:rPr>
              <w:t xml:space="preserve">Flagfall </w:t>
            </w:r>
            <w:r>
              <w:rPr>
                <w:b/>
                <w:bCs/>
                <w:szCs w:val="20"/>
              </w:rPr>
              <w:t xml:space="preserve">for National Video Calls </w:t>
            </w:r>
            <w:r>
              <w:rPr>
                <w:szCs w:val="20"/>
              </w:rPr>
              <w:t>(per call)</w:t>
            </w:r>
          </w:p>
        </w:tc>
        <w:tc>
          <w:tcPr>
            <w:tcW w:w="1476" w:type="dxa"/>
            <w:shd w:val="clear" w:color="auto" w:fill="auto"/>
            <w:vAlign w:val="center"/>
          </w:tcPr>
          <w:p w14:paraId="0D7F0786" w14:textId="77777777" w:rsidR="000D07EA" w:rsidRDefault="00BE7C89">
            <w:pPr>
              <w:pStyle w:val="BodyText"/>
              <w:spacing w:before="100" w:after="100"/>
              <w:jc w:val="center"/>
              <w:rPr>
                <w:szCs w:val="20"/>
              </w:rPr>
            </w:pPr>
            <w:r>
              <w:rPr>
                <w:szCs w:val="20"/>
              </w:rPr>
              <w:t>$0.40</w:t>
            </w:r>
          </w:p>
        </w:tc>
        <w:tc>
          <w:tcPr>
            <w:tcW w:w="1476" w:type="dxa"/>
            <w:shd w:val="clear" w:color="auto" w:fill="auto"/>
            <w:vAlign w:val="center"/>
          </w:tcPr>
          <w:p w14:paraId="5D50607E" w14:textId="77777777" w:rsidR="000D07EA" w:rsidRDefault="00BE7C89">
            <w:pPr>
              <w:pStyle w:val="BodyText"/>
              <w:spacing w:before="100" w:after="100"/>
              <w:jc w:val="center"/>
              <w:rPr>
                <w:szCs w:val="20"/>
              </w:rPr>
            </w:pPr>
            <w:r>
              <w:rPr>
                <w:szCs w:val="20"/>
              </w:rPr>
              <w:t>$0.40</w:t>
            </w:r>
          </w:p>
        </w:tc>
        <w:tc>
          <w:tcPr>
            <w:tcW w:w="1476" w:type="dxa"/>
            <w:shd w:val="clear" w:color="auto" w:fill="auto"/>
            <w:vAlign w:val="center"/>
          </w:tcPr>
          <w:p w14:paraId="6F92A02E" w14:textId="77777777" w:rsidR="000D07EA" w:rsidRDefault="00BE7C89">
            <w:pPr>
              <w:pStyle w:val="BodyText"/>
              <w:spacing w:before="100" w:after="100"/>
              <w:jc w:val="center"/>
              <w:rPr>
                <w:szCs w:val="20"/>
              </w:rPr>
            </w:pPr>
            <w:r>
              <w:rPr>
                <w:szCs w:val="20"/>
              </w:rPr>
              <w:t>$0.40</w:t>
            </w:r>
          </w:p>
        </w:tc>
        <w:tc>
          <w:tcPr>
            <w:tcW w:w="1476" w:type="dxa"/>
            <w:shd w:val="clear" w:color="auto" w:fill="auto"/>
            <w:vAlign w:val="center"/>
          </w:tcPr>
          <w:p w14:paraId="6717FFD1" w14:textId="77777777" w:rsidR="000D07EA" w:rsidRDefault="00BE7C89">
            <w:pPr>
              <w:pStyle w:val="BodyText"/>
              <w:spacing w:before="100" w:after="100"/>
              <w:jc w:val="center"/>
              <w:rPr>
                <w:szCs w:val="20"/>
              </w:rPr>
            </w:pPr>
            <w:r>
              <w:rPr>
                <w:szCs w:val="20"/>
              </w:rPr>
              <w:t>$0.40</w:t>
            </w:r>
          </w:p>
        </w:tc>
        <w:tc>
          <w:tcPr>
            <w:tcW w:w="1476" w:type="dxa"/>
            <w:shd w:val="clear" w:color="auto" w:fill="auto"/>
            <w:vAlign w:val="center"/>
          </w:tcPr>
          <w:p w14:paraId="1EBDDF8D" w14:textId="77777777" w:rsidR="000D07EA" w:rsidRDefault="00BE7C89">
            <w:pPr>
              <w:pStyle w:val="BodyText"/>
              <w:spacing w:before="100" w:after="100"/>
              <w:jc w:val="center"/>
              <w:rPr>
                <w:szCs w:val="20"/>
              </w:rPr>
            </w:pPr>
            <w:r>
              <w:rPr>
                <w:szCs w:val="20"/>
              </w:rPr>
              <w:t>$0.40</w:t>
            </w:r>
          </w:p>
        </w:tc>
      </w:tr>
      <w:tr w:rsidR="000D07EA" w14:paraId="0FF8ED34" w14:textId="77777777">
        <w:tc>
          <w:tcPr>
            <w:tcW w:w="2268" w:type="dxa"/>
            <w:shd w:val="clear" w:color="auto" w:fill="auto"/>
          </w:tcPr>
          <w:p w14:paraId="305B4046" w14:textId="77777777" w:rsidR="000D07EA" w:rsidRDefault="00BE7C89">
            <w:pPr>
              <w:pStyle w:val="BodyText"/>
              <w:spacing w:before="100" w:after="100"/>
              <w:rPr>
                <w:b/>
                <w:szCs w:val="20"/>
              </w:rPr>
            </w:pPr>
            <w:r>
              <w:rPr>
                <w:b/>
                <w:szCs w:val="20"/>
              </w:rPr>
              <w:t xml:space="preserve">Excess Data Charge </w:t>
            </w:r>
            <w:r>
              <w:rPr>
                <w:szCs w:val="20"/>
              </w:rPr>
              <w:t xml:space="preserve">(charged per kb, </w:t>
            </w:r>
            <w:r>
              <w:rPr>
                <w:szCs w:val="20"/>
              </w:rPr>
              <w:lastRenderedPageBreak/>
              <w:t>includes uploads and downloads)</w:t>
            </w:r>
          </w:p>
        </w:tc>
        <w:tc>
          <w:tcPr>
            <w:tcW w:w="1476" w:type="dxa"/>
            <w:shd w:val="clear" w:color="auto" w:fill="auto"/>
            <w:vAlign w:val="center"/>
          </w:tcPr>
          <w:p w14:paraId="37BD92EC" w14:textId="77777777" w:rsidR="000D07EA" w:rsidRDefault="00BE7C89">
            <w:pPr>
              <w:pStyle w:val="BodyText"/>
              <w:spacing w:before="100" w:after="100"/>
              <w:jc w:val="center"/>
              <w:rPr>
                <w:szCs w:val="20"/>
              </w:rPr>
            </w:pPr>
            <w:r>
              <w:rPr>
                <w:szCs w:val="20"/>
              </w:rPr>
              <w:lastRenderedPageBreak/>
              <w:t>$0.50/MB</w:t>
            </w:r>
          </w:p>
        </w:tc>
        <w:tc>
          <w:tcPr>
            <w:tcW w:w="1476" w:type="dxa"/>
            <w:shd w:val="clear" w:color="auto" w:fill="auto"/>
            <w:vAlign w:val="center"/>
          </w:tcPr>
          <w:p w14:paraId="7EBA4B3C" w14:textId="77777777" w:rsidR="000D07EA" w:rsidRDefault="00BE7C89">
            <w:pPr>
              <w:pStyle w:val="BodyText"/>
              <w:spacing w:before="100" w:after="100"/>
              <w:jc w:val="center"/>
              <w:rPr>
                <w:szCs w:val="20"/>
              </w:rPr>
            </w:pPr>
            <w:r>
              <w:rPr>
                <w:szCs w:val="20"/>
              </w:rPr>
              <w:t>$0.50/MB</w:t>
            </w:r>
          </w:p>
        </w:tc>
        <w:tc>
          <w:tcPr>
            <w:tcW w:w="1476" w:type="dxa"/>
            <w:shd w:val="clear" w:color="auto" w:fill="auto"/>
            <w:vAlign w:val="center"/>
          </w:tcPr>
          <w:p w14:paraId="4BE54564" w14:textId="77777777" w:rsidR="000D07EA" w:rsidRDefault="00BE7C89">
            <w:pPr>
              <w:pStyle w:val="BodyText"/>
              <w:spacing w:before="100" w:after="100"/>
              <w:jc w:val="center"/>
              <w:rPr>
                <w:szCs w:val="20"/>
              </w:rPr>
            </w:pPr>
            <w:r>
              <w:rPr>
                <w:szCs w:val="20"/>
              </w:rPr>
              <w:t>$0.25/MB</w:t>
            </w:r>
          </w:p>
        </w:tc>
        <w:tc>
          <w:tcPr>
            <w:tcW w:w="1476" w:type="dxa"/>
            <w:shd w:val="clear" w:color="auto" w:fill="auto"/>
            <w:vAlign w:val="center"/>
          </w:tcPr>
          <w:p w14:paraId="35A3EC43" w14:textId="77777777" w:rsidR="000D07EA" w:rsidRDefault="00BE7C89">
            <w:pPr>
              <w:pStyle w:val="BodyText"/>
              <w:spacing w:before="100" w:after="100"/>
              <w:jc w:val="center"/>
              <w:rPr>
                <w:szCs w:val="20"/>
              </w:rPr>
            </w:pPr>
            <w:r>
              <w:rPr>
                <w:szCs w:val="20"/>
              </w:rPr>
              <w:t>$0.25/MB</w:t>
            </w:r>
          </w:p>
        </w:tc>
        <w:tc>
          <w:tcPr>
            <w:tcW w:w="1476" w:type="dxa"/>
            <w:shd w:val="clear" w:color="auto" w:fill="auto"/>
            <w:vAlign w:val="center"/>
          </w:tcPr>
          <w:p w14:paraId="6CABA57F" w14:textId="77777777" w:rsidR="000D07EA" w:rsidRDefault="00BE7C89">
            <w:pPr>
              <w:pStyle w:val="BodyText"/>
              <w:spacing w:before="100" w:after="100"/>
              <w:jc w:val="center"/>
              <w:rPr>
                <w:szCs w:val="20"/>
              </w:rPr>
            </w:pPr>
            <w:r>
              <w:rPr>
                <w:szCs w:val="20"/>
              </w:rPr>
              <w:t>$0.25/MB</w:t>
            </w:r>
          </w:p>
        </w:tc>
      </w:tr>
      <w:tr w:rsidR="000D07EA" w14:paraId="13F7CD28" w14:textId="77777777">
        <w:tc>
          <w:tcPr>
            <w:tcW w:w="2268" w:type="dxa"/>
            <w:shd w:val="clear" w:color="auto" w:fill="auto"/>
          </w:tcPr>
          <w:p w14:paraId="5BB0A54D" w14:textId="77777777" w:rsidR="000D07EA" w:rsidRDefault="00BE7C89">
            <w:pPr>
              <w:pStyle w:val="BodyText"/>
              <w:spacing w:before="100" w:after="100"/>
              <w:rPr>
                <w:b/>
                <w:szCs w:val="20"/>
              </w:rPr>
            </w:pPr>
            <w:r>
              <w:rPr>
                <w:b/>
                <w:szCs w:val="20"/>
              </w:rPr>
              <w:t>VoiceMail</w:t>
            </w:r>
          </w:p>
        </w:tc>
        <w:tc>
          <w:tcPr>
            <w:tcW w:w="1476" w:type="dxa"/>
            <w:shd w:val="clear" w:color="auto" w:fill="auto"/>
            <w:vAlign w:val="center"/>
          </w:tcPr>
          <w:p w14:paraId="22C26AC5" w14:textId="77777777" w:rsidR="000D07EA" w:rsidRDefault="00BE7C89">
            <w:pPr>
              <w:pStyle w:val="BodyText"/>
              <w:spacing w:before="100" w:after="100"/>
              <w:jc w:val="center"/>
              <w:rPr>
                <w:szCs w:val="20"/>
              </w:rPr>
            </w:pPr>
            <w:r>
              <w:rPr>
                <w:szCs w:val="20"/>
              </w:rPr>
              <w:t>$0 Deposits/ $0.90 per 60 secs Retrieval</w:t>
            </w:r>
          </w:p>
        </w:tc>
        <w:tc>
          <w:tcPr>
            <w:tcW w:w="1476" w:type="dxa"/>
            <w:shd w:val="clear" w:color="auto" w:fill="auto"/>
            <w:vAlign w:val="center"/>
          </w:tcPr>
          <w:p w14:paraId="1786BB58" w14:textId="77777777" w:rsidR="000D07EA" w:rsidRDefault="00BE7C89">
            <w:pPr>
              <w:pStyle w:val="BodyText"/>
              <w:spacing w:before="100" w:after="100"/>
              <w:jc w:val="center"/>
              <w:rPr>
                <w:szCs w:val="20"/>
              </w:rPr>
            </w:pPr>
            <w:r>
              <w:rPr>
                <w:szCs w:val="20"/>
              </w:rPr>
              <w:t>$0 Deposits/ $0.90 per 60 secs Retrieval</w:t>
            </w:r>
          </w:p>
        </w:tc>
        <w:tc>
          <w:tcPr>
            <w:tcW w:w="1476" w:type="dxa"/>
            <w:shd w:val="clear" w:color="auto" w:fill="auto"/>
            <w:vAlign w:val="center"/>
          </w:tcPr>
          <w:p w14:paraId="26CDE627" w14:textId="77777777" w:rsidR="000D07EA" w:rsidRDefault="00BE7C89">
            <w:pPr>
              <w:pStyle w:val="BodyText"/>
              <w:spacing w:before="100" w:after="100"/>
              <w:jc w:val="center"/>
              <w:rPr>
                <w:szCs w:val="20"/>
              </w:rPr>
            </w:pPr>
            <w:r>
              <w:rPr>
                <w:szCs w:val="20"/>
              </w:rPr>
              <w:t>$0 Deposits/ $0.90 per 60 secs Retrieval</w:t>
            </w:r>
          </w:p>
        </w:tc>
        <w:tc>
          <w:tcPr>
            <w:tcW w:w="1476" w:type="dxa"/>
            <w:shd w:val="clear" w:color="auto" w:fill="auto"/>
          </w:tcPr>
          <w:p w14:paraId="44032F13" w14:textId="77777777" w:rsidR="000D07EA" w:rsidRDefault="00BE7C89">
            <w:pPr>
              <w:pStyle w:val="BodyText"/>
              <w:spacing w:before="100" w:after="100"/>
              <w:jc w:val="center"/>
              <w:rPr>
                <w:szCs w:val="20"/>
              </w:rPr>
            </w:pPr>
            <w:r>
              <w:rPr>
                <w:szCs w:val="20"/>
              </w:rPr>
              <w:t>$0 Deposits/ $0.90 per 60 secs Retrieval</w:t>
            </w:r>
          </w:p>
        </w:tc>
        <w:tc>
          <w:tcPr>
            <w:tcW w:w="1476" w:type="dxa"/>
            <w:shd w:val="clear" w:color="auto" w:fill="auto"/>
          </w:tcPr>
          <w:p w14:paraId="4931BBA0" w14:textId="77777777" w:rsidR="000D07EA" w:rsidRDefault="00BE7C89">
            <w:pPr>
              <w:pStyle w:val="BodyText"/>
              <w:spacing w:before="100" w:after="100"/>
              <w:jc w:val="center"/>
              <w:rPr>
                <w:szCs w:val="20"/>
              </w:rPr>
            </w:pPr>
            <w:r>
              <w:rPr>
                <w:szCs w:val="20"/>
              </w:rPr>
              <w:t>$0 Deposits/ $0.90 per 60 secs Retrieval</w:t>
            </w:r>
          </w:p>
        </w:tc>
      </w:tr>
      <w:tr w:rsidR="000D07EA" w14:paraId="50749E00" w14:textId="77777777">
        <w:tc>
          <w:tcPr>
            <w:tcW w:w="2268" w:type="dxa"/>
            <w:shd w:val="clear" w:color="auto" w:fill="auto"/>
          </w:tcPr>
          <w:p w14:paraId="24863DD1" w14:textId="77777777" w:rsidR="000D07EA" w:rsidRDefault="00BE7C89">
            <w:pPr>
              <w:pStyle w:val="BodyText"/>
              <w:spacing w:before="100" w:after="100"/>
              <w:rPr>
                <w:b/>
                <w:szCs w:val="20"/>
              </w:rPr>
            </w:pPr>
            <w:r>
              <w:rPr>
                <w:b/>
                <w:szCs w:val="20"/>
              </w:rPr>
              <w:t xml:space="preserve">Other call charges </w:t>
            </w:r>
            <w:r>
              <w:rPr>
                <w:szCs w:val="20"/>
              </w:rPr>
              <w:t>(for example international calls, calls to mobiles)</w:t>
            </w:r>
          </w:p>
        </w:tc>
        <w:tc>
          <w:tcPr>
            <w:tcW w:w="7380" w:type="dxa"/>
            <w:gridSpan w:val="5"/>
            <w:shd w:val="clear" w:color="auto" w:fill="auto"/>
            <w:vAlign w:val="center"/>
          </w:tcPr>
          <w:p w14:paraId="4CFE3CF0" w14:textId="77777777" w:rsidR="000D07EA" w:rsidRDefault="00BE7C89">
            <w:pPr>
              <w:pStyle w:val="BodyText"/>
              <w:spacing w:before="100" w:after="100"/>
              <w:jc w:val="center"/>
              <w:rPr>
                <w:szCs w:val="20"/>
              </w:rPr>
            </w:pPr>
            <w:r>
              <w:rPr>
                <w:szCs w:val="20"/>
              </w:rPr>
              <w:t xml:space="preserve">See section 1 of this </w:t>
            </w:r>
            <w:r>
              <w:rPr>
                <w:i/>
                <w:szCs w:val="20"/>
              </w:rPr>
              <w:t>standard pricing table</w:t>
            </w:r>
            <w:r>
              <w:rPr>
                <w:szCs w:val="20"/>
              </w:rPr>
              <w:t xml:space="preserve"> and Appendix Y (Value Added Service Features)</w:t>
            </w:r>
          </w:p>
        </w:tc>
      </w:tr>
      <w:tr w:rsidR="000D07EA" w14:paraId="6EC6D75F" w14:textId="77777777">
        <w:tc>
          <w:tcPr>
            <w:tcW w:w="2268" w:type="dxa"/>
            <w:shd w:val="clear" w:color="auto" w:fill="auto"/>
          </w:tcPr>
          <w:p w14:paraId="24DE4589" w14:textId="77777777" w:rsidR="000D07EA" w:rsidRDefault="00BE7C89">
            <w:pPr>
              <w:pStyle w:val="BodyText"/>
              <w:spacing w:before="100" w:after="100"/>
              <w:rPr>
                <w:b/>
                <w:szCs w:val="20"/>
              </w:rPr>
            </w:pPr>
            <w:r>
              <w:rPr>
                <w:b/>
                <w:szCs w:val="20"/>
              </w:rPr>
              <w:t xml:space="preserve">Other conditions </w:t>
            </w:r>
            <w:r>
              <w:rPr>
                <w:szCs w:val="20"/>
              </w:rPr>
              <w:t xml:space="preserve">(for details see Appendix </w:t>
            </w:r>
            <w:r w:rsidR="00DD7FB0">
              <w:rPr>
                <w:szCs w:val="20"/>
              </w:rPr>
              <w:t>S</w:t>
            </w:r>
            <w:r>
              <w:rPr>
                <w:szCs w:val="20"/>
              </w:rPr>
              <w:t>)</w:t>
            </w:r>
          </w:p>
        </w:tc>
        <w:tc>
          <w:tcPr>
            <w:tcW w:w="7380" w:type="dxa"/>
            <w:gridSpan w:val="5"/>
            <w:shd w:val="clear" w:color="auto" w:fill="auto"/>
            <w:vAlign w:val="center"/>
          </w:tcPr>
          <w:p w14:paraId="7E1E62F2" w14:textId="77777777" w:rsidR="000D07EA" w:rsidRDefault="00BE7C89">
            <w:pPr>
              <w:pStyle w:val="BodyText"/>
              <w:spacing w:before="100" w:after="100"/>
              <w:jc w:val="center"/>
              <w:rPr>
                <w:szCs w:val="20"/>
              </w:rPr>
            </w:pPr>
            <w:r>
              <w:t>Fair Go Policy (</w:t>
            </w:r>
            <w:hyperlink r:id="rId482" w:history="1">
              <w:r>
                <w:rPr>
                  <w:rStyle w:val="Hyperlink"/>
                  <w:i/>
                </w:rPr>
                <w:t>Appendix S</w:t>
              </w:r>
            </w:hyperlink>
            <w:r>
              <w:t>)</w:t>
            </w:r>
            <w:r>
              <w:rPr>
                <w:szCs w:val="20"/>
              </w:rPr>
              <w:t xml:space="preserve"> applies to 'excessive use,' 'unreasonable use,' 'unacceptable use' and commercial use.</w:t>
            </w:r>
          </w:p>
        </w:tc>
      </w:tr>
      <w:tr w:rsidR="000D07EA" w14:paraId="0BC3DFDA" w14:textId="77777777">
        <w:tc>
          <w:tcPr>
            <w:tcW w:w="2268" w:type="dxa"/>
            <w:shd w:val="clear" w:color="auto" w:fill="auto"/>
          </w:tcPr>
          <w:p w14:paraId="5D414248" w14:textId="77777777" w:rsidR="000D07EA" w:rsidRDefault="00BE7C89">
            <w:pPr>
              <w:pStyle w:val="BodyText"/>
              <w:spacing w:before="100" w:after="100"/>
              <w:rPr>
                <w:b/>
                <w:szCs w:val="20"/>
              </w:rPr>
            </w:pPr>
            <w:r>
              <w:rPr>
                <w:b/>
                <w:szCs w:val="20"/>
              </w:rPr>
              <w:t xml:space="preserve">Available on Non Fixed Length Agreement </w:t>
            </w:r>
            <w:r>
              <w:rPr>
                <w:szCs w:val="20"/>
              </w:rPr>
              <w:t>(Month to Month)</w:t>
            </w:r>
          </w:p>
        </w:tc>
        <w:tc>
          <w:tcPr>
            <w:tcW w:w="1476" w:type="dxa"/>
            <w:shd w:val="clear" w:color="auto" w:fill="auto"/>
            <w:vAlign w:val="center"/>
          </w:tcPr>
          <w:p w14:paraId="2B98BE37" w14:textId="77777777" w:rsidR="000D07EA" w:rsidRDefault="00BE7C89">
            <w:pPr>
              <w:pStyle w:val="BodyText"/>
              <w:spacing w:before="100" w:after="100"/>
              <w:jc w:val="center"/>
              <w:rPr>
                <w:szCs w:val="20"/>
              </w:rPr>
            </w:pPr>
            <w:r>
              <w:rPr>
                <w:szCs w:val="20"/>
              </w:rPr>
              <w:t>No</w:t>
            </w:r>
          </w:p>
        </w:tc>
        <w:tc>
          <w:tcPr>
            <w:tcW w:w="1476" w:type="dxa"/>
            <w:shd w:val="clear" w:color="auto" w:fill="auto"/>
            <w:vAlign w:val="center"/>
          </w:tcPr>
          <w:p w14:paraId="1DC619B3" w14:textId="77777777" w:rsidR="000D07EA" w:rsidRDefault="00BE7C89">
            <w:pPr>
              <w:pStyle w:val="BodyText"/>
              <w:spacing w:before="100" w:after="100"/>
              <w:jc w:val="center"/>
              <w:rPr>
                <w:szCs w:val="20"/>
              </w:rPr>
            </w:pPr>
            <w:r>
              <w:rPr>
                <w:szCs w:val="20"/>
              </w:rPr>
              <w:t>No</w:t>
            </w:r>
          </w:p>
        </w:tc>
        <w:tc>
          <w:tcPr>
            <w:tcW w:w="1476" w:type="dxa"/>
            <w:shd w:val="clear" w:color="auto" w:fill="auto"/>
            <w:vAlign w:val="center"/>
          </w:tcPr>
          <w:p w14:paraId="53D4BA13" w14:textId="77777777" w:rsidR="000D07EA" w:rsidRDefault="00BE7C89">
            <w:pPr>
              <w:pStyle w:val="BodyText"/>
              <w:spacing w:before="100" w:after="100"/>
              <w:jc w:val="center"/>
              <w:rPr>
                <w:szCs w:val="20"/>
              </w:rPr>
            </w:pPr>
            <w:r>
              <w:rPr>
                <w:szCs w:val="20"/>
              </w:rPr>
              <w:t>No</w:t>
            </w:r>
          </w:p>
        </w:tc>
        <w:tc>
          <w:tcPr>
            <w:tcW w:w="1476" w:type="dxa"/>
            <w:shd w:val="clear" w:color="auto" w:fill="auto"/>
            <w:vAlign w:val="center"/>
          </w:tcPr>
          <w:p w14:paraId="22F340C6" w14:textId="77777777" w:rsidR="000D07EA" w:rsidRDefault="00BE7C89">
            <w:pPr>
              <w:pStyle w:val="BodyText"/>
              <w:spacing w:before="100" w:after="100"/>
              <w:jc w:val="center"/>
              <w:rPr>
                <w:szCs w:val="20"/>
              </w:rPr>
            </w:pPr>
            <w:r>
              <w:rPr>
                <w:szCs w:val="20"/>
              </w:rPr>
              <w:t>No</w:t>
            </w:r>
          </w:p>
        </w:tc>
        <w:tc>
          <w:tcPr>
            <w:tcW w:w="1476" w:type="dxa"/>
            <w:shd w:val="clear" w:color="auto" w:fill="auto"/>
            <w:vAlign w:val="center"/>
          </w:tcPr>
          <w:p w14:paraId="6908A58C" w14:textId="77777777" w:rsidR="000D07EA" w:rsidRDefault="00BE7C89">
            <w:pPr>
              <w:pStyle w:val="BodyText"/>
              <w:spacing w:before="100" w:after="100"/>
              <w:jc w:val="center"/>
              <w:rPr>
                <w:szCs w:val="20"/>
              </w:rPr>
            </w:pPr>
            <w:r>
              <w:rPr>
                <w:szCs w:val="20"/>
              </w:rPr>
              <w:t>No</w:t>
            </w:r>
          </w:p>
        </w:tc>
      </w:tr>
      <w:tr w:rsidR="000D07EA" w14:paraId="246E5F32" w14:textId="77777777">
        <w:tc>
          <w:tcPr>
            <w:tcW w:w="2268" w:type="dxa"/>
            <w:shd w:val="clear" w:color="auto" w:fill="auto"/>
          </w:tcPr>
          <w:p w14:paraId="746F6890" w14:textId="77777777" w:rsidR="000D07EA" w:rsidRDefault="00BE7C89">
            <w:pPr>
              <w:pStyle w:val="BodyText"/>
              <w:spacing w:before="100" w:after="100"/>
              <w:rPr>
                <w:b/>
                <w:szCs w:val="20"/>
              </w:rPr>
            </w:pPr>
            <w:r>
              <w:rPr>
                <w:b/>
                <w:szCs w:val="20"/>
              </w:rPr>
              <w:t xml:space="preserve">Available on a Fixed Term Length Agreement </w:t>
            </w:r>
            <w:r>
              <w:rPr>
                <w:szCs w:val="20"/>
              </w:rPr>
              <w:t>(12 or 24 Months)</w:t>
            </w:r>
          </w:p>
        </w:tc>
        <w:tc>
          <w:tcPr>
            <w:tcW w:w="1476" w:type="dxa"/>
            <w:shd w:val="clear" w:color="auto" w:fill="auto"/>
            <w:vAlign w:val="center"/>
          </w:tcPr>
          <w:p w14:paraId="710B4941" w14:textId="77777777" w:rsidR="000D07EA" w:rsidRDefault="00BE7C89">
            <w:pPr>
              <w:pStyle w:val="BodyText"/>
              <w:spacing w:before="100" w:after="100"/>
              <w:jc w:val="center"/>
              <w:rPr>
                <w:szCs w:val="20"/>
              </w:rPr>
            </w:pPr>
            <w:r>
              <w:rPr>
                <w:szCs w:val="20"/>
              </w:rPr>
              <w:t>Yes</w:t>
            </w:r>
          </w:p>
        </w:tc>
        <w:tc>
          <w:tcPr>
            <w:tcW w:w="1476" w:type="dxa"/>
            <w:shd w:val="clear" w:color="auto" w:fill="auto"/>
            <w:vAlign w:val="center"/>
          </w:tcPr>
          <w:p w14:paraId="59064703" w14:textId="77777777" w:rsidR="000D07EA" w:rsidRDefault="00BE7C89">
            <w:pPr>
              <w:pStyle w:val="BodyText"/>
              <w:spacing w:before="100" w:after="100"/>
              <w:jc w:val="center"/>
              <w:rPr>
                <w:szCs w:val="20"/>
              </w:rPr>
            </w:pPr>
            <w:r>
              <w:rPr>
                <w:szCs w:val="20"/>
              </w:rPr>
              <w:t>Yes</w:t>
            </w:r>
          </w:p>
        </w:tc>
        <w:tc>
          <w:tcPr>
            <w:tcW w:w="1476" w:type="dxa"/>
            <w:shd w:val="clear" w:color="auto" w:fill="auto"/>
            <w:vAlign w:val="center"/>
          </w:tcPr>
          <w:p w14:paraId="60DF166E" w14:textId="77777777" w:rsidR="000D07EA" w:rsidRDefault="00BE7C89">
            <w:pPr>
              <w:pStyle w:val="BodyText"/>
              <w:spacing w:before="100" w:after="100"/>
              <w:jc w:val="center"/>
              <w:rPr>
                <w:szCs w:val="20"/>
              </w:rPr>
            </w:pPr>
            <w:r>
              <w:rPr>
                <w:szCs w:val="20"/>
              </w:rPr>
              <w:t>Yes</w:t>
            </w:r>
          </w:p>
        </w:tc>
        <w:tc>
          <w:tcPr>
            <w:tcW w:w="1476" w:type="dxa"/>
            <w:shd w:val="clear" w:color="auto" w:fill="auto"/>
            <w:vAlign w:val="center"/>
          </w:tcPr>
          <w:p w14:paraId="696C59B8" w14:textId="77777777" w:rsidR="000D07EA" w:rsidRDefault="00BE7C89">
            <w:pPr>
              <w:pStyle w:val="BodyText"/>
              <w:spacing w:before="100" w:after="100"/>
              <w:jc w:val="center"/>
              <w:rPr>
                <w:szCs w:val="20"/>
              </w:rPr>
            </w:pPr>
            <w:r>
              <w:rPr>
                <w:szCs w:val="20"/>
              </w:rPr>
              <w:t>Yes</w:t>
            </w:r>
          </w:p>
        </w:tc>
        <w:tc>
          <w:tcPr>
            <w:tcW w:w="1476" w:type="dxa"/>
            <w:shd w:val="clear" w:color="auto" w:fill="auto"/>
            <w:vAlign w:val="center"/>
          </w:tcPr>
          <w:p w14:paraId="7CBAC6ED" w14:textId="77777777" w:rsidR="000D07EA" w:rsidRDefault="00BE7C89">
            <w:pPr>
              <w:pStyle w:val="BodyText"/>
              <w:spacing w:before="100" w:after="100"/>
              <w:jc w:val="center"/>
              <w:rPr>
                <w:szCs w:val="20"/>
              </w:rPr>
            </w:pPr>
            <w:r>
              <w:rPr>
                <w:szCs w:val="20"/>
              </w:rPr>
              <w:t>Yes</w:t>
            </w:r>
          </w:p>
        </w:tc>
      </w:tr>
      <w:tr w:rsidR="000D07EA" w14:paraId="26746189" w14:textId="77777777">
        <w:tc>
          <w:tcPr>
            <w:tcW w:w="2268" w:type="dxa"/>
            <w:shd w:val="clear" w:color="auto" w:fill="auto"/>
          </w:tcPr>
          <w:p w14:paraId="3946C6A0" w14:textId="77777777" w:rsidR="000D07EA" w:rsidRDefault="00BE7C89">
            <w:pPr>
              <w:pStyle w:val="BodyText"/>
              <w:spacing w:before="100" w:after="100"/>
              <w:rPr>
                <w:b/>
                <w:szCs w:val="20"/>
              </w:rPr>
            </w:pPr>
            <w:r>
              <w:rPr>
                <w:b/>
                <w:szCs w:val="20"/>
              </w:rPr>
              <w:t xml:space="preserve">Minimum Total Cost of the Business Complete Plans over a 24 month minimum term </w:t>
            </w:r>
            <w:r>
              <w:rPr>
                <w:szCs w:val="20"/>
              </w:rPr>
              <w:t>(amount excludes handset repayments if any)</w:t>
            </w:r>
          </w:p>
        </w:tc>
        <w:tc>
          <w:tcPr>
            <w:tcW w:w="1476" w:type="dxa"/>
            <w:shd w:val="clear" w:color="auto" w:fill="auto"/>
            <w:vAlign w:val="center"/>
          </w:tcPr>
          <w:p w14:paraId="6B3EAA36" w14:textId="77777777" w:rsidR="000D07EA" w:rsidRDefault="00BE7C89">
            <w:pPr>
              <w:pStyle w:val="BodyText"/>
              <w:spacing w:before="100" w:after="100"/>
              <w:jc w:val="center"/>
              <w:rPr>
                <w:szCs w:val="20"/>
              </w:rPr>
            </w:pPr>
            <w:r>
              <w:rPr>
                <w:szCs w:val="20"/>
              </w:rPr>
              <w:t>$720</w:t>
            </w:r>
          </w:p>
        </w:tc>
        <w:tc>
          <w:tcPr>
            <w:tcW w:w="1476" w:type="dxa"/>
            <w:shd w:val="clear" w:color="auto" w:fill="auto"/>
            <w:vAlign w:val="center"/>
          </w:tcPr>
          <w:p w14:paraId="5E14BB66" w14:textId="77777777" w:rsidR="000D07EA" w:rsidRDefault="00BE7C89">
            <w:pPr>
              <w:pStyle w:val="BodyText"/>
              <w:spacing w:before="100" w:after="100"/>
              <w:jc w:val="center"/>
              <w:rPr>
                <w:szCs w:val="20"/>
              </w:rPr>
            </w:pPr>
            <w:r>
              <w:rPr>
                <w:szCs w:val="20"/>
              </w:rPr>
              <w:t>$840</w:t>
            </w:r>
          </w:p>
        </w:tc>
        <w:tc>
          <w:tcPr>
            <w:tcW w:w="1476" w:type="dxa"/>
            <w:shd w:val="clear" w:color="auto" w:fill="auto"/>
            <w:vAlign w:val="center"/>
          </w:tcPr>
          <w:p w14:paraId="5C66138A" w14:textId="77777777" w:rsidR="000D07EA" w:rsidRDefault="00BE7C89">
            <w:pPr>
              <w:pStyle w:val="BodyText"/>
              <w:spacing w:before="100" w:after="100"/>
              <w:jc w:val="center"/>
              <w:rPr>
                <w:szCs w:val="20"/>
              </w:rPr>
            </w:pPr>
            <w:r>
              <w:rPr>
                <w:szCs w:val="20"/>
              </w:rPr>
              <w:t>$1200</w:t>
            </w:r>
          </w:p>
        </w:tc>
        <w:tc>
          <w:tcPr>
            <w:tcW w:w="1476" w:type="dxa"/>
            <w:shd w:val="clear" w:color="auto" w:fill="auto"/>
            <w:vAlign w:val="center"/>
          </w:tcPr>
          <w:p w14:paraId="53088D04" w14:textId="77777777" w:rsidR="000D07EA" w:rsidRDefault="00BE7C89">
            <w:pPr>
              <w:pStyle w:val="BodyText"/>
              <w:spacing w:before="100" w:after="100"/>
              <w:jc w:val="center"/>
              <w:rPr>
                <w:szCs w:val="20"/>
              </w:rPr>
            </w:pPr>
            <w:r>
              <w:rPr>
                <w:szCs w:val="20"/>
              </w:rPr>
              <w:t>$1440</w:t>
            </w:r>
          </w:p>
        </w:tc>
        <w:tc>
          <w:tcPr>
            <w:tcW w:w="1476" w:type="dxa"/>
            <w:shd w:val="clear" w:color="auto" w:fill="auto"/>
            <w:vAlign w:val="center"/>
          </w:tcPr>
          <w:p w14:paraId="0A16C446" w14:textId="77777777" w:rsidR="000D07EA" w:rsidRDefault="00BE7C89">
            <w:pPr>
              <w:pStyle w:val="BodyText"/>
              <w:spacing w:before="100" w:after="100"/>
              <w:jc w:val="center"/>
              <w:rPr>
                <w:szCs w:val="20"/>
              </w:rPr>
            </w:pPr>
            <w:r>
              <w:rPr>
                <w:szCs w:val="20"/>
              </w:rPr>
              <w:t>$1920</w:t>
            </w:r>
          </w:p>
        </w:tc>
      </w:tr>
      <w:tr w:rsidR="000D07EA" w14:paraId="336B862E" w14:textId="77777777">
        <w:tc>
          <w:tcPr>
            <w:tcW w:w="2268" w:type="dxa"/>
            <w:shd w:val="clear" w:color="auto" w:fill="auto"/>
          </w:tcPr>
          <w:p w14:paraId="59CE8FC6" w14:textId="77777777" w:rsidR="000D07EA" w:rsidRDefault="00BE7C89">
            <w:pPr>
              <w:pStyle w:val="BodyText"/>
              <w:spacing w:before="100" w:after="100"/>
              <w:rPr>
                <w:b/>
                <w:szCs w:val="20"/>
              </w:rPr>
            </w:pPr>
            <w:r>
              <w:rPr>
                <w:b/>
                <w:szCs w:val="20"/>
              </w:rPr>
              <w:t xml:space="preserve">Minimum Total Cost of the Business Complete Plans over a 12 month minimum term </w:t>
            </w:r>
            <w:r>
              <w:rPr>
                <w:szCs w:val="20"/>
              </w:rPr>
              <w:t>(amount excludes handset repayments if any)</w:t>
            </w:r>
          </w:p>
        </w:tc>
        <w:tc>
          <w:tcPr>
            <w:tcW w:w="1476" w:type="dxa"/>
            <w:shd w:val="clear" w:color="auto" w:fill="auto"/>
            <w:vAlign w:val="center"/>
          </w:tcPr>
          <w:p w14:paraId="646E71F3" w14:textId="77777777" w:rsidR="000D07EA" w:rsidRDefault="00BE7C89">
            <w:pPr>
              <w:pStyle w:val="BodyText"/>
              <w:spacing w:before="100" w:after="100"/>
              <w:jc w:val="center"/>
              <w:rPr>
                <w:szCs w:val="20"/>
              </w:rPr>
            </w:pPr>
            <w:r>
              <w:rPr>
                <w:szCs w:val="20"/>
              </w:rPr>
              <w:t>$360</w:t>
            </w:r>
          </w:p>
        </w:tc>
        <w:tc>
          <w:tcPr>
            <w:tcW w:w="1476" w:type="dxa"/>
            <w:shd w:val="clear" w:color="auto" w:fill="auto"/>
            <w:vAlign w:val="center"/>
          </w:tcPr>
          <w:p w14:paraId="7C165B01" w14:textId="77777777" w:rsidR="000D07EA" w:rsidRDefault="00BE7C89">
            <w:pPr>
              <w:pStyle w:val="BodyText"/>
              <w:spacing w:before="100" w:after="100"/>
              <w:jc w:val="center"/>
              <w:rPr>
                <w:szCs w:val="20"/>
              </w:rPr>
            </w:pPr>
            <w:r>
              <w:rPr>
                <w:szCs w:val="20"/>
              </w:rPr>
              <w:t>$420</w:t>
            </w:r>
          </w:p>
        </w:tc>
        <w:tc>
          <w:tcPr>
            <w:tcW w:w="1476" w:type="dxa"/>
            <w:shd w:val="clear" w:color="auto" w:fill="auto"/>
            <w:vAlign w:val="center"/>
          </w:tcPr>
          <w:p w14:paraId="00AE2C81" w14:textId="77777777" w:rsidR="000D07EA" w:rsidRDefault="00BE7C89">
            <w:pPr>
              <w:pStyle w:val="BodyText"/>
              <w:spacing w:before="100" w:after="100"/>
              <w:jc w:val="center"/>
              <w:rPr>
                <w:szCs w:val="20"/>
              </w:rPr>
            </w:pPr>
            <w:r>
              <w:rPr>
                <w:szCs w:val="20"/>
              </w:rPr>
              <w:t>$600</w:t>
            </w:r>
          </w:p>
        </w:tc>
        <w:tc>
          <w:tcPr>
            <w:tcW w:w="1476" w:type="dxa"/>
            <w:shd w:val="clear" w:color="auto" w:fill="auto"/>
            <w:vAlign w:val="center"/>
          </w:tcPr>
          <w:p w14:paraId="34EDFD26" w14:textId="77777777" w:rsidR="000D07EA" w:rsidRDefault="00BE7C89">
            <w:pPr>
              <w:pStyle w:val="BodyText"/>
              <w:spacing w:before="100" w:after="100"/>
              <w:jc w:val="center"/>
              <w:rPr>
                <w:szCs w:val="20"/>
              </w:rPr>
            </w:pPr>
            <w:r>
              <w:rPr>
                <w:szCs w:val="20"/>
              </w:rPr>
              <w:t>$720</w:t>
            </w:r>
          </w:p>
        </w:tc>
        <w:tc>
          <w:tcPr>
            <w:tcW w:w="1476" w:type="dxa"/>
            <w:shd w:val="clear" w:color="auto" w:fill="auto"/>
            <w:vAlign w:val="center"/>
          </w:tcPr>
          <w:p w14:paraId="29155BB2" w14:textId="77777777" w:rsidR="000D07EA" w:rsidRDefault="00BE7C89">
            <w:pPr>
              <w:pStyle w:val="BodyText"/>
              <w:spacing w:before="100" w:after="100"/>
              <w:jc w:val="center"/>
              <w:rPr>
                <w:szCs w:val="20"/>
              </w:rPr>
            </w:pPr>
            <w:r>
              <w:rPr>
                <w:szCs w:val="20"/>
              </w:rPr>
              <w:t>$960</w:t>
            </w:r>
          </w:p>
        </w:tc>
      </w:tr>
    </w:tbl>
    <w:p w14:paraId="3F0771FC" w14:textId="77777777" w:rsidR="000D07EA" w:rsidRDefault="000D07EA">
      <w:pPr>
        <w:pStyle w:val="BodyText"/>
      </w:pPr>
    </w:p>
    <w:p w14:paraId="1BAC9585" w14:textId="77777777" w:rsidR="000D07EA" w:rsidRDefault="00BE7C89">
      <w:pPr>
        <w:pStyle w:val="Heading6"/>
        <w:ind w:left="0" w:firstLine="0"/>
      </w:pPr>
      <w:bookmarkStart w:id="669" w:name="_Toc397941253"/>
      <w:r>
        <w:t xml:space="preserve">What happens if the </w:t>
      </w:r>
      <w:r>
        <w:rPr>
          <w:i/>
        </w:rPr>
        <w:t xml:space="preserve">service is cancelled </w:t>
      </w:r>
      <w:r>
        <w:t>early?</w:t>
      </w:r>
      <w:bookmarkEnd w:id="669"/>
      <w:r>
        <w:t xml:space="preserve"> </w:t>
      </w:r>
    </w:p>
    <w:p w14:paraId="46F0DDB1" w14:textId="77777777" w:rsidR="000D07EA" w:rsidRDefault="00BE7C89">
      <w:pPr>
        <w:pStyle w:val="Heading7"/>
      </w:pPr>
      <w:r>
        <w:t xml:space="preserve">If </w:t>
      </w:r>
      <w:r>
        <w:rPr>
          <w:i/>
        </w:rPr>
        <w:t>the service</w:t>
      </w:r>
      <w:r>
        <w:t xml:space="preserve"> </w:t>
      </w:r>
      <w:r>
        <w:rPr>
          <w:i/>
        </w:rPr>
        <w:t xml:space="preserve">is cancelled </w:t>
      </w:r>
      <w:r>
        <w:t xml:space="preserve">before the expiry of the </w:t>
      </w:r>
      <w:r>
        <w:rPr>
          <w:i/>
        </w:rPr>
        <w:t xml:space="preserve">minimum term, you </w:t>
      </w:r>
      <w:r>
        <w:t xml:space="preserve">will be required to pay </w:t>
      </w:r>
      <w:r>
        <w:rPr>
          <w:i/>
        </w:rPr>
        <w:t>us</w:t>
      </w:r>
      <w:r>
        <w:t>:</w:t>
      </w:r>
    </w:p>
    <w:p w14:paraId="2175A8FE" w14:textId="77777777" w:rsidR="000D07EA" w:rsidRDefault="00BE7C89">
      <w:pPr>
        <w:pStyle w:val="Heading8"/>
      </w:pPr>
      <w:r>
        <w:t xml:space="preserve">any usage charges incurred up to, and including, the </w:t>
      </w:r>
      <w:r>
        <w:rPr>
          <w:i/>
        </w:rPr>
        <w:t xml:space="preserve">cancellation date; </w:t>
      </w:r>
      <w:r>
        <w:t>plus</w:t>
      </w:r>
    </w:p>
    <w:p w14:paraId="39E0DC02" w14:textId="77777777" w:rsidR="000D07EA" w:rsidRDefault="00BE7C89">
      <w:pPr>
        <w:pStyle w:val="Heading8"/>
      </w:pPr>
      <w:r>
        <w:t xml:space="preserve">the </w:t>
      </w:r>
      <w:r>
        <w:rPr>
          <w:i/>
        </w:rPr>
        <w:t xml:space="preserve">cancellation fee </w:t>
      </w:r>
      <w:r>
        <w:t xml:space="preserve">set in paragraphs </w:t>
      </w:r>
      <w:r>
        <w:fldChar w:fldCharType="begin"/>
      </w:r>
      <w:r>
        <w:instrText xml:space="preserve"> REF _Ref461553228 \n \h </w:instrText>
      </w:r>
      <w:r>
        <w:fldChar w:fldCharType="separate"/>
      </w:r>
      <w:r w:rsidR="0004083A">
        <w:t>(b)</w:t>
      </w:r>
      <w:r>
        <w:fldChar w:fldCharType="end"/>
      </w:r>
      <w:r>
        <w:t xml:space="preserve"> and </w:t>
      </w:r>
      <w:r>
        <w:fldChar w:fldCharType="begin"/>
      </w:r>
      <w:r>
        <w:instrText xml:space="preserve"> REF _Ref461553237 \n \h </w:instrText>
      </w:r>
      <w:r>
        <w:fldChar w:fldCharType="separate"/>
      </w:r>
      <w:r w:rsidR="0004083A">
        <w:t>(c)</w:t>
      </w:r>
      <w:r>
        <w:fldChar w:fldCharType="end"/>
      </w:r>
      <w:r>
        <w:t xml:space="preserve"> below (unless under clause 2A of the </w:t>
      </w:r>
      <w:r>
        <w:rPr>
          <w:i/>
        </w:rPr>
        <w:t xml:space="preserve">SME terms, you </w:t>
      </w:r>
      <w:r>
        <w:t xml:space="preserve">are entitled to </w:t>
      </w:r>
      <w:r>
        <w:rPr>
          <w:i/>
        </w:rPr>
        <w:t xml:space="preserve">cancel the service </w:t>
      </w:r>
      <w:r>
        <w:t xml:space="preserve">without incurring a </w:t>
      </w:r>
      <w:r>
        <w:rPr>
          <w:i/>
        </w:rPr>
        <w:t>cancellation fee)</w:t>
      </w:r>
      <w:r>
        <w:t>; plus</w:t>
      </w:r>
    </w:p>
    <w:p w14:paraId="02651A5D" w14:textId="77777777" w:rsidR="000D07EA" w:rsidRDefault="00BE7C89">
      <w:pPr>
        <w:pStyle w:val="Heading8"/>
      </w:pPr>
      <w:r>
        <w:t xml:space="preserve">the sum of unpaid </w:t>
      </w:r>
      <w:r>
        <w:rPr>
          <w:i/>
        </w:rPr>
        <w:t xml:space="preserve">equipment charges </w:t>
      </w:r>
      <w:r>
        <w:t xml:space="preserve">owing on </w:t>
      </w:r>
      <w:r>
        <w:rPr>
          <w:i/>
        </w:rPr>
        <w:t xml:space="preserve">your mobile phone </w:t>
      </w:r>
      <w:r>
        <w:t xml:space="preserve">under the </w:t>
      </w:r>
      <w:r>
        <w:rPr>
          <w:i/>
        </w:rPr>
        <w:t xml:space="preserve">mobile equipment payment plan </w:t>
      </w:r>
      <w:r>
        <w:t>(if any)</w:t>
      </w:r>
      <w:r>
        <w:rPr>
          <w:i/>
        </w:rPr>
        <w:t>.</w:t>
      </w:r>
    </w:p>
    <w:p w14:paraId="7BB108E5" w14:textId="77777777" w:rsidR="000D07EA" w:rsidRDefault="00BE7C89">
      <w:pPr>
        <w:pStyle w:val="Heading7"/>
      </w:pPr>
      <w:bookmarkStart w:id="670" w:name="_Ref461553228"/>
      <w:r>
        <w:lastRenderedPageBreak/>
        <w:t xml:space="preserve">The </w:t>
      </w:r>
      <w:r>
        <w:rPr>
          <w:i/>
        </w:rPr>
        <w:t>cancellation fee</w:t>
      </w:r>
      <w:r>
        <w:t xml:space="preserve"> for a 24 month </w:t>
      </w:r>
      <w:r>
        <w:rPr>
          <w:i/>
        </w:rPr>
        <w:t>fixed length agreement</w:t>
      </w:r>
      <w:r>
        <w:t xml:space="preserve"> is calculated as a fixed amount if the </w:t>
      </w:r>
      <w:r>
        <w:rPr>
          <w:i/>
        </w:rPr>
        <w:t xml:space="preserve">service </w:t>
      </w:r>
      <w:r>
        <w:t xml:space="preserve">is </w:t>
      </w:r>
      <w:r>
        <w:rPr>
          <w:i/>
        </w:rPr>
        <w:t xml:space="preserve">cancelled </w:t>
      </w:r>
      <w:r>
        <w:t xml:space="preserve">during the first 12 months of the </w:t>
      </w:r>
      <w:r>
        <w:rPr>
          <w:i/>
        </w:rPr>
        <w:t>minimum term</w:t>
      </w:r>
      <w:r>
        <w:t xml:space="preserve"> and then a pro-rata reduction of that fee (indicated as a percentage in brackets in the first column of the table below) if the </w:t>
      </w:r>
      <w:r>
        <w:rPr>
          <w:i/>
        </w:rPr>
        <w:t xml:space="preserve">service </w:t>
      </w:r>
      <w:r>
        <w:t xml:space="preserve">is </w:t>
      </w:r>
      <w:r>
        <w:rPr>
          <w:i/>
        </w:rPr>
        <w:t xml:space="preserve">cancelled </w:t>
      </w:r>
      <w:r>
        <w:t xml:space="preserve">during the second year of the </w:t>
      </w:r>
      <w:r>
        <w:rPr>
          <w:i/>
        </w:rPr>
        <w:t>minimum term</w:t>
      </w:r>
      <w:r>
        <w:t>.</w:t>
      </w:r>
      <w:bookmarkEnd w:id="670"/>
    </w:p>
    <w:p w14:paraId="51AF325A" w14:textId="77777777" w:rsidR="000D07EA" w:rsidRDefault="00BE7C89">
      <w:pPr>
        <w:pStyle w:val="Heading7"/>
      </w:pPr>
      <w:bookmarkStart w:id="671" w:name="_Ref461553237"/>
      <w:r>
        <w:t xml:space="preserve">The </w:t>
      </w:r>
      <w:r>
        <w:rPr>
          <w:i/>
        </w:rPr>
        <w:t>cancellation fee</w:t>
      </w:r>
      <w:r>
        <w:t xml:space="preserve"> for a 12 month </w:t>
      </w:r>
      <w:r>
        <w:rPr>
          <w:i/>
        </w:rPr>
        <w:t>fixed length agreement</w:t>
      </w:r>
      <w:r>
        <w:t xml:space="preserve"> is calculated as a fixed amount if the </w:t>
      </w:r>
      <w:r>
        <w:rPr>
          <w:i/>
        </w:rPr>
        <w:t xml:space="preserve">service </w:t>
      </w:r>
      <w:r>
        <w:t xml:space="preserve">is </w:t>
      </w:r>
      <w:r>
        <w:rPr>
          <w:i/>
        </w:rPr>
        <w:t xml:space="preserve">cancelled </w:t>
      </w:r>
      <w:r>
        <w:t xml:space="preserve">during the first 6 months of the </w:t>
      </w:r>
      <w:r>
        <w:rPr>
          <w:i/>
        </w:rPr>
        <w:t>minimum term</w:t>
      </w:r>
      <w:r>
        <w:t xml:space="preserve"> and then a pro-rata reduction of that fee (indicated as a percentage in brackets in the first column of the table below) if the </w:t>
      </w:r>
      <w:r>
        <w:rPr>
          <w:i/>
        </w:rPr>
        <w:t xml:space="preserve">service </w:t>
      </w:r>
      <w:r>
        <w:t xml:space="preserve">is </w:t>
      </w:r>
      <w:r>
        <w:rPr>
          <w:i/>
        </w:rPr>
        <w:t xml:space="preserve">cancelled </w:t>
      </w:r>
      <w:r>
        <w:t xml:space="preserve">during the last 6 months of the </w:t>
      </w:r>
      <w:r>
        <w:rPr>
          <w:i/>
        </w:rPr>
        <w:t>minimum term</w:t>
      </w:r>
      <w:r>
        <w:t>.</w:t>
      </w:r>
      <w:bookmarkEnd w:id="671"/>
    </w:p>
    <w:tbl>
      <w:tblPr>
        <w:tblW w:w="8928"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1372"/>
        <w:gridCol w:w="1373"/>
        <w:gridCol w:w="1372"/>
        <w:gridCol w:w="1373"/>
        <w:gridCol w:w="1373"/>
      </w:tblGrid>
      <w:tr w:rsidR="000D07EA" w14:paraId="661ACBF2" w14:textId="77777777">
        <w:trPr>
          <w:trHeight w:val="20"/>
        </w:trPr>
        <w:tc>
          <w:tcPr>
            <w:tcW w:w="2065" w:type="dxa"/>
            <w:shd w:val="clear" w:color="auto" w:fill="auto"/>
            <w:vAlign w:val="center"/>
          </w:tcPr>
          <w:p w14:paraId="492B8C86" w14:textId="77777777" w:rsidR="000D07EA" w:rsidRDefault="00BE7C89">
            <w:pPr>
              <w:pStyle w:val="BodyText"/>
              <w:spacing w:before="100" w:after="100"/>
              <w:rPr>
                <w:b/>
              </w:rPr>
            </w:pPr>
            <w:r>
              <w:rPr>
                <w:b/>
              </w:rPr>
              <w:t xml:space="preserve">When the </w:t>
            </w:r>
            <w:r>
              <w:rPr>
                <w:b/>
                <w:i/>
              </w:rPr>
              <w:t>service</w:t>
            </w:r>
            <w:r>
              <w:rPr>
                <w:b/>
              </w:rPr>
              <w:t xml:space="preserve"> is </w:t>
            </w:r>
            <w:r>
              <w:rPr>
                <w:b/>
                <w:i/>
              </w:rPr>
              <w:t>cancelled</w:t>
            </w:r>
          </w:p>
        </w:tc>
        <w:tc>
          <w:tcPr>
            <w:tcW w:w="6863" w:type="dxa"/>
            <w:gridSpan w:val="5"/>
            <w:shd w:val="clear" w:color="auto" w:fill="auto"/>
            <w:vAlign w:val="center"/>
          </w:tcPr>
          <w:p w14:paraId="26BAC4C0" w14:textId="77777777" w:rsidR="000D07EA" w:rsidRDefault="00BE7C89">
            <w:pPr>
              <w:pStyle w:val="BodyText"/>
              <w:spacing w:before="100" w:after="100"/>
              <w:jc w:val="center"/>
              <w:rPr>
                <w:b/>
                <w:i/>
              </w:rPr>
            </w:pPr>
            <w:r>
              <w:rPr>
                <w:b/>
                <w:i/>
              </w:rPr>
              <w:t>Cancellation Fee</w:t>
            </w:r>
          </w:p>
        </w:tc>
      </w:tr>
      <w:tr w:rsidR="000D07EA" w14:paraId="730E60DD" w14:textId="77777777">
        <w:trPr>
          <w:trHeight w:val="20"/>
        </w:trPr>
        <w:tc>
          <w:tcPr>
            <w:tcW w:w="2065" w:type="dxa"/>
            <w:shd w:val="clear" w:color="auto" w:fill="auto"/>
            <w:vAlign w:val="center"/>
          </w:tcPr>
          <w:p w14:paraId="2D0EE6B8" w14:textId="77777777" w:rsidR="000D07EA" w:rsidRDefault="000D07EA">
            <w:pPr>
              <w:pStyle w:val="BodyText"/>
              <w:spacing w:before="100" w:after="100"/>
              <w:rPr>
                <w:b/>
              </w:rPr>
            </w:pPr>
          </w:p>
        </w:tc>
        <w:tc>
          <w:tcPr>
            <w:tcW w:w="6863" w:type="dxa"/>
            <w:gridSpan w:val="5"/>
            <w:shd w:val="clear" w:color="auto" w:fill="auto"/>
            <w:vAlign w:val="center"/>
          </w:tcPr>
          <w:p w14:paraId="2FB5F896" w14:textId="77777777" w:rsidR="000D07EA" w:rsidRDefault="00BE7C89">
            <w:pPr>
              <w:pStyle w:val="BodyText"/>
              <w:spacing w:before="100" w:after="100"/>
              <w:jc w:val="center"/>
              <w:rPr>
                <w:b/>
              </w:rPr>
            </w:pPr>
            <w:r>
              <w:rPr>
                <w:b/>
              </w:rPr>
              <w:t>Business Complete Plans – 24 Month Contract</w:t>
            </w:r>
          </w:p>
        </w:tc>
      </w:tr>
      <w:tr w:rsidR="000D07EA" w14:paraId="71154C0D" w14:textId="77777777">
        <w:trPr>
          <w:trHeight w:val="20"/>
        </w:trPr>
        <w:tc>
          <w:tcPr>
            <w:tcW w:w="2065" w:type="dxa"/>
            <w:shd w:val="clear" w:color="auto" w:fill="auto"/>
            <w:vAlign w:val="center"/>
          </w:tcPr>
          <w:p w14:paraId="09A6FE57" w14:textId="77777777" w:rsidR="000D07EA" w:rsidRDefault="000D07EA">
            <w:pPr>
              <w:pStyle w:val="BodyText"/>
              <w:spacing w:before="100" w:after="100"/>
              <w:rPr>
                <w:b/>
              </w:rPr>
            </w:pPr>
          </w:p>
        </w:tc>
        <w:tc>
          <w:tcPr>
            <w:tcW w:w="1372" w:type="dxa"/>
            <w:shd w:val="clear" w:color="auto" w:fill="auto"/>
            <w:vAlign w:val="center"/>
          </w:tcPr>
          <w:p w14:paraId="6678136A" w14:textId="77777777" w:rsidR="000D07EA" w:rsidRDefault="00BE7C89">
            <w:pPr>
              <w:pStyle w:val="BodyText"/>
              <w:spacing w:before="100" w:after="100"/>
              <w:jc w:val="center"/>
              <w:rPr>
                <w:b/>
              </w:rPr>
            </w:pPr>
            <w:r>
              <w:rPr>
                <w:b/>
              </w:rPr>
              <w:t>$30 Business Complete Plan Premium (4G Sept 2012)</w:t>
            </w:r>
          </w:p>
        </w:tc>
        <w:tc>
          <w:tcPr>
            <w:tcW w:w="1373" w:type="dxa"/>
            <w:shd w:val="clear" w:color="auto" w:fill="auto"/>
            <w:vAlign w:val="center"/>
          </w:tcPr>
          <w:p w14:paraId="278DB21C" w14:textId="77777777" w:rsidR="000D07EA" w:rsidRDefault="00BE7C89">
            <w:pPr>
              <w:pStyle w:val="BodyText"/>
              <w:spacing w:before="100" w:after="100"/>
              <w:jc w:val="center"/>
              <w:rPr>
                <w:b/>
              </w:rPr>
            </w:pPr>
            <w:r>
              <w:rPr>
                <w:b/>
              </w:rPr>
              <w:t>$35 Business Complete Plan Premium (4G Sept 2012)</w:t>
            </w:r>
          </w:p>
        </w:tc>
        <w:tc>
          <w:tcPr>
            <w:tcW w:w="1372" w:type="dxa"/>
            <w:shd w:val="clear" w:color="auto" w:fill="auto"/>
            <w:vAlign w:val="center"/>
          </w:tcPr>
          <w:p w14:paraId="01F6A588" w14:textId="77777777" w:rsidR="000D07EA" w:rsidRDefault="00BE7C89">
            <w:pPr>
              <w:pStyle w:val="BodyText"/>
              <w:spacing w:before="100" w:after="100"/>
              <w:jc w:val="center"/>
              <w:rPr>
                <w:b/>
              </w:rPr>
            </w:pPr>
            <w:r>
              <w:rPr>
                <w:b/>
              </w:rPr>
              <w:t>$50 Business Complete Plan Premium (4G Sept 2012)</w:t>
            </w:r>
          </w:p>
        </w:tc>
        <w:tc>
          <w:tcPr>
            <w:tcW w:w="1373" w:type="dxa"/>
            <w:shd w:val="clear" w:color="auto" w:fill="auto"/>
            <w:vAlign w:val="center"/>
          </w:tcPr>
          <w:p w14:paraId="6E38FF36" w14:textId="77777777" w:rsidR="000D07EA" w:rsidRDefault="00BE7C89">
            <w:pPr>
              <w:pStyle w:val="BodyText"/>
              <w:spacing w:before="100" w:after="100"/>
              <w:jc w:val="center"/>
              <w:rPr>
                <w:b/>
              </w:rPr>
            </w:pPr>
            <w:r>
              <w:rPr>
                <w:b/>
              </w:rPr>
              <w:t>$60 Business Complete Plan Premium (4G Sept 2012)</w:t>
            </w:r>
          </w:p>
        </w:tc>
        <w:tc>
          <w:tcPr>
            <w:tcW w:w="1373" w:type="dxa"/>
            <w:shd w:val="clear" w:color="auto" w:fill="auto"/>
            <w:vAlign w:val="center"/>
          </w:tcPr>
          <w:p w14:paraId="1BA3AC4A" w14:textId="77777777" w:rsidR="000D07EA" w:rsidRDefault="00BE7C89">
            <w:pPr>
              <w:pStyle w:val="BodyText"/>
              <w:spacing w:before="100" w:after="100"/>
              <w:jc w:val="center"/>
              <w:rPr>
                <w:b/>
              </w:rPr>
            </w:pPr>
            <w:r>
              <w:rPr>
                <w:b/>
              </w:rPr>
              <w:t>$80 Business Complete Plan Premium (4G Sept 2012)</w:t>
            </w:r>
          </w:p>
        </w:tc>
      </w:tr>
      <w:tr w:rsidR="000D07EA" w14:paraId="63227CAE" w14:textId="77777777">
        <w:trPr>
          <w:trHeight w:val="20"/>
        </w:trPr>
        <w:tc>
          <w:tcPr>
            <w:tcW w:w="2065" w:type="dxa"/>
            <w:shd w:val="clear" w:color="auto" w:fill="auto"/>
            <w:vAlign w:val="center"/>
          </w:tcPr>
          <w:p w14:paraId="59137F44" w14:textId="77777777" w:rsidR="000D07EA" w:rsidRDefault="00BE7C89">
            <w:pPr>
              <w:pStyle w:val="BodyText"/>
              <w:spacing w:before="100" w:after="100"/>
              <w:rPr>
                <w:b/>
              </w:rPr>
            </w:pPr>
            <w:r>
              <w:rPr>
                <w:b/>
              </w:rPr>
              <w:t xml:space="preserve">During the first 12 months - Initial </w:t>
            </w:r>
            <w:r>
              <w:rPr>
                <w:b/>
                <w:i/>
              </w:rPr>
              <w:t>cancellation</w:t>
            </w:r>
            <w:r>
              <w:rPr>
                <w:b/>
              </w:rPr>
              <w:t xml:space="preserve"> </w:t>
            </w:r>
            <w:r>
              <w:rPr>
                <w:b/>
                <w:i/>
              </w:rPr>
              <w:t>fee</w:t>
            </w:r>
          </w:p>
        </w:tc>
        <w:tc>
          <w:tcPr>
            <w:tcW w:w="1372" w:type="dxa"/>
            <w:shd w:val="clear" w:color="auto" w:fill="auto"/>
            <w:vAlign w:val="center"/>
          </w:tcPr>
          <w:p w14:paraId="5C0626F2" w14:textId="77777777" w:rsidR="000D07EA" w:rsidRDefault="00BE7C89">
            <w:pPr>
              <w:pStyle w:val="BodyText"/>
              <w:spacing w:before="100" w:after="100"/>
              <w:jc w:val="center"/>
            </w:pPr>
            <w:r>
              <w:t>$560</w:t>
            </w:r>
          </w:p>
        </w:tc>
        <w:tc>
          <w:tcPr>
            <w:tcW w:w="1373" w:type="dxa"/>
            <w:shd w:val="clear" w:color="auto" w:fill="auto"/>
            <w:vAlign w:val="center"/>
          </w:tcPr>
          <w:p w14:paraId="73110A8C" w14:textId="77777777" w:rsidR="000D07EA" w:rsidRDefault="00BE7C89">
            <w:pPr>
              <w:pStyle w:val="BodyText"/>
              <w:spacing w:before="100" w:after="100"/>
              <w:jc w:val="center"/>
            </w:pPr>
            <w:r>
              <w:t>$590</w:t>
            </w:r>
          </w:p>
        </w:tc>
        <w:tc>
          <w:tcPr>
            <w:tcW w:w="1372" w:type="dxa"/>
            <w:shd w:val="clear" w:color="auto" w:fill="auto"/>
            <w:vAlign w:val="center"/>
          </w:tcPr>
          <w:p w14:paraId="6FCE87A1" w14:textId="77777777" w:rsidR="000D07EA" w:rsidRDefault="00BE7C89">
            <w:pPr>
              <w:pStyle w:val="BodyText"/>
              <w:spacing w:before="100" w:after="100"/>
              <w:jc w:val="center"/>
            </w:pPr>
            <w:r>
              <w:t>$850</w:t>
            </w:r>
          </w:p>
        </w:tc>
        <w:tc>
          <w:tcPr>
            <w:tcW w:w="1373" w:type="dxa"/>
            <w:shd w:val="clear" w:color="auto" w:fill="auto"/>
            <w:vAlign w:val="center"/>
          </w:tcPr>
          <w:p w14:paraId="6136258B" w14:textId="77777777" w:rsidR="000D07EA" w:rsidRDefault="00BE7C89">
            <w:pPr>
              <w:pStyle w:val="BodyText"/>
              <w:spacing w:before="100" w:after="100"/>
              <w:jc w:val="center"/>
            </w:pPr>
            <w:r>
              <w:t>$1110</w:t>
            </w:r>
          </w:p>
        </w:tc>
        <w:tc>
          <w:tcPr>
            <w:tcW w:w="1373" w:type="dxa"/>
            <w:shd w:val="clear" w:color="auto" w:fill="auto"/>
            <w:vAlign w:val="center"/>
          </w:tcPr>
          <w:p w14:paraId="754B41A6" w14:textId="77777777" w:rsidR="000D07EA" w:rsidRDefault="00BE7C89">
            <w:pPr>
              <w:pStyle w:val="BodyText"/>
              <w:spacing w:before="100" w:after="100"/>
              <w:jc w:val="center"/>
            </w:pPr>
            <w:r>
              <w:t>$1,260</w:t>
            </w:r>
          </w:p>
        </w:tc>
      </w:tr>
      <w:tr w:rsidR="000D07EA" w14:paraId="79D328EA" w14:textId="77777777">
        <w:trPr>
          <w:trHeight w:val="20"/>
        </w:trPr>
        <w:tc>
          <w:tcPr>
            <w:tcW w:w="2065" w:type="dxa"/>
            <w:shd w:val="clear" w:color="auto" w:fill="auto"/>
            <w:vAlign w:val="center"/>
          </w:tcPr>
          <w:p w14:paraId="3D161752" w14:textId="77777777" w:rsidR="000D07EA" w:rsidRDefault="00BE7C89">
            <w:pPr>
              <w:pStyle w:val="BodyText"/>
              <w:spacing w:before="100" w:after="100"/>
              <w:rPr>
                <w:b/>
              </w:rPr>
            </w:pPr>
            <w:r>
              <w:rPr>
                <w:b/>
              </w:rPr>
              <w:t xml:space="preserve">Months 13 – 15 (80% of Initial </w:t>
            </w:r>
            <w:r>
              <w:rPr>
                <w:b/>
                <w:i/>
              </w:rPr>
              <w:t>cancellation</w:t>
            </w:r>
            <w:r>
              <w:rPr>
                <w:b/>
              </w:rPr>
              <w:t xml:space="preserve"> </w:t>
            </w:r>
            <w:r>
              <w:rPr>
                <w:b/>
                <w:i/>
              </w:rPr>
              <w:t>fee</w:t>
            </w:r>
            <w:r>
              <w:rPr>
                <w:b/>
              </w:rPr>
              <w:t>)</w:t>
            </w:r>
          </w:p>
        </w:tc>
        <w:tc>
          <w:tcPr>
            <w:tcW w:w="1372" w:type="dxa"/>
            <w:shd w:val="clear" w:color="auto" w:fill="auto"/>
            <w:vAlign w:val="center"/>
          </w:tcPr>
          <w:p w14:paraId="13898526" w14:textId="77777777" w:rsidR="000D07EA" w:rsidRDefault="00BE7C89">
            <w:pPr>
              <w:pStyle w:val="BodyText"/>
              <w:spacing w:before="100" w:after="100"/>
              <w:jc w:val="center"/>
            </w:pPr>
            <w:r>
              <w:t>$448</w:t>
            </w:r>
          </w:p>
        </w:tc>
        <w:tc>
          <w:tcPr>
            <w:tcW w:w="1373" w:type="dxa"/>
            <w:shd w:val="clear" w:color="auto" w:fill="auto"/>
            <w:vAlign w:val="center"/>
          </w:tcPr>
          <w:p w14:paraId="1DC5CCE9" w14:textId="77777777" w:rsidR="000D07EA" w:rsidRDefault="00BE7C89">
            <w:pPr>
              <w:pStyle w:val="BodyText"/>
              <w:spacing w:before="100" w:after="100"/>
              <w:jc w:val="center"/>
            </w:pPr>
            <w:r>
              <w:t>$472</w:t>
            </w:r>
          </w:p>
        </w:tc>
        <w:tc>
          <w:tcPr>
            <w:tcW w:w="1372" w:type="dxa"/>
            <w:shd w:val="clear" w:color="auto" w:fill="auto"/>
            <w:vAlign w:val="center"/>
          </w:tcPr>
          <w:p w14:paraId="4852D2C6" w14:textId="77777777" w:rsidR="000D07EA" w:rsidRDefault="00BE7C89">
            <w:pPr>
              <w:pStyle w:val="BodyText"/>
              <w:spacing w:before="100" w:after="100"/>
              <w:jc w:val="center"/>
            </w:pPr>
            <w:r>
              <w:t>$680</w:t>
            </w:r>
          </w:p>
        </w:tc>
        <w:tc>
          <w:tcPr>
            <w:tcW w:w="1373" w:type="dxa"/>
            <w:shd w:val="clear" w:color="auto" w:fill="auto"/>
            <w:vAlign w:val="center"/>
          </w:tcPr>
          <w:p w14:paraId="2C6CBE63" w14:textId="77777777" w:rsidR="000D07EA" w:rsidRDefault="00BE7C89">
            <w:pPr>
              <w:pStyle w:val="BodyText"/>
              <w:spacing w:before="100" w:after="100"/>
              <w:jc w:val="center"/>
            </w:pPr>
            <w:r>
              <w:t>$888</w:t>
            </w:r>
          </w:p>
        </w:tc>
        <w:tc>
          <w:tcPr>
            <w:tcW w:w="1373" w:type="dxa"/>
            <w:shd w:val="clear" w:color="auto" w:fill="auto"/>
            <w:vAlign w:val="center"/>
          </w:tcPr>
          <w:p w14:paraId="62D0A83D" w14:textId="77777777" w:rsidR="000D07EA" w:rsidRDefault="00BE7C89">
            <w:pPr>
              <w:pStyle w:val="BodyText"/>
              <w:spacing w:before="100" w:after="100"/>
              <w:jc w:val="center"/>
            </w:pPr>
            <w:r>
              <w:t>$1,008</w:t>
            </w:r>
          </w:p>
        </w:tc>
      </w:tr>
      <w:tr w:rsidR="000D07EA" w14:paraId="203B120E" w14:textId="77777777">
        <w:trPr>
          <w:trHeight w:val="20"/>
        </w:trPr>
        <w:tc>
          <w:tcPr>
            <w:tcW w:w="2065" w:type="dxa"/>
            <w:shd w:val="clear" w:color="auto" w:fill="auto"/>
            <w:vAlign w:val="center"/>
          </w:tcPr>
          <w:p w14:paraId="34D58368" w14:textId="77777777" w:rsidR="000D07EA" w:rsidRDefault="00BE7C89">
            <w:pPr>
              <w:pStyle w:val="BodyText"/>
              <w:spacing w:before="100" w:after="100"/>
              <w:rPr>
                <w:b/>
              </w:rPr>
            </w:pPr>
            <w:r>
              <w:rPr>
                <w:b/>
              </w:rPr>
              <w:t xml:space="preserve">Months 16 – 18 (60% of the Initial </w:t>
            </w:r>
            <w:r>
              <w:rPr>
                <w:b/>
                <w:i/>
              </w:rPr>
              <w:t>cancellation</w:t>
            </w:r>
            <w:r>
              <w:rPr>
                <w:b/>
              </w:rPr>
              <w:t xml:space="preserve"> </w:t>
            </w:r>
            <w:r>
              <w:rPr>
                <w:b/>
                <w:i/>
              </w:rPr>
              <w:t>fee</w:t>
            </w:r>
            <w:r>
              <w:rPr>
                <w:b/>
              </w:rPr>
              <w:t>)</w:t>
            </w:r>
          </w:p>
        </w:tc>
        <w:tc>
          <w:tcPr>
            <w:tcW w:w="1372" w:type="dxa"/>
            <w:shd w:val="clear" w:color="auto" w:fill="auto"/>
            <w:vAlign w:val="center"/>
          </w:tcPr>
          <w:p w14:paraId="7E1F03EB" w14:textId="77777777" w:rsidR="000D07EA" w:rsidRDefault="00BE7C89">
            <w:pPr>
              <w:pStyle w:val="BodyText"/>
              <w:spacing w:before="100" w:after="100"/>
              <w:jc w:val="center"/>
            </w:pPr>
            <w:r>
              <w:t>$336</w:t>
            </w:r>
          </w:p>
        </w:tc>
        <w:tc>
          <w:tcPr>
            <w:tcW w:w="1373" w:type="dxa"/>
            <w:shd w:val="clear" w:color="auto" w:fill="auto"/>
            <w:vAlign w:val="center"/>
          </w:tcPr>
          <w:p w14:paraId="06E65818" w14:textId="77777777" w:rsidR="000D07EA" w:rsidRDefault="00BE7C89">
            <w:pPr>
              <w:pStyle w:val="BodyText"/>
              <w:spacing w:before="100" w:after="100"/>
              <w:jc w:val="center"/>
            </w:pPr>
            <w:r>
              <w:t>$354</w:t>
            </w:r>
          </w:p>
        </w:tc>
        <w:tc>
          <w:tcPr>
            <w:tcW w:w="1372" w:type="dxa"/>
            <w:shd w:val="clear" w:color="auto" w:fill="auto"/>
            <w:vAlign w:val="center"/>
          </w:tcPr>
          <w:p w14:paraId="4DCE3ECD" w14:textId="77777777" w:rsidR="000D07EA" w:rsidRDefault="00BE7C89">
            <w:pPr>
              <w:pStyle w:val="BodyText"/>
              <w:spacing w:before="100" w:after="100"/>
              <w:jc w:val="center"/>
            </w:pPr>
            <w:r>
              <w:t>$510</w:t>
            </w:r>
          </w:p>
        </w:tc>
        <w:tc>
          <w:tcPr>
            <w:tcW w:w="1373" w:type="dxa"/>
            <w:shd w:val="clear" w:color="auto" w:fill="auto"/>
            <w:vAlign w:val="center"/>
          </w:tcPr>
          <w:p w14:paraId="7C4C0D25" w14:textId="77777777" w:rsidR="000D07EA" w:rsidRDefault="00BE7C89">
            <w:pPr>
              <w:pStyle w:val="BodyText"/>
              <w:spacing w:before="100" w:after="100"/>
              <w:jc w:val="center"/>
            </w:pPr>
            <w:r>
              <w:t>$666</w:t>
            </w:r>
          </w:p>
        </w:tc>
        <w:tc>
          <w:tcPr>
            <w:tcW w:w="1373" w:type="dxa"/>
            <w:shd w:val="clear" w:color="auto" w:fill="auto"/>
            <w:vAlign w:val="center"/>
          </w:tcPr>
          <w:p w14:paraId="0CA13A02" w14:textId="77777777" w:rsidR="000D07EA" w:rsidRDefault="00BE7C89">
            <w:pPr>
              <w:pStyle w:val="BodyText"/>
              <w:spacing w:before="100" w:after="100"/>
              <w:jc w:val="center"/>
            </w:pPr>
            <w:r>
              <w:t>$756</w:t>
            </w:r>
          </w:p>
        </w:tc>
      </w:tr>
      <w:tr w:rsidR="000D07EA" w14:paraId="17DFFE3C" w14:textId="77777777">
        <w:trPr>
          <w:trHeight w:val="20"/>
        </w:trPr>
        <w:tc>
          <w:tcPr>
            <w:tcW w:w="2065" w:type="dxa"/>
            <w:shd w:val="clear" w:color="auto" w:fill="auto"/>
            <w:vAlign w:val="center"/>
          </w:tcPr>
          <w:p w14:paraId="153066D3" w14:textId="77777777" w:rsidR="000D07EA" w:rsidRDefault="00BE7C89">
            <w:pPr>
              <w:pStyle w:val="BodyText"/>
              <w:spacing w:before="100" w:after="100"/>
              <w:rPr>
                <w:b/>
              </w:rPr>
            </w:pPr>
            <w:r>
              <w:rPr>
                <w:b/>
              </w:rPr>
              <w:t xml:space="preserve">Months 19 – 21 (40% of the Initial </w:t>
            </w:r>
            <w:r>
              <w:rPr>
                <w:b/>
                <w:i/>
              </w:rPr>
              <w:t>cancellation</w:t>
            </w:r>
            <w:r>
              <w:rPr>
                <w:b/>
              </w:rPr>
              <w:t xml:space="preserve"> </w:t>
            </w:r>
            <w:r>
              <w:rPr>
                <w:b/>
                <w:i/>
              </w:rPr>
              <w:t>fee</w:t>
            </w:r>
            <w:r>
              <w:rPr>
                <w:b/>
              </w:rPr>
              <w:t>)</w:t>
            </w:r>
          </w:p>
        </w:tc>
        <w:tc>
          <w:tcPr>
            <w:tcW w:w="1372" w:type="dxa"/>
            <w:shd w:val="clear" w:color="auto" w:fill="auto"/>
            <w:vAlign w:val="center"/>
          </w:tcPr>
          <w:p w14:paraId="7CE567EB" w14:textId="77777777" w:rsidR="000D07EA" w:rsidRDefault="00BE7C89">
            <w:pPr>
              <w:pStyle w:val="BodyText"/>
              <w:spacing w:before="100" w:after="100"/>
              <w:jc w:val="center"/>
            </w:pPr>
            <w:r>
              <w:t>$224</w:t>
            </w:r>
          </w:p>
        </w:tc>
        <w:tc>
          <w:tcPr>
            <w:tcW w:w="1373" w:type="dxa"/>
            <w:shd w:val="clear" w:color="auto" w:fill="auto"/>
            <w:vAlign w:val="center"/>
          </w:tcPr>
          <w:p w14:paraId="07D09637" w14:textId="77777777" w:rsidR="000D07EA" w:rsidRDefault="00BE7C89">
            <w:pPr>
              <w:pStyle w:val="BodyText"/>
              <w:spacing w:before="100" w:after="100"/>
              <w:jc w:val="center"/>
            </w:pPr>
            <w:r>
              <w:t>$236</w:t>
            </w:r>
          </w:p>
        </w:tc>
        <w:tc>
          <w:tcPr>
            <w:tcW w:w="1372" w:type="dxa"/>
            <w:shd w:val="clear" w:color="auto" w:fill="auto"/>
            <w:vAlign w:val="center"/>
          </w:tcPr>
          <w:p w14:paraId="681F6890" w14:textId="77777777" w:rsidR="000D07EA" w:rsidRDefault="00BE7C89">
            <w:pPr>
              <w:pStyle w:val="BodyText"/>
              <w:spacing w:before="100" w:after="100"/>
              <w:jc w:val="center"/>
            </w:pPr>
            <w:r>
              <w:t>$340</w:t>
            </w:r>
          </w:p>
        </w:tc>
        <w:tc>
          <w:tcPr>
            <w:tcW w:w="1373" w:type="dxa"/>
            <w:shd w:val="clear" w:color="auto" w:fill="auto"/>
            <w:vAlign w:val="center"/>
          </w:tcPr>
          <w:p w14:paraId="17FB3914" w14:textId="77777777" w:rsidR="000D07EA" w:rsidRDefault="00BE7C89">
            <w:pPr>
              <w:pStyle w:val="BodyText"/>
              <w:spacing w:before="100" w:after="100"/>
              <w:jc w:val="center"/>
            </w:pPr>
            <w:r>
              <w:t>$444</w:t>
            </w:r>
          </w:p>
        </w:tc>
        <w:tc>
          <w:tcPr>
            <w:tcW w:w="1373" w:type="dxa"/>
            <w:shd w:val="clear" w:color="auto" w:fill="auto"/>
            <w:vAlign w:val="center"/>
          </w:tcPr>
          <w:p w14:paraId="1BC962CC" w14:textId="77777777" w:rsidR="000D07EA" w:rsidRDefault="00BE7C89">
            <w:pPr>
              <w:pStyle w:val="BodyText"/>
              <w:spacing w:before="100" w:after="100"/>
              <w:jc w:val="center"/>
            </w:pPr>
            <w:r>
              <w:t>$504</w:t>
            </w:r>
          </w:p>
        </w:tc>
      </w:tr>
      <w:tr w:rsidR="000D07EA" w14:paraId="22581443" w14:textId="77777777">
        <w:trPr>
          <w:trHeight w:val="20"/>
        </w:trPr>
        <w:tc>
          <w:tcPr>
            <w:tcW w:w="2065" w:type="dxa"/>
            <w:shd w:val="clear" w:color="auto" w:fill="auto"/>
            <w:vAlign w:val="center"/>
          </w:tcPr>
          <w:p w14:paraId="0728FA46" w14:textId="77777777" w:rsidR="000D07EA" w:rsidRDefault="00BE7C89">
            <w:pPr>
              <w:pStyle w:val="BodyText"/>
              <w:spacing w:before="100" w:after="100"/>
              <w:rPr>
                <w:b/>
              </w:rPr>
            </w:pPr>
            <w:r>
              <w:rPr>
                <w:b/>
              </w:rPr>
              <w:t xml:space="preserve">Months 22 – 24 (20% of the Initial </w:t>
            </w:r>
            <w:r>
              <w:rPr>
                <w:b/>
                <w:i/>
              </w:rPr>
              <w:t>cancellation</w:t>
            </w:r>
            <w:r>
              <w:rPr>
                <w:b/>
              </w:rPr>
              <w:t xml:space="preserve"> </w:t>
            </w:r>
            <w:r>
              <w:rPr>
                <w:b/>
                <w:i/>
              </w:rPr>
              <w:t>fee</w:t>
            </w:r>
            <w:r>
              <w:rPr>
                <w:b/>
              </w:rPr>
              <w:t>)</w:t>
            </w:r>
          </w:p>
        </w:tc>
        <w:tc>
          <w:tcPr>
            <w:tcW w:w="1372" w:type="dxa"/>
            <w:shd w:val="clear" w:color="auto" w:fill="auto"/>
            <w:vAlign w:val="center"/>
          </w:tcPr>
          <w:p w14:paraId="4A1604EE" w14:textId="77777777" w:rsidR="000D07EA" w:rsidRDefault="00BE7C89">
            <w:pPr>
              <w:pStyle w:val="BodyText"/>
              <w:spacing w:before="100" w:after="100"/>
              <w:jc w:val="center"/>
            </w:pPr>
            <w:r>
              <w:t>$112</w:t>
            </w:r>
          </w:p>
        </w:tc>
        <w:tc>
          <w:tcPr>
            <w:tcW w:w="1373" w:type="dxa"/>
            <w:shd w:val="clear" w:color="auto" w:fill="auto"/>
            <w:vAlign w:val="center"/>
          </w:tcPr>
          <w:p w14:paraId="49C7EC76" w14:textId="77777777" w:rsidR="000D07EA" w:rsidRDefault="00BE7C89">
            <w:pPr>
              <w:pStyle w:val="BodyText"/>
              <w:spacing w:before="100" w:after="100"/>
              <w:jc w:val="center"/>
            </w:pPr>
            <w:r>
              <w:t>$118</w:t>
            </w:r>
          </w:p>
        </w:tc>
        <w:tc>
          <w:tcPr>
            <w:tcW w:w="1372" w:type="dxa"/>
            <w:shd w:val="clear" w:color="auto" w:fill="auto"/>
            <w:vAlign w:val="center"/>
          </w:tcPr>
          <w:p w14:paraId="15C74815" w14:textId="77777777" w:rsidR="000D07EA" w:rsidRDefault="00BE7C89">
            <w:pPr>
              <w:pStyle w:val="BodyText"/>
              <w:spacing w:before="100" w:after="100"/>
              <w:jc w:val="center"/>
            </w:pPr>
            <w:r>
              <w:t>$170</w:t>
            </w:r>
          </w:p>
        </w:tc>
        <w:tc>
          <w:tcPr>
            <w:tcW w:w="1373" w:type="dxa"/>
            <w:shd w:val="clear" w:color="auto" w:fill="auto"/>
            <w:vAlign w:val="center"/>
          </w:tcPr>
          <w:p w14:paraId="1924FF9C" w14:textId="77777777" w:rsidR="000D07EA" w:rsidRDefault="00BE7C89">
            <w:pPr>
              <w:pStyle w:val="BodyText"/>
              <w:spacing w:before="100" w:after="100"/>
              <w:jc w:val="center"/>
            </w:pPr>
            <w:r>
              <w:t>$222</w:t>
            </w:r>
          </w:p>
        </w:tc>
        <w:tc>
          <w:tcPr>
            <w:tcW w:w="1373" w:type="dxa"/>
            <w:shd w:val="clear" w:color="auto" w:fill="auto"/>
            <w:vAlign w:val="center"/>
          </w:tcPr>
          <w:p w14:paraId="3B6EBD11" w14:textId="77777777" w:rsidR="000D07EA" w:rsidRDefault="00BE7C89">
            <w:pPr>
              <w:pStyle w:val="BodyText"/>
              <w:spacing w:before="100" w:after="100"/>
              <w:jc w:val="center"/>
            </w:pPr>
            <w:r>
              <w:t>$252</w:t>
            </w:r>
          </w:p>
        </w:tc>
      </w:tr>
    </w:tbl>
    <w:p w14:paraId="280E1513" w14:textId="77777777" w:rsidR="000D07EA" w:rsidRDefault="000D07EA">
      <w:pPr>
        <w:pStyle w:val="BodyText"/>
      </w:pPr>
    </w:p>
    <w:tbl>
      <w:tblPr>
        <w:tblW w:w="8928"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5"/>
        <w:gridCol w:w="1366"/>
        <w:gridCol w:w="1367"/>
        <w:gridCol w:w="1366"/>
        <w:gridCol w:w="1367"/>
        <w:gridCol w:w="1367"/>
      </w:tblGrid>
      <w:tr w:rsidR="000D07EA" w14:paraId="2ABE10CB" w14:textId="77777777">
        <w:trPr>
          <w:trHeight w:val="58"/>
        </w:trPr>
        <w:tc>
          <w:tcPr>
            <w:tcW w:w="2095" w:type="dxa"/>
            <w:shd w:val="clear" w:color="auto" w:fill="auto"/>
            <w:vAlign w:val="center"/>
          </w:tcPr>
          <w:p w14:paraId="3F4B3F5C" w14:textId="77777777" w:rsidR="000D07EA" w:rsidRDefault="00BE7C89">
            <w:pPr>
              <w:pStyle w:val="BodyText"/>
              <w:spacing w:before="100" w:after="100"/>
              <w:rPr>
                <w:b/>
              </w:rPr>
            </w:pPr>
            <w:r>
              <w:rPr>
                <w:b/>
              </w:rPr>
              <w:t xml:space="preserve">When the </w:t>
            </w:r>
            <w:r>
              <w:rPr>
                <w:b/>
                <w:i/>
              </w:rPr>
              <w:t>service</w:t>
            </w:r>
            <w:r>
              <w:rPr>
                <w:b/>
              </w:rPr>
              <w:t xml:space="preserve"> is </w:t>
            </w:r>
            <w:r>
              <w:rPr>
                <w:b/>
                <w:i/>
              </w:rPr>
              <w:t>cancelled</w:t>
            </w:r>
          </w:p>
        </w:tc>
        <w:tc>
          <w:tcPr>
            <w:tcW w:w="6833" w:type="dxa"/>
            <w:gridSpan w:val="5"/>
            <w:shd w:val="clear" w:color="auto" w:fill="auto"/>
            <w:vAlign w:val="center"/>
          </w:tcPr>
          <w:p w14:paraId="44CA94DF" w14:textId="77777777" w:rsidR="000D07EA" w:rsidRDefault="00BE7C89">
            <w:pPr>
              <w:pStyle w:val="BodyText"/>
              <w:spacing w:before="100" w:after="100"/>
              <w:jc w:val="center"/>
              <w:rPr>
                <w:b/>
                <w:i/>
              </w:rPr>
            </w:pPr>
            <w:r>
              <w:rPr>
                <w:b/>
                <w:i/>
              </w:rPr>
              <w:t>Cancellation Fee</w:t>
            </w:r>
          </w:p>
        </w:tc>
      </w:tr>
      <w:tr w:rsidR="000D07EA" w14:paraId="0414ED5B" w14:textId="77777777">
        <w:trPr>
          <w:trHeight w:val="58"/>
        </w:trPr>
        <w:tc>
          <w:tcPr>
            <w:tcW w:w="2095" w:type="dxa"/>
            <w:shd w:val="clear" w:color="auto" w:fill="auto"/>
            <w:vAlign w:val="center"/>
          </w:tcPr>
          <w:p w14:paraId="58971728" w14:textId="77777777" w:rsidR="000D07EA" w:rsidRDefault="000D07EA">
            <w:pPr>
              <w:pStyle w:val="BodyText"/>
              <w:spacing w:before="100" w:after="100"/>
              <w:rPr>
                <w:b/>
              </w:rPr>
            </w:pPr>
          </w:p>
        </w:tc>
        <w:tc>
          <w:tcPr>
            <w:tcW w:w="6833" w:type="dxa"/>
            <w:gridSpan w:val="5"/>
            <w:shd w:val="clear" w:color="auto" w:fill="auto"/>
            <w:vAlign w:val="center"/>
          </w:tcPr>
          <w:p w14:paraId="37604A73" w14:textId="77777777" w:rsidR="000D07EA" w:rsidRDefault="00BE7C89">
            <w:pPr>
              <w:pStyle w:val="BodyText"/>
              <w:spacing w:before="100" w:after="100"/>
              <w:jc w:val="center"/>
              <w:rPr>
                <w:b/>
              </w:rPr>
            </w:pPr>
            <w:r>
              <w:rPr>
                <w:b/>
              </w:rPr>
              <w:t>Business Complete Plans – 12 Month Contract</w:t>
            </w:r>
          </w:p>
        </w:tc>
      </w:tr>
      <w:tr w:rsidR="000D07EA" w14:paraId="19B194C6" w14:textId="77777777">
        <w:trPr>
          <w:trHeight w:val="305"/>
        </w:trPr>
        <w:tc>
          <w:tcPr>
            <w:tcW w:w="2095" w:type="dxa"/>
            <w:shd w:val="clear" w:color="auto" w:fill="auto"/>
            <w:vAlign w:val="center"/>
          </w:tcPr>
          <w:p w14:paraId="31E26BCA" w14:textId="77777777" w:rsidR="000D07EA" w:rsidRDefault="000D07EA">
            <w:pPr>
              <w:pStyle w:val="BodyText"/>
              <w:spacing w:before="100" w:after="100"/>
              <w:rPr>
                <w:b/>
              </w:rPr>
            </w:pPr>
          </w:p>
        </w:tc>
        <w:tc>
          <w:tcPr>
            <w:tcW w:w="1366" w:type="dxa"/>
            <w:shd w:val="clear" w:color="auto" w:fill="auto"/>
            <w:vAlign w:val="center"/>
          </w:tcPr>
          <w:p w14:paraId="564DF2E8" w14:textId="77777777" w:rsidR="000D07EA" w:rsidRDefault="00BE7C89">
            <w:pPr>
              <w:pStyle w:val="BodyText"/>
              <w:spacing w:before="100" w:after="100"/>
              <w:jc w:val="center"/>
              <w:rPr>
                <w:b/>
              </w:rPr>
            </w:pPr>
            <w:r>
              <w:rPr>
                <w:b/>
              </w:rPr>
              <w:t>$30 Business Complete Plan (4G Sept 2012)</w:t>
            </w:r>
          </w:p>
        </w:tc>
        <w:tc>
          <w:tcPr>
            <w:tcW w:w="1367" w:type="dxa"/>
            <w:shd w:val="clear" w:color="auto" w:fill="auto"/>
            <w:vAlign w:val="center"/>
          </w:tcPr>
          <w:p w14:paraId="076C95E9" w14:textId="77777777" w:rsidR="000D07EA" w:rsidRDefault="00BE7C89">
            <w:pPr>
              <w:pStyle w:val="BodyText"/>
              <w:spacing w:before="100" w:after="100"/>
              <w:jc w:val="center"/>
              <w:rPr>
                <w:b/>
              </w:rPr>
            </w:pPr>
            <w:r>
              <w:rPr>
                <w:b/>
              </w:rPr>
              <w:t>$35 Business Complete Plan (4G Sept 2012)</w:t>
            </w:r>
          </w:p>
        </w:tc>
        <w:tc>
          <w:tcPr>
            <w:tcW w:w="1366" w:type="dxa"/>
            <w:shd w:val="clear" w:color="auto" w:fill="auto"/>
            <w:vAlign w:val="center"/>
          </w:tcPr>
          <w:p w14:paraId="6BBFC723" w14:textId="77777777" w:rsidR="000D07EA" w:rsidRDefault="00BE7C89">
            <w:pPr>
              <w:pStyle w:val="BodyText"/>
              <w:spacing w:before="100" w:after="100"/>
              <w:jc w:val="center"/>
              <w:rPr>
                <w:b/>
              </w:rPr>
            </w:pPr>
            <w:r>
              <w:rPr>
                <w:b/>
              </w:rPr>
              <w:t>$50 Business Complete Plan (4GSept 2012)</w:t>
            </w:r>
          </w:p>
        </w:tc>
        <w:tc>
          <w:tcPr>
            <w:tcW w:w="1367" w:type="dxa"/>
            <w:shd w:val="clear" w:color="auto" w:fill="auto"/>
            <w:vAlign w:val="center"/>
          </w:tcPr>
          <w:p w14:paraId="37476C19" w14:textId="77777777" w:rsidR="000D07EA" w:rsidRDefault="00BE7C89">
            <w:pPr>
              <w:pStyle w:val="BodyText"/>
              <w:spacing w:before="100" w:after="100"/>
              <w:jc w:val="center"/>
              <w:rPr>
                <w:b/>
              </w:rPr>
            </w:pPr>
            <w:r>
              <w:rPr>
                <w:b/>
              </w:rPr>
              <w:t>$60 Business Complete Plan (4G Sept 2012)</w:t>
            </w:r>
          </w:p>
        </w:tc>
        <w:tc>
          <w:tcPr>
            <w:tcW w:w="1367" w:type="dxa"/>
            <w:shd w:val="clear" w:color="auto" w:fill="auto"/>
            <w:vAlign w:val="center"/>
          </w:tcPr>
          <w:p w14:paraId="4A0AC197" w14:textId="77777777" w:rsidR="000D07EA" w:rsidRDefault="00BE7C89">
            <w:pPr>
              <w:pStyle w:val="BodyText"/>
              <w:spacing w:before="100" w:after="100"/>
              <w:jc w:val="center"/>
              <w:rPr>
                <w:b/>
              </w:rPr>
            </w:pPr>
            <w:r>
              <w:rPr>
                <w:b/>
              </w:rPr>
              <w:t>$80 Business Complete Plan (4G Sept 2012)</w:t>
            </w:r>
          </w:p>
        </w:tc>
      </w:tr>
      <w:tr w:rsidR="000D07EA" w14:paraId="2080EF1A" w14:textId="77777777">
        <w:trPr>
          <w:trHeight w:val="20"/>
        </w:trPr>
        <w:tc>
          <w:tcPr>
            <w:tcW w:w="2095" w:type="dxa"/>
            <w:shd w:val="clear" w:color="auto" w:fill="auto"/>
            <w:vAlign w:val="center"/>
          </w:tcPr>
          <w:p w14:paraId="4CA53E61" w14:textId="77777777" w:rsidR="000D07EA" w:rsidRDefault="00BE7C89">
            <w:pPr>
              <w:pStyle w:val="BodyText"/>
              <w:spacing w:before="100" w:after="100"/>
              <w:rPr>
                <w:b/>
              </w:rPr>
            </w:pPr>
            <w:r>
              <w:rPr>
                <w:b/>
              </w:rPr>
              <w:t xml:space="preserve">During the first 6 months – Initial </w:t>
            </w:r>
            <w:r>
              <w:rPr>
                <w:b/>
                <w:i/>
              </w:rPr>
              <w:t>cancellation</w:t>
            </w:r>
            <w:r>
              <w:rPr>
                <w:b/>
              </w:rPr>
              <w:t xml:space="preserve"> </w:t>
            </w:r>
            <w:r>
              <w:rPr>
                <w:b/>
                <w:i/>
              </w:rPr>
              <w:t>fee</w:t>
            </w:r>
          </w:p>
        </w:tc>
        <w:tc>
          <w:tcPr>
            <w:tcW w:w="1366" w:type="dxa"/>
            <w:shd w:val="clear" w:color="auto" w:fill="auto"/>
            <w:vAlign w:val="center"/>
          </w:tcPr>
          <w:p w14:paraId="7A56EFE4" w14:textId="77777777" w:rsidR="000D07EA" w:rsidRDefault="00BE7C89">
            <w:pPr>
              <w:pStyle w:val="BodyText"/>
              <w:spacing w:before="100" w:after="100"/>
              <w:jc w:val="center"/>
            </w:pPr>
            <w:r>
              <w:t>$350</w:t>
            </w:r>
          </w:p>
        </w:tc>
        <w:tc>
          <w:tcPr>
            <w:tcW w:w="1367" w:type="dxa"/>
            <w:shd w:val="clear" w:color="auto" w:fill="auto"/>
            <w:vAlign w:val="center"/>
          </w:tcPr>
          <w:p w14:paraId="743E0A2A" w14:textId="77777777" w:rsidR="000D07EA" w:rsidRDefault="00BE7C89">
            <w:pPr>
              <w:pStyle w:val="BodyText"/>
              <w:spacing w:before="100" w:after="100"/>
              <w:jc w:val="center"/>
            </w:pPr>
            <w:r>
              <w:t>$360</w:t>
            </w:r>
          </w:p>
        </w:tc>
        <w:tc>
          <w:tcPr>
            <w:tcW w:w="1366" w:type="dxa"/>
            <w:shd w:val="clear" w:color="auto" w:fill="auto"/>
            <w:vAlign w:val="center"/>
          </w:tcPr>
          <w:p w14:paraId="0B18F5B5" w14:textId="77777777" w:rsidR="000D07EA" w:rsidRDefault="00BE7C89">
            <w:pPr>
              <w:pStyle w:val="BodyText"/>
              <w:spacing w:before="100" w:after="100"/>
              <w:jc w:val="center"/>
            </w:pPr>
            <w:r>
              <w:t>$490</w:t>
            </w:r>
          </w:p>
        </w:tc>
        <w:tc>
          <w:tcPr>
            <w:tcW w:w="1367" w:type="dxa"/>
            <w:shd w:val="clear" w:color="auto" w:fill="auto"/>
            <w:vAlign w:val="center"/>
          </w:tcPr>
          <w:p w14:paraId="5796CB63" w14:textId="77777777" w:rsidR="000D07EA" w:rsidRDefault="00BE7C89">
            <w:pPr>
              <w:pStyle w:val="BodyText"/>
              <w:spacing w:before="100" w:after="100"/>
              <w:jc w:val="center"/>
            </w:pPr>
            <w:r>
              <w:t>$630</w:t>
            </w:r>
          </w:p>
        </w:tc>
        <w:tc>
          <w:tcPr>
            <w:tcW w:w="1367" w:type="dxa"/>
            <w:shd w:val="clear" w:color="auto" w:fill="auto"/>
            <w:vAlign w:val="center"/>
          </w:tcPr>
          <w:p w14:paraId="4F057C5E" w14:textId="77777777" w:rsidR="000D07EA" w:rsidRDefault="00BE7C89">
            <w:pPr>
              <w:pStyle w:val="BodyText"/>
              <w:spacing w:before="100" w:after="100"/>
              <w:jc w:val="center"/>
            </w:pPr>
            <w:r>
              <w:t>$710</w:t>
            </w:r>
          </w:p>
        </w:tc>
      </w:tr>
      <w:tr w:rsidR="000D07EA" w14:paraId="673FBD62" w14:textId="77777777">
        <w:trPr>
          <w:trHeight w:val="20"/>
        </w:trPr>
        <w:tc>
          <w:tcPr>
            <w:tcW w:w="2095" w:type="dxa"/>
            <w:shd w:val="clear" w:color="auto" w:fill="auto"/>
            <w:vAlign w:val="center"/>
          </w:tcPr>
          <w:p w14:paraId="0D6180D4" w14:textId="77777777" w:rsidR="000D07EA" w:rsidRDefault="00BE7C89">
            <w:pPr>
              <w:pStyle w:val="BodyText"/>
              <w:spacing w:before="100" w:after="100"/>
              <w:rPr>
                <w:b/>
              </w:rPr>
            </w:pPr>
            <w:r>
              <w:rPr>
                <w:b/>
              </w:rPr>
              <w:lastRenderedPageBreak/>
              <w:t xml:space="preserve">Months 7 - 9 (70% of Initial </w:t>
            </w:r>
            <w:r>
              <w:rPr>
                <w:b/>
                <w:i/>
              </w:rPr>
              <w:t>cancellation</w:t>
            </w:r>
            <w:r>
              <w:rPr>
                <w:b/>
              </w:rPr>
              <w:t xml:space="preserve"> </w:t>
            </w:r>
            <w:r>
              <w:rPr>
                <w:b/>
                <w:i/>
              </w:rPr>
              <w:t>fee</w:t>
            </w:r>
            <w:r>
              <w:rPr>
                <w:b/>
              </w:rPr>
              <w:t>)</w:t>
            </w:r>
          </w:p>
        </w:tc>
        <w:tc>
          <w:tcPr>
            <w:tcW w:w="1366" w:type="dxa"/>
            <w:shd w:val="clear" w:color="auto" w:fill="auto"/>
            <w:vAlign w:val="center"/>
          </w:tcPr>
          <w:p w14:paraId="70980A52" w14:textId="77777777" w:rsidR="000D07EA" w:rsidRDefault="00BE7C89">
            <w:pPr>
              <w:pStyle w:val="BodyText"/>
              <w:spacing w:before="100" w:after="100"/>
              <w:jc w:val="center"/>
            </w:pPr>
            <w:r>
              <w:t>$245</w:t>
            </w:r>
          </w:p>
        </w:tc>
        <w:tc>
          <w:tcPr>
            <w:tcW w:w="1367" w:type="dxa"/>
            <w:shd w:val="clear" w:color="auto" w:fill="auto"/>
            <w:vAlign w:val="center"/>
          </w:tcPr>
          <w:p w14:paraId="13D0ECAB" w14:textId="77777777" w:rsidR="000D07EA" w:rsidRDefault="00BE7C89">
            <w:pPr>
              <w:pStyle w:val="BodyText"/>
              <w:spacing w:before="100" w:after="100"/>
              <w:jc w:val="center"/>
            </w:pPr>
            <w:r>
              <w:t>$252</w:t>
            </w:r>
          </w:p>
        </w:tc>
        <w:tc>
          <w:tcPr>
            <w:tcW w:w="1366" w:type="dxa"/>
            <w:shd w:val="clear" w:color="auto" w:fill="auto"/>
            <w:vAlign w:val="center"/>
          </w:tcPr>
          <w:p w14:paraId="51141FC8" w14:textId="77777777" w:rsidR="000D07EA" w:rsidRDefault="00BE7C89">
            <w:pPr>
              <w:pStyle w:val="BodyText"/>
              <w:spacing w:before="100" w:after="100"/>
              <w:jc w:val="center"/>
            </w:pPr>
            <w:r>
              <w:t>$343</w:t>
            </w:r>
          </w:p>
        </w:tc>
        <w:tc>
          <w:tcPr>
            <w:tcW w:w="1367" w:type="dxa"/>
            <w:shd w:val="clear" w:color="auto" w:fill="auto"/>
            <w:vAlign w:val="center"/>
          </w:tcPr>
          <w:p w14:paraId="0C141653" w14:textId="77777777" w:rsidR="000D07EA" w:rsidRDefault="00BE7C89">
            <w:pPr>
              <w:pStyle w:val="BodyText"/>
              <w:spacing w:before="100" w:after="100"/>
              <w:jc w:val="center"/>
            </w:pPr>
            <w:r>
              <w:t>$441</w:t>
            </w:r>
          </w:p>
        </w:tc>
        <w:tc>
          <w:tcPr>
            <w:tcW w:w="1367" w:type="dxa"/>
            <w:shd w:val="clear" w:color="auto" w:fill="auto"/>
            <w:vAlign w:val="center"/>
          </w:tcPr>
          <w:p w14:paraId="79A91962" w14:textId="77777777" w:rsidR="000D07EA" w:rsidRDefault="00BE7C89">
            <w:pPr>
              <w:pStyle w:val="BodyText"/>
              <w:spacing w:before="100" w:after="100"/>
              <w:jc w:val="center"/>
            </w:pPr>
            <w:r>
              <w:t>$497</w:t>
            </w:r>
          </w:p>
        </w:tc>
      </w:tr>
      <w:tr w:rsidR="000D07EA" w14:paraId="5DD704EA" w14:textId="77777777">
        <w:trPr>
          <w:trHeight w:val="20"/>
        </w:trPr>
        <w:tc>
          <w:tcPr>
            <w:tcW w:w="2095" w:type="dxa"/>
            <w:shd w:val="clear" w:color="auto" w:fill="auto"/>
            <w:vAlign w:val="center"/>
          </w:tcPr>
          <w:p w14:paraId="13515150" w14:textId="77777777" w:rsidR="000D07EA" w:rsidRDefault="00BE7C89">
            <w:pPr>
              <w:pStyle w:val="BodyText"/>
              <w:spacing w:before="100" w:after="100"/>
              <w:rPr>
                <w:b/>
              </w:rPr>
            </w:pPr>
            <w:r>
              <w:rPr>
                <w:b/>
              </w:rPr>
              <w:t xml:space="preserve">Months 10 – 12 (40% of the Initial </w:t>
            </w:r>
            <w:r>
              <w:rPr>
                <w:b/>
                <w:i/>
              </w:rPr>
              <w:t>cancellation</w:t>
            </w:r>
            <w:r>
              <w:rPr>
                <w:b/>
              </w:rPr>
              <w:t xml:space="preserve"> </w:t>
            </w:r>
            <w:r>
              <w:rPr>
                <w:b/>
                <w:i/>
              </w:rPr>
              <w:t>fee</w:t>
            </w:r>
            <w:r>
              <w:rPr>
                <w:b/>
              </w:rPr>
              <w:t>)</w:t>
            </w:r>
          </w:p>
        </w:tc>
        <w:tc>
          <w:tcPr>
            <w:tcW w:w="1366" w:type="dxa"/>
            <w:shd w:val="clear" w:color="auto" w:fill="auto"/>
            <w:vAlign w:val="center"/>
          </w:tcPr>
          <w:p w14:paraId="31A93571" w14:textId="77777777" w:rsidR="000D07EA" w:rsidRDefault="00BE7C89">
            <w:pPr>
              <w:pStyle w:val="BodyText"/>
              <w:spacing w:before="100" w:after="100"/>
              <w:jc w:val="center"/>
            </w:pPr>
            <w:r>
              <w:t>$140</w:t>
            </w:r>
          </w:p>
        </w:tc>
        <w:tc>
          <w:tcPr>
            <w:tcW w:w="1367" w:type="dxa"/>
            <w:shd w:val="clear" w:color="auto" w:fill="auto"/>
            <w:vAlign w:val="center"/>
          </w:tcPr>
          <w:p w14:paraId="4373FF8D" w14:textId="77777777" w:rsidR="000D07EA" w:rsidRDefault="00BE7C89">
            <w:pPr>
              <w:pStyle w:val="BodyText"/>
              <w:spacing w:before="100" w:after="100"/>
              <w:jc w:val="center"/>
            </w:pPr>
            <w:r>
              <w:t>$144</w:t>
            </w:r>
          </w:p>
        </w:tc>
        <w:tc>
          <w:tcPr>
            <w:tcW w:w="1366" w:type="dxa"/>
            <w:shd w:val="clear" w:color="auto" w:fill="auto"/>
            <w:vAlign w:val="center"/>
          </w:tcPr>
          <w:p w14:paraId="541F9359" w14:textId="77777777" w:rsidR="000D07EA" w:rsidRDefault="00BE7C89">
            <w:pPr>
              <w:pStyle w:val="BodyText"/>
              <w:spacing w:before="100" w:after="100"/>
              <w:jc w:val="center"/>
            </w:pPr>
            <w:r>
              <w:t>$196</w:t>
            </w:r>
          </w:p>
        </w:tc>
        <w:tc>
          <w:tcPr>
            <w:tcW w:w="1367" w:type="dxa"/>
            <w:shd w:val="clear" w:color="auto" w:fill="auto"/>
            <w:vAlign w:val="center"/>
          </w:tcPr>
          <w:p w14:paraId="5A648FFA" w14:textId="77777777" w:rsidR="000D07EA" w:rsidRDefault="00BE7C89">
            <w:pPr>
              <w:pStyle w:val="BodyText"/>
              <w:spacing w:before="100" w:after="100"/>
              <w:jc w:val="center"/>
            </w:pPr>
            <w:r>
              <w:t>$252</w:t>
            </w:r>
          </w:p>
        </w:tc>
        <w:tc>
          <w:tcPr>
            <w:tcW w:w="1367" w:type="dxa"/>
            <w:shd w:val="clear" w:color="auto" w:fill="auto"/>
            <w:vAlign w:val="center"/>
          </w:tcPr>
          <w:p w14:paraId="5EF45112" w14:textId="77777777" w:rsidR="000D07EA" w:rsidRDefault="00BE7C89">
            <w:pPr>
              <w:pStyle w:val="BodyText"/>
              <w:spacing w:before="100" w:after="100"/>
              <w:jc w:val="center"/>
            </w:pPr>
            <w:r>
              <w:t>$284</w:t>
            </w:r>
          </w:p>
        </w:tc>
      </w:tr>
    </w:tbl>
    <w:p w14:paraId="1CE47BFF" w14:textId="77777777" w:rsidR="000D07EA" w:rsidRDefault="000D07EA">
      <w:pPr>
        <w:pStyle w:val="BodyText"/>
      </w:pPr>
    </w:p>
    <w:p w14:paraId="0475AA33" w14:textId="77777777" w:rsidR="000D07EA" w:rsidRDefault="00BE7C89">
      <w:pPr>
        <w:pStyle w:val="Heading4"/>
      </w:pPr>
      <w:bookmarkStart w:id="672" w:name="_Toc397941254"/>
      <w:bookmarkStart w:id="673" w:name="_Toc455147623"/>
      <w:bookmarkStart w:id="674" w:name="_Toc62644645"/>
      <w:r>
        <w:t>Business Timeless Plans PREM (4G Sept 2012), BUSINESS TIMELESS PREM (incorporating $89 Business Timeless plan PREM, $99 Business Timeless plan PREM AND $129 BUSINESS TIMELESS PLAN PREM (small business plans), effective from 04 September 2012.</w:t>
      </w:r>
      <w:bookmarkEnd w:id="672"/>
      <w:bookmarkEnd w:id="673"/>
      <w:bookmarkEnd w:id="674"/>
      <w:r>
        <w:t xml:space="preserve"> </w:t>
      </w:r>
    </w:p>
    <w:p w14:paraId="310F21B9" w14:textId="77777777" w:rsidR="000D07EA" w:rsidRDefault="00BE7C89">
      <w:pPr>
        <w:pStyle w:val="Heading6"/>
        <w:ind w:left="0" w:firstLine="0"/>
      </w:pPr>
      <w:bookmarkStart w:id="675" w:name="_Toc397941255"/>
      <w:r>
        <w:t>Eligibility</w:t>
      </w:r>
      <w:bookmarkEnd w:id="675"/>
    </w:p>
    <w:p w14:paraId="2C8D7CB7" w14:textId="77777777" w:rsidR="000D07EA" w:rsidRDefault="00BE7C89">
      <w:pPr>
        <w:pStyle w:val="BodyText"/>
        <w:ind w:left="720"/>
      </w:pPr>
      <w:r>
        <w:t xml:space="preserve">Business Timeless Plans are only available to approved new and existing mobile customers connecting to the </w:t>
      </w:r>
      <w:r>
        <w:rPr>
          <w:i/>
        </w:rPr>
        <w:t xml:space="preserve">service </w:t>
      </w:r>
      <w:r>
        <w:t>on the following terms:</w:t>
      </w:r>
    </w:p>
    <w:p w14:paraId="4AF64F66" w14:textId="77777777" w:rsidR="000D07EA" w:rsidRDefault="00BE7C89">
      <w:pPr>
        <w:pStyle w:val="Heading7"/>
      </w:pPr>
      <w:r>
        <w:rPr>
          <w:snapToGrid w:val="0"/>
        </w:rPr>
        <w:t xml:space="preserve">In order to be and remain eligible for the Business Timeless Offers, </w:t>
      </w:r>
      <w:r>
        <w:rPr>
          <w:i/>
          <w:snapToGrid w:val="0"/>
        </w:rPr>
        <w:t xml:space="preserve">you </w:t>
      </w:r>
      <w:r>
        <w:rPr>
          <w:snapToGrid w:val="0"/>
        </w:rPr>
        <w:t xml:space="preserve">must: </w:t>
      </w:r>
    </w:p>
    <w:p w14:paraId="6650CA81" w14:textId="77777777" w:rsidR="000D07EA" w:rsidRDefault="00BE7C89">
      <w:pPr>
        <w:pStyle w:val="Heading8"/>
      </w:pPr>
      <w:r>
        <w:t>connect all relevant</w:t>
      </w:r>
      <w:r>
        <w:rPr>
          <w:i/>
        </w:rPr>
        <w:t xml:space="preserve"> services</w:t>
      </w:r>
      <w:r>
        <w:t xml:space="preserve"> in the same account holder name and service address, and ABN/ACN/ARBN;</w:t>
      </w:r>
    </w:p>
    <w:p w14:paraId="44759785" w14:textId="77777777" w:rsidR="000D07EA" w:rsidRDefault="00BE7C89">
      <w:pPr>
        <w:pStyle w:val="Heading8"/>
      </w:pPr>
      <w:r>
        <w:t xml:space="preserve">meet all of the criteria for the particular </w:t>
      </w:r>
      <w:r>
        <w:rPr>
          <w:i/>
        </w:rPr>
        <w:t>services</w:t>
      </w:r>
      <w:r>
        <w:t xml:space="preserve"> as set out in each of the relevant </w:t>
      </w:r>
      <w:r>
        <w:rPr>
          <w:i/>
        </w:rPr>
        <w:t>service descriptions</w:t>
      </w:r>
      <w:r>
        <w:t>; and</w:t>
      </w:r>
    </w:p>
    <w:p w14:paraId="6E42AF4B" w14:textId="77777777" w:rsidR="000D07EA" w:rsidRDefault="00BE7C89">
      <w:pPr>
        <w:pStyle w:val="Heading8"/>
      </w:pPr>
      <w:r>
        <w:t xml:space="preserve">be billed for all </w:t>
      </w:r>
      <w:r>
        <w:rPr>
          <w:i/>
        </w:rPr>
        <w:t>services</w:t>
      </w:r>
      <w:r>
        <w:t xml:space="preserve"> on a single monthly bill.</w:t>
      </w:r>
    </w:p>
    <w:p w14:paraId="0F4BB241" w14:textId="77777777" w:rsidR="000D07EA" w:rsidRDefault="00BE7C89">
      <w:pPr>
        <w:pStyle w:val="Heading7"/>
        <w:rPr>
          <w:snapToGrid w:val="0"/>
        </w:rPr>
      </w:pPr>
      <w:r>
        <w:rPr>
          <w:snapToGrid w:val="0"/>
        </w:rPr>
        <w:t xml:space="preserve">If </w:t>
      </w:r>
      <w:r>
        <w:rPr>
          <w:i/>
          <w:snapToGrid w:val="0"/>
        </w:rPr>
        <w:t xml:space="preserve">you </w:t>
      </w:r>
      <w:r>
        <w:rPr>
          <w:snapToGrid w:val="0"/>
        </w:rPr>
        <w:t xml:space="preserve">already have a </w:t>
      </w:r>
      <w:r>
        <w:rPr>
          <w:i/>
          <w:snapToGrid w:val="0"/>
        </w:rPr>
        <w:t>non-fixed length</w:t>
      </w:r>
      <w:r>
        <w:rPr>
          <w:snapToGrid w:val="0"/>
        </w:rPr>
        <w:t xml:space="preserve"> or </w:t>
      </w:r>
      <w:r>
        <w:rPr>
          <w:i/>
          <w:snapToGrid w:val="0"/>
        </w:rPr>
        <w:t>fixed length agreement</w:t>
      </w:r>
      <w:r>
        <w:rPr>
          <w:snapToGrid w:val="0"/>
        </w:rPr>
        <w:t xml:space="preserve"> with </w:t>
      </w:r>
      <w:r>
        <w:rPr>
          <w:i/>
          <w:snapToGrid w:val="0"/>
        </w:rPr>
        <w:t>us</w:t>
      </w:r>
      <w:r>
        <w:rPr>
          <w:snapToGrid w:val="0"/>
        </w:rPr>
        <w:t xml:space="preserve"> for any of </w:t>
      </w:r>
      <w:r>
        <w:rPr>
          <w:i/>
          <w:snapToGrid w:val="0"/>
        </w:rPr>
        <w:t>your</w:t>
      </w:r>
      <w:r>
        <w:rPr>
          <w:snapToGrid w:val="0"/>
        </w:rPr>
        <w:t xml:space="preserve"> </w:t>
      </w:r>
      <w:r>
        <w:rPr>
          <w:i/>
          <w:snapToGrid w:val="0"/>
        </w:rPr>
        <w:t>Optus Mobile service(s)</w:t>
      </w:r>
      <w:r>
        <w:rPr>
          <w:snapToGrid w:val="0"/>
        </w:rPr>
        <w:t xml:space="preserve"> and </w:t>
      </w:r>
      <w:r>
        <w:rPr>
          <w:i/>
          <w:snapToGrid w:val="0"/>
        </w:rPr>
        <w:t>you</w:t>
      </w:r>
      <w:r>
        <w:rPr>
          <w:snapToGrid w:val="0"/>
        </w:rPr>
        <w:t xml:space="preserve"> choose to connect a new service to </w:t>
      </w:r>
      <w:r>
        <w:rPr>
          <w:i/>
          <w:snapToGrid w:val="0"/>
        </w:rPr>
        <w:t>our</w:t>
      </w:r>
      <w:r>
        <w:rPr>
          <w:snapToGrid w:val="0"/>
        </w:rPr>
        <w:t xml:space="preserve"> Business Timeless offer, </w:t>
      </w:r>
      <w:r>
        <w:rPr>
          <w:i/>
          <w:snapToGrid w:val="0"/>
        </w:rPr>
        <w:t>we</w:t>
      </w:r>
      <w:r>
        <w:rPr>
          <w:snapToGrid w:val="0"/>
        </w:rPr>
        <w:t xml:space="preserve"> may agree (at </w:t>
      </w:r>
      <w:r>
        <w:rPr>
          <w:i/>
          <w:snapToGrid w:val="0"/>
        </w:rPr>
        <w:t>our</w:t>
      </w:r>
      <w:r>
        <w:rPr>
          <w:snapToGrid w:val="0"/>
        </w:rPr>
        <w:t xml:space="preserve"> discretion) to transfer</w:t>
      </w:r>
      <w:r>
        <w:rPr>
          <w:i/>
          <w:snapToGrid w:val="0"/>
        </w:rPr>
        <w:t xml:space="preserve"> your </w:t>
      </w:r>
      <w:r>
        <w:rPr>
          <w:snapToGrid w:val="0"/>
        </w:rPr>
        <w:t xml:space="preserve">existing </w:t>
      </w:r>
      <w:r>
        <w:rPr>
          <w:i/>
          <w:snapToGrid w:val="0"/>
        </w:rPr>
        <w:t>service(s)</w:t>
      </w:r>
      <w:r>
        <w:rPr>
          <w:snapToGrid w:val="0"/>
        </w:rPr>
        <w:t xml:space="preserve"> to the Business Timeless offer, in which case </w:t>
      </w:r>
      <w:r>
        <w:rPr>
          <w:i/>
          <w:snapToGrid w:val="0"/>
        </w:rPr>
        <w:t xml:space="preserve">your </w:t>
      </w:r>
      <w:r>
        <w:rPr>
          <w:snapToGrid w:val="0"/>
        </w:rPr>
        <w:t xml:space="preserve">existing </w:t>
      </w:r>
      <w:r>
        <w:rPr>
          <w:i/>
          <w:snapToGrid w:val="0"/>
        </w:rPr>
        <w:t xml:space="preserve">service(s) </w:t>
      </w:r>
      <w:r>
        <w:rPr>
          <w:snapToGrid w:val="0"/>
        </w:rPr>
        <w:t>will be contracted on a:</w:t>
      </w:r>
    </w:p>
    <w:p w14:paraId="66023191" w14:textId="77777777" w:rsidR="000D07EA" w:rsidRDefault="00BE7C89">
      <w:pPr>
        <w:pStyle w:val="Heading8"/>
      </w:pPr>
      <w:r>
        <w:rPr>
          <w:snapToGrid w:val="0"/>
        </w:rPr>
        <w:t xml:space="preserve">month to month basis for your </w:t>
      </w:r>
      <w:r>
        <w:rPr>
          <w:i/>
          <w:snapToGrid w:val="0"/>
        </w:rPr>
        <w:t>non-fixed length agreement</w:t>
      </w:r>
      <w:r>
        <w:rPr>
          <w:snapToGrid w:val="0"/>
        </w:rPr>
        <w:t xml:space="preserve">; or </w:t>
      </w:r>
    </w:p>
    <w:p w14:paraId="7D346C3A" w14:textId="77777777" w:rsidR="000D07EA" w:rsidRDefault="00BE7C89">
      <w:pPr>
        <w:pStyle w:val="Heading8"/>
      </w:pPr>
      <w:r>
        <w:rPr>
          <w:snapToGrid w:val="0"/>
        </w:rPr>
        <w:t>12 or 24 month</w:t>
      </w:r>
      <w:r>
        <w:rPr>
          <w:i/>
          <w:snapToGrid w:val="0"/>
        </w:rPr>
        <w:t xml:space="preserve"> minimum term</w:t>
      </w:r>
      <w:r>
        <w:rPr>
          <w:snapToGrid w:val="0"/>
        </w:rPr>
        <w:t xml:space="preserve"> </w:t>
      </w:r>
      <w:r>
        <w:rPr>
          <w:i/>
          <w:snapToGrid w:val="0"/>
        </w:rPr>
        <w:t>fixed length agreement</w:t>
      </w:r>
      <w:r>
        <w:rPr>
          <w:snapToGrid w:val="0"/>
        </w:rPr>
        <w:t xml:space="preserve"> for </w:t>
      </w:r>
      <w:r>
        <w:rPr>
          <w:i/>
          <w:snapToGrid w:val="0"/>
        </w:rPr>
        <w:t xml:space="preserve">your </w:t>
      </w:r>
      <w:r>
        <w:rPr>
          <w:snapToGrid w:val="0"/>
        </w:rPr>
        <w:t xml:space="preserve">existing </w:t>
      </w:r>
      <w:r>
        <w:rPr>
          <w:i/>
          <w:snapToGrid w:val="0"/>
        </w:rPr>
        <w:t>service(s)</w:t>
      </w:r>
    </w:p>
    <w:p w14:paraId="5F28E421" w14:textId="77777777" w:rsidR="000D07EA" w:rsidRDefault="00BE7C89">
      <w:pPr>
        <w:pStyle w:val="BodyText"/>
        <w:ind w:left="1440"/>
      </w:pPr>
      <w:r>
        <w:rPr>
          <w:i/>
          <w:snapToGrid w:val="0"/>
        </w:rPr>
        <w:t xml:space="preserve">on </w:t>
      </w:r>
      <w:r>
        <w:rPr>
          <w:snapToGrid w:val="0"/>
        </w:rPr>
        <w:t xml:space="preserve">the new </w:t>
      </w:r>
      <w:r>
        <w:rPr>
          <w:i/>
          <w:snapToGrid w:val="0"/>
        </w:rPr>
        <w:t>Business Timeless offer</w:t>
      </w:r>
      <w:r>
        <w:rPr>
          <w:snapToGrid w:val="0"/>
        </w:rPr>
        <w:t xml:space="preserve">. </w:t>
      </w:r>
    </w:p>
    <w:p w14:paraId="3EC4B7F4" w14:textId="77777777" w:rsidR="000D07EA" w:rsidRDefault="00BE7C89">
      <w:pPr>
        <w:pStyle w:val="Heading7"/>
      </w:pPr>
      <w:r>
        <w:rPr>
          <w:snapToGrid w:val="0"/>
        </w:rPr>
        <w:t xml:space="preserve">If </w:t>
      </w:r>
      <w:r>
        <w:rPr>
          <w:i/>
          <w:snapToGrid w:val="0"/>
        </w:rPr>
        <w:t xml:space="preserve">you </w:t>
      </w:r>
      <w:r>
        <w:rPr>
          <w:snapToGrid w:val="0"/>
        </w:rPr>
        <w:t xml:space="preserve">are an existing customer </w:t>
      </w:r>
      <w:r>
        <w:rPr>
          <w:i/>
          <w:snapToGrid w:val="0"/>
        </w:rPr>
        <w:t xml:space="preserve">you </w:t>
      </w:r>
      <w:r>
        <w:rPr>
          <w:snapToGrid w:val="0"/>
        </w:rPr>
        <w:t xml:space="preserve">may only transfer to the Business Timeless plans with </w:t>
      </w:r>
      <w:r>
        <w:rPr>
          <w:i/>
          <w:snapToGrid w:val="0"/>
        </w:rPr>
        <w:t xml:space="preserve">our </w:t>
      </w:r>
      <w:r>
        <w:rPr>
          <w:snapToGrid w:val="0"/>
        </w:rPr>
        <w:t>approval</w:t>
      </w:r>
    </w:p>
    <w:p w14:paraId="1BD1F00C" w14:textId="77777777" w:rsidR="000D07EA" w:rsidRDefault="00BE7C89">
      <w:pPr>
        <w:pStyle w:val="Heading8"/>
      </w:pPr>
      <w:r>
        <w:rPr>
          <w:i/>
        </w:rPr>
        <w:t>You</w:t>
      </w:r>
      <w:r>
        <w:t xml:space="preserve"> must pass the Optus credit assessment and be accepted by </w:t>
      </w:r>
      <w:r>
        <w:rPr>
          <w:i/>
        </w:rPr>
        <w:t>us</w:t>
      </w:r>
      <w:r>
        <w:t>; and</w:t>
      </w:r>
    </w:p>
    <w:p w14:paraId="5FF2BF1E" w14:textId="77777777" w:rsidR="000D07EA" w:rsidRDefault="00BE7C89">
      <w:pPr>
        <w:pStyle w:val="Heading8"/>
      </w:pPr>
      <w:r>
        <w:t>Optus Service Providers' customers are not eligible to apply</w:t>
      </w:r>
      <w:r>
        <w:rPr>
          <w:snapToGrid w:val="0"/>
        </w:rPr>
        <w:t>.</w:t>
      </w:r>
    </w:p>
    <w:p w14:paraId="7E9ADC07" w14:textId="77777777" w:rsidR="000D07EA" w:rsidRDefault="00BE7C89">
      <w:pPr>
        <w:pStyle w:val="Heading6"/>
        <w:ind w:left="0" w:firstLine="0"/>
        <w:rPr>
          <w:i/>
        </w:rPr>
      </w:pPr>
      <w:bookmarkStart w:id="676" w:name="_Toc397941256"/>
      <w:r>
        <w:rPr>
          <w:i/>
        </w:rPr>
        <w:t>Minimum Term</w:t>
      </w:r>
      <w:bookmarkEnd w:id="676"/>
    </w:p>
    <w:p w14:paraId="15F7FB98" w14:textId="77777777" w:rsidR="000D07EA" w:rsidRDefault="00BE7C89">
      <w:pPr>
        <w:pStyle w:val="Heading7"/>
      </w:pPr>
      <w:r>
        <w:rPr>
          <w:i/>
        </w:rPr>
        <w:t xml:space="preserve">You </w:t>
      </w:r>
      <w:r>
        <w:t xml:space="preserve">must agree to either a </w:t>
      </w:r>
      <w:r>
        <w:rPr>
          <w:i/>
        </w:rPr>
        <w:t>fixed length agreement</w:t>
      </w:r>
      <w:r>
        <w:t xml:space="preserve"> with a 12 month or 24 month </w:t>
      </w:r>
      <w:r>
        <w:rPr>
          <w:i/>
        </w:rPr>
        <w:t xml:space="preserve">minimum term. </w:t>
      </w:r>
    </w:p>
    <w:p w14:paraId="657BC438" w14:textId="77777777" w:rsidR="000D07EA" w:rsidRDefault="00BE7C89">
      <w:pPr>
        <w:pStyle w:val="Heading7"/>
      </w:pPr>
      <w:r>
        <w:rPr>
          <w:i/>
        </w:rPr>
        <w:t xml:space="preserve">You </w:t>
      </w:r>
      <w:r>
        <w:t xml:space="preserve">may purchase a </w:t>
      </w:r>
      <w:r>
        <w:rPr>
          <w:i/>
        </w:rPr>
        <w:t xml:space="preserve">mobile phone </w:t>
      </w:r>
      <w:r>
        <w:t>upfront or</w:t>
      </w:r>
      <w:r>
        <w:rPr>
          <w:i/>
        </w:rPr>
        <w:t xml:space="preserve"> </w:t>
      </w:r>
      <w:r>
        <w:t xml:space="preserve">with a 12 or 24 month </w:t>
      </w:r>
      <w:r>
        <w:rPr>
          <w:i/>
        </w:rPr>
        <w:t xml:space="preserve">equipment term </w:t>
      </w:r>
      <w:r>
        <w:t xml:space="preserve">under a </w:t>
      </w:r>
      <w:r>
        <w:rPr>
          <w:i/>
        </w:rPr>
        <w:t>mobile equipment payment plan</w:t>
      </w:r>
      <w:r>
        <w:t xml:space="preserve"> on a 12 or 24 month </w:t>
      </w:r>
      <w:r>
        <w:rPr>
          <w:i/>
        </w:rPr>
        <w:t>fixed length agreement</w:t>
      </w:r>
      <w:r>
        <w:t xml:space="preserve">. </w:t>
      </w:r>
    </w:p>
    <w:p w14:paraId="5823758E" w14:textId="77777777" w:rsidR="000D07EA" w:rsidRDefault="00BE7C89">
      <w:pPr>
        <w:pStyle w:val="Heading6"/>
        <w:ind w:left="0" w:firstLine="0"/>
        <w:rPr>
          <w:i/>
        </w:rPr>
      </w:pPr>
      <w:bookmarkStart w:id="677" w:name="_Toc397941257"/>
      <w:r>
        <w:t xml:space="preserve">What </w:t>
      </w:r>
      <w:r>
        <w:rPr>
          <w:i/>
        </w:rPr>
        <w:t xml:space="preserve">you </w:t>
      </w:r>
      <w:r>
        <w:t xml:space="preserve">have to pay </w:t>
      </w:r>
      <w:r>
        <w:rPr>
          <w:i/>
        </w:rPr>
        <w:t>us</w:t>
      </w:r>
      <w:bookmarkEnd w:id="677"/>
    </w:p>
    <w:p w14:paraId="6361A0ED" w14:textId="77777777" w:rsidR="000D07EA" w:rsidRDefault="00BE7C89">
      <w:pPr>
        <w:pStyle w:val="Heading7"/>
      </w:pPr>
      <w:r>
        <w:t xml:space="preserve">Subject to paragraphs </w:t>
      </w:r>
      <w:r>
        <w:fldChar w:fldCharType="begin"/>
      </w:r>
      <w:r>
        <w:instrText xml:space="preserve"> REF _Ref461553289 \n \h </w:instrText>
      </w:r>
      <w:r>
        <w:fldChar w:fldCharType="separate"/>
      </w:r>
      <w:r w:rsidR="0004083A">
        <w:t>(c)</w:t>
      </w:r>
      <w:r>
        <w:fldChar w:fldCharType="end"/>
      </w:r>
      <w:r>
        <w:t xml:space="preserve">, </w:t>
      </w:r>
      <w:r>
        <w:fldChar w:fldCharType="begin"/>
      </w:r>
      <w:r>
        <w:instrText xml:space="preserve"> REF _Ref461553306 \n \h </w:instrText>
      </w:r>
      <w:r>
        <w:fldChar w:fldCharType="separate"/>
      </w:r>
      <w:r w:rsidR="0004083A">
        <w:t>(d)</w:t>
      </w:r>
      <w:r>
        <w:fldChar w:fldCharType="end"/>
      </w:r>
      <w:r>
        <w:t xml:space="preserve">, </w:t>
      </w:r>
      <w:r>
        <w:fldChar w:fldCharType="begin"/>
      </w:r>
      <w:r>
        <w:instrText xml:space="preserve"> REF _Ref461553315 \n \h </w:instrText>
      </w:r>
      <w:r>
        <w:fldChar w:fldCharType="separate"/>
      </w:r>
      <w:r w:rsidR="0004083A">
        <w:t>(e)</w:t>
      </w:r>
      <w:r>
        <w:fldChar w:fldCharType="end"/>
      </w:r>
      <w:r>
        <w:t xml:space="preserve">, </w:t>
      </w:r>
      <w:r>
        <w:fldChar w:fldCharType="begin"/>
      </w:r>
      <w:r>
        <w:instrText xml:space="preserve"> REF _Ref461553324 \n \h </w:instrText>
      </w:r>
      <w:r>
        <w:fldChar w:fldCharType="separate"/>
      </w:r>
      <w:r w:rsidR="0004083A">
        <w:t>(f)</w:t>
      </w:r>
      <w:r>
        <w:fldChar w:fldCharType="end"/>
      </w:r>
      <w:r>
        <w:t xml:space="preserve"> and </w:t>
      </w:r>
      <w:r>
        <w:fldChar w:fldCharType="begin"/>
      </w:r>
      <w:r>
        <w:instrText xml:space="preserve"> REF _Ref461553332 \n \h </w:instrText>
      </w:r>
      <w:r>
        <w:fldChar w:fldCharType="separate"/>
      </w:r>
      <w:r w:rsidR="0004083A">
        <w:t>(g)</w:t>
      </w:r>
      <w:r>
        <w:fldChar w:fldCharType="end"/>
      </w:r>
      <w:r>
        <w:t xml:space="preserve"> below </w:t>
      </w:r>
      <w:r>
        <w:rPr>
          <w:i/>
        </w:rPr>
        <w:t xml:space="preserve">you </w:t>
      </w:r>
      <w:r>
        <w:t xml:space="preserve">must pay </w:t>
      </w:r>
      <w:r>
        <w:rPr>
          <w:i/>
        </w:rPr>
        <w:t xml:space="preserve">us </w:t>
      </w:r>
      <w:r>
        <w:t xml:space="preserve">for use of the </w:t>
      </w:r>
      <w:r>
        <w:rPr>
          <w:i/>
        </w:rPr>
        <w:t xml:space="preserve">service </w:t>
      </w:r>
      <w:r>
        <w:t xml:space="preserve">at the rates set out in </w:t>
      </w:r>
      <w:hyperlink r:id="rId483" w:history="1">
        <w:r>
          <w:rPr>
            <w:rStyle w:val="Hyperlink"/>
          </w:rPr>
          <w:t>Section 1</w:t>
        </w:r>
      </w:hyperlink>
      <w:r>
        <w:t xml:space="preserve"> of this </w:t>
      </w:r>
      <w:r>
        <w:rPr>
          <w:i/>
        </w:rPr>
        <w:t xml:space="preserve">standard pricing table </w:t>
      </w:r>
      <w:r>
        <w:t xml:space="preserve">and for </w:t>
      </w:r>
      <w:r>
        <w:rPr>
          <w:i/>
        </w:rPr>
        <w:t xml:space="preserve">value added service features </w:t>
      </w:r>
      <w:r>
        <w:t xml:space="preserve">at the rates set out in </w:t>
      </w:r>
      <w:hyperlink r:id="rId484" w:history="1">
        <w:r>
          <w:rPr>
            <w:rStyle w:val="Hyperlink"/>
          </w:rPr>
          <w:t>Appendix Y</w:t>
        </w:r>
      </w:hyperlink>
      <w:r>
        <w:t xml:space="preserve"> Value Added Service Features</w:t>
      </w:r>
      <w:r>
        <w:rPr>
          <w:i/>
        </w:rPr>
        <w:t>.</w:t>
      </w:r>
      <w:r>
        <w:t xml:space="preserve"> </w:t>
      </w:r>
    </w:p>
    <w:p w14:paraId="336783DB" w14:textId="77777777" w:rsidR="000D07EA" w:rsidRDefault="00BE7C89">
      <w:pPr>
        <w:pStyle w:val="Heading7"/>
      </w:pPr>
      <w:r>
        <w:lastRenderedPageBreak/>
        <w:t xml:space="preserve">If there is a </w:t>
      </w:r>
      <w:r>
        <w:rPr>
          <w:i/>
        </w:rPr>
        <w:t xml:space="preserve">flagfall </w:t>
      </w:r>
      <w:r>
        <w:t xml:space="preserve">or call connection charge for a particular call type, the charge for these calls is the </w:t>
      </w:r>
      <w:r>
        <w:rPr>
          <w:i/>
        </w:rPr>
        <w:t xml:space="preserve">flagfall </w:t>
      </w:r>
      <w:r>
        <w:t>charge plus the relevant rate for the call multiplied by the duration of the call.</w:t>
      </w:r>
    </w:p>
    <w:p w14:paraId="253A47A5" w14:textId="77777777" w:rsidR="000D07EA" w:rsidRDefault="00BE7C89">
      <w:pPr>
        <w:pStyle w:val="Heading7"/>
        <w:rPr>
          <w:b/>
        </w:rPr>
      </w:pPr>
      <w:bookmarkStart w:id="678" w:name="_Ref461553289"/>
      <w:r>
        <w:rPr>
          <w:b/>
        </w:rPr>
        <w:t>Minimum Monthly Charge</w:t>
      </w:r>
      <w:bookmarkEnd w:id="678"/>
    </w:p>
    <w:p w14:paraId="47DB4BAC" w14:textId="77777777" w:rsidR="000D07EA" w:rsidRDefault="00BE7C89">
      <w:pPr>
        <w:pStyle w:val="Heading8"/>
      </w:pPr>
      <w:r>
        <w:t xml:space="preserve">Each Business Timeless Plan has a minimum monthly charge amount that </w:t>
      </w:r>
      <w:r>
        <w:rPr>
          <w:i/>
        </w:rPr>
        <w:t xml:space="preserve">you </w:t>
      </w:r>
      <w:r>
        <w:t xml:space="preserve">must pay us each month. </w:t>
      </w:r>
    </w:p>
    <w:p w14:paraId="42F2F14E" w14:textId="77777777" w:rsidR="000D07EA" w:rsidRDefault="00BE7C89">
      <w:pPr>
        <w:pStyle w:val="Heading8"/>
      </w:pPr>
      <w:r>
        <w:t xml:space="preserve">If </w:t>
      </w:r>
      <w:r>
        <w:rPr>
          <w:i/>
        </w:rPr>
        <w:t xml:space="preserve">you </w:t>
      </w:r>
      <w:r>
        <w:t xml:space="preserve">do not make enough eligible calls and text in a month to reach </w:t>
      </w:r>
      <w:r>
        <w:rPr>
          <w:i/>
        </w:rPr>
        <w:t xml:space="preserve">your pricing plan's </w:t>
      </w:r>
      <w:r>
        <w:t xml:space="preserve">minimum monthly charge </w:t>
      </w:r>
      <w:r>
        <w:rPr>
          <w:i/>
        </w:rPr>
        <w:t xml:space="preserve">you </w:t>
      </w:r>
      <w:r>
        <w:t xml:space="preserve">must still pay </w:t>
      </w:r>
      <w:r>
        <w:rPr>
          <w:i/>
        </w:rPr>
        <w:t>us your pricing plan's</w:t>
      </w:r>
      <w:r>
        <w:t xml:space="preserve"> minimum monthly charge for that month.</w:t>
      </w:r>
    </w:p>
    <w:p w14:paraId="7D2025C8" w14:textId="77777777" w:rsidR="000D07EA" w:rsidRDefault="00BE7C89">
      <w:pPr>
        <w:pStyle w:val="Heading8"/>
      </w:pPr>
      <w:bookmarkStart w:id="679" w:name="_Ref461553298"/>
      <w:r>
        <w:t>The amount of the minimum monthly mharge for each of the Business Timeless Plans is set out in Table 2A below.</w:t>
      </w:r>
      <w:bookmarkEnd w:id="679"/>
    </w:p>
    <w:p w14:paraId="555671CD" w14:textId="77777777" w:rsidR="000D07EA" w:rsidRDefault="00BE7C89">
      <w:pPr>
        <w:pStyle w:val="Heading7"/>
        <w:rPr>
          <w:b/>
        </w:rPr>
      </w:pPr>
      <w:bookmarkStart w:id="680" w:name="_Ref461553306"/>
      <w:r>
        <w:rPr>
          <w:b/>
        </w:rPr>
        <w:t>Unlimited Call and Text Offer</w:t>
      </w:r>
      <w:bookmarkEnd w:id="680"/>
      <w:r>
        <w:rPr>
          <w:b/>
        </w:rPr>
        <w:t xml:space="preserve"> </w:t>
      </w:r>
    </w:p>
    <w:p w14:paraId="7058A0F5" w14:textId="77777777" w:rsidR="000D07EA" w:rsidRDefault="00BE7C89">
      <w:pPr>
        <w:pStyle w:val="Heading8"/>
      </w:pPr>
      <w:r>
        <w:t xml:space="preserve">Under the Business Timeless Plans, </w:t>
      </w:r>
      <w:r>
        <w:rPr>
          <w:i/>
        </w:rPr>
        <w:t>you</w:t>
      </w:r>
      <w:r>
        <w:t xml:space="preserve"> will receive unlimited standard national mobile Calls, standard national voice calls and standard national SMS, calls to 13/1300/1800 numbers (except on the $89 Business Timeless Plan (4G Sept 2012), and VoiceMail deposits and retrievals.</w:t>
      </w:r>
    </w:p>
    <w:p w14:paraId="1323CEE4" w14:textId="77777777" w:rsidR="000D07EA" w:rsidRDefault="00BE7C89">
      <w:pPr>
        <w:pStyle w:val="Heading8"/>
      </w:pPr>
      <w:r>
        <w:t xml:space="preserve">The call, message types and usage that are eligible for the Business Timeless Plans are defined in Table 1A below. </w:t>
      </w:r>
    </w:p>
    <w:p w14:paraId="5FC4CC48" w14:textId="77777777" w:rsidR="000D07EA" w:rsidRDefault="00BE7C89">
      <w:pPr>
        <w:pStyle w:val="Heading8"/>
      </w:pPr>
      <w:r>
        <w:rPr>
          <w:i/>
        </w:rPr>
        <w:t xml:space="preserve">You </w:t>
      </w:r>
      <w:r>
        <w:t>must pay for any calls, messages or usage types that are not eligible calls, message or usage types.</w:t>
      </w:r>
    </w:p>
    <w:p w14:paraId="1BDDBCA0" w14:textId="77777777" w:rsidR="000D07EA" w:rsidRDefault="00BE7C89">
      <w:pPr>
        <w:pStyle w:val="Heading8"/>
      </w:pPr>
      <w:r>
        <w:t>Fair Go Policy (</w:t>
      </w:r>
      <w:hyperlink r:id="rId485" w:history="1">
        <w:r>
          <w:rPr>
            <w:rStyle w:val="Hyperlink"/>
            <w:i/>
          </w:rPr>
          <w:t>Appendix S</w:t>
        </w:r>
      </w:hyperlink>
      <w:r>
        <w:t>)</w:t>
      </w:r>
      <w:r>
        <w:rPr>
          <w:snapToGrid w:val="0"/>
        </w:rPr>
        <w:t xml:space="preserve"> applies.</w:t>
      </w:r>
      <w:r>
        <w:t xml:space="preserve"> Please </w:t>
      </w:r>
      <w:r w:rsidRPr="008E7BFE">
        <w:t>refer to</w:t>
      </w:r>
      <w:r w:rsidR="008E7BFE" w:rsidRPr="008E7BFE">
        <w:t xml:space="preserve"> it</w:t>
      </w:r>
      <w:r w:rsidRPr="008E7BFE">
        <w:t xml:space="preserve"> for further details.</w:t>
      </w:r>
    </w:p>
    <w:p w14:paraId="249A1121" w14:textId="77777777" w:rsidR="000D07EA" w:rsidRDefault="00BE7C89">
      <w:pPr>
        <w:pStyle w:val="Heading7"/>
        <w:rPr>
          <w:b/>
        </w:rPr>
      </w:pPr>
      <w:bookmarkStart w:id="681" w:name="_Ref461553315"/>
      <w:r>
        <w:rPr>
          <w:b/>
        </w:rPr>
        <w:t>Inclu</w:t>
      </w:r>
      <w:r>
        <w:rPr>
          <w:rFonts w:eastAsia="MS Mincho"/>
          <w:b/>
        </w:rPr>
        <w:t>d</w:t>
      </w:r>
      <w:r>
        <w:rPr>
          <w:b/>
        </w:rPr>
        <w:t>ed Mobile Internet Data Value and Unlimited BlackBerry POP3 Email and Browsing</w:t>
      </w:r>
      <w:bookmarkEnd w:id="681"/>
    </w:p>
    <w:p w14:paraId="458FF202" w14:textId="77777777" w:rsidR="000D07EA" w:rsidRDefault="00BE7C89">
      <w:pPr>
        <w:pStyle w:val="Heading8"/>
      </w:pPr>
      <w:r>
        <w:t xml:space="preserve">Under the Business Timeless Plans, </w:t>
      </w:r>
      <w:r>
        <w:rPr>
          <w:i/>
        </w:rPr>
        <w:t>you</w:t>
      </w:r>
      <w:r>
        <w:t xml:space="preserve"> will receive:</w:t>
      </w:r>
    </w:p>
    <w:p w14:paraId="3E441A75" w14:textId="77777777" w:rsidR="000D07EA" w:rsidRDefault="00BE7C89">
      <w:pPr>
        <w:pStyle w:val="Heading9"/>
      </w:pPr>
      <w:r>
        <w:t xml:space="preserve">(if you have a compatible handset) included Mobile Internet Data Value; and (if </w:t>
      </w:r>
      <w:r>
        <w:rPr>
          <w:i/>
          <w:u w:val="single"/>
        </w:rPr>
        <w:t>you</w:t>
      </w:r>
      <w:r>
        <w:t xml:space="preserve"> have a compatible handset)</w:t>
      </w:r>
    </w:p>
    <w:p w14:paraId="55B7CB47" w14:textId="77777777" w:rsidR="000D07EA" w:rsidRDefault="00BE7C89">
      <w:pPr>
        <w:pStyle w:val="Heading9"/>
      </w:pPr>
      <w:r>
        <w:t>the amount of 'Mobile Internet Data Value' included for each Business Timeless Plan is set out in Table 2A below.</w:t>
      </w:r>
    </w:p>
    <w:p w14:paraId="06FE354B" w14:textId="77777777" w:rsidR="000D07EA" w:rsidRDefault="00BE7C89">
      <w:pPr>
        <w:pStyle w:val="Heading9"/>
      </w:pPr>
      <w:r>
        <w:t xml:space="preserve">The usage types that are </w:t>
      </w:r>
      <w:r>
        <w:rPr>
          <w:b/>
        </w:rPr>
        <w:t>'eligible data'</w:t>
      </w:r>
      <w:r>
        <w:t xml:space="preserve"> for each Business Timeless Plan under the included Mobile Internet Data Value are defined in Table 1B below.</w:t>
      </w:r>
    </w:p>
    <w:p w14:paraId="614F3132" w14:textId="77777777" w:rsidR="000D07EA" w:rsidRDefault="00BE7C89">
      <w:pPr>
        <w:pStyle w:val="Heading9"/>
      </w:pPr>
      <w:r>
        <w:rPr>
          <w:i/>
        </w:rPr>
        <w:t xml:space="preserve">You </w:t>
      </w:r>
      <w:r>
        <w:t xml:space="preserve">must pay </w:t>
      </w:r>
      <w:r>
        <w:rPr>
          <w:i/>
        </w:rPr>
        <w:t xml:space="preserve">us </w:t>
      </w:r>
      <w:r>
        <w:t xml:space="preserve">excess usage charges for data used in excess of </w:t>
      </w:r>
      <w:r>
        <w:rPr>
          <w:i/>
        </w:rPr>
        <w:t>your</w:t>
      </w:r>
      <w:r>
        <w:t xml:space="preserve"> included 'Mobile Internet Data Value' as shown in Table 2A below. </w:t>
      </w:r>
    </w:p>
    <w:p w14:paraId="361F38C9" w14:textId="77777777" w:rsidR="000D07EA" w:rsidRDefault="00BE7C89">
      <w:pPr>
        <w:pStyle w:val="Heading9"/>
        <w:rPr>
          <w:szCs w:val="24"/>
        </w:rPr>
      </w:pPr>
      <w:r>
        <w:rPr>
          <w:snapToGrid w:val="0"/>
        </w:rPr>
        <w:t>Any unused portion of the 'Mobile Internet Data Value' expires at the end of each month and does not roll over into the following month.</w:t>
      </w:r>
      <w:r>
        <w:t xml:space="preserve"> </w:t>
      </w:r>
    </w:p>
    <w:p w14:paraId="66D246E4" w14:textId="77777777" w:rsidR="000D07EA" w:rsidRDefault="00BE7C89">
      <w:pPr>
        <w:pStyle w:val="Heading8"/>
      </w:pPr>
      <w:r>
        <w:t>Unlimited BlackBerry POP3 Email and Browsing.</w:t>
      </w:r>
    </w:p>
    <w:p w14:paraId="2BF68ACC" w14:textId="77777777" w:rsidR="000D07EA" w:rsidRDefault="00BE7C89">
      <w:pPr>
        <w:pStyle w:val="Heading9"/>
      </w:pPr>
      <w:r>
        <w:rPr>
          <w:i/>
        </w:rPr>
        <w:t>You</w:t>
      </w:r>
      <w:r>
        <w:t xml:space="preserve"> will receive unlimited BlackBerry POP3 Email and Browsing through the BlackBerry Browser only, use of applications from </w:t>
      </w:r>
      <w:r>
        <w:rPr>
          <w:i/>
        </w:rPr>
        <w:t>Optus</w:t>
      </w:r>
      <w:r>
        <w:t xml:space="preserve"> and third party applications that require a BlackBerry Data connection set out in Table 2A below.</w:t>
      </w:r>
    </w:p>
    <w:p w14:paraId="2C377227" w14:textId="77777777" w:rsidR="000D07EA" w:rsidRDefault="00BE7C89">
      <w:pPr>
        <w:pStyle w:val="Heading9"/>
      </w:pPr>
      <w:r>
        <w:t>The usage types that are '</w:t>
      </w:r>
      <w:r>
        <w:rPr>
          <w:b/>
        </w:rPr>
        <w:t>eligible data'</w:t>
      </w:r>
      <w:r>
        <w:t xml:space="preserve"> for each Business Timeless Plan under the Unlimited BlackBerry POP3 Email and Browsing are defined in Table 1C below.</w:t>
      </w:r>
    </w:p>
    <w:p w14:paraId="662304ED" w14:textId="77777777" w:rsidR="000D07EA" w:rsidRDefault="00BE7C89">
      <w:pPr>
        <w:pStyle w:val="Heading9"/>
      </w:pPr>
      <w:r>
        <w:t>Unlimited BlackBerry POP3 Email is only for personal use and is not to be used for commercial purposes. Fair Go Policy (</w:t>
      </w:r>
      <w:hyperlink r:id="rId486" w:history="1">
        <w:r>
          <w:rPr>
            <w:rStyle w:val="Hyperlink"/>
            <w:i/>
          </w:rPr>
          <w:t>Appendix S</w:t>
        </w:r>
      </w:hyperlink>
      <w:r>
        <w:t xml:space="preserve">) also applies to unacceptable use. Please refer to </w:t>
      </w:r>
      <w:r w:rsidR="00503F23" w:rsidRPr="00503F23">
        <w:t>it</w:t>
      </w:r>
      <w:r w:rsidR="008E7BFE">
        <w:t xml:space="preserve"> </w:t>
      </w:r>
      <w:r>
        <w:t>for further details.</w:t>
      </w:r>
    </w:p>
    <w:p w14:paraId="6880F23B" w14:textId="77777777" w:rsidR="000D07EA" w:rsidRDefault="00BE7C89">
      <w:pPr>
        <w:pStyle w:val="Heading7"/>
        <w:rPr>
          <w:b/>
          <w:snapToGrid w:val="0"/>
        </w:rPr>
      </w:pPr>
      <w:bookmarkStart w:id="682" w:name="_Ref461553324"/>
      <w:r>
        <w:rPr>
          <w:b/>
          <w:snapToGrid w:val="0"/>
        </w:rPr>
        <w:lastRenderedPageBreak/>
        <w:t>Unlimited mobile access to Facebook®, Twitter®, LinkedIn, Ebay, Foursquare and MySpace within Australia</w:t>
      </w:r>
      <w:bookmarkEnd w:id="682"/>
    </w:p>
    <w:p w14:paraId="35D99E1F" w14:textId="77777777" w:rsidR="000D07EA" w:rsidRDefault="00BE7C89">
      <w:pPr>
        <w:pStyle w:val="Heading8"/>
        <w:rPr>
          <w:snapToGrid w:val="0"/>
        </w:rPr>
      </w:pPr>
      <w:bookmarkStart w:id="683" w:name="_Ref461553399"/>
      <w:r>
        <w:t xml:space="preserve">Under the Business Timeless Plans, </w:t>
      </w:r>
      <w:r>
        <w:rPr>
          <w:i/>
        </w:rPr>
        <w:t>you</w:t>
      </w:r>
      <w:r>
        <w:t xml:space="preserve"> will receive unlimited mobile access to </w:t>
      </w:r>
      <w:r>
        <w:rPr>
          <w:snapToGrid w:val="0"/>
        </w:rPr>
        <w:t>Facebook®, Twitter®, LinkedIn, Ebay, Foursquare and MySpace within Australia.</w:t>
      </w:r>
      <w:bookmarkEnd w:id="683"/>
    </w:p>
    <w:p w14:paraId="7893D92F" w14:textId="77777777" w:rsidR="000D07EA" w:rsidRDefault="00BE7C89">
      <w:pPr>
        <w:pStyle w:val="Heading8"/>
        <w:rPr>
          <w:snapToGrid w:val="0"/>
        </w:rPr>
      </w:pPr>
      <w:r>
        <w:rPr>
          <w:snapToGrid w:val="0"/>
        </w:rPr>
        <w:t xml:space="preserve">Use of the services described in paragraph </w:t>
      </w:r>
      <w:r>
        <w:rPr>
          <w:snapToGrid w:val="0"/>
        </w:rPr>
        <w:fldChar w:fldCharType="begin"/>
      </w:r>
      <w:r>
        <w:rPr>
          <w:snapToGrid w:val="0"/>
        </w:rPr>
        <w:instrText xml:space="preserve"> REF _Ref461553324 \n \h </w:instrText>
      </w:r>
      <w:r>
        <w:rPr>
          <w:snapToGrid w:val="0"/>
        </w:rPr>
      </w:r>
      <w:r>
        <w:rPr>
          <w:snapToGrid w:val="0"/>
        </w:rPr>
        <w:fldChar w:fldCharType="separate"/>
      </w:r>
      <w:r w:rsidR="0004083A">
        <w:rPr>
          <w:snapToGrid w:val="0"/>
        </w:rPr>
        <w:t>(f)</w:t>
      </w:r>
      <w:r>
        <w:rPr>
          <w:snapToGrid w:val="0"/>
        </w:rPr>
        <w:fldChar w:fldCharType="end"/>
      </w:r>
      <w:r>
        <w:rPr>
          <w:snapToGrid w:val="0"/>
        </w:rPr>
        <w:fldChar w:fldCharType="begin"/>
      </w:r>
      <w:r>
        <w:rPr>
          <w:snapToGrid w:val="0"/>
        </w:rPr>
        <w:instrText xml:space="preserve"> REF _Ref461553399 \n \h </w:instrText>
      </w:r>
      <w:r>
        <w:rPr>
          <w:snapToGrid w:val="0"/>
        </w:rPr>
      </w:r>
      <w:r>
        <w:rPr>
          <w:snapToGrid w:val="0"/>
        </w:rPr>
        <w:fldChar w:fldCharType="separate"/>
      </w:r>
      <w:r w:rsidR="0004083A">
        <w:rPr>
          <w:snapToGrid w:val="0"/>
        </w:rPr>
        <w:t>(i)</w:t>
      </w:r>
      <w:r>
        <w:rPr>
          <w:snapToGrid w:val="0"/>
        </w:rPr>
        <w:fldChar w:fldCharType="end"/>
      </w:r>
      <w:r>
        <w:rPr>
          <w:snapToGrid w:val="0"/>
        </w:rPr>
        <w:t xml:space="preserve"> is separate to and is not included in </w:t>
      </w:r>
      <w:r>
        <w:rPr>
          <w:i/>
          <w:snapToGrid w:val="0"/>
        </w:rPr>
        <w:t>your</w:t>
      </w:r>
      <w:r>
        <w:rPr>
          <w:snapToGrid w:val="0"/>
        </w:rPr>
        <w:t xml:space="preserve"> </w:t>
      </w:r>
      <w:r>
        <w:t>'Mobile Internet Data Value'</w:t>
      </w:r>
    </w:p>
    <w:p w14:paraId="5AFFDCAE" w14:textId="77777777" w:rsidR="000D07EA" w:rsidRDefault="00BE7C89">
      <w:pPr>
        <w:pStyle w:val="Heading8"/>
        <w:rPr>
          <w:b/>
        </w:rPr>
      </w:pPr>
      <w:r>
        <w:t xml:space="preserve">These features are only available to </w:t>
      </w:r>
      <w:r>
        <w:rPr>
          <w:i/>
        </w:rPr>
        <w:t>you</w:t>
      </w:r>
      <w:r>
        <w:t xml:space="preserve"> if </w:t>
      </w:r>
      <w:r>
        <w:rPr>
          <w:i/>
        </w:rPr>
        <w:t>your</w:t>
      </w:r>
      <w:r>
        <w:t xml:space="preserve"> handset is compatible with the service.</w:t>
      </w:r>
    </w:p>
    <w:p w14:paraId="24C1DBC0" w14:textId="77777777" w:rsidR="000D07EA" w:rsidRDefault="00BE7C89">
      <w:pPr>
        <w:pStyle w:val="Heading8"/>
        <w:rPr>
          <w:b/>
        </w:rPr>
      </w:pPr>
      <w:r>
        <w:t>The Fair Go Policy (</w:t>
      </w:r>
      <w:hyperlink r:id="rId487" w:history="1">
        <w:r>
          <w:rPr>
            <w:rStyle w:val="Hyperlink"/>
            <w:i/>
          </w:rPr>
          <w:t>Appendix S</w:t>
        </w:r>
      </w:hyperlink>
      <w:r>
        <w:t xml:space="preserve">) applies for the use of Unlimited Facebook®, Twitter, </w:t>
      </w:r>
      <w:r>
        <w:rPr>
          <w:snapToGrid w:val="0"/>
        </w:rPr>
        <w:t>LinkedIn, Ebay, Four Square,</w:t>
      </w:r>
      <w:r>
        <w:t xml:space="preserve"> and MySpace. Please refer to </w:t>
      </w:r>
      <w:r w:rsidR="00503F23">
        <w:t>it</w:t>
      </w:r>
      <w:r w:rsidR="008E7BFE">
        <w:t xml:space="preserve"> </w:t>
      </w:r>
      <w:r>
        <w:t xml:space="preserve">for further details. </w:t>
      </w:r>
    </w:p>
    <w:p w14:paraId="3C1814BD" w14:textId="77777777" w:rsidR="000D07EA" w:rsidRDefault="00BE7C89">
      <w:pPr>
        <w:pStyle w:val="Heading7"/>
        <w:rPr>
          <w:b/>
        </w:rPr>
      </w:pPr>
      <w:bookmarkStart w:id="684" w:name="_Ref461553332"/>
      <w:r>
        <w:rPr>
          <w:b/>
        </w:rPr>
        <w:t>Included International Value</w:t>
      </w:r>
      <w:bookmarkEnd w:id="684"/>
    </w:p>
    <w:p w14:paraId="02E07526" w14:textId="77777777" w:rsidR="000D07EA" w:rsidRDefault="00BE7C89">
      <w:pPr>
        <w:pStyle w:val="Heading8"/>
      </w:pPr>
      <w:r>
        <w:t xml:space="preserve">On the $129 Business Timeless Plan </w:t>
      </w:r>
      <w:r>
        <w:rPr>
          <w:i/>
        </w:rPr>
        <w:t>you</w:t>
      </w:r>
      <w:r>
        <w:t xml:space="preserve"> will receive an amount of included International Value. The amount of the International Value included for the $129 Business Timeless Plans is set out in Table 2A below.</w:t>
      </w:r>
    </w:p>
    <w:p w14:paraId="77FAE827" w14:textId="77777777" w:rsidR="000D07EA" w:rsidRDefault="00BE7C89">
      <w:pPr>
        <w:pStyle w:val="Heading8"/>
      </w:pPr>
      <w:r>
        <w:t xml:space="preserve">The usage types that are </w:t>
      </w:r>
      <w:r>
        <w:rPr>
          <w:b/>
        </w:rPr>
        <w:t>'eligible calls and charges'</w:t>
      </w:r>
      <w:r>
        <w:t xml:space="preserve"> for the $129 Business Timeless Plans under the included International Value are defined in Table 1D below.</w:t>
      </w:r>
    </w:p>
    <w:p w14:paraId="6FA90698" w14:textId="77777777" w:rsidR="000D07EA" w:rsidRDefault="00BE7C89">
      <w:pPr>
        <w:pStyle w:val="Heading8"/>
      </w:pPr>
      <w:r>
        <w:rPr>
          <w:i/>
        </w:rPr>
        <w:t xml:space="preserve">You </w:t>
      </w:r>
      <w:r>
        <w:t xml:space="preserve">must pay </w:t>
      </w:r>
      <w:r>
        <w:rPr>
          <w:i/>
        </w:rPr>
        <w:t xml:space="preserve">us </w:t>
      </w:r>
      <w:r>
        <w:t>for any calls or messages that are not eligible calls or messages under this offer.</w:t>
      </w:r>
    </w:p>
    <w:p w14:paraId="426EF1AD" w14:textId="77777777" w:rsidR="000D07EA" w:rsidRDefault="00BE7C89">
      <w:pPr>
        <w:pStyle w:val="Heading8"/>
        <w:rPr>
          <w:snapToGrid w:val="0"/>
        </w:rPr>
      </w:pPr>
      <w:r>
        <w:rPr>
          <w:i/>
        </w:rPr>
        <w:t>You</w:t>
      </w:r>
      <w:r>
        <w:t xml:space="preserve"> must pay </w:t>
      </w:r>
      <w:r>
        <w:rPr>
          <w:i/>
          <w:snapToGrid w:val="0"/>
        </w:rPr>
        <w:t xml:space="preserve">us </w:t>
      </w:r>
      <w:r>
        <w:rPr>
          <w:snapToGrid w:val="0"/>
        </w:rPr>
        <w:t xml:space="preserve">for any usage over the included International Value. Standard International rates apply. See </w:t>
      </w:r>
      <w:hyperlink r:id="rId488" w:history="1">
        <w:r>
          <w:rPr>
            <w:rStyle w:val="Hyperlink"/>
            <w:iCs w:val="0"/>
          </w:rPr>
          <w:t>Appendix J</w:t>
        </w:r>
      </w:hyperlink>
      <w:r>
        <w:rPr>
          <w:iCs w:val="0"/>
        </w:rPr>
        <w:t xml:space="preserve"> </w:t>
      </w:r>
      <w:r>
        <w:rPr>
          <w:snapToGrid w:val="0"/>
        </w:rPr>
        <w:t>for more information.</w:t>
      </w:r>
    </w:p>
    <w:p w14:paraId="353A4873" w14:textId="77777777" w:rsidR="000D07EA" w:rsidRDefault="00BE7C89">
      <w:pPr>
        <w:pStyle w:val="Heading8"/>
      </w:pPr>
      <w:r>
        <w:rPr>
          <w:snapToGrid w:val="0"/>
        </w:rPr>
        <w:t>Any unused portion of the included International Value expires at the end of each month and does not rollover into the following month.</w:t>
      </w:r>
      <w:r>
        <w:t xml:space="preserve"> </w:t>
      </w:r>
    </w:p>
    <w:p w14:paraId="17FA2C03" w14:textId="77777777" w:rsidR="000D07EA" w:rsidRDefault="00BE7C89">
      <w:pPr>
        <w:pStyle w:val="Heading7"/>
        <w:rPr>
          <w:b/>
        </w:rPr>
      </w:pPr>
      <w:r>
        <w:rPr>
          <w:b/>
        </w:rPr>
        <w:t>Blocking access to a number</w:t>
      </w:r>
    </w:p>
    <w:p w14:paraId="73772676" w14:textId="77777777" w:rsidR="000D07EA" w:rsidRDefault="00BE7C89">
      <w:pPr>
        <w:pStyle w:val="BodyText"/>
        <w:ind w:left="1440"/>
      </w:pPr>
      <w:r>
        <w:t xml:space="preserve">In addition to what is stated in clause 11 of the </w:t>
      </w:r>
      <w:r>
        <w:rPr>
          <w:i/>
        </w:rPr>
        <w:t>service description</w:t>
      </w:r>
      <w:r>
        <w:t xml:space="preserve"> ("Access Restrictions"), we may block access to a number (other than an emergency service number) if we reasonably require this to be done for technical, operational or commercial reasons. </w:t>
      </w:r>
    </w:p>
    <w:p w14:paraId="3D0B5FA0" w14:textId="77777777" w:rsidR="000D07EA" w:rsidRDefault="00BE7C89">
      <w:pPr>
        <w:pStyle w:val="Heading6"/>
        <w:ind w:left="0" w:firstLine="0"/>
      </w:pPr>
      <w:bookmarkStart w:id="685" w:name="_Toc397941258"/>
      <w:r>
        <w:t>What happens if you are no longer eligible</w:t>
      </w:r>
      <w:bookmarkEnd w:id="685"/>
    </w:p>
    <w:p w14:paraId="7860402F" w14:textId="77777777" w:rsidR="000D07EA" w:rsidRDefault="00BE7C89">
      <w:pPr>
        <w:pStyle w:val="BodyText"/>
        <w:ind w:left="720"/>
      </w:pPr>
      <w:r>
        <w:t xml:space="preserve">If </w:t>
      </w:r>
      <w:r>
        <w:rPr>
          <w:i/>
        </w:rPr>
        <w:t>you</w:t>
      </w:r>
      <w:r>
        <w:t xml:space="preserve"> are no longer classified as a </w:t>
      </w:r>
      <w:r>
        <w:rPr>
          <w:i/>
        </w:rPr>
        <w:t>small and medium business</w:t>
      </w:r>
      <w:r>
        <w:t xml:space="preserve"> we may at our discretion change </w:t>
      </w:r>
      <w:r>
        <w:rPr>
          <w:i/>
        </w:rPr>
        <w:t>you</w:t>
      </w:r>
      <w:r>
        <w:t xml:space="preserve">r </w:t>
      </w:r>
      <w:r>
        <w:rPr>
          <w:i/>
        </w:rPr>
        <w:t xml:space="preserve">Optus Mobile Service </w:t>
      </w:r>
      <w:r>
        <w:t xml:space="preserve">to an eligible plan although other service options may be available to </w:t>
      </w:r>
      <w:r>
        <w:rPr>
          <w:i/>
        </w:rPr>
        <w:t xml:space="preserve">you </w:t>
      </w:r>
      <w:r>
        <w:t xml:space="preserve">and </w:t>
      </w:r>
      <w:r>
        <w:rPr>
          <w:i/>
        </w:rPr>
        <w:t>you</w:t>
      </w:r>
      <w:r>
        <w:t xml:space="preserve"> may have to pay </w:t>
      </w:r>
      <w:r>
        <w:rPr>
          <w:i/>
        </w:rPr>
        <w:t>us</w:t>
      </w:r>
      <w:r>
        <w:t xml:space="preserve"> a cancellation fee</w:t>
      </w:r>
      <w:r>
        <w:rPr>
          <w:i/>
        </w:rPr>
        <w:t>.</w:t>
      </w:r>
    </w:p>
    <w:p w14:paraId="1F8B3AB8" w14:textId="77777777" w:rsidR="000D07EA" w:rsidRDefault="00BE7C89">
      <w:pPr>
        <w:pStyle w:val="Heading7"/>
        <w:rPr>
          <w:b/>
        </w:rPr>
      </w:pPr>
      <w:r>
        <w:rPr>
          <w:b/>
        </w:rPr>
        <w:t>Other Business Timeless Plan Conditions and Offers</w:t>
      </w:r>
    </w:p>
    <w:p w14:paraId="3B587132" w14:textId="77777777" w:rsidR="000D07EA" w:rsidRDefault="00BE7C89">
      <w:pPr>
        <w:pStyle w:val="Heading8"/>
      </w:pPr>
      <w:r>
        <w:t>The Fair Go Policy (</w:t>
      </w:r>
      <w:hyperlink r:id="rId489" w:history="1">
        <w:r>
          <w:rPr>
            <w:rStyle w:val="Hyperlink"/>
            <w:i/>
          </w:rPr>
          <w:t>Appendix S</w:t>
        </w:r>
      </w:hyperlink>
      <w:r>
        <w:t>) applies to Voice Over Internet Protocol (VOIP) services up to 10 megabytes per month</w:t>
      </w:r>
      <w:r>
        <w:rPr>
          <w:rFonts w:ascii="DIN" w:hAnsi="DIN" w:cs="DIN"/>
          <w:color w:val="000000"/>
          <w:sz w:val="18"/>
        </w:rPr>
        <w:t>.</w:t>
      </w:r>
      <w:r>
        <w:t xml:space="preserve"> Please refer to</w:t>
      </w:r>
      <w:r w:rsidR="00503F23">
        <w:t>it for further details</w:t>
      </w:r>
      <w:r w:rsidRPr="00503F23">
        <w:rPr>
          <w:i/>
        </w:rPr>
        <w:t>.</w:t>
      </w:r>
    </w:p>
    <w:p w14:paraId="4AFB6886" w14:textId="77777777" w:rsidR="000D07EA" w:rsidRDefault="00BE7C89">
      <w:pPr>
        <w:pStyle w:val="Heading8"/>
      </w:pPr>
      <w:r>
        <w:t xml:space="preserve">Some handsets are locked to our network. If </w:t>
      </w:r>
      <w:r>
        <w:rPr>
          <w:i/>
        </w:rPr>
        <w:t>you</w:t>
      </w:r>
      <w:r>
        <w:t xml:space="preserve"> wish to unlock one of these handsets you should contact our Customer Service centre. </w:t>
      </w:r>
    </w:p>
    <w:p w14:paraId="29E5C2F5" w14:textId="77777777" w:rsidR="000D07EA" w:rsidRDefault="00BE7C89">
      <w:pPr>
        <w:pStyle w:val="Heading8"/>
      </w:pPr>
      <w:r>
        <w:t xml:space="preserve">Available features will vary depending on </w:t>
      </w:r>
      <w:r>
        <w:rPr>
          <w:i/>
        </w:rPr>
        <w:t>your</w:t>
      </w:r>
      <w:r>
        <w:t xml:space="preserve"> handset or software version.</w:t>
      </w:r>
    </w:p>
    <w:p w14:paraId="6E750885" w14:textId="77777777" w:rsidR="000D07EA" w:rsidRDefault="00BE7C89">
      <w:pPr>
        <w:pStyle w:val="Heading7"/>
        <w:rPr>
          <w:b/>
        </w:rPr>
      </w:pPr>
      <w:r>
        <w:rPr>
          <w:b/>
        </w:rPr>
        <w:t xml:space="preserve">Additional benefit – 12 Month Handset Upgrade - $129 Business Timeless Plan </w:t>
      </w:r>
    </w:p>
    <w:p w14:paraId="1AD4B627" w14:textId="77777777" w:rsidR="000D07EA" w:rsidRDefault="00BE7C89">
      <w:pPr>
        <w:pStyle w:val="BodyText"/>
        <w:ind w:left="1440"/>
      </w:pPr>
      <w:r>
        <w:t xml:space="preserve">If </w:t>
      </w:r>
      <w:r>
        <w:rPr>
          <w:i/>
        </w:rPr>
        <w:t>you</w:t>
      </w:r>
      <w:r>
        <w:t xml:space="preserve"> connect to the $129 Business Timeless Plan you are able to upgrade your handset after 12 months of </w:t>
      </w:r>
      <w:r>
        <w:rPr>
          <w:i/>
        </w:rPr>
        <w:t>your</w:t>
      </w:r>
      <w:r>
        <w:t xml:space="preserve"> </w:t>
      </w:r>
      <w:r>
        <w:rPr>
          <w:i/>
        </w:rPr>
        <w:t>fixed length agreement</w:t>
      </w:r>
      <w:r>
        <w:t xml:space="preserve"> , byrecontracting on another </w:t>
      </w:r>
      <w:r>
        <w:rPr>
          <w:i/>
        </w:rPr>
        <w:t>fixed length agreement</w:t>
      </w:r>
      <w:r>
        <w:t>.</w:t>
      </w:r>
    </w:p>
    <w:p w14:paraId="6D5CB5EE" w14:textId="77777777" w:rsidR="000D07EA" w:rsidRDefault="00BE7C89">
      <w:pPr>
        <w:pStyle w:val="Heading7"/>
        <w:rPr>
          <w:b/>
        </w:rPr>
      </w:pPr>
      <w:r>
        <w:rPr>
          <w:b/>
        </w:rPr>
        <w:t>Eligible Calls, Messages and Pricing Plans</w:t>
      </w:r>
    </w:p>
    <w:p w14:paraId="18BC5B68" w14:textId="77777777" w:rsidR="000D07EA" w:rsidRDefault="00BE7C89">
      <w:pPr>
        <w:pStyle w:val="Heading8"/>
      </w:pPr>
      <w:r>
        <w:t xml:space="preserve">Table 1A below indicates whether a particular call and message type is eligible in the unlimited offer for </w:t>
      </w:r>
      <w:r>
        <w:rPr>
          <w:i/>
        </w:rPr>
        <w:t xml:space="preserve">your </w:t>
      </w:r>
      <w:r>
        <w:t>selected Business Timeless Plan.</w:t>
      </w:r>
    </w:p>
    <w:p w14:paraId="0D0B66A6" w14:textId="77777777" w:rsidR="000D07EA" w:rsidRDefault="00BE7C89">
      <w:pPr>
        <w:pStyle w:val="Heading8"/>
      </w:pPr>
      <w:r>
        <w:lastRenderedPageBreak/>
        <w:t xml:space="preserve">Table 1B below indicates whether a particular data type is 'eligible data usage' which counts towards the data value of </w:t>
      </w:r>
      <w:r>
        <w:rPr>
          <w:i/>
        </w:rPr>
        <w:t xml:space="preserve">your </w:t>
      </w:r>
      <w:r>
        <w:t xml:space="preserve">selected Business Timeless Plan. </w:t>
      </w:r>
    </w:p>
    <w:p w14:paraId="096D94D2" w14:textId="77777777" w:rsidR="000D07EA" w:rsidRDefault="00BE7C89">
      <w:pPr>
        <w:pStyle w:val="Heading8"/>
      </w:pPr>
      <w:r>
        <w:t xml:space="preserve">Table 1C below indicates whether a particular data type is 'eligible data usage' which counts towards the Unlimited BlackBerry POP3 Email and Browsing value of </w:t>
      </w:r>
      <w:r>
        <w:rPr>
          <w:i/>
        </w:rPr>
        <w:t xml:space="preserve">your </w:t>
      </w:r>
      <w:r>
        <w:t>selected Business Timeless Plan.</w:t>
      </w:r>
    </w:p>
    <w:p w14:paraId="4BF2FDB3" w14:textId="77777777" w:rsidR="000D07EA" w:rsidRDefault="00BE7C89">
      <w:pPr>
        <w:pStyle w:val="Heading8"/>
      </w:pPr>
      <w:r>
        <w:t xml:space="preserve">Table 1D below indicates whether a particular call or message type is an 'eligible call or message' which counts towards the included International Value of </w:t>
      </w:r>
      <w:r>
        <w:rPr>
          <w:i/>
        </w:rPr>
        <w:t xml:space="preserve">your </w:t>
      </w:r>
      <w:r>
        <w:t>selected $129 Business Timeless Plan.</w:t>
      </w:r>
    </w:p>
    <w:p w14:paraId="43FBABD2" w14:textId="77777777" w:rsidR="000D07EA" w:rsidRDefault="00BE7C89">
      <w:pPr>
        <w:pStyle w:val="Heading8"/>
      </w:pPr>
      <w:r>
        <w:t>Table 2A below contains pricing details of each Business Timeless Plan.</w:t>
      </w:r>
    </w:p>
    <w:p w14:paraId="28FB716E" w14:textId="77777777" w:rsidR="000D07EA" w:rsidRDefault="00BE7C89">
      <w:pPr>
        <w:pStyle w:val="BodyText"/>
        <w:ind w:left="720"/>
        <w:rPr>
          <w:b/>
        </w:rPr>
      </w:pPr>
      <w:r>
        <w:rPr>
          <w:b/>
        </w:rPr>
        <w:t>Table 1A – Eligible Calls</w:t>
      </w:r>
    </w:p>
    <w:tbl>
      <w:tblPr>
        <w:tblW w:w="884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875"/>
        <w:gridCol w:w="2970"/>
      </w:tblGrid>
      <w:tr w:rsidR="000D07EA" w14:paraId="6ADC7A0E" w14:textId="77777777">
        <w:trPr>
          <w:trHeight w:val="20"/>
          <w:tblHeader/>
        </w:trPr>
        <w:tc>
          <w:tcPr>
            <w:tcW w:w="5875" w:type="dxa"/>
          </w:tcPr>
          <w:p w14:paraId="513B5024" w14:textId="77777777" w:rsidR="000D07EA" w:rsidRDefault="00BE7C89">
            <w:pPr>
              <w:pStyle w:val="BodyText"/>
              <w:spacing w:before="100" w:after="100"/>
              <w:rPr>
                <w:b/>
              </w:rPr>
            </w:pPr>
            <w:r>
              <w:rPr>
                <w:b/>
              </w:rPr>
              <w:t>Call Type</w:t>
            </w:r>
          </w:p>
        </w:tc>
        <w:tc>
          <w:tcPr>
            <w:tcW w:w="2970" w:type="dxa"/>
          </w:tcPr>
          <w:p w14:paraId="6B7E6458" w14:textId="77777777" w:rsidR="000D07EA" w:rsidRDefault="0051170A">
            <w:pPr>
              <w:pStyle w:val="BodyText"/>
              <w:spacing w:before="100" w:after="100"/>
              <w:rPr>
                <w:b/>
              </w:rPr>
            </w:pPr>
            <w:r>
              <w:rPr>
                <w:b/>
              </w:rPr>
              <w:t>Eligible Call</w:t>
            </w:r>
          </w:p>
        </w:tc>
      </w:tr>
      <w:tr w:rsidR="000D07EA" w14:paraId="76C6C4F4" w14:textId="77777777">
        <w:trPr>
          <w:trHeight w:val="20"/>
        </w:trPr>
        <w:tc>
          <w:tcPr>
            <w:tcW w:w="5875" w:type="dxa"/>
          </w:tcPr>
          <w:p w14:paraId="27434F1E" w14:textId="77777777" w:rsidR="000D07EA" w:rsidRDefault="00BE7C89">
            <w:pPr>
              <w:pStyle w:val="BodyText"/>
              <w:spacing w:before="100" w:after="100"/>
            </w:pPr>
            <w:r>
              <w:t>Standard National Mobile Calls</w:t>
            </w:r>
          </w:p>
        </w:tc>
        <w:tc>
          <w:tcPr>
            <w:tcW w:w="2970" w:type="dxa"/>
          </w:tcPr>
          <w:p w14:paraId="5C3EF841" w14:textId="77777777" w:rsidR="000D07EA" w:rsidRDefault="00BE7C89">
            <w:pPr>
              <w:pStyle w:val="BodyText"/>
              <w:spacing w:before="100" w:after="100"/>
            </w:pPr>
            <w:r>
              <w:t>Yes</w:t>
            </w:r>
          </w:p>
        </w:tc>
      </w:tr>
      <w:tr w:rsidR="000D07EA" w14:paraId="204E12EF" w14:textId="77777777">
        <w:trPr>
          <w:trHeight w:val="20"/>
        </w:trPr>
        <w:tc>
          <w:tcPr>
            <w:tcW w:w="5875" w:type="dxa"/>
          </w:tcPr>
          <w:p w14:paraId="427EC1B2" w14:textId="77777777" w:rsidR="000D07EA" w:rsidRDefault="00BE7C89">
            <w:pPr>
              <w:pStyle w:val="BodyText"/>
              <w:spacing w:before="100" w:after="100"/>
            </w:pPr>
            <w:r>
              <w:t>Standard National Voice Calls</w:t>
            </w:r>
          </w:p>
        </w:tc>
        <w:tc>
          <w:tcPr>
            <w:tcW w:w="2970" w:type="dxa"/>
          </w:tcPr>
          <w:p w14:paraId="13D9A9A6" w14:textId="77777777" w:rsidR="000D07EA" w:rsidRDefault="00BE7C89">
            <w:pPr>
              <w:pStyle w:val="BodyText"/>
              <w:spacing w:before="100" w:after="100"/>
            </w:pPr>
            <w:r>
              <w:t>Yes</w:t>
            </w:r>
          </w:p>
        </w:tc>
      </w:tr>
      <w:tr w:rsidR="000D07EA" w14:paraId="4DF0AE6C" w14:textId="77777777">
        <w:trPr>
          <w:trHeight w:val="58"/>
        </w:trPr>
        <w:tc>
          <w:tcPr>
            <w:tcW w:w="5875" w:type="dxa"/>
          </w:tcPr>
          <w:p w14:paraId="6E391531" w14:textId="77777777" w:rsidR="000D07EA" w:rsidRDefault="00BE7C89">
            <w:pPr>
              <w:pStyle w:val="BodyText"/>
              <w:spacing w:before="100" w:after="100"/>
            </w:pPr>
            <w:r>
              <w:t>National Video Calls</w:t>
            </w:r>
          </w:p>
        </w:tc>
        <w:tc>
          <w:tcPr>
            <w:tcW w:w="2970" w:type="dxa"/>
          </w:tcPr>
          <w:p w14:paraId="1EEEE5C0" w14:textId="77777777" w:rsidR="000D07EA" w:rsidRDefault="00BE7C89">
            <w:pPr>
              <w:pStyle w:val="BodyText"/>
              <w:spacing w:before="100" w:after="100"/>
            </w:pPr>
            <w:r>
              <w:t>No</w:t>
            </w:r>
          </w:p>
        </w:tc>
      </w:tr>
      <w:tr w:rsidR="000D07EA" w14:paraId="5DBBBAB6" w14:textId="77777777">
        <w:trPr>
          <w:trHeight w:val="58"/>
        </w:trPr>
        <w:tc>
          <w:tcPr>
            <w:tcW w:w="5875" w:type="dxa"/>
          </w:tcPr>
          <w:p w14:paraId="25603D80" w14:textId="77777777" w:rsidR="000D07EA" w:rsidRDefault="00BE7C89">
            <w:pPr>
              <w:pStyle w:val="BodyText"/>
              <w:spacing w:before="100" w:after="100"/>
            </w:pPr>
            <w:r>
              <w:t>International Voice Calls</w:t>
            </w:r>
          </w:p>
          <w:p w14:paraId="78243049" w14:textId="77777777" w:rsidR="000D07EA" w:rsidRDefault="00BE7C89">
            <w:pPr>
              <w:pStyle w:val="BodyText"/>
              <w:spacing w:before="100" w:after="100"/>
            </w:pPr>
            <w:r>
              <w:rPr>
                <w:snapToGrid w:val="0"/>
              </w:rPr>
              <w:t>(includes calls to national fixed or mobile services that then divert/switch or re-route overseas)</w:t>
            </w:r>
          </w:p>
        </w:tc>
        <w:tc>
          <w:tcPr>
            <w:tcW w:w="2970" w:type="dxa"/>
          </w:tcPr>
          <w:p w14:paraId="1F5D6A17" w14:textId="77777777" w:rsidR="000D07EA" w:rsidRDefault="00BE7C89">
            <w:pPr>
              <w:pStyle w:val="BodyText"/>
              <w:spacing w:before="100" w:after="100"/>
            </w:pPr>
            <w:r>
              <w:t xml:space="preserve">No </w:t>
            </w:r>
          </w:p>
        </w:tc>
      </w:tr>
      <w:tr w:rsidR="000D07EA" w14:paraId="0A830795" w14:textId="77777777">
        <w:trPr>
          <w:trHeight w:val="20"/>
        </w:trPr>
        <w:tc>
          <w:tcPr>
            <w:tcW w:w="5875" w:type="dxa"/>
          </w:tcPr>
          <w:p w14:paraId="05F6C777" w14:textId="77777777" w:rsidR="000D07EA" w:rsidRDefault="00BE7C89">
            <w:pPr>
              <w:pStyle w:val="BodyText"/>
              <w:spacing w:before="100" w:after="100"/>
            </w:pPr>
            <w:r>
              <w:t>International Video Calls</w:t>
            </w:r>
          </w:p>
          <w:p w14:paraId="674ED08F" w14:textId="77777777" w:rsidR="000D07EA" w:rsidRDefault="00BE7C89">
            <w:pPr>
              <w:pStyle w:val="BodyText"/>
              <w:spacing w:before="100" w:after="100"/>
            </w:pPr>
            <w:r>
              <w:rPr>
                <w:snapToGrid w:val="0"/>
              </w:rPr>
              <w:t>(includes calls to national fixed or mobile services that then divert/switch or re-route overseas)</w:t>
            </w:r>
          </w:p>
        </w:tc>
        <w:tc>
          <w:tcPr>
            <w:tcW w:w="2970" w:type="dxa"/>
          </w:tcPr>
          <w:p w14:paraId="55A3DDDB" w14:textId="77777777" w:rsidR="000D07EA" w:rsidRDefault="00BE7C89">
            <w:pPr>
              <w:pStyle w:val="BodyText"/>
              <w:spacing w:before="100" w:after="100"/>
            </w:pPr>
            <w:r>
              <w:t>No</w:t>
            </w:r>
          </w:p>
        </w:tc>
      </w:tr>
      <w:tr w:rsidR="000D07EA" w14:paraId="5E0DE580" w14:textId="77777777">
        <w:trPr>
          <w:trHeight w:val="20"/>
        </w:trPr>
        <w:tc>
          <w:tcPr>
            <w:tcW w:w="5875" w:type="dxa"/>
          </w:tcPr>
          <w:p w14:paraId="5FC69D9E" w14:textId="77777777" w:rsidR="000D07EA" w:rsidRDefault="00BE7C89">
            <w:pPr>
              <w:pStyle w:val="BodyText"/>
              <w:spacing w:before="100" w:after="100"/>
            </w:pPr>
            <w:r>
              <w:t>Standard National SMS</w:t>
            </w:r>
          </w:p>
        </w:tc>
        <w:tc>
          <w:tcPr>
            <w:tcW w:w="2970" w:type="dxa"/>
          </w:tcPr>
          <w:p w14:paraId="6199A2F8" w14:textId="77777777" w:rsidR="000D07EA" w:rsidRDefault="00BE7C89">
            <w:pPr>
              <w:pStyle w:val="BodyText"/>
              <w:spacing w:before="100" w:after="100"/>
            </w:pPr>
            <w:r>
              <w:t>Yes</w:t>
            </w:r>
          </w:p>
        </w:tc>
      </w:tr>
      <w:tr w:rsidR="000D07EA" w14:paraId="6EEDEDBF" w14:textId="77777777">
        <w:trPr>
          <w:trHeight w:val="20"/>
        </w:trPr>
        <w:tc>
          <w:tcPr>
            <w:tcW w:w="5875" w:type="dxa"/>
          </w:tcPr>
          <w:p w14:paraId="562A3E6F" w14:textId="77777777" w:rsidR="000D07EA" w:rsidRDefault="00BE7C89">
            <w:pPr>
              <w:pStyle w:val="BodyText"/>
              <w:spacing w:before="100" w:after="100"/>
            </w:pPr>
            <w:r>
              <w:t>International SMS</w:t>
            </w:r>
          </w:p>
        </w:tc>
        <w:tc>
          <w:tcPr>
            <w:tcW w:w="2970" w:type="dxa"/>
          </w:tcPr>
          <w:p w14:paraId="2DAA077C" w14:textId="77777777" w:rsidR="000D07EA" w:rsidRDefault="00BE7C89">
            <w:pPr>
              <w:pStyle w:val="BodyText"/>
              <w:spacing w:before="100" w:after="100"/>
            </w:pPr>
            <w:r>
              <w:t>No</w:t>
            </w:r>
          </w:p>
        </w:tc>
      </w:tr>
      <w:tr w:rsidR="000D07EA" w14:paraId="6FDAB42F" w14:textId="77777777">
        <w:trPr>
          <w:trHeight w:val="20"/>
        </w:trPr>
        <w:tc>
          <w:tcPr>
            <w:tcW w:w="5875" w:type="dxa"/>
          </w:tcPr>
          <w:p w14:paraId="38C6A017" w14:textId="77777777" w:rsidR="000D07EA" w:rsidRDefault="00BE7C89">
            <w:pPr>
              <w:pStyle w:val="BodyText"/>
              <w:spacing w:before="100" w:after="100"/>
            </w:pPr>
            <w:r>
              <w:t>National MMS</w:t>
            </w:r>
          </w:p>
        </w:tc>
        <w:tc>
          <w:tcPr>
            <w:tcW w:w="2970" w:type="dxa"/>
          </w:tcPr>
          <w:p w14:paraId="36F854D1" w14:textId="77777777" w:rsidR="000D07EA" w:rsidRDefault="00BE7C89">
            <w:pPr>
              <w:pStyle w:val="BodyText"/>
              <w:spacing w:before="100" w:after="100"/>
            </w:pPr>
            <w:r>
              <w:t>Yes</w:t>
            </w:r>
          </w:p>
        </w:tc>
      </w:tr>
      <w:tr w:rsidR="000D07EA" w14:paraId="2FE92643" w14:textId="77777777">
        <w:trPr>
          <w:trHeight w:val="20"/>
        </w:trPr>
        <w:tc>
          <w:tcPr>
            <w:tcW w:w="5875" w:type="dxa"/>
          </w:tcPr>
          <w:p w14:paraId="343F5C3F" w14:textId="77777777" w:rsidR="000D07EA" w:rsidRDefault="00BE7C89">
            <w:pPr>
              <w:pStyle w:val="BodyText"/>
              <w:spacing w:before="100" w:after="100"/>
            </w:pPr>
            <w:r>
              <w:t>International MMS</w:t>
            </w:r>
          </w:p>
        </w:tc>
        <w:tc>
          <w:tcPr>
            <w:tcW w:w="2970" w:type="dxa"/>
          </w:tcPr>
          <w:p w14:paraId="7DC2A963" w14:textId="77777777" w:rsidR="000D07EA" w:rsidRDefault="00BE7C89">
            <w:pPr>
              <w:pStyle w:val="BodyText"/>
              <w:spacing w:before="100" w:after="100"/>
            </w:pPr>
            <w:r>
              <w:t>No</w:t>
            </w:r>
          </w:p>
        </w:tc>
      </w:tr>
      <w:tr w:rsidR="000D07EA" w14:paraId="2C3A92DF" w14:textId="77777777">
        <w:trPr>
          <w:trHeight w:val="20"/>
        </w:trPr>
        <w:tc>
          <w:tcPr>
            <w:tcW w:w="5875" w:type="dxa"/>
          </w:tcPr>
          <w:p w14:paraId="1E6DB661" w14:textId="77777777" w:rsidR="000D07EA" w:rsidRDefault="00BE7C89">
            <w:pPr>
              <w:pStyle w:val="BodyText"/>
              <w:spacing w:before="100" w:after="100"/>
            </w:pPr>
            <w:r>
              <w:t>National Diversions</w:t>
            </w:r>
          </w:p>
        </w:tc>
        <w:tc>
          <w:tcPr>
            <w:tcW w:w="2970" w:type="dxa"/>
          </w:tcPr>
          <w:p w14:paraId="71FA5923" w14:textId="77777777" w:rsidR="000D07EA" w:rsidRDefault="00BE7C89">
            <w:pPr>
              <w:pStyle w:val="BodyText"/>
              <w:spacing w:before="100" w:after="100"/>
            </w:pPr>
            <w:r>
              <w:t>Yes</w:t>
            </w:r>
          </w:p>
        </w:tc>
      </w:tr>
      <w:tr w:rsidR="000D07EA" w14:paraId="25ACBE3E" w14:textId="77777777">
        <w:trPr>
          <w:trHeight w:val="20"/>
        </w:trPr>
        <w:tc>
          <w:tcPr>
            <w:tcW w:w="5875" w:type="dxa"/>
          </w:tcPr>
          <w:p w14:paraId="5E2131ED" w14:textId="77777777" w:rsidR="000D07EA" w:rsidRDefault="00BE7C89">
            <w:pPr>
              <w:pStyle w:val="BodyText"/>
              <w:spacing w:before="100" w:after="100"/>
            </w:pPr>
            <w:r>
              <w:t>Voicemail Deposit and Retrievals</w:t>
            </w:r>
          </w:p>
        </w:tc>
        <w:tc>
          <w:tcPr>
            <w:tcW w:w="2970" w:type="dxa"/>
          </w:tcPr>
          <w:p w14:paraId="3A8544CA" w14:textId="77777777" w:rsidR="000D07EA" w:rsidRDefault="00BE7C89">
            <w:pPr>
              <w:pStyle w:val="BodyText"/>
              <w:spacing w:before="100" w:after="100"/>
            </w:pPr>
            <w:r>
              <w:t>Yes</w:t>
            </w:r>
          </w:p>
        </w:tc>
      </w:tr>
      <w:tr w:rsidR="000D07EA" w14:paraId="40152B04" w14:textId="77777777">
        <w:trPr>
          <w:trHeight w:val="20"/>
        </w:trPr>
        <w:tc>
          <w:tcPr>
            <w:tcW w:w="5875" w:type="dxa"/>
          </w:tcPr>
          <w:p w14:paraId="6F0B2796" w14:textId="77777777" w:rsidR="000D07EA" w:rsidRDefault="00BE7C89">
            <w:pPr>
              <w:pStyle w:val="BodyText"/>
              <w:spacing w:before="100" w:after="100"/>
            </w:pPr>
            <w:r>
              <w:t>International Roaming and Diversion</w:t>
            </w:r>
          </w:p>
        </w:tc>
        <w:tc>
          <w:tcPr>
            <w:tcW w:w="2970" w:type="dxa"/>
          </w:tcPr>
          <w:p w14:paraId="19FAA83F" w14:textId="77777777" w:rsidR="000D07EA" w:rsidRDefault="00BE7C89">
            <w:pPr>
              <w:pStyle w:val="BodyText"/>
              <w:spacing w:before="100" w:after="100"/>
            </w:pPr>
            <w:r>
              <w:t>No</w:t>
            </w:r>
          </w:p>
        </w:tc>
      </w:tr>
      <w:tr w:rsidR="000D07EA" w14:paraId="52891DC4" w14:textId="77777777">
        <w:trPr>
          <w:trHeight w:val="20"/>
        </w:trPr>
        <w:tc>
          <w:tcPr>
            <w:tcW w:w="5875" w:type="dxa"/>
          </w:tcPr>
          <w:p w14:paraId="071FFFCA" w14:textId="77777777" w:rsidR="000D07EA" w:rsidRDefault="00BE7C89">
            <w:pPr>
              <w:pStyle w:val="BodyText"/>
              <w:spacing w:before="100" w:after="100"/>
            </w:pPr>
            <w:r>
              <w:t>Premium SMS</w:t>
            </w:r>
          </w:p>
        </w:tc>
        <w:tc>
          <w:tcPr>
            <w:tcW w:w="2970" w:type="dxa"/>
          </w:tcPr>
          <w:p w14:paraId="71A498DC" w14:textId="77777777" w:rsidR="000D07EA" w:rsidRDefault="00BE7C89">
            <w:pPr>
              <w:pStyle w:val="BodyText"/>
              <w:spacing w:before="100" w:after="100"/>
            </w:pPr>
            <w:r>
              <w:t>No</w:t>
            </w:r>
          </w:p>
        </w:tc>
      </w:tr>
      <w:tr w:rsidR="000D07EA" w14:paraId="7F583E7A" w14:textId="77777777">
        <w:trPr>
          <w:trHeight w:val="20"/>
        </w:trPr>
        <w:tc>
          <w:tcPr>
            <w:tcW w:w="5875" w:type="dxa"/>
          </w:tcPr>
          <w:p w14:paraId="7147CD21" w14:textId="77777777" w:rsidR="000D07EA" w:rsidRDefault="00BE7C89">
            <w:pPr>
              <w:pStyle w:val="BodyText"/>
              <w:spacing w:before="100" w:after="100"/>
            </w:pPr>
            <w:r>
              <w:t>Premium Video</w:t>
            </w:r>
          </w:p>
        </w:tc>
        <w:tc>
          <w:tcPr>
            <w:tcW w:w="2970" w:type="dxa"/>
          </w:tcPr>
          <w:p w14:paraId="6A955E87" w14:textId="77777777" w:rsidR="000D07EA" w:rsidRDefault="00BE7C89">
            <w:pPr>
              <w:pStyle w:val="BodyText"/>
              <w:spacing w:before="100" w:after="100"/>
            </w:pPr>
            <w:r>
              <w:t>No</w:t>
            </w:r>
          </w:p>
        </w:tc>
      </w:tr>
      <w:tr w:rsidR="000D07EA" w14:paraId="7F81BB8F" w14:textId="77777777">
        <w:trPr>
          <w:trHeight w:val="20"/>
        </w:trPr>
        <w:tc>
          <w:tcPr>
            <w:tcW w:w="5875" w:type="dxa"/>
          </w:tcPr>
          <w:p w14:paraId="7761BB90" w14:textId="77777777" w:rsidR="000D07EA" w:rsidRDefault="00BE7C89">
            <w:pPr>
              <w:pStyle w:val="BodyText"/>
              <w:spacing w:before="100" w:after="100"/>
            </w:pPr>
            <w:r>
              <w:t>Video Conferencing</w:t>
            </w:r>
          </w:p>
        </w:tc>
        <w:tc>
          <w:tcPr>
            <w:tcW w:w="2970" w:type="dxa"/>
          </w:tcPr>
          <w:p w14:paraId="7B657D38" w14:textId="77777777" w:rsidR="000D07EA" w:rsidRDefault="00BE7C89">
            <w:pPr>
              <w:pStyle w:val="BodyText"/>
              <w:spacing w:before="100" w:after="100"/>
            </w:pPr>
            <w:r>
              <w:t>No</w:t>
            </w:r>
          </w:p>
        </w:tc>
      </w:tr>
      <w:tr w:rsidR="000D07EA" w14:paraId="0D6DB86F" w14:textId="77777777">
        <w:trPr>
          <w:trHeight w:val="20"/>
        </w:trPr>
        <w:tc>
          <w:tcPr>
            <w:tcW w:w="5875" w:type="dxa"/>
          </w:tcPr>
          <w:p w14:paraId="2F0564A5" w14:textId="77777777" w:rsidR="000D07EA" w:rsidRDefault="00BE7C89">
            <w:pPr>
              <w:pStyle w:val="BodyText"/>
              <w:spacing w:before="100" w:after="100"/>
            </w:pPr>
            <w:r>
              <w:t>Optus Zoo or Optus Zoo and iZoo Browsing</w:t>
            </w:r>
          </w:p>
        </w:tc>
        <w:tc>
          <w:tcPr>
            <w:tcW w:w="2970" w:type="dxa"/>
          </w:tcPr>
          <w:p w14:paraId="7CF2E5FB" w14:textId="77777777" w:rsidR="000D07EA" w:rsidRDefault="00BE7C89">
            <w:pPr>
              <w:pStyle w:val="BodyText"/>
              <w:spacing w:before="100" w:after="100"/>
            </w:pPr>
            <w:r>
              <w:t>No</w:t>
            </w:r>
          </w:p>
        </w:tc>
      </w:tr>
      <w:tr w:rsidR="000D07EA" w14:paraId="385DA3E8" w14:textId="77777777">
        <w:trPr>
          <w:trHeight w:val="20"/>
        </w:trPr>
        <w:tc>
          <w:tcPr>
            <w:tcW w:w="5875" w:type="dxa"/>
          </w:tcPr>
          <w:p w14:paraId="454943AE" w14:textId="77777777" w:rsidR="000D07EA" w:rsidRDefault="00BE7C89">
            <w:pPr>
              <w:pStyle w:val="BodyText"/>
              <w:spacing w:before="100" w:after="100"/>
            </w:pPr>
            <w:r>
              <w:t>Optus Zoo or Optus Zoo and iZoo Downloads</w:t>
            </w:r>
          </w:p>
        </w:tc>
        <w:tc>
          <w:tcPr>
            <w:tcW w:w="2970" w:type="dxa"/>
          </w:tcPr>
          <w:p w14:paraId="26B63D62" w14:textId="77777777" w:rsidR="000D07EA" w:rsidRDefault="00BE7C89">
            <w:pPr>
              <w:pStyle w:val="BodyText"/>
              <w:spacing w:before="100" w:after="100"/>
            </w:pPr>
            <w:r>
              <w:t>No</w:t>
            </w:r>
          </w:p>
        </w:tc>
      </w:tr>
      <w:tr w:rsidR="000D07EA" w14:paraId="02B8388D" w14:textId="77777777">
        <w:trPr>
          <w:trHeight w:val="20"/>
        </w:trPr>
        <w:tc>
          <w:tcPr>
            <w:tcW w:w="5875" w:type="dxa"/>
          </w:tcPr>
          <w:p w14:paraId="7B65C3CF" w14:textId="77777777" w:rsidR="000D07EA" w:rsidRDefault="00BE7C89">
            <w:pPr>
              <w:pStyle w:val="BodyText"/>
              <w:spacing w:before="100" w:after="100"/>
            </w:pPr>
            <w:r>
              <w:t>SMS to 966 (Zoo)</w:t>
            </w:r>
          </w:p>
        </w:tc>
        <w:tc>
          <w:tcPr>
            <w:tcW w:w="2970" w:type="dxa"/>
          </w:tcPr>
          <w:p w14:paraId="0A15D5D0" w14:textId="77777777" w:rsidR="000D07EA" w:rsidRDefault="00BE7C89">
            <w:pPr>
              <w:pStyle w:val="BodyText"/>
              <w:spacing w:before="100" w:after="100"/>
            </w:pPr>
            <w:r>
              <w:t>No</w:t>
            </w:r>
          </w:p>
        </w:tc>
      </w:tr>
      <w:tr w:rsidR="000D07EA" w14:paraId="4C3D0E85" w14:textId="77777777">
        <w:trPr>
          <w:trHeight w:val="20"/>
        </w:trPr>
        <w:tc>
          <w:tcPr>
            <w:tcW w:w="5875" w:type="dxa"/>
          </w:tcPr>
          <w:p w14:paraId="705E1E3C" w14:textId="77777777" w:rsidR="000D07EA" w:rsidRDefault="00BE7C89">
            <w:pPr>
              <w:pStyle w:val="BodyText"/>
              <w:spacing w:before="100" w:after="100"/>
            </w:pPr>
            <w:r>
              <w:t>Mobile Internet usage</w:t>
            </w:r>
          </w:p>
        </w:tc>
        <w:tc>
          <w:tcPr>
            <w:tcW w:w="2970" w:type="dxa"/>
          </w:tcPr>
          <w:p w14:paraId="65BAD9A9" w14:textId="77777777" w:rsidR="000D07EA" w:rsidRDefault="00BE7C89">
            <w:pPr>
              <w:pStyle w:val="BodyText"/>
              <w:spacing w:before="100" w:after="100"/>
            </w:pPr>
            <w:r>
              <w:t>No</w:t>
            </w:r>
          </w:p>
        </w:tc>
      </w:tr>
      <w:tr w:rsidR="000D07EA" w14:paraId="41748807" w14:textId="77777777">
        <w:trPr>
          <w:trHeight w:val="20"/>
        </w:trPr>
        <w:tc>
          <w:tcPr>
            <w:tcW w:w="5875" w:type="dxa"/>
          </w:tcPr>
          <w:p w14:paraId="5D62F442" w14:textId="77777777" w:rsidR="000D07EA" w:rsidRDefault="00BE7C89">
            <w:pPr>
              <w:pStyle w:val="BodyText"/>
              <w:spacing w:before="100" w:after="100"/>
            </w:pPr>
            <w:r>
              <w:t>Data Used while Roaming Internationally</w:t>
            </w:r>
          </w:p>
        </w:tc>
        <w:tc>
          <w:tcPr>
            <w:tcW w:w="2970" w:type="dxa"/>
          </w:tcPr>
          <w:p w14:paraId="3841700E" w14:textId="77777777" w:rsidR="000D07EA" w:rsidRDefault="00BE7C89">
            <w:pPr>
              <w:pStyle w:val="BodyText"/>
              <w:spacing w:before="100" w:after="100"/>
            </w:pPr>
            <w:r>
              <w:t>No</w:t>
            </w:r>
          </w:p>
        </w:tc>
      </w:tr>
      <w:tr w:rsidR="000D07EA" w14:paraId="02101971" w14:textId="77777777">
        <w:trPr>
          <w:trHeight w:val="20"/>
        </w:trPr>
        <w:tc>
          <w:tcPr>
            <w:tcW w:w="5875" w:type="dxa"/>
          </w:tcPr>
          <w:p w14:paraId="2E933E33" w14:textId="77777777" w:rsidR="000D07EA" w:rsidRDefault="00BE7C89">
            <w:pPr>
              <w:pStyle w:val="BodyText"/>
              <w:spacing w:before="100" w:after="100"/>
            </w:pPr>
            <w:r>
              <w:lastRenderedPageBreak/>
              <w:t>Content Packs (unless specified in promotions)</w:t>
            </w:r>
          </w:p>
        </w:tc>
        <w:tc>
          <w:tcPr>
            <w:tcW w:w="2970" w:type="dxa"/>
          </w:tcPr>
          <w:p w14:paraId="61C5F335" w14:textId="77777777" w:rsidR="000D07EA" w:rsidRDefault="00BE7C89">
            <w:pPr>
              <w:pStyle w:val="BodyText"/>
              <w:spacing w:before="100" w:after="100"/>
            </w:pPr>
            <w:r>
              <w:t>No</w:t>
            </w:r>
          </w:p>
        </w:tc>
      </w:tr>
      <w:tr w:rsidR="000D07EA" w14:paraId="3B9F20F2" w14:textId="77777777">
        <w:trPr>
          <w:trHeight w:val="20"/>
        </w:trPr>
        <w:tc>
          <w:tcPr>
            <w:tcW w:w="5875" w:type="dxa"/>
          </w:tcPr>
          <w:p w14:paraId="3EACA7B8" w14:textId="77777777" w:rsidR="000D07EA" w:rsidRDefault="00BE7C89">
            <w:pPr>
              <w:pStyle w:val="BodyText"/>
              <w:spacing w:before="100" w:after="100"/>
            </w:pPr>
            <w:r>
              <w:t>TrueLocal Usage</w:t>
            </w:r>
          </w:p>
        </w:tc>
        <w:tc>
          <w:tcPr>
            <w:tcW w:w="2970" w:type="dxa"/>
          </w:tcPr>
          <w:p w14:paraId="00AB0302" w14:textId="77777777" w:rsidR="000D07EA" w:rsidRDefault="00BE7C89">
            <w:pPr>
              <w:pStyle w:val="BodyText"/>
              <w:spacing w:before="100" w:after="100"/>
            </w:pPr>
            <w:r>
              <w:t>No</w:t>
            </w:r>
          </w:p>
        </w:tc>
      </w:tr>
      <w:tr w:rsidR="000D07EA" w14:paraId="08BDD631" w14:textId="77777777">
        <w:trPr>
          <w:trHeight w:val="20"/>
        </w:trPr>
        <w:tc>
          <w:tcPr>
            <w:tcW w:w="5875" w:type="dxa"/>
          </w:tcPr>
          <w:p w14:paraId="62BFA6C0" w14:textId="77777777" w:rsidR="000D07EA" w:rsidRDefault="00BE7C89">
            <w:pPr>
              <w:pStyle w:val="BodyText"/>
              <w:spacing w:before="100" w:after="100"/>
            </w:pPr>
            <w:r>
              <w:t xml:space="preserve">Directory Assistance- 1223 </w:t>
            </w:r>
          </w:p>
        </w:tc>
        <w:tc>
          <w:tcPr>
            <w:tcW w:w="2970" w:type="dxa"/>
          </w:tcPr>
          <w:p w14:paraId="6D6CF9F3" w14:textId="77777777" w:rsidR="000D07EA" w:rsidRDefault="00BE7C89">
            <w:pPr>
              <w:pStyle w:val="BodyText"/>
              <w:spacing w:before="100" w:after="100"/>
            </w:pPr>
            <w:r>
              <w:t>No</w:t>
            </w:r>
          </w:p>
        </w:tc>
      </w:tr>
      <w:tr w:rsidR="000D07EA" w14:paraId="242B41E7" w14:textId="77777777">
        <w:trPr>
          <w:trHeight w:val="20"/>
        </w:trPr>
        <w:tc>
          <w:tcPr>
            <w:tcW w:w="5875" w:type="dxa"/>
          </w:tcPr>
          <w:p w14:paraId="75CED377" w14:textId="77777777" w:rsidR="000D07EA" w:rsidRDefault="00BE7C89">
            <w:pPr>
              <w:pStyle w:val="BodyText"/>
              <w:spacing w:before="100" w:after="100"/>
            </w:pPr>
            <w:r>
              <w:t>19XX Numbers</w:t>
            </w:r>
          </w:p>
        </w:tc>
        <w:tc>
          <w:tcPr>
            <w:tcW w:w="2970" w:type="dxa"/>
          </w:tcPr>
          <w:p w14:paraId="1A9368E1" w14:textId="77777777" w:rsidR="000D07EA" w:rsidRDefault="00BE7C89">
            <w:pPr>
              <w:pStyle w:val="BodyText"/>
              <w:spacing w:before="100" w:after="100"/>
            </w:pPr>
            <w:r>
              <w:t>No</w:t>
            </w:r>
          </w:p>
        </w:tc>
      </w:tr>
      <w:tr w:rsidR="000D07EA" w14:paraId="1BCA9B6B" w14:textId="77777777">
        <w:trPr>
          <w:trHeight w:val="20"/>
        </w:trPr>
        <w:tc>
          <w:tcPr>
            <w:tcW w:w="5875" w:type="dxa"/>
          </w:tcPr>
          <w:p w14:paraId="2A8BFD4E" w14:textId="77777777" w:rsidR="000D07EA" w:rsidRDefault="00BE7C89">
            <w:pPr>
              <w:pStyle w:val="BodyText"/>
              <w:spacing w:before="100" w:after="100"/>
            </w:pPr>
            <w:r>
              <w:t>1800, 13 and 1300 numbers</w:t>
            </w:r>
          </w:p>
        </w:tc>
        <w:tc>
          <w:tcPr>
            <w:tcW w:w="2970" w:type="dxa"/>
          </w:tcPr>
          <w:p w14:paraId="578170A0" w14:textId="77777777" w:rsidR="000D07EA" w:rsidRDefault="00BE7C89">
            <w:pPr>
              <w:pStyle w:val="BodyText"/>
              <w:spacing w:before="100" w:after="100"/>
            </w:pPr>
            <w:r>
              <w:t>Yes (except on the $89 Business Timeless Plan)</w:t>
            </w:r>
          </w:p>
        </w:tc>
      </w:tr>
      <w:tr w:rsidR="000D07EA" w14:paraId="791DD6E3" w14:textId="77777777">
        <w:trPr>
          <w:trHeight w:val="20"/>
        </w:trPr>
        <w:tc>
          <w:tcPr>
            <w:tcW w:w="5875" w:type="dxa"/>
          </w:tcPr>
          <w:p w14:paraId="46B923EC" w14:textId="77777777" w:rsidR="000D07EA" w:rsidRDefault="00BE7C89">
            <w:pPr>
              <w:pStyle w:val="BodyText"/>
              <w:spacing w:before="100" w:after="100"/>
            </w:pPr>
            <w:r>
              <w:t>124YES(937)</w:t>
            </w:r>
          </w:p>
        </w:tc>
        <w:tc>
          <w:tcPr>
            <w:tcW w:w="2970" w:type="dxa"/>
          </w:tcPr>
          <w:p w14:paraId="47A3FC96" w14:textId="77777777" w:rsidR="000D07EA" w:rsidRDefault="00BE7C89">
            <w:pPr>
              <w:pStyle w:val="BodyText"/>
              <w:spacing w:before="100" w:after="100"/>
            </w:pPr>
            <w:r>
              <w:t>No</w:t>
            </w:r>
          </w:p>
        </w:tc>
      </w:tr>
      <w:tr w:rsidR="000D07EA" w14:paraId="4D848BB6" w14:textId="77777777">
        <w:trPr>
          <w:trHeight w:val="20"/>
        </w:trPr>
        <w:tc>
          <w:tcPr>
            <w:tcW w:w="5875" w:type="dxa"/>
          </w:tcPr>
          <w:p w14:paraId="08C9BED9" w14:textId="77777777" w:rsidR="000D07EA" w:rsidRDefault="00BE7C89">
            <w:pPr>
              <w:pStyle w:val="BodyText"/>
              <w:spacing w:before="100" w:after="100"/>
            </w:pPr>
            <w:r>
              <w:t>Calls to Satellite</w:t>
            </w:r>
          </w:p>
        </w:tc>
        <w:tc>
          <w:tcPr>
            <w:tcW w:w="2970" w:type="dxa"/>
          </w:tcPr>
          <w:p w14:paraId="3EAB5264" w14:textId="77777777" w:rsidR="000D07EA" w:rsidRDefault="00BE7C89">
            <w:pPr>
              <w:pStyle w:val="BodyText"/>
              <w:spacing w:before="100" w:after="100"/>
            </w:pPr>
            <w:r>
              <w:t>No</w:t>
            </w:r>
          </w:p>
        </w:tc>
      </w:tr>
      <w:tr w:rsidR="000D07EA" w14:paraId="79F56D15" w14:textId="77777777">
        <w:trPr>
          <w:trHeight w:val="20"/>
        </w:trPr>
        <w:tc>
          <w:tcPr>
            <w:tcW w:w="5875" w:type="dxa"/>
          </w:tcPr>
          <w:p w14:paraId="70F0A699" w14:textId="77777777" w:rsidR="000D07EA" w:rsidRDefault="00BE7C89">
            <w:pPr>
              <w:pStyle w:val="BodyText"/>
              <w:spacing w:before="100" w:after="100"/>
            </w:pPr>
            <w:r>
              <w:t>VOIP services</w:t>
            </w:r>
          </w:p>
        </w:tc>
        <w:tc>
          <w:tcPr>
            <w:tcW w:w="2970" w:type="dxa"/>
          </w:tcPr>
          <w:p w14:paraId="5B34217C" w14:textId="77777777" w:rsidR="000D07EA" w:rsidRDefault="00BE7C89">
            <w:pPr>
              <w:pStyle w:val="BodyText"/>
              <w:spacing w:before="100" w:after="100"/>
            </w:pPr>
            <w:r>
              <w:t>No</w:t>
            </w:r>
          </w:p>
        </w:tc>
      </w:tr>
    </w:tbl>
    <w:p w14:paraId="5766B311" w14:textId="77777777" w:rsidR="000D07EA" w:rsidRDefault="000D07EA">
      <w:pPr>
        <w:pStyle w:val="BodyText"/>
      </w:pPr>
    </w:p>
    <w:p w14:paraId="19F07782" w14:textId="77777777" w:rsidR="000D07EA" w:rsidRDefault="00BE7C89">
      <w:pPr>
        <w:pStyle w:val="BodyText"/>
        <w:ind w:left="720"/>
        <w:rPr>
          <w:b/>
        </w:rPr>
      </w:pPr>
      <w:r>
        <w:rPr>
          <w:b/>
        </w:rPr>
        <w:t>Table 1B – Eligible for the Included Mobile Internet Data</w:t>
      </w:r>
    </w:p>
    <w:tbl>
      <w:tblPr>
        <w:tblW w:w="884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875"/>
        <w:gridCol w:w="2970"/>
      </w:tblGrid>
      <w:tr w:rsidR="000D07EA" w14:paraId="05125912" w14:textId="77777777">
        <w:trPr>
          <w:trHeight w:val="58"/>
          <w:tblHeader/>
        </w:trPr>
        <w:tc>
          <w:tcPr>
            <w:tcW w:w="5875" w:type="dxa"/>
          </w:tcPr>
          <w:p w14:paraId="39257205" w14:textId="77777777" w:rsidR="000D07EA" w:rsidRDefault="00BE7C89">
            <w:pPr>
              <w:pStyle w:val="BodyText"/>
              <w:spacing w:before="100" w:after="100"/>
              <w:rPr>
                <w:b/>
              </w:rPr>
            </w:pPr>
            <w:r>
              <w:rPr>
                <w:b/>
              </w:rPr>
              <w:t>Call Type</w:t>
            </w:r>
          </w:p>
        </w:tc>
        <w:tc>
          <w:tcPr>
            <w:tcW w:w="2970" w:type="dxa"/>
          </w:tcPr>
          <w:p w14:paraId="6C9401B4" w14:textId="77777777" w:rsidR="000D07EA" w:rsidRDefault="00BE7C89">
            <w:pPr>
              <w:pStyle w:val="BodyText"/>
              <w:spacing w:before="100" w:after="100"/>
              <w:rPr>
                <w:b/>
              </w:rPr>
            </w:pPr>
            <w:r>
              <w:rPr>
                <w:b/>
              </w:rPr>
              <w:t>Eligible Data</w:t>
            </w:r>
          </w:p>
        </w:tc>
      </w:tr>
      <w:tr w:rsidR="000D07EA" w14:paraId="2F4E0343" w14:textId="77777777">
        <w:trPr>
          <w:trHeight w:val="58"/>
        </w:trPr>
        <w:tc>
          <w:tcPr>
            <w:tcW w:w="5875" w:type="dxa"/>
          </w:tcPr>
          <w:p w14:paraId="2BEFB2A0" w14:textId="77777777" w:rsidR="000D07EA" w:rsidRDefault="00BE7C89">
            <w:pPr>
              <w:pStyle w:val="BodyText"/>
              <w:spacing w:before="100" w:after="100"/>
            </w:pPr>
            <w:r>
              <w:t>Standard National Mobile Calls</w:t>
            </w:r>
          </w:p>
        </w:tc>
        <w:tc>
          <w:tcPr>
            <w:tcW w:w="2970" w:type="dxa"/>
          </w:tcPr>
          <w:p w14:paraId="25A4689D" w14:textId="77777777" w:rsidR="000D07EA" w:rsidRDefault="00BE7C89">
            <w:pPr>
              <w:pStyle w:val="BodyText"/>
              <w:spacing w:before="100" w:after="100"/>
            </w:pPr>
            <w:r>
              <w:t>No</w:t>
            </w:r>
          </w:p>
        </w:tc>
      </w:tr>
      <w:tr w:rsidR="000D07EA" w14:paraId="0B9DC231" w14:textId="77777777">
        <w:trPr>
          <w:trHeight w:val="20"/>
        </w:trPr>
        <w:tc>
          <w:tcPr>
            <w:tcW w:w="5875" w:type="dxa"/>
          </w:tcPr>
          <w:p w14:paraId="5EDFEBF8" w14:textId="77777777" w:rsidR="000D07EA" w:rsidRDefault="00BE7C89">
            <w:pPr>
              <w:pStyle w:val="BodyText"/>
              <w:spacing w:before="100" w:after="100"/>
            </w:pPr>
            <w:r>
              <w:t>National Voice and Video Calls</w:t>
            </w:r>
          </w:p>
        </w:tc>
        <w:tc>
          <w:tcPr>
            <w:tcW w:w="2970" w:type="dxa"/>
          </w:tcPr>
          <w:p w14:paraId="4F6C5FA3" w14:textId="77777777" w:rsidR="000D07EA" w:rsidRDefault="00BE7C89">
            <w:pPr>
              <w:pStyle w:val="BodyText"/>
              <w:spacing w:before="100" w:after="100"/>
            </w:pPr>
            <w:r>
              <w:t>No</w:t>
            </w:r>
          </w:p>
        </w:tc>
      </w:tr>
      <w:tr w:rsidR="000D07EA" w14:paraId="79399061" w14:textId="77777777">
        <w:trPr>
          <w:trHeight w:val="58"/>
        </w:trPr>
        <w:tc>
          <w:tcPr>
            <w:tcW w:w="5875" w:type="dxa"/>
          </w:tcPr>
          <w:p w14:paraId="3E2F7A56" w14:textId="77777777" w:rsidR="000D07EA" w:rsidRDefault="00BE7C89">
            <w:pPr>
              <w:pStyle w:val="BodyText"/>
              <w:spacing w:before="100" w:after="100"/>
            </w:pPr>
            <w:r>
              <w:t>International Voice and Video Calls</w:t>
            </w:r>
          </w:p>
          <w:p w14:paraId="3E751959" w14:textId="77777777" w:rsidR="000D07EA" w:rsidRDefault="00BE7C89">
            <w:pPr>
              <w:pStyle w:val="BodyText"/>
              <w:spacing w:before="100" w:after="100"/>
            </w:pPr>
            <w:r>
              <w:t>(including calls to national fixed or mobile services that then divert/switch or re-route overseas)</w:t>
            </w:r>
          </w:p>
        </w:tc>
        <w:tc>
          <w:tcPr>
            <w:tcW w:w="2970" w:type="dxa"/>
          </w:tcPr>
          <w:p w14:paraId="2D5A3896" w14:textId="77777777" w:rsidR="000D07EA" w:rsidRDefault="00BE7C89">
            <w:pPr>
              <w:pStyle w:val="BodyText"/>
              <w:spacing w:before="100" w:after="100"/>
            </w:pPr>
            <w:r>
              <w:t xml:space="preserve">No </w:t>
            </w:r>
          </w:p>
        </w:tc>
      </w:tr>
      <w:tr w:rsidR="000D07EA" w14:paraId="7AD1057F" w14:textId="77777777">
        <w:trPr>
          <w:trHeight w:val="58"/>
        </w:trPr>
        <w:tc>
          <w:tcPr>
            <w:tcW w:w="5875" w:type="dxa"/>
          </w:tcPr>
          <w:p w14:paraId="3064DACA" w14:textId="77777777" w:rsidR="000D07EA" w:rsidRDefault="00BE7C89">
            <w:pPr>
              <w:pStyle w:val="BodyText"/>
              <w:spacing w:before="100" w:after="100"/>
            </w:pPr>
            <w:r>
              <w:t>Premium Video</w:t>
            </w:r>
          </w:p>
        </w:tc>
        <w:tc>
          <w:tcPr>
            <w:tcW w:w="2970" w:type="dxa"/>
          </w:tcPr>
          <w:p w14:paraId="282A5379" w14:textId="77777777" w:rsidR="000D07EA" w:rsidRDefault="00BE7C89">
            <w:pPr>
              <w:pStyle w:val="BodyText"/>
              <w:spacing w:before="100" w:after="100"/>
            </w:pPr>
            <w:r>
              <w:t>No</w:t>
            </w:r>
          </w:p>
        </w:tc>
      </w:tr>
      <w:tr w:rsidR="000D07EA" w14:paraId="540AAA2C" w14:textId="77777777">
        <w:trPr>
          <w:trHeight w:val="20"/>
        </w:trPr>
        <w:tc>
          <w:tcPr>
            <w:tcW w:w="5875" w:type="dxa"/>
          </w:tcPr>
          <w:p w14:paraId="3FCCD059" w14:textId="77777777" w:rsidR="000D07EA" w:rsidRDefault="00BE7C89">
            <w:pPr>
              <w:pStyle w:val="BodyText"/>
              <w:spacing w:before="100" w:after="100"/>
            </w:pPr>
            <w:r>
              <w:t>Content Video</w:t>
            </w:r>
          </w:p>
        </w:tc>
        <w:tc>
          <w:tcPr>
            <w:tcW w:w="2970" w:type="dxa"/>
          </w:tcPr>
          <w:p w14:paraId="2F61BFDF" w14:textId="77777777" w:rsidR="000D07EA" w:rsidRDefault="00BE7C89">
            <w:pPr>
              <w:pStyle w:val="BodyText"/>
              <w:spacing w:before="100" w:after="100"/>
            </w:pPr>
            <w:r>
              <w:t>No</w:t>
            </w:r>
          </w:p>
        </w:tc>
      </w:tr>
      <w:tr w:rsidR="000D07EA" w14:paraId="44708925" w14:textId="77777777">
        <w:trPr>
          <w:trHeight w:val="20"/>
        </w:trPr>
        <w:tc>
          <w:tcPr>
            <w:tcW w:w="5875" w:type="dxa"/>
          </w:tcPr>
          <w:p w14:paraId="382F43DC" w14:textId="77777777" w:rsidR="000D07EA" w:rsidRDefault="00BE7C89">
            <w:pPr>
              <w:pStyle w:val="BodyText"/>
              <w:spacing w:before="100" w:after="100"/>
            </w:pPr>
            <w:r>
              <w:t>Standard National SMS</w:t>
            </w:r>
          </w:p>
        </w:tc>
        <w:tc>
          <w:tcPr>
            <w:tcW w:w="2970" w:type="dxa"/>
          </w:tcPr>
          <w:p w14:paraId="084B1BA7" w14:textId="77777777" w:rsidR="000D07EA" w:rsidRDefault="00BE7C89">
            <w:pPr>
              <w:pStyle w:val="BodyText"/>
              <w:spacing w:before="100" w:after="100"/>
            </w:pPr>
            <w:r>
              <w:t>No</w:t>
            </w:r>
          </w:p>
        </w:tc>
      </w:tr>
      <w:tr w:rsidR="000D07EA" w14:paraId="5D03D152" w14:textId="77777777">
        <w:trPr>
          <w:trHeight w:val="20"/>
        </w:trPr>
        <w:tc>
          <w:tcPr>
            <w:tcW w:w="5875" w:type="dxa"/>
          </w:tcPr>
          <w:p w14:paraId="2C4A221D" w14:textId="77777777" w:rsidR="000D07EA" w:rsidRDefault="00BE7C89">
            <w:pPr>
              <w:pStyle w:val="BodyText"/>
              <w:spacing w:before="100" w:after="100"/>
            </w:pPr>
            <w:r>
              <w:t>International SMS</w:t>
            </w:r>
          </w:p>
        </w:tc>
        <w:tc>
          <w:tcPr>
            <w:tcW w:w="2970" w:type="dxa"/>
          </w:tcPr>
          <w:p w14:paraId="330B8BED" w14:textId="77777777" w:rsidR="000D07EA" w:rsidRDefault="00BE7C89">
            <w:pPr>
              <w:pStyle w:val="BodyText"/>
              <w:spacing w:before="100" w:after="100"/>
            </w:pPr>
            <w:r>
              <w:t>No</w:t>
            </w:r>
          </w:p>
        </w:tc>
      </w:tr>
      <w:tr w:rsidR="000D07EA" w14:paraId="06777D03" w14:textId="77777777">
        <w:trPr>
          <w:trHeight w:val="20"/>
        </w:trPr>
        <w:tc>
          <w:tcPr>
            <w:tcW w:w="5875" w:type="dxa"/>
          </w:tcPr>
          <w:p w14:paraId="768228E7" w14:textId="77777777" w:rsidR="000D07EA" w:rsidRDefault="00BE7C89">
            <w:pPr>
              <w:pStyle w:val="BodyText"/>
              <w:spacing w:before="100" w:after="100"/>
            </w:pPr>
            <w:r>
              <w:t>Premium SMS</w:t>
            </w:r>
          </w:p>
        </w:tc>
        <w:tc>
          <w:tcPr>
            <w:tcW w:w="2970" w:type="dxa"/>
          </w:tcPr>
          <w:p w14:paraId="7A681841" w14:textId="77777777" w:rsidR="000D07EA" w:rsidRDefault="00BE7C89">
            <w:pPr>
              <w:pStyle w:val="BodyText"/>
              <w:spacing w:before="100" w:after="100"/>
            </w:pPr>
            <w:r>
              <w:t>No</w:t>
            </w:r>
          </w:p>
        </w:tc>
      </w:tr>
      <w:tr w:rsidR="000D07EA" w14:paraId="5CB54E09" w14:textId="77777777">
        <w:trPr>
          <w:trHeight w:val="20"/>
        </w:trPr>
        <w:tc>
          <w:tcPr>
            <w:tcW w:w="5875" w:type="dxa"/>
          </w:tcPr>
          <w:p w14:paraId="31039842" w14:textId="77777777" w:rsidR="000D07EA" w:rsidRDefault="00BE7C89">
            <w:pPr>
              <w:pStyle w:val="BodyText"/>
              <w:spacing w:before="100" w:after="100"/>
            </w:pPr>
            <w:r>
              <w:t>National Standard MMS</w:t>
            </w:r>
          </w:p>
        </w:tc>
        <w:tc>
          <w:tcPr>
            <w:tcW w:w="2970" w:type="dxa"/>
          </w:tcPr>
          <w:p w14:paraId="71F4F058" w14:textId="77777777" w:rsidR="000D07EA" w:rsidRDefault="00BE7C89">
            <w:pPr>
              <w:pStyle w:val="BodyText"/>
              <w:spacing w:before="100" w:after="100"/>
            </w:pPr>
            <w:r>
              <w:t>No</w:t>
            </w:r>
          </w:p>
        </w:tc>
      </w:tr>
      <w:tr w:rsidR="000D07EA" w14:paraId="7D411547" w14:textId="77777777">
        <w:trPr>
          <w:trHeight w:val="20"/>
        </w:trPr>
        <w:tc>
          <w:tcPr>
            <w:tcW w:w="5875" w:type="dxa"/>
          </w:tcPr>
          <w:p w14:paraId="327FA907" w14:textId="77777777" w:rsidR="000D07EA" w:rsidRDefault="00BE7C89">
            <w:pPr>
              <w:pStyle w:val="BodyText"/>
              <w:spacing w:before="100" w:after="100"/>
            </w:pPr>
            <w:r>
              <w:t>International MMS</w:t>
            </w:r>
          </w:p>
        </w:tc>
        <w:tc>
          <w:tcPr>
            <w:tcW w:w="2970" w:type="dxa"/>
          </w:tcPr>
          <w:p w14:paraId="668451C0" w14:textId="77777777" w:rsidR="000D07EA" w:rsidRDefault="00BE7C89">
            <w:pPr>
              <w:pStyle w:val="BodyText"/>
              <w:spacing w:before="100" w:after="100"/>
            </w:pPr>
            <w:r>
              <w:t>No</w:t>
            </w:r>
          </w:p>
        </w:tc>
      </w:tr>
      <w:tr w:rsidR="000D07EA" w14:paraId="0D5789D1" w14:textId="77777777">
        <w:trPr>
          <w:trHeight w:val="20"/>
        </w:trPr>
        <w:tc>
          <w:tcPr>
            <w:tcW w:w="5875" w:type="dxa"/>
          </w:tcPr>
          <w:p w14:paraId="44DA3F87" w14:textId="77777777" w:rsidR="000D07EA" w:rsidRDefault="00BE7C89">
            <w:pPr>
              <w:pStyle w:val="BodyText"/>
              <w:spacing w:before="100" w:after="100"/>
            </w:pPr>
            <w:r>
              <w:t>Premium MMS</w:t>
            </w:r>
          </w:p>
        </w:tc>
        <w:tc>
          <w:tcPr>
            <w:tcW w:w="2970" w:type="dxa"/>
          </w:tcPr>
          <w:p w14:paraId="03C3E5E7" w14:textId="77777777" w:rsidR="000D07EA" w:rsidRDefault="00BE7C89">
            <w:pPr>
              <w:pStyle w:val="BodyText"/>
              <w:spacing w:before="100" w:after="100"/>
            </w:pPr>
            <w:r>
              <w:t>No</w:t>
            </w:r>
          </w:p>
        </w:tc>
      </w:tr>
      <w:tr w:rsidR="000D07EA" w14:paraId="7283B3A5" w14:textId="77777777">
        <w:trPr>
          <w:trHeight w:val="20"/>
        </w:trPr>
        <w:tc>
          <w:tcPr>
            <w:tcW w:w="5875" w:type="dxa"/>
          </w:tcPr>
          <w:p w14:paraId="724EC18F" w14:textId="77777777" w:rsidR="000D07EA" w:rsidRDefault="00BE7C89">
            <w:pPr>
              <w:pStyle w:val="BodyText"/>
              <w:spacing w:before="100" w:after="100"/>
            </w:pPr>
            <w:r>
              <w:t>National Diversions</w:t>
            </w:r>
          </w:p>
        </w:tc>
        <w:tc>
          <w:tcPr>
            <w:tcW w:w="2970" w:type="dxa"/>
          </w:tcPr>
          <w:p w14:paraId="52647259" w14:textId="77777777" w:rsidR="000D07EA" w:rsidRDefault="00BE7C89">
            <w:pPr>
              <w:pStyle w:val="BodyText"/>
              <w:spacing w:before="100" w:after="100"/>
            </w:pPr>
            <w:r>
              <w:t>No</w:t>
            </w:r>
          </w:p>
        </w:tc>
      </w:tr>
      <w:tr w:rsidR="000D07EA" w14:paraId="66D5E324" w14:textId="77777777">
        <w:trPr>
          <w:trHeight w:val="20"/>
        </w:trPr>
        <w:tc>
          <w:tcPr>
            <w:tcW w:w="5875" w:type="dxa"/>
          </w:tcPr>
          <w:p w14:paraId="418FAFB0" w14:textId="77777777" w:rsidR="000D07EA" w:rsidRDefault="00BE7C89">
            <w:pPr>
              <w:pStyle w:val="BodyText"/>
              <w:spacing w:before="100" w:after="100"/>
            </w:pPr>
            <w:r>
              <w:t>Voicemail Deposit and Retrievals</w:t>
            </w:r>
          </w:p>
        </w:tc>
        <w:tc>
          <w:tcPr>
            <w:tcW w:w="2970" w:type="dxa"/>
          </w:tcPr>
          <w:p w14:paraId="4053B865" w14:textId="77777777" w:rsidR="000D07EA" w:rsidRDefault="00BE7C89">
            <w:pPr>
              <w:pStyle w:val="BodyText"/>
              <w:spacing w:before="100" w:after="100"/>
            </w:pPr>
            <w:r>
              <w:t>No</w:t>
            </w:r>
          </w:p>
        </w:tc>
      </w:tr>
      <w:tr w:rsidR="000D07EA" w14:paraId="759DB9CB" w14:textId="77777777">
        <w:trPr>
          <w:trHeight w:val="20"/>
        </w:trPr>
        <w:tc>
          <w:tcPr>
            <w:tcW w:w="5875" w:type="dxa"/>
          </w:tcPr>
          <w:p w14:paraId="3677BDDC" w14:textId="77777777" w:rsidR="000D07EA" w:rsidRDefault="00BE7C89">
            <w:pPr>
              <w:pStyle w:val="BodyText"/>
              <w:spacing w:before="100" w:after="100"/>
            </w:pPr>
            <w:r>
              <w:t>International Roaming and Diversion</w:t>
            </w:r>
          </w:p>
        </w:tc>
        <w:tc>
          <w:tcPr>
            <w:tcW w:w="2970" w:type="dxa"/>
          </w:tcPr>
          <w:p w14:paraId="2ABB7C56" w14:textId="77777777" w:rsidR="000D07EA" w:rsidRDefault="00BE7C89">
            <w:pPr>
              <w:pStyle w:val="BodyText"/>
              <w:spacing w:before="100" w:after="100"/>
            </w:pPr>
            <w:r>
              <w:t>No</w:t>
            </w:r>
          </w:p>
        </w:tc>
      </w:tr>
      <w:tr w:rsidR="000D07EA" w14:paraId="7EDF6762" w14:textId="77777777">
        <w:trPr>
          <w:trHeight w:val="20"/>
        </w:trPr>
        <w:tc>
          <w:tcPr>
            <w:tcW w:w="5875" w:type="dxa"/>
          </w:tcPr>
          <w:p w14:paraId="3EED96AF" w14:textId="77777777" w:rsidR="000D07EA" w:rsidRDefault="00BE7C89">
            <w:pPr>
              <w:pStyle w:val="BodyText"/>
              <w:spacing w:before="100" w:after="100"/>
            </w:pPr>
            <w:r>
              <w:t>Video Conferencing</w:t>
            </w:r>
          </w:p>
        </w:tc>
        <w:tc>
          <w:tcPr>
            <w:tcW w:w="2970" w:type="dxa"/>
          </w:tcPr>
          <w:p w14:paraId="3BBA8DD1" w14:textId="77777777" w:rsidR="000D07EA" w:rsidRDefault="00BE7C89">
            <w:pPr>
              <w:pStyle w:val="BodyText"/>
              <w:spacing w:before="100" w:after="100"/>
            </w:pPr>
            <w:r>
              <w:t>No</w:t>
            </w:r>
          </w:p>
        </w:tc>
      </w:tr>
      <w:tr w:rsidR="000D07EA" w14:paraId="08412A66" w14:textId="77777777">
        <w:trPr>
          <w:trHeight w:val="20"/>
        </w:trPr>
        <w:tc>
          <w:tcPr>
            <w:tcW w:w="5875" w:type="dxa"/>
          </w:tcPr>
          <w:p w14:paraId="5B8E2059" w14:textId="77777777" w:rsidR="000D07EA" w:rsidRDefault="00BE7C89">
            <w:pPr>
              <w:pStyle w:val="BodyText"/>
              <w:spacing w:before="100" w:after="100"/>
            </w:pPr>
            <w:r>
              <w:t>Optus Zoo and iZoo Browsing*</w:t>
            </w:r>
          </w:p>
        </w:tc>
        <w:tc>
          <w:tcPr>
            <w:tcW w:w="2970" w:type="dxa"/>
          </w:tcPr>
          <w:p w14:paraId="767BD902" w14:textId="77777777" w:rsidR="000D07EA" w:rsidRDefault="00BE7C89">
            <w:pPr>
              <w:pStyle w:val="BodyText"/>
              <w:spacing w:before="100" w:after="100"/>
            </w:pPr>
            <w:r>
              <w:t>Yes, up to the monthly included data amount specified in Table 2A.</w:t>
            </w:r>
          </w:p>
        </w:tc>
      </w:tr>
      <w:tr w:rsidR="000D07EA" w14:paraId="75CE3C29" w14:textId="77777777">
        <w:trPr>
          <w:trHeight w:val="20"/>
        </w:trPr>
        <w:tc>
          <w:tcPr>
            <w:tcW w:w="5875" w:type="dxa"/>
          </w:tcPr>
          <w:p w14:paraId="47044A85" w14:textId="77777777" w:rsidR="000D07EA" w:rsidRDefault="00BE7C89">
            <w:pPr>
              <w:pStyle w:val="BodyText"/>
              <w:spacing w:before="100" w:after="100"/>
            </w:pPr>
            <w:r>
              <w:t>Optus Zoo and iZoo Downloads</w:t>
            </w:r>
          </w:p>
        </w:tc>
        <w:tc>
          <w:tcPr>
            <w:tcW w:w="2970" w:type="dxa"/>
          </w:tcPr>
          <w:p w14:paraId="0AABA464" w14:textId="77777777" w:rsidR="000D07EA" w:rsidRDefault="00BE7C89">
            <w:pPr>
              <w:pStyle w:val="BodyText"/>
              <w:spacing w:before="100" w:after="100"/>
            </w:pPr>
            <w:r>
              <w:t>No</w:t>
            </w:r>
          </w:p>
        </w:tc>
      </w:tr>
      <w:tr w:rsidR="000D07EA" w14:paraId="028F89F2" w14:textId="77777777">
        <w:trPr>
          <w:trHeight w:val="20"/>
        </w:trPr>
        <w:tc>
          <w:tcPr>
            <w:tcW w:w="5875" w:type="dxa"/>
          </w:tcPr>
          <w:p w14:paraId="03E6D4B4" w14:textId="77777777" w:rsidR="000D07EA" w:rsidRDefault="00BE7C89">
            <w:pPr>
              <w:pStyle w:val="BodyText"/>
              <w:spacing w:before="100" w:after="100"/>
            </w:pPr>
            <w:r>
              <w:lastRenderedPageBreak/>
              <w:t>SMS to 966 (Zoo)</w:t>
            </w:r>
          </w:p>
        </w:tc>
        <w:tc>
          <w:tcPr>
            <w:tcW w:w="2970" w:type="dxa"/>
          </w:tcPr>
          <w:p w14:paraId="497AAEC5" w14:textId="77777777" w:rsidR="000D07EA" w:rsidRDefault="00BE7C89">
            <w:pPr>
              <w:pStyle w:val="BodyText"/>
              <w:spacing w:before="100" w:after="100"/>
            </w:pPr>
            <w:r>
              <w:t>No</w:t>
            </w:r>
          </w:p>
        </w:tc>
      </w:tr>
      <w:tr w:rsidR="000D07EA" w14:paraId="1BD08E9D" w14:textId="77777777">
        <w:trPr>
          <w:trHeight w:val="20"/>
        </w:trPr>
        <w:tc>
          <w:tcPr>
            <w:tcW w:w="5875" w:type="dxa"/>
          </w:tcPr>
          <w:p w14:paraId="57ABBC3D" w14:textId="77777777" w:rsidR="000D07EA" w:rsidRDefault="00BE7C89">
            <w:pPr>
              <w:pStyle w:val="BodyText"/>
              <w:spacing w:before="100" w:after="100"/>
            </w:pPr>
            <w:r>
              <w:t>Mobile Internet usage*</w:t>
            </w:r>
          </w:p>
        </w:tc>
        <w:tc>
          <w:tcPr>
            <w:tcW w:w="2970" w:type="dxa"/>
          </w:tcPr>
          <w:p w14:paraId="72615A42" w14:textId="77777777" w:rsidR="000D07EA" w:rsidRDefault="00BE7C89">
            <w:pPr>
              <w:pStyle w:val="BodyText"/>
              <w:spacing w:before="100" w:after="100"/>
            </w:pPr>
            <w:r>
              <w:t>Yes, up to the monthly included data amount specified in Table 2A.</w:t>
            </w:r>
          </w:p>
        </w:tc>
      </w:tr>
      <w:tr w:rsidR="000D07EA" w14:paraId="55EF49CD" w14:textId="77777777">
        <w:trPr>
          <w:trHeight w:val="20"/>
        </w:trPr>
        <w:tc>
          <w:tcPr>
            <w:tcW w:w="5875" w:type="dxa"/>
          </w:tcPr>
          <w:p w14:paraId="2AFBE199" w14:textId="77777777" w:rsidR="000D07EA" w:rsidRDefault="00BE7C89">
            <w:pPr>
              <w:pStyle w:val="BodyText"/>
              <w:spacing w:before="100" w:after="100"/>
            </w:pPr>
            <w:r>
              <w:t>Mobile as Modem</w:t>
            </w:r>
          </w:p>
        </w:tc>
        <w:tc>
          <w:tcPr>
            <w:tcW w:w="2970" w:type="dxa"/>
          </w:tcPr>
          <w:p w14:paraId="1C0A65C7" w14:textId="77777777" w:rsidR="000D07EA" w:rsidRDefault="00BE7C89">
            <w:pPr>
              <w:pStyle w:val="BodyText"/>
              <w:spacing w:before="100" w:after="100"/>
            </w:pPr>
            <w:r>
              <w:t>Yes</w:t>
            </w:r>
          </w:p>
        </w:tc>
      </w:tr>
      <w:tr w:rsidR="000D07EA" w14:paraId="0CB9C8F4" w14:textId="77777777">
        <w:trPr>
          <w:trHeight w:val="20"/>
        </w:trPr>
        <w:tc>
          <w:tcPr>
            <w:tcW w:w="5875" w:type="dxa"/>
          </w:tcPr>
          <w:p w14:paraId="57EF1463" w14:textId="77777777" w:rsidR="000D07EA" w:rsidRDefault="00BE7C89">
            <w:pPr>
              <w:pStyle w:val="BodyText"/>
              <w:spacing w:before="100" w:after="100"/>
            </w:pPr>
            <w:r>
              <w:t>Data Used while Roaming Internationally</w:t>
            </w:r>
          </w:p>
        </w:tc>
        <w:tc>
          <w:tcPr>
            <w:tcW w:w="2970" w:type="dxa"/>
          </w:tcPr>
          <w:p w14:paraId="09EE0EC8" w14:textId="77777777" w:rsidR="000D07EA" w:rsidRDefault="00BE7C89">
            <w:pPr>
              <w:pStyle w:val="BodyText"/>
              <w:spacing w:before="100" w:after="100"/>
            </w:pPr>
            <w:r>
              <w:t>No</w:t>
            </w:r>
          </w:p>
        </w:tc>
      </w:tr>
      <w:tr w:rsidR="000D07EA" w14:paraId="7B9F18B6" w14:textId="77777777">
        <w:trPr>
          <w:trHeight w:val="20"/>
        </w:trPr>
        <w:tc>
          <w:tcPr>
            <w:tcW w:w="5875" w:type="dxa"/>
          </w:tcPr>
          <w:p w14:paraId="4E5EF841" w14:textId="77777777" w:rsidR="000D07EA" w:rsidRDefault="00BE7C89">
            <w:pPr>
              <w:pStyle w:val="BodyText"/>
              <w:spacing w:before="100" w:after="100"/>
            </w:pPr>
            <w:r>
              <w:t xml:space="preserve">Content Packs </w:t>
            </w:r>
          </w:p>
        </w:tc>
        <w:tc>
          <w:tcPr>
            <w:tcW w:w="2970" w:type="dxa"/>
          </w:tcPr>
          <w:p w14:paraId="2C66B79F" w14:textId="77777777" w:rsidR="000D07EA" w:rsidRDefault="00BE7C89">
            <w:pPr>
              <w:pStyle w:val="BodyText"/>
              <w:spacing w:before="100" w:after="100"/>
            </w:pPr>
            <w:r>
              <w:t>No</w:t>
            </w:r>
          </w:p>
        </w:tc>
      </w:tr>
      <w:tr w:rsidR="000D07EA" w14:paraId="0BC2AB5E" w14:textId="77777777">
        <w:trPr>
          <w:trHeight w:val="20"/>
        </w:trPr>
        <w:tc>
          <w:tcPr>
            <w:tcW w:w="5875" w:type="dxa"/>
          </w:tcPr>
          <w:p w14:paraId="21840909" w14:textId="77777777" w:rsidR="000D07EA" w:rsidRDefault="00BE7C89">
            <w:pPr>
              <w:pStyle w:val="BodyText"/>
              <w:spacing w:before="100" w:after="100"/>
            </w:pPr>
            <w:r>
              <w:t>TrueLocal Usage</w:t>
            </w:r>
          </w:p>
        </w:tc>
        <w:tc>
          <w:tcPr>
            <w:tcW w:w="2970" w:type="dxa"/>
          </w:tcPr>
          <w:p w14:paraId="615B6F1E" w14:textId="77777777" w:rsidR="000D07EA" w:rsidRDefault="00BE7C89">
            <w:pPr>
              <w:pStyle w:val="BodyText"/>
              <w:spacing w:before="100" w:after="100"/>
            </w:pPr>
            <w:r>
              <w:t>No</w:t>
            </w:r>
          </w:p>
        </w:tc>
      </w:tr>
      <w:tr w:rsidR="000D07EA" w14:paraId="7F6FAD46" w14:textId="77777777">
        <w:trPr>
          <w:trHeight w:val="20"/>
        </w:trPr>
        <w:tc>
          <w:tcPr>
            <w:tcW w:w="5875" w:type="dxa"/>
          </w:tcPr>
          <w:p w14:paraId="4634E3FB" w14:textId="77777777" w:rsidR="000D07EA" w:rsidRDefault="00BE7C89">
            <w:pPr>
              <w:pStyle w:val="BodyText"/>
              <w:spacing w:before="100" w:after="100"/>
            </w:pPr>
            <w:r>
              <w:t xml:space="preserve">Directory Assistance- 1223 </w:t>
            </w:r>
          </w:p>
        </w:tc>
        <w:tc>
          <w:tcPr>
            <w:tcW w:w="2970" w:type="dxa"/>
          </w:tcPr>
          <w:p w14:paraId="761ADBD0" w14:textId="77777777" w:rsidR="000D07EA" w:rsidRDefault="00BE7C89">
            <w:pPr>
              <w:pStyle w:val="BodyText"/>
              <w:spacing w:before="100" w:after="100"/>
            </w:pPr>
            <w:r>
              <w:t>No</w:t>
            </w:r>
          </w:p>
        </w:tc>
      </w:tr>
      <w:tr w:rsidR="000D07EA" w14:paraId="5971E6C4" w14:textId="77777777">
        <w:trPr>
          <w:trHeight w:val="20"/>
        </w:trPr>
        <w:tc>
          <w:tcPr>
            <w:tcW w:w="5875" w:type="dxa"/>
          </w:tcPr>
          <w:p w14:paraId="7A575A3A" w14:textId="77777777" w:rsidR="000D07EA" w:rsidRDefault="00BE7C89">
            <w:pPr>
              <w:pStyle w:val="BodyText"/>
              <w:spacing w:before="100" w:after="100"/>
            </w:pPr>
            <w:r>
              <w:t>19XX Numbers</w:t>
            </w:r>
          </w:p>
        </w:tc>
        <w:tc>
          <w:tcPr>
            <w:tcW w:w="2970" w:type="dxa"/>
          </w:tcPr>
          <w:p w14:paraId="042D5065" w14:textId="77777777" w:rsidR="000D07EA" w:rsidRDefault="00BE7C89">
            <w:pPr>
              <w:pStyle w:val="BodyText"/>
              <w:spacing w:before="100" w:after="100"/>
            </w:pPr>
            <w:r>
              <w:t>No</w:t>
            </w:r>
          </w:p>
        </w:tc>
      </w:tr>
      <w:tr w:rsidR="000D07EA" w14:paraId="650BD410" w14:textId="77777777">
        <w:trPr>
          <w:trHeight w:val="20"/>
        </w:trPr>
        <w:tc>
          <w:tcPr>
            <w:tcW w:w="5875" w:type="dxa"/>
          </w:tcPr>
          <w:p w14:paraId="01AED043" w14:textId="77777777" w:rsidR="000D07EA" w:rsidRDefault="00BE7C89">
            <w:pPr>
              <w:pStyle w:val="BodyText"/>
              <w:spacing w:before="100" w:after="100"/>
            </w:pPr>
            <w:r>
              <w:t>1800, 13 and 1300 numbers</w:t>
            </w:r>
          </w:p>
        </w:tc>
        <w:tc>
          <w:tcPr>
            <w:tcW w:w="2970" w:type="dxa"/>
          </w:tcPr>
          <w:p w14:paraId="2A7852C3" w14:textId="77777777" w:rsidR="000D07EA" w:rsidRDefault="00BE7C89">
            <w:pPr>
              <w:pStyle w:val="BodyText"/>
              <w:spacing w:before="100" w:after="100"/>
            </w:pPr>
            <w:r>
              <w:t>No</w:t>
            </w:r>
          </w:p>
        </w:tc>
      </w:tr>
      <w:tr w:rsidR="000D07EA" w14:paraId="6263701D" w14:textId="77777777">
        <w:trPr>
          <w:trHeight w:val="20"/>
        </w:trPr>
        <w:tc>
          <w:tcPr>
            <w:tcW w:w="5875" w:type="dxa"/>
          </w:tcPr>
          <w:p w14:paraId="11D356C3" w14:textId="77777777" w:rsidR="000D07EA" w:rsidRDefault="00BE7C89">
            <w:pPr>
              <w:pStyle w:val="BodyText"/>
              <w:spacing w:before="100" w:after="100"/>
            </w:pPr>
            <w:r>
              <w:t>124YES(937)</w:t>
            </w:r>
          </w:p>
        </w:tc>
        <w:tc>
          <w:tcPr>
            <w:tcW w:w="2970" w:type="dxa"/>
          </w:tcPr>
          <w:p w14:paraId="73B42E5C" w14:textId="77777777" w:rsidR="000D07EA" w:rsidRDefault="00BE7C89">
            <w:pPr>
              <w:pStyle w:val="BodyText"/>
              <w:spacing w:before="100" w:after="100"/>
            </w:pPr>
            <w:r>
              <w:t>No</w:t>
            </w:r>
          </w:p>
        </w:tc>
      </w:tr>
      <w:tr w:rsidR="000D07EA" w14:paraId="03FEDFC2" w14:textId="77777777">
        <w:trPr>
          <w:trHeight w:val="20"/>
        </w:trPr>
        <w:tc>
          <w:tcPr>
            <w:tcW w:w="5875" w:type="dxa"/>
          </w:tcPr>
          <w:p w14:paraId="1BD0E992" w14:textId="77777777" w:rsidR="000D07EA" w:rsidRDefault="00BE7C89">
            <w:pPr>
              <w:pStyle w:val="BodyText"/>
              <w:spacing w:before="100" w:after="100"/>
            </w:pPr>
            <w:r>
              <w:t>Push To Talk (PTT) (this service is no longer available from 4 November 2010)</w:t>
            </w:r>
          </w:p>
        </w:tc>
        <w:tc>
          <w:tcPr>
            <w:tcW w:w="2970" w:type="dxa"/>
          </w:tcPr>
          <w:p w14:paraId="389D4222" w14:textId="77777777" w:rsidR="000D07EA" w:rsidRDefault="00BE7C89">
            <w:pPr>
              <w:pStyle w:val="BodyText"/>
              <w:spacing w:before="100" w:after="100"/>
            </w:pPr>
            <w:r>
              <w:t>No</w:t>
            </w:r>
          </w:p>
        </w:tc>
      </w:tr>
      <w:tr w:rsidR="000D07EA" w14:paraId="67951EE5" w14:textId="77777777">
        <w:trPr>
          <w:trHeight w:val="20"/>
        </w:trPr>
        <w:tc>
          <w:tcPr>
            <w:tcW w:w="5875" w:type="dxa"/>
          </w:tcPr>
          <w:p w14:paraId="63DABAF0" w14:textId="77777777" w:rsidR="000D07EA" w:rsidRDefault="00BE7C89">
            <w:pPr>
              <w:pStyle w:val="BodyText"/>
              <w:spacing w:before="100" w:after="100"/>
            </w:pPr>
            <w:r>
              <w:t>Calls to Satellite</w:t>
            </w:r>
          </w:p>
        </w:tc>
        <w:tc>
          <w:tcPr>
            <w:tcW w:w="2970" w:type="dxa"/>
          </w:tcPr>
          <w:p w14:paraId="5942827F" w14:textId="77777777" w:rsidR="000D07EA" w:rsidRDefault="00BE7C89">
            <w:pPr>
              <w:pStyle w:val="BodyText"/>
              <w:spacing w:before="100" w:after="100"/>
            </w:pPr>
            <w:r>
              <w:t>No</w:t>
            </w:r>
          </w:p>
        </w:tc>
      </w:tr>
      <w:tr w:rsidR="000D07EA" w14:paraId="21A04F65" w14:textId="77777777">
        <w:trPr>
          <w:trHeight w:val="20"/>
        </w:trPr>
        <w:tc>
          <w:tcPr>
            <w:tcW w:w="5875" w:type="dxa"/>
          </w:tcPr>
          <w:p w14:paraId="5ECF3272" w14:textId="77777777" w:rsidR="000D07EA" w:rsidRDefault="00BE7C89">
            <w:pPr>
              <w:pStyle w:val="BodyText"/>
              <w:spacing w:before="100" w:after="100"/>
            </w:pPr>
            <w:r>
              <w:t>VOIP services</w:t>
            </w:r>
          </w:p>
        </w:tc>
        <w:tc>
          <w:tcPr>
            <w:tcW w:w="2970" w:type="dxa"/>
          </w:tcPr>
          <w:p w14:paraId="4DCF37E6" w14:textId="77777777" w:rsidR="000D07EA" w:rsidRDefault="00BE7C89">
            <w:pPr>
              <w:pStyle w:val="BodyText"/>
              <w:spacing w:before="100" w:after="100"/>
            </w:pPr>
            <w:r>
              <w:t>No</w:t>
            </w:r>
          </w:p>
        </w:tc>
      </w:tr>
      <w:tr w:rsidR="000D07EA" w14:paraId="712929AE" w14:textId="77777777">
        <w:trPr>
          <w:trHeight w:val="20"/>
        </w:trPr>
        <w:tc>
          <w:tcPr>
            <w:tcW w:w="5875" w:type="dxa"/>
          </w:tcPr>
          <w:p w14:paraId="1E128B31" w14:textId="77777777" w:rsidR="000D07EA" w:rsidRDefault="00BE7C89">
            <w:pPr>
              <w:pStyle w:val="BodyText"/>
              <w:spacing w:before="100" w:after="100"/>
            </w:pPr>
            <w:r>
              <w:t>Surepage</w:t>
            </w:r>
          </w:p>
        </w:tc>
        <w:tc>
          <w:tcPr>
            <w:tcW w:w="2970" w:type="dxa"/>
          </w:tcPr>
          <w:p w14:paraId="4872A4CD" w14:textId="77777777" w:rsidR="000D07EA" w:rsidRDefault="00BE7C89">
            <w:pPr>
              <w:pStyle w:val="BodyText"/>
              <w:spacing w:before="100" w:after="100"/>
            </w:pPr>
            <w:r>
              <w:t>No</w:t>
            </w:r>
          </w:p>
        </w:tc>
      </w:tr>
    </w:tbl>
    <w:p w14:paraId="5330F6EA" w14:textId="77777777" w:rsidR="000D07EA" w:rsidRDefault="000D07EA">
      <w:pPr>
        <w:pStyle w:val="BodyText"/>
        <w:rPr>
          <w:b/>
        </w:rPr>
      </w:pPr>
    </w:p>
    <w:p w14:paraId="187D4ED8" w14:textId="77777777" w:rsidR="000D07EA" w:rsidRDefault="00BE7C89">
      <w:pPr>
        <w:pStyle w:val="BodyText"/>
        <w:ind w:left="720"/>
        <w:rPr>
          <w:b/>
        </w:rPr>
      </w:pPr>
      <w:r>
        <w:rPr>
          <w:b/>
        </w:rPr>
        <w:t xml:space="preserve">Table 1C – Eligible for Unlimited BlackBerry POP3 Email &amp; Browsing </w:t>
      </w:r>
    </w:p>
    <w:tbl>
      <w:tblPr>
        <w:tblW w:w="884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875"/>
        <w:gridCol w:w="2970"/>
      </w:tblGrid>
      <w:tr w:rsidR="000D07EA" w14:paraId="703D400F" w14:textId="77777777">
        <w:trPr>
          <w:trHeight w:val="20"/>
          <w:tblHeader/>
        </w:trPr>
        <w:tc>
          <w:tcPr>
            <w:tcW w:w="5875" w:type="dxa"/>
          </w:tcPr>
          <w:p w14:paraId="1A467429" w14:textId="77777777" w:rsidR="000D07EA" w:rsidRDefault="00BE7C89">
            <w:pPr>
              <w:pStyle w:val="BodyText"/>
              <w:spacing w:before="100" w:after="100"/>
              <w:jc w:val="center"/>
              <w:rPr>
                <w:b/>
              </w:rPr>
            </w:pPr>
            <w:r>
              <w:rPr>
                <w:b/>
              </w:rPr>
              <w:t>Call Type</w:t>
            </w:r>
          </w:p>
        </w:tc>
        <w:tc>
          <w:tcPr>
            <w:tcW w:w="2970" w:type="dxa"/>
          </w:tcPr>
          <w:p w14:paraId="1BE30B82" w14:textId="77777777" w:rsidR="000D07EA" w:rsidRDefault="00BE7C89">
            <w:pPr>
              <w:pStyle w:val="BodyText"/>
              <w:spacing w:before="100" w:after="100"/>
              <w:jc w:val="center"/>
              <w:rPr>
                <w:b/>
              </w:rPr>
            </w:pPr>
            <w:r>
              <w:rPr>
                <w:b/>
              </w:rPr>
              <w:t>Eligible Data</w:t>
            </w:r>
          </w:p>
        </w:tc>
      </w:tr>
      <w:tr w:rsidR="000D07EA" w14:paraId="167B61BE" w14:textId="77777777">
        <w:trPr>
          <w:trHeight w:val="20"/>
        </w:trPr>
        <w:tc>
          <w:tcPr>
            <w:tcW w:w="5875" w:type="dxa"/>
          </w:tcPr>
          <w:p w14:paraId="78CF6460" w14:textId="77777777" w:rsidR="000D07EA" w:rsidRDefault="00BE7C89">
            <w:pPr>
              <w:pStyle w:val="BodyText"/>
              <w:spacing w:before="100" w:after="100"/>
              <w:jc w:val="center"/>
            </w:pPr>
            <w:r>
              <w:t>BlackBerry Email (POP3)</w:t>
            </w:r>
          </w:p>
        </w:tc>
        <w:tc>
          <w:tcPr>
            <w:tcW w:w="2970" w:type="dxa"/>
          </w:tcPr>
          <w:p w14:paraId="474AAA7D" w14:textId="77777777" w:rsidR="000D07EA" w:rsidRDefault="00BE7C89">
            <w:pPr>
              <w:pStyle w:val="BodyText"/>
              <w:spacing w:before="100" w:after="100"/>
              <w:jc w:val="center"/>
            </w:pPr>
            <w:r>
              <w:t>Yes</w:t>
            </w:r>
          </w:p>
        </w:tc>
      </w:tr>
      <w:tr w:rsidR="000D07EA" w14:paraId="5A3BCC3C" w14:textId="77777777">
        <w:trPr>
          <w:trHeight w:val="20"/>
        </w:trPr>
        <w:tc>
          <w:tcPr>
            <w:tcW w:w="5875" w:type="dxa"/>
          </w:tcPr>
          <w:p w14:paraId="166171D2" w14:textId="77777777" w:rsidR="000D07EA" w:rsidRDefault="00BE7C89">
            <w:pPr>
              <w:pStyle w:val="BodyText"/>
              <w:spacing w:before="100" w:after="100"/>
              <w:jc w:val="center"/>
            </w:pPr>
            <w:r>
              <w:t>Internet Browsing through the BlackBerry Browser</w:t>
            </w:r>
          </w:p>
        </w:tc>
        <w:tc>
          <w:tcPr>
            <w:tcW w:w="2970" w:type="dxa"/>
          </w:tcPr>
          <w:p w14:paraId="335836D1" w14:textId="77777777" w:rsidR="000D07EA" w:rsidRDefault="00BE7C89">
            <w:pPr>
              <w:pStyle w:val="BodyText"/>
              <w:spacing w:before="100" w:after="100"/>
              <w:jc w:val="center"/>
            </w:pPr>
            <w:r>
              <w:t>Yes</w:t>
            </w:r>
          </w:p>
        </w:tc>
      </w:tr>
      <w:tr w:rsidR="000D07EA" w14:paraId="385BA31F" w14:textId="77777777">
        <w:trPr>
          <w:trHeight w:val="20"/>
        </w:trPr>
        <w:tc>
          <w:tcPr>
            <w:tcW w:w="5875" w:type="dxa"/>
          </w:tcPr>
          <w:p w14:paraId="4317119B" w14:textId="77777777" w:rsidR="000D07EA" w:rsidRDefault="00BE7C89">
            <w:pPr>
              <w:pStyle w:val="BodyText"/>
              <w:spacing w:before="100" w:after="100"/>
              <w:jc w:val="center"/>
            </w:pPr>
            <w:r>
              <w:t>Optus Zoo downloads and subscriptions</w:t>
            </w:r>
          </w:p>
        </w:tc>
        <w:tc>
          <w:tcPr>
            <w:tcW w:w="2970" w:type="dxa"/>
          </w:tcPr>
          <w:p w14:paraId="670B5227" w14:textId="77777777" w:rsidR="000D07EA" w:rsidRDefault="00BE7C89">
            <w:pPr>
              <w:pStyle w:val="BodyText"/>
              <w:spacing w:before="100" w:after="100"/>
              <w:jc w:val="center"/>
            </w:pPr>
            <w:r>
              <w:t>No</w:t>
            </w:r>
          </w:p>
        </w:tc>
      </w:tr>
      <w:tr w:rsidR="000D07EA" w14:paraId="7019C17B" w14:textId="77777777">
        <w:trPr>
          <w:trHeight w:val="20"/>
        </w:trPr>
        <w:tc>
          <w:tcPr>
            <w:tcW w:w="5875" w:type="dxa"/>
          </w:tcPr>
          <w:p w14:paraId="2E8DA6E4" w14:textId="77777777" w:rsidR="000D07EA" w:rsidRDefault="00BE7C89">
            <w:pPr>
              <w:pStyle w:val="BodyText"/>
              <w:spacing w:before="100" w:after="100"/>
              <w:jc w:val="center"/>
            </w:pPr>
            <w:r>
              <w:t>Optus Zoo GPRS WAP browsing</w:t>
            </w:r>
          </w:p>
        </w:tc>
        <w:tc>
          <w:tcPr>
            <w:tcW w:w="2970" w:type="dxa"/>
          </w:tcPr>
          <w:p w14:paraId="0B484F60" w14:textId="77777777" w:rsidR="000D07EA" w:rsidRDefault="00BE7C89">
            <w:pPr>
              <w:pStyle w:val="BodyText"/>
              <w:spacing w:before="100" w:after="100"/>
              <w:jc w:val="center"/>
            </w:pPr>
            <w:r>
              <w:t>No</w:t>
            </w:r>
          </w:p>
        </w:tc>
      </w:tr>
      <w:tr w:rsidR="000D07EA" w14:paraId="7EE074EF" w14:textId="77777777">
        <w:trPr>
          <w:trHeight w:val="20"/>
        </w:trPr>
        <w:tc>
          <w:tcPr>
            <w:tcW w:w="5875" w:type="dxa"/>
          </w:tcPr>
          <w:p w14:paraId="272080F3" w14:textId="77777777" w:rsidR="000D07EA" w:rsidRDefault="00BE7C89">
            <w:pPr>
              <w:pStyle w:val="BodyText"/>
              <w:spacing w:before="100" w:after="100"/>
              <w:jc w:val="center"/>
            </w:pPr>
            <w:r>
              <w:t>Applications from Optus and third party applications that require a BlackBerry Data connection</w:t>
            </w:r>
          </w:p>
        </w:tc>
        <w:tc>
          <w:tcPr>
            <w:tcW w:w="2970" w:type="dxa"/>
          </w:tcPr>
          <w:p w14:paraId="24FFA818" w14:textId="77777777" w:rsidR="000D07EA" w:rsidRDefault="00BE7C89">
            <w:pPr>
              <w:pStyle w:val="BodyText"/>
              <w:spacing w:before="100" w:after="100"/>
              <w:jc w:val="center"/>
            </w:pPr>
            <w:r>
              <w:t>Yes</w:t>
            </w:r>
          </w:p>
        </w:tc>
      </w:tr>
      <w:tr w:rsidR="000D07EA" w14:paraId="70D3B90E" w14:textId="77777777">
        <w:trPr>
          <w:trHeight w:val="20"/>
        </w:trPr>
        <w:tc>
          <w:tcPr>
            <w:tcW w:w="5875" w:type="dxa"/>
          </w:tcPr>
          <w:p w14:paraId="03F2FB53" w14:textId="77777777" w:rsidR="000D07EA" w:rsidRDefault="00BE7C89">
            <w:pPr>
              <w:pStyle w:val="BodyText"/>
              <w:spacing w:before="100" w:after="100"/>
              <w:jc w:val="center"/>
            </w:pPr>
            <w:r>
              <w:t>All other call types or usage</w:t>
            </w:r>
          </w:p>
        </w:tc>
        <w:tc>
          <w:tcPr>
            <w:tcW w:w="2970" w:type="dxa"/>
          </w:tcPr>
          <w:p w14:paraId="1BA0546E" w14:textId="77777777" w:rsidR="000D07EA" w:rsidRDefault="00BE7C89">
            <w:pPr>
              <w:pStyle w:val="BodyText"/>
              <w:spacing w:before="100" w:after="100"/>
              <w:jc w:val="center"/>
            </w:pPr>
            <w:r>
              <w:t>No</w:t>
            </w:r>
          </w:p>
        </w:tc>
      </w:tr>
    </w:tbl>
    <w:p w14:paraId="056F37AA" w14:textId="77777777" w:rsidR="000D07EA" w:rsidRDefault="000D07EA">
      <w:pPr>
        <w:pStyle w:val="BodyText"/>
      </w:pPr>
    </w:p>
    <w:p w14:paraId="16B725B0" w14:textId="77777777" w:rsidR="000D07EA" w:rsidRDefault="00BE7C89">
      <w:pPr>
        <w:pStyle w:val="BodyText"/>
        <w:ind w:left="720"/>
        <w:rPr>
          <w:b/>
        </w:rPr>
      </w:pPr>
      <w:r>
        <w:rPr>
          <w:b/>
        </w:rPr>
        <w:t>Table 1D – Eligible for the included International Value - $129 Business Timeless Plans</w:t>
      </w:r>
    </w:p>
    <w:tbl>
      <w:tblPr>
        <w:tblW w:w="884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875"/>
        <w:gridCol w:w="2970"/>
      </w:tblGrid>
      <w:tr w:rsidR="000D07EA" w14:paraId="68813DE0" w14:textId="77777777">
        <w:trPr>
          <w:trHeight w:val="20"/>
          <w:tblHeader/>
        </w:trPr>
        <w:tc>
          <w:tcPr>
            <w:tcW w:w="5875" w:type="dxa"/>
          </w:tcPr>
          <w:p w14:paraId="0B2D9BDF" w14:textId="77777777" w:rsidR="000D07EA" w:rsidRDefault="00BE7C89">
            <w:pPr>
              <w:pStyle w:val="BodyText"/>
              <w:spacing w:before="100" w:after="100"/>
              <w:rPr>
                <w:b/>
              </w:rPr>
            </w:pPr>
            <w:r>
              <w:rPr>
                <w:b/>
              </w:rPr>
              <w:t>Call Type</w:t>
            </w:r>
          </w:p>
        </w:tc>
        <w:tc>
          <w:tcPr>
            <w:tcW w:w="2970" w:type="dxa"/>
          </w:tcPr>
          <w:p w14:paraId="6FC15FB3" w14:textId="77777777" w:rsidR="000D07EA" w:rsidRDefault="00BE7C89">
            <w:pPr>
              <w:pStyle w:val="BodyText"/>
              <w:spacing w:before="100" w:after="100"/>
              <w:rPr>
                <w:b/>
              </w:rPr>
            </w:pPr>
            <w:r>
              <w:rPr>
                <w:b/>
              </w:rPr>
              <w:t xml:space="preserve">Eligible Call </w:t>
            </w:r>
          </w:p>
        </w:tc>
      </w:tr>
      <w:tr w:rsidR="000D07EA" w14:paraId="6F5E04A2" w14:textId="77777777">
        <w:trPr>
          <w:trHeight w:val="58"/>
        </w:trPr>
        <w:tc>
          <w:tcPr>
            <w:tcW w:w="5875" w:type="dxa"/>
          </w:tcPr>
          <w:p w14:paraId="412FB149" w14:textId="77777777" w:rsidR="000D07EA" w:rsidRDefault="00BE7C89">
            <w:pPr>
              <w:pStyle w:val="BodyText"/>
              <w:spacing w:before="100" w:after="100"/>
            </w:pPr>
            <w:r>
              <w:t>Standard National Mobile Calls</w:t>
            </w:r>
          </w:p>
        </w:tc>
        <w:tc>
          <w:tcPr>
            <w:tcW w:w="2970" w:type="dxa"/>
          </w:tcPr>
          <w:p w14:paraId="5DB12179" w14:textId="77777777" w:rsidR="000D07EA" w:rsidRDefault="00BE7C89">
            <w:pPr>
              <w:pStyle w:val="BodyText"/>
              <w:spacing w:before="100" w:after="100"/>
            </w:pPr>
            <w:r>
              <w:t>No</w:t>
            </w:r>
          </w:p>
        </w:tc>
      </w:tr>
      <w:tr w:rsidR="000D07EA" w14:paraId="169FF7A0" w14:textId="77777777">
        <w:trPr>
          <w:trHeight w:val="20"/>
        </w:trPr>
        <w:tc>
          <w:tcPr>
            <w:tcW w:w="5875" w:type="dxa"/>
          </w:tcPr>
          <w:p w14:paraId="04E4A75A" w14:textId="77777777" w:rsidR="000D07EA" w:rsidRDefault="00BE7C89">
            <w:pPr>
              <w:pStyle w:val="BodyText"/>
              <w:spacing w:before="100" w:after="100"/>
            </w:pPr>
            <w:r>
              <w:t>Standard National Voice Calls</w:t>
            </w:r>
          </w:p>
        </w:tc>
        <w:tc>
          <w:tcPr>
            <w:tcW w:w="2970" w:type="dxa"/>
          </w:tcPr>
          <w:p w14:paraId="52F4DBC5" w14:textId="77777777" w:rsidR="000D07EA" w:rsidRDefault="00BE7C89">
            <w:pPr>
              <w:pStyle w:val="BodyText"/>
              <w:spacing w:before="100" w:after="100"/>
            </w:pPr>
            <w:r>
              <w:t>No</w:t>
            </w:r>
          </w:p>
        </w:tc>
      </w:tr>
      <w:tr w:rsidR="000D07EA" w14:paraId="2EF0AC93" w14:textId="77777777">
        <w:trPr>
          <w:trHeight w:val="58"/>
        </w:trPr>
        <w:tc>
          <w:tcPr>
            <w:tcW w:w="5875" w:type="dxa"/>
          </w:tcPr>
          <w:p w14:paraId="11EB6D8D" w14:textId="77777777" w:rsidR="000D07EA" w:rsidRDefault="00BE7C89">
            <w:pPr>
              <w:pStyle w:val="BodyText"/>
              <w:spacing w:before="100" w:after="100"/>
            </w:pPr>
            <w:r>
              <w:lastRenderedPageBreak/>
              <w:t>National Video Calls</w:t>
            </w:r>
          </w:p>
        </w:tc>
        <w:tc>
          <w:tcPr>
            <w:tcW w:w="2970" w:type="dxa"/>
          </w:tcPr>
          <w:p w14:paraId="0FD66516" w14:textId="77777777" w:rsidR="000D07EA" w:rsidRDefault="00BE7C89">
            <w:pPr>
              <w:pStyle w:val="BodyText"/>
              <w:spacing w:before="100" w:after="100"/>
            </w:pPr>
            <w:r>
              <w:t>No</w:t>
            </w:r>
          </w:p>
        </w:tc>
      </w:tr>
      <w:tr w:rsidR="000D07EA" w14:paraId="7C28E97A" w14:textId="77777777">
        <w:trPr>
          <w:trHeight w:val="58"/>
        </w:trPr>
        <w:tc>
          <w:tcPr>
            <w:tcW w:w="5875" w:type="dxa"/>
          </w:tcPr>
          <w:p w14:paraId="621943FD" w14:textId="77777777" w:rsidR="000D07EA" w:rsidRDefault="00BE7C89">
            <w:pPr>
              <w:pStyle w:val="BodyText"/>
              <w:spacing w:before="100" w:after="100"/>
            </w:pPr>
            <w:r>
              <w:t>International Voice Calls</w:t>
            </w:r>
          </w:p>
          <w:p w14:paraId="7E5230C6" w14:textId="77777777" w:rsidR="000D07EA" w:rsidRDefault="00BE7C89">
            <w:pPr>
              <w:pStyle w:val="BodyText"/>
              <w:spacing w:before="100" w:after="100"/>
            </w:pPr>
            <w:r>
              <w:rPr>
                <w:snapToGrid w:val="0"/>
              </w:rPr>
              <w:t>(includes calls to national fixed or mobile services that then divert/switch or re-route overseas)</w:t>
            </w:r>
          </w:p>
        </w:tc>
        <w:tc>
          <w:tcPr>
            <w:tcW w:w="2970" w:type="dxa"/>
          </w:tcPr>
          <w:p w14:paraId="32262367" w14:textId="77777777" w:rsidR="000D07EA" w:rsidRDefault="00BE7C89">
            <w:pPr>
              <w:pStyle w:val="BodyText"/>
              <w:spacing w:before="100" w:after="100"/>
            </w:pPr>
            <w:r>
              <w:t>Yes</w:t>
            </w:r>
          </w:p>
        </w:tc>
      </w:tr>
      <w:tr w:rsidR="000D07EA" w14:paraId="53B52630" w14:textId="77777777">
        <w:trPr>
          <w:trHeight w:val="58"/>
        </w:trPr>
        <w:tc>
          <w:tcPr>
            <w:tcW w:w="5875" w:type="dxa"/>
          </w:tcPr>
          <w:p w14:paraId="4891DCF7" w14:textId="77777777" w:rsidR="000D07EA" w:rsidRDefault="00BE7C89">
            <w:pPr>
              <w:pStyle w:val="BodyText"/>
              <w:spacing w:before="100" w:after="100"/>
            </w:pPr>
            <w:r>
              <w:t>International Video Calls</w:t>
            </w:r>
          </w:p>
          <w:p w14:paraId="1ED6BC16" w14:textId="77777777" w:rsidR="000D07EA" w:rsidRDefault="00BE7C89">
            <w:pPr>
              <w:pStyle w:val="BodyText"/>
              <w:spacing w:before="100" w:after="100"/>
            </w:pPr>
            <w:r>
              <w:rPr>
                <w:snapToGrid w:val="0"/>
              </w:rPr>
              <w:t>(includes calls to national fixed or mobile services that then divert/switch or re-route overseas)</w:t>
            </w:r>
          </w:p>
        </w:tc>
        <w:tc>
          <w:tcPr>
            <w:tcW w:w="2970" w:type="dxa"/>
          </w:tcPr>
          <w:p w14:paraId="2EFA4EFE" w14:textId="77777777" w:rsidR="000D07EA" w:rsidRDefault="00BE7C89">
            <w:pPr>
              <w:pStyle w:val="BodyText"/>
              <w:spacing w:before="100" w:after="100"/>
            </w:pPr>
            <w:r>
              <w:t>No</w:t>
            </w:r>
          </w:p>
        </w:tc>
      </w:tr>
      <w:tr w:rsidR="000D07EA" w14:paraId="5190BE02" w14:textId="77777777">
        <w:trPr>
          <w:trHeight w:val="20"/>
        </w:trPr>
        <w:tc>
          <w:tcPr>
            <w:tcW w:w="5875" w:type="dxa"/>
          </w:tcPr>
          <w:p w14:paraId="6786D6F4" w14:textId="77777777" w:rsidR="000D07EA" w:rsidRDefault="00BE7C89">
            <w:pPr>
              <w:pStyle w:val="BodyText"/>
              <w:spacing w:before="100" w:after="100"/>
            </w:pPr>
            <w:r>
              <w:t>Standard National SMS</w:t>
            </w:r>
          </w:p>
        </w:tc>
        <w:tc>
          <w:tcPr>
            <w:tcW w:w="2970" w:type="dxa"/>
          </w:tcPr>
          <w:p w14:paraId="3AF12E79" w14:textId="77777777" w:rsidR="000D07EA" w:rsidRDefault="00BE7C89">
            <w:pPr>
              <w:pStyle w:val="BodyText"/>
              <w:spacing w:before="100" w:after="100"/>
            </w:pPr>
            <w:r>
              <w:t>No</w:t>
            </w:r>
          </w:p>
        </w:tc>
      </w:tr>
      <w:tr w:rsidR="000D07EA" w14:paraId="2DA325A3" w14:textId="77777777">
        <w:trPr>
          <w:trHeight w:val="20"/>
        </w:trPr>
        <w:tc>
          <w:tcPr>
            <w:tcW w:w="5875" w:type="dxa"/>
          </w:tcPr>
          <w:p w14:paraId="38D63BB4" w14:textId="77777777" w:rsidR="000D07EA" w:rsidRDefault="00BE7C89">
            <w:pPr>
              <w:pStyle w:val="BodyText"/>
              <w:spacing w:before="100" w:after="100"/>
            </w:pPr>
            <w:r>
              <w:t>International SMS</w:t>
            </w:r>
          </w:p>
        </w:tc>
        <w:tc>
          <w:tcPr>
            <w:tcW w:w="2970" w:type="dxa"/>
          </w:tcPr>
          <w:p w14:paraId="0DBD2E3A" w14:textId="77777777" w:rsidR="000D07EA" w:rsidRDefault="00BE7C89">
            <w:pPr>
              <w:pStyle w:val="BodyText"/>
              <w:spacing w:before="100" w:after="100"/>
            </w:pPr>
            <w:r>
              <w:t>Yes</w:t>
            </w:r>
          </w:p>
        </w:tc>
      </w:tr>
      <w:tr w:rsidR="000D07EA" w14:paraId="009C7E59" w14:textId="77777777">
        <w:trPr>
          <w:trHeight w:val="20"/>
        </w:trPr>
        <w:tc>
          <w:tcPr>
            <w:tcW w:w="5875" w:type="dxa"/>
          </w:tcPr>
          <w:p w14:paraId="66E7AB64" w14:textId="77777777" w:rsidR="000D07EA" w:rsidRDefault="00BE7C89">
            <w:pPr>
              <w:pStyle w:val="BodyText"/>
              <w:spacing w:before="100" w:after="100"/>
            </w:pPr>
            <w:r>
              <w:t>National MMS</w:t>
            </w:r>
          </w:p>
        </w:tc>
        <w:tc>
          <w:tcPr>
            <w:tcW w:w="2970" w:type="dxa"/>
          </w:tcPr>
          <w:p w14:paraId="60A6F89D" w14:textId="77777777" w:rsidR="000D07EA" w:rsidRDefault="00BE7C89">
            <w:pPr>
              <w:pStyle w:val="BodyText"/>
              <w:spacing w:before="100" w:after="100"/>
            </w:pPr>
            <w:r>
              <w:t>No</w:t>
            </w:r>
          </w:p>
        </w:tc>
      </w:tr>
      <w:tr w:rsidR="000D07EA" w14:paraId="290D8248" w14:textId="77777777">
        <w:trPr>
          <w:trHeight w:val="20"/>
        </w:trPr>
        <w:tc>
          <w:tcPr>
            <w:tcW w:w="5875" w:type="dxa"/>
          </w:tcPr>
          <w:p w14:paraId="0EA7D19C" w14:textId="77777777" w:rsidR="000D07EA" w:rsidRDefault="00BE7C89">
            <w:pPr>
              <w:pStyle w:val="BodyText"/>
              <w:spacing w:before="100" w:after="100"/>
            </w:pPr>
            <w:r>
              <w:t>International MMS</w:t>
            </w:r>
          </w:p>
        </w:tc>
        <w:tc>
          <w:tcPr>
            <w:tcW w:w="2970" w:type="dxa"/>
          </w:tcPr>
          <w:p w14:paraId="572106C4" w14:textId="77777777" w:rsidR="000D07EA" w:rsidRDefault="00BE7C89">
            <w:pPr>
              <w:pStyle w:val="BodyText"/>
              <w:spacing w:before="100" w:after="100"/>
            </w:pPr>
            <w:r>
              <w:t>Yes</w:t>
            </w:r>
          </w:p>
        </w:tc>
      </w:tr>
      <w:tr w:rsidR="000D07EA" w14:paraId="3400ED78" w14:textId="77777777">
        <w:trPr>
          <w:trHeight w:val="20"/>
        </w:trPr>
        <w:tc>
          <w:tcPr>
            <w:tcW w:w="5875" w:type="dxa"/>
          </w:tcPr>
          <w:p w14:paraId="064BC3B3" w14:textId="77777777" w:rsidR="000D07EA" w:rsidRDefault="00BE7C89">
            <w:pPr>
              <w:pStyle w:val="BodyText"/>
              <w:spacing w:before="100" w:after="100"/>
            </w:pPr>
            <w:r>
              <w:t>National Diversions</w:t>
            </w:r>
          </w:p>
        </w:tc>
        <w:tc>
          <w:tcPr>
            <w:tcW w:w="2970" w:type="dxa"/>
          </w:tcPr>
          <w:p w14:paraId="239F5EB4" w14:textId="77777777" w:rsidR="000D07EA" w:rsidRDefault="00BE7C89">
            <w:pPr>
              <w:pStyle w:val="BodyText"/>
              <w:spacing w:before="100" w:after="100"/>
            </w:pPr>
            <w:r>
              <w:t>No</w:t>
            </w:r>
          </w:p>
        </w:tc>
      </w:tr>
      <w:tr w:rsidR="000D07EA" w14:paraId="46BC01EB" w14:textId="77777777">
        <w:trPr>
          <w:trHeight w:val="20"/>
        </w:trPr>
        <w:tc>
          <w:tcPr>
            <w:tcW w:w="5875" w:type="dxa"/>
          </w:tcPr>
          <w:p w14:paraId="22A2D269" w14:textId="77777777" w:rsidR="000D07EA" w:rsidRDefault="00BE7C89">
            <w:pPr>
              <w:pStyle w:val="BodyText"/>
              <w:spacing w:before="100" w:after="100"/>
            </w:pPr>
            <w:r>
              <w:t>Voicemail Deposit and Retrievals</w:t>
            </w:r>
          </w:p>
        </w:tc>
        <w:tc>
          <w:tcPr>
            <w:tcW w:w="2970" w:type="dxa"/>
          </w:tcPr>
          <w:p w14:paraId="5B6EDA5D" w14:textId="77777777" w:rsidR="000D07EA" w:rsidRDefault="00BE7C89">
            <w:pPr>
              <w:pStyle w:val="BodyText"/>
              <w:spacing w:before="100" w:after="100"/>
            </w:pPr>
            <w:r>
              <w:t>No</w:t>
            </w:r>
          </w:p>
        </w:tc>
      </w:tr>
      <w:tr w:rsidR="000D07EA" w14:paraId="0E5876C3" w14:textId="77777777">
        <w:trPr>
          <w:trHeight w:val="20"/>
        </w:trPr>
        <w:tc>
          <w:tcPr>
            <w:tcW w:w="5875" w:type="dxa"/>
          </w:tcPr>
          <w:p w14:paraId="35A26FEF" w14:textId="77777777" w:rsidR="000D07EA" w:rsidRDefault="00BE7C89">
            <w:pPr>
              <w:pStyle w:val="BodyText"/>
              <w:spacing w:before="100" w:after="100"/>
            </w:pPr>
            <w:r>
              <w:t>International Roaming and Diversion</w:t>
            </w:r>
          </w:p>
        </w:tc>
        <w:tc>
          <w:tcPr>
            <w:tcW w:w="2970" w:type="dxa"/>
          </w:tcPr>
          <w:p w14:paraId="33ACFC51" w14:textId="77777777" w:rsidR="000D07EA" w:rsidRDefault="00BE7C89">
            <w:pPr>
              <w:pStyle w:val="BodyText"/>
              <w:spacing w:before="100" w:after="100"/>
            </w:pPr>
            <w:r>
              <w:t>No</w:t>
            </w:r>
          </w:p>
        </w:tc>
      </w:tr>
      <w:tr w:rsidR="000D07EA" w14:paraId="6D8FA7FE" w14:textId="77777777">
        <w:trPr>
          <w:trHeight w:val="20"/>
        </w:trPr>
        <w:tc>
          <w:tcPr>
            <w:tcW w:w="5875" w:type="dxa"/>
          </w:tcPr>
          <w:p w14:paraId="72D0C751" w14:textId="77777777" w:rsidR="000D07EA" w:rsidRDefault="00BE7C89">
            <w:pPr>
              <w:pStyle w:val="BodyText"/>
              <w:spacing w:before="100" w:after="100"/>
            </w:pPr>
            <w:r>
              <w:t>Premium SMS</w:t>
            </w:r>
          </w:p>
        </w:tc>
        <w:tc>
          <w:tcPr>
            <w:tcW w:w="2970" w:type="dxa"/>
          </w:tcPr>
          <w:p w14:paraId="4E7B5C45" w14:textId="77777777" w:rsidR="000D07EA" w:rsidRDefault="00BE7C89">
            <w:pPr>
              <w:pStyle w:val="BodyText"/>
              <w:spacing w:before="100" w:after="100"/>
            </w:pPr>
            <w:r>
              <w:t>No</w:t>
            </w:r>
          </w:p>
        </w:tc>
      </w:tr>
      <w:tr w:rsidR="000D07EA" w14:paraId="47ECA9E2" w14:textId="77777777">
        <w:trPr>
          <w:trHeight w:val="20"/>
        </w:trPr>
        <w:tc>
          <w:tcPr>
            <w:tcW w:w="5875" w:type="dxa"/>
          </w:tcPr>
          <w:p w14:paraId="3B2CAED0" w14:textId="77777777" w:rsidR="000D07EA" w:rsidRDefault="00BE7C89">
            <w:pPr>
              <w:pStyle w:val="BodyText"/>
              <w:spacing w:before="100" w:after="100"/>
            </w:pPr>
            <w:r>
              <w:t>Premium Video</w:t>
            </w:r>
          </w:p>
        </w:tc>
        <w:tc>
          <w:tcPr>
            <w:tcW w:w="2970" w:type="dxa"/>
          </w:tcPr>
          <w:p w14:paraId="3C3B3F00" w14:textId="77777777" w:rsidR="000D07EA" w:rsidRDefault="00BE7C89">
            <w:pPr>
              <w:pStyle w:val="BodyText"/>
              <w:spacing w:before="100" w:after="100"/>
            </w:pPr>
            <w:r>
              <w:t>No</w:t>
            </w:r>
          </w:p>
        </w:tc>
      </w:tr>
      <w:tr w:rsidR="000D07EA" w14:paraId="281EA080" w14:textId="77777777">
        <w:trPr>
          <w:trHeight w:val="20"/>
        </w:trPr>
        <w:tc>
          <w:tcPr>
            <w:tcW w:w="5875" w:type="dxa"/>
          </w:tcPr>
          <w:p w14:paraId="5D3E167F" w14:textId="77777777" w:rsidR="000D07EA" w:rsidRDefault="00BE7C89">
            <w:pPr>
              <w:pStyle w:val="BodyText"/>
              <w:spacing w:before="100" w:after="100"/>
            </w:pPr>
            <w:r>
              <w:t>Video Conferencing</w:t>
            </w:r>
          </w:p>
        </w:tc>
        <w:tc>
          <w:tcPr>
            <w:tcW w:w="2970" w:type="dxa"/>
          </w:tcPr>
          <w:p w14:paraId="31F1E659" w14:textId="77777777" w:rsidR="000D07EA" w:rsidRDefault="00BE7C89">
            <w:pPr>
              <w:pStyle w:val="BodyText"/>
              <w:spacing w:before="100" w:after="100"/>
            </w:pPr>
            <w:r>
              <w:t>No</w:t>
            </w:r>
          </w:p>
        </w:tc>
      </w:tr>
      <w:tr w:rsidR="000D07EA" w14:paraId="5791422A" w14:textId="77777777">
        <w:trPr>
          <w:trHeight w:val="20"/>
        </w:trPr>
        <w:tc>
          <w:tcPr>
            <w:tcW w:w="5875" w:type="dxa"/>
          </w:tcPr>
          <w:p w14:paraId="3A0022DF" w14:textId="77777777" w:rsidR="000D07EA" w:rsidRDefault="00BE7C89">
            <w:pPr>
              <w:pStyle w:val="BodyText"/>
              <w:spacing w:before="100" w:after="100"/>
            </w:pPr>
            <w:r>
              <w:t>Optus Zoo or Optus iZoo Browsing</w:t>
            </w:r>
          </w:p>
        </w:tc>
        <w:tc>
          <w:tcPr>
            <w:tcW w:w="2970" w:type="dxa"/>
          </w:tcPr>
          <w:p w14:paraId="32468CB8" w14:textId="77777777" w:rsidR="000D07EA" w:rsidRDefault="00BE7C89">
            <w:pPr>
              <w:pStyle w:val="BodyText"/>
              <w:spacing w:before="100" w:after="100"/>
            </w:pPr>
            <w:r>
              <w:t>No</w:t>
            </w:r>
          </w:p>
        </w:tc>
      </w:tr>
      <w:tr w:rsidR="000D07EA" w14:paraId="0A1A1D88" w14:textId="77777777">
        <w:trPr>
          <w:trHeight w:val="20"/>
        </w:trPr>
        <w:tc>
          <w:tcPr>
            <w:tcW w:w="5875" w:type="dxa"/>
          </w:tcPr>
          <w:p w14:paraId="7AA41E7F" w14:textId="77777777" w:rsidR="000D07EA" w:rsidRDefault="00BE7C89">
            <w:pPr>
              <w:pStyle w:val="BodyText"/>
              <w:spacing w:before="100" w:after="100"/>
            </w:pPr>
            <w:r>
              <w:t>Optus Zoo or Optus iZoo Downloads</w:t>
            </w:r>
          </w:p>
        </w:tc>
        <w:tc>
          <w:tcPr>
            <w:tcW w:w="2970" w:type="dxa"/>
          </w:tcPr>
          <w:p w14:paraId="0532D4CB" w14:textId="77777777" w:rsidR="000D07EA" w:rsidRDefault="00BE7C89">
            <w:pPr>
              <w:pStyle w:val="BodyText"/>
              <w:spacing w:before="100" w:after="100"/>
            </w:pPr>
            <w:r>
              <w:t>No</w:t>
            </w:r>
          </w:p>
        </w:tc>
      </w:tr>
      <w:tr w:rsidR="000D07EA" w14:paraId="2D87A44E" w14:textId="77777777">
        <w:trPr>
          <w:trHeight w:val="20"/>
        </w:trPr>
        <w:tc>
          <w:tcPr>
            <w:tcW w:w="5875" w:type="dxa"/>
          </w:tcPr>
          <w:p w14:paraId="26EB9D36" w14:textId="77777777" w:rsidR="000D07EA" w:rsidRDefault="00BE7C89">
            <w:pPr>
              <w:pStyle w:val="BodyText"/>
              <w:spacing w:before="100" w:after="100"/>
            </w:pPr>
            <w:r>
              <w:t>SMS to 966 (Zoo)</w:t>
            </w:r>
          </w:p>
        </w:tc>
        <w:tc>
          <w:tcPr>
            <w:tcW w:w="2970" w:type="dxa"/>
          </w:tcPr>
          <w:p w14:paraId="37FAD9F0" w14:textId="77777777" w:rsidR="000D07EA" w:rsidRDefault="00BE7C89">
            <w:pPr>
              <w:pStyle w:val="BodyText"/>
              <w:spacing w:before="100" w:after="100"/>
            </w:pPr>
            <w:r>
              <w:t>No</w:t>
            </w:r>
          </w:p>
        </w:tc>
      </w:tr>
      <w:tr w:rsidR="000D07EA" w14:paraId="1372BD14" w14:textId="77777777">
        <w:trPr>
          <w:trHeight w:val="20"/>
        </w:trPr>
        <w:tc>
          <w:tcPr>
            <w:tcW w:w="5875" w:type="dxa"/>
          </w:tcPr>
          <w:p w14:paraId="47B70F30" w14:textId="77777777" w:rsidR="000D07EA" w:rsidRDefault="00BE7C89">
            <w:pPr>
              <w:pStyle w:val="BodyText"/>
              <w:spacing w:before="100" w:after="100"/>
            </w:pPr>
            <w:r>
              <w:t>Mobile Internet usage</w:t>
            </w:r>
          </w:p>
        </w:tc>
        <w:tc>
          <w:tcPr>
            <w:tcW w:w="2970" w:type="dxa"/>
          </w:tcPr>
          <w:p w14:paraId="54CE8FE2" w14:textId="77777777" w:rsidR="000D07EA" w:rsidRDefault="00BE7C89">
            <w:pPr>
              <w:pStyle w:val="BodyText"/>
              <w:spacing w:before="100" w:after="100"/>
            </w:pPr>
            <w:r>
              <w:t>No</w:t>
            </w:r>
          </w:p>
        </w:tc>
      </w:tr>
      <w:tr w:rsidR="000D07EA" w14:paraId="1BBDAB61" w14:textId="77777777">
        <w:trPr>
          <w:trHeight w:val="20"/>
        </w:trPr>
        <w:tc>
          <w:tcPr>
            <w:tcW w:w="5875" w:type="dxa"/>
          </w:tcPr>
          <w:p w14:paraId="33CC51ED" w14:textId="77777777" w:rsidR="000D07EA" w:rsidRDefault="00BE7C89">
            <w:pPr>
              <w:pStyle w:val="BodyText"/>
              <w:spacing w:before="100" w:after="100"/>
            </w:pPr>
            <w:r>
              <w:t>Data Used while Roaming Internationally</w:t>
            </w:r>
          </w:p>
        </w:tc>
        <w:tc>
          <w:tcPr>
            <w:tcW w:w="2970" w:type="dxa"/>
          </w:tcPr>
          <w:p w14:paraId="406FCAA3" w14:textId="77777777" w:rsidR="000D07EA" w:rsidRDefault="00BE7C89">
            <w:pPr>
              <w:pStyle w:val="BodyText"/>
              <w:spacing w:before="100" w:after="100"/>
            </w:pPr>
            <w:r>
              <w:t>No</w:t>
            </w:r>
          </w:p>
        </w:tc>
      </w:tr>
      <w:tr w:rsidR="000D07EA" w14:paraId="71BC2F28" w14:textId="77777777">
        <w:trPr>
          <w:trHeight w:val="20"/>
        </w:trPr>
        <w:tc>
          <w:tcPr>
            <w:tcW w:w="5875" w:type="dxa"/>
          </w:tcPr>
          <w:p w14:paraId="56646BBF" w14:textId="77777777" w:rsidR="000D07EA" w:rsidRDefault="00BE7C89">
            <w:pPr>
              <w:pStyle w:val="BodyText"/>
              <w:spacing w:before="100" w:after="100"/>
            </w:pPr>
            <w:r>
              <w:t>Content Packs (unless specified in promotions)</w:t>
            </w:r>
          </w:p>
        </w:tc>
        <w:tc>
          <w:tcPr>
            <w:tcW w:w="2970" w:type="dxa"/>
          </w:tcPr>
          <w:p w14:paraId="65867179" w14:textId="77777777" w:rsidR="000D07EA" w:rsidRDefault="00BE7C89">
            <w:pPr>
              <w:pStyle w:val="BodyText"/>
              <w:spacing w:before="100" w:after="100"/>
            </w:pPr>
            <w:r>
              <w:t>No</w:t>
            </w:r>
          </w:p>
        </w:tc>
      </w:tr>
      <w:tr w:rsidR="000D07EA" w14:paraId="5E82EF24" w14:textId="77777777">
        <w:trPr>
          <w:trHeight w:val="20"/>
        </w:trPr>
        <w:tc>
          <w:tcPr>
            <w:tcW w:w="5875" w:type="dxa"/>
          </w:tcPr>
          <w:p w14:paraId="5B6A0991" w14:textId="77777777" w:rsidR="000D07EA" w:rsidRDefault="00BE7C89">
            <w:pPr>
              <w:pStyle w:val="BodyText"/>
              <w:spacing w:before="100" w:after="100"/>
            </w:pPr>
            <w:r>
              <w:t>TrueLocal Usage</w:t>
            </w:r>
          </w:p>
        </w:tc>
        <w:tc>
          <w:tcPr>
            <w:tcW w:w="2970" w:type="dxa"/>
          </w:tcPr>
          <w:p w14:paraId="0DFDD938" w14:textId="77777777" w:rsidR="000D07EA" w:rsidRDefault="00BE7C89">
            <w:pPr>
              <w:pStyle w:val="BodyText"/>
              <w:spacing w:before="100" w:after="100"/>
            </w:pPr>
            <w:r>
              <w:t>No</w:t>
            </w:r>
          </w:p>
        </w:tc>
      </w:tr>
      <w:tr w:rsidR="000D07EA" w14:paraId="6713A1FC" w14:textId="77777777">
        <w:trPr>
          <w:trHeight w:val="20"/>
        </w:trPr>
        <w:tc>
          <w:tcPr>
            <w:tcW w:w="5875" w:type="dxa"/>
          </w:tcPr>
          <w:p w14:paraId="601D21F3" w14:textId="77777777" w:rsidR="000D07EA" w:rsidRDefault="00BE7C89">
            <w:pPr>
              <w:pStyle w:val="BodyText"/>
              <w:spacing w:before="100" w:after="100"/>
            </w:pPr>
            <w:r>
              <w:t xml:space="preserve">Directory Assistance- 1223 </w:t>
            </w:r>
          </w:p>
        </w:tc>
        <w:tc>
          <w:tcPr>
            <w:tcW w:w="2970" w:type="dxa"/>
          </w:tcPr>
          <w:p w14:paraId="58AC5A5E" w14:textId="77777777" w:rsidR="000D07EA" w:rsidRDefault="00BE7C89">
            <w:pPr>
              <w:pStyle w:val="BodyText"/>
              <w:spacing w:before="100" w:after="100"/>
            </w:pPr>
            <w:r>
              <w:t>No</w:t>
            </w:r>
          </w:p>
        </w:tc>
      </w:tr>
      <w:tr w:rsidR="000D07EA" w14:paraId="0FA40D9F" w14:textId="77777777">
        <w:trPr>
          <w:trHeight w:val="20"/>
        </w:trPr>
        <w:tc>
          <w:tcPr>
            <w:tcW w:w="5875" w:type="dxa"/>
          </w:tcPr>
          <w:p w14:paraId="773A3894" w14:textId="77777777" w:rsidR="000D07EA" w:rsidRDefault="00BE7C89">
            <w:pPr>
              <w:pStyle w:val="BodyText"/>
              <w:spacing w:before="100" w:after="100"/>
            </w:pPr>
            <w:r>
              <w:t>19XX Numbers</w:t>
            </w:r>
          </w:p>
        </w:tc>
        <w:tc>
          <w:tcPr>
            <w:tcW w:w="2970" w:type="dxa"/>
          </w:tcPr>
          <w:p w14:paraId="0F998586" w14:textId="77777777" w:rsidR="000D07EA" w:rsidRDefault="00BE7C89">
            <w:pPr>
              <w:pStyle w:val="BodyText"/>
              <w:spacing w:before="100" w:after="100"/>
            </w:pPr>
            <w:r>
              <w:t>No</w:t>
            </w:r>
          </w:p>
        </w:tc>
      </w:tr>
      <w:tr w:rsidR="000D07EA" w14:paraId="7818BA27" w14:textId="77777777">
        <w:trPr>
          <w:trHeight w:val="20"/>
        </w:trPr>
        <w:tc>
          <w:tcPr>
            <w:tcW w:w="5875" w:type="dxa"/>
          </w:tcPr>
          <w:p w14:paraId="23AB391F" w14:textId="77777777" w:rsidR="000D07EA" w:rsidRDefault="00BE7C89">
            <w:pPr>
              <w:pStyle w:val="BodyText"/>
              <w:spacing w:before="100" w:after="100"/>
            </w:pPr>
            <w:r>
              <w:t>1800, 13 and 1300 numbers</w:t>
            </w:r>
          </w:p>
        </w:tc>
        <w:tc>
          <w:tcPr>
            <w:tcW w:w="2970" w:type="dxa"/>
          </w:tcPr>
          <w:p w14:paraId="7ABB221D" w14:textId="77777777" w:rsidR="000D07EA" w:rsidRDefault="00BE7C89">
            <w:pPr>
              <w:pStyle w:val="BodyText"/>
              <w:spacing w:before="100" w:after="100"/>
            </w:pPr>
            <w:r>
              <w:t>No</w:t>
            </w:r>
          </w:p>
        </w:tc>
      </w:tr>
      <w:tr w:rsidR="000D07EA" w14:paraId="4B261904" w14:textId="77777777">
        <w:trPr>
          <w:trHeight w:val="20"/>
        </w:trPr>
        <w:tc>
          <w:tcPr>
            <w:tcW w:w="5875" w:type="dxa"/>
          </w:tcPr>
          <w:p w14:paraId="67AA61AD" w14:textId="77777777" w:rsidR="000D07EA" w:rsidRDefault="00BE7C89">
            <w:pPr>
              <w:pStyle w:val="BodyText"/>
              <w:spacing w:before="100" w:after="100"/>
            </w:pPr>
            <w:r>
              <w:t>124YES(937)</w:t>
            </w:r>
          </w:p>
        </w:tc>
        <w:tc>
          <w:tcPr>
            <w:tcW w:w="2970" w:type="dxa"/>
          </w:tcPr>
          <w:p w14:paraId="0E721F43" w14:textId="77777777" w:rsidR="000D07EA" w:rsidRDefault="00BE7C89">
            <w:pPr>
              <w:pStyle w:val="BodyText"/>
              <w:spacing w:before="100" w:after="100"/>
            </w:pPr>
            <w:r>
              <w:t>No</w:t>
            </w:r>
          </w:p>
        </w:tc>
      </w:tr>
      <w:tr w:rsidR="000D07EA" w14:paraId="201AB92E" w14:textId="77777777">
        <w:trPr>
          <w:trHeight w:val="20"/>
        </w:trPr>
        <w:tc>
          <w:tcPr>
            <w:tcW w:w="5875" w:type="dxa"/>
          </w:tcPr>
          <w:p w14:paraId="0F9A99D4" w14:textId="77777777" w:rsidR="000D07EA" w:rsidRDefault="00BE7C89">
            <w:pPr>
              <w:pStyle w:val="BodyText"/>
              <w:spacing w:before="100" w:after="100"/>
            </w:pPr>
            <w:r>
              <w:t>Calls to MobileSat</w:t>
            </w:r>
          </w:p>
        </w:tc>
        <w:tc>
          <w:tcPr>
            <w:tcW w:w="2970" w:type="dxa"/>
          </w:tcPr>
          <w:p w14:paraId="390C18A8" w14:textId="77777777" w:rsidR="000D07EA" w:rsidRDefault="00BE7C89">
            <w:pPr>
              <w:pStyle w:val="BodyText"/>
              <w:spacing w:before="100" w:after="100"/>
            </w:pPr>
            <w:r>
              <w:t>No</w:t>
            </w:r>
          </w:p>
        </w:tc>
      </w:tr>
      <w:tr w:rsidR="000D07EA" w14:paraId="26F65E8C" w14:textId="77777777">
        <w:trPr>
          <w:trHeight w:val="20"/>
        </w:trPr>
        <w:tc>
          <w:tcPr>
            <w:tcW w:w="5875" w:type="dxa"/>
          </w:tcPr>
          <w:p w14:paraId="3C3ECC83" w14:textId="77777777" w:rsidR="000D07EA" w:rsidRDefault="00BE7C89">
            <w:pPr>
              <w:pStyle w:val="BodyText"/>
              <w:spacing w:before="100" w:after="100"/>
            </w:pPr>
            <w:r>
              <w:t>VOIP services</w:t>
            </w:r>
          </w:p>
        </w:tc>
        <w:tc>
          <w:tcPr>
            <w:tcW w:w="2970" w:type="dxa"/>
          </w:tcPr>
          <w:p w14:paraId="50389D46" w14:textId="77777777" w:rsidR="000D07EA" w:rsidRDefault="00BE7C89">
            <w:pPr>
              <w:pStyle w:val="BodyText"/>
              <w:spacing w:before="100" w:after="100"/>
            </w:pPr>
            <w:r>
              <w:t>No</w:t>
            </w:r>
          </w:p>
        </w:tc>
      </w:tr>
      <w:tr w:rsidR="000D07EA" w14:paraId="5D36D048" w14:textId="77777777">
        <w:trPr>
          <w:trHeight w:val="20"/>
        </w:trPr>
        <w:tc>
          <w:tcPr>
            <w:tcW w:w="5875" w:type="dxa"/>
          </w:tcPr>
          <w:p w14:paraId="5495EBB6" w14:textId="77777777" w:rsidR="000D07EA" w:rsidRDefault="00BE7C89">
            <w:pPr>
              <w:pStyle w:val="BodyText"/>
              <w:spacing w:before="100" w:after="100"/>
            </w:pPr>
            <w:r>
              <w:t>Inmarsat calls</w:t>
            </w:r>
          </w:p>
        </w:tc>
        <w:tc>
          <w:tcPr>
            <w:tcW w:w="2970" w:type="dxa"/>
          </w:tcPr>
          <w:p w14:paraId="16809091" w14:textId="77777777" w:rsidR="000D07EA" w:rsidRDefault="00BE7C89">
            <w:pPr>
              <w:pStyle w:val="BodyText"/>
              <w:spacing w:before="100" w:after="100"/>
            </w:pPr>
            <w:r>
              <w:t>No</w:t>
            </w:r>
          </w:p>
        </w:tc>
      </w:tr>
    </w:tbl>
    <w:p w14:paraId="1AE1508C" w14:textId="77777777" w:rsidR="000D07EA" w:rsidRDefault="000D07EA">
      <w:pPr>
        <w:pStyle w:val="BodyText"/>
      </w:pPr>
    </w:p>
    <w:p w14:paraId="50DBBE09" w14:textId="77777777" w:rsidR="000D07EA" w:rsidRDefault="00BE7C89">
      <w:pPr>
        <w:pStyle w:val="BodyText"/>
        <w:ind w:left="720"/>
        <w:rPr>
          <w:b/>
        </w:rPr>
      </w:pPr>
      <w:r>
        <w:rPr>
          <w:b/>
        </w:rPr>
        <w:lastRenderedPageBreak/>
        <w:t>Table 2A – Charges for the Business Timeless Plan</w:t>
      </w:r>
    </w:p>
    <w:tbl>
      <w:tblPr>
        <w:tblW w:w="96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7"/>
        <w:gridCol w:w="2140"/>
        <w:gridCol w:w="2140"/>
        <w:gridCol w:w="2141"/>
      </w:tblGrid>
      <w:tr w:rsidR="000D07EA" w14:paraId="2B6D4713" w14:textId="77777777">
        <w:trPr>
          <w:trHeight w:val="20"/>
          <w:tblHeader/>
        </w:trPr>
        <w:tc>
          <w:tcPr>
            <w:tcW w:w="3227" w:type="dxa"/>
          </w:tcPr>
          <w:p w14:paraId="19163B6F" w14:textId="77777777" w:rsidR="000D07EA" w:rsidRDefault="00BE7C89">
            <w:pPr>
              <w:pStyle w:val="BodyText"/>
              <w:spacing w:before="100" w:after="100"/>
              <w:rPr>
                <w:b/>
              </w:rPr>
            </w:pPr>
            <w:r>
              <w:rPr>
                <w:b/>
              </w:rPr>
              <w:t> </w:t>
            </w:r>
          </w:p>
        </w:tc>
        <w:tc>
          <w:tcPr>
            <w:tcW w:w="2140" w:type="dxa"/>
          </w:tcPr>
          <w:p w14:paraId="04F2D4D7" w14:textId="77777777" w:rsidR="000D07EA" w:rsidRDefault="00BE7C89">
            <w:pPr>
              <w:pStyle w:val="BodyText"/>
              <w:spacing w:before="100" w:after="100"/>
              <w:rPr>
                <w:b/>
              </w:rPr>
            </w:pPr>
            <w:r>
              <w:rPr>
                <w:b/>
              </w:rPr>
              <w:t>$89 Business Timeless Plan Prem (4G Sept 2012)</w:t>
            </w:r>
          </w:p>
        </w:tc>
        <w:tc>
          <w:tcPr>
            <w:tcW w:w="2140" w:type="dxa"/>
          </w:tcPr>
          <w:p w14:paraId="72DBE277" w14:textId="77777777" w:rsidR="000D07EA" w:rsidRDefault="00BE7C89">
            <w:pPr>
              <w:pStyle w:val="BodyText"/>
              <w:spacing w:before="100" w:after="100"/>
              <w:rPr>
                <w:b/>
              </w:rPr>
            </w:pPr>
            <w:r>
              <w:rPr>
                <w:b/>
              </w:rPr>
              <w:t>$99 Business Timeless Plan Prem (4G Sept 2012)</w:t>
            </w:r>
          </w:p>
        </w:tc>
        <w:tc>
          <w:tcPr>
            <w:tcW w:w="2141" w:type="dxa"/>
          </w:tcPr>
          <w:p w14:paraId="788BEF6E" w14:textId="77777777" w:rsidR="000D07EA" w:rsidRDefault="00BE7C89">
            <w:pPr>
              <w:pStyle w:val="BodyText"/>
              <w:spacing w:before="100" w:after="100"/>
              <w:rPr>
                <w:b/>
              </w:rPr>
            </w:pPr>
            <w:r>
              <w:rPr>
                <w:b/>
              </w:rPr>
              <w:t>$129 Business Timeless Plan Prem (4G Sept 2012)</w:t>
            </w:r>
          </w:p>
        </w:tc>
      </w:tr>
      <w:tr w:rsidR="000D07EA" w14:paraId="4BBC943B" w14:textId="77777777">
        <w:trPr>
          <w:trHeight w:val="20"/>
        </w:trPr>
        <w:tc>
          <w:tcPr>
            <w:tcW w:w="3227" w:type="dxa"/>
          </w:tcPr>
          <w:p w14:paraId="1A4C5DF9" w14:textId="77777777" w:rsidR="000D07EA" w:rsidRDefault="00BE7C89">
            <w:pPr>
              <w:pStyle w:val="BodyText"/>
              <w:spacing w:before="100" w:after="100"/>
              <w:rPr>
                <w:b/>
              </w:rPr>
            </w:pPr>
            <w:r>
              <w:rPr>
                <w:b/>
              </w:rPr>
              <w:t>Minimum Monthly charge</w:t>
            </w:r>
          </w:p>
        </w:tc>
        <w:tc>
          <w:tcPr>
            <w:tcW w:w="2140" w:type="dxa"/>
          </w:tcPr>
          <w:p w14:paraId="7EBDEA87" w14:textId="77777777" w:rsidR="000D07EA" w:rsidRDefault="00BE7C89">
            <w:pPr>
              <w:pStyle w:val="BodyText"/>
              <w:spacing w:before="100" w:after="100"/>
            </w:pPr>
            <w:r>
              <w:t>$89</w:t>
            </w:r>
          </w:p>
        </w:tc>
        <w:tc>
          <w:tcPr>
            <w:tcW w:w="2140" w:type="dxa"/>
          </w:tcPr>
          <w:p w14:paraId="56DB2B69" w14:textId="77777777" w:rsidR="000D07EA" w:rsidRDefault="00BE7C89">
            <w:pPr>
              <w:pStyle w:val="BodyText"/>
              <w:spacing w:before="100" w:after="100"/>
            </w:pPr>
            <w:r>
              <w:t>$99</w:t>
            </w:r>
          </w:p>
        </w:tc>
        <w:tc>
          <w:tcPr>
            <w:tcW w:w="2141" w:type="dxa"/>
          </w:tcPr>
          <w:p w14:paraId="311D4A6A" w14:textId="77777777" w:rsidR="000D07EA" w:rsidRDefault="00BE7C89">
            <w:pPr>
              <w:pStyle w:val="BodyText"/>
              <w:spacing w:before="100" w:after="100"/>
            </w:pPr>
            <w:r>
              <w:t>$129</w:t>
            </w:r>
          </w:p>
        </w:tc>
      </w:tr>
      <w:tr w:rsidR="000D07EA" w14:paraId="0AD4A109" w14:textId="77777777">
        <w:trPr>
          <w:trHeight w:val="20"/>
        </w:trPr>
        <w:tc>
          <w:tcPr>
            <w:tcW w:w="3227" w:type="dxa"/>
          </w:tcPr>
          <w:p w14:paraId="1C8F7F77" w14:textId="77777777" w:rsidR="000D07EA" w:rsidRDefault="00BE7C89">
            <w:pPr>
              <w:pStyle w:val="BodyText"/>
              <w:spacing w:before="100" w:after="100"/>
              <w:rPr>
                <w:b/>
              </w:rPr>
            </w:pPr>
            <w:r>
              <w:rPr>
                <w:b/>
              </w:rPr>
              <w:t>Standard local &amp; national calls to Australian fixed lines</w:t>
            </w:r>
          </w:p>
        </w:tc>
        <w:tc>
          <w:tcPr>
            <w:tcW w:w="2140" w:type="dxa"/>
          </w:tcPr>
          <w:p w14:paraId="4819BE83" w14:textId="77777777" w:rsidR="000D07EA" w:rsidRDefault="00BE7C89">
            <w:pPr>
              <w:pStyle w:val="BodyText"/>
              <w:spacing w:before="100" w:after="100"/>
            </w:pPr>
            <w:r>
              <w:t>Unlimited</w:t>
            </w:r>
          </w:p>
        </w:tc>
        <w:tc>
          <w:tcPr>
            <w:tcW w:w="2140" w:type="dxa"/>
          </w:tcPr>
          <w:p w14:paraId="1EAE8FF8" w14:textId="77777777" w:rsidR="000D07EA" w:rsidRDefault="00BE7C89">
            <w:pPr>
              <w:pStyle w:val="BodyText"/>
              <w:spacing w:before="100" w:after="100"/>
            </w:pPr>
            <w:r>
              <w:t>Unlimited</w:t>
            </w:r>
          </w:p>
        </w:tc>
        <w:tc>
          <w:tcPr>
            <w:tcW w:w="2141" w:type="dxa"/>
          </w:tcPr>
          <w:p w14:paraId="29D5D18C" w14:textId="77777777" w:rsidR="000D07EA" w:rsidRDefault="00BE7C89">
            <w:pPr>
              <w:pStyle w:val="BodyText"/>
              <w:spacing w:before="100" w:after="100"/>
            </w:pPr>
            <w:r>
              <w:t>Unlimited</w:t>
            </w:r>
          </w:p>
        </w:tc>
      </w:tr>
      <w:tr w:rsidR="000D07EA" w14:paraId="6F12C882" w14:textId="77777777">
        <w:trPr>
          <w:trHeight w:val="20"/>
        </w:trPr>
        <w:tc>
          <w:tcPr>
            <w:tcW w:w="3227" w:type="dxa"/>
          </w:tcPr>
          <w:p w14:paraId="1A327A17" w14:textId="77777777" w:rsidR="000D07EA" w:rsidRDefault="00BE7C89">
            <w:pPr>
              <w:pStyle w:val="BodyText"/>
              <w:spacing w:before="100" w:after="100"/>
              <w:rPr>
                <w:b/>
              </w:rPr>
            </w:pPr>
            <w:r>
              <w:rPr>
                <w:b/>
              </w:rPr>
              <w:t>Standard national voice call to any Australian mobile.</w:t>
            </w:r>
          </w:p>
        </w:tc>
        <w:tc>
          <w:tcPr>
            <w:tcW w:w="2140" w:type="dxa"/>
          </w:tcPr>
          <w:p w14:paraId="1D827117" w14:textId="77777777" w:rsidR="000D07EA" w:rsidRDefault="00BE7C89">
            <w:pPr>
              <w:pStyle w:val="BodyText"/>
              <w:spacing w:before="100" w:after="100"/>
            </w:pPr>
            <w:r>
              <w:t>Unlimited</w:t>
            </w:r>
          </w:p>
        </w:tc>
        <w:tc>
          <w:tcPr>
            <w:tcW w:w="2140" w:type="dxa"/>
          </w:tcPr>
          <w:p w14:paraId="303943B1" w14:textId="77777777" w:rsidR="000D07EA" w:rsidRDefault="00BE7C89">
            <w:pPr>
              <w:pStyle w:val="BodyText"/>
              <w:spacing w:before="100" w:after="100"/>
            </w:pPr>
            <w:r>
              <w:t>Unlimited</w:t>
            </w:r>
          </w:p>
        </w:tc>
        <w:tc>
          <w:tcPr>
            <w:tcW w:w="2141" w:type="dxa"/>
          </w:tcPr>
          <w:p w14:paraId="1FE6A9F4" w14:textId="77777777" w:rsidR="000D07EA" w:rsidRDefault="00BE7C89">
            <w:pPr>
              <w:pStyle w:val="BodyText"/>
              <w:spacing w:before="100" w:after="100"/>
            </w:pPr>
            <w:r>
              <w:t>Unlimited</w:t>
            </w:r>
          </w:p>
        </w:tc>
      </w:tr>
      <w:tr w:rsidR="000D07EA" w14:paraId="78E45FC7" w14:textId="77777777">
        <w:trPr>
          <w:trHeight w:val="20"/>
        </w:trPr>
        <w:tc>
          <w:tcPr>
            <w:tcW w:w="3227" w:type="dxa"/>
          </w:tcPr>
          <w:p w14:paraId="3EA31F62" w14:textId="77777777" w:rsidR="000D07EA" w:rsidRDefault="00BE7C89">
            <w:pPr>
              <w:pStyle w:val="BodyText"/>
              <w:spacing w:before="100" w:after="100"/>
              <w:rPr>
                <w:b/>
              </w:rPr>
            </w:pPr>
            <w:r>
              <w:rPr>
                <w:b/>
              </w:rPr>
              <w:t>Standard national SMS to any Australian mobile.</w:t>
            </w:r>
          </w:p>
        </w:tc>
        <w:tc>
          <w:tcPr>
            <w:tcW w:w="2140" w:type="dxa"/>
          </w:tcPr>
          <w:p w14:paraId="12F7CBB2" w14:textId="77777777" w:rsidR="000D07EA" w:rsidRDefault="00BE7C89">
            <w:pPr>
              <w:pStyle w:val="BodyText"/>
              <w:spacing w:before="100" w:after="100"/>
            </w:pPr>
            <w:r>
              <w:t>Unlimited</w:t>
            </w:r>
          </w:p>
        </w:tc>
        <w:tc>
          <w:tcPr>
            <w:tcW w:w="2140" w:type="dxa"/>
          </w:tcPr>
          <w:p w14:paraId="474E1E04" w14:textId="77777777" w:rsidR="000D07EA" w:rsidRDefault="00BE7C89">
            <w:pPr>
              <w:pStyle w:val="BodyText"/>
              <w:spacing w:before="100" w:after="100"/>
            </w:pPr>
            <w:r>
              <w:t>Unlimited</w:t>
            </w:r>
          </w:p>
        </w:tc>
        <w:tc>
          <w:tcPr>
            <w:tcW w:w="2141" w:type="dxa"/>
          </w:tcPr>
          <w:p w14:paraId="1AE25BB1" w14:textId="77777777" w:rsidR="000D07EA" w:rsidRDefault="00BE7C89">
            <w:pPr>
              <w:pStyle w:val="BodyText"/>
              <w:spacing w:before="100" w:after="100"/>
            </w:pPr>
            <w:r>
              <w:t>Unlimited</w:t>
            </w:r>
          </w:p>
        </w:tc>
      </w:tr>
      <w:tr w:rsidR="000D07EA" w14:paraId="309C6F9B" w14:textId="77777777">
        <w:trPr>
          <w:trHeight w:val="20"/>
        </w:trPr>
        <w:tc>
          <w:tcPr>
            <w:tcW w:w="3227" w:type="dxa"/>
          </w:tcPr>
          <w:p w14:paraId="6C3B4442" w14:textId="77777777" w:rsidR="000D07EA" w:rsidRDefault="00BE7C89">
            <w:pPr>
              <w:pStyle w:val="BodyText"/>
              <w:spacing w:before="100" w:after="100"/>
              <w:rPr>
                <w:b/>
              </w:rPr>
            </w:pPr>
            <w:r>
              <w:rPr>
                <w:b/>
              </w:rPr>
              <w:t>VoiceMail</w:t>
            </w:r>
          </w:p>
        </w:tc>
        <w:tc>
          <w:tcPr>
            <w:tcW w:w="2140" w:type="dxa"/>
          </w:tcPr>
          <w:p w14:paraId="38B698A1" w14:textId="77777777" w:rsidR="000D07EA" w:rsidRDefault="00BE7C89">
            <w:pPr>
              <w:pStyle w:val="BodyText"/>
              <w:spacing w:before="100" w:after="100"/>
            </w:pPr>
            <w:r>
              <w:t>Unlimited</w:t>
            </w:r>
          </w:p>
        </w:tc>
        <w:tc>
          <w:tcPr>
            <w:tcW w:w="2140" w:type="dxa"/>
          </w:tcPr>
          <w:p w14:paraId="500A2DAE" w14:textId="77777777" w:rsidR="000D07EA" w:rsidRDefault="00BE7C89">
            <w:pPr>
              <w:pStyle w:val="BodyText"/>
              <w:spacing w:before="100" w:after="100"/>
            </w:pPr>
            <w:r>
              <w:t>Unlimited</w:t>
            </w:r>
          </w:p>
        </w:tc>
        <w:tc>
          <w:tcPr>
            <w:tcW w:w="2141" w:type="dxa"/>
          </w:tcPr>
          <w:p w14:paraId="31875A35" w14:textId="77777777" w:rsidR="000D07EA" w:rsidRDefault="00BE7C89">
            <w:pPr>
              <w:pStyle w:val="BodyText"/>
              <w:spacing w:before="100" w:after="100"/>
            </w:pPr>
            <w:r>
              <w:t>Unlimited</w:t>
            </w:r>
          </w:p>
        </w:tc>
      </w:tr>
      <w:tr w:rsidR="000D07EA" w14:paraId="6EC8C2F4" w14:textId="77777777">
        <w:trPr>
          <w:trHeight w:val="20"/>
        </w:trPr>
        <w:tc>
          <w:tcPr>
            <w:tcW w:w="3227" w:type="dxa"/>
          </w:tcPr>
          <w:p w14:paraId="7C726AAA" w14:textId="77777777" w:rsidR="000D07EA" w:rsidRDefault="00BE7C89">
            <w:pPr>
              <w:pStyle w:val="BodyText"/>
              <w:spacing w:before="100" w:after="100"/>
              <w:rPr>
                <w:b/>
              </w:rPr>
            </w:pPr>
            <w:r>
              <w:rPr>
                <w:b/>
              </w:rPr>
              <w:t>Calls to 13/1300/1800 Numbers</w:t>
            </w:r>
          </w:p>
        </w:tc>
        <w:tc>
          <w:tcPr>
            <w:tcW w:w="2140" w:type="dxa"/>
          </w:tcPr>
          <w:p w14:paraId="4C730866" w14:textId="77777777" w:rsidR="000D07EA" w:rsidRDefault="00BE7C89">
            <w:pPr>
              <w:pStyle w:val="BodyText"/>
              <w:spacing w:before="100" w:after="100"/>
            </w:pPr>
            <w:r>
              <w:t>N/A</w:t>
            </w:r>
          </w:p>
        </w:tc>
        <w:tc>
          <w:tcPr>
            <w:tcW w:w="2140" w:type="dxa"/>
          </w:tcPr>
          <w:p w14:paraId="741608A5" w14:textId="77777777" w:rsidR="000D07EA" w:rsidRDefault="00BE7C89">
            <w:pPr>
              <w:pStyle w:val="BodyText"/>
              <w:spacing w:before="100" w:after="100"/>
            </w:pPr>
            <w:r>
              <w:t>Unlimited</w:t>
            </w:r>
          </w:p>
        </w:tc>
        <w:tc>
          <w:tcPr>
            <w:tcW w:w="2141" w:type="dxa"/>
          </w:tcPr>
          <w:p w14:paraId="0C5688BF" w14:textId="77777777" w:rsidR="000D07EA" w:rsidRDefault="00BE7C89">
            <w:pPr>
              <w:pStyle w:val="BodyText"/>
              <w:spacing w:before="100" w:after="100"/>
            </w:pPr>
            <w:r>
              <w:t>Unlimited</w:t>
            </w:r>
          </w:p>
        </w:tc>
      </w:tr>
      <w:tr w:rsidR="000D07EA" w14:paraId="075E19E8" w14:textId="77777777">
        <w:trPr>
          <w:trHeight w:val="20"/>
        </w:trPr>
        <w:tc>
          <w:tcPr>
            <w:tcW w:w="3227" w:type="dxa"/>
            <w:vMerge w:val="restart"/>
          </w:tcPr>
          <w:p w14:paraId="26EBF3FE" w14:textId="77777777" w:rsidR="000D07EA" w:rsidRDefault="00BE7C89">
            <w:pPr>
              <w:pStyle w:val="BodyText"/>
              <w:spacing w:before="100" w:after="100"/>
              <w:rPr>
                <w:b/>
              </w:rPr>
            </w:pPr>
            <w:r>
              <w:rPr>
                <w:b/>
              </w:rPr>
              <w:t>Monthly Included Mobile Internet Data and Unlimited BlackBerry POP3 Email and Browsing</w:t>
            </w:r>
          </w:p>
        </w:tc>
        <w:tc>
          <w:tcPr>
            <w:tcW w:w="2140" w:type="dxa"/>
          </w:tcPr>
          <w:p w14:paraId="44FC19BC" w14:textId="77777777" w:rsidR="000D07EA" w:rsidRDefault="000D07EA">
            <w:pPr>
              <w:pStyle w:val="BodyText"/>
              <w:spacing w:before="100" w:after="100"/>
            </w:pPr>
          </w:p>
        </w:tc>
        <w:tc>
          <w:tcPr>
            <w:tcW w:w="2140" w:type="dxa"/>
          </w:tcPr>
          <w:p w14:paraId="16741F8F" w14:textId="77777777" w:rsidR="000D07EA" w:rsidRDefault="000D07EA">
            <w:pPr>
              <w:pStyle w:val="BodyText"/>
              <w:spacing w:before="100" w:after="100"/>
            </w:pPr>
          </w:p>
        </w:tc>
        <w:tc>
          <w:tcPr>
            <w:tcW w:w="2141" w:type="dxa"/>
          </w:tcPr>
          <w:p w14:paraId="7FEB77C1" w14:textId="77777777" w:rsidR="000D07EA" w:rsidRDefault="000D07EA">
            <w:pPr>
              <w:pStyle w:val="BodyText"/>
              <w:spacing w:before="100" w:after="100"/>
            </w:pPr>
          </w:p>
        </w:tc>
      </w:tr>
      <w:tr w:rsidR="000D07EA" w14:paraId="7EF5EEAF" w14:textId="77777777">
        <w:trPr>
          <w:trHeight w:val="20"/>
        </w:trPr>
        <w:tc>
          <w:tcPr>
            <w:tcW w:w="3227" w:type="dxa"/>
            <w:vMerge/>
            <w:vAlign w:val="center"/>
          </w:tcPr>
          <w:p w14:paraId="4014973F" w14:textId="77777777" w:rsidR="000D07EA" w:rsidRDefault="000D07EA">
            <w:pPr>
              <w:pStyle w:val="BodyText"/>
              <w:spacing w:before="100" w:after="100"/>
              <w:rPr>
                <w:b/>
              </w:rPr>
            </w:pPr>
          </w:p>
        </w:tc>
        <w:tc>
          <w:tcPr>
            <w:tcW w:w="2140" w:type="dxa"/>
          </w:tcPr>
          <w:p w14:paraId="70FB2E0A" w14:textId="77777777" w:rsidR="000D07EA" w:rsidRDefault="00BE7C89">
            <w:pPr>
              <w:pStyle w:val="BodyText"/>
              <w:spacing w:before="100" w:after="100"/>
            </w:pPr>
            <w:r>
              <w:t>2GB</w:t>
            </w:r>
          </w:p>
        </w:tc>
        <w:tc>
          <w:tcPr>
            <w:tcW w:w="2140" w:type="dxa"/>
          </w:tcPr>
          <w:p w14:paraId="6F2233E2" w14:textId="77777777" w:rsidR="000D07EA" w:rsidRDefault="00BE7C89">
            <w:pPr>
              <w:pStyle w:val="BodyText"/>
              <w:spacing w:before="100" w:after="100"/>
            </w:pPr>
            <w:r>
              <w:t>3GB</w:t>
            </w:r>
          </w:p>
        </w:tc>
        <w:tc>
          <w:tcPr>
            <w:tcW w:w="2141" w:type="dxa"/>
          </w:tcPr>
          <w:p w14:paraId="0E2D67DB" w14:textId="77777777" w:rsidR="000D07EA" w:rsidRDefault="00BE7C89">
            <w:pPr>
              <w:pStyle w:val="BodyText"/>
              <w:spacing w:before="100" w:after="100"/>
            </w:pPr>
            <w:r>
              <w:t>4GB</w:t>
            </w:r>
          </w:p>
        </w:tc>
      </w:tr>
      <w:tr w:rsidR="000D07EA" w14:paraId="5B3F1518" w14:textId="77777777">
        <w:trPr>
          <w:trHeight w:val="20"/>
        </w:trPr>
        <w:tc>
          <w:tcPr>
            <w:tcW w:w="3227" w:type="dxa"/>
            <w:vMerge/>
            <w:vAlign w:val="center"/>
          </w:tcPr>
          <w:p w14:paraId="3BD29D45" w14:textId="77777777" w:rsidR="000D07EA" w:rsidRDefault="000D07EA">
            <w:pPr>
              <w:pStyle w:val="BodyText"/>
              <w:spacing w:before="100" w:after="100"/>
              <w:rPr>
                <w:b/>
              </w:rPr>
            </w:pPr>
          </w:p>
        </w:tc>
        <w:tc>
          <w:tcPr>
            <w:tcW w:w="2140" w:type="dxa"/>
          </w:tcPr>
          <w:p w14:paraId="19E836E9" w14:textId="77777777" w:rsidR="000D07EA" w:rsidRDefault="000D07EA">
            <w:pPr>
              <w:pStyle w:val="BodyText"/>
              <w:spacing w:before="100" w:after="100"/>
            </w:pPr>
          </w:p>
        </w:tc>
        <w:tc>
          <w:tcPr>
            <w:tcW w:w="2140" w:type="dxa"/>
          </w:tcPr>
          <w:p w14:paraId="7C8F501F" w14:textId="77777777" w:rsidR="000D07EA" w:rsidRDefault="000D07EA">
            <w:pPr>
              <w:pStyle w:val="BodyText"/>
              <w:spacing w:before="100" w:after="100"/>
            </w:pPr>
          </w:p>
        </w:tc>
        <w:tc>
          <w:tcPr>
            <w:tcW w:w="2141" w:type="dxa"/>
          </w:tcPr>
          <w:p w14:paraId="2101C068" w14:textId="77777777" w:rsidR="000D07EA" w:rsidRDefault="000D07EA">
            <w:pPr>
              <w:pStyle w:val="BodyText"/>
              <w:spacing w:before="100" w:after="100"/>
            </w:pPr>
          </w:p>
        </w:tc>
      </w:tr>
      <w:tr w:rsidR="000D07EA" w14:paraId="5D7D4A53" w14:textId="77777777">
        <w:trPr>
          <w:trHeight w:val="20"/>
        </w:trPr>
        <w:tc>
          <w:tcPr>
            <w:tcW w:w="3227" w:type="dxa"/>
            <w:vMerge/>
            <w:vAlign w:val="center"/>
          </w:tcPr>
          <w:p w14:paraId="1E192638" w14:textId="77777777" w:rsidR="000D07EA" w:rsidRDefault="000D07EA">
            <w:pPr>
              <w:pStyle w:val="BodyText"/>
              <w:spacing w:before="100" w:after="100"/>
              <w:rPr>
                <w:b/>
              </w:rPr>
            </w:pPr>
          </w:p>
        </w:tc>
        <w:tc>
          <w:tcPr>
            <w:tcW w:w="2140" w:type="dxa"/>
          </w:tcPr>
          <w:p w14:paraId="45DBE66B" w14:textId="77777777" w:rsidR="000D07EA" w:rsidRDefault="00BE7C89">
            <w:pPr>
              <w:pStyle w:val="BodyText"/>
              <w:spacing w:before="100" w:after="100"/>
              <w:jc w:val="center"/>
            </w:pPr>
            <w:r>
              <w:t>Unlimited BlackBerry POP3 Email and Browsing</w:t>
            </w:r>
          </w:p>
        </w:tc>
        <w:tc>
          <w:tcPr>
            <w:tcW w:w="2140" w:type="dxa"/>
          </w:tcPr>
          <w:p w14:paraId="202379EE" w14:textId="77777777" w:rsidR="000D07EA" w:rsidRDefault="00BE7C89">
            <w:pPr>
              <w:pStyle w:val="BodyText"/>
              <w:spacing w:before="100" w:after="100"/>
              <w:jc w:val="center"/>
            </w:pPr>
            <w:r>
              <w:t>Unlimited BlackBerry POP3 Email and Browsing</w:t>
            </w:r>
          </w:p>
        </w:tc>
        <w:tc>
          <w:tcPr>
            <w:tcW w:w="2141" w:type="dxa"/>
          </w:tcPr>
          <w:p w14:paraId="0C0957E3" w14:textId="77777777" w:rsidR="000D07EA" w:rsidRDefault="00BE7C89">
            <w:pPr>
              <w:pStyle w:val="BodyText"/>
              <w:spacing w:before="100" w:after="100"/>
              <w:jc w:val="center"/>
            </w:pPr>
            <w:r>
              <w:t>Unlimited BlackBerry POP3 Email and Browsing</w:t>
            </w:r>
          </w:p>
        </w:tc>
      </w:tr>
      <w:tr w:rsidR="000D07EA" w14:paraId="7E28ABE0" w14:textId="77777777">
        <w:trPr>
          <w:trHeight w:val="20"/>
        </w:trPr>
        <w:tc>
          <w:tcPr>
            <w:tcW w:w="3227" w:type="dxa"/>
          </w:tcPr>
          <w:p w14:paraId="2A992819" w14:textId="77777777" w:rsidR="000D07EA" w:rsidRDefault="00BE7C89">
            <w:pPr>
              <w:pStyle w:val="BodyText"/>
              <w:spacing w:before="100" w:after="100"/>
              <w:rPr>
                <w:b/>
              </w:rPr>
            </w:pPr>
            <w:r>
              <w:rPr>
                <w:b/>
              </w:rPr>
              <w:t>Included International Value</w:t>
            </w:r>
          </w:p>
        </w:tc>
        <w:tc>
          <w:tcPr>
            <w:tcW w:w="2140" w:type="dxa"/>
          </w:tcPr>
          <w:p w14:paraId="50A407AB" w14:textId="77777777" w:rsidR="000D07EA" w:rsidRDefault="00BE7C89">
            <w:pPr>
              <w:pStyle w:val="BodyText"/>
              <w:spacing w:before="100" w:after="100"/>
            </w:pPr>
            <w:r>
              <w:t>N/A</w:t>
            </w:r>
          </w:p>
        </w:tc>
        <w:tc>
          <w:tcPr>
            <w:tcW w:w="2140" w:type="dxa"/>
          </w:tcPr>
          <w:p w14:paraId="3FC71AFD" w14:textId="77777777" w:rsidR="000D07EA" w:rsidRDefault="00BE7C89">
            <w:pPr>
              <w:pStyle w:val="BodyText"/>
              <w:spacing w:before="100" w:after="100"/>
            </w:pPr>
            <w:r>
              <w:t>N/A</w:t>
            </w:r>
          </w:p>
        </w:tc>
        <w:tc>
          <w:tcPr>
            <w:tcW w:w="2141" w:type="dxa"/>
          </w:tcPr>
          <w:p w14:paraId="54633D04" w14:textId="77777777" w:rsidR="000D07EA" w:rsidRDefault="00BE7C89">
            <w:pPr>
              <w:pStyle w:val="BodyText"/>
              <w:spacing w:before="100" w:after="100"/>
            </w:pPr>
            <w:r>
              <w:t>$100</w:t>
            </w:r>
          </w:p>
        </w:tc>
      </w:tr>
      <w:tr w:rsidR="000D07EA" w14:paraId="09AB2147" w14:textId="77777777">
        <w:trPr>
          <w:trHeight w:val="20"/>
        </w:trPr>
        <w:tc>
          <w:tcPr>
            <w:tcW w:w="3227" w:type="dxa"/>
          </w:tcPr>
          <w:p w14:paraId="7956A004" w14:textId="77777777" w:rsidR="000D07EA" w:rsidRDefault="00BE7C89">
            <w:pPr>
              <w:pStyle w:val="BodyText"/>
              <w:spacing w:before="100" w:after="100"/>
              <w:rPr>
                <w:b/>
                <w:i/>
                <w:iCs/>
              </w:rPr>
            </w:pPr>
            <w:r>
              <w:rPr>
                <w:b/>
                <w:i/>
                <w:iCs/>
              </w:rPr>
              <w:t>Excess Data Charge (charged per kb, includes uploads and downloads)</w:t>
            </w:r>
          </w:p>
        </w:tc>
        <w:tc>
          <w:tcPr>
            <w:tcW w:w="2140" w:type="dxa"/>
          </w:tcPr>
          <w:p w14:paraId="0B45AC2C" w14:textId="77777777" w:rsidR="000D07EA" w:rsidRDefault="00BE7C89">
            <w:pPr>
              <w:pStyle w:val="BodyText"/>
              <w:spacing w:before="100" w:after="100"/>
            </w:pPr>
            <w:r>
              <w:t>$0.25/MB</w:t>
            </w:r>
          </w:p>
        </w:tc>
        <w:tc>
          <w:tcPr>
            <w:tcW w:w="2140" w:type="dxa"/>
          </w:tcPr>
          <w:p w14:paraId="0AEACB0F" w14:textId="77777777" w:rsidR="000D07EA" w:rsidRDefault="00BE7C89">
            <w:pPr>
              <w:pStyle w:val="BodyText"/>
              <w:spacing w:before="100" w:after="100"/>
            </w:pPr>
            <w:r>
              <w:t>$0.25/MB</w:t>
            </w:r>
          </w:p>
        </w:tc>
        <w:tc>
          <w:tcPr>
            <w:tcW w:w="2141" w:type="dxa"/>
          </w:tcPr>
          <w:p w14:paraId="6C7CC554" w14:textId="77777777" w:rsidR="000D07EA" w:rsidRDefault="00BE7C89">
            <w:pPr>
              <w:pStyle w:val="BodyText"/>
              <w:spacing w:before="100" w:after="100"/>
            </w:pPr>
            <w:r>
              <w:t>$0.25/MB</w:t>
            </w:r>
          </w:p>
        </w:tc>
      </w:tr>
      <w:tr w:rsidR="000D07EA" w14:paraId="6D5417B5" w14:textId="77777777">
        <w:trPr>
          <w:trHeight w:val="20"/>
        </w:trPr>
        <w:tc>
          <w:tcPr>
            <w:tcW w:w="3227" w:type="dxa"/>
          </w:tcPr>
          <w:p w14:paraId="05285AB7" w14:textId="77777777" w:rsidR="000D07EA" w:rsidRDefault="00BE7C89">
            <w:pPr>
              <w:pStyle w:val="BodyText"/>
              <w:spacing w:before="100" w:after="100"/>
              <w:rPr>
                <w:b/>
              </w:rPr>
            </w:pPr>
            <w:r>
              <w:rPr>
                <w:b/>
              </w:rPr>
              <w:t>International Video call charges (per minute)</w:t>
            </w:r>
          </w:p>
        </w:tc>
        <w:tc>
          <w:tcPr>
            <w:tcW w:w="2140" w:type="dxa"/>
          </w:tcPr>
          <w:p w14:paraId="782CE19D" w14:textId="77777777" w:rsidR="000D07EA" w:rsidRDefault="00BE7C89">
            <w:pPr>
              <w:pStyle w:val="BodyText"/>
              <w:spacing w:before="100" w:after="100"/>
              <w:jc w:val="center"/>
            </w:pPr>
            <w:r>
              <w:t>$1.50 per min plus 35c flagfall</w:t>
            </w:r>
          </w:p>
        </w:tc>
        <w:tc>
          <w:tcPr>
            <w:tcW w:w="2140" w:type="dxa"/>
          </w:tcPr>
          <w:p w14:paraId="6CD83AA5" w14:textId="77777777" w:rsidR="000D07EA" w:rsidRDefault="00BE7C89">
            <w:pPr>
              <w:pStyle w:val="BodyText"/>
              <w:spacing w:before="100" w:after="100"/>
              <w:jc w:val="center"/>
            </w:pPr>
            <w:r>
              <w:t>$1.50 per min plus 35c flagfall</w:t>
            </w:r>
          </w:p>
        </w:tc>
        <w:tc>
          <w:tcPr>
            <w:tcW w:w="2141" w:type="dxa"/>
          </w:tcPr>
          <w:p w14:paraId="3E4EBA76" w14:textId="77777777" w:rsidR="000D07EA" w:rsidRDefault="00BE7C89">
            <w:pPr>
              <w:pStyle w:val="BodyText"/>
              <w:spacing w:before="100" w:after="100"/>
              <w:jc w:val="center"/>
            </w:pPr>
            <w:r>
              <w:t>$1.50 per min plus 35c flagfall</w:t>
            </w:r>
          </w:p>
        </w:tc>
      </w:tr>
      <w:tr w:rsidR="000D07EA" w14:paraId="2A7F8676" w14:textId="77777777">
        <w:trPr>
          <w:trHeight w:val="20"/>
        </w:trPr>
        <w:tc>
          <w:tcPr>
            <w:tcW w:w="3227" w:type="dxa"/>
          </w:tcPr>
          <w:p w14:paraId="4E1E6899" w14:textId="77777777" w:rsidR="000D07EA" w:rsidRDefault="00BE7C89">
            <w:pPr>
              <w:pStyle w:val="BodyText"/>
              <w:spacing w:before="100" w:after="100"/>
              <w:rPr>
                <w:b/>
              </w:rPr>
            </w:pPr>
            <w:r>
              <w:rPr>
                <w:b/>
              </w:rPr>
              <w:t>Standard national MMS to any Australian mobile.</w:t>
            </w:r>
          </w:p>
        </w:tc>
        <w:tc>
          <w:tcPr>
            <w:tcW w:w="2140" w:type="dxa"/>
          </w:tcPr>
          <w:p w14:paraId="7F9F9A82" w14:textId="77777777" w:rsidR="000D07EA" w:rsidRDefault="00BE7C89">
            <w:pPr>
              <w:pStyle w:val="BodyText"/>
              <w:spacing w:before="100" w:after="100"/>
            </w:pPr>
            <w:r>
              <w:t>$0.50</w:t>
            </w:r>
          </w:p>
        </w:tc>
        <w:tc>
          <w:tcPr>
            <w:tcW w:w="2140" w:type="dxa"/>
          </w:tcPr>
          <w:p w14:paraId="28F760C5" w14:textId="77777777" w:rsidR="000D07EA" w:rsidRDefault="00BE7C89">
            <w:pPr>
              <w:pStyle w:val="BodyText"/>
              <w:spacing w:before="100" w:after="100"/>
            </w:pPr>
            <w:r>
              <w:t>$0.50</w:t>
            </w:r>
          </w:p>
        </w:tc>
        <w:tc>
          <w:tcPr>
            <w:tcW w:w="2141" w:type="dxa"/>
          </w:tcPr>
          <w:p w14:paraId="35481CA4" w14:textId="77777777" w:rsidR="000D07EA" w:rsidRDefault="00BE7C89">
            <w:pPr>
              <w:pStyle w:val="BodyText"/>
              <w:spacing w:before="100" w:after="100"/>
            </w:pPr>
            <w:r>
              <w:t>$0.50</w:t>
            </w:r>
          </w:p>
        </w:tc>
      </w:tr>
      <w:tr w:rsidR="000D07EA" w14:paraId="4ED4519B" w14:textId="77777777">
        <w:trPr>
          <w:trHeight w:val="20"/>
        </w:trPr>
        <w:tc>
          <w:tcPr>
            <w:tcW w:w="3227" w:type="dxa"/>
          </w:tcPr>
          <w:p w14:paraId="79563042" w14:textId="77777777" w:rsidR="000D07EA" w:rsidRDefault="00BE7C89">
            <w:pPr>
              <w:pStyle w:val="BodyText"/>
              <w:spacing w:before="100" w:after="100"/>
              <w:rPr>
                <w:b/>
              </w:rPr>
            </w:pPr>
            <w:r>
              <w:rPr>
                <w:b/>
              </w:rPr>
              <w:t xml:space="preserve">International SMS </w:t>
            </w:r>
            <w:r>
              <w:t>(per message)</w:t>
            </w:r>
          </w:p>
        </w:tc>
        <w:tc>
          <w:tcPr>
            <w:tcW w:w="2140" w:type="dxa"/>
          </w:tcPr>
          <w:p w14:paraId="7A865A8B" w14:textId="77777777" w:rsidR="000D07EA" w:rsidRDefault="00BE7C89">
            <w:pPr>
              <w:pStyle w:val="BodyText"/>
              <w:spacing w:before="100" w:after="100"/>
            </w:pPr>
            <w:r>
              <w:t>$0.50</w:t>
            </w:r>
          </w:p>
        </w:tc>
        <w:tc>
          <w:tcPr>
            <w:tcW w:w="2140" w:type="dxa"/>
          </w:tcPr>
          <w:p w14:paraId="0F4C8F65" w14:textId="77777777" w:rsidR="000D07EA" w:rsidRDefault="00BE7C89">
            <w:pPr>
              <w:pStyle w:val="BodyText"/>
              <w:spacing w:before="100" w:after="100"/>
            </w:pPr>
            <w:r>
              <w:t>$0.50</w:t>
            </w:r>
          </w:p>
        </w:tc>
        <w:tc>
          <w:tcPr>
            <w:tcW w:w="2141" w:type="dxa"/>
          </w:tcPr>
          <w:p w14:paraId="0725C3C7" w14:textId="77777777" w:rsidR="000D07EA" w:rsidRDefault="00BE7C89">
            <w:pPr>
              <w:pStyle w:val="BodyText"/>
              <w:spacing w:before="100" w:after="100"/>
            </w:pPr>
            <w:r>
              <w:t>$0.50</w:t>
            </w:r>
          </w:p>
        </w:tc>
      </w:tr>
      <w:tr w:rsidR="000D07EA" w14:paraId="3B779253" w14:textId="77777777">
        <w:trPr>
          <w:trHeight w:val="20"/>
        </w:trPr>
        <w:tc>
          <w:tcPr>
            <w:tcW w:w="3227" w:type="dxa"/>
          </w:tcPr>
          <w:p w14:paraId="424B7682" w14:textId="77777777" w:rsidR="000D07EA" w:rsidRDefault="00BE7C89">
            <w:pPr>
              <w:pStyle w:val="BodyText"/>
              <w:spacing w:before="100" w:after="100"/>
              <w:rPr>
                <w:b/>
              </w:rPr>
            </w:pPr>
            <w:r>
              <w:rPr>
                <w:b/>
              </w:rPr>
              <w:t>International MMS (per message)</w:t>
            </w:r>
          </w:p>
        </w:tc>
        <w:tc>
          <w:tcPr>
            <w:tcW w:w="2140" w:type="dxa"/>
          </w:tcPr>
          <w:p w14:paraId="640E32D7" w14:textId="77777777" w:rsidR="000D07EA" w:rsidRDefault="00BE7C89">
            <w:pPr>
              <w:pStyle w:val="BodyText"/>
              <w:spacing w:before="100" w:after="100"/>
            </w:pPr>
            <w:r>
              <w:t>$0.75</w:t>
            </w:r>
          </w:p>
        </w:tc>
        <w:tc>
          <w:tcPr>
            <w:tcW w:w="2140" w:type="dxa"/>
          </w:tcPr>
          <w:p w14:paraId="0FC1453D" w14:textId="77777777" w:rsidR="000D07EA" w:rsidRDefault="00BE7C89">
            <w:pPr>
              <w:pStyle w:val="BodyText"/>
              <w:spacing w:before="100" w:after="100"/>
            </w:pPr>
            <w:r>
              <w:t>$0.75</w:t>
            </w:r>
          </w:p>
        </w:tc>
        <w:tc>
          <w:tcPr>
            <w:tcW w:w="2141" w:type="dxa"/>
          </w:tcPr>
          <w:p w14:paraId="0489F48E" w14:textId="77777777" w:rsidR="000D07EA" w:rsidRDefault="00BE7C89">
            <w:pPr>
              <w:pStyle w:val="BodyText"/>
              <w:spacing w:before="100" w:after="100"/>
            </w:pPr>
            <w:r>
              <w:t>$0.75</w:t>
            </w:r>
          </w:p>
        </w:tc>
      </w:tr>
      <w:tr w:rsidR="000D07EA" w14:paraId="4B27F29D" w14:textId="77777777">
        <w:trPr>
          <w:trHeight w:val="20"/>
        </w:trPr>
        <w:tc>
          <w:tcPr>
            <w:tcW w:w="3227" w:type="dxa"/>
          </w:tcPr>
          <w:p w14:paraId="75355078" w14:textId="77777777" w:rsidR="000D07EA" w:rsidRDefault="00BE7C89">
            <w:pPr>
              <w:pStyle w:val="BodyText"/>
              <w:spacing w:before="100" w:after="100"/>
              <w:rPr>
                <w:b/>
              </w:rPr>
            </w:pPr>
            <w:r>
              <w:rPr>
                <w:b/>
              </w:rPr>
              <w:t>International Rates</w:t>
            </w:r>
          </w:p>
        </w:tc>
        <w:tc>
          <w:tcPr>
            <w:tcW w:w="2140" w:type="dxa"/>
          </w:tcPr>
          <w:p w14:paraId="195CEF07" w14:textId="77777777" w:rsidR="000D07EA" w:rsidRDefault="00BE7C89">
            <w:pPr>
              <w:pStyle w:val="BodyText"/>
              <w:spacing w:before="100" w:after="100"/>
              <w:jc w:val="center"/>
              <w:rPr>
                <w:iCs/>
              </w:rPr>
            </w:pPr>
            <w:r>
              <w:rPr>
                <w:iCs/>
              </w:rPr>
              <w:t>International 'yes' Call Rates (see Appendix J)</w:t>
            </w:r>
          </w:p>
        </w:tc>
        <w:tc>
          <w:tcPr>
            <w:tcW w:w="2140" w:type="dxa"/>
          </w:tcPr>
          <w:p w14:paraId="1D4A9485" w14:textId="77777777" w:rsidR="000D07EA" w:rsidRDefault="00BE7C89">
            <w:pPr>
              <w:pStyle w:val="BodyText"/>
              <w:spacing w:before="100" w:after="100"/>
              <w:jc w:val="center"/>
              <w:rPr>
                <w:iCs/>
              </w:rPr>
            </w:pPr>
            <w:r>
              <w:rPr>
                <w:iCs/>
              </w:rPr>
              <w:t>International 'yes' Call Rates (see Appendix J)</w:t>
            </w:r>
          </w:p>
        </w:tc>
        <w:tc>
          <w:tcPr>
            <w:tcW w:w="2141" w:type="dxa"/>
          </w:tcPr>
          <w:p w14:paraId="513075E7" w14:textId="77777777" w:rsidR="000D07EA" w:rsidRDefault="00BE7C89">
            <w:pPr>
              <w:pStyle w:val="BodyText"/>
              <w:spacing w:before="100" w:after="100"/>
              <w:jc w:val="center"/>
              <w:rPr>
                <w:iCs/>
              </w:rPr>
            </w:pPr>
            <w:r>
              <w:rPr>
                <w:iCs/>
              </w:rPr>
              <w:t>International 'yes' Call Rates (see Appendix J)</w:t>
            </w:r>
          </w:p>
        </w:tc>
      </w:tr>
      <w:tr w:rsidR="000D07EA" w14:paraId="712C0A04" w14:textId="77777777">
        <w:trPr>
          <w:trHeight w:val="20"/>
        </w:trPr>
        <w:tc>
          <w:tcPr>
            <w:tcW w:w="3227" w:type="dxa"/>
          </w:tcPr>
          <w:p w14:paraId="569346C1" w14:textId="77777777" w:rsidR="000D07EA" w:rsidRDefault="00BE7C89">
            <w:pPr>
              <w:pStyle w:val="BodyText"/>
              <w:spacing w:before="100" w:after="100"/>
              <w:rPr>
                <w:b/>
              </w:rPr>
            </w:pPr>
            <w:r>
              <w:rPr>
                <w:b/>
              </w:rPr>
              <w:t xml:space="preserve">Other call charges </w:t>
            </w:r>
          </w:p>
        </w:tc>
        <w:tc>
          <w:tcPr>
            <w:tcW w:w="2140" w:type="dxa"/>
          </w:tcPr>
          <w:p w14:paraId="6B0E2C28" w14:textId="77777777" w:rsidR="000D07EA" w:rsidRDefault="00BE7C89">
            <w:pPr>
              <w:pStyle w:val="BodyText"/>
              <w:spacing w:before="100" w:after="100"/>
              <w:jc w:val="center"/>
            </w:pPr>
            <w:r>
              <w:t xml:space="preserve">See section 1 of this </w:t>
            </w:r>
            <w:r>
              <w:rPr>
                <w:i/>
                <w:iCs/>
              </w:rPr>
              <w:t>standard pricing table</w:t>
            </w:r>
            <w:r>
              <w:t xml:space="preserve"> and Appendix Y (Value Added Service Features)</w:t>
            </w:r>
          </w:p>
        </w:tc>
        <w:tc>
          <w:tcPr>
            <w:tcW w:w="2140" w:type="dxa"/>
          </w:tcPr>
          <w:p w14:paraId="19C0F6C4" w14:textId="77777777" w:rsidR="000D07EA" w:rsidRDefault="00BE7C89">
            <w:pPr>
              <w:pStyle w:val="BodyText"/>
              <w:spacing w:before="100" w:after="100"/>
              <w:jc w:val="center"/>
            </w:pPr>
            <w:r>
              <w:t xml:space="preserve">See section 1 of this </w:t>
            </w:r>
            <w:r>
              <w:rPr>
                <w:i/>
                <w:iCs/>
              </w:rPr>
              <w:t>standard pricing table</w:t>
            </w:r>
            <w:r>
              <w:t xml:space="preserve"> and Appendix Y (Value Added Service Features)</w:t>
            </w:r>
          </w:p>
        </w:tc>
        <w:tc>
          <w:tcPr>
            <w:tcW w:w="2141" w:type="dxa"/>
          </w:tcPr>
          <w:p w14:paraId="1AC776FA" w14:textId="77777777" w:rsidR="000D07EA" w:rsidRDefault="00BE7C89">
            <w:pPr>
              <w:pStyle w:val="BodyText"/>
              <w:spacing w:before="100" w:after="100"/>
              <w:jc w:val="center"/>
            </w:pPr>
            <w:r>
              <w:t xml:space="preserve">See section 1 of this </w:t>
            </w:r>
            <w:r>
              <w:rPr>
                <w:i/>
                <w:iCs/>
              </w:rPr>
              <w:t>standard pricing table</w:t>
            </w:r>
            <w:r>
              <w:t xml:space="preserve"> and Appendix Y (Value Added Service Features)</w:t>
            </w:r>
          </w:p>
        </w:tc>
      </w:tr>
      <w:tr w:rsidR="000D07EA" w14:paraId="6D5BC66A" w14:textId="77777777">
        <w:trPr>
          <w:trHeight w:val="20"/>
        </w:trPr>
        <w:tc>
          <w:tcPr>
            <w:tcW w:w="3227" w:type="dxa"/>
          </w:tcPr>
          <w:p w14:paraId="41893A4F" w14:textId="77777777" w:rsidR="000D07EA" w:rsidRDefault="00BE7C89" w:rsidP="004B6163">
            <w:pPr>
              <w:pStyle w:val="BodyText"/>
              <w:spacing w:before="100" w:after="100"/>
              <w:rPr>
                <w:b/>
              </w:rPr>
            </w:pPr>
            <w:r>
              <w:rPr>
                <w:b/>
              </w:rPr>
              <w:t xml:space="preserve">Other conditions </w:t>
            </w:r>
            <w:r>
              <w:t xml:space="preserve">(for details see paragraph </w:t>
            </w:r>
            <w:r w:rsidR="004B6163">
              <w:t>103.5(k)</w:t>
            </w:r>
            <w:r>
              <w:t>above)</w:t>
            </w:r>
          </w:p>
        </w:tc>
        <w:tc>
          <w:tcPr>
            <w:tcW w:w="2140" w:type="dxa"/>
          </w:tcPr>
          <w:p w14:paraId="488EB01B" w14:textId="77777777" w:rsidR="000D07EA" w:rsidRDefault="00BE7C89">
            <w:pPr>
              <w:pStyle w:val="BodyText"/>
              <w:spacing w:before="100" w:after="100"/>
              <w:jc w:val="center"/>
            </w:pPr>
            <w:r>
              <w:t>Fair Go Policy (</w:t>
            </w:r>
            <w:hyperlink r:id="rId490" w:history="1">
              <w:r>
                <w:rPr>
                  <w:rStyle w:val="Hyperlink"/>
                  <w:i/>
                </w:rPr>
                <w:t>Appendix S</w:t>
              </w:r>
            </w:hyperlink>
            <w:r>
              <w:t xml:space="preserve">) applies to 'unreasonable </w:t>
            </w:r>
            <w:r>
              <w:lastRenderedPageBreak/>
              <w:t>use', 'unacceptable use', 'commercial purpose', and 'non-ordinary purpose'</w:t>
            </w:r>
          </w:p>
        </w:tc>
        <w:tc>
          <w:tcPr>
            <w:tcW w:w="2140" w:type="dxa"/>
          </w:tcPr>
          <w:p w14:paraId="2506D99F" w14:textId="77777777" w:rsidR="000D07EA" w:rsidRDefault="00BE7C89">
            <w:pPr>
              <w:pStyle w:val="BodyText"/>
              <w:spacing w:before="100" w:after="100"/>
              <w:jc w:val="center"/>
            </w:pPr>
            <w:r>
              <w:lastRenderedPageBreak/>
              <w:t>Fair Go Policy (</w:t>
            </w:r>
            <w:hyperlink r:id="rId491" w:history="1">
              <w:r>
                <w:rPr>
                  <w:rStyle w:val="Hyperlink"/>
                  <w:i/>
                </w:rPr>
                <w:t>Appendix S</w:t>
              </w:r>
            </w:hyperlink>
            <w:r>
              <w:t xml:space="preserve">) applies to 'unreasonable </w:t>
            </w:r>
            <w:r>
              <w:lastRenderedPageBreak/>
              <w:t>use', 'unacceptable use', 'commercial purpose', and 'non-ordinary purpose'</w:t>
            </w:r>
          </w:p>
        </w:tc>
        <w:tc>
          <w:tcPr>
            <w:tcW w:w="2141" w:type="dxa"/>
          </w:tcPr>
          <w:p w14:paraId="12D76C20" w14:textId="77777777" w:rsidR="000D07EA" w:rsidRDefault="00BE7C89">
            <w:pPr>
              <w:pStyle w:val="BodyText"/>
              <w:spacing w:before="100" w:after="100"/>
              <w:jc w:val="center"/>
            </w:pPr>
            <w:r>
              <w:lastRenderedPageBreak/>
              <w:t>Fair Go Policy (</w:t>
            </w:r>
            <w:hyperlink r:id="rId492" w:history="1">
              <w:r>
                <w:rPr>
                  <w:rStyle w:val="Hyperlink"/>
                  <w:i/>
                </w:rPr>
                <w:t>Appendix S</w:t>
              </w:r>
            </w:hyperlink>
            <w:r>
              <w:t xml:space="preserve">) applies to 'unreasonable </w:t>
            </w:r>
            <w:r>
              <w:lastRenderedPageBreak/>
              <w:t>use', 'unacceptable use', 'commercial purpose', and 'non-ordinary purpose'</w:t>
            </w:r>
          </w:p>
        </w:tc>
      </w:tr>
      <w:tr w:rsidR="000D07EA" w14:paraId="643F750A" w14:textId="77777777">
        <w:trPr>
          <w:trHeight w:val="20"/>
        </w:trPr>
        <w:tc>
          <w:tcPr>
            <w:tcW w:w="3227" w:type="dxa"/>
          </w:tcPr>
          <w:p w14:paraId="74D7B296" w14:textId="77777777" w:rsidR="000D07EA" w:rsidRDefault="00BE7C89">
            <w:pPr>
              <w:pStyle w:val="BodyText"/>
              <w:spacing w:before="100" w:after="100"/>
              <w:rPr>
                <w:b/>
              </w:rPr>
            </w:pPr>
            <w:r>
              <w:rPr>
                <w:b/>
              </w:rPr>
              <w:lastRenderedPageBreak/>
              <w:t>Available on Non Fixed Length Agreement (Month to Month)</w:t>
            </w:r>
          </w:p>
        </w:tc>
        <w:tc>
          <w:tcPr>
            <w:tcW w:w="2140" w:type="dxa"/>
          </w:tcPr>
          <w:p w14:paraId="11EB1BDB" w14:textId="77777777" w:rsidR="000D07EA" w:rsidRDefault="00BE7C89">
            <w:pPr>
              <w:pStyle w:val="BodyText"/>
              <w:spacing w:before="100" w:after="100"/>
            </w:pPr>
            <w:r>
              <w:t>No</w:t>
            </w:r>
          </w:p>
        </w:tc>
        <w:tc>
          <w:tcPr>
            <w:tcW w:w="2140" w:type="dxa"/>
          </w:tcPr>
          <w:p w14:paraId="039861AD" w14:textId="77777777" w:rsidR="000D07EA" w:rsidRDefault="00BE7C89">
            <w:pPr>
              <w:pStyle w:val="BodyText"/>
              <w:spacing w:before="100" w:after="100"/>
            </w:pPr>
            <w:r>
              <w:t>No</w:t>
            </w:r>
          </w:p>
        </w:tc>
        <w:tc>
          <w:tcPr>
            <w:tcW w:w="2141" w:type="dxa"/>
          </w:tcPr>
          <w:p w14:paraId="07E7D768" w14:textId="77777777" w:rsidR="000D07EA" w:rsidRDefault="00BE7C89">
            <w:pPr>
              <w:pStyle w:val="BodyText"/>
              <w:spacing w:before="100" w:after="100"/>
            </w:pPr>
            <w:r>
              <w:t>No</w:t>
            </w:r>
          </w:p>
        </w:tc>
      </w:tr>
      <w:tr w:rsidR="000D07EA" w14:paraId="684C12FC" w14:textId="77777777">
        <w:trPr>
          <w:trHeight w:val="20"/>
        </w:trPr>
        <w:tc>
          <w:tcPr>
            <w:tcW w:w="3227" w:type="dxa"/>
          </w:tcPr>
          <w:p w14:paraId="7179ECAD" w14:textId="77777777" w:rsidR="000D07EA" w:rsidRDefault="00BE7C89">
            <w:pPr>
              <w:pStyle w:val="BodyText"/>
              <w:spacing w:before="100" w:after="100"/>
              <w:rPr>
                <w:b/>
              </w:rPr>
            </w:pPr>
            <w:r>
              <w:rPr>
                <w:b/>
              </w:rPr>
              <w:t>Available on a Fixed Length Agreement (12 or 24 Months)</w:t>
            </w:r>
          </w:p>
        </w:tc>
        <w:tc>
          <w:tcPr>
            <w:tcW w:w="2140" w:type="dxa"/>
          </w:tcPr>
          <w:p w14:paraId="6D79A633" w14:textId="77777777" w:rsidR="000D07EA" w:rsidRDefault="00BE7C89">
            <w:pPr>
              <w:pStyle w:val="BodyText"/>
              <w:spacing w:before="100" w:after="100"/>
            </w:pPr>
            <w:r>
              <w:t>Yes</w:t>
            </w:r>
          </w:p>
        </w:tc>
        <w:tc>
          <w:tcPr>
            <w:tcW w:w="2140" w:type="dxa"/>
          </w:tcPr>
          <w:p w14:paraId="6EE9EE62" w14:textId="77777777" w:rsidR="000D07EA" w:rsidRDefault="00BE7C89">
            <w:pPr>
              <w:pStyle w:val="BodyText"/>
              <w:spacing w:before="100" w:after="100"/>
            </w:pPr>
            <w:r>
              <w:t>Yes</w:t>
            </w:r>
          </w:p>
        </w:tc>
        <w:tc>
          <w:tcPr>
            <w:tcW w:w="2141" w:type="dxa"/>
          </w:tcPr>
          <w:p w14:paraId="1F6B092F" w14:textId="77777777" w:rsidR="000D07EA" w:rsidRDefault="00BE7C89">
            <w:pPr>
              <w:pStyle w:val="BodyText"/>
              <w:spacing w:before="100" w:after="100"/>
            </w:pPr>
            <w:r>
              <w:t>Yes</w:t>
            </w:r>
          </w:p>
        </w:tc>
      </w:tr>
      <w:tr w:rsidR="000D07EA" w14:paraId="377C6115" w14:textId="77777777">
        <w:trPr>
          <w:trHeight w:val="20"/>
        </w:trPr>
        <w:tc>
          <w:tcPr>
            <w:tcW w:w="3227" w:type="dxa"/>
          </w:tcPr>
          <w:p w14:paraId="49812F41" w14:textId="77777777" w:rsidR="000D07EA" w:rsidRDefault="00BE7C89">
            <w:pPr>
              <w:pStyle w:val="BodyText"/>
              <w:spacing w:before="100" w:after="100"/>
              <w:rPr>
                <w:b/>
              </w:rPr>
            </w:pPr>
            <w:r>
              <w:rPr>
                <w:b/>
              </w:rPr>
              <w:t>Minimum Total Cost of the Business Timeless Plans over a 24 month minimum term (amount excludes handset repayments if any)</w:t>
            </w:r>
          </w:p>
        </w:tc>
        <w:tc>
          <w:tcPr>
            <w:tcW w:w="2140" w:type="dxa"/>
          </w:tcPr>
          <w:p w14:paraId="7BFEA50E" w14:textId="77777777" w:rsidR="000D07EA" w:rsidRDefault="00BE7C89">
            <w:pPr>
              <w:pStyle w:val="BodyText"/>
              <w:spacing w:before="100" w:after="100"/>
            </w:pPr>
            <w:r>
              <w:t>$2,376</w:t>
            </w:r>
          </w:p>
        </w:tc>
        <w:tc>
          <w:tcPr>
            <w:tcW w:w="2140" w:type="dxa"/>
          </w:tcPr>
          <w:p w14:paraId="730EFF1F" w14:textId="77777777" w:rsidR="000D07EA" w:rsidRDefault="00BE7C89">
            <w:pPr>
              <w:pStyle w:val="BodyText"/>
              <w:spacing w:before="100" w:after="100"/>
            </w:pPr>
            <w:r>
              <w:t>$2,376</w:t>
            </w:r>
          </w:p>
        </w:tc>
        <w:tc>
          <w:tcPr>
            <w:tcW w:w="2141" w:type="dxa"/>
          </w:tcPr>
          <w:p w14:paraId="215E3DFA" w14:textId="77777777" w:rsidR="000D07EA" w:rsidRDefault="00BE7C89">
            <w:pPr>
              <w:pStyle w:val="BodyText"/>
              <w:spacing w:before="100" w:after="100"/>
            </w:pPr>
            <w:r>
              <w:t>$3,096</w:t>
            </w:r>
          </w:p>
        </w:tc>
      </w:tr>
      <w:tr w:rsidR="000D07EA" w14:paraId="7BC8F925" w14:textId="77777777">
        <w:trPr>
          <w:trHeight w:val="20"/>
        </w:trPr>
        <w:tc>
          <w:tcPr>
            <w:tcW w:w="3227" w:type="dxa"/>
          </w:tcPr>
          <w:p w14:paraId="39A5447C" w14:textId="77777777" w:rsidR="000D07EA" w:rsidRDefault="00BE7C89">
            <w:pPr>
              <w:pStyle w:val="BodyText"/>
              <w:spacing w:before="100" w:after="100"/>
              <w:rPr>
                <w:b/>
              </w:rPr>
            </w:pPr>
            <w:r>
              <w:rPr>
                <w:b/>
              </w:rPr>
              <w:t>Minimum Total Cost of the Business Timeless Plans over a 12 month minimum term (amount excludes handset repayments if any)</w:t>
            </w:r>
          </w:p>
        </w:tc>
        <w:tc>
          <w:tcPr>
            <w:tcW w:w="2140" w:type="dxa"/>
          </w:tcPr>
          <w:p w14:paraId="14412B6E" w14:textId="77777777" w:rsidR="000D07EA" w:rsidRDefault="00BE7C89">
            <w:pPr>
              <w:pStyle w:val="BodyText"/>
              <w:spacing w:before="100" w:after="100"/>
            </w:pPr>
            <w:r>
              <w:t>$1,188</w:t>
            </w:r>
          </w:p>
        </w:tc>
        <w:tc>
          <w:tcPr>
            <w:tcW w:w="2140" w:type="dxa"/>
          </w:tcPr>
          <w:p w14:paraId="232BE165" w14:textId="77777777" w:rsidR="000D07EA" w:rsidRDefault="00BE7C89">
            <w:pPr>
              <w:pStyle w:val="BodyText"/>
              <w:spacing w:before="100" w:after="100"/>
            </w:pPr>
            <w:r>
              <w:t>$1,188</w:t>
            </w:r>
          </w:p>
        </w:tc>
        <w:tc>
          <w:tcPr>
            <w:tcW w:w="2141" w:type="dxa"/>
          </w:tcPr>
          <w:p w14:paraId="6572AFA3" w14:textId="77777777" w:rsidR="000D07EA" w:rsidRDefault="00BE7C89">
            <w:pPr>
              <w:pStyle w:val="BodyText"/>
              <w:spacing w:before="100" w:after="100"/>
            </w:pPr>
            <w:r>
              <w:t>$1,548</w:t>
            </w:r>
          </w:p>
        </w:tc>
      </w:tr>
    </w:tbl>
    <w:p w14:paraId="680B0716" w14:textId="77777777" w:rsidR="000D07EA" w:rsidRDefault="000D07EA">
      <w:pPr>
        <w:pStyle w:val="BodyText"/>
      </w:pPr>
    </w:p>
    <w:p w14:paraId="0A1BC092" w14:textId="77777777" w:rsidR="000D07EA" w:rsidRDefault="00BE7C89">
      <w:pPr>
        <w:pStyle w:val="Heading6"/>
        <w:ind w:left="0" w:firstLine="0"/>
      </w:pPr>
      <w:bookmarkStart w:id="686" w:name="_Toc397941259"/>
      <w:r>
        <w:t xml:space="preserve">What happens if the </w:t>
      </w:r>
      <w:r>
        <w:rPr>
          <w:i/>
        </w:rPr>
        <w:t xml:space="preserve">service is cancelled </w:t>
      </w:r>
      <w:r>
        <w:t>early?</w:t>
      </w:r>
      <w:bookmarkEnd w:id="686"/>
      <w:r>
        <w:t xml:space="preserve"> </w:t>
      </w:r>
    </w:p>
    <w:p w14:paraId="65B751E4" w14:textId="77777777" w:rsidR="000D07EA" w:rsidRDefault="00BE7C89">
      <w:pPr>
        <w:pStyle w:val="Heading7"/>
      </w:pPr>
      <w:r>
        <w:t xml:space="preserve">If </w:t>
      </w:r>
      <w:r>
        <w:rPr>
          <w:i/>
        </w:rPr>
        <w:t>the service</w:t>
      </w:r>
      <w:r>
        <w:t xml:space="preserve"> </w:t>
      </w:r>
      <w:r>
        <w:rPr>
          <w:i/>
        </w:rPr>
        <w:t xml:space="preserve">is cancelled </w:t>
      </w:r>
      <w:r>
        <w:t xml:space="preserve">before the expiry of the </w:t>
      </w:r>
      <w:r>
        <w:rPr>
          <w:i/>
        </w:rPr>
        <w:t xml:space="preserve">minimum term, you </w:t>
      </w:r>
      <w:r>
        <w:t xml:space="preserve">will be required to pay </w:t>
      </w:r>
      <w:r>
        <w:rPr>
          <w:i/>
        </w:rPr>
        <w:t>us</w:t>
      </w:r>
      <w:r>
        <w:t>:</w:t>
      </w:r>
    </w:p>
    <w:p w14:paraId="44CD8227" w14:textId="77777777" w:rsidR="000D07EA" w:rsidRDefault="00BE7C89">
      <w:pPr>
        <w:pStyle w:val="Heading8"/>
      </w:pPr>
      <w:r>
        <w:t xml:space="preserve">any usage charges incurred up to, and including, the </w:t>
      </w:r>
      <w:r>
        <w:rPr>
          <w:i/>
        </w:rPr>
        <w:t xml:space="preserve">cancellation date; </w:t>
      </w:r>
      <w:r>
        <w:t>plus</w:t>
      </w:r>
    </w:p>
    <w:p w14:paraId="1B06E258" w14:textId="77777777" w:rsidR="000D07EA" w:rsidRDefault="00BE7C89">
      <w:pPr>
        <w:pStyle w:val="Heading8"/>
      </w:pPr>
      <w:r>
        <w:t xml:space="preserve">the </w:t>
      </w:r>
      <w:r>
        <w:rPr>
          <w:i/>
        </w:rPr>
        <w:t xml:space="preserve">cancellation fee </w:t>
      </w:r>
      <w:r>
        <w:t xml:space="preserve">set in paragraph </w:t>
      </w:r>
      <w:r>
        <w:fldChar w:fldCharType="begin"/>
      </w:r>
      <w:r>
        <w:instrText xml:space="preserve"> REF _Ref461553450 \n \h </w:instrText>
      </w:r>
      <w:r>
        <w:fldChar w:fldCharType="separate"/>
      </w:r>
      <w:r w:rsidR="0004083A">
        <w:t>(b)</w:t>
      </w:r>
      <w:r>
        <w:fldChar w:fldCharType="end"/>
      </w:r>
      <w:r>
        <w:t xml:space="preserve"> and </w:t>
      </w:r>
      <w:r>
        <w:fldChar w:fldCharType="begin"/>
      </w:r>
      <w:r>
        <w:instrText xml:space="preserve"> REF _Ref461553459 \n \h </w:instrText>
      </w:r>
      <w:r>
        <w:fldChar w:fldCharType="separate"/>
      </w:r>
      <w:r w:rsidR="0004083A">
        <w:t>(c)</w:t>
      </w:r>
      <w:r>
        <w:fldChar w:fldCharType="end"/>
      </w:r>
      <w:r>
        <w:t xml:space="preserve"> below (unless under clause 2A of the </w:t>
      </w:r>
      <w:r>
        <w:rPr>
          <w:i/>
        </w:rPr>
        <w:t xml:space="preserve">SME terms, you </w:t>
      </w:r>
      <w:r>
        <w:t xml:space="preserve">are entitled to </w:t>
      </w:r>
      <w:r>
        <w:rPr>
          <w:i/>
        </w:rPr>
        <w:t xml:space="preserve">cancel the service </w:t>
      </w:r>
      <w:r>
        <w:t xml:space="preserve">without incurring a </w:t>
      </w:r>
      <w:r>
        <w:rPr>
          <w:i/>
        </w:rPr>
        <w:t>cancellation fee)</w:t>
      </w:r>
      <w:r>
        <w:t>; plus</w:t>
      </w:r>
    </w:p>
    <w:p w14:paraId="72260B14" w14:textId="77777777" w:rsidR="000D07EA" w:rsidRDefault="00BE7C89">
      <w:pPr>
        <w:pStyle w:val="Heading8"/>
      </w:pPr>
      <w:r>
        <w:t xml:space="preserve">the sum of unpaid </w:t>
      </w:r>
      <w:r>
        <w:rPr>
          <w:i/>
        </w:rPr>
        <w:t xml:space="preserve">equipment charges </w:t>
      </w:r>
      <w:r>
        <w:t xml:space="preserve">owing on </w:t>
      </w:r>
      <w:r>
        <w:rPr>
          <w:i/>
        </w:rPr>
        <w:t xml:space="preserve">your mobile phone </w:t>
      </w:r>
      <w:r>
        <w:t>under the mobile equipment payment plan (if any).</w:t>
      </w:r>
    </w:p>
    <w:p w14:paraId="3883F88D" w14:textId="77777777" w:rsidR="000D07EA" w:rsidRDefault="00BE7C89">
      <w:pPr>
        <w:pStyle w:val="Heading7"/>
      </w:pPr>
      <w:bookmarkStart w:id="687" w:name="_Ref461553450"/>
      <w:r>
        <w:t xml:space="preserve">The </w:t>
      </w:r>
      <w:r>
        <w:rPr>
          <w:i/>
        </w:rPr>
        <w:t>cancellation fee</w:t>
      </w:r>
      <w:r>
        <w:t xml:space="preserve"> for a 24 Month </w:t>
      </w:r>
      <w:r>
        <w:rPr>
          <w:i/>
        </w:rPr>
        <w:t>fixed length agreement</w:t>
      </w:r>
      <w:r>
        <w:t xml:space="preserve"> is calculated as a fixed amount if the </w:t>
      </w:r>
      <w:r>
        <w:rPr>
          <w:i/>
        </w:rPr>
        <w:t xml:space="preserve">service </w:t>
      </w:r>
      <w:r>
        <w:t xml:space="preserve">is </w:t>
      </w:r>
      <w:r>
        <w:rPr>
          <w:i/>
        </w:rPr>
        <w:t xml:space="preserve">cancelled </w:t>
      </w:r>
      <w:r>
        <w:t xml:space="preserve">during the first 12 months of the </w:t>
      </w:r>
      <w:r>
        <w:rPr>
          <w:i/>
        </w:rPr>
        <w:t>minimum term</w:t>
      </w:r>
      <w:r>
        <w:t xml:space="preserve"> and then a pro-rata reduction of that fee (indicated as a percentage in brackets in the first column of the table below) if the </w:t>
      </w:r>
      <w:r>
        <w:rPr>
          <w:i/>
        </w:rPr>
        <w:t xml:space="preserve">service </w:t>
      </w:r>
      <w:r>
        <w:t xml:space="preserve">is </w:t>
      </w:r>
      <w:r>
        <w:rPr>
          <w:i/>
        </w:rPr>
        <w:t xml:space="preserve">cancelled </w:t>
      </w:r>
      <w:r>
        <w:t xml:space="preserve">during the second year of the </w:t>
      </w:r>
      <w:r>
        <w:rPr>
          <w:i/>
        </w:rPr>
        <w:t>minimum term</w:t>
      </w:r>
      <w:r>
        <w:t>.</w:t>
      </w:r>
      <w:bookmarkEnd w:id="687"/>
    </w:p>
    <w:p w14:paraId="39E2FD7C" w14:textId="77777777" w:rsidR="000D07EA" w:rsidRDefault="00BE7C89">
      <w:pPr>
        <w:pStyle w:val="Heading7"/>
      </w:pPr>
      <w:bookmarkStart w:id="688" w:name="_Ref461553459"/>
      <w:r>
        <w:t xml:space="preserve">The </w:t>
      </w:r>
      <w:r>
        <w:rPr>
          <w:i/>
        </w:rPr>
        <w:t>cancellation fee</w:t>
      </w:r>
      <w:r>
        <w:t xml:space="preserve"> for a 12 month </w:t>
      </w:r>
      <w:r>
        <w:rPr>
          <w:i/>
        </w:rPr>
        <w:t>fixed length agreement</w:t>
      </w:r>
      <w:r>
        <w:t xml:space="preserve"> is calculated as a fixed amount if the </w:t>
      </w:r>
      <w:r>
        <w:rPr>
          <w:i/>
        </w:rPr>
        <w:t xml:space="preserve">service </w:t>
      </w:r>
      <w:r>
        <w:t xml:space="preserve">is </w:t>
      </w:r>
      <w:r>
        <w:rPr>
          <w:i/>
        </w:rPr>
        <w:t xml:space="preserve">cancelled </w:t>
      </w:r>
      <w:r>
        <w:t xml:space="preserve">during the first 6 months of the </w:t>
      </w:r>
      <w:r>
        <w:rPr>
          <w:i/>
        </w:rPr>
        <w:t>minimum term</w:t>
      </w:r>
      <w:r>
        <w:t xml:space="preserve"> and then a pro-rata reduction of that fee (indicated as a percentage in brackets in the first column of the table below) if the </w:t>
      </w:r>
      <w:r>
        <w:rPr>
          <w:i/>
        </w:rPr>
        <w:t xml:space="preserve">service </w:t>
      </w:r>
      <w:r>
        <w:t xml:space="preserve">is </w:t>
      </w:r>
      <w:r>
        <w:rPr>
          <w:i/>
        </w:rPr>
        <w:t xml:space="preserve">cancelled </w:t>
      </w:r>
      <w:r>
        <w:t xml:space="preserve">during the last 6 months of the </w:t>
      </w:r>
      <w:r>
        <w:rPr>
          <w:i/>
        </w:rPr>
        <w:t>minimum term</w:t>
      </w:r>
      <w:r>
        <w:t>.</w:t>
      </w:r>
      <w:bookmarkEnd w:id="688"/>
    </w:p>
    <w:tbl>
      <w:tblPr>
        <w:tblW w:w="96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91"/>
        <w:gridCol w:w="2385"/>
        <w:gridCol w:w="2386"/>
        <w:gridCol w:w="2386"/>
      </w:tblGrid>
      <w:tr w:rsidR="000D07EA" w14:paraId="1ED6E085" w14:textId="77777777">
        <w:trPr>
          <w:trHeight w:val="20"/>
          <w:tblHeader/>
        </w:trPr>
        <w:tc>
          <w:tcPr>
            <w:tcW w:w="2491" w:type="dxa"/>
            <w:vAlign w:val="center"/>
          </w:tcPr>
          <w:p w14:paraId="542343BB" w14:textId="77777777" w:rsidR="000D07EA" w:rsidRDefault="00BE7C89">
            <w:pPr>
              <w:pStyle w:val="BodyText"/>
              <w:spacing w:before="100" w:after="100"/>
              <w:rPr>
                <w:b/>
              </w:rPr>
            </w:pPr>
            <w:r>
              <w:rPr>
                <w:b/>
              </w:rPr>
              <w:lastRenderedPageBreak/>
              <w:t xml:space="preserve">When the </w:t>
            </w:r>
            <w:r>
              <w:rPr>
                <w:b/>
                <w:i/>
              </w:rPr>
              <w:t>service</w:t>
            </w:r>
            <w:r>
              <w:rPr>
                <w:b/>
              </w:rPr>
              <w:t xml:space="preserve"> is </w:t>
            </w:r>
            <w:r>
              <w:rPr>
                <w:b/>
                <w:i/>
              </w:rPr>
              <w:t>cancelled</w:t>
            </w:r>
          </w:p>
        </w:tc>
        <w:tc>
          <w:tcPr>
            <w:tcW w:w="7157" w:type="dxa"/>
            <w:gridSpan w:val="3"/>
          </w:tcPr>
          <w:p w14:paraId="67EA33EC" w14:textId="77777777" w:rsidR="000D07EA" w:rsidRDefault="00BE7C89">
            <w:pPr>
              <w:pStyle w:val="BodyText"/>
              <w:spacing w:before="100" w:after="100"/>
              <w:jc w:val="center"/>
              <w:rPr>
                <w:b/>
                <w:i/>
              </w:rPr>
            </w:pPr>
            <w:r>
              <w:rPr>
                <w:b/>
                <w:i/>
              </w:rPr>
              <w:t>Cancellation Fees</w:t>
            </w:r>
          </w:p>
        </w:tc>
      </w:tr>
      <w:tr w:rsidR="000D07EA" w14:paraId="15FCBBB8" w14:textId="77777777">
        <w:trPr>
          <w:trHeight w:val="20"/>
          <w:tblHeader/>
        </w:trPr>
        <w:tc>
          <w:tcPr>
            <w:tcW w:w="2491" w:type="dxa"/>
            <w:vAlign w:val="center"/>
          </w:tcPr>
          <w:p w14:paraId="3470047E" w14:textId="77777777" w:rsidR="000D07EA" w:rsidRDefault="000D07EA">
            <w:pPr>
              <w:pStyle w:val="BodyText"/>
              <w:spacing w:before="100" w:after="100"/>
              <w:rPr>
                <w:b/>
              </w:rPr>
            </w:pPr>
          </w:p>
        </w:tc>
        <w:tc>
          <w:tcPr>
            <w:tcW w:w="2385" w:type="dxa"/>
            <w:vAlign w:val="center"/>
          </w:tcPr>
          <w:p w14:paraId="486915C3" w14:textId="77777777" w:rsidR="000D07EA" w:rsidRDefault="00BE7C89">
            <w:pPr>
              <w:pStyle w:val="BodyText"/>
              <w:spacing w:before="100" w:after="100"/>
              <w:jc w:val="center"/>
              <w:rPr>
                <w:b/>
              </w:rPr>
            </w:pPr>
            <w:r>
              <w:rPr>
                <w:b/>
              </w:rPr>
              <w:t>Business Timeless Plans Prem – 24 Month Contract</w:t>
            </w:r>
          </w:p>
        </w:tc>
        <w:tc>
          <w:tcPr>
            <w:tcW w:w="2386" w:type="dxa"/>
            <w:vAlign w:val="center"/>
          </w:tcPr>
          <w:p w14:paraId="0274B854" w14:textId="77777777" w:rsidR="000D07EA" w:rsidRDefault="00BE7C89">
            <w:pPr>
              <w:pStyle w:val="BodyText"/>
              <w:spacing w:before="100" w:after="100"/>
              <w:jc w:val="center"/>
              <w:rPr>
                <w:b/>
              </w:rPr>
            </w:pPr>
            <w:r>
              <w:rPr>
                <w:b/>
              </w:rPr>
              <w:t>Business Timeless Plans Prem – 24 Month Contract</w:t>
            </w:r>
          </w:p>
        </w:tc>
        <w:tc>
          <w:tcPr>
            <w:tcW w:w="2386" w:type="dxa"/>
            <w:vAlign w:val="center"/>
          </w:tcPr>
          <w:p w14:paraId="52D023DD" w14:textId="77777777" w:rsidR="000D07EA" w:rsidRDefault="00BE7C89">
            <w:pPr>
              <w:pStyle w:val="BodyText"/>
              <w:spacing w:before="100" w:after="100"/>
              <w:jc w:val="center"/>
              <w:rPr>
                <w:b/>
              </w:rPr>
            </w:pPr>
            <w:r>
              <w:rPr>
                <w:b/>
              </w:rPr>
              <w:t>Business Timeless Plans Prem – 24 Month Contract</w:t>
            </w:r>
          </w:p>
        </w:tc>
      </w:tr>
      <w:tr w:rsidR="000D07EA" w14:paraId="66A3C457" w14:textId="77777777">
        <w:trPr>
          <w:trHeight w:val="20"/>
          <w:tblHeader/>
        </w:trPr>
        <w:tc>
          <w:tcPr>
            <w:tcW w:w="2491" w:type="dxa"/>
            <w:vAlign w:val="center"/>
          </w:tcPr>
          <w:p w14:paraId="1BBA3193" w14:textId="77777777" w:rsidR="000D07EA" w:rsidRDefault="000D07EA">
            <w:pPr>
              <w:pStyle w:val="BodyText"/>
              <w:spacing w:before="100" w:after="100"/>
              <w:rPr>
                <w:b/>
              </w:rPr>
            </w:pPr>
          </w:p>
        </w:tc>
        <w:tc>
          <w:tcPr>
            <w:tcW w:w="2385" w:type="dxa"/>
            <w:vAlign w:val="center"/>
          </w:tcPr>
          <w:p w14:paraId="510CA2ED" w14:textId="77777777" w:rsidR="000D07EA" w:rsidRDefault="00BE7C89">
            <w:pPr>
              <w:pStyle w:val="BodyText"/>
              <w:spacing w:before="100" w:after="100"/>
              <w:jc w:val="center"/>
              <w:rPr>
                <w:b/>
              </w:rPr>
            </w:pPr>
            <w:r>
              <w:rPr>
                <w:b/>
              </w:rPr>
              <w:t>$89 Business Timeless Plans Prem</w:t>
            </w:r>
          </w:p>
        </w:tc>
        <w:tc>
          <w:tcPr>
            <w:tcW w:w="2386" w:type="dxa"/>
            <w:vAlign w:val="center"/>
          </w:tcPr>
          <w:p w14:paraId="6CD345B9" w14:textId="77777777" w:rsidR="000D07EA" w:rsidRDefault="00BE7C89">
            <w:pPr>
              <w:pStyle w:val="BodyText"/>
              <w:spacing w:before="100" w:after="100"/>
              <w:jc w:val="center"/>
              <w:rPr>
                <w:b/>
              </w:rPr>
            </w:pPr>
            <w:r>
              <w:rPr>
                <w:b/>
              </w:rPr>
              <w:t>$99 Business Timeless Plans Prem</w:t>
            </w:r>
          </w:p>
        </w:tc>
        <w:tc>
          <w:tcPr>
            <w:tcW w:w="2386" w:type="dxa"/>
            <w:vAlign w:val="center"/>
          </w:tcPr>
          <w:p w14:paraId="0026AC11" w14:textId="77777777" w:rsidR="000D07EA" w:rsidRDefault="00BE7C89">
            <w:pPr>
              <w:pStyle w:val="BodyText"/>
              <w:spacing w:before="100" w:after="100"/>
              <w:jc w:val="center"/>
              <w:rPr>
                <w:b/>
              </w:rPr>
            </w:pPr>
            <w:r>
              <w:rPr>
                <w:b/>
              </w:rPr>
              <w:t>$129 Business Timeless Plans Prem</w:t>
            </w:r>
          </w:p>
        </w:tc>
      </w:tr>
      <w:tr w:rsidR="000D07EA" w14:paraId="5AD3CAB0" w14:textId="77777777">
        <w:trPr>
          <w:trHeight w:val="20"/>
        </w:trPr>
        <w:tc>
          <w:tcPr>
            <w:tcW w:w="2491" w:type="dxa"/>
            <w:vAlign w:val="center"/>
          </w:tcPr>
          <w:p w14:paraId="33B03857" w14:textId="77777777" w:rsidR="000D07EA" w:rsidRDefault="00BE7C89">
            <w:pPr>
              <w:pStyle w:val="BodyText"/>
              <w:spacing w:before="100" w:after="100"/>
              <w:rPr>
                <w:b/>
              </w:rPr>
            </w:pPr>
            <w:r>
              <w:rPr>
                <w:b/>
              </w:rPr>
              <w:t xml:space="preserve">During the first 12 months - Initial </w:t>
            </w:r>
            <w:r>
              <w:rPr>
                <w:b/>
                <w:i/>
              </w:rPr>
              <w:t>cancellation</w:t>
            </w:r>
            <w:r>
              <w:rPr>
                <w:b/>
              </w:rPr>
              <w:t xml:space="preserve"> </w:t>
            </w:r>
            <w:r>
              <w:rPr>
                <w:b/>
                <w:i/>
              </w:rPr>
              <w:t>fee</w:t>
            </w:r>
          </w:p>
        </w:tc>
        <w:tc>
          <w:tcPr>
            <w:tcW w:w="2385" w:type="dxa"/>
            <w:vAlign w:val="center"/>
          </w:tcPr>
          <w:p w14:paraId="0A6E37B4" w14:textId="77777777" w:rsidR="000D07EA" w:rsidRDefault="00BE7C89">
            <w:pPr>
              <w:pStyle w:val="BodyText"/>
              <w:spacing w:before="100" w:after="100"/>
              <w:jc w:val="center"/>
            </w:pPr>
            <w:r>
              <w:t>$1,470</w:t>
            </w:r>
          </w:p>
        </w:tc>
        <w:tc>
          <w:tcPr>
            <w:tcW w:w="2386" w:type="dxa"/>
            <w:vAlign w:val="center"/>
          </w:tcPr>
          <w:p w14:paraId="415B9C8D" w14:textId="77777777" w:rsidR="000D07EA" w:rsidRDefault="00BE7C89">
            <w:pPr>
              <w:pStyle w:val="BodyText"/>
              <w:spacing w:before="100" w:after="100"/>
              <w:jc w:val="center"/>
            </w:pPr>
            <w:r>
              <w:t>$1,645</w:t>
            </w:r>
          </w:p>
        </w:tc>
        <w:tc>
          <w:tcPr>
            <w:tcW w:w="2386" w:type="dxa"/>
            <w:vAlign w:val="center"/>
          </w:tcPr>
          <w:p w14:paraId="7291B4D9" w14:textId="77777777" w:rsidR="000D07EA" w:rsidRDefault="00BE7C89">
            <w:pPr>
              <w:pStyle w:val="BodyText"/>
              <w:spacing w:before="100" w:after="100"/>
              <w:jc w:val="center"/>
            </w:pPr>
            <w:r>
              <w:t>$1,660</w:t>
            </w:r>
          </w:p>
        </w:tc>
      </w:tr>
      <w:tr w:rsidR="000D07EA" w14:paraId="434523F7" w14:textId="77777777">
        <w:trPr>
          <w:trHeight w:val="20"/>
        </w:trPr>
        <w:tc>
          <w:tcPr>
            <w:tcW w:w="2491" w:type="dxa"/>
            <w:vAlign w:val="center"/>
          </w:tcPr>
          <w:p w14:paraId="0A13A479" w14:textId="77777777" w:rsidR="000D07EA" w:rsidRDefault="00BE7C89">
            <w:pPr>
              <w:pStyle w:val="BodyText"/>
              <w:spacing w:before="100" w:after="100"/>
              <w:rPr>
                <w:b/>
              </w:rPr>
            </w:pPr>
            <w:r>
              <w:rPr>
                <w:b/>
              </w:rPr>
              <w:t xml:space="preserve">Months 13 – 15 (80% of Initial </w:t>
            </w:r>
            <w:r>
              <w:rPr>
                <w:b/>
                <w:i/>
              </w:rPr>
              <w:t>cancellation</w:t>
            </w:r>
            <w:r>
              <w:rPr>
                <w:b/>
              </w:rPr>
              <w:t xml:space="preserve"> </w:t>
            </w:r>
            <w:r>
              <w:rPr>
                <w:b/>
                <w:i/>
              </w:rPr>
              <w:t>fee</w:t>
            </w:r>
            <w:r>
              <w:rPr>
                <w:b/>
              </w:rPr>
              <w:t>)</w:t>
            </w:r>
          </w:p>
        </w:tc>
        <w:tc>
          <w:tcPr>
            <w:tcW w:w="2385" w:type="dxa"/>
            <w:vAlign w:val="center"/>
          </w:tcPr>
          <w:p w14:paraId="2E9963F7" w14:textId="77777777" w:rsidR="000D07EA" w:rsidRDefault="00BE7C89">
            <w:pPr>
              <w:pStyle w:val="BodyText"/>
              <w:spacing w:before="100" w:after="100"/>
              <w:jc w:val="center"/>
            </w:pPr>
            <w:r>
              <w:t>$1,176</w:t>
            </w:r>
          </w:p>
        </w:tc>
        <w:tc>
          <w:tcPr>
            <w:tcW w:w="2386" w:type="dxa"/>
            <w:vAlign w:val="center"/>
          </w:tcPr>
          <w:p w14:paraId="4D9CC270" w14:textId="77777777" w:rsidR="000D07EA" w:rsidRDefault="00BE7C89">
            <w:pPr>
              <w:pStyle w:val="BodyText"/>
              <w:spacing w:before="100" w:after="100"/>
              <w:jc w:val="center"/>
            </w:pPr>
            <w:r>
              <w:t>$1,316</w:t>
            </w:r>
          </w:p>
        </w:tc>
        <w:tc>
          <w:tcPr>
            <w:tcW w:w="2386" w:type="dxa"/>
            <w:vAlign w:val="center"/>
          </w:tcPr>
          <w:p w14:paraId="11DC1603" w14:textId="77777777" w:rsidR="000D07EA" w:rsidRDefault="00BE7C89">
            <w:pPr>
              <w:pStyle w:val="BodyText"/>
              <w:spacing w:before="100" w:after="100"/>
              <w:jc w:val="center"/>
            </w:pPr>
            <w:r>
              <w:t>$1,328</w:t>
            </w:r>
          </w:p>
        </w:tc>
      </w:tr>
      <w:tr w:rsidR="000D07EA" w14:paraId="539533FE" w14:textId="77777777">
        <w:trPr>
          <w:trHeight w:val="20"/>
        </w:trPr>
        <w:tc>
          <w:tcPr>
            <w:tcW w:w="2491" w:type="dxa"/>
            <w:vAlign w:val="center"/>
          </w:tcPr>
          <w:p w14:paraId="4E81A162" w14:textId="77777777" w:rsidR="000D07EA" w:rsidRDefault="00BE7C89">
            <w:pPr>
              <w:pStyle w:val="BodyText"/>
              <w:spacing w:before="100" w:after="100"/>
              <w:rPr>
                <w:b/>
              </w:rPr>
            </w:pPr>
            <w:r>
              <w:rPr>
                <w:b/>
              </w:rPr>
              <w:t xml:space="preserve">Months 16 – 18 (60% of the Initial </w:t>
            </w:r>
            <w:r>
              <w:rPr>
                <w:b/>
                <w:i/>
              </w:rPr>
              <w:t>cancellation</w:t>
            </w:r>
            <w:r>
              <w:rPr>
                <w:b/>
              </w:rPr>
              <w:t xml:space="preserve"> </w:t>
            </w:r>
            <w:r>
              <w:rPr>
                <w:b/>
                <w:i/>
              </w:rPr>
              <w:t>fee</w:t>
            </w:r>
            <w:r>
              <w:rPr>
                <w:b/>
              </w:rPr>
              <w:t>)</w:t>
            </w:r>
          </w:p>
        </w:tc>
        <w:tc>
          <w:tcPr>
            <w:tcW w:w="2385" w:type="dxa"/>
            <w:vAlign w:val="center"/>
          </w:tcPr>
          <w:p w14:paraId="5E190098" w14:textId="77777777" w:rsidR="000D07EA" w:rsidRDefault="00BE7C89">
            <w:pPr>
              <w:pStyle w:val="BodyText"/>
              <w:spacing w:before="100" w:after="100"/>
              <w:jc w:val="center"/>
            </w:pPr>
            <w:r>
              <w:t>$882</w:t>
            </w:r>
          </w:p>
        </w:tc>
        <w:tc>
          <w:tcPr>
            <w:tcW w:w="2386" w:type="dxa"/>
            <w:vAlign w:val="center"/>
          </w:tcPr>
          <w:p w14:paraId="0038B8D0" w14:textId="77777777" w:rsidR="000D07EA" w:rsidRDefault="00BE7C89">
            <w:pPr>
              <w:pStyle w:val="BodyText"/>
              <w:spacing w:before="100" w:after="100"/>
              <w:jc w:val="center"/>
            </w:pPr>
            <w:r>
              <w:t>$987</w:t>
            </w:r>
          </w:p>
        </w:tc>
        <w:tc>
          <w:tcPr>
            <w:tcW w:w="2386" w:type="dxa"/>
            <w:vAlign w:val="center"/>
          </w:tcPr>
          <w:p w14:paraId="1B16C521" w14:textId="77777777" w:rsidR="000D07EA" w:rsidRDefault="00BE7C89">
            <w:pPr>
              <w:pStyle w:val="BodyText"/>
              <w:spacing w:before="100" w:after="100"/>
              <w:jc w:val="center"/>
            </w:pPr>
            <w:r>
              <w:t>$996</w:t>
            </w:r>
          </w:p>
        </w:tc>
      </w:tr>
      <w:tr w:rsidR="000D07EA" w14:paraId="31D3AC1C" w14:textId="77777777">
        <w:trPr>
          <w:trHeight w:val="20"/>
        </w:trPr>
        <w:tc>
          <w:tcPr>
            <w:tcW w:w="2491" w:type="dxa"/>
            <w:vAlign w:val="center"/>
          </w:tcPr>
          <w:p w14:paraId="1DF8778F" w14:textId="77777777" w:rsidR="000D07EA" w:rsidRDefault="00BE7C89">
            <w:pPr>
              <w:pStyle w:val="BodyText"/>
              <w:spacing w:before="100" w:after="100"/>
              <w:rPr>
                <w:b/>
              </w:rPr>
            </w:pPr>
            <w:r>
              <w:rPr>
                <w:b/>
              </w:rPr>
              <w:t xml:space="preserve">Months 19 – 21 (40% of the Initial </w:t>
            </w:r>
            <w:r>
              <w:rPr>
                <w:b/>
                <w:i/>
              </w:rPr>
              <w:t>cancellation</w:t>
            </w:r>
            <w:r>
              <w:rPr>
                <w:b/>
              </w:rPr>
              <w:t xml:space="preserve"> </w:t>
            </w:r>
            <w:r>
              <w:rPr>
                <w:b/>
                <w:i/>
              </w:rPr>
              <w:t>fee</w:t>
            </w:r>
            <w:r>
              <w:rPr>
                <w:b/>
              </w:rPr>
              <w:t>)</w:t>
            </w:r>
          </w:p>
        </w:tc>
        <w:tc>
          <w:tcPr>
            <w:tcW w:w="2385" w:type="dxa"/>
            <w:vAlign w:val="center"/>
          </w:tcPr>
          <w:p w14:paraId="600F6C15" w14:textId="77777777" w:rsidR="000D07EA" w:rsidRDefault="00BE7C89">
            <w:pPr>
              <w:pStyle w:val="BodyText"/>
              <w:spacing w:before="100" w:after="100"/>
              <w:jc w:val="center"/>
            </w:pPr>
            <w:r>
              <w:t>$588</w:t>
            </w:r>
          </w:p>
        </w:tc>
        <w:tc>
          <w:tcPr>
            <w:tcW w:w="2386" w:type="dxa"/>
            <w:vAlign w:val="center"/>
          </w:tcPr>
          <w:p w14:paraId="4AB2583D" w14:textId="77777777" w:rsidR="000D07EA" w:rsidRDefault="00BE7C89">
            <w:pPr>
              <w:pStyle w:val="BodyText"/>
              <w:spacing w:before="100" w:after="100"/>
              <w:jc w:val="center"/>
            </w:pPr>
            <w:r>
              <w:t>$658</w:t>
            </w:r>
          </w:p>
        </w:tc>
        <w:tc>
          <w:tcPr>
            <w:tcW w:w="2386" w:type="dxa"/>
            <w:vAlign w:val="center"/>
          </w:tcPr>
          <w:p w14:paraId="36F00A9B" w14:textId="77777777" w:rsidR="000D07EA" w:rsidRDefault="00BE7C89">
            <w:pPr>
              <w:pStyle w:val="BodyText"/>
              <w:spacing w:before="100" w:after="100"/>
              <w:jc w:val="center"/>
            </w:pPr>
            <w:r>
              <w:t>$664</w:t>
            </w:r>
          </w:p>
        </w:tc>
      </w:tr>
      <w:tr w:rsidR="000D07EA" w14:paraId="066C78BA" w14:textId="77777777">
        <w:trPr>
          <w:trHeight w:val="20"/>
        </w:trPr>
        <w:tc>
          <w:tcPr>
            <w:tcW w:w="2491" w:type="dxa"/>
            <w:vAlign w:val="center"/>
          </w:tcPr>
          <w:p w14:paraId="207E72CF" w14:textId="77777777" w:rsidR="000D07EA" w:rsidRDefault="00BE7C89">
            <w:pPr>
              <w:pStyle w:val="BodyText"/>
              <w:spacing w:before="100" w:after="100"/>
              <w:rPr>
                <w:b/>
              </w:rPr>
            </w:pPr>
            <w:r>
              <w:rPr>
                <w:b/>
              </w:rPr>
              <w:t xml:space="preserve">Months 22 – 24 (20% of the Initial </w:t>
            </w:r>
            <w:r>
              <w:rPr>
                <w:b/>
                <w:i/>
              </w:rPr>
              <w:t>cancellation</w:t>
            </w:r>
            <w:r>
              <w:rPr>
                <w:b/>
              </w:rPr>
              <w:t xml:space="preserve"> </w:t>
            </w:r>
            <w:r>
              <w:rPr>
                <w:b/>
                <w:i/>
              </w:rPr>
              <w:t>fee</w:t>
            </w:r>
            <w:r>
              <w:rPr>
                <w:b/>
              </w:rPr>
              <w:t>)</w:t>
            </w:r>
          </w:p>
        </w:tc>
        <w:tc>
          <w:tcPr>
            <w:tcW w:w="2385" w:type="dxa"/>
            <w:vAlign w:val="center"/>
          </w:tcPr>
          <w:p w14:paraId="2E07315D" w14:textId="77777777" w:rsidR="000D07EA" w:rsidRDefault="00BE7C89">
            <w:pPr>
              <w:pStyle w:val="BodyText"/>
              <w:spacing w:before="100" w:after="100"/>
              <w:jc w:val="center"/>
            </w:pPr>
            <w:r>
              <w:t>$294</w:t>
            </w:r>
          </w:p>
        </w:tc>
        <w:tc>
          <w:tcPr>
            <w:tcW w:w="2386" w:type="dxa"/>
            <w:vAlign w:val="center"/>
          </w:tcPr>
          <w:p w14:paraId="64FD7F2B" w14:textId="77777777" w:rsidR="000D07EA" w:rsidRDefault="00BE7C89">
            <w:pPr>
              <w:pStyle w:val="BodyText"/>
              <w:spacing w:before="100" w:after="100"/>
              <w:jc w:val="center"/>
            </w:pPr>
            <w:r>
              <w:t>$329</w:t>
            </w:r>
          </w:p>
        </w:tc>
        <w:tc>
          <w:tcPr>
            <w:tcW w:w="2386" w:type="dxa"/>
            <w:vAlign w:val="center"/>
          </w:tcPr>
          <w:p w14:paraId="6C049246" w14:textId="77777777" w:rsidR="000D07EA" w:rsidRDefault="00BE7C89">
            <w:pPr>
              <w:pStyle w:val="BodyText"/>
              <w:spacing w:before="100" w:after="100"/>
              <w:jc w:val="center"/>
            </w:pPr>
            <w:r>
              <w:t>$332</w:t>
            </w:r>
          </w:p>
        </w:tc>
      </w:tr>
    </w:tbl>
    <w:p w14:paraId="0A601D43" w14:textId="77777777" w:rsidR="000D07EA" w:rsidRDefault="000D07EA">
      <w:pPr>
        <w:pStyle w:val="BodyText"/>
      </w:pPr>
    </w:p>
    <w:tbl>
      <w:tblPr>
        <w:tblW w:w="96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91"/>
        <w:gridCol w:w="2385"/>
        <w:gridCol w:w="2386"/>
        <w:gridCol w:w="2386"/>
      </w:tblGrid>
      <w:tr w:rsidR="000D07EA" w14:paraId="57B9CD86" w14:textId="77777777">
        <w:trPr>
          <w:trHeight w:val="20"/>
          <w:tblHeader/>
        </w:trPr>
        <w:tc>
          <w:tcPr>
            <w:tcW w:w="2491" w:type="dxa"/>
          </w:tcPr>
          <w:p w14:paraId="244F54D4" w14:textId="77777777" w:rsidR="000D07EA" w:rsidRDefault="00BE7C89">
            <w:pPr>
              <w:pStyle w:val="BodyText"/>
              <w:spacing w:before="100" w:after="100"/>
              <w:rPr>
                <w:b/>
              </w:rPr>
            </w:pPr>
            <w:r>
              <w:rPr>
                <w:b/>
              </w:rPr>
              <w:t xml:space="preserve">When the </w:t>
            </w:r>
            <w:r>
              <w:rPr>
                <w:b/>
                <w:i/>
              </w:rPr>
              <w:t>service</w:t>
            </w:r>
            <w:r>
              <w:rPr>
                <w:b/>
              </w:rPr>
              <w:t xml:space="preserve"> is </w:t>
            </w:r>
            <w:r>
              <w:rPr>
                <w:b/>
                <w:i/>
              </w:rPr>
              <w:t>cancelled</w:t>
            </w:r>
          </w:p>
        </w:tc>
        <w:tc>
          <w:tcPr>
            <w:tcW w:w="7157" w:type="dxa"/>
            <w:gridSpan w:val="3"/>
          </w:tcPr>
          <w:p w14:paraId="1276196B" w14:textId="77777777" w:rsidR="000D07EA" w:rsidRDefault="00BE7C89">
            <w:pPr>
              <w:pStyle w:val="BodyText"/>
              <w:spacing w:before="100" w:after="100"/>
              <w:jc w:val="center"/>
              <w:rPr>
                <w:b/>
                <w:i/>
              </w:rPr>
            </w:pPr>
            <w:r>
              <w:rPr>
                <w:b/>
                <w:i/>
              </w:rPr>
              <w:t>Cancellation Fees</w:t>
            </w:r>
          </w:p>
        </w:tc>
      </w:tr>
      <w:tr w:rsidR="000D07EA" w14:paraId="013ECC2D" w14:textId="77777777">
        <w:trPr>
          <w:trHeight w:val="20"/>
          <w:tblHeader/>
        </w:trPr>
        <w:tc>
          <w:tcPr>
            <w:tcW w:w="2491" w:type="dxa"/>
          </w:tcPr>
          <w:p w14:paraId="0E0E7B9A" w14:textId="77777777" w:rsidR="000D07EA" w:rsidRDefault="000D07EA">
            <w:pPr>
              <w:pStyle w:val="BodyText"/>
              <w:spacing w:before="100" w:after="100"/>
              <w:rPr>
                <w:b/>
              </w:rPr>
            </w:pPr>
          </w:p>
        </w:tc>
        <w:tc>
          <w:tcPr>
            <w:tcW w:w="2385" w:type="dxa"/>
          </w:tcPr>
          <w:p w14:paraId="5CA88854" w14:textId="77777777" w:rsidR="000D07EA" w:rsidRDefault="00BE7C89">
            <w:pPr>
              <w:pStyle w:val="BodyText"/>
              <w:spacing w:before="100" w:after="100"/>
              <w:jc w:val="center"/>
              <w:rPr>
                <w:b/>
              </w:rPr>
            </w:pPr>
            <w:r>
              <w:rPr>
                <w:b/>
              </w:rPr>
              <w:t>Business Timeless Plans Prem – 12 Month Contract</w:t>
            </w:r>
          </w:p>
        </w:tc>
        <w:tc>
          <w:tcPr>
            <w:tcW w:w="2386" w:type="dxa"/>
          </w:tcPr>
          <w:p w14:paraId="4882DFFF" w14:textId="77777777" w:rsidR="000D07EA" w:rsidRDefault="00BE7C89">
            <w:pPr>
              <w:pStyle w:val="BodyText"/>
              <w:spacing w:before="100" w:after="100"/>
              <w:jc w:val="center"/>
              <w:rPr>
                <w:b/>
              </w:rPr>
            </w:pPr>
            <w:r>
              <w:rPr>
                <w:b/>
              </w:rPr>
              <w:t>Business Timeless Plans Prem – 12 Month Contract</w:t>
            </w:r>
          </w:p>
        </w:tc>
        <w:tc>
          <w:tcPr>
            <w:tcW w:w="2386" w:type="dxa"/>
          </w:tcPr>
          <w:p w14:paraId="5FD81F8A" w14:textId="77777777" w:rsidR="000D07EA" w:rsidRDefault="00BE7C89">
            <w:pPr>
              <w:pStyle w:val="BodyText"/>
              <w:spacing w:before="100" w:after="100"/>
              <w:jc w:val="center"/>
              <w:rPr>
                <w:b/>
              </w:rPr>
            </w:pPr>
            <w:r>
              <w:rPr>
                <w:b/>
              </w:rPr>
              <w:t>Business Timeless Plans Prem – 12 Month Contract</w:t>
            </w:r>
          </w:p>
        </w:tc>
      </w:tr>
      <w:tr w:rsidR="000D07EA" w14:paraId="3E44314D" w14:textId="77777777">
        <w:trPr>
          <w:trHeight w:val="20"/>
          <w:tblHeader/>
        </w:trPr>
        <w:tc>
          <w:tcPr>
            <w:tcW w:w="2491" w:type="dxa"/>
          </w:tcPr>
          <w:p w14:paraId="612B820F" w14:textId="77777777" w:rsidR="000D07EA" w:rsidRDefault="000D07EA">
            <w:pPr>
              <w:pStyle w:val="BodyText"/>
              <w:spacing w:before="100" w:after="100"/>
              <w:rPr>
                <w:b/>
              </w:rPr>
            </w:pPr>
          </w:p>
        </w:tc>
        <w:tc>
          <w:tcPr>
            <w:tcW w:w="2385" w:type="dxa"/>
          </w:tcPr>
          <w:p w14:paraId="5D295DA1" w14:textId="77777777" w:rsidR="000D07EA" w:rsidRDefault="00BE7C89">
            <w:pPr>
              <w:pStyle w:val="BodyText"/>
              <w:spacing w:before="100" w:after="100"/>
              <w:jc w:val="center"/>
              <w:rPr>
                <w:b/>
              </w:rPr>
            </w:pPr>
            <w:r>
              <w:rPr>
                <w:b/>
              </w:rPr>
              <w:t>$89 Business Timeless Plan Prem</w:t>
            </w:r>
          </w:p>
        </w:tc>
        <w:tc>
          <w:tcPr>
            <w:tcW w:w="2386" w:type="dxa"/>
          </w:tcPr>
          <w:p w14:paraId="16F9C92D" w14:textId="77777777" w:rsidR="000D07EA" w:rsidRDefault="00BE7C89">
            <w:pPr>
              <w:pStyle w:val="BodyText"/>
              <w:spacing w:before="100" w:after="100"/>
              <w:jc w:val="center"/>
              <w:rPr>
                <w:b/>
              </w:rPr>
            </w:pPr>
            <w:r>
              <w:rPr>
                <w:b/>
              </w:rPr>
              <w:t>$99 Business Timeless Plan Prem</w:t>
            </w:r>
          </w:p>
        </w:tc>
        <w:tc>
          <w:tcPr>
            <w:tcW w:w="2386" w:type="dxa"/>
          </w:tcPr>
          <w:p w14:paraId="07A7751B" w14:textId="77777777" w:rsidR="000D07EA" w:rsidRDefault="00BE7C89">
            <w:pPr>
              <w:pStyle w:val="BodyText"/>
              <w:spacing w:before="100" w:after="100"/>
              <w:jc w:val="center"/>
              <w:rPr>
                <w:b/>
              </w:rPr>
            </w:pPr>
            <w:r>
              <w:rPr>
                <w:b/>
              </w:rPr>
              <w:t>$129 Business Timeless Plan Prem</w:t>
            </w:r>
          </w:p>
        </w:tc>
      </w:tr>
      <w:tr w:rsidR="000D07EA" w14:paraId="4C7ACF4C" w14:textId="77777777">
        <w:trPr>
          <w:trHeight w:val="20"/>
        </w:trPr>
        <w:tc>
          <w:tcPr>
            <w:tcW w:w="2491" w:type="dxa"/>
          </w:tcPr>
          <w:p w14:paraId="59241C0E" w14:textId="77777777" w:rsidR="000D07EA" w:rsidRDefault="00BE7C89">
            <w:pPr>
              <w:pStyle w:val="BodyText"/>
              <w:spacing w:before="100" w:after="100"/>
              <w:rPr>
                <w:b/>
              </w:rPr>
            </w:pPr>
            <w:r>
              <w:rPr>
                <w:b/>
              </w:rPr>
              <w:t xml:space="preserve">During the first 6 months – Initial </w:t>
            </w:r>
            <w:r>
              <w:rPr>
                <w:b/>
                <w:i/>
              </w:rPr>
              <w:t>cancellation</w:t>
            </w:r>
            <w:r>
              <w:rPr>
                <w:b/>
              </w:rPr>
              <w:t xml:space="preserve"> </w:t>
            </w:r>
            <w:r>
              <w:rPr>
                <w:b/>
                <w:i/>
              </w:rPr>
              <w:t>fee</w:t>
            </w:r>
          </w:p>
        </w:tc>
        <w:tc>
          <w:tcPr>
            <w:tcW w:w="2385" w:type="dxa"/>
          </w:tcPr>
          <w:p w14:paraId="5955310E" w14:textId="77777777" w:rsidR="000D07EA" w:rsidRDefault="00BE7C89">
            <w:pPr>
              <w:pStyle w:val="BodyText"/>
              <w:spacing w:before="100" w:after="100"/>
              <w:jc w:val="center"/>
            </w:pPr>
            <w:r>
              <w:t>$825</w:t>
            </w:r>
          </w:p>
        </w:tc>
        <w:tc>
          <w:tcPr>
            <w:tcW w:w="2386" w:type="dxa"/>
          </w:tcPr>
          <w:p w14:paraId="3447DC79" w14:textId="77777777" w:rsidR="000D07EA" w:rsidRDefault="00BE7C89">
            <w:pPr>
              <w:pStyle w:val="BodyText"/>
              <w:spacing w:before="100" w:after="100"/>
              <w:jc w:val="center"/>
            </w:pPr>
            <w:r>
              <w:t>$865</w:t>
            </w:r>
          </w:p>
        </w:tc>
        <w:tc>
          <w:tcPr>
            <w:tcW w:w="2386" w:type="dxa"/>
          </w:tcPr>
          <w:p w14:paraId="43E1E77F" w14:textId="77777777" w:rsidR="000D07EA" w:rsidRDefault="00BE7C89">
            <w:pPr>
              <w:pStyle w:val="BodyText"/>
              <w:spacing w:before="100" w:after="100"/>
              <w:jc w:val="center"/>
            </w:pPr>
            <w:r>
              <w:t>$878</w:t>
            </w:r>
          </w:p>
        </w:tc>
      </w:tr>
      <w:tr w:rsidR="000D07EA" w14:paraId="69E16A8C" w14:textId="77777777">
        <w:trPr>
          <w:trHeight w:val="20"/>
        </w:trPr>
        <w:tc>
          <w:tcPr>
            <w:tcW w:w="2491" w:type="dxa"/>
          </w:tcPr>
          <w:p w14:paraId="1E6F807C" w14:textId="77777777" w:rsidR="000D07EA" w:rsidRDefault="00BE7C89">
            <w:pPr>
              <w:pStyle w:val="BodyText"/>
              <w:spacing w:before="100" w:after="100"/>
              <w:rPr>
                <w:b/>
              </w:rPr>
            </w:pPr>
            <w:r>
              <w:rPr>
                <w:b/>
              </w:rPr>
              <w:t xml:space="preserve">Months 7 - 9 (70% of Initial </w:t>
            </w:r>
            <w:r>
              <w:rPr>
                <w:b/>
                <w:i/>
              </w:rPr>
              <w:t>cancellation</w:t>
            </w:r>
            <w:r>
              <w:rPr>
                <w:b/>
              </w:rPr>
              <w:t xml:space="preserve"> </w:t>
            </w:r>
            <w:r>
              <w:rPr>
                <w:b/>
                <w:i/>
              </w:rPr>
              <w:t>fee</w:t>
            </w:r>
            <w:r>
              <w:rPr>
                <w:b/>
              </w:rPr>
              <w:t>)</w:t>
            </w:r>
          </w:p>
        </w:tc>
        <w:tc>
          <w:tcPr>
            <w:tcW w:w="2385" w:type="dxa"/>
          </w:tcPr>
          <w:p w14:paraId="36A0E1C6" w14:textId="77777777" w:rsidR="000D07EA" w:rsidRDefault="00BE7C89">
            <w:pPr>
              <w:pStyle w:val="BodyText"/>
              <w:spacing w:before="100" w:after="100"/>
              <w:jc w:val="center"/>
            </w:pPr>
            <w:r>
              <w:t>$578</w:t>
            </w:r>
          </w:p>
        </w:tc>
        <w:tc>
          <w:tcPr>
            <w:tcW w:w="2386" w:type="dxa"/>
          </w:tcPr>
          <w:p w14:paraId="550242C5" w14:textId="77777777" w:rsidR="000D07EA" w:rsidRDefault="00BE7C89">
            <w:pPr>
              <w:pStyle w:val="BodyText"/>
              <w:spacing w:before="100" w:after="100"/>
              <w:jc w:val="center"/>
            </w:pPr>
            <w:r>
              <w:t>$606</w:t>
            </w:r>
          </w:p>
        </w:tc>
        <w:tc>
          <w:tcPr>
            <w:tcW w:w="2386" w:type="dxa"/>
          </w:tcPr>
          <w:p w14:paraId="52C8513D" w14:textId="77777777" w:rsidR="000D07EA" w:rsidRDefault="00BE7C89">
            <w:pPr>
              <w:pStyle w:val="BodyText"/>
              <w:spacing w:before="100" w:after="100"/>
              <w:jc w:val="center"/>
            </w:pPr>
            <w:r>
              <w:t>$615</w:t>
            </w:r>
          </w:p>
        </w:tc>
      </w:tr>
      <w:tr w:rsidR="000D07EA" w14:paraId="753A7290" w14:textId="77777777">
        <w:trPr>
          <w:trHeight w:val="20"/>
        </w:trPr>
        <w:tc>
          <w:tcPr>
            <w:tcW w:w="2491" w:type="dxa"/>
          </w:tcPr>
          <w:p w14:paraId="07C17174" w14:textId="77777777" w:rsidR="000D07EA" w:rsidRDefault="00BE7C89">
            <w:pPr>
              <w:pStyle w:val="BodyText"/>
              <w:spacing w:before="100" w:after="100"/>
              <w:rPr>
                <w:b/>
              </w:rPr>
            </w:pPr>
            <w:r>
              <w:rPr>
                <w:b/>
              </w:rPr>
              <w:t xml:space="preserve">Months 10 – 12 (40% of the Initial </w:t>
            </w:r>
            <w:r>
              <w:rPr>
                <w:b/>
                <w:i/>
              </w:rPr>
              <w:t>cancellation</w:t>
            </w:r>
            <w:r>
              <w:rPr>
                <w:b/>
              </w:rPr>
              <w:t xml:space="preserve"> </w:t>
            </w:r>
            <w:r>
              <w:rPr>
                <w:b/>
                <w:i/>
              </w:rPr>
              <w:t>fee</w:t>
            </w:r>
            <w:r>
              <w:rPr>
                <w:b/>
              </w:rPr>
              <w:t>)</w:t>
            </w:r>
          </w:p>
        </w:tc>
        <w:tc>
          <w:tcPr>
            <w:tcW w:w="2385" w:type="dxa"/>
          </w:tcPr>
          <w:p w14:paraId="232A1488" w14:textId="77777777" w:rsidR="000D07EA" w:rsidRDefault="00BE7C89">
            <w:pPr>
              <w:pStyle w:val="BodyText"/>
              <w:spacing w:before="100" w:after="100"/>
              <w:jc w:val="center"/>
            </w:pPr>
            <w:r>
              <w:t>$330</w:t>
            </w:r>
          </w:p>
        </w:tc>
        <w:tc>
          <w:tcPr>
            <w:tcW w:w="2386" w:type="dxa"/>
          </w:tcPr>
          <w:p w14:paraId="20627163" w14:textId="77777777" w:rsidR="000D07EA" w:rsidRDefault="00BE7C89">
            <w:pPr>
              <w:pStyle w:val="BodyText"/>
              <w:spacing w:before="100" w:after="100"/>
              <w:jc w:val="center"/>
            </w:pPr>
            <w:r>
              <w:t>$346</w:t>
            </w:r>
          </w:p>
        </w:tc>
        <w:tc>
          <w:tcPr>
            <w:tcW w:w="2386" w:type="dxa"/>
          </w:tcPr>
          <w:p w14:paraId="7BA49D7B" w14:textId="77777777" w:rsidR="000D07EA" w:rsidRDefault="00BE7C89">
            <w:pPr>
              <w:pStyle w:val="BodyText"/>
              <w:spacing w:before="100" w:after="100"/>
              <w:jc w:val="center"/>
            </w:pPr>
            <w:r>
              <w:t>$352</w:t>
            </w:r>
          </w:p>
        </w:tc>
      </w:tr>
    </w:tbl>
    <w:p w14:paraId="5E49FA51" w14:textId="77777777" w:rsidR="000D07EA" w:rsidRDefault="000D07EA">
      <w:pPr>
        <w:pStyle w:val="BodyText"/>
      </w:pPr>
    </w:p>
    <w:p w14:paraId="5714E6F1" w14:textId="77777777" w:rsidR="000D07EA" w:rsidRDefault="00BE7C89">
      <w:pPr>
        <w:pStyle w:val="Heading4"/>
      </w:pPr>
      <w:bookmarkStart w:id="689" w:name="_Toc397941260"/>
      <w:bookmarkStart w:id="690" w:name="_Toc455147624"/>
      <w:bookmarkStart w:id="691" w:name="_Toc62644646"/>
      <w:r>
        <w:t xml:space="preserve">Business Complete Plans MRO [incorporating $30 Business Complete Plan MRO (4G Sept 2012), $35 Business Complete Plan MRO (4G Sept 2012), $50 Business Complete Plan MRO (4G Sept 2012), $60 Business Complete Plan MRO (4G Sept 2012), $80 </w:t>
      </w:r>
      <w:r>
        <w:lastRenderedPageBreak/>
        <w:t>Business Complete Plan MRO (4G Sept 2012)], (SMALL BUSINESS plans), effective from 4 September 2012.</w:t>
      </w:r>
      <w:bookmarkEnd w:id="689"/>
      <w:bookmarkEnd w:id="690"/>
      <w:bookmarkEnd w:id="691"/>
    </w:p>
    <w:p w14:paraId="57EC8C82" w14:textId="77777777" w:rsidR="000D07EA" w:rsidRDefault="00BE7C89">
      <w:pPr>
        <w:pStyle w:val="Heading6"/>
        <w:ind w:left="0" w:firstLine="0"/>
      </w:pPr>
      <w:bookmarkStart w:id="692" w:name="_Toc397941261"/>
      <w:r>
        <w:t>Eligibility</w:t>
      </w:r>
      <w:bookmarkEnd w:id="692"/>
    </w:p>
    <w:p w14:paraId="28D732B7" w14:textId="77777777" w:rsidR="000D07EA" w:rsidRDefault="00BE7C89">
      <w:pPr>
        <w:pStyle w:val="BodyText"/>
        <w:ind w:left="720"/>
      </w:pPr>
      <w:r>
        <w:t xml:space="preserve">The Business Complete Plans are only available to approved new and existing mobile customers we classify as small or medium business customers connecting to the </w:t>
      </w:r>
      <w:r>
        <w:rPr>
          <w:i/>
        </w:rPr>
        <w:t xml:space="preserve">service </w:t>
      </w:r>
      <w:r>
        <w:t>on the following terms:</w:t>
      </w:r>
    </w:p>
    <w:p w14:paraId="62C16800" w14:textId="77777777" w:rsidR="000D07EA" w:rsidRDefault="00BE7C89">
      <w:pPr>
        <w:pStyle w:val="Heading7"/>
      </w:pPr>
      <w:r>
        <w:rPr>
          <w:snapToGrid w:val="0"/>
        </w:rPr>
        <w:t xml:space="preserve">In order to be and remain eligible for the Business Complete Offers, </w:t>
      </w:r>
      <w:r>
        <w:rPr>
          <w:i/>
          <w:snapToGrid w:val="0"/>
        </w:rPr>
        <w:t xml:space="preserve">you </w:t>
      </w:r>
      <w:r>
        <w:rPr>
          <w:snapToGrid w:val="0"/>
        </w:rPr>
        <w:t xml:space="preserve">must: </w:t>
      </w:r>
    </w:p>
    <w:p w14:paraId="30BFB9D1" w14:textId="77777777" w:rsidR="000D07EA" w:rsidRDefault="00BE7C89">
      <w:pPr>
        <w:pStyle w:val="Heading8"/>
      </w:pPr>
      <w:r>
        <w:t>connect all relevant</w:t>
      </w:r>
      <w:r>
        <w:rPr>
          <w:i/>
        </w:rPr>
        <w:t xml:space="preserve"> services</w:t>
      </w:r>
      <w:r>
        <w:t xml:space="preserve"> in the same account holder name and service address, and ABN/ACN/ARBN;</w:t>
      </w:r>
    </w:p>
    <w:p w14:paraId="46485D65" w14:textId="77777777" w:rsidR="000D07EA" w:rsidRDefault="00BE7C89">
      <w:pPr>
        <w:pStyle w:val="Heading8"/>
      </w:pPr>
      <w:r>
        <w:t xml:space="preserve">meet all of the criteria for the particular </w:t>
      </w:r>
      <w:r>
        <w:rPr>
          <w:i/>
        </w:rPr>
        <w:t>services</w:t>
      </w:r>
      <w:r>
        <w:t xml:space="preserve"> as set out in each of the relevant </w:t>
      </w:r>
      <w:r>
        <w:rPr>
          <w:i/>
        </w:rPr>
        <w:t>service descriptions</w:t>
      </w:r>
      <w:r>
        <w:t>; and</w:t>
      </w:r>
    </w:p>
    <w:p w14:paraId="6133B6B1" w14:textId="77777777" w:rsidR="000D07EA" w:rsidRDefault="00BE7C89">
      <w:pPr>
        <w:pStyle w:val="Heading8"/>
      </w:pPr>
      <w:r>
        <w:t>receive subscription charges on a monthly single bill.</w:t>
      </w:r>
    </w:p>
    <w:p w14:paraId="17F49DB0" w14:textId="77777777" w:rsidR="000D07EA" w:rsidRDefault="00BE7C89">
      <w:pPr>
        <w:pStyle w:val="Heading7"/>
      </w:pPr>
      <w:r>
        <w:rPr>
          <w:snapToGrid w:val="0"/>
        </w:rPr>
        <w:t xml:space="preserve">If </w:t>
      </w:r>
      <w:r>
        <w:rPr>
          <w:i/>
          <w:snapToGrid w:val="0"/>
        </w:rPr>
        <w:t xml:space="preserve">you </w:t>
      </w:r>
      <w:r>
        <w:rPr>
          <w:snapToGrid w:val="0"/>
        </w:rPr>
        <w:t xml:space="preserve">already have a non-fixed length or fixed length agreement with us for any of </w:t>
      </w:r>
      <w:r>
        <w:rPr>
          <w:i/>
          <w:snapToGrid w:val="0"/>
        </w:rPr>
        <w:t>your</w:t>
      </w:r>
      <w:r>
        <w:rPr>
          <w:snapToGrid w:val="0"/>
        </w:rPr>
        <w:t xml:space="preserve"> </w:t>
      </w:r>
      <w:r>
        <w:rPr>
          <w:i/>
          <w:snapToGrid w:val="0"/>
        </w:rPr>
        <w:t>Optus Mobile Service(s)</w:t>
      </w:r>
      <w:r>
        <w:rPr>
          <w:snapToGrid w:val="0"/>
        </w:rPr>
        <w:t xml:space="preserve"> and </w:t>
      </w:r>
      <w:r>
        <w:rPr>
          <w:i/>
          <w:snapToGrid w:val="0"/>
        </w:rPr>
        <w:t>you</w:t>
      </w:r>
      <w:r>
        <w:rPr>
          <w:snapToGrid w:val="0"/>
        </w:rPr>
        <w:t xml:space="preserve"> choose to connect a new service to our Business Complete offer, we may agree (at our discretion) to transfer your existing </w:t>
      </w:r>
      <w:r>
        <w:rPr>
          <w:i/>
          <w:snapToGrid w:val="0"/>
        </w:rPr>
        <w:t>service(s)</w:t>
      </w:r>
      <w:r>
        <w:rPr>
          <w:snapToGrid w:val="0"/>
        </w:rPr>
        <w:t xml:space="preserve"> to the Business Complete offer, in which case </w:t>
      </w:r>
      <w:r>
        <w:rPr>
          <w:i/>
          <w:snapToGrid w:val="0"/>
        </w:rPr>
        <w:t>your</w:t>
      </w:r>
      <w:r>
        <w:rPr>
          <w:snapToGrid w:val="0"/>
        </w:rPr>
        <w:t xml:space="preserve"> existing </w:t>
      </w:r>
      <w:r>
        <w:rPr>
          <w:i/>
          <w:snapToGrid w:val="0"/>
        </w:rPr>
        <w:t xml:space="preserve">service(s) </w:t>
      </w:r>
      <w:r>
        <w:rPr>
          <w:snapToGrid w:val="0"/>
        </w:rPr>
        <w:t xml:space="preserve">will be contracted on a: </w:t>
      </w:r>
    </w:p>
    <w:p w14:paraId="1E52264E" w14:textId="77777777" w:rsidR="000D07EA" w:rsidRDefault="00BE7C89">
      <w:pPr>
        <w:pStyle w:val="Heading8"/>
      </w:pPr>
      <w:r>
        <w:rPr>
          <w:snapToGrid w:val="0"/>
        </w:rPr>
        <w:t>12 or 24 month</w:t>
      </w:r>
      <w:r>
        <w:rPr>
          <w:i/>
          <w:snapToGrid w:val="0"/>
        </w:rPr>
        <w:t xml:space="preserve"> minimum term fixed length agreement</w:t>
      </w:r>
      <w:r>
        <w:rPr>
          <w:snapToGrid w:val="0"/>
        </w:rPr>
        <w:t xml:space="preserve"> for </w:t>
      </w:r>
      <w:r>
        <w:rPr>
          <w:i/>
          <w:snapToGrid w:val="0"/>
        </w:rPr>
        <w:t>your</w:t>
      </w:r>
      <w:r>
        <w:rPr>
          <w:snapToGrid w:val="0"/>
        </w:rPr>
        <w:t xml:space="preserve"> exiting services(s) </w:t>
      </w:r>
    </w:p>
    <w:p w14:paraId="50944F1C" w14:textId="77777777" w:rsidR="000D07EA" w:rsidRDefault="00BE7C89">
      <w:pPr>
        <w:pStyle w:val="BodyText"/>
        <w:ind w:left="2160"/>
      </w:pPr>
      <w:r>
        <w:rPr>
          <w:snapToGrid w:val="0"/>
        </w:rPr>
        <w:t>on the new Business Complete</w:t>
      </w:r>
      <w:r>
        <w:rPr>
          <w:i/>
          <w:snapToGrid w:val="0"/>
        </w:rPr>
        <w:t xml:space="preserve"> offer</w:t>
      </w:r>
      <w:r>
        <w:rPr>
          <w:snapToGrid w:val="0"/>
        </w:rPr>
        <w:t xml:space="preserve">. </w:t>
      </w:r>
    </w:p>
    <w:p w14:paraId="64ABB7AA" w14:textId="77777777" w:rsidR="000D07EA" w:rsidRDefault="00BE7C89">
      <w:pPr>
        <w:pStyle w:val="Heading7"/>
      </w:pPr>
      <w:r>
        <w:rPr>
          <w:snapToGrid w:val="0"/>
        </w:rPr>
        <w:t xml:space="preserve">If </w:t>
      </w:r>
      <w:r>
        <w:rPr>
          <w:i/>
          <w:snapToGrid w:val="0"/>
        </w:rPr>
        <w:t xml:space="preserve">you </w:t>
      </w:r>
      <w:r>
        <w:rPr>
          <w:snapToGrid w:val="0"/>
        </w:rPr>
        <w:t xml:space="preserve">are an existing customer </w:t>
      </w:r>
      <w:r>
        <w:rPr>
          <w:i/>
          <w:snapToGrid w:val="0"/>
        </w:rPr>
        <w:t xml:space="preserve">you </w:t>
      </w:r>
      <w:r>
        <w:rPr>
          <w:snapToGrid w:val="0"/>
        </w:rPr>
        <w:t xml:space="preserve">may only transfer to the Business Complete plans with </w:t>
      </w:r>
      <w:r>
        <w:rPr>
          <w:i/>
          <w:snapToGrid w:val="0"/>
        </w:rPr>
        <w:t xml:space="preserve">our </w:t>
      </w:r>
      <w:r>
        <w:rPr>
          <w:snapToGrid w:val="0"/>
        </w:rPr>
        <w:t>approval</w:t>
      </w:r>
      <w:r>
        <w:rPr>
          <w:snapToGrid w:val="0"/>
          <w:sz w:val="16"/>
          <w:szCs w:val="16"/>
        </w:rPr>
        <w:t>.</w:t>
      </w:r>
    </w:p>
    <w:p w14:paraId="2AB1F470" w14:textId="77777777" w:rsidR="000D07EA" w:rsidRDefault="00BE7C89">
      <w:pPr>
        <w:pStyle w:val="Heading8"/>
      </w:pPr>
      <w:r>
        <w:rPr>
          <w:i/>
        </w:rPr>
        <w:t>You</w:t>
      </w:r>
      <w:r>
        <w:t xml:space="preserve"> must pass the Optus credit assessment and be accepted by </w:t>
      </w:r>
      <w:r>
        <w:rPr>
          <w:i/>
        </w:rPr>
        <w:t>us</w:t>
      </w:r>
      <w:r>
        <w:t>; and</w:t>
      </w:r>
    </w:p>
    <w:p w14:paraId="07FB33F3" w14:textId="77777777" w:rsidR="000D07EA" w:rsidRDefault="00BE7C89">
      <w:pPr>
        <w:pStyle w:val="Heading8"/>
      </w:pPr>
      <w:r>
        <w:t>Optus Service Providers' customers are not eligible to apply</w:t>
      </w:r>
      <w:r>
        <w:rPr>
          <w:snapToGrid w:val="0"/>
        </w:rPr>
        <w:t>.</w:t>
      </w:r>
    </w:p>
    <w:p w14:paraId="4B049ACA" w14:textId="77777777" w:rsidR="000D07EA" w:rsidRDefault="00BE7C89">
      <w:pPr>
        <w:pStyle w:val="Heading6"/>
        <w:ind w:left="0" w:firstLine="0"/>
        <w:rPr>
          <w:i/>
        </w:rPr>
      </w:pPr>
      <w:bookmarkStart w:id="693" w:name="_Toc397941262"/>
      <w:r>
        <w:rPr>
          <w:i/>
          <w:snapToGrid w:val="0"/>
        </w:rPr>
        <w:t>Minimum Term</w:t>
      </w:r>
      <w:bookmarkEnd w:id="693"/>
    </w:p>
    <w:p w14:paraId="0AB302FD" w14:textId="77777777" w:rsidR="000D07EA" w:rsidRDefault="00BE7C89">
      <w:pPr>
        <w:pStyle w:val="Heading7"/>
      </w:pPr>
      <w:r>
        <w:rPr>
          <w:i/>
        </w:rPr>
        <w:t xml:space="preserve">You </w:t>
      </w:r>
      <w:r>
        <w:t>must agree to either a</w:t>
      </w:r>
      <w:r>
        <w:rPr>
          <w:i/>
        </w:rPr>
        <w:t xml:space="preserve"> fixed length agreement </w:t>
      </w:r>
      <w:r>
        <w:t xml:space="preserve">with a 12 month or 24 month </w:t>
      </w:r>
      <w:r>
        <w:rPr>
          <w:i/>
        </w:rPr>
        <w:t>minimum term</w:t>
      </w:r>
      <w:r>
        <w:t xml:space="preserve">. </w:t>
      </w:r>
    </w:p>
    <w:p w14:paraId="108661F4" w14:textId="77777777" w:rsidR="000D07EA" w:rsidRDefault="00BE7C89">
      <w:pPr>
        <w:pStyle w:val="Heading7"/>
      </w:pPr>
      <w:r>
        <w:rPr>
          <w:i/>
        </w:rPr>
        <w:t xml:space="preserve">You </w:t>
      </w:r>
      <w:r>
        <w:t xml:space="preserve">may purchase a </w:t>
      </w:r>
      <w:r>
        <w:rPr>
          <w:i/>
        </w:rPr>
        <w:t xml:space="preserve">mobile phone </w:t>
      </w:r>
      <w:r>
        <w:t xml:space="preserve">upfront or with a 12 or 24 month </w:t>
      </w:r>
      <w:r>
        <w:rPr>
          <w:i/>
        </w:rPr>
        <w:t xml:space="preserve">equipment term </w:t>
      </w:r>
      <w:r>
        <w:t xml:space="preserve">under a </w:t>
      </w:r>
      <w:r>
        <w:rPr>
          <w:i/>
        </w:rPr>
        <w:t>mobile equipment payment plan</w:t>
      </w:r>
      <w:r>
        <w:t xml:space="preserve"> on 12 or 24 month </w:t>
      </w:r>
      <w:r>
        <w:rPr>
          <w:i/>
        </w:rPr>
        <w:t xml:space="preserve">fixed length agreement </w:t>
      </w:r>
      <w:r>
        <w:t xml:space="preserve">depending on </w:t>
      </w:r>
      <w:r>
        <w:rPr>
          <w:i/>
        </w:rPr>
        <w:t xml:space="preserve">your </w:t>
      </w:r>
      <w:r>
        <w:t>pricing plan.</w:t>
      </w:r>
    </w:p>
    <w:p w14:paraId="0E689068" w14:textId="77777777" w:rsidR="000D07EA" w:rsidRDefault="00BE7C89">
      <w:pPr>
        <w:pStyle w:val="Heading6"/>
        <w:ind w:left="0" w:firstLine="0"/>
      </w:pPr>
      <w:bookmarkStart w:id="694" w:name="_Toc397941263"/>
      <w:r>
        <w:t>Blocking access to a number</w:t>
      </w:r>
      <w:bookmarkEnd w:id="694"/>
    </w:p>
    <w:p w14:paraId="5C789330" w14:textId="77777777" w:rsidR="000D07EA" w:rsidRDefault="00BE7C89">
      <w:pPr>
        <w:pStyle w:val="BodyText"/>
        <w:ind w:left="720"/>
      </w:pPr>
      <w:r>
        <w:rPr>
          <w:i/>
          <w:iCs/>
        </w:rPr>
        <w:t>In addition to what is stated in clause 11 of the Service Description ("Access Restrictions"), we</w:t>
      </w:r>
      <w:r>
        <w:t xml:space="preserve"> may block access to a number (other than an emergency service number) if </w:t>
      </w:r>
      <w:r>
        <w:rPr>
          <w:i/>
        </w:rPr>
        <w:t>we</w:t>
      </w:r>
      <w:r>
        <w:t xml:space="preserve"> reasonably require this to be done for technical, operational or commercial reasons.</w:t>
      </w:r>
    </w:p>
    <w:p w14:paraId="18B37520" w14:textId="77777777" w:rsidR="000D07EA" w:rsidRDefault="00BE7C89">
      <w:pPr>
        <w:pStyle w:val="Heading6"/>
        <w:ind w:left="0" w:firstLine="0"/>
        <w:rPr>
          <w:i/>
        </w:rPr>
      </w:pPr>
      <w:bookmarkStart w:id="695" w:name="_Toc397941264"/>
      <w:r>
        <w:t xml:space="preserve">What </w:t>
      </w:r>
      <w:r>
        <w:rPr>
          <w:i/>
        </w:rPr>
        <w:t xml:space="preserve">you </w:t>
      </w:r>
      <w:r>
        <w:t xml:space="preserve">have to pay </w:t>
      </w:r>
      <w:r>
        <w:rPr>
          <w:i/>
        </w:rPr>
        <w:t>us</w:t>
      </w:r>
      <w:bookmarkEnd w:id="695"/>
    </w:p>
    <w:p w14:paraId="37A11A8D" w14:textId="77777777" w:rsidR="000D07EA" w:rsidRDefault="00BE7C89">
      <w:pPr>
        <w:pStyle w:val="Heading7"/>
      </w:pPr>
      <w:r>
        <w:t xml:space="preserve">Subject to paragraphs </w:t>
      </w:r>
      <w:r>
        <w:fldChar w:fldCharType="begin"/>
      </w:r>
      <w:r>
        <w:instrText xml:space="preserve"> REF _Ref461553493 \n \h </w:instrText>
      </w:r>
      <w:r>
        <w:fldChar w:fldCharType="separate"/>
      </w:r>
      <w:r w:rsidR="0004083A">
        <w:t>(c)</w:t>
      </w:r>
      <w:r>
        <w:fldChar w:fldCharType="end"/>
      </w:r>
      <w:r>
        <w:t xml:space="preserve">, </w:t>
      </w:r>
      <w:r>
        <w:fldChar w:fldCharType="begin"/>
      </w:r>
      <w:r>
        <w:instrText xml:space="preserve"> REF _Ref461553502 \n \h </w:instrText>
      </w:r>
      <w:r>
        <w:fldChar w:fldCharType="separate"/>
      </w:r>
      <w:r w:rsidR="0004083A">
        <w:t>(d)</w:t>
      </w:r>
      <w:r>
        <w:fldChar w:fldCharType="end"/>
      </w:r>
      <w:r>
        <w:t xml:space="preserve">, </w:t>
      </w:r>
      <w:r>
        <w:fldChar w:fldCharType="begin"/>
      </w:r>
      <w:r>
        <w:instrText xml:space="preserve"> REF _Ref461553511 \n \h </w:instrText>
      </w:r>
      <w:r>
        <w:fldChar w:fldCharType="separate"/>
      </w:r>
      <w:r w:rsidR="0004083A">
        <w:t>(e)</w:t>
      </w:r>
      <w:r>
        <w:fldChar w:fldCharType="end"/>
      </w:r>
      <w:r>
        <w:t xml:space="preserve">, </w:t>
      </w:r>
      <w:r>
        <w:fldChar w:fldCharType="begin"/>
      </w:r>
      <w:r>
        <w:instrText xml:space="preserve"> REF _Ref461553520 \n \h </w:instrText>
      </w:r>
      <w:r>
        <w:fldChar w:fldCharType="separate"/>
      </w:r>
      <w:r w:rsidR="0004083A">
        <w:t>(f)</w:t>
      </w:r>
      <w:r>
        <w:fldChar w:fldCharType="end"/>
      </w:r>
      <w:r>
        <w:t xml:space="preserve">, </w:t>
      </w:r>
      <w:r>
        <w:fldChar w:fldCharType="begin"/>
      </w:r>
      <w:r>
        <w:instrText xml:space="preserve"> REF _Ref461553529 \n \h </w:instrText>
      </w:r>
      <w:r>
        <w:fldChar w:fldCharType="separate"/>
      </w:r>
      <w:r w:rsidR="0004083A">
        <w:t>(g)</w:t>
      </w:r>
      <w:r>
        <w:fldChar w:fldCharType="end"/>
      </w:r>
      <w:r>
        <w:t xml:space="preserve">, </w:t>
      </w:r>
      <w:r>
        <w:fldChar w:fldCharType="begin"/>
      </w:r>
      <w:r>
        <w:instrText xml:space="preserve"> REF _Ref461553538 \n \h </w:instrText>
      </w:r>
      <w:r>
        <w:fldChar w:fldCharType="separate"/>
      </w:r>
      <w:r w:rsidR="0004083A">
        <w:t>(h)</w:t>
      </w:r>
      <w:r>
        <w:fldChar w:fldCharType="end"/>
      </w:r>
      <w:r>
        <w:t xml:space="preserve">, </w:t>
      </w:r>
      <w:r>
        <w:fldChar w:fldCharType="begin"/>
      </w:r>
      <w:r>
        <w:instrText xml:space="preserve"> REF _Ref461553547 \n \h </w:instrText>
      </w:r>
      <w:r>
        <w:fldChar w:fldCharType="separate"/>
      </w:r>
      <w:r w:rsidR="0004083A">
        <w:t>(i)</w:t>
      </w:r>
      <w:r>
        <w:fldChar w:fldCharType="end"/>
      </w:r>
      <w:r>
        <w:t xml:space="preserve"> and </w:t>
      </w:r>
      <w:r>
        <w:fldChar w:fldCharType="begin"/>
      </w:r>
      <w:r>
        <w:instrText xml:space="preserve"> REF _Ref461553556 \n \h </w:instrText>
      </w:r>
      <w:r>
        <w:fldChar w:fldCharType="separate"/>
      </w:r>
      <w:r w:rsidR="0004083A">
        <w:t>(j)</w:t>
      </w:r>
      <w:r>
        <w:fldChar w:fldCharType="end"/>
      </w:r>
      <w:r>
        <w:t xml:space="preserve"> below </w:t>
      </w:r>
      <w:r>
        <w:rPr>
          <w:i/>
        </w:rPr>
        <w:t xml:space="preserve">you </w:t>
      </w:r>
      <w:r>
        <w:t xml:space="preserve">must pay </w:t>
      </w:r>
      <w:r>
        <w:rPr>
          <w:i/>
        </w:rPr>
        <w:t xml:space="preserve">us </w:t>
      </w:r>
      <w:r>
        <w:t xml:space="preserve">for use of the </w:t>
      </w:r>
      <w:r>
        <w:rPr>
          <w:i/>
        </w:rPr>
        <w:t xml:space="preserve">service </w:t>
      </w:r>
      <w:r>
        <w:t xml:space="preserve">at the rates set out in </w:t>
      </w:r>
      <w:hyperlink r:id="rId493" w:history="1">
        <w:r>
          <w:rPr>
            <w:rStyle w:val="Hyperlink"/>
          </w:rPr>
          <w:t>Section 1</w:t>
        </w:r>
      </w:hyperlink>
      <w:r>
        <w:t xml:space="preserve"> of this </w:t>
      </w:r>
      <w:r>
        <w:rPr>
          <w:i/>
        </w:rPr>
        <w:t xml:space="preserve">standard pricing table </w:t>
      </w:r>
      <w:r>
        <w:t xml:space="preserve">and for </w:t>
      </w:r>
      <w:r>
        <w:rPr>
          <w:i/>
        </w:rPr>
        <w:t xml:space="preserve">value added service features </w:t>
      </w:r>
      <w:r>
        <w:t xml:space="preserve">at the rates set out in </w:t>
      </w:r>
      <w:hyperlink r:id="rId494" w:history="1">
        <w:r>
          <w:rPr>
            <w:rStyle w:val="Hyperlink"/>
          </w:rPr>
          <w:t>Appendix Y</w:t>
        </w:r>
      </w:hyperlink>
      <w:r>
        <w:t xml:space="preserve"> Value Added Service Features</w:t>
      </w:r>
      <w:r>
        <w:rPr>
          <w:i/>
        </w:rPr>
        <w:t>.</w:t>
      </w:r>
    </w:p>
    <w:p w14:paraId="3A846977" w14:textId="77777777" w:rsidR="000D07EA" w:rsidRDefault="00BE7C89">
      <w:pPr>
        <w:pStyle w:val="Heading7"/>
      </w:pPr>
      <w:r>
        <w:t xml:space="preserve">If there is a </w:t>
      </w:r>
      <w:r>
        <w:rPr>
          <w:i/>
        </w:rPr>
        <w:t xml:space="preserve">flagfall </w:t>
      </w:r>
      <w:r>
        <w:t xml:space="preserve">or call connection charge for a particular call type, the charge for these calls is the </w:t>
      </w:r>
      <w:r>
        <w:rPr>
          <w:i/>
        </w:rPr>
        <w:t xml:space="preserve">flagfall </w:t>
      </w:r>
      <w:r>
        <w:t>charge plus the relevant rate for the call multiplied by the duration of the call.</w:t>
      </w:r>
    </w:p>
    <w:p w14:paraId="04CED6B2" w14:textId="77777777" w:rsidR="000D07EA" w:rsidRDefault="00BE7C89">
      <w:pPr>
        <w:pStyle w:val="Heading7"/>
      </w:pPr>
      <w:bookmarkStart w:id="696" w:name="_Ref461553493"/>
      <w:r>
        <w:rPr>
          <w:b/>
        </w:rPr>
        <w:t>Minimum Monthly Charge</w:t>
      </w:r>
      <w:bookmarkEnd w:id="696"/>
    </w:p>
    <w:p w14:paraId="0E0F23B0" w14:textId="77777777" w:rsidR="000D07EA" w:rsidRDefault="00BE7C89">
      <w:pPr>
        <w:pStyle w:val="Heading8"/>
      </w:pPr>
      <w:r>
        <w:t xml:space="preserve">Each Business Complete Plan has a minimum monthly charge amount that </w:t>
      </w:r>
      <w:r>
        <w:rPr>
          <w:i/>
        </w:rPr>
        <w:t xml:space="preserve">you </w:t>
      </w:r>
      <w:r>
        <w:t xml:space="preserve">must pay </w:t>
      </w:r>
      <w:r>
        <w:rPr>
          <w:i/>
        </w:rPr>
        <w:t>us</w:t>
      </w:r>
      <w:r>
        <w:t xml:space="preserve"> each month.</w:t>
      </w:r>
    </w:p>
    <w:p w14:paraId="75D8D32D" w14:textId="77777777" w:rsidR="000D07EA" w:rsidRDefault="00BE7C89">
      <w:pPr>
        <w:pStyle w:val="Heading8"/>
      </w:pPr>
      <w:r>
        <w:lastRenderedPageBreak/>
        <w:t>The amount of the minimum monthly charge and included calls for each Business Complete Plan is set out in Table 2A below.</w:t>
      </w:r>
    </w:p>
    <w:p w14:paraId="1A2A670D" w14:textId="77777777" w:rsidR="000D07EA" w:rsidRDefault="00BE7C89">
      <w:pPr>
        <w:pStyle w:val="Heading7"/>
        <w:rPr>
          <w:b/>
        </w:rPr>
      </w:pPr>
      <w:bookmarkStart w:id="697" w:name="_Ref461553502"/>
      <w:r>
        <w:rPr>
          <w:b/>
        </w:rPr>
        <w:t>Included Value</w:t>
      </w:r>
      <w:bookmarkEnd w:id="697"/>
    </w:p>
    <w:p w14:paraId="67C02161" w14:textId="77777777" w:rsidR="000D07EA" w:rsidRDefault="00BE7C89">
      <w:pPr>
        <w:pStyle w:val="Heading8"/>
      </w:pPr>
      <w:r>
        <w:t xml:space="preserve">Under the Business Complete Plans, </w:t>
      </w:r>
      <w:r>
        <w:rPr>
          <w:i/>
        </w:rPr>
        <w:t xml:space="preserve">you </w:t>
      </w:r>
      <w:r>
        <w:t>will receive an amount of 'Included Value'.</w:t>
      </w:r>
    </w:p>
    <w:p w14:paraId="50CD8744" w14:textId="77777777" w:rsidR="000D07EA" w:rsidRDefault="00BE7C89">
      <w:pPr>
        <w:pStyle w:val="Heading8"/>
      </w:pPr>
      <w:r>
        <w:t>The amount of the 'Included Value' included for each Business Complete Plan is set out in Table 2A below.</w:t>
      </w:r>
    </w:p>
    <w:p w14:paraId="77CB0D4C" w14:textId="77777777" w:rsidR="000D07EA" w:rsidRDefault="00BE7C89">
      <w:pPr>
        <w:pStyle w:val="Heading8"/>
      </w:pPr>
      <w:r>
        <w:t xml:space="preserve">The call types that are </w:t>
      </w:r>
      <w:r>
        <w:rPr>
          <w:b/>
        </w:rPr>
        <w:t>'eligible calls and text'</w:t>
      </w:r>
      <w:r>
        <w:t xml:space="preserve"> for each Business Complete Plan under the 'Included Value' are defined in Table 1A below.</w:t>
      </w:r>
    </w:p>
    <w:p w14:paraId="43CA1565" w14:textId="77777777" w:rsidR="000D07EA" w:rsidRDefault="00BE7C89">
      <w:pPr>
        <w:pStyle w:val="Heading8"/>
      </w:pPr>
      <w:r>
        <w:rPr>
          <w:i/>
        </w:rPr>
        <w:t xml:space="preserve">You </w:t>
      </w:r>
      <w:r>
        <w:t xml:space="preserve">must pay </w:t>
      </w:r>
      <w:r>
        <w:rPr>
          <w:i/>
        </w:rPr>
        <w:t xml:space="preserve">us </w:t>
      </w:r>
      <w:r>
        <w:t xml:space="preserve">call charges for eligible calls and text made beyond the available 'Included Value' amount. </w:t>
      </w:r>
    </w:p>
    <w:p w14:paraId="3AA3960A" w14:textId="77777777" w:rsidR="000D07EA" w:rsidRDefault="00BE7C89">
      <w:pPr>
        <w:pStyle w:val="Heading8"/>
      </w:pPr>
      <w:r>
        <w:rPr>
          <w:i/>
        </w:rPr>
        <w:t xml:space="preserve">You </w:t>
      </w:r>
      <w:r>
        <w:t>must pay for any calls and texts that are not eligible calls and text.</w:t>
      </w:r>
    </w:p>
    <w:p w14:paraId="30BFC903" w14:textId="77777777" w:rsidR="000D07EA" w:rsidRDefault="00BE7C89">
      <w:pPr>
        <w:pStyle w:val="Heading8"/>
      </w:pPr>
      <w:r>
        <w:rPr>
          <w:snapToGrid w:val="0"/>
        </w:rPr>
        <w:t>Any unused portion of the 'Included Value' expires at the end of each month. This means that it does not roll over into the following month.</w:t>
      </w:r>
    </w:p>
    <w:p w14:paraId="488F4797" w14:textId="77777777" w:rsidR="000D07EA" w:rsidRDefault="00BE7C89">
      <w:pPr>
        <w:pStyle w:val="Heading7"/>
        <w:rPr>
          <w:b/>
        </w:rPr>
      </w:pPr>
      <w:bookmarkStart w:id="698" w:name="_Ref461553511"/>
      <w:r>
        <w:rPr>
          <w:b/>
        </w:rPr>
        <w:t>Included Mobile Internet Data Value and Unlimited BlackBerry POP3 Email and Browsing</w:t>
      </w:r>
      <w:bookmarkEnd w:id="698"/>
    </w:p>
    <w:p w14:paraId="3BBA3AFB" w14:textId="77777777" w:rsidR="000D07EA" w:rsidRDefault="00BE7C89">
      <w:pPr>
        <w:pStyle w:val="Heading8"/>
        <w:rPr>
          <w:b/>
        </w:rPr>
      </w:pPr>
      <w:r>
        <w:t xml:space="preserve">Under the Business Complete Plans, </w:t>
      </w:r>
      <w:r>
        <w:rPr>
          <w:i/>
        </w:rPr>
        <w:t>you</w:t>
      </w:r>
      <w:r>
        <w:t xml:space="preserve"> will receive:</w:t>
      </w:r>
    </w:p>
    <w:p w14:paraId="727581D4" w14:textId="77777777" w:rsidR="000D07EA" w:rsidRDefault="00BE7C89">
      <w:pPr>
        <w:pStyle w:val="Heading9"/>
      </w:pPr>
      <w:r>
        <w:t xml:space="preserve">included Mobile Internet Data Value; and (if </w:t>
      </w:r>
      <w:r>
        <w:rPr>
          <w:i/>
          <w:u w:val="single"/>
        </w:rPr>
        <w:t>you</w:t>
      </w:r>
      <w:r>
        <w:t xml:space="preserve"> have a compatible handset)</w:t>
      </w:r>
    </w:p>
    <w:p w14:paraId="21028945" w14:textId="77777777" w:rsidR="000D07EA" w:rsidRDefault="00BE7C89">
      <w:pPr>
        <w:pStyle w:val="Heading9"/>
        <w:rPr>
          <w:szCs w:val="24"/>
        </w:rPr>
      </w:pPr>
      <w:r>
        <w:rPr>
          <w:szCs w:val="24"/>
        </w:rPr>
        <w:t>the amount of 'Mobile Internet Data Value' included for each Business Complete Plans is set out in Table 2A below.</w:t>
      </w:r>
    </w:p>
    <w:p w14:paraId="7958DB3A" w14:textId="77777777" w:rsidR="000D07EA" w:rsidRDefault="00BE7C89">
      <w:pPr>
        <w:pStyle w:val="Heading9"/>
        <w:rPr>
          <w:szCs w:val="24"/>
        </w:rPr>
      </w:pPr>
      <w:r>
        <w:rPr>
          <w:szCs w:val="24"/>
        </w:rPr>
        <w:t xml:space="preserve">the usage types that are </w:t>
      </w:r>
      <w:r>
        <w:rPr>
          <w:b/>
          <w:szCs w:val="24"/>
        </w:rPr>
        <w:t>'eligible data'</w:t>
      </w:r>
      <w:r>
        <w:rPr>
          <w:szCs w:val="24"/>
        </w:rPr>
        <w:t xml:space="preserve"> for each Business Complete Plan under the included Mobile Internet Data Value are defined in Table 1B below.</w:t>
      </w:r>
    </w:p>
    <w:p w14:paraId="60DF44FE" w14:textId="77777777" w:rsidR="000D07EA" w:rsidRDefault="00BE7C89">
      <w:pPr>
        <w:pStyle w:val="Heading9"/>
        <w:rPr>
          <w:szCs w:val="24"/>
        </w:rPr>
      </w:pPr>
      <w:r>
        <w:rPr>
          <w:i/>
          <w:szCs w:val="24"/>
        </w:rPr>
        <w:t xml:space="preserve">you </w:t>
      </w:r>
      <w:r>
        <w:rPr>
          <w:szCs w:val="24"/>
        </w:rPr>
        <w:t xml:space="preserve">must pay </w:t>
      </w:r>
      <w:r>
        <w:rPr>
          <w:i/>
          <w:szCs w:val="24"/>
        </w:rPr>
        <w:t xml:space="preserve">us </w:t>
      </w:r>
      <w:r>
        <w:rPr>
          <w:szCs w:val="24"/>
        </w:rPr>
        <w:t xml:space="preserve">excess usage charges for data used in excess of </w:t>
      </w:r>
      <w:r>
        <w:rPr>
          <w:i/>
          <w:szCs w:val="24"/>
        </w:rPr>
        <w:t>your</w:t>
      </w:r>
      <w:r>
        <w:rPr>
          <w:szCs w:val="24"/>
        </w:rPr>
        <w:t xml:space="preserve"> 'Mobile Internet Data Value' as shown in Table 2A below. </w:t>
      </w:r>
    </w:p>
    <w:p w14:paraId="7066A71A" w14:textId="77777777" w:rsidR="000D07EA" w:rsidRDefault="00BE7C89">
      <w:pPr>
        <w:pStyle w:val="Heading9"/>
        <w:rPr>
          <w:szCs w:val="24"/>
        </w:rPr>
      </w:pPr>
      <w:r>
        <w:rPr>
          <w:snapToGrid w:val="0"/>
          <w:szCs w:val="24"/>
        </w:rPr>
        <w:t>any unused portion of the 'Mobile Internet Data Value' expires at the end of each month and does not roll over into the following month.</w:t>
      </w:r>
      <w:r>
        <w:rPr>
          <w:szCs w:val="24"/>
        </w:rPr>
        <w:t xml:space="preserve"> </w:t>
      </w:r>
    </w:p>
    <w:p w14:paraId="2D2580B0" w14:textId="77777777" w:rsidR="000D07EA" w:rsidRDefault="00BE7C89">
      <w:pPr>
        <w:pStyle w:val="Heading8"/>
      </w:pPr>
      <w:r>
        <w:t>Unlimited BlackBerry POP3 Email and Browsing:</w:t>
      </w:r>
    </w:p>
    <w:p w14:paraId="12C6BDAD" w14:textId="77777777" w:rsidR="000D07EA" w:rsidRDefault="00BE7C89">
      <w:pPr>
        <w:pStyle w:val="Heading9"/>
      </w:pPr>
      <w:r>
        <w:rPr>
          <w:i/>
        </w:rPr>
        <w:t>You</w:t>
      </w:r>
      <w:r>
        <w:t xml:space="preserve"> will receive unlimited BlackBerry POP3 Email and Browsing through the BlackBerry Browser only, use of applications from Optus and third party applications that require a BlackBerry Data connection as set out in Table 2A below.</w:t>
      </w:r>
    </w:p>
    <w:p w14:paraId="6D67523D" w14:textId="77777777" w:rsidR="000D07EA" w:rsidRDefault="00BE7C89">
      <w:pPr>
        <w:pStyle w:val="Heading9"/>
      </w:pPr>
      <w:r>
        <w:t>The usage types that are '</w:t>
      </w:r>
      <w:r>
        <w:rPr>
          <w:b/>
        </w:rPr>
        <w:t>eligible data'</w:t>
      </w:r>
      <w:r>
        <w:t xml:space="preserve"> for each Business Complete Plan under the Unlimited BlackBerry POP3 Email and Browsing are defined in Table 1C below.</w:t>
      </w:r>
    </w:p>
    <w:p w14:paraId="2FCAD770" w14:textId="77777777" w:rsidR="000D07EA" w:rsidRDefault="00BE7C89">
      <w:pPr>
        <w:pStyle w:val="Heading9"/>
      </w:pPr>
      <w:r>
        <w:t>Unlimited BlackBerry POP3 Email is only for personal use and is not to be used for commercial purposes. Fair Go Policy (</w:t>
      </w:r>
      <w:hyperlink r:id="rId495" w:history="1">
        <w:r>
          <w:rPr>
            <w:rStyle w:val="Hyperlink"/>
            <w:i/>
          </w:rPr>
          <w:t>Appendix S</w:t>
        </w:r>
      </w:hyperlink>
      <w:r>
        <w:t xml:space="preserve">) also applies to unacceptable use. Please refer to </w:t>
      </w:r>
      <w:r w:rsidR="00503F23">
        <w:t>it</w:t>
      </w:r>
      <w:r w:rsidR="008E7BFE">
        <w:t xml:space="preserve"> </w:t>
      </w:r>
      <w:r>
        <w:t>for further details.</w:t>
      </w:r>
    </w:p>
    <w:p w14:paraId="13B79F1C" w14:textId="77777777" w:rsidR="000D07EA" w:rsidRDefault="00BE7C89" w:rsidP="0051170A">
      <w:pPr>
        <w:pStyle w:val="Heading7"/>
        <w:keepNext/>
        <w:rPr>
          <w:b/>
          <w:snapToGrid w:val="0"/>
        </w:rPr>
      </w:pPr>
      <w:bookmarkStart w:id="699" w:name="_Ref461553520"/>
      <w:r>
        <w:rPr>
          <w:b/>
          <w:snapToGrid w:val="0"/>
        </w:rPr>
        <w:t>Unlimited mobile access to Facebook®, Twitter®, LinkedIn, eBay, Foursquare, MySpace within Australia</w:t>
      </w:r>
      <w:bookmarkEnd w:id="699"/>
    </w:p>
    <w:p w14:paraId="065FAA3A" w14:textId="77777777" w:rsidR="000D07EA" w:rsidRDefault="00BE7C89">
      <w:pPr>
        <w:pStyle w:val="Heading8"/>
        <w:rPr>
          <w:snapToGrid w:val="0"/>
        </w:rPr>
      </w:pPr>
      <w:bookmarkStart w:id="700" w:name="_Ref461553629"/>
      <w:r>
        <w:t xml:space="preserve">Under the Business Complete Plans, </w:t>
      </w:r>
      <w:r>
        <w:rPr>
          <w:i/>
        </w:rPr>
        <w:t>you</w:t>
      </w:r>
      <w:r>
        <w:t xml:space="preserve"> will receive unlimited mobile access to </w:t>
      </w:r>
      <w:r>
        <w:rPr>
          <w:snapToGrid w:val="0"/>
        </w:rPr>
        <w:t>Facebook®, Twitter®, LinkedIn, eBay, Foursquare and MySpace within Australia, subject to paragraph (iv) below.</w:t>
      </w:r>
      <w:bookmarkEnd w:id="700"/>
    </w:p>
    <w:p w14:paraId="1F121743" w14:textId="77777777" w:rsidR="000D07EA" w:rsidRDefault="00BE7C89">
      <w:pPr>
        <w:pStyle w:val="Heading8"/>
        <w:rPr>
          <w:snapToGrid w:val="0"/>
        </w:rPr>
      </w:pPr>
      <w:r>
        <w:rPr>
          <w:snapToGrid w:val="0"/>
        </w:rPr>
        <w:t xml:space="preserve">Use of the services described in paragraph </w:t>
      </w:r>
      <w:r>
        <w:rPr>
          <w:snapToGrid w:val="0"/>
        </w:rPr>
        <w:fldChar w:fldCharType="begin"/>
      </w:r>
      <w:r>
        <w:rPr>
          <w:snapToGrid w:val="0"/>
        </w:rPr>
        <w:instrText xml:space="preserve"> REF _Ref461553520 \n \h </w:instrText>
      </w:r>
      <w:r>
        <w:rPr>
          <w:snapToGrid w:val="0"/>
        </w:rPr>
      </w:r>
      <w:r>
        <w:rPr>
          <w:snapToGrid w:val="0"/>
        </w:rPr>
        <w:fldChar w:fldCharType="separate"/>
      </w:r>
      <w:r w:rsidR="0004083A">
        <w:rPr>
          <w:snapToGrid w:val="0"/>
        </w:rPr>
        <w:t>(f)</w:t>
      </w:r>
      <w:r>
        <w:rPr>
          <w:snapToGrid w:val="0"/>
        </w:rPr>
        <w:fldChar w:fldCharType="end"/>
      </w:r>
      <w:r>
        <w:rPr>
          <w:snapToGrid w:val="0"/>
        </w:rPr>
        <w:fldChar w:fldCharType="begin"/>
      </w:r>
      <w:r>
        <w:rPr>
          <w:snapToGrid w:val="0"/>
        </w:rPr>
        <w:instrText xml:space="preserve"> REF _Ref461553629 \n \h </w:instrText>
      </w:r>
      <w:r>
        <w:rPr>
          <w:snapToGrid w:val="0"/>
        </w:rPr>
      </w:r>
      <w:r>
        <w:rPr>
          <w:snapToGrid w:val="0"/>
        </w:rPr>
        <w:fldChar w:fldCharType="separate"/>
      </w:r>
      <w:r w:rsidR="0004083A">
        <w:rPr>
          <w:snapToGrid w:val="0"/>
        </w:rPr>
        <w:t>(i)</w:t>
      </w:r>
      <w:r>
        <w:rPr>
          <w:snapToGrid w:val="0"/>
        </w:rPr>
        <w:fldChar w:fldCharType="end"/>
      </w:r>
      <w:r>
        <w:rPr>
          <w:snapToGrid w:val="0"/>
        </w:rPr>
        <w:t xml:space="preserve"> above is separate to and is not included in </w:t>
      </w:r>
      <w:r>
        <w:rPr>
          <w:i/>
          <w:snapToGrid w:val="0"/>
        </w:rPr>
        <w:t>your</w:t>
      </w:r>
      <w:r>
        <w:rPr>
          <w:snapToGrid w:val="0"/>
        </w:rPr>
        <w:t xml:space="preserve"> </w:t>
      </w:r>
      <w:r>
        <w:t>'Mobile Internet Data Value'.</w:t>
      </w:r>
    </w:p>
    <w:p w14:paraId="141334EB" w14:textId="77777777" w:rsidR="000D07EA" w:rsidRDefault="00BE7C89">
      <w:pPr>
        <w:pStyle w:val="Heading8"/>
        <w:rPr>
          <w:b/>
        </w:rPr>
      </w:pPr>
      <w:r>
        <w:lastRenderedPageBreak/>
        <w:t xml:space="preserve">These features are only available to </w:t>
      </w:r>
      <w:r>
        <w:rPr>
          <w:i/>
        </w:rPr>
        <w:t>you</w:t>
      </w:r>
      <w:r>
        <w:t xml:space="preserve"> if </w:t>
      </w:r>
      <w:r>
        <w:rPr>
          <w:i/>
        </w:rPr>
        <w:t>your</w:t>
      </w:r>
      <w:r>
        <w:t xml:space="preserve"> handset is compatible with the service.</w:t>
      </w:r>
    </w:p>
    <w:p w14:paraId="3FE1CB1A" w14:textId="77777777" w:rsidR="000D07EA" w:rsidRDefault="00BE7C89">
      <w:pPr>
        <w:pStyle w:val="Heading8"/>
        <w:rPr>
          <w:b/>
        </w:rPr>
      </w:pPr>
      <w:r>
        <w:t>The Fair Go Policy (</w:t>
      </w:r>
      <w:hyperlink r:id="rId496" w:history="1">
        <w:r>
          <w:rPr>
            <w:rStyle w:val="Hyperlink"/>
            <w:i/>
          </w:rPr>
          <w:t>Appendix S</w:t>
        </w:r>
      </w:hyperlink>
      <w:r>
        <w:t xml:space="preserve">) applies for the use of Unlimited Facebook®, Twitter®, </w:t>
      </w:r>
      <w:r>
        <w:rPr>
          <w:snapToGrid w:val="0"/>
        </w:rPr>
        <w:t>LinkedIn, eBay, Foursquare,</w:t>
      </w:r>
      <w:r>
        <w:t xml:space="preserve"> and MySpace. Please refer to </w:t>
      </w:r>
      <w:r w:rsidR="008E7BFE" w:rsidRPr="008E7BFE">
        <w:rPr>
          <w:iCs w:val="0"/>
          <w:szCs w:val="22"/>
        </w:rPr>
        <w:t>it</w:t>
      </w:r>
      <w:r w:rsidRPr="008E7BFE">
        <w:t xml:space="preserve"> </w:t>
      </w:r>
      <w:r>
        <w:t>for further details.</w:t>
      </w:r>
    </w:p>
    <w:p w14:paraId="543972F8" w14:textId="77777777" w:rsidR="000D07EA" w:rsidRDefault="00BE7C89">
      <w:pPr>
        <w:pStyle w:val="Heading7"/>
        <w:rPr>
          <w:b/>
        </w:rPr>
      </w:pPr>
      <w:bookmarkStart w:id="701" w:name="_Ref461553529"/>
      <w:r>
        <w:rPr>
          <w:b/>
        </w:rPr>
        <w:t>Unlimited standard national SMS on the $35 Business Complete Plan (4G Sept 2012), $50 Business Complete Plan (4G Sept 2012), $60 Business Complete Plan (4GSept 2012), $80 Business Complete Plan (4G Sept 2012)</w:t>
      </w:r>
      <w:bookmarkEnd w:id="701"/>
    </w:p>
    <w:p w14:paraId="3AFC7BB8" w14:textId="77777777" w:rsidR="000D07EA" w:rsidRDefault="00BE7C89">
      <w:pPr>
        <w:pStyle w:val="Heading8"/>
      </w:pPr>
      <w:r>
        <w:rPr>
          <w:i/>
        </w:rPr>
        <w:t xml:space="preserve">You </w:t>
      </w:r>
      <w:r>
        <w:t>may send unlimited standard national SMS to Australian mobiles within Australia.</w:t>
      </w:r>
    </w:p>
    <w:p w14:paraId="032323B4" w14:textId="77777777" w:rsidR="000D07EA" w:rsidRDefault="00BE7C89">
      <w:pPr>
        <w:pStyle w:val="Heading8"/>
      </w:pPr>
      <w:r>
        <w:t>Unlimited SMS excludes , Satellite, International, Premium, Group and Email SMS.</w:t>
      </w:r>
    </w:p>
    <w:p w14:paraId="761D6C68" w14:textId="77777777" w:rsidR="000D07EA" w:rsidRDefault="00BE7C89">
      <w:pPr>
        <w:pStyle w:val="Heading8"/>
      </w:pPr>
      <w:r>
        <w:rPr>
          <w:i/>
        </w:rPr>
        <w:t xml:space="preserve">You </w:t>
      </w:r>
      <w:r>
        <w:t>must pay for any SMS that are not included as unlimited standard national SMS.</w:t>
      </w:r>
    </w:p>
    <w:p w14:paraId="61D4BE94" w14:textId="77777777" w:rsidR="000D07EA" w:rsidRDefault="00BE7C89">
      <w:pPr>
        <w:pStyle w:val="Heading8"/>
      </w:pPr>
      <w:r>
        <w:t xml:space="preserve">Unlimited standard national SMS is only available for personal use and is not to be used for commercial purposes. For further details refer to </w:t>
      </w:r>
      <w:hyperlink r:id="rId497" w:history="1">
        <w:r w:rsidR="00503F23">
          <w:rPr>
            <w:rStyle w:val="Hyperlink"/>
            <w:i/>
          </w:rPr>
          <w:t>Appendix S</w:t>
        </w:r>
      </w:hyperlink>
      <w:r w:rsidR="00503F23">
        <w:t>.</w:t>
      </w:r>
    </w:p>
    <w:p w14:paraId="39A01ACB" w14:textId="77777777" w:rsidR="000D07EA" w:rsidRDefault="00BE7C89">
      <w:pPr>
        <w:pStyle w:val="Heading8"/>
      </w:pPr>
      <w:r>
        <w:t>Fair Go Policy (</w:t>
      </w:r>
      <w:hyperlink r:id="rId498" w:history="1">
        <w:r>
          <w:rPr>
            <w:rStyle w:val="Hyperlink"/>
            <w:i/>
          </w:rPr>
          <w:t>Appendix S</w:t>
        </w:r>
      </w:hyperlink>
      <w:r>
        <w:t xml:space="preserve">) applies. Please refer to </w:t>
      </w:r>
      <w:r>
        <w:rPr>
          <w:i/>
        </w:rPr>
        <w:t xml:space="preserve">Appendix </w:t>
      </w:r>
      <w:r w:rsidR="00DD7FB0">
        <w:rPr>
          <w:i/>
        </w:rPr>
        <w:t>S</w:t>
      </w:r>
      <w:r>
        <w:t xml:space="preserve"> for further details. </w:t>
      </w:r>
    </w:p>
    <w:p w14:paraId="4E30AE38" w14:textId="77777777" w:rsidR="000D07EA" w:rsidRDefault="00BE7C89">
      <w:pPr>
        <w:pStyle w:val="Heading7"/>
        <w:rPr>
          <w:b/>
        </w:rPr>
      </w:pPr>
      <w:bookmarkStart w:id="702" w:name="_Ref461553538"/>
      <w:r>
        <w:rPr>
          <w:b/>
        </w:rPr>
        <w:t>Unlimited Standard National Mobile Voice Calls Optus to Optus within Australia on the Business Complete Plan$60 Business Complete Plan (4G Sept 2012), $80 Business Complete Plan (4G Sept2012)</w:t>
      </w:r>
      <w:bookmarkEnd w:id="702"/>
    </w:p>
    <w:p w14:paraId="3C987755" w14:textId="77777777" w:rsidR="000D07EA" w:rsidRDefault="00BE7C89">
      <w:pPr>
        <w:pStyle w:val="Heading8"/>
      </w:pPr>
      <w:r>
        <w:rPr>
          <w:i/>
        </w:rPr>
        <w:t xml:space="preserve">You </w:t>
      </w:r>
      <w:r>
        <w:t xml:space="preserve">will receive the Unlimited National Mobile Voice Calls Optus to Optus offer. </w:t>
      </w:r>
    </w:p>
    <w:p w14:paraId="4026BB51" w14:textId="77777777" w:rsidR="000D07EA" w:rsidRDefault="00BE7C89">
      <w:pPr>
        <w:pStyle w:val="Heading8"/>
      </w:pPr>
      <w:r>
        <w:t xml:space="preserve">This means </w:t>
      </w:r>
      <w:r>
        <w:rPr>
          <w:i/>
        </w:rPr>
        <w:t>you</w:t>
      </w:r>
      <w:r>
        <w:t xml:space="preserve"> can make unlimited voice calls from </w:t>
      </w:r>
      <w:r>
        <w:rPr>
          <w:i/>
        </w:rPr>
        <w:t xml:space="preserve">your Optus </w:t>
      </w:r>
      <w:r>
        <w:t xml:space="preserve">mobile to any other </w:t>
      </w:r>
      <w:r>
        <w:rPr>
          <w:i/>
        </w:rPr>
        <w:t xml:space="preserve">Optus </w:t>
      </w:r>
      <w:r>
        <w:t>mobile from within Australia.</w:t>
      </w:r>
    </w:p>
    <w:p w14:paraId="28ECD830" w14:textId="77777777" w:rsidR="000D07EA" w:rsidRDefault="00BE7C89">
      <w:pPr>
        <w:pStyle w:val="Heading8"/>
      </w:pPr>
      <w:r>
        <w:t xml:space="preserve">The call types that are </w:t>
      </w:r>
      <w:r>
        <w:rPr>
          <w:b/>
        </w:rPr>
        <w:t>'eligible calls'</w:t>
      </w:r>
      <w:r>
        <w:t xml:space="preserve"> for the Unlimited National Mobile Voice Calls Optus to Optus offer under the Business Complete Plans are defined in Table 1C below.</w:t>
      </w:r>
    </w:p>
    <w:p w14:paraId="212E6109" w14:textId="77777777" w:rsidR="000D07EA" w:rsidRDefault="00BE7C89">
      <w:pPr>
        <w:pStyle w:val="Heading8"/>
      </w:pPr>
      <w:r>
        <w:rPr>
          <w:i/>
        </w:rPr>
        <w:t xml:space="preserve">You </w:t>
      </w:r>
      <w:r>
        <w:t>must pay for any calls that are not eligible calls.</w:t>
      </w:r>
    </w:p>
    <w:p w14:paraId="0B4D6792" w14:textId="77777777" w:rsidR="000D07EA" w:rsidRDefault="00BE7C89">
      <w:pPr>
        <w:pStyle w:val="Heading8"/>
      </w:pPr>
      <w:r>
        <w:t>The Fair Go Policy (</w:t>
      </w:r>
      <w:hyperlink r:id="rId499" w:history="1">
        <w:r>
          <w:rPr>
            <w:rStyle w:val="Hyperlink"/>
            <w:i/>
          </w:rPr>
          <w:t>Appendix S</w:t>
        </w:r>
      </w:hyperlink>
      <w:r>
        <w:t xml:space="preserve">) applies for the use of Unlimited National Mobile Voice Calls Optus to Optus offer. Please refer to </w:t>
      </w:r>
      <w:hyperlink r:id="rId500" w:history="1">
        <w:r w:rsidR="00503F23">
          <w:rPr>
            <w:rStyle w:val="Hyperlink"/>
            <w:i/>
          </w:rPr>
          <w:t>Appendix S</w:t>
        </w:r>
      </w:hyperlink>
      <w:r w:rsidR="008E7BFE">
        <w:rPr>
          <w:rStyle w:val="Hyperlink"/>
          <w:i/>
        </w:rPr>
        <w:t xml:space="preserve"> </w:t>
      </w:r>
      <w:r>
        <w:rPr>
          <w:i/>
        </w:rPr>
        <w:t xml:space="preserve"> </w:t>
      </w:r>
      <w:r>
        <w:t xml:space="preserve">for further details. </w:t>
      </w:r>
    </w:p>
    <w:p w14:paraId="338B0297" w14:textId="77777777" w:rsidR="000D07EA" w:rsidRDefault="00BE7C89">
      <w:pPr>
        <w:pStyle w:val="Heading7"/>
        <w:rPr>
          <w:b/>
        </w:rPr>
      </w:pPr>
      <w:bookmarkStart w:id="703" w:name="_Ref461553547"/>
      <w:r>
        <w:rPr>
          <w:b/>
        </w:rPr>
        <w:t>Unlimited calls to Optus Mobiles on the Same Customer Account Number</w:t>
      </w:r>
      <w:bookmarkEnd w:id="703"/>
    </w:p>
    <w:p w14:paraId="76EF1752" w14:textId="77777777" w:rsidR="000D07EA" w:rsidRDefault="00BE7C89">
      <w:pPr>
        <w:pStyle w:val="Heading8"/>
        <w:rPr>
          <w:b/>
        </w:rPr>
      </w:pPr>
      <w:r>
        <w:t xml:space="preserve">If </w:t>
      </w:r>
      <w:r>
        <w:rPr>
          <w:i/>
        </w:rPr>
        <w:t xml:space="preserve">you </w:t>
      </w:r>
      <w:r>
        <w:t xml:space="preserve">connect to the Business Complete Plans, </w:t>
      </w:r>
      <w:r>
        <w:rPr>
          <w:i/>
        </w:rPr>
        <w:t>you</w:t>
      </w:r>
      <w:r>
        <w:t xml:space="preserve"> can make unlimited national voice calls within Australia to other Optus mobile services on the same customer account number for no additional cost. Fair Go Policy (</w:t>
      </w:r>
      <w:hyperlink r:id="rId501" w:history="1">
        <w:r>
          <w:rPr>
            <w:rStyle w:val="Hyperlink"/>
            <w:i/>
          </w:rPr>
          <w:t>Appendix S</w:t>
        </w:r>
      </w:hyperlink>
      <w:r>
        <w:t>) applies</w:t>
      </w:r>
      <w:r>
        <w:rPr>
          <w:rFonts w:cs="Arial"/>
        </w:rPr>
        <w:t>.</w:t>
      </w:r>
    </w:p>
    <w:p w14:paraId="4D5E9508" w14:textId="77777777" w:rsidR="000D07EA" w:rsidRDefault="00BE7C89">
      <w:pPr>
        <w:pStyle w:val="Heading8"/>
      </w:pPr>
      <w:r>
        <w:rPr>
          <w:i/>
        </w:rPr>
        <w:t>You</w:t>
      </w:r>
      <w:r>
        <w:t xml:space="preserve"> must pay for any calls that are not eligible calls.</w:t>
      </w:r>
    </w:p>
    <w:p w14:paraId="408831A4" w14:textId="77777777" w:rsidR="000D07EA" w:rsidRDefault="00BE7C89">
      <w:pPr>
        <w:pStyle w:val="Heading8"/>
      </w:pPr>
      <w:r>
        <w:t>The Fair Go Policy (</w:t>
      </w:r>
      <w:hyperlink r:id="rId502" w:history="1">
        <w:r>
          <w:rPr>
            <w:rStyle w:val="Hyperlink"/>
            <w:i/>
          </w:rPr>
          <w:t>Appendix S</w:t>
        </w:r>
      </w:hyperlink>
      <w:r>
        <w:t xml:space="preserve">) applies for the use of Unlimited Optus mobile Calls on Same Customer Account Number Offer. Please refer to </w:t>
      </w:r>
      <w:hyperlink r:id="rId503" w:history="1">
        <w:r w:rsidR="00503F23">
          <w:rPr>
            <w:rStyle w:val="Hyperlink"/>
            <w:i/>
          </w:rPr>
          <w:t>Appendix S</w:t>
        </w:r>
      </w:hyperlink>
      <w:r w:rsidR="008E7BFE">
        <w:rPr>
          <w:rStyle w:val="Hyperlink"/>
          <w:i/>
        </w:rPr>
        <w:t xml:space="preserve"> </w:t>
      </w:r>
      <w:r>
        <w:t>for further details.</w:t>
      </w:r>
    </w:p>
    <w:p w14:paraId="43E54355" w14:textId="77777777" w:rsidR="000D07EA" w:rsidRDefault="00BE7C89">
      <w:pPr>
        <w:pStyle w:val="Heading7"/>
        <w:rPr>
          <w:b/>
        </w:rPr>
      </w:pPr>
      <w:bookmarkStart w:id="704" w:name="_Ref461553556"/>
      <w:r>
        <w:rPr>
          <w:b/>
        </w:rPr>
        <w:t xml:space="preserve">Upon connection to the Business Complete plans </w:t>
      </w:r>
      <w:r>
        <w:rPr>
          <w:b/>
          <w:i/>
        </w:rPr>
        <w:t>you</w:t>
      </w:r>
      <w:r>
        <w:rPr>
          <w:b/>
        </w:rPr>
        <w:t xml:space="preserve"> will receive Unlimited VoiceMail</w:t>
      </w:r>
      <w:bookmarkEnd w:id="704"/>
    </w:p>
    <w:p w14:paraId="4D54FD27" w14:textId="77777777" w:rsidR="000D07EA" w:rsidRDefault="00BE7C89">
      <w:pPr>
        <w:pStyle w:val="BodyText"/>
        <w:ind w:left="1440"/>
      </w:pPr>
      <w:r>
        <w:t>Unlimited VoiceMail applies to VoiceMail Deposits and Retrievals, within Australia. Subject to Fair Go Policy (</w:t>
      </w:r>
      <w:hyperlink r:id="rId504" w:history="1">
        <w:r>
          <w:rPr>
            <w:rStyle w:val="Hyperlink"/>
            <w:i/>
          </w:rPr>
          <w:t>Appendix S</w:t>
        </w:r>
      </w:hyperlink>
      <w:r>
        <w:t>).</w:t>
      </w:r>
    </w:p>
    <w:p w14:paraId="5080A2E0" w14:textId="77777777" w:rsidR="000D07EA" w:rsidRDefault="00BE7C89" w:rsidP="0051170A">
      <w:pPr>
        <w:pStyle w:val="Heading7"/>
        <w:keepNext/>
        <w:rPr>
          <w:b/>
        </w:rPr>
      </w:pPr>
      <w:r>
        <w:rPr>
          <w:b/>
        </w:rPr>
        <w:t>Other Business Complete Plans Conditions and Offers</w:t>
      </w:r>
    </w:p>
    <w:p w14:paraId="71F53FD1" w14:textId="77777777" w:rsidR="000D07EA" w:rsidRDefault="00BE7C89">
      <w:pPr>
        <w:pStyle w:val="Heading8"/>
      </w:pPr>
      <w:r>
        <w:t>The Fair Go Policy (</w:t>
      </w:r>
      <w:hyperlink r:id="rId505" w:history="1">
        <w:r>
          <w:rPr>
            <w:rStyle w:val="Hyperlink"/>
            <w:i/>
          </w:rPr>
          <w:t>Appendix S</w:t>
        </w:r>
      </w:hyperlink>
      <w:r>
        <w:t>) applies to Voice Over Internet Protocol (VOIP) services up to 10 megabytes per month</w:t>
      </w:r>
      <w:r>
        <w:rPr>
          <w:rFonts w:ascii="DIN" w:hAnsi="DIN" w:cs="DIN"/>
          <w:color w:val="000000"/>
          <w:sz w:val="18"/>
        </w:rPr>
        <w:t>.</w:t>
      </w:r>
      <w:r>
        <w:t xml:space="preserve"> Please refer to </w:t>
      </w:r>
      <w:hyperlink r:id="rId506" w:history="1">
        <w:r w:rsidR="00503F23">
          <w:rPr>
            <w:rStyle w:val="Hyperlink"/>
            <w:i/>
          </w:rPr>
          <w:t>Appendix S</w:t>
        </w:r>
      </w:hyperlink>
      <w:r>
        <w:rPr>
          <w:i/>
        </w:rPr>
        <w:t>.</w:t>
      </w:r>
    </w:p>
    <w:p w14:paraId="689E29F6" w14:textId="77777777" w:rsidR="000D07EA" w:rsidRDefault="00BE7C89">
      <w:pPr>
        <w:pStyle w:val="Heading8"/>
      </w:pPr>
      <w:r>
        <w:t xml:space="preserve">Voice Over Internet Protocol (VOIP) services will be charged at 1.5c per kilobyte of usage, capped at $9.90 per month until </w:t>
      </w:r>
      <w:r>
        <w:rPr>
          <w:i/>
        </w:rPr>
        <w:t xml:space="preserve">you </w:t>
      </w:r>
      <w:r>
        <w:t xml:space="preserve">reach 5 megabytes of usage in that month, after which </w:t>
      </w:r>
      <w:r>
        <w:rPr>
          <w:i/>
        </w:rPr>
        <w:t xml:space="preserve">you </w:t>
      </w:r>
      <w:r>
        <w:t>will be charged at 0.3c per kilobyte of usage for the remainder of that month.</w:t>
      </w:r>
    </w:p>
    <w:p w14:paraId="16BCB815" w14:textId="77777777" w:rsidR="000D07EA" w:rsidRDefault="00BE7C89">
      <w:pPr>
        <w:pStyle w:val="Heading8"/>
      </w:pPr>
      <w:r>
        <w:t xml:space="preserve">Some handsets are locked to </w:t>
      </w:r>
      <w:r>
        <w:rPr>
          <w:i/>
        </w:rPr>
        <w:t xml:space="preserve">our </w:t>
      </w:r>
      <w:r>
        <w:t xml:space="preserve">network. If </w:t>
      </w:r>
      <w:r>
        <w:rPr>
          <w:i/>
        </w:rPr>
        <w:t>you</w:t>
      </w:r>
      <w:r>
        <w:t xml:space="preserve"> wish to unlock one of these handsets </w:t>
      </w:r>
      <w:r>
        <w:rPr>
          <w:i/>
        </w:rPr>
        <w:t>you</w:t>
      </w:r>
      <w:r>
        <w:t xml:space="preserve"> should call </w:t>
      </w:r>
      <w:r>
        <w:rPr>
          <w:i/>
        </w:rPr>
        <w:t xml:space="preserve">our </w:t>
      </w:r>
      <w:r>
        <w:t xml:space="preserve">Customer Service centre. </w:t>
      </w:r>
    </w:p>
    <w:p w14:paraId="60EEBED1" w14:textId="77777777" w:rsidR="000D07EA" w:rsidRDefault="00BE7C89">
      <w:pPr>
        <w:pStyle w:val="Heading8"/>
      </w:pPr>
      <w:r>
        <w:lastRenderedPageBreak/>
        <w:t xml:space="preserve">Available features will vary depending on </w:t>
      </w:r>
      <w:r>
        <w:rPr>
          <w:i/>
        </w:rPr>
        <w:t>your</w:t>
      </w:r>
      <w:r>
        <w:t xml:space="preserve"> handset or software version.</w:t>
      </w:r>
    </w:p>
    <w:p w14:paraId="421B32D0" w14:textId="77777777" w:rsidR="000D07EA" w:rsidRDefault="00BE7C89">
      <w:pPr>
        <w:pStyle w:val="Heading7"/>
        <w:rPr>
          <w:b/>
        </w:rPr>
      </w:pPr>
      <w:r>
        <w:rPr>
          <w:b/>
        </w:rPr>
        <w:t>Additional benefit – Handset Credit</w:t>
      </w:r>
    </w:p>
    <w:p w14:paraId="28793C11" w14:textId="77777777" w:rsidR="000D07EA" w:rsidRDefault="00BE7C89">
      <w:pPr>
        <w:pStyle w:val="Heading8"/>
      </w:pPr>
      <w:r>
        <w:t xml:space="preserve">If </w:t>
      </w:r>
      <w:r>
        <w:rPr>
          <w:i/>
        </w:rPr>
        <w:t xml:space="preserve">you </w:t>
      </w:r>
      <w:r>
        <w:t xml:space="preserve">connect to the $50 Business Complete Plan MRO (4G Sept 2012), $60 Business Complete Plan MRO (4G Sept 2012) and $80 Business Complete Plan MRO (4G Sept 2012) with a handset repayment, </w:t>
      </w:r>
      <w:r>
        <w:rPr>
          <w:i/>
        </w:rPr>
        <w:t>you</w:t>
      </w:r>
      <w:r>
        <w:t xml:space="preserve"> will receive a Handset Credit each month for the contracted period of </w:t>
      </w:r>
      <w:r>
        <w:rPr>
          <w:i/>
        </w:rPr>
        <w:t>your</w:t>
      </w:r>
      <w:r>
        <w:t xml:space="preserve"> plan, reducing the monthly repayment costs of the handset. </w:t>
      </w:r>
    </w:p>
    <w:p w14:paraId="4E021E3C" w14:textId="77777777" w:rsidR="000D07EA" w:rsidRDefault="00BE7C89">
      <w:pPr>
        <w:pStyle w:val="Heading8"/>
      </w:pPr>
      <w:r>
        <w:t xml:space="preserve">If </w:t>
      </w:r>
      <w:r>
        <w:rPr>
          <w:i/>
        </w:rPr>
        <w:t>you</w:t>
      </w:r>
      <w:r>
        <w:t xml:space="preserve"> cancel </w:t>
      </w:r>
      <w:r>
        <w:rPr>
          <w:i/>
        </w:rPr>
        <w:t>your</w:t>
      </w:r>
      <w:r>
        <w:t xml:space="preserve"> plan or the handset repayments during the contracted period, </w:t>
      </w:r>
      <w:r>
        <w:rPr>
          <w:i/>
        </w:rPr>
        <w:t>you</w:t>
      </w:r>
      <w:r>
        <w:t xml:space="preserve"> will no longer be entitled to further Handset Credits and </w:t>
      </w:r>
      <w:r>
        <w:rPr>
          <w:i/>
        </w:rPr>
        <w:t>you</w:t>
      </w:r>
      <w:r>
        <w:t xml:space="preserve"> must pay the remaining handset repayments in addition to any Termination Fees.</w:t>
      </w:r>
    </w:p>
    <w:p w14:paraId="424EB744" w14:textId="77777777" w:rsidR="000D07EA" w:rsidRDefault="00BE7C89">
      <w:pPr>
        <w:pStyle w:val="Heading7"/>
        <w:rPr>
          <w:b/>
        </w:rPr>
      </w:pPr>
      <w:r>
        <w:rPr>
          <w:b/>
        </w:rPr>
        <w:t>Eligible Calls and Pricing Plans</w:t>
      </w:r>
    </w:p>
    <w:p w14:paraId="60D992E1" w14:textId="77777777" w:rsidR="000D07EA" w:rsidRDefault="00BE7C89">
      <w:pPr>
        <w:pStyle w:val="Heading8"/>
      </w:pPr>
      <w:r>
        <w:t xml:space="preserve">Table 1A below indicates whether particular call and message types are an 'eligible call and text' which count towards the 'Included Value' and Minimum Monthly Charge of </w:t>
      </w:r>
      <w:r>
        <w:rPr>
          <w:i/>
        </w:rPr>
        <w:t xml:space="preserve">your </w:t>
      </w:r>
      <w:r>
        <w:t xml:space="preserve">selected Business Complete Plan. </w:t>
      </w:r>
    </w:p>
    <w:p w14:paraId="15E4A027" w14:textId="77777777" w:rsidR="000D07EA" w:rsidRDefault="00BE7C89">
      <w:pPr>
        <w:pStyle w:val="Heading8"/>
      </w:pPr>
      <w:r>
        <w:t xml:space="preserve">Table 1B below indicates whether a particular data type is 'eligible data usage' which counts towards the data value of </w:t>
      </w:r>
      <w:r>
        <w:rPr>
          <w:i/>
        </w:rPr>
        <w:t xml:space="preserve">your </w:t>
      </w:r>
      <w:r>
        <w:t xml:space="preserve">selected Business Complete Plan. </w:t>
      </w:r>
    </w:p>
    <w:p w14:paraId="7EE0A68C" w14:textId="77777777" w:rsidR="000D07EA" w:rsidRDefault="00BE7C89">
      <w:pPr>
        <w:pStyle w:val="Heading8"/>
      </w:pPr>
      <w:r>
        <w:t xml:space="preserve">Table 2A below contains details of each Business Complete Plan. </w:t>
      </w:r>
    </w:p>
    <w:p w14:paraId="0B623369" w14:textId="77777777" w:rsidR="000D07EA" w:rsidRDefault="00BE7C89">
      <w:pPr>
        <w:pStyle w:val="BodyText"/>
        <w:ind w:left="720"/>
        <w:rPr>
          <w:b/>
        </w:rPr>
      </w:pPr>
      <w:r>
        <w:rPr>
          <w:b/>
        </w:rPr>
        <w:t>Table 1A –- Eligible Calls and Text for the Included Value</w:t>
      </w:r>
    </w:p>
    <w:tbl>
      <w:tblPr>
        <w:tblW w:w="875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6235"/>
        <w:gridCol w:w="2520"/>
      </w:tblGrid>
      <w:tr w:rsidR="000D07EA" w14:paraId="73C37217" w14:textId="77777777">
        <w:trPr>
          <w:trHeight w:val="58"/>
          <w:tblHeader/>
        </w:trPr>
        <w:tc>
          <w:tcPr>
            <w:tcW w:w="6235" w:type="dxa"/>
          </w:tcPr>
          <w:p w14:paraId="515B0202" w14:textId="77777777" w:rsidR="000D07EA" w:rsidRDefault="00BE7C89">
            <w:pPr>
              <w:pStyle w:val="BodyText"/>
              <w:spacing w:before="100" w:after="100"/>
              <w:rPr>
                <w:b/>
              </w:rPr>
            </w:pPr>
            <w:r>
              <w:rPr>
                <w:b/>
              </w:rPr>
              <w:t>Call Type</w:t>
            </w:r>
          </w:p>
        </w:tc>
        <w:tc>
          <w:tcPr>
            <w:tcW w:w="2520" w:type="dxa"/>
          </w:tcPr>
          <w:p w14:paraId="2B68EFC7" w14:textId="77777777" w:rsidR="000D07EA" w:rsidRDefault="00BE7C89">
            <w:pPr>
              <w:pStyle w:val="BodyText"/>
              <w:spacing w:before="100" w:after="100"/>
              <w:rPr>
                <w:b/>
              </w:rPr>
            </w:pPr>
            <w:r>
              <w:rPr>
                <w:b/>
              </w:rPr>
              <w:t xml:space="preserve">Eligible Call </w:t>
            </w:r>
          </w:p>
        </w:tc>
      </w:tr>
      <w:tr w:rsidR="000D07EA" w14:paraId="7778C3FB" w14:textId="77777777">
        <w:trPr>
          <w:trHeight w:val="20"/>
        </w:trPr>
        <w:tc>
          <w:tcPr>
            <w:tcW w:w="6235" w:type="dxa"/>
          </w:tcPr>
          <w:p w14:paraId="2BFCE387" w14:textId="77777777" w:rsidR="000D07EA" w:rsidRDefault="00BE7C89">
            <w:pPr>
              <w:pStyle w:val="BodyText"/>
              <w:spacing w:before="100" w:after="100"/>
            </w:pPr>
            <w:r>
              <w:t>Standard National Voice Calls</w:t>
            </w:r>
          </w:p>
        </w:tc>
        <w:tc>
          <w:tcPr>
            <w:tcW w:w="2520" w:type="dxa"/>
          </w:tcPr>
          <w:p w14:paraId="1FB17F99" w14:textId="77777777" w:rsidR="000D07EA" w:rsidRDefault="00BE7C89">
            <w:pPr>
              <w:pStyle w:val="BodyText"/>
              <w:spacing w:before="100" w:after="100"/>
            </w:pPr>
            <w:r>
              <w:t>Yes</w:t>
            </w:r>
          </w:p>
        </w:tc>
      </w:tr>
      <w:tr w:rsidR="000D07EA" w14:paraId="19D6DA6A" w14:textId="77777777">
        <w:trPr>
          <w:trHeight w:val="20"/>
        </w:trPr>
        <w:tc>
          <w:tcPr>
            <w:tcW w:w="6235" w:type="dxa"/>
          </w:tcPr>
          <w:p w14:paraId="6F03653F" w14:textId="77777777" w:rsidR="000D07EA" w:rsidRDefault="00BE7C89">
            <w:pPr>
              <w:pStyle w:val="BodyText"/>
              <w:spacing w:before="100" w:after="100"/>
            </w:pPr>
            <w:r>
              <w:t>International Voice Calls</w:t>
            </w:r>
          </w:p>
          <w:p w14:paraId="705025D5" w14:textId="77777777" w:rsidR="000D07EA" w:rsidRDefault="00BE7C89">
            <w:pPr>
              <w:pStyle w:val="BodyText"/>
              <w:spacing w:before="100" w:after="100"/>
            </w:pPr>
            <w:r>
              <w:rPr>
                <w:snapToGrid w:val="0"/>
              </w:rPr>
              <w:t>(includes calls to national fixed or mobile services that then divert/switch or re-route overseas)</w:t>
            </w:r>
          </w:p>
        </w:tc>
        <w:tc>
          <w:tcPr>
            <w:tcW w:w="2520" w:type="dxa"/>
          </w:tcPr>
          <w:p w14:paraId="4DC857A3" w14:textId="77777777" w:rsidR="000D07EA" w:rsidRDefault="00BE7C89">
            <w:pPr>
              <w:pStyle w:val="BodyText"/>
              <w:spacing w:before="100" w:after="100"/>
            </w:pPr>
            <w:r>
              <w:t xml:space="preserve">No </w:t>
            </w:r>
          </w:p>
        </w:tc>
      </w:tr>
      <w:tr w:rsidR="000D07EA" w14:paraId="611CA131" w14:textId="77777777">
        <w:trPr>
          <w:trHeight w:val="20"/>
        </w:trPr>
        <w:tc>
          <w:tcPr>
            <w:tcW w:w="6235" w:type="dxa"/>
          </w:tcPr>
          <w:p w14:paraId="6285D1F2" w14:textId="77777777" w:rsidR="000D07EA" w:rsidRDefault="00BE7C89">
            <w:pPr>
              <w:pStyle w:val="BodyText"/>
              <w:spacing w:before="100" w:after="100"/>
            </w:pPr>
            <w:r>
              <w:t>Standard National Video Calls</w:t>
            </w:r>
          </w:p>
        </w:tc>
        <w:tc>
          <w:tcPr>
            <w:tcW w:w="2520" w:type="dxa"/>
          </w:tcPr>
          <w:p w14:paraId="42D42F05" w14:textId="77777777" w:rsidR="000D07EA" w:rsidRDefault="00BE7C89">
            <w:pPr>
              <w:pStyle w:val="BodyText"/>
              <w:spacing w:before="100" w:after="100"/>
            </w:pPr>
            <w:r>
              <w:t>No</w:t>
            </w:r>
          </w:p>
        </w:tc>
      </w:tr>
      <w:tr w:rsidR="000D07EA" w14:paraId="2514247A" w14:textId="77777777">
        <w:trPr>
          <w:trHeight w:val="20"/>
        </w:trPr>
        <w:tc>
          <w:tcPr>
            <w:tcW w:w="6235" w:type="dxa"/>
          </w:tcPr>
          <w:p w14:paraId="2260AE7E" w14:textId="77777777" w:rsidR="000D07EA" w:rsidRDefault="00BE7C89">
            <w:pPr>
              <w:pStyle w:val="BodyText"/>
              <w:spacing w:before="100" w:after="100"/>
            </w:pPr>
            <w:r>
              <w:t>International Video Calls</w:t>
            </w:r>
          </w:p>
          <w:p w14:paraId="7212DB82" w14:textId="77777777" w:rsidR="000D07EA" w:rsidRDefault="00BE7C89">
            <w:pPr>
              <w:pStyle w:val="BodyText"/>
              <w:spacing w:before="100" w:after="100"/>
            </w:pPr>
            <w:r>
              <w:rPr>
                <w:snapToGrid w:val="0"/>
              </w:rPr>
              <w:t>(includes calls to national fixed or mobile services that then divert/switch or re-route overseas)</w:t>
            </w:r>
          </w:p>
        </w:tc>
        <w:tc>
          <w:tcPr>
            <w:tcW w:w="2520" w:type="dxa"/>
          </w:tcPr>
          <w:p w14:paraId="587BEBDB" w14:textId="77777777" w:rsidR="000D07EA" w:rsidRDefault="00BE7C89">
            <w:pPr>
              <w:pStyle w:val="BodyText"/>
              <w:spacing w:before="100" w:after="100"/>
            </w:pPr>
            <w:r>
              <w:t>No</w:t>
            </w:r>
          </w:p>
        </w:tc>
      </w:tr>
      <w:tr w:rsidR="000D07EA" w14:paraId="0D802629" w14:textId="77777777">
        <w:trPr>
          <w:trHeight w:val="20"/>
        </w:trPr>
        <w:tc>
          <w:tcPr>
            <w:tcW w:w="6235" w:type="dxa"/>
          </w:tcPr>
          <w:p w14:paraId="10C80FB9" w14:textId="77777777" w:rsidR="000D07EA" w:rsidRDefault="00BE7C89">
            <w:pPr>
              <w:pStyle w:val="BodyText"/>
              <w:spacing w:before="100" w:after="100"/>
            </w:pPr>
            <w:r>
              <w:t>Standard National SMS</w:t>
            </w:r>
          </w:p>
        </w:tc>
        <w:tc>
          <w:tcPr>
            <w:tcW w:w="2520" w:type="dxa"/>
          </w:tcPr>
          <w:p w14:paraId="660FF6E9" w14:textId="77777777" w:rsidR="000D07EA" w:rsidRDefault="00BE7C89">
            <w:pPr>
              <w:pStyle w:val="BodyText"/>
              <w:spacing w:before="100" w:after="100"/>
            </w:pPr>
            <w:r>
              <w:t>Yes</w:t>
            </w:r>
          </w:p>
        </w:tc>
      </w:tr>
      <w:tr w:rsidR="000D07EA" w14:paraId="126E21F6" w14:textId="77777777">
        <w:trPr>
          <w:trHeight w:val="20"/>
        </w:trPr>
        <w:tc>
          <w:tcPr>
            <w:tcW w:w="6235" w:type="dxa"/>
          </w:tcPr>
          <w:p w14:paraId="08449A63" w14:textId="77777777" w:rsidR="000D07EA" w:rsidRDefault="00BE7C89">
            <w:pPr>
              <w:pStyle w:val="BodyText"/>
              <w:spacing w:before="100" w:after="100"/>
            </w:pPr>
            <w:r>
              <w:t>International SMS</w:t>
            </w:r>
          </w:p>
        </w:tc>
        <w:tc>
          <w:tcPr>
            <w:tcW w:w="2520" w:type="dxa"/>
          </w:tcPr>
          <w:p w14:paraId="4AE370E0" w14:textId="77777777" w:rsidR="000D07EA" w:rsidRDefault="00BE7C89">
            <w:pPr>
              <w:pStyle w:val="BodyText"/>
              <w:spacing w:before="100" w:after="100"/>
            </w:pPr>
            <w:r>
              <w:t>No</w:t>
            </w:r>
          </w:p>
        </w:tc>
      </w:tr>
      <w:tr w:rsidR="000D07EA" w14:paraId="62BFEDEC" w14:textId="77777777">
        <w:trPr>
          <w:trHeight w:val="20"/>
        </w:trPr>
        <w:tc>
          <w:tcPr>
            <w:tcW w:w="6235" w:type="dxa"/>
          </w:tcPr>
          <w:p w14:paraId="26199304" w14:textId="77777777" w:rsidR="000D07EA" w:rsidRDefault="00BE7C89">
            <w:pPr>
              <w:pStyle w:val="BodyText"/>
              <w:spacing w:before="100" w:after="100"/>
            </w:pPr>
            <w:r>
              <w:t>Voicemail Deposit and Retrievals</w:t>
            </w:r>
          </w:p>
        </w:tc>
        <w:tc>
          <w:tcPr>
            <w:tcW w:w="2520" w:type="dxa"/>
          </w:tcPr>
          <w:p w14:paraId="3E29C038" w14:textId="77777777" w:rsidR="000D07EA" w:rsidRDefault="00BE7C89">
            <w:pPr>
              <w:pStyle w:val="BodyText"/>
              <w:spacing w:before="100" w:after="100"/>
            </w:pPr>
            <w:r>
              <w:t>Yes</w:t>
            </w:r>
          </w:p>
        </w:tc>
      </w:tr>
      <w:tr w:rsidR="000D07EA" w14:paraId="2B8EEE85" w14:textId="77777777">
        <w:trPr>
          <w:trHeight w:val="20"/>
        </w:trPr>
        <w:tc>
          <w:tcPr>
            <w:tcW w:w="6235" w:type="dxa"/>
          </w:tcPr>
          <w:p w14:paraId="78175ECF" w14:textId="77777777" w:rsidR="000D07EA" w:rsidRDefault="00BE7C89">
            <w:pPr>
              <w:pStyle w:val="BodyText"/>
              <w:spacing w:before="100" w:after="100"/>
            </w:pPr>
            <w:r>
              <w:t>National Diversions</w:t>
            </w:r>
          </w:p>
        </w:tc>
        <w:tc>
          <w:tcPr>
            <w:tcW w:w="2520" w:type="dxa"/>
          </w:tcPr>
          <w:p w14:paraId="339D1081" w14:textId="77777777" w:rsidR="000D07EA" w:rsidRDefault="00BE7C89">
            <w:pPr>
              <w:pStyle w:val="BodyText"/>
              <w:spacing w:before="100" w:after="100"/>
            </w:pPr>
            <w:r>
              <w:t>Yes</w:t>
            </w:r>
          </w:p>
        </w:tc>
      </w:tr>
      <w:tr w:rsidR="000D07EA" w14:paraId="7CED2951" w14:textId="77777777">
        <w:trPr>
          <w:trHeight w:val="20"/>
        </w:trPr>
        <w:tc>
          <w:tcPr>
            <w:tcW w:w="6235" w:type="dxa"/>
          </w:tcPr>
          <w:p w14:paraId="25612D00" w14:textId="77777777" w:rsidR="000D07EA" w:rsidRDefault="00BE7C89">
            <w:pPr>
              <w:pStyle w:val="BodyText"/>
              <w:spacing w:before="100" w:after="100"/>
            </w:pPr>
            <w:r>
              <w:t>International Roaming &amp; Diversions</w:t>
            </w:r>
          </w:p>
        </w:tc>
        <w:tc>
          <w:tcPr>
            <w:tcW w:w="2520" w:type="dxa"/>
          </w:tcPr>
          <w:p w14:paraId="1C0813D2" w14:textId="77777777" w:rsidR="000D07EA" w:rsidRDefault="00BE7C89">
            <w:pPr>
              <w:pStyle w:val="BodyText"/>
              <w:spacing w:before="100" w:after="100"/>
            </w:pPr>
            <w:r>
              <w:t>No</w:t>
            </w:r>
          </w:p>
        </w:tc>
      </w:tr>
      <w:tr w:rsidR="000D07EA" w14:paraId="05C0E656" w14:textId="77777777">
        <w:trPr>
          <w:trHeight w:val="20"/>
        </w:trPr>
        <w:tc>
          <w:tcPr>
            <w:tcW w:w="6235" w:type="dxa"/>
          </w:tcPr>
          <w:p w14:paraId="3156F3F3" w14:textId="77777777" w:rsidR="000D07EA" w:rsidRDefault="00BE7C89">
            <w:pPr>
              <w:pStyle w:val="BodyText"/>
              <w:spacing w:before="100" w:after="100"/>
            </w:pPr>
            <w:r>
              <w:t>Premium SMS</w:t>
            </w:r>
          </w:p>
        </w:tc>
        <w:tc>
          <w:tcPr>
            <w:tcW w:w="2520" w:type="dxa"/>
          </w:tcPr>
          <w:p w14:paraId="6FD97DED" w14:textId="77777777" w:rsidR="000D07EA" w:rsidRDefault="00BE7C89">
            <w:pPr>
              <w:pStyle w:val="BodyText"/>
              <w:spacing w:before="100" w:after="100"/>
            </w:pPr>
            <w:r>
              <w:t>No</w:t>
            </w:r>
          </w:p>
        </w:tc>
      </w:tr>
      <w:tr w:rsidR="000D07EA" w14:paraId="08A0B708" w14:textId="77777777">
        <w:trPr>
          <w:trHeight w:val="20"/>
        </w:trPr>
        <w:tc>
          <w:tcPr>
            <w:tcW w:w="6235" w:type="dxa"/>
          </w:tcPr>
          <w:p w14:paraId="545120D2" w14:textId="77777777" w:rsidR="000D07EA" w:rsidRDefault="00BE7C89">
            <w:pPr>
              <w:pStyle w:val="BodyText"/>
              <w:spacing w:before="100" w:after="100"/>
            </w:pPr>
            <w:r>
              <w:t xml:space="preserve">Premium Video </w:t>
            </w:r>
          </w:p>
        </w:tc>
        <w:tc>
          <w:tcPr>
            <w:tcW w:w="2520" w:type="dxa"/>
          </w:tcPr>
          <w:p w14:paraId="4764FF3E" w14:textId="77777777" w:rsidR="000D07EA" w:rsidRDefault="00BE7C89">
            <w:pPr>
              <w:pStyle w:val="BodyText"/>
              <w:spacing w:before="100" w:after="100"/>
            </w:pPr>
            <w:r>
              <w:t>No</w:t>
            </w:r>
          </w:p>
        </w:tc>
      </w:tr>
      <w:tr w:rsidR="000D07EA" w14:paraId="7BBC7C36" w14:textId="77777777">
        <w:trPr>
          <w:trHeight w:val="20"/>
        </w:trPr>
        <w:tc>
          <w:tcPr>
            <w:tcW w:w="6235" w:type="dxa"/>
          </w:tcPr>
          <w:p w14:paraId="189A68A7" w14:textId="77777777" w:rsidR="000D07EA" w:rsidRDefault="00BE7C89">
            <w:pPr>
              <w:pStyle w:val="BodyText"/>
              <w:spacing w:before="100" w:after="100"/>
            </w:pPr>
            <w:r>
              <w:t xml:space="preserve">Video Conferencing </w:t>
            </w:r>
          </w:p>
        </w:tc>
        <w:tc>
          <w:tcPr>
            <w:tcW w:w="2520" w:type="dxa"/>
          </w:tcPr>
          <w:p w14:paraId="76AD91BA" w14:textId="77777777" w:rsidR="000D07EA" w:rsidRDefault="00BE7C89">
            <w:pPr>
              <w:pStyle w:val="BodyText"/>
              <w:spacing w:before="100" w:after="100"/>
            </w:pPr>
            <w:r>
              <w:t>No</w:t>
            </w:r>
          </w:p>
        </w:tc>
      </w:tr>
      <w:tr w:rsidR="000D07EA" w14:paraId="61B7224E" w14:textId="77777777">
        <w:trPr>
          <w:trHeight w:val="20"/>
        </w:trPr>
        <w:tc>
          <w:tcPr>
            <w:tcW w:w="6235" w:type="dxa"/>
          </w:tcPr>
          <w:p w14:paraId="08F61656" w14:textId="77777777" w:rsidR="000D07EA" w:rsidRDefault="00BE7C89">
            <w:pPr>
              <w:pStyle w:val="BodyText"/>
              <w:spacing w:before="100" w:after="100"/>
            </w:pPr>
            <w:r>
              <w:t>Standard National MMS</w:t>
            </w:r>
          </w:p>
        </w:tc>
        <w:tc>
          <w:tcPr>
            <w:tcW w:w="2520" w:type="dxa"/>
          </w:tcPr>
          <w:p w14:paraId="63C39850" w14:textId="77777777" w:rsidR="000D07EA" w:rsidRDefault="00BE7C89">
            <w:pPr>
              <w:pStyle w:val="BodyText"/>
              <w:spacing w:before="100" w:after="100"/>
            </w:pPr>
            <w:r>
              <w:t>Yes</w:t>
            </w:r>
          </w:p>
        </w:tc>
      </w:tr>
      <w:tr w:rsidR="000D07EA" w14:paraId="34FF22A1" w14:textId="77777777">
        <w:trPr>
          <w:trHeight w:val="20"/>
        </w:trPr>
        <w:tc>
          <w:tcPr>
            <w:tcW w:w="6235" w:type="dxa"/>
          </w:tcPr>
          <w:p w14:paraId="49AC0418" w14:textId="77777777" w:rsidR="000D07EA" w:rsidRDefault="00BE7C89">
            <w:pPr>
              <w:pStyle w:val="BodyText"/>
              <w:spacing w:before="100" w:after="100"/>
            </w:pPr>
            <w:r>
              <w:t>International MMS</w:t>
            </w:r>
          </w:p>
        </w:tc>
        <w:tc>
          <w:tcPr>
            <w:tcW w:w="2520" w:type="dxa"/>
          </w:tcPr>
          <w:p w14:paraId="6725ECED" w14:textId="77777777" w:rsidR="000D07EA" w:rsidRDefault="00BE7C89">
            <w:pPr>
              <w:pStyle w:val="BodyText"/>
              <w:spacing w:before="100" w:after="100"/>
            </w:pPr>
            <w:r>
              <w:t>No</w:t>
            </w:r>
          </w:p>
        </w:tc>
      </w:tr>
      <w:tr w:rsidR="000D07EA" w14:paraId="4AD094CF" w14:textId="77777777">
        <w:trPr>
          <w:trHeight w:val="20"/>
        </w:trPr>
        <w:tc>
          <w:tcPr>
            <w:tcW w:w="6235" w:type="dxa"/>
          </w:tcPr>
          <w:p w14:paraId="3AE04EDC" w14:textId="77777777" w:rsidR="000D07EA" w:rsidRDefault="00BE7C89">
            <w:pPr>
              <w:pStyle w:val="BodyText"/>
              <w:spacing w:before="100" w:after="100"/>
            </w:pPr>
            <w:r>
              <w:t>Optus iZoo Browsing</w:t>
            </w:r>
          </w:p>
        </w:tc>
        <w:tc>
          <w:tcPr>
            <w:tcW w:w="2520" w:type="dxa"/>
          </w:tcPr>
          <w:p w14:paraId="4A3E15A1" w14:textId="77777777" w:rsidR="000D07EA" w:rsidRDefault="00BE7C89">
            <w:pPr>
              <w:pStyle w:val="BodyText"/>
              <w:spacing w:before="100" w:after="100"/>
            </w:pPr>
            <w:r>
              <w:t>No</w:t>
            </w:r>
          </w:p>
        </w:tc>
      </w:tr>
      <w:tr w:rsidR="000D07EA" w14:paraId="1CE6A29A" w14:textId="77777777">
        <w:trPr>
          <w:trHeight w:val="20"/>
        </w:trPr>
        <w:tc>
          <w:tcPr>
            <w:tcW w:w="6235" w:type="dxa"/>
          </w:tcPr>
          <w:p w14:paraId="3EE9A270" w14:textId="77777777" w:rsidR="000D07EA" w:rsidRDefault="00BE7C89">
            <w:pPr>
              <w:pStyle w:val="BodyText"/>
              <w:spacing w:before="100" w:after="100"/>
            </w:pPr>
            <w:r>
              <w:lastRenderedPageBreak/>
              <w:t>Optus Zoo iZoo Downloads</w:t>
            </w:r>
          </w:p>
        </w:tc>
        <w:tc>
          <w:tcPr>
            <w:tcW w:w="2520" w:type="dxa"/>
          </w:tcPr>
          <w:p w14:paraId="24098957" w14:textId="77777777" w:rsidR="000D07EA" w:rsidRDefault="00BE7C89">
            <w:pPr>
              <w:pStyle w:val="BodyText"/>
              <w:spacing w:before="100" w:after="100"/>
            </w:pPr>
            <w:r>
              <w:t>No</w:t>
            </w:r>
          </w:p>
        </w:tc>
      </w:tr>
      <w:tr w:rsidR="000D07EA" w14:paraId="46FD2603" w14:textId="77777777">
        <w:trPr>
          <w:trHeight w:val="20"/>
        </w:trPr>
        <w:tc>
          <w:tcPr>
            <w:tcW w:w="6235" w:type="dxa"/>
          </w:tcPr>
          <w:p w14:paraId="56F8B92C" w14:textId="77777777" w:rsidR="000D07EA" w:rsidRDefault="00BE7C89">
            <w:pPr>
              <w:pStyle w:val="BodyText"/>
              <w:spacing w:before="100" w:after="100"/>
            </w:pPr>
            <w:r>
              <w:t>SMS to 966 (Zoo)</w:t>
            </w:r>
          </w:p>
        </w:tc>
        <w:tc>
          <w:tcPr>
            <w:tcW w:w="2520" w:type="dxa"/>
          </w:tcPr>
          <w:p w14:paraId="1EE4B4EA" w14:textId="77777777" w:rsidR="000D07EA" w:rsidRDefault="00BE7C89">
            <w:pPr>
              <w:pStyle w:val="BodyText"/>
              <w:spacing w:before="100" w:after="100"/>
            </w:pPr>
            <w:r>
              <w:t>No</w:t>
            </w:r>
          </w:p>
        </w:tc>
      </w:tr>
      <w:tr w:rsidR="000D07EA" w14:paraId="421D8F55" w14:textId="77777777">
        <w:trPr>
          <w:trHeight w:val="20"/>
        </w:trPr>
        <w:tc>
          <w:tcPr>
            <w:tcW w:w="6235" w:type="dxa"/>
          </w:tcPr>
          <w:p w14:paraId="78A812FC" w14:textId="77777777" w:rsidR="000D07EA" w:rsidRDefault="00BE7C89">
            <w:pPr>
              <w:pStyle w:val="BodyText"/>
              <w:spacing w:before="100" w:after="100"/>
            </w:pPr>
            <w:r>
              <w:t>Data used whilst roaming internationally</w:t>
            </w:r>
          </w:p>
        </w:tc>
        <w:tc>
          <w:tcPr>
            <w:tcW w:w="2520" w:type="dxa"/>
          </w:tcPr>
          <w:p w14:paraId="62ED3BD7" w14:textId="77777777" w:rsidR="000D07EA" w:rsidRDefault="00BE7C89">
            <w:pPr>
              <w:pStyle w:val="BodyText"/>
              <w:spacing w:before="100" w:after="100"/>
            </w:pPr>
            <w:r>
              <w:t>No</w:t>
            </w:r>
          </w:p>
        </w:tc>
      </w:tr>
      <w:tr w:rsidR="000D07EA" w14:paraId="462FF743" w14:textId="77777777">
        <w:trPr>
          <w:trHeight w:val="20"/>
        </w:trPr>
        <w:tc>
          <w:tcPr>
            <w:tcW w:w="6235" w:type="dxa"/>
          </w:tcPr>
          <w:p w14:paraId="03107CC2" w14:textId="77777777" w:rsidR="000D07EA" w:rsidRDefault="00BE7C89">
            <w:pPr>
              <w:pStyle w:val="BodyText"/>
              <w:spacing w:before="100" w:after="100"/>
            </w:pPr>
            <w:r>
              <w:t xml:space="preserve">Directory Assistance – 1223 </w:t>
            </w:r>
          </w:p>
        </w:tc>
        <w:tc>
          <w:tcPr>
            <w:tcW w:w="2520" w:type="dxa"/>
          </w:tcPr>
          <w:p w14:paraId="2A8EDFE4" w14:textId="77777777" w:rsidR="000D07EA" w:rsidRDefault="00BE7C89">
            <w:pPr>
              <w:pStyle w:val="BodyText"/>
              <w:spacing w:before="100" w:after="100"/>
            </w:pPr>
            <w:r>
              <w:t>Yes</w:t>
            </w:r>
          </w:p>
        </w:tc>
      </w:tr>
      <w:tr w:rsidR="000D07EA" w14:paraId="7D3459F7" w14:textId="77777777">
        <w:trPr>
          <w:trHeight w:val="20"/>
        </w:trPr>
        <w:tc>
          <w:tcPr>
            <w:tcW w:w="6235" w:type="dxa"/>
          </w:tcPr>
          <w:p w14:paraId="392D901E" w14:textId="77777777" w:rsidR="000D07EA" w:rsidRDefault="00BE7C89">
            <w:pPr>
              <w:pStyle w:val="BodyText"/>
              <w:spacing w:before="100" w:after="100"/>
            </w:pPr>
            <w:r>
              <w:t>19XX Numbers</w:t>
            </w:r>
          </w:p>
        </w:tc>
        <w:tc>
          <w:tcPr>
            <w:tcW w:w="2520" w:type="dxa"/>
          </w:tcPr>
          <w:p w14:paraId="23FEB361" w14:textId="77777777" w:rsidR="000D07EA" w:rsidRDefault="00BE7C89">
            <w:pPr>
              <w:pStyle w:val="BodyText"/>
              <w:spacing w:before="100" w:after="100"/>
            </w:pPr>
            <w:r>
              <w:t>No</w:t>
            </w:r>
          </w:p>
        </w:tc>
      </w:tr>
      <w:tr w:rsidR="000D07EA" w14:paraId="547A7244" w14:textId="77777777">
        <w:trPr>
          <w:trHeight w:val="20"/>
        </w:trPr>
        <w:tc>
          <w:tcPr>
            <w:tcW w:w="6235" w:type="dxa"/>
          </w:tcPr>
          <w:p w14:paraId="5C6C4EBE" w14:textId="77777777" w:rsidR="000D07EA" w:rsidRDefault="00BE7C89">
            <w:pPr>
              <w:pStyle w:val="BodyText"/>
              <w:spacing w:before="100" w:after="100"/>
            </w:pPr>
            <w:r>
              <w:t>1800 and 1300 numbers</w:t>
            </w:r>
          </w:p>
        </w:tc>
        <w:tc>
          <w:tcPr>
            <w:tcW w:w="2520" w:type="dxa"/>
          </w:tcPr>
          <w:p w14:paraId="4215AC29" w14:textId="77777777" w:rsidR="000D07EA" w:rsidRDefault="00BE7C89">
            <w:pPr>
              <w:pStyle w:val="BodyText"/>
              <w:spacing w:before="100" w:after="100"/>
            </w:pPr>
            <w:r>
              <w:t>Yes</w:t>
            </w:r>
          </w:p>
        </w:tc>
      </w:tr>
      <w:tr w:rsidR="000D07EA" w14:paraId="30B91A5C" w14:textId="77777777">
        <w:trPr>
          <w:trHeight w:val="20"/>
        </w:trPr>
        <w:tc>
          <w:tcPr>
            <w:tcW w:w="6235" w:type="dxa"/>
          </w:tcPr>
          <w:p w14:paraId="787E7E94" w14:textId="77777777" w:rsidR="000D07EA" w:rsidRDefault="00BE7C89">
            <w:pPr>
              <w:pStyle w:val="BodyText"/>
              <w:spacing w:before="100" w:after="100"/>
            </w:pPr>
            <w:r>
              <w:t>124YES(937)</w:t>
            </w:r>
          </w:p>
        </w:tc>
        <w:tc>
          <w:tcPr>
            <w:tcW w:w="2520" w:type="dxa"/>
          </w:tcPr>
          <w:p w14:paraId="27CAF8D7" w14:textId="77777777" w:rsidR="000D07EA" w:rsidRDefault="00BE7C89">
            <w:pPr>
              <w:pStyle w:val="BodyText"/>
              <w:spacing w:before="100" w:after="100"/>
            </w:pPr>
            <w:r>
              <w:t>No</w:t>
            </w:r>
          </w:p>
        </w:tc>
      </w:tr>
      <w:tr w:rsidR="000D07EA" w14:paraId="2F04F327" w14:textId="77777777">
        <w:trPr>
          <w:trHeight w:val="20"/>
        </w:trPr>
        <w:tc>
          <w:tcPr>
            <w:tcW w:w="6235" w:type="dxa"/>
          </w:tcPr>
          <w:p w14:paraId="4835157C" w14:textId="77777777" w:rsidR="000D07EA" w:rsidRDefault="00BE7C89">
            <w:pPr>
              <w:pStyle w:val="BodyText"/>
              <w:spacing w:before="100" w:after="100"/>
            </w:pPr>
            <w:r>
              <w:t>Content Packs (unless specified in promotions)</w:t>
            </w:r>
          </w:p>
        </w:tc>
        <w:tc>
          <w:tcPr>
            <w:tcW w:w="2520" w:type="dxa"/>
          </w:tcPr>
          <w:p w14:paraId="37861CA0" w14:textId="77777777" w:rsidR="000D07EA" w:rsidRDefault="00BE7C89">
            <w:pPr>
              <w:pStyle w:val="BodyText"/>
              <w:spacing w:before="100" w:after="100"/>
            </w:pPr>
            <w:r>
              <w:t>No</w:t>
            </w:r>
          </w:p>
        </w:tc>
      </w:tr>
      <w:tr w:rsidR="000D07EA" w14:paraId="01DAA0E8" w14:textId="77777777">
        <w:trPr>
          <w:trHeight w:val="20"/>
        </w:trPr>
        <w:tc>
          <w:tcPr>
            <w:tcW w:w="6235" w:type="dxa"/>
          </w:tcPr>
          <w:p w14:paraId="6BF0EE84" w14:textId="77777777" w:rsidR="000D07EA" w:rsidRDefault="00BE7C89">
            <w:pPr>
              <w:pStyle w:val="BodyText"/>
              <w:spacing w:before="100" w:after="100"/>
            </w:pPr>
            <w:r>
              <w:t>Mobile Internet usage</w:t>
            </w:r>
          </w:p>
        </w:tc>
        <w:tc>
          <w:tcPr>
            <w:tcW w:w="2520" w:type="dxa"/>
          </w:tcPr>
          <w:p w14:paraId="14FB2582" w14:textId="77777777" w:rsidR="000D07EA" w:rsidRDefault="00BE7C89">
            <w:pPr>
              <w:pStyle w:val="BodyText"/>
              <w:spacing w:before="100" w:after="100"/>
            </w:pPr>
            <w:r>
              <w:t>No</w:t>
            </w:r>
          </w:p>
        </w:tc>
      </w:tr>
      <w:tr w:rsidR="000D07EA" w14:paraId="7258145C" w14:textId="77777777">
        <w:trPr>
          <w:trHeight w:val="20"/>
        </w:trPr>
        <w:tc>
          <w:tcPr>
            <w:tcW w:w="6235" w:type="dxa"/>
          </w:tcPr>
          <w:p w14:paraId="3B5B8BFE" w14:textId="77777777" w:rsidR="000D07EA" w:rsidRDefault="00BE7C89">
            <w:pPr>
              <w:pStyle w:val="BodyText"/>
              <w:spacing w:before="100" w:after="100"/>
            </w:pPr>
            <w:r>
              <w:t xml:space="preserve">True Local Usage </w:t>
            </w:r>
          </w:p>
        </w:tc>
        <w:tc>
          <w:tcPr>
            <w:tcW w:w="2520" w:type="dxa"/>
          </w:tcPr>
          <w:p w14:paraId="42167375" w14:textId="77777777" w:rsidR="000D07EA" w:rsidRDefault="00BE7C89">
            <w:pPr>
              <w:pStyle w:val="BodyText"/>
              <w:spacing w:before="100" w:after="100"/>
            </w:pPr>
            <w:r>
              <w:t>No</w:t>
            </w:r>
          </w:p>
        </w:tc>
      </w:tr>
      <w:tr w:rsidR="000D07EA" w14:paraId="0A48D14A" w14:textId="77777777">
        <w:trPr>
          <w:trHeight w:val="20"/>
        </w:trPr>
        <w:tc>
          <w:tcPr>
            <w:tcW w:w="6235" w:type="dxa"/>
          </w:tcPr>
          <w:p w14:paraId="38120ADA" w14:textId="77777777" w:rsidR="000D07EA" w:rsidRDefault="00BE7C89">
            <w:pPr>
              <w:pStyle w:val="BodyText"/>
              <w:spacing w:before="100" w:after="100"/>
            </w:pPr>
            <w:r>
              <w:t>VOIP services</w:t>
            </w:r>
          </w:p>
        </w:tc>
        <w:tc>
          <w:tcPr>
            <w:tcW w:w="2520" w:type="dxa"/>
          </w:tcPr>
          <w:p w14:paraId="273729BC" w14:textId="77777777" w:rsidR="000D07EA" w:rsidRDefault="00BE7C89">
            <w:pPr>
              <w:pStyle w:val="BodyText"/>
              <w:spacing w:before="100" w:after="100"/>
            </w:pPr>
            <w:r>
              <w:t>No</w:t>
            </w:r>
          </w:p>
        </w:tc>
      </w:tr>
      <w:tr w:rsidR="000D07EA" w14:paraId="014E1555" w14:textId="77777777">
        <w:trPr>
          <w:trHeight w:val="20"/>
        </w:trPr>
        <w:tc>
          <w:tcPr>
            <w:tcW w:w="6235" w:type="dxa"/>
          </w:tcPr>
          <w:p w14:paraId="2691BC02" w14:textId="77777777" w:rsidR="000D07EA" w:rsidRDefault="00BE7C89">
            <w:pPr>
              <w:pStyle w:val="BodyText"/>
              <w:spacing w:before="100" w:after="100"/>
            </w:pPr>
            <w:r>
              <w:t xml:space="preserve">Calls to Satellite </w:t>
            </w:r>
          </w:p>
        </w:tc>
        <w:tc>
          <w:tcPr>
            <w:tcW w:w="2520" w:type="dxa"/>
          </w:tcPr>
          <w:p w14:paraId="3FE64E13" w14:textId="77777777" w:rsidR="000D07EA" w:rsidRDefault="00BE7C89">
            <w:pPr>
              <w:pStyle w:val="BodyText"/>
              <w:spacing w:before="100" w:after="100"/>
            </w:pPr>
            <w:r>
              <w:t>No</w:t>
            </w:r>
          </w:p>
        </w:tc>
      </w:tr>
      <w:tr w:rsidR="000D07EA" w14:paraId="1A3684E1" w14:textId="77777777">
        <w:trPr>
          <w:trHeight w:val="20"/>
        </w:trPr>
        <w:tc>
          <w:tcPr>
            <w:tcW w:w="6235" w:type="dxa"/>
          </w:tcPr>
          <w:p w14:paraId="2B951CF8" w14:textId="77777777" w:rsidR="000D07EA" w:rsidRDefault="00BE7C89">
            <w:pPr>
              <w:pStyle w:val="BodyText"/>
              <w:spacing w:before="100" w:after="100"/>
            </w:pPr>
            <w:r>
              <w:t>Surepage</w:t>
            </w:r>
          </w:p>
        </w:tc>
        <w:tc>
          <w:tcPr>
            <w:tcW w:w="2520" w:type="dxa"/>
          </w:tcPr>
          <w:p w14:paraId="12852DB0" w14:textId="77777777" w:rsidR="000D07EA" w:rsidRDefault="00BE7C89">
            <w:pPr>
              <w:pStyle w:val="BodyText"/>
              <w:spacing w:before="100" w:after="100"/>
            </w:pPr>
            <w:r>
              <w:t>No</w:t>
            </w:r>
          </w:p>
        </w:tc>
      </w:tr>
    </w:tbl>
    <w:p w14:paraId="389475F5" w14:textId="77777777" w:rsidR="000D07EA" w:rsidRDefault="000D07EA">
      <w:pPr>
        <w:pStyle w:val="BodyText"/>
      </w:pPr>
    </w:p>
    <w:p w14:paraId="327DFB67" w14:textId="77777777" w:rsidR="000D07EA" w:rsidRDefault="00BE7C89">
      <w:pPr>
        <w:pStyle w:val="BodyText"/>
        <w:ind w:left="720"/>
        <w:rPr>
          <w:b/>
        </w:rPr>
      </w:pPr>
      <w:r>
        <w:rPr>
          <w:b/>
        </w:rPr>
        <w:t>Table 1B – Eligible for the Included Mobile Internet Data</w:t>
      </w:r>
    </w:p>
    <w:tbl>
      <w:tblPr>
        <w:tblW w:w="875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6235"/>
        <w:gridCol w:w="2520"/>
      </w:tblGrid>
      <w:tr w:rsidR="000D07EA" w14:paraId="52B14B25" w14:textId="77777777">
        <w:trPr>
          <w:trHeight w:val="20"/>
          <w:tblHeader/>
        </w:trPr>
        <w:tc>
          <w:tcPr>
            <w:tcW w:w="6235" w:type="dxa"/>
          </w:tcPr>
          <w:p w14:paraId="262273D7" w14:textId="77777777" w:rsidR="000D07EA" w:rsidRDefault="00BE7C89">
            <w:pPr>
              <w:pStyle w:val="BodyText"/>
              <w:spacing w:before="100" w:after="100"/>
              <w:rPr>
                <w:b/>
                <w:szCs w:val="20"/>
              </w:rPr>
            </w:pPr>
            <w:r>
              <w:rPr>
                <w:b/>
                <w:szCs w:val="20"/>
              </w:rPr>
              <w:t>Call Type</w:t>
            </w:r>
          </w:p>
        </w:tc>
        <w:tc>
          <w:tcPr>
            <w:tcW w:w="2520" w:type="dxa"/>
          </w:tcPr>
          <w:p w14:paraId="12C2B548" w14:textId="77777777" w:rsidR="000D07EA" w:rsidRDefault="00BE7C89">
            <w:pPr>
              <w:pStyle w:val="BodyText"/>
              <w:spacing w:before="100" w:after="100"/>
              <w:rPr>
                <w:b/>
                <w:szCs w:val="20"/>
              </w:rPr>
            </w:pPr>
            <w:r>
              <w:rPr>
                <w:b/>
                <w:szCs w:val="20"/>
              </w:rPr>
              <w:t>Eligible Data</w:t>
            </w:r>
          </w:p>
        </w:tc>
      </w:tr>
      <w:tr w:rsidR="000D07EA" w14:paraId="4AE056A0" w14:textId="77777777">
        <w:trPr>
          <w:trHeight w:val="58"/>
        </w:trPr>
        <w:tc>
          <w:tcPr>
            <w:tcW w:w="6235" w:type="dxa"/>
          </w:tcPr>
          <w:p w14:paraId="769CA8EC" w14:textId="77777777" w:rsidR="000D07EA" w:rsidRDefault="00BE7C89">
            <w:pPr>
              <w:pStyle w:val="BodyText"/>
              <w:spacing w:before="100" w:after="100"/>
              <w:rPr>
                <w:szCs w:val="20"/>
              </w:rPr>
            </w:pPr>
            <w:r>
              <w:rPr>
                <w:szCs w:val="20"/>
              </w:rPr>
              <w:t>Standard National Voice and Video Calls</w:t>
            </w:r>
          </w:p>
        </w:tc>
        <w:tc>
          <w:tcPr>
            <w:tcW w:w="2520" w:type="dxa"/>
          </w:tcPr>
          <w:p w14:paraId="730967CF" w14:textId="77777777" w:rsidR="000D07EA" w:rsidRDefault="00BE7C89">
            <w:pPr>
              <w:pStyle w:val="BodyText"/>
              <w:spacing w:before="100" w:after="100"/>
              <w:rPr>
                <w:szCs w:val="20"/>
              </w:rPr>
            </w:pPr>
            <w:r>
              <w:rPr>
                <w:szCs w:val="20"/>
              </w:rPr>
              <w:t>No</w:t>
            </w:r>
          </w:p>
        </w:tc>
      </w:tr>
      <w:tr w:rsidR="000D07EA" w14:paraId="12546D0F" w14:textId="77777777">
        <w:trPr>
          <w:trHeight w:val="58"/>
        </w:trPr>
        <w:tc>
          <w:tcPr>
            <w:tcW w:w="6235" w:type="dxa"/>
          </w:tcPr>
          <w:p w14:paraId="1B681DA8" w14:textId="77777777" w:rsidR="000D07EA" w:rsidRDefault="00BE7C89">
            <w:pPr>
              <w:pStyle w:val="BodyText"/>
              <w:spacing w:before="100" w:after="100"/>
              <w:rPr>
                <w:szCs w:val="20"/>
              </w:rPr>
            </w:pPr>
            <w:r>
              <w:rPr>
                <w:szCs w:val="20"/>
              </w:rPr>
              <w:t>International Voice and Video Calls</w:t>
            </w:r>
          </w:p>
          <w:p w14:paraId="04466E3B" w14:textId="77777777" w:rsidR="000D07EA" w:rsidRDefault="00BE7C89">
            <w:pPr>
              <w:pStyle w:val="BodyText"/>
              <w:spacing w:before="100" w:after="100"/>
              <w:rPr>
                <w:szCs w:val="20"/>
              </w:rPr>
            </w:pPr>
            <w:r>
              <w:rPr>
                <w:szCs w:val="20"/>
              </w:rPr>
              <w:t>(including calls to national fixed or mobile services that then divert/switch or re-route overseas)</w:t>
            </w:r>
          </w:p>
        </w:tc>
        <w:tc>
          <w:tcPr>
            <w:tcW w:w="2520" w:type="dxa"/>
          </w:tcPr>
          <w:p w14:paraId="1CFF89C1" w14:textId="77777777" w:rsidR="000D07EA" w:rsidRDefault="00BE7C89">
            <w:pPr>
              <w:pStyle w:val="BodyText"/>
              <w:spacing w:before="100" w:after="100"/>
              <w:rPr>
                <w:szCs w:val="20"/>
              </w:rPr>
            </w:pPr>
            <w:r>
              <w:rPr>
                <w:szCs w:val="20"/>
              </w:rPr>
              <w:t xml:space="preserve">No </w:t>
            </w:r>
          </w:p>
        </w:tc>
      </w:tr>
      <w:tr w:rsidR="000D07EA" w14:paraId="118D9177" w14:textId="77777777">
        <w:trPr>
          <w:trHeight w:val="58"/>
        </w:trPr>
        <w:tc>
          <w:tcPr>
            <w:tcW w:w="6235" w:type="dxa"/>
          </w:tcPr>
          <w:p w14:paraId="4BE897EA" w14:textId="77777777" w:rsidR="000D07EA" w:rsidRDefault="00BE7C89">
            <w:pPr>
              <w:pStyle w:val="BodyText"/>
              <w:spacing w:before="100" w:after="100"/>
              <w:rPr>
                <w:szCs w:val="20"/>
              </w:rPr>
            </w:pPr>
            <w:r>
              <w:rPr>
                <w:szCs w:val="20"/>
              </w:rPr>
              <w:t>Premium Video</w:t>
            </w:r>
          </w:p>
        </w:tc>
        <w:tc>
          <w:tcPr>
            <w:tcW w:w="2520" w:type="dxa"/>
          </w:tcPr>
          <w:p w14:paraId="3518C014" w14:textId="77777777" w:rsidR="000D07EA" w:rsidRDefault="00BE7C89">
            <w:pPr>
              <w:pStyle w:val="BodyText"/>
              <w:spacing w:before="100" w:after="100"/>
              <w:rPr>
                <w:szCs w:val="20"/>
              </w:rPr>
            </w:pPr>
            <w:r>
              <w:rPr>
                <w:szCs w:val="20"/>
              </w:rPr>
              <w:t>No</w:t>
            </w:r>
          </w:p>
        </w:tc>
      </w:tr>
      <w:tr w:rsidR="000D07EA" w14:paraId="72675C84" w14:textId="77777777">
        <w:trPr>
          <w:trHeight w:val="58"/>
        </w:trPr>
        <w:tc>
          <w:tcPr>
            <w:tcW w:w="6235" w:type="dxa"/>
          </w:tcPr>
          <w:p w14:paraId="7F123FAB" w14:textId="77777777" w:rsidR="000D07EA" w:rsidRDefault="00BE7C89">
            <w:pPr>
              <w:pStyle w:val="BodyText"/>
              <w:spacing w:before="100" w:after="100"/>
              <w:rPr>
                <w:szCs w:val="20"/>
              </w:rPr>
            </w:pPr>
            <w:r>
              <w:rPr>
                <w:szCs w:val="20"/>
              </w:rPr>
              <w:t>Content Video</w:t>
            </w:r>
          </w:p>
        </w:tc>
        <w:tc>
          <w:tcPr>
            <w:tcW w:w="2520" w:type="dxa"/>
          </w:tcPr>
          <w:p w14:paraId="7A218139" w14:textId="77777777" w:rsidR="000D07EA" w:rsidRDefault="00BE7C89">
            <w:pPr>
              <w:pStyle w:val="BodyText"/>
              <w:spacing w:before="100" w:after="100"/>
              <w:rPr>
                <w:szCs w:val="20"/>
              </w:rPr>
            </w:pPr>
            <w:r>
              <w:rPr>
                <w:szCs w:val="20"/>
              </w:rPr>
              <w:t>No</w:t>
            </w:r>
          </w:p>
        </w:tc>
      </w:tr>
      <w:tr w:rsidR="000D07EA" w14:paraId="6564F618" w14:textId="77777777">
        <w:trPr>
          <w:trHeight w:val="20"/>
        </w:trPr>
        <w:tc>
          <w:tcPr>
            <w:tcW w:w="6235" w:type="dxa"/>
          </w:tcPr>
          <w:p w14:paraId="02553B0E" w14:textId="77777777" w:rsidR="000D07EA" w:rsidRDefault="00BE7C89">
            <w:pPr>
              <w:pStyle w:val="BodyText"/>
              <w:spacing w:before="100" w:after="100"/>
              <w:rPr>
                <w:szCs w:val="20"/>
              </w:rPr>
            </w:pPr>
            <w:r>
              <w:rPr>
                <w:szCs w:val="20"/>
              </w:rPr>
              <w:t>Standard National Standard SMS</w:t>
            </w:r>
          </w:p>
        </w:tc>
        <w:tc>
          <w:tcPr>
            <w:tcW w:w="2520" w:type="dxa"/>
          </w:tcPr>
          <w:p w14:paraId="1AC72862" w14:textId="77777777" w:rsidR="000D07EA" w:rsidRDefault="00BE7C89">
            <w:pPr>
              <w:pStyle w:val="BodyText"/>
              <w:spacing w:before="100" w:after="100"/>
              <w:rPr>
                <w:szCs w:val="20"/>
              </w:rPr>
            </w:pPr>
            <w:r>
              <w:rPr>
                <w:szCs w:val="20"/>
              </w:rPr>
              <w:t>No</w:t>
            </w:r>
          </w:p>
        </w:tc>
      </w:tr>
      <w:tr w:rsidR="000D07EA" w14:paraId="7D8C7D4D" w14:textId="77777777">
        <w:trPr>
          <w:trHeight w:val="20"/>
        </w:trPr>
        <w:tc>
          <w:tcPr>
            <w:tcW w:w="6235" w:type="dxa"/>
          </w:tcPr>
          <w:p w14:paraId="6D41D3ED" w14:textId="77777777" w:rsidR="000D07EA" w:rsidRDefault="00BE7C89">
            <w:pPr>
              <w:pStyle w:val="BodyText"/>
              <w:spacing w:before="100" w:after="100"/>
              <w:rPr>
                <w:szCs w:val="20"/>
              </w:rPr>
            </w:pPr>
            <w:r>
              <w:rPr>
                <w:szCs w:val="20"/>
              </w:rPr>
              <w:t>International SMS</w:t>
            </w:r>
          </w:p>
        </w:tc>
        <w:tc>
          <w:tcPr>
            <w:tcW w:w="2520" w:type="dxa"/>
          </w:tcPr>
          <w:p w14:paraId="116C29CE" w14:textId="77777777" w:rsidR="000D07EA" w:rsidRDefault="00BE7C89">
            <w:pPr>
              <w:pStyle w:val="BodyText"/>
              <w:spacing w:before="100" w:after="100"/>
              <w:rPr>
                <w:szCs w:val="20"/>
              </w:rPr>
            </w:pPr>
            <w:r>
              <w:rPr>
                <w:szCs w:val="20"/>
              </w:rPr>
              <w:t>No</w:t>
            </w:r>
          </w:p>
        </w:tc>
      </w:tr>
      <w:tr w:rsidR="000D07EA" w14:paraId="25F0E021" w14:textId="77777777">
        <w:trPr>
          <w:trHeight w:val="20"/>
        </w:trPr>
        <w:tc>
          <w:tcPr>
            <w:tcW w:w="6235" w:type="dxa"/>
          </w:tcPr>
          <w:p w14:paraId="11AFFF64" w14:textId="77777777" w:rsidR="000D07EA" w:rsidRDefault="00BE7C89">
            <w:pPr>
              <w:pStyle w:val="BodyText"/>
              <w:spacing w:before="100" w:after="100"/>
              <w:rPr>
                <w:szCs w:val="20"/>
              </w:rPr>
            </w:pPr>
            <w:r>
              <w:rPr>
                <w:szCs w:val="20"/>
              </w:rPr>
              <w:t>Premium SMS</w:t>
            </w:r>
          </w:p>
        </w:tc>
        <w:tc>
          <w:tcPr>
            <w:tcW w:w="2520" w:type="dxa"/>
          </w:tcPr>
          <w:p w14:paraId="27E56217" w14:textId="77777777" w:rsidR="000D07EA" w:rsidRDefault="00BE7C89">
            <w:pPr>
              <w:pStyle w:val="BodyText"/>
              <w:spacing w:before="100" w:after="100"/>
              <w:rPr>
                <w:szCs w:val="20"/>
              </w:rPr>
            </w:pPr>
            <w:r>
              <w:rPr>
                <w:szCs w:val="20"/>
              </w:rPr>
              <w:t>No</w:t>
            </w:r>
          </w:p>
        </w:tc>
      </w:tr>
      <w:tr w:rsidR="000D07EA" w14:paraId="4FC96A27" w14:textId="77777777">
        <w:trPr>
          <w:trHeight w:val="20"/>
        </w:trPr>
        <w:tc>
          <w:tcPr>
            <w:tcW w:w="6235" w:type="dxa"/>
          </w:tcPr>
          <w:p w14:paraId="24D30850" w14:textId="77777777" w:rsidR="000D07EA" w:rsidRDefault="00BE7C89">
            <w:pPr>
              <w:pStyle w:val="BodyText"/>
              <w:spacing w:before="100" w:after="100"/>
              <w:rPr>
                <w:szCs w:val="20"/>
              </w:rPr>
            </w:pPr>
            <w:r>
              <w:rPr>
                <w:szCs w:val="20"/>
              </w:rPr>
              <w:t>Standard National Standard MMS</w:t>
            </w:r>
          </w:p>
        </w:tc>
        <w:tc>
          <w:tcPr>
            <w:tcW w:w="2520" w:type="dxa"/>
          </w:tcPr>
          <w:p w14:paraId="4EF2B2FD" w14:textId="77777777" w:rsidR="000D07EA" w:rsidRDefault="00BE7C89">
            <w:pPr>
              <w:pStyle w:val="BodyText"/>
              <w:spacing w:before="100" w:after="100"/>
              <w:rPr>
                <w:szCs w:val="20"/>
              </w:rPr>
            </w:pPr>
            <w:r>
              <w:rPr>
                <w:szCs w:val="20"/>
              </w:rPr>
              <w:t>No</w:t>
            </w:r>
          </w:p>
        </w:tc>
      </w:tr>
      <w:tr w:rsidR="000D07EA" w14:paraId="19CB56B2" w14:textId="77777777">
        <w:trPr>
          <w:trHeight w:val="20"/>
        </w:trPr>
        <w:tc>
          <w:tcPr>
            <w:tcW w:w="6235" w:type="dxa"/>
          </w:tcPr>
          <w:p w14:paraId="7CFA36A0" w14:textId="77777777" w:rsidR="000D07EA" w:rsidRDefault="00BE7C89">
            <w:pPr>
              <w:pStyle w:val="BodyText"/>
              <w:spacing w:before="100" w:after="100"/>
              <w:rPr>
                <w:szCs w:val="20"/>
              </w:rPr>
            </w:pPr>
            <w:r>
              <w:rPr>
                <w:szCs w:val="20"/>
              </w:rPr>
              <w:t>International MMS</w:t>
            </w:r>
          </w:p>
        </w:tc>
        <w:tc>
          <w:tcPr>
            <w:tcW w:w="2520" w:type="dxa"/>
          </w:tcPr>
          <w:p w14:paraId="260E9DE0" w14:textId="77777777" w:rsidR="000D07EA" w:rsidRDefault="00BE7C89">
            <w:pPr>
              <w:pStyle w:val="BodyText"/>
              <w:spacing w:before="100" w:after="100"/>
              <w:rPr>
                <w:szCs w:val="20"/>
              </w:rPr>
            </w:pPr>
            <w:r>
              <w:rPr>
                <w:szCs w:val="20"/>
              </w:rPr>
              <w:t>No</w:t>
            </w:r>
          </w:p>
        </w:tc>
      </w:tr>
      <w:tr w:rsidR="000D07EA" w14:paraId="13D308CA" w14:textId="77777777">
        <w:trPr>
          <w:trHeight w:val="20"/>
        </w:trPr>
        <w:tc>
          <w:tcPr>
            <w:tcW w:w="6235" w:type="dxa"/>
          </w:tcPr>
          <w:p w14:paraId="28C9A69C" w14:textId="77777777" w:rsidR="000D07EA" w:rsidRDefault="00BE7C89">
            <w:pPr>
              <w:pStyle w:val="BodyText"/>
              <w:spacing w:before="100" w:after="100"/>
              <w:rPr>
                <w:szCs w:val="20"/>
              </w:rPr>
            </w:pPr>
            <w:r>
              <w:rPr>
                <w:szCs w:val="20"/>
              </w:rPr>
              <w:t>Premium MMS</w:t>
            </w:r>
          </w:p>
        </w:tc>
        <w:tc>
          <w:tcPr>
            <w:tcW w:w="2520" w:type="dxa"/>
          </w:tcPr>
          <w:p w14:paraId="5B096E23" w14:textId="77777777" w:rsidR="000D07EA" w:rsidRDefault="00BE7C89">
            <w:pPr>
              <w:pStyle w:val="BodyText"/>
              <w:spacing w:before="100" w:after="100"/>
              <w:rPr>
                <w:szCs w:val="20"/>
              </w:rPr>
            </w:pPr>
            <w:r>
              <w:rPr>
                <w:szCs w:val="20"/>
              </w:rPr>
              <w:t>No</w:t>
            </w:r>
          </w:p>
        </w:tc>
      </w:tr>
      <w:tr w:rsidR="000D07EA" w14:paraId="45C154C3" w14:textId="77777777">
        <w:trPr>
          <w:trHeight w:val="20"/>
        </w:trPr>
        <w:tc>
          <w:tcPr>
            <w:tcW w:w="6235" w:type="dxa"/>
          </w:tcPr>
          <w:p w14:paraId="2204D938" w14:textId="77777777" w:rsidR="000D07EA" w:rsidRDefault="00BE7C89">
            <w:pPr>
              <w:pStyle w:val="BodyText"/>
              <w:spacing w:before="100" w:after="100"/>
              <w:rPr>
                <w:szCs w:val="20"/>
              </w:rPr>
            </w:pPr>
            <w:r>
              <w:rPr>
                <w:szCs w:val="20"/>
              </w:rPr>
              <w:t>National Diversions</w:t>
            </w:r>
          </w:p>
        </w:tc>
        <w:tc>
          <w:tcPr>
            <w:tcW w:w="2520" w:type="dxa"/>
          </w:tcPr>
          <w:p w14:paraId="2F0DF6C9" w14:textId="77777777" w:rsidR="000D07EA" w:rsidRDefault="00BE7C89">
            <w:pPr>
              <w:pStyle w:val="BodyText"/>
              <w:spacing w:before="100" w:after="100"/>
              <w:rPr>
                <w:szCs w:val="20"/>
              </w:rPr>
            </w:pPr>
            <w:r>
              <w:rPr>
                <w:szCs w:val="20"/>
              </w:rPr>
              <w:t>No</w:t>
            </w:r>
          </w:p>
        </w:tc>
      </w:tr>
      <w:tr w:rsidR="000D07EA" w14:paraId="49CB0838" w14:textId="77777777">
        <w:trPr>
          <w:trHeight w:val="20"/>
        </w:trPr>
        <w:tc>
          <w:tcPr>
            <w:tcW w:w="6235" w:type="dxa"/>
          </w:tcPr>
          <w:p w14:paraId="24DD8B38" w14:textId="77777777" w:rsidR="000D07EA" w:rsidRDefault="00BE7C89">
            <w:pPr>
              <w:pStyle w:val="BodyText"/>
              <w:spacing w:before="100" w:after="100"/>
              <w:rPr>
                <w:szCs w:val="20"/>
              </w:rPr>
            </w:pPr>
            <w:r>
              <w:rPr>
                <w:szCs w:val="20"/>
              </w:rPr>
              <w:t>Voicemail Deposit and Retrievals</w:t>
            </w:r>
          </w:p>
        </w:tc>
        <w:tc>
          <w:tcPr>
            <w:tcW w:w="2520" w:type="dxa"/>
          </w:tcPr>
          <w:p w14:paraId="623296AB" w14:textId="77777777" w:rsidR="000D07EA" w:rsidRDefault="00BE7C89">
            <w:pPr>
              <w:pStyle w:val="BodyText"/>
              <w:spacing w:before="100" w:after="100"/>
              <w:rPr>
                <w:szCs w:val="20"/>
              </w:rPr>
            </w:pPr>
            <w:r>
              <w:rPr>
                <w:szCs w:val="20"/>
              </w:rPr>
              <w:t>No</w:t>
            </w:r>
          </w:p>
        </w:tc>
      </w:tr>
      <w:tr w:rsidR="000D07EA" w14:paraId="0C4E3F69" w14:textId="77777777">
        <w:trPr>
          <w:trHeight w:val="20"/>
        </w:trPr>
        <w:tc>
          <w:tcPr>
            <w:tcW w:w="6235" w:type="dxa"/>
          </w:tcPr>
          <w:p w14:paraId="0D072DFB" w14:textId="77777777" w:rsidR="000D07EA" w:rsidRDefault="00BE7C89">
            <w:pPr>
              <w:pStyle w:val="BodyText"/>
              <w:spacing w:before="100" w:after="100"/>
              <w:rPr>
                <w:szCs w:val="20"/>
              </w:rPr>
            </w:pPr>
            <w:r>
              <w:rPr>
                <w:szCs w:val="20"/>
              </w:rPr>
              <w:t>International Roaming and Diversion</w:t>
            </w:r>
          </w:p>
        </w:tc>
        <w:tc>
          <w:tcPr>
            <w:tcW w:w="2520" w:type="dxa"/>
          </w:tcPr>
          <w:p w14:paraId="677B9D4B" w14:textId="77777777" w:rsidR="000D07EA" w:rsidRDefault="00BE7C89">
            <w:pPr>
              <w:pStyle w:val="BodyText"/>
              <w:spacing w:before="100" w:after="100"/>
              <w:rPr>
                <w:szCs w:val="20"/>
              </w:rPr>
            </w:pPr>
            <w:r>
              <w:rPr>
                <w:szCs w:val="20"/>
              </w:rPr>
              <w:t>No</w:t>
            </w:r>
          </w:p>
        </w:tc>
      </w:tr>
      <w:tr w:rsidR="000D07EA" w14:paraId="798200C8" w14:textId="77777777">
        <w:trPr>
          <w:trHeight w:val="20"/>
        </w:trPr>
        <w:tc>
          <w:tcPr>
            <w:tcW w:w="6235" w:type="dxa"/>
          </w:tcPr>
          <w:p w14:paraId="30E3479B" w14:textId="77777777" w:rsidR="000D07EA" w:rsidRDefault="00BE7C89">
            <w:pPr>
              <w:pStyle w:val="BodyText"/>
              <w:spacing w:before="100" w:after="100"/>
              <w:rPr>
                <w:szCs w:val="20"/>
              </w:rPr>
            </w:pPr>
            <w:r>
              <w:rPr>
                <w:szCs w:val="20"/>
              </w:rPr>
              <w:lastRenderedPageBreak/>
              <w:t>Video Conferencing</w:t>
            </w:r>
          </w:p>
        </w:tc>
        <w:tc>
          <w:tcPr>
            <w:tcW w:w="2520" w:type="dxa"/>
          </w:tcPr>
          <w:p w14:paraId="1A3EE272" w14:textId="77777777" w:rsidR="000D07EA" w:rsidRDefault="00BE7C89">
            <w:pPr>
              <w:pStyle w:val="BodyText"/>
              <w:spacing w:before="100" w:after="100"/>
              <w:rPr>
                <w:szCs w:val="20"/>
              </w:rPr>
            </w:pPr>
            <w:r>
              <w:rPr>
                <w:szCs w:val="20"/>
              </w:rPr>
              <w:t>No</w:t>
            </w:r>
          </w:p>
        </w:tc>
      </w:tr>
      <w:tr w:rsidR="000D07EA" w14:paraId="04D8AAD5" w14:textId="77777777">
        <w:trPr>
          <w:trHeight w:val="20"/>
        </w:trPr>
        <w:tc>
          <w:tcPr>
            <w:tcW w:w="6235" w:type="dxa"/>
          </w:tcPr>
          <w:p w14:paraId="0B6502E7" w14:textId="77777777" w:rsidR="000D07EA" w:rsidRDefault="00BE7C89">
            <w:pPr>
              <w:pStyle w:val="BodyText"/>
              <w:spacing w:before="100" w:after="100"/>
              <w:rPr>
                <w:szCs w:val="20"/>
              </w:rPr>
            </w:pPr>
            <w:r>
              <w:rPr>
                <w:szCs w:val="20"/>
              </w:rPr>
              <w:t>Optus iZoo Browsing*</w:t>
            </w:r>
          </w:p>
        </w:tc>
        <w:tc>
          <w:tcPr>
            <w:tcW w:w="2520" w:type="dxa"/>
          </w:tcPr>
          <w:p w14:paraId="3D2D1057" w14:textId="77777777" w:rsidR="000D07EA" w:rsidRDefault="00BE7C89">
            <w:pPr>
              <w:pStyle w:val="BodyText"/>
              <w:spacing w:before="100" w:after="100"/>
              <w:rPr>
                <w:szCs w:val="20"/>
              </w:rPr>
            </w:pPr>
            <w:r>
              <w:rPr>
                <w:szCs w:val="20"/>
              </w:rPr>
              <w:t>Yes, up to the monthly included data amount specified in Table 2A.</w:t>
            </w:r>
          </w:p>
        </w:tc>
      </w:tr>
      <w:tr w:rsidR="000D07EA" w14:paraId="7E47C581" w14:textId="77777777">
        <w:trPr>
          <w:trHeight w:val="20"/>
        </w:trPr>
        <w:tc>
          <w:tcPr>
            <w:tcW w:w="6235" w:type="dxa"/>
          </w:tcPr>
          <w:p w14:paraId="071E5CF6" w14:textId="77777777" w:rsidR="000D07EA" w:rsidRDefault="00BE7C89">
            <w:pPr>
              <w:pStyle w:val="BodyText"/>
              <w:spacing w:before="100" w:after="100"/>
              <w:rPr>
                <w:szCs w:val="20"/>
              </w:rPr>
            </w:pPr>
            <w:r>
              <w:rPr>
                <w:szCs w:val="20"/>
              </w:rPr>
              <w:t>Optus iZoo Downloads</w:t>
            </w:r>
          </w:p>
        </w:tc>
        <w:tc>
          <w:tcPr>
            <w:tcW w:w="2520" w:type="dxa"/>
          </w:tcPr>
          <w:p w14:paraId="32E109F5" w14:textId="77777777" w:rsidR="000D07EA" w:rsidRDefault="00BE7C89">
            <w:pPr>
              <w:pStyle w:val="BodyText"/>
              <w:spacing w:before="100" w:after="100"/>
              <w:rPr>
                <w:szCs w:val="20"/>
              </w:rPr>
            </w:pPr>
            <w:r>
              <w:rPr>
                <w:szCs w:val="20"/>
              </w:rPr>
              <w:t>No</w:t>
            </w:r>
          </w:p>
        </w:tc>
      </w:tr>
      <w:tr w:rsidR="000D07EA" w14:paraId="7EB0DC9D" w14:textId="77777777">
        <w:trPr>
          <w:trHeight w:val="20"/>
        </w:trPr>
        <w:tc>
          <w:tcPr>
            <w:tcW w:w="6235" w:type="dxa"/>
          </w:tcPr>
          <w:p w14:paraId="2270ED56" w14:textId="77777777" w:rsidR="000D07EA" w:rsidRDefault="00BE7C89">
            <w:pPr>
              <w:pStyle w:val="BodyText"/>
              <w:spacing w:before="100" w:after="100"/>
              <w:rPr>
                <w:szCs w:val="20"/>
              </w:rPr>
            </w:pPr>
            <w:r>
              <w:rPr>
                <w:szCs w:val="20"/>
              </w:rPr>
              <w:t>SMS to 966 (Zoo)</w:t>
            </w:r>
          </w:p>
        </w:tc>
        <w:tc>
          <w:tcPr>
            <w:tcW w:w="2520" w:type="dxa"/>
          </w:tcPr>
          <w:p w14:paraId="614DBF4D" w14:textId="77777777" w:rsidR="000D07EA" w:rsidRDefault="00BE7C89">
            <w:pPr>
              <w:pStyle w:val="BodyText"/>
              <w:spacing w:before="100" w:after="100"/>
              <w:rPr>
                <w:szCs w:val="20"/>
              </w:rPr>
            </w:pPr>
            <w:r>
              <w:rPr>
                <w:szCs w:val="20"/>
              </w:rPr>
              <w:t>No</w:t>
            </w:r>
          </w:p>
        </w:tc>
      </w:tr>
      <w:tr w:rsidR="000D07EA" w14:paraId="4825A88A" w14:textId="77777777">
        <w:trPr>
          <w:trHeight w:val="20"/>
        </w:trPr>
        <w:tc>
          <w:tcPr>
            <w:tcW w:w="6235" w:type="dxa"/>
          </w:tcPr>
          <w:p w14:paraId="620C6599" w14:textId="77777777" w:rsidR="000D07EA" w:rsidRDefault="00BE7C89">
            <w:pPr>
              <w:pStyle w:val="BodyText"/>
              <w:spacing w:before="100" w:after="100"/>
              <w:rPr>
                <w:szCs w:val="20"/>
              </w:rPr>
            </w:pPr>
            <w:r>
              <w:rPr>
                <w:szCs w:val="20"/>
              </w:rPr>
              <w:t>Mobile Internet usage*</w:t>
            </w:r>
          </w:p>
        </w:tc>
        <w:tc>
          <w:tcPr>
            <w:tcW w:w="2520" w:type="dxa"/>
          </w:tcPr>
          <w:p w14:paraId="10A29473" w14:textId="77777777" w:rsidR="000D07EA" w:rsidRDefault="00BE7C89">
            <w:pPr>
              <w:pStyle w:val="BodyText"/>
              <w:spacing w:before="100" w:after="100"/>
              <w:rPr>
                <w:szCs w:val="20"/>
              </w:rPr>
            </w:pPr>
            <w:r>
              <w:rPr>
                <w:szCs w:val="20"/>
              </w:rPr>
              <w:t>Yes, up to the monthly included data amount specified in Table 2A.</w:t>
            </w:r>
          </w:p>
        </w:tc>
      </w:tr>
      <w:tr w:rsidR="000D07EA" w14:paraId="25E6B6E0" w14:textId="77777777">
        <w:trPr>
          <w:trHeight w:val="20"/>
        </w:trPr>
        <w:tc>
          <w:tcPr>
            <w:tcW w:w="6235" w:type="dxa"/>
          </w:tcPr>
          <w:p w14:paraId="67BF88C7" w14:textId="77777777" w:rsidR="000D07EA" w:rsidRDefault="00BE7C89">
            <w:pPr>
              <w:pStyle w:val="BodyText"/>
              <w:spacing w:before="100" w:after="100"/>
              <w:rPr>
                <w:szCs w:val="20"/>
              </w:rPr>
            </w:pPr>
            <w:r>
              <w:rPr>
                <w:szCs w:val="20"/>
              </w:rPr>
              <w:t>Mobile as Modem</w:t>
            </w:r>
          </w:p>
        </w:tc>
        <w:tc>
          <w:tcPr>
            <w:tcW w:w="2520" w:type="dxa"/>
          </w:tcPr>
          <w:p w14:paraId="39EF218B" w14:textId="77777777" w:rsidR="000D07EA" w:rsidRDefault="00BE7C89">
            <w:pPr>
              <w:pStyle w:val="BodyText"/>
              <w:spacing w:before="100" w:after="100"/>
              <w:rPr>
                <w:szCs w:val="20"/>
              </w:rPr>
            </w:pPr>
            <w:r>
              <w:rPr>
                <w:szCs w:val="20"/>
              </w:rPr>
              <w:t>No</w:t>
            </w:r>
          </w:p>
        </w:tc>
      </w:tr>
      <w:tr w:rsidR="000D07EA" w14:paraId="05540382" w14:textId="77777777">
        <w:trPr>
          <w:trHeight w:val="20"/>
        </w:trPr>
        <w:tc>
          <w:tcPr>
            <w:tcW w:w="6235" w:type="dxa"/>
          </w:tcPr>
          <w:p w14:paraId="1F028000" w14:textId="77777777" w:rsidR="000D07EA" w:rsidRDefault="00BE7C89">
            <w:pPr>
              <w:pStyle w:val="BodyText"/>
              <w:spacing w:before="100" w:after="100"/>
              <w:rPr>
                <w:szCs w:val="20"/>
              </w:rPr>
            </w:pPr>
            <w:r>
              <w:rPr>
                <w:szCs w:val="20"/>
              </w:rPr>
              <w:t>Data Used while Roaming Internationally</w:t>
            </w:r>
          </w:p>
        </w:tc>
        <w:tc>
          <w:tcPr>
            <w:tcW w:w="2520" w:type="dxa"/>
          </w:tcPr>
          <w:p w14:paraId="3DF5448F" w14:textId="77777777" w:rsidR="000D07EA" w:rsidRDefault="00BE7C89">
            <w:pPr>
              <w:pStyle w:val="BodyText"/>
              <w:spacing w:before="100" w:after="100"/>
              <w:rPr>
                <w:szCs w:val="20"/>
              </w:rPr>
            </w:pPr>
            <w:r>
              <w:rPr>
                <w:szCs w:val="20"/>
              </w:rPr>
              <w:t>No</w:t>
            </w:r>
          </w:p>
        </w:tc>
      </w:tr>
      <w:tr w:rsidR="000D07EA" w14:paraId="60B93B6E" w14:textId="77777777">
        <w:trPr>
          <w:trHeight w:val="20"/>
        </w:trPr>
        <w:tc>
          <w:tcPr>
            <w:tcW w:w="6235" w:type="dxa"/>
          </w:tcPr>
          <w:p w14:paraId="031758BD" w14:textId="77777777" w:rsidR="000D07EA" w:rsidRDefault="00BE7C89">
            <w:pPr>
              <w:pStyle w:val="BodyText"/>
              <w:spacing w:before="100" w:after="100"/>
              <w:rPr>
                <w:szCs w:val="20"/>
              </w:rPr>
            </w:pPr>
            <w:r>
              <w:rPr>
                <w:szCs w:val="20"/>
              </w:rPr>
              <w:t xml:space="preserve">Content Packs </w:t>
            </w:r>
          </w:p>
        </w:tc>
        <w:tc>
          <w:tcPr>
            <w:tcW w:w="2520" w:type="dxa"/>
          </w:tcPr>
          <w:p w14:paraId="31B3FB37" w14:textId="77777777" w:rsidR="000D07EA" w:rsidRDefault="00BE7C89">
            <w:pPr>
              <w:pStyle w:val="BodyText"/>
              <w:spacing w:before="100" w:after="100"/>
              <w:rPr>
                <w:szCs w:val="20"/>
              </w:rPr>
            </w:pPr>
            <w:r>
              <w:rPr>
                <w:szCs w:val="20"/>
              </w:rPr>
              <w:t>No</w:t>
            </w:r>
          </w:p>
        </w:tc>
      </w:tr>
      <w:tr w:rsidR="000D07EA" w14:paraId="79570B50" w14:textId="77777777">
        <w:trPr>
          <w:trHeight w:val="20"/>
        </w:trPr>
        <w:tc>
          <w:tcPr>
            <w:tcW w:w="6235" w:type="dxa"/>
          </w:tcPr>
          <w:p w14:paraId="3D29E29F" w14:textId="77777777" w:rsidR="000D07EA" w:rsidRDefault="00BE7C89">
            <w:pPr>
              <w:pStyle w:val="BodyText"/>
              <w:spacing w:before="100" w:after="100"/>
              <w:rPr>
                <w:szCs w:val="20"/>
              </w:rPr>
            </w:pPr>
            <w:r>
              <w:rPr>
                <w:szCs w:val="20"/>
              </w:rPr>
              <w:t>TrueLocal Usage</w:t>
            </w:r>
          </w:p>
        </w:tc>
        <w:tc>
          <w:tcPr>
            <w:tcW w:w="2520" w:type="dxa"/>
          </w:tcPr>
          <w:p w14:paraId="0AE7CAAD" w14:textId="77777777" w:rsidR="000D07EA" w:rsidRDefault="00BE7C89">
            <w:pPr>
              <w:pStyle w:val="BodyText"/>
              <w:spacing w:before="100" w:after="100"/>
              <w:rPr>
                <w:szCs w:val="20"/>
              </w:rPr>
            </w:pPr>
            <w:r>
              <w:rPr>
                <w:szCs w:val="20"/>
              </w:rPr>
              <w:t>No</w:t>
            </w:r>
          </w:p>
        </w:tc>
      </w:tr>
      <w:tr w:rsidR="000D07EA" w14:paraId="08E5774C" w14:textId="77777777">
        <w:trPr>
          <w:trHeight w:val="20"/>
        </w:trPr>
        <w:tc>
          <w:tcPr>
            <w:tcW w:w="6235" w:type="dxa"/>
          </w:tcPr>
          <w:p w14:paraId="1B59EC4F" w14:textId="77777777" w:rsidR="000D07EA" w:rsidRDefault="00BE7C89">
            <w:pPr>
              <w:pStyle w:val="BodyText"/>
              <w:spacing w:before="100" w:after="100"/>
              <w:rPr>
                <w:szCs w:val="20"/>
              </w:rPr>
            </w:pPr>
            <w:r>
              <w:rPr>
                <w:szCs w:val="20"/>
              </w:rPr>
              <w:t xml:space="preserve">Directory Assistance- 1223 </w:t>
            </w:r>
          </w:p>
        </w:tc>
        <w:tc>
          <w:tcPr>
            <w:tcW w:w="2520" w:type="dxa"/>
          </w:tcPr>
          <w:p w14:paraId="63CB4A12" w14:textId="77777777" w:rsidR="000D07EA" w:rsidRDefault="00BE7C89">
            <w:pPr>
              <w:pStyle w:val="BodyText"/>
              <w:spacing w:before="100" w:after="100"/>
              <w:rPr>
                <w:szCs w:val="20"/>
              </w:rPr>
            </w:pPr>
            <w:r>
              <w:rPr>
                <w:szCs w:val="20"/>
              </w:rPr>
              <w:t>No</w:t>
            </w:r>
          </w:p>
        </w:tc>
      </w:tr>
      <w:tr w:rsidR="000D07EA" w14:paraId="4F5073A0" w14:textId="77777777">
        <w:trPr>
          <w:trHeight w:val="20"/>
        </w:trPr>
        <w:tc>
          <w:tcPr>
            <w:tcW w:w="6235" w:type="dxa"/>
          </w:tcPr>
          <w:p w14:paraId="661E6185" w14:textId="77777777" w:rsidR="000D07EA" w:rsidRDefault="00BE7C89">
            <w:pPr>
              <w:pStyle w:val="BodyText"/>
              <w:spacing w:before="100" w:after="100"/>
              <w:rPr>
                <w:szCs w:val="20"/>
              </w:rPr>
            </w:pPr>
            <w:r>
              <w:rPr>
                <w:szCs w:val="20"/>
              </w:rPr>
              <w:t>19XX Numbers</w:t>
            </w:r>
          </w:p>
        </w:tc>
        <w:tc>
          <w:tcPr>
            <w:tcW w:w="2520" w:type="dxa"/>
          </w:tcPr>
          <w:p w14:paraId="36900D06" w14:textId="77777777" w:rsidR="000D07EA" w:rsidRDefault="00BE7C89">
            <w:pPr>
              <w:pStyle w:val="BodyText"/>
              <w:spacing w:before="100" w:after="100"/>
              <w:rPr>
                <w:szCs w:val="20"/>
              </w:rPr>
            </w:pPr>
            <w:r>
              <w:rPr>
                <w:szCs w:val="20"/>
              </w:rPr>
              <w:t>No</w:t>
            </w:r>
          </w:p>
        </w:tc>
      </w:tr>
      <w:tr w:rsidR="000D07EA" w14:paraId="4EF3F219" w14:textId="77777777">
        <w:trPr>
          <w:trHeight w:val="20"/>
        </w:trPr>
        <w:tc>
          <w:tcPr>
            <w:tcW w:w="6235" w:type="dxa"/>
          </w:tcPr>
          <w:p w14:paraId="5C708FCC" w14:textId="77777777" w:rsidR="000D07EA" w:rsidRDefault="00BE7C89">
            <w:pPr>
              <w:pStyle w:val="BodyText"/>
              <w:spacing w:before="100" w:after="100"/>
              <w:rPr>
                <w:szCs w:val="20"/>
              </w:rPr>
            </w:pPr>
            <w:r>
              <w:rPr>
                <w:szCs w:val="20"/>
              </w:rPr>
              <w:t>1800, 13 and 1300 numbers</w:t>
            </w:r>
          </w:p>
        </w:tc>
        <w:tc>
          <w:tcPr>
            <w:tcW w:w="2520" w:type="dxa"/>
          </w:tcPr>
          <w:p w14:paraId="65497AAB" w14:textId="77777777" w:rsidR="000D07EA" w:rsidRDefault="00BE7C89">
            <w:pPr>
              <w:pStyle w:val="BodyText"/>
              <w:spacing w:before="100" w:after="100"/>
              <w:rPr>
                <w:szCs w:val="20"/>
              </w:rPr>
            </w:pPr>
            <w:r>
              <w:rPr>
                <w:szCs w:val="20"/>
              </w:rPr>
              <w:t>No</w:t>
            </w:r>
          </w:p>
        </w:tc>
      </w:tr>
      <w:tr w:rsidR="000D07EA" w14:paraId="0AC5DEC4" w14:textId="77777777">
        <w:trPr>
          <w:trHeight w:val="20"/>
        </w:trPr>
        <w:tc>
          <w:tcPr>
            <w:tcW w:w="6235" w:type="dxa"/>
          </w:tcPr>
          <w:p w14:paraId="7F9B8C35" w14:textId="77777777" w:rsidR="000D07EA" w:rsidRDefault="00BE7C89">
            <w:pPr>
              <w:pStyle w:val="BodyText"/>
              <w:spacing w:before="100" w:after="100"/>
              <w:rPr>
                <w:szCs w:val="20"/>
              </w:rPr>
            </w:pPr>
            <w:r>
              <w:rPr>
                <w:szCs w:val="20"/>
              </w:rPr>
              <w:t>124YES(937)</w:t>
            </w:r>
          </w:p>
        </w:tc>
        <w:tc>
          <w:tcPr>
            <w:tcW w:w="2520" w:type="dxa"/>
          </w:tcPr>
          <w:p w14:paraId="0D5ED960" w14:textId="77777777" w:rsidR="000D07EA" w:rsidRDefault="00BE7C89">
            <w:pPr>
              <w:pStyle w:val="BodyText"/>
              <w:spacing w:before="100" w:after="100"/>
              <w:rPr>
                <w:szCs w:val="20"/>
              </w:rPr>
            </w:pPr>
            <w:r>
              <w:rPr>
                <w:szCs w:val="20"/>
              </w:rPr>
              <w:t>No</w:t>
            </w:r>
          </w:p>
        </w:tc>
      </w:tr>
      <w:tr w:rsidR="000D07EA" w14:paraId="3502824B" w14:textId="77777777">
        <w:trPr>
          <w:trHeight w:val="20"/>
        </w:trPr>
        <w:tc>
          <w:tcPr>
            <w:tcW w:w="6235" w:type="dxa"/>
          </w:tcPr>
          <w:p w14:paraId="63FFC318" w14:textId="77777777" w:rsidR="000D07EA" w:rsidRDefault="00BE7C89">
            <w:pPr>
              <w:pStyle w:val="BodyText"/>
              <w:spacing w:before="100" w:after="100"/>
              <w:rPr>
                <w:szCs w:val="20"/>
              </w:rPr>
            </w:pPr>
            <w:r>
              <w:rPr>
                <w:szCs w:val="20"/>
              </w:rPr>
              <w:t>Calls to Satellite</w:t>
            </w:r>
          </w:p>
        </w:tc>
        <w:tc>
          <w:tcPr>
            <w:tcW w:w="2520" w:type="dxa"/>
          </w:tcPr>
          <w:p w14:paraId="65EC4AE8" w14:textId="77777777" w:rsidR="000D07EA" w:rsidRDefault="00BE7C89">
            <w:pPr>
              <w:pStyle w:val="BodyText"/>
              <w:spacing w:before="100" w:after="100"/>
              <w:rPr>
                <w:szCs w:val="20"/>
              </w:rPr>
            </w:pPr>
            <w:r>
              <w:rPr>
                <w:szCs w:val="20"/>
              </w:rPr>
              <w:t>No</w:t>
            </w:r>
          </w:p>
        </w:tc>
      </w:tr>
      <w:tr w:rsidR="000D07EA" w14:paraId="40840A16" w14:textId="77777777">
        <w:trPr>
          <w:trHeight w:val="20"/>
        </w:trPr>
        <w:tc>
          <w:tcPr>
            <w:tcW w:w="6235" w:type="dxa"/>
          </w:tcPr>
          <w:p w14:paraId="3C4D532F" w14:textId="77777777" w:rsidR="000D07EA" w:rsidRDefault="00BE7C89">
            <w:pPr>
              <w:pStyle w:val="BodyText"/>
              <w:spacing w:before="100" w:after="100"/>
              <w:rPr>
                <w:szCs w:val="20"/>
              </w:rPr>
            </w:pPr>
            <w:r>
              <w:rPr>
                <w:szCs w:val="20"/>
              </w:rPr>
              <w:t>VOIP services</w:t>
            </w:r>
          </w:p>
        </w:tc>
        <w:tc>
          <w:tcPr>
            <w:tcW w:w="2520" w:type="dxa"/>
          </w:tcPr>
          <w:p w14:paraId="7D7D070A" w14:textId="77777777" w:rsidR="000D07EA" w:rsidRDefault="00BE7C89">
            <w:pPr>
              <w:pStyle w:val="BodyText"/>
              <w:spacing w:before="100" w:after="100"/>
              <w:rPr>
                <w:szCs w:val="20"/>
              </w:rPr>
            </w:pPr>
            <w:r>
              <w:rPr>
                <w:szCs w:val="20"/>
              </w:rPr>
              <w:t>No</w:t>
            </w:r>
          </w:p>
        </w:tc>
      </w:tr>
      <w:tr w:rsidR="000D07EA" w14:paraId="04E5E9A6" w14:textId="77777777">
        <w:trPr>
          <w:trHeight w:val="20"/>
        </w:trPr>
        <w:tc>
          <w:tcPr>
            <w:tcW w:w="6235" w:type="dxa"/>
          </w:tcPr>
          <w:p w14:paraId="2483C6C9" w14:textId="77777777" w:rsidR="000D07EA" w:rsidRDefault="00BE7C89">
            <w:pPr>
              <w:pStyle w:val="BodyText"/>
              <w:spacing w:before="100" w:after="100"/>
              <w:rPr>
                <w:szCs w:val="20"/>
              </w:rPr>
            </w:pPr>
            <w:r>
              <w:rPr>
                <w:szCs w:val="20"/>
              </w:rPr>
              <w:t>Surepage</w:t>
            </w:r>
          </w:p>
        </w:tc>
        <w:tc>
          <w:tcPr>
            <w:tcW w:w="2520" w:type="dxa"/>
          </w:tcPr>
          <w:p w14:paraId="6E6DC9DC" w14:textId="77777777" w:rsidR="000D07EA" w:rsidRDefault="00BE7C89">
            <w:pPr>
              <w:pStyle w:val="BodyText"/>
              <w:spacing w:before="100" w:after="100"/>
              <w:rPr>
                <w:szCs w:val="20"/>
              </w:rPr>
            </w:pPr>
            <w:r>
              <w:rPr>
                <w:szCs w:val="20"/>
              </w:rPr>
              <w:t>No</w:t>
            </w:r>
          </w:p>
        </w:tc>
      </w:tr>
    </w:tbl>
    <w:p w14:paraId="03412800" w14:textId="77777777" w:rsidR="000D07EA" w:rsidRDefault="000D07EA">
      <w:pPr>
        <w:pStyle w:val="BodyText"/>
      </w:pPr>
    </w:p>
    <w:p w14:paraId="75A83F4B" w14:textId="77777777" w:rsidR="000D07EA" w:rsidRDefault="00BE7C89">
      <w:pPr>
        <w:pStyle w:val="BodyText"/>
        <w:ind w:left="720"/>
        <w:rPr>
          <w:b/>
        </w:rPr>
      </w:pPr>
      <w:r>
        <w:rPr>
          <w:b/>
        </w:rPr>
        <w:t>Table 1C – Eligible for Unlimited BlackBerry POP3 Email &amp; Browsing</w:t>
      </w:r>
    </w:p>
    <w:tbl>
      <w:tblPr>
        <w:tblW w:w="800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575"/>
        <w:gridCol w:w="2430"/>
      </w:tblGrid>
      <w:tr w:rsidR="000D07EA" w14:paraId="7A22279E" w14:textId="77777777">
        <w:trPr>
          <w:trHeight w:val="20"/>
          <w:tblHeader/>
        </w:trPr>
        <w:tc>
          <w:tcPr>
            <w:tcW w:w="5575" w:type="dxa"/>
          </w:tcPr>
          <w:p w14:paraId="52912266" w14:textId="77777777" w:rsidR="000D07EA" w:rsidRDefault="00BE7C89">
            <w:pPr>
              <w:pStyle w:val="BodyText"/>
              <w:spacing w:before="100" w:after="100"/>
              <w:rPr>
                <w:b/>
              </w:rPr>
            </w:pPr>
            <w:r>
              <w:rPr>
                <w:b/>
              </w:rPr>
              <w:t>Call Type</w:t>
            </w:r>
          </w:p>
        </w:tc>
        <w:tc>
          <w:tcPr>
            <w:tcW w:w="2430" w:type="dxa"/>
          </w:tcPr>
          <w:p w14:paraId="24E18117" w14:textId="77777777" w:rsidR="000D07EA" w:rsidRDefault="00BE7C89">
            <w:pPr>
              <w:pStyle w:val="BodyText"/>
              <w:spacing w:before="100" w:after="100"/>
              <w:rPr>
                <w:b/>
              </w:rPr>
            </w:pPr>
            <w:r>
              <w:rPr>
                <w:b/>
              </w:rPr>
              <w:t>Eligible Data</w:t>
            </w:r>
          </w:p>
        </w:tc>
      </w:tr>
      <w:tr w:rsidR="000D07EA" w14:paraId="6FFD6530" w14:textId="77777777">
        <w:trPr>
          <w:trHeight w:val="20"/>
        </w:trPr>
        <w:tc>
          <w:tcPr>
            <w:tcW w:w="5575" w:type="dxa"/>
          </w:tcPr>
          <w:p w14:paraId="0B56D78E" w14:textId="77777777" w:rsidR="000D07EA" w:rsidRDefault="00BE7C89">
            <w:pPr>
              <w:pStyle w:val="BodyText"/>
              <w:spacing w:before="100" w:after="100"/>
            </w:pPr>
            <w:r>
              <w:t>BlackBerry Email (POP3)</w:t>
            </w:r>
          </w:p>
        </w:tc>
        <w:tc>
          <w:tcPr>
            <w:tcW w:w="2430" w:type="dxa"/>
          </w:tcPr>
          <w:p w14:paraId="1D981F81" w14:textId="77777777" w:rsidR="000D07EA" w:rsidRDefault="00BE7C89">
            <w:pPr>
              <w:pStyle w:val="BodyText"/>
              <w:spacing w:before="100" w:after="100"/>
              <w:jc w:val="center"/>
            </w:pPr>
            <w:r>
              <w:t>Yes</w:t>
            </w:r>
          </w:p>
        </w:tc>
      </w:tr>
      <w:tr w:rsidR="000D07EA" w14:paraId="078BA221" w14:textId="77777777">
        <w:trPr>
          <w:trHeight w:val="20"/>
        </w:trPr>
        <w:tc>
          <w:tcPr>
            <w:tcW w:w="5575" w:type="dxa"/>
          </w:tcPr>
          <w:p w14:paraId="671FCDA8" w14:textId="77777777" w:rsidR="000D07EA" w:rsidRDefault="00BE7C89">
            <w:pPr>
              <w:pStyle w:val="BodyText"/>
              <w:spacing w:before="100" w:after="100"/>
            </w:pPr>
            <w:r>
              <w:t xml:space="preserve">Internet Browsing through the BlackBerry Browser </w:t>
            </w:r>
          </w:p>
        </w:tc>
        <w:tc>
          <w:tcPr>
            <w:tcW w:w="2430" w:type="dxa"/>
          </w:tcPr>
          <w:p w14:paraId="4A21A389" w14:textId="77777777" w:rsidR="000D07EA" w:rsidRDefault="00BE7C89">
            <w:pPr>
              <w:pStyle w:val="BodyText"/>
              <w:spacing w:before="100" w:after="100"/>
              <w:jc w:val="center"/>
            </w:pPr>
            <w:r>
              <w:t>Yes</w:t>
            </w:r>
          </w:p>
        </w:tc>
      </w:tr>
      <w:tr w:rsidR="000D07EA" w14:paraId="4690E066" w14:textId="77777777">
        <w:trPr>
          <w:trHeight w:val="20"/>
        </w:trPr>
        <w:tc>
          <w:tcPr>
            <w:tcW w:w="5575" w:type="dxa"/>
          </w:tcPr>
          <w:p w14:paraId="12D779EC" w14:textId="77777777" w:rsidR="000D07EA" w:rsidRDefault="00BE7C89">
            <w:pPr>
              <w:pStyle w:val="BodyText"/>
              <w:spacing w:before="100" w:after="100"/>
            </w:pPr>
            <w:r>
              <w:t xml:space="preserve">Optus Zoo downloads and subscriptions </w:t>
            </w:r>
          </w:p>
        </w:tc>
        <w:tc>
          <w:tcPr>
            <w:tcW w:w="2430" w:type="dxa"/>
          </w:tcPr>
          <w:p w14:paraId="6F6D1378" w14:textId="77777777" w:rsidR="000D07EA" w:rsidRDefault="00BE7C89">
            <w:pPr>
              <w:pStyle w:val="BodyText"/>
              <w:spacing w:before="100" w:after="100"/>
              <w:jc w:val="center"/>
            </w:pPr>
            <w:r>
              <w:t>No</w:t>
            </w:r>
          </w:p>
        </w:tc>
      </w:tr>
      <w:tr w:rsidR="000D07EA" w14:paraId="6B116CFC" w14:textId="77777777">
        <w:trPr>
          <w:trHeight w:val="20"/>
        </w:trPr>
        <w:tc>
          <w:tcPr>
            <w:tcW w:w="5575" w:type="dxa"/>
          </w:tcPr>
          <w:p w14:paraId="3EFD81FF" w14:textId="77777777" w:rsidR="000D07EA" w:rsidRDefault="00BE7C89">
            <w:pPr>
              <w:pStyle w:val="BodyText"/>
              <w:spacing w:before="100" w:after="100"/>
            </w:pPr>
            <w:r>
              <w:t xml:space="preserve">Optus Zoo GPRS WAP browsing </w:t>
            </w:r>
          </w:p>
        </w:tc>
        <w:tc>
          <w:tcPr>
            <w:tcW w:w="2430" w:type="dxa"/>
          </w:tcPr>
          <w:p w14:paraId="1E70DE6B" w14:textId="77777777" w:rsidR="000D07EA" w:rsidRDefault="00BE7C89">
            <w:pPr>
              <w:pStyle w:val="BodyText"/>
              <w:spacing w:before="100" w:after="100"/>
              <w:jc w:val="center"/>
            </w:pPr>
            <w:r>
              <w:t>No</w:t>
            </w:r>
          </w:p>
        </w:tc>
      </w:tr>
      <w:tr w:rsidR="000D07EA" w14:paraId="12092C22" w14:textId="77777777">
        <w:trPr>
          <w:trHeight w:val="20"/>
        </w:trPr>
        <w:tc>
          <w:tcPr>
            <w:tcW w:w="5575" w:type="dxa"/>
          </w:tcPr>
          <w:p w14:paraId="168EEFA4" w14:textId="77777777" w:rsidR="000D07EA" w:rsidRDefault="00BE7C89">
            <w:pPr>
              <w:pStyle w:val="BodyText"/>
              <w:spacing w:before="100" w:after="100"/>
            </w:pPr>
            <w:r>
              <w:t>Applications from Optus and third party applications that require a BlackBerry Data connection</w:t>
            </w:r>
          </w:p>
        </w:tc>
        <w:tc>
          <w:tcPr>
            <w:tcW w:w="2430" w:type="dxa"/>
          </w:tcPr>
          <w:p w14:paraId="048C363B" w14:textId="77777777" w:rsidR="000D07EA" w:rsidRDefault="00BE7C89">
            <w:pPr>
              <w:pStyle w:val="BodyText"/>
              <w:spacing w:before="100" w:after="100"/>
              <w:jc w:val="center"/>
            </w:pPr>
            <w:r>
              <w:t>Yes</w:t>
            </w:r>
          </w:p>
        </w:tc>
      </w:tr>
      <w:tr w:rsidR="000D07EA" w14:paraId="0A2D88E0" w14:textId="77777777">
        <w:trPr>
          <w:trHeight w:val="20"/>
        </w:trPr>
        <w:tc>
          <w:tcPr>
            <w:tcW w:w="5575" w:type="dxa"/>
          </w:tcPr>
          <w:p w14:paraId="04EEDEC2" w14:textId="77777777" w:rsidR="000D07EA" w:rsidRDefault="00BE7C89">
            <w:pPr>
              <w:pStyle w:val="BodyText"/>
              <w:spacing w:before="100" w:after="100"/>
            </w:pPr>
            <w:r>
              <w:t>All other call types or usage</w:t>
            </w:r>
          </w:p>
        </w:tc>
        <w:tc>
          <w:tcPr>
            <w:tcW w:w="2430" w:type="dxa"/>
          </w:tcPr>
          <w:p w14:paraId="5AE47A1D" w14:textId="77777777" w:rsidR="000D07EA" w:rsidRDefault="00BE7C89">
            <w:pPr>
              <w:pStyle w:val="BodyText"/>
              <w:spacing w:before="100" w:after="100"/>
              <w:jc w:val="center"/>
            </w:pPr>
            <w:r>
              <w:t>No</w:t>
            </w:r>
          </w:p>
        </w:tc>
      </w:tr>
    </w:tbl>
    <w:p w14:paraId="0FE8A0CA" w14:textId="77777777" w:rsidR="000D07EA" w:rsidRDefault="000D07EA">
      <w:pPr>
        <w:pStyle w:val="BodyText"/>
      </w:pPr>
    </w:p>
    <w:p w14:paraId="6A6D2DB0" w14:textId="77777777" w:rsidR="000D07EA" w:rsidRDefault="00BE7C89">
      <w:pPr>
        <w:pStyle w:val="BodyText"/>
        <w:ind w:left="720"/>
        <w:rPr>
          <w:b/>
        </w:rPr>
      </w:pPr>
      <w:r>
        <w:rPr>
          <w:b/>
        </w:rPr>
        <w:t>Table 2A – Charges and Plan Inclusions for the Business Complete Plans</w:t>
      </w:r>
    </w:p>
    <w:tbl>
      <w:tblPr>
        <w:tblW w:w="96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635"/>
        <w:gridCol w:w="1402"/>
        <w:gridCol w:w="1403"/>
        <w:gridCol w:w="1402"/>
        <w:gridCol w:w="1403"/>
        <w:gridCol w:w="1403"/>
      </w:tblGrid>
      <w:tr w:rsidR="000D07EA" w14:paraId="7335BB71" w14:textId="77777777">
        <w:trPr>
          <w:tblHeader/>
        </w:trPr>
        <w:tc>
          <w:tcPr>
            <w:tcW w:w="2635" w:type="dxa"/>
            <w:shd w:val="clear" w:color="auto" w:fill="auto"/>
          </w:tcPr>
          <w:p w14:paraId="797E9DA3" w14:textId="77777777" w:rsidR="000D07EA" w:rsidRDefault="000D07EA">
            <w:pPr>
              <w:pStyle w:val="BodyText"/>
              <w:spacing w:before="100" w:after="100"/>
            </w:pPr>
          </w:p>
        </w:tc>
        <w:tc>
          <w:tcPr>
            <w:tcW w:w="1402" w:type="dxa"/>
            <w:shd w:val="clear" w:color="auto" w:fill="auto"/>
            <w:vAlign w:val="center"/>
          </w:tcPr>
          <w:p w14:paraId="09727B37" w14:textId="77777777" w:rsidR="000D07EA" w:rsidRDefault="00BE7C89">
            <w:pPr>
              <w:pStyle w:val="BodyText"/>
              <w:spacing w:before="100" w:after="100"/>
              <w:rPr>
                <w:b/>
              </w:rPr>
            </w:pPr>
            <w:r>
              <w:rPr>
                <w:b/>
              </w:rPr>
              <w:t>$30 Business Complete Plan MRO (4G Sept 2012)</w:t>
            </w:r>
          </w:p>
        </w:tc>
        <w:tc>
          <w:tcPr>
            <w:tcW w:w="1403" w:type="dxa"/>
            <w:shd w:val="clear" w:color="auto" w:fill="auto"/>
          </w:tcPr>
          <w:p w14:paraId="07EDB058" w14:textId="77777777" w:rsidR="000D07EA" w:rsidRDefault="00BE7C89">
            <w:pPr>
              <w:pStyle w:val="BodyText"/>
              <w:spacing w:before="100" w:after="100"/>
              <w:rPr>
                <w:b/>
              </w:rPr>
            </w:pPr>
            <w:r>
              <w:rPr>
                <w:b/>
              </w:rPr>
              <w:t>$35 Business Complete Plan MRO (4G Sept 2012)</w:t>
            </w:r>
          </w:p>
        </w:tc>
        <w:tc>
          <w:tcPr>
            <w:tcW w:w="1402" w:type="dxa"/>
            <w:shd w:val="clear" w:color="auto" w:fill="auto"/>
          </w:tcPr>
          <w:p w14:paraId="4492DEC2" w14:textId="77777777" w:rsidR="000D07EA" w:rsidRDefault="00BE7C89">
            <w:pPr>
              <w:pStyle w:val="BodyText"/>
              <w:spacing w:before="100" w:after="100"/>
              <w:rPr>
                <w:b/>
              </w:rPr>
            </w:pPr>
            <w:r>
              <w:rPr>
                <w:b/>
              </w:rPr>
              <w:t>$50 Business Complete Plan MRO (4G Sept 2012)</w:t>
            </w:r>
          </w:p>
        </w:tc>
        <w:tc>
          <w:tcPr>
            <w:tcW w:w="1403" w:type="dxa"/>
            <w:shd w:val="clear" w:color="auto" w:fill="auto"/>
            <w:vAlign w:val="center"/>
          </w:tcPr>
          <w:p w14:paraId="51789A8F" w14:textId="77777777" w:rsidR="000D07EA" w:rsidRDefault="00BE7C89">
            <w:pPr>
              <w:pStyle w:val="BodyText"/>
              <w:spacing w:before="100" w:after="100"/>
              <w:rPr>
                <w:b/>
              </w:rPr>
            </w:pPr>
            <w:r>
              <w:rPr>
                <w:b/>
              </w:rPr>
              <w:t>$60 Business Complete Plan MRO (4G Sept 2012)</w:t>
            </w:r>
          </w:p>
        </w:tc>
        <w:tc>
          <w:tcPr>
            <w:tcW w:w="1403" w:type="dxa"/>
            <w:shd w:val="clear" w:color="auto" w:fill="auto"/>
            <w:vAlign w:val="center"/>
          </w:tcPr>
          <w:p w14:paraId="1ACE30E0" w14:textId="77777777" w:rsidR="000D07EA" w:rsidRDefault="00BE7C89">
            <w:pPr>
              <w:pStyle w:val="BodyText"/>
              <w:spacing w:before="100" w:after="100"/>
              <w:rPr>
                <w:b/>
              </w:rPr>
            </w:pPr>
            <w:r>
              <w:rPr>
                <w:b/>
              </w:rPr>
              <w:t>$80 Business Complete Plan MRO (4G Sept 2012)</w:t>
            </w:r>
          </w:p>
        </w:tc>
      </w:tr>
      <w:tr w:rsidR="000D07EA" w14:paraId="7884EB7B" w14:textId="77777777">
        <w:tc>
          <w:tcPr>
            <w:tcW w:w="2635" w:type="dxa"/>
            <w:shd w:val="clear" w:color="auto" w:fill="auto"/>
          </w:tcPr>
          <w:p w14:paraId="6F64D57C" w14:textId="77777777" w:rsidR="000D07EA" w:rsidRDefault="00BE7C89">
            <w:pPr>
              <w:pStyle w:val="BodyText"/>
              <w:spacing w:before="100" w:after="100"/>
            </w:pPr>
            <w:r>
              <w:rPr>
                <w:b/>
                <w:bCs/>
              </w:rPr>
              <w:t>Minimum Monthly charge</w:t>
            </w:r>
          </w:p>
        </w:tc>
        <w:tc>
          <w:tcPr>
            <w:tcW w:w="1402" w:type="dxa"/>
            <w:shd w:val="clear" w:color="auto" w:fill="auto"/>
            <w:vAlign w:val="center"/>
          </w:tcPr>
          <w:p w14:paraId="0A5EE492" w14:textId="77777777" w:rsidR="000D07EA" w:rsidRDefault="00BE7C89">
            <w:pPr>
              <w:pStyle w:val="BodyText"/>
              <w:spacing w:before="100" w:after="100"/>
              <w:jc w:val="center"/>
            </w:pPr>
            <w:r>
              <w:t>$30</w:t>
            </w:r>
          </w:p>
        </w:tc>
        <w:tc>
          <w:tcPr>
            <w:tcW w:w="1403" w:type="dxa"/>
            <w:shd w:val="clear" w:color="auto" w:fill="auto"/>
            <w:vAlign w:val="center"/>
          </w:tcPr>
          <w:p w14:paraId="75736584" w14:textId="77777777" w:rsidR="000D07EA" w:rsidRDefault="00BE7C89">
            <w:pPr>
              <w:pStyle w:val="BodyText"/>
              <w:spacing w:before="100" w:after="100"/>
              <w:jc w:val="center"/>
            </w:pPr>
            <w:r>
              <w:t>$35</w:t>
            </w:r>
          </w:p>
        </w:tc>
        <w:tc>
          <w:tcPr>
            <w:tcW w:w="1402" w:type="dxa"/>
            <w:shd w:val="clear" w:color="auto" w:fill="auto"/>
            <w:vAlign w:val="center"/>
          </w:tcPr>
          <w:p w14:paraId="670A66CC" w14:textId="77777777" w:rsidR="000D07EA" w:rsidRDefault="00BE7C89">
            <w:pPr>
              <w:pStyle w:val="BodyText"/>
              <w:spacing w:before="100" w:after="100"/>
              <w:jc w:val="center"/>
            </w:pPr>
            <w:r>
              <w:t>$50</w:t>
            </w:r>
          </w:p>
        </w:tc>
        <w:tc>
          <w:tcPr>
            <w:tcW w:w="1403" w:type="dxa"/>
            <w:shd w:val="clear" w:color="auto" w:fill="auto"/>
            <w:vAlign w:val="center"/>
          </w:tcPr>
          <w:p w14:paraId="1516850A" w14:textId="77777777" w:rsidR="000D07EA" w:rsidRDefault="00BE7C89">
            <w:pPr>
              <w:pStyle w:val="BodyText"/>
              <w:spacing w:before="100" w:after="100"/>
              <w:jc w:val="center"/>
            </w:pPr>
            <w:r>
              <w:t>$60</w:t>
            </w:r>
          </w:p>
        </w:tc>
        <w:tc>
          <w:tcPr>
            <w:tcW w:w="1403" w:type="dxa"/>
            <w:shd w:val="clear" w:color="auto" w:fill="auto"/>
            <w:vAlign w:val="center"/>
          </w:tcPr>
          <w:p w14:paraId="1BFA9DD0" w14:textId="77777777" w:rsidR="000D07EA" w:rsidRDefault="00BE7C89">
            <w:pPr>
              <w:pStyle w:val="BodyText"/>
              <w:spacing w:before="100" w:after="100"/>
              <w:jc w:val="center"/>
            </w:pPr>
            <w:r>
              <w:t>$80</w:t>
            </w:r>
          </w:p>
        </w:tc>
      </w:tr>
      <w:tr w:rsidR="000D07EA" w14:paraId="5C435EB0" w14:textId="77777777">
        <w:tc>
          <w:tcPr>
            <w:tcW w:w="2635" w:type="dxa"/>
            <w:shd w:val="clear" w:color="auto" w:fill="auto"/>
          </w:tcPr>
          <w:p w14:paraId="1E4AD35C" w14:textId="77777777" w:rsidR="000D07EA" w:rsidRDefault="00BE7C89">
            <w:pPr>
              <w:pStyle w:val="BodyText"/>
              <w:spacing w:before="100" w:after="100"/>
            </w:pPr>
            <w:r>
              <w:rPr>
                <w:b/>
                <w:bCs/>
              </w:rPr>
              <w:t>Monthly Included Mobile Internet Data</w:t>
            </w:r>
          </w:p>
        </w:tc>
        <w:tc>
          <w:tcPr>
            <w:tcW w:w="1402" w:type="dxa"/>
            <w:shd w:val="clear" w:color="auto" w:fill="auto"/>
            <w:vAlign w:val="center"/>
          </w:tcPr>
          <w:p w14:paraId="379B25B2" w14:textId="77777777" w:rsidR="000D07EA" w:rsidRDefault="00BE7C89">
            <w:pPr>
              <w:pStyle w:val="BodyText"/>
              <w:spacing w:before="100" w:after="100"/>
              <w:jc w:val="center"/>
            </w:pPr>
            <w:r>
              <w:t>200MB</w:t>
            </w:r>
          </w:p>
        </w:tc>
        <w:tc>
          <w:tcPr>
            <w:tcW w:w="1403" w:type="dxa"/>
            <w:shd w:val="clear" w:color="auto" w:fill="auto"/>
            <w:vAlign w:val="center"/>
          </w:tcPr>
          <w:p w14:paraId="5601FD1F" w14:textId="77777777" w:rsidR="000D07EA" w:rsidRDefault="00BE7C89">
            <w:pPr>
              <w:pStyle w:val="BodyText"/>
              <w:spacing w:before="100" w:after="100"/>
              <w:jc w:val="center"/>
            </w:pPr>
            <w:r>
              <w:t>200MB</w:t>
            </w:r>
          </w:p>
        </w:tc>
        <w:tc>
          <w:tcPr>
            <w:tcW w:w="1402" w:type="dxa"/>
            <w:shd w:val="clear" w:color="auto" w:fill="auto"/>
            <w:vAlign w:val="center"/>
          </w:tcPr>
          <w:p w14:paraId="255877D6" w14:textId="77777777" w:rsidR="000D07EA" w:rsidRDefault="00BE7C89">
            <w:pPr>
              <w:pStyle w:val="BodyText"/>
              <w:spacing w:before="100" w:after="100"/>
              <w:jc w:val="center"/>
            </w:pPr>
            <w:r>
              <w:t>1GB</w:t>
            </w:r>
          </w:p>
        </w:tc>
        <w:tc>
          <w:tcPr>
            <w:tcW w:w="1403" w:type="dxa"/>
            <w:shd w:val="clear" w:color="auto" w:fill="auto"/>
            <w:vAlign w:val="center"/>
          </w:tcPr>
          <w:p w14:paraId="4DFA23F5" w14:textId="77777777" w:rsidR="000D07EA" w:rsidRDefault="00BE7C89">
            <w:pPr>
              <w:pStyle w:val="BodyText"/>
              <w:spacing w:before="100" w:after="100"/>
              <w:jc w:val="center"/>
            </w:pPr>
            <w:r>
              <w:t>1.5GB</w:t>
            </w:r>
          </w:p>
        </w:tc>
        <w:tc>
          <w:tcPr>
            <w:tcW w:w="1403" w:type="dxa"/>
            <w:shd w:val="clear" w:color="auto" w:fill="auto"/>
            <w:vAlign w:val="center"/>
          </w:tcPr>
          <w:p w14:paraId="10425855" w14:textId="77777777" w:rsidR="000D07EA" w:rsidRDefault="00BE7C89">
            <w:pPr>
              <w:pStyle w:val="BodyText"/>
              <w:spacing w:before="100" w:after="100"/>
              <w:jc w:val="center"/>
            </w:pPr>
            <w:r>
              <w:t>2GB</w:t>
            </w:r>
          </w:p>
        </w:tc>
      </w:tr>
      <w:tr w:rsidR="000D07EA" w14:paraId="26488EAA" w14:textId="77777777">
        <w:tc>
          <w:tcPr>
            <w:tcW w:w="2635" w:type="dxa"/>
            <w:shd w:val="clear" w:color="auto" w:fill="auto"/>
          </w:tcPr>
          <w:p w14:paraId="1F946D6A" w14:textId="77777777" w:rsidR="000D07EA" w:rsidRDefault="00BE7C89">
            <w:pPr>
              <w:pStyle w:val="BodyText"/>
              <w:spacing w:before="100" w:after="100"/>
            </w:pPr>
            <w:r>
              <w:rPr>
                <w:b/>
                <w:bCs/>
              </w:rPr>
              <w:t>Unlimited Mobile Access to Facebook®, Twitter, LinkedIn, eBay, Four Square, MySpace</w:t>
            </w:r>
          </w:p>
        </w:tc>
        <w:tc>
          <w:tcPr>
            <w:tcW w:w="1402" w:type="dxa"/>
            <w:shd w:val="clear" w:color="auto" w:fill="auto"/>
            <w:vAlign w:val="center"/>
          </w:tcPr>
          <w:p w14:paraId="1C364F6E" w14:textId="77777777" w:rsidR="000D07EA" w:rsidRDefault="00BE7C89">
            <w:pPr>
              <w:pStyle w:val="BodyText"/>
              <w:spacing w:before="100" w:after="100"/>
              <w:jc w:val="center"/>
            </w:pPr>
            <w:r>
              <w:t>Yes</w:t>
            </w:r>
          </w:p>
        </w:tc>
        <w:tc>
          <w:tcPr>
            <w:tcW w:w="1403" w:type="dxa"/>
            <w:shd w:val="clear" w:color="auto" w:fill="auto"/>
            <w:vAlign w:val="center"/>
          </w:tcPr>
          <w:p w14:paraId="6A91F338" w14:textId="77777777" w:rsidR="000D07EA" w:rsidRDefault="00BE7C89">
            <w:pPr>
              <w:pStyle w:val="BodyText"/>
              <w:spacing w:before="100" w:after="100"/>
              <w:jc w:val="center"/>
            </w:pPr>
            <w:r>
              <w:t>Yes</w:t>
            </w:r>
          </w:p>
        </w:tc>
        <w:tc>
          <w:tcPr>
            <w:tcW w:w="1402" w:type="dxa"/>
            <w:shd w:val="clear" w:color="auto" w:fill="auto"/>
            <w:vAlign w:val="center"/>
          </w:tcPr>
          <w:p w14:paraId="7C2C9763" w14:textId="77777777" w:rsidR="000D07EA" w:rsidRDefault="00BE7C89">
            <w:pPr>
              <w:pStyle w:val="BodyText"/>
              <w:spacing w:before="100" w:after="100"/>
              <w:jc w:val="center"/>
            </w:pPr>
            <w:r>
              <w:t>Yes</w:t>
            </w:r>
          </w:p>
        </w:tc>
        <w:tc>
          <w:tcPr>
            <w:tcW w:w="1403" w:type="dxa"/>
            <w:shd w:val="clear" w:color="auto" w:fill="auto"/>
            <w:vAlign w:val="center"/>
          </w:tcPr>
          <w:p w14:paraId="55B8AE52" w14:textId="77777777" w:rsidR="000D07EA" w:rsidRDefault="00BE7C89">
            <w:pPr>
              <w:pStyle w:val="BodyText"/>
              <w:spacing w:before="100" w:after="100"/>
              <w:jc w:val="center"/>
            </w:pPr>
            <w:r>
              <w:t>Yes</w:t>
            </w:r>
          </w:p>
        </w:tc>
        <w:tc>
          <w:tcPr>
            <w:tcW w:w="1403" w:type="dxa"/>
            <w:shd w:val="clear" w:color="auto" w:fill="auto"/>
            <w:vAlign w:val="center"/>
          </w:tcPr>
          <w:p w14:paraId="29045549" w14:textId="77777777" w:rsidR="000D07EA" w:rsidRDefault="00BE7C89">
            <w:pPr>
              <w:pStyle w:val="BodyText"/>
              <w:spacing w:before="100" w:after="100"/>
              <w:jc w:val="center"/>
            </w:pPr>
            <w:r>
              <w:t>Yes</w:t>
            </w:r>
          </w:p>
        </w:tc>
      </w:tr>
      <w:tr w:rsidR="000D07EA" w14:paraId="0856CA47" w14:textId="77777777">
        <w:tc>
          <w:tcPr>
            <w:tcW w:w="2635" w:type="dxa"/>
            <w:shd w:val="clear" w:color="auto" w:fill="auto"/>
          </w:tcPr>
          <w:p w14:paraId="4895CBA0" w14:textId="77777777" w:rsidR="000D07EA" w:rsidRDefault="00BE7C89">
            <w:pPr>
              <w:pStyle w:val="BodyText"/>
              <w:spacing w:before="100" w:after="100"/>
            </w:pPr>
            <w:r>
              <w:rPr>
                <w:b/>
                <w:bCs/>
              </w:rPr>
              <w:t>'Included Value' per month</w:t>
            </w:r>
          </w:p>
        </w:tc>
        <w:tc>
          <w:tcPr>
            <w:tcW w:w="1402" w:type="dxa"/>
            <w:shd w:val="clear" w:color="auto" w:fill="auto"/>
            <w:vAlign w:val="center"/>
          </w:tcPr>
          <w:p w14:paraId="35B197FC" w14:textId="77777777" w:rsidR="000D07EA" w:rsidRDefault="00BE7C89">
            <w:pPr>
              <w:pStyle w:val="BodyText"/>
              <w:spacing w:before="100" w:after="100"/>
              <w:jc w:val="center"/>
            </w:pPr>
            <w:r>
              <w:t>$200</w:t>
            </w:r>
          </w:p>
        </w:tc>
        <w:tc>
          <w:tcPr>
            <w:tcW w:w="1403" w:type="dxa"/>
            <w:shd w:val="clear" w:color="auto" w:fill="auto"/>
            <w:vAlign w:val="center"/>
          </w:tcPr>
          <w:p w14:paraId="792076BC" w14:textId="77777777" w:rsidR="000D07EA" w:rsidRDefault="00BE7C89">
            <w:pPr>
              <w:pStyle w:val="BodyText"/>
              <w:spacing w:before="100" w:after="100"/>
              <w:jc w:val="center"/>
            </w:pPr>
            <w:r>
              <w:t>$200</w:t>
            </w:r>
          </w:p>
        </w:tc>
        <w:tc>
          <w:tcPr>
            <w:tcW w:w="1402" w:type="dxa"/>
            <w:shd w:val="clear" w:color="auto" w:fill="auto"/>
            <w:vAlign w:val="center"/>
          </w:tcPr>
          <w:p w14:paraId="6D78027B" w14:textId="77777777" w:rsidR="000D07EA" w:rsidRDefault="00BE7C89">
            <w:pPr>
              <w:pStyle w:val="BodyText"/>
              <w:spacing w:before="100" w:after="100"/>
              <w:jc w:val="center"/>
            </w:pPr>
            <w:r>
              <w:t>$500</w:t>
            </w:r>
          </w:p>
        </w:tc>
        <w:tc>
          <w:tcPr>
            <w:tcW w:w="1403" w:type="dxa"/>
            <w:shd w:val="clear" w:color="auto" w:fill="auto"/>
            <w:vAlign w:val="center"/>
          </w:tcPr>
          <w:p w14:paraId="30041003" w14:textId="77777777" w:rsidR="000D07EA" w:rsidRDefault="00BE7C89">
            <w:pPr>
              <w:pStyle w:val="BodyText"/>
              <w:spacing w:before="100" w:after="100"/>
              <w:jc w:val="center"/>
            </w:pPr>
            <w:r>
              <w:t>$650</w:t>
            </w:r>
          </w:p>
        </w:tc>
        <w:tc>
          <w:tcPr>
            <w:tcW w:w="1403" w:type="dxa"/>
            <w:shd w:val="clear" w:color="auto" w:fill="auto"/>
            <w:vAlign w:val="center"/>
          </w:tcPr>
          <w:p w14:paraId="26E70926" w14:textId="77777777" w:rsidR="000D07EA" w:rsidRDefault="00BE7C89">
            <w:pPr>
              <w:pStyle w:val="BodyText"/>
              <w:spacing w:before="100" w:after="100"/>
              <w:jc w:val="center"/>
            </w:pPr>
            <w:r>
              <w:t>$850</w:t>
            </w:r>
          </w:p>
        </w:tc>
      </w:tr>
      <w:tr w:rsidR="000D07EA" w14:paraId="034A9F44" w14:textId="77777777">
        <w:tc>
          <w:tcPr>
            <w:tcW w:w="2635" w:type="dxa"/>
            <w:shd w:val="clear" w:color="auto" w:fill="auto"/>
          </w:tcPr>
          <w:p w14:paraId="049AC69C" w14:textId="77777777" w:rsidR="000D07EA" w:rsidRDefault="00BE7C89">
            <w:pPr>
              <w:pStyle w:val="BodyText"/>
              <w:spacing w:before="100" w:after="100"/>
            </w:pPr>
            <w:r>
              <w:rPr>
                <w:b/>
                <w:bCs/>
              </w:rPr>
              <w:t>Unlimited Standard National SMS</w:t>
            </w:r>
          </w:p>
        </w:tc>
        <w:tc>
          <w:tcPr>
            <w:tcW w:w="1402" w:type="dxa"/>
            <w:shd w:val="clear" w:color="auto" w:fill="auto"/>
            <w:vAlign w:val="center"/>
          </w:tcPr>
          <w:p w14:paraId="40C206B8" w14:textId="77777777" w:rsidR="000D07EA" w:rsidRDefault="00BE7C89">
            <w:pPr>
              <w:pStyle w:val="BodyText"/>
              <w:spacing w:before="100" w:after="100"/>
              <w:jc w:val="center"/>
            </w:pPr>
            <w:r>
              <w:t>No</w:t>
            </w:r>
          </w:p>
        </w:tc>
        <w:tc>
          <w:tcPr>
            <w:tcW w:w="1403" w:type="dxa"/>
            <w:shd w:val="clear" w:color="auto" w:fill="auto"/>
            <w:vAlign w:val="center"/>
          </w:tcPr>
          <w:p w14:paraId="6E889596" w14:textId="77777777" w:rsidR="000D07EA" w:rsidRDefault="00BE7C89">
            <w:pPr>
              <w:pStyle w:val="BodyText"/>
              <w:spacing w:before="100" w:after="100"/>
              <w:jc w:val="center"/>
            </w:pPr>
            <w:r>
              <w:t>Yes</w:t>
            </w:r>
          </w:p>
        </w:tc>
        <w:tc>
          <w:tcPr>
            <w:tcW w:w="1402" w:type="dxa"/>
            <w:shd w:val="clear" w:color="auto" w:fill="auto"/>
            <w:vAlign w:val="center"/>
          </w:tcPr>
          <w:p w14:paraId="08DF860B" w14:textId="77777777" w:rsidR="000D07EA" w:rsidRDefault="00BE7C89">
            <w:pPr>
              <w:pStyle w:val="BodyText"/>
              <w:spacing w:before="100" w:after="100"/>
              <w:jc w:val="center"/>
            </w:pPr>
            <w:r>
              <w:t>Yes</w:t>
            </w:r>
          </w:p>
        </w:tc>
        <w:tc>
          <w:tcPr>
            <w:tcW w:w="1403" w:type="dxa"/>
            <w:shd w:val="clear" w:color="auto" w:fill="auto"/>
            <w:vAlign w:val="center"/>
          </w:tcPr>
          <w:p w14:paraId="022612DD" w14:textId="77777777" w:rsidR="000D07EA" w:rsidRDefault="00BE7C89">
            <w:pPr>
              <w:pStyle w:val="BodyText"/>
              <w:spacing w:before="100" w:after="100"/>
              <w:jc w:val="center"/>
            </w:pPr>
            <w:r>
              <w:t>Yes</w:t>
            </w:r>
          </w:p>
        </w:tc>
        <w:tc>
          <w:tcPr>
            <w:tcW w:w="1403" w:type="dxa"/>
            <w:shd w:val="clear" w:color="auto" w:fill="auto"/>
            <w:vAlign w:val="center"/>
          </w:tcPr>
          <w:p w14:paraId="09AE6AFA" w14:textId="77777777" w:rsidR="000D07EA" w:rsidRDefault="00BE7C89">
            <w:pPr>
              <w:pStyle w:val="BodyText"/>
              <w:spacing w:before="100" w:after="100"/>
              <w:jc w:val="center"/>
            </w:pPr>
            <w:r>
              <w:t>Yes</w:t>
            </w:r>
          </w:p>
        </w:tc>
      </w:tr>
      <w:tr w:rsidR="000D07EA" w14:paraId="15CA73A0" w14:textId="77777777">
        <w:tc>
          <w:tcPr>
            <w:tcW w:w="2635" w:type="dxa"/>
            <w:shd w:val="clear" w:color="auto" w:fill="auto"/>
          </w:tcPr>
          <w:p w14:paraId="60CC9EC7" w14:textId="77777777" w:rsidR="000D07EA" w:rsidRDefault="00BE7C89">
            <w:pPr>
              <w:pStyle w:val="BodyText"/>
              <w:spacing w:before="100" w:after="100"/>
              <w:rPr>
                <w:b/>
              </w:rPr>
            </w:pPr>
            <w:r>
              <w:rPr>
                <w:b/>
              </w:rPr>
              <w:t xml:space="preserve">Unlimited voice calls to Optus mobiles on the same Customer Account Number Offer to use within Australia </w:t>
            </w:r>
          </w:p>
        </w:tc>
        <w:tc>
          <w:tcPr>
            <w:tcW w:w="1402" w:type="dxa"/>
            <w:shd w:val="clear" w:color="auto" w:fill="auto"/>
            <w:vAlign w:val="center"/>
          </w:tcPr>
          <w:p w14:paraId="24F413E3" w14:textId="77777777" w:rsidR="000D07EA" w:rsidRDefault="00BE7C89">
            <w:pPr>
              <w:pStyle w:val="BodyText"/>
              <w:spacing w:before="100" w:after="100"/>
              <w:jc w:val="center"/>
            </w:pPr>
            <w:r>
              <w:t>Yes</w:t>
            </w:r>
          </w:p>
        </w:tc>
        <w:tc>
          <w:tcPr>
            <w:tcW w:w="1403" w:type="dxa"/>
            <w:shd w:val="clear" w:color="auto" w:fill="auto"/>
            <w:vAlign w:val="center"/>
          </w:tcPr>
          <w:p w14:paraId="42ABBC03" w14:textId="77777777" w:rsidR="000D07EA" w:rsidRDefault="00BE7C89">
            <w:pPr>
              <w:pStyle w:val="BodyText"/>
              <w:spacing w:before="100" w:after="100"/>
              <w:jc w:val="center"/>
            </w:pPr>
            <w:r>
              <w:t>Yes</w:t>
            </w:r>
          </w:p>
        </w:tc>
        <w:tc>
          <w:tcPr>
            <w:tcW w:w="1402" w:type="dxa"/>
            <w:shd w:val="clear" w:color="auto" w:fill="auto"/>
            <w:vAlign w:val="center"/>
          </w:tcPr>
          <w:p w14:paraId="5158A30B" w14:textId="77777777" w:rsidR="000D07EA" w:rsidRDefault="00BE7C89">
            <w:pPr>
              <w:pStyle w:val="BodyText"/>
              <w:spacing w:before="100" w:after="100"/>
              <w:jc w:val="center"/>
            </w:pPr>
            <w:r>
              <w:t>Yes</w:t>
            </w:r>
          </w:p>
        </w:tc>
        <w:tc>
          <w:tcPr>
            <w:tcW w:w="1403" w:type="dxa"/>
            <w:shd w:val="clear" w:color="auto" w:fill="auto"/>
            <w:vAlign w:val="center"/>
          </w:tcPr>
          <w:p w14:paraId="5073C2AC" w14:textId="77777777" w:rsidR="000D07EA" w:rsidRDefault="00BE7C89">
            <w:pPr>
              <w:pStyle w:val="BodyText"/>
              <w:spacing w:before="100" w:after="100"/>
              <w:jc w:val="center"/>
            </w:pPr>
            <w:r>
              <w:t>Yes</w:t>
            </w:r>
          </w:p>
        </w:tc>
        <w:tc>
          <w:tcPr>
            <w:tcW w:w="1403" w:type="dxa"/>
            <w:shd w:val="clear" w:color="auto" w:fill="auto"/>
            <w:vAlign w:val="center"/>
          </w:tcPr>
          <w:p w14:paraId="04002CFC" w14:textId="77777777" w:rsidR="000D07EA" w:rsidRDefault="00BE7C89">
            <w:pPr>
              <w:pStyle w:val="BodyText"/>
              <w:spacing w:before="100" w:after="100"/>
              <w:jc w:val="center"/>
            </w:pPr>
            <w:r>
              <w:t>Yes</w:t>
            </w:r>
          </w:p>
        </w:tc>
      </w:tr>
      <w:tr w:rsidR="000D07EA" w14:paraId="6E87DE48" w14:textId="77777777">
        <w:tc>
          <w:tcPr>
            <w:tcW w:w="2635" w:type="dxa"/>
            <w:shd w:val="clear" w:color="auto" w:fill="auto"/>
          </w:tcPr>
          <w:p w14:paraId="12C27DD2" w14:textId="77777777" w:rsidR="000D07EA" w:rsidRDefault="00BE7C89">
            <w:pPr>
              <w:pStyle w:val="BodyText"/>
              <w:spacing w:before="100" w:after="100"/>
              <w:rPr>
                <w:b/>
                <w:bCs/>
              </w:rPr>
            </w:pPr>
            <w:r>
              <w:rPr>
                <w:b/>
              </w:rPr>
              <w:t>Unlimited Standard National Voice Calls to Optus mobiles within Australia</w:t>
            </w:r>
          </w:p>
        </w:tc>
        <w:tc>
          <w:tcPr>
            <w:tcW w:w="1402" w:type="dxa"/>
            <w:shd w:val="clear" w:color="auto" w:fill="auto"/>
            <w:vAlign w:val="center"/>
          </w:tcPr>
          <w:p w14:paraId="4A6199B6" w14:textId="77777777" w:rsidR="000D07EA" w:rsidRDefault="00BE7C89">
            <w:pPr>
              <w:pStyle w:val="BodyText"/>
              <w:spacing w:before="100" w:after="100"/>
              <w:jc w:val="center"/>
            </w:pPr>
            <w:r>
              <w:t>No</w:t>
            </w:r>
          </w:p>
        </w:tc>
        <w:tc>
          <w:tcPr>
            <w:tcW w:w="1403" w:type="dxa"/>
            <w:shd w:val="clear" w:color="auto" w:fill="auto"/>
            <w:vAlign w:val="center"/>
          </w:tcPr>
          <w:p w14:paraId="1D52AC58" w14:textId="77777777" w:rsidR="000D07EA" w:rsidRDefault="00BE7C89">
            <w:pPr>
              <w:pStyle w:val="BodyText"/>
              <w:spacing w:before="100" w:after="100"/>
              <w:jc w:val="center"/>
            </w:pPr>
            <w:r>
              <w:t>No</w:t>
            </w:r>
          </w:p>
        </w:tc>
        <w:tc>
          <w:tcPr>
            <w:tcW w:w="1402" w:type="dxa"/>
            <w:shd w:val="clear" w:color="auto" w:fill="auto"/>
            <w:vAlign w:val="center"/>
          </w:tcPr>
          <w:p w14:paraId="07AA5B8D" w14:textId="77777777" w:rsidR="000D07EA" w:rsidRDefault="00BE7C89">
            <w:pPr>
              <w:pStyle w:val="BodyText"/>
              <w:spacing w:before="100" w:after="100"/>
              <w:jc w:val="center"/>
            </w:pPr>
            <w:r>
              <w:t>Yes</w:t>
            </w:r>
          </w:p>
        </w:tc>
        <w:tc>
          <w:tcPr>
            <w:tcW w:w="1403" w:type="dxa"/>
            <w:shd w:val="clear" w:color="auto" w:fill="auto"/>
            <w:vAlign w:val="center"/>
          </w:tcPr>
          <w:p w14:paraId="2D86F0D0" w14:textId="77777777" w:rsidR="000D07EA" w:rsidRDefault="00BE7C89">
            <w:pPr>
              <w:pStyle w:val="BodyText"/>
              <w:spacing w:before="100" w:after="100"/>
              <w:jc w:val="center"/>
            </w:pPr>
            <w:r>
              <w:t>Yes</w:t>
            </w:r>
          </w:p>
        </w:tc>
        <w:tc>
          <w:tcPr>
            <w:tcW w:w="1403" w:type="dxa"/>
            <w:shd w:val="clear" w:color="auto" w:fill="auto"/>
            <w:vAlign w:val="center"/>
          </w:tcPr>
          <w:p w14:paraId="2CD12512" w14:textId="77777777" w:rsidR="000D07EA" w:rsidRDefault="00BE7C89">
            <w:pPr>
              <w:pStyle w:val="BodyText"/>
              <w:spacing w:before="100" w:after="100"/>
              <w:jc w:val="center"/>
            </w:pPr>
            <w:r>
              <w:t>Yes</w:t>
            </w:r>
          </w:p>
        </w:tc>
      </w:tr>
      <w:tr w:rsidR="000D07EA" w14:paraId="49F67364" w14:textId="77777777">
        <w:tc>
          <w:tcPr>
            <w:tcW w:w="2635" w:type="dxa"/>
            <w:shd w:val="clear" w:color="auto" w:fill="auto"/>
          </w:tcPr>
          <w:p w14:paraId="6D675994" w14:textId="77777777" w:rsidR="000D07EA" w:rsidRDefault="00BE7C89">
            <w:pPr>
              <w:pStyle w:val="BodyText"/>
              <w:spacing w:before="100" w:after="100"/>
            </w:pPr>
            <w:r>
              <w:rPr>
                <w:b/>
                <w:bCs/>
              </w:rPr>
              <w:t>Standard National Voice call charges</w:t>
            </w:r>
            <w:r>
              <w:t xml:space="preserve"> (per minute)</w:t>
            </w:r>
          </w:p>
          <w:p w14:paraId="30E4727C" w14:textId="77777777" w:rsidR="000D07EA" w:rsidRDefault="00BE7C89">
            <w:pPr>
              <w:pStyle w:val="BodyText"/>
              <w:spacing w:before="100" w:after="100"/>
            </w:pPr>
            <w:r>
              <w:t>(excluding flagfall)</w:t>
            </w:r>
          </w:p>
        </w:tc>
        <w:tc>
          <w:tcPr>
            <w:tcW w:w="1402" w:type="dxa"/>
            <w:shd w:val="clear" w:color="auto" w:fill="auto"/>
            <w:vAlign w:val="center"/>
          </w:tcPr>
          <w:p w14:paraId="4708D24B" w14:textId="77777777" w:rsidR="000D07EA" w:rsidRDefault="00BE7C89">
            <w:pPr>
              <w:pStyle w:val="BodyText"/>
              <w:spacing w:before="100" w:after="100"/>
              <w:jc w:val="center"/>
            </w:pPr>
            <w:r>
              <w:t>$0.90</w:t>
            </w:r>
          </w:p>
        </w:tc>
        <w:tc>
          <w:tcPr>
            <w:tcW w:w="1403" w:type="dxa"/>
            <w:shd w:val="clear" w:color="auto" w:fill="auto"/>
            <w:vAlign w:val="center"/>
          </w:tcPr>
          <w:p w14:paraId="38785985" w14:textId="77777777" w:rsidR="000D07EA" w:rsidRDefault="00BE7C89">
            <w:pPr>
              <w:pStyle w:val="BodyText"/>
              <w:spacing w:before="100" w:after="100"/>
              <w:jc w:val="center"/>
            </w:pPr>
            <w:r>
              <w:t>$0.90</w:t>
            </w:r>
          </w:p>
        </w:tc>
        <w:tc>
          <w:tcPr>
            <w:tcW w:w="1402" w:type="dxa"/>
            <w:shd w:val="clear" w:color="auto" w:fill="auto"/>
            <w:vAlign w:val="center"/>
          </w:tcPr>
          <w:p w14:paraId="7C0F07B9" w14:textId="77777777" w:rsidR="000D07EA" w:rsidRDefault="00BE7C89">
            <w:pPr>
              <w:pStyle w:val="BodyText"/>
              <w:spacing w:before="100" w:after="100"/>
              <w:jc w:val="center"/>
            </w:pPr>
            <w:r>
              <w:t>$0.90</w:t>
            </w:r>
          </w:p>
        </w:tc>
        <w:tc>
          <w:tcPr>
            <w:tcW w:w="1403" w:type="dxa"/>
            <w:shd w:val="clear" w:color="auto" w:fill="auto"/>
            <w:vAlign w:val="center"/>
          </w:tcPr>
          <w:p w14:paraId="67A83E30" w14:textId="77777777" w:rsidR="000D07EA" w:rsidRDefault="00BE7C89">
            <w:pPr>
              <w:pStyle w:val="BodyText"/>
              <w:spacing w:before="100" w:after="100"/>
              <w:jc w:val="center"/>
            </w:pPr>
            <w:r>
              <w:t>$0.90</w:t>
            </w:r>
          </w:p>
        </w:tc>
        <w:tc>
          <w:tcPr>
            <w:tcW w:w="1403" w:type="dxa"/>
            <w:shd w:val="clear" w:color="auto" w:fill="auto"/>
            <w:vAlign w:val="center"/>
          </w:tcPr>
          <w:p w14:paraId="3C66AC8D" w14:textId="77777777" w:rsidR="000D07EA" w:rsidRDefault="00BE7C89">
            <w:pPr>
              <w:pStyle w:val="BodyText"/>
              <w:spacing w:before="100" w:after="100"/>
              <w:jc w:val="center"/>
            </w:pPr>
            <w:r>
              <w:t>$0.90</w:t>
            </w:r>
          </w:p>
        </w:tc>
      </w:tr>
      <w:tr w:rsidR="000D07EA" w14:paraId="33E5C87D" w14:textId="77777777">
        <w:tc>
          <w:tcPr>
            <w:tcW w:w="2635" w:type="dxa"/>
            <w:shd w:val="clear" w:color="auto" w:fill="auto"/>
          </w:tcPr>
          <w:p w14:paraId="0EB598D3" w14:textId="77777777" w:rsidR="000D07EA" w:rsidRDefault="00BE7C89">
            <w:pPr>
              <w:pStyle w:val="BodyText"/>
              <w:spacing w:before="100" w:after="100"/>
            </w:pPr>
            <w:r>
              <w:rPr>
                <w:b/>
                <w:bCs/>
                <w:i/>
                <w:iCs/>
              </w:rPr>
              <w:t>Flagfall</w:t>
            </w:r>
            <w:r>
              <w:rPr>
                <w:b/>
                <w:bCs/>
              </w:rPr>
              <w:t xml:space="preserve"> for national voice calls (Call Connection Charge)</w:t>
            </w:r>
          </w:p>
        </w:tc>
        <w:tc>
          <w:tcPr>
            <w:tcW w:w="1402" w:type="dxa"/>
            <w:shd w:val="clear" w:color="auto" w:fill="auto"/>
            <w:vAlign w:val="center"/>
          </w:tcPr>
          <w:p w14:paraId="67B493CB" w14:textId="77777777" w:rsidR="000D07EA" w:rsidRDefault="00BE7C89">
            <w:pPr>
              <w:pStyle w:val="BodyText"/>
              <w:spacing w:before="100" w:after="100"/>
              <w:jc w:val="center"/>
            </w:pPr>
            <w:r>
              <w:t>$0.35</w:t>
            </w:r>
          </w:p>
        </w:tc>
        <w:tc>
          <w:tcPr>
            <w:tcW w:w="1403" w:type="dxa"/>
            <w:shd w:val="clear" w:color="auto" w:fill="auto"/>
            <w:vAlign w:val="center"/>
          </w:tcPr>
          <w:p w14:paraId="1596B4FB" w14:textId="77777777" w:rsidR="000D07EA" w:rsidRDefault="00BE7C89">
            <w:pPr>
              <w:pStyle w:val="BodyText"/>
              <w:spacing w:before="100" w:after="100"/>
              <w:jc w:val="center"/>
            </w:pPr>
            <w:r>
              <w:t>$0.35</w:t>
            </w:r>
          </w:p>
        </w:tc>
        <w:tc>
          <w:tcPr>
            <w:tcW w:w="1402" w:type="dxa"/>
            <w:shd w:val="clear" w:color="auto" w:fill="auto"/>
            <w:vAlign w:val="center"/>
          </w:tcPr>
          <w:p w14:paraId="51A9B9AE" w14:textId="77777777" w:rsidR="000D07EA" w:rsidRDefault="00BE7C89">
            <w:pPr>
              <w:pStyle w:val="BodyText"/>
              <w:spacing w:before="100" w:after="100"/>
              <w:jc w:val="center"/>
            </w:pPr>
            <w:r>
              <w:t>$0.35</w:t>
            </w:r>
          </w:p>
        </w:tc>
        <w:tc>
          <w:tcPr>
            <w:tcW w:w="1403" w:type="dxa"/>
            <w:shd w:val="clear" w:color="auto" w:fill="auto"/>
            <w:vAlign w:val="center"/>
          </w:tcPr>
          <w:p w14:paraId="77452066" w14:textId="77777777" w:rsidR="000D07EA" w:rsidRDefault="00BE7C89">
            <w:pPr>
              <w:pStyle w:val="BodyText"/>
              <w:spacing w:before="100" w:after="100"/>
              <w:jc w:val="center"/>
            </w:pPr>
            <w:r>
              <w:t>$0.35</w:t>
            </w:r>
          </w:p>
        </w:tc>
        <w:tc>
          <w:tcPr>
            <w:tcW w:w="1403" w:type="dxa"/>
            <w:shd w:val="clear" w:color="auto" w:fill="auto"/>
            <w:vAlign w:val="center"/>
          </w:tcPr>
          <w:p w14:paraId="31F8E13E" w14:textId="77777777" w:rsidR="000D07EA" w:rsidRDefault="00BE7C89">
            <w:pPr>
              <w:pStyle w:val="BodyText"/>
              <w:spacing w:before="100" w:after="100"/>
              <w:jc w:val="center"/>
            </w:pPr>
            <w:r>
              <w:t>$0.35</w:t>
            </w:r>
          </w:p>
        </w:tc>
      </w:tr>
      <w:tr w:rsidR="000D07EA" w14:paraId="4788DA4E" w14:textId="77777777">
        <w:tc>
          <w:tcPr>
            <w:tcW w:w="2635" w:type="dxa"/>
            <w:shd w:val="clear" w:color="auto" w:fill="auto"/>
          </w:tcPr>
          <w:p w14:paraId="11492965" w14:textId="77777777" w:rsidR="000D07EA" w:rsidRDefault="00BE7C89">
            <w:pPr>
              <w:pStyle w:val="BodyText"/>
              <w:spacing w:before="100" w:after="100"/>
            </w:pPr>
            <w:r>
              <w:rPr>
                <w:b/>
                <w:bCs/>
              </w:rPr>
              <w:t xml:space="preserve">Standard National SMS Charges </w:t>
            </w:r>
            <w:r>
              <w:t>(for standard SMS of up to 160 characters)</w:t>
            </w:r>
          </w:p>
        </w:tc>
        <w:tc>
          <w:tcPr>
            <w:tcW w:w="1402" w:type="dxa"/>
            <w:shd w:val="clear" w:color="auto" w:fill="auto"/>
            <w:vAlign w:val="center"/>
          </w:tcPr>
          <w:p w14:paraId="3EC5D432" w14:textId="77777777" w:rsidR="000D07EA" w:rsidRDefault="00BE7C89">
            <w:pPr>
              <w:pStyle w:val="BodyText"/>
              <w:spacing w:before="100" w:after="100"/>
              <w:jc w:val="center"/>
            </w:pPr>
            <w:r>
              <w:t>$0.25</w:t>
            </w:r>
          </w:p>
        </w:tc>
        <w:tc>
          <w:tcPr>
            <w:tcW w:w="1403" w:type="dxa"/>
            <w:shd w:val="clear" w:color="auto" w:fill="auto"/>
            <w:vAlign w:val="center"/>
          </w:tcPr>
          <w:p w14:paraId="466A4719" w14:textId="77777777" w:rsidR="000D07EA" w:rsidRDefault="00BE7C89">
            <w:pPr>
              <w:pStyle w:val="BodyText"/>
              <w:spacing w:before="100" w:after="100"/>
              <w:jc w:val="center"/>
            </w:pPr>
            <w:r>
              <w:t>Unlimited</w:t>
            </w:r>
          </w:p>
        </w:tc>
        <w:tc>
          <w:tcPr>
            <w:tcW w:w="1402" w:type="dxa"/>
            <w:shd w:val="clear" w:color="auto" w:fill="auto"/>
            <w:vAlign w:val="center"/>
          </w:tcPr>
          <w:p w14:paraId="7636681D" w14:textId="77777777" w:rsidR="000D07EA" w:rsidRDefault="00BE7C89">
            <w:pPr>
              <w:pStyle w:val="BodyText"/>
              <w:spacing w:before="100" w:after="100"/>
              <w:jc w:val="center"/>
            </w:pPr>
            <w:r>
              <w:t>Unlimited</w:t>
            </w:r>
          </w:p>
        </w:tc>
        <w:tc>
          <w:tcPr>
            <w:tcW w:w="1403" w:type="dxa"/>
            <w:shd w:val="clear" w:color="auto" w:fill="auto"/>
            <w:vAlign w:val="center"/>
          </w:tcPr>
          <w:p w14:paraId="20451F2B" w14:textId="77777777" w:rsidR="000D07EA" w:rsidRDefault="00BE7C89">
            <w:pPr>
              <w:pStyle w:val="BodyText"/>
              <w:spacing w:before="100" w:after="100"/>
              <w:jc w:val="center"/>
            </w:pPr>
            <w:r>
              <w:t>Unlimited</w:t>
            </w:r>
          </w:p>
        </w:tc>
        <w:tc>
          <w:tcPr>
            <w:tcW w:w="1403" w:type="dxa"/>
            <w:shd w:val="clear" w:color="auto" w:fill="auto"/>
            <w:vAlign w:val="center"/>
          </w:tcPr>
          <w:p w14:paraId="16C96733" w14:textId="77777777" w:rsidR="000D07EA" w:rsidRDefault="00BE7C89">
            <w:pPr>
              <w:pStyle w:val="BodyText"/>
              <w:spacing w:before="100" w:after="100"/>
              <w:jc w:val="center"/>
            </w:pPr>
            <w:r>
              <w:t>Unlimited</w:t>
            </w:r>
          </w:p>
        </w:tc>
      </w:tr>
      <w:tr w:rsidR="000D07EA" w14:paraId="492CDEC7" w14:textId="77777777">
        <w:tc>
          <w:tcPr>
            <w:tcW w:w="2635" w:type="dxa"/>
            <w:shd w:val="clear" w:color="auto" w:fill="auto"/>
          </w:tcPr>
          <w:p w14:paraId="682BC6D0" w14:textId="77777777" w:rsidR="000D07EA" w:rsidRDefault="00BE7C89">
            <w:pPr>
              <w:pStyle w:val="BodyText"/>
              <w:spacing w:before="100" w:after="100"/>
              <w:rPr>
                <w:b/>
                <w:bCs/>
              </w:rPr>
            </w:pPr>
            <w:r>
              <w:rPr>
                <w:b/>
                <w:bCs/>
              </w:rPr>
              <w:t xml:space="preserve">National Photo Message </w:t>
            </w:r>
            <w:r>
              <w:t>(per message)</w:t>
            </w:r>
          </w:p>
        </w:tc>
        <w:tc>
          <w:tcPr>
            <w:tcW w:w="1402" w:type="dxa"/>
            <w:shd w:val="clear" w:color="auto" w:fill="auto"/>
            <w:vAlign w:val="center"/>
          </w:tcPr>
          <w:p w14:paraId="727709A7" w14:textId="77777777" w:rsidR="000D07EA" w:rsidRDefault="00BE7C89">
            <w:pPr>
              <w:pStyle w:val="BodyText"/>
              <w:spacing w:before="100" w:after="100"/>
              <w:jc w:val="center"/>
            </w:pPr>
            <w:r>
              <w:t>$0.50</w:t>
            </w:r>
          </w:p>
        </w:tc>
        <w:tc>
          <w:tcPr>
            <w:tcW w:w="1403" w:type="dxa"/>
            <w:shd w:val="clear" w:color="auto" w:fill="auto"/>
            <w:vAlign w:val="center"/>
          </w:tcPr>
          <w:p w14:paraId="5BBA41AE" w14:textId="77777777" w:rsidR="000D07EA" w:rsidRDefault="00BE7C89">
            <w:pPr>
              <w:pStyle w:val="BodyText"/>
              <w:spacing w:before="100" w:after="100"/>
              <w:jc w:val="center"/>
            </w:pPr>
            <w:r>
              <w:t>$0.50</w:t>
            </w:r>
          </w:p>
        </w:tc>
        <w:tc>
          <w:tcPr>
            <w:tcW w:w="1402" w:type="dxa"/>
            <w:shd w:val="clear" w:color="auto" w:fill="auto"/>
            <w:vAlign w:val="center"/>
          </w:tcPr>
          <w:p w14:paraId="13768D5A" w14:textId="77777777" w:rsidR="000D07EA" w:rsidRDefault="00BE7C89">
            <w:pPr>
              <w:pStyle w:val="BodyText"/>
              <w:spacing w:before="100" w:after="100"/>
              <w:jc w:val="center"/>
            </w:pPr>
            <w:r>
              <w:t>$0.50</w:t>
            </w:r>
          </w:p>
        </w:tc>
        <w:tc>
          <w:tcPr>
            <w:tcW w:w="1403" w:type="dxa"/>
            <w:shd w:val="clear" w:color="auto" w:fill="auto"/>
            <w:vAlign w:val="center"/>
          </w:tcPr>
          <w:p w14:paraId="461960B4" w14:textId="77777777" w:rsidR="000D07EA" w:rsidRDefault="00BE7C89">
            <w:pPr>
              <w:pStyle w:val="BodyText"/>
              <w:spacing w:before="100" w:after="100"/>
              <w:jc w:val="center"/>
            </w:pPr>
            <w:r>
              <w:t>$0.50</w:t>
            </w:r>
          </w:p>
        </w:tc>
        <w:tc>
          <w:tcPr>
            <w:tcW w:w="1403" w:type="dxa"/>
            <w:shd w:val="clear" w:color="auto" w:fill="auto"/>
            <w:vAlign w:val="center"/>
          </w:tcPr>
          <w:p w14:paraId="569FBD45" w14:textId="77777777" w:rsidR="000D07EA" w:rsidRDefault="00BE7C89">
            <w:pPr>
              <w:pStyle w:val="BodyText"/>
              <w:spacing w:before="100" w:after="100"/>
              <w:jc w:val="center"/>
            </w:pPr>
            <w:r>
              <w:t>$0.50</w:t>
            </w:r>
          </w:p>
        </w:tc>
      </w:tr>
      <w:tr w:rsidR="000D07EA" w14:paraId="1B4889F3" w14:textId="77777777">
        <w:tc>
          <w:tcPr>
            <w:tcW w:w="2635" w:type="dxa"/>
            <w:shd w:val="clear" w:color="auto" w:fill="auto"/>
          </w:tcPr>
          <w:p w14:paraId="596B428C" w14:textId="77777777" w:rsidR="000D07EA" w:rsidRDefault="00BE7C89">
            <w:pPr>
              <w:pStyle w:val="BodyText"/>
              <w:spacing w:before="100" w:after="100"/>
            </w:pPr>
            <w:r>
              <w:rPr>
                <w:b/>
                <w:bCs/>
              </w:rPr>
              <w:t xml:space="preserve">National Video Calling </w:t>
            </w:r>
            <w:r>
              <w:t>(per minute) (excluding flagfall)</w:t>
            </w:r>
          </w:p>
        </w:tc>
        <w:tc>
          <w:tcPr>
            <w:tcW w:w="1402" w:type="dxa"/>
            <w:shd w:val="clear" w:color="auto" w:fill="auto"/>
            <w:vAlign w:val="center"/>
          </w:tcPr>
          <w:p w14:paraId="02E4CEED" w14:textId="77777777" w:rsidR="000D07EA" w:rsidRDefault="00BE7C89">
            <w:pPr>
              <w:pStyle w:val="BodyText"/>
              <w:spacing w:before="100" w:after="100"/>
              <w:jc w:val="center"/>
            </w:pPr>
            <w:r>
              <w:t>$1.00</w:t>
            </w:r>
          </w:p>
        </w:tc>
        <w:tc>
          <w:tcPr>
            <w:tcW w:w="1403" w:type="dxa"/>
            <w:shd w:val="clear" w:color="auto" w:fill="auto"/>
            <w:vAlign w:val="center"/>
          </w:tcPr>
          <w:p w14:paraId="1EE31A50" w14:textId="77777777" w:rsidR="000D07EA" w:rsidRDefault="00BE7C89">
            <w:pPr>
              <w:pStyle w:val="BodyText"/>
              <w:spacing w:before="100" w:after="100"/>
              <w:jc w:val="center"/>
            </w:pPr>
            <w:r>
              <w:t>$1.00</w:t>
            </w:r>
          </w:p>
        </w:tc>
        <w:tc>
          <w:tcPr>
            <w:tcW w:w="1402" w:type="dxa"/>
            <w:shd w:val="clear" w:color="auto" w:fill="auto"/>
            <w:vAlign w:val="center"/>
          </w:tcPr>
          <w:p w14:paraId="09753C18" w14:textId="77777777" w:rsidR="000D07EA" w:rsidRDefault="00BE7C89">
            <w:pPr>
              <w:pStyle w:val="BodyText"/>
              <w:spacing w:before="100" w:after="100"/>
              <w:jc w:val="center"/>
            </w:pPr>
            <w:r>
              <w:t>$1.00</w:t>
            </w:r>
          </w:p>
        </w:tc>
        <w:tc>
          <w:tcPr>
            <w:tcW w:w="1403" w:type="dxa"/>
            <w:shd w:val="clear" w:color="auto" w:fill="auto"/>
            <w:vAlign w:val="center"/>
          </w:tcPr>
          <w:p w14:paraId="718F24B4" w14:textId="77777777" w:rsidR="000D07EA" w:rsidRDefault="00BE7C89">
            <w:pPr>
              <w:pStyle w:val="BodyText"/>
              <w:spacing w:before="100" w:after="100"/>
              <w:jc w:val="center"/>
            </w:pPr>
            <w:r>
              <w:t>$1.00</w:t>
            </w:r>
          </w:p>
        </w:tc>
        <w:tc>
          <w:tcPr>
            <w:tcW w:w="1403" w:type="dxa"/>
            <w:shd w:val="clear" w:color="auto" w:fill="auto"/>
            <w:vAlign w:val="center"/>
          </w:tcPr>
          <w:p w14:paraId="1B80123E" w14:textId="77777777" w:rsidR="000D07EA" w:rsidRDefault="00BE7C89">
            <w:pPr>
              <w:pStyle w:val="BodyText"/>
              <w:spacing w:before="100" w:after="100"/>
              <w:jc w:val="center"/>
            </w:pPr>
            <w:r>
              <w:t>$1.00</w:t>
            </w:r>
          </w:p>
        </w:tc>
      </w:tr>
      <w:tr w:rsidR="000D07EA" w14:paraId="0D51EFB5" w14:textId="77777777">
        <w:tc>
          <w:tcPr>
            <w:tcW w:w="2635" w:type="dxa"/>
            <w:shd w:val="clear" w:color="auto" w:fill="auto"/>
          </w:tcPr>
          <w:p w14:paraId="48E0F64F" w14:textId="77777777" w:rsidR="000D07EA" w:rsidRDefault="00BE7C89">
            <w:pPr>
              <w:pStyle w:val="BodyText"/>
              <w:spacing w:before="100" w:after="100"/>
            </w:pPr>
            <w:r>
              <w:rPr>
                <w:b/>
                <w:bCs/>
                <w:i/>
                <w:iCs/>
              </w:rPr>
              <w:t xml:space="preserve">Flagfall </w:t>
            </w:r>
            <w:r>
              <w:rPr>
                <w:b/>
                <w:bCs/>
              </w:rPr>
              <w:t xml:space="preserve">for National Video Calls </w:t>
            </w:r>
            <w:r>
              <w:t>(per call)</w:t>
            </w:r>
          </w:p>
        </w:tc>
        <w:tc>
          <w:tcPr>
            <w:tcW w:w="1402" w:type="dxa"/>
            <w:shd w:val="clear" w:color="auto" w:fill="auto"/>
            <w:vAlign w:val="center"/>
          </w:tcPr>
          <w:p w14:paraId="79561607" w14:textId="77777777" w:rsidR="000D07EA" w:rsidRDefault="00BE7C89">
            <w:pPr>
              <w:pStyle w:val="BodyText"/>
              <w:spacing w:before="100" w:after="100"/>
              <w:jc w:val="center"/>
            </w:pPr>
            <w:r>
              <w:t>$0.40</w:t>
            </w:r>
          </w:p>
        </w:tc>
        <w:tc>
          <w:tcPr>
            <w:tcW w:w="1403" w:type="dxa"/>
            <w:shd w:val="clear" w:color="auto" w:fill="auto"/>
            <w:vAlign w:val="center"/>
          </w:tcPr>
          <w:p w14:paraId="769808DE" w14:textId="77777777" w:rsidR="000D07EA" w:rsidRDefault="00BE7C89">
            <w:pPr>
              <w:pStyle w:val="BodyText"/>
              <w:spacing w:before="100" w:after="100"/>
              <w:jc w:val="center"/>
            </w:pPr>
            <w:r>
              <w:t>$0.40</w:t>
            </w:r>
          </w:p>
        </w:tc>
        <w:tc>
          <w:tcPr>
            <w:tcW w:w="1402" w:type="dxa"/>
            <w:shd w:val="clear" w:color="auto" w:fill="auto"/>
            <w:vAlign w:val="center"/>
          </w:tcPr>
          <w:p w14:paraId="41993671" w14:textId="77777777" w:rsidR="000D07EA" w:rsidRDefault="00BE7C89">
            <w:pPr>
              <w:pStyle w:val="BodyText"/>
              <w:spacing w:before="100" w:after="100"/>
              <w:jc w:val="center"/>
            </w:pPr>
            <w:r>
              <w:t>$0.40</w:t>
            </w:r>
          </w:p>
        </w:tc>
        <w:tc>
          <w:tcPr>
            <w:tcW w:w="1403" w:type="dxa"/>
            <w:shd w:val="clear" w:color="auto" w:fill="auto"/>
            <w:vAlign w:val="center"/>
          </w:tcPr>
          <w:p w14:paraId="2DCA6864" w14:textId="77777777" w:rsidR="000D07EA" w:rsidRDefault="00BE7C89">
            <w:pPr>
              <w:pStyle w:val="BodyText"/>
              <w:spacing w:before="100" w:after="100"/>
              <w:jc w:val="center"/>
            </w:pPr>
            <w:r>
              <w:t>$0.40</w:t>
            </w:r>
          </w:p>
        </w:tc>
        <w:tc>
          <w:tcPr>
            <w:tcW w:w="1403" w:type="dxa"/>
            <w:shd w:val="clear" w:color="auto" w:fill="auto"/>
            <w:vAlign w:val="center"/>
          </w:tcPr>
          <w:p w14:paraId="491387EA" w14:textId="77777777" w:rsidR="000D07EA" w:rsidRDefault="00BE7C89">
            <w:pPr>
              <w:pStyle w:val="BodyText"/>
              <w:spacing w:before="100" w:after="100"/>
              <w:jc w:val="center"/>
            </w:pPr>
            <w:r>
              <w:t>$0.40</w:t>
            </w:r>
          </w:p>
        </w:tc>
      </w:tr>
      <w:tr w:rsidR="000D07EA" w14:paraId="5F01EB83" w14:textId="77777777">
        <w:tc>
          <w:tcPr>
            <w:tcW w:w="2635" w:type="dxa"/>
            <w:shd w:val="clear" w:color="auto" w:fill="auto"/>
          </w:tcPr>
          <w:p w14:paraId="1B65A21C" w14:textId="77777777" w:rsidR="000D07EA" w:rsidRDefault="00BE7C89">
            <w:pPr>
              <w:pStyle w:val="BodyText"/>
              <w:spacing w:before="100" w:after="100"/>
            </w:pPr>
            <w:r>
              <w:rPr>
                <w:b/>
                <w:bCs/>
                <w:iCs/>
              </w:rPr>
              <w:lastRenderedPageBreak/>
              <w:t>Excess Data Charge</w:t>
            </w:r>
            <w:r>
              <w:rPr>
                <w:b/>
                <w:bCs/>
                <w:i/>
                <w:iCs/>
              </w:rPr>
              <w:t xml:space="preserve"> </w:t>
            </w:r>
            <w:r>
              <w:rPr>
                <w:i/>
                <w:iCs/>
              </w:rPr>
              <w:t>(charged per kb, includes uploads and downloads)</w:t>
            </w:r>
          </w:p>
        </w:tc>
        <w:tc>
          <w:tcPr>
            <w:tcW w:w="1402" w:type="dxa"/>
            <w:shd w:val="clear" w:color="auto" w:fill="auto"/>
            <w:vAlign w:val="center"/>
          </w:tcPr>
          <w:p w14:paraId="2508DE38" w14:textId="77777777" w:rsidR="000D07EA" w:rsidRDefault="00BE7C89">
            <w:pPr>
              <w:pStyle w:val="BodyText"/>
              <w:spacing w:before="100" w:after="100"/>
              <w:jc w:val="center"/>
            </w:pPr>
            <w:r>
              <w:t>$0.50/MB</w:t>
            </w:r>
          </w:p>
        </w:tc>
        <w:tc>
          <w:tcPr>
            <w:tcW w:w="1403" w:type="dxa"/>
            <w:shd w:val="clear" w:color="auto" w:fill="auto"/>
            <w:vAlign w:val="center"/>
          </w:tcPr>
          <w:p w14:paraId="6041E036" w14:textId="77777777" w:rsidR="000D07EA" w:rsidRDefault="00BE7C89">
            <w:pPr>
              <w:pStyle w:val="BodyText"/>
              <w:spacing w:before="100" w:after="100"/>
              <w:jc w:val="center"/>
            </w:pPr>
            <w:r>
              <w:t>$0.50/MB</w:t>
            </w:r>
          </w:p>
        </w:tc>
        <w:tc>
          <w:tcPr>
            <w:tcW w:w="1402" w:type="dxa"/>
            <w:shd w:val="clear" w:color="auto" w:fill="auto"/>
            <w:vAlign w:val="center"/>
          </w:tcPr>
          <w:p w14:paraId="5A435799" w14:textId="77777777" w:rsidR="000D07EA" w:rsidRDefault="00BE7C89">
            <w:pPr>
              <w:pStyle w:val="BodyText"/>
              <w:spacing w:before="100" w:after="100"/>
              <w:jc w:val="center"/>
            </w:pPr>
            <w:r>
              <w:t>$0.25/MB</w:t>
            </w:r>
          </w:p>
        </w:tc>
        <w:tc>
          <w:tcPr>
            <w:tcW w:w="1403" w:type="dxa"/>
            <w:shd w:val="clear" w:color="auto" w:fill="auto"/>
            <w:vAlign w:val="center"/>
          </w:tcPr>
          <w:p w14:paraId="64847C92" w14:textId="77777777" w:rsidR="000D07EA" w:rsidRDefault="00BE7C89">
            <w:pPr>
              <w:pStyle w:val="BodyText"/>
              <w:spacing w:before="100" w:after="100"/>
              <w:jc w:val="center"/>
            </w:pPr>
            <w:r>
              <w:t>$0.25/MB</w:t>
            </w:r>
          </w:p>
        </w:tc>
        <w:tc>
          <w:tcPr>
            <w:tcW w:w="1403" w:type="dxa"/>
            <w:shd w:val="clear" w:color="auto" w:fill="auto"/>
            <w:vAlign w:val="center"/>
          </w:tcPr>
          <w:p w14:paraId="49ABCDC5" w14:textId="77777777" w:rsidR="000D07EA" w:rsidRDefault="00BE7C89">
            <w:pPr>
              <w:pStyle w:val="BodyText"/>
              <w:spacing w:before="100" w:after="100"/>
              <w:jc w:val="center"/>
            </w:pPr>
            <w:r>
              <w:t>$0.25/MB</w:t>
            </w:r>
          </w:p>
        </w:tc>
      </w:tr>
      <w:tr w:rsidR="000D07EA" w14:paraId="577C4554" w14:textId="77777777">
        <w:tc>
          <w:tcPr>
            <w:tcW w:w="2635" w:type="dxa"/>
            <w:shd w:val="clear" w:color="auto" w:fill="auto"/>
          </w:tcPr>
          <w:p w14:paraId="67B4DE79" w14:textId="77777777" w:rsidR="000D07EA" w:rsidRDefault="00BE7C89">
            <w:pPr>
              <w:pStyle w:val="BodyText"/>
              <w:spacing w:before="100" w:after="100"/>
            </w:pPr>
            <w:r>
              <w:rPr>
                <w:b/>
                <w:bCs/>
              </w:rPr>
              <w:t>VoiceMail</w:t>
            </w:r>
          </w:p>
        </w:tc>
        <w:tc>
          <w:tcPr>
            <w:tcW w:w="1402" w:type="dxa"/>
            <w:shd w:val="clear" w:color="auto" w:fill="auto"/>
            <w:vAlign w:val="center"/>
          </w:tcPr>
          <w:p w14:paraId="20C7B8A7" w14:textId="77777777" w:rsidR="000D07EA" w:rsidRDefault="00BE7C89">
            <w:pPr>
              <w:pStyle w:val="BodyText"/>
              <w:spacing w:before="100" w:after="100"/>
              <w:jc w:val="center"/>
            </w:pPr>
            <w:r>
              <w:t>$0 Deposits/ $0.90 per 60 secs Retrieval</w:t>
            </w:r>
          </w:p>
        </w:tc>
        <w:tc>
          <w:tcPr>
            <w:tcW w:w="1403" w:type="dxa"/>
            <w:shd w:val="clear" w:color="auto" w:fill="auto"/>
            <w:vAlign w:val="center"/>
          </w:tcPr>
          <w:p w14:paraId="29039957" w14:textId="77777777" w:rsidR="000D07EA" w:rsidRDefault="00BE7C89">
            <w:pPr>
              <w:pStyle w:val="BodyText"/>
              <w:spacing w:before="100" w:after="100"/>
              <w:jc w:val="center"/>
            </w:pPr>
            <w:r>
              <w:t>$0 Deposits/ $0.90 per 60 secs Retrieval</w:t>
            </w:r>
          </w:p>
        </w:tc>
        <w:tc>
          <w:tcPr>
            <w:tcW w:w="1402" w:type="dxa"/>
            <w:shd w:val="clear" w:color="auto" w:fill="auto"/>
            <w:vAlign w:val="center"/>
          </w:tcPr>
          <w:p w14:paraId="0A1E5AB4" w14:textId="77777777" w:rsidR="000D07EA" w:rsidRDefault="00BE7C89">
            <w:pPr>
              <w:pStyle w:val="BodyText"/>
              <w:spacing w:before="100" w:after="100"/>
              <w:jc w:val="center"/>
            </w:pPr>
            <w:r>
              <w:t>$0 Deposits/ $0.90 per 60 secs Retrieval</w:t>
            </w:r>
          </w:p>
        </w:tc>
        <w:tc>
          <w:tcPr>
            <w:tcW w:w="1403" w:type="dxa"/>
            <w:shd w:val="clear" w:color="auto" w:fill="auto"/>
          </w:tcPr>
          <w:p w14:paraId="498A526E" w14:textId="77777777" w:rsidR="000D07EA" w:rsidRDefault="00BE7C89">
            <w:pPr>
              <w:pStyle w:val="BodyText"/>
              <w:spacing w:before="100" w:after="100"/>
              <w:jc w:val="center"/>
            </w:pPr>
            <w:r>
              <w:t>$0 Deposits/ $0.90 per 60 secs Retrieval</w:t>
            </w:r>
          </w:p>
        </w:tc>
        <w:tc>
          <w:tcPr>
            <w:tcW w:w="1403" w:type="dxa"/>
            <w:shd w:val="clear" w:color="auto" w:fill="auto"/>
          </w:tcPr>
          <w:p w14:paraId="5A8911C9" w14:textId="77777777" w:rsidR="000D07EA" w:rsidRDefault="00BE7C89">
            <w:pPr>
              <w:pStyle w:val="BodyText"/>
              <w:spacing w:before="100" w:after="100"/>
              <w:jc w:val="center"/>
            </w:pPr>
            <w:r>
              <w:t>$0 Deposits/ $0.90 per 60 secs Retrieval</w:t>
            </w:r>
          </w:p>
        </w:tc>
      </w:tr>
      <w:tr w:rsidR="000D07EA" w14:paraId="14CC4A0D" w14:textId="77777777">
        <w:tc>
          <w:tcPr>
            <w:tcW w:w="2635" w:type="dxa"/>
            <w:shd w:val="clear" w:color="auto" w:fill="auto"/>
          </w:tcPr>
          <w:p w14:paraId="557C8447" w14:textId="77777777" w:rsidR="000D07EA" w:rsidRDefault="00BE7C89">
            <w:pPr>
              <w:pStyle w:val="BodyText"/>
              <w:spacing w:before="100" w:after="100"/>
              <w:rPr>
                <w:b/>
                <w:bCs/>
              </w:rPr>
            </w:pPr>
            <w:r>
              <w:rPr>
                <w:b/>
                <w:bCs/>
              </w:rPr>
              <w:t>Monthly Handset Credit</w:t>
            </w:r>
          </w:p>
        </w:tc>
        <w:tc>
          <w:tcPr>
            <w:tcW w:w="1402" w:type="dxa"/>
            <w:shd w:val="clear" w:color="auto" w:fill="auto"/>
            <w:vAlign w:val="center"/>
          </w:tcPr>
          <w:p w14:paraId="24EB6CB0" w14:textId="77777777" w:rsidR="000D07EA" w:rsidRDefault="00BE7C89">
            <w:pPr>
              <w:pStyle w:val="BodyText"/>
              <w:spacing w:before="100" w:after="100"/>
              <w:jc w:val="center"/>
            </w:pPr>
            <w:r>
              <w:t>N/A</w:t>
            </w:r>
          </w:p>
        </w:tc>
        <w:tc>
          <w:tcPr>
            <w:tcW w:w="1403" w:type="dxa"/>
            <w:shd w:val="clear" w:color="auto" w:fill="auto"/>
            <w:vAlign w:val="center"/>
          </w:tcPr>
          <w:p w14:paraId="76B56E0E" w14:textId="77777777" w:rsidR="000D07EA" w:rsidRDefault="00BE7C89">
            <w:pPr>
              <w:pStyle w:val="BodyText"/>
              <w:spacing w:before="100" w:after="100"/>
              <w:jc w:val="center"/>
            </w:pPr>
            <w:r>
              <w:t>N/A</w:t>
            </w:r>
          </w:p>
        </w:tc>
        <w:tc>
          <w:tcPr>
            <w:tcW w:w="1402" w:type="dxa"/>
            <w:shd w:val="clear" w:color="auto" w:fill="auto"/>
            <w:vAlign w:val="center"/>
          </w:tcPr>
          <w:p w14:paraId="294C1249" w14:textId="77777777" w:rsidR="000D07EA" w:rsidRDefault="00BE7C89">
            <w:pPr>
              <w:pStyle w:val="BodyText"/>
              <w:spacing w:before="100" w:after="100"/>
              <w:jc w:val="center"/>
            </w:pPr>
            <w:r>
              <w:t>$10</w:t>
            </w:r>
          </w:p>
        </w:tc>
        <w:tc>
          <w:tcPr>
            <w:tcW w:w="1403" w:type="dxa"/>
            <w:shd w:val="clear" w:color="auto" w:fill="auto"/>
            <w:vAlign w:val="center"/>
          </w:tcPr>
          <w:p w14:paraId="66665674" w14:textId="77777777" w:rsidR="000D07EA" w:rsidRDefault="00BE7C89">
            <w:pPr>
              <w:pStyle w:val="BodyText"/>
              <w:spacing w:before="100" w:after="100"/>
              <w:jc w:val="center"/>
            </w:pPr>
            <w:r>
              <w:t>$20</w:t>
            </w:r>
          </w:p>
        </w:tc>
        <w:tc>
          <w:tcPr>
            <w:tcW w:w="1403" w:type="dxa"/>
            <w:shd w:val="clear" w:color="auto" w:fill="auto"/>
            <w:vAlign w:val="center"/>
          </w:tcPr>
          <w:p w14:paraId="7F0F9B78" w14:textId="77777777" w:rsidR="000D07EA" w:rsidRDefault="00BE7C89">
            <w:pPr>
              <w:pStyle w:val="BodyText"/>
              <w:spacing w:before="100" w:after="100"/>
              <w:jc w:val="center"/>
            </w:pPr>
            <w:r>
              <w:t>$20</w:t>
            </w:r>
          </w:p>
        </w:tc>
      </w:tr>
      <w:tr w:rsidR="000D07EA" w14:paraId="5C095972" w14:textId="77777777">
        <w:tc>
          <w:tcPr>
            <w:tcW w:w="2635" w:type="dxa"/>
            <w:shd w:val="clear" w:color="auto" w:fill="auto"/>
          </w:tcPr>
          <w:p w14:paraId="7C418725" w14:textId="77777777" w:rsidR="000D07EA" w:rsidRDefault="00BE7C89">
            <w:pPr>
              <w:pStyle w:val="BodyText"/>
              <w:spacing w:before="100" w:after="100"/>
            </w:pPr>
            <w:r>
              <w:rPr>
                <w:b/>
                <w:bCs/>
              </w:rPr>
              <w:t xml:space="preserve">Other call charges </w:t>
            </w:r>
            <w:r>
              <w:t>(for example international calls, calls to mobiles)</w:t>
            </w:r>
          </w:p>
        </w:tc>
        <w:tc>
          <w:tcPr>
            <w:tcW w:w="7013" w:type="dxa"/>
            <w:gridSpan w:val="5"/>
            <w:shd w:val="clear" w:color="auto" w:fill="auto"/>
            <w:vAlign w:val="center"/>
          </w:tcPr>
          <w:p w14:paraId="78EAA002" w14:textId="77777777" w:rsidR="000D07EA" w:rsidRDefault="00BE7C89">
            <w:pPr>
              <w:pStyle w:val="BodyText"/>
              <w:spacing w:before="100" w:after="100"/>
              <w:jc w:val="center"/>
            </w:pPr>
            <w:r>
              <w:t xml:space="preserve">See section 1 of this </w:t>
            </w:r>
            <w:r>
              <w:rPr>
                <w:i/>
                <w:iCs/>
              </w:rPr>
              <w:t>standard pricing table</w:t>
            </w:r>
            <w:r>
              <w:t xml:space="preserve"> and Appendix Y (Value Added Service Features)</w:t>
            </w:r>
          </w:p>
        </w:tc>
      </w:tr>
      <w:tr w:rsidR="000D07EA" w14:paraId="04654193" w14:textId="77777777">
        <w:tc>
          <w:tcPr>
            <w:tcW w:w="2635" w:type="dxa"/>
            <w:shd w:val="clear" w:color="auto" w:fill="auto"/>
          </w:tcPr>
          <w:p w14:paraId="6DB959D4" w14:textId="77777777" w:rsidR="000D07EA" w:rsidRDefault="00BE7C89">
            <w:pPr>
              <w:pStyle w:val="BodyText"/>
              <w:spacing w:before="100" w:after="100"/>
            </w:pPr>
            <w:r>
              <w:rPr>
                <w:b/>
                <w:bCs/>
              </w:rPr>
              <w:t xml:space="preserve">Other conditions </w:t>
            </w:r>
            <w:r>
              <w:t xml:space="preserve">(for details see Appendix </w:t>
            </w:r>
            <w:r w:rsidR="00DD7FB0">
              <w:t>S</w:t>
            </w:r>
            <w:r>
              <w:t>)</w:t>
            </w:r>
          </w:p>
        </w:tc>
        <w:tc>
          <w:tcPr>
            <w:tcW w:w="7013" w:type="dxa"/>
            <w:gridSpan w:val="5"/>
            <w:shd w:val="clear" w:color="auto" w:fill="auto"/>
            <w:vAlign w:val="center"/>
          </w:tcPr>
          <w:p w14:paraId="7AB81E09" w14:textId="77777777" w:rsidR="000D07EA" w:rsidRDefault="00BE7C89">
            <w:pPr>
              <w:pStyle w:val="BodyText"/>
              <w:spacing w:before="100" w:after="100"/>
              <w:jc w:val="center"/>
            </w:pPr>
            <w:r>
              <w:t>Fair Go Policy (</w:t>
            </w:r>
            <w:hyperlink r:id="rId507" w:history="1">
              <w:r>
                <w:rPr>
                  <w:rStyle w:val="Hyperlink"/>
                  <w:i/>
                </w:rPr>
                <w:t>Appendix S</w:t>
              </w:r>
            </w:hyperlink>
            <w:r>
              <w:t>) applies to 'excessive use,' 'unreasonable use,' 'unacceptable use' and commercial use.</w:t>
            </w:r>
          </w:p>
        </w:tc>
      </w:tr>
      <w:tr w:rsidR="000D07EA" w14:paraId="43206355" w14:textId="77777777">
        <w:tc>
          <w:tcPr>
            <w:tcW w:w="2635" w:type="dxa"/>
            <w:shd w:val="clear" w:color="auto" w:fill="auto"/>
          </w:tcPr>
          <w:p w14:paraId="3B915315" w14:textId="77777777" w:rsidR="000D07EA" w:rsidRDefault="00BE7C89">
            <w:pPr>
              <w:pStyle w:val="BodyText"/>
              <w:spacing w:before="100" w:after="100"/>
            </w:pPr>
            <w:r>
              <w:rPr>
                <w:b/>
                <w:bCs/>
              </w:rPr>
              <w:t xml:space="preserve">Available on Non Fixed Length Agreement </w:t>
            </w:r>
            <w:r>
              <w:t>(Month to Month)</w:t>
            </w:r>
          </w:p>
        </w:tc>
        <w:tc>
          <w:tcPr>
            <w:tcW w:w="1402" w:type="dxa"/>
            <w:shd w:val="clear" w:color="auto" w:fill="auto"/>
            <w:vAlign w:val="center"/>
          </w:tcPr>
          <w:p w14:paraId="512D2CB0" w14:textId="77777777" w:rsidR="000D07EA" w:rsidRDefault="00BE7C89">
            <w:pPr>
              <w:pStyle w:val="BodyText"/>
              <w:spacing w:before="100" w:after="100"/>
              <w:jc w:val="center"/>
            </w:pPr>
            <w:r>
              <w:t>No</w:t>
            </w:r>
          </w:p>
        </w:tc>
        <w:tc>
          <w:tcPr>
            <w:tcW w:w="1403" w:type="dxa"/>
            <w:shd w:val="clear" w:color="auto" w:fill="auto"/>
            <w:vAlign w:val="center"/>
          </w:tcPr>
          <w:p w14:paraId="4D183088" w14:textId="77777777" w:rsidR="000D07EA" w:rsidRDefault="00BE7C89">
            <w:pPr>
              <w:pStyle w:val="BodyText"/>
              <w:spacing w:before="100" w:after="100"/>
              <w:jc w:val="center"/>
            </w:pPr>
            <w:r>
              <w:t>No</w:t>
            </w:r>
          </w:p>
        </w:tc>
        <w:tc>
          <w:tcPr>
            <w:tcW w:w="1402" w:type="dxa"/>
            <w:shd w:val="clear" w:color="auto" w:fill="auto"/>
            <w:vAlign w:val="center"/>
          </w:tcPr>
          <w:p w14:paraId="340AAE05" w14:textId="77777777" w:rsidR="000D07EA" w:rsidRDefault="00BE7C89">
            <w:pPr>
              <w:pStyle w:val="BodyText"/>
              <w:spacing w:before="100" w:after="100"/>
              <w:jc w:val="center"/>
            </w:pPr>
            <w:r>
              <w:t>No</w:t>
            </w:r>
          </w:p>
        </w:tc>
        <w:tc>
          <w:tcPr>
            <w:tcW w:w="1403" w:type="dxa"/>
            <w:shd w:val="clear" w:color="auto" w:fill="auto"/>
            <w:vAlign w:val="center"/>
          </w:tcPr>
          <w:p w14:paraId="18C2BCC7" w14:textId="77777777" w:rsidR="000D07EA" w:rsidRDefault="00BE7C89">
            <w:pPr>
              <w:pStyle w:val="BodyText"/>
              <w:spacing w:before="100" w:after="100"/>
              <w:jc w:val="center"/>
            </w:pPr>
            <w:r>
              <w:t>No</w:t>
            </w:r>
          </w:p>
        </w:tc>
        <w:tc>
          <w:tcPr>
            <w:tcW w:w="1403" w:type="dxa"/>
            <w:shd w:val="clear" w:color="auto" w:fill="auto"/>
            <w:vAlign w:val="center"/>
          </w:tcPr>
          <w:p w14:paraId="01D0D24C" w14:textId="77777777" w:rsidR="000D07EA" w:rsidRDefault="00BE7C89">
            <w:pPr>
              <w:pStyle w:val="BodyText"/>
              <w:spacing w:before="100" w:after="100"/>
              <w:jc w:val="center"/>
            </w:pPr>
            <w:r>
              <w:t>No</w:t>
            </w:r>
          </w:p>
        </w:tc>
      </w:tr>
      <w:tr w:rsidR="000D07EA" w14:paraId="09066E2F" w14:textId="77777777">
        <w:tc>
          <w:tcPr>
            <w:tcW w:w="2635" w:type="dxa"/>
            <w:shd w:val="clear" w:color="auto" w:fill="auto"/>
          </w:tcPr>
          <w:p w14:paraId="4C8F96C9" w14:textId="77777777" w:rsidR="000D07EA" w:rsidRDefault="00BE7C89">
            <w:pPr>
              <w:pStyle w:val="BodyText"/>
              <w:spacing w:before="100" w:after="100"/>
            </w:pPr>
            <w:r>
              <w:rPr>
                <w:b/>
                <w:bCs/>
              </w:rPr>
              <w:t>Available on a Fixed Term Length Agreement</w:t>
            </w:r>
            <w:r>
              <w:t xml:space="preserve"> (12 or 24 Months)</w:t>
            </w:r>
          </w:p>
        </w:tc>
        <w:tc>
          <w:tcPr>
            <w:tcW w:w="1402" w:type="dxa"/>
            <w:shd w:val="clear" w:color="auto" w:fill="auto"/>
            <w:vAlign w:val="center"/>
          </w:tcPr>
          <w:p w14:paraId="3B9884DF" w14:textId="77777777" w:rsidR="000D07EA" w:rsidRDefault="00BE7C89">
            <w:pPr>
              <w:pStyle w:val="BodyText"/>
              <w:spacing w:before="100" w:after="100"/>
              <w:jc w:val="center"/>
            </w:pPr>
            <w:r>
              <w:t>Yes</w:t>
            </w:r>
          </w:p>
        </w:tc>
        <w:tc>
          <w:tcPr>
            <w:tcW w:w="1403" w:type="dxa"/>
            <w:shd w:val="clear" w:color="auto" w:fill="auto"/>
            <w:vAlign w:val="center"/>
          </w:tcPr>
          <w:p w14:paraId="652E2F68" w14:textId="77777777" w:rsidR="000D07EA" w:rsidRDefault="00BE7C89">
            <w:pPr>
              <w:pStyle w:val="BodyText"/>
              <w:spacing w:before="100" w:after="100"/>
              <w:jc w:val="center"/>
            </w:pPr>
            <w:r>
              <w:t>Yes</w:t>
            </w:r>
          </w:p>
        </w:tc>
        <w:tc>
          <w:tcPr>
            <w:tcW w:w="1402" w:type="dxa"/>
            <w:shd w:val="clear" w:color="auto" w:fill="auto"/>
            <w:vAlign w:val="center"/>
          </w:tcPr>
          <w:p w14:paraId="37DDA52A" w14:textId="77777777" w:rsidR="000D07EA" w:rsidRDefault="00BE7C89">
            <w:pPr>
              <w:pStyle w:val="BodyText"/>
              <w:spacing w:before="100" w:after="100"/>
              <w:jc w:val="center"/>
            </w:pPr>
            <w:r>
              <w:t>Yes</w:t>
            </w:r>
          </w:p>
        </w:tc>
        <w:tc>
          <w:tcPr>
            <w:tcW w:w="1403" w:type="dxa"/>
            <w:shd w:val="clear" w:color="auto" w:fill="auto"/>
            <w:vAlign w:val="center"/>
          </w:tcPr>
          <w:p w14:paraId="4D1603D0" w14:textId="77777777" w:rsidR="000D07EA" w:rsidRDefault="00BE7C89">
            <w:pPr>
              <w:pStyle w:val="BodyText"/>
              <w:spacing w:before="100" w:after="100"/>
              <w:jc w:val="center"/>
            </w:pPr>
            <w:r>
              <w:t>Yes</w:t>
            </w:r>
          </w:p>
        </w:tc>
        <w:tc>
          <w:tcPr>
            <w:tcW w:w="1403" w:type="dxa"/>
            <w:shd w:val="clear" w:color="auto" w:fill="auto"/>
            <w:vAlign w:val="center"/>
          </w:tcPr>
          <w:p w14:paraId="609D2E4F" w14:textId="77777777" w:rsidR="000D07EA" w:rsidRDefault="00BE7C89">
            <w:pPr>
              <w:pStyle w:val="BodyText"/>
              <w:spacing w:before="100" w:after="100"/>
              <w:jc w:val="center"/>
            </w:pPr>
            <w:r>
              <w:t>Yes</w:t>
            </w:r>
          </w:p>
        </w:tc>
      </w:tr>
      <w:tr w:rsidR="000D07EA" w14:paraId="585A12E2" w14:textId="77777777">
        <w:tc>
          <w:tcPr>
            <w:tcW w:w="2635" w:type="dxa"/>
            <w:shd w:val="clear" w:color="auto" w:fill="auto"/>
          </w:tcPr>
          <w:p w14:paraId="56BDC09D" w14:textId="77777777" w:rsidR="000D07EA" w:rsidRDefault="00BE7C89">
            <w:pPr>
              <w:pStyle w:val="BodyText"/>
              <w:spacing w:before="100" w:after="100"/>
            </w:pPr>
            <w:r>
              <w:rPr>
                <w:b/>
                <w:bCs/>
              </w:rPr>
              <w:t xml:space="preserve">Minimum Total Cost of the Business Complete Plans over a 24 month minimum term </w:t>
            </w:r>
            <w:r>
              <w:t>(amount excludes handset repayments if any)</w:t>
            </w:r>
          </w:p>
        </w:tc>
        <w:tc>
          <w:tcPr>
            <w:tcW w:w="1402" w:type="dxa"/>
            <w:shd w:val="clear" w:color="auto" w:fill="auto"/>
            <w:vAlign w:val="center"/>
          </w:tcPr>
          <w:p w14:paraId="48932213" w14:textId="77777777" w:rsidR="000D07EA" w:rsidRDefault="00BE7C89">
            <w:pPr>
              <w:pStyle w:val="BodyText"/>
              <w:spacing w:before="100" w:after="100"/>
              <w:jc w:val="center"/>
            </w:pPr>
            <w:r>
              <w:t>$720</w:t>
            </w:r>
          </w:p>
        </w:tc>
        <w:tc>
          <w:tcPr>
            <w:tcW w:w="1403" w:type="dxa"/>
            <w:shd w:val="clear" w:color="auto" w:fill="auto"/>
            <w:vAlign w:val="center"/>
          </w:tcPr>
          <w:p w14:paraId="4F8F00FA" w14:textId="77777777" w:rsidR="000D07EA" w:rsidRDefault="00BE7C89">
            <w:pPr>
              <w:pStyle w:val="BodyText"/>
              <w:spacing w:before="100" w:after="100"/>
              <w:jc w:val="center"/>
            </w:pPr>
            <w:r>
              <w:t>$840</w:t>
            </w:r>
          </w:p>
        </w:tc>
        <w:tc>
          <w:tcPr>
            <w:tcW w:w="1402" w:type="dxa"/>
            <w:shd w:val="clear" w:color="auto" w:fill="auto"/>
            <w:vAlign w:val="center"/>
          </w:tcPr>
          <w:p w14:paraId="3C255B00" w14:textId="77777777" w:rsidR="000D07EA" w:rsidRDefault="00BE7C89">
            <w:pPr>
              <w:pStyle w:val="BodyText"/>
              <w:spacing w:before="100" w:after="100"/>
              <w:jc w:val="center"/>
            </w:pPr>
            <w:r>
              <w:t>$1200</w:t>
            </w:r>
          </w:p>
        </w:tc>
        <w:tc>
          <w:tcPr>
            <w:tcW w:w="1403" w:type="dxa"/>
            <w:shd w:val="clear" w:color="auto" w:fill="auto"/>
            <w:vAlign w:val="center"/>
          </w:tcPr>
          <w:p w14:paraId="0020E339" w14:textId="77777777" w:rsidR="000D07EA" w:rsidRDefault="00BE7C89">
            <w:pPr>
              <w:pStyle w:val="BodyText"/>
              <w:spacing w:before="100" w:after="100"/>
              <w:jc w:val="center"/>
            </w:pPr>
            <w:r>
              <w:t>$1440</w:t>
            </w:r>
          </w:p>
        </w:tc>
        <w:tc>
          <w:tcPr>
            <w:tcW w:w="1403" w:type="dxa"/>
            <w:shd w:val="clear" w:color="auto" w:fill="auto"/>
            <w:vAlign w:val="center"/>
          </w:tcPr>
          <w:p w14:paraId="08B9BB7B" w14:textId="77777777" w:rsidR="000D07EA" w:rsidRDefault="00BE7C89">
            <w:pPr>
              <w:pStyle w:val="BodyText"/>
              <w:spacing w:before="100" w:after="100"/>
              <w:jc w:val="center"/>
            </w:pPr>
            <w:r>
              <w:t>$1920</w:t>
            </w:r>
          </w:p>
        </w:tc>
      </w:tr>
      <w:tr w:rsidR="000D07EA" w14:paraId="2A1BC654" w14:textId="77777777">
        <w:tc>
          <w:tcPr>
            <w:tcW w:w="2635" w:type="dxa"/>
            <w:shd w:val="clear" w:color="auto" w:fill="auto"/>
          </w:tcPr>
          <w:p w14:paraId="12934EF9" w14:textId="77777777" w:rsidR="000D07EA" w:rsidRDefault="00BE7C89">
            <w:pPr>
              <w:pStyle w:val="BodyText"/>
              <w:keepNext/>
              <w:spacing w:before="100" w:after="100"/>
            </w:pPr>
            <w:r>
              <w:rPr>
                <w:b/>
                <w:bCs/>
              </w:rPr>
              <w:t xml:space="preserve">Minimum Total Cost of the Business Complete Plans over a 12 month minimum term </w:t>
            </w:r>
            <w:r>
              <w:t>(amount excludes handset repayments if any)</w:t>
            </w:r>
          </w:p>
        </w:tc>
        <w:tc>
          <w:tcPr>
            <w:tcW w:w="1402" w:type="dxa"/>
            <w:shd w:val="clear" w:color="auto" w:fill="auto"/>
            <w:vAlign w:val="center"/>
          </w:tcPr>
          <w:p w14:paraId="384959B5" w14:textId="77777777" w:rsidR="000D07EA" w:rsidRDefault="00BE7C89">
            <w:pPr>
              <w:pStyle w:val="BodyText"/>
              <w:keepNext/>
              <w:spacing w:before="100" w:after="100"/>
              <w:jc w:val="center"/>
            </w:pPr>
            <w:r>
              <w:t>$360</w:t>
            </w:r>
          </w:p>
        </w:tc>
        <w:tc>
          <w:tcPr>
            <w:tcW w:w="1403" w:type="dxa"/>
            <w:shd w:val="clear" w:color="auto" w:fill="auto"/>
            <w:vAlign w:val="center"/>
          </w:tcPr>
          <w:p w14:paraId="710357E2" w14:textId="77777777" w:rsidR="000D07EA" w:rsidRDefault="00BE7C89">
            <w:pPr>
              <w:pStyle w:val="BodyText"/>
              <w:keepNext/>
              <w:spacing w:before="100" w:after="100"/>
              <w:jc w:val="center"/>
            </w:pPr>
            <w:r>
              <w:t>$420</w:t>
            </w:r>
          </w:p>
        </w:tc>
        <w:tc>
          <w:tcPr>
            <w:tcW w:w="1402" w:type="dxa"/>
            <w:shd w:val="clear" w:color="auto" w:fill="auto"/>
            <w:vAlign w:val="center"/>
          </w:tcPr>
          <w:p w14:paraId="284F5EDB" w14:textId="77777777" w:rsidR="000D07EA" w:rsidRDefault="00BE7C89">
            <w:pPr>
              <w:pStyle w:val="BodyText"/>
              <w:keepNext/>
              <w:spacing w:before="100" w:after="100"/>
              <w:jc w:val="center"/>
            </w:pPr>
            <w:r>
              <w:t>$600</w:t>
            </w:r>
          </w:p>
        </w:tc>
        <w:tc>
          <w:tcPr>
            <w:tcW w:w="1403" w:type="dxa"/>
            <w:shd w:val="clear" w:color="auto" w:fill="auto"/>
            <w:vAlign w:val="center"/>
          </w:tcPr>
          <w:p w14:paraId="07F6C4D0" w14:textId="77777777" w:rsidR="000D07EA" w:rsidRDefault="00BE7C89">
            <w:pPr>
              <w:pStyle w:val="BodyText"/>
              <w:keepNext/>
              <w:spacing w:before="100" w:after="100"/>
              <w:jc w:val="center"/>
            </w:pPr>
            <w:r>
              <w:t>$720</w:t>
            </w:r>
          </w:p>
        </w:tc>
        <w:tc>
          <w:tcPr>
            <w:tcW w:w="1403" w:type="dxa"/>
            <w:shd w:val="clear" w:color="auto" w:fill="auto"/>
            <w:vAlign w:val="center"/>
          </w:tcPr>
          <w:p w14:paraId="20E91D75" w14:textId="77777777" w:rsidR="000D07EA" w:rsidRDefault="00BE7C89">
            <w:pPr>
              <w:pStyle w:val="BodyText"/>
              <w:keepNext/>
              <w:spacing w:before="100" w:after="100"/>
              <w:jc w:val="center"/>
            </w:pPr>
            <w:r>
              <w:t>$960</w:t>
            </w:r>
          </w:p>
        </w:tc>
      </w:tr>
    </w:tbl>
    <w:p w14:paraId="06946088" w14:textId="77777777" w:rsidR="000D07EA" w:rsidRDefault="00BE7C89">
      <w:pPr>
        <w:pStyle w:val="Heading6"/>
        <w:spacing w:before="240"/>
        <w:ind w:left="0" w:firstLine="0"/>
      </w:pPr>
      <w:r>
        <w:t xml:space="preserve">What happens if the </w:t>
      </w:r>
      <w:r>
        <w:rPr>
          <w:i/>
        </w:rPr>
        <w:t xml:space="preserve">service is cancelled </w:t>
      </w:r>
      <w:r>
        <w:t xml:space="preserve">early? </w:t>
      </w:r>
    </w:p>
    <w:p w14:paraId="0547F6FC" w14:textId="77777777" w:rsidR="000D07EA" w:rsidRDefault="00BE7C89">
      <w:pPr>
        <w:pStyle w:val="Heading7"/>
      </w:pPr>
      <w:r>
        <w:t xml:space="preserve">If </w:t>
      </w:r>
      <w:r>
        <w:rPr>
          <w:i/>
        </w:rPr>
        <w:t>the service</w:t>
      </w:r>
      <w:r>
        <w:t xml:space="preserve"> </w:t>
      </w:r>
      <w:r>
        <w:rPr>
          <w:i/>
        </w:rPr>
        <w:t xml:space="preserve">is cancelled </w:t>
      </w:r>
      <w:r>
        <w:t xml:space="preserve">before the expiry of the </w:t>
      </w:r>
      <w:r>
        <w:rPr>
          <w:i/>
        </w:rPr>
        <w:t xml:space="preserve">minimum term, you </w:t>
      </w:r>
      <w:r>
        <w:t xml:space="preserve">will be required to pay </w:t>
      </w:r>
      <w:r>
        <w:rPr>
          <w:i/>
        </w:rPr>
        <w:t>us</w:t>
      </w:r>
      <w:r>
        <w:t>:</w:t>
      </w:r>
    </w:p>
    <w:p w14:paraId="34DAD027" w14:textId="77777777" w:rsidR="000D07EA" w:rsidRDefault="00BE7C89">
      <w:pPr>
        <w:pStyle w:val="Heading8"/>
      </w:pPr>
      <w:r>
        <w:t xml:space="preserve">any usage charges incurred up to, and including, the </w:t>
      </w:r>
      <w:r>
        <w:rPr>
          <w:i/>
        </w:rPr>
        <w:t xml:space="preserve">cancellation date; </w:t>
      </w:r>
      <w:r>
        <w:t>plus</w:t>
      </w:r>
    </w:p>
    <w:p w14:paraId="49704142" w14:textId="77777777" w:rsidR="000D07EA" w:rsidRDefault="00BE7C89">
      <w:pPr>
        <w:pStyle w:val="Heading8"/>
      </w:pPr>
      <w:r>
        <w:t xml:space="preserve">the </w:t>
      </w:r>
      <w:r>
        <w:rPr>
          <w:i/>
        </w:rPr>
        <w:t xml:space="preserve">cancellation fee </w:t>
      </w:r>
      <w:r>
        <w:t xml:space="preserve">set in paragraphs </w:t>
      </w:r>
      <w:r>
        <w:fldChar w:fldCharType="begin"/>
      </w:r>
      <w:r>
        <w:instrText xml:space="preserve"> REF _Ref461554193 \n \h </w:instrText>
      </w:r>
      <w:r>
        <w:fldChar w:fldCharType="separate"/>
      </w:r>
      <w:r w:rsidR="0004083A">
        <w:t>(b)</w:t>
      </w:r>
      <w:r>
        <w:fldChar w:fldCharType="end"/>
      </w:r>
      <w:r>
        <w:t xml:space="preserve"> and </w:t>
      </w:r>
      <w:r>
        <w:fldChar w:fldCharType="begin"/>
      </w:r>
      <w:r>
        <w:instrText xml:space="preserve"> REF _Ref461554202 \n \h </w:instrText>
      </w:r>
      <w:r>
        <w:fldChar w:fldCharType="separate"/>
      </w:r>
      <w:r w:rsidR="0004083A">
        <w:t>(c)</w:t>
      </w:r>
      <w:r>
        <w:fldChar w:fldCharType="end"/>
      </w:r>
      <w:r>
        <w:t xml:space="preserve"> below (unless under clause 2A of the </w:t>
      </w:r>
      <w:r>
        <w:rPr>
          <w:i/>
        </w:rPr>
        <w:t xml:space="preserve">SME terms, you </w:t>
      </w:r>
      <w:r>
        <w:t xml:space="preserve">are entitled to </w:t>
      </w:r>
      <w:r>
        <w:rPr>
          <w:i/>
        </w:rPr>
        <w:t xml:space="preserve">cancel the service </w:t>
      </w:r>
      <w:r>
        <w:t xml:space="preserve">without incurring a </w:t>
      </w:r>
      <w:r>
        <w:rPr>
          <w:i/>
        </w:rPr>
        <w:t>cancellation fee)</w:t>
      </w:r>
      <w:r>
        <w:t>; plus</w:t>
      </w:r>
    </w:p>
    <w:p w14:paraId="728459B0" w14:textId="77777777" w:rsidR="000D07EA" w:rsidRDefault="00BE7C89">
      <w:pPr>
        <w:pStyle w:val="Heading8"/>
      </w:pPr>
      <w:r>
        <w:t xml:space="preserve">the sum of unpaid </w:t>
      </w:r>
      <w:r>
        <w:rPr>
          <w:i/>
        </w:rPr>
        <w:t xml:space="preserve">equipment charges </w:t>
      </w:r>
      <w:r>
        <w:t xml:space="preserve">owing on </w:t>
      </w:r>
      <w:r>
        <w:rPr>
          <w:i/>
        </w:rPr>
        <w:t xml:space="preserve">your mobile phone </w:t>
      </w:r>
      <w:r>
        <w:t xml:space="preserve">under the </w:t>
      </w:r>
      <w:r>
        <w:rPr>
          <w:i/>
        </w:rPr>
        <w:t xml:space="preserve">mobile equipment payment plan </w:t>
      </w:r>
      <w:r>
        <w:t>(if any)</w:t>
      </w:r>
      <w:r>
        <w:rPr>
          <w:i/>
        </w:rPr>
        <w:t>.</w:t>
      </w:r>
    </w:p>
    <w:p w14:paraId="5A71B789" w14:textId="77777777" w:rsidR="000D07EA" w:rsidRDefault="00BE7C89">
      <w:pPr>
        <w:pStyle w:val="Heading7"/>
      </w:pPr>
      <w:bookmarkStart w:id="705" w:name="_Ref461554193"/>
      <w:r>
        <w:t xml:space="preserve">The </w:t>
      </w:r>
      <w:r>
        <w:rPr>
          <w:i/>
        </w:rPr>
        <w:t>cancellation fee</w:t>
      </w:r>
      <w:r>
        <w:t xml:space="preserve"> for a 24 month </w:t>
      </w:r>
      <w:r>
        <w:rPr>
          <w:i/>
        </w:rPr>
        <w:t xml:space="preserve">fixed length agreement </w:t>
      </w:r>
      <w:r>
        <w:t xml:space="preserve">is calculated as a fixed amount if the </w:t>
      </w:r>
      <w:r>
        <w:rPr>
          <w:i/>
        </w:rPr>
        <w:t xml:space="preserve">service </w:t>
      </w:r>
      <w:r>
        <w:t xml:space="preserve">is </w:t>
      </w:r>
      <w:r>
        <w:rPr>
          <w:i/>
        </w:rPr>
        <w:t xml:space="preserve">cancelled </w:t>
      </w:r>
      <w:r>
        <w:t xml:space="preserve">during the first 12 months of the </w:t>
      </w:r>
      <w:r>
        <w:rPr>
          <w:i/>
        </w:rPr>
        <w:t>minimum term</w:t>
      </w:r>
      <w:r>
        <w:t xml:space="preserve"> and then a pro-rata reduction </w:t>
      </w:r>
      <w:r>
        <w:lastRenderedPageBreak/>
        <w:t xml:space="preserve">of that fee (indicated as a percentage in brackets in the first column of the table below) if the </w:t>
      </w:r>
      <w:r>
        <w:rPr>
          <w:i/>
        </w:rPr>
        <w:t xml:space="preserve">service </w:t>
      </w:r>
      <w:r>
        <w:t xml:space="preserve">is </w:t>
      </w:r>
      <w:r>
        <w:rPr>
          <w:i/>
        </w:rPr>
        <w:t xml:space="preserve">cancelled </w:t>
      </w:r>
      <w:r>
        <w:t xml:space="preserve">during the second year of the </w:t>
      </w:r>
      <w:r>
        <w:rPr>
          <w:i/>
        </w:rPr>
        <w:t>minimum term</w:t>
      </w:r>
      <w:r>
        <w:t>.</w:t>
      </w:r>
      <w:bookmarkEnd w:id="705"/>
    </w:p>
    <w:p w14:paraId="579AF3AF" w14:textId="77777777" w:rsidR="000D07EA" w:rsidRDefault="00BE7C89">
      <w:pPr>
        <w:pStyle w:val="Heading7"/>
      </w:pPr>
      <w:bookmarkStart w:id="706" w:name="_Ref461554202"/>
      <w:r>
        <w:t xml:space="preserve">The </w:t>
      </w:r>
      <w:r>
        <w:rPr>
          <w:i/>
        </w:rPr>
        <w:t>cancellation fee</w:t>
      </w:r>
      <w:r>
        <w:t xml:space="preserve"> for a 12 month </w:t>
      </w:r>
      <w:r>
        <w:rPr>
          <w:i/>
        </w:rPr>
        <w:t xml:space="preserve">fixed length agreement </w:t>
      </w:r>
      <w:r>
        <w:t xml:space="preserve">is calculated as a fixed amount if the </w:t>
      </w:r>
      <w:r>
        <w:rPr>
          <w:i/>
        </w:rPr>
        <w:t xml:space="preserve">service </w:t>
      </w:r>
      <w:r>
        <w:t xml:space="preserve">is </w:t>
      </w:r>
      <w:r>
        <w:rPr>
          <w:i/>
        </w:rPr>
        <w:t xml:space="preserve">cancelled </w:t>
      </w:r>
      <w:r>
        <w:t xml:space="preserve">during the first 6 months of the </w:t>
      </w:r>
      <w:r>
        <w:rPr>
          <w:i/>
        </w:rPr>
        <w:t>minimum term</w:t>
      </w:r>
      <w:r>
        <w:t xml:space="preserve"> and then a pro-rata reduction of that fee (indicated as a percentage in brackets in the first column of the table below) if the </w:t>
      </w:r>
      <w:r>
        <w:rPr>
          <w:i/>
        </w:rPr>
        <w:t xml:space="preserve">service </w:t>
      </w:r>
      <w:r>
        <w:t xml:space="preserve">is </w:t>
      </w:r>
      <w:r>
        <w:rPr>
          <w:i/>
        </w:rPr>
        <w:t xml:space="preserve">cancelled </w:t>
      </w:r>
      <w:r>
        <w:t xml:space="preserve">during the last 6 months of the </w:t>
      </w:r>
      <w:r>
        <w:rPr>
          <w:i/>
        </w:rPr>
        <w:t>minimum term</w:t>
      </w:r>
      <w:r>
        <w:t>.</w:t>
      </w:r>
      <w:bookmarkEnd w:id="706"/>
    </w:p>
    <w:tbl>
      <w:tblPr>
        <w:tblW w:w="4632"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362"/>
        <w:gridCol w:w="1414"/>
        <w:gridCol w:w="1416"/>
        <w:gridCol w:w="1414"/>
        <w:gridCol w:w="1416"/>
        <w:gridCol w:w="1416"/>
      </w:tblGrid>
      <w:tr w:rsidR="000D07EA" w14:paraId="24F1E92D" w14:textId="77777777">
        <w:trPr>
          <w:trHeight w:val="63"/>
          <w:tblHeader/>
        </w:trPr>
        <w:tc>
          <w:tcPr>
            <w:tcW w:w="1252" w:type="pct"/>
            <w:shd w:val="clear" w:color="auto" w:fill="auto"/>
            <w:vAlign w:val="center"/>
          </w:tcPr>
          <w:p w14:paraId="6E837682" w14:textId="77777777" w:rsidR="000D07EA" w:rsidRDefault="00BE7C89">
            <w:pPr>
              <w:pStyle w:val="BodyText"/>
              <w:spacing w:before="100" w:after="100"/>
              <w:rPr>
                <w:b/>
              </w:rPr>
            </w:pPr>
            <w:r>
              <w:rPr>
                <w:b/>
              </w:rPr>
              <w:t xml:space="preserve">When the service is </w:t>
            </w:r>
            <w:r>
              <w:rPr>
                <w:b/>
                <w:i/>
              </w:rPr>
              <w:t>cancelled</w:t>
            </w:r>
          </w:p>
        </w:tc>
        <w:tc>
          <w:tcPr>
            <w:tcW w:w="3748" w:type="pct"/>
            <w:gridSpan w:val="5"/>
            <w:shd w:val="clear" w:color="auto" w:fill="auto"/>
            <w:vAlign w:val="center"/>
          </w:tcPr>
          <w:p w14:paraId="446655AF" w14:textId="77777777" w:rsidR="000D07EA" w:rsidRDefault="00BE7C89">
            <w:pPr>
              <w:pStyle w:val="BodyText"/>
              <w:spacing w:before="100" w:after="100"/>
              <w:jc w:val="center"/>
              <w:rPr>
                <w:b/>
                <w:i/>
              </w:rPr>
            </w:pPr>
            <w:r>
              <w:rPr>
                <w:b/>
                <w:i/>
              </w:rPr>
              <w:t>Cancellation Fee</w:t>
            </w:r>
          </w:p>
        </w:tc>
      </w:tr>
      <w:tr w:rsidR="000D07EA" w14:paraId="1280D355" w14:textId="77777777">
        <w:trPr>
          <w:trHeight w:val="63"/>
          <w:tblHeader/>
        </w:trPr>
        <w:tc>
          <w:tcPr>
            <w:tcW w:w="1252" w:type="pct"/>
            <w:shd w:val="clear" w:color="auto" w:fill="auto"/>
            <w:vAlign w:val="center"/>
          </w:tcPr>
          <w:p w14:paraId="6F8B2B93" w14:textId="77777777" w:rsidR="000D07EA" w:rsidRDefault="000D07EA">
            <w:pPr>
              <w:pStyle w:val="BodyText"/>
              <w:spacing w:before="100" w:after="100"/>
            </w:pPr>
          </w:p>
        </w:tc>
        <w:tc>
          <w:tcPr>
            <w:tcW w:w="3748" w:type="pct"/>
            <w:gridSpan w:val="5"/>
            <w:shd w:val="clear" w:color="auto" w:fill="auto"/>
            <w:vAlign w:val="center"/>
          </w:tcPr>
          <w:p w14:paraId="4913AA80" w14:textId="77777777" w:rsidR="000D07EA" w:rsidRDefault="00BE7C89">
            <w:pPr>
              <w:pStyle w:val="BodyText"/>
              <w:spacing w:before="100" w:after="100"/>
              <w:jc w:val="center"/>
              <w:rPr>
                <w:b/>
              </w:rPr>
            </w:pPr>
            <w:r>
              <w:rPr>
                <w:b/>
              </w:rPr>
              <w:t>Business Complete Plans – 24 Month Contract</w:t>
            </w:r>
          </w:p>
        </w:tc>
      </w:tr>
      <w:tr w:rsidR="000D07EA" w14:paraId="6D6B85AE" w14:textId="77777777">
        <w:trPr>
          <w:trHeight w:val="260"/>
          <w:tblHeader/>
        </w:trPr>
        <w:tc>
          <w:tcPr>
            <w:tcW w:w="1252" w:type="pct"/>
            <w:shd w:val="clear" w:color="auto" w:fill="auto"/>
            <w:vAlign w:val="center"/>
          </w:tcPr>
          <w:p w14:paraId="73382DC1" w14:textId="77777777" w:rsidR="000D07EA" w:rsidRDefault="000D07EA">
            <w:pPr>
              <w:pStyle w:val="BodyText"/>
              <w:spacing w:before="100" w:after="100"/>
            </w:pPr>
          </w:p>
        </w:tc>
        <w:tc>
          <w:tcPr>
            <w:tcW w:w="749" w:type="pct"/>
            <w:shd w:val="clear" w:color="auto" w:fill="auto"/>
            <w:vAlign w:val="center"/>
          </w:tcPr>
          <w:p w14:paraId="4D404910" w14:textId="77777777" w:rsidR="000D07EA" w:rsidRDefault="00BE7C89">
            <w:pPr>
              <w:pStyle w:val="BodyText"/>
              <w:spacing w:before="100" w:after="100"/>
              <w:jc w:val="center"/>
              <w:rPr>
                <w:b/>
              </w:rPr>
            </w:pPr>
            <w:r>
              <w:rPr>
                <w:b/>
              </w:rPr>
              <w:t>$30 Business Complete Plan MRO (4G Sept 2012)</w:t>
            </w:r>
          </w:p>
        </w:tc>
        <w:tc>
          <w:tcPr>
            <w:tcW w:w="750" w:type="pct"/>
            <w:shd w:val="clear" w:color="auto" w:fill="auto"/>
            <w:vAlign w:val="center"/>
          </w:tcPr>
          <w:p w14:paraId="363FBFB5" w14:textId="77777777" w:rsidR="000D07EA" w:rsidRDefault="00BE7C89">
            <w:pPr>
              <w:pStyle w:val="BodyText"/>
              <w:spacing w:before="100" w:after="100"/>
              <w:jc w:val="center"/>
              <w:rPr>
                <w:b/>
              </w:rPr>
            </w:pPr>
            <w:r>
              <w:rPr>
                <w:b/>
              </w:rPr>
              <w:t>$35 Business Complete Plan MRO (4G Sept 2012)</w:t>
            </w:r>
          </w:p>
        </w:tc>
        <w:tc>
          <w:tcPr>
            <w:tcW w:w="749" w:type="pct"/>
            <w:shd w:val="clear" w:color="auto" w:fill="auto"/>
            <w:vAlign w:val="center"/>
          </w:tcPr>
          <w:p w14:paraId="46AA54E0" w14:textId="77777777" w:rsidR="000D07EA" w:rsidRDefault="00BE7C89">
            <w:pPr>
              <w:pStyle w:val="BodyText"/>
              <w:spacing w:before="100" w:after="100"/>
              <w:jc w:val="center"/>
              <w:rPr>
                <w:b/>
              </w:rPr>
            </w:pPr>
            <w:r>
              <w:rPr>
                <w:b/>
              </w:rPr>
              <w:t>$50 Business Complete Plan MRO (4G Sept 2012)</w:t>
            </w:r>
          </w:p>
        </w:tc>
        <w:tc>
          <w:tcPr>
            <w:tcW w:w="750" w:type="pct"/>
            <w:shd w:val="clear" w:color="auto" w:fill="auto"/>
            <w:vAlign w:val="center"/>
          </w:tcPr>
          <w:p w14:paraId="0F86F237" w14:textId="77777777" w:rsidR="000D07EA" w:rsidRDefault="00BE7C89">
            <w:pPr>
              <w:pStyle w:val="BodyText"/>
              <w:spacing w:before="100" w:after="100"/>
              <w:jc w:val="center"/>
              <w:rPr>
                <w:b/>
              </w:rPr>
            </w:pPr>
            <w:r>
              <w:rPr>
                <w:b/>
              </w:rPr>
              <w:t>$60 Business Complete Plan MRO (4G Sept 2012)</w:t>
            </w:r>
          </w:p>
        </w:tc>
        <w:tc>
          <w:tcPr>
            <w:tcW w:w="750" w:type="pct"/>
            <w:shd w:val="clear" w:color="auto" w:fill="auto"/>
            <w:vAlign w:val="center"/>
          </w:tcPr>
          <w:p w14:paraId="4706DD7B" w14:textId="77777777" w:rsidR="000D07EA" w:rsidRDefault="00BE7C89">
            <w:pPr>
              <w:pStyle w:val="BodyText"/>
              <w:spacing w:before="100" w:after="100"/>
              <w:jc w:val="center"/>
              <w:rPr>
                <w:b/>
              </w:rPr>
            </w:pPr>
            <w:r>
              <w:rPr>
                <w:b/>
              </w:rPr>
              <w:t>$80 Business Complete Plan MRO (4G Sept 2012)</w:t>
            </w:r>
          </w:p>
        </w:tc>
      </w:tr>
      <w:tr w:rsidR="000D07EA" w14:paraId="6AFEBD8C" w14:textId="77777777">
        <w:trPr>
          <w:trHeight w:val="63"/>
        </w:trPr>
        <w:tc>
          <w:tcPr>
            <w:tcW w:w="1252" w:type="pct"/>
            <w:shd w:val="clear" w:color="auto" w:fill="auto"/>
            <w:vAlign w:val="center"/>
          </w:tcPr>
          <w:p w14:paraId="50F467C9" w14:textId="77777777" w:rsidR="000D07EA" w:rsidRDefault="00BE7C89">
            <w:pPr>
              <w:pStyle w:val="BodyText"/>
              <w:spacing w:before="100" w:after="100"/>
              <w:rPr>
                <w:b/>
              </w:rPr>
            </w:pPr>
            <w:r>
              <w:rPr>
                <w:b/>
              </w:rPr>
              <w:t xml:space="preserve">During the first 12 months - Initial </w:t>
            </w:r>
            <w:r>
              <w:rPr>
                <w:b/>
                <w:i/>
              </w:rPr>
              <w:t>cancellation fee</w:t>
            </w:r>
          </w:p>
        </w:tc>
        <w:tc>
          <w:tcPr>
            <w:tcW w:w="749" w:type="pct"/>
            <w:shd w:val="clear" w:color="auto" w:fill="auto"/>
            <w:vAlign w:val="center"/>
          </w:tcPr>
          <w:p w14:paraId="4B3E625C" w14:textId="77777777" w:rsidR="000D07EA" w:rsidRDefault="00BE7C89">
            <w:pPr>
              <w:pStyle w:val="BodyText"/>
              <w:spacing w:before="100" w:after="100"/>
              <w:jc w:val="center"/>
            </w:pPr>
            <w:r>
              <w:t>$560</w:t>
            </w:r>
          </w:p>
        </w:tc>
        <w:tc>
          <w:tcPr>
            <w:tcW w:w="750" w:type="pct"/>
            <w:shd w:val="clear" w:color="auto" w:fill="auto"/>
            <w:vAlign w:val="center"/>
          </w:tcPr>
          <w:p w14:paraId="3350432E" w14:textId="77777777" w:rsidR="000D07EA" w:rsidRDefault="00BE7C89">
            <w:pPr>
              <w:pStyle w:val="BodyText"/>
              <w:spacing w:before="100" w:after="100"/>
              <w:jc w:val="center"/>
            </w:pPr>
            <w:r>
              <w:t>$590</w:t>
            </w:r>
          </w:p>
        </w:tc>
        <w:tc>
          <w:tcPr>
            <w:tcW w:w="749" w:type="pct"/>
            <w:shd w:val="clear" w:color="auto" w:fill="auto"/>
            <w:vAlign w:val="center"/>
          </w:tcPr>
          <w:p w14:paraId="292E1ACC" w14:textId="77777777" w:rsidR="000D07EA" w:rsidRDefault="00BE7C89">
            <w:pPr>
              <w:pStyle w:val="BodyText"/>
              <w:spacing w:before="100" w:after="100"/>
              <w:jc w:val="center"/>
            </w:pPr>
            <w:r>
              <w:t>$850</w:t>
            </w:r>
          </w:p>
        </w:tc>
        <w:tc>
          <w:tcPr>
            <w:tcW w:w="750" w:type="pct"/>
            <w:shd w:val="clear" w:color="auto" w:fill="auto"/>
            <w:vAlign w:val="center"/>
          </w:tcPr>
          <w:p w14:paraId="68C6CAD7" w14:textId="77777777" w:rsidR="000D07EA" w:rsidRDefault="00BE7C89">
            <w:pPr>
              <w:pStyle w:val="BodyText"/>
              <w:spacing w:before="100" w:after="100"/>
              <w:jc w:val="center"/>
            </w:pPr>
            <w:r>
              <w:t>$1110</w:t>
            </w:r>
          </w:p>
        </w:tc>
        <w:tc>
          <w:tcPr>
            <w:tcW w:w="750" w:type="pct"/>
            <w:shd w:val="clear" w:color="auto" w:fill="auto"/>
            <w:vAlign w:val="center"/>
          </w:tcPr>
          <w:p w14:paraId="2D6085EE" w14:textId="77777777" w:rsidR="000D07EA" w:rsidRDefault="00BE7C89">
            <w:pPr>
              <w:pStyle w:val="BodyText"/>
              <w:spacing w:before="100" w:after="100"/>
              <w:jc w:val="center"/>
            </w:pPr>
            <w:r>
              <w:t>$1,260</w:t>
            </w:r>
          </w:p>
        </w:tc>
      </w:tr>
      <w:tr w:rsidR="000D07EA" w14:paraId="16279215" w14:textId="77777777">
        <w:trPr>
          <w:trHeight w:val="63"/>
        </w:trPr>
        <w:tc>
          <w:tcPr>
            <w:tcW w:w="1252" w:type="pct"/>
            <w:shd w:val="clear" w:color="auto" w:fill="auto"/>
            <w:vAlign w:val="center"/>
          </w:tcPr>
          <w:p w14:paraId="49BA85A4" w14:textId="77777777" w:rsidR="000D07EA" w:rsidRDefault="00BE7C89">
            <w:pPr>
              <w:pStyle w:val="BodyText"/>
              <w:spacing w:before="100" w:after="100"/>
              <w:rPr>
                <w:b/>
              </w:rPr>
            </w:pPr>
            <w:r>
              <w:rPr>
                <w:b/>
              </w:rPr>
              <w:t xml:space="preserve">Months 13 – 15 (80% of Initial cancellation </w:t>
            </w:r>
            <w:r>
              <w:rPr>
                <w:b/>
                <w:i/>
              </w:rPr>
              <w:t>fee</w:t>
            </w:r>
            <w:r>
              <w:rPr>
                <w:b/>
              </w:rPr>
              <w:t>)</w:t>
            </w:r>
          </w:p>
        </w:tc>
        <w:tc>
          <w:tcPr>
            <w:tcW w:w="749" w:type="pct"/>
            <w:shd w:val="clear" w:color="auto" w:fill="auto"/>
            <w:vAlign w:val="center"/>
          </w:tcPr>
          <w:p w14:paraId="13A5C012" w14:textId="77777777" w:rsidR="000D07EA" w:rsidRDefault="00BE7C89">
            <w:pPr>
              <w:pStyle w:val="BodyText"/>
              <w:spacing w:before="100" w:after="100"/>
              <w:jc w:val="center"/>
            </w:pPr>
            <w:r>
              <w:t>$448</w:t>
            </w:r>
          </w:p>
        </w:tc>
        <w:tc>
          <w:tcPr>
            <w:tcW w:w="750" w:type="pct"/>
            <w:shd w:val="clear" w:color="auto" w:fill="auto"/>
            <w:vAlign w:val="center"/>
          </w:tcPr>
          <w:p w14:paraId="58C61DB2" w14:textId="77777777" w:rsidR="000D07EA" w:rsidRDefault="00BE7C89">
            <w:pPr>
              <w:pStyle w:val="BodyText"/>
              <w:spacing w:before="100" w:after="100"/>
              <w:jc w:val="center"/>
            </w:pPr>
            <w:r>
              <w:t>$472</w:t>
            </w:r>
          </w:p>
        </w:tc>
        <w:tc>
          <w:tcPr>
            <w:tcW w:w="749" w:type="pct"/>
            <w:shd w:val="clear" w:color="auto" w:fill="auto"/>
            <w:vAlign w:val="center"/>
          </w:tcPr>
          <w:p w14:paraId="436E277B" w14:textId="77777777" w:rsidR="000D07EA" w:rsidRDefault="00BE7C89">
            <w:pPr>
              <w:pStyle w:val="BodyText"/>
              <w:spacing w:before="100" w:after="100"/>
              <w:jc w:val="center"/>
            </w:pPr>
            <w:r>
              <w:t>$680</w:t>
            </w:r>
          </w:p>
        </w:tc>
        <w:tc>
          <w:tcPr>
            <w:tcW w:w="750" w:type="pct"/>
            <w:shd w:val="clear" w:color="auto" w:fill="auto"/>
            <w:vAlign w:val="center"/>
          </w:tcPr>
          <w:p w14:paraId="73ED7026" w14:textId="77777777" w:rsidR="000D07EA" w:rsidRDefault="00BE7C89">
            <w:pPr>
              <w:pStyle w:val="BodyText"/>
              <w:spacing w:before="100" w:after="100"/>
              <w:jc w:val="center"/>
            </w:pPr>
            <w:r>
              <w:t>$888</w:t>
            </w:r>
          </w:p>
        </w:tc>
        <w:tc>
          <w:tcPr>
            <w:tcW w:w="750" w:type="pct"/>
            <w:shd w:val="clear" w:color="auto" w:fill="auto"/>
            <w:vAlign w:val="center"/>
          </w:tcPr>
          <w:p w14:paraId="76F4532B" w14:textId="77777777" w:rsidR="000D07EA" w:rsidRDefault="00BE7C89">
            <w:pPr>
              <w:pStyle w:val="BodyText"/>
              <w:spacing w:before="100" w:after="100"/>
              <w:jc w:val="center"/>
            </w:pPr>
            <w:r>
              <w:t>$1,008</w:t>
            </w:r>
          </w:p>
        </w:tc>
      </w:tr>
      <w:tr w:rsidR="000D07EA" w14:paraId="2F6AC8CA" w14:textId="77777777">
        <w:trPr>
          <w:trHeight w:val="275"/>
        </w:trPr>
        <w:tc>
          <w:tcPr>
            <w:tcW w:w="1252" w:type="pct"/>
            <w:shd w:val="clear" w:color="auto" w:fill="auto"/>
            <w:vAlign w:val="center"/>
          </w:tcPr>
          <w:p w14:paraId="071BF40B" w14:textId="77777777" w:rsidR="000D07EA" w:rsidRDefault="00BE7C89">
            <w:pPr>
              <w:pStyle w:val="BodyText"/>
              <w:spacing w:before="100" w:after="100"/>
              <w:rPr>
                <w:b/>
              </w:rPr>
            </w:pPr>
            <w:r>
              <w:rPr>
                <w:b/>
              </w:rPr>
              <w:t xml:space="preserve">Months 16 – 18 (60% of the Initial </w:t>
            </w:r>
            <w:r>
              <w:rPr>
                <w:b/>
                <w:i/>
              </w:rPr>
              <w:t>cancellation fee</w:t>
            </w:r>
            <w:r>
              <w:rPr>
                <w:b/>
              </w:rPr>
              <w:t>)</w:t>
            </w:r>
          </w:p>
        </w:tc>
        <w:tc>
          <w:tcPr>
            <w:tcW w:w="749" w:type="pct"/>
            <w:shd w:val="clear" w:color="auto" w:fill="auto"/>
            <w:vAlign w:val="center"/>
          </w:tcPr>
          <w:p w14:paraId="566DF740" w14:textId="77777777" w:rsidR="000D07EA" w:rsidRDefault="00BE7C89">
            <w:pPr>
              <w:pStyle w:val="BodyText"/>
              <w:spacing w:before="100" w:after="100"/>
              <w:jc w:val="center"/>
            </w:pPr>
            <w:r>
              <w:t>$336</w:t>
            </w:r>
          </w:p>
        </w:tc>
        <w:tc>
          <w:tcPr>
            <w:tcW w:w="750" w:type="pct"/>
            <w:shd w:val="clear" w:color="auto" w:fill="auto"/>
            <w:vAlign w:val="center"/>
          </w:tcPr>
          <w:p w14:paraId="53B3475D" w14:textId="77777777" w:rsidR="000D07EA" w:rsidRDefault="00BE7C89">
            <w:pPr>
              <w:pStyle w:val="BodyText"/>
              <w:spacing w:before="100" w:after="100"/>
              <w:jc w:val="center"/>
            </w:pPr>
            <w:r>
              <w:t>$354</w:t>
            </w:r>
          </w:p>
        </w:tc>
        <w:tc>
          <w:tcPr>
            <w:tcW w:w="749" w:type="pct"/>
            <w:shd w:val="clear" w:color="auto" w:fill="auto"/>
            <w:vAlign w:val="center"/>
          </w:tcPr>
          <w:p w14:paraId="1FC590F4" w14:textId="77777777" w:rsidR="000D07EA" w:rsidRDefault="00BE7C89">
            <w:pPr>
              <w:pStyle w:val="BodyText"/>
              <w:spacing w:before="100" w:after="100"/>
              <w:jc w:val="center"/>
            </w:pPr>
            <w:r>
              <w:t>$510</w:t>
            </w:r>
          </w:p>
        </w:tc>
        <w:tc>
          <w:tcPr>
            <w:tcW w:w="750" w:type="pct"/>
            <w:shd w:val="clear" w:color="auto" w:fill="auto"/>
            <w:vAlign w:val="center"/>
          </w:tcPr>
          <w:p w14:paraId="7956B621" w14:textId="77777777" w:rsidR="000D07EA" w:rsidRDefault="00BE7C89">
            <w:pPr>
              <w:pStyle w:val="BodyText"/>
              <w:spacing w:before="100" w:after="100"/>
              <w:jc w:val="center"/>
            </w:pPr>
            <w:r>
              <w:t>$666</w:t>
            </w:r>
          </w:p>
        </w:tc>
        <w:tc>
          <w:tcPr>
            <w:tcW w:w="750" w:type="pct"/>
            <w:shd w:val="clear" w:color="auto" w:fill="auto"/>
            <w:vAlign w:val="center"/>
          </w:tcPr>
          <w:p w14:paraId="0E9619DC" w14:textId="77777777" w:rsidR="000D07EA" w:rsidRDefault="00BE7C89">
            <w:pPr>
              <w:pStyle w:val="BodyText"/>
              <w:spacing w:before="100" w:after="100"/>
              <w:jc w:val="center"/>
            </w:pPr>
            <w:r>
              <w:t>$756</w:t>
            </w:r>
          </w:p>
        </w:tc>
      </w:tr>
      <w:tr w:rsidR="000D07EA" w14:paraId="7D338EE2" w14:textId="77777777">
        <w:trPr>
          <w:trHeight w:val="289"/>
        </w:trPr>
        <w:tc>
          <w:tcPr>
            <w:tcW w:w="1252" w:type="pct"/>
            <w:shd w:val="clear" w:color="auto" w:fill="auto"/>
            <w:vAlign w:val="center"/>
          </w:tcPr>
          <w:p w14:paraId="2EA5CC3E" w14:textId="77777777" w:rsidR="000D07EA" w:rsidRDefault="00BE7C89">
            <w:pPr>
              <w:pStyle w:val="BodyText"/>
              <w:spacing w:before="100" w:after="100"/>
              <w:rPr>
                <w:b/>
              </w:rPr>
            </w:pPr>
            <w:r>
              <w:rPr>
                <w:b/>
              </w:rPr>
              <w:t xml:space="preserve">Months 19 – 21 (40% of the Initial </w:t>
            </w:r>
            <w:r>
              <w:rPr>
                <w:b/>
                <w:i/>
              </w:rPr>
              <w:t>cancellation fee</w:t>
            </w:r>
            <w:r>
              <w:rPr>
                <w:b/>
              </w:rPr>
              <w:t>)</w:t>
            </w:r>
          </w:p>
        </w:tc>
        <w:tc>
          <w:tcPr>
            <w:tcW w:w="749" w:type="pct"/>
            <w:shd w:val="clear" w:color="auto" w:fill="auto"/>
            <w:vAlign w:val="center"/>
          </w:tcPr>
          <w:p w14:paraId="29993EB7" w14:textId="77777777" w:rsidR="000D07EA" w:rsidRDefault="00BE7C89">
            <w:pPr>
              <w:pStyle w:val="BodyText"/>
              <w:spacing w:before="100" w:after="100"/>
              <w:jc w:val="center"/>
            </w:pPr>
            <w:r>
              <w:t>$224</w:t>
            </w:r>
          </w:p>
        </w:tc>
        <w:tc>
          <w:tcPr>
            <w:tcW w:w="750" w:type="pct"/>
            <w:shd w:val="clear" w:color="auto" w:fill="auto"/>
            <w:vAlign w:val="center"/>
          </w:tcPr>
          <w:p w14:paraId="7707C44D" w14:textId="77777777" w:rsidR="000D07EA" w:rsidRDefault="00BE7C89">
            <w:pPr>
              <w:pStyle w:val="BodyText"/>
              <w:spacing w:before="100" w:after="100"/>
              <w:jc w:val="center"/>
            </w:pPr>
            <w:r>
              <w:t>$236</w:t>
            </w:r>
          </w:p>
        </w:tc>
        <w:tc>
          <w:tcPr>
            <w:tcW w:w="749" w:type="pct"/>
            <w:shd w:val="clear" w:color="auto" w:fill="auto"/>
            <w:vAlign w:val="center"/>
          </w:tcPr>
          <w:p w14:paraId="0002A54E" w14:textId="77777777" w:rsidR="000D07EA" w:rsidRDefault="00BE7C89">
            <w:pPr>
              <w:pStyle w:val="BodyText"/>
              <w:spacing w:before="100" w:after="100"/>
              <w:jc w:val="center"/>
            </w:pPr>
            <w:r>
              <w:t>$340</w:t>
            </w:r>
          </w:p>
        </w:tc>
        <w:tc>
          <w:tcPr>
            <w:tcW w:w="750" w:type="pct"/>
            <w:shd w:val="clear" w:color="auto" w:fill="auto"/>
            <w:vAlign w:val="center"/>
          </w:tcPr>
          <w:p w14:paraId="008C4109" w14:textId="77777777" w:rsidR="000D07EA" w:rsidRDefault="00BE7C89">
            <w:pPr>
              <w:pStyle w:val="BodyText"/>
              <w:spacing w:before="100" w:after="100"/>
              <w:jc w:val="center"/>
            </w:pPr>
            <w:r>
              <w:t>$444</w:t>
            </w:r>
          </w:p>
        </w:tc>
        <w:tc>
          <w:tcPr>
            <w:tcW w:w="750" w:type="pct"/>
            <w:shd w:val="clear" w:color="auto" w:fill="auto"/>
            <w:vAlign w:val="center"/>
          </w:tcPr>
          <w:p w14:paraId="1FA7A361" w14:textId="77777777" w:rsidR="000D07EA" w:rsidRDefault="00BE7C89">
            <w:pPr>
              <w:pStyle w:val="BodyText"/>
              <w:spacing w:before="100" w:after="100"/>
              <w:jc w:val="center"/>
            </w:pPr>
            <w:r>
              <w:t>$504</w:t>
            </w:r>
          </w:p>
        </w:tc>
      </w:tr>
      <w:tr w:rsidR="000D07EA" w14:paraId="4F3437CD" w14:textId="77777777">
        <w:trPr>
          <w:trHeight w:val="289"/>
        </w:trPr>
        <w:tc>
          <w:tcPr>
            <w:tcW w:w="1252" w:type="pct"/>
            <w:shd w:val="clear" w:color="auto" w:fill="auto"/>
            <w:vAlign w:val="center"/>
          </w:tcPr>
          <w:p w14:paraId="3DFD6DC0" w14:textId="77777777" w:rsidR="000D07EA" w:rsidRDefault="00BE7C89">
            <w:pPr>
              <w:pStyle w:val="BodyText"/>
              <w:spacing w:before="100" w:after="100"/>
              <w:rPr>
                <w:b/>
              </w:rPr>
            </w:pPr>
            <w:r>
              <w:rPr>
                <w:b/>
              </w:rPr>
              <w:t xml:space="preserve">Months 22 – 24 (20% of the Initial </w:t>
            </w:r>
            <w:r>
              <w:rPr>
                <w:b/>
                <w:i/>
              </w:rPr>
              <w:t>cancellation fee</w:t>
            </w:r>
            <w:r>
              <w:rPr>
                <w:b/>
              </w:rPr>
              <w:t>)</w:t>
            </w:r>
          </w:p>
        </w:tc>
        <w:tc>
          <w:tcPr>
            <w:tcW w:w="749" w:type="pct"/>
            <w:shd w:val="clear" w:color="auto" w:fill="auto"/>
            <w:vAlign w:val="center"/>
          </w:tcPr>
          <w:p w14:paraId="3E68215D" w14:textId="77777777" w:rsidR="000D07EA" w:rsidRDefault="00BE7C89">
            <w:pPr>
              <w:pStyle w:val="BodyText"/>
              <w:spacing w:before="100" w:after="100"/>
              <w:jc w:val="center"/>
            </w:pPr>
            <w:r>
              <w:t>$112</w:t>
            </w:r>
          </w:p>
        </w:tc>
        <w:tc>
          <w:tcPr>
            <w:tcW w:w="750" w:type="pct"/>
            <w:shd w:val="clear" w:color="auto" w:fill="auto"/>
            <w:vAlign w:val="center"/>
          </w:tcPr>
          <w:p w14:paraId="3BD4B29E" w14:textId="77777777" w:rsidR="000D07EA" w:rsidRDefault="00BE7C89">
            <w:pPr>
              <w:pStyle w:val="BodyText"/>
              <w:spacing w:before="100" w:after="100"/>
              <w:jc w:val="center"/>
            </w:pPr>
            <w:r>
              <w:t>$118</w:t>
            </w:r>
          </w:p>
        </w:tc>
        <w:tc>
          <w:tcPr>
            <w:tcW w:w="749" w:type="pct"/>
            <w:shd w:val="clear" w:color="auto" w:fill="auto"/>
            <w:vAlign w:val="center"/>
          </w:tcPr>
          <w:p w14:paraId="69D53C53" w14:textId="77777777" w:rsidR="000D07EA" w:rsidRDefault="00BE7C89">
            <w:pPr>
              <w:pStyle w:val="BodyText"/>
              <w:spacing w:before="100" w:after="100"/>
              <w:jc w:val="center"/>
            </w:pPr>
            <w:r>
              <w:t>$170</w:t>
            </w:r>
          </w:p>
        </w:tc>
        <w:tc>
          <w:tcPr>
            <w:tcW w:w="750" w:type="pct"/>
            <w:shd w:val="clear" w:color="auto" w:fill="auto"/>
            <w:vAlign w:val="center"/>
          </w:tcPr>
          <w:p w14:paraId="34782FB1" w14:textId="77777777" w:rsidR="000D07EA" w:rsidRDefault="00BE7C89">
            <w:pPr>
              <w:pStyle w:val="BodyText"/>
              <w:spacing w:before="100" w:after="100"/>
              <w:jc w:val="center"/>
            </w:pPr>
            <w:r>
              <w:t>$222</w:t>
            </w:r>
          </w:p>
        </w:tc>
        <w:tc>
          <w:tcPr>
            <w:tcW w:w="750" w:type="pct"/>
            <w:shd w:val="clear" w:color="auto" w:fill="auto"/>
            <w:vAlign w:val="center"/>
          </w:tcPr>
          <w:p w14:paraId="01CA7697" w14:textId="77777777" w:rsidR="000D07EA" w:rsidRDefault="00BE7C89">
            <w:pPr>
              <w:pStyle w:val="BodyText"/>
              <w:spacing w:before="100" w:after="100"/>
              <w:jc w:val="center"/>
            </w:pPr>
            <w:r>
              <w:t>$252</w:t>
            </w:r>
          </w:p>
        </w:tc>
      </w:tr>
    </w:tbl>
    <w:p w14:paraId="214D8F1D" w14:textId="77777777" w:rsidR="000D07EA" w:rsidRDefault="000D07EA">
      <w:pPr>
        <w:pStyle w:val="BodyText"/>
      </w:pPr>
    </w:p>
    <w:tbl>
      <w:tblPr>
        <w:tblW w:w="4632"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121"/>
        <w:gridCol w:w="1463"/>
        <w:gridCol w:w="1463"/>
        <w:gridCol w:w="1463"/>
        <w:gridCol w:w="1463"/>
        <w:gridCol w:w="1465"/>
      </w:tblGrid>
      <w:tr w:rsidR="000D07EA" w14:paraId="599FFF76" w14:textId="77777777">
        <w:trPr>
          <w:trHeight w:val="63"/>
        </w:trPr>
        <w:tc>
          <w:tcPr>
            <w:tcW w:w="1124" w:type="pct"/>
            <w:shd w:val="clear" w:color="auto" w:fill="auto"/>
            <w:vAlign w:val="center"/>
          </w:tcPr>
          <w:p w14:paraId="37781BA2" w14:textId="77777777" w:rsidR="000D07EA" w:rsidRDefault="00BE7C89">
            <w:pPr>
              <w:pStyle w:val="BodyText"/>
              <w:spacing w:before="100" w:after="100"/>
              <w:rPr>
                <w:b/>
              </w:rPr>
            </w:pPr>
            <w:r>
              <w:rPr>
                <w:b/>
              </w:rPr>
              <w:t xml:space="preserve">When the </w:t>
            </w:r>
            <w:r>
              <w:rPr>
                <w:b/>
                <w:i/>
              </w:rPr>
              <w:t>service</w:t>
            </w:r>
            <w:r>
              <w:rPr>
                <w:b/>
              </w:rPr>
              <w:t xml:space="preserve"> is </w:t>
            </w:r>
            <w:r>
              <w:rPr>
                <w:b/>
                <w:i/>
              </w:rPr>
              <w:t>cancelled</w:t>
            </w:r>
          </w:p>
        </w:tc>
        <w:tc>
          <w:tcPr>
            <w:tcW w:w="3876" w:type="pct"/>
            <w:gridSpan w:val="5"/>
            <w:shd w:val="clear" w:color="auto" w:fill="auto"/>
            <w:vAlign w:val="center"/>
          </w:tcPr>
          <w:p w14:paraId="15C8F65D" w14:textId="77777777" w:rsidR="000D07EA" w:rsidRDefault="00BE7C89">
            <w:pPr>
              <w:pStyle w:val="BodyText"/>
              <w:spacing w:before="100" w:after="100"/>
              <w:jc w:val="center"/>
              <w:rPr>
                <w:b/>
                <w:i/>
              </w:rPr>
            </w:pPr>
            <w:r>
              <w:rPr>
                <w:b/>
                <w:i/>
              </w:rPr>
              <w:t>Cancellation Fee</w:t>
            </w:r>
          </w:p>
        </w:tc>
      </w:tr>
      <w:tr w:rsidR="000D07EA" w14:paraId="765B150A" w14:textId="77777777">
        <w:trPr>
          <w:trHeight w:val="63"/>
        </w:trPr>
        <w:tc>
          <w:tcPr>
            <w:tcW w:w="1124" w:type="pct"/>
            <w:shd w:val="clear" w:color="auto" w:fill="auto"/>
            <w:vAlign w:val="center"/>
          </w:tcPr>
          <w:p w14:paraId="6A183C1D" w14:textId="77777777" w:rsidR="000D07EA" w:rsidRDefault="000D07EA">
            <w:pPr>
              <w:pStyle w:val="BodyText"/>
              <w:spacing w:before="100" w:after="100"/>
            </w:pPr>
          </w:p>
        </w:tc>
        <w:tc>
          <w:tcPr>
            <w:tcW w:w="3876" w:type="pct"/>
            <w:gridSpan w:val="5"/>
            <w:shd w:val="clear" w:color="auto" w:fill="auto"/>
            <w:vAlign w:val="center"/>
          </w:tcPr>
          <w:p w14:paraId="3EC7141B" w14:textId="77777777" w:rsidR="000D07EA" w:rsidRDefault="00BE7C89">
            <w:pPr>
              <w:pStyle w:val="BodyText"/>
              <w:spacing w:before="100" w:after="100"/>
              <w:jc w:val="center"/>
              <w:rPr>
                <w:b/>
              </w:rPr>
            </w:pPr>
            <w:r>
              <w:rPr>
                <w:b/>
              </w:rPr>
              <w:t>Business Complete Plans – 12 Month Contract</w:t>
            </w:r>
          </w:p>
        </w:tc>
      </w:tr>
      <w:tr w:rsidR="000D07EA" w14:paraId="35B35D60" w14:textId="77777777">
        <w:trPr>
          <w:trHeight w:val="63"/>
        </w:trPr>
        <w:tc>
          <w:tcPr>
            <w:tcW w:w="1124" w:type="pct"/>
            <w:shd w:val="clear" w:color="auto" w:fill="auto"/>
            <w:vAlign w:val="center"/>
          </w:tcPr>
          <w:p w14:paraId="1F431A8B" w14:textId="77777777" w:rsidR="000D07EA" w:rsidRDefault="000D07EA">
            <w:pPr>
              <w:pStyle w:val="BodyText"/>
              <w:spacing w:before="100" w:after="100"/>
            </w:pPr>
          </w:p>
        </w:tc>
        <w:tc>
          <w:tcPr>
            <w:tcW w:w="775" w:type="pct"/>
            <w:shd w:val="clear" w:color="auto" w:fill="auto"/>
            <w:vAlign w:val="center"/>
          </w:tcPr>
          <w:p w14:paraId="6C5E0E5A" w14:textId="77777777" w:rsidR="000D07EA" w:rsidRDefault="00BE7C89">
            <w:pPr>
              <w:pStyle w:val="BodyText"/>
              <w:spacing w:before="100" w:after="100"/>
              <w:jc w:val="center"/>
              <w:rPr>
                <w:b/>
              </w:rPr>
            </w:pPr>
            <w:r>
              <w:rPr>
                <w:b/>
              </w:rPr>
              <w:t>$30 Business Complete Plan MRO (4G Sept 2012)</w:t>
            </w:r>
          </w:p>
        </w:tc>
        <w:tc>
          <w:tcPr>
            <w:tcW w:w="775" w:type="pct"/>
            <w:shd w:val="clear" w:color="auto" w:fill="auto"/>
            <w:vAlign w:val="center"/>
          </w:tcPr>
          <w:p w14:paraId="6F5973F3" w14:textId="77777777" w:rsidR="000D07EA" w:rsidRDefault="00BE7C89">
            <w:pPr>
              <w:pStyle w:val="BodyText"/>
              <w:spacing w:before="100" w:after="100"/>
              <w:jc w:val="center"/>
              <w:rPr>
                <w:b/>
              </w:rPr>
            </w:pPr>
            <w:r>
              <w:rPr>
                <w:b/>
              </w:rPr>
              <w:t>$35 Business Complete Plan MRO (4G Sept 2012)</w:t>
            </w:r>
          </w:p>
        </w:tc>
        <w:tc>
          <w:tcPr>
            <w:tcW w:w="775" w:type="pct"/>
            <w:shd w:val="clear" w:color="auto" w:fill="auto"/>
            <w:vAlign w:val="center"/>
          </w:tcPr>
          <w:p w14:paraId="55C228C9" w14:textId="77777777" w:rsidR="000D07EA" w:rsidRDefault="00BE7C89">
            <w:pPr>
              <w:pStyle w:val="BodyText"/>
              <w:spacing w:before="100" w:after="100"/>
              <w:jc w:val="center"/>
              <w:rPr>
                <w:b/>
              </w:rPr>
            </w:pPr>
            <w:r>
              <w:rPr>
                <w:b/>
              </w:rPr>
              <w:t>$50 Business Complete Plan MRO (4G Sept 2012)</w:t>
            </w:r>
          </w:p>
        </w:tc>
        <w:tc>
          <w:tcPr>
            <w:tcW w:w="775" w:type="pct"/>
            <w:shd w:val="clear" w:color="auto" w:fill="auto"/>
            <w:vAlign w:val="center"/>
          </w:tcPr>
          <w:p w14:paraId="14A39C6F" w14:textId="77777777" w:rsidR="000D07EA" w:rsidRDefault="00BE7C89">
            <w:pPr>
              <w:pStyle w:val="BodyText"/>
              <w:spacing w:before="100" w:after="100"/>
              <w:jc w:val="center"/>
              <w:rPr>
                <w:b/>
              </w:rPr>
            </w:pPr>
            <w:r>
              <w:rPr>
                <w:b/>
              </w:rPr>
              <w:t>$60 Business Complete Plan MRO (4G Sept 2012)</w:t>
            </w:r>
          </w:p>
        </w:tc>
        <w:tc>
          <w:tcPr>
            <w:tcW w:w="775" w:type="pct"/>
            <w:shd w:val="clear" w:color="auto" w:fill="auto"/>
            <w:vAlign w:val="center"/>
          </w:tcPr>
          <w:p w14:paraId="63B51A00" w14:textId="77777777" w:rsidR="000D07EA" w:rsidRDefault="00BE7C89">
            <w:pPr>
              <w:pStyle w:val="BodyText"/>
              <w:spacing w:before="100" w:after="100"/>
              <w:jc w:val="center"/>
              <w:rPr>
                <w:b/>
              </w:rPr>
            </w:pPr>
            <w:r>
              <w:rPr>
                <w:b/>
              </w:rPr>
              <w:t>$80 Business Complete Plan MRO (4G Sept 2012)</w:t>
            </w:r>
          </w:p>
        </w:tc>
      </w:tr>
      <w:tr w:rsidR="000D07EA" w14:paraId="13796F75" w14:textId="77777777">
        <w:trPr>
          <w:trHeight w:val="267"/>
        </w:trPr>
        <w:tc>
          <w:tcPr>
            <w:tcW w:w="1124" w:type="pct"/>
            <w:shd w:val="clear" w:color="auto" w:fill="auto"/>
            <w:vAlign w:val="center"/>
          </w:tcPr>
          <w:p w14:paraId="3D11EA84" w14:textId="77777777" w:rsidR="000D07EA" w:rsidRDefault="00BE7C89">
            <w:pPr>
              <w:pStyle w:val="BodyText"/>
              <w:spacing w:before="100" w:after="100"/>
              <w:jc w:val="center"/>
              <w:rPr>
                <w:b/>
              </w:rPr>
            </w:pPr>
            <w:r>
              <w:rPr>
                <w:b/>
              </w:rPr>
              <w:t xml:space="preserve">During the first 6 months – Initial </w:t>
            </w:r>
            <w:r>
              <w:rPr>
                <w:b/>
                <w:i/>
              </w:rPr>
              <w:t>cancellation fee</w:t>
            </w:r>
          </w:p>
        </w:tc>
        <w:tc>
          <w:tcPr>
            <w:tcW w:w="775" w:type="pct"/>
            <w:shd w:val="clear" w:color="auto" w:fill="auto"/>
            <w:vAlign w:val="center"/>
          </w:tcPr>
          <w:p w14:paraId="735E9E18" w14:textId="77777777" w:rsidR="000D07EA" w:rsidRDefault="00BE7C89">
            <w:pPr>
              <w:pStyle w:val="BodyText"/>
              <w:spacing w:before="100" w:after="100"/>
            </w:pPr>
            <w:r>
              <w:t>$350</w:t>
            </w:r>
          </w:p>
        </w:tc>
        <w:tc>
          <w:tcPr>
            <w:tcW w:w="775" w:type="pct"/>
            <w:shd w:val="clear" w:color="auto" w:fill="auto"/>
            <w:vAlign w:val="center"/>
          </w:tcPr>
          <w:p w14:paraId="0FE3FE40" w14:textId="77777777" w:rsidR="000D07EA" w:rsidRDefault="00BE7C89">
            <w:pPr>
              <w:pStyle w:val="BodyText"/>
              <w:spacing w:before="100" w:after="100"/>
            </w:pPr>
            <w:r>
              <w:t>$360</w:t>
            </w:r>
          </w:p>
        </w:tc>
        <w:tc>
          <w:tcPr>
            <w:tcW w:w="775" w:type="pct"/>
            <w:shd w:val="clear" w:color="auto" w:fill="auto"/>
            <w:vAlign w:val="center"/>
          </w:tcPr>
          <w:p w14:paraId="389D96B9" w14:textId="77777777" w:rsidR="000D07EA" w:rsidRDefault="00BE7C89">
            <w:pPr>
              <w:pStyle w:val="BodyText"/>
              <w:spacing w:before="100" w:after="100"/>
            </w:pPr>
            <w:r>
              <w:t>$490</w:t>
            </w:r>
          </w:p>
        </w:tc>
        <w:tc>
          <w:tcPr>
            <w:tcW w:w="775" w:type="pct"/>
            <w:shd w:val="clear" w:color="auto" w:fill="auto"/>
            <w:vAlign w:val="center"/>
          </w:tcPr>
          <w:p w14:paraId="10ABF6E6" w14:textId="77777777" w:rsidR="000D07EA" w:rsidRDefault="00BE7C89">
            <w:pPr>
              <w:pStyle w:val="BodyText"/>
              <w:spacing w:before="100" w:after="100"/>
            </w:pPr>
            <w:r>
              <w:t>$630</w:t>
            </w:r>
          </w:p>
        </w:tc>
        <w:tc>
          <w:tcPr>
            <w:tcW w:w="775" w:type="pct"/>
            <w:shd w:val="clear" w:color="auto" w:fill="auto"/>
            <w:vAlign w:val="center"/>
          </w:tcPr>
          <w:p w14:paraId="302B982B" w14:textId="77777777" w:rsidR="000D07EA" w:rsidRDefault="00BE7C89">
            <w:pPr>
              <w:pStyle w:val="BodyText"/>
              <w:spacing w:before="100" w:after="100"/>
            </w:pPr>
            <w:r>
              <w:t>$710</w:t>
            </w:r>
          </w:p>
        </w:tc>
      </w:tr>
      <w:tr w:rsidR="000D07EA" w14:paraId="4A2005C4" w14:textId="77777777">
        <w:trPr>
          <w:trHeight w:val="281"/>
        </w:trPr>
        <w:tc>
          <w:tcPr>
            <w:tcW w:w="1124" w:type="pct"/>
            <w:shd w:val="clear" w:color="auto" w:fill="auto"/>
            <w:vAlign w:val="center"/>
          </w:tcPr>
          <w:p w14:paraId="34B59A12" w14:textId="77777777" w:rsidR="000D07EA" w:rsidRDefault="00BE7C89">
            <w:pPr>
              <w:pStyle w:val="BodyText"/>
              <w:spacing w:before="100" w:after="100"/>
              <w:jc w:val="center"/>
              <w:rPr>
                <w:b/>
              </w:rPr>
            </w:pPr>
            <w:r>
              <w:rPr>
                <w:b/>
              </w:rPr>
              <w:t xml:space="preserve">Months 7 - 9 (70% of Initial </w:t>
            </w:r>
            <w:r>
              <w:rPr>
                <w:b/>
                <w:i/>
              </w:rPr>
              <w:t>cancellation fee</w:t>
            </w:r>
            <w:r>
              <w:rPr>
                <w:b/>
              </w:rPr>
              <w:t>)</w:t>
            </w:r>
          </w:p>
        </w:tc>
        <w:tc>
          <w:tcPr>
            <w:tcW w:w="775" w:type="pct"/>
            <w:shd w:val="clear" w:color="auto" w:fill="auto"/>
            <w:vAlign w:val="center"/>
          </w:tcPr>
          <w:p w14:paraId="35E471B7" w14:textId="77777777" w:rsidR="000D07EA" w:rsidRDefault="00BE7C89">
            <w:pPr>
              <w:pStyle w:val="BodyText"/>
              <w:spacing w:before="100" w:after="100"/>
            </w:pPr>
            <w:r>
              <w:t>$245</w:t>
            </w:r>
          </w:p>
        </w:tc>
        <w:tc>
          <w:tcPr>
            <w:tcW w:w="775" w:type="pct"/>
            <w:shd w:val="clear" w:color="auto" w:fill="auto"/>
            <w:vAlign w:val="center"/>
          </w:tcPr>
          <w:p w14:paraId="17EB56C5" w14:textId="77777777" w:rsidR="000D07EA" w:rsidRDefault="00BE7C89">
            <w:pPr>
              <w:pStyle w:val="BodyText"/>
              <w:spacing w:before="100" w:after="100"/>
            </w:pPr>
            <w:r>
              <w:t>$252</w:t>
            </w:r>
          </w:p>
        </w:tc>
        <w:tc>
          <w:tcPr>
            <w:tcW w:w="775" w:type="pct"/>
            <w:shd w:val="clear" w:color="auto" w:fill="auto"/>
            <w:vAlign w:val="center"/>
          </w:tcPr>
          <w:p w14:paraId="3A6C7C83" w14:textId="77777777" w:rsidR="000D07EA" w:rsidRDefault="00BE7C89">
            <w:pPr>
              <w:pStyle w:val="BodyText"/>
              <w:spacing w:before="100" w:after="100"/>
            </w:pPr>
            <w:r>
              <w:t>$343</w:t>
            </w:r>
          </w:p>
        </w:tc>
        <w:tc>
          <w:tcPr>
            <w:tcW w:w="775" w:type="pct"/>
            <w:shd w:val="clear" w:color="auto" w:fill="auto"/>
            <w:vAlign w:val="center"/>
          </w:tcPr>
          <w:p w14:paraId="6EF18939" w14:textId="77777777" w:rsidR="000D07EA" w:rsidRDefault="00BE7C89">
            <w:pPr>
              <w:pStyle w:val="BodyText"/>
              <w:spacing w:before="100" w:after="100"/>
            </w:pPr>
            <w:r>
              <w:t>$441</w:t>
            </w:r>
          </w:p>
        </w:tc>
        <w:tc>
          <w:tcPr>
            <w:tcW w:w="775" w:type="pct"/>
            <w:shd w:val="clear" w:color="auto" w:fill="auto"/>
            <w:vAlign w:val="center"/>
          </w:tcPr>
          <w:p w14:paraId="432A5587" w14:textId="77777777" w:rsidR="000D07EA" w:rsidRDefault="00BE7C89">
            <w:pPr>
              <w:pStyle w:val="BodyText"/>
              <w:spacing w:before="100" w:after="100"/>
            </w:pPr>
            <w:r>
              <w:t>$497</w:t>
            </w:r>
          </w:p>
        </w:tc>
      </w:tr>
      <w:tr w:rsidR="000D07EA" w14:paraId="176B4AB8" w14:textId="77777777">
        <w:trPr>
          <w:trHeight w:val="267"/>
        </w:trPr>
        <w:tc>
          <w:tcPr>
            <w:tcW w:w="1124" w:type="pct"/>
            <w:shd w:val="clear" w:color="auto" w:fill="auto"/>
            <w:vAlign w:val="center"/>
          </w:tcPr>
          <w:p w14:paraId="498A155B" w14:textId="77777777" w:rsidR="000D07EA" w:rsidRDefault="00BE7C89">
            <w:pPr>
              <w:pStyle w:val="BodyText"/>
              <w:spacing w:before="100" w:after="100"/>
              <w:jc w:val="center"/>
              <w:rPr>
                <w:b/>
              </w:rPr>
            </w:pPr>
            <w:r>
              <w:rPr>
                <w:b/>
              </w:rPr>
              <w:lastRenderedPageBreak/>
              <w:t xml:space="preserve">Months 10 – 12 (40% of the Initial </w:t>
            </w:r>
            <w:r>
              <w:rPr>
                <w:b/>
                <w:i/>
              </w:rPr>
              <w:t>cancellation fee</w:t>
            </w:r>
            <w:r>
              <w:rPr>
                <w:b/>
              </w:rPr>
              <w:t>)</w:t>
            </w:r>
          </w:p>
        </w:tc>
        <w:tc>
          <w:tcPr>
            <w:tcW w:w="775" w:type="pct"/>
            <w:shd w:val="clear" w:color="auto" w:fill="auto"/>
            <w:vAlign w:val="center"/>
          </w:tcPr>
          <w:p w14:paraId="51622624" w14:textId="77777777" w:rsidR="000D07EA" w:rsidRDefault="00BE7C89">
            <w:pPr>
              <w:pStyle w:val="BodyText"/>
              <w:spacing w:before="100" w:after="100"/>
            </w:pPr>
            <w:r>
              <w:t>$140</w:t>
            </w:r>
          </w:p>
        </w:tc>
        <w:tc>
          <w:tcPr>
            <w:tcW w:w="775" w:type="pct"/>
            <w:shd w:val="clear" w:color="auto" w:fill="auto"/>
            <w:vAlign w:val="center"/>
          </w:tcPr>
          <w:p w14:paraId="3D5E0400" w14:textId="77777777" w:rsidR="000D07EA" w:rsidRDefault="00BE7C89">
            <w:pPr>
              <w:pStyle w:val="BodyText"/>
              <w:spacing w:before="100" w:after="100"/>
            </w:pPr>
            <w:r>
              <w:t>$144</w:t>
            </w:r>
          </w:p>
        </w:tc>
        <w:tc>
          <w:tcPr>
            <w:tcW w:w="775" w:type="pct"/>
            <w:shd w:val="clear" w:color="auto" w:fill="auto"/>
            <w:vAlign w:val="center"/>
          </w:tcPr>
          <w:p w14:paraId="5ACC546E" w14:textId="77777777" w:rsidR="000D07EA" w:rsidRDefault="00BE7C89">
            <w:pPr>
              <w:pStyle w:val="BodyText"/>
              <w:spacing w:before="100" w:after="100"/>
            </w:pPr>
            <w:r>
              <w:t>$196</w:t>
            </w:r>
          </w:p>
        </w:tc>
        <w:tc>
          <w:tcPr>
            <w:tcW w:w="775" w:type="pct"/>
            <w:shd w:val="clear" w:color="auto" w:fill="auto"/>
            <w:vAlign w:val="center"/>
          </w:tcPr>
          <w:p w14:paraId="6BCFF765" w14:textId="77777777" w:rsidR="000D07EA" w:rsidRDefault="00BE7C89">
            <w:pPr>
              <w:pStyle w:val="BodyText"/>
              <w:spacing w:before="100" w:after="100"/>
            </w:pPr>
            <w:r>
              <w:t>$252</w:t>
            </w:r>
          </w:p>
        </w:tc>
        <w:tc>
          <w:tcPr>
            <w:tcW w:w="775" w:type="pct"/>
            <w:shd w:val="clear" w:color="auto" w:fill="auto"/>
            <w:vAlign w:val="center"/>
          </w:tcPr>
          <w:p w14:paraId="2452CC10" w14:textId="77777777" w:rsidR="000D07EA" w:rsidRDefault="00BE7C89">
            <w:pPr>
              <w:pStyle w:val="BodyText"/>
              <w:spacing w:before="100" w:after="100"/>
            </w:pPr>
            <w:r>
              <w:t>$284</w:t>
            </w:r>
          </w:p>
        </w:tc>
      </w:tr>
    </w:tbl>
    <w:p w14:paraId="0A1E4492" w14:textId="77777777" w:rsidR="000D07EA" w:rsidRDefault="000D07EA">
      <w:pPr>
        <w:pStyle w:val="BodyText"/>
      </w:pPr>
    </w:p>
    <w:p w14:paraId="463952B4" w14:textId="77777777" w:rsidR="000D07EA" w:rsidRDefault="00BE7C89">
      <w:pPr>
        <w:pStyle w:val="Heading4"/>
      </w:pPr>
      <w:bookmarkStart w:id="707" w:name="_Toc397941266"/>
      <w:bookmarkStart w:id="708" w:name="_Toc455147625"/>
      <w:bookmarkStart w:id="709" w:name="_Toc62644647"/>
      <w:r>
        <w:t>Business Timeless Plans MRO (4G Sept 2012), Business Timeless (incorporating $89 Business Timeless plan MRO, $99 Business Timeless plan MRO and $129 Business Timeless plan MRO) (Small Business plans), Effective from 04 September 2012.</w:t>
      </w:r>
      <w:bookmarkEnd w:id="707"/>
      <w:bookmarkEnd w:id="708"/>
      <w:bookmarkEnd w:id="709"/>
      <w:r>
        <w:t xml:space="preserve"> </w:t>
      </w:r>
    </w:p>
    <w:p w14:paraId="2026B00A" w14:textId="77777777" w:rsidR="000D07EA" w:rsidRDefault="00BE7C89">
      <w:pPr>
        <w:pStyle w:val="Heading6"/>
        <w:ind w:left="0" w:firstLine="0"/>
      </w:pPr>
      <w:bookmarkStart w:id="710" w:name="_Toc397941267"/>
      <w:r>
        <w:t>Eligibility</w:t>
      </w:r>
      <w:bookmarkEnd w:id="710"/>
    </w:p>
    <w:p w14:paraId="073C31A6" w14:textId="77777777" w:rsidR="000D07EA" w:rsidRDefault="00BE7C89">
      <w:pPr>
        <w:pStyle w:val="BodyText"/>
        <w:ind w:left="720"/>
      </w:pPr>
      <w:r>
        <w:t xml:space="preserve">Business Timeless Plans are only available to approved new and existing mobile customers connecting to the </w:t>
      </w:r>
      <w:r>
        <w:rPr>
          <w:i/>
        </w:rPr>
        <w:t>service</w:t>
      </w:r>
      <w:r>
        <w:t xml:space="preserve"> on the following terms:</w:t>
      </w:r>
    </w:p>
    <w:p w14:paraId="2B4961C2" w14:textId="77777777" w:rsidR="000D07EA" w:rsidRDefault="00BE7C89">
      <w:pPr>
        <w:pStyle w:val="Heading7"/>
      </w:pPr>
      <w:r>
        <w:rPr>
          <w:snapToGrid w:val="0"/>
        </w:rPr>
        <w:t xml:space="preserve">In order to be and remain eligible for the Business Timeless Offers, </w:t>
      </w:r>
      <w:r>
        <w:rPr>
          <w:i/>
          <w:snapToGrid w:val="0"/>
        </w:rPr>
        <w:t xml:space="preserve">you </w:t>
      </w:r>
      <w:r>
        <w:rPr>
          <w:snapToGrid w:val="0"/>
        </w:rPr>
        <w:t xml:space="preserve">must: </w:t>
      </w:r>
    </w:p>
    <w:p w14:paraId="393808A6" w14:textId="77777777" w:rsidR="000D07EA" w:rsidRDefault="00BE7C89">
      <w:pPr>
        <w:pStyle w:val="Heading8"/>
      </w:pPr>
      <w:r>
        <w:t>connect all relevant</w:t>
      </w:r>
      <w:r>
        <w:rPr>
          <w:i/>
        </w:rPr>
        <w:t xml:space="preserve"> services</w:t>
      </w:r>
      <w:r>
        <w:t xml:space="preserve"> in the same account holder name and service address, and ABN/ACN/ARBN;</w:t>
      </w:r>
    </w:p>
    <w:p w14:paraId="35B0927C" w14:textId="77777777" w:rsidR="000D07EA" w:rsidRDefault="00BE7C89">
      <w:pPr>
        <w:pStyle w:val="Heading8"/>
      </w:pPr>
      <w:r>
        <w:t xml:space="preserve">meet all of the criteria for the particular </w:t>
      </w:r>
      <w:r>
        <w:rPr>
          <w:i/>
        </w:rPr>
        <w:t>services</w:t>
      </w:r>
      <w:r>
        <w:t xml:space="preserve"> as set out in each of the relevant </w:t>
      </w:r>
      <w:r>
        <w:rPr>
          <w:i/>
        </w:rPr>
        <w:t>service descriptions</w:t>
      </w:r>
      <w:r>
        <w:t>; and</w:t>
      </w:r>
    </w:p>
    <w:p w14:paraId="51F07224" w14:textId="77777777" w:rsidR="000D07EA" w:rsidRDefault="00BE7C89">
      <w:pPr>
        <w:pStyle w:val="Heading8"/>
      </w:pPr>
      <w:r>
        <w:t>be billed for all services on a single monthly bill.</w:t>
      </w:r>
    </w:p>
    <w:p w14:paraId="1057B9C7" w14:textId="77777777" w:rsidR="000D07EA" w:rsidRDefault="00BE7C89">
      <w:pPr>
        <w:pStyle w:val="Heading7"/>
      </w:pPr>
      <w:r>
        <w:rPr>
          <w:snapToGrid w:val="0"/>
        </w:rPr>
        <w:t xml:space="preserve">If </w:t>
      </w:r>
      <w:r>
        <w:rPr>
          <w:i/>
          <w:snapToGrid w:val="0"/>
        </w:rPr>
        <w:t xml:space="preserve">you </w:t>
      </w:r>
      <w:r>
        <w:rPr>
          <w:snapToGrid w:val="0"/>
        </w:rPr>
        <w:t xml:space="preserve">already have a </w:t>
      </w:r>
      <w:r>
        <w:rPr>
          <w:i/>
          <w:snapToGrid w:val="0"/>
        </w:rPr>
        <w:t>non-fixed length</w:t>
      </w:r>
      <w:r>
        <w:rPr>
          <w:snapToGrid w:val="0"/>
        </w:rPr>
        <w:t xml:space="preserve"> or </w:t>
      </w:r>
      <w:r>
        <w:rPr>
          <w:i/>
          <w:snapToGrid w:val="0"/>
        </w:rPr>
        <w:t>fixed length agreement</w:t>
      </w:r>
      <w:r>
        <w:rPr>
          <w:snapToGrid w:val="0"/>
        </w:rPr>
        <w:t xml:space="preserve"> with us for either your Optus Mobile </w:t>
      </w:r>
      <w:r>
        <w:rPr>
          <w:i/>
          <w:snapToGrid w:val="0"/>
        </w:rPr>
        <w:t>Service(s)</w:t>
      </w:r>
      <w:r>
        <w:rPr>
          <w:snapToGrid w:val="0"/>
        </w:rPr>
        <w:t xml:space="preserve"> and </w:t>
      </w:r>
      <w:r>
        <w:rPr>
          <w:i/>
          <w:snapToGrid w:val="0"/>
        </w:rPr>
        <w:t xml:space="preserve">you </w:t>
      </w:r>
      <w:r>
        <w:rPr>
          <w:snapToGrid w:val="0"/>
        </w:rPr>
        <w:t xml:space="preserve">choose to connect a new service to </w:t>
      </w:r>
      <w:r>
        <w:rPr>
          <w:i/>
          <w:snapToGrid w:val="0"/>
        </w:rPr>
        <w:t>our</w:t>
      </w:r>
      <w:r>
        <w:rPr>
          <w:snapToGrid w:val="0"/>
        </w:rPr>
        <w:t xml:space="preserve"> Business Timeless offer, </w:t>
      </w:r>
      <w:r>
        <w:rPr>
          <w:i/>
          <w:snapToGrid w:val="0"/>
        </w:rPr>
        <w:t>we</w:t>
      </w:r>
      <w:r>
        <w:rPr>
          <w:snapToGrid w:val="0"/>
        </w:rPr>
        <w:t xml:space="preserve"> may agree (at our discretion) to transfer </w:t>
      </w:r>
      <w:r>
        <w:rPr>
          <w:i/>
          <w:snapToGrid w:val="0"/>
        </w:rPr>
        <w:t xml:space="preserve">your </w:t>
      </w:r>
      <w:r>
        <w:rPr>
          <w:snapToGrid w:val="0"/>
        </w:rPr>
        <w:t xml:space="preserve">exisiting </w:t>
      </w:r>
      <w:r>
        <w:rPr>
          <w:i/>
          <w:snapToGrid w:val="0"/>
        </w:rPr>
        <w:t>service(s)</w:t>
      </w:r>
      <w:r>
        <w:rPr>
          <w:snapToGrid w:val="0"/>
        </w:rPr>
        <w:t xml:space="preserve"> to the Buesiness Timeless offer, in which case </w:t>
      </w:r>
      <w:r>
        <w:rPr>
          <w:i/>
          <w:snapToGrid w:val="0"/>
        </w:rPr>
        <w:t>your</w:t>
      </w:r>
      <w:r>
        <w:rPr>
          <w:snapToGrid w:val="0"/>
        </w:rPr>
        <w:t xml:space="preserve"> existing </w:t>
      </w:r>
      <w:r>
        <w:rPr>
          <w:i/>
          <w:snapToGrid w:val="0"/>
        </w:rPr>
        <w:t xml:space="preserve">service(s) </w:t>
      </w:r>
      <w:r>
        <w:rPr>
          <w:snapToGrid w:val="0"/>
        </w:rPr>
        <w:t xml:space="preserve">will be contracted on a: </w:t>
      </w:r>
    </w:p>
    <w:p w14:paraId="107ED3F3" w14:textId="77777777" w:rsidR="000D07EA" w:rsidRDefault="00BE7C89">
      <w:pPr>
        <w:pStyle w:val="Heading8"/>
      </w:pPr>
      <w:r>
        <w:rPr>
          <w:snapToGrid w:val="0"/>
        </w:rPr>
        <w:t xml:space="preserve">12 or 24 month minimum term fixed length agreement for your existing service(s). </w:t>
      </w:r>
    </w:p>
    <w:p w14:paraId="6C95BDC8" w14:textId="77777777" w:rsidR="000D07EA" w:rsidRDefault="00BE7C89">
      <w:pPr>
        <w:pStyle w:val="BodyText"/>
        <w:ind w:left="1440"/>
      </w:pPr>
      <w:r>
        <w:t>on the new Business Timeless offer.</w:t>
      </w:r>
    </w:p>
    <w:p w14:paraId="479E9DD0" w14:textId="77777777" w:rsidR="000D07EA" w:rsidRDefault="00BE7C89">
      <w:pPr>
        <w:pStyle w:val="Heading7"/>
      </w:pPr>
      <w:r>
        <w:rPr>
          <w:snapToGrid w:val="0"/>
        </w:rPr>
        <w:t xml:space="preserve">If </w:t>
      </w:r>
      <w:r>
        <w:rPr>
          <w:i/>
          <w:snapToGrid w:val="0"/>
        </w:rPr>
        <w:t xml:space="preserve">you </w:t>
      </w:r>
      <w:r>
        <w:rPr>
          <w:snapToGrid w:val="0"/>
        </w:rPr>
        <w:t xml:space="preserve">are an existing customer </w:t>
      </w:r>
      <w:r>
        <w:rPr>
          <w:i/>
          <w:snapToGrid w:val="0"/>
        </w:rPr>
        <w:t xml:space="preserve">you </w:t>
      </w:r>
      <w:r>
        <w:rPr>
          <w:snapToGrid w:val="0"/>
        </w:rPr>
        <w:t xml:space="preserve">may only transfer to the Business Timeless plans with </w:t>
      </w:r>
      <w:r>
        <w:rPr>
          <w:i/>
          <w:snapToGrid w:val="0"/>
        </w:rPr>
        <w:t xml:space="preserve">our </w:t>
      </w:r>
      <w:r>
        <w:rPr>
          <w:snapToGrid w:val="0"/>
        </w:rPr>
        <w:t>approval</w:t>
      </w:r>
    </w:p>
    <w:p w14:paraId="2B190DA7" w14:textId="77777777" w:rsidR="000D07EA" w:rsidRDefault="00BE7C89">
      <w:pPr>
        <w:pStyle w:val="Heading8"/>
      </w:pPr>
      <w:r>
        <w:rPr>
          <w:i/>
        </w:rPr>
        <w:t>You</w:t>
      </w:r>
      <w:r>
        <w:t xml:space="preserve"> must pass the Optus credit assessment and be accepted by </w:t>
      </w:r>
      <w:r>
        <w:rPr>
          <w:i/>
        </w:rPr>
        <w:t>us</w:t>
      </w:r>
      <w:r>
        <w:t>; and</w:t>
      </w:r>
    </w:p>
    <w:p w14:paraId="7B2D9861" w14:textId="77777777" w:rsidR="000D07EA" w:rsidRDefault="00BE7C89">
      <w:pPr>
        <w:pStyle w:val="Heading8"/>
      </w:pPr>
      <w:r>
        <w:t>Optus Service Providers' customers are not eligible to apply</w:t>
      </w:r>
      <w:r>
        <w:rPr>
          <w:snapToGrid w:val="0"/>
        </w:rPr>
        <w:t>.</w:t>
      </w:r>
    </w:p>
    <w:p w14:paraId="1F3BC3D7" w14:textId="77777777" w:rsidR="000D07EA" w:rsidRDefault="00BE7C89">
      <w:pPr>
        <w:pStyle w:val="Heading6"/>
        <w:ind w:left="0" w:firstLine="0"/>
        <w:rPr>
          <w:i/>
        </w:rPr>
      </w:pPr>
      <w:bookmarkStart w:id="711" w:name="_Toc397941268"/>
      <w:r>
        <w:rPr>
          <w:i/>
        </w:rPr>
        <w:t>Minimum Term</w:t>
      </w:r>
      <w:bookmarkEnd w:id="711"/>
    </w:p>
    <w:p w14:paraId="52D4D9A9" w14:textId="77777777" w:rsidR="000D07EA" w:rsidRDefault="00BE7C89">
      <w:pPr>
        <w:pStyle w:val="Heading7"/>
      </w:pPr>
      <w:r>
        <w:rPr>
          <w:i/>
        </w:rPr>
        <w:t xml:space="preserve">You </w:t>
      </w:r>
      <w:r>
        <w:t xml:space="preserve">must agree to either a </w:t>
      </w:r>
      <w:r>
        <w:rPr>
          <w:i/>
        </w:rPr>
        <w:t>fixed length agreement</w:t>
      </w:r>
      <w:r>
        <w:t xml:space="preserve"> upfront or with a 12 month or 24 month </w:t>
      </w:r>
      <w:r>
        <w:rPr>
          <w:i/>
        </w:rPr>
        <w:t xml:space="preserve">minimum term. </w:t>
      </w:r>
    </w:p>
    <w:p w14:paraId="4AAEF7F8" w14:textId="77777777" w:rsidR="000D07EA" w:rsidRDefault="00BE7C89">
      <w:pPr>
        <w:pStyle w:val="Heading7"/>
      </w:pPr>
      <w:r>
        <w:rPr>
          <w:i/>
        </w:rPr>
        <w:t xml:space="preserve">You </w:t>
      </w:r>
      <w:r>
        <w:t xml:space="preserve">may purchase a </w:t>
      </w:r>
      <w:r>
        <w:rPr>
          <w:i/>
        </w:rPr>
        <w:t xml:space="preserve">mobile phone </w:t>
      </w:r>
      <w:r>
        <w:t xml:space="preserve">with a 12 or 24 month </w:t>
      </w:r>
      <w:r>
        <w:rPr>
          <w:i/>
        </w:rPr>
        <w:t xml:space="preserve">equipment term </w:t>
      </w:r>
      <w:r>
        <w:t xml:space="preserve">under a </w:t>
      </w:r>
      <w:r>
        <w:rPr>
          <w:i/>
        </w:rPr>
        <w:t>mobile equipment payment plan</w:t>
      </w:r>
      <w:r>
        <w:t xml:space="preserve"> on a 12 or 24 month </w:t>
      </w:r>
      <w:r>
        <w:rPr>
          <w:i/>
        </w:rPr>
        <w:t>fixed length agreement</w:t>
      </w:r>
      <w:r>
        <w:t>.</w:t>
      </w:r>
    </w:p>
    <w:p w14:paraId="356BBB30" w14:textId="77777777" w:rsidR="000D07EA" w:rsidRDefault="00BE7C89" w:rsidP="0051170A">
      <w:pPr>
        <w:pStyle w:val="Heading6"/>
        <w:keepNext/>
        <w:ind w:left="0" w:firstLine="0"/>
        <w:rPr>
          <w:i/>
        </w:rPr>
      </w:pPr>
      <w:bookmarkStart w:id="712" w:name="_Toc397941269"/>
      <w:r>
        <w:t xml:space="preserve">What </w:t>
      </w:r>
      <w:r>
        <w:rPr>
          <w:i/>
        </w:rPr>
        <w:t xml:space="preserve">you </w:t>
      </w:r>
      <w:r>
        <w:t xml:space="preserve">have to pay </w:t>
      </w:r>
      <w:r>
        <w:rPr>
          <w:i/>
        </w:rPr>
        <w:t>us</w:t>
      </w:r>
      <w:bookmarkEnd w:id="712"/>
    </w:p>
    <w:p w14:paraId="00F8EEF7" w14:textId="77777777" w:rsidR="000D07EA" w:rsidRDefault="00BE7C89">
      <w:pPr>
        <w:pStyle w:val="Heading7"/>
      </w:pPr>
      <w:r>
        <w:t xml:space="preserve">Subject to paragraphs </w:t>
      </w:r>
      <w:r>
        <w:fldChar w:fldCharType="begin"/>
      </w:r>
      <w:r>
        <w:instrText xml:space="preserve"> REF _Ref461554243 \n \h </w:instrText>
      </w:r>
      <w:r>
        <w:fldChar w:fldCharType="separate"/>
      </w:r>
      <w:r w:rsidR="0004083A">
        <w:t>(c)</w:t>
      </w:r>
      <w:r>
        <w:fldChar w:fldCharType="end"/>
      </w:r>
      <w:r>
        <w:t xml:space="preserve">, </w:t>
      </w:r>
      <w:r>
        <w:fldChar w:fldCharType="begin"/>
      </w:r>
      <w:r>
        <w:instrText xml:space="preserve"> REF _Ref461554252 \n \h </w:instrText>
      </w:r>
      <w:r>
        <w:fldChar w:fldCharType="separate"/>
      </w:r>
      <w:r w:rsidR="0004083A">
        <w:t>(d)</w:t>
      </w:r>
      <w:r>
        <w:fldChar w:fldCharType="end"/>
      </w:r>
      <w:r>
        <w:t xml:space="preserve">, </w:t>
      </w:r>
      <w:r>
        <w:fldChar w:fldCharType="begin"/>
      </w:r>
      <w:r>
        <w:instrText xml:space="preserve"> REF _Ref461554261 \n \h </w:instrText>
      </w:r>
      <w:r>
        <w:fldChar w:fldCharType="separate"/>
      </w:r>
      <w:r w:rsidR="0004083A">
        <w:t>(e)</w:t>
      </w:r>
      <w:r>
        <w:fldChar w:fldCharType="end"/>
      </w:r>
      <w:r>
        <w:t xml:space="preserve">, </w:t>
      </w:r>
      <w:r>
        <w:fldChar w:fldCharType="begin"/>
      </w:r>
      <w:r>
        <w:instrText xml:space="preserve"> REF _Ref461554271 \n \h </w:instrText>
      </w:r>
      <w:r>
        <w:fldChar w:fldCharType="separate"/>
      </w:r>
      <w:r w:rsidR="0004083A">
        <w:t>(f)</w:t>
      </w:r>
      <w:r>
        <w:fldChar w:fldCharType="end"/>
      </w:r>
      <w:r>
        <w:t xml:space="preserve"> and </w:t>
      </w:r>
      <w:r>
        <w:fldChar w:fldCharType="begin"/>
      </w:r>
      <w:r>
        <w:instrText xml:space="preserve"> REF _Ref461554280 \n \h </w:instrText>
      </w:r>
      <w:r>
        <w:fldChar w:fldCharType="separate"/>
      </w:r>
      <w:r w:rsidR="0004083A">
        <w:t>(g)</w:t>
      </w:r>
      <w:r>
        <w:fldChar w:fldCharType="end"/>
      </w:r>
      <w:r>
        <w:t xml:space="preserve"> below </w:t>
      </w:r>
      <w:r>
        <w:rPr>
          <w:i/>
        </w:rPr>
        <w:t xml:space="preserve">you </w:t>
      </w:r>
      <w:r>
        <w:t xml:space="preserve">must pay </w:t>
      </w:r>
      <w:r>
        <w:rPr>
          <w:i/>
        </w:rPr>
        <w:t xml:space="preserve">us </w:t>
      </w:r>
      <w:r>
        <w:t xml:space="preserve">for use of the </w:t>
      </w:r>
      <w:r>
        <w:rPr>
          <w:i/>
        </w:rPr>
        <w:t xml:space="preserve">service </w:t>
      </w:r>
      <w:r>
        <w:t xml:space="preserve">at the rates set out in </w:t>
      </w:r>
      <w:hyperlink r:id="rId508" w:history="1">
        <w:r>
          <w:rPr>
            <w:rStyle w:val="Hyperlink"/>
          </w:rPr>
          <w:t>Section 1</w:t>
        </w:r>
      </w:hyperlink>
      <w:r>
        <w:t xml:space="preserve"> of this </w:t>
      </w:r>
      <w:r>
        <w:rPr>
          <w:i/>
        </w:rPr>
        <w:t xml:space="preserve">standard pricing table </w:t>
      </w:r>
      <w:r>
        <w:t xml:space="preserve">and for </w:t>
      </w:r>
      <w:r>
        <w:rPr>
          <w:i/>
        </w:rPr>
        <w:t xml:space="preserve">value added service features </w:t>
      </w:r>
      <w:r>
        <w:t xml:space="preserve">at the rates set out in </w:t>
      </w:r>
      <w:hyperlink r:id="rId509" w:history="1">
        <w:r>
          <w:rPr>
            <w:rStyle w:val="Hyperlink"/>
          </w:rPr>
          <w:t>Appendix Y</w:t>
        </w:r>
      </w:hyperlink>
      <w:r>
        <w:t xml:space="preserve"> Value Added Service Features</w:t>
      </w:r>
      <w:r>
        <w:rPr>
          <w:i/>
        </w:rPr>
        <w:t>.</w:t>
      </w:r>
      <w:r>
        <w:t xml:space="preserve"> </w:t>
      </w:r>
    </w:p>
    <w:p w14:paraId="68F43AFE" w14:textId="77777777" w:rsidR="000D07EA" w:rsidRDefault="00BE7C89">
      <w:pPr>
        <w:pStyle w:val="Heading7"/>
      </w:pPr>
      <w:r>
        <w:t xml:space="preserve">If there is a </w:t>
      </w:r>
      <w:r>
        <w:rPr>
          <w:i/>
        </w:rPr>
        <w:t xml:space="preserve">flagfall </w:t>
      </w:r>
      <w:r>
        <w:t xml:space="preserve">or call connection charge for a particular call type, the charge for these calls is the </w:t>
      </w:r>
      <w:r>
        <w:rPr>
          <w:i/>
        </w:rPr>
        <w:t xml:space="preserve">flagfall </w:t>
      </w:r>
      <w:r>
        <w:t>charge plus the relevant rate for the call multiplied by the duration of the call.</w:t>
      </w:r>
    </w:p>
    <w:p w14:paraId="7C880421" w14:textId="77777777" w:rsidR="000D07EA" w:rsidRDefault="00BE7C89">
      <w:pPr>
        <w:pStyle w:val="Heading7"/>
        <w:rPr>
          <w:b/>
        </w:rPr>
      </w:pPr>
      <w:bookmarkStart w:id="713" w:name="_Ref461554243"/>
      <w:r>
        <w:rPr>
          <w:b/>
        </w:rPr>
        <w:t>Minimum Monthly Charge</w:t>
      </w:r>
      <w:bookmarkEnd w:id="713"/>
    </w:p>
    <w:p w14:paraId="091353D6" w14:textId="77777777" w:rsidR="000D07EA" w:rsidRDefault="00BE7C89">
      <w:pPr>
        <w:pStyle w:val="Heading8"/>
      </w:pPr>
      <w:r>
        <w:lastRenderedPageBreak/>
        <w:t xml:space="preserve">Each Business Timeless Plan has a minimum monthly charge amount that </w:t>
      </w:r>
      <w:r>
        <w:rPr>
          <w:i/>
        </w:rPr>
        <w:t xml:space="preserve">you </w:t>
      </w:r>
      <w:r>
        <w:t xml:space="preserve">must pay us each month. </w:t>
      </w:r>
    </w:p>
    <w:p w14:paraId="4583F74F" w14:textId="77777777" w:rsidR="000D07EA" w:rsidRDefault="00BE7C89">
      <w:pPr>
        <w:pStyle w:val="Heading8"/>
      </w:pPr>
      <w:r>
        <w:t xml:space="preserve">If </w:t>
      </w:r>
      <w:r>
        <w:rPr>
          <w:i/>
        </w:rPr>
        <w:t xml:space="preserve">you </w:t>
      </w:r>
      <w:r>
        <w:t xml:space="preserve">do not make enough eligible calls and text in a month to reach </w:t>
      </w:r>
      <w:r>
        <w:rPr>
          <w:i/>
        </w:rPr>
        <w:t xml:space="preserve">your pricing plan's </w:t>
      </w:r>
      <w:r>
        <w:t xml:space="preserve">minimum monthly charge </w:t>
      </w:r>
      <w:r>
        <w:rPr>
          <w:i/>
        </w:rPr>
        <w:t xml:space="preserve">you </w:t>
      </w:r>
      <w:r>
        <w:t xml:space="preserve">must still pay </w:t>
      </w:r>
      <w:r>
        <w:rPr>
          <w:i/>
        </w:rPr>
        <w:t>us your pricing plan's</w:t>
      </w:r>
      <w:r>
        <w:t xml:space="preserve"> Minimum Monthly Charge for that month.</w:t>
      </w:r>
    </w:p>
    <w:p w14:paraId="72B35EDF" w14:textId="77777777" w:rsidR="000D07EA" w:rsidRDefault="00BE7C89">
      <w:pPr>
        <w:pStyle w:val="Heading8"/>
      </w:pPr>
      <w:r>
        <w:t>The amount of the minimum monthly charge for each of the Business Timeless Plans is set out in Table 2A below.</w:t>
      </w:r>
    </w:p>
    <w:p w14:paraId="664B94A9" w14:textId="77777777" w:rsidR="000D07EA" w:rsidRDefault="00BE7C89">
      <w:pPr>
        <w:pStyle w:val="Heading7"/>
        <w:rPr>
          <w:b/>
        </w:rPr>
      </w:pPr>
      <w:bookmarkStart w:id="714" w:name="_Ref461554252"/>
      <w:r>
        <w:rPr>
          <w:b/>
        </w:rPr>
        <w:t>Unlimited Call and Text Offer</w:t>
      </w:r>
      <w:bookmarkEnd w:id="714"/>
      <w:r>
        <w:rPr>
          <w:b/>
        </w:rPr>
        <w:t xml:space="preserve"> </w:t>
      </w:r>
    </w:p>
    <w:p w14:paraId="7C92F6C6" w14:textId="77777777" w:rsidR="000D07EA" w:rsidRDefault="00BE7C89">
      <w:pPr>
        <w:pStyle w:val="Heading8"/>
      </w:pPr>
      <w:r>
        <w:t xml:space="preserve">Under the Business Timeless Plans, </w:t>
      </w:r>
      <w:r>
        <w:rPr>
          <w:i/>
        </w:rPr>
        <w:t>you</w:t>
      </w:r>
      <w:r>
        <w:t xml:space="preserve"> will receive unlimited standard national mobile calls, standard national voice calls, standard national SMS, calls to 13/1300/1800 numbers (except on the $89 Business Timeless Plan (4G Dec 2012), and VoiceMail deposits and retrievals.</w:t>
      </w:r>
    </w:p>
    <w:p w14:paraId="2D1212E6" w14:textId="77777777" w:rsidR="000D07EA" w:rsidRDefault="00BE7C89">
      <w:pPr>
        <w:pStyle w:val="Heading8"/>
      </w:pPr>
      <w:r>
        <w:t xml:space="preserve">The call, message types and usage that are eligible for the Business Timeless Plans are defined in Table 1A below. </w:t>
      </w:r>
    </w:p>
    <w:p w14:paraId="296BDCE5" w14:textId="77777777" w:rsidR="000D07EA" w:rsidRDefault="00BE7C89">
      <w:pPr>
        <w:pStyle w:val="Heading8"/>
      </w:pPr>
      <w:r>
        <w:rPr>
          <w:i/>
        </w:rPr>
        <w:t xml:space="preserve">You </w:t>
      </w:r>
      <w:r>
        <w:t>must pay for any calls, messages or usage types that are not eligible calls, message or usage types.</w:t>
      </w:r>
    </w:p>
    <w:p w14:paraId="2A0600C7" w14:textId="77777777" w:rsidR="000D07EA" w:rsidRDefault="00BE7C89">
      <w:pPr>
        <w:pStyle w:val="Heading8"/>
      </w:pPr>
      <w:r>
        <w:t>Fair Go Policy (</w:t>
      </w:r>
      <w:hyperlink r:id="rId510" w:history="1">
        <w:r>
          <w:rPr>
            <w:rStyle w:val="Hyperlink"/>
            <w:i/>
          </w:rPr>
          <w:t>Appendix S</w:t>
        </w:r>
      </w:hyperlink>
      <w:r>
        <w:t>)</w:t>
      </w:r>
      <w:r>
        <w:rPr>
          <w:snapToGrid w:val="0"/>
        </w:rPr>
        <w:t xml:space="preserve"> applies.</w:t>
      </w:r>
      <w:r>
        <w:t xml:space="preserve"> Please refer to </w:t>
      </w:r>
      <w:hyperlink r:id="rId511" w:history="1">
        <w:r w:rsidR="00503F23">
          <w:rPr>
            <w:rStyle w:val="Hyperlink"/>
            <w:i/>
          </w:rPr>
          <w:t>Appendix S</w:t>
        </w:r>
      </w:hyperlink>
      <w:r>
        <w:rPr>
          <w:i/>
        </w:rPr>
        <w:t xml:space="preserve"> </w:t>
      </w:r>
      <w:r>
        <w:t>for further details.</w:t>
      </w:r>
    </w:p>
    <w:p w14:paraId="4358A5FD" w14:textId="77777777" w:rsidR="000D07EA" w:rsidRDefault="00BE7C89">
      <w:pPr>
        <w:pStyle w:val="Heading7"/>
        <w:rPr>
          <w:b/>
        </w:rPr>
      </w:pPr>
      <w:bookmarkStart w:id="715" w:name="_Ref461554261"/>
      <w:r>
        <w:rPr>
          <w:b/>
        </w:rPr>
        <w:t>Included Mobile Internet Data Value and Unlimited BlackBerry POP3 Email and Browsing</w:t>
      </w:r>
      <w:bookmarkEnd w:id="715"/>
    </w:p>
    <w:p w14:paraId="3AE4B0A1" w14:textId="77777777" w:rsidR="000D07EA" w:rsidRDefault="00BE7C89">
      <w:pPr>
        <w:pStyle w:val="Heading8"/>
      </w:pPr>
      <w:r>
        <w:t xml:space="preserve">Under the Business Timeless Plans, </w:t>
      </w:r>
      <w:r>
        <w:rPr>
          <w:i/>
        </w:rPr>
        <w:t>you</w:t>
      </w:r>
      <w:r>
        <w:t xml:space="preserve"> will receive:</w:t>
      </w:r>
    </w:p>
    <w:p w14:paraId="7258E288" w14:textId="77777777" w:rsidR="000D07EA" w:rsidRDefault="00BE7C89">
      <w:pPr>
        <w:pStyle w:val="Heading9"/>
      </w:pPr>
      <w:r>
        <w:t xml:space="preserve">(if </w:t>
      </w:r>
      <w:r>
        <w:rPr>
          <w:i/>
        </w:rPr>
        <w:t>you</w:t>
      </w:r>
      <w:r>
        <w:t xml:space="preserve"> have compatible handset) included Mobile Internet Data Value. </w:t>
      </w:r>
    </w:p>
    <w:p w14:paraId="56F777A3" w14:textId="77777777" w:rsidR="000D07EA" w:rsidRDefault="00BE7C89">
      <w:pPr>
        <w:pStyle w:val="Heading9"/>
      </w:pPr>
      <w:r>
        <w:t>the amount of 'Mobile Internet Data Value' included for each Business Timeless Plan is set out in Table 2A below.</w:t>
      </w:r>
    </w:p>
    <w:p w14:paraId="6EB58858" w14:textId="77777777" w:rsidR="000D07EA" w:rsidRDefault="00BE7C89">
      <w:pPr>
        <w:pStyle w:val="Heading9"/>
      </w:pPr>
      <w:r>
        <w:t xml:space="preserve">The usage types that are </w:t>
      </w:r>
      <w:r>
        <w:rPr>
          <w:b/>
        </w:rPr>
        <w:t>'eligible data'</w:t>
      </w:r>
      <w:r>
        <w:t xml:space="preserve"> for each Business Timeless Plan under the included Mobile Internet Data Value are defined in Table 1B below.</w:t>
      </w:r>
    </w:p>
    <w:p w14:paraId="453C99E5" w14:textId="77777777" w:rsidR="000D07EA" w:rsidRDefault="00BE7C89">
      <w:pPr>
        <w:pStyle w:val="Heading9"/>
      </w:pPr>
      <w:r>
        <w:rPr>
          <w:i/>
        </w:rPr>
        <w:t xml:space="preserve">You </w:t>
      </w:r>
      <w:r>
        <w:t xml:space="preserve">must pay </w:t>
      </w:r>
      <w:r>
        <w:rPr>
          <w:i/>
        </w:rPr>
        <w:t xml:space="preserve">us </w:t>
      </w:r>
      <w:r>
        <w:t xml:space="preserve">excess usage charges for data used in excess of </w:t>
      </w:r>
      <w:r>
        <w:rPr>
          <w:i/>
        </w:rPr>
        <w:t>your</w:t>
      </w:r>
      <w:r>
        <w:t xml:space="preserve"> included 'Mobile Internet Data Value' as shown in Table 2A below. </w:t>
      </w:r>
    </w:p>
    <w:p w14:paraId="40E8BED5" w14:textId="77777777" w:rsidR="000D07EA" w:rsidRDefault="00BE7C89">
      <w:pPr>
        <w:pStyle w:val="Heading9"/>
      </w:pPr>
      <w:r>
        <w:rPr>
          <w:snapToGrid w:val="0"/>
        </w:rPr>
        <w:t>Any unused portion of the 'Mobile Internet Data Value' expires at the end of each month and does not roll over into the following month.</w:t>
      </w:r>
      <w:r>
        <w:t xml:space="preserve"> </w:t>
      </w:r>
    </w:p>
    <w:p w14:paraId="3BEDC6A6" w14:textId="77777777" w:rsidR="000D07EA" w:rsidRDefault="00BE7C89">
      <w:pPr>
        <w:pStyle w:val="Heading8"/>
      </w:pPr>
      <w:r>
        <w:t xml:space="preserve">Unlimited BlackBerry POP3 Email and Browsing. </w:t>
      </w:r>
    </w:p>
    <w:p w14:paraId="2BEA9CE8" w14:textId="77777777" w:rsidR="000D07EA" w:rsidRDefault="00BE7C89">
      <w:pPr>
        <w:pStyle w:val="Heading9"/>
      </w:pPr>
      <w:r>
        <w:rPr>
          <w:i/>
        </w:rPr>
        <w:t>You</w:t>
      </w:r>
      <w:r>
        <w:t xml:space="preserve"> will receive unlimited BlackBerry POP3 Email and Browsing through the BlackBerry Browser only, use of applications from Optus and third party applications that require a BlackBerry Data connection set out in Table 2A below.</w:t>
      </w:r>
    </w:p>
    <w:p w14:paraId="62923883" w14:textId="77777777" w:rsidR="000D07EA" w:rsidRDefault="00BE7C89">
      <w:pPr>
        <w:pStyle w:val="Heading9"/>
      </w:pPr>
      <w:r>
        <w:t>The usage types that are '</w:t>
      </w:r>
      <w:r>
        <w:rPr>
          <w:b/>
        </w:rPr>
        <w:t>eligible data'</w:t>
      </w:r>
      <w:r>
        <w:t xml:space="preserve"> for each Business Timeless Plan under the Unlimited BlackBerry POP3 Email and Browsing are defined in Table 1C below.</w:t>
      </w:r>
    </w:p>
    <w:p w14:paraId="1E8ED754" w14:textId="77777777" w:rsidR="000D07EA" w:rsidRDefault="00BE7C89">
      <w:pPr>
        <w:pStyle w:val="Heading9"/>
      </w:pPr>
      <w:r>
        <w:t>Unlimited BlackBerry POP3 Email is only for personal use and is not to be used for commercial purposes. Fair Go Policy (</w:t>
      </w:r>
      <w:hyperlink r:id="rId512" w:history="1">
        <w:r>
          <w:rPr>
            <w:rStyle w:val="Hyperlink"/>
            <w:i/>
          </w:rPr>
          <w:t>Appendix S</w:t>
        </w:r>
      </w:hyperlink>
      <w:r>
        <w:t xml:space="preserve">) also applies to unacceptable use. Please refer to </w:t>
      </w:r>
      <w:hyperlink r:id="rId513" w:history="1">
        <w:r w:rsidR="00503F23">
          <w:rPr>
            <w:rStyle w:val="Hyperlink"/>
            <w:i/>
          </w:rPr>
          <w:t>Appendix S</w:t>
        </w:r>
      </w:hyperlink>
      <w:r>
        <w:rPr>
          <w:i/>
        </w:rPr>
        <w:t xml:space="preserve"> </w:t>
      </w:r>
      <w:r>
        <w:t>for further details.</w:t>
      </w:r>
    </w:p>
    <w:p w14:paraId="68E76DE8" w14:textId="77777777" w:rsidR="000D07EA" w:rsidRDefault="00BE7C89">
      <w:pPr>
        <w:pStyle w:val="Heading7"/>
        <w:rPr>
          <w:b/>
          <w:snapToGrid w:val="0"/>
        </w:rPr>
      </w:pPr>
      <w:bookmarkStart w:id="716" w:name="_Ref461554271"/>
      <w:r>
        <w:rPr>
          <w:b/>
          <w:snapToGrid w:val="0"/>
        </w:rPr>
        <w:t>Unlimited mobile access to Facebook®, Twitter®, LinkedIn, Ebay, Foursquare and MySpace within Australia</w:t>
      </w:r>
      <w:bookmarkEnd w:id="716"/>
    </w:p>
    <w:p w14:paraId="1170468F" w14:textId="77777777" w:rsidR="000D07EA" w:rsidRDefault="00BE7C89">
      <w:pPr>
        <w:pStyle w:val="Heading8"/>
        <w:rPr>
          <w:snapToGrid w:val="0"/>
        </w:rPr>
      </w:pPr>
      <w:bookmarkStart w:id="717" w:name="_Ref461554334"/>
      <w:r>
        <w:t xml:space="preserve">Under the Business Timeless Plans, </w:t>
      </w:r>
      <w:r>
        <w:rPr>
          <w:i/>
        </w:rPr>
        <w:t>you</w:t>
      </w:r>
      <w:r>
        <w:t xml:space="preserve"> will receive unlimited mobile access to </w:t>
      </w:r>
      <w:r>
        <w:rPr>
          <w:snapToGrid w:val="0"/>
        </w:rPr>
        <w:t>Facebook®, Twitter®, LinkedIn, Ebay, Foursquare and MySpace within Australia.</w:t>
      </w:r>
      <w:bookmarkEnd w:id="717"/>
    </w:p>
    <w:p w14:paraId="1B4F974C" w14:textId="77777777" w:rsidR="000D07EA" w:rsidRDefault="00BE7C89">
      <w:pPr>
        <w:pStyle w:val="Heading8"/>
        <w:rPr>
          <w:snapToGrid w:val="0"/>
        </w:rPr>
      </w:pPr>
      <w:r>
        <w:rPr>
          <w:snapToGrid w:val="0"/>
        </w:rPr>
        <w:lastRenderedPageBreak/>
        <w:t xml:space="preserve">Use of the services described in paragraph </w:t>
      </w:r>
      <w:r>
        <w:rPr>
          <w:snapToGrid w:val="0"/>
        </w:rPr>
        <w:fldChar w:fldCharType="begin"/>
      </w:r>
      <w:r>
        <w:rPr>
          <w:snapToGrid w:val="0"/>
        </w:rPr>
        <w:instrText xml:space="preserve"> REF _Ref461554271 \n \h </w:instrText>
      </w:r>
      <w:r>
        <w:rPr>
          <w:snapToGrid w:val="0"/>
        </w:rPr>
      </w:r>
      <w:r>
        <w:rPr>
          <w:snapToGrid w:val="0"/>
        </w:rPr>
        <w:fldChar w:fldCharType="separate"/>
      </w:r>
      <w:r w:rsidR="0004083A">
        <w:rPr>
          <w:snapToGrid w:val="0"/>
        </w:rPr>
        <w:t>(f)</w:t>
      </w:r>
      <w:r>
        <w:rPr>
          <w:snapToGrid w:val="0"/>
        </w:rPr>
        <w:fldChar w:fldCharType="end"/>
      </w:r>
      <w:r>
        <w:rPr>
          <w:snapToGrid w:val="0"/>
        </w:rPr>
        <w:fldChar w:fldCharType="begin"/>
      </w:r>
      <w:r>
        <w:rPr>
          <w:snapToGrid w:val="0"/>
        </w:rPr>
        <w:instrText xml:space="preserve"> REF _Ref461554334 \n \h </w:instrText>
      </w:r>
      <w:r>
        <w:rPr>
          <w:snapToGrid w:val="0"/>
        </w:rPr>
      </w:r>
      <w:r>
        <w:rPr>
          <w:snapToGrid w:val="0"/>
        </w:rPr>
        <w:fldChar w:fldCharType="separate"/>
      </w:r>
      <w:r w:rsidR="0004083A">
        <w:rPr>
          <w:snapToGrid w:val="0"/>
        </w:rPr>
        <w:t>(i)</w:t>
      </w:r>
      <w:r>
        <w:rPr>
          <w:snapToGrid w:val="0"/>
        </w:rPr>
        <w:fldChar w:fldCharType="end"/>
      </w:r>
      <w:r>
        <w:rPr>
          <w:snapToGrid w:val="0"/>
        </w:rPr>
        <w:t xml:space="preserve"> is separate to and is not included in </w:t>
      </w:r>
      <w:r>
        <w:rPr>
          <w:i/>
          <w:snapToGrid w:val="0"/>
        </w:rPr>
        <w:t>your</w:t>
      </w:r>
      <w:r>
        <w:rPr>
          <w:snapToGrid w:val="0"/>
        </w:rPr>
        <w:t xml:space="preserve"> </w:t>
      </w:r>
      <w:r>
        <w:t>'Mobile Internet Data Value'.</w:t>
      </w:r>
    </w:p>
    <w:p w14:paraId="576BECB0" w14:textId="77777777" w:rsidR="000D07EA" w:rsidRDefault="00BE7C89">
      <w:pPr>
        <w:pStyle w:val="Heading8"/>
        <w:rPr>
          <w:b/>
        </w:rPr>
      </w:pPr>
      <w:r>
        <w:t xml:space="preserve">These features are only available to </w:t>
      </w:r>
      <w:r>
        <w:rPr>
          <w:i/>
        </w:rPr>
        <w:t>you</w:t>
      </w:r>
      <w:r>
        <w:t xml:space="preserve"> if </w:t>
      </w:r>
      <w:r>
        <w:rPr>
          <w:i/>
        </w:rPr>
        <w:t>your</w:t>
      </w:r>
      <w:r>
        <w:t xml:space="preserve"> handset is compatible with the service.</w:t>
      </w:r>
    </w:p>
    <w:p w14:paraId="626410F9" w14:textId="77777777" w:rsidR="000D07EA" w:rsidRDefault="00BE7C89">
      <w:pPr>
        <w:pStyle w:val="Heading8"/>
        <w:rPr>
          <w:b/>
        </w:rPr>
      </w:pPr>
      <w:r>
        <w:t>The Fair Go Policy (</w:t>
      </w:r>
      <w:hyperlink r:id="rId514" w:history="1">
        <w:r>
          <w:rPr>
            <w:rStyle w:val="Hyperlink"/>
            <w:i/>
          </w:rPr>
          <w:t>Appendix S</w:t>
        </w:r>
      </w:hyperlink>
      <w:r>
        <w:t xml:space="preserve">) applies for the use of Unlimited Facebook®, Twitter, </w:t>
      </w:r>
      <w:r>
        <w:rPr>
          <w:snapToGrid w:val="0"/>
        </w:rPr>
        <w:t>LinkedIn, Ebay, Four Square,</w:t>
      </w:r>
      <w:r>
        <w:t xml:space="preserve"> and MySpace. Please refer to </w:t>
      </w:r>
      <w:hyperlink r:id="rId515" w:history="1">
        <w:r w:rsidR="00503F23">
          <w:rPr>
            <w:rStyle w:val="Hyperlink"/>
            <w:i/>
          </w:rPr>
          <w:t>Appendix S</w:t>
        </w:r>
      </w:hyperlink>
      <w:r>
        <w:rPr>
          <w:i/>
        </w:rPr>
        <w:t xml:space="preserve"> </w:t>
      </w:r>
      <w:r>
        <w:t xml:space="preserve">for further details. </w:t>
      </w:r>
    </w:p>
    <w:p w14:paraId="33EC1605" w14:textId="77777777" w:rsidR="000D07EA" w:rsidRDefault="00BE7C89">
      <w:pPr>
        <w:pStyle w:val="Heading7"/>
        <w:rPr>
          <w:b/>
        </w:rPr>
      </w:pPr>
      <w:bookmarkStart w:id="718" w:name="_Ref461554280"/>
      <w:r>
        <w:rPr>
          <w:b/>
        </w:rPr>
        <w:t>Included International Value</w:t>
      </w:r>
      <w:bookmarkEnd w:id="718"/>
    </w:p>
    <w:p w14:paraId="0315976F" w14:textId="77777777" w:rsidR="000D07EA" w:rsidRDefault="00BE7C89">
      <w:pPr>
        <w:pStyle w:val="Heading8"/>
      </w:pPr>
      <w:r>
        <w:t xml:space="preserve">On the $129 Business Timeless Plan </w:t>
      </w:r>
      <w:r>
        <w:rPr>
          <w:i/>
        </w:rPr>
        <w:t>you</w:t>
      </w:r>
      <w:r>
        <w:t xml:space="preserve"> will receive an amount of included International Value. The amount of the International Value included for the $129 Business Timeless Plans is set out in Table 2A below.</w:t>
      </w:r>
    </w:p>
    <w:p w14:paraId="6E5F3A17" w14:textId="77777777" w:rsidR="000D07EA" w:rsidRDefault="00BE7C89">
      <w:pPr>
        <w:pStyle w:val="Heading8"/>
      </w:pPr>
      <w:r>
        <w:t xml:space="preserve">The usage types that are </w:t>
      </w:r>
      <w:r>
        <w:rPr>
          <w:b/>
        </w:rPr>
        <w:t>'eligible calls and charges'</w:t>
      </w:r>
      <w:r>
        <w:t xml:space="preserve"> for the $129 Business Timeless Plans under the included International Value are defined in Table 1D below.</w:t>
      </w:r>
    </w:p>
    <w:p w14:paraId="56446A1C" w14:textId="77777777" w:rsidR="000D07EA" w:rsidRDefault="00BE7C89">
      <w:pPr>
        <w:pStyle w:val="Heading8"/>
      </w:pPr>
      <w:r>
        <w:rPr>
          <w:i/>
        </w:rPr>
        <w:t xml:space="preserve">You </w:t>
      </w:r>
      <w:r>
        <w:t xml:space="preserve">must pay </w:t>
      </w:r>
      <w:r>
        <w:rPr>
          <w:i/>
        </w:rPr>
        <w:t xml:space="preserve">us </w:t>
      </w:r>
      <w:r>
        <w:t>for any calls or messages that are not eligible calls or messages under this offer.</w:t>
      </w:r>
    </w:p>
    <w:p w14:paraId="19A7985B" w14:textId="77777777" w:rsidR="000D07EA" w:rsidRDefault="00BE7C89">
      <w:pPr>
        <w:pStyle w:val="Heading8"/>
        <w:rPr>
          <w:snapToGrid w:val="0"/>
        </w:rPr>
      </w:pPr>
      <w:r>
        <w:rPr>
          <w:i/>
        </w:rPr>
        <w:t>You</w:t>
      </w:r>
      <w:r>
        <w:t xml:space="preserve"> must pay </w:t>
      </w:r>
      <w:r>
        <w:rPr>
          <w:i/>
          <w:snapToGrid w:val="0"/>
        </w:rPr>
        <w:t xml:space="preserve">us </w:t>
      </w:r>
      <w:r>
        <w:rPr>
          <w:snapToGrid w:val="0"/>
        </w:rPr>
        <w:t xml:space="preserve">for any usage over the included International Value. Standard International rates apply. See </w:t>
      </w:r>
      <w:hyperlink r:id="rId516" w:history="1">
        <w:r w:rsidR="008E7BFE" w:rsidRPr="008E7BFE">
          <w:rPr>
            <w:rStyle w:val="Hyperlink"/>
            <w:snapToGrid w:val="0"/>
          </w:rPr>
          <w:t>Appendix J</w:t>
        </w:r>
      </w:hyperlink>
      <w:r w:rsidR="008E7BFE">
        <w:rPr>
          <w:snapToGrid w:val="0"/>
        </w:rPr>
        <w:t xml:space="preserve"> </w:t>
      </w:r>
      <w:r>
        <w:rPr>
          <w:snapToGrid w:val="0"/>
        </w:rPr>
        <w:t>for more information.</w:t>
      </w:r>
    </w:p>
    <w:p w14:paraId="4D8C88EA" w14:textId="77777777" w:rsidR="000D07EA" w:rsidRDefault="00BE7C89">
      <w:pPr>
        <w:pStyle w:val="Heading8"/>
      </w:pPr>
      <w:r>
        <w:rPr>
          <w:snapToGrid w:val="0"/>
        </w:rPr>
        <w:t>Any unused portion of the included International Value expires at the end of each month and does not rollover into the following month.</w:t>
      </w:r>
      <w:r>
        <w:t xml:space="preserve"> </w:t>
      </w:r>
    </w:p>
    <w:p w14:paraId="236D5925" w14:textId="77777777" w:rsidR="000D07EA" w:rsidRDefault="00BE7C89">
      <w:pPr>
        <w:pStyle w:val="Heading7"/>
        <w:rPr>
          <w:b/>
        </w:rPr>
      </w:pPr>
      <w:r>
        <w:rPr>
          <w:b/>
        </w:rPr>
        <w:t>Blocking access to a number</w:t>
      </w:r>
    </w:p>
    <w:p w14:paraId="350195A4" w14:textId="77777777" w:rsidR="000D07EA" w:rsidRDefault="00BE7C89">
      <w:pPr>
        <w:pStyle w:val="BodyText"/>
        <w:ind w:left="1440"/>
      </w:pPr>
      <w:r>
        <w:t xml:space="preserve">In addition to what is stated in clause 11 of the </w:t>
      </w:r>
      <w:r>
        <w:rPr>
          <w:i/>
        </w:rPr>
        <w:t>service description</w:t>
      </w:r>
      <w:r>
        <w:t xml:space="preserve"> ("Access Restrictions"), we may block access to a number (other than an emergency service number) if we reasonably require this to be done for technical, operational or commercial reasons. </w:t>
      </w:r>
    </w:p>
    <w:p w14:paraId="18D68D12" w14:textId="77777777" w:rsidR="000D07EA" w:rsidRDefault="00BE7C89">
      <w:pPr>
        <w:pStyle w:val="Heading7"/>
        <w:rPr>
          <w:b/>
        </w:rPr>
      </w:pPr>
      <w:r>
        <w:rPr>
          <w:b/>
        </w:rPr>
        <w:t>Other Business Timeless Plan Conditions and Offers</w:t>
      </w:r>
    </w:p>
    <w:p w14:paraId="79EEB2DE" w14:textId="77777777" w:rsidR="000D07EA" w:rsidRDefault="00BE7C89">
      <w:pPr>
        <w:pStyle w:val="Heading8"/>
      </w:pPr>
      <w:r>
        <w:t>The Fair Go Policy (</w:t>
      </w:r>
      <w:hyperlink r:id="rId517" w:history="1">
        <w:r>
          <w:rPr>
            <w:rStyle w:val="Hyperlink"/>
            <w:i/>
          </w:rPr>
          <w:t>Appendix S</w:t>
        </w:r>
      </w:hyperlink>
      <w:r>
        <w:t>) applies to Voice Over Internet Protocol (VOIP) services up to 10 megabytes per month</w:t>
      </w:r>
      <w:r>
        <w:rPr>
          <w:rFonts w:ascii="DIN" w:hAnsi="DIN" w:cs="DIN"/>
          <w:color w:val="000000"/>
          <w:sz w:val="18"/>
        </w:rPr>
        <w:t>.</w:t>
      </w:r>
      <w:r>
        <w:t xml:space="preserve"> Please refer to </w:t>
      </w:r>
      <w:hyperlink r:id="rId518" w:history="1">
        <w:r w:rsidR="00503F23">
          <w:rPr>
            <w:rStyle w:val="Hyperlink"/>
            <w:i/>
          </w:rPr>
          <w:t>Appendix S</w:t>
        </w:r>
      </w:hyperlink>
      <w:r>
        <w:rPr>
          <w:i/>
        </w:rPr>
        <w:t>.</w:t>
      </w:r>
    </w:p>
    <w:p w14:paraId="5550EBDA" w14:textId="77777777" w:rsidR="000D07EA" w:rsidRDefault="00BE7C89">
      <w:pPr>
        <w:pStyle w:val="Heading8"/>
      </w:pPr>
      <w:r>
        <w:t xml:space="preserve">Some handsets are locked to our network. If </w:t>
      </w:r>
      <w:r>
        <w:rPr>
          <w:i/>
        </w:rPr>
        <w:t>you</w:t>
      </w:r>
      <w:r>
        <w:t xml:space="preserve"> wish to unlock one of these handsets you should contact our Customer Service centre. </w:t>
      </w:r>
    </w:p>
    <w:p w14:paraId="1C74F81E" w14:textId="77777777" w:rsidR="000D07EA" w:rsidRDefault="00BE7C89">
      <w:pPr>
        <w:pStyle w:val="Heading8"/>
      </w:pPr>
      <w:r>
        <w:t xml:space="preserve">Available features will vary depending on </w:t>
      </w:r>
      <w:r>
        <w:rPr>
          <w:i/>
        </w:rPr>
        <w:t>your</w:t>
      </w:r>
      <w:r>
        <w:t xml:space="preserve"> handset or software version.</w:t>
      </w:r>
    </w:p>
    <w:p w14:paraId="4E5F5C48" w14:textId="77777777" w:rsidR="000D07EA" w:rsidRDefault="00BE7C89">
      <w:pPr>
        <w:pStyle w:val="Heading7"/>
        <w:rPr>
          <w:b/>
        </w:rPr>
      </w:pPr>
      <w:r>
        <w:rPr>
          <w:b/>
        </w:rPr>
        <w:t>Additional benefit – Handset Credit</w:t>
      </w:r>
    </w:p>
    <w:p w14:paraId="3B6417A3" w14:textId="77777777" w:rsidR="000D07EA" w:rsidRDefault="00BE7C89">
      <w:pPr>
        <w:pStyle w:val="Heading8"/>
      </w:pPr>
      <w:r>
        <w:t xml:space="preserve">If </w:t>
      </w:r>
      <w:r>
        <w:rPr>
          <w:i/>
        </w:rPr>
        <w:t xml:space="preserve">you </w:t>
      </w:r>
      <w:r>
        <w:t xml:space="preserve">connect to the $89 Business Timeless Plan MRO (4G Dec 2012), $99 Business Timeless Plan MRO (4GDec 2012) and $129 Business Timeless Plan MRO (4G Dec 2012) with a handset repayment, </w:t>
      </w:r>
      <w:r>
        <w:rPr>
          <w:i/>
        </w:rPr>
        <w:t>you</w:t>
      </w:r>
      <w:r>
        <w:t xml:space="preserve"> will receive a Handset Credit each month for the contracted period of </w:t>
      </w:r>
      <w:r>
        <w:rPr>
          <w:i/>
        </w:rPr>
        <w:t>your</w:t>
      </w:r>
      <w:r>
        <w:t xml:space="preserve"> plan, reducing the monthly repayment costs of the handset. </w:t>
      </w:r>
    </w:p>
    <w:p w14:paraId="09EBAE1F" w14:textId="77777777" w:rsidR="000D07EA" w:rsidRDefault="00BE7C89">
      <w:pPr>
        <w:pStyle w:val="Heading8"/>
      </w:pPr>
      <w:r>
        <w:t xml:space="preserve">If </w:t>
      </w:r>
      <w:r>
        <w:rPr>
          <w:i/>
        </w:rPr>
        <w:t>you</w:t>
      </w:r>
      <w:r>
        <w:t xml:space="preserve"> cancel </w:t>
      </w:r>
      <w:r>
        <w:rPr>
          <w:i/>
        </w:rPr>
        <w:t>your</w:t>
      </w:r>
      <w:r>
        <w:t xml:space="preserve"> plan or the handset repayments during the contracted period, </w:t>
      </w:r>
      <w:r>
        <w:rPr>
          <w:i/>
        </w:rPr>
        <w:t>you</w:t>
      </w:r>
      <w:r>
        <w:t xml:space="preserve"> will no longer be entitled to further Handset Credits and </w:t>
      </w:r>
      <w:r>
        <w:rPr>
          <w:i/>
        </w:rPr>
        <w:t>you</w:t>
      </w:r>
      <w:r>
        <w:t xml:space="preserve"> must pay the remaining handset repayments in addition to any Termination Fees.</w:t>
      </w:r>
    </w:p>
    <w:p w14:paraId="31838FF0" w14:textId="77777777" w:rsidR="000D07EA" w:rsidRDefault="00BE7C89">
      <w:pPr>
        <w:pStyle w:val="Heading7"/>
        <w:rPr>
          <w:b/>
        </w:rPr>
      </w:pPr>
      <w:r>
        <w:rPr>
          <w:b/>
        </w:rPr>
        <w:t xml:space="preserve">Additional benefit – 12 Month Handset Upgrade - $129 Business Timeless Plan </w:t>
      </w:r>
    </w:p>
    <w:p w14:paraId="1F35B844" w14:textId="77777777" w:rsidR="000D07EA" w:rsidRDefault="00BE7C89">
      <w:pPr>
        <w:pStyle w:val="BodyText"/>
        <w:ind w:left="1440"/>
      </w:pPr>
      <w:r>
        <w:t xml:space="preserve">If </w:t>
      </w:r>
      <w:r>
        <w:rPr>
          <w:i/>
        </w:rPr>
        <w:t>you</w:t>
      </w:r>
      <w:r>
        <w:t xml:space="preserve"> connect to the $129 Business Timeless Plan you are able to upgrade your handset after 12 months of your </w:t>
      </w:r>
      <w:r>
        <w:rPr>
          <w:i/>
        </w:rPr>
        <w:t>fixed length agreement</w:t>
      </w:r>
      <w:r>
        <w:t xml:space="preserve">, when you recontract on another 24 month </w:t>
      </w:r>
      <w:r>
        <w:rPr>
          <w:i/>
        </w:rPr>
        <w:t>fixed length agreement</w:t>
      </w:r>
      <w:r>
        <w:t>.</w:t>
      </w:r>
    </w:p>
    <w:p w14:paraId="6AEAC684" w14:textId="77777777" w:rsidR="000D07EA" w:rsidRDefault="00BE7C89">
      <w:pPr>
        <w:pStyle w:val="Heading7"/>
        <w:rPr>
          <w:b/>
        </w:rPr>
      </w:pPr>
      <w:r>
        <w:rPr>
          <w:b/>
        </w:rPr>
        <w:t>Eligible Calls, Messages and Pricing Plans</w:t>
      </w:r>
    </w:p>
    <w:p w14:paraId="4BCEB089" w14:textId="77777777" w:rsidR="000D07EA" w:rsidRDefault="00BE7C89">
      <w:pPr>
        <w:pStyle w:val="Heading8"/>
      </w:pPr>
      <w:r>
        <w:t xml:space="preserve">Table 1A below indicates whether a particular call and message type is eligible in the unlimited offer for </w:t>
      </w:r>
      <w:r>
        <w:rPr>
          <w:i/>
        </w:rPr>
        <w:t xml:space="preserve">your </w:t>
      </w:r>
      <w:r>
        <w:t>selected Business Timeless Plan.</w:t>
      </w:r>
    </w:p>
    <w:p w14:paraId="535757E7" w14:textId="77777777" w:rsidR="000D07EA" w:rsidRDefault="00BE7C89">
      <w:pPr>
        <w:pStyle w:val="Heading8"/>
      </w:pPr>
      <w:r>
        <w:lastRenderedPageBreak/>
        <w:t xml:space="preserve">Table 1B below indicates whether a particular data type is 'eligible data usage' which counts towards the data value of </w:t>
      </w:r>
      <w:r>
        <w:rPr>
          <w:i/>
        </w:rPr>
        <w:t xml:space="preserve">your </w:t>
      </w:r>
      <w:r>
        <w:t xml:space="preserve">selected Business Timeless Plan. </w:t>
      </w:r>
    </w:p>
    <w:p w14:paraId="58D4147B" w14:textId="77777777" w:rsidR="000D07EA" w:rsidRDefault="00BE7C89">
      <w:pPr>
        <w:pStyle w:val="Heading8"/>
      </w:pPr>
      <w:r>
        <w:t xml:space="preserve">Table 1C below indicates whether a particular data type is 'eligible data usage' which counts towards the Unlimited BlackBerry POP3 Email and Browsing value of </w:t>
      </w:r>
      <w:r>
        <w:rPr>
          <w:i/>
        </w:rPr>
        <w:t xml:space="preserve">your </w:t>
      </w:r>
      <w:r>
        <w:t>selected Business Timeless Plan.</w:t>
      </w:r>
    </w:p>
    <w:p w14:paraId="5B228B2C" w14:textId="77777777" w:rsidR="000D07EA" w:rsidRDefault="00BE7C89">
      <w:pPr>
        <w:pStyle w:val="Heading8"/>
      </w:pPr>
      <w:r>
        <w:t xml:space="preserve">Table 1D below indicates whether a particular call or message type is an 'eligible call or message' which counts towards the included International Value of </w:t>
      </w:r>
      <w:r>
        <w:rPr>
          <w:i/>
        </w:rPr>
        <w:t xml:space="preserve">your </w:t>
      </w:r>
      <w:r>
        <w:t>selected $129 Business Timeless Plan.</w:t>
      </w:r>
    </w:p>
    <w:p w14:paraId="574204AE" w14:textId="77777777" w:rsidR="000D07EA" w:rsidRDefault="00BE7C89">
      <w:pPr>
        <w:pStyle w:val="Heading8"/>
      </w:pPr>
      <w:r>
        <w:t>Table 2A below contains pricing details of each Business Timeless Plan.</w:t>
      </w:r>
    </w:p>
    <w:p w14:paraId="1ABA5E0E" w14:textId="77777777" w:rsidR="000D07EA" w:rsidRDefault="00BE7C89">
      <w:pPr>
        <w:pStyle w:val="BodyText"/>
        <w:ind w:left="720"/>
        <w:rPr>
          <w:b/>
        </w:rPr>
      </w:pPr>
      <w:r>
        <w:rPr>
          <w:b/>
        </w:rPr>
        <w:t>Table 1A – Eligible Calls</w:t>
      </w:r>
    </w:p>
    <w:tbl>
      <w:tblPr>
        <w:tblW w:w="4226"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750"/>
        <w:gridCol w:w="2861"/>
      </w:tblGrid>
      <w:tr w:rsidR="000D07EA" w14:paraId="0D6DC0D2" w14:textId="77777777">
        <w:trPr>
          <w:trHeight w:val="63"/>
          <w:tblHeader/>
        </w:trPr>
        <w:tc>
          <w:tcPr>
            <w:tcW w:w="3339" w:type="pct"/>
          </w:tcPr>
          <w:p w14:paraId="7AB70690" w14:textId="77777777" w:rsidR="000D07EA" w:rsidRDefault="00BE7C89">
            <w:pPr>
              <w:pStyle w:val="BodyText"/>
              <w:spacing w:before="100" w:after="100"/>
              <w:rPr>
                <w:b/>
                <w:bCs/>
              </w:rPr>
            </w:pPr>
            <w:r>
              <w:rPr>
                <w:b/>
                <w:bCs/>
              </w:rPr>
              <w:t>Call Type</w:t>
            </w:r>
          </w:p>
        </w:tc>
        <w:tc>
          <w:tcPr>
            <w:tcW w:w="1661" w:type="pct"/>
          </w:tcPr>
          <w:p w14:paraId="5A83CD74" w14:textId="77777777" w:rsidR="000D07EA" w:rsidRDefault="00BE7C89">
            <w:pPr>
              <w:pStyle w:val="BodyText"/>
              <w:spacing w:before="100" w:after="100"/>
              <w:rPr>
                <w:b/>
                <w:bCs/>
              </w:rPr>
            </w:pPr>
            <w:r>
              <w:rPr>
                <w:b/>
                <w:bCs/>
              </w:rPr>
              <w:t xml:space="preserve">Eligible Call </w:t>
            </w:r>
          </w:p>
        </w:tc>
      </w:tr>
      <w:tr w:rsidR="000D07EA" w14:paraId="46B05C8A" w14:textId="77777777">
        <w:trPr>
          <w:trHeight w:val="247"/>
        </w:trPr>
        <w:tc>
          <w:tcPr>
            <w:tcW w:w="3339" w:type="pct"/>
          </w:tcPr>
          <w:p w14:paraId="468AFE6C" w14:textId="77777777" w:rsidR="000D07EA" w:rsidRDefault="00BE7C89">
            <w:pPr>
              <w:pStyle w:val="BodyText"/>
              <w:spacing w:before="100" w:after="100"/>
            </w:pPr>
            <w:r>
              <w:t>Standard National Mobile Calls</w:t>
            </w:r>
          </w:p>
        </w:tc>
        <w:tc>
          <w:tcPr>
            <w:tcW w:w="1661" w:type="pct"/>
          </w:tcPr>
          <w:p w14:paraId="5D4F4FAC" w14:textId="77777777" w:rsidR="000D07EA" w:rsidRDefault="00BE7C89">
            <w:pPr>
              <w:pStyle w:val="BodyText"/>
              <w:spacing w:before="100" w:after="100"/>
            </w:pPr>
            <w:r>
              <w:t>Yes</w:t>
            </w:r>
          </w:p>
        </w:tc>
      </w:tr>
      <w:tr w:rsidR="000D07EA" w14:paraId="1FCB3D2A" w14:textId="77777777">
        <w:trPr>
          <w:trHeight w:val="63"/>
        </w:trPr>
        <w:tc>
          <w:tcPr>
            <w:tcW w:w="3339" w:type="pct"/>
          </w:tcPr>
          <w:p w14:paraId="76DAF8EA" w14:textId="77777777" w:rsidR="000D07EA" w:rsidRDefault="00BE7C89">
            <w:pPr>
              <w:pStyle w:val="BodyText"/>
              <w:spacing w:before="100" w:after="100"/>
            </w:pPr>
            <w:r>
              <w:t>Standard National Voice Calls</w:t>
            </w:r>
          </w:p>
        </w:tc>
        <w:tc>
          <w:tcPr>
            <w:tcW w:w="1661" w:type="pct"/>
          </w:tcPr>
          <w:p w14:paraId="498C2098" w14:textId="77777777" w:rsidR="000D07EA" w:rsidRDefault="00BE7C89">
            <w:pPr>
              <w:pStyle w:val="BodyText"/>
              <w:spacing w:before="100" w:after="100"/>
            </w:pPr>
            <w:r>
              <w:t>Yes</w:t>
            </w:r>
          </w:p>
        </w:tc>
      </w:tr>
      <w:tr w:rsidR="000D07EA" w14:paraId="67D5EE59" w14:textId="77777777">
        <w:trPr>
          <w:trHeight w:val="63"/>
        </w:trPr>
        <w:tc>
          <w:tcPr>
            <w:tcW w:w="3339" w:type="pct"/>
          </w:tcPr>
          <w:p w14:paraId="52F634D8" w14:textId="77777777" w:rsidR="000D07EA" w:rsidRDefault="00BE7C89">
            <w:pPr>
              <w:pStyle w:val="BodyText"/>
              <w:spacing w:before="100" w:after="100"/>
            </w:pPr>
            <w:r>
              <w:t>National Video Calls</w:t>
            </w:r>
          </w:p>
        </w:tc>
        <w:tc>
          <w:tcPr>
            <w:tcW w:w="1661" w:type="pct"/>
          </w:tcPr>
          <w:p w14:paraId="4A563256" w14:textId="77777777" w:rsidR="000D07EA" w:rsidRDefault="00BE7C89">
            <w:pPr>
              <w:pStyle w:val="BodyText"/>
              <w:spacing w:before="100" w:after="100"/>
            </w:pPr>
            <w:r>
              <w:t>No</w:t>
            </w:r>
          </w:p>
        </w:tc>
      </w:tr>
      <w:tr w:rsidR="000D07EA" w14:paraId="5E0104A2" w14:textId="77777777">
        <w:trPr>
          <w:trHeight w:val="63"/>
        </w:trPr>
        <w:tc>
          <w:tcPr>
            <w:tcW w:w="3339" w:type="pct"/>
          </w:tcPr>
          <w:p w14:paraId="1525B5C2" w14:textId="77777777" w:rsidR="000D07EA" w:rsidRDefault="00BE7C89">
            <w:pPr>
              <w:pStyle w:val="BodyText"/>
              <w:spacing w:before="100" w:after="100"/>
            </w:pPr>
            <w:r>
              <w:t>International Voice Calls</w:t>
            </w:r>
          </w:p>
          <w:p w14:paraId="62BA9CC1" w14:textId="77777777" w:rsidR="000D07EA" w:rsidRDefault="00BE7C89">
            <w:pPr>
              <w:pStyle w:val="BodyText"/>
              <w:spacing w:before="100" w:after="100"/>
            </w:pPr>
            <w:r>
              <w:rPr>
                <w:snapToGrid w:val="0"/>
              </w:rPr>
              <w:t>(includes calls to national fixed or mobile services that then divert/switch or re-route overseas)</w:t>
            </w:r>
          </w:p>
        </w:tc>
        <w:tc>
          <w:tcPr>
            <w:tcW w:w="1661" w:type="pct"/>
          </w:tcPr>
          <w:p w14:paraId="2C1C8AAE" w14:textId="77777777" w:rsidR="000D07EA" w:rsidRDefault="00BE7C89">
            <w:pPr>
              <w:pStyle w:val="BodyText"/>
              <w:spacing w:before="100" w:after="100"/>
            </w:pPr>
            <w:r>
              <w:t xml:space="preserve">No </w:t>
            </w:r>
          </w:p>
        </w:tc>
      </w:tr>
      <w:tr w:rsidR="000D07EA" w14:paraId="530AE305" w14:textId="77777777">
        <w:trPr>
          <w:trHeight w:val="63"/>
        </w:trPr>
        <w:tc>
          <w:tcPr>
            <w:tcW w:w="3339" w:type="pct"/>
          </w:tcPr>
          <w:p w14:paraId="681BA95E" w14:textId="77777777" w:rsidR="000D07EA" w:rsidRDefault="00BE7C89">
            <w:pPr>
              <w:pStyle w:val="BodyText"/>
              <w:spacing w:before="100" w:after="100"/>
            </w:pPr>
            <w:r>
              <w:t>International Video Calls</w:t>
            </w:r>
          </w:p>
          <w:p w14:paraId="083D7848" w14:textId="77777777" w:rsidR="000D07EA" w:rsidRDefault="00BE7C89">
            <w:pPr>
              <w:pStyle w:val="BodyText"/>
              <w:spacing w:before="100" w:after="100"/>
            </w:pPr>
            <w:r>
              <w:rPr>
                <w:snapToGrid w:val="0"/>
              </w:rPr>
              <w:t>(includes calls to national fixed or mobile services that then divert/switch or re-route overseas)</w:t>
            </w:r>
          </w:p>
        </w:tc>
        <w:tc>
          <w:tcPr>
            <w:tcW w:w="1661" w:type="pct"/>
          </w:tcPr>
          <w:p w14:paraId="393C22AC" w14:textId="77777777" w:rsidR="000D07EA" w:rsidRDefault="00BE7C89">
            <w:pPr>
              <w:pStyle w:val="BodyText"/>
              <w:spacing w:before="100" w:after="100"/>
            </w:pPr>
            <w:r>
              <w:t>No</w:t>
            </w:r>
          </w:p>
        </w:tc>
      </w:tr>
      <w:tr w:rsidR="000D07EA" w14:paraId="3DA88829" w14:textId="77777777">
        <w:trPr>
          <w:trHeight w:val="247"/>
        </w:trPr>
        <w:tc>
          <w:tcPr>
            <w:tcW w:w="3339" w:type="pct"/>
          </w:tcPr>
          <w:p w14:paraId="63B41C0B" w14:textId="77777777" w:rsidR="000D07EA" w:rsidRDefault="00BE7C89">
            <w:pPr>
              <w:pStyle w:val="BodyText"/>
              <w:spacing w:before="100" w:after="100"/>
            </w:pPr>
            <w:r>
              <w:t>Standard National SMS</w:t>
            </w:r>
          </w:p>
        </w:tc>
        <w:tc>
          <w:tcPr>
            <w:tcW w:w="1661" w:type="pct"/>
          </w:tcPr>
          <w:p w14:paraId="0FA4BB0D" w14:textId="77777777" w:rsidR="000D07EA" w:rsidRDefault="00BE7C89">
            <w:pPr>
              <w:pStyle w:val="BodyText"/>
              <w:spacing w:before="100" w:after="100"/>
            </w:pPr>
            <w:r>
              <w:t>Yes</w:t>
            </w:r>
          </w:p>
        </w:tc>
      </w:tr>
      <w:tr w:rsidR="000D07EA" w14:paraId="5E327A50" w14:textId="77777777">
        <w:trPr>
          <w:trHeight w:val="247"/>
        </w:trPr>
        <w:tc>
          <w:tcPr>
            <w:tcW w:w="3339" w:type="pct"/>
          </w:tcPr>
          <w:p w14:paraId="057C6DB5" w14:textId="77777777" w:rsidR="000D07EA" w:rsidRDefault="00BE7C89">
            <w:pPr>
              <w:pStyle w:val="BodyText"/>
              <w:spacing w:before="100" w:after="100"/>
            </w:pPr>
            <w:r>
              <w:t>International SMS</w:t>
            </w:r>
          </w:p>
        </w:tc>
        <w:tc>
          <w:tcPr>
            <w:tcW w:w="1661" w:type="pct"/>
          </w:tcPr>
          <w:p w14:paraId="11895FF2" w14:textId="77777777" w:rsidR="000D07EA" w:rsidRDefault="00BE7C89">
            <w:pPr>
              <w:pStyle w:val="BodyText"/>
              <w:spacing w:before="100" w:after="100"/>
            </w:pPr>
            <w:r>
              <w:t>No</w:t>
            </w:r>
          </w:p>
        </w:tc>
      </w:tr>
      <w:tr w:rsidR="000D07EA" w14:paraId="29E76F5A" w14:textId="77777777">
        <w:trPr>
          <w:trHeight w:val="247"/>
        </w:trPr>
        <w:tc>
          <w:tcPr>
            <w:tcW w:w="3339" w:type="pct"/>
          </w:tcPr>
          <w:p w14:paraId="518B4021" w14:textId="77777777" w:rsidR="000D07EA" w:rsidRDefault="00BE7C89">
            <w:pPr>
              <w:pStyle w:val="BodyText"/>
              <w:spacing w:before="100" w:after="100"/>
            </w:pPr>
            <w:r>
              <w:t>National MMS</w:t>
            </w:r>
          </w:p>
        </w:tc>
        <w:tc>
          <w:tcPr>
            <w:tcW w:w="1661" w:type="pct"/>
          </w:tcPr>
          <w:p w14:paraId="66280F7F" w14:textId="77777777" w:rsidR="000D07EA" w:rsidRDefault="00BE7C89">
            <w:pPr>
              <w:pStyle w:val="BodyText"/>
              <w:spacing w:before="100" w:after="100"/>
            </w:pPr>
            <w:r>
              <w:t>Yes</w:t>
            </w:r>
          </w:p>
        </w:tc>
      </w:tr>
      <w:tr w:rsidR="000D07EA" w14:paraId="2D117BDC" w14:textId="77777777">
        <w:trPr>
          <w:trHeight w:val="247"/>
        </w:trPr>
        <w:tc>
          <w:tcPr>
            <w:tcW w:w="3339" w:type="pct"/>
          </w:tcPr>
          <w:p w14:paraId="2EA79EF9" w14:textId="77777777" w:rsidR="000D07EA" w:rsidRDefault="00BE7C89">
            <w:pPr>
              <w:pStyle w:val="BodyText"/>
              <w:spacing w:before="100" w:after="100"/>
            </w:pPr>
            <w:r>
              <w:t>International MMS</w:t>
            </w:r>
          </w:p>
        </w:tc>
        <w:tc>
          <w:tcPr>
            <w:tcW w:w="1661" w:type="pct"/>
          </w:tcPr>
          <w:p w14:paraId="6F8A70AC" w14:textId="77777777" w:rsidR="000D07EA" w:rsidRDefault="00BE7C89">
            <w:pPr>
              <w:pStyle w:val="BodyText"/>
              <w:spacing w:before="100" w:after="100"/>
            </w:pPr>
            <w:r>
              <w:t>No</w:t>
            </w:r>
          </w:p>
        </w:tc>
      </w:tr>
      <w:tr w:rsidR="000D07EA" w14:paraId="52DFAB07" w14:textId="77777777">
        <w:trPr>
          <w:trHeight w:val="247"/>
        </w:trPr>
        <w:tc>
          <w:tcPr>
            <w:tcW w:w="3339" w:type="pct"/>
          </w:tcPr>
          <w:p w14:paraId="12C966B0" w14:textId="77777777" w:rsidR="000D07EA" w:rsidRDefault="00BE7C89">
            <w:pPr>
              <w:pStyle w:val="BodyText"/>
              <w:spacing w:before="100" w:after="100"/>
            </w:pPr>
            <w:r>
              <w:t>National Diversions</w:t>
            </w:r>
          </w:p>
        </w:tc>
        <w:tc>
          <w:tcPr>
            <w:tcW w:w="1661" w:type="pct"/>
          </w:tcPr>
          <w:p w14:paraId="53753784" w14:textId="77777777" w:rsidR="000D07EA" w:rsidRDefault="00BE7C89">
            <w:pPr>
              <w:pStyle w:val="BodyText"/>
              <w:spacing w:before="100" w:after="100"/>
            </w:pPr>
            <w:r>
              <w:t>Yes</w:t>
            </w:r>
          </w:p>
        </w:tc>
      </w:tr>
      <w:tr w:rsidR="000D07EA" w14:paraId="58FE6A17" w14:textId="77777777">
        <w:trPr>
          <w:trHeight w:val="509"/>
        </w:trPr>
        <w:tc>
          <w:tcPr>
            <w:tcW w:w="3339" w:type="pct"/>
          </w:tcPr>
          <w:p w14:paraId="69B110D8" w14:textId="77777777" w:rsidR="000D07EA" w:rsidRDefault="00BE7C89">
            <w:pPr>
              <w:pStyle w:val="BodyText"/>
              <w:spacing w:before="100" w:after="100"/>
            </w:pPr>
            <w:r>
              <w:t>Voicemail Deposit and Retrievals</w:t>
            </w:r>
          </w:p>
        </w:tc>
        <w:tc>
          <w:tcPr>
            <w:tcW w:w="1661" w:type="pct"/>
          </w:tcPr>
          <w:p w14:paraId="48E01E7C" w14:textId="77777777" w:rsidR="000D07EA" w:rsidRDefault="00BE7C89">
            <w:pPr>
              <w:pStyle w:val="BodyText"/>
              <w:spacing w:before="100" w:after="100"/>
            </w:pPr>
            <w:r>
              <w:t>Yes</w:t>
            </w:r>
          </w:p>
        </w:tc>
      </w:tr>
      <w:tr w:rsidR="000D07EA" w14:paraId="05EBE56C" w14:textId="77777777">
        <w:trPr>
          <w:trHeight w:val="247"/>
        </w:trPr>
        <w:tc>
          <w:tcPr>
            <w:tcW w:w="3339" w:type="pct"/>
          </w:tcPr>
          <w:p w14:paraId="3338D58A" w14:textId="77777777" w:rsidR="000D07EA" w:rsidRDefault="00BE7C89">
            <w:pPr>
              <w:pStyle w:val="BodyText"/>
              <w:spacing w:before="100" w:after="100"/>
            </w:pPr>
            <w:r>
              <w:t>International Roaming and Diversion</w:t>
            </w:r>
          </w:p>
        </w:tc>
        <w:tc>
          <w:tcPr>
            <w:tcW w:w="1661" w:type="pct"/>
          </w:tcPr>
          <w:p w14:paraId="2664D92A" w14:textId="77777777" w:rsidR="000D07EA" w:rsidRDefault="00BE7C89">
            <w:pPr>
              <w:pStyle w:val="BodyText"/>
              <w:spacing w:before="100" w:after="100"/>
            </w:pPr>
            <w:r>
              <w:t>No</w:t>
            </w:r>
          </w:p>
        </w:tc>
      </w:tr>
      <w:tr w:rsidR="000D07EA" w14:paraId="0F812E21" w14:textId="77777777">
        <w:trPr>
          <w:trHeight w:val="247"/>
        </w:trPr>
        <w:tc>
          <w:tcPr>
            <w:tcW w:w="3339" w:type="pct"/>
          </w:tcPr>
          <w:p w14:paraId="45CD0673" w14:textId="77777777" w:rsidR="000D07EA" w:rsidRDefault="00BE7C89">
            <w:pPr>
              <w:pStyle w:val="BodyText"/>
              <w:spacing w:before="100" w:after="100"/>
            </w:pPr>
            <w:r>
              <w:t>Premium SMS</w:t>
            </w:r>
          </w:p>
        </w:tc>
        <w:tc>
          <w:tcPr>
            <w:tcW w:w="1661" w:type="pct"/>
          </w:tcPr>
          <w:p w14:paraId="657D35AE" w14:textId="77777777" w:rsidR="000D07EA" w:rsidRDefault="00BE7C89">
            <w:pPr>
              <w:pStyle w:val="BodyText"/>
              <w:spacing w:before="100" w:after="100"/>
            </w:pPr>
            <w:r>
              <w:t>No</w:t>
            </w:r>
          </w:p>
        </w:tc>
      </w:tr>
      <w:tr w:rsidR="000D07EA" w14:paraId="23B09A0F" w14:textId="77777777">
        <w:trPr>
          <w:trHeight w:val="247"/>
        </w:trPr>
        <w:tc>
          <w:tcPr>
            <w:tcW w:w="3339" w:type="pct"/>
          </w:tcPr>
          <w:p w14:paraId="69D35A43" w14:textId="77777777" w:rsidR="000D07EA" w:rsidRDefault="00BE7C89">
            <w:pPr>
              <w:pStyle w:val="BodyText"/>
              <w:spacing w:before="100" w:after="100"/>
            </w:pPr>
            <w:r>
              <w:t>Premium Video</w:t>
            </w:r>
          </w:p>
        </w:tc>
        <w:tc>
          <w:tcPr>
            <w:tcW w:w="1661" w:type="pct"/>
          </w:tcPr>
          <w:p w14:paraId="6C3AB7F8" w14:textId="77777777" w:rsidR="000D07EA" w:rsidRDefault="00BE7C89">
            <w:pPr>
              <w:pStyle w:val="BodyText"/>
              <w:spacing w:before="100" w:after="100"/>
            </w:pPr>
            <w:r>
              <w:t>No</w:t>
            </w:r>
          </w:p>
        </w:tc>
      </w:tr>
      <w:tr w:rsidR="000D07EA" w14:paraId="56F7418F" w14:textId="77777777">
        <w:trPr>
          <w:trHeight w:val="247"/>
        </w:trPr>
        <w:tc>
          <w:tcPr>
            <w:tcW w:w="3339" w:type="pct"/>
          </w:tcPr>
          <w:p w14:paraId="4912F9C1" w14:textId="77777777" w:rsidR="000D07EA" w:rsidRDefault="00BE7C89">
            <w:pPr>
              <w:pStyle w:val="BodyText"/>
              <w:spacing w:before="100" w:after="100"/>
            </w:pPr>
            <w:r>
              <w:t>Video Conferencing</w:t>
            </w:r>
          </w:p>
        </w:tc>
        <w:tc>
          <w:tcPr>
            <w:tcW w:w="1661" w:type="pct"/>
          </w:tcPr>
          <w:p w14:paraId="780445D0" w14:textId="77777777" w:rsidR="000D07EA" w:rsidRDefault="00BE7C89">
            <w:pPr>
              <w:pStyle w:val="BodyText"/>
              <w:spacing w:before="100" w:after="100"/>
            </w:pPr>
            <w:r>
              <w:t>No</w:t>
            </w:r>
          </w:p>
        </w:tc>
      </w:tr>
      <w:tr w:rsidR="000D07EA" w14:paraId="3761024C" w14:textId="77777777">
        <w:trPr>
          <w:trHeight w:val="247"/>
        </w:trPr>
        <w:tc>
          <w:tcPr>
            <w:tcW w:w="3339" w:type="pct"/>
          </w:tcPr>
          <w:p w14:paraId="669AF4AC" w14:textId="77777777" w:rsidR="000D07EA" w:rsidRDefault="00BE7C89">
            <w:pPr>
              <w:pStyle w:val="BodyText"/>
              <w:spacing w:before="100" w:after="100"/>
            </w:pPr>
            <w:r>
              <w:t>Optus Zoo or Optus Zoo and iZoo Browsing</w:t>
            </w:r>
          </w:p>
        </w:tc>
        <w:tc>
          <w:tcPr>
            <w:tcW w:w="1661" w:type="pct"/>
          </w:tcPr>
          <w:p w14:paraId="61A94FA3" w14:textId="77777777" w:rsidR="000D07EA" w:rsidRDefault="00BE7C89">
            <w:pPr>
              <w:pStyle w:val="BodyText"/>
              <w:spacing w:before="100" w:after="100"/>
            </w:pPr>
            <w:r>
              <w:t>No</w:t>
            </w:r>
          </w:p>
        </w:tc>
      </w:tr>
      <w:tr w:rsidR="000D07EA" w14:paraId="5AC1842D" w14:textId="77777777">
        <w:trPr>
          <w:trHeight w:val="494"/>
        </w:trPr>
        <w:tc>
          <w:tcPr>
            <w:tcW w:w="3339" w:type="pct"/>
          </w:tcPr>
          <w:p w14:paraId="1FA1EE89" w14:textId="77777777" w:rsidR="000D07EA" w:rsidRDefault="00BE7C89">
            <w:pPr>
              <w:pStyle w:val="BodyText"/>
              <w:spacing w:before="100" w:after="100"/>
            </w:pPr>
            <w:r>
              <w:t>Optus Zoo or Optus Zoo and iZoo Downloads</w:t>
            </w:r>
          </w:p>
        </w:tc>
        <w:tc>
          <w:tcPr>
            <w:tcW w:w="1661" w:type="pct"/>
          </w:tcPr>
          <w:p w14:paraId="2248B7D7" w14:textId="77777777" w:rsidR="000D07EA" w:rsidRDefault="00BE7C89">
            <w:pPr>
              <w:pStyle w:val="BodyText"/>
              <w:spacing w:before="100" w:after="100"/>
            </w:pPr>
            <w:r>
              <w:t>No</w:t>
            </w:r>
          </w:p>
        </w:tc>
      </w:tr>
      <w:tr w:rsidR="000D07EA" w14:paraId="53A7649A" w14:textId="77777777">
        <w:trPr>
          <w:trHeight w:val="494"/>
        </w:trPr>
        <w:tc>
          <w:tcPr>
            <w:tcW w:w="3339" w:type="pct"/>
          </w:tcPr>
          <w:p w14:paraId="4CF8A0B7" w14:textId="77777777" w:rsidR="000D07EA" w:rsidRDefault="00BE7C89">
            <w:pPr>
              <w:pStyle w:val="BodyText"/>
              <w:spacing w:before="100" w:after="100"/>
            </w:pPr>
            <w:r>
              <w:t>SMS to 966 (Zoo)</w:t>
            </w:r>
          </w:p>
        </w:tc>
        <w:tc>
          <w:tcPr>
            <w:tcW w:w="1661" w:type="pct"/>
          </w:tcPr>
          <w:p w14:paraId="793A7BAC" w14:textId="77777777" w:rsidR="000D07EA" w:rsidRDefault="00BE7C89">
            <w:pPr>
              <w:pStyle w:val="BodyText"/>
              <w:spacing w:before="100" w:after="100"/>
            </w:pPr>
            <w:r>
              <w:t>No</w:t>
            </w:r>
          </w:p>
        </w:tc>
      </w:tr>
      <w:tr w:rsidR="000D07EA" w14:paraId="0AC303B3" w14:textId="77777777">
        <w:trPr>
          <w:trHeight w:val="494"/>
        </w:trPr>
        <w:tc>
          <w:tcPr>
            <w:tcW w:w="3339" w:type="pct"/>
          </w:tcPr>
          <w:p w14:paraId="57CB502B" w14:textId="77777777" w:rsidR="000D07EA" w:rsidRDefault="00BE7C89">
            <w:pPr>
              <w:pStyle w:val="BodyText"/>
              <w:spacing w:before="100" w:after="100"/>
            </w:pPr>
            <w:r>
              <w:t>Mobile Internet usage</w:t>
            </w:r>
          </w:p>
        </w:tc>
        <w:tc>
          <w:tcPr>
            <w:tcW w:w="1661" w:type="pct"/>
          </w:tcPr>
          <w:p w14:paraId="2DCF74DD" w14:textId="77777777" w:rsidR="000D07EA" w:rsidRDefault="00BE7C89">
            <w:pPr>
              <w:pStyle w:val="BodyText"/>
              <w:spacing w:before="100" w:after="100"/>
            </w:pPr>
            <w:r>
              <w:t>No</w:t>
            </w:r>
          </w:p>
        </w:tc>
      </w:tr>
      <w:tr w:rsidR="000D07EA" w14:paraId="7527A632" w14:textId="77777777">
        <w:trPr>
          <w:trHeight w:val="494"/>
        </w:trPr>
        <w:tc>
          <w:tcPr>
            <w:tcW w:w="3339" w:type="pct"/>
          </w:tcPr>
          <w:p w14:paraId="7671B374" w14:textId="77777777" w:rsidR="000D07EA" w:rsidRDefault="00BE7C89">
            <w:pPr>
              <w:pStyle w:val="BodyText"/>
              <w:spacing w:before="100" w:after="100"/>
            </w:pPr>
            <w:r>
              <w:t>Data Used while Roaming Internationally</w:t>
            </w:r>
          </w:p>
        </w:tc>
        <w:tc>
          <w:tcPr>
            <w:tcW w:w="1661" w:type="pct"/>
          </w:tcPr>
          <w:p w14:paraId="02FE69A6" w14:textId="77777777" w:rsidR="000D07EA" w:rsidRDefault="00BE7C89">
            <w:pPr>
              <w:pStyle w:val="BodyText"/>
              <w:spacing w:before="100" w:after="100"/>
            </w:pPr>
            <w:r>
              <w:t>No</w:t>
            </w:r>
          </w:p>
        </w:tc>
      </w:tr>
      <w:tr w:rsidR="000D07EA" w14:paraId="26AFBD64" w14:textId="77777777">
        <w:trPr>
          <w:trHeight w:val="494"/>
        </w:trPr>
        <w:tc>
          <w:tcPr>
            <w:tcW w:w="3339" w:type="pct"/>
          </w:tcPr>
          <w:p w14:paraId="0D1FC268" w14:textId="77777777" w:rsidR="000D07EA" w:rsidRDefault="00BE7C89">
            <w:pPr>
              <w:pStyle w:val="BodyText"/>
              <w:spacing w:before="100" w:after="100"/>
            </w:pPr>
            <w:r>
              <w:lastRenderedPageBreak/>
              <w:t>Content Packs (unless specified in promotions)</w:t>
            </w:r>
          </w:p>
        </w:tc>
        <w:tc>
          <w:tcPr>
            <w:tcW w:w="1661" w:type="pct"/>
          </w:tcPr>
          <w:p w14:paraId="1671CC1A" w14:textId="77777777" w:rsidR="000D07EA" w:rsidRDefault="00BE7C89">
            <w:pPr>
              <w:pStyle w:val="BodyText"/>
              <w:spacing w:before="100" w:after="100"/>
            </w:pPr>
            <w:r>
              <w:t>No</w:t>
            </w:r>
          </w:p>
        </w:tc>
      </w:tr>
      <w:tr w:rsidR="000D07EA" w14:paraId="00278B20" w14:textId="77777777">
        <w:trPr>
          <w:trHeight w:val="494"/>
        </w:trPr>
        <w:tc>
          <w:tcPr>
            <w:tcW w:w="3339" w:type="pct"/>
          </w:tcPr>
          <w:p w14:paraId="3F0164CB" w14:textId="77777777" w:rsidR="000D07EA" w:rsidRDefault="00BE7C89">
            <w:pPr>
              <w:pStyle w:val="BodyText"/>
              <w:spacing w:before="100" w:after="100"/>
            </w:pPr>
            <w:r>
              <w:t>TrueLocal Usage</w:t>
            </w:r>
          </w:p>
        </w:tc>
        <w:tc>
          <w:tcPr>
            <w:tcW w:w="1661" w:type="pct"/>
          </w:tcPr>
          <w:p w14:paraId="338493D1" w14:textId="77777777" w:rsidR="000D07EA" w:rsidRDefault="00BE7C89">
            <w:pPr>
              <w:pStyle w:val="BodyText"/>
              <w:spacing w:before="100" w:after="100"/>
            </w:pPr>
            <w:r>
              <w:t>No</w:t>
            </w:r>
          </w:p>
        </w:tc>
      </w:tr>
      <w:tr w:rsidR="000D07EA" w14:paraId="18C05320" w14:textId="77777777">
        <w:trPr>
          <w:trHeight w:val="494"/>
        </w:trPr>
        <w:tc>
          <w:tcPr>
            <w:tcW w:w="3339" w:type="pct"/>
          </w:tcPr>
          <w:p w14:paraId="08110812" w14:textId="77777777" w:rsidR="000D07EA" w:rsidRDefault="00BE7C89">
            <w:pPr>
              <w:pStyle w:val="BodyText"/>
              <w:spacing w:before="100" w:after="100"/>
            </w:pPr>
            <w:r>
              <w:t xml:space="preserve">Directory Assistance- 1223 </w:t>
            </w:r>
          </w:p>
        </w:tc>
        <w:tc>
          <w:tcPr>
            <w:tcW w:w="1661" w:type="pct"/>
          </w:tcPr>
          <w:p w14:paraId="106F4BEC" w14:textId="77777777" w:rsidR="000D07EA" w:rsidRDefault="00BE7C89">
            <w:pPr>
              <w:pStyle w:val="BodyText"/>
              <w:spacing w:before="100" w:after="100"/>
            </w:pPr>
            <w:r>
              <w:t>No</w:t>
            </w:r>
          </w:p>
        </w:tc>
      </w:tr>
      <w:tr w:rsidR="000D07EA" w14:paraId="731A77C5" w14:textId="77777777">
        <w:trPr>
          <w:trHeight w:val="247"/>
        </w:trPr>
        <w:tc>
          <w:tcPr>
            <w:tcW w:w="3339" w:type="pct"/>
          </w:tcPr>
          <w:p w14:paraId="2541B846" w14:textId="77777777" w:rsidR="000D07EA" w:rsidRDefault="00BE7C89">
            <w:pPr>
              <w:pStyle w:val="BodyText"/>
              <w:spacing w:before="100" w:after="100"/>
            </w:pPr>
            <w:r>
              <w:t>19XX Numbers</w:t>
            </w:r>
          </w:p>
        </w:tc>
        <w:tc>
          <w:tcPr>
            <w:tcW w:w="1661" w:type="pct"/>
          </w:tcPr>
          <w:p w14:paraId="654715C1" w14:textId="77777777" w:rsidR="000D07EA" w:rsidRDefault="00BE7C89">
            <w:pPr>
              <w:pStyle w:val="BodyText"/>
              <w:spacing w:before="100" w:after="100"/>
            </w:pPr>
            <w:r>
              <w:t>No</w:t>
            </w:r>
          </w:p>
        </w:tc>
      </w:tr>
      <w:tr w:rsidR="000D07EA" w14:paraId="6E84FEF0" w14:textId="77777777">
        <w:trPr>
          <w:trHeight w:val="247"/>
        </w:trPr>
        <w:tc>
          <w:tcPr>
            <w:tcW w:w="3339" w:type="pct"/>
          </w:tcPr>
          <w:p w14:paraId="5971C33D" w14:textId="77777777" w:rsidR="000D07EA" w:rsidRDefault="00BE7C89">
            <w:pPr>
              <w:pStyle w:val="BodyText"/>
              <w:spacing w:before="100" w:after="100"/>
            </w:pPr>
            <w:r>
              <w:t>1800, 13 and 1300 numbers</w:t>
            </w:r>
          </w:p>
        </w:tc>
        <w:tc>
          <w:tcPr>
            <w:tcW w:w="1661" w:type="pct"/>
          </w:tcPr>
          <w:p w14:paraId="7C5BF2F8" w14:textId="77777777" w:rsidR="000D07EA" w:rsidRDefault="00BE7C89">
            <w:pPr>
              <w:pStyle w:val="BodyText"/>
              <w:spacing w:before="100" w:after="100"/>
            </w:pPr>
            <w:r>
              <w:t>Yes (except on the $89 Business Timeless Plan)</w:t>
            </w:r>
          </w:p>
        </w:tc>
      </w:tr>
      <w:tr w:rsidR="000D07EA" w14:paraId="71E06B05" w14:textId="77777777">
        <w:trPr>
          <w:trHeight w:val="247"/>
        </w:trPr>
        <w:tc>
          <w:tcPr>
            <w:tcW w:w="3339" w:type="pct"/>
          </w:tcPr>
          <w:p w14:paraId="7F353E49" w14:textId="77777777" w:rsidR="000D07EA" w:rsidRDefault="00BE7C89">
            <w:pPr>
              <w:pStyle w:val="BodyText"/>
              <w:spacing w:before="100" w:after="100"/>
            </w:pPr>
            <w:r>
              <w:t>124YES(937)</w:t>
            </w:r>
          </w:p>
        </w:tc>
        <w:tc>
          <w:tcPr>
            <w:tcW w:w="1661" w:type="pct"/>
          </w:tcPr>
          <w:p w14:paraId="38A37586" w14:textId="77777777" w:rsidR="000D07EA" w:rsidRDefault="00BE7C89">
            <w:pPr>
              <w:pStyle w:val="BodyText"/>
              <w:spacing w:before="100" w:after="100"/>
            </w:pPr>
            <w:r>
              <w:t>No</w:t>
            </w:r>
          </w:p>
        </w:tc>
      </w:tr>
      <w:tr w:rsidR="000D07EA" w14:paraId="477144C6" w14:textId="77777777">
        <w:trPr>
          <w:trHeight w:val="262"/>
        </w:trPr>
        <w:tc>
          <w:tcPr>
            <w:tcW w:w="3339" w:type="pct"/>
          </w:tcPr>
          <w:p w14:paraId="49769ABF" w14:textId="77777777" w:rsidR="000D07EA" w:rsidRDefault="00BE7C89">
            <w:pPr>
              <w:pStyle w:val="BodyText"/>
              <w:spacing w:before="100" w:after="100"/>
            </w:pPr>
            <w:r>
              <w:t>Calls to Satellite</w:t>
            </w:r>
          </w:p>
        </w:tc>
        <w:tc>
          <w:tcPr>
            <w:tcW w:w="1661" w:type="pct"/>
          </w:tcPr>
          <w:p w14:paraId="661B7C02" w14:textId="77777777" w:rsidR="000D07EA" w:rsidRDefault="00BE7C89">
            <w:pPr>
              <w:pStyle w:val="BodyText"/>
              <w:spacing w:before="100" w:after="100"/>
            </w:pPr>
            <w:r>
              <w:t>No</w:t>
            </w:r>
          </w:p>
        </w:tc>
      </w:tr>
      <w:tr w:rsidR="000D07EA" w14:paraId="45D7A1B4" w14:textId="77777777">
        <w:trPr>
          <w:trHeight w:val="262"/>
        </w:trPr>
        <w:tc>
          <w:tcPr>
            <w:tcW w:w="3339" w:type="pct"/>
          </w:tcPr>
          <w:p w14:paraId="5F6836EB" w14:textId="77777777" w:rsidR="000D07EA" w:rsidRDefault="00BE7C89">
            <w:pPr>
              <w:pStyle w:val="BodyText"/>
              <w:spacing w:before="100" w:after="100"/>
            </w:pPr>
            <w:r>
              <w:t>VOIP services</w:t>
            </w:r>
          </w:p>
        </w:tc>
        <w:tc>
          <w:tcPr>
            <w:tcW w:w="1661" w:type="pct"/>
          </w:tcPr>
          <w:p w14:paraId="3C0FD127" w14:textId="77777777" w:rsidR="000D07EA" w:rsidRDefault="00BE7C89">
            <w:pPr>
              <w:pStyle w:val="BodyText"/>
              <w:spacing w:before="100" w:after="100"/>
            </w:pPr>
            <w:r>
              <w:t>No</w:t>
            </w:r>
          </w:p>
        </w:tc>
      </w:tr>
    </w:tbl>
    <w:p w14:paraId="7C635CBD" w14:textId="77777777" w:rsidR="000D07EA" w:rsidRDefault="000D07EA">
      <w:pPr>
        <w:pStyle w:val="BodyText"/>
      </w:pPr>
    </w:p>
    <w:p w14:paraId="0AE9C383" w14:textId="77777777" w:rsidR="000D07EA" w:rsidRDefault="00BE7C89">
      <w:pPr>
        <w:pStyle w:val="BodyText"/>
        <w:ind w:left="720"/>
        <w:rPr>
          <w:b/>
        </w:rPr>
      </w:pPr>
      <w:r>
        <w:rPr>
          <w:b/>
        </w:rPr>
        <w:t>Table 1B – Eligible for the Included Mobile Internet Data</w:t>
      </w:r>
    </w:p>
    <w:tbl>
      <w:tblPr>
        <w:tblW w:w="4270"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751"/>
        <w:gridCol w:w="2950"/>
      </w:tblGrid>
      <w:tr w:rsidR="000D07EA" w14:paraId="10C37462" w14:textId="77777777">
        <w:trPr>
          <w:trHeight w:val="63"/>
          <w:tblHeader/>
        </w:trPr>
        <w:tc>
          <w:tcPr>
            <w:tcW w:w="3305" w:type="pct"/>
          </w:tcPr>
          <w:p w14:paraId="44FE2E04" w14:textId="77777777" w:rsidR="000D07EA" w:rsidRDefault="00BE7C89">
            <w:pPr>
              <w:pStyle w:val="BodyText"/>
              <w:spacing w:before="100" w:after="100"/>
              <w:rPr>
                <w:b/>
                <w:bCs/>
              </w:rPr>
            </w:pPr>
            <w:r>
              <w:rPr>
                <w:b/>
                <w:bCs/>
              </w:rPr>
              <w:t>Call Type</w:t>
            </w:r>
          </w:p>
        </w:tc>
        <w:tc>
          <w:tcPr>
            <w:tcW w:w="1695" w:type="pct"/>
          </w:tcPr>
          <w:p w14:paraId="6638167C" w14:textId="77777777" w:rsidR="000D07EA" w:rsidRDefault="00BE7C89">
            <w:pPr>
              <w:pStyle w:val="BodyText"/>
              <w:spacing w:before="100" w:after="100"/>
              <w:rPr>
                <w:b/>
                <w:bCs/>
              </w:rPr>
            </w:pPr>
            <w:r>
              <w:rPr>
                <w:b/>
                <w:bCs/>
              </w:rPr>
              <w:t>Eligible Data</w:t>
            </w:r>
          </w:p>
        </w:tc>
      </w:tr>
      <w:tr w:rsidR="000D07EA" w14:paraId="03F80850" w14:textId="77777777">
        <w:trPr>
          <w:trHeight w:val="63"/>
        </w:trPr>
        <w:tc>
          <w:tcPr>
            <w:tcW w:w="3305" w:type="pct"/>
          </w:tcPr>
          <w:p w14:paraId="35548534" w14:textId="77777777" w:rsidR="000D07EA" w:rsidRDefault="00BE7C89">
            <w:pPr>
              <w:pStyle w:val="BodyText"/>
              <w:spacing w:before="100" w:after="100"/>
              <w:rPr>
                <w:bCs/>
              </w:rPr>
            </w:pPr>
            <w:r>
              <w:rPr>
                <w:bCs/>
              </w:rPr>
              <w:t>Standard National Mobile Calls</w:t>
            </w:r>
          </w:p>
        </w:tc>
        <w:tc>
          <w:tcPr>
            <w:tcW w:w="1695" w:type="pct"/>
          </w:tcPr>
          <w:p w14:paraId="0686FF2D" w14:textId="77777777" w:rsidR="000D07EA" w:rsidRDefault="00BE7C89">
            <w:pPr>
              <w:pStyle w:val="BodyText"/>
              <w:spacing w:before="100" w:after="100"/>
              <w:rPr>
                <w:bCs/>
              </w:rPr>
            </w:pPr>
            <w:r>
              <w:rPr>
                <w:bCs/>
              </w:rPr>
              <w:t>No</w:t>
            </w:r>
          </w:p>
        </w:tc>
      </w:tr>
      <w:tr w:rsidR="000D07EA" w14:paraId="216B29DD" w14:textId="77777777">
        <w:trPr>
          <w:trHeight w:val="63"/>
        </w:trPr>
        <w:tc>
          <w:tcPr>
            <w:tcW w:w="3305" w:type="pct"/>
          </w:tcPr>
          <w:p w14:paraId="5D63A9EC" w14:textId="77777777" w:rsidR="000D07EA" w:rsidRDefault="00BE7C89">
            <w:pPr>
              <w:pStyle w:val="BodyText"/>
              <w:spacing w:before="100" w:after="100"/>
              <w:rPr>
                <w:bCs/>
              </w:rPr>
            </w:pPr>
            <w:r>
              <w:rPr>
                <w:bCs/>
              </w:rPr>
              <w:t>National Voice and Video Calls</w:t>
            </w:r>
          </w:p>
        </w:tc>
        <w:tc>
          <w:tcPr>
            <w:tcW w:w="1695" w:type="pct"/>
          </w:tcPr>
          <w:p w14:paraId="537A99CD" w14:textId="77777777" w:rsidR="000D07EA" w:rsidRDefault="00BE7C89">
            <w:pPr>
              <w:pStyle w:val="BodyText"/>
              <w:spacing w:before="100" w:after="100"/>
              <w:rPr>
                <w:bCs/>
              </w:rPr>
            </w:pPr>
            <w:r>
              <w:rPr>
                <w:bCs/>
              </w:rPr>
              <w:t>No</w:t>
            </w:r>
          </w:p>
        </w:tc>
      </w:tr>
      <w:tr w:rsidR="000D07EA" w14:paraId="78FD318E" w14:textId="77777777">
        <w:trPr>
          <w:trHeight w:val="63"/>
        </w:trPr>
        <w:tc>
          <w:tcPr>
            <w:tcW w:w="3305" w:type="pct"/>
          </w:tcPr>
          <w:p w14:paraId="2731B557" w14:textId="77777777" w:rsidR="000D07EA" w:rsidRDefault="00BE7C89">
            <w:pPr>
              <w:pStyle w:val="BodyText"/>
              <w:spacing w:before="100" w:after="100"/>
              <w:rPr>
                <w:bCs/>
              </w:rPr>
            </w:pPr>
            <w:r>
              <w:rPr>
                <w:bCs/>
              </w:rPr>
              <w:t>International Voice and Video Calls</w:t>
            </w:r>
          </w:p>
          <w:p w14:paraId="39068AF8" w14:textId="77777777" w:rsidR="000D07EA" w:rsidRDefault="00BE7C89">
            <w:pPr>
              <w:pStyle w:val="BodyText"/>
              <w:spacing w:before="100" w:after="100"/>
              <w:rPr>
                <w:bCs/>
              </w:rPr>
            </w:pPr>
            <w:r>
              <w:rPr>
                <w:bCs/>
              </w:rPr>
              <w:t>(including calls to national fixed or mobile services that then divert/switch or re-route overseas)</w:t>
            </w:r>
          </w:p>
        </w:tc>
        <w:tc>
          <w:tcPr>
            <w:tcW w:w="1695" w:type="pct"/>
          </w:tcPr>
          <w:p w14:paraId="4B0E270E" w14:textId="77777777" w:rsidR="000D07EA" w:rsidRDefault="00BE7C89">
            <w:pPr>
              <w:pStyle w:val="BodyText"/>
              <w:spacing w:before="100" w:after="100"/>
              <w:rPr>
                <w:bCs/>
              </w:rPr>
            </w:pPr>
            <w:r>
              <w:rPr>
                <w:bCs/>
              </w:rPr>
              <w:t xml:space="preserve">No </w:t>
            </w:r>
          </w:p>
        </w:tc>
      </w:tr>
      <w:tr w:rsidR="000D07EA" w14:paraId="18F10E5B" w14:textId="77777777">
        <w:trPr>
          <w:trHeight w:val="63"/>
        </w:trPr>
        <w:tc>
          <w:tcPr>
            <w:tcW w:w="3305" w:type="pct"/>
          </w:tcPr>
          <w:p w14:paraId="2462FCE3" w14:textId="77777777" w:rsidR="000D07EA" w:rsidRDefault="00BE7C89">
            <w:pPr>
              <w:pStyle w:val="BodyText"/>
              <w:spacing w:before="100" w:after="100"/>
              <w:rPr>
                <w:bCs/>
              </w:rPr>
            </w:pPr>
            <w:r>
              <w:rPr>
                <w:bCs/>
              </w:rPr>
              <w:t>Premium Video</w:t>
            </w:r>
          </w:p>
        </w:tc>
        <w:tc>
          <w:tcPr>
            <w:tcW w:w="1695" w:type="pct"/>
          </w:tcPr>
          <w:p w14:paraId="048C6450" w14:textId="77777777" w:rsidR="000D07EA" w:rsidRDefault="00BE7C89">
            <w:pPr>
              <w:pStyle w:val="BodyText"/>
              <w:spacing w:before="100" w:after="100"/>
              <w:rPr>
                <w:bCs/>
              </w:rPr>
            </w:pPr>
            <w:r>
              <w:rPr>
                <w:bCs/>
              </w:rPr>
              <w:t>No</w:t>
            </w:r>
          </w:p>
        </w:tc>
      </w:tr>
      <w:tr w:rsidR="000D07EA" w14:paraId="04392CDD" w14:textId="77777777">
        <w:trPr>
          <w:trHeight w:val="63"/>
        </w:trPr>
        <w:tc>
          <w:tcPr>
            <w:tcW w:w="3305" w:type="pct"/>
          </w:tcPr>
          <w:p w14:paraId="72C082DC" w14:textId="77777777" w:rsidR="000D07EA" w:rsidRDefault="00BE7C89">
            <w:pPr>
              <w:pStyle w:val="BodyText"/>
              <w:spacing w:before="100" w:after="100"/>
              <w:rPr>
                <w:bCs/>
              </w:rPr>
            </w:pPr>
            <w:r>
              <w:rPr>
                <w:bCs/>
              </w:rPr>
              <w:t>Content Video</w:t>
            </w:r>
          </w:p>
        </w:tc>
        <w:tc>
          <w:tcPr>
            <w:tcW w:w="1695" w:type="pct"/>
          </w:tcPr>
          <w:p w14:paraId="5E692EE7" w14:textId="77777777" w:rsidR="000D07EA" w:rsidRDefault="00BE7C89">
            <w:pPr>
              <w:pStyle w:val="BodyText"/>
              <w:spacing w:before="100" w:after="100"/>
              <w:rPr>
                <w:bCs/>
              </w:rPr>
            </w:pPr>
            <w:r>
              <w:rPr>
                <w:bCs/>
              </w:rPr>
              <w:t>No</w:t>
            </w:r>
          </w:p>
        </w:tc>
      </w:tr>
      <w:tr w:rsidR="000D07EA" w14:paraId="3E5CEDF5" w14:textId="77777777">
        <w:trPr>
          <w:trHeight w:val="494"/>
        </w:trPr>
        <w:tc>
          <w:tcPr>
            <w:tcW w:w="3305" w:type="pct"/>
          </w:tcPr>
          <w:p w14:paraId="207ABEB4" w14:textId="77777777" w:rsidR="000D07EA" w:rsidRDefault="00BE7C89">
            <w:pPr>
              <w:pStyle w:val="BodyText"/>
              <w:spacing w:before="100" w:after="100"/>
              <w:rPr>
                <w:bCs/>
              </w:rPr>
            </w:pPr>
            <w:r>
              <w:rPr>
                <w:bCs/>
              </w:rPr>
              <w:t>Standard National SMS</w:t>
            </w:r>
          </w:p>
        </w:tc>
        <w:tc>
          <w:tcPr>
            <w:tcW w:w="1695" w:type="pct"/>
          </w:tcPr>
          <w:p w14:paraId="1FF2BD82" w14:textId="77777777" w:rsidR="000D07EA" w:rsidRDefault="00BE7C89">
            <w:pPr>
              <w:pStyle w:val="BodyText"/>
              <w:spacing w:before="100" w:after="100"/>
              <w:rPr>
                <w:bCs/>
              </w:rPr>
            </w:pPr>
            <w:r>
              <w:rPr>
                <w:bCs/>
              </w:rPr>
              <w:t>No</w:t>
            </w:r>
          </w:p>
        </w:tc>
      </w:tr>
      <w:tr w:rsidR="000D07EA" w14:paraId="23671E57" w14:textId="77777777">
        <w:trPr>
          <w:trHeight w:val="63"/>
        </w:trPr>
        <w:tc>
          <w:tcPr>
            <w:tcW w:w="3305" w:type="pct"/>
          </w:tcPr>
          <w:p w14:paraId="0E219FA8" w14:textId="77777777" w:rsidR="000D07EA" w:rsidRDefault="00BE7C89">
            <w:pPr>
              <w:pStyle w:val="BodyText"/>
              <w:spacing w:before="100" w:after="100"/>
              <w:rPr>
                <w:bCs/>
              </w:rPr>
            </w:pPr>
            <w:r>
              <w:rPr>
                <w:bCs/>
              </w:rPr>
              <w:t>International SMS</w:t>
            </w:r>
          </w:p>
        </w:tc>
        <w:tc>
          <w:tcPr>
            <w:tcW w:w="1695" w:type="pct"/>
          </w:tcPr>
          <w:p w14:paraId="3AF6A6BB" w14:textId="77777777" w:rsidR="000D07EA" w:rsidRDefault="00BE7C89">
            <w:pPr>
              <w:pStyle w:val="BodyText"/>
              <w:spacing w:before="100" w:after="100"/>
              <w:rPr>
                <w:bCs/>
              </w:rPr>
            </w:pPr>
            <w:r>
              <w:rPr>
                <w:bCs/>
              </w:rPr>
              <w:t>No</w:t>
            </w:r>
          </w:p>
        </w:tc>
      </w:tr>
      <w:tr w:rsidR="000D07EA" w14:paraId="7DBD46B2" w14:textId="77777777">
        <w:trPr>
          <w:trHeight w:val="63"/>
        </w:trPr>
        <w:tc>
          <w:tcPr>
            <w:tcW w:w="3305" w:type="pct"/>
          </w:tcPr>
          <w:p w14:paraId="4603B13E" w14:textId="77777777" w:rsidR="000D07EA" w:rsidRDefault="00BE7C89">
            <w:pPr>
              <w:pStyle w:val="BodyText"/>
              <w:spacing w:before="100" w:after="100"/>
              <w:rPr>
                <w:bCs/>
              </w:rPr>
            </w:pPr>
            <w:r>
              <w:rPr>
                <w:bCs/>
              </w:rPr>
              <w:t>Premium SMS</w:t>
            </w:r>
          </w:p>
        </w:tc>
        <w:tc>
          <w:tcPr>
            <w:tcW w:w="1695" w:type="pct"/>
          </w:tcPr>
          <w:p w14:paraId="16B375DC" w14:textId="77777777" w:rsidR="000D07EA" w:rsidRDefault="00BE7C89">
            <w:pPr>
              <w:pStyle w:val="BodyText"/>
              <w:spacing w:before="100" w:after="100"/>
              <w:rPr>
                <w:bCs/>
              </w:rPr>
            </w:pPr>
            <w:r>
              <w:rPr>
                <w:bCs/>
              </w:rPr>
              <w:t>No</w:t>
            </w:r>
          </w:p>
        </w:tc>
      </w:tr>
      <w:tr w:rsidR="000D07EA" w14:paraId="7B45A0A1" w14:textId="77777777">
        <w:trPr>
          <w:trHeight w:val="63"/>
        </w:trPr>
        <w:tc>
          <w:tcPr>
            <w:tcW w:w="3305" w:type="pct"/>
          </w:tcPr>
          <w:p w14:paraId="614E0955" w14:textId="77777777" w:rsidR="000D07EA" w:rsidRDefault="00BE7C89">
            <w:pPr>
              <w:pStyle w:val="BodyText"/>
              <w:spacing w:before="100" w:after="100"/>
              <w:rPr>
                <w:bCs/>
              </w:rPr>
            </w:pPr>
            <w:r>
              <w:rPr>
                <w:bCs/>
              </w:rPr>
              <w:t>National Standard MMS</w:t>
            </w:r>
          </w:p>
        </w:tc>
        <w:tc>
          <w:tcPr>
            <w:tcW w:w="1695" w:type="pct"/>
          </w:tcPr>
          <w:p w14:paraId="09C8E6A9" w14:textId="77777777" w:rsidR="000D07EA" w:rsidRDefault="00BE7C89">
            <w:pPr>
              <w:pStyle w:val="BodyText"/>
              <w:spacing w:before="100" w:after="100"/>
              <w:rPr>
                <w:bCs/>
              </w:rPr>
            </w:pPr>
            <w:r>
              <w:rPr>
                <w:bCs/>
              </w:rPr>
              <w:t>No</w:t>
            </w:r>
          </w:p>
        </w:tc>
      </w:tr>
      <w:tr w:rsidR="000D07EA" w14:paraId="48746BA9" w14:textId="77777777">
        <w:trPr>
          <w:trHeight w:val="494"/>
        </w:trPr>
        <w:tc>
          <w:tcPr>
            <w:tcW w:w="3305" w:type="pct"/>
          </w:tcPr>
          <w:p w14:paraId="39304C61" w14:textId="77777777" w:rsidR="000D07EA" w:rsidRDefault="00BE7C89">
            <w:pPr>
              <w:pStyle w:val="BodyText"/>
              <w:spacing w:before="100" w:after="100"/>
              <w:rPr>
                <w:bCs/>
              </w:rPr>
            </w:pPr>
            <w:r>
              <w:rPr>
                <w:bCs/>
              </w:rPr>
              <w:t>International MMS</w:t>
            </w:r>
          </w:p>
        </w:tc>
        <w:tc>
          <w:tcPr>
            <w:tcW w:w="1695" w:type="pct"/>
          </w:tcPr>
          <w:p w14:paraId="0CEF03E0" w14:textId="77777777" w:rsidR="000D07EA" w:rsidRDefault="00BE7C89">
            <w:pPr>
              <w:pStyle w:val="BodyText"/>
              <w:spacing w:before="100" w:after="100"/>
              <w:rPr>
                <w:bCs/>
              </w:rPr>
            </w:pPr>
            <w:r>
              <w:rPr>
                <w:bCs/>
              </w:rPr>
              <w:t>No</w:t>
            </w:r>
          </w:p>
        </w:tc>
      </w:tr>
      <w:tr w:rsidR="000D07EA" w14:paraId="4CC971A4" w14:textId="77777777">
        <w:trPr>
          <w:trHeight w:val="63"/>
        </w:trPr>
        <w:tc>
          <w:tcPr>
            <w:tcW w:w="3305" w:type="pct"/>
          </w:tcPr>
          <w:p w14:paraId="35531095" w14:textId="77777777" w:rsidR="000D07EA" w:rsidRDefault="00BE7C89">
            <w:pPr>
              <w:pStyle w:val="BodyText"/>
              <w:spacing w:before="100" w:after="100"/>
              <w:rPr>
                <w:bCs/>
              </w:rPr>
            </w:pPr>
            <w:r>
              <w:rPr>
                <w:bCs/>
              </w:rPr>
              <w:t>Premium MMS</w:t>
            </w:r>
          </w:p>
        </w:tc>
        <w:tc>
          <w:tcPr>
            <w:tcW w:w="1695" w:type="pct"/>
          </w:tcPr>
          <w:p w14:paraId="4EAFE3F8" w14:textId="77777777" w:rsidR="000D07EA" w:rsidRDefault="00BE7C89">
            <w:pPr>
              <w:pStyle w:val="BodyText"/>
              <w:spacing w:before="100" w:after="100"/>
              <w:rPr>
                <w:bCs/>
              </w:rPr>
            </w:pPr>
            <w:r>
              <w:rPr>
                <w:bCs/>
              </w:rPr>
              <w:t>No</w:t>
            </w:r>
          </w:p>
        </w:tc>
      </w:tr>
      <w:tr w:rsidR="000D07EA" w14:paraId="2C2D8120" w14:textId="77777777">
        <w:trPr>
          <w:trHeight w:val="63"/>
        </w:trPr>
        <w:tc>
          <w:tcPr>
            <w:tcW w:w="3305" w:type="pct"/>
          </w:tcPr>
          <w:p w14:paraId="67198488" w14:textId="77777777" w:rsidR="000D07EA" w:rsidRDefault="00BE7C89">
            <w:pPr>
              <w:pStyle w:val="BodyText"/>
              <w:spacing w:before="100" w:after="100"/>
              <w:rPr>
                <w:bCs/>
              </w:rPr>
            </w:pPr>
            <w:r>
              <w:rPr>
                <w:bCs/>
              </w:rPr>
              <w:t>National Diversions</w:t>
            </w:r>
          </w:p>
        </w:tc>
        <w:tc>
          <w:tcPr>
            <w:tcW w:w="1695" w:type="pct"/>
          </w:tcPr>
          <w:p w14:paraId="58FE3B15" w14:textId="77777777" w:rsidR="000D07EA" w:rsidRDefault="00BE7C89">
            <w:pPr>
              <w:pStyle w:val="BodyText"/>
              <w:spacing w:before="100" w:after="100"/>
              <w:rPr>
                <w:bCs/>
              </w:rPr>
            </w:pPr>
            <w:r>
              <w:rPr>
                <w:bCs/>
              </w:rPr>
              <w:t>No</w:t>
            </w:r>
          </w:p>
        </w:tc>
      </w:tr>
      <w:tr w:rsidR="000D07EA" w14:paraId="13802670" w14:textId="77777777">
        <w:trPr>
          <w:trHeight w:val="494"/>
        </w:trPr>
        <w:tc>
          <w:tcPr>
            <w:tcW w:w="3305" w:type="pct"/>
          </w:tcPr>
          <w:p w14:paraId="68BF8310" w14:textId="77777777" w:rsidR="000D07EA" w:rsidRDefault="00BE7C89">
            <w:pPr>
              <w:pStyle w:val="BodyText"/>
              <w:spacing w:before="100" w:after="100"/>
              <w:rPr>
                <w:bCs/>
              </w:rPr>
            </w:pPr>
            <w:r>
              <w:rPr>
                <w:bCs/>
              </w:rPr>
              <w:t>Voicemail Deposit and Retrievals</w:t>
            </w:r>
          </w:p>
        </w:tc>
        <w:tc>
          <w:tcPr>
            <w:tcW w:w="1695" w:type="pct"/>
          </w:tcPr>
          <w:p w14:paraId="1613DFDF" w14:textId="77777777" w:rsidR="000D07EA" w:rsidRDefault="00BE7C89">
            <w:pPr>
              <w:pStyle w:val="BodyText"/>
              <w:spacing w:before="100" w:after="100"/>
              <w:rPr>
                <w:bCs/>
              </w:rPr>
            </w:pPr>
            <w:r>
              <w:rPr>
                <w:bCs/>
              </w:rPr>
              <w:t>No</w:t>
            </w:r>
          </w:p>
        </w:tc>
      </w:tr>
      <w:tr w:rsidR="000D07EA" w14:paraId="218B386D" w14:textId="77777777">
        <w:trPr>
          <w:trHeight w:val="63"/>
        </w:trPr>
        <w:tc>
          <w:tcPr>
            <w:tcW w:w="3305" w:type="pct"/>
          </w:tcPr>
          <w:p w14:paraId="364F418C" w14:textId="77777777" w:rsidR="000D07EA" w:rsidRDefault="00BE7C89">
            <w:pPr>
              <w:pStyle w:val="BodyText"/>
              <w:spacing w:before="100" w:after="100"/>
              <w:rPr>
                <w:bCs/>
              </w:rPr>
            </w:pPr>
            <w:r>
              <w:rPr>
                <w:bCs/>
              </w:rPr>
              <w:t>International Roaming and Diversion</w:t>
            </w:r>
          </w:p>
        </w:tc>
        <w:tc>
          <w:tcPr>
            <w:tcW w:w="1695" w:type="pct"/>
          </w:tcPr>
          <w:p w14:paraId="19926DCE" w14:textId="77777777" w:rsidR="000D07EA" w:rsidRDefault="00BE7C89">
            <w:pPr>
              <w:pStyle w:val="BodyText"/>
              <w:spacing w:before="100" w:after="100"/>
              <w:rPr>
                <w:bCs/>
              </w:rPr>
            </w:pPr>
            <w:r>
              <w:rPr>
                <w:bCs/>
              </w:rPr>
              <w:t>No</w:t>
            </w:r>
          </w:p>
        </w:tc>
      </w:tr>
      <w:tr w:rsidR="000D07EA" w14:paraId="6BD667A5" w14:textId="77777777">
        <w:trPr>
          <w:trHeight w:val="63"/>
        </w:trPr>
        <w:tc>
          <w:tcPr>
            <w:tcW w:w="3305" w:type="pct"/>
          </w:tcPr>
          <w:p w14:paraId="75007719" w14:textId="77777777" w:rsidR="000D07EA" w:rsidRDefault="00BE7C89">
            <w:pPr>
              <w:pStyle w:val="BodyText"/>
              <w:spacing w:before="100" w:after="100"/>
              <w:rPr>
                <w:bCs/>
              </w:rPr>
            </w:pPr>
            <w:r>
              <w:rPr>
                <w:bCs/>
              </w:rPr>
              <w:t>Video Conferencing</w:t>
            </w:r>
          </w:p>
        </w:tc>
        <w:tc>
          <w:tcPr>
            <w:tcW w:w="1695" w:type="pct"/>
          </w:tcPr>
          <w:p w14:paraId="2DE6018E" w14:textId="77777777" w:rsidR="000D07EA" w:rsidRDefault="00BE7C89">
            <w:pPr>
              <w:pStyle w:val="BodyText"/>
              <w:spacing w:before="100" w:after="100"/>
              <w:rPr>
                <w:bCs/>
              </w:rPr>
            </w:pPr>
            <w:r>
              <w:rPr>
                <w:bCs/>
              </w:rPr>
              <w:t>No</w:t>
            </w:r>
          </w:p>
        </w:tc>
      </w:tr>
      <w:tr w:rsidR="000D07EA" w14:paraId="69605DD4" w14:textId="77777777">
        <w:trPr>
          <w:trHeight w:val="63"/>
        </w:trPr>
        <w:tc>
          <w:tcPr>
            <w:tcW w:w="3305" w:type="pct"/>
          </w:tcPr>
          <w:p w14:paraId="1B531496" w14:textId="77777777" w:rsidR="000D07EA" w:rsidRDefault="00BE7C89">
            <w:pPr>
              <w:pStyle w:val="BodyText"/>
              <w:spacing w:before="100" w:after="100"/>
              <w:rPr>
                <w:bCs/>
              </w:rPr>
            </w:pPr>
            <w:r>
              <w:rPr>
                <w:bCs/>
              </w:rPr>
              <w:t>Optus Zoo and iZoo Browsing*</w:t>
            </w:r>
          </w:p>
        </w:tc>
        <w:tc>
          <w:tcPr>
            <w:tcW w:w="1695" w:type="pct"/>
          </w:tcPr>
          <w:p w14:paraId="5D498AD8" w14:textId="77777777" w:rsidR="000D07EA" w:rsidRDefault="00BE7C89">
            <w:pPr>
              <w:pStyle w:val="BodyText"/>
              <w:spacing w:before="100" w:after="100"/>
              <w:rPr>
                <w:bCs/>
              </w:rPr>
            </w:pPr>
            <w:r>
              <w:t>Yes, up to the monthly included data amount specified in Table 2A.</w:t>
            </w:r>
          </w:p>
        </w:tc>
      </w:tr>
      <w:tr w:rsidR="000D07EA" w14:paraId="69BC70AC" w14:textId="77777777">
        <w:trPr>
          <w:trHeight w:val="494"/>
        </w:trPr>
        <w:tc>
          <w:tcPr>
            <w:tcW w:w="3305" w:type="pct"/>
          </w:tcPr>
          <w:p w14:paraId="30FC744B" w14:textId="77777777" w:rsidR="000D07EA" w:rsidRDefault="00BE7C89">
            <w:pPr>
              <w:pStyle w:val="BodyText"/>
              <w:spacing w:before="100" w:after="100"/>
              <w:rPr>
                <w:bCs/>
              </w:rPr>
            </w:pPr>
            <w:r>
              <w:rPr>
                <w:bCs/>
              </w:rPr>
              <w:lastRenderedPageBreak/>
              <w:t>Optus Zoo and iZoo Downloads</w:t>
            </w:r>
          </w:p>
        </w:tc>
        <w:tc>
          <w:tcPr>
            <w:tcW w:w="1695" w:type="pct"/>
          </w:tcPr>
          <w:p w14:paraId="600638C3" w14:textId="77777777" w:rsidR="000D07EA" w:rsidRDefault="00BE7C89">
            <w:pPr>
              <w:pStyle w:val="BodyText"/>
              <w:spacing w:before="100" w:after="100"/>
              <w:rPr>
                <w:bCs/>
              </w:rPr>
            </w:pPr>
            <w:r>
              <w:rPr>
                <w:bCs/>
              </w:rPr>
              <w:t>No</w:t>
            </w:r>
          </w:p>
        </w:tc>
      </w:tr>
      <w:tr w:rsidR="000D07EA" w14:paraId="3776514C" w14:textId="77777777">
        <w:trPr>
          <w:trHeight w:val="63"/>
        </w:trPr>
        <w:tc>
          <w:tcPr>
            <w:tcW w:w="3305" w:type="pct"/>
          </w:tcPr>
          <w:p w14:paraId="7D3B5C89" w14:textId="77777777" w:rsidR="000D07EA" w:rsidRDefault="00BE7C89">
            <w:pPr>
              <w:pStyle w:val="BodyText"/>
              <w:spacing w:before="100" w:after="100"/>
              <w:rPr>
                <w:bCs/>
              </w:rPr>
            </w:pPr>
            <w:r>
              <w:rPr>
                <w:bCs/>
              </w:rPr>
              <w:t>SMS to 966 (Zoo)</w:t>
            </w:r>
          </w:p>
        </w:tc>
        <w:tc>
          <w:tcPr>
            <w:tcW w:w="1695" w:type="pct"/>
          </w:tcPr>
          <w:p w14:paraId="6959DCBE" w14:textId="77777777" w:rsidR="000D07EA" w:rsidRDefault="00BE7C89">
            <w:pPr>
              <w:pStyle w:val="BodyText"/>
              <w:spacing w:before="100" w:after="100"/>
              <w:rPr>
                <w:bCs/>
              </w:rPr>
            </w:pPr>
            <w:r>
              <w:rPr>
                <w:bCs/>
              </w:rPr>
              <w:t>No</w:t>
            </w:r>
          </w:p>
        </w:tc>
      </w:tr>
      <w:tr w:rsidR="000D07EA" w14:paraId="24152FCD" w14:textId="77777777">
        <w:trPr>
          <w:trHeight w:val="494"/>
        </w:trPr>
        <w:tc>
          <w:tcPr>
            <w:tcW w:w="3305" w:type="pct"/>
          </w:tcPr>
          <w:p w14:paraId="51199624" w14:textId="77777777" w:rsidR="000D07EA" w:rsidRDefault="00BE7C89">
            <w:pPr>
              <w:pStyle w:val="BodyText"/>
              <w:spacing w:before="100" w:after="100"/>
              <w:rPr>
                <w:bCs/>
              </w:rPr>
            </w:pPr>
            <w:r>
              <w:rPr>
                <w:bCs/>
              </w:rPr>
              <w:t>Mobile Internet usage*</w:t>
            </w:r>
          </w:p>
        </w:tc>
        <w:tc>
          <w:tcPr>
            <w:tcW w:w="1695" w:type="pct"/>
          </w:tcPr>
          <w:p w14:paraId="5DA1D27F" w14:textId="77777777" w:rsidR="000D07EA" w:rsidRDefault="00BE7C89">
            <w:pPr>
              <w:pStyle w:val="BodyText"/>
              <w:spacing w:before="100" w:after="100"/>
              <w:rPr>
                <w:bCs/>
              </w:rPr>
            </w:pPr>
            <w:r>
              <w:t>Yes, up to the monthly included data amount specified in Table 2A.</w:t>
            </w:r>
          </w:p>
        </w:tc>
      </w:tr>
      <w:tr w:rsidR="000D07EA" w14:paraId="343461D3" w14:textId="77777777">
        <w:trPr>
          <w:trHeight w:val="63"/>
        </w:trPr>
        <w:tc>
          <w:tcPr>
            <w:tcW w:w="3305" w:type="pct"/>
          </w:tcPr>
          <w:p w14:paraId="5BD780E5" w14:textId="77777777" w:rsidR="000D07EA" w:rsidRDefault="00BE7C89">
            <w:pPr>
              <w:pStyle w:val="BodyText"/>
              <w:spacing w:before="100" w:after="100"/>
              <w:rPr>
                <w:bCs/>
              </w:rPr>
            </w:pPr>
            <w:r>
              <w:t>Mobile as Modem</w:t>
            </w:r>
          </w:p>
        </w:tc>
        <w:tc>
          <w:tcPr>
            <w:tcW w:w="1695" w:type="pct"/>
          </w:tcPr>
          <w:p w14:paraId="7578BE95" w14:textId="77777777" w:rsidR="000D07EA" w:rsidRDefault="00BE7C89">
            <w:pPr>
              <w:pStyle w:val="BodyText"/>
              <w:spacing w:before="100" w:after="100"/>
              <w:rPr>
                <w:bCs/>
              </w:rPr>
            </w:pPr>
            <w:r>
              <w:t>Yes</w:t>
            </w:r>
          </w:p>
        </w:tc>
      </w:tr>
      <w:tr w:rsidR="000D07EA" w14:paraId="69EA256D" w14:textId="77777777">
        <w:trPr>
          <w:trHeight w:val="63"/>
        </w:trPr>
        <w:tc>
          <w:tcPr>
            <w:tcW w:w="3305" w:type="pct"/>
          </w:tcPr>
          <w:p w14:paraId="5899B3B1" w14:textId="77777777" w:rsidR="000D07EA" w:rsidRDefault="00BE7C89">
            <w:pPr>
              <w:pStyle w:val="BodyText"/>
              <w:spacing w:before="100" w:after="100"/>
              <w:rPr>
                <w:bCs/>
              </w:rPr>
            </w:pPr>
            <w:r>
              <w:rPr>
                <w:bCs/>
              </w:rPr>
              <w:t>Data Used while Roaming Internationally</w:t>
            </w:r>
          </w:p>
        </w:tc>
        <w:tc>
          <w:tcPr>
            <w:tcW w:w="1695" w:type="pct"/>
          </w:tcPr>
          <w:p w14:paraId="1B8F778D" w14:textId="77777777" w:rsidR="000D07EA" w:rsidRDefault="00BE7C89">
            <w:pPr>
              <w:pStyle w:val="BodyText"/>
              <w:spacing w:before="100" w:after="100"/>
              <w:rPr>
                <w:bCs/>
              </w:rPr>
            </w:pPr>
            <w:r>
              <w:rPr>
                <w:bCs/>
              </w:rPr>
              <w:t>No</w:t>
            </w:r>
          </w:p>
        </w:tc>
      </w:tr>
      <w:tr w:rsidR="000D07EA" w14:paraId="54FF3CE6" w14:textId="77777777">
        <w:trPr>
          <w:trHeight w:val="494"/>
        </w:trPr>
        <w:tc>
          <w:tcPr>
            <w:tcW w:w="3305" w:type="pct"/>
          </w:tcPr>
          <w:p w14:paraId="56AAB232" w14:textId="77777777" w:rsidR="000D07EA" w:rsidRDefault="00BE7C89">
            <w:pPr>
              <w:pStyle w:val="BodyText"/>
              <w:spacing w:before="100" w:after="100"/>
              <w:rPr>
                <w:bCs/>
              </w:rPr>
            </w:pPr>
            <w:r>
              <w:rPr>
                <w:bCs/>
              </w:rPr>
              <w:t xml:space="preserve">Content Packs </w:t>
            </w:r>
          </w:p>
        </w:tc>
        <w:tc>
          <w:tcPr>
            <w:tcW w:w="1695" w:type="pct"/>
          </w:tcPr>
          <w:p w14:paraId="6D82FBB5" w14:textId="77777777" w:rsidR="000D07EA" w:rsidRDefault="00BE7C89">
            <w:pPr>
              <w:pStyle w:val="BodyText"/>
              <w:spacing w:before="100" w:after="100"/>
              <w:rPr>
                <w:bCs/>
              </w:rPr>
            </w:pPr>
            <w:r>
              <w:rPr>
                <w:bCs/>
              </w:rPr>
              <w:t>No</w:t>
            </w:r>
          </w:p>
        </w:tc>
      </w:tr>
      <w:tr w:rsidR="000D07EA" w14:paraId="467D814D" w14:textId="77777777">
        <w:trPr>
          <w:trHeight w:val="63"/>
        </w:trPr>
        <w:tc>
          <w:tcPr>
            <w:tcW w:w="3305" w:type="pct"/>
          </w:tcPr>
          <w:p w14:paraId="5ED01DFE" w14:textId="77777777" w:rsidR="000D07EA" w:rsidRDefault="00BE7C89">
            <w:pPr>
              <w:pStyle w:val="BodyText"/>
              <w:spacing w:before="100" w:after="100"/>
              <w:rPr>
                <w:bCs/>
              </w:rPr>
            </w:pPr>
            <w:r>
              <w:rPr>
                <w:bCs/>
              </w:rPr>
              <w:t>TrueLocal Usage</w:t>
            </w:r>
          </w:p>
        </w:tc>
        <w:tc>
          <w:tcPr>
            <w:tcW w:w="1695" w:type="pct"/>
          </w:tcPr>
          <w:p w14:paraId="711B7C53" w14:textId="77777777" w:rsidR="000D07EA" w:rsidRDefault="00BE7C89">
            <w:pPr>
              <w:pStyle w:val="BodyText"/>
              <w:spacing w:before="100" w:after="100"/>
              <w:rPr>
                <w:bCs/>
              </w:rPr>
            </w:pPr>
            <w:r>
              <w:rPr>
                <w:bCs/>
              </w:rPr>
              <w:t>No</w:t>
            </w:r>
          </w:p>
        </w:tc>
      </w:tr>
      <w:tr w:rsidR="000D07EA" w14:paraId="4ABBD8A7" w14:textId="77777777">
        <w:trPr>
          <w:trHeight w:val="63"/>
        </w:trPr>
        <w:tc>
          <w:tcPr>
            <w:tcW w:w="3305" w:type="pct"/>
          </w:tcPr>
          <w:p w14:paraId="57D63845" w14:textId="77777777" w:rsidR="000D07EA" w:rsidRDefault="00BE7C89">
            <w:pPr>
              <w:pStyle w:val="BodyText"/>
              <w:spacing w:before="100" w:after="100"/>
              <w:rPr>
                <w:bCs/>
              </w:rPr>
            </w:pPr>
            <w:r>
              <w:rPr>
                <w:bCs/>
              </w:rPr>
              <w:t xml:space="preserve">Directory Assistance- 1223 </w:t>
            </w:r>
          </w:p>
        </w:tc>
        <w:tc>
          <w:tcPr>
            <w:tcW w:w="1695" w:type="pct"/>
          </w:tcPr>
          <w:p w14:paraId="50398BFA" w14:textId="77777777" w:rsidR="000D07EA" w:rsidRDefault="00BE7C89">
            <w:pPr>
              <w:pStyle w:val="BodyText"/>
              <w:spacing w:before="100" w:after="100"/>
              <w:rPr>
                <w:bCs/>
              </w:rPr>
            </w:pPr>
            <w:r>
              <w:rPr>
                <w:bCs/>
              </w:rPr>
              <w:t>No</w:t>
            </w:r>
          </w:p>
        </w:tc>
      </w:tr>
      <w:tr w:rsidR="000D07EA" w14:paraId="2624EA3C" w14:textId="77777777">
        <w:trPr>
          <w:trHeight w:val="63"/>
        </w:trPr>
        <w:tc>
          <w:tcPr>
            <w:tcW w:w="3305" w:type="pct"/>
          </w:tcPr>
          <w:p w14:paraId="2373488D" w14:textId="77777777" w:rsidR="000D07EA" w:rsidRDefault="00BE7C89">
            <w:pPr>
              <w:pStyle w:val="BodyText"/>
              <w:spacing w:before="100" w:after="100"/>
              <w:rPr>
                <w:bCs/>
              </w:rPr>
            </w:pPr>
            <w:r>
              <w:rPr>
                <w:bCs/>
              </w:rPr>
              <w:t>19XX Numbers</w:t>
            </w:r>
          </w:p>
        </w:tc>
        <w:tc>
          <w:tcPr>
            <w:tcW w:w="1695" w:type="pct"/>
          </w:tcPr>
          <w:p w14:paraId="18B30073" w14:textId="77777777" w:rsidR="000D07EA" w:rsidRDefault="00BE7C89">
            <w:pPr>
              <w:pStyle w:val="BodyText"/>
              <w:spacing w:before="100" w:after="100"/>
              <w:rPr>
                <w:bCs/>
              </w:rPr>
            </w:pPr>
            <w:r>
              <w:rPr>
                <w:bCs/>
              </w:rPr>
              <w:t>No</w:t>
            </w:r>
          </w:p>
        </w:tc>
      </w:tr>
      <w:tr w:rsidR="000D07EA" w14:paraId="516AB26F" w14:textId="77777777">
        <w:trPr>
          <w:trHeight w:val="494"/>
        </w:trPr>
        <w:tc>
          <w:tcPr>
            <w:tcW w:w="3305" w:type="pct"/>
          </w:tcPr>
          <w:p w14:paraId="713ACAF3" w14:textId="77777777" w:rsidR="000D07EA" w:rsidRDefault="00BE7C89">
            <w:pPr>
              <w:pStyle w:val="BodyText"/>
              <w:spacing w:before="100" w:after="100"/>
              <w:rPr>
                <w:bCs/>
              </w:rPr>
            </w:pPr>
            <w:r>
              <w:rPr>
                <w:bCs/>
              </w:rPr>
              <w:t>1800, 13 and 1300 numbers</w:t>
            </w:r>
          </w:p>
        </w:tc>
        <w:tc>
          <w:tcPr>
            <w:tcW w:w="1695" w:type="pct"/>
          </w:tcPr>
          <w:p w14:paraId="7788AD3B" w14:textId="77777777" w:rsidR="000D07EA" w:rsidRDefault="00BE7C89">
            <w:pPr>
              <w:pStyle w:val="BodyText"/>
              <w:spacing w:before="100" w:after="100"/>
              <w:rPr>
                <w:bCs/>
              </w:rPr>
            </w:pPr>
            <w:r>
              <w:rPr>
                <w:bCs/>
              </w:rPr>
              <w:t>No</w:t>
            </w:r>
          </w:p>
        </w:tc>
      </w:tr>
      <w:tr w:rsidR="000D07EA" w14:paraId="3F08F58B" w14:textId="77777777">
        <w:trPr>
          <w:trHeight w:val="494"/>
        </w:trPr>
        <w:tc>
          <w:tcPr>
            <w:tcW w:w="3305" w:type="pct"/>
          </w:tcPr>
          <w:p w14:paraId="054C2BDD" w14:textId="77777777" w:rsidR="000D07EA" w:rsidRDefault="00BE7C89">
            <w:pPr>
              <w:pStyle w:val="BodyText"/>
              <w:spacing w:before="100" w:after="100"/>
              <w:rPr>
                <w:bCs/>
              </w:rPr>
            </w:pPr>
            <w:r>
              <w:rPr>
                <w:bCs/>
              </w:rPr>
              <w:t>124YES(937)</w:t>
            </w:r>
          </w:p>
        </w:tc>
        <w:tc>
          <w:tcPr>
            <w:tcW w:w="1695" w:type="pct"/>
          </w:tcPr>
          <w:p w14:paraId="563B611A" w14:textId="77777777" w:rsidR="000D07EA" w:rsidRDefault="00BE7C89">
            <w:pPr>
              <w:pStyle w:val="BodyText"/>
              <w:spacing w:before="100" w:after="100"/>
              <w:rPr>
                <w:bCs/>
              </w:rPr>
            </w:pPr>
            <w:r>
              <w:rPr>
                <w:bCs/>
              </w:rPr>
              <w:t>No</w:t>
            </w:r>
          </w:p>
        </w:tc>
      </w:tr>
      <w:tr w:rsidR="000D07EA" w14:paraId="49C9FEC7" w14:textId="77777777">
        <w:trPr>
          <w:trHeight w:val="63"/>
        </w:trPr>
        <w:tc>
          <w:tcPr>
            <w:tcW w:w="3305" w:type="pct"/>
          </w:tcPr>
          <w:p w14:paraId="55C099D4" w14:textId="77777777" w:rsidR="000D07EA" w:rsidRDefault="00BE7C89">
            <w:pPr>
              <w:pStyle w:val="BodyText"/>
              <w:spacing w:before="100" w:after="100"/>
              <w:rPr>
                <w:bCs/>
              </w:rPr>
            </w:pPr>
            <w:r>
              <w:rPr>
                <w:bCs/>
              </w:rPr>
              <w:t xml:space="preserve">Push To Talk (PTT) </w:t>
            </w:r>
            <w:r>
              <w:t>(this service is no longer available from 4 November 2010)</w:t>
            </w:r>
          </w:p>
        </w:tc>
        <w:tc>
          <w:tcPr>
            <w:tcW w:w="1695" w:type="pct"/>
          </w:tcPr>
          <w:p w14:paraId="58DA4D08" w14:textId="77777777" w:rsidR="000D07EA" w:rsidRDefault="00BE7C89">
            <w:pPr>
              <w:pStyle w:val="BodyText"/>
              <w:spacing w:before="100" w:after="100"/>
              <w:rPr>
                <w:bCs/>
              </w:rPr>
            </w:pPr>
            <w:r>
              <w:rPr>
                <w:bCs/>
              </w:rPr>
              <w:t>No</w:t>
            </w:r>
          </w:p>
        </w:tc>
      </w:tr>
      <w:tr w:rsidR="000D07EA" w14:paraId="19506D7A" w14:textId="77777777">
        <w:trPr>
          <w:trHeight w:val="63"/>
        </w:trPr>
        <w:tc>
          <w:tcPr>
            <w:tcW w:w="3305" w:type="pct"/>
          </w:tcPr>
          <w:p w14:paraId="653FEE15" w14:textId="77777777" w:rsidR="000D07EA" w:rsidRDefault="00BE7C89">
            <w:pPr>
              <w:pStyle w:val="BodyText"/>
              <w:spacing w:before="100" w:after="100"/>
              <w:rPr>
                <w:bCs/>
              </w:rPr>
            </w:pPr>
            <w:r>
              <w:rPr>
                <w:bCs/>
              </w:rPr>
              <w:t>Calls to Satellite</w:t>
            </w:r>
          </w:p>
        </w:tc>
        <w:tc>
          <w:tcPr>
            <w:tcW w:w="1695" w:type="pct"/>
          </w:tcPr>
          <w:p w14:paraId="609D9B01" w14:textId="77777777" w:rsidR="000D07EA" w:rsidRDefault="00BE7C89">
            <w:pPr>
              <w:pStyle w:val="BodyText"/>
              <w:spacing w:before="100" w:after="100"/>
              <w:rPr>
                <w:bCs/>
              </w:rPr>
            </w:pPr>
            <w:r>
              <w:rPr>
                <w:bCs/>
              </w:rPr>
              <w:t>No</w:t>
            </w:r>
          </w:p>
        </w:tc>
      </w:tr>
      <w:tr w:rsidR="000D07EA" w14:paraId="7EE9F988" w14:textId="77777777">
        <w:trPr>
          <w:trHeight w:val="63"/>
        </w:trPr>
        <w:tc>
          <w:tcPr>
            <w:tcW w:w="3305" w:type="pct"/>
          </w:tcPr>
          <w:p w14:paraId="3D849B51" w14:textId="77777777" w:rsidR="000D07EA" w:rsidRDefault="00BE7C89">
            <w:pPr>
              <w:pStyle w:val="BodyText"/>
              <w:spacing w:before="100" w:after="100"/>
              <w:rPr>
                <w:bCs/>
              </w:rPr>
            </w:pPr>
            <w:r>
              <w:rPr>
                <w:bCs/>
              </w:rPr>
              <w:t>VOIP services</w:t>
            </w:r>
          </w:p>
        </w:tc>
        <w:tc>
          <w:tcPr>
            <w:tcW w:w="1695" w:type="pct"/>
          </w:tcPr>
          <w:p w14:paraId="23473C88" w14:textId="77777777" w:rsidR="000D07EA" w:rsidRDefault="00BE7C89">
            <w:pPr>
              <w:pStyle w:val="BodyText"/>
              <w:spacing w:before="100" w:after="100"/>
              <w:rPr>
                <w:bCs/>
              </w:rPr>
            </w:pPr>
            <w:r>
              <w:rPr>
                <w:bCs/>
              </w:rPr>
              <w:t>No</w:t>
            </w:r>
          </w:p>
        </w:tc>
      </w:tr>
      <w:tr w:rsidR="000D07EA" w14:paraId="37CB22AC" w14:textId="77777777">
        <w:trPr>
          <w:trHeight w:val="63"/>
        </w:trPr>
        <w:tc>
          <w:tcPr>
            <w:tcW w:w="3305" w:type="pct"/>
          </w:tcPr>
          <w:p w14:paraId="7116C539" w14:textId="77777777" w:rsidR="000D07EA" w:rsidRDefault="00BE7C89">
            <w:pPr>
              <w:pStyle w:val="BodyText"/>
              <w:spacing w:before="100" w:after="100"/>
              <w:rPr>
                <w:bCs/>
              </w:rPr>
            </w:pPr>
            <w:r>
              <w:rPr>
                <w:bCs/>
              </w:rPr>
              <w:t>Surepage</w:t>
            </w:r>
          </w:p>
        </w:tc>
        <w:tc>
          <w:tcPr>
            <w:tcW w:w="1695" w:type="pct"/>
          </w:tcPr>
          <w:p w14:paraId="11990E6D" w14:textId="77777777" w:rsidR="000D07EA" w:rsidRDefault="00BE7C89">
            <w:pPr>
              <w:pStyle w:val="BodyText"/>
              <w:spacing w:before="100" w:after="100"/>
              <w:rPr>
                <w:bCs/>
              </w:rPr>
            </w:pPr>
            <w:r>
              <w:rPr>
                <w:bCs/>
              </w:rPr>
              <w:t>No</w:t>
            </w:r>
          </w:p>
        </w:tc>
      </w:tr>
    </w:tbl>
    <w:p w14:paraId="06FDE75F" w14:textId="77777777" w:rsidR="000D07EA" w:rsidRDefault="000D07EA">
      <w:pPr>
        <w:pStyle w:val="BodyText"/>
      </w:pPr>
    </w:p>
    <w:p w14:paraId="55A1D48B" w14:textId="77777777" w:rsidR="000D07EA" w:rsidRDefault="00BE7C89">
      <w:pPr>
        <w:pStyle w:val="BodyText"/>
        <w:ind w:left="720"/>
        <w:rPr>
          <w:b/>
        </w:rPr>
      </w:pPr>
      <w:r>
        <w:rPr>
          <w:b/>
        </w:rPr>
        <w:t>Table 1C – Eligible for Unlimited BlackBerry POP3 Email &amp; Browsing</w:t>
      </w:r>
    </w:p>
    <w:tbl>
      <w:tblPr>
        <w:tblW w:w="4314"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750"/>
        <w:gridCol w:w="3040"/>
      </w:tblGrid>
      <w:tr w:rsidR="000D07EA" w14:paraId="3450391B" w14:textId="77777777">
        <w:trPr>
          <w:trHeight w:val="63"/>
        </w:trPr>
        <w:tc>
          <w:tcPr>
            <w:tcW w:w="3271" w:type="pct"/>
          </w:tcPr>
          <w:p w14:paraId="3C63B8B4" w14:textId="77777777" w:rsidR="000D07EA" w:rsidRDefault="00BE7C89">
            <w:pPr>
              <w:pStyle w:val="BodyText"/>
              <w:spacing w:before="100" w:after="100"/>
              <w:rPr>
                <w:b/>
                <w:snapToGrid w:val="0"/>
              </w:rPr>
            </w:pPr>
            <w:r>
              <w:rPr>
                <w:b/>
                <w:snapToGrid w:val="0"/>
              </w:rPr>
              <w:t>Call Type</w:t>
            </w:r>
          </w:p>
        </w:tc>
        <w:tc>
          <w:tcPr>
            <w:tcW w:w="1729" w:type="pct"/>
          </w:tcPr>
          <w:p w14:paraId="58B1B3EC" w14:textId="77777777" w:rsidR="000D07EA" w:rsidRDefault="00BE7C89">
            <w:pPr>
              <w:pStyle w:val="BodyText"/>
              <w:spacing w:before="100" w:after="100"/>
              <w:rPr>
                <w:b/>
                <w:snapToGrid w:val="0"/>
              </w:rPr>
            </w:pPr>
            <w:r>
              <w:rPr>
                <w:b/>
                <w:snapToGrid w:val="0"/>
              </w:rPr>
              <w:t xml:space="preserve">Eligible Data </w:t>
            </w:r>
          </w:p>
        </w:tc>
      </w:tr>
      <w:tr w:rsidR="000D07EA" w14:paraId="13076DAC" w14:textId="77777777">
        <w:trPr>
          <w:trHeight w:val="63"/>
        </w:trPr>
        <w:tc>
          <w:tcPr>
            <w:tcW w:w="3271" w:type="pct"/>
          </w:tcPr>
          <w:p w14:paraId="04AB8885" w14:textId="77777777" w:rsidR="000D07EA" w:rsidRDefault="00BE7C89">
            <w:pPr>
              <w:pStyle w:val="BodyText"/>
              <w:spacing w:before="100" w:after="100"/>
              <w:rPr>
                <w:snapToGrid w:val="0"/>
              </w:rPr>
            </w:pPr>
            <w:r>
              <w:rPr>
                <w:snapToGrid w:val="0"/>
              </w:rPr>
              <w:t>BlackBerry Email (POP3)</w:t>
            </w:r>
          </w:p>
        </w:tc>
        <w:tc>
          <w:tcPr>
            <w:tcW w:w="1729" w:type="pct"/>
          </w:tcPr>
          <w:p w14:paraId="43A10346" w14:textId="77777777" w:rsidR="000D07EA" w:rsidRDefault="00BE7C89">
            <w:pPr>
              <w:pStyle w:val="BodyText"/>
              <w:spacing w:before="100" w:after="100"/>
              <w:rPr>
                <w:snapToGrid w:val="0"/>
              </w:rPr>
            </w:pPr>
            <w:r>
              <w:rPr>
                <w:snapToGrid w:val="0"/>
              </w:rPr>
              <w:t>Yes</w:t>
            </w:r>
          </w:p>
        </w:tc>
      </w:tr>
      <w:tr w:rsidR="000D07EA" w14:paraId="07F4C954" w14:textId="77777777">
        <w:trPr>
          <w:trHeight w:val="63"/>
        </w:trPr>
        <w:tc>
          <w:tcPr>
            <w:tcW w:w="3271" w:type="pct"/>
          </w:tcPr>
          <w:p w14:paraId="1F071FC6" w14:textId="77777777" w:rsidR="000D07EA" w:rsidRDefault="00BE7C89">
            <w:pPr>
              <w:pStyle w:val="BodyText"/>
              <w:spacing w:before="100" w:after="100"/>
              <w:rPr>
                <w:snapToGrid w:val="0"/>
              </w:rPr>
            </w:pPr>
            <w:r>
              <w:rPr>
                <w:snapToGrid w:val="0"/>
              </w:rPr>
              <w:t xml:space="preserve">Internet Browsing through the BlackBerry Browser </w:t>
            </w:r>
          </w:p>
        </w:tc>
        <w:tc>
          <w:tcPr>
            <w:tcW w:w="1729" w:type="pct"/>
          </w:tcPr>
          <w:p w14:paraId="6F5AC2EC" w14:textId="77777777" w:rsidR="000D07EA" w:rsidRDefault="00BE7C89">
            <w:pPr>
              <w:pStyle w:val="BodyText"/>
              <w:spacing w:before="100" w:after="100"/>
              <w:rPr>
                <w:snapToGrid w:val="0"/>
              </w:rPr>
            </w:pPr>
            <w:r>
              <w:rPr>
                <w:snapToGrid w:val="0"/>
              </w:rPr>
              <w:t>Yes</w:t>
            </w:r>
          </w:p>
        </w:tc>
      </w:tr>
      <w:tr w:rsidR="000D07EA" w14:paraId="7E57DBBF" w14:textId="77777777">
        <w:trPr>
          <w:trHeight w:val="63"/>
        </w:trPr>
        <w:tc>
          <w:tcPr>
            <w:tcW w:w="3271" w:type="pct"/>
          </w:tcPr>
          <w:p w14:paraId="54DC5D14" w14:textId="77777777" w:rsidR="000D07EA" w:rsidRDefault="00BE7C89">
            <w:pPr>
              <w:pStyle w:val="BodyText"/>
              <w:spacing w:before="100" w:after="100"/>
              <w:rPr>
                <w:snapToGrid w:val="0"/>
              </w:rPr>
            </w:pPr>
            <w:r>
              <w:rPr>
                <w:snapToGrid w:val="0"/>
              </w:rPr>
              <w:t xml:space="preserve">Optus Zoo downloads and subscriptions </w:t>
            </w:r>
          </w:p>
        </w:tc>
        <w:tc>
          <w:tcPr>
            <w:tcW w:w="1729" w:type="pct"/>
          </w:tcPr>
          <w:p w14:paraId="24EB9FA2" w14:textId="77777777" w:rsidR="000D07EA" w:rsidRDefault="00BE7C89">
            <w:pPr>
              <w:pStyle w:val="BodyText"/>
              <w:spacing w:before="100" w:after="100"/>
            </w:pPr>
            <w:r>
              <w:rPr>
                <w:snapToGrid w:val="0"/>
              </w:rPr>
              <w:t>No</w:t>
            </w:r>
          </w:p>
        </w:tc>
      </w:tr>
      <w:tr w:rsidR="000D07EA" w14:paraId="1110C091" w14:textId="77777777">
        <w:trPr>
          <w:trHeight w:val="63"/>
        </w:trPr>
        <w:tc>
          <w:tcPr>
            <w:tcW w:w="3271" w:type="pct"/>
          </w:tcPr>
          <w:p w14:paraId="0B961CAF" w14:textId="77777777" w:rsidR="000D07EA" w:rsidRDefault="00BE7C89">
            <w:pPr>
              <w:pStyle w:val="BodyText"/>
              <w:spacing w:before="100" w:after="100"/>
              <w:rPr>
                <w:snapToGrid w:val="0"/>
              </w:rPr>
            </w:pPr>
            <w:r>
              <w:rPr>
                <w:snapToGrid w:val="0"/>
              </w:rPr>
              <w:t xml:space="preserve">Optus Zoo GPRS WAP browsing </w:t>
            </w:r>
          </w:p>
        </w:tc>
        <w:tc>
          <w:tcPr>
            <w:tcW w:w="1729" w:type="pct"/>
          </w:tcPr>
          <w:p w14:paraId="18D72770" w14:textId="77777777" w:rsidR="000D07EA" w:rsidRDefault="00BE7C89">
            <w:pPr>
              <w:pStyle w:val="BodyText"/>
              <w:spacing w:before="100" w:after="100"/>
              <w:rPr>
                <w:snapToGrid w:val="0"/>
              </w:rPr>
            </w:pPr>
            <w:r>
              <w:rPr>
                <w:snapToGrid w:val="0"/>
              </w:rPr>
              <w:t>No</w:t>
            </w:r>
          </w:p>
        </w:tc>
      </w:tr>
      <w:tr w:rsidR="000D07EA" w14:paraId="4BC58428" w14:textId="77777777">
        <w:trPr>
          <w:trHeight w:val="63"/>
        </w:trPr>
        <w:tc>
          <w:tcPr>
            <w:tcW w:w="3271" w:type="pct"/>
          </w:tcPr>
          <w:p w14:paraId="4AB83C16" w14:textId="77777777" w:rsidR="000D07EA" w:rsidRDefault="00BE7C89">
            <w:pPr>
              <w:pStyle w:val="BodyText"/>
              <w:spacing w:before="100" w:after="100"/>
            </w:pPr>
            <w:r>
              <w:t>Applications from Optus and third party applications that require a BlackBerry Data connection</w:t>
            </w:r>
          </w:p>
        </w:tc>
        <w:tc>
          <w:tcPr>
            <w:tcW w:w="1729" w:type="pct"/>
          </w:tcPr>
          <w:p w14:paraId="18E607CA" w14:textId="77777777" w:rsidR="000D07EA" w:rsidRDefault="00BE7C89">
            <w:pPr>
              <w:pStyle w:val="BodyText"/>
              <w:spacing w:before="100" w:after="100"/>
              <w:rPr>
                <w:snapToGrid w:val="0"/>
              </w:rPr>
            </w:pPr>
            <w:r>
              <w:rPr>
                <w:snapToGrid w:val="0"/>
              </w:rPr>
              <w:t>Yes</w:t>
            </w:r>
          </w:p>
        </w:tc>
      </w:tr>
      <w:tr w:rsidR="000D07EA" w14:paraId="2B91EFC9" w14:textId="77777777">
        <w:trPr>
          <w:trHeight w:val="247"/>
        </w:trPr>
        <w:tc>
          <w:tcPr>
            <w:tcW w:w="3271" w:type="pct"/>
          </w:tcPr>
          <w:p w14:paraId="736BE013" w14:textId="77777777" w:rsidR="000D07EA" w:rsidRDefault="00BE7C89">
            <w:pPr>
              <w:pStyle w:val="BodyText"/>
              <w:spacing w:before="100" w:after="100"/>
              <w:rPr>
                <w:snapToGrid w:val="0"/>
              </w:rPr>
            </w:pPr>
            <w:r>
              <w:rPr>
                <w:snapToGrid w:val="0"/>
              </w:rPr>
              <w:t>All other call types or usage</w:t>
            </w:r>
          </w:p>
        </w:tc>
        <w:tc>
          <w:tcPr>
            <w:tcW w:w="1729" w:type="pct"/>
          </w:tcPr>
          <w:p w14:paraId="0C80282D" w14:textId="77777777" w:rsidR="000D07EA" w:rsidRDefault="00BE7C89">
            <w:pPr>
              <w:pStyle w:val="BodyText"/>
              <w:spacing w:before="100" w:after="100"/>
              <w:rPr>
                <w:snapToGrid w:val="0"/>
              </w:rPr>
            </w:pPr>
            <w:r>
              <w:rPr>
                <w:snapToGrid w:val="0"/>
              </w:rPr>
              <w:t>No</w:t>
            </w:r>
          </w:p>
        </w:tc>
      </w:tr>
    </w:tbl>
    <w:p w14:paraId="18A8B6A8" w14:textId="77777777" w:rsidR="000D07EA" w:rsidRDefault="000D07EA">
      <w:pPr>
        <w:pStyle w:val="BodyText"/>
      </w:pPr>
    </w:p>
    <w:p w14:paraId="1B740D32" w14:textId="77777777" w:rsidR="000D07EA" w:rsidRDefault="00BE7C89">
      <w:pPr>
        <w:pStyle w:val="BodyText"/>
        <w:ind w:left="720"/>
        <w:rPr>
          <w:b/>
        </w:rPr>
      </w:pPr>
      <w:r>
        <w:rPr>
          <w:b/>
        </w:rPr>
        <w:t>Table 1D – Eligible for the included International Value - $129 Business Timeless Plans</w:t>
      </w:r>
    </w:p>
    <w:tbl>
      <w:tblPr>
        <w:tblW w:w="4358"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145"/>
        <w:gridCol w:w="3735"/>
      </w:tblGrid>
      <w:tr w:rsidR="000D07EA" w14:paraId="61DA2BE1" w14:textId="77777777">
        <w:trPr>
          <w:trHeight w:val="63"/>
          <w:tblHeader/>
        </w:trPr>
        <w:tc>
          <w:tcPr>
            <w:tcW w:w="2897" w:type="pct"/>
          </w:tcPr>
          <w:p w14:paraId="4E2AF98D" w14:textId="77777777" w:rsidR="000D07EA" w:rsidRDefault="00BE7C89">
            <w:pPr>
              <w:pStyle w:val="BodyText"/>
              <w:spacing w:before="100" w:after="100"/>
              <w:rPr>
                <w:b/>
                <w:bCs/>
              </w:rPr>
            </w:pPr>
            <w:r>
              <w:rPr>
                <w:b/>
                <w:bCs/>
              </w:rPr>
              <w:t>Call Type</w:t>
            </w:r>
          </w:p>
        </w:tc>
        <w:tc>
          <w:tcPr>
            <w:tcW w:w="2103" w:type="pct"/>
          </w:tcPr>
          <w:p w14:paraId="61B46D83" w14:textId="77777777" w:rsidR="000D07EA" w:rsidRDefault="00BE7C89">
            <w:pPr>
              <w:pStyle w:val="BodyText"/>
              <w:spacing w:before="100" w:after="100"/>
              <w:rPr>
                <w:b/>
                <w:bCs/>
              </w:rPr>
            </w:pPr>
            <w:r>
              <w:rPr>
                <w:b/>
                <w:bCs/>
              </w:rPr>
              <w:t xml:space="preserve">Eligible Call </w:t>
            </w:r>
          </w:p>
        </w:tc>
      </w:tr>
      <w:tr w:rsidR="000D07EA" w14:paraId="265DA137" w14:textId="77777777">
        <w:trPr>
          <w:trHeight w:val="63"/>
        </w:trPr>
        <w:tc>
          <w:tcPr>
            <w:tcW w:w="2897" w:type="pct"/>
          </w:tcPr>
          <w:p w14:paraId="09D24928" w14:textId="77777777" w:rsidR="000D07EA" w:rsidRDefault="00BE7C89">
            <w:pPr>
              <w:pStyle w:val="BodyText"/>
              <w:spacing w:before="100" w:after="100"/>
            </w:pPr>
            <w:r>
              <w:t>Standard Mobile calls</w:t>
            </w:r>
          </w:p>
        </w:tc>
        <w:tc>
          <w:tcPr>
            <w:tcW w:w="2103" w:type="pct"/>
          </w:tcPr>
          <w:p w14:paraId="634D4504" w14:textId="77777777" w:rsidR="000D07EA" w:rsidRDefault="00BE7C89">
            <w:pPr>
              <w:pStyle w:val="BodyText"/>
              <w:spacing w:before="100" w:after="100"/>
            </w:pPr>
            <w:r>
              <w:t>No</w:t>
            </w:r>
          </w:p>
        </w:tc>
      </w:tr>
      <w:tr w:rsidR="000D07EA" w14:paraId="2C3D5769" w14:textId="77777777">
        <w:trPr>
          <w:trHeight w:val="63"/>
        </w:trPr>
        <w:tc>
          <w:tcPr>
            <w:tcW w:w="2897" w:type="pct"/>
          </w:tcPr>
          <w:p w14:paraId="70FE90FF" w14:textId="77777777" w:rsidR="000D07EA" w:rsidRDefault="00BE7C89">
            <w:pPr>
              <w:pStyle w:val="BodyText"/>
              <w:spacing w:before="100" w:after="100"/>
            </w:pPr>
            <w:r>
              <w:lastRenderedPageBreak/>
              <w:t>Standard National Voice Calls</w:t>
            </w:r>
          </w:p>
        </w:tc>
        <w:tc>
          <w:tcPr>
            <w:tcW w:w="2103" w:type="pct"/>
          </w:tcPr>
          <w:p w14:paraId="710D748E" w14:textId="77777777" w:rsidR="000D07EA" w:rsidRDefault="00BE7C89">
            <w:pPr>
              <w:pStyle w:val="BodyText"/>
              <w:spacing w:before="100" w:after="100"/>
            </w:pPr>
            <w:r>
              <w:t>No</w:t>
            </w:r>
          </w:p>
        </w:tc>
      </w:tr>
      <w:tr w:rsidR="000D07EA" w14:paraId="6C455948" w14:textId="77777777">
        <w:trPr>
          <w:trHeight w:val="63"/>
        </w:trPr>
        <w:tc>
          <w:tcPr>
            <w:tcW w:w="2897" w:type="pct"/>
          </w:tcPr>
          <w:p w14:paraId="484F194E" w14:textId="77777777" w:rsidR="000D07EA" w:rsidRDefault="00BE7C89">
            <w:pPr>
              <w:pStyle w:val="BodyText"/>
              <w:spacing w:before="100" w:after="100"/>
            </w:pPr>
            <w:r>
              <w:t>National Video Calls</w:t>
            </w:r>
          </w:p>
        </w:tc>
        <w:tc>
          <w:tcPr>
            <w:tcW w:w="2103" w:type="pct"/>
          </w:tcPr>
          <w:p w14:paraId="1D8AAE17" w14:textId="77777777" w:rsidR="000D07EA" w:rsidRDefault="00BE7C89">
            <w:pPr>
              <w:pStyle w:val="BodyText"/>
              <w:spacing w:before="100" w:after="100"/>
            </w:pPr>
            <w:r>
              <w:t>No</w:t>
            </w:r>
          </w:p>
        </w:tc>
      </w:tr>
      <w:tr w:rsidR="000D07EA" w14:paraId="68AA600B" w14:textId="77777777">
        <w:trPr>
          <w:trHeight w:val="247"/>
        </w:trPr>
        <w:tc>
          <w:tcPr>
            <w:tcW w:w="2897" w:type="pct"/>
          </w:tcPr>
          <w:p w14:paraId="3B7F1073" w14:textId="77777777" w:rsidR="000D07EA" w:rsidRDefault="00BE7C89">
            <w:pPr>
              <w:pStyle w:val="BodyText"/>
              <w:spacing w:before="100" w:after="100"/>
            </w:pPr>
            <w:r>
              <w:t>International Voice Calls</w:t>
            </w:r>
          </w:p>
          <w:p w14:paraId="14A6D7D5" w14:textId="77777777" w:rsidR="000D07EA" w:rsidRDefault="00BE7C89">
            <w:pPr>
              <w:pStyle w:val="BodyText"/>
              <w:spacing w:before="100" w:after="100"/>
            </w:pPr>
            <w:r>
              <w:rPr>
                <w:snapToGrid w:val="0"/>
              </w:rPr>
              <w:t>(includes calls to national fixed or mobile services that then divert/switch or re-route overseas)</w:t>
            </w:r>
          </w:p>
        </w:tc>
        <w:tc>
          <w:tcPr>
            <w:tcW w:w="2103" w:type="pct"/>
          </w:tcPr>
          <w:p w14:paraId="5FB2C7DD" w14:textId="77777777" w:rsidR="000D07EA" w:rsidRDefault="00BE7C89">
            <w:pPr>
              <w:pStyle w:val="BodyText"/>
              <w:spacing w:before="100" w:after="100"/>
            </w:pPr>
            <w:r>
              <w:t>Yes</w:t>
            </w:r>
          </w:p>
        </w:tc>
      </w:tr>
      <w:tr w:rsidR="000D07EA" w14:paraId="06DE9821" w14:textId="77777777">
        <w:trPr>
          <w:trHeight w:val="247"/>
        </w:trPr>
        <w:tc>
          <w:tcPr>
            <w:tcW w:w="2897" w:type="pct"/>
          </w:tcPr>
          <w:p w14:paraId="6B338260" w14:textId="77777777" w:rsidR="000D07EA" w:rsidRDefault="00BE7C89">
            <w:pPr>
              <w:pStyle w:val="BodyText"/>
              <w:spacing w:before="100" w:after="100"/>
            </w:pPr>
            <w:r>
              <w:t>International Video Calls</w:t>
            </w:r>
          </w:p>
          <w:p w14:paraId="321D8ACC" w14:textId="77777777" w:rsidR="000D07EA" w:rsidRDefault="00BE7C89">
            <w:pPr>
              <w:pStyle w:val="BodyText"/>
              <w:spacing w:before="100" w:after="100"/>
            </w:pPr>
            <w:r>
              <w:rPr>
                <w:snapToGrid w:val="0"/>
              </w:rPr>
              <w:t>(includes calls to national fixed or mobile services that then divert/switch or re-route overseas)</w:t>
            </w:r>
          </w:p>
        </w:tc>
        <w:tc>
          <w:tcPr>
            <w:tcW w:w="2103" w:type="pct"/>
          </w:tcPr>
          <w:p w14:paraId="32627992" w14:textId="77777777" w:rsidR="000D07EA" w:rsidRDefault="00BE7C89">
            <w:pPr>
              <w:pStyle w:val="BodyText"/>
              <w:spacing w:before="100" w:after="100"/>
            </w:pPr>
            <w:r>
              <w:t>No</w:t>
            </w:r>
          </w:p>
        </w:tc>
      </w:tr>
      <w:tr w:rsidR="000D07EA" w14:paraId="5EE222B7" w14:textId="77777777">
        <w:trPr>
          <w:trHeight w:val="247"/>
        </w:trPr>
        <w:tc>
          <w:tcPr>
            <w:tcW w:w="2897" w:type="pct"/>
          </w:tcPr>
          <w:p w14:paraId="247EE569" w14:textId="77777777" w:rsidR="000D07EA" w:rsidRDefault="00BE7C89">
            <w:pPr>
              <w:pStyle w:val="BodyText"/>
              <w:spacing w:before="100" w:after="100"/>
            </w:pPr>
            <w:r>
              <w:t>National Standard SMS</w:t>
            </w:r>
          </w:p>
        </w:tc>
        <w:tc>
          <w:tcPr>
            <w:tcW w:w="2103" w:type="pct"/>
          </w:tcPr>
          <w:p w14:paraId="3333A232" w14:textId="77777777" w:rsidR="000D07EA" w:rsidRDefault="00BE7C89">
            <w:pPr>
              <w:pStyle w:val="BodyText"/>
              <w:spacing w:before="100" w:after="100"/>
            </w:pPr>
            <w:r>
              <w:t>No</w:t>
            </w:r>
          </w:p>
        </w:tc>
      </w:tr>
      <w:tr w:rsidR="000D07EA" w14:paraId="09AC1442" w14:textId="77777777">
        <w:trPr>
          <w:trHeight w:val="63"/>
        </w:trPr>
        <w:tc>
          <w:tcPr>
            <w:tcW w:w="2897" w:type="pct"/>
          </w:tcPr>
          <w:p w14:paraId="245ABC6B" w14:textId="77777777" w:rsidR="000D07EA" w:rsidRDefault="00BE7C89">
            <w:pPr>
              <w:pStyle w:val="BodyText"/>
              <w:spacing w:before="100" w:after="100"/>
            </w:pPr>
            <w:r>
              <w:t>International SMS</w:t>
            </w:r>
          </w:p>
        </w:tc>
        <w:tc>
          <w:tcPr>
            <w:tcW w:w="2103" w:type="pct"/>
          </w:tcPr>
          <w:p w14:paraId="47FB2AF7" w14:textId="77777777" w:rsidR="000D07EA" w:rsidRDefault="00BE7C89">
            <w:pPr>
              <w:pStyle w:val="BodyText"/>
              <w:spacing w:before="100" w:after="100"/>
            </w:pPr>
            <w:r>
              <w:t>Yes</w:t>
            </w:r>
          </w:p>
        </w:tc>
      </w:tr>
      <w:tr w:rsidR="000D07EA" w14:paraId="6A869AD5" w14:textId="77777777">
        <w:trPr>
          <w:trHeight w:val="63"/>
        </w:trPr>
        <w:tc>
          <w:tcPr>
            <w:tcW w:w="2897" w:type="pct"/>
          </w:tcPr>
          <w:p w14:paraId="2991E93E" w14:textId="77777777" w:rsidR="000D07EA" w:rsidRDefault="00BE7C89">
            <w:pPr>
              <w:pStyle w:val="BodyText"/>
              <w:spacing w:before="100" w:after="100"/>
            </w:pPr>
            <w:r>
              <w:t>National MMS</w:t>
            </w:r>
          </w:p>
        </w:tc>
        <w:tc>
          <w:tcPr>
            <w:tcW w:w="2103" w:type="pct"/>
          </w:tcPr>
          <w:p w14:paraId="5DADAB04" w14:textId="77777777" w:rsidR="000D07EA" w:rsidRDefault="00BE7C89">
            <w:pPr>
              <w:pStyle w:val="BodyText"/>
              <w:spacing w:before="100" w:after="100"/>
            </w:pPr>
            <w:r>
              <w:t>No</w:t>
            </w:r>
          </w:p>
        </w:tc>
      </w:tr>
      <w:tr w:rsidR="000D07EA" w14:paraId="1CE5662F" w14:textId="77777777">
        <w:trPr>
          <w:trHeight w:val="247"/>
        </w:trPr>
        <w:tc>
          <w:tcPr>
            <w:tcW w:w="2897" w:type="pct"/>
          </w:tcPr>
          <w:p w14:paraId="48EECA2D" w14:textId="77777777" w:rsidR="000D07EA" w:rsidRDefault="00BE7C89">
            <w:pPr>
              <w:pStyle w:val="BodyText"/>
              <w:spacing w:before="100" w:after="100"/>
            </w:pPr>
            <w:r>
              <w:t>International MMS</w:t>
            </w:r>
          </w:p>
        </w:tc>
        <w:tc>
          <w:tcPr>
            <w:tcW w:w="2103" w:type="pct"/>
          </w:tcPr>
          <w:p w14:paraId="0BCEF04D" w14:textId="77777777" w:rsidR="000D07EA" w:rsidRDefault="00BE7C89">
            <w:pPr>
              <w:pStyle w:val="BodyText"/>
              <w:spacing w:before="100" w:after="100"/>
            </w:pPr>
            <w:r>
              <w:t>Yes</w:t>
            </w:r>
          </w:p>
        </w:tc>
      </w:tr>
      <w:tr w:rsidR="000D07EA" w14:paraId="7E08D32D" w14:textId="77777777">
        <w:trPr>
          <w:trHeight w:val="247"/>
        </w:trPr>
        <w:tc>
          <w:tcPr>
            <w:tcW w:w="2897" w:type="pct"/>
          </w:tcPr>
          <w:p w14:paraId="278DD2FF" w14:textId="77777777" w:rsidR="000D07EA" w:rsidRDefault="00BE7C89">
            <w:pPr>
              <w:pStyle w:val="BodyText"/>
              <w:spacing w:before="100" w:after="100"/>
            </w:pPr>
            <w:r>
              <w:t>National Diversions</w:t>
            </w:r>
          </w:p>
        </w:tc>
        <w:tc>
          <w:tcPr>
            <w:tcW w:w="2103" w:type="pct"/>
          </w:tcPr>
          <w:p w14:paraId="06E443C7" w14:textId="77777777" w:rsidR="000D07EA" w:rsidRDefault="00BE7C89">
            <w:pPr>
              <w:pStyle w:val="BodyText"/>
              <w:spacing w:before="100" w:after="100"/>
            </w:pPr>
            <w:r>
              <w:t>No</w:t>
            </w:r>
          </w:p>
        </w:tc>
      </w:tr>
      <w:tr w:rsidR="000D07EA" w14:paraId="4510193C" w14:textId="77777777">
        <w:trPr>
          <w:trHeight w:val="63"/>
        </w:trPr>
        <w:tc>
          <w:tcPr>
            <w:tcW w:w="2897" w:type="pct"/>
          </w:tcPr>
          <w:p w14:paraId="339A53CB" w14:textId="77777777" w:rsidR="000D07EA" w:rsidRDefault="00BE7C89">
            <w:pPr>
              <w:pStyle w:val="BodyText"/>
              <w:spacing w:before="100" w:after="100"/>
            </w:pPr>
            <w:r>
              <w:t>Voicemail Deposit and Retrievals</w:t>
            </w:r>
          </w:p>
        </w:tc>
        <w:tc>
          <w:tcPr>
            <w:tcW w:w="2103" w:type="pct"/>
          </w:tcPr>
          <w:p w14:paraId="428D62B2" w14:textId="77777777" w:rsidR="000D07EA" w:rsidRDefault="00BE7C89">
            <w:pPr>
              <w:pStyle w:val="BodyText"/>
              <w:spacing w:before="100" w:after="100"/>
            </w:pPr>
            <w:r>
              <w:t>No</w:t>
            </w:r>
          </w:p>
        </w:tc>
      </w:tr>
      <w:tr w:rsidR="000D07EA" w14:paraId="5F4B4273" w14:textId="77777777">
        <w:trPr>
          <w:trHeight w:val="247"/>
        </w:trPr>
        <w:tc>
          <w:tcPr>
            <w:tcW w:w="2897" w:type="pct"/>
          </w:tcPr>
          <w:p w14:paraId="15A4F315" w14:textId="77777777" w:rsidR="000D07EA" w:rsidRDefault="00BE7C89">
            <w:pPr>
              <w:pStyle w:val="BodyText"/>
              <w:spacing w:before="100" w:after="100"/>
            </w:pPr>
            <w:r>
              <w:t>International Roaming and Diversion</w:t>
            </w:r>
          </w:p>
        </w:tc>
        <w:tc>
          <w:tcPr>
            <w:tcW w:w="2103" w:type="pct"/>
          </w:tcPr>
          <w:p w14:paraId="740E2FC3" w14:textId="77777777" w:rsidR="000D07EA" w:rsidRDefault="00BE7C89">
            <w:pPr>
              <w:pStyle w:val="BodyText"/>
              <w:spacing w:before="100" w:after="100"/>
            </w:pPr>
            <w:r>
              <w:t>No</w:t>
            </w:r>
          </w:p>
        </w:tc>
      </w:tr>
      <w:tr w:rsidR="000D07EA" w14:paraId="7F3D9FBF" w14:textId="77777777">
        <w:trPr>
          <w:trHeight w:val="247"/>
        </w:trPr>
        <w:tc>
          <w:tcPr>
            <w:tcW w:w="2897" w:type="pct"/>
          </w:tcPr>
          <w:p w14:paraId="6541244B" w14:textId="77777777" w:rsidR="000D07EA" w:rsidRDefault="00BE7C89">
            <w:pPr>
              <w:pStyle w:val="BodyText"/>
              <w:spacing w:before="100" w:after="100"/>
            </w:pPr>
            <w:r>
              <w:t>Premium SMS</w:t>
            </w:r>
          </w:p>
        </w:tc>
        <w:tc>
          <w:tcPr>
            <w:tcW w:w="2103" w:type="pct"/>
          </w:tcPr>
          <w:p w14:paraId="0F1A4E61" w14:textId="77777777" w:rsidR="000D07EA" w:rsidRDefault="00BE7C89">
            <w:pPr>
              <w:pStyle w:val="BodyText"/>
              <w:spacing w:before="100" w:after="100"/>
            </w:pPr>
            <w:r>
              <w:t>No</w:t>
            </w:r>
          </w:p>
        </w:tc>
      </w:tr>
      <w:tr w:rsidR="000D07EA" w14:paraId="2BB39488" w14:textId="77777777">
        <w:trPr>
          <w:trHeight w:val="247"/>
        </w:trPr>
        <w:tc>
          <w:tcPr>
            <w:tcW w:w="2897" w:type="pct"/>
          </w:tcPr>
          <w:p w14:paraId="7A2671A5" w14:textId="77777777" w:rsidR="000D07EA" w:rsidRDefault="00BE7C89">
            <w:pPr>
              <w:pStyle w:val="BodyText"/>
              <w:spacing w:before="100" w:after="100"/>
            </w:pPr>
            <w:r>
              <w:t>Premium Video</w:t>
            </w:r>
          </w:p>
        </w:tc>
        <w:tc>
          <w:tcPr>
            <w:tcW w:w="2103" w:type="pct"/>
          </w:tcPr>
          <w:p w14:paraId="2FE2D289" w14:textId="77777777" w:rsidR="000D07EA" w:rsidRDefault="00BE7C89">
            <w:pPr>
              <w:pStyle w:val="BodyText"/>
              <w:spacing w:before="100" w:after="100"/>
            </w:pPr>
            <w:r>
              <w:t>No</w:t>
            </w:r>
          </w:p>
        </w:tc>
      </w:tr>
      <w:tr w:rsidR="000D07EA" w14:paraId="5884F732" w14:textId="77777777">
        <w:trPr>
          <w:trHeight w:val="247"/>
        </w:trPr>
        <w:tc>
          <w:tcPr>
            <w:tcW w:w="2897" w:type="pct"/>
          </w:tcPr>
          <w:p w14:paraId="2355F92E" w14:textId="77777777" w:rsidR="000D07EA" w:rsidRDefault="00BE7C89">
            <w:pPr>
              <w:pStyle w:val="BodyText"/>
              <w:spacing w:before="100" w:after="100"/>
            </w:pPr>
            <w:r>
              <w:t>Video Conferencing</w:t>
            </w:r>
          </w:p>
        </w:tc>
        <w:tc>
          <w:tcPr>
            <w:tcW w:w="2103" w:type="pct"/>
          </w:tcPr>
          <w:p w14:paraId="34451009" w14:textId="77777777" w:rsidR="000D07EA" w:rsidRDefault="00BE7C89">
            <w:pPr>
              <w:pStyle w:val="BodyText"/>
              <w:spacing w:before="100" w:after="100"/>
            </w:pPr>
            <w:r>
              <w:t>No</w:t>
            </w:r>
          </w:p>
        </w:tc>
      </w:tr>
      <w:tr w:rsidR="000D07EA" w14:paraId="4EE25AE8" w14:textId="77777777">
        <w:trPr>
          <w:trHeight w:val="247"/>
        </w:trPr>
        <w:tc>
          <w:tcPr>
            <w:tcW w:w="2897" w:type="pct"/>
          </w:tcPr>
          <w:p w14:paraId="000C0F69" w14:textId="77777777" w:rsidR="000D07EA" w:rsidRDefault="00BE7C89">
            <w:pPr>
              <w:pStyle w:val="BodyText"/>
              <w:spacing w:before="100" w:after="100"/>
            </w:pPr>
            <w:r>
              <w:t>Optus Zoo or Optus iZoo Browsing</w:t>
            </w:r>
          </w:p>
        </w:tc>
        <w:tc>
          <w:tcPr>
            <w:tcW w:w="2103" w:type="pct"/>
          </w:tcPr>
          <w:p w14:paraId="69B7E53E" w14:textId="77777777" w:rsidR="000D07EA" w:rsidRDefault="00BE7C89">
            <w:pPr>
              <w:pStyle w:val="BodyText"/>
              <w:spacing w:before="100" w:after="100"/>
            </w:pPr>
            <w:r>
              <w:t>No</w:t>
            </w:r>
          </w:p>
        </w:tc>
      </w:tr>
      <w:tr w:rsidR="000D07EA" w14:paraId="450F0586" w14:textId="77777777">
        <w:trPr>
          <w:trHeight w:val="63"/>
        </w:trPr>
        <w:tc>
          <w:tcPr>
            <w:tcW w:w="2897" w:type="pct"/>
          </w:tcPr>
          <w:p w14:paraId="5CC66686" w14:textId="77777777" w:rsidR="000D07EA" w:rsidRDefault="00BE7C89">
            <w:pPr>
              <w:pStyle w:val="BodyText"/>
              <w:spacing w:before="100" w:after="100"/>
            </w:pPr>
            <w:r>
              <w:t>Optus Zoo or Optus iZoo Downloads</w:t>
            </w:r>
          </w:p>
        </w:tc>
        <w:tc>
          <w:tcPr>
            <w:tcW w:w="2103" w:type="pct"/>
          </w:tcPr>
          <w:p w14:paraId="42580044" w14:textId="77777777" w:rsidR="000D07EA" w:rsidRDefault="00BE7C89">
            <w:pPr>
              <w:pStyle w:val="BodyText"/>
              <w:spacing w:before="100" w:after="100"/>
            </w:pPr>
            <w:r>
              <w:t>No</w:t>
            </w:r>
          </w:p>
        </w:tc>
      </w:tr>
      <w:tr w:rsidR="000D07EA" w14:paraId="474D0AE1" w14:textId="77777777">
        <w:trPr>
          <w:trHeight w:val="63"/>
        </w:trPr>
        <w:tc>
          <w:tcPr>
            <w:tcW w:w="2897" w:type="pct"/>
          </w:tcPr>
          <w:p w14:paraId="6C53B0D5" w14:textId="77777777" w:rsidR="000D07EA" w:rsidRDefault="00BE7C89">
            <w:pPr>
              <w:pStyle w:val="BodyText"/>
              <w:spacing w:before="100" w:after="100"/>
            </w:pPr>
            <w:r>
              <w:t>SMS to 966 (Zoo)</w:t>
            </w:r>
          </w:p>
        </w:tc>
        <w:tc>
          <w:tcPr>
            <w:tcW w:w="2103" w:type="pct"/>
          </w:tcPr>
          <w:p w14:paraId="61B3BC56" w14:textId="77777777" w:rsidR="000D07EA" w:rsidRDefault="00BE7C89">
            <w:pPr>
              <w:pStyle w:val="BodyText"/>
              <w:spacing w:before="100" w:after="100"/>
            </w:pPr>
            <w:r>
              <w:t>No</w:t>
            </w:r>
          </w:p>
        </w:tc>
      </w:tr>
      <w:tr w:rsidR="000D07EA" w14:paraId="313D55F4" w14:textId="77777777">
        <w:trPr>
          <w:trHeight w:val="63"/>
        </w:trPr>
        <w:tc>
          <w:tcPr>
            <w:tcW w:w="2897" w:type="pct"/>
          </w:tcPr>
          <w:p w14:paraId="71A73932" w14:textId="77777777" w:rsidR="000D07EA" w:rsidRDefault="00BE7C89">
            <w:pPr>
              <w:pStyle w:val="BodyText"/>
              <w:spacing w:before="100" w:after="100"/>
            </w:pPr>
            <w:r>
              <w:t>Mobile Internet usage</w:t>
            </w:r>
          </w:p>
        </w:tc>
        <w:tc>
          <w:tcPr>
            <w:tcW w:w="2103" w:type="pct"/>
          </w:tcPr>
          <w:p w14:paraId="374A1CBD" w14:textId="77777777" w:rsidR="000D07EA" w:rsidRDefault="00BE7C89">
            <w:pPr>
              <w:pStyle w:val="BodyText"/>
              <w:spacing w:before="100" w:after="100"/>
            </w:pPr>
            <w:r>
              <w:t>No</w:t>
            </w:r>
          </w:p>
        </w:tc>
      </w:tr>
      <w:tr w:rsidR="000D07EA" w14:paraId="3AE14F35" w14:textId="77777777">
        <w:trPr>
          <w:trHeight w:val="63"/>
        </w:trPr>
        <w:tc>
          <w:tcPr>
            <w:tcW w:w="2897" w:type="pct"/>
          </w:tcPr>
          <w:p w14:paraId="19173C92" w14:textId="77777777" w:rsidR="000D07EA" w:rsidRDefault="00BE7C89">
            <w:pPr>
              <w:pStyle w:val="BodyText"/>
              <w:spacing w:before="100" w:after="100"/>
            </w:pPr>
            <w:r>
              <w:t>Data Used while Roaming Internationally</w:t>
            </w:r>
          </w:p>
        </w:tc>
        <w:tc>
          <w:tcPr>
            <w:tcW w:w="2103" w:type="pct"/>
          </w:tcPr>
          <w:p w14:paraId="2B7B7918" w14:textId="77777777" w:rsidR="000D07EA" w:rsidRDefault="00BE7C89">
            <w:pPr>
              <w:pStyle w:val="BodyText"/>
              <w:spacing w:before="100" w:after="100"/>
            </w:pPr>
            <w:r>
              <w:t>No</w:t>
            </w:r>
          </w:p>
        </w:tc>
      </w:tr>
      <w:tr w:rsidR="000D07EA" w14:paraId="7477277E" w14:textId="77777777">
        <w:trPr>
          <w:trHeight w:val="63"/>
        </w:trPr>
        <w:tc>
          <w:tcPr>
            <w:tcW w:w="2897" w:type="pct"/>
          </w:tcPr>
          <w:p w14:paraId="70A874A6" w14:textId="77777777" w:rsidR="000D07EA" w:rsidRDefault="00BE7C89">
            <w:pPr>
              <w:pStyle w:val="BodyText"/>
              <w:spacing w:before="100" w:after="100"/>
            </w:pPr>
            <w:r>
              <w:t>Content Packs (unless specified in promotions)</w:t>
            </w:r>
          </w:p>
        </w:tc>
        <w:tc>
          <w:tcPr>
            <w:tcW w:w="2103" w:type="pct"/>
          </w:tcPr>
          <w:p w14:paraId="099000B0" w14:textId="77777777" w:rsidR="000D07EA" w:rsidRDefault="00BE7C89">
            <w:pPr>
              <w:pStyle w:val="BodyText"/>
              <w:spacing w:before="100" w:after="100"/>
            </w:pPr>
            <w:r>
              <w:t>No</w:t>
            </w:r>
          </w:p>
        </w:tc>
      </w:tr>
      <w:tr w:rsidR="000D07EA" w14:paraId="0FF322C2" w14:textId="77777777">
        <w:trPr>
          <w:trHeight w:val="63"/>
        </w:trPr>
        <w:tc>
          <w:tcPr>
            <w:tcW w:w="2897" w:type="pct"/>
          </w:tcPr>
          <w:p w14:paraId="1A32F886" w14:textId="77777777" w:rsidR="000D07EA" w:rsidRDefault="00BE7C89">
            <w:pPr>
              <w:pStyle w:val="BodyText"/>
              <w:spacing w:before="100" w:after="100"/>
            </w:pPr>
            <w:r>
              <w:t>TrueLocal Usage</w:t>
            </w:r>
          </w:p>
        </w:tc>
        <w:tc>
          <w:tcPr>
            <w:tcW w:w="2103" w:type="pct"/>
          </w:tcPr>
          <w:p w14:paraId="3074E7F3" w14:textId="77777777" w:rsidR="000D07EA" w:rsidRDefault="00BE7C89">
            <w:pPr>
              <w:pStyle w:val="BodyText"/>
              <w:spacing w:before="100" w:after="100"/>
            </w:pPr>
            <w:r>
              <w:t>No</w:t>
            </w:r>
          </w:p>
        </w:tc>
      </w:tr>
      <w:tr w:rsidR="000D07EA" w14:paraId="4046E5BB" w14:textId="77777777">
        <w:trPr>
          <w:trHeight w:val="63"/>
        </w:trPr>
        <w:tc>
          <w:tcPr>
            <w:tcW w:w="2897" w:type="pct"/>
          </w:tcPr>
          <w:p w14:paraId="7D8918E8" w14:textId="77777777" w:rsidR="000D07EA" w:rsidRDefault="00BE7C89">
            <w:pPr>
              <w:pStyle w:val="BodyText"/>
              <w:spacing w:before="100" w:after="100"/>
            </w:pPr>
            <w:r>
              <w:t xml:space="preserve">Directory Assistance- 1223 </w:t>
            </w:r>
          </w:p>
        </w:tc>
        <w:tc>
          <w:tcPr>
            <w:tcW w:w="2103" w:type="pct"/>
          </w:tcPr>
          <w:p w14:paraId="0F8D7179" w14:textId="77777777" w:rsidR="000D07EA" w:rsidRDefault="00BE7C89">
            <w:pPr>
              <w:pStyle w:val="BodyText"/>
              <w:spacing w:before="100" w:after="100"/>
            </w:pPr>
            <w:r>
              <w:t>No</w:t>
            </w:r>
          </w:p>
        </w:tc>
      </w:tr>
      <w:tr w:rsidR="000D07EA" w14:paraId="5F1128C3" w14:textId="77777777">
        <w:trPr>
          <w:trHeight w:val="247"/>
        </w:trPr>
        <w:tc>
          <w:tcPr>
            <w:tcW w:w="2897" w:type="pct"/>
          </w:tcPr>
          <w:p w14:paraId="7AE8084D" w14:textId="77777777" w:rsidR="000D07EA" w:rsidRDefault="00BE7C89">
            <w:pPr>
              <w:pStyle w:val="BodyText"/>
              <w:spacing w:before="100" w:after="100"/>
            </w:pPr>
            <w:r>
              <w:t>19XX Numbers</w:t>
            </w:r>
          </w:p>
        </w:tc>
        <w:tc>
          <w:tcPr>
            <w:tcW w:w="2103" w:type="pct"/>
          </w:tcPr>
          <w:p w14:paraId="32937C37" w14:textId="77777777" w:rsidR="000D07EA" w:rsidRDefault="00BE7C89">
            <w:pPr>
              <w:pStyle w:val="BodyText"/>
              <w:spacing w:before="100" w:after="100"/>
            </w:pPr>
            <w:r>
              <w:t>No</w:t>
            </w:r>
          </w:p>
        </w:tc>
      </w:tr>
      <w:tr w:rsidR="000D07EA" w14:paraId="4D41AC15" w14:textId="77777777">
        <w:trPr>
          <w:trHeight w:val="247"/>
        </w:trPr>
        <w:tc>
          <w:tcPr>
            <w:tcW w:w="2897" w:type="pct"/>
          </w:tcPr>
          <w:p w14:paraId="3055B86D" w14:textId="77777777" w:rsidR="000D07EA" w:rsidRDefault="00BE7C89">
            <w:pPr>
              <w:pStyle w:val="BodyText"/>
              <w:spacing w:before="100" w:after="100"/>
            </w:pPr>
            <w:r>
              <w:t>1800, 13 and 1300 numbers</w:t>
            </w:r>
          </w:p>
        </w:tc>
        <w:tc>
          <w:tcPr>
            <w:tcW w:w="2103" w:type="pct"/>
          </w:tcPr>
          <w:p w14:paraId="6391038A" w14:textId="77777777" w:rsidR="000D07EA" w:rsidRDefault="00BE7C89">
            <w:pPr>
              <w:pStyle w:val="BodyText"/>
              <w:spacing w:before="100" w:after="100"/>
            </w:pPr>
            <w:r>
              <w:t>No</w:t>
            </w:r>
          </w:p>
        </w:tc>
      </w:tr>
      <w:tr w:rsidR="000D07EA" w14:paraId="110DB1F3" w14:textId="77777777">
        <w:trPr>
          <w:trHeight w:val="247"/>
        </w:trPr>
        <w:tc>
          <w:tcPr>
            <w:tcW w:w="2897" w:type="pct"/>
          </w:tcPr>
          <w:p w14:paraId="6B73917F" w14:textId="77777777" w:rsidR="000D07EA" w:rsidRDefault="00BE7C89">
            <w:pPr>
              <w:pStyle w:val="BodyText"/>
              <w:spacing w:before="100" w:after="100"/>
            </w:pPr>
            <w:r>
              <w:t>124YES(937)</w:t>
            </w:r>
          </w:p>
        </w:tc>
        <w:tc>
          <w:tcPr>
            <w:tcW w:w="2103" w:type="pct"/>
          </w:tcPr>
          <w:p w14:paraId="4BA1963E" w14:textId="77777777" w:rsidR="000D07EA" w:rsidRDefault="00BE7C89">
            <w:pPr>
              <w:pStyle w:val="BodyText"/>
              <w:spacing w:before="100" w:after="100"/>
            </w:pPr>
            <w:r>
              <w:t>No</w:t>
            </w:r>
          </w:p>
        </w:tc>
      </w:tr>
      <w:tr w:rsidR="000D07EA" w14:paraId="2EF23998" w14:textId="77777777">
        <w:trPr>
          <w:trHeight w:val="262"/>
        </w:trPr>
        <w:tc>
          <w:tcPr>
            <w:tcW w:w="2897" w:type="pct"/>
          </w:tcPr>
          <w:p w14:paraId="5570808E" w14:textId="77777777" w:rsidR="000D07EA" w:rsidRDefault="00BE7C89">
            <w:pPr>
              <w:pStyle w:val="BodyText"/>
              <w:spacing w:before="100" w:after="100"/>
            </w:pPr>
            <w:r>
              <w:t>Calls to MobileSat</w:t>
            </w:r>
          </w:p>
        </w:tc>
        <w:tc>
          <w:tcPr>
            <w:tcW w:w="2103" w:type="pct"/>
          </w:tcPr>
          <w:p w14:paraId="5800BA26" w14:textId="77777777" w:rsidR="000D07EA" w:rsidRDefault="00BE7C89">
            <w:pPr>
              <w:pStyle w:val="BodyText"/>
              <w:spacing w:before="100" w:after="100"/>
            </w:pPr>
            <w:r>
              <w:t>No</w:t>
            </w:r>
          </w:p>
        </w:tc>
      </w:tr>
      <w:tr w:rsidR="000D07EA" w14:paraId="61409374" w14:textId="77777777">
        <w:trPr>
          <w:trHeight w:val="262"/>
        </w:trPr>
        <w:tc>
          <w:tcPr>
            <w:tcW w:w="2897" w:type="pct"/>
          </w:tcPr>
          <w:p w14:paraId="1D984461" w14:textId="77777777" w:rsidR="000D07EA" w:rsidRDefault="00BE7C89">
            <w:pPr>
              <w:pStyle w:val="BodyText"/>
              <w:spacing w:before="100" w:after="100"/>
            </w:pPr>
            <w:r>
              <w:t>VOIP services</w:t>
            </w:r>
          </w:p>
        </w:tc>
        <w:tc>
          <w:tcPr>
            <w:tcW w:w="2103" w:type="pct"/>
          </w:tcPr>
          <w:p w14:paraId="7583EDA4" w14:textId="77777777" w:rsidR="000D07EA" w:rsidRDefault="00BE7C89">
            <w:pPr>
              <w:pStyle w:val="BodyText"/>
              <w:spacing w:before="100" w:after="100"/>
            </w:pPr>
            <w:r>
              <w:t>No</w:t>
            </w:r>
          </w:p>
        </w:tc>
      </w:tr>
      <w:tr w:rsidR="000D07EA" w14:paraId="1FC960DD" w14:textId="77777777">
        <w:trPr>
          <w:trHeight w:val="262"/>
        </w:trPr>
        <w:tc>
          <w:tcPr>
            <w:tcW w:w="2897" w:type="pct"/>
          </w:tcPr>
          <w:p w14:paraId="0565B21E" w14:textId="77777777" w:rsidR="000D07EA" w:rsidRDefault="00BE7C89">
            <w:pPr>
              <w:pStyle w:val="BodyText"/>
              <w:spacing w:before="100" w:after="100"/>
            </w:pPr>
            <w:r>
              <w:t>Inmarsat calls</w:t>
            </w:r>
          </w:p>
        </w:tc>
        <w:tc>
          <w:tcPr>
            <w:tcW w:w="2103" w:type="pct"/>
          </w:tcPr>
          <w:p w14:paraId="296EEEBC" w14:textId="77777777" w:rsidR="000D07EA" w:rsidRDefault="00BE7C89">
            <w:pPr>
              <w:pStyle w:val="BodyText"/>
              <w:spacing w:before="100" w:after="100"/>
            </w:pPr>
            <w:r>
              <w:t>No</w:t>
            </w:r>
          </w:p>
        </w:tc>
      </w:tr>
    </w:tbl>
    <w:p w14:paraId="0B95CB77" w14:textId="77777777" w:rsidR="000D07EA" w:rsidRDefault="000D07EA">
      <w:pPr>
        <w:pStyle w:val="BodyText"/>
      </w:pPr>
    </w:p>
    <w:p w14:paraId="0CAB4B28" w14:textId="77777777" w:rsidR="000D07EA" w:rsidRDefault="00BE7C89">
      <w:pPr>
        <w:pStyle w:val="BodyText"/>
        <w:ind w:left="720"/>
        <w:rPr>
          <w:b/>
        </w:rPr>
      </w:pPr>
      <w:r>
        <w:rPr>
          <w:b/>
        </w:rPr>
        <w:t>Table 2A – Charges for the Business Timeless Plan</w:t>
      </w:r>
    </w:p>
    <w:tbl>
      <w:tblPr>
        <w:tblW w:w="4632" w:type="pct"/>
        <w:tblInd w:w="720" w:type="dxa"/>
        <w:tblLook w:val="0000" w:firstRow="0" w:lastRow="0" w:firstColumn="0" w:lastColumn="0" w:noHBand="0" w:noVBand="0"/>
      </w:tblPr>
      <w:tblGrid>
        <w:gridCol w:w="3276"/>
        <w:gridCol w:w="2054"/>
        <w:gridCol w:w="2054"/>
        <w:gridCol w:w="2054"/>
      </w:tblGrid>
      <w:tr w:rsidR="000D07EA" w14:paraId="14FC4945" w14:textId="77777777">
        <w:trPr>
          <w:trHeight w:val="630"/>
          <w:tblHeader/>
        </w:trPr>
        <w:tc>
          <w:tcPr>
            <w:tcW w:w="1735" w:type="pct"/>
            <w:tcBorders>
              <w:top w:val="single" w:sz="4" w:space="0" w:color="auto"/>
              <w:left w:val="single" w:sz="4" w:space="0" w:color="auto"/>
              <w:bottom w:val="single" w:sz="4" w:space="0" w:color="auto"/>
              <w:right w:val="single" w:sz="4" w:space="0" w:color="auto"/>
            </w:tcBorders>
          </w:tcPr>
          <w:p w14:paraId="226EF67B" w14:textId="77777777" w:rsidR="000D07EA" w:rsidRDefault="00BE7C89">
            <w:pPr>
              <w:pStyle w:val="BodyText"/>
              <w:spacing w:before="100" w:after="100"/>
              <w:rPr>
                <w:b/>
                <w:bCs/>
              </w:rPr>
            </w:pPr>
            <w:r>
              <w:rPr>
                <w:b/>
                <w:bCs/>
              </w:rPr>
              <w:t> </w:t>
            </w:r>
          </w:p>
        </w:tc>
        <w:tc>
          <w:tcPr>
            <w:tcW w:w="1088" w:type="pct"/>
            <w:tcBorders>
              <w:top w:val="single" w:sz="4" w:space="0" w:color="auto"/>
              <w:left w:val="nil"/>
              <w:bottom w:val="single" w:sz="4" w:space="0" w:color="auto"/>
              <w:right w:val="single" w:sz="4" w:space="0" w:color="auto"/>
            </w:tcBorders>
          </w:tcPr>
          <w:p w14:paraId="15F281F6" w14:textId="77777777" w:rsidR="000D07EA" w:rsidRDefault="00BE7C89">
            <w:pPr>
              <w:pStyle w:val="BodyText"/>
              <w:spacing w:before="100" w:after="100"/>
              <w:rPr>
                <w:b/>
                <w:bCs/>
              </w:rPr>
            </w:pPr>
            <w:r>
              <w:rPr>
                <w:b/>
                <w:bCs/>
              </w:rPr>
              <w:t>$89 Business Timeless Plan MRO (4G Sept 2012)</w:t>
            </w:r>
          </w:p>
        </w:tc>
        <w:tc>
          <w:tcPr>
            <w:tcW w:w="1088" w:type="pct"/>
            <w:tcBorders>
              <w:top w:val="single" w:sz="4" w:space="0" w:color="auto"/>
              <w:left w:val="nil"/>
              <w:bottom w:val="single" w:sz="4" w:space="0" w:color="auto"/>
              <w:right w:val="single" w:sz="4" w:space="0" w:color="auto"/>
            </w:tcBorders>
          </w:tcPr>
          <w:p w14:paraId="13707377" w14:textId="77777777" w:rsidR="000D07EA" w:rsidRDefault="00BE7C89">
            <w:pPr>
              <w:pStyle w:val="BodyText"/>
              <w:spacing w:before="100" w:after="100"/>
              <w:rPr>
                <w:b/>
                <w:bCs/>
              </w:rPr>
            </w:pPr>
            <w:r>
              <w:rPr>
                <w:b/>
                <w:bCs/>
              </w:rPr>
              <w:t>$99 Business Timeless Plan MRO (4G Sept 2012)</w:t>
            </w:r>
          </w:p>
        </w:tc>
        <w:tc>
          <w:tcPr>
            <w:tcW w:w="1088" w:type="pct"/>
            <w:tcBorders>
              <w:top w:val="single" w:sz="4" w:space="0" w:color="auto"/>
              <w:left w:val="single" w:sz="4" w:space="0" w:color="auto"/>
              <w:bottom w:val="single" w:sz="4" w:space="0" w:color="auto"/>
              <w:right w:val="single" w:sz="4" w:space="0" w:color="auto"/>
            </w:tcBorders>
          </w:tcPr>
          <w:p w14:paraId="5C0A5F71" w14:textId="77777777" w:rsidR="000D07EA" w:rsidRDefault="00BE7C89">
            <w:pPr>
              <w:pStyle w:val="BodyText"/>
              <w:spacing w:before="100" w:after="100"/>
              <w:rPr>
                <w:b/>
                <w:bCs/>
              </w:rPr>
            </w:pPr>
            <w:r>
              <w:rPr>
                <w:b/>
                <w:bCs/>
              </w:rPr>
              <w:t>$129 Business Timeless Plan MRO (4G Sept 2012)</w:t>
            </w:r>
          </w:p>
        </w:tc>
      </w:tr>
      <w:tr w:rsidR="000D07EA" w14:paraId="25A6815C" w14:textId="77777777">
        <w:trPr>
          <w:trHeight w:val="315"/>
        </w:trPr>
        <w:tc>
          <w:tcPr>
            <w:tcW w:w="1735" w:type="pct"/>
            <w:tcBorders>
              <w:top w:val="nil"/>
              <w:left w:val="single" w:sz="4" w:space="0" w:color="auto"/>
              <w:bottom w:val="single" w:sz="4" w:space="0" w:color="auto"/>
              <w:right w:val="single" w:sz="4" w:space="0" w:color="auto"/>
            </w:tcBorders>
          </w:tcPr>
          <w:p w14:paraId="2D93A007" w14:textId="77777777" w:rsidR="000D07EA" w:rsidRDefault="00BE7C89">
            <w:pPr>
              <w:pStyle w:val="BodyText"/>
              <w:spacing w:before="100" w:after="100"/>
              <w:rPr>
                <w:b/>
                <w:bCs/>
              </w:rPr>
            </w:pPr>
            <w:r>
              <w:rPr>
                <w:b/>
                <w:bCs/>
              </w:rPr>
              <w:t>Minimum Monthly charge</w:t>
            </w:r>
          </w:p>
        </w:tc>
        <w:tc>
          <w:tcPr>
            <w:tcW w:w="1088" w:type="pct"/>
            <w:tcBorders>
              <w:top w:val="nil"/>
              <w:left w:val="nil"/>
              <w:bottom w:val="single" w:sz="4" w:space="0" w:color="auto"/>
              <w:right w:val="single" w:sz="4" w:space="0" w:color="auto"/>
            </w:tcBorders>
          </w:tcPr>
          <w:p w14:paraId="136EFCB8" w14:textId="77777777" w:rsidR="000D07EA" w:rsidRDefault="00BE7C89">
            <w:pPr>
              <w:pStyle w:val="BodyText"/>
              <w:spacing w:before="100" w:after="100"/>
            </w:pPr>
            <w:r>
              <w:t>$89</w:t>
            </w:r>
          </w:p>
        </w:tc>
        <w:tc>
          <w:tcPr>
            <w:tcW w:w="1088" w:type="pct"/>
            <w:tcBorders>
              <w:top w:val="single" w:sz="4" w:space="0" w:color="auto"/>
              <w:left w:val="nil"/>
              <w:bottom w:val="single" w:sz="4" w:space="0" w:color="auto"/>
              <w:right w:val="single" w:sz="4" w:space="0" w:color="auto"/>
            </w:tcBorders>
          </w:tcPr>
          <w:p w14:paraId="23E1DFF5" w14:textId="77777777" w:rsidR="000D07EA" w:rsidRDefault="00BE7C89">
            <w:pPr>
              <w:pStyle w:val="BodyText"/>
              <w:spacing w:before="100" w:after="100"/>
            </w:pPr>
            <w:r>
              <w:t>$99</w:t>
            </w:r>
          </w:p>
        </w:tc>
        <w:tc>
          <w:tcPr>
            <w:tcW w:w="1088" w:type="pct"/>
            <w:tcBorders>
              <w:top w:val="nil"/>
              <w:left w:val="single" w:sz="4" w:space="0" w:color="auto"/>
              <w:bottom w:val="single" w:sz="4" w:space="0" w:color="auto"/>
              <w:right w:val="single" w:sz="4" w:space="0" w:color="auto"/>
            </w:tcBorders>
          </w:tcPr>
          <w:p w14:paraId="2B598DED" w14:textId="77777777" w:rsidR="000D07EA" w:rsidRDefault="00BE7C89">
            <w:pPr>
              <w:pStyle w:val="BodyText"/>
              <w:spacing w:before="100" w:after="100"/>
            </w:pPr>
            <w:r>
              <w:t>$129</w:t>
            </w:r>
          </w:p>
        </w:tc>
      </w:tr>
      <w:tr w:rsidR="000D07EA" w14:paraId="11C91608" w14:textId="77777777">
        <w:trPr>
          <w:trHeight w:val="630"/>
        </w:trPr>
        <w:tc>
          <w:tcPr>
            <w:tcW w:w="1735" w:type="pct"/>
            <w:tcBorders>
              <w:top w:val="nil"/>
              <w:left w:val="single" w:sz="4" w:space="0" w:color="auto"/>
              <w:bottom w:val="single" w:sz="4" w:space="0" w:color="auto"/>
              <w:right w:val="single" w:sz="4" w:space="0" w:color="auto"/>
            </w:tcBorders>
          </w:tcPr>
          <w:p w14:paraId="7FBD6C1A" w14:textId="77777777" w:rsidR="000D07EA" w:rsidRDefault="00BE7C89">
            <w:pPr>
              <w:pStyle w:val="BodyText"/>
              <w:spacing w:before="100" w:after="100"/>
              <w:rPr>
                <w:b/>
                <w:bCs/>
              </w:rPr>
            </w:pPr>
            <w:r>
              <w:rPr>
                <w:b/>
                <w:bCs/>
              </w:rPr>
              <w:t>Standard local &amp; national calls to Australian fixed lines</w:t>
            </w:r>
          </w:p>
        </w:tc>
        <w:tc>
          <w:tcPr>
            <w:tcW w:w="1088" w:type="pct"/>
            <w:tcBorders>
              <w:top w:val="nil"/>
              <w:left w:val="nil"/>
              <w:bottom w:val="single" w:sz="4" w:space="0" w:color="auto"/>
              <w:right w:val="single" w:sz="4" w:space="0" w:color="auto"/>
            </w:tcBorders>
          </w:tcPr>
          <w:p w14:paraId="20E91ECD" w14:textId="77777777" w:rsidR="000D07EA" w:rsidRDefault="00BE7C89">
            <w:pPr>
              <w:pStyle w:val="BodyText"/>
              <w:spacing w:before="100" w:after="100"/>
            </w:pPr>
            <w:r>
              <w:t>Unlimited</w:t>
            </w:r>
          </w:p>
        </w:tc>
        <w:tc>
          <w:tcPr>
            <w:tcW w:w="1088" w:type="pct"/>
            <w:tcBorders>
              <w:top w:val="single" w:sz="4" w:space="0" w:color="auto"/>
              <w:left w:val="nil"/>
              <w:bottom w:val="single" w:sz="4" w:space="0" w:color="auto"/>
              <w:right w:val="single" w:sz="4" w:space="0" w:color="auto"/>
            </w:tcBorders>
          </w:tcPr>
          <w:p w14:paraId="2A4F73F8" w14:textId="77777777" w:rsidR="000D07EA" w:rsidRDefault="00BE7C89">
            <w:pPr>
              <w:pStyle w:val="BodyText"/>
              <w:spacing w:before="100" w:after="100"/>
            </w:pPr>
            <w:r>
              <w:t>Unlimited</w:t>
            </w:r>
          </w:p>
        </w:tc>
        <w:tc>
          <w:tcPr>
            <w:tcW w:w="1088" w:type="pct"/>
            <w:tcBorders>
              <w:top w:val="nil"/>
              <w:left w:val="single" w:sz="4" w:space="0" w:color="auto"/>
              <w:bottom w:val="single" w:sz="4" w:space="0" w:color="auto"/>
              <w:right w:val="single" w:sz="4" w:space="0" w:color="auto"/>
            </w:tcBorders>
          </w:tcPr>
          <w:p w14:paraId="4520AE3C" w14:textId="77777777" w:rsidR="000D07EA" w:rsidRDefault="00BE7C89">
            <w:pPr>
              <w:pStyle w:val="BodyText"/>
              <w:spacing w:before="100" w:after="100"/>
            </w:pPr>
            <w:r>
              <w:t>Unlimited</w:t>
            </w:r>
          </w:p>
        </w:tc>
      </w:tr>
      <w:tr w:rsidR="000D07EA" w14:paraId="4F088E6E" w14:textId="77777777">
        <w:trPr>
          <w:trHeight w:val="630"/>
        </w:trPr>
        <w:tc>
          <w:tcPr>
            <w:tcW w:w="1735" w:type="pct"/>
            <w:tcBorders>
              <w:top w:val="nil"/>
              <w:left w:val="single" w:sz="4" w:space="0" w:color="auto"/>
              <w:bottom w:val="single" w:sz="4" w:space="0" w:color="auto"/>
              <w:right w:val="single" w:sz="4" w:space="0" w:color="auto"/>
            </w:tcBorders>
          </w:tcPr>
          <w:p w14:paraId="6A5EE966" w14:textId="77777777" w:rsidR="000D07EA" w:rsidRDefault="00BE7C89">
            <w:pPr>
              <w:pStyle w:val="BodyText"/>
              <w:spacing w:before="100" w:after="100"/>
              <w:rPr>
                <w:b/>
                <w:bCs/>
              </w:rPr>
            </w:pPr>
            <w:r>
              <w:rPr>
                <w:b/>
                <w:bCs/>
              </w:rPr>
              <w:t>Standard national voice call to any Australian mobile.</w:t>
            </w:r>
          </w:p>
        </w:tc>
        <w:tc>
          <w:tcPr>
            <w:tcW w:w="1088" w:type="pct"/>
            <w:tcBorders>
              <w:top w:val="nil"/>
              <w:left w:val="nil"/>
              <w:bottom w:val="single" w:sz="4" w:space="0" w:color="auto"/>
              <w:right w:val="single" w:sz="4" w:space="0" w:color="auto"/>
            </w:tcBorders>
          </w:tcPr>
          <w:p w14:paraId="562CEC9C" w14:textId="77777777" w:rsidR="000D07EA" w:rsidRDefault="00BE7C89">
            <w:pPr>
              <w:pStyle w:val="BodyText"/>
              <w:spacing w:before="100" w:after="100"/>
            </w:pPr>
            <w:r>
              <w:t>Unlimited</w:t>
            </w:r>
          </w:p>
        </w:tc>
        <w:tc>
          <w:tcPr>
            <w:tcW w:w="1088" w:type="pct"/>
            <w:tcBorders>
              <w:top w:val="single" w:sz="4" w:space="0" w:color="auto"/>
              <w:left w:val="nil"/>
              <w:bottom w:val="single" w:sz="4" w:space="0" w:color="auto"/>
              <w:right w:val="single" w:sz="4" w:space="0" w:color="auto"/>
            </w:tcBorders>
          </w:tcPr>
          <w:p w14:paraId="147DEE7F" w14:textId="77777777" w:rsidR="000D07EA" w:rsidRDefault="00BE7C89">
            <w:pPr>
              <w:pStyle w:val="BodyText"/>
              <w:spacing w:before="100" w:after="100"/>
            </w:pPr>
            <w:r>
              <w:t>Unlimited</w:t>
            </w:r>
          </w:p>
        </w:tc>
        <w:tc>
          <w:tcPr>
            <w:tcW w:w="1088" w:type="pct"/>
            <w:tcBorders>
              <w:top w:val="nil"/>
              <w:left w:val="single" w:sz="4" w:space="0" w:color="auto"/>
              <w:bottom w:val="single" w:sz="4" w:space="0" w:color="auto"/>
              <w:right w:val="single" w:sz="4" w:space="0" w:color="auto"/>
            </w:tcBorders>
          </w:tcPr>
          <w:p w14:paraId="3E333F1A" w14:textId="77777777" w:rsidR="000D07EA" w:rsidRDefault="00BE7C89">
            <w:pPr>
              <w:pStyle w:val="BodyText"/>
              <w:spacing w:before="100" w:after="100"/>
            </w:pPr>
            <w:r>
              <w:t>Unlimited</w:t>
            </w:r>
          </w:p>
        </w:tc>
      </w:tr>
      <w:tr w:rsidR="000D07EA" w14:paraId="444A8C61" w14:textId="77777777">
        <w:trPr>
          <w:trHeight w:val="630"/>
        </w:trPr>
        <w:tc>
          <w:tcPr>
            <w:tcW w:w="1735" w:type="pct"/>
            <w:tcBorders>
              <w:top w:val="nil"/>
              <w:left w:val="single" w:sz="4" w:space="0" w:color="auto"/>
              <w:bottom w:val="single" w:sz="4" w:space="0" w:color="auto"/>
              <w:right w:val="single" w:sz="4" w:space="0" w:color="auto"/>
            </w:tcBorders>
          </w:tcPr>
          <w:p w14:paraId="164CDE77" w14:textId="77777777" w:rsidR="000D07EA" w:rsidRDefault="00BE7C89">
            <w:pPr>
              <w:pStyle w:val="BodyText"/>
              <w:spacing w:before="100" w:after="100"/>
              <w:rPr>
                <w:b/>
                <w:bCs/>
              </w:rPr>
            </w:pPr>
            <w:r>
              <w:rPr>
                <w:b/>
                <w:bCs/>
              </w:rPr>
              <w:t>Standard national SMS to any Australian mobile.</w:t>
            </w:r>
          </w:p>
        </w:tc>
        <w:tc>
          <w:tcPr>
            <w:tcW w:w="1088" w:type="pct"/>
            <w:tcBorders>
              <w:top w:val="nil"/>
              <w:left w:val="nil"/>
              <w:bottom w:val="single" w:sz="4" w:space="0" w:color="auto"/>
              <w:right w:val="single" w:sz="4" w:space="0" w:color="auto"/>
            </w:tcBorders>
          </w:tcPr>
          <w:p w14:paraId="1DFF402B" w14:textId="77777777" w:rsidR="000D07EA" w:rsidRDefault="00BE7C89">
            <w:pPr>
              <w:pStyle w:val="BodyText"/>
              <w:spacing w:before="100" w:after="100"/>
            </w:pPr>
            <w:r>
              <w:t>Unlimited</w:t>
            </w:r>
          </w:p>
        </w:tc>
        <w:tc>
          <w:tcPr>
            <w:tcW w:w="1088" w:type="pct"/>
            <w:tcBorders>
              <w:top w:val="single" w:sz="4" w:space="0" w:color="auto"/>
              <w:left w:val="nil"/>
              <w:bottom w:val="single" w:sz="4" w:space="0" w:color="auto"/>
              <w:right w:val="single" w:sz="4" w:space="0" w:color="auto"/>
            </w:tcBorders>
          </w:tcPr>
          <w:p w14:paraId="644D694A" w14:textId="77777777" w:rsidR="000D07EA" w:rsidRDefault="00BE7C89">
            <w:pPr>
              <w:pStyle w:val="BodyText"/>
              <w:spacing w:before="100" w:after="100"/>
            </w:pPr>
            <w:r>
              <w:t>Unlimited</w:t>
            </w:r>
          </w:p>
        </w:tc>
        <w:tc>
          <w:tcPr>
            <w:tcW w:w="1088" w:type="pct"/>
            <w:tcBorders>
              <w:top w:val="nil"/>
              <w:left w:val="single" w:sz="4" w:space="0" w:color="auto"/>
              <w:bottom w:val="single" w:sz="4" w:space="0" w:color="auto"/>
              <w:right w:val="single" w:sz="4" w:space="0" w:color="auto"/>
            </w:tcBorders>
          </w:tcPr>
          <w:p w14:paraId="08CD3A84" w14:textId="77777777" w:rsidR="000D07EA" w:rsidRDefault="00BE7C89">
            <w:pPr>
              <w:pStyle w:val="BodyText"/>
              <w:spacing w:before="100" w:after="100"/>
            </w:pPr>
            <w:r>
              <w:t>Unlimited</w:t>
            </w:r>
          </w:p>
        </w:tc>
      </w:tr>
      <w:tr w:rsidR="000D07EA" w14:paraId="5DB06D30" w14:textId="77777777">
        <w:trPr>
          <w:trHeight w:val="945"/>
        </w:trPr>
        <w:tc>
          <w:tcPr>
            <w:tcW w:w="1735" w:type="pct"/>
            <w:tcBorders>
              <w:top w:val="nil"/>
              <w:left w:val="single" w:sz="4" w:space="0" w:color="auto"/>
              <w:bottom w:val="single" w:sz="4" w:space="0" w:color="auto"/>
              <w:right w:val="single" w:sz="4" w:space="0" w:color="auto"/>
            </w:tcBorders>
          </w:tcPr>
          <w:p w14:paraId="7AF84871" w14:textId="77777777" w:rsidR="000D07EA" w:rsidRDefault="00BE7C89">
            <w:pPr>
              <w:pStyle w:val="BodyText"/>
              <w:spacing w:before="100" w:after="100"/>
              <w:rPr>
                <w:b/>
                <w:bCs/>
              </w:rPr>
            </w:pPr>
            <w:r>
              <w:rPr>
                <w:b/>
                <w:bCs/>
              </w:rPr>
              <w:t>VoiceMail</w:t>
            </w:r>
          </w:p>
        </w:tc>
        <w:tc>
          <w:tcPr>
            <w:tcW w:w="1088" w:type="pct"/>
            <w:tcBorders>
              <w:top w:val="nil"/>
              <w:left w:val="nil"/>
              <w:bottom w:val="single" w:sz="4" w:space="0" w:color="auto"/>
              <w:right w:val="single" w:sz="4" w:space="0" w:color="auto"/>
            </w:tcBorders>
          </w:tcPr>
          <w:p w14:paraId="220003C6" w14:textId="77777777" w:rsidR="000D07EA" w:rsidRDefault="00BE7C89">
            <w:pPr>
              <w:pStyle w:val="BodyText"/>
              <w:spacing w:before="100" w:after="100"/>
            </w:pPr>
            <w:r>
              <w:t>Unlimited</w:t>
            </w:r>
          </w:p>
        </w:tc>
        <w:tc>
          <w:tcPr>
            <w:tcW w:w="1088" w:type="pct"/>
            <w:tcBorders>
              <w:top w:val="single" w:sz="4" w:space="0" w:color="auto"/>
              <w:left w:val="nil"/>
              <w:bottom w:val="single" w:sz="4" w:space="0" w:color="auto"/>
              <w:right w:val="single" w:sz="4" w:space="0" w:color="auto"/>
            </w:tcBorders>
          </w:tcPr>
          <w:p w14:paraId="759D8BFB" w14:textId="77777777" w:rsidR="000D07EA" w:rsidRDefault="00BE7C89">
            <w:pPr>
              <w:pStyle w:val="BodyText"/>
              <w:spacing w:before="100" w:after="100"/>
            </w:pPr>
            <w:r>
              <w:t>Unlimited</w:t>
            </w:r>
          </w:p>
        </w:tc>
        <w:tc>
          <w:tcPr>
            <w:tcW w:w="1088" w:type="pct"/>
            <w:tcBorders>
              <w:top w:val="nil"/>
              <w:left w:val="single" w:sz="4" w:space="0" w:color="auto"/>
              <w:bottom w:val="single" w:sz="4" w:space="0" w:color="auto"/>
              <w:right w:val="single" w:sz="4" w:space="0" w:color="auto"/>
            </w:tcBorders>
          </w:tcPr>
          <w:p w14:paraId="38102035" w14:textId="77777777" w:rsidR="000D07EA" w:rsidRDefault="00BE7C89">
            <w:pPr>
              <w:pStyle w:val="BodyText"/>
              <w:spacing w:before="100" w:after="100"/>
            </w:pPr>
            <w:r>
              <w:t>Unlimited</w:t>
            </w:r>
          </w:p>
        </w:tc>
      </w:tr>
      <w:tr w:rsidR="000D07EA" w14:paraId="75D40B9A" w14:textId="77777777">
        <w:trPr>
          <w:trHeight w:val="630"/>
        </w:trPr>
        <w:tc>
          <w:tcPr>
            <w:tcW w:w="1735" w:type="pct"/>
            <w:tcBorders>
              <w:top w:val="nil"/>
              <w:left w:val="single" w:sz="4" w:space="0" w:color="auto"/>
              <w:bottom w:val="single" w:sz="4" w:space="0" w:color="auto"/>
              <w:right w:val="single" w:sz="4" w:space="0" w:color="auto"/>
            </w:tcBorders>
          </w:tcPr>
          <w:p w14:paraId="5459C5C5" w14:textId="77777777" w:rsidR="000D07EA" w:rsidRDefault="00BE7C89">
            <w:pPr>
              <w:pStyle w:val="BodyText"/>
              <w:spacing w:before="100" w:after="100"/>
              <w:rPr>
                <w:b/>
                <w:bCs/>
              </w:rPr>
            </w:pPr>
            <w:r>
              <w:rPr>
                <w:b/>
                <w:bCs/>
              </w:rPr>
              <w:t>Calls to 13/1300/1800 Numbers</w:t>
            </w:r>
          </w:p>
        </w:tc>
        <w:tc>
          <w:tcPr>
            <w:tcW w:w="1088" w:type="pct"/>
            <w:tcBorders>
              <w:top w:val="nil"/>
              <w:left w:val="nil"/>
              <w:bottom w:val="single" w:sz="4" w:space="0" w:color="auto"/>
              <w:right w:val="single" w:sz="4" w:space="0" w:color="auto"/>
            </w:tcBorders>
          </w:tcPr>
          <w:p w14:paraId="1304EFA9" w14:textId="77777777" w:rsidR="000D07EA" w:rsidRDefault="00BE7C89">
            <w:pPr>
              <w:pStyle w:val="BodyText"/>
              <w:spacing w:before="100" w:after="100"/>
            </w:pPr>
            <w:r>
              <w:t>$0.30 per min with $0.35 flagfall</w:t>
            </w:r>
          </w:p>
        </w:tc>
        <w:tc>
          <w:tcPr>
            <w:tcW w:w="1088" w:type="pct"/>
            <w:tcBorders>
              <w:top w:val="single" w:sz="4" w:space="0" w:color="auto"/>
              <w:left w:val="nil"/>
              <w:bottom w:val="single" w:sz="4" w:space="0" w:color="auto"/>
              <w:right w:val="single" w:sz="4" w:space="0" w:color="auto"/>
            </w:tcBorders>
          </w:tcPr>
          <w:p w14:paraId="3F6AD8BF" w14:textId="77777777" w:rsidR="000D07EA" w:rsidRDefault="00BE7C89">
            <w:pPr>
              <w:pStyle w:val="BodyText"/>
              <w:spacing w:before="100" w:after="100"/>
            </w:pPr>
            <w:r>
              <w:t>Unlimited</w:t>
            </w:r>
          </w:p>
        </w:tc>
        <w:tc>
          <w:tcPr>
            <w:tcW w:w="1088" w:type="pct"/>
            <w:tcBorders>
              <w:top w:val="nil"/>
              <w:left w:val="single" w:sz="4" w:space="0" w:color="auto"/>
              <w:bottom w:val="single" w:sz="4" w:space="0" w:color="auto"/>
              <w:right w:val="single" w:sz="4" w:space="0" w:color="auto"/>
            </w:tcBorders>
          </w:tcPr>
          <w:p w14:paraId="0109F3A1" w14:textId="77777777" w:rsidR="000D07EA" w:rsidRDefault="00BE7C89">
            <w:pPr>
              <w:pStyle w:val="BodyText"/>
              <w:spacing w:before="100" w:after="100"/>
            </w:pPr>
            <w:r>
              <w:t>Unlimited</w:t>
            </w:r>
          </w:p>
        </w:tc>
      </w:tr>
      <w:tr w:rsidR="000D07EA" w14:paraId="46B94B48" w14:textId="77777777">
        <w:trPr>
          <w:cantSplit/>
          <w:trHeight w:val="315"/>
        </w:trPr>
        <w:tc>
          <w:tcPr>
            <w:tcW w:w="1735" w:type="pct"/>
            <w:vMerge w:val="restart"/>
            <w:tcBorders>
              <w:top w:val="nil"/>
              <w:left w:val="single" w:sz="4" w:space="0" w:color="auto"/>
              <w:bottom w:val="single" w:sz="4" w:space="0" w:color="auto"/>
              <w:right w:val="single" w:sz="4" w:space="0" w:color="auto"/>
            </w:tcBorders>
          </w:tcPr>
          <w:p w14:paraId="62CE01EA" w14:textId="77777777" w:rsidR="000D07EA" w:rsidRDefault="00BE7C89">
            <w:pPr>
              <w:pStyle w:val="BodyText"/>
              <w:spacing w:before="100" w:after="100"/>
              <w:rPr>
                <w:b/>
                <w:bCs/>
              </w:rPr>
            </w:pPr>
            <w:r>
              <w:rPr>
                <w:b/>
                <w:bCs/>
              </w:rPr>
              <w:t>Monthly Included Mobile Internet Data and Unlimited BlackBerry POP3 Email and Browsing</w:t>
            </w:r>
          </w:p>
        </w:tc>
        <w:tc>
          <w:tcPr>
            <w:tcW w:w="1088" w:type="pct"/>
            <w:tcBorders>
              <w:top w:val="single" w:sz="4" w:space="0" w:color="auto"/>
              <w:left w:val="nil"/>
              <w:bottom w:val="single" w:sz="4" w:space="0" w:color="auto"/>
              <w:right w:val="single" w:sz="4" w:space="0" w:color="auto"/>
            </w:tcBorders>
          </w:tcPr>
          <w:p w14:paraId="142C53D7" w14:textId="77777777" w:rsidR="000D07EA" w:rsidRDefault="000D07EA">
            <w:pPr>
              <w:pStyle w:val="BodyText"/>
              <w:spacing w:before="100" w:after="100"/>
              <w:rPr>
                <w:b/>
                <w:bCs/>
              </w:rPr>
            </w:pPr>
          </w:p>
        </w:tc>
        <w:tc>
          <w:tcPr>
            <w:tcW w:w="1088" w:type="pct"/>
            <w:tcBorders>
              <w:top w:val="single" w:sz="4" w:space="0" w:color="auto"/>
              <w:left w:val="nil"/>
              <w:bottom w:val="single" w:sz="4" w:space="0" w:color="auto"/>
              <w:right w:val="single" w:sz="4" w:space="0" w:color="auto"/>
            </w:tcBorders>
          </w:tcPr>
          <w:p w14:paraId="03990CD1" w14:textId="77777777" w:rsidR="000D07EA" w:rsidRDefault="000D07EA">
            <w:pPr>
              <w:pStyle w:val="BodyText"/>
              <w:spacing w:before="100" w:after="100"/>
              <w:rPr>
                <w:b/>
                <w:bCs/>
              </w:rPr>
            </w:pPr>
          </w:p>
        </w:tc>
        <w:tc>
          <w:tcPr>
            <w:tcW w:w="1088" w:type="pct"/>
            <w:tcBorders>
              <w:top w:val="single" w:sz="4" w:space="0" w:color="auto"/>
              <w:left w:val="single" w:sz="4" w:space="0" w:color="auto"/>
              <w:bottom w:val="single" w:sz="4" w:space="0" w:color="auto"/>
              <w:right w:val="single" w:sz="4" w:space="0" w:color="auto"/>
            </w:tcBorders>
          </w:tcPr>
          <w:p w14:paraId="218D59C3" w14:textId="77777777" w:rsidR="000D07EA" w:rsidRDefault="000D07EA">
            <w:pPr>
              <w:pStyle w:val="BodyText"/>
              <w:spacing w:before="100" w:after="100"/>
              <w:rPr>
                <w:b/>
                <w:bCs/>
              </w:rPr>
            </w:pPr>
          </w:p>
        </w:tc>
      </w:tr>
      <w:tr w:rsidR="000D07EA" w14:paraId="7603AB8C" w14:textId="77777777">
        <w:trPr>
          <w:cantSplit/>
          <w:trHeight w:val="405"/>
        </w:trPr>
        <w:tc>
          <w:tcPr>
            <w:tcW w:w="1735" w:type="pct"/>
            <w:vMerge/>
            <w:tcBorders>
              <w:top w:val="nil"/>
              <w:left w:val="single" w:sz="4" w:space="0" w:color="auto"/>
              <w:bottom w:val="single" w:sz="4" w:space="0" w:color="auto"/>
              <w:right w:val="single" w:sz="4" w:space="0" w:color="auto"/>
            </w:tcBorders>
            <w:vAlign w:val="center"/>
          </w:tcPr>
          <w:p w14:paraId="4D89E0E6" w14:textId="77777777" w:rsidR="000D07EA" w:rsidRDefault="000D07EA">
            <w:pPr>
              <w:pStyle w:val="BodyText"/>
              <w:spacing w:before="100" w:after="100"/>
              <w:rPr>
                <w:b/>
                <w:bCs/>
              </w:rPr>
            </w:pPr>
          </w:p>
        </w:tc>
        <w:tc>
          <w:tcPr>
            <w:tcW w:w="1088" w:type="pct"/>
            <w:tcBorders>
              <w:top w:val="nil"/>
              <w:left w:val="nil"/>
              <w:bottom w:val="single" w:sz="4" w:space="0" w:color="auto"/>
              <w:right w:val="single" w:sz="4" w:space="0" w:color="auto"/>
            </w:tcBorders>
          </w:tcPr>
          <w:p w14:paraId="3D85A5EE" w14:textId="77777777" w:rsidR="000D07EA" w:rsidRDefault="00BE7C89">
            <w:pPr>
              <w:pStyle w:val="BodyText"/>
              <w:spacing w:before="100" w:after="100"/>
            </w:pPr>
            <w:r>
              <w:t>2GB</w:t>
            </w:r>
          </w:p>
        </w:tc>
        <w:tc>
          <w:tcPr>
            <w:tcW w:w="1088" w:type="pct"/>
            <w:tcBorders>
              <w:top w:val="single" w:sz="4" w:space="0" w:color="auto"/>
              <w:left w:val="nil"/>
              <w:bottom w:val="single" w:sz="4" w:space="0" w:color="auto"/>
              <w:right w:val="single" w:sz="4" w:space="0" w:color="auto"/>
            </w:tcBorders>
          </w:tcPr>
          <w:p w14:paraId="4B3B7526" w14:textId="77777777" w:rsidR="000D07EA" w:rsidRDefault="00BE7C89">
            <w:pPr>
              <w:pStyle w:val="BodyText"/>
              <w:spacing w:before="100" w:after="100"/>
            </w:pPr>
            <w:r>
              <w:t>3GB</w:t>
            </w:r>
          </w:p>
        </w:tc>
        <w:tc>
          <w:tcPr>
            <w:tcW w:w="1088" w:type="pct"/>
            <w:tcBorders>
              <w:top w:val="nil"/>
              <w:left w:val="single" w:sz="4" w:space="0" w:color="auto"/>
              <w:bottom w:val="single" w:sz="4" w:space="0" w:color="auto"/>
              <w:right w:val="single" w:sz="4" w:space="0" w:color="auto"/>
            </w:tcBorders>
          </w:tcPr>
          <w:p w14:paraId="430A1CE7" w14:textId="77777777" w:rsidR="000D07EA" w:rsidRDefault="00BE7C89">
            <w:pPr>
              <w:pStyle w:val="BodyText"/>
              <w:spacing w:before="100" w:after="100"/>
            </w:pPr>
            <w:r>
              <w:t>4GB</w:t>
            </w:r>
          </w:p>
        </w:tc>
      </w:tr>
      <w:tr w:rsidR="000D07EA" w14:paraId="4B029606" w14:textId="77777777">
        <w:trPr>
          <w:cantSplit/>
          <w:trHeight w:val="315"/>
        </w:trPr>
        <w:tc>
          <w:tcPr>
            <w:tcW w:w="1735" w:type="pct"/>
            <w:vMerge/>
            <w:tcBorders>
              <w:top w:val="nil"/>
              <w:left w:val="single" w:sz="4" w:space="0" w:color="auto"/>
              <w:bottom w:val="single" w:sz="4" w:space="0" w:color="auto"/>
              <w:right w:val="single" w:sz="4" w:space="0" w:color="auto"/>
            </w:tcBorders>
            <w:vAlign w:val="center"/>
          </w:tcPr>
          <w:p w14:paraId="05D90DB4" w14:textId="77777777" w:rsidR="000D07EA" w:rsidRDefault="000D07EA">
            <w:pPr>
              <w:pStyle w:val="BodyText"/>
              <w:spacing w:before="100" w:after="100"/>
              <w:rPr>
                <w:b/>
                <w:bCs/>
              </w:rPr>
            </w:pPr>
          </w:p>
        </w:tc>
        <w:tc>
          <w:tcPr>
            <w:tcW w:w="1088" w:type="pct"/>
            <w:tcBorders>
              <w:top w:val="single" w:sz="4" w:space="0" w:color="auto"/>
              <w:left w:val="nil"/>
              <w:bottom w:val="single" w:sz="4" w:space="0" w:color="auto"/>
              <w:right w:val="single" w:sz="4" w:space="0" w:color="auto"/>
            </w:tcBorders>
          </w:tcPr>
          <w:p w14:paraId="72EF5EF8" w14:textId="77777777" w:rsidR="000D07EA" w:rsidRDefault="000D07EA">
            <w:pPr>
              <w:pStyle w:val="BodyText"/>
              <w:spacing w:before="100" w:after="100"/>
              <w:rPr>
                <w:b/>
                <w:bCs/>
              </w:rPr>
            </w:pPr>
          </w:p>
        </w:tc>
        <w:tc>
          <w:tcPr>
            <w:tcW w:w="1088" w:type="pct"/>
            <w:tcBorders>
              <w:top w:val="single" w:sz="4" w:space="0" w:color="auto"/>
              <w:left w:val="nil"/>
              <w:bottom w:val="single" w:sz="4" w:space="0" w:color="auto"/>
              <w:right w:val="single" w:sz="4" w:space="0" w:color="auto"/>
            </w:tcBorders>
          </w:tcPr>
          <w:p w14:paraId="641B5337" w14:textId="77777777" w:rsidR="000D07EA" w:rsidRDefault="000D07EA">
            <w:pPr>
              <w:pStyle w:val="BodyText"/>
              <w:spacing w:before="100" w:after="100"/>
              <w:rPr>
                <w:b/>
                <w:bCs/>
              </w:rPr>
            </w:pPr>
          </w:p>
        </w:tc>
        <w:tc>
          <w:tcPr>
            <w:tcW w:w="1088" w:type="pct"/>
            <w:tcBorders>
              <w:top w:val="single" w:sz="4" w:space="0" w:color="auto"/>
              <w:left w:val="single" w:sz="4" w:space="0" w:color="auto"/>
              <w:bottom w:val="single" w:sz="4" w:space="0" w:color="auto"/>
              <w:right w:val="single" w:sz="4" w:space="0" w:color="auto"/>
            </w:tcBorders>
          </w:tcPr>
          <w:p w14:paraId="07546064" w14:textId="77777777" w:rsidR="000D07EA" w:rsidRDefault="000D07EA">
            <w:pPr>
              <w:pStyle w:val="BodyText"/>
              <w:spacing w:before="100" w:after="100"/>
              <w:rPr>
                <w:b/>
                <w:bCs/>
              </w:rPr>
            </w:pPr>
          </w:p>
        </w:tc>
      </w:tr>
      <w:tr w:rsidR="000D07EA" w14:paraId="35820FF3" w14:textId="77777777">
        <w:trPr>
          <w:cantSplit/>
          <w:trHeight w:val="1260"/>
        </w:trPr>
        <w:tc>
          <w:tcPr>
            <w:tcW w:w="1735" w:type="pct"/>
            <w:vMerge/>
            <w:tcBorders>
              <w:top w:val="nil"/>
              <w:left w:val="single" w:sz="4" w:space="0" w:color="auto"/>
              <w:bottom w:val="single" w:sz="4" w:space="0" w:color="auto"/>
              <w:right w:val="single" w:sz="4" w:space="0" w:color="auto"/>
            </w:tcBorders>
            <w:vAlign w:val="center"/>
          </w:tcPr>
          <w:p w14:paraId="3D4238C6" w14:textId="77777777" w:rsidR="000D07EA" w:rsidRDefault="000D07EA">
            <w:pPr>
              <w:pStyle w:val="BodyText"/>
              <w:spacing w:before="100" w:after="100"/>
              <w:rPr>
                <w:b/>
                <w:bCs/>
              </w:rPr>
            </w:pPr>
          </w:p>
        </w:tc>
        <w:tc>
          <w:tcPr>
            <w:tcW w:w="1088" w:type="pct"/>
            <w:tcBorders>
              <w:top w:val="nil"/>
              <w:left w:val="nil"/>
              <w:bottom w:val="single" w:sz="4" w:space="0" w:color="auto"/>
              <w:right w:val="single" w:sz="4" w:space="0" w:color="auto"/>
            </w:tcBorders>
          </w:tcPr>
          <w:p w14:paraId="3088E08B" w14:textId="77777777" w:rsidR="000D07EA" w:rsidRDefault="00BE7C89">
            <w:pPr>
              <w:pStyle w:val="BodyText"/>
              <w:spacing w:before="100" w:after="100"/>
            </w:pPr>
            <w:r>
              <w:t xml:space="preserve">Unlimited BlackBerry POP3 Email and Browsing </w:t>
            </w:r>
          </w:p>
        </w:tc>
        <w:tc>
          <w:tcPr>
            <w:tcW w:w="1088" w:type="pct"/>
            <w:tcBorders>
              <w:top w:val="single" w:sz="4" w:space="0" w:color="auto"/>
              <w:left w:val="nil"/>
              <w:bottom w:val="single" w:sz="4" w:space="0" w:color="auto"/>
              <w:right w:val="single" w:sz="4" w:space="0" w:color="auto"/>
            </w:tcBorders>
          </w:tcPr>
          <w:p w14:paraId="0E1AFB75" w14:textId="77777777" w:rsidR="000D07EA" w:rsidRDefault="00BE7C89">
            <w:pPr>
              <w:pStyle w:val="BodyText"/>
              <w:spacing w:before="100" w:after="100"/>
            </w:pPr>
            <w:r>
              <w:t xml:space="preserve">Unlimited BlackBerry POP3 Email and Browsing </w:t>
            </w:r>
          </w:p>
        </w:tc>
        <w:tc>
          <w:tcPr>
            <w:tcW w:w="1088" w:type="pct"/>
            <w:tcBorders>
              <w:top w:val="nil"/>
              <w:left w:val="single" w:sz="4" w:space="0" w:color="auto"/>
              <w:bottom w:val="single" w:sz="4" w:space="0" w:color="auto"/>
              <w:right w:val="single" w:sz="4" w:space="0" w:color="auto"/>
            </w:tcBorders>
          </w:tcPr>
          <w:p w14:paraId="3C2D6B81" w14:textId="77777777" w:rsidR="000D07EA" w:rsidRDefault="00BE7C89">
            <w:pPr>
              <w:pStyle w:val="BodyText"/>
              <w:spacing w:before="100" w:after="100"/>
            </w:pPr>
            <w:r>
              <w:t xml:space="preserve">Unlimited BlackBerry POP3 Email and Browsing </w:t>
            </w:r>
          </w:p>
        </w:tc>
      </w:tr>
      <w:tr w:rsidR="000D07EA" w14:paraId="6926ABD6" w14:textId="77777777">
        <w:trPr>
          <w:trHeight w:val="315"/>
        </w:trPr>
        <w:tc>
          <w:tcPr>
            <w:tcW w:w="1735" w:type="pct"/>
            <w:tcBorders>
              <w:top w:val="nil"/>
              <w:left w:val="single" w:sz="4" w:space="0" w:color="auto"/>
              <w:bottom w:val="single" w:sz="4" w:space="0" w:color="auto"/>
              <w:right w:val="single" w:sz="4" w:space="0" w:color="auto"/>
            </w:tcBorders>
          </w:tcPr>
          <w:p w14:paraId="59AAC02E" w14:textId="77777777" w:rsidR="000D07EA" w:rsidRDefault="00BE7C89">
            <w:pPr>
              <w:pStyle w:val="BodyText"/>
              <w:spacing w:before="100" w:after="100"/>
              <w:rPr>
                <w:b/>
                <w:bCs/>
              </w:rPr>
            </w:pPr>
            <w:r>
              <w:rPr>
                <w:b/>
                <w:bCs/>
              </w:rPr>
              <w:t>Included International Value</w:t>
            </w:r>
          </w:p>
        </w:tc>
        <w:tc>
          <w:tcPr>
            <w:tcW w:w="1088" w:type="pct"/>
            <w:tcBorders>
              <w:top w:val="nil"/>
              <w:left w:val="nil"/>
              <w:bottom w:val="single" w:sz="4" w:space="0" w:color="auto"/>
              <w:right w:val="single" w:sz="4" w:space="0" w:color="auto"/>
            </w:tcBorders>
          </w:tcPr>
          <w:p w14:paraId="069B9BED" w14:textId="77777777" w:rsidR="000D07EA" w:rsidRDefault="00BE7C89">
            <w:pPr>
              <w:pStyle w:val="BodyText"/>
              <w:spacing w:before="100" w:after="100"/>
            </w:pPr>
            <w:r>
              <w:t>N/A</w:t>
            </w:r>
          </w:p>
        </w:tc>
        <w:tc>
          <w:tcPr>
            <w:tcW w:w="1088" w:type="pct"/>
            <w:tcBorders>
              <w:top w:val="single" w:sz="4" w:space="0" w:color="auto"/>
              <w:left w:val="nil"/>
              <w:bottom w:val="single" w:sz="4" w:space="0" w:color="auto"/>
              <w:right w:val="single" w:sz="4" w:space="0" w:color="auto"/>
            </w:tcBorders>
          </w:tcPr>
          <w:p w14:paraId="1AB98634" w14:textId="77777777" w:rsidR="000D07EA" w:rsidRDefault="00BE7C89">
            <w:pPr>
              <w:pStyle w:val="BodyText"/>
              <w:spacing w:before="100" w:after="100"/>
            </w:pPr>
            <w:r>
              <w:t>N/A</w:t>
            </w:r>
          </w:p>
        </w:tc>
        <w:tc>
          <w:tcPr>
            <w:tcW w:w="1088" w:type="pct"/>
            <w:tcBorders>
              <w:top w:val="nil"/>
              <w:left w:val="single" w:sz="4" w:space="0" w:color="auto"/>
              <w:bottom w:val="single" w:sz="4" w:space="0" w:color="auto"/>
              <w:right w:val="single" w:sz="4" w:space="0" w:color="auto"/>
            </w:tcBorders>
          </w:tcPr>
          <w:p w14:paraId="5A5E27B8" w14:textId="77777777" w:rsidR="000D07EA" w:rsidRDefault="00BE7C89">
            <w:pPr>
              <w:pStyle w:val="BodyText"/>
              <w:spacing w:before="100" w:after="100"/>
            </w:pPr>
            <w:r>
              <w:t>$100</w:t>
            </w:r>
          </w:p>
        </w:tc>
      </w:tr>
      <w:tr w:rsidR="000D07EA" w14:paraId="28E133DA" w14:textId="77777777">
        <w:trPr>
          <w:trHeight w:val="945"/>
        </w:trPr>
        <w:tc>
          <w:tcPr>
            <w:tcW w:w="1735" w:type="pct"/>
            <w:tcBorders>
              <w:top w:val="nil"/>
              <w:left w:val="single" w:sz="4" w:space="0" w:color="auto"/>
              <w:bottom w:val="single" w:sz="4" w:space="0" w:color="auto"/>
              <w:right w:val="single" w:sz="4" w:space="0" w:color="auto"/>
            </w:tcBorders>
          </w:tcPr>
          <w:p w14:paraId="0B9B2376" w14:textId="77777777" w:rsidR="000D07EA" w:rsidRDefault="00BE7C89">
            <w:pPr>
              <w:pStyle w:val="BodyText"/>
              <w:spacing w:before="100" w:after="100"/>
              <w:rPr>
                <w:b/>
                <w:bCs/>
                <w:i/>
                <w:iCs/>
              </w:rPr>
            </w:pPr>
            <w:r>
              <w:rPr>
                <w:b/>
                <w:bCs/>
                <w:i/>
                <w:iCs/>
              </w:rPr>
              <w:t>Excess Data Charge (charged per kb, includes uploads and downloads)</w:t>
            </w:r>
          </w:p>
        </w:tc>
        <w:tc>
          <w:tcPr>
            <w:tcW w:w="1088" w:type="pct"/>
            <w:tcBorders>
              <w:top w:val="nil"/>
              <w:left w:val="nil"/>
              <w:bottom w:val="single" w:sz="4" w:space="0" w:color="auto"/>
              <w:right w:val="single" w:sz="4" w:space="0" w:color="auto"/>
            </w:tcBorders>
          </w:tcPr>
          <w:p w14:paraId="59AC1CDD" w14:textId="77777777" w:rsidR="000D07EA" w:rsidRDefault="00BE7C89">
            <w:pPr>
              <w:pStyle w:val="BodyText"/>
              <w:spacing w:before="100" w:after="100"/>
            </w:pPr>
            <w:r>
              <w:t>$0.25/MB</w:t>
            </w:r>
          </w:p>
        </w:tc>
        <w:tc>
          <w:tcPr>
            <w:tcW w:w="1088" w:type="pct"/>
            <w:tcBorders>
              <w:top w:val="single" w:sz="4" w:space="0" w:color="auto"/>
              <w:left w:val="nil"/>
              <w:bottom w:val="single" w:sz="4" w:space="0" w:color="auto"/>
              <w:right w:val="single" w:sz="4" w:space="0" w:color="auto"/>
            </w:tcBorders>
          </w:tcPr>
          <w:p w14:paraId="3ADC3090" w14:textId="77777777" w:rsidR="000D07EA" w:rsidRDefault="00BE7C89">
            <w:pPr>
              <w:pStyle w:val="BodyText"/>
              <w:spacing w:before="100" w:after="100"/>
            </w:pPr>
            <w:r>
              <w:t>$0.25/MB</w:t>
            </w:r>
          </w:p>
        </w:tc>
        <w:tc>
          <w:tcPr>
            <w:tcW w:w="1088" w:type="pct"/>
            <w:tcBorders>
              <w:top w:val="nil"/>
              <w:left w:val="single" w:sz="4" w:space="0" w:color="auto"/>
              <w:bottom w:val="single" w:sz="4" w:space="0" w:color="auto"/>
              <w:right w:val="single" w:sz="4" w:space="0" w:color="auto"/>
            </w:tcBorders>
          </w:tcPr>
          <w:p w14:paraId="2C3FDBD5" w14:textId="77777777" w:rsidR="000D07EA" w:rsidRDefault="00BE7C89">
            <w:pPr>
              <w:pStyle w:val="BodyText"/>
              <w:spacing w:before="100" w:after="100"/>
            </w:pPr>
            <w:r>
              <w:t>$0.25/MB</w:t>
            </w:r>
          </w:p>
        </w:tc>
      </w:tr>
      <w:tr w:rsidR="000D07EA" w14:paraId="794F2543" w14:textId="77777777">
        <w:trPr>
          <w:trHeight w:val="630"/>
        </w:trPr>
        <w:tc>
          <w:tcPr>
            <w:tcW w:w="1735" w:type="pct"/>
            <w:tcBorders>
              <w:top w:val="nil"/>
              <w:left w:val="single" w:sz="4" w:space="0" w:color="auto"/>
              <w:bottom w:val="single" w:sz="4" w:space="0" w:color="auto"/>
              <w:right w:val="single" w:sz="4" w:space="0" w:color="auto"/>
            </w:tcBorders>
          </w:tcPr>
          <w:p w14:paraId="628EF1E2" w14:textId="77777777" w:rsidR="000D07EA" w:rsidRDefault="00BE7C89">
            <w:pPr>
              <w:pStyle w:val="BodyText"/>
              <w:spacing w:before="100" w:after="100"/>
              <w:rPr>
                <w:b/>
                <w:bCs/>
              </w:rPr>
            </w:pPr>
            <w:r>
              <w:rPr>
                <w:b/>
                <w:bCs/>
              </w:rPr>
              <w:t>International Video call charges</w:t>
            </w:r>
            <w:r>
              <w:t xml:space="preserve"> (per minute)</w:t>
            </w:r>
          </w:p>
        </w:tc>
        <w:tc>
          <w:tcPr>
            <w:tcW w:w="1088" w:type="pct"/>
            <w:tcBorders>
              <w:top w:val="nil"/>
              <w:left w:val="nil"/>
              <w:bottom w:val="single" w:sz="4" w:space="0" w:color="auto"/>
              <w:right w:val="single" w:sz="4" w:space="0" w:color="auto"/>
            </w:tcBorders>
          </w:tcPr>
          <w:p w14:paraId="20E25414" w14:textId="77777777" w:rsidR="000D07EA" w:rsidRDefault="00BE7C89">
            <w:pPr>
              <w:pStyle w:val="BodyText"/>
              <w:spacing w:before="100" w:after="100"/>
            </w:pPr>
            <w:r>
              <w:t>$1.50 per min plus 35c flagfall</w:t>
            </w:r>
          </w:p>
        </w:tc>
        <w:tc>
          <w:tcPr>
            <w:tcW w:w="1088" w:type="pct"/>
            <w:tcBorders>
              <w:top w:val="single" w:sz="4" w:space="0" w:color="auto"/>
              <w:left w:val="nil"/>
              <w:bottom w:val="single" w:sz="4" w:space="0" w:color="auto"/>
              <w:right w:val="single" w:sz="4" w:space="0" w:color="auto"/>
            </w:tcBorders>
          </w:tcPr>
          <w:p w14:paraId="25C0491A" w14:textId="77777777" w:rsidR="000D07EA" w:rsidRDefault="00BE7C89">
            <w:pPr>
              <w:pStyle w:val="BodyText"/>
              <w:spacing w:before="100" w:after="100"/>
            </w:pPr>
            <w:r>
              <w:t>$1.50 per min plus 35c flagfall</w:t>
            </w:r>
          </w:p>
        </w:tc>
        <w:tc>
          <w:tcPr>
            <w:tcW w:w="1088" w:type="pct"/>
            <w:tcBorders>
              <w:top w:val="nil"/>
              <w:left w:val="single" w:sz="4" w:space="0" w:color="auto"/>
              <w:bottom w:val="single" w:sz="4" w:space="0" w:color="auto"/>
              <w:right w:val="single" w:sz="4" w:space="0" w:color="auto"/>
            </w:tcBorders>
          </w:tcPr>
          <w:p w14:paraId="5CC12902" w14:textId="77777777" w:rsidR="000D07EA" w:rsidRDefault="00BE7C89">
            <w:pPr>
              <w:pStyle w:val="BodyText"/>
              <w:spacing w:before="100" w:after="100"/>
            </w:pPr>
            <w:r>
              <w:t>$1.50 per min plus 35c flagfall</w:t>
            </w:r>
          </w:p>
        </w:tc>
      </w:tr>
      <w:tr w:rsidR="000D07EA" w14:paraId="582C853F" w14:textId="77777777">
        <w:trPr>
          <w:trHeight w:val="315"/>
        </w:trPr>
        <w:tc>
          <w:tcPr>
            <w:tcW w:w="1735" w:type="pct"/>
            <w:tcBorders>
              <w:top w:val="nil"/>
              <w:left w:val="single" w:sz="4" w:space="0" w:color="auto"/>
              <w:bottom w:val="single" w:sz="4" w:space="0" w:color="auto"/>
              <w:right w:val="single" w:sz="4" w:space="0" w:color="auto"/>
            </w:tcBorders>
          </w:tcPr>
          <w:p w14:paraId="6C557EFD" w14:textId="77777777" w:rsidR="000D07EA" w:rsidRDefault="00BE7C89">
            <w:pPr>
              <w:pStyle w:val="BodyText"/>
              <w:spacing w:before="100" w:after="100"/>
              <w:rPr>
                <w:b/>
                <w:bCs/>
              </w:rPr>
            </w:pPr>
            <w:r>
              <w:rPr>
                <w:b/>
                <w:bCs/>
              </w:rPr>
              <w:t>Standard national MMS to any Australian mobile.</w:t>
            </w:r>
          </w:p>
        </w:tc>
        <w:tc>
          <w:tcPr>
            <w:tcW w:w="1088" w:type="pct"/>
            <w:tcBorders>
              <w:top w:val="nil"/>
              <w:left w:val="nil"/>
              <w:bottom w:val="single" w:sz="4" w:space="0" w:color="auto"/>
              <w:right w:val="single" w:sz="4" w:space="0" w:color="auto"/>
            </w:tcBorders>
          </w:tcPr>
          <w:p w14:paraId="26F58F4C" w14:textId="77777777" w:rsidR="000D07EA" w:rsidRDefault="00BE7C89">
            <w:pPr>
              <w:pStyle w:val="BodyText"/>
              <w:spacing w:before="100" w:after="100"/>
            </w:pPr>
            <w:r>
              <w:t>$0.50</w:t>
            </w:r>
          </w:p>
        </w:tc>
        <w:tc>
          <w:tcPr>
            <w:tcW w:w="1088" w:type="pct"/>
            <w:tcBorders>
              <w:top w:val="single" w:sz="4" w:space="0" w:color="auto"/>
              <w:left w:val="nil"/>
              <w:bottom w:val="single" w:sz="4" w:space="0" w:color="auto"/>
              <w:right w:val="single" w:sz="4" w:space="0" w:color="auto"/>
            </w:tcBorders>
          </w:tcPr>
          <w:p w14:paraId="358712ED" w14:textId="77777777" w:rsidR="000D07EA" w:rsidRDefault="00BE7C89">
            <w:pPr>
              <w:pStyle w:val="BodyText"/>
              <w:spacing w:before="100" w:after="100"/>
            </w:pPr>
            <w:r>
              <w:t>$0.50</w:t>
            </w:r>
          </w:p>
        </w:tc>
        <w:tc>
          <w:tcPr>
            <w:tcW w:w="1088" w:type="pct"/>
            <w:tcBorders>
              <w:top w:val="nil"/>
              <w:left w:val="single" w:sz="4" w:space="0" w:color="auto"/>
              <w:bottom w:val="single" w:sz="4" w:space="0" w:color="auto"/>
              <w:right w:val="single" w:sz="4" w:space="0" w:color="auto"/>
            </w:tcBorders>
          </w:tcPr>
          <w:p w14:paraId="19EDF068" w14:textId="77777777" w:rsidR="000D07EA" w:rsidRDefault="00BE7C89">
            <w:pPr>
              <w:pStyle w:val="BodyText"/>
              <w:spacing w:before="100" w:after="100"/>
            </w:pPr>
            <w:r>
              <w:t>$0.50</w:t>
            </w:r>
          </w:p>
        </w:tc>
      </w:tr>
      <w:tr w:rsidR="000D07EA" w14:paraId="145A8024" w14:textId="77777777">
        <w:trPr>
          <w:trHeight w:val="315"/>
        </w:trPr>
        <w:tc>
          <w:tcPr>
            <w:tcW w:w="1735" w:type="pct"/>
            <w:tcBorders>
              <w:top w:val="nil"/>
              <w:left w:val="single" w:sz="4" w:space="0" w:color="auto"/>
              <w:bottom w:val="single" w:sz="4" w:space="0" w:color="auto"/>
              <w:right w:val="single" w:sz="4" w:space="0" w:color="auto"/>
            </w:tcBorders>
          </w:tcPr>
          <w:p w14:paraId="3F0095F5" w14:textId="77777777" w:rsidR="000D07EA" w:rsidRDefault="00BE7C89">
            <w:pPr>
              <w:pStyle w:val="BodyText"/>
              <w:spacing w:before="100" w:after="100"/>
              <w:rPr>
                <w:b/>
                <w:bCs/>
              </w:rPr>
            </w:pPr>
            <w:r>
              <w:rPr>
                <w:b/>
                <w:bCs/>
              </w:rPr>
              <w:t>International SMS (per message)</w:t>
            </w:r>
          </w:p>
        </w:tc>
        <w:tc>
          <w:tcPr>
            <w:tcW w:w="1088" w:type="pct"/>
            <w:tcBorders>
              <w:top w:val="nil"/>
              <w:left w:val="nil"/>
              <w:bottom w:val="single" w:sz="4" w:space="0" w:color="auto"/>
              <w:right w:val="single" w:sz="4" w:space="0" w:color="auto"/>
            </w:tcBorders>
          </w:tcPr>
          <w:p w14:paraId="1485AA34" w14:textId="77777777" w:rsidR="000D07EA" w:rsidRDefault="00BE7C89">
            <w:pPr>
              <w:pStyle w:val="BodyText"/>
              <w:spacing w:before="100" w:after="100"/>
            </w:pPr>
            <w:r>
              <w:t>$0.50</w:t>
            </w:r>
          </w:p>
        </w:tc>
        <w:tc>
          <w:tcPr>
            <w:tcW w:w="1088" w:type="pct"/>
            <w:tcBorders>
              <w:top w:val="single" w:sz="4" w:space="0" w:color="auto"/>
              <w:left w:val="nil"/>
              <w:bottom w:val="single" w:sz="4" w:space="0" w:color="auto"/>
              <w:right w:val="single" w:sz="4" w:space="0" w:color="auto"/>
            </w:tcBorders>
          </w:tcPr>
          <w:p w14:paraId="66DF4A54" w14:textId="77777777" w:rsidR="000D07EA" w:rsidRDefault="00BE7C89">
            <w:pPr>
              <w:pStyle w:val="BodyText"/>
              <w:spacing w:before="100" w:after="100"/>
            </w:pPr>
            <w:r>
              <w:t>$0.50</w:t>
            </w:r>
          </w:p>
        </w:tc>
        <w:tc>
          <w:tcPr>
            <w:tcW w:w="1088" w:type="pct"/>
            <w:tcBorders>
              <w:top w:val="nil"/>
              <w:left w:val="single" w:sz="4" w:space="0" w:color="auto"/>
              <w:bottom w:val="single" w:sz="4" w:space="0" w:color="auto"/>
              <w:right w:val="single" w:sz="4" w:space="0" w:color="auto"/>
            </w:tcBorders>
          </w:tcPr>
          <w:p w14:paraId="1F33769F" w14:textId="77777777" w:rsidR="000D07EA" w:rsidRDefault="00BE7C89">
            <w:pPr>
              <w:pStyle w:val="BodyText"/>
              <w:spacing w:before="100" w:after="100"/>
            </w:pPr>
            <w:r>
              <w:t>$0.50</w:t>
            </w:r>
          </w:p>
        </w:tc>
      </w:tr>
      <w:tr w:rsidR="000D07EA" w14:paraId="6B452DC2" w14:textId="77777777">
        <w:trPr>
          <w:trHeight w:val="630"/>
        </w:trPr>
        <w:tc>
          <w:tcPr>
            <w:tcW w:w="1735" w:type="pct"/>
            <w:tcBorders>
              <w:top w:val="nil"/>
              <w:left w:val="single" w:sz="4" w:space="0" w:color="auto"/>
              <w:bottom w:val="single" w:sz="4" w:space="0" w:color="auto"/>
              <w:right w:val="single" w:sz="4" w:space="0" w:color="auto"/>
            </w:tcBorders>
          </w:tcPr>
          <w:p w14:paraId="6EF29867" w14:textId="77777777" w:rsidR="000D07EA" w:rsidRDefault="00BE7C89">
            <w:pPr>
              <w:pStyle w:val="BodyText"/>
              <w:spacing w:before="100" w:after="100"/>
              <w:rPr>
                <w:b/>
                <w:bCs/>
              </w:rPr>
            </w:pPr>
            <w:r>
              <w:rPr>
                <w:b/>
                <w:bCs/>
              </w:rPr>
              <w:t>International MMS (per message)</w:t>
            </w:r>
          </w:p>
        </w:tc>
        <w:tc>
          <w:tcPr>
            <w:tcW w:w="1088" w:type="pct"/>
            <w:tcBorders>
              <w:top w:val="nil"/>
              <w:left w:val="nil"/>
              <w:bottom w:val="single" w:sz="4" w:space="0" w:color="auto"/>
              <w:right w:val="single" w:sz="4" w:space="0" w:color="auto"/>
            </w:tcBorders>
          </w:tcPr>
          <w:p w14:paraId="6BCD9184" w14:textId="77777777" w:rsidR="000D07EA" w:rsidRDefault="00BE7C89">
            <w:pPr>
              <w:pStyle w:val="BodyText"/>
              <w:spacing w:before="100" w:after="100"/>
            </w:pPr>
            <w:r>
              <w:t>$0.75</w:t>
            </w:r>
          </w:p>
        </w:tc>
        <w:tc>
          <w:tcPr>
            <w:tcW w:w="1088" w:type="pct"/>
            <w:tcBorders>
              <w:top w:val="single" w:sz="4" w:space="0" w:color="auto"/>
              <w:left w:val="nil"/>
              <w:bottom w:val="single" w:sz="4" w:space="0" w:color="auto"/>
              <w:right w:val="single" w:sz="4" w:space="0" w:color="auto"/>
            </w:tcBorders>
          </w:tcPr>
          <w:p w14:paraId="48545696" w14:textId="77777777" w:rsidR="000D07EA" w:rsidRDefault="00BE7C89">
            <w:pPr>
              <w:pStyle w:val="BodyText"/>
              <w:spacing w:before="100" w:after="100"/>
            </w:pPr>
            <w:r>
              <w:t>$0.75</w:t>
            </w:r>
          </w:p>
        </w:tc>
        <w:tc>
          <w:tcPr>
            <w:tcW w:w="1088" w:type="pct"/>
            <w:tcBorders>
              <w:top w:val="nil"/>
              <w:left w:val="single" w:sz="4" w:space="0" w:color="auto"/>
              <w:bottom w:val="single" w:sz="4" w:space="0" w:color="auto"/>
              <w:right w:val="single" w:sz="4" w:space="0" w:color="auto"/>
            </w:tcBorders>
          </w:tcPr>
          <w:p w14:paraId="668A860A" w14:textId="77777777" w:rsidR="000D07EA" w:rsidRDefault="00BE7C89">
            <w:pPr>
              <w:pStyle w:val="BodyText"/>
              <w:spacing w:before="100" w:after="100"/>
            </w:pPr>
            <w:r>
              <w:t>$0.75</w:t>
            </w:r>
          </w:p>
        </w:tc>
      </w:tr>
      <w:tr w:rsidR="000D07EA" w14:paraId="326A996B" w14:textId="77777777">
        <w:trPr>
          <w:trHeight w:val="312"/>
        </w:trPr>
        <w:tc>
          <w:tcPr>
            <w:tcW w:w="1735" w:type="pct"/>
            <w:tcBorders>
              <w:top w:val="nil"/>
              <w:left w:val="single" w:sz="4" w:space="0" w:color="auto"/>
              <w:bottom w:val="single" w:sz="4" w:space="0" w:color="auto"/>
              <w:right w:val="single" w:sz="4" w:space="0" w:color="auto"/>
            </w:tcBorders>
          </w:tcPr>
          <w:p w14:paraId="57F95C8B" w14:textId="77777777" w:rsidR="000D07EA" w:rsidRDefault="00BE7C89">
            <w:pPr>
              <w:pStyle w:val="BodyText"/>
              <w:spacing w:before="100" w:after="100"/>
              <w:rPr>
                <w:b/>
                <w:bCs/>
              </w:rPr>
            </w:pPr>
            <w:r>
              <w:rPr>
                <w:b/>
                <w:bCs/>
              </w:rPr>
              <w:t>International Rates</w:t>
            </w:r>
          </w:p>
        </w:tc>
        <w:tc>
          <w:tcPr>
            <w:tcW w:w="1088" w:type="pct"/>
            <w:tcBorders>
              <w:top w:val="nil"/>
              <w:left w:val="nil"/>
              <w:bottom w:val="single" w:sz="4" w:space="0" w:color="auto"/>
              <w:right w:val="single" w:sz="4" w:space="0" w:color="auto"/>
            </w:tcBorders>
          </w:tcPr>
          <w:p w14:paraId="14601E16" w14:textId="77777777" w:rsidR="000D07EA" w:rsidRDefault="00BE7C89">
            <w:pPr>
              <w:pStyle w:val="BodyText"/>
              <w:spacing w:before="100" w:after="100"/>
              <w:rPr>
                <w:iCs/>
              </w:rPr>
            </w:pPr>
            <w:r>
              <w:rPr>
                <w:iCs/>
              </w:rPr>
              <w:t>International 'yes' Call Rates (see Appendix J)</w:t>
            </w:r>
          </w:p>
        </w:tc>
        <w:tc>
          <w:tcPr>
            <w:tcW w:w="1088" w:type="pct"/>
            <w:tcBorders>
              <w:top w:val="single" w:sz="4" w:space="0" w:color="auto"/>
              <w:left w:val="nil"/>
              <w:bottom w:val="single" w:sz="4" w:space="0" w:color="auto"/>
              <w:right w:val="single" w:sz="4" w:space="0" w:color="auto"/>
            </w:tcBorders>
          </w:tcPr>
          <w:p w14:paraId="466EE073" w14:textId="77777777" w:rsidR="000D07EA" w:rsidRDefault="00BE7C89">
            <w:pPr>
              <w:pStyle w:val="BodyText"/>
              <w:spacing w:before="100" w:after="100"/>
              <w:rPr>
                <w:iCs/>
              </w:rPr>
            </w:pPr>
            <w:r>
              <w:rPr>
                <w:iCs/>
              </w:rPr>
              <w:t>International 'yes' Call Rates (see Appendix J)</w:t>
            </w:r>
          </w:p>
        </w:tc>
        <w:tc>
          <w:tcPr>
            <w:tcW w:w="1088" w:type="pct"/>
            <w:tcBorders>
              <w:top w:val="nil"/>
              <w:left w:val="single" w:sz="4" w:space="0" w:color="auto"/>
              <w:bottom w:val="single" w:sz="4" w:space="0" w:color="auto"/>
              <w:right w:val="single" w:sz="4" w:space="0" w:color="auto"/>
            </w:tcBorders>
          </w:tcPr>
          <w:p w14:paraId="26A566EF" w14:textId="77777777" w:rsidR="000D07EA" w:rsidRDefault="00BE7C89">
            <w:pPr>
              <w:pStyle w:val="BodyText"/>
              <w:spacing w:before="100" w:after="100"/>
              <w:rPr>
                <w:iCs/>
              </w:rPr>
            </w:pPr>
            <w:r>
              <w:rPr>
                <w:iCs/>
              </w:rPr>
              <w:t>International 'yes' Call Rates (see Appendix J)</w:t>
            </w:r>
          </w:p>
        </w:tc>
      </w:tr>
      <w:tr w:rsidR="000D07EA" w14:paraId="28BEC68E" w14:textId="77777777">
        <w:trPr>
          <w:trHeight w:val="571"/>
        </w:trPr>
        <w:tc>
          <w:tcPr>
            <w:tcW w:w="1735" w:type="pct"/>
            <w:tcBorders>
              <w:top w:val="nil"/>
              <w:left w:val="single" w:sz="4" w:space="0" w:color="auto"/>
              <w:bottom w:val="single" w:sz="4" w:space="0" w:color="auto"/>
              <w:right w:val="single" w:sz="4" w:space="0" w:color="auto"/>
            </w:tcBorders>
          </w:tcPr>
          <w:p w14:paraId="3E8C795C" w14:textId="77777777" w:rsidR="000D07EA" w:rsidRDefault="00BE7C89">
            <w:pPr>
              <w:pStyle w:val="BodyText"/>
              <w:spacing w:before="100" w:after="100"/>
              <w:rPr>
                <w:b/>
                <w:bCs/>
              </w:rPr>
            </w:pPr>
            <w:r>
              <w:rPr>
                <w:b/>
                <w:bCs/>
              </w:rPr>
              <w:lastRenderedPageBreak/>
              <w:t>Monthly Handset Credit</w:t>
            </w:r>
          </w:p>
        </w:tc>
        <w:tc>
          <w:tcPr>
            <w:tcW w:w="1088" w:type="pct"/>
            <w:tcBorders>
              <w:top w:val="nil"/>
              <w:left w:val="nil"/>
              <w:bottom w:val="single" w:sz="4" w:space="0" w:color="auto"/>
              <w:right w:val="single" w:sz="4" w:space="0" w:color="auto"/>
            </w:tcBorders>
          </w:tcPr>
          <w:p w14:paraId="2E188FF2" w14:textId="77777777" w:rsidR="000D07EA" w:rsidRDefault="00BE7C89">
            <w:pPr>
              <w:pStyle w:val="BodyText"/>
              <w:spacing w:before="100" w:after="100"/>
            </w:pPr>
            <w:r>
              <w:t>$20</w:t>
            </w:r>
          </w:p>
        </w:tc>
        <w:tc>
          <w:tcPr>
            <w:tcW w:w="1088" w:type="pct"/>
            <w:tcBorders>
              <w:top w:val="single" w:sz="4" w:space="0" w:color="auto"/>
              <w:left w:val="nil"/>
              <w:bottom w:val="single" w:sz="4" w:space="0" w:color="auto"/>
              <w:right w:val="single" w:sz="4" w:space="0" w:color="auto"/>
            </w:tcBorders>
          </w:tcPr>
          <w:p w14:paraId="7F57025D" w14:textId="77777777" w:rsidR="000D07EA" w:rsidRDefault="00BE7C89">
            <w:pPr>
              <w:pStyle w:val="BodyText"/>
              <w:spacing w:before="100" w:after="100"/>
            </w:pPr>
            <w:r>
              <w:t>$20</w:t>
            </w:r>
          </w:p>
        </w:tc>
        <w:tc>
          <w:tcPr>
            <w:tcW w:w="1088" w:type="pct"/>
            <w:tcBorders>
              <w:top w:val="nil"/>
              <w:left w:val="single" w:sz="4" w:space="0" w:color="auto"/>
              <w:bottom w:val="single" w:sz="4" w:space="0" w:color="auto"/>
              <w:right w:val="single" w:sz="4" w:space="0" w:color="auto"/>
            </w:tcBorders>
          </w:tcPr>
          <w:p w14:paraId="4802A69E" w14:textId="77777777" w:rsidR="000D07EA" w:rsidRDefault="00BE7C89">
            <w:pPr>
              <w:pStyle w:val="BodyText"/>
              <w:spacing w:before="100" w:after="100"/>
            </w:pPr>
            <w:r>
              <w:t>$20</w:t>
            </w:r>
          </w:p>
        </w:tc>
      </w:tr>
      <w:tr w:rsidR="000D07EA" w14:paraId="38CAF0D1" w14:textId="77777777">
        <w:trPr>
          <w:trHeight w:val="571"/>
        </w:trPr>
        <w:tc>
          <w:tcPr>
            <w:tcW w:w="1735" w:type="pct"/>
            <w:tcBorders>
              <w:top w:val="nil"/>
              <w:left w:val="single" w:sz="4" w:space="0" w:color="auto"/>
              <w:bottom w:val="single" w:sz="4" w:space="0" w:color="auto"/>
              <w:right w:val="single" w:sz="4" w:space="0" w:color="auto"/>
            </w:tcBorders>
          </w:tcPr>
          <w:p w14:paraId="39D3F02E" w14:textId="77777777" w:rsidR="000D07EA" w:rsidRDefault="00BE7C89">
            <w:pPr>
              <w:pStyle w:val="BodyText"/>
              <w:spacing w:before="100" w:after="100"/>
              <w:rPr>
                <w:b/>
                <w:bCs/>
              </w:rPr>
            </w:pPr>
            <w:r>
              <w:rPr>
                <w:b/>
                <w:bCs/>
              </w:rPr>
              <w:t xml:space="preserve">Other call charges </w:t>
            </w:r>
          </w:p>
        </w:tc>
        <w:tc>
          <w:tcPr>
            <w:tcW w:w="1088" w:type="pct"/>
            <w:tcBorders>
              <w:top w:val="nil"/>
              <w:left w:val="nil"/>
              <w:bottom w:val="single" w:sz="4" w:space="0" w:color="auto"/>
              <w:right w:val="single" w:sz="4" w:space="0" w:color="auto"/>
            </w:tcBorders>
          </w:tcPr>
          <w:p w14:paraId="12B1F034" w14:textId="77777777" w:rsidR="000D07EA" w:rsidRDefault="00BE7C89">
            <w:pPr>
              <w:pStyle w:val="BodyText"/>
              <w:spacing w:before="100" w:after="100"/>
              <w:jc w:val="center"/>
            </w:pPr>
            <w:r>
              <w:t xml:space="preserve">See section 1 of this </w:t>
            </w:r>
            <w:r>
              <w:rPr>
                <w:i/>
                <w:iCs/>
              </w:rPr>
              <w:t>standard pricing table</w:t>
            </w:r>
            <w:r>
              <w:t xml:space="preserve"> and Appendix Y (Value Added Service Features)</w:t>
            </w:r>
          </w:p>
        </w:tc>
        <w:tc>
          <w:tcPr>
            <w:tcW w:w="1088" w:type="pct"/>
            <w:tcBorders>
              <w:top w:val="single" w:sz="4" w:space="0" w:color="auto"/>
              <w:left w:val="nil"/>
              <w:bottom w:val="single" w:sz="4" w:space="0" w:color="auto"/>
              <w:right w:val="single" w:sz="4" w:space="0" w:color="auto"/>
            </w:tcBorders>
          </w:tcPr>
          <w:p w14:paraId="4F58A60C" w14:textId="77777777" w:rsidR="000D07EA" w:rsidRDefault="00BE7C89">
            <w:pPr>
              <w:pStyle w:val="BodyText"/>
              <w:spacing w:before="100" w:after="100"/>
              <w:jc w:val="center"/>
            </w:pPr>
            <w:r>
              <w:t xml:space="preserve">See section 1 of this </w:t>
            </w:r>
            <w:r>
              <w:rPr>
                <w:i/>
                <w:iCs/>
              </w:rPr>
              <w:t>standard pricing table</w:t>
            </w:r>
            <w:r>
              <w:t xml:space="preserve"> and Appendix Y (Value Added Service Features)</w:t>
            </w:r>
          </w:p>
        </w:tc>
        <w:tc>
          <w:tcPr>
            <w:tcW w:w="1088" w:type="pct"/>
            <w:tcBorders>
              <w:top w:val="nil"/>
              <w:left w:val="single" w:sz="4" w:space="0" w:color="auto"/>
              <w:bottom w:val="single" w:sz="4" w:space="0" w:color="auto"/>
              <w:right w:val="single" w:sz="4" w:space="0" w:color="auto"/>
            </w:tcBorders>
          </w:tcPr>
          <w:p w14:paraId="16E70C2E" w14:textId="77777777" w:rsidR="000D07EA" w:rsidRDefault="00BE7C89">
            <w:pPr>
              <w:pStyle w:val="BodyText"/>
              <w:spacing w:before="100" w:after="100"/>
              <w:jc w:val="center"/>
            </w:pPr>
            <w:r>
              <w:t xml:space="preserve">See section 1 of this </w:t>
            </w:r>
            <w:r>
              <w:rPr>
                <w:i/>
                <w:iCs/>
              </w:rPr>
              <w:t>standard pricing table</w:t>
            </w:r>
            <w:r>
              <w:t xml:space="preserve"> and Appendix Y (Value Added Service Features)</w:t>
            </w:r>
          </w:p>
        </w:tc>
      </w:tr>
      <w:tr w:rsidR="000D07EA" w14:paraId="6B398E30" w14:textId="77777777">
        <w:trPr>
          <w:trHeight w:val="693"/>
        </w:trPr>
        <w:tc>
          <w:tcPr>
            <w:tcW w:w="1735" w:type="pct"/>
            <w:tcBorders>
              <w:top w:val="nil"/>
              <w:left w:val="single" w:sz="4" w:space="0" w:color="auto"/>
              <w:bottom w:val="single" w:sz="4" w:space="0" w:color="auto"/>
              <w:right w:val="single" w:sz="4" w:space="0" w:color="auto"/>
            </w:tcBorders>
          </w:tcPr>
          <w:p w14:paraId="5C854CED" w14:textId="77777777" w:rsidR="000D07EA" w:rsidRDefault="00BE7C89" w:rsidP="004B6163">
            <w:pPr>
              <w:pStyle w:val="BodyText"/>
              <w:spacing w:before="100" w:after="100"/>
              <w:rPr>
                <w:b/>
                <w:bCs/>
              </w:rPr>
            </w:pPr>
            <w:r>
              <w:rPr>
                <w:b/>
                <w:bCs/>
              </w:rPr>
              <w:t xml:space="preserve">Other conditions </w:t>
            </w:r>
            <w:r>
              <w:t xml:space="preserve">(for details see paragraph </w:t>
            </w:r>
            <w:r w:rsidR="004B6163">
              <w:t>106.3(i)</w:t>
            </w:r>
            <w:r>
              <w:t>above)</w:t>
            </w:r>
          </w:p>
        </w:tc>
        <w:tc>
          <w:tcPr>
            <w:tcW w:w="1088" w:type="pct"/>
            <w:tcBorders>
              <w:top w:val="nil"/>
              <w:left w:val="nil"/>
              <w:bottom w:val="single" w:sz="4" w:space="0" w:color="auto"/>
              <w:right w:val="single" w:sz="4" w:space="0" w:color="auto"/>
            </w:tcBorders>
          </w:tcPr>
          <w:p w14:paraId="00E5197C" w14:textId="77777777" w:rsidR="000D07EA" w:rsidRDefault="00BE7C89">
            <w:pPr>
              <w:pStyle w:val="BodyText"/>
              <w:spacing w:before="100" w:after="100"/>
              <w:jc w:val="center"/>
            </w:pPr>
            <w:r>
              <w:t>Fair Go Policy (</w:t>
            </w:r>
            <w:hyperlink r:id="rId519" w:history="1">
              <w:r>
                <w:rPr>
                  <w:rStyle w:val="Hyperlink"/>
                  <w:i/>
                </w:rPr>
                <w:t>Appendix S</w:t>
              </w:r>
            </w:hyperlink>
            <w:r>
              <w:t>) applies to 'unreasonable use', 'unacceptable use', 'commercial purpose', and 'non-ordinary purpose'</w:t>
            </w:r>
          </w:p>
        </w:tc>
        <w:tc>
          <w:tcPr>
            <w:tcW w:w="1088" w:type="pct"/>
            <w:tcBorders>
              <w:top w:val="single" w:sz="4" w:space="0" w:color="auto"/>
              <w:left w:val="nil"/>
              <w:bottom w:val="single" w:sz="4" w:space="0" w:color="auto"/>
              <w:right w:val="single" w:sz="4" w:space="0" w:color="auto"/>
            </w:tcBorders>
          </w:tcPr>
          <w:p w14:paraId="700F6769" w14:textId="77777777" w:rsidR="000D07EA" w:rsidRDefault="00BE7C89">
            <w:pPr>
              <w:pStyle w:val="BodyText"/>
              <w:spacing w:before="100" w:after="100"/>
              <w:jc w:val="center"/>
            </w:pPr>
            <w:r>
              <w:t>Fair Go Policy (</w:t>
            </w:r>
            <w:hyperlink r:id="rId520" w:history="1">
              <w:r>
                <w:rPr>
                  <w:rStyle w:val="Hyperlink"/>
                  <w:i/>
                </w:rPr>
                <w:t>Appendix S</w:t>
              </w:r>
            </w:hyperlink>
            <w:r>
              <w:t>) applies to 'unreasonable use', 'unacceptable use', 'commercial purpose', and 'non-ordinary purpose'</w:t>
            </w:r>
          </w:p>
        </w:tc>
        <w:tc>
          <w:tcPr>
            <w:tcW w:w="1088" w:type="pct"/>
            <w:tcBorders>
              <w:top w:val="nil"/>
              <w:left w:val="single" w:sz="4" w:space="0" w:color="auto"/>
              <w:bottom w:val="single" w:sz="4" w:space="0" w:color="auto"/>
              <w:right w:val="single" w:sz="4" w:space="0" w:color="auto"/>
            </w:tcBorders>
          </w:tcPr>
          <w:p w14:paraId="19FF1E49" w14:textId="77777777" w:rsidR="000D07EA" w:rsidRDefault="00BE7C89">
            <w:pPr>
              <w:pStyle w:val="BodyText"/>
              <w:spacing w:before="100" w:after="100"/>
              <w:jc w:val="center"/>
            </w:pPr>
            <w:r>
              <w:t>Fair Go Policy (</w:t>
            </w:r>
            <w:hyperlink r:id="rId521" w:history="1">
              <w:r>
                <w:rPr>
                  <w:rStyle w:val="Hyperlink"/>
                  <w:i/>
                </w:rPr>
                <w:t>Appendix S</w:t>
              </w:r>
            </w:hyperlink>
            <w:r>
              <w:t>) applies to 'unreasonable use', 'unacceptable use', 'commercial purpose', and 'non-ordinary purpose'</w:t>
            </w:r>
          </w:p>
        </w:tc>
      </w:tr>
      <w:tr w:rsidR="000D07EA" w14:paraId="4A413D3F" w14:textId="77777777">
        <w:trPr>
          <w:trHeight w:val="630"/>
        </w:trPr>
        <w:tc>
          <w:tcPr>
            <w:tcW w:w="1735" w:type="pct"/>
            <w:tcBorders>
              <w:top w:val="nil"/>
              <w:left w:val="single" w:sz="4" w:space="0" w:color="auto"/>
              <w:bottom w:val="single" w:sz="4" w:space="0" w:color="auto"/>
              <w:right w:val="single" w:sz="4" w:space="0" w:color="auto"/>
            </w:tcBorders>
          </w:tcPr>
          <w:p w14:paraId="1A10C612" w14:textId="77777777" w:rsidR="000D07EA" w:rsidRDefault="00BE7C89">
            <w:pPr>
              <w:pStyle w:val="BodyText"/>
              <w:spacing w:before="100" w:after="100"/>
              <w:rPr>
                <w:b/>
                <w:bCs/>
              </w:rPr>
            </w:pPr>
            <w:r>
              <w:rPr>
                <w:b/>
                <w:bCs/>
              </w:rPr>
              <w:t>Available on Non Fixed Length Agreement (Month to Month)</w:t>
            </w:r>
          </w:p>
        </w:tc>
        <w:tc>
          <w:tcPr>
            <w:tcW w:w="1088" w:type="pct"/>
            <w:tcBorders>
              <w:top w:val="nil"/>
              <w:left w:val="nil"/>
              <w:bottom w:val="single" w:sz="4" w:space="0" w:color="auto"/>
              <w:right w:val="single" w:sz="4" w:space="0" w:color="auto"/>
            </w:tcBorders>
          </w:tcPr>
          <w:p w14:paraId="108B531E" w14:textId="77777777" w:rsidR="000D07EA" w:rsidRDefault="00BE7C89">
            <w:pPr>
              <w:pStyle w:val="BodyText"/>
              <w:spacing w:before="100" w:after="100"/>
            </w:pPr>
            <w:r>
              <w:t>No</w:t>
            </w:r>
          </w:p>
        </w:tc>
        <w:tc>
          <w:tcPr>
            <w:tcW w:w="1088" w:type="pct"/>
            <w:tcBorders>
              <w:top w:val="single" w:sz="4" w:space="0" w:color="auto"/>
              <w:left w:val="nil"/>
              <w:bottom w:val="single" w:sz="4" w:space="0" w:color="auto"/>
              <w:right w:val="single" w:sz="4" w:space="0" w:color="auto"/>
            </w:tcBorders>
          </w:tcPr>
          <w:p w14:paraId="4C0070AD" w14:textId="77777777" w:rsidR="000D07EA" w:rsidRDefault="00BE7C89">
            <w:pPr>
              <w:pStyle w:val="BodyText"/>
              <w:spacing w:before="100" w:after="100"/>
            </w:pPr>
            <w:r>
              <w:t>No</w:t>
            </w:r>
          </w:p>
        </w:tc>
        <w:tc>
          <w:tcPr>
            <w:tcW w:w="1088" w:type="pct"/>
            <w:tcBorders>
              <w:top w:val="nil"/>
              <w:left w:val="single" w:sz="4" w:space="0" w:color="auto"/>
              <w:bottom w:val="single" w:sz="4" w:space="0" w:color="auto"/>
              <w:right w:val="single" w:sz="4" w:space="0" w:color="auto"/>
            </w:tcBorders>
          </w:tcPr>
          <w:p w14:paraId="47EF8154" w14:textId="77777777" w:rsidR="000D07EA" w:rsidRDefault="00BE7C89">
            <w:pPr>
              <w:pStyle w:val="BodyText"/>
              <w:spacing w:before="100" w:after="100"/>
            </w:pPr>
            <w:r>
              <w:t>No</w:t>
            </w:r>
          </w:p>
        </w:tc>
      </w:tr>
      <w:tr w:rsidR="000D07EA" w14:paraId="7197355D" w14:textId="77777777">
        <w:trPr>
          <w:trHeight w:val="630"/>
        </w:trPr>
        <w:tc>
          <w:tcPr>
            <w:tcW w:w="1735" w:type="pct"/>
            <w:tcBorders>
              <w:top w:val="nil"/>
              <w:left w:val="single" w:sz="4" w:space="0" w:color="auto"/>
              <w:bottom w:val="single" w:sz="4" w:space="0" w:color="auto"/>
              <w:right w:val="single" w:sz="4" w:space="0" w:color="auto"/>
            </w:tcBorders>
          </w:tcPr>
          <w:p w14:paraId="43D76989" w14:textId="77777777" w:rsidR="000D07EA" w:rsidRDefault="00BE7C89">
            <w:pPr>
              <w:pStyle w:val="BodyText"/>
              <w:spacing w:before="100" w:after="100"/>
              <w:rPr>
                <w:b/>
                <w:bCs/>
              </w:rPr>
            </w:pPr>
            <w:r>
              <w:rPr>
                <w:b/>
                <w:bCs/>
              </w:rPr>
              <w:t>Available on a Fixed Length Agreement(12 or 24 Months)</w:t>
            </w:r>
          </w:p>
        </w:tc>
        <w:tc>
          <w:tcPr>
            <w:tcW w:w="1088" w:type="pct"/>
            <w:tcBorders>
              <w:top w:val="nil"/>
              <w:left w:val="nil"/>
              <w:bottom w:val="single" w:sz="4" w:space="0" w:color="auto"/>
              <w:right w:val="single" w:sz="4" w:space="0" w:color="auto"/>
            </w:tcBorders>
          </w:tcPr>
          <w:p w14:paraId="39F889D5" w14:textId="77777777" w:rsidR="000D07EA" w:rsidRDefault="00BE7C89">
            <w:pPr>
              <w:pStyle w:val="BodyText"/>
              <w:spacing w:before="100" w:after="100"/>
            </w:pPr>
            <w:r>
              <w:t>Yes</w:t>
            </w:r>
          </w:p>
        </w:tc>
        <w:tc>
          <w:tcPr>
            <w:tcW w:w="1088" w:type="pct"/>
            <w:tcBorders>
              <w:top w:val="single" w:sz="4" w:space="0" w:color="auto"/>
              <w:left w:val="nil"/>
              <w:bottom w:val="single" w:sz="4" w:space="0" w:color="auto"/>
              <w:right w:val="single" w:sz="4" w:space="0" w:color="auto"/>
            </w:tcBorders>
          </w:tcPr>
          <w:p w14:paraId="0ECC7AC9" w14:textId="77777777" w:rsidR="000D07EA" w:rsidRDefault="00BE7C89">
            <w:pPr>
              <w:pStyle w:val="BodyText"/>
              <w:spacing w:before="100" w:after="100"/>
            </w:pPr>
            <w:r>
              <w:t>Yes</w:t>
            </w:r>
          </w:p>
        </w:tc>
        <w:tc>
          <w:tcPr>
            <w:tcW w:w="1088" w:type="pct"/>
            <w:tcBorders>
              <w:top w:val="nil"/>
              <w:left w:val="single" w:sz="4" w:space="0" w:color="auto"/>
              <w:bottom w:val="single" w:sz="4" w:space="0" w:color="auto"/>
              <w:right w:val="single" w:sz="4" w:space="0" w:color="auto"/>
            </w:tcBorders>
          </w:tcPr>
          <w:p w14:paraId="558F32A8" w14:textId="77777777" w:rsidR="000D07EA" w:rsidRDefault="00BE7C89">
            <w:pPr>
              <w:pStyle w:val="BodyText"/>
              <w:spacing w:before="100" w:after="100"/>
            </w:pPr>
            <w:r>
              <w:t>Yes</w:t>
            </w:r>
          </w:p>
        </w:tc>
      </w:tr>
      <w:tr w:rsidR="000D07EA" w14:paraId="635A463E" w14:textId="77777777">
        <w:trPr>
          <w:trHeight w:val="1575"/>
        </w:trPr>
        <w:tc>
          <w:tcPr>
            <w:tcW w:w="1735" w:type="pct"/>
            <w:tcBorders>
              <w:top w:val="nil"/>
              <w:left w:val="single" w:sz="4" w:space="0" w:color="auto"/>
              <w:bottom w:val="single" w:sz="4" w:space="0" w:color="auto"/>
              <w:right w:val="single" w:sz="4" w:space="0" w:color="auto"/>
            </w:tcBorders>
          </w:tcPr>
          <w:p w14:paraId="50E724EC" w14:textId="77777777" w:rsidR="000D07EA" w:rsidRDefault="00BE7C89">
            <w:pPr>
              <w:pStyle w:val="BodyText"/>
              <w:spacing w:before="100" w:after="100"/>
              <w:rPr>
                <w:b/>
                <w:bCs/>
              </w:rPr>
            </w:pPr>
            <w:r>
              <w:rPr>
                <w:b/>
                <w:bCs/>
              </w:rPr>
              <w:t>Minimum Total Cost of the Business Timeless Plans over a 24 month minimum term (amount excludes handset repayments if any)</w:t>
            </w:r>
          </w:p>
        </w:tc>
        <w:tc>
          <w:tcPr>
            <w:tcW w:w="1088" w:type="pct"/>
            <w:tcBorders>
              <w:top w:val="nil"/>
              <w:left w:val="nil"/>
              <w:bottom w:val="single" w:sz="4" w:space="0" w:color="auto"/>
              <w:right w:val="single" w:sz="4" w:space="0" w:color="auto"/>
            </w:tcBorders>
          </w:tcPr>
          <w:p w14:paraId="4E80608E" w14:textId="77777777" w:rsidR="000D07EA" w:rsidRDefault="00BE7C89">
            <w:pPr>
              <w:pStyle w:val="BodyText"/>
              <w:spacing w:before="100" w:after="100"/>
            </w:pPr>
            <w:r>
              <w:t>$2,376</w:t>
            </w:r>
          </w:p>
        </w:tc>
        <w:tc>
          <w:tcPr>
            <w:tcW w:w="1088" w:type="pct"/>
            <w:tcBorders>
              <w:top w:val="single" w:sz="4" w:space="0" w:color="auto"/>
              <w:left w:val="nil"/>
              <w:bottom w:val="single" w:sz="4" w:space="0" w:color="auto"/>
              <w:right w:val="single" w:sz="4" w:space="0" w:color="auto"/>
            </w:tcBorders>
          </w:tcPr>
          <w:p w14:paraId="2E04F3DD" w14:textId="77777777" w:rsidR="000D07EA" w:rsidRDefault="00BE7C89">
            <w:pPr>
              <w:pStyle w:val="BodyText"/>
              <w:spacing w:before="100" w:after="100"/>
            </w:pPr>
            <w:r>
              <w:t>$2,376</w:t>
            </w:r>
          </w:p>
        </w:tc>
        <w:tc>
          <w:tcPr>
            <w:tcW w:w="1088" w:type="pct"/>
            <w:tcBorders>
              <w:top w:val="nil"/>
              <w:left w:val="single" w:sz="4" w:space="0" w:color="auto"/>
              <w:bottom w:val="single" w:sz="4" w:space="0" w:color="auto"/>
              <w:right w:val="single" w:sz="4" w:space="0" w:color="auto"/>
            </w:tcBorders>
          </w:tcPr>
          <w:p w14:paraId="0F0C3BAE" w14:textId="77777777" w:rsidR="000D07EA" w:rsidRDefault="00BE7C89">
            <w:pPr>
              <w:pStyle w:val="BodyText"/>
              <w:spacing w:before="100" w:after="100"/>
            </w:pPr>
            <w:r>
              <w:t>$3,096</w:t>
            </w:r>
          </w:p>
        </w:tc>
      </w:tr>
      <w:tr w:rsidR="000D07EA" w14:paraId="4534AB44" w14:textId="77777777">
        <w:trPr>
          <w:trHeight w:val="1575"/>
        </w:trPr>
        <w:tc>
          <w:tcPr>
            <w:tcW w:w="1735" w:type="pct"/>
            <w:tcBorders>
              <w:top w:val="nil"/>
              <w:left w:val="single" w:sz="4" w:space="0" w:color="auto"/>
              <w:bottom w:val="single" w:sz="4" w:space="0" w:color="auto"/>
              <w:right w:val="single" w:sz="4" w:space="0" w:color="auto"/>
            </w:tcBorders>
          </w:tcPr>
          <w:p w14:paraId="1945B608" w14:textId="77777777" w:rsidR="000D07EA" w:rsidRDefault="00BE7C89">
            <w:pPr>
              <w:pStyle w:val="BodyText"/>
              <w:spacing w:before="100" w:after="100"/>
              <w:rPr>
                <w:b/>
                <w:bCs/>
              </w:rPr>
            </w:pPr>
            <w:r>
              <w:rPr>
                <w:b/>
                <w:bCs/>
              </w:rPr>
              <w:t>Minimum Total Cost of the Business Timeless Plans over a 12 month minimum term (amount excludes handset repayments if any)</w:t>
            </w:r>
          </w:p>
        </w:tc>
        <w:tc>
          <w:tcPr>
            <w:tcW w:w="1088" w:type="pct"/>
            <w:tcBorders>
              <w:top w:val="nil"/>
              <w:left w:val="nil"/>
              <w:bottom w:val="single" w:sz="4" w:space="0" w:color="auto"/>
              <w:right w:val="single" w:sz="4" w:space="0" w:color="auto"/>
            </w:tcBorders>
          </w:tcPr>
          <w:p w14:paraId="22650DE6" w14:textId="77777777" w:rsidR="000D07EA" w:rsidRDefault="00BE7C89">
            <w:pPr>
              <w:pStyle w:val="BodyText"/>
              <w:spacing w:before="100" w:after="100"/>
            </w:pPr>
            <w:r>
              <w:t>$1,188</w:t>
            </w:r>
          </w:p>
        </w:tc>
        <w:tc>
          <w:tcPr>
            <w:tcW w:w="1088" w:type="pct"/>
            <w:tcBorders>
              <w:top w:val="single" w:sz="4" w:space="0" w:color="auto"/>
              <w:left w:val="nil"/>
              <w:bottom w:val="single" w:sz="4" w:space="0" w:color="auto"/>
              <w:right w:val="single" w:sz="4" w:space="0" w:color="auto"/>
            </w:tcBorders>
          </w:tcPr>
          <w:p w14:paraId="19D304DA" w14:textId="77777777" w:rsidR="000D07EA" w:rsidRDefault="00BE7C89">
            <w:pPr>
              <w:pStyle w:val="BodyText"/>
              <w:spacing w:before="100" w:after="100"/>
            </w:pPr>
            <w:r>
              <w:t>$1,188</w:t>
            </w:r>
          </w:p>
        </w:tc>
        <w:tc>
          <w:tcPr>
            <w:tcW w:w="1088" w:type="pct"/>
            <w:tcBorders>
              <w:top w:val="nil"/>
              <w:left w:val="single" w:sz="4" w:space="0" w:color="auto"/>
              <w:bottom w:val="single" w:sz="4" w:space="0" w:color="auto"/>
              <w:right w:val="single" w:sz="4" w:space="0" w:color="auto"/>
            </w:tcBorders>
          </w:tcPr>
          <w:p w14:paraId="4F6DDFEF" w14:textId="77777777" w:rsidR="000D07EA" w:rsidRDefault="00BE7C89">
            <w:pPr>
              <w:pStyle w:val="BodyText"/>
              <w:spacing w:before="100" w:after="100"/>
            </w:pPr>
            <w:r>
              <w:t>$1,548</w:t>
            </w:r>
          </w:p>
        </w:tc>
      </w:tr>
    </w:tbl>
    <w:p w14:paraId="109B2892" w14:textId="77777777" w:rsidR="000D07EA" w:rsidRDefault="00BE7C89">
      <w:pPr>
        <w:pStyle w:val="Heading6"/>
        <w:spacing w:before="240"/>
        <w:ind w:left="0" w:firstLine="0"/>
      </w:pPr>
      <w:bookmarkStart w:id="719" w:name="_Toc397941270"/>
      <w:r>
        <w:t xml:space="preserve">What happens if the </w:t>
      </w:r>
      <w:r>
        <w:rPr>
          <w:i/>
        </w:rPr>
        <w:t xml:space="preserve">service is cancelled </w:t>
      </w:r>
      <w:r>
        <w:t>early?</w:t>
      </w:r>
      <w:bookmarkEnd w:id="719"/>
      <w:r>
        <w:t xml:space="preserve"> </w:t>
      </w:r>
    </w:p>
    <w:p w14:paraId="2B702CDA" w14:textId="77777777" w:rsidR="000D07EA" w:rsidRDefault="00BE7C89">
      <w:pPr>
        <w:pStyle w:val="Heading7"/>
      </w:pPr>
      <w:r>
        <w:t xml:space="preserve">If </w:t>
      </w:r>
      <w:r>
        <w:rPr>
          <w:i/>
        </w:rPr>
        <w:t>the service</w:t>
      </w:r>
      <w:r>
        <w:t xml:space="preserve"> </w:t>
      </w:r>
      <w:r>
        <w:rPr>
          <w:i/>
        </w:rPr>
        <w:t xml:space="preserve">is cancelled </w:t>
      </w:r>
      <w:r>
        <w:t xml:space="preserve">before the expiry of the </w:t>
      </w:r>
      <w:r>
        <w:rPr>
          <w:i/>
        </w:rPr>
        <w:t xml:space="preserve">minimum term, you </w:t>
      </w:r>
      <w:r>
        <w:t xml:space="preserve">will be required to pay </w:t>
      </w:r>
      <w:r>
        <w:rPr>
          <w:i/>
        </w:rPr>
        <w:t>us</w:t>
      </w:r>
      <w:r>
        <w:t>:</w:t>
      </w:r>
    </w:p>
    <w:p w14:paraId="09756970" w14:textId="77777777" w:rsidR="000D07EA" w:rsidRDefault="00BE7C89">
      <w:pPr>
        <w:pStyle w:val="Heading8"/>
      </w:pPr>
      <w:r>
        <w:t xml:space="preserve">any usage charges incurred up to, and including, the </w:t>
      </w:r>
      <w:r>
        <w:rPr>
          <w:i/>
        </w:rPr>
        <w:t xml:space="preserve">cancellation date; </w:t>
      </w:r>
      <w:r>
        <w:t>plus</w:t>
      </w:r>
    </w:p>
    <w:p w14:paraId="785A90AD" w14:textId="77777777" w:rsidR="000D07EA" w:rsidRDefault="00BE7C89">
      <w:pPr>
        <w:pStyle w:val="Heading8"/>
      </w:pPr>
      <w:r>
        <w:t xml:space="preserve">the </w:t>
      </w:r>
      <w:r>
        <w:rPr>
          <w:i/>
        </w:rPr>
        <w:t xml:space="preserve">cancellation fee </w:t>
      </w:r>
      <w:r>
        <w:t xml:space="preserve">set in paragraph </w:t>
      </w:r>
      <w:r>
        <w:fldChar w:fldCharType="begin"/>
      </w:r>
      <w:r>
        <w:instrText xml:space="preserve"> REF _Ref461554386 \n \h </w:instrText>
      </w:r>
      <w:r>
        <w:fldChar w:fldCharType="separate"/>
      </w:r>
      <w:r w:rsidR="0004083A">
        <w:t>(b)</w:t>
      </w:r>
      <w:r>
        <w:fldChar w:fldCharType="end"/>
      </w:r>
      <w:r>
        <w:t xml:space="preserve"> and </w:t>
      </w:r>
      <w:r>
        <w:fldChar w:fldCharType="begin"/>
      </w:r>
      <w:r>
        <w:instrText xml:space="preserve"> REF _Ref461554396 \n \h </w:instrText>
      </w:r>
      <w:r>
        <w:fldChar w:fldCharType="separate"/>
      </w:r>
      <w:r w:rsidR="0004083A">
        <w:t>(c)</w:t>
      </w:r>
      <w:r>
        <w:fldChar w:fldCharType="end"/>
      </w:r>
      <w:r>
        <w:t xml:space="preserve"> below (unless under clause 2A of the </w:t>
      </w:r>
      <w:r>
        <w:rPr>
          <w:i/>
        </w:rPr>
        <w:t xml:space="preserve">SME terms, you </w:t>
      </w:r>
      <w:r>
        <w:t xml:space="preserve">are entitled to </w:t>
      </w:r>
      <w:r>
        <w:rPr>
          <w:i/>
        </w:rPr>
        <w:t xml:space="preserve">cancel the service </w:t>
      </w:r>
      <w:r>
        <w:t xml:space="preserve">without incurring a </w:t>
      </w:r>
      <w:r>
        <w:rPr>
          <w:i/>
        </w:rPr>
        <w:t>cancellation fee)</w:t>
      </w:r>
      <w:r>
        <w:t>; plus</w:t>
      </w:r>
    </w:p>
    <w:p w14:paraId="456D3662" w14:textId="77777777" w:rsidR="000D07EA" w:rsidRDefault="00BE7C89">
      <w:pPr>
        <w:pStyle w:val="Heading8"/>
      </w:pPr>
      <w:r>
        <w:t xml:space="preserve">the sum of unpaid </w:t>
      </w:r>
      <w:r>
        <w:rPr>
          <w:i/>
        </w:rPr>
        <w:t xml:space="preserve">equipment charges </w:t>
      </w:r>
      <w:r>
        <w:t xml:space="preserve">owing on </w:t>
      </w:r>
      <w:r>
        <w:rPr>
          <w:i/>
        </w:rPr>
        <w:t xml:space="preserve">your mobile phone </w:t>
      </w:r>
      <w:r>
        <w:t xml:space="preserve">under the </w:t>
      </w:r>
      <w:r>
        <w:rPr>
          <w:i/>
        </w:rPr>
        <w:t xml:space="preserve">mobile equipment payment plan </w:t>
      </w:r>
      <w:r>
        <w:t>(if any)</w:t>
      </w:r>
      <w:r>
        <w:rPr>
          <w:i/>
        </w:rPr>
        <w:t>.</w:t>
      </w:r>
    </w:p>
    <w:p w14:paraId="09CC190F" w14:textId="77777777" w:rsidR="000D07EA" w:rsidRDefault="00BE7C89">
      <w:pPr>
        <w:pStyle w:val="Heading7"/>
      </w:pPr>
      <w:bookmarkStart w:id="720" w:name="_Ref461554386"/>
      <w:r>
        <w:t xml:space="preserve">The </w:t>
      </w:r>
      <w:r>
        <w:rPr>
          <w:i/>
        </w:rPr>
        <w:t>cancellation fee</w:t>
      </w:r>
      <w:r>
        <w:t xml:space="preserve"> for a 24 Month </w:t>
      </w:r>
      <w:r>
        <w:rPr>
          <w:i/>
        </w:rPr>
        <w:t xml:space="preserve">fixed length agreement </w:t>
      </w:r>
      <w:r>
        <w:t xml:space="preserve">is calculated as a fixed amount if the </w:t>
      </w:r>
      <w:r>
        <w:rPr>
          <w:i/>
        </w:rPr>
        <w:t xml:space="preserve">service </w:t>
      </w:r>
      <w:r>
        <w:t xml:space="preserve">is </w:t>
      </w:r>
      <w:r>
        <w:rPr>
          <w:i/>
        </w:rPr>
        <w:t xml:space="preserve">cancelled </w:t>
      </w:r>
      <w:r>
        <w:t xml:space="preserve">during the first 12 months of the </w:t>
      </w:r>
      <w:r>
        <w:rPr>
          <w:i/>
        </w:rPr>
        <w:t>minimum term</w:t>
      </w:r>
      <w:r>
        <w:t xml:space="preserve"> and then a pro-rata reduction of that fee (indicated as a percentage in brackets in the first column of the table below) if the </w:t>
      </w:r>
      <w:r>
        <w:rPr>
          <w:i/>
        </w:rPr>
        <w:t xml:space="preserve">service </w:t>
      </w:r>
      <w:r>
        <w:t xml:space="preserve">is </w:t>
      </w:r>
      <w:r>
        <w:rPr>
          <w:i/>
        </w:rPr>
        <w:t xml:space="preserve">cancelled </w:t>
      </w:r>
      <w:r>
        <w:t xml:space="preserve">during the second year of the </w:t>
      </w:r>
      <w:r>
        <w:rPr>
          <w:i/>
        </w:rPr>
        <w:t>minimum term</w:t>
      </w:r>
      <w:r>
        <w:t>.</w:t>
      </w:r>
      <w:bookmarkEnd w:id="720"/>
    </w:p>
    <w:p w14:paraId="75EA048D" w14:textId="77777777" w:rsidR="000D07EA" w:rsidRDefault="00BE7C89">
      <w:pPr>
        <w:pStyle w:val="Heading7"/>
      </w:pPr>
      <w:bookmarkStart w:id="721" w:name="_Ref461554396"/>
      <w:r>
        <w:lastRenderedPageBreak/>
        <w:t xml:space="preserve">The </w:t>
      </w:r>
      <w:r>
        <w:rPr>
          <w:i/>
        </w:rPr>
        <w:t>cancellation fee</w:t>
      </w:r>
      <w:r>
        <w:t xml:space="preserve"> for a 12 month </w:t>
      </w:r>
      <w:r>
        <w:rPr>
          <w:i/>
        </w:rPr>
        <w:t>fixed length agreement</w:t>
      </w:r>
      <w:r>
        <w:t xml:space="preserve"> is calculated as a fixed amount if the </w:t>
      </w:r>
      <w:r>
        <w:rPr>
          <w:i/>
        </w:rPr>
        <w:t xml:space="preserve">service </w:t>
      </w:r>
      <w:r>
        <w:t xml:space="preserve">is </w:t>
      </w:r>
      <w:r>
        <w:rPr>
          <w:i/>
        </w:rPr>
        <w:t xml:space="preserve">cancelled </w:t>
      </w:r>
      <w:r>
        <w:t xml:space="preserve">during the first 6 months of the </w:t>
      </w:r>
      <w:r>
        <w:rPr>
          <w:i/>
        </w:rPr>
        <w:t>minimum term</w:t>
      </w:r>
      <w:r>
        <w:t xml:space="preserve"> and then a pro-rata reduction of that fee (indicated as a percentage in brackets in the first column of the table below) if the </w:t>
      </w:r>
      <w:r>
        <w:rPr>
          <w:i/>
        </w:rPr>
        <w:t xml:space="preserve">service </w:t>
      </w:r>
      <w:r>
        <w:t xml:space="preserve">is </w:t>
      </w:r>
      <w:r>
        <w:rPr>
          <w:i/>
        </w:rPr>
        <w:t xml:space="preserve">cancelled </w:t>
      </w:r>
      <w:r>
        <w:t xml:space="preserve">during the last 6 months of the </w:t>
      </w:r>
      <w:r>
        <w:rPr>
          <w:i/>
        </w:rPr>
        <w:t>minimum term</w:t>
      </w:r>
      <w:r>
        <w:t>.</w:t>
      </w:r>
      <w:bookmarkEnd w:id="721"/>
    </w:p>
    <w:tbl>
      <w:tblPr>
        <w:tblW w:w="4632" w:type="pct"/>
        <w:tblInd w:w="720" w:type="dxa"/>
        <w:tblCellMar>
          <w:left w:w="115" w:type="dxa"/>
          <w:right w:w="115" w:type="dxa"/>
        </w:tblCellMar>
        <w:tblLook w:val="0000" w:firstRow="0" w:lastRow="0" w:firstColumn="0" w:lastColumn="0" w:noHBand="0" w:noVBand="0"/>
      </w:tblPr>
      <w:tblGrid>
        <w:gridCol w:w="3096"/>
        <w:gridCol w:w="2114"/>
        <w:gridCol w:w="2114"/>
        <w:gridCol w:w="2114"/>
      </w:tblGrid>
      <w:tr w:rsidR="000D07EA" w14:paraId="09E051FB" w14:textId="77777777">
        <w:trPr>
          <w:trHeight w:val="630"/>
        </w:trPr>
        <w:tc>
          <w:tcPr>
            <w:tcW w:w="1640" w:type="pct"/>
            <w:tcBorders>
              <w:top w:val="single" w:sz="4" w:space="0" w:color="auto"/>
              <w:left w:val="single" w:sz="4" w:space="0" w:color="auto"/>
              <w:bottom w:val="single" w:sz="4" w:space="0" w:color="auto"/>
              <w:right w:val="single" w:sz="4" w:space="0" w:color="auto"/>
            </w:tcBorders>
            <w:vAlign w:val="center"/>
          </w:tcPr>
          <w:p w14:paraId="2DBD8697" w14:textId="77777777" w:rsidR="000D07EA" w:rsidRDefault="00BE7C89">
            <w:pPr>
              <w:pStyle w:val="BodyText"/>
              <w:keepNext/>
              <w:spacing w:before="100" w:after="100"/>
              <w:jc w:val="center"/>
              <w:rPr>
                <w:b/>
                <w:bCs/>
              </w:rPr>
            </w:pPr>
            <w:r>
              <w:rPr>
                <w:b/>
                <w:bCs/>
              </w:rPr>
              <w:t xml:space="preserve">When the </w:t>
            </w:r>
            <w:r>
              <w:rPr>
                <w:b/>
                <w:bCs/>
                <w:i/>
                <w:iCs/>
              </w:rPr>
              <w:t>service</w:t>
            </w:r>
            <w:r>
              <w:rPr>
                <w:b/>
                <w:bCs/>
              </w:rPr>
              <w:t xml:space="preserve"> is </w:t>
            </w:r>
            <w:r>
              <w:rPr>
                <w:b/>
                <w:bCs/>
                <w:i/>
                <w:iCs/>
              </w:rPr>
              <w:t>cancelled</w:t>
            </w:r>
          </w:p>
        </w:tc>
        <w:tc>
          <w:tcPr>
            <w:tcW w:w="3360" w:type="pct"/>
            <w:gridSpan w:val="3"/>
            <w:tcBorders>
              <w:top w:val="single" w:sz="4" w:space="0" w:color="auto"/>
              <w:left w:val="nil"/>
              <w:bottom w:val="single" w:sz="4" w:space="0" w:color="auto"/>
              <w:right w:val="single" w:sz="4" w:space="0" w:color="auto"/>
            </w:tcBorders>
          </w:tcPr>
          <w:p w14:paraId="5AE121F3" w14:textId="77777777" w:rsidR="000D07EA" w:rsidRDefault="00BE7C89">
            <w:pPr>
              <w:pStyle w:val="BodyText"/>
              <w:keepNext/>
              <w:spacing w:before="100" w:after="100"/>
              <w:jc w:val="center"/>
              <w:rPr>
                <w:b/>
                <w:bCs/>
                <w:i/>
                <w:iCs/>
              </w:rPr>
            </w:pPr>
            <w:r>
              <w:rPr>
                <w:b/>
                <w:bCs/>
                <w:i/>
                <w:iCs/>
              </w:rPr>
              <w:t>Cancellation Fees</w:t>
            </w:r>
          </w:p>
        </w:tc>
      </w:tr>
      <w:tr w:rsidR="000D07EA" w14:paraId="109BE783" w14:textId="77777777">
        <w:trPr>
          <w:trHeight w:val="315"/>
        </w:trPr>
        <w:tc>
          <w:tcPr>
            <w:tcW w:w="1640" w:type="pct"/>
            <w:tcBorders>
              <w:top w:val="nil"/>
              <w:left w:val="single" w:sz="4" w:space="0" w:color="auto"/>
              <w:bottom w:val="single" w:sz="4" w:space="0" w:color="auto"/>
              <w:right w:val="single" w:sz="4" w:space="0" w:color="auto"/>
            </w:tcBorders>
            <w:vAlign w:val="center"/>
          </w:tcPr>
          <w:p w14:paraId="7DB5B078" w14:textId="77777777" w:rsidR="000D07EA" w:rsidRDefault="000D07EA">
            <w:pPr>
              <w:pStyle w:val="BodyText"/>
              <w:keepNext/>
              <w:spacing w:before="100" w:after="100"/>
              <w:jc w:val="center"/>
            </w:pPr>
          </w:p>
        </w:tc>
        <w:tc>
          <w:tcPr>
            <w:tcW w:w="1120" w:type="pct"/>
            <w:tcBorders>
              <w:top w:val="single" w:sz="4" w:space="0" w:color="auto"/>
              <w:left w:val="nil"/>
              <w:bottom w:val="single" w:sz="4" w:space="0" w:color="auto"/>
              <w:right w:val="single" w:sz="4" w:space="0" w:color="auto"/>
            </w:tcBorders>
            <w:vAlign w:val="center"/>
          </w:tcPr>
          <w:p w14:paraId="3E3FE4D4" w14:textId="77777777" w:rsidR="000D07EA" w:rsidRDefault="00BE7C89">
            <w:pPr>
              <w:pStyle w:val="BodyText"/>
              <w:keepNext/>
              <w:spacing w:before="100" w:after="100"/>
              <w:jc w:val="center"/>
              <w:rPr>
                <w:b/>
                <w:bCs/>
              </w:rPr>
            </w:pPr>
            <w:r>
              <w:rPr>
                <w:b/>
                <w:bCs/>
              </w:rPr>
              <w:t>Business Timeless Plans – 24 Month Contract</w:t>
            </w:r>
          </w:p>
        </w:tc>
        <w:tc>
          <w:tcPr>
            <w:tcW w:w="1120" w:type="pct"/>
            <w:tcBorders>
              <w:top w:val="single" w:sz="4" w:space="0" w:color="auto"/>
              <w:left w:val="single" w:sz="4" w:space="0" w:color="auto"/>
              <w:bottom w:val="single" w:sz="4" w:space="0" w:color="auto"/>
              <w:right w:val="single" w:sz="4" w:space="0" w:color="auto"/>
            </w:tcBorders>
            <w:vAlign w:val="center"/>
          </w:tcPr>
          <w:p w14:paraId="343A6EF6" w14:textId="77777777" w:rsidR="000D07EA" w:rsidRDefault="00BE7C89">
            <w:pPr>
              <w:pStyle w:val="BodyText"/>
              <w:keepNext/>
              <w:spacing w:before="100" w:after="100"/>
              <w:jc w:val="center"/>
              <w:rPr>
                <w:b/>
                <w:bCs/>
              </w:rPr>
            </w:pPr>
            <w:r>
              <w:rPr>
                <w:b/>
                <w:bCs/>
              </w:rPr>
              <w:t>Business Timeless Plans – 24 Month Contract</w:t>
            </w:r>
          </w:p>
        </w:tc>
        <w:tc>
          <w:tcPr>
            <w:tcW w:w="1120" w:type="pct"/>
            <w:tcBorders>
              <w:top w:val="single" w:sz="4" w:space="0" w:color="auto"/>
              <w:left w:val="single" w:sz="4" w:space="0" w:color="auto"/>
              <w:bottom w:val="single" w:sz="4" w:space="0" w:color="auto"/>
              <w:right w:val="single" w:sz="4" w:space="0" w:color="auto"/>
            </w:tcBorders>
            <w:vAlign w:val="center"/>
          </w:tcPr>
          <w:p w14:paraId="40BF93F5" w14:textId="77777777" w:rsidR="000D07EA" w:rsidRDefault="00BE7C89">
            <w:pPr>
              <w:pStyle w:val="BodyText"/>
              <w:keepNext/>
              <w:spacing w:before="100" w:after="100"/>
              <w:jc w:val="center"/>
              <w:rPr>
                <w:b/>
                <w:bCs/>
              </w:rPr>
            </w:pPr>
            <w:r>
              <w:rPr>
                <w:b/>
                <w:bCs/>
              </w:rPr>
              <w:t>Business Timeless Plans – 24 Month Contract</w:t>
            </w:r>
          </w:p>
        </w:tc>
      </w:tr>
      <w:tr w:rsidR="000D07EA" w14:paraId="6D7E0E5E" w14:textId="77777777">
        <w:trPr>
          <w:trHeight w:val="451"/>
        </w:trPr>
        <w:tc>
          <w:tcPr>
            <w:tcW w:w="1640" w:type="pct"/>
            <w:tcBorders>
              <w:top w:val="nil"/>
              <w:left w:val="single" w:sz="4" w:space="0" w:color="auto"/>
              <w:bottom w:val="single" w:sz="4" w:space="0" w:color="auto"/>
              <w:right w:val="single" w:sz="4" w:space="0" w:color="auto"/>
            </w:tcBorders>
            <w:vAlign w:val="center"/>
          </w:tcPr>
          <w:p w14:paraId="480D4755" w14:textId="77777777" w:rsidR="000D07EA" w:rsidRDefault="000D07EA">
            <w:pPr>
              <w:pStyle w:val="BodyText"/>
              <w:keepNext/>
              <w:spacing w:before="100" w:after="100"/>
              <w:jc w:val="center"/>
            </w:pPr>
          </w:p>
        </w:tc>
        <w:tc>
          <w:tcPr>
            <w:tcW w:w="1120" w:type="pct"/>
            <w:tcBorders>
              <w:top w:val="single" w:sz="4" w:space="0" w:color="auto"/>
              <w:left w:val="nil"/>
              <w:bottom w:val="single" w:sz="4" w:space="0" w:color="auto"/>
              <w:right w:val="single" w:sz="4" w:space="0" w:color="auto"/>
            </w:tcBorders>
            <w:vAlign w:val="center"/>
          </w:tcPr>
          <w:p w14:paraId="4076714E" w14:textId="77777777" w:rsidR="000D07EA" w:rsidRDefault="00BE7C89">
            <w:pPr>
              <w:pStyle w:val="BodyText"/>
              <w:keepNext/>
              <w:spacing w:before="100" w:after="100"/>
              <w:jc w:val="center"/>
              <w:rPr>
                <w:b/>
                <w:bCs/>
              </w:rPr>
            </w:pPr>
            <w:r>
              <w:rPr>
                <w:b/>
                <w:bCs/>
              </w:rPr>
              <w:t>$89 Business Timeless Plans</w:t>
            </w:r>
          </w:p>
        </w:tc>
        <w:tc>
          <w:tcPr>
            <w:tcW w:w="1120" w:type="pct"/>
            <w:tcBorders>
              <w:top w:val="nil"/>
              <w:left w:val="single" w:sz="4" w:space="0" w:color="auto"/>
              <w:bottom w:val="single" w:sz="4" w:space="0" w:color="auto"/>
              <w:right w:val="single" w:sz="4" w:space="0" w:color="auto"/>
            </w:tcBorders>
            <w:vAlign w:val="center"/>
          </w:tcPr>
          <w:p w14:paraId="1AE5869E" w14:textId="77777777" w:rsidR="000D07EA" w:rsidRDefault="00BE7C89">
            <w:pPr>
              <w:pStyle w:val="BodyText"/>
              <w:keepNext/>
              <w:spacing w:before="100" w:after="100"/>
              <w:jc w:val="center"/>
              <w:rPr>
                <w:b/>
                <w:bCs/>
              </w:rPr>
            </w:pPr>
            <w:r>
              <w:rPr>
                <w:b/>
                <w:bCs/>
              </w:rPr>
              <w:t>$99 Business Timeless Plans</w:t>
            </w:r>
          </w:p>
        </w:tc>
        <w:tc>
          <w:tcPr>
            <w:tcW w:w="1120" w:type="pct"/>
            <w:tcBorders>
              <w:top w:val="nil"/>
              <w:left w:val="single" w:sz="4" w:space="0" w:color="auto"/>
              <w:bottom w:val="single" w:sz="4" w:space="0" w:color="auto"/>
              <w:right w:val="single" w:sz="4" w:space="0" w:color="auto"/>
            </w:tcBorders>
            <w:vAlign w:val="center"/>
          </w:tcPr>
          <w:p w14:paraId="726A2799" w14:textId="77777777" w:rsidR="000D07EA" w:rsidRDefault="00BE7C89">
            <w:pPr>
              <w:pStyle w:val="BodyText"/>
              <w:keepNext/>
              <w:spacing w:before="100" w:after="100"/>
              <w:jc w:val="center"/>
              <w:rPr>
                <w:b/>
                <w:bCs/>
              </w:rPr>
            </w:pPr>
            <w:r>
              <w:rPr>
                <w:b/>
                <w:bCs/>
              </w:rPr>
              <w:t>$129 Business Timeless Plans</w:t>
            </w:r>
          </w:p>
        </w:tc>
      </w:tr>
      <w:tr w:rsidR="000D07EA" w14:paraId="6AB63F09" w14:textId="77777777">
        <w:trPr>
          <w:trHeight w:val="699"/>
        </w:trPr>
        <w:tc>
          <w:tcPr>
            <w:tcW w:w="1640" w:type="pct"/>
            <w:tcBorders>
              <w:top w:val="nil"/>
              <w:left w:val="single" w:sz="4" w:space="0" w:color="auto"/>
              <w:bottom w:val="single" w:sz="4" w:space="0" w:color="auto"/>
              <w:right w:val="single" w:sz="4" w:space="0" w:color="auto"/>
            </w:tcBorders>
            <w:vAlign w:val="center"/>
          </w:tcPr>
          <w:p w14:paraId="17FA1AAC" w14:textId="77777777" w:rsidR="000D07EA" w:rsidRDefault="00BE7C89">
            <w:pPr>
              <w:pStyle w:val="BodyText"/>
              <w:spacing w:before="100" w:after="100"/>
              <w:jc w:val="center"/>
              <w:rPr>
                <w:b/>
                <w:bCs/>
              </w:rPr>
            </w:pPr>
            <w:r>
              <w:rPr>
                <w:b/>
                <w:bCs/>
              </w:rPr>
              <w:t xml:space="preserve">During the first 12 months - Initial </w:t>
            </w:r>
            <w:r>
              <w:rPr>
                <w:b/>
                <w:bCs/>
                <w:i/>
                <w:iCs/>
              </w:rPr>
              <w:t>cancellation fee</w:t>
            </w:r>
          </w:p>
        </w:tc>
        <w:tc>
          <w:tcPr>
            <w:tcW w:w="1120" w:type="pct"/>
            <w:tcBorders>
              <w:top w:val="single" w:sz="4" w:space="0" w:color="auto"/>
              <w:left w:val="nil"/>
              <w:bottom w:val="single" w:sz="4" w:space="0" w:color="auto"/>
              <w:right w:val="single" w:sz="4" w:space="0" w:color="auto"/>
            </w:tcBorders>
            <w:vAlign w:val="center"/>
          </w:tcPr>
          <w:p w14:paraId="70DDE8F6" w14:textId="77777777" w:rsidR="000D07EA" w:rsidRDefault="00BE7C89">
            <w:pPr>
              <w:pStyle w:val="BodyText"/>
              <w:spacing w:before="100" w:after="100"/>
              <w:jc w:val="center"/>
            </w:pPr>
            <w:r>
              <w:t>$1,470</w:t>
            </w:r>
          </w:p>
        </w:tc>
        <w:tc>
          <w:tcPr>
            <w:tcW w:w="1120" w:type="pct"/>
            <w:tcBorders>
              <w:top w:val="nil"/>
              <w:left w:val="single" w:sz="4" w:space="0" w:color="auto"/>
              <w:bottom w:val="single" w:sz="4" w:space="0" w:color="auto"/>
              <w:right w:val="single" w:sz="4" w:space="0" w:color="auto"/>
            </w:tcBorders>
            <w:vAlign w:val="center"/>
          </w:tcPr>
          <w:p w14:paraId="0C3F1337" w14:textId="77777777" w:rsidR="000D07EA" w:rsidRDefault="00BE7C89">
            <w:pPr>
              <w:pStyle w:val="BodyText"/>
              <w:spacing w:before="100" w:after="100"/>
              <w:jc w:val="center"/>
            </w:pPr>
            <w:r>
              <w:t>$1,645</w:t>
            </w:r>
          </w:p>
        </w:tc>
        <w:tc>
          <w:tcPr>
            <w:tcW w:w="1120" w:type="pct"/>
            <w:tcBorders>
              <w:top w:val="nil"/>
              <w:left w:val="single" w:sz="4" w:space="0" w:color="auto"/>
              <w:bottom w:val="single" w:sz="4" w:space="0" w:color="auto"/>
              <w:right w:val="single" w:sz="4" w:space="0" w:color="auto"/>
            </w:tcBorders>
            <w:vAlign w:val="center"/>
          </w:tcPr>
          <w:p w14:paraId="6AD0E38B" w14:textId="77777777" w:rsidR="000D07EA" w:rsidRDefault="00BE7C89">
            <w:pPr>
              <w:pStyle w:val="BodyText"/>
              <w:spacing w:before="100" w:after="100"/>
              <w:jc w:val="center"/>
            </w:pPr>
            <w:r>
              <w:t>$1,660</w:t>
            </w:r>
          </w:p>
        </w:tc>
      </w:tr>
      <w:tr w:rsidR="000D07EA" w14:paraId="0CADD50E" w14:textId="77777777">
        <w:trPr>
          <w:trHeight w:val="726"/>
        </w:trPr>
        <w:tc>
          <w:tcPr>
            <w:tcW w:w="1640" w:type="pct"/>
            <w:tcBorders>
              <w:top w:val="nil"/>
              <w:left w:val="single" w:sz="4" w:space="0" w:color="auto"/>
              <w:bottom w:val="single" w:sz="4" w:space="0" w:color="auto"/>
              <w:right w:val="single" w:sz="4" w:space="0" w:color="auto"/>
            </w:tcBorders>
            <w:vAlign w:val="center"/>
          </w:tcPr>
          <w:p w14:paraId="6C9D19B4" w14:textId="77777777" w:rsidR="000D07EA" w:rsidRDefault="00BE7C89">
            <w:pPr>
              <w:pStyle w:val="BodyText"/>
              <w:spacing w:before="100" w:after="100"/>
              <w:jc w:val="center"/>
              <w:rPr>
                <w:b/>
                <w:bCs/>
              </w:rPr>
            </w:pPr>
            <w:r>
              <w:rPr>
                <w:b/>
                <w:bCs/>
              </w:rPr>
              <w:t xml:space="preserve">Months 13 – 15 (80% of Initial </w:t>
            </w:r>
            <w:r>
              <w:rPr>
                <w:b/>
                <w:bCs/>
                <w:i/>
                <w:iCs/>
              </w:rPr>
              <w:t>cancellation fee</w:t>
            </w:r>
            <w:r>
              <w:rPr>
                <w:b/>
                <w:bCs/>
              </w:rPr>
              <w:t>)</w:t>
            </w:r>
          </w:p>
        </w:tc>
        <w:tc>
          <w:tcPr>
            <w:tcW w:w="1120" w:type="pct"/>
            <w:tcBorders>
              <w:top w:val="single" w:sz="4" w:space="0" w:color="auto"/>
              <w:left w:val="nil"/>
              <w:bottom w:val="single" w:sz="4" w:space="0" w:color="auto"/>
              <w:right w:val="single" w:sz="4" w:space="0" w:color="auto"/>
            </w:tcBorders>
            <w:vAlign w:val="center"/>
          </w:tcPr>
          <w:p w14:paraId="61EFFBA2" w14:textId="77777777" w:rsidR="000D07EA" w:rsidRDefault="00BE7C89">
            <w:pPr>
              <w:pStyle w:val="BodyText"/>
              <w:spacing w:before="100" w:after="100"/>
              <w:jc w:val="center"/>
            </w:pPr>
            <w:r>
              <w:t>$1,176</w:t>
            </w:r>
          </w:p>
        </w:tc>
        <w:tc>
          <w:tcPr>
            <w:tcW w:w="1120" w:type="pct"/>
            <w:tcBorders>
              <w:top w:val="nil"/>
              <w:left w:val="single" w:sz="4" w:space="0" w:color="auto"/>
              <w:bottom w:val="single" w:sz="4" w:space="0" w:color="auto"/>
              <w:right w:val="single" w:sz="4" w:space="0" w:color="auto"/>
            </w:tcBorders>
            <w:vAlign w:val="center"/>
          </w:tcPr>
          <w:p w14:paraId="4E956FC2" w14:textId="77777777" w:rsidR="000D07EA" w:rsidRDefault="00BE7C89">
            <w:pPr>
              <w:pStyle w:val="BodyText"/>
              <w:spacing w:before="100" w:after="100"/>
              <w:jc w:val="center"/>
            </w:pPr>
            <w:r>
              <w:t>$1,316</w:t>
            </w:r>
          </w:p>
        </w:tc>
        <w:tc>
          <w:tcPr>
            <w:tcW w:w="1120" w:type="pct"/>
            <w:tcBorders>
              <w:top w:val="nil"/>
              <w:left w:val="single" w:sz="4" w:space="0" w:color="auto"/>
              <w:bottom w:val="single" w:sz="4" w:space="0" w:color="auto"/>
              <w:right w:val="single" w:sz="4" w:space="0" w:color="auto"/>
            </w:tcBorders>
            <w:vAlign w:val="center"/>
          </w:tcPr>
          <w:p w14:paraId="55ED539F" w14:textId="77777777" w:rsidR="000D07EA" w:rsidRDefault="00BE7C89">
            <w:pPr>
              <w:pStyle w:val="BodyText"/>
              <w:spacing w:before="100" w:after="100"/>
              <w:jc w:val="center"/>
            </w:pPr>
            <w:r>
              <w:t>$1,328</w:t>
            </w:r>
          </w:p>
        </w:tc>
      </w:tr>
      <w:tr w:rsidR="000D07EA" w14:paraId="0F7C7104" w14:textId="77777777">
        <w:trPr>
          <w:trHeight w:val="768"/>
        </w:trPr>
        <w:tc>
          <w:tcPr>
            <w:tcW w:w="1640" w:type="pct"/>
            <w:tcBorders>
              <w:top w:val="nil"/>
              <w:left w:val="single" w:sz="4" w:space="0" w:color="auto"/>
              <w:bottom w:val="single" w:sz="4" w:space="0" w:color="auto"/>
              <w:right w:val="single" w:sz="4" w:space="0" w:color="auto"/>
            </w:tcBorders>
            <w:vAlign w:val="center"/>
          </w:tcPr>
          <w:p w14:paraId="03D328D8" w14:textId="77777777" w:rsidR="000D07EA" w:rsidRDefault="00BE7C89">
            <w:pPr>
              <w:pStyle w:val="BodyText"/>
              <w:spacing w:before="100" w:after="100"/>
              <w:jc w:val="center"/>
              <w:rPr>
                <w:b/>
                <w:bCs/>
              </w:rPr>
            </w:pPr>
            <w:r>
              <w:rPr>
                <w:b/>
                <w:bCs/>
              </w:rPr>
              <w:t xml:space="preserve">Months 16 – 18 (60% of the Initial </w:t>
            </w:r>
            <w:r>
              <w:rPr>
                <w:b/>
                <w:bCs/>
                <w:i/>
                <w:iCs/>
              </w:rPr>
              <w:t>cancellation fee</w:t>
            </w:r>
            <w:r>
              <w:rPr>
                <w:b/>
                <w:bCs/>
              </w:rPr>
              <w:t>)</w:t>
            </w:r>
          </w:p>
        </w:tc>
        <w:tc>
          <w:tcPr>
            <w:tcW w:w="1120" w:type="pct"/>
            <w:tcBorders>
              <w:top w:val="single" w:sz="4" w:space="0" w:color="auto"/>
              <w:left w:val="nil"/>
              <w:bottom w:val="single" w:sz="4" w:space="0" w:color="auto"/>
              <w:right w:val="single" w:sz="4" w:space="0" w:color="auto"/>
            </w:tcBorders>
            <w:vAlign w:val="center"/>
          </w:tcPr>
          <w:p w14:paraId="56D2A721" w14:textId="77777777" w:rsidR="000D07EA" w:rsidRDefault="00BE7C89">
            <w:pPr>
              <w:pStyle w:val="BodyText"/>
              <w:spacing w:before="100" w:after="100"/>
              <w:jc w:val="center"/>
            </w:pPr>
            <w:r>
              <w:t>$882</w:t>
            </w:r>
          </w:p>
        </w:tc>
        <w:tc>
          <w:tcPr>
            <w:tcW w:w="1120" w:type="pct"/>
            <w:tcBorders>
              <w:top w:val="nil"/>
              <w:left w:val="single" w:sz="4" w:space="0" w:color="auto"/>
              <w:bottom w:val="single" w:sz="4" w:space="0" w:color="auto"/>
              <w:right w:val="single" w:sz="4" w:space="0" w:color="auto"/>
            </w:tcBorders>
            <w:vAlign w:val="center"/>
          </w:tcPr>
          <w:p w14:paraId="6A6293D3" w14:textId="77777777" w:rsidR="000D07EA" w:rsidRDefault="00BE7C89">
            <w:pPr>
              <w:pStyle w:val="BodyText"/>
              <w:spacing w:before="100" w:after="100"/>
              <w:jc w:val="center"/>
            </w:pPr>
            <w:r>
              <w:t>$987</w:t>
            </w:r>
          </w:p>
        </w:tc>
        <w:tc>
          <w:tcPr>
            <w:tcW w:w="1120" w:type="pct"/>
            <w:tcBorders>
              <w:top w:val="nil"/>
              <w:left w:val="single" w:sz="4" w:space="0" w:color="auto"/>
              <w:bottom w:val="single" w:sz="4" w:space="0" w:color="auto"/>
              <w:right w:val="single" w:sz="4" w:space="0" w:color="auto"/>
            </w:tcBorders>
            <w:vAlign w:val="center"/>
          </w:tcPr>
          <w:p w14:paraId="62CDE2A3" w14:textId="77777777" w:rsidR="000D07EA" w:rsidRDefault="00BE7C89">
            <w:pPr>
              <w:pStyle w:val="BodyText"/>
              <w:spacing w:before="100" w:after="100"/>
              <w:jc w:val="center"/>
            </w:pPr>
            <w:r>
              <w:t>$996</w:t>
            </w:r>
          </w:p>
        </w:tc>
      </w:tr>
      <w:tr w:rsidR="000D07EA" w14:paraId="4D61C209" w14:textId="77777777">
        <w:trPr>
          <w:trHeight w:val="694"/>
        </w:trPr>
        <w:tc>
          <w:tcPr>
            <w:tcW w:w="1640" w:type="pct"/>
            <w:tcBorders>
              <w:top w:val="nil"/>
              <w:left w:val="single" w:sz="4" w:space="0" w:color="auto"/>
              <w:bottom w:val="single" w:sz="4" w:space="0" w:color="auto"/>
              <w:right w:val="single" w:sz="4" w:space="0" w:color="auto"/>
            </w:tcBorders>
            <w:vAlign w:val="center"/>
          </w:tcPr>
          <w:p w14:paraId="34086C36" w14:textId="77777777" w:rsidR="000D07EA" w:rsidRDefault="00BE7C89">
            <w:pPr>
              <w:pStyle w:val="BodyText"/>
              <w:spacing w:before="100" w:after="100"/>
              <w:jc w:val="center"/>
              <w:rPr>
                <w:b/>
                <w:bCs/>
              </w:rPr>
            </w:pPr>
            <w:r>
              <w:rPr>
                <w:b/>
                <w:bCs/>
              </w:rPr>
              <w:t xml:space="preserve">Months 19 – 21 (40% of the Initial </w:t>
            </w:r>
            <w:r>
              <w:rPr>
                <w:b/>
                <w:bCs/>
                <w:i/>
                <w:iCs/>
              </w:rPr>
              <w:t>cancellation fee</w:t>
            </w:r>
            <w:r>
              <w:rPr>
                <w:b/>
                <w:bCs/>
              </w:rPr>
              <w:t>)</w:t>
            </w:r>
          </w:p>
        </w:tc>
        <w:tc>
          <w:tcPr>
            <w:tcW w:w="1120" w:type="pct"/>
            <w:tcBorders>
              <w:top w:val="single" w:sz="4" w:space="0" w:color="auto"/>
              <w:left w:val="nil"/>
              <w:bottom w:val="single" w:sz="4" w:space="0" w:color="auto"/>
              <w:right w:val="single" w:sz="4" w:space="0" w:color="auto"/>
            </w:tcBorders>
            <w:vAlign w:val="center"/>
          </w:tcPr>
          <w:p w14:paraId="422C3194" w14:textId="77777777" w:rsidR="000D07EA" w:rsidRDefault="00BE7C89">
            <w:pPr>
              <w:pStyle w:val="BodyText"/>
              <w:spacing w:before="100" w:after="100"/>
              <w:jc w:val="center"/>
            </w:pPr>
            <w:r>
              <w:t>$588</w:t>
            </w:r>
          </w:p>
        </w:tc>
        <w:tc>
          <w:tcPr>
            <w:tcW w:w="1120" w:type="pct"/>
            <w:tcBorders>
              <w:top w:val="nil"/>
              <w:left w:val="single" w:sz="4" w:space="0" w:color="auto"/>
              <w:bottom w:val="single" w:sz="4" w:space="0" w:color="auto"/>
              <w:right w:val="single" w:sz="4" w:space="0" w:color="auto"/>
            </w:tcBorders>
            <w:vAlign w:val="center"/>
          </w:tcPr>
          <w:p w14:paraId="3476CC10" w14:textId="77777777" w:rsidR="000D07EA" w:rsidRDefault="00BE7C89">
            <w:pPr>
              <w:pStyle w:val="BodyText"/>
              <w:spacing w:before="100" w:after="100"/>
              <w:jc w:val="center"/>
            </w:pPr>
            <w:r>
              <w:t>$658</w:t>
            </w:r>
          </w:p>
        </w:tc>
        <w:tc>
          <w:tcPr>
            <w:tcW w:w="1120" w:type="pct"/>
            <w:tcBorders>
              <w:top w:val="nil"/>
              <w:left w:val="single" w:sz="4" w:space="0" w:color="auto"/>
              <w:bottom w:val="single" w:sz="4" w:space="0" w:color="auto"/>
              <w:right w:val="single" w:sz="4" w:space="0" w:color="auto"/>
            </w:tcBorders>
            <w:vAlign w:val="center"/>
          </w:tcPr>
          <w:p w14:paraId="4C7F5EB9" w14:textId="77777777" w:rsidR="000D07EA" w:rsidRDefault="00BE7C89">
            <w:pPr>
              <w:pStyle w:val="BodyText"/>
              <w:spacing w:before="100" w:after="100"/>
              <w:jc w:val="center"/>
            </w:pPr>
            <w:r>
              <w:t>$664</w:t>
            </w:r>
          </w:p>
        </w:tc>
      </w:tr>
      <w:tr w:rsidR="000D07EA" w14:paraId="06D071E4" w14:textId="77777777">
        <w:trPr>
          <w:trHeight w:val="657"/>
        </w:trPr>
        <w:tc>
          <w:tcPr>
            <w:tcW w:w="1640" w:type="pct"/>
            <w:tcBorders>
              <w:top w:val="nil"/>
              <w:left w:val="single" w:sz="4" w:space="0" w:color="auto"/>
              <w:bottom w:val="single" w:sz="4" w:space="0" w:color="auto"/>
              <w:right w:val="single" w:sz="4" w:space="0" w:color="auto"/>
            </w:tcBorders>
            <w:vAlign w:val="center"/>
          </w:tcPr>
          <w:p w14:paraId="3A5DC383" w14:textId="77777777" w:rsidR="000D07EA" w:rsidRDefault="00BE7C89">
            <w:pPr>
              <w:pStyle w:val="BodyText"/>
              <w:spacing w:before="100" w:after="100"/>
              <w:jc w:val="center"/>
              <w:rPr>
                <w:b/>
                <w:bCs/>
              </w:rPr>
            </w:pPr>
            <w:r>
              <w:rPr>
                <w:b/>
                <w:bCs/>
              </w:rPr>
              <w:t>Months 22 – 24 (20% of the Initial cancellation fee)</w:t>
            </w:r>
          </w:p>
        </w:tc>
        <w:tc>
          <w:tcPr>
            <w:tcW w:w="1120" w:type="pct"/>
            <w:tcBorders>
              <w:top w:val="single" w:sz="4" w:space="0" w:color="auto"/>
              <w:left w:val="nil"/>
              <w:bottom w:val="single" w:sz="4" w:space="0" w:color="auto"/>
              <w:right w:val="single" w:sz="4" w:space="0" w:color="auto"/>
            </w:tcBorders>
            <w:vAlign w:val="center"/>
          </w:tcPr>
          <w:p w14:paraId="3A22562D" w14:textId="77777777" w:rsidR="000D07EA" w:rsidRDefault="00BE7C89">
            <w:pPr>
              <w:pStyle w:val="BodyText"/>
              <w:spacing w:before="100" w:after="100"/>
              <w:jc w:val="center"/>
            </w:pPr>
            <w:r>
              <w:t>$294</w:t>
            </w:r>
          </w:p>
        </w:tc>
        <w:tc>
          <w:tcPr>
            <w:tcW w:w="1120" w:type="pct"/>
            <w:tcBorders>
              <w:top w:val="nil"/>
              <w:left w:val="single" w:sz="4" w:space="0" w:color="auto"/>
              <w:bottom w:val="single" w:sz="4" w:space="0" w:color="auto"/>
              <w:right w:val="single" w:sz="4" w:space="0" w:color="auto"/>
            </w:tcBorders>
            <w:vAlign w:val="center"/>
          </w:tcPr>
          <w:p w14:paraId="5250D12A" w14:textId="77777777" w:rsidR="000D07EA" w:rsidRDefault="00BE7C89">
            <w:pPr>
              <w:pStyle w:val="BodyText"/>
              <w:spacing w:before="100" w:after="100"/>
              <w:jc w:val="center"/>
            </w:pPr>
            <w:r>
              <w:t>$329</w:t>
            </w:r>
          </w:p>
        </w:tc>
        <w:tc>
          <w:tcPr>
            <w:tcW w:w="1120" w:type="pct"/>
            <w:tcBorders>
              <w:top w:val="nil"/>
              <w:left w:val="single" w:sz="4" w:space="0" w:color="auto"/>
              <w:bottom w:val="single" w:sz="4" w:space="0" w:color="auto"/>
              <w:right w:val="single" w:sz="4" w:space="0" w:color="auto"/>
            </w:tcBorders>
            <w:vAlign w:val="center"/>
          </w:tcPr>
          <w:p w14:paraId="017529C7" w14:textId="77777777" w:rsidR="000D07EA" w:rsidRDefault="00BE7C89">
            <w:pPr>
              <w:pStyle w:val="BodyText"/>
              <w:spacing w:before="100" w:after="100"/>
              <w:jc w:val="center"/>
            </w:pPr>
            <w:r>
              <w:t>$332</w:t>
            </w:r>
          </w:p>
        </w:tc>
      </w:tr>
    </w:tbl>
    <w:p w14:paraId="05ADECF5" w14:textId="77777777" w:rsidR="000D07EA" w:rsidRDefault="000D07EA">
      <w:pPr>
        <w:pStyle w:val="BodyText"/>
      </w:pPr>
    </w:p>
    <w:tbl>
      <w:tblPr>
        <w:tblW w:w="4632" w:type="pct"/>
        <w:tblInd w:w="720" w:type="dxa"/>
        <w:tblCellMar>
          <w:left w:w="115" w:type="dxa"/>
          <w:right w:w="115" w:type="dxa"/>
        </w:tblCellMar>
        <w:tblLook w:val="0000" w:firstRow="0" w:lastRow="0" w:firstColumn="0" w:lastColumn="0" w:noHBand="0" w:noVBand="0"/>
      </w:tblPr>
      <w:tblGrid>
        <w:gridCol w:w="3102"/>
        <w:gridCol w:w="2112"/>
        <w:gridCol w:w="2112"/>
        <w:gridCol w:w="2112"/>
      </w:tblGrid>
      <w:tr w:rsidR="000D07EA" w14:paraId="537926EA" w14:textId="77777777">
        <w:trPr>
          <w:trHeight w:val="630"/>
          <w:tblHeader/>
        </w:trPr>
        <w:tc>
          <w:tcPr>
            <w:tcW w:w="1643" w:type="pct"/>
            <w:tcBorders>
              <w:top w:val="single" w:sz="4" w:space="0" w:color="auto"/>
              <w:left w:val="single" w:sz="4" w:space="0" w:color="auto"/>
              <w:bottom w:val="single" w:sz="4" w:space="0" w:color="auto"/>
              <w:right w:val="single" w:sz="4" w:space="0" w:color="auto"/>
            </w:tcBorders>
            <w:vAlign w:val="center"/>
          </w:tcPr>
          <w:p w14:paraId="7C6829A9" w14:textId="77777777" w:rsidR="000D07EA" w:rsidRDefault="00BE7C89">
            <w:pPr>
              <w:pStyle w:val="BodyText"/>
              <w:spacing w:before="100" w:after="100"/>
              <w:rPr>
                <w:b/>
                <w:bCs/>
              </w:rPr>
            </w:pPr>
            <w:r>
              <w:rPr>
                <w:b/>
                <w:bCs/>
              </w:rPr>
              <w:t xml:space="preserve">When the </w:t>
            </w:r>
            <w:r>
              <w:rPr>
                <w:b/>
                <w:bCs/>
                <w:i/>
                <w:iCs/>
              </w:rPr>
              <w:t>service</w:t>
            </w:r>
            <w:r>
              <w:rPr>
                <w:b/>
                <w:bCs/>
              </w:rPr>
              <w:t xml:space="preserve"> is </w:t>
            </w:r>
            <w:r>
              <w:rPr>
                <w:b/>
                <w:bCs/>
                <w:i/>
                <w:iCs/>
              </w:rPr>
              <w:t>cancelled</w:t>
            </w:r>
          </w:p>
        </w:tc>
        <w:tc>
          <w:tcPr>
            <w:tcW w:w="3357" w:type="pct"/>
            <w:gridSpan w:val="3"/>
            <w:tcBorders>
              <w:top w:val="single" w:sz="4" w:space="0" w:color="auto"/>
              <w:left w:val="nil"/>
              <w:bottom w:val="single" w:sz="4" w:space="0" w:color="auto"/>
              <w:right w:val="single" w:sz="4" w:space="0" w:color="auto"/>
            </w:tcBorders>
          </w:tcPr>
          <w:p w14:paraId="431338DC" w14:textId="77777777" w:rsidR="000D07EA" w:rsidRDefault="00BE7C89">
            <w:pPr>
              <w:pStyle w:val="BodyText"/>
              <w:spacing w:before="100" w:after="100"/>
              <w:jc w:val="center"/>
              <w:rPr>
                <w:b/>
                <w:bCs/>
                <w:i/>
                <w:iCs/>
              </w:rPr>
            </w:pPr>
            <w:r>
              <w:rPr>
                <w:b/>
                <w:bCs/>
                <w:i/>
                <w:iCs/>
              </w:rPr>
              <w:t>Cancellation Fees</w:t>
            </w:r>
          </w:p>
        </w:tc>
      </w:tr>
      <w:tr w:rsidR="000D07EA" w14:paraId="4594A3D4" w14:textId="77777777">
        <w:trPr>
          <w:trHeight w:val="387"/>
          <w:tblHeader/>
        </w:trPr>
        <w:tc>
          <w:tcPr>
            <w:tcW w:w="1643" w:type="pct"/>
            <w:tcBorders>
              <w:top w:val="nil"/>
              <w:left w:val="single" w:sz="4" w:space="0" w:color="auto"/>
              <w:bottom w:val="single" w:sz="4" w:space="0" w:color="auto"/>
              <w:right w:val="single" w:sz="4" w:space="0" w:color="auto"/>
            </w:tcBorders>
            <w:vAlign w:val="center"/>
          </w:tcPr>
          <w:p w14:paraId="69D6B46D" w14:textId="77777777" w:rsidR="000D07EA" w:rsidRDefault="000D07EA">
            <w:pPr>
              <w:pStyle w:val="BodyText"/>
              <w:spacing w:before="100" w:after="100"/>
              <w:rPr>
                <w:b/>
                <w:bCs/>
              </w:rPr>
            </w:pPr>
          </w:p>
        </w:tc>
        <w:tc>
          <w:tcPr>
            <w:tcW w:w="1119" w:type="pct"/>
            <w:tcBorders>
              <w:top w:val="single" w:sz="4" w:space="0" w:color="auto"/>
              <w:left w:val="nil"/>
              <w:bottom w:val="single" w:sz="4" w:space="0" w:color="auto"/>
              <w:right w:val="single" w:sz="4" w:space="0" w:color="auto"/>
            </w:tcBorders>
            <w:vAlign w:val="center"/>
          </w:tcPr>
          <w:p w14:paraId="6CD49622" w14:textId="77777777" w:rsidR="000D07EA" w:rsidRDefault="00BE7C89">
            <w:pPr>
              <w:pStyle w:val="BodyText"/>
              <w:spacing w:before="100" w:after="100"/>
              <w:jc w:val="center"/>
              <w:rPr>
                <w:b/>
                <w:bCs/>
              </w:rPr>
            </w:pPr>
            <w:r>
              <w:rPr>
                <w:b/>
                <w:bCs/>
              </w:rPr>
              <w:t>Business Timeless Plans – 12 Month Contract</w:t>
            </w:r>
          </w:p>
        </w:tc>
        <w:tc>
          <w:tcPr>
            <w:tcW w:w="1119" w:type="pct"/>
            <w:tcBorders>
              <w:top w:val="single" w:sz="4" w:space="0" w:color="auto"/>
              <w:left w:val="single" w:sz="4" w:space="0" w:color="auto"/>
              <w:bottom w:val="single" w:sz="4" w:space="0" w:color="auto"/>
              <w:right w:val="single" w:sz="4" w:space="0" w:color="auto"/>
            </w:tcBorders>
          </w:tcPr>
          <w:p w14:paraId="32907CB4" w14:textId="77777777" w:rsidR="000D07EA" w:rsidRDefault="00BE7C89">
            <w:pPr>
              <w:pStyle w:val="BodyText"/>
              <w:spacing w:before="100" w:after="100"/>
              <w:jc w:val="center"/>
              <w:rPr>
                <w:b/>
                <w:bCs/>
              </w:rPr>
            </w:pPr>
            <w:r>
              <w:rPr>
                <w:b/>
                <w:bCs/>
              </w:rPr>
              <w:t>Business Timeless Plans – 12 Month Contract</w:t>
            </w:r>
          </w:p>
        </w:tc>
        <w:tc>
          <w:tcPr>
            <w:tcW w:w="1119" w:type="pct"/>
            <w:tcBorders>
              <w:top w:val="single" w:sz="4" w:space="0" w:color="auto"/>
              <w:left w:val="single" w:sz="4" w:space="0" w:color="auto"/>
              <w:bottom w:val="single" w:sz="4" w:space="0" w:color="auto"/>
              <w:right w:val="single" w:sz="4" w:space="0" w:color="auto"/>
            </w:tcBorders>
            <w:vAlign w:val="center"/>
          </w:tcPr>
          <w:p w14:paraId="6C0CE406" w14:textId="77777777" w:rsidR="000D07EA" w:rsidRDefault="00BE7C89">
            <w:pPr>
              <w:pStyle w:val="BodyText"/>
              <w:spacing w:before="100" w:after="100"/>
              <w:jc w:val="center"/>
              <w:rPr>
                <w:b/>
                <w:bCs/>
              </w:rPr>
            </w:pPr>
            <w:r>
              <w:rPr>
                <w:b/>
                <w:bCs/>
              </w:rPr>
              <w:t>Business Timeless Plans – 12 Month Contract</w:t>
            </w:r>
          </w:p>
        </w:tc>
      </w:tr>
      <w:tr w:rsidR="000D07EA" w14:paraId="5B1A5169" w14:textId="77777777">
        <w:trPr>
          <w:trHeight w:val="421"/>
          <w:tblHeader/>
        </w:trPr>
        <w:tc>
          <w:tcPr>
            <w:tcW w:w="1643" w:type="pct"/>
            <w:tcBorders>
              <w:top w:val="nil"/>
              <w:left w:val="single" w:sz="4" w:space="0" w:color="auto"/>
              <w:bottom w:val="single" w:sz="4" w:space="0" w:color="auto"/>
              <w:right w:val="single" w:sz="4" w:space="0" w:color="auto"/>
            </w:tcBorders>
            <w:vAlign w:val="center"/>
          </w:tcPr>
          <w:p w14:paraId="725DDA59" w14:textId="77777777" w:rsidR="000D07EA" w:rsidRDefault="000D07EA">
            <w:pPr>
              <w:pStyle w:val="BodyText"/>
              <w:spacing w:before="100" w:after="100"/>
              <w:rPr>
                <w:b/>
                <w:bCs/>
              </w:rPr>
            </w:pPr>
          </w:p>
        </w:tc>
        <w:tc>
          <w:tcPr>
            <w:tcW w:w="1119" w:type="pct"/>
            <w:tcBorders>
              <w:top w:val="single" w:sz="4" w:space="0" w:color="auto"/>
              <w:left w:val="nil"/>
              <w:bottom w:val="single" w:sz="4" w:space="0" w:color="auto"/>
              <w:right w:val="single" w:sz="4" w:space="0" w:color="auto"/>
            </w:tcBorders>
            <w:vAlign w:val="center"/>
          </w:tcPr>
          <w:p w14:paraId="158E7C79" w14:textId="77777777" w:rsidR="000D07EA" w:rsidRDefault="00BE7C89">
            <w:pPr>
              <w:pStyle w:val="BodyText"/>
              <w:spacing w:before="100" w:after="100"/>
              <w:jc w:val="center"/>
              <w:rPr>
                <w:b/>
                <w:bCs/>
              </w:rPr>
            </w:pPr>
            <w:r>
              <w:rPr>
                <w:b/>
                <w:bCs/>
              </w:rPr>
              <w:t>$89 Business Timeless Plan</w:t>
            </w:r>
          </w:p>
        </w:tc>
        <w:tc>
          <w:tcPr>
            <w:tcW w:w="1119" w:type="pct"/>
            <w:tcBorders>
              <w:top w:val="nil"/>
              <w:left w:val="single" w:sz="4" w:space="0" w:color="auto"/>
              <w:bottom w:val="single" w:sz="4" w:space="0" w:color="auto"/>
              <w:right w:val="single" w:sz="4" w:space="0" w:color="auto"/>
            </w:tcBorders>
          </w:tcPr>
          <w:p w14:paraId="1649F66A" w14:textId="77777777" w:rsidR="000D07EA" w:rsidRDefault="00BE7C89">
            <w:pPr>
              <w:pStyle w:val="BodyText"/>
              <w:spacing w:before="100" w:after="100"/>
              <w:jc w:val="center"/>
              <w:rPr>
                <w:b/>
                <w:bCs/>
              </w:rPr>
            </w:pPr>
            <w:r>
              <w:rPr>
                <w:b/>
                <w:bCs/>
              </w:rPr>
              <w:t>$99 Business Timeless Plan</w:t>
            </w:r>
          </w:p>
        </w:tc>
        <w:tc>
          <w:tcPr>
            <w:tcW w:w="1119" w:type="pct"/>
            <w:tcBorders>
              <w:top w:val="nil"/>
              <w:left w:val="single" w:sz="4" w:space="0" w:color="auto"/>
              <w:bottom w:val="single" w:sz="4" w:space="0" w:color="auto"/>
              <w:right w:val="single" w:sz="4" w:space="0" w:color="auto"/>
            </w:tcBorders>
            <w:vAlign w:val="center"/>
          </w:tcPr>
          <w:p w14:paraId="2E7F0CC9" w14:textId="77777777" w:rsidR="000D07EA" w:rsidRDefault="00BE7C89">
            <w:pPr>
              <w:pStyle w:val="BodyText"/>
              <w:spacing w:before="100" w:after="100"/>
              <w:jc w:val="center"/>
              <w:rPr>
                <w:b/>
                <w:bCs/>
              </w:rPr>
            </w:pPr>
            <w:r>
              <w:rPr>
                <w:b/>
                <w:bCs/>
              </w:rPr>
              <w:t>$129 Business Timeless Plan</w:t>
            </w:r>
          </w:p>
        </w:tc>
      </w:tr>
      <w:tr w:rsidR="000D07EA" w14:paraId="12360EFC" w14:textId="77777777">
        <w:trPr>
          <w:trHeight w:val="945"/>
        </w:trPr>
        <w:tc>
          <w:tcPr>
            <w:tcW w:w="1643" w:type="pct"/>
            <w:tcBorders>
              <w:top w:val="nil"/>
              <w:left w:val="single" w:sz="4" w:space="0" w:color="auto"/>
              <w:bottom w:val="single" w:sz="4" w:space="0" w:color="auto"/>
              <w:right w:val="single" w:sz="4" w:space="0" w:color="auto"/>
            </w:tcBorders>
            <w:vAlign w:val="center"/>
          </w:tcPr>
          <w:p w14:paraId="1BB2138C" w14:textId="77777777" w:rsidR="000D07EA" w:rsidRDefault="00BE7C89">
            <w:pPr>
              <w:pStyle w:val="BodyText"/>
              <w:spacing w:before="100" w:after="100"/>
              <w:jc w:val="center"/>
              <w:rPr>
                <w:b/>
                <w:bCs/>
              </w:rPr>
            </w:pPr>
            <w:r>
              <w:rPr>
                <w:b/>
                <w:bCs/>
              </w:rPr>
              <w:t xml:space="preserve">During the first 6 months – Initial </w:t>
            </w:r>
            <w:r>
              <w:rPr>
                <w:b/>
                <w:bCs/>
                <w:i/>
                <w:iCs/>
              </w:rPr>
              <w:t>cancellation fee</w:t>
            </w:r>
          </w:p>
        </w:tc>
        <w:tc>
          <w:tcPr>
            <w:tcW w:w="1119" w:type="pct"/>
            <w:tcBorders>
              <w:top w:val="single" w:sz="4" w:space="0" w:color="auto"/>
              <w:left w:val="nil"/>
              <w:bottom w:val="single" w:sz="4" w:space="0" w:color="auto"/>
              <w:right w:val="single" w:sz="4" w:space="0" w:color="auto"/>
            </w:tcBorders>
            <w:vAlign w:val="center"/>
          </w:tcPr>
          <w:p w14:paraId="19A492A4" w14:textId="77777777" w:rsidR="000D07EA" w:rsidRDefault="00BE7C89">
            <w:pPr>
              <w:pStyle w:val="BodyText"/>
              <w:spacing w:before="100" w:after="100"/>
              <w:jc w:val="center"/>
            </w:pPr>
            <w:r>
              <w:t>$825</w:t>
            </w:r>
          </w:p>
        </w:tc>
        <w:tc>
          <w:tcPr>
            <w:tcW w:w="1119" w:type="pct"/>
            <w:tcBorders>
              <w:top w:val="nil"/>
              <w:left w:val="single" w:sz="4" w:space="0" w:color="auto"/>
              <w:bottom w:val="single" w:sz="4" w:space="0" w:color="auto"/>
              <w:right w:val="single" w:sz="4" w:space="0" w:color="auto"/>
            </w:tcBorders>
            <w:vAlign w:val="center"/>
          </w:tcPr>
          <w:p w14:paraId="599A5A92" w14:textId="77777777" w:rsidR="000D07EA" w:rsidRDefault="00BE7C89">
            <w:pPr>
              <w:pStyle w:val="BodyText"/>
              <w:spacing w:before="100" w:after="100"/>
              <w:jc w:val="center"/>
            </w:pPr>
            <w:r>
              <w:t>$865</w:t>
            </w:r>
          </w:p>
        </w:tc>
        <w:tc>
          <w:tcPr>
            <w:tcW w:w="1119" w:type="pct"/>
            <w:tcBorders>
              <w:top w:val="nil"/>
              <w:left w:val="single" w:sz="4" w:space="0" w:color="auto"/>
              <w:bottom w:val="single" w:sz="4" w:space="0" w:color="auto"/>
              <w:right w:val="single" w:sz="4" w:space="0" w:color="auto"/>
            </w:tcBorders>
            <w:vAlign w:val="center"/>
          </w:tcPr>
          <w:p w14:paraId="11916756" w14:textId="77777777" w:rsidR="000D07EA" w:rsidRDefault="00BE7C89">
            <w:pPr>
              <w:pStyle w:val="BodyText"/>
              <w:spacing w:before="100" w:after="100"/>
              <w:jc w:val="center"/>
            </w:pPr>
            <w:r>
              <w:t>$878</w:t>
            </w:r>
          </w:p>
        </w:tc>
      </w:tr>
      <w:tr w:rsidR="000D07EA" w14:paraId="5462EECA" w14:textId="77777777">
        <w:trPr>
          <w:trHeight w:val="945"/>
        </w:trPr>
        <w:tc>
          <w:tcPr>
            <w:tcW w:w="1643" w:type="pct"/>
            <w:tcBorders>
              <w:top w:val="nil"/>
              <w:left w:val="single" w:sz="4" w:space="0" w:color="auto"/>
              <w:bottom w:val="single" w:sz="4" w:space="0" w:color="auto"/>
              <w:right w:val="single" w:sz="4" w:space="0" w:color="auto"/>
            </w:tcBorders>
            <w:vAlign w:val="center"/>
          </w:tcPr>
          <w:p w14:paraId="3EE98AA0" w14:textId="77777777" w:rsidR="000D07EA" w:rsidRDefault="00BE7C89">
            <w:pPr>
              <w:pStyle w:val="BodyText"/>
              <w:spacing w:before="100" w:after="100"/>
              <w:jc w:val="center"/>
              <w:rPr>
                <w:b/>
                <w:bCs/>
              </w:rPr>
            </w:pPr>
            <w:r>
              <w:rPr>
                <w:b/>
                <w:bCs/>
              </w:rPr>
              <w:t xml:space="preserve">Months 7 - 9 (70% of Initial </w:t>
            </w:r>
            <w:r>
              <w:rPr>
                <w:b/>
                <w:bCs/>
                <w:i/>
                <w:iCs/>
              </w:rPr>
              <w:t>cancellation fee</w:t>
            </w:r>
            <w:r>
              <w:rPr>
                <w:b/>
                <w:bCs/>
              </w:rPr>
              <w:t>)</w:t>
            </w:r>
          </w:p>
        </w:tc>
        <w:tc>
          <w:tcPr>
            <w:tcW w:w="1119" w:type="pct"/>
            <w:tcBorders>
              <w:top w:val="single" w:sz="4" w:space="0" w:color="auto"/>
              <w:left w:val="nil"/>
              <w:bottom w:val="single" w:sz="4" w:space="0" w:color="auto"/>
              <w:right w:val="single" w:sz="4" w:space="0" w:color="auto"/>
            </w:tcBorders>
            <w:vAlign w:val="center"/>
          </w:tcPr>
          <w:p w14:paraId="2077F4FE" w14:textId="77777777" w:rsidR="000D07EA" w:rsidRDefault="00BE7C89">
            <w:pPr>
              <w:pStyle w:val="BodyText"/>
              <w:spacing w:before="100" w:after="100"/>
              <w:jc w:val="center"/>
            </w:pPr>
            <w:r>
              <w:t>$578</w:t>
            </w:r>
          </w:p>
        </w:tc>
        <w:tc>
          <w:tcPr>
            <w:tcW w:w="1119" w:type="pct"/>
            <w:tcBorders>
              <w:top w:val="nil"/>
              <w:left w:val="single" w:sz="4" w:space="0" w:color="auto"/>
              <w:bottom w:val="single" w:sz="4" w:space="0" w:color="auto"/>
              <w:right w:val="single" w:sz="4" w:space="0" w:color="auto"/>
            </w:tcBorders>
            <w:vAlign w:val="center"/>
          </w:tcPr>
          <w:p w14:paraId="34FE7816" w14:textId="77777777" w:rsidR="000D07EA" w:rsidRDefault="00BE7C89">
            <w:pPr>
              <w:pStyle w:val="BodyText"/>
              <w:spacing w:before="100" w:after="100"/>
              <w:jc w:val="center"/>
            </w:pPr>
            <w:r>
              <w:t>$606</w:t>
            </w:r>
          </w:p>
        </w:tc>
        <w:tc>
          <w:tcPr>
            <w:tcW w:w="1119" w:type="pct"/>
            <w:tcBorders>
              <w:top w:val="nil"/>
              <w:left w:val="single" w:sz="4" w:space="0" w:color="auto"/>
              <w:bottom w:val="single" w:sz="4" w:space="0" w:color="auto"/>
              <w:right w:val="single" w:sz="4" w:space="0" w:color="auto"/>
            </w:tcBorders>
            <w:vAlign w:val="center"/>
          </w:tcPr>
          <w:p w14:paraId="2151A63B" w14:textId="77777777" w:rsidR="000D07EA" w:rsidRDefault="00BE7C89">
            <w:pPr>
              <w:pStyle w:val="BodyText"/>
              <w:spacing w:before="100" w:after="100"/>
              <w:jc w:val="center"/>
            </w:pPr>
            <w:r>
              <w:t>$615</w:t>
            </w:r>
          </w:p>
        </w:tc>
      </w:tr>
      <w:tr w:rsidR="000D07EA" w14:paraId="2E729B49" w14:textId="77777777">
        <w:trPr>
          <w:trHeight w:val="945"/>
        </w:trPr>
        <w:tc>
          <w:tcPr>
            <w:tcW w:w="1643" w:type="pct"/>
            <w:tcBorders>
              <w:top w:val="nil"/>
              <w:left w:val="single" w:sz="4" w:space="0" w:color="auto"/>
              <w:bottom w:val="single" w:sz="4" w:space="0" w:color="auto"/>
              <w:right w:val="single" w:sz="4" w:space="0" w:color="auto"/>
            </w:tcBorders>
            <w:vAlign w:val="center"/>
          </w:tcPr>
          <w:p w14:paraId="726F8E8D" w14:textId="77777777" w:rsidR="000D07EA" w:rsidRDefault="00BE7C89">
            <w:pPr>
              <w:pStyle w:val="BodyText"/>
              <w:spacing w:before="100" w:after="100"/>
              <w:jc w:val="center"/>
              <w:rPr>
                <w:b/>
                <w:bCs/>
              </w:rPr>
            </w:pPr>
            <w:r>
              <w:rPr>
                <w:b/>
                <w:bCs/>
              </w:rPr>
              <w:t xml:space="preserve">Months 10 – 12 (40% of the Initial </w:t>
            </w:r>
            <w:r>
              <w:rPr>
                <w:b/>
                <w:bCs/>
                <w:i/>
                <w:iCs/>
              </w:rPr>
              <w:t>cancellation fee</w:t>
            </w:r>
            <w:r>
              <w:rPr>
                <w:b/>
                <w:bCs/>
              </w:rPr>
              <w:t>)</w:t>
            </w:r>
          </w:p>
        </w:tc>
        <w:tc>
          <w:tcPr>
            <w:tcW w:w="1119" w:type="pct"/>
            <w:tcBorders>
              <w:top w:val="single" w:sz="4" w:space="0" w:color="auto"/>
              <w:left w:val="nil"/>
              <w:bottom w:val="single" w:sz="4" w:space="0" w:color="auto"/>
              <w:right w:val="single" w:sz="4" w:space="0" w:color="auto"/>
            </w:tcBorders>
            <w:vAlign w:val="center"/>
          </w:tcPr>
          <w:p w14:paraId="3CBCA8E4" w14:textId="77777777" w:rsidR="000D07EA" w:rsidRDefault="00BE7C89">
            <w:pPr>
              <w:pStyle w:val="BodyText"/>
              <w:spacing w:before="100" w:after="100"/>
              <w:jc w:val="center"/>
            </w:pPr>
            <w:r>
              <w:t>$330</w:t>
            </w:r>
          </w:p>
        </w:tc>
        <w:tc>
          <w:tcPr>
            <w:tcW w:w="1119" w:type="pct"/>
            <w:tcBorders>
              <w:top w:val="nil"/>
              <w:left w:val="single" w:sz="4" w:space="0" w:color="auto"/>
              <w:bottom w:val="single" w:sz="4" w:space="0" w:color="auto"/>
              <w:right w:val="single" w:sz="4" w:space="0" w:color="auto"/>
            </w:tcBorders>
            <w:vAlign w:val="center"/>
          </w:tcPr>
          <w:p w14:paraId="2CA7FB6F" w14:textId="77777777" w:rsidR="000D07EA" w:rsidRDefault="00BE7C89">
            <w:pPr>
              <w:pStyle w:val="BodyText"/>
              <w:spacing w:before="100" w:after="100"/>
              <w:jc w:val="center"/>
            </w:pPr>
            <w:r>
              <w:t>$346</w:t>
            </w:r>
          </w:p>
        </w:tc>
        <w:tc>
          <w:tcPr>
            <w:tcW w:w="1119" w:type="pct"/>
            <w:tcBorders>
              <w:top w:val="nil"/>
              <w:left w:val="single" w:sz="4" w:space="0" w:color="auto"/>
              <w:bottom w:val="single" w:sz="4" w:space="0" w:color="auto"/>
              <w:right w:val="single" w:sz="4" w:space="0" w:color="auto"/>
            </w:tcBorders>
            <w:vAlign w:val="center"/>
          </w:tcPr>
          <w:p w14:paraId="4365AB8A" w14:textId="77777777" w:rsidR="000D07EA" w:rsidRDefault="00BE7C89">
            <w:pPr>
              <w:pStyle w:val="BodyText"/>
              <w:spacing w:before="100" w:after="100"/>
              <w:jc w:val="center"/>
            </w:pPr>
            <w:r>
              <w:t>$352</w:t>
            </w:r>
          </w:p>
        </w:tc>
      </w:tr>
    </w:tbl>
    <w:p w14:paraId="7DBC044D" w14:textId="77777777" w:rsidR="000D07EA" w:rsidRDefault="000D07EA">
      <w:pPr>
        <w:pStyle w:val="BodyText"/>
      </w:pPr>
      <w:bookmarkStart w:id="722" w:name="_Toc343512483"/>
      <w:bookmarkStart w:id="723" w:name="_Toc343513055"/>
      <w:bookmarkStart w:id="724" w:name="_Toc343513495"/>
      <w:bookmarkStart w:id="725" w:name="_Toc397941271"/>
      <w:bookmarkStart w:id="726" w:name="_Toc455147626"/>
    </w:p>
    <w:p w14:paraId="30FDF46F" w14:textId="77777777" w:rsidR="000D07EA" w:rsidRDefault="00BE7C89">
      <w:pPr>
        <w:pStyle w:val="Heading4"/>
        <w:spacing w:before="240"/>
      </w:pPr>
      <w:bookmarkStart w:id="727" w:name="_Toc62644648"/>
      <w:r>
        <w:t>Business Complete Plans (Dec 2012), Effective 1 December 2012</w:t>
      </w:r>
      <w:bookmarkEnd w:id="722"/>
      <w:bookmarkEnd w:id="723"/>
      <w:bookmarkEnd w:id="724"/>
      <w:bookmarkEnd w:id="725"/>
      <w:bookmarkEnd w:id="726"/>
      <w:bookmarkEnd w:id="727"/>
    </w:p>
    <w:p w14:paraId="199726E9" w14:textId="77777777" w:rsidR="000D07EA" w:rsidRDefault="00BE7C89">
      <w:pPr>
        <w:pStyle w:val="BodyText"/>
        <w:ind w:left="720"/>
        <w:rPr>
          <w:snapToGrid w:val="0"/>
        </w:rPr>
      </w:pPr>
      <w:r>
        <w:rPr>
          <w:b/>
          <w:snapToGrid w:val="0"/>
        </w:rPr>
        <w:t>This section relates to the following plans:</w:t>
      </w:r>
    </w:p>
    <w:p w14:paraId="56BC714A" w14:textId="77777777" w:rsidR="000D07EA" w:rsidRDefault="00BE7C89" w:rsidP="00972274">
      <w:pPr>
        <w:pStyle w:val="BodyText"/>
        <w:numPr>
          <w:ilvl w:val="0"/>
          <w:numId w:val="54"/>
        </w:numPr>
        <w:ind w:left="1440" w:hanging="720"/>
        <w:rPr>
          <w:b/>
        </w:rPr>
      </w:pPr>
      <w:r>
        <w:rPr>
          <w:b/>
        </w:rPr>
        <w:lastRenderedPageBreak/>
        <w:t>$30 Business Complete Plan (Dec 2012), $30 Business Complete Plan Premium (Dec 2012)</w:t>
      </w:r>
    </w:p>
    <w:p w14:paraId="16530A03" w14:textId="77777777" w:rsidR="000D07EA" w:rsidRDefault="00BE7C89" w:rsidP="00972274">
      <w:pPr>
        <w:pStyle w:val="BodyText"/>
        <w:numPr>
          <w:ilvl w:val="0"/>
          <w:numId w:val="54"/>
        </w:numPr>
        <w:ind w:left="1440" w:hanging="720"/>
        <w:rPr>
          <w:b/>
        </w:rPr>
      </w:pPr>
      <w:r>
        <w:rPr>
          <w:b/>
        </w:rPr>
        <w:t>$35 Business Complete Plan (Dec 2012), $35 Business Complete Plan Premium (Dec 2012)</w:t>
      </w:r>
    </w:p>
    <w:p w14:paraId="0AB3DEAC" w14:textId="77777777" w:rsidR="000D07EA" w:rsidRDefault="00BE7C89" w:rsidP="00972274">
      <w:pPr>
        <w:pStyle w:val="BodyText"/>
        <w:numPr>
          <w:ilvl w:val="0"/>
          <w:numId w:val="54"/>
        </w:numPr>
        <w:ind w:left="1440" w:hanging="720"/>
        <w:rPr>
          <w:b/>
        </w:rPr>
      </w:pPr>
      <w:r>
        <w:rPr>
          <w:b/>
        </w:rPr>
        <w:t>$50 Business Complete Plan (Dec 2012), $50 Business Complete Plan Premium (Dec 2012), $50 Business Complete Plan MRO (Dec 2012)</w:t>
      </w:r>
    </w:p>
    <w:p w14:paraId="31722E33" w14:textId="77777777" w:rsidR="000D07EA" w:rsidRDefault="00BE7C89" w:rsidP="00972274">
      <w:pPr>
        <w:pStyle w:val="BodyText"/>
        <w:numPr>
          <w:ilvl w:val="0"/>
          <w:numId w:val="54"/>
        </w:numPr>
        <w:ind w:left="1440" w:hanging="720"/>
        <w:rPr>
          <w:b/>
        </w:rPr>
      </w:pPr>
      <w:r>
        <w:rPr>
          <w:b/>
        </w:rPr>
        <w:t>$60 Business Complete Plan (Dec 2012), $60 Business Complete Plan Premium (Dec 2012), $60 Business Complete Plan MRO (Dec 2012)</w:t>
      </w:r>
    </w:p>
    <w:p w14:paraId="04631979" w14:textId="77777777" w:rsidR="000D07EA" w:rsidRDefault="00BE7C89" w:rsidP="00972274">
      <w:pPr>
        <w:pStyle w:val="BodyText"/>
        <w:numPr>
          <w:ilvl w:val="0"/>
          <w:numId w:val="54"/>
        </w:numPr>
        <w:ind w:left="1440" w:hanging="720"/>
        <w:rPr>
          <w:b/>
        </w:rPr>
      </w:pPr>
      <w:r>
        <w:rPr>
          <w:b/>
        </w:rPr>
        <w:t>$80 Business Complete Plan (Dec 2012), $80 Business Complete Plan Premium (Dec 2012). $80 Business Complete Plan MRO (Dec 2012)</w:t>
      </w:r>
    </w:p>
    <w:p w14:paraId="68D4DA3F" w14:textId="77777777" w:rsidR="000D07EA" w:rsidRDefault="00BE7C89">
      <w:pPr>
        <w:pStyle w:val="Heading6"/>
        <w:ind w:left="0" w:firstLine="0"/>
      </w:pPr>
      <w:bookmarkStart w:id="728" w:name="_Toc343512484"/>
      <w:bookmarkStart w:id="729" w:name="_Toc343513056"/>
      <w:bookmarkStart w:id="730" w:name="_Toc343513496"/>
      <w:bookmarkStart w:id="731" w:name="_Toc397941272"/>
      <w:r>
        <w:t>Eligibility</w:t>
      </w:r>
      <w:bookmarkEnd w:id="728"/>
      <w:bookmarkEnd w:id="729"/>
      <w:bookmarkEnd w:id="730"/>
      <w:bookmarkEnd w:id="731"/>
    </w:p>
    <w:p w14:paraId="48C591EE" w14:textId="77777777" w:rsidR="000D07EA" w:rsidRDefault="00BE7C89">
      <w:pPr>
        <w:pStyle w:val="BodyText"/>
        <w:ind w:left="720"/>
      </w:pPr>
      <w:r>
        <w:t xml:space="preserve">The Business Complete Plans (Dec 2012) (hereafter 'Business Complete Plans') are only available to approved new and existing mobile customers </w:t>
      </w:r>
      <w:r>
        <w:rPr>
          <w:i/>
        </w:rPr>
        <w:t>we</w:t>
      </w:r>
      <w:r>
        <w:t xml:space="preserve"> classify as </w:t>
      </w:r>
      <w:r>
        <w:rPr>
          <w:i/>
        </w:rPr>
        <w:t xml:space="preserve">small or medium business customers </w:t>
      </w:r>
      <w:r>
        <w:t xml:space="preserve">connecting to the </w:t>
      </w:r>
      <w:r>
        <w:rPr>
          <w:i/>
        </w:rPr>
        <w:t xml:space="preserve">service </w:t>
      </w:r>
      <w:r>
        <w:t>in their business name with a valid ABN/ACN/ARBN.</w:t>
      </w:r>
    </w:p>
    <w:p w14:paraId="5E7C38A4" w14:textId="77777777" w:rsidR="000D07EA" w:rsidRDefault="00BE7C89">
      <w:pPr>
        <w:pStyle w:val="Heading6"/>
        <w:ind w:left="0" w:firstLine="0"/>
      </w:pPr>
      <w:bookmarkStart w:id="732" w:name="_Toc343512485"/>
      <w:bookmarkStart w:id="733" w:name="_Toc343513057"/>
      <w:bookmarkStart w:id="734" w:name="_Toc343513497"/>
      <w:bookmarkStart w:id="735" w:name="_Toc397941273"/>
      <w:r>
        <w:t>Blocking access to a number</w:t>
      </w:r>
      <w:bookmarkEnd w:id="732"/>
      <w:bookmarkEnd w:id="733"/>
      <w:bookmarkEnd w:id="734"/>
      <w:bookmarkEnd w:id="735"/>
    </w:p>
    <w:p w14:paraId="5E95DBF8" w14:textId="77777777" w:rsidR="000D07EA" w:rsidRDefault="00BE7C89">
      <w:pPr>
        <w:pStyle w:val="BodyText"/>
        <w:ind w:left="720"/>
      </w:pPr>
      <w:r>
        <w:t xml:space="preserve">In addition to what is stated in clause 11 of the </w:t>
      </w:r>
      <w:r>
        <w:rPr>
          <w:i/>
        </w:rPr>
        <w:t>service description</w:t>
      </w:r>
      <w:r>
        <w:t xml:space="preserve"> ("Access Restrictions"), </w:t>
      </w:r>
      <w:r>
        <w:rPr>
          <w:i/>
        </w:rPr>
        <w:t>we</w:t>
      </w:r>
      <w:r>
        <w:t xml:space="preserve"> may block access to a number (other than an emergency service number) if </w:t>
      </w:r>
      <w:r>
        <w:rPr>
          <w:i/>
        </w:rPr>
        <w:t>we</w:t>
      </w:r>
      <w:r>
        <w:t xml:space="preserve"> reasonably require this to be done for technical, operational or commercial reasons.</w:t>
      </w:r>
    </w:p>
    <w:p w14:paraId="3624A49E" w14:textId="77777777" w:rsidR="000D07EA" w:rsidRDefault="00BE7C89">
      <w:pPr>
        <w:pStyle w:val="Heading6"/>
        <w:ind w:left="0" w:firstLine="0"/>
      </w:pPr>
      <w:bookmarkStart w:id="736" w:name="_Toc343512486"/>
      <w:bookmarkStart w:id="737" w:name="_Toc343513058"/>
      <w:bookmarkStart w:id="738" w:name="_Toc343513498"/>
      <w:bookmarkStart w:id="739" w:name="_Toc397941274"/>
      <w:r>
        <w:t>Minimum Term</w:t>
      </w:r>
      <w:bookmarkEnd w:id="736"/>
      <w:bookmarkEnd w:id="737"/>
      <w:bookmarkEnd w:id="738"/>
      <w:bookmarkEnd w:id="739"/>
    </w:p>
    <w:p w14:paraId="36CC0DFA" w14:textId="77777777" w:rsidR="000D07EA" w:rsidRDefault="00BE7C89">
      <w:pPr>
        <w:pStyle w:val="Heading7"/>
      </w:pPr>
      <w:r>
        <w:t xml:space="preserve">You must agree to either a </w:t>
      </w:r>
      <w:r>
        <w:rPr>
          <w:i/>
        </w:rPr>
        <w:t>non fixed-length agreement</w:t>
      </w:r>
      <w:r>
        <w:t xml:space="preserve"> or a </w:t>
      </w:r>
      <w:r>
        <w:rPr>
          <w:i/>
        </w:rPr>
        <w:t>fixed-length agreement</w:t>
      </w:r>
      <w:r>
        <w:t xml:space="preserve"> with a 12 month or 24 month </w:t>
      </w:r>
      <w:r>
        <w:rPr>
          <w:i/>
        </w:rPr>
        <w:t>minimum term</w:t>
      </w:r>
      <w:r>
        <w:t xml:space="preserve">. </w:t>
      </w:r>
    </w:p>
    <w:p w14:paraId="4D40FBB9" w14:textId="77777777" w:rsidR="000D07EA" w:rsidRDefault="00BE7C89">
      <w:pPr>
        <w:pStyle w:val="Heading7"/>
      </w:pPr>
      <w:r>
        <w:rPr>
          <w:i/>
        </w:rPr>
        <w:t xml:space="preserve">You </w:t>
      </w:r>
      <w:r>
        <w:t xml:space="preserve">may purchase a </w:t>
      </w:r>
      <w:r>
        <w:rPr>
          <w:i/>
        </w:rPr>
        <w:t xml:space="preserve">mobile phone </w:t>
      </w:r>
      <w:r>
        <w:t xml:space="preserve">(or </w:t>
      </w:r>
      <w:r>
        <w:rPr>
          <w:b/>
        </w:rPr>
        <w:t>'handset'</w:t>
      </w:r>
      <w:r>
        <w:t xml:space="preserve">) with a 12 or 24 month </w:t>
      </w:r>
      <w:r>
        <w:rPr>
          <w:i/>
        </w:rPr>
        <w:t xml:space="preserve">equipment term </w:t>
      </w:r>
      <w:r>
        <w:t xml:space="preserve">under a </w:t>
      </w:r>
      <w:r>
        <w:rPr>
          <w:i/>
        </w:rPr>
        <w:t>mobile equipment payment plan</w:t>
      </w:r>
      <w:r>
        <w:t xml:space="preserve"> on a 12 or 24 month </w:t>
      </w:r>
      <w:r>
        <w:rPr>
          <w:i/>
        </w:rPr>
        <w:t xml:space="preserve">fixed length agreement </w:t>
      </w:r>
      <w:r>
        <w:t xml:space="preserve">depending on the </w:t>
      </w:r>
      <w:r>
        <w:rPr>
          <w:i/>
        </w:rPr>
        <w:t xml:space="preserve">minimum term you </w:t>
      </w:r>
      <w:r>
        <w:t xml:space="preserve">choose for </w:t>
      </w:r>
      <w:r>
        <w:rPr>
          <w:i/>
        </w:rPr>
        <w:t>your pricing plan</w:t>
      </w:r>
      <w:r>
        <w:t>.</w:t>
      </w:r>
    </w:p>
    <w:p w14:paraId="5105C21F" w14:textId="77777777" w:rsidR="000D07EA" w:rsidRDefault="00BE7C89">
      <w:pPr>
        <w:pStyle w:val="Heading6"/>
        <w:ind w:left="0" w:firstLine="0"/>
      </w:pPr>
      <w:bookmarkStart w:id="740" w:name="_Toc337119825"/>
      <w:bookmarkStart w:id="741" w:name="_Toc343512487"/>
      <w:bookmarkStart w:id="742" w:name="_Toc343513059"/>
      <w:bookmarkStart w:id="743" w:name="_Toc343513499"/>
      <w:bookmarkStart w:id="744" w:name="_Toc397941275"/>
      <w:r>
        <w:t>What you have to pay us</w:t>
      </w:r>
      <w:bookmarkEnd w:id="740"/>
      <w:bookmarkEnd w:id="741"/>
      <w:bookmarkEnd w:id="742"/>
      <w:bookmarkEnd w:id="743"/>
      <w:bookmarkEnd w:id="744"/>
    </w:p>
    <w:p w14:paraId="64F4F7E6" w14:textId="77777777" w:rsidR="000D07EA" w:rsidRDefault="00BE7C89">
      <w:pPr>
        <w:pStyle w:val="Heading7"/>
      </w:pPr>
      <w:r>
        <w:t xml:space="preserve">Subject to paragraphs </w:t>
      </w:r>
      <w:r>
        <w:fldChar w:fldCharType="begin"/>
      </w:r>
      <w:r>
        <w:instrText xml:space="preserve"> REF _Ref461554440 \n \h </w:instrText>
      </w:r>
      <w:r>
        <w:fldChar w:fldCharType="separate"/>
      </w:r>
      <w:r w:rsidR="0004083A">
        <w:t>(b)</w:t>
      </w:r>
      <w:r>
        <w:fldChar w:fldCharType="end"/>
      </w:r>
      <w:r>
        <w:t xml:space="preserve">, </w:t>
      </w:r>
      <w:r>
        <w:fldChar w:fldCharType="begin"/>
      </w:r>
      <w:r>
        <w:instrText xml:space="preserve"> REF _Ref461554449 \n \h </w:instrText>
      </w:r>
      <w:r>
        <w:fldChar w:fldCharType="separate"/>
      </w:r>
      <w:r w:rsidR="0004083A">
        <w:t>(c)</w:t>
      </w:r>
      <w:r>
        <w:fldChar w:fldCharType="end"/>
      </w:r>
      <w:r>
        <w:t xml:space="preserve">, </w:t>
      </w:r>
      <w:r>
        <w:fldChar w:fldCharType="begin"/>
      </w:r>
      <w:r>
        <w:instrText xml:space="preserve"> REF _Ref461554459 \n \h </w:instrText>
      </w:r>
      <w:r>
        <w:fldChar w:fldCharType="separate"/>
      </w:r>
      <w:r w:rsidR="0004083A">
        <w:t>(d)</w:t>
      </w:r>
      <w:r>
        <w:fldChar w:fldCharType="end"/>
      </w:r>
      <w:r>
        <w:t xml:space="preserve">, </w:t>
      </w:r>
      <w:r>
        <w:fldChar w:fldCharType="begin"/>
      </w:r>
      <w:r>
        <w:instrText xml:space="preserve"> REF _Ref461554468 \n \h </w:instrText>
      </w:r>
      <w:r>
        <w:fldChar w:fldCharType="separate"/>
      </w:r>
      <w:r w:rsidR="0004083A">
        <w:t>(e)</w:t>
      </w:r>
      <w:r>
        <w:fldChar w:fldCharType="end"/>
      </w:r>
      <w:r>
        <w:t xml:space="preserve">, </w:t>
      </w:r>
      <w:r>
        <w:fldChar w:fldCharType="begin"/>
      </w:r>
      <w:r>
        <w:instrText xml:space="preserve"> REF _Ref461554478 \n \h </w:instrText>
      </w:r>
      <w:r>
        <w:fldChar w:fldCharType="separate"/>
      </w:r>
      <w:r w:rsidR="0004083A">
        <w:t>(f)</w:t>
      </w:r>
      <w:r>
        <w:fldChar w:fldCharType="end"/>
      </w:r>
      <w:r>
        <w:t xml:space="preserve">, </w:t>
      </w:r>
      <w:r>
        <w:fldChar w:fldCharType="begin"/>
      </w:r>
      <w:r>
        <w:instrText xml:space="preserve"> REF _Ref461554487 \n \h </w:instrText>
      </w:r>
      <w:r>
        <w:fldChar w:fldCharType="separate"/>
      </w:r>
      <w:r w:rsidR="0004083A">
        <w:t>(g)</w:t>
      </w:r>
      <w:r>
        <w:fldChar w:fldCharType="end"/>
      </w:r>
      <w:r>
        <w:t xml:space="preserve">, </w:t>
      </w:r>
      <w:r>
        <w:fldChar w:fldCharType="begin"/>
      </w:r>
      <w:r>
        <w:instrText xml:space="preserve"> REF _Ref461554497 \n \h </w:instrText>
      </w:r>
      <w:r>
        <w:fldChar w:fldCharType="separate"/>
      </w:r>
      <w:r w:rsidR="0004083A">
        <w:t>(h)</w:t>
      </w:r>
      <w:r>
        <w:fldChar w:fldCharType="end"/>
      </w:r>
      <w:r>
        <w:t xml:space="preserve">, </w:t>
      </w:r>
      <w:r>
        <w:fldChar w:fldCharType="begin"/>
      </w:r>
      <w:r>
        <w:instrText xml:space="preserve"> REF _Ref461554506 \n \h </w:instrText>
      </w:r>
      <w:r>
        <w:fldChar w:fldCharType="separate"/>
      </w:r>
      <w:r w:rsidR="0004083A">
        <w:t>(i)</w:t>
      </w:r>
      <w:r>
        <w:fldChar w:fldCharType="end"/>
      </w:r>
      <w:r>
        <w:t xml:space="preserve">, </w:t>
      </w:r>
      <w:r>
        <w:fldChar w:fldCharType="begin"/>
      </w:r>
      <w:r>
        <w:instrText xml:space="preserve"> REF _Ref461554516 \n \h </w:instrText>
      </w:r>
      <w:r>
        <w:fldChar w:fldCharType="separate"/>
      </w:r>
      <w:r w:rsidR="0004083A">
        <w:t>(j)</w:t>
      </w:r>
      <w:r>
        <w:fldChar w:fldCharType="end"/>
      </w:r>
      <w:r>
        <w:t xml:space="preserve"> and </w:t>
      </w:r>
      <w:r>
        <w:fldChar w:fldCharType="begin"/>
      </w:r>
      <w:r>
        <w:instrText xml:space="preserve"> REF _Ref461554525 \n \h </w:instrText>
      </w:r>
      <w:r>
        <w:fldChar w:fldCharType="separate"/>
      </w:r>
      <w:r w:rsidR="0004083A">
        <w:t>(k)</w:t>
      </w:r>
      <w:r>
        <w:fldChar w:fldCharType="end"/>
      </w:r>
      <w:r>
        <w:t xml:space="preserve"> below </w:t>
      </w:r>
      <w:r>
        <w:rPr>
          <w:i/>
        </w:rPr>
        <w:t xml:space="preserve">you </w:t>
      </w:r>
      <w:r>
        <w:t xml:space="preserve">must pay </w:t>
      </w:r>
      <w:r>
        <w:rPr>
          <w:i/>
        </w:rPr>
        <w:t xml:space="preserve">us </w:t>
      </w:r>
      <w:r>
        <w:t xml:space="preserve">for use of the </w:t>
      </w:r>
      <w:r>
        <w:rPr>
          <w:i/>
        </w:rPr>
        <w:t xml:space="preserve">service </w:t>
      </w:r>
      <w:r>
        <w:t xml:space="preserve">at the rates set out in </w:t>
      </w:r>
      <w:hyperlink r:id="rId522" w:history="1">
        <w:r>
          <w:rPr>
            <w:rStyle w:val="Hyperlink"/>
          </w:rPr>
          <w:t>Section 1</w:t>
        </w:r>
      </w:hyperlink>
      <w:r>
        <w:t xml:space="preserve"> of this </w:t>
      </w:r>
      <w:r>
        <w:rPr>
          <w:i/>
        </w:rPr>
        <w:t xml:space="preserve">standard pricing table </w:t>
      </w:r>
      <w:r>
        <w:t xml:space="preserve">and for </w:t>
      </w:r>
      <w:r>
        <w:rPr>
          <w:i/>
        </w:rPr>
        <w:t xml:space="preserve">value added service features </w:t>
      </w:r>
      <w:r>
        <w:t xml:space="preserve">at the rates set out in </w:t>
      </w:r>
      <w:hyperlink r:id="rId523" w:history="1">
        <w:r>
          <w:rPr>
            <w:rStyle w:val="Hyperlink"/>
          </w:rPr>
          <w:t>Appendix Y</w:t>
        </w:r>
      </w:hyperlink>
      <w:r>
        <w:t xml:space="preserve"> Value Added Service Features</w:t>
      </w:r>
      <w:r>
        <w:rPr>
          <w:i/>
        </w:rPr>
        <w:t>.</w:t>
      </w:r>
      <w:r>
        <w:t xml:space="preserve"> </w:t>
      </w:r>
    </w:p>
    <w:p w14:paraId="24D72E30" w14:textId="77777777" w:rsidR="000D07EA" w:rsidRDefault="00BE7C89">
      <w:pPr>
        <w:pStyle w:val="Heading7"/>
      </w:pPr>
      <w:bookmarkStart w:id="745" w:name="_Ref461554440"/>
      <w:r>
        <w:t xml:space="preserve">If there is a </w:t>
      </w:r>
      <w:r>
        <w:rPr>
          <w:i/>
        </w:rPr>
        <w:t xml:space="preserve">flagfall </w:t>
      </w:r>
      <w:r>
        <w:t xml:space="preserve">or call connection charge for a particular call type, the charge for these calls is the </w:t>
      </w:r>
      <w:r>
        <w:rPr>
          <w:i/>
        </w:rPr>
        <w:t xml:space="preserve">flagfall </w:t>
      </w:r>
      <w:r>
        <w:t>charge plus the relevant rate for the call multiplied by the duration of the call.</w:t>
      </w:r>
      <w:bookmarkEnd w:id="745"/>
    </w:p>
    <w:p w14:paraId="6E13B609" w14:textId="77777777" w:rsidR="000D07EA" w:rsidRDefault="00BE7C89">
      <w:pPr>
        <w:pStyle w:val="Heading7"/>
        <w:rPr>
          <w:b/>
        </w:rPr>
      </w:pPr>
      <w:bookmarkStart w:id="746" w:name="_Ref461554449"/>
      <w:r>
        <w:rPr>
          <w:b/>
        </w:rPr>
        <w:t>Minimum Monthly Charge</w:t>
      </w:r>
      <w:bookmarkEnd w:id="746"/>
    </w:p>
    <w:p w14:paraId="053B65DE" w14:textId="77777777" w:rsidR="000D07EA" w:rsidRDefault="00BE7C89">
      <w:pPr>
        <w:pStyle w:val="BodyText"/>
        <w:ind w:left="1440"/>
      </w:pPr>
      <w:r>
        <w:t xml:space="preserve">Each Business Complete Plan has a Minimum Monthly Charge amount that you must pay us each month as set out in Table 2A below. </w:t>
      </w:r>
    </w:p>
    <w:p w14:paraId="52BFAD05" w14:textId="77777777" w:rsidR="000D07EA" w:rsidRDefault="00BE7C89">
      <w:pPr>
        <w:pStyle w:val="Heading7"/>
        <w:rPr>
          <w:b/>
        </w:rPr>
      </w:pPr>
      <w:bookmarkStart w:id="747" w:name="_Ref461554459"/>
      <w:r>
        <w:rPr>
          <w:b/>
        </w:rPr>
        <w:t>Included Value</w:t>
      </w:r>
      <w:bookmarkEnd w:id="747"/>
    </w:p>
    <w:p w14:paraId="1E5D7B93" w14:textId="77777777" w:rsidR="000D07EA" w:rsidRDefault="00BE7C89">
      <w:pPr>
        <w:pStyle w:val="Heading8"/>
      </w:pPr>
      <w:r>
        <w:t xml:space="preserve">For each of the Business Complete Plans, </w:t>
      </w:r>
      <w:r>
        <w:rPr>
          <w:i/>
        </w:rPr>
        <w:t xml:space="preserve">you </w:t>
      </w:r>
      <w:r>
        <w:t>will receive an amount of 'Included Value' to use within Australia.</w:t>
      </w:r>
    </w:p>
    <w:p w14:paraId="035A7951" w14:textId="77777777" w:rsidR="000D07EA" w:rsidRDefault="00BE7C89">
      <w:pPr>
        <w:pStyle w:val="Heading8"/>
      </w:pPr>
      <w:r>
        <w:t>The amount of the Included Value for each Business Complete Plan is set out in Table 2A below.</w:t>
      </w:r>
    </w:p>
    <w:p w14:paraId="40ECD3C5" w14:textId="77777777" w:rsidR="000D07EA" w:rsidRDefault="00BE7C89">
      <w:pPr>
        <w:pStyle w:val="Heading8"/>
      </w:pPr>
      <w:r>
        <w:t xml:space="preserve">The types of usage that can be used as part of </w:t>
      </w:r>
      <w:r>
        <w:rPr>
          <w:i/>
        </w:rPr>
        <w:t>your</w:t>
      </w:r>
      <w:r>
        <w:t xml:space="preserve"> Included Value are set out in Table 1A below.</w:t>
      </w:r>
    </w:p>
    <w:p w14:paraId="58850102" w14:textId="77777777" w:rsidR="000D07EA" w:rsidRDefault="00BE7C89">
      <w:pPr>
        <w:pStyle w:val="Heading8"/>
      </w:pPr>
      <w:r>
        <w:rPr>
          <w:i/>
        </w:rPr>
        <w:t xml:space="preserve">You </w:t>
      </w:r>
      <w:r>
        <w:t xml:space="preserve">must pay </w:t>
      </w:r>
      <w:r>
        <w:rPr>
          <w:i/>
        </w:rPr>
        <w:t xml:space="preserve">us </w:t>
      </w:r>
      <w:r>
        <w:t xml:space="preserve">for usage that is in excess of the available Included Value. </w:t>
      </w:r>
    </w:p>
    <w:p w14:paraId="01849EC5" w14:textId="77777777" w:rsidR="000D07EA" w:rsidRDefault="00BE7C89">
      <w:pPr>
        <w:pStyle w:val="Heading8"/>
      </w:pPr>
      <w:r>
        <w:rPr>
          <w:i/>
        </w:rPr>
        <w:t xml:space="preserve">You </w:t>
      </w:r>
      <w:r>
        <w:t xml:space="preserve">must pay for any usage that is not part of </w:t>
      </w:r>
      <w:r>
        <w:rPr>
          <w:i/>
        </w:rPr>
        <w:t xml:space="preserve">your </w:t>
      </w:r>
      <w:r>
        <w:t>Included Value.</w:t>
      </w:r>
    </w:p>
    <w:p w14:paraId="57CB9467" w14:textId="77777777" w:rsidR="000D07EA" w:rsidRDefault="00BE7C89">
      <w:pPr>
        <w:pStyle w:val="Heading8"/>
      </w:pPr>
      <w:r>
        <w:rPr>
          <w:snapToGrid w:val="0"/>
        </w:rPr>
        <w:lastRenderedPageBreak/>
        <w:t>Any unused portion of the 'Included Value' expires at the end of each month. This means that it does not roll over into the following month.</w:t>
      </w:r>
    </w:p>
    <w:p w14:paraId="38090D09" w14:textId="77777777" w:rsidR="000D07EA" w:rsidRDefault="00BE7C89">
      <w:pPr>
        <w:pStyle w:val="Heading7"/>
        <w:rPr>
          <w:b/>
        </w:rPr>
      </w:pPr>
      <w:bookmarkStart w:id="748" w:name="_Ref461554468"/>
      <w:r>
        <w:rPr>
          <w:b/>
        </w:rPr>
        <w:t>Included Mobile Internet Data and Unlimited BlackBerry POP3 Email and Browsing (for customers with a Blackberry using an operating system version 7.1 or earlier):</w:t>
      </w:r>
      <w:bookmarkEnd w:id="748"/>
    </w:p>
    <w:p w14:paraId="4E45DA80" w14:textId="77777777" w:rsidR="000D07EA" w:rsidRDefault="00BE7C89">
      <w:pPr>
        <w:pStyle w:val="Heading8"/>
      </w:pPr>
      <w:r>
        <w:t xml:space="preserve">For each of the Business Complete Plans, </w:t>
      </w:r>
      <w:r>
        <w:rPr>
          <w:i/>
        </w:rPr>
        <w:t>you</w:t>
      </w:r>
      <w:r>
        <w:t xml:space="preserve"> will receive the following for use within Australia:</w:t>
      </w:r>
    </w:p>
    <w:p w14:paraId="68DC3E3C" w14:textId="77777777" w:rsidR="000D07EA" w:rsidRDefault="00BE7C89">
      <w:pPr>
        <w:pStyle w:val="Heading9"/>
      </w:pPr>
      <w:r>
        <w:t>an amount of 'Included Mobile Internet Data' (</w:t>
      </w:r>
      <w:r>
        <w:rPr>
          <w:b/>
        </w:rPr>
        <w:t>Included Data</w:t>
      </w:r>
      <w:r>
        <w:t xml:space="preserve">); and </w:t>
      </w:r>
    </w:p>
    <w:p w14:paraId="644C668D" w14:textId="77777777" w:rsidR="000D07EA" w:rsidRDefault="00BE7C89">
      <w:pPr>
        <w:pStyle w:val="Heading9"/>
      </w:pPr>
      <w:r>
        <w:t>if you connect with a Blackberry which uses an operating system version 7.1 or earlier, unlimited BlackBerry POP3 Email and Browsing.</w:t>
      </w:r>
    </w:p>
    <w:p w14:paraId="6207187F" w14:textId="77777777" w:rsidR="000D07EA" w:rsidRDefault="00BE7C89">
      <w:pPr>
        <w:pStyle w:val="Heading8"/>
      </w:pPr>
      <w:r>
        <w:t>The amount of Included Data for each Business Complete Plan is set out in Table 2A below.</w:t>
      </w:r>
    </w:p>
    <w:p w14:paraId="4543A1D8" w14:textId="77777777" w:rsidR="000D07EA" w:rsidRDefault="00BE7C89">
      <w:pPr>
        <w:pStyle w:val="Heading8"/>
      </w:pPr>
      <w:r>
        <w:t>Usage types that count towards your Included Data is set out in Table 1B below.</w:t>
      </w:r>
    </w:p>
    <w:p w14:paraId="4EA4AFEA" w14:textId="77777777" w:rsidR="000D07EA" w:rsidRDefault="00BE7C89">
      <w:pPr>
        <w:pStyle w:val="Heading8"/>
      </w:pPr>
      <w:r>
        <w:rPr>
          <w:i/>
        </w:rPr>
        <w:t xml:space="preserve">You </w:t>
      </w:r>
      <w:r>
        <w:t xml:space="preserve">must pay </w:t>
      </w:r>
      <w:r>
        <w:rPr>
          <w:i/>
        </w:rPr>
        <w:t xml:space="preserve">us </w:t>
      </w:r>
      <w:r>
        <w:t xml:space="preserve">excess data usage charges for data usage that exceeds the available Included Data. </w:t>
      </w:r>
    </w:p>
    <w:p w14:paraId="1EFD72AF" w14:textId="77777777" w:rsidR="000D07EA" w:rsidRDefault="00BE7C89">
      <w:pPr>
        <w:pStyle w:val="Heading8"/>
      </w:pPr>
      <w:r>
        <w:rPr>
          <w:snapToGrid w:val="0"/>
        </w:rPr>
        <w:t xml:space="preserve">Any unused portion of </w:t>
      </w:r>
      <w:r>
        <w:rPr>
          <w:i/>
          <w:snapToGrid w:val="0"/>
        </w:rPr>
        <w:t>the</w:t>
      </w:r>
      <w:r>
        <w:rPr>
          <w:snapToGrid w:val="0"/>
        </w:rPr>
        <w:t xml:space="preserve"> Included Data expires at the end of each month and does not roll over into the following month.</w:t>
      </w:r>
      <w:r>
        <w:t xml:space="preserve"> </w:t>
      </w:r>
    </w:p>
    <w:p w14:paraId="7C2572C5" w14:textId="77777777" w:rsidR="000D07EA" w:rsidRDefault="00BE7C89">
      <w:pPr>
        <w:pStyle w:val="Heading8"/>
      </w:pPr>
      <w:r>
        <w:t xml:space="preserve">Data used while roaming internationally is not part of the Included Data.  </w:t>
      </w:r>
    </w:p>
    <w:p w14:paraId="43B0EF8B" w14:textId="77777777" w:rsidR="000D07EA" w:rsidRDefault="00BE7C89">
      <w:pPr>
        <w:pStyle w:val="Heading8"/>
      </w:pPr>
      <w:r>
        <w:t>The usage types that are part of the unlimited BlackBerry POP3 Email and Browsing inclusion are set out in Table 1C below.</w:t>
      </w:r>
    </w:p>
    <w:p w14:paraId="75E28AA0" w14:textId="77777777" w:rsidR="000D07EA" w:rsidRDefault="00BE7C89">
      <w:pPr>
        <w:pStyle w:val="Heading8"/>
      </w:pPr>
      <w:r>
        <w:rPr>
          <w:i/>
        </w:rPr>
        <w:t xml:space="preserve">You </w:t>
      </w:r>
      <w:r>
        <w:t xml:space="preserve">must pay </w:t>
      </w:r>
      <w:r>
        <w:rPr>
          <w:i/>
        </w:rPr>
        <w:t xml:space="preserve">us </w:t>
      </w:r>
      <w:r>
        <w:t>excess data usage charges for data usage that is not part of the unlimited Blackberry POP 3 Email and Browsing inclusion and that exceeds the available Included Data.</w:t>
      </w:r>
    </w:p>
    <w:p w14:paraId="0EED01E2" w14:textId="77777777" w:rsidR="000D07EA" w:rsidRDefault="00BE7C89">
      <w:pPr>
        <w:pStyle w:val="Heading8"/>
      </w:pPr>
      <w:r>
        <w:t>The Fair Go Policy (</w:t>
      </w:r>
      <w:hyperlink r:id="rId524" w:history="1">
        <w:r>
          <w:rPr>
            <w:rStyle w:val="Hyperlink"/>
            <w:i/>
          </w:rPr>
          <w:t>Appendix S</w:t>
        </w:r>
      </w:hyperlink>
      <w:r>
        <w:t xml:space="preserve">) applies. Unlimited BlackBerry POP3 Email and Browsing is not to be used for a </w:t>
      </w:r>
      <w:r>
        <w:rPr>
          <w:i/>
        </w:rPr>
        <w:t>commercial</w:t>
      </w:r>
      <w:r>
        <w:t xml:space="preserve"> </w:t>
      </w:r>
      <w:r>
        <w:rPr>
          <w:i/>
        </w:rPr>
        <w:t>or non-ordinary purpose</w:t>
      </w:r>
      <w:r>
        <w:t xml:space="preserve">. Please refer to </w:t>
      </w:r>
      <w:hyperlink r:id="rId525" w:history="1">
        <w:r w:rsidR="00503F23">
          <w:rPr>
            <w:rStyle w:val="Hyperlink"/>
            <w:i/>
          </w:rPr>
          <w:t>Appendix S</w:t>
        </w:r>
      </w:hyperlink>
      <w:r w:rsidR="008E7BFE">
        <w:rPr>
          <w:rStyle w:val="Hyperlink"/>
          <w:i/>
        </w:rPr>
        <w:t xml:space="preserve">  </w:t>
      </w:r>
      <w:r>
        <w:t xml:space="preserve">for further details. </w:t>
      </w:r>
    </w:p>
    <w:p w14:paraId="356DE1FE" w14:textId="77777777" w:rsidR="000D07EA" w:rsidRDefault="00BE7C89">
      <w:pPr>
        <w:pStyle w:val="Heading7"/>
        <w:rPr>
          <w:b/>
        </w:rPr>
      </w:pPr>
      <w:bookmarkStart w:id="749" w:name="_Ref461554478"/>
      <w:r>
        <w:rPr>
          <w:b/>
        </w:rPr>
        <w:t>Unlimited standard national SMS on selected Business Complete Plans</w:t>
      </w:r>
      <w:bookmarkEnd w:id="749"/>
    </w:p>
    <w:p w14:paraId="53838B2A" w14:textId="77777777" w:rsidR="000D07EA" w:rsidRDefault="00BE7C89">
      <w:pPr>
        <w:pStyle w:val="Heading8"/>
      </w:pPr>
      <w:r>
        <w:rPr>
          <w:i/>
        </w:rPr>
        <w:t xml:space="preserve">You </w:t>
      </w:r>
      <w:r>
        <w:t>may send unlimited standard SMS to Australian mobiles from within Australia on the following Business Complete Plans:</w:t>
      </w:r>
    </w:p>
    <w:p w14:paraId="787EA571" w14:textId="77777777" w:rsidR="000D07EA" w:rsidRDefault="00BE7C89">
      <w:pPr>
        <w:pStyle w:val="Heading9"/>
      </w:pPr>
      <w:r>
        <w:t>$35 Business Complete Plan (Dec 2012) / $35 Business Complete Plan Premium (Dec 2012);</w:t>
      </w:r>
    </w:p>
    <w:p w14:paraId="2D9DE26D" w14:textId="77777777" w:rsidR="000D07EA" w:rsidRDefault="00BE7C89">
      <w:pPr>
        <w:pStyle w:val="Heading9"/>
      </w:pPr>
      <w:r>
        <w:t>$50 Business Complete Plan (Dec 2012) / $50 Business Complete Plan Premium (Dec 2012) / $50 Business Complete Plan MRO (Dec 2012);</w:t>
      </w:r>
    </w:p>
    <w:p w14:paraId="1D044B8A" w14:textId="77777777" w:rsidR="000D07EA" w:rsidRDefault="00BE7C89">
      <w:pPr>
        <w:pStyle w:val="Heading9"/>
      </w:pPr>
      <w:r>
        <w:t>$60 Business Complete Plan (Dec 2012) / $60 Business Complete Plan Premium (Dec 2012) / $60 Business Complete Plan MRO (Dec 2012); and</w:t>
      </w:r>
    </w:p>
    <w:p w14:paraId="48D29BBD" w14:textId="77777777" w:rsidR="000D07EA" w:rsidRDefault="00BE7C89">
      <w:pPr>
        <w:pStyle w:val="Heading9"/>
      </w:pPr>
      <w:r>
        <w:t>$80 Business Complete Plan (Dec 2012) / $80 Business Complete Plan Premium (Dec 2012) / $80 Optus Plan MRO (Dec 2012).</w:t>
      </w:r>
    </w:p>
    <w:p w14:paraId="52AD7AC0" w14:textId="77777777" w:rsidR="000D07EA" w:rsidRDefault="00BE7C89">
      <w:pPr>
        <w:pStyle w:val="Heading8"/>
      </w:pPr>
      <w:r>
        <w:t>Unlimited SMS excludes Satellite, International, Premium, Group and Email SMS.</w:t>
      </w:r>
    </w:p>
    <w:p w14:paraId="644AF077" w14:textId="77777777" w:rsidR="000D07EA" w:rsidRDefault="00BE7C89">
      <w:pPr>
        <w:pStyle w:val="Heading8"/>
      </w:pPr>
      <w:r>
        <w:t>The Fair Go Policy (</w:t>
      </w:r>
      <w:hyperlink r:id="rId526" w:history="1">
        <w:r>
          <w:rPr>
            <w:rStyle w:val="Hyperlink"/>
            <w:i/>
          </w:rPr>
          <w:t>Appendix S</w:t>
        </w:r>
      </w:hyperlink>
      <w:r>
        <w:t xml:space="preserve">) applies. Unlimited standard national SMS is not to be used for a </w:t>
      </w:r>
      <w:r>
        <w:rPr>
          <w:i/>
        </w:rPr>
        <w:t>commercial or non-ordinary purpose</w:t>
      </w:r>
      <w:r>
        <w:t xml:space="preserve">. For further details refer to </w:t>
      </w:r>
      <w:hyperlink r:id="rId527" w:history="1">
        <w:r w:rsidR="00503F23">
          <w:rPr>
            <w:rStyle w:val="Hyperlink"/>
            <w:i/>
          </w:rPr>
          <w:t>Appendix S</w:t>
        </w:r>
      </w:hyperlink>
      <w:r>
        <w:t>.</w:t>
      </w:r>
    </w:p>
    <w:p w14:paraId="29F7E178" w14:textId="77777777" w:rsidR="000D07EA" w:rsidRDefault="00BE7C89">
      <w:pPr>
        <w:pStyle w:val="Heading7"/>
        <w:rPr>
          <w:b/>
        </w:rPr>
      </w:pPr>
      <w:bookmarkStart w:id="750" w:name="_Ref461554487"/>
      <w:r>
        <w:rPr>
          <w:b/>
        </w:rPr>
        <w:t>Unlimited Voice Calls to Optus mobiles from within Australia on selected Business Complete Plans</w:t>
      </w:r>
      <w:bookmarkEnd w:id="750"/>
    </w:p>
    <w:p w14:paraId="25918313" w14:textId="77777777" w:rsidR="000D07EA" w:rsidRDefault="00BE7C89">
      <w:pPr>
        <w:pStyle w:val="Heading8"/>
      </w:pPr>
      <w:r>
        <w:rPr>
          <w:i/>
        </w:rPr>
        <w:lastRenderedPageBreak/>
        <w:t xml:space="preserve">You </w:t>
      </w:r>
      <w:r>
        <w:t xml:space="preserve">can make unlimited voice calls to Optus mobiles from within Australia on the following Business Complete Plans: </w:t>
      </w:r>
    </w:p>
    <w:p w14:paraId="5A5E3882" w14:textId="77777777" w:rsidR="000D07EA" w:rsidRDefault="00BE7C89">
      <w:pPr>
        <w:pStyle w:val="Heading9"/>
      </w:pPr>
      <w:r>
        <w:t>$60 Business Complete Plan (Dec 2012) / $60 Business Complete Plan Premium (Dec 2012) / $60 Business Complete Plan MRO (Dec 2012); and</w:t>
      </w:r>
    </w:p>
    <w:p w14:paraId="6BAAAD70" w14:textId="77777777" w:rsidR="000D07EA" w:rsidRDefault="00BE7C89">
      <w:pPr>
        <w:pStyle w:val="Heading9"/>
      </w:pPr>
      <w:r>
        <w:t xml:space="preserve">$80 Business Complete Plan (Dec 2012) / $80 Business Complete Plan Premium (Dec 2012) / $80 Business Complete Plan MRO (Dec 2012). </w:t>
      </w:r>
    </w:p>
    <w:p w14:paraId="0DCC9634" w14:textId="77777777" w:rsidR="000D07EA" w:rsidRDefault="00BE7C89">
      <w:pPr>
        <w:pStyle w:val="Heading8"/>
      </w:pPr>
      <w:r>
        <w:t>The Fair Go Policy (</w:t>
      </w:r>
      <w:hyperlink r:id="rId528" w:history="1">
        <w:r>
          <w:rPr>
            <w:rStyle w:val="Hyperlink"/>
            <w:i/>
          </w:rPr>
          <w:t>Appendix S</w:t>
        </w:r>
      </w:hyperlink>
      <w:r>
        <w:t xml:space="preserve">) applies. Please refer to </w:t>
      </w:r>
      <w:hyperlink r:id="rId529" w:history="1">
        <w:r w:rsidR="00503F23">
          <w:rPr>
            <w:rStyle w:val="Hyperlink"/>
            <w:i/>
          </w:rPr>
          <w:t>Appendix S</w:t>
        </w:r>
      </w:hyperlink>
      <w:r>
        <w:t xml:space="preserve"> </w:t>
      </w:r>
      <w:r w:rsidR="009A4616">
        <w:t xml:space="preserve"> </w:t>
      </w:r>
      <w:r>
        <w:t xml:space="preserve">for further details. </w:t>
      </w:r>
    </w:p>
    <w:p w14:paraId="7CAB0DBF" w14:textId="77777777" w:rsidR="000D07EA" w:rsidRDefault="00BE7C89">
      <w:pPr>
        <w:pStyle w:val="Heading7"/>
        <w:rPr>
          <w:b/>
        </w:rPr>
      </w:pPr>
      <w:bookmarkStart w:id="751" w:name="_Ref461554497"/>
      <w:r>
        <w:rPr>
          <w:b/>
        </w:rPr>
        <w:t>Unlimited voice calls to Optus mobiles on Same Customer Account Number</w:t>
      </w:r>
      <w:bookmarkEnd w:id="751"/>
    </w:p>
    <w:p w14:paraId="493B55D1" w14:textId="77777777" w:rsidR="000D07EA" w:rsidRDefault="00BE7C89">
      <w:pPr>
        <w:pStyle w:val="Heading8"/>
        <w:rPr>
          <w:b/>
        </w:rPr>
      </w:pPr>
      <w:r>
        <w:t xml:space="preserve">For each of the Business Complete Plans, </w:t>
      </w:r>
      <w:r>
        <w:rPr>
          <w:i/>
        </w:rPr>
        <w:t>you</w:t>
      </w:r>
      <w:r>
        <w:t xml:space="preserve"> can make unlimited voice calls within Australia to other Optus mobile services on the same customer account number for no additional cost. </w:t>
      </w:r>
    </w:p>
    <w:p w14:paraId="04580F77" w14:textId="77777777" w:rsidR="000D07EA" w:rsidRDefault="00BE7C89">
      <w:pPr>
        <w:pStyle w:val="Heading8"/>
      </w:pPr>
      <w:r>
        <w:t>The Fair Go Policy (</w:t>
      </w:r>
      <w:hyperlink r:id="rId530" w:history="1">
        <w:r>
          <w:rPr>
            <w:rStyle w:val="Hyperlink"/>
            <w:i/>
          </w:rPr>
          <w:t>Appendix S</w:t>
        </w:r>
      </w:hyperlink>
      <w:r>
        <w:t xml:space="preserve">) applies to this offer. Please refer to </w:t>
      </w:r>
      <w:hyperlink r:id="rId531" w:history="1">
        <w:r w:rsidR="00503F23">
          <w:rPr>
            <w:rStyle w:val="Hyperlink"/>
            <w:i/>
          </w:rPr>
          <w:t>Appendix S</w:t>
        </w:r>
      </w:hyperlink>
      <w:r>
        <w:t xml:space="preserve"> for further details.</w:t>
      </w:r>
    </w:p>
    <w:p w14:paraId="41560838" w14:textId="77777777" w:rsidR="000D07EA" w:rsidRDefault="00BE7C89">
      <w:pPr>
        <w:pStyle w:val="Heading7"/>
        <w:rPr>
          <w:b/>
        </w:rPr>
      </w:pPr>
      <w:bookmarkStart w:id="752" w:name="_Ref461554506"/>
      <w:r>
        <w:rPr>
          <w:b/>
        </w:rPr>
        <w:t>Unlimited VoiceMail</w:t>
      </w:r>
      <w:bookmarkEnd w:id="752"/>
    </w:p>
    <w:p w14:paraId="1C862AD5" w14:textId="77777777" w:rsidR="000D07EA" w:rsidRDefault="00BE7C89">
      <w:pPr>
        <w:pStyle w:val="BodyText"/>
        <w:ind w:left="1440"/>
      </w:pPr>
      <w:r>
        <w:t xml:space="preserve">Under the Business Complete Plans, </w:t>
      </w:r>
      <w:r>
        <w:rPr>
          <w:i/>
        </w:rPr>
        <w:t xml:space="preserve">you </w:t>
      </w:r>
      <w:r>
        <w:t>will receive unlimited VoiceMail within Australia. The Fair Go Policy (</w:t>
      </w:r>
      <w:hyperlink r:id="rId532" w:history="1">
        <w:r>
          <w:rPr>
            <w:rStyle w:val="Hyperlink"/>
            <w:i/>
          </w:rPr>
          <w:t>Appendix S</w:t>
        </w:r>
      </w:hyperlink>
      <w:r>
        <w:t>) a</w:t>
      </w:r>
      <w:r>
        <w:rPr>
          <w:i/>
        </w:rPr>
        <w:t>ppli</w:t>
      </w:r>
      <w:r>
        <w:t xml:space="preserve">es. Please refer to </w:t>
      </w:r>
      <w:r>
        <w:rPr>
          <w:i/>
        </w:rPr>
        <w:t xml:space="preserve">Appendix </w:t>
      </w:r>
      <w:r w:rsidR="00DD7FB0">
        <w:rPr>
          <w:i/>
        </w:rPr>
        <w:t>S</w:t>
      </w:r>
      <w:r>
        <w:rPr>
          <w:i/>
        </w:rPr>
        <w:t xml:space="preserve"> </w:t>
      </w:r>
      <w:r>
        <w:t>for further details.</w:t>
      </w:r>
    </w:p>
    <w:p w14:paraId="6225E2BA" w14:textId="77777777" w:rsidR="000D07EA" w:rsidRDefault="00BE7C89">
      <w:pPr>
        <w:pStyle w:val="Heading7"/>
        <w:rPr>
          <w:b/>
        </w:rPr>
      </w:pPr>
      <w:bookmarkStart w:id="753" w:name="_Ref461554516"/>
      <w:r>
        <w:rPr>
          <w:b/>
        </w:rPr>
        <w:t>Other Business Complete Plans Conditions and Offers</w:t>
      </w:r>
      <w:bookmarkEnd w:id="753"/>
    </w:p>
    <w:p w14:paraId="6277DFFF" w14:textId="77777777" w:rsidR="000D07EA" w:rsidRDefault="00BE7C89">
      <w:pPr>
        <w:pStyle w:val="Heading8"/>
      </w:pPr>
      <w:r>
        <w:t>Some handsets are locked to our network. If you wish to unlock one of these handsets you should call our Customer Service centre.</w:t>
      </w:r>
    </w:p>
    <w:p w14:paraId="2BD91F17" w14:textId="77777777" w:rsidR="000D07EA" w:rsidRDefault="00BE7C89">
      <w:pPr>
        <w:pStyle w:val="Heading8"/>
      </w:pPr>
      <w:r>
        <w:t xml:space="preserve">Available features will vary depending on </w:t>
      </w:r>
      <w:r>
        <w:rPr>
          <w:i/>
        </w:rPr>
        <w:t>your</w:t>
      </w:r>
      <w:r>
        <w:t xml:space="preserve"> handset or software version.</w:t>
      </w:r>
    </w:p>
    <w:p w14:paraId="438A8CF2" w14:textId="77777777" w:rsidR="000D07EA" w:rsidRDefault="00BE7C89">
      <w:pPr>
        <w:pStyle w:val="Heading7"/>
        <w:rPr>
          <w:b/>
        </w:rPr>
      </w:pPr>
      <w:bookmarkStart w:id="754" w:name="_Ref461554525"/>
      <w:r>
        <w:rPr>
          <w:b/>
        </w:rPr>
        <w:t>Additional benefit – Handset Credit (Optus Plan MRO)</w:t>
      </w:r>
      <w:bookmarkEnd w:id="754"/>
    </w:p>
    <w:p w14:paraId="354E06B7" w14:textId="77777777" w:rsidR="000D07EA" w:rsidRDefault="00BE7C89">
      <w:pPr>
        <w:pStyle w:val="Heading8"/>
      </w:pPr>
      <w:r>
        <w:t xml:space="preserve">If </w:t>
      </w:r>
      <w:r>
        <w:rPr>
          <w:i/>
        </w:rPr>
        <w:t>you</w:t>
      </w:r>
      <w:r>
        <w:t xml:space="preserve"> connect to the $50 Business Complete Plan MRO (Dec 2012), $60 Business Complete Plan MRO (Dec 2012), or $80 Business Complete Plan MRO (Dec 2012) on a </w:t>
      </w:r>
      <w:r>
        <w:rPr>
          <w:i/>
        </w:rPr>
        <w:t>fixed-length agreement</w:t>
      </w:r>
      <w:r>
        <w:t xml:space="preserve"> with a 12 or 24 month </w:t>
      </w:r>
      <w:r>
        <w:rPr>
          <w:i/>
        </w:rPr>
        <w:t>minimum term</w:t>
      </w:r>
      <w:r>
        <w:t xml:space="preserve">, </w:t>
      </w:r>
      <w:r>
        <w:rPr>
          <w:i/>
        </w:rPr>
        <w:t>you</w:t>
      </w:r>
      <w:r>
        <w:t xml:space="preserve"> will receive a credit ('Handset Credit') each month for the </w:t>
      </w:r>
      <w:r>
        <w:rPr>
          <w:i/>
        </w:rPr>
        <w:t>minimum term</w:t>
      </w:r>
      <w:r>
        <w:t xml:space="preserve"> of </w:t>
      </w:r>
      <w:r>
        <w:rPr>
          <w:i/>
        </w:rPr>
        <w:t>your</w:t>
      </w:r>
      <w:r>
        <w:t xml:space="preserve"> selected </w:t>
      </w:r>
      <w:r>
        <w:rPr>
          <w:i/>
        </w:rPr>
        <w:t>pricing plan</w:t>
      </w:r>
      <w:r>
        <w:t xml:space="preserve">, which will offset and reduce the monthly repayment costs of </w:t>
      </w:r>
      <w:r>
        <w:rPr>
          <w:i/>
        </w:rPr>
        <w:t>your</w:t>
      </w:r>
      <w:r>
        <w:t xml:space="preserve"> mobile phone. </w:t>
      </w:r>
    </w:p>
    <w:p w14:paraId="0D647C6A" w14:textId="77777777" w:rsidR="000D07EA" w:rsidRDefault="00BE7C89">
      <w:pPr>
        <w:pStyle w:val="Heading8"/>
      </w:pPr>
      <w:r>
        <w:t xml:space="preserve">If </w:t>
      </w:r>
      <w:r>
        <w:rPr>
          <w:i/>
        </w:rPr>
        <w:t>you</w:t>
      </w:r>
      <w:r>
        <w:t xml:space="preserve"> </w:t>
      </w:r>
      <w:r>
        <w:rPr>
          <w:i/>
        </w:rPr>
        <w:t>cancel</w:t>
      </w:r>
      <w:r>
        <w:t xml:space="preserve"> </w:t>
      </w:r>
      <w:r>
        <w:rPr>
          <w:i/>
        </w:rPr>
        <w:t>your</w:t>
      </w:r>
      <w:r>
        <w:t xml:space="preserve"> selected </w:t>
      </w:r>
      <w:r>
        <w:rPr>
          <w:i/>
        </w:rPr>
        <w:t>pricing plan</w:t>
      </w:r>
      <w:r>
        <w:t xml:space="preserve"> or the </w:t>
      </w:r>
      <w:r>
        <w:rPr>
          <w:i/>
        </w:rPr>
        <w:t>mobile equipment payment plan</w:t>
      </w:r>
      <w:r>
        <w:t xml:space="preserve"> during the </w:t>
      </w:r>
      <w:r>
        <w:rPr>
          <w:i/>
        </w:rPr>
        <w:t>minimum term</w:t>
      </w:r>
      <w:r>
        <w:t xml:space="preserve">, </w:t>
      </w:r>
      <w:r>
        <w:rPr>
          <w:i/>
        </w:rPr>
        <w:t>you</w:t>
      </w:r>
      <w:r>
        <w:t xml:space="preserve"> will no longer be entitled to further Handset Credits and </w:t>
      </w:r>
      <w:r>
        <w:rPr>
          <w:i/>
        </w:rPr>
        <w:t>you</w:t>
      </w:r>
      <w:r>
        <w:t xml:space="preserve"> must pay the remaining handset repayments in full in addition to any</w:t>
      </w:r>
      <w:r>
        <w:rPr>
          <w:i/>
        </w:rPr>
        <w:t xml:space="preserve"> cancellation fee</w:t>
      </w:r>
      <w:r>
        <w:t>.</w:t>
      </w:r>
    </w:p>
    <w:p w14:paraId="6305B17E" w14:textId="77777777" w:rsidR="000D07EA" w:rsidRDefault="00BE7C89">
      <w:pPr>
        <w:pStyle w:val="Heading8"/>
      </w:pPr>
      <w:r>
        <w:t xml:space="preserve">The applicable Handset Credit for these </w:t>
      </w:r>
      <w:r>
        <w:rPr>
          <w:i/>
        </w:rPr>
        <w:t xml:space="preserve">pricing plans </w:t>
      </w:r>
      <w:r>
        <w:t>is set out in Table 2A below.</w:t>
      </w:r>
    </w:p>
    <w:p w14:paraId="6C771772" w14:textId="77777777" w:rsidR="000D07EA" w:rsidRDefault="00BE7C89">
      <w:pPr>
        <w:pStyle w:val="BodyText"/>
        <w:ind w:left="720"/>
        <w:rPr>
          <w:b/>
        </w:rPr>
      </w:pPr>
      <w:r>
        <w:rPr>
          <w:b/>
        </w:rPr>
        <w:t xml:space="preserve">Table 1A –Usage types that are part of </w:t>
      </w:r>
      <w:r>
        <w:rPr>
          <w:b/>
          <w:i/>
        </w:rPr>
        <w:t xml:space="preserve">your </w:t>
      </w:r>
      <w:r>
        <w:rPr>
          <w:b/>
        </w:rPr>
        <w:t>Included Value</w:t>
      </w:r>
    </w:p>
    <w:tbl>
      <w:tblPr>
        <w:tblW w:w="4543"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6565"/>
        <w:gridCol w:w="2692"/>
      </w:tblGrid>
      <w:tr w:rsidR="000D07EA" w14:paraId="75A816D0" w14:textId="77777777">
        <w:trPr>
          <w:trHeight w:val="63"/>
          <w:tblHeader/>
        </w:trPr>
        <w:tc>
          <w:tcPr>
            <w:tcW w:w="3546" w:type="pct"/>
          </w:tcPr>
          <w:p w14:paraId="2FCB671A" w14:textId="77777777" w:rsidR="000D07EA" w:rsidRDefault="00BE7C89">
            <w:pPr>
              <w:pStyle w:val="BodyText"/>
              <w:spacing w:before="100" w:after="100"/>
              <w:rPr>
                <w:b/>
                <w:bCs/>
              </w:rPr>
            </w:pPr>
            <w:r>
              <w:rPr>
                <w:b/>
                <w:bCs/>
              </w:rPr>
              <w:t>Usage Type</w:t>
            </w:r>
          </w:p>
        </w:tc>
        <w:tc>
          <w:tcPr>
            <w:tcW w:w="1454" w:type="pct"/>
          </w:tcPr>
          <w:p w14:paraId="293F1F7F" w14:textId="77777777" w:rsidR="000D07EA" w:rsidRDefault="00BE7C89">
            <w:pPr>
              <w:pStyle w:val="BodyText"/>
              <w:spacing w:before="100" w:after="100"/>
              <w:rPr>
                <w:b/>
                <w:bCs/>
              </w:rPr>
            </w:pPr>
            <w:r>
              <w:rPr>
                <w:b/>
                <w:bCs/>
              </w:rPr>
              <w:t xml:space="preserve">Included </w:t>
            </w:r>
          </w:p>
        </w:tc>
      </w:tr>
      <w:tr w:rsidR="000D07EA" w14:paraId="4212EE08" w14:textId="77777777">
        <w:trPr>
          <w:trHeight w:val="63"/>
        </w:trPr>
        <w:tc>
          <w:tcPr>
            <w:tcW w:w="3546" w:type="pct"/>
          </w:tcPr>
          <w:p w14:paraId="4C8014EF" w14:textId="77777777" w:rsidR="000D07EA" w:rsidRDefault="00BE7C89">
            <w:pPr>
              <w:pStyle w:val="BodyText"/>
              <w:spacing w:before="100" w:after="100"/>
            </w:pPr>
            <w:r>
              <w:t>Standard National Voice Calls</w:t>
            </w:r>
          </w:p>
        </w:tc>
        <w:tc>
          <w:tcPr>
            <w:tcW w:w="1454" w:type="pct"/>
          </w:tcPr>
          <w:p w14:paraId="68AFF9E6" w14:textId="77777777" w:rsidR="000D07EA" w:rsidRDefault="00BE7C89">
            <w:pPr>
              <w:pStyle w:val="BodyText"/>
              <w:spacing w:before="100" w:after="100"/>
            </w:pPr>
            <w:r>
              <w:t>Yes</w:t>
            </w:r>
          </w:p>
        </w:tc>
      </w:tr>
      <w:tr w:rsidR="000D07EA" w14:paraId="48FDB42B" w14:textId="77777777">
        <w:trPr>
          <w:trHeight w:val="63"/>
        </w:trPr>
        <w:tc>
          <w:tcPr>
            <w:tcW w:w="3546" w:type="pct"/>
          </w:tcPr>
          <w:p w14:paraId="6B427DF3" w14:textId="77777777" w:rsidR="000D07EA" w:rsidRDefault="00BE7C89">
            <w:pPr>
              <w:pStyle w:val="BodyText"/>
              <w:spacing w:before="100" w:after="100"/>
            </w:pPr>
            <w:r>
              <w:t>International Voice Calls</w:t>
            </w:r>
          </w:p>
          <w:p w14:paraId="70E6B355" w14:textId="77777777" w:rsidR="000D07EA" w:rsidRDefault="00BE7C89">
            <w:pPr>
              <w:pStyle w:val="BodyText"/>
              <w:spacing w:before="100" w:after="100"/>
            </w:pPr>
            <w:r>
              <w:rPr>
                <w:snapToGrid w:val="0"/>
              </w:rPr>
              <w:t>(includes calls to national fixed or mobile services that then divert/switch or re-route overseas)</w:t>
            </w:r>
          </w:p>
        </w:tc>
        <w:tc>
          <w:tcPr>
            <w:tcW w:w="1454" w:type="pct"/>
          </w:tcPr>
          <w:p w14:paraId="5D7ABEFC" w14:textId="77777777" w:rsidR="000D07EA" w:rsidRDefault="00BE7C89">
            <w:pPr>
              <w:pStyle w:val="BodyText"/>
              <w:spacing w:before="100" w:after="100"/>
            </w:pPr>
            <w:r>
              <w:t xml:space="preserve">No </w:t>
            </w:r>
          </w:p>
        </w:tc>
      </w:tr>
      <w:tr w:rsidR="000D07EA" w14:paraId="1C25F1F5" w14:textId="77777777">
        <w:trPr>
          <w:trHeight w:val="247"/>
        </w:trPr>
        <w:tc>
          <w:tcPr>
            <w:tcW w:w="3546" w:type="pct"/>
          </w:tcPr>
          <w:p w14:paraId="47F5C1AB" w14:textId="77777777" w:rsidR="000D07EA" w:rsidRDefault="00BE7C89">
            <w:pPr>
              <w:pStyle w:val="BodyText"/>
              <w:spacing w:before="100" w:after="100"/>
            </w:pPr>
            <w:r>
              <w:t>Standard National Video Calls</w:t>
            </w:r>
          </w:p>
        </w:tc>
        <w:tc>
          <w:tcPr>
            <w:tcW w:w="1454" w:type="pct"/>
          </w:tcPr>
          <w:p w14:paraId="3A13941D" w14:textId="77777777" w:rsidR="000D07EA" w:rsidRDefault="00BE7C89">
            <w:pPr>
              <w:pStyle w:val="BodyText"/>
              <w:spacing w:before="100" w:after="100"/>
            </w:pPr>
            <w:r>
              <w:t>No</w:t>
            </w:r>
          </w:p>
        </w:tc>
      </w:tr>
      <w:tr w:rsidR="000D07EA" w14:paraId="5667300B" w14:textId="77777777">
        <w:trPr>
          <w:trHeight w:val="63"/>
        </w:trPr>
        <w:tc>
          <w:tcPr>
            <w:tcW w:w="3546" w:type="pct"/>
          </w:tcPr>
          <w:p w14:paraId="76BFFA2D" w14:textId="77777777" w:rsidR="000D07EA" w:rsidRDefault="00BE7C89">
            <w:pPr>
              <w:pStyle w:val="BodyText"/>
              <w:spacing w:before="100" w:after="100"/>
            </w:pPr>
            <w:r>
              <w:t>International Video Calls</w:t>
            </w:r>
          </w:p>
          <w:p w14:paraId="3DED76B3" w14:textId="77777777" w:rsidR="000D07EA" w:rsidRDefault="00BE7C89">
            <w:pPr>
              <w:pStyle w:val="BodyText"/>
              <w:spacing w:before="100" w:after="100"/>
            </w:pPr>
            <w:r>
              <w:rPr>
                <w:snapToGrid w:val="0"/>
              </w:rPr>
              <w:t>(includes calls to national fixed or mobile services that then divert/switch or re-route overseas)</w:t>
            </w:r>
          </w:p>
        </w:tc>
        <w:tc>
          <w:tcPr>
            <w:tcW w:w="1454" w:type="pct"/>
          </w:tcPr>
          <w:p w14:paraId="59EF8FA9" w14:textId="77777777" w:rsidR="000D07EA" w:rsidRDefault="00BE7C89">
            <w:pPr>
              <w:pStyle w:val="BodyText"/>
              <w:spacing w:before="100" w:after="100"/>
            </w:pPr>
            <w:r>
              <w:t>No</w:t>
            </w:r>
          </w:p>
        </w:tc>
      </w:tr>
      <w:tr w:rsidR="000D07EA" w14:paraId="30B9D78F" w14:textId="77777777">
        <w:trPr>
          <w:trHeight w:val="247"/>
        </w:trPr>
        <w:tc>
          <w:tcPr>
            <w:tcW w:w="3546" w:type="pct"/>
          </w:tcPr>
          <w:p w14:paraId="4FAAF42E" w14:textId="77777777" w:rsidR="000D07EA" w:rsidRDefault="00BE7C89">
            <w:pPr>
              <w:pStyle w:val="BodyText"/>
              <w:spacing w:before="100" w:after="100"/>
            </w:pPr>
            <w:r>
              <w:lastRenderedPageBreak/>
              <w:t>Standard National SMS</w:t>
            </w:r>
          </w:p>
        </w:tc>
        <w:tc>
          <w:tcPr>
            <w:tcW w:w="1454" w:type="pct"/>
          </w:tcPr>
          <w:p w14:paraId="6C666EE9" w14:textId="77777777" w:rsidR="000D07EA" w:rsidRDefault="00BE7C89">
            <w:pPr>
              <w:pStyle w:val="BodyText"/>
              <w:spacing w:before="100" w:after="100"/>
            </w:pPr>
            <w:r>
              <w:t>Yes</w:t>
            </w:r>
          </w:p>
        </w:tc>
      </w:tr>
      <w:tr w:rsidR="000D07EA" w14:paraId="55A2B896" w14:textId="77777777">
        <w:trPr>
          <w:trHeight w:val="247"/>
        </w:trPr>
        <w:tc>
          <w:tcPr>
            <w:tcW w:w="3546" w:type="pct"/>
          </w:tcPr>
          <w:p w14:paraId="648F469D" w14:textId="77777777" w:rsidR="000D07EA" w:rsidRDefault="00BE7C89">
            <w:pPr>
              <w:pStyle w:val="BodyText"/>
              <w:spacing w:before="100" w:after="100"/>
            </w:pPr>
            <w:r>
              <w:t>International SMS</w:t>
            </w:r>
          </w:p>
        </w:tc>
        <w:tc>
          <w:tcPr>
            <w:tcW w:w="1454" w:type="pct"/>
          </w:tcPr>
          <w:p w14:paraId="6794E1AE" w14:textId="77777777" w:rsidR="000D07EA" w:rsidRDefault="00BE7C89">
            <w:pPr>
              <w:pStyle w:val="BodyText"/>
              <w:spacing w:before="100" w:after="100"/>
            </w:pPr>
            <w:r>
              <w:t>No</w:t>
            </w:r>
          </w:p>
        </w:tc>
      </w:tr>
      <w:tr w:rsidR="000D07EA" w14:paraId="5BC07D30" w14:textId="77777777">
        <w:trPr>
          <w:trHeight w:val="63"/>
        </w:trPr>
        <w:tc>
          <w:tcPr>
            <w:tcW w:w="3546" w:type="pct"/>
          </w:tcPr>
          <w:p w14:paraId="5E902D4E" w14:textId="77777777" w:rsidR="000D07EA" w:rsidRDefault="00BE7C89">
            <w:pPr>
              <w:pStyle w:val="BodyText"/>
              <w:spacing w:before="100" w:after="100"/>
            </w:pPr>
            <w:r>
              <w:t xml:space="preserve">Voicemail </w:t>
            </w:r>
          </w:p>
        </w:tc>
        <w:tc>
          <w:tcPr>
            <w:tcW w:w="1454" w:type="pct"/>
          </w:tcPr>
          <w:p w14:paraId="5C26E8DE" w14:textId="77777777" w:rsidR="000D07EA" w:rsidRDefault="00BE7C89">
            <w:pPr>
              <w:pStyle w:val="BodyText"/>
              <w:spacing w:before="100" w:after="100"/>
            </w:pPr>
            <w:r>
              <w:t>Yes</w:t>
            </w:r>
          </w:p>
        </w:tc>
      </w:tr>
      <w:tr w:rsidR="000D07EA" w14:paraId="2D5AD17C" w14:textId="77777777">
        <w:trPr>
          <w:trHeight w:val="247"/>
        </w:trPr>
        <w:tc>
          <w:tcPr>
            <w:tcW w:w="3546" w:type="pct"/>
          </w:tcPr>
          <w:p w14:paraId="028F93E6" w14:textId="77777777" w:rsidR="000D07EA" w:rsidRDefault="00BE7C89">
            <w:pPr>
              <w:pStyle w:val="BodyText"/>
              <w:spacing w:before="100" w:after="100"/>
            </w:pPr>
            <w:r>
              <w:t>National Diversions</w:t>
            </w:r>
          </w:p>
        </w:tc>
        <w:tc>
          <w:tcPr>
            <w:tcW w:w="1454" w:type="pct"/>
          </w:tcPr>
          <w:p w14:paraId="5929A2E3" w14:textId="77777777" w:rsidR="000D07EA" w:rsidRDefault="00BE7C89">
            <w:pPr>
              <w:pStyle w:val="BodyText"/>
              <w:spacing w:before="100" w:after="100"/>
            </w:pPr>
            <w:r>
              <w:t>No</w:t>
            </w:r>
          </w:p>
        </w:tc>
      </w:tr>
      <w:tr w:rsidR="000D07EA" w14:paraId="3BD405B0" w14:textId="77777777">
        <w:trPr>
          <w:trHeight w:val="247"/>
        </w:trPr>
        <w:tc>
          <w:tcPr>
            <w:tcW w:w="3546" w:type="pct"/>
          </w:tcPr>
          <w:p w14:paraId="1023458F" w14:textId="77777777" w:rsidR="000D07EA" w:rsidRDefault="00BE7C89">
            <w:pPr>
              <w:pStyle w:val="BodyText"/>
              <w:spacing w:before="100" w:after="100"/>
            </w:pPr>
            <w:r>
              <w:t>International Roaming &amp; Diversions</w:t>
            </w:r>
          </w:p>
        </w:tc>
        <w:tc>
          <w:tcPr>
            <w:tcW w:w="1454" w:type="pct"/>
          </w:tcPr>
          <w:p w14:paraId="34304BAD" w14:textId="77777777" w:rsidR="000D07EA" w:rsidRDefault="00BE7C89">
            <w:pPr>
              <w:pStyle w:val="BodyText"/>
              <w:spacing w:before="100" w:after="100"/>
            </w:pPr>
            <w:r>
              <w:t>No</w:t>
            </w:r>
          </w:p>
        </w:tc>
      </w:tr>
      <w:tr w:rsidR="000D07EA" w14:paraId="15D2D80A" w14:textId="77777777">
        <w:trPr>
          <w:trHeight w:val="247"/>
        </w:trPr>
        <w:tc>
          <w:tcPr>
            <w:tcW w:w="3546" w:type="pct"/>
          </w:tcPr>
          <w:p w14:paraId="4FEB029C" w14:textId="77777777" w:rsidR="000D07EA" w:rsidRDefault="00BE7C89">
            <w:pPr>
              <w:pStyle w:val="BodyText"/>
              <w:spacing w:before="100" w:after="100"/>
            </w:pPr>
            <w:r>
              <w:t>Premium SMS</w:t>
            </w:r>
          </w:p>
        </w:tc>
        <w:tc>
          <w:tcPr>
            <w:tcW w:w="1454" w:type="pct"/>
          </w:tcPr>
          <w:p w14:paraId="05CFF411" w14:textId="77777777" w:rsidR="000D07EA" w:rsidRDefault="00BE7C89">
            <w:pPr>
              <w:pStyle w:val="BodyText"/>
              <w:spacing w:before="100" w:after="100"/>
            </w:pPr>
            <w:r>
              <w:t>No</w:t>
            </w:r>
          </w:p>
        </w:tc>
      </w:tr>
      <w:tr w:rsidR="000D07EA" w14:paraId="7C96966E" w14:textId="77777777">
        <w:trPr>
          <w:trHeight w:val="247"/>
        </w:trPr>
        <w:tc>
          <w:tcPr>
            <w:tcW w:w="3546" w:type="pct"/>
          </w:tcPr>
          <w:p w14:paraId="54B6C362" w14:textId="77777777" w:rsidR="000D07EA" w:rsidRDefault="00BE7C89">
            <w:pPr>
              <w:pStyle w:val="BodyText"/>
              <w:spacing w:before="100" w:after="100"/>
            </w:pPr>
            <w:r>
              <w:t xml:space="preserve">Premium Video </w:t>
            </w:r>
          </w:p>
        </w:tc>
        <w:tc>
          <w:tcPr>
            <w:tcW w:w="1454" w:type="pct"/>
          </w:tcPr>
          <w:p w14:paraId="027278F2" w14:textId="77777777" w:rsidR="000D07EA" w:rsidRDefault="00BE7C89">
            <w:pPr>
              <w:pStyle w:val="BodyText"/>
              <w:spacing w:before="100" w:after="100"/>
            </w:pPr>
            <w:r>
              <w:t>No</w:t>
            </w:r>
          </w:p>
        </w:tc>
      </w:tr>
      <w:tr w:rsidR="000D07EA" w14:paraId="7E0AF3C7" w14:textId="77777777">
        <w:trPr>
          <w:trHeight w:val="247"/>
        </w:trPr>
        <w:tc>
          <w:tcPr>
            <w:tcW w:w="3546" w:type="pct"/>
          </w:tcPr>
          <w:p w14:paraId="3815F4D9" w14:textId="77777777" w:rsidR="000D07EA" w:rsidRDefault="00BE7C89">
            <w:pPr>
              <w:pStyle w:val="BodyText"/>
              <w:spacing w:before="100" w:after="100"/>
            </w:pPr>
            <w:r>
              <w:t xml:space="preserve">Video Conferencing </w:t>
            </w:r>
          </w:p>
        </w:tc>
        <w:tc>
          <w:tcPr>
            <w:tcW w:w="1454" w:type="pct"/>
          </w:tcPr>
          <w:p w14:paraId="3D5EEF31" w14:textId="77777777" w:rsidR="000D07EA" w:rsidRDefault="00BE7C89">
            <w:pPr>
              <w:pStyle w:val="BodyText"/>
              <w:spacing w:before="100" w:after="100"/>
            </w:pPr>
            <w:r>
              <w:t>No</w:t>
            </w:r>
          </w:p>
        </w:tc>
      </w:tr>
      <w:tr w:rsidR="000D07EA" w14:paraId="0520D50E" w14:textId="77777777">
        <w:trPr>
          <w:trHeight w:val="247"/>
        </w:trPr>
        <w:tc>
          <w:tcPr>
            <w:tcW w:w="3546" w:type="pct"/>
          </w:tcPr>
          <w:p w14:paraId="0537165A" w14:textId="77777777" w:rsidR="000D07EA" w:rsidRDefault="00BE7C89">
            <w:pPr>
              <w:pStyle w:val="BodyText"/>
              <w:spacing w:before="100" w:after="100"/>
            </w:pPr>
            <w:r>
              <w:t>Standard National MMS</w:t>
            </w:r>
          </w:p>
        </w:tc>
        <w:tc>
          <w:tcPr>
            <w:tcW w:w="1454" w:type="pct"/>
          </w:tcPr>
          <w:p w14:paraId="2D613451" w14:textId="77777777" w:rsidR="000D07EA" w:rsidRDefault="00BE7C89">
            <w:pPr>
              <w:pStyle w:val="BodyText"/>
              <w:spacing w:before="100" w:after="100"/>
            </w:pPr>
            <w:r>
              <w:t>Yes</w:t>
            </w:r>
          </w:p>
        </w:tc>
      </w:tr>
      <w:tr w:rsidR="000D07EA" w14:paraId="6143B0E0" w14:textId="77777777">
        <w:trPr>
          <w:trHeight w:val="247"/>
        </w:trPr>
        <w:tc>
          <w:tcPr>
            <w:tcW w:w="3546" w:type="pct"/>
          </w:tcPr>
          <w:p w14:paraId="579A3474" w14:textId="77777777" w:rsidR="000D07EA" w:rsidRDefault="00BE7C89">
            <w:pPr>
              <w:pStyle w:val="BodyText"/>
              <w:spacing w:before="100" w:after="100"/>
            </w:pPr>
            <w:r>
              <w:t>International MMS</w:t>
            </w:r>
          </w:p>
        </w:tc>
        <w:tc>
          <w:tcPr>
            <w:tcW w:w="1454" w:type="pct"/>
          </w:tcPr>
          <w:p w14:paraId="51DB3316" w14:textId="77777777" w:rsidR="000D07EA" w:rsidRDefault="00BE7C89">
            <w:pPr>
              <w:pStyle w:val="BodyText"/>
              <w:spacing w:before="100" w:after="100"/>
            </w:pPr>
            <w:r>
              <w:t>No</w:t>
            </w:r>
          </w:p>
        </w:tc>
      </w:tr>
      <w:tr w:rsidR="000D07EA" w14:paraId="3D2DEEC9" w14:textId="77777777">
        <w:trPr>
          <w:trHeight w:val="247"/>
        </w:trPr>
        <w:tc>
          <w:tcPr>
            <w:tcW w:w="3546" w:type="pct"/>
          </w:tcPr>
          <w:p w14:paraId="7CE57210" w14:textId="77777777" w:rsidR="000D07EA" w:rsidRDefault="00BE7C89">
            <w:pPr>
              <w:pStyle w:val="BodyText"/>
              <w:spacing w:before="100" w:after="100"/>
            </w:pPr>
            <w:r>
              <w:t>Optus iZoo Browsing</w:t>
            </w:r>
          </w:p>
        </w:tc>
        <w:tc>
          <w:tcPr>
            <w:tcW w:w="1454" w:type="pct"/>
          </w:tcPr>
          <w:p w14:paraId="0955D736" w14:textId="77777777" w:rsidR="000D07EA" w:rsidRDefault="00BE7C89">
            <w:pPr>
              <w:pStyle w:val="BodyText"/>
              <w:spacing w:before="100" w:after="100"/>
            </w:pPr>
            <w:r>
              <w:t>No</w:t>
            </w:r>
          </w:p>
        </w:tc>
      </w:tr>
      <w:tr w:rsidR="000D07EA" w14:paraId="2831D197" w14:textId="77777777">
        <w:trPr>
          <w:trHeight w:val="494"/>
        </w:trPr>
        <w:tc>
          <w:tcPr>
            <w:tcW w:w="3546" w:type="pct"/>
          </w:tcPr>
          <w:p w14:paraId="262E6964" w14:textId="77777777" w:rsidR="000D07EA" w:rsidRDefault="00BE7C89">
            <w:pPr>
              <w:pStyle w:val="BodyText"/>
              <w:spacing w:before="100" w:after="100"/>
            </w:pPr>
            <w:r>
              <w:t>Optus Zoo iZoo Downloads</w:t>
            </w:r>
          </w:p>
        </w:tc>
        <w:tc>
          <w:tcPr>
            <w:tcW w:w="1454" w:type="pct"/>
          </w:tcPr>
          <w:p w14:paraId="5D8DE908" w14:textId="77777777" w:rsidR="000D07EA" w:rsidRDefault="00BE7C89">
            <w:pPr>
              <w:pStyle w:val="BodyText"/>
              <w:spacing w:before="100" w:after="100"/>
            </w:pPr>
            <w:r>
              <w:t>No</w:t>
            </w:r>
          </w:p>
        </w:tc>
      </w:tr>
      <w:tr w:rsidR="000D07EA" w14:paraId="60211281" w14:textId="77777777">
        <w:trPr>
          <w:trHeight w:val="63"/>
        </w:trPr>
        <w:tc>
          <w:tcPr>
            <w:tcW w:w="3546" w:type="pct"/>
          </w:tcPr>
          <w:p w14:paraId="1A426719" w14:textId="77777777" w:rsidR="000D07EA" w:rsidRDefault="00BE7C89">
            <w:pPr>
              <w:pStyle w:val="BodyText"/>
              <w:spacing w:before="100" w:after="100"/>
            </w:pPr>
            <w:r>
              <w:t>SMS to 966 (Zoo)</w:t>
            </w:r>
          </w:p>
        </w:tc>
        <w:tc>
          <w:tcPr>
            <w:tcW w:w="1454" w:type="pct"/>
          </w:tcPr>
          <w:p w14:paraId="0079EA60" w14:textId="77777777" w:rsidR="000D07EA" w:rsidRDefault="00BE7C89">
            <w:pPr>
              <w:pStyle w:val="BodyText"/>
              <w:spacing w:before="100" w:after="100"/>
            </w:pPr>
            <w:r>
              <w:t>No</w:t>
            </w:r>
          </w:p>
        </w:tc>
      </w:tr>
      <w:tr w:rsidR="000D07EA" w14:paraId="5C7E61C1" w14:textId="77777777">
        <w:trPr>
          <w:trHeight w:val="494"/>
        </w:trPr>
        <w:tc>
          <w:tcPr>
            <w:tcW w:w="3546" w:type="pct"/>
          </w:tcPr>
          <w:p w14:paraId="6FCFD074" w14:textId="77777777" w:rsidR="000D07EA" w:rsidRDefault="00BE7C89">
            <w:pPr>
              <w:pStyle w:val="BodyText"/>
              <w:spacing w:before="100" w:after="100"/>
            </w:pPr>
            <w:r>
              <w:t>Data used whilst roaming internationally</w:t>
            </w:r>
          </w:p>
        </w:tc>
        <w:tc>
          <w:tcPr>
            <w:tcW w:w="1454" w:type="pct"/>
          </w:tcPr>
          <w:p w14:paraId="127CE589" w14:textId="77777777" w:rsidR="000D07EA" w:rsidRDefault="00BE7C89">
            <w:pPr>
              <w:pStyle w:val="BodyText"/>
              <w:spacing w:before="100" w:after="100"/>
            </w:pPr>
            <w:r>
              <w:t>No</w:t>
            </w:r>
          </w:p>
        </w:tc>
      </w:tr>
      <w:tr w:rsidR="000D07EA" w14:paraId="4767B485" w14:textId="77777777">
        <w:trPr>
          <w:trHeight w:val="63"/>
        </w:trPr>
        <w:tc>
          <w:tcPr>
            <w:tcW w:w="3546" w:type="pct"/>
          </w:tcPr>
          <w:p w14:paraId="777910A9" w14:textId="77777777" w:rsidR="000D07EA" w:rsidRDefault="00BE7C89">
            <w:pPr>
              <w:pStyle w:val="BodyText"/>
              <w:spacing w:before="100" w:after="100"/>
            </w:pPr>
            <w:r>
              <w:t xml:space="preserve">Directory Assistance – 1223 </w:t>
            </w:r>
          </w:p>
        </w:tc>
        <w:tc>
          <w:tcPr>
            <w:tcW w:w="1454" w:type="pct"/>
          </w:tcPr>
          <w:p w14:paraId="7A8124A5" w14:textId="77777777" w:rsidR="000D07EA" w:rsidRDefault="00BE7C89">
            <w:pPr>
              <w:pStyle w:val="BodyText"/>
              <w:spacing w:before="100" w:after="100"/>
            </w:pPr>
            <w:r>
              <w:t>No</w:t>
            </w:r>
          </w:p>
        </w:tc>
      </w:tr>
      <w:tr w:rsidR="000D07EA" w14:paraId="7F136EDD" w14:textId="77777777">
        <w:trPr>
          <w:trHeight w:val="247"/>
        </w:trPr>
        <w:tc>
          <w:tcPr>
            <w:tcW w:w="3546" w:type="pct"/>
          </w:tcPr>
          <w:p w14:paraId="70851F6A" w14:textId="77777777" w:rsidR="000D07EA" w:rsidRDefault="00BE7C89">
            <w:pPr>
              <w:pStyle w:val="BodyText"/>
              <w:spacing w:before="100" w:after="100"/>
            </w:pPr>
            <w:r>
              <w:t>19XX Numbers</w:t>
            </w:r>
          </w:p>
        </w:tc>
        <w:tc>
          <w:tcPr>
            <w:tcW w:w="1454" w:type="pct"/>
          </w:tcPr>
          <w:p w14:paraId="3E132230" w14:textId="77777777" w:rsidR="000D07EA" w:rsidRDefault="00BE7C89">
            <w:pPr>
              <w:pStyle w:val="BodyText"/>
              <w:spacing w:before="100" w:after="100"/>
            </w:pPr>
            <w:r>
              <w:t>No</w:t>
            </w:r>
          </w:p>
        </w:tc>
      </w:tr>
      <w:tr w:rsidR="000D07EA" w14:paraId="6C6087AE" w14:textId="77777777">
        <w:trPr>
          <w:trHeight w:val="247"/>
        </w:trPr>
        <w:tc>
          <w:tcPr>
            <w:tcW w:w="3546" w:type="pct"/>
          </w:tcPr>
          <w:p w14:paraId="279115EA" w14:textId="77777777" w:rsidR="000D07EA" w:rsidRDefault="00BE7C89">
            <w:pPr>
              <w:pStyle w:val="BodyText"/>
              <w:spacing w:before="100" w:after="100"/>
            </w:pPr>
            <w:r>
              <w:t>1800 and 1300 numbers</w:t>
            </w:r>
          </w:p>
        </w:tc>
        <w:tc>
          <w:tcPr>
            <w:tcW w:w="1454" w:type="pct"/>
          </w:tcPr>
          <w:p w14:paraId="04026EC7" w14:textId="77777777" w:rsidR="000D07EA" w:rsidRDefault="00BE7C89">
            <w:pPr>
              <w:pStyle w:val="BodyText"/>
              <w:spacing w:before="100" w:after="100"/>
            </w:pPr>
            <w:r>
              <w:t>Yes</w:t>
            </w:r>
          </w:p>
        </w:tc>
      </w:tr>
      <w:tr w:rsidR="000D07EA" w14:paraId="20893E90" w14:textId="77777777">
        <w:trPr>
          <w:trHeight w:val="247"/>
        </w:trPr>
        <w:tc>
          <w:tcPr>
            <w:tcW w:w="3546" w:type="pct"/>
          </w:tcPr>
          <w:p w14:paraId="4E4211AD" w14:textId="77777777" w:rsidR="000D07EA" w:rsidRDefault="00BE7C89">
            <w:pPr>
              <w:pStyle w:val="BodyText"/>
              <w:spacing w:before="100" w:after="100"/>
            </w:pPr>
            <w:r>
              <w:t>124YES(937)</w:t>
            </w:r>
          </w:p>
        </w:tc>
        <w:tc>
          <w:tcPr>
            <w:tcW w:w="1454" w:type="pct"/>
          </w:tcPr>
          <w:p w14:paraId="57ACF03D" w14:textId="77777777" w:rsidR="000D07EA" w:rsidRDefault="00BE7C89">
            <w:pPr>
              <w:pStyle w:val="BodyText"/>
              <w:spacing w:before="100" w:after="100"/>
            </w:pPr>
            <w:r>
              <w:t>No</w:t>
            </w:r>
          </w:p>
        </w:tc>
      </w:tr>
      <w:tr w:rsidR="000D07EA" w14:paraId="67AC5E69" w14:textId="77777777">
        <w:trPr>
          <w:trHeight w:val="262"/>
        </w:trPr>
        <w:tc>
          <w:tcPr>
            <w:tcW w:w="3546" w:type="pct"/>
          </w:tcPr>
          <w:p w14:paraId="4C31CB17" w14:textId="77777777" w:rsidR="000D07EA" w:rsidRDefault="00BE7C89">
            <w:pPr>
              <w:pStyle w:val="BodyText"/>
              <w:spacing w:before="100" w:after="100"/>
            </w:pPr>
            <w:r>
              <w:t>Content Packs (unless specified in promotions)</w:t>
            </w:r>
          </w:p>
        </w:tc>
        <w:tc>
          <w:tcPr>
            <w:tcW w:w="1454" w:type="pct"/>
          </w:tcPr>
          <w:p w14:paraId="2D4914B6" w14:textId="77777777" w:rsidR="000D07EA" w:rsidRDefault="00BE7C89">
            <w:pPr>
              <w:pStyle w:val="BodyText"/>
              <w:spacing w:before="100" w:after="100"/>
            </w:pPr>
            <w:r>
              <w:t>No</w:t>
            </w:r>
          </w:p>
        </w:tc>
      </w:tr>
      <w:tr w:rsidR="000D07EA" w14:paraId="75826861" w14:textId="77777777">
        <w:trPr>
          <w:trHeight w:val="262"/>
        </w:trPr>
        <w:tc>
          <w:tcPr>
            <w:tcW w:w="3546" w:type="pct"/>
          </w:tcPr>
          <w:p w14:paraId="5AAEC93F" w14:textId="77777777" w:rsidR="000D07EA" w:rsidRDefault="00BE7C89">
            <w:pPr>
              <w:pStyle w:val="BodyText"/>
              <w:spacing w:before="100" w:after="100"/>
            </w:pPr>
            <w:r>
              <w:t>Mobile Internet usage</w:t>
            </w:r>
          </w:p>
        </w:tc>
        <w:tc>
          <w:tcPr>
            <w:tcW w:w="1454" w:type="pct"/>
          </w:tcPr>
          <w:p w14:paraId="7E6B4D53" w14:textId="77777777" w:rsidR="000D07EA" w:rsidRDefault="00BE7C89">
            <w:pPr>
              <w:pStyle w:val="BodyText"/>
              <w:spacing w:before="100" w:after="100"/>
            </w:pPr>
            <w:r>
              <w:t>No</w:t>
            </w:r>
          </w:p>
        </w:tc>
      </w:tr>
      <w:tr w:rsidR="000D07EA" w14:paraId="4FB90365" w14:textId="77777777">
        <w:trPr>
          <w:trHeight w:val="262"/>
        </w:trPr>
        <w:tc>
          <w:tcPr>
            <w:tcW w:w="3546" w:type="pct"/>
          </w:tcPr>
          <w:p w14:paraId="26EB3B90" w14:textId="77777777" w:rsidR="000D07EA" w:rsidRDefault="00BE7C89">
            <w:pPr>
              <w:pStyle w:val="BodyText"/>
              <w:spacing w:before="100" w:after="100"/>
            </w:pPr>
            <w:r>
              <w:t>VOIP services</w:t>
            </w:r>
          </w:p>
        </w:tc>
        <w:tc>
          <w:tcPr>
            <w:tcW w:w="1454" w:type="pct"/>
          </w:tcPr>
          <w:p w14:paraId="2958D390" w14:textId="77777777" w:rsidR="000D07EA" w:rsidRDefault="00BE7C89">
            <w:pPr>
              <w:pStyle w:val="BodyText"/>
              <w:spacing w:before="100" w:after="100"/>
            </w:pPr>
            <w:r>
              <w:t>No</w:t>
            </w:r>
          </w:p>
        </w:tc>
      </w:tr>
      <w:tr w:rsidR="000D07EA" w14:paraId="32CFDD4F" w14:textId="77777777">
        <w:trPr>
          <w:trHeight w:val="262"/>
        </w:trPr>
        <w:tc>
          <w:tcPr>
            <w:tcW w:w="3546" w:type="pct"/>
          </w:tcPr>
          <w:p w14:paraId="07C4097E" w14:textId="77777777" w:rsidR="000D07EA" w:rsidRDefault="00BE7C89">
            <w:pPr>
              <w:pStyle w:val="BodyText"/>
              <w:spacing w:before="100" w:after="100"/>
            </w:pPr>
            <w:r>
              <w:t>Calls to Satellite phones</w:t>
            </w:r>
          </w:p>
        </w:tc>
        <w:tc>
          <w:tcPr>
            <w:tcW w:w="1454" w:type="pct"/>
          </w:tcPr>
          <w:p w14:paraId="06ACEB69" w14:textId="77777777" w:rsidR="000D07EA" w:rsidRDefault="00BE7C89">
            <w:pPr>
              <w:pStyle w:val="BodyText"/>
              <w:spacing w:before="100" w:after="100"/>
            </w:pPr>
            <w:r>
              <w:t>No</w:t>
            </w:r>
          </w:p>
        </w:tc>
      </w:tr>
      <w:tr w:rsidR="000D07EA" w14:paraId="7522E485" w14:textId="77777777">
        <w:trPr>
          <w:trHeight w:val="262"/>
        </w:trPr>
        <w:tc>
          <w:tcPr>
            <w:tcW w:w="3546" w:type="pct"/>
          </w:tcPr>
          <w:p w14:paraId="6B69E215" w14:textId="77777777" w:rsidR="000D07EA" w:rsidRDefault="00BE7C89">
            <w:pPr>
              <w:pStyle w:val="BodyText"/>
              <w:spacing w:before="100" w:after="100"/>
            </w:pPr>
            <w:r>
              <w:t>Surepage</w:t>
            </w:r>
          </w:p>
        </w:tc>
        <w:tc>
          <w:tcPr>
            <w:tcW w:w="1454" w:type="pct"/>
          </w:tcPr>
          <w:p w14:paraId="58133D48" w14:textId="77777777" w:rsidR="000D07EA" w:rsidRDefault="00BE7C89">
            <w:pPr>
              <w:pStyle w:val="BodyText"/>
              <w:spacing w:before="100" w:after="100"/>
            </w:pPr>
            <w:r>
              <w:t>No</w:t>
            </w:r>
          </w:p>
        </w:tc>
      </w:tr>
    </w:tbl>
    <w:p w14:paraId="56A5BBB3" w14:textId="77777777" w:rsidR="000D07EA" w:rsidRDefault="000D07EA">
      <w:pPr>
        <w:pStyle w:val="BodyText"/>
      </w:pPr>
    </w:p>
    <w:p w14:paraId="2F1EA5C2" w14:textId="77777777" w:rsidR="000D07EA" w:rsidRDefault="00BE7C89">
      <w:pPr>
        <w:pStyle w:val="BodyText"/>
        <w:ind w:left="720"/>
        <w:rPr>
          <w:b/>
        </w:rPr>
      </w:pPr>
      <w:r>
        <w:rPr>
          <w:b/>
        </w:rPr>
        <w:t xml:space="preserve">Table 1B – Usage types that are part of </w:t>
      </w:r>
      <w:r>
        <w:rPr>
          <w:b/>
          <w:i/>
        </w:rPr>
        <w:t xml:space="preserve">your </w:t>
      </w:r>
      <w:r>
        <w:rPr>
          <w:b/>
        </w:rPr>
        <w:t>Included Data</w:t>
      </w:r>
    </w:p>
    <w:tbl>
      <w:tblPr>
        <w:tblW w:w="4543"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6565"/>
        <w:gridCol w:w="2692"/>
      </w:tblGrid>
      <w:tr w:rsidR="000D07EA" w14:paraId="3EDF11B4" w14:textId="77777777">
        <w:trPr>
          <w:trHeight w:val="63"/>
          <w:tblHeader/>
        </w:trPr>
        <w:tc>
          <w:tcPr>
            <w:tcW w:w="3546" w:type="pct"/>
          </w:tcPr>
          <w:p w14:paraId="45C9D440" w14:textId="77777777" w:rsidR="000D07EA" w:rsidRDefault="00BE7C89">
            <w:pPr>
              <w:pStyle w:val="BodyText"/>
              <w:spacing w:before="100" w:after="100"/>
              <w:rPr>
                <w:b/>
                <w:bCs/>
              </w:rPr>
            </w:pPr>
            <w:r>
              <w:rPr>
                <w:b/>
                <w:bCs/>
              </w:rPr>
              <w:t>Usage Type</w:t>
            </w:r>
          </w:p>
        </w:tc>
        <w:tc>
          <w:tcPr>
            <w:tcW w:w="1454" w:type="pct"/>
          </w:tcPr>
          <w:p w14:paraId="6AE06DBE" w14:textId="77777777" w:rsidR="000D07EA" w:rsidRDefault="00BE7C89">
            <w:pPr>
              <w:pStyle w:val="BodyText"/>
              <w:spacing w:before="100" w:after="100"/>
              <w:rPr>
                <w:b/>
                <w:bCs/>
              </w:rPr>
            </w:pPr>
            <w:r>
              <w:rPr>
                <w:b/>
                <w:bCs/>
              </w:rPr>
              <w:t>Included</w:t>
            </w:r>
          </w:p>
        </w:tc>
      </w:tr>
      <w:tr w:rsidR="000D07EA" w14:paraId="7D7DB54F" w14:textId="77777777">
        <w:trPr>
          <w:trHeight w:val="63"/>
        </w:trPr>
        <w:tc>
          <w:tcPr>
            <w:tcW w:w="3546" w:type="pct"/>
          </w:tcPr>
          <w:p w14:paraId="0EB6EDA7" w14:textId="77777777" w:rsidR="000D07EA" w:rsidRDefault="00BE7C89">
            <w:pPr>
              <w:pStyle w:val="BodyText"/>
              <w:spacing w:before="100" w:after="100"/>
              <w:rPr>
                <w:b/>
                <w:bCs/>
              </w:rPr>
            </w:pPr>
            <w:r>
              <w:rPr>
                <w:bCs/>
              </w:rPr>
              <w:t>Mobile Internet usage (browsing and downloads)*</w:t>
            </w:r>
          </w:p>
        </w:tc>
        <w:tc>
          <w:tcPr>
            <w:tcW w:w="1454" w:type="pct"/>
          </w:tcPr>
          <w:p w14:paraId="1AC7C92E" w14:textId="77777777" w:rsidR="000D07EA" w:rsidRDefault="00BE7C89">
            <w:pPr>
              <w:pStyle w:val="BodyText"/>
              <w:spacing w:before="100" w:after="100"/>
              <w:rPr>
                <w:bCs/>
              </w:rPr>
            </w:pPr>
            <w:r>
              <w:rPr>
                <w:bCs/>
              </w:rPr>
              <w:t>Yes</w:t>
            </w:r>
          </w:p>
        </w:tc>
      </w:tr>
      <w:tr w:rsidR="000D07EA" w14:paraId="60FBAED4" w14:textId="77777777">
        <w:trPr>
          <w:trHeight w:val="63"/>
        </w:trPr>
        <w:tc>
          <w:tcPr>
            <w:tcW w:w="3546" w:type="pct"/>
          </w:tcPr>
          <w:p w14:paraId="5AA1A277" w14:textId="77777777" w:rsidR="000D07EA" w:rsidRDefault="00BE7C89">
            <w:pPr>
              <w:pStyle w:val="BodyText"/>
              <w:spacing w:before="100" w:after="100"/>
              <w:rPr>
                <w:bCs/>
              </w:rPr>
            </w:pPr>
            <w:r>
              <w:rPr>
                <w:bCs/>
              </w:rPr>
              <w:t>Data Used while Roaming Internationally</w:t>
            </w:r>
          </w:p>
        </w:tc>
        <w:tc>
          <w:tcPr>
            <w:tcW w:w="1454" w:type="pct"/>
          </w:tcPr>
          <w:p w14:paraId="05E2985C" w14:textId="77777777" w:rsidR="000D07EA" w:rsidRDefault="00BE7C89">
            <w:pPr>
              <w:pStyle w:val="BodyText"/>
              <w:spacing w:before="100" w:after="100"/>
              <w:rPr>
                <w:bCs/>
              </w:rPr>
            </w:pPr>
            <w:r>
              <w:rPr>
                <w:bCs/>
              </w:rPr>
              <w:t>No</w:t>
            </w:r>
          </w:p>
        </w:tc>
      </w:tr>
      <w:tr w:rsidR="000D07EA" w14:paraId="1A776396" w14:textId="77777777">
        <w:trPr>
          <w:trHeight w:val="80"/>
        </w:trPr>
        <w:tc>
          <w:tcPr>
            <w:tcW w:w="3546" w:type="pct"/>
          </w:tcPr>
          <w:p w14:paraId="326ED7B4" w14:textId="77777777" w:rsidR="000D07EA" w:rsidRDefault="00BE7C89">
            <w:pPr>
              <w:pStyle w:val="BodyText"/>
              <w:spacing w:before="100" w:after="100"/>
              <w:rPr>
                <w:bCs/>
              </w:rPr>
            </w:pPr>
            <w:r>
              <w:rPr>
                <w:bCs/>
              </w:rPr>
              <w:t>National and International Video Calls</w:t>
            </w:r>
          </w:p>
          <w:p w14:paraId="6155E250" w14:textId="77777777" w:rsidR="000D07EA" w:rsidRDefault="00BE7C89">
            <w:pPr>
              <w:pStyle w:val="BodyText"/>
              <w:spacing w:before="100" w:after="100"/>
              <w:rPr>
                <w:bCs/>
              </w:rPr>
            </w:pPr>
            <w:r>
              <w:rPr>
                <w:bCs/>
              </w:rPr>
              <w:t>(including calls to national fixed or mobile services that then divert/switch or re-route overseas)</w:t>
            </w:r>
          </w:p>
        </w:tc>
        <w:tc>
          <w:tcPr>
            <w:tcW w:w="1454" w:type="pct"/>
          </w:tcPr>
          <w:p w14:paraId="36D813AB" w14:textId="77777777" w:rsidR="000D07EA" w:rsidRDefault="00BE7C89">
            <w:pPr>
              <w:pStyle w:val="BodyText"/>
              <w:spacing w:before="100" w:after="100"/>
              <w:rPr>
                <w:bCs/>
              </w:rPr>
            </w:pPr>
            <w:r>
              <w:rPr>
                <w:bCs/>
              </w:rPr>
              <w:t xml:space="preserve">No </w:t>
            </w:r>
          </w:p>
        </w:tc>
      </w:tr>
      <w:tr w:rsidR="000D07EA" w14:paraId="04734781" w14:textId="77777777">
        <w:trPr>
          <w:trHeight w:val="494"/>
        </w:trPr>
        <w:tc>
          <w:tcPr>
            <w:tcW w:w="3546" w:type="pct"/>
          </w:tcPr>
          <w:p w14:paraId="71342A83" w14:textId="77777777" w:rsidR="000D07EA" w:rsidRDefault="00BE7C89">
            <w:pPr>
              <w:pStyle w:val="BodyText"/>
              <w:spacing w:before="100" w:after="100"/>
              <w:rPr>
                <w:bCs/>
              </w:rPr>
            </w:pPr>
            <w:r>
              <w:rPr>
                <w:bCs/>
              </w:rPr>
              <w:lastRenderedPageBreak/>
              <w:t>Premium Video</w:t>
            </w:r>
          </w:p>
        </w:tc>
        <w:tc>
          <w:tcPr>
            <w:tcW w:w="1454" w:type="pct"/>
          </w:tcPr>
          <w:p w14:paraId="794FC631" w14:textId="77777777" w:rsidR="000D07EA" w:rsidRDefault="00BE7C89">
            <w:pPr>
              <w:pStyle w:val="BodyText"/>
              <w:spacing w:before="100" w:after="100"/>
              <w:rPr>
                <w:bCs/>
              </w:rPr>
            </w:pPr>
            <w:r>
              <w:rPr>
                <w:bCs/>
              </w:rPr>
              <w:t>No</w:t>
            </w:r>
          </w:p>
        </w:tc>
      </w:tr>
      <w:tr w:rsidR="000D07EA" w14:paraId="6A2E0F90" w14:textId="77777777">
        <w:trPr>
          <w:trHeight w:val="63"/>
        </w:trPr>
        <w:tc>
          <w:tcPr>
            <w:tcW w:w="3546" w:type="pct"/>
          </w:tcPr>
          <w:p w14:paraId="558AE386" w14:textId="77777777" w:rsidR="000D07EA" w:rsidRDefault="00BE7C89">
            <w:pPr>
              <w:pStyle w:val="BodyText"/>
              <w:spacing w:before="100" w:after="100"/>
              <w:rPr>
                <w:bCs/>
              </w:rPr>
            </w:pPr>
            <w:r>
              <w:rPr>
                <w:bCs/>
              </w:rPr>
              <w:t>Content Video</w:t>
            </w:r>
          </w:p>
        </w:tc>
        <w:tc>
          <w:tcPr>
            <w:tcW w:w="1454" w:type="pct"/>
          </w:tcPr>
          <w:p w14:paraId="4C476658" w14:textId="77777777" w:rsidR="000D07EA" w:rsidRDefault="00BE7C89">
            <w:pPr>
              <w:pStyle w:val="BodyText"/>
              <w:spacing w:before="100" w:after="100"/>
              <w:rPr>
                <w:bCs/>
              </w:rPr>
            </w:pPr>
            <w:r>
              <w:rPr>
                <w:bCs/>
              </w:rPr>
              <w:t>No</w:t>
            </w:r>
          </w:p>
        </w:tc>
      </w:tr>
      <w:tr w:rsidR="000D07EA" w14:paraId="547FF456" w14:textId="77777777">
        <w:trPr>
          <w:trHeight w:val="63"/>
        </w:trPr>
        <w:tc>
          <w:tcPr>
            <w:tcW w:w="3546" w:type="pct"/>
          </w:tcPr>
          <w:p w14:paraId="0418001A" w14:textId="77777777" w:rsidR="000D07EA" w:rsidRDefault="00BE7C89">
            <w:pPr>
              <w:pStyle w:val="BodyText"/>
              <w:spacing w:before="100" w:after="100"/>
              <w:rPr>
                <w:bCs/>
              </w:rPr>
            </w:pPr>
            <w:r>
              <w:rPr>
                <w:bCs/>
              </w:rPr>
              <w:t>Video Conferencing</w:t>
            </w:r>
          </w:p>
        </w:tc>
        <w:tc>
          <w:tcPr>
            <w:tcW w:w="1454" w:type="pct"/>
          </w:tcPr>
          <w:p w14:paraId="27C8916E" w14:textId="77777777" w:rsidR="000D07EA" w:rsidRDefault="00BE7C89">
            <w:pPr>
              <w:pStyle w:val="BodyText"/>
              <w:spacing w:before="100" w:after="100"/>
              <w:rPr>
                <w:bCs/>
              </w:rPr>
            </w:pPr>
            <w:r>
              <w:rPr>
                <w:bCs/>
              </w:rPr>
              <w:t>No</w:t>
            </w:r>
          </w:p>
        </w:tc>
      </w:tr>
      <w:tr w:rsidR="000D07EA" w14:paraId="6D4BFA78" w14:textId="77777777">
        <w:trPr>
          <w:trHeight w:val="63"/>
        </w:trPr>
        <w:tc>
          <w:tcPr>
            <w:tcW w:w="3546" w:type="pct"/>
          </w:tcPr>
          <w:p w14:paraId="4BCD7D1B" w14:textId="77777777" w:rsidR="000D07EA" w:rsidRDefault="00BE7C89">
            <w:pPr>
              <w:pStyle w:val="BodyText"/>
              <w:spacing w:before="100" w:after="100"/>
              <w:rPr>
                <w:bCs/>
              </w:rPr>
            </w:pPr>
            <w:r>
              <w:t>Mobile as Modem</w:t>
            </w:r>
          </w:p>
        </w:tc>
        <w:tc>
          <w:tcPr>
            <w:tcW w:w="1454" w:type="pct"/>
          </w:tcPr>
          <w:p w14:paraId="254543EF" w14:textId="77777777" w:rsidR="000D07EA" w:rsidRDefault="00BE7C89">
            <w:pPr>
              <w:pStyle w:val="BodyText"/>
              <w:spacing w:before="100" w:after="100"/>
              <w:rPr>
                <w:bCs/>
              </w:rPr>
            </w:pPr>
            <w:r>
              <w:t>No</w:t>
            </w:r>
          </w:p>
        </w:tc>
      </w:tr>
      <w:tr w:rsidR="000D07EA" w14:paraId="747BC032" w14:textId="77777777">
        <w:trPr>
          <w:trHeight w:val="63"/>
        </w:trPr>
        <w:tc>
          <w:tcPr>
            <w:tcW w:w="3546" w:type="pct"/>
          </w:tcPr>
          <w:p w14:paraId="16D4B4D9" w14:textId="77777777" w:rsidR="000D07EA" w:rsidRDefault="00BE7C89">
            <w:pPr>
              <w:pStyle w:val="BodyText"/>
              <w:spacing w:before="100" w:after="100"/>
            </w:pPr>
            <w:r>
              <w:rPr>
                <w:bCs/>
              </w:rPr>
              <w:t xml:space="preserve">Content Packs </w:t>
            </w:r>
          </w:p>
        </w:tc>
        <w:tc>
          <w:tcPr>
            <w:tcW w:w="1454" w:type="pct"/>
          </w:tcPr>
          <w:p w14:paraId="792AA7FE" w14:textId="77777777" w:rsidR="000D07EA" w:rsidRDefault="00BE7C89">
            <w:pPr>
              <w:pStyle w:val="BodyText"/>
              <w:spacing w:before="100" w:after="100"/>
            </w:pPr>
            <w:r>
              <w:rPr>
                <w:bCs/>
              </w:rPr>
              <w:t>No</w:t>
            </w:r>
          </w:p>
        </w:tc>
      </w:tr>
      <w:tr w:rsidR="000D07EA" w14:paraId="30F4A569" w14:textId="77777777">
        <w:trPr>
          <w:trHeight w:val="63"/>
        </w:trPr>
        <w:tc>
          <w:tcPr>
            <w:tcW w:w="3546" w:type="pct"/>
          </w:tcPr>
          <w:p w14:paraId="4A8920FF" w14:textId="77777777" w:rsidR="000D07EA" w:rsidRDefault="00BE7C89">
            <w:pPr>
              <w:pStyle w:val="BodyText"/>
              <w:spacing w:before="100" w:after="100"/>
              <w:rPr>
                <w:bCs/>
              </w:rPr>
            </w:pPr>
            <w:r>
              <w:rPr>
                <w:bCs/>
              </w:rPr>
              <w:t>Calls to Satellite</w:t>
            </w:r>
          </w:p>
        </w:tc>
        <w:tc>
          <w:tcPr>
            <w:tcW w:w="1454" w:type="pct"/>
          </w:tcPr>
          <w:p w14:paraId="09C3A098" w14:textId="77777777" w:rsidR="000D07EA" w:rsidRDefault="00BE7C89">
            <w:pPr>
              <w:pStyle w:val="BodyText"/>
              <w:spacing w:before="100" w:after="100"/>
              <w:rPr>
                <w:bCs/>
              </w:rPr>
            </w:pPr>
            <w:r>
              <w:rPr>
                <w:bCs/>
              </w:rPr>
              <w:t>No</w:t>
            </w:r>
          </w:p>
        </w:tc>
      </w:tr>
      <w:tr w:rsidR="000D07EA" w14:paraId="14261E13" w14:textId="77777777">
        <w:trPr>
          <w:trHeight w:val="63"/>
        </w:trPr>
        <w:tc>
          <w:tcPr>
            <w:tcW w:w="3546" w:type="pct"/>
          </w:tcPr>
          <w:p w14:paraId="347A7DD8" w14:textId="77777777" w:rsidR="000D07EA" w:rsidRDefault="00BE7C89">
            <w:pPr>
              <w:pStyle w:val="BodyText"/>
              <w:spacing w:before="100" w:after="100"/>
              <w:rPr>
                <w:bCs/>
              </w:rPr>
            </w:pPr>
            <w:r>
              <w:rPr>
                <w:bCs/>
              </w:rPr>
              <w:t>VOIP services</w:t>
            </w:r>
          </w:p>
        </w:tc>
        <w:tc>
          <w:tcPr>
            <w:tcW w:w="1454" w:type="pct"/>
          </w:tcPr>
          <w:p w14:paraId="5A3A92FF" w14:textId="77777777" w:rsidR="000D07EA" w:rsidRDefault="00BE7C89">
            <w:pPr>
              <w:pStyle w:val="BodyText"/>
              <w:spacing w:before="100" w:after="100"/>
              <w:rPr>
                <w:bCs/>
              </w:rPr>
            </w:pPr>
            <w:r>
              <w:rPr>
                <w:bCs/>
              </w:rPr>
              <w:t>No</w:t>
            </w:r>
          </w:p>
        </w:tc>
      </w:tr>
      <w:tr w:rsidR="000D07EA" w14:paraId="287819B8" w14:textId="77777777">
        <w:trPr>
          <w:trHeight w:val="63"/>
        </w:trPr>
        <w:tc>
          <w:tcPr>
            <w:tcW w:w="3546" w:type="pct"/>
          </w:tcPr>
          <w:p w14:paraId="155C85CA" w14:textId="77777777" w:rsidR="000D07EA" w:rsidRDefault="00BE7C89">
            <w:pPr>
              <w:pStyle w:val="BodyText"/>
              <w:spacing w:before="100" w:after="100"/>
              <w:rPr>
                <w:bCs/>
              </w:rPr>
            </w:pPr>
            <w:r>
              <w:rPr>
                <w:bCs/>
              </w:rPr>
              <w:t>All other call and usage types</w:t>
            </w:r>
          </w:p>
        </w:tc>
        <w:tc>
          <w:tcPr>
            <w:tcW w:w="1454" w:type="pct"/>
          </w:tcPr>
          <w:p w14:paraId="1985436B" w14:textId="77777777" w:rsidR="000D07EA" w:rsidRDefault="00BE7C89">
            <w:pPr>
              <w:pStyle w:val="BodyText"/>
              <w:spacing w:before="100" w:after="100"/>
              <w:rPr>
                <w:bCs/>
              </w:rPr>
            </w:pPr>
            <w:r>
              <w:rPr>
                <w:bCs/>
              </w:rPr>
              <w:t>No</w:t>
            </w:r>
          </w:p>
        </w:tc>
      </w:tr>
    </w:tbl>
    <w:p w14:paraId="227F6403" w14:textId="77777777" w:rsidR="000D07EA" w:rsidRDefault="00BE7C89">
      <w:pPr>
        <w:pStyle w:val="BodyText"/>
        <w:spacing w:after="0"/>
        <w:ind w:left="720"/>
        <w:rPr>
          <w:sz w:val="16"/>
          <w:szCs w:val="16"/>
        </w:rPr>
      </w:pPr>
      <w:r>
        <w:rPr>
          <w:b/>
          <w:sz w:val="16"/>
          <w:szCs w:val="16"/>
        </w:rPr>
        <w:t>*Note:</w:t>
      </w:r>
      <w:r>
        <w:rPr>
          <w:sz w:val="16"/>
          <w:szCs w:val="16"/>
        </w:rPr>
        <w:t xml:space="preserve"> Data usage on selected Internet sites may be unmetered pursuant to offers or promotions from Optus and/or its affiliates. In such circumstances, this data usage will not count towards </w:t>
      </w:r>
      <w:r>
        <w:rPr>
          <w:i/>
          <w:sz w:val="16"/>
          <w:szCs w:val="16"/>
        </w:rPr>
        <w:t xml:space="preserve">your </w:t>
      </w:r>
      <w:r>
        <w:rPr>
          <w:sz w:val="16"/>
          <w:szCs w:val="16"/>
        </w:rPr>
        <w:t>plan's Included Data.</w:t>
      </w:r>
    </w:p>
    <w:p w14:paraId="0C2C9B76" w14:textId="77777777" w:rsidR="000D07EA" w:rsidRDefault="000D07EA">
      <w:pPr>
        <w:pStyle w:val="BodyText"/>
      </w:pPr>
    </w:p>
    <w:p w14:paraId="2654C593" w14:textId="77777777" w:rsidR="000D07EA" w:rsidRDefault="00BE7C89">
      <w:pPr>
        <w:pStyle w:val="BodyText"/>
        <w:ind w:left="720"/>
        <w:rPr>
          <w:b/>
        </w:rPr>
      </w:pPr>
      <w:r>
        <w:rPr>
          <w:b/>
        </w:rPr>
        <w:t>Table 1C –Unlimited Blackberry POP3 Email &amp; Browsing (for customers with a Blackberry using an operating system version 7.1 or earlier):</w:t>
      </w:r>
    </w:p>
    <w:tbl>
      <w:tblPr>
        <w:tblW w:w="4543"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6530"/>
        <w:gridCol w:w="2727"/>
      </w:tblGrid>
      <w:tr w:rsidR="000D07EA" w14:paraId="06660912" w14:textId="77777777">
        <w:trPr>
          <w:trHeight w:val="63"/>
          <w:tblHeader/>
        </w:trPr>
        <w:tc>
          <w:tcPr>
            <w:tcW w:w="3527" w:type="pct"/>
          </w:tcPr>
          <w:p w14:paraId="1D2C6BBA" w14:textId="77777777" w:rsidR="000D07EA" w:rsidRDefault="00BE7C89">
            <w:pPr>
              <w:pStyle w:val="BodyText"/>
              <w:spacing w:before="100" w:after="100"/>
              <w:jc w:val="center"/>
              <w:rPr>
                <w:b/>
                <w:snapToGrid w:val="0"/>
              </w:rPr>
            </w:pPr>
            <w:r>
              <w:rPr>
                <w:b/>
                <w:snapToGrid w:val="0"/>
              </w:rPr>
              <w:t>Usage Type</w:t>
            </w:r>
          </w:p>
        </w:tc>
        <w:tc>
          <w:tcPr>
            <w:tcW w:w="1473" w:type="pct"/>
          </w:tcPr>
          <w:p w14:paraId="4C2D7172" w14:textId="77777777" w:rsidR="000D07EA" w:rsidRDefault="00BE7C89">
            <w:pPr>
              <w:pStyle w:val="BodyText"/>
              <w:spacing w:before="100" w:after="100"/>
              <w:jc w:val="center"/>
              <w:rPr>
                <w:b/>
                <w:snapToGrid w:val="0"/>
              </w:rPr>
            </w:pPr>
            <w:r>
              <w:rPr>
                <w:b/>
                <w:snapToGrid w:val="0"/>
              </w:rPr>
              <w:t>Included</w:t>
            </w:r>
          </w:p>
        </w:tc>
      </w:tr>
      <w:tr w:rsidR="000D07EA" w14:paraId="4CCA838B" w14:textId="77777777">
        <w:trPr>
          <w:trHeight w:val="63"/>
        </w:trPr>
        <w:tc>
          <w:tcPr>
            <w:tcW w:w="3527" w:type="pct"/>
          </w:tcPr>
          <w:p w14:paraId="1376A52C" w14:textId="77777777" w:rsidR="000D07EA" w:rsidRDefault="00BE7C89">
            <w:pPr>
              <w:pStyle w:val="BodyText"/>
              <w:spacing w:before="100" w:after="100"/>
              <w:jc w:val="center"/>
              <w:rPr>
                <w:snapToGrid w:val="0"/>
              </w:rPr>
            </w:pPr>
            <w:r>
              <w:rPr>
                <w:snapToGrid w:val="0"/>
              </w:rPr>
              <w:t>BlackBerry Email (POP3)</w:t>
            </w:r>
          </w:p>
        </w:tc>
        <w:tc>
          <w:tcPr>
            <w:tcW w:w="1473" w:type="pct"/>
          </w:tcPr>
          <w:p w14:paraId="49AB5436" w14:textId="77777777" w:rsidR="000D07EA" w:rsidRDefault="00BE7C89">
            <w:pPr>
              <w:pStyle w:val="BodyText"/>
              <w:spacing w:before="100" w:after="100"/>
              <w:jc w:val="center"/>
              <w:rPr>
                <w:snapToGrid w:val="0"/>
              </w:rPr>
            </w:pPr>
            <w:r>
              <w:rPr>
                <w:snapToGrid w:val="0"/>
              </w:rPr>
              <w:t>Yes</w:t>
            </w:r>
          </w:p>
        </w:tc>
      </w:tr>
      <w:tr w:rsidR="000D07EA" w14:paraId="395ED502" w14:textId="77777777">
        <w:trPr>
          <w:trHeight w:val="63"/>
        </w:trPr>
        <w:tc>
          <w:tcPr>
            <w:tcW w:w="3527" w:type="pct"/>
          </w:tcPr>
          <w:p w14:paraId="102542DE" w14:textId="77777777" w:rsidR="000D07EA" w:rsidRDefault="00BE7C89">
            <w:pPr>
              <w:pStyle w:val="BodyText"/>
              <w:spacing w:before="100" w:after="100"/>
              <w:jc w:val="center"/>
              <w:rPr>
                <w:snapToGrid w:val="0"/>
              </w:rPr>
            </w:pPr>
            <w:r>
              <w:rPr>
                <w:snapToGrid w:val="0"/>
              </w:rPr>
              <w:t>Internet Browsing through the BlackBerry Browser</w:t>
            </w:r>
          </w:p>
        </w:tc>
        <w:tc>
          <w:tcPr>
            <w:tcW w:w="1473" w:type="pct"/>
          </w:tcPr>
          <w:p w14:paraId="0082EA30" w14:textId="77777777" w:rsidR="000D07EA" w:rsidRDefault="00BE7C89">
            <w:pPr>
              <w:pStyle w:val="BodyText"/>
              <w:spacing w:before="100" w:after="100"/>
              <w:jc w:val="center"/>
              <w:rPr>
                <w:snapToGrid w:val="0"/>
              </w:rPr>
            </w:pPr>
            <w:r>
              <w:rPr>
                <w:snapToGrid w:val="0"/>
              </w:rPr>
              <w:t>Yes</w:t>
            </w:r>
          </w:p>
        </w:tc>
      </w:tr>
      <w:tr w:rsidR="000D07EA" w14:paraId="51C579EC" w14:textId="77777777">
        <w:trPr>
          <w:trHeight w:val="63"/>
        </w:trPr>
        <w:tc>
          <w:tcPr>
            <w:tcW w:w="3527" w:type="pct"/>
          </w:tcPr>
          <w:p w14:paraId="061E6F98" w14:textId="77777777" w:rsidR="000D07EA" w:rsidRDefault="00BE7C89">
            <w:pPr>
              <w:pStyle w:val="BodyText"/>
              <w:spacing w:before="100" w:after="100"/>
              <w:jc w:val="center"/>
              <w:rPr>
                <w:snapToGrid w:val="0"/>
              </w:rPr>
            </w:pPr>
            <w:r>
              <w:rPr>
                <w:snapToGrid w:val="0"/>
              </w:rPr>
              <w:t>Optus Zoo downloads and subscriptions</w:t>
            </w:r>
          </w:p>
        </w:tc>
        <w:tc>
          <w:tcPr>
            <w:tcW w:w="1473" w:type="pct"/>
          </w:tcPr>
          <w:p w14:paraId="58ABCC32" w14:textId="77777777" w:rsidR="000D07EA" w:rsidRDefault="00BE7C89">
            <w:pPr>
              <w:pStyle w:val="BodyText"/>
              <w:spacing w:before="100" w:after="100"/>
              <w:jc w:val="center"/>
            </w:pPr>
            <w:r>
              <w:rPr>
                <w:snapToGrid w:val="0"/>
              </w:rPr>
              <w:t>No</w:t>
            </w:r>
          </w:p>
        </w:tc>
      </w:tr>
      <w:tr w:rsidR="000D07EA" w14:paraId="5F0907A3" w14:textId="77777777">
        <w:trPr>
          <w:trHeight w:val="247"/>
        </w:trPr>
        <w:tc>
          <w:tcPr>
            <w:tcW w:w="3527" w:type="pct"/>
          </w:tcPr>
          <w:p w14:paraId="1FE331D2" w14:textId="77777777" w:rsidR="000D07EA" w:rsidRDefault="00BE7C89">
            <w:pPr>
              <w:pStyle w:val="BodyText"/>
              <w:spacing w:before="100" w:after="100"/>
              <w:jc w:val="center"/>
              <w:rPr>
                <w:snapToGrid w:val="0"/>
              </w:rPr>
            </w:pPr>
            <w:r>
              <w:rPr>
                <w:snapToGrid w:val="0"/>
              </w:rPr>
              <w:t>Optus Zoo GPRS WAP browsing</w:t>
            </w:r>
          </w:p>
        </w:tc>
        <w:tc>
          <w:tcPr>
            <w:tcW w:w="1473" w:type="pct"/>
          </w:tcPr>
          <w:p w14:paraId="69FB0C05" w14:textId="77777777" w:rsidR="000D07EA" w:rsidRDefault="00BE7C89">
            <w:pPr>
              <w:pStyle w:val="BodyText"/>
              <w:spacing w:before="100" w:after="100"/>
              <w:jc w:val="center"/>
              <w:rPr>
                <w:snapToGrid w:val="0"/>
              </w:rPr>
            </w:pPr>
            <w:r>
              <w:rPr>
                <w:snapToGrid w:val="0"/>
              </w:rPr>
              <w:t>No</w:t>
            </w:r>
          </w:p>
        </w:tc>
      </w:tr>
      <w:tr w:rsidR="000D07EA" w14:paraId="2248789F" w14:textId="77777777">
        <w:trPr>
          <w:trHeight w:val="63"/>
        </w:trPr>
        <w:tc>
          <w:tcPr>
            <w:tcW w:w="3527" w:type="pct"/>
          </w:tcPr>
          <w:p w14:paraId="7876E0A9" w14:textId="77777777" w:rsidR="000D07EA" w:rsidRDefault="00BE7C89">
            <w:pPr>
              <w:pStyle w:val="BodyText"/>
              <w:spacing w:before="100" w:after="100"/>
              <w:jc w:val="center"/>
            </w:pPr>
            <w:r>
              <w:t>Applications from Optus and third party applications that require a BlackBerry Data connection</w:t>
            </w:r>
          </w:p>
        </w:tc>
        <w:tc>
          <w:tcPr>
            <w:tcW w:w="1473" w:type="pct"/>
          </w:tcPr>
          <w:p w14:paraId="0395BB8B" w14:textId="77777777" w:rsidR="000D07EA" w:rsidRDefault="00BE7C89">
            <w:pPr>
              <w:pStyle w:val="BodyText"/>
              <w:spacing w:before="100" w:after="100"/>
              <w:jc w:val="center"/>
              <w:rPr>
                <w:snapToGrid w:val="0"/>
              </w:rPr>
            </w:pPr>
            <w:r>
              <w:rPr>
                <w:snapToGrid w:val="0"/>
              </w:rPr>
              <w:t>Yes</w:t>
            </w:r>
          </w:p>
        </w:tc>
      </w:tr>
      <w:tr w:rsidR="000D07EA" w14:paraId="2253FAED" w14:textId="77777777">
        <w:trPr>
          <w:trHeight w:val="247"/>
        </w:trPr>
        <w:tc>
          <w:tcPr>
            <w:tcW w:w="3527" w:type="pct"/>
          </w:tcPr>
          <w:p w14:paraId="51483D48" w14:textId="77777777" w:rsidR="000D07EA" w:rsidRDefault="00BE7C89">
            <w:pPr>
              <w:pStyle w:val="BodyText"/>
              <w:spacing w:before="100" w:after="100"/>
              <w:jc w:val="center"/>
              <w:rPr>
                <w:snapToGrid w:val="0"/>
              </w:rPr>
            </w:pPr>
            <w:r>
              <w:rPr>
                <w:snapToGrid w:val="0"/>
              </w:rPr>
              <w:t>All other usage (e.g. media streaming, data used while roaming internationally)</w:t>
            </w:r>
          </w:p>
        </w:tc>
        <w:tc>
          <w:tcPr>
            <w:tcW w:w="1473" w:type="pct"/>
          </w:tcPr>
          <w:p w14:paraId="5B63E4F9" w14:textId="77777777" w:rsidR="000D07EA" w:rsidRDefault="00BE7C89">
            <w:pPr>
              <w:pStyle w:val="BodyText"/>
              <w:spacing w:before="100" w:after="100"/>
              <w:jc w:val="center"/>
              <w:rPr>
                <w:snapToGrid w:val="0"/>
              </w:rPr>
            </w:pPr>
            <w:r>
              <w:rPr>
                <w:snapToGrid w:val="0"/>
              </w:rPr>
              <w:t>No</w:t>
            </w:r>
          </w:p>
        </w:tc>
      </w:tr>
    </w:tbl>
    <w:p w14:paraId="0ACE211B" w14:textId="77777777" w:rsidR="000D07EA" w:rsidRDefault="000D07EA">
      <w:pPr>
        <w:pStyle w:val="BodyText"/>
      </w:pPr>
    </w:p>
    <w:p w14:paraId="20D8B578" w14:textId="77777777" w:rsidR="000D07EA" w:rsidRDefault="00BE7C89">
      <w:pPr>
        <w:pStyle w:val="BodyText"/>
        <w:ind w:left="720"/>
        <w:rPr>
          <w:b/>
        </w:rPr>
      </w:pPr>
      <w:r>
        <w:rPr>
          <w:b/>
        </w:rPr>
        <w:t>Table 2A – Charges and Plan Inclusions for the Business Complete Plans (Dec 2012)</w:t>
      </w:r>
    </w:p>
    <w:tbl>
      <w:tblPr>
        <w:tblW w:w="96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6"/>
        <w:gridCol w:w="1494"/>
        <w:gridCol w:w="1494"/>
        <w:gridCol w:w="1495"/>
        <w:gridCol w:w="1494"/>
        <w:gridCol w:w="1495"/>
      </w:tblGrid>
      <w:tr w:rsidR="000D07EA" w14:paraId="14BFAE65" w14:textId="77777777">
        <w:trPr>
          <w:trHeight w:val="1412"/>
          <w:tblHeader/>
        </w:trPr>
        <w:tc>
          <w:tcPr>
            <w:tcW w:w="2176" w:type="dxa"/>
            <w:shd w:val="clear" w:color="auto" w:fill="auto"/>
          </w:tcPr>
          <w:p w14:paraId="34B679F6" w14:textId="77777777" w:rsidR="000D07EA" w:rsidRDefault="000D07EA">
            <w:pPr>
              <w:pStyle w:val="BodyText"/>
              <w:spacing w:before="100" w:after="100"/>
              <w:rPr>
                <w:rFonts w:eastAsia="Calibri"/>
              </w:rPr>
            </w:pPr>
          </w:p>
        </w:tc>
        <w:tc>
          <w:tcPr>
            <w:tcW w:w="1494" w:type="dxa"/>
            <w:shd w:val="clear" w:color="auto" w:fill="auto"/>
            <w:vAlign w:val="center"/>
          </w:tcPr>
          <w:p w14:paraId="5771A324" w14:textId="77777777" w:rsidR="000D07EA" w:rsidRDefault="00BE7C89">
            <w:pPr>
              <w:pStyle w:val="BodyText"/>
              <w:spacing w:before="100" w:after="100"/>
              <w:jc w:val="center"/>
              <w:rPr>
                <w:b/>
              </w:rPr>
            </w:pPr>
            <w:r>
              <w:rPr>
                <w:b/>
              </w:rPr>
              <w:t>$30 Business Complete Plan / Business Complete Plan Premium</w:t>
            </w:r>
          </w:p>
        </w:tc>
        <w:tc>
          <w:tcPr>
            <w:tcW w:w="1494" w:type="dxa"/>
            <w:shd w:val="clear" w:color="auto" w:fill="auto"/>
            <w:vAlign w:val="center"/>
          </w:tcPr>
          <w:p w14:paraId="3D8C6E93" w14:textId="77777777" w:rsidR="000D07EA" w:rsidRDefault="00BE7C89">
            <w:pPr>
              <w:pStyle w:val="BodyText"/>
              <w:spacing w:before="100" w:after="100"/>
              <w:jc w:val="center"/>
              <w:rPr>
                <w:b/>
              </w:rPr>
            </w:pPr>
            <w:r>
              <w:rPr>
                <w:b/>
              </w:rPr>
              <w:t>$35 Business Complete Plan / Business Complete Plan Premium</w:t>
            </w:r>
          </w:p>
        </w:tc>
        <w:tc>
          <w:tcPr>
            <w:tcW w:w="1495" w:type="dxa"/>
            <w:shd w:val="clear" w:color="auto" w:fill="auto"/>
            <w:vAlign w:val="center"/>
          </w:tcPr>
          <w:p w14:paraId="4F7AD6B7" w14:textId="77777777" w:rsidR="000D07EA" w:rsidRDefault="00BE7C89">
            <w:pPr>
              <w:pStyle w:val="BodyText"/>
              <w:spacing w:before="100" w:after="100"/>
              <w:jc w:val="center"/>
              <w:rPr>
                <w:b/>
              </w:rPr>
            </w:pPr>
            <w:r>
              <w:rPr>
                <w:b/>
              </w:rPr>
              <w:t>$50 Business Complete Plan / Business Complete Plan Premium / Business Complete Plan MRO</w:t>
            </w:r>
          </w:p>
        </w:tc>
        <w:tc>
          <w:tcPr>
            <w:tcW w:w="1494" w:type="dxa"/>
            <w:shd w:val="clear" w:color="auto" w:fill="auto"/>
            <w:vAlign w:val="center"/>
          </w:tcPr>
          <w:p w14:paraId="368C181A" w14:textId="77777777" w:rsidR="000D07EA" w:rsidRDefault="00BE7C89">
            <w:pPr>
              <w:pStyle w:val="BodyText"/>
              <w:spacing w:before="100" w:after="100"/>
              <w:jc w:val="center"/>
              <w:rPr>
                <w:b/>
              </w:rPr>
            </w:pPr>
            <w:r>
              <w:rPr>
                <w:b/>
              </w:rPr>
              <w:t>$60 Business Complete Plan / Business Complete Plan Premium / Business Complete Plan MRO</w:t>
            </w:r>
          </w:p>
        </w:tc>
        <w:tc>
          <w:tcPr>
            <w:tcW w:w="1495" w:type="dxa"/>
            <w:shd w:val="clear" w:color="auto" w:fill="auto"/>
            <w:vAlign w:val="center"/>
          </w:tcPr>
          <w:p w14:paraId="37856D52" w14:textId="77777777" w:rsidR="000D07EA" w:rsidRDefault="00BE7C89">
            <w:pPr>
              <w:pStyle w:val="BodyText"/>
              <w:spacing w:before="100" w:after="100"/>
              <w:jc w:val="center"/>
              <w:rPr>
                <w:b/>
              </w:rPr>
            </w:pPr>
            <w:r>
              <w:rPr>
                <w:b/>
              </w:rPr>
              <w:t>$80 Business Complete Plan / Business Complete Plan Premium / Business Plan Complete MRO</w:t>
            </w:r>
          </w:p>
        </w:tc>
      </w:tr>
      <w:tr w:rsidR="000D07EA" w14:paraId="1CBDFE3A" w14:textId="77777777">
        <w:tc>
          <w:tcPr>
            <w:tcW w:w="2176" w:type="dxa"/>
            <w:shd w:val="clear" w:color="auto" w:fill="auto"/>
          </w:tcPr>
          <w:p w14:paraId="189216BC" w14:textId="77777777" w:rsidR="000D07EA" w:rsidRDefault="00BE7C89">
            <w:pPr>
              <w:pStyle w:val="BodyText"/>
              <w:spacing w:before="100" w:after="100"/>
              <w:rPr>
                <w:rFonts w:eastAsia="Calibri"/>
              </w:rPr>
            </w:pPr>
            <w:r>
              <w:rPr>
                <w:rFonts w:eastAsia="Calibri"/>
                <w:b/>
                <w:bCs/>
              </w:rPr>
              <w:t>Minimum Monthly charge</w:t>
            </w:r>
          </w:p>
        </w:tc>
        <w:tc>
          <w:tcPr>
            <w:tcW w:w="1494" w:type="dxa"/>
            <w:shd w:val="clear" w:color="auto" w:fill="auto"/>
            <w:vAlign w:val="center"/>
          </w:tcPr>
          <w:p w14:paraId="377EED0F" w14:textId="77777777" w:rsidR="000D07EA" w:rsidRDefault="00BE7C89">
            <w:pPr>
              <w:pStyle w:val="BodyText"/>
              <w:spacing w:before="100" w:after="100"/>
              <w:jc w:val="center"/>
              <w:rPr>
                <w:rFonts w:eastAsia="Calibri"/>
              </w:rPr>
            </w:pPr>
            <w:r>
              <w:rPr>
                <w:rFonts w:eastAsia="Calibri"/>
              </w:rPr>
              <w:t>$30</w:t>
            </w:r>
          </w:p>
        </w:tc>
        <w:tc>
          <w:tcPr>
            <w:tcW w:w="1494" w:type="dxa"/>
            <w:shd w:val="clear" w:color="auto" w:fill="auto"/>
            <w:vAlign w:val="center"/>
          </w:tcPr>
          <w:p w14:paraId="1B592C39" w14:textId="77777777" w:rsidR="000D07EA" w:rsidRDefault="00BE7C89">
            <w:pPr>
              <w:pStyle w:val="BodyText"/>
              <w:spacing w:before="100" w:after="100"/>
              <w:jc w:val="center"/>
              <w:rPr>
                <w:rFonts w:eastAsia="Calibri"/>
              </w:rPr>
            </w:pPr>
            <w:r>
              <w:rPr>
                <w:rFonts w:eastAsia="Calibri"/>
              </w:rPr>
              <w:t>$35</w:t>
            </w:r>
          </w:p>
        </w:tc>
        <w:tc>
          <w:tcPr>
            <w:tcW w:w="1495" w:type="dxa"/>
            <w:shd w:val="clear" w:color="auto" w:fill="auto"/>
            <w:vAlign w:val="center"/>
          </w:tcPr>
          <w:p w14:paraId="47023D08" w14:textId="77777777" w:rsidR="000D07EA" w:rsidRDefault="00BE7C89">
            <w:pPr>
              <w:pStyle w:val="BodyText"/>
              <w:spacing w:before="100" w:after="100"/>
              <w:jc w:val="center"/>
              <w:rPr>
                <w:rFonts w:eastAsia="Calibri"/>
              </w:rPr>
            </w:pPr>
            <w:r>
              <w:rPr>
                <w:rFonts w:eastAsia="Calibri"/>
              </w:rPr>
              <w:t>$50</w:t>
            </w:r>
          </w:p>
        </w:tc>
        <w:tc>
          <w:tcPr>
            <w:tcW w:w="1494" w:type="dxa"/>
            <w:shd w:val="clear" w:color="auto" w:fill="auto"/>
            <w:vAlign w:val="center"/>
          </w:tcPr>
          <w:p w14:paraId="3BEC29D5" w14:textId="77777777" w:rsidR="000D07EA" w:rsidRDefault="00BE7C89">
            <w:pPr>
              <w:pStyle w:val="BodyText"/>
              <w:spacing w:before="100" w:after="100"/>
              <w:jc w:val="center"/>
              <w:rPr>
                <w:rFonts w:eastAsia="Calibri"/>
              </w:rPr>
            </w:pPr>
            <w:r>
              <w:rPr>
                <w:rFonts w:eastAsia="Calibri"/>
              </w:rPr>
              <w:t>$60</w:t>
            </w:r>
          </w:p>
        </w:tc>
        <w:tc>
          <w:tcPr>
            <w:tcW w:w="1495" w:type="dxa"/>
            <w:shd w:val="clear" w:color="auto" w:fill="auto"/>
            <w:vAlign w:val="center"/>
          </w:tcPr>
          <w:p w14:paraId="6E0DA69E" w14:textId="77777777" w:rsidR="000D07EA" w:rsidRDefault="00BE7C89">
            <w:pPr>
              <w:pStyle w:val="BodyText"/>
              <w:spacing w:before="100" w:after="100"/>
              <w:jc w:val="center"/>
              <w:rPr>
                <w:rFonts w:eastAsia="Calibri"/>
              </w:rPr>
            </w:pPr>
            <w:r>
              <w:rPr>
                <w:rFonts w:eastAsia="Calibri"/>
              </w:rPr>
              <w:t>$80</w:t>
            </w:r>
          </w:p>
        </w:tc>
      </w:tr>
      <w:tr w:rsidR="000D07EA" w14:paraId="09C4CBDD" w14:textId="77777777">
        <w:tc>
          <w:tcPr>
            <w:tcW w:w="2176" w:type="dxa"/>
            <w:shd w:val="clear" w:color="auto" w:fill="auto"/>
          </w:tcPr>
          <w:p w14:paraId="3FCEB03E" w14:textId="77777777" w:rsidR="000D07EA" w:rsidRDefault="00BE7C89">
            <w:pPr>
              <w:pStyle w:val="BodyText"/>
              <w:spacing w:before="100" w:after="100"/>
              <w:rPr>
                <w:rFonts w:eastAsia="Calibri"/>
              </w:rPr>
            </w:pPr>
            <w:r>
              <w:rPr>
                <w:rFonts w:eastAsia="Calibri"/>
                <w:b/>
                <w:bCs/>
              </w:rPr>
              <w:t>Monthly Included Data</w:t>
            </w:r>
          </w:p>
        </w:tc>
        <w:tc>
          <w:tcPr>
            <w:tcW w:w="1494" w:type="dxa"/>
            <w:shd w:val="clear" w:color="auto" w:fill="auto"/>
            <w:vAlign w:val="center"/>
          </w:tcPr>
          <w:p w14:paraId="774C04B3" w14:textId="77777777" w:rsidR="000D07EA" w:rsidRDefault="00BE7C89">
            <w:pPr>
              <w:pStyle w:val="BodyText"/>
              <w:spacing w:before="100" w:after="100"/>
              <w:jc w:val="center"/>
              <w:rPr>
                <w:rFonts w:eastAsia="Calibri"/>
              </w:rPr>
            </w:pPr>
            <w:r>
              <w:rPr>
                <w:rFonts w:eastAsia="Calibri"/>
              </w:rPr>
              <w:t>200MB</w:t>
            </w:r>
          </w:p>
        </w:tc>
        <w:tc>
          <w:tcPr>
            <w:tcW w:w="1494" w:type="dxa"/>
            <w:shd w:val="clear" w:color="auto" w:fill="auto"/>
            <w:vAlign w:val="center"/>
          </w:tcPr>
          <w:p w14:paraId="3A5D407D" w14:textId="77777777" w:rsidR="000D07EA" w:rsidRDefault="00BE7C89">
            <w:pPr>
              <w:pStyle w:val="BodyText"/>
              <w:spacing w:before="100" w:after="100"/>
              <w:jc w:val="center"/>
              <w:rPr>
                <w:rFonts w:eastAsia="Calibri"/>
              </w:rPr>
            </w:pPr>
            <w:r>
              <w:rPr>
                <w:rFonts w:eastAsia="Calibri"/>
              </w:rPr>
              <w:t>200MB</w:t>
            </w:r>
          </w:p>
        </w:tc>
        <w:tc>
          <w:tcPr>
            <w:tcW w:w="1495" w:type="dxa"/>
            <w:shd w:val="clear" w:color="auto" w:fill="auto"/>
            <w:vAlign w:val="center"/>
          </w:tcPr>
          <w:p w14:paraId="267FBFD2" w14:textId="77777777" w:rsidR="000D07EA" w:rsidRDefault="00BE7C89">
            <w:pPr>
              <w:pStyle w:val="BodyText"/>
              <w:spacing w:before="100" w:after="100"/>
              <w:jc w:val="center"/>
              <w:rPr>
                <w:rFonts w:eastAsia="Calibri"/>
              </w:rPr>
            </w:pPr>
            <w:r>
              <w:rPr>
                <w:rFonts w:eastAsia="Calibri"/>
              </w:rPr>
              <w:t>1GB</w:t>
            </w:r>
          </w:p>
        </w:tc>
        <w:tc>
          <w:tcPr>
            <w:tcW w:w="1494" w:type="dxa"/>
            <w:shd w:val="clear" w:color="auto" w:fill="auto"/>
            <w:vAlign w:val="center"/>
          </w:tcPr>
          <w:p w14:paraId="0DEEAEEA" w14:textId="77777777" w:rsidR="000D07EA" w:rsidRDefault="00BE7C89">
            <w:pPr>
              <w:pStyle w:val="BodyText"/>
              <w:spacing w:before="100" w:after="100"/>
              <w:jc w:val="center"/>
              <w:rPr>
                <w:rFonts w:eastAsia="Calibri"/>
              </w:rPr>
            </w:pPr>
            <w:r>
              <w:rPr>
                <w:rFonts w:eastAsia="Calibri"/>
              </w:rPr>
              <w:t>1.5GB</w:t>
            </w:r>
          </w:p>
        </w:tc>
        <w:tc>
          <w:tcPr>
            <w:tcW w:w="1495" w:type="dxa"/>
            <w:shd w:val="clear" w:color="auto" w:fill="auto"/>
            <w:vAlign w:val="center"/>
          </w:tcPr>
          <w:p w14:paraId="18B8EF66" w14:textId="77777777" w:rsidR="000D07EA" w:rsidRDefault="00BE7C89">
            <w:pPr>
              <w:pStyle w:val="BodyText"/>
              <w:spacing w:before="100" w:after="100"/>
              <w:jc w:val="center"/>
              <w:rPr>
                <w:rFonts w:eastAsia="Calibri"/>
              </w:rPr>
            </w:pPr>
            <w:r>
              <w:rPr>
                <w:rFonts w:eastAsia="Calibri"/>
              </w:rPr>
              <w:t>2GB</w:t>
            </w:r>
          </w:p>
        </w:tc>
      </w:tr>
      <w:tr w:rsidR="000D07EA" w14:paraId="1122F234" w14:textId="77777777">
        <w:tc>
          <w:tcPr>
            <w:tcW w:w="2176" w:type="dxa"/>
            <w:shd w:val="clear" w:color="auto" w:fill="auto"/>
          </w:tcPr>
          <w:p w14:paraId="5DCD8C6A" w14:textId="77777777" w:rsidR="000D07EA" w:rsidRDefault="00BE7C89">
            <w:pPr>
              <w:pStyle w:val="BodyText"/>
              <w:spacing w:before="100" w:after="100"/>
              <w:rPr>
                <w:rFonts w:eastAsia="Calibri"/>
                <w:b/>
                <w:bCs/>
              </w:rPr>
            </w:pPr>
            <w:r>
              <w:rPr>
                <w:rFonts w:eastAsia="Calibri"/>
                <w:b/>
                <w:bCs/>
              </w:rPr>
              <w:lastRenderedPageBreak/>
              <w:t>Unlimited Blackberry POP3 Email and Browsing (for customers with Blackberry using an operating system version 7.1 or earlier)</w:t>
            </w:r>
          </w:p>
        </w:tc>
        <w:tc>
          <w:tcPr>
            <w:tcW w:w="1494" w:type="dxa"/>
            <w:shd w:val="clear" w:color="auto" w:fill="auto"/>
            <w:vAlign w:val="center"/>
          </w:tcPr>
          <w:p w14:paraId="3190A204" w14:textId="77777777" w:rsidR="000D07EA" w:rsidRDefault="00BE7C89">
            <w:pPr>
              <w:pStyle w:val="BodyText"/>
              <w:spacing w:before="100" w:after="100"/>
              <w:jc w:val="center"/>
              <w:rPr>
                <w:rFonts w:eastAsia="Calibri"/>
              </w:rPr>
            </w:pPr>
            <w:r>
              <w:rPr>
                <w:rFonts w:eastAsia="Calibri"/>
              </w:rPr>
              <w:t>Yes</w:t>
            </w:r>
          </w:p>
        </w:tc>
        <w:tc>
          <w:tcPr>
            <w:tcW w:w="1494" w:type="dxa"/>
            <w:shd w:val="clear" w:color="auto" w:fill="auto"/>
            <w:vAlign w:val="center"/>
          </w:tcPr>
          <w:p w14:paraId="14A42F53" w14:textId="77777777" w:rsidR="000D07EA" w:rsidRDefault="00BE7C89">
            <w:pPr>
              <w:pStyle w:val="BodyText"/>
              <w:spacing w:before="100" w:after="100"/>
              <w:jc w:val="center"/>
              <w:rPr>
                <w:rFonts w:eastAsia="Calibri"/>
              </w:rPr>
            </w:pPr>
            <w:r>
              <w:rPr>
                <w:rFonts w:eastAsia="Calibri"/>
              </w:rPr>
              <w:t>Yes</w:t>
            </w:r>
          </w:p>
        </w:tc>
        <w:tc>
          <w:tcPr>
            <w:tcW w:w="1495" w:type="dxa"/>
            <w:shd w:val="clear" w:color="auto" w:fill="auto"/>
            <w:vAlign w:val="center"/>
          </w:tcPr>
          <w:p w14:paraId="79B83BA5" w14:textId="77777777" w:rsidR="000D07EA" w:rsidRDefault="00BE7C89">
            <w:pPr>
              <w:pStyle w:val="BodyText"/>
              <w:spacing w:before="100" w:after="100"/>
              <w:jc w:val="center"/>
              <w:rPr>
                <w:rFonts w:eastAsia="Calibri"/>
              </w:rPr>
            </w:pPr>
            <w:r>
              <w:rPr>
                <w:rFonts w:eastAsia="Calibri"/>
              </w:rPr>
              <w:t>Yes</w:t>
            </w:r>
          </w:p>
        </w:tc>
        <w:tc>
          <w:tcPr>
            <w:tcW w:w="1494" w:type="dxa"/>
            <w:shd w:val="clear" w:color="auto" w:fill="auto"/>
            <w:vAlign w:val="center"/>
          </w:tcPr>
          <w:p w14:paraId="2BD5277F" w14:textId="77777777" w:rsidR="000D07EA" w:rsidRDefault="00BE7C89">
            <w:pPr>
              <w:pStyle w:val="BodyText"/>
              <w:spacing w:before="100" w:after="100"/>
              <w:jc w:val="center"/>
              <w:rPr>
                <w:rFonts w:eastAsia="Calibri"/>
              </w:rPr>
            </w:pPr>
            <w:r>
              <w:rPr>
                <w:rFonts w:eastAsia="Calibri"/>
              </w:rPr>
              <w:t>Yes</w:t>
            </w:r>
          </w:p>
        </w:tc>
        <w:tc>
          <w:tcPr>
            <w:tcW w:w="1495" w:type="dxa"/>
            <w:shd w:val="clear" w:color="auto" w:fill="auto"/>
            <w:vAlign w:val="center"/>
          </w:tcPr>
          <w:p w14:paraId="2B590509" w14:textId="77777777" w:rsidR="000D07EA" w:rsidRDefault="00BE7C89">
            <w:pPr>
              <w:pStyle w:val="BodyText"/>
              <w:spacing w:before="100" w:after="100"/>
              <w:jc w:val="center"/>
              <w:rPr>
                <w:rFonts w:eastAsia="Calibri"/>
              </w:rPr>
            </w:pPr>
            <w:r>
              <w:rPr>
                <w:rFonts w:eastAsia="Calibri"/>
              </w:rPr>
              <w:t>Yes</w:t>
            </w:r>
          </w:p>
        </w:tc>
      </w:tr>
      <w:tr w:rsidR="000D07EA" w14:paraId="0671B716" w14:textId="77777777">
        <w:tc>
          <w:tcPr>
            <w:tcW w:w="2176" w:type="dxa"/>
            <w:shd w:val="clear" w:color="auto" w:fill="auto"/>
          </w:tcPr>
          <w:p w14:paraId="04B276C2" w14:textId="77777777" w:rsidR="000D07EA" w:rsidRDefault="00BE7C89">
            <w:pPr>
              <w:pStyle w:val="BodyText"/>
              <w:spacing w:before="100" w:after="100"/>
              <w:rPr>
                <w:rFonts w:eastAsia="Calibri"/>
              </w:rPr>
            </w:pPr>
            <w:r>
              <w:rPr>
                <w:rFonts w:eastAsia="Calibri"/>
                <w:b/>
                <w:bCs/>
              </w:rPr>
              <w:t>Included Value each month</w:t>
            </w:r>
          </w:p>
        </w:tc>
        <w:tc>
          <w:tcPr>
            <w:tcW w:w="1494" w:type="dxa"/>
            <w:shd w:val="clear" w:color="auto" w:fill="auto"/>
            <w:vAlign w:val="center"/>
          </w:tcPr>
          <w:p w14:paraId="4D8296FD" w14:textId="77777777" w:rsidR="000D07EA" w:rsidRDefault="00BE7C89">
            <w:pPr>
              <w:pStyle w:val="BodyText"/>
              <w:spacing w:before="100" w:after="100"/>
              <w:jc w:val="center"/>
              <w:rPr>
                <w:rFonts w:eastAsia="Calibri"/>
              </w:rPr>
            </w:pPr>
            <w:r>
              <w:rPr>
                <w:rFonts w:eastAsia="Calibri"/>
              </w:rPr>
              <w:t>$200</w:t>
            </w:r>
          </w:p>
        </w:tc>
        <w:tc>
          <w:tcPr>
            <w:tcW w:w="1494" w:type="dxa"/>
            <w:shd w:val="clear" w:color="auto" w:fill="auto"/>
            <w:vAlign w:val="center"/>
          </w:tcPr>
          <w:p w14:paraId="25E74FB0" w14:textId="77777777" w:rsidR="000D07EA" w:rsidRDefault="00BE7C89">
            <w:pPr>
              <w:pStyle w:val="BodyText"/>
              <w:spacing w:before="100" w:after="100"/>
              <w:jc w:val="center"/>
              <w:rPr>
                <w:rFonts w:eastAsia="Calibri"/>
              </w:rPr>
            </w:pPr>
            <w:r>
              <w:rPr>
                <w:rFonts w:eastAsia="Calibri"/>
              </w:rPr>
              <w:t>$200</w:t>
            </w:r>
          </w:p>
        </w:tc>
        <w:tc>
          <w:tcPr>
            <w:tcW w:w="1495" w:type="dxa"/>
            <w:shd w:val="clear" w:color="auto" w:fill="auto"/>
            <w:vAlign w:val="center"/>
          </w:tcPr>
          <w:p w14:paraId="35E8DC5E" w14:textId="77777777" w:rsidR="000D07EA" w:rsidRDefault="00BE7C89">
            <w:pPr>
              <w:pStyle w:val="BodyText"/>
              <w:spacing w:before="100" w:after="100"/>
              <w:jc w:val="center"/>
              <w:rPr>
                <w:rFonts w:eastAsia="Calibri"/>
              </w:rPr>
            </w:pPr>
            <w:r>
              <w:rPr>
                <w:rFonts w:eastAsia="Calibri"/>
              </w:rPr>
              <w:t>$500</w:t>
            </w:r>
          </w:p>
        </w:tc>
        <w:tc>
          <w:tcPr>
            <w:tcW w:w="1494" w:type="dxa"/>
            <w:shd w:val="clear" w:color="auto" w:fill="auto"/>
            <w:vAlign w:val="center"/>
          </w:tcPr>
          <w:p w14:paraId="415ADC4A" w14:textId="77777777" w:rsidR="000D07EA" w:rsidRDefault="00BE7C89">
            <w:pPr>
              <w:pStyle w:val="BodyText"/>
              <w:spacing w:before="100" w:after="100"/>
              <w:jc w:val="center"/>
              <w:rPr>
                <w:rFonts w:eastAsia="Calibri"/>
              </w:rPr>
            </w:pPr>
            <w:r>
              <w:rPr>
                <w:rFonts w:eastAsia="Calibri"/>
              </w:rPr>
              <w:t>$650</w:t>
            </w:r>
          </w:p>
        </w:tc>
        <w:tc>
          <w:tcPr>
            <w:tcW w:w="1495" w:type="dxa"/>
            <w:shd w:val="clear" w:color="auto" w:fill="auto"/>
            <w:vAlign w:val="center"/>
          </w:tcPr>
          <w:p w14:paraId="55C1CA10" w14:textId="77777777" w:rsidR="000D07EA" w:rsidRDefault="00BE7C89">
            <w:pPr>
              <w:pStyle w:val="BodyText"/>
              <w:spacing w:before="100" w:after="100"/>
              <w:jc w:val="center"/>
              <w:rPr>
                <w:rFonts w:eastAsia="Calibri"/>
              </w:rPr>
            </w:pPr>
            <w:r>
              <w:rPr>
                <w:rFonts w:eastAsia="Calibri"/>
              </w:rPr>
              <w:t>$850</w:t>
            </w:r>
          </w:p>
        </w:tc>
      </w:tr>
      <w:tr w:rsidR="000D07EA" w14:paraId="4E6E9301" w14:textId="77777777">
        <w:tc>
          <w:tcPr>
            <w:tcW w:w="2176" w:type="dxa"/>
            <w:shd w:val="clear" w:color="auto" w:fill="auto"/>
          </w:tcPr>
          <w:p w14:paraId="5389705A" w14:textId="77777777" w:rsidR="000D07EA" w:rsidRDefault="00BE7C89">
            <w:pPr>
              <w:pStyle w:val="BodyText"/>
              <w:spacing w:before="100" w:after="100"/>
              <w:rPr>
                <w:rFonts w:eastAsia="Calibri"/>
              </w:rPr>
            </w:pPr>
            <w:r>
              <w:rPr>
                <w:rFonts w:eastAsia="Calibri"/>
                <w:b/>
                <w:bCs/>
              </w:rPr>
              <w:t>Unlimited standard national SMS</w:t>
            </w:r>
          </w:p>
        </w:tc>
        <w:tc>
          <w:tcPr>
            <w:tcW w:w="1494" w:type="dxa"/>
            <w:shd w:val="clear" w:color="auto" w:fill="auto"/>
            <w:vAlign w:val="center"/>
          </w:tcPr>
          <w:p w14:paraId="5AA810B9" w14:textId="77777777" w:rsidR="000D07EA" w:rsidRDefault="00BE7C89">
            <w:pPr>
              <w:pStyle w:val="BodyText"/>
              <w:spacing w:before="100" w:after="100"/>
              <w:jc w:val="center"/>
              <w:rPr>
                <w:rFonts w:eastAsia="Calibri"/>
              </w:rPr>
            </w:pPr>
            <w:r>
              <w:rPr>
                <w:rFonts w:eastAsia="Calibri"/>
              </w:rPr>
              <w:t>No</w:t>
            </w:r>
          </w:p>
        </w:tc>
        <w:tc>
          <w:tcPr>
            <w:tcW w:w="1494" w:type="dxa"/>
            <w:shd w:val="clear" w:color="auto" w:fill="auto"/>
            <w:vAlign w:val="center"/>
          </w:tcPr>
          <w:p w14:paraId="7C9675DA" w14:textId="77777777" w:rsidR="000D07EA" w:rsidRDefault="00BE7C89">
            <w:pPr>
              <w:pStyle w:val="BodyText"/>
              <w:spacing w:before="100" w:after="100"/>
              <w:jc w:val="center"/>
              <w:rPr>
                <w:rFonts w:eastAsia="Calibri"/>
              </w:rPr>
            </w:pPr>
            <w:r>
              <w:rPr>
                <w:rFonts w:eastAsia="Calibri"/>
              </w:rPr>
              <w:t>Yes</w:t>
            </w:r>
          </w:p>
        </w:tc>
        <w:tc>
          <w:tcPr>
            <w:tcW w:w="1495" w:type="dxa"/>
            <w:shd w:val="clear" w:color="auto" w:fill="auto"/>
            <w:vAlign w:val="center"/>
          </w:tcPr>
          <w:p w14:paraId="33341492" w14:textId="77777777" w:rsidR="000D07EA" w:rsidRDefault="00BE7C89">
            <w:pPr>
              <w:pStyle w:val="BodyText"/>
              <w:spacing w:before="100" w:after="100"/>
              <w:jc w:val="center"/>
              <w:rPr>
                <w:rFonts w:eastAsia="Calibri"/>
              </w:rPr>
            </w:pPr>
            <w:r>
              <w:rPr>
                <w:rFonts w:eastAsia="Calibri"/>
              </w:rPr>
              <w:t>Yes</w:t>
            </w:r>
          </w:p>
        </w:tc>
        <w:tc>
          <w:tcPr>
            <w:tcW w:w="1494" w:type="dxa"/>
            <w:shd w:val="clear" w:color="auto" w:fill="auto"/>
            <w:vAlign w:val="center"/>
          </w:tcPr>
          <w:p w14:paraId="7005FFED" w14:textId="77777777" w:rsidR="000D07EA" w:rsidRDefault="00BE7C89">
            <w:pPr>
              <w:pStyle w:val="BodyText"/>
              <w:spacing w:before="100" w:after="100"/>
              <w:jc w:val="center"/>
              <w:rPr>
                <w:rFonts w:eastAsia="Calibri"/>
              </w:rPr>
            </w:pPr>
            <w:r>
              <w:rPr>
                <w:rFonts w:eastAsia="Calibri"/>
              </w:rPr>
              <w:t>Yes</w:t>
            </w:r>
          </w:p>
        </w:tc>
        <w:tc>
          <w:tcPr>
            <w:tcW w:w="1495" w:type="dxa"/>
            <w:shd w:val="clear" w:color="auto" w:fill="auto"/>
            <w:vAlign w:val="center"/>
          </w:tcPr>
          <w:p w14:paraId="31380D9A" w14:textId="77777777" w:rsidR="000D07EA" w:rsidRDefault="00BE7C89">
            <w:pPr>
              <w:pStyle w:val="BodyText"/>
              <w:spacing w:before="100" w:after="100"/>
              <w:jc w:val="center"/>
              <w:rPr>
                <w:rFonts w:eastAsia="Calibri"/>
              </w:rPr>
            </w:pPr>
            <w:r>
              <w:rPr>
                <w:rFonts w:eastAsia="Calibri"/>
              </w:rPr>
              <w:t>Yes</w:t>
            </w:r>
          </w:p>
        </w:tc>
      </w:tr>
      <w:tr w:rsidR="000D07EA" w14:paraId="10589D65" w14:textId="77777777">
        <w:tc>
          <w:tcPr>
            <w:tcW w:w="2176" w:type="dxa"/>
            <w:shd w:val="clear" w:color="auto" w:fill="auto"/>
          </w:tcPr>
          <w:p w14:paraId="030A60D6" w14:textId="77777777" w:rsidR="000D07EA" w:rsidRDefault="00BE7C89">
            <w:pPr>
              <w:pStyle w:val="BodyText"/>
              <w:spacing w:before="100" w:after="100"/>
            </w:pPr>
            <w:r>
              <w:t>Unlimited voice calls to Optus mobiles from within Australia</w:t>
            </w:r>
          </w:p>
        </w:tc>
        <w:tc>
          <w:tcPr>
            <w:tcW w:w="1494" w:type="dxa"/>
            <w:shd w:val="clear" w:color="auto" w:fill="auto"/>
            <w:vAlign w:val="center"/>
          </w:tcPr>
          <w:p w14:paraId="4031B28E" w14:textId="77777777" w:rsidR="000D07EA" w:rsidRDefault="00BE7C89">
            <w:pPr>
              <w:pStyle w:val="BodyText"/>
              <w:spacing w:before="100" w:after="100"/>
              <w:jc w:val="center"/>
              <w:rPr>
                <w:rFonts w:eastAsia="Calibri"/>
              </w:rPr>
            </w:pPr>
            <w:r>
              <w:rPr>
                <w:rFonts w:eastAsia="Calibri"/>
              </w:rPr>
              <w:t>No</w:t>
            </w:r>
          </w:p>
        </w:tc>
        <w:tc>
          <w:tcPr>
            <w:tcW w:w="1494" w:type="dxa"/>
            <w:shd w:val="clear" w:color="auto" w:fill="auto"/>
            <w:vAlign w:val="center"/>
          </w:tcPr>
          <w:p w14:paraId="4D9BCFFF" w14:textId="77777777" w:rsidR="000D07EA" w:rsidRDefault="00BE7C89">
            <w:pPr>
              <w:pStyle w:val="BodyText"/>
              <w:spacing w:before="100" w:after="100"/>
              <w:jc w:val="center"/>
              <w:rPr>
                <w:rFonts w:eastAsia="Calibri"/>
              </w:rPr>
            </w:pPr>
            <w:r>
              <w:rPr>
                <w:rFonts w:eastAsia="Calibri"/>
              </w:rPr>
              <w:t>No</w:t>
            </w:r>
          </w:p>
        </w:tc>
        <w:tc>
          <w:tcPr>
            <w:tcW w:w="1495" w:type="dxa"/>
            <w:shd w:val="clear" w:color="auto" w:fill="auto"/>
            <w:vAlign w:val="center"/>
          </w:tcPr>
          <w:p w14:paraId="6D875562" w14:textId="77777777" w:rsidR="000D07EA" w:rsidRDefault="00BE7C89">
            <w:pPr>
              <w:pStyle w:val="BodyText"/>
              <w:spacing w:before="100" w:after="100"/>
              <w:jc w:val="center"/>
              <w:rPr>
                <w:rFonts w:eastAsia="Calibri"/>
              </w:rPr>
            </w:pPr>
            <w:r>
              <w:rPr>
                <w:rFonts w:eastAsia="Calibri"/>
              </w:rPr>
              <w:t>Yes</w:t>
            </w:r>
          </w:p>
        </w:tc>
        <w:tc>
          <w:tcPr>
            <w:tcW w:w="1494" w:type="dxa"/>
            <w:shd w:val="clear" w:color="auto" w:fill="auto"/>
            <w:vAlign w:val="center"/>
          </w:tcPr>
          <w:p w14:paraId="7BE37214" w14:textId="77777777" w:rsidR="000D07EA" w:rsidRDefault="00BE7C89">
            <w:pPr>
              <w:pStyle w:val="BodyText"/>
              <w:spacing w:before="100" w:after="100"/>
              <w:jc w:val="center"/>
              <w:rPr>
                <w:rFonts w:eastAsia="Calibri"/>
              </w:rPr>
            </w:pPr>
            <w:r>
              <w:rPr>
                <w:rFonts w:eastAsia="Calibri"/>
              </w:rPr>
              <w:t>Yes</w:t>
            </w:r>
          </w:p>
        </w:tc>
        <w:tc>
          <w:tcPr>
            <w:tcW w:w="1495" w:type="dxa"/>
            <w:shd w:val="clear" w:color="auto" w:fill="auto"/>
            <w:vAlign w:val="center"/>
          </w:tcPr>
          <w:p w14:paraId="5F9C759B" w14:textId="77777777" w:rsidR="000D07EA" w:rsidRDefault="00BE7C89">
            <w:pPr>
              <w:pStyle w:val="BodyText"/>
              <w:spacing w:before="100" w:after="100"/>
              <w:jc w:val="center"/>
              <w:rPr>
                <w:rFonts w:eastAsia="Calibri"/>
              </w:rPr>
            </w:pPr>
            <w:r>
              <w:rPr>
                <w:rFonts w:eastAsia="Calibri"/>
              </w:rPr>
              <w:t>Yes</w:t>
            </w:r>
          </w:p>
        </w:tc>
      </w:tr>
      <w:tr w:rsidR="000D07EA" w14:paraId="65D67B5C" w14:textId="77777777">
        <w:tc>
          <w:tcPr>
            <w:tcW w:w="2176" w:type="dxa"/>
            <w:shd w:val="clear" w:color="auto" w:fill="auto"/>
          </w:tcPr>
          <w:p w14:paraId="329AD640" w14:textId="77777777" w:rsidR="000D07EA" w:rsidRDefault="00BE7C89">
            <w:pPr>
              <w:pStyle w:val="BodyText"/>
              <w:spacing w:before="100" w:after="100"/>
              <w:rPr>
                <w:rFonts w:eastAsia="Calibri"/>
                <w:b/>
                <w:sz w:val="22"/>
                <w:szCs w:val="22"/>
              </w:rPr>
            </w:pPr>
            <w:r>
              <w:rPr>
                <w:rFonts w:eastAsia="Calibri"/>
                <w:b/>
              </w:rPr>
              <w:t>Unlimited voice calls to Optus mobiles on the same Customer Account Number from within Australia</w:t>
            </w:r>
          </w:p>
        </w:tc>
        <w:tc>
          <w:tcPr>
            <w:tcW w:w="1494" w:type="dxa"/>
            <w:shd w:val="clear" w:color="auto" w:fill="auto"/>
            <w:vAlign w:val="center"/>
          </w:tcPr>
          <w:p w14:paraId="791A35AE" w14:textId="77777777" w:rsidR="000D07EA" w:rsidRDefault="00BE7C89">
            <w:pPr>
              <w:pStyle w:val="BodyText"/>
              <w:spacing w:before="100" w:after="100"/>
              <w:jc w:val="center"/>
              <w:rPr>
                <w:rFonts w:eastAsia="Calibri"/>
              </w:rPr>
            </w:pPr>
            <w:r>
              <w:rPr>
                <w:rFonts w:eastAsia="Calibri"/>
              </w:rPr>
              <w:t>Yes</w:t>
            </w:r>
          </w:p>
        </w:tc>
        <w:tc>
          <w:tcPr>
            <w:tcW w:w="1494" w:type="dxa"/>
            <w:shd w:val="clear" w:color="auto" w:fill="auto"/>
            <w:vAlign w:val="center"/>
          </w:tcPr>
          <w:p w14:paraId="7D8A4BA5" w14:textId="77777777" w:rsidR="000D07EA" w:rsidRDefault="00BE7C89">
            <w:pPr>
              <w:pStyle w:val="BodyText"/>
              <w:spacing w:before="100" w:after="100"/>
              <w:jc w:val="center"/>
              <w:rPr>
                <w:rFonts w:eastAsia="Calibri"/>
              </w:rPr>
            </w:pPr>
            <w:r>
              <w:rPr>
                <w:rFonts w:eastAsia="Calibri"/>
              </w:rPr>
              <w:t>Yes</w:t>
            </w:r>
          </w:p>
        </w:tc>
        <w:tc>
          <w:tcPr>
            <w:tcW w:w="1495" w:type="dxa"/>
            <w:shd w:val="clear" w:color="auto" w:fill="auto"/>
            <w:vAlign w:val="center"/>
          </w:tcPr>
          <w:p w14:paraId="3D84E776" w14:textId="77777777" w:rsidR="000D07EA" w:rsidRDefault="00BE7C89">
            <w:pPr>
              <w:pStyle w:val="BodyText"/>
              <w:spacing w:before="100" w:after="100"/>
              <w:jc w:val="center"/>
              <w:rPr>
                <w:rFonts w:eastAsia="Calibri"/>
              </w:rPr>
            </w:pPr>
            <w:r>
              <w:rPr>
                <w:rFonts w:eastAsia="Calibri"/>
              </w:rPr>
              <w:t>Yes</w:t>
            </w:r>
          </w:p>
        </w:tc>
        <w:tc>
          <w:tcPr>
            <w:tcW w:w="1494" w:type="dxa"/>
            <w:shd w:val="clear" w:color="auto" w:fill="auto"/>
            <w:vAlign w:val="center"/>
          </w:tcPr>
          <w:p w14:paraId="2EB070B6" w14:textId="77777777" w:rsidR="000D07EA" w:rsidRDefault="00BE7C89">
            <w:pPr>
              <w:pStyle w:val="BodyText"/>
              <w:spacing w:before="100" w:after="100"/>
              <w:jc w:val="center"/>
              <w:rPr>
                <w:rFonts w:eastAsia="Calibri"/>
              </w:rPr>
            </w:pPr>
            <w:r>
              <w:rPr>
                <w:rFonts w:eastAsia="Calibri"/>
              </w:rPr>
              <w:t>Yes</w:t>
            </w:r>
          </w:p>
        </w:tc>
        <w:tc>
          <w:tcPr>
            <w:tcW w:w="1495" w:type="dxa"/>
            <w:shd w:val="clear" w:color="auto" w:fill="auto"/>
            <w:vAlign w:val="center"/>
          </w:tcPr>
          <w:p w14:paraId="41E0BD99" w14:textId="77777777" w:rsidR="000D07EA" w:rsidRDefault="00BE7C89">
            <w:pPr>
              <w:pStyle w:val="BodyText"/>
              <w:spacing w:before="100" w:after="100"/>
              <w:jc w:val="center"/>
              <w:rPr>
                <w:rFonts w:eastAsia="Calibri"/>
              </w:rPr>
            </w:pPr>
            <w:r>
              <w:rPr>
                <w:rFonts w:eastAsia="Calibri"/>
              </w:rPr>
              <w:t>Yes</w:t>
            </w:r>
          </w:p>
        </w:tc>
      </w:tr>
      <w:tr w:rsidR="000D07EA" w14:paraId="2A5CEA81" w14:textId="77777777">
        <w:tc>
          <w:tcPr>
            <w:tcW w:w="2176" w:type="dxa"/>
            <w:shd w:val="clear" w:color="auto" w:fill="auto"/>
          </w:tcPr>
          <w:p w14:paraId="70475E06" w14:textId="77777777" w:rsidR="000D07EA" w:rsidRDefault="00BE7C89">
            <w:pPr>
              <w:pStyle w:val="BodyText"/>
              <w:spacing w:before="100" w:after="100"/>
              <w:rPr>
                <w:rFonts w:eastAsia="Calibri"/>
              </w:rPr>
            </w:pPr>
            <w:r>
              <w:rPr>
                <w:rFonts w:eastAsia="Calibri"/>
                <w:b/>
                <w:bCs/>
              </w:rPr>
              <w:t>Standard national voice call charges</w:t>
            </w:r>
            <w:r>
              <w:rPr>
                <w:rFonts w:eastAsia="Calibri"/>
              </w:rPr>
              <w:t xml:space="preserve"> (per minute)</w:t>
            </w:r>
          </w:p>
        </w:tc>
        <w:tc>
          <w:tcPr>
            <w:tcW w:w="1494" w:type="dxa"/>
            <w:shd w:val="clear" w:color="auto" w:fill="auto"/>
            <w:vAlign w:val="center"/>
          </w:tcPr>
          <w:p w14:paraId="7CEEF1B4" w14:textId="77777777" w:rsidR="000D07EA" w:rsidRDefault="00BE7C89">
            <w:pPr>
              <w:pStyle w:val="BodyText"/>
              <w:spacing w:before="100" w:after="100"/>
              <w:jc w:val="center"/>
              <w:rPr>
                <w:rFonts w:eastAsia="Calibri"/>
              </w:rPr>
            </w:pPr>
            <w:r>
              <w:rPr>
                <w:rFonts w:eastAsia="Calibri"/>
              </w:rPr>
              <w:t>90c per min + 35c flagfall</w:t>
            </w:r>
          </w:p>
        </w:tc>
        <w:tc>
          <w:tcPr>
            <w:tcW w:w="1494" w:type="dxa"/>
            <w:shd w:val="clear" w:color="auto" w:fill="auto"/>
            <w:vAlign w:val="center"/>
          </w:tcPr>
          <w:p w14:paraId="75BB8B63" w14:textId="77777777" w:rsidR="000D07EA" w:rsidRDefault="00BE7C89">
            <w:pPr>
              <w:pStyle w:val="BodyText"/>
              <w:spacing w:before="100" w:after="100"/>
              <w:jc w:val="center"/>
              <w:rPr>
                <w:rFonts w:eastAsia="Calibri"/>
              </w:rPr>
            </w:pPr>
            <w:r>
              <w:rPr>
                <w:rFonts w:eastAsia="Calibri"/>
              </w:rPr>
              <w:t>90c per min + 35c flagfall</w:t>
            </w:r>
          </w:p>
        </w:tc>
        <w:tc>
          <w:tcPr>
            <w:tcW w:w="1495" w:type="dxa"/>
            <w:shd w:val="clear" w:color="auto" w:fill="auto"/>
            <w:vAlign w:val="center"/>
          </w:tcPr>
          <w:p w14:paraId="36DF3EB1" w14:textId="77777777" w:rsidR="000D07EA" w:rsidRDefault="00BE7C89">
            <w:pPr>
              <w:pStyle w:val="BodyText"/>
              <w:spacing w:before="100" w:after="100"/>
              <w:jc w:val="center"/>
              <w:rPr>
                <w:rFonts w:eastAsia="Calibri"/>
              </w:rPr>
            </w:pPr>
            <w:r>
              <w:rPr>
                <w:rFonts w:eastAsia="Calibri"/>
              </w:rPr>
              <w:t>90c per min + 35c flagfall</w:t>
            </w:r>
          </w:p>
        </w:tc>
        <w:tc>
          <w:tcPr>
            <w:tcW w:w="1494" w:type="dxa"/>
            <w:shd w:val="clear" w:color="auto" w:fill="auto"/>
            <w:vAlign w:val="center"/>
          </w:tcPr>
          <w:p w14:paraId="2D74CB2B" w14:textId="77777777" w:rsidR="000D07EA" w:rsidRDefault="00BE7C89">
            <w:pPr>
              <w:pStyle w:val="BodyText"/>
              <w:spacing w:before="100" w:after="100"/>
              <w:jc w:val="center"/>
              <w:rPr>
                <w:rFonts w:eastAsia="Calibri"/>
              </w:rPr>
            </w:pPr>
            <w:r>
              <w:rPr>
                <w:rFonts w:eastAsia="Calibri"/>
              </w:rPr>
              <w:t>90c per min + 35c flagfall</w:t>
            </w:r>
          </w:p>
        </w:tc>
        <w:tc>
          <w:tcPr>
            <w:tcW w:w="1495" w:type="dxa"/>
            <w:shd w:val="clear" w:color="auto" w:fill="auto"/>
            <w:vAlign w:val="center"/>
          </w:tcPr>
          <w:p w14:paraId="74A2F34E" w14:textId="77777777" w:rsidR="000D07EA" w:rsidRDefault="00BE7C89">
            <w:pPr>
              <w:pStyle w:val="BodyText"/>
              <w:spacing w:before="100" w:after="100"/>
              <w:jc w:val="center"/>
              <w:rPr>
                <w:rFonts w:eastAsia="Calibri"/>
              </w:rPr>
            </w:pPr>
            <w:r>
              <w:rPr>
                <w:rFonts w:eastAsia="Calibri"/>
              </w:rPr>
              <w:t>90c per min + 35c flagfall</w:t>
            </w:r>
          </w:p>
        </w:tc>
      </w:tr>
      <w:tr w:rsidR="000D07EA" w14:paraId="35EE1D31" w14:textId="77777777">
        <w:tc>
          <w:tcPr>
            <w:tcW w:w="2176" w:type="dxa"/>
            <w:shd w:val="clear" w:color="auto" w:fill="auto"/>
          </w:tcPr>
          <w:p w14:paraId="499D1162" w14:textId="77777777" w:rsidR="000D07EA" w:rsidRDefault="00BE7C89">
            <w:pPr>
              <w:pStyle w:val="BodyText"/>
              <w:spacing w:before="100" w:after="100"/>
              <w:rPr>
                <w:rFonts w:eastAsia="Calibri"/>
              </w:rPr>
            </w:pPr>
            <w:r>
              <w:rPr>
                <w:rFonts w:eastAsia="Calibri"/>
                <w:b/>
                <w:bCs/>
              </w:rPr>
              <w:t xml:space="preserve">Standard national SMS </w:t>
            </w:r>
            <w:r>
              <w:rPr>
                <w:rFonts w:eastAsia="Calibri"/>
              </w:rPr>
              <w:t>(per SMS of up to 160 standard characters^)</w:t>
            </w:r>
          </w:p>
        </w:tc>
        <w:tc>
          <w:tcPr>
            <w:tcW w:w="1494" w:type="dxa"/>
            <w:shd w:val="clear" w:color="auto" w:fill="auto"/>
            <w:vAlign w:val="center"/>
          </w:tcPr>
          <w:p w14:paraId="29B0B11F" w14:textId="77777777" w:rsidR="000D07EA" w:rsidRDefault="00BE7C89">
            <w:pPr>
              <w:pStyle w:val="BodyText"/>
              <w:spacing w:before="100" w:after="100"/>
              <w:jc w:val="center"/>
              <w:rPr>
                <w:rFonts w:eastAsia="Calibri"/>
              </w:rPr>
            </w:pPr>
            <w:r>
              <w:rPr>
                <w:rFonts w:eastAsia="Calibri"/>
              </w:rPr>
              <w:t>25c</w:t>
            </w:r>
          </w:p>
        </w:tc>
        <w:tc>
          <w:tcPr>
            <w:tcW w:w="1494" w:type="dxa"/>
            <w:shd w:val="clear" w:color="auto" w:fill="auto"/>
            <w:vAlign w:val="center"/>
          </w:tcPr>
          <w:p w14:paraId="7A87C7E7" w14:textId="77777777" w:rsidR="000D07EA" w:rsidRDefault="00BE7C89">
            <w:pPr>
              <w:pStyle w:val="BodyText"/>
              <w:spacing w:before="100" w:after="100"/>
              <w:jc w:val="center"/>
              <w:rPr>
                <w:rFonts w:eastAsia="Calibri"/>
              </w:rPr>
            </w:pPr>
            <w:r>
              <w:rPr>
                <w:rFonts w:eastAsia="Calibri"/>
              </w:rPr>
              <w:t>Unlimited</w:t>
            </w:r>
          </w:p>
        </w:tc>
        <w:tc>
          <w:tcPr>
            <w:tcW w:w="1495" w:type="dxa"/>
            <w:shd w:val="clear" w:color="auto" w:fill="auto"/>
            <w:vAlign w:val="center"/>
          </w:tcPr>
          <w:p w14:paraId="460CDA5C" w14:textId="77777777" w:rsidR="000D07EA" w:rsidRDefault="00BE7C89">
            <w:pPr>
              <w:pStyle w:val="BodyText"/>
              <w:spacing w:before="100" w:after="100"/>
              <w:jc w:val="center"/>
              <w:rPr>
                <w:rFonts w:eastAsia="Calibri"/>
              </w:rPr>
            </w:pPr>
            <w:r>
              <w:rPr>
                <w:rFonts w:eastAsia="Calibri"/>
              </w:rPr>
              <w:t>Unlimited</w:t>
            </w:r>
          </w:p>
        </w:tc>
        <w:tc>
          <w:tcPr>
            <w:tcW w:w="1494" w:type="dxa"/>
            <w:shd w:val="clear" w:color="auto" w:fill="auto"/>
            <w:vAlign w:val="center"/>
          </w:tcPr>
          <w:p w14:paraId="7621D58F" w14:textId="77777777" w:rsidR="000D07EA" w:rsidRDefault="00BE7C89">
            <w:pPr>
              <w:pStyle w:val="BodyText"/>
              <w:spacing w:before="100" w:after="100"/>
              <w:jc w:val="center"/>
              <w:rPr>
                <w:rFonts w:eastAsia="Calibri"/>
              </w:rPr>
            </w:pPr>
            <w:r>
              <w:rPr>
                <w:rFonts w:eastAsia="Calibri"/>
              </w:rPr>
              <w:t>Unlimited</w:t>
            </w:r>
          </w:p>
        </w:tc>
        <w:tc>
          <w:tcPr>
            <w:tcW w:w="1495" w:type="dxa"/>
            <w:shd w:val="clear" w:color="auto" w:fill="auto"/>
            <w:vAlign w:val="center"/>
          </w:tcPr>
          <w:p w14:paraId="0B0ABC7F" w14:textId="77777777" w:rsidR="000D07EA" w:rsidRDefault="00BE7C89">
            <w:pPr>
              <w:pStyle w:val="BodyText"/>
              <w:spacing w:before="100" w:after="100"/>
              <w:jc w:val="center"/>
              <w:rPr>
                <w:rFonts w:eastAsia="Calibri"/>
              </w:rPr>
            </w:pPr>
            <w:r>
              <w:rPr>
                <w:rFonts w:eastAsia="Calibri"/>
              </w:rPr>
              <w:t>Unlimited</w:t>
            </w:r>
          </w:p>
        </w:tc>
      </w:tr>
      <w:tr w:rsidR="000D07EA" w14:paraId="1FF2CA24" w14:textId="77777777">
        <w:tc>
          <w:tcPr>
            <w:tcW w:w="2176" w:type="dxa"/>
            <w:shd w:val="clear" w:color="auto" w:fill="auto"/>
          </w:tcPr>
          <w:p w14:paraId="0AE2BE77" w14:textId="77777777" w:rsidR="000D07EA" w:rsidRDefault="00BE7C89">
            <w:pPr>
              <w:pStyle w:val="BodyText"/>
              <w:spacing w:before="100" w:after="100"/>
              <w:rPr>
                <w:rFonts w:eastAsia="Calibri"/>
                <w:b/>
                <w:bCs/>
              </w:rPr>
            </w:pPr>
            <w:r>
              <w:rPr>
                <w:rFonts w:eastAsia="Calibri"/>
                <w:b/>
                <w:bCs/>
              </w:rPr>
              <w:t xml:space="preserve">Standard national MMS </w:t>
            </w:r>
            <w:r>
              <w:rPr>
                <w:rFonts w:eastAsia="Calibri"/>
              </w:rPr>
              <w:t>(per message)</w:t>
            </w:r>
          </w:p>
        </w:tc>
        <w:tc>
          <w:tcPr>
            <w:tcW w:w="1494" w:type="dxa"/>
            <w:shd w:val="clear" w:color="auto" w:fill="auto"/>
            <w:vAlign w:val="center"/>
          </w:tcPr>
          <w:p w14:paraId="37B190A8" w14:textId="77777777" w:rsidR="000D07EA" w:rsidRDefault="00BE7C89">
            <w:pPr>
              <w:pStyle w:val="BodyText"/>
              <w:spacing w:before="100" w:after="100"/>
              <w:jc w:val="center"/>
              <w:rPr>
                <w:rFonts w:eastAsia="Calibri"/>
              </w:rPr>
            </w:pPr>
            <w:r>
              <w:rPr>
                <w:rFonts w:eastAsia="Calibri"/>
              </w:rPr>
              <w:t>50c</w:t>
            </w:r>
          </w:p>
        </w:tc>
        <w:tc>
          <w:tcPr>
            <w:tcW w:w="1494" w:type="dxa"/>
            <w:shd w:val="clear" w:color="auto" w:fill="auto"/>
            <w:vAlign w:val="center"/>
          </w:tcPr>
          <w:p w14:paraId="32074410" w14:textId="77777777" w:rsidR="000D07EA" w:rsidRDefault="00BE7C89">
            <w:pPr>
              <w:pStyle w:val="BodyText"/>
              <w:spacing w:before="100" w:after="100"/>
              <w:jc w:val="center"/>
              <w:rPr>
                <w:rFonts w:eastAsia="Calibri"/>
              </w:rPr>
            </w:pPr>
            <w:r>
              <w:rPr>
                <w:rFonts w:eastAsia="Calibri"/>
              </w:rPr>
              <w:t>50c</w:t>
            </w:r>
          </w:p>
        </w:tc>
        <w:tc>
          <w:tcPr>
            <w:tcW w:w="1495" w:type="dxa"/>
            <w:shd w:val="clear" w:color="auto" w:fill="auto"/>
            <w:vAlign w:val="center"/>
          </w:tcPr>
          <w:p w14:paraId="5BCAFB25" w14:textId="77777777" w:rsidR="000D07EA" w:rsidRDefault="00BE7C89">
            <w:pPr>
              <w:pStyle w:val="BodyText"/>
              <w:spacing w:before="100" w:after="100"/>
              <w:jc w:val="center"/>
              <w:rPr>
                <w:rFonts w:eastAsia="Calibri"/>
              </w:rPr>
            </w:pPr>
            <w:r>
              <w:rPr>
                <w:rFonts w:eastAsia="Calibri"/>
              </w:rPr>
              <w:t>50c</w:t>
            </w:r>
          </w:p>
        </w:tc>
        <w:tc>
          <w:tcPr>
            <w:tcW w:w="1494" w:type="dxa"/>
            <w:shd w:val="clear" w:color="auto" w:fill="auto"/>
            <w:vAlign w:val="center"/>
          </w:tcPr>
          <w:p w14:paraId="15119269" w14:textId="77777777" w:rsidR="000D07EA" w:rsidRDefault="00BE7C89">
            <w:pPr>
              <w:pStyle w:val="BodyText"/>
              <w:spacing w:before="100" w:after="100"/>
              <w:jc w:val="center"/>
              <w:rPr>
                <w:rFonts w:eastAsia="Calibri"/>
              </w:rPr>
            </w:pPr>
            <w:r>
              <w:rPr>
                <w:rFonts w:eastAsia="Calibri"/>
              </w:rPr>
              <w:t>50c</w:t>
            </w:r>
          </w:p>
        </w:tc>
        <w:tc>
          <w:tcPr>
            <w:tcW w:w="1495" w:type="dxa"/>
            <w:shd w:val="clear" w:color="auto" w:fill="auto"/>
            <w:vAlign w:val="center"/>
          </w:tcPr>
          <w:p w14:paraId="5E2A830F" w14:textId="77777777" w:rsidR="000D07EA" w:rsidRDefault="00BE7C89">
            <w:pPr>
              <w:pStyle w:val="BodyText"/>
              <w:spacing w:before="100" w:after="100"/>
              <w:jc w:val="center"/>
              <w:rPr>
                <w:rFonts w:eastAsia="Calibri"/>
              </w:rPr>
            </w:pPr>
            <w:r>
              <w:rPr>
                <w:rFonts w:eastAsia="Calibri"/>
              </w:rPr>
              <w:t>50c</w:t>
            </w:r>
          </w:p>
        </w:tc>
      </w:tr>
      <w:tr w:rsidR="000D07EA" w14:paraId="045F83F3" w14:textId="77777777">
        <w:tc>
          <w:tcPr>
            <w:tcW w:w="2176" w:type="dxa"/>
            <w:shd w:val="clear" w:color="auto" w:fill="auto"/>
          </w:tcPr>
          <w:p w14:paraId="40418BF0" w14:textId="77777777" w:rsidR="000D07EA" w:rsidRDefault="00BE7C89">
            <w:pPr>
              <w:pStyle w:val="BodyText"/>
              <w:spacing w:before="100" w:after="100"/>
              <w:rPr>
                <w:rFonts w:eastAsia="Calibri"/>
              </w:rPr>
            </w:pPr>
            <w:r>
              <w:rPr>
                <w:rFonts w:eastAsia="Calibri"/>
                <w:b/>
                <w:bCs/>
              </w:rPr>
              <w:t xml:space="preserve">National Video Calling </w:t>
            </w:r>
            <w:r>
              <w:rPr>
                <w:rFonts w:eastAsia="Calibri"/>
              </w:rPr>
              <w:t>(per minute)</w:t>
            </w:r>
          </w:p>
        </w:tc>
        <w:tc>
          <w:tcPr>
            <w:tcW w:w="1494" w:type="dxa"/>
            <w:shd w:val="clear" w:color="auto" w:fill="auto"/>
            <w:vAlign w:val="center"/>
          </w:tcPr>
          <w:p w14:paraId="2DA24D41" w14:textId="77777777" w:rsidR="000D07EA" w:rsidRDefault="00BE7C89">
            <w:pPr>
              <w:pStyle w:val="BodyText"/>
              <w:spacing w:before="100" w:after="100"/>
              <w:jc w:val="center"/>
              <w:rPr>
                <w:rFonts w:eastAsia="Calibri"/>
              </w:rPr>
            </w:pPr>
            <w:r>
              <w:rPr>
                <w:rFonts w:eastAsia="Calibri"/>
              </w:rPr>
              <w:t>$1.00 per min + 40c flagfall</w:t>
            </w:r>
          </w:p>
        </w:tc>
        <w:tc>
          <w:tcPr>
            <w:tcW w:w="1494" w:type="dxa"/>
            <w:shd w:val="clear" w:color="auto" w:fill="auto"/>
            <w:vAlign w:val="center"/>
          </w:tcPr>
          <w:p w14:paraId="467A9300" w14:textId="77777777" w:rsidR="000D07EA" w:rsidRDefault="00BE7C89">
            <w:pPr>
              <w:pStyle w:val="BodyText"/>
              <w:spacing w:before="100" w:after="100"/>
              <w:jc w:val="center"/>
              <w:rPr>
                <w:rFonts w:eastAsia="Calibri"/>
              </w:rPr>
            </w:pPr>
            <w:r>
              <w:rPr>
                <w:rFonts w:eastAsia="Calibri"/>
              </w:rPr>
              <w:t>$1.00 per min + 40c flagfall</w:t>
            </w:r>
          </w:p>
        </w:tc>
        <w:tc>
          <w:tcPr>
            <w:tcW w:w="1495" w:type="dxa"/>
            <w:shd w:val="clear" w:color="auto" w:fill="auto"/>
            <w:vAlign w:val="center"/>
          </w:tcPr>
          <w:p w14:paraId="67663F6A" w14:textId="77777777" w:rsidR="000D07EA" w:rsidRDefault="00BE7C89">
            <w:pPr>
              <w:pStyle w:val="BodyText"/>
              <w:spacing w:before="100" w:after="100"/>
              <w:jc w:val="center"/>
              <w:rPr>
                <w:rFonts w:eastAsia="Calibri"/>
              </w:rPr>
            </w:pPr>
            <w:r>
              <w:rPr>
                <w:rFonts w:eastAsia="Calibri"/>
              </w:rPr>
              <w:t>$1.00 per min + 40c flagfall</w:t>
            </w:r>
          </w:p>
        </w:tc>
        <w:tc>
          <w:tcPr>
            <w:tcW w:w="1494" w:type="dxa"/>
            <w:shd w:val="clear" w:color="auto" w:fill="auto"/>
            <w:vAlign w:val="center"/>
          </w:tcPr>
          <w:p w14:paraId="589BAC3C" w14:textId="77777777" w:rsidR="000D07EA" w:rsidRDefault="00BE7C89">
            <w:pPr>
              <w:pStyle w:val="BodyText"/>
              <w:spacing w:before="100" w:after="100"/>
              <w:jc w:val="center"/>
              <w:rPr>
                <w:rFonts w:eastAsia="Calibri"/>
              </w:rPr>
            </w:pPr>
            <w:r>
              <w:rPr>
                <w:rFonts w:eastAsia="Calibri"/>
              </w:rPr>
              <w:t>$1.00 per min + 40c flagfall</w:t>
            </w:r>
          </w:p>
        </w:tc>
        <w:tc>
          <w:tcPr>
            <w:tcW w:w="1495" w:type="dxa"/>
            <w:shd w:val="clear" w:color="auto" w:fill="auto"/>
            <w:vAlign w:val="center"/>
          </w:tcPr>
          <w:p w14:paraId="672B54C2" w14:textId="77777777" w:rsidR="000D07EA" w:rsidRDefault="00BE7C89">
            <w:pPr>
              <w:pStyle w:val="BodyText"/>
              <w:spacing w:before="100" w:after="100"/>
              <w:jc w:val="center"/>
              <w:rPr>
                <w:rFonts w:eastAsia="Calibri"/>
              </w:rPr>
            </w:pPr>
            <w:r>
              <w:rPr>
                <w:rFonts w:eastAsia="Calibri"/>
              </w:rPr>
              <w:t>$1.00 per min + 40c flagfall</w:t>
            </w:r>
          </w:p>
        </w:tc>
      </w:tr>
      <w:tr w:rsidR="000D07EA" w14:paraId="2390FD50" w14:textId="77777777">
        <w:tc>
          <w:tcPr>
            <w:tcW w:w="2176" w:type="dxa"/>
            <w:shd w:val="clear" w:color="auto" w:fill="auto"/>
          </w:tcPr>
          <w:p w14:paraId="5F55C336" w14:textId="77777777" w:rsidR="000D07EA" w:rsidRDefault="00BE7C89">
            <w:pPr>
              <w:pStyle w:val="BodyText"/>
              <w:spacing w:before="100" w:after="100"/>
              <w:rPr>
                <w:rFonts w:eastAsia="Calibri"/>
              </w:rPr>
            </w:pPr>
            <w:r>
              <w:rPr>
                <w:rFonts w:eastAsia="Calibri"/>
                <w:b/>
                <w:bCs/>
                <w:iCs/>
              </w:rPr>
              <w:t>Excess Data Charge</w:t>
            </w:r>
            <w:r>
              <w:rPr>
                <w:rFonts w:eastAsia="Calibri"/>
                <w:b/>
                <w:bCs/>
                <w:i/>
                <w:iCs/>
              </w:rPr>
              <w:t xml:space="preserve"> </w:t>
            </w:r>
            <w:r>
              <w:rPr>
                <w:rFonts w:eastAsia="Calibri"/>
                <w:i/>
                <w:iCs/>
              </w:rPr>
              <w:t>(charged per kb, includes uploads and downloads)</w:t>
            </w:r>
          </w:p>
        </w:tc>
        <w:tc>
          <w:tcPr>
            <w:tcW w:w="1494" w:type="dxa"/>
            <w:shd w:val="clear" w:color="auto" w:fill="auto"/>
            <w:vAlign w:val="center"/>
          </w:tcPr>
          <w:p w14:paraId="782EE8D2" w14:textId="77777777" w:rsidR="000D07EA" w:rsidRDefault="00BE7C89">
            <w:pPr>
              <w:pStyle w:val="BodyText"/>
              <w:spacing w:before="100" w:after="100"/>
              <w:jc w:val="center"/>
              <w:rPr>
                <w:rFonts w:eastAsia="Calibri"/>
              </w:rPr>
            </w:pPr>
            <w:r>
              <w:rPr>
                <w:rFonts w:eastAsia="Calibri"/>
              </w:rPr>
              <w:t>25c/MB</w:t>
            </w:r>
          </w:p>
        </w:tc>
        <w:tc>
          <w:tcPr>
            <w:tcW w:w="1494" w:type="dxa"/>
            <w:shd w:val="clear" w:color="auto" w:fill="auto"/>
            <w:vAlign w:val="center"/>
          </w:tcPr>
          <w:p w14:paraId="3AA6CA4F" w14:textId="77777777" w:rsidR="000D07EA" w:rsidRDefault="00BE7C89">
            <w:pPr>
              <w:pStyle w:val="BodyText"/>
              <w:spacing w:before="100" w:after="100"/>
              <w:jc w:val="center"/>
              <w:rPr>
                <w:rFonts w:eastAsia="Calibri"/>
              </w:rPr>
            </w:pPr>
            <w:r>
              <w:rPr>
                <w:rFonts w:eastAsia="Calibri"/>
              </w:rPr>
              <w:t>25c/MB</w:t>
            </w:r>
          </w:p>
        </w:tc>
        <w:tc>
          <w:tcPr>
            <w:tcW w:w="1495" w:type="dxa"/>
            <w:shd w:val="clear" w:color="auto" w:fill="auto"/>
            <w:vAlign w:val="center"/>
          </w:tcPr>
          <w:p w14:paraId="2BAC02A8" w14:textId="77777777" w:rsidR="000D07EA" w:rsidRDefault="00BE7C89">
            <w:pPr>
              <w:pStyle w:val="BodyText"/>
              <w:spacing w:before="100" w:after="100"/>
              <w:jc w:val="center"/>
              <w:rPr>
                <w:rFonts w:eastAsia="Calibri"/>
              </w:rPr>
            </w:pPr>
            <w:r>
              <w:rPr>
                <w:rFonts w:eastAsia="Calibri"/>
              </w:rPr>
              <w:t>25c/MB</w:t>
            </w:r>
          </w:p>
        </w:tc>
        <w:tc>
          <w:tcPr>
            <w:tcW w:w="1494" w:type="dxa"/>
            <w:shd w:val="clear" w:color="auto" w:fill="auto"/>
            <w:vAlign w:val="center"/>
          </w:tcPr>
          <w:p w14:paraId="00EEA53A" w14:textId="77777777" w:rsidR="000D07EA" w:rsidRDefault="00BE7C89">
            <w:pPr>
              <w:pStyle w:val="BodyText"/>
              <w:spacing w:before="100" w:after="100"/>
              <w:jc w:val="center"/>
              <w:rPr>
                <w:rFonts w:eastAsia="Calibri"/>
              </w:rPr>
            </w:pPr>
            <w:r>
              <w:rPr>
                <w:rFonts w:eastAsia="Calibri"/>
              </w:rPr>
              <w:t>25c/MB</w:t>
            </w:r>
          </w:p>
        </w:tc>
        <w:tc>
          <w:tcPr>
            <w:tcW w:w="1495" w:type="dxa"/>
            <w:shd w:val="clear" w:color="auto" w:fill="auto"/>
            <w:vAlign w:val="center"/>
          </w:tcPr>
          <w:p w14:paraId="5E454C67" w14:textId="77777777" w:rsidR="000D07EA" w:rsidRDefault="00BE7C89">
            <w:pPr>
              <w:pStyle w:val="BodyText"/>
              <w:spacing w:before="100" w:after="100"/>
              <w:jc w:val="center"/>
              <w:rPr>
                <w:rFonts w:eastAsia="Calibri"/>
              </w:rPr>
            </w:pPr>
            <w:r>
              <w:rPr>
                <w:rFonts w:eastAsia="Calibri"/>
              </w:rPr>
              <w:t>25c/MB</w:t>
            </w:r>
          </w:p>
        </w:tc>
      </w:tr>
      <w:tr w:rsidR="000D07EA" w14:paraId="5CA105C4" w14:textId="77777777">
        <w:tc>
          <w:tcPr>
            <w:tcW w:w="2176" w:type="dxa"/>
            <w:shd w:val="clear" w:color="auto" w:fill="auto"/>
          </w:tcPr>
          <w:p w14:paraId="0C52A89A" w14:textId="77777777" w:rsidR="000D07EA" w:rsidRDefault="00BE7C89">
            <w:pPr>
              <w:pStyle w:val="BodyText"/>
              <w:spacing w:before="100" w:after="100"/>
              <w:rPr>
                <w:rFonts w:eastAsia="Calibri"/>
              </w:rPr>
            </w:pPr>
            <w:r>
              <w:rPr>
                <w:rFonts w:eastAsia="Calibri"/>
                <w:b/>
                <w:bCs/>
              </w:rPr>
              <w:t>VoiceMail</w:t>
            </w:r>
          </w:p>
        </w:tc>
        <w:tc>
          <w:tcPr>
            <w:tcW w:w="1494" w:type="dxa"/>
            <w:shd w:val="clear" w:color="auto" w:fill="auto"/>
            <w:vAlign w:val="center"/>
          </w:tcPr>
          <w:p w14:paraId="5A1ADACF" w14:textId="77777777" w:rsidR="000D07EA" w:rsidRDefault="00BE7C89">
            <w:pPr>
              <w:pStyle w:val="BodyText"/>
              <w:spacing w:before="100" w:after="100"/>
              <w:jc w:val="center"/>
              <w:rPr>
                <w:rFonts w:eastAsia="Calibri"/>
              </w:rPr>
            </w:pPr>
            <w:r>
              <w:rPr>
                <w:rFonts w:eastAsia="Calibri"/>
              </w:rPr>
              <w:t>Unlimited</w:t>
            </w:r>
          </w:p>
        </w:tc>
        <w:tc>
          <w:tcPr>
            <w:tcW w:w="1494" w:type="dxa"/>
            <w:shd w:val="clear" w:color="auto" w:fill="auto"/>
            <w:vAlign w:val="center"/>
          </w:tcPr>
          <w:p w14:paraId="5349203F" w14:textId="77777777" w:rsidR="000D07EA" w:rsidRDefault="00BE7C89">
            <w:pPr>
              <w:pStyle w:val="BodyText"/>
              <w:spacing w:before="100" w:after="100"/>
              <w:jc w:val="center"/>
              <w:rPr>
                <w:rFonts w:eastAsia="Calibri"/>
              </w:rPr>
            </w:pPr>
            <w:r>
              <w:rPr>
                <w:rFonts w:eastAsia="Calibri"/>
              </w:rPr>
              <w:t>Unlimited</w:t>
            </w:r>
          </w:p>
        </w:tc>
        <w:tc>
          <w:tcPr>
            <w:tcW w:w="1495" w:type="dxa"/>
            <w:shd w:val="clear" w:color="auto" w:fill="auto"/>
            <w:vAlign w:val="center"/>
          </w:tcPr>
          <w:p w14:paraId="3767040D" w14:textId="77777777" w:rsidR="000D07EA" w:rsidRDefault="00BE7C89">
            <w:pPr>
              <w:pStyle w:val="BodyText"/>
              <w:spacing w:before="100" w:after="100"/>
              <w:jc w:val="center"/>
              <w:rPr>
                <w:rFonts w:eastAsia="Calibri"/>
              </w:rPr>
            </w:pPr>
            <w:r>
              <w:rPr>
                <w:rFonts w:eastAsia="Calibri"/>
              </w:rPr>
              <w:t>Unlimited</w:t>
            </w:r>
          </w:p>
        </w:tc>
        <w:tc>
          <w:tcPr>
            <w:tcW w:w="1494" w:type="dxa"/>
            <w:shd w:val="clear" w:color="auto" w:fill="auto"/>
            <w:vAlign w:val="center"/>
          </w:tcPr>
          <w:p w14:paraId="06134789" w14:textId="77777777" w:rsidR="000D07EA" w:rsidRDefault="00BE7C89">
            <w:pPr>
              <w:pStyle w:val="BodyText"/>
              <w:spacing w:before="100" w:after="100"/>
              <w:jc w:val="center"/>
              <w:rPr>
                <w:rFonts w:eastAsia="Calibri"/>
              </w:rPr>
            </w:pPr>
            <w:r>
              <w:rPr>
                <w:rFonts w:eastAsia="Calibri"/>
              </w:rPr>
              <w:t>Unlimited</w:t>
            </w:r>
          </w:p>
        </w:tc>
        <w:tc>
          <w:tcPr>
            <w:tcW w:w="1495" w:type="dxa"/>
            <w:shd w:val="clear" w:color="auto" w:fill="auto"/>
            <w:vAlign w:val="center"/>
          </w:tcPr>
          <w:p w14:paraId="2CABF9F5" w14:textId="77777777" w:rsidR="000D07EA" w:rsidRDefault="00BE7C89">
            <w:pPr>
              <w:pStyle w:val="BodyText"/>
              <w:spacing w:before="100" w:after="100"/>
              <w:jc w:val="center"/>
              <w:rPr>
                <w:rFonts w:eastAsia="Calibri"/>
              </w:rPr>
            </w:pPr>
            <w:r>
              <w:rPr>
                <w:rFonts w:eastAsia="Calibri"/>
              </w:rPr>
              <w:t>Unlimited</w:t>
            </w:r>
          </w:p>
        </w:tc>
      </w:tr>
      <w:tr w:rsidR="000D07EA" w14:paraId="5CE3A333" w14:textId="77777777">
        <w:tc>
          <w:tcPr>
            <w:tcW w:w="2176" w:type="dxa"/>
            <w:shd w:val="clear" w:color="auto" w:fill="auto"/>
            <w:vAlign w:val="center"/>
          </w:tcPr>
          <w:p w14:paraId="28672146" w14:textId="77777777" w:rsidR="000D07EA" w:rsidRDefault="00BE7C89">
            <w:pPr>
              <w:pStyle w:val="BodyText"/>
              <w:spacing w:before="100" w:after="100"/>
              <w:rPr>
                <w:rFonts w:eastAsia="Calibri"/>
                <w:b/>
                <w:bCs/>
              </w:rPr>
            </w:pPr>
            <w:r>
              <w:rPr>
                <w:b/>
                <w:bCs/>
                <w:iCs/>
              </w:rPr>
              <w:lastRenderedPageBreak/>
              <w:t xml:space="preserve">Handset Credit (Business Complete Plan MRO only) </w:t>
            </w:r>
            <w:r>
              <w:rPr>
                <w:bCs/>
                <w:iCs/>
              </w:rPr>
              <w:t>(per month)</w:t>
            </w:r>
          </w:p>
        </w:tc>
        <w:tc>
          <w:tcPr>
            <w:tcW w:w="1494" w:type="dxa"/>
            <w:shd w:val="clear" w:color="auto" w:fill="auto"/>
            <w:vAlign w:val="center"/>
          </w:tcPr>
          <w:p w14:paraId="17743194" w14:textId="77777777" w:rsidR="000D07EA" w:rsidRDefault="00BE7C89">
            <w:pPr>
              <w:pStyle w:val="BodyText"/>
              <w:spacing w:before="100" w:after="100"/>
              <w:jc w:val="center"/>
              <w:rPr>
                <w:rFonts w:eastAsia="Calibri"/>
              </w:rPr>
            </w:pPr>
            <w:r>
              <w:rPr>
                <w:sz w:val="18"/>
                <w:szCs w:val="18"/>
              </w:rPr>
              <w:t>N/A</w:t>
            </w:r>
          </w:p>
        </w:tc>
        <w:tc>
          <w:tcPr>
            <w:tcW w:w="1494" w:type="dxa"/>
            <w:shd w:val="clear" w:color="auto" w:fill="auto"/>
            <w:vAlign w:val="center"/>
          </w:tcPr>
          <w:p w14:paraId="5F9EC89D" w14:textId="77777777" w:rsidR="000D07EA" w:rsidRDefault="00BE7C89">
            <w:pPr>
              <w:pStyle w:val="BodyText"/>
              <w:spacing w:before="100" w:after="100"/>
              <w:jc w:val="center"/>
              <w:rPr>
                <w:rFonts w:eastAsia="Calibri"/>
              </w:rPr>
            </w:pPr>
            <w:r>
              <w:rPr>
                <w:sz w:val="18"/>
                <w:szCs w:val="18"/>
              </w:rPr>
              <w:t>N/A</w:t>
            </w:r>
          </w:p>
        </w:tc>
        <w:tc>
          <w:tcPr>
            <w:tcW w:w="1495" w:type="dxa"/>
            <w:shd w:val="clear" w:color="auto" w:fill="auto"/>
            <w:vAlign w:val="center"/>
          </w:tcPr>
          <w:p w14:paraId="698324AC" w14:textId="77777777" w:rsidR="000D07EA" w:rsidRDefault="00BE7C89">
            <w:pPr>
              <w:pStyle w:val="BodyText"/>
              <w:spacing w:before="100" w:after="100"/>
              <w:jc w:val="center"/>
              <w:rPr>
                <w:rFonts w:eastAsia="Calibri"/>
              </w:rPr>
            </w:pPr>
            <w:r>
              <w:rPr>
                <w:rFonts w:eastAsia="Calibri"/>
                <w:sz w:val="18"/>
                <w:szCs w:val="18"/>
              </w:rPr>
              <w:t>$10.00</w:t>
            </w:r>
          </w:p>
        </w:tc>
        <w:tc>
          <w:tcPr>
            <w:tcW w:w="1494" w:type="dxa"/>
            <w:shd w:val="clear" w:color="auto" w:fill="auto"/>
            <w:vAlign w:val="center"/>
          </w:tcPr>
          <w:p w14:paraId="6722BB11" w14:textId="77777777" w:rsidR="000D07EA" w:rsidRDefault="00BE7C89">
            <w:pPr>
              <w:pStyle w:val="BodyText"/>
              <w:spacing w:before="100" w:after="100"/>
              <w:jc w:val="center"/>
              <w:rPr>
                <w:rFonts w:eastAsia="Calibri"/>
              </w:rPr>
            </w:pPr>
            <w:r>
              <w:rPr>
                <w:rFonts w:eastAsia="Calibri"/>
                <w:sz w:val="18"/>
                <w:szCs w:val="18"/>
              </w:rPr>
              <w:t>$20.00</w:t>
            </w:r>
          </w:p>
        </w:tc>
        <w:tc>
          <w:tcPr>
            <w:tcW w:w="1495" w:type="dxa"/>
            <w:shd w:val="clear" w:color="auto" w:fill="auto"/>
            <w:vAlign w:val="center"/>
          </w:tcPr>
          <w:p w14:paraId="3A6F5A2F" w14:textId="77777777" w:rsidR="000D07EA" w:rsidRDefault="00BE7C89">
            <w:pPr>
              <w:pStyle w:val="BodyText"/>
              <w:spacing w:before="100" w:after="100"/>
              <w:jc w:val="center"/>
              <w:rPr>
                <w:rFonts w:eastAsia="Calibri"/>
              </w:rPr>
            </w:pPr>
            <w:r>
              <w:rPr>
                <w:rFonts w:eastAsia="Calibri"/>
                <w:sz w:val="18"/>
                <w:szCs w:val="18"/>
              </w:rPr>
              <w:t>$20.00</w:t>
            </w:r>
          </w:p>
        </w:tc>
      </w:tr>
      <w:tr w:rsidR="000D07EA" w14:paraId="6C475F6C" w14:textId="77777777">
        <w:tc>
          <w:tcPr>
            <w:tcW w:w="2176" w:type="dxa"/>
            <w:shd w:val="clear" w:color="auto" w:fill="auto"/>
          </w:tcPr>
          <w:p w14:paraId="23F8CB79" w14:textId="77777777" w:rsidR="000D07EA" w:rsidRDefault="00BE7C89">
            <w:pPr>
              <w:pStyle w:val="BodyText"/>
              <w:spacing w:before="100" w:after="100"/>
              <w:rPr>
                <w:rFonts w:eastAsia="Calibri"/>
              </w:rPr>
            </w:pPr>
            <w:r>
              <w:rPr>
                <w:rFonts w:eastAsia="Calibri"/>
                <w:b/>
                <w:bCs/>
              </w:rPr>
              <w:t xml:space="preserve">Other call charges </w:t>
            </w:r>
            <w:r>
              <w:rPr>
                <w:rFonts w:eastAsia="Calibri"/>
              </w:rPr>
              <w:t>(for example international calls)</w:t>
            </w:r>
          </w:p>
        </w:tc>
        <w:tc>
          <w:tcPr>
            <w:tcW w:w="7472" w:type="dxa"/>
            <w:gridSpan w:val="5"/>
            <w:vAlign w:val="center"/>
          </w:tcPr>
          <w:p w14:paraId="1AA2A2AC" w14:textId="77777777" w:rsidR="000D07EA" w:rsidRDefault="00BE7C89">
            <w:pPr>
              <w:pStyle w:val="BodyText"/>
              <w:spacing w:before="100" w:after="100"/>
              <w:jc w:val="center"/>
              <w:rPr>
                <w:rFonts w:eastAsia="Calibri"/>
              </w:rPr>
            </w:pPr>
            <w:r>
              <w:rPr>
                <w:rFonts w:eastAsia="Calibri"/>
              </w:rPr>
              <w:t xml:space="preserve">See section 1 of this </w:t>
            </w:r>
            <w:r>
              <w:rPr>
                <w:rFonts w:eastAsia="Calibri"/>
                <w:i/>
                <w:iCs/>
              </w:rPr>
              <w:t>standard pricing table</w:t>
            </w:r>
            <w:r>
              <w:rPr>
                <w:rFonts w:eastAsia="Calibri"/>
              </w:rPr>
              <w:t xml:space="preserve"> and Appendix Y (Value Added Service Features)</w:t>
            </w:r>
          </w:p>
        </w:tc>
      </w:tr>
      <w:tr w:rsidR="000D07EA" w14:paraId="618ADE4C" w14:textId="77777777">
        <w:tc>
          <w:tcPr>
            <w:tcW w:w="2176" w:type="dxa"/>
            <w:shd w:val="clear" w:color="auto" w:fill="auto"/>
          </w:tcPr>
          <w:p w14:paraId="0924A241" w14:textId="77777777" w:rsidR="000D07EA" w:rsidRDefault="00BE7C89">
            <w:pPr>
              <w:pStyle w:val="BodyText"/>
              <w:spacing w:before="100" w:after="100"/>
              <w:rPr>
                <w:rFonts w:eastAsia="Calibri"/>
              </w:rPr>
            </w:pPr>
            <w:r>
              <w:rPr>
                <w:rFonts w:eastAsia="Calibri"/>
                <w:b/>
                <w:bCs/>
              </w:rPr>
              <w:t xml:space="preserve">Other conditions </w:t>
            </w:r>
            <w:r>
              <w:rPr>
                <w:rFonts w:eastAsia="Calibri"/>
              </w:rPr>
              <w:t xml:space="preserve">(for details see Appendix </w:t>
            </w:r>
            <w:r w:rsidR="00DD7FB0">
              <w:rPr>
                <w:rFonts w:eastAsia="Calibri"/>
              </w:rPr>
              <w:t>S</w:t>
            </w:r>
            <w:r>
              <w:rPr>
                <w:rFonts w:eastAsia="Calibri"/>
              </w:rPr>
              <w:t>)</w:t>
            </w:r>
          </w:p>
        </w:tc>
        <w:tc>
          <w:tcPr>
            <w:tcW w:w="7472" w:type="dxa"/>
            <w:gridSpan w:val="5"/>
            <w:vAlign w:val="center"/>
          </w:tcPr>
          <w:p w14:paraId="5D71605E" w14:textId="77777777" w:rsidR="000D07EA" w:rsidRDefault="00BE7C89">
            <w:pPr>
              <w:pStyle w:val="BodyText"/>
              <w:spacing w:before="100" w:after="100"/>
              <w:jc w:val="center"/>
              <w:rPr>
                <w:rFonts w:eastAsia="Calibri"/>
              </w:rPr>
            </w:pPr>
            <w:r>
              <w:t>Fair Go Policy (</w:t>
            </w:r>
            <w:hyperlink r:id="rId533" w:history="1">
              <w:r>
                <w:rPr>
                  <w:rStyle w:val="Hyperlink"/>
                  <w:i/>
                </w:rPr>
                <w:t>Appendix S</w:t>
              </w:r>
            </w:hyperlink>
            <w:r>
              <w:t>)</w:t>
            </w:r>
            <w:r>
              <w:rPr>
                <w:rFonts w:eastAsia="Calibri"/>
              </w:rPr>
              <w:t xml:space="preserve"> applies to certain 'excessive use', 'unreasonable use', 'unacceptable use' and use for a 'commercial or non-ordinary purpose'.</w:t>
            </w:r>
          </w:p>
        </w:tc>
      </w:tr>
      <w:tr w:rsidR="000D07EA" w14:paraId="11412842" w14:textId="77777777">
        <w:tc>
          <w:tcPr>
            <w:tcW w:w="2176" w:type="dxa"/>
            <w:shd w:val="clear" w:color="auto" w:fill="auto"/>
          </w:tcPr>
          <w:p w14:paraId="277EF5E2" w14:textId="77777777" w:rsidR="000D07EA" w:rsidRDefault="00BE7C89">
            <w:pPr>
              <w:pStyle w:val="BodyText"/>
              <w:spacing w:before="100" w:after="100"/>
              <w:rPr>
                <w:rFonts w:eastAsia="Calibri"/>
              </w:rPr>
            </w:pPr>
            <w:r>
              <w:rPr>
                <w:rFonts w:eastAsia="Calibri"/>
                <w:b/>
                <w:bCs/>
              </w:rPr>
              <w:t xml:space="preserve">Available on a </w:t>
            </w:r>
            <w:r>
              <w:rPr>
                <w:rFonts w:eastAsia="Calibri"/>
                <w:b/>
                <w:bCs/>
                <w:i/>
              </w:rPr>
              <w:t>non fixed-length agreement</w:t>
            </w:r>
            <w:r>
              <w:rPr>
                <w:rFonts w:eastAsia="Calibri"/>
                <w:b/>
                <w:bCs/>
              </w:rPr>
              <w:t xml:space="preserve"> </w:t>
            </w:r>
            <w:r>
              <w:rPr>
                <w:rFonts w:eastAsia="Calibri"/>
              </w:rPr>
              <w:t>(Month to Month)</w:t>
            </w:r>
          </w:p>
        </w:tc>
        <w:tc>
          <w:tcPr>
            <w:tcW w:w="1494" w:type="dxa"/>
            <w:shd w:val="clear" w:color="auto" w:fill="auto"/>
            <w:vAlign w:val="center"/>
          </w:tcPr>
          <w:p w14:paraId="4CABA4A2" w14:textId="77777777" w:rsidR="000D07EA" w:rsidRDefault="00BE7C89">
            <w:pPr>
              <w:pStyle w:val="BodyText"/>
              <w:spacing w:before="100" w:after="100"/>
              <w:jc w:val="center"/>
              <w:rPr>
                <w:rFonts w:eastAsia="Calibri"/>
              </w:rPr>
            </w:pPr>
            <w:r>
              <w:rPr>
                <w:rFonts w:eastAsia="Calibri"/>
              </w:rPr>
              <w:t>Yes</w:t>
            </w:r>
          </w:p>
        </w:tc>
        <w:tc>
          <w:tcPr>
            <w:tcW w:w="1494" w:type="dxa"/>
            <w:shd w:val="clear" w:color="auto" w:fill="auto"/>
            <w:vAlign w:val="center"/>
          </w:tcPr>
          <w:p w14:paraId="6FD7CA44" w14:textId="77777777" w:rsidR="000D07EA" w:rsidRDefault="00BE7C89">
            <w:pPr>
              <w:pStyle w:val="BodyText"/>
              <w:spacing w:before="100" w:after="100"/>
              <w:jc w:val="center"/>
              <w:rPr>
                <w:rFonts w:eastAsia="Calibri"/>
              </w:rPr>
            </w:pPr>
            <w:r>
              <w:rPr>
                <w:rFonts w:eastAsia="Calibri"/>
              </w:rPr>
              <w:t>Yes</w:t>
            </w:r>
          </w:p>
        </w:tc>
        <w:tc>
          <w:tcPr>
            <w:tcW w:w="1495" w:type="dxa"/>
            <w:shd w:val="clear" w:color="auto" w:fill="auto"/>
            <w:vAlign w:val="center"/>
          </w:tcPr>
          <w:p w14:paraId="447796BA" w14:textId="77777777" w:rsidR="000D07EA" w:rsidRDefault="00BE7C89">
            <w:pPr>
              <w:pStyle w:val="BodyText"/>
              <w:spacing w:before="100" w:after="100"/>
              <w:jc w:val="center"/>
              <w:rPr>
                <w:rFonts w:eastAsia="Calibri"/>
              </w:rPr>
            </w:pPr>
            <w:r>
              <w:rPr>
                <w:rFonts w:eastAsia="Calibri"/>
              </w:rPr>
              <w:t>Yes</w:t>
            </w:r>
          </w:p>
        </w:tc>
        <w:tc>
          <w:tcPr>
            <w:tcW w:w="1494" w:type="dxa"/>
            <w:shd w:val="clear" w:color="auto" w:fill="auto"/>
            <w:vAlign w:val="center"/>
          </w:tcPr>
          <w:p w14:paraId="3ADE3982" w14:textId="77777777" w:rsidR="000D07EA" w:rsidRDefault="00BE7C89">
            <w:pPr>
              <w:pStyle w:val="BodyText"/>
              <w:spacing w:before="100" w:after="100"/>
              <w:jc w:val="center"/>
              <w:rPr>
                <w:rFonts w:eastAsia="Calibri"/>
              </w:rPr>
            </w:pPr>
            <w:r>
              <w:rPr>
                <w:rFonts w:eastAsia="Calibri"/>
              </w:rPr>
              <w:t>Yes</w:t>
            </w:r>
          </w:p>
        </w:tc>
        <w:tc>
          <w:tcPr>
            <w:tcW w:w="1495" w:type="dxa"/>
            <w:shd w:val="clear" w:color="auto" w:fill="auto"/>
            <w:vAlign w:val="center"/>
          </w:tcPr>
          <w:p w14:paraId="7A510531" w14:textId="77777777" w:rsidR="000D07EA" w:rsidRDefault="00BE7C89">
            <w:pPr>
              <w:pStyle w:val="BodyText"/>
              <w:spacing w:before="100" w:after="100"/>
              <w:jc w:val="center"/>
              <w:rPr>
                <w:rFonts w:eastAsia="Calibri"/>
              </w:rPr>
            </w:pPr>
            <w:r>
              <w:rPr>
                <w:rFonts w:eastAsia="Calibri"/>
              </w:rPr>
              <w:t>Yes</w:t>
            </w:r>
          </w:p>
        </w:tc>
      </w:tr>
      <w:tr w:rsidR="000D07EA" w14:paraId="15E7D86B" w14:textId="77777777">
        <w:tc>
          <w:tcPr>
            <w:tcW w:w="2176" w:type="dxa"/>
            <w:shd w:val="clear" w:color="auto" w:fill="auto"/>
          </w:tcPr>
          <w:p w14:paraId="0BB21E68" w14:textId="77777777" w:rsidR="000D07EA" w:rsidRDefault="00BE7C89">
            <w:pPr>
              <w:pStyle w:val="BodyText"/>
              <w:spacing w:before="100" w:after="100"/>
              <w:rPr>
                <w:rFonts w:eastAsia="Calibri"/>
              </w:rPr>
            </w:pPr>
            <w:r>
              <w:rPr>
                <w:rFonts w:eastAsia="Calibri"/>
                <w:b/>
                <w:bCs/>
              </w:rPr>
              <w:t xml:space="preserve">Available on a </w:t>
            </w:r>
            <w:r>
              <w:rPr>
                <w:rFonts w:eastAsia="Calibri"/>
                <w:b/>
                <w:bCs/>
                <w:i/>
              </w:rPr>
              <w:t>fixed-length agreement</w:t>
            </w:r>
            <w:r>
              <w:rPr>
                <w:rFonts w:eastAsia="Calibri"/>
              </w:rPr>
              <w:t xml:space="preserve"> (12 or 24 Months)</w:t>
            </w:r>
          </w:p>
        </w:tc>
        <w:tc>
          <w:tcPr>
            <w:tcW w:w="1494" w:type="dxa"/>
            <w:shd w:val="clear" w:color="auto" w:fill="auto"/>
            <w:vAlign w:val="center"/>
          </w:tcPr>
          <w:p w14:paraId="4B45389F" w14:textId="77777777" w:rsidR="000D07EA" w:rsidRDefault="00BE7C89">
            <w:pPr>
              <w:pStyle w:val="BodyText"/>
              <w:spacing w:before="100" w:after="100"/>
              <w:jc w:val="center"/>
              <w:rPr>
                <w:rFonts w:eastAsia="Calibri"/>
              </w:rPr>
            </w:pPr>
            <w:r>
              <w:rPr>
                <w:rFonts w:eastAsia="Calibri"/>
              </w:rPr>
              <w:t>Yes</w:t>
            </w:r>
          </w:p>
        </w:tc>
        <w:tc>
          <w:tcPr>
            <w:tcW w:w="1494" w:type="dxa"/>
            <w:shd w:val="clear" w:color="auto" w:fill="auto"/>
            <w:vAlign w:val="center"/>
          </w:tcPr>
          <w:p w14:paraId="399A187C" w14:textId="77777777" w:rsidR="000D07EA" w:rsidRDefault="00BE7C89">
            <w:pPr>
              <w:pStyle w:val="BodyText"/>
              <w:spacing w:before="100" w:after="100"/>
              <w:jc w:val="center"/>
              <w:rPr>
                <w:rFonts w:eastAsia="Calibri"/>
              </w:rPr>
            </w:pPr>
            <w:r>
              <w:rPr>
                <w:rFonts w:eastAsia="Calibri"/>
              </w:rPr>
              <w:t>Yes</w:t>
            </w:r>
          </w:p>
        </w:tc>
        <w:tc>
          <w:tcPr>
            <w:tcW w:w="1495" w:type="dxa"/>
            <w:shd w:val="clear" w:color="auto" w:fill="auto"/>
            <w:vAlign w:val="center"/>
          </w:tcPr>
          <w:p w14:paraId="67AA1606" w14:textId="77777777" w:rsidR="000D07EA" w:rsidRDefault="00BE7C89">
            <w:pPr>
              <w:pStyle w:val="BodyText"/>
              <w:spacing w:before="100" w:after="100"/>
              <w:jc w:val="center"/>
              <w:rPr>
                <w:rFonts w:eastAsia="Calibri"/>
              </w:rPr>
            </w:pPr>
            <w:r>
              <w:rPr>
                <w:rFonts w:eastAsia="Calibri"/>
              </w:rPr>
              <w:t>Yes</w:t>
            </w:r>
          </w:p>
        </w:tc>
        <w:tc>
          <w:tcPr>
            <w:tcW w:w="1494" w:type="dxa"/>
            <w:shd w:val="clear" w:color="auto" w:fill="auto"/>
            <w:vAlign w:val="center"/>
          </w:tcPr>
          <w:p w14:paraId="031BE13D" w14:textId="77777777" w:rsidR="000D07EA" w:rsidRDefault="00BE7C89">
            <w:pPr>
              <w:pStyle w:val="BodyText"/>
              <w:spacing w:before="100" w:after="100"/>
              <w:jc w:val="center"/>
              <w:rPr>
                <w:rFonts w:eastAsia="Calibri"/>
              </w:rPr>
            </w:pPr>
            <w:r>
              <w:rPr>
                <w:rFonts w:eastAsia="Calibri"/>
              </w:rPr>
              <w:t>Yes</w:t>
            </w:r>
          </w:p>
        </w:tc>
        <w:tc>
          <w:tcPr>
            <w:tcW w:w="1495" w:type="dxa"/>
            <w:shd w:val="clear" w:color="auto" w:fill="auto"/>
            <w:vAlign w:val="center"/>
          </w:tcPr>
          <w:p w14:paraId="5F9C9AB4" w14:textId="77777777" w:rsidR="000D07EA" w:rsidRDefault="00BE7C89">
            <w:pPr>
              <w:pStyle w:val="BodyText"/>
              <w:spacing w:before="100" w:after="100"/>
              <w:jc w:val="center"/>
              <w:rPr>
                <w:rFonts w:eastAsia="Calibri"/>
              </w:rPr>
            </w:pPr>
            <w:r>
              <w:rPr>
                <w:rFonts w:eastAsia="Calibri"/>
              </w:rPr>
              <w:t>Yes</w:t>
            </w:r>
          </w:p>
        </w:tc>
      </w:tr>
      <w:tr w:rsidR="000D07EA" w14:paraId="65DFEBFA" w14:textId="77777777">
        <w:tc>
          <w:tcPr>
            <w:tcW w:w="2176" w:type="dxa"/>
            <w:shd w:val="clear" w:color="auto" w:fill="auto"/>
          </w:tcPr>
          <w:p w14:paraId="7A662FFF" w14:textId="77777777" w:rsidR="000D07EA" w:rsidRDefault="00BE7C89">
            <w:pPr>
              <w:pStyle w:val="BodyText"/>
              <w:spacing w:before="100" w:after="100"/>
              <w:rPr>
                <w:rFonts w:eastAsia="Calibri"/>
              </w:rPr>
            </w:pPr>
            <w:r>
              <w:rPr>
                <w:rFonts w:eastAsia="Calibri"/>
                <w:b/>
                <w:bCs/>
              </w:rPr>
              <w:t xml:space="preserve">Minimum Total Cost over a 24 month </w:t>
            </w:r>
            <w:r>
              <w:rPr>
                <w:rFonts w:eastAsia="Calibri"/>
                <w:b/>
                <w:bCs/>
                <w:i/>
              </w:rPr>
              <w:t>minimum term</w:t>
            </w:r>
            <w:r>
              <w:rPr>
                <w:rFonts w:eastAsia="Calibri"/>
                <w:b/>
                <w:bCs/>
              </w:rPr>
              <w:t xml:space="preserve"> </w:t>
            </w:r>
            <w:r>
              <w:rPr>
                <w:rFonts w:eastAsia="Calibri"/>
              </w:rPr>
              <w:t>(amount excludes any handset repayments)</w:t>
            </w:r>
          </w:p>
        </w:tc>
        <w:tc>
          <w:tcPr>
            <w:tcW w:w="1494" w:type="dxa"/>
            <w:shd w:val="clear" w:color="auto" w:fill="auto"/>
            <w:vAlign w:val="center"/>
          </w:tcPr>
          <w:p w14:paraId="3D4C5381" w14:textId="77777777" w:rsidR="000D07EA" w:rsidRDefault="00BE7C89">
            <w:pPr>
              <w:pStyle w:val="BodyText"/>
              <w:spacing w:before="100" w:after="100"/>
              <w:jc w:val="center"/>
              <w:rPr>
                <w:rFonts w:eastAsia="Calibri"/>
              </w:rPr>
            </w:pPr>
            <w:r>
              <w:rPr>
                <w:rFonts w:eastAsia="Calibri"/>
              </w:rPr>
              <w:t>$720</w:t>
            </w:r>
          </w:p>
        </w:tc>
        <w:tc>
          <w:tcPr>
            <w:tcW w:w="1494" w:type="dxa"/>
            <w:shd w:val="clear" w:color="auto" w:fill="auto"/>
            <w:vAlign w:val="center"/>
          </w:tcPr>
          <w:p w14:paraId="342C5E18" w14:textId="77777777" w:rsidR="000D07EA" w:rsidRDefault="00BE7C89">
            <w:pPr>
              <w:pStyle w:val="BodyText"/>
              <w:spacing w:before="100" w:after="100"/>
              <w:jc w:val="center"/>
              <w:rPr>
                <w:rFonts w:eastAsia="Calibri"/>
              </w:rPr>
            </w:pPr>
            <w:r>
              <w:rPr>
                <w:rFonts w:eastAsia="Calibri"/>
              </w:rPr>
              <w:t>$840</w:t>
            </w:r>
          </w:p>
        </w:tc>
        <w:tc>
          <w:tcPr>
            <w:tcW w:w="1495" w:type="dxa"/>
            <w:shd w:val="clear" w:color="auto" w:fill="auto"/>
            <w:vAlign w:val="center"/>
          </w:tcPr>
          <w:p w14:paraId="25229D94" w14:textId="77777777" w:rsidR="000D07EA" w:rsidRDefault="00BE7C89">
            <w:pPr>
              <w:pStyle w:val="BodyText"/>
              <w:spacing w:before="100" w:after="100"/>
              <w:jc w:val="center"/>
              <w:rPr>
                <w:rFonts w:eastAsia="Calibri"/>
              </w:rPr>
            </w:pPr>
            <w:r>
              <w:rPr>
                <w:rFonts w:eastAsia="Calibri"/>
              </w:rPr>
              <w:t>$1200</w:t>
            </w:r>
          </w:p>
        </w:tc>
        <w:tc>
          <w:tcPr>
            <w:tcW w:w="1494" w:type="dxa"/>
            <w:shd w:val="clear" w:color="auto" w:fill="auto"/>
            <w:vAlign w:val="center"/>
          </w:tcPr>
          <w:p w14:paraId="3C040EF5" w14:textId="77777777" w:rsidR="000D07EA" w:rsidRDefault="00BE7C89">
            <w:pPr>
              <w:pStyle w:val="BodyText"/>
              <w:spacing w:before="100" w:after="100"/>
              <w:jc w:val="center"/>
              <w:rPr>
                <w:rFonts w:eastAsia="Calibri"/>
              </w:rPr>
            </w:pPr>
            <w:r>
              <w:rPr>
                <w:rFonts w:eastAsia="Calibri"/>
              </w:rPr>
              <w:t>$1440</w:t>
            </w:r>
          </w:p>
        </w:tc>
        <w:tc>
          <w:tcPr>
            <w:tcW w:w="1495" w:type="dxa"/>
            <w:shd w:val="clear" w:color="auto" w:fill="auto"/>
            <w:vAlign w:val="center"/>
          </w:tcPr>
          <w:p w14:paraId="02BE9ED4" w14:textId="77777777" w:rsidR="000D07EA" w:rsidRDefault="00BE7C89">
            <w:pPr>
              <w:pStyle w:val="BodyText"/>
              <w:spacing w:before="100" w:after="100"/>
              <w:jc w:val="center"/>
              <w:rPr>
                <w:rFonts w:eastAsia="Calibri"/>
              </w:rPr>
            </w:pPr>
            <w:r>
              <w:rPr>
                <w:rFonts w:eastAsia="Calibri"/>
              </w:rPr>
              <w:t>$1920</w:t>
            </w:r>
          </w:p>
        </w:tc>
      </w:tr>
      <w:tr w:rsidR="000D07EA" w14:paraId="519E222D" w14:textId="77777777">
        <w:tc>
          <w:tcPr>
            <w:tcW w:w="2176" w:type="dxa"/>
            <w:shd w:val="clear" w:color="auto" w:fill="auto"/>
          </w:tcPr>
          <w:p w14:paraId="5A6CC22B" w14:textId="77777777" w:rsidR="000D07EA" w:rsidRDefault="00BE7C89">
            <w:pPr>
              <w:pStyle w:val="BodyText"/>
              <w:spacing w:before="100" w:after="100"/>
              <w:rPr>
                <w:rFonts w:eastAsia="Calibri"/>
              </w:rPr>
            </w:pPr>
            <w:r>
              <w:rPr>
                <w:rFonts w:eastAsia="Calibri"/>
                <w:b/>
                <w:bCs/>
              </w:rPr>
              <w:t xml:space="preserve">Minimum Total Cost over a 12 month </w:t>
            </w:r>
            <w:r>
              <w:rPr>
                <w:rFonts w:eastAsia="Calibri"/>
                <w:b/>
                <w:bCs/>
                <w:i/>
              </w:rPr>
              <w:t>minimum term</w:t>
            </w:r>
            <w:r>
              <w:rPr>
                <w:rFonts w:eastAsia="Calibri"/>
                <w:b/>
                <w:bCs/>
              </w:rPr>
              <w:t xml:space="preserve"> </w:t>
            </w:r>
            <w:r>
              <w:rPr>
                <w:rFonts w:eastAsia="Calibri"/>
              </w:rPr>
              <w:t>(amount excludes any handset repayments)</w:t>
            </w:r>
          </w:p>
        </w:tc>
        <w:tc>
          <w:tcPr>
            <w:tcW w:w="1494" w:type="dxa"/>
            <w:shd w:val="clear" w:color="auto" w:fill="auto"/>
            <w:vAlign w:val="center"/>
          </w:tcPr>
          <w:p w14:paraId="1961CF21" w14:textId="77777777" w:rsidR="000D07EA" w:rsidRDefault="00BE7C89">
            <w:pPr>
              <w:pStyle w:val="BodyText"/>
              <w:spacing w:before="100" w:after="100"/>
              <w:jc w:val="center"/>
              <w:rPr>
                <w:rFonts w:eastAsia="Calibri"/>
              </w:rPr>
            </w:pPr>
            <w:r>
              <w:rPr>
                <w:rFonts w:eastAsia="Calibri"/>
              </w:rPr>
              <w:t>$360</w:t>
            </w:r>
          </w:p>
        </w:tc>
        <w:tc>
          <w:tcPr>
            <w:tcW w:w="1494" w:type="dxa"/>
            <w:shd w:val="clear" w:color="auto" w:fill="auto"/>
            <w:vAlign w:val="center"/>
          </w:tcPr>
          <w:p w14:paraId="5853E0DB" w14:textId="77777777" w:rsidR="000D07EA" w:rsidRDefault="00BE7C89">
            <w:pPr>
              <w:pStyle w:val="BodyText"/>
              <w:spacing w:before="100" w:after="100"/>
              <w:jc w:val="center"/>
              <w:rPr>
                <w:rFonts w:eastAsia="Calibri"/>
              </w:rPr>
            </w:pPr>
            <w:r>
              <w:rPr>
                <w:rFonts w:eastAsia="Calibri"/>
              </w:rPr>
              <w:t>$420</w:t>
            </w:r>
          </w:p>
        </w:tc>
        <w:tc>
          <w:tcPr>
            <w:tcW w:w="1495" w:type="dxa"/>
            <w:shd w:val="clear" w:color="auto" w:fill="auto"/>
            <w:vAlign w:val="center"/>
          </w:tcPr>
          <w:p w14:paraId="24E6106B" w14:textId="77777777" w:rsidR="000D07EA" w:rsidRDefault="00BE7C89">
            <w:pPr>
              <w:pStyle w:val="BodyText"/>
              <w:spacing w:before="100" w:after="100"/>
              <w:jc w:val="center"/>
              <w:rPr>
                <w:rFonts w:eastAsia="Calibri"/>
              </w:rPr>
            </w:pPr>
            <w:r>
              <w:rPr>
                <w:rFonts w:eastAsia="Calibri"/>
              </w:rPr>
              <w:t>$600</w:t>
            </w:r>
          </w:p>
        </w:tc>
        <w:tc>
          <w:tcPr>
            <w:tcW w:w="1494" w:type="dxa"/>
            <w:shd w:val="clear" w:color="auto" w:fill="auto"/>
            <w:vAlign w:val="center"/>
          </w:tcPr>
          <w:p w14:paraId="2910B110" w14:textId="77777777" w:rsidR="000D07EA" w:rsidRDefault="00BE7C89">
            <w:pPr>
              <w:pStyle w:val="BodyText"/>
              <w:spacing w:before="100" w:after="100"/>
              <w:jc w:val="center"/>
              <w:rPr>
                <w:rFonts w:eastAsia="Calibri"/>
              </w:rPr>
            </w:pPr>
            <w:r>
              <w:rPr>
                <w:rFonts w:eastAsia="Calibri"/>
              </w:rPr>
              <w:t>$720</w:t>
            </w:r>
          </w:p>
        </w:tc>
        <w:tc>
          <w:tcPr>
            <w:tcW w:w="1495" w:type="dxa"/>
            <w:shd w:val="clear" w:color="auto" w:fill="auto"/>
            <w:vAlign w:val="center"/>
          </w:tcPr>
          <w:p w14:paraId="006584A3" w14:textId="77777777" w:rsidR="000D07EA" w:rsidRDefault="00BE7C89">
            <w:pPr>
              <w:pStyle w:val="BodyText"/>
              <w:spacing w:before="100" w:after="100"/>
              <w:jc w:val="center"/>
              <w:rPr>
                <w:rFonts w:eastAsia="Calibri"/>
              </w:rPr>
            </w:pPr>
            <w:r>
              <w:rPr>
                <w:rFonts w:eastAsia="Calibri"/>
              </w:rPr>
              <w:t>$960</w:t>
            </w:r>
          </w:p>
        </w:tc>
      </w:tr>
    </w:tbl>
    <w:p w14:paraId="3A9204B2" w14:textId="77777777" w:rsidR="000D07EA" w:rsidRDefault="00BE7C89">
      <w:pPr>
        <w:pStyle w:val="BodyText"/>
        <w:spacing w:after="0"/>
        <w:ind w:left="720"/>
        <w:rPr>
          <w:sz w:val="16"/>
          <w:szCs w:val="16"/>
        </w:rPr>
      </w:pPr>
      <w:r>
        <w:rPr>
          <w:sz w:val="16"/>
          <w:szCs w:val="16"/>
        </w:rPr>
        <w:t>^ The maximum length of an SMS is 160 standard alpha numeric (ASCII) characters. Non-ASCII characters may account for more than a single ASCII character, and thereby reduce the character length for an SMS.</w:t>
      </w:r>
    </w:p>
    <w:p w14:paraId="0ECAFB8E" w14:textId="77777777" w:rsidR="000D07EA" w:rsidRDefault="000D07EA">
      <w:pPr>
        <w:pStyle w:val="BodyText"/>
      </w:pPr>
    </w:p>
    <w:p w14:paraId="1C2136BA" w14:textId="77777777" w:rsidR="000D07EA" w:rsidRDefault="00BE7C89">
      <w:pPr>
        <w:pStyle w:val="Heading6"/>
        <w:ind w:left="0" w:firstLine="0"/>
      </w:pPr>
      <w:bookmarkStart w:id="755" w:name="_Toc343512488"/>
      <w:bookmarkStart w:id="756" w:name="_Toc343513060"/>
      <w:bookmarkStart w:id="757" w:name="_Toc343513500"/>
      <w:bookmarkStart w:id="758" w:name="_Toc397941276"/>
      <w:r>
        <w:t>What happens if the service is cancelled early?</w:t>
      </w:r>
      <w:bookmarkEnd w:id="755"/>
      <w:bookmarkEnd w:id="756"/>
      <w:bookmarkEnd w:id="757"/>
      <w:bookmarkEnd w:id="758"/>
    </w:p>
    <w:p w14:paraId="413D43A1" w14:textId="77777777" w:rsidR="000D07EA" w:rsidRDefault="00BE7C89">
      <w:pPr>
        <w:pStyle w:val="Heading7"/>
      </w:pPr>
      <w:r>
        <w:t xml:space="preserve">If </w:t>
      </w:r>
      <w:r>
        <w:rPr>
          <w:i/>
        </w:rPr>
        <w:t>the service is cancelled</w:t>
      </w:r>
      <w:r>
        <w:t xml:space="preserve"> before the end of the </w:t>
      </w:r>
      <w:r>
        <w:rPr>
          <w:i/>
        </w:rPr>
        <w:t>minimum term</w:t>
      </w:r>
      <w:r>
        <w:t xml:space="preserve">, </w:t>
      </w:r>
      <w:r>
        <w:rPr>
          <w:i/>
        </w:rPr>
        <w:t>you</w:t>
      </w:r>
      <w:r>
        <w:t xml:space="preserve"> must pay us:</w:t>
      </w:r>
    </w:p>
    <w:p w14:paraId="66584AF5" w14:textId="77777777" w:rsidR="000D07EA" w:rsidRDefault="00BE7C89">
      <w:pPr>
        <w:pStyle w:val="Heading8"/>
      </w:pPr>
      <w:r>
        <w:t xml:space="preserve">any usage charges incurred up to, and including, the </w:t>
      </w:r>
      <w:r>
        <w:rPr>
          <w:i/>
        </w:rPr>
        <w:t xml:space="preserve">cancellation date; </w:t>
      </w:r>
      <w:r>
        <w:t>plus</w:t>
      </w:r>
    </w:p>
    <w:p w14:paraId="6440802E" w14:textId="77777777" w:rsidR="000D07EA" w:rsidRDefault="00BE7C89">
      <w:pPr>
        <w:pStyle w:val="Heading8"/>
      </w:pPr>
      <w:r>
        <w:t xml:space="preserve">the </w:t>
      </w:r>
      <w:r>
        <w:rPr>
          <w:i/>
        </w:rPr>
        <w:t xml:space="preserve">cancellation fee </w:t>
      </w:r>
      <w:r>
        <w:t xml:space="preserve">set out in paragraph </w:t>
      </w:r>
      <w:r>
        <w:fldChar w:fldCharType="begin"/>
      </w:r>
      <w:r>
        <w:instrText xml:space="preserve"> REF _Ref461554613 \n \h </w:instrText>
      </w:r>
      <w:r>
        <w:fldChar w:fldCharType="separate"/>
      </w:r>
      <w:r w:rsidR="0004083A">
        <w:t>(b)</w:t>
      </w:r>
      <w:r>
        <w:fldChar w:fldCharType="end"/>
      </w:r>
      <w:r>
        <w:t xml:space="preserve"> or </w:t>
      </w:r>
      <w:r>
        <w:fldChar w:fldCharType="begin"/>
      </w:r>
      <w:r>
        <w:instrText xml:space="preserve"> REF _Ref461554623 \n \h </w:instrText>
      </w:r>
      <w:r>
        <w:fldChar w:fldCharType="separate"/>
      </w:r>
      <w:r w:rsidR="0004083A">
        <w:t>(c)</w:t>
      </w:r>
      <w:r>
        <w:fldChar w:fldCharType="end"/>
      </w:r>
      <w:r>
        <w:t xml:space="preserve"> below (unless under clause 2A of the </w:t>
      </w:r>
      <w:r>
        <w:rPr>
          <w:i/>
        </w:rPr>
        <w:t>SMB terms</w:t>
      </w:r>
      <w:r>
        <w:t xml:space="preserve">, </w:t>
      </w:r>
      <w:r>
        <w:rPr>
          <w:i/>
        </w:rPr>
        <w:t>you</w:t>
      </w:r>
      <w:r>
        <w:t xml:space="preserve"> are entitled to </w:t>
      </w:r>
      <w:r>
        <w:rPr>
          <w:i/>
        </w:rPr>
        <w:t xml:space="preserve">cancel the service </w:t>
      </w:r>
      <w:r>
        <w:t xml:space="preserve">without incurring a </w:t>
      </w:r>
      <w:r>
        <w:rPr>
          <w:i/>
        </w:rPr>
        <w:t>cancellation fee</w:t>
      </w:r>
      <w:r>
        <w:t>); plus</w:t>
      </w:r>
    </w:p>
    <w:p w14:paraId="19824320" w14:textId="77777777" w:rsidR="000D07EA" w:rsidRDefault="00BE7C89">
      <w:pPr>
        <w:pStyle w:val="Heading8"/>
      </w:pPr>
      <w:r>
        <w:t xml:space="preserve">the sum of unpaid </w:t>
      </w:r>
      <w:r>
        <w:rPr>
          <w:i/>
        </w:rPr>
        <w:t xml:space="preserve">equipment charges </w:t>
      </w:r>
      <w:r>
        <w:t xml:space="preserve">owing on </w:t>
      </w:r>
      <w:r>
        <w:rPr>
          <w:i/>
        </w:rPr>
        <w:t xml:space="preserve">your mobile phone </w:t>
      </w:r>
      <w:r>
        <w:t xml:space="preserve">under the </w:t>
      </w:r>
      <w:r>
        <w:rPr>
          <w:i/>
        </w:rPr>
        <w:t xml:space="preserve">mobile equipment payment plan </w:t>
      </w:r>
      <w:r>
        <w:t>(if any)</w:t>
      </w:r>
      <w:r>
        <w:rPr>
          <w:i/>
        </w:rPr>
        <w:t>.</w:t>
      </w:r>
    </w:p>
    <w:p w14:paraId="3555D102" w14:textId="77777777" w:rsidR="000D07EA" w:rsidRDefault="00BE7C89">
      <w:pPr>
        <w:pStyle w:val="Heading7"/>
      </w:pPr>
      <w:bookmarkStart w:id="759" w:name="_Ref461554613"/>
      <w:r>
        <w:lastRenderedPageBreak/>
        <w:t xml:space="preserve">The </w:t>
      </w:r>
      <w:r>
        <w:rPr>
          <w:i/>
        </w:rPr>
        <w:t>cancellation fee</w:t>
      </w:r>
      <w:r>
        <w:t xml:space="preserve"> for a 24 month </w:t>
      </w:r>
      <w:r>
        <w:rPr>
          <w:i/>
        </w:rPr>
        <w:t>fixed-length agreement</w:t>
      </w:r>
      <w:r>
        <w:t xml:space="preserve"> is calculated as the maximum </w:t>
      </w:r>
      <w:r>
        <w:rPr>
          <w:i/>
        </w:rPr>
        <w:t>cancellation fee</w:t>
      </w:r>
      <w:r>
        <w:t xml:space="preserve"> applicable to </w:t>
      </w:r>
      <w:r>
        <w:rPr>
          <w:i/>
        </w:rPr>
        <w:t>your</w:t>
      </w:r>
      <w:r>
        <w:t xml:space="preserve"> Business Complete Plan (as indicated in the table below) if the </w:t>
      </w:r>
      <w:r>
        <w:rPr>
          <w:i/>
        </w:rPr>
        <w:t xml:space="preserve">service </w:t>
      </w:r>
      <w:r>
        <w:t xml:space="preserve">is </w:t>
      </w:r>
      <w:r>
        <w:rPr>
          <w:i/>
        </w:rPr>
        <w:t xml:space="preserve">cancelled </w:t>
      </w:r>
      <w:r>
        <w:t xml:space="preserve">during the first 12 months of the </w:t>
      </w:r>
      <w:r>
        <w:rPr>
          <w:i/>
        </w:rPr>
        <w:t>minimum term</w:t>
      </w:r>
      <w:r>
        <w:t xml:space="preserve">, and then a reduction of that amount by intervals if the </w:t>
      </w:r>
      <w:r>
        <w:rPr>
          <w:i/>
        </w:rPr>
        <w:t xml:space="preserve">service </w:t>
      </w:r>
      <w:r>
        <w:t xml:space="preserve">is </w:t>
      </w:r>
      <w:r>
        <w:rPr>
          <w:i/>
        </w:rPr>
        <w:t xml:space="preserve">cancelled </w:t>
      </w:r>
      <w:r>
        <w:t xml:space="preserve">during the second year of the </w:t>
      </w:r>
      <w:r>
        <w:rPr>
          <w:i/>
        </w:rPr>
        <w:t>minimum term</w:t>
      </w:r>
      <w:r>
        <w:t>.</w:t>
      </w:r>
      <w:bookmarkEnd w:id="759"/>
    </w:p>
    <w:p w14:paraId="383FFDEA" w14:textId="77777777" w:rsidR="000D07EA" w:rsidRDefault="00BE7C89">
      <w:pPr>
        <w:pStyle w:val="Heading7"/>
      </w:pPr>
      <w:bookmarkStart w:id="760" w:name="_Ref461554623"/>
      <w:r>
        <w:t xml:space="preserve">The </w:t>
      </w:r>
      <w:r>
        <w:rPr>
          <w:i/>
        </w:rPr>
        <w:t>cancellation fee</w:t>
      </w:r>
      <w:r>
        <w:t xml:space="preserve"> for a 12 month </w:t>
      </w:r>
      <w:r>
        <w:rPr>
          <w:i/>
        </w:rPr>
        <w:t>fixed-length agreement</w:t>
      </w:r>
      <w:r>
        <w:t xml:space="preserve"> is calculated as the maximum </w:t>
      </w:r>
      <w:r>
        <w:rPr>
          <w:i/>
        </w:rPr>
        <w:t>cancellation fee</w:t>
      </w:r>
      <w:r>
        <w:t xml:space="preserve"> applicable to </w:t>
      </w:r>
      <w:r>
        <w:rPr>
          <w:i/>
        </w:rPr>
        <w:t xml:space="preserve">your </w:t>
      </w:r>
      <w:r>
        <w:t xml:space="preserve">Business Complete Plan (as indicated in the table below) if the </w:t>
      </w:r>
      <w:r>
        <w:rPr>
          <w:i/>
        </w:rPr>
        <w:t xml:space="preserve">service </w:t>
      </w:r>
      <w:r>
        <w:t xml:space="preserve">is </w:t>
      </w:r>
      <w:r>
        <w:rPr>
          <w:i/>
        </w:rPr>
        <w:t xml:space="preserve">cancelled </w:t>
      </w:r>
      <w:r>
        <w:t xml:space="preserve">during the first 6 months of the </w:t>
      </w:r>
      <w:r>
        <w:rPr>
          <w:i/>
        </w:rPr>
        <w:t>minimum term</w:t>
      </w:r>
      <w:r>
        <w:t xml:space="preserve">, and then a reduction of that amount by intervals if the </w:t>
      </w:r>
      <w:r>
        <w:rPr>
          <w:i/>
        </w:rPr>
        <w:t xml:space="preserve">service </w:t>
      </w:r>
      <w:r>
        <w:t xml:space="preserve">is </w:t>
      </w:r>
      <w:r>
        <w:rPr>
          <w:i/>
        </w:rPr>
        <w:t xml:space="preserve">cancelled </w:t>
      </w:r>
      <w:r>
        <w:t xml:space="preserve">during the last 6 months of the </w:t>
      </w:r>
      <w:r>
        <w:rPr>
          <w:i/>
        </w:rPr>
        <w:t>minimum term</w:t>
      </w:r>
      <w:r>
        <w:t>.</w:t>
      </w:r>
      <w:bookmarkEnd w:id="760"/>
    </w:p>
    <w:tbl>
      <w:tblPr>
        <w:tblW w:w="96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061"/>
        <w:gridCol w:w="1517"/>
        <w:gridCol w:w="1517"/>
        <w:gridCol w:w="1518"/>
        <w:gridCol w:w="1517"/>
        <w:gridCol w:w="1518"/>
      </w:tblGrid>
      <w:tr w:rsidR="000D07EA" w14:paraId="32135AD5" w14:textId="77777777">
        <w:trPr>
          <w:trHeight w:val="63"/>
        </w:trPr>
        <w:tc>
          <w:tcPr>
            <w:tcW w:w="2061" w:type="dxa"/>
            <w:shd w:val="clear" w:color="auto" w:fill="auto"/>
            <w:vAlign w:val="center"/>
          </w:tcPr>
          <w:p w14:paraId="09FCB8BA" w14:textId="77777777" w:rsidR="000D07EA" w:rsidRDefault="000D07EA">
            <w:pPr>
              <w:pStyle w:val="BodyText"/>
              <w:spacing w:before="100" w:after="100"/>
              <w:rPr>
                <w:rFonts w:eastAsia="Calibri"/>
                <w:sz w:val="22"/>
                <w:szCs w:val="22"/>
              </w:rPr>
            </w:pPr>
          </w:p>
        </w:tc>
        <w:tc>
          <w:tcPr>
            <w:tcW w:w="7587" w:type="dxa"/>
            <w:gridSpan w:val="5"/>
            <w:shd w:val="clear" w:color="auto" w:fill="auto"/>
            <w:vAlign w:val="center"/>
          </w:tcPr>
          <w:p w14:paraId="3F476C52" w14:textId="77777777" w:rsidR="000D07EA" w:rsidRDefault="00BE7C89">
            <w:pPr>
              <w:pStyle w:val="BodyText"/>
              <w:spacing w:before="100" w:after="100"/>
              <w:jc w:val="center"/>
              <w:rPr>
                <w:rFonts w:eastAsia="Calibri"/>
                <w:sz w:val="22"/>
                <w:szCs w:val="22"/>
              </w:rPr>
            </w:pPr>
            <w:r>
              <w:rPr>
                <w:rFonts w:eastAsia="Calibri"/>
                <w:b/>
                <w:bCs/>
                <w:i/>
                <w:iCs/>
              </w:rPr>
              <w:t>Cancellation Fees</w:t>
            </w:r>
          </w:p>
        </w:tc>
      </w:tr>
      <w:tr w:rsidR="000D07EA" w14:paraId="7DE2D4C4" w14:textId="77777777">
        <w:trPr>
          <w:trHeight w:val="63"/>
        </w:trPr>
        <w:tc>
          <w:tcPr>
            <w:tcW w:w="2061" w:type="dxa"/>
            <w:shd w:val="clear" w:color="auto" w:fill="auto"/>
            <w:vAlign w:val="center"/>
          </w:tcPr>
          <w:p w14:paraId="2B907D70" w14:textId="77777777" w:rsidR="000D07EA" w:rsidRDefault="000D07EA">
            <w:pPr>
              <w:pStyle w:val="BodyText"/>
              <w:spacing w:before="100" w:after="100"/>
              <w:rPr>
                <w:rFonts w:eastAsia="Calibri"/>
                <w:sz w:val="22"/>
                <w:szCs w:val="22"/>
              </w:rPr>
            </w:pPr>
          </w:p>
        </w:tc>
        <w:tc>
          <w:tcPr>
            <w:tcW w:w="7587" w:type="dxa"/>
            <w:gridSpan w:val="5"/>
            <w:shd w:val="clear" w:color="auto" w:fill="auto"/>
            <w:vAlign w:val="center"/>
          </w:tcPr>
          <w:p w14:paraId="61290648" w14:textId="77777777" w:rsidR="000D07EA" w:rsidRDefault="00BE7C89">
            <w:pPr>
              <w:pStyle w:val="BodyText"/>
              <w:spacing w:before="100" w:after="100"/>
              <w:jc w:val="center"/>
              <w:rPr>
                <w:b/>
              </w:rPr>
            </w:pPr>
            <w:r>
              <w:rPr>
                <w:b/>
              </w:rPr>
              <w:t>Business Complete Plans (Dec 2012) – 24 Month Contract</w:t>
            </w:r>
          </w:p>
        </w:tc>
      </w:tr>
      <w:tr w:rsidR="000D07EA" w14:paraId="1C7A0002" w14:textId="77777777">
        <w:trPr>
          <w:trHeight w:val="728"/>
        </w:trPr>
        <w:tc>
          <w:tcPr>
            <w:tcW w:w="2061" w:type="dxa"/>
            <w:shd w:val="clear" w:color="auto" w:fill="auto"/>
            <w:vAlign w:val="center"/>
          </w:tcPr>
          <w:p w14:paraId="02095087" w14:textId="77777777" w:rsidR="000D07EA" w:rsidRDefault="000D07EA">
            <w:pPr>
              <w:pStyle w:val="BodyText"/>
              <w:spacing w:before="100" w:after="100"/>
              <w:rPr>
                <w:rFonts w:eastAsia="Calibri"/>
                <w:sz w:val="22"/>
                <w:szCs w:val="22"/>
              </w:rPr>
            </w:pPr>
          </w:p>
        </w:tc>
        <w:tc>
          <w:tcPr>
            <w:tcW w:w="1517" w:type="dxa"/>
            <w:shd w:val="clear" w:color="auto" w:fill="auto"/>
            <w:vAlign w:val="center"/>
          </w:tcPr>
          <w:p w14:paraId="3A62FF1E" w14:textId="77777777" w:rsidR="000D07EA" w:rsidRDefault="00BE7C89">
            <w:pPr>
              <w:pStyle w:val="BodyText"/>
              <w:spacing w:before="100" w:after="100"/>
              <w:jc w:val="center"/>
              <w:rPr>
                <w:rFonts w:eastAsia="Calibri"/>
                <w:b/>
                <w:szCs w:val="20"/>
              </w:rPr>
            </w:pPr>
            <w:r>
              <w:rPr>
                <w:rFonts w:eastAsia="Calibri"/>
                <w:b/>
                <w:szCs w:val="20"/>
              </w:rPr>
              <w:t>$30 Business Complete Plan / Business Complete Plan Premium</w:t>
            </w:r>
          </w:p>
        </w:tc>
        <w:tc>
          <w:tcPr>
            <w:tcW w:w="1517" w:type="dxa"/>
            <w:shd w:val="clear" w:color="auto" w:fill="auto"/>
            <w:vAlign w:val="center"/>
          </w:tcPr>
          <w:p w14:paraId="02E204F6" w14:textId="77777777" w:rsidR="000D07EA" w:rsidRDefault="00BE7C89">
            <w:pPr>
              <w:pStyle w:val="BodyText"/>
              <w:spacing w:before="100" w:after="100"/>
              <w:jc w:val="center"/>
              <w:rPr>
                <w:rFonts w:eastAsia="Calibri"/>
                <w:b/>
                <w:szCs w:val="20"/>
              </w:rPr>
            </w:pPr>
            <w:r>
              <w:rPr>
                <w:rFonts w:eastAsia="Calibri"/>
                <w:b/>
                <w:szCs w:val="20"/>
              </w:rPr>
              <w:t>$35 Business Complete Plan / Business Complete Plan Premium</w:t>
            </w:r>
          </w:p>
        </w:tc>
        <w:tc>
          <w:tcPr>
            <w:tcW w:w="1518" w:type="dxa"/>
            <w:shd w:val="clear" w:color="auto" w:fill="auto"/>
            <w:vAlign w:val="center"/>
          </w:tcPr>
          <w:p w14:paraId="33E4FA6E" w14:textId="77777777" w:rsidR="000D07EA" w:rsidRDefault="00BE7C89">
            <w:pPr>
              <w:pStyle w:val="BodyText"/>
              <w:spacing w:before="100" w:after="100"/>
              <w:jc w:val="center"/>
              <w:rPr>
                <w:rFonts w:eastAsia="Calibri"/>
                <w:b/>
                <w:szCs w:val="20"/>
              </w:rPr>
            </w:pPr>
            <w:r>
              <w:rPr>
                <w:rFonts w:eastAsia="Calibri"/>
                <w:b/>
                <w:szCs w:val="20"/>
              </w:rPr>
              <w:t>$50 Business Complete Plan / Business Complete Plan Premium / Business Complete Plan MRO</w:t>
            </w:r>
          </w:p>
        </w:tc>
        <w:tc>
          <w:tcPr>
            <w:tcW w:w="1517" w:type="dxa"/>
            <w:shd w:val="clear" w:color="auto" w:fill="auto"/>
            <w:vAlign w:val="center"/>
          </w:tcPr>
          <w:p w14:paraId="7268161E" w14:textId="77777777" w:rsidR="000D07EA" w:rsidRDefault="00BE7C89">
            <w:pPr>
              <w:pStyle w:val="BodyText"/>
              <w:spacing w:before="100" w:after="100"/>
              <w:jc w:val="center"/>
              <w:rPr>
                <w:rFonts w:eastAsia="Calibri"/>
                <w:b/>
                <w:szCs w:val="20"/>
              </w:rPr>
            </w:pPr>
            <w:r>
              <w:rPr>
                <w:rFonts w:eastAsia="Calibri"/>
                <w:b/>
                <w:szCs w:val="20"/>
              </w:rPr>
              <w:t>$60 Business Complete Plan / Business Complete Plan Premium / Business Complete Plan MRO</w:t>
            </w:r>
          </w:p>
        </w:tc>
        <w:tc>
          <w:tcPr>
            <w:tcW w:w="1518" w:type="dxa"/>
            <w:shd w:val="clear" w:color="auto" w:fill="auto"/>
            <w:vAlign w:val="center"/>
          </w:tcPr>
          <w:p w14:paraId="1E256AAC" w14:textId="77777777" w:rsidR="000D07EA" w:rsidRDefault="00BE7C89">
            <w:pPr>
              <w:pStyle w:val="BodyText"/>
              <w:spacing w:before="100" w:after="100"/>
              <w:jc w:val="center"/>
              <w:rPr>
                <w:rFonts w:eastAsia="Calibri"/>
                <w:b/>
                <w:szCs w:val="20"/>
              </w:rPr>
            </w:pPr>
            <w:r>
              <w:rPr>
                <w:rFonts w:eastAsia="Calibri"/>
                <w:b/>
                <w:szCs w:val="20"/>
              </w:rPr>
              <w:t>$80 Business Complete Plan / Business Complete Plan Premium / Business Complete Plan MRO</w:t>
            </w:r>
          </w:p>
        </w:tc>
      </w:tr>
      <w:tr w:rsidR="000D07EA" w14:paraId="0B013C70" w14:textId="77777777">
        <w:trPr>
          <w:trHeight w:val="275"/>
        </w:trPr>
        <w:tc>
          <w:tcPr>
            <w:tcW w:w="2061" w:type="dxa"/>
            <w:shd w:val="clear" w:color="auto" w:fill="auto"/>
            <w:vAlign w:val="center"/>
          </w:tcPr>
          <w:p w14:paraId="0F5F170F" w14:textId="77777777" w:rsidR="000D07EA" w:rsidRDefault="00BE7C89">
            <w:pPr>
              <w:pStyle w:val="BodyText"/>
              <w:spacing w:before="100" w:after="100"/>
              <w:rPr>
                <w:rFonts w:eastAsia="Calibri"/>
                <w:sz w:val="22"/>
                <w:szCs w:val="22"/>
              </w:rPr>
            </w:pPr>
            <w:r>
              <w:rPr>
                <w:rFonts w:eastAsia="Calibri"/>
                <w:b/>
                <w:bCs/>
              </w:rPr>
              <w:t>Maximum Cancellation Fee</w:t>
            </w:r>
          </w:p>
        </w:tc>
        <w:tc>
          <w:tcPr>
            <w:tcW w:w="1517" w:type="dxa"/>
            <w:shd w:val="clear" w:color="auto" w:fill="auto"/>
            <w:vAlign w:val="center"/>
          </w:tcPr>
          <w:p w14:paraId="4E04551E" w14:textId="77777777" w:rsidR="000D07EA" w:rsidRDefault="00BE7C89">
            <w:pPr>
              <w:pStyle w:val="BodyText"/>
              <w:spacing w:before="100" w:after="100"/>
              <w:jc w:val="center"/>
              <w:rPr>
                <w:rFonts w:eastAsia="Calibri"/>
                <w:sz w:val="22"/>
                <w:szCs w:val="22"/>
              </w:rPr>
            </w:pPr>
            <w:r>
              <w:rPr>
                <w:rFonts w:eastAsia="Calibri"/>
                <w:sz w:val="22"/>
                <w:szCs w:val="22"/>
              </w:rPr>
              <w:t>$360</w:t>
            </w:r>
          </w:p>
        </w:tc>
        <w:tc>
          <w:tcPr>
            <w:tcW w:w="1517" w:type="dxa"/>
            <w:shd w:val="clear" w:color="auto" w:fill="auto"/>
            <w:vAlign w:val="center"/>
          </w:tcPr>
          <w:p w14:paraId="1742425B" w14:textId="77777777" w:rsidR="000D07EA" w:rsidRDefault="00BE7C89">
            <w:pPr>
              <w:pStyle w:val="BodyText"/>
              <w:spacing w:before="100" w:after="100"/>
              <w:jc w:val="center"/>
              <w:rPr>
                <w:rFonts w:eastAsia="Calibri"/>
                <w:sz w:val="22"/>
                <w:szCs w:val="22"/>
              </w:rPr>
            </w:pPr>
            <w:r>
              <w:rPr>
                <w:rFonts w:eastAsia="Calibri"/>
                <w:sz w:val="22"/>
                <w:szCs w:val="22"/>
              </w:rPr>
              <w:t>$420</w:t>
            </w:r>
          </w:p>
        </w:tc>
        <w:tc>
          <w:tcPr>
            <w:tcW w:w="1518" w:type="dxa"/>
            <w:shd w:val="clear" w:color="auto" w:fill="auto"/>
            <w:vAlign w:val="center"/>
          </w:tcPr>
          <w:p w14:paraId="63F86A75" w14:textId="77777777" w:rsidR="000D07EA" w:rsidRDefault="00BE7C89">
            <w:pPr>
              <w:pStyle w:val="BodyText"/>
              <w:spacing w:before="100" w:after="100"/>
              <w:jc w:val="center"/>
              <w:rPr>
                <w:rFonts w:eastAsia="Calibri"/>
                <w:sz w:val="22"/>
                <w:szCs w:val="22"/>
              </w:rPr>
            </w:pPr>
            <w:r>
              <w:rPr>
                <w:rFonts w:eastAsia="Calibri"/>
                <w:sz w:val="22"/>
                <w:szCs w:val="22"/>
              </w:rPr>
              <w:t>$600</w:t>
            </w:r>
          </w:p>
        </w:tc>
        <w:tc>
          <w:tcPr>
            <w:tcW w:w="1517" w:type="dxa"/>
            <w:shd w:val="clear" w:color="auto" w:fill="auto"/>
            <w:vAlign w:val="center"/>
          </w:tcPr>
          <w:p w14:paraId="4C18FCB2" w14:textId="77777777" w:rsidR="000D07EA" w:rsidRDefault="00BE7C89">
            <w:pPr>
              <w:pStyle w:val="BodyText"/>
              <w:spacing w:before="100" w:after="100"/>
              <w:jc w:val="center"/>
              <w:rPr>
                <w:rFonts w:eastAsia="Calibri"/>
                <w:sz w:val="22"/>
                <w:szCs w:val="22"/>
              </w:rPr>
            </w:pPr>
            <w:r>
              <w:rPr>
                <w:rFonts w:eastAsia="Calibri"/>
                <w:sz w:val="22"/>
                <w:szCs w:val="22"/>
              </w:rPr>
              <w:t>$720</w:t>
            </w:r>
          </w:p>
        </w:tc>
        <w:tc>
          <w:tcPr>
            <w:tcW w:w="1518" w:type="dxa"/>
            <w:shd w:val="clear" w:color="auto" w:fill="auto"/>
            <w:vAlign w:val="center"/>
          </w:tcPr>
          <w:p w14:paraId="75A30B9B" w14:textId="77777777" w:rsidR="000D07EA" w:rsidRDefault="00BE7C89">
            <w:pPr>
              <w:pStyle w:val="BodyText"/>
              <w:spacing w:before="100" w:after="100"/>
              <w:jc w:val="center"/>
              <w:rPr>
                <w:rFonts w:eastAsia="Calibri"/>
                <w:sz w:val="22"/>
                <w:szCs w:val="22"/>
              </w:rPr>
            </w:pPr>
            <w:r>
              <w:rPr>
                <w:rFonts w:eastAsia="Calibri"/>
                <w:sz w:val="22"/>
                <w:szCs w:val="22"/>
              </w:rPr>
              <w:t>$960</w:t>
            </w:r>
          </w:p>
        </w:tc>
      </w:tr>
    </w:tbl>
    <w:p w14:paraId="4978435E" w14:textId="77777777" w:rsidR="000D07EA" w:rsidRDefault="000D07EA">
      <w:pPr>
        <w:pStyle w:val="BodyText"/>
      </w:pPr>
    </w:p>
    <w:tbl>
      <w:tblPr>
        <w:tblW w:w="96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077"/>
        <w:gridCol w:w="1514"/>
        <w:gridCol w:w="1514"/>
        <w:gridCol w:w="1514"/>
        <w:gridCol w:w="1514"/>
        <w:gridCol w:w="1515"/>
      </w:tblGrid>
      <w:tr w:rsidR="000D07EA" w14:paraId="5D716771" w14:textId="77777777">
        <w:trPr>
          <w:trHeight w:val="289"/>
        </w:trPr>
        <w:tc>
          <w:tcPr>
            <w:tcW w:w="2077" w:type="dxa"/>
            <w:shd w:val="clear" w:color="auto" w:fill="auto"/>
            <w:vAlign w:val="center"/>
          </w:tcPr>
          <w:p w14:paraId="25BD4D35" w14:textId="77777777" w:rsidR="000D07EA" w:rsidRDefault="000D07EA">
            <w:pPr>
              <w:pStyle w:val="BodyText"/>
              <w:spacing w:before="100" w:after="100"/>
              <w:rPr>
                <w:rFonts w:eastAsia="Calibri"/>
                <w:sz w:val="22"/>
                <w:szCs w:val="22"/>
              </w:rPr>
            </w:pPr>
          </w:p>
        </w:tc>
        <w:tc>
          <w:tcPr>
            <w:tcW w:w="7571" w:type="dxa"/>
            <w:gridSpan w:val="5"/>
            <w:shd w:val="clear" w:color="auto" w:fill="auto"/>
            <w:vAlign w:val="center"/>
          </w:tcPr>
          <w:p w14:paraId="6A47BED8" w14:textId="77777777" w:rsidR="000D07EA" w:rsidRDefault="00BE7C89">
            <w:pPr>
              <w:pStyle w:val="BodyText"/>
              <w:spacing w:before="100" w:after="100"/>
              <w:jc w:val="center"/>
              <w:rPr>
                <w:b/>
                <w:sz w:val="22"/>
                <w:szCs w:val="22"/>
              </w:rPr>
            </w:pPr>
            <w:r>
              <w:rPr>
                <w:b/>
              </w:rPr>
              <w:t>Business Complete Plans (Dec 2012) – 12 Month Contract</w:t>
            </w:r>
          </w:p>
        </w:tc>
      </w:tr>
      <w:tr w:rsidR="000D07EA" w14:paraId="3D9281AC" w14:textId="77777777">
        <w:trPr>
          <w:trHeight w:val="1302"/>
        </w:trPr>
        <w:tc>
          <w:tcPr>
            <w:tcW w:w="2077" w:type="dxa"/>
            <w:shd w:val="clear" w:color="auto" w:fill="auto"/>
            <w:vAlign w:val="center"/>
          </w:tcPr>
          <w:p w14:paraId="629A475F" w14:textId="77777777" w:rsidR="000D07EA" w:rsidRDefault="000D07EA">
            <w:pPr>
              <w:pStyle w:val="BodyText"/>
              <w:spacing w:before="100" w:after="100"/>
              <w:rPr>
                <w:rFonts w:eastAsia="Calibri"/>
                <w:sz w:val="22"/>
                <w:szCs w:val="22"/>
              </w:rPr>
            </w:pPr>
          </w:p>
        </w:tc>
        <w:tc>
          <w:tcPr>
            <w:tcW w:w="1514" w:type="dxa"/>
            <w:shd w:val="clear" w:color="auto" w:fill="auto"/>
            <w:vAlign w:val="center"/>
          </w:tcPr>
          <w:p w14:paraId="53B0E1E0" w14:textId="77777777" w:rsidR="000D07EA" w:rsidRDefault="00BE7C89">
            <w:pPr>
              <w:pStyle w:val="BodyText"/>
              <w:spacing w:before="100" w:after="100"/>
              <w:jc w:val="center"/>
              <w:rPr>
                <w:b/>
              </w:rPr>
            </w:pPr>
            <w:r>
              <w:rPr>
                <w:b/>
              </w:rPr>
              <w:t>$30 Business Complete Plan / Business Complete Plan Premium</w:t>
            </w:r>
          </w:p>
        </w:tc>
        <w:tc>
          <w:tcPr>
            <w:tcW w:w="1514" w:type="dxa"/>
            <w:shd w:val="clear" w:color="auto" w:fill="auto"/>
            <w:vAlign w:val="center"/>
          </w:tcPr>
          <w:p w14:paraId="43D62A76" w14:textId="77777777" w:rsidR="000D07EA" w:rsidRDefault="00BE7C89">
            <w:pPr>
              <w:pStyle w:val="BodyText"/>
              <w:spacing w:before="100" w:after="100"/>
              <w:jc w:val="center"/>
              <w:rPr>
                <w:b/>
              </w:rPr>
            </w:pPr>
            <w:r>
              <w:rPr>
                <w:b/>
              </w:rPr>
              <w:t>$35 Business Complete Plan / Business Complete Plan Premium</w:t>
            </w:r>
          </w:p>
        </w:tc>
        <w:tc>
          <w:tcPr>
            <w:tcW w:w="1514" w:type="dxa"/>
            <w:shd w:val="clear" w:color="auto" w:fill="auto"/>
            <w:vAlign w:val="center"/>
          </w:tcPr>
          <w:p w14:paraId="0A27D3C7" w14:textId="77777777" w:rsidR="000D07EA" w:rsidRDefault="00BE7C89">
            <w:pPr>
              <w:pStyle w:val="BodyText"/>
              <w:spacing w:before="100" w:after="100"/>
              <w:jc w:val="center"/>
              <w:rPr>
                <w:b/>
              </w:rPr>
            </w:pPr>
            <w:r>
              <w:rPr>
                <w:b/>
              </w:rPr>
              <w:t>$50 Business Complete Plan / Business Complete Plan Premium / Business Complete Plan MRO</w:t>
            </w:r>
          </w:p>
        </w:tc>
        <w:tc>
          <w:tcPr>
            <w:tcW w:w="1514" w:type="dxa"/>
            <w:shd w:val="clear" w:color="auto" w:fill="auto"/>
            <w:vAlign w:val="center"/>
          </w:tcPr>
          <w:p w14:paraId="34F423C7" w14:textId="77777777" w:rsidR="000D07EA" w:rsidRDefault="00BE7C89">
            <w:pPr>
              <w:pStyle w:val="BodyText"/>
              <w:spacing w:before="100" w:after="100"/>
              <w:jc w:val="center"/>
              <w:rPr>
                <w:b/>
              </w:rPr>
            </w:pPr>
            <w:r>
              <w:rPr>
                <w:b/>
              </w:rPr>
              <w:t>$60 Business Complete Plan / Business Complete Plan Premium / Business Complete Plan MRO</w:t>
            </w:r>
          </w:p>
        </w:tc>
        <w:tc>
          <w:tcPr>
            <w:tcW w:w="1515" w:type="dxa"/>
            <w:shd w:val="clear" w:color="auto" w:fill="auto"/>
            <w:vAlign w:val="center"/>
          </w:tcPr>
          <w:p w14:paraId="150D62C3" w14:textId="77777777" w:rsidR="000D07EA" w:rsidRDefault="00BE7C89">
            <w:pPr>
              <w:pStyle w:val="BodyText"/>
              <w:spacing w:before="100" w:after="100"/>
              <w:jc w:val="center"/>
              <w:rPr>
                <w:b/>
              </w:rPr>
            </w:pPr>
            <w:r>
              <w:rPr>
                <w:b/>
              </w:rPr>
              <w:t>$80 Business Complete Plan / Business Complete Plan Premium / Business Complete Plan MRO</w:t>
            </w:r>
          </w:p>
        </w:tc>
      </w:tr>
      <w:tr w:rsidR="000D07EA" w14:paraId="18B4F03A" w14:textId="77777777">
        <w:trPr>
          <w:trHeight w:val="63"/>
        </w:trPr>
        <w:tc>
          <w:tcPr>
            <w:tcW w:w="2077" w:type="dxa"/>
            <w:shd w:val="clear" w:color="auto" w:fill="auto"/>
            <w:vAlign w:val="center"/>
          </w:tcPr>
          <w:p w14:paraId="38856B1E" w14:textId="77777777" w:rsidR="000D07EA" w:rsidRDefault="00BE7C89">
            <w:pPr>
              <w:pStyle w:val="BodyText"/>
              <w:spacing w:before="100" w:after="100"/>
              <w:rPr>
                <w:rFonts w:eastAsia="Calibri"/>
                <w:sz w:val="22"/>
                <w:szCs w:val="22"/>
              </w:rPr>
            </w:pPr>
            <w:r>
              <w:rPr>
                <w:rFonts w:eastAsia="Calibri"/>
                <w:b/>
                <w:bCs/>
              </w:rPr>
              <w:t>Maximum Cancellation Fee</w:t>
            </w:r>
          </w:p>
        </w:tc>
        <w:tc>
          <w:tcPr>
            <w:tcW w:w="1514" w:type="dxa"/>
            <w:shd w:val="clear" w:color="auto" w:fill="auto"/>
            <w:vAlign w:val="center"/>
          </w:tcPr>
          <w:p w14:paraId="716B2A3F" w14:textId="77777777" w:rsidR="000D07EA" w:rsidRDefault="00BE7C89">
            <w:pPr>
              <w:pStyle w:val="BodyText"/>
              <w:spacing w:before="100" w:after="100"/>
              <w:jc w:val="center"/>
              <w:rPr>
                <w:rFonts w:eastAsia="Calibri"/>
                <w:sz w:val="22"/>
                <w:szCs w:val="22"/>
              </w:rPr>
            </w:pPr>
            <w:r>
              <w:rPr>
                <w:rFonts w:eastAsia="Calibri"/>
                <w:sz w:val="22"/>
                <w:szCs w:val="22"/>
              </w:rPr>
              <w:t>$180</w:t>
            </w:r>
          </w:p>
        </w:tc>
        <w:tc>
          <w:tcPr>
            <w:tcW w:w="1514" w:type="dxa"/>
            <w:shd w:val="clear" w:color="auto" w:fill="auto"/>
            <w:vAlign w:val="center"/>
          </w:tcPr>
          <w:p w14:paraId="3740B69D" w14:textId="77777777" w:rsidR="000D07EA" w:rsidRDefault="00BE7C89">
            <w:pPr>
              <w:pStyle w:val="BodyText"/>
              <w:spacing w:before="100" w:after="100"/>
              <w:jc w:val="center"/>
              <w:rPr>
                <w:rFonts w:eastAsia="Calibri"/>
                <w:sz w:val="22"/>
                <w:szCs w:val="22"/>
              </w:rPr>
            </w:pPr>
            <w:r>
              <w:rPr>
                <w:rFonts w:eastAsia="Calibri"/>
                <w:sz w:val="22"/>
                <w:szCs w:val="22"/>
              </w:rPr>
              <w:t>$210</w:t>
            </w:r>
          </w:p>
        </w:tc>
        <w:tc>
          <w:tcPr>
            <w:tcW w:w="1514" w:type="dxa"/>
            <w:shd w:val="clear" w:color="auto" w:fill="auto"/>
            <w:vAlign w:val="center"/>
          </w:tcPr>
          <w:p w14:paraId="48AA6519" w14:textId="77777777" w:rsidR="000D07EA" w:rsidRDefault="00BE7C89">
            <w:pPr>
              <w:pStyle w:val="BodyText"/>
              <w:spacing w:before="100" w:after="100"/>
              <w:jc w:val="center"/>
              <w:rPr>
                <w:rFonts w:eastAsia="Calibri"/>
                <w:sz w:val="22"/>
                <w:szCs w:val="22"/>
              </w:rPr>
            </w:pPr>
            <w:r>
              <w:rPr>
                <w:rFonts w:eastAsia="Calibri"/>
                <w:sz w:val="22"/>
                <w:szCs w:val="22"/>
              </w:rPr>
              <w:t>$300</w:t>
            </w:r>
          </w:p>
        </w:tc>
        <w:tc>
          <w:tcPr>
            <w:tcW w:w="1514" w:type="dxa"/>
            <w:shd w:val="clear" w:color="auto" w:fill="auto"/>
            <w:vAlign w:val="center"/>
          </w:tcPr>
          <w:p w14:paraId="4BF55589" w14:textId="77777777" w:rsidR="000D07EA" w:rsidRDefault="00BE7C89">
            <w:pPr>
              <w:pStyle w:val="BodyText"/>
              <w:spacing w:before="100" w:after="100"/>
              <w:jc w:val="center"/>
              <w:rPr>
                <w:rFonts w:eastAsia="Calibri"/>
                <w:sz w:val="22"/>
                <w:szCs w:val="22"/>
              </w:rPr>
            </w:pPr>
            <w:r>
              <w:rPr>
                <w:rFonts w:eastAsia="Calibri"/>
                <w:sz w:val="22"/>
                <w:szCs w:val="22"/>
              </w:rPr>
              <w:t>$360</w:t>
            </w:r>
          </w:p>
        </w:tc>
        <w:tc>
          <w:tcPr>
            <w:tcW w:w="1515" w:type="dxa"/>
            <w:shd w:val="clear" w:color="auto" w:fill="auto"/>
            <w:vAlign w:val="center"/>
          </w:tcPr>
          <w:p w14:paraId="1DDF405D" w14:textId="77777777" w:rsidR="000D07EA" w:rsidRDefault="00BE7C89">
            <w:pPr>
              <w:pStyle w:val="BodyText"/>
              <w:spacing w:before="100" w:after="100"/>
              <w:jc w:val="center"/>
              <w:rPr>
                <w:rFonts w:eastAsia="Calibri"/>
                <w:sz w:val="22"/>
                <w:szCs w:val="22"/>
              </w:rPr>
            </w:pPr>
            <w:r>
              <w:rPr>
                <w:rFonts w:eastAsia="Calibri"/>
                <w:sz w:val="22"/>
                <w:szCs w:val="22"/>
              </w:rPr>
              <w:t>$480</w:t>
            </w:r>
          </w:p>
        </w:tc>
      </w:tr>
    </w:tbl>
    <w:p w14:paraId="70709CA3" w14:textId="77777777" w:rsidR="000D07EA" w:rsidRDefault="00BE7C89">
      <w:pPr>
        <w:pStyle w:val="Heading4"/>
        <w:spacing w:before="240"/>
      </w:pPr>
      <w:bookmarkStart w:id="761" w:name="_Toc343512489"/>
      <w:bookmarkStart w:id="762" w:name="_Toc343513061"/>
      <w:bookmarkStart w:id="763" w:name="_Toc343513501"/>
      <w:bookmarkStart w:id="764" w:name="_Toc397941277"/>
      <w:bookmarkStart w:id="765" w:name="_Toc455147627"/>
      <w:bookmarkStart w:id="766" w:name="_Toc62644649"/>
      <w:r>
        <w:t>Business Timeless Plans (Dec 2012), Effective 9 December 2012</w:t>
      </w:r>
      <w:bookmarkEnd w:id="761"/>
      <w:bookmarkEnd w:id="762"/>
      <w:bookmarkEnd w:id="763"/>
      <w:bookmarkEnd w:id="764"/>
      <w:bookmarkEnd w:id="765"/>
      <w:bookmarkEnd w:id="766"/>
    </w:p>
    <w:p w14:paraId="2B360291" w14:textId="77777777" w:rsidR="000D07EA" w:rsidRDefault="00BE7C89">
      <w:pPr>
        <w:pStyle w:val="BodyText"/>
        <w:ind w:left="720"/>
        <w:rPr>
          <w:snapToGrid w:val="0"/>
        </w:rPr>
      </w:pPr>
      <w:r>
        <w:rPr>
          <w:b/>
          <w:snapToGrid w:val="0"/>
        </w:rPr>
        <w:t>This section relates to the following plans:</w:t>
      </w:r>
    </w:p>
    <w:p w14:paraId="520D3723" w14:textId="77777777" w:rsidR="000D07EA" w:rsidRDefault="00BE7C89" w:rsidP="00972274">
      <w:pPr>
        <w:pStyle w:val="BodyText"/>
        <w:numPr>
          <w:ilvl w:val="0"/>
          <w:numId w:val="55"/>
        </w:numPr>
        <w:ind w:left="1440" w:hanging="720"/>
        <w:rPr>
          <w:b/>
          <w:snapToGrid w:val="0"/>
        </w:rPr>
      </w:pPr>
      <w:r>
        <w:rPr>
          <w:b/>
          <w:snapToGrid w:val="0"/>
        </w:rPr>
        <w:t>$100 Business Timeless Plan (Dec 2012), $100 Business Timeless Plan Premium (Dec 2012), $100 Business Timeless Plan MRO (Dec 2012)</w:t>
      </w:r>
    </w:p>
    <w:p w14:paraId="600917F9" w14:textId="77777777" w:rsidR="000D07EA" w:rsidRDefault="00BE7C89" w:rsidP="00972274">
      <w:pPr>
        <w:pStyle w:val="BodyText"/>
        <w:numPr>
          <w:ilvl w:val="0"/>
          <w:numId w:val="55"/>
        </w:numPr>
        <w:ind w:left="1440" w:hanging="720"/>
        <w:rPr>
          <w:b/>
          <w:snapToGrid w:val="0"/>
        </w:rPr>
      </w:pPr>
      <w:r>
        <w:rPr>
          <w:b/>
          <w:snapToGrid w:val="0"/>
        </w:rPr>
        <w:t>$130 Business Timeless Plan (Dec 2012), $130 Business Timeless Plan Premium (Dec 2012), $130 Business Timeless Plan MRO (Dec 2012)</w:t>
      </w:r>
    </w:p>
    <w:p w14:paraId="57E998A0" w14:textId="77777777" w:rsidR="000D07EA" w:rsidRDefault="00BE7C89">
      <w:pPr>
        <w:pStyle w:val="Heading6"/>
        <w:ind w:left="0" w:firstLine="0"/>
      </w:pPr>
      <w:bookmarkStart w:id="767" w:name="_Toc343512490"/>
      <w:bookmarkStart w:id="768" w:name="_Toc343513062"/>
      <w:bookmarkStart w:id="769" w:name="_Toc343513502"/>
      <w:bookmarkStart w:id="770" w:name="_Toc397941278"/>
      <w:r>
        <w:t>Eligibility</w:t>
      </w:r>
      <w:bookmarkEnd w:id="767"/>
      <w:bookmarkEnd w:id="768"/>
      <w:bookmarkEnd w:id="769"/>
      <w:bookmarkEnd w:id="770"/>
    </w:p>
    <w:p w14:paraId="379124EA" w14:textId="77777777" w:rsidR="000D07EA" w:rsidRDefault="00BE7C89">
      <w:pPr>
        <w:pStyle w:val="BodyText"/>
        <w:ind w:left="720"/>
      </w:pPr>
      <w:r>
        <w:t xml:space="preserve">The Optus Business Timeless Plans (Dec 2012) (hereafter 'Optus Business Timeless Plans' or 'Business Timeless Plans') are only available to approved new and existing mobile customers </w:t>
      </w:r>
      <w:r>
        <w:rPr>
          <w:i/>
        </w:rPr>
        <w:t>we</w:t>
      </w:r>
      <w:r>
        <w:t xml:space="preserve"> classify as </w:t>
      </w:r>
      <w:r>
        <w:rPr>
          <w:i/>
        </w:rPr>
        <w:t xml:space="preserve">small or </w:t>
      </w:r>
      <w:r>
        <w:rPr>
          <w:i/>
        </w:rPr>
        <w:lastRenderedPageBreak/>
        <w:t>medium business</w:t>
      </w:r>
      <w:r>
        <w:t xml:space="preserve"> customers connecting to the </w:t>
      </w:r>
      <w:r>
        <w:rPr>
          <w:i/>
        </w:rPr>
        <w:t xml:space="preserve">service </w:t>
      </w:r>
      <w:r>
        <w:t>in their business name with a valid ABN/ACN/ARBN.</w:t>
      </w:r>
    </w:p>
    <w:p w14:paraId="56420956" w14:textId="77777777" w:rsidR="000D07EA" w:rsidRDefault="00BE7C89">
      <w:pPr>
        <w:pStyle w:val="Heading6"/>
        <w:ind w:left="0" w:firstLine="0"/>
      </w:pPr>
      <w:bookmarkStart w:id="771" w:name="_Toc343512491"/>
      <w:bookmarkStart w:id="772" w:name="_Toc343513063"/>
      <w:bookmarkStart w:id="773" w:name="_Toc343513503"/>
      <w:bookmarkStart w:id="774" w:name="_Toc397941279"/>
      <w:r>
        <w:t>Blocking access to a number</w:t>
      </w:r>
      <w:bookmarkEnd w:id="771"/>
      <w:bookmarkEnd w:id="772"/>
      <w:bookmarkEnd w:id="773"/>
      <w:bookmarkEnd w:id="774"/>
    </w:p>
    <w:p w14:paraId="3E6D0A66" w14:textId="77777777" w:rsidR="000D07EA" w:rsidRDefault="00BE7C89">
      <w:pPr>
        <w:pStyle w:val="BodyText"/>
        <w:ind w:left="720"/>
      </w:pPr>
      <w:r>
        <w:t xml:space="preserve">In addition to what is stated in clause 11 of the </w:t>
      </w:r>
      <w:r>
        <w:rPr>
          <w:i/>
        </w:rPr>
        <w:t>service description</w:t>
      </w:r>
      <w:r>
        <w:t xml:space="preserve"> ("Access Restrictions"), </w:t>
      </w:r>
      <w:r>
        <w:rPr>
          <w:i/>
        </w:rPr>
        <w:t>we</w:t>
      </w:r>
      <w:r>
        <w:t xml:space="preserve"> may block access to a number (other than an emergency service number) if </w:t>
      </w:r>
      <w:r>
        <w:rPr>
          <w:i/>
        </w:rPr>
        <w:t>we</w:t>
      </w:r>
      <w:r>
        <w:t xml:space="preserve"> reasonably require this to be done for technical, operational or commercial reasons.</w:t>
      </w:r>
    </w:p>
    <w:p w14:paraId="7834C2F1" w14:textId="77777777" w:rsidR="000D07EA" w:rsidRDefault="00BE7C89">
      <w:pPr>
        <w:pStyle w:val="Heading6"/>
        <w:ind w:left="0" w:firstLine="0"/>
      </w:pPr>
      <w:bookmarkStart w:id="775" w:name="_Toc343512492"/>
      <w:bookmarkStart w:id="776" w:name="_Toc343513064"/>
      <w:bookmarkStart w:id="777" w:name="_Toc343513504"/>
      <w:bookmarkStart w:id="778" w:name="_Toc397941280"/>
      <w:r>
        <w:t>Minimum Term</w:t>
      </w:r>
      <w:bookmarkEnd w:id="775"/>
      <w:bookmarkEnd w:id="776"/>
      <w:bookmarkEnd w:id="777"/>
      <w:bookmarkEnd w:id="778"/>
    </w:p>
    <w:p w14:paraId="1B279A3A" w14:textId="77777777" w:rsidR="000D07EA" w:rsidRDefault="00BE7C89">
      <w:pPr>
        <w:pStyle w:val="Heading7"/>
      </w:pPr>
      <w:r>
        <w:t xml:space="preserve">You must agree to either a </w:t>
      </w:r>
      <w:r>
        <w:rPr>
          <w:i/>
        </w:rPr>
        <w:t>non fixed-length agreement</w:t>
      </w:r>
      <w:r>
        <w:t xml:space="preserve"> or a </w:t>
      </w:r>
      <w:r>
        <w:rPr>
          <w:i/>
        </w:rPr>
        <w:t>fixed-length agreement</w:t>
      </w:r>
      <w:r>
        <w:t xml:space="preserve"> with a 12 month or 24 month </w:t>
      </w:r>
      <w:r>
        <w:rPr>
          <w:i/>
        </w:rPr>
        <w:t>minimum term</w:t>
      </w:r>
      <w:r>
        <w:t xml:space="preserve">. </w:t>
      </w:r>
    </w:p>
    <w:p w14:paraId="59547484" w14:textId="77777777" w:rsidR="000D07EA" w:rsidRDefault="00BE7C89">
      <w:pPr>
        <w:pStyle w:val="Heading7"/>
      </w:pPr>
      <w:r>
        <w:rPr>
          <w:i/>
        </w:rPr>
        <w:t xml:space="preserve">You </w:t>
      </w:r>
      <w:r>
        <w:t xml:space="preserve">may purchase a </w:t>
      </w:r>
      <w:r>
        <w:rPr>
          <w:i/>
        </w:rPr>
        <w:t>mobile phone</w:t>
      </w:r>
      <w:r>
        <w:t xml:space="preserve"> (or '</w:t>
      </w:r>
      <w:r>
        <w:rPr>
          <w:b/>
        </w:rPr>
        <w:t>handset</w:t>
      </w:r>
      <w:r>
        <w:t xml:space="preserve">') with a 12 or 24 month </w:t>
      </w:r>
      <w:r>
        <w:rPr>
          <w:i/>
        </w:rPr>
        <w:t>equipment term</w:t>
      </w:r>
      <w:r>
        <w:t xml:space="preserve"> under a </w:t>
      </w:r>
      <w:r>
        <w:rPr>
          <w:i/>
        </w:rPr>
        <w:t>mobile equipment payment plan</w:t>
      </w:r>
      <w:r>
        <w:t xml:space="preserve"> on a 12 or 24 month </w:t>
      </w:r>
      <w:r>
        <w:rPr>
          <w:i/>
        </w:rPr>
        <w:t>fixed length agreement</w:t>
      </w:r>
      <w:r>
        <w:t xml:space="preserve"> depending on the </w:t>
      </w:r>
      <w:r>
        <w:rPr>
          <w:i/>
        </w:rPr>
        <w:t>minimum term you</w:t>
      </w:r>
      <w:r>
        <w:t xml:space="preserve"> choose for</w:t>
      </w:r>
      <w:r>
        <w:rPr>
          <w:i/>
        </w:rPr>
        <w:t xml:space="preserve"> your pricing plan</w:t>
      </w:r>
      <w:r>
        <w:t>.</w:t>
      </w:r>
    </w:p>
    <w:p w14:paraId="1806D6CE" w14:textId="77777777" w:rsidR="000D07EA" w:rsidRDefault="00BE7C89">
      <w:pPr>
        <w:pStyle w:val="Heading6"/>
        <w:ind w:left="0" w:firstLine="0"/>
      </w:pPr>
      <w:bookmarkStart w:id="779" w:name="_Toc343512493"/>
      <w:bookmarkStart w:id="780" w:name="_Toc343513065"/>
      <w:bookmarkStart w:id="781" w:name="_Toc343513505"/>
      <w:bookmarkStart w:id="782" w:name="_Toc397941281"/>
      <w:r>
        <w:t>What you have to pay us</w:t>
      </w:r>
      <w:bookmarkEnd w:id="779"/>
      <w:bookmarkEnd w:id="780"/>
      <w:bookmarkEnd w:id="781"/>
      <w:bookmarkEnd w:id="782"/>
    </w:p>
    <w:p w14:paraId="596B510F" w14:textId="77777777" w:rsidR="000D07EA" w:rsidRDefault="00BE7C89">
      <w:pPr>
        <w:pStyle w:val="Heading7"/>
      </w:pPr>
      <w:r>
        <w:t xml:space="preserve">Subject to paragraphs </w:t>
      </w:r>
      <w:r>
        <w:fldChar w:fldCharType="begin"/>
      </w:r>
      <w:r>
        <w:instrText xml:space="preserve"> REF _Ref461554664 \n \h </w:instrText>
      </w:r>
      <w:r>
        <w:fldChar w:fldCharType="separate"/>
      </w:r>
      <w:r w:rsidR="0004083A">
        <w:t>(c)</w:t>
      </w:r>
      <w:r>
        <w:fldChar w:fldCharType="end"/>
      </w:r>
      <w:r>
        <w:t xml:space="preserve">, </w:t>
      </w:r>
      <w:r>
        <w:fldChar w:fldCharType="begin"/>
      </w:r>
      <w:r>
        <w:instrText xml:space="preserve"> REF _Ref461554674 \n \h </w:instrText>
      </w:r>
      <w:r>
        <w:fldChar w:fldCharType="separate"/>
      </w:r>
      <w:r w:rsidR="0004083A">
        <w:t>(d)</w:t>
      </w:r>
      <w:r>
        <w:fldChar w:fldCharType="end"/>
      </w:r>
      <w:r>
        <w:t xml:space="preserve">, </w:t>
      </w:r>
      <w:r>
        <w:fldChar w:fldCharType="begin"/>
      </w:r>
      <w:r>
        <w:instrText xml:space="preserve"> REF _Ref461554684 \n \h </w:instrText>
      </w:r>
      <w:r>
        <w:fldChar w:fldCharType="separate"/>
      </w:r>
      <w:r w:rsidR="0004083A">
        <w:t>(e)</w:t>
      </w:r>
      <w:r>
        <w:fldChar w:fldCharType="end"/>
      </w:r>
      <w:r>
        <w:t xml:space="preserve">, </w:t>
      </w:r>
      <w:r>
        <w:fldChar w:fldCharType="begin"/>
      </w:r>
      <w:r>
        <w:instrText xml:space="preserve"> REF _Ref461554694 \n \h </w:instrText>
      </w:r>
      <w:r>
        <w:fldChar w:fldCharType="separate"/>
      </w:r>
      <w:r w:rsidR="0004083A">
        <w:t>(f)</w:t>
      </w:r>
      <w:r>
        <w:fldChar w:fldCharType="end"/>
      </w:r>
      <w:r>
        <w:t xml:space="preserve">, </w:t>
      </w:r>
      <w:r>
        <w:fldChar w:fldCharType="begin"/>
      </w:r>
      <w:r>
        <w:instrText xml:space="preserve"> REF _Ref461554703 \n \h </w:instrText>
      </w:r>
      <w:r>
        <w:fldChar w:fldCharType="separate"/>
      </w:r>
      <w:r w:rsidR="0004083A">
        <w:t>(g)</w:t>
      </w:r>
      <w:r>
        <w:fldChar w:fldCharType="end"/>
      </w:r>
      <w:r>
        <w:t xml:space="preserve"> </w:t>
      </w:r>
      <w:r w:rsidRPr="00536F8B">
        <w:rPr>
          <w:color w:val="000000" w:themeColor="text1"/>
        </w:rPr>
        <w:t xml:space="preserve">and (h) </w:t>
      </w:r>
      <w:r>
        <w:t xml:space="preserve">below </w:t>
      </w:r>
      <w:r>
        <w:rPr>
          <w:i/>
        </w:rPr>
        <w:t xml:space="preserve">you </w:t>
      </w:r>
      <w:r>
        <w:t xml:space="preserve">must pay </w:t>
      </w:r>
      <w:r>
        <w:rPr>
          <w:i/>
        </w:rPr>
        <w:t xml:space="preserve">us </w:t>
      </w:r>
      <w:r>
        <w:t xml:space="preserve">for use of the </w:t>
      </w:r>
      <w:r>
        <w:rPr>
          <w:i/>
        </w:rPr>
        <w:t xml:space="preserve">service </w:t>
      </w:r>
      <w:r>
        <w:t xml:space="preserve">at the rates set out in </w:t>
      </w:r>
      <w:hyperlink r:id="rId534" w:history="1">
        <w:r>
          <w:rPr>
            <w:rStyle w:val="Hyperlink"/>
          </w:rPr>
          <w:t>Section 1</w:t>
        </w:r>
      </w:hyperlink>
      <w:r>
        <w:t xml:space="preserve"> of this </w:t>
      </w:r>
      <w:r>
        <w:rPr>
          <w:i/>
        </w:rPr>
        <w:t xml:space="preserve">standard pricing table </w:t>
      </w:r>
      <w:r>
        <w:t xml:space="preserve">and for </w:t>
      </w:r>
      <w:r>
        <w:rPr>
          <w:i/>
        </w:rPr>
        <w:t xml:space="preserve">value added service features </w:t>
      </w:r>
      <w:r>
        <w:t xml:space="preserve">at the rates set out in </w:t>
      </w:r>
      <w:hyperlink r:id="rId535" w:history="1">
        <w:r>
          <w:rPr>
            <w:rStyle w:val="Hyperlink"/>
          </w:rPr>
          <w:t>Appendix Y</w:t>
        </w:r>
      </w:hyperlink>
      <w:r>
        <w:t xml:space="preserve"> Value Added Service Features</w:t>
      </w:r>
      <w:r>
        <w:rPr>
          <w:i/>
        </w:rPr>
        <w:t>.</w:t>
      </w:r>
    </w:p>
    <w:p w14:paraId="05119D72" w14:textId="77777777" w:rsidR="000D07EA" w:rsidRDefault="00BE7C89">
      <w:pPr>
        <w:pStyle w:val="Heading7"/>
      </w:pPr>
      <w:r>
        <w:t xml:space="preserve">If there is a </w:t>
      </w:r>
      <w:r>
        <w:rPr>
          <w:i/>
        </w:rPr>
        <w:t xml:space="preserve">flagfall </w:t>
      </w:r>
      <w:r>
        <w:t xml:space="preserve">or call connection charge for a particular call type, the charge for these calls is the </w:t>
      </w:r>
      <w:r>
        <w:rPr>
          <w:i/>
        </w:rPr>
        <w:t xml:space="preserve">flagfall </w:t>
      </w:r>
      <w:r>
        <w:t>charge plus the relevant rate for the call multiplied by the duration of the call.</w:t>
      </w:r>
    </w:p>
    <w:p w14:paraId="0FD1CE99" w14:textId="77777777" w:rsidR="000D07EA" w:rsidRDefault="00BE7C89">
      <w:pPr>
        <w:pStyle w:val="Heading7"/>
        <w:rPr>
          <w:b/>
        </w:rPr>
      </w:pPr>
      <w:bookmarkStart w:id="783" w:name="_Ref461554664"/>
      <w:r>
        <w:rPr>
          <w:b/>
        </w:rPr>
        <w:t>Minimum Monthly Charge</w:t>
      </w:r>
      <w:bookmarkEnd w:id="783"/>
      <w:r>
        <w:rPr>
          <w:b/>
        </w:rPr>
        <w:t xml:space="preserve"> </w:t>
      </w:r>
    </w:p>
    <w:p w14:paraId="7EEF6F30" w14:textId="77777777" w:rsidR="000D07EA" w:rsidRDefault="00BE7C89">
      <w:pPr>
        <w:pStyle w:val="BodyText"/>
        <w:ind w:left="1440"/>
      </w:pPr>
      <w:r>
        <w:t xml:space="preserve">Each Business Timeless Plan has a Minimum Monthly Charge amount that you must pay us each month as set out in Table 2A below. </w:t>
      </w:r>
    </w:p>
    <w:p w14:paraId="428979B3" w14:textId="77777777" w:rsidR="000D07EA" w:rsidRDefault="00BE7C89">
      <w:pPr>
        <w:pStyle w:val="Heading7"/>
        <w:rPr>
          <w:b/>
        </w:rPr>
      </w:pPr>
      <w:bookmarkStart w:id="784" w:name="_Ref461554674"/>
      <w:r>
        <w:rPr>
          <w:b/>
        </w:rPr>
        <w:t>Unlimited Standard National Calls, SMS/MMS and Voicemail</w:t>
      </w:r>
      <w:bookmarkEnd w:id="784"/>
    </w:p>
    <w:p w14:paraId="2F0EAC35" w14:textId="77777777" w:rsidR="000D07EA" w:rsidRDefault="00BE7C89">
      <w:pPr>
        <w:pStyle w:val="Heading8"/>
      </w:pPr>
      <w:r>
        <w:t xml:space="preserve">For each of the Business Timeless Plans, </w:t>
      </w:r>
      <w:r>
        <w:rPr>
          <w:i/>
        </w:rPr>
        <w:t>you</w:t>
      </w:r>
      <w:r>
        <w:t>:</w:t>
      </w:r>
    </w:p>
    <w:p w14:paraId="60F14179" w14:textId="77777777" w:rsidR="000D07EA" w:rsidRDefault="00BE7C89">
      <w:pPr>
        <w:pStyle w:val="Heading9"/>
      </w:pPr>
      <w:r>
        <w:t>may send unlimited standard SMS and MMS to Australian mobiles from within Australia; and</w:t>
      </w:r>
    </w:p>
    <w:p w14:paraId="22699F18" w14:textId="77777777" w:rsidR="000D07EA" w:rsidRDefault="00BE7C89">
      <w:pPr>
        <w:pStyle w:val="Heading9"/>
      </w:pPr>
      <w:r>
        <w:t xml:space="preserve">may make unlimited voice calls from within Australia to Australian fixed lines and Australian mobiles; </w:t>
      </w:r>
    </w:p>
    <w:p w14:paraId="490910EB" w14:textId="77777777" w:rsidR="000D07EA" w:rsidRDefault="00BE7C89">
      <w:pPr>
        <w:pStyle w:val="Heading9"/>
      </w:pPr>
      <w:r>
        <w:t>may make unlimited calls to 13/1300/1800 numbers from within Australia; and</w:t>
      </w:r>
    </w:p>
    <w:p w14:paraId="7BDADFDC" w14:textId="77777777" w:rsidR="000D07EA" w:rsidRDefault="00BE7C89">
      <w:pPr>
        <w:pStyle w:val="Heading9"/>
      </w:pPr>
      <w:r>
        <w:t>will receive unlimited voicemail for use within Australia</w:t>
      </w:r>
    </w:p>
    <w:p w14:paraId="16CAE89F" w14:textId="77777777" w:rsidR="000D07EA" w:rsidRDefault="00BE7C89">
      <w:pPr>
        <w:pStyle w:val="Heading8"/>
      </w:pPr>
      <w:r>
        <w:t xml:space="preserve">The unlimited usage types that are set out in Table 1A below. </w:t>
      </w:r>
    </w:p>
    <w:p w14:paraId="014ACC3F" w14:textId="77777777" w:rsidR="000D07EA" w:rsidRDefault="00BE7C89">
      <w:pPr>
        <w:pStyle w:val="Heading8"/>
      </w:pPr>
      <w:r>
        <w:rPr>
          <w:i/>
        </w:rPr>
        <w:t>You</w:t>
      </w:r>
      <w:r>
        <w:t xml:space="preserve"> must pay for any other usage types.</w:t>
      </w:r>
    </w:p>
    <w:p w14:paraId="2D8A2E02" w14:textId="77777777" w:rsidR="000D07EA" w:rsidRDefault="00BE7C89">
      <w:pPr>
        <w:pStyle w:val="Heading8"/>
      </w:pPr>
      <w:r>
        <w:t>The Fair Go Policy (</w:t>
      </w:r>
      <w:hyperlink r:id="rId536" w:history="1">
        <w:r>
          <w:rPr>
            <w:rStyle w:val="Hyperlink"/>
            <w:i/>
          </w:rPr>
          <w:t>Appendix S</w:t>
        </w:r>
      </w:hyperlink>
      <w:r>
        <w:t xml:space="preserve">) applies . Please refer to </w:t>
      </w:r>
      <w:hyperlink r:id="rId537" w:history="1">
        <w:r w:rsidR="00503F23">
          <w:rPr>
            <w:rStyle w:val="Hyperlink"/>
            <w:i/>
          </w:rPr>
          <w:t>Appendix S</w:t>
        </w:r>
      </w:hyperlink>
      <w:r w:rsidR="009A4616">
        <w:t xml:space="preserve"> </w:t>
      </w:r>
      <w:r>
        <w:t>for further details.</w:t>
      </w:r>
    </w:p>
    <w:p w14:paraId="2913C125" w14:textId="77777777" w:rsidR="000D07EA" w:rsidRDefault="00BE7C89">
      <w:pPr>
        <w:pStyle w:val="Heading7"/>
        <w:rPr>
          <w:b/>
        </w:rPr>
      </w:pPr>
      <w:bookmarkStart w:id="785" w:name="_Ref461554684"/>
      <w:r>
        <w:rPr>
          <w:b/>
        </w:rPr>
        <w:t>Included Mobile Internet Data and Unlimited BlackBerry POP3 Email and Browsing (for customers with a Blackberry using an operating system version 7.1 or earlier):</w:t>
      </w:r>
      <w:bookmarkEnd w:id="785"/>
    </w:p>
    <w:p w14:paraId="75E5732E" w14:textId="77777777" w:rsidR="000D07EA" w:rsidRDefault="00BE7C89">
      <w:pPr>
        <w:pStyle w:val="Heading8"/>
      </w:pPr>
      <w:r>
        <w:t xml:space="preserve">For each of the Business Timeless Plans, </w:t>
      </w:r>
      <w:r>
        <w:rPr>
          <w:i/>
        </w:rPr>
        <w:t>you</w:t>
      </w:r>
      <w:r>
        <w:t xml:space="preserve"> will receive the following for use within Australia:</w:t>
      </w:r>
    </w:p>
    <w:p w14:paraId="7E809FE2" w14:textId="77777777" w:rsidR="000D07EA" w:rsidRDefault="00BE7C89">
      <w:pPr>
        <w:pStyle w:val="Heading9"/>
      </w:pPr>
      <w:r>
        <w:t>'Included Mobile Internet Data' (</w:t>
      </w:r>
      <w:r>
        <w:rPr>
          <w:b/>
        </w:rPr>
        <w:t>'Included Data'</w:t>
      </w:r>
      <w:r>
        <w:t xml:space="preserve">) ; and </w:t>
      </w:r>
    </w:p>
    <w:p w14:paraId="2782A68D" w14:textId="77777777" w:rsidR="000D07EA" w:rsidRDefault="00BE7C89">
      <w:pPr>
        <w:pStyle w:val="Heading9"/>
      </w:pPr>
      <w:r>
        <w:t xml:space="preserve">If </w:t>
      </w:r>
      <w:r>
        <w:rPr>
          <w:i/>
        </w:rPr>
        <w:t>you</w:t>
      </w:r>
      <w:r>
        <w:t xml:space="preserve"> connect with a Blackberry which uses an operating system version 7.1 or earlier, unlimited BlackBerry POP3 Email and Browsing.</w:t>
      </w:r>
    </w:p>
    <w:p w14:paraId="5A3C3607" w14:textId="77777777" w:rsidR="000D07EA" w:rsidRDefault="00BE7C89">
      <w:pPr>
        <w:pStyle w:val="Heading8"/>
      </w:pPr>
      <w:r>
        <w:lastRenderedPageBreak/>
        <w:t>The amount of Included Data for each Business Timeless Plan is set out in Table 2A below.</w:t>
      </w:r>
    </w:p>
    <w:p w14:paraId="52F19D55" w14:textId="77777777" w:rsidR="000D07EA" w:rsidRDefault="00BE7C89">
      <w:pPr>
        <w:pStyle w:val="Heading8"/>
      </w:pPr>
      <w:r>
        <w:t xml:space="preserve">Usage types that count towards </w:t>
      </w:r>
      <w:r>
        <w:rPr>
          <w:i/>
        </w:rPr>
        <w:t>your</w:t>
      </w:r>
      <w:r>
        <w:t xml:space="preserve"> Included Data are set out in Table 1B below.</w:t>
      </w:r>
    </w:p>
    <w:p w14:paraId="1A2DAA36" w14:textId="77777777" w:rsidR="000D07EA" w:rsidRDefault="00BE7C89">
      <w:pPr>
        <w:pStyle w:val="Heading8"/>
      </w:pPr>
      <w:r>
        <w:t xml:space="preserve">You must pay us excess data usage charges for data used in excess of the available Included Data. </w:t>
      </w:r>
    </w:p>
    <w:p w14:paraId="64E79568" w14:textId="77777777" w:rsidR="000D07EA" w:rsidRDefault="00BE7C89">
      <w:pPr>
        <w:pStyle w:val="Heading8"/>
      </w:pPr>
      <w:r>
        <w:t>Any unused portion of the Included Data expires at the end of each month and does not roll over into the following month.</w:t>
      </w:r>
    </w:p>
    <w:p w14:paraId="235BB50A" w14:textId="77777777" w:rsidR="000D07EA" w:rsidRDefault="00BE7C89">
      <w:pPr>
        <w:pStyle w:val="Heading8"/>
      </w:pPr>
      <w:r>
        <w:t xml:space="preserve">Data used while roaming internationally is not part of Included Data. </w:t>
      </w:r>
    </w:p>
    <w:p w14:paraId="103CF696" w14:textId="77777777" w:rsidR="000D07EA" w:rsidRDefault="00BE7C89">
      <w:pPr>
        <w:pStyle w:val="Heading8"/>
      </w:pPr>
      <w:r>
        <w:t>The usage types that are part of the unlimited BlackBerry POP3 Email and Browsing inclusion are set out in Table 1C below.</w:t>
      </w:r>
    </w:p>
    <w:p w14:paraId="0DCC8394" w14:textId="77777777" w:rsidR="000D07EA" w:rsidRDefault="00BE7C89">
      <w:pPr>
        <w:pStyle w:val="Heading8"/>
      </w:pPr>
      <w:r>
        <w:rPr>
          <w:i/>
        </w:rPr>
        <w:t xml:space="preserve">You </w:t>
      </w:r>
      <w:r>
        <w:t xml:space="preserve">must pay </w:t>
      </w:r>
      <w:r>
        <w:rPr>
          <w:i/>
        </w:rPr>
        <w:t xml:space="preserve">us </w:t>
      </w:r>
      <w:r>
        <w:t>excess data usage charges for data usage that is not part of the unlimited Blackberry POP 3 Email and Browsing inclusion and that exceeds the available Included Data.</w:t>
      </w:r>
    </w:p>
    <w:p w14:paraId="79E0893F" w14:textId="77777777" w:rsidR="000D07EA" w:rsidRDefault="00BE7C89">
      <w:pPr>
        <w:pStyle w:val="Heading8"/>
      </w:pPr>
      <w:r>
        <w:t>The Fair Go Policy (</w:t>
      </w:r>
      <w:hyperlink r:id="rId538" w:history="1">
        <w:r>
          <w:rPr>
            <w:rStyle w:val="Hyperlink"/>
            <w:i/>
          </w:rPr>
          <w:t>Appendix S</w:t>
        </w:r>
      </w:hyperlink>
      <w:r>
        <w:t xml:space="preserve">) applies. Unlimited BlackBerry POP3 Email and Browsing is not to be used for a </w:t>
      </w:r>
      <w:r>
        <w:rPr>
          <w:i/>
        </w:rPr>
        <w:t>commercial or non-ordinary purpose</w:t>
      </w:r>
      <w:r>
        <w:t>. Please refer to</w:t>
      </w:r>
      <w:r w:rsidR="009A4616">
        <w:t xml:space="preserve"> </w:t>
      </w:r>
      <w:hyperlink r:id="rId539" w:history="1">
        <w:r w:rsidR="00503F23">
          <w:rPr>
            <w:rStyle w:val="Hyperlink"/>
            <w:i/>
          </w:rPr>
          <w:t>Appendix S</w:t>
        </w:r>
      </w:hyperlink>
      <w:r>
        <w:rPr>
          <w:i/>
        </w:rPr>
        <w:t xml:space="preserve"> </w:t>
      </w:r>
      <w:r>
        <w:t xml:space="preserve">for further details. </w:t>
      </w:r>
    </w:p>
    <w:p w14:paraId="35FE36D7" w14:textId="77777777" w:rsidR="000D07EA" w:rsidRDefault="00BE7C89">
      <w:pPr>
        <w:pStyle w:val="Heading8"/>
      </w:pPr>
      <w:r>
        <w:t xml:space="preserve">The Included Data on a Business Timeless Plan can be shared between Optus Mobile </w:t>
      </w:r>
      <w:r>
        <w:rPr>
          <w:i/>
        </w:rPr>
        <w:t>service(s)</w:t>
      </w:r>
      <w:r>
        <w:t xml:space="preserve"> and Business Mobile Broadband </w:t>
      </w:r>
      <w:r>
        <w:rPr>
          <w:i/>
        </w:rPr>
        <w:t>services(s)</w:t>
      </w:r>
      <w:r>
        <w:t xml:space="preserve"> on the same customer account. All relevant </w:t>
      </w:r>
      <w:r>
        <w:rPr>
          <w:i/>
        </w:rPr>
        <w:t>services</w:t>
      </w:r>
      <w:r>
        <w:t xml:space="preserve"> must have data sharing as a feature of their respective </w:t>
      </w:r>
      <w:r>
        <w:rPr>
          <w:i/>
        </w:rPr>
        <w:t>pricing plans</w:t>
      </w:r>
      <w:r>
        <w:t>.</w:t>
      </w:r>
    </w:p>
    <w:p w14:paraId="748AA0CE" w14:textId="77777777" w:rsidR="000D07EA" w:rsidRDefault="00BE7C89">
      <w:pPr>
        <w:pStyle w:val="Heading7"/>
        <w:rPr>
          <w:b/>
        </w:rPr>
      </w:pPr>
      <w:bookmarkStart w:id="786" w:name="_Ref461554694"/>
      <w:r>
        <w:rPr>
          <w:b/>
        </w:rPr>
        <w:t>Other Business Timeless Plans Conditions and Offers</w:t>
      </w:r>
      <w:bookmarkEnd w:id="786"/>
    </w:p>
    <w:p w14:paraId="054802B7" w14:textId="77777777" w:rsidR="000D07EA" w:rsidRDefault="00BE7C89">
      <w:pPr>
        <w:pStyle w:val="Heading8"/>
      </w:pPr>
      <w:r>
        <w:t xml:space="preserve">Some handsets are locked to </w:t>
      </w:r>
      <w:r>
        <w:rPr>
          <w:i/>
        </w:rPr>
        <w:t>our</w:t>
      </w:r>
      <w:r>
        <w:t xml:space="preserve"> network. If </w:t>
      </w:r>
      <w:r>
        <w:rPr>
          <w:i/>
        </w:rPr>
        <w:t>you</w:t>
      </w:r>
      <w:r>
        <w:t xml:space="preserve"> wish to unlock one of these handsets </w:t>
      </w:r>
      <w:r>
        <w:rPr>
          <w:i/>
        </w:rPr>
        <w:t>you</w:t>
      </w:r>
      <w:r>
        <w:t xml:space="preserve"> should call </w:t>
      </w:r>
      <w:r>
        <w:rPr>
          <w:i/>
        </w:rPr>
        <w:t>our</w:t>
      </w:r>
      <w:r>
        <w:t xml:space="preserve"> Customer Service centre. </w:t>
      </w:r>
    </w:p>
    <w:p w14:paraId="369CCDF8" w14:textId="77777777" w:rsidR="000D07EA" w:rsidRDefault="00BE7C89">
      <w:pPr>
        <w:pStyle w:val="Heading8"/>
      </w:pPr>
      <w:r>
        <w:t xml:space="preserve">Available features will vary depending on </w:t>
      </w:r>
      <w:r>
        <w:rPr>
          <w:i/>
        </w:rPr>
        <w:t>your</w:t>
      </w:r>
      <w:r>
        <w:t xml:space="preserve"> handset or software version.</w:t>
      </w:r>
    </w:p>
    <w:p w14:paraId="3896725E" w14:textId="77777777" w:rsidR="000D07EA" w:rsidRDefault="00BE7C89">
      <w:pPr>
        <w:pStyle w:val="Heading7"/>
        <w:rPr>
          <w:b/>
        </w:rPr>
      </w:pPr>
      <w:bookmarkStart w:id="787" w:name="_Ref461554703"/>
      <w:r>
        <w:rPr>
          <w:b/>
        </w:rPr>
        <w:t>Included International Value ($130 Business Timeless Plan)</w:t>
      </w:r>
      <w:bookmarkEnd w:id="787"/>
    </w:p>
    <w:p w14:paraId="7EAE60BA" w14:textId="77777777" w:rsidR="000D07EA" w:rsidRDefault="00BE7C89">
      <w:pPr>
        <w:pStyle w:val="Heading8"/>
      </w:pPr>
      <w:r>
        <w:t xml:space="preserve">On the $130 Business Timeless Plan </w:t>
      </w:r>
      <w:r>
        <w:rPr>
          <w:i/>
        </w:rPr>
        <w:t>you</w:t>
      </w:r>
      <w:r>
        <w:t xml:space="preserve"> will also receive included International Value (</w:t>
      </w:r>
      <w:r>
        <w:rPr>
          <w:b/>
        </w:rPr>
        <w:t>'Included International Value'</w:t>
      </w:r>
      <w:r>
        <w:t>) to use within Australia. The amount of the Included International Value is set out in Table 2A below.</w:t>
      </w:r>
    </w:p>
    <w:p w14:paraId="02C1C4F2" w14:textId="77777777" w:rsidR="000D07EA" w:rsidRDefault="00BE7C89">
      <w:pPr>
        <w:pStyle w:val="Heading8"/>
      </w:pPr>
      <w:r>
        <w:t>The usage types for the Included International Value are set out in Table 1D below.</w:t>
      </w:r>
    </w:p>
    <w:p w14:paraId="5EAD37AD" w14:textId="77777777" w:rsidR="000D07EA" w:rsidRDefault="00BE7C89">
      <w:pPr>
        <w:pStyle w:val="Heading8"/>
      </w:pPr>
      <w:r>
        <w:rPr>
          <w:i/>
        </w:rPr>
        <w:t>You</w:t>
      </w:r>
      <w:r>
        <w:t xml:space="preserve"> must pay </w:t>
      </w:r>
      <w:r>
        <w:rPr>
          <w:i/>
        </w:rPr>
        <w:t>us</w:t>
      </w:r>
      <w:r>
        <w:t xml:space="preserve"> for any usage in excess of the Included International Value. 'yes' Business International Rates apply. See </w:t>
      </w:r>
      <w:hyperlink r:id="rId540" w:history="1">
        <w:r>
          <w:rPr>
            <w:rStyle w:val="Hyperlink"/>
            <w:i/>
          </w:rPr>
          <w:t>Appendix J</w:t>
        </w:r>
      </w:hyperlink>
      <w:r>
        <w:t xml:space="preserve"> for more information.</w:t>
      </w:r>
    </w:p>
    <w:p w14:paraId="363DD7CB" w14:textId="77777777" w:rsidR="000D07EA" w:rsidRDefault="00BE7C89">
      <w:pPr>
        <w:pStyle w:val="Heading8"/>
      </w:pPr>
      <w:r>
        <w:t>Any unused portion of the Included International Value expires at the end of each month and does not roll over into the following month.</w:t>
      </w:r>
    </w:p>
    <w:p w14:paraId="7D8C5F75" w14:textId="77777777" w:rsidR="000D07EA" w:rsidRPr="00701E2C" w:rsidRDefault="00BE7C89" w:rsidP="00701E2C">
      <w:pPr>
        <w:pStyle w:val="Heading7"/>
        <w:rPr>
          <w:b/>
        </w:rPr>
      </w:pPr>
      <w:bookmarkStart w:id="788" w:name="_Toc343512494"/>
      <w:bookmarkStart w:id="789" w:name="_Toc343513066"/>
      <w:bookmarkStart w:id="790" w:name="_Toc343513506"/>
      <w:bookmarkStart w:id="791" w:name="_Toc397941282"/>
      <w:bookmarkEnd w:id="788"/>
      <w:bookmarkEnd w:id="789"/>
      <w:bookmarkEnd w:id="790"/>
      <w:r w:rsidRPr="00701E2C">
        <w:rPr>
          <w:b/>
        </w:rPr>
        <w:t>Additional benefit – Handset credit</w:t>
      </w:r>
      <w:bookmarkEnd w:id="791"/>
    </w:p>
    <w:p w14:paraId="0D370E1B" w14:textId="77777777" w:rsidR="000D07EA" w:rsidRDefault="00BE7C89">
      <w:pPr>
        <w:pStyle w:val="Heading8"/>
      </w:pPr>
      <w:r>
        <w:t xml:space="preserve">If </w:t>
      </w:r>
      <w:r>
        <w:rPr>
          <w:i/>
        </w:rPr>
        <w:t>you</w:t>
      </w:r>
      <w:r>
        <w:t xml:space="preserve"> connect to a $100 Business Timeless Plan MRO (Dec 2012) or $130 Business Timeless Plan MRO (Dec 2012) on a </w:t>
      </w:r>
      <w:r>
        <w:rPr>
          <w:i/>
        </w:rPr>
        <w:t>fixed-length agreement</w:t>
      </w:r>
      <w:r>
        <w:t xml:space="preserve"> with a 12 or 24 month </w:t>
      </w:r>
      <w:r>
        <w:rPr>
          <w:i/>
        </w:rPr>
        <w:t>minimum term</w:t>
      </w:r>
      <w:r>
        <w:t xml:space="preserve">, </w:t>
      </w:r>
      <w:r>
        <w:rPr>
          <w:i/>
        </w:rPr>
        <w:t>you</w:t>
      </w:r>
      <w:r>
        <w:t xml:space="preserve"> will receive a credit ('</w:t>
      </w:r>
      <w:r>
        <w:rPr>
          <w:b/>
        </w:rPr>
        <w:t>Handset Credit</w:t>
      </w:r>
      <w:r>
        <w:t xml:space="preserve">') each month for the </w:t>
      </w:r>
      <w:r>
        <w:rPr>
          <w:i/>
        </w:rPr>
        <w:t>minimum term</w:t>
      </w:r>
      <w:r>
        <w:t xml:space="preserve"> of </w:t>
      </w:r>
      <w:r>
        <w:rPr>
          <w:i/>
        </w:rPr>
        <w:t>your</w:t>
      </w:r>
      <w:r>
        <w:t xml:space="preserve"> selected </w:t>
      </w:r>
      <w:r>
        <w:rPr>
          <w:i/>
        </w:rPr>
        <w:t>pricing plan</w:t>
      </w:r>
      <w:r>
        <w:t xml:space="preserve">, which will offset and reduce the monthly repayment costs of </w:t>
      </w:r>
      <w:r>
        <w:rPr>
          <w:i/>
        </w:rPr>
        <w:t xml:space="preserve">your </w:t>
      </w:r>
      <w:r>
        <w:t>mobile phone.</w:t>
      </w:r>
    </w:p>
    <w:p w14:paraId="1424EC5E" w14:textId="77777777" w:rsidR="000D07EA" w:rsidRDefault="00BE7C89">
      <w:pPr>
        <w:pStyle w:val="Heading8"/>
      </w:pPr>
      <w:r>
        <w:t xml:space="preserve">If </w:t>
      </w:r>
      <w:r>
        <w:rPr>
          <w:i/>
        </w:rPr>
        <w:t>you cancel</w:t>
      </w:r>
      <w:r>
        <w:t xml:space="preserve"> </w:t>
      </w:r>
      <w:r>
        <w:rPr>
          <w:i/>
        </w:rPr>
        <w:t>your</w:t>
      </w:r>
      <w:r>
        <w:t xml:space="preserve"> </w:t>
      </w:r>
      <w:r>
        <w:rPr>
          <w:i/>
        </w:rPr>
        <w:t>pricing plan</w:t>
      </w:r>
      <w:r>
        <w:t xml:space="preserve"> or the </w:t>
      </w:r>
      <w:r>
        <w:rPr>
          <w:i/>
        </w:rPr>
        <w:t>mobile equipment payment plan</w:t>
      </w:r>
      <w:r>
        <w:t xml:space="preserve"> during the </w:t>
      </w:r>
      <w:r>
        <w:rPr>
          <w:i/>
        </w:rPr>
        <w:t>minimum term</w:t>
      </w:r>
      <w:r>
        <w:t xml:space="preserve">, </w:t>
      </w:r>
      <w:r>
        <w:rPr>
          <w:i/>
        </w:rPr>
        <w:t>you</w:t>
      </w:r>
      <w:r>
        <w:t xml:space="preserve"> will no longer be entitled to further Handset Credits and </w:t>
      </w:r>
      <w:r>
        <w:rPr>
          <w:i/>
        </w:rPr>
        <w:t>you</w:t>
      </w:r>
      <w:r>
        <w:t xml:space="preserve"> must pay the remaining handset repayments in full in addition to any </w:t>
      </w:r>
      <w:r>
        <w:rPr>
          <w:i/>
        </w:rPr>
        <w:t>cancellation fee</w:t>
      </w:r>
      <w:r>
        <w:t>.</w:t>
      </w:r>
    </w:p>
    <w:p w14:paraId="678C7B5B" w14:textId="77777777" w:rsidR="000D07EA" w:rsidRDefault="00BE7C89">
      <w:pPr>
        <w:pStyle w:val="Heading8"/>
      </w:pPr>
      <w:r>
        <w:t>The applicable Handset Credit for the $100 Business Timeless Plan MRO (Dec 2012) and $130 Business Timeless Plan MRO (Dec 2012) is shown in Table 2A below.</w:t>
      </w:r>
    </w:p>
    <w:p w14:paraId="13654E84" w14:textId="77777777" w:rsidR="000D07EA" w:rsidRPr="00701E2C" w:rsidRDefault="00BE7C89" w:rsidP="00701E2C">
      <w:pPr>
        <w:pStyle w:val="Heading7"/>
        <w:rPr>
          <w:b/>
        </w:rPr>
      </w:pPr>
      <w:r w:rsidRPr="00701E2C">
        <w:rPr>
          <w:b/>
        </w:rPr>
        <w:lastRenderedPageBreak/>
        <w:t>Additional benefit – 12 Month Handset Upgrade ($130 Business Timeless Plan)</w:t>
      </w:r>
    </w:p>
    <w:p w14:paraId="3081EC7B" w14:textId="77777777" w:rsidR="000D07EA" w:rsidRDefault="00BE7C89" w:rsidP="00701E2C">
      <w:pPr>
        <w:pStyle w:val="BodyText"/>
        <w:ind w:left="1440"/>
      </w:pPr>
      <w:r>
        <w:t xml:space="preserve">If </w:t>
      </w:r>
      <w:r>
        <w:rPr>
          <w:i/>
        </w:rPr>
        <w:t>you</w:t>
      </w:r>
      <w:r>
        <w:t xml:space="preserve"> connect to the $130 Business Timeless Plan on a 24 month </w:t>
      </w:r>
      <w:r>
        <w:rPr>
          <w:i/>
        </w:rPr>
        <w:t>fixed-length agreement</w:t>
      </w:r>
      <w:r>
        <w:t xml:space="preserve">, </w:t>
      </w:r>
      <w:r>
        <w:rPr>
          <w:i/>
        </w:rPr>
        <w:t>you</w:t>
      </w:r>
      <w:r>
        <w:t xml:space="preserve"> can upgrade </w:t>
      </w:r>
      <w:r>
        <w:rPr>
          <w:i/>
        </w:rPr>
        <w:t>your</w:t>
      </w:r>
      <w:r>
        <w:t xml:space="preserve"> handset after completing 12 months of the </w:t>
      </w:r>
      <w:r>
        <w:rPr>
          <w:i/>
        </w:rPr>
        <w:t>minimum term</w:t>
      </w:r>
      <w:r>
        <w:t xml:space="preserve"> when </w:t>
      </w:r>
      <w:r>
        <w:rPr>
          <w:i/>
        </w:rPr>
        <w:t>you</w:t>
      </w:r>
      <w:r>
        <w:t xml:space="preserve"> recontract to an equivalent </w:t>
      </w:r>
      <w:r>
        <w:rPr>
          <w:i/>
        </w:rPr>
        <w:t xml:space="preserve">pricing plan </w:t>
      </w:r>
      <w:r>
        <w:t xml:space="preserve">on a new 24 month </w:t>
      </w:r>
      <w:r>
        <w:rPr>
          <w:i/>
        </w:rPr>
        <w:t>fixed-length agreement</w:t>
      </w:r>
      <w:r>
        <w:t xml:space="preserve">. </w:t>
      </w:r>
    </w:p>
    <w:p w14:paraId="0359EBF3" w14:textId="77777777" w:rsidR="000D07EA" w:rsidRDefault="00BE7C89">
      <w:pPr>
        <w:pStyle w:val="BodyText"/>
        <w:ind w:left="720"/>
        <w:rPr>
          <w:b/>
        </w:rPr>
      </w:pPr>
      <w:r>
        <w:rPr>
          <w:b/>
        </w:rPr>
        <w:t>Table 1A –Unlimited usage types</w:t>
      </w:r>
    </w:p>
    <w:tbl>
      <w:tblPr>
        <w:tblW w:w="89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976"/>
        <w:gridCol w:w="2968"/>
      </w:tblGrid>
      <w:tr w:rsidR="000D07EA" w14:paraId="03233FB7" w14:textId="77777777">
        <w:trPr>
          <w:trHeight w:val="63"/>
          <w:tblHeader/>
          <w:jc w:val="center"/>
        </w:trPr>
        <w:tc>
          <w:tcPr>
            <w:tcW w:w="5976" w:type="dxa"/>
          </w:tcPr>
          <w:p w14:paraId="2BBD84C6" w14:textId="77777777" w:rsidR="000D07EA" w:rsidRDefault="00BE7C89">
            <w:pPr>
              <w:pStyle w:val="BodyText"/>
              <w:spacing w:before="100" w:after="100"/>
              <w:rPr>
                <w:b/>
                <w:bCs/>
              </w:rPr>
            </w:pPr>
            <w:r>
              <w:rPr>
                <w:b/>
                <w:bCs/>
              </w:rPr>
              <w:t>Usage Type</w:t>
            </w:r>
          </w:p>
        </w:tc>
        <w:tc>
          <w:tcPr>
            <w:tcW w:w="2968" w:type="dxa"/>
            <w:vAlign w:val="center"/>
          </w:tcPr>
          <w:p w14:paraId="209B5BF3" w14:textId="77777777" w:rsidR="000D07EA" w:rsidRDefault="00BE7C89">
            <w:pPr>
              <w:pStyle w:val="BodyText"/>
              <w:spacing w:before="100" w:after="100"/>
              <w:rPr>
                <w:b/>
                <w:bCs/>
              </w:rPr>
            </w:pPr>
            <w:r>
              <w:rPr>
                <w:b/>
                <w:bCs/>
              </w:rPr>
              <w:t>Included</w:t>
            </w:r>
          </w:p>
        </w:tc>
      </w:tr>
      <w:tr w:rsidR="000D07EA" w14:paraId="12523DC0" w14:textId="77777777">
        <w:trPr>
          <w:trHeight w:val="63"/>
          <w:jc w:val="center"/>
        </w:trPr>
        <w:tc>
          <w:tcPr>
            <w:tcW w:w="5976" w:type="dxa"/>
          </w:tcPr>
          <w:p w14:paraId="7A4FF910" w14:textId="77777777" w:rsidR="000D07EA" w:rsidRDefault="00BE7C89">
            <w:pPr>
              <w:pStyle w:val="BodyText"/>
              <w:spacing w:before="100" w:after="100"/>
            </w:pPr>
            <w:r>
              <w:t>Standard National Voice Calls</w:t>
            </w:r>
          </w:p>
        </w:tc>
        <w:tc>
          <w:tcPr>
            <w:tcW w:w="2968" w:type="dxa"/>
            <w:vAlign w:val="center"/>
          </w:tcPr>
          <w:p w14:paraId="6912D3BF" w14:textId="77777777" w:rsidR="000D07EA" w:rsidRDefault="00BE7C89">
            <w:pPr>
              <w:pStyle w:val="BodyText"/>
              <w:spacing w:before="100" w:after="100"/>
            </w:pPr>
            <w:r>
              <w:t>Yes</w:t>
            </w:r>
          </w:p>
        </w:tc>
      </w:tr>
      <w:tr w:rsidR="000D07EA" w14:paraId="36369CB3" w14:textId="77777777">
        <w:trPr>
          <w:trHeight w:val="247"/>
          <w:jc w:val="center"/>
        </w:trPr>
        <w:tc>
          <w:tcPr>
            <w:tcW w:w="5976" w:type="dxa"/>
          </w:tcPr>
          <w:p w14:paraId="7817AFC9" w14:textId="77777777" w:rsidR="000D07EA" w:rsidRDefault="00BE7C89">
            <w:pPr>
              <w:pStyle w:val="BodyText"/>
              <w:spacing w:before="100" w:after="100"/>
            </w:pPr>
            <w:r>
              <w:t>Standard National Video Calls</w:t>
            </w:r>
          </w:p>
        </w:tc>
        <w:tc>
          <w:tcPr>
            <w:tcW w:w="2968" w:type="dxa"/>
            <w:vAlign w:val="center"/>
          </w:tcPr>
          <w:p w14:paraId="3FBFA556" w14:textId="77777777" w:rsidR="000D07EA" w:rsidRDefault="00BE7C89">
            <w:pPr>
              <w:pStyle w:val="BodyText"/>
              <w:spacing w:before="100" w:after="100"/>
            </w:pPr>
            <w:r>
              <w:t>No</w:t>
            </w:r>
          </w:p>
        </w:tc>
      </w:tr>
      <w:tr w:rsidR="000D07EA" w14:paraId="265FB33D" w14:textId="77777777">
        <w:trPr>
          <w:trHeight w:val="247"/>
          <w:jc w:val="center"/>
        </w:trPr>
        <w:tc>
          <w:tcPr>
            <w:tcW w:w="5976" w:type="dxa"/>
          </w:tcPr>
          <w:p w14:paraId="68264B4D" w14:textId="77777777" w:rsidR="000D07EA" w:rsidRDefault="00BE7C89">
            <w:pPr>
              <w:pStyle w:val="BodyText"/>
              <w:spacing w:before="100" w:after="100"/>
            </w:pPr>
            <w:r>
              <w:t>International Voice Calls</w:t>
            </w:r>
          </w:p>
          <w:p w14:paraId="2023C5BB" w14:textId="77777777" w:rsidR="000D07EA" w:rsidRDefault="00BE7C89">
            <w:pPr>
              <w:pStyle w:val="BodyText"/>
              <w:spacing w:before="100" w:after="100"/>
            </w:pPr>
            <w:r>
              <w:rPr>
                <w:snapToGrid w:val="0"/>
              </w:rPr>
              <w:t>(includes calls to national fixed or mobile services that then divert/switch or re-route overseas)</w:t>
            </w:r>
          </w:p>
        </w:tc>
        <w:tc>
          <w:tcPr>
            <w:tcW w:w="2968" w:type="dxa"/>
            <w:vAlign w:val="center"/>
          </w:tcPr>
          <w:p w14:paraId="17655AF9" w14:textId="77777777" w:rsidR="000D07EA" w:rsidRDefault="00BE7C89">
            <w:pPr>
              <w:pStyle w:val="BodyText"/>
              <w:spacing w:before="100" w:after="100"/>
            </w:pPr>
            <w:r>
              <w:t>No</w:t>
            </w:r>
          </w:p>
        </w:tc>
      </w:tr>
      <w:tr w:rsidR="000D07EA" w14:paraId="256CB689" w14:textId="77777777">
        <w:trPr>
          <w:trHeight w:val="63"/>
          <w:jc w:val="center"/>
        </w:trPr>
        <w:tc>
          <w:tcPr>
            <w:tcW w:w="5976" w:type="dxa"/>
          </w:tcPr>
          <w:p w14:paraId="406BE827" w14:textId="77777777" w:rsidR="000D07EA" w:rsidRDefault="00BE7C89">
            <w:pPr>
              <w:pStyle w:val="BodyText"/>
              <w:spacing w:before="100" w:after="100"/>
            </w:pPr>
            <w:r>
              <w:t>International Video Calls</w:t>
            </w:r>
          </w:p>
          <w:p w14:paraId="06B5F477" w14:textId="77777777" w:rsidR="000D07EA" w:rsidRDefault="00BE7C89">
            <w:pPr>
              <w:pStyle w:val="BodyText"/>
              <w:spacing w:before="100" w:after="100"/>
            </w:pPr>
            <w:r>
              <w:rPr>
                <w:snapToGrid w:val="0"/>
              </w:rPr>
              <w:t>(includes calls to national fixed or mobile services that then divert/switch or re-route overseas)</w:t>
            </w:r>
          </w:p>
        </w:tc>
        <w:tc>
          <w:tcPr>
            <w:tcW w:w="2968" w:type="dxa"/>
            <w:vAlign w:val="center"/>
          </w:tcPr>
          <w:p w14:paraId="0D7039F9" w14:textId="77777777" w:rsidR="000D07EA" w:rsidRDefault="00BE7C89">
            <w:pPr>
              <w:pStyle w:val="BodyText"/>
              <w:spacing w:before="100" w:after="100"/>
            </w:pPr>
            <w:r>
              <w:t>No</w:t>
            </w:r>
          </w:p>
        </w:tc>
      </w:tr>
      <w:tr w:rsidR="000D07EA" w14:paraId="393A89C8" w14:textId="77777777">
        <w:trPr>
          <w:trHeight w:val="247"/>
          <w:jc w:val="center"/>
        </w:trPr>
        <w:tc>
          <w:tcPr>
            <w:tcW w:w="5976" w:type="dxa"/>
          </w:tcPr>
          <w:p w14:paraId="56A37EA2" w14:textId="77777777" w:rsidR="000D07EA" w:rsidRDefault="00BE7C89">
            <w:pPr>
              <w:pStyle w:val="BodyText"/>
              <w:spacing w:before="100" w:after="100"/>
            </w:pPr>
            <w:r>
              <w:t>Standard National SMS</w:t>
            </w:r>
          </w:p>
        </w:tc>
        <w:tc>
          <w:tcPr>
            <w:tcW w:w="2968" w:type="dxa"/>
            <w:vAlign w:val="center"/>
          </w:tcPr>
          <w:p w14:paraId="593DF706" w14:textId="77777777" w:rsidR="000D07EA" w:rsidRDefault="00BE7C89">
            <w:pPr>
              <w:pStyle w:val="BodyText"/>
              <w:spacing w:before="100" w:after="100"/>
            </w:pPr>
            <w:r>
              <w:t>Yes</w:t>
            </w:r>
          </w:p>
        </w:tc>
      </w:tr>
      <w:tr w:rsidR="000D07EA" w14:paraId="4F4642A4" w14:textId="77777777">
        <w:trPr>
          <w:trHeight w:val="247"/>
          <w:jc w:val="center"/>
        </w:trPr>
        <w:tc>
          <w:tcPr>
            <w:tcW w:w="5976" w:type="dxa"/>
          </w:tcPr>
          <w:p w14:paraId="15C48704" w14:textId="77777777" w:rsidR="000D07EA" w:rsidRDefault="00BE7C89">
            <w:pPr>
              <w:pStyle w:val="BodyText"/>
              <w:spacing w:before="100" w:after="100"/>
            </w:pPr>
            <w:r>
              <w:t>International SMS</w:t>
            </w:r>
          </w:p>
        </w:tc>
        <w:tc>
          <w:tcPr>
            <w:tcW w:w="2968" w:type="dxa"/>
            <w:vAlign w:val="center"/>
          </w:tcPr>
          <w:p w14:paraId="2F7C5143" w14:textId="77777777" w:rsidR="000D07EA" w:rsidRDefault="00BE7C89">
            <w:pPr>
              <w:pStyle w:val="BodyText"/>
              <w:spacing w:before="100" w:after="100"/>
            </w:pPr>
            <w:r>
              <w:t>No</w:t>
            </w:r>
          </w:p>
        </w:tc>
      </w:tr>
      <w:tr w:rsidR="000D07EA" w14:paraId="630DFA29" w14:textId="77777777">
        <w:trPr>
          <w:trHeight w:val="247"/>
          <w:jc w:val="center"/>
        </w:trPr>
        <w:tc>
          <w:tcPr>
            <w:tcW w:w="5976" w:type="dxa"/>
          </w:tcPr>
          <w:p w14:paraId="55777C79" w14:textId="77777777" w:rsidR="000D07EA" w:rsidRDefault="00BE7C89">
            <w:pPr>
              <w:pStyle w:val="BodyText"/>
              <w:spacing w:before="100" w:after="100"/>
            </w:pPr>
            <w:r>
              <w:t>Standard National MMS</w:t>
            </w:r>
          </w:p>
        </w:tc>
        <w:tc>
          <w:tcPr>
            <w:tcW w:w="2968" w:type="dxa"/>
            <w:vAlign w:val="center"/>
          </w:tcPr>
          <w:p w14:paraId="63EF0133" w14:textId="77777777" w:rsidR="000D07EA" w:rsidRDefault="00BE7C89">
            <w:pPr>
              <w:pStyle w:val="BodyText"/>
              <w:spacing w:before="100" w:after="100"/>
            </w:pPr>
            <w:r>
              <w:t>Yes</w:t>
            </w:r>
          </w:p>
        </w:tc>
      </w:tr>
      <w:tr w:rsidR="000D07EA" w14:paraId="1AD2B7C7" w14:textId="77777777">
        <w:trPr>
          <w:trHeight w:val="247"/>
          <w:jc w:val="center"/>
        </w:trPr>
        <w:tc>
          <w:tcPr>
            <w:tcW w:w="5976" w:type="dxa"/>
          </w:tcPr>
          <w:p w14:paraId="2A42E1AB" w14:textId="77777777" w:rsidR="000D07EA" w:rsidRDefault="00BE7C89">
            <w:pPr>
              <w:pStyle w:val="BodyText"/>
              <w:spacing w:before="100" w:after="100"/>
            </w:pPr>
            <w:r>
              <w:t>International MMS</w:t>
            </w:r>
          </w:p>
        </w:tc>
        <w:tc>
          <w:tcPr>
            <w:tcW w:w="2968" w:type="dxa"/>
            <w:vAlign w:val="center"/>
          </w:tcPr>
          <w:p w14:paraId="62D830BD" w14:textId="77777777" w:rsidR="000D07EA" w:rsidRDefault="00BE7C89">
            <w:pPr>
              <w:pStyle w:val="BodyText"/>
              <w:spacing w:before="100" w:after="100"/>
            </w:pPr>
            <w:r>
              <w:t>No</w:t>
            </w:r>
          </w:p>
        </w:tc>
      </w:tr>
      <w:tr w:rsidR="000D07EA" w14:paraId="149053E9" w14:textId="77777777">
        <w:trPr>
          <w:trHeight w:val="247"/>
          <w:jc w:val="center"/>
        </w:trPr>
        <w:tc>
          <w:tcPr>
            <w:tcW w:w="5976" w:type="dxa"/>
          </w:tcPr>
          <w:p w14:paraId="20E0FD19" w14:textId="77777777" w:rsidR="000D07EA" w:rsidRDefault="00BE7C89">
            <w:pPr>
              <w:pStyle w:val="BodyText"/>
              <w:spacing w:before="100" w:after="100"/>
            </w:pPr>
            <w:r>
              <w:t>National Diversions</w:t>
            </w:r>
          </w:p>
        </w:tc>
        <w:tc>
          <w:tcPr>
            <w:tcW w:w="2968" w:type="dxa"/>
            <w:vAlign w:val="center"/>
          </w:tcPr>
          <w:p w14:paraId="725A7D93" w14:textId="77777777" w:rsidR="000D07EA" w:rsidRDefault="00BE7C89">
            <w:pPr>
              <w:pStyle w:val="BodyText"/>
              <w:spacing w:before="100" w:after="100"/>
            </w:pPr>
            <w:r>
              <w:t>No</w:t>
            </w:r>
          </w:p>
        </w:tc>
      </w:tr>
      <w:tr w:rsidR="000D07EA" w14:paraId="398D891E" w14:textId="77777777">
        <w:trPr>
          <w:trHeight w:val="63"/>
          <w:jc w:val="center"/>
        </w:trPr>
        <w:tc>
          <w:tcPr>
            <w:tcW w:w="5976" w:type="dxa"/>
          </w:tcPr>
          <w:p w14:paraId="7FEFCD82" w14:textId="77777777" w:rsidR="000D07EA" w:rsidRDefault="00BE7C89">
            <w:pPr>
              <w:pStyle w:val="BodyText"/>
              <w:spacing w:before="100" w:after="100"/>
            </w:pPr>
            <w:r>
              <w:t xml:space="preserve">Voicemail </w:t>
            </w:r>
          </w:p>
        </w:tc>
        <w:tc>
          <w:tcPr>
            <w:tcW w:w="2968" w:type="dxa"/>
            <w:vAlign w:val="center"/>
          </w:tcPr>
          <w:p w14:paraId="2DABF973" w14:textId="77777777" w:rsidR="000D07EA" w:rsidRDefault="00BE7C89">
            <w:pPr>
              <w:pStyle w:val="BodyText"/>
              <w:spacing w:before="100" w:after="100"/>
            </w:pPr>
            <w:r>
              <w:t>Yes</w:t>
            </w:r>
          </w:p>
        </w:tc>
      </w:tr>
      <w:tr w:rsidR="000D07EA" w14:paraId="70801CA1" w14:textId="77777777">
        <w:trPr>
          <w:trHeight w:val="247"/>
          <w:jc w:val="center"/>
        </w:trPr>
        <w:tc>
          <w:tcPr>
            <w:tcW w:w="5976" w:type="dxa"/>
          </w:tcPr>
          <w:p w14:paraId="05D223A9" w14:textId="77777777" w:rsidR="000D07EA" w:rsidRDefault="00BE7C89">
            <w:pPr>
              <w:pStyle w:val="BodyText"/>
              <w:spacing w:before="100" w:after="100"/>
            </w:pPr>
            <w:r>
              <w:t>International Roaming and Diversion</w:t>
            </w:r>
          </w:p>
        </w:tc>
        <w:tc>
          <w:tcPr>
            <w:tcW w:w="2968" w:type="dxa"/>
            <w:vAlign w:val="center"/>
          </w:tcPr>
          <w:p w14:paraId="69AEC31D" w14:textId="77777777" w:rsidR="000D07EA" w:rsidRDefault="00BE7C89">
            <w:pPr>
              <w:pStyle w:val="BodyText"/>
              <w:spacing w:before="100" w:after="100"/>
            </w:pPr>
            <w:r>
              <w:t>No</w:t>
            </w:r>
          </w:p>
        </w:tc>
      </w:tr>
      <w:tr w:rsidR="000D07EA" w14:paraId="19BFCE89" w14:textId="77777777">
        <w:trPr>
          <w:trHeight w:val="247"/>
          <w:jc w:val="center"/>
        </w:trPr>
        <w:tc>
          <w:tcPr>
            <w:tcW w:w="5976" w:type="dxa"/>
          </w:tcPr>
          <w:p w14:paraId="7DD7384F" w14:textId="77777777" w:rsidR="000D07EA" w:rsidRDefault="00BE7C89">
            <w:pPr>
              <w:pStyle w:val="BodyText"/>
              <w:spacing w:before="100" w:after="100"/>
            </w:pPr>
            <w:r>
              <w:t>Premium SMS</w:t>
            </w:r>
          </w:p>
        </w:tc>
        <w:tc>
          <w:tcPr>
            <w:tcW w:w="2968" w:type="dxa"/>
            <w:vAlign w:val="center"/>
          </w:tcPr>
          <w:p w14:paraId="44981739" w14:textId="77777777" w:rsidR="000D07EA" w:rsidRDefault="00BE7C89">
            <w:pPr>
              <w:pStyle w:val="BodyText"/>
              <w:spacing w:before="100" w:after="100"/>
            </w:pPr>
            <w:r>
              <w:t>No</w:t>
            </w:r>
          </w:p>
        </w:tc>
      </w:tr>
      <w:tr w:rsidR="000D07EA" w14:paraId="289401F7" w14:textId="77777777">
        <w:trPr>
          <w:trHeight w:val="247"/>
          <w:jc w:val="center"/>
        </w:trPr>
        <w:tc>
          <w:tcPr>
            <w:tcW w:w="5976" w:type="dxa"/>
          </w:tcPr>
          <w:p w14:paraId="6E6315AA" w14:textId="77777777" w:rsidR="000D07EA" w:rsidRDefault="00BE7C89">
            <w:pPr>
              <w:pStyle w:val="BodyText"/>
              <w:spacing w:before="100" w:after="100"/>
            </w:pPr>
            <w:r>
              <w:t>Premium Video</w:t>
            </w:r>
          </w:p>
        </w:tc>
        <w:tc>
          <w:tcPr>
            <w:tcW w:w="2968" w:type="dxa"/>
            <w:vAlign w:val="center"/>
          </w:tcPr>
          <w:p w14:paraId="6A4307ED" w14:textId="77777777" w:rsidR="000D07EA" w:rsidRDefault="00BE7C89">
            <w:pPr>
              <w:pStyle w:val="BodyText"/>
              <w:spacing w:before="100" w:after="100"/>
            </w:pPr>
            <w:r>
              <w:t>No</w:t>
            </w:r>
          </w:p>
        </w:tc>
      </w:tr>
      <w:tr w:rsidR="000D07EA" w14:paraId="3A6CEC03" w14:textId="77777777">
        <w:trPr>
          <w:trHeight w:val="247"/>
          <w:jc w:val="center"/>
        </w:trPr>
        <w:tc>
          <w:tcPr>
            <w:tcW w:w="5976" w:type="dxa"/>
          </w:tcPr>
          <w:p w14:paraId="511C25AA" w14:textId="77777777" w:rsidR="000D07EA" w:rsidRDefault="00BE7C89">
            <w:pPr>
              <w:pStyle w:val="BodyText"/>
              <w:spacing w:before="100" w:after="100"/>
            </w:pPr>
            <w:r>
              <w:t>Video Conferencing</w:t>
            </w:r>
          </w:p>
        </w:tc>
        <w:tc>
          <w:tcPr>
            <w:tcW w:w="2968" w:type="dxa"/>
            <w:vAlign w:val="center"/>
          </w:tcPr>
          <w:p w14:paraId="3FDDC8CB" w14:textId="77777777" w:rsidR="000D07EA" w:rsidRDefault="00BE7C89">
            <w:pPr>
              <w:pStyle w:val="BodyText"/>
              <w:spacing w:before="100" w:after="100"/>
            </w:pPr>
            <w:r>
              <w:t>No</w:t>
            </w:r>
          </w:p>
        </w:tc>
      </w:tr>
      <w:tr w:rsidR="000D07EA" w14:paraId="294A7B46" w14:textId="77777777">
        <w:trPr>
          <w:trHeight w:val="247"/>
          <w:jc w:val="center"/>
        </w:trPr>
        <w:tc>
          <w:tcPr>
            <w:tcW w:w="5976" w:type="dxa"/>
          </w:tcPr>
          <w:p w14:paraId="7FA707E0" w14:textId="77777777" w:rsidR="000D07EA" w:rsidRDefault="00BE7C89">
            <w:pPr>
              <w:pStyle w:val="BodyText"/>
              <w:spacing w:before="100" w:after="100"/>
            </w:pPr>
            <w:r>
              <w:t>Optus Zoo or Optus iZoo Browsing</w:t>
            </w:r>
          </w:p>
        </w:tc>
        <w:tc>
          <w:tcPr>
            <w:tcW w:w="2968" w:type="dxa"/>
            <w:vAlign w:val="center"/>
          </w:tcPr>
          <w:p w14:paraId="45E625F1" w14:textId="77777777" w:rsidR="000D07EA" w:rsidRDefault="00BE7C89">
            <w:pPr>
              <w:pStyle w:val="BodyText"/>
              <w:spacing w:before="100" w:after="100"/>
            </w:pPr>
            <w:r>
              <w:t>No</w:t>
            </w:r>
          </w:p>
        </w:tc>
      </w:tr>
      <w:tr w:rsidR="000D07EA" w14:paraId="3FBA58A7" w14:textId="77777777">
        <w:trPr>
          <w:trHeight w:val="494"/>
          <w:jc w:val="center"/>
        </w:trPr>
        <w:tc>
          <w:tcPr>
            <w:tcW w:w="5976" w:type="dxa"/>
          </w:tcPr>
          <w:p w14:paraId="2967F569" w14:textId="77777777" w:rsidR="000D07EA" w:rsidRDefault="00BE7C89">
            <w:pPr>
              <w:pStyle w:val="BodyText"/>
              <w:spacing w:before="100" w:after="100"/>
            </w:pPr>
            <w:r>
              <w:t>Optus Zoo or Optus iZoo Downloads</w:t>
            </w:r>
          </w:p>
        </w:tc>
        <w:tc>
          <w:tcPr>
            <w:tcW w:w="2968" w:type="dxa"/>
            <w:vAlign w:val="center"/>
          </w:tcPr>
          <w:p w14:paraId="143E93D7" w14:textId="77777777" w:rsidR="000D07EA" w:rsidRDefault="00BE7C89">
            <w:pPr>
              <w:pStyle w:val="BodyText"/>
              <w:spacing w:before="100" w:after="100"/>
            </w:pPr>
            <w:r>
              <w:t>No</w:t>
            </w:r>
          </w:p>
        </w:tc>
      </w:tr>
      <w:tr w:rsidR="000D07EA" w14:paraId="3D49A116" w14:textId="77777777">
        <w:trPr>
          <w:trHeight w:val="494"/>
          <w:jc w:val="center"/>
        </w:trPr>
        <w:tc>
          <w:tcPr>
            <w:tcW w:w="5976" w:type="dxa"/>
          </w:tcPr>
          <w:p w14:paraId="6AE7C553" w14:textId="77777777" w:rsidR="000D07EA" w:rsidRDefault="00BE7C89">
            <w:pPr>
              <w:pStyle w:val="BodyText"/>
              <w:spacing w:before="100" w:after="100"/>
            </w:pPr>
            <w:r>
              <w:t>SMS to 966 (Zoo)</w:t>
            </w:r>
          </w:p>
        </w:tc>
        <w:tc>
          <w:tcPr>
            <w:tcW w:w="2968" w:type="dxa"/>
            <w:vAlign w:val="center"/>
          </w:tcPr>
          <w:p w14:paraId="5889E601" w14:textId="77777777" w:rsidR="000D07EA" w:rsidRDefault="00BE7C89">
            <w:pPr>
              <w:pStyle w:val="BodyText"/>
              <w:spacing w:before="100" w:after="100"/>
            </w:pPr>
            <w:r>
              <w:t>No</w:t>
            </w:r>
          </w:p>
        </w:tc>
      </w:tr>
      <w:tr w:rsidR="000D07EA" w14:paraId="63B095B6" w14:textId="77777777">
        <w:trPr>
          <w:trHeight w:val="494"/>
          <w:jc w:val="center"/>
        </w:trPr>
        <w:tc>
          <w:tcPr>
            <w:tcW w:w="5976" w:type="dxa"/>
          </w:tcPr>
          <w:p w14:paraId="4CB591F9" w14:textId="77777777" w:rsidR="000D07EA" w:rsidRDefault="00BE7C89">
            <w:pPr>
              <w:pStyle w:val="BodyText"/>
              <w:spacing w:before="100" w:after="100"/>
            </w:pPr>
            <w:r>
              <w:t>Mobile Internet usage</w:t>
            </w:r>
          </w:p>
        </w:tc>
        <w:tc>
          <w:tcPr>
            <w:tcW w:w="2968" w:type="dxa"/>
            <w:vAlign w:val="center"/>
          </w:tcPr>
          <w:p w14:paraId="6CADD426" w14:textId="77777777" w:rsidR="000D07EA" w:rsidRDefault="00BE7C89">
            <w:pPr>
              <w:pStyle w:val="BodyText"/>
              <w:spacing w:before="100" w:after="100"/>
            </w:pPr>
            <w:r>
              <w:t>No</w:t>
            </w:r>
          </w:p>
        </w:tc>
      </w:tr>
      <w:tr w:rsidR="000D07EA" w14:paraId="64FD523F" w14:textId="77777777">
        <w:trPr>
          <w:trHeight w:val="63"/>
          <w:jc w:val="center"/>
        </w:trPr>
        <w:tc>
          <w:tcPr>
            <w:tcW w:w="5976" w:type="dxa"/>
          </w:tcPr>
          <w:p w14:paraId="086C5424" w14:textId="77777777" w:rsidR="000D07EA" w:rsidRDefault="00BE7C89">
            <w:pPr>
              <w:pStyle w:val="BodyText"/>
              <w:spacing w:before="100" w:after="100"/>
            </w:pPr>
            <w:r>
              <w:t>Data Used while Roaming Internationally</w:t>
            </w:r>
          </w:p>
        </w:tc>
        <w:tc>
          <w:tcPr>
            <w:tcW w:w="2968" w:type="dxa"/>
            <w:vAlign w:val="center"/>
          </w:tcPr>
          <w:p w14:paraId="3EE4A792" w14:textId="77777777" w:rsidR="000D07EA" w:rsidRDefault="00BE7C89">
            <w:pPr>
              <w:pStyle w:val="BodyText"/>
              <w:spacing w:before="100" w:after="100"/>
            </w:pPr>
            <w:r>
              <w:t>No</w:t>
            </w:r>
          </w:p>
        </w:tc>
      </w:tr>
      <w:tr w:rsidR="000D07EA" w14:paraId="6B10EBDE" w14:textId="77777777">
        <w:trPr>
          <w:trHeight w:val="494"/>
          <w:jc w:val="center"/>
        </w:trPr>
        <w:tc>
          <w:tcPr>
            <w:tcW w:w="5976" w:type="dxa"/>
          </w:tcPr>
          <w:p w14:paraId="65491C4B" w14:textId="77777777" w:rsidR="000D07EA" w:rsidRDefault="00BE7C89">
            <w:pPr>
              <w:pStyle w:val="BodyText"/>
              <w:spacing w:before="100" w:after="100"/>
            </w:pPr>
            <w:r>
              <w:t>Content Packs (unless specified in promotions)</w:t>
            </w:r>
          </w:p>
        </w:tc>
        <w:tc>
          <w:tcPr>
            <w:tcW w:w="2968" w:type="dxa"/>
            <w:vAlign w:val="center"/>
          </w:tcPr>
          <w:p w14:paraId="40CF482E" w14:textId="77777777" w:rsidR="000D07EA" w:rsidRDefault="00BE7C89">
            <w:pPr>
              <w:pStyle w:val="BodyText"/>
              <w:spacing w:before="100" w:after="100"/>
            </w:pPr>
            <w:r>
              <w:t>No</w:t>
            </w:r>
          </w:p>
        </w:tc>
      </w:tr>
      <w:tr w:rsidR="000D07EA" w14:paraId="2E0402A0" w14:textId="77777777">
        <w:trPr>
          <w:trHeight w:val="494"/>
          <w:jc w:val="center"/>
        </w:trPr>
        <w:tc>
          <w:tcPr>
            <w:tcW w:w="5976" w:type="dxa"/>
          </w:tcPr>
          <w:p w14:paraId="033597B7" w14:textId="77777777" w:rsidR="000D07EA" w:rsidRDefault="00BE7C89">
            <w:pPr>
              <w:pStyle w:val="BodyText"/>
              <w:spacing w:before="100" w:after="100"/>
            </w:pPr>
            <w:r>
              <w:t xml:space="preserve">Directory Assistance- 1223 </w:t>
            </w:r>
          </w:p>
        </w:tc>
        <w:tc>
          <w:tcPr>
            <w:tcW w:w="2968" w:type="dxa"/>
            <w:vAlign w:val="center"/>
          </w:tcPr>
          <w:p w14:paraId="3A0A08E5" w14:textId="77777777" w:rsidR="000D07EA" w:rsidRDefault="00BE7C89">
            <w:pPr>
              <w:pStyle w:val="BodyText"/>
              <w:spacing w:before="100" w:after="100"/>
            </w:pPr>
            <w:r>
              <w:t>No</w:t>
            </w:r>
          </w:p>
        </w:tc>
      </w:tr>
      <w:tr w:rsidR="000D07EA" w14:paraId="66E03ADB" w14:textId="77777777">
        <w:trPr>
          <w:trHeight w:val="247"/>
          <w:jc w:val="center"/>
        </w:trPr>
        <w:tc>
          <w:tcPr>
            <w:tcW w:w="5976" w:type="dxa"/>
          </w:tcPr>
          <w:p w14:paraId="6AE57EE7" w14:textId="77777777" w:rsidR="000D07EA" w:rsidRDefault="00BE7C89">
            <w:pPr>
              <w:pStyle w:val="BodyText"/>
              <w:spacing w:before="100" w:after="100"/>
            </w:pPr>
            <w:r>
              <w:t>19XX Numbers</w:t>
            </w:r>
          </w:p>
        </w:tc>
        <w:tc>
          <w:tcPr>
            <w:tcW w:w="2968" w:type="dxa"/>
            <w:vAlign w:val="center"/>
          </w:tcPr>
          <w:p w14:paraId="01424867" w14:textId="77777777" w:rsidR="000D07EA" w:rsidRDefault="00BE7C89">
            <w:pPr>
              <w:pStyle w:val="BodyText"/>
              <w:spacing w:before="100" w:after="100"/>
            </w:pPr>
            <w:r>
              <w:t>No</w:t>
            </w:r>
          </w:p>
        </w:tc>
      </w:tr>
      <w:tr w:rsidR="000D07EA" w14:paraId="49BD5AE5" w14:textId="77777777">
        <w:trPr>
          <w:trHeight w:val="247"/>
          <w:jc w:val="center"/>
        </w:trPr>
        <w:tc>
          <w:tcPr>
            <w:tcW w:w="5976" w:type="dxa"/>
          </w:tcPr>
          <w:p w14:paraId="433EE08A" w14:textId="77777777" w:rsidR="000D07EA" w:rsidRDefault="00BE7C89">
            <w:pPr>
              <w:pStyle w:val="BodyText"/>
              <w:spacing w:before="100" w:after="100"/>
            </w:pPr>
            <w:r>
              <w:t>1800, 13 and 1300 numbers</w:t>
            </w:r>
          </w:p>
        </w:tc>
        <w:tc>
          <w:tcPr>
            <w:tcW w:w="2968" w:type="dxa"/>
            <w:vAlign w:val="center"/>
          </w:tcPr>
          <w:p w14:paraId="5E38F289" w14:textId="77777777" w:rsidR="000D07EA" w:rsidRDefault="00BE7C89">
            <w:pPr>
              <w:pStyle w:val="BodyText"/>
              <w:spacing w:before="100" w:after="100"/>
            </w:pPr>
            <w:r>
              <w:t>Yes</w:t>
            </w:r>
          </w:p>
        </w:tc>
      </w:tr>
      <w:tr w:rsidR="000D07EA" w14:paraId="6C557F03" w14:textId="77777777">
        <w:trPr>
          <w:trHeight w:val="247"/>
          <w:jc w:val="center"/>
        </w:trPr>
        <w:tc>
          <w:tcPr>
            <w:tcW w:w="5976" w:type="dxa"/>
          </w:tcPr>
          <w:p w14:paraId="0054D6F7" w14:textId="77777777" w:rsidR="000D07EA" w:rsidRDefault="00BE7C89">
            <w:pPr>
              <w:pStyle w:val="BodyText"/>
              <w:spacing w:before="100" w:after="100"/>
            </w:pPr>
            <w:r>
              <w:lastRenderedPageBreak/>
              <w:t>124YES(937)</w:t>
            </w:r>
          </w:p>
        </w:tc>
        <w:tc>
          <w:tcPr>
            <w:tcW w:w="2968" w:type="dxa"/>
            <w:vAlign w:val="center"/>
          </w:tcPr>
          <w:p w14:paraId="51C7780D" w14:textId="77777777" w:rsidR="000D07EA" w:rsidRDefault="00BE7C89">
            <w:pPr>
              <w:pStyle w:val="BodyText"/>
              <w:spacing w:before="100" w:after="100"/>
            </w:pPr>
            <w:r>
              <w:t>No</w:t>
            </w:r>
          </w:p>
        </w:tc>
      </w:tr>
      <w:tr w:rsidR="000D07EA" w14:paraId="0E2594DF" w14:textId="77777777">
        <w:trPr>
          <w:trHeight w:val="262"/>
          <w:jc w:val="center"/>
        </w:trPr>
        <w:tc>
          <w:tcPr>
            <w:tcW w:w="5976" w:type="dxa"/>
          </w:tcPr>
          <w:p w14:paraId="26F67AB8" w14:textId="77777777" w:rsidR="000D07EA" w:rsidRDefault="00BE7C89">
            <w:pPr>
              <w:pStyle w:val="BodyText"/>
              <w:spacing w:before="100" w:after="100"/>
            </w:pPr>
            <w:r>
              <w:t>Insurance</w:t>
            </w:r>
          </w:p>
        </w:tc>
        <w:tc>
          <w:tcPr>
            <w:tcW w:w="2968" w:type="dxa"/>
            <w:vAlign w:val="center"/>
          </w:tcPr>
          <w:p w14:paraId="58CEBC95" w14:textId="77777777" w:rsidR="000D07EA" w:rsidRDefault="00BE7C89">
            <w:pPr>
              <w:pStyle w:val="BodyText"/>
              <w:spacing w:before="100" w:after="100"/>
            </w:pPr>
            <w:r>
              <w:t>No</w:t>
            </w:r>
          </w:p>
        </w:tc>
      </w:tr>
      <w:tr w:rsidR="000D07EA" w14:paraId="2B9ED63D" w14:textId="77777777">
        <w:trPr>
          <w:trHeight w:val="262"/>
          <w:jc w:val="center"/>
        </w:trPr>
        <w:tc>
          <w:tcPr>
            <w:tcW w:w="5976" w:type="dxa"/>
          </w:tcPr>
          <w:p w14:paraId="52CCE256" w14:textId="77777777" w:rsidR="000D07EA" w:rsidRDefault="00BE7C89">
            <w:pPr>
              <w:pStyle w:val="BodyText"/>
              <w:spacing w:before="100" w:after="100"/>
            </w:pPr>
            <w:r>
              <w:t>Handset Payments</w:t>
            </w:r>
          </w:p>
        </w:tc>
        <w:tc>
          <w:tcPr>
            <w:tcW w:w="2968" w:type="dxa"/>
            <w:vAlign w:val="center"/>
          </w:tcPr>
          <w:p w14:paraId="1913E758" w14:textId="77777777" w:rsidR="000D07EA" w:rsidRDefault="00BE7C89">
            <w:pPr>
              <w:pStyle w:val="BodyText"/>
              <w:spacing w:before="100" w:after="100"/>
            </w:pPr>
            <w:r>
              <w:t>No</w:t>
            </w:r>
          </w:p>
        </w:tc>
      </w:tr>
      <w:tr w:rsidR="000D07EA" w14:paraId="1886E8EB" w14:textId="77777777">
        <w:trPr>
          <w:trHeight w:val="262"/>
          <w:jc w:val="center"/>
        </w:trPr>
        <w:tc>
          <w:tcPr>
            <w:tcW w:w="5976" w:type="dxa"/>
          </w:tcPr>
          <w:p w14:paraId="078DAFA4" w14:textId="77777777" w:rsidR="000D07EA" w:rsidRDefault="00BE7C89">
            <w:pPr>
              <w:pStyle w:val="BodyText"/>
              <w:spacing w:before="100" w:after="100"/>
            </w:pPr>
            <w:r>
              <w:t>Calls to Satellite phones</w:t>
            </w:r>
          </w:p>
        </w:tc>
        <w:tc>
          <w:tcPr>
            <w:tcW w:w="2968" w:type="dxa"/>
            <w:vAlign w:val="center"/>
          </w:tcPr>
          <w:p w14:paraId="6197D302" w14:textId="77777777" w:rsidR="000D07EA" w:rsidRDefault="00BE7C89">
            <w:pPr>
              <w:pStyle w:val="BodyText"/>
              <w:spacing w:before="100" w:after="100"/>
            </w:pPr>
            <w:r>
              <w:t>No</w:t>
            </w:r>
          </w:p>
        </w:tc>
      </w:tr>
      <w:tr w:rsidR="000D07EA" w14:paraId="0FB9E172" w14:textId="77777777">
        <w:trPr>
          <w:trHeight w:val="262"/>
          <w:jc w:val="center"/>
        </w:trPr>
        <w:tc>
          <w:tcPr>
            <w:tcW w:w="5976" w:type="dxa"/>
          </w:tcPr>
          <w:p w14:paraId="0AA23626" w14:textId="77777777" w:rsidR="000D07EA" w:rsidRDefault="00BE7C89">
            <w:pPr>
              <w:pStyle w:val="BodyText"/>
              <w:spacing w:before="100" w:after="100"/>
            </w:pPr>
            <w:r>
              <w:t>VOIP services</w:t>
            </w:r>
          </w:p>
        </w:tc>
        <w:tc>
          <w:tcPr>
            <w:tcW w:w="2968" w:type="dxa"/>
            <w:vAlign w:val="center"/>
          </w:tcPr>
          <w:p w14:paraId="0C03FAD1" w14:textId="77777777" w:rsidR="000D07EA" w:rsidRDefault="00BE7C89">
            <w:pPr>
              <w:pStyle w:val="BodyText"/>
              <w:spacing w:before="100" w:after="100"/>
            </w:pPr>
            <w:r>
              <w:t>No</w:t>
            </w:r>
          </w:p>
        </w:tc>
      </w:tr>
      <w:tr w:rsidR="000D07EA" w14:paraId="6CEDE3C8" w14:textId="77777777">
        <w:trPr>
          <w:trHeight w:val="262"/>
          <w:jc w:val="center"/>
        </w:trPr>
        <w:tc>
          <w:tcPr>
            <w:tcW w:w="5976" w:type="dxa"/>
          </w:tcPr>
          <w:p w14:paraId="690A8AC2" w14:textId="77777777" w:rsidR="000D07EA" w:rsidRDefault="00BE7C89">
            <w:pPr>
              <w:pStyle w:val="BodyText"/>
              <w:spacing w:before="100" w:after="100"/>
            </w:pPr>
            <w:r>
              <w:t>Surepage</w:t>
            </w:r>
          </w:p>
        </w:tc>
        <w:tc>
          <w:tcPr>
            <w:tcW w:w="2968" w:type="dxa"/>
            <w:vAlign w:val="center"/>
          </w:tcPr>
          <w:p w14:paraId="547A2518" w14:textId="77777777" w:rsidR="000D07EA" w:rsidRDefault="00BE7C89">
            <w:pPr>
              <w:pStyle w:val="BodyText"/>
              <w:spacing w:before="100" w:after="100"/>
            </w:pPr>
            <w:r>
              <w:t>No</w:t>
            </w:r>
          </w:p>
        </w:tc>
      </w:tr>
      <w:tr w:rsidR="000D07EA" w14:paraId="1D5F35F3" w14:textId="77777777">
        <w:trPr>
          <w:trHeight w:val="262"/>
          <w:jc w:val="center"/>
        </w:trPr>
        <w:tc>
          <w:tcPr>
            <w:tcW w:w="5976" w:type="dxa"/>
          </w:tcPr>
          <w:p w14:paraId="7D48563B" w14:textId="77777777" w:rsidR="000D07EA" w:rsidRDefault="00BE7C89">
            <w:pPr>
              <w:pStyle w:val="BodyText"/>
              <w:spacing w:before="100" w:after="100"/>
            </w:pPr>
            <w:r>
              <w:t>All other usage types</w:t>
            </w:r>
          </w:p>
        </w:tc>
        <w:tc>
          <w:tcPr>
            <w:tcW w:w="2968" w:type="dxa"/>
            <w:vAlign w:val="center"/>
          </w:tcPr>
          <w:p w14:paraId="5B2108E6" w14:textId="77777777" w:rsidR="000D07EA" w:rsidRDefault="00BE7C89">
            <w:pPr>
              <w:pStyle w:val="BodyText"/>
              <w:spacing w:before="100" w:after="100"/>
            </w:pPr>
            <w:r>
              <w:t>No</w:t>
            </w:r>
          </w:p>
        </w:tc>
      </w:tr>
    </w:tbl>
    <w:p w14:paraId="68A56F4F" w14:textId="77777777" w:rsidR="000D07EA" w:rsidRDefault="000D07EA">
      <w:pPr>
        <w:pStyle w:val="BodyText"/>
      </w:pPr>
    </w:p>
    <w:p w14:paraId="2DAC2735" w14:textId="77777777" w:rsidR="000D07EA" w:rsidRDefault="00BE7C89">
      <w:pPr>
        <w:pStyle w:val="BodyText"/>
        <w:ind w:left="720"/>
        <w:rPr>
          <w:b/>
        </w:rPr>
      </w:pPr>
      <w:r>
        <w:rPr>
          <w:b/>
        </w:rPr>
        <w:t>Table 1B – Usage counting towards Included Data</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6055"/>
        <w:gridCol w:w="2970"/>
      </w:tblGrid>
      <w:tr w:rsidR="000D07EA" w14:paraId="21F03DD0" w14:textId="77777777">
        <w:trPr>
          <w:trHeight w:val="63"/>
          <w:tblHeader/>
        </w:trPr>
        <w:tc>
          <w:tcPr>
            <w:tcW w:w="6055" w:type="dxa"/>
          </w:tcPr>
          <w:p w14:paraId="4068D93F" w14:textId="77777777" w:rsidR="000D07EA" w:rsidRDefault="00BE7C89">
            <w:pPr>
              <w:pStyle w:val="BodyText"/>
              <w:spacing w:before="100" w:after="100"/>
              <w:rPr>
                <w:b/>
                <w:bCs/>
              </w:rPr>
            </w:pPr>
            <w:r>
              <w:rPr>
                <w:b/>
                <w:bCs/>
              </w:rPr>
              <w:t>Usage Type</w:t>
            </w:r>
          </w:p>
        </w:tc>
        <w:tc>
          <w:tcPr>
            <w:tcW w:w="2970" w:type="dxa"/>
          </w:tcPr>
          <w:p w14:paraId="11631A2F" w14:textId="77777777" w:rsidR="000D07EA" w:rsidRDefault="00BE7C89">
            <w:pPr>
              <w:pStyle w:val="BodyText"/>
              <w:spacing w:before="100" w:after="100"/>
              <w:rPr>
                <w:b/>
                <w:bCs/>
              </w:rPr>
            </w:pPr>
            <w:r>
              <w:rPr>
                <w:b/>
                <w:bCs/>
              </w:rPr>
              <w:t>Included</w:t>
            </w:r>
          </w:p>
        </w:tc>
      </w:tr>
      <w:tr w:rsidR="000D07EA" w14:paraId="0DC6CA3F" w14:textId="77777777">
        <w:trPr>
          <w:trHeight w:val="63"/>
        </w:trPr>
        <w:tc>
          <w:tcPr>
            <w:tcW w:w="6055" w:type="dxa"/>
          </w:tcPr>
          <w:p w14:paraId="18802C02" w14:textId="77777777" w:rsidR="000D07EA" w:rsidRDefault="00BE7C89">
            <w:pPr>
              <w:pStyle w:val="BodyText"/>
              <w:spacing w:before="100" w:after="100"/>
              <w:rPr>
                <w:b/>
                <w:bCs/>
              </w:rPr>
            </w:pPr>
            <w:r>
              <w:rPr>
                <w:bCs/>
              </w:rPr>
              <w:t>Mobile Internet usage (browsing and downloads)*</w:t>
            </w:r>
          </w:p>
        </w:tc>
        <w:tc>
          <w:tcPr>
            <w:tcW w:w="2970" w:type="dxa"/>
          </w:tcPr>
          <w:p w14:paraId="0824FB3B" w14:textId="77777777" w:rsidR="000D07EA" w:rsidRDefault="00BE7C89">
            <w:pPr>
              <w:pStyle w:val="BodyText"/>
              <w:spacing w:before="100" w:after="100"/>
              <w:rPr>
                <w:bCs/>
              </w:rPr>
            </w:pPr>
            <w:r>
              <w:rPr>
                <w:bCs/>
              </w:rPr>
              <w:t>Yes</w:t>
            </w:r>
          </w:p>
        </w:tc>
      </w:tr>
      <w:tr w:rsidR="000D07EA" w14:paraId="5254315A" w14:textId="77777777">
        <w:trPr>
          <w:trHeight w:val="63"/>
        </w:trPr>
        <w:tc>
          <w:tcPr>
            <w:tcW w:w="6055" w:type="dxa"/>
          </w:tcPr>
          <w:p w14:paraId="1E499520" w14:textId="77777777" w:rsidR="000D07EA" w:rsidRDefault="00BE7C89">
            <w:pPr>
              <w:pStyle w:val="BodyText"/>
              <w:spacing w:before="100" w:after="100"/>
              <w:rPr>
                <w:bCs/>
              </w:rPr>
            </w:pPr>
            <w:r>
              <w:rPr>
                <w:bCs/>
              </w:rPr>
              <w:t>Data Used while Roaming Internationally</w:t>
            </w:r>
          </w:p>
        </w:tc>
        <w:tc>
          <w:tcPr>
            <w:tcW w:w="2970" w:type="dxa"/>
          </w:tcPr>
          <w:p w14:paraId="07EAB5FC" w14:textId="77777777" w:rsidR="000D07EA" w:rsidRDefault="00BE7C89">
            <w:pPr>
              <w:pStyle w:val="BodyText"/>
              <w:spacing w:before="100" w:after="100"/>
              <w:rPr>
                <w:bCs/>
              </w:rPr>
            </w:pPr>
            <w:r>
              <w:rPr>
                <w:bCs/>
              </w:rPr>
              <w:t>No</w:t>
            </w:r>
          </w:p>
        </w:tc>
      </w:tr>
      <w:tr w:rsidR="000D07EA" w14:paraId="7F75ACC1" w14:textId="77777777">
        <w:trPr>
          <w:trHeight w:val="63"/>
        </w:trPr>
        <w:tc>
          <w:tcPr>
            <w:tcW w:w="6055" w:type="dxa"/>
          </w:tcPr>
          <w:p w14:paraId="02F63B5E" w14:textId="77777777" w:rsidR="000D07EA" w:rsidRDefault="00BE7C89">
            <w:pPr>
              <w:pStyle w:val="BodyText"/>
              <w:spacing w:before="100" w:after="100"/>
            </w:pPr>
            <w:r>
              <w:t>National and International Video Calls</w:t>
            </w:r>
          </w:p>
          <w:p w14:paraId="3B502751" w14:textId="77777777" w:rsidR="000D07EA" w:rsidRDefault="00BE7C89">
            <w:pPr>
              <w:pStyle w:val="BodyText"/>
              <w:spacing w:before="100" w:after="100"/>
              <w:rPr>
                <w:bCs/>
              </w:rPr>
            </w:pPr>
            <w:r>
              <w:rPr>
                <w:snapToGrid w:val="0"/>
              </w:rPr>
              <w:t>(includes calls to national fixed or mobile services that then divert/switch or re-route overseas)</w:t>
            </w:r>
          </w:p>
        </w:tc>
        <w:tc>
          <w:tcPr>
            <w:tcW w:w="2970" w:type="dxa"/>
            <w:vAlign w:val="center"/>
          </w:tcPr>
          <w:p w14:paraId="0D0121AD" w14:textId="77777777" w:rsidR="000D07EA" w:rsidRDefault="00BE7C89">
            <w:pPr>
              <w:pStyle w:val="BodyText"/>
              <w:spacing w:before="100" w:after="100"/>
              <w:rPr>
                <w:bCs/>
              </w:rPr>
            </w:pPr>
            <w:r>
              <w:t>No</w:t>
            </w:r>
          </w:p>
        </w:tc>
      </w:tr>
      <w:tr w:rsidR="000D07EA" w14:paraId="6D33AFFD" w14:textId="77777777">
        <w:trPr>
          <w:trHeight w:val="63"/>
        </w:trPr>
        <w:tc>
          <w:tcPr>
            <w:tcW w:w="6055" w:type="dxa"/>
          </w:tcPr>
          <w:p w14:paraId="6071702E" w14:textId="77777777" w:rsidR="000D07EA" w:rsidRDefault="00BE7C89">
            <w:pPr>
              <w:pStyle w:val="BodyText"/>
              <w:spacing w:before="100" w:after="100"/>
              <w:rPr>
                <w:bCs/>
              </w:rPr>
            </w:pPr>
            <w:r>
              <w:t>Premium Video</w:t>
            </w:r>
          </w:p>
        </w:tc>
        <w:tc>
          <w:tcPr>
            <w:tcW w:w="2970" w:type="dxa"/>
            <w:vAlign w:val="center"/>
          </w:tcPr>
          <w:p w14:paraId="7AE98F84" w14:textId="77777777" w:rsidR="000D07EA" w:rsidRDefault="00BE7C89">
            <w:pPr>
              <w:pStyle w:val="BodyText"/>
              <w:spacing w:before="100" w:after="100"/>
              <w:rPr>
                <w:bCs/>
              </w:rPr>
            </w:pPr>
            <w:r>
              <w:t>No</w:t>
            </w:r>
          </w:p>
        </w:tc>
      </w:tr>
      <w:tr w:rsidR="000D07EA" w14:paraId="758428E5" w14:textId="77777777">
        <w:trPr>
          <w:trHeight w:val="63"/>
        </w:trPr>
        <w:tc>
          <w:tcPr>
            <w:tcW w:w="6055" w:type="dxa"/>
          </w:tcPr>
          <w:p w14:paraId="72F3729F" w14:textId="77777777" w:rsidR="000D07EA" w:rsidRDefault="00BE7C89">
            <w:pPr>
              <w:pStyle w:val="BodyText"/>
              <w:spacing w:before="100" w:after="100"/>
              <w:rPr>
                <w:bCs/>
              </w:rPr>
            </w:pPr>
            <w:r>
              <w:t>Video Conferencing</w:t>
            </w:r>
          </w:p>
        </w:tc>
        <w:tc>
          <w:tcPr>
            <w:tcW w:w="2970" w:type="dxa"/>
            <w:vAlign w:val="center"/>
          </w:tcPr>
          <w:p w14:paraId="00812564" w14:textId="77777777" w:rsidR="000D07EA" w:rsidRDefault="00BE7C89">
            <w:pPr>
              <w:pStyle w:val="BodyText"/>
              <w:spacing w:before="100" w:after="100"/>
              <w:rPr>
                <w:bCs/>
              </w:rPr>
            </w:pPr>
            <w:r>
              <w:t>No</w:t>
            </w:r>
          </w:p>
        </w:tc>
      </w:tr>
      <w:tr w:rsidR="000D07EA" w14:paraId="7319519A" w14:textId="77777777">
        <w:trPr>
          <w:trHeight w:val="63"/>
        </w:trPr>
        <w:tc>
          <w:tcPr>
            <w:tcW w:w="6055" w:type="dxa"/>
          </w:tcPr>
          <w:p w14:paraId="6A21C28A" w14:textId="77777777" w:rsidR="000D07EA" w:rsidRDefault="00BE7C89">
            <w:pPr>
              <w:pStyle w:val="BodyText"/>
              <w:spacing w:before="100" w:after="100"/>
              <w:rPr>
                <w:bCs/>
              </w:rPr>
            </w:pPr>
            <w:r>
              <w:t>Mobile as Modem</w:t>
            </w:r>
          </w:p>
        </w:tc>
        <w:tc>
          <w:tcPr>
            <w:tcW w:w="2970" w:type="dxa"/>
            <w:vAlign w:val="center"/>
          </w:tcPr>
          <w:p w14:paraId="2C311C59" w14:textId="77777777" w:rsidR="000D07EA" w:rsidRDefault="00BE7C89">
            <w:pPr>
              <w:pStyle w:val="BodyText"/>
              <w:spacing w:before="100" w:after="100"/>
              <w:rPr>
                <w:bCs/>
              </w:rPr>
            </w:pPr>
            <w:r>
              <w:t>Yes</w:t>
            </w:r>
          </w:p>
        </w:tc>
      </w:tr>
      <w:tr w:rsidR="000D07EA" w14:paraId="1CED1BBE" w14:textId="77777777">
        <w:trPr>
          <w:trHeight w:val="63"/>
        </w:trPr>
        <w:tc>
          <w:tcPr>
            <w:tcW w:w="6055" w:type="dxa"/>
          </w:tcPr>
          <w:p w14:paraId="2D5C87E5" w14:textId="77777777" w:rsidR="000D07EA" w:rsidRDefault="00BE7C89">
            <w:pPr>
              <w:pStyle w:val="BodyText"/>
              <w:spacing w:before="100" w:after="100"/>
            </w:pPr>
            <w:r>
              <w:t xml:space="preserve">Content Packs </w:t>
            </w:r>
          </w:p>
        </w:tc>
        <w:tc>
          <w:tcPr>
            <w:tcW w:w="2970" w:type="dxa"/>
            <w:vAlign w:val="center"/>
          </w:tcPr>
          <w:p w14:paraId="51D614E9" w14:textId="77777777" w:rsidR="000D07EA" w:rsidRDefault="00BE7C89">
            <w:pPr>
              <w:pStyle w:val="BodyText"/>
              <w:spacing w:before="100" w:after="100"/>
            </w:pPr>
            <w:r>
              <w:t>No</w:t>
            </w:r>
          </w:p>
        </w:tc>
      </w:tr>
      <w:tr w:rsidR="000D07EA" w14:paraId="333FCA22" w14:textId="77777777">
        <w:trPr>
          <w:trHeight w:val="63"/>
        </w:trPr>
        <w:tc>
          <w:tcPr>
            <w:tcW w:w="6055" w:type="dxa"/>
          </w:tcPr>
          <w:p w14:paraId="4F4E0D7B" w14:textId="77777777" w:rsidR="000D07EA" w:rsidRDefault="00BE7C89">
            <w:pPr>
              <w:pStyle w:val="BodyText"/>
              <w:spacing w:before="100" w:after="100"/>
            </w:pPr>
            <w:r>
              <w:t>Calls to MobileSat</w:t>
            </w:r>
          </w:p>
        </w:tc>
        <w:tc>
          <w:tcPr>
            <w:tcW w:w="2970" w:type="dxa"/>
            <w:vAlign w:val="center"/>
          </w:tcPr>
          <w:p w14:paraId="00681023" w14:textId="77777777" w:rsidR="000D07EA" w:rsidRDefault="00BE7C89">
            <w:pPr>
              <w:pStyle w:val="BodyText"/>
              <w:spacing w:before="100" w:after="100"/>
            </w:pPr>
            <w:r>
              <w:t>No</w:t>
            </w:r>
          </w:p>
        </w:tc>
      </w:tr>
      <w:tr w:rsidR="000D07EA" w14:paraId="60466B38" w14:textId="77777777">
        <w:trPr>
          <w:trHeight w:val="63"/>
        </w:trPr>
        <w:tc>
          <w:tcPr>
            <w:tcW w:w="6055" w:type="dxa"/>
          </w:tcPr>
          <w:p w14:paraId="313A55C4" w14:textId="77777777" w:rsidR="000D07EA" w:rsidRDefault="00BE7C89">
            <w:pPr>
              <w:pStyle w:val="BodyText"/>
              <w:spacing w:before="100" w:after="100"/>
            </w:pPr>
            <w:r>
              <w:t>VOIP services</w:t>
            </w:r>
          </w:p>
        </w:tc>
        <w:tc>
          <w:tcPr>
            <w:tcW w:w="2970" w:type="dxa"/>
            <w:vAlign w:val="center"/>
          </w:tcPr>
          <w:p w14:paraId="25F91925" w14:textId="77777777" w:rsidR="000D07EA" w:rsidRDefault="00BE7C89">
            <w:pPr>
              <w:pStyle w:val="BodyText"/>
              <w:spacing w:before="100" w:after="100"/>
            </w:pPr>
            <w:r>
              <w:t>No</w:t>
            </w:r>
          </w:p>
        </w:tc>
      </w:tr>
      <w:tr w:rsidR="000D07EA" w14:paraId="5982E640" w14:textId="77777777">
        <w:trPr>
          <w:trHeight w:val="63"/>
        </w:trPr>
        <w:tc>
          <w:tcPr>
            <w:tcW w:w="6055" w:type="dxa"/>
          </w:tcPr>
          <w:p w14:paraId="088C27D4" w14:textId="77777777" w:rsidR="000D07EA" w:rsidRDefault="00BE7C89">
            <w:pPr>
              <w:pStyle w:val="BodyText"/>
              <w:spacing w:before="100" w:after="100"/>
            </w:pPr>
            <w:r>
              <w:rPr>
                <w:snapToGrid w:val="0"/>
              </w:rPr>
              <w:t>All other usage types</w:t>
            </w:r>
          </w:p>
        </w:tc>
        <w:tc>
          <w:tcPr>
            <w:tcW w:w="2970" w:type="dxa"/>
            <w:vAlign w:val="center"/>
          </w:tcPr>
          <w:p w14:paraId="03E09363" w14:textId="77777777" w:rsidR="000D07EA" w:rsidRDefault="00BE7C89">
            <w:pPr>
              <w:pStyle w:val="BodyText"/>
              <w:spacing w:before="100" w:after="100"/>
            </w:pPr>
            <w:r>
              <w:t>No</w:t>
            </w:r>
          </w:p>
        </w:tc>
      </w:tr>
    </w:tbl>
    <w:p w14:paraId="0DC80250" w14:textId="77777777" w:rsidR="000D07EA" w:rsidRDefault="00BE7C89">
      <w:pPr>
        <w:pStyle w:val="BodyText"/>
        <w:spacing w:after="0"/>
        <w:ind w:left="720"/>
        <w:rPr>
          <w:sz w:val="16"/>
          <w:szCs w:val="16"/>
        </w:rPr>
      </w:pPr>
      <w:r>
        <w:rPr>
          <w:b/>
          <w:sz w:val="16"/>
          <w:szCs w:val="16"/>
        </w:rPr>
        <w:t>*Note:</w:t>
      </w:r>
      <w:r>
        <w:rPr>
          <w:sz w:val="16"/>
          <w:szCs w:val="16"/>
        </w:rPr>
        <w:t xml:space="preserve"> Data usage on selected Internet sites may be unmetered pursuant to offers or promotions from Optus and/or its affiliates. In such circumstances, this data usage will not count towards </w:t>
      </w:r>
      <w:r>
        <w:rPr>
          <w:i/>
          <w:sz w:val="16"/>
          <w:szCs w:val="16"/>
        </w:rPr>
        <w:t xml:space="preserve">your </w:t>
      </w:r>
      <w:r>
        <w:rPr>
          <w:sz w:val="16"/>
          <w:szCs w:val="16"/>
        </w:rPr>
        <w:t>plan's Included Data.</w:t>
      </w:r>
    </w:p>
    <w:p w14:paraId="4D0D8177" w14:textId="77777777" w:rsidR="000D07EA" w:rsidRDefault="000D07EA">
      <w:pPr>
        <w:pStyle w:val="BodyText"/>
      </w:pPr>
    </w:p>
    <w:p w14:paraId="1A2C9A3C" w14:textId="77777777" w:rsidR="000D07EA" w:rsidRDefault="00BE7C89">
      <w:pPr>
        <w:pStyle w:val="BodyText"/>
        <w:ind w:left="720"/>
        <w:rPr>
          <w:b/>
        </w:rPr>
      </w:pPr>
      <w:r>
        <w:rPr>
          <w:b/>
        </w:rPr>
        <w:t>Table 1C –Unlimited BlackBerry POP3 Email &amp; Browsing (for customers with a Blackberry using an operating system version 7.1 or earlier)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6020"/>
        <w:gridCol w:w="3137"/>
      </w:tblGrid>
      <w:tr w:rsidR="000D07EA" w14:paraId="60A73E46" w14:textId="77777777">
        <w:trPr>
          <w:trHeight w:val="63"/>
          <w:tblHeader/>
          <w:jc w:val="center"/>
        </w:trPr>
        <w:tc>
          <w:tcPr>
            <w:tcW w:w="6020" w:type="dxa"/>
          </w:tcPr>
          <w:p w14:paraId="3C25A7C5" w14:textId="77777777" w:rsidR="000D07EA" w:rsidRDefault="00BE7C89">
            <w:pPr>
              <w:pStyle w:val="BodyText"/>
              <w:spacing w:before="100" w:after="100"/>
              <w:rPr>
                <w:b/>
                <w:snapToGrid w:val="0"/>
              </w:rPr>
            </w:pPr>
            <w:r>
              <w:rPr>
                <w:b/>
                <w:snapToGrid w:val="0"/>
              </w:rPr>
              <w:t>Usage Type</w:t>
            </w:r>
          </w:p>
        </w:tc>
        <w:tc>
          <w:tcPr>
            <w:tcW w:w="3137" w:type="dxa"/>
          </w:tcPr>
          <w:p w14:paraId="0BA1FE58" w14:textId="77777777" w:rsidR="000D07EA" w:rsidRDefault="00BE7C89">
            <w:pPr>
              <w:pStyle w:val="BodyText"/>
              <w:spacing w:before="100" w:after="100"/>
              <w:rPr>
                <w:b/>
                <w:snapToGrid w:val="0"/>
              </w:rPr>
            </w:pPr>
            <w:r>
              <w:rPr>
                <w:b/>
                <w:snapToGrid w:val="0"/>
              </w:rPr>
              <w:t>Unlimited</w:t>
            </w:r>
          </w:p>
        </w:tc>
      </w:tr>
      <w:tr w:rsidR="000D07EA" w14:paraId="67A73332" w14:textId="77777777">
        <w:trPr>
          <w:trHeight w:val="63"/>
          <w:jc w:val="center"/>
        </w:trPr>
        <w:tc>
          <w:tcPr>
            <w:tcW w:w="6020" w:type="dxa"/>
          </w:tcPr>
          <w:p w14:paraId="0B0CE823" w14:textId="77777777" w:rsidR="000D07EA" w:rsidRDefault="00BE7C89">
            <w:pPr>
              <w:pStyle w:val="BodyText"/>
              <w:spacing w:before="100" w:after="100"/>
              <w:rPr>
                <w:snapToGrid w:val="0"/>
              </w:rPr>
            </w:pPr>
            <w:r>
              <w:rPr>
                <w:snapToGrid w:val="0"/>
              </w:rPr>
              <w:t>BlackBerry Email (POP3)</w:t>
            </w:r>
          </w:p>
        </w:tc>
        <w:tc>
          <w:tcPr>
            <w:tcW w:w="3137" w:type="dxa"/>
          </w:tcPr>
          <w:p w14:paraId="09323EFD" w14:textId="77777777" w:rsidR="000D07EA" w:rsidRDefault="00BE7C89">
            <w:pPr>
              <w:pStyle w:val="BodyText"/>
              <w:spacing w:before="100" w:after="100"/>
              <w:rPr>
                <w:snapToGrid w:val="0"/>
              </w:rPr>
            </w:pPr>
            <w:r>
              <w:rPr>
                <w:snapToGrid w:val="0"/>
              </w:rPr>
              <w:t>Yes</w:t>
            </w:r>
          </w:p>
        </w:tc>
      </w:tr>
      <w:tr w:rsidR="000D07EA" w14:paraId="76955F50" w14:textId="77777777">
        <w:trPr>
          <w:trHeight w:val="247"/>
          <w:jc w:val="center"/>
        </w:trPr>
        <w:tc>
          <w:tcPr>
            <w:tcW w:w="6020" w:type="dxa"/>
          </w:tcPr>
          <w:p w14:paraId="1463E35A" w14:textId="77777777" w:rsidR="000D07EA" w:rsidRDefault="00BE7C89">
            <w:pPr>
              <w:pStyle w:val="BodyText"/>
              <w:spacing w:before="100" w:after="100"/>
              <w:rPr>
                <w:snapToGrid w:val="0"/>
              </w:rPr>
            </w:pPr>
            <w:r>
              <w:rPr>
                <w:snapToGrid w:val="0"/>
              </w:rPr>
              <w:t xml:space="preserve">Internet Browsing through the BlackBerry Browser </w:t>
            </w:r>
          </w:p>
        </w:tc>
        <w:tc>
          <w:tcPr>
            <w:tcW w:w="3137" w:type="dxa"/>
          </w:tcPr>
          <w:p w14:paraId="5715B388" w14:textId="77777777" w:rsidR="000D07EA" w:rsidRDefault="00BE7C89">
            <w:pPr>
              <w:pStyle w:val="BodyText"/>
              <w:spacing w:before="100" w:after="100"/>
              <w:rPr>
                <w:snapToGrid w:val="0"/>
              </w:rPr>
            </w:pPr>
            <w:r>
              <w:rPr>
                <w:snapToGrid w:val="0"/>
              </w:rPr>
              <w:t>Yes</w:t>
            </w:r>
          </w:p>
        </w:tc>
      </w:tr>
      <w:tr w:rsidR="000D07EA" w14:paraId="50750D3F" w14:textId="77777777">
        <w:trPr>
          <w:trHeight w:val="509"/>
          <w:jc w:val="center"/>
        </w:trPr>
        <w:tc>
          <w:tcPr>
            <w:tcW w:w="6020" w:type="dxa"/>
          </w:tcPr>
          <w:p w14:paraId="5B768A61" w14:textId="77777777" w:rsidR="000D07EA" w:rsidRDefault="00BE7C89">
            <w:pPr>
              <w:pStyle w:val="BodyText"/>
              <w:spacing w:before="100" w:after="100"/>
              <w:rPr>
                <w:snapToGrid w:val="0"/>
              </w:rPr>
            </w:pPr>
            <w:r>
              <w:rPr>
                <w:snapToGrid w:val="0"/>
              </w:rPr>
              <w:t xml:space="preserve">Optus Zoo downloads and subscriptions </w:t>
            </w:r>
          </w:p>
        </w:tc>
        <w:tc>
          <w:tcPr>
            <w:tcW w:w="3137" w:type="dxa"/>
          </w:tcPr>
          <w:p w14:paraId="6DA79110" w14:textId="77777777" w:rsidR="000D07EA" w:rsidRDefault="00BE7C89">
            <w:pPr>
              <w:pStyle w:val="BodyText"/>
              <w:spacing w:before="100" w:after="100"/>
            </w:pPr>
            <w:r>
              <w:rPr>
                <w:snapToGrid w:val="0"/>
              </w:rPr>
              <w:t>No</w:t>
            </w:r>
          </w:p>
        </w:tc>
      </w:tr>
      <w:tr w:rsidR="000D07EA" w14:paraId="1A366ED9" w14:textId="77777777">
        <w:trPr>
          <w:trHeight w:val="247"/>
          <w:jc w:val="center"/>
        </w:trPr>
        <w:tc>
          <w:tcPr>
            <w:tcW w:w="6020" w:type="dxa"/>
          </w:tcPr>
          <w:p w14:paraId="3589FC3C" w14:textId="77777777" w:rsidR="000D07EA" w:rsidRDefault="00BE7C89">
            <w:pPr>
              <w:pStyle w:val="BodyText"/>
              <w:spacing w:before="100" w:after="100"/>
              <w:rPr>
                <w:snapToGrid w:val="0"/>
              </w:rPr>
            </w:pPr>
            <w:r>
              <w:rPr>
                <w:snapToGrid w:val="0"/>
              </w:rPr>
              <w:t xml:space="preserve">Optus Zoo GPRS WAP browsing </w:t>
            </w:r>
          </w:p>
        </w:tc>
        <w:tc>
          <w:tcPr>
            <w:tcW w:w="3137" w:type="dxa"/>
          </w:tcPr>
          <w:p w14:paraId="099E552E" w14:textId="77777777" w:rsidR="000D07EA" w:rsidRDefault="00BE7C89">
            <w:pPr>
              <w:pStyle w:val="BodyText"/>
              <w:spacing w:before="100" w:after="100"/>
              <w:rPr>
                <w:snapToGrid w:val="0"/>
              </w:rPr>
            </w:pPr>
            <w:r>
              <w:rPr>
                <w:snapToGrid w:val="0"/>
              </w:rPr>
              <w:t>No</w:t>
            </w:r>
          </w:p>
        </w:tc>
      </w:tr>
      <w:tr w:rsidR="000D07EA" w14:paraId="1CDB75F7" w14:textId="77777777">
        <w:trPr>
          <w:trHeight w:val="247"/>
          <w:jc w:val="center"/>
        </w:trPr>
        <w:tc>
          <w:tcPr>
            <w:tcW w:w="6020" w:type="dxa"/>
          </w:tcPr>
          <w:p w14:paraId="354749F5" w14:textId="77777777" w:rsidR="000D07EA" w:rsidRDefault="00BE7C89">
            <w:pPr>
              <w:pStyle w:val="BodyText"/>
              <w:spacing w:before="100" w:after="100"/>
            </w:pPr>
            <w:r>
              <w:lastRenderedPageBreak/>
              <w:t>Applications from Optus and third party applications that require a BlackBerry Data connection</w:t>
            </w:r>
          </w:p>
        </w:tc>
        <w:tc>
          <w:tcPr>
            <w:tcW w:w="3137" w:type="dxa"/>
          </w:tcPr>
          <w:p w14:paraId="0AED0EA7" w14:textId="77777777" w:rsidR="000D07EA" w:rsidRDefault="000D07EA">
            <w:pPr>
              <w:pStyle w:val="BodyText"/>
              <w:spacing w:before="100" w:after="100"/>
              <w:rPr>
                <w:snapToGrid w:val="0"/>
              </w:rPr>
            </w:pPr>
          </w:p>
          <w:p w14:paraId="4357DD8E" w14:textId="77777777" w:rsidR="000D07EA" w:rsidRDefault="00BE7C89">
            <w:pPr>
              <w:pStyle w:val="BodyText"/>
              <w:spacing w:before="100" w:after="100"/>
              <w:rPr>
                <w:snapToGrid w:val="0"/>
              </w:rPr>
            </w:pPr>
            <w:r>
              <w:rPr>
                <w:snapToGrid w:val="0"/>
              </w:rPr>
              <w:t>Yes</w:t>
            </w:r>
          </w:p>
        </w:tc>
      </w:tr>
      <w:tr w:rsidR="000D07EA" w14:paraId="215AB6F5" w14:textId="77777777">
        <w:trPr>
          <w:trHeight w:val="247"/>
          <w:jc w:val="center"/>
        </w:trPr>
        <w:tc>
          <w:tcPr>
            <w:tcW w:w="6020" w:type="dxa"/>
          </w:tcPr>
          <w:p w14:paraId="2A49555B" w14:textId="77777777" w:rsidR="000D07EA" w:rsidRDefault="00BE7C89">
            <w:pPr>
              <w:pStyle w:val="BodyText"/>
              <w:spacing w:before="100" w:after="100"/>
              <w:rPr>
                <w:snapToGrid w:val="0"/>
              </w:rPr>
            </w:pPr>
            <w:r>
              <w:rPr>
                <w:snapToGrid w:val="0"/>
              </w:rPr>
              <w:t>All other call types or usage (e.g. media streaming, data used while roaming internationally)</w:t>
            </w:r>
          </w:p>
        </w:tc>
        <w:tc>
          <w:tcPr>
            <w:tcW w:w="3137" w:type="dxa"/>
          </w:tcPr>
          <w:p w14:paraId="5A5C489E" w14:textId="77777777" w:rsidR="000D07EA" w:rsidRDefault="00BE7C89">
            <w:pPr>
              <w:pStyle w:val="BodyText"/>
              <w:spacing w:before="100" w:after="100"/>
              <w:rPr>
                <w:snapToGrid w:val="0"/>
              </w:rPr>
            </w:pPr>
            <w:r>
              <w:rPr>
                <w:snapToGrid w:val="0"/>
              </w:rPr>
              <w:t>No</w:t>
            </w:r>
          </w:p>
        </w:tc>
      </w:tr>
    </w:tbl>
    <w:p w14:paraId="30299B83" w14:textId="77777777" w:rsidR="000D07EA" w:rsidRDefault="000D07EA">
      <w:pPr>
        <w:pStyle w:val="BodyText"/>
      </w:pPr>
    </w:p>
    <w:p w14:paraId="473FC782" w14:textId="77777777" w:rsidR="000D07EA" w:rsidRDefault="00BE7C89">
      <w:pPr>
        <w:pStyle w:val="BodyText"/>
        <w:ind w:left="720"/>
        <w:rPr>
          <w:b/>
        </w:rPr>
      </w:pPr>
      <w:r>
        <w:rPr>
          <w:b/>
        </w:rPr>
        <w:t>Table 1D –Included International Value - $130 Business Timeless Plans</w:t>
      </w:r>
    </w:p>
    <w:tbl>
      <w:tblPr>
        <w:tblW w:w="91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6039"/>
        <w:gridCol w:w="3157"/>
      </w:tblGrid>
      <w:tr w:rsidR="000D07EA" w14:paraId="109BE7FE" w14:textId="77777777">
        <w:trPr>
          <w:trHeight w:val="63"/>
          <w:tblHeader/>
          <w:jc w:val="center"/>
        </w:trPr>
        <w:tc>
          <w:tcPr>
            <w:tcW w:w="6039" w:type="dxa"/>
          </w:tcPr>
          <w:p w14:paraId="74D594AC" w14:textId="77777777" w:rsidR="000D07EA" w:rsidRDefault="00BE7C89">
            <w:pPr>
              <w:pStyle w:val="BodyText"/>
              <w:spacing w:before="100" w:after="100"/>
              <w:rPr>
                <w:b/>
                <w:bCs/>
              </w:rPr>
            </w:pPr>
            <w:r>
              <w:rPr>
                <w:b/>
                <w:bCs/>
              </w:rPr>
              <w:t>Usage Type</w:t>
            </w:r>
          </w:p>
        </w:tc>
        <w:tc>
          <w:tcPr>
            <w:tcW w:w="3157" w:type="dxa"/>
            <w:vAlign w:val="center"/>
          </w:tcPr>
          <w:p w14:paraId="40B59181" w14:textId="77777777" w:rsidR="000D07EA" w:rsidRDefault="00BE7C89">
            <w:pPr>
              <w:pStyle w:val="BodyText"/>
              <w:spacing w:before="100" w:after="100"/>
              <w:rPr>
                <w:b/>
                <w:bCs/>
              </w:rPr>
            </w:pPr>
            <w:r>
              <w:rPr>
                <w:b/>
                <w:bCs/>
              </w:rPr>
              <w:t>Included</w:t>
            </w:r>
          </w:p>
        </w:tc>
      </w:tr>
      <w:tr w:rsidR="000D07EA" w14:paraId="5482112A" w14:textId="77777777">
        <w:trPr>
          <w:trHeight w:val="63"/>
          <w:jc w:val="center"/>
        </w:trPr>
        <w:tc>
          <w:tcPr>
            <w:tcW w:w="6039" w:type="dxa"/>
          </w:tcPr>
          <w:p w14:paraId="481FC4DA" w14:textId="77777777" w:rsidR="000D07EA" w:rsidRDefault="00BE7C89">
            <w:pPr>
              <w:pStyle w:val="BodyText"/>
              <w:spacing w:before="100" w:after="100"/>
            </w:pPr>
            <w:r>
              <w:t>International Voice Calls</w:t>
            </w:r>
          </w:p>
          <w:p w14:paraId="05CFC746" w14:textId="77777777" w:rsidR="000D07EA" w:rsidRDefault="00BE7C89">
            <w:pPr>
              <w:pStyle w:val="BodyText"/>
              <w:spacing w:before="100" w:after="100"/>
            </w:pPr>
            <w:r>
              <w:rPr>
                <w:snapToGrid w:val="0"/>
              </w:rPr>
              <w:t>(includes calls to national fixed or mobile services that then divert/switch or re-route overseas)</w:t>
            </w:r>
          </w:p>
        </w:tc>
        <w:tc>
          <w:tcPr>
            <w:tcW w:w="3157" w:type="dxa"/>
            <w:vAlign w:val="center"/>
          </w:tcPr>
          <w:p w14:paraId="0F1C875F" w14:textId="77777777" w:rsidR="000D07EA" w:rsidRDefault="00BE7C89">
            <w:pPr>
              <w:pStyle w:val="BodyText"/>
              <w:spacing w:before="100" w:after="100"/>
            </w:pPr>
            <w:r>
              <w:t>Yes</w:t>
            </w:r>
          </w:p>
        </w:tc>
      </w:tr>
      <w:tr w:rsidR="000D07EA" w14:paraId="2A870779" w14:textId="77777777">
        <w:trPr>
          <w:trHeight w:val="63"/>
          <w:jc w:val="center"/>
        </w:trPr>
        <w:tc>
          <w:tcPr>
            <w:tcW w:w="6039" w:type="dxa"/>
          </w:tcPr>
          <w:p w14:paraId="1CD9674E" w14:textId="77777777" w:rsidR="000D07EA" w:rsidRDefault="00BE7C89">
            <w:pPr>
              <w:pStyle w:val="BodyText"/>
              <w:spacing w:before="100" w:after="100"/>
            </w:pPr>
            <w:r>
              <w:t>International Video Calls</w:t>
            </w:r>
          </w:p>
          <w:p w14:paraId="5B5CD627" w14:textId="77777777" w:rsidR="000D07EA" w:rsidRDefault="00BE7C89">
            <w:pPr>
              <w:pStyle w:val="BodyText"/>
              <w:spacing w:before="100" w:after="100"/>
            </w:pPr>
            <w:r>
              <w:rPr>
                <w:snapToGrid w:val="0"/>
              </w:rPr>
              <w:t>(includes calls to national fixed or mobile services that then divert/switch or re-route overseas)</w:t>
            </w:r>
          </w:p>
        </w:tc>
        <w:tc>
          <w:tcPr>
            <w:tcW w:w="3157" w:type="dxa"/>
            <w:vAlign w:val="center"/>
          </w:tcPr>
          <w:p w14:paraId="13908690" w14:textId="77777777" w:rsidR="000D07EA" w:rsidRDefault="00BE7C89">
            <w:pPr>
              <w:pStyle w:val="BodyText"/>
              <w:spacing w:before="100" w:after="100"/>
            </w:pPr>
            <w:r>
              <w:t>No</w:t>
            </w:r>
          </w:p>
        </w:tc>
      </w:tr>
      <w:tr w:rsidR="000D07EA" w14:paraId="32ADC866" w14:textId="77777777">
        <w:trPr>
          <w:trHeight w:val="247"/>
          <w:jc w:val="center"/>
        </w:trPr>
        <w:tc>
          <w:tcPr>
            <w:tcW w:w="6039" w:type="dxa"/>
          </w:tcPr>
          <w:p w14:paraId="19367989" w14:textId="77777777" w:rsidR="000D07EA" w:rsidRDefault="00BE7C89">
            <w:pPr>
              <w:pStyle w:val="BodyText"/>
              <w:spacing w:before="100" w:after="100"/>
            </w:pPr>
            <w:r>
              <w:t>International SMS</w:t>
            </w:r>
          </w:p>
        </w:tc>
        <w:tc>
          <w:tcPr>
            <w:tcW w:w="3157" w:type="dxa"/>
            <w:vAlign w:val="center"/>
          </w:tcPr>
          <w:p w14:paraId="59E148AC" w14:textId="77777777" w:rsidR="000D07EA" w:rsidRDefault="00BE7C89">
            <w:pPr>
              <w:pStyle w:val="BodyText"/>
              <w:spacing w:before="100" w:after="100"/>
            </w:pPr>
            <w:r>
              <w:t>Yes</w:t>
            </w:r>
          </w:p>
        </w:tc>
      </w:tr>
      <w:tr w:rsidR="000D07EA" w14:paraId="1BC84D6D" w14:textId="77777777">
        <w:trPr>
          <w:trHeight w:val="247"/>
          <w:jc w:val="center"/>
        </w:trPr>
        <w:tc>
          <w:tcPr>
            <w:tcW w:w="6039" w:type="dxa"/>
          </w:tcPr>
          <w:p w14:paraId="4FEDC9B2" w14:textId="77777777" w:rsidR="000D07EA" w:rsidRDefault="00BE7C89">
            <w:pPr>
              <w:pStyle w:val="BodyText"/>
              <w:spacing w:before="100" w:after="100"/>
            </w:pPr>
            <w:r>
              <w:t>International MMS</w:t>
            </w:r>
          </w:p>
        </w:tc>
        <w:tc>
          <w:tcPr>
            <w:tcW w:w="3157" w:type="dxa"/>
            <w:vAlign w:val="center"/>
          </w:tcPr>
          <w:p w14:paraId="705F86EE" w14:textId="77777777" w:rsidR="000D07EA" w:rsidRDefault="00BE7C89">
            <w:pPr>
              <w:pStyle w:val="BodyText"/>
              <w:spacing w:before="100" w:after="100"/>
            </w:pPr>
            <w:r>
              <w:t>Yes</w:t>
            </w:r>
          </w:p>
        </w:tc>
      </w:tr>
      <w:tr w:rsidR="000D07EA" w14:paraId="72093265" w14:textId="77777777">
        <w:trPr>
          <w:trHeight w:val="247"/>
          <w:jc w:val="center"/>
        </w:trPr>
        <w:tc>
          <w:tcPr>
            <w:tcW w:w="6039" w:type="dxa"/>
          </w:tcPr>
          <w:p w14:paraId="6E4F16E7" w14:textId="77777777" w:rsidR="000D07EA" w:rsidRDefault="00BE7C89">
            <w:pPr>
              <w:pStyle w:val="BodyText"/>
              <w:spacing w:before="100" w:after="100"/>
            </w:pPr>
            <w:r>
              <w:t>International Roaming and Diversion</w:t>
            </w:r>
          </w:p>
        </w:tc>
        <w:tc>
          <w:tcPr>
            <w:tcW w:w="3157" w:type="dxa"/>
            <w:vAlign w:val="center"/>
          </w:tcPr>
          <w:p w14:paraId="6B2E809F" w14:textId="77777777" w:rsidR="000D07EA" w:rsidRDefault="00BE7C89">
            <w:pPr>
              <w:pStyle w:val="BodyText"/>
              <w:spacing w:before="100" w:after="100"/>
            </w:pPr>
            <w:r>
              <w:t>No</w:t>
            </w:r>
          </w:p>
        </w:tc>
      </w:tr>
      <w:tr w:rsidR="000D07EA" w14:paraId="4B46C659" w14:textId="77777777">
        <w:trPr>
          <w:trHeight w:val="247"/>
          <w:jc w:val="center"/>
        </w:trPr>
        <w:tc>
          <w:tcPr>
            <w:tcW w:w="6039" w:type="dxa"/>
          </w:tcPr>
          <w:p w14:paraId="65DF366A" w14:textId="77777777" w:rsidR="000D07EA" w:rsidRDefault="00BE7C89">
            <w:pPr>
              <w:pStyle w:val="BodyText"/>
              <w:spacing w:before="100" w:after="100"/>
            </w:pPr>
            <w:r>
              <w:t>Premium SMS</w:t>
            </w:r>
          </w:p>
        </w:tc>
        <w:tc>
          <w:tcPr>
            <w:tcW w:w="3157" w:type="dxa"/>
            <w:vAlign w:val="center"/>
          </w:tcPr>
          <w:p w14:paraId="3F3765BC" w14:textId="77777777" w:rsidR="000D07EA" w:rsidRDefault="00BE7C89">
            <w:pPr>
              <w:pStyle w:val="BodyText"/>
              <w:spacing w:before="100" w:after="100"/>
            </w:pPr>
            <w:r>
              <w:t>No</w:t>
            </w:r>
          </w:p>
        </w:tc>
      </w:tr>
      <w:tr w:rsidR="000D07EA" w14:paraId="40FEC072" w14:textId="77777777">
        <w:trPr>
          <w:trHeight w:val="247"/>
          <w:jc w:val="center"/>
        </w:trPr>
        <w:tc>
          <w:tcPr>
            <w:tcW w:w="6039" w:type="dxa"/>
          </w:tcPr>
          <w:p w14:paraId="75341121" w14:textId="77777777" w:rsidR="000D07EA" w:rsidRDefault="00BE7C89">
            <w:pPr>
              <w:pStyle w:val="BodyText"/>
              <w:spacing w:before="100" w:after="100"/>
            </w:pPr>
            <w:r>
              <w:t>Premium Video</w:t>
            </w:r>
          </w:p>
        </w:tc>
        <w:tc>
          <w:tcPr>
            <w:tcW w:w="3157" w:type="dxa"/>
            <w:vAlign w:val="center"/>
          </w:tcPr>
          <w:p w14:paraId="69822628" w14:textId="77777777" w:rsidR="000D07EA" w:rsidRDefault="00BE7C89">
            <w:pPr>
              <w:pStyle w:val="BodyText"/>
              <w:spacing w:before="100" w:after="100"/>
            </w:pPr>
            <w:r>
              <w:t>No</w:t>
            </w:r>
          </w:p>
        </w:tc>
      </w:tr>
      <w:tr w:rsidR="000D07EA" w14:paraId="1D2ABA05" w14:textId="77777777">
        <w:trPr>
          <w:trHeight w:val="247"/>
          <w:jc w:val="center"/>
        </w:trPr>
        <w:tc>
          <w:tcPr>
            <w:tcW w:w="6039" w:type="dxa"/>
          </w:tcPr>
          <w:p w14:paraId="0829AF2F" w14:textId="77777777" w:rsidR="000D07EA" w:rsidRDefault="00BE7C89">
            <w:pPr>
              <w:pStyle w:val="BodyText"/>
              <w:spacing w:before="100" w:after="100"/>
            </w:pPr>
            <w:r>
              <w:t>Video Conferencing</w:t>
            </w:r>
          </w:p>
        </w:tc>
        <w:tc>
          <w:tcPr>
            <w:tcW w:w="3157" w:type="dxa"/>
            <w:vAlign w:val="center"/>
          </w:tcPr>
          <w:p w14:paraId="4232426A" w14:textId="77777777" w:rsidR="000D07EA" w:rsidRDefault="00BE7C89">
            <w:pPr>
              <w:pStyle w:val="BodyText"/>
              <w:spacing w:before="100" w:after="100"/>
            </w:pPr>
            <w:r>
              <w:t>No</w:t>
            </w:r>
          </w:p>
        </w:tc>
      </w:tr>
      <w:tr w:rsidR="000D07EA" w14:paraId="5F6EAD46" w14:textId="77777777">
        <w:trPr>
          <w:trHeight w:val="494"/>
          <w:jc w:val="center"/>
        </w:trPr>
        <w:tc>
          <w:tcPr>
            <w:tcW w:w="6039" w:type="dxa"/>
          </w:tcPr>
          <w:p w14:paraId="0B2F1FAC" w14:textId="77777777" w:rsidR="000D07EA" w:rsidRDefault="00BE7C89">
            <w:pPr>
              <w:pStyle w:val="BodyText"/>
              <w:spacing w:before="100" w:after="100"/>
            </w:pPr>
            <w:r>
              <w:t>Data Used while Roaming Internationally</w:t>
            </w:r>
          </w:p>
        </w:tc>
        <w:tc>
          <w:tcPr>
            <w:tcW w:w="3157" w:type="dxa"/>
            <w:vAlign w:val="center"/>
          </w:tcPr>
          <w:p w14:paraId="29DEB266" w14:textId="77777777" w:rsidR="000D07EA" w:rsidRDefault="00BE7C89">
            <w:pPr>
              <w:pStyle w:val="BodyText"/>
              <w:spacing w:before="100" w:after="100"/>
            </w:pPr>
            <w:r>
              <w:t>No</w:t>
            </w:r>
          </w:p>
        </w:tc>
      </w:tr>
      <w:tr w:rsidR="000D07EA" w14:paraId="705CEE81" w14:textId="77777777">
        <w:trPr>
          <w:trHeight w:val="494"/>
          <w:jc w:val="center"/>
        </w:trPr>
        <w:tc>
          <w:tcPr>
            <w:tcW w:w="6039" w:type="dxa"/>
          </w:tcPr>
          <w:p w14:paraId="33FA3571" w14:textId="77777777" w:rsidR="000D07EA" w:rsidRDefault="00BE7C89">
            <w:pPr>
              <w:pStyle w:val="BodyText"/>
              <w:spacing w:before="100" w:after="100"/>
            </w:pPr>
            <w:r>
              <w:t xml:space="preserve">Directory Assistance- 1223 </w:t>
            </w:r>
          </w:p>
        </w:tc>
        <w:tc>
          <w:tcPr>
            <w:tcW w:w="3157" w:type="dxa"/>
            <w:vAlign w:val="center"/>
          </w:tcPr>
          <w:p w14:paraId="20E0EFD1" w14:textId="77777777" w:rsidR="000D07EA" w:rsidRDefault="00BE7C89">
            <w:pPr>
              <w:pStyle w:val="BodyText"/>
              <w:spacing w:before="100" w:after="100"/>
            </w:pPr>
            <w:r>
              <w:t>No</w:t>
            </w:r>
          </w:p>
        </w:tc>
      </w:tr>
      <w:tr w:rsidR="000D07EA" w14:paraId="0EE6394D" w14:textId="77777777">
        <w:trPr>
          <w:trHeight w:val="247"/>
          <w:jc w:val="center"/>
        </w:trPr>
        <w:tc>
          <w:tcPr>
            <w:tcW w:w="6039" w:type="dxa"/>
          </w:tcPr>
          <w:p w14:paraId="3836B2F1" w14:textId="77777777" w:rsidR="000D07EA" w:rsidRDefault="00BE7C89">
            <w:pPr>
              <w:pStyle w:val="BodyText"/>
              <w:spacing w:before="100" w:after="100"/>
            </w:pPr>
            <w:r>
              <w:t>19XX Numbers</w:t>
            </w:r>
          </w:p>
        </w:tc>
        <w:tc>
          <w:tcPr>
            <w:tcW w:w="3157" w:type="dxa"/>
            <w:vAlign w:val="center"/>
          </w:tcPr>
          <w:p w14:paraId="257B8691" w14:textId="77777777" w:rsidR="000D07EA" w:rsidRDefault="00BE7C89">
            <w:pPr>
              <w:pStyle w:val="BodyText"/>
              <w:spacing w:before="100" w:after="100"/>
            </w:pPr>
            <w:r>
              <w:t>No</w:t>
            </w:r>
          </w:p>
        </w:tc>
      </w:tr>
      <w:tr w:rsidR="000D07EA" w14:paraId="71C51F3C" w14:textId="77777777">
        <w:trPr>
          <w:trHeight w:val="262"/>
          <w:jc w:val="center"/>
        </w:trPr>
        <w:tc>
          <w:tcPr>
            <w:tcW w:w="6039" w:type="dxa"/>
          </w:tcPr>
          <w:p w14:paraId="31310389" w14:textId="77777777" w:rsidR="000D07EA" w:rsidRDefault="00BE7C89">
            <w:pPr>
              <w:pStyle w:val="BodyText"/>
              <w:spacing w:before="100" w:after="100"/>
            </w:pPr>
            <w:r>
              <w:t>VOIP services</w:t>
            </w:r>
          </w:p>
        </w:tc>
        <w:tc>
          <w:tcPr>
            <w:tcW w:w="3157" w:type="dxa"/>
            <w:vAlign w:val="center"/>
          </w:tcPr>
          <w:p w14:paraId="406159F7" w14:textId="77777777" w:rsidR="000D07EA" w:rsidRDefault="00BE7C89">
            <w:pPr>
              <w:pStyle w:val="BodyText"/>
              <w:spacing w:before="100" w:after="100"/>
            </w:pPr>
            <w:r>
              <w:t>No</w:t>
            </w:r>
          </w:p>
        </w:tc>
      </w:tr>
      <w:tr w:rsidR="000D07EA" w14:paraId="51F67423" w14:textId="77777777">
        <w:trPr>
          <w:trHeight w:val="262"/>
          <w:jc w:val="center"/>
        </w:trPr>
        <w:tc>
          <w:tcPr>
            <w:tcW w:w="6039" w:type="dxa"/>
          </w:tcPr>
          <w:p w14:paraId="324C3E14" w14:textId="77777777" w:rsidR="000D07EA" w:rsidRDefault="00BE7C89">
            <w:pPr>
              <w:pStyle w:val="BodyText"/>
              <w:spacing w:before="100" w:after="100"/>
            </w:pPr>
            <w:r>
              <w:t>Calls to Satellite phones</w:t>
            </w:r>
          </w:p>
        </w:tc>
        <w:tc>
          <w:tcPr>
            <w:tcW w:w="3157" w:type="dxa"/>
            <w:vAlign w:val="center"/>
          </w:tcPr>
          <w:p w14:paraId="31F653B7" w14:textId="77777777" w:rsidR="000D07EA" w:rsidRDefault="00BE7C89">
            <w:pPr>
              <w:pStyle w:val="BodyText"/>
              <w:spacing w:before="100" w:after="100"/>
            </w:pPr>
            <w:r>
              <w:t>No</w:t>
            </w:r>
          </w:p>
        </w:tc>
      </w:tr>
      <w:tr w:rsidR="000D07EA" w14:paraId="141BF0A8" w14:textId="77777777">
        <w:trPr>
          <w:trHeight w:val="262"/>
          <w:jc w:val="center"/>
        </w:trPr>
        <w:tc>
          <w:tcPr>
            <w:tcW w:w="6039" w:type="dxa"/>
          </w:tcPr>
          <w:p w14:paraId="76D248B0" w14:textId="77777777" w:rsidR="000D07EA" w:rsidRDefault="00BE7C89">
            <w:pPr>
              <w:pStyle w:val="BodyText"/>
              <w:spacing w:before="100" w:after="100"/>
            </w:pPr>
            <w:r>
              <w:t>Surepage</w:t>
            </w:r>
          </w:p>
        </w:tc>
        <w:tc>
          <w:tcPr>
            <w:tcW w:w="3157" w:type="dxa"/>
            <w:vAlign w:val="center"/>
          </w:tcPr>
          <w:p w14:paraId="7C3B904E" w14:textId="77777777" w:rsidR="000D07EA" w:rsidRDefault="00BE7C89">
            <w:pPr>
              <w:pStyle w:val="BodyText"/>
              <w:spacing w:before="100" w:after="100"/>
            </w:pPr>
            <w:r>
              <w:t>No</w:t>
            </w:r>
          </w:p>
        </w:tc>
      </w:tr>
      <w:tr w:rsidR="000D07EA" w14:paraId="37F70D33" w14:textId="77777777">
        <w:trPr>
          <w:trHeight w:val="262"/>
          <w:jc w:val="center"/>
        </w:trPr>
        <w:tc>
          <w:tcPr>
            <w:tcW w:w="6039" w:type="dxa"/>
          </w:tcPr>
          <w:p w14:paraId="0EEC1B4D" w14:textId="77777777" w:rsidR="000D07EA" w:rsidRDefault="00BE7C89">
            <w:pPr>
              <w:pStyle w:val="BodyText"/>
              <w:spacing w:before="100" w:after="100"/>
            </w:pPr>
            <w:r>
              <w:rPr>
                <w:snapToGrid w:val="0"/>
              </w:rPr>
              <w:t>All other call or usage types</w:t>
            </w:r>
          </w:p>
        </w:tc>
        <w:tc>
          <w:tcPr>
            <w:tcW w:w="3157" w:type="dxa"/>
            <w:vAlign w:val="center"/>
          </w:tcPr>
          <w:p w14:paraId="12E00A47" w14:textId="77777777" w:rsidR="000D07EA" w:rsidRDefault="00BE7C89">
            <w:pPr>
              <w:pStyle w:val="BodyText"/>
              <w:spacing w:before="100" w:after="100"/>
            </w:pPr>
            <w:r>
              <w:t>No</w:t>
            </w:r>
          </w:p>
        </w:tc>
      </w:tr>
    </w:tbl>
    <w:p w14:paraId="1BC23B57" w14:textId="77777777" w:rsidR="000D07EA" w:rsidRDefault="000D07EA">
      <w:pPr>
        <w:pStyle w:val="BodyText"/>
      </w:pPr>
    </w:p>
    <w:p w14:paraId="056B3BF8" w14:textId="77777777" w:rsidR="000D07EA" w:rsidRDefault="00BE7C89" w:rsidP="00701E2C">
      <w:pPr>
        <w:pStyle w:val="BodyText"/>
        <w:keepNext/>
        <w:ind w:left="720"/>
        <w:rPr>
          <w:b/>
        </w:rPr>
      </w:pPr>
      <w:r>
        <w:rPr>
          <w:b/>
        </w:rPr>
        <w:t>Table 2A – Charges and inclusions for the Business Timeless Plans (Dec 2012)</w:t>
      </w:r>
    </w:p>
    <w:tbl>
      <w:tblPr>
        <w:tblW w:w="96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2768"/>
        <w:gridCol w:w="2769"/>
      </w:tblGrid>
      <w:tr w:rsidR="000D07EA" w14:paraId="2DE4F8F1" w14:textId="77777777">
        <w:trPr>
          <w:trHeight w:val="63"/>
        </w:trPr>
        <w:tc>
          <w:tcPr>
            <w:tcW w:w="4111" w:type="dxa"/>
            <w:vAlign w:val="center"/>
          </w:tcPr>
          <w:p w14:paraId="7DE857E1" w14:textId="77777777" w:rsidR="000D07EA" w:rsidRDefault="000D07EA" w:rsidP="00701E2C">
            <w:pPr>
              <w:pStyle w:val="BodyText"/>
              <w:keepNext/>
              <w:spacing w:before="100" w:after="100"/>
              <w:rPr>
                <w:b/>
                <w:bCs/>
              </w:rPr>
            </w:pPr>
          </w:p>
        </w:tc>
        <w:tc>
          <w:tcPr>
            <w:tcW w:w="2768" w:type="dxa"/>
            <w:vAlign w:val="center"/>
          </w:tcPr>
          <w:p w14:paraId="55805B2F" w14:textId="77777777" w:rsidR="000D07EA" w:rsidRDefault="00BE7C89" w:rsidP="00701E2C">
            <w:pPr>
              <w:pStyle w:val="BodyText"/>
              <w:keepNext/>
              <w:spacing w:before="100" w:after="100"/>
              <w:jc w:val="center"/>
              <w:rPr>
                <w:b/>
                <w:bCs/>
              </w:rPr>
            </w:pPr>
            <w:r>
              <w:rPr>
                <w:b/>
                <w:bCs/>
              </w:rPr>
              <w:t>$100 Business Timeless Plan / Business Timeless Plan Premium / Business Timeless Plan MRO</w:t>
            </w:r>
          </w:p>
        </w:tc>
        <w:tc>
          <w:tcPr>
            <w:tcW w:w="2769" w:type="dxa"/>
            <w:vAlign w:val="center"/>
          </w:tcPr>
          <w:p w14:paraId="3836EB13" w14:textId="77777777" w:rsidR="000D07EA" w:rsidRDefault="00BE7C89" w:rsidP="00701E2C">
            <w:pPr>
              <w:pStyle w:val="BodyText"/>
              <w:keepNext/>
              <w:spacing w:before="100" w:after="100"/>
              <w:jc w:val="center"/>
              <w:rPr>
                <w:b/>
                <w:bCs/>
              </w:rPr>
            </w:pPr>
            <w:r>
              <w:rPr>
                <w:b/>
                <w:bCs/>
              </w:rPr>
              <w:t>$130 Business Timeless Plan / Business Timeless Plan Premium / Business Timeless Plan MRO</w:t>
            </w:r>
          </w:p>
        </w:tc>
      </w:tr>
      <w:tr w:rsidR="000D07EA" w14:paraId="1744C5AE" w14:textId="77777777">
        <w:trPr>
          <w:trHeight w:val="63"/>
        </w:trPr>
        <w:tc>
          <w:tcPr>
            <w:tcW w:w="4111" w:type="dxa"/>
            <w:vAlign w:val="center"/>
          </w:tcPr>
          <w:p w14:paraId="442F0281" w14:textId="77777777" w:rsidR="000D07EA" w:rsidRDefault="00BE7C89">
            <w:pPr>
              <w:pStyle w:val="BodyText"/>
              <w:spacing w:before="100" w:after="100"/>
              <w:rPr>
                <w:b/>
                <w:bCs/>
              </w:rPr>
            </w:pPr>
            <w:r>
              <w:rPr>
                <w:b/>
                <w:bCs/>
              </w:rPr>
              <w:t>Minimum Monthly charge</w:t>
            </w:r>
          </w:p>
        </w:tc>
        <w:tc>
          <w:tcPr>
            <w:tcW w:w="2768" w:type="dxa"/>
            <w:vAlign w:val="center"/>
          </w:tcPr>
          <w:p w14:paraId="5A7FD73E" w14:textId="77777777" w:rsidR="000D07EA" w:rsidRDefault="00BE7C89">
            <w:pPr>
              <w:pStyle w:val="BodyText"/>
              <w:spacing w:before="100" w:after="100"/>
              <w:jc w:val="center"/>
            </w:pPr>
            <w:r>
              <w:t>$100</w:t>
            </w:r>
          </w:p>
        </w:tc>
        <w:tc>
          <w:tcPr>
            <w:tcW w:w="2769" w:type="dxa"/>
            <w:vAlign w:val="center"/>
          </w:tcPr>
          <w:p w14:paraId="75715131" w14:textId="77777777" w:rsidR="000D07EA" w:rsidRDefault="00BE7C89">
            <w:pPr>
              <w:pStyle w:val="BodyText"/>
              <w:spacing w:before="100" w:after="100"/>
              <w:jc w:val="center"/>
            </w:pPr>
            <w:r>
              <w:t>$130</w:t>
            </w:r>
          </w:p>
        </w:tc>
      </w:tr>
      <w:tr w:rsidR="000D07EA" w14:paraId="3F041DD6" w14:textId="77777777">
        <w:trPr>
          <w:trHeight w:val="63"/>
        </w:trPr>
        <w:tc>
          <w:tcPr>
            <w:tcW w:w="4111" w:type="dxa"/>
            <w:vAlign w:val="center"/>
          </w:tcPr>
          <w:p w14:paraId="446067DF" w14:textId="77777777" w:rsidR="000D07EA" w:rsidRDefault="00BE7C89">
            <w:pPr>
              <w:pStyle w:val="BodyText"/>
              <w:spacing w:before="100" w:after="100"/>
              <w:rPr>
                <w:b/>
                <w:bCs/>
              </w:rPr>
            </w:pPr>
            <w:r>
              <w:rPr>
                <w:b/>
                <w:bCs/>
              </w:rPr>
              <w:lastRenderedPageBreak/>
              <w:t xml:space="preserve">Standard local &amp; national voice calls to Australian fixed lines </w:t>
            </w:r>
          </w:p>
        </w:tc>
        <w:tc>
          <w:tcPr>
            <w:tcW w:w="2768" w:type="dxa"/>
            <w:vAlign w:val="center"/>
          </w:tcPr>
          <w:p w14:paraId="417DB0AD" w14:textId="77777777" w:rsidR="000D07EA" w:rsidRDefault="00BE7C89">
            <w:pPr>
              <w:pStyle w:val="BodyText"/>
              <w:spacing w:before="100" w:after="100"/>
              <w:jc w:val="center"/>
            </w:pPr>
            <w:r>
              <w:t>Unlimited</w:t>
            </w:r>
          </w:p>
        </w:tc>
        <w:tc>
          <w:tcPr>
            <w:tcW w:w="2769" w:type="dxa"/>
            <w:vAlign w:val="center"/>
          </w:tcPr>
          <w:p w14:paraId="0DEFAE73" w14:textId="77777777" w:rsidR="000D07EA" w:rsidRDefault="00BE7C89">
            <w:pPr>
              <w:pStyle w:val="BodyText"/>
              <w:spacing w:before="100" w:after="100"/>
              <w:jc w:val="center"/>
            </w:pPr>
            <w:r>
              <w:t>Unlimited</w:t>
            </w:r>
          </w:p>
        </w:tc>
      </w:tr>
      <w:tr w:rsidR="000D07EA" w14:paraId="0E20963D" w14:textId="77777777">
        <w:trPr>
          <w:trHeight w:val="63"/>
        </w:trPr>
        <w:tc>
          <w:tcPr>
            <w:tcW w:w="4111" w:type="dxa"/>
            <w:vAlign w:val="center"/>
          </w:tcPr>
          <w:p w14:paraId="1BF96D17" w14:textId="77777777" w:rsidR="000D07EA" w:rsidRDefault="00BE7C89">
            <w:pPr>
              <w:pStyle w:val="BodyText"/>
              <w:spacing w:before="100" w:after="100"/>
              <w:rPr>
                <w:b/>
                <w:bCs/>
              </w:rPr>
            </w:pPr>
            <w:r>
              <w:rPr>
                <w:b/>
                <w:bCs/>
              </w:rPr>
              <w:t xml:space="preserve">Standard voice calls to Australian mobiles </w:t>
            </w:r>
          </w:p>
        </w:tc>
        <w:tc>
          <w:tcPr>
            <w:tcW w:w="2768" w:type="dxa"/>
            <w:vAlign w:val="center"/>
          </w:tcPr>
          <w:p w14:paraId="4ADAD6BC" w14:textId="77777777" w:rsidR="000D07EA" w:rsidRDefault="00BE7C89">
            <w:pPr>
              <w:pStyle w:val="BodyText"/>
              <w:spacing w:before="100" w:after="100"/>
              <w:jc w:val="center"/>
            </w:pPr>
            <w:r>
              <w:t>Unlimited</w:t>
            </w:r>
          </w:p>
        </w:tc>
        <w:tc>
          <w:tcPr>
            <w:tcW w:w="2769" w:type="dxa"/>
            <w:vAlign w:val="center"/>
          </w:tcPr>
          <w:p w14:paraId="486CB9CC" w14:textId="77777777" w:rsidR="000D07EA" w:rsidRDefault="00BE7C89">
            <w:pPr>
              <w:pStyle w:val="BodyText"/>
              <w:spacing w:before="100" w:after="100"/>
              <w:jc w:val="center"/>
            </w:pPr>
            <w:r>
              <w:t>Unlimited</w:t>
            </w:r>
          </w:p>
        </w:tc>
      </w:tr>
      <w:tr w:rsidR="000D07EA" w14:paraId="75C12C51" w14:textId="77777777">
        <w:trPr>
          <w:trHeight w:val="63"/>
        </w:trPr>
        <w:tc>
          <w:tcPr>
            <w:tcW w:w="4111" w:type="dxa"/>
            <w:vAlign w:val="center"/>
          </w:tcPr>
          <w:p w14:paraId="13304E72" w14:textId="77777777" w:rsidR="000D07EA" w:rsidRDefault="00BE7C89">
            <w:pPr>
              <w:pStyle w:val="BodyText"/>
              <w:spacing w:before="100" w:after="100"/>
              <w:rPr>
                <w:b/>
                <w:bCs/>
              </w:rPr>
            </w:pPr>
            <w:r>
              <w:rPr>
                <w:b/>
                <w:bCs/>
              </w:rPr>
              <w:t xml:space="preserve">Standard national SMS </w:t>
            </w:r>
          </w:p>
        </w:tc>
        <w:tc>
          <w:tcPr>
            <w:tcW w:w="2768" w:type="dxa"/>
            <w:vAlign w:val="center"/>
          </w:tcPr>
          <w:p w14:paraId="3F3E2C4D" w14:textId="77777777" w:rsidR="000D07EA" w:rsidRDefault="00BE7C89">
            <w:pPr>
              <w:pStyle w:val="BodyText"/>
              <w:spacing w:before="100" w:after="100"/>
              <w:jc w:val="center"/>
            </w:pPr>
            <w:r>
              <w:t>Unlimited</w:t>
            </w:r>
          </w:p>
        </w:tc>
        <w:tc>
          <w:tcPr>
            <w:tcW w:w="2769" w:type="dxa"/>
            <w:vAlign w:val="center"/>
          </w:tcPr>
          <w:p w14:paraId="4F366B5A" w14:textId="77777777" w:rsidR="000D07EA" w:rsidRDefault="00BE7C89">
            <w:pPr>
              <w:pStyle w:val="BodyText"/>
              <w:spacing w:before="100" w:after="100"/>
              <w:jc w:val="center"/>
            </w:pPr>
            <w:r>
              <w:t>Unlimited</w:t>
            </w:r>
          </w:p>
        </w:tc>
      </w:tr>
      <w:tr w:rsidR="000D07EA" w14:paraId="0C3A120E" w14:textId="77777777">
        <w:trPr>
          <w:trHeight w:val="63"/>
        </w:trPr>
        <w:tc>
          <w:tcPr>
            <w:tcW w:w="4111" w:type="dxa"/>
            <w:vAlign w:val="center"/>
          </w:tcPr>
          <w:p w14:paraId="0ECE0A5A" w14:textId="77777777" w:rsidR="000D07EA" w:rsidRDefault="00BE7C89">
            <w:pPr>
              <w:pStyle w:val="BodyText"/>
              <w:spacing w:before="100" w:after="100"/>
              <w:rPr>
                <w:b/>
                <w:bCs/>
              </w:rPr>
            </w:pPr>
            <w:r>
              <w:rPr>
                <w:b/>
                <w:bCs/>
              </w:rPr>
              <w:t xml:space="preserve">Standard national MMS </w:t>
            </w:r>
          </w:p>
        </w:tc>
        <w:tc>
          <w:tcPr>
            <w:tcW w:w="2768" w:type="dxa"/>
            <w:vAlign w:val="center"/>
          </w:tcPr>
          <w:p w14:paraId="116FD9F7" w14:textId="77777777" w:rsidR="000D07EA" w:rsidRDefault="00BE7C89">
            <w:pPr>
              <w:pStyle w:val="BodyText"/>
              <w:spacing w:before="100" w:after="100"/>
              <w:jc w:val="center"/>
            </w:pPr>
            <w:r>
              <w:t>Unlimited</w:t>
            </w:r>
          </w:p>
        </w:tc>
        <w:tc>
          <w:tcPr>
            <w:tcW w:w="2769" w:type="dxa"/>
            <w:vAlign w:val="center"/>
          </w:tcPr>
          <w:p w14:paraId="0B09A636" w14:textId="77777777" w:rsidR="000D07EA" w:rsidRDefault="00BE7C89">
            <w:pPr>
              <w:pStyle w:val="BodyText"/>
              <w:spacing w:before="100" w:after="100"/>
              <w:jc w:val="center"/>
            </w:pPr>
            <w:r>
              <w:t>Unlimited</w:t>
            </w:r>
          </w:p>
        </w:tc>
      </w:tr>
      <w:tr w:rsidR="000D07EA" w14:paraId="7BCC5E9A" w14:textId="77777777">
        <w:trPr>
          <w:trHeight w:val="63"/>
        </w:trPr>
        <w:tc>
          <w:tcPr>
            <w:tcW w:w="4111" w:type="dxa"/>
            <w:vAlign w:val="center"/>
          </w:tcPr>
          <w:p w14:paraId="2AD34B8D" w14:textId="77777777" w:rsidR="000D07EA" w:rsidRDefault="00BE7C89">
            <w:pPr>
              <w:pStyle w:val="BodyText"/>
              <w:spacing w:before="100" w:after="100"/>
              <w:rPr>
                <w:b/>
                <w:bCs/>
              </w:rPr>
            </w:pPr>
            <w:r>
              <w:rPr>
                <w:b/>
                <w:bCs/>
              </w:rPr>
              <w:t>Voicemail</w:t>
            </w:r>
          </w:p>
        </w:tc>
        <w:tc>
          <w:tcPr>
            <w:tcW w:w="2768" w:type="dxa"/>
            <w:vAlign w:val="center"/>
          </w:tcPr>
          <w:p w14:paraId="07061700" w14:textId="77777777" w:rsidR="000D07EA" w:rsidRDefault="00BE7C89">
            <w:pPr>
              <w:pStyle w:val="BodyText"/>
              <w:spacing w:before="100" w:after="100"/>
              <w:jc w:val="center"/>
            </w:pPr>
            <w:r>
              <w:t>Unlimited</w:t>
            </w:r>
          </w:p>
        </w:tc>
        <w:tc>
          <w:tcPr>
            <w:tcW w:w="2769" w:type="dxa"/>
            <w:vAlign w:val="center"/>
          </w:tcPr>
          <w:p w14:paraId="0FAD0603" w14:textId="77777777" w:rsidR="000D07EA" w:rsidRDefault="00BE7C89">
            <w:pPr>
              <w:pStyle w:val="BodyText"/>
              <w:spacing w:before="100" w:after="100"/>
              <w:jc w:val="center"/>
            </w:pPr>
            <w:r>
              <w:t>Unlimited</w:t>
            </w:r>
          </w:p>
        </w:tc>
      </w:tr>
      <w:tr w:rsidR="000D07EA" w14:paraId="52FC6B85" w14:textId="77777777">
        <w:trPr>
          <w:trHeight w:val="63"/>
        </w:trPr>
        <w:tc>
          <w:tcPr>
            <w:tcW w:w="4111" w:type="dxa"/>
            <w:vAlign w:val="center"/>
          </w:tcPr>
          <w:p w14:paraId="6A563F04" w14:textId="77777777" w:rsidR="000D07EA" w:rsidRDefault="00BE7C89">
            <w:pPr>
              <w:pStyle w:val="BodyText"/>
              <w:spacing w:before="100" w:after="100"/>
              <w:rPr>
                <w:b/>
                <w:bCs/>
                <w:iCs/>
              </w:rPr>
            </w:pPr>
            <w:r>
              <w:rPr>
                <w:b/>
                <w:bCs/>
                <w:iCs/>
              </w:rPr>
              <w:t xml:space="preserve">Calls to 13/1300/1800 Numbers </w:t>
            </w:r>
          </w:p>
        </w:tc>
        <w:tc>
          <w:tcPr>
            <w:tcW w:w="2768" w:type="dxa"/>
            <w:vAlign w:val="center"/>
          </w:tcPr>
          <w:p w14:paraId="09BC6D13" w14:textId="77777777" w:rsidR="000D07EA" w:rsidRDefault="00BE7C89">
            <w:pPr>
              <w:pStyle w:val="BodyText"/>
              <w:spacing w:before="100" w:after="100"/>
              <w:jc w:val="center"/>
            </w:pPr>
            <w:r>
              <w:t>Unlimited</w:t>
            </w:r>
          </w:p>
        </w:tc>
        <w:tc>
          <w:tcPr>
            <w:tcW w:w="2769" w:type="dxa"/>
            <w:vAlign w:val="center"/>
          </w:tcPr>
          <w:p w14:paraId="1CB1259B" w14:textId="77777777" w:rsidR="000D07EA" w:rsidRDefault="00BE7C89">
            <w:pPr>
              <w:pStyle w:val="BodyText"/>
              <w:spacing w:before="100" w:after="100"/>
              <w:jc w:val="center"/>
            </w:pPr>
            <w:r>
              <w:t>Unlimited</w:t>
            </w:r>
          </w:p>
        </w:tc>
      </w:tr>
      <w:tr w:rsidR="000D07EA" w14:paraId="66EF9486" w14:textId="77777777">
        <w:trPr>
          <w:trHeight w:val="63"/>
        </w:trPr>
        <w:tc>
          <w:tcPr>
            <w:tcW w:w="4111" w:type="dxa"/>
          </w:tcPr>
          <w:p w14:paraId="38B5C0B5" w14:textId="77777777" w:rsidR="000D07EA" w:rsidRDefault="00BE7C89">
            <w:pPr>
              <w:pStyle w:val="BodyText"/>
              <w:spacing w:before="100" w:after="100"/>
              <w:rPr>
                <w:b/>
                <w:bCs/>
                <w:iCs/>
              </w:rPr>
            </w:pPr>
            <w:r>
              <w:rPr>
                <w:rFonts w:eastAsia="Calibri"/>
                <w:b/>
                <w:bCs/>
              </w:rPr>
              <w:t xml:space="preserve">National Video Calling </w:t>
            </w:r>
            <w:r>
              <w:rPr>
                <w:rFonts w:eastAsia="Calibri"/>
              </w:rPr>
              <w:t>(per minute)</w:t>
            </w:r>
          </w:p>
        </w:tc>
        <w:tc>
          <w:tcPr>
            <w:tcW w:w="2768" w:type="dxa"/>
            <w:vAlign w:val="center"/>
          </w:tcPr>
          <w:p w14:paraId="2FAEAF1B" w14:textId="77777777" w:rsidR="000D07EA" w:rsidRDefault="00BE7C89">
            <w:pPr>
              <w:pStyle w:val="BodyText"/>
              <w:spacing w:before="100" w:after="100"/>
              <w:jc w:val="center"/>
            </w:pPr>
            <w:r>
              <w:rPr>
                <w:rFonts w:eastAsia="Calibri"/>
              </w:rPr>
              <w:t>$1.00 + 40c flagfall</w:t>
            </w:r>
          </w:p>
        </w:tc>
        <w:tc>
          <w:tcPr>
            <w:tcW w:w="2769" w:type="dxa"/>
            <w:vAlign w:val="center"/>
          </w:tcPr>
          <w:p w14:paraId="5B805FFF" w14:textId="77777777" w:rsidR="000D07EA" w:rsidRDefault="00BE7C89">
            <w:pPr>
              <w:pStyle w:val="BodyText"/>
              <w:spacing w:before="100" w:after="100"/>
              <w:jc w:val="center"/>
            </w:pPr>
            <w:r>
              <w:rPr>
                <w:rFonts w:eastAsia="Calibri"/>
              </w:rPr>
              <w:t>$1.00+ 40c flagfall</w:t>
            </w:r>
          </w:p>
        </w:tc>
      </w:tr>
      <w:tr w:rsidR="000D07EA" w14:paraId="074D929E" w14:textId="77777777">
        <w:trPr>
          <w:trHeight w:val="63"/>
        </w:trPr>
        <w:tc>
          <w:tcPr>
            <w:tcW w:w="4111" w:type="dxa"/>
            <w:vAlign w:val="center"/>
          </w:tcPr>
          <w:p w14:paraId="1021BF2F" w14:textId="77777777" w:rsidR="000D07EA" w:rsidRDefault="00BE7C89">
            <w:pPr>
              <w:pStyle w:val="BodyText"/>
              <w:spacing w:before="100" w:after="100"/>
              <w:rPr>
                <w:b/>
                <w:bCs/>
              </w:rPr>
            </w:pPr>
            <w:r>
              <w:rPr>
                <w:b/>
                <w:bCs/>
              </w:rPr>
              <w:t>International Video call charges</w:t>
            </w:r>
            <w:r>
              <w:t xml:space="preserve"> (per minute)</w:t>
            </w:r>
          </w:p>
        </w:tc>
        <w:tc>
          <w:tcPr>
            <w:tcW w:w="2768" w:type="dxa"/>
            <w:vAlign w:val="center"/>
          </w:tcPr>
          <w:p w14:paraId="79B03421" w14:textId="77777777" w:rsidR="000D07EA" w:rsidRDefault="00BE7C89">
            <w:pPr>
              <w:pStyle w:val="BodyText"/>
              <w:spacing w:before="100" w:after="100"/>
              <w:jc w:val="center"/>
              <w:rPr>
                <w:lang w:val="sv-SE"/>
              </w:rPr>
            </w:pPr>
            <w:r>
              <w:rPr>
                <w:lang w:val="sv-SE"/>
              </w:rPr>
              <w:t>$1.50 per min plus 35c flagfall</w:t>
            </w:r>
          </w:p>
        </w:tc>
        <w:tc>
          <w:tcPr>
            <w:tcW w:w="2769" w:type="dxa"/>
            <w:vAlign w:val="center"/>
          </w:tcPr>
          <w:p w14:paraId="77CCCFD2" w14:textId="77777777" w:rsidR="000D07EA" w:rsidRDefault="00BE7C89">
            <w:pPr>
              <w:pStyle w:val="BodyText"/>
              <w:spacing w:before="100" w:after="100"/>
              <w:jc w:val="center"/>
              <w:rPr>
                <w:lang w:val="sv-SE"/>
              </w:rPr>
            </w:pPr>
            <w:r>
              <w:rPr>
                <w:lang w:val="sv-SE"/>
              </w:rPr>
              <w:t>$1.50 per min plus 35c flagfall</w:t>
            </w:r>
          </w:p>
        </w:tc>
      </w:tr>
      <w:tr w:rsidR="000D07EA" w14:paraId="40320443" w14:textId="77777777">
        <w:trPr>
          <w:trHeight w:val="63"/>
        </w:trPr>
        <w:tc>
          <w:tcPr>
            <w:tcW w:w="4111" w:type="dxa"/>
            <w:vAlign w:val="center"/>
          </w:tcPr>
          <w:p w14:paraId="45FE7D75" w14:textId="77777777" w:rsidR="000D07EA" w:rsidRDefault="00BE7C89">
            <w:pPr>
              <w:pStyle w:val="BodyText"/>
              <w:spacing w:before="100" w:after="100"/>
              <w:rPr>
                <w:b/>
                <w:bCs/>
              </w:rPr>
            </w:pPr>
            <w:r>
              <w:rPr>
                <w:b/>
                <w:bCs/>
              </w:rPr>
              <w:t>International SMS (</w:t>
            </w:r>
            <w:r>
              <w:rPr>
                <w:rFonts w:eastAsia="Calibri"/>
              </w:rPr>
              <w:t>per SMS of up to 160 standard characters^</w:t>
            </w:r>
            <w:r>
              <w:rPr>
                <w:b/>
                <w:bCs/>
              </w:rPr>
              <w:t>)</w:t>
            </w:r>
          </w:p>
        </w:tc>
        <w:tc>
          <w:tcPr>
            <w:tcW w:w="2768" w:type="dxa"/>
            <w:vAlign w:val="center"/>
          </w:tcPr>
          <w:p w14:paraId="4F1FC4F9" w14:textId="77777777" w:rsidR="000D07EA" w:rsidRDefault="00BE7C89">
            <w:pPr>
              <w:pStyle w:val="BodyText"/>
              <w:spacing w:before="100" w:after="100"/>
              <w:jc w:val="center"/>
            </w:pPr>
            <w:r>
              <w:t>50c</w:t>
            </w:r>
          </w:p>
        </w:tc>
        <w:tc>
          <w:tcPr>
            <w:tcW w:w="2769" w:type="dxa"/>
            <w:vAlign w:val="center"/>
          </w:tcPr>
          <w:p w14:paraId="10D46BA3" w14:textId="77777777" w:rsidR="000D07EA" w:rsidRDefault="00BE7C89">
            <w:pPr>
              <w:pStyle w:val="BodyText"/>
              <w:spacing w:before="100" w:after="100"/>
              <w:jc w:val="center"/>
            </w:pPr>
            <w:r>
              <w:t>50c</w:t>
            </w:r>
          </w:p>
        </w:tc>
      </w:tr>
      <w:tr w:rsidR="000D07EA" w14:paraId="21F996B6" w14:textId="77777777">
        <w:trPr>
          <w:trHeight w:val="63"/>
        </w:trPr>
        <w:tc>
          <w:tcPr>
            <w:tcW w:w="4111" w:type="dxa"/>
            <w:vAlign w:val="center"/>
          </w:tcPr>
          <w:p w14:paraId="59DA5315" w14:textId="77777777" w:rsidR="000D07EA" w:rsidRDefault="00BE7C89">
            <w:pPr>
              <w:pStyle w:val="BodyText"/>
              <w:spacing w:before="100" w:after="100"/>
              <w:rPr>
                <w:b/>
                <w:bCs/>
              </w:rPr>
            </w:pPr>
            <w:r>
              <w:rPr>
                <w:b/>
                <w:bCs/>
              </w:rPr>
              <w:t>International MMS (per message)</w:t>
            </w:r>
          </w:p>
        </w:tc>
        <w:tc>
          <w:tcPr>
            <w:tcW w:w="2768" w:type="dxa"/>
            <w:vAlign w:val="center"/>
          </w:tcPr>
          <w:p w14:paraId="27B2372E" w14:textId="77777777" w:rsidR="000D07EA" w:rsidRDefault="00BE7C89">
            <w:pPr>
              <w:pStyle w:val="BodyText"/>
              <w:spacing w:before="100" w:after="100"/>
              <w:jc w:val="center"/>
            </w:pPr>
            <w:r>
              <w:t>75c</w:t>
            </w:r>
          </w:p>
        </w:tc>
        <w:tc>
          <w:tcPr>
            <w:tcW w:w="2769" w:type="dxa"/>
            <w:vAlign w:val="center"/>
          </w:tcPr>
          <w:p w14:paraId="7AFB9E6C" w14:textId="77777777" w:rsidR="000D07EA" w:rsidRDefault="00BE7C89">
            <w:pPr>
              <w:pStyle w:val="BodyText"/>
              <w:spacing w:before="100" w:after="100"/>
              <w:jc w:val="center"/>
            </w:pPr>
            <w:r>
              <w:t>75c</w:t>
            </w:r>
          </w:p>
        </w:tc>
      </w:tr>
      <w:tr w:rsidR="000D07EA" w14:paraId="1EEB6C27" w14:textId="77777777">
        <w:trPr>
          <w:trHeight w:val="63"/>
        </w:trPr>
        <w:tc>
          <w:tcPr>
            <w:tcW w:w="4111" w:type="dxa"/>
            <w:vAlign w:val="center"/>
          </w:tcPr>
          <w:p w14:paraId="7F179928" w14:textId="77777777" w:rsidR="000D07EA" w:rsidRDefault="00BE7C89">
            <w:pPr>
              <w:pStyle w:val="BodyText"/>
              <w:spacing w:before="100" w:after="100"/>
              <w:rPr>
                <w:b/>
                <w:bCs/>
              </w:rPr>
            </w:pPr>
            <w:r>
              <w:rPr>
                <w:b/>
                <w:bCs/>
              </w:rPr>
              <w:t>Included International Value</w:t>
            </w:r>
          </w:p>
        </w:tc>
        <w:tc>
          <w:tcPr>
            <w:tcW w:w="2768" w:type="dxa"/>
            <w:vAlign w:val="center"/>
          </w:tcPr>
          <w:p w14:paraId="475B99F4" w14:textId="77777777" w:rsidR="000D07EA" w:rsidRDefault="00BE7C89">
            <w:pPr>
              <w:pStyle w:val="BodyText"/>
              <w:spacing w:before="100" w:after="100"/>
              <w:jc w:val="center"/>
            </w:pPr>
            <w:r>
              <w:t>$0</w:t>
            </w:r>
          </w:p>
        </w:tc>
        <w:tc>
          <w:tcPr>
            <w:tcW w:w="2769" w:type="dxa"/>
            <w:vAlign w:val="center"/>
          </w:tcPr>
          <w:p w14:paraId="202DFA63" w14:textId="77777777" w:rsidR="000D07EA" w:rsidRDefault="00BE7C89">
            <w:pPr>
              <w:pStyle w:val="BodyText"/>
              <w:spacing w:before="100" w:after="100"/>
              <w:jc w:val="center"/>
            </w:pPr>
            <w:r>
              <w:t>$100</w:t>
            </w:r>
          </w:p>
        </w:tc>
      </w:tr>
      <w:tr w:rsidR="000D07EA" w14:paraId="59D32A06" w14:textId="77777777">
        <w:trPr>
          <w:cantSplit/>
          <w:trHeight w:val="63"/>
        </w:trPr>
        <w:tc>
          <w:tcPr>
            <w:tcW w:w="4111" w:type="dxa"/>
            <w:vAlign w:val="center"/>
          </w:tcPr>
          <w:p w14:paraId="48A0D2E2" w14:textId="77777777" w:rsidR="000D07EA" w:rsidRDefault="00BE7C89">
            <w:pPr>
              <w:pStyle w:val="BodyText"/>
              <w:spacing w:before="100" w:after="100"/>
              <w:rPr>
                <w:b/>
                <w:bCs/>
              </w:rPr>
            </w:pPr>
            <w:r>
              <w:rPr>
                <w:b/>
                <w:bCs/>
              </w:rPr>
              <w:t>International Rates</w:t>
            </w:r>
          </w:p>
        </w:tc>
        <w:tc>
          <w:tcPr>
            <w:tcW w:w="5537" w:type="dxa"/>
            <w:gridSpan w:val="2"/>
          </w:tcPr>
          <w:p w14:paraId="5CC70337" w14:textId="77777777" w:rsidR="000D07EA" w:rsidRDefault="00BE7C89">
            <w:pPr>
              <w:pStyle w:val="BodyText"/>
              <w:spacing w:before="100" w:after="100"/>
              <w:jc w:val="center"/>
            </w:pPr>
            <w:r>
              <w:t xml:space="preserve">'yes' Business International Call Rates (see </w:t>
            </w:r>
            <w:hyperlink r:id="rId541" w:history="1">
              <w:r>
                <w:rPr>
                  <w:rStyle w:val="Hyperlink"/>
                  <w:i/>
                </w:rPr>
                <w:t>Appendix J</w:t>
              </w:r>
            </w:hyperlink>
            <w:r>
              <w:t>)</w:t>
            </w:r>
          </w:p>
        </w:tc>
      </w:tr>
      <w:tr w:rsidR="000D07EA" w14:paraId="389E2E87" w14:textId="77777777">
        <w:trPr>
          <w:cantSplit/>
          <w:trHeight w:val="63"/>
        </w:trPr>
        <w:tc>
          <w:tcPr>
            <w:tcW w:w="4111" w:type="dxa"/>
            <w:vAlign w:val="center"/>
          </w:tcPr>
          <w:p w14:paraId="1500083E" w14:textId="77777777" w:rsidR="000D07EA" w:rsidRDefault="00BE7C89">
            <w:pPr>
              <w:pStyle w:val="BodyText"/>
              <w:spacing w:before="100" w:after="100"/>
              <w:rPr>
                <w:b/>
                <w:bCs/>
              </w:rPr>
            </w:pPr>
            <w:r>
              <w:rPr>
                <w:b/>
                <w:bCs/>
              </w:rPr>
              <w:t xml:space="preserve">Monthly Included Data </w:t>
            </w:r>
          </w:p>
        </w:tc>
        <w:tc>
          <w:tcPr>
            <w:tcW w:w="2768" w:type="dxa"/>
            <w:vAlign w:val="center"/>
          </w:tcPr>
          <w:p w14:paraId="3D48E0C1" w14:textId="77777777" w:rsidR="000D07EA" w:rsidRDefault="00BE7C89">
            <w:pPr>
              <w:pStyle w:val="BodyText"/>
              <w:spacing w:before="100" w:after="100"/>
              <w:jc w:val="center"/>
            </w:pPr>
            <w:r>
              <w:t>3GB</w:t>
            </w:r>
          </w:p>
        </w:tc>
        <w:tc>
          <w:tcPr>
            <w:tcW w:w="2769" w:type="dxa"/>
            <w:vAlign w:val="center"/>
          </w:tcPr>
          <w:p w14:paraId="2FE328BA" w14:textId="77777777" w:rsidR="000D07EA" w:rsidRDefault="00BE7C89">
            <w:pPr>
              <w:pStyle w:val="BodyText"/>
              <w:spacing w:before="100" w:after="100"/>
              <w:jc w:val="center"/>
              <w:rPr>
                <w:rFonts w:cs="Arial"/>
              </w:rPr>
            </w:pPr>
            <w:r>
              <w:t>4GB</w:t>
            </w:r>
          </w:p>
        </w:tc>
      </w:tr>
      <w:tr w:rsidR="000D07EA" w14:paraId="3924F36F" w14:textId="77777777">
        <w:trPr>
          <w:cantSplit/>
          <w:trHeight w:val="63"/>
        </w:trPr>
        <w:tc>
          <w:tcPr>
            <w:tcW w:w="4111" w:type="dxa"/>
            <w:vAlign w:val="center"/>
          </w:tcPr>
          <w:p w14:paraId="276BCB69" w14:textId="77777777" w:rsidR="000D07EA" w:rsidRDefault="00BE7C89">
            <w:pPr>
              <w:pStyle w:val="BodyText"/>
              <w:spacing w:before="100" w:after="100"/>
              <w:rPr>
                <w:b/>
                <w:bCs/>
                <w:iCs/>
              </w:rPr>
            </w:pPr>
            <w:r>
              <w:rPr>
                <w:b/>
                <w:bCs/>
              </w:rPr>
              <w:t>Unlimited BlackBerry POP3 Email and Browsing (for customers with a Blackberry using an operating system version 7.1 or earlier)</w:t>
            </w:r>
          </w:p>
        </w:tc>
        <w:tc>
          <w:tcPr>
            <w:tcW w:w="2768" w:type="dxa"/>
            <w:vAlign w:val="center"/>
          </w:tcPr>
          <w:p w14:paraId="6D6730DE" w14:textId="77777777" w:rsidR="000D07EA" w:rsidRDefault="00BE7C89">
            <w:pPr>
              <w:pStyle w:val="BodyText"/>
              <w:spacing w:before="100" w:after="100"/>
              <w:jc w:val="center"/>
            </w:pPr>
            <w:r>
              <w:t>Yes</w:t>
            </w:r>
          </w:p>
        </w:tc>
        <w:tc>
          <w:tcPr>
            <w:tcW w:w="2769" w:type="dxa"/>
            <w:vAlign w:val="center"/>
          </w:tcPr>
          <w:p w14:paraId="2ACA978E" w14:textId="77777777" w:rsidR="000D07EA" w:rsidRDefault="00BE7C89">
            <w:pPr>
              <w:pStyle w:val="BodyText"/>
              <w:spacing w:before="100" w:after="100"/>
              <w:jc w:val="center"/>
            </w:pPr>
            <w:r>
              <w:t>Yes</w:t>
            </w:r>
          </w:p>
        </w:tc>
      </w:tr>
      <w:tr w:rsidR="000D07EA" w14:paraId="09D14A69" w14:textId="77777777">
        <w:trPr>
          <w:cantSplit/>
          <w:trHeight w:val="63"/>
        </w:trPr>
        <w:tc>
          <w:tcPr>
            <w:tcW w:w="4111" w:type="dxa"/>
            <w:vAlign w:val="center"/>
          </w:tcPr>
          <w:p w14:paraId="599BC2CA" w14:textId="77777777" w:rsidR="000D07EA" w:rsidRDefault="00BE7C89">
            <w:pPr>
              <w:pStyle w:val="BodyText"/>
              <w:spacing w:before="100" w:after="100"/>
              <w:rPr>
                <w:b/>
                <w:bCs/>
              </w:rPr>
            </w:pPr>
            <w:r>
              <w:rPr>
                <w:b/>
                <w:bCs/>
                <w:iCs/>
              </w:rPr>
              <w:t xml:space="preserve">Handset Credit (Business Timeless Plan MRO only) </w:t>
            </w:r>
            <w:r>
              <w:rPr>
                <w:bCs/>
                <w:iCs/>
              </w:rPr>
              <w:t>(per month)</w:t>
            </w:r>
          </w:p>
        </w:tc>
        <w:tc>
          <w:tcPr>
            <w:tcW w:w="2768" w:type="dxa"/>
            <w:vAlign w:val="center"/>
          </w:tcPr>
          <w:p w14:paraId="478C9493" w14:textId="77777777" w:rsidR="000D07EA" w:rsidRDefault="00BE7C89">
            <w:pPr>
              <w:pStyle w:val="BodyText"/>
              <w:spacing w:before="100" w:after="100"/>
              <w:jc w:val="center"/>
            </w:pPr>
            <w:r>
              <w:rPr>
                <w:sz w:val="18"/>
                <w:szCs w:val="18"/>
              </w:rPr>
              <w:t>$20</w:t>
            </w:r>
          </w:p>
        </w:tc>
        <w:tc>
          <w:tcPr>
            <w:tcW w:w="2769" w:type="dxa"/>
            <w:vAlign w:val="center"/>
          </w:tcPr>
          <w:p w14:paraId="772CB965" w14:textId="77777777" w:rsidR="000D07EA" w:rsidRDefault="00BE7C89">
            <w:pPr>
              <w:pStyle w:val="BodyText"/>
              <w:spacing w:before="100" w:after="100"/>
              <w:jc w:val="center"/>
            </w:pPr>
            <w:r>
              <w:rPr>
                <w:sz w:val="18"/>
                <w:szCs w:val="18"/>
              </w:rPr>
              <w:t>$20</w:t>
            </w:r>
          </w:p>
        </w:tc>
      </w:tr>
      <w:tr w:rsidR="000D07EA" w14:paraId="5E4BE077" w14:textId="77777777">
        <w:trPr>
          <w:cantSplit/>
          <w:trHeight w:val="856"/>
        </w:trPr>
        <w:tc>
          <w:tcPr>
            <w:tcW w:w="4111" w:type="dxa"/>
            <w:vAlign w:val="center"/>
          </w:tcPr>
          <w:p w14:paraId="3D205538" w14:textId="77777777" w:rsidR="000D07EA" w:rsidRDefault="00BE7C89">
            <w:pPr>
              <w:pStyle w:val="BodyText"/>
              <w:spacing w:before="100" w:after="100"/>
              <w:rPr>
                <w:b/>
                <w:bCs/>
              </w:rPr>
            </w:pPr>
            <w:r>
              <w:rPr>
                <w:b/>
                <w:bCs/>
              </w:rPr>
              <w:t xml:space="preserve">Other call charges </w:t>
            </w:r>
          </w:p>
        </w:tc>
        <w:tc>
          <w:tcPr>
            <w:tcW w:w="5537" w:type="dxa"/>
            <w:gridSpan w:val="2"/>
            <w:vAlign w:val="center"/>
          </w:tcPr>
          <w:p w14:paraId="1C720C3A" w14:textId="77777777" w:rsidR="000D07EA" w:rsidRDefault="00BE7C89">
            <w:pPr>
              <w:pStyle w:val="BodyText"/>
              <w:spacing w:before="100" w:after="100"/>
              <w:rPr>
                <w:rFonts w:cs="Arial"/>
              </w:rPr>
            </w:pPr>
            <w:r>
              <w:t xml:space="preserve">See section 1 of this </w:t>
            </w:r>
            <w:r>
              <w:rPr>
                <w:i/>
                <w:iCs/>
              </w:rPr>
              <w:t>standard pricing table</w:t>
            </w:r>
            <w:r>
              <w:t xml:space="preserve"> and </w:t>
            </w:r>
            <w:hyperlink r:id="rId542" w:history="1">
              <w:r>
                <w:rPr>
                  <w:rStyle w:val="Hyperlink"/>
                  <w:i/>
                </w:rPr>
                <w:t>Appendix Y</w:t>
              </w:r>
            </w:hyperlink>
            <w:r>
              <w:t xml:space="preserve"> (Value Added Service Features)</w:t>
            </w:r>
          </w:p>
        </w:tc>
      </w:tr>
      <w:tr w:rsidR="000D07EA" w14:paraId="1C76D4B7" w14:textId="77777777">
        <w:trPr>
          <w:cantSplit/>
          <w:trHeight w:val="856"/>
        </w:trPr>
        <w:tc>
          <w:tcPr>
            <w:tcW w:w="4111" w:type="dxa"/>
            <w:vAlign w:val="center"/>
          </w:tcPr>
          <w:p w14:paraId="1FEF1571" w14:textId="77777777" w:rsidR="000D07EA" w:rsidRDefault="00BE7C89">
            <w:pPr>
              <w:pStyle w:val="BodyText"/>
              <w:spacing w:before="100" w:after="100"/>
              <w:rPr>
                <w:b/>
                <w:bCs/>
              </w:rPr>
            </w:pPr>
            <w:r>
              <w:rPr>
                <w:b/>
                <w:bCs/>
              </w:rPr>
              <w:t xml:space="preserve">Other conditions </w:t>
            </w:r>
            <w:r>
              <w:t xml:space="preserve">(for details see </w:t>
            </w:r>
            <w:hyperlink r:id="rId543" w:history="1">
              <w:r w:rsidR="00503F23">
                <w:rPr>
                  <w:rStyle w:val="Hyperlink"/>
                  <w:i/>
                </w:rPr>
                <w:t>Appendix S</w:t>
              </w:r>
            </w:hyperlink>
            <w:r>
              <w:t>)</w:t>
            </w:r>
          </w:p>
        </w:tc>
        <w:tc>
          <w:tcPr>
            <w:tcW w:w="5537" w:type="dxa"/>
            <w:gridSpan w:val="2"/>
          </w:tcPr>
          <w:p w14:paraId="32164C38" w14:textId="77777777" w:rsidR="000D07EA" w:rsidRDefault="00BE7C89">
            <w:pPr>
              <w:pStyle w:val="BodyText"/>
              <w:spacing w:before="100" w:after="100"/>
              <w:rPr>
                <w:rFonts w:cs="Arial"/>
              </w:rPr>
            </w:pPr>
            <w:r>
              <w:t>Fair Go Policy (</w:t>
            </w:r>
            <w:hyperlink r:id="rId544" w:history="1">
              <w:r>
                <w:rPr>
                  <w:rStyle w:val="Hyperlink"/>
                  <w:i/>
                </w:rPr>
                <w:t>Appendix S</w:t>
              </w:r>
            </w:hyperlink>
            <w:r>
              <w:t xml:space="preserve">) applies </w:t>
            </w:r>
            <w:r>
              <w:rPr>
                <w:rFonts w:eastAsia="Calibri"/>
              </w:rPr>
              <w:t>to certain 'excessive use', 'unreasonable use', 'unacceptable use' and use for a 'commercial or non-ordinary purpose'</w:t>
            </w:r>
            <w:r>
              <w:t>.</w:t>
            </w:r>
          </w:p>
        </w:tc>
      </w:tr>
      <w:tr w:rsidR="000D07EA" w14:paraId="10A7EE23" w14:textId="77777777">
        <w:trPr>
          <w:trHeight w:val="63"/>
        </w:trPr>
        <w:tc>
          <w:tcPr>
            <w:tcW w:w="4111" w:type="dxa"/>
          </w:tcPr>
          <w:p w14:paraId="15CB3831" w14:textId="77777777" w:rsidR="000D07EA" w:rsidRDefault="00BE7C89">
            <w:pPr>
              <w:pStyle w:val="BodyText"/>
              <w:spacing w:before="100" w:after="100"/>
              <w:rPr>
                <w:b/>
                <w:bCs/>
              </w:rPr>
            </w:pPr>
            <w:r>
              <w:rPr>
                <w:b/>
                <w:bCs/>
              </w:rPr>
              <w:t xml:space="preserve">Available on a </w:t>
            </w:r>
            <w:r>
              <w:rPr>
                <w:b/>
                <w:bCs/>
                <w:i/>
              </w:rPr>
              <w:t>non fixed-length agreement</w:t>
            </w:r>
            <w:r>
              <w:rPr>
                <w:b/>
                <w:bCs/>
              </w:rPr>
              <w:t xml:space="preserve"> (Month to Month)</w:t>
            </w:r>
          </w:p>
        </w:tc>
        <w:tc>
          <w:tcPr>
            <w:tcW w:w="2768" w:type="dxa"/>
            <w:vAlign w:val="center"/>
          </w:tcPr>
          <w:p w14:paraId="30375CC2" w14:textId="77777777" w:rsidR="000D07EA" w:rsidRDefault="00BE7C89">
            <w:pPr>
              <w:pStyle w:val="BodyText"/>
              <w:spacing w:before="100" w:after="100"/>
              <w:jc w:val="center"/>
            </w:pPr>
            <w:r>
              <w:t>Yes</w:t>
            </w:r>
          </w:p>
        </w:tc>
        <w:tc>
          <w:tcPr>
            <w:tcW w:w="2769" w:type="dxa"/>
            <w:vAlign w:val="center"/>
          </w:tcPr>
          <w:p w14:paraId="56EE57B7" w14:textId="77777777" w:rsidR="000D07EA" w:rsidRDefault="00BE7C89">
            <w:pPr>
              <w:pStyle w:val="BodyText"/>
              <w:spacing w:before="100" w:after="100"/>
              <w:jc w:val="center"/>
            </w:pPr>
            <w:r>
              <w:t>Yes</w:t>
            </w:r>
          </w:p>
        </w:tc>
      </w:tr>
      <w:tr w:rsidR="000D07EA" w14:paraId="35BB1CBE" w14:textId="77777777">
        <w:trPr>
          <w:trHeight w:val="63"/>
        </w:trPr>
        <w:tc>
          <w:tcPr>
            <w:tcW w:w="4111" w:type="dxa"/>
          </w:tcPr>
          <w:p w14:paraId="15676259" w14:textId="77777777" w:rsidR="000D07EA" w:rsidRDefault="00BE7C89">
            <w:pPr>
              <w:pStyle w:val="BodyText"/>
              <w:spacing w:before="100" w:after="100"/>
              <w:rPr>
                <w:b/>
                <w:bCs/>
              </w:rPr>
            </w:pPr>
            <w:r>
              <w:rPr>
                <w:b/>
                <w:bCs/>
              </w:rPr>
              <w:t xml:space="preserve">Available on a </w:t>
            </w:r>
            <w:r>
              <w:rPr>
                <w:b/>
                <w:bCs/>
                <w:i/>
              </w:rPr>
              <w:t>fixed-length agreement</w:t>
            </w:r>
            <w:r>
              <w:rPr>
                <w:b/>
                <w:bCs/>
              </w:rPr>
              <w:t xml:space="preserve"> (12 or 24 Months) </w:t>
            </w:r>
          </w:p>
        </w:tc>
        <w:tc>
          <w:tcPr>
            <w:tcW w:w="2768" w:type="dxa"/>
            <w:vAlign w:val="center"/>
          </w:tcPr>
          <w:p w14:paraId="3A34BB90" w14:textId="77777777" w:rsidR="000D07EA" w:rsidRDefault="00BE7C89">
            <w:pPr>
              <w:pStyle w:val="BodyText"/>
              <w:spacing w:before="100" w:after="100"/>
              <w:jc w:val="center"/>
            </w:pPr>
            <w:r>
              <w:t>Yes</w:t>
            </w:r>
          </w:p>
        </w:tc>
        <w:tc>
          <w:tcPr>
            <w:tcW w:w="2769" w:type="dxa"/>
            <w:vAlign w:val="center"/>
          </w:tcPr>
          <w:p w14:paraId="140C44E1" w14:textId="77777777" w:rsidR="000D07EA" w:rsidRDefault="00BE7C89">
            <w:pPr>
              <w:pStyle w:val="BodyText"/>
              <w:spacing w:before="100" w:after="100"/>
              <w:jc w:val="center"/>
            </w:pPr>
            <w:r>
              <w:t>Yes</w:t>
            </w:r>
          </w:p>
        </w:tc>
      </w:tr>
      <w:tr w:rsidR="000D07EA" w14:paraId="174C286D" w14:textId="77777777">
        <w:trPr>
          <w:cantSplit/>
          <w:trHeight w:val="63"/>
        </w:trPr>
        <w:tc>
          <w:tcPr>
            <w:tcW w:w="4111" w:type="dxa"/>
            <w:vAlign w:val="center"/>
          </w:tcPr>
          <w:p w14:paraId="664A76EB" w14:textId="77777777" w:rsidR="000D07EA" w:rsidRDefault="00BE7C89">
            <w:pPr>
              <w:pStyle w:val="BodyText"/>
              <w:spacing w:before="100" w:after="100"/>
              <w:rPr>
                <w:b/>
                <w:bCs/>
              </w:rPr>
            </w:pPr>
            <w:r>
              <w:rPr>
                <w:b/>
                <w:bCs/>
              </w:rPr>
              <w:t xml:space="preserve">Minimum Total Cost over a 24 month </w:t>
            </w:r>
            <w:r>
              <w:rPr>
                <w:b/>
                <w:bCs/>
                <w:i/>
                <w:iCs/>
              </w:rPr>
              <w:t xml:space="preserve">minimum term </w:t>
            </w:r>
            <w:r>
              <w:rPr>
                <w:rFonts w:eastAsia="Calibri"/>
              </w:rPr>
              <w:t>(amount excludes any handset repayments)</w:t>
            </w:r>
          </w:p>
        </w:tc>
        <w:tc>
          <w:tcPr>
            <w:tcW w:w="2768" w:type="dxa"/>
            <w:vAlign w:val="center"/>
          </w:tcPr>
          <w:p w14:paraId="51C103AA" w14:textId="77777777" w:rsidR="000D07EA" w:rsidRDefault="00BE7C89">
            <w:pPr>
              <w:pStyle w:val="BodyText"/>
              <w:spacing w:before="100" w:after="100"/>
              <w:jc w:val="center"/>
            </w:pPr>
            <w:r>
              <w:t>$2,400</w:t>
            </w:r>
          </w:p>
        </w:tc>
        <w:tc>
          <w:tcPr>
            <w:tcW w:w="2769" w:type="dxa"/>
            <w:vAlign w:val="center"/>
          </w:tcPr>
          <w:p w14:paraId="74B678FB" w14:textId="77777777" w:rsidR="000D07EA" w:rsidRDefault="00BE7C89">
            <w:pPr>
              <w:pStyle w:val="BodyText"/>
              <w:spacing w:before="100" w:after="100"/>
              <w:jc w:val="center"/>
            </w:pPr>
            <w:r>
              <w:t>$3,120</w:t>
            </w:r>
          </w:p>
        </w:tc>
      </w:tr>
      <w:tr w:rsidR="000D07EA" w14:paraId="00CDCF18" w14:textId="77777777">
        <w:trPr>
          <w:cantSplit/>
          <w:trHeight w:val="63"/>
        </w:trPr>
        <w:tc>
          <w:tcPr>
            <w:tcW w:w="4111" w:type="dxa"/>
            <w:vAlign w:val="center"/>
          </w:tcPr>
          <w:p w14:paraId="5FB79F29" w14:textId="77777777" w:rsidR="000D07EA" w:rsidRDefault="00BE7C89">
            <w:pPr>
              <w:pStyle w:val="BodyText"/>
              <w:spacing w:before="100" w:after="100"/>
              <w:rPr>
                <w:b/>
                <w:bCs/>
              </w:rPr>
            </w:pPr>
            <w:r>
              <w:rPr>
                <w:b/>
                <w:bCs/>
              </w:rPr>
              <w:t xml:space="preserve">Minimum Total Cost over a 12 month </w:t>
            </w:r>
            <w:r>
              <w:rPr>
                <w:b/>
                <w:bCs/>
                <w:i/>
                <w:iCs/>
              </w:rPr>
              <w:t xml:space="preserve">minimum term </w:t>
            </w:r>
            <w:r>
              <w:rPr>
                <w:rFonts w:eastAsia="Calibri"/>
              </w:rPr>
              <w:t>(amount excludes any handset repayments)</w:t>
            </w:r>
          </w:p>
        </w:tc>
        <w:tc>
          <w:tcPr>
            <w:tcW w:w="2768" w:type="dxa"/>
            <w:vAlign w:val="center"/>
          </w:tcPr>
          <w:p w14:paraId="2261BF43" w14:textId="77777777" w:rsidR="000D07EA" w:rsidRDefault="00BE7C89">
            <w:pPr>
              <w:pStyle w:val="BodyText"/>
              <w:spacing w:before="100" w:after="100"/>
              <w:jc w:val="center"/>
            </w:pPr>
            <w:r>
              <w:t>$1,200</w:t>
            </w:r>
          </w:p>
        </w:tc>
        <w:tc>
          <w:tcPr>
            <w:tcW w:w="2769" w:type="dxa"/>
            <w:vAlign w:val="center"/>
          </w:tcPr>
          <w:p w14:paraId="1AF33F3D" w14:textId="77777777" w:rsidR="000D07EA" w:rsidRDefault="00BE7C89">
            <w:pPr>
              <w:pStyle w:val="BodyText"/>
              <w:spacing w:before="100" w:after="100"/>
              <w:jc w:val="center"/>
            </w:pPr>
            <w:r>
              <w:t>$1,560</w:t>
            </w:r>
          </w:p>
        </w:tc>
      </w:tr>
    </w:tbl>
    <w:p w14:paraId="728E8D94" w14:textId="77777777" w:rsidR="000D07EA" w:rsidRDefault="00BE7C89">
      <w:pPr>
        <w:pStyle w:val="BodyText"/>
        <w:spacing w:after="0"/>
        <w:ind w:left="720"/>
        <w:rPr>
          <w:sz w:val="16"/>
          <w:szCs w:val="16"/>
        </w:rPr>
      </w:pPr>
      <w:bookmarkStart w:id="792" w:name="_Toc343512495"/>
      <w:bookmarkStart w:id="793" w:name="_Toc343513067"/>
      <w:bookmarkStart w:id="794" w:name="_Toc343513507"/>
      <w:bookmarkStart w:id="795" w:name="_Toc397941283"/>
      <w:r>
        <w:rPr>
          <w:sz w:val="16"/>
          <w:szCs w:val="16"/>
        </w:rPr>
        <w:t>^The maximum length of an SMS is 160 standard alpha numeric (ASCII) characters. Non-ASCII characters may account for more than a single ASCII character, and thereby reduce the character length for an SMS.</w:t>
      </w:r>
      <w:bookmarkEnd w:id="792"/>
      <w:bookmarkEnd w:id="793"/>
      <w:bookmarkEnd w:id="794"/>
      <w:bookmarkEnd w:id="795"/>
    </w:p>
    <w:p w14:paraId="61DA5A01" w14:textId="77777777" w:rsidR="000D07EA" w:rsidRDefault="000D07EA">
      <w:pPr>
        <w:pStyle w:val="BodyText"/>
      </w:pPr>
    </w:p>
    <w:p w14:paraId="10BBCBAE" w14:textId="77777777" w:rsidR="000D07EA" w:rsidRDefault="00BE7C89">
      <w:pPr>
        <w:pStyle w:val="Heading6"/>
        <w:keepNext/>
        <w:ind w:left="0" w:firstLine="0"/>
      </w:pPr>
      <w:bookmarkStart w:id="796" w:name="_Toc343512496"/>
      <w:bookmarkStart w:id="797" w:name="_Toc343513068"/>
      <w:bookmarkStart w:id="798" w:name="_Toc343513508"/>
      <w:bookmarkStart w:id="799" w:name="_Toc397941284"/>
      <w:r>
        <w:lastRenderedPageBreak/>
        <w:t>What happens if the service is cancelled early?</w:t>
      </w:r>
      <w:bookmarkEnd w:id="796"/>
      <w:bookmarkEnd w:id="797"/>
      <w:bookmarkEnd w:id="798"/>
      <w:bookmarkEnd w:id="799"/>
      <w:r>
        <w:t xml:space="preserve"> </w:t>
      </w:r>
    </w:p>
    <w:p w14:paraId="0F819A98" w14:textId="77777777" w:rsidR="000D07EA" w:rsidRDefault="00BE7C89">
      <w:pPr>
        <w:pStyle w:val="Heading7"/>
      </w:pPr>
      <w:r>
        <w:t xml:space="preserve">If </w:t>
      </w:r>
      <w:r>
        <w:rPr>
          <w:i/>
        </w:rPr>
        <w:t>the service is cancelled</w:t>
      </w:r>
      <w:r>
        <w:t xml:space="preserve"> before the expiry of the </w:t>
      </w:r>
      <w:r>
        <w:rPr>
          <w:i/>
        </w:rPr>
        <w:t>minimum term</w:t>
      </w:r>
      <w:r>
        <w:t xml:space="preserve">, you must pay </w:t>
      </w:r>
      <w:r>
        <w:rPr>
          <w:i/>
        </w:rPr>
        <w:t>us</w:t>
      </w:r>
      <w:r>
        <w:t>:</w:t>
      </w:r>
    </w:p>
    <w:p w14:paraId="7A147E86" w14:textId="77777777" w:rsidR="000D07EA" w:rsidRDefault="00BE7C89">
      <w:pPr>
        <w:pStyle w:val="Heading8"/>
      </w:pPr>
      <w:r>
        <w:t xml:space="preserve">any usage charges incurred up to, and including, the </w:t>
      </w:r>
      <w:r>
        <w:rPr>
          <w:i/>
        </w:rPr>
        <w:t xml:space="preserve">cancellation date; </w:t>
      </w:r>
      <w:r>
        <w:t>plus</w:t>
      </w:r>
    </w:p>
    <w:p w14:paraId="7F46DB8E" w14:textId="77777777" w:rsidR="000D07EA" w:rsidRDefault="00BE7C89">
      <w:pPr>
        <w:pStyle w:val="Heading8"/>
      </w:pPr>
      <w:r>
        <w:t xml:space="preserve">the </w:t>
      </w:r>
      <w:r>
        <w:rPr>
          <w:i/>
        </w:rPr>
        <w:t xml:space="preserve">cancellation fee </w:t>
      </w:r>
      <w:r>
        <w:t xml:space="preserve">set out in paragraph </w:t>
      </w:r>
      <w:r>
        <w:fldChar w:fldCharType="begin"/>
      </w:r>
      <w:r>
        <w:instrText xml:space="preserve"> REF _Ref461554777 \n \h </w:instrText>
      </w:r>
      <w:r>
        <w:fldChar w:fldCharType="separate"/>
      </w:r>
      <w:r w:rsidR="0004083A">
        <w:t>(b)</w:t>
      </w:r>
      <w:r>
        <w:fldChar w:fldCharType="end"/>
      </w:r>
      <w:r>
        <w:t xml:space="preserve"> or </w:t>
      </w:r>
      <w:r>
        <w:fldChar w:fldCharType="begin"/>
      </w:r>
      <w:r>
        <w:instrText xml:space="preserve"> REF _Ref461554787 \n \h </w:instrText>
      </w:r>
      <w:r>
        <w:fldChar w:fldCharType="separate"/>
      </w:r>
      <w:r w:rsidR="0004083A">
        <w:t>(c)</w:t>
      </w:r>
      <w:r>
        <w:fldChar w:fldCharType="end"/>
      </w:r>
      <w:r>
        <w:t xml:space="preserve"> below (unless under clause 2A of the </w:t>
      </w:r>
      <w:r>
        <w:rPr>
          <w:i/>
        </w:rPr>
        <w:t>SMB terms</w:t>
      </w:r>
      <w:r>
        <w:t xml:space="preserve">, </w:t>
      </w:r>
      <w:r>
        <w:rPr>
          <w:i/>
        </w:rPr>
        <w:t>you</w:t>
      </w:r>
      <w:r>
        <w:t xml:space="preserve"> are entitled to </w:t>
      </w:r>
      <w:r>
        <w:rPr>
          <w:i/>
        </w:rPr>
        <w:t>cancel the service</w:t>
      </w:r>
      <w:r>
        <w:t xml:space="preserve"> without incurring a </w:t>
      </w:r>
      <w:r>
        <w:rPr>
          <w:i/>
        </w:rPr>
        <w:t>cancellation fee</w:t>
      </w:r>
      <w:r>
        <w:t>); plus</w:t>
      </w:r>
    </w:p>
    <w:p w14:paraId="5C61C09C" w14:textId="77777777" w:rsidR="000D07EA" w:rsidRDefault="00BE7C89">
      <w:pPr>
        <w:pStyle w:val="Heading8"/>
      </w:pPr>
      <w:r>
        <w:t xml:space="preserve">the sum of unpaid </w:t>
      </w:r>
      <w:r>
        <w:rPr>
          <w:i/>
        </w:rPr>
        <w:t xml:space="preserve">equipment charges </w:t>
      </w:r>
      <w:r>
        <w:t xml:space="preserve">owing on </w:t>
      </w:r>
      <w:r>
        <w:rPr>
          <w:i/>
        </w:rPr>
        <w:t xml:space="preserve">your mobile phone </w:t>
      </w:r>
      <w:r>
        <w:t xml:space="preserve">under the </w:t>
      </w:r>
      <w:r>
        <w:rPr>
          <w:i/>
        </w:rPr>
        <w:t xml:space="preserve">mobile equipment payment plan </w:t>
      </w:r>
      <w:r>
        <w:t>(if any)</w:t>
      </w:r>
      <w:r>
        <w:rPr>
          <w:i/>
        </w:rPr>
        <w:t>.</w:t>
      </w:r>
    </w:p>
    <w:p w14:paraId="2D26FB69" w14:textId="77777777" w:rsidR="000D07EA" w:rsidRDefault="00BE7C89">
      <w:pPr>
        <w:pStyle w:val="Heading7"/>
      </w:pPr>
      <w:bookmarkStart w:id="800" w:name="_Ref461554777"/>
      <w:r>
        <w:t xml:space="preserve">The </w:t>
      </w:r>
      <w:r>
        <w:rPr>
          <w:i/>
        </w:rPr>
        <w:t>cancellation fee</w:t>
      </w:r>
      <w:r>
        <w:t xml:space="preserve"> for a 24 month </w:t>
      </w:r>
      <w:r>
        <w:rPr>
          <w:i/>
        </w:rPr>
        <w:t>fixed-length agreement</w:t>
      </w:r>
      <w:r>
        <w:t xml:space="preserve"> is calculated as the maximum </w:t>
      </w:r>
      <w:r>
        <w:rPr>
          <w:i/>
        </w:rPr>
        <w:t>cancellation fee</w:t>
      </w:r>
      <w:r>
        <w:t xml:space="preserve"> applicable to </w:t>
      </w:r>
      <w:r>
        <w:rPr>
          <w:i/>
        </w:rPr>
        <w:t>your</w:t>
      </w:r>
      <w:r>
        <w:t xml:space="preserve"> Business Timeless Plan (as indicated in the table below) if the </w:t>
      </w:r>
      <w:r>
        <w:rPr>
          <w:i/>
        </w:rPr>
        <w:t xml:space="preserve">service </w:t>
      </w:r>
      <w:r>
        <w:t xml:space="preserve">is </w:t>
      </w:r>
      <w:r>
        <w:rPr>
          <w:i/>
        </w:rPr>
        <w:t xml:space="preserve">cancelled </w:t>
      </w:r>
      <w:r>
        <w:t xml:space="preserve">during the first 12 months of the </w:t>
      </w:r>
      <w:r>
        <w:rPr>
          <w:i/>
        </w:rPr>
        <w:t>minimum term</w:t>
      </w:r>
      <w:r>
        <w:t xml:space="preserve">, and then a reduction of that amount by intervals if the </w:t>
      </w:r>
      <w:r>
        <w:rPr>
          <w:i/>
        </w:rPr>
        <w:t xml:space="preserve">service </w:t>
      </w:r>
      <w:r>
        <w:t xml:space="preserve">is </w:t>
      </w:r>
      <w:r>
        <w:rPr>
          <w:i/>
        </w:rPr>
        <w:t xml:space="preserve">cancelled </w:t>
      </w:r>
      <w:r>
        <w:t xml:space="preserve">during the second year of the </w:t>
      </w:r>
      <w:r>
        <w:rPr>
          <w:i/>
        </w:rPr>
        <w:t>minimum term</w:t>
      </w:r>
      <w:r>
        <w:t>.</w:t>
      </w:r>
      <w:bookmarkEnd w:id="800"/>
    </w:p>
    <w:p w14:paraId="4B87C3B6" w14:textId="77777777" w:rsidR="000D07EA" w:rsidRDefault="00BE7C89">
      <w:pPr>
        <w:pStyle w:val="Heading7"/>
      </w:pPr>
      <w:bookmarkStart w:id="801" w:name="_Ref461554787"/>
      <w:r>
        <w:t xml:space="preserve">The </w:t>
      </w:r>
      <w:r>
        <w:rPr>
          <w:i/>
        </w:rPr>
        <w:t>cancellation fee</w:t>
      </w:r>
      <w:r>
        <w:t xml:space="preserve"> for a 12 month </w:t>
      </w:r>
      <w:r>
        <w:rPr>
          <w:i/>
        </w:rPr>
        <w:t>fixed-length agreement</w:t>
      </w:r>
      <w:r>
        <w:t xml:space="preserve"> is calculated as the maximum </w:t>
      </w:r>
      <w:r>
        <w:rPr>
          <w:i/>
        </w:rPr>
        <w:t xml:space="preserve">cancellation fee </w:t>
      </w:r>
      <w:r>
        <w:t xml:space="preserve">applicable to </w:t>
      </w:r>
      <w:r>
        <w:rPr>
          <w:i/>
        </w:rPr>
        <w:t xml:space="preserve">your </w:t>
      </w:r>
      <w:r>
        <w:t xml:space="preserve">Business Timeless Plan (as indicated in the table below) if the </w:t>
      </w:r>
      <w:r>
        <w:rPr>
          <w:i/>
        </w:rPr>
        <w:t xml:space="preserve">service </w:t>
      </w:r>
      <w:r>
        <w:t xml:space="preserve">is </w:t>
      </w:r>
      <w:r>
        <w:rPr>
          <w:i/>
        </w:rPr>
        <w:t xml:space="preserve">cancelled </w:t>
      </w:r>
      <w:r>
        <w:t xml:space="preserve">during the first 6 months of the </w:t>
      </w:r>
      <w:r>
        <w:rPr>
          <w:i/>
        </w:rPr>
        <w:t>minimum term</w:t>
      </w:r>
      <w:r>
        <w:t xml:space="preserve">, and then a reduction of that amount by intervals if the </w:t>
      </w:r>
      <w:r>
        <w:rPr>
          <w:i/>
        </w:rPr>
        <w:t xml:space="preserve">service </w:t>
      </w:r>
      <w:r>
        <w:t xml:space="preserve">is </w:t>
      </w:r>
      <w:r>
        <w:rPr>
          <w:i/>
        </w:rPr>
        <w:t xml:space="preserve">cancelled </w:t>
      </w:r>
      <w:r>
        <w:t xml:space="preserve">during the last 6 months of the </w:t>
      </w:r>
      <w:r>
        <w:rPr>
          <w:i/>
        </w:rPr>
        <w:t>minimum term</w:t>
      </w:r>
      <w:r>
        <w:t>.</w:t>
      </w:r>
      <w:bookmarkEnd w:id="801"/>
    </w:p>
    <w:tbl>
      <w:tblPr>
        <w:tblW w:w="96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077"/>
        <w:gridCol w:w="3785"/>
        <w:gridCol w:w="3786"/>
      </w:tblGrid>
      <w:tr w:rsidR="000D07EA" w14:paraId="555BA113" w14:textId="77777777">
        <w:trPr>
          <w:trHeight w:val="63"/>
        </w:trPr>
        <w:tc>
          <w:tcPr>
            <w:tcW w:w="2077" w:type="dxa"/>
            <w:shd w:val="clear" w:color="auto" w:fill="auto"/>
            <w:vAlign w:val="center"/>
          </w:tcPr>
          <w:p w14:paraId="326BEB6B" w14:textId="77777777" w:rsidR="000D07EA" w:rsidRDefault="000D07EA">
            <w:pPr>
              <w:pStyle w:val="BodyText"/>
              <w:spacing w:before="100" w:after="100"/>
              <w:rPr>
                <w:rFonts w:eastAsia="Calibri"/>
                <w:b/>
                <w:sz w:val="22"/>
                <w:szCs w:val="22"/>
              </w:rPr>
            </w:pPr>
          </w:p>
        </w:tc>
        <w:tc>
          <w:tcPr>
            <w:tcW w:w="7571" w:type="dxa"/>
            <w:gridSpan w:val="2"/>
            <w:shd w:val="clear" w:color="auto" w:fill="auto"/>
            <w:vAlign w:val="center"/>
          </w:tcPr>
          <w:p w14:paraId="71333A97" w14:textId="77777777" w:rsidR="000D07EA" w:rsidRDefault="00BE7C89">
            <w:pPr>
              <w:pStyle w:val="BodyText"/>
              <w:spacing w:before="100" w:after="100"/>
              <w:jc w:val="center"/>
              <w:rPr>
                <w:rFonts w:eastAsia="Calibri"/>
                <w:b/>
                <w:sz w:val="22"/>
                <w:szCs w:val="22"/>
              </w:rPr>
            </w:pPr>
            <w:r>
              <w:rPr>
                <w:rFonts w:eastAsia="Calibri"/>
                <w:b/>
                <w:bCs/>
                <w:i/>
                <w:iCs/>
              </w:rPr>
              <w:t>Cancellation Fees</w:t>
            </w:r>
          </w:p>
        </w:tc>
      </w:tr>
      <w:tr w:rsidR="000D07EA" w14:paraId="44F3AC1F" w14:textId="77777777">
        <w:trPr>
          <w:trHeight w:val="63"/>
        </w:trPr>
        <w:tc>
          <w:tcPr>
            <w:tcW w:w="2077" w:type="dxa"/>
            <w:shd w:val="clear" w:color="auto" w:fill="auto"/>
            <w:vAlign w:val="center"/>
          </w:tcPr>
          <w:p w14:paraId="373F373C" w14:textId="77777777" w:rsidR="000D07EA" w:rsidRDefault="000D07EA">
            <w:pPr>
              <w:pStyle w:val="BodyText"/>
              <w:spacing w:before="100" w:after="100"/>
              <w:rPr>
                <w:rFonts w:eastAsia="Calibri"/>
                <w:b/>
                <w:sz w:val="22"/>
                <w:szCs w:val="22"/>
              </w:rPr>
            </w:pPr>
          </w:p>
        </w:tc>
        <w:tc>
          <w:tcPr>
            <w:tcW w:w="7571" w:type="dxa"/>
            <w:gridSpan w:val="2"/>
            <w:shd w:val="clear" w:color="auto" w:fill="auto"/>
            <w:vAlign w:val="center"/>
          </w:tcPr>
          <w:p w14:paraId="0F36D0C4" w14:textId="77777777" w:rsidR="000D07EA" w:rsidRDefault="00BE7C89">
            <w:pPr>
              <w:pStyle w:val="BodyText"/>
              <w:spacing w:before="100" w:after="100"/>
              <w:jc w:val="center"/>
              <w:rPr>
                <w:b/>
              </w:rPr>
            </w:pPr>
            <w:r>
              <w:rPr>
                <w:b/>
              </w:rPr>
              <w:t>Business Timeless Plans (Dec 2012) – 24 Month Contract</w:t>
            </w:r>
          </w:p>
        </w:tc>
      </w:tr>
      <w:tr w:rsidR="000D07EA" w14:paraId="319A213F" w14:textId="77777777">
        <w:trPr>
          <w:trHeight w:val="63"/>
        </w:trPr>
        <w:tc>
          <w:tcPr>
            <w:tcW w:w="2077" w:type="dxa"/>
            <w:shd w:val="clear" w:color="auto" w:fill="auto"/>
            <w:vAlign w:val="center"/>
          </w:tcPr>
          <w:p w14:paraId="531EEE96" w14:textId="77777777" w:rsidR="000D07EA" w:rsidRDefault="000D07EA">
            <w:pPr>
              <w:pStyle w:val="BodyText"/>
              <w:spacing w:before="100" w:after="100"/>
              <w:rPr>
                <w:rFonts w:eastAsia="Calibri"/>
                <w:b/>
                <w:sz w:val="22"/>
                <w:szCs w:val="22"/>
              </w:rPr>
            </w:pPr>
          </w:p>
        </w:tc>
        <w:tc>
          <w:tcPr>
            <w:tcW w:w="3785" w:type="dxa"/>
            <w:shd w:val="clear" w:color="auto" w:fill="auto"/>
            <w:vAlign w:val="center"/>
          </w:tcPr>
          <w:p w14:paraId="64B3DBB6" w14:textId="77777777" w:rsidR="000D07EA" w:rsidRDefault="00BE7C89">
            <w:pPr>
              <w:pStyle w:val="BodyText"/>
              <w:spacing w:before="100" w:after="100"/>
              <w:jc w:val="center"/>
              <w:rPr>
                <w:b/>
              </w:rPr>
            </w:pPr>
            <w:r>
              <w:rPr>
                <w:b/>
              </w:rPr>
              <w:t>$100 Business Timeless Plan / Business Timeless Plan Premium / Business Timeless Plan MRO (Dec 2012)</w:t>
            </w:r>
          </w:p>
        </w:tc>
        <w:tc>
          <w:tcPr>
            <w:tcW w:w="3786" w:type="dxa"/>
            <w:shd w:val="clear" w:color="auto" w:fill="auto"/>
            <w:vAlign w:val="center"/>
          </w:tcPr>
          <w:p w14:paraId="6300D28C" w14:textId="77777777" w:rsidR="000D07EA" w:rsidRDefault="00BE7C89">
            <w:pPr>
              <w:pStyle w:val="BodyText"/>
              <w:spacing w:before="100" w:after="100"/>
              <w:jc w:val="center"/>
              <w:rPr>
                <w:b/>
              </w:rPr>
            </w:pPr>
            <w:r>
              <w:rPr>
                <w:b/>
              </w:rPr>
              <w:t>$130 Business Timeless Plan / Business Timeless Plan Premium / Business Timeless Plan MRO</w:t>
            </w:r>
          </w:p>
        </w:tc>
      </w:tr>
      <w:tr w:rsidR="000D07EA" w14:paraId="7ABE09E1" w14:textId="77777777">
        <w:trPr>
          <w:trHeight w:val="63"/>
        </w:trPr>
        <w:tc>
          <w:tcPr>
            <w:tcW w:w="2077" w:type="dxa"/>
            <w:shd w:val="clear" w:color="auto" w:fill="auto"/>
            <w:vAlign w:val="center"/>
          </w:tcPr>
          <w:p w14:paraId="00FA464E" w14:textId="77777777" w:rsidR="000D07EA" w:rsidRDefault="00BE7C89">
            <w:pPr>
              <w:pStyle w:val="BodyText"/>
              <w:spacing w:before="100" w:after="100"/>
              <w:rPr>
                <w:rFonts w:eastAsia="Calibri"/>
                <w:sz w:val="22"/>
                <w:szCs w:val="22"/>
              </w:rPr>
            </w:pPr>
            <w:r>
              <w:rPr>
                <w:rFonts w:eastAsia="Calibri"/>
                <w:b/>
                <w:bCs/>
              </w:rPr>
              <w:t>Maximum Cancellation Fee</w:t>
            </w:r>
          </w:p>
        </w:tc>
        <w:tc>
          <w:tcPr>
            <w:tcW w:w="3785" w:type="dxa"/>
            <w:shd w:val="clear" w:color="auto" w:fill="auto"/>
            <w:vAlign w:val="center"/>
          </w:tcPr>
          <w:p w14:paraId="1C67DEB4" w14:textId="77777777" w:rsidR="000D07EA" w:rsidRDefault="00BE7C89">
            <w:pPr>
              <w:pStyle w:val="BodyText"/>
              <w:spacing w:before="100" w:after="100"/>
              <w:jc w:val="center"/>
              <w:rPr>
                <w:rFonts w:eastAsia="Calibri"/>
                <w:sz w:val="22"/>
                <w:szCs w:val="22"/>
              </w:rPr>
            </w:pPr>
            <w:r>
              <w:rPr>
                <w:rFonts w:eastAsia="Calibri"/>
                <w:sz w:val="22"/>
                <w:szCs w:val="22"/>
              </w:rPr>
              <w:t>$1,200</w:t>
            </w:r>
          </w:p>
        </w:tc>
        <w:tc>
          <w:tcPr>
            <w:tcW w:w="3786" w:type="dxa"/>
            <w:shd w:val="clear" w:color="auto" w:fill="auto"/>
            <w:vAlign w:val="center"/>
          </w:tcPr>
          <w:p w14:paraId="57D753FE" w14:textId="77777777" w:rsidR="000D07EA" w:rsidRDefault="00BE7C89">
            <w:pPr>
              <w:pStyle w:val="BodyText"/>
              <w:spacing w:before="100" w:after="100"/>
              <w:jc w:val="center"/>
              <w:rPr>
                <w:rFonts w:eastAsia="Calibri"/>
                <w:sz w:val="22"/>
                <w:szCs w:val="22"/>
              </w:rPr>
            </w:pPr>
            <w:r>
              <w:rPr>
                <w:rFonts w:eastAsia="Calibri"/>
                <w:sz w:val="22"/>
                <w:szCs w:val="22"/>
              </w:rPr>
              <w:t>$1,560</w:t>
            </w:r>
          </w:p>
        </w:tc>
      </w:tr>
      <w:tr w:rsidR="000D07EA" w14:paraId="6908328B" w14:textId="77777777">
        <w:trPr>
          <w:trHeight w:val="63"/>
        </w:trPr>
        <w:tc>
          <w:tcPr>
            <w:tcW w:w="2077" w:type="dxa"/>
            <w:shd w:val="clear" w:color="auto" w:fill="auto"/>
            <w:vAlign w:val="center"/>
          </w:tcPr>
          <w:p w14:paraId="678DF3B9" w14:textId="77777777" w:rsidR="000D07EA" w:rsidRDefault="000D07EA">
            <w:pPr>
              <w:pStyle w:val="BodyText"/>
              <w:spacing w:before="100" w:after="100"/>
              <w:rPr>
                <w:rFonts w:eastAsia="Calibri"/>
                <w:sz w:val="22"/>
                <w:szCs w:val="22"/>
              </w:rPr>
            </w:pPr>
          </w:p>
        </w:tc>
        <w:tc>
          <w:tcPr>
            <w:tcW w:w="7571" w:type="dxa"/>
            <w:gridSpan w:val="2"/>
            <w:shd w:val="clear" w:color="auto" w:fill="auto"/>
            <w:vAlign w:val="center"/>
          </w:tcPr>
          <w:p w14:paraId="4BCBEB21" w14:textId="77777777" w:rsidR="000D07EA" w:rsidRDefault="00BE7C89">
            <w:pPr>
              <w:pStyle w:val="BodyText"/>
              <w:spacing w:before="100" w:after="100"/>
              <w:jc w:val="center"/>
            </w:pPr>
            <w:r>
              <w:t>Business Timeless Plans (Dec 2012) – 12 Month Contract</w:t>
            </w:r>
          </w:p>
        </w:tc>
      </w:tr>
      <w:tr w:rsidR="000D07EA" w14:paraId="787138C8" w14:textId="77777777">
        <w:trPr>
          <w:trHeight w:val="63"/>
        </w:trPr>
        <w:tc>
          <w:tcPr>
            <w:tcW w:w="2077" w:type="dxa"/>
            <w:shd w:val="clear" w:color="auto" w:fill="auto"/>
            <w:vAlign w:val="center"/>
          </w:tcPr>
          <w:p w14:paraId="7A87EB5D" w14:textId="77777777" w:rsidR="000D07EA" w:rsidRDefault="000D07EA">
            <w:pPr>
              <w:pStyle w:val="BodyText"/>
              <w:spacing w:before="100" w:after="100"/>
              <w:rPr>
                <w:rFonts w:eastAsia="Calibri"/>
                <w:sz w:val="22"/>
                <w:szCs w:val="22"/>
              </w:rPr>
            </w:pPr>
          </w:p>
        </w:tc>
        <w:tc>
          <w:tcPr>
            <w:tcW w:w="3785" w:type="dxa"/>
            <w:shd w:val="clear" w:color="auto" w:fill="auto"/>
            <w:vAlign w:val="center"/>
          </w:tcPr>
          <w:p w14:paraId="4B5D4C11" w14:textId="77777777" w:rsidR="000D07EA" w:rsidRDefault="00BE7C89">
            <w:pPr>
              <w:pStyle w:val="BodyText"/>
              <w:spacing w:before="100" w:after="100"/>
              <w:jc w:val="center"/>
              <w:rPr>
                <w:b/>
              </w:rPr>
            </w:pPr>
            <w:r>
              <w:rPr>
                <w:b/>
              </w:rPr>
              <w:t>$100 Business Timeless Plan / Business Timeless Plan Premium / Business Timeless Plan MRO</w:t>
            </w:r>
          </w:p>
        </w:tc>
        <w:tc>
          <w:tcPr>
            <w:tcW w:w="3786" w:type="dxa"/>
            <w:shd w:val="clear" w:color="auto" w:fill="auto"/>
            <w:vAlign w:val="center"/>
          </w:tcPr>
          <w:p w14:paraId="553BF6A0" w14:textId="77777777" w:rsidR="000D07EA" w:rsidRDefault="00BE7C89">
            <w:pPr>
              <w:pStyle w:val="BodyText"/>
              <w:spacing w:before="100" w:after="100"/>
              <w:jc w:val="center"/>
              <w:rPr>
                <w:b/>
              </w:rPr>
            </w:pPr>
            <w:r>
              <w:rPr>
                <w:b/>
              </w:rPr>
              <w:t>$130 Business Timeless Plan / Business Timeless Plan Premium / Business Timeless Plan MRO</w:t>
            </w:r>
          </w:p>
        </w:tc>
      </w:tr>
      <w:tr w:rsidR="000D07EA" w14:paraId="2BAB72D2" w14:textId="77777777">
        <w:trPr>
          <w:trHeight w:val="63"/>
        </w:trPr>
        <w:tc>
          <w:tcPr>
            <w:tcW w:w="2077" w:type="dxa"/>
            <w:shd w:val="clear" w:color="auto" w:fill="auto"/>
            <w:vAlign w:val="center"/>
          </w:tcPr>
          <w:p w14:paraId="2A9C36A3" w14:textId="77777777" w:rsidR="000D07EA" w:rsidRDefault="00BE7C89">
            <w:pPr>
              <w:pStyle w:val="BodyText"/>
              <w:spacing w:before="100" w:after="100"/>
              <w:rPr>
                <w:rFonts w:eastAsia="Calibri"/>
                <w:sz w:val="22"/>
                <w:szCs w:val="22"/>
              </w:rPr>
            </w:pPr>
            <w:r>
              <w:rPr>
                <w:rFonts w:eastAsia="Calibri"/>
                <w:b/>
                <w:bCs/>
              </w:rPr>
              <w:t>Maximum Cancellation Fee</w:t>
            </w:r>
          </w:p>
        </w:tc>
        <w:tc>
          <w:tcPr>
            <w:tcW w:w="3785" w:type="dxa"/>
            <w:shd w:val="clear" w:color="auto" w:fill="auto"/>
            <w:vAlign w:val="center"/>
          </w:tcPr>
          <w:p w14:paraId="45E8C6EF" w14:textId="77777777" w:rsidR="000D07EA" w:rsidRDefault="00BE7C89">
            <w:pPr>
              <w:pStyle w:val="BodyText"/>
              <w:spacing w:before="100" w:after="100"/>
              <w:jc w:val="center"/>
              <w:rPr>
                <w:rFonts w:eastAsia="Calibri"/>
                <w:sz w:val="22"/>
                <w:szCs w:val="22"/>
              </w:rPr>
            </w:pPr>
            <w:r>
              <w:rPr>
                <w:rFonts w:eastAsia="Calibri"/>
                <w:sz w:val="22"/>
                <w:szCs w:val="22"/>
              </w:rPr>
              <w:t>$600</w:t>
            </w:r>
          </w:p>
        </w:tc>
        <w:tc>
          <w:tcPr>
            <w:tcW w:w="3786" w:type="dxa"/>
            <w:shd w:val="clear" w:color="auto" w:fill="auto"/>
            <w:vAlign w:val="center"/>
          </w:tcPr>
          <w:p w14:paraId="0E248FC0" w14:textId="77777777" w:rsidR="000D07EA" w:rsidRDefault="00BE7C89">
            <w:pPr>
              <w:pStyle w:val="BodyText"/>
              <w:spacing w:before="100" w:after="100"/>
              <w:jc w:val="center"/>
              <w:rPr>
                <w:rFonts w:eastAsia="Calibri"/>
                <w:sz w:val="22"/>
                <w:szCs w:val="22"/>
              </w:rPr>
            </w:pPr>
            <w:r>
              <w:rPr>
                <w:rFonts w:eastAsia="Calibri"/>
                <w:sz w:val="22"/>
                <w:szCs w:val="22"/>
              </w:rPr>
              <w:t>$780</w:t>
            </w:r>
          </w:p>
        </w:tc>
      </w:tr>
    </w:tbl>
    <w:p w14:paraId="6B60B35C" w14:textId="77777777" w:rsidR="000D07EA" w:rsidRDefault="000D07EA">
      <w:pPr>
        <w:pStyle w:val="BodyText"/>
      </w:pPr>
      <w:bookmarkStart w:id="802" w:name="_Toc337119821"/>
      <w:bookmarkStart w:id="803" w:name="_Toc343512497"/>
      <w:bookmarkStart w:id="804" w:name="_Toc343513069"/>
      <w:bookmarkStart w:id="805" w:name="_Toc343513509"/>
      <w:bookmarkStart w:id="806" w:name="_Toc397941285"/>
      <w:bookmarkStart w:id="807" w:name="_Toc455147628"/>
    </w:p>
    <w:p w14:paraId="77CDBECA" w14:textId="77777777" w:rsidR="000D07EA" w:rsidRDefault="00BE7C89" w:rsidP="00701E2C">
      <w:pPr>
        <w:pStyle w:val="Heading4"/>
      </w:pPr>
      <w:bookmarkStart w:id="808" w:name="_Toc62644650"/>
      <w:r>
        <w:t>Business BYO Plans (Dec 2012</w:t>
      </w:r>
      <w:bookmarkEnd w:id="802"/>
      <w:r>
        <w:t>), Effective from 9 December 2012</w:t>
      </w:r>
      <w:bookmarkEnd w:id="803"/>
      <w:bookmarkEnd w:id="804"/>
      <w:bookmarkEnd w:id="805"/>
      <w:r>
        <w:t xml:space="preserve"> to 1 June 2013</w:t>
      </w:r>
      <w:bookmarkEnd w:id="806"/>
      <w:bookmarkEnd w:id="807"/>
      <w:bookmarkEnd w:id="808"/>
    </w:p>
    <w:p w14:paraId="2B1D3AA7" w14:textId="77777777" w:rsidR="000D07EA" w:rsidRDefault="00BE7C89" w:rsidP="00701E2C">
      <w:pPr>
        <w:pStyle w:val="BodyText"/>
        <w:keepNext/>
        <w:ind w:left="720"/>
        <w:rPr>
          <w:b/>
        </w:rPr>
      </w:pPr>
      <w:bookmarkStart w:id="809" w:name="_Toc343512498"/>
      <w:bookmarkStart w:id="810" w:name="_Toc343513070"/>
      <w:bookmarkStart w:id="811" w:name="_Toc343513510"/>
      <w:bookmarkStart w:id="812" w:name="_Toc397941286"/>
      <w:r>
        <w:rPr>
          <w:b/>
        </w:rPr>
        <w:t>This section relates to the following plans:</w:t>
      </w:r>
      <w:bookmarkEnd w:id="809"/>
      <w:bookmarkEnd w:id="810"/>
      <w:bookmarkEnd w:id="811"/>
      <w:bookmarkEnd w:id="812"/>
    </w:p>
    <w:p w14:paraId="1B5FE878" w14:textId="77777777" w:rsidR="000D07EA" w:rsidRDefault="00BE7C89" w:rsidP="00972274">
      <w:pPr>
        <w:pStyle w:val="BodyText"/>
        <w:numPr>
          <w:ilvl w:val="0"/>
          <w:numId w:val="56"/>
        </w:numPr>
        <w:ind w:left="1440" w:hanging="720"/>
        <w:rPr>
          <w:b/>
        </w:rPr>
      </w:pPr>
      <w:r>
        <w:rPr>
          <w:b/>
        </w:rPr>
        <w:t>$40 Business BYO Plan (Dec 2012)</w:t>
      </w:r>
    </w:p>
    <w:p w14:paraId="4966083A" w14:textId="77777777" w:rsidR="000D07EA" w:rsidRDefault="00BE7C89" w:rsidP="00972274">
      <w:pPr>
        <w:pStyle w:val="BodyText"/>
        <w:numPr>
          <w:ilvl w:val="0"/>
          <w:numId w:val="56"/>
        </w:numPr>
        <w:ind w:left="1440" w:hanging="720"/>
        <w:rPr>
          <w:b/>
        </w:rPr>
      </w:pPr>
      <w:r>
        <w:rPr>
          <w:b/>
        </w:rPr>
        <w:t>$50 Business BYO Plan (Dec 2012)</w:t>
      </w:r>
    </w:p>
    <w:p w14:paraId="6A568198" w14:textId="77777777" w:rsidR="000D07EA" w:rsidRDefault="00BE7C89" w:rsidP="00972274">
      <w:pPr>
        <w:pStyle w:val="BodyText"/>
        <w:numPr>
          <w:ilvl w:val="0"/>
          <w:numId w:val="56"/>
        </w:numPr>
        <w:ind w:left="1440" w:hanging="720"/>
        <w:rPr>
          <w:b/>
        </w:rPr>
      </w:pPr>
      <w:r>
        <w:rPr>
          <w:b/>
        </w:rPr>
        <w:t>$60 Business BYO Plan (Dec 2012)</w:t>
      </w:r>
    </w:p>
    <w:p w14:paraId="13B68CF9" w14:textId="77777777" w:rsidR="000D07EA" w:rsidRDefault="00BE7C89" w:rsidP="00972274">
      <w:pPr>
        <w:pStyle w:val="BodyText"/>
        <w:numPr>
          <w:ilvl w:val="0"/>
          <w:numId w:val="56"/>
        </w:numPr>
        <w:ind w:left="1440" w:hanging="720"/>
        <w:rPr>
          <w:b/>
        </w:rPr>
      </w:pPr>
      <w:r>
        <w:rPr>
          <w:b/>
        </w:rPr>
        <w:t>$70 Business BYO Plan (Dec 2012)</w:t>
      </w:r>
    </w:p>
    <w:p w14:paraId="5D4ADD62" w14:textId="77777777" w:rsidR="000D07EA" w:rsidRDefault="00BE7C89">
      <w:pPr>
        <w:pStyle w:val="Heading6"/>
        <w:keepNext/>
        <w:ind w:left="0" w:firstLine="0"/>
      </w:pPr>
      <w:bookmarkStart w:id="813" w:name="_Toc337119822"/>
      <w:bookmarkStart w:id="814" w:name="_Toc343512499"/>
      <w:bookmarkStart w:id="815" w:name="_Toc343513071"/>
      <w:bookmarkStart w:id="816" w:name="_Toc343513511"/>
      <w:bookmarkStart w:id="817" w:name="_Toc397941287"/>
      <w:r>
        <w:lastRenderedPageBreak/>
        <w:t>Eligibility</w:t>
      </w:r>
      <w:bookmarkEnd w:id="813"/>
      <w:bookmarkEnd w:id="814"/>
      <w:bookmarkEnd w:id="815"/>
      <w:bookmarkEnd w:id="816"/>
      <w:bookmarkEnd w:id="817"/>
    </w:p>
    <w:p w14:paraId="1C1BE9E5" w14:textId="77777777" w:rsidR="000D07EA" w:rsidRDefault="00BE7C89">
      <w:pPr>
        <w:pStyle w:val="BodyText"/>
        <w:ind w:left="720"/>
      </w:pPr>
      <w:r>
        <w:t>The Business BYO Plans (Dec 2012) (hereafter '</w:t>
      </w:r>
      <w:r>
        <w:rPr>
          <w:b/>
        </w:rPr>
        <w:t>Business BYO Plans'</w:t>
      </w:r>
      <w:r>
        <w:t xml:space="preserve">) are only available to approved existing mobile customers connecting to the </w:t>
      </w:r>
      <w:r>
        <w:rPr>
          <w:i/>
        </w:rPr>
        <w:t xml:space="preserve">service </w:t>
      </w:r>
      <w:r>
        <w:t>on the following terms:</w:t>
      </w:r>
    </w:p>
    <w:p w14:paraId="75E8C23E" w14:textId="77777777" w:rsidR="000D07EA" w:rsidRDefault="00BE7C89">
      <w:pPr>
        <w:pStyle w:val="Heading7"/>
      </w:pPr>
      <w:r>
        <w:rPr>
          <w:i/>
        </w:rPr>
        <w:t>You</w:t>
      </w:r>
      <w:r>
        <w:t xml:space="preserve"> must pass the Optus credit assessment and be accepted by </w:t>
      </w:r>
      <w:r>
        <w:rPr>
          <w:i/>
        </w:rPr>
        <w:t>us</w:t>
      </w:r>
      <w:r>
        <w:t>; and</w:t>
      </w:r>
    </w:p>
    <w:p w14:paraId="7D70AC5F" w14:textId="77777777" w:rsidR="000D07EA" w:rsidRDefault="00BE7C89">
      <w:pPr>
        <w:pStyle w:val="Heading7"/>
      </w:pPr>
      <w:r>
        <w:t>Optus Service Providers' customers are not eligible to apply</w:t>
      </w:r>
      <w:r>
        <w:rPr>
          <w:snapToGrid w:val="0"/>
        </w:rPr>
        <w:t>.</w:t>
      </w:r>
    </w:p>
    <w:p w14:paraId="6691AF6C" w14:textId="77777777" w:rsidR="000D07EA" w:rsidRDefault="00BE7C89">
      <w:pPr>
        <w:pStyle w:val="Heading6"/>
        <w:ind w:left="0" w:firstLine="0"/>
        <w:rPr>
          <w:i/>
        </w:rPr>
      </w:pPr>
      <w:bookmarkStart w:id="818" w:name="_Toc337119823"/>
      <w:bookmarkStart w:id="819" w:name="_Toc343512500"/>
      <w:bookmarkStart w:id="820" w:name="_Toc343513072"/>
      <w:bookmarkStart w:id="821" w:name="_Toc343513512"/>
      <w:bookmarkStart w:id="822" w:name="_Toc397941288"/>
      <w:r>
        <w:rPr>
          <w:i/>
          <w:snapToGrid w:val="0"/>
        </w:rPr>
        <w:t>Minimum Term</w:t>
      </w:r>
      <w:bookmarkEnd w:id="818"/>
      <w:bookmarkEnd w:id="819"/>
      <w:bookmarkEnd w:id="820"/>
      <w:bookmarkEnd w:id="821"/>
      <w:bookmarkEnd w:id="822"/>
    </w:p>
    <w:p w14:paraId="7E03A643" w14:textId="77777777" w:rsidR="000D07EA" w:rsidRDefault="00BE7C89">
      <w:pPr>
        <w:pStyle w:val="BodyText"/>
        <w:ind w:left="720"/>
      </w:pPr>
      <w:r>
        <w:rPr>
          <w:i/>
        </w:rPr>
        <w:t xml:space="preserve">You </w:t>
      </w:r>
      <w:r>
        <w:t xml:space="preserve">must agree to a </w:t>
      </w:r>
      <w:r>
        <w:rPr>
          <w:i/>
        </w:rPr>
        <w:t xml:space="preserve">fixed-length agreement </w:t>
      </w:r>
      <w:r>
        <w:t xml:space="preserve">with a 12 month </w:t>
      </w:r>
      <w:r>
        <w:rPr>
          <w:i/>
        </w:rPr>
        <w:t>minimum term</w:t>
      </w:r>
      <w:r>
        <w:t>.</w:t>
      </w:r>
    </w:p>
    <w:p w14:paraId="6D0E44FC" w14:textId="77777777" w:rsidR="000D07EA" w:rsidRDefault="00BE7C89">
      <w:pPr>
        <w:pStyle w:val="Heading6"/>
        <w:ind w:left="0" w:firstLine="0"/>
      </w:pPr>
      <w:bookmarkStart w:id="823" w:name="_Toc337119824"/>
      <w:bookmarkStart w:id="824" w:name="_Toc343512501"/>
      <w:bookmarkStart w:id="825" w:name="_Toc343513073"/>
      <w:bookmarkStart w:id="826" w:name="_Toc343513513"/>
      <w:bookmarkStart w:id="827" w:name="_Toc397941289"/>
      <w:r>
        <w:t>Blocking access to a number</w:t>
      </w:r>
      <w:bookmarkEnd w:id="823"/>
      <w:bookmarkEnd w:id="824"/>
      <w:bookmarkEnd w:id="825"/>
      <w:bookmarkEnd w:id="826"/>
      <w:bookmarkEnd w:id="827"/>
    </w:p>
    <w:p w14:paraId="57796012" w14:textId="77777777" w:rsidR="000D07EA" w:rsidRDefault="00BE7C89">
      <w:pPr>
        <w:pStyle w:val="BodyText"/>
        <w:ind w:left="720"/>
      </w:pPr>
      <w:r>
        <w:rPr>
          <w:rStyle w:val="Emphasis"/>
          <w:iCs w:val="0"/>
        </w:rPr>
        <w:t>In addition to what is stated in clause 11 of the service description ("Access Restrictions"), we</w:t>
      </w:r>
      <w:r>
        <w:t xml:space="preserve"> may block access to a number (other than an emergency service number) if </w:t>
      </w:r>
      <w:r>
        <w:rPr>
          <w:i/>
        </w:rPr>
        <w:t>we</w:t>
      </w:r>
      <w:r>
        <w:t xml:space="preserve"> reasonably require this to be done for technical, operational or commercial reasons. </w:t>
      </w:r>
    </w:p>
    <w:p w14:paraId="66677B5D" w14:textId="77777777" w:rsidR="000D07EA" w:rsidRDefault="00BE7C89">
      <w:pPr>
        <w:pStyle w:val="Heading6"/>
        <w:ind w:left="0" w:firstLine="0"/>
        <w:rPr>
          <w:i/>
        </w:rPr>
      </w:pPr>
      <w:bookmarkStart w:id="828" w:name="_Toc343512502"/>
      <w:bookmarkStart w:id="829" w:name="_Toc343513074"/>
      <w:bookmarkStart w:id="830" w:name="_Toc343513514"/>
      <w:bookmarkStart w:id="831" w:name="_Toc397941290"/>
      <w:r>
        <w:t xml:space="preserve">What </w:t>
      </w:r>
      <w:r>
        <w:rPr>
          <w:i/>
        </w:rPr>
        <w:t xml:space="preserve">you </w:t>
      </w:r>
      <w:r>
        <w:t xml:space="preserve">have to pay </w:t>
      </w:r>
      <w:r>
        <w:rPr>
          <w:i/>
        </w:rPr>
        <w:t>us</w:t>
      </w:r>
      <w:bookmarkEnd w:id="828"/>
      <w:bookmarkEnd w:id="829"/>
      <w:bookmarkEnd w:id="830"/>
      <w:bookmarkEnd w:id="831"/>
    </w:p>
    <w:p w14:paraId="2AF47D0C" w14:textId="77777777" w:rsidR="000D07EA" w:rsidRDefault="00BE7C89">
      <w:pPr>
        <w:pStyle w:val="Heading7"/>
      </w:pPr>
      <w:r>
        <w:t xml:space="preserve">Subject to paragraphs </w:t>
      </w:r>
      <w:r>
        <w:fldChar w:fldCharType="begin"/>
      </w:r>
      <w:r>
        <w:instrText xml:space="preserve"> REF _Ref461554818 \n \h </w:instrText>
      </w:r>
      <w:r>
        <w:fldChar w:fldCharType="separate"/>
      </w:r>
      <w:r w:rsidR="0004083A">
        <w:t>(c)</w:t>
      </w:r>
      <w:r>
        <w:fldChar w:fldCharType="end"/>
      </w:r>
      <w:r>
        <w:t xml:space="preserve">, </w:t>
      </w:r>
      <w:r>
        <w:fldChar w:fldCharType="begin"/>
      </w:r>
      <w:r>
        <w:instrText xml:space="preserve"> REF _Ref461554829 \n \h </w:instrText>
      </w:r>
      <w:r>
        <w:fldChar w:fldCharType="separate"/>
      </w:r>
      <w:r w:rsidR="0004083A">
        <w:t>(d)</w:t>
      </w:r>
      <w:r>
        <w:fldChar w:fldCharType="end"/>
      </w:r>
      <w:r>
        <w:t xml:space="preserve">, </w:t>
      </w:r>
      <w:r>
        <w:fldChar w:fldCharType="begin"/>
      </w:r>
      <w:r>
        <w:instrText xml:space="preserve"> REF _Ref461554839 \n \h </w:instrText>
      </w:r>
      <w:r>
        <w:fldChar w:fldCharType="separate"/>
      </w:r>
      <w:r w:rsidR="0004083A">
        <w:t>(e)</w:t>
      </w:r>
      <w:r>
        <w:fldChar w:fldCharType="end"/>
      </w:r>
      <w:r>
        <w:t xml:space="preserve">, </w:t>
      </w:r>
      <w:r>
        <w:fldChar w:fldCharType="begin"/>
      </w:r>
      <w:r>
        <w:instrText xml:space="preserve"> REF _Ref461554849 \n \h </w:instrText>
      </w:r>
      <w:r>
        <w:fldChar w:fldCharType="separate"/>
      </w:r>
      <w:r w:rsidR="0004083A">
        <w:t>(f)</w:t>
      </w:r>
      <w:r>
        <w:fldChar w:fldCharType="end"/>
      </w:r>
      <w:r>
        <w:t xml:space="preserve">, </w:t>
      </w:r>
      <w:r>
        <w:fldChar w:fldCharType="begin"/>
      </w:r>
      <w:r>
        <w:instrText xml:space="preserve"> REF _Ref461554859 \n \h </w:instrText>
      </w:r>
      <w:r>
        <w:fldChar w:fldCharType="separate"/>
      </w:r>
      <w:r w:rsidR="0004083A">
        <w:t>(g)</w:t>
      </w:r>
      <w:r>
        <w:fldChar w:fldCharType="end"/>
      </w:r>
      <w:r>
        <w:t xml:space="preserve">, </w:t>
      </w:r>
      <w:r>
        <w:fldChar w:fldCharType="begin"/>
      </w:r>
      <w:r>
        <w:instrText xml:space="preserve"> REF _Ref461554869 \n \h </w:instrText>
      </w:r>
      <w:r>
        <w:fldChar w:fldCharType="separate"/>
      </w:r>
      <w:r w:rsidR="0004083A">
        <w:t>(h)</w:t>
      </w:r>
      <w:r>
        <w:fldChar w:fldCharType="end"/>
      </w:r>
      <w:r>
        <w:t xml:space="preserve"> and </w:t>
      </w:r>
      <w:r>
        <w:fldChar w:fldCharType="begin"/>
      </w:r>
      <w:r>
        <w:instrText xml:space="preserve"> REF _Ref461554879 \n \h </w:instrText>
      </w:r>
      <w:r>
        <w:fldChar w:fldCharType="separate"/>
      </w:r>
      <w:r w:rsidR="0004083A">
        <w:t>(i)</w:t>
      </w:r>
      <w:r>
        <w:fldChar w:fldCharType="end"/>
      </w:r>
      <w:r>
        <w:t xml:space="preserve"> below </w:t>
      </w:r>
      <w:r>
        <w:rPr>
          <w:i/>
        </w:rPr>
        <w:t xml:space="preserve">you </w:t>
      </w:r>
      <w:r>
        <w:t xml:space="preserve">must pay </w:t>
      </w:r>
      <w:r>
        <w:rPr>
          <w:i/>
        </w:rPr>
        <w:t xml:space="preserve">us </w:t>
      </w:r>
      <w:r>
        <w:t xml:space="preserve">for use of the </w:t>
      </w:r>
      <w:r>
        <w:rPr>
          <w:i/>
        </w:rPr>
        <w:t xml:space="preserve">service </w:t>
      </w:r>
      <w:r>
        <w:t xml:space="preserve">at the rates set out in </w:t>
      </w:r>
      <w:hyperlink r:id="rId545" w:history="1">
        <w:r>
          <w:rPr>
            <w:rStyle w:val="Hyperlink"/>
          </w:rPr>
          <w:t>Section 1</w:t>
        </w:r>
      </w:hyperlink>
      <w:r>
        <w:t xml:space="preserve"> of this </w:t>
      </w:r>
      <w:r>
        <w:rPr>
          <w:i/>
        </w:rPr>
        <w:t xml:space="preserve">standard pricing table </w:t>
      </w:r>
      <w:r>
        <w:t xml:space="preserve">and for </w:t>
      </w:r>
      <w:r>
        <w:rPr>
          <w:i/>
        </w:rPr>
        <w:t xml:space="preserve">value added service features </w:t>
      </w:r>
      <w:r>
        <w:t xml:space="preserve">at the rates set out in </w:t>
      </w:r>
      <w:hyperlink r:id="rId546" w:history="1">
        <w:r>
          <w:rPr>
            <w:rStyle w:val="Hyperlink"/>
          </w:rPr>
          <w:t>Appendix Y</w:t>
        </w:r>
      </w:hyperlink>
      <w:r>
        <w:t xml:space="preserve"> Value Added Service Features</w:t>
      </w:r>
      <w:r>
        <w:rPr>
          <w:i/>
        </w:rPr>
        <w:t>.</w:t>
      </w:r>
    </w:p>
    <w:p w14:paraId="006DFC2C" w14:textId="77777777" w:rsidR="000D07EA" w:rsidRDefault="00BE7C89">
      <w:pPr>
        <w:pStyle w:val="Heading7"/>
      </w:pPr>
      <w:r>
        <w:t xml:space="preserve">If there is a </w:t>
      </w:r>
      <w:r>
        <w:rPr>
          <w:i/>
        </w:rPr>
        <w:t xml:space="preserve">flagfall </w:t>
      </w:r>
      <w:r>
        <w:t xml:space="preserve">or call connection charge for a particular call type, the charge for these calls is the </w:t>
      </w:r>
      <w:r>
        <w:rPr>
          <w:i/>
        </w:rPr>
        <w:t xml:space="preserve">flagfall </w:t>
      </w:r>
      <w:r>
        <w:t>charge plus the relevant rate for the call multiplied by the duration of the call.</w:t>
      </w:r>
    </w:p>
    <w:p w14:paraId="166FCA0D" w14:textId="77777777" w:rsidR="000D07EA" w:rsidRDefault="00BE7C89">
      <w:pPr>
        <w:pStyle w:val="Heading7"/>
        <w:rPr>
          <w:b/>
        </w:rPr>
      </w:pPr>
      <w:bookmarkStart w:id="832" w:name="_Ref461554818"/>
      <w:r>
        <w:rPr>
          <w:b/>
        </w:rPr>
        <w:t>Minimum Monthly Charge</w:t>
      </w:r>
      <w:bookmarkEnd w:id="832"/>
      <w:r>
        <w:rPr>
          <w:b/>
        </w:rPr>
        <w:t xml:space="preserve"> </w:t>
      </w:r>
    </w:p>
    <w:p w14:paraId="59A712B0" w14:textId="77777777" w:rsidR="000D07EA" w:rsidRDefault="00BE7C89">
      <w:pPr>
        <w:pStyle w:val="BodyText"/>
        <w:ind w:left="1440"/>
      </w:pPr>
      <w:r>
        <w:t xml:space="preserve">Each Business BYO Plan has a Minimum Monthly Charge amount that </w:t>
      </w:r>
      <w:r>
        <w:rPr>
          <w:i/>
        </w:rPr>
        <w:t xml:space="preserve">you </w:t>
      </w:r>
      <w:r>
        <w:t xml:space="preserve">must pay </w:t>
      </w:r>
      <w:r>
        <w:rPr>
          <w:i/>
        </w:rPr>
        <w:t>us</w:t>
      </w:r>
      <w:r>
        <w:t xml:space="preserve"> each month as set out in Table 2A below. </w:t>
      </w:r>
    </w:p>
    <w:p w14:paraId="7984D798" w14:textId="77777777" w:rsidR="000D07EA" w:rsidRDefault="00BE7C89">
      <w:pPr>
        <w:pStyle w:val="Heading7"/>
        <w:rPr>
          <w:b/>
        </w:rPr>
      </w:pPr>
      <w:bookmarkStart w:id="833" w:name="_Ref461554829"/>
      <w:r>
        <w:rPr>
          <w:b/>
        </w:rPr>
        <w:t>Included Value</w:t>
      </w:r>
      <w:bookmarkEnd w:id="833"/>
    </w:p>
    <w:p w14:paraId="784FC8B8" w14:textId="77777777" w:rsidR="000D07EA" w:rsidRDefault="00BE7C89">
      <w:pPr>
        <w:pStyle w:val="Heading8"/>
      </w:pPr>
      <w:r>
        <w:t xml:space="preserve">For each of the Business BYO Plans, </w:t>
      </w:r>
      <w:r>
        <w:rPr>
          <w:i/>
        </w:rPr>
        <w:t xml:space="preserve">you </w:t>
      </w:r>
      <w:r>
        <w:t>will receive an amount of 'Included Value' to use within Australia.</w:t>
      </w:r>
    </w:p>
    <w:p w14:paraId="27D42744" w14:textId="77777777" w:rsidR="000D07EA" w:rsidRDefault="00BE7C89">
      <w:pPr>
        <w:pStyle w:val="Heading8"/>
      </w:pPr>
      <w:r>
        <w:t>The amount of the Included Value for each Business BYO Plan is set out in Table 2A below.</w:t>
      </w:r>
    </w:p>
    <w:p w14:paraId="10F32F40" w14:textId="77777777" w:rsidR="000D07EA" w:rsidRDefault="00BE7C89">
      <w:pPr>
        <w:pStyle w:val="Heading8"/>
      </w:pPr>
      <w:r>
        <w:t xml:space="preserve">The types of usage that can be used as part of </w:t>
      </w:r>
      <w:r>
        <w:rPr>
          <w:i/>
        </w:rPr>
        <w:t xml:space="preserve">your </w:t>
      </w:r>
      <w:r>
        <w:t>Included Value are set out in Table 1A below.</w:t>
      </w:r>
    </w:p>
    <w:p w14:paraId="5C687208" w14:textId="77777777" w:rsidR="000D07EA" w:rsidRDefault="00BE7C89">
      <w:pPr>
        <w:pStyle w:val="Heading8"/>
      </w:pPr>
      <w:r>
        <w:rPr>
          <w:i/>
        </w:rPr>
        <w:t xml:space="preserve">You </w:t>
      </w:r>
      <w:r>
        <w:t xml:space="preserve">must pay </w:t>
      </w:r>
      <w:r>
        <w:rPr>
          <w:i/>
        </w:rPr>
        <w:t xml:space="preserve">us </w:t>
      </w:r>
      <w:r>
        <w:t xml:space="preserve">for eligible usage that exceeds the available Included Value. </w:t>
      </w:r>
    </w:p>
    <w:p w14:paraId="2DEB7732" w14:textId="77777777" w:rsidR="000D07EA" w:rsidRDefault="00BE7C89">
      <w:pPr>
        <w:pStyle w:val="Heading8"/>
      </w:pPr>
      <w:r>
        <w:rPr>
          <w:i/>
        </w:rPr>
        <w:t xml:space="preserve">You </w:t>
      </w:r>
      <w:r>
        <w:t xml:space="preserve">must pay for any usage that is not part of </w:t>
      </w:r>
      <w:r>
        <w:rPr>
          <w:i/>
        </w:rPr>
        <w:t>your</w:t>
      </w:r>
      <w:r>
        <w:t xml:space="preserve"> Included Value.</w:t>
      </w:r>
    </w:p>
    <w:p w14:paraId="3D488E48" w14:textId="77777777" w:rsidR="000D07EA" w:rsidRDefault="00BE7C89">
      <w:pPr>
        <w:pStyle w:val="Heading8"/>
      </w:pPr>
      <w:r>
        <w:rPr>
          <w:snapToGrid w:val="0"/>
        </w:rPr>
        <w:t>Any unused portion of the Included Value expires at the end of each month. This means that it does not roll over into the following month.</w:t>
      </w:r>
    </w:p>
    <w:p w14:paraId="2387472F" w14:textId="77777777" w:rsidR="000D07EA" w:rsidRDefault="00BE7C89">
      <w:pPr>
        <w:pStyle w:val="Heading7"/>
        <w:rPr>
          <w:b/>
        </w:rPr>
      </w:pPr>
      <w:bookmarkStart w:id="834" w:name="_Ref461554839"/>
      <w:r>
        <w:rPr>
          <w:b/>
        </w:rPr>
        <w:t>Included Mobile Internet Data</w:t>
      </w:r>
      <w:bookmarkEnd w:id="834"/>
    </w:p>
    <w:p w14:paraId="17C2A68D" w14:textId="77777777" w:rsidR="000D07EA" w:rsidRDefault="00BE7C89">
      <w:pPr>
        <w:pStyle w:val="Heading8"/>
      </w:pPr>
      <w:r>
        <w:t>For each of the Business BYO Plans, you will receive an amount of Included Mobile Internet Data ('</w:t>
      </w:r>
      <w:r>
        <w:rPr>
          <w:b/>
        </w:rPr>
        <w:t>Included Data</w:t>
      </w:r>
      <w:r>
        <w:t>') to use within Australia.</w:t>
      </w:r>
    </w:p>
    <w:p w14:paraId="217C25D9" w14:textId="77777777" w:rsidR="000D07EA" w:rsidRDefault="00BE7C89">
      <w:pPr>
        <w:pStyle w:val="Heading8"/>
      </w:pPr>
      <w:r>
        <w:t>The amount of the Included Data for each Business BYO Plan is set out in Table 2A below.</w:t>
      </w:r>
    </w:p>
    <w:p w14:paraId="32C4B945" w14:textId="77777777" w:rsidR="000D07EA" w:rsidRDefault="00BE7C89">
      <w:pPr>
        <w:pStyle w:val="Heading8"/>
      </w:pPr>
      <w:r>
        <w:t xml:space="preserve">Usage that counts towards </w:t>
      </w:r>
      <w:r>
        <w:rPr>
          <w:i/>
        </w:rPr>
        <w:t>your</w:t>
      </w:r>
      <w:r>
        <w:t xml:space="preserve"> Included Data is set out in Table 1B below.</w:t>
      </w:r>
    </w:p>
    <w:p w14:paraId="400451D3" w14:textId="77777777" w:rsidR="000D07EA" w:rsidRDefault="00BE7C89">
      <w:pPr>
        <w:pStyle w:val="Heading8"/>
      </w:pPr>
      <w:r>
        <w:rPr>
          <w:i/>
        </w:rPr>
        <w:t xml:space="preserve">You </w:t>
      </w:r>
      <w:r>
        <w:t xml:space="preserve">must pay </w:t>
      </w:r>
      <w:r>
        <w:rPr>
          <w:i/>
        </w:rPr>
        <w:t xml:space="preserve">us </w:t>
      </w:r>
      <w:r>
        <w:t xml:space="preserve">excess data usage charges for data usage that exceeds the available Included Data. </w:t>
      </w:r>
    </w:p>
    <w:p w14:paraId="00C3E99E" w14:textId="77777777" w:rsidR="000D07EA" w:rsidRDefault="00BE7C89">
      <w:pPr>
        <w:pStyle w:val="Heading8"/>
      </w:pPr>
      <w:r>
        <w:lastRenderedPageBreak/>
        <w:t>Any</w:t>
      </w:r>
      <w:r>
        <w:rPr>
          <w:snapToGrid w:val="0"/>
        </w:rPr>
        <w:t xml:space="preserve"> unused portion of the Included Data expires at the end of each billing cycle and does not roll over into the following billing cycle.</w:t>
      </w:r>
      <w:r>
        <w:t xml:space="preserve"> </w:t>
      </w:r>
    </w:p>
    <w:p w14:paraId="76E5FD54" w14:textId="77777777" w:rsidR="000D07EA" w:rsidRDefault="00BE7C89">
      <w:pPr>
        <w:pStyle w:val="Heading8"/>
      </w:pPr>
      <w:r>
        <w:t xml:space="preserve">Data used while roaming internationally is not part of Included Data. </w:t>
      </w:r>
    </w:p>
    <w:p w14:paraId="703482CA" w14:textId="77777777" w:rsidR="000D07EA" w:rsidRDefault="00BE7C89">
      <w:pPr>
        <w:pStyle w:val="Heading8"/>
      </w:pPr>
      <w:r>
        <w:t xml:space="preserve">The Included Data on the $70 Business BYO Plan can be shared between selected Optus mobile </w:t>
      </w:r>
      <w:r>
        <w:rPr>
          <w:i/>
        </w:rPr>
        <w:t>service(s)</w:t>
      </w:r>
      <w:r>
        <w:t xml:space="preserve"> and Business Mobile Broadband </w:t>
      </w:r>
      <w:r>
        <w:rPr>
          <w:i/>
        </w:rPr>
        <w:t>services(s)</w:t>
      </w:r>
      <w:r>
        <w:t xml:space="preserve"> on the same customer account. All relevant </w:t>
      </w:r>
      <w:r>
        <w:rPr>
          <w:i/>
        </w:rPr>
        <w:t>services</w:t>
      </w:r>
      <w:r>
        <w:t xml:space="preserve"> must have data sharing as a feature of their respective </w:t>
      </w:r>
      <w:r>
        <w:rPr>
          <w:i/>
        </w:rPr>
        <w:t>pricing plans</w:t>
      </w:r>
      <w:r>
        <w:t>.</w:t>
      </w:r>
    </w:p>
    <w:p w14:paraId="298A6DC1" w14:textId="77777777" w:rsidR="000D07EA" w:rsidRDefault="00BE7C89">
      <w:pPr>
        <w:pStyle w:val="Heading7"/>
        <w:rPr>
          <w:b/>
        </w:rPr>
      </w:pPr>
      <w:bookmarkStart w:id="835" w:name="_Ref461554849"/>
      <w:r>
        <w:rPr>
          <w:b/>
        </w:rPr>
        <w:t>Unlimited BlackBerry POP3 Email and Browsing (for customers with a Blackberry using an operating system version 7.1 or earlier)</w:t>
      </w:r>
      <w:bookmarkEnd w:id="835"/>
    </w:p>
    <w:p w14:paraId="3EA14E05" w14:textId="77777777" w:rsidR="000D07EA" w:rsidRDefault="00BE7C89">
      <w:pPr>
        <w:pStyle w:val="Heading8"/>
      </w:pPr>
      <w:r>
        <w:t xml:space="preserve">If </w:t>
      </w:r>
      <w:r>
        <w:rPr>
          <w:i/>
        </w:rPr>
        <w:t>you</w:t>
      </w:r>
      <w:r>
        <w:rPr>
          <w:rFonts w:eastAsia="MS Mincho"/>
        </w:rPr>
        <w:t xml:space="preserve"> have a compatible BlackBerry handset, you will receive unlimited BlackBerry POP3 Email and Brow</w:t>
      </w:r>
      <w:r>
        <w:t>sing to use within Australia on the following Business BYO Plans:</w:t>
      </w:r>
    </w:p>
    <w:p w14:paraId="4D3AE58A" w14:textId="77777777" w:rsidR="000D07EA" w:rsidRDefault="00BE7C89">
      <w:pPr>
        <w:pStyle w:val="Heading9"/>
      </w:pPr>
      <w:r>
        <w:t>$40 Business BYO Plan (Dec 2012)</w:t>
      </w:r>
    </w:p>
    <w:p w14:paraId="6784C329" w14:textId="77777777" w:rsidR="000D07EA" w:rsidRDefault="00BE7C89">
      <w:pPr>
        <w:pStyle w:val="Heading9"/>
      </w:pPr>
      <w:r>
        <w:t>$50 Business BYO Plan (Dec 2012)</w:t>
      </w:r>
    </w:p>
    <w:p w14:paraId="6B3FE88A" w14:textId="77777777" w:rsidR="000D07EA" w:rsidRDefault="00BE7C89">
      <w:pPr>
        <w:pStyle w:val="Heading9"/>
      </w:pPr>
      <w:r>
        <w:t>$60 Business BYO Plan (Dec 2012)</w:t>
      </w:r>
    </w:p>
    <w:p w14:paraId="0DC8DE83" w14:textId="77777777" w:rsidR="000D07EA" w:rsidRDefault="00BE7C89">
      <w:pPr>
        <w:pStyle w:val="Heading9"/>
      </w:pPr>
      <w:r>
        <w:t>$70 Business BYO Plan (Dec 2012)</w:t>
      </w:r>
    </w:p>
    <w:p w14:paraId="6E0CFC1D" w14:textId="77777777" w:rsidR="000D07EA" w:rsidRDefault="00BE7C89">
      <w:pPr>
        <w:pStyle w:val="Heading8"/>
      </w:pPr>
      <w:r>
        <w:t>The usage types that are part of the unlimited BlackBerry POP3 Email and Browsing inclusion are defined in Table 1C below.</w:t>
      </w:r>
    </w:p>
    <w:p w14:paraId="0330CB0B" w14:textId="77777777" w:rsidR="000D07EA" w:rsidRDefault="00BE7C89">
      <w:pPr>
        <w:pStyle w:val="Heading8"/>
      </w:pPr>
      <w:r>
        <w:rPr>
          <w:i/>
        </w:rPr>
        <w:t xml:space="preserve">You </w:t>
      </w:r>
      <w:r>
        <w:t xml:space="preserve">must pay </w:t>
      </w:r>
      <w:r>
        <w:rPr>
          <w:i/>
        </w:rPr>
        <w:t xml:space="preserve">us </w:t>
      </w:r>
      <w:r>
        <w:t xml:space="preserve">excess data usage charges for data usage that is not part of the unlimited Blackberry POP 3 Email and Browsing inclusion and that exceeds </w:t>
      </w:r>
      <w:r>
        <w:rPr>
          <w:i/>
        </w:rPr>
        <w:t>your</w:t>
      </w:r>
      <w:r>
        <w:t xml:space="preserve"> available Included Data.</w:t>
      </w:r>
    </w:p>
    <w:p w14:paraId="01EA04B2" w14:textId="77777777" w:rsidR="000D07EA" w:rsidRDefault="00BE7C89">
      <w:pPr>
        <w:pStyle w:val="Heading8"/>
      </w:pPr>
      <w:r>
        <w:t>The Fair Go Policy (</w:t>
      </w:r>
      <w:hyperlink r:id="rId547" w:history="1">
        <w:r>
          <w:rPr>
            <w:rStyle w:val="Hyperlink"/>
            <w:i/>
          </w:rPr>
          <w:t>Appendix S</w:t>
        </w:r>
      </w:hyperlink>
      <w:r>
        <w:t xml:space="preserve">) applies. Unlimited BlackBerry POP3 Email and Browsing is not to be used for a </w:t>
      </w:r>
      <w:r>
        <w:rPr>
          <w:i/>
        </w:rPr>
        <w:t>commercial or non-ordinary purpose</w:t>
      </w:r>
      <w:r>
        <w:t xml:space="preserve">. Please refer to </w:t>
      </w:r>
      <w:hyperlink r:id="rId548" w:history="1">
        <w:r w:rsidR="00503F23">
          <w:rPr>
            <w:rStyle w:val="Hyperlink"/>
            <w:i/>
          </w:rPr>
          <w:t>Appendix S</w:t>
        </w:r>
      </w:hyperlink>
      <w:r w:rsidR="009A4616">
        <w:rPr>
          <w:rStyle w:val="Hyperlink"/>
          <w:i/>
        </w:rPr>
        <w:t xml:space="preserve"> </w:t>
      </w:r>
      <w:r>
        <w:rPr>
          <w:i/>
        </w:rPr>
        <w:t xml:space="preserve"> </w:t>
      </w:r>
      <w:r>
        <w:t>for further details.</w:t>
      </w:r>
    </w:p>
    <w:p w14:paraId="09C2CDC7" w14:textId="77777777" w:rsidR="000D07EA" w:rsidRDefault="00BE7C89">
      <w:pPr>
        <w:pStyle w:val="Heading7"/>
        <w:rPr>
          <w:b/>
        </w:rPr>
      </w:pPr>
      <w:bookmarkStart w:id="836" w:name="_Ref461554859"/>
      <w:r>
        <w:rPr>
          <w:b/>
        </w:rPr>
        <w:t>Unlimited standard national SMS on selected Business BYO Plans</w:t>
      </w:r>
      <w:bookmarkEnd w:id="836"/>
    </w:p>
    <w:p w14:paraId="115CFCBE" w14:textId="77777777" w:rsidR="000D07EA" w:rsidRDefault="00BE7C89">
      <w:pPr>
        <w:pStyle w:val="Heading8"/>
      </w:pPr>
      <w:r>
        <w:rPr>
          <w:i/>
        </w:rPr>
        <w:t xml:space="preserve">You </w:t>
      </w:r>
      <w:r>
        <w:t>may send unlimited standard SMS to Australian mobiles from within Australia on the following Business BYO Plans:</w:t>
      </w:r>
    </w:p>
    <w:p w14:paraId="3758D2BE" w14:textId="77777777" w:rsidR="000D07EA" w:rsidRDefault="00BE7C89">
      <w:pPr>
        <w:pStyle w:val="Heading9"/>
      </w:pPr>
      <w:r>
        <w:t>$40 Business BYO Plan (Dec 2012)</w:t>
      </w:r>
    </w:p>
    <w:p w14:paraId="6599A2E0" w14:textId="77777777" w:rsidR="000D07EA" w:rsidRDefault="00BE7C89">
      <w:pPr>
        <w:pStyle w:val="Heading9"/>
      </w:pPr>
      <w:r>
        <w:t>$50 Business BYO Plan (Dec 2012)</w:t>
      </w:r>
    </w:p>
    <w:p w14:paraId="520A498F" w14:textId="77777777" w:rsidR="000D07EA" w:rsidRDefault="00BE7C89">
      <w:pPr>
        <w:pStyle w:val="Heading9"/>
      </w:pPr>
      <w:r>
        <w:t>$60 Business BYO Plan (Dec 2012)</w:t>
      </w:r>
    </w:p>
    <w:p w14:paraId="6FB4D926" w14:textId="77777777" w:rsidR="000D07EA" w:rsidRDefault="00BE7C89">
      <w:pPr>
        <w:pStyle w:val="Heading9"/>
      </w:pPr>
      <w:r>
        <w:t>$70 Business BYO Plan (Dec 2012)</w:t>
      </w:r>
    </w:p>
    <w:p w14:paraId="07FB7DB8" w14:textId="77777777" w:rsidR="000D07EA" w:rsidRDefault="00BE7C89">
      <w:pPr>
        <w:pStyle w:val="Heading8"/>
      </w:pPr>
      <w:r>
        <w:t>Unlimited SMS excludes MMS, Satellite, International, Premium, Group and Email SMS.</w:t>
      </w:r>
    </w:p>
    <w:p w14:paraId="5612B982" w14:textId="77777777" w:rsidR="000D07EA" w:rsidRDefault="00BE7C89">
      <w:pPr>
        <w:pStyle w:val="Heading8"/>
      </w:pPr>
      <w:r>
        <w:t>The Fair Go Policy (</w:t>
      </w:r>
      <w:hyperlink r:id="rId549" w:history="1">
        <w:r>
          <w:rPr>
            <w:rStyle w:val="Hyperlink"/>
            <w:i/>
          </w:rPr>
          <w:t>Appendix S</w:t>
        </w:r>
      </w:hyperlink>
      <w:r>
        <w:t xml:space="preserve">) applies. Unlimited standard national SMS is only available for personal use and is not to be used for a </w:t>
      </w:r>
      <w:r>
        <w:rPr>
          <w:i/>
        </w:rPr>
        <w:t>commercial or non-ordinary purpose</w:t>
      </w:r>
      <w:r>
        <w:t xml:space="preserve">. For further details refer to </w:t>
      </w:r>
      <w:hyperlink r:id="rId550" w:history="1">
        <w:r w:rsidR="00503F23">
          <w:rPr>
            <w:rStyle w:val="Hyperlink"/>
            <w:i/>
          </w:rPr>
          <w:t>Appendix S</w:t>
        </w:r>
      </w:hyperlink>
      <w:r w:rsidRPr="00503F23">
        <w:t>.</w:t>
      </w:r>
    </w:p>
    <w:p w14:paraId="27639CE0" w14:textId="77777777" w:rsidR="000D07EA" w:rsidRDefault="00BE7C89">
      <w:pPr>
        <w:pStyle w:val="Heading7"/>
        <w:rPr>
          <w:b/>
        </w:rPr>
      </w:pPr>
      <w:bookmarkStart w:id="837" w:name="_Ref461554869"/>
      <w:r>
        <w:rPr>
          <w:b/>
        </w:rPr>
        <w:t>Unlimited Voice Calls to Optus Mobiles from within Australia on selected Business BYO Plans</w:t>
      </w:r>
      <w:bookmarkEnd w:id="837"/>
    </w:p>
    <w:p w14:paraId="3385FF63" w14:textId="77777777" w:rsidR="000D07EA" w:rsidRDefault="00BE7C89">
      <w:pPr>
        <w:pStyle w:val="Heading8"/>
      </w:pPr>
      <w:r>
        <w:rPr>
          <w:i/>
        </w:rPr>
        <w:t xml:space="preserve">You </w:t>
      </w:r>
      <w:r>
        <w:t>can make unlimited voice calls to Optus mobiles from within Australia on the following Business BYO Plans:</w:t>
      </w:r>
    </w:p>
    <w:p w14:paraId="36A353C7" w14:textId="77777777" w:rsidR="000D07EA" w:rsidRDefault="00BE7C89">
      <w:pPr>
        <w:pStyle w:val="Heading9"/>
      </w:pPr>
      <w:r>
        <w:t>$50 Business BYO Plan (Dec 2012)</w:t>
      </w:r>
    </w:p>
    <w:p w14:paraId="32D1D8D4" w14:textId="77777777" w:rsidR="000D07EA" w:rsidRDefault="00BE7C89">
      <w:pPr>
        <w:pStyle w:val="Heading9"/>
      </w:pPr>
      <w:r>
        <w:t>$60 Business BYO Plan (Dec 2012)</w:t>
      </w:r>
    </w:p>
    <w:p w14:paraId="37780732" w14:textId="77777777" w:rsidR="000D07EA" w:rsidRDefault="00BE7C89">
      <w:pPr>
        <w:pStyle w:val="Heading9"/>
      </w:pPr>
      <w:r>
        <w:lastRenderedPageBreak/>
        <w:t>$70 Business BYO Plan (Dec 2012)</w:t>
      </w:r>
    </w:p>
    <w:p w14:paraId="12B8DC43" w14:textId="77777777" w:rsidR="000D07EA" w:rsidRDefault="00BE7C89">
      <w:pPr>
        <w:pStyle w:val="Heading8"/>
      </w:pPr>
      <w:r>
        <w:t>The Fair Go Policy (</w:t>
      </w:r>
      <w:hyperlink r:id="rId551" w:history="1">
        <w:r>
          <w:rPr>
            <w:rStyle w:val="Hyperlink"/>
            <w:i/>
          </w:rPr>
          <w:t>Appendix S</w:t>
        </w:r>
      </w:hyperlink>
      <w:r>
        <w:t xml:space="preserve">) applies. Please refer to </w:t>
      </w:r>
      <w:hyperlink r:id="rId552" w:history="1">
        <w:r w:rsidR="00503F23">
          <w:rPr>
            <w:rStyle w:val="Hyperlink"/>
            <w:i/>
          </w:rPr>
          <w:t>Appendix S</w:t>
        </w:r>
      </w:hyperlink>
      <w:r>
        <w:t xml:space="preserve"> for further details. </w:t>
      </w:r>
    </w:p>
    <w:p w14:paraId="58E6BAAC" w14:textId="77777777" w:rsidR="000D07EA" w:rsidRDefault="00BE7C89">
      <w:pPr>
        <w:pStyle w:val="Heading7"/>
        <w:rPr>
          <w:b/>
        </w:rPr>
      </w:pPr>
      <w:bookmarkStart w:id="838" w:name="_Ref461554879"/>
      <w:r>
        <w:rPr>
          <w:b/>
        </w:rPr>
        <w:t>Unlimited voice calls to Optus Mobiles on Same Customer Account Number</w:t>
      </w:r>
      <w:bookmarkEnd w:id="838"/>
    </w:p>
    <w:p w14:paraId="26944B80" w14:textId="77777777" w:rsidR="000D07EA" w:rsidRDefault="00BE7C89">
      <w:pPr>
        <w:pStyle w:val="Heading8"/>
      </w:pPr>
      <w:r>
        <w:t xml:space="preserve">Under the Business BYO Plans, </w:t>
      </w:r>
      <w:r>
        <w:rPr>
          <w:i/>
        </w:rPr>
        <w:t>you</w:t>
      </w:r>
      <w:r>
        <w:t xml:space="preserve"> can make unlimited voice calls within Australia to other Optus Mobile services on the same customer account number for no additional cost.</w:t>
      </w:r>
    </w:p>
    <w:p w14:paraId="2221405F" w14:textId="77777777" w:rsidR="000D07EA" w:rsidRDefault="00BE7C89">
      <w:pPr>
        <w:pStyle w:val="Heading8"/>
      </w:pPr>
      <w:r>
        <w:t>The Fair Go Policy (</w:t>
      </w:r>
      <w:hyperlink r:id="rId553" w:history="1">
        <w:r>
          <w:rPr>
            <w:rStyle w:val="Hyperlink"/>
            <w:i/>
          </w:rPr>
          <w:t>Appendix S</w:t>
        </w:r>
      </w:hyperlink>
      <w:r>
        <w:t xml:space="preserve">) applies to this offer. Please refer to </w:t>
      </w:r>
      <w:hyperlink r:id="rId554" w:history="1">
        <w:r w:rsidR="00503F23">
          <w:rPr>
            <w:rStyle w:val="Hyperlink"/>
            <w:i/>
          </w:rPr>
          <w:t>Appendix S</w:t>
        </w:r>
      </w:hyperlink>
      <w:r w:rsidR="009A4616">
        <w:rPr>
          <w:rStyle w:val="Hyperlink"/>
          <w:i/>
        </w:rPr>
        <w:t xml:space="preserve"> </w:t>
      </w:r>
      <w:r>
        <w:t>for further details.</w:t>
      </w:r>
    </w:p>
    <w:p w14:paraId="70AF524D" w14:textId="77777777" w:rsidR="000D07EA" w:rsidRDefault="00BE7C89">
      <w:pPr>
        <w:pStyle w:val="Heading7"/>
        <w:rPr>
          <w:b/>
        </w:rPr>
      </w:pPr>
      <w:r>
        <w:rPr>
          <w:b/>
        </w:rPr>
        <w:t xml:space="preserve">Unlimited VoiceMail </w:t>
      </w:r>
    </w:p>
    <w:p w14:paraId="10F5535B" w14:textId="77777777" w:rsidR="000D07EA" w:rsidRDefault="00BE7C89" w:rsidP="00FB4F1A">
      <w:pPr>
        <w:pStyle w:val="BodyText"/>
        <w:ind w:left="1440"/>
      </w:pPr>
      <w:r>
        <w:t xml:space="preserve">Under the Business BYO Plans, </w:t>
      </w:r>
      <w:r>
        <w:rPr>
          <w:i/>
        </w:rPr>
        <w:t xml:space="preserve">you </w:t>
      </w:r>
      <w:r>
        <w:t>will receive Unlimited VoiceMail within Australia. The Fair Go Policy (</w:t>
      </w:r>
      <w:hyperlink r:id="rId555" w:history="1">
        <w:r>
          <w:rPr>
            <w:rStyle w:val="Hyperlink"/>
            <w:i/>
          </w:rPr>
          <w:t>Appendix S</w:t>
        </w:r>
      </w:hyperlink>
      <w:r>
        <w:t xml:space="preserve">) applies. Please refer to </w:t>
      </w:r>
      <w:r>
        <w:rPr>
          <w:i/>
        </w:rPr>
        <w:t xml:space="preserve">Appendix </w:t>
      </w:r>
      <w:r w:rsidR="00DD7FB0">
        <w:rPr>
          <w:i/>
        </w:rPr>
        <w:t>S</w:t>
      </w:r>
      <w:r>
        <w:rPr>
          <w:i/>
        </w:rPr>
        <w:t xml:space="preserve"> </w:t>
      </w:r>
      <w:r>
        <w:t>for further details.</w:t>
      </w:r>
    </w:p>
    <w:p w14:paraId="2E8B7572" w14:textId="77777777" w:rsidR="000D07EA" w:rsidRDefault="00BE7C89">
      <w:pPr>
        <w:pStyle w:val="Heading7"/>
        <w:rPr>
          <w:b/>
        </w:rPr>
      </w:pPr>
      <w:r>
        <w:rPr>
          <w:b/>
        </w:rPr>
        <w:t>Unlimited Standard National Calls , SMS/MMS and Voicemail</w:t>
      </w:r>
    </w:p>
    <w:p w14:paraId="37255069" w14:textId="77777777" w:rsidR="000D07EA" w:rsidRDefault="00BE7C89">
      <w:pPr>
        <w:pStyle w:val="Heading8"/>
      </w:pPr>
      <w:r>
        <w:t xml:space="preserve">On the $70 Business BYO Plan, </w:t>
      </w:r>
      <w:r>
        <w:rPr>
          <w:i/>
        </w:rPr>
        <w:t xml:space="preserve">you </w:t>
      </w:r>
      <w:r>
        <w:t>may:</w:t>
      </w:r>
    </w:p>
    <w:p w14:paraId="2D8A9640" w14:textId="77777777" w:rsidR="000D07EA" w:rsidRDefault="00BE7C89">
      <w:pPr>
        <w:pStyle w:val="Heading9"/>
      </w:pPr>
      <w:r>
        <w:t>send unlimited standard SMS and MMS to Australian mobiles from within Australia; and</w:t>
      </w:r>
    </w:p>
    <w:p w14:paraId="38B2E161" w14:textId="77777777" w:rsidR="000D07EA" w:rsidRDefault="00BE7C89">
      <w:pPr>
        <w:pStyle w:val="Heading9"/>
      </w:pPr>
      <w:r>
        <w:t xml:space="preserve">make unlimited voice calls within Australia to Australian fixed lines and Australian mobiles; </w:t>
      </w:r>
    </w:p>
    <w:p w14:paraId="417D0EB2" w14:textId="77777777" w:rsidR="000D07EA" w:rsidRDefault="00BE7C89">
      <w:pPr>
        <w:pStyle w:val="Heading9"/>
      </w:pPr>
      <w:r>
        <w:t xml:space="preserve">make unlimited calls to 13/1300/1800 numbers within Australia; and </w:t>
      </w:r>
    </w:p>
    <w:p w14:paraId="75A98EF0" w14:textId="77777777" w:rsidR="000D07EA" w:rsidRDefault="00BE7C89">
      <w:pPr>
        <w:pStyle w:val="Heading9"/>
      </w:pPr>
      <w:r>
        <w:t>receive unlimited voicemail for use within Australia.</w:t>
      </w:r>
    </w:p>
    <w:p w14:paraId="04DD89F2" w14:textId="77777777" w:rsidR="000D07EA" w:rsidRDefault="00BE7C89">
      <w:pPr>
        <w:pStyle w:val="Heading8"/>
      </w:pPr>
      <w:r>
        <w:t>Fair Go Policy (</w:t>
      </w:r>
      <w:hyperlink r:id="rId556" w:history="1">
        <w:r>
          <w:rPr>
            <w:rStyle w:val="Hyperlink"/>
            <w:i/>
          </w:rPr>
          <w:t>Appendix S</w:t>
        </w:r>
      </w:hyperlink>
      <w:r>
        <w:t>)</w:t>
      </w:r>
      <w:r>
        <w:rPr>
          <w:snapToGrid w:val="0"/>
        </w:rPr>
        <w:t xml:space="preserve"> applies.</w:t>
      </w:r>
      <w:r>
        <w:t xml:space="preserve"> Please refer to </w:t>
      </w:r>
      <w:hyperlink r:id="rId557" w:history="1">
        <w:r w:rsidR="00503F23">
          <w:rPr>
            <w:rStyle w:val="Hyperlink"/>
            <w:i/>
          </w:rPr>
          <w:t>Appendix S</w:t>
        </w:r>
      </w:hyperlink>
      <w:r>
        <w:t xml:space="preserve"> for further details.</w:t>
      </w:r>
    </w:p>
    <w:p w14:paraId="4201CD06" w14:textId="77777777" w:rsidR="000D07EA" w:rsidRDefault="00BE7C89">
      <w:pPr>
        <w:pStyle w:val="BodyText"/>
        <w:ind w:left="720"/>
        <w:rPr>
          <w:b/>
        </w:rPr>
      </w:pPr>
      <w:r>
        <w:rPr>
          <w:b/>
        </w:rPr>
        <w:t>Table 1A –- Usage types that are part of your Included Value</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875"/>
        <w:gridCol w:w="2880"/>
      </w:tblGrid>
      <w:tr w:rsidR="000D07EA" w14:paraId="4DFD9691" w14:textId="77777777">
        <w:trPr>
          <w:trHeight w:val="63"/>
          <w:tblHeader/>
        </w:trPr>
        <w:tc>
          <w:tcPr>
            <w:tcW w:w="5875" w:type="dxa"/>
          </w:tcPr>
          <w:p w14:paraId="5A233D4A" w14:textId="77777777" w:rsidR="000D07EA" w:rsidRDefault="00BE7C89">
            <w:pPr>
              <w:pStyle w:val="BodyText"/>
              <w:spacing w:before="100" w:after="100"/>
              <w:rPr>
                <w:b/>
                <w:bCs/>
              </w:rPr>
            </w:pPr>
            <w:r>
              <w:rPr>
                <w:b/>
                <w:bCs/>
              </w:rPr>
              <w:t>UsageType</w:t>
            </w:r>
          </w:p>
        </w:tc>
        <w:tc>
          <w:tcPr>
            <w:tcW w:w="2880" w:type="dxa"/>
          </w:tcPr>
          <w:p w14:paraId="14F31F1F" w14:textId="77777777" w:rsidR="000D07EA" w:rsidRDefault="00BE7C89">
            <w:pPr>
              <w:pStyle w:val="BodyText"/>
              <w:spacing w:before="100" w:after="100"/>
              <w:rPr>
                <w:b/>
                <w:bCs/>
              </w:rPr>
            </w:pPr>
            <w:r>
              <w:rPr>
                <w:b/>
                <w:bCs/>
              </w:rPr>
              <w:t>Included</w:t>
            </w:r>
          </w:p>
        </w:tc>
      </w:tr>
      <w:tr w:rsidR="000D07EA" w14:paraId="5302504D" w14:textId="77777777">
        <w:trPr>
          <w:trHeight w:val="63"/>
        </w:trPr>
        <w:tc>
          <w:tcPr>
            <w:tcW w:w="5875" w:type="dxa"/>
          </w:tcPr>
          <w:p w14:paraId="14861C42" w14:textId="77777777" w:rsidR="000D07EA" w:rsidRDefault="00BE7C89">
            <w:pPr>
              <w:pStyle w:val="BodyText"/>
              <w:spacing w:before="100" w:after="100"/>
            </w:pPr>
            <w:r>
              <w:t>Standard National Voice Calls</w:t>
            </w:r>
          </w:p>
        </w:tc>
        <w:tc>
          <w:tcPr>
            <w:tcW w:w="2880" w:type="dxa"/>
          </w:tcPr>
          <w:p w14:paraId="77F6D2CF" w14:textId="77777777" w:rsidR="000D07EA" w:rsidRDefault="00BE7C89">
            <w:pPr>
              <w:pStyle w:val="BodyText"/>
              <w:spacing w:before="100" w:after="100"/>
            </w:pPr>
            <w:r>
              <w:t>Yes</w:t>
            </w:r>
          </w:p>
        </w:tc>
      </w:tr>
      <w:tr w:rsidR="000D07EA" w14:paraId="6E5FFB6A" w14:textId="77777777">
        <w:trPr>
          <w:trHeight w:val="247"/>
        </w:trPr>
        <w:tc>
          <w:tcPr>
            <w:tcW w:w="5875" w:type="dxa"/>
          </w:tcPr>
          <w:p w14:paraId="1ACF729E" w14:textId="77777777" w:rsidR="000D07EA" w:rsidRDefault="00BE7C89">
            <w:pPr>
              <w:pStyle w:val="BodyText"/>
              <w:spacing w:before="100" w:after="100"/>
            </w:pPr>
            <w:r>
              <w:t>International Voice Calls</w:t>
            </w:r>
          </w:p>
          <w:p w14:paraId="236CC64E" w14:textId="77777777" w:rsidR="000D07EA" w:rsidRDefault="00BE7C89">
            <w:pPr>
              <w:pStyle w:val="BodyText"/>
              <w:spacing w:before="100" w:after="100"/>
            </w:pPr>
            <w:r>
              <w:rPr>
                <w:snapToGrid w:val="0"/>
              </w:rPr>
              <w:t>(includes calls to national fixed or mobile services that then divert/switch or re-route overseas)</w:t>
            </w:r>
          </w:p>
        </w:tc>
        <w:tc>
          <w:tcPr>
            <w:tcW w:w="2880" w:type="dxa"/>
          </w:tcPr>
          <w:p w14:paraId="1F006CF0" w14:textId="77777777" w:rsidR="000D07EA" w:rsidRDefault="00BE7C89">
            <w:pPr>
              <w:pStyle w:val="BodyText"/>
              <w:spacing w:before="100" w:after="100"/>
            </w:pPr>
            <w:r>
              <w:t xml:space="preserve">No </w:t>
            </w:r>
          </w:p>
        </w:tc>
      </w:tr>
      <w:tr w:rsidR="000D07EA" w14:paraId="11F53509" w14:textId="77777777">
        <w:trPr>
          <w:trHeight w:val="63"/>
        </w:trPr>
        <w:tc>
          <w:tcPr>
            <w:tcW w:w="5875" w:type="dxa"/>
          </w:tcPr>
          <w:p w14:paraId="733D159B" w14:textId="77777777" w:rsidR="000D07EA" w:rsidRDefault="00BE7C89">
            <w:pPr>
              <w:pStyle w:val="BodyText"/>
              <w:spacing w:before="100" w:after="100"/>
            </w:pPr>
            <w:r>
              <w:t>Standard National Video Calls</w:t>
            </w:r>
          </w:p>
        </w:tc>
        <w:tc>
          <w:tcPr>
            <w:tcW w:w="2880" w:type="dxa"/>
          </w:tcPr>
          <w:p w14:paraId="0972BE25" w14:textId="77777777" w:rsidR="000D07EA" w:rsidRDefault="00BE7C89">
            <w:pPr>
              <w:pStyle w:val="BodyText"/>
              <w:spacing w:before="100" w:after="100"/>
            </w:pPr>
            <w:r>
              <w:t>No</w:t>
            </w:r>
          </w:p>
        </w:tc>
      </w:tr>
      <w:tr w:rsidR="000D07EA" w14:paraId="15F9C554" w14:textId="77777777">
        <w:trPr>
          <w:trHeight w:val="247"/>
        </w:trPr>
        <w:tc>
          <w:tcPr>
            <w:tcW w:w="5875" w:type="dxa"/>
          </w:tcPr>
          <w:p w14:paraId="07005877" w14:textId="77777777" w:rsidR="000D07EA" w:rsidRDefault="00BE7C89">
            <w:pPr>
              <w:pStyle w:val="BodyText"/>
              <w:spacing w:before="100" w:after="100"/>
            </w:pPr>
            <w:r>
              <w:t>International Video Calls</w:t>
            </w:r>
          </w:p>
          <w:p w14:paraId="334E7791" w14:textId="77777777" w:rsidR="000D07EA" w:rsidRDefault="00BE7C89">
            <w:pPr>
              <w:pStyle w:val="BodyText"/>
              <w:spacing w:before="100" w:after="100"/>
            </w:pPr>
            <w:r>
              <w:rPr>
                <w:snapToGrid w:val="0"/>
              </w:rPr>
              <w:t>(includes calls to national fixed or mobile services that then divert/switch or re-route overseas)</w:t>
            </w:r>
          </w:p>
        </w:tc>
        <w:tc>
          <w:tcPr>
            <w:tcW w:w="2880" w:type="dxa"/>
          </w:tcPr>
          <w:p w14:paraId="644DC134" w14:textId="77777777" w:rsidR="000D07EA" w:rsidRDefault="00BE7C89">
            <w:pPr>
              <w:pStyle w:val="BodyText"/>
              <w:spacing w:before="100" w:after="100"/>
            </w:pPr>
            <w:r>
              <w:t>No</w:t>
            </w:r>
          </w:p>
        </w:tc>
      </w:tr>
      <w:tr w:rsidR="000D07EA" w14:paraId="72D825FC" w14:textId="77777777">
        <w:trPr>
          <w:trHeight w:val="247"/>
        </w:trPr>
        <w:tc>
          <w:tcPr>
            <w:tcW w:w="5875" w:type="dxa"/>
          </w:tcPr>
          <w:p w14:paraId="2A13EE66" w14:textId="77777777" w:rsidR="000D07EA" w:rsidRDefault="00BE7C89">
            <w:pPr>
              <w:pStyle w:val="BodyText"/>
              <w:spacing w:before="100" w:after="100"/>
            </w:pPr>
            <w:r>
              <w:t>Standard National SMS</w:t>
            </w:r>
          </w:p>
        </w:tc>
        <w:tc>
          <w:tcPr>
            <w:tcW w:w="2880" w:type="dxa"/>
          </w:tcPr>
          <w:p w14:paraId="59AD9273" w14:textId="77777777" w:rsidR="000D07EA" w:rsidRDefault="00BE7C89">
            <w:pPr>
              <w:pStyle w:val="BodyText"/>
              <w:spacing w:before="100" w:after="100"/>
            </w:pPr>
            <w:r>
              <w:t>Yes</w:t>
            </w:r>
          </w:p>
        </w:tc>
      </w:tr>
      <w:tr w:rsidR="000D07EA" w14:paraId="7CACCACA" w14:textId="77777777">
        <w:trPr>
          <w:trHeight w:val="247"/>
        </w:trPr>
        <w:tc>
          <w:tcPr>
            <w:tcW w:w="5875" w:type="dxa"/>
          </w:tcPr>
          <w:p w14:paraId="69361713" w14:textId="77777777" w:rsidR="000D07EA" w:rsidRDefault="00BE7C89">
            <w:pPr>
              <w:pStyle w:val="BodyText"/>
              <w:spacing w:before="100" w:after="100"/>
            </w:pPr>
            <w:r>
              <w:t>International SMS</w:t>
            </w:r>
          </w:p>
        </w:tc>
        <w:tc>
          <w:tcPr>
            <w:tcW w:w="2880" w:type="dxa"/>
          </w:tcPr>
          <w:p w14:paraId="5B202EB5" w14:textId="77777777" w:rsidR="000D07EA" w:rsidRDefault="00BE7C89">
            <w:pPr>
              <w:pStyle w:val="BodyText"/>
              <w:spacing w:before="100" w:after="100"/>
            </w:pPr>
            <w:r>
              <w:t>No</w:t>
            </w:r>
          </w:p>
        </w:tc>
      </w:tr>
      <w:tr w:rsidR="000D07EA" w14:paraId="363C030B" w14:textId="77777777">
        <w:trPr>
          <w:trHeight w:val="63"/>
        </w:trPr>
        <w:tc>
          <w:tcPr>
            <w:tcW w:w="5875" w:type="dxa"/>
          </w:tcPr>
          <w:p w14:paraId="0BEC9CF3" w14:textId="77777777" w:rsidR="000D07EA" w:rsidRDefault="00BE7C89">
            <w:pPr>
              <w:pStyle w:val="BodyText"/>
              <w:spacing w:before="100" w:after="100"/>
            </w:pPr>
            <w:r>
              <w:t xml:space="preserve">Voicemail </w:t>
            </w:r>
          </w:p>
        </w:tc>
        <w:tc>
          <w:tcPr>
            <w:tcW w:w="2880" w:type="dxa"/>
          </w:tcPr>
          <w:p w14:paraId="0F4DC99B" w14:textId="77777777" w:rsidR="000D07EA" w:rsidRDefault="00BE7C89">
            <w:pPr>
              <w:pStyle w:val="BodyText"/>
              <w:spacing w:before="100" w:after="100"/>
            </w:pPr>
            <w:r>
              <w:t>No</w:t>
            </w:r>
          </w:p>
        </w:tc>
      </w:tr>
      <w:tr w:rsidR="000D07EA" w14:paraId="0E60FD88" w14:textId="77777777">
        <w:trPr>
          <w:trHeight w:val="247"/>
        </w:trPr>
        <w:tc>
          <w:tcPr>
            <w:tcW w:w="5875" w:type="dxa"/>
          </w:tcPr>
          <w:p w14:paraId="374D9EA1" w14:textId="77777777" w:rsidR="000D07EA" w:rsidRDefault="00BE7C89">
            <w:pPr>
              <w:pStyle w:val="BodyText"/>
              <w:spacing w:before="100" w:after="100"/>
            </w:pPr>
            <w:r>
              <w:t>National Diversions</w:t>
            </w:r>
          </w:p>
        </w:tc>
        <w:tc>
          <w:tcPr>
            <w:tcW w:w="2880" w:type="dxa"/>
          </w:tcPr>
          <w:p w14:paraId="37CB53F7" w14:textId="77777777" w:rsidR="000D07EA" w:rsidRDefault="00BE7C89">
            <w:pPr>
              <w:pStyle w:val="BodyText"/>
              <w:spacing w:before="100" w:after="100"/>
            </w:pPr>
            <w:r>
              <w:t>No</w:t>
            </w:r>
          </w:p>
        </w:tc>
      </w:tr>
      <w:tr w:rsidR="000D07EA" w14:paraId="4FF4EF64" w14:textId="77777777">
        <w:trPr>
          <w:trHeight w:val="247"/>
        </w:trPr>
        <w:tc>
          <w:tcPr>
            <w:tcW w:w="5875" w:type="dxa"/>
          </w:tcPr>
          <w:p w14:paraId="39EAF2DE" w14:textId="77777777" w:rsidR="000D07EA" w:rsidRDefault="00BE7C89">
            <w:pPr>
              <w:pStyle w:val="BodyText"/>
              <w:spacing w:before="100" w:after="100"/>
            </w:pPr>
            <w:r>
              <w:t>International Roaming &amp; Diversions</w:t>
            </w:r>
          </w:p>
        </w:tc>
        <w:tc>
          <w:tcPr>
            <w:tcW w:w="2880" w:type="dxa"/>
          </w:tcPr>
          <w:p w14:paraId="05740BCA" w14:textId="77777777" w:rsidR="000D07EA" w:rsidRDefault="00BE7C89">
            <w:pPr>
              <w:pStyle w:val="BodyText"/>
              <w:spacing w:before="100" w:after="100"/>
            </w:pPr>
            <w:r>
              <w:t>No</w:t>
            </w:r>
          </w:p>
        </w:tc>
      </w:tr>
      <w:tr w:rsidR="000D07EA" w14:paraId="6D3E8BFC" w14:textId="77777777">
        <w:trPr>
          <w:trHeight w:val="63"/>
        </w:trPr>
        <w:tc>
          <w:tcPr>
            <w:tcW w:w="5875" w:type="dxa"/>
          </w:tcPr>
          <w:p w14:paraId="0290B336" w14:textId="77777777" w:rsidR="000D07EA" w:rsidRDefault="00BE7C89">
            <w:pPr>
              <w:pStyle w:val="BodyText"/>
              <w:spacing w:before="100" w:after="100"/>
            </w:pPr>
            <w:r>
              <w:t>Premium SMS</w:t>
            </w:r>
          </w:p>
        </w:tc>
        <w:tc>
          <w:tcPr>
            <w:tcW w:w="2880" w:type="dxa"/>
          </w:tcPr>
          <w:p w14:paraId="0437D6F8" w14:textId="77777777" w:rsidR="000D07EA" w:rsidRDefault="00BE7C89">
            <w:pPr>
              <w:pStyle w:val="BodyText"/>
              <w:spacing w:before="100" w:after="100"/>
            </w:pPr>
            <w:r>
              <w:t>No</w:t>
            </w:r>
          </w:p>
        </w:tc>
      </w:tr>
      <w:tr w:rsidR="000D07EA" w14:paraId="75EF2664" w14:textId="77777777">
        <w:trPr>
          <w:trHeight w:val="247"/>
        </w:trPr>
        <w:tc>
          <w:tcPr>
            <w:tcW w:w="5875" w:type="dxa"/>
          </w:tcPr>
          <w:p w14:paraId="138D339B" w14:textId="77777777" w:rsidR="000D07EA" w:rsidRDefault="00BE7C89">
            <w:pPr>
              <w:pStyle w:val="BodyText"/>
              <w:spacing w:before="100" w:after="100"/>
            </w:pPr>
            <w:r>
              <w:t xml:space="preserve">Premium Video </w:t>
            </w:r>
          </w:p>
        </w:tc>
        <w:tc>
          <w:tcPr>
            <w:tcW w:w="2880" w:type="dxa"/>
          </w:tcPr>
          <w:p w14:paraId="2B018F9C" w14:textId="77777777" w:rsidR="000D07EA" w:rsidRDefault="00BE7C89">
            <w:pPr>
              <w:pStyle w:val="BodyText"/>
              <w:spacing w:before="100" w:after="100"/>
            </w:pPr>
            <w:r>
              <w:t>No</w:t>
            </w:r>
          </w:p>
        </w:tc>
      </w:tr>
      <w:tr w:rsidR="000D07EA" w14:paraId="6D1193D7" w14:textId="77777777">
        <w:trPr>
          <w:trHeight w:val="247"/>
        </w:trPr>
        <w:tc>
          <w:tcPr>
            <w:tcW w:w="5875" w:type="dxa"/>
          </w:tcPr>
          <w:p w14:paraId="72A0B88B" w14:textId="77777777" w:rsidR="000D07EA" w:rsidRDefault="00BE7C89">
            <w:pPr>
              <w:pStyle w:val="BodyText"/>
              <w:spacing w:before="100" w:after="100"/>
            </w:pPr>
            <w:r>
              <w:lastRenderedPageBreak/>
              <w:t xml:space="preserve">Video Conferencing </w:t>
            </w:r>
          </w:p>
        </w:tc>
        <w:tc>
          <w:tcPr>
            <w:tcW w:w="2880" w:type="dxa"/>
          </w:tcPr>
          <w:p w14:paraId="1AD4B432" w14:textId="77777777" w:rsidR="000D07EA" w:rsidRDefault="00BE7C89">
            <w:pPr>
              <w:pStyle w:val="BodyText"/>
              <w:spacing w:before="100" w:after="100"/>
            </w:pPr>
            <w:r>
              <w:t>No</w:t>
            </w:r>
          </w:p>
        </w:tc>
      </w:tr>
      <w:tr w:rsidR="000D07EA" w14:paraId="6B7782AD" w14:textId="77777777">
        <w:trPr>
          <w:trHeight w:val="247"/>
        </w:trPr>
        <w:tc>
          <w:tcPr>
            <w:tcW w:w="5875" w:type="dxa"/>
          </w:tcPr>
          <w:p w14:paraId="5661895A" w14:textId="77777777" w:rsidR="000D07EA" w:rsidRDefault="00BE7C89">
            <w:pPr>
              <w:pStyle w:val="BodyText"/>
              <w:spacing w:before="100" w:after="100"/>
            </w:pPr>
            <w:r>
              <w:t>Standard National MMS</w:t>
            </w:r>
          </w:p>
        </w:tc>
        <w:tc>
          <w:tcPr>
            <w:tcW w:w="2880" w:type="dxa"/>
          </w:tcPr>
          <w:p w14:paraId="76DF3169" w14:textId="77777777" w:rsidR="000D07EA" w:rsidRDefault="00BE7C89">
            <w:pPr>
              <w:pStyle w:val="BodyText"/>
              <w:spacing w:before="100" w:after="100"/>
            </w:pPr>
            <w:r>
              <w:t>Yes</w:t>
            </w:r>
          </w:p>
        </w:tc>
      </w:tr>
      <w:tr w:rsidR="000D07EA" w14:paraId="6A3343F1" w14:textId="77777777">
        <w:trPr>
          <w:trHeight w:val="247"/>
        </w:trPr>
        <w:tc>
          <w:tcPr>
            <w:tcW w:w="5875" w:type="dxa"/>
          </w:tcPr>
          <w:p w14:paraId="62DD18A9" w14:textId="77777777" w:rsidR="000D07EA" w:rsidRDefault="00BE7C89">
            <w:pPr>
              <w:pStyle w:val="BodyText"/>
              <w:spacing w:before="100" w:after="100"/>
            </w:pPr>
            <w:r>
              <w:t>International MMS</w:t>
            </w:r>
          </w:p>
        </w:tc>
        <w:tc>
          <w:tcPr>
            <w:tcW w:w="2880" w:type="dxa"/>
          </w:tcPr>
          <w:p w14:paraId="5708084D" w14:textId="77777777" w:rsidR="000D07EA" w:rsidRDefault="00BE7C89">
            <w:pPr>
              <w:pStyle w:val="BodyText"/>
              <w:spacing w:before="100" w:after="100"/>
            </w:pPr>
            <w:r>
              <w:t>No</w:t>
            </w:r>
          </w:p>
        </w:tc>
      </w:tr>
      <w:tr w:rsidR="000D07EA" w14:paraId="5E8B515F" w14:textId="77777777">
        <w:trPr>
          <w:trHeight w:val="247"/>
        </w:trPr>
        <w:tc>
          <w:tcPr>
            <w:tcW w:w="5875" w:type="dxa"/>
          </w:tcPr>
          <w:p w14:paraId="4BC269D0" w14:textId="77777777" w:rsidR="000D07EA" w:rsidRDefault="00BE7C89">
            <w:pPr>
              <w:pStyle w:val="BodyText"/>
              <w:spacing w:before="100" w:after="100"/>
            </w:pPr>
            <w:r>
              <w:t>Optus iZoo Browsing</w:t>
            </w:r>
          </w:p>
        </w:tc>
        <w:tc>
          <w:tcPr>
            <w:tcW w:w="2880" w:type="dxa"/>
          </w:tcPr>
          <w:p w14:paraId="7C6234AA" w14:textId="77777777" w:rsidR="000D07EA" w:rsidRDefault="00BE7C89">
            <w:pPr>
              <w:pStyle w:val="BodyText"/>
              <w:spacing w:before="100" w:after="100"/>
            </w:pPr>
            <w:r>
              <w:t>No</w:t>
            </w:r>
          </w:p>
        </w:tc>
      </w:tr>
      <w:tr w:rsidR="000D07EA" w14:paraId="4E42093B" w14:textId="77777777">
        <w:trPr>
          <w:trHeight w:val="63"/>
        </w:trPr>
        <w:tc>
          <w:tcPr>
            <w:tcW w:w="5875" w:type="dxa"/>
          </w:tcPr>
          <w:p w14:paraId="21BD8DD8" w14:textId="77777777" w:rsidR="000D07EA" w:rsidRDefault="00BE7C89">
            <w:pPr>
              <w:pStyle w:val="BodyText"/>
              <w:spacing w:before="100" w:after="100"/>
            </w:pPr>
            <w:r>
              <w:t>Optus Zoo iZoo Downloads</w:t>
            </w:r>
          </w:p>
        </w:tc>
        <w:tc>
          <w:tcPr>
            <w:tcW w:w="2880" w:type="dxa"/>
          </w:tcPr>
          <w:p w14:paraId="7FF75342" w14:textId="77777777" w:rsidR="000D07EA" w:rsidRDefault="00BE7C89">
            <w:pPr>
              <w:pStyle w:val="BodyText"/>
              <w:spacing w:before="100" w:after="100"/>
            </w:pPr>
            <w:r>
              <w:t>No</w:t>
            </w:r>
          </w:p>
        </w:tc>
      </w:tr>
      <w:tr w:rsidR="000D07EA" w14:paraId="6DA3A81D" w14:textId="77777777">
        <w:trPr>
          <w:trHeight w:val="63"/>
        </w:trPr>
        <w:tc>
          <w:tcPr>
            <w:tcW w:w="5875" w:type="dxa"/>
          </w:tcPr>
          <w:p w14:paraId="5668F8D2" w14:textId="77777777" w:rsidR="000D07EA" w:rsidRDefault="00BE7C89">
            <w:pPr>
              <w:pStyle w:val="BodyText"/>
              <w:spacing w:before="100" w:after="100"/>
            </w:pPr>
            <w:r>
              <w:t>SMS to 966 (Zoo)</w:t>
            </w:r>
          </w:p>
        </w:tc>
        <w:tc>
          <w:tcPr>
            <w:tcW w:w="2880" w:type="dxa"/>
          </w:tcPr>
          <w:p w14:paraId="141E68B5" w14:textId="77777777" w:rsidR="000D07EA" w:rsidRDefault="00BE7C89">
            <w:pPr>
              <w:pStyle w:val="BodyText"/>
              <w:spacing w:before="100" w:after="100"/>
            </w:pPr>
            <w:r>
              <w:t>No</w:t>
            </w:r>
          </w:p>
        </w:tc>
      </w:tr>
      <w:tr w:rsidR="000D07EA" w14:paraId="3891FE5F" w14:textId="77777777">
        <w:trPr>
          <w:trHeight w:val="63"/>
        </w:trPr>
        <w:tc>
          <w:tcPr>
            <w:tcW w:w="5875" w:type="dxa"/>
          </w:tcPr>
          <w:p w14:paraId="3A7561DD" w14:textId="77777777" w:rsidR="000D07EA" w:rsidRDefault="00BE7C89">
            <w:pPr>
              <w:pStyle w:val="BodyText"/>
              <w:spacing w:before="100" w:after="100"/>
            </w:pPr>
            <w:r>
              <w:t>Data used whilst roaming internationally</w:t>
            </w:r>
          </w:p>
        </w:tc>
        <w:tc>
          <w:tcPr>
            <w:tcW w:w="2880" w:type="dxa"/>
          </w:tcPr>
          <w:p w14:paraId="4438228B" w14:textId="77777777" w:rsidR="000D07EA" w:rsidRDefault="00BE7C89">
            <w:pPr>
              <w:pStyle w:val="BodyText"/>
              <w:spacing w:before="100" w:after="100"/>
            </w:pPr>
            <w:r>
              <w:t>No</w:t>
            </w:r>
          </w:p>
        </w:tc>
      </w:tr>
      <w:tr w:rsidR="000D07EA" w14:paraId="37C6EA50" w14:textId="77777777">
        <w:trPr>
          <w:trHeight w:val="63"/>
        </w:trPr>
        <w:tc>
          <w:tcPr>
            <w:tcW w:w="5875" w:type="dxa"/>
          </w:tcPr>
          <w:p w14:paraId="53D84E1D" w14:textId="77777777" w:rsidR="000D07EA" w:rsidRDefault="00BE7C89">
            <w:pPr>
              <w:pStyle w:val="BodyText"/>
              <w:spacing w:before="100" w:after="100"/>
            </w:pPr>
            <w:r>
              <w:t xml:space="preserve">Directory Assistance – 1223 </w:t>
            </w:r>
          </w:p>
        </w:tc>
        <w:tc>
          <w:tcPr>
            <w:tcW w:w="2880" w:type="dxa"/>
          </w:tcPr>
          <w:p w14:paraId="2C3992F1" w14:textId="77777777" w:rsidR="000D07EA" w:rsidRDefault="00BE7C89">
            <w:pPr>
              <w:pStyle w:val="BodyText"/>
              <w:spacing w:before="100" w:after="100"/>
            </w:pPr>
            <w:r>
              <w:t>No</w:t>
            </w:r>
          </w:p>
        </w:tc>
      </w:tr>
      <w:tr w:rsidR="000D07EA" w14:paraId="43C1E41A" w14:textId="77777777">
        <w:trPr>
          <w:trHeight w:val="247"/>
        </w:trPr>
        <w:tc>
          <w:tcPr>
            <w:tcW w:w="5875" w:type="dxa"/>
          </w:tcPr>
          <w:p w14:paraId="6517D2D5" w14:textId="77777777" w:rsidR="000D07EA" w:rsidRDefault="00BE7C89">
            <w:pPr>
              <w:pStyle w:val="BodyText"/>
              <w:spacing w:before="100" w:after="100"/>
            </w:pPr>
            <w:r>
              <w:t>19XX Numbers</w:t>
            </w:r>
          </w:p>
        </w:tc>
        <w:tc>
          <w:tcPr>
            <w:tcW w:w="2880" w:type="dxa"/>
          </w:tcPr>
          <w:p w14:paraId="5E001210" w14:textId="77777777" w:rsidR="000D07EA" w:rsidRDefault="00BE7C89">
            <w:pPr>
              <w:pStyle w:val="BodyText"/>
              <w:spacing w:before="100" w:after="100"/>
            </w:pPr>
            <w:r>
              <w:t>No</w:t>
            </w:r>
          </w:p>
        </w:tc>
      </w:tr>
      <w:tr w:rsidR="000D07EA" w14:paraId="23603B71" w14:textId="77777777">
        <w:trPr>
          <w:trHeight w:val="247"/>
        </w:trPr>
        <w:tc>
          <w:tcPr>
            <w:tcW w:w="5875" w:type="dxa"/>
          </w:tcPr>
          <w:p w14:paraId="00588FB1" w14:textId="77777777" w:rsidR="000D07EA" w:rsidRDefault="00BE7C89">
            <w:pPr>
              <w:pStyle w:val="BodyText"/>
              <w:spacing w:before="100" w:after="100"/>
            </w:pPr>
            <w:r>
              <w:t>1800 and 1300 numbers</w:t>
            </w:r>
          </w:p>
        </w:tc>
        <w:tc>
          <w:tcPr>
            <w:tcW w:w="2880" w:type="dxa"/>
          </w:tcPr>
          <w:p w14:paraId="608D2F66" w14:textId="77777777" w:rsidR="000D07EA" w:rsidRDefault="00BE7C89">
            <w:pPr>
              <w:pStyle w:val="BodyText"/>
              <w:spacing w:before="100" w:after="100"/>
            </w:pPr>
            <w:r>
              <w:t>Yes</w:t>
            </w:r>
          </w:p>
        </w:tc>
      </w:tr>
      <w:tr w:rsidR="000D07EA" w14:paraId="01C6CB17" w14:textId="77777777">
        <w:trPr>
          <w:trHeight w:val="247"/>
        </w:trPr>
        <w:tc>
          <w:tcPr>
            <w:tcW w:w="5875" w:type="dxa"/>
          </w:tcPr>
          <w:p w14:paraId="3DD528AE" w14:textId="77777777" w:rsidR="000D07EA" w:rsidRDefault="00BE7C89">
            <w:pPr>
              <w:pStyle w:val="BodyText"/>
              <w:spacing w:before="100" w:after="100"/>
            </w:pPr>
            <w:r>
              <w:t>124YES(937)</w:t>
            </w:r>
          </w:p>
        </w:tc>
        <w:tc>
          <w:tcPr>
            <w:tcW w:w="2880" w:type="dxa"/>
          </w:tcPr>
          <w:p w14:paraId="358671C1" w14:textId="77777777" w:rsidR="000D07EA" w:rsidRDefault="00BE7C89">
            <w:pPr>
              <w:pStyle w:val="BodyText"/>
              <w:spacing w:before="100" w:after="100"/>
            </w:pPr>
            <w:r>
              <w:t>No</w:t>
            </w:r>
          </w:p>
        </w:tc>
      </w:tr>
      <w:tr w:rsidR="000D07EA" w14:paraId="28AD2C14" w14:textId="77777777">
        <w:trPr>
          <w:trHeight w:val="262"/>
        </w:trPr>
        <w:tc>
          <w:tcPr>
            <w:tcW w:w="5875" w:type="dxa"/>
          </w:tcPr>
          <w:p w14:paraId="4269D9E4" w14:textId="77777777" w:rsidR="000D07EA" w:rsidRDefault="00BE7C89">
            <w:pPr>
              <w:pStyle w:val="BodyText"/>
              <w:spacing w:before="100" w:after="100"/>
            </w:pPr>
            <w:r>
              <w:t xml:space="preserve">Content Packs </w:t>
            </w:r>
          </w:p>
        </w:tc>
        <w:tc>
          <w:tcPr>
            <w:tcW w:w="2880" w:type="dxa"/>
          </w:tcPr>
          <w:p w14:paraId="71D8E3EF" w14:textId="77777777" w:rsidR="000D07EA" w:rsidRDefault="00BE7C89">
            <w:pPr>
              <w:pStyle w:val="BodyText"/>
              <w:spacing w:before="100" w:after="100"/>
            </w:pPr>
            <w:r>
              <w:t>No</w:t>
            </w:r>
          </w:p>
        </w:tc>
      </w:tr>
      <w:tr w:rsidR="000D07EA" w14:paraId="41F613E3" w14:textId="77777777">
        <w:trPr>
          <w:trHeight w:val="262"/>
        </w:trPr>
        <w:tc>
          <w:tcPr>
            <w:tcW w:w="5875" w:type="dxa"/>
          </w:tcPr>
          <w:p w14:paraId="1680D69B" w14:textId="77777777" w:rsidR="000D07EA" w:rsidRDefault="00BE7C89">
            <w:pPr>
              <w:pStyle w:val="BodyText"/>
              <w:spacing w:before="100" w:after="100"/>
            </w:pPr>
            <w:r>
              <w:t>Mobile Internet usage</w:t>
            </w:r>
          </w:p>
        </w:tc>
        <w:tc>
          <w:tcPr>
            <w:tcW w:w="2880" w:type="dxa"/>
          </w:tcPr>
          <w:p w14:paraId="67B5BBE4" w14:textId="77777777" w:rsidR="000D07EA" w:rsidRDefault="00BE7C89">
            <w:pPr>
              <w:pStyle w:val="BodyText"/>
              <w:spacing w:before="100" w:after="100"/>
            </w:pPr>
            <w:r>
              <w:t>No</w:t>
            </w:r>
          </w:p>
        </w:tc>
      </w:tr>
      <w:tr w:rsidR="000D07EA" w14:paraId="2A784D22" w14:textId="77777777">
        <w:trPr>
          <w:trHeight w:val="262"/>
        </w:trPr>
        <w:tc>
          <w:tcPr>
            <w:tcW w:w="5875" w:type="dxa"/>
          </w:tcPr>
          <w:p w14:paraId="1865C130" w14:textId="77777777" w:rsidR="000D07EA" w:rsidRDefault="00BE7C89">
            <w:pPr>
              <w:pStyle w:val="BodyText"/>
              <w:spacing w:before="100" w:after="100"/>
            </w:pPr>
            <w:r>
              <w:t>VOIP services</w:t>
            </w:r>
          </w:p>
        </w:tc>
        <w:tc>
          <w:tcPr>
            <w:tcW w:w="2880" w:type="dxa"/>
          </w:tcPr>
          <w:p w14:paraId="12B0FA20" w14:textId="77777777" w:rsidR="000D07EA" w:rsidRDefault="00BE7C89">
            <w:pPr>
              <w:pStyle w:val="BodyText"/>
              <w:spacing w:before="100" w:after="100"/>
            </w:pPr>
            <w:r>
              <w:t>No</w:t>
            </w:r>
          </w:p>
        </w:tc>
      </w:tr>
      <w:tr w:rsidR="000D07EA" w14:paraId="0B84865D" w14:textId="77777777">
        <w:trPr>
          <w:trHeight w:val="262"/>
        </w:trPr>
        <w:tc>
          <w:tcPr>
            <w:tcW w:w="5875" w:type="dxa"/>
          </w:tcPr>
          <w:p w14:paraId="6433CAF8" w14:textId="77777777" w:rsidR="000D07EA" w:rsidRDefault="00BE7C89">
            <w:pPr>
              <w:pStyle w:val="BodyText"/>
              <w:spacing w:before="100" w:after="100"/>
            </w:pPr>
            <w:r>
              <w:t>Calls to Satellite phones</w:t>
            </w:r>
          </w:p>
        </w:tc>
        <w:tc>
          <w:tcPr>
            <w:tcW w:w="2880" w:type="dxa"/>
          </w:tcPr>
          <w:p w14:paraId="31FE8015" w14:textId="77777777" w:rsidR="000D07EA" w:rsidRDefault="00BE7C89">
            <w:pPr>
              <w:pStyle w:val="BodyText"/>
              <w:spacing w:before="100" w:after="100"/>
            </w:pPr>
            <w:r>
              <w:t>No</w:t>
            </w:r>
          </w:p>
        </w:tc>
      </w:tr>
      <w:tr w:rsidR="000D07EA" w14:paraId="72AE4BAC" w14:textId="77777777">
        <w:trPr>
          <w:trHeight w:val="63"/>
        </w:trPr>
        <w:tc>
          <w:tcPr>
            <w:tcW w:w="5875" w:type="dxa"/>
          </w:tcPr>
          <w:p w14:paraId="7623645D" w14:textId="77777777" w:rsidR="000D07EA" w:rsidRDefault="00BE7C89">
            <w:pPr>
              <w:pStyle w:val="BodyText"/>
              <w:spacing w:before="100" w:after="100"/>
            </w:pPr>
            <w:r>
              <w:t>Surepage</w:t>
            </w:r>
          </w:p>
        </w:tc>
        <w:tc>
          <w:tcPr>
            <w:tcW w:w="2880" w:type="dxa"/>
          </w:tcPr>
          <w:p w14:paraId="46CE4809" w14:textId="77777777" w:rsidR="000D07EA" w:rsidRDefault="00BE7C89">
            <w:pPr>
              <w:pStyle w:val="BodyText"/>
              <w:spacing w:before="100" w:after="100"/>
            </w:pPr>
            <w:r>
              <w:t>No</w:t>
            </w:r>
          </w:p>
        </w:tc>
      </w:tr>
      <w:tr w:rsidR="000D07EA" w14:paraId="0B6E5961" w14:textId="77777777">
        <w:trPr>
          <w:trHeight w:val="262"/>
        </w:trPr>
        <w:tc>
          <w:tcPr>
            <w:tcW w:w="5875" w:type="dxa"/>
          </w:tcPr>
          <w:p w14:paraId="2399ED7D" w14:textId="77777777" w:rsidR="000D07EA" w:rsidRDefault="00BE7C89">
            <w:pPr>
              <w:pStyle w:val="BodyText"/>
              <w:spacing w:before="100" w:after="100"/>
            </w:pPr>
            <w:r>
              <w:t>Any other usage type</w:t>
            </w:r>
          </w:p>
        </w:tc>
        <w:tc>
          <w:tcPr>
            <w:tcW w:w="2880" w:type="dxa"/>
          </w:tcPr>
          <w:p w14:paraId="63388C61" w14:textId="77777777" w:rsidR="000D07EA" w:rsidRDefault="00BE7C89">
            <w:pPr>
              <w:pStyle w:val="BodyText"/>
              <w:spacing w:before="100" w:after="100"/>
            </w:pPr>
            <w:r>
              <w:t>No</w:t>
            </w:r>
          </w:p>
        </w:tc>
      </w:tr>
    </w:tbl>
    <w:p w14:paraId="2367A68C" w14:textId="77777777" w:rsidR="000D07EA" w:rsidRDefault="000D07EA">
      <w:pPr>
        <w:pStyle w:val="BodyText"/>
      </w:pPr>
    </w:p>
    <w:p w14:paraId="5A6D0733" w14:textId="77777777" w:rsidR="000D07EA" w:rsidRDefault="00BE7C89">
      <w:pPr>
        <w:pStyle w:val="BodyText"/>
        <w:ind w:left="720"/>
        <w:rPr>
          <w:b/>
        </w:rPr>
      </w:pPr>
      <w:r>
        <w:rPr>
          <w:b/>
        </w:rPr>
        <w:t>Table 1B – Usage counting towards Included Data</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155"/>
        <w:gridCol w:w="3600"/>
      </w:tblGrid>
      <w:tr w:rsidR="000D07EA" w14:paraId="208CC6AF" w14:textId="77777777" w:rsidTr="00FB4F1A">
        <w:trPr>
          <w:trHeight w:val="63"/>
          <w:tblHeader/>
        </w:trPr>
        <w:tc>
          <w:tcPr>
            <w:tcW w:w="5155" w:type="dxa"/>
          </w:tcPr>
          <w:p w14:paraId="23BA0E2A" w14:textId="77777777" w:rsidR="000D07EA" w:rsidRDefault="00BE7C89">
            <w:pPr>
              <w:pStyle w:val="BodyText"/>
              <w:spacing w:before="100" w:after="100"/>
              <w:rPr>
                <w:b/>
                <w:bCs/>
              </w:rPr>
            </w:pPr>
            <w:r>
              <w:rPr>
                <w:b/>
                <w:bCs/>
              </w:rPr>
              <w:t>Usage Type</w:t>
            </w:r>
          </w:p>
        </w:tc>
        <w:tc>
          <w:tcPr>
            <w:tcW w:w="3600" w:type="dxa"/>
          </w:tcPr>
          <w:p w14:paraId="33BE248B" w14:textId="77777777" w:rsidR="000D07EA" w:rsidRDefault="00BE7C89">
            <w:pPr>
              <w:pStyle w:val="BodyText"/>
              <w:spacing w:before="100" w:after="100"/>
              <w:rPr>
                <w:b/>
                <w:bCs/>
              </w:rPr>
            </w:pPr>
            <w:r>
              <w:rPr>
                <w:b/>
                <w:bCs/>
              </w:rPr>
              <w:t>Counts towards Included Data</w:t>
            </w:r>
          </w:p>
        </w:tc>
      </w:tr>
      <w:tr w:rsidR="000D07EA" w14:paraId="64EC630A" w14:textId="77777777" w:rsidTr="00FB4F1A">
        <w:trPr>
          <w:trHeight w:val="63"/>
          <w:tblHeader/>
        </w:trPr>
        <w:tc>
          <w:tcPr>
            <w:tcW w:w="5155" w:type="dxa"/>
          </w:tcPr>
          <w:p w14:paraId="53AEE76A" w14:textId="77777777" w:rsidR="000D07EA" w:rsidRDefault="00BE7C89">
            <w:pPr>
              <w:pStyle w:val="BodyText"/>
              <w:spacing w:before="100" w:after="100"/>
              <w:rPr>
                <w:b/>
                <w:bCs/>
              </w:rPr>
            </w:pPr>
            <w:r>
              <w:rPr>
                <w:bCs/>
              </w:rPr>
              <w:t>Mobile Internet usage (browsing and downloads)*</w:t>
            </w:r>
          </w:p>
        </w:tc>
        <w:tc>
          <w:tcPr>
            <w:tcW w:w="3600" w:type="dxa"/>
          </w:tcPr>
          <w:p w14:paraId="77F09E0D" w14:textId="77777777" w:rsidR="000D07EA" w:rsidRDefault="00BE7C89">
            <w:pPr>
              <w:pStyle w:val="BodyText"/>
              <w:spacing w:before="100" w:after="100"/>
              <w:rPr>
                <w:bCs/>
              </w:rPr>
            </w:pPr>
            <w:r>
              <w:rPr>
                <w:bCs/>
              </w:rPr>
              <w:t>Yes</w:t>
            </w:r>
          </w:p>
        </w:tc>
      </w:tr>
      <w:tr w:rsidR="000D07EA" w14:paraId="75663F62" w14:textId="77777777" w:rsidTr="00FB4F1A">
        <w:trPr>
          <w:trHeight w:val="63"/>
          <w:tblHeader/>
        </w:trPr>
        <w:tc>
          <w:tcPr>
            <w:tcW w:w="5155" w:type="dxa"/>
          </w:tcPr>
          <w:p w14:paraId="5BA05C76" w14:textId="77777777" w:rsidR="000D07EA" w:rsidRDefault="00BE7C89">
            <w:pPr>
              <w:pStyle w:val="BodyText"/>
              <w:spacing w:before="100" w:after="100"/>
              <w:rPr>
                <w:bCs/>
              </w:rPr>
            </w:pPr>
            <w:r>
              <w:rPr>
                <w:bCs/>
              </w:rPr>
              <w:t>Data Used while Roaming Internationally</w:t>
            </w:r>
          </w:p>
        </w:tc>
        <w:tc>
          <w:tcPr>
            <w:tcW w:w="3600" w:type="dxa"/>
          </w:tcPr>
          <w:p w14:paraId="3207EEF0" w14:textId="77777777" w:rsidR="000D07EA" w:rsidRDefault="00BE7C89">
            <w:pPr>
              <w:pStyle w:val="BodyText"/>
              <w:spacing w:before="100" w:after="100"/>
              <w:rPr>
                <w:bCs/>
              </w:rPr>
            </w:pPr>
            <w:r>
              <w:rPr>
                <w:bCs/>
              </w:rPr>
              <w:t>No</w:t>
            </w:r>
          </w:p>
        </w:tc>
      </w:tr>
      <w:tr w:rsidR="000D07EA" w14:paraId="17072222" w14:textId="77777777" w:rsidTr="00FB4F1A">
        <w:trPr>
          <w:trHeight w:val="63"/>
          <w:tblHeader/>
        </w:trPr>
        <w:tc>
          <w:tcPr>
            <w:tcW w:w="5155" w:type="dxa"/>
          </w:tcPr>
          <w:p w14:paraId="6E9A7667" w14:textId="77777777" w:rsidR="000D07EA" w:rsidRDefault="00BE7C89">
            <w:pPr>
              <w:pStyle w:val="BodyText"/>
              <w:spacing w:before="100" w:after="100"/>
              <w:rPr>
                <w:bCs/>
              </w:rPr>
            </w:pPr>
            <w:r>
              <w:rPr>
                <w:bCs/>
              </w:rPr>
              <w:t>Mobile as a modem</w:t>
            </w:r>
          </w:p>
        </w:tc>
        <w:tc>
          <w:tcPr>
            <w:tcW w:w="3600" w:type="dxa"/>
          </w:tcPr>
          <w:p w14:paraId="36BD4B86" w14:textId="77777777" w:rsidR="000D07EA" w:rsidRDefault="00BE7C89">
            <w:pPr>
              <w:pStyle w:val="BodyText"/>
              <w:spacing w:before="100" w:after="100"/>
              <w:rPr>
                <w:bCs/>
              </w:rPr>
            </w:pPr>
            <w:r>
              <w:rPr>
                <w:bCs/>
              </w:rPr>
              <w:t>No</w:t>
            </w:r>
          </w:p>
        </w:tc>
      </w:tr>
      <w:tr w:rsidR="000D07EA" w14:paraId="30306861" w14:textId="77777777" w:rsidTr="00FB4F1A">
        <w:trPr>
          <w:trHeight w:val="63"/>
          <w:tblHeader/>
        </w:trPr>
        <w:tc>
          <w:tcPr>
            <w:tcW w:w="5155" w:type="dxa"/>
          </w:tcPr>
          <w:p w14:paraId="07B52CA6" w14:textId="77777777" w:rsidR="000D07EA" w:rsidRDefault="00BE7C89">
            <w:pPr>
              <w:pStyle w:val="BodyText"/>
              <w:spacing w:before="100" w:after="100"/>
              <w:rPr>
                <w:bCs/>
              </w:rPr>
            </w:pPr>
            <w:r>
              <w:rPr>
                <w:bCs/>
              </w:rPr>
              <w:t>Content packs</w:t>
            </w:r>
          </w:p>
        </w:tc>
        <w:tc>
          <w:tcPr>
            <w:tcW w:w="3600" w:type="dxa"/>
          </w:tcPr>
          <w:p w14:paraId="4C7E9BEB" w14:textId="77777777" w:rsidR="000D07EA" w:rsidRDefault="00BE7C89">
            <w:pPr>
              <w:pStyle w:val="BodyText"/>
              <w:spacing w:before="100" w:after="100"/>
              <w:rPr>
                <w:bCs/>
              </w:rPr>
            </w:pPr>
            <w:r>
              <w:rPr>
                <w:bCs/>
              </w:rPr>
              <w:t>No</w:t>
            </w:r>
          </w:p>
        </w:tc>
      </w:tr>
      <w:tr w:rsidR="000D07EA" w14:paraId="4E4972C1" w14:textId="77777777" w:rsidTr="00FB4F1A">
        <w:trPr>
          <w:trHeight w:val="63"/>
          <w:tblHeader/>
        </w:trPr>
        <w:tc>
          <w:tcPr>
            <w:tcW w:w="5155" w:type="dxa"/>
          </w:tcPr>
          <w:p w14:paraId="4C211B31" w14:textId="77777777" w:rsidR="000D07EA" w:rsidRDefault="00BE7C89">
            <w:pPr>
              <w:pStyle w:val="BodyText"/>
              <w:spacing w:before="100" w:after="100"/>
              <w:rPr>
                <w:bCs/>
              </w:rPr>
            </w:pPr>
            <w:r>
              <w:rPr>
                <w:bCs/>
              </w:rPr>
              <w:t>VOIP services</w:t>
            </w:r>
          </w:p>
        </w:tc>
        <w:tc>
          <w:tcPr>
            <w:tcW w:w="3600" w:type="dxa"/>
          </w:tcPr>
          <w:p w14:paraId="2D1D0B5B" w14:textId="77777777" w:rsidR="000D07EA" w:rsidRDefault="00BE7C89">
            <w:pPr>
              <w:pStyle w:val="BodyText"/>
              <w:spacing w:before="100" w:after="100"/>
              <w:rPr>
                <w:bCs/>
              </w:rPr>
            </w:pPr>
            <w:r>
              <w:rPr>
                <w:bCs/>
              </w:rPr>
              <w:t>No</w:t>
            </w:r>
          </w:p>
        </w:tc>
      </w:tr>
      <w:tr w:rsidR="000D07EA" w14:paraId="1A9C1E6F" w14:textId="77777777" w:rsidTr="00FB4F1A">
        <w:trPr>
          <w:trHeight w:val="63"/>
          <w:tblHeader/>
        </w:trPr>
        <w:tc>
          <w:tcPr>
            <w:tcW w:w="5155" w:type="dxa"/>
          </w:tcPr>
          <w:p w14:paraId="72C44800" w14:textId="77777777" w:rsidR="000D07EA" w:rsidRDefault="00BE7C89">
            <w:pPr>
              <w:pStyle w:val="BodyText"/>
              <w:spacing w:before="100" w:after="100"/>
              <w:rPr>
                <w:bCs/>
              </w:rPr>
            </w:pPr>
            <w:r>
              <w:rPr>
                <w:bCs/>
              </w:rPr>
              <w:t>Video calls and conferencing</w:t>
            </w:r>
          </w:p>
        </w:tc>
        <w:tc>
          <w:tcPr>
            <w:tcW w:w="3600" w:type="dxa"/>
          </w:tcPr>
          <w:p w14:paraId="6F0B2BCC" w14:textId="77777777" w:rsidR="000D07EA" w:rsidRDefault="00BE7C89">
            <w:pPr>
              <w:pStyle w:val="BodyText"/>
              <w:spacing w:before="100" w:after="100"/>
              <w:rPr>
                <w:bCs/>
              </w:rPr>
            </w:pPr>
            <w:r>
              <w:rPr>
                <w:bCs/>
              </w:rPr>
              <w:t>No</w:t>
            </w:r>
          </w:p>
        </w:tc>
      </w:tr>
      <w:tr w:rsidR="000D07EA" w14:paraId="75D8291A" w14:textId="77777777" w:rsidTr="00FB4F1A">
        <w:trPr>
          <w:trHeight w:val="63"/>
          <w:tblHeader/>
        </w:trPr>
        <w:tc>
          <w:tcPr>
            <w:tcW w:w="5155" w:type="dxa"/>
          </w:tcPr>
          <w:p w14:paraId="72483C66" w14:textId="77777777" w:rsidR="000D07EA" w:rsidRDefault="00BE7C89">
            <w:pPr>
              <w:pStyle w:val="BodyText"/>
              <w:spacing w:before="100" w:after="100"/>
              <w:rPr>
                <w:bCs/>
              </w:rPr>
            </w:pPr>
            <w:r>
              <w:rPr>
                <w:bCs/>
              </w:rPr>
              <w:t>All other call and data usage</w:t>
            </w:r>
          </w:p>
        </w:tc>
        <w:tc>
          <w:tcPr>
            <w:tcW w:w="3600" w:type="dxa"/>
          </w:tcPr>
          <w:p w14:paraId="5841F81C" w14:textId="77777777" w:rsidR="000D07EA" w:rsidRDefault="00BE7C89">
            <w:pPr>
              <w:pStyle w:val="BodyText"/>
              <w:spacing w:before="100" w:after="100"/>
              <w:rPr>
                <w:bCs/>
              </w:rPr>
            </w:pPr>
            <w:r>
              <w:rPr>
                <w:bCs/>
              </w:rPr>
              <w:t>No</w:t>
            </w:r>
          </w:p>
        </w:tc>
      </w:tr>
    </w:tbl>
    <w:p w14:paraId="00ADCFF9" w14:textId="77777777" w:rsidR="000D07EA" w:rsidRDefault="00BE7C89">
      <w:pPr>
        <w:pStyle w:val="BodyText"/>
        <w:spacing w:after="0"/>
        <w:ind w:left="720"/>
        <w:rPr>
          <w:sz w:val="16"/>
          <w:szCs w:val="16"/>
        </w:rPr>
      </w:pPr>
      <w:r>
        <w:rPr>
          <w:b/>
          <w:sz w:val="16"/>
          <w:szCs w:val="16"/>
        </w:rPr>
        <w:t>*Note:</w:t>
      </w:r>
      <w:r>
        <w:rPr>
          <w:sz w:val="16"/>
          <w:szCs w:val="16"/>
        </w:rPr>
        <w:t xml:space="preserve"> Data usage on selected Internet sites may be unmetered pursuant to offers or promotions from Optus and/or its affiliates. In such circumstances, this data usage will not count towards </w:t>
      </w:r>
      <w:r>
        <w:rPr>
          <w:i/>
          <w:sz w:val="16"/>
          <w:szCs w:val="16"/>
        </w:rPr>
        <w:t xml:space="preserve">your </w:t>
      </w:r>
      <w:r>
        <w:rPr>
          <w:sz w:val="16"/>
          <w:szCs w:val="16"/>
        </w:rPr>
        <w:t>plan's Included Data.</w:t>
      </w:r>
    </w:p>
    <w:p w14:paraId="27102AF2" w14:textId="77777777" w:rsidR="000D07EA" w:rsidRDefault="000D07EA">
      <w:pPr>
        <w:pStyle w:val="BodyText"/>
      </w:pPr>
    </w:p>
    <w:p w14:paraId="324C5531" w14:textId="77777777" w:rsidR="000D07EA" w:rsidRDefault="00BE7C89">
      <w:pPr>
        <w:pStyle w:val="BodyText"/>
        <w:keepNext/>
        <w:ind w:left="720"/>
        <w:rPr>
          <w:b/>
        </w:rPr>
      </w:pPr>
      <w:r>
        <w:rPr>
          <w:b/>
        </w:rPr>
        <w:lastRenderedPageBreak/>
        <w:t>Table 1C –Unlimited BlackBerry POP3 Email &amp; Browsing (for customers with a Blackberry using an operating system version 7.1 or earlier)</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875"/>
        <w:gridCol w:w="2880"/>
      </w:tblGrid>
      <w:tr w:rsidR="000D07EA" w14:paraId="42BD33F6" w14:textId="77777777">
        <w:trPr>
          <w:trHeight w:val="63"/>
        </w:trPr>
        <w:tc>
          <w:tcPr>
            <w:tcW w:w="5875" w:type="dxa"/>
          </w:tcPr>
          <w:p w14:paraId="356CFE86" w14:textId="77777777" w:rsidR="000D07EA" w:rsidRDefault="00BE7C89">
            <w:pPr>
              <w:pStyle w:val="BodyText"/>
              <w:spacing w:before="100" w:after="100"/>
              <w:jc w:val="center"/>
              <w:rPr>
                <w:b/>
                <w:snapToGrid w:val="0"/>
              </w:rPr>
            </w:pPr>
            <w:r>
              <w:rPr>
                <w:b/>
                <w:snapToGrid w:val="0"/>
              </w:rPr>
              <w:t>Usage Type</w:t>
            </w:r>
          </w:p>
        </w:tc>
        <w:tc>
          <w:tcPr>
            <w:tcW w:w="2880" w:type="dxa"/>
          </w:tcPr>
          <w:p w14:paraId="316D21FA" w14:textId="77777777" w:rsidR="000D07EA" w:rsidRDefault="00BE7C89">
            <w:pPr>
              <w:pStyle w:val="BodyText"/>
              <w:spacing w:before="100" w:after="100"/>
              <w:jc w:val="center"/>
              <w:rPr>
                <w:b/>
                <w:snapToGrid w:val="0"/>
              </w:rPr>
            </w:pPr>
            <w:r>
              <w:rPr>
                <w:b/>
                <w:snapToGrid w:val="0"/>
              </w:rPr>
              <w:t>Part of Unlimited BlackBerry POP 3 Email &amp; Browsing</w:t>
            </w:r>
          </w:p>
        </w:tc>
      </w:tr>
      <w:tr w:rsidR="000D07EA" w14:paraId="0B975281" w14:textId="77777777">
        <w:trPr>
          <w:trHeight w:val="247"/>
        </w:trPr>
        <w:tc>
          <w:tcPr>
            <w:tcW w:w="5875" w:type="dxa"/>
          </w:tcPr>
          <w:p w14:paraId="6F7F2A6C" w14:textId="77777777" w:rsidR="000D07EA" w:rsidRDefault="00BE7C89">
            <w:pPr>
              <w:pStyle w:val="BodyText"/>
              <w:spacing w:before="100" w:after="100"/>
              <w:jc w:val="center"/>
              <w:rPr>
                <w:snapToGrid w:val="0"/>
              </w:rPr>
            </w:pPr>
            <w:r>
              <w:rPr>
                <w:snapToGrid w:val="0"/>
              </w:rPr>
              <w:t>BlackBerry Email (POP3)</w:t>
            </w:r>
          </w:p>
        </w:tc>
        <w:tc>
          <w:tcPr>
            <w:tcW w:w="2880" w:type="dxa"/>
          </w:tcPr>
          <w:p w14:paraId="7C8B6B10" w14:textId="77777777" w:rsidR="000D07EA" w:rsidRDefault="00BE7C89">
            <w:pPr>
              <w:pStyle w:val="BodyText"/>
              <w:spacing w:before="100" w:after="100"/>
              <w:jc w:val="center"/>
              <w:rPr>
                <w:snapToGrid w:val="0"/>
              </w:rPr>
            </w:pPr>
            <w:r>
              <w:rPr>
                <w:snapToGrid w:val="0"/>
              </w:rPr>
              <w:t>Yes</w:t>
            </w:r>
          </w:p>
        </w:tc>
      </w:tr>
      <w:tr w:rsidR="000D07EA" w14:paraId="10478312" w14:textId="77777777">
        <w:trPr>
          <w:trHeight w:val="247"/>
        </w:trPr>
        <w:tc>
          <w:tcPr>
            <w:tcW w:w="5875" w:type="dxa"/>
          </w:tcPr>
          <w:p w14:paraId="4744E4EC" w14:textId="77777777" w:rsidR="000D07EA" w:rsidRDefault="00BE7C89">
            <w:pPr>
              <w:pStyle w:val="BodyText"/>
              <w:spacing w:before="100" w:after="100"/>
              <w:jc w:val="center"/>
              <w:rPr>
                <w:snapToGrid w:val="0"/>
              </w:rPr>
            </w:pPr>
            <w:r>
              <w:rPr>
                <w:snapToGrid w:val="0"/>
              </w:rPr>
              <w:t>Internet Browsing through the BlackBerry Browser</w:t>
            </w:r>
          </w:p>
        </w:tc>
        <w:tc>
          <w:tcPr>
            <w:tcW w:w="2880" w:type="dxa"/>
          </w:tcPr>
          <w:p w14:paraId="390F0535" w14:textId="77777777" w:rsidR="000D07EA" w:rsidRDefault="00BE7C89">
            <w:pPr>
              <w:pStyle w:val="BodyText"/>
              <w:spacing w:before="100" w:after="100"/>
              <w:jc w:val="center"/>
              <w:rPr>
                <w:snapToGrid w:val="0"/>
              </w:rPr>
            </w:pPr>
            <w:r>
              <w:rPr>
                <w:snapToGrid w:val="0"/>
              </w:rPr>
              <w:t>Yes</w:t>
            </w:r>
          </w:p>
        </w:tc>
      </w:tr>
      <w:tr w:rsidR="000D07EA" w14:paraId="13BD6459" w14:textId="77777777">
        <w:trPr>
          <w:trHeight w:val="509"/>
        </w:trPr>
        <w:tc>
          <w:tcPr>
            <w:tcW w:w="5875" w:type="dxa"/>
          </w:tcPr>
          <w:p w14:paraId="227C0196" w14:textId="77777777" w:rsidR="000D07EA" w:rsidRDefault="00BE7C89">
            <w:pPr>
              <w:pStyle w:val="BodyText"/>
              <w:spacing w:before="100" w:after="100"/>
              <w:jc w:val="center"/>
              <w:rPr>
                <w:snapToGrid w:val="0"/>
              </w:rPr>
            </w:pPr>
            <w:r>
              <w:rPr>
                <w:snapToGrid w:val="0"/>
              </w:rPr>
              <w:t>Optus Zoo downloads and subscriptions</w:t>
            </w:r>
          </w:p>
        </w:tc>
        <w:tc>
          <w:tcPr>
            <w:tcW w:w="2880" w:type="dxa"/>
          </w:tcPr>
          <w:p w14:paraId="0A55AC3D" w14:textId="77777777" w:rsidR="000D07EA" w:rsidRDefault="00BE7C89">
            <w:pPr>
              <w:pStyle w:val="BodyText"/>
              <w:spacing w:before="100" w:after="100"/>
              <w:jc w:val="center"/>
            </w:pPr>
            <w:r>
              <w:rPr>
                <w:snapToGrid w:val="0"/>
              </w:rPr>
              <w:t>No</w:t>
            </w:r>
          </w:p>
        </w:tc>
      </w:tr>
      <w:tr w:rsidR="000D07EA" w14:paraId="150A1301" w14:textId="77777777">
        <w:trPr>
          <w:trHeight w:val="247"/>
        </w:trPr>
        <w:tc>
          <w:tcPr>
            <w:tcW w:w="5875" w:type="dxa"/>
          </w:tcPr>
          <w:p w14:paraId="63BF690C" w14:textId="77777777" w:rsidR="000D07EA" w:rsidRDefault="00BE7C89">
            <w:pPr>
              <w:pStyle w:val="BodyText"/>
              <w:spacing w:before="100" w:after="100"/>
              <w:jc w:val="center"/>
              <w:rPr>
                <w:snapToGrid w:val="0"/>
              </w:rPr>
            </w:pPr>
            <w:r>
              <w:rPr>
                <w:snapToGrid w:val="0"/>
              </w:rPr>
              <w:t>Optus Zoo GPRS WAP browsing</w:t>
            </w:r>
          </w:p>
        </w:tc>
        <w:tc>
          <w:tcPr>
            <w:tcW w:w="2880" w:type="dxa"/>
          </w:tcPr>
          <w:p w14:paraId="412DCC79" w14:textId="77777777" w:rsidR="000D07EA" w:rsidRDefault="00BE7C89">
            <w:pPr>
              <w:pStyle w:val="BodyText"/>
              <w:spacing w:before="100" w:after="100"/>
              <w:jc w:val="center"/>
              <w:rPr>
                <w:snapToGrid w:val="0"/>
              </w:rPr>
            </w:pPr>
            <w:r>
              <w:rPr>
                <w:snapToGrid w:val="0"/>
              </w:rPr>
              <w:t>No</w:t>
            </w:r>
          </w:p>
        </w:tc>
      </w:tr>
      <w:tr w:rsidR="000D07EA" w14:paraId="7C07059B" w14:textId="77777777">
        <w:trPr>
          <w:trHeight w:val="247"/>
        </w:trPr>
        <w:tc>
          <w:tcPr>
            <w:tcW w:w="5875" w:type="dxa"/>
          </w:tcPr>
          <w:p w14:paraId="3E87C70F" w14:textId="77777777" w:rsidR="000D07EA" w:rsidRDefault="00BE7C89">
            <w:pPr>
              <w:pStyle w:val="BodyText"/>
              <w:spacing w:before="100" w:after="100"/>
              <w:jc w:val="center"/>
            </w:pPr>
            <w:r>
              <w:t>Applications from Optus and third party applications that require a BlackBerry Data connection</w:t>
            </w:r>
          </w:p>
        </w:tc>
        <w:tc>
          <w:tcPr>
            <w:tcW w:w="2880" w:type="dxa"/>
          </w:tcPr>
          <w:p w14:paraId="79EC5F0A" w14:textId="77777777" w:rsidR="000D07EA" w:rsidRDefault="00BE7C89">
            <w:pPr>
              <w:pStyle w:val="BodyText"/>
              <w:spacing w:before="100" w:after="100"/>
              <w:jc w:val="center"/>
              <w:rPr>
                <w:snapToGrid w:val="0"/>
              </w:rPr>
            </w:pPr>
            <w:r>
              <w:rPr>
                <w:snapToGrid w:val="0"/>
              </w:rPr>
              <w:t>Yes</w:t>
            </w:r>
          </w:p>
        </w:tc>
      </w:tr>
      <w:tr w:rsidR="000D07EA" w14:paraId="14F3F128" w14:textId="77777777">
        <w:trPr>
          <w:trHeight w:val="63"/>
        </w:trPr>
        <w:tc>
          <w:tcPr>
            <w:tcW w:w="5875" w:type="dxa"/>
          </w:tcPr>
          <w:p w14:paraId="346EF8A1" w14:textId="77777777" w:rsidR="000D07EA" w:rsidRDefault="00BE7C89">
            <w:pPr>
              <w:pStyle w:val="BodyText"/>
              <w:spacing w:before="100" w:after="100"/>
              <w:jc w:val="center"/>
              <w:rPr>
                <w:snapToGrid w:val="0"/>
              </w:rPr>
            </w:pPr>
            <w:r>
              <w:rPr>
                <w:snapToGrid w:val="0"/>
              </w:rPr>
              <w:t>All other usage types (e.g. media streaming, data used while roaming internationally)</w:t>
            </w:r>
          </w:p>
        </w:tc>
        <w:tc>
          <w:tcPr>
            <w:tcW w:w="2880" w:type="dxa"/>
          </w:tcPr>
          <w:p w14:paraId="204512EE" w14:textId="77777777" w:rsidR="000D07EA" w:rsidRDefault="00BE7C89">
            <w:pPr>
              <w:pStyle w:val="BodyText"/>
              <w:spacing w:before="100" w:after="100"/>
              <w:jc w:val="center"/>
              <w:rPr>
                <w:snapToGrid w:val="0"/>
              </w:rPr>
            </w:pPr>
            <w:r>
              <w:rPr>
                <w:snapToGrid w:val="0"/>
              </w:rPr>
              <w:t>No</w:t>
            </w:r>
          </w:p>
        </w:tc>
      </w:tr>
    </w:tbl>
    <w:p w14:paraId="6D7743F3" w14:textId="77777777" w:rsidR="000D07EA" w:rsidRDefault="000D07EA">
      <w:pPr>
        <w:pStyle w:val="BodyText"/>
      </w:pPr>
    </w:p>
    <w:p w14:paraId="1376B8DE" w14:textId="77777777" w:rsidR="000D07EA" w:rsidRDefault="00BE7C89">
      <w:pPr>
        <w:pStyle w:val="BodyText"/>
        <w:ind w:left="720"/>
        <w:rPr>
          <w:b/>
        </w:rPr>
      </w:pPr>
      <w:r>
        <w:rPr>
          <w:b/>
        </w:rPr>
        <w:t>Table 2A – Charges and Plan Inclusions for the Business BYO Plans (Dec 2012)</w:t>
      </w:r>
    </w:p>
    <w:tbl>
      <w:tblPr>
        <w:tblW w:w="4632"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483"/>
        <w:gridCol w:w="1739"/>
        <w:gridCol w:w="1738"/>
        <w:gridCol w:w="1738"/>
        <w:gridCol w:w="1740"/>
      </w:tblGrid>
      <w:tr w:rsidR="000D07EA" w14:paraId="51A703CA" w14:textId="77777777">
        <w:trPr>
          <w:tblHeader/>
        </w:trPr>
        <w:tc>
          <w:tcPr>
            <w:tcW w:w="1315" w:type="pct"/>
            <w:shd w:val="clear" w:color="auto" w:fill="auto"/>
          </w:tcPr>
          <w:p w14:paraId="4C9ECC3A" w14:textId="77777777" w:rsidR="000D07EA" w:rsidRDefault="000D07EA">
            <w:pPr>
              <w:pStyle w:val="BodyText"/>
              <w:spacing w:before="100" w:after="100"/>
              <w:rPr>
                <w:rFonts w:eastAsia="Calibri"/>
                <w:b/>
              </w:rPr>
            </w:pPr>
          </w:p>
        </w:tc>
        <w:tc>
          <w:tcPr>
            <w:tcW w:w="921" w:type="pct"/>
            <w:shd w:val="clear" w:color="auto" w:fill="auto"/>
          </w:tcPr>
          <w:p w14:paraId="030DB407" w14:textId="77777777" w:rsidR="000D07EA" w:rsidRDefault="00BE7C89">
            <w:pPr>
              <w:pStyle w:val="BodyText"/>
              <w:spacing w:before="100" w:after="100"/>
              <w:jc w:val="center"/>
              <w:rPr>
                <w:b/>
              </w:rPr>
            </w:pPr>
            <w:r>
              <w:rPr>
                <w:b/>
              </w:rPr>
              <w:t>$40 Business BYO Plan</w:t>
            </w:r>
          </w:p>
        </w:tc>
        <w:tc>
          <w:tcPr>
            <w:tcW w:w="921" w:type="pct"/>
            <w:shd w:val="clear" w:color="auto" w:fill="auto"/>
            <w:vAlign w:val="center"/>
          </w:tcPr>
          <w:p w14:paraId="3FC013AF" w14:textId="77777777" w:rsidR="000D07EA" w:rsidRDefault="00BE7C89">
            <w:pPr>
              <w:pStyle w:val="BodyText"/>
              <w:spacing w:before="100" w:after="100"/>
              <w:jc w:val="center"/>
              <w:rPr>
                <w:b/>
              </w:rPr>
            </w:pPr>
            <w:r>
              <w:rPr>
                <w:b/>
              </w:rPr>
              <w:t>$50 Business BYO Plan</w:t>
            </w:r>
          </w:p>
        </w:tc>
        <w:tc>
          <w:tcPr>
            <w:tcW w:w="921" w:type="pct"/>
            <w:shd w:val="clear" w:color="auto" w:fill="auto"/>
            <w:vAlign w:val="center"/>
          </w:tcPr>
          <w:p w14:paraId="46C001AF" w14:textId="77777777" w:rsidR="000D07EA" w:rsidRDefault="00BE7C89">
            <w:pPr>
              <w:pStyle w:val="BodyText"/>
              <w:spacing w:before="100" w:after="100"/>
              <w:jc w:val="center"/>
              <w:rPr>
                <w:b/>
              </w:rPr>
            </w:pPr>
            <w:r>
              <w:rPr>
                <w:b/>
              </w:rPr>
              <w:t>$60 Business BYO Plan</w:t>
            </w:r>
          </w:p>
        </w:tc>
        <w:tc>
          <w:tcPr>
            <w:tcW w:w="921" w:type="pct"/>
          </w:tcPr>
          <w:p w14:paraId="4F0D70A3" w14:textId="77777777" w:rsidR="000D07EA" w:rsidRDefault="00BE7C89">
            <w:pPr>
              <w:pStyle w:val="BodyText"/>
              <w:spacing w:before="100" w:after="100"/>
              <w:jc w:val="center"/>
              <w:rPr>
                <w:b/>
              </w:rPr>
            </w:pPr>
            <w:r>
              <w:rPr>
                <w:b/>
              </w:rPr>
              <w:t>$70 Business BYO Plan</w:t>
            </w:r>
          </w:p>
        </w:tc>
      </w:tr>
      <w:tr w:rsidR="000D07EA" w14:paraId="0BEA22E0" w14:textId="77777777">
        <w:trPr>
          <w:trHeight w:val="63"/>
        </w:trPr>
        <w:tc>
          <w:tcPr>
            <w:tcW w:w="1315" w:type="pct"/>
            <w:shd w:val="clear" w:color="auto" w:fill="auto"/>
          </w:tcPr>
          <w:p w14:paraId="0F494FC7" w14:textId="77777777" w:rsidR="000D07EA" w:rsidRDefault="00BE7C89">
            <w:pPr>
              <w:pStyle w:val="BodyText"/>
              <w:spacing w:before="100" w:after="100"/>
              <w:rPr>
                <w:rFonts w:eastAsia="Calibri"/>
              </w:rPr>
            </w:pPr>
            <w:r>
              <w:rPr>
                <w:rFonts w:eastAsia="Calibri"/>
                <w:b/>
                <w:bCs/>
              </w:rPr>
              <w:t>Minimum Monthly charge</w:t>
            </w:r>
          </w:p>
        </w:tc>
        <w:tc>
          <w:tcPr>
            <w:tcW w:w="921" w:type="pct"/>
            <w:shd w:val="clear" w:color="auto" w:fill="auto"/>
            <w:vAlign w:val="center"/>
          </w:tcPr>
          <w:p w14:paraId="0A862E48" w14:textId="77777777" w:rsidR="000D07EA" w:rsidRDefault="00BE7C89">
            <w:pPr>
              <w:pStyle w:val="BodyText"/>
              <w:spacing w:before="100" w:after="100"/>
              <w:jc w:val="center"/>
              <w:rPr>
                <w:rFonts w:eastAsia="Calibri"/>
              </w:rPr>
            </w:pPr>
            <w:r>
              <w:rPr>
                <w:rFonts w:eastAsia="Calibri"/>
              </w:rPr>
              <w:t>$40</w:t>
            </w:r>
          </w:p>
        </w:tc>
        <w:tc>
          <w:tcPr>
            <w:tcW w:w="921" w:type="pct"/>
            <w:shd w:val="clear" w:color="auto" w:fill="auto"/>
            <w:vAlign w:val="center"/>
          </w:tcPr>
          <w:p w14:paraId="58AA4158" w14:textId="77777777" w:rsidR="000D07EA" w:rsidRDefault="00BE7C89">
            <w:pPr>
              <w:pStyle w:val="BodyText"/>
              <w:spacing w:before="100" w:after="100"/>
              <w:jc w:val="center"/>
              <w:rPr>
                <w:rFonts w:eastAsia="Calibri"/>
              </w:rPr>
            </w:pPr>
            <w:r>
              <w:rPr>
                <w:rFonts w:eastAsia="Calibri"/>
              </w:rPr>
              <w:t>$50</w:t>
            </w:r>
          </w:p>
        </w:tc>
        <w:tc>
          <w:tcPr>
            <w:tcW w:w="921" w:type="pct"/>
            <w:shd w:val="clear" w:color="auto" w:fill="auto"/>
            <w:vAlign w:val="center"/>
          </w:tcPr>
          <w:p w14:paraId="1699A7DC" w14:textId="77777777" w:rsidR="000D07EA" w:rsidRDefault="00BE7C89">
            <w:pPr>
              <w:pStyle w:val="BodyText"/>
              <w:spacing w:before="100" w:after="100"/>
              <w:jc w:val="center"/>
              <w:rPr>
                <w:rFonts w:eastAsia="Calibri"/>
              </w:rPr>
            </w:pPr>
            <w:r>
              <w:rPr>
                <w:rFonts w:eastAsia="Calibri"/>
              </w:rPr>
              <w:t>$60</w:t>
            </w:r>
          </w:p>
        </w:tc>
        <w:tc>
          <w:tcPr>
            <w:tcW w:w="921" w:type="pct"/>
            <w:vAlign w:val="center"/>
          </w:tcPr>
          <w:p w14:paraId="1FC96310" w14:textId="77777777" w:rsidR="000D07EA" w:rsidRDefault="00BE7C89">
            <w:pPr>
              <w:pStyle w:val="BodyText"/>
              <w:spacing w:before="100" w:after="100"/>
              <w:jc w:val="center"/>
              <w:rPr>
                <w:rFonts w:eastAsia="Calibri"/>
              </w:rPr>
            </w:pPr>
            <w:r>
              <w:rPr>
                <w:rFonts w:eastAsia="Calibri"/>
              </w:rPr>
              <w:t>$70</w:t>
            </w:r>
          </w:p>
        </w:tc>
      </w:tr>
      <w:tr w:rsidR="000D07EA" w14:paraId="2D76E5C7" w14:textId="77777777">
        <w:tc>
          <w:tcPr>
            <w:tcW w:w="1315" w:type="pct"/>
            <w:shd w:val="clear" w:color="auto" w:fill="auto"/>
          </w:tcPr>
          <w:p w14:paraId="3048987C" w14:textId="77777777" w:rsidR="000D07EA" w:rsidRDefault="00BE7C89">
            <w:pPr>
              <w:pStyle w:val="BodyText"/>
              <w:spacing w:before="100" w:after="100"/>
              <w:rPr>
                <w:rFonts w:eastAsia="Calibri"/>
              </w:rPr>
            </w:pPr>
            <w:r>
              <w:rPr>
                <w:rFonts w:eastAsia="Calibri"/>
                <w:b/>
                <w:bCs/>
              </w:rPr>
              <w:t xml:space="preserve">'Included Data' </w:t>
            </w:r>
            <w:r>
              <w:rPr>
                <w:rFonts w:eastAsia="Calibri"/>
                <w:bCs/>
              </w:rPr>
              <w:t>(each month)</w:t>
            </w:r>
          </w:p>
        </w:tc>
        <w:tc>
          <w:tcPr>
            <w:tcW w:w="921" w:type="pct"/>
            <w:shd w:val="clear" w:color="auto" w:fill="auto"/>
            <w:vAlign w:val="center"/>
          </w:tcPr>
          <w:p w14:paraId="6C0E8DDC" w14:textId="77777777" w:rsidR="000D07EA" w:rsidRDefault="00BE7C89">
            <w:pPr>
              <w:pStyle w:val="BodyText"/>
              <w:spacing w:before="100" w:after="100"/>
              <w:jc w:val="center"/>
              <w:rPr>
                <w:rFonts w:eastAsia="Calibri"/>
              </w:rPr>
            </w:pPr>
            <w:r>
              <w:rPr>
                <w:rFonts w:eastAsia="Calibri"/>
              </w:rPr>
              <w:t>1GB</w:t>
            </w:r>
          </w:p>
        </w:tc>
        <w:tc>
          <w:tcPr>
            <w:tcW w:w="921" w:type="pct"/>
            <w:shd w:val="clear" w:color="auto" w:fill="auto"/>
            <w:vAlign w:val="center"/>
          </w:tcPr>
          <w:p w14:paraId="05650F56" w14:textId="77777777" w:rsidR="000D07EA" w:rsidRDefault="00BE7C89">
            <w:pPr>
              <w:pStyle w:val="BodyText"/>
              <w:spacing w:before="100" w:after="100"/>
              <w:jc w:val="center"/>
              <w:rPr>
                <w:rFonts w:eastAsia="Calibri"/>
              </w:rPr>
            </w:pPr>
            <w:r>
              <w:rPr>
                <w:rFonts w:eastAsia="Calibri"/>
              </w:rPr>
              <w:t>1.5GB</w:t>
            </w:r>
          </w:p>
        </w:tc>
        <w:tc>
          <w:tcPr>
            <w:tcW w:w="921" w:type="pct"/>
            <w:shd w:val="clear" w:color="auto" w:fill="auto"/>
            <w:vAlign w:val="center"/>
          </w:tcPr>
          <w:p w14:paraId="110A04A0" w14:textId="77777777" w:rsidR="000D07EA" w:rsidRDefault="00BE7C89">
            <w:pPr>
              <w:pStyle w:val="BodyText"/>
              <w:spacing w:before="100" w:after="100"/>
              <w:jc w:val="center"/>
              <w:rPr>
                <w:rFonts w:eastAsia="Calibri"/>
              </w:rPr>
            </w:pPr>
            <w:r>
              <w:rPr>
                <w:rFonts w:eastAsia="Calibri"/>
              </w:rPr>
              <w:t>2GB</w:t>
            </w:r>
          </w:p>
        </w:tc>
        <w:tc>
          <w:tcPr>
            <w:tcW w:w="921" w:type="pct"/>
            <w:vAlign w:val="center"/>
          </w:tcPr>
          <w:p w14:paraId="4860324F" w14:textId="77777777" w:rsidR="000D07EA" w:rsidRDefault="00BE7C89">
            <w:pPr>
              <w:pStyle w:val="BodyText"/>
              <w:spacing w:before="100" w:after="100"/>
              <w:jc w:val="center"/>
              <w:rPr>
                <w:rFonts w:eastAsia="Calibri"/>
              </w:rPr>
            </w:pPr>
            <w:r>
              <w:rPr>
                <w:rFonts w:eastAsia="Calibri"/>
              </w:rPr>
              <w:t>3GB</w:t>
            </w:r>
          </w:p>
        </w:tc>
      </w:tr>
      <w:tr w:rsidR="000D07EA" w14:paraId="4DD916E4" w14:textId="77777777">
        <w:tc>
          <w:tcPr>
            <w:tcW w:w="1315" w:type="pct"/>
            <w:shd w:val="clear" w:color="auto" w:fill="auto"/>
          </w:tcPr>
          <w:p w14:paraId="4559DE68" w14:textId="77777777" w:rsidR="000D07EA" w:rsidRDefault="00BE7C89">
            <w:pPr>
              <w:pStyle w:val="BodyText"/>
              <w:spacing w:before="100" w:after="100"/>
              <w:rPr>
                <w:rFonts w:eastAsia="Calibri"/>
                <w:b/>
                <w:bCs/>
              </w:rPr>
            </w:pPr>
            <w:r>
              <w:rPr>
                <w:rFonts w:eastAsia="Calibri"/>
                <w:b/>
                <w:bCs/>
              </w:rPr>
              <w:t>Unlimited Blackberry POP3 Email and Browsing (for customers with a Blackberry using an operating system version 7.1 or earlier)</w:t>
            </w:r>
          </w:p>
        </w:tc>
        <w:tc>
          <w:tcPr>
            <w:tcW w:w="921" w:type="pct"/>
            <w:shd w:val="clear" w:color="auto" w:fill="auto"/>
            <w:vAlign w:val="center"/>
          </w:tcPr>
          <w:p w14:paraId="23B610D4" w14:textId="77777777" w:rsidR="000D07EA" w:rsidRDefault="00BE7C89">
            <w:pPr>
              <w:pStyle w:val="BodyText"/>
              <w:spacing w:before="100" w:after="100"/>
              <w:jc w:val="center"/>
              <w:rPr>
                <w:rFonts w:eastAsia="Calibri"/>
              </w:rPr>
            </w:pPr>
            <w:r>
              <w:rPr>
                <w:rFonts w:eastAsia="Calibri"/>
              </w:rPr>
              <w:t>Yes</w:t>
            </w:r>
          </w:p>
        </w:tc>
        <w:tc>
          <w:tcPr>
            <w:tcW w:w="921" w:type="pct"/>
            <w:shd w:val="clear" w:color="auto" w:fill="auto"/>
            <w:vAlign w:val="center"/>
          </w:tcPr>
          <w:p w14:paraId="1AB04EB7" w14:textId="77777777" w:rsidR="000D07EA" w:rsidRDefault="00BE7C89">
            <w:pPr>
              <w:pStyle w:val="BodyText"/>
              <w:spacing w:before="100" w:after="100"/>
              <w:jc w:val="center"/>
              <w:rPr>
                <w:rFonts w:eastAsia="Calibri"/>
              </w:rPr>
            </w:pPr>
            <w:r>
              <w:rPr>
                <w:rFonts w:eastAsia="Calibri"/>
              </w:rPr>
              <w:t>Yes</w:t>
            </w:r>
          </w:p>
        </w:tc>
        <w:tc>
          <w:tcPr>
            <w:tcW w:w="921" w:type="pct"/>
            <w:shd w:val="clear" w:color="auto" w:fill="auto"/>
            <w:vAlign w:val="center"/>
          </w:tcPr>
          <w:p w14:paraId="78C870B5" w14:textId="77777777" w:rsidR="000D07EA" w:rsidRDefault="00BE7C89">
            <w:pPr>
              <w:pStyle w:val="BodyText"/>
              <w:spacing w:before="100" w:after="100"/>
              <w:jc w:val="center"/>
              <w:rPr>
                <w:rFonts w:eastAsia="Calibri"/>
              </w:rPr>
            </w:pPr>
            <w:r>
              <w:rPr>
                <w:rFonts w:eastAsia="Calibri"/>
              </w:rPr>
              <w:t>Yes</w:t>
            </w:r>
          </w:p>
        </w:tc>
        <w:tc>
          <w:tcPr>
            <w:tcW w:w="921" w:type="pct"/>
            <w:vAlign w:val="center"/>
          </w:tcPr>
          <w:p w14:paraId="3C98D2BB" w14:textId="77777777" w:rsidR="000D07EA" w:rsidRDefault="00BE7C89">
            <w:pPr>
              <w:pStyle w:val="BodyText"/>
              <w:spacing w:before="100" w:after="100"/>
              <w:jc w:val="center"/>
              <w:rPr>
                <w:rFonts w:eastAsia="Calibri"/>
              </w:rPr>
            </w:pPr>
            <w:r>
              <w:rPr>
                <w:rFonts w:eastAsia="Calibri"/>
              </w:rPr>
              <w:t>Yes</w:t>
            </w:r>
          </w:p>
        </w:tc>
      </w:tr>
      <w:tr w:rsidR="000D07EA" w14:paraId="0B6CB588" w14:textId="77777777">
        <w:tc>
          <w:tcPr>
            <w:tcW w:w="1315" w:type="pct"/>
            <w:shd w:val="clear" w:color="auto" w:fill="auto"/>
          </w:tcPr>
          <w:p w14:paraId="1C500332" w14:textId="77777777" w:rsidR="000D07EA" w:rsidRDefault="00BE7C89">
            <w:pPr>
              <w:pStyle w:val="BodyText"/>
              <w:spacing w:before="100" w:after="100"/>
              <w:rPr>
                <w:rFonts w:eastAsia="Calibri"/>
              </w:rPr>
            </w:pPr>
            <w:r>
              <w:rPr>
                <w:rFonts w:eastAsia="Calibri"/>
                <w:b/>
                <w:bCs/>
              </w:rPr>
              <w:t>Included Value (</w:t>
            </w:r>
            <w:r>
              <w:rPr>
                <w:rFonts w:eastAsia="Calibri"/>
                <w:bCs/>
              </w:rPr>
              <w:t>each month)</w:t>
            </w:r>
          </w:p>
        </w:tc>
        <w:tc>
          <w:tcPr>
            <w:tcW w:w="921" w:type="pct"/>
            <w:shd w:val="clear" w:color="auto" w:fill="auto"/>
            <w:vAlign w:val="center"/>
          </w:tcPr>
          <w:p w14:paraId="44974AE3" w14:textId="77777777" w:rsidR="000D07EA" w:rsidRDefault="00BE7C89">
            <w:pPr>
              <w:pStyle w:val="BodyText"/>
              <w:spacing w:before="100" w:after="100"/>
              <w:jc w:val="center"/>
              <w:rPr>
                <w:rFonts w:eastAsia="Calibri"/>
              </w:rPr>
            </w:pPr>
            <w:r>
              <w:rPr>
                <w:rFonts w:eastAsia="Calibri"/>
              </w:rPr>
              <w:t>$500</w:t>
            </w:r>
          </w:p>
        </w:tc>
        <w:tc>
          <w:tcPr>
            <w:tcW w:w="921" w:type="pct"/>
            <w:shd w:val="clear" w:color="auto" w:fill="auto"/>
            <w:vAlign w:val="center"/>
          </w:tcPr>
          <w:p w14:paraId="7B20C95E" w14:textId="77777777" w:rsidR="000D07EA" w:rsidRDefault="00BE7C89">
            <w:pPr>
              <w:pStyle w:val="BodyText"/>
              <w:spacing w:before="100" w:after="100"/>
              <w:jc w:val="center"/>
              <w:rPr>
                <w:rFonts w:eastAsia="Calibri"/>
              </w:rPr>
            </w:pPr>
            <w:r>
              <w:rPr>
                <w:rFonts w:eastAsia="Calibri"/>
              </w:rPr>
              <w:t>$650</w:t>
            </w:r>
          </w:p>
        </w:tc>
        <w:tc>
          <w:tcPr>
            <w:tcW w:w="921" w:type="pct"/>
            <w:shd w:val="clear" w:color="auto" w:fill="auto"/>
            <w:vAlign w:val="center"/>
          </w:tcPr>
          <w:p w14:paraId="33DA125C" w14:textId="77777777" w:rsidR="000D07EA" w:rsidRDefault="00BE7C89">
            <w:pPr>
              <w:pStyle w:val="BodyText"/>
              <w:spacing w:before="100" w:after="100"/>
              <w:jc w:val="center"/>
              <w:rPr>
                <w:rFonts w:eastAsia="Calibri"/>
              </w:rPr>
            </w:pPr>
            <w:r>
              <w:rPr>
                <w:rFonts w:eastAsia="Calibri"/>
              </w:rPr>
              <w:t>$850</w:t>
            </w:r>
          </w:p>
        </w:tc>
        <w:tc>
          <w:tcPr>
            <w:tcW w:w="921" w:type="pct"/>
            <w:vAlign w:val="center"/>
          </w:tcPr>
          <w:p w14:paraId="4FFF2CF6" w14:textId="77777777" w:rsidR="000D07EA" w:rsidRDefault="00BE7C89">
            <w:pPr>
              <w:pStyle w:val="BodyText"/>
              <w:spacing w:before="100" w:after="100"/>
              <w:jc w:val="center"/>
              <w:rPr>
                <w:rFonts w:eastAsia="Calibri"/>
              </w:rPr>
            </w:pPr>
            <w:r>
              <w:rPr>
                <w:rFonts w:eastAsia="Calibri"/>
              </w:rPr>
              <w:t>Unlimited standard national calls to Australian mobiles and fixed lines, SMS, MMS, calls to 13, 1300 and 1800 numbers and VoiceMail</w:t>
            </w:r>
          </w:p>
        </w:tc>
      </w:tr>
      <w:tr w:rsidR="000D07EA" w14:paraId="5917DD49" w14:textId="77777777">
        <w:tc>
          <w:tcPr>
            <w:tcW w:w="1315" w:type="pct"/>
            <w:shd w:val="clear" w:color="auto" w:fill="auto"/>
          </w:tcPr>
          <w:p w14:paraId="647CE5EA" w14:textId="77777777" w:rsidR="000D07EA" w:rsidRDefault="00BE7C89">
            <w:pPr>
              <w:pStyle w:val="BodyText"/>
              <w:spacing w:before="100" w:after="100"/>
              <w:rPr>
                <w:rFonts w:eastAsia="Calibri"/>
              </w:rPr>
            </w:pPr>
            <w:r>
              <w:rPr>
                <w:rFonts w:eastAsia="Calibri"/>
                <w:b/>
                <w:bCs/>
              </w:rPr>
              <w:t>Unlimited standard national SMS</w:t>
            </w:r>
          </w:p>
        </w:tc>
        <w:tc>
          <w:tcPr>
            <w:tcW w:w="921" w:type="pct"/>
            <w:shd w:val="clear" w:color="auto" w:fill="auto"/>
            <w:vAlign w:val="center"/>
          </w:tcPr>
          <w:p w14:paraId="268D3519" w14:textId="77777777" w:rsidR="000D07EA" w:rsidRDefault="00BE7C89">
            <w:pPr>
              <w:pStyle w:val="BodyText"/>
              <w:spacing w:before="100" w:after="100"/>
              <w:jc w:val="center"/>
              <w:rPr>
                <w:rFonts w:eastAsia="Calibri"/>
              </w:rPr>
            </w:pPr>
            <w:r>
              <w:rPr>
                <w:rFonts w:eastAsia="Calibri"/>
              </w:rPr>
              <w:t>Yes</w:t>
            </w:r>
          </w:p>
        </w:tc>
        <w:tc>
          <w:tcPr>
            <w:tcW w:w="921" w:type="pct"/>
            <w:shd w:val="clear" w:color="auto" w:fill="auto"/>
            <w:vAlign w:val="center"/>
          </w:tcPr>
          <w:p w14:paraId="123AD9ED" w14:textId="77777777" w:rsidR="000D07EA" w:rsidRDefault="00BE7C89">
            <w:pPr>
              <w:pStyle w:val="BodyText"/>
              <w:spacing w:before="100" w:after="100"/>
              <w:jc w:val="center"/>
              <w:rPr>
                <w:rFonts w:eastAsia="Calibri"/>
              </w:rPr>
            </w:pPr>
            <w:r>
              <w:rPr>
                <w:rFonts w:eastAsia="Calibri"/>
              </w:rPr>
              <w:t>Yes</w:t>
            </w:r>
          </w:p>
        </w:tc>
        <w:tc>
          <w:tcPr>
            <w:tcW w:w="921" w:type="pct"/>
            <w:shd w:val="clear" w:color="auto" w:fill="auto"/>
            <w:vAlign w:val="center"/>
          </w:tcPr>
          <w:p w14:paraId="76C70467" w14:textId="77777777" w:rsidR="000D07EA" w:rsidRDefault="00BE7C89">
            <w:pPr>
              <w:pStyle w:val="BodyText"/>
              <w:spacing w:before="100" w:after="100"/>
              <w:jc w:val="center"/>
              <w:rPr>
                <w:rFonts w:eastAsia="Calibri"/>
              </w:rPr>
            </w:pPr>
            <w:r>
              <w:rPr>
                <w:rFonts w:eastAsia="Calibri"/>
              </w:rPr>
              <w:t>Yes</w:t>
            </w:r>
          </w:p>
        </w:tc>
        <w:tc>
          <w:tcPr>
            <w:tcW w:w="921" w:type="pct"/>
            <w:vAlign w:val="center"/>
          </w:tcPr>
          <w:p w14:paraId="4C00E32C" w14:textId="77777777" w:rsidR="000D07EA" w:rsidRDefault="00BE7C89">
            <w:pPr>
              <w:pStyle w:val="BodyText"/>
              <w:spacing w:before="100" w:after="100"/>
              <w:jc w:val="center"/>
              <w:rPr>
                <w:rFonts w:eastAsia="Calibri"/>
              </w:rPr>
            </w:pPr>
            <w:r>
              <w:rPr>
                <w:rFonts w:eastAsia="Calibri"/>
              </w:rPr>
              <w:t>Yes</w:t>
            </w:r>
          </w:p>
        </w:tc>
      </w:tr>
      <w:tr w:rsidR="000D07EA" w14:paraId="380470D9" w14:textId="77777777">
        <w:tc>
          <w:tcPr>
            <w:tcW w:w="1315" w:type="pct"/>
            <w:shd w:val="clear" w:color="auto" w:fill="auto"/>
          </w:tcPr>
          <w:p w14:paraId="03910C3F" w14:textId="77777777" w:rsidR="000D07EA" w:rsidRDefault="00BE7C89">
            <w:pPr>
              <w:pStyle w:val="BodyText"/>
              <w:spacing w:before="100" w:after="100"/>
            </w:pPr>
            <w:r>
              <w:t>Unlimited voice calls to Optus mobiles from within Australia</w:t>
            </w:r>
          </w:p>
        </w:tc>
        <w:tc>
          <w:tcPr>
            <w:tcW w:w="921" w:type="pct"/>
            <w:shd w:val="clear" w:color="auto" w:fill="auto"/>
            <w:vAlign w:val="center"/>
          </w:tcPr>
          <w:p w14:paraId="6E8F6E61" w14:textId="77777777" w:rsidR="000D07EA" w:rsidRDefault="00BE7C89">
            <w:pPr>
              <w:pStyle w:val="BodyText"/>
              <w:spacing w:before="100" w:after="100"/>
              <w:jc w:val="center"/>
              <w:rPr>
                <w:rFonts w:eastAsia="Calibri"/>
              </w:rPr>
            </w:pPr>
            <w:r>
              <w:rPr>
                <w:rFonts w:eastAsia="Calibri"/>
              </w:rPr>
              <w:t>No</w:t>
            </w:r>
          </w:p>
        </w:tc>
        <w:tc>
          <w:tcPr>
            <w:tcW w:w="921" w:type="pct"/>
            <w:shd w:val="clear" w:color="auto" w:fill="auto"/>
            <w:vAlign w:val="center"/>
          </w:tcPr>
          <w:p w14:paraId="0F8A6080" w14:textId="77777777" w:rsidR="000D07EA" w:rsidRDefault="00BE7C89">
            <w:pPr>
              <w:pStyle w:val="BodyText"/>
              <w:spacing w:before="100" w:after="100"/>
              <w:jc w:val="center"/>
              <w:rPr>
                <w:rFonts w:eastAsia="Calibri"/>
              </w:rPr>
            </w:pPr>
            <w:r>
              <w:rPr>
                <w:rFonts w:eastAsia="Calibri"/>
              </w:rPr>
              <w:t>Yes</w:t>
            </w:r>
          </w:p>
        </w:tc>
        <w:tc>
          <w:tcPr>
            <w:tcW w:w="921" w:type="pct"/>
            <w:shd w:val="clear" w:color="auto" w:fill="auto"/>
            <w:vAlign w:val="center"/>
          </w:tcPr>
          <w:p w14:paraId="4AA4B949" w14:textId="77777777" w:rsidR="000D07EA" w:rsidRDefault="00BE7C89">
            <w:pPr>
              <w:pStyle w:val="BodyText"/>
              <w:spacing w:before="100" w:after="100"/>
              <w:jc w:val="center"/>
              <w:rPr>
                <w:rFonts w:eastAsia="Calibri"/>
              </w:rPr>
            </w:pPr>
            <w:r>
              <w:rPr>
                <w:rFonts w:eastAsia="Calibri"/>
              </w:rPr>
              <w:t>Yes</w:t>
            </w:r>
          </w:p>
        </w:tc>
        <w:tc>
          <w:tcPr>
            <w:tcW w:w="921" w:type="pct"/>
            <w:vAlign w:val="center"/>
          </w:tcPr>
          <w:p w14:paraId="2C64F47F" w14:textId="77777777" w:rsidR="000D07EA" w:rsidRDefault="00BE7C89">
            <w:pPr>
              <w:pStyle w:val="BodyText"/>
              <w:spacing w:before="100" w:after="100"/>
              <w:jc w:val="center"/>
              <w:rPr>
                <w:rFonts w:eastAsia="Calibri"/>
              </w:rPr>
            </w:pPr>
            <w:r>
              <w:rPr>
                <w:rFonts w:eastAsia="Calibri"/>
              </w:rPr>
              <w:t>Yes</w:t>
            </w:r>
          </w:p>
        </w:tc>
      </w:tr>
      <w:tr w:rsidR="000D07EA" w14:paraId="0F2871FA" w14:textId="77777777">
        <w:tc>
          <w:tcPr>
            <w:tcW w:w="1315" w:type="pct"/>
            <w:shd w:val="clear" w:color="auto" w:fill="auto"/>
          </w:tcPr>
          <w:p w14:paraId="1D69FDF7" w14:textId="77777777" w:rsidR="000D07EA" w:rsidRDefault="00BE7C89">
            <w:pPr>
              <w:pStyle w:val="BodyText"/>
              <w:spacing w:before="100" w:after="100"/>
              <w:rPr>
                <w:rFonts w:eastAsia="Calibri"/>
                <w:b/>
                <w:sz w:val="22"/>
                <w:szCs w:val="22"/>
              </w:rPr>
            </w:pPr>
            <w:r>
              <w:rPr>
                <w:rFonts w:eastAsia="Calibri"/>
                <w:b/>
              </w:rPr>
              <w:lastRenderedPageBreak/>
              <w:t>Unlimited voice calls to Optus mobiles on the same Customer Account Number from within Australia</w:t>
            </w:r>
          </w:p>
        </w:tc>
        <w:tc>
          <w:tcPr>
            <w:tcW w:w="921" w:type="pct"/>
            <w:shd w:val="clear" w:color="auto" w:fill="auto"/>
            <w:vAlign w:val="center"/>
          </w:tcPr>
          <w:p w14:paraId="0640AB00" w14:textId="77777777" w:rsidR="000D07EA" w:rsidRDefault="00BE7C89">
            <w:pPr>
              <w:pStyle w:val="BodyText"/>
              <w:spacing w:before="100" w:after="100"/>
              <w:jc w:val="center"/>
              <w:rPr>
                <w:rFonts w:eastAsia="Calibri"/>
              </w:rPr>
            </w:pPr>
            <w:r>
              <w:rPr>
                <w:rFonts w:eastAsia="Calibri"/>
              </w:rPr>
              <w:t>Yes</w:t>
            </w:r>
          </w:p>
        </w:tc>
        <w:tc>
          <w:tcPr>
            <w:tcW w:w="921" w:type="pct"/>
            <w:shd w:val="clear" w:color="auto" w:fill="auto"/>
            <w:vAlign w:val="center"/>
          </w:tcPr>
          <w:p w14:paraId="79ECD04D" w14:textId="77777777" w:rsidR="000D07EA" w:rsidRDefault="00BE7C89">
            <w:pPr>
              <w:pStyle w:val="BodyText"/>
              <w:spacing w:before="100" w:after="100"/>
              <w:jc w:val="center"/>
              <w:rPr>
                <w:rFonts w:eastAsia="Calibri"/>
              </w:rPr>
            </w:pPr>
            <w:r>
              <w:rPr>
                <w:rFonts w:eastAsia="Calibri"/>
              </w:rPr>
              <w:t>Yes</w:t>
            </w:r>
          </w:p>
        </w:tc>
        <w:tc>
          <w:tcPr>
            <w:tcW w:w="921" w:type="pct"/>
            <w:shd w:val="clear" w:color="auto" w:fill="auto"/>
            <w:vAlign w:val="center"/>
          </w:tcPr>
          <w:p w14:paraId="0D0007BF" w14:textId="77777777" w:rsidR="000D07EA" w:rsidRDefault="00BE7C89">
            <w:pPr>
              <w:pStyle w:val="BodyText"/>
              <w:spacing w:before="100" w:after="100"/>
              <w:jc w:val="center"/>
              <w:rPr>
                <w:rFonts w:eastAsia="Calibri"/>
              </w:rPr>
            </w:pPr>
            <w:r>
              <w:rPr>
                <w:rFonts w:eastAsia="Calibri"/>
              </w:rPr>
              <w:t>Yes</w:t>
            </w:r>
          </w:p>
        </w:tc>
        <w:tc>
          <w:tcPr>
            <w:tcW w:w="921" w:type="pct"/>
            <w:vAlign w:val="center"/>
          </w:tcPr>
          <w:p w14:paraId="5535E1E8" w14:textId="77777777" w:rsidR="000D07EA" w:rsidRDefault="00BE7C89">
            <w:pPr>
              <w:pStyle w:val="BodyText"/>
              <w:spacing w:before="100" w:after="100"/>
              <w:jc w:val="center"/>
              <w:rPr>
                <w:rFonts w:eastAsia="Calibri"/>
              </w:rPr>
            </w:pPr>
            <w:r>
              <w:rPr>
                <w:rFonts w:eastAsia="Calibri"/>
              </w:rPr>
              <w:t>Yes</w:t>
            </w:r>
          </w:p>
        </w:tc>
      </w:tr>
      <w:tr w:rsidR="000D07EA" w14:paraId="215A49A5" w14:textId="77777777">
        <w:tc>
          <w:tcPr>
            <w:tcW w:w="1315" w:type="pct"/>
            <w:shd w:val="clear" w:color="auto" w:fill="auto"/>
          </w:tcPr>
          <w:p w14:paraId="1DA93E7E" w14:textId="77777777" w:rsidR="000D07EA" w:rsidRDefault="00BE7C89">
            <w:pPr>
              <w:pStyle w:val="BodyText"/>
              <w:spacing w:before="100" w:after="100"/>
              <w:rPr>
                <w:rFonts w:eastAsia="Calibri"/>
              </w:rPr>
            </w:pPr>
            <w:r>
              <w:rPr>
                <w:rFonts w:eastAsia="Calibri"/>
                <w:b/>
                <w:bCs/>
              </w:rPr>
              <w:t>Standard National Voice call charges</w:t>
            </w:r>
            <w:r>
              <w:rPr>
                <w:rFonts w:eastAsia="Calibri"/>
              </w:rPr>
              <w:t xml:space="preserve"> (per minute)</w:t>
            </w:r>
          </w:p>
        </w:tc>
        <w:tc>
          <w:tcPr>
            <w:tcW w:w="921" w:type="pct"/>
            <w:shd w:val="clear" w:color="auto" w:fill="auto"/>
            <w:vAlign w:val="center"/>
          </w:tcPr>
          <w:p w14:paraId="00CF23DF" w14:textId="77777777" w:rsidR="000D07EA" w:rsidRDefault="00BE7C89">
            <w:pPr>
              <w:pStyle w:val="BodyText"/>
              <w:spacing w:before="100" w:after="100"/>
              <w:jc w:val="center"/>
              <w:rPr>
                <w:rFonts w:eastAsia="Calibri"/>
              </w:rPr>
            </w:pPr>
            <w:r>
              <w:rPr>
                <w:rFonts w:eastAsia="Calibri"/>
              </w:rPr>
              <w:t>90c per min + 35c flagfall</w:t>
            </w:r>
          </w:p>
        </w:tc>
        <w:tc>
          <w:tcPr>
            <w:tcW w:w="921" w:type="pct"/>
            <w:shd w:val="clear" w:color="auto" w:fill="auto"/>
            <w:vAlign w:val="center"/>
          </w:tcPr>
          <w:p w14:paraId="259FC90D" w14:textId="77777777" w:rsidR="000D07EA" w:rsidRDefault="00BE7C89">
            <w:pPr>
              <w:pStyle w:val="BodyText"/>
              <w:spacing w:before="100" w:after="100"/>
              <w:jc w:val="center"/>
              <w:rPr>
                <w:rFonts w:eastAsia="Calibri"/>
              </w:rPr>
            </w:pPr>
            <w:r>
              <w:rPr>
                <w:rFonts w:eastAsia="Calibri"/>
              </w:rPr>
              <w:t>90c per min + 35c flagfall</w:t>
            </w:r>
          </w:p>
        </w:tc>
        <w:tc>
          <w:tcPr>
            <w:tcW w:w="921" w:type="pct"/>
            <w:shd w:val="clear" w:color="auto" w:fill="auto"/>
            <w:vAlign w:val="center"/>
          </w:tcPr>
          <w:p w14:paraId="7DF0C38C" w14:textId="77777777" w:rsidR="000D07EA" w:rsidRDefault="00BE7C89">
            <w:pPr>
              <w:pStyle w:val="BodyText"/>
              <w:spacing w:before="100" w:after="100"/>
              <w:jc w:val="center"/>
              <w:rPr>
                <w:rFonts w:eastAsia="Calibri"/>
              </w:rPr>
            </w:pPr>
            <w:r>
              <w:rPr>
                <w:rFonts w:eastAsia="Calibri"/>
              </w:rPr>
              <w:t>90c per min + 35c flagfall</w:t>
            </w:r>
          </w:p>
        </w:tc>
        <w:tc>
          <w:tcPr>
            <w:tcW w:w="921" w:type="pct"/>
            <w:vAlign w:val="center"/>
          </w:tcPr>
          <w:p w14:paraId="188AD6AC" w14:textId="77777777" w:rsidR="000D07EA" w:rsidRDefault="00BE7C89">
            <w:pPr>
              <w:pStyle w:val="BodyText"/>
              <w:spacing w:before="100" w:after="100"/>
              <w:jc w:val="center"/>
              <w:rPr>
                <w:rFonts w:eastAsia="Calibri"/>
              </w:rPr>
            </w:pPr>
            <w:r>
              <w:rPr>
                <w:rFonts w:eastAsia="Calibri"/>
              </w:rPr>
              <w:t>N/A</w:t>
            </w:r>
          </w:p>
        </w:tc>
      </w:tr>
      <w:tr w:rsidR="000D07EA" w14:paraId="4D0983B8" w14:textId="77777777">
        <w:tc>
          <w:tcPr>
            <w:tcW w:w="1315" w:type="pct"/>
            <w:shd w:val="clear" w:color="auto" w:fill="auto"/>
          </w:tcPr>
          <w:p w14:paraId="1FC80B85" w14:textId="77777777" w:rsidR="000D07EA" w:rsidRDefault="00BE7C89">
            <w:pPr>
              <w:pStyle w:val="BodyText"/>
              <w:spacing w:before="100" w:after="100"/>
              <w:rPr>
                <w:rFonts w:eastAsia="Calibri"/>
              </w:rPr>
            </w:pPr>
            <w:r>
              <w:rPr>
                <w:rFonts w:eastAsia="Calibri"/>
                <w:b/>
                <w:bCs/>
              </w:rPr>
              <w:t xml:space="preserve">Standard national SMS </w:t>
            </w:r>
            <w:r>
              <w:rPr>
                <w:rFonts w:eastAsia="Calibri"/>
              </w:rPr>
              <w:t>(per SMS of up to 160 standard characters^)</w:t>
            </w:r>
          </w:p>
        </w:tc>
        <w:tc>
          <w:tcPr>
            <w:tcW w:w="921" w:type="pct"/>
            <w:shd w:val="clear" w:color="auto" w:fill="auto"/>
            <w:vAlign w:val="center"/>
          </w:tcPr>
          <w:p w14:paraId="586EB938" w14:textId="77777777" w:rsidR="000D07EA" w:rsidRDefault="00BE7C89">
            <w:pPr>
              <w:pStyle w:val="BodyText"/>
              <w:spacing w:before="100" w:after="100"/>
              <w:jc w:val="center"/>
              <w:rPr>
                <w:rFonts w:eastAsia="Calibri"/>
              </w:rPr>
            </w:pPr>
            <w:r>
              <w:rPr>
                <w:rFonts w:eastAsia="Calibri"/>
              </w:rPr>
              <w:t>Unlimited</w:t>
            </w:r>
          </w:p>
        </w:tc>
        <w:tc>
          <w:tcPr>
            <w:tcW w:w="921" w:type="pct"/>
            <w:shd w:val="clear" w:color="auto" w:fill="auto"/>
            <w:vAlign w:val="center"/>
          </w:tcPr>
          <w:p w14:paraId="2AC47342" w14:textId="77777777" w:rsidR="000D07EA" w:rsidRDefault="00BE7C89">
            <w:pPr>
              <w:pStyle w:val="BodyText"/>
              <w:spacing w:before="100" w:after="100"/>
              <w:jc w:val="center"/>
              <w:rPr>
                <w:rFonts w:eastAsia="Calibri"/>
              </w:rPr>
            </w:pPr>
            <w:r>
              <w:rPr>
                <w:rFonts w:eastAsia="Calibri"/>
              </w:rPr>
              <w:t>Unlimited</w:t>
            </w:r>
          </w:p>
        </w:tc>
        <w:tc>
          <w:tcPr>
            <w:tcW w:w="921" w:type="pct"/>
            <w:shd w:val="clear" w:color="auto" w:fill="auto"/>
            <w:vAlign w:val="center"/>
          </w:tcPr>
          <w:p w14:paraId="4D86839E" w14:textId="77777777" w:rsidR="000D07EA" w:rsidRDefault="00BE7C89">
            <w:pPr>
              <w:pStyle w:val="BodyText"/>
              <w:spacing w:before="100" w:after="100"/>
              <w:jc w:val="center"/>
              <w:rPr>
                <w:rFonts w:eastAsia="Calibri"/>
              </w:rPr>
            </w:pPr>
            <w:r>
              <w:rPr>
                <w:rFonts w:eastAsia="Calibri"/>
              </w:rPr>
              <w:t>Unlimited</w:t>
            </w:r>
          </w:p>
        </w:tc>
        <w:tc>
          <w:tcPr>
            <w:tcW w:w="921" w:type="pct"/>
            <w:vAlign w:val="center"/>
          </w:tcPr>
          <w:p w14:paraId="3C7419AB" w14:textId="77777777" w:rsidR="000D07EA" w:rsidRDefault="00BE7C89">
            <w:pPr>
              <w:pStyle w:val="BodyText"/>
              <w:spacing w:before="100" w:after="100"/>
              <w:jc w:val="center"/>
              <w:rPr>
                <w:rFonts w:eastAsia="Calibri"/>
              </w:rPr>
            </w:pPr>
            <w:r>
              <w:rPr>
                <w:rFonts w:eastAsia="Calibri"/>
              </w:rPr>
              <w:t>Unlimited</w:t>
            </w:r>
          </w:p>
        </w:tc>
      </w:tr>
      <w:tr w:rsidR="000D07EA" w14:paraId="0DA49060" w14:textId="77777777">
        <w:tc>
          <w:tcPr>
            <w:tcW w:w="1315" w:type="pct"/>
            <w:shd w:val="clear" w:color="auto" w:fill="auto"/>
          </w:tcPr>
          <w:p w14:paraId="010F1871" w14:textId="77777777" w:rsidR="000D07EA" w:rsidRDefault="00BE7C89">
            <w:pPr>
              <w:pStyle w:val="BodyText"/>
              <w:spacing w:before="100" w:after="100"/>
              <w:rPr>
                <w:rFonts w:eastAsia="Calibri"/>
                <w:b/>
                <w:bCs/>
              </w:rPr>
            </w:pPr>
            <w:r>
              <w:rPr>
                <w:rFonts w:eastAsia="Calibri"/>
                <w:b/>
                <w:bCs/>
              </w:rPr>
              <w:t xml:space="preserve">Standard national MMS </w:t>
            </w:r>
            <w:r>
              <w:rPr>
                <w:rFonts w:eastAsia="Calibri"/>
              </w:rPr>
              <w:t>(per message)</w:t>
            </w:r>
          </w:p>
        </w:tc>
        <w:tc>
          <w:tcPr>
            <w:tcW w:w="921" w:type="pct"/>
            <w:shd w:val="clear" w:color="auto" w:fill="auto"/>
            <w:vAlign w:val="center"/>
          </w:tcPr>
          <w:p w14:paraId="3B295E6C" w14:textId="77777777" w:rsidR="000D07EA" w:rsidRDefault="00BE7C89">
            <w:pPr>
              <w:pStyle w:val="BodyText"/>
              <w:spacing w:before="100" w:after="100"/>
              <w:jc w:val="center"/>
              <w:rPr>
                <w:rFonts w:eastAsia="Calibri"/>
              </w:rPr>
            </w:pPr>
            <w:r>
              <w:rPr>
                <w:rFonts w:eastAsia="Calibri"/>
              </w:rPr>
              <w:t>50c</w:t>
            </w:r>
          </w:p>
        </w:tc>
        <w:tc>
          <w:tcPr>
            <w:tcW w:w="921" w:type="pct"/>
            <w:shd w:val="clear" w:color="auto" w:fill="auto"/>
            <w:vAlign w:val="center"/>
          </w:tcPr>
          <w:p w14:paraId="3D1837FE" w14:textId="77777777" w:rsidR="000D07EA" w:rsidRDefault="00BE7C89">
            <w:pPr>
              <w:pStyle w:val="BodyText"/>
              <w:spacing w:before="100" w:after="100"/>
              <w:jc w:val="center"/>
              <w:rPr>
                <w:rFonts w:eastAsia="Calibri"/>
              </w:rPr>
            </w:pPr>
            <w:r>
              <w:rPr>
                <w:rFonts w:eastAsia="Calibri"/>
              </w:rPr>
              <w:t>50c</w:t>
            </w:r>
          </w:p>
        </w:tc>
        <w:tc>
          <w:tcPr>
            <w:tcW w:w="921" w:type="pct"/>
            <w:shd w:val="clear" w:color="auto" w:fill="auto"/>
            <w:vAlign w:val="center"/>
          </w:tcPr>
          <w:p w14:paraId="6528D9A6" w14:textId="77777777" w:rsidR="000D07EA" w:rsidRDefault="00BE7C89">
            <w:pPr>
              <w:pStyle w:val="BodyText"/>
              <w:spacing w:before="100" w:after="100"/>
              <w:jc w:val="center"/>
              <w:rPr>
                <w:rFonts w:eastAsia="Calibri"/>
              </w:rPr>
            </w:pPr>
            <w:r>
              <w:rPr>
                <w:rFonts w:eastAsia="Calibri"/>
              </w:rPr>
              <w:t>50c</w:t>
            </w:r>
          </w:p>
        </w:tc>
        <w:tc>
          <w:tcPr>
            <w:tcW w:w="921" w:type="pct"/>
            <w:vAlign w:val="center"/>
          </w:tcPr>
          <w:p w14:paraId="6B328EFE" w14:textId="77777777" w:rsidR="000D07EA" w:rsidRDefault="00BE7C89">
            <w:pPr>
              <w:pStyle w:val="BodyText"/>
              <w:spacing w:before="100" w:after="100"/>
              <w:jc w:val="center"/>
              <w:rPr>
                <w:rFonts w:eastAsia="Calibri"/>
              </w:rPr>
            </w:pPr>
            <w:r>
              <w:rPr>
                <w:rFonts w:eastAsia="Calibri"/>
              </w:rPr>
              <w:t>N/A</w:t>
            </w:r>
          </w:p>
        </w:tc>
      </w:tr>
      <w:tr w:rsidR="000D07EA" w14:paraId="2F3B9D00" w14:textId="77777777">
        <w:tc>
          <w:tcPr>
            <w:tcW w:w="1315" w:type="pct"/>
            <w:shd w:val="clear" w:color="auto" w:fill="auto"/>
          </w:tcPr>
          <w:p w14:paraId="7D436E24" w14:textId="77777777" w:rsidR="000D07EA" w:rsidRDefault="00BE7C89">
            <w:pPr>
              <w:pStyle w:val="BodyText"/>
              <w:spacing w:before="100" w:after="100"/>
              <w:rPr>
                <w:rFonts w:eastAsia="Calibri"/>
              </w:rPr>
            </w:pPr>
            <w:r>
              <w:rPr>
                <w:rFonts w:eastAsia="Calibri"/>
                <w:b/>
                <w:bCs/>
              </w:rPr>
              <w:t xml:space="preserve">National video calls </w:t>
            </w:r>
            <w:r>
              <w:rPr>
                <w:rFonts w:eastAsia="Calibri"/>
              </w:rPr>
              <w:t>(per minute)</w:t>
            </w:r>
          </w:p>
        </w:tc>
        <w:tc>
          <w:tcPr>
            <w:tcW w:w="921" w:type="pct"/>
            <w:shd w:val="clear" w:color="auto" w:fill="auto"/>
            <w:vAlign w:val="center"/>
          </w:tcPr>
          <w:p w14:paraId="1EE54EEB" w14:textId="77777777" w:rsidR="000D07EA" w:rsidRDefault="00BE7C89">
            <w:pPr>
              <w:pStyle w:val="BodyText"/>
              <w:spacing w:before="100" w:after="100"/>
              <w:jc w:val="center"/>
              <w:rPr>
                <w:rFonts w:eastAsia="Calibri"/>
              </w:rPr>
            </w:pPr>
            <w:r>
              <w:rPr>
                <w:rFonts w:eastAsia="Calibri"/>
              </w:rPr>
              <w:t>$1.00 per min + 40c flagfall</w:t>
            </w:r>
          </w:p>
        </w:tc>
        <w:tc>
          <w:tcPr>
            <w:tcW w:w="921" w:type="pct"/>
            <w:shd w:val="clear" w:color="auto" w:fill="auto"/>
            <w:vAlign w:val="center"/>
          </w:tcPr>
          <w:p w14:paraId="5E116051" w14:textId="77777777" w:rsidR="000D07EA" w:rsidRDefault="00BE7C89">
            <w:pPr>
              <w:pStyle w:val="BodyText"/>
              <w:spacing w:before="100" w:after="100"/>
              <w:jc w:val="center"/>
              <w:rPr>
                <w:rFonts w:eastAsia="Calibri"/>
              </w:rPr>
            </w:pPr>
            <w:r>
              <w:rPr>
                <w:rFonts w:eastAsia="Calibri"/>
              </w:rPr>
              <w:t>$1.00 per min + 40c flagfall</w:t>
            </w:r>
          </w:p>
        </w:tc>
        <w:tc>
          <w:tcPr>
            <w:tcW w:w="921" w:type="pct"/>
            <w:shd w:val="clear" w:color="auto" w:fill="auto"/>
            <w:vAlign w:val="center"/>
          </w:tcPr>
          <w:p w14:paraId="5BA8E030" w14:textId="77777777" w:rsidR="000D07EA" w:rsidRDefault="00BE7C89">
            <w:pPr>
              <w:pStyle w:val="BodyText"/>
              <w:spacing w:before="100" w:after="100"/>
              <w:jc w:val="center"/>
              <w:rPr>
                <w:rFonts w:eastAsia="Calibri"/>
              </w:rPr>
            </w:pPr>
            <w:r>
              <w:rPr>
                <w:rFonts w:eastAsia="Calibri"/>
              </w:rPr>
              <w:t>$1.00 per min + 40c flagfall</w:t>
            </w:r>
          </w:p>
        </w:tc>
        <w:tc>
          <w:tcPr>
            <w:tcW w:w="921" w:type="pct"/>
            <w:vAlign w:val="center"/>
          </w:tcPr>
          <w:p w14:paraId="78AD6654" w14:textId="77777777" w:rsidR="000D07EA" w:rsidRDefault="00BE7C89">
            <w:pPr>
              <w:pStyle w:val="BodyText"/>
              <w:spacing w:before="100" w:after="100"/>
              <w:jc w:val="center"/>
              <w:rPr>
                <w:rFonts w:eastAsia="Calibri"/>
              </w:rPr>
            </w:pPr>
            <w:r>
              <w:rPr>
                <w:rFonts w:eastAsia="Calibri"/>
              </w:rPr>
              <w:t>$1.00 per min + 40c flagfall</w:t>
            </w:r>
          </w:p>
        </w:tc>
      </w:tr>
      <w:tr w:rsidR="000D07EA" w14:paraId="6CBA4E4E" w14:textId="77777777">
        <w:tc>
          <w:tcPr>
            <w:tcW w:w="1315" w:type="pct"/>
            <w:shd w:val="clear" w:color="auto" w:fill="auto"/>
          </w:tcPr>
          <w:p w14:paraId="1D02E5D7" w14:textId="77777777" w:rsidR="000D07EA" w:rsidRDefault="00BE7C89">
            <w:pPr>
              <w:pStyle w:val="BodyText"/>
              <w:spacing w:before="100" w:after="100"/>
              <w:rPr>
                <w:rFonts w:eastAsia="Calibri"/>
              </w:rPr>
            </w:pPr>
            <w:r>
              <w:rPr>
                <w:rFonts w:eastAsia="Calibri"/>
                <w:b/>
                <w:bCs/>
                <w:iCs/>
              </w:rPr>
              <w:t>Excess Data Charge</w:t>
            </w:r>
            <w:r>
              <w:rPr>
                <w:rFonts w:eastAsia="Calibri"/>
                <w:b/>
                <w:bCs/>
                <w:i/>
                <w:iCs/>
              </w:rPr>
              <w:t xml:space="preserve"> </w:t>
            </w:r>
            <w:r>
              <w:rPr>
                <w:rFonts w:eastAsia="Calibri"/>
                <w:i/>
                <w:iCs/>
              </w:rPr>
              <w:t>(charged per kb, includes uploads and downloads)</w:t>
            </w:r>
          </w:p>
        </w:tc>
        <w:tc>
          <w:tcPr>
            <w:tcW w:w="921" w:type="pct"/>
            <w:shd w:val="clear" w:color="auto" w:fill="auto"/>
            <w:vAlign w:val="center"/>
          </w:tcPr>
          <w:p w14:paraId="13381E9B" w14:textId="77777777" w:rsidR="000D07EA" w:rsidRDefault="00BE7C89">
            <w:pPr>
              <w:pStyle w:val="BodyText"/>
              <w:spacing w:before="100" w:after="100"/>
              <w:jc w:val="center"/>
              <w:rPr>
                <w:rFonts w:eastAsia="Calibri"/>
              </w:rPr>
            </w:pPr>
            <w:r>
              <w:rPr>
                <w:rFonts w:eastAsia="Calibri"/>
              </w:rPr>
              <w:t>$0.25/MB</w:t>
            </w:r>
          </w:p>
        </w:tc>
        <w:tc>
          <w:tcPr>
            <w:tcW w:w="921" w:type="pct"/>
            <w:shd w:val="clear" w:color="auto" w:fill="auto"/>
            <w:vAlign w:val="center"/>
          </w:tcPr>
          <w:p w14:paraId="6AFAEE4F" w14:textId="77777777" w:rsidR="000D07EA" w:rsidRDefault="00BE7C89">
            <w:pPr>
              <w:pStyle w:val="BodyText"/>
              <w:spacing w:before="100" w:after="100"/>
              <w:jc w:val="center"/>
              <w:rPr>
                <w:rFonts w:eastAsia="Calibri"/>
              </w:rPr>
            </w:pPr>
            <w:r>
              <w:rPr>
                <w:rFonts w:eastAsia="Calibri"/>
              </w:rPr>
              <w:t>$0.25/MB</w:t>
            </w:r>
          </w:p>
        </w:tc>
        <w:tc>
          <w:tcPr>
            <w:tcW w:w="921" w:type="pct"/>
            <w:shd w:val="clear" w:color="auto" w:fill="auto"/>
            <w:vAlign w:val="center"/>
          </w:tcPr>
          <w:p w14:paraId="379529E9" w14:textId="77777777" w:rsidR="000D07EA" w:rsidRDefault="00BE7C89">
            <w:pPr>
              <w:pStyle w:val="BodyText"/>
              <w:spacing w:before="100" w:after="100"/>
              <w:jc w:val="center"/>
              <w:rPr>
                <w:rFonts w:eastAsia="Calibri"/>
              </w:rPr>
            </w:pPr>
            <w:r>
              <w:rPr>
                <w:rFonts w:eastAsia="Calibri"/>
              </w:rPr>
              <w:t>$0.25/MB</w:t>
            </w:r>
          </w:p>
        </w:tc>
        <w:tc>
          <w:tcPr>
            <w:tcW w:w="921" w:type="pct"/>
            <w:vAlign w:val="center"/>
          </w:tcPr>
          <w:p w14:paraId="7075A7FB" w14:textId="77777777" w:rsidR="000D07EA" w:rsidRDefault="00BE7C89">
            <w:pPr>
              <w:pStyle w:val="BodyText"/>
              <w:spacing w:before="100" w:after="100"/>
              <w:jc w:val="center"/>
              <w:rPr>
                <w:rFonts w:eastAsia="Calibri"/>
              </w:rPr>
            </w:pPr>
            <w:r>
              <w:rPr>
                <w:rFonts w:eastAsia="Calibri"/>
              </w:rPr>
              <w:t>$0.10/MB</w:t>
            </w:r>
          </w:p>
        </w:tc>
      </w:tr>
      <w:tr w:rsidR="000D07EA" w14:paraId="3718334C" w14:textId="77777777">
        <w:tc>
          <w:tcPr>
            <w:tcW w:w="1315" w:type="pct"/>
            <w:shd w:val="clear" w:color="auto" w:fill="auto"/>
          </w:tcPr>
          <w:p w14:paraId="425AE592" w14:textId="77777777" w:rsidR="000D07EA" w:rsidRDefault="00BE7C89">
            <w:pPr>
              <w:pStyle w:val="BodyText"/>
              <w:spacing w:before="100" w:after="100"/>
              <w:rPr>
                <w:rFonts w:eastAsia="Calibri"/>
              </w:rPr>
            </w:pPr>
            <w:r>
              <w:rPr>
                <w:rFonts w:eastAsia="Calibri"/>
                <w:b/>
                <w:bCs/>
              </w:rPr>
              <w:t>VoiceMail</w:t>
            </w:r>
          </w:p>
        </w:tc>
        <w:tc>
          <w:tcPr>
            <w:tcW w:w="921" w:type="pct"/>
            <w:shd w:val="clear" w:color="auto" w:fill="auto"/>
            <w:vAlign w:val="center"/>
          </w:tcPr>
          <w:p w14:paraId="3425E6C9" w14:textId="77777777" w:rsidR="000D07EA" w:rsidRDefault="00BE7C89">
            <w:pPr>
              <w:pStyle w:val="BodyText"/>
              <w:spacing w:before="100" w:after="100"/>
              <w:jc w:val="center"/>
              <w:rPr>
                <w:rFonts w:eastAsia="Calibri"/>
              </w:rPr>
            </w:pPr>
            <w:r>
              <w:rPr>
                <w:rFonts w:eastAsia="Calibri"/>
              </w:rPr>
              <w:t>Unlimited</w:t>
            </w:r>
          </w:p>
        </w:tc>
        <w:tc>
          <w:tcPr>
            <w:tcW w:w="921" w:type="pct"/>
            <w:shd w:val="clear" w:color="auto" w:fill="auto"/>
            <w:vAlign w:val="center"/>
          </w:tcPr>
          <w:p w14:paraId="2D137135" w14:textId="77777777" w:rsidR="000D07EA" w:rsidRDefault="00BE7C89">
            <w:pPr>
              <w:pStyle w:val="BodyText"/>
              <w:spacing w:before="100" w:after="100"/>
              <w:jc w:val="center"/>
              <w:rPr>
                <w:rFonts w:eastAsia="Calibri"/>
              </w:rPr>
            </w:pPr>
            <w:r>
              <w:rPr>
                <w:rFonts w:eastAsia="Calibri"/>
              </w:rPr>
              <w:t>Unlimited</w:t>
            </w:r>
          </w:p>
        </w:tc>
        <w:tc>
          <w:tcPr>
            <w:tcW w:w="921" w:type="pct"/>
            <w:shd w:val="clear" w:color="auto" w:fill="auto"/>
            <w:vAlign w:val="center"/>
          </w:tcPr>
          <w:p w14:paraId="5DEABCF8" w14:textId="77777777" w:rsidR="000D07EA" w:rsidRDefault="00BE7C89">
            <w:pPr>
              <w:pStyle w:val="BodyText"/>
              <w:spacing w:before="100" w:after="100"/>
              <w:jc w:val="center"/>
              <w:rPr>
                <w:rFonts w:eastAsia="Calibri"/>
              </w:rPr>
            </w:pPr>
            <w:r>
              <w:rPr>
                <w:rFonts w:eastAsia="Calibri"/>
              </w:rPr>
              <w:t>Unlimited</w:t>
            </w:r>
          </w:p>
        </w:tc>
        <w:tc>
          <w:tcPr>
            <w:tcW w:w="921" w:type="pct"/>
            <w:vAlign w:val="center"/>
          </w:tcPr>
          <w:p w14:paraId="11605136" w14:textId="77777777" w:rsidR="000D07EA" w:rsidRDefault="00BE7C89">
            <w:pPr>
              <w:pStyle w:val="BodyText"/>
              <w:spacing w:before="100" w:after="100"/>
              <w:jc w:val="center"/>
              <w:rPr>
                <w:rFonts w:eastAsia="Calibri"/>
              </w:rPr>
            </w:pPr>
            <w:r>
              <w:rPr>
                <w:rFonts w:eastAsia="Calibri"/>
              </w:rPr>
              <w:t>Unlimited</w:t>
            </w:r>
          </w:p>
        </w:tc>
      </w:tr>
      <w:tr w:rsidR="000D07EA" w14:paraId="5E2D0717" w14:textId="77777777">
        <w:tc>
          <w:tcPr>
            <w:tcW w:w="1315" w:type="pct"/>
            <w:shd w:val="clear" w:color="auto" w:fill="auto"/>
          </w:tcPr>
          <w:p w14:paraId="3674CAAB" w14:textId="77777777" w:rsidR="000D07EA" w:rsidRDefault="00BE7C89">
            <w:pPr>
              <w:pStyle w:val="BodyText"/>
              <w:spacing w:before="100" w:after="100"/>
              <w:rPr>
                <w:rFonts w:eastAsia="Calibri"/>
              </w:rPr>
            </w:pPr>
            <w:r>
              <w:rPr>
                <w:rFonts w:eastAsia="Calibri"/>
                <w:b/>
                <w:bCs/>
              </w:rPr>
              <w:t xml:space="preserve">Other call charges </w:t>
            </w:r>
            <w:r>
              <w:rPr>
                <w:rFonts w:eastAsia="Calibri"/>
              </w:rPr>
              <w:t>(for example international calls)</w:t>
            </w:r>
          </w:p>
        </w:tc>
        <w:tc>
          <w:tcPr>
            <w:tcW w:w="3685" w:type="pct"/>
            <w:gridSpan w:val="4"/>
            <w:vAlign w:val="center"/>
          </w:tcPr>
          <w:p w14:paraId="398FD6B7" w14:textId="77777777" w:rsidR="000D07EA" w:rsidRDefault="00BE7C89">
            <w:pPr>
              <w:pStyle w:val="BodyText"/>
              <w:spacing w:before="100" w:after="100"/>
              <w:jc w:val="center"/>
              <w:rPr>
                <w:rFonts w:eastAsia="Calibri"/>
              </w:rPr>
            </w:pPr>
            <w:r>
              <w:rPr>
                <w:rFonts w:eastAsia="Calibri"/>
              </w:rPr>
              <w:t xml:space="preserve">See section 1 of this </w:t>
            </w:r>
            <w:r>
              <w:rPr>
                <w:rFonts w:eastAsia="Calibri"/>
                <w:i/>
                <w:iCs/>
              </w:rPr>
              <w:t>standard pricing table</w:t>
            </w:r>
            <w:r>
              <w:rPr>
                <w:rFonts w:eastAsia="Calibri"/>
              </w:rPr>
              <w:t xml:space="preserve"> and </w:t>
            </w:r>
            <w:hyperlink r:id="rId558" w:history="1">
              <w:r>
                <w:rPr>
                  <w:rStyle w:val="Hyperlink"/>
                </w:rPr>
                <w:t>Appendix Y</w:t>
              </w:r>
            </w:hyperlink>
            <w:r>
              <w:rPr>
                <w:rFonts w:eastAsia="Calibri"/>
              </w:rPr>
              <w:t xml:space="preserve"> (Value Added Service Features)</w:t>
            </w:r>
          </w:p>
        </w:tc>
      </w:tr>
      <w:tr w:rsidR="000D07EA" w14:paraId="3A0BF8B5" w14:textId="77777777">
        <w:tc>
          <w:tcPr>
            <w:tcW w:w="1315" w:type="pct"/>
            <w:shd w:val="clear" w:color="auto" w:fill="auto"/>
          </w:tcPr>
          <w:p w14:paraId="0075EAAE" w14:textId="77777777" w:rsidR="000D07EA" w:rsidRDefault="00BE7C89">
            <w:pPr>
              <w:pStyle w:val="BodyText"/>
              <w:spacing w:before="100" w:after="100"/>
              <w:rPr>
                <w:rFonts w:eastAsia="Calibri"/>
              </w:rPr>
            </w:pPr>
            <w:r>
              <w:rPr>
                <w:rFonts w:eastAsia="Calibri"/>
                <w:b/>
                <w:bCs/>
              </w:rPr>
              <w:t xml:space="preserve">Other conditions </w:t>
            </w:r>
            <w:r>
              <w:rPr>
                <w:rFonts w:eastAsia="Calibri"/>
              </w:rPr>
              <w:t xml:space="preserve">(for details see Appendix </w:t>
            </w:r>
            <w:r w:rsidR="00DD7FB0">
              <w:rPr>
                <w:rFonts w:eastAsia="Calibri"/>
              </w:rPr>
              <w:t>S</w:t>
            </w:r>
            <w:r>
              <w:rPr>
                <w:rFonts w:eastAsia="Calibri"/>
              </w:rPr>
              <w:t>)</w:t>
            </w:r>
          </w:p>
        </w:tc>
        <w:tc>
          <w:tcPr>
            <w:tcW w:w="3685" w:type="pct"/>
            <w:gridSpan w:val="4"/>
            <w:vAlign w:val="center"/>
          </w:tcPr>
          <w:p w14:paraId="46B8C936" w14:textId="77777777" w:rsidR="000D07EA" w:rsidRDefault="00BE7C89">
            <w:pPr>
              <w:pStyle w:val="BodyText"/>
              <w:spacing w:before="100" w:after="100"/>
              <w:jc w:val="center"/>
              <w:rPr>
                <w:rFonts w:eastAsia="Calibri"/>
              </w:rPr>
            </w:pPr>
            <w:r>
              <w:t>Fair Go Policy (</w:t>
            </w:r>
            <w:hyperlink r:id="rId559" w:history="1">
              <w:r>
                <w:rPr>
                  <w:rStyle w:val="Hyperlink"/>
                  <w:i/>
                </w:rPr>
                <w:t>Appendix S</w:t>
              </w:r>
            </w:hyperlink>
            <w:r>
              <w:t>)</w:t>
            </w:r>
            <w:r>
              <w:rPr>
                <w:rFonts w:eastAsia="Calibri"/>
              </w:rPr>
              <w:t xml:space="preserve"> applies to certain 'excessive use', 'unreasonable use', 'unacceptable use' and use for a 'commercial or non-ordinary' purpose.</w:t>
            </w:r>
          </w:p>
        </w:tc>
      </w:tr>
      <w:tr w:rsidR="000D07EA" w14:paraId="0792AAFF" w14:textId="77777777">
        <w:tc>
          <w:tcPr>
            <w:tcW w:w="1315" w:type="pct"/>
            <w:shd w:val="clear" w:color="auto" w:fill="auto"/>
          </w:tcPr>
          <w:p w14:paraId="7850FFC2" w14:textId="77777777" w:rsidR="000D07EA" w:rsidRDefault="00BE7C89">
            <w:pPr>
              <w:pStyle w:val="BodyText"/>
              <w:spacing w:before="100" w:after="100"/>
              <w:rPr>
                <w:rFonts w:eastAsia="Calibri"/>
              </w:rPr>
            </w:pPr>
            <w:r>
              <w:rPr>
                <w:rFonts w:eastAsia="Calibri"/>
                <w:b/>
                <w:bCs/>
              </w:rPr>
              <w:t xml:space="preserve">Available on a </w:t>
            </w:r>
            <w:r>
              <w:rPr>
                <w:rFonts w:eastAsia="Calibri"/>
                <w:b/>
                <w:bCs/>
                <w:i/>
              </w:rPr>
              <w:t>non fixed-length agreement</w:t>
            </w:r>
            <w:r>
              <w:rPr>
                <w:rFonts w:eastAsia="Calibri"/>
                <w:b/>
                <w:bCs/>
              </w:rPr>
              <w:t xml:space="preserve"> </w:t>
            </w:r>
            <w:r>
              <w:rPr>
                <w:rFonts w:eastAsia="Calibri"/>
              </w:rPr>
              <w:t>(Month to Month)</w:t>
            </w:r>
          </w:p>
        </w:tc>
        <w:tc>
          <w:tcPr>
            <w:tcW w:w="921" w:type="pct"/>
            <w:shd w:val="clear" w:color="auto" w:fill="auto"/>
            <w:vAlign w:val="center"/>
          </w:tcPr>
          <w:p w14:paraId="5670A4AB" w14:textId="77777777" w:rsidR="000D07EA" w:rsidRDefault="00BE7C89">
            <w:pPr>
              <w:pStyle w:val="BodyText"/>
              <w:spacing w:before="100" w:after="100"/>
              <w:jc w:val="center"/>
              <w:rPr>
                <w:rFonts w:eastAsia="Calibri"/>
              </w:rPr>
            </w:pPr>
            <w:r>
              <w:rPr>
                <w:rFonts w:eastAsia="Calibri"/>
              </w:rPr>
              <w:t>No</w:t>
            </w:r>
          </w:p>
        </w:tc>
        <w:tc>
          <w:tcPr>
            <w:tcW w:w="921" w:type="pct"/>
            <w:shd w:val="clear" w:color="auto" w:fill="auto"/>
            <w:vAlign w:val="center"/>
          </w:tcPr>
          <w:p w14:paraId="3A6A233E" w14:textId="77777777" w:rsidR="000D07EA" w:rsidRDefault="00BE7C89">
            <w:pPr>
              <w:pStyle w:val="BodyText"/>
              <w:spacing w:before="100" w:after="100"/>
              <w:jc w:val="center"/>
              <w:rPr>
                <w:rFonts w:eastAsia="Calibri"/>
              </w:rPr>
            </w:pPr>
            <w:r>
              <w:rPr>
                <w:rFonts w:eastAsia="Calibri"/>
              </w:rPr>
              <w:t>No</w:t>
            </w:r>
          </w:p>
        </w:tc>
        <w:tc>
          <w:tcPr>
            <w:tcW w:w="921" w:type="pct"/>
            <w:shd w:val="clear" w:color="auto" w:fill="auto"/>
            <w:vAlign w:val="center"/>
          </w:tcPr>
          <w:p w14:paraId="14D6C350" w14:textId="77777777" w:rsidR="000D07EA" w:rsidRDefault="00BE7C89">
            <w:pPr>
              <w:pStyle w:val="BodyText"/>
              <w:spacing w:before="100" w:after="100"/>
              <w:jc w:val="center"/>
              <w:rPr>
                <w:rFonts w:eastAsia="Calibri"/>
              </w:rPr>
            </w:pPr>
            <w:r>
              <w:rPr>
                <w:rFonts w:eastAsia="Calibri"/>
              </w:rPr>
              <w:t>No</w:t>
            </w:r>
          </w:p>
        </w:tc>
        <w:tc>
          <w:tcPr>
            <w:tcW w:w="921" w:type="pct"/>
            <w:vAlign w:val="center"/>
          </w:tcPr>
          <w:p w14:paraId="0E0F99F9" w14:textId="77777777" w:rsidR="000D07EA" w:rsidRDefault="00BE7C89">
            <w:pPr>
              <w:pStyle w:val="BodyText"/>
              <w:spacing w:before="100" w:after="100"/>
              <w:jc w:val="center"/>
              <w:rPr>
                <w:rFonts w:eastAsia="Calibri"/>
              </w:rPr>
            </w:pPr>
            <w:r>
              <w:rPr>
                <w:rFonts w:eastAsia="Calibri"/>
              </w:rPr>
              <w:t>No</w:t>
            </w:r>
          </w:p>
        </w:tc>
      </w:tr>
      <w:tr w:rsidR="000D07EA" w14:paraId="4C1A0CCF" w14:textId="77777777">
        <w:tc>
          <w:tcPr>
            <w:tcW w:w="1315" w:type="pct"/>
            <w:shd w:val="clear" w:color="auto" w:fill="auto"/>
          </w:tcPr>
          <w:p w14:paraId="20B69B55" w14:textId="77777777" w:rsidR="000D07EA" w:rsidRDefault="00BE7C89">
            <w:pPr>
              <w:pStyle w:val="BodyText"/>
              <w:spacing w:before="100" w:after="100"/>
              <w:rPr>
                <w:rFonts w:eastAsia="Calibri"/>
              </w:rPr>
            </w:pPr>
            <w:r>
              <w:rPr>
                <w:rFonts w:eastAsia="Calibri"/>
                <w:b/>
                <w:bCs/>
              </w:rPr>
              <w:t xml:space="preserve">Available on a </w:t>
            </w:r>
            <w:r>
              <w:rPr>
                <w:rFonts w:eastAsia="Calibri"/>
                <w:b/>
                <w:bCs/>
                <w:i/>
              </w:rPr>
              <w:t>fixed-length agreement</w:t>
            </w:r>
            <w:r>
              <w:rPr>
                <w:rFonts w:eastAsia="Calibri"/>
              </w:rPr>
              <w:t xml:space="preserve"> (12 Months)</w:t>
            </w:r>
          </w:p>
        </w:tc>
        <w:tc>
          <w:tcPr>
            <w:tcW w:w="921" w:type="pct"/>
            <w:shd w:val="clear" w:color="auto" w:fill="auto"/>
            <w:vAlign w:val="center"/>
          </w:tcPr>
          <w:p w14:paraId="1871C32E" w14:textId="77777777" w:rsidR="000D07EA" w:rsidRDefault="00BE7C89">
            <w:pPr>
              <w:pStyle w:val="BodyText"/>
              <w:spacing w:before="100" w:after="100"/>
              <w:jc w:val="center"/>
              <w:rPr>
                <w:rFonts w:eastAsia="Calibri"/>
              </w:rPr>
            </w:pPr>
            <w:r>
              <w:rPr>
                <w:rFonts w:eastAsia="Calibri"/>
              </w:rPr>
              <w:t>No</w:t>
            </w:r>
          </w:p>
        </w:tc>
        <w:tc>
          <w:tcPr>
            <w:tcW w:w="921" w:type="pct"/>
            <w:shd w:val="clear" w:color="auto" w:fill="auto"/>
            <w:vAlign w:val="center"/>
          </w:tcPr>
          <w:p w14:paraId="5F597122" w14:textId="77777777" w:rsidR="000D07EA" w:rsidRDefault="00BE7C89">
            <w:pPr>
              <w:pStyle w:val="BodyText"/>
              <w:spacing w:before="100" w:after="100"/>
              <w:jc w:val="center"/>
              <w:rPr>
                <w:rFonts w:eastAsia="Calibri"/>
              </w:rPr>
            </w:pPr>
            <w:r>
              <w:rPr>
                <w:rFonts w:eastAsia="Calibri"/>
              </w:rPr>
              <w:t>No</w:t>
            </w:r>
          </w:p>
        </w:tc>
        <w:tc>
          <w:tcPr>
            <w:tcW w:w="921" w:type="pct"/>
            <w:shd w:val="clear" w:color="auto" w:fill="auto"/>
            <w:vAlign w:val="center"/>
          </w:tcPr>
          <w:p w14:paraId="055612C0" w14:textId="77777777" w:rsidR="000D07EA" w:rsidRDefault="00BE7C89">
            <w:pPr>
              <w:pStyle w:val="BodyText"/>
              <w:spacing w:before="100" w:after="100"/>
              <w:jc w:val="center"/>
              <w:rPr>
                <w:rFonts w:eastAsia="Calibri"/>
              </w:rPr>
            </w:pPr>
            <w:r>
              <w:rPr>
                <w:rFonts w:eastAsia="Calibri"/>
              </w:rPr>
              <w:t>No</w:t>
            </w:r>
          </w:p>
        </w:tc>
        <w:tc>
          <w:tcPr>
            <w:tcW w:w="921" w:type="pct"/>
            <w:vAlign w:val="center"/>
          </w:tcPr>
          <w:p w14:paraId="521A0AB8" w14:textId="77777777" w:rsidR="000D07EA" w:rsidRDefault="00BE7C89">
            <w:pPr>
              <w:pStyle w:val="BodyText"/>
              <w:spacing w:before="100" w:after="100"/>
              <w:jc w:val="center"/>
              <w:rPr>
                <w:rFonts w:eastAsia="Calibri"/>
              </w:rPr>
            </w:pPr>
            <w:r>
              <w:rPr>
                <w:rFonts w:eastAsia="Calibri"/>
              </w:rPr>
              <w:t>No</w:t>
            </w:r>
          </w:p>
        </w:tc>
      </w:tr>
      <w:tr w:rsidR="000D07EA" w14:paraId="44774D5D" w14:textId="77777777">
        <w:tc>
          <w:tcPr>
            <w:tcW w:w="1315" w:type="pct"/>
            <w:shd w:val="clear" w:color="auto" w:fill="auto"/>
          </w:tcPr>
          <w:p w14:paraId="1E6A447B" w14:textId="77777777" w:rsidR="000D07EA" w:rsidRDefault="00BE7C89">
            <w:pPr>
              <w:pStyle w:val="BodyText"/>
              <w:spacing w:before="100" w:after="100"/>
              <w:rPr>
                <w:rFonts w:eastAsia="Calibri"/>
              </w:rPr>
            </w:pPr>
            <w:r>
              <w:rPr>
                <w:rFonts w:eastAsia="Calibri"/>
                <w:b/>
                <w:bCs/>
              </w:rPr>
              <w:t xml:space="preserve">Minimum Total Cost over a 12 month minimum term </w:t>
            </w:r>
          </w:p>
        </w:tc>
        <w:tc>
          <w:tcPr>
            <w:tcW w:w="921" w:type="pct"/>
            <w:shd w:val="clear" w:color="auto" w:fill="auto"/>
            <w:vAlign w:val="center"/>
          </w:tcPr>
          <w:p w14:paraId="6DD1F002" w14:textId="77777777" w:rsidR="000D07EA" w:rsidRDefault="00BE7C89">
            <w:pPr>
              <w:pStyle w:val="BodyText"/>
              <w:spacing w:before="100" w:after="100"/>
              <w:jc w:val="center"/>
              <w:rPr>
                <w:rFonts w:eastAsia="Calibri"/>
              </w:rPr>
            </w:pPr>
            <w:r>
              <w:rPr>
                <w:rFonts w:eastAsia="Calibri"/>
              </w:rPr>
              <w:t>$480</w:t>
            </w:r>
          </w:p>
        </w:tc>
        <w:tc>
          <w:tcPr>
            <w:tcW w:w="921" w:type="pct"/>
            <w:shd w:val="clear" w:color="auto" w:fill="auto"/>
            <w:vAlign w:val="center"/>
          </w:tcPr>
          <w:p w14:paraId="29F167F3" w14:textId="77777777" w:rsidR="000D07EA" w:rsidRDefault="00BE7C89">
            <w:pPr>
              <w:pStyle w:val="BodyText"/>
              <w:spacing w:before="100" w:after="100"/>
              <w:jc w:val="center"/>
              <w:rPr>
                <w:rFonts w:eastAsia="Calibri"/>
              </w:rPr>
            </w:pPr>
            <w:r>
              <w:rPr>
                <w:rFonts w:eastAsia="Calibri"/>
              </w:rPr>
              <w:t>$600</w:t>
            </w:r>
          </w:p>
        </w:tc>
        <w:tc>
          <w:tcPr>
            <w:tcW w:w="921" w:type="pct"/>
            <w:shd w:val="clear" w:color="auto" w:fill="auto"/>
            <w:vAlign w:val="center"/>
          </w:tcPr>
          <w:p w14:paraId="2D2DAC6C" w14:textId="77777777" w:rsidR="000D07EA" w:rsidRDefault="00BE7C89">
            <w:pPr>
              <w:pStyle w:val="BodyText"/>
              <w:spacing w:before="100" w:after="100"/>
              <w:jc w:val="center"/>
              <w:rPr>
                <w:rFonts w:eastAsia="Calibri"/>
              </w:rPr>
            </w:pPr>
            <w:r>
              <w:rPr>
                <w:rFonts w:eastAsia="Calibri"/>
              </w:rPr>
              <w:t>$720</w:t>
            </w:r>
          </w:p>
        </w:tc>
        <w:tc>
          <w:tcPr>
            <w:tcW w:w="921" w:type="pct"/>
            <w:vAlign w:val="center"/>
          </w:tcPr>
          <w:p w14:paraId="4C3C683A" w14:textId="77777777" w:rsidR="000D07EA" w:rsidRDefault="00BE7C89">
            <w:pPr>
              <w:pStyle w:val="BodyText"/>
              <w:spacing w:before="100" w:after="100"/>
              <w:jc w:val="center"/>
              <w:rPr>
                <w:rFonts w:eastAsia="Calibri"/>
              </w:rPr>
            </w:pPr>
            <w:r>
              <w:rPr>
                <w:rFonts w:eastAsia="Calibri"/>
              </w:rPr>
              <w:t>$840</w:t>
            </w:r>
          </w:p>
        </w:tc>
      </w:tr>
    </w:tbl>
    <w:p w14:paraId="2FDFCFE3" w14:textId="77777777" w:rsidR="000D07EA" w:rsidRDefault="00BE7C89">
      <w:pPr>
        <w:pStyle w:val="BodyText"/>
        <w:spacing w:after="0"/>
        <w:ind w:left="720"/>
        <w:rPr>
          <w:sz w:val="16"/>
          <w:szCs w:val="16"/>
        </w:rPr>
      </w:pPr>
      <w:r>
        <w:rPr>
          <w:sz w:val="16"/>
          <w:szCs w:val="16"/>
        </w:rPr>
        <w:t>^ The maximum length of an SMS is 160 standard alpha numeric (ASCII) characters. Non-ASCII characters may account for more than a single ASCII character, and thereby reduce the character length for an SMS.</w:t>
      </w:r>
    </w:p>
    <w:p w14:paraId="38370EE8" w14:textId="77777777" w:rsidR="000D07EA" w:rsidRDefault="000D07EA">
      <w:pPr>
        <w:pStyle w:val="BodyText"/>
      </w:pPr>
    </w:p>
    <w:p w14:paraId="3343B326" w14:textId="77777777" w:rsidR="000D07EA" w:rsidRDefault="00BE7C89">
      <w:pPr>
        <w:pStyle w:val="Heading6"/>
        <w:ind w:left="0" w:firstLine="0"/>
      </w:pPr>
      <w:bookmarkStart w:id="839" w:name="_Toc337119826"/>
      <w:bookmarkStart w:id="840" w:name="_Toc343512503"/>
      <w:bookmarkStart w:id="841" w:name="_Toc343513075"/>
      <w:bookmarkStart w:id="842" w:name="_Toc343513515"/>
      <w:bookmarkStart w:id="843" w:name="_Toc397941291"/>
      <w:r>
        <w:t xml:space="preserve">What happens if the </w:t>
      </w:r>
      <w:r>
        <w:rPr>
          <w:i/>
        </w:rPr>
        <w:t xml:space="preserve">service </w:t>
      </w:r>
      <w:r>
        <w:t>is</w:t>
      </w:r>
      <w:r>
        <w:rPr>
          <w:i/>
        </w:rPr>
        <w:t xml:space="preserve"> cancelled </w:t>
      </w:r>
      <w:r>
        <w:t>early?</w:t>
      </w:r>
      <w:bookmarkEnd w:id="839"/>
      <w:bookmarkEnd w:id="840"/>
      <w:bookmarkEnd w:id="841"/>
      <w:bookmarkEnd w:id="842"/>
      <w:bookmarkEnd w:id="843"/>
      <w:r>
        <w:t xml:space="preserve"> </w:t>
      </w:r>
    </w:p>
    <w:p w14:paraId="473C7C9D" w14:textId="77777777" w:rsidR="000D07EA" w:rsidRDefault="00BE7C89">
      <w:pPr>
        <w:pStyle w:val="Heading7"/>
      </w:pPr>
      <w:r>
        <w:t>If the</w:t>
      </w:r>
      <w:r>
        <w:rPr>
          <w:i/>
        </w:rPr>
        <w:t xml:space="preserve"> service</w:t>
      </w:r>
      <w:r>
        <w:t xml:space="preserve"> is</w:t>
      </w:r>
      <w:r>
        <w:rPr>
          <w:i/>
        </w:rPr>
        <w:t xml:space="preserve"> cancelled </w:t>
      </w:r>
      <w:r>
        <w:t xml:space="preserve">before the expiry of the </w:t>
      </w:r>
      <w:r>
        <w:rPr>
          <w:i/>
        </w:rPr>
        <w:t xml:space="preserve">minimum term, you </w:t>
      </w:r>
      <w:r>
        <w:t xml:space="preserve">will be required to pay </w:t>
      </w:r>
      <w:r>
        <w:rPr>
          <w:i/>
        </w:rPr>
        <w:t>us</w:t>
      </w:r>
      <w:r>
        <w:t>:</w:t>
      </w:r>
    </w:p>
    <w:p w14:paraId="76857BA2" w14:textId="77777777" w:rsidR="000D07EA" w:rsidRDefault="00BE7C89">
      <w:pPr>
        <w:pStyle w:val="Heading8"/>
      </w:pPr>
      <w:r>
        <w:t xml:space="preserve">any usage charges incurred up to, and including, the </w:t>
      </w:r>
      <w:r>
        <w:rPr>
          <w:i/>
        </w:rPr>
        <w:t xml:space="preserve">cancellation date; </w:t>
      </w:r>
      <w:r>
        <w:t>plus</w:t>
      </w:r>
    </w:p>
    <w:p w14:paraId="79E4E591" w14:textId="77777777" w:rsidR="000D07EA" w:rsidRDefault="00BE7C89">
      <w:pPr>
        <w:pStyle w:val="Heading8"/>
      </w:pPr>
      <w:r>
        <w:t xml:space="preserve">the </w:t>
      </w:r>
      <w:r>
        <w:rPr>
          <w:i/>
        </w:rPr>
        <w:t>cancellation fee</w:t>
      </w:r>
      <w:r>
        <w:t xml:space="preserve"> set out in paragraph </w:t>
      </w:r>
      <w:r>
        <w:fldChar w:fldCharType="begin"/>
      </w:r>
      <w:r>
        <w:instrText xml:space="preserve"> REF _Ref461554950 \n \h </w:instrText>
      </w:r>
      <w:r>
        <w:fldChar w:fldCharType="separate"/>
      </w:r>
      <w:r w:rsidR="0004083A">
        <w:t>(b)</w:t>
      </w:r>
      <w:r>
        <w:fldChar w:fldCharType="end"/>
      </w:r>
      <w:r>
        <w:t xml:space="preserve"> below (unless under clause 2A of the </w:t>
      </w:r>
      <w:r>
        <w:rPr>
          <w:i/>
        </w:rPr>
        <w:t>SMB terms</w:t>
      </w:r>
      <w:r>
        <w:t xml:space="preserve">, you are entitled to </w:t>
      </w:r>
      <w:r>
        <w:rPr>
          <w:i/>
        </w:rPr>
        <w:t>cancel the service</w:t>
      </w:r>
      <w:r>
        <w:t xml:space="preserve"> without incurring a </w:t>
      </w:r>
      <w:r>
        <w:rPr>
          <w:i/>
        </w:rPr>
        <w:t>cancellation fee</w:t>
      </w:r>
      <w:r>
        <w:t>); plus</w:t>
      </w:r>
    </w:p>
    <w:p w14:paraId="5D47E548" w14:textId="77777777" w:rsidR="000D07EA" w:rsidRDefault="00BE7C89">
      <w:pPr>
        <w:pStyle w:val="Heading8"/>
      </w:pPr>
      <w:r>
        <w:lastRenderedPageBreak/>
        <w:t xml:space="preserve">the sum of unpaid </w:t>
      </w:r>
      <w:r>
        <w:rPr>
          <w:i/>
        </w:rPr>
        <w:t xml:space="preserve">equipment charges </w:t>
      </w:r>
      <w:r>
        <w:t xml:space="preserve">owing on </w:t>
      </w:r>
      <w:r>
        <w:rPr>
          <w:i/>
        </w:rPr>
        <w:t xml:space="preserve">your mobile phone </w:t>
      </w:r>
      <w:r>
        <w:t xml:space="preserve">under the </w:t>
      </w:r>
      <w:r>
        <w:rPr>
          <w:i/>
        </w:rPr>
        <w:t xml:space="preserve">mobile equipment payment plan </w:t>
      </w:r>
      <w:r>
        <w:t>(if any)</w:t>
      </w:r>
      <w:r>
        <w:rPr>
          <w:i/>
        </w:rPr>
        <w:t>.</w:t>
      </w:r>
    </w:p>
    <w:p w14:paraId="2A33F3DE" w14:textId="77777777" w:rsidR="000D07EA" w:rsidRDefault="00BE7C89">
      <w:pPr>
        <w:pStyle w:val="Heading7"/>
      </w:pPr>
      <w:bookmarkStart w:id="844" w:name="_Ref461554950"/>
      <w:r>
        <w:t xml:space="preserve">The </w:t>
      </w:r>
      <w:r>
        <w:rPr>
          <w:i/>
        </w:rPr>
        <w:t>cancellation fee</w:t>
      </w:r>
      <w:r>
        <w:t xml:space="preserve"> for a 12 month </w:t>
      </w:r>
      <w:r>
        <w:rPr>
          <w:i/>
        </w:rPr>
        <w:t>fixed length agreement</w:t>
      </w:r>
      <w:r>
        <w:t xml:space="preserve"> is calculated as the maximum </w:t>
      </w:r>
      <w:r>
        <w:rPr>
          <w:i/>
        </w:rPr>
        <w:t>cancellation fee</w:t>
      </w:r>
      <w:r>
        <w:t xml:space="preserve"> applicable to </w:t>
      </w:r>
      <w:r>
        <w:rPr>
          <w:i/>
        </w:rPr>
        <w:t xml:space="preserve">your </w:t>
      </w:r>
      <w:r>
        <w:t xml:space="preserve">Business BYO Plan (as indicated in the table below) if the </w:t>
      </w:r>
      <w:r>
        <w:rPr>
          <w:i/>
        </w:rPr>
        <w:t xml:space="preserve">service </w:t>
      </w:r>
      <w:r>
        <w:t xml:space="preserve">is </w:t>
      </w:r>
      <w:r>
        <w:rPr>
          <w:i/>
        </w:rPr>
        <w:t xml:space="preserve">cancelled </w:t>
      </w:r>
      <w:r>
        <w:t xml:space="preserve">during the first 6 months of the </w:t>
      </w:r>
      <w:r>
        <w:rPr>
          <w:i/>
        </w:rPr>
        <w:t>minimum term</w:t>
      </w:r>
      <w:r>
        <w:t xml:space="preserve">, and then a reduction of that amount by intervals if the </w:t>
      </w:r>
      <w:r>
        <w:rPr>
          <w:i/>
        </w:rPr>
        <w:t xml:space="preserve">service </w:t>
      </w:r>
      <w:r>
        <w:t xml:space="preserve">is </w:t>
      </w:r>
      <w:r>
        <w:rPr>
          <w:i/>
        </w:rPr>
        <w:t xml:space="preserve">cancelled </w:t>
      </w:r>
      <w:r>
        <w:t xml:space="preserve">during the last 6 months of the </w:t>
      </w:r>
      <w:r>
        <w:rPr>
          <w:i/>
        </w:rPr>
        <w:t>minimum term</w:t>
      </w:r>
      <w:r>
        <w:t>.</w:t>
      </w:r>
      <w:bookmarkEnd w:id="844"/>
    </w:p>
    <w:tbl>
      <w:tblPr>
        <w:tblW w:w="918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1910"/>
        <w:gridCol w:w="1817"/>
        <w:gridCol w:w="1818"/>
        <w:gridCol w:w="1817"/>
        <w:gridCol w:w="1818"/>
      </w:tblGrid>
      <w:tr w:rsidR="000D07EA" w14:paraId="7895B01E" w14:textId="77777777">
        <w:trPr>
          <w:trHeight w:val="63"/>
        </w:trPr>
        <w:tc>
          <w:tcPr>
            <w:tcW w:w="1910" w:type="dxa"/>
            <w:shd w:val="clear" w:color="auto" w:fill="auto"/>
            <w:vAlign w:val="center"/>
          </w:tcPr>
          <w:p w14:paraId="261F5707" w14:textId="77777777" w:rsidR="000D07EA" w:rsidRDefault="000D07EA">
            <w:pPr>
              <w:pStyle w:val="BodyText"/>
              <w:spacing w:before="100" w:after="100"/>
              <w:rPr>
                <w:rFonts w:eastAsia="Calibri"/>
                <w:sz w:val="22"/>
                <w:szCs w:val="22"/>
              </w:rPr>
            </w:pPr>
          </w:p>
        </w:tc>
        <w:tc>
          <w:tcPr>
            <w:tcW w:w="7270" w:type="dxa"/>
            <w:gridSpan w:val="4"/>
            <w:vAlign w:val="center"/>
          </w:tcPr>
          <w:p w14:paraId="1B5A770B" w14:textId="77777777" w:rsidR="000D07EA" w:rsidRDefault="00BE7C89">
            <w:pPr>
              <w:pStyle w:val="BodyText"/>
              <w:spacing w:before="100" w:after="100"/>
              <w:jc w:val="center"/>
            </w:pPr>
            <w:r>
              <w:rPr>
                <w:rFonts w:eastAsia="Calibri"/>
                <w:b/>
                <w:bCs/>
              </w:rPr>
              <w:t>Business BYO Plans (Dec 2012) – 12 Month Contract</w:t>
            </w:r>
          </w:p>
        </w:tc>
      </w:tr>
      <w:tr w:rsidR="000D07EA" w14:paraId="7977A86C" w14:textId="77777777">
        <w:trPr>
          <w:trHeight w:val="63"/>
        </w:trPr>
        <w:tc>
          <w:tcPr>
            <w:tcW w:w="1910" w:type="dxa"/>
            <w:shd w:val="clear" w:color="auto" w:fill="auto"/>
            <w:vAlign w:val="center"/>
          </w:tcPr>
          <w:p w14:paraId="219267E9" w14:textId="77777777" w:rsidR="000D07EA" w:rsidRDefault="000D07EA">
            <w:pPr>
              <w:pStyle w:val="BodyText"/>
              <w:spacing w:before="100" w:after="100"/>
              <w:rPr>
                <w:rFonts w:eastAsia="Calibri"/>
                <w:b/>
                <w:sz w:val="22"/>
                <w:szCs w:val="22"/>
              </w:rPr>
            </w:pPr>
          </w:p>
        </w:tc>
        <w:tc>
          <w:tcPr>
            <w:tcW w:w="1817" w:type="dxa"/>
            <w:shd w:val="clear" w:color="auto" w:fill="auto"/>
            <w:vAlign w:val="center"/>
          </w:tcPr>
          <w:p w14:paraId="08A9169C" w14:textId="77777777" w:rsidR="000D07EA" w:rsidRDefault="00BE7C89">
            <w:pPr>
              <w:pStyle w:val="BodyText"/>
              <w:spacing w:before="100" w:after="100"/>
              <w:rPr>
                <w:b/>
              </w:rPr>
            </w:pPr>
            <w:r>
              <w:rPr>
                <w:b/>
              </w:rPr>
              <w:t>$40 Business BYO Plan</w:t>
            </w:r>
          </w:p>
        </w:tc>
        <w:tc>
          <w:tcPr>
            <w:tcW w:w="1818" w:type="dxa"/>
            <w:shd w:val="clear" w:color="auto" w:fill="auto"/>
            <w:vAlign w:val="center"/>
          </w:tcPr>
          <w:p w14:paraId="59D524A7" w14:textId="77777777" w:rsidR="000D07EA" w:rsidRDefault="00BE7C89">
            <w:pPr>
              <w:pStyle w:val="BodyText"/>
              <w:spacing w:before="100" w:after="100"/>
              <w:rPr>
                <w:b/>
              </w:rPr>
            </w:pPr>
            <w:r>
              <w:rPr>
                <w:b/>
              </w:rPr>
              <w:t>$50 Business BYO Plan</w:t>
            </w:r>
          </w:p>
        </w:tc>
        <w:tc>
          <w:tcPr>
            <w:tcW w:w="1817" w:type="dxa"/>
            <w:shd w:val="clear" w:color="auto" w:fill="auto"/>
            <w:vAlign w:val="center"/>
          </w:tcPr>
          <w:p w14:paraId="60EC0D88" w14:textId="77777777" w:rsidR="000D07EA" w:rsidRDefault="00BE7C89">
            <w:pPr>
              <w:pStyle w:val="BodyText"/>
              <w:spacing w:before="100" w:after="100"/>
              <w:rPr>
                <w:b/>
              </w:rPr>
            </w:pPr>
            <w:r>
              <w:rPr>
                <w:b/>
              </w:rPr>
              <w:t>$60 Business BYO Plan</w:t>
            </w:r>
          </w:p>
        </w:tc>
        <w:tc>
          <w:tcPr>
            <w:tcW w:w="1818" w:type="dxa"/>
            <w:shd w:val="clear" w:color="auto" w:fill="auto"/>
            <w:vAlign w:val="center"/>
          </w:tcPr>
          <w:p w14:paraId="5AD005B4" w14:textId="77777777" w:rsidR="000D07EA" w:rsidRDefault="00BE7C89">
            <w:pPr>
              <w:pStyle w:val="BodyText"/>
              <w:spacing w:before="100" w:after="100"/>
              <w:rPr>
                <w:b/>
              </w:rPr>
            </w:pPr>
            <w:r>
              <w:rPr>
                <w:b/>
              </w:rPr>
              <w:t>$70 Business BYO Plan</w:t>
            </w:r>
          </w:p>
        </w:tc>
      </w:tr>
      <w:tr w:rsidR="000D07EA" w14:paraId="11B1099A" w14:textId="77777777">
        <w:trPr>
          <w:trHeight w:val="63"/>
        </w:trPr>
        <w:tc>
          <w:tcPr>
            <w:tcW w:w="1910" w:type="dxa"/>
            <w:shd w:val="clear" w:color="auto" w:fill="auto"/>
            <w:vAlign w:val="center"/>
          </w:tcPr>
          <w:p w14:paraId="7E8535DC" w14:textId="77777777" w:rsidR="000D07EA" w:rsidRDefault="00BE7C89">
            <w:pPr>
              <w:pStyle w:val="BodyText"/>
              <w:spacing w:before="100" w:after="100"/>
              <w:rPr>
                <w:rFonts w:eastAsia="Calibri"/>
                <w:sz w:val="22"/>
                <w:szCs w:val="22"/>
              </w:rPr>
            </w:pPr>
            <w:r>
              <w:rPr>
                <w:rFonts w:eastAsia="Calibri"/>
                <w:b/>
                <w:bCs/>
              </w:rPr>
              <w:t xml:space="preserve">Maximum Cancellation Fee </w:t>
            </w:r>
          </w:p>
        </w:tc>
        <w:tc>
          <w:tcPr>
            <w:tcW w:w="1817" w:type="dxa"/>
            <w:shd w:val="clear" w:color="auto" w:fill="auto"/>
            <w:vAlign w:val="center"/>
          </w:tcPr>
          <w:p w14:paraId="57703839" w14:textId="77777777" w:rsidR="000D07EA" w:rsidRDefault="00BE7C89">
            <w:pPr>
              <w:pStyle w:val="BodyText"/>
              <w:spacing w:before="100" w:after="100"/>
              <w:jc w:val="center"/>
              <w:rPr>
                <w:rFonts w:eastAsia="Calibri"/>
                <w:sz w:val="22"/>
                <w:szCs w:val="22"/>
              </w:rPr>
            </w:pPr>
            <w:r>
              <w:rPr>
                <w:rFonts w:eastAsia="Calibri"/>
                <w:sz w:val="22"/>
                <w:szCs w:val="22"/>
              </w:rPr>
              <w:t>$240</w:t>
            </w:r>
          </w:p>
        </w:tc>
        <w:tc>
          <w:tcPr>
            <w:tcW w:w="1818" w:type="dxa"/>
            <w:shd w:val="clear" w:color="auto" w:fill="auto"/>
            <w:vAlign w:val="center"/>
          </w:tcPr>
          <w:p w14:paraId="0729D3ED" w14:textId="77777777" w:rsidR="000D07EA" w:rsidRDefault="00BE7C89">
            <w:pPr>
              <w:pStyle w:val="BodyText"/>
              <w:spacing w:before="100" w:after="100"/>
              <w:jc w:val="center"/>
              <w:rPr>
                <w:rFonts w:eastAsia="Calibri"/>
                <w:sz w:val="22"/>
                <w:szCs w:val="22"/>
              </w:rPr>
            </w:pPr>
            <w:r>
              <w:rPr>
                <w:rFonts w:eastAsia="Calibri"/>
                <w:sz w:val="22"/>
                <w:szCs w:val="22"/>
              </w:rPr>
              <w:t>$300</w:t>
            </w:r>
          </w:p>
        </w:tc>
        <w:tc>
          <w:tcPr>
            <w:tcW w:w="1817" w:type="dxa"/>
            <w:shd w:val="clear" w:color="auto" w:fill="auto"/>
            <w:vAlign w:val="center"/>
          </w:tcPr>
          <w:p w14:paraId="6AB3F02E" w14:textId="77777777" w:rsidR="000D07EA" w:rsidRDefault="00BE7C89">
            <w:pPr>
              <w:pStyle w:val="BodyText"/>
              <w:spacing w:before="100" w:after="100"/>
              <w:jc w:val="center"/>
              <w:rPr>
                <w:rFonts w:eastAsia="Calibri"/>
                <w:sz w:val="22"/>
                <w:szCs w:val="22"/>
              </w:rPr>
            </w:pPr>
            <w:r>
              <w:rPr>
                <w:rFonts w:eastAsia="Calibri"/>
                <w:sz w:val="22"/>
                <w:szCs w:val="22"/>
              </w:rPr>
              <w:t>$360</w:t>
            </w:r>
          </w:p>
        </w:tc>
        <w:tc>
          <w:tcPr>
            <w:tcW w:w="1818" w:type="dxa"/>
            <w:shd w:val="clear" w:color="auto" w:fill="auto"/>
            <w:vAlign w:val="center"/>
          </w:tcPr>
          <w:p w14:paraId="141200B0" w14:textId="77777777" w:rsidR="000D07EA" w:rsidRDefault="00BE7C89">
            <w:pPr>
              <w:pStyle w:val="BodyText"/>
              <w:spacing w:before="100" w:after="100"/>
              <w:jc w:val="center"/>
              <w:rPr>
                <w:rFonts w:eastAsia="Calibri"/>
                <w:sz w:val="22"/>
                <w:szCs w:val="22"/>
              </w:rPr>
            </w:pPr>
            <w:r>
              <w:rPr>
                <w:rFonts w:eastAsia="Calibri"/>
                <w:sz w:val="22"/>
                <w:szCs w:val="22"/>
              </w:rPr>
              <w:t>$420</w:t>
            </w:r>
          </w:p>
        </w:tc>
      </w:tr>
    </w:tbl>
    <w:p w14:paraId="4FCA0C1F" w14:textId="77777777" w:rsidR="000D07EA" w:rsidRDefault="000D07EA">
      <w:pPr>
        <w:pStyle w:val="BodyText"/>
      </w:pPr>
      <w:bookmarkStart w:id="845" w:name="_Toc350768320"/>
      <w:bookmarkStart w:id="846" w:name="_Toc397941292"/>
      <w:bookmarkStart w:id="847" w:name="_Toc455147629"/>
    </w:p>
    <w:p w14:paraId="153FDD6D" w14:textId="77777777" w:rsidR="000D07EA" w:rsidRDefault="00BE7C89">
      <w:pPr>
        <w:pStyle w:val="Heading4"/>
      </w:pPr>
      <w:bookmarkStart w:id="848" w:name="_Toc62644651"/>
      <w:r>
        <w:t>Business Sim Plans (Mar 2013), Effective from 2 April 2013</w:t>
      </w:r>
      <w:bookmarkEnd w:id="845"/>
      <w:bookmarkEnd w:id="846"/>
      <w:bookmarkEnd w:id="847"/>
      <w:bookmarkEnd w:id="848"/>
    </w:p>
    <w:p w14:paraId="4E1E621C" w14:textId="77777777" w:rsidR="000D07EA" w:rsidRDefault="00BE7C89">
      <w:pPr>
        <w:pStyle w:val="BodyText"/>
        <w:ind w:left="720"/>
        <w:rPr>
          <w:b/>
          <w:bCs/>
        </w:rPr>
      </w:pPr>
      <w:r>
        <w:rPr>
          <w:b/>
          <w:bCs/>
        </w:rPr>
        <w:t>This section relates to the following plans:</w:t>
      </w:r>
    </w:p>
    <w:p w14:paraId="7EA698E5" w14:textId="77777777" w:rsidR="000D07EA" w:rsidRDefault="00BE7C89" w:rsidP="00972274">
      <w:pPr>
        <w:pStyle w:val="BodyText"/>
        <w:numPr>
          <w:ilvl w:val="0"/>
          <w:numId w:val="57"/>
        </w:numPr>
        <w:ind w:left="1440" w:hanging="720"/>
        <w:rPr>
          <w:b/>
        </w:rPr>
      </w:pPr>
      <w:r>
        <w:rPr>
          <w:b/>
        </w:rPr>
        <w:t>$20 Bus SIM BTL Plan (Mar 2013)</w:t>
      </w:r>
    </w:p>
    <w:p w14:paraId="58448964" w14:textId="77777777" w:rsidR="000D07EA" w:rsidRDefault="00BE7C89" w:rsidP="00972274">
      <w:pPr>
        <w:pStyle w:val="BodyText"/>
        <w:numPr>
          <w:ilvl w:val="0"/>
          <w:numId w:val="57"/>
        </w:numPr>
        <w:ind w:left="1440" w:hanging="720"/>
        <w:rPr>
          <w:b/>
        </w:rPr>
      </w:pPr>
      <w:r>
        <w:rPr>
          <w:b/>
        </w:rPr>
        <w:t>$20 Bus SIM Plan (Mar 2013)</w:t>
      </w:r>
    </w:p>
    <w:p w14:paraId="5857B970" w14:textId="77777777" w:rsidR="000D07EA" w:rsidRDefault="00BE7C89" w:rsidP="00972274">
      <w:pPr>
        <w:pStyle w:val="BodyText"/>
        <w:numPr>
          <w:ilvl w:val="0"/>
          <w:numId w:val="57"/>
        </w:numPr>
        <w:ind w:left="1440" w:hanging="720"/>
        <w:rPr>
          <w:b/>
        </w:rPr>
      </w:pPr>
      <w:r>
        <w:rPr>
          <w:b/>
        </w:rPr>
        <w:t>$40 Bus SIM Plan (Mar 2013)</w:t>
      </w:r>
    </w:p>
    <w:p w14:paraId="3871DE0C" w14:textId="77777777" w:rsidR="000D07EA" w:rsidRDefault="00BE7C89" w:rsidP="00972274">
      <w:pPr>
        <w:pStyle w:val="BodyText"/>
        <w:numPr>
          <w:ilvl w:val="0"/>
          <w:numId w:val="57"/>
        </w:numPr>
        <w:ind w:left="1440" w:hanging="720"/>
        <w:rPr>
          <w:b/>
        </w:rPr>
      </w:pPr>
      <w:r>
        <w:rPr>
          <w:b/>
        </w:rPr>
        <w:t>$60 Bus SIM BTL Plan (Mar 2013)</w:t>
      </w:r>
    </w:p>
    <w:p w14:paraId="03603C78" w14:textId="77777777" w:rsidR="000D07EA" w:rsidRDefault="00BE7C89" w:rsidP="00972274">
      <w:pPr>
        <w:pStyle w:val="BodyText"/>
        <w:numPr>
          <w:ilvl w:val="0"/>
          <w:numId w:val="57"/>
        </w:numPr>
        <w:ind w:left="1440" w:hanging="720"/>
        <w:rPr>
          <w:b/>
        </w:rPr>
      </w:pPr>
      <w:r>
        <w:rPr>
          <w:b/>
        </w:rPr>
        <w:t>$60 Bus SIM Plan (Mar 2013)</w:t>
      </w:r>
    </w:p>
    <w:p w14:paraId="1DFC6D5C" w14:textId="77777777" w:rsidR="000D07EA" w:rsidRDefault="00BE7C89">
      <w:pPr>
        <w:pStyle w:val="Heading6"/>
        <w:spacing w:before="240"/>
        <w:ind w:left="0" w:firstLine="0"/>
      </w:pPr>
      <w:bookmarkStart w:id="849" w:name="_Toc350768321"/>
      <w:bookmarkStart w:id="850" w:name="_Toc397941293"/>
      <w:r>
        <w:t>Eligibility</w:t>
      </w:r>
      <w:bookmarkEnd w:id="849"/>
      <w:bookmarkEnd w:id="850"/>
    </w:p>
    <w:p w14:paraId="77FC2AE0" w14:textId="77777777" w:rsidR="000D07EA" w:rsidRDefault="00BE7C89">
      <w:pPr>
        <w:pStyle w:val="BodyText"/>
        <w:ind w:left="720"/>
      </w:pPr>
      <w:r>
        <w:t>The Business SIM Plans (Mar 2013) (hereafter '</w:t>
      </w:r>
      <w:r>
        <w:rPr>
          <w:b/>
        </w:rPr>
        <w:t>Bus SIM Plans'</w:t>
      </w:r>
      <w:r>
        <w:t xml:space="preserve">) are only available to approved new and existing mobile customers connecting to the </w:t>
      </w:r>
      <w:r>
        <w:rPr>
          <w:i/>
        </w:rPr>
        <w:t xml:space="preserve">service </w:t>
      </w:r>
      <w:r>
        <w:t>on the following terms:</w:t>
      </w:r>
    </w:p>
    <w:p w14:paraId="2005C604" w14:textId="77777777" w:rsidR="000D07EA" w:rsidRDefault="00BE7C89">
      <w:pPr>
        <w:pStyle w:val="Heading7"/>
      </w:pPr>
      <w:r>
        <w:rPr>
          <w:i/>
        </w:rPr>
        <w:t>You</w:t>
      </w:r>
      <w:r>
        <w:t xml:space="preserve"> must pass the Optus credit assessment and be accepted by </w:t>
      </w:r>
      <w:r>
        <w:rPr>
          <w:i/>
        </w:rPr>
        <w:t>us</w:t>
      </w:r>
      <w:r>
        <w:t>; and</w:t>
      </w:r>
    </w:p>
    <w:p w14:paraId="188A5DFF" w14:textId="77777777" w:rsidR="000D07EA" w:rsidRDefault="00BE7C89">
      <w:pPr>
        <w:pStyle w:val="Heading7"/>
      </w:pPr>
      <w:r>
        <w:t>Optus Service Providers' customers are not eligible to apply</w:t>
      </w:r>
      <w:r>
        <w:rPr>
          <w:snapToGrid w:val="0"/>
        </w:rPr>
        <w:t>.</w:t>
      </w:r>
    </w:p>
    <w:p w14:paraId="0F44D19D" w14:textId="77777777" w:rsidR="000D07EA" w:rsidRDefault="00BE7C89">
      <w:pPr>
        <w:pStyle w:val="Heading6"/>
        <w:ind w:left="0" w:firstLine="0"/>
        <w:rPr>
          <w:i/>
        </w:rPr>
      </w:pPr>
      <w:bookmarkStart w:id="851" w:name="_Toc350768322"/>
      <w:bookmarkStart w:id="852" w:name="_Toc397941294"/>
      <w:r>
        <w:rPr>
          <w:i/>
        </w:rPr>
        <w:t>Minimum Term</w:t>
      </w:r>
      <w:bookmarkEnd w:id="851"/>
      <w:bookmarkEnd w:id="852"/>
    </w:p>
    <w:p w14:paraId="5E2A1C92" w14:textId="77777777" w:rsidR="000D07EA" w:rsidRDefault="00BE7C89">
      <w:pPr>
        <w:pStyle w:val="BodyText"/>
        <w:ind w:left="720"/>
      </w:pPr>
      <w:r>
        <w:rPr>
          <w:i/>
        </w:rPr>
        <w:t xml:space="preserve">You </w:t>
      </w:r>
      <w:r>
        <w:t xml:space="preserve">can connect on a 30 day </w:t>
      </w:r>
      <w:r>
        <w:rPr>
          <w:i/>
        </w:rPr>
        <w:t>non-fixed length agreement</w:t>
      </w:r>
      <w:r>
        <w:t xml:space="preserve"> (month to month) or in the case of the $60 Bus SIM Plan, a 12 month </w:t>
      </w:r>
      <w:r>
        <w:rPr>
          <w:i/>
        </w:rPr>
        <w:t>fixed-length agreement</w:t>
      </w:r>
      <w:r>
        <w:t xml:space="preserve">. </w:t>
      </w:r>
    </w:p>
    <w:p w14:paraId="1096F125" w14:textId="77777777" w:rsidR="000D07EA" w:rsidRDefault="00BE7C89">
      <w:pPr>
        <w:pStyle w:val="Heading6"/>
        <w:ind w:left="0" w:firstLine="0"/>
      </w:pPr>
      <w:bookmarkStart w:id="853" w:name="_Toc350768323"/>
      <w:bookmarkStart w:id="854" w:name="_Toc397941295"/>
      <w:r>
        <w:t>Blocking access to a number</w:t>
      </w:r>
      <w:bookmarkEnd w:id="853"/>
      <w:bookmarkEnd w:id="854"/>
    </w:p>
    <w:p w14:paraId="09ADE5B2" w14:textId="77777777" w:rsidR="000D07EA" w:rsidRDefault="00BE7C89">
      <w:pPr>
        <w:pStyle w:val="BodyText"/>
        <w:ind w:left="720"/>
      </w:pPr>
      <w:r>
        <w:rPr>
          <w:i/>
          <w:iCs/>
        </w:rPr>
        <w:t>In addition to what is stated in clause 11 of the service description ("Access Restrictions"), we</w:t>
      </w:r>
      <w:r>
        <w:t xml:space="preserve"> may block access to a number (other than an emergency service number) if </w:t>
      </w:r>
      <w:r>
        <w:rPr>
          <w:i/>
        </w:rPr>
        <w:t>we</w:t>
      </w:r>
      <w:r>
        <w:t xml:space="preserve"> reasonably require this to be done for technical, operational or commercial reasons. </w:t>
      </w:r>
    </w:p>
    <w:p w14:paraId="6F519B8D" w14:textId="77777777" w:rsidR="000D07EA" w:rsidRDefault="00BE7C89">
      <w:pPr>
        <w:pStyle w:val="Heading6"/>
        <w:ind w:left="0" w:firstLine="0"/>
      </w:pPr>
      <w:bookmarkStart w:id="855" w:name="_Toc350768324"/>
      <w:bookmarkStart w:id="856" w:name="_Toc397941296"/>
      <w:r>
        <w:t>What you have to pay us</w:t>
      </w:r>
      <w:bookmarkEnd w:id="855"/>
      <w:bookmarkEnd w:id="856"/>
    </w:p>
    <w:p w14:paraId="28C971C7" w14:textId="77777777" w:rsidR="000D07EA" w:rsidRDefault="00BE7C89">
      <w:pPr>
        <w:pStyle w:val="Heading7"/>
      </w:pPr>
      <w:r>
        <w:t xml:space="preserve">Subject to paragraphs </w:t>
      </w:r>
      <w:r>
        <w:fldChar w:fldCharType="begin"/>
      </w:r>
      <w:r>
        <w:instrText xml:space="preserve"> REF _Ref461555011 \n \h </w:instrText>
      </w:r>
      <w:r>
        <w:fldChar w:fldCharType="separate"/>
      </w:r>
      <w:r w:rsidR="0004083A">
        <w:t>(c)</w:t>
      </w:r>
      <w:r>
        <w:fldChar w:fldCharType="end"/>
      </w:r>
      <w:r>
        <w:t xml:space="preserve">, </w:t>
      </w:r>
      <w:r>
        <w:fldChar w:fldCharType="begin"/>
      </w:r>
      <w:r>
        <w:instrText xml:space="preserve"> REF _Ref461555022 \n \h </w:instrText>
      </w:r>
      <w:r>
        <w:fldChar w:fldCharType="separate"/>
      </w:r>
      <w:r w:rsidR="0004083A">
        <w:t>(d)</w:t>
      </w:r>
      <w:r>
        <w:fldChar w:fldCharType="end"/>
      </w:r>
      <w:r>
        <w:t xml:space="preserve">, </w:t>
      </w:r>
      <w:r>
        <w:fldChar w:fldCharType="begin"/>
      </w:r>
      <w:r>
        <w:instrText xml:space="preserve"> REF _Ref461555032 \n \h </w:instrText>
      </w:r>
      <w:r>
        <w:fldChar w:fldCharType="separate"/>
      </w:r>
      <w:r w:rsidR="0004083A">
        <w:t>(e)</w:t>
      </w:r>
      <w:r>
        <w:fldChar w:fldCharType="end"/>
      </w:r>
      <w:r>
        <w:t xml:space="preserve">, </w:t>
      </w:r>
      <w:r>
        <w:fldChar w:fldCharType="begin"/>
      </w:r>
      <w:r>
        <w:instrText xml:space="preserve"> REF _Ref461555043 \n \h </w:instrText>
      </w:r>
      <w:r>
        <w:fldChar w:fldCharType="separate"/>
      </w:r>
      <w:r w:rsidR="0004083A">
        <w:t>(f)</w:t>
      </w:r>
      <w:r>
        <w:fldChar w:fldCharType="end"/>
      </w:r>
      <w:r>
        <w:t xml:space="preserve">, </w:t>
      </w:r>
      <w:r>
        <w:fldChar w:fldCharType="begin"/>
      </w:r>
      <w:r>
        <w:instrText xml:space="preserve"> REF _Ref461555053 \n \h </w:instrText>
      </w:r>
      <w:r>
        <w:fldChar w:fldCharType="separate"/>
      </w:r>
      <w:r w:rsidR="0004083A">
        <w:t>(g)</w:t>
      </w:r>
      <w:r>
        <w:fldChar w:fldCharType="end"/>
      </w:r>
      <w:r>
        <w:t>,</w:t>
      </w:r>
      <w:r w:rsidR="00C67DDF">
        <w:t xml:space="preserve"> and</w:t>
      </w:r>
      <w:r>
        <w:t xml:space="preserve"> </w:t>
      </w:r>
      <w:r>
        <w:fldChar w:fldCharType="begin"/>
      </w:r>
      <w:r>
        <w:instrText xml:space="preserve"> REF _Ref461555064 \n \h </w:instrText>
      </w:r>
      <w:r>
        <w:fldChar w:fldCharType="separate"/>
      </w:r>
      <w:r w:rsidR="0004083A">
        <w:t>(h)</w:t>
      </w:r>
      <w:r>
        <w:fldChar w:fldCharType="end"/>
      </w:r>
      <w:r>
        <w:t xml:space="preserve"> below </w:t>
      </w:r>
      <w:r>
        <w:rPr>
          <w:i/>
        </w:rPr>
        <w:t xml:space="preserve">you </w:t>
      </w:r>
      <w:r>
        <w:t xml:space="preserve">must pay </w:t>
      </w:r>
      <w:r>
        <w:rPr>
          <w:i/>
        </w:rPr>
        <w:t xml:space="preserve">us </w:t>
      </w:r>
      <w:r>
        <w:t xml:space="preserve">for use of the </w:t>
      </w:r>
      <w:r>
        <w:rPr>
          <w:i/>
        </w:rPr>
        <w:t xml:space="preserve">service </w:t>
      </w:r>
      <w:r>
        <w:t xml:space="preserve">at the rates set out in </w:t>
      </w:r>
      <w:hyperlink r:id="rId560" w:history="1">
        <w:r w:rsidRPr="00FB4F1A">
          <w:rPr>
            <w:rStyle w:val="Hyperlink"/>
            <w:szCs w:val="22"/>
          </w:rPr>
          <w:t>Section 1</w:t>
        </w:r>
      </w:hyperlink>
      <w:r w:rsidRPr="00FB4F1A">
        <w:t xml:space="preserve"> of this standard pricing table and for value added service features at the rates set out in </w:t>
      </w:r>
      <w:hyperlink r:id="rId561" w:history="1">
        <w:r w:rsidRPr="00FB4F1A">
          <w:rPr>
            <w:rStyle w:val="Hyperlink"/>
          </w:rPr>
          <w:t>Appendix Y</w:t>
        </w:r>
      </w:hyperlink>
      <w:r w:rsidRPr="00FB4F1A">
        <w:t xml:space="preserve"> Valu</w:t>
      </w:r>
      <w:r>
        <w:t>e Added Service Features</w:t>
      </w:r>
      <w:r>
        <w:rPr>
          <w:i/>
        </w:rPr>
        <w:t>.</w:t>
      </w:r>
      <w:r>
        <w:t xml:space="preserve"> </w:t>
      </w:r>
    </w:p>
    <w:p w14:paraId="531E9504" w14:textId="77777777" w:rsidR="000D07EA" w:rsidRDefault="00BE7C89">
      <w:pPr>
        <w:pStyle w:val="Heading7"/>
      </w:pPr>
      <w:r>
        <w:t xml:space="preserve">If there is a </w:t>
      </w:r>
      <w:r>
        <w:rPr>
          <w:i/>
        </w:rPr>
        <w:t xml:space="preserve">flagfall </w:t>
      </w:r>
      <w:r>
        <w:t xml:space="preserve">or call connection charge for a particular call type, the charge for these calls is the </w:t>
      </w:r>
      <w:r>
        <w:rPr>
          <w:i/>
        </w:rPr>
        <w:t xml:space="preserve">flagfall </w:t>
      </w:r>
      <w:r>
        <w:t>charge plus the relevant rate for the call multiplied by the duration of the call.</w:t>
      </w:r>
    </w:p>
    <w:p w14:paraId="57479D5B" w14:textId="77777777" w:rsidR="000D07EA" w:rsidRDefault="00BE7C89">
      <w:pPr>
        <w:pStyle w:val="Heading7"/>
        <w:rPr>
          <w:b/>
        </w:rPr>
      </w:pPr>
      <w:bookmarkStart w:id="857" w:name="_Ref461555011"/>
      <w:r>
        <w:rPr>
          <w:b/>
        </w:rPr>
        <w:t>Minimum Monthly Charge</w:t>
      </w:r>
      <w:bookmarkEnd w:id="857"/>
      <w:r>
        <w:rPr>
          <w:b/>
        </w:rPr>
        <w:t xml:space="preserve"> </w:t>
      </w:r>
    </w:p>
    <w:p w14:paraId="716CA344" w14:textId="77777777" w:rsidR="000D07EA" w:rsidRDefault="00BE7C89">
      <w:pPr>
        <w:pStyle w:val="Heading8"/>
      </w:pPr>
      <w:r>
        <w:lastRenderedPageBreak/>
        <w:t xml:space="preserve">Each Bus SIM Plan has a Minimum Monthly Charge amount that </w:t>
      </w:r>
      <w:r>
        <w:rPr>
          <w:i/>
        </w:rPr>
        <w:t xml:space="preserve">you </w:t>
      </w:r>
      <w:r>
        <w:t xml:space="preserve">must pay </w:t>
      </w:r>
      <w:r>
        <w:rPr>
          <w:i/>
        </w:rPr>
        <w:t>us</w:t>
      </w:r>
      <w:r>
        <w:t xml:space="preserve"> each month as set out in Table 2A below. </w:t>
      </w:r>
    </w:p>
    <w:p w14:paraId="6FC06787" w14:textId="77777777" w:rsidR="000D07EA" w:rsidRDefault="00BE7C89">
      <w:pPr>
        <w:pStyle w:val="Heading8"/>
      </w:pPr>
      <w:r>
        <w:rPr>
          <w:i/>
        </w:rPr>
        <w:t xml:space="preserve">You </w:t>
      </w:r>
      <w:r>
        <w:t xml:space="preserve">may purchase a </w:t>
      </w:r>
      <w:r>
        <w:rPr>
          <w:i/>
        </w:rPr>
        <w:t xml:space="preserve">mobile phone </w:t>
      </w:r>
      <w:r>
        <w:t>(or '</w:t>
      </w:r>
      <w:r>
        <w:rPr>
          <w:b/>
        </w:rPr>
        <w:t>handset</w:t>
      </w:r>
      <w:r>
        <w:t xml:space="preserve">') with a 12 or 24 month </w:t>
      </w:r>
      <w:r>
        <w:rPr>
          <w:i/>
        </w:rPr>
        <w:t xml:space="preserve">equipment term </w:t>
      </w:r>
      <w:r>
        <w:t xml:space="preserve">under a </w:t>
      </w:r>
      <w:r>
        <w:rPr>
          <w:i/>
        </w:rPr>
        <w:t>mobile equipment payment plan</w:t>
      </w:r>
      <w:r>
        <w:t xml:space="preserve"> (as set out in Appendix D) on a 12 or 24 month </w:t>
      </w:r>
      <w:r>
        <w:rPr>
          <w:i/>
        </w:rPr>
        <w:t>fixed-length agreement.</w:t>
      </w:r>
    </w:p>
    <w:p w14:paraId="4350A1C0" w14:textId="77777777" w:rsidR="000D07EA" w:rsidRDefault="00BE7C89">
      <w:pPr>
        <w:pStyle w:val="Heading7"/>
        <w:rPr>
          <w:b/>
        </w:rPr>
      </w:pPr>
      <w:bookmarkStart w:id="858" w:name="_Ref461555022"/>
      <w:r>
        <w:rPr>
          <w:b/>
        </w:rPr>
        <w:t>Included Value</w:t>
      </w:r>
      <w:bookmarkEnd w:id="858"/>
    </w:p>
    <w:p w14:paraId="075A1866" w14:textId="77777777" w:rsidR="000D07EA" w:rsidRDefault="00BE7C89">
      <w:pPr>
        <w:pStyle w:val="Heading8"/>
      </w:pPr>
      <w:r>
        <w:t xml:space="preserve">For each of the Bus SIM Plans, </w:t>
      </w:r>
      <w:r>
        <w:rPr>
          <w:i/>
        </w:rPr>
        <w:t xml:space="preserve">you </w:t>
      </w:r>
      <w:r>
        <w:t>will receive an amount of 'Included Value' to use within Australia which is set out in Table 2A below.</w:t>
      </w:r>
    </w:p>
    <w:p w14:paraId="2666A5C5" w14:textId="77777777" w:rsidR="000D07EA" w:rsidRDefault="00BE7C89">
      <w:pPr>
        <w:pStyle w:val="Heading8"/>
      </w:pPr>
      <w:r>
        <w:t xml:space="preserve">The types of usage that can be used as part of </w:t>
      </w:r>
      <w:r>
        <w:rPr>
          <w:i/>
        </w:rPr>
        <w:t>your</w:t>
      </w:r>
      <w:r>
        <w:t xml:space="preserve"> Included Value are set out in Table 1A below.</w:t>
      </w:r>
    </w:p>
    <w:p w14:paraId="4AF2508E" w14:textId="77777777" w:rsidR="000D07EA" w:rsidRDefault="00BE7C89">
      <w:pPr>
        <w:pStyle w:val="Heading8"/>
      </w:pPr>
      <w:r>
        <w:rPr>
          <w:i/>
        </w:rPr>
        <w:t xml:space="preserve">You </w:t>
      </w:r>
      <w:r>
        <w:t xml:space="preserve">must pay </w:t>
      </w:r>
      <w:r>
        <w:rPr>
          <w:i/>
        </w:rPr>
        <w:t xml:space="preserve">us </w:t>
      </w:r>
      <w:r>
        <w:t xml:space="preserve">for usage in excess of the available Included Value or that is not part of </w:t>
      </w:r>
      <w:r>
        <w:rPr>
          <w:i/>
        </w:rPr>
        <w:t xml:space="preserve">your </w:t>
      </w:r>
      <w:r>
        <w:t xml:space="preserve">Included Value. </w:t>
      </w:r>
    </w:p>
    <w:p w14:paraId="4D093732" w14:textId="77777777" w:rsidR="000D07EA" w:rsidRDefault="00BE7C89">
      <w:pPr>
        <w:pStyle w:val="Heading8"/>
      </w:pPr>
      <w:r>
        <w:rPr>
          <w:snapToGrid w:val="0"/>
        </w:rPr>
        <w:t>Any unused portion of the Included Value expires at the end of each month. This means that it does not roll over into the following month.</w:t>
      </w:r>
    </w:p>
    <w:p w14:paraId="75974A4F" w14:textId="77777777" w:rsidR="000D07EA" w:rsidRDefault="00BE7C89">
      <w:pPr>
        <w:pStyle w:val="Heading7"/>
        <w:rPr>
          <w:b/>
        </w:rPr>
      </w:pPr>
      <w:bookmarkStart w:id="859" w:name="_Ref461555032"/>
      <w:r>
        <w:rPr>
          <w:b/>
        </w:rPr>
        <w:t>Included Mobile Internet Data</w:t>
      </w:r>
      <w:bookmarkEnd w:id="859"/>
      <w:r>
        <w:rPr>
          <w:b/>
        </w:rPr>
        <w:t xml:space="preserve"> </w:t>
      </w:r>
    </w:p>
    <w:p w14:paraId="480AAE09" w14:textId="77777777" w:rsidR="000D07EA" w:rsidRDefault="00BE7C89">
      <w:pPr>
        <w:pStyle w:val="Heading8"/>
      </w:pPr>
      <w:r>
        <w:t>For each of the Bus SIM Plans, you will receive an amount of Included Mobile Internet Data ('</w:t>
      </w:r>
      <w:r>
        <w:rPr>
          <w:b/>
        </w:rPr>
        <w:t>Included Data</w:t>
      </w:r>
      <w:r>
        <w:t>') to use within Australia.</w:t>
      </w:r>
    </w:p>
    <w:p w14:paraId="5CC37A7E" w14:textId="77777777" w:rsidR="000D07EA" w:rsidRDefault="00BE7C89">
      <w:pPr>
        <w:pStyle w:val="Heading8"/>
      </w:pPr>
      <w:r>
        <w:t>The amount of the Included Data for each Bus SIM Plan is set out in Table 2A below.</w:t>
      </w:r>
    </w:p>
    <w:p w14:paraId="523F0AD7" w14:textId="77777777" w:rsidR="000D07EA" w:rsidRDefault="00BE7C89">
      <w:pPr>
        <w:pStyle w:val="Heading8"/>
      </w:pPr>
      <w:r>
        <w:t xml:space="preserve">Usage that counts towards </w:t>
      </w:r>
      <w:r>
        <w:rPr>
          <w:i/>
        </w:rPr>
        <w:t>your</w:t>
      </w:r>
      <w:r>
        <w:t xml:space="preserve"> Included Data is set out in Table 1B below.</w:t>
      </w:r>
    </w:p>
    <w:p w14:paraId="578FB67E" w14:textId="77777777" w:rsidR="000D07EA" w:rsidRDefault="00BE7C89">
      <w:pPr>
        <w:pStyle w:val="Heading8"/>
      </w:pPr>
      <w:r>
        <w:rPr>
          <w:i/>
        </w:rPr>
        <w:t xml:space="preserve">You </w:t>
      </w:r>
      <w:r>
        <w:t xml:space="preserve">must pay </w:t>
      </w:r>
      <w:r>
        <w:rPr>
          <w:i/>
        </w:rPr>
        <w:t xml:space="preserve">us </w:t>
      </w:r>
      <w:r>
        <w:t xml:space="preserve">excess data usage charges for data usage that exceeds the available Included Data. </w:t>
      </w:r>
    </w:p>
    <w:p w14:paraId="3F58D830" w14:textId="77777777" w:rsidR="000D07EA" w:rsidRDefault="00BE7C89">
      <w:pPr>
        <w:pStyle w:val="Heading8"/>
      </w:pPr>
      <w:r>
        <w:t>Any</w:t>
      </w:r>
      <w:r>
        <w:rPr>
          <w:snapToGrid w:val="0"/>
        </w:rPr>
        <w:t xml:space="preserve"> unused portion of the Included Data expires at the end of each billing cycle and does not roll over into the following billing cycle.</w:t>
      </w:r>
      <w:r>
        <w:t xml:space="preserve"> </w:t>
      </w:r>
    </w:p>
    <w:p w14:paraId="4E6A902A" w14:textId="77777777" w:rsidR="000D07EA" w:rsidRDefault="00BE7C89">
      <w:pPr>
        <w:pStyle w:val="Heading8"/>
      </w:pPr>
      <w:r>
        <w:t xml:space="preserve">Data used while roaming internationally is not part of Included Data and is charged at international data roaming rates. </w:t>
      </w:r>
    </w:p>
    <w:p w14:paraId="69297638" w14:textId="77777777" w:rsidR="000D07EA" w:rsidRDefault="00BE7C89">
      <w:pPr>
        <w:pStyle w:val="Heading7"/>
        <w:rPr>
          <w:b/>
        </w:rPr>
      </w:pPr>
      <w:bookmarkStart w:id="860" w:name="_Ref461555043"/>
      <w:r>
        <w:rPr>
          <w:b/>
        </w:rPr>
        <w:t>Unlimited BlackBerry POP3 Email and Browsing on selected Bus SIM Plans (for customers with a BlackBerry using an operating system version 7.1 or earlier):</w:t>
      </w:r>
      <w:bookmarkEnd w:id="860"/>
    </w:p>
    <w:p w14:paraId="76A92FD0" w14:textId="77777777" w:rsidR="000D07EA" w:rsidRDefault="00BE7C89">
      <w:pPr>
        <w:pStyle w:val="Heading8"/>
      </w:pPr>
      <w:r>
        <w:t xml:space="preserve">If </w:t>
      </w:r>
      <w:r>
        <w:rPr>
          <w:i/>
        </w:rPr>
        <w:t xml:space="preserve">you </w:t>
      </w:r>
      <w:r>
        <w:t>connect with a BlackBerry which uses an operating system version 7.1 or earlier, you</w:t>
      </w:r>
      <w:r>
        <w:rPr>
          <w:i/>
        </w:rPr>
        <w:t xml:space="preserve"> </w:t>
      </w:r>
      <w:r>
        <w:t>will receive unlimited BlackBerry POP3 Email and Browsing to use within Australia on the Bus SIM Plans.</w:t>
      </w:r>
    </w:p>
    <w:p w14:paraId="539C26DD" w14:textId="77777777" w:rsidR="000D07EA" w:rsidRDefault="00BE7C89">
      <w:pPr>
        <w:pStyle w:val="Heading8"/>
      </w:pPr>
      <w:r>
        <w:t>The usage types that are part of the unlimited BlackBerry POP3 Email and Browsing inclusion are set out in Table 1C below.</w:t>
      </w:r>
    </w:p>
    <w:p w14:paraId="288BC022" w14:textId="77777777" w:rsidR="000D07EA" w:rsidRDefault="00BE7C89">
      <w:pPr>
        <w:pStyle w:val="Heading8"/>
      </w:pPr>
      <w:r>
        <w:rPr>
          <w:i/>
        </w:rPr>
        <w:t xml:space="preserve">You </w:t>
      </w:r>
      <w:r>
        <w:t xml:space="preserve">must pay </w:t>
      </w:r>
      <w:r>
        <w:rPr>
          <w:i/>
        </w:rPr>
        <w:t xml:space="preserve">us </w:t>
      </w:r>
      <w:r>
        <w:t xml:space="preserve">excess data usage charges for data usage that is not part of the unlimited Blackberry POP 3 Email and Browsing inclusion and that exceeds </w:t>
      </w:r>
      <w:r>
        <w:rPr>
          <w:i/>
        </w:rPr>
        <w:t>your</w:t>
      </w:r>
      <w:r>
        <w:t xml:space="preserve"> available Included Data.</w:t>
      </w:r>
    </w:p>
    <w:p w14:paraId="145695A5" w14:textId="77777777" w:rsidR="000D07EA" w:rsidRDefault="00BE7C89">
      <w:pPr>
        <w:pStyle w:val="Heading8"/>
      </w:pPr>
      <w:r>
        <w:t>The Fair Go Policy (</w:t>
      </w:r>
      <w:hyperlink r:id="rId562" w:history="1">
        <w:r>
          <w:rPr>
            <w:rStyle w:val="Hyperlink"/>
            <w:i/>
          </w:rPr>
          <w:t>Appendix S</w:t>
        </w:r>
      </w:hyperlink>
      <w:r>
        <w:t xml:space="preserve">) applies. Unlimited BlackBerry POP3 Email and Browsing is only available for personal use and is not to be used for a </w:t>
      </w:r>
      <w:r>
        <w:rPr>
          <w:i/>
        </w:rPr>
        <w:t>commercial or non-ordinary purpose</w:t>
      </w:r>
      <w:r>
        <w:t xml:space="preserve">. Please refer to </w:t>
      </w:r>
      <w:hyperlink r:id="rId563" w:history="1">
        <w:r w:rsidR="00503F23">
          <w:rPr>
            <w:rStyle w:val="Hyperlink"/>
            <w:i/>
          </w:rPr>
          <w:t>Appendix S</w:t>
        </w:r>
      </w:hyperlink>
      <w:r w:rsidR="009A4616">
        <w:rPr>
          <w:rStyle w:val="Hyperlink"/>
          <w:i/>
        </w:rPr>
        <w:t xml:space="preserve"> </w:t>
      </w:r>
      <w:r>
        <w:t>for further details.</w:t>
      </w:r>
    </w:p>
    <w:p w14:paraId="58B7A4BF" w14:textId="77777777" w:rsidR="000D07EA" w:rsidRDefault="00BE7C89">
      <w:pPr>
        <w:pStyle w:val="Heading7"/>
        <w:rPr>
          <w:b/>
        </w:rPr>
      </w:pPr>
      <w:bookmarkStart w:id="861" w:name="_Ref461555053"/>
      <w:r>
        <w:rPr>
          <w:b/>
        </w:rPr>
        <w:t>Unlimited standard national SMS on selected Bus SIM Plans</w:t>
      </w:r>
      <w:bookmarkEnd w:id="861"/>
    </w:p>
    <w:p w14:paraId="18380A02" w14:textId="77777777" w:rsidR="000D07EA" w:rsidRDefault="00BE7C89">
      <w:pPr>
        <w:pStyle w:val="Heading8"/>
      </w:pPr>
      <w:r>
        <w:rPr>
          <w:i/>
        </w:rPr>
        <w:t xml:space="preserve">You </w:t>
      </w:r>
      <w:r>
        <w:t>may send unlimited standard SMS to Australian mobiles from within Australia on the following Bus SIM Plans:</w:t>
      </w:r>
    </w:p>
    <w:p w14:paraId="38E4A14E" w14:textId="77777777" w:rsidR="000D07EA" w:rsidRDefault="00BE7C89">
      <w:pPr>
        <w:pStyle w:val="Heading9"/>
      </w:pPr>
      <w:r>
        <w:t>$40 Bus SIM Plan (Mar 2013)</w:t>
      </w:r>
    </w:p>
    <w:p w14:paraId="360CF81E" w14:textId="77777777" w:rsidR="000D07EA" w:rsidRDefault="00BE7C89">
      <w:pPr>
        <w:pStyle w:val="Heading9"/>
      </w:pPr>
      <w:r>
        <w:lastRenderedPageBreak/>
        <w:t>$60 Bus SIM BTL Plan (Mar 2013)</w:t>
      </w:r>
    </w:p>
    <w:p w14:paraId="2A975504" w14:textId="77777777" w:rsidR="000D07EA" w:rsidRDefault="00BE7C89">
      <w:pPr>
        <w:pStyle w:val="Heading9"/>
      </w:pPr>
      <w:r>
        <w:t>$60 Bus SIM Plan (Mar 2013)</w:t>
      </w:r>
    </w:p>
    <w:p w14:paraId="0AA54430" w14:textId="77777777" w:rsidR="000D07EA" w:rsidRDefault="00BE7C89">
      <w:pPr>
        <w:pStyle w:val="Heading8"/>
      </w:pPr>
      <w:r>
        <w:t>Unlimited SMS excludes Satellite, International, Premium, Group and Email SMS.</w:t>
      </w:r>
    </w:p>
    <w:p w14:paraId="01358EBA" w14:textId="77777777" w:rsidR="000D07EA" w:rsidRDefault="00BE7C89">
      <w:pPr>
        <w:pStyle w:val="Heading8"/>
      </w:pPr>
      <w:r>
        <w:t>The Fair Go Policy (</w:t>
      </w:r>
      <w:hyperlink r:id="rId564" w:history="1">
        <w:r>
          <w:rPr>
            <w:rStyle w:val="Hyperlink"/>
            <w:i/>
          </w:rPr>
          <w:t>Appendix S</w:t>
        </w:r>
      </w:hyperlink>
      <w:r>
        <w:t xml:space="preserve">) applies. Unlimited standard national SMS is only available for personal use and is not to be used for a </w:t>
      </w:r>
      <w:r>
        <w:rPr>
          <w:i/>
        </w:rPr>
        <w:t>commercial or non-ordinary purpose</w:t>
      </w:r>
      <w:r>
        <w:t xml:space="preserve">. For further details refer to </w:t>
      </w:r>
      <w:hyperlink r:id="rId565" w:history="1">
        <w:r w:rsidR="00503F23">
          <w:rPr>
            <w:rStyle w:val="Hyperlink"/>
            <w:i/>
          </w:rPr>
          <w:t>Appendix S</w:t>
        </w:r>
      </w:hyperlink>
      <w:r>
        <w:t>.</w:t>
      </w:r>
    </w:p>
    <w:p w14:paraId="7EB12C44" w14:textId="77777777" w:rsidR="000D07EA" w:rsidRDefault="00BE7C89">
      <w:pPr>
        <w:pStyle w:val="Heading7"/>
        <w:rPr>
          <w:b/>
        </w:rPr>
      </w:pPr>
      <w:bookmarkStart w:id="862" w:name="_Ref461555064"/>
      <w:r>
        <w:rPr>
          <w:b/>
        </w:rPr>
        <w:t>Unlimited Standard National Voice Calls , SMS/MMS and Voicemail</w:t>
      </w:r>
      <w:bookmarkEnd w:id="862"/>
    </w:p>
    <w:p w14:paraId="6DFC1D78" w14:textId="77777777" w:rsidR="000D07EA" w:rsidRDefault="00BE7C89">
      <w:pPr>
        <w:pStyle w:val="Heading8"/>
      </w:pPr>
      <w:r>
        <w:t xml:space="preserve">On the $60 Bus SIM BTL Plan and $60 Optus SIM Plan, </w:t>
      </w:r>
      <w:r>
        <w:rPr>
          <w:i/>
        </w:rPr>
        <w:t xml:space="preserve">you </w:t>
      </w:r>
      <w:r>
        <w:t>may:</w:t>
      </w:r>
    </w:p>
    <w:p w14:paraId="7C037834" w14:textId="77777777" w:rsidR="000D07EA" w:rsidRDefault="00BE7C89">
      <w:pPr>
        <w:pStyle w:val="Heading9"/>
      </w:pPr>
      <w:r>
        <w:t>send unlimited standard SMS and MMS to Australian mobiles from within Australia; and</w:t>
      </w:r>
    </w:p>
    <w:p w14:paraId="2C276D96" w14:textId="77777777" w:rsidR="000D07EA" w:rsidRDefault="00BE7C89">
      <w:pPr>
        <w:pStyle w:val="Heading9"/>
      </w:pPr>
      <w:r>
        <w:t xml:space="preserve">make unlimited voice calls within Australia to Australian fixed lines and Australian mobiles; </w:t>
      </w:r>
    </w:p>
    <w:p w14:paraId="7FA3CF5B" w14:textId="77777777" w:rsidR="000D07EA" w:rsidRDefault="00BE7C89">
      <w:pPr>
        <w:pStyle w:val="Heading9"/>
      </w:pPr>
      <w:r>
        <w:t xml:space="preserve">make unlimited calls to 13/1300/1800 numbers within Australia; and </w:t>
      </w:r>
    </w:p>
    <w:p w14:paraId="4A56DB48" w14:textId="77777777" w:rsidR="000D07EA" w:rsidRDefault="00BE7C89">
      <w:pPr>
        <w:pStyle w:val="Heading9"/>
      </w:pPr>
      <w:r>
        <w:t>use unlimited voicemail within Australia.</w:t>
      </w:r>
    </w:p>
    <w:p w14:paraId="01273180" w14:textId="77777777" w:rsidR="000D07EA" w:rsidRDefault="00BE7C89">
      <w:pPr>
        <w:pStyle w:val="Heading8"/>
      </w:pPr>
      <w:r>
        <w:rPr>
          <w:snapToGrid w:val="0"/>
        </w:rPr>
        <w:t xml:space="preserve">The </w:t>
      </w:r>
      <w:r>
        <w:t>Fair Go Policy (</w:t>
      </w:r>
      <w:hyperlink r:id="rId566" w:history="1">
        <w:r>
          <w:rPr>
            <w:rStyle w:val="Hyperlink"/>
            <w:i/>
          </w:rPr>
          <w:t>Appendix S</w:t>
        </w:r>
      </w:hyperlink>
      <w:r>
        <w:t>)</w:t>
      </w:r>
      <w:r>
        <w:rPr>
          <w:snapToGrid w:val="0"/>
        </w:rPr>
        <w:t xml:space="preserve"> applies.</w:t>
      </w:r>
      <w:r>
        <w:t xml:space="preserve"> Please refer to </w:t>
      </w:r>
      <w:hyperlink r:id="rId567" w:history="1">
        <w:r w:rsidR="00503F23">
          <w:rPr>
            <w:rStyle w:val="Hyperlink"/>
            <w:i/>
          </w:rPr>
          <w:t>Appendix S</w:t>
        </w:r>
      </w:hyperlink>
      <w:r>
        <w:t xml:space="preserve"> </w:t>
      </w:r>
      <w:r w:rsidR="009A4616">
        <w:t xml:space="preserve"> </w:t>
      </w:r>
      <w:r>
        <w:t>for further details.</w:t>
      </w:r>
    </w:p>
    <w:p w14:paraId="57A2B4E5" w14:textId="77777777" w:rsidR="000D07EA" w:rsidRDefault="00BE7C89">
      <w:pPr>
        <w:pStyle w:val="BodyText"/>
        <w:ind w:left="720"/>
        <w:rPr>
          <w:b/>
        </w:rPr>
      </w:pPr>
      <w:r>
        <w:rPr>
          <w:b/>
        </w:rPr>
        <w:t>Table 1A – Usage types that are part of your Included Value</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862"/>
        <w:gridCol w:w="2919"/>
      </w:tblGrid>
      <w:tr w:rsidR="000D07EA" w14:paraId="1B6082B8" w14:textId="77777777">
        <w:trPr>
          <w:trHeight w:val="63"/>
          <w:tblHeader/>
        </w:trPr>
        <w:tc>
          <w:tcPr>
            <w:tcW w:w="5862" w:type="dxa"/>
          </w:tcPr>
          <w:p w14:paraId="18029448" w14:textId="77777777" w:rsidR="000D07EA" w:rsidRDefault="00BE7C89">
            <w:pPr>
              <w:pStyle w:val="BodyText"/>
              <w:spacing w:before="100" w:after="100"/>
              <w:rPr>
                <w:b/>
                <w:bCs/>
              </w:rPr>
            </w:pPr>
            <w:r>
              <w:rPr>
                <w:b/>
                <w:bCs/>
              </w:rPr>
              <w:t>UsageType</w:t>
            </w:r>
          </w:p>
        </w:tc>
        <w:tc>
          <w:tcPr>
            <w:tcW w:w="2919" w:type="dxa"/>
          </w:tcPr>
          <w:p w14:paraId="35FF39FE" w14:textId="77777777" w:rsidR="000D07EA" w:rsidRDefault="00BE7C89">
            <w:pPr>
              <w:pStyle w:val="BodyText"/>
              <w:spacing w:before="100" w:after="100"/>
              <w:rPr>
                <w:b/>
                <w:bCs/>
              </w:rPr>
            </w:pPr>
            <w:r>
              <w:rPr>
                <w:b/>
                <w:bCs/>
              </w:rPr>
              <w:t>Included</w:t>
            </w:r>
          </w:p>
        </w:tc>
      </w:tr>
      <w:tr w:rsidR="000D07EA" w14:paraId="7A4B4251" w14:textId="77777777">
        <w:trPr>
          <w:trHeight w:val="63"/>
        </w:trPr>
        <w:tc>
          <w:tcPr>
            <w:tcW w:w="5862" w:type="dxa"/>
          </w:tcPr>
          <w:p w14:paraId="60837E38" w14:textId="77777777" w:rsidR="000D07EA" w:rsidRDefault="00BE7C89">
            <w:pPr>
              <w:pStyle w:val="BodyText"/>
              <w:spacing w:before="100" w:after="100"/>
            </w:pPr>
            <w:r>
              <w:t>Standard National Voice Calls</w:t>
            </w:r>
          </w:p>
        </w:tc>
        <w:tc>
          <w:tcPr>
            <w:tcW w:w="2919" w:type="dxa"/>
          </w:tcPr>
          <w:p w14:paraId="2F8E1F15" w14:textId="77777777" w:rsidR="000D07EA" w:rsidRDefault="00BE7C89">
            <w:pPr>
              <w:pStyle w:val="BodyText"/>
              <w:spacing w:before="100" w:after="100"/>
            </w:pPr>
            <w:r>
              <w:t>Yes</w:t>
            </w:r>
          </w:p>
        </w:tc>
      </w:tr>
      <w:tr w:rsidR="000D07EA" w14:paraId="7D422C13" w14:textId="77777777">
        <w:trPr>
          <w:trHeight w:val="247"/>
        </w:trPr>
        <w:tc>
          <w:tcPr>
            <w:tcW w:w="5862" w:type="dxa"/>
          </w:tcPr>
          <w:p w14:paraId="343C0786" w14:textId="77777777" w:rsidR="000D07EA" w:rsidRDefault="00BE7C89">
            <w:pPr>
              <w:pStyle w:val="BodyText"/>
              <w:spacing w:before="100" w:after="100"/>
            </w:pPr>
            <w:r>
              <w:t>International Voice Calls</w:t>
            </w:r>
          </w:p>
          <w:p w14:paraId="7DF9814F" w14:textId="77777777" w:rsidR="000D07EA" w:rsidRDefault="00BE7C89">
            <w:pPr>
              <w:pStyle w:val="BodyText"/>
              <w:spacing w:before="100" w:after="100"/>
            </w:pPr>
            <w:r>
              <w:rPr>
                <w:snapToGrid w:val="0"/>
              </w:rPr>
              <w:t>(includes calls to national fixed or mobile services that then divert/switch or re-route overseas)</w:t>
            </w:r>
          </w:p>
        </w:tc>
        <w:tc>
          <w:tcPr>
            <w:tcW w:w="2919" w:type="dxa"/>
          </w:tcPr>
          <w:p w14:paraId="67E2A789" w14:textId="77777777" w:rsidR="000D07EA" w:rsidRDefault="00BE7C89">
            <w:pPr>
              <w:pStyle w:val="BodyText"/>
              <w:spacing w:before="100" w:after="100"/>
            </w:pPr>
            <w:r>
              <w:t xml:space="preserve">No </w:t>
            </w:r>
          </w:p>
        </w:tc>
      </w:tr>
      <w:tr w:rsidR="000D07EA" w14:paraId="001EAFA1" w14:textId="77777777">
        <w:trPr>
          <w:trHeight w:val="247"/>
        </w:trPr>
        <w:tc>
          <w:tcPr>
            <w:tcW w:w="5862" w:type="dxa"/>
          </w:tcPr>
          <w:p w14:paraId="6EA1D806" w14:textId="77777777" w:rsidR="000D07EA" w:rsidRDefault="00BE7C89">
            <w:pPr>
              <w:pStyle w:val="BodyText"/>
              <w:spacing w:before="100" w:after="100"/>
            </w:pPr>
            <w:r>
              <w:t>Standard National Video Calls</w:t>
            </w:r>
          </w:p>
        </w:tc>
        <w:tc>
          <w:tcPr>
            <w:tcW w:w="2919" w:type="dxa"/>
          </w:tcPr>
          <w:p w14:paraId="51E95996" w14:textId="77777777" w:rsidR="000D07EA" w:rsidRDefault="00BE7C89">
            <w:pPr>
              <w:pStyle w:val="BodyText"/>
              <w:spacing w:before="100" w:after="100"/>
            </w:pPr>
            <w:r>
              <w:t>No</w:t>
            </w:r>
          </w:p>
        </w:tc>
      </w:tr>
      <w:tr w:rsidR="000D07EA" w14:paraId="0B8C5243" w14:textId="77777777">
        <w:trPr>
          <w:trHeight w:val="247"/>
        </w:trPr>
        <w:tc>
          <w:tcPr>
            <w:tcW w:w="5862" w:type="dxa"/>
          </w:tcPr>
          <w:p w14:paraId="344468B0" w14:textId="77777777" w:rsidR="000D07EA" w:rsidRDefault="00BE7C89">
            <w:pPr>
              <w:pStyle w:val="BodyText"/>
              <w:spacing w:before="100" w:after="100"/>
            </w:pPr>
            <w:r>
              <w:t>International Video Calls</w:t>
            </w:r>
          </w:p>
          <w:p w14:paraId="3F71006E" w14:textId="77777777" w:rsidR="000D07EA" w:rsidRDefault="00BE7C89">
            <w:pPr>
              <w:pStyle w:val="BodyText"/>
              <w:spacing w:before="100" w:after="100"/>
            </w:pPr>
            <w:r>
              <w:rPr>
                <w:snapToGrid w:val="0"/>
              </w:rPr>
              <w:t>(includes calls to national fixed or mobile services that then divert/switch or re-route overseas)</w:t>
            </w:r>
          </w:p>
        </w:tc>
        <w:tc>
          <w:tcPr>
            <w:tcW w:w="2919" w:type="dxa"/>
          </w:tcPr>
          <w:p w14:paraId="6D2A51AD" w14:textId="77777777" w:rsidR="000D07EA" w:rsidRDefault="00BE7C89">
            <w:pPr>
              <w:pStyle w:val="BodyText"/>
              <w:spacing w:before="100" w:after="100"/>
            </w:pPr>
            <w:r>
              <w:t>No</w:t>
            </w:r>
          </w:p>
        </w:tc>
      </w:tr>
      <w:tr w:rsidR="000D07EA" w14:paraId="2241FAA9" w14:textId="77777777">
        <w:trPr>
          <w:trHeight w:val="247"/>
        </w:trPr>
        <w:tc>
          <w:tcPr>
            <w:tcW w:w="5862" w:type="dxa"/>
          </w:tcPr>
          <w:p w14:paraId="213C83EC" w14:textId="77777777" w:rsidR="000D07EA" w:rsidRDefault="00BE7C89">
            <w:pPr>
              <w:pStyle w:val="BodyText"/>
              <w:spacing w:before="100" w:after="100"/>
            </w:pPr>
            <w:r>
              <w:t>Standard National SMS</w:t>
            </w:r>
          </w:p>
        </w:tc>
        <w:tc>
          <w:tcPr>
            <w:tcW w:w="2919" w:type="dxa"/>
          </w:tcPr>
          <w:p w14:paraId="299DB553" w14:textId="77777777" w:rsidR="000D07EA" w:rsidRDefault="00BE7C89">
            <w:pPr>
              <w:pStyle w:val="BodyText"/>
              <w:spacing w:before="100" w:after="100"/>
            </w:pPr>
            <w:r>
              <w:t>Yes</w:t>
            </w:r>
          </w:p>
        </w:tc>
      </w:tr>
      <w:tr w:rsidR="000D07EA" w14:paraId="426B965C" w14:textId="77777777">
        <w:trPr>
          <w:trHeight w:val="247"/>
        </w:trPr>
        <w:tc>
          <w:tcPr>
            <w:tcW w:w="5862" w:type="dxa"/>
          </w:tcPr>
          <w:p w14:paraId="5839E023" w14:textId="77777777" w:rsidR="000D07EA" w:rsidRDefault="00BE7C89">
            <w:pPr>
              <w:pStyle w:val="BodyText"/>
              <w:spacing w:before="100" w:after="100"/>
            </w:pPr>
            <w:r>
              <w:t>International SMS</w:t>
            </w:r>
          </w:p>
        </w:tc>
        <w:tc>
          <w:tcPr>
            <w:tcW w:w="2919" w:type="dxa"/>
          </w:tcPr>
          <w:p w14:paraId="3F588824" w14:textId="77777777" w:rsidR="000D07EA" w:rsidRDefault="00BE7C89">
            <w:pPr>
              <w:pStyle w:val="BodyText"/>
              <w:spacing w:before="100" w:after="100"/>
            </w:pPr>
            <w:r>
              <w:t>No</w:t>
            </w:r>
          </w:p>
        </w:tc>
      </w:tr>
      <w:tr w:rsidR="000D07EA" w14:paraId="7B7ED960" w14:textId="77777777">
        <w:trPr>
          <w:trHeight w:val="63"/>
        </w:trPr>
        <w:tc>
          <w:tcPr>
            <w:tcW w:w="5862" w:type="dxa"/>
          </w:tcPr>
          <w:p w14:paraId="347413A0" w14:textId="77777777" w:rsidR="000D07EA" w:rsidRDefault="00BE7C89">
            <w:pPr>
              <w:pStyle w:val="BodyText"/>
              <w:spacing w:before="100" w:after="100"/>
            </w:pPr>
            <w:r>
              <w:t>Voicemail</w:t>
            </w:r>
          </w:p>
        </w:tc>
        <w:tc>
          <w:tcPr>
            <w:tcW w:w="2919" w:type="dxa"/>
          </w:tcPr>
          <w:p w14:paraId="6421B08C" w14:textId="77777777" w:rsidR="000D07EA" w:rsidRDefault="00BE7C89">
            <w:pPr>
              <w:pStyle w:val="BodyText"/>
              <w:spacing w:before="100" w:after="100"/>
            </w:pPr>
            <w:r>
              <w:t>Yes</w:t>
            </w:r>
          </w:p>
        </w:tc>
      </w:tr>
      <w:tr w:rsidR="000D07EA" w14:paraId="5B2822CD" w14:textId="77777777">
        <w:trPr>
          <w:trHeight w:val="247"/>
        </w:trPr>
        <w:tc>
          <w:tcPr>
            <w:tcW w:w="5862" w:type="dxa"/>
          </w:tcPr>
          <w:p w14:paraId="4C663501" w14:textId="77777777" w:rsidR="000D07EA" w:rsidRDefault="00BE7C89">
            <w:pPr>
              <w:pStyle w:val="BodyText"/>
              <w:spacing w:before="100" w:after="100"/>
            </w:pPr>
            <w:r>
              <w:t>National Diversions</w:t>
            </w:r>
          </w:p>
        </w:tc>
        <w:tc>
          <w:tcPr>
            <w:tcW w:w="2919" w:type="dxa"/>
          </w:tcPr>
          <w:p w14:paraId="080C4E65" w14:textId="77777777" w:rsidR="000D07EA" w:rsidRDefault="00BE7C89">
            <w:pPr>
              <w:pStyle w:val="BodyText"/>
              <w:spacing w:before="100" w:after="100"/>
            </w:pPr>
            <w:r>
              <w:t>No</w:t>
            </w:r>
          </w:p>
        </w:tc>
      </w:tr>
      <w:tr w:rsidR="000D07EA" w14:paraId="4FA58718" w14:textId="77777777">
        <w:trPr>
          <w:trHeight w:val="247"/>
        </w:trPr>
        <w:tc>
          <w:tcPr>
            <w:tcW w:w="5862" w:type="dxa"/>
          </w:tcPr>
          <w:p w14:paraId="2DCBEF76" w14:textId="77777777" w:rsidR="000D07EA" w:rsidRDefault="00BE7C89">
            <w:pPr>
              <w:pStyle w:val="BodyText"/>
              <w:spacing w:before="100" w:after="100"/>
            </w:pPr>
            <w:r>
              <w:t>International Roaming &amp; Diversions</w:t>
            </w:r>
          </w:p>
        </w:tc>
        <w:tc>
          <w:tcPr>
            <w:tcW w:w="2919" w:type="dxa"/>
          </w:tcPr>
          <w:p w14:paraId="03AE454F" w14:textId="77777777" w:rsidR="000D07EA" w:rsidRDefault="00BE7C89">
            <w:pPr>
              <w:pStyle w:val="BodyText"/>
              <w:spacing w:before="100" w:after="100"/>
            </w:pPr>
            <w:r>
              <w:t>No</w:t>
            </w:r>
          </w:p>
        </w:tc>
      </w:tr>
      <w:tr w:rsidR="000D07EA" w14:paraId="53D77523" w14:textId="77777777">
        <w:trPr>
          <w:trHeight w:val="247"/>
        </w:trPr>
        <w:tc>
          <w:tcPr>
            <w:tcW w:w="5862" w:type="dxa"/>
          </w:tcPr>
          <w:p w14:paraId="1C3C81AE" w14:textId="77777777" w:rsidR="000D07EA" w:rsidRDefault="00BE7C89">
            <w:pPr>
              <w:pStyle w:val="BodyText"/>
              <w:spacing w:before="100" w:after="100"/>
            </w:pPr>
            <w:r>
              <w:t>Premium SMS</w:t>
            </w:r>
          </w:p>
        </w:tc>
        <w:tc>
          <w:tcPr>
            <w:tcW w:w="2919" w:type="dxa"/>
          </w:tcPr>
          <w:p w14:paraId="5847C182" w14:textId="77777777" w:rsidR="000D07EA" w:rsidRDefault="00BE7C89">
            <w:pPr>
              <w:pStyle w:val="BodyText"/>
              <w:spacing w:before="100" w:after="100"/>
            </w:pPr>
            <w:r>
              <w:t>No</w:t>
            </w:r>
          </w:p>
        </w:tc>
      </w:tr>
      <w:tr w:rsidR="000D07EA" w14:paraId="21BB963F" w14:textId="77777777">
        <w:trPr>
          <w:trHeight w:val="247"/>
        </w:trPr>
        <w:tc>
          <w:tcPr>
            <w:tcW w:w="5862" w:type="dxa"/>
          </w:tcPr>
          <w:p w14:paraId="0BB5A28C" w14:textId="77777777" w:rsidR="000D07EA" w:rsidRDefault="00BE7C89">
            <w:pPr>
              <w:pStyle w:val="BodyText"/>
              <w:spacing w:before="100" w:after="100"/>
            </w:pPr>
            <w:r>
              <w:t xml:space="preserve">Premium Video </w:t>
            </w:r>
          </w:p>
        </w:tc>
        <w:tc>
          <w:tcPr>
            <w:tcW w:w="2919" w:type="dxa"/>
          </w:tcPr>
          <w:p w14:paraId="52299EBD" w14:textId="77777777" w:rsidR="000D07EA" w:rsidRDefault="00BE7C89">
            <w:pPr>
              <w:pStyle w:val="BodyText"/>
              <w:spacing w:before="100" w:after="100"/>
            </w:pPr>
            <w:r>
              <w:t>No</w:t>
            </w:r>
          </w:p>
        </w:tc>
      </w:tr>
      <w:tr w:rsidR="000D07EA" w14:paraId="6DB2C23C" w14:textId="77777777">
        <w:trPr>
          <w:trHeight w:val="247"/>
        </w:trPr>
        <w:tc>
          <w:tcPr>
            <w:tcW w:w="5862" w:type="dxa"/>
          </w:tcPr>
          <w:p w14:paraId="347FC3B5" w14:textId="77777777" w:rsidR="000D07EA" w:rsidRDefault="00BE7C89">
            <w:pPr>
              <w:pStyle w:val="BodyText"/>
              <w:spacing w:before="100" w:after="100"/>
            </w:pPr>
            <w:r>
              <w:t xml:space="preserve">Video Conferencing </w:t>
            </w:r>
          </w:p>
        </w:tc>
        <w:tc>
          <w:tcPr>
            <w:tcW w:w="2919" w:type="dxa"/>
          </w:tcPr>
          <w:p w14:paraId="2483C1E9" w14:textId="77777777" w:rsidR="000D07EA" w:rsidRDefault="00BE7C89">
            <w:pPr>
              <w:pStyle w:val="BodyText"/>
              <w:spacing w:before="100" w:after="100"/>
            </w:pPr>
            <w:r>
              <w:t>No</w:t>
            </w:r>
          </w:p>
        </w:tc>
      </w:tr>
      <w:tr w:rsidR="000D07EA" w14:paraId="04BCBE6B" w14:textId="77777777">
        <w:trPr>
          <w:trHeight w:val="247"/>
        </w:trPr>
        <w:tc>
          <w:tcPr>
            <w:tcW w:w="5862" w:type="dxa"/>
          </w:tcPr>
          <w:p w14:paraId="7DD279A5" w14:textId="77777777" w:rsidR="000D07EA" w:rsidRDefault="00BE7C89">
            <w:pPr>
              <w:pStyle w:val="BodyText"/>
              <w:spacing w:before="100" w:after="100"/>
            </w:pPr>
            <w:r>
              <w:t>Standard National MMS</w:t>
            </w:r>
          </w:p>
        </w:tc>
        <w:tc>
          <w:tcPr>
            <w:tcW w:w="2919" w:type="dxa"/>
          </w:tcPr>
          <w:p w14:paraId="0E91A6E8" w14:textId="77777777" w:rsidR="000D07EA" w:rsidRDefault="00BE7C89">
            <w:pPr>
              <w:pStyle w:val="BodyText"/>
              <w:spacing w:before="100" w:after="100"/>
            </w:pPr>
            <w:r>
              <w:t>Yes</w:t>
            </w:r>
          </w:p>
        </w:tc>
      </w:tr>
      <w:tr w:rsidR="000D07EA" w14:paraId="3C0BF485" w14:textId="77777777">
        <w:trPr>
          <w:trHeight w:val="247"/>
        </w:trPr>
        <w:tc>
          <w:tcPr>
            <w:tcW w:w="5862" w:type="dxa"/>
          </w:tcPr>
          <w:p w14:paraId="57E1C1D2" w14:textId="77777777" w:rsidR="000D07EA" w:rsidRDefault="00BE7C89">
            <w:pPr>
              <w:pStyle w:val="BodyText"/>
              <w:spacing w:before="100" w:after="100"/>
            </w:pPr>
            <w:r>
              <w:t>International MMS</w:t>
            </w:r>
          </w:p>
        </w:tc>
        <w:tc>
          <w:tcPr>
            <w:tcW w:w="2919" w:type="dxa"/>
          </w:tcPr>
          <w:p w14:paraId="0AD582EA" w14:textId="77777777" w:rsidR="000D07EA" w:rsidRDefault="00BE7C89">
            <w:pPr>
              <w:pStyle w:val="BodyText"/>
              <w:spacing w:before="100" w:after="100"/>
            </w:pPr>
            <w:r>
              <w:t>No</w:t>
            </w:r>
          </w:p>
        </w:tc>
      </w:tr>
      <w:tr w:rsidR="000D07EA" w14:paraId="3AC8690E" w14:textId="77777777">
        <w:trPr>
          <w:trHeight w:val="247"/>
        </w:trPr>
        <w:tc>
          <w:tcPr>
            <w:tcW w:w="5862" w:type="dxa"/>
          </w:tcPr>
          <w:p w14:paraId="31B05DEC" w14:textId="77777777" w:rsidR="000D07EA" w:rsidRDefault="00BE7C89">
            <w:pPr>
              <w:pStyle w:val="BodyText"/>
              <w:spacing w:before="100" w:after="100"/>
            </w:pPr>
            <w:r>
              <w:lastRenderedPageBreak/>
              <w:t>Optus iZoo Browsing</w:t>
            </w:r>
          </w:p>
        </w:tc>
        <w:tc>
          <w:tcPr>
            <w:tcW w:w="2919" w:type="dxa"/>
          </w:tcPr>
          <w:p w14:paraId="560FE4C6" w14:textId="77777777" w:rsidR="000D07EA" w:rsidRDefault="00BE7C89">
            <w:pPr>
              <w:pStyle w:val="BodyText"/>
              <w:spacing w:before="100" w:after="100"/>
            </w:pPr>
            <w:r>
              <w:t>No</w:t>
            </w:r>
          </w:p>
        </w:tc>
      </w:tr>
      <w:tr w:rsidR="000D07EA" w14:paraId="5C67CDD0" w14:textId="77777777">
        <w:trPr>
          <w:trHeight w:val="63"/>
        </w:trPr>
        <w:tc>
          <w:tcPr>
            <w:tcW w:w="5862" w:type="dxa"/>
          </w:tcPr>
          <w:p w14:paraId="357311DB" w14:textId="77777777" w:rsidR="000D07EA" w:rsidRDefault="00BE7C89">
            <w:pPr>
              <w:pStyle w:val="BodyText"/>
              <w:spacing w:before="100" w:after="100"/>
            </w:pPr>
            <w:r>
              <w:t>Optus Zoo iZoo Downloads</w:t>
            </w:r>
          </w:p>
        </w:tc>
        <w:tc>
          <w:tcPr>
            <w:tcW w:w="2919" w:type="dxa"/>
          </w:tcPr>
          <w:p w14:paraId="1A80DB3F" w14:textId="77777777" w:rsidR="000D07EA" w:rsidRDefault="00BE7C89">
            <w:pPr>
              <w:pStyle w:val="BodyText"/>
              <w:spacing w:before="100" w:after="100"/>
            </w:pPr>
            <w:r>
              <w:t>No</w:t>
            </w:r>
          </w:p>
        </w:tc>
      </w:tr>
      <w:tr w:rsidR="000D07EA" w14:paraId="6635FBFE" w14:textId="77777777">
        <w:trPr>
          <w:trHeight w:val="63"/>
        </w:trPr>
        <w:tc>
          <w:tcPr>
            <w:tcW w:w="5862" w:type="dxa"/>
          </w:tcPr>
          <w:p w14:paraId="154F7ACF" w14:textId="77777777" w:rsidR="000D07EA" w:rsidRDefault="00BE7C89">
            <w:pPr>
              <w:pStyle w:val="BodyText"/>
              <w:spacing w:before="100" w:after="100"/>
            </w:pPr>
            <w:r>
              <w:t>SMS to 966 (Zoo)</w:t>
            </w:r>
          </w:p>
        </w:tc>
        <w:tc>
          <w:tcPr>
            <w:tcW w:w="2919" w:type="dxa"/>
          </w:tcPr>
          <w:p w14:paraId="25270D4D" w14:textId="77777777" w:rsidR="000D07EA" w:rsidRDefault="00BE7C89">
            <w:pPr>
              <w:pStyle w:val="BodyText"/>
              <w:spacing w:before="100" w:after="100"/>
            </w:pPr>
            <w:r>
              <w:t>No</w:t>
            </w:r>
          </w:p>
        </w:tc>
      </w:tr>
      <w:tr w:rsidR="000D07EA" w14:paraId="769D12D9" w14:textId="77777777">
        <w:trPr>
          <w:trHeight w:val="494"/>
        </w:trPr>
        <w:tc>
          <w:tcPr>
            <w:tcW w:w="5862" w:type="dxa"/>
          </w:tcPr>
          <w:p w14:paraId="401121E1" w14:textId="77777777" w:rsidR="000D07EA" w:rsidRDefault="00BE7C89">
            <w:pPr>
              <w:pStyle w:val="BodyText"/>
              <w:spacing w:before="100" w:after="100"/>
            </w:pPr>
            <w:r>
              <w:t>Data used whilst roaming internationally</w:t>
            </w:r>
          </w:p>
        </w:tc>
        <w:tc>
          <w:tcPr>
            <w:tcW w:w="2919" w:type="dxa"/>
          </w:tcPr>
          <w:p w14:paraId="6C4D9013" w14:textId="77777777" w:rsidR="000D07EA" w:rsidRDefault="00BE7C89">
            <w:pPr>
              <w:pStyle w:val="BodyText"/>
              <w:spacing w:before="100" w:after="100"/>
            </w:pPr>
            <w:r>
              <w:t>No</w:t>
            </w:r>
          </w:p>
        </w:tc>
      </w:tr>
      <w:tr w:rsidR="000D07EA" w14:paraId="1DA3C890" w14:textId="77777777">
        <w:trPr>
          <w:trHeight w:val="494"/>
        </w:trPr>
        <w:tc>
          <w:tcPr>
            <w:tcW w:w="5862" w:type="dxa"/>
          </w:tcPr>
          <w:p w14:paraId="02E9090B" w14:textId="77777777" w:rsidR="000D07EA" w:rsidRDefault="00BE7C89">
            <w:pPr>
              <w:pStyle w:val="BodyText"/>
              <w:spacing w:before="100" w:after="100"/>
            </w:pPr>
            <w:r>
              <w:t xml:space="preserve">Directory Assistance – 1223 </w:t>
            </w:r>
          </w:p>
        </w:tc>
        <w:tc>
          <w:tcPr>
            <w:tcW w:w="2919" w:type="dxa"/>
          </w:tcPr>
          <w:p w14:paraId="410CA85D" w14:textId="77777777" w:rsidR="000D07EA" w:rsidRDefault="00BE7C89">
            <w:pPr>
              <w:pStyle w:val="BodyText"/>
              <w:spacing w:before="100" w:after="100"/>
            </w:pPr>
            <w:r>
              <w:t>No</w:t>
            </w:r>
          </w:p>
        </w:tc>
      </w:tr>
      <w:tr w:rsidR="000D07EA" w14:paraId="5C64679F" w14:textId="77777777">
        <w:trPr>
          <w:trHeight w:val="247"/>
        </w:trPr>
        <w:tc>
          <w:tcPr>
            <w:tcW w:w="5862" w:type="dxa"/>
          </w:tcPr>
          <w:p w14:paraId="2F51FF73" w14:textId="77777777" w:rsidR="000D07EA" w:rsidRDefault="00BE7C89">
            <w:pPr>
              <w:pStyle w:val="BodyText"/>
              <w:spacing w:before="100" w:after="100"/>
            </w:pPr>
            <w:r>
              <w:t>19XX Numbers</w:t>
            </w:r>
          </w:p>
        </w:tc>
        <w:tc>
          <w:tcPr>
            <w:tcW w:w="2919" w:type="dxa"/>
          </w:tcPr>
          <w:p w14:paraId="77C1AF06" w14:textId="77777777" w:rsidR="000D07EA" w:rsidRDefault="00BE7C89">
            <w:pPr>
              <w:pStyle w:val="BodyText"/>
              <w:spacing w:before="100" w:after="100"/>
            </w:pPr>
            <w:r>
              <w:t>No</w:t>
            </w:r>
          </w:p>
        </w:tc>
      </w:tr>
      <w:tr w:rsidR="000D07EA" w14:paraId="15A4BE3E" w14:textId="77777777">
        <w:trPr>
          <w:trHeight w:val="247"/>
        </w:trPr>
        <w:tc>
          <w:tcPr>
            <w:tcW w:w="5862" w:type="dxa"/>
          </w:tcPr>
          <w:p w14:paraId="12E83514" w14:textId="77777777" w:rsidR="000D07EA" w:rsidRDefault="00BE7C89">
            <w:pPr>
              <w:pStyle w:val="BodyText"/>
              <w:spacing w:before="100" w:after="100"/>
            </w:pPr>
            <w:r>
              <w:t>1800 and 1300 numbers</w:t>
            </w:r>
          </w:p>
        </w:tc>
        <w:tc>
          <w:tcPr>
            <w:tcW w:w="2919" w:type="dxa"/>
          </w:tcPr>
          <w:p w14:paraId="7148EC78" w14:textId="77777777" w:rsidR="000D07EA" w:rsidRDefault="00BE7C89">
            <w:pPr>
              <w:pStyle w:val="BodyText"/>
              <w:spacing w:before="100" w:after="100"/>
            </w:pPr>
            <w:r>
              <w:t>Yes</w:t>
            </w:r>
          </w:p>
        </w:tc>
      </w:tr>
      <w:tr w:rsidR="000D07EA" w14:paraId="09098DEB" w14:textId="77777777">
        <w:trPr>
          <w:trHeight w:val="247"/>
        </w:trPr>
        <w:tc>
          <w:tcPr>
            <w:tcW w:w="5862" w:type="dxa"/>
          </w:tcPr>
          <w:p w14:paraId="6C2313BB" w14:textId="77777777" w:rsidR="000D07EA" w:rsidRDefault="00BE7C89">
            <w:pPr>
              <w:pStyle w:val="BodyText"/>
              <w:spacing w:before="100" w:after="100"/>
            </w:pPr>
            <w:r>
              <w:t>124YES(937)</w:t>
            </w:r>
          </w:p>
        </w:tc>
        <w:tc>
          <w:tcPr>
            <w:tcW w:w="2919" w:type="dxa"/>
          </w:tcPr>
          <w:p w14:paraId="18B8EA84" w14:textId="77777777" w:rsidR="000D07EA" w:rsidRDefault="00BE7C89">
            <w:pPr>
              <w:pStyle w:val="BodyText"/>
              <w:spacing w:before="100" w:after="100"/>
            </w:pPr>
            <w:r>
              <w:t>No</w:t>
            </w:r>
          </w:p>
        </w:tc>
      </w:tr>
      <w:tr w:rsidR="000D07EA" w14:paraId="4C998B5B" w14:textId="77777777">
        <w:trPr>
          <w:trHeight w:val="262"/>
        </w:trPr>
        <w:tc>
          <w:tcPr>
            <w:tcW w:w="5862" w:type="dxa"/>
          </w:tcPr>
          <w:p w14:paraId="4E961A2E" w14:textId="77777777" w:rsidR="000D07EA" w:rsidRDefault="00BE7C89">
            <w:pPr>
              <w:pStyle w:val="BodyText"/>
              <w:spacing w:before="100" w:after="100"/>
            </w:pPr>
            <w:r>
              <w:t xml:space="preserve">Content Packs </w:t>
            </w:r>
          </w:p>
        </w:tc>
        <w:tc>
          <w:tcPr>
            <w:tcW w:w="2919" w:type="dxa"/>
          </w:tcPr>
          <w:p w14:paraId="6F773E2F" w14:textId="77777777" w:rsidR="000D07EA" w:rsidRDefault="00BE7C89">
            <w:pPr>
              <w:pStyle w:val="BodyText"/>
              <w:spacing w:before="100" w:after="100"/>
            </w:pPr>
            <w:r>
              <w:t>No</w:t>
            </w:r>
          </w:p>
        </w:tc>
      </w:tr>
      <w:tr w:rsidR="000D07EA" w14:paraId="5BA4C9F8" w14:textId="77777777">
        <w:trPr>
          <w:trHeight w:val="262"/>
        </w:trPr>
        <w:tc>
          <w:tcPr>
            <w:tcW w:w="5862" w:type="dxa"/>
          </w:tcPr>
          <w:p w14:paraId="39840CAF" w14:textId="77777777" w:rsidR="000D07EA" w:rsidRDefault="00BE7C89">
            <w:pPr>
              <w:pStyle w:val="BodyText"/>
              <w:spacing w:before="100" w:after="100"/>
            </w:pPr>
            <w:r>
              <w:t>Mobile Internet usage</w:t>
            </w:r>
          </w:p>
        </w:tc>
        <w:tc>
          <w:tcPr>
            <w:tcW w:w="2919" w:type="dxa"/>
          </w:tcPr>
          <w:p w14:paraId="19E75B43" w14:textId="77777777" w:rsidR="000D07EA" w:rsidRDefault="00BE7C89">
            <w:pPr>
              <w:pStyle w:val="BodyText"/>
              <w:spacing w:before="100" w:after="100"/>
            </w:pPr>
            <w:r>
              <w:t>No</w:t>
            </w:r>
          </w:p>
        </w:tc>
      </w:tr>
      <w:tr w:rsidR="000D07EA" w14:paraId="7F579BF9" w14:textId="77777777">
        <w:trPr>
          <w:trHeight w:val="262"/>
        </w:trPr>
        <w:tc>
          <w:tcPr>
            <w:tcW w:w="5862" w:type="dxa"/>
          </w:tcPr>
          <w:p w14:paraId="5BE50483" w14:textId="77777777" w:rsidR="000D07EA" w:rsidRDefault="00BE7C89">
            <w:pPr>
              <w:pStyle w:val="BodyText"/>
              <w:spacing w:before="100" w:after="100"/>
            </w:pPr>
            <w:r>
              <w:t>VOIP services</w:t>
            </w:r>
          </w:p>
        </w:tc>
        <w:tc>
          <w:tcPr>
            <w:tcW w:w="2919" w:type="dxa"/>
          </w:tcPr>
          <w:p w14:paraId="7BEAF21F" w14:textId="77777777" w:rsidR="000D07EA" w:rsidRDefault="00BE7C89">
            <w:pPr>
              <w:pStyle w:val="BodyText"/>
              <w:spacing w:before="100" w:after="100"/>
            </w:pPr>
            <w:r>
              <w:t>No</w:t>
            </w:r>
          </w:p>
        </w:tc>
      </w:tr>
      <w:tr w:rsidR="000D07EA" w14:paraId="11650671" w14:textId="77777777">
        <w:trPr>
          <w:trHeight w:val="262"/>
        </w:trPr>
        <w:tc>
          <w:tcPr>
            <w:tcW w:w="5862" w:type="dxa"/>
          </w:tcPr>
          <w:p w14:paraId="5F07A474" w14:textId="77777777" w:rsidR="000D07EA" w:rsidRDefault="00BE7C89">
            <w:pPr>
              <w:pStyle w:val="BodyText"/>
              <w:spacing w:before="100" w:after="100"/>
            </w:pPr>
            <w:r>
              <w:t>Calls to Satellite phones</w:t>
            </w:r>
          </w:p>
        </w:tc>
        <w:tc>
          <w:tcPr>
            <w:tcW w:w="2919" w:type="dxa"/>
          </w:tcPr>
          <w:p w14:paraId="433CDFDD" w14:textId="77777777" w:rsidR="000D07EA" w:rsidRDefault="00BE7C89">
            <w:pPr>
              <w:pStyle w:val="BodyText"/>
              <w:spacing w:before="100" w:after="100"/>
            </w:pPr>
            <w:r>
              <w:t>No</w:t>
            </w:r>
          </w:p>
        </w:tc>
      </w:tr>
      <w:tr w:rsidR="000D07EA" w14:paraId="7EBA71D7" w14:textId="77777777">
        <w:trPr>
          <w:trHeight w:val="262"/>
        </w:trPr>
        <w:tc>
          <w:tcPr>
            <w:tcW w:w="5862" w:type="dxa"/>
          </w:tcPr>
          <w:p w14:paraId="6BB4D8C4" w14:textId="77777777" w:rsidR="000D07EA" w:rsidRDefault="00BE7C89">
            <w:pPr>
              <w:pStyle w:val="BodyText"/>
              <w:spacing w:before="100" w:after="100"/>
            </w:pPr>
            <w:r>
              <w:t>Surepage</w:t>
            </w:r>
          </w:p>
        </w:tc>
        <w:tc>
          <w:tcPr>
            <w:tcW w:w="2919" w:type="dxa"/>
          </w:tcPr>
          <w:p w14:paraId="13ECCE7E" w14:textId="77777777" w:rsidR="000D07EA" w:rsidRDefault="00BE7C89">
            <w:pPr>
              <w:pStyle w:val="BodyText"/>
              <w:spacing w:before="100" w:after="100"/>
            </w:pPr>
            <w:r>
              <w:t>No</w:t>
            </w:r>
          </w:p>
        </w:tc>
      </w:tr>
      <w:tr w:rsidR="000D07EA" w14:paraId="7B9CA56E" w14:textId="77777777">
        <w:trPr>
          <w:trHeight w:val="262"/>
        </w:trPr>
        <w:tc>
          <w:tcPr>
            <w:tcW w:w="5862" w:type="dxa"/>
          </w:tcPr>
          <w:p w14:paraId="51AE3C8A" w14:textId="77777777" w:rsidR="000D07EA" w:rsidRDefault="00BE7C89">
            <w:pPr>
              <w:pStyle w:val="BodyText"/>
              <w:spacing w:before="100" w:after="100"/>
            </w:pPr>
            <w:r>
              <w:t>Any other usage type</w:t>
            </w:r>
          </w:p>
        </w:tc>
        <w:tc>
          <w:tcPr>
            <w:tcW w:w="2919" w:type="dxa"/>
          </w:tcPr>
          <w:p w14:paraId="245568A7" w14:textId="77777777" w:rsidR="000D07EA" w:rsidRDefault="00BE7C89">
            <w:pPr>
              <w:pStyle w:val="BodyText"/>
              <w:spacing w:before="100" w:after="100"/>
            </w:pPr>
            <w:r>
              <w:t>No</w:t>
            </w:r>
          </w:p>
        </w:tc>
      </w:tr>
    </w:tbl>
    <w:p w14:paraId="43837A33" w14:textId="77777777" w:rsidR="000D07EA" w:rsidRDefault="000D07EA">
      <w:pPr>
        <w:pStyle w:val="BodyText"/>
      </w:pPr>
    </w:p>
    <w:p w14:paraId="25F3DF81" w14:textId="77777777" w:rsidR="000D07EA" w:rsidRDefault="00BE7C89">
      <w:pPr>
        <w:pStyle w:val="BodyText"/>
        <w:ind w:left="720"/>
        <w:rPr>
          <w:b/>
        </w:rPr>
      </w:pPr>
      <w:r>
        <w:rPr>
          <w:b/>
        </w:rPr>
        <w:t>Table 1B – Usage counting towards Included Data</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875"/>
        <w:gridCol w:w="2880"/>
      </w:tblGrid>
      <w:tr w:rsidR="000D07EA" w14:paraId="4E6B0665" w14:textId="77777777">
        <w:trPr>
          <w:trHeight w:val="494"/>
          <w:tblHeader/>
        </w:trPr>
        <w:tc>
          <w:tcPr>
            <w:tcW w:w="5875" w:type="dxa"/>
          </w:tcPr>
          <w:p w14:paraId="17D21DB3" w14:textId="77777777" w:rsidR="000D07EA" w:rsidRDefault="00BE7C89">
            <w:pPr>
              <w:pStyle w:val="BodyText"/>
              <w:spacing w:before="100" w:after="100"/>
              <w:rPr>
                <w:b/>
                <w:bCs/>
              </w:rPr>
            </w:pPr>
            <w:r>
              <w:rPr>
                <w:b/>
                <w:bCs/>
              </w:rPr>
              <w:t>Usage Type</w:t>
            </w:r>
          </w:p>
        </w:tc>
        <w:tc>
          <w:tcPr>
            <w:tcW w:w="2880" w:type="dxa"/>
          </w:tcPr>
          <w:p w14:paraId="72CA1A97" w14:textId="77777777" w:rsidR="000D07EA" w:rsidRDefault="00BE7C89">
            <w:pPr>
              <w:pStyle w:val="BodyText"/>
              <w:spacing w:before="100" w:after="100"/>
              <w:rPr>
                <w:b/>
                <w:bCs/>
              </w:rPr>
            </w:pPr>
            <w:r>
              <w:rPr>
                <w:b/>
                <w:bCs/>
              </w:rPr>
              <w:t>Counts towards Included Data</w:t>
            </w:r>
          </w:p>
        </w:tc>
      </w:tr>
      <w:tr w:rsidR="000D07EA" w14:paraId="1DB1348F" w14:textId="77777777">
        <w:trPr>
          <w:trHeight w:val="63"/>
          <w:tblHeader/>
        </w:trPr>
        <w:tc>
          <w:tcPr>
            <w:tcW w:w="5875" w:type="dxa"/>
          </w:tcPr>
          <w:p w14:paraId="7AE12E20" w14:textId="77777777" w:rsidR="000D07EA" w:rsidRDefault="00BE7C89">
            <w:pPr>
              <w:pStyle w:val="BodyText"/>
              <w:spacing w:before="100" w:after="100"/>
              <w:rPr>
                <w:b/>
                <w:bCs/>
              </w:rPr>
            </w:pPr>
            <w:r>
              <w:rPr>
                <w:bCs/>
              </w:rPr>
              <w:t>Mobile Internet usage (browsing and downloads)*</w:t>
            </w:r>
          </w:p>
        </w:tc>
        <w:tc>
          <w:tcPr>
            <w:tcW w:w="2880" w:type="dxa"/>
          </w:tcPr>
          <w:p w14:paraId="2BB36EDF" w14:textId="77777777" w:rsidR="000D07EA" w:rsidRDefault="00BE7C89">
            <w:pPr>
              <w:pStyle w:val="BodyText"/>
              <w:spacing w:before="100" w:after="100"/>
              <w:rPr>
                <w:bCs/>
              </w:rPr>
            </w:pPr>
            <w:r>
              <w:rPr>
                <w:bCs/>
              </w:rPr>
              <w:t>Yes</w:t>
            </w:r>
          </w:p>
        </w:tc>
      </w:tr>
      <w:tr w:rsidR="000D07EA" w14:paraId="054160D4" w14:textId="77777777">
        <w:trPr>
          <w:trHeight w:val="63"/>
          <w:tblHeader/>
        </w:trPr>
        <w:tc>
          <w:tcPr>
            <w:tcW w:w="5875" w:type="dxa"/>
          </w:tcPr>
          <w:p w14:paraId="323A19BB" w14:textId="77777777" w:rsidR="000D07EA" w:rsidRDefault="00BE7C89">
            <w:pPr>
              <w:pStyle w:val="BodyText"/>
              <w:spacing w:before="100" w:after="100"/>
              <w:rPr>
                <w:bCs/>
              </w:rPr>
            </w:pPr>
            <w:r>
              <w:rPr>
                <w:bCs/>
              </w:rPr>
              <w:t>Data Used while Roaming Internationally</w:t>
            </w:r>
          </w:p>
        </w:tc>
        <w:tc>
          <w:tcPr>
            <w:tcW w:w="2880" w:type="dxa"/>
          </w:tcPr>
          <w:p w14:paraId="79F9F538" w14:textId="77777777" w:rsidR="000D07EA" w:rsidRDefault="00BE7C89">
            <w:pPr>
              <w:pStyle w:val="BodyText"/>
              <w:spacing w:before="100" w:after="100"/>
              <w:rPr>
                <w:bCs/>
              </w:rPr>
            </w:pPr>
            <w:r>
              <w:rPr>
                <w:bCs/>
              </w:rPr>
              <w:t>No</w:t>
            </w:r>
          </w:p>
        </w:tc>
      </w:tr>
      <w:tr w:rsidR="000D07EA" w14:paraId="7A65DA8F" w14:textId="77777777">
        <w:trPr>
          <w:trHeight w:val="63"/>
          <w:tblHeader/>
        </w:trPr>
        <w:tc>
          <w:tcPr>
            <w:tcW w:w="5875" w:type="dxa"/>
          </w:tcPr>
          <w:p w14:paraId="382C65AE" w14:textId="77777777" w:rsidR="000D07EA" w:rsidRDefault="00BE7C89">
            <w:pPr>
              <w:pStyle w:val="BodyText"/>
              <w:spacing w:before="100" w:after="100"/>
              <w:rPr>
                <w:bCs/>
              </w:rPr>
            </w:pPr>
            <w:r>
              <w:rPr>
                <w:bCs/>
              </w:rPr>
              <w:t>Mobile as a modem</w:t>
            </w:r>
          </w:p>
        </w:tc>
        <w:tc>
          <w:tcPr>
            <w:tcW w:w="2880" w:type="dxa"/>
          </w:tcPr>
          <w:p w14:paraId="1A4594B0" w14:textId="77777777" w:rsidR="000D07EA" w:rsidRDefault="00BE7C89">
            <w:pPr>
              <w:pStyle w:val="BodyText"/>
              <w:spacing w:before="100" w:after="100"/>
              <w:rPr>
                <w:bCs/>
              </w:rPr>
            </w:pPr>
            <w:r>
              <w:rPr>
                <w:bCs/>
              </w:rPr>
              <w:t>Yes</w:t>
            </w:r>
          </w:p>
        </w:tc>
      </w:tr>
      <w:tr w:rsidR="000D07EA" w14:paraId="5958692F" w14:textId="77777777">
        <w:trPr>
          <w:trHeight w:val="63"/>
          <w:tblHeader/>
        </w:trPr>
        <w:tc>
          <w:tcPr>
            <w:tcW w:w="5875" w:type="dxa"/>
          </w:tcPr>
          <w:p w14:paraId="307E89C0" w14:textId="77777777" w:rsidR="000D07EA" w:rsidRDefault="00BE7C89">
            <w:pPr>
              <w:pStyle w:val="BodyText"/>
              <w:spacing w:before="100" w:after="100"/>
              <w:rPr>
                <w:bCs/>
              </w:rPr>
            </w:pPr>
            <w:r>
              <w:rPr>
                <w:bCs/>
              </w:rPr>
              <w:t>Content packs</w:t>
            </w:r>
          </w:p>
        </w:tc>
        <w:tc>
          <w:tcPr>
            <w:tcW w:w="2880" w:type="dxa"/>
          </w:tcPr>
          <w:p w14:paraId="01775083" w14:textId="77777777" w:rsidR="000D07EA" w:rsidRDefault="00BE7C89">
            <w:pPr>
              <w:pStyle w:val="BodyText"/>
              <w:spacing w:before="100" w:after="100"/>
              <w:rPr>
                <w:bCs/>
              </w:rPr>
            </w:pPr>
            <w:r>
              <w:rPr>
                <w:bCs/>
              </w:rPr>
              <w:t>No</w:t>
            </w:r>
          </w:p>
        </w:tc>
      </w:tr>
      <w:tr w:rsidR="000D07EA" w14:paraId="73FC844B" w14:textId="77777777">
        <w:trPr>
          <w:trHeight w:val="63"/>
          <w:tblHeader/>
        </w:trPr>
        <w:tc>
          <w:tcPr>
            <w:tcW w:w="5875" w:type="dxa"/>
          </w:tcPr>
          <w:p w14:paraId="2FC827BD" w14:textId="77777777" w:rsidR="000D07EA" w:rsidRDefault="00BE7C89">
            <w:pPr>
              <w:pStyle w:val="BodyText"/>
              <w:spacing w:before="100" w:after="100"/>
              <w:rPr>
                <w:bCs/>
              </w:rPr>
            </w:pPr>
            <w:r>
              <w:rPr>
                <w:bCs/>
              </w:rPr>
              <w:t>VOIP services</w:t>
            </w:r>
          </w:p>
        </w:tc>
        <w:tc>
          <w:tcPr>
            <w:tcW w:w="2880" w:type="dxa"/>
          </w:tcPr>
          <w:p w14:paraId="2CA93FAC" w14:textId="77777777" w:rsidR="000D07EA" w:rsidRDefault="00BE7C89">
            <w:pPr>
              <w:pStyle w:val="BodyText"/>
              <w:spacing w:before="100" w:after="100"/>
              <w:rPr>
                <w:bCs/>
              </w:rPr>
            </w:pPr>
            <w:r>
              <w:rPr>
                <w:bCs/>
              </w:rPr>
              <w:t>No</w:t>
            </w:r>
          </w:p>
        </w:tc>
      </w:tr>
      <w:tr w:rsidR="000D07EA" w14:paraId="2D0096BB" w14:textId="77777777">
        <w:trPr>
          <w:trHeight w:val="63"/>
          <w:tblHeader/>
        </w:trPr>
        <w:tc>
          <w:tcPr>
            <w:tcW w:w="5875" w:type="dxa"/>
          </w:tcPr>
          <w:p w14:paraId="396C3725" w14:textId="77777777" w:rsidR="000D07EA" w:rsidRDefault="00BE7C89">
            <w:pPr>
              <w:pStyle w:val="BodyText"/>
              <w:spacing w:before="100" w:after="100"/>
              <w:rPr>
                <w:bCs/>
              </w:rPr>
            </w:pPr>
            <w:r>
              <w:rPr>
                <w:bCs/>
              </w:rPr>
              <w:t>Video calls and conferencing</w:t>
            </w:r>
          </w:p>
        </w:tc>
        <w:tc>
          <w:tcPr>
            <w:tcW w:w="2880" w:type="dxa"/>
          </w:tcPr>
          <w:p w14:paraId="078C50B3" w14:textId="77777777" w:rsidR="000D07EA" w:rsidRDefault="00BE7C89">
            <w:pPr>
              <w:pStyle w:val="BodyText"/>
              <w:spacing w:before="100" w:after="100"/>
              <w:rPr>
                <w:bCs/>
              </w:rPr>
            </w:pPr>
            <w:r>
              <w:rPr>
                <w:bCs/>
              </w:rPr>
              <w:t>No</w:t>
            </w:r>
          </w:p>
        </w:tc>
      </w:tr>
      <w:tr w:rsidR="000D07EA" w14:paraId="4EFCE4BA" w14:textId="77777777">
        <w:trPr>
          <w:trHeight w:val="63"/>
          <w:tblHeader/>
        </w:trPr>
        <w:tc>
          <w:tcPr>
            <w:tcW w:w="5875" w:type="dxa"/>
          </w:tcPr>
          <w:p w14:paraId="0AA34427" w14:textId="77777777" w:rsidR="000D07EA" w:rsidRDefault="00BE7C89">
            <w:pPr>
              <w:pStyle w:val="BodyText"/>
              <w:spacing w:before="100" w:after="100"/>
              <w:rPr>
                <w:bCs/>
              </w:rPr>
            </w:pPr>
            <w:r>
              <w:rPr>
                <w:bCs/>
              </w:rPr>
              <w:t>All other call and data usage</w:t>
            </w:r>
          </w:p>
        </w:tc>
        <w:tc>
          <w:tcPr>
            <w:tcW w:w="2880" w:type="dxa"/>
          </w:tcPr>
          <w:p w14:paraId="347A32D5" w14:textId="77777777" w:rsidR="000D07EA" w:rsidRDefault="00BE7C89">
            <w:pPr>
              <w:pStyle w:val="BodyText"/>
              <w:spacing w:before="100" w:after="100"/>
              <w:rPr>
                <w:bCs/>
              </w:rPr>
            </w:pPr>
            <w:r>
              <w:rPr>
                <w:bCs/>
              </w:rPr>
              <w:t>No</w:t>
            </w:r>
          </w:p>
        </w:tc>
      </w:tr>
    </w:tbl>
    <w:p w14:paraId="56DF9B1F" w14:textId="77777777" w:rsidR="000D07EA" w:rsidRDefault="00BE7C89">
      <w:pPr>
        <w:pStyle w:val="BodyText"/>
        <w:spacing w:after="0"/>
        <w:ind w:left="720"/>
        <w:rPr>
          <w:sz w:val="16"/>
          <w:szCs w:val="16"/>
        </w:rPr>
      </w:pPr>
      <w:r>
        <w:rPr>
          <w:b/>
          <w:sz w:val="16"/>
          <w:szCs w:val="16"/>
        </w:rPr>
        <w:t>*Note:</w:t>
      </w:r>
      <w:r>
        <w:rPr>
          <w:sz w:val="16"/>
          <w:szCs w:val="16"/>
        </w:rPr>
        <w:t xml:space="preserve"> Data usage on selected Internet sites may be unmetered pursuant to offers or promotions from Optus and/or its affiliates. In such circumstances, this data usage will not count towards </w:t>
      </w:r>
      <w:r>
        <w:rPr>
          <w:i/>
          <w:sz w:val="16"/>
          <w:szCs w:val="16"/>
        </w:rPr>
        <w:t xml:space="preserve">your </w:t>
      </w:r>
      <w:r>
        <w:rPr>
          <w:sz w:val="16"/>
          <w:szCs w:val="16"/>
        </w:rPr>
        <w:t>plan's Included Data.</w:t>
      </w:r>
    </w:p>
    <w:p w14:paraId="5B4ECF26" w14:textId="77777777" w:rsidR="000D07EA" w:rsidRDefault="000D07EA">
      <w:pPr>
        <w:pStyle w:val="BodyText"/>
      </w:pPr>
    </w:p>
    <w:p w14:paraId="796DCB4E" w14:textId="77777777" w:rsidR="000D07EA" w:rsidRDefault="00BE7C89">
      <w:pPr>
        <w:pStyle w:val="BodyText"/>
        <w:ind w:left="720"/>
        <w:rPr>
          <w:b/>
        </w:rPr>
      </w:pPr>
      <w:r>
        <w:rPr>
          <w:b/>
        </w:rPr>
        <w:t>Table 1C –Unlimited BlackBerry POP3 Email &amp; Browsing (for customers with a BlackBerry using an operating system version 7.1 or earlier):</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875"/>
        <w:gridCol w:w="3780"/>
      </w:tblGrid>
      <w:tr w:rsidR="000D07EA" w14:paraId="7DA5AEF5" w14:textId="77777777">
        <w:trPr>
          <w:trHeight w:val="63"/>
          <w:tblHeader/>
        </w:trPr>
        <w:tc>
          <w:tcPr>
            <w:tcW w:w="5875" w:type="dxa"/>
          </w:tcPr>
          <w:p w14:paraId="041D5BC3" w14:textId="77777777" w:rsidR="000D07EA" w:rsidRDefault="00BE7C89">
            <w:pPr>
              <w:pStyle w:val="BodyText"/>
              <w:spacing w:before="100" w:after="100"/>
              <w:rPr>
                <w:b/>
                <w:snapToGrid w:val="0"/>
              </w:rPr>
            </w:pPr>
            <w:r>
              <w:rPr>
                <w:b/>
                <w:snapToGrid w:val="0"/>
              </w:rPr>
              <w:t>Usage Type</w:t>
            </w:r>
          </w:p>
        </w:tc>
        <w:tc>
          <w:tcPr>
            <w:tcW w:w="3780" w:type="dxa"/>
          </w:tcPr>
          <w:p w14:paraId="7555F505" w14:textId="77777777" w:rsidR="000D07EA" w:rsidRDefault="00BE7C89">
            <w:pPr>
              <w:pStyle w:val="BodyText"/>
              <w:spacing w:before="100" w:after="100"/>
              <w:rPr>
                <w:b/>
                <w:snapToGrid w:val="0"/>
              </w:rPr>
            </w:pPr>
            <w:r>
              <w:rPr>
                <w:b/>
                <w:snapToGrid w:val="0"/>
              </w:rPr>
              <w:t xml:space="preserve">Part of Unlimited BlackBerry POP 3 Email &amp; Browsing </w:t>
            </w:r>
          </w:p>
        </w:tc>
      </w:tr>
      <w:tr w:rsidR="000D07EA" w14:paraId="5E0D1B7B" w14:textId="77777777">
        <w:trPr>
          <w:trHeight w:val="247"/>
        </w:trPr>
        <w:tc>
          <w:tcPr>
            <w:tcW w:w="5875" w:type="dxa"/>
          </w:tcPr>
          <w:p w14:paraId="5835EDCE" w14:textId="77777777" w:rsidR="000D07EA" w:rsidRDefault="00BE7C89">
            <w:pPr>
              <w:pStyle w:val="BodyText"/>
              <w:spacing w:before="100" w:after="100"/>
              <w:rPr>
                <w:snapToGrid w:val="0"/>
              </w:rPr>
            </w:pPr>
            <w:r>
              <w:rPr>
                <w:snapToGrid w:val="0"/>
              </w:rPr>
              <w:t>BlackBerry Email (POP3)</w:t>
            </w:r>
          </w:p>
        </w:tc>
        <w:tc>
          <w:tcPr>
            <w:tcW w:w="3780" w:type="dxa"/>
          </w:tcPr>
          <w:p w14:paraId="27F0DAF8" w14:textId="77777777" w:rsidR="000D07EA" w:rsidRDefault="00BE7C89">
            <w:pPr>
              <w:pStyle w:val="BodyText"/>
              <w:spacing w:before="100" w:after="100"/>
              <w:rPr>
                <w:snapToGrid w:val="0"/>
              </w:rPr>
            </w:pPr>
            <w:r>
              <w:rPr>
                <w:snapToGrid w:val="0"/>
              </w:rPr>
              <w:t>Yes</w:t>
            </w:r>
          </w:p>
        </w:tc>
      </w:tr>
      <w:tr w:rsidR="000D07EA" w14:paraId="1A5469B2" w14:textId="77777777">
        <w:trPr>
          <w:trHeight w:val="247"/>
        </w:trPr>
        <w:tc>
          <w:tcPr>
            <w:tcW w:w="5875" w:type="dxa"/>
          </w:tcPr>
          <w:p w14:paraId="37E43126" w14:textId="77777777" w:rsidR="000D07EA" w:rsidRDefault="00BE7C89">
            <w:pPr>
              <w:pStyle w:val="BodyText"/>
              <w:spacing w:before="100" w:after="100"/>
              <w:rPr>
                <w:snapToGrid w:val="0"/>
              </w:rPr>
            </w:pPr>
            <w:r>
              <w:rPr>
                <w:snapToGrid w:val="0"/>
              </w:rPr>
              <w:lastRenderedPageBreak/>
              <w:t xml:space="preserve">Internet Browsing through the BlackBerry Browser </w:t>
            </w:r>
          </w:p>
        </w:tc>
        <w:tc>
          <w:tcPr>
            <w:tcW w:w="3780" w:type="dxa"/>
          </w:tcPr>
          <w:p w14:paraId="483E551F" w14:textId="77777777" w:rsidR="000D07EA" w:rsidRDefault="00BE7C89">
            <w:pPr>
              <w:pStyle w:val="BodyText"/>
              <w:spacing w:before="100" w:after="100"/>
              <w:rPr>
                <w:snapToGrid w:val="0"/>
              </w:rPr>
            </w:pPr>
            <w:r>
              <w:rPr>
                <w:snapToGrid w:val="0"/>
              </w:rPr>
              <w:t>Yes</w:t>
            </w:r>
          </w:p>
        </w:tc>
      </w:tr>
      <w:tr w:rsidR="000D07EA" w14:paraId="587D8610" w14:textId="77777777">
        <w:trPr>
          <w:trHeight w:val="509"/>
        </w:trPr>
        <w:tc>
          <w:tcPr>
            <w:tcW w:w="5875" w:type="dxa"/>
          </w:tcPr>
          <w:p w14:paraId="33678691" w14:textId="77777777" w:rsidR="000D07EA" w:rsidRDefault="00BE7C89">
            <w:pPr>
              <w:pStyle w:val="BodyText"/>
              <w:spacing w:before="100" w:after="100"/>
              <w:rPr>
                <w:snapToGrid w:val="0"/>
              </w:rPr>
            </w:pPr>
            <w:r>
              <w:rPr>
                <w:snapToGrid w:val="0"/>
              </w:rPr>
              <w:t xml:space="preserve">Optus Zoo downloads and subscriptions </w:t>
            </w:r>
          </w:p>
        </w:tc>
        <w:tc>
          <w:tcPr>
            <w:tcW w:w="3780" w:type="dxa"/>
          </w:tcPr>
          <w:p w14:paraId="25A2254B" w14:textId="77777777" w:rsidR="000D07EA" w:rsidRDefault="00BE7C89">
            <w:pPr>
              <w:pStyle w:val="BodyText"/>
              <w:spacing w:before="100" w:after="100"/>
            </w:pPr>
            <w:r>
              <w:rPr>
                <w:snapToGrid w:val="0"/>
              </w:rPr>
              <w:t>No</w:t>
            </w:r>
          </w:p>
        </w:tc>
      </w:tr>
      <w:tr w:rsidR="000D07EA" w14:paraId="7C079E8D" w14:textId="77777777">
        <w:trPr>
          <w:trHeight w:val="247"/>
        </w:trPr>
        <w:tc>
          <w:tcPr>
            <w:tcW w:w="5875" w:type="dxa"/>
          </w:tcPr>
          <w:p w14:paraId="628CE927" w14:textId="77777777" w:rsidR="000D07EA" w:rsidRDefault="00BE7C89">
            <w:pPr>
              <w:pStyle w:val="BodyText"/>
              <w:spacing w:before="100" w:after="100"/>
              <w:rPr>
                <w:snapToGrid w:val="0"/>
              </w:rPr>
            </w:pPr>
            <w:r>
              <w:rPr>
                <w:snapToGrid w:val="0"/>
              </w:rPr>
              <w:t xml:space="preserve">Optus Zoo GPRS WAP browsing </w:t>
            </w:r>
          </w:p>
        </w:tc>
        <w:tc>
          <w:tcPr>
            <w:tcW w:w="3780" w:type="dxa"/>
          </w:tcPr>
          <w:p w14:paraId="52D97919" w14:textId="77777777" w:rsidR="000D07EA" w:rsidRDefault="00BE7C89">
            <w:pPr>
              <w:pStyle w:val="BodyText"/>
              <w:spacing w:before="100" w:after="100"/>
              <w:rPr>
                <w:snapToGrid w:val="0"/>
              </w:rPr>
            </w:pPr>
            <w:r>
              <w:rPr>
                <w:snapToGrid w:val="0"/>
              </w:rPr>
              <w:t>No</w:t>
            </w:r>
          </w:p>
        </w:tc>
      </w:tr>
      <w:tr w:rsidR="000D07EA" w14:paraId="0EE4EE3A" w14:textId="77777777">
        <w:trPr>
          <w:trHeight w:val="247"/>
        </w:trPr>
        <w:tc>
          <w:tcPr>
            <w:tcW w:w="5875" w:type="dxa"/>
          </w:tcPr>
          <w:p w14:paraId="4B5A8BB2" w14:textId="77777777" w:rsidR="000D07EA" w:rsidRDefault="00BE7C89">
            <w:pPr>
              <w:pStyle w:val="BodyText"/>
              <w:spacing w:before="100" w:after="100"/>
            </w:pPr>
            <w:r>
              <w:t>Applications from Optus and third party applications that require a BlackBerry Data connection</w:t>
            </w:r>
          </w:p>
        </w:tc>
        <w:tc>
          <w:tcPr>
            <w:tcW w:w="3780" w:type="dxa"/>
          </w:tcPr>
          <w:p w14:paraId="6BAE0AE5" w14:textId="77777777" w:rsidR="000D07EA" w:rsidRDefault="00BE7C89">
            <w:pPr>
              <w:pStyle w:val="BodyText"/>
              <w:spacing w:before="100" w:after="100"/>
              <w:rPr>
                <w:snapToGrid w:val="0"/>
              </w:rPr>
            </w:pPr>
            <w:r>
              <w:rPr>
                <w:snapToGrid w:val="0"/>
              </w:rPr>
              <w:t>Yes</w:t>
            </w:r>
          </w:p>
        </w:tc>
      </w:tr>
      <w:tr w:rsidR="000D07EA" w14:paraId="50071A83" w14:textId="77777777">
        <w:trPr>
          <w:trHeight w:val="247"/>
        </w:trPr>
        <w:tc>
          <w:tcPr>
            <w:tcW w:w="5875" w:type="dxa"/>
          </w:tcPr>
          <w:p w14:paraId="7F93E46F" w14:textId="77777777" w:rsidR="000D07EA" w:rsidRDefault="00BE7C89">
            <w:pPr>
              <w:pStyle w:val="BodyText"/>
              <w:spacing w:before="100" w:after="100"/>
              <w:rPr>
                <w:snapToGrid w:val="0"/>
              </w:rPr>
            </w:pPr>
            <w:r>
              <w:rPr>
                <w:snapToGrid w:val="0"/>
              </w:rPr>
              <w:t>All other usage types (e.g. media streaming, data used while roaming internationally)</w:t>
            </w:r>
          </w:p>
        </w:tc>
        <w:tc>
          <w:tcPr>
            <w:tcW w:w="3780" w:type="dxa"/>
          </w:tcPr>
          <w:p w14:paraId="67AF6D75" w14:textId="77777777" w:rsidR="000D07EA" w:rsidRDefault="00BE7C89">
            <w:pPr>
              <w:pStyle w:val="BodyText"/>
              <w:spacing w:before="100" w:after="100"/>
              <w:rPr>
                <w:snapToGrid w:val="0"/>
              </w:rPr>
            </w:pPr>
            <w:r>
              <w:rPr>
                <w:snapToGrid w:val="0"/>
              </w:rPr>
              <w:t>No</w:t>
            </w:r>
          </w:p>
        </w:tc>
      </w:tr>
    </w:tbl>
    <w:p w14:paraId="3B90FAD7" w14:textId="77777777" w:rsidR="000D07EA" w:rsidRDefault="000D07EA">
      <w:pPr>
        <w:pStyle w:val="BodyText"/>
      </w:pPr>
    </w:p>
    <w:p w14:paraId="43F3EF7C" w14:textId="77777777" w:rsidR="000D07EA" w:rsidRDefault="00BE7C89">
      <w:pPr>
        <w:pStyle w:val="BodyText"/>
        <w:ind w:left="720"/>
        <w:rPr>
          <w:b/>
        </w:rPr>
      </w:pPr>
      <w:r>
        <w:rPr>
          <w:b/>
        </w:rPr>
        <w:t>Table 2A – Charges and Plan Inclusions for the Business SIM Plans (Mar 2013)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401"/>
        <w:gridCol w:w="1558"/>
        <w:gridCol w:w="1558"/>
        <w:gridCol w:w="1557"/>
        <w:gridCol w:w="1557"/>
        <w:gridCol w:w="1557"/>
      </w:tblGrid>
      <w:tr w:rsidR="000D07EA" w14:paraId="0BF3BB5A" w14:textId="77777777">
        <w:trPr>
          <w:trHeight w:val="63"/>
          <w:tblHeader/>
        </w:trPr>
        <w:tc>
          <w:tcPr>
            <w:tcW w:w="1178" w:type="pct"/>
            <w:shd w:val="clear" w:color="auto" w:fill="auto"/>
          </w:tcPr>
          <w:p w14:paraId="003738AD" w14:textId="77777777" w:rsidR="000D07EA" w:rsidRDefault="000D07EA">
            <w:pPr>
              <w:pStyle w:val="BodyText"/>
              <w:spacing w:before="100" w:after="100"/>
              <w:rPr>
                <w:rFonts w:eastAsia="Calibri"/>
                <w:b/>
              </w:rPr>
            </w:pPr>
          </w:p>
        </w:tc>
        <w:tc>
          <w:tcPr>
            <w:tcW w:w="764" w:type="pct"/>
            <w:shd w:val="clear" w:color="auto" w:fill="auto"/>
            <w:vAlign w:val="center"/>
          </w:tcPr>
          <w:p w14:paraId="6185E30B" w14:textId="77777777" w:rsidR="000D07EA" w:rsidRDefault="00BE7C89">
            <w:pPr>
              <w:pStyle w:val="BodyText"/>
              <w:spacing w:before="100" w:after="100"/>
              <w:rPr>
                <w:b/>
              </w:rPr>
            </w:pPr>
            <w:r>
              <w:rPr>
                <w:b/>
              </w:rPr>
              <w:t>$20 Bus SIM BTL Plan</w:t>
            </w:r>
          </w:p>
        </w:tc>
        <w:tc>
          <w:tcPr>
            <w:tcW w:w="764" w:type="pct"/>
            <w:shd w:val="clear" w:color="auto" w:fill="auto"/>
          </w:tcPr>
          <w:p w14:paraId="6863FE8D" w14:textId="77777777" w:rsidR="000D07EA" w:rsidRDefault="00BE7C89">
            <w:pPr>
              <w:pStyle w:val="BodyText"/>
              <w:spacing w:before="100" w:after="100"/>
              <w:rPr>
                <w:b/>
              </w:rPr>
            </w:pPr>
            <w:r>
              <w:rPr>
                <w:b/>
              </w:rPr>
              <w:t xml:space="preserve">$20 Bus SIM Plan </w:t>
            </w:r>
          </w:p>
        </w:tc>
        <w:tc>
          <w:tcPr>
            <w:tcW w:w="764" w:type="pct"/>
            <w:shd w:val="clear" w:color="auto" w:fill="auto"/>
            <w:vAlign w:val="center"/>
          </w:tcPr>
          <w:p w14:paraId="5F29627A" w14:textId="77777777" w:rsidR="000D07EA" w:rsidRDefault="00BE7C89">
            <w:pPr>
              <w:pStyle w:val="BodyText"/>
              <w:spacing w:before="100" w:after="100"/>
              <w:rPr>
                <w:b/>
              </w:rPr>
            </w:pPr>
            <w:r>
              <w:rPr>
                <w:b/>
              </w:rPr>
              <w:t xml:space="preserve">$40 Bus SIM Plan </w:t>
            </w:r>
          </w:p>
        </w:tc>
        <w:tc>
          <w:tcPr>
            <w:tcW w:w="764" w:type="pct"/>
          </w:tcPr>
          <w:p w14:paraId="51B3DACE" w14:textId="77777777" w:rsidR="000D07EA" w:rsidRDefault="00BE7C89">
            <w:pPr>
              <w:pStyle w:val="BodyText"/>
              <w:spacing w:before="100" w:after="100"/>
              <w:rPr>
                <w:b/>
              </w:rPr>
            </w:pPr>
            <w:r>
              <w:rPr>
                <w:b/>
              </w:rPr>
              <w:t>$60 Bus SIM BTL Plan</w:t>
            </w:r>
          </w:p>
        </w:tc>
        <w:tc>
          <w:tcPr>
            <w:tcW w:w="764" w:type="pct"/>
          </w:tcPr>
          <w:p w14:paraId="7BDDEDAB" w14:textId="77777777" w:rsidR="000D07EA" w:rsidRDefault="00BE7C89">
            <w:pPr>
              <w:pStyle w:val="BodyText"/>
              <w:spacing w:before="100" w:after="100"/>
              <w:rPr>
                <w:b/>
              </w:rPr>
            </w:pPr>
            <w:r>
              <w:rPr>
                <w:b/>
              </w:rPr>
              <w:t xml:space="preserve">$60 Bus SIM Plan </w:t>
            </w:r>
          </w:p>
        </w:tc>
      </w:tr>
      <w:tr w:rsidR="000D07EA" w14:paraId="606FBB72" w14:textId="77777777">
        <w:trPr>
          <w:trHeight w:val="1134"/>
        </w:trPr>
        <w:tc>
          <w:tcPr>
            <w:tcW w:w="1178" w:type="pct"/>
            <w:shd w:val="clear" w:color="auto" w:fill="auto"/>
          </w:tcPr>
          <w:p w14:paraId="2067137C" w14:textId="77777777" w:rsidR="000D07EA" w:rsidRDefault="00BE7C89">
            <w:pPr>
              <w:pStyle w:val="BodyText"/>
              <w:spacing w:before="100" w:after="100"/>
              <w:rPr>
                <w:rFonts w:eastAsia="Calibri"/>
              </w:rPr>
            </w:pPr>
            <w:r>
              <w:rPr>
                <w:rFonts w:eastAsia="Calibri"/>
                <w:b/>
                <w:bCs/>
              </w:rPr>
              <w:t>Minimum Monthly charge</w:t>
            </w:r>
          </w:p>
        </w:tc>
        <w:tc>
          <w:tcPr>
            <w:tcW w:w="764" w:type="pct"/>
            <w:shd w:val="clear" w:color="auto" w:fill="auto"/>
          </w:tcPr>
          <w:p w14:paraId="2D6340D5" w14:textId="77777777" w:rsidR="000D07EA" w:rsidRDefault="00BE7C89">
            <w:pPr>
              <w:pStyle w:val="BodyText"/>
              <w:spacing w:before="100" w:after="100"/>
              <w:jc w:val="center"/>
              <w:rPr>
                <w:rFonts w:eastAsia="Calibri"/>
              </w:rPr>
            </w:pPr>
            <w:r>
              <w:rPr>
                <w:rFonts w:eastAsia="Calibri"/>
              </w:rPr>
              <w:t>$20</w:t>
            </w:r>
          </w:p>
        </w:tc>
        <w:tc>
          <w:tcPr>
            <w:tcW w:w="764" w:type="pct"/>
            <w:shd w:val="clear" w:color="auto" w:fill="auto"/>
          </w:tcPr>
          <w:p w14:paraId="53BAFB7A" w14:textId="77777777" w:rsidR="000D07EA" w:rsidRDefault="00BE7C89">
            <w:pPr>
              <w:pStyle w:val="BodyText"/>
              <w:spacing w:before="100" w:after="100"/>
              <w:jc w:val="center"/>
              <w:rPr>
                <w:rFonts w:eastAsia="Calibri"/>
              </w:rPr>
            </w:pPr>
            <w:r>
              <w:rPr>
                <w:rFonts w:eastAsia="Calibri"/>
              </w:rPr>
              <w:t>$20</w:t>
            </w:r>
          </w:p>
        </w:tc>
        <w:tc>
          <w:tcPr>
            <w:tcW w:w="764" w:type="pct"/>
            <w:shd w:val="clear" w:color="auto" w:fill="auto"/>
          </w:tcPr>
          <w:p w14:paraId="474E57D4" w14:textId="77777777" w:rsidR="000D07EA" w:rsidRDefault="00BE7C89">
            <w:pPr>
              <w:pStyle w:val="BodyText"/>
              <w:spacing w:before="100" w:after="100"/>
              <w:jc w:val="center"/>
              <w:rPr>
                <w:rFonts w:eastAsia="Calibri"/>
              </w:rPr>
            </w:pPr>
            <w:r>
              <w:rPr>
                <w:rFonts w:eastAsia="Calibri"/>
              </w:rPr>
              <w:t>$40</w:t>
            </w:r>
          </w:p>
        </w:tc>
        <w:tc>
          <w:tcPr>
            <w:tcW w:w="764" w:type="pct"/>
          </w:tcPr>
          <w:p w14:paraId="238C380F" w14:textId="77777777" w:rsidR="000D07EA" w:rsidRDefault="00BE7C89">
            <w:pPr>
              <w:pStyle w:val="BodyText"/>
              <w:spacing w:before="100" w:after="100"/>
              <w:jc w:val="center"/>
              <w:rPr>
                <w:rFonts w:eastAsia="Calibri"/>
              </w:rPr>
            </w:pPr>
            <w:r>
              <w:rPr>
                <w:rFonts w:eastAsia="Calibri"/>
              </w:rPr>
              <w:t>$60</w:t>
            </w:r>
          </w:p>
        </w:tc>
        <w:tc>
          <w:tcPr>
            <w:tcW w:w="764" w:type="pct"/>
          </w:tcPr>
          <w:p w14:paraId="554F5B55" w14:textId="77777777" w:rsidR="000D07EA" w:rsidRDefault="00BE7C89">
            <w:pPr>
              <w:pStyle w:val="BodyText"/>
              <w:spacing w:before="100" w:after="100"/>
              <w:jc w:val="center"/>
              <w:rPr>
                <w:rFonts w:eastAsia="Calibri"/>
              </w:rPr>
            </w:pPr>
            <w:r>
              <w:rPr>
                <w:rFonts w:eastAsia="Calibri"/>
              </w:rPr>
              <w:t>$60</w:t>
            </w:r>
          </w:p>
        </w:tc>
      </w:tr>
      <w:tr w:rsidR="000D07EA" w14:paraId="12FE7134" w14:textId="77777777">
        <w:trPr>
          <w:trHeight w:val="1134"/>
        </w:trPr>
        <w:tc>
          <w:tcPr>
            <w:tcW w:w="1178" w:type="pct"/>
            <w:shd w:val="clear" w:color="auto" w:fill="auto"/>
          </w:tcPr>
          <w:p w14:paraId="3976F003" w14:textId="77777777" w:rsidR="000D07EA" w:rsidRDefault="00BE7C89">
            <w:pPr>
              <w:pStyle w:val="BodyText"/>
              <w:spacing w:before="100" w:after="100"/>
              <w:rPr>
                <w:rFonts w:eastAsia="Calibri"/>
              </w:rPr>
            </w:pPr>
            <w:r>
              <w:rPr>
                <w:rFonts w:eastAsia="Calibri"/>
                <w:b/>
                <w:bCs/>
              </w:rPr>
              <w:t xml:space="preserve">'Included Data' </w:t>
            </w:r>
            <w:r>
              <w:rPr>
                <w:rFonts w:eastAsia="Calibri"/>
                <w:bCs/>
              </w:rPr>
              <w:t>(each month)</w:t>
            </w:r>
          </w:p>
        </w:tc>
        <w:tc>
          <w:tcPr>
            <w:tcW w:w="764" w:type="pct"/>
            <w:shd w:val="clear" w:color="auto" w:fill="auto"/>
          </w:tcPr>
          <w:p w14:paraId="22E276A3" w14:textId="77777777" w:rsidR="000D07EA" w:rsidRDefault="00BE7C89">
            <w:pPr>
              <w:pStyle w:val="BodyText"/>
              <w:spacing w:before="100" w:after="100"/>
              <w:jc w:val="center"/>
              <w:rPr>
                <w:rFonts w:eastAsia="Calibri"/>
              </w:rPr>
            </w:pPr>
            <w:r>
              <w:rPr>
                <w:rFonts w:eastAsia="Calibri"/>
              </w:rPr>
              <w:t>500MB</w:t>
            </w:r>
          </w:p>
        </w:tc>
        <w:tc>
          <w:tcPr>
            <w:tcW w:w="764" w:type="pct"/>
            <w:shd w:val="clear" w:color="auto" w:fill="auto"/>
          </w:tcPr>
          <w:p w14:paraId="64EE12FF" w14:textId="77777777" w:rsidR="000D07EA" w:rsidRDefault="00BE7C89">
            <w:pPr>
              <w:pStyle w:val="BodyText"/>
              <w:spacing w:before="100" w:after="100"/>
              <w:jc w:val="center"/>
              <w:rPr>
                <w:rFonts w:eastAsia="Calibri"/>
              </w:rPr>
            </w:pPr>
            <w:r>
              <w:rPr>
                <w:rFonts w:eastAsia="Calibri"/>
              </w:rPr>
              <w:t>200MB</w:t>
            </w:r>
          </w:p>
        </w:tc>
        <w:tc>
          <w:tcPr>
            <w:tcW w:w="764" w:type="pct"/>
            <w:shd w:val="clear" w:color="auto" w:fill="auto"/>
          </w:tcPr>
          <w:p w14:paraId="1C5B9AEE" w14:textId="77777777" w:rsidR="000D07EA" w:rsidRDefault="00BE7C89">
            <w:pPr>
              <w:pStyle w:val="BodyText"/>
              <w:spacing w:before="100" w:after="100"/>
              <w:jc w:val="center"/>
              <w:rPr>
                <w:rFonts w:eastAsia="Calibri"/>
              </w:rPr>
            </w:pPr>
            <w:r>
              <w:rPr>
                <w:rFonts w:eastAsia="Calibri"/>
              </w:rPr>
              <w:t>1GB</w:t>
            </w:r>
          </w:p>
        </w:tc>
        <w:tc>
          <w:tcPr>
            <w:tcW w:w="764" w:type="pct"/>
          </w:tcPr>
          <w:p w14:paraId="01534B38" w14:textId="77777777" w:rsidR="000D07EA" w:rsidRDefault="00BE7C89">
            <w:pPr>
              <w:pStyle w:val="BodyText"/>
              <w:spacing w:before="100" w:after="100"/>
              <w:jc w:val="center"/>
              <w:rPr>
                <w:rFonts w:eastAsia="Calibri"/>
              </w:rPr>
            </w:pPr>
            <w:r>
              <w:rPr>
                <w:rFonts w:eastAsia="Calibri"/>
              </w:rPr>
              <w:t>2GB</w:t>
            </w:r>
          </w:p>
        </w:tc>
        <w:tc>
          <w:tcPr>
            <w:tcW w:w="764" w:type="pct"/>
          </w:tcPr>
          <w:p w14:paraId="73796401" w14:textId="77777777" w:rsidR="000D07EA" w:rsidRDefault="00BE7C89">
            <w:pPr>
              <w:pStyle w:val="BodyText"/>
              <w:spacing w:before="100" w:after="100"/>
              <w:jc w:val="center"/>
              <w:rPr>
                <w:rFonts w:eastAsia="Calibri"/>
              </w:rPr>
            </w:pPr>
            <w:r>
              <w:rPr>
                <w:rFonts w:eastAsia="Calibri"/>
              </w:rPr>
              <w:t>2GB</w:t>
            </w:r>
          </w:p>
        </w:tc>
      </w:tr>
      <w:tr w:rsidR="000D07EA" w14:paraId="55FA0292" w14:textId="77777777">
        <w:trPr>
          <w:trHeight w:val="63"/>
        </w:trPr>
        <w:tc>
          <w:tcPr>
            <w:tcW w:w="1178" w:type="pct"/>
            <w:shd w:val="clear" w:color="auto" w:fill="auto"/>
          </w:tcPr>
          <w:p w14:paraId="46499A0D" w14:textId="77777777" w:rsidR="000D07EA" w:rsidRDefault="00BE7C89">
            <w:pPr>
              <w:pStyle w:val="BodyText"/>
              <w:spacing w:before="100" w:after="100"/>
              <w:rPr>
                <w:rFonts w:eastAsia="Calibri"/>
                <w:b/>
                <w:bCs/>
              </w:rPr>
            </w:pPr>
            <w:r>
              <w:rPr>
                <w:rFonts w:eastAsia="Calibri"/>
                <w:b/>
                <w:bCs/>
              </w:rPr>
              <w:t>Unlimited Blackberry POP3 Email and Browsing (</w:t>
            </w:r>
            <w:r>
              <w:rPr>
                <w:b/>
              </w:rPr>
              <w:t>for customers with a BlackBerry using an operating system version 7.1 or earlier)</w:t>
            </w:r>
          </w:p>
        </w:tc>
        <w:tc>
          <w:tcPr>
            <w:tcW w:w="764" w:type="pct"/>
            <w:shd w:val="clear" w:color="auto" w:fill="auto"/>
          </w:tcPr>
          <w:p w14:paraId="10A7CD7A" w14:textId="77777777" w:rsidR="000D07EA" w:rsidRDefault="00BE7C89">
            <w:pPr>
              <w:pStyle w:val="BodyText"/>
              <w:spacing w:before="100" w:after="100"/>
              <w:jc w:val="center"/>
              <w:rPr>
                <w:rFonts w:eastAsia="Calibri"/>
              </w:rPr>
            </w:pPr>
            <w:r>
              <w:rPr>
                <w:rFonts w:eastAsia="Calibri"/>
              </w:rPr>
              <w:t>Yes</w:t>
            </w:r>
          </w:p>
        </w:tc>
        <w:tc>
          <w:tcPr>
            <w:tcW w:w="764" w:type="pct"/>
            <w:shd w:val="clear" w:color="auto" w:fill="auto"/>
          </w:tcPr>
          <w:p w14:paraId="10827240" w14:textId="77777777" w:rsidR="000D07EA" w:rsidRDefault="00BE7C89">
            <w:pPr>
              <w:pStyle w:val="BodyText"/>
              <w:spacing w:before="100" w:after="100"/>
              <w:jc w:val="center"/>
              <w:rPr>
                <w:rFonts w:eastAsia="Calibri"/>
              </w:rPr>
            </w:pPr>
            <w:r>
              <w:rPr>
                <w:rFonts w:eastAsia="Calibri"/>
              </w:rPr>
              <w:t>Yes</w:t>
            </w:r>
          </w:p>
        </w:tc>
        <w:tc>
          <w:tcPr>
            <w:tcW w:w="764" w:type="pct"/>
            <w:shd w:val="clear" w:color="auto" w:fill="auto"/>
          </w:tcPr>
          <w:p w14:paraId="7765CC2D" w14:textId="77777777" w:rsidR="000D07EA" w:rsidRDefault="00BE7C89">
            <w:pPr>
              <w:pStyle w:val="BodyText"/>
              <w:spacing w:before="100" w:after="100"/>
              <w:jc w:val="center"/>
              <w:rPr>
                <w:rFonts w:eastAsia="Calibri"/>
              </w:rPr>
            </w:pPr>
            <w:r>
              <w:rPr>
                <w:rFonts w:eastAsia="Calibri"/>
              </w:rPr>
              <w:t>Yes</w:t>
            </w:r>
          </w:p>
        </w:tc>
        <w:tc>
          <w:tcPr>
            <w:tcW w:w="764" w:type="pct"/>
          </w:tcPr>
          <w:p w14:paraId="1756CCC4" w14:textId="77777777" w:rsidR="000D07EA" w:rsidRDefault="00BE7C89">
            <w:pPr>
              <w:pStyle w:val="BodyText"/>
              <w:spacing w:before="100" w:after="100"/>
              <w:jc w:val="center"/>
              <w:rPr>
                <w:rFonts w:eastAsia="Calibri"/>
              </w:rPr>
            </w:pPr>
            <w:r>
              <w:rPr>
                <w:rFonts w:eastAsia="Calibri"/>
              </w:rPr>
              <w:t>Yes</w:t>
            </w:r>
          </w:p>
        </w:tc>
        <w:tc>
          <w:tcPr>
            <w:tcW w:w="764" w:type="pct"/>
          </w:tcPr>
          <w:p w14:paraId="77FA3CC3" w14:textId="77777777" w:rsidR="000D07EA" w:rsidRDefault="00BE7C89">
            <w:pPr>
              <w:pStyle w:val="BodyText"/>
              <w:spacing w:before="100" w:after="100"/>
              <w:jc w:val="center"/>
              <w:rPr>
                <w:rFonts w:eastAsia="Calibri"/>
              </w:rPr>
            </w:pPr>
            <w:r>
              <w:rPr>
                <w:rFonts w:eastAsia="Calibri"/>
              </w:rPr>
              <w:t>Yes</w:t>
            </w:r>
          </w:p>
        </w:tc>
      </w:tr>
      <w:tr w:rsidR="000D07EA" w14:paraId="26F9DFD3" w14:textId="77777777">
        <w:tc>
          <w:tcPr>
            <w:tcW w:w="1178" w:type="pct"/>
            <w:shd w:val="clear" w:color="auto" w:fill="auto"/>
          </w:tcPr>
          <w:p w14:paraId="73416D15" w14:textId="77777777" w:rsidR="000D07EA" w:rsidRDefault="00BE7C89">
            <w:pPr>
              <w:pStyle w:val="BodyText"/>
              <w:spacing w:before="100" w:after="100"/>
              <w:rPr>
                <w:rFonts w:eastAsia="Calibri"/>
              </w:rPr>
            </w:pPr>
            <w:r>
              <w:rPr>
                <w:rFonts w:eastAsia="Calibri"/>
                <w:b/>
                <w:bCs/>
              </w:rPr>
              <w:t xml:space="preserve">Included Value </w:t>
            </w:r>
            <w:r>
              <w:rPr>
                <w:rFonts w:eastAsia="Calibri"/>
                <w:bCs/>
              </w:rPr>
              <w:t>(each month)</w:t>
            </w:r>
          </w:p>
        </w:tc>
        <w:tc>
          <w:tcPr>
            <w:tcW w:w="764" w:type="pct"/>
            <w:shd w:val="clear" w:color="auto" w:fill="auto"/>
          </w:tcPr>
          <w:p w14:paraId="3002BADC" w14:textId="77777777" w:rsidR="000D07EA" w:rsidRDefault="00BE7C89">
            <w:pPr>
              <w:pStyle w:val="BodyText"/>
              <w:spacing w:before="100" w:after="100"/>
              <w:jc w:val="center"/>
              <w:rPr>
                <w:rFonts w:eastAsia="Calibri"/>
              </w:rPr>
            </w:pPr>
            <w:r>
              <w:rPr>
                <w:rFonts w:eastAsia="Calibri"/>
              </w:rPr>
              <w:t>$100</w:t>
            </w:r>
          </w:p>
        </w:tc>
        <w:tc>
          <w:tcPr>
            <w:tcW w:w="764" w:type="pct"/>
            <w:shd w:val="clear" w:color="auto" w:fill="auto"/>
          </w:tcPr>
          <w:p w14:paraId="73C76A0D" w14:textId="77777777" w:rsidR="000D07EA" w:rsidRDefault="00BE7C89">
            <w:pPr>
              <w:pStyle w:val="BodyText"/>
              <w:spacing w:before="100" w:after="100"/>
              <w:jc w:val="center"/>
              <w:rPr>
                <w:rFonts w:eastAsia="Calibri"/>
              </w:rPr>
            </w:pPr>
            <w:r>
              <w:rPr>
                <w:rFonts w:eastAsia="Calibri"/>
              </w:rPr>
              <w:t>$200</w:t>
            </w:r>
          </w:p>
        </w:tc>
        <w:tc>
          <w:tcPr>
            <w:tcW w:w="764" w:type="pct"/>
            <w:shd w:val="clear" w:color="auto" w:fill="auto"/>
          </w:tcPr>
          <w:p w14:paraId="443C76A6" w14:textId="77777777" w:rsidR="000D07EA" w:rsidRDefault="00BE7C89">
            <w:pPr>
              <w:pStyle w:val="BodyText"/>
              <w:spacing w:before="100" w:after="100"/>
              <w:jc w:val="center"/>
              <w:rPr>
                <w:rFonts w:eastAsia="Calibri"/>
              </w:rPr>
            </w:pPr>
            <w:r>
              <w:rPr>
                <w:rFonts w:eastAsia="Calibri"/>
              </w:rPr>
              <w:t>$500 +</w:t>
            </w:r>
          </w:p>
          <w:p w14:paraId="5EA096F1" w14:textId="77777777" w:rsidR="000D07EA" w:rsidRDefault="00BE7C89">
            <w:pPr>
              <w:pStyle w:val="BodyText"/>
              <w:spacing w:before="100" w:after="100"/>
              <w:jc w:val="center"/>
              <w:rPr>
                <w:rFonts w:eastAsia="Calibri"/>
              </w:rPr>
            </w:pPr>
            <w:r>
              <w:rPr>
                <w:rFonts w:eastAsia="Calibri"/>
              </w:rPr>
              <w:t>unlimited standard national SMS</w:t>
            </w:r>
          </w:p>
        </w:tc>
        <w:tc>
          <w:tcPr>
            <w:tcW w:w="764" w:type="pct"/>
          </w:tcPr>
          <w:p w14:paraId="51CB972F" w14:textId="77777777" w:rsidR="000D07EA" w:rsidRDefault="00BE7C89">
            <w:pPr>
              <w:pStyle w:val="BodyText"/>
              <w:spacing w:before="100" w:after="100"/>
              <w:rPr>
                <w:rFonts w:eastAsia="Calibri"/>
              </w:rPr>
            </w:pPr>
            <w:r>
              <w:rPr>
                <w:rFonts w:eastAsia="Calibri"/>
              </w:rPr>
              <w:t>Unlimited standard national:</w:t>
            </w:r>
          </w:p>
          <w:p w14:paraId="0A73B4AD" w14:textId="77777777" w:rsidR="000D07EA" w:rsidRDefault="00BE7C89" w:rsidP="00972274">
            <w:pPr>
              <w:pStyle w:val="BodyText"/>
              <w:numPr>
                <w:ilvl w:val="0"/>
                <w:numId w:val="58"/>
              </w:numPr>
              <w:spacing w:before="100" w:after="100"/>
              <w:ind w:left="320" w:hanging="337"/>
              <w:rPr>
                <w:rFonts w:eastAsia="Calibri"/>
              </w:rPr>
            </w:pPr>
            <w:r>
              <w:rPr>
                <w:rFonts w:eastAsia="Calibri"/>
              </w:rPr>
              <w:t>calls to Australian mobiles and fixed lines</w:t>
            </w:r>
          </w:p>
          <w:p w14:paraId="13E71915" w14:textId="77777777" w:rsidR="000D07EA" w:rsidRDefault="00BE7C89" w:rsidP="00972274">
            <w:pPr>
              <w:pStyle w:val="BodyText"/>
              <w:numPr>
                <w:ilvl w:val="0"/>
                <w:numId w:val="58"/>
              </w:numPr>
              <w:spacing w:before="100" w:after="100"/>
              <w:ind w:left="320" w:hanging="337"/>
              <w:rPr>
                <w:rFonts w:eastAsia="Calibri"/>
              </w:rPr>
            </w:pPr>
            <w:r>
              <w:rPr>
                <w:rFonts w:eastAsia="Calibri"/>
              </w:rPr>
              <w:t>SMS</w:t>
            </w:r>
          </w:p>
          <w:p w14:paraId="23B9F201" w14:textId="77777777" w:rsidR="000D07EA" w:rsidRDefault="00BE7C89" w:rsidP="00972274">
            <w:pPr>
              <w:pStyle w:val="BodyText"/>
              <w:numPr>
                <w:ilvl w:val="0"/>
                <w:numId w:val="58"/>
              </w:numPr>
              <w:spacing w:before="100" w:after="100"/>
              <w:ind w:left="320" w:hanging="337"/>
              <w:rPr>
                <w:rFonts w:eastAsia="Calibri"/>
              </w:rPr>
            </w:pPr>
            <w:r>
              <w:rPr>
                <w:rFonts w:eastAsia="Calibri"/>
              </w:rPr>
              <w:t>MMS</w:t>
            </w:r>
          </w:p>
          <w:p w14:paraId="2F85CCC2" w14:textId="77777777" w:rsidR="000D07EA" w:rsidRDefault="00BE7C89" w:rsidP="00972274">
            <w:pPr>
              <w:pStyle w:val="BodyText"/>
              <w:numPr>
                <w:ilvl w:val="0"/>
                <w:numId w:val="58"/>
              </w:numPr>
              <w:spacing w:before="100" w:after="100"/>
              <w:ind w:left="320" w:hanging="337"/>
              <w:rPr>
                <w:rFonts w:eastAsia="Calibri"/>
              </w:rPr>
            </w:pPr>
            <w:r>
              <w:rPr>
                <w:rFonts w:eastAsia="Calibri"/>
              </w:rPr>
              <w:t>calls to 13, 1300 and 1800 numbers and</w:t>
            </w:r>
          </w:p>
          <w:p w14:paraId="3B0CF163" w14:textId="77777777" w:rsidR="000D07EA" w:rsidRDefault="00BE7C89" w:rsidP="00972274">
            <w:pPr>
              <w:pStyle w:val="BodyText"/>
              <w:numPr>
                <w:ilvl w:val="0"/>
                <w:numId w:val="58"/>
              </w:numPr>
              <w:spacing w:before="100" w:after="100"/>
              <w:ind w:left="320" w:hanging="337"/>
              <w:rPr>
                <w:rFonts w:eastAsia="Calibri"/>
              </w:rPr>
            </w:pPr>
            <w:r>
              <w:rPr>
                <w:rFonts w:eastAsia="Calibri"/>
              </w:rPr>
              <w:t>Voice Mail</w:t>
            </w:r>
          </w:p>
        </w:tc>
        <w:tc>
          <w:tcPr>
            <w:tcW w:w="764" w:type="pct"/>
          </w:tcPr>
          <w:p w14:paraId="7A9544AB" w14:textId="77777777" w:rsidR="000D07EA" w:rsidRDefault="00BE7C89">
            <w:pPr>
              <w:pStyle w:val="BodyText"/>
              <w:spacing w:before="100" w:after="100"/>
              <w:rPr>
                <w:rFonts w:eastAsia="Calibri"/>
              </w:rPr>
            </w:pPr>
            <w:r>
              <w:rPr>
                <w:rFonts w:eastAsia="Calibri"/>
              </w:rPr>
              <w:t>Unlimited standard national:</w:t>
            </w:r>
          </w:p>
          <w:p w14:paraId="4B784EEE" w14:textId="77777777" w:rsidR="000D07EA" w:rsidRDefault="00BE7C89" w:rsidP="00972274">
            <w:pPr>
              <w:pStyle w:val="BodyText"/>
              <w:numPr>
                <w:ilvl w:val="0"/>
                <w:numId w:val="59"/>
              </w:numPr>
              <w:spacing w:before="100" w:after="100"/>
              <w:ind w:left="346"/>
              <w:rPr>
                <w:rFonts w:eastAsia="Calibri"/>
              </w:rPr>
            </w:pPr>
            <w:r>
              <w:rPr>
                <w:rFonts w:eastAsia="Calibri"/>
              </w:rPr>
              <w:t>calls to Australian mobiles and fixed lines</w:t>
            </w:r>
          </w:p>
          <w:p w14:paraId="6178CF35" w14:textId="77777777" w:rsidR="000D07EA" w:rsidRDefault="00BE7C89" w:rsidP="00972274">
            <w:pPr>
              <w:pStyle w:val="BodyText"/>
              <w:numPr>
                <w:ilvl w:val="0"/>
                <w:numId w:val="59"/>
              </w:numPr>
              <w:spacing w:before="100" w:after="100"/>
              <w:ind w:left="346"/>
              <w:rPr>
                <w:rFonts w:eastAsia="Calibri"/>
              </w:rPr>
            </w:pPr>
            <w:r>
              <w:rPr>
                <w:rFonts w:eastAsia="Calibri"/>
              </w:rPr>
              <w:t>SMS</w:t>
            </w:r>
          </w:p>
          <w:p w14:paraId="72B220C8" w14:textId="77777777" w:rsidR="000D07EA" w:rsidRDefault="00BE7C89" w:rsidP="00972274">
            <w:pPr>
              <w:pStyle w:val="BodyText"/>
              <w:numPr>
                <w:ilvl w:val="0"/>
                <w:numId w:val="59"/>
              </w:numPr>
              <w:spacing w:before="100" w:after="100"/>
              <w:ind w:left="346"/>
              <w:rPr>
                <w:rFonts w:eastAsia="Calibri"/>
              </w:rPr>
            </w:pPr>
            <w:r>
              <w:rPr>
                <w:rFonts w:eastAsia="Calibri"/>
              </w:rPr>
              <w:t>MMS</w:t>
            </w:r>
          </w:p>
          <w:p w14:paraId="36A09483" w14:textId="77777777" w:rsidR="000D07EA" w:rsidRDefault="00BE7C89" w:rsidP="00972274">
            <w:pPr>
              <w:pStyle w:val="BodyText"/>
              <w:numPr>
                <w:ilvl w:val="0"/>
                <w:numId w:val="59"/>
              </w:numPr>
              <w:spacing w:before="100" w:after="100"/>
              <w:ind w:left="346"/>
              <w:rPr>
                <w:rFonts w:eastAsia="Calibri"/>
              </w:rPr>
            </w:pPr>
            <w:r>
              <w:rPr>
                <w:rFonts w:eastAsia="Calibri"/>
              </w:rPr>
              <w:t>calls to 13, 1300 and 1800 numbers and</w:t>
            </w:r>
          </w:p>
          <w:p w14:paraId="496E492B" w14:textId="77777777" w:rsidR="000D07EA" w:rsidRDefault="00BE7C89" w:rsidP="00972274">
            <w:pPr>
              <w:pStyle w:val="BodyText"/>
              <w:numPr>
                <w:ilvl w:val="0"/>
                <w:numId w:val="59"/>
              </w:numPr>
              <w:spacing w:before="100" w:after="100"/>
              <w:ind w:left="346"/>
              <w:rPr>
                <w:rFonts w:eastAsia="Calibri"/>
              </w:rPr>
            </w:pPr>
            <w:r>
              <w:rPr>
                <w:rFonts w:eastAsia="Calibri"/>
              </w:rPr>
              <w:t>Voice Mail</w:t>
            </w:r>
          </w:p>
        </w:tc>
      </w:tr>
      <w:tr w:rsidR="000D07EA" w14:paraId="1EC126C2" w14:textId="77777777">
        <w:tc>
          <w:tcPr>
            <w:tcW w:w="1178" w:type="pct"/>
            <w:shd w:val="clear" w:color="auto" w:fill="auto"/>
          </w:tcPr>
          <w:p w14:paraId="5B0C5607" w14:textId="77777777" w:rsidR="000D07EA" w:rsidRDefault="00BE7C89">
            <w:pPr>
              <w:pStyle w:val="BodyText"/>
              <w:spacing w:before="100" w:after="100"/>
              <w:rPr>
                <w:rFonts w:eastAsia="Calibri"/>
              </w:rPr>
            </w:pPr>
            <w:r>
              <w:rPr>
                <w:rFonts w:eastAsia="Calibri"/>
                <w:b/>
                <w:bCs/>
              </w:rPr>
              <w:lastRenderedPageBreak/>
              <w:t>Standard national voice call charges</w:t>
            </w:r>
            <w:r>
              <w:rPr>
                <w:rFonts w:eastAsia="Calibri"/>
              </w:rPr>
              <w:t xml:space="preserve"> (per minute)</w:t>
            </w:r>
          </w:p>
        </w:tc>
        <w:tc>
          <w:tcPr>
            <w:tcW w:w="764" w:type="pct"/>
            <w:shd w:val="clear" w:color="auto" w:fill="auto"/>
          </w:tcPr>
          <w:p w14:paraId="034D231D" w14:textId="77777777" w:rsidR="000D07EA" w:rsidRDefault="00BE7C89">
            <w:pPr>
              <w:pStyle w:val="BodyText"/>
              <w:spacing w:before="100" w:after="100"/>
              <w:jc w:val="center"/>
              <w:rPr>
                <w:rFonts w:eastAsia="Calibri"/>
              </w:rPr>
            </w:pPr>
            <w:r>
              <w:rPr>
                <w:rFonts w:eastAsia="Calibri"/>
              </w:rPr>
              <w:t>90c per min + 35c flagfall</w:t>
            </w:r>
          </w:p>
        </w:tc>
        <w:tc>
          <w:tcPr>
            <w:tcW w:w="764" w:type="pct"/>
            <w:shd w:val="clear" w:color="auto" w:fill="auto"/>
          </w:tcPr>
          <w:p w14:paraId="4148B779" w14:textId="77777777" w:rsidR="000D07EA" w:rsidRDefault="00BE7C89">
            <w:pPr>
              <w:pStyle w:val="BodyText"/>
              <w:spacing w:before="100" w:after="100"/>
              <w:jc w:val="center"/>
              <w:rPr>
                <w:rFonts w:eastAsia="Calibri"/>
              </w:rPr>
            </w:pPr>
            <w:r>
              <w:rPr>
                <w:rFonts w:eastAsia="Calibri"/>
              </w:rPr>
              <w:t>90c per min + 35c flagfall</w:t>
            </w:r>
          </w:p>
        </w:tc>
        <w:tc>
          <w:tcPr>
            <w:tcW w:w="764" w:type="pct"/>
            <w:shd w:val="clear" w:color="auto" w:fill="auto"/>
          </w:tcPr>
          <w:p w14:paraId="1DB36FAF" w14:textId="77777777" w:rsidR="000D07EA" w:rsidRDefault="00BE7C89">
            <w:pPr>
              <w:pStyle w:val="BodyText"/>
              <w:spacing w:before="100" w:after="100"/>
              <w:jc w:val="center"/>
              <w:rPr>
                <w:rFonts w:eastAsia="Calibri"/>
              </w:rPr>
            </w:pPr>
            <w:r>
              <w:rPr>
                <w:rFonts w:eastAsia="Calibri"/>
              </w:rPr>
              <w:t>90c per min + 35c flagfall</w:t>
            </w:r>
          </w:p>
        </w:tc>
        <w:tc>
          <w:tcPr>
            <w:tcW w:w="764" w:type="pct"/>
          </w:tcPr>
          <w:p w14:paraId="07D04513" w14:textId="77777777" w:rsidR="000D07EA" w:rsidRDefault="00BE7C89">
            <w:pPr>
              <w:pStyle w:val="BodyText"/>
              <w:spacing w:before="100" w:after="100"/>
              <w:jc w:val="center"/>
              <w:rPr>
                <w:rFonts w:eastAsia="Calibri"/>
              </w:rPr>
            </w:pPr>
            <w:r>
              <w:rPr>
                <w:rFonts w:eastAsia="Calibri"/>
              </w:rPr>
              <w:t>N/A</w:t>
            </w:r>
          </w:p>
        </w:tc>
        <w:tc>
          <w:tcPr>
            <w:tcW w:w="764" w:type="pct"/>
          </w:tcPr>
          <w:p w14:paraId="5BF69BBA" w14:textId="77777777" w:rsidR="000D07EA" w:rsidRDefault="00BE7C89">
            <w:pPr>
              <w:pStyle w:val="BodyText"/>
              <w:spacing w:before="100" w:after="100"/>
              <w:jc w:val="center"/>
              <w:rPr>
                <w:rFonts w:eastAsia="Calibri"/>
              </w:rPr>
            </w:pPr>
            <w:r>
              <w:rPr>
                <w:rFonts w:eastAsia="Calibri"/>
              </w:rPr>
              <w:t>N/A</w:t>
            </w:r>
          </w:p>
        </w:tc>
      </w:tr>
      <w:tr w:rsidR="000D07EA" w14:paraId="43EF657C" w14:textId="77777777">
        <w:tc>
          <w:tcPr>
            <w:tcW w:w="1178" w:type="pct"/>
            <w:shd w:val="clear" w:color="auto" w:fill="auto"/>
          </w:tcPr>
          <w:p w14:paraId="72F8A170" w14:textId="77777777" w:rsidR="000D07EA" w:rsidRDefault="00BE7C89">
            <w:pPr>
              <w:pStyle w:val="BodyText"/>
              <w:spacing w:before="100" w:after="100"/>
              <w:rPr>
                <w:rFonts w:eastAsia="Calibri"/>
              </w:rPr>
            </w:pPr>
            <w:r>
              <w:rPr>
                <w:rFonts w:eastAsia="Calibri"/>
                <w:b/>
                <w:bCs/>
              </w:rPr>
              <w:t xml:space="preserve">Standard national SMS </w:t>
            </w:r>
            <w:r>
              <w:rPr>
                <w:rFonts w:eastAsia="Calibri"/>
              </w:rPr>
              <w:t>(per SMS of up to 160 standard characters^)</w:t>
            </w:r>
          </w:p>
        </w:tc>
        <w:tc>
          <w:tcPr>
            <w:tcW w:w="764" w:type="pct"/>
            <w:shd w:val="clear" w:color="auto" w:fill="auto"/>
          </w:tcPr>
          <w:p w14:paraId="47563209" w14:textId="77777777" w:rsidR="000D07EA" w:rsidRDefault="00BE7C89">
            <w:pPr>
              <w:pStyle w:val="BodyText"/>
              <w:spacing w:before="100" w:after="100"/>
              <w:jc w:val="center"/>
              <w:rPr>
                <w:rFonts w:eastAsia="Calibri"/>
              </w:rPr>
            </w:pPr>
            <w:r>
              <w:rPr>
                <w:rFonts w:eastAsia="Calibri"/>
              </w:rPr>
              <w:t>25c</w:t>
            </w:r>
          </w:p>
        </w:tc>
        <w:tc>
          <w:tcPr>
            <w:tcW w:w="764" w:type="pct"/>
            <w:shd w:val="clear" w:color="auto" w:fill="auto"/>
          </w:tcPr>
          <w:p w14:paraId="50CA4FEC" w14:textId="77777777" w:rsidR="000D07EA" w:rsidRDefault="00BE7C89">
            <w:pPr>
              <w:pStyle w:val="BodyText"/>
              <w:spacing w:before="100" w:after="100"/>
              <w:jc w:val="center"/>
              <w:rPr>
                <w:rFonts w:eastAsia="Calibri"/>
              </w:rPr>
            </w:pPr>
            <w:r>
              <w:rPr>
                <w:rFonts w:eastAsia="Calibri"/>
              </w:rPr>
              <w:t>25c</w:t>
            </w:r>
          </w:p>
        </w:tc>
        <w:tc>
          <w:tcPr>
            <w:tcW w:w="764" w:type="pct"/>
            <w:shd w:val="clear" w:color="auto" w:fill="auto"/>
          </w:tcPr>
          <w:p w14:paraId="7C68E39A" w14:textId="77777777" w:rsidR="000D07EA" w:rsidRDefault="00BE7C89">
            <w:pPr>
              <w:pStyle w:val="BodyText"/>
              <w:spacing w:before="100" w:after="100"/>
              <w:jc w:val="center"/>
              <w:rPr>
                <w:rFonts w:eastAsia="Calibri"/>
              </w:rPr>
            </w:pPr>
            <w:r>
              <w:rPr>
                <w:rFonts w:eastAsia="Calibri"/>
              </w:rPr>
              <w:t>Unlimited</w:t>
            </w:r>
          </w:p>
        </w:tc>
        <w:tc>
          <w:tcPr>
            <w:tcW w:w="764" w:type="pct"/>
          </w:tcPr>
          <w:p w14:paraId="5EF0871A" w14:textId="77777777" w:rsidR="000D07EA" w:rsidRDefault="00BE7C89">
            <w:pPr>
              <w:pStyle w:val="BodyText"/>
              <w:spacing w:before="100" w:after="100"/>
              <w:jc w:val="center"/>
              <w:rPr>
                <w:rFonts w:eastAsia="Calibri"/>
              </w:rPr>
            </w:pPr>
            <w:r>
              <w:rPr>
                <w:rFonts w:eastAsia="Calibri"/>
              </w:rPr>
              <w:t>Unlimited</w:t>
            </w:r>
          </w:p>
        </w:tc>
        <w:tc>
          <w:tcPr>
            <w:tcW w:w="764" w:type="pct"/>
          </w:tcPr>
          <w:p w14:paraId="4C7BC989" w14:textId="77777777" w:rsidR="000D07EA" w:rsidRDefault="00BE7C89">
            <w:pPr>
              <w:pStyle w:val="BodyText"/>
              <w:spacing w:before="100" w:after="100"/>
              <w:jc w:val="center"/>
              <w:rPr>
                <w:rFonts w:eastAsia="Calibri"/>
              </w:rPr>
            </w:pPr>
            <w:r>
              <w:rPr>
                <w:rFonts w:eastAsia="Calibri"/>
              </w:rPr>
              <w:t>Unlimited</w:t>
            </w:r>
          </w:p>
        </w:tc>
      </w:tr>
      <w:tr w:rsidR="000D07EA" w14:paraId="31529A5B" w14:textId="77777777">
        <w:tc>
          <w:tcPr>
            <w:tcW w:w="1178" w:type="pct"/>
            <w:shd w:val="clear" w:color="auto" w:fill="auto"/>
          </w:tcPr>
          <w:p w14:paraId="52152248" w14:textId="77777777" w:rsidR="000D07EA" w:rsidRDefault="00BE7C89">
            <w:pPr>
              <w:pStyle w:val="BodyText"/>
              <w:spacing w:before="100" w:after="100"/>
              <w:rPr>
                <w:rFonts w:eastAsia="Calibri"/>
                <w:b/>
                <w:bCs/>
              </w:rPr>
            </w:pPr>
            <w:r>
              <w:rPr>
                <w:rFonts w:eastAsia="Calibri"/>
                <w:b/>
                <w:bCs/>
              </w:rPr>
              <w:t xml:space="preserve">Standard national MMS </w:t>
            </w:r>
            <w:r>
              <w:rPr>
                <w:rFonts w:eastAsia="Calibri"/>
              </w:rPr>
              <w:t>(per message)</w:t>
            </w:r>
          </w:p>
        </w:tc>
        <w:tc>
          <w:tcPr>
            <w:tcW w:w="764" w:type="pct"/>
            <w:shd w:val="clear" w:color="auto" w:fill="auto"/>
          </w:tcPr>
          <w:p w14:paraId="0FD11500" w14:textId="77777777" w:rsidR="000D07EA" w:rsidRDefault="00BE7C89">
            <w:pPr>
              <w:pStyle w:val="BodyText"/>
              <w:spacing w:before="100" w:after="100"/>
              <w:jc w:val="center"/>
              <w:rPr>
                <w:rFonts w:eastAsia="Calibri"/>
              </w:rPr>
            </w:pPr>
            <w:r>
              <w:rPr>
                <w:rFonts w:eastAsia="Calibri"/>
              </w:rPr>
              <w:t>50c</w:t>
            </w:r>
          </w:p>
        </w:tc>
        <w:tc>
          <w:tcPr>
            <w:tcW w:w="764" w:type="pct"/>
            <w:shd w:val="clear" w:color="auto" w:fill="auto"/>
          </w:tcPr>
          <w:p w14:paraId="631F699B" w14:textId="77777777" w:rsidR="000D07EA" w:rsidRDefault="00BE7C89">
            <w:pPr>
              <w:pStyle w:val="BodyText"/>
              <w:spacing w:before="100" w:after="100"/>
              <w:jc w:val="center"/>
              <w:rPr>
                <w:rFonts w:eastAsia="Calibri"/>
              </w:rPr>
            </w:pPr>
            <w:r>
              <w:rPr>
                <w:rFonts w:eastAsia="Calibri"/>
              </w:rPr>
              <w:t>50c</w:t>
            </w:r>
          </w:p>
        </w:tc>
        <w:tc>
          <w:tcPr>
            <w:tcW w:w="764" w:type="pct"/>
            <w:shd w:val="clear" w:color="auto" w:fill="auto"/>
          </w:tcPr>
          <w:p w14:paraId="47233986" w14:textId="77777777" w:rsidR="000D07EA" w:rsidRDefault="00BE7C89">
            <w:pPr>
              <w:pStyle w:val="BodyText"/>
              <w:spacing w:before="100" w:after="100"/>
              <w:jc w:val="center"/>
              <w:rPr>
                <w:rFonts w:eastAsia="Calibri"/>
              </w:rPr>
            </w:pPr>
            <w:r>
              <w:rPr>
                <w:rFonts w:eastAsia="Calibri"/>
              </w:rPr>
              <w:t>50c</w:t>
            </w:r>
          </w:p>
        </w:tc>
        <w:tc>
          <w:tcPr>
            <w:tcW w:w="764" w:type="pct"/>
          </w:tcPr>
          <w:p w14:paraId="2D6297D5" w14:textId="77777777" w:rsidR="000D07EA" w:rsidRDefault="00BE7C89">
            <w:pPr>
              <w:pStyle w:val="BodyText"/>
              <w:spacing w:before="100" w:after="100"/>
              <w:jc w:val="center"/>
              <w:rPr>
                <w:rFonts w:eastAsia="Calibri"/>
              </w:rPr>
            </w:pPr>
            <w:r>
              <w:rPr>
                <w:rFonts w:eastAsia="Calibri"/>
              </w:rPr>
              <w:t>Unlimited</w:t>
            </w:r>
          </w:p>
        </w:tc>
        <w:tc>
          <w:tcPr>
            <w:tcW w:w="764" w:type="pct"/>
          </w:tcPr>
          <w:p w14:paraId="3A678B2A" w14:textId="77777777" w:rsidR="000D07EA" w:rsidRDefault="00BE7C89">
            <w:pPr>
              <w:pStyle w:val="BodyText"/>
              <w:spacing w:before="100" w:after="100"/>
              <w:jc w:val="center"/>
              <w:rPr>
                <w:rFonts w:eastAsia="Calibri"/>
              </w:rPr>
            </w:pPr>
            <w:r>
              <w:rPr>
                <w:rFonts w:eastAsia="Calibri"/>
              </w:rPr>
              <w:t>Unlimited</w:t>
            </w:r>
          </w:p>
        </w:tc>
      </w:tr>
      <w:tr w:rsidR="000D07EA" w14:paraId="5C7E2ADB" w14:textId="77777777">
        <w:tc>
          <w:tcPr>
            <w:tcW w:w="1178" w:type="pct"/>
            <w:shd w:val="clear" w:color="auto" w:fill="auto"/>
          </w:tcPr>
          <w:p w14:paraId="48F87591" w14:textId="77777777" w:rsidR="000D07EA" w:rsidRDefault="00BE7C89">
            <w:pPr>
              <w:pStyle w:val="BodyText"/>
              <w:spacing w:before="100" w:after="100"/>
              <w:rPr>
                <w:rFonts w:eastAsia="Calibri"/>
              </w:rPr>
            </w:pPr>
            <w:r>
              <w:rPr>
                <w:rFonts w:eastAsia="Calibri"/>
                <w:b/>
                <w:bCs/>
              </w:rPr>
              <w:t xml:space="preserve">National video calls </w:t>
            </w:r>
            <w:r>
              <w:rPr>
                <w:rFonts w:eastAsia="Calibri"/>
              </w:rPr>
              <w:t>(per minute)</w:t>
            </w:r>
          </w:p>
        </w:tc>
        <w:tc>
          <w:tcPr>
            <w:tcW w:w="764" w:type="pct"/>
            <w:shd w:val="clear" w:color="auto" w:fill="auto"/>
          </w:tcPr>
          <w:p w14:paraId="7EC313B7" w14:textId="77777777" w:rsidR="000D07EA" w:rsidRDefault="00BE7C89">
            <w:pPr>
              <w:pStyle w:val="BodyText"/>
              <w:spacing w:before="100" w:after="100"/>
              <w:jc w:val="center"/>
              <w:rPr>
                <w:rFonts w:eastAsia="Calibri"/>
              </w:rPr>
            </w:pPr>
            <w:r>
              <w:rPr>
                <w:rFonts w:eastAsia="Calibri"/>
              </w:rPr>
              <w:t>$1.00 per min + 40c flagfall</w:t>
            </w:r>
          </w:p>
        </w:tc>
        <w:tc>
          <w:tcPr>
            <w:tcW w:w="764" w:type="pct"/>
            <w:shd w:val="clear" w:color="auto" w:fill="auto"/>
          </w:tcPr>
          <w:p w14:paraId="1CD83DBB" w14:textId="77777777" w:rsidR="000D07EA" w:rsidRDefault="00BE7C89">
            <w:pPr>
              <w:pStyle w:val="BodyText"/>
              <w:spacing w:before="100" w:after="100"/>
              <w:jc w:val="center"/>
              <w:rPr>
                <w:rFonts w:eastAsia="Calibri"/>
              </w:rPr>
            </w:pPr>
            <w:r>
              <w:rPr>
                <w:rFonts w:eastAsia="Calibri"/>
              </w:rPr>
              <w:t>$1.00 per min + 40c flagfall</w:t>
            </w:r>
          </w:p>
        </w:tc>
        <w:tc>
          <w:tcPr>
            <w:tcW w:w="764" w:type="pct"/>
            <w:shd w:val="clear" w:color="auto" w:fill="auto"/>
          </w:tcPr>
          <w:p w14:paraId="2EC4F84A" w14:textId="77777777" w:rsidR="000D07EA" w:rsidRDefault="00BE7C89">
            <w:pPr>
              <w:pStyle w:val="BodyText"/>
              <w:spacing w:before="100" w:after="100"/>
              <w:jc w:val="center"/>
              <w:rPr>
                <w:rFonts w:eastAsia="Calibri"/>
              </w:rPr>
            </w:pPr>
            <w:r>
              <w:rPr>
                <w:rFonts w:eastAsia="Calibri"/>
              </w:rPr>
              <w:t>$1.00 per min + 40c flagfall</w:t>
            </w:r>
          </w:p>
        </w:tc>
        <w:tc>
          <w:tcPr>
            <w:tcW w:w="764" w:type="pct"/>
          </w:tcPr>
          <w:p w14:paraId="5576020D" w14:textId="77777777" w:rsidR="000D07EA" w:rsidRDefault="00BE7C89">
            <w:pPr>
              <w:pStyle w:val="BodyText"/>
              <w:spacing w:before="100" w:after="100"/>
              <w:jc w:val="center"/>
              <w:rPr>
                <w:rFonts w:eastAsia="Calibri"/>
              </w:rPr>
            </w:pPr>
            <w:r>
              <w:rPr>
                <w:rFonts w:eastAsia="Calibri"/>
              </w:rPr>
              <w:t>$1.00 per min + 40c flagfall</w:t>
            </w:r>
          </w:p>
        </w:tc>
        <w:tc>
          <w:tcPr>
            <w:tcW w:w="764" w:type="pct"/>
          </w:tcPr>
          <w:p w14:paraId="2B399E64" w14:textId="77777777" w:rsidR="000D07EA" w:rsidRDefault="00BE7C89">
            <w:pPr>
              <w:pStyle w:val="BodyText"/>
              <w:spacing w:before="100" w:after="100"/>
              <w:jc w:val="center"/>
              <w:rPr>
                <w:rFonts w:eastAsia="Calibri"/>
              </w:rPr>
            </w:pPr>
            <w:r>
              <w:rPr>
                <w:rFonts w:eastAsia="Calibri"/>
              </w:rPr>
              <w:t>$1.00 per min + 40c flagfall</w:t>
            </w:r>
          </w:p>
        </w:tc>
      </w:tr>
      <w:tr w:rsidR="000D07EA" w14:paraId="2F790770" w14:textId="77777777">
        <w:tc>
          <w:tcPr>
            <w:tcW w:w="1178" w:type="pct"/>
            <w:shd w:val="clear" w:color="auto" w:fill="auto"/>
          </w:tcPr>
          <w:p w14:paraId="6F3F0D2A" w14:textId="77777777" w:rsidR="000D07EA" w:rsidRDefault="00BE7C89">
            <w:pPr>
              <w:pStyle w:val="BodyText"/>
              <w:spacing w:before="100" w:after="100"/>
              <w:rPr>
                <w:rFonts w:eastAsia="Calibri"/>
              </w:rPr>
            </w:pPr>
            <w:r>
              <w:rPr>
                <w:rFonts w:eastAsia="Calibri"/>
                <w:b/>
                <w:bCs/>
                <w:iCs/>
              </w:rPr>
              <w:t>Excess Data Charge</w:t>
            </w:r>
            <w:r>
              <w:rPr>
                <w:rFonts w:eastAsia="Calibri"/>
                <w:b/>
                <w:bCs/>
                <w:i/>
                <w:iCs/>
              </w:rPr>
              <w:t xml:space="preserve"> </w:t>
            </w:r>
            <w:r>
              <w:rPr>
                <w:rFonts w:eastAsia="Calibri"/>
                <w:i/>
                <w:iCs/>
              </w:rPr>
              <w:t>(charged per kb, includes uploads and downloads)</w:t>
            </w:r>
          </w:p>
        </w:tc>
        <w:tc>
          <w:tcPr>
            <w:tcW w:w="764" w:type="pct"/>
            <w:shd w:val="clear" w:color="auto" w:fill="auto"/>
          </w:tcPr>
          <w:p w14:paraId="60E8FCE4" w14:textId="77777777" w:rsidR="000D07EA" w:rsidRDefault="00BE7C89">
            <w:pPr>
              <w:pStyle w:val="BodyText"/>
              <w:spacing w:before="100" w:after="100"/>
              <w:jc w:val="center"/>
              <w:rPr>
                <w:rFonts w:eastAsia="Calibri"/>
              </w:rPr>
            </w:pPr>
            <w:r>
              <w:rPr>
                <w:rFonts w:eastAsia="Calibri"/>
              </w:rPr>
              <w:t>25c/MB</w:t>
            </w:r>
          </w:p>
        </w:tc>
        <w:tc>
          <w:tcPr>
            <w:tcW w:w="764" w:type="pct"/>
            <w:shd w:val="clear" w:color="auto" w:fill="auto"/>
          </w:tcPr>
          <w:p w14:paraId="653AA1C0" w14:textId="77777777" w:rsidR="000D07EA" w:rsidRDefault="00BE7C89">
            <w:pPr>
              <w:pStyle w:val="BodyText"/>
              <w:spacing w:before="100" w:after="100"/>
              <w:jc w:val="center"/>
              <w:rPr>
                <w:rFonts w:eastAsia="Calibri"/>
              </w:rPr>
            </w:pPr>
            <w:r>
              <w:rPr>
                <w:rFonts w:eastAsia="Calibri"/>
              </w:rPr>
              <w:t>25c/MB</w:t>
            </w:r>
          </w:p>
        </w:tc>
        <w:tc>
          <w:tcPr>
            <w:tcW w:w="764" w:type="pct"/>
            <w:shd w:val="clear" w:color="auto" w:fill="auto"/>
          </w:tcPr>
          <w:p w14:paraId="155C244F" w14:textId="77777777" w:rsidR="000D07EA" w:rsidRDefault="00BE7C89">
            <w:pPr>
              <w:pStyle w:val="BodyText"/>
              <w:spacing w:before="100" w:after="100"/>
              <w:jc w:val="center"/>
              <w:rPr>
                <w:rFonts w:eastAsia="Calibri"/>
              </w:rPr>
            </w:pPr>
            <w:r>
              <w:rPr>
                <w:rFonts w:eastAsia="Calibri"/>
              </w:rPr>
              <w:t>25c/MB</w:t>
            </w:r>
          </w:p>
        </w:tc>
        <w:tc>
          <w:tcPr>
            <w:tcW w:w="764" w:type="pct"/>
          </w:tcPr>
          <w:p w14:paraId="0AE9B136" w14:textId="77777777" w:rsidR="000D07EA" w:rsidRDefault="00BE7C89">
            <w:pPr>
              <w:pStyle w:val="BodyText"/>
              <w:spacing w:before="100" w:after="100"/>
              <w:jc w:val="center"/>
              <w:rPr>
                <w:rFonts w:eastAsia="Calibri"/>
              </w:rPr>
            </w:pPr>
            <w:r>
              <w:rPr>
                <w:rFonts w:eastAsia="Calibri"/>
              </w:rPr>
              <w:t>25c/MB</w:t>
            </w:r>
          </w:p>
        </w:tc>
        <w:tc>
          <w:tcPr>
            <w:tcW w:w="764" w:type="pct"/>
          </w:tcPr>
          <w:p w14:paraId="4240152C" w14:textId="77777777" w:rsidR="000D07EA" w:rsidRDefault="00BE7C89">
            <w:pPr>
              <w:pStyle w:val="BodyText"/>
              <w:spacing w:before="100" w:after="100"/>
              <w:jc w:val="center"/>
              <w:rPr>
                <w:rFonts w:eastAsia="Calibri"/>
              </w:rPr>
            </w:pPr>
            <w:r>
              <w:rPr>
                <w:rFonts w:eastAsia="Calibri"/>
              </w:rPr>
              <w:t>25c/MB</w:t>
            </w:r>
          </w:p>
        </w:tc>
      </w:tr>
      <w:tr w:rsidR="000D07EA" w14:paraId="3EDF2967" w14:textId="77777777">
        <w:tc>
          <w:tcPr>
            <w:tcW w:w="1178" w:type="pct"/>
            <w:shd w:val="clear" w:color="auto" w:fill="auto"/>
          </w:tcPr>
          <w:p w14:paraId="511F0DFB" w14:textId="77777777" w:rsidR="000D07EA" w:rsidRDefault="00BE7C89">
            <w:pPr>
              <w:pStyle w:val="BodyText"/>
              <w:spacing w:before="100" w:after="100"/>
              <w:rPr>
                <w:rFonts w:eastAsia="Calibri"/>
              </w:rPr>
            </w:pPr>
            <w:r>
              <w:rPr>
                <w:rFonts w:eastAsia="Calibri"/>
                <w:b/>
                <w:bCs/>
              </w:rPr>
              <w:t>VoiceMail</w:t>
            </w:r>
          </w:p>
        </w:tc>
        <w:tc>
          <w:tcPr>
            <w:tcW w:w="764" w:type="pct"/>
            <w:shd w:val="clear" w:color="auto" w:fill="auto"/>
          </w:tcPr>
          <w:p w14:paraId="2F683C2A" w14:textId="77777777" w:rsidR="000D07EA" w:rsidRDefault="00BE7C89">
            <w:pPr>
              <w:pStyle w:val="BodyText"/>
              <w:spacing w:before="100" w:after="100"/>
              <w:jc w:val="center"/>
              <w:rPr>
                <w:rFonts w:eastAsia="Calibri"/>
              </w:rPr>
            </w:pPr>
            <w:r>
              <w:rPr>
                <w:rFonts w:eastAsia="Calibri"/>
              </w:rPr>
              <w:t>Unlimited</w:t>
            </w:r>
          </w:p>
        </w:tc>
        <w:tc>
          <w:tcPr>
            <w:tcW w:w="764" w:type="pct"/>
            <w:shd w:val="clear" w:color="auto" w:fill="auto"/>
          </w:tcPr>
          <w:p w14:paraId="4CD8D2E6" w14:textId="77777777" w:rsidR="000D07EA" w:rsidRDefault="00BE7C89">
            <w:pPr>
              <w:pStyle w:val="BodyText"/>
              <w:spacing w:before="100" w:after="100"/>
              <w:jc w:val="center"/>
              <w:rPr>
                <w:rFonts w:eastAsia="Calibri"/>
              </w:rPr>
            </w:pPr>
            <w:r>
              <w:rPr>
                <w:rFonts w:eastAsia="Calibri"/>
              </w:rPr>
              <w:t>Unlimited</w:t>
            </w:r>
          </w:p>
        </w:tc>
        <w:tc>
          <w:tcPr>
            <w:tcW w:w="764" w:type="pct"/>
            <w:shd w:val="clear" w:color="auto" w:fill="auto"/>
          </w:tcPr>
          <w:p w14:paraId="351FB1E0" w14:textId="77777777" w:rsidR="000D07EA" w:rsidRDefault="00BE7C89">
            <w:pPr>
              <w:pStyle w:val="BodyText"/>
              <w:spacing w:before="100" w:after="100"/>
              <w:jc w:val="center"/>
              <w:rPr>
                <w:rFonts w:eastAsia="Calibri"/>
              </w:rPr>
            </w:pPr>
            <w:r>
              <w:rPr>
                <w:rFonts w:eastAsia="Calibri"/>
              </w:rPr>
              <w:t>Unlimited</w:t>
            </w:r>
          </w:p>
        </w:tc>
        <w:tc>
          <w:tcPr>
            <w:tcW w:w="764" w:type="pct"/>
          </w:tcPr>
          <w:p w14:paraId="1BF79C91" w14:textId="77777777" w:rsidR="000D07EA" w:rsidRDefault="00BE7C89">
            <w:pPr>
              <w:pStyle w:val="BodyText"/>
              <w:spacing w:before="100" w:after="100"/>
              <w:jc w:val="center"/>
              <w:rPr>
                <w:rFonts w:eastAsia="Calibri"/>
              </w:rPr>
            </w:pPr>
            <w:r>
              <w:rPr>
                <w:rFonts w:eastAsia="Calibri"/>
              </w:rPr>
              <w:t>Unlimited</w:t>
            </w:r>
          </w:p>
        </w:tc>
        <w:tc>
          <w:tcPr>
            <w:tcW w:w="764" w:type="pct"/>
          </w:tcPr>
          <w:p w14:paraId="053E3761" w14:textId="77777777" w:rsidR="000D07EA" w:rsidRDefault="00BE7C89">
            <w:pPr>
              <w:pStyle w:val="BodyText"/>
              <w:spacing w:before="100" w:after="100"/>
              <w:jc w:val="center"/>
              <w:rPr>
                <w:rFonts w:eastAsia="Calibri"/>
              </w:rPr>
            </w:pPr>
            <w:r>
              <w:rPr>
                <w:rFonts w:eastAsia="Calibri"/>
              </w:rPr>
              <w:t>Unlimited</w:t>
            </w:r>
          </w:p>
        </w:tc>
      </w:tr>
      <w:tr w:rsidR="000D07EA" w14:paraId="0E3F341C" w14:textId="77777777">
        <w:tc>
          <w:tcPr>
            <w:tcW w:w="1178" w:type="pct"/>
            <w:shd w:val="clear" w:color="auto" w:fill="auto"/>
          </w:tcPr>
          <w:p w14:paraId="124431DB" w14:textId="77777777" w:rsidR="000D07EA" w:rsidRDefault="00BE7C89">
            <w:pPr>
              <w:pStyle w:val="BodyText"/>
              <w:spacing w:before="100" w:after="100"/>
              <w:rPr>
                <w:rFonts w:eastAsia="Calibri"/>
              </w:rPr>
            </w:pPr>
            <w:r>
              <w:rPr>
                <w:rFonts w:eastAsia="Calibri"/>
                <w:b/>
                <w:bCs/>
              </w:rPr>
              <w:t xml:space="preserve">Available on a </w:t>
            </w:r>
            <w:r>
              <w:rPr>
                <w:rFonts w:eastAsia="Calibri"/>
                <w:b/>
                <w:bCs/>
                <w:i/>
              </w:rPr>
              <w:t>non fixed-length agreement</w:t>
            </w:r>
            <w:r>
              <w:rPr>
                <w:rFonts w:eastAsia="Calibri"/>
                <w:b/>
                <w:bCs/>
              </w:rPr>
              <w:t xml:space="preserve"> </w:t>
            </w:r>
            <w:r>
              <w:rPr>
                <w:rFonts w:eastAsia="Calibri"/>
              </w:rPr>
              <w:t>(Month to Month)</w:t>
            </w:r>
          </w:p>
        </w:tc>
        <w:tc>
          <w:tcPr>
            <w:tcW w:w="764" w:type="pct"/>
            <w:shd w:val="clear" w:color="auto" w:fill="auto"/>
          </w:tcPr>
          <w:p w14:paraId="5D396570" w14:textId="77777777" w:rsidR="000D07EA" w:rsidRDefault="00BE7C89">
            <w:pPr>
              <w:pStyle w:val="BodyText"/>
              <w:spacing w:before="100" w:after="100"/>
              <w:jc w:val="center"/>
              <w:rPr>
                <w:rFonts w:eastAsia="Calibri"/>
              </w:rPr>
            </w:pPr>
            <w:r>
              <w:rPr>
                <w:rFonts w:eastAsia="Calibri"/>
              </w:rPr>
              <w:t>Yes</w:t>
            </w:r>
          </w:p>
        </w:tc>
        <w:tc>
          <w:tcPr>
            <w:tcW w:w="764" w:type="pct"/>
            <w:shd w:val="clear" w:color="auto" w:fill="auto"/>
          </w:tcPr>
          <w:p w14:paraId="7DF57371" w14:textId="77777777" w:rsidR="000D07EA" w:rsidRDefault="00BE7C89">
            <w:pPr>
              <w:pStyle w:val="BodyText"/>
              <w:spacing w:before="100" w:after="100"/>
              <w:jc w:val="center"/>
              <w:rPr>
                <w:rFonts w:eastAsia="Calibri"/>
              </w:rPr>
            </w:pPr>
            <w:r>
              <w:rPr>
                <w:rFonts w:eastAsia="Calibri"/>
              </w:rPr>
              <w:t>Yes</w:t>
            </w:r>
          </w:p>
        </w:tc>
        <w:tc>
          <w:tcPr>
            <w:tcW w:w="764" w:type="pct"/>
            <w:shd w:val="clear" w:color="auto" w:fill="auto"/>
          </w:tcPr>
          <w:p w14:paraId="4C5ABC9F" w14:textId="77777777" w:rsidR="000D07EA" w:rsidRDefault="00BE7C89">
            <w:pPr>
              <w:pStyle w:val="BodyText"/>
              <w:spacing w:before="100" w:after="100"/>
              <w:jc w:val="center"/>
              <w:rPr>
                <w:rFonts w:eastAsia="Calibri"/>
              </w:rPr>
            </w:pPr>
            <w:r>
              <w:rPr>
                <w:rFonts w:eastAsia="Calibri"/>
              </w:rPr>
              <w:t>Yes</w:t>
            </w:r>
          </w:p>
        </w:tc>
        <w:tc>
          <w:tcPr>
            <w:tcW w:w="764" w:type="pct"/>
          </w:tcPr>
          <w:p w14:paraId="5003024B" w14:textId="77777777" w:rsidR="000D07EA" w:rsidRDefault="00BE7C89">
            <w:pPr>
              <w:pStyle w:val="BodyText"/>
              <w:spacing w:before="100" w:after="100"/>
              <w:jc w:val="center"/>
              <w:rPr>
                <w:rFonts w:eastAsia="Calibri"/>
              </w:rPr>
            </w:pPr>
            <w:r>
              <w:rPr>
                <w:rFonts w:eastAsia="Calibri"/>
              </w:rPr>
              <w:t>Yes</w:t>
            </w:r>
          </w:p>
        </w:tc>
        <w:tc>
          <w:tcPr>
            <w:tcW w:w="764" w:type="pct"/>
          </w:tcPr>
          <w:p w14:paraId="1E7BCB9E" w14:textId="77777777" w:rsidR="000D07EA" w:rsidRDefault="00BE7C89">
            <w:pPr>
              <w:pStyle w:val="BodyText"/>
              <w:spacing w:before="100" w:after="100"/>
              <w:jc w:val="center"/>
              <w:rPr>
                <w:rFonts w:eastAsia="Calibri"/>
              </w:rPr>
            </w:pPr>
            <w:r>
              <w:rPr>
                <w:rFonts w:eastAsia="Calibri"/>
              </w:rPr>
              <w:t>No</w:t>
            </w:r>
          </w:p>
        </w:tc>
      </w:tr>
      <w:tr w:rsidR="000D07EA" w14:paraId="7A7C4C04" w14:textId="77777777">
        <w:tc>
          <w:tcPr>
            <w:tcW w:w="1178" w:type="pct"/>
            <w:shd w:val="clear" w:color="auto" w:fill="auto"/>
          </w:tcPr>
          <w:p w14:paraId="29BEC321" w14:textId="77777777" w:rsidR="000D07EA" w:rsidRDefault="00BE7C89">
            <w:pPr>
              <w:pStyle w:val="BodyText"/>
              <w:spacing w:before="100" w:after="100"/>
              <w:rPr>
                <w:rFonts w:eastAsia="Calibri"/>
                <w:b/>
                <w:bCs/>
              </w:rPr>
            </w:pPr>
            <w:r>
              <w:rPr>
                <w:rFonts w:eastAsia="Calibri"/>
                <w:b/>
                <w:bCs/>
              </w:rPr>
              <w:t xml:space="preserve">Available on a 12 month fixed term contract </w:t>
            </w:r>
          </w:p>
        </w:tc>
        <w:tc>
          <w:tcPr>
            <w:tcW w:w="764" w:type="pct"/>
            <w:shd w:val="clear" w:color="auto" w:fill="auto"/>
          </w:tcPr>
          <w:p w14:paraId="1650A23B" w14:textId="77777777" w:rsidR="000D07EA" w:rsidRDefault="00BE7C89">
            <w:pPr>
              <w:pStyle w:val="BodyText"/>
              <w:spacing w:before="100" w:after="100"/>
              <w:jc w:val="center"/>
              <w:rPr>
                <w:rFonts w:eastAsia="Calibri"/>
              </w:rPr>
            </w:pPr>
            <w:r>
              <w:rPr>
                <w:rFonts w:eastAsia="Calibri"/>
              </w:rPr>
              <w:t>No</w:t>
            </w:r>
          </w:p>
        </w:tc>
        <w:tc>
          <w:tcPr>
            <w:tcW w:w="764" w:type="pct"/>
            <w:shd w:val="clear" w:color="auto" w:fill="auto"/>
          </w:tcPr>
          <w:p w14:paraId="2E6C71B9" w14:textId="77777777" w:rsidR="000D07EA" w:rsidRDefault="00BE7C89">
            <w:pPr>
              <w:pStyle w:val="BodyText"/>
              <w:spacing w:before="100" w:after="100"/>
              <w:jc w:val="center"/>
              <w:rPr>
                <w:rFonts w:eastAsia="Calibri"/>
              </w:rPr>
            </w:pPr>
            <w:r>
              <w:rPr>
                <w:rFonts w:eastAsia="Calibri"/>
              </w:rPr>
              <w:t>No</w:t>
            </w:r>
          </w:p>
        </w:tc>
        <w:tc>
          <w:tcPr>
            <w:tcW w:w="764" w:type="pct"/>
            <w:shd w:val="clear" w:color="auto" w:fill="auto"/>
          </w:tcPr>
          <w:p w14:paraId="11539A34" w14:textId="77777777" w:rsidR="000D07EA" w:rsidRDefault="00BE7C89">
            <w:pPr>
              <w:pStyle w:val="BodyText"/>
              <w:spacing w:before="100" w:after="100"/>
              <w:jc w:val="center"/>
              <w:rPr>
                <w:rFonts w:eastAsia="Calibri"/>
              </w:rPr>
            </w:pPr>
            <w:r>
              <w:rPr>
                <w:rFonts w:eastAsia="Calibri"/>
              </w:rPr>
              <w:t>No</w:t>
            </w:r>
          </w:p>
        </w:tc>
        <w:tc>
          <w:tcPr>
            <w:tcW w:w="764" w:type="pct"/>
          </w:tcPr>
          <w:p w14:paraId="4F4F881E" w14:textId="77777777" w:rsidR="000D07EA" w:rsidRDefault="00BE7C89">
            <w:pPr>
              <w:pStyle w:val="BodyText"/>
              <w:spacing w:before="100" w:after="100"/>
              <w:jc w:val="center"/>
              <w:rPr>
                <w:rFonts w:eastAsia="Calibri"/>
              </w:rPr>
            </w:pPr>
            <w:r>
              <w:rPr>
                <w:rFonts w:eastAsia="Calibri"/>
              </w:rPr>
              <w:t>No</w:t>
            </w:r>
          </w:p>
        </w:tc>
        <w:tc>
          <w:tcPr>
            <w:tcW w:w="764" w:type="pct"/>
          </w:tcPr>
          <w:p w14:paraId="3925CED3" w14:textId="77777777" w:rsidR="000D07EA" w:rsidRDefault="00BE7C89">
            <w:pPr>
              <w:pStyle w:val="BodyText"/>
              <w:spacing w:before="100" w:after="100"/>
              <w:jc w:val="center"/>
              <w:rPr>
                <w:rFonts w:eastAsia="Calibri"/>
              </w:rPr>
            </w:pPr>
            <w:r>
              <w:rPr>
                <w:rFonts w:eastAsia="Calibri"/>
              </w:rPr>
              <w:t>Yes</w:t>
            </w:r>
          </w:p>
        </w:tc>
      </w:tr>
      <w:tr w:rsidR="000D07EA" w14:paraId="4ABC782F" w14:textId="77777777">
        <w:tc>
          <w:tcPr>
            <w:tcW w:w="1178" w:type="pct"/>
            <w:shd w:val="clear" w:color="auto" w:fill="auto"/>
          </w:tcPr>
          <w:p w14:paraId="0D7D2DB7" w14:textId="77777777" w:rsidR="000D07EA" w:rsidRDefault="00BE7C89">
            <w:pPr>
              <w:pStyle w:val="BodyText"/>
              <w:spacing w:before="100" w:after="100"/>
              <w:rPr>
                <w:rFonts w:eastAsia="Calibri"/>
                <w:b/>
                <w:bCs/>
              </w:rPr>
            </w:pPr>
            <w:r>
              <w:rPr>
                <w:rFonts w:eastAsia="Calibri"/>
                <w:b/>
                <w:bCs/>
              </w:rPr>
              <w:t xml:space="preserve">Minimum total cost for a 12 month fixed term contract </w:t>
            </w:r>
          </w:p>
        </w:tc>
        <w:tc>
          <w:tcPr>
            <w:tcW w:w="764" w:type="pct"/>
            <w:shd w:val="clear" w:color="auto" w:fill="auto"/>
          </w:tcPr>
          <w:p w14:paraId="164F8D7D" w14:textId="77777777" w:rsidR="000D07EA" w:rsidRDefault="00BE7C89">
            <w:pPr>
              <w:pStyle w:val="BodyText"/>
              <w:spacing w:before="100" w:after="100"/>
              <w:jc w:val="center"/>
              <w:rPr>
                <w:rFonts w:eastAsia="Calibri"/>
              </w:rPr>
            </w:pPr>
            <w:r>
              <w:rPr>
                <w:rFonts w:eastAsia="Calibri"/>
              </w:rPr>
              <w:t>N/A</w:t>
            </w:r>
          </w:p>
        </w:tc>
        <w:tc>
          <w:tcPr>
            <w:tcW w:w="764" w:type="pct"/>
            <w:shd w:val="clear" w:color="auto" w:fill="auto"/>
          </w:tcPr>
          <w:p w14:paraId="04F3BD3F" w14:textId="77777777" w:rsidR="000D07EA" w:rsidRDefault="00BE7C89">
            <w:pPr>
              <w:pStyle w:val="BodyText"/>
              <w:spacing w:before="100" w:after="100"/>
              <w:jc w:val="center"/>
              <w:rPr>
                <w:rFonts w:eastAsia="Calibri"/>
              </w:rPr>
            </w:pPr>
            <w:r>
              <w:rPr>
                <w:rFonts w:eastAsia="Calibri"/>
              </w:rPr>
              <w:t>N/A</w:t>
            </w:r>
          </w:p>
        </w:tc>
        <w:tc>
          <w:tcPr>
            <w:tcW w:w="764" w:type="pct"/>
            <w:shd w:val="clear" w:color="auto" w:fill="auto"/>
          </w:tcPr>
          <w:p w14:paraId="15AFBC48" w14:textId="77777777" w:rsidR="000D07EA" w:rsidRDefault="00BE7C89">
            <w:pPr>
              <w:pStyle w:val="BodyText"/>
              <w:spacing w:before="100" w:after="100"/>
              <w:jc w:val="center"/>
              <w:rPr>
                <w:rFonts w:eastAsia="Calibri"/>
              </w:rPr>
            </w:pPr>
            <w:r>
              <w:rPr>
                <w:rFonts w:eastAsia="Calibri"/>
              </w:rPr>
              <w:t>N/A</w:t>
            </w:r>
          </w:p>
        </w:tc>
        <w:tc>
          <w:tcPr>
            <w:tcW w:w="764" w:type="pct"/>
          </w:tcPr>
          <w:p w14:paraId="11D6D7F2" w14:textId="77777777" w:rsidR="000D07EA" w:rsidRDefault="00BE7C89">
            <w:pPr>
              <w:pStyle w:val="BodyText"/>
              <w:spacing w:before="100" w:after="100"/>
              <w:jc w:val="center"/>
              <w:rPr>
                <w:rFonts w:eastAsia="Calibri"/>
              </w:rPr>
            </w:pPr>
            <w:r>
              <w:rPr>
                <w:rFonts w:eastAsia="Calibri"/>
              </w:rPr>
              <w:t>N/A</w:t>
            </w:r>
          </w:p>
        </w:tc>
        <w:tc>
          <w:tcPr>
            <w:tcW w:w="764" w:type="pct"/>
          </w:tcPr>
          <w:p w14:paraId="7A2724D2" w14:textId="77777777" w:rsidR="000D07EA" w:rsidRDefault="00BE7C89">
            <w:pPr>
              <w:pStyle w:val="BodyText"/>
              <w:spacing w:before="100" w:after="100"/>
              <w:jc w:val="center"/>
              <w:rPr>
                <w:rFonts w:eastAsia="Calibri"/>
              </w:rPr>
            </w:pPr>
            <w:r>
              <w:rPr>
                <w:rFonts w:eastAsia="Calibri"/>
              </w:rPr>
              <w:t>$720</w:t>
            </w:r>
          </w:p>
        </w:tc>
      </w:tr>
    </w:tbl>
    <w:p w14:paraId="3B5B927E" w14:textId="77777777" w:rsidR="000D07EA" w:rsidRDefault="00BE7C89">
      <w:pPr>
        <w:pStyle w:val="BodyText"/>
        <w:spacing w:after="0"/>
        <w:rPr>
          <w:sz w:val="16"/>
          <w:szCs w:val="16"/>
        </w:rPr>
      </w:pPr>
      <w:r>
        <w:rPr>
          <w:b/>
          <w:sz w:val="16"/>
          <w:szCs w:val="16"/>
        </w:rPr>
        <w:t xml:space="preserve">^ </w:t>
      </w:r>
      <w:r>
        <w:rPr>
          <w:sz w:val="16"/>
          <w:szCs w:val="16"/>
        </w:rPr>
        <w:t>The maximum length of an SMS is 160 standard alpha numeric (ASCII) characters. Non-ASCII characters may account for more than a single ASCII character, and thereby reduce the character length for an SMS.</w:t>
      </w:r>
    </w:p>
    <w:p w14:paraId="430FC96F" w14:textId="77777777" w:rsidR="000D07EA" w:rsidRDefault="000D07EA">
      <w:pPr>
        <w:pStyle w:val="BodyText"/>
      </w:pPr>
    </w:p>
    <w:p w14:paraId="4FAF831C" w14:textId="77777777" w:rsidR="000D07EA" w:rsidRDefault="00BE7C89">
      <w:pPr>
        <w:pStyle w:val="Heading6"/>
        <w:ind w:left="0" w:firstLine="0"/>
      </w:pPr>
      <w:bookmarkStart w:id="863" w:name="_Toc350768325"/>
      <w:bookmarkStart w:id="864" w:name="_Toc397941297"/>
      <w:r>
        <w:t xml:space="preserve">What happens if </w:t>
      </w:r>
      <w:r>
        <w:rPr>
          <w:i/>
        </w:rPr>
        <w:t>the service</w:t>
      </w:r>
      <w:r>
        <w:t xml:space="preserve"> is </w:t>
      </w:r>
      <w:r>
        <w:rPr>
          <w:i/>
        </w:rPr>
        <w:t>cancelled</w:t>
      </w:r>
      <w:r>
        <w:t xml:space="preserve"> early?</w:t>
      </w:r>
      <w:bookmarkEnd w:id="863"/>
      <w:bookmarkEnd w:id="864"/>
    </w:p>
    <w:p w14:paraId="1B45B692" w14:textId="77777777" w:rsidR="000D07EA" w:rsidRDefault="00BE7C89">
      <w:pPr>
        <w:pStyle w:val="Heading7"/>
      </w:pPr>
      <w:r>
        <w:t>If the</w:t>
      </w:r>
      <w:r>
        <w:rPr>
          <w:i/>
        </w:rPr>
        <w:t xml:space="preserve"> service</w:t>
      </w:r>
      <w:r>
        <w:t xml:space="preserve"> is</w:t>
      </w:r>
      <w:r>
        <w:rPr>
          <w:i/>
        </w:rPr>
        <w:t xml:space="preserve"> cancelled </w:t>
      </w:r>
      <w:r>
        <w:t xml:space="preserve">before the expiry of the </w:t>
      </w:r>
      <w:r>
        <w:rPr>
          <w:i/>
        </w:rPr>
        <w:t xml:space="preserve">minimum term, you </w:t>
      </w:r>
      <w:r>
        <w:t xml:space="preserve">will be required to pay </w:t>
      </w:r>
      <w:r>
        <w:rPr>
          <w:i/>
        </w:rPr>
        <w:t>us</w:t>
      </w:r>
      <w:r>
        <w:t>:</w:t>
      </w:r>
    </w:p>
    <w:p w14:paraId="5C79BA02" w14:textId="77777777" w:rsidR="000D07EA" w:rsidRDefault="00BE7C89">
      <w:pPr>
        <w:pStyle w:val="Heading8"/>
      </w:pPr>
      <w:r>
        <w:t xml:space="preserve">any usage charges incurred up to, and including, the </w:t>
      </w:r>
      <w:r>
        <w:rPr>
          <w:i/>
        </w:rPr>
        <w:t xml:space="preserve">cancellation date; </w:t>
      </w:r>
      <w:r>
        <w:t>plus</w:t>
      </w:r>
    </w:p>
    <w:p w14:paraId="44E1B6B1" w14:textId="77777777" w:rsidR="000D07EA" w:rsidRDefault="00BE7C89">
      <w:pPr>
        <w:pStyle w:val="Heading8"/>
      </w:pPr>
      <w:r>
        <w:t xml:space="preserve">(for the $60 Bus SIM plan) the </w:t>
      </w:r>
      <w:r>
        <w:rPr>
          <w:i/>
        </w:rPr>
        <w:t>cancellation fee</w:t>
      </w:r>
      <w:r>
        <w:t xml:space="preserve"> set out in paragraph </w:t>
      </w:r>
      <w:r>
        <w:fldChar w:fldCharType="begin"/>
      </w:r>
      <w:r>
        <w:instrText xml:space="preserve"> REF _Ref461555178 \n \h </w:instrText>
      </w:r>
      <w:r>
        <w:fldChar w:fldCharType="separate"/>
      </w:r>
      <w:r w:rsidR="0004083A">
        <w:t>(b)</w:t>
      </w:r>
      <w:r>
        <w:fldChar w:fldCharType="end"/>
      </w:r>
      <w:r>
        <w:t xml:space="preserve"> below (unless under clause 2A of the </w:t>
      </w:r>
      <w:r>
        <w:rPr>
          <w:i/>
        </w:rPr>
        <w:t>consumer terms</w:t>
      </w:r>
      <w:r>
        <w:t xml:space="preserve">, you are entitled to </w:t>
      </w:r>
      <w:r>
        <w:rPr>
          <w:i/>
        </w:rPr>
        <w:t>cancel the service</w:t>
      </w:r>
      <w:r>
        <w:t xml:space="preserve"> without incurring a </w:t>
      </w:r>
      <w:r>
        <w:rPr>
          <w:i/>
        </w:rPr>
        <w:t>cancellation fee</w:t>
      </w:r>
      <w:r>
        <w:t>); plus</w:t>
      </w:r>
    </w:p>
    <w:p w14:paraId="222A8795" w14:textId="77777777" w:rsidR="000D07EA" w:rsidRDefault="00BE7C89">
      <w:pPr>
        <w:pStyle w:val="Heading8"/>
      </w:pPr>
      <w:r>
        <w:t xml:space="preserve">the sum of unpaid </w:t>
      </w:r>
      <w:r>
        <w:rPr>
          <w:i/>
        </w:rPr>
        <w:t xml:space="preserve">equipment charges </w:t>
      </w:r>
      <w:r>
        <w:t xml:space="preserve">owing on </w:t>
      </w:r>
      <w:r>
        <w:rPr>
          <w:i/>
        </w:rPr>
        <w:t xml:space="preserve">your mobile phone </w:t>
      </w:r>
      <w:r>
        <w:t xml:space="preserve">under the </w:t>
      </w:r>
      <w:r>
        <w:rPr>
          <w:i/>
        </w:rPr>
        <w:t xml:space="preserve">mobile equipment payment plan </w:t>
      </w:r>
      <w:r>
        <w:t>(if any)</w:t>
      </w:r>
      <w:r>
        <w:rPr>
          <w:i/>
        </w:rPr>
        <w:t>.</w:t>
      </w:r>
    </w:p>
    <w:p w14:paraId="54A02C74" w14:textId="77777777" w:rsidR="000D07EA" w:rsidRDefault="00BE7C89">
      <w:pPr>
        <w:pStyle w:val="Heading7"/>
      </w:pPr>
      <w:bookmarkStart w:id="865" w:name="_Ref461555178"/>
      <w:r>
        <w:t xml:space="preserve">The </w:t>
      </w:r>
      <w:r>
        <w:rPr>
          <w:i/>
        </w:rPr>
        <w:t>cancellation fee</w:t>
      </w:r>
      <w:r>
        <w:t xml:space="preserve"> for the $60 Bus SIM Plan on a 12 month </w:t>
      </w:r>
      <w:r>
        <w:rPr>
          <w:i/>
        </w:rPr>
        <w:t>fixed-length agreement</w:t>
      </w:r>
      <w:r>
        <w:t xml:space="preserve"> is a maximum of $360 if the service is cancelled in the first 6 months, and will reduce by intervals if the </w:t>
      </w:r>
      <w:r>
        <w:rPr>
          <w:i/>
        </w:rPr>
        <w:t>service</w:t>
      </w:r>
      <w:r>
        <w:t xml:space="preserve"> is </w:t>
      </w:r>
      <w:r>
        <w:rPr>
          <w:i/>
        </w:rPr>
        <w:t>cancelled</w:t>
      </w:r>
      <w:r>
        <w:t xml:space="preserve"> during the last 6 months of the </w:t>
      </w:r>
      <w:r>
        <w:rPr>
          <w:i/>
        </w:rPr>
        <w:t>minimum term.</w:t>
      </w:r>
      <w:bookmarkEnd w:id="865"/>
    </w:p>
    <w:p w14:paraId="1FD6495E" w14:textId="77777777" w:rsidR="000D07EA" w:rsidRDefault="00BE7C89">
      <w:pPr>
        <w:pStyle w:val="Heading4"/>
      </w:pPr>
      <w:bookmarkStart w:id="866" w:name="_Toc407110893"/>
      <w:bookmarkStart w:id="867" w:name="_Toc455147630"/>
      <w:bookmarkStart w:id="868" w:name="_Toc62644652"/>
      <w:r>
        <w:lastRenderedPageBreak/>
        <w:t>My Plan Business, available from 10 June 2014</w:t>
      </w:r>
      <w:bookmarkEnd w:id="866"/>
      <w:bookmarkEnd w:id="867"/>
      <w:bookmarkEnd w:id="868"/>
    </w:p>
    <w:p w14:paraId="7AC94BD9" w14:textId="77777777" w:rsidR="000D07EA" w:rsidRDefault="00BE7C89">
      <w:pPr>
        <w:pStyle w:val="BodyText"/>
        <w:ind w:left="720"/>
      </w:pPr>
      <w:r>
        <w:t>This section relates to the following plans. You can find your Plan ID on your bill under the Mobile Number Summary section:</w:t>
      </w:r>
    </w:p>
    <w:tbl>
      <w:tblPr>
        <w:tblW w:w="4632"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147"/>
        <w:gridCol w:w="3360"/>
        <w:gridCol w:w="2931"/>
      </w:tblGrid>
      <w:tr w:rsidR="000D07EA" w14:paraId="7A57288F" w14:textId="77777777" w:rsidTr="00536F8B">
        <w:trPr>
          <w:tblHeader/>
        </w:trPr>
        <w:tc>
          <w:tcPr>
            <w:tcW w:w="1667" w:type="pct"/>
            <w:shd w:val="clear" w:color="auto" w:fill="auto"/>
          </w:tcPr>
          <w:p w14:paraId="176FC696" w14:textId="77777777" w:rsidR="000D07EA" w:rsidRDefault="00BE7C89">
            <w:pPr>
              <w:pStyle w:val="BodyText"/>
              <w:spacing w:before="100" w:after="100"/>
              <w:rPr>
                <w:b/>
              </w:rPr>
            </w:pPr>
            <w:r>
              <w:rPr>
                <w:b/>
              </w:rPr>
              <w:t>Plan</w:t>
            </w:r>
          </w:p>
        </w:tc>
        <w:tc>
          <w:tcPr>
            <w:tcW w:w="1780" w:type="pct"/>
            <w:shd w:val="clear" w:color="auto" w:fill="auto"/>
          </w:tcPr>
          <w:p w14:paraId="36221A9F" w14:textId="77777777" w:rsidR="000D07EA" w:rsidRDefault="00BE7C89">
            <w:pPr>
              <w:pStyle w:val="BodyText"/>
              <w:spacing w:before="100" w:after="100"/>
              <w:rPr>
                <w:b/>
              </w:rPr>
            </w:pPr>
            <w:r>
              <w:rPr>
                <w:b/>
              </w:rPr>
              <w:t>Plan ID</w:t>
            </w:r>
          </w:p>
        </w:tc>
        <w:tc>
          <w:tcPr>
            <w:tcW w:w="1554" w:type="pct"/>
            <w:shd w:val="clear" w:color="auto" w:fill="auto"/>
          </w:tcPr>
          <w:p w14:paraId="55640D18" w14:textId="77777777" w:rsidR="000D07EA" w:rsidRDefault="00BE7C89">
            <w:pPr>
              <w:pStyle w:val="BodyText"/>
              <w:spacing w:before="100" w:after="100"/>
              <w:rPr>
                <w:b/>
              </w:rPr>
            </w:pPr>
            <w:r>
              <w:rPr>
                <w:b/>
              </w:rPr>
              <w:t>Available</w:t>
            </w:r>
          </w:p>
        </w:tc>
      </w:tr>
      <w:tr w:rsidR="000D07EA" w14:paraId="08D37457" w14:textId="77777777" w:rsidTr="00536F8B">
        <w:tc>
          <w:tcPr>
            <w:tcW w:w="1667" w:type="pct"/>
            <w:shd w:val="clear" w:color="auto" w:fill="auto"/>
          </w:tcPr>
          <w:p w14:paraId="7CBBE3CA" w14:textId="77777777" w:rsidR="000D07EA" w:rsidRDefault="00BE7C89">
            <w:pPr>
              <w:pStyle w:val="BodyText"/>
              <w:spacing w:before="100" w:after="100"/>
            </w:pPr>
            <w:r>
              <w:t>$35 My Plan Business</w:t>
            </w:r>
          </w:p>
        </w:tc>
        <w:tc>
          <w:tcPr>
            <w:tcW w:w="1780" w:type="pct"/>
            <w:shd w:val="clear" w:color="auto" w:fill="auto"/>
          </w:tcPr>
          <w:p w14:paraId="4F1EC7AD" w14:textId="77777777" w:rsidR="000D07EA" w:rsidRDefault="00BE7C89">
            <w:pPr>
              <w:pStyle w:val="BodyText"/>
              <w:spacing w:before="100" w:after="100"/>
            </w:pPr>
            <w:r>
              <w:t>800185, 800190</w:t>
            </w:r>
            <w:r w:rsidR="00584BDA">
              <w:t>, 8375494</w:t>
            </w:r>
          </w:p>
        </w:tc>
        <w:tc>
          <w:tcPr>
            <w:tcW w:w="1554" w:type="pct"/>
            <w:shd w:val="clear" w:color="auto" w:fill="auto"/>
          </w:tcPr>
          <w:p w14:paraId="6ADF0519" w14:textId="77777777" w:rsidR="000D07EA" w:rsidRDefault="00BE7C89">
            <w:pPr>
              <w:pStyle w:val="BodyText"/>
              <w:spacing w:before="100" w:after="100"/>
            </w:pPr>
            <w:r>
              <w:t>10 June 2014 – 31 January 2015</w:t>
            </w:r>
          </w:p>
        </w:tc>
      </w:tr>
      <w:tr w:rsidR="000D07EA" w14:paraId="57F94D11" w14:textId="77777777" w:rsidTr="00536F8B">
        <w:tc>
          <w:tcPr>
            <w:tcW w:w="1667" w:type="pct"/>
            <w:shd w:val="clear" w:color="auto" w:fill="auto"/>
          </w:tcPr>
          <w:p w14:paraId="3322E295" w14:textId="77777777" w:rsidR="000D07EA" w:rsidRDefault="00BE7C89">
            <w:pPr>
              <w:pStyle w:val="BodyText"/>
              <w:spacing w:before="100" w:after="100"/>
            </w:pPr>
            <w:r>
              <w:t>$50 My Plan Business</w:t>
            </w:r>
          </w:p>
        </w:tc>
        <w:tc>
          <w:tcPr>
            <w:tcW w:w="1780" w:type="pct"/>
            <w:shd w:val="clear" w:color="auto" w:fill="auto"/>
          </w:tcPr>
          <w:p w14:paraId="5C5B31B6" w14:textId="77777777" w:rsidR="000D07EA" w:rsidRDefault="00BE7C89">
            <w:pPr>
              <w:pStyle w:val="BodyText"/>
              <w:spacing w:before="100" w:after="100"/>
            </w:pPr>
            <w:r>
              <w:t>800186, 800191</w:t>
            </w:r>
            <w:r w:rsidR="00584BDA">
              <w:t>, 8390834</w:t>
            </w:r>
          </w:p>
        </w:tc>
        <w:tc>
          <w:tcPr>
            <w:tcW w:w="1554" w:type="pct"/>
            <w:shd w:val="clear" w:color="auto" w:fill="auto"/>
          </w:tcPr>
          <w:p w14:paraId="318F0D2D" w14:textId="77777777" w:rsidR="000D07EA" w:rsidRDefault="00BE7C89">
            <w:pPr>
              <w:pStyle w:val="BodyText"/>
              <w:spacing w:before="100" w:after="100"/>
            </w:pPr>
            <w:r>
              <w:t>10 June 2014 – 31 January 2015</w:t>
            </w:r>
          </w:p>
        </w:tc>
      </w:tr>
      <w:tr w:rsidR="000D07EA" w14:paraId="13FBA198" w14:textId="77777777" w:rsidTr="00536F8B">
        <w:tc>
          <w:tcPr>
            <w:tcW w:w="1667" w:type="pct"/>
            <w:shd w:val="clear" w:color="auto" w:fill="auto"/>
          </w:tcPr>
          <w:p w14:paraId="120E573A" w14:textId="77777777" w:rsidR="000D07EA" w:rsidRDefault="00BE7C89">
            <w:pPr>
              <w:pStyle w:val="BodyText"/>
              <w:spacing w:before="100" w:after="100"/>
            </w:pPr>
            <w:r>
              <w:t>$60 My Plan Business</w:t>
            </w:r>
          </w:p>
        </w:tc>
        <w:tc>
          <w:tcPr>
            <w:tcW w:w="1780" w:type="pct"/>
            <w:shd w:val="clear" w:color="auto" w:fill="auto"/>
          </w:tcPr>
          <w:p w14:paraId="4B34FB93" w14:textId="77777777" w:rsidR="000D07EA" w:rsidRDefault="00BE7C89">
            <w:pPr>
              <w:pStyle w:val="BodyText"/>
              <w:spacing w:before="100" w:after="100"/>
            </w:pPr>
            <w:r>
              <w:t>800187, 800192, 800207</w:t>
            </w:r>
            <w:r w:rsidR="00584BDA">
              <w:t>, 8375524</w:t>
            </w:r>
          </w:p>
        </w:tc>
        <w:tc>
          <w:tcPr>
            <w:tcW w:w="1554" w:type="pct"/>
            <w:shd w:val="clear" w:color="auto" w:fill="auto"/>
          </w:tcPr>
          <w:p w14:paraId="4AA41663" w14:textId="77777777" w:rsidR="000D07EA" w:rsidRDefault="00BE7C89">
            <w:pPr>
              <w:pStyle w:val="BodyText"/>
              <w:spacing w:before="100" w:after="100"/>
            </w:pPr>
            <w:r>
              <w:t>10 June 2014 – 31 January 2015</w:t>
            </w:r>
          </w:p>
        </w:tc>
      </w:tr>
      <w:tr w:rsidR="000D07EA" w14:paraId="6C11F4BB" w14:textId="77777777" w:rsidTr="00536F8B">
        <w:tc>
          <w:tcPr>
            <w:tcW w:w="1667" w:type="pct"/>
            <w:shd w:val="clear" w:color="auto" w:fill="auto"/>
          </w:tcPr>
          <w:p w14:paraId="3772FE97" w14:textId="77777777" w:rsidR="000D07EA" w:rsidRDefault="00BE7C89">
            <w:pPr>
              <w:pStyle w:val="BodyText"/>
              <w:spacing w:before="100" w:after="100"/>
            </w:pPr>
            <w:r>
              <w:t>$80 My Plan Business</w:t>
            </w:r>
          </w:p>
        </w:tc>
        <w:tc>
          <w:tcPr>
            <w:tcW w:w="1780" w:type="pct"/>
            <w:shd w:val="clear" w:color="auto" w:fill="auto"/>
          </w:tcPr>
          <w:p w14:paraId="519DAD70" w14:textId="77777777" w:rsidR="000D07EA" w:rsidRDefault="00BE7C89">
            <w:pPr>
              <w:pStyle w:val="BodyText"/>
              <w:spacing w:before="100" w:after="100"/>
            </w:pPr>
            <w:r>
              <w:t xml:space="preserve">800188, 800193, </w:t>
            </w:r>
            <w:r w:rsidR="00584BDA">
              <w:t>8375544</w:t>
            </w:r>
          </w:p>
        </w:tc>
        <w:tc>
          <w:tcPr>
            <w:tcW w:w="1554" w:type="pct"/>
            <w:shd w:val="clear" w:color="auto" w:fill="auto"/>
          </w:tcPr>
          <w:p w14:paraId="29137F93" w14:textId="77777777" w:rsidR="000D07EA" w:rsidRDefault="00BE7C89">
            <w:pPr>
              <w:pStyle w:val="BodyText"/>
              <w:spacing w:before="100" w:after="100"/>
            </w:pPr>
            <w:r>
              <w:t>10 June 2014 – 31 January 2015</w:t>
            </w:r>
          </w:p>
        </w:tc>
      </w:tr>
      <w:tr w:rsidR="000D07EA" w14:paraId="23B6FBD3" w14:textId="77777777" w:rsidTr="00536F8B">
        <w:tc>
          <w:tcPr>
            <w:tcW w:w="1667" w:type="pct"/>
            <w:shd w:val="clear" w:color="auto" w:fill="auto"/>
          </w:tcPr>
          <w:p w14:paraId="07E68AF8" w14:textId="77777777" w:rsidR="000D07EA" w:rsidRDefault="00BE7C89">
            <w:pPr>
              <w:pStyle w:val="BodyText"/>
              <w:spacing w:before="100" w:after="100"/>
            </w:pPr>
            <w:r>
              <w:t>$100 My Plan Business</w:t>
            </w:r>
          </w:p>
        </w:tc>
        <w:tc>
          <w:tcPr>
            <w:tcW w:w="1780" w:type="pct"/>
            <w:shd w:val="clear" w:color="auto" w:fill="auto"/>
          </w:tcPr>
          <w:p w14:paraId="326E0843" w14:textId="77777777" w:rsidR="000D07EA" w:rsidRDefault="00BE7C89">
            <w:pPr>
              <w:pStyle w:val="BodyText"/>
              <w:spacing w:before="100" w:after="100"/>
            </w:pPr>
            <w:r>
              <w:t>800189, 800194</w:t>
            </w:r>
            <w:r w:rsidR="00584BDA">
              <w:t>, 8375564</w:t>
            </w:r>
          </w:p>
        </w:tc>
        <w:tc>
          <w:tcPr>
            <w:tcW w:w="1554" w:type="pct"/>
            <w:shd w:val="clear" w:color="auto" w:fill="auto"/>
          </w:tcPr>
          <w:p w14:paraId="423FC6B6" w14:textId="77777777" w:rsidR="000D07EA" w:rsidRDefault="00BE7C89">
            <w:pPr>
              <w:pStyle w:val="BodyText"/>
              <w:spacing w:before="100" w:after="100"/>
            </w:pPr>
            <w:r>
              <w:t>10 June 2014 – 31 January 2015</w:t>
            </w:r>
          </w:p>
        </w:tc>
      </w:tr>
    </w:tbl>
    <w:p w14:paraId="3DE7A0F9" w14:textId="77777777" w:rsidR="000D07EA" w:rsidRDefault="00BE7C89">
      <w:pPr>
        <w:pStyle w:val="Heading6"/>
        <w:spacing w:before="240"/>
        <w:ind w:left="0" w:firstLine="0"/>
      </w:pPr>
      <w:bookmarkStart w:id="869" w:name="_Toc407110894"/>
      <w:r>
        <w:t>Eligibility</w:t>
      </w:r>
      <w:bookmarkEnd w:id="869"/>
    </w:p>
    <w:p w14:paraId="7A1749B2" w14:textId="77777777" w:rsidR="000D07EA" w:rsidRDefault="00BE7C89">
      <w:pPr>
        <w:pStyle w:val="BodyText"/>
        <w:ind w:left="720"/>
      </w:pPr>
      <w:r>
        <w:t xml:space="preserve">The My Plan Business plans are available to new and existing mobile customers connecting to the </w:t>
      </w:r>
      <w:r>
        <w:rPr>
          <w:i/>
        </w:rPr>
        <w:t xml:space="preserve">service </w:t>
      </w:r>
      <w:r>
        <w:t xml:space="preserve">who pass the Optus credit assessment. </w:t>
      </w:r>
    </w:p>
    <w:p w14:paraId="6A731850" w14:textId="77777777" w:rsidR="000D07EA" w:rsidRDefault="00BE7C89">
      <w:pPr>
        <w:pStyle w:val="BodyText"/>
        <w:ind w:left="720"/>
      </w:pPr>
      <w:r>
        <w:t>Optus Service Providers' customers are not eligible to apply</w:t>
      </w:r>
      <w:r>
        <w:rPr>
          <w:snapToGrid w:val="0"/>
        </w:rPr>
        <w:t>.</w:t>
      </w:r>
    </w:p>
    <w:p w14:paraId="5C78AF92" w14:textId="77777777" w:rsidR="000D07EA" w:rsidRDefault="00BE7C89">
      <w:pPr>
        <w:pStyle w:val="BodyText"/>
        <w:ind w:left="720"/>
      </w:pPr>
      <w:r>
        <w:t xml:space="preserve">These </w:t>
      </w:r>
      <w:r>
        <w:rPr>
          <w:i/>
        </w:rPr>
        <w:t>plans</w:t>
      </w:r>
      <w:r>
        <w:t xml:space="preserve"> aren't compatible for data use with BlackBerry handsets on operating systems of 7.1 or earlier.</w:t>
      </w:r>
    </w:p>
    <w:p w14:paraId="1CF44D35" w14:textId="77777777" w:rsidR="000D07EA" w:rsidRDefault="00BE7C89">
      <w:pPr>
        <w:pStyle w:val="Heading6"/>
        <w:ind w:left="0" w:firstLine="0"/>
      </w:pPr>
      <w:bookmarkStart w:id="870" w:name="_Toc407110895"/>
      <w:r>
        <w:rPr>
          <w:snapToGrid w:val="0"/>
        </w:rPr>
        <w:t>Minimum Term</w:t>
      </w:r>
      <w:bookmarkEnd w:id="870"/>
    </w:p>
    <w:p w14:paraId="6342A392" w14:textId="77777777" w:rsidR="000D07EA" w:rsidRDefault="00BE7C89">
      <w:pPr>
        <w:pStyle w:val="BodyText"/>
        <w:ind w:left="720"/>
      </w:pPr>
      <w:r>
        <w:t xml:space="preserve">These </w:t>
      </w:r>
      <w:r>
        <w:rPr>
          <w:i/>
        </w:rPr>
        <w:t>plans</w:t>
      </w:r>
      <w:r>
        <w:t xml:space="preserve"> have</w:t>
      </w:r>
      <w:r>
        <w:rPr>
          <w:i/>
        </w:rPr>
        <w:t xml:space="preserve"> </w:t>
      </w:r>
      <w:r>
        <w:t xml:space="preserve">a </w:t>
      </w:r>
      <w:r>
        <w:rPr>
          <w:i/>
        </w:rPr>
        <w:t>fixed length agreement</w:t>
      </w:r>
      <w:r>
        <w:t xml:space="preserve"> with a 24 month </w:t>
      </w:r>
      <w:r>
        <w:rPr>
          <w:i/>
        </w:rPr>
        <w:t>minimum term.</w:t>
      </w:r>
    </w:p>
    <w:p w14:paraId="0E8A1685" w14:textId="77777777" w:rsidR="000D07EA" w:rsidRDefault="00BE7C89">
      <w:pPr>
        <w:pStyle w:val="Heading6"/>
        <w:ind w:left="0" w:firstLine="0"/>
        <w:rPr>
          <w:b/>
        </w:rPr>
      </w:pPr>
      <w:bookmarkStart w:id="871" w:name="_Toc407110896"/>
      <w:r>
        <w:t>What you have to pay us</w:t>
      </w:r>
      <w:bookmarkEnd w:id="871"/>
    </w:p>
    <w:p w14:paraId="628EB72B" w14:textId="77777777" w:rsidR="000D07EA" w:rsidRDefault="00BE7C89">
      <w:pPr>
        <w:pStyle w:val="Heading7"/>
      </w:pPr>
      <w:r>
        <w:rPr>
          <w:i/>
        </w:rPr>
        <w:t>You</w:t>
      </w:r>
      <w:r>
        <w:t xml:space="preserve"> must pay </w:t>
      </w:r>
      <w:r>
        <w:rPr>
          <w:i/>
        </w:rPr>
        <w:t>us</w:t>
      </w:r>
      <w:r>
        <w:t xml:space="preserve"> for use of the </w:t>
      </w:r>
      <w:r>
        <w:rPr>
          <w:i/>
        </w:rPr>
        <w:t>service</w:t>
      </w:r>
      <w:r>
        <w:t xml:space="preserve"> at the rates set out in Section 1 of this </w:t>
      </w:r>
      <w:r>
        <w:rPr>
          <w:i/>
        </w:rPr>
        <w:t>standard pricing table</w:t>
      </w:r>
      <w:r>
        <w:t xml:space="preserve"> and for value added service features at the rates set out in </w:t>
      </w:r>
      <w:r>
        <w:rPr>
          <w:i/>
        </w:rPr>
        <w:t>Appendix Y Value Added Service Features</w:t>
      </w:r>
      <w:r>
        <w:t xml:space="preserve">. </w:t>
      </w:r>
    </w:p>
    <w:p w14:paraId="1815D812" w14:textId="77777777" w:rsidR="000D07EA" w:rsidRDefault="00BE7C89">
      <w:pPr>
        <w:pStyle w:val="Heading7"/>
      </w:pPr>
      <w:r>
        <w:t>If there is a flagfall for a particular call type, the charge for these calls is the flagfall amount plus the relevant rate for the call multiplied by the duration of the call.</w:t>
      </w:r>
    </w:p>
    <w:p w14:paraId="190EF026" w14:textId="77777777" w:rsidR="000D07EA" w:rsidRDefault="00BE7C89">
      <w:pPr>
        <w:pStyle w:val="Heading7"/>
        <w:rPr>
          <w:b/>
        </w:rPr>
      </w:pPr>
      <w:r>
        <w:rPr>
          <w:b/>
        </w:rPr>
        <w:t>Minimum Monthly Charge</w:t>
      </w:r>
    </w:p>
    <w:p w14:paraId="6D1FB1D3" w14:textId="77777777" w:rsidR="000D07EA" w:rsidRDefault="00BE7C89">
      <w:pPr>
        <w:pStyle w:val="Heading8"/>
      </w:pPr>
      <w:r>
        <w:t xml:space="preserve">Each My Plan Business has a Minimum Monthly Charge amount that </w:t>
      </w:r>
      <w:r>
        <w:rPr>
          <w:i/>
        </w:rPr>
        <w:t>you</w:t>
      </w:r>
      <w:r>
        <w:t xml:space="preserve"> must pay </w:t>
      </w:r>
      <w:r>
        <w:rPr>
          <w:i/>
        </w:rPr>
        <w:t>us</w:t>
      </w:r>
      <w:r>
        <w:t xml:space="preserve"> each month as set out in Table 1 below.</w:t>
      </w:r>
    </w:p>
    <w:p w14:paraId="73F5EB8D" w14:textId="77777777" w:rsidR="000D07EA" w:rsidRDefault="00BE7C89">
      <w:pPr>
        <w:pStyle w:val="Heading8"/>
      </w:pPr>
      <w:r>
        <w:rPr>
          <w:i/>
        </w:rPr>
        <w:t>You</w:t>
      </w:r>
      <w:r>
        <w:t xml:space="preserve"> may purchase a mobile phone (or 'handset') with a 24 month </w:t>
      </w:r>
      <w:r>
        <w:rPr>
          <w:i/>
        </w:rPr>
        <w:t>equipment term</w:t>
      </w:r>
      <w:r>
        <w:t xml:space="preserve"> under a </w:t>
      </w:r>
      <w:r>
        <w:rPr>
          <w:i/>
        </w:rPr>
        <w:t>mobile equipment payment plan</w:t>
      </w:r>
      <w:r>
        <w:t xml:space="preserve"> (set out in Appendix D) on a 24 month </w:t>
      </w:r>
      <w:r>
        <w:rPr>
          <w:i/>
        </w:rPr>
        <w:t>fixed-length agreement</w:t>
      </w:r>
      <w:r>
        <w:t>.</w:t>
      </w:r>
    </w:p>
    <w:p w14:paraId="3C5A82D3" w14:textId="77777777" w:rsidR="000D07EA" w:rsidRDefault="00BE7C89">
      <w:pPr>
        <w:pStyle w:val="Heading6"/>
        <w:ind w:left="0" w:firstLine="0"/>
        <w:rPr>
          <w:snapToGrid w:val="0"/>
        </w:rPr>
      </w:pPr>
      <w:bookmarkStart w:id="872" w:name="_Toc407110897"/>
      <w:r>
        <w:rPr>
          <w:snapToGrid w:val="0"/>
        </w:rPr>
        <w:t xml:space="preserve">How My Plan </w:t>
      </w:r>
      <w:r>
        <w:t>Business</w:t>
      </w:r>
      <w:r>
        <w:rPr>
          <w:snapToGrid w:val="0"/>
        </w:rPr>
        <w:t xml:space="preserve"> works</w:t>
      </w:r>
      <w:bookmarkEnd w:id="872"/>
    </w:p>
    <w:p w14:paraId="7759A334" w14:textId="77777777" w:rsidR="000D07EA" w:rsidRDefault="00BE7C89">
      <w:pPr>
        <w:pStyle w:val="Heading7"/>
      </w:pPr>
      <w:r>
        <w:t>Each My Plan Business has an amount of included minutes (or unlimited minutes) to use on standard national calls to landlines and mobiles, 13/1300 numbers and voicemail retrievals ("</w:t>
      </w:r>
      <w:r>
        <w:rPr>
          <w:b/>
        </w:rPr>
        <w:t>Included Minutes</w:t>
      </w:r>
      <w:r>
        <w:t xml:space="preserve">") and Included Data (for mobile internet use) to share with up to 5 additional mobile broadband devices as well as other mobile services on a My Plan Business/ My Plan Plus </w:t>
      </w:r>
      <w:r>
        <w:lastRenderedPageBreak/>
        <w:t>(including SIM Only) plan on the same account. These plans also include unlimited standard national SMS and MMS.</w:t>
      </w:r>
    </w:p>
    <w:p w14:paraId="44D6F7D4" w14:textId="77777777" w:rsidR="000D07EA" w:rsidRDefault="00BE7C89">
      <w:pPr>
        <w:pStyle w:val="Heading7"/>
      </w:pPr>
      <w:r>
        <w:t xml:space="preserve">Data usage is calculated in per kilobyte increments and plans that don't include unlimited minutes calculate usage in per minute increments. </w:t>
      </w:r>
    </w:p>
    <w:p w14:paraId="05EE5643" w14:textId="77777777" w:rsidR="000D07EA" w:rsidRDefault="00BE7C89">
      <w:pPr>
        <w:pStyle w:val="Heading7"/>
      </w:pPr>
      <w:r>
        <w:t xml:space="preserve">If </w:t>
      </w:r>
      <w:r>
        <w:rPr>
          <w:i/>
        </w:rPr>
        <w:t>you</w:t>
      </w:r>
      <w:r>
        <w:t xml:space="preserve"> exceed </w:t>
      </w:r>
      <w:r>
        <w:rPr>
          <w:i/>
        </w:rPr>
        <w:t>your</w:t>
      </w:r>
      <w:r>
        <w:t xml:space="preserve"> </w:t>
      </w:r>
      <w:r>
        <w:rPr>
          <w:i/>
        </w:rPr>
        <w:t>plan's</w:t>
      </w:r>
      <w:r>
        <w:t xml:space="preserve"> Included Minutes, </w:t>
      </w:r>
      <w:r>
        <w:rPr>
          <w:i/>
        </w:rPr>
        <w:t>you</w:t>
      </w:r>
      <w:r>
        <w:t xml:space="preserve"> will be automatically get more minutes ("</w:t>
      </w:r>
      <w:r>
        <w:rPr>
          <w:b/>
        </w:rPr>
        <w:t>Additional Minutes</w:t>
      </w:r>
      <w:r>
        <w:t>"), as set out in Table 3 below.</w:t>
      </w:r>
    </w:p>
    <w:p w14:paraId="236FFE71" w14:textId="77777777" w:rsidR="000D07EA" w:rsidRDefault="00BE7C89">
      <w:pPr>
        <w:pStyle w:val="Heading7"/>
      </w:pPr>
      <w:r>
        <w:t xml:space="preserve">If </w:t>
      </w:r>
      <w:r>
        <w:rPr>
          <w:i/>
        </w:rPr>
        <w:t>you</w:t>
      </w:r>
      <w:r>
        <w:t xml:space="preserve"> exceed </w:t>
      </w:r>
      <w:r>
        <w:rPr>
          <w:i/>
        </w:rPr>
        <w:t>your</w:t>
      </w:r>
      <w:r>
        <w:t xml:space="preserve"> </w:t>
      </w:r>
      <w:r>
        <w:rPr>
          <w:i/>
        </w:rPr>
        <w:t>plan's</w:t>
      </w:r>
      <w:r>
        <w:t xml:space="preserve"> Included Data, </w:t>
      </w:r>
      <w:r>
        <w:rPr>
          <w:i/>
        </w:rPr>
        <w:t>you</w:t>
      </w:r>
      <w:r>
        <w:t xml:space="preserve"> will automatically get more data in 1GB increments ("</w:t>
      </w:r>
      <w:r>
        <w:rPr>
          <w:b/>
        </w:rPr>
        <w:t>Additional Data</w:t>
      </w:r>
      <w:r>
        <w:t>"), and be charged $10 per 1GB.</w:t>
      </w:r>
    </w:p>
    <w:p w14:paraId="1A80EE13" w14:textId="77777777" w:rsidR="000D07EA" w:rsidRDefault="00BE7C89">
      <w:pPr>
        <w:pStyle w:val="Heading7"/>
      </w:pPr>
      <w:r>
        <w:t xml:space="preserve">Any unused portion of </w:t>
      </w:r>
      <w:r>
        <w:rPr>
          <w:i/>
        </w:rPr>
        <w:t>your</w:t>
      </w:r>
      <w:r>
        <w:t xml:space="preserve"> </w:t>
      </w:r>
      <w:r>
        <w:rPr>
          <w:i/>
        </w:rPr>
        <w:t>plan's</w:t>
      </w:r>
      <w:r>
        <w:t xml:space="preserve"> Included or Additional Minutes or Included or Additional Data expires at the end of each month and does not roll over into the next month.</w:t>
      </w:r>
    </w:p>
    <w:p w14:paraId="5F3A0B25" w14:textId="77777777" w:rsidR="000D07EA" w:rsidRDefault="00BE7C89">
      <w:pPr>
        <w:pStyle w:val="Heading7"/>
        <w:rPr>
          <w:b/>
        </w:rPr>
      </w:pPr>
      <w:r>
        <w:rPr>
          <w:i/>
        </w:rPr>
        <w:t>You</w:t>
      </w:r>
      <w:r>
        <w:t xml:space="preserve"> must pay </w:t>
      </w:r>
      <w:r>
        <w:rPr>
          <w:i/>
        </w:rPr>
        <w:t>us</w:t>
      </w:r>
      <w:r>
        <w:t xml:space="preserve"> for use of any services not included in </w:t>
      </w:r>
      <w:r>
        <w:rPr>
          <w:i/>
        </w:rPr>
        <w:t>your</w:t>
      </w:r>
      <w:r>
        <w:t xml:space="preserve"> plan's Included Minutes or Included Data as set out in Table 2 below.</w:t>
      </w:r>
    </w:p>
    <w:p w14:paraId="50CA65C7" w14:textId="77777777" w:rsidR="000D07EA" w:rsidRDefault="00BE7C89">
      <w:pPr>
        <w:pStyle w:val="Heading6"/>
        <w:ind w:left="0" w:firstLine="0"/>
        <w:rPr>
          <w:snapToGrid w:val="0"/>
        </w:rPr>
      </w:pPr>
      <w:bookmarkStart w:id="873" w:name="_Toc407110898"/>
      <w:r>
        <w:rPr>
          <w:snapToGrid w:val="0"/>
        </w:rPr>
        <w:t>Data Sharing</w:t>
      </w:r>
      <w:bookmarkEnd w:id="873"/>
    </w:p>
    <w:p w14:paraId="7FAF6D3D" w14:textId="77777777" w:rsidR="000D07EA" w:rsidRDefault="00BE7C89">
      <w:pPr>
        <w:pStyle w:val="Heading7"/>
        <w:rPr>
          <w:snapToGrid w:val="0"/>
        </w:rPr>
      </w:pPr>
      <w:r>
        <w:rPr>
          <w:i/>
          <w:snapToGrid w:val="0"/>
        </w:rPr>
        <w:t>You</w:t>
      </w:r>
      <w:r>
        <w:rPr>
          <w:snapToGrid w:val="0"/>
        </w:rPr>
        <w:t xml:space="preserve"> can share the Included Data in </w:t>
      </w:r>
      <w:r>
        <w:rPr>
          <w:i/>
          <w:snapToGrid w:val="0"/>
        </w:rPr>
        <w:t>your</w:t>
      </w:r>
      <w:r>
        <w:rPr>
          <w:snapToGrid w:val="0"/>
        </w:rPr>
        <w:t xml:space="preserve"> My Plan Business plan with up to five (5) SIM-ready mobile broadband devices (eg tablets, USB modems and laptops). </w:t>
      </w:r>
      <w:r>
        <w:rPr>
          <w:i/>
          <w:snapToGrid w:val="0"/>
        </w:rPr>
        <w:t>You</w:t>
      </w:r>
      <w:r>
        <w:rPr>
          <w:snapToGrid w:val="0"/>
        </w:rPr>
        <w:t xml:space="preserve"> must connect these mobile broadband devices to Shared Data Plans which have a $5 set up fee each and no ongoing monthly charges.</w:t>
      </w:r>
    </w:p>
    <w:p w14:paraId="07FEB739" w14:textId="77777777" w:rsidR="000D07EA" w:rsidRDefault="00BE7C89">
      <w:pPr>
        <w:pStyle w:val="Heading7"/>
        <w:rPr>
          <w:snapToGrid w:val="0"/>
        </w:rPr>
      </w:pPr>
      <w:r>
        <w:rPr>
          <w:i/>
          <w:snapToGrid w:val="0"/>
        </w:rPr>
        <w:t>We</w:t>
      </w:r>
      <w:r>
        <w:rPr>
          <w:snapToGrid w:val="0"/>
        </w:rPr>
        <w:t xml:space="preserve"> may place a limit on the number of Shared Data Plans </w:t>
      </w:r>
      <w:r>
        <w:rPr>
          <w:i/>
          <w:snapToGrid w:val="0"/>
        </w:rPr>
        <w:t>you</w:t>
      </w:r>
      <w:r>
        <w:rPr>
          <w:snapToGrid w:val="0"/>
        </w:rPr>
        <w:t xml:space="preserve"> can have, based on </w:t>
      </w:r>
      <w:r>
        <w:rPr>
          <w:i/>
          <w:snapToGrid w:val="0"/>
        </w:rPr>
        <w:t>our</w:t>
      </w:r>
      <w:r>
        <w:rPr>
          <w:snapToGrid w:val="0"/>
        </w:rPr>
        <w:t xml:space="preserve"> credit criteria.</w:t>
      </w:r>
    </w:p>
    <w:p w14:paraId="51C7B523" w14:textId="77777777" w:rsidR="000D07EA" w:rsidRDefault="00BE7C89">
      <w:pPr>
        <w:pStyle w:val="Heading7"/>
        <w:rPr>
          <w:snapToGrid w:val="0"/>
        </w:rPr>
      </w:pPr>
      <w:r>
        <w:rPr>
          <w:snapToGrid w:val="0"/>
        </w:rPr>
        <w:t>Shared Data Plans do not have any Included Data, and cannot be used to make calls.</w:t>
      </w:r>
    </w:p>
    <w:p w14:paraId="757CD8BA" w14:textId="77777777" w:rsidR="000D07EA" w:rsidRDefault="00BE7C89">
      <w:pPr>
        <w:pStyle w:val="Heading7"/>
        <w:rPr>
          <w:snapToGrid w:val="0"/>
        </w:rPr>
      </w:pPr>
      <w:r>
        <w:rPr>
          <w:i/>
          <w:snapToGrid w:val="0"/>
        </w:rPr>
        <w:t>You</w:t>
      </w:r>
      <w:r>
        <w:rPr>
          <w:snapToGrid w:val="0"/>
        </w:rPr>
        <w:t xml:space="preserve"> can purchase one mobile broadband device per Shared Data Plan, and pay for it in full on </w:t>
      </w:r>
      <w:r>
        <w:rPr>
          <w:i/>
          <w:snapToGrid w:val="0"/>
        </w:rPr>
        <w:t>your</w:t>
      </w:r>
      <w:r>
        <w:rPr>
          <w:snapToGrid w:val="0"/>
        </w:rPr>
        <w:t xml:space="preserve"> first bill, or pay it off over 12 or 24 months on a </w:t>
      </w:r>
      <w:r>
        <w:rPr>
          <w:i/>
          <w:snapToGrid w:val="0"/>
        </w:rPr>
        <w:t>Mobile Equipment Payment Plan</w:t>
      </w:r>
      <w:r>
        <w:rPr>
          <w:snapToGrid w:val="0"/>
        </w:rPr>
        <w:t xml:space="preserve"> (see Appendix D).</w:t>
      </w:r>
    </w:p>
    <w:p w14:paraId="51934FAE" w14:textId="77777777" w:rsidR="000D07EA" w:rsidRDefault="00BE7C89">
      <w:pPr>
        <w:pStyle w:val="Heading7"/>
        <w:rPr>
          <w:snapToGrid w:val="0"/>
        </w:rPr>
      </w:pPr>
      <w:r>
        <w:rPr>
          <w:i/>
          <w:snapToGrid w:val="0"/>
        </w:rPr>
        <w:t>You</w:t>
      </w:r>
      <w:r>
        <w:rPr>
          <w:snapToGrid w:val="0"/>
        </w:rPr>
        <w:t xml:space="preserve"> can share the Included Data in your My Plan Business plan with other mobiles on </w:t>
      </w:r>
      <w:r>
        <w:rPr>
          <w:i/>
          <w:snapToGrid w:val="0"/>
        </w:rPr>
        <w:t>your</w:t>
      </w:r>
      <w:r>
        <w:rPr>
          <w:snapToGrid w:val="0"/>
        </w:rPr>
        <w:t xml:space="preserve"> account which are also on </w:t>
      </w:r>
      <w:r>
        <w:t>My Plan Business/ My Plan Plus (including SIM Only) plans</w:t>
      </w:r>
      <w:r>
        <w:rPr>
          <w:snapToGrid w:val="0"/>
        </w:rPr>
        <w:t xml:space="preserve">. </w:t>
      </w:r>
    </w:p>
    <w:p w14:paraId="1B64A6A5" w14:textId="77777777" w:rsidR="000D07EA" w:rsidRDefault="00BE7C89">
      <w:pPr>
        <w:pStyle w:val="Heading7"/>
        <w:rPr>
          <w:snapToGrid w:val="0"/>
        </w:rPr>
      </w:pPr>
      <w:r>
        <w:rPr>
          <w:b/>
          <w:snapToGrid w:val="0"/>
        </w:rPr>
        <w:t>Note:</w:t>
      </w:r>
      <w:r>
        <w:rPr>
          <w:snapToGrid w:val="0"/>
        </w:rPr>
        <w:t xml:space="preserve"> these </w:t>
      </w:r>
      <w:r>
        <w:rPr>
          <w:i/>
          <w:snapToGrid w:val="0"/>
        </w:rPr>
        <w:t>plans</w:t>
      </w:r>
      <w:r>
        <w:rPr>
          <w:snapToGrid w:val="0"/>
        </w:rPr>
        <w:t xml:space="preserve"> do </w:t>
      </w:r>
      <w:r>
        <w:rPr>
          <w:b/>
          <w:snapToGrid w:val="0"/>
        </w:rPr>
        <w:t>not</w:t>
      </w:r>
      <w:r>
        <w:rPr>
          <w:snapToGrid w:val="0"/>
        </w:rPr>
        <w:t xml:space="preserve"> share data with other mobile or mobile broadband plans.</w:t>
      </w:r>
    </w:p>
    <w:p w14:paraId="7F59D903" w14:textId="77777777" w:rsidR="000D07EA" w:rsidRDefault="00BE7C89">
      <w:pPr>
        <w:pStyle w:val="Heading7"/>
        <w:rPr>
          <w:snapToGrid w:val="0"/>
        </w:rPr>
      </w:pPr>
      <w:r>
        <w:rPr>
          <w:snapToGrid w:val="0"/>
        </w:rPr>
        <w:t xml:space="preserve">If </w:t>
      </w:r>
      <w:r>
        <w:rPr>
          <w:i/>
          <w:snapToGrid w:val="0"/>
        </w:rPr>
        <w:t>you</w:t>
      </w:r>
      <w:r>
        <w:rPr>
          <w:snapToGrid w:val="0"/>
        </w:rPr>
        <w:t xml:space="preserve"> have more than one of these </w:t>
      </w:r>
      <w:r>
        <w:rPr>
          <w:i/>
          <w:snapToGrid w:val="0"/>
        </w:rPr>
        <w:t>plans</w:t>
      </w:r>
      <w:r>
        <w:rPr>
          <w:snapToGrid w:val="0"/>
        </w:rPr>
        <w:t xml:space="preserve">, the Included Data on each of the </w:t>
      </w:r>
      <w:r>
        <w:rPr>
          <w:i/>
          <w:snapToGrid w:val="0"/>
        </w:rPr>
        <w:t>plans</w:t>
      </w:r>
      <w:r>
        <w:rPr>
          <w:snapToGrid w:val="0"/>
        </w:rPr>
        <w:t xml:space="preserve"> adds together (data pool) for the mobiles to all use, and for any additional mobile broadband devices on Shared Data Plans to use. </w:t>
      </w:r>
    </w:p>
    <w:p w14:paraId="34E73676" w14:textId="77777777" w:rsidR="000D07EA" w:rsidRDefault="00BE7C89">
      <w:pPr>
        <w:pStyle w:val="Heading7"/>
        <w:rPr>
          <w:snapToGrid w:val="0"/>
        </w:rPr>
      </w:pPr>
      <w:r>
        <w:rPr>
          <w:snapToGrid w:val="0"/>
        </w:rPr>
        <w:t xml:space="preserve">If </w:t>
      </w:r>
      <w:r>
        <w:rPr>
          <w:i/>
          <w:snapToGrid w:val="0"/>
        </w:rPr>
        <w:t>you</w:t>
      </w:r>
      <w:r>
        <w:rPr>
          <w:snapToGrid w:val="0"/>
        </w:rPr>
        <w:t xml:space="preserve"> do not want your services to share data, they need to be on separate billing accounts, or </w:t>
      </w:r>
      <w:r>
        <w:rPr>
          <w:i/>
          <w:snapToGrid w:val="0"/>
        </w:rPr>
        <w:t>you</w:t>
      </w:r>
      <w:r>
        <w:rPr>
          <w:snapToGrid w:val="0"/>
        </w:rPr>
        <w:t xml:space="preserve"> can connect </w:t>
      </w:r>
      <w:r>
        <w:rPr>
          <w:i/>
          <w:snapToGrid w:val="0"/>
        </w:rPr>
        <w:t>your</w:t>
      </w:r>
      <w:r>
        <w:rPr>
          <w:snapToGrid w:val="0"/>
        </w:rPr>
        <w:t xml:space="preserve"> mobile broadband device to a standalone Mobile Broadband Plan.</w:t>
      </w:r>
    </w:p>
    <w:p w14:paraId="252115C6" w14:textId="77777777" w:rsidR="000D07EA" w:rsidRDefault="00BE7C89">
      <w:pPr>
        <w:pStyle w:val="Heading7"/>
        <w:rPr>
          <w:snapToGrid w:val="0"/>
        </w:rPr>
      </w:pPr>
      <w:r>
        <w:rPr>
          <w:snapToGrid w:val="0"/>
        </w:rPr>
        <w:t>Data sharing is only available within Australia.</w:t>
      </w:r>
    </w:p>
    <w:p w14:paraId="014D1CA8" w14:textId="77777777" w:rsidR="000D07EA" w:rsidRDefault="00BE7C89">
      <w:pPr>
        <w:pStyle w:val="Heading6"/>
        <w:ind w:left="0" w:firstLine="0"/>
        <w:rPr>
          <w:snapToGrid w:val="0"/>
        </w:rPr>
      </w:pPr>
      <w:bookmarkStart w:id="874" w:name="_Toc407110899"/>
      <w:r>
        <w:rPr>
          <w:snapToGrid w:val="0"/>
        </w:rPr>
        <w:t>Unlimited standard national SMS and MMS</w:t>
      </w:r>
      <w:bookmarkEnd w:id="874"/>
    </w:p>
    <w:p w14:paraId="065116B3" w14:textId="77777777" w:rsidR="000D07EA" w:rsidRDefault="00BE7C89">
      <w:pPr>
        <w:pStyle w:val="BodyText"/>
        <w:ind w:left="720"/>
      </w:pPr>
      <w:r>
        <w:rPr>
          <w:i/>
        </w:rPr>
        <w:t>You</w:t>
      </w:r>
      <w:r>
        <w:t xml:space="preserve"> may send unlimited SMS and MMS to Australian mobiles from within Australia.</w:t>
      </w:r>
    </w:p>
    <w:p w14:paraId="6FE0974F" w14:textId="77777777" w:rsidR="000D07EA" w:rsidRDefault="00BE7C89">
      <w:pPr>
        <w:pStyle w:val="BodyText"/>
        <w:ind w:left="720"/>
        <w:rPr>
          <w:rStyle w:val="Hyperlink"/>
          <w:i/>
        </w:rPr>
      </w:pPr>
      <w:r>
        <w:t>Unlimited SMS and MMS are only available for personal use and are not to be used for a commercial or non-ordinary purpose as set out in the Fair Go Policy (</w:t>
      </w:r>
      <w:hyperlink r:id="rId568" w:history="1">
        <w:r>
          <w:rPr>
            <w:rStyle w:val="Hyperlink"/>
            <w:i/>
          </w:rPr>
          <w:t>Appendix S</w:t>
        </w:r>
      </w:hyperlink>
      <w:r>
        <w:t xml:space="preserve">). For further details refer to </w:t>
      </w:r>
      <w:hyperlink r:id="rId569" w:history="1">
        <w:r w:rsidR="00503F23">
          <w:rPr>
            <w:rStyle w:val="Hyperlink"/>
            <w:i/>
          </w:rPr>
          <w:t>Appendix S</w:t>
        </w:r>
      </w:hyperlink>
      <w:r w:rsidRPr="00503F23">
        <w:rPr>
          <w:rStyle w:val="Hyperlink"/>
          <w:i/>
          <w:u w:val="none"/>
        </w:rPr>
        <w:t>.</w:t>
      </w:r>
    </w:p>
    <w:p w14:paraId="1619A593" w14:textId="77777777" w:rsidR="000D07EA" w:rsidRDefault="00BE7C89">
      <w:pPr>
        <w:pStyle w:val="Heading6"/>
        <w:ind w:left="0" w:firstLine="0"/>
        <w:rPr>
          <w:snapToGrid w:val="0"/>
        </w:rPr>
      </w:pPr>
      <w:bookmarkStart w:id="875" w:name="_Toc407110900"/>
      <w:r>
        <w:rPr>
          <w:snapToGrid w:val="0"/>
        </w:rPr>
        <w:t>Additional benefit – Handset Credit</w:t>
      </w:r>
      <w:bookmarkEnd w:id="875"/>
    </w:p>
    <w:p w14:paraId="70F1B3F8" w14:textId="77777777" w:rsidR="000D07EA" w:rsidRDefault="00BE7C89">
      <w:pPr>
        <w:pStyle w:val="Heading7"/>
      </w:pPr>
      <w:r>
        <w:rPr>
          <w:i/>
        </w:rPr>
        <w:t xml:space="preserve">You </w:t>
      </w:r>
      <w:r>
        <w:t>may</w:t>
      </w:r>
      <w:r>
        <w:rPr>
          <w:i/>
        </w:rPr>
        <w:t xml:space="preserve"> </w:t>
      </w:r>
      <w:r>
        <w:t>connect to a My Plan Business which has a monthly phone credit ('</w:t>
      </w:r>
      <w:r>
        <w:rPr>
          <w:b/>
        </w:rPr>
        <w:t>Handset Credit</w:t>
      </w:r>
      <w:r>
        <w:t xml:space="preserve">') each month for </w:t>
      </w:r>
      <w:r>
        <w:rPr>
          <w:i/>
        </w:rPr>
        <w:t>your minimum term</w:t>
      </w:r>
      <w:r>
        <w:t xml:space="preserve">, which will reduce the monthly repayment costs of the handset </w:t>
      </w:r>
      <w:r>
        <w:rPr>
          <w:i/>
        </w:rPr>
        <w:t xml:space="preserve">you </w:t>
      </w:r>
      <w:r>
        <w:t xml:space="preserve">have chosen with </w:t>
      </w:r>
      <w:r>
        <w:rPr>
          <w:i/>
        </w:rPr>
        <w:t>your pricing plan</w:t>
      </w:r>
      <w:r>
        <w:t xml:space="preserve">. </w:t>
      </w:r>
    </w:p>
    <w:p w14:paraId="03921A72" w14:textId="77777777" w:rsidR="000D07EA" w:rsidRDefault="00BE7C89">
      <w:pPr>
        <w:pStyle w:val="Heading7"/>
      </w:pPr>
      <w:r>
        <w:lastRenderedPageBreak/>
        <w:t xml:space="preserve">If </w:t>
      </w:r>
      <w:r>
        <w:rPr>
          <w:i/>
        </w:rPr>
        <w:t>you</w:t>
      </w:r>
      <w:r>
        <w:t xml:space="preserve"> </w:t>
      </w:r>
      <w:r>
        <w:rPr>
          <w:i/>
        </w:rPr>
        <w:t>cancel your pricing plan</w:t>
      </w:r>
      <w:r>
        <w:t xml:space="preserve"> or the </w:t>
      </w:r>
      <w:r>
        <w:rPr>
          <w:i/>
        </w:rPr>
        <w:t xml:space="preserve">mobile equipment payment plan </w:t>
      </w:r>
      <w:r>
        <w:t xml:space="preserve">during </w:t>
      </w:r>
      <w:r>
        <w:rPr>
          <w:i/>
        </w:rPr>
        <w:t>your minimum term</w:t>
      </w:r>
      <w:r>
        <w:t xml:space="preserve">, </w:t>
      </w:r>
      <w:r>
        <w:rPr>
          <w:i/>
        </w:rPr>
        <w:t>you</w:t>
      </w:r>
      <w:r>
        <w:t xml:space="preserve"> will no longer be entitled to these Handset Credits and </w:t>
      </w:r>
      <w:r>
        <w:rPr>
          <w:i/>
        </w:rPr>
        <w:t>you</w:t>
      </w:r>
      <w:r>
        <w:t xml:space="preserve"> must pay the remaining handset repayments in full in addition to any </w:t>
      </w:r>
      <w:r>
        <w:rPr>
          <w:i/>
        </w:rPr>
        <w:t>cancellation fee</w:t>
      </w:r>
      <w:r>
        <w:t>.</w:t>
      </w:r>
    </w:p>
    <w:p w14:paraId="170D49E1" w14:textId="77777777" w:rsidR="000D07EA" w:rsidRDefault="00BE7C89">
      <w:pPr>
        <w:pStyle w:val="Heading7"/>
      </w:pPr>
      <w:r>
        <w:t>The Handset Credit amounts are shown in Table 1 below.</w:t>
      </w:r>
    </w:p>
    <w:p w14:paraId="73D7F4A2" w14:textId="77777777" w:rsidR="000D07EA" w:rsidRDefault="00BE7C89" w:rsidP="00FB4F1A">
      <w:pPr>
        <w:pStyle w:val="BodyText"/>
        <w:keepNext/>
        <w:ind w:left="720"/>
        <w:rPr>
          <w:b/>
        </w:rPr>
      </w:pPr>
      <w:r>
        <w:rPr>
          <w:b/>
        </w:rPr>
        <w:t>Table 1 –Plan Inclusions and Charges</w:t>
      </w:r>
    </w:p>
    <w:tbl>
      <w:tblPr>
        <w:tblW w:w="96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268"/>
        <w:gridCol w:w="1476"/>
        <w:gridCol w:w="1476"/>
        <w:gridCol w:w="1476"/>
        <w:gridCol w:w="1476"/>
        <w:gridCol w:w="1476"/>
      </w:tblGrid>
      <w:tr w:rsidR="000D07EA" w14:paraId="7D4AF849" w14:textId="77777777">
        <w:trPr>
          <w:trHeight w:val="58"/>
          <w:tblHeader/>
        </w:trPr>
        <w:tc>
          <w:tcPr>
            <w:tcW w:w="2268" w:type="dxa"/>
            <w:shd w:val="clear" w:color="auto" w:fill="auto"/>
            <w:vAlign w:val="center"/>
          </w:tcPr>
          <w:p w14:paraId="3ED0D806" w14:textId="77777777" w:rsidR="000D07EA" w:rsidRDefault="000D07EA">
            <w:pPr>
              <w:pStyle w:val="BodyText"/>
              <w:spacing w:before="100" w:after="100"/>
              <w:jc w:val="center"/>
              <w:rPr>
                <w:rFonts w:eastAsia="Calibri"/>
              </w:rPr>
            </w:pPr>
          </w:p>
        </w:tc>
        <w:tc>
          <w:tcPr>
            <w:tcW w:w="1476" w:type="dxa"/>
            <w:vAlign w:val="center"/>
          </w:tcPr>
          <w:p w14:paraId="6CFC2AAE" w14:textId="77777777" w:rsidR="000D07EA" w:rsidRDefault="00BE7C89">
            <w:pPr>
              <w:pStyle w:val="BodyText"/>
              <w:spacing w:before="100" w:after="100"/>
              <w:jc w:val="center"/>
              <w:rPr>
                <w:rFonts w:eastAsia="Calibri"/>
                <w:b/>
              </w:rPr>
            </w:pPr>
            <w:r>
              <w:rPr>
                <w:rFonts w:eastAsia="Calibri"/>
                <w:b/>
              </w:rPr>
              <w:t>$35 My Plan Business</w:t>
            </w:r>
          </w:p>
        </w:tc>
        <w:tc>
          <w:tcPr>
            <w:tcW w:w="1476" w:type="dxa"/>
            <w:shd w:val="clear" w:color="auto" w:fill="auto"/>
            <w:vAlign w:val="center"/>
          </w:tcPr>
          <w:p w14:paraId="20FE4083" w14:textId="77777777" w:rsidR="000D07EA" w:rsidRDefault="00BE7C89">
            <w:pPr>
              <w:pStyle w:val="BodyText"/>
              <w:spacing w:before="100" w:after="100"/>
              <w:jc w:val="center"/>
              <w:rPr>
                <w:rFonts w:eastAsia="Calibri"/>
                <w:b/>
              </w:rPr>
            </w:pPr>
            <w:r>
              <w:rPr>
                <w:rFonts w:eastAsia="Calibri"/>
                <w:b/>
              </w:rPr>
              <w:t>$50 My Plan Business</w:t>
            </w:r>
          </w:p>
        </w:tc>
        <w:tc>
          <w:tcPr>
            <w:tcW w:w="1476" w:type="dxa"/>
            <w:shd w:val="clear" w:color="auto" w:fill="auto"/>
            <w:vAlign w:val="center"/>
          </w:tcPr>
          <w:p w14:paraId="54FD9943" w14:textId="77777777" w:rsidR="000D07EA" w:rsidRDefault="00BE7C89">
            <w:pPr>
              <w:pStyle w:val="BodyText"/>
              <w:spacing w:before="100" w:after="100"/>
              <w:jc w:val="center"/>
              <w:rPr>
                <w:rFonts w:eastAsia="Calibri"/>
                <w:b/>
              </w:rPr>
            </w:pPr>
            <w:r>
              <w:rPr>
                <w:rFonts w:eastAsia="Calibri"/>
                <w:b/>
              </w:rPr>
              <w:t>$60 My Plan Business</w:t>
            </w:r>
          </w:p>
        </w:tc>
        <w:tc>
          <w:tcPr>
            <w:tcW w:w="1476" w:type="dxa"/>
            <w:shd w:val="clear" w:color="auto" w:fill="auto"/>
            <w:vAlign w:val="center"/>
          </w:tcPr>
          <w:p w14:paraId="1FED779C" w14:textId="77777777" w:rsidR="000D07EA" w:rsidRDefault="00BE7C89">
            <w:pPr>
              <w:pStyle w:val="BodyText"/>
              <w:spacing w:before="100" w:after="100"/>
              <w:jc w:val="center"/>
              <w:rPr>
                <w:rFonts w:eastAsia="Calibri"/>
                <w:b/>
              </w:rPr>
            </w:pPr>
            <w:r>
              <w:rPr>
                <w:rFonts w:eastAsia="Calibri"/>
                <w:b/>
              </w:rPr>
              <w:t>$80 My Plan Business</w:t>
            </w:r>
          </w:p>
        </w:tc>
        <w:tc>
          <w:tcPr>
            <w:tcW w:w="1476" w:type="dxa"/>
            <w:vAlign w:val="center"/>
          </w:tcPr>
          <w:p w14:paraId="74124E19" w14:textId="77777777" w:rsidR="000D07EA" w:rsidRDefault="00BE7C89">
            <w:pPr>
              <w:pStyle w:val="BodyText"/>
              <w:spacing w:before="100" w:after="100"/>
              <w:jc w:val="center"/>
              <w:rPr>
                <w:rFonts w:eastAsia="Calibri"/>
                <w:b/>
              </w:rPr>
            </w:pPr>
            <w:r>
              <w:rPr>
                <w:rFonts w:eastAsia="Calibri"/>
                <w:b/>
              </w:rPr>
              <w:t>$100 My Plan Business</w:t>
            </w:r>
          </w:p>
        </w:tc>
      </w:tr>
      <w:tr w:rsidR="000D07EA" w14:paraId="6024B6F3" w14:textId="77777777">
        <w:trPr>
          <w:trHeight w:val="58"/>
        </w:trPr>
        <w:tc>
          <w:tcPr>
            <w:tcW w:w="2268" w:type="dxa"/>
            <w:shd w:val="clear" w:color="auto" w:fill="auto"/>
          </w:tcPr>
          <w:p w14:paraId="4023F53E" w14:textId="77777777" w:rsidR="000D07EA" w:rsidRDefault="00BE7C89">
            <w:pPr>
              <w:pStyle w:val="BodyText"/>
              <w:spacing w:before="100" w:after="100"/>
              <w:rPr>
                <w:rFonts w:eastAsia="Calibri"/>
              </w:rPr>
            </w:pPr>
            <w:r>
              <w:rPr>
                <w:rFonts w:eastAsia="Calibri"/>
                <w:b/>
                <w:bCs/>
              </w:rPr>
              <w:t>Minimum Monthly charge</w:t>
            </w:r>
          </w:p>
        </w:tc>
        <w:tc>
          <w:tcPr>
            <w:tcW w:w="1476" w:type="dxa"/>
            <w:vAlign w:val="center"/>
          </w:tcPr>
          <w:p w14:paraId="3E841494" w14:textId="77777777" w:rsidR="000D07EA" w:rsidRDefault="00BE7C89">
            <w:pPr>
              <w:pStyle w:val="BodyText"/>
              <w:spacing w:before="100" w:after="100"/>
              <w:jc w:val="center"/>
              <w:rPr>
                <w:rFonts w:eastAsia="Calibri"/>
              </w:rPr>
            </w:pPr>
            <w:r>
              <w:rPr>
                <w:rFonts w:eastAsia="Calibri"/>
              </w:rPr>
              <w:t>$35</w:t>
            </w:r>
          </w:p>
        </w:tc>
        <w:tc>
          <w:tcPr>
            <w:tcW w:w="1476" w:type="dxa"/>
            <w:shd w:val="clear" w:color="auto" w:fill="auto"/>
            <w:vAlign w:val="center"/>
          </w:tcPr>
          <w:p w14:paraId="6C164F6C" w14:textId="77777777" w:rsidR="000D07EA" w:rsidRDefault="00BE7C89">
            <w:pPr>
              <w:pStyle w:val="BodyText"/>
              <w:spacing w:before="100" w:after="100"/>
              <w:jc w:val="center"/>
              <w:rPr>
                <w:rFonts w:eastAsia="Calibri"/>
              </w:rPr>
            </w:pPr>
            <w:r>
              <w:rPr>
                <w:rFonts w:eastAsia="Calibri"/>
              </w:rPr>
              <w:t>$50</w:t>
            </w:r>
          </w:p>
        </w:tc>
        <w:tc>
          <w:tcPr>
            <w:tcW w:w="1476" w:type="dxa"/>
            <w:shd w:val="clear" w:color="auto" w:fill="auto"/>
            <w:vAlign w:val="center"/>
          </w:tcPr>
          <w:p w14:paraId="2EF1E463" w14:textId="77777777" w:rsidR="000D07EA" w:rsidRDefault="00BE7C89">
            <w:pPr>
              <w:pStyle w:val="BodyText"/>
              <w:spacing w:before="100" w:after="100"/>
              <w:jc w:val="center"/>
              <w:rPr>
                <w:rFonts w:eastAsia="Calibri"/>
              </w:rPr>
            </w:pPr>
            <w:r>
              <w:rPr>
                <w:rFonts w:eastAsia="Calibri"/>
              </w:rPr>
              <w:t>$60</w:t>
            </w:r>
          </w:p>
        </w:tc>
        <w:tc>
          <w:tcPr>
            <w:tcW w:w="1476" w:type="dxa"/>
            <w:shd w:val="clear" w:color="auto" w:fill="auto"/>
            <w:vAlign w:val="center"/>
          </w:tcPr>
          <w:p w14:paraId="10D37113" w14:textId="77777777" w:rsidR="000D07EA" w:rsidRDefault="00BE7C89">
            <w:pPr>
              <w:pStyle w:val="BodyText"/>
              <w:spacing w:before="100" w:after="100"/>
              <w:jc w:val="center"/>
              <w:rPr>
                <w:rFonts w:eastAsia="Calibri"/>
              </w:rPr>
            </w:pPr>
            <w:r>
              <w:rPr>
                <w:rFonts w:eastAsia="Calibri"/>
              </w:rPr>
              <w:t>$80</w:t>
            </w:r>
          </w:p>
        </w:tc>
        <w:tc>
          <w:tcPr>
            <w:tcW w:w="1476" w:type="dxa"/>
            <w:vAlign w:val="center"/>
          </w:tcPr>
          <w:p w14:paraId="1AA5A7D8" w14:textId="77777777" w:rsidR="000D07EA" w:rsidRDefault="00BE7C89">
            <w:pPr>
              <w:pStyle w:val="BodyText"/>
              <w:spacing w:before="100" w:after="100"/>
              <w:jc w:val="center"/>
              <w:rPr>
                <w:rFonts w:eastAsia="Calibri"/>
              </w:rPr>
            </w:pPr>
            <w:r>
              <w:rPr>
                <w:rFonts w:eastAsia="Calibri"/>
              </w:rPr>
              <w:t>$100</w:t>
            </w:r>
          </w:p>
        </w:tc>
      </w:tr>
      <w:tr w:rsidR="000D07EA" w14:paraId="5FFD28C7" w14:textId="77777777">
        <w:tc>
          <w:tcPr>
            <w:tcW w:w="2268" w:type="dxa"/>
            <w:shd w:val="clear" w:color="auto" w:fill="auto"/>
          </w:tcPr>
          <w:p w14:paraId="7B8B6BEE" w14:textId="77777777" w:rsidR="000D07EA" w:rsidRDefault="00BE7C89">
            <w:pPr>
              <w:pStyle w:val="BodyText"/>
              <w:spacing w:before="100" w:after="100"/>
              <w:rPr>
                <w:rFonts w:eastAsia="Calibri"/>
              </w:rPr>
            </w:pPr>
            <w:r>
              <w:rPr>
                <w:rFonts w:eastAsia="Calibri"/>
                <w:b/>
                <w:bCs/>
              </w:rPr>
              <w:t>Included Data</w:t>
            </w:r>
          </w:p>
        </w:tc>
        <w:tc>
          <w:tcPr>
            <w:tcW w:w="1476" w:type="dxa"/>
            <w:vAlign w:val="center"/>
          </w:tcPr>
          <w:p w14:paraId="2EB879A1" w14:textId="77777777" w:rsidR="000D07EA" w:rsidRDefault="00BE7C89">
            <w:pPr>
              <w:pStyle w:val="BodyText"/>
              <w:spacing w:before="100" w:after="100"/>
              <w:jc w:val="center"/>
              <w:rPr>
                <w:rFonts w:eastAsia="Calibri"/>
              </w:rPr>
            </w:pPr>
            <w:r>
              <w:rPr>
                <w:rFonts w:eastAsia="Calibri"/>
              </w:rPr>
              <w:t>500MB</w:t>
            </w:r>
          </w:p>
        </w:tc>
        <w:tc>
          <w:tcPr>
            <w:tcW w:w="1476" w:type="dxa"/>
            <w:shd w:val="clear" w:color="auto" w:fill="auto"/>
            <w:vAlign w:val="center"/>
          </w:tcPr>
          <w:p w14:paraId="761EEC2D" w14:textId="77777777" w:rsidR="000D07EA" w:rsidRDefault="00BE7C89">
            <w:pPr>
              <w:pStyle w:val="BodyText"/>
              <w:spacing w:before="100" w:after="100"/>
              <w:jc w:val="center"/>
              <w:rPr>
                <w:rFonts w:eastAsia="Calibri"/>
              </w:rPr>
            </w:pPr>
            <w:r>
              <w:rPr>
                <w:rFonts w:eastAsia="Calibri"/>
              </w:rPr>
              <w:t>1GB</w:t>
            </w:r>
          </w:p>
        </w:tc>
        <w:tc>
          <w:tcPr>
            <w:tcW w:w="1476" w:type="dxa"/>
            <w:shd w:val="clear" w:color="auto" w:fill="auto"/>
            <w:vAlign w:val="center"/>
          </w:tcPr>
          <w:p w14:paraId="1B57809F" w14:textId="77777777" w:rsidR="000D07EA" w:rsidRDefault="00BE7C89">
            <w:pPr>
              <w:pStyle w:val="BodyText"/>
              <w:spacing w:before="100" w:after="100"/>
              <w:jc w:val="center"/>
              <w:rPr>
                <w:rFonts w:eastAsia="Calibri"/>
              </w:rPr>
            </w:pPr>
            <w:r>
              <w:rPr>
                <w:rFonts w:eastAsia="Calibri"/>
              </w:rPr>
              <w:t>2GB</w:t>
            </w:r>
          </w:p>
        </w:tc>
        <w:tc>
          <w:tcPr>
            <w:tcW w:w="1476" w:type="dxa"/>
            <w:shd w:val="clear" w:color="auto" w:fill="auto"/>
            <w:vAlign w:val="center"/>
          </w:tcPr>
          <w:p w14:paraId="06EE1A6C" w14:textId="77777777" w:rsidR="000D07EA" w:rsidRDefault="00BE7C89">
            <w:pPr>
              <w:pStyle w:val="BodyText"/>
              <w:spacing w:before="100" w:after="100"/>
              <w:jc w:val="center"/>
              <w:rPr>
                <w:rFonts w:eastAsia="Calibri"/>
              </w:rPr>
            </w:pPr>
            <w:r>
              <w:rPr>
                <w:rFonts w:eastAsia="Calibri"/>
              </w:rPr>
              <w:t>3GB</w:t>
            </w:r>
          </w:p>
        </w:tc>
        <w:tc>
          <w:tcPr>
            <w:tcW w:w="1476" w:type="dxa"/>
            <w:vAlign w:val="center"/>
          </w:tcPr>
          <w:p w14:paraId="77785FB9" w14:textId="77777777" w:rsidR="000D07EA" w:rsidRDefault="00BE7C89">
            <w:pPr>
              <w:pStyle w:val="BodyText"/>
              <w:spacing w:before="100" w:after="100"/>
              <w:jc w:val="center"/>
              <w:rPr>
                <w:rFonts w:eastAsia="Calibri"/>
              </w:rPr>
            </w:pPr>
            <w:r>
              <w:rPr>
                <w:rFonts w:eastAsia="Calibri"/>
              </w:rPr>
              <w:t>5GB</w:t>
            </w:r>
          </w:p>
        </w:tc>
      </w:tr>
      <w:tr w:rsidR="000D07EA" w14:paraId="5EB61017" w14:textId="77777777">
        <w:tc>
          <w:tcPr>
            <w:tcW w:w="2268" w:type="dxa"/>
            <w:shd w:val="clear" w:color="auto" w:fill="auto"/>
          </w:tcPr>
          <w:p w14:paraId="0E123BC7" w14:textId="77777777" w:rsidR="000D07EA" w:rsidRDefault="00BE7C89">
            <w:pPr>
              <w:pStyle w:val="BodyText"/>
              <w:spacing w:before="100" w:after="100"/>
              <w:rPr>
                <w:rFonts w:eastAsia="Calibri"/>
              </w:rPr>
            </w:pPr>
            <w:r>
              <w:rPr>
                <w:rFonts w:eastAsia="Calibri"/>
                <w:b/>
                <w:bCs/>
              </w:rPr>
              <w:t xml:space="preserve">Included Minutes </w:t>
            </w:r>
          </w:p>
        </w:tc>
        <w:tc>
          <w:tcPr>
            <w:tcW w:w="1476" w:type="dxa"/>
            <w:vAlign w:val="center"/>
          </w:tcPr>
          <w:p w14:paraId="6C8C00D4" w14:textId="77777777" w:rsidR="000D07EA" w:rsidRDefault="00BE7C89">
            <w:pPr>
              <w:pStyle w:val="BodyText"/>
              <w:spacing w:before="100" w:after="100"/>
              <w:jc w:val="center"/>
              <w:rPr>
                <w:rFonts w:eastAsia="Calibri"/>
              </w:rPr>
            </w:pPr>
            <w:r>
              <w:rPr>
                <w:rFonts w:eastAsia="Calibri"/>
              </w:rPr>
              <w:t>Up to</w:t>
            </w:r>
          </w:p>
          <w:p w14:paraId="5208C66A" w14:textId="77777777" w:rsidR="000D07EA" w:rsidRDefault="00BE7C89">
            <w:pPr>
              <w:pStyle w:val="BodyText"/>
              <w:spacing w:before="100" w:after="100"/>
              <w:jc w:val="center"/>
              <w:rPr>
                <w:rFonts w:eastAsia="Calibri"/>
              </w:rPr>
            </w:pPr>
            <w:r>
              <w:rPr>
                <w:rFonts w:eastAsia="Calibri"/>
              </w:rPr>
              <w:t>300 minutes</w:t>
            </w:r>
          </w:p>
        </w:tc>
        <w:tc>
          <w:tcPr>
            <w:tcW w:w="1476" w:type="dxa"/>
            <w:shd w:val="clear" w:color="auto" w:fill="auto"/>
            <w:vAlign w:val="center"/>
          </w:tcPr>
          <w:p w14:paraId="35B0C506" w14:textId="77777777" w:rsidR="000D07EA" w:rsidRDefault="00BE7C89">
            <w:pPr>
              <w:pStyle w:val="BodyText"/>
              <w:spacing w:before="100" w:after="100"/>
              <w:jc w:val="center"/>
              <w:rPr>
                <w:rFonts w:eastAsia="Calibri"/>
              </w:rPr>
            </w:pPr>
            <w:r>
              <w:rPr>
                <w:rFonts w:eastAsia="Calibri"/>
              </w:rPr>
              <w:t>Up to</w:t>
            </w:r>
          </w:p>
          <w:p w14:paraId="59833BF6" w14:textId="77777777" w:rsidR="000D07EA" w:rsidRDefault="00BE7C89">
            <w:pPr>
              <w:pStyle w:val="BodyText"/>
              <w:spacing w:before="100" w:after="100"/>
              <w:jc w:val="center"/>
              <w:rPr>
                <w:rFonts w:eastAsia="Calibri"/>
              </w:rPr>
            </w:pPr>
            <w:r>
              <w:rPr>
                <w:rFonts w:eastAsia="Calibri"/>
              </w:rPr>
              <w:t>600 minutes</w:t>
            </w:r>
          </w:p>
        </w:tc>
        <w:tc>
          <w:tcPr>
            <w:tcW w:w="1476" w:type="dxa"/>
            <w:shd w:val="clear" w:color="auto" w:fill="auto"/>
            <w:vAlign w:val="center"/>
          </w:tcPr>
          <w:p w14:paraId="1AA042D5" w14:textId="77777777" w:rsidR="000D07EA" w:rsidRDefault="00BE7C89">
            <w:pPr>
              <w:pStyle w:val="BodyText"/>
              <w:spacing w:before="100" w:after="100"/>
              <w:jc w:val="center"/>
              <w:rPr>
                <w:rFonts w:eastAsia="Calibri"/>
              </w:rPr>
            </w:pPr>
            <w:r>
              <w:rPr>
                <w:rFonts w:eastAsia="Calibri"/>
              </w:rPr>
              <w:t>Unlimited minutes</w:t>
            </w:r>
          </w:p>
        </w:tc>
        <w:tc>
          <w:tcPr>
            <w:tcW w:w="1476" w:type="dxa"/>
            <w:shd w:val="clear" w:color="auto" w:fill="auto"/>
            <w:vAlign w:val="center"/>
          </w:tcPr>
          <w:p w14:paraId="11309F87" w14:textId="77777777" w:rsidR="000D07EA" w:rsidRDefault="00BE7C89">
            <w:pPr>
              <w:pStyle w:val="BodyText"/>
              <w:spacing w:before="100" w:after="100"/>
              <w:jc w:val="center"/>
              <w:rPr>
                <w:rFonts w:eastAsia="Calibri"/>
              </w:rPr>
            </w:pPr>
            <w:r>
              <w:rPr>
                <w:rFonts w:eastAsia="Calibri"/>
              </w:rPr>
              <w:t>Unlimited minutes</w:t>
            </w:r>
          </w:p>
        </w:tc>
        <w:tc>
          <w:tcPr>
            <w:tcW w:w="1476" w:type="dxa"/>
            <w:vAlign w:val="center"/>
          </w:tcPr>
          <w:p w14:paraId="1164AFB9" w14:textId="77777777" w:rsidR="000D07EA" w:rsidRDefault="00BE7C89">
            <w:pPr>
              <w:pStyle w:val="BodyText"/>
              <w:spacing w:before="100" w:after="100"/>
              <w:jc w:val="center"/>
              <w:rPr>
                <w:rFonts w:eastAsia="Calibri"/>
              </w:rPr>
            </w:pPr>
            <w:r>
              <w:rPr>
                <w:rFonts w:eastAsia="Calibri"/>
              </w:rPr>
              <w:t>Unlimited minutes</w:t>
            </w:r>
          </w:p>
        </w:tc>
      </w:tr>
      <w:tr w:rsidR="000D07EA" w14:paraId="5DAE15EB" w14:textId="77777777">
        <w:trPr>
          <w:trHeight w:val="58"/>
        </w:trPr>
        <w:tc>
          <w:tcPr>
            <w:tcW w:w="2268" w:type="dxa"/>
            <w:shd w:val="clear" w:color="auto" w:fill="auto"/>
          </w:tcPr>
          <w:p w14:paraId="099431ED" w14:textId="77777777" w:rsidR="000D07EA" w:rsidRDefault="00BE7C89">
            <w:pPr>
              <w:pStyle w:val="BodyText"/>
              <w:spacing w:before="100" w:after="100"/>
              <w:rPr>
                <w:rFonts w:eastAsia="Calibri"/>
              </w:rPr>
            </w:pPr>
            <w:r>
              <w:rPr>
                <w:rFonts w:eastAsia="Calibri"/>
                <w:b/>
                <w:bCs/>
              </w:rPr>
              <w:t xml:space="preserve">Standard national SMS </w:t>
            </w:r>
            <w:r>
              <w:rPr>
                <w:rFonts w:eastAsia="Calibri"/>
              </w:rPr>
              <w:t>(per SMS of up to 160 standard characters)</w:t>
            </w:r>
          </w:p>
        </w:tc>
        <w:tc>
          <w:tcPr>
            <w:tcW w:w="1476" w:type="dxa"/>
            <w:vAlign w:val="center"/>
          </w:tcPr>
          <w:p w14:paraId="154C1656" w14:textId="77777777" w:rsidR="000D07EA" w:rsidRDefault="00BE7C89">
            <w:pPr>
              <w:pStyle w:val="BodyText"/>
              <w:spacing w:before="100" w:after="100"/>
              <w:jc w:val="center"/>
              <w:rPr>
                <w:rFonts w:eastAsia="Calibri"/>
              </w:rPr>
            </w:pPr>
            <w:r>
              <w:rPr>
                <w:rFonts w:eastAsia="Calibri"/>
              </w:rPr>
              <w:t>Unlimited</w:t>
            </w:r>
          </w:p>
        </w:tc>
        <w:tc>
          <w:tcPr>
            <w:tcW w:w="1476" w:type="dxa"/>
            <w:shd w:val="clear" w:color="auto" w:fill="auto"/>
            <w:vAlign w:val="center"/>
          </w:tcPr>
          <w:p w14:paraId="23018E6D" w14:textId="77777777" w:rsidR="000D07EA" w:rsidRDefault="00BE7C89">
            <w:pPr>
              <w:pStyle w:val="BodyText"/>
              <w:spacing w:before="100" w:after="100"/>
              <w:jc w:val="center"/>
              <w:rPr>
                <w:rFonts w:eastAsia="Calibri"/>
              </w:rPr>
            </w:pPr>
            <w:r>
              <w:rPr>
                <w:rFonts w:eastAsia="Calibri"/>
              </w:rPr>
              <w:t>Unlimited</w:t>
            </w:r>
          </w:p>
        </w:tc>
        <w:tc>
          <w:tcPr>
            <w:tcW w:w="1476" w:type="dxa"/>
            <w:shd w:val="clear" w:color="auto" w:fill="auto"/>
            <w:vAlign w:val="center"/>
          </w:tcPr>
          <w:p w14:paraId="0DC1B362" w14:textId="77777777" w:rsidR="000D07EA" w:rsidRDefault="00BE7C89">
            <w:pPr>
              <w:pStyle w:val="BodyText"/>
              <w:spacing w:before="100" w:after="100"/>
              <w:jc w:val="center"/>
              <w:rPr>
                <w:rFonts w:eastAsia="Calibri"/>
              </w:rPr>
            </w:pPr>
            <w:r>
              <w:rPr>
                <w:rFonts w:eastAsia="Calibri"/>
              </w:rPr>
              <w:t>Unlimited</w:t>
            </w:r>
          </w:p>
        </w:tc>
        <w:tc>
          <w:tcPr>
            <w:tcW w:w="1476" w:type="dxa"/>
            <w:shd w:val="clear" w:color="auto" w:fill="auto"/>
            <w:vAlign w:val="center"/>
          </w:tcPr>
          <w:p w14:paraId="5B0B6A87" w14:textId="77777777" w:rsidR="000D07EA" w:rsidRDefault="00BE7C89">
            <w:pPr>
              <w:pStyle w:val="BodyText"/>
              <w:spacing w:before="100" w:after="100"/>
              <w:jc w:val="center"/>
              <w:rPr>
                <w:rFonts w:eastAsia="Calibri"/>
              </w:rPr>
            </w:pPr>
            <w:r>
              <w:rPr>
                <w:rFonts w:eastAsia="Calibri"/>
              </w:rPr>
              <w:t>Unlimited</w:t>
            </w:r>
          </w:p>
        </w:tc>
        <w:tc>
          <w:tcPr>
            <w:tcW w:w="1476" w:type="dxa"/>
            <w:vAlign w:val="center"/>
          </w:tcPr>
          <w:p w14:paraId="60029229" w14:textId="77777777" w:rsidR="000D07EA" w:rsidRDefault="00BE7C89">
            <w:pPr>
              <w:pStyle w:val="BodyText"/>
              <w:spacing w:before="100" w:after="100"/>
              <w:jc w:val="center"/>
              <w:rPr>
                <w:rFonts w:eastAsia="Calibri"/>
              </w:rPr>
            </w:pPr>
            <w:r>
              <w:rPr>
                <w:rFonts w:eastAsia="Calibri"/>
              </w:rPr>
              <w:t>Unlimited</w:t>
            </w:r>
          </w:p>
        </w:tc>
      </w:tr>
      <w:tr w:rsidR="000D07EA" w14:paraId="5950A2A9" w14:textId="77777777">
        <w:tc>
          <w:tcPr>
            <w:tcW w:w="2268" w:type="dxa"/>
            <w:shd w:val="clear" w:color="auto" w:fill="auto"/>
          </w:tcPr>
          <w:p w14:paraId="7A8BCF34" w14:textId="77777777" w:rsidR="000D07EA" w:rsidRDefault="00BE7C89">
            <w:pPr>
              <w:pStyle w:val="BodyText"/>
              <w:spacing w:before="100" w:after="100"/>
              <w:rPr>
                <w:rFonts w:eastAsia="Calibri"/>
                <w:b/>
                <w:bCs/>
              </w:rPr>
            </w:pPr>
            <w:r>
              <w:rPr>
                <w:rFonts w:eastAsia="Calibri"/>
                <w:b/>
                <w:bCs/>
              </w:rPr>
              <w:t xml:space="preserve">Standard national MMS </w:t>
            </w:r>
            <w:r>
              <w:rPr>
                <w:rFonts w:eastAsia="Calibri"/>
              </w:rPr>
              <w:t>(per message)</w:t>
            </w:r>
          </w:p>
        </w:tc>
        <w:tc>
          <w:tcPr>
            <w:tcW w:w="1476" w:type="dxa"/>
            <w:vAlign w:val="center"/>
          </w:tcPr>
          <w:p w14:paraId="6099013D" w14:textId="77777777" w:rsidR="000D07EA" w:rsidRDefault="00BE7C89">
            <w:pPr>
              <w:pStyle w:val="BodyText"/>
              <w:spacing w:before="100" w:after="100"/>
              <w:jc w:val="center"/>
              <w:rPr>
                <w:rFonts w:eastAsia="Calibri"/>
              </w:rPr>
            </w:pPr>
            <w:r>
              <w:rPr>
                <w:rFonts w:eastAsia="Calibri"/>
              </w:rPr>
              <w:t>Unlimited</w:t>
            </w:r>
          </w:p>
        </w:tc>
        <w:tc>
          <w:tcPr>
            <w:tcW w:w="1476" w:type="dxa"/>
            <w:shd w:val="clear" w:color="auto" w:fill="auto"/>
            <w:vAlign w:val="center"/>
          </w:tcPr>
          <w:p w14:paraId="68D16B08" w14:textId="77777777" w:rsidR="000D07EA" w:rsidRDefault="00BE7C89">
            <w:pPr>
              <w:pStyle w:val="BodyText"/>
              <w:spacing w:before="100" w:after="100"/>
              <w:jc w:val="center"/>
              <w:rPr>
                <w:rFonts w:eastAsia="Calibri"/>
              </w:rPr>
            </w:pPr>
            <w:r>
              <w:rPr>
                <w:rFonts w:eastAsia="Calibri"/>
              </w:rPr>
              <w:t>Unlimited</w:t>
            </w:r>
          </w:p>
        </w:tc>
        <w:tc>
          <w:tcPr>
            <w:tcW w:w="1476" w:type="dxa"/>
            <w:shd w:val="clear" w:color="auto" w:fill="auto"/>
            <w:vAlign w:val="center"/>
          </w:tcPr>
          <w:p w14:paraId="450404FF" w14:textId="77777777" w:rsidR="000D07EA" w:rsidRDefault="00BE7C89">
            <w:pPr>
              <w:pStyle w:val="BodyText"/>
              <w:spacing w:before="100" w:after="100"/>
              <w:jc w:val="center"/>
              <w:rPr>
                <w:rFonts w:eastAsia="Calibri"/>
              </w:rPr>
            </w:pPr>
            <w:r>
              <w:rPr>
                <w:rFonts w:eastAsia="Calibri"/>
              </w:rPr>
              <w:t>Unlimited</w:t>
            </w:r>
          </w:p>
        </w:tc>
        <w:tc>
          <w:tcPr>
            <w:tcW w:w="1476" w:type="dxa"/>
            <w:shd w:val="clear" w:color="auto" w:fill="auto"/>
            <w:vAlign w:val="center"/>
          </w:tcPr>
          <w:p w14:paraId="4640847A" w14:textId="77777777" w:rsidR="000D07EA" w:rsidRDefault="00BE7C89">
            <w:pPr>
              <w:pStyle w:val="BodyText"/>
              <w:spacing w:before="100" w:after="100"/>
              <w:jc w:val="center"/>
              <w:rPr>
                <w:rFonts w:eastAsia="Calibri"/>
              </w:rPr>
            </w:pPr>
            <w:r>
              <w:rPr>
                <w:rFonts w:eastAsia="Calibri"/>
              </w:rPr>
              <w:t>Unlimited</w:t>
            </w:r>
          </w:p>
        </w:tc>
        <w:tc>
          <w:tcPr>
            <w:tcW w:w="1476" w:type="dxa"/>
            <w:vAlign w:val="center"/>
          </w:tcPr>
          <w:p w14:paraId="34270DFE" w14:textId="77777777" w:rsidR="000D07EA" w:rsidRDefault="00BE7C89">
            <w:pPr>
              <w:pStyle w:val="BodyText"/>
              <w:spacing w:before="100" w:after="100"/>
              <w:jc w:val="center"/>
              <w:rPr>
                <w:rFonts w:eastAsia="Calibri"/>
              </w:rPr>
            </w:pPr>
            <w:r>
              <w:rPr>
                <w:rFonts w:eastAsia="Calibri"/>
              </w:rPr>
              <w:t>Unlimited</w:t>
            </w:r>
          </w:p>
        </w:tc>
      </w:tr>
      <w:tr w:rsidR="000D07EA" w14:paraId="01057440" w14:textId="77777777">
        <w:tc>
          <w:tcPr>
            <w:tcW w:w="2268" w:type="dxa"/>
            <w:shd w:val="clear" w:color="auto" w:fill="auto"/>
          </w:tcPr>
          <w:p w14:paraId="057D21FD" w14:textId="77777777" w:rsidR="000D07EA" w:rsidRDefault="00BE7C89">
            <w:pPr>
              <w:pStyle w:val="BodyText"/>
              <w:spacing w:before="100" w:after="100"/>
              <w:rPr>
                <w:rFonts w:eastAsia="Calibri"/>
                <w:b/>
                <w:bCs/>
              </w:rPr>
            </w:pPr>
            <w:r>
              <w:rPr>
                <w:rFonts w:eastAsia="Calibri"/>
                <w:b/>
                <w:bCs/>
              </w:rPr>
              <w:t xml:space="preserve">Handset Credit for Plan IDs: 800190, 800191, 800192, 800193, 800194 (see clause </w:t>
            </w:r>
            <w:r w:rsidR="00C67DDF">
              <w:rPr>
                <w:rFonts w:eastAsia="Calibri"/>
                <w:b/>
                <w:bCs/>
                <w:color w:val="FF0000"/>
              </w:rPr>
              <w:t>111.7</w:t>
            </w:r>
            <w:r>
              <w:rPr>
                <w:rFonts w:eastAsia="Calibri"/>
                <w:b/>
                <w:bCs/>
              </w:rPr>
              <w:t xml:space="preserve"> above) </w:t>
            </w:r>
          </w:p>
        </w:tc>
        <w:tc>
          <w:tcPr>
            <w:tcW w:w="1476" w:type="dxa"/>
            <w:vAlign w:val="center"/>
          </w:tcPr>
          <w:p w14:paraId="2C8D8C4D" w14:textId="77777777" w:rsidR="000D07EA" w:rsidRDefault="00BE7C89">
            <w:pPr>
              <w:pStyle w:val="BodyText"/>
              <w:spacing w:before="100" w:after="100"/>
              <w:jc w:val="center"/>
              <w:rPr>
                <w:rFonts w:eastAsia="Calibri"/>
              </w:rPr>
            </w:pPr>
            <w:r>
              <w:rPr>
                <w:rFonts w:eastAsia="Calibri"/>
              </w:rPr>
              <w:t>$5</w:t>
            </w:r>
          </w:p>
        </w:tc>
        <w:tc>
          <w:tcPr>
            <w:tcW w:w="1476" w:type="dxa"/>
            <w:shd w:val="clear" w:color="auto" w:fill="auto"/>
            <w:vAlign w:val="center"/>
          </w:tcPr>
          <w:p w14:paraId="4D4C31F3" w14:textId="77777777" w:rsidR="000D07EA" w:rsidRDefault="00BE7C89">
            <w:pPr>
              <w:pStyle w:val="BodyText"/>
              <w:spacing w:before="100" w:after="100"/>
              <w:jc w:val="center"/>
              <w:rPr>
                <w:rFonts w:eastAsia="Calibri"/>
              </w:rPr>
            </w:pPr>
            <w:r>
              <w:rPr>
                <w:rFonts w:eastAsia="Calibri"/>
              </w:rPr>
              <w:t>$10</w:t>
            </w:r>
          </w:p>
        </w:tc>
        <w:tc>
          <w:tcPr>
            <w:tcW w:w="1476" w:type="dxa"/>
            <w:shd w:val="clear" w:color="auto" w:fill="auto"/>
            <w:vAlign w:val="center"/>
          </w:tcPr>
          <w:p w14:paraId="7F251828" w14:textId="77777777" w:rsidR="000D07EA" w:rsidRDefault="00BE7C89">
            <w:pPr>
              <w:pStyle w:val="BodyText"/>
              <w:spacing w:before="100" w:after="100"/>
              <w:jc w:val="center"/>
              <w:rPr>
                <w:rFonts w:eastAsia="Calibri"/>
              </w:rPr>
            </w:pPr>
            <w:r>
              <w:rPr>
                <w:rFonts w:eastAsia="Calibri"/>
              </w:rPr>
              <w:t>$10</w:t>
            </w:r>
          </w:p>
        </w:tc>
        <w:tc>
          <w:tcPr>
            <w:tcW w:w="1476" w:type="dxa"/>
            <w:shd w:val="clear" w:color="auto" w:fill="auto"/>
            <w:vAlign w:val="center"/>
          </w:tcPr>
          <w:p w14:paraId="4D1CB16A" w14:textId="77777777" w:rsidR="000D07EA" w:rsidRDefault="00BE7C89">
            <w:pPr>
              <w:pStyle w:val="BodyText"/>
              <w:spacing w:before="100" w:after="100"/>
              <w:jc w:val="center"/>
              <w:rPr>
                <w:rFonts w:eastAsia="Calibri"/>
              </w:rPr>
            </w:pPr>
            <w:r>
              <w:rPr>
                <w:rFonts w:eastAsia="Calibri"/>
              </w:rPr>
              <w:t>$20</w:t>
            </w:r>
          </w:p>
        </w:tc>
        <w:tc>
          <w:tcPr>
            <w:tcW w:w="1476" w:type="dxa"/>
            <w:vAlign w:val="center"/>
          </w:tcPr>
          <w:p w14:paraId="60CF0526" w14:textId="77777777" w:rsidR="000D07EA" w:rsidRDefault="00BE7C89">
            <w:pPr>
              <w:pStyle w:val="BodyText"/>
              <w:spacing w:before="100" w:after="100"/>
              <w:jc w:val="center"/>
              <w:rPr>
                <w:rFonts w:eastAsia="Calibri"/>
              </w:rPr>
            </w:pPr>
            <w:r>
              <w:rPr>
                <w:rFonts w:eastAsia="Calibri"/>
              </w:rPr>
              <w:t>$20</w:t>
            </w:r>
          </w:p>
        </w:tc>
      </w:tr>
      <w:tr w:rsidR="000D07EA" w14:paraId="28E2302D" w14:textId="77777777">
        <w:tc>
          <w:tcPr>
            <w:tcW w:w="2268" w:type="dxa"/>
            <w:shd w:val="clear" w:color="auto" w:fill="auto"/>
          </w:tcPr>
          <w:p w14:paraId="49496EE0" w14:textId="77777777" w:rsidR="000D07EA" w:rsidRDefault="00BE7C89">
            <w:pPr>
              <w:pStyle w:val="BodyText"/>
              <w:spacing w:before="100" w:after="100"/>
              <w:rPr>
                <w:rFonts w:eastAsia="Calibri"/>
                <w:b/>
                <w:bCs/>
              </w:rPr>
            </w:pPr>
            <w:r>
              <w:rPr>
                <w:rFonts w:eastAsia="Calibri"/>
                <w:b/>
                <w:bCs/>
              </w:rPr>
              <w:t xml:space="preserve">Handset Credit for Plan ID 800207 (see clause </w:t>
            </w:r>
            <w:r w:rsidR="00C67DDF">
              <w:rPr>
                <w:rFonts w:eastAsia="Calibri"/>
                <w:b/>
                <w:bCs/>
                <w:color w:val="FF0000"/>
              </w:rPr>
              <w:t>111.7</w:t>
            </w:r>
            <w:r>
              <w:rPr>
                <w:rFonts w:eastAsia="Calibri"/>
                <w:b/>
                <w:bCs/>
              </w:rPr>
              <w:t xml:space="preserve"> above)</w:t>
            </w:r>
          </w:p>
        </w:tc>
        <w:tc>
          <w:tcPr>
            <w:tcW w:w="1476" w:type="dxa"/>
            <w:vAlign w:val="center"/>
          </w:tcPr>
          <w:p w14:paraId="212F66FD" w14:textId="77777777" w:rsidR="000D07EA" w:rsidRDefault="000D07EA">
            <w:pPr>
              <w:pStyle w:val="BodyText"/>
              <w:spacing w:before="100" w:after="100"/>
              <w:jc w:val="center"/>
              <w:rPr>
                <w:rFonts w:eastAsia="Calibri"/>
              </w:rPr>
            </w:pPr>
          </w:p>
        </w:tc>
        <w:tc>
          <w:tcPr>
            <w:tcW w:w="1476" w:type="dxa"/>
            <w:shd w:val="clear" w:color="auto" w:fill="auto"/>
            <w:vAlign w:val="center"/>
          </w:tcPr>
          <w:p w14:paraId="328EAE29" w14:textId="77777777" w:rsidR="000D07EA" w:rsidRDefault="000D07EA">
            <w:pPr>
              <w:pStyle w:val="BodyText"/>
              <w:spacing w:before="100" w:after="100"/>
              <w:jc w:val="center"/>
              <w:rPr>
                <w:rFonts w:eastAsia="Calibri"/>
              </w:rPr>
            </w:pPr>
          </w:p>
        </w:tc>
        <w:tc>
          <w:tcPr>
            <w:tcW w:w="1476" w:type="dxa"/>
            <w:shd w:val="clear" w:color="auto" w:fill="auto"/>
            <w:vAlign w:val="center"/>
          </w:tcPr>
          <w:p w14:paraId="26BC21DA" w14:textId="77777777" w:rsidR="000D07EA" w:rsidRDefault="00BE7C89">
            <w:pPr>
              <w:pStyle w:val="BodyText"/>
              <w:spacing w:before="100" w:after="100"/>
              <w:jc w:val="center"/>
              <w:rPr>
                <w:rFonts w:eastAsia="Calibri"/>
              </w:rPr>
            </w:pPr>
            <w:r>
              <w:rPr>
                <w:rFonts w:eastAsia="Calibri"/>
              </w:rPr>
              <w:t>$20</w:t>
            </w:r>
          </w:p>
        </w:tc>
        <w:tc>
          <w:tcPr>
            <w:tcW w:w="1476" w:type="dxa"/>
            <w:shd w:val="clear" w:color="auto" w:fill="auto"/>
            <w:vAlign w:val="center"/>
          </w:tcPr>
          <w:p w14:paraId="1A6B8290" w14:textId="77777777" w:rsidR="000D07EA" w:rsidRDefault="000D07EA">
            <w:pPr>
              <w:pStyle w:val="BodyText"/>
              <w:spacing w:before="100" w:after="100"/>
              <w:jc w:val="center"/>
              <w:rPr>
                <w:rFonts w:eastAsia="Calibri"/>
              </w:rPr>
            </w:pPr>
          </w:p>
        </w:tc>
        <w:tc>
          <w:tcPr>
            <w:tcW w:w="1476" w:type="dxa"/>
            <w:vAlign w:val="center"/>
          </w:tcPr>
          <w:p w14:paraId="297C840A" w14:textId="77777777" w:rsidR="000D07EA" w:rsidRDefault="000D07EA">
            <w:pPr>
              <w:pStyle w:val="BodyText"/>
              <w:spacing w:before="100" w:after="100"/>
              <w:jc w:val="center"/>
              <w:rPr>
                <w:rFonts w:eastAsia="Calibri"/>
              </w:rPr>
            </w:pPr>
          </w:p>
        </w:tc>
      </w:tr>
      <w:tr w:rsidR="000D07EA" w14:paraId="02F7C267" w14:textId="77777777">
        <w:tc>
          <w:tcPr>
            <w:tcW w:w="2268" w:type="dxa"/>
            <w:shd w:val="clear" w:color="auto" w:fill="auto"/>
          </w:tcPr>
          <w:p w14:paraId="085EFF33" w14:textId="77777777" w:rsidR="000D07EA" w:rsidRDefault="00BE7C89">
            <w:pPr>
              <w:pStyle w:val="BodyText"/>
              <w:spacing w:before="100" w:after="100"/>
              <w:rPr>
                <w:rFonts w:eastAsia="Calibri"/>
                <w:b/>
                <w:bCs/>
              </w:rPr>
            </w:pPr>
            <w:r>
              <w:rPr>
                <w:rFonts w:eastAsia="Calibri"/>
                <w:b/>
                <w:bCs/>
              </w:rPr>
              <w:t xml:space="preserve">Minimum total cost over 24 months </w:t>
            </w:r>
          </w:p>
        </w:tc>
        <w:tc>
          <w:tcPr>
            <w:tcW w:w="1476" w:type="dxa"/>
            <w:vAlign w:val="center"/>
          </w:tcPr>
          <w:p w14:paraId="3F70FAA1" w14:textId="77777777" w:rsidR="000D07EA" w:rsidRDefault="00BE7C89">
            <w:pPr>
              <w:pStyle w:val="BodyText"/>
              <w:spacing w:before="100" w:after="100"/>
              <w:jc w:val="center"/>
              <w:rPr>
                <w:rFonts w:eastAsia="Calibri"/>
              </w:rPr>
            </w:pPr>
            <w:r>
              <w:rPr>
                <w:rFonts w:eastAsia="Calibri"/>
              </w:rPr>
              <w:t>$840</w:t>
            </w:r>
          </w:p>
        </w:tc>
        <w:tc>
          <w:tcPr>
            <w:tcW w:w="1476" w:type="dxa"/>
            <w:shd w:val="clear" w:color="auto" w:fill="auto"/>
            <w:vAlign w:val="center"/>
          </w:tcPr>
          <w:p w14:paraId="6C4BC7AE" w14:textId="77777777" w:rsidR="000D07EA" w:rsidRDefault="00BE7C89">
            <w:pPr>
              <w:pStyle w:val="BodyText"/>
              <w:spacing w:before="100" w:after="100"/>
              <w:jc w:val="center"/>
              <w:rPr>
                <w:rFonts w:eastAsia="Calibri"/>
              </w:rPr>
            </w:pPr>
            <w:r>
              <w:rPr>
                <w:rFonts w:eastAsia="Calibri"/>
              </w:rPr>
              <w:t>$1200</w:t>
            </w:r>
          </w:p>
        </w:tc>
        <w:tc>
          <w:tcPr>
            <w:tcW w:w="1476" w:type="dxa"/>
            <w:shd w:val="clear" w:color="auto" w:fill="auto"/>
            <w:vAlign w:val="center"/>
          </w:tcPr>
          <w:p w14:paraId="32384C35" w14:textId="77777777" w:rsidR="000D07EA" w:rsidRDefault="00BE7C89">
            <w:pPr>
              <w:pStyle w:val="BodyText"/>
              <w:spacing w:before="100" w:after="100"/>
              <w:jc w:val="center"/>
              <w:rPr>
                <w:rFonts w:eastAsia="Calibri"/>
              </w:rPr>
            </w:pPr>
            <w:r>
              <w:rPr>
                <w:rFonts w:eastAsia="Calibri"/>
              </w:rPr>
              <w:t>$1440</w:t>
            </w:r>
          </w:p>
        </w:tc>
        <w:tc>
          <w:tcPr>
            <w:tcW w:w="1476" w:type="dxa"/>
            <w:shd w:val="clear" w:color="auto" w:fill="auto"/>
            <w:vAlign w:val="center"/>
          </w:tcPr>
          <w:p w14:paraId="34D0599B" w14:textId="77777777" w:rsidR="000D07EA" w:rsidRDefault="00BE7C89">
            <w:pPr>
              <w:pStyle w:val="BodyText"/>
              <w:spacing w:before="100" w:after="100"/>
              <w:jc w:val="center"/>
              <w:rPr>
                <w:rFonts w:eastAsia="Calibri"/>
              </w:rPr>
            </w:pPr>
            <w:r>
              <w:rPr>
                <w:rFonts w:eastAsia="Calibri"/>
              </w:rPr>
              <w:t>$1920</w:t>
            </w:r>
          </w:p>
        </w:tc>
        <w:tc>
          <w:tcPr>
            <w:tcW w:w="1476" w:type="dxa"/>
            <w:vAlign w:val="center"/>
          </w:tcPr>
          <w:p w14:paraId="380A6CAC" w14:textId="77777777" w:rsidR="000D07EA" w:rsidRDefault="00BE7C89">
            <w:pPr>
              <w:pStyle w:val="BodyText"/>
              <w:spacing w:before="100" w:after="100"/>
              <w:jc w:val="center"/>
              <w:rPr>
                <w:rFonts w:eastAsia="Calibri"/>
              </w:rPr>
            </w:pPr>
            <w:r>
              <w:rPr>
                <w:rFonts w:eastAsia="Calibri"/>
              </w:rPr>
              <w:t>$2400</w:t>
            </w:r>
          </w:p>
        </w:tc>
      </w:tr>
    </w:tbl>
    <w:p w14:paraId="75E99A91" w14:textId="77777777" w:rsidR="000D07EA" w:rsidRDefault="000D07EA">
      <w:pPr>
        <w:pStyle w:val="BodyText"/>
      </w:pPr>
    </w:p>
    <w:p w14:paraId="1DDBB2E1" w14:textId="77777777" w:rsidR="000D07EA" w:rsidRDefault="00BE7C89">
      <w:pPr>
        <w:pStyle w:val="BodyText"/>
        <w:ind w:left="720"/>
        <w:rPr>
          <w:b/>
        </w:rPr>
      </w:pPr>
      <w:r>
        <w:rPr>
          <w:b/>
        </w:rPr>
        <w:t>Table 2 – Other usage types and charges</w:t>
      </w:r>
    </w:p>
    <w:tbl>
      <w:tblPr>
        <w:tblW w:w="965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4253"/>
        <w:gridCol w:w="5402"/>
      </w:tblGrid>
      <w:tr w:rsidR="000D07EA" w14:paraId="5A4470A6" w14:textId="77777777">
        <w:trPr>
          <w:trHeight w:val="58"/>
        </w:trPr>
        <w:tc>
          <w:tcPr>
            <w:tcW w:w="4253" w:type="dxa"/>
            <w:shd w:val="clear" w:color="auto" w:fill="auto"/>
          </w:tcPr>
          <w:p w14:paraId="106A1212" w14:textId="77777777" w:rsidR="000D07EA" w:rsidRDefault="00BE7C89">
            <w:pPr>
              <w:pStyle w:val="BodyText"/>
              <w:spacing w:before="100" w:after="100"/>
              <w:rPr>
                <w:rFonts w:eastAsia="Calibri"/>
                <w:b/>
              </w:rPr>
            </w:pPr>
            <w:r>
              <w:rPr>
                <w:rFonts w:eastAsia="Calibri"/>
                <w:b/>
              </w:rPr>
              <w:t>Usage type</w:t>
            </w:r>
          </w:p>
        </w:tc>
        <w:tc>
          <w:tcPr>
            <w:tcW w:w="5402" w:type="dxa"/>
            <w:shd w:val="clear" w:color="auto" w:fill="auto"/>
            <w:vAlign w:val="center"/>
          </w:tcPr>
          <w:p w14:paraId="5043F615" w14:textId="77777777" w:rsidR="000D07EA" w:rsidRDefault="00BE7C89">
            <w:pPr>
              <w:pStyle w:val="BodyText"/>
              <w:spacing w:before="100" w:after="100"/>
              <w:rPr>
                <w:rFonts w:eastAsia="Calibri"/>
                <w:b/>
              </w:rPr>
            </w:pPr>
            <w:r>
              <w:rPr>
                <w:rFonts w:eastAsia="Calibri"/>
                <w:b/>
              </w:rPr>
              <w:t>Charge</w:t>
            </w:r>
          </w:p>
        </w:tc>
      </w:tr>
      <w:tr w:rsidR="000D07EA" w14:paraId="78C102D9" w14:textId="77777777">
        <w:trPr>
          <w:trHeight w:val="58"/>
        </w:trPr>
        <w:tc>
          <w:tcPr>
            <w:tcW w:w="4253" w:type="dxa"/>
            <w:shd w:val="clear" w:color="auto" w:fill="auto"/>
          </w:tcPr>
          <w:p w14:paraId="0EA27529" w14:textId="77777777" w:rsidR="000D07EA" w:rsidRDefault="00BE7C89">
            <w:pPr>
              <w:pStyle w:val="BodyText"/>
              <w:spacing w:before="100" w:after="100"/>
              <w:rPr>
                <w:rFonts w:eastAsia="Calibri"/>
              </w:rPr>
            </w:pPr>
            <w:r>
              <w:rPr>
                <w:rFonts w:eastAsia="Calibri"/>
                <w:b/>
                <w:bCs/>
              </w:rPr>
              <w:t xml:space="preserve">National video calls </w:t>
            </w:r>
            <w:r>
              <w:rPr>
                <w:rFonts w:eastAsia="Calibri"/>
              </w:rPr>
              <w:t>(per minute)</w:t>
            </w:r>
          </w:p>
        </w:tc>
        <w:tc>
          <w:tcPr>
            <w:tcW w:w="5402" w:type="dxa"/>
            <w:shd w:val="clear" w:color="auto" w:fill="auto"/>
            <w:vAlign w:val="center"/>
          </w:tcPr>
          <w:p w14:paraId="09756C1B" w14:textId="77777777" w:rsidR="000D07EA" w:rsidRDefault="00BE7C89">
            <w:pPr>
              <w:pStyle w:val="BodyText"/>
              <w:spacing w:before="100" w:after="100"/>
              <w:rPr>
                <w:rFonts w:eastAsia="Calibri"/>
              </w:rPr>
            </w:pPr>
            <w:r>
              <w:rPr>
                <w:rFonts w:eastAsia="Calibri"/>
              </w:rPr>
              <w:t>$1.00 per min + 40c flagfall</w:t>
            </w:r>
          </w:p>
        </w:tc>
      </w:tr>
      <w:tr w:rsidR="000D07EA" w14:paraId="4C8CB060" w14:textId="77777777">
        <w:tc>
          <w:tcPr>
            <w:tcW w:w="4253" w:type="dxa"/>
            <w:shd w:val="clear" w:color="auto" w:fill="auto"/>
          </w:tcPr>
          <w:p w14:paraId="1F974422" w14:textId="77777777" w:rsidR="000D07EA" w:rsidRDefault="00BE7C89">
            <w:pPr>
              <w:pStyle w:val="BodyText"/>
              <w:spacing w:before="100" w:after="100"/>
              <w:rPr>
                <w:rFonts w:eastAsia="Calibri"/>
              </w:rPr>
            </w:pPr>
            <w:r>
              <w:rPr>
                <w:rFonts w:eastAsia="Calibri"/>
                <w:b/>
                <w:bCs/>
              </w:rPr>
              <w:t xml:space="preserve">VoiceMail Deposits </w:t>
            </w:r>
          </w:p>
        </w:tc>
        <w:tc>
          <w:tcPr>
            <w:tcW w:w="5402" w:type="dxa"/>
            <w:shd w:val="clear" w:color="auto" w:fill="auto"/>
          </w:tcPr>
          <w:p w14:paraId="091D853A" w14:textId="77777777" w:rsidR="000D07EA" w:rsidRDefault="00BE7C89">
            <w:pPr>
              <w:pStyle w:val="BodyText"/>
              <w:spacing w:before="100" w:after="100"/>
              <w:rPr>
                <w:rFonts w:eastAsia="Calibri"/>
              </w:rPr>
            </w:pPr>
            <w:r>
              <w:rPr>
                <w:rFonts w:eastAsia="Calibri"/>
              </w:rPr>
              <w:t>$0 per minute</w:t>
            </w:r>
          </w:p>
        </w:tc>
      </w:tr>
      <w:tr w:rsidR="000D07EA" w14:paraId="11948959" w14:textId="77777777">
        <w:tc>
          <w:tcPr>
            <w:tcW w:w="4253" w:type="dxa"/>
            <w:shd w:val="clear" w:color="auto" w:fill="auto"/>
          </w:tcPr>
          <w:p w14:paraId="4C573674" w14:textId="77777777" w:rsidR="000D07EA" w:rsidRDefault="00BE7C89">
            <w:pPr>
              <w:pStyle w:val="BodyText"/>
              <w:spacing w:before="100" w:after="100"/>
              <w:rPr>
                <w:rFonts w:eastAsia="Calibri"/>
              </w:rPr>
            </w:pPr>
            <w:r>
              <w:rPr>
                <w:rFonts w:eastAsia="Calibri"/>
                <w:b/>
                <w:bCs/>
              </w:rPr>
              <w:t>Voicemail Diversions</w:t>
            </w:r>
          </w:p>
        </w:tc>
        <w:tc>
          <w:tcPr>
            <w:tcW w:w="5402" w:type="dxa"/>
            <w:shd w:val="clear" w:color="auto" w:fill="auto"/>
          </w:tcPr>
          <w:p w14:paraId="48D0E957" w14:textId="77777777" w:rsidR="000D07EA" w:rsidRDefault="00BE7C89">
            <w:pPr>
              <w:pStyle w:val="BodyText"/>
              <w:spacing w:before="100" w:after="100"/>
              <w:rPr>
                <w:rFonts w:eastAsia="Calibri"/>
              </w:rPr>
            </w:pPr>
            <w:r>
              <w:rPr>
                <w:rFonts w:eastAsia="Calibri"/>
              </w:rPr>
              <w:t>$0 per minute</w:t>
            </w:r>
          </w:p>
        </w:tc>
      </w:tr>
      <w:tr w:rsidR="000D07EA" w14:paraId="2E36B843" w14:textId="77777777">
        <w:tc>
          <w:tcPr>
            <w:tcW w:w="4253" w:type="dxa"/>
            <w:shd w:val="clear" w:color="auto" w:fill="auto"/>
          </w:tcPr>
          <w:p w14:paraId="0A65CD8A" w14:textId="77777777" w:rsidR="000D07EA" w:rsidRDefault="00BE7C89">
            <w:pPr>
              <w:pStyle w:val="BodyText"/>
              <w:spacing w:before="100" w:after="100"/>
              <w:rPr>
                <w:rFonts w:eastAsia="Calibri"/>
                <w:b/>
                <w:bCs/>
              </w:rPr>
            </w:pPr>
            <w:r>
              <w:rPr>
                <w:rFonts w:eastAsia="Calibri"/>
                <w:b/>
                <w:bCs/>
              </w:rPr>
              <w:t xml:space="preserve">1800 numbers </w:t>
            </w:r>
          </w:p>
        </w:tc>
        <w:tc>
          <w:tcPr>
            <w:tcW w:w="5402" w:type="dxa"/>
            <w:shd w:val="clear" w:color="auto" w:fill="auto"/>
            <w:vAlign w:val="center"/>
          </w:tcPr>
          <w:p w14:paraId="7E8ACF11" w14:textId="77777777" w:rsidR="000D07EA" w:rsidRDefault="00BE7C89">
            <w:pPr>
              <w:pStyle w:val="BodyText"/>
              <w:spacing w:before="100" w:after="100"/>
              <w:rPr>
                <w:rFonts w:eastAsia="Calibri"/>
              </w:rPr>
            </w:pPr>
            <w:r>
              <w:rPr>
                <w:rFonts w:eastAsia="Calibri"/>
              </w:rPr>
              <w:t>$0 per minute</w:t>
            </w:r>
          </w:p>
        </w:tc>
      </w:tr>
      <w:tr w:rsidR="000D07EA" w14:paraId="1263FD3C" w14:textId="77777777">
        <w:tc>
          <w:tcPr>
            <w:tcW w:w="4253" w:type="dxa"/>
            <w:shd w:val="clear" w:color="auto" w:fill="auto"/>
          </w:tcPr>
          <w:p w14:paraId="0447AA33" w14:textId="77777777" w:rsidR="000D07EA" w:rsidRDefault="00BE7C89">
            <w:pPr>
              <w:pStyle w:val="BodyText"/>
              <w:spacing w:before="100" w:after="100"/>
              <w:rPr>
                <w:rFonts w:eastAsia="Calibri"/>
                <w:b/>
                <w:bCs/>
              </w:rPr>
            </w:pPr>
            <w:r>
              <w:rPr>
                <w:rFonts w:eastAsia="Calibri"/>
                <w:b/>
                <w:bCs/>
              </w:rPr>
              <w:t xml:space="preserve">Directory Assistance 1223 </w:t>
            </w:r>
          </w:p>
        </w:tc>
        <w:tc>
          <w:tcPr>
            <w:tcW w:w="5402" w:type="dxa"/>
            <w:shd w:val="clear" w:color="auto" w:fill="auto"/>
            <w:vAlign w:val="center"/>
          </w:tcPr>
          <w:p w14:paraId="4C59216C" w14:textId="77777777" w:rsidR="000D07EA" w:rsidRDefault="00BE7C89">
            <w:pPr>
              <w:pStyle w:val="BodyText"/>
              <w:spacing w:before="100" w:after="100"/>
              <w:rPr>
                <w:rFonts w:eastAsia="Calibri"/>
              </w:rPr>
            </w:pPr>
            <w:r>
              <w:rPr>
                <w:rFonts w:eastAsia="Calibri"/>
              </w:rPr>
              <w:t>50c per call</w:t>
            </w:r>
          </w:p>
        </w:tc>
      </w:tr>
      <w:tr w:rsidR="000D07EA" w14:paraId="375C3A0C" w14:textId="77777777">
        <w:tc>
          <w:tcPr>
            <w:tcW w:w="4253" w:type="dxa"/>
            <w:shd w:val="clear" w:color="auto" w:fill="auto"/>
          </w:tcPr>
          <w:p w14:paraId="20F6A7D6" w14:textId="77777777" w:rsidR="000D07EA" w:rsidRDefault="00BE7C89">
            <w:pPr>
              <w:pStyle w:val="BodyText"/>
              <w:spacing w:before="100" w:after="100"/>
              <w:rPr>
                <w:rFonts w:eastAsia="Calibri"/>
                <w:b/>
                <w:bCs/>
              </w:rPr>
            </w:pPr>
            <w:r>
              <w:rPr>
                <w:rFonts w:eastAsia="Calibri"/>
                <w:b/>
                <w:bCs/>
              </w:rPr>
              <w:t>124 Yes</w:t>
            </w:r>
          </w:p>
        </w:tc>
        <w:tc>
          <w:tcPr>
            <w:tcW w:w="5402" w:type="dxa"/>
            <w:shd w:val="clear" w:color="auto" w:fill="auto"/>
            <w:vAlign w:val="center"/>
          </w:tcPr>
          <w:p w14:paraId="319189B2" w14:textId="77777777" w:rsidR="000D07EA" w:rsidRDefault="00BE7C89">
            <w:pPr>
              <w:pStyle w:val="BodyText"/>
              <w:spacing w:before="100" w:after="100"/>
              <w:rPr>
                <w:rFonts w:eastAsia="Calibri"/>
              </w:rPr>
            </w:pPr>
            <w:r>
              <w:rPr>
                <w:rFonts w:eastAsia="Calibri"/>
              </w:rPr>
              <w:t>90c per minute +$1.75c flagfall</w:t>
            </w:r>
          </w:p>
        </w:tc>
      </w:tr>
      <w:tr w:rsidR="000D07EA" w14:paraId="4CD57DE0" w14:textId="77777777">
        <w:tc>
          <w:tcPr>
            <w:tcW w:w="4253" w:type="dxa"/>
            <w:shd w:val="clear" w:color="auto" w:fill="auto"/>
          </w:tcPr>
          <w:p w14:paraId="682BA3AA" w14:textId="77777777" w:rsidR="000D07EA" w:rsidRDefault="00BE7C89">
            <w:pPr>
              <w:pStyle w:val="BodyText"/>
              <w:spacing w:before="100" w:after="100"/>
              <w:rPr>
                <w:rFonts w:eastAsia="Calibri"/>
                <w:b/>
                <w:bCs/>
              </w:rPr>
            </w:pPr>
            <w:r>
              <w:rPr>
                <w:rFonts w:eastAsia="Calibri"/>
                <w:b/>
                <w:bCs/>
              </w:rPr>
              <w:t xml:space="preserve">International voice calls </w:t>
            </w:r>
          </w:p>
        </w:tc>
        <w:tc>
          <w:tcPr>
            <w:tcW w:w="5402" w:type="dxa"/>
            <w:shd w:val="clear" w:color="auto" w:fill="auto"/>
            <w:vAlign w:val="center"/>
          </w:tcPr>
          <w:p w14:paraId="6D32B1A2" w14:textId="77777777" w:rsidR="000D07EA" w:rsidRDefault="00BE7C89">
            <w:pPr>
              <w:pStyle w:val="BodyText"/>
              <w:spacing w:before="100" w:after="100"/>
              <w:rPr>
                <w:rFonts w:eastAsia="Calibri"/>
              </w:rPr>
            </w:pPr>
            <w:r>
              <w:rPr>
                <w:rFonts w:eastAsia="Calibri"/>
              </w:rPr>
              <w:t>See optus.com.au/international</w:t>
            </w:r>
          </w:p>
        </w:tc>
      </w:tr>
      <w:tr w:rsidR="000D07EA" w14:paraId="7F97BDBE" w14:textId="77777777">
        <w:tc>
          <w:tcPr>
            <w:tcW w:w="4253" w:type="dxa"/>
            <w:shd w:val="clear" w:color="auto" w:fill="auto"/>
          </w:tcPr>
          <w:p w14:paraId="354AD51D" w14:textId="77777777" w:rsidR="000D07EA" w:rsidRDefault="00BE7C89">
            <w:pPr>
              <w:pStyle w:val="BodyText"/>
              <w:spacing w:before="100" w:after="100"/>
              <w:rPr>
                <w:rFonts w:eastAsia="Calibri"/>
                <w:b/>
                <w:bCs/>
              </w:rPr>
            </w:pPr>
            <w:r>
              <w:rPr>
                <w:rFonts w:eastAsia="Calibri"/>
                <w:b/>
                <w:bCs/>
              </w:rPr>
              <w:lastRenderedPageBreak/>
              <w:t>International SMS</w:t>
            </w:r>
          </w:p>
        </w:tc>
        <w:tc>
          <w:tcPr>
            <w:tcW w:w="5402" w:type="dxa"/>
            <w:shd w:val="clear" w:color="auto" w:fill="auto"/>
            <w:vAlign w:val="center"/>
          </w:tcPr>
          <w:p w14:paraId="12DE921A" w14:textId="77777777" w:rsidR="000D07EA" w:rsidRDefault="00BE7C89">
            <w:pPr>
              <w:pStyle w:val="BodyText"/>
              <w:spacing w:before="100" w:after="100"/>
              <w:rPr>
                <w:rFonts w:eastAsia="Calibri"/>
              </w:rPr>
            </w:pPr>
            <w:r>
              <w:rPr>
                <w:rFonts w:eastAsia="Calibri"/>
              </w:rPr>
              <w:t>50c per SMS up to 160 standard characters</w:t>
            </w:r>
          </w:p>
        </w:tc>
      </w:tr>
      <w:tr w:rsidR="000D07EA" w14:paraId="40A7F2E0" w14:textId="77777777">
        <w:tc>
          <w:tcPr>
            <w:tcW w:w="4253" w:type="dxa"/>
            <w:shd w:val="clear" w:color="auto" w:fill="auto"/>
          </w:tcPr>
          <w:p w14:paraId="7B571B1B" w14:textId="77777777" w:rsidR="000D07EA" w:rsidRDefault="00BE7C89">
            <w:pPr>
              <w:pStyle w:val="BodyText"/>
              <w:spacing w:before="100" w:after="100"/>
              <w:rPr>
                <w:rFonts w:eastAsia="Calibri"/>
                <w:b/>
                <w:bCs/>
              </w:rPr>
            </w:pPr>
            <w:r>
              <w:rPr>
                <w:rFonts w:eastAsia="Calibri"/>
                <w:b/>
                <w:bCs/>
              </w:rPr>
              <w:t>International MMS</w:t>
            </w:r>
          </w:p>
        </w:tc>
        <w:tc>
          <w:tcPr>
            <w:tcW w:w="5402" w:type="dxa"/>
            <w:shd w:val="clear" w:color="auto" w:fill="auto"/>
            <w:vAlign w:val="center"/>
          </w:tcPr>
          <w:p w14:paraId="57B7C907" w14:textId="77777777" w:rsidR="000D07EA" w:rsidRDefault="00BE7C89">
            <w:pPr>
              <w:pStyle w:val="BodyText"/>
              <w:spacing w:before="100" w:after="100"/>
              <w:rPr>
                <w:rFonts w:eastAsia="Calibri"/>
              </w:rPr>
            </w:pPr>
            <w:r>
              <w:rPr>
                <w:rFonts w:eastAsia="Calibri"/>
              </w:rPr>
              <w:t xml:space="preserve">75c per MMS </w:t>
            </w:r>
          </w:p>
        </w:tc>
      </w:tr>
      <w:tr w:rsidR="000D07EA" w14:paraId="2CEEB8CB" w14:textId="77777777">
        <w:tc>
          <w:tcPr>
            <w:tcW w:w="4253" w:type="dxa"/>
            <w:shd w:val="clear" w:color="auto" w:fill="auto"/>
          </w:tcPr>
          <w:p w14:paraId="061D5358" w14:textId="77777777" w:rsidR="000D07EA" w:rsidRDefault="00BE7C89">
            <w:pPr>
              <w:pStyle w:val="BodyText"/>
              <w:spacing w:before="100" w:after="100"/>
              <w:rPr>
                <w:rFonts w:eastAsia="Calibri"/>
                <w:b/>
                <w:bCs/>
              </w:rPr>
            </w:pPr>
            <w:r>
              <w:rPr>
                <w:rFonts w:eastAsia="Calibri"/>
                <w:b/>
                <w:bCs/>
              </w:rPr>
              <w:t xml:space="preserve">International video calling </w:t>
            </w:r>
          </w:p>
        </w:tc>
        <w:tc>
          <w:tcPr>
            <w:tcW w:w="5402" w:type="dxa"/>
            <w:shd w:val="clear" w:color="auto" w:fill="auto"/>
            <w:vAlign w:val="center"/>
          </w:tcPr>
          <w:p w14:paraId="2E1313E3" w14:textId="77777777" w:rsidR="000D07EA" w:rsidRDefault="00BE7C89">
            <w:pPr>
              <w:pStyle w:val="BodyText"/>
              <w:spacing w:before="100" w:after="100"/>
              <w:rPr>
                <w:rFonts w:eastAsia="Calibri"/>
              </w:rPr>
            </w:pPr>
            <w:r>
              <w:rPr>
                <w:rFonts w:eastAsia="Calibri"/>
              </w:rPr>
              <w:t>$1.50 per minute +35c flagfall</w:t>
            </w:r>
          </w:p>
        </w:tc>
      </w:tr>
      <w:tr w:rsidR="000D07EA" w14:paraId="617DB443" w14:textId="77777777">
        <w:tc>
          <w:tcPr>
            <w:tcW w:w="4253" w:type="dxa"/>
            <w:shd w:val="clear" w:color="auto" w:fill="auto"/>
          </w:tcPr>
          <w:p w14:paraId="5D34089B" w14:textId="77777777" w:rsidR="000D07EA" w:rsidRDefault="00BE7C89">
            <w:pPr>
              <w:pStyle w:val="BodyText"/>
              <w:spacing w:before="100" w:after="100"/>
              <w:rPr>
                <w:rFonts w:eastAsia="Calibri"/>
                <w:b/>
                <w:bCs/>
              </w:rPr>
            </w:pPr>
            <w:r>
              <w:rPr>
                <w:rFonts w:eastAsia="Calibri"/>
                <w:b/>
                <w:bCs/>
              </w:rPr>
              <w:t xml:space="preserve">International roaming </w:t>
            </w:r>
          </w:p>
        </w:tc>
        <w:tc>
          <w:tcPr>
            <w:tcW w:w="5402" w:type="dxa"/>
            <w:shd w:val="clear" w:color="auto" w:fill="auto"/>
            <w:vAlign w:val="center"/>
          </w:tcPr>
          <w:p w14:paraId="303AF960" w14:textId="77777777" w:rsidR="000D07EA" w:rsidRDefault="00BE7C89">
            <w:pPr>
              <w:pStyle w:val="BodyText"/>
              <w:spacing w:before="100" w:after="100"/>
              <w:rPr>
                <w:rFonts w:eastAsia="Calibri"/>
              </w:rPr>
            </w:pPr>
            <w:r>
              <w:rPr>
                <w:rFonts w:eastAsia="Calibri"/>
              </w:rPr>
              <w:t>See optus.com.au/roaming</w:t>
            </w:r>
          </w:p>
        </w:tc>
      </w:tr>
    </w:tbl>
    <w:p w14:paraId="2E7946C2" w14:textId="77777777" w:rsidR="000D07EA" w:rsidRDefault="000D07EA">
      <w:pPr>
        <w:pStyle w:val="BodyText"/>
      </w:pPr>
    </w:p>
    <w:p w14:paraId="7D9C40D6" w14:textId="77777777" w:rsidR="000D07EA" w:rsidRDefault="00BE7C89">
      <w:pPr>
        <w:pStyle w:val="BodyText"/>
        <w:keepNext/>
        <w:ind w:left="720"/>
        <w:rPr>
          <w:b/>
        </w:rPr>
      </w:pPr>
      <w:r>
        <w:rPr>
          <w:b/>
        </w:rPr>
        <w:t>Table 3 – Additional Minutes and Charges</w:t>
      </w:r>
    </w:p>
    <w:tbl>
      <w:tblPr>
        <w:tblW w:w="883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4"/>
        <w:gridCol w:w="1576"/>
        <w:gridCol w:w="1576"/>
        <w:gridCol w:w="1576"/>
        <w:gridCol w:w="1576"/>
      </w:tblGrid>
      <w:tr w:rsidR="000D07EA" w14:paraId="2EE24C06" w14:textId="77777777">
        <w:tc>
          <w:tcPr>
            <w:tcW w:w="2534" w:type="dxa"/>
            <w:vMerge w:val="restart"/>
            <w:shd w:val="clear" w:color="auto" w:fill="auto"/>
          </w:tcPr>
          <w:p w14:paraId="6E705311" w14:textId="77777777" w:rsidR="000D07EA" w:rsidRDefault="000D07EA">
            <w:pPr>
              <w:pStyle w:val="BodyText"/>
              <w:keepNext/>
              <w:spacing w:before="100" w:after="100"/>
              <w:rPr>
                <w:rFonts w:eastAsia="Calibri"/>
                <w:b/>
              </w:rPr>
            </w:pPr>
          </w:p>
        </w:tc>
        <w:tc>
          <w:tcPr>
            <w:tcW w:w="3152" w:type="dxa"/>
            <w:gridSpan w:val="2"/>
          </w:tcPr>
          <w:p w14:paraId="662FA0CB" w14:textId="77777777" w:rsidR="000D07EA" w:rsidRDefault="00BE7C89">
            <w:pPr>
              <w:pStyle w:val="BodyText"/>
              <w:keepNext/>
              <w:spacing w:before="100" w:after="100"/>
              <w:rPr>
                <w:rFonts w:eastAsia="Calibri"/>
                <w:b/>
              </w:rPr>
            </w:pPr>
            <w:r>
              <w:rPr>
                <w:rFonts w:eastAsia="Calibri"/>
                <w:b/>
              </w:rPr>
              <w:t>$35 My Plan Business</w:t>
            </w:r>
          </w:p>
        </w:tc>
        <w:tc>
          <w:tcPr>
            <w:tcW w:w="3152" w:type="dxa"/>
            <w:gridSpan w:val="2"/>
            <w:shd w:val="clear" w:color="auto" w:fill="auto"/>
          </w:tcPr>
          <w:p w14:paraId="4C38820F" w14:textId="77777777" w:rsidR="000D07EA" w:rsidRDefault="00BE7C89">
            <w:pPr>
              <w:pStyle w:val="BodyText"/>
              <w:keepNext/>
              <w:spacing w:before="100" w:after="100"/>
              <w:rPr>
                <w:rFonts w:eastAsia="Calibri"/>
                <w:b/>
              </w:rPr>
            </w:pPr>
            <w:r>
              <w:rPr>
                <w:rFonts w:eastAsia="Calibri"/>
                <w:b/>
              </w:rPr>
              <w:t xml:space="preserve">$50 My Plan Business </w:t>
            </w:r>
          </w:p>
        </w:tc>
      </w:tr>
      <w:tr w:rsidR="000D07EA" w14:paraId="3E343B4E" w14:textId="77777777">
        <w:tc>
          <w:tcPr>
            <w:tcW w:w="2534" w:type="dxa"/>
            <w:vMerge/>
            <w:shd w:val="clear" w:color="auto" w:fill="auto"/>
          </w:tcPr>
          <w:p w14:paraId="3A8B3C1A" w14:textId="77777777" w:rsidR="000D07EA" w:rsidRDefault="000D07EA">
            <w:pPr>
              <w:pStyle w:val="BodyText"/>
              <w:spacing w:before="100" w:after="100"/>
              <w:rPr>
                <w:rFonts w:eastAsia="Calibri"/>
                <w:b/>
              </w:rPr>
            </w:pPr>
          </w:p>
        </w:tc>
        <w:tc>
          <w:tcPr>
            <w:tcW w:w="1576" w:type="dxa"/>
          </w:tcPr>
          <w:p w14:paraId="0A8D7496" w14:textId="77777777" w:rsidR="000D07EA" w:rsidRDefault="00BE7C89">
            <w:pPr>
              <w:pStyle w:val="BodyText"/>
              <w:spacing w:before="100" w:after="100"/>
              <w:rPr>
                <w:rFonts w:eastAsia="Calibri"/>
                <w:b/>
              </w:rPr>
            </w:pPr>
            <w:r>
              <w:rPr>
                <w:rFonts w:eastAsia="Calibri"/>
                <w:b/>
              </w:rPr>
              <w:t>Included Minutes</w:t>
            </w:r>
          </w:p>
        </w:tc>
        <w:tc>
          <w:tcPr>
            <w:tcW w:w="1576" w:type="dxa"/>
          </w:tcPr>
          <w:p w14:paraId="6FBE4860" w14:textId="77777777" w:rsidR="000D07EA" w:rsidRDefault="00BE7C89">
            <w:pPr>
              <w:pStyle w:val="BodyText"/>
              <w:spacing w:before="100" w:after="100"/>
              <w:rPr>
                <w:rFonts w:eastAsia="Calibri"/>
                <w:b/>
              </w:rPr>
            </w:pPr>
            <w:r>
              <w:rPr>
                <w:rFonts w:eastAsia="Calibri"/>
                <w:b/>
              </w:rPr>
              <w:t>Cost of minutes</w:t>
            </w:r>
          </w:p>
        </w:tc>
        <w:tc>
          <w:tcPr>
            <w:tcW w:w="1576" w:type="dxa"/>
            <w:shd w:val="clear" w:color="auto" w:fill="auto"/>
          </w:tcPr>
          <w:p w14:paraId="71EB7951" w14:textId="77777777" w:rsidR="000D07EA" w:rsidRDefault="00BE7C89">
            <w:pPr>
              <w:pStyle w:val="BodyText"/>
              <w:spacing w:before="100" w:after="100"/>
              <w:rPr>
                <w:rFonts w:eastAsia="Calibri"/>
                <w:b/>
              </w:rPr>
            </w:pPr>
            <w:r>
              <w:rPr>
                <w:rFonts w:eastAsia="Calibri"/>
                <w:b/>
              </w:rPr>
              <w:t>Included Minutes</w:t>
            </w:r>
          </w:p>
        </w:tc>
        <w:tc>
          <w:tcPr>
            <w:tcW w:w="1576" w:type="dxa"/>
            <w:shd w:val="clear" w:color="auto" w:fill="auto"/>
          </w:tcPr>
          <w:p w14:paraId="719A0EBC" w14:textId="77777777" w:rsidR="000D07EA" w:rsidRDefault="00BE7C89">
            <w:pPr>
              <w:pStyle w:val="BodyText"/>
              <w:spacing w:before="100" w:after="100"/>
              <w:rPr>
                <w:rFonts w:eastAsia="Calibri"/>
                <w:b/>
              </w:rPr>
            </w:pPr>
            <w:r>
              <w:rPr>
                <w:rFonts w:eastAsia="Calibri"/>
                <w:b/>
              </w:rPr>
              <w:t>Cost of minutes</w:t>
            </w:r>
          </w:p>
        </w:tc>
      </w:tr>
      <w:tr w:rsidR="000D07EA" w14:paraId="68AC5B3A" w14:textId="77777777">
        <w:tc>
          <w:tcPr>
            <w:tcW w:w="2534" w:type="dxa"/>
            <w:shd w:val="clear" w:color="auto" w:fill="BFBFBF"/>
          </w:tcPr>
          <w:p w14:paraId="74D406A9" w14:textId="77777777" w:rsidR="000D07EA" w:rsidRDefault="00BE7C89">
            <w:pPr>
              <w:pStyle w:val="BodyText"/>
              <w:spacing w:before="100" w:after="100"/>
              <w:rPr>
                <w:rFonts w:eastAsia="Calibri"/>
                <w:b/>
              </w:rPr>
            </w:pPr>
            <w:r>
              <w:rPr>
                <w:rFonts w:eastAsia="Calibri"/>
                <w:b/>
              </w:rPr>
              <w:t xml:space="preserve">Monthly Included Minutes </w:t>
            </w:r>
          </w:p>
        </w:tc>
        <w:tc>
          <w:tcPr>
            <w:tcW w:w="1576" w:type="dxa"/>
            <w:shd w:val="clear" w:color="auto" w:fill="BFBFBF"/>
          </w:tcPr>
          <w:p w14:paraId="05106DBF" w14:textId="77777777" w:rsidR="000D07EA" w:rsidRDefault="00BE7C89">
            <w:pPr>
              <w:pStyle w:val="BodyText"/>
              <w:spacing w:before="100" w:after="100"/>
              <w:rPr>
                <w:rFonts w:eastAsia="Calibri"/>
              </w:rPr>
            </w:pPr>
            <w:r>
              <w:rPr>
                <w:rFonts w:eastAsia="Calibri"/>
              </w:rPr>
              <w:t>Up to 300</w:t>
            </w:r>
          </w:p>
        </w:tc>
        <w:tc>
          <w:tcPr>
            <w:tcW w:w="1576" w:type="dxa"/>
            <w:shd w:val="clear" w:color="auto" w:fill="BFBFBF"/>
          </w:tcPr>
          <w:p w14:paraId="624EDEAC" w14:textId="77777777" w:rsidR="000D07EA" w:rsidRDefault="00BE7C89">
            <w:pPr>
              <w:pStyle w:val="BodyText"/>
              <w:spacing w:before="100" w:after="100"/>
              <w:rPr>
                <w:rFonts w:eastAsia="Calibri"/>
              </w:rPr>
            </w:pPr>
            <w:r>
              <w:rPr>
                <w:rFonts w:eastAsia="Calibri"/>
              </w:rPr>
              <w:t>$20</w:t>
            </w:r>
          </w:p>
        </w:tc>
        <w:tc>
          <w:tcPr>
            <w:tcW w:w="1576" w:type="dxa"/>
            <w:shd w:val="clear" w:color="auto" w:fill="BFBFBF"/>
          </w:tcPr>
          <w:p w14:paraId="06C165B9" w14:textId="77777777" w:rsidR="000D07EA" w:rsidRDefault="00BE7C89">
            <w:pPr>
              <w:pStyle w:val="BodyText"/>
              <w:spacing w:before="100" w:after="100"/>
              <w:rPr>
                <w:rFonts w:eastAsia="Calibri"/>
              </w:rPr>
            </w:pPr>
            <w:r>
              <w:rPr>
                <w:rFonts w:eastAsia="Calibri"/>
              </w:rPr>
              <w:t>Up to 600</w:t>
            </w:r>
          </w:p>
        </w:tc>
        <w:tc>
          <w:tcPr>
            <w:tcW w:w="1576" w:type="dxa"/>
            <w:shd w:val="clear" w:color="auto" w:fill="BFBFBF"/>
          </w:tcPr>
          <w:p w14:paraId="446819A3" w14:textId="77777777" w:rsidR="000D07EA" w:rsidRDefault="00BE7C89">
            <w:pPr>
              <w:pStyle w:val="BodyText"/>
              <w:spacing w:before="100" w:after="100"/>
              <w:rPr>
                <w:rFonts w:eastAsia="Calibri"/>
              </w:rPr>
            </w:pPr>
            <w:r>
              <w:rPr>
                <w:rFonts w:eastAsia="Calibri"/>
              </w:rPr>
              <w:t>$30</w:t>
            </w:r>
          </w:p>
        </w:tc>
      </w:tr>
      <w:tr w:rsidR="000D07EA" w14:paraId="0F1E6DC1" w14:textId="77777777">
        <w:tc>
          <w:tcPr>
            <w:tcW w:w="2534" w:type="dxa"/>
            <w:shd w:val="clear" w:color="auto" w:fill="auto"/>
          </w:tcPr>
          <w:p w14:paraId="3734B82E" w14:textId="77777777" w:rsidR="000D07EA" w:rsidRDefault="00BE7C89">
            <w:pPr>
              <w:pStyle w:val="BodyText"/>
              <w:spacing w:before="100" w:after="100"/>
              <w:rPr>
                <w:rFonts w:eastAsia="Calibri"/>
                <w:b/>
              </w:rPr>
            </w:pPr>
            <w:r>
              <w:rPr>
                <w:rFonts w:eastAsia="Calibri"/>
                <w:b/>
              </w:rPr>
              <w:t>+$10</w:t>
            </w:r>
          </w:p>
        </w:tc>
        <w:tc>
          <w:tcPr>
            <w:tcW w:w="1576" w:type="dxa"/>
          </w:tcPr>
          <w:p w14:paraId="7C8A9D11" w14:textId="77777777" w:rsidR="000D07EA" w:rsidRDefault="00BE7C89">
            <w:pPr>
              <w:pStyle w:val="BodyText"/>
              <w:spacing w:before="100" w:after="100"/>
              <w:rPr>
                <w:rFonts w:eastAsia="Calibri"/>
              </w:rPr>
            </w:pPr>
            <w:r>
              <w:rPr>
                <w:rFonts w:eastAsia="Calibri"/>
              </w:rPr>
              <w:t>+200</w:t>
            </w:r>
          </w:p>
        </w:tc>
        <w:tc>
          <w:tcPr>
            <w:tcW w:w="1576" w:type="dxa"/>
          </w:tcPr>
          <w:p w14:paraId="6CB885A4" w14:textId="77777777" w:rsidR="000D07EA" w:rsidRDefault="00BE7C89">
            <w:pPr>
              <w:pStyle w:val="BodyText"/>
              <w:spacing w:before="100" w:after="100"/>
              <w:rPr>
                <w:rFonts w:eastAsia="Calibri"/>
              </w:rPr>
            </w:pPr>
            <w:r>
              <w:rPr>
                <w:rFonts w:eastAsia="Calibri"/>
              </w:rPr>
              <w:t>$10</w:t>
            </w:r>
          </w:p>
        </w:tc>
        <w:tc>
          <w:tcPr>
            <w:tcW w:w="1576" w:type="dxa"/>
            <w:shd w:val="clear" w:color="auto" w:fill="auto"/>
          </w:tcPr>
          <w:p w14:paraId="7DEBD724" w14:textId="77777777" w:rsidR="000D07EA" w:rsidRDefault="00BE7C89">
            <w:pPr>
              <w:pStyle w:val="BodyText"/>
              <w:spacing w:before="100" w:after="100"/>
              <w:rPr>
                <w:rFonts w:eastAsia="Calibri"/>
              </w:rPr>
            </w:pPr>
            <w:r>
              <w:rPr>
                <w:rFonts w:eastAsia="Calibri"/>
              </w:rPr>
              <w:t xml:space="preserve">Unlimited </w:t>
            </w:r>
          </w:p>
        </w:tc>
        <w:tc>
          <w:tcPr>
            <w:tcW w:w="1576" w:type="dxa"/>
            <w:shd w:val="clear" w:color="auto" w:fill="auto"/>
          </w:tcPr>
          <w:p w14:paraId="5BA975F0" w14:textId="77777777" w:rsidR="000D07EA" w:rsidRDefault="00BE7C89">
            <w:pPr>
              <w:pStyle w:val="BodyText"/>
              <w:spacing w:before="100" w:after="100"/>
              <w:rPr>
                <w:rFonts w:eastAsia="Calibri"/>
              </w:rPr>
            </w:pPr>
            <w:r>
              <w:rPr>
                <w:rFonts w:eastAsia="Calibri"/>
              </w:rPr>
              <w:t>$10</w:t>
            </w:r>
          </w:p>
        </w:tc>
      </w:tr>
      <w:tr w:rsidR="000D07EA" w14:paraId="5E0F7414" w14:textId="77777777">
        <w:tc>
          <w:tcPr>
            <w:tcW w:w="2534" w:type="dxa"/>
            <w:shd w:val="clear" w:color="auto" w:fill="auto"/>
          </w:tcPr>
          <w:p w14:paraId="1D65385E" w14:textId="77777777" w:rsidR="000D07EA" w:rsidRDefault="00BE7C89">
            <w:pPr>
              <w:pStyle w:val="BodyText"/>
              <w:spacing w:before="100" w:after="100"/>
              <w:rPr>
                <w:rFonts w:eastAsia="Calibri"/>
                <w:b/>
              </w:rPr>
            </w:pPr>
            <w:r>
              <w:rPr>
                <w:rFonts w:eastAsia="Calibri"/>
                <w:b/>
              </w:rPr>
              <w:t>+$10</w:t>
            </w:r>
          </w:p>
        </w:tc>
        <w:tc>
          <w:tcPr>
            <w:tcW w:w="1576" w:type="dxa"/>
          </w:tcPr>
          <w:p w14:paraId="4F302AEA" w14:textId="77777777" w:rsidR="000D07EA" w:rsidRDefault="00BE7C89">
            <w:pPr>
              <w:pStyle w:val="BodyText"/>
              <w:spacing w:before="100" w:after="100"/>
              <w:rPr>
                <w:rFonts w:eastAsia="Calibri"/>
              </w:rPr>
            </w:pPr>
            <w:r>
              <w:rPr>
                <w:rFonts w:eastAsia="Calibri"/>
              </w:rPr>
              <w:t>Unlimited</w:t>
            </w:r>
          </w:p>
        </w:tc>
        <w:tc>
          <w:tcPr>
            <w:tcW w:w="1576" w:type="dxa"/>
          </w:tcPr>
          <w:p w14:paraId="05EB38C4" w14:textId="77777777" w:rsidR="000D07EA" w:rsidRDefault="00BE7C89">
            <w:pPr>
              <w:pStyle w:val="BodyText"/>
              <w:spacing w:before="100" w:after="100"/>
              <w:rPr>
                <w:rFonts w:eastAsia="Calibri"/>
              </w:rPr>
            </w:pPr>
            <w:r>
              <w:rPr>
                <w:rFonts w:eastAsia="Calibri"/>
              </w:rPr>
              <w:t>$10</w:t>
            </w:r>
          </w:p>
        </w:tc>
        <w:tc>
          <w:tcPr>
            <w:tcW w:w="1576" w:type="dxa"/>
            <w:shd w:val="clear" w:color="auto" w:fill="auto"/>
          </w:tcPr>
          <w:p w14:paraId="2BED5DF1" w14:textId="77777777" w:rsidR="000D07EA" w:rsidRDefault="000D07EA">
            <w:pPr>
              <w:pStyle w:val="BodyText"/>
              <w:spacing w:before="100" w:after="100"/>
              <w:rPr>
                <w:rFonts w:eastAsia="Calibri"/>
              </w:rPr>
            </w:pPr>
          </w:p>
        </w:tc>
        <w:tc>
          <w:tcPr>
            <w:tcW w:w="1576" w:type="dxa"/>
            <w:shd w:val="clear" w:color="auto" w:fill="auto"/>
          </w:tcPr>
          <w:p w14:paraId="4C39BCDE" w14:textId="77777777" w:rsidR="000D07EA" w:rsidRDefault="000D07EA">
            <w:pPr>
              <w:pStyle w:val="BodyText"/>
              <w:spacing w:before="100" w:after="100"/>
              <w:rPr>
                <w:rFonts w:eastAsia="Calibri"/>
              </w:rPr>
            </w:pPr>
          </w:p>
        </w:tc>
      </w:tr>
    </w:tbl>
    <w:p w14:paraId="11E4FE88" w14:textId="77777777" w:rsidR="000D07EA" w:rsidRDefault="00BE7C89">
      <w:pPr>
        <w:pStyle w:val="Heading6"/>
        <w:spacing w:before="240"/>
        <w:ind w:left="0" w:firstLine="0"/>
      </w:pPr>
      <w:bookmarkStart w:id="876" w:name="_Toc407110901"/>
      <w:r>
        <w:t>My Account</w:t>
      </w:r>
      <w:bookmarkEnd w:id="876"/>
    </w:p>
    <w:p w14:paraId="19056407" w14:textId="77777777" w:rsidR="000D07EA" w:rsidRDefault="00BE7C89">
      <w:pPr>
        <w:pStyle w:val="BodyText"/>
        <w:ind w:left="72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service has used. If </w:t>
      </w:r>
      <w:r>
        <w:rPr>
          <w:i/>
        </w:rPr>
        <w:t>you</w:t>
      </w:r>
      <w:r>
        <w:t xml:space="preserve"> have more than 6 services on </w:t>
      </w:r>
      <w:r>
        <w:rPr>
          <w:i/>
        </w:rPr>
        <w:t>your</w:t>
      </w:r>
      <w:r>
        <w:t xml:space="preserve"> account, My Account may not be suitable for viewing usage and managing </w:t>
      </w:r>
      <w:r>
        <w:rPr>
          <w:i/>
        </w:rPr>
        <w:t xml:space="preserve">your </w:t>
      </w:r>
      <w:r>
        <w:t>usage alerts.</w:t>
      </w:r>
    </w:p>
    <w:p w14:paraId="7EDB11FE" w14:textId="77777777" w:rsidR="000D07EA" w:rsidRDefault="00BE7C89">
      <w:pPr>
        <w:pStyle w:val="Heading6"/>
        <w:ind w:left="0" w:firstLine="0"/>
      </w:pPr>
      <w:bookmarkStart w:id="877" w:name="_Toc407110902"/>
      <w:r>
        <w:t xml:space="preserve">What happens if the </w:t>
      </w:r>
      <w:r>
        <w:rPr>
          <w:i/>
        </w:rPr>
        <w:t xml:space="preserve">service </w:t>
      </w:r>
      <w:r>
        <w:t>is</w:t>
      </w:r>
      <w:r>
        <w:rPr>
          <w:i/>
        </w:rPr>
        <w:t xml:space="preserve"> cancelled </w:t>
      </w:r>
      <w:r>
        <w:t>early?</w:t>
      </w:r>
      <w:bookmarkEnd w:id="877"/>
      <w:r>
        <w:t xml:space="preserve"> </w:t>
      </w:r>
    </w:p>
    <w:p w14:paraId="354E38FB" w14:textId="77777777" w:rsidR="000D07EA" w:rsidRDefault="00BE7C89">
      <w:pPr>
        <w:pStyle w:val="Heading7"/>
      </w:pPr>
      <w:r>
        <w:t>If the</w:t>
      </w:r>
      <w:r>
        <w:rPr>
          <w:i/>
        </w:rPr>
        <w:t xml:space="preserve"> service</w:t>
      </w:r>
      <w:r>
        <w:t xml:space="preserve"> is</w:t>
      </w:r>
      <w:r>
        <w:rPr>
          <w:i/>
        </w:rPr>
        <w:t xml:space="preserve"> cancelled </w:t>
      </w:r>
      <w:r>
        <w:t xml:space="preserve">before the end of </w:t>
      </w:r>
      <w:r>
        <w:rPr>
          <w:i/>
        </w:rPr>
        <w:t xml:space="preserve">your minimum term, you </w:t>
      </w:r>
      <w:r>
        <w:t xml:space="preserve">will be required to pay </w:t>
      </w:r>
      <w:r>
        <w:rPr>
          <w:i/>
        </w:rPr>
        <w:t>us</w:t>
      </w:r>
      <w:r>
        <w:t>:</w:t>
      </w:r>
    </w:p>
    <w:p w14:paraId="14ECCAD4" w14:textId="77777777" w:rsidR="000D07EA" w:rsidRDefault="00BE7C89">
      <w:pPr>
        <w:pStyle w:val="Heading8"/>
      </w:pPr>
      <w:r>
        <w:t xml:space="preserve">any usage charges incurred up to, and including, the </w:t>
      </w:r>
      <w:r>
        <w:rPr>
          <w:i/>
        </w:rPr>
        <w:t xml:space="preserve">cancellation date; </w:t>
      </w:r>
      <w:r>
        <w:t>plus</w:t>
      </w:r>
    </w:p>
    <w:p w14:paraId="5B2DF218" w14:textId="77777777" w:rsidR="000D07EA" w:rsidRDefault="00BE7C89">
      <w:pPr>
        <w:pStyle w:val="Heading8"/>
      </w:pPr>
      <w:r>
        <w:t xml:space="preserve">the cancellation fees set out in paragraph </w:t>
      </w:r>
      <w:r>
        <w:fldChar w:fldCharType="begin"/>
      </w:r>
      <w:r>
        <w:instrText xml:space="preserve"> REF _Ref461555227 \n \h </w:instrText>
      </w:r>
      <w:r>
        <w:fldChar w:fldCharType="separate"/>
      </w:r>
      <w:r w:rsidR="0004083A">
        <w:t>(b)</w:t>
      </w:r>
      <w:r>
        <w:fldChar w:fldCharType="end"/>
      </w:r>
      <w:r>
        <w:t xml:space="preserve"> below (unless under clause 2A of the consumer terms, you are entitled to cancel the service without incurring a cancellation fee); plus</w:t>
      </w:r>
    </w:p>
    <w:p w14:paraId="0CAD5CB6" w14:textId="77777777" w:rsidR="000D07EA" w:rsidRDefault="00BE7C89">
      <w:pPr>
        <w:pStyle w:val="Heading8"/>
      </w:pPr>
      <w:r>
        <w:t>the sum of unpaid equipment charges owing on your mobile phone under the mobile equipment payment plan (if any). Note, any Handset Credit you were entitled to will be forfeited (</w:t>
      </w:r>
      <w:r w:rsidRPr="00272628">
        <w:t xml:space="preserve">see </w:t>
      </w:r>
      <w:r w:rsidR="00C67DDF" w:rsidRPr="00272628">
        <w:t>111.7</w:t>
      </w:r>
      <w:r w:rsidRPr="00272628">
        <w:t xml:space="preserve"> above</w:t>
      </w:r>
      <w:r>
        <w:t>).</w:t>
      </w:r>
    </w:p>
    <w:p w14:paraId="71CA6B5C" w14:textId="77777777" w:rsidR="000D07EA" w:rsidRDefault="00BE7C89">
      <w:pPr>
        <w:pStyle w:val="Heading7"/>
      </w:pPr>
      <w:bookmarkStart w:id="878" w:name="_Ref461555227"/>
      <w:r>
        <w:t xml:space="preserve">The </w:t>
      </w:r>
      <w:r>
        <w:rPr>
          <w:i/>
        </w:rPr>
        <w:t>cancellation fee</w:t>
      </w:r>
      <w:r>
        <w:t xml:space="preserve"> is calculated as the following amounts, multiplied by the months remaining on </w:t>
      </w:r>
      <w:r>
        <w:rPr>
          <w:i/>
        </w:rPr>
        <w:t>your minimum term</w:t>
      </w:r>
      <w:r>
        <w:t>:</w:t>
      </w:r>
      <w:bookmarkEnd w:id="878"/>
    </w:p>
    <w:tbl>
      <w:tblPr>
        <w:tblW w:w="4632"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218"/>
        <w:gridCol w:w="1444"/>
        <w:gridCol w:w="1444"/>
        <w:gridCol w:w="1444"/>
        <w:gridCol w:w="1444"/>
        <w:gridCol w:w="1444"/>
      </w:tblGrid>
      <w:tr w:rsidR="000D07EA" w14:paraId="08BEF722" w14:textId="77777777">
        <w:trPr>
          <w:trHeight w:val="58"/>
          <w:tblHeader/>
        </w:trPr>
        <w:tc>
          <w:tcPr>
            <w:tcW w:w="1175" w:type="pct"/>
          </w:tcPr>
          <w:p w14:paraId="7D859FEE" w14:textId="77777777" w:rsidR="000D07EA" w:rsidRDefault="000D07EA">
            <w:pPr>
              <w:pStyle w:val="BodyText"/>
              <w:spacing w:before="100" w:after="100"/>
              <w:rPr>
                <w:rFonts w:eastAsia="Calibri"/>
                <w:b/>
                <w:bCs/>
                <w:szCs w:val="20"/>
              </w:rPr>
            </w:pPr>
          </w:p>
        </w:tc>
        <w:tc>
          <w:tcPr>
            <w:tcW w:w="3825" w:type="pct"/>
            <w:gridSpan w:val="5"/>
            <w:shd w:val="clear" w:color="auto" w:fill="auto"/>
            <w:vAlign w:val="center"/>
          </w:tcPr>
          <w:p w14:paraId="0A5562E1" w14:textId="77777777" w:rsidR="000D07EA" w:rsidRDefault="00BE7C89">
            <w:pPr>
              <w:pStyle w:val="BodyText"/>
              <w:spacing w:before="100" w:after="100"/>
              <w:rPr>
                <w:rFonts w:eastAsia="Calibri"/>
                <w:b/>
                <w:bCs/>
                <w:szCs w:val="20"/>
              </w:rPr>
            </w:pPr>
            <w:r>
              <w:rPr>
                <w:rFonts w:eastAsia="Calibri"/>
                <w:b/>
                <w:bCs/>
                <w:szCs w:val="20"/>
              </w:rPr>
              <w:t xml:space="preserve">My Plan Business </w:t>
            </w:r>
          </w:p>
        </w:tc>
      </w:tr>
      <w:tr w:rsidR="000D07EA" w14:paraId="4F349660" w14:textId="77777777">
        <w:trPr>
          <w:trHeight w:val="58"/>
          <w:tblHeader/>
        </w:trPr>
        <w:tc>
          <w:tcPr>
            <w:tcW w:w="1175" w:type="pct"/>
            <w:shd w:val="clear" w:color="auto" w:fill="auto"/>
            <w:vAlign w:val="center"/>
          </w:tcPr>
          <w:p w14:paraId="211B78F8" w14:textId="77777777" w:rsidR="000D07EA" w:rsidRDefault="000D07EA">
            <w:pPr>
              <w:pStyle w:val="BodyText"/>
              <w:spacing w:before="100" w:after="100"/>
              <w:rPr>
                <w:rFonts w:eastAsia="Calibri"/>
                <w:b/>
                <w:szCs w:val="20"/>
              </w:rPr>
            </w:pPr>
          </w:p>
        </w:tc>
        <w:tc>
          <w:tcPr>
            <w:tcW w:w="765" w:type="pct"/>
            <w:vAlign w:val="center"/>
          </w:tcPr>
          <w:p w14:paraId="35FC7C9D" w14:textId="77777777" w:rsidR="000D07EA" w:rsidRDefault="00BE7C89">
            <w:pPr>
              <w:pStyle w:val="BodyText"/>
              <w:spacing w:before="100" w:after="100"/>
              <w:rPr>
                <w:b/>
                <w:szCs w:val="20"/>
              </w:rPr>
            </w:pPr>
            <w:r>
              <w:rPr>
                <w:b/>
                <w:szCs w:val="20"/>
              </w:rPr>
              <w:t xml:space="preserve">$35 My Plan Business </w:t>
            </w:r>
          </w:p>
        </w:tc>
        <w:tc>
          <w:tcPr>
            <w:tcW w:w="765" w:type="pct"/>
            <w:vAlign w:val="center"/>
          </w:tcPr>
          <w:p w14:paraId="3245678E" w14:textId="77777777" w:rsidR="000D07EA" w:rsidRDefault="00BE7C89">
            <w:pPr>
              <w:pStyle w:val="BodyText"/>
              <w:spacing w:before="100" w:after="100"/>
              <w:rPr>
                <w:rFonts w:eastAsia="Calibri"/>
                <w:b/>
                <w:szCs w:val="20"/>
              </w:rPr>
            </w:pPr>
            <w:r>
              <w:rPr>
                <w:b/>
                <w:szCs w:val="20"/>
              </w:rPr>
              <w:t xml:space="preserve">$50 My Plan Business </w:t>
            </w:r>
          </w:p>
        </w:tc>
        <w:tc>
          <w:tcPr>
            <w:tcW w:w="765" w:type="pct"/>
            <w:shd w:val="clear" w:color="auto" w:fill="auto"/>
            <w:vAlign w:val="center"/>
          </w:tcPr>
          <w:p w14:paraId="2BA2883B" w14:textId="77777777" w:rsidR="000D07EA" w:rsidRDefault="00BE7C89">
            <w:pPr>
              <w:pStyle w:val="BodyText"/>
              <w:spacing w:before="100" w:after="100"/>
              <w:rPr>
                <w:rFonts w:eastAsia="Calibri"/>
                <w:b/>
                <w:szCs w:val="20"/>
              </w:rPr>
            </w:pPr>
            <w:r>
              <w:rPr>
                <w:b/>
                <w:szCs w:val="20"/>
              </w:rPr>
              <w:t>$60 My Plan Business</w:t>
            </w:r>
          </w:p>
        </w:tc>
        <w:tc>
          <w:tcPr>
            <w:tcW w:w="765" w:type="pct"/>
            <w:shd w:val="clear" w:color="auto" w:fill="auto"/>
            <w:vAlign w:val="center"/>
          </w:tcPr>
          <w:p w14:paraId="15510A84" w14:textId="77777777" w:rsidR="000D07EA" w:rsidRDefault="00BE7C89">
            <w:pPr>
              <w:pStyle w:val="BodyText"/>
              <w:spacing w:before="100" w:after="100"/>
              <w:rPr>
                <w:rFonts w:eastAsia="Calibri"/>
                <w:b/>
                <w:szCs w:val="20"/>
              </w:rPr>
            </w:pPr>
            <w:r>
              <w:rPr>
                <w:b/>
                <w:szCs w:val="20"/>
              </w:rPr>
              <w:t>$80 My Plan Business</w:t>
            </w:r>
          </w:p>
        </w:tc>
        <w:tc>
          <w:tcPr>
            <w:tcW w:w="765" w:type="pct"/>
            <w:shd w:val="clear" w:color="auto" w:fill="auto"/>
            <w:vAlign w:val="center"/>
          </w:tcPr>
          <w:p w14:paraId="610D1D94" w14:textId="77777777" w:rsidR="000D07EA" w:rsidRDefault="00BE7C89">
            <w:pPr>
              <w:pStyle w:val="BodyText"/>
              <w:spacing w:before="100" w:after="100"/>
              <w:rPr>
                <w:rFonts w:eastAsia="Calibri"/>
                <w:b/>
                <w:szCs w:val="20"/>
              </w:rPr>
            </w:pPr>
            <w:r>
              <w:rPr>
                <w:b/>
                <w:szCs w:val="20"/>
              </w:rPr>
              <w:t xml:space="preserve">$100 My Plan Business </w:t>
            </w:r>
          </w:p>
        </w:tc>
      </w:tr>
      <w:tr w:rsidR="000D07EA" w14:paraId="4616E233" w14:textId="77777777">
        <w:trPr>
          <w:trHeight w:val="58"/>
        </w:trPr>
        <w:tc>
          <w:tcPr>
            <w:tcW w:w="1175" w:type="pct"/>
            <w:shd w:val="clear" w:color="auto" w:fill="auto"/>
            <w:vAlign w:val="center"/>
          </w:tcPr>
          <w:p w14:paraId="2F79B206" w14:textId="77777777" w:rsidR="000D07EA" w:rsidRDefault="00BE7C89">
            <w:pPr>
              <w:pStyle w:val="BodyText"/>
              <w:spacing w:before="100" w:after="100"/>
              <w:rPr>
                <w:rFonts w:eastAsia="Calibri"/>
                <w:szCs w:val="20"/>
              </w:rPr>
            </w:pPr>
            <w:r>
              <w:rPr>
                <w:rFonts w:eastAsia="Calibri"/>
                <w:b/>
                <w:bCs/>
                <w:szCs w:val="20"/>
              </w:rPr>
              <w:t xml:space="preserve">Cancellation Fee </w:t>
            </w:r>
          </w:p>
        </w:tc>
        <w:tc>
          <w:tcPr>
            <w:tcW w:w="765" w:type="pct"/>
            <w:vAlign w:val="center"/>
          </w:tcPr>
          <w:p w14:paraId="6AAF5F27" w14:textId="77777777" w:rsidR="000D07EA" w:rsidRDefault="00BE7C89">
            <w:pPr>
              <w:pStyle w:val="BodyText"/>
              <w:spacing w:before="100" w:after="100"/>
              <w:rPr>
                <w:rFonts w:eastAsia="Calibri"/>
                <w:i/>
                <w:szCs w:val="20"/>
              </w:rPr>
            </w:pPr>
            <w:r>
              <w:rPr>
                <w:rFonts w:eastAsia="Calibri"/>
                <w:szCs w:val="20"/>
              </w:rPr>
              <w:t xml:space="preserve">$21 x months remaining on </w:t>
            </w:r>
            <w:r>
              <w:rPr>
                <w:rFonts w:eastAsia="Calibri"/>
                <w:i/>
                <w:szCs w:val="20"/>
              </w:rPr>
              <w:t>minimum term</w:t>
            </w:r>
          </w:p>
        </w:tc>
        <w:tc>
          <w:tcPr>
            <w:tcW w:w="765" w:type="pct"/>
            <w:vAlign w:val="center"/>
          </w:tcPr>
          <w:p w14:paraId="64E2463D" w14:textId="77777777" w:rsidR="000D07EA" w:rsidRDefault="00BE7C89">
            <w:pPr>
              <w:pStyle w:val="BodyText"/>
              <w:spacing w:before="100" w:after="100"/>
              <w:rPr>
                <w:rFonts w:eastAsia="Calibri"/>
                <w:szCs w:val="20"/>
              </w:rPr>
            </w:pPr>
            <w:r>
              <w:rPr>
                <w:rFonts w:eastAsia="Calibri"/>
                <w:szCs w:val="20"/>
              </w:rPr>
              <w:t xml:space="preserve">$30 x months remaining on </w:t>
            </w:r>
            <w:r>
              <w:rPr>
                <w:rFonts w:eastAsia="Calibri"/>
                <w:i/>
                <w:szCs w:val="20"/>
              </w:rPr>
              <w:t>minimum term</w:t>
            </w:r>
          </w:p>
        </w:tc>
        <w:tc>
          <w:tcPr>
            <w:tcW w:w="765" w:type="pct"/>
            <w:shd w:val="clear" w:color="auto" w:fill="auto"/>
            <w:vAlign w:val="center"/>
          </w:tcPr>
          <w:p w14:paraId="57AD81A7" w14:textId="77777777" w:rsidR="000D07EA" w:rsidRDefault="00BE7C89">
            <w:pPr>
              <w:pStyle w:val="BodyText"/>
              <w:spacing w:before="100" w:after="100"/>
              <w:rPr>
                <w:rFonts w:eastAsia="Calibri"/>
                <w:szCs w:val="20"/>
              </w:rPr>
            </w:pPr>
            <w:r>
              <w:rPr>
                <w:rFonts w:eastAsia="Calibri"/>
                <w:szCs w:val="20"/>
              </w:rPr>
              <w:t xml:space="preserve">$36 x months remaining on </w:t>
            </w:r>
            <w:r>
              <w:rPr>
                <w:rFonts w:eastAsia="Calibri"/>
                <w:i/>
                <w:szCs w:val="20"/>
              </w:rPr>
              <w:t>minimum term</w:t>
            </w:r>
          </w:p>
        </w:tc>
        <w:tc>
          <w:tcPr>
            <w:tcW w:w="765" w:type="pct"/>
            <w:shd w:val="clear" w:color="auto" w:fill="auto"/>
            <w:vAlign w:val="center"/>
          </w:tcPr>
          <w:p w14:paraId="3653C84C" w14:textId="77777777" w:rsidR="000D07EA" w:rsidRDefault="00BE7C89">
            <w:pPr>
              <w:pStyle w:val="BodyText"/>
              <w:spacing w:before="100" w:after="100"/>
              <w:rPr>
                <w:rFonts w:eastAsia="Calibri"/>
                <w:szCs w:val="20"/>
              </w:rPr>
            </w:pPr>
            <w:r>
              <w:rPr>
                <w:rFonts w:eastAsia="Calibri"/>
                <w:szCs w:val="20"/>
              </w:rPr>
              <w:t xml:space="preserve">$48 x months remaining on </w:t>
            </w:r>
            <w:r>
              <w:rPr>
                <w:rFonts w:eastAsia="Calibri"/>
                <w:i/>
                <w:szCs w:val="20"/>
              </w:rPr>
              <w:t>minimum term</w:t>
            </w:r>
          </w:p>
        </w:tc>
        <w:tc>
          <w:tcPr>
            <w:tcW w:w="765" w:type="pct"/>
            <w:shd w:val="clear" w:color="auto" w:fill="auto"/>
            <w:vAlign w:val="center"/>
          </w:tcPr>
          <w:p w14:paraId="4737E346" w14:textId="77777777" w:rsidR="000D07EA" w:rsidRDefault="00BE7C89">
            <w:pPr>
              <w:pStyle w:val="BodyText"/>
              <w:spacing w:before="100" w:after="100"/>
              <w:rPr>
                <w:rFonts w:eastAsia="Calibri"/>
                <w:szCs w:val="20"/>
              </w:rPr>
            </w:pPr>
            <w:r>
              <w:rPr>
                <w:rFonts w:eastAsia="Calibri"/>
                <w:szCs w:val="20"/>
              </w:rPr>
              <w:t xml:space="preserve">$60 x months remaining on </w:t>
            </w:r>
            <w:r>
              <w:rPr>
                <w:rFonts w:eastAsia="Calibri"/>
                <w:i/>
                <w:szCs w:val="20"/>
              </w:rPr>
              <w:t>minimum term</w:t>
            </w:r>
          </w:p>
        </w:tc>
      </w:tr>
      <w:tr w:rsidR="000D07EA" w14:paraId="57E0E8FB" w14:textId="77777777">
        <w:trPr>
          <w:trHeight w:val="275"/>
        </w:trPr>
        <w:tc>
          <w:tcPr>
            <w:tcW w:w="1175" w:type="pct"/>
            <w:shd w:val="clear" w:color="auto" w:fill="auto"/>
            <w:vAlign w:val="center"/>
          </w:tcPr>
          <w:p w14:paraId="76F09C56" w14:textId="77777777" w:rsidR="000D07EA" w:rsidRDefault="00BE7C89">
            <w:pPr>
              <w:pStyle w:val="BodyText"/>
              <w:spacing w:before="100" w:after="100"/>
              <w:rPr>
                <w:rFonts w:eastAsia="Calibri"/>
                <w:b/>
                <w:bCs/>
                <w:szCs w:val="20"/>
              </w:rPr>
            </w:pPr>
            <w:r>
              <w:rPr>
                <w:rFonts w:eastAsia="Calibri"/>
                <w:b/>
                <w:bCs/>
                <w:szCs w:val="20"/>
              </w:rPr>
              <w:t>Maximum Cancellation Fee</w:t>
            </w:r>
          </w:p>
        </w:tc>
        <w:tc>
          <w:tcPr>
            <w:tcW w:w="765" w:type="pct"/>
            <w:vAlign w:val="center"/>
          </w:tcPr>
          <w:p w14:paraId="07AA78F8" w14:textId="77777777" w:rsidR="000D07EA" w:rsidRDefault="00BE7C89">
            <w:pPr>
              <w:pStyle w:val="BodyText"/>
              <w:spacing w:before="100" w:after="100"/>
              <w:rPr>
                <w:rFonts w:eastAsia="Calibri"/>
                <w:szCs w:val="20"/>
              </w:rPr>
            </w:pPr>
            <w:r>
              <w:rPr>
                <w:rFonts w:eastAsia="Calibri"/>
                <w:szCs w:val="20"/>
              </w:rPr>
              <w:t>$504</w:t>
            </w:r>
          </w:p>
        </w:tc>
        <w:tc>
          <w:tcPr>
            <w:tcW w:w="765" w:type="pct"/>
            <w:vAlign w:val="center"/>
          </w:tcPr>
          <w:p w14:paraId="31EF80F6" w14:textId="77777777" w:rsidR="000D07EA" w:rsidRDefault="00BE7C89">
            <w:pPr>
              <w:pStyle w:val="BodyText"/>
              <w:spacing w:before="100" w:after="100"/>
              <w:rPr>
                <w:rFonts w:eastAsia="Calibri"/>
                <w:szCs w:val="20"/>
              </w:rPr>
            </w:pPr>
            <w:r>
              <w:rPr>
                <w:rFonts w:eastAsia="Calibri"/>
                <w:szCs w:val="20"/>
              </w:rPr>
              <w:t>$720</w:t>
            </w:r>
          </w:p>
        </w:tc>
        <w:tc>
          <w:tcPr>
            <w:tcW w:w="765" w:type="pct"/>
            <w:shd w:val="clear" w:color="auto" w:fill="auto"/>
            <w:vAlign w:val="center"/>
          </w:tcPr>
          <w:p w14:paraId="4C33200E" w14:textId="77777777" w:rsidR="000D07EA" w:rsidRDefault="00BE7C89">
            <w:pPr>
              <w:pStyle w:val="BodyText"/>
              <w:spacing w:before="100" w:after="100"/>
              <w:rPr>
                <w:rFonts w:eastAsia="Calibri"/>
                <w:szCs w:val="20"/>
              </w:rPr>
            </w:pPr>
            <w:r>
              <w:rPr>
                <w:rFonts w:eastAsia="Calibri"/>
                <w:szCs w:val="20"/>
              </w:rPr>
              <w:t>$864</w:t>
            </w:r>
          </w:p>
        </w:tc>
        <w:tc>
          <w:tcPr>
            <w:tcW w:w="765" w:type="pct"/>
            <w:shd w:val="clear" w:color="auto" w:fill="auto"/>
            <w:vAlign w:val="center"/>
          </w:tcPr>
          <w:p w14:paraId="606185E3" w14:textId="77777777" w:rsidR="000D07EA" w:rsidRDefault="00BE7C89">
            <w:pPr>
              <w:pStyle w:val="BodyText"/>
              <w:spacing w:before="100" w:after="100"/>
              <w:rPr>
                <w:rFonts w:eastAsia="Calibri"/>
                <w:szCs w:val="20"/>
              </w:rPr>
            </w:pPr>
            <w:r>
              <w:rPr>
                <w:rFonts w:eastAsia="Calibri"/>
                <w:szCs w:val="20"/>
              </w:rPr>
              <w:t>$1152</w:t>
            </w:r>
          </w:p>
        </w:tc>
        <w:tc>
          <w:tcPr>
            <w:tcW w:w="765" w:type="pct"/>
            <w:shd w:val="clear" w:color="auto" w:fill="auto"/>
            <w:vAlign w:val="center"/>
          </w:tcPr>
          <w:p w14:paraId="185A3646" w14:textId="77777777" w:rsidR="000D07EA" w:rsidRDefault="00BE7C89">
            <w:pPr>
              <w:pStyle w:val="BodyText"/>
              <w:spacing w:before="100" w:after="100"/>
              <w:rPr>
                <w:rFonts w:eastAsia="Calibri"/>
                <w:szCs w:val="20"/>
              </w:rPr>
            </w:pPr>
            <w:r>
              <w:rPr>
                <w:rFonts w:eastAsia="Calibri"/>
                <w:szCs w:val="20"/>
              </w:rPr>
              <w:t>$1440</w:t>
            </w:r>
          </w:p>
        </w:tc>
      </w:tr>
    </w:tbl>
    <w:p w14:paraId="6A56BEF2" w14:textId="77777777" w:rsidR="000D07EA" w:rsidRDefault="00BE7C89">
      <w:pPr>
        <w:pStyle w:val="Heading7"/>
        <w:spacing w:before="240"/>
      </w:pPr>
      <w:r>
        <w:lastRenderedPageBreak/>
        <w:t xml:space="preserve">If </w:t>
      </w:r>
      <w:r>
        <w:rPr>
          <w:i/>
        </w:rPr>
        <w:t>your</w:t>
      </w:r>
      <w:r>
        <w:t xml:space="preserve"> My Plan Business is </w:t>
      </w:r>
      <w:r>
        <w:rPr>
          <w:i/>
        </w:rPr>
        <w:t>cancelled</w:t>
      </w:r>
      <w:r>
        <w:t xml:space="preserve">, </w:t>
      </w:r>
      <w:r>
        <w:rPr>
          <w:i/>
        </w:rPr>
        <w:t>your</w:t>
      </w:r>
      <w:r>
        <w:t xml:space="preserve"> Shared Data Plan(s) may also be </w:t>
      </w:r>
      <w:r>
        <w:rPr>
          <w:i/>
        </w:rPr>
        <w:t>cancelled</w:t>
      </w:r>
      <w:r>
        <w:t xml:space="preserve">. There are no </w:t>
      </w:r>
      <w:r>
        <w:rPr>
          <w:i/>
        </w:rPr>
        <w:t>cancellation fees</w:t>
      </w:r>
      <w:r>
        <w:t xml:space="preserve"> for the Shared Data Plan, however if </w:t>
      </w:r>
      <w:r>
        <w:rPr>
          <w:i/>
        </w:rPr>
        <w:t>you</w:t>
      </w:r>
      <w:r>
        <w:t xml:space="preserve"> purchased a </w:t>
      </w:r>
      <w:r>
        <w:rPr>
          <w:i/>
        </w:rPr>
        <w:t>device</w:t>
      </w:r>
      <w:r>
        <w:t xml:space="preserve"> </w:t>
      </w:r>
      <w:r>
        <w:rPr>
          <w:i/>
        </w:rPr>
        <w:t>you</w:t>
      </w:r>
      <w:r>
        <w:t xml:space="preserve"> need to pay the sum of any remaining </w:t>
      </w:r>
      <w:r>
        <w:rPr>
          <w:i/>
        </w:rPr>
        <w:t xml:space="preserve">equipment charges </w:t>
      </w:r>
      <w:r>
        <w:t xml:space="preserve">owing on </w:t>
      </w:r>
      <w:r>
        <w:rPr>
          <w:i/>
        </w:rPr>
        <w:t xml:space="preserve">your device </w:t>
      </w:r>
      <w:r>
        <w:t xml:space="preserve">under the </w:t>
      </w:r>
      <w:r>
        <w:rPr>
          <w:i/>
        </w:rPr>
        <w:t xml:space="preserve">mobile equipment payment plan </w:t>
      </w:r>
      <w:r>
        <w:t>(see Appendix D).</w:t>
      </w:r>
    </w:p>
    <w:p w14:paraId="1CE83AFC" w14:textId="77777777" w:rsidR="000D07EA" w:rsidRDefault="00BE7C89">
      <w:pPr>
        <w:pStyle w:val="Heading7"/>
      </w:pPr>
      <w:r>
        <w:t xml:space="preserve">If </w:t>
      </w:r>
      <w:r>
        <w:rPr>
          <w:i/>
        </w:rPr>
        <w:t xml:space="preserve">your </w:t>
      </w:r>
      <w:r>
        <w:t xml:space="preserve">Shared Data Plan is not </w:t>
      </w:r>
      <w:r>
        <w:rPr>
          <w:i/>
        </w:rPr>
        <w:t>cancelled</w:t>
      </w:r>
      <w:r>
        <w:t xml:space="preserve">, </w:t>
      </w:r>
      <w:r>
        <w:rPr>
          <w:i/>
        </w:rPr>
        <w:t>you</w:t>
      </w:r>
      <w:r>
        <w:t xml:space="preserve"> will be charged $10 per 1GB within Australia, up to a maximum of 60GB (per account) in a billing month.</w:t>
      </w:r>
    </w:p>
    <w:p w14:paraId="142B8CB2" w14:textId="77777777" w:rsidR="000D07EA" w:rsidRDefault="00BE7C89">
      <w:pPr>
        <w:pStyle w:val="Heading4"/>
      </w:pPr>
      <w:bookmarkStart w:id="879" w:name="_Toc396920632"/>
      <w:bookmarkStart w:id="880" w:name="_Toc409187031"/>
      <w:bookmarkStart w:id="881" w:name="_Toc455147631"/>
      <w:bookmarkStart w:id="882" w:name="_Toc62644653"/>
      <w:r>
        <w:t xml:space="preserve">My Plan </w:t>
      </w:r>
      <w:r>
        <w:rPr>
          <w:rFonts w:eastAsia="MS Mincho"/>
        </w:rPr>
        <w:t>Business</w:t>
      </w:r>
      <w:bookmarkEnd w:id="879"/>
      <w:bookmarkEnd w:id="880"/>
      <w:bookmarkEnd w:id="881"/>
      <w:bookmarkEnd w:id="882"/>
    </w:p>
    <w:p w14:paraId="65C15683" w14:textId="77777777" w:rsidR="000D07EA" w:rsidRDefault="00BE7C89">
      <w:pPr>
        <w:pStyle w:val="BodyText"/>
        <w:ind w:left="720"/>
        <w:rPr>
          <w:b/>
        </w:rPr>
      </w:pPr>
      <w:bookmarkStart w:id="883" w:name="_Toc396920633"/>
      <w:r>
        <w:t>This section relates to the following plans. You can find your Plan ID on your bill under the Mobile Number Summary section:</w:t>
      </w:r>
      <w:r>
        <w:rPr>
          <w:b/>
        </w:rPr>
        <w:t xml:space="preserve"> </w:t>
      </w:r>
    </w:p>
    <w:tbl>
      <w:tblPr>
        <w:tblW w:w="965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952"/>
        <w:gridCol w:w="3836"/>
        <w:gridCol w:w="2867"/>
      </w:tblGrid>
      <w:tr w:rsidR="000D07EA" w14:paraId="05F105FB" w14:textId="77777777" w:rsidTr="00536F8B">
        <w:tc>
          <w:tcPr>
            <w:tcW w:w="2952" w:type="dxa"/>
            <w:shd w:val="clear" w:color="auto" w:fill="auto"/>
          </w:tcPr>
          <w:p w14:paraId="4520D53A" w14:textId="77777777" w:rsidR="000D07EA" w:rsidRDefault="00BE7C89">
            <w:pPr>
              <w:pStyle w:val="BodyText"/>
              <w:spacing w:before="100" w:after="100"/>
              <w:rPr>
                <w:b/>
              </w:rPr>
            </w:pPr>
            <w:r>
              <w:rPr>
                <w:b/>
              </w:rPr>
              <w:t>Plan</w:t>
            </w:r>
          </w:p>
        </w:tc>
        <w:tc>
          <w:tcPr>
            <w:tcW w:w="3836" w:type="dxa"/>
            <w:shd w:val="clear" w:color="auto" w:fill="auto"/>
          </w:tcPr>
          <w:p w14:paraId="17A0F2A8" w14:textId="77777777" w:rsidR="000D07EA" w:rsidRDefault="00BE7C89">
            <w:pPr>
              <w:pStyle w:val="BodyText"/>
              <w:spacing w:before="100" w:after="100"/>
              <w:rPr>
                <w:b/>
              </w:rPr>
            </w:pPr>
            <w:r>
              <w:rPr>
                <w:b/>
              </w:rPr>
              <w:t>Plan ID</w:t>
            </w:r>
          </w:p>
        </w:tc>
        <w:tc>
          <w:tcPr>
            <w:tcW w:w="2867" w:type="dxa"/>
            <w:shd w:val="clear" w:color="auto" w:fill="auto"/>
          </w:tcPr>
          <w:p w14:paraId="1489CFAE" w14:textId="77777777" w:rsidR="000D07EA" w:rsidRDefault="00BE7C89">
            <w:pPr>
              <w:pStyle w:val="BodyText"/>
              <w:spacing w:before="100" w:after="100"/>
              <w:rPr>
                <w:b/>
              </w:rPr>
            </w:pPr>
            <w:r>
              <w:rPr>
                <w:b/>
              </w:rPr>
              <w:t>Available</w:t>
            </w:r>
          </w:p>
        </w:tc>
      </w:tr>
      <w:tr w:rsidR="000D07EA" w14:paraId="3B8FEFE7" w14:textId="77777777" w:rsidTr="00536F8B">
        <w:trPr>
          <w:trHeight w:val="58"/>
        </w:trPr>
        <w:tc>
          <w:tcPr>
            <w:tcW w:w="2952" w:type="dxa"/>
            <w:shd w:val="clear" w:color="auto" w:fill="auto"/>
          </w:tcPr>
          <w:p w14:paraId="0A7F1167" w14:textId="77777777" w:rsidR="000D07EA" w:rsidRDefault="00BE7C89">
            <w:pPr>
              <w:pStyle w:val="BodyText"/>
              <w:spacing w:before="100" w:after="100"/>
            </w:pPr>
            <w:r>
              <w:t>$60 My Plan Business</w:t>
            </w:r>
          </w:p>
        </w:tc>
        <w:tc>
          <w:tcPr>
            <w:tcW w:w="3836" w:type="dxa"/>
            <w:shd w:val="clear" w:color="auto" w:fill="auto"/>
          </w:tcPr>
          <w:p w14:paraId="47CB5E21" w14:textId="77777777" w:rsidR="000D07EA" w:rsidRDefault="00BE7C89">
            <w:pPr>
              <w:pStyle w:val="BodyText"/>
              <w:spacing w:before="100" w:after="100"/>
            </w:pPr>
            <w:r>
              <w:t>800214, 800215, 800217</w:t>
            </w:r>
            <w:r w:rsidR="00CC2F10">
              <w:t>, 8375534</w:t>
            </w:r>
          </w:p>
        </w:tc>
        <w:tc>
          <w:tcPr>
            <w:tcW w:w="2867" w:type="dxa"/>
            <w:shd w:val="clear" w:color="auto" w:fill="auto"/>
          </w:tcPr>
          <w:p w14:paraId="5FE6FD4A" w14:textId="77777777" w:rsidR="000D07EA" w:rsidRDefault="00BE7C89">
            <w:pPr>
              <w:pStyle w:val="BodyText"/>
              <w:spacing w:before="100" w:after="100"/>
            </w:pPr>
            <w:r>
              <w:t>8 September 2014 – 31 January 2015</w:t>
            </w:r>
          </w:p>
        </w:tc>
      </w:tr>
      <w:tr w:rsidR="000D07EA" w14:paraId="36F782F5" w14:textId="77777777" w:rsidTr="00536F8B">
        <w:tc>
          <w:tcPr>
            <w:tcW w:w="2952" w:type="dxa"/>
            <w:shd w:val="clear" w:color="auto" w:fill="auto"/>
          </w:tcPr>
          <w:p w14:paraId="1BF3399A" w14:textId="77777777" w:rsidR="000D07EA" w:rsidRDefault="00BE7C89">
            <w:pPr>
              <w:pStyle w:val="BodyText"/>
              <w:spacing w:before="100" w:after="100"/>
            </w:pPr>
            <w:r>
              <w:t>$80 My Plan Business</w:t>
            </w:r>
          </w:p>
        </w:tc>
        <w:tc>
          <w:tcPr>
            <w:tcW w:w="3836" w:type="dxa"/>
            <w:shd w:val="clear" w:color="auto" w:fill="auto"/>
          </w:tcPr>
          <w:p w14:paraId="5CF583C3" w14:textId="77777777" w:rsidR="000D07EA" w:rsidRDefault="00BE7C89">
            <w:pPr>
              <w:pStyle w:val="BodyText"/>
              <w:spacing w:before="100" w:after="100"/>
            </w:pPr>
            <w:r>
              <w:t>800202, 800204, 800210</w:t>
            </w:r>
            <w:r w:rsidR="00CC2F10">
              <w:t>, 8375554</w:t>
            </w:r>
          </w:p>
        </w:tc>
        <w:tc>
          <w:tcPr>
            <w:tcW w:w="2867" w:type="dxa"/>
            <w:shd w:val="clear" w:color="auto" w:fill="auto"/>
          </w:tcPr>
          <w:p w14:paraId="51CCC03B" w14:textId="77777777" w:rsidR="000D07EA" w:rsidRDefault="00BE7C89">
            <w:pPr>
              <w:pStyle w:val="BodyText"/>
              <w:spacing w:before="100" w:after="100"/>
            </w:pPr>
            <w:r>
              <w:t>8 September 2014 – 31 January 2015</w:t>
            </w:r>
          </w:p>
        </w:tc>
      </w:tr>
      <w:tr w:rsidR="000D07EA" w14:paraId="06F17DEF" w14:textId="77777777" w:rsidTr="00536F8B">
        <w:tc>
          <w:tcPr>
            <w:tcW w:w="2952" w:type="dxa"/>
            <w:shd w:val="clear" w:color="auto" w:fill="auto"/>
          </w:tcPr>
          <w:p w14:paraId="5067BD94" w14:textId="77777777" w:rsidR="000D07EA" w:rsidRDefault="00BE7C89">
            <w:pPr>
              <w:pStyle w:val="BodyText"/>
              <w:spacing w:before="100" w:after="100"/>
            </w:pPr>
            <w:r>
              <w:t>$100 My Plan Business</w:t>
            </w:r>
          </w:p>
        </w:tc>
        <w:tc>
          <w:tcPr>
            <w:tcW w:w="3836" w:type="dxa"/>
            <w:shd w:val="clear" w:color="auto" w:fill="auto"/>
          </w:tcPr>
          <w:p w14:paraId="36E0C908" w14:textId="77777777" w:rsidR="000D07EA" w:rsidRDefault="00BE7C89">
            <w:pPr>
              <w:pStyle w:val="BodyText"/>
              <w:spacing w:before="100" w:after="100"/>
            </w:pPr>
            <w:r>
              <w:t>800203, 800205, 800211</w:t>
            </w:r>
            <w:r w:rsidR="00CC2F10">
              <w:t>, 8375574</w:t>
            </w:r>
          </w:p>
        </w:tc>
        <w:tc>
          <w:tcPr>
            <w:tcW w:w="2867" w:type="dxa"/>
            <w:shd w:val="clear" w:color="auto" w:fill="auto"/>
          </w:tcPr>
          <w:p w14:paraId="688D11D1" w14:textId="77777777" w:rsidR="000D07EA" w:rsidRDefault="00BE7C89">
            <w:pPr>
              <w:pStyle w:val="BodyText"/>
              <w:spacing w:before="100" w:after="100"/>
            </w:pPr>
            <w:r>
              <w:t>8 September 2014 – 31 January 2015</w:t>
            </w:r>
          </w:p>
        </w:tc>
      </w:tr>
    </w:tbl>
    <w:p w14:paraId="7978E8BA" w14:textId="77777777" w:rsidR="000D07EA" w:rsidRDefault="00BE7C89">
      <w:pPr>
        <w:pStyle w:val="Heading6"/>
        <w:spacing w:before="240"/>
        <w:ind w:left="0" w:firstLine="0"/>
      </w:pPr>
      <w:bookmarkStart w:id="884" w:name="_Toc396920634"/>
      <w:bookmarkStart w:id="885" w:name="_Toc409187032"/>
      <w:bookmarkEnd w:id="883"/>
      <w:r>
        <w:t>Eligibility</w:t>
      </w:r>
      <w:bookmarkEnd w:id="884"/>
      <w:bookmarkEnd w:id="885"/>
    </w:p>
    <w:p w14:paraId="2E851C89" w14:textId="77777777" w:rsidR="000D07EA" w:rsidRDefault="00BE7C89">
      <w:pPr>
        <w:pStyle w:val="BodyText"/>
        <w:ind w:left="720"/>
      </w:pPr>
      <w:r>
        <w:t xml:space="preserve">These plans were available to mobile customers connecting to the </w:t>
      </w:r>
      <w:r>
        <w:rPr>
          <w:i/>
        </w:rPr>
        <w:t xml:space="preserve">service </w:t>
      </w:r>
      <w:r>
        <w:t xml:space="preserve">who pass the Optus credit assessment. </w:t>
      </w:r>
    </w:p>
    <w:p w14:paraId="43A47C13" w14:textId="77777777" w:rsidR="000D07EA" w:rsidRDefault="00BE7C89">
      <w:pPr>
        <w:pStyle w:val="BodyText"/>
        <w:ind w:left="720"/>
      </w:pPr>
      <w:r>
        <w:t>Optus Service Providers' customers are not eligible to apply</w:t>
      </w:r>
      <w:r>
        <w:rPr>
          <w:snapToGrid w:val="0"/>
        </w:rPr>
        <w:t>.</w:t>
      </w:r>
    </w:p>
    <w:p w14:paraId="1838C99C" w14:textId="77777777" w:rsidR="000D07EA" w:rsidRDefault="00BE7C89">
      <w:pPr>
        <w:pStyle w:val="BodyText"/>
        <w:ind w:left="720"/>
      </w:pPr>
      <w:r>
        <w:t xml:space="preserve">These </w:t>
      </w:r>
      <w:r>
        <w:rPr>
          <w:i/>
        </w:rPr>
        <w:t>plans</w:t>
      </w:r>
      <w:r>
        <w:t xml:space="preserve"> aren't compatible for data use with BlackBerry handsets on operating systems of 7.1 or earlier.</w:t>
      </w:r>
    </w:p>
    <w:p w14:paraId="559B1DF1" w14:textId="77777777" w:rsidR="000D07EA" w:rsidRDefault="00BE7C89">
      <w:pPr>
        <w:pStyle w:val="Heading6"/>
        <w:ind w:left="0" w:firstLine="0"/>
      </w:pPr>
      <w:bookmarkStart w:id="886" w:name="_Toc396920635"/>
      <w:bookmarkStart w:id="887" w:name="_Toc409187033"/>
      <w:r>
        <w:rPr>
          <w:snapToGrid w:val="0"/>
        </w:rPr>
        <w:t>Minimum Term</w:t>
      </w:r>
      <w:bookmarkEnd w:id="886"/>
      <w:bookmarkEnd w:id="887"/>
    </w:p>
    <w:p w14:paraId="3AD89033" w14:textId="77777777" w:rsidR="000D07EA" w:rsidRDefault="00BE7C89">
      <w:pPr>
        <w:pStyle w:val="BodyText"/>
        <w:ind w:left="720"/>
      </w:pPr>
      <w:r>
        <w:t xml:space="preserve">These </w:t>
      </w:r>
      <w:r>
        <w:rPr>
          <w:i/>
        </w:rPr>
        <w:t>plans</w:t>
      </w:r>
      <w:r>
        <w:t xml:space="preserve"> have</w:t>
      </w:r>
      <w:r>
        <w:rPr>
          <w:i/>
        </w:rPr>
        <w:t xml:space="preserve"> </w:t>
      </w:r>
      <w:r>
        <w:t xml:space="preserve">a </w:t>
      </w:r>
      <w:r>
        <w:rPr>
          <w:i/>
        </w:rPr>
        <w:t>fixed length agreement</w:t>
      </w:r>
      <w:r>
        <w:t xml:space="preserve"> with a 24 month </w:t>
      </w:r>
      <w:r>
        <w:rPr>
          <w:i/>
        </w:rPr>
        <w:t>minimum term.</w:t>
      </w:r>
    </w:p>
    <w:p w14:paraId="2120D2B7" w14:textId="77777777" w:rsidR="000D07EA" w:rsidRDefault="00BE7C89">
      <w:pPr>
        <w:pStyle w:val="Heading6"/>
        <w:ind w:left="0" w:firstLine="0"/>
        <w:rPr>
          <w:b/>
        </w:rPr>
      </w:pPr>
      <w:bookmarkStart w:id="888" w:name="_Toc396920636"/>
      <w:bookmarkStart w:id="889" w:name="_Toc409187034"/>
      <w:r>
        <w:t>What you have to pay us</w:t>
      </w:r>
      <w:bookmarkEnd w:id="888"/>
      <w:bookmarkEnd w:id="889"/>
    </w:p>
    <w:p w14:paraId="03407653" w14:textId="77777777" w:rsidR="000D07EA" w:rsidRDefault="00BE7C89">
      <w:pPr>
        <w:pStyle w:val="Heading7"/>
      </w:pPr>
      <w:r>
        <w:rPr>
          <w:i/>
        </w:rPr>
        <w:t>You</w:t>
      </w:r>
      <w:r>
        <w:t xml:space="preserve"> must pay </w:t>
      </w:r>
      <w:r>
        <w:rPr>
          <w:i/>
        </w:rPr>
        <w:t>us</w:t>
      </w:r>
      <w:r>
        <w:t xml:space="preserve"> for use of the </w:t>
      </w:r>
      <w:r>
        <w:rPr>
          <w:i/>
        </w:rPr>
        <w:t>service</w:t>
      </w:r>
      <w:r>
        <w:t xml:space="preserve"> at the rates set out in Section 1 of this </w:t>
      </w:r>
      <w:r>
        <w:rPr>
          <w:i/>
        </w:rPr>
        <w:t>standard pricing table</w:t>
      </w:r>
      <w:r>
        <w:t xml:space="preserve"> and for value added service features at the rates set out in </w:t>
      </w:r>
      <w:r>
        <w:rPr>
          <w:i/>
        </w:rPr>
        <w:t>Appendix Y Value Added Service Features</w:t>
      </w:r>
      <w:r>
        <w:t>.</w:t>
      </w:r>
    </w:p>
    <w:p w14:paraId="5B07F856" w14:textId="77777777" w:rsidR="000D07EA" w:rsidRDefault="00BE7C89">
      <w:pPr>
        <w:pStyle w:val="Heading7"/>
      </w:pPr>
      <w:r>
        <w:t>If there is a flagfall for a particular call type, the charge for these calls is the flagfall amount plus the relevant rate for the call multiplied by the duration of the call.</w:t>
      </w:r>
    </w:p>
    <w:p w14:paraId="5BCEDF33" w14:textId="77777777" w:rsidR="000D07EA" w:rsidRDefault="00BE7C89">
      <w:pPr>
        <w:pStyle w:val="Heading7"/>
        <w:rPr>
          <w:b/>
        </w:rPr>
      </w:pPr>
      <w:r>
        <w:rPr>
          <w:b/>
        </w:rPr>
        <w:t>Minimum Monthly Charge</w:t>
      </w:r>
    </w:p>
    <w:p w14:paraId="2A557DD9" w14:textId="77777777" w:rsidR="000D07EA" w:rsidRDefault="00BE7C89">
      <w:pPr>
        <w:pStyle w:val="Heading8"/>
      </w:pPr>
      <w:r>
        <w:t xml:space="preserve">Each My Plan Business has a Minimum Monthly Charge amount that </w:t>
      </w:r>
      <w:r>
        <w:rPr>
          <w:i/>
        </w:rPr>
        <w:t>you</w:t>
      </w:r>
      <w:r>
        <w:t xml:space="preserve"> must pay </w:t>
      </w:r>
      <w:r>
        <w:rPr>
          <w:i/>
        </w:rPr>
        <w:t>us</w:t>
      </w:r>
      <w:r>
        <w:t xml:space="preserve"> each month as set out in Table 1 below.</w:t>
      </w:r>
    </w:p>
    <w:p w14:paraId="2CC9AAE6" w14:textId="77777777" w:rsidR="000D07EA" w:rsidRDefault="00BE7C89">
      <w:pPr>
        <w:pStyle w:val="Heading8"/>
      </w:pPr>
      <w:r>
        <w:rPr>
          <w:i/>
        </w:rPr>
        <w:t>You</w:t>
      </w:r>
      <w:r>
        <w:t xml:space="preserve"> may purchase a mobile phone (or 'handset') with a 24 month </w:t>
      </w:r>
      <w:r>
        <w:rPr>
          <w:i/>
        </w:rPr>
        <w:t>equipment term</w:t>
      </w:r>
      <w:r>
        <w:t xml:space="preserve"> under a </w:t>
      </w:r>
      <w:r>
        <w:rPr>
          <w:i/>
        </w:rPr>
        <w:t>mobile equipment payment plan</w:t>
      </w:r>
      <w:r>
        <w:t xml:space="preserve"> (set out in Appendix D) on a 24 month </w:t>
      </w:r>
      <w:r>
        <w:rPr>
          <w:i/>
        </w:rPr>
        <w:t>fixed-length agreement</w:t>
      </w:r>
      <w:r>
        <w:t>.</w:t>
      </w:r>
    </w:p>
    <w:p w14:paraId="4FAE14D1" w14:textId="77777777" w:rsidR="000D07EA" w:rsidRDefault="00BE7C89">
      <w:pPr>
        <w:pStyle w:val="Heading6"/>
        <w:rPr>
          <w:snapToGrid w:val="0"/>
        </w:rPr>
      </w:pPr>
      <w:bookmarkStart w:id="890" w:name="_Toc396920637"/>
      <w:bookmarkStart w:id="891" w:name="_Toc409187035"/>
      <w:r>
        <w:rPr>
          <w:snapToGrid w:val="0"/>
        </w:rPr>
        <w:t xml:space="preserve">How My Plan </w:t>
      </w:r>
      <w:r>
        <w:t>Business</w:t>
      </w:r>
      <w:r>
        <w:rPr>
          <w:snapToGrid w:val="0"/>
        </w:rPr>
        <w:t xml:space="preserve"> works</w:t>
      </w:r>
      <w:bookmarkEnd w:id="890"/>
      <w:bookmarkEnd w:id="891"/>
    </w:p>
    <w:p w14:paraId="646178E7" w14:textId="77777777" w:rsidR="000D07EA" w:rsidRDefault="00BE7C89">
      <w:pPr>
        <w:pStyle w:val="Heading7"/>
      </w:pPr>
      <w:r>
        <w:t>Each of these My Plan Business has unlimited minutes to use on standard national calls to landlines and mobiles, 13/1300 numbers and voicemail retrievals ("</w:t>
      </w:r>
      <w:r>
        <w:rPr>
          <w:b/>
        </w:rPr>
        <w:t>Included Minutes</w:t>
      </w:r>
      <w:r>
        <w:t xml:space="preserve">") and Included Data (for mobile internet use) to share with up to 5 additional mobile broadband devices </w:t>
      </w:r>
      <w:r>
        <w:lastRenderedPageBreak/>
        <w:t xml:space="preserve">as well as other mobile services on a My Plan Business/ My Plan Plus (including SIM Only) plan on the same account. These plans also include unlimited standard national SMS and MMS. </w:t>
      </w:r>
    </w:p>
    <w:p w14:paraId="0A68341A" w14:textId="77777777" w:rsidR="000D07EA" w:rsidRDefault="00BE7C89">
      <w:pPr>
        <w:pStyle w:val="Heading7"/>
      </w:pPr>
      <w:r>
        <w:t>Data usage is calculated in per kilobyte increments.</w:t>
      </w:r>
    </w:p>
    <w:p w14:paraId="5AA3786D" w14:textId="77777777" w:rsidR="000D07EA" w:rsidRDefault="00BE7C89">
      <w:pPr>
        <w:pStyle w:val="Heading7"/>
      </w:pPr>
      <w:r>
        <w:t xml:space="preserve">If </w:t>
      </w:r>
      <w:r>
        <w:rPr>
          <w:i/>
        </w:rPr>
        <w:t>you</w:t>
      </w:r>
      <w:r>
        <w:t xml:space="preserve"> exceed </w:t>
      </w:r>
      <w:r>
        <w:rPr>
          <w:i/>
        </w:rPr>
        <w:t>your</w:t>
      </w:r>
      <w:r>
        <w:t xml:space="preserve"> </w:t>
      </w:r>
      <w:r>
        <w:rPr>
          <w:i/>
        </w:rPr>
        <w:t>plan's</w:t>
      </w:r>
      <w:r>
        <w:t xml:space="preserve"> Included Data, </w:t>
      </w:r>
      <w:r>
        <w:rPr>
          <w:i/>
        </w:rPr>
        <w:t>you</w:t>
      </w:r>
      <w:r>
        <w:t xml:space="preserve"> will automatically get more data in 1GB increments ("</w:t>
      </w:r>
      <w:r>
        <w:rPr>
          <w:b/>
        </w:rPr>
        <w:t>Additional Data</w:t>
      </w:r>
      <w:r>
        <w:t xml:space="preserve">"), and be charged $10 per 1GB. </w:t>
      </w:r>
    </w:p>
    <w:p w14:paraId="4C4FC32A" w14:textId="77777777" w:rsidR="000D07EA" w:rsidRDefault="00BE7C89">
      <w:pPr>
        <w:pStyle w:val="Heading7"/>
      </w:pPr>
      <w:r>
        <w:t xml:space="preserve">Any unused portion of </w:t>
      </w:r>
      <w:r>
        <w:rPr>
          <w:i/>
        </w:rPr>
        <w:t>your</w:t>
      </w:r>
      <w:r>
        <w:t xml:space="preserve"> </w:t>
      </w:r>
      <w:r>
        <w:rPr>
          <w:i/>
        </w:rPr>
        <w:t>plan's</w:t>
      </w:r>
      <w:r>
        <w:t xml:space="preserve"> Included Minutes or Included or Additional Data expires at the end of each month and does not roll over into the next month.</w:t>
      </w:r>
    </w:p>
    <w:p w14:paraId="2AFF0CBC" w14:textId="77777777" w:rsidR="000D07EA" w:rsidRDefault="00BE7C89">
      <w:pPr>
        <w:pStyle w:val="Heading7"/>
        <w:rPr>
          <w:b/>
        </w:rPr>
      </w:pPr>
      <w:r>
        <w:rPr>
          <w:i/>
        </w:rPr>
        <w:t>You</w:t>
      </w:r>
      <w:r>
        <w:t xml:space="preserve"> must pay </w:t>
      </w:r>
      <w:r>
        <w:rPr>
          <w:i/>
        </w:rPr>
        <w:t>us</w:t>
      </w:r>
      <w:r>
        <w:t xml:space="preserve"> for use of any services not included in </w:t>
      </w:r>
      <w:r>
        <w:rPr>
          <w:i/>
        </w:rPr>
        <w:t>your</w:t>
      </w:r>
      <w:r>
        <w:t xml:space="preserve"> plan's Included Minutes or Included Data as set out in Table 2 below.</w:t>
      </w:r>
    </w:p>
    <w:p w14:paraId="1598400C" w14:textId="77777777" w:rsidR="000D07EA" w:rsidRDefault="00BE7C89">
      <w:pPr>
        <w:pStyle w:val="Heading6"/>
        <w:ind w:left="0" w:firstLine="0"/>
        <w:rPr>
          <w:snapToGrid w:val="0"/>
        </w:rPr>
      </w:pPr>
      <w:bookmarkStart w:id="892" w:name="_Toc396920638"/>
      <w:bookmarkStart w:id="893" w:name="_Toc409187036"/>
      <w:r>
        <w:rPr>
          <w:snapToGrid w:val="0"/>
        </w:rPr>
        <w:t>Data Sharing</w:t>
      </w:r>
      <w:bookmarkEnd w:id="892"/>
      <w:bookmarkEnd w:id="893"/>
    </w:p>
    <w:p w14:paraId="0CDDC53C" w14:textId="77777777" w:rsidR="000D07EA" w:rsidRDefault="00BE7C89">
      <w:pPr>
        <w:pStyle w:val="Heading7"/>
        <w:rPr>
          <w:snapToGrid w:val="0"/>
        </w:rPr>
      </w:pPr>
      <w:r>
        <w:rPr>
          <w:i/>
          <w:snapToGrid w:val="0"/>
        </w:rPr>
        <w:t>You</w:t>
      </w:r>
      <w:r>
        <w:rPr>
          <w:snapToGrid w:val="0"/>
        </w:rPr>
        <w:t xml:space="preserve"> can share the Included Data in </w:t>
      </w:r>
      <w:r>
        <w:rPr>
          <w:i/>
          <w:snapToGrid w:val="0"/>
        </w:rPr>
        <w:t>your</w:t>
      </w:r>
      <w:r>
        <w:rPr>
          <w:snapToGrid w:val="0"/>
        </w:rPr>
        <w:t xml:space="preserve"> My Plan Business plan with up to five (5) SIM-ready mobile broadband devices (eg tablets, USB modems and laptops). </w:t>
      </w:r>
      <w:r>
        <w:rPr>
          <w:i/>
          <w:snapToGrid w:val="0"/>
        </w:rPr>
        <w:t>You</w:t>
      </w:r>
      <w:r>
        <w:rPr>
          <w:snapToGrid w:val="0"/>
        </w:rPr>
        <w:t xml:space="preserve"> must connect these mobile broadband devices to Shared Data Plans which have a $5 set up fee each and no ongoing monthly charges. </w:t>
      </w:r>
    </w:p>
    <w:p w14:paraId="32E43D1B" w14:textId="77777777" w:rsidR="000D07EA" w:rsidRDefault="00BE7C89">
      <w:pPr>
        <w:pStyle w:val="Heading7"/>
        <w:rPr>
          <w:snapToGrid w:val="0"/>
        </w:rPr>
      </w:pPr>
      <w:r>
        <w:rPr>
          <w:i/>
          <w:snapToGrid w:val="0"/>
        </w:rPr>
        <w:t>We</w:t>
      </w:r>
      <w:r>
        <w:rPr>
          <w:snapToGrid w:val="0"/>
        </w:rPr>
        <w:t xml:space="preserve"> may place a limit on the number of Shared Data Plans </w:t>
      </w:r>
      <w:r>
        <w:rPr>
          <w:i/>
          <w:snapToGrid w:val="0"/>
        </w:rPr>
        <w:t>you</w:t>
      </w:r>
      <w:r>
        <w:rPr>
          <w:snapToGrid w:val="0"/>
        </w:rPr>
        <w:t xml:space="preserve"> can have, based on </w:t>
      </w:r>
      <w:r>
        <w:rPr>
          <w:i/>
          <w:snapToGrid w:val="0"/>
        </w:rPr>
        <w:t>our</w:t>
      </w:r>
      <w:r>
        <w:rPr>
          <w:snapToGrid w:val="0"/>
        </w:rPr>
        <w:t xml:space="preserve"> credit criteria.</w:t>
      </w:r>
    </w:p>
    <w:p w14:paraId="7908F206" w14:textId="77777777" w:rsidR="000D07EA" w:rsidRDefault="00BE7C89">
      <w:pPr>
        <w:pStyle w:val="Heading7"/>
        <w:rPr>
          <w:snapToGrid w:val="0"/>
        </w:rPr>
      </w:pPr>
      <w:r>
        <w:rPr>
          <w:snapToGrid w:val="0"/>
        </w:rPr>
        <w:t>Shared Data Plans do not have any Included Data, and cannot be used to make calls.</w:t>
      </w:r>
    </w:p>
    <w:p w14:paraId="6739B960" w14:textId="77777777" w:rsidR="000D07EA" w:rsidRDefault="00BE7C89">
      <w:pPr>
        <w:pStyle w:val="Heading7"/>
        <w:rPr>
          <w:snapToGrid w:val="0"/>
        </w:rPr>
      </w:pPr>
      <w:r>
        <w:rPr>
          <w:i/>
          <w:snapToGrid w:val="0"/>
        </w:rPr>
        <w:t>You</w:t>
      </w:r>
      <w:r>
        <w:rPr>
          <w:snapToGrid w:val="0"/>
        </w:rPr>
        <w:t xml:space="preserve"> can purchase one mobile broadband device per Shared Data Plan, and pay for it in full on </w:t>
      </w:r>
      <w:r>
        <w:rPr>
          <w:i/>
          <w:snapToGrid w:val="0"/>
        </w:rPr>
        <w:t>your</w:t>
      </w:r>
      <w:r>
        <w:rPr>
          <w:snapToGrid w:val="0"/>
        </w:rPr>
        <w:t xml:space="preserve"> first bill, or pay it off over 12 or 24 months on a </w:t>
      </w:r>
      <w:r>
        <w:rPr>
          <w:i/>
          <w:snapToGrid w:val="0"/>
        </w:rPr>
        <w:t>Mobile Equipment Payment Plan</w:t>
      </w:r>
      <w:r>
        <w:rPr>
          <w:snapToGrid w:val="0"/>
        </w:rPr>
        <w:t xml:space="preserve"> (see Appendix D).</w:t>
      </w:r>
    </w:p>
    <w:p w14:paraId="2C8998FA" w14:textId="77777777" w:rsidR="000D07EA" w:rsidRDefault="00BE7C89">
      <w:pPr>
        <w:pStyle w:val="Heading7"/>
        <w:rPr>
          <w:snapToGrid w:val="0"/>
        </w:rPr>
      </w:pPr>
      <w:r>
        <w:rPr>
          <w:i/>
          <w:snapToGrid w:val="0"/>
        </w:rPr>
        <w:t>You</w:t>
      </w:r>
      <w:r>
        <w:rPr>
          <w:snapToGrid w:val="0"/>
        </w:rPr>
        <w:t xml:space="preserve"> can share the Included Data in your My Plan Business plan with other mobiles on </w:t>
      </w:r>
      <w:r>
        <w:rPr>
          <w:i/>
          <w:snapToGrid w:val="0"/>
        </w:rPr>
        <w:t>your</w:t>
      </w:r>
      <w:r>
        <w:rPr>
          <w:snapToGrid w:val="0"/>
        </w:rPr>
        <w:t xml:space="preserve"> account which are also on </w:t>
      </w:r>
      <w:r>
        <w:t>My Plan Business/ My Plan Plus (including SIM Only) plans</w:t>
      </w:r>
      <w:r>
        <w:rPr>
          <w:snapToGrid w:val="0"/>
        </w:rPr>
        <w:t xml:space="preserve">. </w:t>
      </w:r>
    </w:p>
    <w:p w14:paraId="35BE8763" w14:textId="77777777" w:rsidR="000D07EA" w:rsidRDefault="00BE7C89">
      <w:pPr>
        <w:pStyle w:val="Heading7"/>
        <w:rPr>
          <w:snapToGrid w:val="0"/>
        </w:rPr>
      </w:pPr>
      <w:r>
        <w:rPr>
          <w:b/>
          <w:snapToGrid w:val="0"/>
        </w:rPr>
        <w:t>Note:</w:t>
      </w:r>
      <w:r>
        <w:rPr>
          <w:snapToGrid w:val="0"/>
        </w:rPr>
        <w:t xml:space="preserve"> these </w:t>
      </w:r>
      <w:r>
        <w:rPr>
          <w:i/>
          <w:snapToGrid w:val="0"/>
        </w:rPr>
        <w:t>plans</w:t>
      </w:r>
      <w:r>
        <w:rPr>
          <w:snapToGrid w:val="0"/>
        </w:rPr>
        <w:t xml:space="preserve"> do </w:t>
      </w:r>
      <w:r>
        <w:rPr>
          <w:b/>
          <w:snapToGrid w:val="0"/>
        </w:rPr>
        <w:t>not</w:t>
      </w:r>
      <w:r>
        <w:rPr>
          <w:snapToGrid w:val="0"/>
        </w:rPr>
        <w:t xml:space="preserve"> share data with other mobile or mobile broadband plans.</w:t>
      </w:r>
    </w:p>
    <w:p w14:paraId="695CAF43" w14:textId="77777777" w:rsidR="000D07EA" w:rsidRDefault="00BE7C89">
      <w:pPr>
        <w:pStyle w:val="Heading7"/>
        <w:rPr>
          <w:snapToGrid w:val="0"/>
        </w:rPr>
      </w:pPr>
      <w:r>
        <w:rPr>
          <w:snapToGrid w:val="0"/>
        </w:rPr>
        <w:t xml:space="preserve">If </w:t>
      </w:r>
      <w:r>
        <w:rPr>
          <w:i/>
          <w:snapToGrid w:val="0"/>
        </w:rPr>
        <w:t>you</w:t>
      </w:r>
      <w:r>
        <w:rPr>
          <w:snapToGrid w:val="0"/>
        </w:rPr>
        <w:t xml:space="preserve"> have more than one of these </w:t>
      </w:r>
      <w:r>
        <w:rPr>
          <w:i/>
          <w:snapToGrid w:val="0"/>
        </w:rPr>
        <w:t>plans</w:t>
      </w:r>
      <w:r>
        <w:rPr>
          <w:snapToGrid w:val="0"/>
        </w:rPr>
        <w:t xml:space="preserve">, the Included Data on each of the </w:t>
      </w:r>
      <w:r>
        <w:rPr>
          <w:i/>
          <w:snapToGrid w:val="0"/>
        </w:rPr>
        <w:t>plans</w:t>
      </w:r>
      <w:r>
        <w:rPr>
          <w:snapToGrid w:val="0"/>
        </w:rPr>
        <w:t xml:space="preserve"> adds together (data pool) for the mobiles to all use, and for any additional mobile broadband devices on Shared Data Plans to use. </w:t>
      </w:r>
    </w:p>
    <w:p w14:paraId="23BC966D" w14:textId="77777777" w:rsidR="000D07EA" w:rsidRDefault="00BE7C89">
      <w:pPr>
        <w:pStyle w:val="Heading7"/>
        <w:rPr>
          <w:snapToGrid w:val="0"/>
        </w:rPr>
      </w:pPr>
      <w:r>
        <w:rPr>
          <w:snapToGrid w:val="0"/>
        </w:rPr>
        <w:t xml:space="preserve">If </w:t>
      </w:r>
      <w:r>
        <w:rPr>
          <w:i/>
          <w:snapToGrid w:val="0"/>
        </w:rPr>
        <w:t>you</w:t>
      </w:r>
      <w:r>
        <w:rPr>
          <w:snapToGrid w:val="0"/>
        </w:rPr>
        <w:t xml:space="preserve"> do not want your services to share data, they need to be on separate billing accounts, or </w:t>
      </w:r>
      <w:r>
        <w:rPr>
          <w:i/>
          <w:snapToGrid w:val="0"/>
        </w:rPr>
        <w:t>you</w:t>
      </w:r>
      <w:r>
        <w:rPr>
          <w:snapToGrid w:val="0"/>
        </w:rPr>
        <w:t xml:space="preserve"> can connect </w:t>
      </w:r>
      <w:r>
        <w:rPr>
          <w:i/>
          <w:snapToGrid w:val="0"/>
        </w:rPr>
        <w:t>your</w:t>
      </w:r>
      <w:r>
        <w:rPr>
          <w:snapToGrid w:val="0"/>
        </w:rPr>
        <w:t xml:space="preserve"> mobile broadband device to a standalone Mobile Broadband Plan.</w:t>
      </w:r>
    </w:p>
    <w:p w14:paraId="14E39B75" w14:textId="77777777" w:rsidR="000D07EA" w:rsidRDefault="00BE7C89">
      <w:pPr>
        <w:pStyle w:val="Heading7"/>
        <w:rPr>
          <w:snapToGrid w:val="0"/>
        </w:rPr>
      </w:pPr>
      <w:r>
        <w:rPr>
          <w:snapToGrid w:val="0"/>
        </w:rPr>
        <w:t>Data sharing is only available within Australia.</w:t>
      </w:r>
    </w:p>
    <w:p w14:paraId="7ACF9265" w14:textId="77777777" w:rsidR="000D07EA" w:rsidRDefault="00BE7C89">
      <w:pPr>
        <w:pStyle w:val="Heading6"/>
        <w:ind w:left="0" w:firstLine="0"/>
        <w:rPr>
          <w:snapToGrid w:val="0"/>
        </w:rPr>
      </w:pPr>
      <w:bookmarkStart w:id="894" w:name="_Toc396920639"/>
      <w:bookmarkStart w:id="895" w:name="_Toc409187037"/>
      <w:r>
        <w:rPr>
          <w:snapToGrid w:val="0"/>
        </w:rPr>
        <w:t>Unlimited standard national SMS and MMS</w:t>
      </w:r>
      <w:bookmarkEnd w:id="894"/>
      <w:bookmarkEnd w:id="895"/>
    </w:p>
    <w:p w14:paraId="0830240E" w14:textId="77777777" w:rsidR="000D07EA" w:rsidRDefault="00BE7C89">
      <w:pPr>
        <w:pStyle w:val="BodyText"/>
        <w:ind w:left="720"/>
      </w:pPr>
      <w:r>
        <w:rPr>
          <w:i/>
        </w:rPr>
        <w:t>You</w:t>
      </w:r>
      <w:r>
        <w:t xml:space="preserve"> may send unlimited SMS and MMS to Australian mobiles from within Australia.</w:t>
      </w:r>
    </w:p>
    <w:p w14:paraId="39E3EE33" w14:textId="77777777" w:rsidR="000D07EA" w:rsidRPr="00FB4F1A" w:rsidRDefault="00BE7C89">
      <w:pPr>
        <w:pStyle w:val="BodyText"/>
        <w:ind w:left="720"/>
      </w:pPr>
      <w:r>
        <w:t>Unlimited SMS and MMS are only available for personal use and are not to be used for a commercial or non-ordinary purpose as set out in the Fair Go Policy (</w:t>
      </w:r>
      <w:hyperlink r:id="rId570" w:history="1">
        <w:r>
          <w:rPr>
            <w:rStyle w:val="Hyperlink"/>
            <w:i/>
          </w:rPr>
          <w:t>Appendix S</w:t>
        </w:r>
      </w:hyperlink>
      <w:r>
        <w:t xml:space="preserve">). For further details refer to </w:t>
      </w:r>
      <w:hyperlink r:id="rId571" w:history="1">
        <w:r w:rsidR="00503F23">
          <w:rPr>
            <w:rStyle w:val="Hyperlink"/>
            <w:i/>
          </w:rPr>
          <w:t>Appendix S</w:t>
        </w:r>
      </w:hyperlink>
      <w:r w:rsidRPr="00FB4F1A">
        <w:rPr>
          <w:rStyle w:val="Hyperlink"/>
          <w:i/>
          <w:u w:val="none"/>
        </w:rPr>
        <w:t>.</w:t>
      </w:r>
    </w:p>
    <w:p w14:paraId="7835EE72" w14:textId="77777777" w:rsidR="000D07EA" w:rsidRDefault="00BE7C89">
      <w:pPr>
        <w:pStyle w:val="Heading6"/>
        <w:ind w:left="0" w:firstLine="0"/>
        <w:rPr>
          <w:snapToGrid w:val="0"/>
        </w:rPr>
      </w:pPr>
      <w:bookmarkStart w:id="896" w:name="_Toc396920640"/>
      <w:bookmarkStart w:id="897" w:name="_Toc409187038"/>
      <w:r>
        <w:rPr>
          <w:snapToGrid w:val="0"/>
        </w:rPr>
        <w:t>Additional benefit – Handset Credit</w:t>
      </w:r>
      <w:bookmarkEnd w:id="896"/>
      <w:bookmarkEnd w:id="897"/>
    </w:p>
    <w:p w14:paraId="48097609" w14:textId="77777777" w:rsidR="000D07EA" w:rsidRDefault="00BE7C89">
      <w:pPr>
        <w:pStyle w:val="Heading7"/>
      </w:pPr>
      <w:r>
        <w:rPr>
          <w:i/>
        </w:rPr>
        <w:t xml:space="preserve">You </w:t>
      </w:r>
      <w:r>
        <w:t>may</w:t>
      </w:r>
      <w:r>
        <w:rPr>
          <w:i/>
        </w:rPr>
        <w:t xml:space="preserve"> </w:t>
      </w:r>
      <w:r>
        <w:t>connect to a My Plan Business which has a monthly phone credit ('</w:t>
      </w:r>
      <w:r>
        <w:rPr>
          <w:b/>
        </w:rPr>
        <w:t>Handset Credit</w:t>
      </w:r>
      <w:r>
        <w:t xml:space="preserve">') each month for </w:t>
      </w:r>
      <w:r>
        <w:rPr>
          <w:i/>
        </w:rPr>
        <w:t>your minimum term</w:t>
      </w:r>
      <w:r>
        <w:t xml:space="preserve">, which will reduce the monthly repayment costs of the handset </w:t>
      </w:r>
      <w:r>
        <w:rPr>
          <w:i/>
        </w:rPr>
        <w:t xml:space="preserve">you </w:t>
      </w:r>
      <w:r>
        <w:t xml:space="preserve">have chosen with </w:t>
      </w:r>
      <w:r>
        <w:rPr>
          <w:i/>
        </w:rPr>
        <w:t>your pricing plan</w:t>
      </w:r>
      <w:r>
        <w:t xml:space="preserve">. </w:t>
      </w:r>
    </w:p>
    <w:p w14:paraId="2E022364" w14:textId="77777777" w:rsidR="000D07EA" w:rsidRDefault="00BE7C89">
      <w:pPr>
        <w:pStyle w:val="Heading7"/>
      </w:pPr>
      <w:r>
        <w:t xml:space="preserve">If </w:t>
      </w:r>
      <w:r>
        <w:rPr>
          <w:i/>
        </w:rPr>
        <w:t>you</w:t>
      </w:r>
      <w:r>
        <w:t xml:space="preserve"> </w:t>
      </w:r>
      <w:r>
        <w:rPr>
          <w:i/>
        </w:rPr>
        <w:t>cancel your pricing plan</w:t>
      </w:r>
      <w:r>
        <w:t xml:space="preserve"> or the </w:t>
      </w:r>
      <w:r>
        <w:rPr>
          <w:i/>
        </w:rPr>
        <w:t xml:space="preserve">mobile equipment payment plan </w:t>
      </w:r>
      <w:r>
        <w:t xml:space="preserve">during </w:t>
      </w:r>
      <w:r>
        <w:rPr>
          <w:i/>
        </w:rPr>
        <w:t>your minimum term</w:t>
      </w:r>
      <w:r>
        <w:t xml:space="preserve">, </w:t>
      </w:r>
      <w:r>
        <w:rPr>
          <w:i/>
        </w:rPr>
        <w:t>you</w:t>
      </w:r>
      <w:r>
        <w:t xml:space="preserve"> will no longer be entitled to these Handset Credits and </w:t>
      </w:r>
      <w:r>
        <w:rPr>
          <w:i/>
        </w:rPr>
        <w:t>you</w:t>
      </w:r>
      <w:r>
        <w:t xml:space="preserve"> must pay the remaining handset repayments in full in addition to any </w:t>
      </w:r>
      <w:r>
        <w:rPr>
          <w:i/>
        </w:rPr>
        <w:t>cancellation fee</w:t>
      </w:r>
      <w:r>
        <w:t>.</w:t>
      </w:r>
    </w:p>
    <w:p w14:paraId="2314914A" w14:textId="77777777" w:rsidR="000D07EA" w:rsidRDefault="00BE7C89">
      <w:pPr>
        <w:pStyle w:val="Heading7"/>
      </w:pPr>
      <w:r>
        <w:t>The Handset Credit amounts are shown in Table 1 below.</w:t>
      </w:r>
    </w:p>
    <w:p w14:paraId="6716952E" w14:textId="77777777" w:rsidR="000D07EA" w:rsidRDefault="00BE7C89">
      <w:pPr>
        <w:pStyle w:val="BodyText"/>
        <w:ind w:left="720"/>
        <w:rPr>
          <w:b/>
        </w:rPr>
      </w:pPr>
      <w:r>
        <w:rPr>
          <w:b/>
        </w:rPr>
        <w:lastRenderedPageBreak/>
        <w:t>Table 1 –Plan Inclusions and Charges</w:t>
      </w:r>
    </w:p>
    <w:tbl>
      <w:tblPr>
        <w:tblW w:w="96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3355"/>
        <w:gridCol w:w="2097"/>
        <w:gridCol w:w="2098"/>
        <w:gridCol w:w="2098"/>
      </w:tblGrid>
      <w:tr w:rsidR="000D07EA" w14:paraId="585409F0" w14:textId="77777777">
        <w:trPr>
          <w:trHeight w:val="58"/>
          <w:tblHeader/>
        </w:trPr>
        <w:tc>
          <w:tcPr>
            <w:tcW w:w="3355" w:type="dxa"/>
            <w:shd w:val="clear" w:color="auto" w:fill="auto"/>
          </w:tcPr>
          <w:p w14:paraId="6865E29F" w14:textId="77777777" w:rsidR="000D07EA" w:rsidRDefault="000D07EA">
            <w:pPr>
              <w:pStyle w:val="BodyText"/>
              <w:spacing w:before="100" w:after="100"/>
            </w:pPr>
          </w:p>
        </w:tc>
        <w:tc>
          <w:tcPr>
            <w:tcW w:w="2097" w:type="dxa"/>
            <w:vAlign w:val="center"/>
          </w:tcPr>
          <w:p w14:paraId="27B3D098" w14:textId="77777777" w:rsidR="000D07EA" w:rsidRDefault="00BE7C89">
            <w:pPr>
              <w:pStyle w:val="BodyText"/>
              <w:spacing w:before="100" w:after="100"/>
              <w:jc w:val="center"/>
              <w:rPr>
                <w:b/>
              </w:rPr>
            </w:pPr>
            <w:r>
              <w:rPr>
                <w:b/>
              </w:rPr>
              <w:t>$60 My Plan Business</w:t>
            </w:r>
          </w:p>
        </w:tc>
        <w:tc>
          <w:tcPr>
            <w:tcW w:w="2098" w:type="dxa"/>
            <w:shd w:val="clear" w:color="auto" w:fill="auto"/>
            <w:vAlign w:val="center"/>
          </w:tcPr>
          <w:p w14:paraId="38562119" w14:textId="77777777" w:rsidR="000D07EA" w:rsidRDefault="00BE7C89">
            <w:pPr>
              <w:pStyle w:val="BodyText"/>
              <w:spacing w:before="100" w:after="100"/>
              <w:jc w:val="center"/>
              <w:rPr>
                <w:b/>
              </w:rPr>
            </w:pPr>
            <w:r>
              <w:rPr>
                <w:b/>
              </w:rPr>
              <w:t>$80 My Plan Business</w:t>
            </w:r>
          </w:p>
        </w:tc>
        <w:tc>
          <w:tcPr>
            <w:tcW w:w="2098" w:type="dxa"/>
          </w:tcPr>
          <w:p w14:paraId="5B4099AB" w14:textId="77777777" w:rsidR="000D07EA" w:rsidRDefault="00BE7C89">
            <w:pPr>
              <w:pStyle w:val="BodyText"/>
              <w:spacing w:before="100" w:after="100"/>
              <w:jc w:val="center"/>
              <w:rPr>
                <w:b/>
              </w:rPr>
            </w:pPr>
            <w:r>
              <w:rPr>
                <w:b/>
              </w:rPr>
              <w:t>$100 My Plan Business</w:t>
            </w:r>
          </w:p>
        </w:tc>
      </w:tr>
      <w:tr w:rsidR="000D07EA" w14:paraId="0C9AF405" w14:textId="77777777">
        <w:trPr>
          <w:trHeight w:val="20"/>
        </w:trPr>
        <w:tc>
          <w:tcPr>
            <w:tcW w:w="3355" w:type="dxa"/>
            <w:shd w:val="clear" w:color="auto" w:fill="auto"/>
          </w:tcPr>
          <w:p w14:paraId="2B0E2DB5" w14:textId="77777777" w:rsidR="000D07EA" w:rsidRDefault="00BE7C89">
            <w:pPr>
              <w:pStyle w:val="BodyText"/>
              <w:spacing w:before="100" w:after="100"/>
            </w:pPr>
            <w:r>
              <w:rPr>
                <w:b/>
                <w:bCs/>
              </w:rPr>
              <w:t>Minimum Monthly charge</w:t>
            </w:r>
          </w:p>
        </w:tc>
        <w:tc>
          <w:tcPr>
            <w:tcW w:w="2097" w:type="dxa"/>
            <w:vAlign w:val="center"/>
          </w:tcPr>
          <w:p w14:paraId="59FC3359" w14:textId="77777777" w:rsidR="000D07EA" w:rsidRDefault="00BE7C89">
            <w:pPr>
              <w:pStyle w:val="BodyText"/>
              <w:spacing w:before="100" w:after="100"/>
              <w:jc w:val="center"/>
            </w:pPr>
            <w:r>
              <w:t>$60</w:t>
            </w:r>
          </w:p>
        </w:tc>
        <w:tc>
          <w:tcPr>
            <w:tcW w:w="2098" w:type="dxa"/>
            <w:shd w:val="clear" w:color="auto" w:fill="auto"/>
            <w:vAlign w:val="center"/>
          </w:tcPr>
          <w:p w14:paraId="3B4AB8D2" w14:textId="77777777" w:rsidR="000D07EA" w:rsidRDefault="00BE7C89">
            <w:pPr>
              <w:pStyle w:val="BodyText"/>
              <w:spacing w:before="100" w:after="100"/>
              <w:jc w:val="center"/>
            </w:pPr>
            <w:r>
              <w:t>$80</w:t>
            </w:r>
          </w:p>
        </w:tc>
        <w:tc>
          <w:tcPr>
            <w:tcW w:w="2098" w:type="dxa"/>
            <w:vAlign w:val="center"/>
          </w:tcPr>
          <w:p w14:paraId="3CA121D0" w14:textId="77777777" w:rsidR="000D07EA" w:rsidRDefault="00BE7C89">
            <w:pPr>
              <w:pStyle w:val="BodyText"/>
              <w:spacing w:before="100" w:after="100"/>
              <w:jc w:val="center"/>
            </w:pPr>
            <w:r>
              <w:t>$100</w:t>
            </w:r>
          </w:p>
        </w:tc>
      </w:tr>
      <w:tr w:rsidR="000D07EA" w14:paraId="5AF0A452" w14:textId="77777777">
        <w:trPr>
          <w:trHeight w:val="20"/>
        </w:trPr>
        <w:tc>
          <w:tcPr>
            <w:tcW w:w="3355" w:type="dxa"/>
            <w:shd w:val="clear" w:color="auto" w:fill="auto"/>
          </w:tcPr>
          <w:p w14:paraId="2F9013EC" w14:textId="77777777" w:rsidR="000D07EA" w:rsidRDefault="00BE7C89">
            <w:pPr>
              <w:pStyle w:val="BodyText"/>
              <w:spacing w:before="100" w:after="100"/>
            </w:pPr>
            <w:r>
              <w:rPr>
                <w:b/>
                <w:bCs/>
              </w:rPr>
              <w:t>Included Data</w:t>
            </w:r>
          </w:p>
        </w:tc>
        <w:tc>
          <w:tcPr>
            <w:tcW w:w="2097" w:type="dxa"/>
            <w:vAlign w:val="center"/>
          </w:tcPr>
          <w:p w14:paraId="45590FBD" w14:textId="77777777" w:rsidR="000D07EA" w:rsidRDefault="00BE7C89">
            <w:pPr>
              <w:pStyle w:val="BodyText"/>
              <w:spacing w:before="100" w:after="100"/>
              <w:jc w:val="center"/>
            </w:pPr>
            <w:r>
              <w:t>2.5GB</w:t>
            </w:r>
          </w:p>
        </w:tc>
        <w:tc>
          <w:tcPr>
            <w:tcW w:w="2098" w:type="dxa"/>
            <w:shd w:val="clear" w:color="auto" w:fill="auto"/>
            <w:vAlign w:val="center"/>
          </w:tcPr>
          <w:p w14:paraId="04BD98AF" w14:textId="77777777" w:rsidR="000D07EA" w:rsidRDefault="00BE7C89">
            <w:pPr>
              <w:pStyle w:val="BodyText"/>
              <w:spacing w:before="100" w:after="100"/>
              <w:jc w:val="center"/>
            </w:pPr>
            <w:r>
              <w:t>5GB</w:t>
            </w:r>
          </w:p>
        </w:tc>
        <w:tc>
          <w:tcPr>
            <w:tcW w:w="2098" w:type="dxa"/>
            <w:vAlign w:val="center"/>
          </w:tcPr>
          <w:p w14:paraId="78972EF0" w14:textId="77777777" w:rsidR="000D07EA" w:rsidRDefault="00BE7C89">
            <w:pPr>
              <w:pStyle w:val="BodyText"/>
              <w:spacing w:before="100" w:after="100"/>
              <w:jc w:val="center"/>
            </w:pPr>
            <w:r>
              <w:t>8GB</w:t>
            </w:r>
          </w:p>
        </w:tc>
      </w:tr>
      <w:tr w:rsidR="000D07EA" w14:paraId="6065F9A4" w14:textId="77777777">
        <w:trPr>
          <w:trHeight w:val="20"/>
        </w:trPr>
        <w:tc>
          <w:tcPr>
            <w:tcW w:w="3355" w:type="dxa"/>
            <w:shd w:val="clear" w:color="auto" w:fill="auto"/>
          </w:tcPr>
          <w:p w14:paraId="5CDCD6CC" w14:textId="77777777" w:rsidR="000D07EA" w:rsidRDefault="00BE7C89">
            <w:pPr>
              <w:pStyle w:val="BodyText"/>
              <w:spacing w:before="100" w:after="100"/>
              <w:rPr>
                <w:b/>
              </w:rPr>
            </w:pPr>
            <w:r>
              <w:rPr>
                <w:b/>
              </w:rPr>
              <w:t>Included Minutes</w:t>
            </w:r>
            <w:r>
              <w:rPr>
                <w:b/>
                <w:bCs/>
              </w:rPr>
              <w:t xml:space="preserve"> </w:t>
            </w:r>
          </w:p>
        </w:tc>
        <w:tc>
          <w:tcPr>
            <w:tcW w:w="2097" w:type="dxa"/>
            <w:vAlign w:val="center"/>
          </w:tcPr>
          <w:p w14:paraId="1F29375D" w14:textId="77777777" w:rsidR="000D07EA" w:rsidRDefault="00BE7C89">
            <w:pPr>
              <w:pStyle w:val="BodyText"/>
              <w:spacing w:before="100" w:after="100"/>
              <w:jc w:val="center"/>
            </w:pPr>
            <w:r>
              <w:t>Unlimited</w:t>
            </w:r>
          </w:p>
        </w:tc>
        <w:tc>
          <w:tcPr>
            <w:tcW w:w="2098" w:type="dxa"/>
            <w:shd w:val="clear" w:color="auto" w:fill="auto"/>
            <w:vAlign w:val="center"/>
          </w:tcPr>
          <w:p w14:paraId="0B3DA9CE" w14:textId="77777777" w:rsidR="000D07EA" w:rsidRDefault="00BE7C89">
            <w:pPr>
              <w:pStyle w:val="BodyText"/>
              <w:spacing w:before="100" w:after="100"/>
              <w:jc w:val="center"/>
            </w:pPr>
            <w:r>
              <w:t>Unlimited</w:t>
            </w:r>
          </w:p>
        </w:tc>
        <w:tc>
          <w:tcPr>
            <w:tcW w:w="2098" w:type="dxa"/>
            <w:vAlign w:val="center"/>
          </w:tcPr>
          <w:p w14:paraId="57A7EE18" w14:textId="77777777" w:rsidR="000D07EA" w:rsidRDefault="00BE7C89">
            <w:pPr>
              <w:pStyle w:val="BodyText"/>
              <w:spacing w:before="100" w:after="100"/>
              <w:jc w:val="center"/>
            </w:pPr>
            <w:r>
              <w:t>Unlimited</w:t>
            </w:r>
          </w:p>
        </w:tc>
      </w:tr>
      <w:tr w:rsidR="000D07EA" w14:paraId="4DC2DC0F" w14:textId="77777777">
        <w:trPr>
          <w:trHeight w:val="58"/>
        </w:trPr>
        <w:tc>
          <w:tcPr>
            <w:tcW w:w="3355" w:type="dxa"/>
            <w:shd w:val="clear" w:color="auto" w:fill="auto"/>
          </w:tcPr>
          <w:p w14:paraId="4326EA23" w14:textId="77777777" w:rsidR="000D07EA" w:rsidRDefault="00BE7C89">
            <w:pPr>
              <w:pStyle w:val="BodyText"/>
              <w:spacing w:before="100" w:after="100"/>
            </w:pPr>
            <w:r>
              <w:rPr>
                <w:b/>
                <w:bCs/>
              </w:rPr>
              <w:t xml:space="preserve">Standard national SMS </w:t>
            </w:r>
            <w:r>
              <w:t>(per SMS of up to 160 standard characters)</w:t>
            </w:r>
          </w:p>
        </w:tc>
        <w:tc>
          <w:tcPr>
            <w:tcW w:w="2097" w:type="dxa"/>
            <w:vAlign w:val="center"/>
          </w:tcPr>
          <w:p w14:paraId="46F10739" w14:textId="77777777" w:rsidR="000D07EA" w:rsidRDefault="00BE7C89">
            <w:pPr>
              <w:pStyle w:val="BodyText"/>
              <w:spacing w:before="100" w:after="100"/>
              <w:jc w:val="center"/>
            </w:pPr>
            <w:r>
              <w:t>Unlimited</w:t>
            </w:r>
          </w:p>
        </w:tc>
        <w:tc>
          <w:tcPr>
            <w:tcW w:w="2098" w:type="dxa"/>
            <w:shd w:val="clear" w:color="auto" w:fill="auto"/>
            <w:vAlign w:val="center"/>
          </w:tcPr>
          <w:p w14:paraId="27AEECA0" w14:textId="77777777" w:rsidR="000D07EA" w:rsidRDefault="00BE7C89">
            <w:pPr>
              <w:pStyle w:val="BodyText"/>
              <w:spacing w:before="100" w:after="100"/>
              <w:jc w:val="center"/>
            </w:pPr>
            <w:r>
              <w:t>Unlimited</w:t>
            </w:r>
          </w:p>
        </w:tc>
        <w:tc>
          <w:tcPr>
            <w:tcW w:w="2098" w:type="dxa"/>
            <w:vAlign w:val="center"/>
          </w:tcPr>
          <w:p w14:paraId="7CB88492" w14:textId="77777777" w:rsidR="000D07EA" w:rsidRDefault="00BE7C89">
            <w:pPr>
              <w:pStyle w:val="BodyText"/>
              <w:spacing w:before="100" w:after="100"/>
              <w:jc w:val="center"/>
            </w:pPr>
            <w:r>
              <w:t>Unlimited</w:t>
            </w:r>
          </w:p>
        </w:tc>
      </w:tr>
      <w:tr w:rsidR="000D07EA" w14:paraId="67145EA0" w14:textId="77777777">
        <w:trPr>
          <w:trHeight w:val="20"/>
        </w:trPr>
        <w:tc>
          <w:tcPr>
            <w:tcW w:w="3355" w:type="dxa"/>
            <w:shd w:val="clear" w:color="auto" w:fill="auto"/>
          </w:tcPr>
          <w:p w14:paraId="47811194" w14:textId="77777777" w:rsidR="000D07EA" w:rsidRDefault="00BE7C89">
            <w:pPr>
              <w:pStyle w:val="BodyText"/>
              <w:spacing w:before="100" w:after="100"/>
              <w:rPr>
                <w:b/>
                <w:bCs/>
              </w:rPr>
            </w:pPr>
            <w:r>
              <w:rPr>
                <w:b/>
                <w:bCs/>
              </w:rPr>
              <w:t xml:space="preserve">Standard national MMS </w:t>
            </w:r>
            <w:r>
              <w:t>(per message)</w:t>
            </w:r>
          </w:p>
        </w:tc>
        <w:tc>
          <w:tcPr>
            <w:tcW w:w="2097" w:type="dxa"/>
            <w:vAlign w:val="center"/>
          </w:tcPr>
          <w:p w14:paraId="3D8C2458" w14:textId="77777777" w:rsidR="000D07EA" w:rsidRDefault="00BE7C89">
            <w:pPr>
              <w:pStyle w:val="BodyText"/>
              <w:spacing w:before="100" w:after="100"/>
              <w:jc w:val="center"/>
            </w:pPr>
            <w:r>
              <w:t>Unlimited</w:t>
            </w:r>
          </w:p>
        </w:tc>
        <w:tc>
          <w:tcPr>
            <w:tcW w:w="2098" w:type="dxa"/>
            <w:shd w:val="clear" w:color="auto" w:fill="auto"/>
            <w:vAlign w:val="center"/>
          </w:tcPr>
          <w:p w14:paraId="445B2C0B" w14:textId="77777777" w:rsidR="000D07EA" w:rsidRDefault="00BE7C89">
            <w:pPr>
              <w:pStyle w:val="BodyText"/>
              <w:spacing w:before="100" w:after="100"/>
              <w:jc w:val="center"/>
            </w:pPr>
            <w:r>
              <w:t>Unlimited</w:t>
            </w:r>
          </w:p>
        </w:tc>
        <w:tc>
          <w:tcPr>
            <w:tcW w:w="2098" w:type="dxa"/>
            <w:vAlign w:val="center"/>
          </w:tcPr>
          <w:p w14:paraId="78B5874C" w14:textId="77777777" w:rsidR="000D07EA" w:rsidRDefault="00BE7C89">
            <w:pPr>
              <w:pStyle w:val="BodyText"/>
              <w:spacing w:before="100" w:after="100"/>
              <w:jc w:val="center"/>
            </w:pPr>
            <w:r>
              <w:t>Unlimited</w:t>
            </w:r>
          </w:p>
        </w:tc>
      </w:tr>
      <w:tr w:rsidR="000D07EA" w14:paraId="5E5FAF25" w14:textId="77777777">
        <w:trPr>
          <w:trHeight w:val="20"/>
        </w:trPr>
        <w:tc>
          <w:tcPr>
            <w:tcW w:w="3355" w:type="dxa"/>
            <w:shd w:val="clear" w:color="auto" w:fill="auto"/>
          </w:tcPr>
          <w:p w14:paraId="137F0F3F" w14:textId="77777777" w:rsidR="000D07EA" w:rsidRDefault="00BE7C89">
            <w:pPr>
              <w:pStyle w:val="BodyText"/>
              <w:spacing w:before="100" w:after="100"/>
              <w:rPr>
                <w:b/>
                <w:bCs/>
              </w:rPr>
            </w:pPr>
            <w:r>
              <w:rPr>
                <w:b/>
                <w:bCs/>
              </w:rPr>
              <w:t xml:space="preserve">Handset Credit for Plan IDs 800215, 800204, 800205 (see clause </w:t>
            </w:r>
            <w:r w:rsidR="00C67DDF">
              <w:rPr>
                <w:b/>
                <w:bCs/>
                <w:color w:val="FF0000"/>
              </w:rPr>
              <w:t>112</w:t>
            </w:r>
            <w:r>
              <w:rPr>
                <w:b/>
                <w:bCs/>
                <w:color w:val="FF0000"/>
              </w:rPr>
              <w:t>.7</w:t>
            </w:r>
            <w:r>
              <w:rPr>
                <w:b/>
                <w:bCs/>
              </w:rPr>
              <w:t xml:space="preserve"> above) </w:t>
            </w:r>
          </w:p>
        </w:tc>
        <w:tc>
          <w:tcPr>
            <w:tcW w:w="2097" w:type="dxa"/>
            <w:vAlign w:val="center"/>
          </w:tcPr>
          <w:p w14:paraId="0C78A5AD" w14:textId="77777777" w:rsidR="000D07EA" w:rsidRDefault="00BE7C89">
            <w:pPr>
              <w:pStyle w:val="BodyText"/>
              <w:spacing w:before="100" w:after="100"/>
              <w:jc w:val="center"/>
            </w:pPr>
            <w:r>
              <w:t>$10</w:t>
            </w:r>
          </w:p>
        </w:tc>
        <w:tc>
          <w:tcPr>
            <w:tcW w:w="2098" w:type="dxa"/>
            <w:shd w:val="clear" w:color="auto" w:fill="auto"/>
            <w:vAlign w:val="center"/>
          </w:tcPr>
          <w:p w14:paraId="0B78A3C2" w14:textId="77777777" w:rsidR="000D07EA" w:rsidRDefault="00BE7C89">
            <w:pPr>
              <w:pStyle w:val="BodyText"/>
              <w:spacing w:before="100" w:after="100"/>
              <w:jc w:val="center"/>
            </w:pPr>
            <w:r>
              <w:t>$25</w:t>
            </w:r>
          </w:p>
        </w:tc>
        <w:tc>
          <w:tcPr>
            <w:tcW w:w="2098" w:type="dxa"/>
            <w:vAlign w:val="center"/>
          </w:tcPr>
          <w:p w14:paraId="2E2F0F03" w14:textId="77777777" w:rsidR="000D07EA" w:rsidRDefault="00BE7C89">
            <w:pPr>
              <w:pStyle w:val="BodyText"/>
              <w:spacing w:before="100" w:after="100"/>
              <w:jc w:val="center"/>
            </w:pPr>
            <w:r>
              <w:t>$30</w:t>
            </w:r>
          </w:p>
        </w:tc>
      </w:tr>
      <w:tr w:rsidR="000D07EA" w14:paraId="153CE160" w14:textId="77777777">
        <w:trPr>
          <w:trHeight w:val="20"/>
        </w:trPr>
        <w:tc>
          <w:tcPr>
            <w:tcW w:w="3355" w:type="dxa"/>
            <w:shd w:val="clear" w:color="auto" w:fill="auto"/>
          </w:tcPr>
          <w:p w14:paraId="17CEFC1B" w14:textId="77777777" w:rsidR="000D07EA" w:rsidRDefault="00BE7C89">
            <w:pPr>
              <w:pStyle w:val="BodyText"/>
              <w:spacing w:before="100" w:after="100"/>
              <w:rPr>
                <w:b/>
                <w:bCs/>
              </w:rPr>
            </w:pPr>
            <w:r>
              <w:rPr>
                <w:b/>
                <w:bCs/>
              </w:rPr>
              <w:t xml:space="preserve">Handset Credit for Plan IDs 800217, 800210, 800211 (see clause </w:t>
            </w:r>
            <w:r w:rsidR="00C67DDF">
              <w:rPr>
                <w:b/>
                <w:bCs/>
                <w:color w:val="FF0000"/>
              </w:rPr>
              <w:t>112</w:t>
            </w:r>
            <w:r>
              <w:rPr>
                <w:b/>
                <w:bCs/>
                <w:color w:val="FF0000"/>
              </w:rPr>
              <w:t>.7</w:t>
            </w:r>
            <w:r>
              <w:rPr>
                <w:b/>
                <w:bCs/>
              </w:rPr>
              <w:t xml:space="preserve"> above)</w:t>
            </w:r>
          </w:p>
        </w:tc>
        <w:tc>
          <w:tcPr>
            <w:tcW w:w="2097" w:type="dxa"/>
            <w:vAlign w:val="center"/>
          </w:tcPr>
          <w:p w14:paraId="7AAA4D3B" w14:textId="77777777" w:rsidR="000D07EA" w:rsidRDefault="00BE7C89">
            <w:pPr>
              <w:pStyle w:val="BodyText"/>
              <w:spacing w:before="100" w:after="100"/>
              <w:jc w:val="center"/>
            </w:pPr>
            <w:r>
              <w:t>$10</w:t>
            </w:r>
          </w:p>
        </w:tc>
        <w:tc>
          <w:tcPr>
            <w:tcW w:w="2098" w:type="dxa"/>
            <w:shd w:val="clear" w:color="auto" w:fill="auto"/>
            <w:vAlign w:val="center"/>
          </w:tcPr>
          <w:p w14:paraId="7261BDD3" w14:textId="77777777" w:rsidR="000D07EA" w:rsidRDefault="00BE7C89">
            <w:pPr>
              <w:pStyle w:val="BodyText"/>
              <w:spacing w:before="100" w:after="100"/>
              <w:jc w:val="center"/>
            </w:pPr>
            <w:r>
              <w:t>$25</w:t>
            </w:r>
          </w:p>
        </w:tc>
        <w:tc>
          <w:tcPr>
            <w:tcW w:w="2098" w:type="dxa"/>
            <w:vAlign w:val="center"/>
          </w:tcPr>
          <w:p w14:paraId="2ABC4F59" w14:textId="77777777" w:rsidR="000D07EA" w:rsidRDefault="00BE7C89">
            <w:pPr>
              <w:pStyle w:val="BodyText"/>
              <w:spacing w:before="100" w:after="100"/>
              <w:jc w:val="center"/>
            </w:pPr>
            <w:r>
              <w:t>$30</w:t>
            </w:r>
          </w:p>
        </w:tc>
      </w:tr>
      <w:tr w:rsidR="000D07EA" w14:paraId="07E04EFD" w14:textId="77777777">
        <w:trPr>
          <w:trHeight w:val="20"/>
        </w:trPr>
        <w:tc>
          <w:tcPr>
            <w:tcW w:w="3355" w:type="dxa"/>
            <w:shd w:val="clear" w:color="auto" w:fill="auto"/>
          </w:tcPr>
          <w:p w14:paraId="5B9EE3C2" w14:textId="77777777" w:rsidR="000D07EA" w:rsidRDefault="00BE7C89">
            <w:pPr>
              <w:pStyle w:val="BodyText"/>
              <w:spacing w:before="100" w:after="100"/>
              <w:rPr>
                <w:b/>
                <w:bCs/>
              </w:rPr>
            </w:pPr>
            <w:r>
              <w:rPr>
                <w:b/>
                <w:bCs/>
              </w:rPr>
              <w:t xml:space="preserve">Minimum total cost over 24 months </w:t>
            </w:r>
          </w:p>
        </w:tc>
        <w:tc>
          <w:tcPr>
            <w:tcW w:w="2097" w:type="dxa"/>
            <w:vAlign w:val="center"/>
          </w:tcPr>
          <w:p w14:paraId="7994790B" w14:textId="77777777" w:rsidR="000D07EA" w:rsidRDefault="00BE7C89">
            <w:pPr>
              <w:pStyle w:val="BodyText"/>
              <w:spacing w:before="100" w:after="100"/>
              <w:jc w:val="center"/>
            </w:pPr>
            <w:r>
              <w:t>$1,440</w:t>
            </w:r>
          </w:p>
        </w:tc>
        <w:tc>
          <w:tcPr>
            <w:tcW w:w="2098" w:type="dxa"/>
            <w:shd w:val="clear" w:color="auto" w:fill="auto"/>
            <w:vAlign w:val="center"/>
          </w:tcPr>
          <w:p w14:paraId="4FF48698" w14:textId="77777777" w:rsidR="000D07EA" w:rsidRDefault="00BE7C89">
            <w:pPr>
              <w:pStyle w:val="BodyText"/>
              <w:spacing w:before="100" w:after="100"/>
              <w:jc w:val="center"/>
            </w:pPr>
            <w:r>
              <w:t>$1920</w:t>
            </w:r>
          </w:p>
        </w:tc>
        <w:tc>
          <w:tcPr>
            <w:tcW w:w="2098" w:type="dxa"/>
            <w:vAlign w:val="center"/>
          </w:tcPr>
          <w:p w14:paraId="72DC48C3" w14:textId="77777777" w:rsidR="000D07EA" w:rsidRDefault="00BE7C89">
            <w:pPr>
              <w:pStyle w:val="BodyText"/>
              <w:spacing w:before="100" w:after="100"/>
              <w:jc w:val="center"/>
            </w:pPr>
            <w:r>
              <w:t>$2400</w:t>
            </w:r>
          </w:p>
        </w:tc>
      </w:tr>
    </w:tbl>
    <w:p w14:paraId="4342F3FC" w14:textId="77777777" w:rsidR="000D07EA" w:rsidRDefault="000D07EA">
      <w:pPr>
        <w:pStyle w:val="BodyText"/>
      </w:pPr>
    </w:p>
    <w:p w14:paraId="7A96ED99" w14:textId="77777777" w:rsidR="000D07EA" w:rsidRDefault="00BE7C89">
      <w:pPr>
        <w:pStyle w:val="BodyText"/>
        <w:ind w:left="720"/>
        <w:rPr>
          <w:b/>
        </w:rPr>
      </w:pPr>
      <w:r>
        <w:rPr>
          <w:b/>
        </w:rPr>
        <w:t xml:space="preserve">Table 2 – Other usage types and charges </w:t>
      </w:r>
    </w:p>
    <w:tbl>
      <w:tblPr>
        <w:tblW w:w="4632"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366"/>
        <w:gridCol w:w="5072"/>
      </w:tblGrid>
      <w:tr w:rsidR="000D07EA" w14:paraId="14D37259" w14:textId="77777777">
        <w:trPr>
          <w:trHeight w:val="58"/>
          <w:tblHeader/>
        </w:trPr>
        <w:tc>
          <w:tcPr>
            <w:tcW w:w="2313" w:type="pct"/>
            <w:shd w:val="clear" w:color="auto" w:fill="auto"/>
          </w:tcPr>
          <w:p w14:paraId="0B260BBC" w14:textId="77777777" w:rsidR="000D07EA" w:rsidRDefault="00BE7C89">
            <w:pPr>
              <w:pStyle w:val="BodyText"/>
              <w:spacing w:before="100" w:after="100"/>
              <w:rPr>
                <w:b/>
              </w:rPr>
            </w:pPr>
            <w:r>
              <w:rPr>
                <w:b/>
              </w:rPr>
              <w:t>Usage type</w:t>
            </w:r>
          </w:p>
        </w:tc>
        <w:tc>
          <w:tcPr>
            <w:tcW w:w="2687" w:type="pct"/>
            <w:shd w:val="clear" w:color="auto" w:fill="auto"/>
            <w:vAlign w:val="center"/>
          </w:tcPr>
          <w:p w14:paraId="4D9CD63B" w14:textId="77777777" w:rsidR="000D07EA" w:rsidRDefault="00BE7C89">
            <w:pPr>
              <w:pStyle w:val="BodyText"/>
              <w:spacing w:before="100" w:after="100"/>
              <w:jc w:val="center"/>
              <w:rPr>
                <w:b/>
              </w:rPr>
            </w:pPr>
            <w:r>
              <w:rPr>
                <w:b/>
              </w:rPr>
              <w:t>Charge</w:t>
            </w:r>
          </w:p>
        </w:tc>
      </w:tr>
      <w:tr w:rsidR="000D07EA" w14:paraId="7327F047" w14:textId="77777777">
        <w:tc>
          <w:tcPr>
            <w:tcW w:w="2313" w:type="pct"/>
            <w:shd w:val="clear" w:color="auto" w:fill="auto"/>
          </w:tcPr>
          <w:p w14:paraId="0ED67CCD" w14:textId="77777777" w:rsidR="000D07EA" w:rsidRDefault="00BE7C89">
            <w:pPr>
              <w:pStyle w:val="BodyText"/>
              <w:spacing w:before="100" w:after="100"/>
              <w:rPr>
                <w:b/>
              </w:rPr>
            </w:pPr>
            <w:r>
              <w:rPr>
                <w:b/>
                <w:bCs/>
              </w:rPr>
              <w:t xml:space="preserve">National video calls </w:t>
            </w:r>
            <w:r>
              <w:rPr>
                <w:b/>
              </w:rPr>
              <w:t>(per minute)</w:t>
            </w:r>
          </w:p>
        </w:tc>
        <w:tc>
          <w:tcPr>
            <w:tcW w:w="2687" w:type="pct"/>
            <w:shd w:val="clear" w:color="auto" w:fill="auto"/>
            <w:vAlign w:val="center"/>
          </w:tcPr>
          <w:p w14:paraId="557E8E5A" w14:textId="77777777" w:rsidR="000D07EA" w:rsidRDefault="00BE7C89">
            <w:pPr>
              <w:pStyle w:val="BodyText"/>
              <w:spacing w:before="100" w:after="100"/>
              <w:jc w:val="center"/>
            </w:pPr>
            <w:r>
              <w:t>$1.00 per min + 40c flagfall</w:t>
            </w:r>
          </w:p>
        </w:tc>
      </w:tr>
      <w:tr w:rsidR="000D07EA" w14:paraId="4C928C6A" w14:textId="77777777">
        <w:trPr>
          <w:trHeight w:val="58"/>
        </w:trPr>
        <w:tc>
          <w:tcPr>
            <w:tcW w:w="2313" w:type="pct"/>
            <w:shd w:val="clear" w:color="auto" w:fill="auto"/>
          </w:tcPr>
          <w:p w14:paraId="5E39CEF9" w14:textId="77777777" w:rsidR="000D07EA" w:rsidRDefault="00BE7C89">
            <w:pPr>
              <w:pStyle w:val="BodyText"/>
              <w:spacing w:before="100" w:after="100"/>
              <w:rPr>
                <w:b/>
              </w:rPr>
            </w:pPr>
            <w:r>
              <w:rPr>
                <w:b/>
                <w:bCs/>
              </w:rPr>
              <w:t xml:space="preserve">VoiceMail Deposits </w:t>
            </w:r>
          </w:p>
        </w:tc>
        <w:tc>
          <w:tcPr>
            <w:tcW w:w="2687" w:type="pct"/>
            <w:shd w:val="clear" w:color="auto" w:fill="auto"/>
          </w:tcPr>
          <w:p w14:paraId="6AC617F9" w14:textId="77777777" w:rsidR="000D07EA" w:rsidRDefault="00BE7C89">
            <w:pPr>
              <w:pStyle w:val="BodyText"/>
              <w:spacing w:before="100" w:after="100"/>
              <w:jc w:val="center"/>
            </w:pPr>
            <w:r>
              <w:t>$0 per minute</w:t>
            </w:r>
          </w:p>
        </w:tc>
      </w:tr>
      <w:tr w:rsidR="000D07EA" w14:paraId="50AFCD21" w14:textId="77777777">
        <w:tc>
          <w:tcPr>
            <w:tcW w:w="2313" w:type="pct"/>
            <w:shd w:val="clear" w:color="auto" w:fill="auto"/>
          </w:tcPr>
          <w:p w14:paraId="2D219A26" w14:textId="77777777" w:rsidR="000D07EA" w:rsidRDefault="00BE7C89">
            <w:pPr>
              <w:pStyle w:val="BodyText"/>
              <w:spacing w:before="100" w:after="100"/>
              <w:rPr>
                <w:b/>
              </w:rPr>
            </w:pPr>
            <w:r>
              <w:rPr>
                <w:b/>
                <w:bCs/>
              </w:rPr>
              <w:t>Voicemail Diversions</w:t>
            </w:r>
          </w:p>
        </w:tc>
        <w:tc>
          <w:tcPr>
            <w:tcW w:w="2687" w:type="pct"/>
            <w:shd w:val="clear" w:color="auto" w:fill="auto"/>
          </w:tcPr>
          <w:p w14:paraId="7D235CE6" w14:textId="77777777" w:rsidR="000D07EA" w:rsidRDefault="00BE7C89">
            <w:pPr>
              <w:pStyle w:val="BodyText"/>
              <w:spacing w:before="100" w:after="100"/>
              <w:jc w:val="center"/>
            </w:pPr>
            <w:r>
              <w:t>$0 per minute</w:t>
            </w:r>
          </w:p>
        </w:tc>
      </w:tr>
      <w:tr w:rsidR="000D07EA" w14:paraId="2EB20B0C" w14:textId="77777777">
        <w:tc>
          <w:tcPr>
            <w:tcW w:w="2313" w:type="pct"/>
            <w:shd w:val="clear" w:color="auto" w:fill="auto"/>
          </w:tcPr>
          <w:p w14:paraId="035D4249" w14:textId="77777777" w:rsidR="000D07EA" w:rsidRDefault="00BE7C89">
            <w:pPr>
              <w:pStyle w:val="BodyText"/>
              <w:spacing w:before="100" w:after="100"/>
              <w:rPr>
                <w:b/>
                <w:bCs/>
              </w:rPr>
            </w:pPr>
            <w:r>
              <w:rPr>
                <w:b/>
                <w:bCs/>
              </w:rPr>
              <w:t xml:space="preserve">1800 numbers </w:t>
            </w:r>
          </w:p>
        </w:tc>
        <w:tc>
          <w:tcPr>
            <w:tcW w:w="2687" w:type="pct"/>
            <w:shd w:val="clear" w:color="auto" w:fill="auto"/>
            <w:vAlign w:val="center"/>
          </w:tcPr>
          <w:p w14:paraId="2BC48F16" w14:textId="77777777" w:rsidR="000D07EA" w:rsidRDefault="00BE7C89">
            <w:pPr>
              <w:pStyle w:val="BodyText"/>
              <w:spacing w:before="100" w:after="100"/>
              <w:jc w:val="center"/>
            </w:pPr>
            <w:r>
              <w:t>$0 per minute</w:t>
            </w:r>
          </w:p>
        </w:tc>
      </w:tr>
      <w:tr w:rsidR="000D07EA" w14:paraId="77C37A86" w14:textId="77777777">
        <w:tc>
          <w:tcPr>
            <w:tcW w:w="2313" w:type="pct"/>
            <w:shd w:val="clear" w:color="auto" w:fill="auto"/>
          </w:tcPr>
          <w:p w14:paraId="7F5E8CD8" w14:textId="77777777" w:rsidR="000D07EA" w:rsidRDefault="00BE7C89">
            <w:pPr>
              <w:pStyle w:val="BodyText"/>
              <w:spacing w:before="100" w:after="100"/>
              <w:rPr>
                <w:b/>
                <w:bCs/>
              </w:rPr>
            </w:pPr>
            <w:r>
              <w:rPr>
                <w:b/>
                <w:bCs/>
              </w:rPr>
              <w:t xml:space="preserve">Directory Assistance 1223 </w:t>
            </w:r>
          </w:p>
        </w:tc>
        <w:tc>
          <w:tcPr>
            <w:tcW w:w="2687" w:type="pct"/>
            <w:shd w:val="clear" w:color="auto" w:fill="auto"/>
            <w:vAlign w:val="center"/>
          </w:tcPr>
          <w:p w14:paraId="694E313A" w14:textId="77777777" w:rsidR="000D07EA" w:rsidRDefault="00BE7C89">
            <w:pPr>
              <w:pStyle w:val="BodyText"/>
              <w:spacing w:before="100" w:after="100"/>
              <w:jc w:val="center"/>
            </w:pPr>
            <w:r>
              <w:t>50c per call</w:t>
            </w:r>
          </w:p>
        </w:tc>
      </w:tr>
      <w:tr w:rsidR="000D07EA" w14:paraId="1E6FB8D5" w14:textId="77777777">
        <w:tc>
          <w:tcPr>
            <w:tcW w:w="2313" w:type="pct"/>
            <w:shd w:val="clear" w:color="auto" w:fill="auto"/>
          </w:tcPr>
          <w:p w14:paraId="21405B92" w14:textId="77777777" w:rsidR="000D07EA" w:rsidRDefault="00BE7C89">
            <w:pPr>
              <w:pStyle w:val="BodyText"/>
              <w:spacing w:before="100" w:after="100"/>
              <w:rPr>
                <w:b/>
                <w:bCs/>
              </w:rPr>
            </w:pPr>
            <w:r>
              <w:rPr>
                <w:b/>
                <w:bCs/>
              </w:rPr>
              <w:t>124 Yes</w:t>
            </w:r>
          </w:p>
        </w:tc>
        <w:tc>
          <w:tcPr>
            <w:tcW w:w="2687" w:type="pct"/>
            <w:shd w:val="clear" w:color="auto" w:fill="auto"/>
            <w:vAlign w:val="center"/>
          </w:tcPr>
          <w:p w14:paraId="3D05B14D" w14:textId="77777777" w:rsidR="000D07EA" w:rsidRDefault="00BE7C89">
            <w:pPr>
              <w:pStyle w:val="BodyText"/>
              <w:spacing w:before="100" w:after="100"/>
              <w:jc w:val="center"/>
            </w:pPr>
            <w:r>
              <w:t>90c per minute +$1.75c flagfall</w:t>
            </w:r>
          </w:p>
        </w:tc>
      </w:tr>
      <w:tr w:rsidR="000D07EA" w14:paraId="0CD3B55D" w14:textId="77777777">
        <w:tc>
          <w:tcPr>
            <w:tcW w:w="2313" w:type="pct"/>
            <w:shd w:val="clear" w:color="auto" w:fill="auto"/>
          </w:tcPr>
          <w:p w14:paraId="3F127F66" w14:textId="77777777" w:rsidR="000D07EA" w:rsidRDefault="00BE7C89">
            <w:pPr>
              <w:pStyle w:val="BodyText"/>
              <w:spacing w:before="100" w:after="100"/>
              <w:rPr>
                <w:b/>
                <w:bCs/>
              </w:rPr>
            </w:pPr>
            <w:r>
              <w:rPr>
                <w:b/>
                <w:bCs/>
              </w:rPr>
              <w:t xml:space="preserve">International voice calls </w:t>
            </w:r>
          </w:p>
        </w:tc>
        <w:tc>
          <w:tcPr>
            <w:tcW w:w="2687" w:type="pct"/>
            <w:shd w:val="clear" w:color="auto" w:fill="auto"/>
            <w:vAlign w:val="center"/>
          </w:tcPr>
          <w:p w14:paraId="43AE327D" w14:textId="77777777" w:rsidR="000D07EA" w:rsidRDefault="00BE7C89">
            <w:pPr>
              <w:pStyle w:val="BodyText"/>
              <w:spacing w:before="100" w:after="100"/>
              <w:jc w:val="center"/>
            </w:pPr>
            <w:r>
              <w:t>See optus.com.au/international</w:t>
            </w:r>
          </w:p>
        </w:tc>
      </w:tr>
      <w:tr w:rsidR="000D07EA" w14:paraId="72209D15" w14:textId="77777777">
        <w:tc>
          <w:tcPr>
            <w:tcW w:w="2313" w:type="pct"/>
            <w:shd w:val="clear" w:color="auto" w:fill="auto"/>
          </w:tcPr>
          <w:p w14:paraId="30E15CFE" w14:textId="77777777" w:rsidR="000D07EA" w:rsidRDefault="00BE7C89">
            <w:pPr>
              <w:pStyle w:val="BodyText"/>
              <w:spacing w:before="100" w:after="100"/>
              <w:rPr>
                <w:b/>
                <w:bCs/>
              </w:rPr>
            </w:pPr>
            <w:r>
              <w:rPr>
                <w:b/>
                <w:bCs/>
              </w:rPr>
              <w:t>International SMS</w:t>
            </w:r>
          </w:p>
        </w:tc>
        <w:tc>
          <w:tcPr>
            <w:tcW w:w="2687" w:type="pct"/>
            <w:shd w:val="clear" w:color="auto" w:fill="auto"/>
            <w:vAlign w:val="center"/>
          </w:tcPr>
          <w:p w14:paraId="50B95C8E" w14:textId="77777777" w:rsidR="000D07EA" w:rsidRDefault="00BE7C89">
            <w:pPr>
              <w:pStyle w:val="BodyText"/>
              <w:spacing w:before="100" w:after="100"/>
              <w:jc w:val="center"/>
            </w:pPr>
            <w:r>
              <w:t>50c per SMS up to 160 standard characters</w:t>
            </w:r>
          </w:p>
        </w:tc>
      </w:tr>
      <w:tr w:rsidR="000D07EA" w14:paraId="5D7480FA" w14:textId="77777777">
        <w:tc>
          <w:tcPr>
            <w:tcW w:w="2313" w:type="pct"/>
            <w:shd w:val="clear" w:color="auto" w:fill="auto"/>
          </w:tcPr>
          <w:p w14:paraId="6837253D" w14:textId="77777777" w:rsidR="000D07EA" w:rsidRDefault="00BE7C89">
            <w:pPr>
              <w:pStyle w:val="BodyText"/>
              <w:spacing w:before="100" w:after="100"/>
              <w:rPr>
                <w:b/>
                <w:bCs/>
              </w:rPr>
            </w:pPr>
            <w:r>
              <w:rPr>
                <w:b/>
                <w:bCs/>
              </w:rPr>
              <w:t>International MMS</w:t>
            </w:r>
          </w:p>
        </w:tc>
        <w:tc>
          <w:tcPr>
            <w:tcW w:w="2687" w:type="pct"/>
            <w:shd w:val="clear" w:color="auto" w:fill="auto"/>
            <w:vAlign w:val="center"/>
          </w:tcPr>
          <w:p w14:paraId="269C83AE" w14:textId="77777777" w:rsidR="000D07EA" w:rsidRDefault="00BE7C89">
            <w:pPr>
              <w:pStyle w:val="BodyText"/>
              <w:spacing w:before="100" w:after="100"/>
              <w:jc w:val="center"/>
            </w:pPr>
            <w:r>
              <w:t>75c per MMS</w:t>
            </w:r>
          </w:p>
        </w:tc>
      </w:tr>
      <w:tr w:rsidR="000D07EA" w14:paraId="1C1C1F8B" w14:textId="77777777">
        <w:tc>
          <w:tcPr>
            <w:tcW w:w="2313" w:type="pct"/>
            <w:shd w:val="clear" w:color="auto" w:fill="auto"/>
          </w:tcPr>
          <w:p w14:paraId="5984DDB2" w14:textId="77777777" w:rsidR="000D07EA" w:rsidRDefault="00BE7C89">
            <w:pPr>
              <w:pStyle w:val="BodyText"/>
              <w:spacing w:before="100" w:after="100"/>
              <w:rPr>
                <w:b/>
                <w:bCs/>
              </w:rPr>
            </w:pPr>
            <w:r>
              <w:rPr>
                <w:b/>
                <w:bCs/>
              </w:rPr>
              <w:t xml:space="preserve">International video calling </w:t>
            </w:r>
          </w:p>
        </w:tc>
        <w:tc>
          <w:tcPr>
            <w:tcW w:w="2687" w:type="pct"/>
            <w:shd w:val="clear" w:color="auto" w:fill="auto"/>
            <w:vAlign w:val="center"/>
          </w:tcPr>
          <w:p w14:paraId="5939DE90" w14:textId="77777777" w:rsidR="000D07EA" w:rsidRDefault="00BE7C89">
            <w:pPr>
              <w:pStyle w:val="BodyText"/>
              <w:spacing w:before="100" w:after="100"/>
              <w:jc w:val="center"/>
            </w:pPr>
            <w:r>
              <w:t>$1.50 per minute +35c flagfall</w:t>
            </w:r>
          </w:p>
        </w:tc>
      </w:tr>
      <w:tr w:rsidR="000D07EA" w14:paraId="37ECB742" w14:textId="77777777">
        <w:tc>
          <w:tcPr>
            <w:tcW w:w="2313" w:type="pct"/>
            <w:shd w:val="clear" w:color="auto" w:fill="auto"/>
          </w:tcPr>
          <w:p w14:paraId="7DF2DA2E" w14:textId="77777777" w:rsidR="000D07EA" w:rsidRDefault="00BE7C89">
            <w:pPr>
              <w:pStyle w:val="BodyText"/>
              <w:spacing w:before="100" w:after="100"/>
              <w:rPr>
                <w:b/>
                <w:bCs/>
              </w:rPr>
            </w:pPr>
            <w:r>
              <w:rPr>
                <w:b/>
                <w:bCs/>
              </w:rPr>
              <w:t xml:space="preserve">International roaming </w:t>
            </w:r>
          </w:p>
        </w:tc>
        <w:tc>
          <w:tcPr>
            <w:tcW w:w="2687" w:type="pct"/>
            <w:shd w:val="clear" w:color="auto" w:fill="auto"/>
            <w:vAlign w:val="center"/>
          </w:tcPr>
          <w:p w14:paraId="68A909E0" w14:textId="77777777" w:rsidR="000D07EA" w:rsidRDefault="00BE7C89">
            <w:pPr>
              <w:pStyle w:val="BodyText"/>
              <w:spacing w:before="100" w:after="100"/>
              <w:jc w:val="center"/>
            </w:pPr>
            <w:r>
              <w:t>See optus.com.au/roaming</w:t>
            </w:r>
          </w:p>
        </w:tc>
      </w:tr>
    </w:tbl>
    <w:p w14:paraId="0F3F3380" w14:textId="77777777" w:rsidR="000D07EA" w:rsidRDefault="000D07EA">
      <w:pPr>
        <w:pStyle w:val="BodyText"/>
      </w:pPr>
    </w:p>
    <w:p w14:paraId="06A764C9" w14:textId="77777777" w:rsidR="000D07EA" w:rsidRDefault="00BE7C89">
      <w:pPr>
        <w:pStyle w:val="Heading6"/>
        <w:ind w:left="0" w:firstLine="0"/>
      </w:pPr>
      <w:bookmarkStart w:id="898" w:name="_Toc396920641"/>
      <w:bookmarkStart w:id="899" w:name="_Toc409187039"/>
      <w:r>
        <w:t>My Account</w:t>
      </w:r>
      <w:bookmarkEnd w:id="898"/>
      <w:bookmarkEnd w:id="899"/>
    </w:p>
    <w:p w14:paraId="5ED217BC" w14:textId="77777777" w:rsidR="000D07EA" w:rsidRDefault="00BE7C89">
      <w:pPr>
        <w:pStyle w:val="BodyText"/>
        <w:ind w:left="72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w:t>
      </w:r>
      <w:r>
        <w:lastRenderedPageBreak/>
        <w:t xml:space="preserve">service has used. If </w:t>
      </w:r>
      <w:r>
        <w:rPr>
          <w:i/>
        </w:rPr>
        <w:t>you</w:t>
      </w:r>
      <w:r>
        <w:t xml:space="preserve"> have more than 6 services on </w:t>
      </w:r>
      <w:r>
        <w:rPr>
          <w:i/>
        </w:rPr>
        <w:t>your</w:t>
      </w:r>
      <w:r>
        <w:t xml:space="preserve"> account, My Account may not be suitable for viewing usage and managing </w:t>
      </w:r>
      <w:r>
        <w:rPr>
          <w:i/>
        </w:rPr>
        <w:t xml:space="preserve">your </w:t>
      </w:r>
      <w:r>
        <w:t>usage alerts.</w:t>
      </w:r>
    </w:p>
    <w:p w14:paraId="3CE56149" w14:textId="77777777" w:rsidR="000D07EA" w:rsidRDefault="00BE7C89" w:rsidP="00FB4F1A">
      <w:pPr>
        <w:pStyle w:val="Heading6"/>
        <w:keepNext/>
        <w:ind w:left="0" w:firstLine="0"/>
      </w:pPr>
      <w:bookmarkStart w:id="900" w:name="_Toc396920642"/>
      <w:bookmarkStart w:id="901" w:name="_Toc409187040"/>
      <w:r>
        <w:t xml:space="preserve">What happens if the </w:t>
      </w:r>
      <w:r>
        <w:rPr>
          <w:i/>
        </w:rPr>
        <w:t xml:space="preserve">service </w:t>
      </w:r>
      <w:r>
        <w:t>is</w:t>
      </w:r>
      <w:r>
        <w:rPr>
          <w:i/>
        </w:rPr>
        <w:t xml:space="preserve"> cancelled </w:t>
      </w:r>
      <w:r>
        <w:t>early?</w:t>
      </w:r>
      <w:bookmarkEnd w:id="900"/>
      <w:bookmarkEnd w:id="901"/>
    </w:p>
    <w:p w14:paraId="46D20D21" w14:textId="77777777" w:rsidR="000D07EA" w:rsidRDefault="00BE7C89">
      <w:pPr>
        <w:pStyle w:val="Heading7"/>
      </w:pPr>
      <w:r>
        <w:t>If the</w:t>
      </w:r>
      <w:r>
        <w:rPr>
          <w:i/>
        </w:rPr>
        <w:t xml:space="preserve"> service</w:t>
      </w:r>
      <w:r>
        <w:t xml:space="preserve"> is</w:t>
      </w:r>
      <w:r>
        <w:rPr>
          <w:i/>
        </w:rPr>
        <w:t xml:space="preserve"> cancelled </w:t>
      </w:r>
      <w:r>
        <w:t xml:space="preserve">before the end of </w:t>
      </w:r>
      <w:r>
        <w:rPr>
          <w:i/>
        </w:rPr>
        <w:t xml:space="preserve">your minimum term, you </w:t>
      </w:r>
      <w:r>
        <w:t xml:space="preserve">will be required to pay </w:t>
      </w:r>
      <w:r>
        <w:rPr>
          <w:i/>
        </w:rPr>
        <w:t>us</w:t>
      </w:r>
      <w:r>
        <w:t>:</w:t>
      </w:r>
    </w:p>
    <w:p w14:paraId="034E7C24" w14:textId="77777777" w:rsidR="000D07EA" w:rsidRDefault="00BE7C89">
      <w:pPr>
        <w:pStyle w:val="Heading8"/>
      </w:pPr>
      <w:r>
        <w:t xml:space="preserve">any usage charges incurred up to, and including, the </w:t>
      </w:r>
      <w:r>
        <w:rPr>
          <w:i/>
        </w:rPr>
        <w:t xml:space="preserve">cancellation date; </w:t>
      </w:r>
      <w:r>
        <w:t>plus</w:t>
      </w:r>
    </w:p>
    <w:p w14:paraId="74FD19B0" w14:textId="77777777" w:rsidR="000D07EA" w:rsidRDefault="00BE7C89">
      <w:pPr>
        <w:pStyle w:val="Heading8"/>
      </w:pPr>
      <w:r>
        <w:t xml:space="preserve">the </w:t>
      </w:r>
      <w:r>
        <w:rPr>
          <w:i/>
        </w:rPr>
        <w:t>cancellation fees</w:t>
      </w:r>
      <w:r>
        <w:t xml:space="preserve"> set out in paragraph </w:t>
      </w:r>
      <w:r>
        <w:fldChar w:fldCharType="begin"/>
      </w:r>
      <w:r>
        <w:instrText xml:space="preserve"> REF _Ref461555319 \n \h </w:instrText>
      </w:r>
      <w:r>
        <w:fldChar w:fldCharType="separate"/>
      </w:r>
      <w:r w:rsidR="0004083A">
        <w:t>(b)</w:t>
      </w:r>
      <w:r>
        <w:fldChar w:fldCharType="end"/>
      </w:r>
      <w:r>
        <w:t xml:space="preserve"> below (unless under clause 2A of the </w:t>
      </w:r>
      <w:r>
        <w:rPr>
          <w:i/>
        </w:rPr>
        <w:t>consumer terms</w:t>
      </w:r>
      <w:r>
        <w:t xml:space="preserve">, </w:t>
      </w:r>
      <w:r>
        <w:rPr>
          <w:i/>
        </w:rPr>
        <w:t>you</w:t>
      </w:r>
      <w:r>
        <w:t xml:space="preserve"> are entitled to </w:t>
      </w:r>
      <w:r>
        <w:rPr>
          <w:i/>
        </w:rPr>
        <w:t>cancel the service</w:t>
      </w:r>
      <w:r>
        <w:t xml:space="preserve"> without incurring a </w:t>
      </w:r>
      <w:r>
        <w:rPr>
          <w:i/>
        </w:rPr>
        <w:t>cancellation fee</w:t>
      </w:r>
      <w:r>
        <w:t>); plus</w:t>
      </w:r>
    </w:p>
    <w:p w14:paraId="2CCF6004" w14:textId="77777777" w:rsidR="000D07EA" w:rsidRDefault="00BE7C89">
      <w:pPr>
        <w:pStyle w:val="Heading8"/>
      </w:pPr>
      <w:r>
        <w:t xml:space="preserve">the sum of unpaid </w:t>
      </w:r>
      <w:r>
        <w:rPr>
          <w:i/>
        </w:rPr>
        <w:t xml:space="preserve">equipment charges </w:t>
      </w:r>
      <w:r>
        <w:t xml:space="preserve">owing on </w:t>
      </w:r>
      <w:r>
        <w:rPr>
          <w:i/>
        </w:rPr>
        <w:t xml:space="preserve">your mobile phone </w:t>
      </w:r>
      <w:r>
        <w:t xml:space="preserve">under the </w:t>
      </w:r>
      <w:r>
        <w:rPr>
          <w:i/>
        </w:rPr>
        <w:t xml:space="preserve">mobile equipment payment plan </w:t>
      </w:r>
      <w:r>
        <w:t xml:space="preserve">(if any). Note, any Handset Credit </w:t>
      </w:r>
      <w:r>
        <w:rPr>
          <w:i/>
        </w:rPr>
        <w:t xml:space="preserve">you </w:t>
      </w:r>
      <w:r>
        <w:t>were entitled to will be forfeited (</w:t>
      </w:r>
      <w:r w:rsidRPr="00272628">
        <w:t xml:space="preserve">see </w:t>
      </w:r>
      <w:r w:rsidR="00C67DDF" w:rsidRPr="00272628">
        <w:t>112</w:t>
      </w:r>
      <w:r w:rsidRPr="00272628">
        <w:t>.7 above</w:t>
      </w:r>
      <w:r>
        <w:t>).</w:t>
      </w:r>
    </w:p>
    <w:p w14:paraId="2AA33339" w14:textId="77777777" w:rsidR="000D07EA" w:rsidRDefault="00BE7C89">
      <w:pPr>
        <w:pStyle w:val="Heading7"/>
      </w:pPr>
      <w:bookmarkStart w:id="902" w:name="_Ref461555319"/>
      <w:r>
        <w:t xml:space="preserve">The </w:t>
      </w:r>
      <w:r>
        <w:rPr>
          <w:i/>
        </w:rPr>
        <w:t>cancellation fee</w:t>
      </w:r>
      <w:r>
        <w:t xml:space="preserve"> is calculated as the following amounts, multiplied by the months remaining on </w:t>
      </w:r>
      <w:r>
        <w:rPr>
          <w:i/>
        </w:rPr>
        <w:t>your minimum term</w:t>
      </w:r>
      <w:r>
        <w:t>:</w:t>
      </w:r>
      <w:bookmarkEnd w:id="902"/>
    </w:p>
    <w:tbl>
      <w:tblPr>
        <w:tblW w:w="96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268"/>
        <w:gridCol w:w="2520"/>
        <w:gridCol w:w="2430"/>
        <w:gridCol w:w="2430"/>
      </w:tblGrid>
      <w:tr w:rsidR="000D07EA" w14:paraId="6BAB5D47" w14:textId="77777777">
        <w:trPr>
          <w:trHeight w:val="289"/>
        </w:trPr>
        <w:tc>
          <w:tcPr>
            <w:tcW w:w="4788" w:type="dxa"/>
            <w:gridSpan w:val="2"/>
          </w:tcPr>
          <w:p w14:paraId="51F0ED45" w14:textId="77777777" w:rsidR="000D07EA" w:rsidRDefault="000D07EA">
            <w:pPr>
              <w:pStyle w:val="BodyText"/>
              <w:spacing w:before="100" w:after="100"/>
            </w:pPr>
          </w:p>
        </w:tc>
        <w:tc>
          <w:tcPr>
            <w:tcW w:w="4860" w:type="dxa"/>
            <w:gridSpan w:val="2"/>
          </w:tcPr>
          <w:p w14:paraId="22CB488F" w14:textId="77777777" w:rsidR="000D07EA" w:rsidRDefault="00BE7C89">
            <w:pPr>
              <w:pStyle w:val="BodyText"/>
              <w:spacing w:before="100" w:after="100"/>
              <w:jc w:val="center"/>
              <w:rPr>
                <w:b/>
              </w:rPr>
            </w:pPr>
            <w:r>
              <w:rPr>
                <w:b/>
              </w:rPr>
              <w:t>My Plan Business</w:t>
            </w:r>
          </w:p>
        </w:tc>
      </w:tr>
      <w:tr w:rsidR="000D07EA" w14:paraId="5F188D53" w14:textId="77777777">
        <w:trPr>
          <w:trHeight w:val="58"/>
        </w:trPr>
        <w:tc>
          <w:tcPr>
            <w:tcW w:w="2268" w:type="dxa"/>
            <w:shd w:val="clear" w:color="auto" w:fill="auto"/>
            <w:vAlign w:val="center"/>
          </w:tcPr>
          <w:p w14:paraId="28266A00" w14:textId="77777777" w:rsidR="000D07EA" w:rsidRDefault="000D07EA">
            <w:pPr>
              <w:pStyle w:val="BodyText"/>
              <w:spacing w:before="100" w:after="100"/>
            </w:pPr>
          </w:p>
        </w:tc>
        <w:tc>
          <w:tcPr>
            <w:tcW w:w="2520" w:type="dxa"/>
            <w:vAlign w:val="center"/>
          </w:tcPr>
          <w:p w14:paraId="64BD498E" w14:textId="77777777" w:rsidR="000D07EA" w:rsidRDefault="00BE7C89">
            <w:pPr>
              <w:pStyle w:val="BodyText"/>
              <w:spacing w:before="100" w:after="100"/>
              <w:jc w:val="center"/>
              <w:rPr>
                <w:b/>
              </w:rPr>
            </w:pPr>
            <w:r>
              <w:rPr>
                <w:b/>
              </w:rPr>
              <w:t>$60 My Plan Business</w:t>
            </w:r>
          </w:p>
        </w:tc>
        <w:tc>
          <w:tcPr>
            <w:tcW w:w="2430" w:type="dxa"/>
            <w:shd w:val="clear" w:color="auto" w:fill="auto"/>
            <w:vAlign w:val="center"/>
          </w:tcPr>
          <w:p w14:paraId="4CBBB855" w14:textId="77777777" w:rsidR="000D07EA" w:rsidRDefault="00BE7C89">
            <w:pPr>
              <w:pStyle w:val="BodyText"/>
              <w:spacing w:before="100" w:after="100"/>
              <w:jc w:val="center"/>
              <w:rPr>
                <w:b/>
              </w:rPr>
            </w:pPr>
            <w:r>
              <w:rPr>
                <w:b/>
              </w:rPr>
              <w:t>$80 My Plan Business</w:t>
            </w:r>
          </w:p>
        </w:tc>
        <w:tc>
          <w:tcPr>
            <w:tcW w:w="2430" w:type="dxa"/>
            <w:shd w:val="clear" w:color="auto" w:fill="auto"/>
            <w:vAlign w:val="center"/>
          </w:tcPr>
          <w:p w14:paraId="589B765C" w14:textId="77777777" w:rsidR="000D07EA" w:rsidRDefault="00BE7C89">
            <w:pPr>
              <w:pStyle w:val="BodyText"/>
              <w:spacing w:before="100" w:after="100"/>
              <w:jc w:val="center"/>
              <w:rPr>
                <w:b/>
              </w:rPr>
            </w:pPr>
            <w:r>
              <w:rPr>
                <w:b/>
              </w:rPr>
              <w:t>$100 My Plan Business</w:t>
            </w:r>
          </w:p>
        </w:tc>
      </w:tr>
      <w:tr w:rsidR="000D07EA" w14:paraId="4CD2E7F8" w14:textId="77777777">
        <w:trPr>
          <w:trHeight w:val="275"/>
        </w:trPr>
        <w:tc>
          <w:tcPr>
            <w:tcW w:w="2268" w:type="dxa"/>
            <w:shd w:val="clear" w:color="auto" w:fill="auto"/>
            <w:vAlign w:val="center"/>
          </w:tcPr>
          <w:p w14:paraId="4BF28431" w14:textId="77777777" w:rsidR="000D07EA" w:rsidRDefault="00BE7C89">
            <w:pPr>
              <w:pStyle w:val="BodyText"/>
              <w:spacing w:before="100" w:after="100"/>
              <w:rPr>
                <w:b/>
              </w:rPr>
            </w:pPr>
            <w:r>
              <w:rPr>
                <w:b/>
              </w:rPr>
              <w:t xml:space="preserve">Cancellation Fee </w:t>
            </w:r>
          </w:p>
        </w:tc>
        <w:tc>
          <w:tcPr>
            <w:tcW w:w="2520" w:type="dxa"/>
            <w:vAlign w:val="center"/>
          </w:tcPr>
          <w:p w14:paraId="31C619E1" w14:textId="77777777" w:rsidR="000D07EA" w:rsidRDefault="00BE7C89">
            <w:pPr>
              <w:pStyle w:val="BodyText"/>
              <w:spacing w:before="100" w:after="100"/>
              <w:jc w:val="center"/>
            </w:pPr>
            <w:r>
              <w:t xml:space="preserve">$36 x month remaining on </w:t>
            </w:r>
            <w:r>
              <w:rPr>
                <w:i/>
              </w:rPr>
              <w:t>minimum term</w:t>
            </w:r>
          </w:p>
        </w:tc>
        <w:tc>
          <w:tcPr>
            <w:tcW w:w="2430" w:type="dxa"/>
            <w:shd w:val="clear" w:color="auto" w:fill="auto"/>
            <w:vAlign w:val="center"/>
          </w:tcPr>
          <w:p w14:paraId="17DB8A8F" w14:textId="77777777" w:rsidR="000D07EA" w:rsidRDefault="00BE7C89">
            <w:pPr>
              <w:pStyle w:val="BodyText"/>
              <w:spacing w:before="100" w:after="100"/>
              <w:jc w:val="center"/>
            </w:pPr>
            <w:r>
              <w:t xml:space="preserve">$48 x months remaining on </w:t>
            </w:r>
            <w:r>
              <w:rPr>
                <w:i/>
              </w:rPr>
              <w:t>minimum term</w:t>
            </w:r>
          </w:p>
        </w:tc>
        <w:tc>
          <w:tcPr>
            <w:tcW w:w="2430" w:type="dxa"/>
            <w:shd w:val="clear" w:color="auto" w:fill="auto"/>
            <w:vAlign w:val="center"/>
          </w:tcPr>
          <w:p w14:paraId="5C5F3DCE" w14:textId="77777777" w:rsidR="000D07EA" w:rsidRDefault="00BE7C89">
            <w:pPr>
              <w:pStyle w:val="BodyText"/>
              <w:spacing w:before="100" w:after="100"/>
              <w:jc w:val="center"/>
            </w:pPr>
            <w:r>
              <w:t xml:space="preserve">$60 x months remaining on </w:t>
            </w:r>
            <w:r>
              <w:rPr>
                <w:i/>
              </w:rPr>
              <w:t>minimum term</w:t>
            </w:r>
          </w:p>
        </w:tc>
      </w:tr>
      <w:tr w:rsidR="000D07EA" w14:paraId="6C75E24E" w14:textId="77777777">
        <w:trPr>
          <w:trHeight w:val="275"/>
        </w:trPr>
        <w:tc>
          <w:tcPr>
            <w:tcW w:w="2268" w:type="dxa"/>
            <w:shd w:val="clear" w:color="auto" w:fill="auto"/>
            <w:vAlign w:val="center"/>
          </w:tcPr>
          <w:p w14:paraId="5219F0A8" w14:textId="77777777" w:rsidR="000D07EA" w:rsidRDefault="00BE7C89">
            <w:pPr>
              <w:pStyle w:val="BodyText"/>
              <w:spacing w:before="100" w:after="100"/>
              <w:rPr>
                <w:b/>
              </w:rPr>
            </w:pPr>
            <w:r>
              <w:rPr>
                <w:b/>
              </w:rPr>
              <w:t>Maximum Cancellation Fee</w:t>
            </w:r>
          </w:p>
        </w:tc>
        <w:tc>
          <w:tcPr>
            <w:tcW w:w="2520" w:type="dxa"/>
            <w:vAlign w:val="center"/>
          </w:tcPr>
          <w:p w14:paraId="48323585" w14:textId="77777777" w:rsidR="000D07EA" w:rsidRDefault="00BE7C89">
            <w:pPr>
              <w:pStyle w:val="BodyText"/>
              <w:spacing w:before="100" w:after="100"/>
              <w:jc w:val="center"/>
            </w:pPr>
            <w:r>
              <w:t>$1,440</w:t>
            </w:r>
          </w:p>
        </w:tc>
        <w:tc>
          <w:tcPr>
            <w:tcW w:w="2430" w:type="dxa"/>
            <w:shd w:val="clear" w:color="auto" w:fill="auto"/>
            <w:vAlign w:val="center"/>
          </w:tcPr>
          <w:p w14:paraId="493C1D03" w14:textId="77777777" w:rsidR="000D07EA" w:rsidRDefault="00BE7C89">
            <w:pPr>
              <w:pStyle w:val="BodyText"/>
              <w:spacing w:before="100" w:after="100"/>
              <w:jc w:val="center"/>
            </w:pPr>
            <w:r>
              <w:t>$1152</w:t>
            </w:r>
          </w:p>
        </w:tc>
        <w:tc>
          <w:tcPr>
            <w:tcW w:w="2430" w:type="dxa"/>
            <w:shd w:val="clear" w:color="auto" w:fill="auto"/>
            <w:vAlign w:val="center"/>
          </w:tcPr>
          <w:p w14:paraId="2231D2EF" w14:textId="77777777" w:rsidR="000D07EA" w:rsidRDefault="00BE7C89">
            <w:pPr>
              <w:pStyle w:val="BodyText"/>
              <w:spacing w:before="100" w:after="100"/>
              <w:jc w:val="center"/>
            </w:pPr>
            <w:r>
              <w:t>$1440</w:t>
            </w:r>
          </w:p>
        </w:tc>
      </w:tr>
    </w:tbl>
    <w:p w14:paraId="0177AF1E" w14:textId="77777777" w:rsidR="000D07EA" w:rsidRDefault="000D07EA">
      <w:pPr>
        <w:pStyle w:val="BodyText"/>
      </w:pPr>
    </w:p>
    <w:p w14:paraId="6785D136" w14:textId="77777777" w:rsidR="000D07EA" w:rsidRDefault="00BE7C89">
      <w:pPr>
        <w:pStyle w:val="Heading7"/>
      </w:pPr>
      <w:r>
        <w:t xml:space="preserve">If </w:t>
      </w:r>
      <w:r>
        <w:rPr>
          <w:i/>
        </w:rPr>
        <w:t>your</w:t>
      </w:r>
      <w:r>
        <w:t xml:space="preserve"> My Plan Business is </w:t>
      </w:r>
      <w:r>
        <w:rPr>
          <w:i/>
        </w:rPr>
        <w:t>cancelled</w:t>
      </w:r>
      <w:r>
        <w:t xml:space="preserve">, </w:t>
      </w:r>
      <w:r>
        <w:rPr>
          <w:i/>
        </w:rPr>
        <w:t>your</w:t>
      </w:r>
      <w:r>
        <w:t xml:space="preserve"> Shared Data Plan(s) may also be </w:t>
      </w:r>
      <w:r>
        <w:rPr>
          <w:i/>
        </w:rPr>
        <w:t>cancelled</w:t>
      </w:r>
      <w:r>
        <w:t xml:space="preserve">. There are no </w:t>
      </w:r>
      <w:r>
        <w:rPr>
          <w:i/>
        </w:rPr>
        <w:t>cancellation fees</w:t>
      </w:r>
      <w:r>
        <w:t xml:space="preserve"> for the Shared Data Plan, however if </w:t>
      </w:r>
      <w:r>
        <w:rPr>
          <w:i/>
        </w:rPr>
        <w:t>you</w:t>
      </w:r>
      <w:r>
        <w:t xml:space="preserve"> purchased a </w:t>
      </w:r>
      <w:r>
        <w:rPr>
          <w:i/>
        </w:rPr>
        <w:t>device</w:t>
      </w:r>
      <w:r>
        <w:t xml:space="preserve"> </w:t>
      </w:r>
      <w:r>
        <w:rPr>
          <w:i/>
        </w:rPr>
        <w:t>you</w:t>
      </w:r>
      <w:r>
        <w:t xml:space="preserve"> need to pay the sum of any remaining </w:t>
      </w:r>
      <w:r>
        <w:rPr>
          <w:i/>
        </w:rPr>
        <w:t xml:space="preserve">equipment charges </w:t>
      </w:r>
      <w:r>
        <w:t xml:space="preserve">owing on </w:t>
      </w:r>
      <w:r>
        <w:rPr>
          <w:i/>
        </w:rPr>
        <w:t xml:space="preserve">your device </w:t>
      </w:r>
      <w:r>
        <w:t xml:space="preserve">under the </w:t>
      </w:r>
      <w:r>
        <w:rPr>
          <w:i/>
        </w:rPr>
        <w:t xml:space="preserve">mobile equipment payment plan </w:t>
      </w:r>
      <w:r>
        <w:t>(see Appendix D).</w:t>
      </w:r>
    </w:p>
    <w:p w14:paraId="13B7F11E" w14:textId="77777777" w:rsidR="000D07EA" w:rsidRDefault="00BE7C89">
      <w:pPr>
        <w:pStyle w:val="Heading7"/>
      </w:pPr>
      <w:r>
        <w:t xml:space="preserve">If </w:t>
      </w:r>
      <w:r>
        <w:rPr>
          <w:i/>
        </w:rPr>
        <w:t xml:space="preserve">your </w:t>
      </w:r>
      <w:r>
        <w:t xml:space="preserve">Shared Data Plan is not </w:t>
      </w:r>
      <w:r>
        <w:rPr>
          <w:i/>
        </w:rPr>
        <w:t>cancelled</w:t>
      </w:r>
      <w:r>
        <w:t xml:space="preserve">, </w:t>
      </w:r>
      <w:r>
        <w:rPr>
          <w:i/>
        </w:rPr>
        <w:t>you</w:t>
      </w:r>
      <w:r>
        <w:t xml:space="preserve"> will be charged $10 per 1GB within Australia, up to a maximum of 60GB (per account) in a billing month.</w:t>
      </w:r>
    </w:p>
    <w:p w14:paraId="12A9CB71" w14:textId="77777777" w:rsidR="000D07EA" w:rsidRDefault="00BE7C89">
      <w:pPr>
        <w:pStyle w:val="Heading4"/>
        <w:ind w:left="720" w:hanging="720"/>
      </w:pPr>
      <w:bookmarkStart w:id="903" w:name="_Toc410222123"/>
      <w:bookmarkStart w:id="904" w:name="_Toc416248673"/>
      <w:bookmarkStart w:id="905" w:name="_Toc455147632"/>
      <w:bookmarkStart w:id="906" w:name="_Toc62644654"/>
      <w:r>
        <w:t>My Plan Business SIM</w:t>
      </w:r>
      <w:bookmarkEnd w:id="903"/>
      <w:bookmarkEnd w:id="904"/>
      <w:bookmarkEnd w:id="905"/>
      <w:bookmarkEnd w:id="906"/>
    </w:p>
    <w:p w14:paraId="16EE62BA" w14:textId="77777777" w:rsidR="000D07EA" w:rsidRDefault="00BE7C89">
      <w:pPr>
        <w:pStyle w:val="BodyText"/>
        <w:ind w:left="720"/>
        <w:rPr>
          <w:b/>
        </w:rPr>
      </w:pPr>
      <w:r>
        <w:t xml:space="preserve">This section relates to the following plans. </w:t>
      </w:r>
      <w:r>
        <w:rPr>
          <w:i/>
        </w:rPr>
        <w:t>You</w:t>
      </w:r>
      <w:r>
        <w:t xml:space="preserve"> can find </w:t>
      </w:r>
      <w:r>
        <w:rPr>
          <w:i/>
        </w:rPr>
        <w:t>your</w:t>
      </w:r>
      <w:r>
        <w:t xml:space="preserve"> Plan ID on </w:t>
      </w:r>
      <w:r>
        <w:rPr>
          <w:i/>
        </w:rPr>
        <w:t>your</w:t>
      </w:r>
      <w:r>
        <w:t xml:space="preserve"> bill under the Mobile Number Summary section:</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952"/>
        <w:gridCol w:w="2118"/>
        <w:gridCol w:w="3260"/>
      </w:tblGrid>
      <w:tr w:rsidR="000D07EA" w14:paraId="489CB4D1" w14:textId="77777777">
        <w:tc>
          <w:tcPr>
            <w:tcW w:w="2952" w:type="dxa"/>
            <w:shd w:val="clear" w:color="auto" w:fill="auto"/>
          </w:tcPr>
          <w:p w14:paraId="524E47A5" w14:textId="77777777" w:rsidR="000D07EA" w:rsidRDefault="00BE7C89">
            <w:pPr>
              <w:pStyle w:val="BodyText"/>
              <w:spacing w:before="100" w:after="100"/>
              <w:jc w:val="center"/>
              <w:rPr>
                <w:b/>
              </w:rPr>
            </w:pPr>
            <w:r>
              <w:rPr>
                <w:b/>
              </w:rPr>
              <w:t>Plan</w:t>
            </w:r>
          </w:p>
        </w:tc>
        <w:tc>
          <w:tcPr>
            <w:tcW w:w="2118" w:type="dxa"/>
            <w:shd w:val="clear" w:color="auto" w:fill="auto"/>
          </w:tcPr>
          <w:p w14:paraId="201F691F" w14:textId="77777777" w:rsidR="000D07EA" w:rsidRDefault="00BE7C89">
            <w:pPr>
              <w:pStyle w:val="BodyText"/>
              <w:spacing w:before="100" w:after="100"/>
              <w:jc w:val="center"/>
              <w:rPr>
                <w:b/>
              </w:rPr>
            </w:pPr>
            <w:r>
              <w:rPr>
                <w:b/>
              </w:rPr>
              <w:t>Plan ID</w:t>
            </w:r>
          </w:p>
        </w:tc>
        <w:tc>
          <w:tcPr>
            <w:tcW w:w="3260" w:type="dxa"/>
            <w:shd w:val="clear" w:color="auto" w:fill="auto"/>
          </w:tcPr>
          <w:p w14:paraId="70109E7A" w14:textId="77777777" w:rsidR="000D07EA" w:rsidRDefault="00BE7C89">
            <w:pPr>
              <w:pStyle w:val="BodyText"/>
              <w:spacing w:before="100" w:after="100"/>
              <w:jc w:val="center"/>
              <w:rPr>
                <w:b/>
              </w:rPr>
            </w:pPr>
            <w:r>
              <w:rPr>
                <w:b/>
              </w:rPr>
              <w:t>Available</w:t>
            </w:r>
          </w:p>
        </w:tc>
      </w:tr>
      <w:tr w:rsidR="000D07EA" w14:paraId="4649AF4B" w14:textId="77777777">
        <w:tc>
          <w:tcPr>
            <w:tcW w:w="2952" w:type="dxa"/>
            <w:shd w:val="clear" w:color="auto" w:fill="auto"/>
          </w:tcPr>
          <w:p w14:paraId="3ED19190" w14:textId="77777777" w:rsidR="000D07EA" w:rsidRDefault="00BE7C89">
            <w:pPr>
              <w:pStyle w:val="BodyText"/>
              <w:spacing w:before="100" w:after="100"/>
            </w:pPr>
            <w:r>
              <w:t>$30 My Plan Business SIM</w:t>
            </w:r>
          </w:p>
        </w:tc>
        <w:tc>
          <w:tcPr>
            <w:tcW w:w="2118" w:type="dxa"/>
            <w:shd w:val="clear" w:color="auto" w:fill="auto"/>
          </w:tcPr>
          <w:p w14:paraId="08CA20C6" w14:textId="77777777" w:rsidR="000D07EA" w:rsidRDefault="00BE7C89">
            <w:pPr>
              <w:pStyle w:val="BodyText"/>
              <w:spacing w:before="100" w:after="100"/>
              <w:jc w:val="center"/>
            </w:pPr>
            <w:r>
              <w:t>800182</w:t>
            </w:r>
            <w:r w:rsidR="00CC2F10">
              <w:t>, 8375484</w:t>
            </w:r>
          </w:p>
        </w:tc>
        <w:tc>
          <w:tcPr>
            <w:tcW w:w="3260" w:type="dxa"/>
            <w:shd w:val="clear" w:color="auto" w:fill="auto"/>
          </w:tcPr>
          <w:p w14:paraId="4D580F24" w14:textId="77777777" w:rsidR="000D07EA" w:rsidRDefault="00BE7C89">
            <w:pPr>
              <w:pStyle w:val="BodyText"/>
              <w:spacing w:before="100" w:after="100"/>
            </w:pPr>
            <w:r>
              <w:t>10 June 2014 – 6 April 2015</w:t>
            </w:r>
          </w:p>
        </w:tc>
      </w:tr>
      <w:tr w:rsidR="000D07EA" w14:paraId="7BF6AAA3" w14:textId="77777777">
        <w:tc>
          <w:tcPr>
            <w:tcW w:w="2952" w:type="dxa"/>
            <w:shd w:val="clear" w:color="auto" w:fill="auto"/>
          </w:tcPr>
          <w:p w14:paraId="13D6BA93" w14:textId="77777777" w:rsidR="000D07EA" w:rsidRDefault="00BE7C89">
            <w:pPr>
              <w:pStyle w:val="BodyText"/>
              <w:spacing w:before="100" w:after="100"/>
            </w:pPr>
            <w:r>
              <w:t>$45 My Plan Business SIM</w:t>
            </w:r>
          </w:p>
        </w:tc>
        <w:tc>
          <w:tcPr>
            <w:tcW w:w="2118" w:type="dxa"/>
            <w:shd w:val="clear" w:color="auto" w:fill="auto"/>
          </w:tcPr>
          <w:p w14:paraId="2FC04337" w14:textId="77777777" w:rsidR="000D07EA" w:rsidRDefault="00BE7C89">
            <w:pPr>
              <w:pStyle w:val="BodyText"/>
              <w:spacing w:before="100" w:after="100"/>
              <w:jc w:val="center"/>
            </w:pPr>
            <w:r>
              <w:t>800183</w:t>
            </w:r>
            <w:r w:rsidR="00CC2F10">
              <w:t>, 8375504</w:t>
            </w:r>
          </w:p>
        </w:tc>
        <w:tc>
          <w:tcPr>
            <w:tcW w:w="3260" w:type="dxa"/>
            <w:shd w:val="clear" w:color="auto" w:fill="auto"/>
          </w:tcPr>
          <w:p w14:paraId="7DDF5617" w14:textId="77777777" w:rsidR="000D07EA" w:rsidRDefault="00BE7C89">
            <w:pPr>
              <w:pStyle w:val="BodyText"/>
              <w:spacing w:before="100" w:after="100"/>
            </w:pPr>
            <w:r>
              <w:t>10 June 2014 – 6 April 2015</w:t>
            </w:r>
          </w:p>
        </w:tc>
      </w:tr>
      <w:tr w:rsidR="000D07EA" w14:paraId="39C7F02F" w14:textId="77777777">
        <w:tc>
          <w:tcPr>
            <w:tcW w:w="2952" w:type="dxa"/>
            <w:shd w:val="clear" w:color="auto" w:fill="auto"/>
          </w:tcPr>
          <w:p w14:paraId="40FD19D7" w14:textId="77777777" w:rsidR="000D07EA" w:rsidRDefault="00BE7C89">
            <w:pPr>
              <w:pStyle w:val="BodyText"/>
              <w:spacing w:before="100" w:after="100"/>
            </w:pPr>
            <w:r>
              <w:t>$60 My Plan Business SIM</w:t>
            </w:r>
          </w:p>
        </w:tc>
        <w:tc>
          <w:tcPr>
            <w:tcW w:w="2118" w:type="dxa"/>
            <w:shd w:val="clear" w:color="auto" w:fill="auto"/>
          </w:tcPr>
          <w:p w14:paraId="48D512DD" w14:textId="77777777" w:rsidR="000D07EA" w:rsidRDefault="00BE7C89">
            <w:pPr>
              <w:pStyle w:val="BodyText"/>
              <w:spacing w:before="100" w:after="100"/>
              <w:jc w:val="center"/>
            </w:pPr>
            <w:r>
              <w:t>800184</w:t>
            </w:r>
            <w:r w:rsidR="00CC2F10">
              <w:t xml:space="preserve">, </w:t>
            </w:r>
            <w:r w:rsidR="00C9239B">
              <w:t>8893921</w:t>
            </w:r>
          </w:p>
        </w:tc>
        <w:tc>
          <w:tcPr>
            <w:tcW w:w="3260" w:type="dxa"/>
            <w:shd w:val="clear" w:color="auto" w:fill="auto"/>
          </w:tcPr>
          <w:p w14:paraId="3141863F" w14:textId="77777777" w:rsidR="000D07EA" w:rsidRDefault="00BE7C89">
            <w:pPr>
              <w:pStyle w:val="BodyText"/>
              <w:spacing w:before="100" w:after="100"/>
            </w:pPr>
            <w:r>
              <w:t>10 June 2014 – 6 April 2015</w:t>
            </w:r>
          </w:p>
        </w:tc>
      </w:tr>
    </w:tbl>
    <w:p w14:paraId="465617FC" w14:textId="77777777" w:rsidR="000D07EA" w:rsidRDefault="000D07EA">
      <w:pPr>
        <w:pStyle w:val="BodyText"/>
      </w:pPr>
    </w:p>
    <w:p w14:paraId="6FE30160" w14:textId="77777777" w:rsidR="000D07EA" w:rsidRDefault="00BE7C89">
      <w:pPr>
        <w:pStyle w:val="Heading6"/>
        <w:ind w:left="0" w:firstLine="0"/>
      </w:pPr>
      <w:bookmarkStart w:id="907" w:name="_Toc410222124"/>
      <w:r>
        <w:t>Eligibility</w:t>
      </w:r>
      <w:bookmarkEnd w:id="907"/>
    </w:p>
    <w:p w14:paraId="72B8B01D" w14:textId="77777777" w:rsidR="000D07EA" w:rsidRDefault="00BE7C89">
      <w:pPr>
        <w:pStyle w:val="BodyText"/>
        <w:ind w:left="720"/>
      </w:pPr>
      <w:r>
        <w:t xml:space="preserve">The My Plan Business SIM plans were available to new and existing mobile customers connecting to the </w:t>
      </w:r>
      <w:r>
        <w:rPr>
          <w:i/>
        </w:rPr>
        <w:t xml:space="preserve">service </w:t>
      </w:r>
      <w:r>
        <w:t>who passed Optus' credit assessment.</w:t>
      </w:r>
    </w:p>
    <w:p w14:paraId="32494CA3" w14:textId="77777777" w:rsidR="000D07EA" w:rsidRDefault="00BE7C89">
      <w:pPr>
        <w:pStyle w:val="BodyText"/>
        <w:ind w:left="720"/>
      </w:pPr>
      <w:r>
        <w:t>Optus Service Providers' customers are not eligible to apply</w:t>
      </w:r>
      <w:r>
        <w:rPr>
          <w:snapToGrid w:val="0"/>
        </w:rPr>
        <w:t>.</w:t>
      </w:r>
    </w:p>
    <w:p w14:paraId="410DC5AF" w14:textId="77777777" w:rsidR="000D07EA" w:rsidRDefault="00BE7C89">
      <w:pPr>
        <w:pStyle w:val="BodyText"/>
        <w:ind w:left="720"/>
      </w:pPr>
      <w:r>
        <w:lastRenderedPageBreak/>
        <w:t xml:space="preserve">These </w:t>
      </w:r>
      <w:r>
        <w:rPr>
          <w:i/>
        </w:rPr>
        <w:t>plans</w:t>
      </w:r>
      <w:r>
        <w:t xml:space="preserve"> aren't compatible for data use with BlackBerry handsets on operating systems of 7.1 or earlier.</w:t>
      </w:r>
      <w:bookmarkStart w:id="908" w:name="_Toc410222125"/>
    </w:p>
    <w:p w14:paraId="48659474" w14:textId="77777777" w:rsidR="000D07EA" w:rsidRDefault="00BE7C89">
      <w:pPr>
        <w:pStyle w:val="Heading6"/>
        <w:ind w:left="0" w:firstLine="0"/>
      </w:pPr>
      <w:r>
        <w:rPr>
          <w:snapToGrid w:val="0"/>
        </w:rPr>
        <w:t>Minimum Term</w:t>
      </w:r>
      <w:bookmarkEnd w:id="908"/>
    </w:p>
    <w:p w14:paraId="7BFD03B9" w14:textId="77777777" w:rsidR="000D07EA" w:rsidRDefault="00BE7C89">
      <w:pPr>
        <w:pStyle w:val="BodyText"/>
        <w:ind w:left="720"/>
      </w:pPr>
      <w:r>
        <w:t xml:space="preserve">These plans are month to month plans on a </w:t>
      </w:r>
      <w:r>
        <w:rPr>
          <w:i/>
        </w:rPr>
        <w:t>non-fixed length agreement.</w:t>
      </w:r>
    </w:p>
    <w:p w14:paraId="3484CB64" w14:textId="77777777" w:rsidR="000D07EA" w:rsidRDefault="00BE7C89">
      <w:pPr>
        <w:pStyle w:val="Heading6"/>
        <w:ind w:left="0" w:firstLine="0"/>
      </w:pPr>
      <w:bookmarkStart w:id="909" w:name="_Toc410222126"/>
      <w:r>
        <w:t>What you have to pay us</w:t>
      </w:r>
      <w:bookmarkEnd w:id="909"/>
    </w:p>
    <w:p w14:paraId="657B867B" w14:textId="77777777" w:rsidR="000D07EA" w:rsidRDefault="00BE7C89">
      <w:pPr>
        <w:pStyle w:val="Heading7"/>
      </w:pPr>
      <w:r>
        <w:rPr>
          <w:i/>
        </w:rPr>
        <w:t>You</w:t>
      </w:r>
      <w:r>
        <w:t xml:space="preserve"> must pay </w:t>
      </w:r>
      <w:r>
        <w:rPr>
          <w:i/>
        </w:rPr>
        <w:t>us</w:t>
      </w:r>
      <w:r>
        <w:t xml:space="preserve"> for use of the </w:t>
      </w:r>
      <w:r>
        <w:rPr>
          <w:i/>
        </w:rPr>
        <w:t>service</w:t>
      </w:r>
      <w:r>
        <w:t xml:space="preserve"> at the rates set out in Section 1 of this </w:t>
      </w:r>
      <w:r>
        <w:rPr>
          <w:i/>
        </w:rPr>
        <w:t>standard pricing table</w:t>
      </w:r>
      <w:r>
        <w:t xml:space="preserve"> and for value added service features at the rates set out in </w:t>
      </w:r>
      <w:r>
        <w:rPr>
          <w:i/>
        </w:rPr>
        <w:t>Appendix Y Value Added Service Features</w:t>
      </w:r>
      <w:r>
        <w:t>.</w:t>
      </w:r>
    </w:p>
    <w:p w14:paraId="4EE2FDA4" w14:textId="77777777" w:rsidR="000D07EA" w:rsidRDefault="00BE7C89">
      <w:pPr>
        <w:pStyle w:val="Heading7"/>
      </w:pPr>
      <w:r>
        <w:t>If there is a flagfall for a particular call type, the charge for these calls is the flagfall amount plus the relevant rate for the call multiplied by the duration of the call.</w:t>
      </w:r>
    </w:p>
    <w:p w14:paraId="75295810" w14:textId="77777777" w:rsidR="000D07EA" w:rsidRDefault="00BE7C89">
      <w:pPr>
        <w:pStyle w:val="Heading7"/>
        <w:rPr>
          <w:b/>
        </w:rPr>
      </w:pPr>
      <w:r>
        <w:rPr>
          <w:b/>
        </w:rPr>
        <w:t>Minimum Monthly Charge</w:t>
      </w:r>
    </w:p>
    <w:p w14:paraId="4E2455B2" w14:textId="77777777" w:rsidR="000D07EA" w:rsidRDefault="00BE7C89">
      <w:pPr>
        <w:pStyle w:val="Heading8"/>
      </w:pPr>
      <w:r>
        <w:t xml:space="preserve">Each My Plan Business SIM has a Minimum Monthly Charge amount that </w:t>
      </w:r>
      <w:r>
        <w:rPr>
          <w:i/>
        </w:rPr>
        <w:t>you</w:t>
      </w:r>
      <w:r>
        <w:t xml:space="preserve"> must pay </w:t>
      </w:r>
      <w:r>
        <w:rPr>
          <w:i/>
        </w:rPr>
        <w:t>us</w:t>
      </w:r>
      <w:r>
        <w:t xml:space="preserve"> each month as set out in Table 1 below. </w:t>
      </w:r>
    </w:p>
    <w:p w14:paraId="62F87F7A" w14:textId="77777777" w:rsidR="000D07EA" w:rsidRDefault="00BE7C89">
      <w:pPr>
        <w:pStyle w:val="Heading8"/>
      </w:pPr>
      <w:r>
        <w:rPr>
          <w:i/>
        </w:rPr>
        <w:t>You</w:t>
      </w:r>
      <w:r>
        <w:t xml:space="preserve"> may purchase a mobile phone (or 'handset') with a 1 month, 12 month or 24 month </w:t>
      </w:r>
      <w:r>
        <w:rPr>
          <w:i/>
        </w:rPr>
        <w:t>equipment term</w:t>
      </w:r>
      <w:r>
        <w:t xml:space="preserve"> under a </w:t>
      </w:r>
      <w:r>
        <w:rPr>
          <w:i/>
        </w:rPr>
        <w:t>mobile equipment payment plan</w:t>
      </w:r>
      <w:r>
        <w:t xml:space="preserve"> (set out in Appendix D). </w:t>
      </w:r>
    </w:p>
    <w:p w14:paraId="723F6826" w14:textId="77777777" w:rsidR="000D07EA" w:rsidRDefault="00BE7C89">
      <w:pPr>
        <w:pStyle w:val="Heading6"/>
        <w:ind w:left="0" w:firstLine="0"/>
        <w:rPr>
          <w:snapToGrid w:val="0"/>
        </w:rPr>
      </w:pPr>
      <w:bookmarkStart w:id="910" w:name="_Toc410222127"/>
      <w:r>
        <w:rPr>
          <w:snapToGrid w:val="0"/>
        </w:rPr>
        <w:t>How My Plan Business SIM works</w:t>
      </w:r>
      <w:bookmarkEnd w:id="910"/>
    </w:p>
    <w:p w14:paraId="058B6B2D" w14:textId="77777777" w:rsidR="000D07EA" w:rsidRDefault="00BE7C89">
      <w:pPr>
        <w:pStyle w:val="Heading7"/>
      </w:pPr>
      <w:r>
        <w:t>Each My Plan Business SIM has an amount of included minutes (or unlimited minutes) to use on standard national calls to landlines and mobiles, 13/1300 numbers and voicemail retrievals ("</w:t>
      </w:r>
      <w:r>
        <w:rPr>
          <w:b/>
        </w:rPr>
        <w:t>Included Minutes</w:t>
      </w:r>
      <w:r>
        <w:t>") and Included Data (for mobile internet use) to share with up to 5 additional mobile broadband devices as well as other mobile services on a My Plan Plus/My Plan Business (including SIM Only) plan on the same account. These plans also include unlimited standard national SMS and MMS.</w:t>
      </w:r>
    </w:p>
    <w:p w14:paraId="509B4A14" w14:textId="77777777" w:rsidR="000D07EA" w:rsidRDefault="00BE7C89">
      <w:pPr>
        <w:pStyle w:val="Heading7"/>
      </w:pPr>
      <w:r>
        <w:t xml:space="preserve">Data usage is calculated in per kilobyte increments and plans that don't include unlimited minutes calculate usage in per minute increments. </w:t>
      </w:r>
    </w:p>
    <w:p w14:paraId="7075CBF6" w14:textId="77777777" w:rsidR="000D07EA" w:rsidRDefault="00BE7C89">
      <w:pPr>
        <w:pStyle w:val="Heading7"/>
      </w:pPr>
      <w:r>
        <w:t xml:space="preserve">If </w:t>
      </w:r>
      <w:r>
        <w:rPr>
          <w:i/>
        </w:rPr>
        <w:t>you</w:t>
      </w:r>
      <w:r>
        <w:t xml:space="preserve"> exceed </w:t>
      </w:r>
      <w:r>
        <w:rPr>
          <w:i/>
        </w:rPr>
        <w:t>your</w:t>
      </w:r>
      <w:r>
        <w:t xml:space="preserve"> </w:t>
      </w:r>
      <w:r>
        <w:rPr>
          <w:i/>
        </w:rPr>
        <w:t>plan's</w:t>
      </w:r>
      <w:r>
        <w:t xml:space="preserve"> Included Minutes, </w:t>
      </w:r>
      <w:r>
        <w:rPr>
          <w:i/>
        </w:rPr>
        <w:t>you</w:t>
      </w:r>
      <w:r>
        <w:t xml:space="preserve"> will be automatically get more minutes ("</w:t>
      </w:r>
      <w:r>
        <w:rPr>
          <w:b/>
        </w:rPr>
        <w:t>Additional Minutes</w:t>
      </w:r>
      <w:r>
        <w:t>"), as set out in Table 3 below.</w:t>
      </w:r>
    </w:p>
    <w:p w14:paraId="721E8F61" w14:textId="77777777" w:rsidR="000D07EA" w:rsidRDefault="00BE7C89">
      <w:pPr>
        <w:pStyle w:val="Heading7"/>
      </w:pPr>
      <w:r>
        <w:t xml:space="preserve">If </w:t>
      </w:r>
      <w:r>
        <w:rPr>
          <w:i/>
        </w:rPr>
        <w:t>you</w:t>
      </w:r>
      <w:r>
        <w:t xml:space="preserve"> exceed </w:t>
      </w:r>
      <w:r>
        <w:rPr>
          <w:i/>
        </w:rPr>
        <w:t>your</w:t>
      </w:r>
      <w:r>
        <w:t xml:space="preserve"> </w:t>
      </w:r>
      <w:r>
        <w:rPr>
          <w:i/>
        </w:rPr>
        <w:t>plan's</w:t>
      </w:r>
      <w:r>
        <w:t xml:space="preserve"> Included Data, </w:t>
      </w:r>
      <w:r>
        <w:rPr>
          <w:i/>
        </w:rPr>
        <w:t>you</w:t>
      </w:r>
      <w:r>
        <w:t xml:space="preserve"> will automatically get more data in 1GB increments ("</w:t>
      </w:r>
      <w:r>
        <w:rPr>
          <w:b/>
        </w:rPr>
        <w:t>Additional Data</w:t>
      </w:r>
      <w:r>
        <w:t xml:space="preserve">"), and be charged $10 per 1GB. </w:t>
      </w:r>
    </w:p>
    <w:p w14:paraId="196F758D" w14:textId="77777777" w:rsidR="000D07EA" w:rsidRDefault="00BE7C89">
      <w:pPr>
        <w:pStyle w:val="Heading7"/>
      </w:pPr>
      <w:r>
        <w:t xml:space="preserve">Any unused portion of </w:t>
      </w:r>
      <w:r>
        <w:rPr>
          <w:i/>
        </w:rPr>
        <w:t>your</w:t>
      </w:r>
      <w:r>
        <w:t xml:space="preserve"> </w:t>
      </w:r>
      <w:r>
        <w:rPr>
          <w:i/>
        </w:rPr>
        <w:t>plan's</w:t>
      </w:r>
      <w:r>
        <w:t xml:space="preserve"> Included or Additional Minutes or Included or Additional Data expires at the end of each month and does not roll over into the next month.</w:t>
      </w:r>
    </w:p>
    <w:p w14:paraId="63FD58B2" w14:textId="77777777" w:rsidR="000D07EA" w:rsidRDefault="00BE7C89">
      <w:pPr>
        <w:pStyle w:val="Heading7"/>
        <w:rPr>
          <w:b/>
        </w:rPr>
      </w:pPr>
      <w:r>
        <w:rPr>
          <w:i/>
        </w:rPr>
        <w:t>You</w:t>
      </w:r>
      <w:r>
        <w:t xml:space="preserve"> must pay </w:t>
      </w:r>
      <w:r>
        <w:rPr>
          <w:i/>
        </w:rPr>
        <w:t>us</w:t>
      </w:r>
      <w:r>
        <w:t xml:space="preserve"> for use of any services not included in </w:t>
      </w:r>
      <w:r>
        <w:rPr>
          <w:i/>
        </w:rPr>
        <w:t>your</w:t>
      </w:r>
      <w:r>
        <w:t xml:space="preserve"> plan's Included Minutes or Included Data as set out in Table 2 below.</w:t>
      </w:r>
    </w:p>
    <w:p w14:paraId="09408088" w14:textId="77777777" w:rsidR="000D07EA" w:rsidRDefault="00BE7C89">
      <w:pPr>
        <w:pStyle w:val="Heading6"/>
        <w:ind w:left="0" w:firstLine="0"/>
        <w:rPr>
          <w:snapToGrid w:val="0"/>
        </w:rPr>
      </w:pPr>
      <w:bookmarkStart w:id="911" w:name="_Toc410222128"/>
      <w:r>
        <w:rPr>
          <w:snapToGrid w:val="0"/>
        </w:rPr>
        <w:t>Data Sharing</w:t>
      </w:r>
      <w:bookmarkEnd w:id="911"/>
    </w:p>
    <w:p w14:paraId="0A8F890C" w14:textId="77777777" w:rsidR="000D07EA" w:rsidRDefault="00BE7C89">
      <w:pPr>
        <w:pStyle w:val="Heading7"/>
        <w:rPr>
          <w:snapToGrid w:val="0"/>
        </w:rPr>
      </w:pPr>
      <w:r>
        <w:rPr>
          <w:i/>
          <w:snapToGrid w:val="0"/>
        </w:rPr>
        <w:t>You</w:t>
      </w:r>
      <w:r>
        <w:rPr>
          <w:snapToGrid w:val="0"/>
        </w:rPr>
        <w:t xml:space="preserve"> can share the Included Data in </w:t>
      </w:r>
      <w:r>
        <w:rPr>
          <w:i/>
          <w:snapToGrid w:val="0"/>
        </w:rPr>
        <w:t>your</w:t>
      </w:r>
      <w:r>
        <w:rPr>
          <w:snapToGrid w:val="0"/>
        </w:rPr>
        <w:t xml:space="preserve"> My Plan Business SIM plan with up to five (5) SIM-ready mobile broadband devices (eg tablets, USB modems and laptops). </w:t>
      </w:r>
      <w:r>
        <w:rPr>
          <w:i/>
          <w:snapToGrid w:val="0"/>
        </w:rPr>
        <w:t>You</w:t>
      </w:r>
      <w:r>
        <w:rPr>
          <w:snapToGrid w:val="0"/>
        </w:rPr>
        <w:t xml:space="preserve"> must connect these mobile broadband devices to Shared Data Plans which have a $5 set up fee each and no ongoing monthly charges.</w:t>
      </w:r>
    </w:p>
    <w:p w14:paraId="3F894835" w14:textId="77777777" w:rsidR="000D07EA" w:rsidRDefault="00BE7C89">
      <w:pPr>
        <w:pStyle w:val="Heading7"/>
        <w:rPr>
          <w:snapToGrid w:val="0"/>
        </w:rPr>
      </w:pPr>
      <w:r>
        <w:rPr>
          <w:i/>
          <w:snapToGrid w:val="0"/>
        </w:rPr>
        <w:t>We</w:t>
      </w:r>
      <w:r>
        <w:rPr>
          <w:snapToGrid w:val="0"/>
        </w:rPr>
        <w:t xml:space="preserve"> may place a limit on the number of Shared Data Plans </w:t>
      </w:r>
      <w:r>
        <w:rPr>
          <w:i/>
          <w:snapToGrid w:val="0"/>
        </w:rPr>
        <w:t>you</w:t>
      </w:r>
      <w:r>
        <w:rPr>
          <w:snapToGrid w:val="0"/>
        </w:rPr>
        <w:t xml:space="preserve"> can have, based on </w:t>
      </w:r>
      <w:r>
        <w:rPr>
          <w:i/>
          <w:snapToGrid w:val="0"/>
        </w:rPr>
        <w:t>our</w:t>
      </w:r>
      <w:r>
        <w:rPr>
          <w:snapToGrid w:val="0"/>
        </w:rPr>
        <w:t xml:space="preserve"> credit criteria.</w:t>
      </w:r>
    </w:p>
    <w:p w14:paraId="10A3F199" w14:textId="77777777" w:rsidR="000D07EA" w:rsidRDefault="00BE7C89">
      <w:pPr>
        <w:pStyle w:val="Heading7"/>
        <w:rPr>
          <w:snapToGrid w:val="0"/>
        </w:rPr>
      </w:pPr>
      <w:r>
        <w:rPr>
          <w:snapToGrid w:val="0"/>
        </w:rPr>
        <w:t>Shared Data Plans do not have any Included Data, and cannot be used to make calls.</w:t>
      </w:r>
    </w:p>
    <w:p w14:paraId="7C7833F9" w14:textId="77777777" w:rsidR="000D07EA" w:rsidRDefault="00BE7C89">
      <w:pPr>
        <w:pStyle w:val="Heading7"/>
        <w:rPr>
          <w:snapToGrid w:val="0"/>
        </w:rPr>
      </w:pPr>
      <w:r>
        <w:rPr>
          <w:i/>
          <w:snapToGrid w:val="0"/>
        </w:rPr>
        <w:t>You</w:t>
      </w:r>
      <w:r>
        <w:rPr>
          <w:snapToGrid w:val="0"/>
        </w:rPr>
        <w:t xml:space="preserve"> can purchase one mobile broadband device per Shared Data Plan, and pay for it in full on </w:t>
      </w:r>
      <w:r>
        <w:rPr>
          <w:i/>
          <w:snapToGrid w:val="0"/>
        </w:rPr>
        <w:t>your</w:t>
      </w:r>
      <w:r>
        <w:rPr>
          <w:snapToGrid w:val="0"/>
        </w:rPr>
        <w:t xml:space="preserve"> first bill, or pay it off over 12 or 24 months on a </w:t>
      </w:r>
      <w:r>
        <w:rPr>
          <w:i/>
          <w:snapToGrid w:val="0"/>
        </w:rPr>
        <w:t>Mobile Equipment Payment Plan</w:t>
      </w:r>
      <w:r>
        <w:rPr>
          <w:snapToGrid w:val="0"/>
        </w:rPr>
        <w:t xml:space="preserve"> (see </w:t>
      </w:r>
      <w:r>
        <w:rPr>
          <w:i/>
        </w:rPr>
        <w:t>Appendix D</w:t>
      </w:r>
      <w:r>
        <w:rPr>
          <w:snapToGrid w:val="0"/>
        </w:rPr>
        <w:t>).</w:t>
      </w:r>
    </w:p>
    <w:p w14:paraId="2A6EDCE8" w14:textId="77777777" w:rsidR="000D07EA" w:rsidRDefault="00BE7C89">
      <w:pPr>
        <w:pStyle w:val="Heading7"/>
        <w:rPr>
          <w:snapToGrid w:val="0"/>
        </w:rPr>
      </w:pPr>
      <w:r>
        <w:rPr>
          <w:i/>
          <w:snapToGrid w:val="0"/>
        </w:rPr>
        <w:lastRenderedPageBreak/>
        <w:t>You</w:t>
      </w:r>
      <w:r>
        <w:rPr>
          <w:snapToGrid w:val="0"/>
        </w:rPr>
        <w:t xml:space="preserve"> can share the Included Data in your My Plan Business SIM plan with other mobiles on </w:t>
      </w:r>
      <w:r>
        <w:rPr>
          <w:i/>
          <w:snapToGrid w:val="0"/>
        </w:rPr>
        <w:t>your</w:t>
      </w:r>
      <w:r>
        <w:rPr>
          <w:snapToGrid w:val="0"/>
        </w:rPr>
        <w:t xml:space="preserve"> account which are also on </w:t>
      </w:r>
      <w:r>
        <w:t>My Plan Plus/My Plan Business (including SIM Only) plans</w:t>
      </w:r>
      <w:r>
        <w:rPr>
          <w:snapToGrid w:val="0"/>
        </w:rPr>
        <w:t xml:space="preserve">. </w:t>
      </w:r>
    </w:p>
    <w:p w14:paraId="7A1D7716" w14:textId="77777777" w:rsidR="000D07EA" w:rsidRDefault="00BE7C89">
      <w:pPr>
        <w:pStyle w:val="Heading7"/>
        <w:rPr>
          <w:snapToGrid w:val="0"/>
        </w:rPr>
      </w:pPr>
      <w:r>
        <w:rPr>
          <w:snapToGrid w:val="0"/>
        </w:rPr>
        <w:t xml:space="preserve">If </w:t>
      </w:r>
      <w:r>
        <w:rPr>
          <w:i/>
          <w:snapToGrid w:val="0"/>
        </w:rPr>
        <w:t>you</w:t>
      </w:r>
      <w:r>
        <w:rPr>
          <w:snapToGrid w:val="0"/>
        </w:rPr>
        <w:t xml:space="preserve"> have more than one of these </w:t>
      </w:r>
      <w:r>
        <w:rPr>
          <w:i/>
          <w:snapToGrid w:val="0"/>
        </w:rPr>
        <w:t>plans</w:t>
      </w:r>
      <w:r>
        <w:rPr>
          <w:snapToGrid w:val="0"/>
        </w:rPr>
        <w:t xml:space="preserve">, the Included Data on each of the plans adds together (data pool) for the mobiles to all use, and for any additional mobile broadband devices on Shared Data Plans to use. </w:t>
      </w:r>
    </w:p>
    <w:p w14:paraId="576E79C8" w14:textId="77777777" w:rsidR="000D07EA" w:rsidRDefault="00BE7C89">
      <w:pPr>
        <w:pStyle w:val="Heading7"/>
        <w:rPr>
          <w:snapToGrid w:val="0"/>
        </w:rPr>
      </w:pPr>
      <w:r>
        <w:rPr>
          <w:snapToGrid w:val="0"/>
        </w:rPr>
        <w:t xml:space="preserve">If </w:t>
      </w:r>
      <w:r>
        <w:rPr>
          <w:i/>
          <w:snapToGrid w:val="0"/>
        </w:rPr>
        <w:t>you</w:t>
      </w:r>
      <w:r>
        <w:rPr>
          <w:snapToGrid w:val="0"/>
        </w:rPr>
        <w:t xml:space="preserve"> do not want your services to share data, they need to be on separate billing accounts, or </w:t>
      </w:r>
      <w:r>
        <w:rPr>
          <w:i/>
          <w:snapToGrid w:val="0"/>
        </w:rPr>
        <w:t>you</w:t>
      </w:r>
      <w:r>
        <w:rPr>
          <w:snapToGrid w:val="0"/>
        </w:rPr>
        <w:t xml:space="preserve"> can connect </w:t>
      </w:r>
      <w:r>
        <w:rPr>
          <w:i/>
          <w:snapToGrid w:val="0"/>
        </w:rPr>
        <w:t>your</w:t>
      </w:r>
      <w:r>
        <w:rPr>
          <w:snapToGrid w:val="0"/>
        </w:rPr>
        <w:t xml:space="preserve"> mobile broadband device to a standalone Mobile Broadband Plan.</w:t>
      </w:r>
    </w:p>
    <w:p w14:paraId="4442D1FC" w14:textId="77777777" w:rsidR="000D07EA" w:rsidRDefault="00BE7C89">
      <w:pPr>
        <w:pStyle w:val="Heading7"/>
        <w:rPr>
          <w:snapToGrid w:val="0"/>
        </w:rPr>
      </w:pPr>
      <w:r>
        <w:rPr>
          <w:snapToGrid w:val="0"/>
        </w:rPr>
        <w:t>Data sharing is only available within Australia.</w:t>
      </w:r>
    </w:p>
    <w:p w14:paraId="527E92B4" w14:textId="77777777" w:rsidR="000D07EA" w:rsidRDefault="00BE7C89">
      <w:pPr>
        <w:pStyle w:val="Heading6"/>
        <w:ind w:left="0" w:firstLine="0"/>
        <w:rPr>
          <w:snapToGrid w:val="0"/>
        </w:rPr>
      </w:pPr>
      <w:bookmarkStart w:id="912" w:name="_Toc410222129"/>
      <w:r>
        <w:rPr>
          <w:snapToGrid w:val="0"/>
        </w:rPr>
        <w:t>Unlimited standard national SMS and MMS</w:t>
      </w:r>
      <w:bookmarkEnd w:id="912"/>
    </w:p>
    <w:p w14:paraId="5CCEDB48" w14:textId="77777777" w:rsidR="000D07EA" w:rsidRDefault="00BE7C89">
      <w:pPr>
        <w:pStyle w:val="BodyText"/>
        <w:ind w:left="720"/>
      </w:pPr>
      <w:r>
        <w:rPr>
          <w:i/>
        </w:rPr>
        <w:t>You</w:t>
      </w:r>
      <w:r>
        <w:t xml:space="preserve"> may send unlimited SMS and MMS to Australian mobiles from within Australia.</w:t>
      </w:r>
    </w:p>
    <w:p w14:paraId="06BF3579" w14:textId="77777777" w:rsidR="000D07EA" w:rsidRDefault="00BE7C89">
      <w:pPr>
        <w:pStyle w:val="BodyText"/>
        <w:ind w:left="720"/>
        <w:rPr>
          <w:i/>
          <w:u w:val="single"/>
        </w:rPr>
      </w:pPr>
      <w:r>
        <w:t xml:space="preserve">Unlimited SMS and MMS are only available for personal use and are not to be used for a commercial or non-ordinary purpose as set out in the Fair Go Policy. For further details refer to </w:t>
      </w:r>
      <w:hyperlink r:id="rId572" w:history="1">
        <w:r>
          <w:rPr>
            <w:rStyle w:val="Hyperlink"/>
            <w:i/>
          </w:rPr>
          <w:t>Appendix S</w:t>
        </w:r>
      </w:hyperlink>
      <w:r>
        <w:rPr>
          <w:i/>
        </w:rPr>
        <w:t>.</w:t>
      </w:r>
    </w:p>
    <w:p w14:paraId="70730E0A" w14:textId="77777777" w:rsidR="000D07EA" w:rsidRDefault="00BE7C89">
      <w:pPr>
        <w:pStyle w:val="BodyText"/>
        <w:ind w:left="720"/>
        <w:rPr>
          <w:b/>
        </w:rPr>
      </w:pPr>
      <w:r>
        <w:rPr>
          <w:b/>
        </w:rPr>
        <w:t>Table 1 –Plan Inclusions and Charges</w:t>
      </w:r>
    </w:p>
    <w:tbl>
      <w:tblPr>
        <w:tblW w:w="828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2070"/>
        <w:gridCol w:w="2070"/>
        <w:gridCol w:w="2070"/>
      </w:tblGrid>
      <w:tr w:rsidR="000D07EA" w14:paraId="44AE98A7" w14:textId="77777777">
        <w:trPr>
          <w:trHeight w:val="567"/>
        </w:trPr>
        <w:tc>
          <w:tcPr>
            <w:tcW w:w="2070" w:type="dxa"/>
            <w:shd w:val="clear" w:color="auto" w:fill="auto"/>
          </w:tcPr>
          <w:p w14:paraId="08EE807C" w14:textId="77777777" w:rsidR="000D07EA" w:rsidRDefault="000D07EA">
            <w:pPr>
              <w:pStyle w:val="BodyText"/>
              <w:spacing w:before="100" w:after="100"/>
            </w:pPr>
          </w:p>
        </w:tc>
        <w:tc>
          <w:tcPr>
            <w:tcW w:w="2070" w:type="dxa"/>
            <w:vAlign w:val="center"/>
          </w:tcPr>
          <w:p w14:paraId="40C3C96C" w14:textId="77777777" w:rsidR="000D07EA" w:rsidRDefault="00BE7C89">
            <w:pPr>
              <w:pStyle w:val="BodyText"/>
              <w:spacing w:before="100" w:after="100"/>
              <w:jc w:val="center"/>
              <w:rPr>
                <w:b/>
              </w:rPr>
            </w:pPr>
            <w:r>
              <w:rPr>
                <w:b/>
              </w:rPr>
              <w:t>$30 My Plan Business SIM</w:t>
            </w:r>
          </w:p>
        </w:tc>
        <w:tc>
          <w:tcPr>
            <w:tcW w:w="2070" w:type="dxa"/>
            <w:shd w:val="clear" w:color="auto" w:fill="auto"/>
            <w:vAlign w:val="center"/>
          </w:tcPr>
          <w:p w14:paraId="32130CCD" w14:textId="77777777" w:rsidR="000D07EA" w:rsidRDefault="00BE7C89">
            <w:pPr>
              <w:pStyle w:val="BodyText"/>
              <w:spacing w:before="100" w:after="100"/>
              <w:jc w:val="center"/>
              <w:rPr>
                <w:b/>
              </w:rPr>
            </w:pPr>
            <w:r>
              <w:rPr>
                <w:b/>
              </w:rPr>
              <w:t>$45 My Plan Business SIM</w:t>
            </w:r>
          </w:p>
        </w:tc>
        <w:tc>
          <w:tcPr>
            <w:tcW w:w="2070" w:type="dxa"/>
            <w:shd w:val="clear" w:color="auto" w:fill="auto"/>
          </w:tcPr>
          <w:p w14:paraId="1FDEE2C6" w14:textId="77777777" w:rsidR="000D07EA" w:rsidRDefault="00BE7C89">
            <w:pPr>
              <w:pStyle w:val="BodyText"/>
              <w:spacing w:before="100" w:after="100"/>
              <w:jc w:val="center"/>
              <w:rPr>
                <w:b/>
              </w:rPr>
            </w:pPr>
            <w:r>
              <w:rPr>
                <w:b/>
              </w:rPr>
              <w:t>$60 My Plan Business SIM</w:t>
            </w:r>
          </w:p>
        </w:tc>
      </w:tr>
      <w:tr w:rsidR="000D07EA" w14:paraId="4BDA8A0D" w14:textId="77777777">
        <w:tc>
          <w:tcPr>
            <w:tcW w:w="2070" w:type="dxa"/>
            <w:shd w:val="clear" w:color="auto" w:fill="auto"/>
          </w:tcPr>
          <w:p w14:paraId="79230685" w14:textId="77777777" w:rsidR="000D07EA" w:rsidRDefault="00BE7C89">
            <w:pPr>
              <w:pStyle w:val="BodyText"/>
              <w:spacing w:before="100" w:after="100"/>
              <w:rPr>
                <w:b/>
              </w:rPr>
            </w:pPr>
            <w:r>
              <w:rPr>
                <w:b/>
              </w:rPr>
              <w:t>Minimum Monthly charge</w:t>
            </w:r>
          </w:p>
        </w:tc>
        <w:tc>
          <w:tcPr>
            <w:tcW w:w="2070" w:type="dxa"/>
            <w:vAlign w:val="center"/>
          </w:tcPr>
          <w:p w14:paraId="4FBE23F0" w14:textId="77777777" w:rsidR="000D07EA" w:rsidRDefault="00BE7C89">
            <w:pPr>
              <w:pStyle w:val="BodyText"/>
              <w:spacing w:before="100" w:after="100"/>
              <w:jc w:val="center"/>
            </w:pPr>
            <w:r>
              <w:t>$30</w:t>
            </w:r>
          </w:p>
        </w:tc>
        <w:tc>
          <w:tcPr>
            <w:tcW w:w="2070" w:type="dxa"/>
            <w:shd w:val="clear" w:color="auto" w:fill="auto"/>
            <w:vAlign w:val="center"/>
          </w:tcPr>
          <w:p w14:paraId="4C757F56" w14:textId="77777777" w:rsidR="000D07EA" w:rsidRDefault="00BE7C89">
            <w:pPr>
              <w:pStyle w:val="BodyText"/>
              <w:spacing w:before="100" w:after="100"/>
              <w:jc w:val="center"/>
            </w:pPr>
            <w:r>
              <w:t>$45</w:t>
            </w:r>
          </w:p>
        </w:tc>
        <w:tc>
          <w:tcPr>
            <w:tcW w:w="2070" w:type="dxa"/>
            <w:shd w:val="clear" w:color="auto" w:fill="auto"/>
            <w:vAlign w:val="center"/>
          </w:tcPr>
          <w:p w14:paraId="52A2D537" w14:textId="77777777" w:rsidR="000D07EA" w:rsidRDefault="00BE7C89">
            <w:pPr>
              <w:pStyle w:val="BodyText"/>
              <w:spacing w:before="100" w:after="100"/>
              <w:jc w:val="center"/>
            </w:pPr>
            <w:r>
              <w:t>$60</w:t>
            </w:r>
          </w:p>
        </w:tc>
      </w:tr>
      <w:tr w:rsidR="000D07EA" w14:paraId="03F42F5E" w14:textId="77777777">
        <w:tc>
          <w:tcPr>
            <w:tcW w:w="2070" w:type="dxa"/>
            <w:shd w:val="clear" w:color="auto" w:fill="auto"/>
          </w:tcPr>
          <w:p w14:paraId="19EF0438" w14:textId="77777777" w:rsidR="000D07EA" w:rsidRDefault="00BE7C89">
            <w:pPr>
              <w:pStyle w:val="BodyText"/>
              <w:spacing w:before="100" w:after="100"/>
              <w:rPr>
                <w:b/>
              </w:rPr>
            </w:pPr>
            <w:r>
              <w:rPr>
                <w:b/>
              </w:rPr>
              <w:t>Included Data</w:t>
            </w:r>
          </w:p>
        </w:tc>
        <w:tc>
          <w:tcPr>
            <w:tcW w:w="2070" w:type="dxa"/>
            <w:vAlign w:val="center"/>
          </w:tcPr>
          <w:p w14:paraId="0181969D" w14:textId="77777777" w:rsidR="000D07EA" w:rsidRDefault="00BE7C89">
            <w:pPr>
              <w:pStyle w:val="BodyText"/>
              <w:spacing w:before="100" w:after="100"/>
              <w:jc w:val="center"/>
            </w:pPr>
            <w:r>
              <w:t>500MB</w:t>
            </w:r>
          </w:p>
        </w:tc>
        <w:tc>
          <w:tcPr>
            <w:tcW w:w="2070" w:type="dxa"/>
            <w:shd w:val="clear" w:color="auto" w:fill="auto"/>
            <w:vAlign w:val="center"/>
          </w:tcPr>
          <w:p w14:paraId="637BB656" w14:textId="77777777" w:rsidR="000D07EA" w:rsidRDefault="00BE7C89">
            <w:pPr>
              <w:pStyle w:val="BodyText"/>
              <w:spacing w:before="100" w:after="100"/>
              <w:jc w:val="center"/>
            </w:pPr>
            <w:r>
              <w:t>2GB</w:t>
            </w:r>
          </w:p>
        </w:tc>
        <w:tc>
          <w:tcPr>
            <w:tcW w:w="2070" w:type="dxa"/>
            <w:shd w:val="clear" w:color="auto" w:fill="auto"/>
            <w:vAlign w:val="center"/>
          </w:tcPr>
          <w:p w14:paraId="1C0EEF04" w14:textId="77777777" w:rsidR="000D07EA" w:rsidRDefault="00BE7C89">
            <w:pPr>
              <w:pStyle w:val="BodyText"/>
              <w:spacing w:before="100" w:after="100"/>
              <w:jc w:val="center"/>
            </w:pPr>
            <w:r>
              <w:t>5GB</w:t>
            </w:r>
          </w:p>
        </w:tc>
      </w:tr>
      <w:tr w:rsidR="000D07EA" w14:paraId="31F4264F" w14:textId="77777777">
        <w:tc>
          <w:tcPr>
            <w:tcW w:w="2070" w:type="dxa"/>
            <w:shd w:val="clear" w:color="auto" w:fill="auto"/>
          </w:tcPr>
          <w:p w14:paraId="49C9E47E" w14:textId="77777777" w:rsidR="000D07EA" w:rsidRDefault="00BE7C89">
            <w:pPr>
              <w:pStyle w:val="BodyText"/>
              <w:spacing w:before="100" w:after="100"/>
              <w:rPr>
                <w:b/>
              </w:rPr>
            </w:pPr>
            <w:r>
              <w:rPr>
                <w:b/>
              </w:rPr>
              <w:t xml:space="preserve">Included Minutes </w:t>
            </w:r>
          </w:p>
        </w:tc>
        <w:tc>
          <w:tcPr>
            <w:tcW w:w="2070" w:type="dxa"/>
            <w:vAlign w:val="center"/>
          </w:tcPr>
          <w:p w14:paraId="614F8A37" w14:textId="77777777" w:rsidR="000D07EA" w:rsidRDefault="00BE7C89">
            <w:pPr>
              <w:pStyle w:val="BodyText"/>
              <w:spacing w:before="100" w:after="100"/>
              <w:jc w:val="center"/>
            </w:pPr>
            <w:r>
              <w:t>Up to</w:t>
            </w:r>
          </w:p>
          <w:p w14:paraId="43765505" w14:textId="77777777" w:rsidR="000D07EA" w:rsidRDefault="00BE7C89">
            <w:pPr>
              <w:pStyle w:val="BodyText"/>
              <w:spacing w:before="100" w:after="100"/>
              <w:jc w:val="center"/>
            </w:pPr>
            <w:r>
              <w:t>300 minutes</w:t>
            </w:r>
          </w:p>
        </w:tc>
        <w:tc>
          <w:tcPr>
            <w:tcW w:w="2070" w:type="dxa"/>
            <w:shd w:val="clear" w:color="auto" w:fill="auto"/>
            <w:vAlign w:val="center"/>
          </w:tcPr>
          <w:p w14:paraId="2DA87004" w14:textId="77777777" w:rsidR="000D07EA" w:rsidRDefault="00BE7C89">
            <w:pPr>
              <w:pStyle w:val="BodyText"/>
              <w:spacing w:before="100" w:after="100"/>
              <w:jc w:val="center"/>
            </w:pPr>
            <w:r>
              <w:t>Unlimited minutes</w:t>
            </w:r>
          </w:p>
        </w:tc>
        <w:tc>
          <w:tcPr>
            <w:tcW w:w="2070" w:type="dxa"/>
            <w:shd w:val="clear" w:color="auto" w:fill="auto"/>
            <w:vAlign w:val="center"/>
          </w:tcPr>
          <w:p w14:paraId="31DE2312" w14:textId="77777777" w:rsidR="000D07EA" w:rsidRDefault="00BE7C89">
            <w:pPr>
              <w:pStyle w:val="BodyText"/>
              <w:spacing w:before="100" w:after="100"/>
              <w:jc w:val="center"/>
            </w:pPr>
            <w:r>
              <w:t>Unlimited minutes</w:t>
            </w:r>
          </w:p>
        </w:tc>
      </w:tr>
      <w:tr w:rsidR="000D07EA" w14:paraId="1E3373DF" w14:textId="77777777">
        <w:tc>
          <w:tcPr>
            <w:tcW w:w="2070" w:type="dxa"/>
            <w:shd w:val="clear" w:color="auto" w:fill="auto"/>
          </w:tcPr>
          <w:p w14:paraId="7E6E6416" w14:textId="77777777" w:rsidR="000D07EA" w:rsidRDefault="00BE7C89">
            <w:pPr>
              <w:pStyle w:val="BodyText"/>
              <w:spacing w:before="100" w:after="100"/>
              <w:rPr>
                <w:b/>
              </w:rPr>
            </w:pPr>
            <w:r>
              <w:rPr>
                <w:b/>
              </w:rPr>
              <w:t xml:space="preserve">Standard national SMS </w:t>
            </w:r>
            <w:r>
              <w:t>(per SMS of up to 160 standard characters)</w:t>
            </w:r>
          </w:p>
        </w:tc>
        <w:tc>
          <w:tcPr>
            <w:tcW w:w="2070" w:type="dxa"/>
            <w:vAlign w:val="center"/>
          </w:tcPr>
          <w:p w14:paraId="6C029374" w14:textId="77777777" w:rsidR="000D07EA" w:rsidRDefault="00BE7C89">
            <w:pPr>
              <w:pStyle w:val="BodyText"/>
              <w:spacing w:before="100" w:after="100"/>
              <w:jc w:val="center"/>
            </w:pPr>
            <w:r>
              <w:t>Unlimited</w:t>
            </w:r>
          </w:p>
        </w:tc>
        <w:tc>
          <w:tcPr>
            <w:tcW w:w="2070" w:type="dxa"/>
            <w:shd w:val="clear" w:color="auto" w:fill="auto"/>
            <w:vAlign w:val="center"/>
          </w:tcPr>
          <w:p w14:paraId="39DFC5E6" w14:textId="77777777" w:rsidR="000D07EA" w:rsidRDefault="00BE7C89">
            <w:pPr>
              <w:pStyle w:val="BodyText"/>
              <w:spacing w:before="100" w:after="100"/>
              <w:jc w:val="center"/>
            </w:pPr>
            <w:r>
              <w:t>Unlimited</w:t>
            </w:r>
          </w:p>
        </w:tc>
        <w:tc>
          <w:tcPr>
            <w:tcW w:w="2070" w:type="dxa"/>
            <w:shd w:val="clear" w:color="auto" w:fill="auto"/>
            <w:vAlign w:val="center"/>
          </w:tcPr>
          <w:p w14:paraId="58B7CCAA" w14:textId="77777777" w:rsidR="000D07EA" w:rsidRDefault="00BE7C89">
            <w:pPr>
              <w:pStyle w:val="BodyText"/>
              <w:spacing w:before="100" w:after="100"/>
              <w:jc w:val="center"/>
            </w:pPr>
            <w:r>
              <w:t>Unlimited</w:t>
            </w:r>
          </w:p>
        </w:tc>
      </w:tr>
      <w:tr w:rsidR="000D07EA" w14:paraId="6AB18750" w14:textId="77777777">
        <w:tc>
          <w:tcPr>
            <w:tcW w:w="2070" w:type="dxa"/>
            <w:shd w:val="clear" w:color="auto" w:fill="auto"/>
          </w:tcPr>
          <w:p w14:paraId="36F0EAE2" w14:textId="77777777" w:rsidR="000D07EA" w:rsidRDefault="00BE7C89">
            <w:pPr>
              <w:pStyle w:val="BodyText"/>
              <w:spacing w:before="100" w:after="100"/>
              <w:rPr>
                <w:b/>
              </w:rPr>
            </w:pPr>
            <w:r>
              <w:rPr>
                <w:b/>
              </w:rPr>
              <w:t xml:space="preserve">Standard national MMS </w:t>
            </w:r>
            <w:r>
              <w:t>(per message)</w:t>
            </w:r>
          </w:p>
        </w:tc>
        <w:tc>
          <w:tcPr>
            <w:tcW w:w="2070" w:type="dxa"/>
            <w:vAlign w:val="center"/>
          </w:tcPr>
          <w:p w14:paraId="536FB4C5" w14:textId="77777777" w:rsidR="000D07EA" w:rsidRDefault="00BE7C89">
            <w:pPr>
              <w:pStyle w:val="BodyText"/>
              <w:spacing w:before="100" w:after="100"/>
              <w:jc w:val="center"/>
            </w:pPr>
            <w:r>
              <w:t>Unlimited</w:t>
            </w:r>
          </w:p>
        </w:tc>
        <w:tc>
          <w:tcPr>
            <w:tcW w:w="2070" w:type="dxa"/>
            <w:shd w:val="clear" w:color="auto" w:fill="auto"/>
            <w:vAlign w:val="center"/>
          </w:tcPr>
          <w:p w14:paraId="7F76CD24" w14:textId="77777777" w:rsidR="000D07EA" w:rsidRDefault="00BE7C89">
            <w:pPr>
              <w:pStyle w:val="BodyText"/>
              <w:spacing w:before="100" w:after="100"/>
              <w:jc w:val="center"/>
            </w:pPr>
            <w:r>
              <w:t>Unlimited</w:t>
            </w:r>
          </w:p>
        </w:tc>
        <w:tc>
          <w:tcPr>
            <w:tcW w:w="2070" w:type="dxa"/>
            <w:shd w:val="clear" w:color="auto" w:fill="auto"/>
            <w:vAlign w:val="center"/>
          </w:tcPr>
          <w:p w14:paraId="0BA8EDA5" w14:textId="77777777" w:rsidR="000D07EA" w:rsidRDefault="00BE7C89">
            <w:pPr>
              <w:pStyle w:val="BodyText"/>
              <w:spacing w:before="100" w:after="100"/>
              <w:jc w:val="center"/>
            </w:pPr>
            <w:r>
              <w:t>Unlimited</w:t>
            </w:r>
          </w:p>
        </w:tc>
      </w:tr>
    </w:tbl>
    <w:p w14:paraId="37A106FE" w14:textId="77777777" w:rsidR="000D07EA" w:rsidRDefault="000D07EA">
      <w:pPr>
        <w:pStyle w:val="BodyText"/>
      </w:pPr>
    </w:p>
    <w:p w14:paraId="37960C93" w14:textId="77777777" w:rsidR="000D07EA" w:rsidRDefault="00BE7C89">
      <w:pPr>
        <w:pStyle w:val="BodyText"/>
        <w:ind w:left="720"/>
        <w:rPr>
          <w:b/>
        </w:rPr>
      </w:pPr>
      <w:r>
        <w:rPr>
          <w:b/>
        </w:rPr>
        <w:t>Table 2 – Other usage types and charges</w:t>
      </w:r>
    </w:p>
    <w:tbl>
      <w:tblPr>
        <w:tblW w:w="4480"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4"/>
        <w:gridCol w:w="4564"/>
      </w:tblGrid>
      <w:tr w:rsidR="000D07EA" w14:paraId="6EF11CF0" w14:textId="77777777">
        <w:tc>
          <w:tcPr>
            <w:tcW w:w="2500" w:type="pct"/>
            <w:shd w:val="clear" w:color="auto" w:fill="auto"/>
          </w:tcPr>
          <w:p w14:paraId="126D3620" w14:textId="77777777" w:rsidR="000D07EA" w:rsidRDefault="00BE7C89">
            <w:pPr>
              <w:pStyle w:val="BodyText"/>
              <w:spacing w:before="100" w:after="100"/>
              <w:rPr>
                <w:b/>
              </w:rPr>
            </w:pPr>
            <w:r>
              <w:rPr>
                <w:b/>
              </w:rPr>
              <w:t>Usage type</w:t>
            </w:r>
          </w:p>
        </w:tc>
        <w:tc>
          <w:tcPr>
            <w:tcW w:w="2500" w:type="pct"/>
            <w:shd w:val="clear" w:color="auto" w:fill="auto"/>
            <w:vAlign w:val="center"/>
          </w:tcPr>
          <w:p w14:paraId="02C2317C" w14:textId="77777777" w:rsidR="000D07EA" w:rsidRDefault="00BE7C89">
            <w:pPr>
              <w:pStyle w:val="BodyText"/>
              <w:spacing w:before="100" w:after="100"/>
              <w:jc w:val="center"/>
              <w:rPr>
                <w:b/>
              </w:rPr>
            </w:pPr>
            <w:r>
              <w:rPr>
                <w:b/>
              </w:rPr>
              <w:t>Charge</w:t>
            </w:r>
          </w:p>
        </w:tc>
      </w:tr>
      <w:tr w:rsidR="000D07EA" w14:paraId="291AD397" w14:textId="77777777">
        <w:trPr>
          <w:trHeight w:val="58"/>
        </w:trPr>
        <w:tc>
          <w:tcPr>
            <w:tcW w:w="2500" w:type="pct"/>
            <w:shd w:val="clear" w:color="auto" w:fill="auto"/>
          </w:tcPr>
          <w:p w14:paraId="32F01A8D" w14:textId="77777777" w:rsidR="000D07EA" w:rsidRDefault="00BE7C89">
            <w:pPr>
              <w:pStyle w:val="BodyText"/>
              <w:spacing w:before="100" w:after="100"/>
              <w:rPr>
                <w:b/>
              </w:rPr>
            </w:pPr>
            <w:r>
              <w:rPr>
                <w:b/>
              </w:rPr>
              <w:t xml:space="preserve">National video calls </w:t>
            </w:r>
            <w:r>
              <w:t>(per minute)</w:t>
            </w:r>
          </w:p>
        </w:tc>
        <w:tc>
          <w:tcPr>
            <w:tcW w:w="2500" w:type="pct"/>
            <w:shd w:val="clear" w:color="auto" w:fill="auto"/>
            <w:vAlign w:val="center"/>
          </w:tcPr>
          <w:p w14:paraId="40376B44" w14:textId="77777777" w:rsidR="000D07EA" w:rsidRDefault="00BE7C89">
            <w:pPr>
              <w:pStyle w:val="BodyText"/>
              <w:spacing w:before="100" w:after="100"/>
              <w:jc w:val="center"/>
            </w:pPr>
            <w:r>
              <w:t>$1.00 per min + 40c flagfall</w:t>
            </w:r>
          </w:p>
        </w:tc>
      </w:tr>
      <w:tr w:rsidR="000D07EA" w14:paraId="656197E7" w14:textId="77777777">
        <w:trPr>
          <w:trHeight w:val="58"/>
        </w:trPr>
        <w:tc>
          <w:tcPr>
            <w:tcW w:w="2500" w:type="pct"/>
            <w:shd w:val="clear" w:color="auto" w:fill="auto"/>
          </w:tcPr>
          <w:p w14:paraId="05341110" w14:textId="77777777" w:rsidR="000D07EA" w:rsidRDefault="00BE7C89">
            <w:pPr>
              <w:pStyle w:val="BodyText"/>
              <w:spacing w:before="100" w:after="100"/>
              <w:rPr>
                <w:b/>
              </w:rPr>
            </w:pPr>
            <w:r>
              <w:rPr>
                <w:b/>
              </w:rPr>
              <w:t xml:space="preserve">VoiceMail Deposits </w:t>
            </w:r>
          </w:p>
        </w:tc>
        <w:tc>
          <w:tcPr>
            <w:tcW w:w="2500" w:type="pct"/>
            <w:shd w:val="clear" w:color="auto" w:fill="auto"/>
          </w:tcPr>
          <w:p w14:paraId="397F580C" w14:textId="77777777" w:rsidR="000D07EA" w:rsidRDefault="00BE7C89">
            <w:pPr>
              <w:pStyle w:val="BodyText"/>
              <w:spacing w:before="100" w:after="100"/>
              <w:jc w:val="center"/>
            </w:pPr>
            <w:r>
              <w:t>$0 per minute</w:t>
            </w:r>
          </w:p>
        </w:tc>
      </w:tr>
      <w:tr w:rsidR="000D07EA" w14:paraId="47ABD9A3" w14:textId="77777777">
        <w:tc>
          <w:tcPr>
            <w:tcW w:w="2500" w:type="pct"/>
            <w:shd w:val="clear" w:color="auto" w:fill="auto"/>
          </w:tcPr>
          <w:p w14:paraId="6C0D670F" w14:textId="77777777" w:rsidR="000D07EA" w:rsidRDefault="00BE7C89">
            <w:pPr>
              <w:pStyle w:val="BodyText"/>
              <w:spacing w:before="100" w:after="100"/>
              <w:rPr>
                <w:b/>
              </w:rPr>
            </w:pPr>
            <w:r>
              <w:rPr>
                <w:b/>
              </w:rPr>
              <w:t>Voicemail Diversions</w:t>
            </w:r>
          </w:p>
        </w:tc>
        <w:tc>
          <w:tcPr>
            <w:tcW w:w="2500" w:type="pct"/>
            <w:shd w:val="clear" w:color="auto" w:fill="auto"/>
          </w:tcPr>
          <w:p w14:paraId="5937AB1A" w14:textId="77777777" w:rsidR="000D07EA" w:rsidRDefault="00BE7C89">
            <w:pPr>
              <w:pStyle w:val="BodyText"/>
              <w:spacing w:before="100" w:after="100"/>
              <w:jc w:val="center"/>
            </w:pPr>
            <w:r>
              <w:t>$0 per minute</w:t>
            </w:r>
          </w:p>
        </w:tc>
      </w:tr>
      <w:tr w:rsidR="000D07EA" w14:paraId="57E12E74" w14:textId="77777777">
        <w:tc>
          <w:tcPr>
            <w:tcW w:w="2500" w:type="pct"/>
            <w:shd w:val="clear" w:color="auto" w:fill="auto"/>
          </w:tcPr>
          <w:p w14:paraId="26C93036" w14:textId="77777777" w:rsidR="000D07EA" w:rsidRDefault="00BE7C89">
            <w:pPr>
              <w:pStyle w:val="BodyText"/>
              <w:spacing w:before="100" w:after="100"/>
              <w:rPr>
                <w:b/>
              </w:rPr>
            </w:pPr>
            <w:r>
              <w:rPr>
                <w:b/>
              </w:rPr>
              <w:t xml:space="preserve">1800 numbers </w:t>
            </w:r>
          </w:p>
        </w:tc>
        <w:tc>
          <w:tcPr>
            <w:tcW w:w="2500" w:type="pct"/>
            <w:shd w:val="clear" w:color="auto" w:fill="auto"/>
            <w:vAlign w:val="center"/>
          </w:tcPr>
          <w:p w14:paraId="0F4B53F9" w14:textId="77777777" w:rsidR="000D07EA" w:rsidRDefault="00BE7C89">
            <w:pPr>
              <w:pStyle w:val="BodyText"/>
              <w:spacing w:before="100" w:after="100"/>
              <w:jc w:val="center"/>
            </w:pPr>
            <w:r>
              <w:t>$0 per minute</w:t>
            </w:r>
          </w:p>
        </w:tc>
      </w:tr>
      <w:tr w:rsidR="000D07EA" w14:paraId="291D83CD" w14:textId="77777777">
        <w:tc>
          <w:tcPr>
            <w:tcW w:w="2500" w:type="pct"/>
            <w:shd w:val="clear" w:color="auto" w:fill="auto"/>
          </w:tcPr>
          <w:p w14:paraId="74BFFE6A" w14:textId="77777777" w:rsidR="000D07EA" w:rsidRDefault="00BE7C89">
            <w:pPr>
              <w:pStyle w:val="BodyText"/>
              <w:spacing w:before="100" w:after="100"/>
              <w:rPr>
                <w:b/>
              </w:rPr>
            </w:pPr>
            <w:r>
              <w:rPr>
                <w:b/>
              </w:rPr>
              <w:t xml:space="preserve">Directory Assistance 1223 </w:t>
            </w:r>
          </w:p>
        </w:tc>
        <w:tc>
          <w:tcPr>
            <w:tcW w:w="2500" w:type="pct"/>
            <w:shd w:val="clear" w:color="auto" w:fill="auto"/>
            <w:vAlign w:val="center"/>
          </w:tcPr>
          <w:p w14:paraId="04902664" w14:textId="77777777" w:rsidR="000D07EA" w:rsidRDefault="00BE7C89">
            <w:pPr>
              <w:pStyle w:val="BodyText"/>
              <w:spacing w:before="100" w:after="100"/>
              <w:jc w:val="center"/>
            </w:pPr>
            <w:r>
              <w:t>50c per call</w:t>
            </w:r>
          </w:p>
        </w:tc>
      </w:tr>
      <w:tr w:rsidR="000D07EA" w14:paraId="0EACB0EC" w14:textId="77777777">
        <w:tc>
          <w:tcPr>
            <w:tcW w:w="2500" w:type="pct"/>
            <w:shd w:val="clear" w:color="auto" w:fill="auto"/>
          </w:tcPr>
          <w:p w14:paraId="6C560F29" w14:textId="77777777" w:rsidR="000D07EA" w:rsidRDefault="00BE7C89">
            <w:pPr>
              <w:pStyle w:val="BodyText"/>
              <w:spacing w:before="100" w:after="100"/>
              <w:rPr>
                <w:b/>
              </w:rPr>
            </w:pPr>
            <w:r>
              <w:rPr>
                <w:b/>
              </w:rPr>
              <w:t>124 Yes</w:t>
            </w:r>
          </w:p>
        </w:tc>
        <w:tc>
          <w:tcPr>
            <w:tcW w:w="2500" w:type="pct"/>
            <w:shd w:val="clear" w:color="auto" w:fill="auto"/>
            <w:vAlign w:val="center"/>
          </w:tcPr>
          <w:p w14:paraId="3C9080DF" w14:textId="77777777" w:rsidR="000D07EA" w:rsidRDefault="00BE7C89">
            <w:pPr>
              <w:pStyle w:val="BodyText"/>
              <w:spacing w:before="100" w:after="100"/>
              <w:jc w:val="center"/>
            </w:pPr>
            <w:r>
              <w:t>90c per minute +$1.75c flagfall</w:t>
            </w:r>
          </w:p>
        </w:tc>
      </w:tr>
      <w:tr w:rsidR="000D07EA" w14:paraId="23BA0DED" w14:textId="77777777">
        <w:tc>
          <w:tcPr>
            <w:tcW w:w="2500" w:type="pct"/>
            <w:shd w:val="clear" w:color="auto" w:fill="auto"/>
          </w:tcPr>
          <w:p w14:paraId="120C1345" w14:textId="77777777" w:rsidR="000D07EA" w:rsidRDefault="00BE7C89">
            <w:pPr>
              <w:pStyle w:val="BodyText"/>
              <w:spacing w:before="100" w:after="100"/>
              <w:rPr>
                <w:b/>
              </w:rPr>
            </w:pPr>
            <w:r>
              <w:rPr>
                <w:b/>
              </w:rPr>
              <w:t xml:space="preserve">International voice calls </w:t>
            </w:r>
          </w:p>
        </w:tc>
        <w:tc>
          <w:tcPr>
            <w:tcW w:w="2500" w:type="pct"/>
            <w:shd w:val="clear" w:color="auto" w:fill="auto"/>
            <w:vAlign w:val="center"/>
          </w:tcPr>
          <w:p w14:paraId="744C071E" w14:textId="77777777" w:rsidR="000D07EA" w:rsidRDefault="00BE7C89">
            <w:pPr>
              <w:pStyle w:val="BodyText"/>
              <w:spacing w:before="100" w:after="100"/>
              <w:jc w:val="center"/>
            </w:pPr>
            <w:r>
              <w:t>See optus.com.au/international</w:t>
            </w:r>
          </w:p>
        </w:tc>
      </w:tr>
      <w:tr w:rsidR="000D07EA" w14:paraId="70E28C3A" w14:textId="77777777">
        <w:tc>
          <w:tcPr>
            <w:tcW w:w="2500" w:type="pct"/>
            <w:shd w:val="clear" w:color="auto" w:fill="auto"/>
          </w:tcPr>
          <w:p w14:paraId="33B4F2AC" w14:textId="77777777" w:rsidR="000D07EA" w:rsidRDefault="00BE7C89">
            <w:pPr>
              <w:pStyle w:val="BodyText"/>
              <w:spacing w:before="100" w:after="100"/>
              <w:rPr>
                <w:b/>
              </w:rPr>
            </w:pPr>
            <w:r>
              <w:rPr>
                <w:b/>
              </w:rPr>
              <w:t>International SMS</w:t>
            </w:r>
          </w:p>
        </w:tc>
        <w:tc>
          <w:tcPr>
            <w:tcW w:w="2500" w:type="pct"/>
            <w:shd w:val="clear" w:color="auto" w:fill="auto"/>
            <w:vAlign w:val="center"/>
          </w:tcPr>
          <w:p w14:paraId="3FCE8574" w14:textId="77777777" w:rsidR="000D07EA" w:rsidRDefault="00BE7C89">
            <w:pPr>
              <w:pStyle w:val="BodyText"/>
              <w:spacing w:before="100" w:after="100"/>
              <w:jc w:val="center"/>
            </w:pPr>
            <w:r>
              <w:t>50c per SMS up to 160 standard characters</w:t>
            </w:r>
          </w:p>
        </w:tc>
      </w:tr>
      <w:tr w:rsidR="000D07EA" w14:paraId="5EA3F279" w14:textId="77777777">
        <w:tc>
          <w:tcPr>
            <w:tcW w:w="2500" w:type="pct"/>
            <w:shd w:val="clear" w:color="auto" w:fill="auto"/>
          </w:tcPr>
          <w:p w14:paraId="3E2A8C26" w14:textId="77777777" w:rsidR="000D07EA" w:rsidRDefault="00BE7C89">
            <w:pPr>
              <w:pStyle w:val="BodyText"/>
              <w:spacing w:before="100" w:after="100"/>
              <w:rPr>
                <w:b/>
              </w:rPr>
            </w:pPr>
            <w:r>
              <w:rPr>
                <w:b/>
              </w:rPr>
              <w:lastRenderedPageBreak/>
              <w:t>International MMS</w:t>
            </w:r>
          </w:p>
        </w:tc>
        <w:tc>
          <w:tcPr>
            <w:tcW w:w="2500" w:type="pct"/>
            <w:shd w:val="clear" w:color="auto" w:fill="auto"/>
            <w:vAlign w:val="center"/>
          </w:tcPr>
          <w:p w14:paraId="014F6A0C" w14:textId="77777777" w:rsidR="000D07EA" w:rsidRDefault="00BE7C89">
            <w:pPr>
              <w:pStyle w:val="BodyText"/>
              <w:spacing w:before="100" w:after="100"/>
              <w:jc w:val="center"/>
            </w:pPr>
            <w:r>
              <w:t>75c per MMS</w:t>
            </w:r>
          </w:p>
        </w:tc>
      </w:tr>
      <w:tr w:rsidR="000D07EA" w14:paraId="39CE076D" w14:textId="77777777">
        <w:tc>
          <w:tcPr>
            <w:tcW w:w="2500" w:type="pct"/>
            <w:shd w:val="clear" w:color="auto" w:fill="auto"/>
          </w:tcPr>
          <w:p w14:paraId="5299FAED" w14:textId="77777777" w:rsidR="000D07EA" w:rsidRDefault="00BE7C89">
            <w:pPr>
              <w:pStyle w:val="BodyText"/>
              <w:spacing w:before="100" w:after="100"/>
              <w:rPr>
                <w:b/>
              </w:rPr>
            </w:pPr>
            <w:r>
              <w:rPr>
                <w:b/>
              </w:rPr>
              <w:t xml:space="preserve">International video calling </w:t>
            </w:r>
          </w:p>
        </w:tc>
        <w:tc>
          <w:tcPr>
            <w:tcW w:w="2500" w:type="pct"/>
            <w:shd w:val="clear" w:color="auto" w:fill="auto"/>
            <w:vAlign w:val="center"/>
          </w:tcPr>
          <w:p w14:paraId="783C3BC6" w14:textId="77777777" w:rsidR="000D07EA" w:rsidRDefault="00BE7C89">
            <w:pPr>
              <w:pStyle w:val="BodyText"/>
              <w:spacing w:before="100" w:after="100"/>
              <w:jc w:val="center"/>
            </w:pPr>
            <w:r>
              <w:t>$1.50 per minute +35c flagfall</w:t>
            </w:r>
          </w:p>
        </w:tc>
      </w:tr>
      <w:tr w:rsidR="000D07EA" w14:paraId="0E05EDF1" w14:textId="77777777">
        <w:tc>
          <w:tcPr>
            <w:tcW w:w="2500" w:type="pct"/>
            <w:shd w:val="clear" w:color="auto" w:fill="auto"/>
          </w:tcPr>
          <w:p w14:paraId="2FFFBB0A" w14:textId="77777777" w:rsidR="000D07EA" w:rsidRDefault="00BE7C89">
            <w:pPr>
              <w:pStyle w:val="BodyText"/>
              <w:spacing w:before="100" w:after="100"/>
              <w:rPr>
                <w:b/>
              </w:rPr>
            </w:pPr>
            <w:r>
              <w:rPr>
                <w:b/>
              </w:rPr>
              <w:t xml:space="preserve">International roaming </w:t>
            </w:r>
          </w:p>
        </w:tc>
        <w:tc>
          <w:tcPr>
            <w:tcW w:w="2500" w:type="pct"/>
            <w:shd w:val="clear" w:color="auto" w:fill="auto"/>
            <w:vAlign w:val="center"/>
          </w:tcPr>
          <w:p w14:paraId="00B72B54" w14:textId="77777777" w:rsidR="000D07EA" w:rsidRDefault="00BE7C89">
            <w:pPr>
              <w:pStyle w:val="BodyText"/>
              <w:spacing w:before="100" w:after="100"/>
              <w:jc w:val="center"/>
            </w:pPr>
            <w:r>
              <w:t>See optus.com.au/roaming</w:t>
            </w:r>
          </w:p>
        </w:tc>
      </w:tr>
    </w:tbl>
    <w:p w14:paraId="1485E16A" w14:textId="77777777" w:rsidR="000D07EA" w:rsidRDefault="000D07EA">
      <w:pPr>
        <w:pStyle w:val="BodyText"/>
      </w:pPr>
    </w:p>
    <w:p w14:paraId="6F255A96" w14:textId="77777777" w:rsidR="000D07EA" w:rsidRDefault="00BE7C89">
      <w:pPr>
        <w:pStyle w:val="BodyText"/>
        <w:ind w:left="720"/>
        <w:rPr>
          <w:b/>
        </w:rPr>
      </w:pPr>
      <w:r>
        <w:rPr>
          <w:b/>
        </w:rPr>
        <w:t>Table 3 – Additional Minutes and Charges</w:t>
      </w:r>
    </w:p>
    <w:tbl>
      <w:tblPr>
        <w:tblW w:w="747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295"/>
        <w:gridCol w:w="2295"/>
      </w:tblGrid>
      <w:tr w:rsidR="000D07EA" w14:paraId="6F33F709" w14:textId="77777777">
        <w:trPr>
          <w:trHeight w:val="58"/>
        </w:trPr>
        <w:tc>
          <w:tcPr>
            <w:tcW w:w="2880" w:type="dxa"/>
            <w:vMerge w:val="restart"/>
            <w:shd w:val="clear" w:color="auto" w:fill="auto"/>
          </w:tcPr>
          <w:p w14:paraId="07112219" w14:textId="77777777" w:rsidR="000D07EA" w:rsidRDefault="000D07EA">
            <w:pPr>
              <w:pStyle w:val="BodyText"/>
              <w:spacing w:before="100" w:after="100"/>
            </w:pPr>
          </w:p>
        </w:tc>
        <w:tc>
          <w:tcPr>
            <w:tcW w:w="4590" w:type="dxa"/>
            <w:gridSpan w:val="2"/>
          </w:tcPr>
          <w:p w14:paraId="3755BCAD" w14:textId="77777777" w:rsidR="000D07EA" w:rsidRDefault="00BE7C89">
            <w:pPr>
              <w:pStyle w:val="BodyText"/>
              <w:spacing w:before="100" w:after="100"/>
              <w:jc w:val="center"/>
              <w:rPr>
                <w:b/>
              </w:rPr>
            </w:pPr>
            <w:r>
              <w:rPr>
                <w:b/>
              </w:rPr>
              <w:t>$30 My Plan Business SIM</w:t>
            </w:r>
          </w:p>
        </w:tc>
      </w:tr>
      <w:tr w:rsidR="000D07EA" w14:paraId="6BCC5B1D" w14:textId="77777777">
        <w:tc>
          <w:tcPr>
            <w:tcW w:w="2880" w:type="dxa"/>
            <w:vMerge/>
            <w:shd w:val="clear" w:color="auto" w:fill="auto"/>
          </w:tcPr>
          <w:p w14:paraId="37990B55" w14:textId="77777777" w:rsidR="000D07EA" w:rsidRDefault="000D07EA">
            <w:pPr>
              <w:pStyle w:val="BodyText"/>
              <w:spacing w:before="100" w:after="100"/>
            </w:pPr>
          </w:p>
        </w:tc>
        <w:tc>
          <w:tcPr>
            <w:tcW w:w="2295" w:type="dxa"/>
          </w:tcPr>
          <w:p w14:paraId="0554877C" w14:textId="77777777" w:rsidR="000D07EA" w:rsidRDefault="00BE7C89">
            <w:pPr>
              <w:pStyle w:val="BodyText"/>
              <w:spacing w:before="100" w:after="100"/>
              <w:rPr>
                <w:b/>
              </w:rPr>
            </w:pPr>
            <w:r>
              <w:rPr>
                <w:b/>
              </w:rPr>
              <w:t>Included Minutes</w:t>
            </w:r>
          </w:p>
        </w:tc>
        <w:tc>
          <w:tcPr>
            <w:tcW w:w="2295" w:type="dxa"/>
          </w:tcPr>
          <w:p w14:paraId="16DE5E17" w14:textId="77777777" w:rsidR="000D07EA" w:rsidRDefault="00BE7C89">
            <w:pPr>
              <w:pStyle w:val="BodyText"/>
              <w:spacing w:before="100" w:after="100"/>
              <w:rPr>
                <w:b/>
              </w:rPr>
            </w:pPr>
            <w:r>
              <w:rPr>
                <w:b/>
              </w:rPr>
              <w:t>Cost of minutes</w:t>
            </w:r>
          </w:p>
        </w:tc>
      </w:tr>
      <w:tr w:rsidR="000D07EA" w14:paraId="56795DA6" w14:textId="77777777">
        <w:trPr>
          <w:trHeight w:val="58"/>
        </w:trPr>
        <w:tc>
          <w:tcPr>
            <w:tcW w:w="2880" w:type="dxa"/>
            <w:shd w:val="clear" w:color="auto" w:fill="BFBFBF"/>
          </w:tcPr>
          <w:p w14:paraId="19D061AC" w14:textId="77777777" w:rsidR="000D07EA" w:rsidRDefault="00BE7C89">
            <w:pPr>
              <w:pStyle w:val="BodyText"/>
              <w:spacing w:before="100" w:after="100"/>
              <w:rPr>
                <w:b/>
              </w:rPr>
            </w:pPr>
            <w:r>
              <w:rPr>
                <w:b/>
              </w:rPr>
              <w:t>Monthly Included Minutes</w:t>
            </w:r>
          </w:p>
        </w:tc>
        <w:tc>
          <w:tcPr>
            <w:tcW w:w="2295" w:type="dxa"/>
            <w:shd w:val="clear" w:color="auto" w:fill="BFBFBF"/>
          </w:tcPr>
          <w:p w14:paraId="6A3FB9F4" w14:textId="77777777" w:rsidR="000D07EA" w:rsidRDefault="00BE7C89">
            <w:pPr>
              <w:pStyle w:val="BodyText"/>
              <w:spacing w:before="100" w:after="100"/>
              <w:jc w:val="center"/>
            </w:pPr>
            <w:r>
              <w:t>Up to 300</w:t>
            </w:r>
          </w:p>
        </w:tc>
        <w:tc>
          <w:tcPr>
            <w:tcW w:w="2295" w:type="dxa"/>
            <w:shd w:val="clear" w:color="auto" w:fill="BFBFBF"/>
          </w:tcPr>
          <w:p w14:paraId="29CDC7DE" w14:textId="77777777" w:rsidR="000D07EA" w:rsidRDefault="00BE7C89">
            <w:pPr>
              <w:pStyle w:val="BodyText"/>
              <w:spacing w:before="100" w:after="100"/>
              <w:jc w:val="center"/>
            </w:pPr>
            <w:r>
              <w:t>$15</w:t>
            </w:r>
          </w:p>
        </w:tc>
      </w:tr>
      <w:tr w:rsidR="000D07EA" w14:paraId="21BFCC99" w14:textId="77777777">
        <w:tc>
          <w:tcPr>
            <w:tcW w:w="2880" w:type="dxa"/>
            <w:shd w:val="clear" w:color="auto" w:fill="auto"/>
          </w:tcPr>
          <w:p w14:paraId="090A8685" w14:textId="77777777" w:rsidR="000D07EA" w:rsidRDefault="00BE7C89">
            <w:pPr>
              <w:pStyle w:val="BodyText"/>
              <w:spacing w:before="100" w:after="100"/>
              <w:rPr>
                <w:b/>
              </w:rPr>
            </w:pPr>
            <w:r>
              <w:rPr>
                <w:b/>
              </w:rPr>
              <w:t>+$10</w:t>
            </w:r>
          </w:p>
        </w:tc>
        <w:tc>
          <w:tcPr>
            <w:tcW w:w="2295" w:type="dxa"/>
          </w:tcPr>
          <w:p w14:paraId="73D74E4A" w14:textId="77777777" w:rsidR="000D07EA" w:rsidRDefault="00BE7C89">
            <w:pPr>
              <w:pStyle w:val="BodyText"/>
              <w:spacing w:before="100" w:after="100"/>
              <w:jc w:val="center"/>
            </w:pPr>
            <w:r>
              <w:t>+200</w:t>
            </w:r>
          </w:p>
        </w:tc>
        <w:tc>
          <w:tcPr>
            <w:tcW w:w="2295" w:type="dxa"/>
          </w:tcPr>
          <w:p w14:paraId="25E37302" w14:textId="77777777" w:rsidR="000D07EA" w:rsidRDefault="00BE7C89">
            <w:pPr>
              <w:pStyle w:val="BodyText"/>
              <w:spacing w:before="100" w:after="100"/>
              <w:jc w:val="center"/>
            </w:pPr>
            <w:r>
              <w:t>$10</w:t>
            </w:r>
          </w:p>
        </w:tc>
      </w:tr>
      <w:tr w:rsidR="000D07EA" w14:paraId="14C86EB9" w14:textId="77777777">
        <w:tc>
          <w:tcPr>
            <w:tcW w:w="2880" w:type="dxa"/>
            <w:shd w:val="clear" w:color="auto" w:fill="auto"/>
          </w:tcPr>
          <w:p w14:paraId="5618DE40" w14:textId="77777777" w:rsidR="000D07EA" w:rsidRDefault="00BE7C89">
            <w:pPr>
              <w:pStyle w:val="BodyText"/>
              <w:spacing w:before="100" w:after="100"/>
              <w:rPr>
                <w:b/>
              </w:rPr>
            </w:pPr>
            <w:r>
              <w:rPr>
                <w:b/>
              </w:rPr>
              <w:t>+$10</w:t>
            </w:r>
          </w:p>
        </w:tc>
        <w:tc>
          <w:tcPr>
            <w:tcW w:w="2295" w:type="dxa"/>
          </w:tcPr>
          <w:p w14:paraId="131320D5" w14:textId="77777777" w:rsidR="000D07EA" w:rsidRDefault="00BE7C89">
            <w:pPr>
              <w:pStyle w:val="BodyText"/>
              <w:spacing w:before="100" w:after="100"/>
              <w:jc w:val="center"/>
            </w:pPr>
            <w:r>
              <w:t>Unlimited</w:t>
            </w:r>
          </w:p>
        </w:tc>
        <w:tc>
          <w:tcPr>
            <w:tcW w:w="2295" w:type="dxa"/>
          </w:tcPr>
          <w:p w14:paraId="5FDF4E37" w14:textId="77777777" w:rsidR="000D07EA" w:rsidRDefault="00BE7C89">
            <w:pPr>
              <w:pStyle w:val="BodyText"/>
              <w:spacing w:before="100" w:after="100"/>
              <w:jc w:val="center"/>
            </w:pPr>
            <w:r>
              <w:t>$10</w:t>
            </w:r>
          </w:p>
        </w:tc>
      </w:tr>
    </w:tbl>
    <w:p w14:paraId="684C6168" w14:textId="77777777" w:rsidR="000D07EA" w:rsidRDefault="000D07EA">
      <w:pPr>
        <w:pStyle w:val="BodyText"/>
      </w:pPr>
    </w:p>
    <w:p w14:paraId="5541C772" w14:textId="77777777" w:rsidR="000D07EA" w:rsidRDefault="00BE7C89">
      <w:pPr>
        <w:pStyle w:val="Heading6"/>
        <w:ind w:left="0" w:firstLine="0"/>
      </w:pPr>
      <w:bookmarkStart w:id="913" w:name="_Toc410222130"/>
      <w:r>
        <w:t>My Account</w:t>
      </w:r>
      <w:bookmarkEnd w:id="913"/>
    </w:p>
    <w:p w14:paraId="578D3322" w14:textId="77777777" w:rsidR="000D07EA" w:rsidRDefault="00BE7C89">
      <w:pPr>
        <w:pStyle w:val="BodyText"/>
        <w:ind w:left="72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service has used. If </w:t>
      </w:r>
      <w:r>
        <w:rPr>
          <w:i/>
        </w:rPr>
        <w:t>you</w:t>
      </w:r>
      <w:r>
        <w:t xml:space="preserve"> have more than 6 services on </w:t>
      </w:r>
      <w:r>
        <w:rPr>
          <w:i/>
        </w:rPr>
        <w:t xml:space="preserve">your </w:t>
      </w:r>
      <w:r>
        <w:t xml:space="preserve">account, My Account may not be suitable for viewing usage and managing </w:t>
      </w:r>
      <w:r>
        <w:rPr>
          <w:i/>
        </w:rPr>
        <w:t xml:space="preserve">your </w:t>
      </w:r>
      <w:bookmarkStart w:id="914" w:name="_Toc410222131"/>
      <w:r>
        <w:t>usage alerts.</w:t>
      </w:r>
    </w:p>
    <w:p w14:paraId="5EEF8D92" w14:textId="77777777" w:rsidR="000D07EA" w:rsidRDefault="00BE7C89">
      <w:pPr>
        <w:pStyle w:val="Heading6"/>
        <w:ind w:left="0" w:firstLine="0"/>
      </w:pPr>
      <w:r>
        <w:t xml:space="preserve">What happens if the </w:t>
      </w:r>
      <w:r>
        <w:rPr>
          <w:i/>
        </w:rPr>
        <w:t xml:space="preserve">service </w:t>
      </w:r>
      <w:r>
        <w:t>is</w:t>
      </w:r>
      <w:r>
        <w:rPr>
          <w:i/>
        </w:rPr>
        <w:t xml:space="preserve"> cancelled</w:t>
      </w:r>
      <w:r>
        <w:t>?</w:t>
      </w:r>
      <w:bookmarkEnd w:id="914"/>
    </w:p>
    <w:p w14:paraId="2716FB4C" w14:textId="77777777" w:rsidR="000D07EA" w:rsidRDefault="00BE7C89">
      <w:pPr>
        <w:pStyle w:val="Heading7"/>
      </w:pPr>
      <w:r>
        <w:t xml:space="preserve">If </w:t>
      </w:r>
      <w:r>
        <w:rPr>
          <w:i/>
        </w:rPr>
        <w:t>your</w:t>
      </w:r>
      <w:r>
        <w:t xml:space="preserve"> My Plan Business SIM plan is </w:t>
      </w:r>
      <w:r>
        <w:rPr>
          <w:i/>
        </w:rPr>
        <w:t>cancelled</w:t>
      </w:r>
      <w:r>
        <w:t xml:space="preserve">, </w:t>
      </w:r>
      <w:r>
        <w:rPr>
          <w:i/>
        </w:rPr>
        <w:t>your</w:t>
      </w:r>
      <w:r>
        <w:t xml:space="preserve"> Shared Data Plan(s) may also be </w:t>
      </w:r>
      <w:r>
        <w:rPr>
          <w:i/>
        </w:rPr>
        <w:t>cancelled</w:t>
      </w:r>
      <w:r>
        <w:t xml:space="preserve">. There are no </w:t>
      </w:r>
      <w:r>
        <w:rPr>
          <w:i/>
        </w:rPr>
        <w:t>cancellation fees</w:t>
      </w:r>
      <w:r>
        <w:t xml:space="preserve"> for the Shared Data Plan, however if </w:t>
      </w:r>
      <w:r>
        <w:rPr>
          <w:i/>
        </w:rPr>
        <w:t>you</w:t>
      </w:r>
      <w:r>
        <w:t xml:space="preserve"> purchased a </w:t>
      </w:r>
      <w:r>
        <w:rPr>
          <w:i/>
        </w:rPr>
        <w:t>device</w:t>
      </w:r>
      <w:r>
        <w:t xml:space="preserve"> </w:t>
      </w:r>
      <w:r>
        <w:rPr>
          <w:i/>
        </w:rPr>
        <w:t>you</w:t>
      </w:r>
      <w:r>
        <w:t xml:space="preserve"> need to pay the sum of any remaining </w:t>
      </w:r>
      <w:r>
        <w:rPr>
          <w:i/>
        </w:rPr>
        <w:t xml:space="preserve">equipment charges </w:t>
      </w:r>
      <w:r>
        <w:t xml:space="preserve">owing on </w:t>
      </w:r>
      <w:r>
        <w:rPr>
          <w:i/>
        </w:rPr>
        <w:t xml:space="preserve">your device </w:t>
      </w:r>
      <w:r>
        <w:t xml:space="preserve">under the </w:t>
      </w:r>
      <w:r>
        <w:rPr>
          <w:i/>
        </w:rPr>
        <w:t xml:space="preserve">mobile equipment payment plan </w:t>
      </w:r>
      <w:r>
        <w:t xml:space="preserve">(see </w:t>
      </w:r>
      <w:hyperlink r:id="rId573" w:history="1">
        <w:r>
          <w:rPr>
            <w:rStyle w:val="Hyperlink"/>
            <w:i/>
          </w:rPr>
          <w:t>Appendix D</w:t>
        </w:r>
      </w:hyperlink>
      <w:r>
        <w:t>).</w:t>
      </w:r>
    </w:p>
    <w:p w14:paraId="37B3639C" w14:textId="77777777" w:rsidR="000D07EA" w:rsidRDefault="00BE7C89">
      <w:pPr>
        <w:pStyle w:val="Heading7"/>
      </w:pPr>
      <w:r>
        <w:t xml:space="preserve">If </w:t>
      </w:r>
      <w:r>
        <w:rPr>
          <w:i/>
        </w:rPr>
        <w:t xml:space="preserve">your </w:t>
      </w:r>
      <w:r>
        <w:t xml:space="preserve">Shared Data Plan is not </w:t>
      </w:r>
      <w:r>
        <w:rPr>
          <w:i/>
        </w:rPr>
        <w:t>cancelled</w:t>
      </w:r>
      <w:r>
        <w:t xml:space="preserve">, </w:t>
      </w:r>
      <w:r>
        <w:rPr>
          <w:i/>
        </w:rPr>
        <w:t>you</w:t>
      </w:r>
      <w:r>
        <w:t xml:space="preserve"> will be charged $10 per 1GB within Australia, up to a maximum of 60GB (per account) in a billing month.</w:t>
      </w:r>
      <w:bookmarkStart w:id="915" w:name="_Toc409100155"/>
      <w:bookmarkStart w:id="916" w:name="_Toc410222132"/>
      <w:bookmarkStart w:id="917" w:name="_Toc416248674"/>
      <w:bookmarkStart w:id="918" w:name="_Toc455147633"/>
    </w:p>
    <w:p w14:paraId="780118B5" w14:textId="77777777" w:rsidR="000D07EA" w:rsidRDefault="00BE7C89">
      <w:pPr>
        <w:pStyle w:val="Heading4"/>
        <w:ind w:left="720" w:hanging="720"/>
      </w:pPr>
      <w:bookmarkStart w:id="919" w:name="_Toc62644655"/>
      <w:r>
        <w:t xml:space="preserve">My Plan </w:t>
      </w:r>
      <w:bookmarkEnd w:id="915"/>
      <w:r>
        <w:t>Business</w:t>
      </w:r>
      <w:bookmarkEnd w:id="916"/>
      <w:bookmarkEnd w:id="917"/>
      <w:bookmarkEnd w:id="918"/>
      <w:bookmarkEnd w:id="919"/>
    </w:p>
    <w:p w14:paraId="5D1DCB11" w14:textId="77777777" w:rsidR="000D07EA" w:rsidRDefault="00BE7C89">
      <w:pPr>
        <w:pStyle w:val="BodyText"/>
        <w:ind w:left="720"/>
      </w:pPr>
      <w:r>
        <w:t xml:space="preserve">This section relates to the following plans. </w:t>
      </w:r>
      <w:r>
        <w:rPr>
          <w:i/>
        </w:rPr>
        <w:t>You</w:t>
      </w:r>
      <w:r>
        <w:t xml:space="preserve"> can find </w:t>
      </w:r>
      <w:r>
        <w:rPr>
          <w:i/>
        </w:rPr>
        <w:t>your</w:t>
      </w:r>
      <w:r>
        <w:t xml:space="preserve"> Plan ID on </w:t>
      </w:r>
      <w:r>
        <w:rPr>
          <w:i/>
        </w:rPr>
        <w:t>your</w:t>
      </w:r>
      <w:r>
        <w:t xml:space="preserve"> bill under the Mobile Number Summary section:</w:t>
      </w:r>
    </w:p>
    <w:tbl>
      <w:tblPr>
        <w:tblW w:w="7764"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4"/>
        <w:gridCol w:w="1890"/>
        <w:gridCol w:w="3150"/>
      </w:tblGrid>
      <w:tr w:rsidR="000D07EA" w14:paraId="27F0CD74" w14:textId="77777777">
        <w:tc>
          <w:tcPr>
            <w:tcW w:w="2724" w:type="dxa"/>
            <w:shd w:val="clear" w:color="auto" w:fill="auto"/>
          </w:tcPr>
          <w:p w14:paraId="5B0439FE" w14:textId="77777777" w:rsidR="000D07EA" w:rsidRDefault="00BE7C89">
            <w:pPr>
              <w:pStyle w:val="BodyText"/>
              <w:spacing w:before="100" w:after="100"/>
              <w:jc w:val="center"/>
              <w:rPr>
                <w:b/>
              </w:rPr>
            </w:pPr>
            <w:r>
              <w:rPr>
                <w:b/>
              </w:rPr>
              <w:t>Plan</w:t>
            </w:r>
          </w:p>
        </w:tc>
        <w:tc>
          <w:tcPr>
            <w:tcW w:w="1890" w:type="dxa"/>
            <w:shd w:val="clear" w:color="auto" w:fill="auto"/>
          </w:tcPr>
          <w:p w14:paraId="4C31B7EA" w14:textId="77777777" w:rsidR="000D07EA" w:rsidRDefault="00BE7C89">
            <w:pPr>
              <w:pStyle w:val="BodyText"/>
              <w:spacing w:before="100" w:after="100"/>
              <w:jc w:val="center"/>
              <w:rPr>
                <w:b/>
              </w:rPr>
            </w:pPr>
            <w:r>
              <w:rPr>
                <w:b/>
              </w:rPr>
              <w:t>Plan ID</w:t>
            </w:r>
          </w:p>
        </w:tc>
        <w:tc>
          <w:tcPr>
            <w:tcW w:w="3150" w:type="dxa"/>
            <w:shd w:val="clear" w:color="auto" w:fill="auto"/>
          </w:tcPr>
          <w:p w14:paraId="2A696267" w14:textId="77777777" w:rsidR="000D07EA" w:rsidRDefault="00BE7C89">
            <w:pPr>
              <w:pStyle w:val="BodyText"/>
              <w:spacing w:before="100" w:after="100"/>
              <w:jc w:val="center"/>
              <w:rPr>
                <w:b/>
              </w:rPr>
            </w:pPr>
            <w:r>
              <w:rPr>
                <w:b/>
              </w:rPr>
              <w:t>Available</w:t>
            </w:r>
          </w:p>
        </w:tc>
      </w:tr>
      <w:tr w:rsidR="000D07EA" w14:paraId="57D89534" w14:textId="77777777">
        <w:trPr>
          <w:trHeight w:val="58"/>
        </w:trPr>
        <w:tc>
          <w:tcPr>
            <w:tcW w:w="2724" w:type="dxa"/>
            <w:shd w:val="clear" w:color="auto" w:fill="auto"/>
          </w:tcPr>
          <w:p w14:paraId="5C06B248" w14:textId="77777777" w:rsidR="000D07EA" w:rsidRDefault="00BE7C89">
            <w:pPr>
              <w:pStyle w:val="BodyText"/>
              <w:spacing w:before="100" w:after="100"/>
            </w:pPr>
            <w:r>
              <w:t xml:space="preserve">$35 My Plan Business </w:t>
            </w:r>
          </w:p>
        </w:tc>
        <w:tc>
          <w:tcPr>
            <w:tcW w:w="1890" w:type="dxa"/>
            <w:shd w:val="clear" w:color="auto" w:fill="auto"/>
            <w:vAlign w:val="center"/>
          </w:tcPr>
          <w:p w14:paraId="07F25784" w14:textId="77777777" w:rsidR="000D07EA" w:rsidRDefault="00BE7C89">
            <w:pPr>
              <w:pStyle w:val="BodyText"/>
              <w:spacing w:before="100" w:after="100"/>
              <w:jc w:val="center"/>
            </w:pPr>
            <w:r>
              <w:t>800223</w:t>
            </w:r>
            <w:r w:rsidR="00C9239B">
              <w:t>, 8375674</w:t>
            </w:r>
          </w:p>
        </w:tc>
        <w:tc>
          <w:tcPr>
            <w:tcW w:w="3150" w:type="dxa"/>
            <w:shd w:val="clear" w:color="auto" w:fill="auto"/>
          </w:tcPr>
          <w:p w14:paraId="771410E2" w14:textId="77777777" w:rsidR="000D07EA" w:rsidRDefault="00BE7C89">
            <w:pPr>
              <w:pStyle w:val="BodyText"/>
              <w:spacing w:before="100" w:after="100"/>
            </w:pPr>
            <w:r>
              <w:t>1 February 2015 – 6 April 2015</w:t>
            </w:r>
          </w:p>
        </w:tc>
      </w:tr>
      <w:tr w:rsidR="000D07EA" w14:paraId="1AA229C4" w14:textId="77777777">
        <w:tc>
          <w:tcPr>
            <w:tcW w:w="2724" w:type="dxa"/>
            <w:shd w:val="clear" w:color="auto" w:fill="auto"/>
          </w:tcPr>
          <w:p w14:paraId="2AE0C355" w14:textId="77777777" w:rsidR="000D07EA" w:rsidRDefault="00BE7C89">
            <w:pPr>
              <w:pStyle w:val="BodyText"/>
              <w:spacing w:before="100" w:after="100"/>
            </w:pPr>
            <w:r>
              <w:t>$50 My Plan Business</w:t>
            </w:r>
          </w:p>
        </w:tc>
        <w:tc>
          <w:tcPr>
            <w:tcW w:w="1890" w:type="dxa"/>
            <w:shd w:val="clear" w:color="auto" w:fill="auto"/>
            <w:vAlign w:val="center"/>
          </w:tcPr>
          <w:p w14:paraId="0BB26CBF" w14:textId="77777777" w:rsidR="000D07EA" w:rsidRDefault="00BE7C89">
            <w:pPr>
              <w:pStyle w:val="BodyText"/>
              <w:spacing w:before="100" w:after="100"/>
              <w:jc w:val="center"/>
            </w:pPr>
            <w:r>
              <w:t>800224</w:t>
            </w:r>
            <w:r w:rsidR="00C9239B">
              <w:t>, 8375684</w:t>
            </w:r>
          </w:p>
        </w:tc>
        <w:tc>
          <w:tcPr>
            <w:tcW w:w="3150" w:type="dxa"/>
            <w:shd w:val="clear" w:color="auto" w:fill="auto"/>
          </w:tcPr>
          <w:p w14:paraId="57029F32" w14:textId="77777777" w:rsidR="000D07EA" w:rsidRDefault="00BE7C89">
            <w:pPr>
              <w:pStyle w:val="BodyText"/>
              <w:spacing w:before="100" w:after="100"/>
            </w:pPr>
            <w:r>
              <w:t>1 February 2015 – 6 April 2015</w:t>
            </w:r>
          </w:p>
        </w:tc>
      </w:tr>
      <w:tr w:rsidR="000D07EA" w14:paraId="29EF7D48" w14:textId="77777777">
        <w:tc>
          <w:tcPr>
            <w:tcW w:w="2724" w:type="dxa"/>
            <w:shd w:val="clear" w:color="auto" w:fill="auto"/>
          </w:tcPr>
          <w:p w14:paraId="5A290D8F" w14:textId="77777777" w:rsidR="000D07EA" w:rsidRDefault="00BE7C89">
            <w:pPr>
              <w:pStyle w:val="BodyText"/>
              <w:spacing w:before="100" w:after="100"/>
            </w:pPr>
            <w:r>
              <w:t>$60 My Plan Business</w:t>
            </w:r>
          </w:p>
        </w:tc>
        <w:tc>
          <w:tcPr>
            <w:tcW w:w="1890" w:type="dxa"/>
            <w:shd w:val="clear" w:color="auto" w:fill="auto"/>
            <w:vAlign w:val="center"/>
          </w:tcPr>
          <w:p w14:paraId="73F9FA1E" w14:textId="77777777" w:rsidR="000D07EA" w:rsidRDefault="00BE7C89">
            <w:pPr>
              <w:pStyle w:val="BodyText"/>
              <w:spacing w:before="100" w:after="100"/>
              <w:jc w:val="center"/>
            </w:pPr>
            <w:r>
              <w:t>800225</w:t>
            </w:r>
            <w:r w:rsidR="00C9239B">
              <w:t>, 8375694</w:t>
            </w:r>
          </w:p>
        </w:tc>
        <w:tc>
          <w:tcPr>
            <w:tcW w:w="3150" w:type="dxa"/>
            <w:shd w:val="clear" w:color="auto" w:fill="auto"/>
          </w:tcPr>
          <w:p w14:paraId="57FD4290" w14:textId="77777777" w:rsidR="000D07EA" w:rsidRDefault="00BE7C89">
            <w:pPr>
              <w:pStyle w:val="BodyText"/>
              <w:spacing w:before="100" w:after="100"/>
            </w:pPr>
            <w:r>
              <w:t>1 February 2015 – 6 April 2015</w:t>
            </w:r>
          </w:p>
        </w:tc>
      </w:tr>
      <w:tr w:rsidR="000D07EA" w14:paraId="3D3D45BF" w14:textId="77777777">
        <w:tc>
          <w:tcPr>
            <w:tcW w:w="2724" w:type="dxa"/>
            <w:shd w:val="clear" w:color="auto" w:fill="auto"/>
          </w:tcPr>
          <w:p w14:paraId="63A60D5E" w14:textId="77777777" w:rsidR="000D07EA" w:rsidRDefault="00BE7C89">
            <w:pPr>
              <w:pStyle w:val="BodyText"/>
              <w:spacing w:before="100" w:after="100"/>
            </w:pPr>
            <w:r>
              <w:t>$80 My Plan Business</w:t>
            </w:r>
          </w:p>
        </w:tc>
        <w:tc>
          <w:tcPr>
            <w:tcW w:w="1890" w:type="dxa"/>
            <w:shd w:val="clear" w:color="auto" w:fill="auto"/>
            <w:vAlign w:val="center"/>
          </w:tcPr>
          <w:p w14:paraId="745BC3A9" w14:textId="77777777" w:rsidR="000D07EA" w:rsidRDefault="00BE7C89">
            <w:pPr>
              <w:pStyle w:val="BodyText"/>
              <w:spacing w:before="100" w:after="100"/>
              <w:jc w:val="center"/>
            </w:pPr>
            <w:r>
              <w:t>800226</w:t>
            </w:r>
            <w:r w:rsidR="00C9239B">
              <w:t>, 8375704</w:t>
            </w:r>
          </w:p>
        </w:tc>
        <w:tc>
          <w:tcPr>
            <w:tcW w:w="3150" w:type="dxa"/>
            <w:shd w:val="clear" w:color="auto" w:fill="auto"/>
          </w:tcPr>
          <w:p w14:paraId="7F6E158A" w14:textId="77777777" w:rsidR="000D07EA" w:rsidRDefault="00BE7C89">
            <w:pPr>
              <w:pStyle w:val="BodyText"/>
              <w:spacing w:before="100" w:after="100"/>
            </w:pPr>
            <w:r>
              <w:t>1 February 2015 – 6 April 2015</w:t>
            </w:r>
          </w:p>
        </w:tc>
      </w:tr>
      <w:tr w:rsidR="000D07EA" w14:paraId="22F40EA0" w14:textId="77777777">
        <w:tc>
          <w:tcPr>
            <w:tcW w:w="2724" w:type="dxa"/>
            <w:shd w:val="clear" w:color="auto" w:fill="auto"/>
          </w:tcPr>
          <w:p w14:paraId="72A9788A" w14:textId="77777777" w:rsidR="000D07EA" w:rsidRDefault="00BE7C89">
            <w:pPr>
              <w:pStyle w:val="BodyText"/>
              <w:spacing w:before="100" w:after="100"/>
            </w:pPr>
            <w:r>
              <w:t>$100 My Plan Business</w:t>
            </w:r>
          </w:p>
        </w:tc>
        <w:tc>
          <w:tcPr>
            <w:tcW w:w="1890" w:type="dxa"/>
            <w:shd w:val="clear" w:color="auto" w:fill="auto"/>
            <w:vAlign w:val="center"/>
          </w:tcPr>
          <w:p w14:paraId="6A824343" w14:textId="77777777" w:rsidR="000D07EA" w:rsidRDefault="00BE7C89">
            <w:pPr>
              <w:pStyle w:val="BodyText"/>
              <w:spacing w:before="100" w:after="100"/>
              <w:jc w:val="center"/>
            </w:pPr>
            <w:r>
              <w:t>800227</w:t>
            </w:r>
            <w:r w:rsidR="00C9239B">
              <w:t>, 8375714</w:t>
            </w:r>
          </w:p>
        </w:tc>
        <w:tc>
          <w:tcPr>
            <w:tcW w:w="3150" w:type="dxa"/>
            <w:shd w:val="clear" w:color="auto" w:fill="auto"/>
          </w:tcPr>
          <w:p w14:paraId="225B485E" w14:textId="77777777" w:rsidR="000D07EA" w:rsidRDefault="00BE7C89">
            <w:pPr>
              <w:pStyle w:val="BodyText"/>
              <w:spacing w:before="100" w:after="100"/>
            </w:pPr>
            <w:r>
              <w:t>1 February 2015 – 6 April 2015</w:t>
            </w:r>
          </w:p>
        </w:tc>
      </w:tr>
    </w:tbl>
    <w:p w14:paraId="07E1C6C0" w14:textId="77777777" w:rsidR="000D07EA" w:rsidRDefault="000D07EA">
      <w:pPr>
        <w:pStyle w:val="BodyText"/>
      </w:pPr>
    </w:p>
    <w:p w14:paraId="7B92772F" w14:textId="77777777" w:rsidR="000D07EA" w:rsidRDefault="00BE7C89">
      <w:pPr>
        <w:pStyle w:val="Heading6"/>
        <w:ind w:left="0" w:firstLine="0"/>
      </w:pPr>
      <w:bookmarkStart w:id="920" w:name="_Toc409100156"/>
      <w:bookmarkStart w:id="921" w:name="_Toc410222133"/>
      <w:r>
        <w:t>Eligibility</w:t>
      </w:r>
      <w:bookmarkEnd w:id="920"/>
      <w:bookmarkEnd w:id="921"/>
    </w:p>
    <w:p w14:paraId="3CF33232" w14:textId="77777777" w:rsidR="000D07EA" w:rsidRDefault="00BE7C89">
      <w:pPr>
        <w:pStyle w:val="BodyText"/>
        <w:ind w:left="720"/>
      </w:pPr>
      <w:r>
        <w:t xml:space="preserve">The My Plan Business plans were available to new and existing mobile customers connecting to the </w:t>
      </w:r>
      <w:r>
        <w:rPr>
          <w:i/>
        </w:rPr>
        <w:t xml:space="preserve">service </w:t>
      </w:r>
      <w:r>
        <w:t>who passed Optus' credit assessment.</w:t>
      </w:r>
    </w:p>
    <w:p w14:paraId="58D98633" w14:textId="77777777" w:rsidR="000D07EA" w:rsidRDefault="00BE7C89">
      <w:pPr>
        <w:pStyle w:val="BodyText"/>
        <w:ind w:left="720"/>
      </w:pPr>
      <w:r>
        <w:lastRenderedPageBreak/>
        <w:t>Optus Service Providers' customers are not eligible to apply</w:t>
      </w:r>
      <w:r>
        <w:rPr>
          <w:snapToGrid w:val="0"/>
        </w:rPr>
        <w:t>.</w:t>
      </w:r>
    </w:p>
    <w:p w14:paraId="2BFE2ACB" w14:textId="77777777" w:rsidR="000D07EA" w:rsidRDefault="00BE7C89">
      <w:pPr>
        <w:pStyle w:val="BodyText"/>
        <w:ind w:left="720"/>
      </w:pPr>
      <w:r>
        <w:t>These plans aren't compatible for data use with BlackBerry handsets on operating systems of 7.1 or earlier.</w:t>
      </w:r>
      <w:bookmarkStart w:id="922" w:name="_Toc409100157"/>
      <w:bookmarkStart w:id="923" w:name="_Toc410222134"/>
    </w:p>
    <w:p w14:paraId="50BC8689" w14:textId="77777777" w:rsidR="000D07EA" w:rsidRDefault="00BE7C89">
      <w:pPr>
        <w:pStyle w:val="Heading6"/>
        <w:ind w:left="0" w:firstLine="0"/>
      </w:pPr>
      <w:r>
        <w:rPr>
          <w:snapToGrid w:val="0"/>
        </w:rPr>
        <w:t>Minimum Term</w:t>
      </w:r>
      <w:bookmarkEnd w:id="922"/>
      <w:bookmarkEnd w:id="923"/>
    </w:p>
    <w:p w14:paraId="6B8218F9" w14:textId="77777777" w:rsidR="000D07EA" w:rsidRDefault="00BE7C89">
      <w:pPr>
        <w:pStyle w:val="BodyText"/>
        <w:ind w:left="720"/>
      </w:pPr>
      <w:r>
        <w:t xml:space="preserve">These </w:t>
      </w:r>
      <w:r>
        <w:rPr>
          <w:i/>
        </w:rPr>
        <w:t>plans</w:t>
      </w:r>
      <w:r>
        <w:t xml:space="preserve"> have</w:t>
      </w:r>
      <w:r>
        <w:rPr>
          <w:i/>
        </w:rPr>
        <w:t xml:space="preserve"> </w:t>
      </w:r>
      <w:r>
        <w:t xml:space="preserve">a </w:t>
      </w:r>
      <w:r>
        <w:rPr>
          <w:i/>
        </w:rPr>
        <w:t>fixed length agreement</w:t>
      </w:r>
      <w:r>
        <w:t xml:space="preserve"> with a 24 month </w:t>
      </w:r>
      <w:r>
        <w:rPr>
          <w:i/>
        </w:rPr>
        <w:t>minimum term.</w:t>
      </w:r>
    </w:p>
    <w:p w14:paraId="7904F52D" w14:textId="77777777" w:rsidR="000D07EA" w:rsidRDefault="00BE7C89">
      <w:pPr>
        <w:pStyle w:val="Heading6"/>
        <w:ind w:left="0" w:firstLine="0"/>
      </w:pPr>
      <w:bookmarkStart w:id="924" w:name="_Toc409100158"/>
      <w:bookmarkStart w:id="925" w:name="_Toc410222135"/>
      <w:r>
        <w:t>What you have to pay us</w:t>
      </w:r>
      <w:bookmarkEnd w:id="924"/>
      <w:bookmarkEnd w:id="925"/>
    </w:p>
    <w:p w14:paraId="4E3EAEC4" w14:textId="77777777" w:rsidR="000D07EA" w:rsidRDefault="00BE7C89">
      <w:pPr>
        <w:pStyle w:val="Heading7"/>
      </w:pPr>
      <w:r>
        <w:rPr>
          <w:i/>
        </w:rPr>
        <w:t>You</w:t>
      </w:r>
      <w:r>
        <w:t xml:space="preserve"> must pay </w:t>
      </w:r>
      <w:r>
        <w:rPr>
          <w:i/>
        </w:rPr>
        <w:t>us</w:t>
      </w:r>
      <w:r>
        <w:t xml:space="preserve"> for use of the </w:t>
      </w:r>
      <w:r>
        <w:rPr>
          <w:i/>
        </w:rPr>
        <w:t>service</w:t>
      </w:r>
      <w:r>
        <w:t xml:space="preserve"> at the rates set out in Section 1 of this </w:t>
      </w:r>
      <w:r>
        <w:rPr>
          <w:i/>
        </w:rPr>
        <w:t>standard pricing table</w:t>
      </w:r>
      <w:r>
        <w:t xml:space="preserve"> and for value added service features at the rates set out in </w:t>
      </w:r>
      <w:r w:rsidRPr="006068A2">
        <w:rPr>
          <w:i/>
        </w:rPr>
        <w:t>Appendix Y Value Added Service Features</w:t>
      </w:r>
      <w:r>
        <w:t>.</w:t>
      </w:r>
    </w:p>
    <w:p w14:paraId="55C372F0" w14:textId="77777777" w:rsidR="000D07EA" w:rsidRDefault="00BE7C89">
      <w:pPr>
        <w:pStyle w:val="Heading7"/>
      </w:pPr>
      <w:r>
        <w:t>If there is a flagfall for a particular call type, the charge for these calls is th</w:t>
      </w:r>
      <w:r>
        <w:rPr>
          <w:rStyle w:val="Heading7Char"/>
        </w:rPr>
        <w:t>e</w:t>
      </w:r>
      <w:r>
        <w:t xml:space="preserve"> flagfall amount plus the relevant rate for the call multiplied by the duration of the call.</w:t>
      </w:r>
    </w:p>
    <w:p w14:paraId="461D43F1" w14:textId="77777777" w:rsidR="000D07EA" w:rsidRDefault="00BE7C89">
      <w:pPr>
        <w:pStyle w:val="Heading7"/>
        <w:rPr>
          <w:b/>
        </w:rPr>
      </w:pPr>
      <w:r>
        <w:rPr>
          <w:b/>
        </w:rPr>
        <w:t>Minimum Monthly Charge</w:t>
      </w:r>
    </w:p>
    <w:p w14:paraId="6BC45DD3" w14:textId="77777777" w:rsidR="000D07EA" w:rsidRDefault="00BE7C89">
      <w:pPr>
        <w:pStyle w:val="Heading8"/>
      </w:pPr>
      <w:r>
        <w:t xml:space="preserve">Each My Plan Business has a Minimum Monthly Charge amount that </w:t>
      </w:r>
      <w:r>
        <w:rPr>
          <w:i/>
        </w:rPr>
        <w:t>you</w:t>
      </w:r>
      <w:r>
        <w:t xml:space="preserve"> must pay </w:t>
      </w:r>
      <w:r>
        <w:rPr>
          <w:i/>
        </w:rPr>
        <w:t>us</w:t>
      </w:r>
      <w:r>
        <w:t xml:space="preserve"> each month as set out in Table 1 below.</w:t>
      </w:r>
    </w:p>
    <w:p w14:paraId="6750495B" w14:textId="77777777" w:rsidR="000D07EA" w:rsidRDefault="00BE7C89">
      <w:pPr>
        <w:pStyle w:val="Heading8"/>
      </w:pPr>
      <w:r>
        <w:rPr>
          <w:i/>
        </w:rPr>
        <w:t>You</w:t>
      </w:r>
      <w:r>
        <w:t xml:space="preserve"> may purchase a mobile phone (or 'handset') with a 24 month </w:t>
      </w:r>
      <w:r>
        <w:rPr>
          <w:i/>
        </w:rPr>
        <w:t>equipment term</w:t>
      </w:r>
      <w:r>
        <w:t xml:space="preserve"> under a </w:t>
      </w:r>
      <w:r>
        <w:rPr>
          <w:i/>
        </w:rPr>
        <w:t>mobile equipment payment plan</w:t>
      </w:r>
      <w:r>
        <w:t xml:space="preserve"> (set out in Appendix D) on a 24 month </w:t>
      </w:r>
      <w:r>
        <w:rPr>
          <w:i/>
        </w:rPr>
        <w:t>fixed-length agreement</w:t>
      </w:r>
      <w:r>
        <w:t>.</w:t>
      </w:r>
    </w:p>
    <w:p w14:paraId="0E1B22DF" w14:textId="77777777" w:rsidR="000D07EA" w:rsidRDefault="00BE7C89">
      <w:pPr>
        <w:pStyle w:val="Heading6"/>
        <w:ind w:left="0" w:firstLine="0"/>
        <w:rPr>
          <w:snapToGrid w:val="0"/>
        </w:rPr>
      </w:pPr>
      <w:bookmarkStart w:id="926" w:name="_Toc409100159"/>
      <w:bookmarkStart w:id="927" w:name="_Toc410222136"/>
      <w:r>
        <w:rPr>
          <w:snapToGrid w:val="0"/>
        </w:rPr>
        <w:t>How My Plan Business works</w:t>
      </w:r>
      <w:bookmarkEnd w:id="926"/>
      <w:bookmarkEnd w:id="927"/>
    </w:p>
    <w:p w14:paraId="42156D53" w14:textId="77777777" w:rsidR="000D07EA" w:rsidRDefault="00BE7C89">
      <w:pPr>
        <w:pStyle w:val="Heading7"/>
      </w:pPr>
      <w:r>
        <w:t xml:space="preserve">Each My Plan Business has an amount of included minutes (or unlimited minutes) to use on standard national calls to landlines and mobiles, 13/1300 numbers and voicemail retrievals ("Included Minutes") and Included Data (for mobile internet use) to share with up to 5 additional mobile broadband devices as well as other mobile services on a My Plan Plus/My Plan Business (including SIM Only) plan on the same account. These plans also include unlimited standard national SMS/MMS and unlimited standard International SMS/MMS to selected countries. The $60/$80/$100 plans have an amount of included minutes to use on standard international calls to selected countries. </w:t>
      </w:r>
    </w:p>
    <w:p w14:paraId="4B0FD85A" w14:textId="77777777" w:rsidR="000D07EA" w:rsidRDefault="00BE7C89">
      <w:pPr>
        <w:pStyle w:val="Heading7"/>
      </w:pPr>
      <w:r>
        <w:t>Data usage is calculated in per kilobyte increments. Plans that don't include unlimited minutes calculate usage in one minute increments, and all plans calculate international calls in one minute increments.</w:t>
      </w:r>
    </w:p>
    <w:p w14:paraId="39EBCE4F" w14:textId="77777777" w:rsidR="000D07EA" w:rsidRDefault="00BE7C89">
      <w:pPr>
        <w:pStyle w:val="Heading7"/>
      </w:pPr>
      <w:r>
        <w:t xml:space="preserve">If </w:t>
      </w:r>
      <w:r>
        <w:rPr>
          <w:i/>
        </w:rPr>
        <w:t>you</w:t>
      </w:r>
      <w:r>
        <w:t xml:space="preserve"> exceed </w:t>
      </w:r>
      <w:r>
        <w:rPr>
          <w:i/>
        </w:rPr>
        <w:t>your</w:t>
      </w:r>
      <w:r>
        <w:t xml:space="preserve"> </w:t>
      </w:r>
      <w:r>
        <w:rPr>
          <w:i/>
        </w:rPr>
        <w:t>plan's</w:t>
      </w:r>
      <w:r>
        <w:t xml:space="preserve"> Included Minutes, </w:t>
      </w:r>
      <w:r>
        <w:rPr>
          <w:i/>
        </w:rPr>
        <w:t>you</w:t>
      </w:r>
      <w:r>
        <w:t xml:space="preserve"> will be automatically get more minutes ("</w:t>
      </w:r>
      <w:r>
        <w:rPr>
          <w:b/>
        </w:rPr>
        <w:t>Additional Minutes</w:t>
      </w:r>
      <w:r>
        <w:t>"), as set out in Table 3 below.</w:t>
      </w:r>
    </w:p>
    <w:p w14:paraId="26568FD5" w14:textId="77777777" w:rsidR="000D07EA" w:rsidRDefault="00BE7C89">
      <w:pPr>
        <w:pStyle w:val="Heading7"/>
      </w:pPr>
      <w:r>
        <w:t xml:space="preserve">If </w:t>
      </w:r>
      <w:r>
        <w:rPr>
          <w:i/>
        </w:rPr>
        <w:t>you</w:t>
      </w:r>
      <w:r>
        <w:t xml:space="preserve"> exceed </w:t>
      </w:r>
      <w:r>
        <w:rPr>
          <w:i/>
        </w:rPr>
        <w:t>your</w:t>
      </w:r>
      <w:r>
        <w:t xml:space="preserve"> </w:t>
      </w:r>
      <w:r>
        <w:rPr>
          <w:i/>
        </w:rPr>
        <w:t>plan's</w:t>
      </w:r>
      <w:r>
        <w:t xml:space="preserve"> Included Data, </w:t>
      </w:r>
      <w:r>
        <w:rPr>
          <w:i/>
        </w:rPr>
        <w:t>you</w:t>
      </w:r>
      <w:r>
        <w:t xml:space="preserve"> will automatically get more data in 1GB increments ("</w:t>
      </w:r>
      <w:r>
        <w:rPr>
          <w:b/>
        </w:rPr>
        <w:t>Additional Data</w:t>
      </w:r>
      <w:r>
        <w:t xml:space="preserve">"), and be charged $10 per 1GB. </w:t>
      </w:r>
    </w:p>
    <w:p w14:paraId="61D89DC4" w14:textId="77777777" w:rsidR="000D07EA" w:rsidRDefault="00BE7C89">
      <w:pPr>
        <w:pStyle w:val="Heading7"/>
      </w:pPr>
      <w:r>
        <w:t xml:space="preserve">Any unused portion of </w:t>
      </w:r>
      <w:r>
        <w:rPr>
          <w:i/>
        </w:rPr>
        <w:t>your</w:t>
      </w:r>
      <w:r>
        <w:t xml:space="preserve"> </w:t>
      </w:r>
      <w:r>
        <w:rPr>
          <w:i/>
        </w:rPr>
        <w:t>plan's</w:t>
      </w:r>
      <w:r>
        <w:t xml:space="preserve"> Included or Additional Minutes or Included or Additional Data expires at the end of each month and does not roll over into the next month.</w:t>
      </w:r>
    </w:p>
    <w:p w14:paraId="4E295BAB" w14:textId="77777777" w:rsidR="000D07EA" w:rsidRDefault="00BE7C89">
      <w:pPr>
        <w:pStyle w:val="Heading7"/>
        <w:rPr>
          <w:b/>
        </w:rPr>
      </w:pPr>
      <w:r>
        <w:rPr>
          <w:i/>
        </w:rPr>
        <w:t>You</w:t>
      </w:r>
      <w:r>
        <w:t xml:space="preserve"> must pay </w:t>
      </w:r>
      <w:r>
        <w:rPr>
          <w:i/>
        </w:rPr>
        <w:t>us</w:t>
      </w:r>
      <w:r>
        <w:t xml:space="preserve"> for use of any services not included in </w:t>
      </w:r>
      <w:r>
        <w:rPr>
          <w:i/>
        </w:rPr>
        <w:t>your</w:t>
      </w:r>
      <w:r>
        <w:t xml:space="preserve"> plan's Included Minutes or Included Data as set out in Table 2 below.</w:t>
      </w:r>
    </w:p>
    <w:p w14:paraId="23AE8571" w14:textId="77777777" w:rsidR="000D07EA" w:rsidRDefault="00BE7C89">
      <w:pPr>
        <w:pStyle w:val="Heading6"/>
        <w:keepNext/>
        <w:ind w:left="0" w:firstLine="0"/>
        <w:rPr>
          <w:snapToGrid w:val="0"/>
        </w:rPr>
      </w:pPr>
      <w:bookmarkStart w:id="928" w:name="_Toc409100160"/>
      <w:bookmarkStart w:id="929" w:name="_Toc410222137"/>
      <w:r>
        <w:rPr>
          <w:snapToGrid w:val="0"/>
        </w:rPr>
        <w:t>Data Sharing</w:t>
      </w:r>
      <w:bookmarkEnd w:id="928"/>
      <w:bookmarkEnd w:id="929"/>
    </w:p>
    <w:p w14:paraId="7941FD1D" w14:textId="77777777" w:rsidR="000D07EA" w:rsidRDefault="00BE7C89">
      <w:pPr>
        <w:pStyle w:val="Heading7"/>
        <w:rPr>
          <w:snapToGrid w:val="0"/>
        </w:rPr>
      </w:pPr>
      <w:r>
        <w:rPr>
          <w:i/>
          <w:snapToGrid w:val="0"/>
        </w:rPr>
        <w:t>You</w:t>
      </w:r>
      <w:r>
        <w:rPr>
          <w:snapToGrid w:val="0"/>
        </w:rPr>
        <w:t xml:space="preserve"> can share the Included Data in </w:t>
      </w:r>
      <w:r>
        <w:rPr>
          <w:i/>
          <w:snapToGrid w:val="0"/>
        </w:rPr>
        <w:t>your</w:t>
      </w:r>
      <w:r>
        <w:rPr>
          <w:snapToGrid w:val="0"/>
        </w:rPr>
        <w:t xml:space="preserve"> My Plan Business plan with up to five (5) SIM-ready mobile broadband devices (eg tablets, USB modems and laptops). </w:t>
      </w:r>
      <w:r>
        <w:rPr>
          <w:i/>
          <w:snapToGrid w:val="0"/>
        </w:rPr>
        <w:t>You</w:t>
      </w:r>
      <w:r>
        <w:rPr>
          <w:snapToGrid w:val="0"/>
        </w:rPr>
        <w:t xml:space="preserve"> must connect these mobile broadband devices to Shared Data Plans which have a $5 set up fee each and no ongoing monthly charges. </w:t>
      </w:r>
    </w:p>
    <w:p w14:paraId="73984329" w14:textId="77777777" w:rsidR="000D07EA" w:rsidRDefault="00BE7C89">
      <w:pPr>
        <w:pStyle w:val="Heading7"/>
        <w:rPr>
          <w:snapToGrid w:val="0"/>
        </w:rPr>
      </w:pPr>
      <w:r>
        <w:rPr>
          <w:i/>
          <w:snapToGrid w:val="0"/>
        </w:rPr>
        <w:t>We</w:t>
      </w:r>
      <w:r>
        <w:rPr>
          <w:snapToGrid w:val="0"/>
        </w:rPr>
        <w:t xml:space="preserve"> may place a limit on the number of Shared Data Plans </w:t>
      </w:r>
      <w:r>
        <w:rPr>
          <w:i/>
          <w:snapToGrid w:val="0"/>
        </w:rPr>
        <w:t>you</w:t>
      </w:r>
      <w:r>
        <w:rPr>
          <w:snapToGrid w:val="0"/>
        </w:rPr>
        <w:t xml:space="preserve"> can have, based on </w:t>
      </w:r>
      <w:r>
        <w:rPr>
          <w:i/>
          <w:snapToGrid w:val="0"/>
        </w:rPr>
        <w:t>our</w:t>
      </w:r>
      <w:r>
        <w:rPr>
          <w:snapToGrid w:val="0"/>
        </w:rPr>
        <w:t xml:space="preserve"> credit criteria.</w:t>
      </w:r>
    </w:p>
    <w:p w14:paraId="33555F07" w14:textId="77777777" w:rsidR="000D07EA" w:rsidRDefault="00BE7C89">
      <w:pPr>
        <w:pStyle w:val="Heading7"/>
        <w:rPr>
          <w:snapToGrid w:val="0"/>
        </w:rPr>
      </w:pPr>
      <w:r>
        <w:rPr>
          <w:snapToGrid w:val="0"/>
        </w:rPr>
        <w:lastRenderedPageBreak/>
        <w:t>Shared Data Plans do not have any Included Data, and cannot be used to make calls.</w:t>
      </w:r>
    </w:p>
    <w:p w14:paraId="6D2B4F01" w14:textId="77777777" w:rsidR="000D07EA" w:rsidRDefault="00BE7C89">
      <w:pPr>
        <w:pStyle w:val="Heading7"/>
        <w:rPr>
          <w:snapToGrid w:val="0"/>
        </w:rPr>
      </w:pPr>
      <w:r>
        <w:rPr>
          <w:i/>
          <w:snapToGrid w:val="0"/>
        </w:rPr>
        <w:t>You</w:t>
      </w:r>
      <w:r>
        <w:rPr>
          <w:snapToGrid w:val="0"/>
        </w:rPr>
        <w:t xml:space="preserve"> can purchase one mobile broadband device per Shared Data Plan, and pay for it in full on </w:t>
      </w:r>
      <w:r>
        <w:rPr>
          <w:i/>
          <w:snapToGrid w:val="0"/>
        </w:rPr>
        <w:t>your</w:t>
      </w:r>
      <w:r>
        <w:rPr>
          <w:snapToGrid w:val="0"/>
        </w:rPr>
        <w:t xml:space="preserve"> first bill, or pay it off over 12 or 24 months on a </w:t>
      </w:r>
      <w:r>
        <w:rPr>
          <w:i/>
          <w:snapToGrid w:val="0"/>
        </w:rPr>
        <w:t>Mobile Equipment Payment Plan</w:t>
      </w:r>
      <w:r>
        <w:rPr>
          <w:snapToGrid w:val="0"/>
        </w:rPr>
        <w:t xml:space="preserve"> (see </w:t>
      </w:r>
      <w:r>
        <w:t>Appendix D</w:t>
      </w:r>
      <w:r>
        <w:rPr>
          <w:snapToGrid w:val="0"/>
        </w:rPr>
        <w:t>).</w:t>
      </w:r>
    </w:p>
    <w:p w14:paraId="3182D3CC" w14:textId="77777777" w:rsidR="000D07EA" w:rsidRDefault="00BE7C89">
      <w:pPr>
        <w:pStyle w:val="Heading7"/>
        <w:rPr>
          <w:snapToGrid w:val="0"/>
        </w:rPr>
      </w:pPr>
      <w:r>
        <w:rPr>
          <w:i/>
          <w:snapToGrid w:val="0"/>
        </w:rPr>
        <w:t>You</w:t>
      </w:r>
      <w:r>
        <w:rPr>
          <w:snapToGrid w:val="0"/>
        </w:rPr>
        <w:t xml:space="preserve"> can share the Included Data in </w:t>
      </w:r>
      <w:r>
        <w:rPr>
          <w:i/>
          <w:snapToGrid w:val="0"/>
        </w:rPr>
        <w:t>your</w:t>
      </w:r>
      <w:r>
        <w:rPr>
          <w:snapToGrid w:val="0"/>
        </w:rPr>
        <w:t xml:space="preserve"> My Plan Business plan with other mobiles on </w:t>
      </w:r>
      <w:r>
        <w:rPr>
          <w:i/>
          <w:snapToGrid w:val="0"/>
        </w:rPr>
        <w:t>your</w:t>
      </w:r>
      <w:r>
        <w:rPr>
          <w:snapToGrid w:val="0"/>
        </w:rPr>
        <w:t xml:space="preserve"> account which are also on </w:t>
      </w:r>
      <w:r>
        <w:t>My Plan Plus/My Plan Business (including SIM Only) plans</w:t>
      </w:r>
      <w:r>
        <w:rPr>
          <w:snapToGrid w:val="0"/>
        </w:rPr>
        <w:t xml:space="preserve">. </w:t>
      </w:r>
    </w:p>
    <w:p w14:paraId="03040B76" w14:textId="77777777" w:rsidR="000D07EA" w:rsidRDefault="00BE7C89">
      <w:pPr>
        <w:pStyle w:val="Heading7"/>
        <w:rPr>
          <w:snapToGrid w:val="0"/>
        </w:rPr>
      </w:pPr>
      <w:r>
        <w:rPr>
          <w:snapToGrid w:val="0"/>
        </w:rPr>
        <w:t xml:space="preserve">If </w:t>
      </w:r>
      <w:r>
        <w:rPr>
          <w:i/>
          <w:snapToGrid w:val="0"/>
        </w:rPr>
        <w:t>you</w:t>
      </w:r>
      <w:r>
        <w:rPr>
          <w:snapToGrid w:val="0"/>
        </w:rPr>
        <w:t xml:space="preserve"> have more than one of these </w:t>
      </w:r>
      <w:r>
        <w:rPr>
          <w:i/>
          <w:snapToGrid w:val="0"/>
        </w:rPr>
        <w:t>plans</w:t>
      </w:r>
      <w:r>
        <w:rPr>
          <w:snapToGrid w:val="0"/>
        </w:rPr>
        <w:t xml:space="preserve">, the Included Data on each of the </w:t>
      </w:r>
      <w:r>
        <w:rPr>
          <w:i/>
          <w:snapToGrid w:val="0"/>
        </w:rPr>
        <w:t>plans</w:t>
      </w:r>
      <w:r>
        <w:rPr>
          <w:snapToGrid w:val="0"/>
        </w:rPr>
        <w:t xml:space="preserve"> adds together (data pool) for the mobiles to all use, and for any additional mobile broadband devices on Shared Data Plans to use. </w:t>
      </w:r>
    </w:p>
    <w:p w14:paraId="4D3852E2" w14:textId="77777777" w:rsidR="000D07EA" w:rsidRDefault="00BE7C89">
      <w:pPr>
        <w:pStyle w:val="Heading7"/>
        <w:rPr>
          <w:snapToGrid w:val="0"/>
        </w:rPr>
      </w:pPr>
      <w:r>
        <w:rPr>
          <w:snapToGrid w:val="0"/>
        </w:rPr>
        <w:t xml:space="preserve">If </w:t>
      </w:r>
      <w:r>
        <w:rPr>
          <w:i/>
          <w:snapToGrid w:val="0"/>
        </w:rPr>
        <w:t>you</w:t>
      </w:r>
      <w:r>
        <w:rPr>
          <w:snapToGrid w:val="0"/>
        </w:rPr>
        <w:t xml:space="preserve"> do not want your services to share data, they need to be on separate billing accounts, or </w:t>
      </w:r>
      <w:r>
        <w:rPr>
          <w:i/>
          <w:snapToGrid w:val="0"/>
        </w:rPr>
        <w:t>you</w:t>
      </w:r>
      <w:r>
        <w:rPr>
          <w:snapToGrid w:val="0"/>
        </w:rPr>
        <w:t xml:space="preserve"> can connect </w:t>
      </w:r>
      <w:r>
        <w:rPr>
          <w:i/>
          <w:snapToGrid w:val="0"/>
        </w:rPr>
        <w:t>your</w:t>
      </w:r>
      <w:r>
        <w:rPr>
          <w:snapToGrid w:val="0"/>
        </w:rPr>
        <w:t xml:space="preserve"> mobile broadband device to a standalone Mobile Broadband Plan.</w:t>
      </w:r>
    </w:p>
    <w:p w14:paraId="04D0779B" w14:textId="77777777" w:rsidR="000D07EA" w:rsidRDefault="00BE7C89">
      <w:pPr>
        <w:pStyle w:val="Heading7"/>
        <w:rPr>
          <w:snapToGrid w:val="0"/>
        </w:rPr>
      </w:pPr>
      <w:r>
        <w:rPr>
          <w:snapToGrid w:val="0"/>
        </w:rPr>
        <w:t>Data sharing is only available within Australia.</w:t>
      </w:r>
    </w:p>
    <w:p w14:paraId="4C893512" w14:textId="77777777" w:rsidR="000D07EA" w:rsidRDefault="00BE7C89">
      <w:pPr>
        <w:pStyle w:val="Heading6"/>
        <w:keepNext/>
        <w:ind w:left="0" w:firstLine="0"/>
        <w:rPr>
          <w:snapToGrid w:val="0"/>
        </w:rPr>
      </w:pPr>
      <w:bookmarkStart w:id="930" w:name="_Toc410222138"/>
      <w:r>
        <w:rPr>
          <w:snapToGrid w:val="0"/>
        </w:rPr>
        <w:t>International Minutes</w:t>
      </w:r>
      <w:bookmarkEnd w:id="930"/>
    </w:p>
    <w:p w14:paraId="46C5E37B" w14:textId="77777777" w:rsidR="000D07EA" w:rsidRDefault="00BE7C89">
      <w:pPr>
        <w:pStyle w:val="BodyText"/>
        <w:ind w:left="720"/>
      </w:pPr>
      <w:r>
        <w:t xml:space="preserve">The $60/$80/$100 My Plan </w:t>
      </w:r>
      <w:r>
        <w:rPr>
          <w:snapToGrid w:val="0"/>
        </w:rPr>
        <w:t>Business</w:t>
      </w:r>
      <w:r>
        <w:t xml:space="preserve"> includes 50/150/300 international minutes (respectively) for standard calls to mobiles and fixed lines to selected countries. For a list of selected countries see Table 4 below.</w:t>
      </w:r>
    </w:p>
    <w:p w14:paraId="30B4CDC3" w14:textId="77777777" w:rsidR="000D07EA" w:rsidRDefault="00BE7C89">
      <w:pPr>
        <w:pStyle w:val="BodyText"/>
        <w:ind w:left="720"/>
      </w:pPr>
      <w:r>
        <w:t xml:space="preserve">Calls are charged per minute. When included minutes for calls to selected countries are used up, standard 'yes' international call charges apply. </w:t>
      </w:r>
    </w:p>
    <w:p w14:paraId="234670C8" w14:textId="77777777" w:rsidR="000D07EA" w:rsidRDefault="00BE7C89">
      <w:pPr>
        <w:pStyle w:val="Heading6"/>
        <w:ind w:left="0" w:firstLine="0"/>
        <w:rPr>
          <w:snapToGrid w:val="0"/>
        </w:rPr>
      </w:pPr>
      <w:bookmarkStart w:id="931" w:name="_Toc410222139"/>
      <w:r>
        <w:rPr>
          <w:snapToGrid w:val="0"/>
        </w:rPr>
        <w:t>Unlimited standard national SMS and MMS</w:t>
      </w:r>
      <w:bookmarkEnd w:id="931"/>
    </w:p>
    <w:p w14:paraId="6061724F" w14:textId="77777777" w:rsidR="000D07EA" w:rsidRDefault="00BE7C89">
      <w:pPr>
        <w:pStyle w:val="BodyText"/>
        <w:ind w:left="720"/>
      </w:pPr>
      <w:r>
        <w:rPr>
          <w:i/>
        </w:rPr>
        <w:t>You</w:t>
      </w:r>
      <w:r>
        <w:t xml:space="preserve"> may send unlimited standard SMS and MMS to Australian mobiles from within Australia.</w:t>
      </w:r>
    </w:p>
    <w:p w14:paraId="156B2FBF" w14:textId="77777777" w:rsidR="000D07EA" w:rsidRDefault="00BE7C89">
      <w:pPr>
        <w:pStyle w:val="BodyText"/>
        <w:ind w:left="720"/>
        <w:rPr>
          <w:i/>
          <w:u w:val="single"/>
        </w:rPr>
      </w:pPr>
      <w:r>
        <w:t xml:space="preserve">Unlimited standard SMS and MMS are only available for personal use and are not to be used for a commercial or non-ordinary purpose as set out in the Fair Go Policy. For further details refer to </w:t>
      </w:r>
      <w:hyperlink r:id="rId574" w:history="1">
        <w:r>
          <w:rPr>
            <w:rStyle w:val="Hyperlink"/>
            <w:i/>
          </w:rPr>
          <w:t>Appendix S</w:t>
        </w:r>
      </w:hyperlink>
      <w:r>
        <w:t>.</w:t>
      </w:r>
    </w:p>
    <w:p w14:paraId="4C136D34" w14:textId="77777777" w:rsidR="000D07EA" w:rsidRDefault="00BE7C89">
      <w:pPr>
        <w:pStyle w:val="Heading6"/>
        <w:ind w:left="0" w:firstLine="0"/>
        <w:rPr>
          <w:snapToGrid w:val="0"/>
        </w:rPr>
      </w:pPr>
      <w:bookmarkStart w:id="932" w:name="_Toc409100161"/>
      <w:bookmarkStart w:id="933" w:name="_Toc410222140"/>
      <w:r>
        <w:rPr>
          <w:snapToGrid w:val="0"/>
        </w:rPr>
        <w:t>Unlimited standard international SMS and MMS</w:t>
      </w:r>
      <w:bookmarkEnd w:id="932"/>
      <w:bookmarkEnd w:id="933"/>
    </w:p>
    <w:p w14:paraId="20515449" w14:textId="77777777" w:rsidR="000D07EA" w:rsidRDefault="00BE7C89">
      <w:pPr>
        <w:pStyle w:val="BodyText"/>
        <w:ind w:left="720"/>
      </w:pPr>
      <w:r>
        <w:rPr>
          <w:i/>
        </w:rPr>
        <w:t>You</w:t>
      </w:r>
      <w:r>
        <w:t xml:space="preserve"> may send unlimited standard SMS and MMS to selected countries. For a list of selected countries see Table 4 below.</w:t>
      </w:r>
    </w:p>
    <w:p w14:paraId="6B1B39AD" w14:textId="77777777" w:rsidR="000D07EA" w:rsidRDefault="00BE7C89">
      <w:pPr>
        <w:pStyle w:val="BodyText"/>
        <w:ind w:left="720"/>
        <w:rPr>
          <w:i/>
          <w:u w:val="single"/>
        </w:rPr>
      </w:pPr>
      <w:r>
        <w:t xml:space="preserve">Unlimited standard SMS and MMS are only available for personal use and are not to be used for a commercial or non-ordinary purpose as set out in the Fair Go Policy. For further details refer to </w:t>
      </w:r>
      <w:hyperlink r:id="rId575" w:history="1">
        <w:r>
          <w:rPr>
            <w:rStyle w:val="Hyperlink"/>
            <w:i/>
          </w:rPr>
          <w:t>Appendix S</w:t>
        </w:r>
      </w:hyperlink>
      <w:r>
        <w:rPr>
          <w:i/>
        </w:rPr>
        <w:t>.</w:t>
      </w:r>
    </w:p>
    <w:p w14:paraId="0E8094CA" w14:textId="77777777" w:rsidR="000D07EA" w:rsidRDefault="00BE7C89">
      <w:pPr>
        <w:pStyle w:val="Heading6"/>
        <w:ind w:left="0" w:firstLine="0"/>
        <w:rPr>
          <w:snapToGrid w:val="0"/>
        </w:rPr>
      </w:pPr>
      <w:bookmarkStart w:id="934" w:name="_Toc409100162"/>
      <w:bookmarkStart w:id="935" w:name="_Toc410222141"/>
      <w:r>
        <w:rPr>
          <w:snapToGrid w:val="0"/>
        </w:rPr>
        <w:t>Additional benefit – Handset Credit</w:t>
      </w:r>
      <w:bookmarkEnd w:id="934"/>
      <w:bookmarkEnd w:id="935"/>
    </w:p>
    <w:p w14:paraId="75D8D56F" w14:textId="77777777" w:rsidR="000D07EA" w:rsidRDefault="00BE7C89">
      <w:pPr>
        <w:pStyle w:val="Heading7"/>
      </w:pPr>
      <w:r>
        <w:rPr>
          <w:i/>
        </w:rPr>
        <w:t xml:space="preserve">When you </w:t>
      </w:r>
      <w:r>
        <w:t xml:space="preserve">connect to a My Plan </w:t>
      </w:r>
      <w:r>
        <w:rPr>
          <w:snapToGrid w:val="0"/>
        </w:rPr>
        <w:t>Business</w:t>
      </w:r>
      <w:r>
        <w:t xml:space="preserve"> which has a monthly phone credit ('</w:t>
      </w:r>
      <w:r>
        <w:rPr>
          <w:b/>
        </w:rPr>
        <w:t>Handset Credit</w:t>
      </w:r>
      <w:r>
        <w:t xml:space="preserve">') each month for </w:t>
      </w:r>
      <w:r>
        <w:rPr>
          <w:i/>
        </w:rPr>
        <w:t>your minimum term</w:t>
      </w:r>
      <w:r>
        <w:t xml:space="preserve">, this will reduce the monthly repayment costs of the handset </w:t>
      </w:r>
      <w:r>
        <w:rPr>
          <w:i/>
        </w:rPr>
        <w:t xml:space="preserve">you </w:t>
      </w:r>
      <w:r>
        <w:t xml:space="preserve">have chosen with </w:t>
      </w:r>
      <w:r>
        <w:rPr>
          <w:i/>
        </w:rPr>
        <w:t>your pricing plan</w:t>
      </w:r>
      <w:r>
        <w:t xml:space="preserve">. </w:t>
      </w:r>
    </w:p>
    <w:p w14:paraId="1A80EB2D" w14:textId="77777777" w:rsidR="000D07EA" w:rsidRDefault="00BE7C89">
      <w:pPr>
        <w:pStyle w:val="Heading7"/>
        <w:rPr>
          <w:b/>
        </w:rPr>
      </w:pPr>
      <w:r>
        <w:t xml:space="preserve">If </w:t>
      </w:r>
      <w:r>
        <w:rPr>
          <w:i/>
        </w:rPr>
        <w:t>you</w:t>
      </w:r>
      <w:r>
        <w:t xml:space="preserve"> </w:t>
      </w:r>
      <w:r>
        <w:rPr>
          <w:i/>
        </w:rPr>
        <w:t>cancel your pricing plan</w:t>
      </w:r>
      <w:r>
        <w:t xml:space="preserve"> or the </w:t>
      </w:r>
      <w:r>
        <w:rPr>
          <w:i/>
        </w:rPr>
        <w:t xml:space="preserve">mobile equipment payment plan </w:t>
      </w:r>
      <w:r>
        <w:t xml:space="preserve">during </w:t>
      </w:r>
      <w:r>
        <w:rPr>
          <w:i/>
        </w:rPr>
        <w:t>your minimum term</w:t>
      </w:r>
      <w:r>
        <w:t xml:space="preserve">, </w:t>
      </w:r>
      <w:r>
        <w:rPr>
          <w:i/>
        </w:rPr>
        <w:t>you</w:t>
      </w:r>
      <w:r>
        <w:t xml:space="preserve"> will no longer be entitled to these Handset Credits and </w:t>
      </w:r>
      <w:r>
        <w:rPr>
          <w:i/>
        </w:rPr>
        <w:t>you</w:t>
      </w:r>
      <w:r>
        <w:t xml:space="preserve"> must pay the remaining handset repayments in full in addition to any </w:t>
      </w:r>
      <w:r>
        <w:rPr>
          <w:i/>
        </w:rPr>
        <w:t>cancellation fee</w:t>
      </w:r>
      <w:r>
        <w:t>.</w:t>
      </w:r>
    </w:p>
    <w:p w14:paraId="5ECAEDE5" w14:textId="77777777" w:rsidR="000D07EA" w:rsidRDefault="00BE7C89">
      <w:pPr>
        <w:pStyle w:val="BodyText"/>
        <w:ind w:left="720"/>
        <w:rPr>
          <w:b/>
        </w:rPr>
      </w:pPr>
      <w:r>
        <w:rPr>
          <w:b/>
        </w:rPr>
        <w:t>Table 1 –Plan Inclusions and Charges</w:t>
      </w:r>
    </w:p>
    <w:tbl>
      <w:tblPr>
        <w:tblW w:w="4632"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8"/>
        <w:gridCol w:w="1444"/>
        <w:gridCol w:w="1444"/>
        <w:gridCol w:w="1444"/>
        <w:gridCol w:w="1444"/>
        <w:gridCol w:w="1444"/>
      </w:tblGrid>
      <w:tr w:rsidR="000D07EA" w14:paraId="2F4C419F" w14:textId="77777777">
        <w:trPr>
          <w:tblHeader/>
        </w:trPr>
        <w:tc>
          <w:tcPr>
            <w:tcW w:w="1175" w:type="pct"/>
            <w:shd w:val="clear" w:color="auto" w:fill="auto"/>
          </w:tcPr>
          <w:p w14:paraId="2A154E26" w14:textId="77777777" w:rsidR="000D07EA" w:rsidRDefault="000D07EA">
            <w:pPr>
              <w:pStyle w:val="BodyText"/>
              <w:spacing w:before="100" w:after="100"/>
            </w:pPr>
          </w:p>
        </w:tc>
        <w:tc>
          <w:tcPr>
            <w:tcW w:w="765" w:type="pct"/>
          </w:tcPr>
          <w:p w14:paraId="0E63C71F" w14:textId="77777777" w:rsidR="000D07EA" w:rsidRDefault="00BE7C89">
            <w:pPr>
              <w:pStyle w:val="BodyText"/>
              <w:spacing w:before="100" w:after="100"/>
              <w:jc w:val="center"/>
              <w:rPr>
                <w:b/>
              </w:rPr>
            </w:pPr>
            <w:r>
              <w:rPr>
                <w:b/>
              </w:rPr>
              <w:t xml:space="preserve">$35 My Plan </w:t>
            </w:r>
            <w:r>
              <w:rPr>
                <w:b/>
                <w:snapToGrid w:val="0"/>
              </w:rPr>
              <w:t>Business</w:t>
            </w:r>
          </w:p>
        </w:tc>
        <w:tc>
          <w:tcPr>
            <w:tcW w:w="765" w:type="pct"/>
            <w:shd w:val="clear" w:color="auto" w:fill="auto"/>
          </w:tcPr>
          <w:p w14:paraId="24DAB666" w14:textId="77777777" w:rsidR="000D07EA" w:rsidRDefault="00BE7C89">
            <w:pPr>
              <w:pStyle w:val="BodyText"/>
              <w:spacing w:before="100" w:after="100"/>
              <w:jc w:val="center"/>
              <w:rPr>
                <w:b/>
              </w:rPr>
            </w:pPr>
            <w:r>
              <w:rPr>
                <w:b/>
              </w:rPr>
              <w:t xml:space="preserve">$50 My Plan </w:t>
            </w:r>
            <w:r>
              <w:rPr>
                <w:b/>
                <w:snapToGrid w:val="0"/>
              </w:rPr>
              <w:t>Business</w:t>
            </w:r>
          </w:p>
        </w:tc>
        <w:tc>
          <w:tcPr>
            <w:tcW w:w="765" w:type="pct"/>
            <w:shd w:val="clear" w:color="auto" w:fill="auto"/>
          </w:tcPr>
          <w:p w14:paraId="75941B20" w14:textId="77777777" w:rsidR="000D07EA" w:rsidRDefault="00BE7C89">
            <w:pPr>
              <w:pStyle w:val="BodyText"/>
              <w:spacing w:before="100" w:after="100"/>
              <w:jc w:val="center"/>
              <w:rPr>
                <w:b/>
              </w:rPr>
            </w:pPr>
            <w:r>
              <w:rPr>
                <w:b/>
              </w:rPr>
              <w:t xml:space="preserve">$60 My Plan </w:t>
            </w:r>
            <w:r>
              <w:rPr>
                <w:b/>
                <w:snapToGrid w:val="0"/>
              </w:rPr>
              <w:t>Business</w:t>
            </w:r>
          </w:p>
        </w:tc>
        <w:tc>
          <w:tcPr>
            <w:tcW w:w="765" w:type="pct"/>
            <w:shd w:val="clear" w:color="auto" w:fill="auto"/>
          </w:tcPr>
          <w:p w14:paraId="4DE1A40B" w14:textId="77777777" w:rsidR="000D07EA" w:rsidRDefault="00BE7C89">
            <w:pPr>
              <w:pStyle w:val="BodyText"/>
              <w:spacing w:before="100" w:after="100"/>
              <w:jc w:val="center"/>
              <w:rPr>
                <w:b/>
              </w:rPr>
            </w:pPr>
            <w:r>
              <w:rPr>
                <w:b/>
              </w:rPr>
              <w:t xml:space="preserve">$80 My Plan </w:t>
            </w:r>
            <w:r>
              <w:rPr>
                <w:b/>
                <w:snapToGrid w:val="0"/>
              </w:rPr>
              <w:t>Business</w:t>
            </w:r>
          </w:p>
        </w:tc>
        <w:tc>
          <w:tcPr>
            <w:tcW w:w="765" w:type="pct"/>
          </w:tcPr>
          <w:p w14:paraId="645F18EE" w14:textId="77777777" w:rsidR="000D07EA" w:rsidRDefault="00BE7C89">
            <w:pPr>
              <w:pStyle w:val="BodyText"/>
              <w:spacing w:before="100" w:after="100"/>
              <w:jc w:val="center"/>
              <w:rPr>
                <w:b/>
              </w:rPr>
            </w:pPr>
            <w:r>
              <w:rPr>
                <w:b/>
              </w:rPr>
              <w:t xml:space="preserve">$100 My Plan </w:t>
            </w:r>
            <w:r>
              <w:rPr>
                <w:b/>
                <w:snapToGrid w:val="0"/>
              </w:rPr>
              <w:t>Business</w:t>
            </w:r>
          </w:p>
        </w:tc>
      </w:tr>
      <w:tr w:rsidR="000D07EA" w14:paraId="0EA5D844" w14:textId="77777777">
        <w:trPr>
          <w:trHeight w:val="58"/>
        </w:trPr>
        <w:tc>
          <w:tcPr>
            <w:tcW w:w="1175" w:type="pct"/>
            <w:shd w:val="clear" w:color="auto" w:fill="auto"/>
          </w:tcPr>
          <w:p w14:paraId="1B7E3E77" w14:textId="77777777" w:rsidR="000D07EA" w:rsidRDefault="00BE7C89">
            <w:pPr>
              <w:pStyle w:val="BodyText"/>
              <w:spacing w:before="100" w:after="100"/>
            </w:pPr>
            <w:r>
              <w:rPr>
                <w:b/>
                <w:bCs/>
              </w:rPr>
              <w:t>Minimum Monthly charge</w:t>
            </w:r>
          </w:p>
        </w:tc>
        <w:tc>
          <w:tcPr>
            <w:tcW w:w="765" w:type="pct"/>
            <w:vAlign w:val="center"/>
          </w:tcPr>
          <w:p w14:paraId="552F1C91" w14:textId="77777777" w:rsidR="000D07EA" w:rsidRDefault="00BE7C89">
            <w:pPr>
              <w:pStyle w:val="BodyText"/>
              <w:spacing w:before="100" w:after="100"/>
              <w:jc w:val="center"/>
            </w:pPr>
            <w:r>
              <w:t>$35</w:t>
            </w:r>
          </w:p>
        </w:tc>
        <w:tc>
          <w:tcPr>
            <w:tcW w:w="765" w:type="pct"/>
            <w:shd w:val="clear" w:color="auto" w:fill="auto"/>
            <w:vAlign w:val="center"/>
          </w:tcPr>
          <w:p w14:paraId="0B67CF81" w14:textId="77777777" w:rsidR="000D07EA" w:rsidRDefault="00BE7C89">
            <w:pPr>
              <w:pStyle w:val="BodyText"/>
              <w:spacing w:before="100" w:after="100"/>
              <w:jc w:val="center"/>
            </w:pPr>
            <w:r>
              <w:t>$50</w:t>
            </w:r>
          </w:p>
        </w:tc>
        <w:tc>
          <w:tcPr>
            <w:tcW w:w="765" w:type="pct"/>
            <w:shd w:val="clear" w:color="auto" w:fill="auto"/>
            <w:vAlign w:val="center"/>
          </w:tcPr>
          <w:p w14:paraId="28903FC3" w14:textId="77777777" w:rsidR="000D07EA" w:rsidRDefault="00BE7C89">
            <w:pPr>
              <w:pStyle w:val="BodyText"/>
              <w:spacing w:before="100" w:after="100"/>
              <w:jc w:val="center"/>
            </w:pPr>
            <w:r>
              <w:t>$60</w:t>
            </w:r>
          </w:p>
        </w:tc>
        <w:tc>
          <w:tcPr>
            <w:tcW w:w="765" w:type="pct"/>
            <w:shd w:val="clear" w:color="auto" w:fill="auto"/>
            <w:vAlign w:val="center"/>
          </w:tcPr>
          <w:p w14:paraId="40EAE2A6" w14:textId="77777777" w:rsidR="000D07EA" w:rsidRDefault="00BE7C89">
            <w:pPr>
              <w:pStyle w:val="BodyText"/>
              <w:spacing w:before="100" w:after="100"/>
              <w:jc w:val="center"/>
            </w:pPr>
            <w:r>
              <w:t>$80</w:t>
            </w:r>
          </w:p>
        </w:tc>
        <w:tc>
          <w:tcPr>
            <w:tcW w:w="765" w:type="pct"/>
            <w:vAlign w:val="center"/>
          </w:tcPr>
          <w:p w14:paraId="0E05C6BC" w14:textId="77777777" w:rsidR="000D07EA" w:rsidRDefault="00BE7C89">
            <w:pPr>
              <w:pStyle w:val="BodyText"/>
              <w:spacing w:before="100" w:after="100"/>
              <w:jc w:val="center"/>
            </w:pPr>
            <w:r>
              <w:t>$100</w:t>
            </w:r>
          </w:p>
        </w:tc>
      </w:tr>
      <w:tr w:rsidR="000D07EA" w14:paraId="5D9CB9E2" w14:textId="77777777">
        <w:tc>
          <w:tcPr>
            <w:tcW w:w="1175" w:type="pct"/>
            <w:shd w:val="clear" w:color="auto" w:fill="auto"/>
          </w:tcPr>
          <w:p w14:paraId="0B666480" w14:textId="77777777" w:rsidR="000D07EA" w:rsidRDefault="00BE7C89">
            <w:pPr>
              <w:pStyle w:val="BodyText"/>
              <w:spacing w:before="100" w:after="100"/>
            </w:pPr>
            <w:r>
              <w:rPr>
                <w:b/>
                <w:bCs/>
              </w:rPr>
              <w:lastRenderedPageBreak/>
              <w:t>Included Data</w:t>
            </w:r>
          </w:p>
        </w:tc>
        <w:tc>
          <w:tcPr>
            <w:tcW w:w="765" w:type="pct"/>
            <w:vAlign w:val="center"/>
          </w:tcPr>
          <w:p w14:paraId="722A3406" w14:textId="77777777" w:rsidR="000D07EA" w:rsidRDefault="00BE7C89">
            <w:pPr>
              <w:pStyle w:val="BodyText"/>
              <w:spacing w:before="100" w:after="100"/>
              <w:jc w:val="center"/>
            </w:pPr>
            <w:r>
              <w:t>500MB</w:t>
            </w:r>
          </w:p>
        </w:tc>
        <w:tc>
          <w:tcPr>
            <w:tcW w:w="765" w:type="pct"/>
            <w:shd w:val="clear" w:color="auto" w:fill="auto"/>
            <w:vAlign w:val="center"/>
          </w:tcPr>
          <w:p w14:paraId="581ACCDA" w14:textId="77777777" w:rsidR="000D07EA" w:rsidRDefault="00BE7C89">
            <w:pPr>
              <w:pStyle w:val="BodyText"/>
              <w:spacing w:before="100" w:after="100"/>
              <w:jc w:val="center"/>
            </w:pPr>
            <w:r>
              <w:t>1GB</w:t>
            </w:r>
          </w:p>
        </w:tc>
        <w:tc>
          <w:tcPr>
            <w:tcW w:w="765" w:type="pct"/>
            <w:shd w:val="clear" w:color="auto" w:fill="auto"/>
            <w:vAlign w:val="center"/>
          </w:tcPr>
          <w:p w14:paraId="1731BF02" w14:textId="77777777" w:rsidR="000D07EA" w:rsidRDefault="00BE7C89">
            <w:pPr>
              <w:pStyle w:val="BodyText"/>
              <w:spacing w:before="100" w:after="100"/>
              <w:jc w:val="center"/>
            </w:pPr>
            <w:r>
              <w:t>2.5GB</w:t>
            </w:r>
          </w:p>
        </w:tc>
        <w:tc>
          <w:tcPr>
            <w:tcW w:w="765" w:type="pct"/>
            <w:shd w:val="clear" w:color="auto" w:fill="auto"/>
            <w:vAlign w:val="center"/>
          </w:tcPr>
          <w:p w14:paraId="6A797435" w14:textId="77777777" w:rsidR="000D07EA" w:rsidRDefault="00BE7C89">
            <w:pPr>
              <w:pStyle w:val="BodyText"/>
              <w:spacing w:before="100" w:after="100"/>
              <w:jc w:val="center"/>
            </w:pPr>
            <w:r>
              <w:t>5GB</w:t>
            </w:r>
          </w:p>
        </w:tc>
        <w:tc>
          <w:tcPr>
            <w:tcW w:w="765" w:type="pct"/>
            <w:vAlign w:val="center"/>
          </w:tcPr>
          <w:p w14:paraId="506C1634" w14:textId="77777777" w:rsidR="000D07EA" w:rsidRDefault="00BE7C89">
            <w:pPr>
              <w:pStyle w:val="BodyText"/>
              <w:spacing w:before="100" w:after="100"/>
              <w:jc w:val="center"/>
            </w:pPr>
            <w:r>
              <w:t>8GB</w:t>
            </w:r>
          </w:p>
        </w:tc>
      </w:tr>
      <w:tr w:rsidR="000D07EA" w14:paraId="486CF4FC" w14:textId="77777777">
        <w:tc>
          <w:tcPr>
            <w:tcW w:w="1175" w:type="pct"/>
            <w:shd w:val="clear" w:color="auto" w:fill="auto"/>
          </w:tcPr>
          <w:p w14:paraId="6093E9A4" w14:textId="77777777" w:rsidR="000D07EA" w:rsidRDefault="00BE7C89">
            <w:pPr>
              <w:pStyle w:val="BodyText"/>
              <w:spacing w:before="100" w:after="100"/>
            </w:pPr>
            <w:r>
              <w:rPr>
                <w:b/>
                <w:bCs/>
              </w:rPr>
              <w:t>Included Minutes</w:t>
            </w:r>
          </w:p>
        </w:tc>
        <w:tc>
          <w:tcPr>
            <w:tcW w:w="765" w:type="pct"/>
            <w:vAlign w:val="center"/>
          </w:tcPr>
          <w:p w14:paraId="257730EA" w14:textId="77777777" w:rsidR="000D07EA" w:rsidRDefault="00BE7C89">
            <w:pPr>
              <w:pStyle w:val="BodyText"/>
              <w:spacing w:before="100" w:after="100"/>
              <w:jc w:val="center"/>
            </w:pPr>
            <w:r>
              <w:t>Up to 300 minutes</w:t>
            </w:r>
          </w:p>
        </w:tc>
        <w:tc>
          <w:tcPr>
            <w:tcW w:w="765" w:type="pct"/>
            <w:shd w:val="clear" w:color="auto" w:fill="auto"/>
            <w:vAlign w:val="center"/>
          </w:tcPr>
          <w:p w14:paraId="689C4FE8" w14:textId="77777777" w:rsidR="000D07EA" w:rsidRDefault="00BE7C89">
            <w:pPr>
              <w:pStyle w:val="BodyText"/>
              <w:spacing w:before="100" w:after="100"/>
              <w:jc w:val="center"/>
            </w:pPr>
            <w:r>
              <w:t>Up to 600 minutes</w:t>
            </w:r>
          </w:p>
        </w:tc>
        <w:tc>
          <w:tcPr>
            <w:tcW w:w="765" w:type="pct"/>
            <w:shd w:val="clear" w:color="auto" w:fill="auto"/>
            <w:vAlign w:val="center"/>
          </w:tcPr>
          <w:p w14:paraId="4FB25B63" w14:textId="77777777" w:rsidR="000D07EA" w:rsidRDefault="00BE7C89">
            <w:pPr>
              <w:pStyle w:val="BodyText"/>
              <w:spacing w:before="100" w:after="100"/>
              <w:jc w:val="center"/>
            </w:pPr>
            <w:r>
              <w:t>Unlimited minutes</w:t>
            </w:r>
          </w:p>
        </w:tc>
        <w:tc>
          <w:tcPr>
            <w:tcW w:w="765" w:type="pct"/>
            <w:shd w:val="clear" w:color="auto" w:fill="auto"/>
            <w:vAlign w:val="center"/>
          </w:tcPr>
          <w:p w14:paraId="0868B238" w14:textId="77777777" w:rsidR="000D07EA" w:rsidRDefault="00BE7C89">
            <w:pPr>
              <w:pStyle w:val="BodyText"/>
              <w:spacing w:before="100" w:after="100"/>
              <w:jc w:val="center"/>
            </w:pPr>
            <w:r>
              <w:t>Unlimited minutes</w:t>
            </w:r>
          </w:p>
        </w:tc>
        <w:tc>
          <w:tcPr>
            <w:tcW w:w="765" w:type="pct"/>
            <w:vAlign w:val="center"/>
          </w:tcPr>
          <w:p w14:paraId="3389CC3C" w14:textId="77777777" w:rsidR="000D07EA" w:rsidRDefault="00BE7C89">
            <w:pPr>
              <w:pStyle w:val="BodyText"/>
              <w:spacing w:before="100" w:after="100"/>
              <w:jc w:val="center"/>
            </w:pPr>
            <w:r>
              <w:t>Unlimited minutes</w:t>
            </w:r>
          </w:p>
        </w:tc>
      </w:tr>
      <w:tr w:rsidR="000D07EA" w14:paraId="40D75AFE" w14:textId="77777777">
        <w:trPr>
          <w:trHeight w:val="58"/>
        </w:trPr>
        <w:tc>
          <w:tcPr>
            <w:tcW w:w="1175" w:type="pct"/>
            <w:shd w:val="clear" w:color="auto" w:fill="auto"/>
          </w:tcPr>
          <w:p w14:paraId="16FF4390" w14:textId="77777777" w:rsidR="000D07EA" w:rsidRDefault="00BE7C89">
            <w:pPr>
              <w:pStyle w:val="BodyText"/>
              <w:spacing w:before="100" w:after="100"/>
              <w:rPr>
                <w:b/>
                <w:bCs/>
              </w:rPr>
            </w:pPr>
            <w:r>
              <w:rPr>
                <w:b/>
                <w:bCs/>
              </w:rPr>
              <w:t>Included International Minutes</w:t>
            </w:r>
          </w:p>
          <w:p w14:paraId="59CFA0E3" w14:textId="77777777" w:rsidR="000D07EA" w:rsidRDefault="00BE7C89">
            <w:pPr>
              <w:pStyle w:val="BodyText"/>
              <w:spacing w:before="100" w:after="100"/>
            </w:pPr>
            <w:r>
              <w:t>Standard international calls to landlines and mobiles</w:t>
            </w:r>
          </w:p>
          <w:p w14:paraId="0D5BF970" w14:textId="77777777" w:rsidR="000D07EA" w:rsidRDefault="00BE7C89">
            <w:pPr>
              <w:pStyle w:val="BodyText"/>
              <w:spacing w:before="100" w:after="100"/>
              <w:rPr>
                <w:b/>
                <w:bCs/>
              </w:rPr>
            </w:pPr>
            <w:r>
              <w:t>to selected countries</w:t>
            </w:r>
          </w:p>
        </w:tc>
        <w:tc>
          <w:tcPr>
            <w:tcW w:w="765" w:type="pct"/>
            <w:vAlign w:val="center"/>
          </w:tcPr>
          <w:p w14:paraId="1C7CF06B" w14:textId="77777777" w:rsidR="000D07EA" w:rsidRDefault="00BE7C89">
            <w:pPr>
              <w:pStyle w:val="BodyText"/>
              <w:spacing w:before="100" w:after="100"/>
              <w:jc w:val="center"/>
            </w:pPr>
            <w:r>
              <w:t>Not included</w:t>
            </w:r>
          </w:p>
        </w:tc>
        <w:tc>
          <w:tcPr>
            <w:tcW w:w="765" w:type="pct"/>
            <w:shd w:val="clear" w:color="auto" w:fill="auto"/>
            <w:vAlign w:val="center"/>
          </w:tcPr>
          <w:p w14:paraId="001FEB3A" w14:textId="77777777" w:rsidR="000D07EA" w:rsidRDefault="00BE7C89">
            <w:pPr>
              <w:pStyle w:val="BodyText"/>
              <w:spacing w:before="100" w:after="100"/>
              <w:jc w:val="center"/>
            </w:pPr>
            <w:r>
              <w:t>Not included</w:t>
            </w:r>
          </w:p>
        </w:tc>
        <w:tc>
          <w:tcPr>
            <w:tcW w:w="765" w:type="pct"/>
            <w:shd w:val="clear" w:color="auto" w:fill="auto"/>
            <w:vAlign w:val="center"/>
          </w:tcPr>
          <w:p w14:paraId="638FC5F1" w14:textId="77777777" w:rsidR="000D07EA" w:rsidRDefault="00BE7C89">
            <w:pPr>
              <w:pStyle w:val="BodyText"/>
              <w:spacing w:before="100" w:after="100"/>
              <w:jc w:val="center"/>
            </w:pPr>
            <w:r>
              <w:t>Up to 50 mins</w:t>
            </w:r>
          </w:p>
        </w:tc>
        <w:tc>
          <w:tcPr>
            <w:tcW w:w="765" w:type="pct"/>
            <w:shd w:val="clear" w:color="auto" w:fill="auto"/>
            <w:vAlign w:val="center"/>
          </w:tcPr>
          <w:p w14:paraId="1DA99F66" w14:textId="77777777" w:rsidR="000D07EA" w:rsidRDefault="00BE7C89">
            <w:pPr>
              <w:pStyle w:val="BodyText"/>
              <w:spacing w:before="100" w:after="100"/>
              <w:jc w:val="center"/>
            </w:pPr>
            <w:r>
              <w:t>Up to 150 mins</w:t>
            </w:r>
          </w:p>
        </w:tc>
        <w:tc>
          <w:tcPr>
            <w:tcW w:w="765" w:type="pct"/>
            <w:vAlign w:val="center"/>
          </w:tcPr>
          <w:p w14:paraId="0F54BCB0" w14:textId="77777777" w:rsidR="000D07EA" w:rsidRDefault="00BE7C89">
            <w:pPr>
              <w:pStyle w:val="BodyText"/>
              <w:spacing w:before="100" w:after="100"/>
              <w:jc w:val="center"/>
            </w:pPr>
            <w:r>
              <w:t>Up to 300 mins</w:t>
            </w:r>
          </w:p>
        </w:tc>
      </w:tr>
      <w:tr w:rsidR="000D07EA" w14:paraId="046FDCA4" w14:textId="77777777">
        <w:trPr>
          <w:trHeight w:val="58"/>
        </w:trPr>
        <w:tc>
          <w:tcPr>
            <w:tcW w:w="1175" w:type="pct"/>
            <w:shd w:val="clear" w:color="auto" w:fill="auto"/>
          </w:tcPr>
          <w:p w14:paraId="20CA9ED0" w14:textId="77777777" w:rsidR="000D07EA" w:rsidRDefault="00BE7C89">
            <w:pPr>
              <w:pStyle w:val="BodyText"/>
              <w:spacing w:before="100" w:after="100"/>
            </w:pPr>
            <w:r>
              <w:rPr>
                <w:b/>
                <w:bCs/>
              </w:rPr>
              <w:t xml:space="preserve">Standard national SMS </w:t>
            </w:r>
            <w:r>
              <w:t>(per SMS of up to 160 standard characters)</w:t>
            </w:r>
          </w:p>
        </w:tc>
        <w:tc>
          <w:tcPr>
            <w:tcW w:w="765" w:type="pct"/>
            <w:vAlign w:val="center"/>
          </w:tcPr>
          <w:p w14:paraId="183B518E" w14:textId="77777777" w:rsidR="000D07EA" w:rsidRDefault="00BE7C89">
            <w:pPr>
              <w:pStyle w:val="BodyText"/>
              <w:spacing w:before="100" w:after="100"/>
              <w:jc w:val="center"/>
            </w:pPr>
            <w:r>
              <w:t>Unlimited</w:t>
            </w:r>
          </w:p>
        </w:tc>
        <w:tc>
          <w:tcPr>
            <w:tcW w:w="765" w:type="pct"/>
            <w:shd w:val="clear" w:color="auto" w:fill="auto"/>
            <w:vAlign w:val="center"/>
          </w:tcPr>
          <w:p w14:paraId="36B46CB5" w14:textId="77777777" w:rsidR="000D07EA" w:rsidRDefault="00BE7C89">
            <w:pPr>
              <w:pStyle w:val="BodyText"/>
              <w:spacing w:before="100" w:after="100"/>
              <w:jc w:val="center"/>
            </w:pPr>
            <w:r>
              <w:t>Unlimited</w:t>
            </w:r>
          </w:p>
        </w:tc>
        <w:tc>
          <w:tcPr>
            <w:tcW w:w="765" w:type="pct"/>
            <w:shd w:val="clear" w:color="auto" w:fill="auto"/>
            <w:vAlign w:val="center"/>
          </w:tcPr>
          <w:p w14:paraId="42BB3777" w14:textId="77777777" w:rsidR="000D07EA" w:rsidRDefault="00BE7C89">
            <w:pPr>
              <w:pStyle w:val="BodyText"/>
              <w:spacing w:before="100" w:after="100"/>
              <w:jc w:val="center"/>
            </w:pPr>
            <w:r>
              <w:t>Unlimited</w:t>
            </w:r>
          </w:p>
        </w:tc>
        <w:tc>
          <w:tcPr>
            <w:tcW w:w="765" w:type="pct"/>
            <w:shd w:val="clear" w:color="auto" w:fill="auto"/>
            <w:vAlign w:val="center"/>
          </w:tcPr>
          <w:p w14:paraId="234BB6A9" w14:textId="77777777" w:rsidR="000D07EA" w:rsidRDefault="00BE7C89">
            <w:pPr>
              <w:pStyle w:val="BodyText"/>
              <w:spacing w:before="100" w:after="100"/>
              <w:jc w:val="center"/>
            </w:pPr>
            <w:r>
              <w:t>Unlimited</w:t>
            </w:r>
          </w:p>
        </w:tc>
        <w:tc>
          <w:tcPr>
            <w:tcW w:w="765" w:type="pct"/>
            <w:vAlign w:val="center"/>
          </w:tcPr>
          <w:p w14:paraId="2AAB307C" w14:textId="77777777" w:rsidR="000D07EA" w:rsidRDefault="00BE7C89">
            <w:pPr>
              <w:pStyle w:val="BodyText"/>
              <w:spacing w:before="100" w:after="100"/>
              <w:jc w:val="center"/>
            </w:pPr>
            <w:r>
              <w:t>Unlimited</w:t>
            </w:r>
          </w:p>
        </w:tc>
      </w:tr>
      <w:tr w:rsidR="000D07EA" w14:paraId="3D8F3F56" w14:textId="77777777">
        <w:trPr>
          <w:trHeight w:val="58"/>
        </w:trPr>
        <w:tc>
          <w:tcPr>
            <w:tcW w:w="1175" w:type="pct"/>
            <w:shd w:val="clear" w:color="auto" w:fill="auto"/>
          </w:tcPr>
          <w:p w14:paraId="52704004" w14:textId="77777777" w:rsidR="000D07EA" w:rsidRDefault="00BE7C89">
            <w:pPr>
              <w:pStyle w:val="BodyText"/>
              <w:spacing w:before="100" w:after="100"/>
              <w:rPr>
                <w:b/>
                <w:bCs/>
              </w:rPr>
            </w:pPr>
            <w:r>
              <w:rPr>
                <w:b/>
                <w:bCs/>
              </w:rPr>
              <w:t xml:space="preserve">Standard national MMS </w:t>
            </w:r>
            <w:r>
              <w:t>(per message)</w:t>
            </w:r>
          </w:p>
        </w:tc>
        <w:tc>
          <w:tcPr>
            <w:tcW w:w="765" w:type="pct"/>
            <w:vAlign w:val="center"/>
          </w:tcPr>
          <w:p w14:paraId="3754BB63" w14:textId="77777777" w:rsidR="000D07EA" w:rsidRDefault="00BE7C89">
            <w:pPr>
              <w:pStyle w:val="BodyText"/>
              <w:spacing w:before="100" w:after="100"/>
              <w:jc w:val="center"/>
            </w:pPr>
            <w:r>
              <w:t>Unlimited</w:t>
            </w:r>
          </w:p>
        </w:tc>
        <w:tc>
          <w:tcPr>
            <w:tcW w:w="765" w:type="pct"/>
            <w:shd w:val="clear" w:color="auto" w:fill="auto"/>
            <w:vAlign w:val="center"/>
          </w:tcPr>
          <w:p w14:paraId="48A587F3" w14:textId="77777777" w:rsidR="000D07EA" w:rsidRDefault="00BE7C89">
            <w:pPr>
              <w:pStyle w:val="BodyText"/>
              <w:spacing w:before="100" w:after="100"/>
              <w:jc w:val="center"/>
            </w:pPr>
            <w:r>
              <w:t>Unlimited</w:t>
            </w:r>
          </w:p>
        </w:tc>
        <w:tc>
          <w:tcPr>
            <w:tcW w:w="765" w:type="pct"/>
            <w:shd w:val="clear" w:color="auto" w:fill="auto"/>
            <w:vAlign w:val="center"/>
          </w:tcPr>
          <w:p w14:paraId="115D5DF5" w14:textId="77777777" w:rsidR="000D07EA" w:rsidRDefault="00BE7C89">
            <w:pPr>
              <w:pStyle w:val="BodyText"/>
              <w:spacing w:before="100" w:after="100"/>
              <w:jc w:val="center"/>
            </w:pPr>
            <w:r>
              <w:t>Unlimited</w:t>
            </w:r>
          </w:p>
        </w:tc>
        <w:tc>
          <w:tcPr>
            <w:tcW w:w="765" w:type="pct"/>
            <w:shd w:val="clear" w:color="auto" w:fill="auto"/>
            <w:vAlign w:val="center"/>
          </w:tcPr>
          <w:p w14:paraId="45EA29F7" w14:textId="77777777" w:rsidR="000D07EA" w:rsidRDefault="00BE7C89">
            <w:pPr>
              <w:pStyle w:val="BodyText"/>
              <w:spacing w:before="100" w:after="100"/>
              <w:jc w:val="center"/>
            </w:pPr>
            <w:r>
              <w:t>Unlimited</w:t>
            </w:r>
          </w:p>
        </w:tc>
        <w:tc>
          <w:tcPr>
            <w:tcW w:w="765" w:type="pct"/>
            <w:vAlign w:val="center"/>
          </w:tcPr>
          <w:p w14:paraId="4358B7C8" w14:textId="77777777" w:rsidR="000D07EA" w:rsidRDefault="00BE7C89">
            <w:pPr>
              <w:pStyle w:val="BodyText"/>
              <w:spacing w:before="100" w:after="100"/>
              <w:jc w:val="center"/>
            </w:pPr>
            <w:r>
              <w:t>Unlimited</w:t>
            </w:r>
          </w:p>
        </w:tc>
      </w:tr>
      <w:tr w:rsidR="000D07EA" w14:paraId="4B8BEF3A" w14:textId="77777777">
        <w:trPr>
          <w:trHeight w:val="58"/>
        </w:trPr>
        <w:tc>
          <w:tcPr>
            <w:tcW w:w="1175" w:type="pct"/>
            <w:shd w:val="clear" w:color="auto" w:fill="auto"/>
          </w:tcPr>
          <w:p w14:paraId="3B7D8B40" w14:textId="77777777" w:rsidR="000D07EA" w:rsidRDefault="00BE7C89">
            <w:pPr>
              <w:pStyle w:val="BodyText"/>
              <w:spacing w:before="100" w:after="100"/>
              <w:rPr>
                <w:b/>
                <w:bCs/>
              </w:rPr>
            </w:pPr>
            <w:r>
              <w:rPr>
                <w:b/>
                <w:bCs/>
              </w:rPr>
              <w:t xml:space="preserve">Standard international SMS </w:t>
            </w:r>
            <w:r>
              <w:t>(per SMS of up to 160 standard characters to selected countries)</w:t>
            </w:r>
          </w:p>
        </w:tc>
        <w:tc>
          <w:tcPr>
            <w:tcW w:w="765" w:type="pct"/>
            <w:vAlign w:val="center"/>
          </w:tcPr>
          <w:p w14:paraId="5A53FB41" w14:textId="77777777" w:rsidR="000D07EA" w:rsidRDefault="00BE7C89">
            <w:pPr>
              <w:pStyle w:val="BodyText"/>
              <w:spacing w:before="100" w:after="100"/>
              <w:jc w:val="center"/>
            </w:pPr>
            <w:r>
              <w:t>Unlimited</w:t>
            </w:r>
          </w:p>
        </w:tc>
        <w:tc>
          <w:tcPr>
            <w:tcW w:w="765" w:type="pct"/>
            <w:shd w:val="clear" w:color="auto" w:fill="auto"/>
            <w:vAlign w:val="center"/>
          </w:tcPr>
          <w:p w14:paraId="62DAC0C2" w14:textId="77777777" w:rsidR="000D07EA" w:rsidRDefault="00BE7C89">
            <w:pPr>
              <w:pStyle w:val="BodyText"/>
              <w:spacing w:before="100" w:after="100"/>
              <w:jc w:val="center"/>
            </w:pPr>
            <w:r>
              <w:t>Unlimited</w:t>
            </w:r>
          </w:p>
        </w:tc>
        <w:tc>
          <w:tcPr>
            <w:tcW w:w="765" w:type="pct"/>
            <w:shd w:val="clear" w:color="auto" w:fill="auto"/>
            <w:vAlign w:val="center"/>
          </w:tcPr>
          <w:p w14:paraId="7D21ABA3" w14:textId="77777777" w:rsidR="000D07EA" w:rsidRDefault="00BE7C89">
            <w:pPr>
              <w:pStyle w:val="BodyText"/>
              <w:spacing w:before="100" w:after="100"/>
              <w:jc w:val="center"/>
            </w:pPr>
            <w:r>
              <w:t>Unlimited</w:t>
            </w:r>
          </w:p>
        </w:tc>
        <w:tc>
          <w:tcPr>
            <w:tcW w:w="765" w:type="pct"/>
            <w:shd w:val="clear" w:color="auto" w:fill="auto"/>
            <w:vAlign w:val="center"/>
          </w:tcPr>
          <w:p w14:paraId="0FC29244" w14:textId="77777777" w:rsidR="000D07EA" w:rsidRDefault="00BE7C89">
            <w:pPr>
              <w:pStyle w:val="BodyText"/>
              <w:spacing w:before="100" w:after="100"/>
              <w:jc w:val="center"/>
            </w:pPr>
            <w:r>
              <w:t>Unlimited</w:t>
            </w:r>
          </w:p>
        </w:tc>
        <w:tc>
          <w:tcPr>
            <w:tcW w:w="765" w:type="pct"/>
            <w:vAlign w:val="center"/>
          </w:tcPr>
          <w:p w14:paraId="3671EC88" w14:textId="77777777" w:rsidR="000D07EA" w:rsidRDefault="00BE7C89">
            <w:pPr>
              <w:pStyle w:val="BodyText"/>
              <w:spacing w:before="100" w:after="100"/>
              <w:jc w:val="center"/>
            </w:pPr>
            <w:r>
              <w:t>Unlimited</w:t>
            </w:r>
          </w:p>
        </w:tc>
      </w:tr>
      <w:tr w:rsidR="000D07EA" w14:paraId="14AA9FCE" w14:textId="77777777">
        <w:trPr>
          <w:trHeight w:val="58"/>
        </w:trPr>
        <w:tc>
          <w:tcPr>
            <w:tcW w:w="1175" w:type="pct"/>
            <w:shd w:val="clear" w:color="auto" w:fill="auto"/>
          </w:tcPr>
          <w:p w14:paraId="52656B65" w14:textId="77777777" w:rsidR="000D07EA" w:rsidRDefault="00BE7C89">
            <w:pPr>
              <w:pStyle w:val="BodyText"/>
              <w:spacing w:before="100" w:after="100"/>
              <w:rPr>
                <w:b/>
                <w:bCs/>
              </w:rPr>
            </w:pPr>
            <w:r>
              <w:rPr>
                <w:b/>
                <w:bCs/>
              </w:rPr>
              <w:t xml:space="preserve">Standard international MMS </w:t>
            </w:r>
            <w:r>
              <w:t>(per message to selected countries)</w:t>
            </w:r>
          </w:p>
        </w:tc>
        <w:tc>
          <w:tcPr>
            <w:tcW w:w="765" w:type="pct"/>
            <w:vAlign w:val="center"/>
          </w:tcPr>
          <w:p w14:paraId="17D5EE0A" w14:textId="77777777" w:rsidR="000D07EA" w:rsidRDefault="00BE7C89">
            <w:pPr>
              <w:pStyle w:val="BodyText"/>
              <w:spacing w:before="100" w:after="100"/>
              <w:jc w:val="center"/>
            </w:pPr>
            <w:r>
              <w:t>Unlimited</w:t>
            </w:r>
          </w:p>
        </w:tc>
        <w:tc>
          <w:tcPr>
            <w:tcW w:w="765" w:type="pct"/>
            <w:shd w:val="clear" w:color="auto" w:fill="auto"/>
            <w:vAlign w:val="center"/>
          </w:tcPr>
          <w:p w14:paraId="0519C223" w14:textId="77777777" w:rsidR="000D07EA" w:rsidRDefault="00BE7C89">
            <w:pPr>
              <w:pStyle w:val="BodyText"/>
              <w:spacing w:before="100" w:after="100"/>
              <w:jc w:val="center"/>
            </w:pPr>
            <w:r>
              <w:t>Unlimited</w:t>
            </w:r>
          </w:p>
        </w:tc>
        <w:tc>
          <w:tcPr>
            <w:tcW w:w="765" w:type="pct"/>
            <w:shd w:val="clear" w:color="auto" w:fill="auto"/>
            <w:vAlign w:val="center"/>
          </w:tcPr>
          <w:p w14:paraId="48397DA6" w14:textId="77777777" w:rsidR="000D07EA" w:rsidRDefault="00BE7C89">
            <w:pPr>
              <w:pStyle w:val="BodyText"/>
              <w:spacing w:before="100" w:after="100"/>
              <w:jc w:val="center"/>
            </w:pPr>
            <w:r>
              <w:t>Unlimited</w:t>
            </w:r>
          </w:p>
        </w:tc>
        <w:tc>
          <w:tcPr>
            <w:tcW w:w="765" w:type="pct"/>
            <w:shd w:val="clear" w:color="auto" w:fill="auto"/>
            <w:vAlign w:val="center"/>
          </w:tcPr>
          <w:p w14:paraId="60962757" w14:textId="77777777" w:rsidR="000D07EA" w:rsidRDefault="00BE7C89">
            <w:pPr>
              <w:pStyle w:val="BodyText"/>
              <w:spacing w:before="100" w:after="100"/>
              <w:jc w:val="center"/>
            </w:pPr>
            <w:r>
              <w:t>Unlimited</w:t>
            </w:r>
          </w:p>
        </w:tc>
        <w:tc>
          <w:tcPr>
            <w:tcW w:w="765" w:type="pct"/>
            <w:vAlign w:val="center"/>
          </w:tcPr>
          <w:p w14:paraId="7B700CDE" w14:textId="77777777" w:rsidR="000D07EA" w:rsidRDefault="00BE7C89">
            <w:pPr>
              <w:pStyle w:val="BodyText"/>
              <w:spacing w:before="100" w:after="100"/>
              <w:jc w:val="center"/>
            </w:pPr>
            <w:r>
              <w:t>Unlimited</w:t>
            </w:r>
          </w:p>
        </w:tc>
      </w:tr>
      <w:tr w:rsidR="000D07EA" w14:paraId="6ACBF084" w14:textId="77777777">
        <w:trPr>
          <w:trHeight w:val="58"/>
        </w:trPr>
        <w:tc>
          <w:tcPr>
            <w:tcW w:w="1175" w:type="pct"/>
            <w:shd w:val="clear" w:color="auto" w:fill="auto"/>
          </w:tcPr>
          <w:p w14:paraId="70C15EC0" w14:textId="77777777" w:rsidR="000D07EA" w:rsidRDefault="00BE7C89">
            <w:pPr>
              <w:pStyle w:val="BodyText"/>
              <w:spacing w:before="100" w:after="100"/>
              <w:rPr>
                <w:b/>
                <w:bCs/>
              </w:rPr>
            </w:pPr>
            <w:r>
              <w:rPr>
                <w:b/>
                <w:bCs/>
              </w:rPr>
              <w:t>Minimum total cost over 24 months</w:t>
            </w:r>
          </w:p>
        </w:tc>
        <w:tc>
          <w:tcPr>
            <w:tcW w:w="765" w:type="pct"/>
            <w:vAlign w:val="center"/>
          </w:tcPr>
          <w:p w14:paraId="455CDF70" w14:textId="77777777" w:rsidR="000D07EA" w:rsidRDefault="00BE7C89">
            <w:pPr>
              <w:pStyle w:val="BodyText"/>
              <w:spacing w:before="100" w:after="100"/>
              <w:jc w:val="center"/>
            </w:pPr>
            <w:r>
              <w:t>$840</w:t>
            </w:r>
          </w:p>
        </w:tc>
        <w:tc>
          <w:tcPr>
            <w:tcW w:w="765" w:type="pct"/>
            <w:shd w:val="clear" w:color="auto" w:fill="auto"/>
            <w:vAlign w:val="center"/>
          </w:tcPr>
          <w:p w14:paraId="16F4B6EA" w14:textId="77777777" w:rsidR="000D07EA" w:rsidRDefault="00BE7C89">
            <w:pPr>
              <w:pStyle w:val="BodyText"/>
              <w:spacing w:before="100" w:after="100"/>
              <w:jc w:val="center"/>
            </w:pPr>
            <w:r>
              <w:t>$1200</w:t>
            </w:r>
          </w:p>
        </w:tc>
        <w:tc>
          <w:tcPr>
            <w:tcW w:w="765" w:type="pct"/>
            <w:shd w:val="clear" w:color="auto" w:fill="auto"/>
            <w:vAlign w:val="center"/>
          </w:tcPr>
          <w:p w14:paraId="4519DFB6" w14:textId="77777777" w:rsidR="000D07EA" w:rsidRDefault="00BE7C89">
            <w:pPr>
              <w:pStyle w:val="BodyText"/>
              <w:spacing w:before="100" w:after="100"/>
              <w:jc w:val="center"/>
            </w:pPr>
            <w:r>
              <w:t>$1440</w:t>
            </w:r>
          </w:p>
        </w:tc>
        <w:tc>
          <w:tcPr>
            <w:tcW w:w="765" w:type="pct"/>
            <w:shd w:val="clear" w:color="auto" w:fill="auto"/>
            <w:vAlign w:val="center"/>
          </w:tcPr>
          <w:p w14:paraId="0CA82582" w14:textId="77777777" w:rsidR="000D07EA" w:rsidRDefault="00BE7C89">
            <w:pPr>
              <w:pStyle w:val="BodyText"/>
              <w:spacing w:before="100" w:after="100"/>
              <w:jc w:val="center"/>
            </w:pPr>
            <w:r>
              <w:t>$1920</w:t>
            </w:r>
          </w:p>
        </w:tc>
        <w:tc>
          <w:tcPr>
            <w:tcW w:w="765" w:type="pct"/>
            <w:vAlign w:val="center"/>
          </w:tcPr>
          <w:p w14:paraId="29B39E48" w14:textId="77777777" w:rsidR="000D07EA" w:rsidRDefault="00BE7C89">
            <w:pPr>
              <w:pStyle w:val="BodyText"/>
              <w:spacing w:before="100" w:after="100"/>
              <w:jc w:val="center"/>
            </w:pPr>
            <w:r>
              <w:t>$2400</w:t>
            </w:r>
          </w:p>
        </w:tc>
      </w:tr>
    </w:tbl>
    <w:p w14:paraId="2CD6F948" w14:textId="77777777" w:rsidR="000D07EA" w:rsidRDefault="000D07EA">
      <w:pPr>
        <w:pStyle w:val="BodyText"/>
      </w:pPr>
    </w:p>
    <w:p w14:paraId="4E26066A" w14:textId="77777777" w:rsidR="000D07EA" w:rsidRDefault="00BE7C89">
      <w:pPr>
        <w:pStyle w:val="BodyText"/>
        <w:ind w:left="720"/>
        <w:rPr>
          <w:b/>
        </w:rPr>
      </w:pPr>
      <w:r>
        <w:rPr>
          <w:b/>
        </w:rPr>
        <w:t>Table 2 – Other usage types and charges</w:t>
      </w:r>
    </w:p>
    <w:tbl>
      <w:tblPr>
        <w:tblW w:w="4552"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6"/>
        <w:gridCol w:w="4239"/>
      </w:tblGrid>
      <w:tr w:rsidR="000D07EA" w14:paraId="7CB23E4B" w14:textId="77777777">
        <w:trPr>
          <w:tblHeader/>
        </w:trPr>
        <w:tc>
          <w:tcPr>
            <w:tcW w:w="2715" w:type="pct"/>
            <w:shd w:val="clear" w:color="auto" w:fill="auto"/>
          </w:tcPr>
          <w:p w14:paraId="23D0E062" w14:textId="77777777" w:rsidR="000D07EA" w:rsidRDefault="00BE7C89">
            <w:pPr>
              <w:pStyle w:val="BodyText"/>
              <w:spacing w:before="100" w:after="100"/>
              <w:jc w:val="center"/>
              <w:rPr>
                <w:b/>
              </w:rPr>
            </w:pPr>
            <w:r>
              <w:rPr>
                <w:b/>
              </w:rPr>
              <w:t>Usage type</w:t>
            </w:r>
          </w:p>
        </w:tc>
        <w:tc>
          <w:tcPr>
            <w:tcW w:w="2285" w:type="pct"/>
            <w:shd w:val="clear" w:color="auto" w:fill="auto"/>
            <w:vAlign w:val="center"/>
          </w:tcPr>
          <w:p w14:paraId="1F3CDB35" w14:textId="77777777" w:rsidR="000D07EA" w:rsidRDefault="00BE7C89">
            <w:pPr>
              <w:pStyle w:val="BodyText"/>
              <w:spacing w:before="100" w:after="100"/>
              <w:jc w:val="center"/>
              <w:rPr>
                <w:b/>
              </w:rPr>
            </w:pPr>
            <w:r>
              <w:rPr>
                <w:b/>
              </w:rPr>
              <w:t>Charge</w:t>
            </w:r>
          </w:p>
        </w:tc>
      </w:tr>
      <w:tr w:rsidR="000D07EA" w14:paraId="363E62B7" w14:textId="77777777">
        <w:tc>
          <w:tcPr>
            <w:tcW w:w="2715" w:type="pct"/>
            <w:shd w:val="clear" w:color="auto" w:fill="auto"/>
          </w:tcPr>
          <w:p w14:paraId="5D0CAC5E" w14:textId="77777777" w:rsidR="000D07EA" w:rsidRDefault="00BE7C89">
            <w:pPr>
              <w:pStyle w:val="BodyText"/>
              <w:spacing w:before="100" w:after="100"/>
              <w:rPr>
                <w:b/>
              </w:rPr>
            </w:pPr>
            <w:r>
              <w:rPr>
                <w:b/>
                <w:bCs/>
              </w:rPr>
              <w:t xml:space="preserve">National video calls </w:t>
            </w:r>
            <w:r>
              <w:t>(per minute)</w:t>
            </w:r>
          </w:p>
        </w:tc>
        <w:tc>
          <w:tcPr>
            <w:tcW w:w="2285" w:type="pct"/>
            <w:shd w:val="clear" w:color="auto" w:fill="auto"/>
            <w:vAlign w:val="center"/>
          </w:tcPr>
          <w:p w14:paraId="4A3D8C5B" w14:textId="77777777" w:rsidR="000D07EA" w:rsidRDefault="00BE7C89">
            <w:pPr>
              <w:pStyle w:val="BodyText"/>
              <w:spacing w:before="100" w:after="100"/>
              <w:jc w:val="center"/>
            </w:pPr>
            <w:r>
              <w:t>$1.00 per min + 40c flagfall</w:t>
            </w:r>
          </w:p>
        </w:tc>
      </w:tr>
      <w:tr w:rsidR="000D07EA" w14:paraId="5877B2A7" w14:textId="77777777">
        <w:tc>
          <w:tcPr>
            <w:tcW w:w="2715" w:type="pct"/>
            <w:shd w:val="clear" w:color="auto" w:fill="auto"/>
          </w:tcPr>
          <w:p w14:paraId="125DD04A" w14:textId="77777777" w:rsidR="000D07EA" w:rsidRDefault="00BE7C89">
            <w:pPr>
              <w:pStyle w:val="BodyText"/>
              <w:spacing w:before="100" w:after="100"/>
              <w:rPr>
                <w:b/>
              </w:rPr>
            </w:pPr>
            <w:r>
              <w:rPr>
                <w:b/>
                <w:bCs/>
              </w:rPr>
              <w:t xml:space="preserve">VoiceMail Deposits </w:t>
            </w:r>
          </w:p>
        </w:tc>
        <w:tc>
          <w:tcPr>
            <w:tcW w:w="2285" w:type="pct"/>
            <w:shd w:val="clear" w:color="auto" w:fill="auto"/>
          </w:tcPr>
          <w:p w14:paraId="340C5723" w14:textId="77777777" w:rsidR="000D07EA" w:rsidRDefault="00BE7C89">
            <w:pPr>
              <w:pStyle w:val="BodyText"/>
              <w:spacing w:before="100" w:after="100"/>
              <w:jc w:val="center"/>
            </w:pPr>
            <w:r>
              <w:t>$0 per minute</w:t>
            </w:r>
          </w:p>
        </w:tc>
      </w:tr>
      <w:tr w:rsidR="000D07EA" w14:paraId="1340EAF2" w14:textId="77777777">
        <w:tc>
          <w:tcPr>
            <w:tcW w:w="2715" w:type="pct"/>
            <w:shd w:val="clear" w:color="auto" w:fill="auto"/>
          </w:tcPr>
          <w:p w14:paraId="030DA1D0" w14:textId="77777777" w:rsidR="000D07EA" w:rsidRDefault="00BE7C89">
            <w:pPr>
              <w:pStyle w:val="BodyText"/>
              <w:spacing w:before="100" w:after="100"/>
              <w:rPr>
                <w:b/>
              </w:rPr>
            </w:pPr>
            <w:r>
              <w:rPr>
                <w:b/>
                <w:bCs/>
              </w:rPr>
              <w:t>Voicemail Diversions</w:t>
            </w:r>
          </w:p>
        </w:tc>
        <w:tc>
          <w:tcPr>
            <w:tcW w:w="2285" w:type="pct"/>
            <w:shd w:val="clear" w:color="auto" w:fill="auto"/>
          </w:tcPr>
          <w:p w14:paraId="3D0566AE" w14:textId="77777777" w:rsidR="000D07EA" w:rsidRDefault="00BE7C89">
            <w:pPr>
              <w:pStyle w:val="BodyText"/>
              <w:spacing w:before="100" w:after="100"/>
              <w:jc w:val="center"/>
            </w:pPr>
            <w:r>
              <w:t>$0 per minute</w:t>
            </w:r>
          </w:p>
        </w:tc>
      </w:tr>
      <w:tr w:rsidR="000D07EA" w14:paraId="7BA4EBB1" w14:textId="77777777">
        <w:tc>
          <w:tcPr>
            <w:tcW w:w="2715" w:type="pct"/>
            <w:shd w:val="clear" w:color="auto" w:fill="auto"/>
          </w:tcPr>
          <w:p w14:paraId="3C820634" w14:textId="77777777" w:rsidR="000D07EA" w:rsidRDefault="00BE7C89">
            <w:pPr>
              <w:pStyle w:val="BodyText"/>
              <w:spacing w:before="100" w:after="100"/>
              <w:rPr>
                <w:b/>
                <w:bCs/>
              </w:rPr>
            </w:pPr>
            <w:r>
              <w:rPr>
                <w:b/>
                <w:bCs/>
              </w:rPr>
              <w:t xml:space="preserve">1800 numbers </w:t>
            </w:r>
          </w:p>
        </w:tc>
        <w:tc>
          <w:tcPr>
            <w:tcW w:w="2285" w:type="pct"/>
            <w:shd w:val="clear" w:color="auto" w:fill="auto"/>
            <w:vAlign w:val="center"/>
          </w:tcPr>
          <w:p w14:paraId="6334CCE2" w14:textId="77777777" w:rsidR="000D07EA" w:rsidRDefault="00BE7C89">
            <w:pPr>
              <w:pStyle w:val="BodyText"/>
              <w:spacing w:before="100" w:after="100"/>
              <w:jc w:val="center"/>
            </w:pPr>
            <w:r>
              <w:t>$0 per minute</w:t>
            </w:r>
          </w:p>
        </w:tc>
      </w:tr>
      <w:tr w:rsidR="000D07EA" w14:paraId="171ED775" w14:textId="77777777">
        <w:tc>
          <w:tcPr>
            <w:tcW w:w="2715" w:type="pct"/>
            <w:shd w:val="clear" w:color="auto" w:fill="auto"/>
          </w:tcPr>
          <w:p w14:paraId="00F2CD3B" w14:textId="77777777" w:rsidR="000D07EA" w:rsidRDefault="00BE7C89">
            <w:pPr>
              <w:pStyle w:val="BodyText"/>
              <w:spacing w:before="100" w:after="100"/>
              <w:rPr>
                <w:b/>
                <w:bCs/>
              </w:rPr>
            </w:pPr>
            <w:r>
              <w:rPr>
                <w:b/>
                <w:bCs/>
              </w:rPr>
              <w:t xml:space="preserve">Directory Assistance 1223 </w:t>
            </w:r>
          </w:p>
        </w:tc>
        <w:tc>
          <w:tcPr>
            <w:tcW w:w="2285" w:type="pct"/>
            <w:shd w:val="clear" w:color="auto" w:fill="auto"/>
            <w:vAlign w:val="center"/>
          </w:tcPr>
          <w:p w14:paraId="7DB80182" w14:textId="77777777" w:rsidR="000D07EA" w:rsidRDefault="00BE7C89">
            <w:pPr>
              <w:pStyle w:val="BodyText"/>
              <w:spacing w:before="100" w:after="100"/>
              <w:jc w:val="center"/>
            </w:pPr>
            <w:r>
              <w:t>50c per call</w:t>
            </w:r>
          </w:p>
        </w:tc>
      </w:tr>
      <w:tr w:rsidR="000D07EA" w14:paraId="19030647" w14:textId="77777777">
        <w:tc>
          <w:tcPr>
            <w:tcW w:w="2715" w:type="pct"/>
            <w:shd w:val="clear" w:color="auto" w:fill="auto"/>
          </w:tcPr>
          <w:p w14:paraId="153C72DB" w14:textId="77777777" w:rsidR="000D07EA" w:rsidRDefault="00BE7C89">
            <w:pPr>
              <w:pStyle w:val="BodyText"/>
              <w:spacing w:before="100" w:after="100"/>
              <w:rPr>
                <w:b/>
                <w:bCs/>
              </w:rPr>
            </w:pPr>
            <w:r>
              <w:rPr>
                <w:b/>
                <w:bCs/>
              </w:rPr>
              <w:t>124 Yes</w:t>
            </w:r>
          </w:p>
        </w:tc>
        <w:tc>
          <w:tcPr>
            <w:tcW w:w="2285" w:type="pct"/>
            <w:shd w:val="clear" w:color="auto" w:fill="auto"/>
            <w:vAlign w:val="center"/>
          </w:tcPr>
          <w:p w14:paraId="4B0EFCBF" w14:textId="77777777" w:rsidR="000D07EA" w:rsidRDefault="00BE7C89">
            <w:pPr>
              <w:pStyle w:val="BodyText"/>
              <w:spacing w:before="100" w:after="100"/>
              <w:jc w:val="center"/>
            </w:pPr>
            <w:r>
              <w:t>90c per minute +$1.75c flagfall</w:t>
            </w:r>
          </w:p>
        </w:tc>
      </w:tr>
      <w:tr w:rsidR="000D07EA" w14:paraId="644C0892" w14:textId="77777777">
        <w:tc>
          <w:tcPr>
            <w:tcW w:w="2715" w:type="pct"/>
            <w:shd w:val="clear" w:color="auto" w:fill="auto"/>
          </w:tcPr>
          <w:p w14:paraId="241491EF" w14:textId="77777777" w:rsidR="000D07EA" w:rsidRDefault="00BE7C89">
            <w:pPr>
              <w:pStyle w:val="BodyText"/>
              <w:spacing w:before="100" w:after="100"/>
              <w:rPr>
                <w:b/>
                <w:bCs/>
              </w:rPr>
            </w:pPr>
            <w:r>
              <w:rPr>
                <w:b/>
                <w:bCs/>
              </w:rPr>
              <w:t xml:space="preserve">International voice calls </w:t>
            </w:r>
            <w:r>
              <w:rPr>
                <w:bCs/>
              </w:rPr>
              <w:t>(outside the plan's included international minutes and to excluded countries)</w:t>
            </w:r>
          </w:p>
        </w:tc>
        <w:tc>
          <w:tcPr>
            <w:tcW w:w="2285" w:type="pct"/>
            <w:shd w:val="clear" w:color="auto" w:fill="auto"/>
            <w:vAlign w:val="center"/>
          </w:tcPr>
          <w:p w14:paraId="442F43E2" w14:textId="77777777" w:rsidR="000D07EA" w:rsidRDefault="00BE7C89">
            <w:pPr>
              <w:pStyle w:val="BodyText"/>
              <w:spacing w:before="100" w:after="100"/>
              <w:jc w:val="center"/>
            </w:pPr>
            <w:r>
              <w:t>See optus.com.au/international</w:t>
            </w:r>
          </w:p>
        </w:tc>
      </w:tr>
      <w:tr w:rsidR="000D07EA" w14:paraId="3BA22D13" w14:textId="77777777">
        <w:tc>
          <w:tcPr>
            <w:tcW w:w="2715" w:type="pct"/>
            <w:shd w:val="clear" w:color="auto" w:fill="auto"/>
          </w:tcPr>
          <w:p w14:paraId="53F1B037" w14:textId="77777777" w:rsidR="000D07EA" w:rsidRDefault="00BE7C89">
            <w:pPr>
              <w:pStyle w:val="BodyText"/>
              <w:spacing w:before="100" w:after="100"/>
              <w:rPr>
                <w:b/>
                <w:bCs/>
              </w:rPr>
            </w:pPr>
            <w:r>
              <w:rPr>
                <w:b/>
                <w:bCs/>
              </w:rPr>
              <w:lastRenderedPageBreak/>
              <w:t xml:space="preserve">International SMS </w:t>
            </w:r>
            <w:r>
              <w:rPr>
                <w:bCs/>
              </w:rPr>
              <w:t>(to excluded countries)</w:t>
            </w:r>
          </w:p>
        </w:tc>
        <w:tc>
          <w:tcPr>
            <w:tcW w:w="2285" w:type="pct"/>
            <w:shd w:val="clear" w:color="auto" w:fill="auto"/>
            <w:vAlign w:val="center"/>
          </w:tcPr>
          <w:p w14:paraId="7A020C63" w14:textId="77777777" w:rsidR="000D07EA" w:rsidRDefault="00BE7C89">
            <w:pPr>
              <w:pStyle w:val="BodyText"/>
              <w:spacing w:before="100" w:after="100"/>
              <w:jc w:val="center"/>
            </w:pPr>
            <w:r>
              <w:t>50c per SMS up to 160 standard characters</w:t>
            </w:r>
          </w:p>
        </w:tc>
      </w:tr>
      <w:tr w:rsidR="000D07EA" w14:paraId="22FBEA8B" w14:textId="77777777">
        <w:tc>
          <w:tcPr>
            <w:tcW w:w="2715" w:type="pct"/>
            <w:shd w:val="clear" w:color="auto" w:fill="auto"/>
          </w:tcPr>
          <w:p w14:paraId="57A7F629" w14:textId="77777777" w:rsidR="000D07EA" w:rsidRDefault="00BE7C89">
            <w:pPr>
              <w:pStyle w:val="BodyText"/>
              <w:spacing w:before="100" w:after="100"/>
              <w:rPr>
                <w:b/>
                <w:bCs/>
              </w:rPr>
            </w:pPr>
            <w:r>
              <w:rPr>
                <w:b/>
                <w:bCs/>
              </w:rPr>
              <w:t xml:space="preserve">International MMS </w:t>
            </w:r>
            <w:r>
              <w:rPr>
                <w:bCs/>
              </w:rPr>
              <w:t>(to excluded countries)</w:t>
            </w:r>
          </w:p>
        </w:tc>
        <w:tc>
          <w:tcPr>
            <w:tcW w:w="2285" w:type="pct"/>
            <w:shd w:val="clear" w:color="auto" w:fill="auto"/>
            <w:vAlign w:val="center"/>
          </w:tcPr>
          <w:p w14:paraId="619B6EF0" w14:textId="77777777" w:rsidR="000D07EA" w:rsidRDefault="00BE7C89">
            <w:pPr>
              <w:pStyle w:val="BodyText"/>
              <w:spacing w:before="100" w:after="100"/>
              <w:jc w:val="center"/>
            </w:pPr>
            <w:r>
              <w:t>75c per MMS</w:t>
            </w:r>
          </w:p>
        </w:tc>
      </w:tr>
      <w:tr w:rsidR="000D07EA" w14:paraId="32A716D9" w14:textId="77777777">
        <w:tc>
          <w:tcPr>
            <w:tcW w:w="2715" w:type="pct"/>
            <w:shd w:val="clear" w:color="auto" w:fill="auto"/>
          </w:tcPr>
          <w:p w14:paraId="3561ABEA" w14:textId="77777777" w:rsidR="000D07EA" w:rsidRDefault="00BE7C89">
            <w:pPr>
              <w:pStyle w:val="BodyText"/>
              <w:spacing w:before="100" w:after="100"/>
              <w:rPr>
                <w:b/>
                <w:bCs/>
              </w:rPr>
            </w:pPr>
            <w:r>
              <w:rPr>
                <w:b/>
                <w:bCs/>
              </w:rPr>
              <w:t xml:space="preserve">International video calling </w:t>
            </w:r>
          </w:p>
        </w:tc>
        <w:tc>
          <w:tcPr>
            <w:tcW w:w="2285" w:type="pct"/>
            <w:shd w:val="clear" w:color="auto" w:fill="auto"/>
            <w:vAlign w:val="center"/>
          </w:tcPr>
          <w:p w14:paraId="7F0D0C8A" w14:textId="77777777" w:rsidR="000D07EA" w:rsidRDefault="00BE7C89">
            <w:pPr>
              <w:pStyle w:val="BodyText"/>
              <w:spacing w:before="100" w:after="100"/>
              <w:jc w:val="center"/>
            </w:pPr>
            <w:r>
              <w:t>$1.50 per minute +35c flagfall</w:t>
            </w:r>
          </w:p>
        </w:tc>
      </w:tr>
      <w:tr w:rsidR="000D07EA" w14:paraId="63BAC4EC" w14:textId="77777777">
        <w:tc>
          <w:tcPr>
            <w:tcW w:w="2715" w:type="pct"/>
            <w:shd w:val="clear" w:color="auto" w:fill="auto"/>
          </w:tcPr>
          <w:p w14:paraId="4F246177" w14:textId="77777777" w:rsidR="000D07EA" w:rsidRDefault="00BE7C89">
            <w:pPr>
              <w:pStyle w:val="BodyText"/>
              <w:spacing w:before="100" w:after="100"/>
              <w:rPr>
                <w:b/>
                <w:bCs/>
              </w:rPr>
            </w:pPr>
            <w:r>
              <w:rPr>
                <w:b/>
                <w:bCs/>
              </w:rPr>
              <w:t xml:space="preserve">International roaming </w:t>
            </w:r>
          </w:p>
        </w:tc>
        <w:tc>
          <w:tcPr>
            <w:tcW w:w="2285" w:type="pct"/>
            <w:shd w:val="clear" w:color="auto" w:fill="auto"/>
            <w:vAlign w:val="center"/>
          </w:tcPr>
          <w:p w14:paraId="41BBFBE1" w14:textId="77777777" w:rsidR="000D07EA" w:rsidRDefault="00BE7C89">
            <w:pPr>
              <w:pStyle w:val="BodyText"/>
              <w:spacing w:before="100" w:after="100"/>
              <w:jc w:val="center"/>
            </w:pPr>
            <w:r>
              <w:t>See optus.com.au/roaming</w:t>
            </w:r>
          </w:p>
        </w:tc>
      </w:tr>
    </w:tbl>
    <w:p w14:paraId="0F2177F1" w14:textId="77777777" w:rsidR="000D07EA" w:rsidRDefault="000D07EA">
      <w:pPr>
        <w:pStyle w:val="BodyText"/>
      </w:pPr>
    </w:p>
    <w:p w14:paraId="120302BD" w14:textId="77777777" w:rsidR="000D07EA" w:rsidRDefault="00BE7C89">
      <w:pPr>
        <w:pStyle w:val="BodyText"/>
        <w:keepNext/>
        <w:ind w:left="720"/>
        <w:rPr>
          <w:b/>
        </w:rPr>
      </w:pPr>
      <w:r>
        <w:rPr>
          <w:b/>
        </w:rPr>
        <w:t>Table 3 – Additional Minutes and Charges</w:t>
      </w:r>
    </w:p>
    <w:tbl>
      <w:tblPr>
        <w:tblW w:w="837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1520"/>
        <w:gridCol w:w="1520"/>
        <w:gridCol w:w="1520"/>
        <w:gridCol w:w="1520"/>
      </w:tblGrid>
      <w:tr w:rsidR="000D07EA" w14:paraId="051F9FA9" w14:textId="77777777">
        <w:tc>
          <w:tcPr>
            <w:tcW w:w="2290" w:type="dxa"/>
            <w:vMerge w:val="restart"/>
            <w:shd w:val="clear" w:color="auto" w:fill="auto"/>
          </w:tcPr>
          <w:p w14:paraId="188CCA41" w14:textId="77777777" w:rsidR="000D07EA" w:rsidRDefault="000D07EA">
            <w:pPr>
              <w:pStyle w:val="BodyText"/>
              <w:keepNext/>
              <w:spacing w:before="100" w:after="100"/>
            </w:pPr>
          </w:p>
        </w:tc>
        <w:tc>
          <w:tcPr>
            <w:tcW w:w="3040" w:type="dxa"/>
            <w:gridSpan w:val="2"/>
          </w:tcPr>
          <w:p w14:paraId="6C37DEED" w14:textId="77777777" w:rsidR="000D07EA" w:rsidRDefault="00BE7C89">
            <w:pPr>
              <w:pStyle w:val="BodyText"/>
              <w:keepNext/>
              <w:spacing w:before="100" w:after="100"/>
              <w:jc w:val="center"/>
              <w:rPr>
                <w:b/>
              </w:rPr>
            </w:pPr>
            <w:r>
              <w:rPr>
                <w:b/>
              </w:rPr>
              <w:t xml:space="preserve">$35 My Plan </w:t>
            </w:r>
            <w:r>
              <w:rPr>
                <w:b/>
                <w:snapToGrid w:val="0"/>
              </w:rPr>
              <w:t>Business</w:t>
            </w:r>
          </w:p>
        </w:tc>
        <w:tc>
          <w:tcPr>
            <w:tcW w:w="3040" w:type="dxa"/>
            <w:gridSpan w:val="2"/>
            <w:shd w:val="clear" w:color="auto" w:fill="auto"/>
          </w:tcPr>
          <w:p w14:paraId="36701698" w14:textId="77777777" w:rsidR="000D07EA" w:rsidRDefault="00BE7C89">
            <w:pPr>
              <w:pStyle w:val="BodyText"/>
              <w:keepNext/>
              <w:spacing w:before="100" w:after="100"/>
              <w:jc w:val="center"/>
              <w:rPr>
                <w:b/>
              </w:rPr>
            </w:pPr>
            <w:r>
              <w:rPr>
                <w:b/>
              </w:rPr>
              <w:t xml:space="preserve">$50 My Plan </w:t>
            </w:r>
            <w:r>
              <w:rPr>
                <w:b/>
                <w:snapToGrid w:val="0"/>
              </w:rPr>
              <w:t>Business</w:t>
            </w:r>
          </w:p>
        </w:tc>
      </w:tr>
      <w:tr w:rsidR="000D07EA" w14:paraId="4C96C1F2" w14:textId="77777777">
        <w:tc>
          <w:tcPr>
            <w:tcW w:w="2290" w:type="dxa"/>
            <w:vMerge/>
            <w:shd w:val="clear" w:color="auto" w:fill="auto"/>
          </w:tcPr>
          <w:p w14:paraId="293CD317" w14:textId="77777777" w:rsidR="000D07EA" w:rsidRDefault="000D07EA">
            <w:pPr>
              <w:pStyle w:val="BodyText"/>
              <w:keepNext/>
              <w:spacing w:before="100" w:after="100"/>
            </w:pPr>
          </w:p>
        </w:tc>
        <w:tc>
          <w:tcPr>
            <w:tcW w:w="1520" w:type="dxa"/>
          </w:tcPr>
          <w:p w14:paraId="1D7AD1C7" w14:textId="77777777" w:rsidR="000D07EA" w:rsidRDefault="00BE7C89">
            <w:pPr>
              <w:pStyle w:val="BodyText"/>
              <w:keepNext/>
              <w:spacing w:before="100" w:after="100"/>
              <w:rPr>
                <w:b/>
              </w:rPr>
            </w:pPr>
            <w:r>
              <w:rPr>
                <w:b/>
              </w:rPr>
              <w:t>Included Minutes</w:t>
            </w:r>
          </w:p>
        </w:tc>
        <w:tc>
          <w:tcPr>
            <w:tcW w:w="1520" w:type="dxa"/>
          </w:tcPr>
          <w:p w14:paraId="0BCE9085" w14:textId="77777777" w:rsidR="000D07EA" w:rsidRDefault="00BE7C89">
            <w:pPr>
              <w:pStyle w:val="BodyText"/>
              <w:keepNext/>
              <w:spacing w:before="100" w:after="100"/>
              <w:rPr>
                <w:b/>
              </w:rPr>
            </w:pPr>
            <w:r>
              <w:rPr>
                <w:b/>
              </w:rPr>
              <w:t>Cost of minutes</w:t>
            </w:r>
          </w:p>
        </w:tc>
        <w:tc>
          <w:tcPr>
            <w:tcW w:w="1520" w:type="dxa"/>
            <w:shd w:val="clear" w:color="auto" w:fill="auto"/>
          </w:tcPr>
          <w:p w14:paraId="0E8AEDE6" w14:textId="77777777" w:rsidR="000D07EA" w:rsidRDefault="00BE7C89">
            <w:pPr>
              <w:pStyle w:val="BodyText"/>
              <w:keepNext/>
              <w:spacing w:before="100" w:after="100"/>
              <w:jc w:val="center"/>
              <w:rPr>
                <w:b/>
              </w:rPr>
            </w:pPr>
            <w:r>
              <w:rPr>
                <w:b/>
              </w:rPr>
              <w:t>Included Minutes</w:t>
            </w:r>
          </w:p>
        </w:tc>
        <w:tc>
          <w:tcPr>
            <w:tcW w:w="1520" w:type="dxa"/>
            <w:shd w:val="clear" w:color="auto" w:fill="auto"/>
          </w:tcPr>
          <w:p w14:paraId="02D55126" w14:textId="77777777" w:rsidR="000D07EA" w:rsidRDefault="00BE7C89">
            <w:pPr>
              <w:pStyle w:val="BodyText"/>
              <w:keepNext/>
              <w:spacing w:before="100" w:after="100"/>
              <w:jc w:val="center"/>
              <w:rPr>
                <w:b/>
              </w:rPr>
            </w:pPr>
            <w:r>
              <w:rPr>
                <w:b/>
              </w:rPr>
              <w:t>Cost of minutes</w:t>
            </w:r>
          </w:p>
        </w:tc>
      </w:tr>
      <w:tr w:rsidR="000D07EA" w14:paraId="7406B5E2" w14:textId="77777777">
        <w:trPr>
          <w:trHeight w:val="58"/>
        </w:trPr>
        <w:tc>
          <w:tcPr>
            <w:tcW w:w="2290" w:type="dxa"/>
            <w:shd w:val="clear" w:color="auto" w:fill="BFBFBF"/>
          </w:tcPr>
          <w:p w14:paraId="4E9B4206" w14:textId="77777777" w:rsidR="000D07EA" w:rsidRDefault="00BE7C89">
            <w:pPr>
              <w:pStyle w:val="BodyText"/>
              <w:spacing w:before="100" w:after="100"/>
              <w:rPr>
                <w:b/>
              </w:rPr>
            </w:pPr>
            <w:r>
              <w:rPr>
                <w:b/>
              </w:rPr>
              <w:t xml:space="preserve">Monthly Included Minutes </w:t>
            </w:r>
          </w:p>
        </w:tc>
        <w:tc>
          <w:tcPr>
            <w:tcW w:w="1520" w:type="dxa"/>
            <w:shd w:val="clear" w:color="auto" w:fill="BFBFBF"/>
          </w:tcPr>
          <w:p w14:paraId="3540BA3F" w14:textId="77777777" w:rsidR="000D07EA" w:rsidRDefault="00BE7C89">
            <w:pPr>
              <w:pStyle w:val="BodyText"/>
              <w:spacing w:before="100" w:after="100"/>
              <w:jc w:val="center"/>
            </w:pPr>
            <w:r>
              <w:t>Up to 300</w:t>
            </w:r>
          </w:p>
        </w:tc>
        <w:tc>
          <w:tcPr>
            <w:tcW w:w="1520" w:type="dxa"/>
            <w:shd w:val="clear" w:color="auto" w:fill="BFBFBF"/>
          </w:tcPr>
          <w:p w14:paraId="0F35C31B" w14:textId="77777777" w:rsidR="000D07EA" w:rsidRDefault="00BE7C89">
            <w:pPr>
              <w:pStyle w:val="BodyText"/>
              <w:spacing w:before="100" w:after="100"/>
              <w:jc w:val="center"/>
            </w:pPr>
            <w:r>
              <w:t>$20</w:t>
            </w:r>
          </w:p>
        </w:tc>
        <w:tc>
          <w:tcPr>
            <w:tcW w:w="1520" w:type="dxa"/>
            <w:shd w:val="clear" w:color="auto" w:fill="BFBFBF"/>
          </w:tcPr>
          <w:p w14:paraId="1C8A8979" w14:textId="77777777" w:rsidR="000D07EA" w:rsidRDefault="00BE7C89">
            <w:pPr>
              <w:pStyle w:val="BodyText"/>
              <w:spacing w:before="100" w:after="100"/>
              <w:jc w:val="center"/>
            </w:pPr>
            <w:r>
              <w:t>Up to 600</w:t>
            </w:r>
          </w:p>
        </w:tc>
        <w:tc>
          <w:tcPr>
            <w:tcW w:w="1520" w:type="dxa"/>
            <w:shd w:val="clear" w:color="auto" w:fill="BFBFBF"/>
          </w:tcPr>
          <w:p w14:paraId="09C8B64F" w14:textId="77777777" w:rsidR="000D07EA" w:rsidRDefault="00BE7C89">
            <w:pPr>
              <w:pStyle w:val="BodyText"/>
              <w:spacing w:before="100" w:after="100"/>
              <w:jc w:val="center"/>
            </w:pPr>
            <w:r>
              <w:t>$30</w:t>
            </w:r>
          </w:p>
        </w:tc>
      </w:tr>
      <w:tr w:rsidR="000D07EA" w14:paraId="26F53847" w14:textId="77777777">
        <w:tc>
          <w:tcPr>
            <w:tcW w:w="2290" w:type="dxa"/>
            <w:shd w:val="clear" w:color="auto" w:fill="auto"/>
          </w:tcPr>
          <w:p w14:paraId="407CA05A" w14:textId="77777777" w:rsidR="000D07EA" w:rsidRDefault="00BE7C89">
            <w:pPr>
              <w:pStyle w:val="BodyText"/>
              <w:spacing w:before="100" w:after="100"/>
              <w:rPr>
                <w:b/>
              </w:rPr>
            </w:pPr>
            <w:r>
              <w:rPr>
                <w:b/>
              </w:rPr>
              <w:t>+$10</w:t>
            </w:r>
          </w:p>
        </w:tc>
        <w:tc>
          <w:tcPr>
            <w:tcW w:w="1520" w:type="dxa"/>
          </w:tcPr>
          <w:p w14:paraId="08208347" w14:textId="77777777" w:rsidR="000D07EA" w:rsidRDefault="00BE7C89">
            <w:pPr>
              <w:pStyle w:val="BodyText"/>
              <w:spacing w:before="100" w:after="100"/>
              <w:jc w:val="center"/>
            </w:pPr>
            <w:r>
              <w:t>+200</w:t>
            </w:r>
          </w:p>
        </w:tc>
        <w:tc>
          <w:tcPr>
            <w:tcW w:w="1520" w:type="dxa"/>
          </w:tcPr>
          <w:p w14:paraId="6258E174" w14:textId="77777777" w:rsidR="000D07EA" w:rsidRDefault="00BE7C89">
            <w:pPr>
              <w:pStyle w:val="BodyText"/>
              <w:spacing w:before="100" w:after="100"/>
              <w:jc w:val="center"/>
            </w:pPr>
            <w:r>
              <w:t>$10</w:t>
            </w:r>
          </w:p>
        </w:tc>
        <w:tc>
          <w:tcPr>
            <w:tcW w:w="1520" w:type="dxa"/>
            <w:shd w:val="clear" w:color="auto" w:fill="auto"/>
          </w:tcPr>
          <w:p w14:paraId="06CE14DB" w14:textId="77777777" w:rsidR="000D07EA" w:rsidRDefault="00BE7C89">
            <w:pPr>
              <w:pStyle w:val="BodyText"/>
              <w:spacing w:before="100" w:after="100"/>
              <w:jc w:val="center"/>
            </w:pPr>
            <w:r>
              <w:t>Unlimited</w:t>
            </w:r>
          </w:p>
        </w:tc>
        <w:tc>
          <w:tcPr>
            <w:tcW w:w="1520" w:type="dxa"/>
            <w:shd w:val="clear" w:color="auto" w:fill="auto"/>
          </w:tcPr>
          <w:p w14:paraId="2B02D6BF" w14:textId="77777777" w:rsidR="000D07EA" w:rsidRDefault="00BE7C89">
            <w:pPr>
              <w:pStyle w:val="BodyText"/>
              <w:spacing w:before="100" w:after="100"/>
              <w:jc w:val="center"/>
            </w:pPr>
            <w:r>
              <w:t>$10</w:t>
            </w:r>
          </w:p>
        </w:tc>
      </w:tr>
      <w:tr w:rsidR="000D07EA" w14:paraId="5AE90F12" w14:textId="77777777">
        <w:tc>
          <w:tcPr>
            <w:tcW w:w="2290" w:type="dxa"/>
            <w:shd w:val="clear" w:color="auto" w:fill="auto"/>
          </w:tcPr>
          <w:p w14:paraId="287CBBEF" w14:textId="77777777" w:rsidR="000D07EA" w:rsidRDefault="00BE7C89">
            <w:pPr>
              <w:pStyle w:val="BodyText"/>
              <w:spacing w:before="100" w:after="100"/>
              <w:rPr>
                <w:b/>
              </w:rPr>
            </w:pPr>
            <w:r>
              <w:rPr>
                <w:b/>
              </w:rPr>
              <w:t>+$10</w:t>
            </w:r>
          </w:p>
        </w:tc>
        <w:tc>
          <w:tcPr>
            <w:tcW w:w="1520" w:type="dxa"/>
          </w:tcPr>
          <w:p w14:paraId="544285E2" w14:textId="77777777" w:rsidR="000D07EA" w:rsidRDefault="00BE7C89">
            <w:pPr>
              <w:pStyle w:val="BodyText"/>
              <w:spacing w:before="100" w:after="100"/>
              <w:jc w:val="center"/>
            </w:pPr>
            <w:r>
              <w:t>Unlimited</w:t>
            </w:r>
          </w:p>
        </w:tc>
        <w:tc>
          <w:tcPr>
            <w:tcW w:w="1520" w:type="dxa"/>
          </w:tcPr>
          <w:p w14:paraId="17170293" w14:textId="77777777" w:rsidR="000D07EA" w:rsidRDefault="00BE7C89">
            <w:pPr>
              <w:pStyle w:val="BodyText"/>
              <w:spacing w:before="100" w:after="100"/>
              <w:jc w:val="center"/>
            </w:pPr>
            <w:r>
              <w:t>$10</w:t>
            </w:r>
          </w:p>
        </w:tc>
        <w:tc>
          <w:tcPr>
            <w:tcW w:w="1520" w:type="dxa"/>
            <w:shd w:val="clear" w:color="auto" w:fill="auto"/>
          </w:tcPr>
          <w:p w14:paraId="68CA8237" w14:textId="77777777" w:rsidR="000D07EA" w:rsidRDefault="000D07EA">
            <w:pPr>
              <w:pStyle w:val="BodyText"/>
              <w:spacing w:before="100" w:after="100"/>
              <w:jc w:val="center"/>
            </w:pPr>
          </w:p>
        </w:tc>
        <w:tc>
          <w:tcPr>
            <w:tcW w:w="1520" w:type="dxa"/>
            <w:shd w:val="clear" w:color="auto" w:fill="auto"/>
          </w:tcPr>
          <w:p w14:paraId="3BF25664" w14:textId="77777777" w:rsidR="000D07EA" w:rsidRDefault="000D07EA">
            <w:pPr>
              <w:pStyle w:val="BodyText"/>
              <w:spacing w:before="100" w:after="100"/>
              <w:jc w:val="center"/>
            </w:pPr>
          </w:p>
        </w:tc>
      </w:tr>
    </w:tbl>
    <w:p w14:paraId="39F41016" w14:textId="77777777" w:rsidR="000D07EA" w:rsidRDefault="000D07EA">
      <w:pPr>
        <w:pStyle w:val="BodyText"/>
      </w:pPr>
    </w:p>
    <w:p w14:paraId="631A0112" w14:textId="77777777" w:rsidR="000D07EA" w:rsidRDefault="00BE7C89">
      <w:pPr>
        <w:pStyle w:val="BodyText"/>
        <w:keepNext/>
        <w:ind w:left="720"/>
        <w:rPr>
          <w:b/>
        </w:rPr>
      </w:pPr>
      <w:r>
        <w:rPr>
          <w:b/>
        </w:rPr>
        <w:t>Table 4 – International Countries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3"/>
        <w:gridCol w:w="2104"/>
        <w:gridCol w:w="2103"/>
        <w:gridCol w:w="2104"/>
      </w:tblGrid>
      <w:tr w:rsidR="000D07EA" w14:paraId="32E774ED" w14:textId="77777777">
        <w:tc>
          <w:tcPr>
            <w:tcW w:w="2103" w:type="dxa"/>
            <w:shd w:val="clear" w:color="auto" w:fill="auto"/>
          </w:tcPr>
          <w:p w14:paraId="77A7EAA6" w14:textId="77777777" w:rsidR="000D07EA" w:rsidRDefault="00BE7C89">
            <w:pPr>
              <w:pStyle w:val="BodyText"/>
              <w:spacing w:before="100" w:after="100"/>
            </w:pPr>
            <w:r>
              <w:t>Austria</w:t>
            </w:r>
          </w:p>
        </w:tc>
        <w:tc>
          <w:tcPr>
            <w:tcW w:w="2104" w:type="dxa"/>
            <w:shd w:val="clear" w:color="auto" w:fill="auto"/>
          </w:tcPr>
          <w:p w14:paraId="7FE1DDB5" w14:textId="77777777" w:rsidR="000D07EA" w:rsidRDefault="00BE7C89">
            <w:pPr>
              <w:pStyle w:val="BodyText"/>
              <w:spacing w:before="100" w:after="100"/>
            </w:pPr>
            <w:r>
              <w:t>Bangladesh</w:t>
            </w:r>
          </w:p>
        </w:tc>
        <w:tc>
          <w:tcPr>
            <w:tcW w:w="2103" w:type="dxa"/>
            <w:shd w:val="clear" w:color="auto" w:fill="auto"/>
          </w:tcPr>
          <w:p w14:paraId="17036F41" w14:textId="77777777" w:rsidR="000D07EA" w:rsidRDefault="00BE7C89">
            <w:pPr>
              <w:pStyle w:val="BodyText"/>
              <w:spacing w:before="100" w:after="100"/>
            </w:pPr>
            <w:r>
              <w:t>Cambodia</w:t>
            </w:r>
          </w:p>
        </w:tc>
        <w:tc>
          <w:tcPr>
            <w:tcW w:w="2104" w:type="dxa"/>
            <w:shd w:val="clear" w:color="auto" w:fill="auto"/>
          </w:tcPr>
          <w:p w14:paraId="79CFC5E2" w14:textId="77777777" w:rsidR="000D07EA" w:rsidRDefault="00BE7C89">
            <w:pPr>
              <w:pStyle w:val="BodyText"/>
              <w:spacing w:before="100" w:after="100"/>
            </w:pPr>
            <w:r>
              <w:t>Canada</w:t>
            </w:r>
          </w:p>
        </w:tc>
      </w:tr>
      <w:tr w:rsidR="000D07EA" w14:paraId="082364B9" w14:textId="77777777">
        <w:tc>
          <w:tcPr>
            <w:tcW w:w="2103" w:type="dxa"/>
            <w:shd w:val="clear" w:color="auto" w:fill="auto"/>
          </w:tcPr>
          <w:p w14:paraId="747D6B75" w14:textId="77777777" w:rsidR="000D07EA" w:rsidRDefault="00BE7C89">
            <w:pPr>
              <w:pStyle w:val="BodyText"/>
              <w:spacing w:before="100" w:after="100"/>
            </w:pPr>
            <w:r>
              <w:t xml:space="preserve">Chile </w:t>
            </w:r>
          </w:p>
        </w:tc>
        <w:tc>
          <w:tcPr>
            <w:tcW w:w="2104" w:type="dxa"/>
            <w:shd w:val="clear" w:color="auto" w:fill="auto"/>
          </w:tcPr>
          <w:p w14:paraId="0A904CA9" w14:textId="77777777" w:rsidR="000D07EA" w:rsidRDefault="00BE7C89">
            <w:pPr>
              <w:pStyle w:val="BodyText"/>
              <w:spacing w:before="100" w:after="100"/>
            </w:pPr>
            <w:r>
              <w:t xml:space="preserve">China </w:t>
            </w:r>
          </w:p>
        </w:tc>
        <w:tc>
          <w:tcPr>
            <w:tcW w:w="2103" w:type="dxa"/>
            <w:shd w:val="clear" w:color="auto" w:fill="auto"/>
          </w:tcPr>
          <w:p w14:paraId="5CD9AB43" w14:textId="77777777" w:rsidR="000D07EA" w:rsidRDefault="00BE7C89">
            <w:pPr>
              <w:pStyle w:val="BodyText"/>
              <w:spacing w:before="100" w:after="100"/>
            </w:pPr>
            <w:r>
              <w:t xml:space="preserve">Croatia </w:t>
            </w:r>
          </w:p>
        </w:tc>
        <w:tc>
          <w:tcPr>
            <w:tcW w:w="2104" w:type="dxa"/>
            <w:shd w:val="clear" w:color="auto" w:fill="auto"/>
          </w:tcPr>
          <w:p w14:paraId="258C0833" w14:textId="77777777" w:rsidR="000D07EA" w:rsidRDefault="00BE7C89">
            <w:pPr>
              <w:pStyle w:val="BodyText"/>
              <w:spacing w:before="100" w:after="100"/>
            </w:pPr>
            <w:r>
              <w:t>France</w:t>
            </w:r>
          </w:p>
        </w:tc>
      </w:tr>
      <w:tr w:rsidR="000D07EA" w14:paraId="1E690217" w14:textId="77777777">
        <w:tc>
          <w:tcPr>
            <w:tcW w:w="2103" w:type="dxa"/>
            <w:shd w:val="clear" w:color="auto" w:fill="auto"/>
          </w:tcPr>
          <w:p w14:paraId="50DBB8AA" w14:textId="77777777" w:rsidR="000D07EA" w:rsidRDefault="00BE7C89">
            <w:pPr>
              <w:pStyle w:val="BodyText"/>
              <w:spacing w:before="100" w:after="100"/>
            </w:pPr>
            <w:r>
              <w:t>Germany</w:t>
            </w:r>
          </w:p>
        </w:tc>
        <w:tc>
          <w:tcPr>
            <w:tcW w:w="2104" w:type="dxa"/>
            <w:shd w:val="clear" w:color="auto" w:fill="auto"/>
          </w:tcPr>
          <w:p w14:paraId="18483916" w14:textId="77777777" w:rsidR="000D07EA" w:rsidRDefault="00BE7C89">
            <w:pPr>
              <w:pStyle w:val="BodyText"/>
              <w:spacing w:before="100" w:after="100"/>
            </w:pPr>
            <w:r>
              <w:t>Greece</w:t>
            </w:r>
          </w:p>
        </w:tc>
        <w:tc>
          <w:tcPr>
            <w:tcW w:w="2103" w:type="dxa"/>
            <w:shd w:val="clear" w:color="auto" w:fill="auto"/>
          </w:tcPr>
          <w:p w14:paraId="25C2C6FA" w14:textId="77777777" w:rsidR="000D07EA" w:rsidRDefault="00BE7C89">
            <w:pPr>
              <w:pStyle w:val="BodyText"/>
              <w:spacing w:before="100" w:after="100"/>
            </w:pPr>
            <w:r>
              <w:t>Hong Kong</w:t>
            </w:r>
          </w:p>
        </w:tc>
        <w:tc>
          <w:tcPr>
            <w:tcW w:w="2104" w:type="dxa"/>
            <w:shd w:val="clear" w:color="auto" w:fill="auto"/>
          </w:tcPr>
          <w:p w14:paraId="3C583153" w14:textId="77777777" w:rsidR="000D07EA" w:rsidRDefault="00BE7C89">
            <w:pPr>
              <w:pStyle w:val="BodyText"/>
              <w:spacing w:before="100" w:after="100"/>
            </w:pPr>
            <w:r>
              <w:t>Hungary</w:t>
            </w:r>
          </w:p>
        </w:tc>
      </w:tr>
      <w:tr w:rsidR="000D07EA" w14:paraId="68B9DB41" w14:textId="77777777">
        <w:tc>
          <w:tcPr>
            <w:tcW w:w="2103" w:type="dxa"/>
            <w:shd w:val="clear" w:color="auto" w:fill="auto"/>
          </w:tcPr>
          <w:p w14:paraId="3D81E407" w14:textId="77777777" w:rsidR="000D07EA" w:rsidRDefault="00BE7C89">
            <w:pPr>
              <w:pStyle w:val="BodyText"/>
              <w:spacing w:before="100" w:after="100"/>
            </w:pPr>
            <w:r>
              <w:t>Indonesia</w:t>
            </w:r>
          </w:p>
        </w:tc>
        <w:tc>
          <w:tcPr>
            <w:tcW w:w="2104" w:type="dxa"/>
            <w:shd w:val="clear" w:color="auto" w:fill="auto"/>
          </w:tcPr>
          <w:p w14:paraId="3B15B8CF" w14:textId="77777777" w:rsidR="000D07EA" w:rsidRDefault="00BE7C89">
            <w:pPr>
              <w:pStyle w:val="BodyText"/>
              <w:spacing w:before="100" w:after="100"/>
            </w:pPr>
            <w:r>
              <w:t>India</w:t>
            </w:r>
          </w:p>
        </w:tc>
        <w:tc>
          <w:tcPr>
            <w:tcW w:w="2103" w:type="dxa"/>
            <w:shd w:val="clear" w:color="auto" w:fill="auto"/>
          </w:tcPr>
          <w:p w14:paraId="4B5FB5FD" w14:textId="77777777" w:rsidR="000D07EA" w:rsidRDefault="00BE7C89">
            <w:pPr>
              <w:pStyle w:val="BodyText"/>
              <w:spacing w:before="100" w:after="100"/>
            </w:pPr>
            <w:r>
              <w:t>Ireland</w:t>
            </w:r>
          </w:p>
        </w:tc>
        <w:tc>
          <w:tcPr>
            <w:tcW w:w="2104" w:type="dxa"/>
            <w:shd w:val="clear" w:color="auto" w:fill="auto"/>
          </w:tcPr>
          <w:p w14:paraId="31D58E1E" w14:textId="77777777" w:rsidR="000D07EA" w:rsidRDefault="00BE7C89">
            <w:pPr>
              <w:pStyle w:val="BodyText"/>
              <w:spacing w:before="100" w:after="100"/>
            </w:pPr>
            <w:r>
              <w:t>Italy</w:t>
            </w:r>
          </w:p>
        </w:tc>
      </w:tr>
      <w:tr w:rsidR="000D07EA" w14:paraId="166AD261" w14:textId="77777777">
        <w:tc>
          <w:tcPr>
            <w:tcW w:w="2103" w:type="dxa"/>
            <w:shd w:val="clear" w:color="auto" w:fill="auto"/>
          </w:tcPr>
          <w:p w14:paraId="3D1D3BF5" w14:textId="77777777" w:rsidR="000D07EA" w:rsidRDefault="00BE7C89">
            <w:pPr>
              <w:pStyle w:val="BodyText"/>
              <w:spacing w:before="100" w:after="100"/>
            </w:pPr>
            <w:r>
              <w:t xml:space="preserve">Japan </w:t>
            </w:r>
          </w:p>
        </w:tc>
        <w:tc>
          <w:tcPr>
            <w:tcW w:w="2104" w:type="dxa"/>
            <w:shd w:val="clear" w:color="auto" w:fill="auto"/>
          </w:tcPr>
          <w:p w14:paraId="2591FCB3" w14:textId="77777777" w:rsidR="000D07EA" w:rsidRDefault="00BE7C89">
            <w:pPr>
              <w:pStyle w:val="BodyText"/>
              <w:spacing w:before="100" w:after="100"/>
            </w:pPr>
            <w:r>
              <w:t>Malaysia</w:t>
            </w:r>
          </w:p>
        </w:tc>
        <w:tc>
          <w:tcPr>
            <w:tcW w:w="2103" w:type="dxa"/>
            <w:shd w:val="clear" w:color="auto" w:fill="auto"/>
          </w:tcPr>
          <w:p w14:paraId="6C981892" w14:textId="77777777" w:rsidR="000D07EA" w:rsidRDefault="00BE7C89">
            <w:pPr>
              <w:pStyle w:val="BodyText"/>
              <w:spacing w:before="100" w:after="100"/>
            </w:pPr>
            <w:r>
              <w:t>Netherlands</w:t>
            </w:r>
          </w:p>
        </w:tc>
        <w:tc>
          <w:tcPr>
            <w:tcW w:w="2104" w:type="dxa"/>
            <w:shd w:val="clear" w:color="auto" w:fill="auto"/>
          </w:tcPr>
          <w:p w14:paraId="21F38610" w14:textId="77777777" w:rsidR="000D07EA" w:rsidRDefault="00BE7C89">
            <w:pPr>
              <w:pStyle w:val="BodyText"/>
              <w:spacing w:before="100" w:after="100"/>
            </w:pPr>
            <w:r>
              <w:t>New Zealand</w:t>
            </w:r>
          </w:p>
        </w:tc>
      </w:tr>
      <w:tr w:rsidR="000D07EA" w14:paraId="21FB7AAB" w14:textId="77777777">
        <w:tc>
          <w:tcPr>
            <w:tcW w:w="2103" w:type="dxa"/>
            <w:shd w:val="clear" w:color="auto" w:fill="auto"/>
          </w:tcPr>
          <w:p w14:paraId="1B15A06B" w14:textId="77777777" w:rsidR="000D07EA" w:rsidRDefault="00BE7C89">
            <w:pPr>
              <w:pStyle w:val="BodyText"/>
              <w:spacing w:before="100" w:after="100"/>
            </w:pPr>
            <w:r>
              <w:t xml:space="preserve">Pakistan </w:t>
            </w:r>
          </w:p>
        </w:tc>
        <w:tc>
          <w:tcPr>
            <w:tcW w:w="2104" w:type="dxa"/>
            <w:shd w:val="clear" w:color="auto" w:fill="auto"/>
          </w:tcPr>
          <w:p w14:paraId="27B7DFCC" w14:textId="77777777" w:rsidR="000D07EA" w:rsidRDefault="00BE7C89">
            <w:pPr>
              <w:pStyle w:val="BodyText"/>
              <w:spacing w:before="100" w:after="100"/>
            </w:pPr>
            <w:r>
              <w:t>Philippines</w:t>
            </w:r>
          </w:p>
        </w:tc>
        <w:tc>
          <w:tcPr>
            <w:tcW w:w="2103" w:type="dxa"/>
            <w:shd w:val="clear" w:color="auto" w:fill="auto"/>
          </w:tcPr>
          <w:p w14:paraId="54114E0E" w14:textId="77777777" w:rsidR="000D07EA" w:rsidRDefault="00BE7C89">
            <w:pPr>
              <w:pStyle w:val="BodyText"/>
              <w:spacing w:before="100" w:after="100"/>
            </w:pPr>
            <w:r>
              <w:t xml:space="preserve">Poland </w:t>
            </w:r>
          </w:p>
        </w:tc>
        <w:tc>
          <w:tcPr>
            <w:tcW w:w="2104" w:type="dxa"/>
            <w:shd w:val="clear" w:color="auto" w:fill="auto"/>
          </w:tcPr>
          <w:p w14:paraId="36EC4AB9" w14:textId="77777777" w:rsidR="000D07EA" w:rsidRDefault="00BE7C89">
            <w:pPr>
              <w:pStyle w:val="BodyText"/>
              <w:spacing w:before="100" w:after="100"/>
            </w:pPr>
            <w:r>
              <w:t>Singapore</w:t>
            </w:r>
          </w:p>
        </w:tc>
      </w:tr>
      <w:tr w:rsidR="000D07EA" w14:paraId="4D39BB3F" w14:textId="77777777">
        <w:tc>
          <w:tcPr>
            <w:tcW w:w="2103" w:type="dxa"/>
            <w:shd w:val="clear" w:color="auto" w:fill="auto"/>
          </w:tcPr>
          <w:p w14:paraId="479DB555" w14:textId="77777777" w:rsidR="000D07EA" w:rsidRDefault="00BE7C89">
            <w:pPr>
              <w:pStyle w:val="BodyText"/>
              <w:spacing w:before="100" w:after="100"/>
            </w:pPr>
            <w:r>
              <w:t xml:space="preserve">South Africa </w:t>
            </w:r>
          </w:p>
        </w:tc>
        <w:tc>
          <w:tcPr>
            <w:tcW w:w="2104" w:type="dxa"/>
            <w:shd w:val="clear" w:color="auto" w:fill="auto"/>
          </w:tcPr>
          <w:p w14:paraId="08425519" w14:textId="77777777" w:rsidR="000D07EA" w:rsidRDefault="00BE7C89">
            <w:pPr>
              <w:pStyle w:val="BodyText"/>
              <w:spacing w:before="100" w:after="100"/>
            </w:pPr>
            <w:r>
              <w:t>South Korea</w:t>
            </w:r>
          </w:p>
        </w:tc>
        <w:tc>
          <w:tcPr>
            <w:tcW w:w="2103" w:type="dxa"/>
            <w:shd w:val="clear" w:color="auto" w:fill="auto"/>
          </w:tcPr>
          <w:p w14:paraId="73C7640A" w14:textId="77777777" w:rsidR="000D07EA" w:rsidRDefault="00BE7C89">
            <w:pPr>
              <w:pStyle w:val="BodyText"/>
              <w:spacing w:before="100" w:after="100"/>
            </w:pPr>
            <w:r>
              <w:t xml:space="preserve">Taiwan </w:t>
            </w:r>
          </w:p>
        </w:tc>
        <w:tc>
          <w:tcPr>
            <w:tcW w:w="2104" w:type="dxa"/>
            <w:shd w:val="clear" w:color="auto" w:fill="auto"/>
          </w:tcPr>
          <w:p w14:paraId="4355CA2B" w14:textId="77777777" w:rsidR="000D07EA" w:rsidRDefault="00BE7C89">
            <w:pPr>
              <w:pStyle w:val="BodyText"/>
              <w:spacing w:before="100" w:after="100"/>
            </w:pPr>
            <w:r>
              <w:t>Thailand</w:t>
            </w:r>
          </w:p>
        </w:tc>
      </w:tr>
      <w:tr w:rsidR="000D07EA" w14:paraId="1CD84A09" w14:textId="77777777">
        <w:tc>
          <w:tcPr>
            <w:tcW w:w="2103" w:type="dxa"/>
            <w:shd w:val="clear" w:color="auto" w:fill="auto"/>
          </w:tcPr>
          <w:p w14:paraId="3AD141BE" w14:textId="77777777" w:rsidR="000D07EA" w:rsidRDefault="00BE7C89">
            <w:pPr>
              <w:pStyle w:val="BodyText"/>
              <w:spacing w:before="100" w:after="100"/>
            </w:pPr>
            <w:r>
              <w:t>Turkey</w:t>
            </w:r>
          </w:p>
        </w:tc>
        <w:tc>
          <w:tcPr>
            <w:tcW w:w="2104" w:type="dxa"/>
            <w:shd w:val="clear" w:color="auto" w:fill="auto"/>
          </w:tcPr>
          <w:p w14:paraId="08D3F868" w14:textId="77777777" w:rsidR="000D07EA" w:rsidRDefault="00BE7C89">
            <w:pPr>
              <w:pStyle w:val="BodyText"/>
              <w:spacing w:before="100" w:after="100"/>
            </w:pPr>
            <w:r>
              <w:t>United Kingdom</w:t>
            </w:r>
          </w:p>
        </w:tc>
        <w:tc>
          <w:tcPr>
            <w:tcW w:w="2103" w:type="dxa"/>
            <w:shd w:val="clear" w:color="auto" w:fill="auto"/>
          </w:tcPr>
          <w:p w14:paraId="46ED7437" w14:textId="77777777" w:rsidR="000D07EA" w:rsidRDefault="00BE7C89">
            <w:pPr>
              <w:pStyle w:val="BodyText"/>
              <w:spacing w:before="100" w:after="100"/>
            </w:pPr>
            <w:r>
              <w:t xml:space="preserve">USA </w:t>
            </w:r>
          </w:p>
        </w:tc>
        <w:tc>
          <w:tcPr>
            <w:tcW w:w="2104" w:type="dxa"/>
            <w:shd w:val="clear" w:color="auto" w:fill="auto"/>
          </w:tcPr>
          <w:p w14:paraId="1E9031EE" w14:textId="77777777" w:rsidR="000D07EA" w:rsidRDefault="00BE7C89">
            <w:pPr>
              <w:pStyle w:val="BodyText"/>
              <w:spacing w:before="100" w:after="100"/>
            </w:pPr>
            <w:r>
              <w:t>Vietnam</w:t>
            </w:r>
          </w:p>
        </w:tc>
      </w:tr>
    </w:tbl>
    <w:p w14:paraId="309CF531" w14:textId="77777777" w:rsidR="000D07EA" w:rsidRDefault="000D07EA">
      <w:pPr>
        <w:pStyle w:val="BodyText"/>
      </w:pPr>
    </w:p>
    <w:p w14:paraId="10771BF1" w14:textId="77777777" w:rsidR="000D07EA" w:rsidRDefault="00BE7C89">
      <w:pPr>
        <w:pStyle w:val="Heading6"/>
        <w:ind w:left="0" w:firstLine="0"/>
      </w:pPr>
      <w:bookmarkStart w:id="936" w:name="_Toc409100163"/>
      <w:bookmarkStart w:id="937" w:name="_Toc410222142"/>
      <w:r>
        <w:t>My Account</w:t>
      </w:r>
      <w:bookmarkEnd w:id="936"/>
      <w:bookmarkEnd w:id="937"/>
    </w:p>
    <w:p w14:paraId="44779670" w14:textId="77777777" w:rsidR="000D07EA" w:rsidRDefault="00BE7C89">
      <w:pPr>
        <w:pStyle w:val="BodyText"/>
        <w:ind w:left="72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service has used. If </w:t>
      </w:r>
      <w:r>
        <w:rPr>
          <w:i/>
        </w:rPr>
        <w:t>you</w:t>
      </w:r>
      <w:r>
        <w:t xml:space="preserve"> have more than 6 services on </w:t>
      </w:r>
      <w:r>
        <w:rPr>
          <w:i/>
        </w:rPr>
        <w:t>your</w:t>
      </w:r>
      <w:r>
        <w:t xml:space="preserve"> account, My Account may not be suitable for viewing usage and managing </w:t>
      </w:r>
      <w:r>
        <w:rPr>
          <w:i/>
        </w:rPr>
        <w:t xml:space="preserve">your </w:t>
      </w:r>
      <w:r>
        <w:t>usage alerts.</w:t>
      </w:r>
    </w:p>
    <w:p w14:paraId="3AD30EC5" w14:textId="77777777" w:rsidR="000D07EA" w:rsidRDefault="00BE7C89">
      <w:pPr>
        <w:pStyle w:val="Heading6"/>
        <w:ind w:left="0" w:firstLine="0"/>
      </w:pPr>
      <w:bookmarkStart w:id="938" w:name="_Toc409100164"/>
      <w:bookmarkStart w:id="939" w:name="_Toc410222143"/>
      <w:r>
        <w:t xml:space="preserve">What happens if the </w:t>
      </w:r>
      <w:r>
        <w:rPr>
          <w:i/>
        </w:rPr>
        <w:t xml:space="preserve">service </w:t>
      </w:r>
      <w:r>
        <w:t>is</w:t>
      </w:r>
      <w:r>
        <w:rPr>
          <w:i/>
        </w:rPr>
        <w:t xml:space="preserve"> cancelled </w:t>
      </w:r>
      <w:r>
        <w:t>early?</w:t>
      </w:r>
      <w:bookmarkEnd w:id="938"/>
      <w:bookmarkEnd w:id="939"/>
      <w:r>
        <w:t xml:space="preserve"> </w:t>
      </w:r>
    </w:p>
    <w:p w14:paraId="4DEA6B5D" w14:textId="77777777" w:rsidR="000D07EA" w:rsidRDefault="00BE7C89">
      <w:pPr>
        <w:pStyle w:val="Heading7"/>
      </w:pPr>
      <w:r>
        <w:t>If the</w:t>
      </w:r>
      <w:r>
        <w:rPr>
          <w:i/>
        </w:rPr>
        <w:t xml:space="preserve"> service</w:t>
      </w:r>
      <w:r>
        <w:t xml:space="preserve"> is</w:t>
      </w:r>
      <w:r>
        <w:rPr>
          <w:i/>
        </w:rPr>
        <w:t xml:space="preserve"> cancelled </w:t>
      </w:r>
      <w:r>
        <w:t xml:space="preserve">before the end of </w:t>
      </w:r>
      <w:r>
        <w:rPr>
          <w:i/>
        </w:rPr>
        <w:t xml:space="preserve">your minimum term, you </w:t>
      </w:r>
      <w:r>
        <w:t xml:space="preserve">will be required to pay </w:t>
      </w:r>
      <w:r>
        <w:rPr>
          <w:i/>
        </w:rPr>
        <w:t>us</w:t>
      </w:r>
      <w:r>
        <w:t>:</w:t>
      </w:r>
    </w:p>
    <w:p w14:paraId="3525B9C9" w14:textId="77777777" w:rsidR="000D07EA" w:rsidRDefault="00BE7C89">
      <w:pPr>
        <w:pStyle w:val="Heading8"/>
      </w:pPr>
      <w:r>
        <w:t xml:space="preserve">any usage charges incurred up to, and including, the </w:t>
      </w:r>
      <w:r>
        <w:rPr>
          <w:i/>
        </w:rPr>
        <w:t xml:space="preserve">cancellation date; </w:t>
      </w:r>
      <w:r>
        <w:t>plus</w:t>
      </w:r>
    </w:p>
    <w:p w14:paraId="0355162F" w14:textId="77777777" w:rsidR="000D07EA" w:rsidRDefault="00BE7C89">
      <w:pPr>
        <w:pStyle w:val="Heading8"/>
      </w:pPr>
      <w:r>
        <w:lastRenderedPageBreak/>
        <w:t xml:space="preserve">the </w:t>
      </w:r>
      <w:r>
        <w:rPr>
          <w:i/>
        </w:rPr>
        <w:t>cancellation fees</w:t>
      </w:r>
      <w:r>
        <w:t xml:space="preserve"> set out in paragraph </w:t>
      </w:r>
      <w:r>
        <w:fldChar w:fldCharType="begin"/>
      </w:r>
      <w:r>
        <w:instrText xml:space="preserve"> REF _Ref461555382 \n \h </w:instrText>
      </w:r>
      <w:r>
        <w:fldChar w:fldCharType="separate"/>
      </w:r>
      <w:r w:rsidR="0004083A">
        <w:t>(b)</w:t>
      </w:r>
      <w:r>
        <w:fldChar w:fldCharType="end"/>
      </w:r>
      <w:r>
        <w:t xml:space="preserve"> below (unless under clause 2A of the </w:t>
      </w:r>
      <w:r>
        <w:rPr>
          <w:i/>
        </w:rPr>
        <w:t>consumer terms</w:t>
      </w:r>
      <w:r>
        <w:t xml:space="preserve">, </w:t>
      </w:r>
      <w:r>
        <w:rPr>
          <w:i/>
        </w:rPr>
        <w:t>you</w:t>
      </w:r>
      <w:r>
        <w:t xml:space="preserve"> are entitled to </w:t>
      </w:r>
      <w:r>
        <w:rPr>
          <w:i/>
        </w:rPr>
        <w:t>cancel the service</w:t>
      </w:r>
      <w:r>
        <w:t xml:space="preserve"> without incurring a </w:t>
      </w:r>
      <w:r>
        <w:rPr>
          <w:i/>
        </w:rPr>
        <w:t>cancellation fee</w:t>
      </w:r>
      <w:r>
        <w:t>); plus</w:t>
      </w:r>
    </w:p>
    <w:p w14:paraId="7240CB75" w14:textId="77777777" w:rsidR="000D07EA" w:rsidRDefault="00BE7C89">
      <w:pPr>
        <w:pStyle w:val="Heading8"/>
      </w:pPr>
      <w:r>
        <w:t xml:space="preserve">the sum of unpaid </w:t>
      </w:r>
      <w:r>
        <w:rPr>
          <w:i/>
        </w:rPr>
        <w:t xml:space="preserve">equipment charges </w:t>
      </w:r>
      <w:r>
        <w:t xml:space="preserve">owing on </w:t>
      </w:r>
      <w:r>
        <w:rPr>
          <w:i/>
        </w:rPr>
        <w:t xml:space="preserve">your mobile phone </w:t>
      </w:r>
      <w:r>
        <w:t xml:space="preserve">under the </w:t>
      </w:r>
      <w:r>
        <w:rPr>
          <w:i/>
        </w:rPr>
        <w:t xml:space="preserve">mobile equipment payment plan </w:t>
      </w:r>
      <w:r>
        <w:t xml:space="preserve">(if any). Note, any Handset Credit </w:t>
      </w:r>
      <w:r>
        <w:rPr>
          <w:i/>
        </w:rPr>
        <w:t xml:space="preserve">you </w:t>
      </w:r>
      <w:r>
        <w:t>were entitled to will be forfeited (</w:t>
      </w:r>
      <w:r w:rsidRPr="00272628">
        <w:t xml:space="preserve">see </w:t>
      </w:r>
      <w:r w:rsidR="00C67DDF" w:rsidRPr="00272628">
        <w:t>114</w:t>
      </w:r>
      <w:r w:rsidRPr="00272628">
        <w:t>.9 above).</w:t>
      </w:r>
    </w:p>
    <w:p w14:paraId="3ACA4529" w14:textId="77777777" w:rsidR="000D07EA" w:rsidRDefault="00BE7C89">
      <w:pPr>
        <w:pStyle w:val="Heading7"/>
      </w:pPr>
      <w:bookmarkStart w:id="940" w:name="_Ref461555382"/>
      <w:r>
        <w:t xml:space="preserve">The </w:t>
      </w:r>
      <w:r>
        <w:rPr>
          <w:i/>
        </w:rPr>
        <w:t>cancellation fee</w:t>
      </w:r>
      <w:r>
        <w:t xml:space="preserve"> is calculated as the following amounts, multiplied by the months remaining on </w:t>
      </w:r>
      <w:r>
        <w:rPr>
          <w:i/>
        </w:rPr>
        <w:t>your minimum term</w:t>
      </w:r>
      <w:r>
        <w:t>:</w:t>
      </w:r>
      <w:bookmarkEnd w:id="940"/>
    </w:p>
    <w:tbl>
      <w:tblPr>
        <w:tblW w:w="920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561"/>
        <w:gridCol w:w="1528"/>
        <w:gridCol w:w="1529"/>
        <w:gridCol w:w="1529"/>
        <w:gridCol w:w="1529"/>
        <w:gridCol w:w="1529"/>
      </w:tblGrid>
      <w:tr w:rsidR="000D07EA" w14:paraId="68A35FD3" w14:textId="77777777">
        <w:trPr>
          <w:trHeight w:val="289"/>
        </w:trPr>
        <w:tc>
          <w:tcPr>
            <w:tcW w:w="1561" w:type="dxa"/>
          </w:tcPr>
          <w:p w14:paraId="7CCC17D3" w14:textId="77777777" w:rsidR="000D07EA" w:rsidRDefault="000D07EA">
            <w:pPr>
              <w:pStyle w:val="BodyText"/>
              <w:keepNext/>
              <w:spacing w:before="100" w:after="100"/>
            </w:pPr>
          </w:p>
        </w:tc>
        <w:tc>
          <w:tcPr>
            <w:tcW w:w="7644" w:type="dxa"/>
            <w:gridSpan w:val="5"/>
            <w:shd w:val="clear" w:color="auto" w:fill="auto"/>
            <w:vAlign w:val="center"/>
          </w:tcPr>
          <w:p w14:paraId="3CBAE301" w14:textId="77777777" w:rsidR="000D07EA" w:rsidRDefault="00BE7C89">
            <w:pPr>
              <w:pStyle w:val="BodyText"/>
              <w:keepNext/>
              <w:spacing w:before="100" w:after="100"/>
              <w:jc w:val="center"/>
              <w:rPr>
                <w:b/>
              </w:rPr>
            </w:pPr>
            <w:r>
              <w:rPr>
                <w:b/>
              </w:rPr>
              <w:t>My Plan Business</w:t>
            </w:r>
          </w:p>
        </w:tc>
      </w:tr>
      <w:tr w:rsidR="000D07EA" w14:paraId="540740AA" w14:textId="77777777">
        <w:trPr>
          <w:trHeight w:val="58"/>
        </w:trPr>
        <w:tc>
          <w:tcPr>
            <w:tcW w:w="1561" w:type="dxa"/>
            <w:shd w:val="clear" w:color="auto" w:fill="auto"/>
            <w:vAlign w:val="center"/>
          </w:tcPr>
          <w:p w14:paraId="5E9FFFE9" w14:textId="77777777" w:rsidR="000D07EA" w:rsidRDefault="000D07EA">
            <w:pPr>
              <w:pStyle w:val="BodyText"/>
              <w:spacing w:before="100" w:after="100"/>
            </w:pPr>
          </w:p>
        </w:tc>
        <w:tc>
          <w:tcPr>
            <w:tcW w:w="1528" w:type="dxa"/>
            <w:vAlign w:val="center"/>
          </w:tcPr>
          <w:p w14:paraId="3B297AD1" w14:textId="77777777" w:rsidR="000D07EA" w:rsidRDefault="00BE7C89">
            <w:pPr>
              <w:pStyle w:val="BodyText"/>
              <w:spacing w:before="100" w:after="100"/>
              <w:jc w:val="center"/>
              <w:rPr>
                <w:b/>
              </w:rPr>
            </w:pPr>
            <w:r>
              <w:rPr>
                <w:b/>
              </w:rPr>
              <w:t xml:space="preserve">$35 My Plan </w:t>
            </w:r>
            <w:r>
              <w:rPr>
                <w:b/>
                <w:snapToGrid w:val="0"/>
              </w:rPr>
              <w:t>Business</w:t>
            </w:r>
          </w:p>
        </w:tc>
        <w:tc>
          <w:tcPr>
            <w:tcW w:w="1529" w:type="dxa"/>
            <w:vAlign w:val="center"/>
          </w:tcPr>
          <w:p w14:paraId="4159705A" w14:textId="77777777" w:rsidR="000D07EA" w:rsidRDefault="00BE7C89">
            <w:pPr>
              <w:pStyle w:val="BodyText"/>
              <w:spacing w:before="100" w:after="100"/>
              <w:jc w:val="center"/>
              <w:rPr>
                <w:b/>
              </w:rPr>
            </w:pPr>
            <w:r>
              <w:rPr>
                <w:b/>
              </w:rPr>
              <w:t xml:space="preserve">$50 My Plan </w:t>
            </w:r>
            <w:r>
              <w:rPr>
                <w:b/>
                <w:snapToGrid w:val="0"/>
              </w:rPr>
              <w:t>Business</w:t>
            </w:r>
          </w:p>
        </w:tc>
        <w:tc>
          <w:tcPr>
            <w:tcW w:w="1529" w:type="dxa"/>
            <w:shd w:val="clear" w:color="auto" w:fill="auto"/>
            <w:vAlign w:val="center"/>
          </w:tcPr>
          <w:p w14:paraId="1F381107" w14:textId="77777777" w:rsidR="000D07EA" w:rsidRDefault="00BE7C89">
            <w:pPr>
              <w:pStyle w:val="BodyText"/>
              <w:spacing w:before="100" w:after="100"/>
              <w:jc w:val="center"/>
              <w:rPr>
                <w:b/>
              </w:rPr>
            </w:pPr>
            <w:r>
              <w:rPr>
                <w:b/>
              </w:rPr>
              <w:t xml:space="preserve">$60 My Plan </w:t>
            </w:r>
            <w:r>
              <w:rPr>
                <w:b/>
                <w:snapToGrid w:val="0"/>
              </w:rPr>
              <w:t>Business</w:t>
            </w:r>
          </w:p>
        </w:tc>
        <w:tc>
          <w:tcPr>
            <w:tcW w:w="1529" w:type="dxa"/>
            <w:shd w:val="clear" w:color="auto" w:fill="auto"/>
            <w:vAlign w:val="center"/>
          </w:tcPr>
          <w:p w14:paraId="44F1F556" w14:textId="77777777" w:rsidR="000D07EA" w:rsidRDefault="00BE7C89">
            <w:pPr>
              <w:pStyle w:val="BodyText"/>
              <w:spacing w:before="100" w:after="100"/>
              <w:jc w:val="center"/>
              <w:rPr>
                <w:b/>
              </w:rPr>
            </w:pPr>
            <w:r>
              <w:rPr>
                <w:b/>
              </w:rPr>
              <w:t xml:space="preserve">$80 My Plan </w:t>
            </w:r>
            <w:r>
              <w:rPr>
                <w:b/>
                <w:snapToGrid w:val="0"/>
              </w:rPr>
              <w:t>Business</w:t>
            </w:r>
          </w:p>
        </w:tc>
        <w:tc>
          <w:tcPr>
            <w:tcW w:w="1529" w:type="dxa"/>
            <w:shd w:val="clear" w:color="auto" w:fill="auto"/>
            <w:vAlign w:val="center"/>
          </w:tcPr>
          <w:p w14:paraId="115DBC23" w14:textId="77777777" w:rsidR="000D07EA" w:rsidRDefault="00BE7C89">
            <w:pPr>
              <w:pStyle w:val="BodyText"/>
              <w:spacing w:before="100" w:after="100"/>
              <w:jc w:val="center"/>
              <w:rPr>
                <w:b/>
              </w:rPr>
            </w:pPr>
            <w:r>
              <w:rPr>
                <w:b/>
              </w:rPr>
              <w:t xml:space="preserve">$100 My Plan </w:t>
            </w:r>
            <w:r>
              <w:rPr>
                <w:b/>
                <w:snapToGrid w:val="0"/>
              </w:rPr>
              <w:t>Business</w:t>
            </w:r>
          </w:p>
        </w:tc>
      </w:tr>
      <w:tr w:rsidR="000D07EA" w14:paraId="194190C3" w14:textId="77777777">
        <w:trPr>
          <w:trHeight w:val="275"/>
        </w:trPr>
        <w:tc>
          <w:tcPr>
            <w:tcW w:w="1561" w:type="dxa"/>
            <w:shd w:val="clear" w:color="auto" w:fill="auto"/>
            <w:vAlign w:val="center"/>
          </w:tcPr>
          <w:p w14:paraId="35488B35" w14:textId="77777777" w:rsidR="000D07EA" w:rsidRDefault="00BE7C89">
            <w:pPr>
              <w:pStyle w:val="BodyText"/>
              <w:spacing w:before="100" w:after="100"/>
              <w:jc w:val="center"/>
              <w:rPr>
                <w:b/>
              </w:rPr>
            </w:pPr>
            <w:r>
              <w:rPr>
                <w:b/>
              </w:rPr>
              <w:t>Cancellation Fee</w:t>
            </w:r>
          </w:p>
        </w:tc>
        <w:tc>
          <w:tcPr>
            <w:tcW w:w="1528" w:type="dxa"/>
            <w:vAlign w:val="center"/>
          </w:tcPr>
          <w:p w14:paraId="3B1134BD" w14:textId="77777777" w:rsidR="000D07EA" w:rsidRDefault="00BE7C89">
            <w:pPr>
              <w:pStyle w:val="BodyText"/>
              <w:spacing w:before="100" w:after="100"/>
              <w:jc w:val="center"/>
              <w:rPr>
                <w:i/>
              </w:rPr>
            </w:pPr>
            <w:r>
              <w:t>$11.25 x Months remaining</w:t>
            </w:r>
          </w:p>
        </w:tc>
        <w:tc>
          <w:tcPr>
            <w:tcW w:w="1529" w:type="dxa"/>
            <w:vAlign w:val="center"/>
          </w:tcPr>
          <w:p w14:paraId="1E211140" w14:textId="77777777" w:rsidR="000D07EA" w:rsidRDefault="00BE7C89">
            <w:pPr>
              <w:pStyle w:val="BodyText"/>
              <w:spacing w:before="100" w:after="100"/>
              <w:jc w:val="center"/>
            </w:pPr>
            <w:r>
              <w:t>$15.42 x Months remaining</w:t>
            </w:r>
          </w:p>
        </w:tc>
        <w:tc>
          <w:tcPr>
            <w:tcW w:w="1529" w:type="dxa"/>
            <w:shd w:val="clear" w:color="auto" w:fill="auto"/>
            <w:vAlign w:val="center"/>
          </w:tcPr>
          <w:p w14:paraId="759F8EE0" w14:textId="77777777" w:rsidR="000D07EA" w:rsidRDefault="00BE7C89">
            <w:pPr>
              <w:pStyle w:val="BodyText"/>
              <w:spacing w:before="100" w:after="100"/>
              <w:jc w:val="center"/>
            </w:pPr>
            <w:r>
              <w:t>$19.16 x Months remaining</w:t>
            </w:r>
          </w:p>
        </w:tc>
        <w:tc>
          <w:tcPr>
            <w:tcW w:w="1529" w:type="dxa"/>
            <w:shd w:val="clear" w:color="auto" w:fill="auto"/>
            <w:vAlign w:val="center"/>
          </w:tcPr>
          <w:p w14:paraId="05392449" w14:textId="77777777" w:rsidR="000D07EA" w:rsidRDefault="00BE7C89">
            <w:pPr>
              <w:pStyle w:val="BodyText"/>
              <w:spacing w:before="100" w:after="100"/>
              <w:jc w:val="center"/>
            </w:pPr>
            <w:r>
              <w:t>$16.25 x Months remaining</w:t>
            </w:r>
          </w:p>
        </w:tc>
        <w:tc>
          <w:tcPr>
            <w:tcW w:w="1529" w:type="dxa"/>
            <w:shd w:val="clear" w:color="auto" w:fill="auto"/>
            <w:vAlign w:val="center"/>
          </w:tcPr>
          <w:p w14:paraId="7C31B033" w14:textId="77777777" w:rsidR="000D07EA" w:rsidRDefault="00BE7C89">
            <w:pPr>
              <w:pStyle w:val="BodyText"/>
              <w:spacing w:before="100" w:after="100"/>
              <w:jc w:val="center"/>
            </w:pPr>
            <w:r>
              <w:t>$25.41 x Months remaining</w:t>
            </w:r>
          </w:p>
        </w:tc>
      </w:tr>
      <w:tr w:rsidR="000D07EA" w14:paraId="65A1C921" w14:textId="77777777">
        <w:trPr>
          <w:trHeight w:val="275"/>
        </w:trPr>
        <w:tc>
          <w:tcPr>
            <w:tcW w:w="1561" w:type="dxa"/>
            <w:shd w:val="clear" w:color="auto" w:fill="auto"/>
            <w:vAlign w:val="center"/>
          </w:tcPr>
          <w:p w14:paraId="035B429D" w14:textId="77777777" w:rsidR="000D07EA" w:rsidRDefault="00BE7C89">
            <w:pPr>
              <w:pStyle w:val="BodyText"/>
              <w:spacing w:before="100" w:after="100"/>
              <w:jc w:val="center"/>
              <w:rPr>
                <w:b/>
              </w:rPr>
            </w:pPr>
            <w:r>
              <w:rPr>
                <w:b/>
              </w:rPr>
              <w:t>Maximum Cancellation Fee</w:t>
            </w:r>
          </w:p>
        </w:tc>
        <w:tc>
          <w:tcPr>
            <w:tcW w:w="1528" w:type="dxa"/>
            <w:vAlign w:val="center"/>
          </w:tcPr>
          <w:p w14:paraId="5F17363C" w14:textId="77777777" w:rsidR="000D07EA" w:rsidRDefault="00BE7C89">
            <w:pPr>
              <w:pStyle w:val="BodyText"/>
              <w:spacing w:before="100" w:after="100"/>
              <w:jc w:val="center"/>
            </w:pPr>
            <w:r>
              <w:t>$270</w:t>
            </w:r>
          </w:p>
        </w:tc>
        <w:tc>
          <w:tcPr>
            <w:tcW w:w="1529" w:type="dxa"/>
            <w:vAlign w:val="center"/>
          </w:tcPr>
          <w:p w14:paraId="1888744A" w14:textId="77777777" w:rsidR="000D07EA" w:rsidRDefault="00BE7C89">
            <w:pPr>
              <w:pStyle w:val="BodyText"/>
              <w:spacing w:before="100" w:after="100"/>
              <w:jc w:val="center"/>
            </w:pPr>
            <w:r>
              <w:t>$370</w:t>
            </w:r>
          </w:p>
        </w:tc>
        <w:tc>
          <w:tcPr>
            <w:tcW w:w="1529" w:type="dxa"/>
            <w:shd w:val="clear" w:color="auto" w:fill="auto"/>
            <w:vAlign w:val="center"/>
          </w:tcPr>
          <w:p w14:paraId="45E20237" w14:textId="77777777" w:rsidR="000D07EA" w:rsidRDefault="00BE7C89">
            <w:pPr>
              <w:pStyle w:val="BodyText"/>
              <w:spacing w:before="100" w:after="100"/>
              <w:jc w:val="center"/>
            </w:pPr>
            <w:r>
              <w:t>$460</w:t>
            </w:r>
          </w:p>
        </w:tc>
        <w:tc>
          <w:tcPr>
            <w:tcW w:w="1529" w:type="dxa"/>
            <w:shd w:val="clear" w:color="auto" w:fill="auto"/>
            <w:vAlign w:val="center"/>
          </w:tcPr>
          <w:p w14:paraId="0A7BCED3" w14:textId="77777777" w:rsidR="000D07EA" w:rsidRDefault="00BE7C89">
            <w:pPr>
              <w:pStyle w:val="BodyText"/>
              <w:spacing w:before="100" w:after="100"/>
              <w:jc w:val="center"/>
            </w:pPr>
            <w:r>
              <w:t>$390</w:t>
            </w:r>
          </w:p>
        </w:tc>
        <w:tc>
          <w:tcPr>
            <w:tcW w:w="1529" w:type="dxa"/>
            <w:shd w:val="clear" w:color="auto" w:fill="auto"/>
            <w:vAlign w:val="center"/>
          </w:tcPr>
          <w:p w14:paraId="4ABA3C22" w14:textId="77777777" w:rsidR="000D07EA" w:rsidRDefault="00BE7C89">
            <w:pPr>
              <w:pStyle w:val="BodyText"/>
              <w:spacing w:before="100" w:after="100"/>
              <w:jc w:val="center"/>
            </w:pPr>
            <w:r>
              <w:t>$610</w:t>
            </w:r>
          </w:p>
        </w:tc>
      </w:tr>
    </w:tbl>
    <w:p w14:paraId="0AADDC98" w14:textId="77777777" w:rsidR="000D07EA" w:rsidRDefault="000D07EA">
      <w:pPr>
        <w:pStyle w:val="BodyText"/>
      </w:pPr>
    </w:p>
    <w:p w14:paraId="4AF47262" w14:textId="77777777" w:rsidR="000D07EA" w:rsidRDefault="00BE7C89">
      <w:pPr>
        <w:pStyle w:val="Heading7"/>
      </w:pPr>
      <w:r>
        <w:t xml:space="preserve">If </w:t>
      </w:r>
      <w:r>
        <w:rPr>
          <w:i/>
        </w:rPr>
        <w:t>your</w:t>
      </w:r>
      <w:r>
        <w:t xml:space="preserve"> My Plan </w:t>
      </w:r>
      <w:r>
        <w:rPr>
          <w:snapToGrid w:val="0"/>
        </w:rPr>
        <w:t>Business</w:t>
      </w:r>
      <w:r>
        <w:t xml:space="preserve"> is </w:t>
      </w:r>
      <w:r>
        <w:rPr>
          <w:i/>
        </w:rPr>
        <w:t>cancelled</w:t>
      </w:r>
      <w:r>
        <w:t xml:space="preserve">, </w:t>
      </w:r>
      <w:r>
        <w:rPr>
          <w:i/>
        </w:rPr>
        <w:t>your</w:t>
      </w:r>
      <w:r>
        <w:t xml:space="preserve"> Shared Data Plan(s) may also be </w:t>
      </w:r>
      <w:r>
        <w:rPr>
          <w:i/>
        </w:rPr>
        <w:t>cancelled</w:t>
      </w:r>
      <w:r>
        <w:t xml:space="preserve">. There are no </w:t>
      </w:r>
      <w:r>
        <w:rPr>
          <w:i/>
        </w:rPr>
        <w:t>cancellation fees</w:t>
      </w:r>
      <w:r>
        <w:t xml:space="preserve"> for the Shared Data Plan, however if </w:t>
      </w:r>
      <w:r>
        <w:rPr>
          <w:i/>
        </w:rPr>
        <w:t>you</w:t>
      </w:r>
      <w:r>
        <w:t xml:space="preserve"> purchased a </w:t>
      </w:r>
      <w:r>
        <w:rPr>
          <w:i/>
        </w:rPr>
        <w:t>device</w:t>
      </w:r>
      <w:r>
        <w:t xml:space="preserve"> </w:t>
      </w:r>
      <w:r>
        <w:rPr>
          <w:i/>
        </w:rPr>
        <w:t>you</w:t>
      </w:r>
      <w:r>
        <w:t xml:space="preserve"> need to pay the sum of any remaining </w:t>
      </w:r>
      <w:r>
        <w:rPr>
          <w:i/>
        </w:rPr>
        <w:t xml:space="preserve">equipment charges </w:t>
      </w:r>
      <w:r>
        <w:t xml:space="preserve">owing on </w:t>
      </w:r>
      <w:r>
        <w:rPr>
          <w:i/>
        </w:rPr>
        <w:t xml:space="preserve">your device </w:t>
      </w:r>
      <w:r>
        <w:t xml:space="preserve">under the </w:t>
      </w:r>
      <w:r>
        <w:rPr>
          <w:i/>
        </w:rPr>
        <w:t xml:space="preserve">mobile equipment payment plan </w:t>
      </w:r>
      <w:r>
        <w:t xml:space="preserve">(see </w:t>
      </w:r>
      <w:hyperlink r:id="rId576" w:history="1">
        <w:r>
          <w:rPr>
            <w:rStyle w:val="Hyperlink"/>
            <w:i/>
          </w:rPr>
          <w:t>Appendix D</w:t>
        </w:r>
      </w:hyperlink>
      <w:r>
        <w:t>).</w:t>
      </w:r>
    </w:p>
    <w:p w14:paraId="1ED4F82A" w14:textId="77777777" w:rsidR="000D07EA" w:rsidRDefault="00BE7C89">
      <w:pPr>
        <w:pStyle w:val="Heading7"/>
      </w:pPr>
      <w:r>
        <w:t xml:space="preserve">If </w:t>
      </w:r>
      <w:r>
        <w:rPr>
          <w:i/>
        </w:rPr>
        <w:t xml:space="preserve">your </w:t>
      </w:r>
      <w:r>
        <w:t xml:space="preserve">Shared Data Plan is not </w:t>
      </w:r>
      <w:r>
        <w:rPr>
          <w:i/>
        </w:rPr>
        <w:t>cancelled</w:t>
      </w:r>
      <w:r>
        <w:t xml:space="preserve">, </w:t>
      </w:r>
      <w:r>
        <w:rPr>
          <w:i/>
        </w:rPr>
        <w:t>you</w:t>
      </w:r>
      <w:r>
        <w:t xml:space="preserve"> will be charged $10 per 1GB within Australia, up to a maximum of 60GB (per account) in a billing month.</w:t>
      </w:r>
      <w:bookmarkStart w:id="941" w:name="_Toc414345843"/>
      <w:bookmarkStart w:id="942" w:name="_Toc414347437"/>
      <w:bookmarkStart w:id="943" w:name="_Toc414349461"/>
      <w:bookmarkStart w:id="944" w:name="_Toc417399947"/>
      <w:bookmarkStart w:id="945" w:name="_Toc417401767"/>
    </w:p>
    <w:p w14:paraId="6B411F93" w14:textId="77777777" w:rsidR="000D07EA" w:rsidRDefault="00BE7C89">
      <w:pPr>
        <w:pStyle w:val="Heading4"/>
        <w:ind w:left="720" w:hanging="720"/>
      </w:pPr>
      <w:bookmarkStart w:id="946" w:name="_Toc455147634"/>
      <w:bookmarkStart w:id="947" w:name="_Toc62644656"/>
      <w:r>
        <w:t>My Plan Plus SIM Only</w:t>
      </w:r>
      <w:bookmarkEnd w:id="941"/>
      <w:bookmarkEnd w:id="942"/>
      <w:bookmarkEnd w:id="943"/>
      <w:bookmarkEnd w:id="944"/>
      <w:bookmarkEnd w:id="945"/>
      <w:bookmarkEnd w:id="946"/>
      <w:bookmarkEnd w:id="947"/>
    </w:p>
    <w:p w14:paraId="3C652CB5" w14:textId="77777777" w:rsidR="000D07EA" w:rsidRDefault="00BE7C89">
      <w:pPr>
        <w:pStyle w:val="BodyText"/>
        <w:ind w:left="720"/>
      </w:pPr>
      <w:r>
        <w:t xml:space="preserve">This section relates to the following plans. </w:t>
      </w:r>
      <w:r>
        <w:rPr>
          <w:i/>
        </w:rPr>
        <w:t>You</w:t>
      </w:r>
      <w:r>
        <w:t xml:space="preserve"> can find </w:t>
      </w:r>
      <w:r>
        <w:rPr>
          <w:i/>
        </w:rPr>
        <w:t>your</w:t>
      </w:r>
      <w:r>
        <w:t xml:space="preserve"> Plan ID on </w:t>
      </w:r>
      <w:r>
        <w:rPr>
          <w:i/>
        </w:rPr>
        <w:t>your</w:t>
      </w:r>
      <w:r>
        <w:t xml:space="preserve"> bill under the Mobile Number Summary section:</w:t>
      </w:r>
    </w:p>
    <w:tbl>
      <w:tblPr>
        <w:tblW w:w="844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110"/>
        <w:gridCol w:w="2933"/>
      </w:tblGrid>
      <w:tr w:rsidR="000D07EA" w14:paraId="043AE804" w14:textId="77777777" w:rsidTr="00536F8B">
        <w:trPr>
          <w:trHeight w:val="58"/>
        </w:trPr>
        <w:tc>
          <w:tcPr>
            <w:tcW w:w="3402" w:type="dxa"/>
            <w:shd w:val="clear" w:color="auto" w:fill="auto"/>
          </w:tcPr>
          <w:p w14:paraId="10710196" w14:textId="77777777" w:rsidR="000D07EA" w:rsidRDefault="00BE7C89">
            <w:pPr>
              <w:pStyle w:val="BodyText"/>
              <w:spacing w:before="100" w:after="100"/>
              <w:jc w:val="center"/>
              <w:rPr>
                <w:b/>
                <w:szCs w:val="20"/>
              </w:rPr>
            </w:pPr>
            <w:r>
              <w:rPr>
                <w:b/>
                <w:szCs w:val="20"/>
              </w:rPr>
              <w:t>Plan</w:t>
            </w:r>
          </w:p>
        </w:tc>
        <w:tc>
          <w:tcPr>
            <w:tcW w:w="2110" w:type="dxa"/>
            <w:shd w:val="clear" w:color="auto" w:fill="auto"/>
          </w:tcPr>
          <w:p w14:paraId="5A568532" w14:textId="77777777" w:rsidR="000D07EA" w:rsidRDefault="00BE7C89">
            <w:pPr>
              <w:pStyle w:val="BodyText"/>
              <w:spacing w:before="100" w:after="100"/>
              <w:jc w:val="center"/>
              <w:rPr>
                <w:b/>
                <w:szCs w:val="20"/>
              </w:rPr>
            </w:pPr>
            <w:r>
              <w:rPr>
                <w:b/>
                <w:szCs w:val="20"/>
              </w:rPr>
              <w:t>Plan ID</w:t>
            </w:r>
          </w:p>
        </w:tc>
        <w:tc>
          <w:tcPr>
            <w:tcW w:w="2933" w:type="dxa"/>
            <w:shd w:val="clear" w:color="auto" w:fill="auto"/>
          </w:tcPr>
          <w:p w14:paraId="4440C7B9" w14:textId="77777777" w:rsidR="000D07EA" w:rsidRDefault="00BE7C89">
            <w:pPr>
              <w:pStyle w:val="BodyText"/>
              <w:spacing w:before="100" w:after="100"/>
              <w:jc w:val="center"/>
              <w:rPr>
                <w:b/>
                <w:szCs w:val="20"/>
              </w:rPr>
            </w:pPr>
            <w:r>
              <w:rPr>
                <w:b/>
                <w:szCs w:val="20"/>
              </w:rPr>
              <w:t>Available</w:t>
            </w:r>
          </w:p>
        </w:tc>
      </w:tr>
      <w:tr w:rsidR="000D07EA" w14:paraId="1CCA4E93" w14:textId="77777777" w:rsidTr="00536F8B">
        <w:tc>
          <w:tcPr>
            <w:tcW w:w="3402" w:type="dxa"/>
            <w:shd w:val="clear" w:color="auto" w:fill="auto"/>
          </w:tcPr>
          <w:p w14:paraId="62E392D4" w14:textId="77777777" w:rsidR="000D07EA" w:rsidRDefault="00BE7C89">
            <w:pPr>
              <w:pStyle w:val="BodyText"/>
              <w:spacing w:before="100" w:after="100"/>
              <w:jc w:val="center"/>
              <w:rPr>
                <w:szCs w:val="20"/>
              </w:rPr>
            </w:pPr>
            <w:r>
              <w:rPr>
                <w:szCs w:val="20"/>
              </w:rPr>
              <w:t>$30 My Plan Plus SIM Only</w:t>
            </w:r>
          </w:p>
        </w:tc>
        <w:tc>
          <w:tcPr>
            <w:tcW w:w="2110" w:type="dxa"/>
            <w:shd w:val="clear" w:color="auto" w:fill="auto"/>
          </w:tcPr>
          <w:p w14:paraId="4F84C3C1" w14:textId="77777777" w:rsidR="000D07EA" w:rsidRDefault="00BE7C89">
            <w:pPr>
              <w:pStyle w:val="BodyText"/>
              <w:spacing w:before="100" w:after="100"/>
              <w:jc w:val="center"/>
              <w:rPr>
                <w:szCs w:val="20"/>
              </w:rPr>
            </w:pPr>
            <w:r>
              <w:rPr>
                <w:szCs w:val="20"/>
              </w:rPr>
              <w:t>800249</w:t>
            </w:r>
            <w:r w:rsidR="00C9239B">
              <w:rPr>
                <w:szCs w:val="20"/>
              </w:rPr>
              <w:t>, 8375764</w:t>
            </w:r>
          </w:p>
        </w:tc>
        <w:tc>
          <w:tcPr>
            <w:tcW w:w="2933" w:type="dxa"/>
            <w:shd w:val="clear" w:color="auto" w:fill="auto"/>
          </w:tcPr>
          <w:p w14:paraId="33569CCE" w14:textId="77777777" w:rsidR="000D07EA" w:rsidRDefault="00BE7C89">
            <w:pPr>
              <w:pStyle w:val="BodyText"/>
              <w:spacing w:before="100" w:after="100"/>
              <w:jc w:val="center"/>
              <w:rPr>
                <w:szCs w:val="20"/>
              </w:rPr>
            </w:pPr>
            <w:r>
              <w:rPr>
                <w:szCs w:val="20"/>
              </w:rPr>
              <w:t>7 April 2015 - 26 April 2015</w:t>
            </w:r>
          </w:p>
        </w:tc>
      </w:tr>
      <w:tr w:rsidR="000D07EA" w14:paraId="10D9ED16" w14:textId="77777777" w:rsidTr="00536F8B">
        <w:tc>
          <w:tcPr>
            <w:tcW w:w="3402" w:type="dxa"/>
            <w:shd w:val="clear" w:color="auto" w:fill="auto"/>
          </w:tcPr>
          <w:p w14:paraId="183518AC" w14:textId="77777777" w:rsidR="000D07EA" w:rsidRDefault="00BE7C89">
            <w:pPr>
              <w:pStyle w:val="BodyText"/>
              <w:spacing w:before="100" w:after="100"/>
              <w:jc w:val="center"/>
              <w:rPr>
                <w:szCs w:val="20"/>
              </w:rPr>
            </w:pPr>
            <w:r>
              <w:rPr>
                <w:szCs w:val="20"/>
              </w:rPr>
              <w:t>$45 My Plan Plus SIM Only</w:t>
            </w:r>
          </w:p>
        </w:tc>
        <w:tc>
          <w:tcPr>
            <w:tcW w:w="2110" w:type="dxa"/>
            <w:shd w:val="clear" w:color="auto" w:fill="auto"/>
          </w:tcPr>
          <w:p w14:paraId="48004BF6" w14:textId="77777777" w:rsidR="000D07EA" w:rsidRDefault="00BE7C89">
            <w:pPr>
              <w:pStyle w:val="BodyText"/>
              <w:spacing w:before="100" w:after="100"/>
              <w:jc w:val="center"/>
              <w:rPr>
                <w:szCs w:val="20"/>
              </w:rPr>
            </w:pPr>
            <w:r>
              <w:rPr>
                <w:szCs w:val="20"/>
              </w:rPr>
              <w:t>800250</w:t>
            </w:r>
            <w:r w:rsidR="003C574B">
              <w:rPr>
                <w:szCs w:val="20"/>
              </w:rPr>
              <w:t>, 8375774</w:t>
            </w:r>
          </w:p>
        </w:tc>
        <w:tc>
          <w:tcPr>
            <w:tcW w:w="2933" w:type="dxa"/>
            <w:shd w:val="clear" w:color="auto" w:fill="auto"/>
            <w:vAlign w:val="center"/>
          </w:tcPr>
          <w:p w14:paraId="4E6EEF2A" w14:textId="77777777" w:rsidR="000D07EA" w:rsidRDefault="00BE7C89">
            <w:pPr>
              <w:pStyle w:val="BodyText"/>
              <w:spacing w:before="100" w:after="100"/>
              <w:jc w:val="center"/>
              <w:rPr>
                <w:szCs w:val="20"/>
              </w:rPr>
            </w:pPr>
            <w:r>
              <w:rPr>
                <w:szCs w:val="20"/>
              </w:rPr>
              <w:t>7 April 2015 - 26 April 2015</w:t>
            </w:r>
          </w:p>
        </w:tc>
      </w:tr>
      <w:tr w:rsidR="000D07EA" w14:paraId="2E5E3EDE" w14:textId="77777777" w:rsidTr="00536F8B">
        <w:tc>
          <w:tcPr>
            <w:tcW w:w="3402" w:type="dxa"/>
            <w:shd w:val="clear" w:color="auto" w:fill="auto"/>
          </w:tcPr>
          <w:p w14:paraId="13691BC5" w14:textId="77777777" w:rsidR="000D07EA" w:rsidRDefault="00BE7C89">
            <w:pPr>
              <w:pStyle w:val="BodyText"/>
              <w:spacing w:before="100" w:after="100"/>
              <w:jc w:val="center"/>
              <w:rPr>
                <w:szCs w:val="20"/>
              </w:rPr>
            </w:pPr>
            <w:r>
              <w:rPr>
                <w:szCs w:val="20"/>
              </w:rPr>
              <w:t>$60 My Plan Plus SIM Only</w:t>
            </w:r>
          </w:p>
        </w:tc>
        <w:tc>
          <w:tcPr>
            <w:tcW w:w="2110" w:type="dxa"/>
            <w:shd w:val="clear" w:color="auto" w:fill="auto"/>
          </w:tcPr>
          <w:p w14:paraId="425AFF93" w14:textId="77777777" w:rsidR="000D07EA" w:rsidRDefault="00BE7C89">
            <w:pPr>
              <w:pStyle w:val="BodyText"/>
              <w:spacing w:before="100" w:after="100"/>
              <w:jc w:val="center"/>
              <w:rPr>
                <w:szCs w:val="20"/>
              </w:rPr>
            </w:pPr>
            <w:r>
              <w:rPr>
                <w:szCs w:val="20"/>
              </w:rPr>
              <w:t>800251</w:t>
            </w:r>
            <w:r w:rsidR="003C574B">
              <w:rPr>
                <w:szCs w:val="20"/>
              </w:rPr>
              <w:t>, 8375784</w:t>
            </w:r>
          </w:p>
        </w:tc>
        <w:tc>
          <w:tcPr>
            <w:tcW w:w="2933" w:type="dxa"/>
            <w:shd w:val="clear" w:color="auto" w:fill="auto"/>
            <w:vAlign w:val="center"/>
          </w:tcPr>
          <w:p w14:paraId="380B8E48" w14:textId="77777777" w:rsidR="000D07EA" w:rsidRDefault="00BE7C89">
            <w:pPr>
              <w:pStyle w:val="BodyText"/>
              <w:spacing w:before="100" w:after="100"/>
              <w:jc w:val="center"/>
              <w:rPr>
                <w:szCs w:val="20"/>
              </w:rPr>
            </w:pPr>
            <w:r>
              <w:rPr>
                <w:szCs w:val="20"/>
              </w:rPr>
              <w:t>7 April 2015 - 26 April 2015</w:t>
            </w:r>
          </w:p>
        </w:tc>
      </w:tr>
    </w:tbl>
    <w:p w14:paraId="709E94E6" w14:textId="77777777" w:rsidR="000D07EA" w:rsidRDefault="000D07EA">
      <w:pPr>
        <w:pStyle w:val="BodyText"/>
      </w:pPr>
    </w:p>
    <w:p w14:paraId="0EC33BFC" w14:textId="77777777" w:rsidR="000D07EA" w:rsidRDefault="00BE7C89">
      <w:pPr>
        <w:pStyle w:val="Heading6"/>
        <w:keepNext/>
        <w:ind w:left="0" w:firstLine="0"/>
      </w:pPr>
      <w:r>
        <w:t>Eligibility</w:t>
      </w:r>
    </w:p>
    <w:p w14:paraId="72E0F2E8" w14:textId="77777777" w:rsidR="000D07EA" w:rsidRDefault="00BE7C89">
      <w:pPr>
        <w:pStyle w:val="BodyText"/>
        <w:ind w:left="720"/>
      </w:pPr>
      <w:r>
        <w:t xml:space="preserve">The My Plan Plus SIM Only plans were available to new and existing mobile customers connecting to the </w:t>
      </w:r>
      <w:r>
        <w:rPr>
          <w:i/>
        </w:rPr>
        <w:t xml:space="preserve">service </w:t>
      </w:r>
      <w:r>
        <w:t xml:space="preserve">who passed Optus' credit assessment. </w:t>
      </w:r>
    </w:p>
    <w:p w14:paraId="3AD3AF9C" w14:textId="77777777" w:rsidR="000D07EA" w:rsidRDefault="00BE7C89">
      <w:pPr>
        <w:pStyle w:val="BodyText"/>
        <w:ind w:left="720"/>
      </w:pPr>
      <w:r>
        <w:t>Optus Service Providers' customers are not eligible to apply</w:t>
      </w:r>
      <w:r>
        <w:rPr>
          <w:snapToGrid w:val="0"/>
        </w:rPr>
        <w:t>.</w:t>
      </w:r>
    </w:p>
    <w:p w14:paraId="6604BAED" w14:textId="77777777" w:rsidR="000D07EA" w:rsidRDefault="00BE7C89">
      <w:pPr>
        <w:pStyle w:val="BodyText"/>
        <w:ind w:left="720"/>
      </w:pPr>
      <w:r>
        <w:t xml:space="preserve">These </w:t>
      </w:r>
      <w:r>
        <w:rPr>
          <w:i/>
        </w:rPr>
        <w:t>plans</w:t>
      </w:r>
      <w:r>
        <w:t xml:space="preserve"> aren't compatible for data use with BlackBerry handsets on operating systems of 7.1 or earlier.</w:t>
      </w:r>
    </w:p>
    <w:p w14:paraId="5E840C55" w14:textId="77777777" w:rsidR="000D07EA" w:rsidRDefault="00BE7C89">
      <w:pPr>
        <w:pStyle w:val="Heading6"/>
        <w:ind w:left="0" w:firstLine="0"/>
      </w:pPr>
      <w:bookmarkStart w:id="948" w:name="_Toc414345845"/>
      <w:bookmarkStart w:id="949" w:name="_Toc414347439"/>
      <w:bookmarkStart w:id="950" w:name="_Toc414349463"/>
      <w:r>
        <w:rPr>
          <w:snapToGrid w:val="0"/>
        </w:rPr>
        <w:t>Minimum Term</w:t>
      </w:r>
      <w:bookmarkEnd w:id="948"/>
      <w:bookmarkEnd w:id="949"/>
      <w:bookmarkEnd w:id="950"/>
    </w:p>
    <w:p w14:paraId="0ADA0AD9" w14:textId="77777777" w:rsidR="000D07EA" w:rsidRDefault="00BE7C89">
      <w:pPr>
        <w:pStyle w:val="BodyText"/>
        <w:ind w:left="720"/>
      </w:pPr>
      <w:r>
        <w:t xml:space="preserve">These plans are month to month plans on a </w:t>
      </w:r>
      <w:r>
        <w:rPr>
          <w:i/>
        </w:rPr>
        <w:t>non-fixed length agreement.</w:t>
      </w:r>
    </w:p>
    <w:p w14:paraId="69DEE4DF" w14:textId="77777777" w:rsidR="000D07EA" w:rsidRDefault="00BE7C89">
      <w:pPr>
        <w:pStyle w:val="Heading6"/>
        <w:ind w:left="0" w:firstLine="0"/>
        <w:rPr>
          <w:b/>
        </w:rPr>
      </w:pPr>
      <w:bookmarkStart w:id="951" w:name="_Toc414345846"/>
      <w:bookmarkStart w:id="952" w:name="_Toc414347440"/>
      <w:bookmarkStart w:id="953" w:name="_Toc414349464"/>
      <w:r>
        <w:lastRenderedPageBreak/>
        <w:t>What you have to pay us</w:t>
      </w:r>
      <w:bookmarkEnd w:id="951"/>
      <w:bookmarkEnd w:id="952"/>
      <w:bookmarkEnd w:id="953"/>
    </w:p>
    <w:p w14:paraId="26FF2823" w14:textId="77777777" w:rsidR="000D07EA" w:rsidRDefault="00BE7C89">
      <w:pPr>
        <w:pStyle w:val="Heading7"/>
      </w:pPr>
      <w:r>
        <w:rPr>
          <w:i/>
        </w:rPr>
        <w:t>You</w:t>
      </w:r>
      <w:r>
        <w:t xml:space="preserve"> must pay </w:t>
      </w:r>
      <w:r>
        <w:rPr>
          <w:i/>
        </w:rPr>
        <w:t>us</w:t>
      </w:r>
      <w:r>
        <w:t xml:space="preserve"> for use of the </w:t>
      </w:r>
      <w:r>
        <w:rPr>
          <w:i/>
        </w:rPr>
        <w:t>service</w:t>
      </w:r>
      <w:r>
        <w:t xml:space="preserve"> at the rates set out in Section 1 of this </w:t>
      </w:r>
      <w:r>
        <w:rPr>
          <w:i/>
        </w:rPr>
        <w:t>standard pricing table</w:t>
      </w:r>
      <w:r>
        <w:t xml:space="preserve"> and for value added service features at the rates set out in </w:t>
      </w:r>
      <w:hyperlink r:id="rId577" w:history="1">
        <w:r>
          <w:rPr>
            <w:rStyle w:val="Hyperlink"/>
            <w:i/>
          </w:rPr>
          <w:t>Appendix Y Value Added Service Features</w:t>
        </w:r>
      </w:hyperlink>
      <w:r>
        <w:t>.</w:t>
      </w:r>
    </w:p>
    <w:p w14:paraId="25B39A7D" w14:textId="77777777" w:rsidR="000D07EA" w:rsidRDefault="00BE7C89">
      <w:pPr>
        <w:pStyle w:val="Heading7"/>
      </w:pPr>
      <w:r>
        <w:t>If there is a flagfall for a particular call type, the charge for these calls is the flagfall amount plus the relevant rate for the call multiplied by the duration of the call.</w:t>
      </w:r>
    </w:p>
    <w:p w14:paraId="763A63BB" w14:textId="77777777" w:rsidR="000D07EA" w:rsidRDefault="00BE7C89">
      <w:pPr>
        <w:pStyle w:val="Heading7"/>
        <w:keepNext/>
        <w:rPr>
          <w:b/>
        </w:rPr>
      </w:pPr>
      <w:r>
        <w:rPr>
          <w:b/>
        </w:rPr>
        <w:t xml:space="preserve">Minimum Monthly Charge </w:t>
      </w:r>
    </w:p>
    <w:p w14:paraId="3910F139" w14:textId="77777777" w:rsidR="000D07EA" w:rsidRDefault="00BE7C89">
      <w:pPr>
        <w:pStyle w:val="Heading8"/>
      </w:pPr>
      <w:r>
        <w:t xml:space="preserve">Each My Plan Plus SIM Only has a Minimum Monthly Charge amount that </w:t>
      </w:r>
      <w:r>
        <w:rPr>
          <w:i/>
        </w:rPr>
        <w:t>you</w:t>
      </w:r>
      <w:r>
        <w:t xml:space="preserve"> must pay </w:t>
      </w:r>
      <w:r>
        <w:rPr>
          <w:i/>
        </w:rPr>
        <w:t>us</w:t>
      </w:r>
      <w:r>
        <w:t xml:space="preserve"> each month as set out in Table 1 below.</w:t>
      </w:r>
    </w:p>
    <w:p w14:paraId="5A02EDF3" w14:textId="77777777" w:rsidR="000D07EA" w:rsidRDefault="00BE7C89">
      <w:pPr>
        <w:pStyle w:val="Heading8"/>
      </w:pPr>
      <w:r>
        <w:t xml:space="preserve">You may purchase a mobile phone (or 'handset') with a 1 month, 12 month or 24 month equipment term under a mobile equipment payment plan (set out in </w:t>
      </w:r>
      <w:hyperlink r:id="rId578" w:history="1">
        <w:r>
          <w:rPr>
            <w:rStyle w:val="Hyperlink"/>
            <w:i/>
          </w:rPr>
          <w:t>Appendix D</w:t>
        </w:r>
      </w:hyperlink>
      <w:r>
        <w:t>).</w:t>
      </w:r>
    </w:p>
    <w:p w14:paraId="3D6F5FBD" w14:textId="77777777" w:rsidR="000D07EA" w:rsidRDefault="00BE7C89">
      <w:pPr>
        <w:pStyle w:val="Heading6"/>
        <w:ind w:left="0" w:firstLine="0"/>
        <w:rPr>
          <w:snapToGrid w:val="0"/>
        </w:rPr>
      </w:pPr>
      <w:bookmarkStart w:id="954" w:name="_Toc414345847"/>
      <w:bookmarkStart w:id="955" w:name="_Toc414347441"/>
      <w:bookmarkStart w:id="956" w:name="_Toc414349465"/>
      <w:r>
        <w:rPr>
          <w:snapToGrid w:val="0"/>
        </w:rPr>
        <w:t>How My Plan Plus SIM Only works</w:t>
      </w:r>
      <w:bookmarkEnd w:id="954"/>
      <w:bookmarkEnd w:id="955"/>
      <w:bookmarkEnd w:id="956"/>
    </w:p>
    <w:p w14:paraId="74B8B50A" w14:textId="77777777" w:rsidR="000D07EA" w:rsidRDefault="00BE7C89">
      <w:pPr>
        <w:pStyle w:val="Heading7"/>
      </w:pPr>
      <w:r>
        <w:t>Each My Plan Plus SIM Only has unlimited minutes to use on standard national calls to landlines and mobiles, 13/1300 numbers and voicemail retrievals and Included Data (for mobile internet use) to share with up to 5 additional mobile broadband devices as well as other mobile services on a My Plan Plus/My Plan Business (including SIM Only) plan on the same account. These plans also include unlimited standard national SMS/MMS and unlimited standard International SMS/MMS to selected countries. The $45/$60 plans have an amount of included international minutes to use on standard international calls to selected countries.</w:t>
      </w:r>
    </w:p>
    <w:p w14:paraId="6D064999" w14:textId="77777777" w:rsidR="000D07EA" w:rsidRDefault="00BE7C89">
      <w:pPr>
        <w:pStyle w:val="Heading7"/>
      </w:pPr>
      <w:r>
        <w:t>Data usage is calculated in one kilobyte increments, Plans that don't have unlimited minutes calculate usage in one minute increments. International minutes are billed in one minute increments.</w:t>
      </w:r>
    </w:p>
    <w:p w14:paraId="25427449" w14:textId="77777777" w:rsidR="000D07EA" w:rsidRDefault="00BE7C89">
      <w:pPr>
        <w:pStyle w:val="Heading7"/>
      </w:pPr>
      <w:r>
        <w:t xml:space="preserve">If </w:t>
      </w:r>
      <w:r>
        <w:rPr>
          <w:i/>
        </w:rPr>
        <w:t>you</w:t>
      </w:r>
      <w:r>
        <w:t xml:space="preserve"> exceed </w:t>
      </w:r>
      <w:r>
        <w:rPr>
          <w:i/>
        </w:rPr>
        <w:t>your</w:t>
      </w:r>
      <w:r>
        <w:t xml:space="preserve"> </w:t>
      </w:r>
      <w:r>
        <w:rPr>
          <w:i/>
        </w:rPr>
        <w:t>plan's</w:t>
      </w:r>
      <w:r>
        <w:t xml:space="preserve"> Included Data, </w:t>
      </w:r>
      <w:r>
        <w:rPr>
          <w:i/>
        </w:rPr>
        <w:t>you</w:t>
      </w:r>
      <w:r>
        <w:t xml:space="preserve"> will automatically get more data in 1GB increments ("</w:t>
      </w:r>
      <w:r>
        <w:rPr>
          <w:b/>
        </w:rPr>
        <w:t>Additional Data</w:t>
      </w:r>
      <w:r>
        <w:t>"), and be charged $10 per 1GB.</w:t>
      </w:r>
    </w:p>
    <w:p w14:paraId="0173D82F" w14:textId="77777777" w:rsidR="000D07EA" w:rsidRDefault="00BE7C89">
      <w:pPr>
        <w:pStyle w:val="Heading7"/>
      </w:pPr>
      <w:r>
        <w:t xml:space="preserve">Any unused portion of </w:t>
      </w:r>
      <w:r>
        <w:rPr>
          <w:i/>
        </w:rPr>
        <w:t>your</w:t>
      </w:r>
      <w:r>
        <w:t xml:space="preserve"> </w:t>
      </w:r>
      <w:r>
        <w:rPr>
          <w:i/>
        </w:rPr>
        <w:t>plan's</w:t>
      </w:r>
      <w:r>
        <w:t xml:space="preserve"> Included Minutes, Included or Additional Data or International Minutes expires at the end of each month and does not roll over into the next month.</w:t>
      </w:r>
    </w:p>
    <w:p w14:paraId="54393760" w14:textId="77777777" w:rsidR="000D07EA" w:rsidRDefault="00BE7C89">
      <w:pPr>
        <w:pStyle w:val="Heading7"/>
        <w:rPr>
          <w:b/>
        </w:rPr>
      </w:pPr>
      <w:r>
        <w:rPr>
          <w:i/>
        </w:rPr>
        <w:t>You</w:t>
      </w:r>
      <w:r>
        <w:t xml:space="preserve"> must pay </w:t>
      </w:r>
      <w:r>
        <w:rPr>
          <w:i/>
        </w:rPr>
        <w:t>us</w:t>
      </w:r>
      <w:r>
        <w:t xml:space="preserve"> for use of any services that are not included in </w:t>
      </w:r>
      <w:r>
        <w:rPr>
          <w:i/>
        </w:rPr>
        <w:t>your</w:t>
      </w:r>
      <w:r>
        <w:t xml:space="preserve"> plan's inclusions, examples of which are set out in Table 2 below.</w:t>
      </w:r>
    </w:p>
    <w:p w14:paraId="320E2F79" w14:textId="77777777" w:rsidR="000D07EA" w:rsidRDefault="00BE7C89">
      <w:pPr>
        <w:pStyle w:val="Heading6"/>
        <w:ind w:left="0" w:firstLine="0"/>
        <w:rPr>
          <w:snapToGrid w:val="0"/>
        </w:rPr>
      </w:pPr>
      <w:bookmarkStart w:id="957" w:name="_Toc414345848"/>
      <w:bookmarkStart w:id="958" w:name="_Toc414347442"/>
      <w:bookmarkStart w:id="959" w:name="_Toc414349466"/>
      <w:r>
        <w:rPr>
          <w:snapToGrid w:val="0"/>
        </w:rPr>
        <w:t>Data Sharing</w:t>
      </w:r>
      <w:bookmarkEnd w:id="957"/>
      <w:bookmarkEnd w:id="958"/>
      <w:bookmarkEnd w:id="959"/>
    </w:p>
    <w:p w14:paraId="654012D7" w14:textId="77777777" w:rsidR="000D07EA" w:rsidRDefault="00BE7C89">
      <w:pPr>
        <w:pStyle w:val="Heading7"/>
        <w:rPr>
          <w:snapToGrid w:val="0"/>
        </w:rPr>
      </w:pPr>
      <w:r>
        <w:rPr>
          <w:i/>
          <w:snapToGrid w:val="0"/>
        </w:rPr>
        <w:t>You</w:t>
      </w:r>
      <w:r>
        <w:rPr>
          <w:snapToGrid w:val="0"/>
        </w:rPr>
        <w:t xml:space="preserve"> can share the Included Data in </w:t>
      </w:r>
      <w:r>
        <w:rPr>
          <w:i/>
          <w:snapToGrid w:val="0"/>
        </w:rPr>
        <w:t>your</w:t>
      </w:r>
      <w:r>
        <w:rPr>
          <w:snapToGrid w:val="0"/>
        </w:rPr>
        <w:t xml:space="preserve"> My Plan Plus SIM Only plan with up to five (5) SIM-ready mobile broadband devices (eg tablets, USB modems and laptops). </w:t>
      </w:r>
      <w:r>
        <w:rPr>
          <w:i/>
          <w:snapToGrid w:val="0"/>
        </w:rPr>
        <w:t>You</w:t>
      </w:r>
      <w:r>
        <w:rPr>
          <w:snapToGrid w:val="0"/>
        </w:rPr>
        <w:t xml:space="preserve"> must connect these mobile broadband devices to Shared Data Plans which have a $5 set up fee each and no ongoing monthly charges.</w:t>
      </w:r>
    </w:p>
    <w:p w14:paraId="661FB2CC" w14:textId="77777777" w:rsidR="000D07EA" w:rsidRDefault="00BE7C89">
      <w:pPr>
        <w:pStyle w:val="Heading7"/>
        <w:rPr>
          <w:snapToGrid w:val="0"/>
        </w:rPr>
      </w:pPr>
      <w:r>
        <w:rPr>
          <w:i/>
          <w:snapToGrid w:val="0"/>
        </w:rPr>
        <w:t>We</w:t>
      </w:r>
      <w:r>
        <w:rPr>
          <w:snapToGrid w:val="0"/>
        </w:rPr>
        <w:t xml:space="preserve"> may place a limit on the number of Shared Data Plans </w:t>
      </w:r>
      <w:r>
        <w:rPr>
          <w:i/>
          <w:snapToGrid w:val="0"/>
        </w:rPr>
        <w:t>you</w:t>
      </w:r>
      <w:r>
        <w:rPr>
          <w:snapToGrid w:val="0"/>
        </w:rPr>
        <w:t xml:space="preserve"> can have, based on </w:t>
      </w:r>
      <w:r>
        <w:rPr>
          <w:i/>
          <w:snapToGrid w:val="0"/>
        </w:rPr>
        <w:t>our</w:t>
      </w:r>
      <w:r>
        <w:rPr>
          <w:snapToGrid w:val="0"/>
        </w:rPr>
        <w:t xml:space="preserve"> credit criteria.</w:t>
      </w:r>
    </w:p>
    <w:p w14:paraId="691B1D24" w14:textId="77777777" w:rsidR="000D07EA" w:rsidRDefault="00BE7C89">
      <w:pPr>
        <w:pStyle w:val="Heading7"/>
        <w:rPr>
          <w:snapToGrid w:val="0"/>
        </w:rPr>
      </w:pPr>
      <w:r>
        <w:rPr>
          <w:snapToGrid w:val="0"/>
        </w:rPr>
        <w:t>Shared Data Plans do not have any Included Data, and cannot be used to make calls.</w:t>
      </w:r>
    </w:p>
    <w:p w14:paraId="5039D089" w14:textId="77777777" w:rsidR="000D07EA" w:rsidRDefault="00BE7C89">
      <w:pPr>
        <w:pStyle w:val="Heading7"/>
        <w:rPr>
          <w:snapToGrid w:val="0"/>
        </w:rPr>
      </w:pPr>
      <w:r>
        <w:rPr>
          <w:i/>
          <w:snapToGrid w:val="0"/>
        </w:rPr>
        <w:t>You</w:t>
      </w:r>
      <w:r>
        <w:rPr>
          <w:snapToGrid w:val="0"/>
        </w:rPr>
        <w:t xml:space="preserve"> can purchase one mobile broadband device per Shared Data Plan, and pay for it in full on </w:t>
      </w:r>
      <w:r>
        <w:rPr>
          <w:i/>
          <w:snapToGrid w:val="0"/>
        </w:rPr>
        <w:t>your</w:t>
      </w:r>
      <w:r>
        <w:rPr>
          <w:snapToGrid w:val="0"/>
        </w:rPr>
        <w:t xml:space="preserve"> first bill, or pay it off over 12 or 24 months on a </w:t>
      </w:r>
      <w:r>
        <w:rPr>
          <w:i/>
          <w:snapToGrid w:val="0"/>
        </w:rPr>
        <w:t>Mobile Equipment Payment Plan</w:t>
      </w:r>
      <w:r>
        <w:rPr>
          <w:snapToGrid w:val="0"/>
        </w:rPr>
        <w:t xml:space="preserve"> (see </w:t>
      </w:r>
      <w:hyperlink r:id="rId579" w:history="1">
        <w:r>
          <w:rPr>
            <w:rStyle w:val="Hyperlink"/>
            <w:i/>
          </w:rPr>
          <w:t>Appendix D</w:t>
        </w:r>
      </w:hyperlink>
      <w:r>
        <w:rPr>
          <w:snapToGrid w:val="0"/>
        </w:rPr>
        <w:t>).</w:t>
      </w:r>
    </w:p>
    <w:p w14:paraId="5501E52B" w14:textId="77777777" w:rsidR="000D07EA" w:rsidRDefault="00BE7C89">
      <w:pPr>
        <w:pStyle w:val="Heading7"/>
        <w:rPr>
          <w:snapToGrid w:val="0"/>
        </w:rPr>
      </w:pPr>
      <w:r>
        <w:rPr>
          <w:i/>
          <w:snapToGrid w:val="0"/>
        </w:rPr>
        <w:t>You</w:t>
      </w:r>
      <w:r>
        <w:rPr>
          <w:snapToGrid w:val="0"/>
        </w:rPr>
        <w:t xml:space="preserve"> can share the Included Data in </w:t>
      </w:r>
      <w:r>
        <w:rPr>
          <w:i/>
          <w:snapToGrid w:val="0"/>
        </w:rPr>
        <w:t>your</w:t>
      </w:r>
      <w:r>
        <w:rPr>
          <w:snapToGrid w:val="0"/>
        </w:rPr>
        <w:t xml:space="preserve"> My Plan Plus SIM Only plan with other mobiles on </w:t>
      </w:r>
      <w:r>
        <w:rPr>
          <w:i/>
          <w:snapToGrid w:val="0"/>
        </w:rPr>
        <w:t>your</w:t>
      </w:r>
      <w:r>
        <w:rPr>
          <w:snapToGrid w:val="0"/>
        </w:rPr>
        <w:t xml:space="preserve"> account which are also on </w:t>
      </w:r>
      <w:r>
        <w:t>My Plan Plus/My Plan Business (including SIM Only) plans</w:t>
      </w:r>
      <w:r>
        <w:rPr>
          <w:snapToGrid w:val="0"/>
        </w:rPr>
        <w:t xml:space="preserve">. </w:t>
      </w:r>
    </w:p>
    <w:p w14:paraId="44C194D0" w14:textId="77777777" w:rsidR="000D07EA" w:rsidRDefault="00BE7C89">
      <w:pPr>
        <w:pStyle w:val="Heading7"/>
        <w:rPr>
          <w:snapToGrid w:val="0"/>
        </w:rPr>
      </w:pPr>
      <w:r>
        <w:rPr>
          <w:snapToGrid w:val="0"/>
        </w:rPr>
        <w:t xml:space="preserve">If </w:t>
      </w:r>
      <w:r>
        <w:rPr>
          <w:i/>
          <w:snapToGrid w:val="0"/>
        </w:rPr>
        <w:t>you</w:t>
      </w:r>
      <w:r>
        <w:rPr>
          <w:snapToGrid w:val="0"/>
        </w:rPr>
        <w:t xml:space="preserve"> have more than one of these </w:t>
      </w:r>
      <w:r>
        <w:rPr>
          <w:i/>
          <w:snapToGrid w:val="0"/>
        </w:rPr>
        <w:t>plans</w:t>
      </w:r>
      <w:r>
        <w:rPr>
          <w:snapToGrid w:val="0"/>
        </w:rPr>
        <w:t xml:space="preserve">, the Included Data on each of the plans adds together (data pool) for the mobiles to all use, and for any additional mobile broadband devices on Shared Data Plans to use. </w:t>
      </w:r>
    </w:p>
    <w:p w14:paraId="5176C282" w14:textId="77777777" w:rsidR="000D07EA" w:rsidRDefault="00BE7C89">
      <w:pPr>
        <w:pStyle w:val="Heading7"/>
        <w:rPr>
          <w:snapToGrid w:val="0"/>
        </w:rPr>
      </w:pPr>
      <w:r>
        <w:rPr>
          <w:snapToGrid w:val="0"/>
        </w:rPr>
        <w:lastRenderedPageBreak/>
        <w:t xml:space="preserve">If </w:t>
      </w:r>
      <w:r>
        <w:rPr>
          <w:i/>
          <w:snapToGrid w:val="0"/>
        </w:rPr>
        <w:t>you</w:t>
      </w:r>
      <w:r>
        <w:rPr>
          <w:snapToGrid w:val="0"/>
        </w:rPr>
        <w:t xml:space="preserve"> do not want </w:t>
      </w:r>
      <w:r>
        <w:rPr>
          <w:i/>
          <w:snapToGrid w:val="0"/>
        </w:rPr>
        <w:t>your</w:t>
      </w:r>
      <w:r>
        <w:rPr>
          <w:snapToGrid w:val="0"/>
        </w:rPr>
        <w:t xml:space="preserve"> services to share data, they need to be on separate billing accounts, or </w:t>
      </w:r>
      <w:r>
        <w:rPr>
          <w:i/>
          <w:snapToGrid w:val="0"/>
        </w:rPr>
        <w:t>you</w:t>
      </w:r>
      <w:r>
        <w:rPr>
          <w:snapToGrid w:val="0"/>
        </w:rPr>
        <w:t xml:space="preserve"> can connect </w:t>
      </w:r>
      <w:r>
        <w:rPr>
          <w:i/>
          <w:snapToGrid w:val="0"/>
        </w:rPr>
        <w:t>your</w:t>
      </w:r>
      <w:r>
        <w:rPr>
          <w:snapToGrid w:val="0"/>
        </w:rPr>
        <w:t xml:space="preserve"> mobile broadband device to a standalone Mobile Broadband Plan.</w:t>
      </w:r>
    </w:p>
    <w:p w14:paraId="5410D1FD" w14:textId="77777777" w:rsidR="000D07EA" w:rsidRDefault="00BE7C89">
      <w:pPr>
        <w:pStyle w:val="Heading7"/>
        <w:rPr>
          <w:snapToGrid w:val="0"/>
        </w:rPr>
      </w:pPr>
      <w:r>
        <w:rPr>
          <w:snapToGrid w:val="0"/>
        </w:rPr>
        <w:t>Data sharing is only available within Australia.</w:t>
      </w:r>
    </w:p>
    <w:p w14:paraId="2454ABCE" w14:textId="77777777" w:rsidR="000D07EA" w:rsidRDefault="00BE7C89">
      <w:pPr>
        <w:pStyle w:val="Heading6"/>
        <w:ind w:left="0" w:firstLine="0"/>
        <w:rPr>
          <w:snapToGrid w:val="0"/>
        </w:rPr>
      </w:pPr>
      <w:bookmarkStart w:id="960" w:name="_Toc414345849"/>
      <w:bookmarkStart w:id="961" w:name="_Toc414347443"/>
      <w:bookmarkStart w:id="962" w:name="_Toc414349467"/>
      <w:r>
        <w:rPr>
          <w:snapToGrid w:val="0"/>
        </w:rPr>
        <w:t>International Minutes</w:t>
      </w:r>
      <w:bookmarkEnd w:id="960"/>
      <w:bookmarkEnd w:id="961"/>
      <w:bookmarkEnd w:id="962"/>
    </w:p>
    <w:p w14:paraId="5F4FCFF5" w14:textId="77777777" w:rsidR="000D07EA" w:rsidRDefault="00BE7C89">
      <w:pPr>
        <w:pStyle w:val="BodyText"/>
        <w:ind w:left="720"/>
      </w:pPr>
      <w:r>
        <w:t>The $45/$60 My Plan SIM Only includes up to 150/300 international minutes (respectively) for standard calls to mobiles and fixed lines in selected countries. For a list of selected countries see Table 3 below.</w:t>
      </w:r>
    </w:p>
    <w:p w14:paraId="13E9C6D8" w14:textId="77777777" w:rsidR="000D07EA" w:rsidRDefault="00BE7C89">
      <w:pPr>
        <w:pStyle w:val="BodyText"/>
        <w:ind w:left="720"/>
      </w:pPr>
      <w:r>
        <w:t xml:space="preserve">Calls are charged per minute. When included minutes for calls to selected countries are used up, standard 'yes' international call charges apply. </w:t>
      </w:r>
    </w:p>
    <w:p w14:paraId="0A7E01F9" w14:textId="77777777" w:rsidR="000D07EA" w:rsidRDefault="00BE7C89">
      <w:pPr>
        <w:pStyle w:val="Heading6"/>
        <w:ind w:left="0" w:firstLine="0"/>
        <w:rPr>
          <w:snapToGrid w:val="0"/>
        </w:rPr>
      </w:pPr>
      <w:bookmarkStart w:id="963" w:name="_Toc414345850"/>
      <w:bookmarkStart w:id="964" w:name="_Toc414347444"/>
      <w:bookmarkStart w:id="965" w:name="_Toc414349468"/>
      <w:r>
        <w:rPr>
          <w:snapToGrid w:val="0"/>
        </w:rPr>
        <w:t>Unlimited standard national SMS and MMS</w:t>
      </w:r>
      <w:bookmarkEnd w:id="963"/>
      <w:bookmarkEnd w:id="964"/>
      <w:bookmarkEnd w:id="965"/>
    </w:p>
    <w:p w14:paraId="1F1E5519" w14:textId="77777777" w:rsidR="000D07EA" w:rsidRDefault="00BE7C89">
      <w:pPr>
        <w:pStyle w:val="BodyText"/>
        <w:ind w:left="720"/>
      </w:pPr>
      <w:r>
        <w:rPr>
          <w:i/>
        </w:rPr>
        <w:t>You</w:t>
      </w:r>
      <w:r>
        <w:t xml:space="preserve"> may send standard unlimited SMS and MMS to Australian mobiles from within Australia.</w:t>
      </w:r>
    </w:p>
    <w:p w14:paraId="69B356ED" w14:textId="77777777" w:rsidR="000D07EA" w:rsidRDefault="00BE7C89">
      <w:pPr>
        <w:pStyle w:val="BodyText"/>
        <w:ind w:left="720"/>
      </w:pPr>
      <w:r>
        <w:t xml:space="preserve">Unlimited standard national SMS and MMS are only available for personal use and are not to be used for a commercial or non-ordinary purpose as set out in the Fair Go Policy. For further details refer to </w:t>
      </w:r>
      <w:hyperlink r:id="rId580" w:history="1">
        <w:r>
          <w:rPr>
            <w:rStyle w:val="Hyperlink"/>
            <w:i/>
          </w:rPr>
          <w:t>Appendix S</w:t>
        </w:r>
      </w:hyperlink>
      <w:r>
        <w:t>.</w:t>
      </w:r>
    </w:p>
    <w:p w14:paraId="201AC0CE" w14:textId="77777777" w:rsidR="000D07EA" w:rsidRDefault="00BE7C89">
      <w:pPr>
        <w:pStyle w:val="Heading6"/>
        <w:ind w:left="0" w:firstLine="0"/>
        <w:rPr>
          <w:snapToGrid w:val="0"/>
        </w:rPr>
      </w:pPr>
      <w:bookmarkStart w:id="966" w:name="_Toc414345851"/>
      <w:bookmarkStart w:id="967" w:name="_Toc414347445"/>
      <w:bookmarkStart w:id="968" w:name="_Toc414349469"/>
      <w:r>
        <w:rPr>
          <w:snapToGrid w:val="0"/>
        </w:rPr>
        <w:t>Unlimited standard international SMS and MMS</w:t>
      </w:r>
      <w:bookmarkEnd w:id="966"/>
      <w:bookmarkEnd w:id="967"/>
      <w:bookmarkEnd w:id="968"/>
    </w:p>
    <w:p w14:paraId="3D63583B" w14:textId="77777777" w:rsidR="000D07EA" w:rsidRDefault="00BE7C89">
      <w:pPr>
        <w:pStyle w:val="BodyText"/>
        <w:ind w:left="720"/>
      </w:pPr>
      <w:r>
        <w:rPr>
          <w:i/>
        </w:rPr>
        <w:t>You</w:t>
      </w:r>
      <w:r>
        <w:t xml:space="preserve"> may send unlimited standard SMS and MMS to selected countries as set out in Table 4 below.</w:t>
      </w:r>
    </w:p>
    <w:p w14:paraId="273CAE85" w14:textId="77777777" w:rsidR="000D07EA" w:rsidRDefault="00BE7C89">
      <w:pPr>
        <w:pStyle w:val="BodyText"/>
        <w:ind w:left="720"/>
      </w:pPr>
      <w:r>
        <w:t xml:space="preserve">Unlimited standard SMS and MMS are only available for personal use and are not to be used for a commercial or non-ordinary purpose as set out in the Fair Go Policy. For further details refer to </w:t>
      </w:r>
      <w:hyperlink r:id="rId581" w:history="1">
        <w:r>
          <w:rPr>
            <w:rStyle w:val="Hyperlink"/>
            <w:i/>
          </w:rPr>
          <w:t>Appendix S</w:t>
        </w:r>
      </w:hyperlink>
      <w:r>
        <w:t>.</w:t>
      </w:r>
    </w:p>
    <w:p w14:paraId="5DFFEB0C" w14:textId="77777777" w:rsidR="000D07EA" w:rsidRDefault="00BE7C89">
      <w:pPr>
        <w:pStyle w:val="BodyText"/>
        <w:keepNext/>
        <w:ind w:left="720"/>
        <w:rPr>
          <w:b/>
        </w:rPr>
      </w:pPr>
      <w:r>
        <w:rPr>
          <w:b/>
        </w:rPr>
        <w:t xml:space="preserve">Table 1 –Plan Inclusions and Charges </w:t>
      </w:r>
    </w:p>
    <w:tbl>
      <w:tblPr>
        <w:tblW w:w="95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2010"/>
        <w:gridCol w:w="2010"/>
        <w:gridCol w:w="2010"/>
      </w:tblGrid>
      <w:tr w:rsidR="000D07EA" w14:paraId="2B52FAE5" w14:textId="77777777">
        <w:trPr>
          <w:tblHeader/>
        </w:trPr>
        <w:tc>
          <w:tcPr>
            <w:tcW w:w="3510" w:type="dxa"/>
            <w:shd w:val="clear" w:color="auto" w:fill="auto"/>
          </w:tcPr>
          <w:p w14:paraId="3DE9172E" w14:textId="77777777" w:rsidR="000D07EA" w:rsidRDefault="000D07EA">
            <w:pPr>
              <w:pStyle w:val="BodyText"/>
              <w:spacing w:before="100" w:after="100"/>
            </w:pPr>
          </w:p>
        </w:tc>
        <w:tc>
          <w:tcPr>
            <w:tcW w:w="2010" w:type="dxa"/>
            <w:vAlign w:val="center"/>
          </w:tcPr>
          <w:p w14:paraId="322B282A" w14:textId="77777777" w:rsidR="000D07EA" w:rsidRDefault="00BE7C89">
            <w:pPr>
              <w:pStyle w:val="BodyText"/>
              <w:spacing w:before="100" w:after="100"/>
              <w:jc w:val="center"/>
              <w:rPr>
                <w:b/>
              </w:rPr>
            </w:pPr>
            <w:r>
              <w:rPr>
                <w:b/>
              </w:rPr>
              <w:t>$30 My Plan Plus SIM Only</w:t>
            </w:r>
          </w:p>
        </w:tc>
        <w:tc>
          <w:tcPr>
            <w:tcW w:w="2010" w:type="dxa"/>
            <w:shd w:val="clear" w:color="auto" w:fill="auto"/>
            <w:vAlign w:val="center"/>
          </w:tcPr>
          <w:p w14:paraId="3CB08EAD" w14:textId="77777777" w:rsidR="000D07EA" w:rsidRDefault="00BE7C89">
            <w:pPr>
              <w:pStyle w:val="BodyText"/>
              <w:spacing w:before="100" w:after="100"/>
              <w:jc w:val="center"/>
              <w:rPr>
                <w:b/>
              </w:rPr>
            </w:pPr>
            <w:r>
              <w:rPr>
                <w:b/>
              </w:rPr>
              <w:t>$45 My Plan Plus SIM Only</w:t>
            </w:r>
          </w:p>
        </w:tc>
        <w:tc>
          <w:tcPr>
            <w:tcW w:w="2010" w:type="dxa"/>
            <w:shd w:val="clear" w:color="auto" w:fill="auto"/>
          </w:tcPr>
          <w:p w14:paraId="5C5E5E42" w14:textId="77777777" w:rsidR="000D07EA" w:rsidRDefault="00BE7C89">
            <w:pPr>
              <w:pStyle w:val="BodyText"/>
              <w:spacing w:before="100" w:after="100"/>
              <w:jc w:val="center"/>
              <w:rPr>
                <w:b/>
              </w:rPr>
            </w:pPr>
            <w:r>
              <w:rPr>
                <w:b/>
              </w:rPr>
              <w:t>$60 My Plan Plus SIM Only</w:t>
            </w:r>
          </w:p>
        </w:tc>
      </w:tr>
      <w:tr w:rsidR="000D07EA" w14:paraId="5C7CD8C0" w14:textId="77777777">
        <w:tc>
          <w:tcPr>
            <w:tcW w:w="3510" w:type="dxa"/>
            <w:shd w:val="clear" w:color="auto" w:fill="auto"/>
          </w:tcPr>
          <w:p w14:paraId="296FF2C4" w14:textId="77777777" w:rsidR="000D07EA" w:rsidRDefault="00BE7C89">
            <w:pPr>
              <w:pStyle w:val="BodyText"/>
              <w:spacing w:before="100" w:after="100"/>
            </w:pPr>
            <w:r>
              <w:rPr>
                <w:b/>
                <w:bCs/>
              </w:rPr>
              <w:t>Minimum Monthly charge</w:t>
            </w:r>
          </w:p>
        </w:tc>
        <w:tc>
          <w:tcPr>
            <w:tcW w:w="2010" w:type="dxa"/>
            <w:vAlign w:val="center"/>
          </w:tcPr>
          <w:p w14:paraId="46C11F4C" w14:textId="77777777" w:rsidR="000D07EA" w:rsidRDefault="00BE7C89">
            <w:pPr>
              <w:pStyle w:val="BodyText"/>
              <w:spacing w:before="100" w:after="100"/>
              <w:jc w:val="center"/>
            </w:pPr>
            <w:r>
              <w:t>$30</w:t>
            </w:r>
          </w:p>
        </w:tc>
        <w:tc>
          <w:tcPr>
            <w:tcW w:w="2010" w:type="dxa"/>
            <w:shd w:val="clear" w:color="auto" w:fill="auto"/>
            <w:vAlign w:val="center"/>
          </w:tcPr>
          <w:p w14:paraId="79DA7522" w14:textId="77777777" w:rsidR="000D07EA" w:rsidRDefault="00BE7C89">
            <w:pPr>
              <w:pStyle w:val="BodyText"/>
              <w:spacing w:before="100" w:after="100"/>
              <w:jc w:val="center"/>
            </w:pPr>
            <w:r>
              <w:t>$45</w:t>
            </w:r>
          </w:p>
        </w:tc>
        <w:tc>
          <w:tcPr>
            <w:tcW w:w="2010" w:type="dxa"/>
            <w:shd w:val="clear" w:color="auto" w:fill="auto"/>
            <w:vAlign w:val="center"/>
          </w:tcPr>
          <w:p w14:paraId="4CCC80FA" w14:textId="77777777" w:rsidR="000D07EA" w:rsidRDefault="00BE7C89">
            <w:pPr>
              <w:pStyle w:val="BodyText"/>
              <w:spacing w:before="100" w:after="100"/>
              <w:jc w:val="center"/>
            </w:pPr>
            <w:r>
              <w:t>$60</w:t>
            </w:r>
          </w:p>
        </w:tc>
      </w:tr>
      <w:tr w:rsidR="000D07EA" w14:paraId="6D27776E" w14:textId="77777777">
        <w:tc>
          <w:tcPr>
            <w:tcW w:w="3510" w:type="dxa"/>
            <w:shd w:val="clear" w:color="auto" w:fill="auto"/>
          </w:tcPr>
          <w:p w14:paraId="3C94271A" w14:textId="77777777" w:rsidR="000D07EA" w:rsidRDefault="00BE7C89">
            <w:pPr>
              <w:pStyle w:val="BodyText"/>
              <w:spacing w:before="100" w:after="100"/>
            </w:pPr>
            <w:r>
              <w:rPr>
                <w:b/>
                <w:bCs/>
              </w:rPr>
              <w:t>Included Data</w:t>
            </w:r>
          </w:p>
        </w:tc>
        <w:tc>
          <w:tcPr>
            <w:tcW w:w="2010" w:type="dxa"/>
            <w:vAlign w:val="center"/>
          </w:tcPr>
          <w:p w14:paraId="1AACD2C2" w14:textId="77777777" w:rsidR="000D07EA" w:rsidRDefault="00BE7C89">
            <w:pPr>
              <w:pStyle w:val="BodyText"/>
              <w:spacing w:before="100" w:after="100"/>
              <w:jc w:val="center"/>
            </w:pPr>
            <w:r>
              <w:t>500MB</w:t>
            </w:r>
          </w:p>
        </w:tc>
        <w:tc>
          <w:tcPr>
            <w:tcW w:w="2010" w:type="dxa"/>
            <w:shd w:val="clear" w:color="auto" w:fill="auto"/>
            <w:vAlign w:val="center"/>
          </w:tcPr>
          <w:p w14:paraId="731E2CCC" w14:textId="77777777" w:rsidR="000D07EA" w:rsidRDefault="00BE7C89">
            <w:pPr>
              <w:pStyle w:val="BodyText"/>
              <w:spacing w:before="100" w:after="100"/>
              <w:jc w:val="center"/>
            </w:pPr>
            <w:r>
              <w:t>3GB</w:t>
            </w:r>
          </w:p>
        </w:tc>
        <w:tc>
          <w:tcPr>
            <w:tcW w:w="2010" w:type="dxa"/>
            <w:shd w:val="clear" w:color="auto" w:fill="auto"/>
            <w:vAlign w:val="center"/>
          </w:tcPr>
          <w:p w14:paraId="67A98385" w14:textId="77777777" w:rsidR="000D07EA" w:rsidRDefault="00BE7C89">
            <w:pPr>
              <w:pStyle w:val="BodyText"/>
              <w:spacing w:before="100" w:after="100"/>
              <w:jc w:val="center"/>
            </w:pPr>
            <w:r>
              <w:t>6GB</w:t>
            </w:r>
          </w:p>
        </w:tc>
      </w:tr>
      <w:tr w:rsidR="000D07EA" w14:paraId="51D587B7" w14:textId="77777777">
        <w:tc>
          <w:tcPr>
            <w:tcW w:w="3510" w:type="dxa"/>
            <w:shd w:val="clear" w:color="auto" w:fill="auto"/>
          </w:tcPr>
          <w:p w14:paraId="1E1DA94E" w14:textId="77777777" w:rsidR="000D07EA" w:rsidRDefault="00BE7C89">
            <w:pPr>
              <w:pStyle w:val="BodyText"/>
              <w:spacing w:before="100" w:after="100"/>
              <w:rPr>
                <w:b/>
                <w:bCs/>
              </w:rPr>
            </w:pPr>
            <w:r>
              <w:rPr>
                <w:b/>
                <w:bCs/>
              </w:rPr>
              <w:t xml:space="preserve">Included Minutes </w:t>
            </w:r>
          </w:p>
          <w:p w14:paraId="72F4D001" w14:textId="77777777" w:rsidR="000D07EA" w:rsidRDefault="00BE7C89">
            <w:pPr>
              <w:pStyle w:val="BodyText"/>
              <w:spacing w:before="100" w:after="100"/>
              <w:rPr>
                <w:szCs w:val="20"/>
              </w:rPr>
            </w:pPr>
            <w:r>
              <w:rPr>
                <w:szCs w:val="20"/>
              </w:rPr>
              <w:t>for standard national calls to landlines and mobiles, 1300 numbers and voicemail, within Australia</w:t>
            </w:r>
          </w:p>
        </w:tc>
        <w:tc>
          <w:tcPr>
            <w:tcW w:w="2010" w:type="dxa"/>
            <w:vAlign w:val="center"/>
          </w:tcPr>
          <w:p w14:paraId="34DC98D2" w14:textId="77777777" w:rsidR="000D07EA" w:rsidRDefault="00BE7C89">
            <w:pPr>
              <w:pStyle w:val="BodyText"/>
              <w:spacing w:before="100" w:after="100"/>
              <w:jc w:val="center"/>
            </w:pPr>
            <w:r>
              <w:t>Unlimited</w:t>
            </w:r>
          </w:p>
        </w:tc>
        <w:tc>
          <w:tcPr>
            <w:tcW w:w="2010" w:type="dxa"/>
            <w:shd w:val="clear" w:color="auto" w:fill="auto"/>
            <w:vAlign w:val="center"/>
          </w:tcPr>
          <w:p w14:paraId="0DDF7DD8" w14:textId="77777777" w:rsidR="000D07EA" w:rsidRDefault="00BE7C89">
            <w:pPr>
              <w:pStyle w:val="BodyText"/>
              <w:spacing w:before="100" w:after="100"/>
              <w:jc w:val="center"/>
            </w:pPr>
            <w:r>
              <w:t>Unlimited</w:t>
            </w:r>
          </w:p>
        </w:tc>
        <w:tc>
          <w:tcPr>
            <w:tcW w:w="2010" w:type="dxa"/>
            <w:shd w:val="clear" w:color="auto" w:fill="auto"/>
            <w:vAlign w:val="center"/>
          </w:tcPr>
          <w:p w14:paraId="51EB7ADE" w14:textId="77777777" w:rsidR="000D07EA" w:rsidRDefault="00BE7C89">
            <w:pPr>
              <w:pStyle w:val="BodyText"/>
              <w:spacing w:before="100" w:after="100"/>
              <w:jc w:val="center"/>
            </w:pPr>
            <w:r>
              <w:t>Unlimited</w:t>
            </w:r>
          </w:p>
        </w:tc>
      </w:tr>
      <w:tr w:rsidR="000D07EA" w14:paraId="16A460D3" w14:textId="77777777">
        <w:tc>
          <w:tcPr>
            <w:tcW w:w="3510" w:type="dxa"/>
            <w:shd w:val="clear" w:color="auto" w:fill="auto"/>
          </w:tcPr>
          <w:p w14:paraId="07C454FF" w14:textId="77777777" w:rsidR="000D07EA" w:rsidRDefault="00BE7C89">
            <w:pPr>
              <w:pStyle w:val="BodyText"/>
              <w:spacing w:before="100" w:after="100"/>
              <w:rPr>
                <w:b/>
                <w:bCs/>
              </w:rPr>
            </w:pPr>
            <w:r>
              <w:rPr>
                <w:b/>
                <w:bCs/>
              </w:rPr>
              <w:t>Included International Minutes</w:t>
            </w:r>
          </w:p>
          <w:p w14:paraId="11FD6221" w14:textId="77777777" w:rsidR="000D07EA" w:rsidRDefault="00BE7C89">
            <w:pPr>
              <w:pStyle w:val="BodyText"/>
              <w:spacing w:before="100" w:after="100"/>
              <w:rPr>
                <w:szCs w:val="20"/>
              </w:rPr>
            </w:pPr>
            <w:r>
              <w:rPr>
                <w:szCs w:val="20"/>
              </w:rPr>
              <w:t>Standard international calls to landlines and mobiles</w:t>
            </w:r>
          </w:p>
          <w:p w14:paraId="40AA34E6" w14:textId="77777777" w:rsidR="000D07EA" w:rsidRDefault="00BE7C89">
            <w:pPr>
              <w:pStyle w:val="BodyText"/>
              <w:spacing w:before="100" w:after="100"/>
              <w:rPr>
                <w:b/>
                <w:bCs/>
              </w:rPr>
            </w:pPr>
            <w:r>
              <w:rPr>
                <w:szCs w:val="20"/>
              </w:rPr>
              <w:t>to selected countries</w:t>
            </w:r>
          </w:p>
        </w:tc>
        <w:tc>
          <w:tcPr>
            <w:tcW w:w="2010" w:type="dxa"/>
            <w:vAlign w:val="center"/>
          </w:tcPr>
          <w:p w14:paraId="5CBC3C23" w14:textId="77777777" w:rsidR="000D07EA" w:rsidRDefault="00BE7C89">
            <w:pPr>
              <w:pStyle w:val="BodyText"/>
              <w:spacing w:before="100" w:after="100"/>
              <w:jc w:val="center"/>
            </w:pPr>
            <w:r>
              <w:t>Not included</w:t>
            </w:r>
          </w:p>
        </w:tc>
        <w:tc>
          <w:tcPr>
            <w:tcW w:w="2010" w:type="dxa"/>
            <w:shd w:val="clear" w:color="auto" w:fill="auto"/>
            <w:vAlign w:val="center"/>
          </w:tcPr>
          <w:p w14:paraId="3C5BE9B9" w14:textId="77777777" w:rsidR="000D07EA" w:rsidRDefault="00BE7C89">
            <w:pPr>
              <w:pStyle w:val="BodyText"/>
              <w:spacing w:before="100" w:after="100"/>
              <w:jc w:val="center"/>
            </w:pPr>
            <w:r>
              <w:rPr>
                <w:bCs/>
              </w:rPr>
              <w:t>Up to 150 mins</w:t>
            </w:r>
          </w:p>
        </w:tc>
        <w:tc>
          <w:tcPr>
            <w:tcW w:w="2010" w:type="dxa"/>
            <w:shd w:val="clear" w:color="auto" w:fill="auto"/>
            <w:vAlign w:val="center"/>
          </w:tcPr>
          <w:p w14:paraId="2D224456" w14:textId="77777777" w:rsidR="000D07EA" w:rsidRDefault="00BE7C89">
            <w:pPr>
              <w:pStyle w:val="BodyText"/>
              <w:spacing w:before="100" w:after="100"/>
              <w:jc w:val="center"/>
            </w:pPr>
            <w:r>
              <w:rPr>
                <w:bCs/>
              </w:rPr>
              <w:t>Up to 300 mins</w:t>
            </w:r>
          </w:p>
        </w:tc>
      </w:tr>
      <w:tr w:rsidR="000D07EA" w14:paraId="251541C8" w14:textId="77777777">
        <w:tc>
          <w:tcPr>
            <w:tcW w:w="3510" w:type="dxa"/>
            <w:shd w:val="clear" w:color="auto" w:fill="auto"/>
          </w:tcPr>
          <w:p w14:paraId="3B23405D" w14:textId="77777777" w:rsidR="000D07EA" w:rsidRDefault="00BE7C89">
            <w:pPr>
              <w:pStyle w:val="BodyText"/>
              <w:spacing w:before="100" w:after="100"/>
              <w:rPr>
                <w:b/>
                <w:bCs/>
              </w:rPr>
            </w:pPr>
            <w:r>
              <w:rPr>
                <w:b/>
                <w:bCs/>
              </w:rPr>
              <w:t xml:space="preserve">Standard national SMS </w:t>
            </w:r>
          </w:p>
          <w:p w14:paraId="52691516" w14:textId="77777777" w:rsidR="000D07EA" w:rsidRDefault="00BE7C89">
            <w:pPr>
              <w:pStyle w:val="BodyText"/>
              <w:spacing w:before="100" w:after="100"/>
            </w:pPr>
            <w:r>
              <w:rPr>
                <w:szCs w:val="20"/>
              </w:rPr>
              <w:t>(per SMS of up to 160 standard characters)</w:t>
            </w:r>
          </w:p>
        </w:tc>
        <w:tc>
          <w:tcPr>
            <w:tcW w:w="2010" w:type="dxa"/>
            <w:vAlign w:val="center"/>
          </w:tcPr>
          <w:p w14:paraId="245ADD03" w14:textId="77777777" w:rsidR="000D07EA" w:rsidRDefault="00BE7C89">
            <w:pPr>
              <w:pStyle w:val="BodyText"/>
              <w:spacing w:before="100" w:after="100"/>
              <w:jc w:val="center"/>
            </w:pPr>
            <w:r>
              <w:t>Unlimited</w:t>
            </w:r>
          </w:p>
        </w:tc>
        <w:tc>
          <w:tcPr>
            <w:tcW w:w="2010" w:type="dxa"/>
            <w:shd w:val="clear" w:color="auto" w:fill="auto"/>
            <w:vAlign w:val="center"/>
          </w:tcPr>
          <w:p w14:paraId="4CDD84C5" w14:textId="77777777" w:rsidR="000D07EA" w:rsidRDefault="00BE7C89">
            <w:pPr>
              <w:pStyle w:val="BodyText"/>
              <w:spacing w:before="100" w:after="100"/>
              <w:jc w:val="center"/>
            </w:pPr>
            <w:r>
              <w:t>Unlimited</w:t>
            </w:r>
          </w:p>
        </w:tc>
        <w:tc>
          <w:tcPr>
            <w:tcW w:w="2010" w:type="dxa"/>
            <w:shd w:val="clear" w:color="auto" w:fill="auto"/>
            <w:vAlign w:val="center"/>
          </w:tcPr>
          <w:p w14:paraId="693B5ABF" w14:textId="77777777" w:rsidR="000D07EA" w:rsidRDefault="00BE7C89">
            <w:pPr>
              <w:pStyle w:val="BodyText"/>
              <w:spacing w:before="100" w:after="100"/>
              <w:jc w:val="center"/>
            </w:pPr>
            <w:r>
              <w:t>Unlimited</w:t>
            </w:r>
          </w:p>
        </w:tc>
      </w:tr>
      <w:tr w:rsidR="000D07EA" w14:paraId="628B4F66" w14:textId="77777777">
        <w:tc>
          <w:tcPr>
            <w:tcW w:w="3510" w:type="dxa"/>
            <w:shd w:val="clear" w:color="auto" w:fill="auto"/>
          </w:tcPr>
          <w:p w14:paraId="3B895AD1" w14:textId="77777777" w:rsidR="000D07EA" w:rsidRDefault="00BE7C89">
            <w:pPr>
              <w:pStyle w:val="BodyText"/>
              <w:spacing w:before="100" w:after="100"/>
              <w:rPr>
                <w:b/>
                <w:bCs/>
              </w:rPr>
            </w:pPr>
            <w:r>
              <w:rPr>
                <w:b/>
                <w:bCs/>
              </w:rPr>
              <w:t xml:space="preserve">Standard national MMS </w:t>
            </w:r>
          </w:p>
          <w:p w14:paraId="1F6DD081" w14:textId="77777777" w:rsidR="000D07EA" w:rsidRDefault="00BE7C89">
            <w:pPr>
              <w:pStyle w:val="BodyText"/>
              <w:spacing w:before="100" w:after="100"/>
              <w:rPr>
                <w:b/>
                <w:bCs/>
              </w:rPr>
            </w:pPr>
            <w:r>
              <w:rPr>
                <w:szCs w:val="20"/>
              </w:rPr>
              <w:t>(per message)</w:t>
            </w:r>
          </w:p>
        </w:tc>
        <w:tc>
          <w:tcPr>
            <w:tcW w:w="2010" w:type="dxa"/>
            <w:vAlign w:val="center"/>
          </w:tcPr>
          <w:p w14:paraId="52E4B0C4" w14:textId="77777777" w:rsidR="000D07EA" w:rsidRDefault="00BE7C89">
            <w:pPr>
              <w:pStyle w:val="BodyText"/>
              <w:spacing w:before="100" w:after="100"/>
              <w:jc w:val="center"/>
            </w:pPr>
            <w:r>
              <w:t>Unlimited</w:t>
            </w:r>
          </w:p>
        </w:tc>
        <w:tc>
          <w:tcPr>
            <w:tcW w:w="2010" w:type="dxa"/>
            <w:shd w:val="clear" w:color="auto" w:fill="auto"/>
            <w:vAlign w:val="center"/>
          </w:tcPr>
          <w:p w14:paraId="2A5E291E" w14:textId="77777777" w:rsidR="000D07EA" w:rsidRDefault="00BE7C89">
            <w:pPr>
              <w:pStyle w:val="BodyText"/>
              <w:spacing w:before="100" w:after="100"/>
              <w:jc w:val="center"/>
            </w:pPr>
            <w:r>
              <w:t>Unlimited</w:t>
            </w:r>
          </w:p>
        </w:tc>
        <w:tc>
          <w:tcPr>
            <w:tcW w:w="2010" w:type="dxa"/>
            <w:shd w:val="clear" w:color="auto" w:fill="auto"/>
            <w:vAlign w:val="center"/>
          </w:tcPr>
          <w:p w14:paraId="795C3C89" w14:textId="77777777" w:rsidR="000D07EA" w:rsidRDefault="00BE7C89">
            <w:pPr>
              <w:pStyle w:val="BodyText"/>
              <w:spacing w:before="100" w:after="100"/>
              <w:jc w:val="center"/>
            </w:pPr>
            <w:r>
              <w:t>Unlimited</w:t>
            </w:r>
          </w:p>
        </w:tc>
      </w:tr>
      <w:tr w:rsidR="000D07EA" w14:paraId="03254BF9" w14:textId="77777777">
        <w:tc>
          <w:tcPr>
            <w:tcW w:w="3510" w:type="dxa"/>
            <w:shd w:val="clear" w:color="auto" w:fill="auto"/>
          </w:tcPr>
          <w:p w14:paraId="1571F12C" w14:textId="77777777" w:rsidR="000D07EA" w:rsidRDefault="00BE7C89">
            <w:pPr>
              <w:pStyle w:val="BodyText"/>
              <w:spacing w:before="100" w:after="100"/>
              <w:rPr>
                <w:b/>
                <w:bCs/>
              </w:rPr>
            </w:pPr>
            <w:r>
              <w:rPr>
                <w:b/>
                <w:bCs/>
              </w:rPr>
              <w:t xml:space="preserve">Standard international SMS </w:t>
            </w:r>
            <w:r>
              <w:rPr>
                <w:szCs w:val="20"/>
              </w:rPr>
              <w:t>(per SMS of up to 160 standard characters to selected countries)</w:t>
            </w:r>
          </w:p>
        </w:tc>
        <w:tc>
          <w:tcPr>
            <w:tcW w:w="2010" w:type="dxa"/>
            <w:vAlign w:val="center"/>
          </w:tcPr>
          <w:p w14:paraId="4F3DD4CA" w14:textId="77777777" w:rsidR="000D07EA" w:rsidRDefault="00BE7C89">
            <w:pPr>
              <w:pStyle w:val="BodyText"/>
              <w:spacing w:before="100" w:after="100"/>
              <w:jc w:val="center"/>
            </w:pPr>
            <w:r>
              <w:t>Unlimited</w:t>
            </w:r>
          </w:p>
        </w:tc>
        <w:tc>
          <w:tcPr>
            <w:tcW w:w="2010" w:type="dxa"/>
            <w:shd w:val="clear" w:color="auto" w:fill="auto"/>
            <w:vAlign w:val="center"/>
          </w:tcPr>
          <w:p w14:paraId="12191EE1" w14:textId="77777777" w:rsidR="000D07EA" w:rsidRDefault="00BE7C89">
            <w:pPr>
              <w:pStyle w:val="BodyText"/>
              <w:spacing w:before="100" w:after="100"/>
              <w:jc w:val="center"/>
            </w:pPr>
            <w:r>
              <w:t>Unlimited</w:t>
            </w:r>
          </w:p>
        </w:tc>
        <w:tc>
          <w:tcPr>
            <w:tcW w:w="2010" w:type="dxa"/>
            <w:shd w:val="clear" w:color="auto" w:fill="auto"/>
            <w:vAlign w:val="center"/>
          </w:tcPr>
          <w:p w14:paraId="68C25AE1" w14:textId="77777777" w:rsidR="000D07EA" w:rsidRDefault="00BE7C89">
            <w:pPr>
              <w:pStyle w:val="BodyText"/>
              <w:spacing w:before="100" w:after="100"/>
              <w:jc w:val="center"/>
            </w:pPr>
            <w:r>
              <w:t>Unlimited</w:t>
            </w:r>
          </w:p>
        </w:tc>
      </w:tr>
      <w:tr w:rsidR="000D07EA" w14:paraId="124276FA" w14:textId="77777777">
        <w:tc>
          <w:tcPr>
            <w:tcW w:w="3510" w:type="dxa"/>
            <w:shd w:val="clear" w:color="auto" w:fill="auto"/>
          </w:tcPr>
          <w:p w14:paraId="48E047F4" w14:textId="77777777" w:rsidR="000D07EA" w:rsidRDefault="00BE7C89">
            <w:pPr>
              <w:pStyle w:val="BodyText"/>
              <w:spacing w:before="100" w:after="100"/>
              <w:rPr>
                <w:b/>
                <w:bCs/>
              </w:rPr>
            </w:pPr>
            <w:r>
              <w:rPr>
                <w:b/>
                <w:bCs/>
              </w:rPr>
              <w:lastRenderedPageBreak/>
              <w:t xml:space="preserve">Standard international MMS </w:t>
            </w:r>
            <w:r>
              <w:rPr>
                <w:szCs w:val="20"/>
              </w:rPr>
              <w:t>(per message to selected countries)</w:t>
            </w:r>
          </w:p>
        </w:tc>
        <w:tc>
          <w:tcPr>
            <w:tcW w:w="2010" w:type="dxa"/>
            <w:vAlign w:val="center"/>
          </w:tcPr>
          <w:p w14:paraId="5F3533D5" w14:textId="77777777" w:rsidR="000D07EA" w:rsidRDefault="00BE7C89">
            <w:pPr>
              <w:pStyle w:val="BodyText"/>
              <w:spacing w:before="100" w:after="100"/>
              <w:jc w:val="center"/>
            </w:pPr>
            <w:r>
              <w:t>Unlimited</w:t>
            </w:r>
          </w:p>
        </w:tc>
        <w:tc>
          <w:tcPr>
            <w:tcW w:w="2010" w:type="dxa"/>
            <w:shd w:val="clear" w:color="auto" w:fill="auto"/>
            <w:vAlign w:val="center"/>
          </w:tcPr>
          <w:p w14:paraId="17125B35" w14:textId="77777777" w:rsidR="000D07EA" w:rsidRDefault="00BE7C89">
            <w:pPr>
              <w:pStyle w:val="BodyText"/>
              <w:spacing w:before="100" w:after="100"/>
              <w:jc w:val="center"/>
            </w:pPr>
            <w:r>
              <w:t>Unlimited</w:t>
            </w:r>
          </w:p>
        </w:tc>
        <w:tc>
          <w:tcPr>
            <w:tcW w:w="2010" w:type="dxa"/>
            <w:shd w:val="clear" w:color="auto" w:fill="auto"/>
            <w:vAlign w:val="center"/>
          </w:tcPr>
          <w:p w14:paraId="3641B827" w14:textId="77777777" w:rsidR="000D07EA" w:rsidRDefault="00BE7C89">
            <w:pPr>
              <w:pStyle w:val="BodyText"/>
              <w:spacing w:before="100" w:after="100"/>
              <w:jc w:val="center"/>
            </w:pPr>
            <w:r>
              <w:t>Unlimited</w:t>
            </w:r>
          </w:p>
        </w:tc>
      </w:tr>
    </w:tbl>
    <w:p w14:paraId="1ADB2140" w14:textId="77777777" w:rsidR="000D07EA" w:rsidRDefault="000D07EA">
      <w:pPr>
        <w:pStyle w:val="BodyText"/>
      </w:pPr>
    </w:p>
    <w:p w14:paraId="63975237" w14:textId="77777777" w:rsidR="000D07EA" w:rsidRDefault="00BE7C89">
      <w:pPr>
        <w:pStyle w:val="BodyText"/>
        <w:keepNext/>
        <w:ind w:left="720"/>
        <w:rPr>
          <w:b/>
        </w:rPr>
      </w:pPr>
      <w:r>
        <w:rPr>
          <w:b/>
        </w:rPr>
        <w:t>Table 2 – Other usage types and charges</w:t>
      </w:r>
    </w:p>
    <w:tbl>
      <w:tblPr>
        <w:tblW w:w="882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0"/>
        <w:gridCol w:w="4230"/>
      </w:tblGrid>
      <w:tr w:rsidR="000D07EA" w14:paraId="1C34CE9F" w14:textId="77777777">
        <w:trPr>
          <w:tblHeader/>
        </w:trPr>
        <w:tc>
          <w:tcPr>
            <w:tcW w:w="4590" w:type="dxa"/>
            <w:shd w:val="clear" w:color="auto" w:fill="auto"/>
          </w:tcPr>
          <w:p w14:paraId="3F39EA23" w14:textId="77777777" w:rsidR="000D07EA" w:rsidRDefault="00BE7C89">
            <w:pPr>
              <w:pStyle w:val="BodyText"/>
              <w:spacing w:before="100" w:after="100"/>
              <w:rPr>
                <w:b/>
              </w:rPr>
            </w:pPr>
            <w:r>
              <w:rPr>
                <w:b/>
              </w:rPr>
              <w:t>Usage type</w:t>
            </w:r>
          </w:p>
        </w:tc>
        <w:tc>
          <w:tcPr>
            <w:tcW w:w="4230" w:type="dxa"/>
            <w:shd w:val="clear" w:color="auto" w:fill="auto"/>
            <w:vAlign w:val="center"/>
          </w:tcPr>
          <w:p w14:paraId="2BD8189B" w14:textId="77777777" w:rsidR="000D07EA" w:rsidRDefault="00BE7C89">
            <w:pPr>
              <w:pStyle w:val="BodyText"/>
              <w:spacing w:before="100" w:after="100"/>
              <w:jc w:val="center"/>
              <w:rPr>
                <w:b/>
              </w:rPr>
            </w:pPr>
            <w:r>
              <w:rPr>
                <w:b/>
              </w:rPr>
              <w:t>Charge</w:t>
            </w:r>
          </w:p>
        </w:tc>
      </w:tr>
      <w:tr w:rsidR="000D07EA" w14:paraId="1ADB3F09" w14:textId="77777777">
        <w:tc>
          <w:tcPr>
            <w:tcW w:w="4590" w:type="dxa"/>
            <w:shd w:val="clear" w:color="auto" w:fill="auto"/>
          </w:tcPr>
          <w:p w14:paraId="30E77B36" w14:textId="77777777" w:rsidR="000D07EA" w:rsidRDefault="00BE7C89">
            <w:pPr>
              <w:pStyle w:val="BodyText"/>
              <w:spacing w:before="100" w:after="100"/>
              <w:rPr>
                <w:b/>
              </w:rPr>
            </w:pPr>
            <w:r>
              <w:rPr>
                <w:b/>
                <w:bCs/>
              </w:rPr>
              <w:t xml:space="preserve">National video calls </w:t>
            </w:r>
            <w:r>
              <w:t>(per minute)</w:t>
            </w:r>
          </w:p>
        </w:tc>
        <w:tc>
          <w:tcPr>
            <w:tcW w:w="4230" w:type="dxa"/>
            <w:shd w:val="clear" w:color="auto" w:fill="auto"/>
            <w:vAlign w:val="center"/>
          </w:tcPr>
          <w:p w14:paraId="3B6E8B1A" w14:textId="77777777" w:rsidR="000D07EA" w:rsidRDefault="00BE7C89">
            <w:pPr>
              <w:pStyle w:val="BodyText"/>
              <w:spacing w:before="100" w:after="100"/>
            </w:pPr>
            <w:r>
              <w:t>$1.00 per min + 40c flagfall</w:t>
            </w:r>
          </w:p>
        </w:tc>
      </w:tr>
      <w:tr w:rsidR="000D07EA" w14:paraId="08449D0F" w14:textId="77777777">
        <w:tc>
          <w:tcPr>
            <w:tcW w:w="4590" w:type="dxa"/>
            <w:shd w:val="clear" w:color="auto" w:fill="auto"/>
          </w:tcPr>
          <w:p w14:paraId="680E06E5" w14:textId="77777777" w:rsidR="000D07EA" w:rsidRDefault="00BE7C89">
            <w:pPr>
              <w:pStyle w:val="BodyText"/>
              <w:spacing w:before="100" w:after="100"/>
              <w:rPr>
                <w:b/>
              </w:rPr>
            </w:pPr>
            <w:r>
              <w:rPr>
                <w:b/>
                <w:bCs/>
              </w:rPr>
              <w:t xml:space="preserve">VoiceMail Deposits </w:t>
            </w:r>
          </w:p>
        </w:tc>
        <w:tc>
          <w:tcPr>
            <w:tcW w:w="4230" w:type="dxa"/>
            <w:shd w:val="clear" w:color="auto" w:fill="auto"/>
          </w:tcPr>
          <w:p w14:paraId="7D2B7C18" w14:textId="77777777" w:rsidR="000D07EA" w:rsidRDefault="00BE7C89">
            <w:pPr>
              <w:pStyle w:val="BodyText"/>
              <w:spacing w:before="100" w:after="100"/>
            </w:pPr>
            <w:r>
              <w:t>$0 per minute</w:t>
            </w:r>
          </w:p>
        </w:tc>
      </w:tr>
      <w:tr w:rsidR="000D07EA" w14:paraId="2120C2B4" w14:textId="77777777">
        <w:tc>
          <w:tcPr>
            <w:tcW w:w="4590" w:type="dxa"/>
            <w:shd w:val="clear" w:color="auto" w:fill="auto"/>
          </w:tcPr>
          <w:p w14:paraId="4B49F123" w14:textId="77777777" w:rsidR="000D07EA" w:rsidRDefault="00BE7C89">
            <w:pPr>
              <w:pStyle w:val="BodyText"/>
              <w:spacing w:before="100" w:after="100"/>
              <w:rPr>
                <w:b/>
              </w:rPr>
            </w:pPr>
            <w:r>
              <w:rPr>
                <w:b/>
                <w:bCs/>
              </w:rPr>
              <w:t>Voicemail Diversions</w:t>
            </w:r>
          </w:p>
        </w:tc>
        <w:tc>
          <w:tcPr>
            <w:tcW w:w="4230" w:type="dxa"/>
            <w:shd w:val="clear" w:color="auto" w:fill="auto"/>
          </w:tcPr>
          <w:p w14:paraId="6EB49764" w14:textId="77777777" w:rsidR="000D07EA" w:rsidRDefault="00BE7C89">
            <w:pPr>
              <w:pStyle w:val="BodyText"/>
              <w:spacing w:before="100" w:after="100"/>
            </w:pPr>
            <w:r>
              <w:t>$0 per minute</w:t>
            </w:r>
          </w:p>
        </w:tc>
      </w:tr>
      <w:tr w:rsidR="000D07EA" w14:paraId="02B302C9" w14:textId="77777777">
        <w:tc>
          <w:tcPr>
            <w:tcW w:w="4590" w:type="dxa"/>
            <w:shd w:val="clear" w:color="auto" w:fill="auto"/>
          </w:tcPr>
          <w:p w14:paraId="00DA321C" w14:textId="77777777" w:rsidR="000D07EA" w:rsidRDefault="00BE7C89">
            <w:pPr>
              <w:pStyle w:val="BodyText"/>
              <w:spacing w:before="100" w:after="100"/>
              <w:rPr>
                <w:b/>
                <w:bCs/>
              </w:rPr>
            </w:pPr>
            <w:r>
              <w:rPr>
                <w:b/>
                <w:bCs/>
              </w:rPr>
              <w:t>National Diversions</w:t>
            </w:r>
          </w:p>
        </w:tc>
        <w:tc>
          <w:tcPr>
            <w:tcW w:w="4230" w:type="dxa"/>
            <w:shd w:val="clear" w:color="auto" w:fill="auto"/>
          </w:tcPr>
          <w:p w14:paraId="4DC110EC" w14:textId="77777777" w:rsidR="000D07EA" w:rsidRDefault="00BE7C89">
            <w:pPr>
              <w:pStyle w:val="BodyText"/>
              <w:spacing w:before="100" w:after="100"/>
            </w:pPr>
            <w:r>
              <w:t>$0 per minute</w:t>
            </w:r>
          </w:p>
        </w:tc>
      </w:tr>
      <w:tr w:rsidR="000D07EA" w14:paraId="78C18CC4" w14:textId="77777777">
        <w:tc>
          <w:tcPr>
            <w:tcW w:w="4590" w:type="dxa"/>
            <w:shd w:val="clear" w:color="auto" w:fill="auto"/>
          </w:tcPr>
          <w:p w14:paraId="287E77D1" w14:textId="77777777" w:rsidR="000D07EA" w:rsidRDefault="00BE7C89">
            <w:pPr>
              <w:pStyle w:val="BodyText"/>
              <w:spacing w:before="100" w:after="100"/>
              <w:rPr>
                <w:b/>
                <w:bCs/>
              </w:rPr>
            </w:pPr>
            <w:r>
              <w:rPr>
                <w:b/>
                <w:bCs/>
              </w:rPr>
              <w:t xml:space="preserve">International Diversions </w:t>
            </w:r>
          </w:p>
        </w:tc>
        <w:tc>
          <w:tcPr>
            <w:tcW w:w="4230" w:type="dxa"/>
            <w:shd w:val="clear" w:color="auto" w:fill="auto"/>
          </w:tcPr>
          <w:p w14:paraId="16C75982" w14:textId="77777777" w:rsidR="000D07EA" w:rsidRDefault="00BE7C89">
            <w:pPr>
              <w:pStyle w:val="BodyText"/>
              <w:spacing w:before="100" w:after="100"/>
            </w:pPr>
            <w:r>
              <w:t>'yes' international rates</w:t>
            </w:r>
            <w:r>
              <w:br/>
              <w:t>See optus.com.au/international</w:t>
            </w:r>
          </w:p>
        </w:tc>
      </w:tr>
      <w:tr w:rsidR="000D07EA" w14:paraId="6D4A3685" w14:textId="77777777">
        <w:tc>
          <w:tcPr>
            <w:tcW w:w="4590" w:type="dxa"/>
            <w:shd w:val="clear" w:color="auto" w:fill="auto"/>
          </w:tcPr>
          <w:p w14:paraId="3442326A" w14:textId="77777777" w:rsidR="000D07EA" w:rsidRDefault="00BE7C89">
            <w:pPr>
              <w:pStyle w:val="BodyText"/>
              <w:spacing w:before="100" w:after="100"/>
              <w:rPr>
                <w:b/>
                <w:bCs/>
              </w:rPr>
            </w:pPr>
            <w:r>
              <w:rPr>
                <w:b/>
                <w:bCs/>
              </w:rPr>
              <w:t xml:space="preserve">1800 numbers </w:t>
            </w:r>
          </w:p>
        </w:tc>
        <w:tc>
          <w:tcPr>
            <w:tcW w:w="4230" w:type="dxa"/>
            <w:shd w:val="clear" w:color="auto" w:fill="auto"/>
            <w:vAlign w:val="center"/>
          </w:tcPr>
          <w:p w14:paraId="6A94E60B" w14:textId="77777777" w:rsidR="000D07EA" w:rsidRDefault="00BE7C89">
            <w:pPr>
              <w:pStyle w:val="BodyText"/>
              <w:spacing w:before="100" w:after="100"/>
            </w:pPr>
            <w:r>
              <w:t>$0 per minute</w:t>
            </w:r>
          </w:p>
        </w:tc>
      </w:tr>
      <w:tr w:rsidR="000D07EA" w14:paraId="41B1AEC1" w14:textId="77777777">
        <w:tc>
          <w:tcPr>
            <w:tcW w:w="4590" w:type="dxa"/>
            <w:shd w:val="clear" w:color="auto" w:fill="auto"/>
          </w:tcPr>
          <w:p w14:paraId="531A7630" w14:textId="77777777" w:rsidR="000D07EA" w:rsidRDefault="00BE7C89">
            <w:pPr>
              <w:pStyle w:val="BodyText"/>
              <w:spacing w:before="100" w:after="100"/>
              <w:rPr>
                <w:b/>
                <w:bCs/>
              </w:rPr>
            </w:pPr>
            <w:r>
              <w:rPr>
                <w:b/>
                <w:bCs/>
              </w:rPr>
              <w:t xml:space="preserve">Directory Assistance 1223 </w:t>
            </w:r>
          </w:p>
        </w:tc>
        <w:tc>
          <w:tcPr>
            <w:tcW w:w="4230" w:type="dxa"/>
            <w:shd w:val="clear" w:color="auto" w:fill="auto"/>
            <w:vAlign w:val="center"/>
          </w:tcPr>
          <w:p w14:paraId="3935029A" w14:textId="77777777" w:rsidR="000D07EA" w:rsidRDefault="00BE7C89">
            <w:pPr>
              <w:pStyle w:val="BodyText"/>
              <w:spacing w:before="100" w:after="100"/>
            </w:pPr>
            <w:r>
              <w:t>50c per call</w:t>
            </w:r>
          </w:p>
        </w:tc>
      </w:tr>
      <w:tr w:rsidR="000D07EA" w14:paraId="531EAD62" w14:textId="77777777">
        <w:tc>
          <w:tcPr>
            <w:tcW w:w="4590" w:type="dxa"/>
            <w:shd w:val="clear" w:color="auto" w:fill="auto"/>
          </w:tcPr>
          <w:p w14:paraId="5889EFAA" w14:textId="77777777" w:rsidR="000D07EA" w:rsidRDefault="00BE7C89">
            <w:pPr>
              <w:pStyle w:val="BodyText"/>
              <w:spacing w:before="100" w:after="100"/>
              <w:rPr>
                <w:b/>
                <w:bCs/>
              </w:rPr>
            </w:pPr>
            <w:r>
              <w:rPr>
                <w:b/>
                <w:bCs/>
              </w:rPr>
              <w:t>124 Yes</w:t>
            </w:r>
          </w:p>
        </w:tc>
        <w:tc>
          <w:tcPr>
            <w:tcW w:w="4230" w:type="dxa"/>
            <w:shd w:val="clear" w:color="auto" w:fill="auto"/>
            <w:vAlign w:val="center"/>
          </w:tcPr>
          <w:p w14:paraId="3EBC2686" w14:textId="77777777" w:rsidR="000D07EA" w:rsidRDefault="00BE7C89">
            <w:pPr>
              <w:pStyle w:val="BodyText"/>
              <w:spacing w:before="100" w:after="100"/>
            </w:pPr>
            <w:r>
              <w:t>90c per minute +$1.75c flagfall</w:t>
            </w:r>
          </w:p>
        </w:tc>
      </w:tr>
      <w:tr w:rsidR="000D07EA" w14:paraId="7C76893C" w14:textId="77777777">
        <w:tc>
          <w:tcPr>
            <w:tcW w:w="4590" w:type="dxa"/>
            <w:shd w:val="clear" w:color="auto" w:fill="auto"/>
          </w:tcPr>
          <w:p w14:paraId="5AEE661C" w14:textId="77777777" w:rsidR="000D07EA" w:rsidRDefault="00BE7C89">
            <w:pPr>
              <w:pStyle w:val="BodyText"/>
              <w:spacing w:before="100" w:after="100"/>
              <w:rPr>
                <w:b/>
                <w:bCs/>
              </w:rPr>
            </w:pPr>
            <w:r>
              <w:rPr>
                <w:b/>
                <w:bCs/>
              </w:rPr>
              <w:t xml:space="preserve">International voice calls (outside the plan's included international minutes and to excluded countries) </w:t>
            </w:r>
          </w:p>
        </w:tc>
        <w:tc>
          <w:tcPr>
            <w:tcW w:w="4230" w:type="dxa"/>
            <w:shd w:val="clear" w:color="auto" w:fill="auto"/>
            <w:vAlign w:val="center"/>
          </w:tcPr>
          <w:p w14:paraId="06D03464" w14:textId="77777777" w:rsidR="000D07EA" w:rsidRDefault="00BE7C89">
            <w:pPr>
              <w:pStyle w:val="BodyText"/>
              <w:spacing w:before="100" w:after="100"/>
            </w:pPr>
            <w:r>
              <w:t>'yes' international rates</w:t>
            </w:r>
            <w:r>
              <w:br/>
              <w:t>See optus.com.au/international</w:t>
            </w:r>
          </w:p>
        </w:tc>
      </w:tr>
      <w:tr w:rsidR="000D07EA" w14:paraId="11BBC1E8" w14:textId="77777777">
        <w:tc>
          <w:tcPr>
            <w:tcW w:w="4590" w:type="dxa"/>
            <w:shd w:val="clear" w:color="auto" w:fill="auto"/>
          </w:tcPr>
          <w:p w14:paraId="6A7BC9BE" w14:textId="77777777" w:rsidR="000D07EA" w:rsidRDefault="00BE7C89">
            <w:pPr>
              <w:pStyle w:val="BodyText"/>
              <w:spacing w:before="100" w:after="100"/>
              <w:rPr>
                <w:b/>
                <w:bCs/>
              </w:rPr>
            </w:pPr>
            <w:r>
              <w:rPr>
                <w:b/>
                <w:bCs/>
              </w:rPr>
              <w:t>International SMS (to excluded countries)</w:t>
            </w:r>
          </w:p>
        </w:tc>
        <w:tc>
          <w:tcPr>
            <w:tcW w:w="4230" w:type="dxa"/>
            <w:shd w:val="clear" w:color="auto" w:fill="auto"/>
            <w:vAlign w:val="center"/>
          </w:tcPr>
          <w:p w14:paraId="29F75D1C" w14:textId="77777777" w:rsidR="000D07EA" w:rsidRDefault="00BE7C89">
            <w:pPr>
              <w:pStyle w:val="BodyText"/>
              <w:spacing w:before="100" w:after="100"/>
            </w:pPr>
            <w:r>
              <w:t>50c per SMS up to 160 standard characters</w:t>
            </w:r>
          </w:p>
        </w:tc>
      </w:tr>
      <w:tr w:rsidR="000D07EA" w14:paraId="59B7D91A" w14:textId="77777777">
        <w:tc>
          <w:tcPr>
            <w:tcW w:w="4590" w:type="dxa"/>
            <w:shd w:val="clear" w:color="auto" w:fill="auto"/>
          </w:tcPr>
          <w:p w14:paraId="6B0AA6BD" w14:textId="77777777" w:rsidR="000D07EA" w:rsidRDefault="00BE7C89">
            <w:pPr>
              <w:pStyle w:val="BodyText"/>
              <w:spacing w:before="100" w:after="100"/>
              <w:rPr>
                <w:b/>
                <w:bCs/>
              </w:rPr>
            </w:pPr>
            <w:r>
              <w:rPr>
                <w:b/>
                <w:bCs/>
              </w:rPr>
              <w:t>International MMS (to excluded countries)</w:t>
            </w:r>
          </w:p>
        </w:tc>
        <w:tc>
          <w:tcPr>
            <w:tcW w:w="4230" w:type="dxa"/>
            <w:shd w:val="clear" w:color="auto" w:fill="auto"/>
            <w:vAlign w:val="center"/>
          </w:tcPr>
          <w:p w14:paraId="12AB891D" w14:textId="77777777" w:rsidR="000D07EA" w:rsidRDefault="00BE7C89">
            <w:pPr>
              <w:pStyle w:val="BodyText"/>
              <w:spacing w:before="100" w:after="100"/>
            </w:pPr>
            <w:r>
              <w:t xml:space="preserve">75c per MMS </w:t>
            </w:r>
          </w:p>
        </w:tc>
      </w:tr>
      <w:tr w:rsidR="000D07EA" w14:paraId="7FB97EA1" w14:textId="77777777">
        <w:tc>
          <w:tcPr>
            <w:tcW w:w="4590" w:type="dxa"/>
            <w:shd w:val="clear" w:color="auto" w:fill="auto"/>
          </w:tcPr>
          <w:p w14:paraId="7D10A3CB" w14:textId="77777777" w:rsidR="000D07EA" w:rsidRDefault="00BE7C89">
            <w:pPr>
              <w:pStyle w:val="BodyText"/>
              <w:spacing w:before="100" w:after="100"/>
              <w:rPr>
                <w:b/>
                <w:bCs/>
              </w:rPr>
            </w:pPr>
            <w:r>
              <w:rPr>
                <w:b/>
                <w:bCs/>
              </w:rPr>
              <w:t xml:space="preserve">International video calling </w:t>
            </w:r>
          </w:p>
        </w:tc>
        <w:tc>
          <w:tcPr>
            <w:tcW w:w="4230" w:type="dxa"/>
            <w:shd w:val="clear" w:color="auto" w:fill="auto"/>
            <w:vAlign w:val="center"/>
          </w:tcPr>
          <w:p w14:paraId="02688B6D" w14:textId="77777777" w:rsidR="000D07EA" w:rsidRDefault="00BE7C89">
            <w:pPr>
              <w:pStyle w:val="BodyText"/>
              <w:spacing w:before="100" w:after="100"/>
            </w:pPr>
            <w:r>
              <w:t>$1.50 per minute +35c flagfall</w:t>
            </w:r>
          </w:p>
        </w:tc>
      </w:tr>
      <w:tr w:rsidR="000D07EA" w14:paraId="36AA9A97" w14:textId="77777777">
        <w:tc>
          <w:tcPr>
            <w:tcW w:w="4590" w:type="dxa"/>
            <w:shd w:val="clear" w:color="auto" w:fill="auto"/>
          </w:tcPr>
          <w:p w14:paraId="0A3BE2E0" w14:textId="77777777" w:rsidR="000D07EA" w:rsidRDefault="00BE7C89">
            <w:pPr>
              <w:pStyle w:val="BodyText"/>
              <w:spacing w:before="100" w:after="100"/>
              <w:rPr>
                <w:b/>
                <w:bCs/>
              </w:rPr>
            </w:pPr>
            <w:r>
              <w:rPr>
                <w:b/>
                <w:bCs/>
              </w:rPr>
              <w:t xml:space="preserve">International roaming </w:t>
            </w:r>
          </w:p>
        </w:tc>
        <w:tc>
          <w:tcPr>
            <w:tcW w:w="4230" w:type="dxa"/>
            <w:shd w:val="clear" w:color="auto" w:fill="auto"/>
            <w:vAlign w:val="center"/>
          </w:tcPr>
          <w:p w14:paraId="367B63A6" w14:textId="77777777" w:rsidR="000D07EA" w:rsidRDefault="00BE7C89">
            <w:pPr>
              <w:pStyle w:val="BodyText"/>
              <w:spacing w:before="100" w:after="100"/>
            </w:pPr>
            <w:r>
              <w:t>See optus.com.au/roaming</w:t>
            </w:r>
          </w:p>
        </w:tc>
      </w:tr>
    </w:tbl>
    <w:p w14:paraId="49F9710A" w14:textId="77777777" w:rsidR="000D07EA" w:rsidRDefault="000D07EA">
      <w:pPr>
        <w:pStyle w:val="BodyText"/>
      </w:pPr>
    </w:p>
    <w:p w14:paraId="017272D7" w14:textId="77777777" w:rsidR="000D07EA" w:rsidRDefault="00BE7C89">
      <w:pPr>
        <w:pStyle w:val="BodyText"/>
        <w:ind w:left="720"/>
        <w:rPr>
          <w:b/>
        </w:rPr>
      </w:pPr>
      <w:r>
        <w:rPr>
          <w:b/>
        </w:rPr>
        <w:t>Table 3 – International Countries</w:t>
      </w:r>
    </w:p>
    <w:tbl>
      <w:tblPr>
        <w:tblW w:w="8363" w:type="dxa"/>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090"/>
        <w:gridCol w:w="2091"/>
        <w:gridCol w:w="2091"/>
        <w:gridCol w:w="2091"/>
      </w:tblGrid>
      <w:tr w:rsidR="000D07EA" w14:paraId="5FE6BCBD" w14:textId="77777777">
        <w:tc>
          <w:tcPr>
            <w:tcW w:w="2090" w:type="dxa"/>
            <w:shd w:val="clear" w:color="auto" w:fill="auto"/>
          </w:tcPr>
          <w:p w14:paraId="1EAC4C4B" w14:textId="77777777" w:rsidR="000D07EA" w:rsidRDefault="00BE7C89">
            <w:pPr>
              <w:pStyle w:val="BodyText"/>
              <w:spacing w:before="100" w:after="100"/>
              <w:jc w:val="center"/>
              <w:rPr>
                <w:rFonts w:eastAsia="Calibri"/>
              </w:rPr>
            </w:pPr>
            <w:r>
              <w:rPr>
                <w:rFonts w:eastAsia="Calibri"/>
              </w:rPr>
              <w:t>Austria</w:t>
            </w:r>
          </w:p>
        </w:tc>
        <w:tc>
          <w:tcPr>
            <w:tcW w:w="2091" w:type="dxa"/>
            <w:shd w:val="clear" w:color="auto" w:fill="auto"/>
          </w:tcPr>
          <w:p w14:paraId="52F796D6" w14:textId="77777777" w:rsidR="000D07EA" w:rsidRDefault="00BE7C89">
            <w:pPr>
              <w:pStyle w:val="BodyText"/>
              <w:spacing w:before="100" w:after="100"/>
              <w:jc w:val="center"/>
              <w:rPr>
                <w:rFonts w:eastAsia="Calibri"/>
              </w:rPr>
            </w:pPr>
            <w:r>
              <w:rPr>
                <w:rFonts w:eastAsia="Calibri"/>
              </w:rPr>
              <w:t>Bangladesh</w:t>
            </w:r>
          </w:p>
        </w:tc>
        <w:tc>
          <w:tcPr>
            <w:tcW w:w="2091" w:type="dxa"/>
            <w:shd w:val="clear" w:color="auto" w:fill="auto"/>
          </w:tcPr>
          <w:p w14:paraId="7F6280EB" w14:textId="77777777" w:rsidR="000D07EA" w:rsidRDefault="00BE7C89">
            <w:pPr>
              <w:pStyle w:val="BodyText"/>
              <w:spacing w:before="100" w:after="100"/>
              <w:jc w:val="center"/>
              <w:rPr>
                <w:rFonts w:eastAsia="Calibri"/>
              </w:rPr>
            </w:pPr>
            <w:r>
              <w:rPr>
                <w:rFonts w:eastAsia="Calibri"/>
              </w:rPr>
              <w:t>Cambodia</w:t>
            </w:r>
          </w:p>
        </w:tc>
        <w:tc>
          <w:tcPr>
            <w:tcW w:w="2091" w:type="dxa"/>
            <w:shd w:val="clear" w:color="auto" w:fill="auto"/>
          </w:tcPr>
          <w:p w14:paraId="00F8B28F" w14:textId="77777777" w:rsidR="000D07EA" w:rsidRDefault="00BE7C89">
            <w:pPr>
              <w:pStyle w:val="BodyText"/>
              <w:spacing w:before="100" w:after="100"/>
              <w:jc w:val="center"/>
              <w:rPr>
                <w:rFonts w:eastAsia="Calibri"/>
              </w:rPr>
            </w:pPr>
            <w:r>
              <w:rPr>
                <w:rFonts w:eastAsia="Calibri"/>
              </w:rPr>
              <w:t>Canada</w:t>
            </w:r>
          </w:p>
        </w:tc>
      </w:tr>
      <w:tr w:rsidR="000D07EA" w14:paraId="1ED3EA26" w14:textId="77777777">
        <w:tc>
          <w:tcPr>
            <w:tcW w:w="2090" w:type="dxa"/>
            <w:shd w:val="clear" w:color="auto" w:fill="auto"/>
          </w:tcPr>
          <w:p w14:paraId="31E37F9F" w14:textId="77777777" w:rsidR="000D07EA" w:rsidRDefault="00BE7C89">
            <w:pPr>
              <w:pStyle w:val="BodyText"/>
              <w:spacing w:before="100" w:after="100"/>
              <w:jc w:val="center"/>
              <w:rPr>
                <w:rFonts w:eastAsia="Calibri"/>
              </w:rPr>
            </w:pPr>
            <w:r>
              <w:rPr>
                <w:rFonts w:eastAsia="Calibri"/>
              </w:rPr>
              <w:t>Chile</w:t>
            </w:r>
          </w:p>
        </w:tc>
        <w:tc>
          <w:tcPr>
            <w:tcW w:w="2091" w:type="dxa"/>
            <w:shd w:val="clear" w:color="auto" w:fill="auto"/>
          </w:tcPr>
          <w:p w14:paraId="7FA3B759" w14:textId="77777777" w:rsidR="000D07EA" w:rsidRDefault="00BE7C89">
            <w:pPr>
              <w:pStyle w:val="BodyText"/>
              <w:spacing w:before="100" w:after="100"/>
              <w:jc w:val="center"/>
              <w:rPr>
                <w:rFonts w:eastAsia="Calibri"/>
              </w:rPr>
            </w:pPr>
            <w:r>
              <w:rPr>
                <w:rFonts w:eastAsia="Calibri"/>
              </w:rPr>
              <w:t>China</w:t>
            </w:r>
          </w:p>
        </w:tc>
        <w:tc>
          <w:tcPr>
            <w:tcW w:w="2091" w:type="dxa"/>
            <w:shd w:val="clear" w:color="auto" w:fill="auto"/>
          </w:tcPr>
          <w:p w14:paraId="46BDC133" w14:textId="77777777" w:rsidR="000D07EA" w:rsidRDefault="00BE7C89">
            <w:pPr>
              <w:pStyle w:val="BodyText"/>
              <w:spacing w:before="100" w:after="100"/>
              <w:jc w:val="center"/>
              <w:rPr>
                <w:rFonts w:eastAsia="Calibri"/>
              </w:rPr>
            </w:pPr>
            <w:r>
              <w:rPr>
                <w:rFonts w:eastAsia="Calibri"/>
              </w:rPr>
              <w:t>Croatia</w:t>
            </w:r>
          </w:p>
        </w:tc>
        <w:tc>
          <w:tcPr>
            <w:tcW w:w="2091" w:type="dxa"/>
            <w:shd w:val="clear" w:color="auto" w:fill="auto"/>
          </w:tcPr>
          <w:p w14:paraId="78A9A2B5" w14:textId="77777777" w:rsidR="000D07EA" w:rsidRDefault="00BE7C89">
            <w:pPr>
              <w:pStyle w:val="BodyText"/>
              <w:spacing w:before="100" w:after="100"/>
              <w:jc w:val="center"/>
              <w:rPr>
                <w:rFonts w:eastAsia="Calibri"/>
              </w:rPr>
            </w:pPr>
            <w:r>
              <w:rPr>
                <w:rFonts w:eastAsia="Calibri"/>
              </w:rPr>
              <w:t>France</w:t>
            </w:r>
          </w:p>
        </w:tc>
      </w:tr>
      <w:tr w:rsidR="000D07EA" w14:paraId="006A0370" w14:textId="77777777">
        <w:tc>
          <w:tcPr>
            <w:tcW w:w="2090" w:type="dxa"/>
            <w:shd w:val="clear" w:color="auto" w:fill="auto"/>
          </w:tcPr>
          <w:p w14:paraId="42CA78F7" w14:textId="77777777" w:rsidR="000D07EA" w:rsidRDefault="00BE7C89">
            <w:pPr>
              <w:pStyle w:val="BodyText"/>
              <w:spacing w:before="100" w:after="100"/>
              <w:jc w:val="center"/>
              <w:rPr>
                <w:rFonts w:eastAsia="Calibri"/>
              </w:rPr>
            </w:pPr>
            <w:r>
              <w:rPr>
                <w:rFonts w:eastAsia="Calibri"/>
              </w:rPr>
              <w:t>Germany</w:t>
            </w:r>
          </w:p>
        </w:tc>
        <w:tc>
          <w:tcPr>
            <w:tcW w:w="2091" w:type="dxa"/>
            <w:shd w:val="clear" w:color="auto" w:fill="auto"/>
          </w:tcPr>
          <w:p w14:paraId="6C8F684E" w14:textId="77777777" w:rsidR="000D07EA" w:rsidRDefault="00BE7C89">
            <w:pPr>
              <w:pStyle w:val="BodyText"/>
              <w:spacing w:before="100" w:after="100"/>
              <w:jc w:val="center"/>
              <w:rPr>
                <w:rFonts w:eastAsia="Calibri"/>
              </w:rPr>
            </w:pPr>
            <w:r>
              <w:rPr>
                <w:rFonts w:eastAsia="Calibri"/>
              </w:rPr>
              <w:t>Greece</w:t>
            </w:r>
          </w:p>
        </w:tc>
        <w:tc>
          <w:tcPr>
            <w:tcW w:w="2091" w:type="dxa"/>
            <w:shd w:val="clear" w:color="auto" w:fill="auto"/>
          </w:tcPr>
          <w:p w14:paraId="54A16A9A" w14:textId="77777777" w:rsidR="000D07EA" w:rsidRDefault="00BE7C89">
            <w:pPr>
              <w:pStyle w:val="BodyText"/>
              <w:spacing w:before="100" w:after="100"/>
              <w:jc w:val="center"/>
              <w:rPr>
                <w:rFonts w:eastAsia="Calibri"/>
              </w:rPr>
            </w:pPr>
            <w:r>
              <w:rPr>
                <w:rFonts w:eastAsia="Calibri"/>
              </w:rPr>
              <w:t>Hong Kong</w:t>
            </w:r>
          </w:p>
        </w:tc>
        <w:tc>
          <w:tcPr>
            <w:tcW w:w="2091" w:type="dxa"/>
            <w:shd w:val="clear" w:color="auto" w:fill="auto"/>
          </w:tcPr>
          <w:p w14:paraId="4F836FEF" w14:textId="77777777" w:rsidR="000D07EA" w:rsidRDefault="00BE7C89">
            <w:pPr>
              <w:pStyle w:val="BodyText"/>
              <w:spacing w:before="100" w:after="100"/>
              <w:jc w:val="center"/>
              <w:rPr>
                <w:rFonts w:eastAsia="Calibri"/>
              </w:rPr>
            </w:pPr>
            <w:r>
              <w:rPr>
                <w:rFonts w:eastAsia="Calibri"/>
              </w:rPr>
              <w:t>Hungary</w:t>
            </w:r>
          </w:p>
        </w:tc>
      </w:tr>
      <w:tr w:rsidR="000D07EA" w14:paraId="24E22E31" w14:textId="77777777">
        <w:tc>
          <w:tcPr>
            <w:tcW w:w="2090" w:type="dxa"/>
            <w:shd w:val="clear" w:color="auto" w:fill="auto"/>
          </w:tcPr>
          <w:p w14:paraId="7E128A78" w14:textId="77777777" w:rsidR="000D07EA" w:rsidRDefault="00BE7C89">
            <w:pPr>
              <w:pStyle w:val="BodyText"/>
              <w:spacing w:before="100" w:after="100"/>
              <w:jc w:val="center"/>
              <w:rPr>
                <w:rFonts w:eastAsia="Calibri"/>
              </w:rPr>
            </w:pPr>
            <w:r>
              <w:rPr>
                <w:rFonts w:eastAsia="Calibri"/>
              </w:rPr>
              <w:t>Indonesia</w:t>
            </w:r>
          </w:p>
        </w:tc>
        <w:tc>
          <w:tcPr>
            <w:tcW w:w="2091" w:type="dxa"/>
            <w:shd w:val="clear" w:color="auto" w:fill="auto"/>
          </w:tcPr>
          <w:p w14:paraId="285712EF" w14:textId="77777777" w:rsidR="000D07EA" w:rsidRDefault="00BE7C89">
            <w:pPr>
              <w:pStyle w:val="BodyText"/>
              <w:spacing w:before="100" w:after="100"/>
              <w:jc w:val="center"/>
              <w:rPr>
                <w:rFonts w:eastAsia="Calibri"/>
              </w:rPr>
            </w:pPr>
            <w:r>
              <w:rPr>
                <w:rFonts w:eastAsia="Calibri"/>
              </w:rPr>
              <w:t>India</w:t>
            </w:r>
          </w:p>
        </w:tc>
        <w:tc>
          <w:tcPr>
            <w:tcW w:w="2091" w:type="dxa"/>
            <w:shd w:val="clear" w:color="auto" w:fill="auto"/>
          </w:tcPr>
          <w:p w14:paraId="2F7E2DEC" w14:textId="77777777" w:rsidR="000D07EA" w:rsidRDefault="00BE7C89">
            <w:pPr>
              <w:pStyle w:val="BodyText"/>
              <w:spacing w:before="100" w:after="100"/>
              <w:jc w:val="center"/>
              <w:rPr>
                <w:rFonts w:eastAsia="Calibri"/>
              </w:rPr>
            </w:pPr>
            <w:r>
              <w:rPr>
                <w:rFonts w:eastAsia="Calibri"/>
              </w:rPr>
              <w:t>Ireland</w:t>
            </w:r>
          </w:p>
        </w:tc>
        <w:tc>
          <w:tcPr>
            <w:tcW w:w="2091" w:type="dxa"/>
            <w:shd w:val="clear" w:color="auto" w:fill="auto"/>
          </w:tcPr>
          <w:p w14:paraId="16B47B12" w14:textId="77777777" w:rsidR="000D07EA" w:rsidRDefault="00BE7C89">
            <w:pPr>
              <w:pStyle w:val="BodyText"/>
              <w:spacing w:before="100" w:after="100"/>
              <w:jc w:val="center"/>
              <w:rPr>
                <w:rFonts w:eastAsia="Calibri"/>
              </w:rPr>
            </w:pPr>
            <w:r>
              <w:rPr>
                <w:rFonts w:eastAsia="Calibri"/>
              </w:rPr>
              <w:t>Italy</w:t>
            </w:r>
          </w:p>
        </w:tc>
      </w:tr>
      <w:tr w:rsidR="000D07EA" w14:paraId="5D082A45" w14:textId="77777777">
        <w:tc>
          <w:tcPr>
            <w:tcW w:w="2090" w:type="dxa"/>
            <w:shd w:val="clear" w:color="auto" w:fill="auto"/>
          </w:tcPr>
          <w:p w14:paraId="1412E0AD" w14:textId="77777777" w:rsidR="000D07EA" w:rsidRDefault="00BE7C89">
            <w:pPr>
              <w:pStyle w:val="BodyText"/>
              <w:spacing w:before="100" w:after="100"/>
              <w:jc w:val="center"/>
              <w:rPr>
                <w:rFonts w:eastAsia="Calibri"/>
              </w:rPr>
            </w:pPr>
            <w:r>
              <w:rPr>
                <w:rFonts w:eastAsia="Calibri"/>
              </w:rPr>
              <w:t>Japan</w:t>
            </w:r>
          </w:p>
        </w:tc>
        <w:tc>
          <w:tcPr>
            <w:tcW w:w="2091" w:type="dxa"/>
            <w:shd w:val="clear" w:color="auto" w:fill="auto"/>
          </w:tcPr>
          <w:p w14:paraId="3341FC47" w14:textId="77777777" w:rsidR="000D07EA" w:rsidRDefault="00BE7C89">
            <w:pPr>
              <w:pStyle w:val="BodyText"/>
              <w:spacing w:before="100" w:after="100"/>
              <w:jc w:val="center"/>
              <w:rPr>
                <w:rFonts w:eastAsia="Calibri"/>
              </w:rPr>
            </w:pPr>
            <w:r>
              <w:rPr>
                <w:rFonts w:eastAsia="Calibri"/>
              </w:rPr>
              <w:t>Malaysia</w:t>
            </w:r>
          </w:p>
        </w:tc>
        <w:tc>
          <w:tcPr>
            <w:tcW w:w="2091" w:type="dxa"/>
            <w:shd w:val="clear" w:color="auto" w:fill="auto"/>
          </w:tcPr>
          <w:p w14:paraId="057808D0" w14:textId="77777777" w:rsidR="000D07EA" w:rsidRDefault="00BE7C89">
            <w:pPr>
              <w:pStyle w:val="BodyText"/>
              <w:spacing w:before="100" w:after="100"/>
              <w:jc w:val="center"/>
              <w:rPr>
                <w:rFonts w:eastAsia="Calibri"/>
              </w:rPr>
            </w:pPr>
            <w:r>
              <w:rPr>
                <w:rFonts w:eastAsia="Calibri"/>
              </w:rPr>
              <w:t>Netherlands</w:t>
            </w:r>
          </w:p>
        </w:tc>
        <w:tc>
          <w:tcPr>
            <w:tcW w:w="2091" w:type="dxa"/>
            <w:shd w:val="clear" w:color="auto" w:fill="auto"/>
          </w:tcPr>
          <w:p w14:paraId="68F6BEF2" w14:textId="77777777" w:rsidR="000D07EA" w:rsidRDefault="00BE7C89">
            <w:pPr>
              <w:pStyle w:val="BodyText"/>
              <w:spacing w:before="100" w:after="100"/>
              <w:jc w:val="center"/>
              <w:rPr>
                <w:rFonts w:eastAsia="Calibri"/>
              </w:rPr>
            </w:pPr>
            <w:r>
              <w:rPr>
                <w:rFonts w:eastAsia="Calibri"/>
              </w:rPr>
              <w:t>New Zealand</w:t>
            </w:r>
          </w:p>
        </w:tc>
      </w:tr>
      <w:tr w:rsidR="000D07EA" w14:paraId="6115878A" w14:textId="77777777">
        <w:tc>
          <w:tcPr>
            <w:tcW w:w="2090" w:type="dxa"/>
            <w:shd w:val="clear" w:color="auto" w:fill="auto"/>
          </w:tcPr>
          <w:p w14:paraId="1D4A8989" w14:textId="77777777" w:rsidR="000D07EA" w:rsidRDefault="00BE7C89">
            <w:pPr>
              <w:pStyle w:val="BodyText"/>
              <w:spacing w:before="100" w:after="100"/>
              <w:jc w:val="center"/>
              <w:rPr>
                <w:rFonts w:eastAsia="Calibri"/>
              </w:rPr>
            </w:pPr>
            <w:r>
              <w:rPr>
                <w:rFonts w:eastAsia="Calibri"/>
              </w:rPr>
              <w:t>Pakistan</w:t>
            </w:r>
          </w:p>
        </w:tc>
        <w:tc>
          <w:tcPr>
            <w:tcW w:w="2091" w:type="dxa"/>
            <w:shd w:val="clear" w:color="auto" w:fill="auto"/>
          </w:tcPr>
          <w:p w14:paraId="4F8B18E5" w14:textId="77777777" w:rsidR="000D07EA" w:rsidRDefault="00BE7C89">
            <w:pPr>
              <w:pStyle w:val="BodyText"/>
              <w:spacing w:before="100" w:after="100"/>
              <w:jc w:val="center"/>
              <w:rPr>
                <w:rFonts w:eastAsia="Calibri"/>
              </w:rPr>
            </w:pPr>
            <w:r>
              <w:rPr>
                <w:rFonts w:eastAsia="Calibri"/>
              </w:rPr>
              <w:t>Philippines</w:t>
            </w:r>
          </w:p>
        </w:tc>
        <w:tc>
          <w:tcPr>
            <w:tcW w:w="2091" w:type="dxa"/>
            <w:shd w:val="clear" w:color="auto" w:fill="auto"/>
          </w:tcPr>
          <w:p w14:paraId="2646F803" w14:textId="77777777" w:rsidR="000D07EA" w:rsidRDefault="00BE7C89">
            <w:pPr>
              <w:pStyle w:val="BodyText"/>
              <w:spacing w:before="100" w:after="100"/>
              <w:jc w:val="center"/>
              <w:rPr>
                <w:rFonts w:eastAsia="Calibri"/>
              </w:rPr>
            </w:pPr>
            <w:r>
              <w:rPr>
                <w:rFonts w:eastAsia="Calibri"/>
              </w:rPr>
              <w:t>Poland</w:t>
            </w:r>
          </w:p>
        </w:tc>
        <w:tc>
          <w:tcPr>
            <w:tcW w:w="2091" w:type="dxa"/>
            <w:shd w:val="clear" w:color="auto" w:fill="auto"/>
          </w:tcPr>
          <w:p w14:paraId="0BA5575F" w14:textId="77777777" w:rsidR="000D07EA" w:rsidRDefault="00BE7C89">
            <w:pPr>
              <w:pStyle w:val="BodyText"/>
              <w:spacing w:before="100" w:after="100"/>
              <w:jc w:val="center"/>
              <w:rPr>
                <w:rFonts w:eastAsia="Calibri"/>
              </w:rPr>
            </w:pPr>
            <w:r>
              <w:rPr>
                <w:rFonts w:eastAsia="Calibri"/>
              </w:rPr>
              <w:t>Singapore</w:t>
            </w:r>
          </w:p>
        </w:tc>
      </w:tr>
      <w:tr w:rsidR="000D07EA" w14:paraId="42F56788" w14:textId="77777777">
        <w:tc>
          <w:tcPr>
            <w:tcW w:w="2090" w:type="dxa"/>
            <w:shd w:val="clear" w:color="auto" w:fill="auto"/>
          </w:tcPr>
          <w:p w14:paraId="11FDA389" w14:textId="77777777" w:rsidR="000D07EA" w:rsidRDefault="00BE7C89">
            <w:pPr>
              <w:pStyle w:val="BodyText"/>
              <w:spacing w:before="100" w:after="100"/>
              <w:jc w:val="center"/>
              <w:rPr>
                <w:rFonts w:eastAsia="Calibri"/>
              </w:rPr>
            </w:pPr>
            <w:r>
              <w:rPr>
                <w:rFonts w:eastAsia="Calibri"/>
              </w:rPr>
              <w:t>South Africa</w:t>
            </w:r>
          </w:p>
        </w:tc>
        <w:tc>
          <w:tcPr>
            <w:tcW w:w="2091" w:type="dxa"/>
            <w:shd w:val="clear" w:color="auto" w:fill="auto"/>
          </w:tcPr>
          <w:p w14:paraId="4A776F8C" w14:textId="77777777" w:rsidR="000D07EA" w:rsidRDefault="00BE7C89">
            <w:pPr>
              <w:pStyle w:val="BodyText"/>
              <w:spacing w:before="100" w:after="100"/>
              <w:jc w:val="center"/>
              <w:rPr>
                <w:rFonts w:eastAsia="Calibri"/>
              </w:rPr>
            </w:pPr>
            <w:r>
              <w:rPr>
                <w:rFonts w:eastAsia="Calibri"/>
              </w:rPr>
              <w:t>South Korea</w:t>
            </w:r>
          </w:p>
        </w:tc>
        <w:tc>
          <w:tcPr>
            <w:tcW w:w="2091" w:type="dxa"/>
            <w:shd w:val="clear" w:color="auto" w:fill="auto"/>
          </w:tcPr>
          <w:p w14:paraId="62FF3136" w14:textId="77777777" w:rsidR="000D07EA" w:rsidRDefault="00BE7C89">
            <w:pPr>
              <w:pStyle w:val="BodyText"/>
              <w:spacing w:before="100" w:after="100"/>
              <w:jc w:val="center"/>
              <w:rPr>
                <w:rFonts w:eastAsia="Calibri"/>
              </w:rPr>
            </w:pPr>
            <w:r>
              <w:rPr>
                <w:rFonts w:eastAsia="Calibri"/>
              </w:rPr>
              <w:t>Taiwan</w:t>
            </w:r>
          </w:p>
        </w:tc>
        <w:tc>
          <w:tcPr>
            <w:tcW w:w="2091" w:type="dxa"/>
            <w:shd w:val="clear" w:color="auto" w:fill="auto"/>
          </w:tcPr>
          <w:p w14:paraId="730FDF46" w14:textId="77777777" w:rsidR="000D07EA" w:rsidRDefault="00BE7C89">
            <w:pPr>
              <w:pStyle w:val="BodyText"/>
              <w:spacing w:before="100" w:after="100"/>
              <w:jc w:val="center"/>
              <w:rPr>
                <w:rFonts w:eastAsia="Calibri"/>
              </w:rPr>
            </w:pPr>
            <w:r>
              <w:rPr>
                <w:rFonts w:eastAsia="Calibri"/>
              </w:rPr>
              <w:t>Thailand</w:t>
            </w:r>
          </w:p>
        </w:tc>
      </w:tr>
      <w:tr w:rsidR="000D07EA" w14:paraId="77685531" w14:textId="77777777">
        <w:tc>
          <w:tcPr>
            <w:tcW w:w="2090" w:type="dxa"/>
            <w:shd w:val="clear" w:color="auto" w:fill="auto"/>
          </w:tcPr>
          <w:p w14:paraId="5B91A3D9" w14:textId="77777777" w:rsidR="000D07EA" w:rsidRDefault="00BE7C89">
            <w:pPr>
              <w:pStyle w:val="BodyText"/>
              <w:spacing w:before="100" w:after="100"/>
              <w:jc w:val="center"/>
              <w:rPr>
                <w:rFonts w:eastAsia="Calibri"/>
              </w:rPr>
            </w:pPr>
            <w:r>
              <w:rPr>
                <w:rFonts w:eastAsia="Calibri"/>
              </w:rPr>
              <w:t>Turkey</w:t>
            </w:r>
          </w:p>
        </w:tc>
        <w:tc>
          <w:tcPr>
            <w:tcW w:w="2091" w:type="dxa"/>
            <w:shd w:val="clear" w:color="auto" w:fill="auto"/>
          </w:tcPr>
          <w:p w14:paraId="7D4794B2" w14:textId="77777777" w:rsidR="000D07EA" w:rsidRDefault="00BE7C89">
            <w:pPr>
              <w:pStyle w:val="BodyText"/>
              <w:spacing w:before="100" w:after="100"/>
              <w:jc w:val="center"/>
              <w:rPr>
                <w:rFonts w:eastAsia="Calibri"/>
              </w:rPr>
            </w:pPr>
            <w:r>
              <w:rPr>
                <w:rFonts w:eastAsia="Calibri"/>
              </w:rPr>
              <w:t>United Kingdom</w:t>
            </w:r>
          </w:p>
        </w:tc>
        <w:tc>
          <w:tcPr>
            <w:tcW w:w="2091" w:type="dxa"/>
            <w:shd w:val="clear" w:color="auto" w:fill="auto"/>
          </w:tcPr>
          <w:p w14:paraId="3E205AD7" w14:textId="77777777" w:rsidR="000D07EA" w:rsidRDefault="00BE7C89">
            <w:pPr>
              <w:pStyle w:val="BodyText"/>
              <w:spacing w:before="100" w:after="100"/>
              <w:jc w:val="center"/>
              <w:rPr>
                <w:rFonts w:eastAsia="Calibri"/>
              </w:rPr>
            </w:pPr>
            <w:r>
              <w:rPr>
                <w:rFonts w:eastAsia="Calibri"/>
              </w:rPr>
              <w:t>USA</w:t>
            </w:r>
          </w:p>
        </w:tc>
        <w:tc>
          <w:tcPr>
            <w:tcW w:w="2091" w:type="dxa"/>
            <w:shd w:val="clear" w:color="auto" w:fill="auto"/>
          </w:tcPr>
          <w:p w14:paraId="7A49AC6A" w14:textId="77777777" w:rsidR="000D07EA" w:rsidRDefault="00BE7C89">
            <w:pPr>
              <w:pStyle w:val="BodyText"/>
              <w:spacing w:before="100" w:after="100"/>
              <w:jc w:val="center"/>
              <w:rPr>
                <w:rFonts w:eastAsia="Calibri"/>
              </w:rPr>
            </w:pPr>
            <w:r>
              <w:rPr>
                <w:rFonts w:eastAsia="Calibri"/>
              </w:rPr>
              <w:t>Vietnam</w:t>
            </w:r>
          </w:p>
        </w:tc>
      </w:tr>
    </w:tbl>
    <w:p w14:paraId="78992E36" w14:textId="77777777" w:rsidR="000D07EA" w:rsidRDefault="000D07EA">
      <w:pPr>
        <w:pStyle w:val="BodyText"/>
      </w:pPr>
    </w:p>
    <w:p w14:paraId="278EBFBC" w14:textId="77777777" w:rsidR="000D07EA" w:rsidRDefault="00BE7C89">
      <w:pPr>
        <w:pStyle w:val="Heading6"/>
        <w:ind w:left="0" w:firstLine="0"/>
      </w:pPr>
      <w:bookmarkStart w:id="969" w:name="_Toc418070738"/>
      <w:bookmarkStart w:id="970" w:name="_Toc419724311"/>
      <w:r>
        <w:lastRenderedPageBreak/>
        <w:t>My Account</w:t>
      </w:r>
      <w:bookmarkEnd w:id="969"/>
      <w:bookmarkEnd w:id="970"/>
    </w:p>
    <w:p w14:paraId="2A5E5B5A" w14:textId="77777777" w:rsidR="000D07EA" w:rsidRDefault="00BE7C89">
      <w:pPr>
        <w:pStyle w:val="BodyText"/>
        <w:ind w:left="72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service has used. If </w:t>
      </w:r>
      <w:r>
        <w:rPr>
          <w:i/>
        </w:rPr>
        <w:t>you</w:t>
      </w:r>
      <w:r>
        <w:t xml:space="preserve"> have more than 6 services on </w:t>
      </w:r>
      <w:r>
        <w:rPr>
          <w:i/>
        </w:rPr>
        <w:t xml:space="preserve">your </w:t>
      </w:r>
      <w:r>
        <w:t xml:space="preserve">account, My Account may not be suitable for viewing usage and managing </w:t>
      </w:r>
      <w:r>
        <w:rPr>
          <w:i/>
        </w:rPr>
        <w:t xml:space="preserve">your </w:t>
      </w:r>
      <w:r>
        <w:t>usage alerts.</w:t>
      </w:r>
    </w:p>
    <w:p w14:paraId="00E34D30" w14:textId="77777777" w:rsidR="000D07EA" w:rsidRDefault="00BE7C89">
      <w:pPr>
        <w:pStyle w:val="Heading6"/>
        <w:ind w:left="0" w:firstLine="0"/>
      </w:pPr>
      <w:bookmarkStart w:id="971" w:name="_Toc418070739"/>
      <w:bookmarkStart w:id="972" w:name="_Toc419724312"/>
      <w:r>
        <w:t xml:space="preserve">What happens if the </w:t>
      </w:r>
      <w:r>
        <w:rPr>
          <w:i/>
        </w:rPr>
        <w:t xml:space="preserve">service </w:t>
      </w:r>
      <w:r>
        <w:t>is</w:t>
      </w:r>
      <w:r>
        <w:rPr>
          <w:i/>
        </w:rPr>
        <w:t xml:space="preserve"> cancelled</w:t>
      </w:r>
      <w:r>
        <w:t>?</w:t>
      </w:r>
      <w:bookmarkEnd w:id="971"/>
      <w:bookmarkEnd w:id="972"/>
    </w:p>
    <w:p w14:paraId="2B14D479" w14:textId="77777777" w:rsidR="000D07EA" w:rsidRDefault="00BE7C89">
      <w:pPr>
        <w:pStyle w:val="Heading7"/>
      </w:pPr>
      <w:r>
        <w:t xml:space="preserve">If </w:t>
      </w:r>
      <w:r>
        <w:rPr>
          <w:i/>
        </w:rPr>
        <w:t>your</w:t>
      </w:r>
      <w:r>
        <w:t xml:space="preserve"> My Plan Plus SIM Only plan is </w:t>
      </w:r>
      <w:r>
        <w:rPr>
          <w:i/>
        </w:rPr>
        <w:t>cancelled</w:t>
      </w:r>
      <w:r>
        <w:t xml:space="preserve">, </w:t>
      </w:r>
      <w:r>
        <w:rPr>
          <w:i/>
        </w:rPr>
        <w:t>your</w:t>
      </w:r>
      <w:r>
        <w:t xml:space="preserve"> Shared Data Plan(s) may also be </w:t>
      </w:r>
      <w:r>
        <w:rPr>
          <w:i/>
        </w:rPr>
        <w:t>cancelled</w:t>
      </w:r>
      <w:r>
        <w:t xml:space="preserve">. There are no </w:t>
      </w:r>
      <w:r>
        <w:rPr>
          <w:i/>
        </w:rPr>
        <w:t>cancellation fees</w:t>
      </w:r>
      <w:r>
        <w:t xml:space="preserve"> for the Shared Data Plan, however if </w:t>
      </w:r>
      <w:r>
        <w:rPr>
          <w:i/>
        </w:rPr>
        <w:t>you</w:t>
      </w:r>
      <w:r>
        <w:t xml:space="preserve"> purchased a </w:t>
      </w:r>
      <w:r>
        <w:rPr>
          <w:i/>
        </w:rPr>
        <w:t>device</w:t>
      </w:r>
      <w:r>
        <w:t xml:space="preserve"> </w:t>
      </w:r>
      <w:r>
        <w:rPr>
          <w:i/>
        </w:rPr>
        <w:t>you</w:t>
      </w:r>
      <w:r>
        <w:t xml:space="preserve"> need to pay the sum of any remaining </w:t>
      </w:r>
      <w:r>
        <w:rPr>
          <w:i/>
        </w:rPr>
        <w:t xml:space="preserve">equipment charges </w:t>
      </w:r>
      <w:r>
        <w:t xml:space="preserve">owing on </w:t>
      </w:r>
      <w:r>
        <w:rPr>
          <w:i/>
        </w:rPr>
        <w:t xml:space="preserve">your device </w:t>
      </w:r>
      <w:r>
        <w:t xml:space="preserve">under the </w:t>
      </w:r>
      <w:r>
        <w:rPr>
          <w:i/>
        </w:rPr>
        <w:t xml:space="preserve">mobile equipment payment plan </w:t>
      </w:r>
      <w:r>
        <w:t>(see Appendix D).</w:t>
      </w:r>
    </w:p>
    <w:p w14:paraId="5927FBFA" w14:textId="77777777" w:rsidR="000D07EA" w:rsidRDefault="00BE7C89">
      <w:pPr>
        <w:pStyle w:val="Heading7"/>
      </w:pPr>
      <w:r>
        <w:t xml:space="preserve">If </w:t>
      </w:r>
      <w:r>
        <w:rPr>
          <w:i/>
        </w:rPr>
        <w:t xml:space="preserve">your </w:t>
      </w:r>
      <w:r>
        <w:t xml:space="preserve">Shared Data Plan is not </w:t>
      </w:r>
      <w:r>
        <w:rPr>
          <w:i/>
        </w:rPr>
        <w:t>cancelled</w:t>
      </w:r>
      <w:r>
        <w:t xml:space="preserve">, </w:t>
      </w:r>
      <w:r>
        <w:rPr>
          <w:i/>
        </w:rPr>
        <w:t>you</w:t>
      </w:r>
      <w:r>
        <w:t xml:space="preserve"> will be charged $10 per 1GB within Australia, up to a maximum of 60GB (per account) in a billing month.</w:t>
      </w:r>
    </w:p>
    <w:p w14:paraId="6DFA78E0" w14:textId="77777777" w:rsidR="000D07EA" w:rsidRPr="00334B99" w:rsidRDefault="00BE7C89">
      <w:pPr>
        <w:pStyle w:val="Heading4"/>
      </w:pPr>
      <w:bookmarkStart w:id="973" w:name="_Toc62644657"/>
      <w:bookmarkStart w:id="974" w:name="_Toc420501442"/>
      <w:bookmarkStart w:id="975" w:name="_Toc425946557"/>
      <w:bookmarkStart w:id="976" w:name="_Toc428375205"/>
      <w:bookmarkStart w:id="977" w:name="_Toc455147637"/>
      <w:r w:rsidRPr="00334B99">
        <w:t>My Plan Plus</w:t>
      </w:r>
      <w:bookmarkEnd w:id="973"/>
    </w:p>
    <w:p w14:paraId="3CFC23CF" w14:textId="77777777" w:rsidR="000D07EA" w:rsidRDefault="00BE7C89">
      <w:pPr>
        <w:pStyle w:val="BodyText"/>
        <w:ind w:left="720"/>
      </w:pPr>
      <w:r>
        <w:t xml:space="preserve">This section relates to the following plans. </w:t>
      </w:r>
      <w:r>
        <w:rPr>
          <w:i/>
        </w:rPr>
        <w:t>You</w:t>
      </w:r>
      <w:r>
        <w:t xml:space="preserve"> can find </w:t>
      </w:r>
      <w:r>
        <w:rPr>
          <w:i/>
        </w:rPr>
        <w:t>your</w:t>
      </w:r>
      <w:r>
        <w:t xml:space="preserve"> Plan ID on </w:t>
      </w:r>
      <w:r>
        <w:rPr>
          <w:i/>
        </w:rPr>
        <w:t>your</w:t>
      </w:r>
      <w:r>
        <w:t xml:space="preserve"> bill under the Mobile Number Summary section:</w:t>
      </w:r>
    </w:p>
    <w:tbl>
      <w:tblPr>
        <w:tblW w:w="730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436"/>
        <w:gridCol w:w="2226"/>
        <w:gridCol w:w="2646"/>
      </w:tblGrid>
      <w:tr w:rsidR="000D07EA" w14:paraId="43A4A585" w14:textId="77777777" w:rsidTr="00536F8B">
        <w:trPr>
          <w:trHeight w:val="58"/>
        </w:trPr>
        <w:tc>
          <w:tcPr>
            <w:tcW w:w="2436" w:type="dxa"/>
            <w:shd w:val="clear" w:color="auto" w:fill="auto"/>
          </w:tcPr>
          <w:p w14:paraId="2FF68E8C" w14:textId="77777777" w:rsidR="000D07EA" w:rsidRDefault="00BE7C89">
            <w:pPr>
              <w:pStyle w:val="BodyText"/>
              <w:spacing w:before="100" w:after="100"/>
              <w:rPr>
                <w:b/>
              </w:rPr>
            </w:pPr>
            <w:r>
              <w:rPr>
                <w:b/>
              </w:rPr>
              <w:t>Plan</w:t>
            </w:r>
          </w:p>
        </w:tc>
        <w:tc>
          <w:tcPr>
            <w:tcW w:w="2226" w:type="dxa"/>
            <w:shd w:val="clear" w:color="auto" w:fill="auto"/>
          </w:tcPr>
          <w:p w14:paraId="20C75C3D" w14:textId="77777777" w:rsidR="000D07EA" w:rsidRDefault="00BE7C89">
            <w:pPr>
              <w:pStyle w:val="BodyText"/>
              <w:spacing w:before="100" w:after="100"/>
              <w:rPr>
                <w:b/>
              </w:rPr>
            </w:pPr>
            <w:r>
              <w:rPr>
                <w:b/>
              </w:rPr>
              <w:t>Plan ID</w:t>
            </w:r>
          </w:p>
        </w:tc>
        <w:tc>
          <w:tcPr>
            <w:tcW w:w="2646" w:type="dxa"/>
            <w:shd w:val="clear" w:color="auto" w:fill="auto"/>
          </w:tcPr>
          <w:p w14:paraId="1B2A5FA9" w14:textId="77777777" w:rsidR="000D07EA" w:rsidRDefault="00BE7C89">
            <w:pPr>
              <w:pStyle w:val="BodyText"/>
              <w:spacing w:before="100" w:after="100"/>
              <w:rPr>
                <w:b/>
              </w:rPr>
            </w:pPr>
            <w:r>
              <w:rPr>
                <w:b/>
              </w:rPr>
              <w:t>Available</w:t>
            </w:r>
          </w:p>
        </w:tc>
      </w:tr>
      <w:tr w:rsidR="000D07EA" w14:paraId="2E5805EB" w14:textId="77777777" w:rsidTr="00536F8B">
        <w:trPr>
          <w:trHeight w:val="58"/>
        </w:trPr>
        <w:tc>
          <w:tcPr>
            <w:tcW w:w="2436" w:type="dxa"/>
            <w:shd w:val="clear" w:color="auto" w:fill="auto"/>
          </w:tcPr>
          <w:p w14:paraId="1E6EB1F7" w14:textId="77777777" w:rsidR="000D07EA" w:rsidRDefault="00BE7C89">
            <w:pPr>
              <w:pStyle w:val="BodyText"/>
              <w:spacing w:before="100" w:after="100"/>
            </w:pPr>
            <w:r>
              <w:t>$40 My Plan Plus</w:t>
            </w:r>
          </w:p>
        </w:tc>
        <w:tc>
          <w:tcPr>
            <w:tcW w:w="2226" w:type="dxa"/>
            <w:shd w:val="clear" w:color="auto" w:fill="auto"/>
            <w:vAlign w:val="center"/>
          </w:tcPr>
          <w:p w14:paraId="17AE119F" w14:textId="77777777" w:rsidR="000D07EA" w:rsidRDefault="00BE7C89">
            <w:pPr>
              <w:pStyle w:val="BodyText"/>
              <w:spacing w:before="100" w:after="100"/>
            </w:pPr>
            <w:r>
              <w:t>800245</w:t>
            </w:r>
            <w:r w:rsidR="003C574B">
              <w:t>, 8375724</w:t>
            </w:r>
          </w:p>
        </w:tc>
        <w:tc>
          <w:tcPr>
            <w:tcW w:w="2646" w:type="dxa"/>
            <w:shd w:val="clear" w:color="auto" w:fill="auto"/>
          </w:tcPr>
          <w:p w14:paraId="0BE6BFC8" w14:textId="77777777" w:rsidR="000D07EA" w:rsidRDefault="00BE7C89">
            <w:pPr>
              <w:pStyle w:val="BodyText"/>
              <w:spacing w:before="100" w:after="100"/>
            </w:pPr>
            <w:r>
              <w:t>7 April 2015 - 26 April 2015</w:t>
            </w:r>
          </w:p>
        </w:tc>
      </w:tr>
      <w:tr w:rsidR="000D07EA" w14:paraId="5A47F412" w14:textId="77777777" w:rsidTr="00536F8B">
        <w:trPr>
          <w:trHeight w:val="58"/>
        </w:trPr>
        <w:tc>
          <w:tcPr>
            <w:tcW w:w="2436" w:type="dxa"/>
            <w:shd w:val="clear" w:color="auto" w:fill="auto"/>
          </w:tcPr>
          <w:p w14:paraId="01E7CCEF" w14:textId="77777777" w:rsidR="000D07EA" w:rsidRDefault="00BE7C89">
            <w:pPr>
              <w:pStyle w:val="BodyText"/>
              <w:spacing w:before="100" w:after="100"/>
            </w:pPr>
            <w:r>
              <w:t>$60 My Plan Plus</w:t>
            </w:r>
          </w:p>
        </w:tc>
        <w:tc>
          <w:tcPr>
            <w:tcW w:w="2226" w:type="dxa"/>
            <w:shd w:val="clear" w:color="auto" w:fill="auto"/>
            <w:vAlign w:val="center"/>
          </w:tcPr>
          <w:p w14:paraId="34ADA805" w14:textId="77777777" w:rsidR="000D07EA" w:rsidRDefault="00BE7C89">
            <w:pPr>
              <w:pStyle w:val="BodyText"/>
              <w:spacing w:before="100" w:after="100"/>
            </w:pPr>
            <w:r>
              <w:t>800246</w:t>
            </w:r>
            <w:r w:rsidR="003C574B">
              <w:t>, 8375734</w:t>
            </w:r>
          </w:p>
        </w:tc>
        <w:tc>
          <w:tcPr>
            <w:tcW w:w="2646" w:type="dxa"/>
            <w:shd w:val="clear" w:color="auto" w:fill="auto"/>
            <w:vAlign w:val="center"/>
          </w:tcPr>
          <w:p w14:paraId="05138E55" w14:textId="77777777" w:rsidR="000D07EA" w:rsidRDefault="00BE7C89">
            <w:pPr>
              <w:pStyle w:val="BodyText"/>
              <w:spacing w:before="100" w:after="100"/>
            </w:pPr>
            <w:r>
              <w:t>7 April 2015 - 26 April 2015</w:t>
            </w:r>
          </w:p>
        </w:tc>
      </w:tr>
      <w:tr w:rsidR="000D07EA" w14:paraId="7F42D5F4" w14:textId="77777777" w:rsidTr="00536F8B">
        <w:trPr>
          <w:trHeight w:val="58"/>
        </w:trPr>
        <w:tc>
          <w:tcPr>
            <w:tcW w:w="2436" w:type="dxa"/>
            <w:shd w:val="clear" w:color="auto" w:fill="auto"/>
          </w:tcPr>
          <w:p w14:paraId="156B424A" w14:textId="77777777" w:rsidR="000D07EA" w:rsidRDefault="00BE7C89">
            <w:pPr>
              <w:pStyle w:val="BodyText"/>
              <w:spacing w:before="100" w:after="100"/>
            </w:pPr>
            <w:r>
              <w:t>$80 My Plan Plus</w:t>
            </w:r>
          </w:p>
        </w:tc>
        <w:tc>
          <w:tcPr>
            <w:tcW w:w="2226" w:type="dxa"/>
            <w:shd w:val="clear" w:color="auto" w:fill="auto"/>
            <w:vAlign w:val="center"/>
          </w:tcPr>
          <w:p w14:paraId="4EDACC00" w14:textId="77777777" w:rsidR="000D07EA" w:rsidRDefault="00BE7C89">
            <w:pPr>
              <w:pStyle w:val="BodyText"/>
              <w:spacing w:before="100" w:after="100"/>
            </w:pPr>
            <w:r>
              <w:t>800247</w:t>
            </w:r>
            <w:r w:rsidR="003C574B">
              <w:t>, 8375744</w:t>
            </w:r>
          </w:p>
        </w:tc>
        <w:tc>
          <w:tcPr>
            <w:tcW w:w="2646" w:type="dxa"/>
            <w:shd w:val="clear" w:color="auto" w:fill="auto"/>
            <w:vAlign w:val="center"/>
          </w:tcPr>
          <w:p w14:paraId="3AD101E7" w14:textId="77777777" w:rsidR="000D07EA" w:rsidRDefault="00BE7C89">
            <w:pPr>
              <w:pStyle w:val="BodyText"/>
              <w:spacing w:before="100" w:after="100"/>
            </w:pPr>
            <w:r>
              <w:t>7 April 2015 - 26 April 2015</w:t>
            </w:r>
          </w:p>
        </w:tc>
      </w:tr>
      <w:tr w:rsidR="000D07EA" w14:paraId="595858C4" w14:textId="77777777" w:rsidTr="00536F8B">
        <w:trPr>
          <w:trHeight w:val="58"/>
        </w:trPr>
        <w:tc>
          <w:tcPr>
            <w:tcW w:w="2436" w:type="dxa"/>
            <w:shd w:val="clear" w:color="auto" w:fill="auto"/>
          </w:tcPr>
          <w:p w14:paraId="4216E614" w14:textId="77777777" w:rsidR="000D07EA" w:rsidRDefault="00BE7C89">
            <w:pPr>
              <w:pStyle w:val="BodyText"/>
              <w:spacing w:before="100" w:after="100"/>
            </w:pPr>
            <w:r>
              <w:t>$100 My Plan Plus</w:t>
            </w:r>
          </w:p>
        </w:tc>
        <w:tc>
          <w:tcPr>
            <w:tcW w:w="2226" w:type="dxa"/>
            <w:shd w:val="clear" w:color="auto" w:fill="auto"/>
            <w:vAlign w:val="center"/>
          </w:tcPr>
          <w:p w14:paraId="03857199" w14:textId="77777777" w:rsidR="000D07EA" w:rsidRDefault="00BE7C89">
            <w:pPr>
              <w:pStyle w:val="BodyText"/>
              <w:spacing w:before="100" w:after="100"/>
            </w:pPr>
            <w:r>
              <w:t>800248</w:t>
            </w:r>
            <w:r w:rsidR="003C574B">
              <w:t>, 8375754</w:t>
            </w:r>
          </w:p>
        </w:tc>
        <w:tc>
          <w:tcPr>
            <w:tcW w:w="2646" w:type="dxa"/>
            <w:shd w:val="clear" w:color="auto" w:fill="auto"/>
            <w:vAlign w:val="center"/>
          </w:tcPr>
          <w:p w14:paraId="3163B660" w14:textId="77777777" w:rsidR="000D07EA" w:rsidRDefault="00BE7C89">
            <w:pPr>
              <w:pStyle w:val="BodyText"/>
              <w:spacing w:before="100" w:after="100"/>
            </w:pPr>
            <w:r>
              <w:t>7 April 2015 – 26 April 2015</w:t>
            </w:r>
          </w:p>
        </w:tc>
      </w:tr>
    </w:tbl>
    <w:p w14:paraId="2D523384" w14:textId="77777777" w:rsidR="000D07EA" w:rsidRDefault="000D07EA">
      <w:pPr>
        <w:pStyle w:val="BodyText"/>
      </w:pPr>
    </w:p>
    <w:p w14:paraId="458F2066" w14:textId="77777777" w:rsidR="000D07EA" w:rsidRDefault="00BE7C89">
      <w:pPr>
        <w:pStyle w:val="Heading6"/>
      </w:pPr>
      <w:r>
        <w:t>Eligibility</w:t>
      </w:r>
    </w:p>
    <w:p w14:paraId="1EDAD3E8" w14:textId="77777777" w:rsidR="000D07EA" w:rsidRDefault="00BE7C89">
      <w:pPr>
        <w:pStyle w:val="BodyText"/>
        <w:ind w:left="720"/>
      </w:pPr>
      <w:r>
        <w:t xml:space="preserve">The My Plan Plus plans were available to new and existing mobile customers connecting to the </w:t>
      </w:r>
      <w:r>
        <w:rPr>
          <w:i/>
        </w:rPr>
        <w:t>service</w:t>
      </w:r>
      <w:r>
        <w:t xml:space="preserve"> who pass Optus' credit assessment.</w:t>
      </w:r>
    </w:p>
    <w:p w14:paraId="4C001F82" w14:textId="77777777" w:rsidR="000D07EA" w:rsidRDefault="00BE7C89">
      <w:pPr>
        <w:pStyle w:val="BodyText"/>
        <w:ind w:left="720"/>
      </w:pPr>
      <w:r>
        <w:t>Optus Service Providers' customers are not eligible to apply.</w:t>
      </w:r>
    </w:p>
    <w:p w14:paraId="3BC588DB" w14:textId="77777777" w:rsidR="000D07EA" w:rsidRDefault="00BE7C89">
      <w:pPr>
        <w:pStyle w:val="BodyText"/>
        <w:ind w:left="720"/>
      </w:pPr>
      <w:r>
        <w:t>These plans aren't compatible for data use with BlackBerry handsets on operating systems of 7.1 or earlier.</w:t>
      </w:r>
    </w:p>
    <w:p w14:paraId="2420101A" w14:textId="77777777" w:rsidR="000D07EA" w:rsidRDefault="00BE7C89">
      <w:pPr>
        <w:pStyle w:val="Heading6"/>
      </w:pPr>
      <w:r>
        <w:t>Minimum Term</w:t>
      </w:r>
    </w:p>
    <w:p w14:paraId="7D16876A" w14:textId="77777777" w:rsidR="000D07EA" w:rsidRDefault="00BE7C89">
      <w:pPr>
        <w:pStyle w:val="BodyText"/>
        <w:ind w:left="720"/>
      </w:pPr>
      <w:r>
        <w:t xml:space="preserve">These </w:t>
      </w:r>
      <w:r>
        <w:rPr>
          <w:i/>
        </w:rPr>
        <w:t xml:space="preserve">plans </w:t>
      </w:r>
      <w:r>
        <w:t xml:space="preserve">have a </w:t>
      </w:r>
      <w:r>
        <w:rPr>
          <w:i/>
        </w:rPr>
        <w:t>fixed length agreement</w:t>
      </w:r>
      <w:r>
        <w:t xml:space="preserve"> with a 24 month </w:t>
      </w:r>
      <w:r>
        <w:rPr>
          <w:i/>
        </w:rPr>
        <w:t>minimum term</w:t>
      </w:r>
      <w:r>
        <w:t>.</w:t>
      </w:r>
    </w:p>
    <w:p w14:paraId="6455E2C5" w14:textId="77777777" w:rsidR="000D07EA" w:rsidRDefault="00BE7C89">
      <w:pPr>
        <w:pStyle w:val="Heading6"/>
      </w:pPr>
      <w:r>
        <w:t>What you have to pay us</w:t>
      </w:r>
    </w:p>
    <w:p w14:paraId="4DE983BF" w14:textId="77777777" w:rsidR="000D07EA" w:rsidRDefault="00BE7C89">
      <w:pPr>
        <w:pStyle w:val="Heading7"/>
      </w:pPr>
      <w:r>
        <w:rPr>
          <w:i/>
        </w:rPr>
        <w:t xml:space="preserve">You </w:t>
      </w:r>
      <w:r>
        <w:t xml:space="preserve">must pay </w:t>
      </w:r>
      <w:r>
        <w:rPr>
          <w:i/>
        </w:rPr>
        <w:t xml:space="preserve">us </w:t>
      </w:r>
      <w:r>
        <w:t xml:space="preserve">for use of the </w:t>
      </w:r>
      <w:r>
        <w:rPr>
          <w:i/>
        </w:rPr>
        <w:t xml:space="preserve">service </w:t>
      </w:r>
      <w:r>
        <w:t xml:space="preserve">at the rates set out in Section 1 of this </w:t>
      </w:r>
      <w:r>
        <w:rPr>
          <w:i/>
        </w:rPr>
        <w:t>standard pricing table</w:t>
      </w:r>
      <w:r>
        <w:t xml:space="preserve"> and for value added service features at the rates set out in </w:t>
      </w:r>
      <w:hyperlink r:id="rId582" w:history="1">
        <w:r>
          <w:rPr>
            <w:rStyle w:val="Hyperlink"/>
            <w:i/>
          </w:rPr>
          <w:t>Appendix Y Value Added Service Features</w:t>
        </w:r>
      </w:hyperlink>
      <w:r>
        <w:t>.</w:t>
      </w:r>
    </w:p>
    <w:p w14:paraId="12700A9C" w14:textId="77777777" w:rsidR="000D07EA" w:rsidRDefault="00BE7C89">
      <w:pPr>
        <w:pStyle w:val="Heading7"/>
      </w:pPr>
      <w:r>
        <w:t>If there is a flagfall for a particular call type, the charge for these calls is the flagfall amount plus the relevant rate for the call multiplied by the duration of the call.</w:t>
      </w:r>
    </w:p>
    <w:p w14:paraId="6F53BC70" w14:textId="77777777" w:rsidR="000D07EA" w:rsidRDefault="00BE7C89">
      <w:pPr>
        <w:pStyle w:val="Heading7"/>
        <w:rPr>
          <w:b/>
        </w:rPr>
      </w:pPr>
      <w:r>
        <w:rPr>
          <w:b/>
        </w:rPr>
        <w:t>Minimum Monthly Charge</w:t>
      </w:r>
    </w:p>
    <w:p w14:paraId="7A71169C" w14:textId="77777777" w:rsidR="000D07EA" w:rsidRDefault="00BE7C89">
      <w:pPr>
        <w:pStyle w:val="Heading8"/>
      </w:pPr>
      <w:r>
        <w:lastRenderedPageBreak/>
        <w:t>Each My Plan Plus has a Minimum Monthly Charge amount that you must pay us each month as set out in Table 1 below.</w:t>
      </w:r>
    </w:p>
    <w:p w14:paraId="5F7D5DAC" w14:textId="77777777" w:rsidR="000D07EA" w:rsidRDefault="00BE7C89">
      <w:pPr>
        <w:pStyle w:val="Heading8"/>
      </w:pPr>
      <w:r>
        <w:t xml:space="preserve">You may purchase a mobile phone (or 'handset') with a 24 month equipment term under a mobile equipment payment plan (set out in </w:t>
      </w:r>
      <w:hyperlink r:id="rId583" w:history="1">
        <w:r w:rsidRPr="005855A1">
          <w:rPr>
            <w:rStyle w:val="Hyperlink"/>
            <w:i/>
          </w:rPr>
          <w:t>Appendix D</w:t>
        </w:r>
      </w:hyperlink>
      <w:r>
        <w:t>) on a 24 month fixed-length agreement.</w:t>
      </w:r>
    </w:p>
    <w:p w14:paraId="677F8B30" w14:textId="77777777" w:rsidR="000D07EA" w:rsidRDefault="00BE7C89">
      <w:pPr>
        <w:pStyle w:val="Heading6"/>
      </w:pPr>
      <w:r>
        <w:t>How My Plan Plus works</w:t>
      </w:r>
    </w:p>
    <w:p w14:paraId="230BAC5F" w14:textId="77777777" w:rsidR="000D07EA" w:rsidRDefault="00BE7C89">
      <w:pPr>
        <w:pStyle w:val="Heading7"/>
      </w:pPr>
      <w:r>
        <w:t xml:space="preserve">Each My Plan Plus has unlimited minutes to use on standard national calls to landlines and mobiles, 13/1300 numbers and voicemail retrievals and Included Data (for mobile internet use) to share with up to 5 additional mobile broadband devices as well as other mobile services on a My Plan Plus/My Plan Business (including SIM Only) plan on the same account. These plans also include unlimited standard national SMS/MMS and unlimited standard International SMS/MMS to selected countries. The $60/$80/$100 plans have an amount of included international minutes to use on standard international calls to selected countries. </w:t>
      </w:r>
    </w:p>
    <w:p w14:paraId="11E07CA0" w14:textId="77777777" w:rsidR="000D07EA" w:rsidRDefault="00BE7C89">
      <w:pPr>
        <w:pStyle w:val="Heading7"/>
      </w:pPr>
      <w:r>
        <w:t>Data usage is calculated in one kilobyte increments. International minutes are billed in one minute increments.</w:t>
      </w:r>
    </w:p>
    <w:p w14:paraId="6C19BDDF" w14:textId="77777777" w:rsidR="000D07EA" w:rsidRDefault="00BE7C89">
      <w:pPr>
        <w:pStyle w:val="Heading7"/>
      </w:pPr>
      <w:r>
        <w:t xml:space="preserve">If </w:t>
      </w:r>
      <w:r>
        <w:rPr>
          <w:i/>
        </w:rPr>
        <w:t>you</w:t>
      </w:r>
      <w:r>
        <w:t xml:space="preserve"> exceed </w:t>
      </w:r>
      <w:r>
        <w:rPr>
          <w:i/>
        </w:rPr>
        <w:t>your plan's</w:t>
      </w:r>
      <w:r>
        <w:t xml:space="preserve"> Included Data, </w:t>
      </w:r>
      <w:r>
        <w:rPr>
          <w:i/>
        </w:rPr>
        <w:t>you</w:t>
      </w:r>
      <w:r>
        <w:t xml:space="preserve"> will automatically get more data in 1GB increments ("</w:t>
      </w:r>
      <w:r>
        <w:rPr>
          <w:b/>
        </w:rPr>
        <w:t>Additional Data</w:t>
      </w:r>
      <w:r>
        <w:t>"), and be charged $10 per 1GB.</w:t>
      </w:r>
    </w:p>
    <w:p w14:paraId="3295F33F" w14:textId="77777777" w:rsidR="000D07EA" w:rsidRDefault="00BE7C89">
      <w:pPr>
        <w:pStyle w:val="Heading7"/>
      </w:pPr>
      <w:r>
        <w:t xml:space="preserve">Any unused portion of </w:t>
      </w:r>
      <w:r>
        <w:rPr>
          <w:i/>
        </w:rPr>
        <w:t>your plan's</w:t>
      </w:r>
      <w:r>
        <w:t xml:space="preserve"> Included or Additional Data or International Minutes expires at the end of each month and does not roll over into the next month.</w:t>
      </w:r>
    </w:p>
    <w:p w14:paraId="3DA18CA2" w14:textId="77777777" w:rsidR="000D07EA" w:rsidRDefault="00BE7C89">
      <w:pPr>
        <w:pStyle w:val="Heading7"/>
      </w:pPr>
      <w:r>
        <w:rPr>
          <w:i/>
        </w:rPr>
        <w:t>You</w:t>
      </w:r>
      <w:r>
        <w:t xml:space="preserve"> must pay </w:t>
      </w:r>
      <w:r>
        <w:rPr>
          <w:i/>
        </w:rPr>
        <w:t>us</w:t>
      </w:r>
      <w:r>
        <w:t xml:space="preserve"> for use of any services that are not included in </w:t>
      </w:r>
      <w:r>
        <w:rPr>
          <w:i/>
        </w:rPr>
        <w:t>your</w:t>
      </w:r>
      <w:r>
        <w:t xml:space="preserve"> plan's inclusions, examples of which are set out in Table 2 below.</w:t>
      </w:r>
    </w:p>
    <w:p w14:paraId="799CE708" w14:textId="77777777" w:rsidR="000D07EA" w:rsidRDefault="00BE7C89">
      <w:pPr>
        <w:pStyle w:val="Heading6"/>
      </w:pPr>
      <w:r>
        <w:t>Data Sharing</w:t>
      </w:r>
    </w:p>
    <w:p w14:paraId="1358295A" w14:textId="77777777" w:rsidR="000D07EA" w:rsidRDefault="00BE7C89">
      <w:pPr>
        <w:pStyle w:val="Heading7"/>
      </w:pPr>
      <w:r>
        <w:rPr>
          <w:i/>
        </w:rPr>
        <w:t>You</w:t>
      </w:r>
      <w:r>
        <w:t xml:space="preserve"> can share the Included Data in </w:t>
      </w:r>
      <w:r>
        <w:rPr>
          <w:i/>
        </w:rPr>
        <w:t>your</w:t>
      </w:r>
      <w:r>
        <w:t xml:space="preserve"> My Plan Plus plan with up to five (5) SIM-ready mobile broadband devices (eg tablets, USB modems and laptops). </w:t>
      </w:r>
      <w:r>
        <w:rPr>
          <w:i/>
        </w:rPr>
        <w:t>You</w:t>
      </w:r>
      <w:r>
        <w:t xml:space="preserve"> must connect these mobile broadband devices to Shared Data Plans which have a $5 set up fee each and no ongoing monthly charges. </w:t>
      </w:r>
    </w:p>
    <w:p w14:paraId="38371685" w14:textId="77777777" w:rsidR="000D07EA" w:rsidRDefault="00BE7C89">
      <w:pPr>
        <w:pStyle w:val="Heading7"/>
      </w:pPr>
      <w:r>
        <w:rPr>
          <w:i/>
        </w:rPr>
        <w:t>We</w:t>
      </w:r>
      <w:r>
        <w:t xml:space="preserve"> may place a limit on the number of Shared Data Plans </w:t>
      </w:r>
      <w:r>
        <w:rPr>
          <w:i/>
        </w:rPr>
        <w:t>you</w:t>
      </w:r>
      <w:r>
        <w:t xml:space="preserve"> can have, based on </w:t>
      </w:r>
      <w:r>
        <w:rPr>
          <w:i/>
        </w:rPr>
        <w:t>our</w:t>
      </w:r>
      <w:r>
        <w:t xml:space="preserve"> credit criteria.</w:t>
      </w:r>
    </w:p>
    <w:p w14:paraId="3467C854" w14:textId="77777777" w:rsidR="000D07EA" w:rsidRDefault="00BE7C89">
      <w:pPr>
        <w:pStyle w:val="Heading7"/>
      </w:pPr>
      <w:r>
        <w:t>Shared Data Plans do not have any Included Data, and cannot be used to make calls.</w:t>
      </w:r>
    </w:p>
    <w:p w14:paraId="0C7D1A75" w14:textId="77777777" w:rsidR="000D07EA" w:rsidRDefault="00BE7C89">
      <w:pPr>
        <w:pStyle w:val="Heading7"/>
      </w:pPr>
      <w:r>
        <w:rPr>
          <w:i/>
        </w:rPr>
        <w:t xml:space="preserve">You </w:t>
      </w:r>
      <w:r>
        <w:t xml:space="preserve">can purchase one mobile broadband device per Shared Data Plan, and pay for it in full on </w:t>
      </w:r>
      <w:r>
        <w:rPr>
          <w:i/>
        </w:rPr>
        <w:t xml:space="preserve">your </w:t>
      </w:r>
      <w:r>
        <w:t xml:space="preserve">first bill, or pay it off over 12 or 24 months on a </w:t>
      </w:r>
      <w:r>
        <w:rPr>
          <w:i/>
        </w:rPr>
        <w:t>Mobile Equipment Payment Plan</w:t>
      </w:r>
      <w:r>
        <w:t xml:space="preserve"> (see Appendix D).</w:t>
      </w:r>
    </w:p>
    <w:p w14:paraId="366CA91C" w14:textId="77777777" w:rsidR="000D07EA" w:rsidRDefault="00BE7C89">
      <w:pPr>
        <w:pStyle w:val="Heading7"/>
      </w:pPr>
      <w:r>
        <w:rPr>
          <w:i/>
        </w:rPr>
        <w:t>You</w:t>
      </w:r>
      <w:r>
        <w:t xml:space="preserve"> can share the Included Data in </w:t>
      </w:r>
      <w:r>
        <w:rPr>
          <w:i/>
        </w:rPr>
        <w:t>your</w:t>
      </w:r>
      <w:r>
        <w:t xml:space="preserve"> My Plan Plus plan with other mobiles on </w:t>
      </w:r>
      <w:r>
        <w:rPr>
          <w:i/>
        </w:rPr>
        <w:t>your</w:t>
      </w:r>
      <w:r>
        <w:t xml:space="preserve"> account which are also on My Plan Plus/My Plan Business (including SIM Only) plans. </w:t>
      </w:r>
    </w:p>
    <w:p w14:paraId="01A07044" w14:textId="77777777" w:rsidR="000D07EA" w:rsidRDefault="00BE7C89">
      <w:pPr>
        <w:pStyle w:val="Heading7"/>
      </w:pPr>
      <w:r>
        <w:t xml:space="preserve">If </w:t>
      </w:r>
      <w:r>
        <w:rPr>
          <w:i/>
        </w:rPr>
        <w:t>you</w:t>
      </w:r>
      <w:r>
        <w:t xml:space="preserve"> have more than one of these </w:t>
      </w:r>
      <w:r>
        <w:rPr>
          <w:i/>
        </w:rPr>
        <w:t>plans</w:t>
      </w:r>
      <w:r>
        <w:t xml:space="preserve">, the Included Data on each of the </w:t>
      </w:r>
      <w:r>
        <w:rPr>
          <w:i/>
        </w:rPr>
        <w:t>plans</w:t>
      </w:r>
      <w:r>
        <w:t xml:space="preserve"> adds together (data pool) for the mobiles to all use, and for any additional mobile broadband devices on Shared Data Plans to use. </w:t>
      </w:r>
    </w:p>
    <w:p w14:paraId="02FF930F" w14:textId="77777777" w:rsidR="000D07EA" w:rsidRDefault="00BE7C89">
      <w:pPr>
        <w:pStyle w:val="Heading7"/>
      </w:pPr>
      <w:r>
        <w:t xml:space="preserve">If </w:t>
      </w:r>
      <w:r>
        <w:rPr>
          <w:i/>
        </w:rPr>
        <w:t>you</w:t>
      </w:r>
      <w:r>
        <w:t xml:space="preserve"> do not want </w:t>
      </w:r>
      <w:r>
        <w:rPr>
          <w:i/>
        </w:rPr>
        <w:t>your</w:t>
      </w:r>
      <w:r>
        <w:t xml:space="preserve"> services to share data, they need to be on separate billing accounts, or </w:t>
      </w:r>
      <w:r>
        <w:rPr>
          <w:i/>
        </w:rPr>
        <w:t>you</w:t>
      </w:r>
      <w:r>
        <w:t xml:space="preserve"> can connect </w:t>
      </w:r>
      <w:r>
        <w:rPr>
          <w:i/>
        </w:rPr>
        <w:t>your</w:t>
      </w:r>
      <w:r>
        <w:t xml:space="preserve"> mobile broadband device to a standalone Mobile Broadband Plan.</w:t>
      </w:r>
    </w:p>
    <w:p w14:paraId="21B95C53" w14:textId="77777777" w:rsidR="000D07EA" w:rsidRDefault="00BE7C89">
      <w:pPr>
        <w:pStyle w:val="Heading7"/>
      </w:pPr>
      <w:r>
        <w:t>Data sharing is only available within Australia.</w:t>
      </w:r>
    </w:p>
    <w:p w14:paraId="5F17B221" w14:textId="77777777" w:rsidR="000D07EA" w:rsidRDefault="00BE7C89">
      <w:pPr>
        <w:pStyle w:val="Heading6"/>
      </w:pPr>
      <w:r>
        <w:t>International Minutes</w:t>
      </w:r>
    </w:p>
    <w:p w14:paraId="2B19829B" w14:textId="77777777" w:rsidR="000D07EA" w:rsidRDefault="00BE7C89">
      <w:pPr>
        <w:pStyle w:val="BodyText"/>
        <w:ind w:left="720"/>
      </w:pPr>
      <w:r>
        <w:t>The $60/$80/$100 My Plan Plus includes up to 150/300/300 international minutes (respectively) for standard calls to mobiles and fixed lines in selected countries. For a list of selected countries see Table 3 below.</w:t>
      </w:r>
    </w:p>
    <w:p w14:paraId="0CB4319A" w14:textId="77777777" w:rsidR="000D07EA" w:rsidRDefault="00BE7C89">
      <w:pPr>
        <w:pStyle w:val="BodyText"/>
        <w:ind w:left="720"/>
      </w:pPr>
      <w:r>
        <w:lastRenderedPageBreak/>
        <w:t xml:space="preserve">Calls are charged per minute. When included minutes for calls to selected countries are used up, standard 'yes' international call charges apply. </w:t>
      </w:r>
    </w:p>
    <w:p w14:paraId="77DFAABF" w14:textId="77777777" w:rsidR="000D07EA" w:rsidRDefault="00BE7C89">
      <w:pPr>
        <w:pStyle w:val="Heading6"/>
      </w:pPr>
      <w:r>
        <w:t>Unlimited standard national SMS and MMS</w:t>
      </w:r>
    </w:p>
    <w:p w14:paraId="5AA65E5E" w14:textId="77777777" w:rsidR="000D07EA" w:rsidRDefault="00BE7C89">
      <w:pPr>
        <w:pStyle w:val="BodyText"/>
        <w:ind w:left="720"/>
      </w:pPr>
      <w:r>
        <w:rPr>
          <w:i/>
        </w:rPr>
        <w:t>You</w:t>
      </w:r>
      <w:r>
        <w:t xml:space="preserve"> may send unlimited standard SMS and MMS to Australian mobiles from within Australia.</w:t>
      </w:r>
    </w:p>
    <w:p w14:paraId="3B7F1517" w14:textId="77777777" w:rsidR="000D07EA" w:rsidRDefault="00BE7C89">
      <w:pPr>
        <w:pStyle w:val="BodyText"/>
        <w:ind w:left="720"/>
      </w:pPr>
      <w:r>
        <w:t xml:space="preserve">Unlimited standard national SMS and MMS are only available for personal use and are not to be used for a commercial or non-ordinary purpose as set out in the </w:t>
      </w:r>
      <w:hyperlink r:id="rId584" w:history="1">
        <w:r w:rsidRPr="009A4616">
          <w:rPr>
            <w:rStyle w:val="Hyperlink"/>
            <w:i/>
          </w:rPr>
          <w:t>Fair Go Policy</w:t>
        </w:r>
        <w:r w:rsidRPr="009A4616">
          <w:rPr>
            <w:rStyle w:val="Hyperlink"/>
          </w:rPr>
          <w:t>.</w:t>
        </w:r>
      </w:hyperlink>
      <w:r>
        <w:t xml:space="preserve"> For further details refer to</w:t>
      </w:r>
      <w:r>
        <w:rPr>
          <w:i/>
        </w:rPr>
        <w:t xml:space="preserve"> </w:t>
      </w:r>
      <w:hyperlink r:id="rId585" w:history="1">
        <w:r w:rsidR="00334B99">
          <w:rPr>
            <w:rStyle w:val="Hyperlink"/>
            <w:i/>
          </w:rPr>
          <w:t>Appendix S</w:t>
        </w:r>
      </w:hyperlink>
      <w:r>
        <w:t>.</w:t>
      </w:r>
    </w:p>
    <w:p w14:paraId="1558DE23" w14:textId="77777777" w:rsidR="000D07EA" w:rsidRDefault="00BE7C89">
      <w:pPr>
        <w:pStyle w:val="Heading6"/>
      </w:pPr>
      <w:r>
        <w:t>Unlimited standard international SMS and MMS</w:t>
      </w:r>
    </w:p>
    <w:p w14:paraId="0D4EA2D5" w14:textId="77777777" w:rsidR="000D07EA" w:rsidRDefault="00BE7C89">
      <w:pPr>
        <w:pStyle w:val="BodyText"/>
        <w:ind w:left="720"/>
      </w:pPr>
      <w:r>
        <w:rPr>
          <w:i/>
        </w:rPr>
        <w:t>You</w:t>
      </w:r>
      <w:r>
        <w:t xml:space="preserve"> may send unlimited standard SMS and MMS to selected countries set out in Table 3 below.</w:t>
      </w:r>
    </w:p>
    <w:p w14:paraId="1CC98F1C" w14:textId="77777777" w:rsidR="000D07EA" w:rsidRDefault="00BE7C89">
      <w:pPr>
        <w:pStyle w:val="BodyText"/>
        <w:ind w:left="720"/>
      </w:pPr>
      <w:r>
        <w:t xml:space="preserve">Unlimited standard SMS and MMS are only available for personal use and are not to be used for a commercial or non-ordinary purpose as set out in the Fair Go Policy. For further details refer to </w:t>
      </w:r>
      <w:hyperlink r:id="rId586" w:history="1">
        <w:r w:rsidR="00334B99">
          <w:rPr>
            <w:rStyle w:val="Hyperlink"/>
            <w:i/>
          </w:rPr>
          <w:t>Appendix S</w:t>
        </w:r>
      </w:hyperlink>
      <w:r>
        <w:t>.</w:t>
      </w:r>
    </w:p>
    <w:p w14:paraId="7B83F4D1" w14:textId="77777777" w:rsidR="000D07EA" w:rsidRDefault="00BE7C89">
      <w:pPr>
        <w:pStyle w:val="Heading6"/>
      </w:pPr>
      <w:r>
        <w:t>Additional benefit - Handset Credit</w:t>
      </w:r>
    </w:p>
    <w:p w14:paraId="1053F95A" w14:textId="77777777" w:rsidR="000D07EA" w:rsidRDefault="00BE7C89">
      <w:pPr>
        <w:pStyle w:val="Heading7"/>
      </w:pPr>
      <w:r>
        <w:rPr>
          <w:i/>
        </w:rPr>
        <w:t>When you</w:t>
      </w:r>
      <w:r>
        <w:t xml:space="preserve"> connect to a My Plan Plus which has a monthly phone credit ('Handset Credit') each month for </w:t>
      </w:r>
      <w:r>
        <w:rPr>
          <w:i/>
        </w:rPr>
        <w:t>your minimum term</w:t>
      </w:r>
      <w:r>
        <w:t xml:space="preserve">, this will reduce the monthly repayment costs of the handset </w:t>
      </w:r>
      <w:r>
        <w:rPr>
          <w:i/>
        </w:rPr>
        <w:t xml:space="preserve">you </w:t>
      </w:r>
      <w:r>
        <w:t xml:space="preserve">have chosen with </w:t>
      </w:r>
      <w:r>
        <w:rPr>
          <w:i/>
        </w:rPr>
        <w:t>your pricing plan</w:t>
      </w:r>
      <w:r>
        <w:t xml:space="preserve">. </w:t>
      </w:r>
    </w:p>
    <w:p w14:paraId="0091BC41" w14:textId="77777777" w:rsidR="000D07EA" w:rsidRDefault="00BE7C89">
      <w:pPr>
        <w:pStyle w:val="Heading7"/>
      </w:pPr>
      <w:r>
        <w:t xml:space="preserve">If </w:t>
      </w:r>
      <w:r>
        <w:rPr>
          <w:i/>
        </w:rPr>
        <w:t>you cancel your pricing plan</w:t>
      </w:r>
      <w:r>
        <w:t xml:space="preserve"> or the </w:t>
      </w:r>
      <w:r>
        <w:rPr>
          <w:i/>
        </w:rPr>
        <w:t>mobile equipment payment plan</w:t>
      </w:r>
      <w:r>
        <w:t xml:space="preserve"> during </w:t>
      </w:r>
      <w:r>
        <w:rPr>
          <w:i/>
        </w:rPr>
        <w:t>your minimum term</w:t>
      </w:r>
      <w:r>
        <w:t xml:space="preserve">, </w:t>
      </w:r>
      <w:r>
        <w:rPr>
          <w:i/>
        </w:rPr>
        <w:t xml:space="preserve">you </w:t>
      </w:r>
      <w:r>
        <w:t xml:space="preserve">will no longer be entitled to these Handset Credits and </w:t>
      </w:r>
      <w:r>
        <w:rPr>
          <w:i/>
        </w:rPr>
        <w:t xml:space="preserve">you </w:t>
      </w:r>
      <w:r>
        <w:t xml:space="preserve">must pay the remaining handset repayments in full in addition to any </w:t>
      </w:r>
      <w:r>
        <w:rPr>
          <w:i/>
        </w:rPr>
        <w:t>cancellation fee</w:t>
      </w:r>
      <w:r>
        <w:t>.</w:t>
      </w:r>
    </w:p>
    <w:p w14:paraId="71EFB2D2" w14:textId="77777777" w:rsidR="000D07EA" w:rsidRDefault="00BE7C89">
      <w:pPr>
        <w:pStyle w:val="BodyText"/>
        <w:ind w:left="720"/>
        <w:rPr>
          <w:b/>
        </w:rPr>
      </w:pPr>
      <w:r>
        <w:rPr>
          <w:b/>
        </w:rPr>
        <w:t>Table 1 -Plan Inclusions and Charges</w:t>
      </w:r>
    </w:p>
    <w:tbl>
      <w:tblPr>
        <w:tblW w:w="4632"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568"/>
        <w:gridCol w:w="1718"/>
        <w:gridCol w:w="1718"/>
        <w:gridCol w:w="1718"/>
        <w:gridCol w:w="1716"/>
      </w:tblGrid>
      <w:tr w:rsidR="000D07EA" w14:paraId="4C19C086" w14:textId="77777777">
        <w:trPr>
          <w:trHeight w:val="58"/>
        </w:trPr>
        <w:tc>
          <w:tcPr>
            <w:tcW w:w="1361" w:type="pct"/>
            <w:shd w:val="clear" w:color="auto" w:fill="auto"/>
          </w:tcPr>
          <w:p w14:paraId="13AC1EC0" w14:textId="77777777" w:rsidR="000D07EA" w:rsidRDefault="000D07EA">
            <w:pPr>
              <w:pStyle w:val="BodyText"/>
              <w:spacing w:before="100" w:after="100"/>
            </w:pPr>
          </w:p>
        </w:tc>
        <w:tc>
          <w:tcPr>
            <w:tcW w:w="910" w:type="pct"/>
            <w:vAlign w:val="center"/>
          </w:tcPr>
          <w:p w14:paraId="4D245F86" w14:textId="77777777" w:rsidR="000D07EA" w:rsidRDefault="00BE7C89">
            <w:pPr>
              <w:pStyle w:val="BodyText"/>
              <w:spacing w:before="100" w:after="100"/>
              <w:rPr>
                <w:b/>
              </w:rPr>
            </w:pPr>
            <w:r>
              <w:rPr>
                <w:b/>
              </w:rPr>
              <w:t>$35 My Plan Plus</w:t>
            </w:r>
          </w:p>
        </w:tc>
        <w:tc>
          <w:tcPr>
            <w:tcW w:w="910" w:type="pct"/>
            <w:shd w:val="clear" w:color="auto" w:fill="auto"/>
            <w:vAlign w:val="center"/>
          </w:tcPr>
          <w:p w14:paraId="0771853B" w14:textId="77777777" w:rsidR="000D07EA" w:rsidRDefault="00BE7C89">
            <w:pPr>
              <w:pStyle w:val="BodyText"/>
              <w:spacing w:before="100" w:after="100"/>
              <w:rPr>
                <w:b/>
              </w:rPr>
            </w:pPr>
            <w:r>
              <w:rPr>
                <w:b/>
              </w:rPr>
              <w:t>$60 My Plan Plus</w:t>
            </w:r>
          </w:p>
        </w:tc>
        <w:tc>
          <w:tcPr>
            <w:tcW w:w="910" w:type="pct"/>
            <w:shd w:val="clear" w:color="auto" w:fill="auto"/>
            <w:vAlign w:val="center"/>
          </w:tcPr>
          <w:p w14:paraId="2910CAFA" w14:textId="77777777" w:rsidR="000D07EA" w:rsidRDefault="00BE7C89">
            <w:pPr>
              <w:pStyle w:val="BodyText"/>
              <w:spacing w:before="100" w:after="100"/>
              <w:rPr>
                <w:b/>
              </w:rPr>
            </w:pPr>
            <w:r>
              <w:rPr>
                <w:b/>
              </w:rPr>
              <w:t>$80 My Plan Plus</w:t>
            </w:r>
          </w:p>
        </w:tc>
        <w:tc>
          <w:tcPr>
            <w:tcW w:w="910" w:type="pct"/>
            <w:vAlign w:val="center"/>
          </w:tcPr>
          <w:p w14:paraId="0447A88C" w14:textId="77777777" w:rsidR="000D07EA" w:rsidRDefault="00BE7C89">
            <w:pPr>
              <w:pStyle w:val="BodyText"/>
              <w:spacing w:before="100" w:after="100"/>
              <w:rPr>
                <w:b/>
              </w:rPr>
            </w:pPr>
            <w:r>
              <w:rPr>
                <w:b/>
              </w:rPr>
              <w:t>$100 My Plan Plus</w:t>
            </w:r>
          </w:p>
        </w:tc>
      </w:tr>
      <w:tr w:rsidR="000D07EA" w14:paraId="2432AB86" w14:textId="77777777">
        <w:trPr>
          <w:trHeight w:val="58"/>
        </w:trPr>
        <w:tc>
          <w:tcPr>
            <w:tcW w:w="1361" w:type="pct"/>
            <w:shd w:val="clear" w:color="auto" w:fill="auto"/>
          </w:tcPr>
          <w:p w14:paraId="12FBC154" w14:textId="77777777" w:rsidR="000D07EA" w:rsidRDefault="00BE7C89">
            <w:pPr>
              <w:pStyle w:val="BodyText"/>
              <w:spacing w:before="100" w:after="100"/>
            </w:pPr>
            <w:r>
              <w:rPr>
                <w:b/>
                <w:bCs/>
              </w:rPr>
              <w:t>Minimum Monthly charge</w:t>
            </w:r>
          </w:p>
        </w:tc>
        <w:tc>
          <w:tcPr>
            <w:tcW w:w="910" w:type="pct"/>
            <w:vAlign w:val="center"/>
          </w:tcPr>
          <w:p w14:paraId="5F347587" w14:textId="77777777" w:rsidR="000D07EA" w:rsidRDefault="00BE7C89">
            <w:pPr>
              <w:pStyle w:val="BodyText"/>
              <w:spacing w:before="100" w:after="100"/>
              <w:jc w:val="center"/>
            </w:pPr>
            <w:r>
              <w:t>$40</w:t>
            </w:r>
          </w:p>
        </w:tc>
        <w:tc>
          <w:tcPr>
            <w:tcW w:w="910" w:type="pct"/>
            <w:shd w:val="clear" w:color="auto" w:fill="auto"/>
            <w:vAlign w:val="center"/>
          </w:tcPr>
          <w:p w14:paraId="7A8D96DA" w14:textId="77777777" w:rsidR="000D07EA" w:rsidRDefault="00BE7C89">
            <w:pPr>
              <w:pStyle w:val="BodyText"/>
              <w:spacing w:before="100" w:after="100"/>
              <w:jc w:val="center"/>
            </w:pPr>
            <w:r>
              <w:t>$60</w:t>
            </w:r>
          </w:p>
        </w:tc>
        <w:tc>
          <w:tcPr>
            <w:tcW w:w="910" w:type="pct"/>
            <w:shd w:val="clear" w:color="auto" w:fill="auto"/>
            <w:vAlign w:val="center"/>
          </w:tcPr>
          <w:p w14:paraId="24E12F18" w14:textId="77777777" w:rsidR="000D07EA" w:rsidRDefault="00BE7C89">
            <w:pPr>
              <w:pStyle w:val="BodyText"/>
              <w:spacing w:before="100" w:after="100"/>
              <w:jc w:val="center"/>
            </w:pPr>
            <w:r>
              <w:t>$80</w:t>
            </w:r>
          </w:p>
        </w:tc>
        <w:tc>
          <w:tcPr>
            <w:tcW w:w="910" w:type="pct"/>
            <w:vAlign w:val="center"/>
          </w:tcPr>
          <w:p w14:paraId="6DD875F8" w14:textId="77777777" w:rsidR="000D07EA" w:rsidRDefault="00BE7C89">
            <w:pPr>
              <w:pStyle w:val="BodyText"/>
              <w:spacing w:before="100" w:after="100"/>
              <w:jc w:val="center"/>
            </w:pPr>
            <w:r>
              <w:t>$100</w:t>
            </w:r>
          </w:p>
        </w:tc>
      </w:tr>
      <w:tr w:rsidR="000D07EA" w14:paraId="707A48F1" w14:textId="77777777">
        <w:trPr>
          <w:trHeight w:val="58"/>
        </w:trPr>
        <w:tc>
          <w:tcPr>
            <w:tcW w:w="1361" w:type="pct"/>
            <w:shd w:val="clear" w:color="auto" w:fill="auto"/>
          </w:tcPr>
          <w:p w14:paraId="46EAF40B" w14:textId="77777777" w:rsidR="000D07EA" w:rsidRDefault="00BE7C89">
            <w:pPr>
              <w:pStyle w:val="BodyText"/>
              <w:spacing w:before="100" w:after="100"/>
            </w:pPr>
            <w:r>
              <w:rPr>
                <w:b/>
                <w:bCs/>
              </w:rPr>
              <w:t>Included Data</w:t>
            </w:r>
          </w:p>
        </w:tc>
        <w:tc>
          <w:tcPr>
            <w:tcW w:w="910" w:type="pct"/>
            <w:vAlign w:val="center"/>
          </w:tcPr>
          <w:p w14:paraId="3EA124F6" w14:textId="77777777" w:rsidR="000D07EA" w:rsidRDefault="00BE7C89">
            <w:pPr>
              <w:pStyle w:val="BodyText"/>
              <w:spacing w:before="100" w:after="100"/>
              <w:jc w:val="center"/>
            </w:pPr>
            <w:r>
              <w:t>500MB</w:t>
            </w:r>
          </w:p>
        </w:tc>
        <w:tc>
          <w:tcPr>
            <w:tcW w:w="910" w:type="pct"/>
            <w:shd w:val="clear" w:color="auto" w:fill="auto"/>
            <w:vAlign w:val="center"/>
          </w:tcPr>
          <w:p w14:paraId="4713B879" w14:textId="77777777" w:rsidR="000D07EA" w:rsidRDefault="00BE7C89">
            <w:pPr>
              <w:pStyle w:val="BodyText"/>
              <w:spacing w:before="100" w:after="100"/>
              <w:jc w:val="center"/>
            </w:pPr>
            <w:r>
              <w:t>3GB</w:t>
            </w:r>
          </w:p>
        </w:tc>
        <w:tc>
          <w:tcPr>
            <w:tcW w:w="910" w:type="pct"/>
            <w:shd w:val="clear" w:color="auto" w:fill="auto"/>
            <w:vAlign w:val="center"/>
          </w:tcPr>
          <w:p w14:paraId="5A98E242" w14:textId="77777777" w:rsidR="000D07EA" w:rsidRDefault="00BE7C89">
            <w:pPr>
              <w:pStyle w:val="BodyText"/>
              <w:spacing w:before="100" w:after="100"/>
              <w:jc w:val="center"/>
            </w:pPr>
            <w:r>
              <w:t>6GB</w:t>
            </w:r>
          </w:p>
        </w:tc>
        <w:tc>
          <w:tcPr>
            <w:tcW w:w="910" w:type="pct"/>
            <w:vAlign w:val="center"/>
          </w:tcPr>
          <w:p w14:paraId="362CD1D2" w14:textId="77777777" w:rsidR="000D07EA" w:rsidRDefault="00BE7C89">
            <w:pPr>
              <w:pStyle w:val="BodyText"/>
              <w:spacing w:before="100" w:after="100"/>
              <w:jc w:val="center"/>
            </w:pPr>
            <w:r>
              <w:t>10GB</w:t>
            </w:r>
          </w:p>
        </w:tc>
      </w:tr>
      <w:tr w:rsidR="000D07EA" w14:paraId="15722E14" w14:textId="77777777">
        <w:trPr>
          <w:trHeight w:val="58"/>
        </w:trPr>
        <w:tc>
          <w:tcPr>
            <w:tcW w:w="1361" w:type="pct"/>
            <w:shd w:val="clear" w:color="auto" w:fill="auto"/>
          </w:tcPr>
          <w:p w14:paraId="1E4D35B9" w14:textId="77777777" w:rsidR="000D07EA" w:rsidRDefault="00BE7C89">
            <w:pPr>
              <w:pStyle w:val="BodyText"/>
              <w:spacing w:before="100" w:after="100"/>
              <w:rPr>
                <w:szCs w:val="20"/>
              </w:rPr>
            </w:pPr>
            <w:r>
              <w:rPr>
                <w:b/>
                <w:bCs/>
              </w:rPr>
              <w:t xml:space="preserve">Included Minutes </w:t>
            </w:r>
            <w:r>
              <w:rPr>
                <w:szCs w:val="20"/>
              </w:rPr>
              <w:t>for standard national calls to landlines and mobiles, 1300 numbers and voicemail, within Australia</w:t>
            </w:r>
          </w:p>
        </w:tc>
        <w:tc>
          <w:tcPr>
            <w:tcW w:w="910" w:type="pct"/>
            <w:vAlign w:val="center"/>
          </w:tcPr>
          <w:p w14:paraId="1312AA8A" w14:textId="77777777" w:rsidR="000D07EA" w:rsidRDefault="00BE7C89">
            <w:pPr>
              <w:pStyle w:val="BodyText"/>
              <w:spacing w:before="100" w:after="100"/>
              <w:jc w:val="center"/>
            </w:pPr>
            <w:r>
              <w:t>Unlimited</w:t>
            </w:r>
          </w:p>
        </w:tc>
        <w:tc>
          <w:tcPr>
            <w:tcW w:w="910" w:type="pct"/>
            <w:shd w:val="clear" w:color="auto" w:fill="auto"/>
            <w:vAlign w:val="center"/>
          </w:tcPr>
          <w:p w14:paraId="4E2529AD" w14:textId="77777777" w:rsidR="000D07EA" w:rsidRDefault="00BE7C89">
            <w:pPr>
              <w:pStyle w:val="BodyText"/>
              <w:spacing w:before="100" w:after="100"/>
              <w:jc w:val="center"/>
            </w:pPr>
            <w:r>
              <w:t>Unlimited</w:t>
            </w:r>
          </w:p>
        </w:tc>
        <w:tc>
          <w:tcPr>
            <w:tcW w:w="910" w:type="pct"/>
            <w:shd w:val="clear" w:color="auto" w:fill="auto"/>
            <w:vAlign w:val="center"/>
          </w:tcPr>
          <w:p w14:paraId="02BCBEDF" w14:textId="77777777" w:rsidR="000D07EA" w:rsidRDefault="00BE7C89">
            <w:pPr>
              <w:pStyle w:val="BodyText"/>
              <w:spacing w:before="100" w:after="100"/>
              <w:jc w:val="center"/>
            </w:pPr>
            <w:r>
              <w:t>Unlimited</w:t>
            </w:r>
          </w:p>
        </w:tc>
        <w:tc>
          <w:tcPr>
            <w:tcW w:w="910" w:type="pct"/>
            <w:vAlign w:val="center"/>
          </w:tcPr>
          <w:p w14:paraId="1DF32F81" w14:textId="77777777" w:rsidR="000D07EA" w:rsidRDefault="00BE7C89">
            <w:pPr>
              <w:pStyle w:val="BodyText"/>
              <w:spacing w:before="100" w:after="100"/>
              <w:jc w:val="center"/>
            </w:pPr>
            <w:r>
              <w:t>Unlimited</w:t>
            </w:r>
          </w:p>
        </w:tc>
      </w:tr>
      <w:tr w:rsidR="000D07EA" w14:paraId="546D92BC" w14:textId="77777777">
        <w:trPr>
          <w:trHeight w:val="449"/>
        </w:trPr>
        <w:tc>
          <w:tcPr>
            <w:tcW w:w="1361" w:type="pct"/>
            <w:shd w:val="clear" w:color="auto" w:fill="auto"/>
          </w:tcPr>
          <w:p w14:paraId="585E60F3" w14:textId="77777777" w:rsidR="000D07EA" w:rsidRDefault="00BE7C89">
            <w:pPr>
              <w:pStyle w:val="BodyText"/>
              <w:spacing w:before="100" w:after="100"/>
              <w:rPr>
                <w:b/>
                <w:bCs/>
              </w:rPr>
            </w:pPr>
            <w:r>
              <w:rPr>
                <w:b/>
                <w:bCs/>
              </w:rPr>
              <w:t>Included International Minutes</w:t>
            </w:r>
          </w:p>
          <w:p w14:paraId="37BA2025" w14:textId="77777777" w:rsidR="000D07EA" w:rsidRDefault="00BE7C89">
            <w:pPr>
              <w:pStyle w:val="BodyText"/>
              <w:spacing w:before="100" w:after="100"/>
              <w:rPr>
                <w:b/>
                <w:bCs/>
              </w:rPr>
            </w:pPr>
            <w:r>
              <w:rPr>
                <w:szCs w:val="20"/>
              </w:rPr>
              <w:t>Standard international calls to landlines and mobiles to selected countries</w:t>
            </w:r>
          </w:p>
        </w:tc>
        <w:tc>
          <w:tcPr>
            <w:tcW w:w="910" w:type="pct"/>
            <w:vAlign w:val="center"/>
          </w:tcPr>
          <w:p w14:paraId="7A700B6C" w14:textId="77777777" w:rsidR="000D07EA" w:rsidRDefault="00BE7C89">
            <w:pPr>
              <w:pStyle w:val="BodyText"/>
              <w:spacing w:before="100" w:after="100"/>
              <w:jc w:val="center"/>
            </w:pPr>
            <w:r>
              <w:t>Not included</w:t>
            </w:r>
          </w:p>
        </w:tc>
        <w:tc>
          <w:tcPr>
            <w:tcW w:w="910" w:type="pct"/>
            <w:shd w:val="clear" w:color="auto" w:fill="auto"/>
            <w:vAlign w:val="center"/>
          </w:tcPr>
          <w:p w14:paraId="37732239" w14:textId="77777777" w:rsidR="000D07EA" w:rsidRDefault="00BE7C89">
            <w:pPr>
              <w:pStyle w:val="BodyText"/>
              <w:spacing w:before="100" w:after="100"/>
              <w:jc w:val="center"/>
            </w:pPr>
            <w:r>
              <w:rPr>
                <w:bCs/>
              </w:rPr>
              <w:t>Up to 150 mins</w:t>
            </w:r>
          </w:p>
        </w:tc>
        <w:tc>
          <w:tcPr>
            <w:tcW w:w="910" w:type="pct"/>
            <w:shd w:val="clear" w:color="auto" w:fill="auto"/>
            <w:vAlign w:val="center"/>
          </w:tcPr>
          <w:p w14:paraId="56F4C570" w14:textId="77777777" w:rsidR="000D07EA" w:rsidRDefault="00BE7C89">
            <w:pPr>
              <w:pStyle w:val="BodyText"/>
              <w:spacing w:before="100" w:after="100"/>
              <w:jc w:val="center"/>
            </w:pPr>
            <w:r>
              <w:rPr>
                <w:bCs/>
              </w:rPr>
              <w:t>Up to 300 mins</w:t>
            </w:r>
          </w:p>
        </w:tc>
        <w:tc>
          <w:tcPr>
            <w:tcW w:w="910" w:type="pct"/>
            <w:vAlign w:val="center"/>
          </w:tcPr>
          <w:p w14:paraId="074746A3" w14:textId="77777777" w:rsidR="000D07EA" w:rsidRDefault="00BE7C89">
            <w:pPr>
              <w:pStyle w:val="BodyText"/>
              <w:spacing w:before="100" w:after="100"/>
              <w:jc w:val="center"/>
            </w:pPr>
            <w:r>
              <w:rPr>
                <w:bCs/>
              </w:rPr>
              <w:t>Up to 300 mins</w:t>
            </w:r>
          </w:p>
        </w:tc>
      </w:tr>
      <w:tr w:rsidR="000D07EA" w14:paraId="12CB4FE0" w14:textId="77777777">
        <w:tc>
          <w:tcPr>
            <w:tcW w:w="1361" w:type="pct"/>
            <w:shd w:val="clear" w:color="auto" w:fill="auto"/>
          </w:tcPr>
          <w:p w14:paraId="0AA326FE" w14:textId="77777777" w:rsidR="000D07EA" w:rsidRDefault="00BE7C89">
            <w:pPr>
              <w:pStyle w:val="BodyText"/>
              <w:spacing w:before="100" w:after="100"/>
            </w:pPr>
            <w:r>
              <w:rPr>
                <w:b/>
                <w:bCs/>
              </w:rPr>
              <w:t xml:space="preserve">Standard national SMS </w:t>
            </w:r>
            <w:r>
              <w:rPr>
                <w:szCs w:val="20"/>
              </w:rPr>
              <w:t>(per SMS of up to 160 standard characters)</w:t>
            </w:r>
          </w:p>
        </w:tc>
        <w:tc>
          <w:tcPr>
            <w:tcW w:w="910" w:type="pct"/>
            <w:vAlign w:val="center"/>
          </w:tcPr>
          <w:p w14:paraId="301B98F2" w14:textId="77777777" w:rsidR="000D07EA" w:rsidRDefault="00BE7C89">
            <w:pPr>
              <w:pStyle w:val="BodyText"/>
              <w:spacing w:before="100" w:after="100"/>
              <w:jc w:val="center"/>
            </w:pPr>
            <w:r>
              <w:t>Unlimited</w:t>
            </w:r>
          </w:p>
        </w:tc>
        <w:tc>
          <w:tcPr>
            <w:tcW w:w="910" w:type="pct"/>
            <w:shd w:val="clear" w:color="auto" w:fill="auto"/>
            <w:vAlign w:val="center"/>
          </w:tcPr>
          <w:p w14:paraId="2DC73802" w14:textId="77777777" w:rsidR="000D07EA" w:rsidRDefault="00BE7C89">
            <w:pPr>
              <w:pStyle w:val="BodyText"/>
              <w:spacing w:before="100" w:after="100"/>
              <w:jc w:val="center"/>
            </w:pPr>
            <w:r>
              <w:t>Unlimited</w:t>
            </w:r>
          </w:p>
        </w:tc>
        <w:tc>
          <w:tcPr>
            <w:tcW w:w="910" w:type="pct"/>
            <w:shd w:val="clear" w:color="auto" w:fill="auto"/>
            <w:vAlign w:val="center"/>
          </w:tcPr>
          <w:p w14:paraId="4EBC7220" w14:textId="77777777" w:rsidR="000D07EA" w:rsidRDefault="00BE7C89">
            <w:pPr>
              <w:pStyle w:val="BodyText"/>
              <w:spacing w:before="100" w:after="100"/>
              <w:jc w:val="center"/>
            </w:pPr>
            <w:r>
              <w:t>Unlimited</w:t>
            </w:r>
          </w:p>
        </w:tc>
        <w:tc>
          <w:tcPr>
            <w:tcW w:w="910" w:type="pct"/>
            <w:vAlign w:val="center"/>
          </w:tcPr>
          <w:p w14:paraId="2E7327D1" w14:textId="77777777" w:rsidR="000D07EA" w:rsidRDefault="00BE7C89">
            <w:pPr>
              <w:pStyle w:val="BodyText"/>
              <w:spacing w:before="100" w:after="100"/>
              <w:jc w:val="center"/>
            </w:pPr>
            <w:r>
              <w:t>Unlimited</w:t>
            </w:r>
          </w:p>
        </w:tc>
      </w:tr>
      <w:tr w:rsidR="000D07EA" w14:paraId="408CB32D" w14:textId="77777777">
        <w:trPr>
          <w:trHeight w:val="58"/>
        </w:trPr>
        <w:tc>
          <w:tcPr>
            <w:tcW w:w="1361" w:type="pct"/>
            <w:shd w:val="clear" w:color="auto" w:fill="auto"/>
          </w:tcPr>
          <w:p w14:paraId="1CC3FAC7" w14:textId="77777777" w:rsidR="000D07EA" w:rsidRDefault="00BE7C89">
            <w:pPr>
              <w:pStyle w:val="BodyText"/>
              <w:spacing w:before="100" w:after="100"/>
              <w:rPr>
                <w:b/>
                <w:bCs/>
              </w:rPr>
            </w:pPr>
            <w:r>
              <w:rPr>
                <w:b/>
                <w:bCs/>
              </w:rPr>
              <w:t xml:space="preserve">Standard national MMS </w:t>
            </w:r>
            <w:r>
              <w:rPr>
                <w:szCs w:val="20"/>
              </w:rPr>
              <w:t>(per message)</w:t>
            </w:r>
          </w:p>
        </w:tc>
        <w:tc>
          <w:tcPr>
            <w:tcW w:w="910" w:type="pct"/>
            <w:vAlign w:val="center"/>
          </w:tcPr>
          <w:p w14:paraId="257852D3" w14:textId="77777777" w:rsidR="000D07EA" w:rsidRDefault="00BE7C89">
            <w:pPr>
              <w:pStyle w:val="BodyText"/>
              <w:spacing w:before="100" w:after="100"/>
              <w:jc w:val="center"/>
            </w:pPr>
            <w:r>
              <w:t>Unlimited</w:t>
            </w:r>
          </w:p>
        </w:tc>
        <w:tc>
          <w:tcPr>
            <w:tcW w:w="910" w:type="pct"/>
            <w:shd w:val="clear" w:color="auto" w:fill="auto"/>
            <w:vAlign w:val="center"/>
          </w:tcPr>
          <w:p w14:paraId="140E3AC7" w14:textId="77777777" w:rsidR="000D07EA" w:rsidRDefault="00BE7C89">
            <w:pPr>
              <w:pStyle w:val="BodyText"/>
              <w:spacing w:before="100" w:after="100"/>
              <w:jc w:val="center"/>
            </w:pPr>
            <w:r>
              <w:t>Unlimited</w:t>
            </w:r>
          </w:p>
        </w:tc>
        <w:tc>
          <w:tcPr>
            <w:tcW w:w="910" w:type="pct"/>
            <w:shd w:val="clear" w:color="auto" w:fill="auto"/>
            <w:vAlign w:val="center"/>
          </w:tcPr>
          <w:p w14:paraId="00F19AC5" w14:textId="77777777" w:rsidR="000D07EA" w:rsidRDefault="00BE7C89">
            <w:pPr>
              <w:pStyle w:val="BodyText"/>
              <w:spacing w:before="100" w:after="100"/>
              <w:jc w:val="center"/>
            </w:pPr>
            <w:r>
              <w:t>Unlimited</w:t>
            </w:r>
          </w:p>
        </w:tc>
        <w:tc>
          <w:tcPr>
            <w:tcW w:w="910" w:type="pct"/>
            <w:vAlign w:val="center"/>
          </w:tcPr>
          <w:p w14:paraId="4FCB2D11" w14:textId="77777777" w:rsidR="000D07EA" w:rsidRDefault="00BE7C89">
            <w:pPr>
              <w:pStyle w:val="BodyText"/>
              <w:spacing w:before="100" w:after="100"/>
              <w:jc w:val="center"/>
            </w:pPr>
            <w:r>
              <w:t>Unlimited</w:t>
            </w:r>
          </w:p>
        </w:tc>
      </w:tr>
      <w:tr w:rsidR="000D07EA" w14:paraId="7E6EBDCE" w14:textId="77777777">
        <w:tc>
          <w:tcPr>
            <w:tcW w:w="1361" w:type="pct"/>
            <w:shd w:val="clear" w:color="auto" w:fill="auto"/>
          </w:tcPr>
          <w:p w14:paraId="70C2AE05" w14:textId="77777777" w:rsidR="000D07EA" w:rsidRDefault="00BE7C89">
            <w:pPr>
              <w:pStyle w:val="BodyText"/>
              <w:spacing w:before="100" w:after="100"/>
              <w:rPr>
                <w:b/>
                <w:bCs/>
              </w:rPr>
            </w:pPr>
            <w:r>
              <w:rPr>
                <w:b/>
                <w:bCs/>
              </w:rPr>
              <w:t xml:space="preserve">Standard international SMS </w:t>
            </w:r>
            <w:r>
              <w:rPr>
                <w:szCs w:val="20"/>
              </w:rPr>
              <w:t xml:space="preserve">(per SMS of up to </w:t>
            </w:r>
            <w:r>
              <w:rPr>
                <w:szCs w:val="20"/>
              </w:rPr>
              <w:lastRenderedPageBreak/>
              <w:t>160 standard characters to selected countries)</w:t>
            </w:r>
          </w:p>
        </w:tc>
        <w:tc>
          <w:tcPr>
            <w:tcW w:w="910" w:type="pct"/>
            <w:vAlign w:val="center"/>
          </w:tcPr>
          <w:p w14:paraId="779AEC80" w14:textId="77777777" w:rsidR="000D07EA" w:rsidRDefault="00BE7C89">
            <w:pPr>
              <w:pStyle w:val="BodyText"/>
              <w:spacing w:before="100" w:after="100"/>
              <w:jc w:val="center"/>
            </w:pPr>
            <w:r>
              <w:lastRenderedPageBreak/>
              <w:t>Unlimited</w:t>
            </w:r>
          </w:p>
        </w:tc>
        <w:tc>
          <w:tcPr>
            <w:tcW w:w="910" w:type="pct"/>
            <w:shd w:val="clear" w:color="auto" w:fill="auto"/>
            <w:vAlign w:val="center"/>
          </w:tcPr>
          <w:p w14:paraId="0D6FDFEB" w14:textId="77777777" w:rsidR="000D07EA" w:rsidRDefault="00BE7C89">
            <w:pPr>
              <w:pStyle w:val="BodyText"/>
              <w:spacing w:before="100" w:after="100"/>
              <w:jc w:val="center"/>
            </w:pPr>
            <w:r>
              <w:t>Unlimited</w:t>
            </w:r>
          </w:p>
        </w:tc>
        <w:tc>
          <w:tcPr>
            <w:tcW w:w="910" w:type="pct"/>
            <w:shd w:val="clear" w:color="auto" w:fill="auto"/>
            <w:vAlign w:val="center"/>
          </w:tcPr>
          <w:p w14:paraId="17EDDFC3" w14:textId="77777777" w:rsidR="000D07EA" w:rsidRDefault="00BE7C89">
            <w:pPr>
              <w:pStyle w:val="BodyText"/>
              <w:spacing w:before="100" w:after="100"/>
              <w:jc w:val="center"/>
            </w:pPr>
            <w:r>
              <w:t>Unlimited</w:t>
            </w:r>
          </w:p>
        </w:tc>
        <w:tc>
          <w:tcPr>
            <w:tcW w:w="910" w:type="pct"/>
            <w:vAlign w:val="center"/>
          </w:tcPr>
          <w:p w14:paraId="1BAE07D2" w14:textId="77777777" w:rsidR="000D07EA" w:rsidRDefault="00BE7C89">
            <w:pPr>
              <w:pStyle w:val="BodyText"/>
              <w:spacing w:before="100" w:after="100"/>
              <w:jc w:val="center"/>
            </w:pPr>
            <w:r>
              <w:t>Unlimited</w:t>
            </w:r>
          </w:p>
        </w:tc>
      </w:tr>
      <w:tr w:rsidR="000D07EA" w14:paraId="51E1002F" w14:textId="77777777">
        <w:tc>
          <w:tcPr>
            <w:tcW w:w="1361" w:type="pct"/>
            <w:shd w:val="clear" w:color="auto" w:fill="auto"/>
          </w:tcPr>
          <w:p w14:paraId="797482B7" w14:textId="77777777" w:rsidR="000D07EA" w:rsidRDefault="00BE7C89">
            <w:pPr>
              <w:pStyle w:val="BodyText"/>
              <w:spacing w:before="100" w:after="100"/>
              <w:rPr>
                <w:b/>
                <w:bCs/>
                <w:szCs w:val="20"/>
              </w:rPr>
            </w:pPr>
            <w:r>
              <w:rPr>
                <w:b/>
                <w:bCs/>
              </w:rPr>
              <w:t xml:space="preserve">Standard international MMS </w:t>
            </w:r>
            <w:r>
              <w:rPr>
                <w:szCs w:val="20"/>
              </w:rPr>
              <w:t>(per message to selected countries)</w:t>
            </w:r>
          </w:p>
        </w:tc>
        <w:tc>
          <w:tcPr>
            <w:tcW w:w="910" w:type="pct"/>
            <w:vAlign w:val="center"/>
          </w:tcPr>
          <w:p w14:paraId="05C7A27E" w14:textId="77777777" w:rsidR="000D07EA" w:rsidRDefault="00BE7C89">
            <w:pPr>
              <w:pStyle w:val="BodyText"/>
              <w:spacing w:before="100" w:after="100"/>
              <w:jc w:val="center"/>
            </w:pPr>
            <w:r>
              <w:t>Unlimited</w:t>
            </w:r>
          </w:p>
        </w:tc>
        <w:tc>
          <w:tcPr>
            <w:tcW w:w="910" w:type="pct"/>
            <w:shd w:val="clear" w:color="auto" w:fill="auto"/>
            <w:vAlign w:val="center"/>
          </w:tcPr>
          <w:p w14:paraId="56B16090" w14:textId="77777777" w:rsidR="000D07EA" w:rsidRDefault="00BE7C89">
            <w:pPr>
              <w:pStyle w:val="BodyText"/>
              <w:spacing w:before="100" w:after="100"/>
              <w:jc w:val="center"/>
            </w:pPr>
            <w:r>
              <w:t>Unlimited</w:t>
            </w:r>
          </w:p>
        </w:tc>
        <w:tc>
          <w:tcPr>
            <w:tcW w:w="910" w:type="pct"/>
            <w:shd w:val="clear" w:color="auto" w:fill="auto"/>
            <w:vAlign w:val="center"/>
          </w:tcPr>
          <w:p w14:paraId="6DD25544" w14:textId="77777777" w:rsidR="000D07EA" w:rsidRDefault="00BE7C89">
            <w:pPr>
              <w:pStyle w:val="BodyText"/>
              <w:spacing w:before="100" w:after="100"/>
              <w:jc w:val="center"/>
            </w:pPr>
            <w:r>
              <w:t>Unlimited</w:t>
            </w:r>
          </w:p>
        </w:tc>
        <w:tc>
          <w:tcPr>
            <w:tcW w:w="910" w:type="pct"/>
            <w:vAlign w:val="center"/>
          </w:tcPr>
          <w:p w14:paraId="391E138E" w14:textId="77777777" w:rsidR="000D07EA" w:rsidRDefault="00BE7C89">
            <w:pPr>
              <w:pStyle w:val="BodyText"/>
              <w:spacing w:before="100" w:after="100"/>
              <w:jc w:val="center"/>
            </w:pPr>
            <w:r>
              <w:t>Unlimited</w:t>
            </w:r>
          </w:p>
        </w:tc>
      </w:tr>
      <w:tr w:rsidR="000D07EA" w14:paraId="5B5BD9E6" w14:textId="77777777">
        <w:tc>
          <w:tcPr>
            <w:tcW w:w="1361" w:type="pct"/>
            <w:shd w:val="clear" w:color="auto" w:fill="auto"/>
          </w:tcPr>
          <w:p w14:paraId="3FD0DD7F" w14:textId="77777777" w:rsidR="000D07EA" w:rsidRDefault="00BE7C89">
            <w:pPr>
              <w:pStyle w:val="BodyText"/>
              <w:spacing w:before="100" w:after="100"/>
              <w:rPr>
                <w:b/>
                <w:bCs/>
              </w:rPr>
            </w:pPr>
            <w:r>
              <w:rPr>
                <w:b/>
                <w:bCs/>
              </w:rPr>
              <w:t xml:space="preserve">Minimum total cost over 24 months </w:t>
            </w:r>
          </w:p>
        </w:tc>
        <w:tc>
          <w:tcPr>
            <w:tcW w:w="910" w:type="pct"/>
            <w:vAlign w:val="center"/>
          </w:tcPr>
          <w:p w14:paraId="4ACE237C" w14:textId="77777777" w:rsidR="000D07EA" w:rsidRDefault="00BE7C89">
            <w:pPr>
              <w:pStyle w:val="BodyText"/>
              <w:spacing w:before="100" w:after="100"/>
              <w:jc w:val="center"/>
            </w:pPr>
            <w:r>
              <w:t>$960</w:t>
            </w:r>
          </w:p>
        </w:tc>
        <w:tc>
          <w:tcPr>
            <w:tcW w:w="910" w:type="pct"/>
            <w:shd w:val="clear" w:color="auto" w:fill="auto"/>
            <w:vAlign w:val="center"/>
          </w:tcPr>
          <w:p w14:paraId="6134176C" w14:textId="77777777" w:rsidR="000D07EA" w:rsidRDefault="00BE7C89">
            <w:pPr>
              <w:pStyle w:val="BodyText"/>
              <w:spacing w:before="100" w:after="100"/>
              <w:jc w:val="center"/>
            </w:pPr>
            <w:r>
              <w:t>$1440</w:t>
            </w:r>
          </w:p>
        </w:tc>
        <w:tc>
          <w:tcPr>
            <w:tcW w:w="910" w:type="pct"/>
            <w:shd w:val="clear" w:color="auto" w:fill="auto"/>
            <w:vAlign w:val="center"/>
          </w:tcPr>
          <w:p w14:paraId="26738019" w14:textId="77777777" w:rsidR="000D07EA" w:rsidRDefault="00BE7C89">
            <w:pPr>
              <w:pStyle w:val="BodyText"/>
              <w:spacing w:before="100" w:after="100"/>
              <w:jc w:val="center"/>
            </w:pPr>
            <w:r>
              <w:t>$1920</w:t>
            </w:r>
          </w:p>
        </w:tc>
        <w:tc>
          <w:tcPr>
            <w:tcW w:w="910" w:type="pct"/>
            <w:vAlign w:val="center"/>
          </w:tcPr>
          <w:p w14:paraId="38060E35" w14:textId="77777777" w:rsidR="000D07EA" w:rsidRDefault="00BE7C89">
            <w:pPr>
              <w:pStyle w:val="BodyText"/>
              <w:spacing w:before="100" w:after="100"/>
              <w:jc w:val="center"/>
            </w:pPr>
            <w:r>
              <w:t>$2400</w:t>
            </w:r>
          </w:p>
        </w:tc>
      </w:tr>
    </w:tbl>
    <w:p w14:paraId="6DC333CE" w14:textId="77777777" w:rsidR="000D07EA" w:rsidRDefault="000D07EA">
      <w:pPr>
        <w:pStyle w:val="BodyText"/>
      </w:pPr>
    </w:p>
    <w:p w14:paraId="74A74B36" w14:textId="77777777" w:rsidR="000D07EA" w:rsidRDefault="00BE7C89">
      <w:pPr>
        <w:pStyle w:val="BodyText"/>
        <w:keepNext/>
        <w:ind w:left="720"/>
        <w:rPr>
          <w:b/>
        </w:rPr>
      </w:pPr>
      <w:r>
        <w:rPr>
          <w:b/>
        </w:rPr>
        <w:t>Table 2 - Other usage types and charges</w:t>
      </w:r>
    </w:p>
    <w:tbl>
      <w:tblPr>
        <w:tblW w:w="992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865"/>
      </w:tblGrid>
      <w:tr w:rsidR="000D07EA" w14:paraId="48F92AF7" w14:textId="77777777">
        <w:trPr>
          <w:trHeight w:val="58"/>
        </w:trPr>
        <w:tc>
          <w:tcPr>
            <w:tcW w:w="5058" w:type="dxa"/>
            <w:shd w:val="clear" w:color="auto" w:fill="auto"/>
          </w:tcPr>
          <w:p w14:paraId="50FD4DAD" w14:textId="77777777" w:rsidR="000D07EA" w:rsidRDefault="00BE7C89">
            <w:pPr>
              <w:pStyle w:val="BodyText"/>
              <w:keepNext/>
              <w:spacing w:before="100" w:after="100"/>
              <w:rPr>
                <w:b/>
              </w:rPr>
            </w:pPr>
            <w:r>
              <w:rPr>
                <w:b/>
              </w:rPr>
              <w:t>Usage type</w:t>
            </w:r>
          </w:p>
        </w:tc>
        <w:tc>
          <w:tcPr>
            <w:tcW w:w="4865" w:type="dxa"/>
            <w:shd w:val="clear" w:color="auto" w:fill="auto"/>
            <w:vAlign w:val="center"/>
          </w:tcPr>
          <w:p w14:paraId="2099D7D1" w14:textId="77777777" w:rsidR="000D07EA" w:rsidRDefault="00BE7C89">
            <w:pPr>
              <w:pStyle w:val="BodyText"/>
              <w:keepNext/>
              <w:spacing w:before="100" w:after="100"/>
              <w:jc w:val="center"/>
              <w:rPr>
                <w:b/>
              </w:rPr>
            </w:pPr>
            <w:r>
              <w:rPr>
                <w:b/>
              </w:rPr>
              <w:t>Charge</w:t>
            </w:r>
          </w:p>
        </w:tc>
      </w:tr>
      <w:tr w:rsidR="000D07EA" w14:paraId="3E488234" w14:textId="77777777">
        <w:trPr>
          <w:trHeight w:val="58"/>
        </w:trPr>
        <w:tc>
          <w:tcPr>
            <w:tcW w:w="5058" w:type="dxa"/>
            <w:shd w:val="clear" w:color="auto" w:fill="auto"/>
          </w:tcPr>
          <w:p w14:paraId="19F22EDC" w14:textId="77777777" w:rsidR="000D07EA" w:rsidRDefault="00BE7C89">
            <w:pPr>
              <w:pStyle w:val="BodyText"/>
              <w:spacing w:before="100" w:after="100"/>
              <w:rPr>
                <w:b/>
              </w:rPr>
            </w:pPr>
            <w:r>
              <w:rPr>
                <w:b/>
              </w:rPr>
              <w:t>National video calls (per minute)</w:t>
            </w:r>
          </w:p>
        </w:tc>
        <w:tc>
          <w:tcPr>
            <w:tcW w:w="4865" w:type="dxa"/>
            <w:shd w:val="clear" w:color="auto" w:fill="auto"/>
            <w:vAlign w:val="center"/>
          </w:tcPr>
          <w:p w14:paraId="7AFC5B53" w14:textId="77777777" w:rsidR="000D07EA" w:rsidRDefault="00BE7C89">
            <w:pPr>
              <w:pStyle w:val="BodyText"/>
              <w:spacing w:before="100" w:after="100"/>
              <w:jc w:val="center"/>
            </w:pPr>
            <w:r>
              <w:t>$1.00 per min + 40c flagfall</w:t>
            </w:r>
          </w:p>
        </w:tc>
      </w:tr>
      <w:tr w:rsidR="000D07EA" w14:paraId="58B221F9" w14:textId="77777777">
        <w:trPr>
          <w:trHeight w:val="58"/>
        </w:trPr>
        <w:tc>
          <w:tcPr>
            <w:tcW w:w="5058" w:type="dxa"/>
            <w:shd w:val="clear" w:color="auto" w:fill="auto"/>
          </w:tcPr>
          <w:p w14:paraId="7EB7D2E3" w14:textId="77777777" w:rsidR="000D07EA" w:rsidRDefault="00BE7C89">
            <w:pPr>
              <w:pStyle w:val="BodyText"/>
              <w:spacing w:before="100" w:after="100"/>
              <w:rPr>
                <w:b/>
              </w:rPr>
            </w:pPr>
            <w:r>
              <w:rPr>
                <w:b/>
              </w:rPr>
              <w:t xml:space="preserve">VoiceMail Deposits </w:t>
            </w:r>
          </w:p>
        </w:tc>
        <w:tc>
          <w:tcPr>
            <w:tcW w:w="4865" w:type="dxa"/>
            <w:shd w:val="clear" w:color="auto" w:fill="auto"/>
          </w:tcPr>
          <w:p w14:paraId="6D225209" w14:textId="77777777" w:rsidR="000D07EA" w:rsidRDefault="00BE7C89">
            <w:pPr>
              <w:pStyle w:val="BodyText"/>
              <w:spacing w:before="100" w:after="100"/>
              <w:jc w:val="center"/>
            </w:pPr>
            <w:r>
              <w:t>$0 per minute</w:t>
            </w:r>
          </w:p>
        </w:tc>
      </w:tr>
      <w:tr w:rsidR="000D07EA" w14:paraId="52699ACC" w14:textId="77777777">
        <w:tc>
          <w:tcPr>
            <w:tcW w:w="5058" w:type="dxa"/>
            <w:shd w:val="clear" w:color="auto" w:fill="auto"/>
          </w:tcPr>
          <w:p w14:paraId="44CE2D4A" w14:textId="77777777" w:rsidR="000D07EA" w:rsidRDefault="00BE7C89">
            <w:pPr>
              <w:pStyle w:val="BodyText"/>
              <w:spacing w:before="100" w:after="100"/>
              <w:rPr>
                <w:b/>
              </w:rPr>
            </w:pPr>
            <w:r>
              <w:rPr>
                <w:b/>
              </w:rPr>
              <w:t>Voicemail Diversions</w:t>
            </w:r>
          </w:p>
        </w:tc>
        <w:tc>
          <w:tcPr>
            <w:tcW w:w="4865" w:type="dxa"/>
            <w:shd w:val="clear" w:color="auto" w:fill="auto"/>
          </w:tcPr>
          <w:p w14:paraId="34AC55F0" w14:textId="77777777" w:rsidR="000D07EA" w:rsidRDefault="00BE7C89">
            <w:pPr>
              <w:pStyle w:val="BodyText"/>
              <w:spacing w:before="100" w:after="100"/>
              <w:jc w:val="center"/>
            </w:pPr>
            <w:r>
              <w:t>$0 per minute</w:t>
            </w:r>
          </w:p>
        </w:tc>
      </w:tr>
      <w:tr w:rsidR="000D07EA" w14:paraId="16AF0EE2" w14:textId="77777777">
        <w:tc>
          <w:tcPr>
            <w:tcW w:w="5058" w:type="dxa"/>
            <w:shd w:val="clear" w:color="auto" w:fill="auto"/>
          </w:tcPr>
          <w:p w14:paraId="3864704E" w14:textId="77777777" w:rsidR="000D07EA" w:rsidRDefault="00BE7C89">
            <w:pPr>
              <w:pStyle w:val="BodyText"/>
              <w:spacing w:before="100" w:after="100"/>
              <w:rPr>
                <w:b/>
              </w:rPr>
            </w:pPr>
            <w:r>
              <w:rPr>
                <w:b/>
              </w:rPr>
              <w:t>National Diversions</w:t>
            </w:r>
          </w:p>
        </w:tc>
        <w:tc>
          <w:tcPr>
            <w:tcW w:w="4865" w:type="dxa"/>
            <w:shd w:val="clear" w:color="auto" w:fill="auto"/>
          </w:tcPr>
          <w:p w14:paraId="00354545" w14:textId="77777777" w:rsidR="000D07EA" w:rsidRDefault="00BE7C89">
            <w:pPr>
              <w:pStyle w:val="BodyText"/>
              <w:spacing w:before="100" w:after="100"/>
              <w:jc w:val="center"/>
            </w:pPr>
            <w:r>
              <w:t>$0 per minute</w:t>
            </w:r>
          </w:p>
        </w:tc>
      </w:tr>
      <w:tr w:rsidR="000D07EA" w14:paraId="21749A45" w14:textId="77777777">
        <w:trPr>
          <w:trHeight w:val="58"/>
        </w:trPr>
        <w:tc>
          <w:tcPr>
            <w:tcW w:w="5058" w:type="dxa"/>
            <w:shd w:val="clear" w:color="auto" w:fill="auto"/>
          </w:tcPr>
          <w:p w14:paraId="54DAAB06" w14:textId="77777777" w:rsidR="000D07EA" w:rsidRDefault="00BE7C89">
            <w:pPr>
              <w:pStyle w:val="BodyText"/>
              <w:spacing w:before="100" w:after="100"/>
              <w:rPr>
                <w:b/>
              </w:rPr>
            </w:pPr>
            <w:r>
              <w:rPr>
                <w:b/>
              </w:rPr>
              <w:t xml:space="preserve">International Diversions </w:t>
            </w:r>
          </w:p>
        </w:tc>
        <w:tc>
          <w:tcPr>
            <w:tcW w:w="4865" w:type="dxa"/>
            <w:shd w:val="clear" w:color="auto" w:fill="auto"/>
          </w:tcPr>
          <w:p w14:paraId="63DFF2DB" w14:textId="77777777" w:rsidR="000D07EA" w:rsidRDefault="00BE7C89">
            <w:pPr>
              <w:pStyle w:val="BodyText"/>
              <w:spacing w:before="100" w:after="100"/>
              <w:jc w:val="center"/>
            </w:pPr>
            <w:r>
              <w:t>‘yes’ international rates</w:t>
            </w:r>
            <w:r>
              <w:br/>
              <w:t>See optus.com.au/international</w:t>
            </w:r>
          </w:p>
        </w:tc>
      </w:tr>
      <w:tr w:rsidR="000D07EA" w14:paraId="539E33C5" w14:textId="77777777">
        <w:tc>
          <w:tcPr>
            <w:tcW w:w="5058" w:type="dxa"/>
            <w:shd w:val="clear" w:color="auto" w:fill="auto"/>
          </w:tcPr>
          <w:p w14:paraId="114F1353" w14:textId="77777777" w:rsidR="000D07EA" w:rsidRDefault="00BE7C89">
            <w:pPr>
              <w:pStyle w:val="BodyText"/>
              <w:spacing w:before="100" w:after="100"/>
              <w:rPr>
                <w:b/>
              </w:rPr>
            </w:pPr>
            <w:r>
              <w:rPr>
                <w:b/>
              </w:rPr>
              <w:t xml:space="preserve">1800 numbers </w:t>
            </w:r>
          </w:p>
        </w:tc>
        <w:tc>
          <w:tcPr>
            <w:tcW w:w="4865" w:type="dxa"/>
            <w:shd w:val="clear" w:color="auto" w:fill="auto"/>
            <w:vAlign w:val="center"/>
          </w:tcPr>
          <w:p w14:paraId="21A50ADB" w14:textId="77777777" w:rsidR="000D07EA" w:rsidRDefault="00BE7C89">
            <w:pPr>
              <w:pStyle w:val="BodyText"/>
              <w:spacing w:before="100" w:after="100"/>
              <w:jc w:val="center"/>
            </w:pPr>
            <w:r>
              <w:t>$0 per minute</w:t>
            </w:r>
          </w:p>
        </w:tc>
      </w:tr>
      <w:tr w:rsidR="000D07EA" w14:paraId="4FDB4952" w14:textId="77777777">
        <w:tc>
          <w:tcPr>
            <w:tcW w:w="5058" w:type="dxa"/>
            <w:shd w:val="clear" w:color="auto" w:fill="auto"/>
          </w:tcPr>
          <w:p w14:paraId="7734FFF4" w14:textId="77777777" w:rsidR="000D07EA" w:rsidRDefault="00BE7C89">
            <w:pPr>
              <w:pStyle w:val="BodyText"/>
              <w:spacing w:before="100" w:after="100"/>
              <w:rPr>
                <w:b/>
              </w:rPr>
            </w:pPr>
            <w:r>
              <w:rPr>
                <w:b/>
              </w:rPr>
              <w:t xml:space="preserve">Directory Assistance 1223 </w:t>
            </w:r>
          </w:p>
        </w:tc>
        <w:tc>
          <w:tcPr>
            <w:tcW w:w="4865" w:type="dxa"/>
            <w:shd w:val="clear" w:color="auto" w:fill="auto"/>
            <w:vAlign w:val="center"/>
          </w:tcPr>
          <w:p w14:paraId="474C295A" w14:textId="77777777" w:rsidR="000D07EA" w:rsidRDefault="00BE7C89">
            <w:pPr>
              <w:pStyle w:val="BodyText"/>
              <w:spacing w:before="100" w:after="100"/>
              <w:jc w:val="center"/>
            </w:pPr>
            <w:r>
              <w:t>50c per call</w:t>
            </w:r>
          </w:p>
        </w:tc>
      </w:tr>
      <w:tr w:rsidR="000D07EA" w14:paraId="08BD1297" w14:textId="77777777">
        <w:tc>
          <w:tcPr>
            <w:tcW w:w="5058" w:type="dxa"/>
            <w:shd w:val="clear" w:color="auto" w:fill="auto"/>
          </w:tcPr>
          <w:p w14:paraId="2A98B0A6" w14:textId="77777777" w:rsidR="000D07EA" w:rsidRDefault="00BE7C89">
            <w:pPr>
              <w:pStyle w:val="BodyText"/>
              <w:spacing w:before="100" w:after="100"/>
              <w:rPr>
                <w:b/>
              </w:rPr>
            </w:pPr>
            <w:r>
              <w:rPr>
                <w:b/>
              </w:rPr>
              <w:t>124 Yes</w:t>
            </w:r>
          </w:p>
        </w:tc>
        <w:tc>
          <w:tcPr>
            <w:tcW w:w="4865" w:type="dxa"/>
            <w:shd w:val="clear" w:color="auto" w:fill="auto"/>
            <w:vAlign w:val="center"/>
          </w:tcPr>
          <w:p w14:paraId="3EBD8C53" w14:textId="77777777" w:rsidR="000D07EA" w:rsidRDefault="00BE7C89">
            <w:pPr>
              <w:pStyle w:val="BodyText"/>
              <w:spacing w:before="100" w:after="100"/>
              <w:jc w:val="center"/>
            </w:pPr>
            <w:r>
              <w:t>90c per minute +$1.75c flagfall</w:t>
            </w:r>
          </w:p>
        </w:tc>
      </w:tr>
      <w:tr w:rsidR="000D07EA" w14:paraId="29B2450C" w14:textId="77777777">
        <w:trPr>
          <w:trHeight w:val="58"/>
        </w:trPr>
        <w:tc>
          <w:tcPr>
            <w:tcW w:w="5058" w:type="dxa"/>
            <w:shd w:val="clear" w:color="auto" w:fill="auto"/>
          </w:tcPr>
          <w:p w14:paraId="587ED471" w14:textId="77777777" w:rsidR="000D07EA" w:rsidRDefault="00BE7C89">
            <w:pPr>
              <w:pStyle w:val="BodyText"/>
              <w:spacing w:before="100" w:after="100"/>
              <w:rPr>
                <w:b/>
              </w:rPr>
            </w:pPr>
            <w:r>
              <w:rPr>
                <w:b/>
              </w:rPr>
              <w:t xml:space="preserve">International voice calls (outside the plan’s included international minutes and to excluded countries) </w:t>
            </w:r>
          </w:p>
        </w:tc>
        <w:tc>
          <w:tcPr>
            <w:tcW w:w="4865" w:type="dxa"/>
            <w:shd w:val="clear" w:color="auto" w:fill="auto"/>
            <w:vAlign w:val="center"/>
          </w:tcPr>
          <w:p w14:paraId="14A8C5A0" w14:textId="77777777" w:rsidR="000D07EA" w:rsidRDefault="00BE7C89">
            <w:pPr>
              <w:pStyle w:val="BodyText"/>
              <w:spacing w:before="100" w:after="100"/>
              <w:jc w:val="center"/>
            </w:pPr>
            <w:r>
              <w:t>‘yes’ international rates</w:t>
            </w:r>
            <w:r>
              <w:br/>
              <w:t>See optus.com.au/international</w:t>
            </w:r>
          </w:p>
        </w:tc>
      </w:tr>
      <w:tr w:rsidR="000D07EA" w14:paraId="5421B60C" w14:textId="77777777">
        <w:tc>
          <w:tcPr>
            <w:tcW w:w="5058" w:type="dxa"/>
            <w:shd w:val="clear" w:color="auto" w:fill="auto"/>
          </w:tcPr>
          <w:p w14:paraId="370FA07F" w14:textId="77777777" w:rsidR="000D07EA" w:rsidRDefault="00BE7C89">
            <w:pPr>
              <w:pStyle w:val="BodyText"/>
              <w:spacing w:before="100" w:after="100"/>
              <w:rPr>
                <w:b/>
              </w:rPr>
            </w:pPr>
            <w:r>
              <w:rPr>
                <w:b/>
              </w:rPr>
              <w:t xml:space="preserve">International SMS (to excluded countries) </w:t>
            </w:r>
          </w:p>
        </w:tc>
        <w:tc>
          <w:tcPr>
            <w:tcW w:w="4865" w:type="dxa"/>
            <w:shd w:val="clear" w:color="auto" w:fill="auto"/>
            <w:vAlign w:val="center"/>
          </w:tcPr>
          <w:p w14:paraId="6D8CF862" w14:textId="77777777" w:rsidR="000D07EA" w:rsidRDefault="00BE7C89">
            <w:pPr>
              <w:pStyle w:val="BodyText"/>
              <w:spacing w:before="100" w:after="100"/>
              <w:jc w:val="center"/>
            </w:pPr>
            <w:r>
              <w:t>50c per SMS up to 160 standard characters</w:t>
            </w:r>
          </w:p>
        </w:tc>
      </w:tr>
      <w:tr w:rsidR="000D07EA" w14:paraId="049FA65A" w14:textId="77777777">
        <w:tc>
          <w:tcPr>
            <w:tcW w:w="5058" w:type="dxa"/>
            <w:shd w:val="clear" w:color="auto" w:fill="auto"/>
          </w:tcPr>
          <w:p w14:paraId="2C51BA4F" w14:textId="77777777" w:rsidR="000D07EA" w:rsidRDefault="00BE7C89">
            <w:pPr>
              <w:pStyle w:val="BodyText"/>
              <w:spacing w:before="100" w:after="100"/>
              <w:rPr>
                <w:b/>
              </w:rPr>
            </w:pPr>
            <w:r>
              <w:rPr>
                <w:b/>
              </w:rPr>
              <w:t>International MMS (to excluded countries)</w:t>
            </w:r>
          </w:p>
        </w:tc>
        <w:tc>
          <w:tcPr>
            <w:tcW w:w="4865" w:type="dxa"/>
            <w:shd w:val="clear" w:color="auto" w:fill="auto"/>
            <w:vAlign w:val="center"/>
          </w:tcPr>
          <w:p w14:paraId="56653B45" w14:textId="77777777" w:rsidR="000D07EA" w:rsidRDefault="00BE7C89">
            <w:pPr>
              <w:pStyle w:val="BodyText"/>
              <w:spacing w:before="100" w:after="100"/>
              <w:jc w:val="center"/>
            </w:pPr>
            <w:r>
              <w:t>75c per MMS</w:t>
            </w:r>
          </w:p>
        </w:tc>
      </w:tr>
      <w:tr w:rsidR="000D07EA" w14:paraId="6A138CA4" w14:textId="77777777">
        <w:tc>
          <w:tcPr>
            <w:tcW w:w="5058" w:type="dxa"/>
            <w:shd w:val="clear" w:color="auto" w:fill="auto"/>
          </w:tcPr>
          <w:p w14:paraId="7BBD8DD4" w14:textId="77777777" w:rsidR="000D07EA" w:rsidRDefault="00BE7C89">
            <w:pPr>
              <w:pStyle w:val="BodyText"/>
              <w:spacing w:before="100" w:after="100"/>
              <w:rPr>
                <w:b/>
              </w:rPr>
            </w:pPr>
            <w:r>
              <w:rPr>
                <w:b/>
              </w:rPr>
              <w:t xml:space="preserve">International video calling </w:t>
            </w:r>
          </w:p>
        </w:tc>
        <w:tc>
          <w:tcPr>
            <w:tcW w:w="4865" w:type="dxa"/>
            <w:shd w:val="clear" w:color="auto" w:fill="auto"/>
            <w:vAlign w:val="center"/>
          </w:tcPr>
          <w:p w14:paraId="31F6F4A1" w14:textId="77777777" w:rsidR="000D07EA" w:rsidRDefault="00BE7C89">
            <w:pPr>
              <w:pStyle w:val="BodyText"/>
              <w:spacing w:before="100" w:after="100"/>
              <w:jc w:val="center"/>
            </w:pPr>
            <w:r>
              <w:t>$1.50 per minute +35c flagfall</w:t>
            </w:r>
          </w:p>
        </w:tc>
      </w:tr>
      <w:tr w:rsidR="000D07EA" w14:paraId="21230364" w14:textId="77777777">
        <w:tc>
          <w:tcPr>
            <w:tcW w:w="5058" w:type="dxa"/>
            <w:shd w:val="clear" w:color="auto" w:fill="auto"/>
          </w:tcPr>
          <w:p w14:paraId="0B076CB6" w14:textId="77777777" w:rsidR="000D07EA" w:rsidRDefault="00BE7C89">
            <w:pPr>
              <w:pStyle w:val="BodyText"/>
              <w:spacing w:before="100" w:after="100"/>
              <w:rPr>
                <w:b/>
              </w:rPr>
            </w:pPr>
            <w:r>
              <w:rPr>
                <w:b/>
              </w:rPr>
              <w:t xml:space="preserve">International roaming </w:t>
            </w:r>
          </w:p>
        </w:tc>
        <w:tc>
          <w:tcPr>
            <w:tcW w:w="4865" w:type="dxa"/>
            <w:shd w:val="clear" w:color="auto" w:fill="auto"/>
            <w:vAlign w:val="center"/>
          </w:tcPr>
          <w:p w14:paraId="36E242A2" w14:textId="77777777" w:rsidR="000D07EA" w:rsidRDefault="00BE7C89">
            <w:pPr>
              <w:pStyle w:val="BodyText"/>
              <w:spacing w:before="100" w:after="100"/>
              <w:jc w:val="center"/>
            </w:pPr>
            <w:r>
              <w:t>See optus.com.au/roaming</w:t>
            </w:r>
          </w:p>
        </w:tc>
      </w:tr>
    </w:tbl>
    <w:p w14:paraId="5745D231" w14:textId="77777777" w:rsidR="000D07EA" w:rsidRDefault="000D07EA">
      <w:pPr>
        <w:pStyle w:val="BodyText"/>
      </w:pPr>
    </w:p>
    <w:p w14:paraId="2C9D8ADA" w14:textId="77777777" w:rsidR="000D07EA" w:rsidRDefault="00BE7C89">
      <w:pPr>
        <w:pStyle w:val="BodyText"/>
        <w:ind w:left="720"/>
        <w:rPr>
          <w:b/>
        </w:rPr>
      </w:pPr>
      <w:r>
        <w:rPr>
          <w:b/>
        </w:rPr>
        <w:t>Table 3 - International Countries</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296"/>
        <w:gridCol w:w="2320"/>
        <w:gridCol w:w="2325"/>
        <w:gridCol w:w="2302"/>
      </w:tblGrid>
      <w:tr w:rsidR="000D07EA" w14:paraId="6882E9FD" w14:textId="77777777">
        <w:trPr>
          <w:trHeight w:val="58"/>
        </w:trPr>
        <w:tc>
          <w:tcPr>
            <w:tcW w:w="2296" w:type="dxa"/>
            <w:shd w:val="clear" w:color="auto" w:fill="auto"/>
          </w:tcPr>
          <w:p w14:paraId="32E499FF" w14:textId="77777777" w:rsidR="000D07EA" w:rsidRDefault="00BE7C89">
            <w:pPr>
              <w:pStyle w:val="BodyText"/>
              <w:spacing w:before="100" w:after="100"/>
            </w:pPr>
            <w:r>
              <w:t>Austria</w:t>
            </w:r>
          </w:p>
        </w:tc>
        <w:tc>
          <w:tcPr>
            <w:tcW w:w="2320" w:type="dxa"/>
            <w:shd w:val="clear" w:color="auto" w:fill="auto"/>
          </w:tcPr>
          <w:p w14:paraId="06F4AC73" w14:textId="77777777" w:rsidR="000D07EA" w:rsidRDefault="00BE7C89">
            <w:pPr>
              <w:pStyle w:val="BodyText"/>
              <w:spacing w:before="100" w:after="100"/>
            </w:pPr>
            <w:r>
              <w:t>Bangladesh</w:t>
            </w:r>
          </w:p>
        </w:tc>
        <w:tc>
          <w:tcPr>
            <w:tcW w:w="2325" w:type="dxa"/>
            <w:shd w:val="clear" w:color="auto" w:fill="auto"/>
          </w:tcPr>
          <w:p w14:paraId="73885EF6" w14:textId="77777777" w:rsidR="000D07EA" w:rsidRDefault="00BE7C89">
            <w:pPr>
              <w:pStyle w:val="BodyText"/>
              <w:spacing w:before="100" w:after="100"/>
            </w:pPr>
            <w:r>
              <w:t>Cambodia</w:t>
            </w:r>
          </w:p>
        </w:tc>
        <w:tc>
          <w:tcPr>
            <w:tcW w:w="2302" w:type="dxa"/>
            <w:shd w:val="clear" w:color="auto" w:fill="auto"/>
          </w:tcPr>
          <w:p w14:paraId="51B0037E" w14:textId="77777777" w:rsidR="000D07EA" w:rsidRDefault="00BE7C89">
            <w:pPr>
              <w:pStyle w:val="BodyText"/>
              <w:spacing w:before="100" w:after="100"/>
            </w:pPr>
            <w:r>
              <w:t>Canada</w:t>
            </w:r>
          </w:p>
        </w:tc>
      </w:tr>
      <w:tr w:rsidR="000D07EA" w14:paraId="7335034F" w14:textId="77777777">
        <w:tc>
          <w:tcPr>
            <w:tcW w:w="2296" w:type="dxa"/>
            <w:shd w:val="clear" w:color="auto" w:fill="auto"/>
          </w:tcPr>
          <w:p w14:paraId="01577A5D" w14:textId="77777777" w:rsidR="000D07EA" w:rsidRDefault="00BE7C89">
            <w:pPr>
              <w:pStyle w:val="BodyText"/>
              <w:spacing w:before="100" w:after="100"/>
            </w:pPr>
            <w:r>
              <w:t xml:space="preserve">Chile </w:t>
            </w:r>
          </w:p>
        </w:tc>
        <w:tc>
          <w:tcPr>
            <w:tcW w:w="2320" w:type="dxa"/>
            <w:shd w:val="clear" w:color="auto" w:fill="auto"/>
          </w:tcPr>
          <w:p w14:paraId="13FDE109" w14:textId="77777777" w:rsidR="000D07EA" w:rsidRDefault="00BE7C89">
            <w:pPr>
              <w:pStyle w:val="BodyText"/>
              <w:spacing w:before="100" w:after="100"/>
            </w:pPr>
            <w:r>
              <w:t xml:space="preserve">China </w:t>
            </w:r>
          </w:p>
        </w:tc>
        <w:tc>
          <w:tcPr>
            <w:tcW w:w="2325" w:type="dxa"/>
            <w:shd w:val="clear" w:color="auto" w:fill="auto"/>
          </w:tcPr>
          <w:p w14:paraId="0DAEBFEF" w14:textId="77777777" w:rsidR="000D07EA" w:rsidRDefault="00BE7C89">
            <w:pPr>
              <w:pStyle w:val="BodyText"/>
              <w:spacing w:before="100" w:after="100"/>
            </w:pPr>
            <w:r>
              <w:t xml:space="preserve">Croatia </w:t>
            </w:r>
          </w:p>
        </w:tc>
        <w:tc>
          <w:tcPr>
            <w:tcW w:w="2302" w:type="dxa"/>
            <w:shd w:val="clear" w:color="auto" w:fill="auto"/>
          </w:tcPr>
          <w:p w14:paraId="0405F281" w14:textId="77777777" w:rsidR="000D07EA" w:rsidRDefault="00BE7C89">
            <w:pPr>
              <w:pStyle w:val="BodyText"/>
              <w:spacing w:before="100" w:after="100"/>
            </w:pPr>
            <w:r>
              <w:t>France</w:t>
            </w:r>
          </w:p>
        </w:tc>
      </w:tr>
      <w:tr w:rsidR="000D07EA" w14:paraId="08E6DE3D" w14:textId="77777777">
        <w:tc>
          <w:tcPr>
            <w:tcW w:w="2296" w:type="dxa"/>
            <w:shd w:val="clear" w:color="auto" w:fill="auto"/>
          </w:tcPr>
          <w:p w14:paraId="53CCD7FC" w14:textId="77777777" w:rsidR="000D07EA" w:rsidRDefault="00BE7C89">
            <w:pPr>
              <w:pStyle w:val="BodyText"/>
              <w:spacing w:before="100" w:after="100"/>
            </w:pPr>
            <w:r>
              <w:t>Germany</w:t>
            </w:r>
          </w:p>
        </w:tc>
        <w:tc>
          <w:tcPr>
            <w:tcW w:w="2320" w:type="dxa"/>
            <w:shd w:val="clear" w:color="auto" w:fill="auto"/>
          </w:tcPr>
          <w:p w14:paraId="7486BE87" w14:textId="77777777" w:rsidR="000D07EA" w:rsidRDefault="00BE7C89">
            <w:pPr>
              <w:pStyle w:val="BodyText"/>
              <w:spacing w:before="100" w:after="100"/>
            </w:pPr>
            <w:r>
              <w:t>Greece</w:t>
            </w:r>
          </w:p>
        </w:tc>
        <w:tc>
          <w:tcPr>
            <w:tcW w:w="2325" w:type="dxa"/>
            <w:shd w:val="clear" w:color="auto" w:fill="auto"/>
          </w:tcPr>
          <w:p w14:paraId="70483508" w14:textId="77777777" w:rsidR="000D07EA" w:rsidRDefault="00BE7C89">
            <w:pPr>
              <w:pStyle w:val="BodyText"/>
              <w:spacing w:before="100" w:after="100"/>
            </w:pPr>
            <w:r>
              <w:t>Hong Kong,</w:t>
            </w:r>
          </w:p>
        </w:tc>
        <w:tc>
          <w:tcPr>
            <w:tcW w:w="2302" w:type="dxa"/>
            <w:shd w:val="clear" w:color="auto" w:fill="auto"/>
          </w:tcPr>
          <w:p w14:paraId="1D2754A4" w14:textId="77777777" w:rsidR="000D07EA" w:rsidRDefault="00BE7C89">
            <w:pPr>
              <w:pStyle w:val="BodyText"/>
              <w:spacing w:before="100" w:after="100"/>
            </w:pPr>
            <w:r>
              <w:t>Hungary</w:t>
            </w:r>
          </w:p>
        </w:tc>
      </w:tr>
      <w:tr w:rsidR="000D07EA" w14:paraId="0FEB2105" w14:textId="77777777">
        <w:tc>
          <w:tcPr>
            <w:tcW w:w="2296" w:type="dxa"/>
            <w:shd w:val="clear" w:color="auto" w:fill="auto"/>
          </w:tcPr>
          <w:p w14:paraId="1BE888A7" w14:textId="77777777" w:rsidR="000D07EA" w:rsidRDefault="00BE7C89">
            <w:pPr>
              <w:pStyle w:val="BodyText"/>
              <w:spacing w:before="100" w:after="100"/>
            </w:pPr>
            <w:r>
              <w:t>Indonesia</w:t>
            </w:r>
          </w:p>
        </w:tc>
        <w:tc>
          <w:tcPr>
            <w:tcW w:w="2320" w:type="dxa"/>
            <w:shd w:val="clear" w:color="auto" w:fill="auto"/>
          </w:tcPr>
          <w:p w14:paraId="42CF34E0" w14:textId="77777777" w:rsidR="000D07EA" w:rsidRDefault="00BE7C89">
            <w:pPr>
              <w:pStyle w:val="BodyText"/>
              <w:spacing w:before="100" w:after="100"/>
            </w:pPr>
            <w:r>
              <w:t>India</w:t>
            </w:r>
          </w:p>
        </w:tc>
        <w:tc>
          <w:tcPr>
            <w:tcW w:w="2325" w:type="dxa"/>
            <w:shd w:val="clear" w:color="auto" w:fill="auto"/>
          </w:tcPr>
          <w:p w14:paraId="222C56C9" w14:textId="77777777" w:rsidR="000D07EA" w:rsidRDefault="00BE7C89">
            <w:pPr>
              <w:pStyle w:val="BodyText"/>
              <w:spacing w:before="100" w:after="100"/>
            </w:pPr>
            <w:r>
              <w:t>Ireland</w:t>
            </w:r>
          </w:p>
        </w:tc>
        <w:tc>
          <w:tcPr>
            <w:tcW w:w="2302" w:type="dxa"/>
            <w:shd w:val="clear" w:color="auto" w:fill="auto"/>
          </w:tcPr>
          <w:p w14:paraId="1A0A1598" w14:textId="77777777" w:rsidR="000D07EA" w:rsidRDefault="00BE7C89">
            <w:pPr>
              <w:pStyle w:val="BodyText"/>
              <w:spacing w:before="100" w:after="100"/>
            </w:pPr>
            <w:r>
              <w:t>Italy</w:t>
            </w:r>
          </w:p>
        </w:tc>
      </w:tr>
      <w:tr w:rsidR="000D07EA" w14:paraId="5BB3DF26" w14:textId="77777777">
        <w:tc>
          <w:tcPr>
            <w:tcW w:w="2296" w:type="dxa"/>
            <w:shd w:val="clear" w:color="auto" w:fill="auto"/>
          </w:tcPr>
          <w:p w14:paraId="4A5E6427" w14:textId="77777777" w:rsidR="000D07EA" w:rsidRDefault="00BE7C89">
            <w:pPr>
              <w:pStyle w:val="BodyText"/>
              <w:spacing w:before="100" w:after="100"/>
            </w:pPr>
            <w:r>
              <w:t xml:space="preserve">Japan </w:t>
            </w:r>
          </w:p>
        </w:tc>
        <w:tc>
          <w:tcPr>
            <w:tcW w:w="2320" w:type="dxa"/>
            <w:shd w:val="clear" w:color="auto" w:fill="auto"/>
          </w:tcPr>
          <w:p w14:paraId="223513DF" w14:textId="77777777" w:rsidR="000D07EA" w:rsidRDefault="00BE7C89">
            <w:pPr>
              <w:pStyle w:val="BodyText"/>
              <w:spacing w:before="100" w:after="100"/>
            </w:pPr>
            <w:r>
              <w:t>Malaysia,</w:t>
            </w:r>
          </w:p>
        </w:tc>
        <w:tc>
          <w:tcPr>
            <w:tcW w:w="2325" w:type="dxa"/>
            <w:shd w:val="clear" w:color="auto" w:fill="auto"/>
          </w:tcPr>
          <w:p w14:paraId="69481479" w14:textId="77777777" w:rsidR="000D07EA" w:rsidRDefault="00BE7C89">
            <w:pPr>
              <w:pStyle w:val="BodyText"/>
              <w:spacing w:before="100" w:after="100"/>
            </w:pPr>
            <w:r>
              <w:t>Netherlands</w:t>
            </w:r>
          </w:p>
        </w:tc>
        <w:tc>
          <w:tcPr>
            <w:tcW w:w="2302" w:type="dxa"/>
            <w:shd w:val="clear" w:color="auto" w:fill="auto"/>
          </w:tcPr>
          <w:p w14:paraId="0D464438" w14:textId="77777777" w:rsidR="000D07EA" w:rsidRDefault="00BE7C89">
            <w:pPr>
              <w:pStyle w:val="BodyText"/>
              <w:spacing w:before="100" w:after="100"/>
            </w:pPr>
            <w:r>
              <w:t>New Zealand</w:t>
            </w:r>
          </w:p>
        </w:tc>
      </w:tr>
      <w:tr w:rsidR="000D07EA" w14:paraId="1E494C48" w14:textId="77777777">
        <w:tc>
          <w:tcPr>
            <w:tcW w:w="2296" w:type="dxa"/>
            <w:shd w:val="clear" w:color="auto" w:fill="auto"/>
          </w:tcPr>
          <w:p w14:paraId="1E84A799" w14:textId="77777777" w:rsidR="000D07EA" w:rsidRDefault="00BE7C89">
            <w:pPr>
              <w:pStyle w:val="BodyText"/>
              <w:spacing w:before="100" w:after="100"/>
            </w:pPr>
            <w:r>
              <w:t xml:space="preserve">Pakistan </w:t>
            </w:r>
          </w:p>
        </w:tc>
        <w:tc>
          <w:tcPr>
            <w:tcW w:w="2320" w:type="dxa"/>
            <w:shd w:val="clear" w:color="auto" w:fill="auto"/>
          </w:tcPr>
          <w:p w14:paraId="621E568C" w14:textId="77777777" w:rsidR="000D07EA" w:rsidRDefault="00BE7C89">
            <w:pPr>
              <w:pStyle w:val="BodyText"/>
              <w:spacing w:before="100" w:after="100"/>
            </w:pPr>
            <w:r>
              <w:t>Philippines</w:t>
            </w:r>
          </w:p>
        </w:tc>
        <w:tc>
          <w:tcPr>
            <w:tcW w:w="2325" w:type="dxa"/>
            <w:shd w:val="clear" w:color="auto" w:fill="auto"/>
          </w:tcPr>
          <w:p w14:paraId="40EB1B04" w14:textId="77777777" w:rsidR="000D07EA" w:rsidRDefault="00BE7C89">
            <w:pPr>
              <w:pStyle w:val="BodyText"/>
              <w:spacing w:before="100" w:after="100"/>
            </w:pPr>
            <w:r>
              <w:t xml:space="preserve">Poland </w:t>
            </w:r>
          </w:p>
        </w:tc>
        <w:tc>
          <w:tcPr>
            <w:tcW w:w="2302" w:type="dxa"/>
            <w:shd w:val="clear" w:color="auto" w:fill="auto"/>
          </w:tcPr>
          <w:p w14:paraId="16784059" w14:textId="77777777" w:rsidR="000D07EA" w:rsidRDefault="00BE7C89">
            <w:pPr>
              <w:pStyle w:val="BodyText"/>
              <w:spacing w:before="100" w:after="100"/>
            </w:pPr>
            <w:r>
              <w:t>Singapore</w:t>
            </w:r>
          </w:p>
        </w:tc>
      </w:tr>
      <w:tr w:rsidR="000D07EA" w14:paraId="24D6C156" w14:textId="77777777">
        <w:tc>
          <w:tcPr>
            <w:tcW w:w="2296" w:type="dxa"/>
            <w:shd w:val="clear" w:color="auto" w:fill="auto"/>
          </w:tcPr>
          <w:p w14:paraId="7D00379A" w14:textId="77777777" w:rsidR="000D07EA" w:rsidRDefault="00BE7C89">
            <w:pPr>
              <w:pStyle w:val="BodyText"/>
              <w:spacing w:before="100" w:after="100"/>
            </w:pPr>
            <w:r>
              <w:t xml:space="preserve">South Africa </w:t>
            </w:r>
          </w:p>
        </w:tc>
        <w:tc>
          <w:tcPr>
            <w:tcW w:w="2320" w:type="dxa"/>
            <w:shd w:val="clear" w:color="auto" w:fill="auto"/>
          </w:tcPr>
          <w:p w14:paraId="0C61F9CC" w14:textId="77777777" w:rsidR="000D07EA" w:rsidRDefault="00BE7C89">
            <w:pPr>
              <w:pStyle w:val="BodyText"/>
              <w:spacing w:before="100" w:after="100"/>
            </w:pPr>
            <w:r>
              <w:t>South Korea</w:t>
            </w:r>
          </w:p>
        </w:tc>
        <w:tc>
          <w:tcPr>
            <w:tcW w:w="2325" w:type="dxa"/>
            <w:shd w:val="clear" w:color="auto" w:fill="auto"/>
          </w:tcPr>
          <w:p w14:paraId="25B8BB7C" w14:textId="77777777" w:rsidR="000D07EA" w:rsidRDefault="00BE7C89">
            <w:pPr>
              <w:pStyle w:val="BodyText"/>
              <w:spacing w:before="100" w:after="100"/>
            </w:pPr>
            <w:r>
              <w:t xml:space="preserve">Taiwan </w:t>
            </w:r>
          </w:p>
        </w:tc>
        <w:tc>
          <w:tcPr>
            <w:tcW w:w="2302" w:type="dxa"/>
            <w:shd w:val="clear" w:color="auto" w:fill="auto"/>
          </w:tcPr>
          <w:p w14:paraId="3AFD5C9D" w14:textId="77777777" w:rsidR="000D07EA" w:rsidRDefault="00BE7C89">
            <w:pPr>
              <w:pStyle w:val="BodyText"/>
              <w:spacing w:before="100" w:after="100"/>
            </w:pPr>
            <w:r>
              <w:t>Thailand</w:t>
            </w:r>
          </w:p>
        </w:tc>
      </w:tr>
      <w:tr w:rsidR="000D07EA" w14:paraId="4967E0CA" w14:textId="77777777">
        <w:tc>
          <w:tcPr>
            <w:tcW w:w="2296" w:type="dxa"/>
            <w:shd w:val="clear" w:color="auto" w:fill="auto"/>
          </w:tcPr>
          <w:p w14:paraId="5DC3D2F6" w14:textId="77777777" w:rsidR="000D07EA" w:rsidRDefault="00BE7C89">
            <w:pPr>
              <w:pStyle w:val="BodyText"/>
              <w:spacing w:before="100" w:after="100"/>
            </w:pPr>
            <w:r>
              <w:lastRenderedPageBreak/>
              <w:t>Turkey</w:t>
            </w:r>
          </w:p>
        </w:tc>
        <w:tc>
          <w:tcPr>
            <w:tcW w:w="2320" w:type="dxa"/>
            <w:shd w:val="clear" w:color="auto" w:fill="auto"/>
          </w:tcPr>
          <w:p w14:paraId="3C811596" w14:textId="77777777" w:rsidR="000D07EA" w:rsidRDefault="00BE7C89">
            <w:pPr>
              <w:pStyle w:val="BodyText"/>
              <w:spacing w:before="100" w:after="100"/>
            </w:pPr>
            <w:r>
              <w:t>United Kingdom</w:t>
            </w:r>
          </w:p>
        </w:tc>
        <w:tc>
          <w:tcPr>
            <w:tcW w:w="2325" w:type="dxa"/>
            <w:shd w:val="clear" w:color="auto" w:fill="auto"/>
          </w:tcPr>
          <w:p w14:paraId="3F25FCC0" w14:textId="77777777" w:rsidR="000D07EA" w:rsidRDefault="00BE7C89">
            <w:pPr>
              <w:pStyle w:val="BodyText"/>
              <w:spacing w:before="100" w:after="100"/>
            </w:pPr>
            <w:r>
              <w:t xml:space="preserve">USA </w:t>
            </w:r>
          </w:p>
        </w:tc>
        <w:tc>
          <w:tcPr>
            <w:tcW w:w="2302" w:type="dxa"/>
            <w:shd w:val="clear" w:color="auto" w:fill="auto"/>
          </w:tcPr>
          <w:p w14:paraId="2F5E22C0" w14:textId="77777777" w:rsidR="000D07EA" w:rsidRDefault="00BE7C89">
            <w:pPr>
              <w:pStyle w:val="BodyText"/>
              <w:spacing w:before="100" w:after="100"/>
            </w:pPr>
            <w:r>
              <w:t>Vietnam</w:t>
            </w:r>
          </w:p>
        </w:tc>
      </w:tr>
    </w:tbl>
    <w:p w14:paraId="31277256" w14:textId="77777777" w:rsidR="000D07EA" w:rsidRDefault="000D07EA">
      <w:pPr>
        <w:pStyle w:val="BodyText"/>
      </w:pPr>
    </w:p>
    <w:p w14:paraId="515A159F" w14:textId="77777777" w:rsidR="000D07EA" w:rsidRDefault="00BE7C89">
      <w:pPr>
        <w:pStyle w:val="Heading6"/>
      </w:pPr>
      <w:r>
        <w:t>My Account</w:t>
      </w:r>
    </w:p>
    <w:p w14:paraId="07FC6070" w14:textId="77777777" w:rsidR="000D07EA" w:rsidRDefault="00BE7C89">
      <w:pPr>
        <w:pStyle w:val="BodyText"/>
        <w:ind w:left="720"/>
      </w:pPr>
      <w:r>
        <w:t xml:space="preserve">Services that share data may have a service login to My Account which will display all of the service numbers contributing to or using the shared data pool on </w:t>
      </w:r>
      <w:r>
        <w:rPr>
          <w:i/>
        </w:rPr>
        <w:t>your</w:t>
      </w:r>
      <w:r>
        <w:t xml:space="preserve"> account and the amount of data each service has used. If </w:t>
      </w:r>
      <w:r>
        <w:rPr>
          <w:i/>
        </w:rPr>
        <w:t>you</w:t>
      </w:r>
      <w:r>
        <w:t xml:space="preserve"> have more than 6 services on </w:t>
      </w:r>
      <w:r>
        <w:rPr>
          <w:i/>
        </w:rPr>
        <w:t>your</w:t>
      </w:r>
      <w:r>
        <w:t xml:space="preserve"> account, My Account may not be suitable for viewing usage and managing your usage alerts.</w:t>
      </w:r>
    </w:p>
    <w:p w14:paraId="780C5CD6" w14:textId="77777777" w:rsidR="000D07EA" w:rsidRDefault="00BE7C89" w:rsidP="005855A1">
      <w:pPr>
        <w:pStyle w:val="Heading6"/>
        <w:keepNext/>
      </w:pPr>
      <w:r>
        <w:t xml:space="preserve">What happens if the </w:t>
      </w:r>
      <w:r>
        <w:rPr>
          <w:i/>
        </w:rPr>
        <w:t>service</w:t>
      </w:r>
      <w:r>
        <w:t xml:space="preserve"> is </w:t>
      </w:r>
      <w:r>
        <w:rPr>
          <w:i/>
        </w:rPr>
        <w:t>cancelled</w:t>
      </w:r>
      <w:r>
        <w:t xml:space="preserve"> early? </w:t>
      </w:r>
    </w:p>
    <w:p w14:paraId="0D5267C5" w14:textId="77777777" w:rsidR="000D07EA" w:rsidRDefault="00BE7C89">
      <w:pPr>
        <w:pStyle w:val="Heading7"/>
      </w:pPr>
      <w:r>
        <w:t xml:space="preserve">If the </w:t>
      </w:r>
      <w:r>
        <w:rPr>
          <w:i/>
        </w:rPr>
        <w:t>service</w:t>
      </w:r>
      <w:r>
        <w:t xml:space="preserve"> is </w:t>
      </w:r>
      <w:r>
        <w:rPr>
          <w:i/>
        </w:rPr>
        <w:t>cancelled</w:t>
      </w:r>
      <w:r>
        <w:t xml:space="preserve"> before the end of </w:t>
      </w:r>
      <w:r>
        <w:rPr>
          <w:i/>
        </w:rPr>
        <w:t>your minimum term</w:t>
      </w:r>
      <w:r>
        <w:t xml:space="preserve">, </w:t>
      </w:r>
      <w:r>
        <w:rPr>
          <w:i/>
        </w:rPr>
        <w:t>you</w:t>
      </w:r>
      <w:r>
        <w:t xml:space="preserve"> will be required to pay </w:t>
      </w:r>
      <w:r>
        <w:rPr>
          <w:i/>
        </w:rPr>
        <w:t>us</w:t>
      </w:r>
      <w:r>
        <w:t>:</w:t>
      </w:r>
    </w:p>
    <w:p w14:paraId="2D63A4F1" w14:textId="77777777" w:rsidR="000D07EA" w:rsidRDefault="00BE7C89">
      <w:pPr>
        <w:pStyle w:val="Heading8"/>
      </w:pPr>
      <w:r>
        <w:t xml:space="preserve">any usage charges incurred up to, and including, the </w:t>
      </w:r>
      <w:r>
        <w:rPr>
          <w:i/>
        </w:rPr>
        <w:t>cancellation date</w:t>
      </w:r>
      <w:r>
        <w:t>; plus</w:t>
      </w:r>
    </w:p>
    <w:p w14:paraId="62BB8A1D" w14:textId="77777777" w:rsidR="000D07EA" w:rsidRDefault="00BE7C89">
      <w:pPr>
        <w:pStyle w:val="Heading8"/>
      </w:pPr>
      <w:r>
        <w:t xml:space="preserve">the </w:t>
      </w:r>
      <w:r>
        <w:rPr>
          <w:i/>
        </w:rPr>
        <w:t>cancellation fees</w:t>
      </w:r>
      <w:r>
        <w:t xml:space="preserve"> set out in paragraph </w:t>
      </w:r>
      <w:r>
        <w:fldChar w:fldCharType="begin"/>
      </w:r>
      <w:r>
        <w:instrText xml:space="preserve"> REF _Ref461555455 \n \h </w:instrText>
      </w:r>
      <w:r>
        <w:fldChar w:fldCharType="separate"/>
      </w:r>
      <w:r w:rsidR="0004083A">
        <w:t>(b)</w:t>
      </w:r>
      <w:r>
        <w:fldChar w:fldCharType="end"/>
      </w:r>
      <w:r>
        <w:t xml:space="preserve"> below (unless under clause 2A of the </w:t>
      </w:r>
      <w:r>
        <w:rPr>
          <w:i/>
        </w:rPr>
        <w:t>consumer terms</w:t>
      </w:r>
      <w:r>
        <w:t xml:space="preserve">, </w:t>
      </w:r>
      <w:r>
        <w:rPr>
          <w:i/>
        </w:rPr>
        <w:t xml:space="preserve">you </w:t>
      </w:r>
      <w:r>
        <w:t xml:space="preserve">are entitled to </w:t>
      </w:r>
      <w:r>
        <w:rPr>
          <w:i/>
        </w:rPr>
        <w:t>cancel the service</w:t>
      </w:r>
      <w:r>
        <w:t xml:space="preserve"> without incurring a </w:t>
      </w:r>
      <w:r>
        <w:rPr>
          <w:i/>
        </w:rPr>
        <w:t>cancellation fee</w:t>
      </w:r>
      <w:r>
        <w:t>); plus</w:t>
      </w:r>
    </w:p>
    <w:p w14:paraId="4FAE6F33" w14:textId="77777777" w:rsidR="000D07EA" w:rsidRDefault="00BE7C89">
      <w:pPr>
        <w:pStyle w:val="Heading8"/>
      </w:pPr>
      <w:r>
        <w:t xml:space="preserve">the sum of unpaid </w:t>
      </w:r>
      <w:r>
        <w:rPr>
          <w:i/>
        </w:rPr>
        <w:t>equipment charges</w:t>
      </w:r>
      <w:r>
        <w:t xml:space="preserve"> owing on </w:t>
      </w:r>
      <w:r>
        <w:rPr>
          <w:i/>
        </w:rPr>
        <w:t>your mobile phone</w:t>
      </w:r>
      <w:r>
        <w:t xml:space="preserve"> under the </w:t>
      </w:r>
      <w:r>
        <w:rPr>
          <w:i/>
        </w:rPr>
        <w:t>mobile equipment payment plan</w:t>
      </w:r>
      <w:r>
        <w:t xml:space="preserve"> (if any). Note, any Handset Credit </w:t>
      </w:r>
      <w:r>
        <w:rPr>
          <w:i/>
        </w:rPr>
        <w:t>you</w:t>
      </w:r>
      <w:r>
        <w:t xml:space="preserve"> were entitled to will be forfeited (</w:t>
      </w:r>
      <w:r w:rsidRPr="00272628">
        <w:t xml:space="preserve">see </w:t>
      </w:r>
      <w:r w:rsidR="00C67DDF" w:rsidRPr="00272628">
        <w:t>116</w:t>
      </w:r>
      <w:r w:rsidRPr="00272628">
        <w:t>.9 above).</w:t>
      </w:r>
    </w:p>
    <w:p w14:paraId="71ECCA3F" w14:textId="77777777" w:rsidR="000D07EA" w:rsidRDefault="00BE7C89">
      <w:pPr>
        <w:pStyle w:val="Heading7"/>
      </w:pPr>
      <w:bookmarkStart w:id="978" w:name="_Ref461555455"/>
      <w:r>
        <w:t xml:space="preserve">The </w:t>
      </w:r>
      <w:r>
        <w:rPr>
          <w:i/>
        </w:rPr>
        <w:t>cancellation fee</w:t>
      </w:r>
      <w:r>
        <w:t xml:space="preserve"> is calculated as the following amounts, multiplied by the months remaining on </w:t>
      </w:r>
      <w:r>
        <w:rPr>
          <w:i/>
        </w:rPr>
        <w:t>your minimum term</w:t>
      </w:r>
      <w:r>
        <w:t>:</w:t>
      </w:r>
      <w:bookmarkEnd w:id="978"/>
    </w:p>
    <w:tbl>
      <w:tblPr>
        <w:tblW w:w="883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808"/>
        <w:gridCol w:w="1507"/>
        <w:gridCol w:w="1508"/>
        <w:gridCol w:w="1507"/>
        <w:gridCol w:w="1508"/>
      </w:tblGrid>
      <w:tr w:rsidR="000D07EA" w14:paraId="3E580A24" w14:textId="77777777">
        <w:trPr>
          <w:trHeight w:val="58"/>
        </w:trPr>
        <w:tc>
          <w:tcPr>
            <w:tcW w:w="8838" w:type="dxa"/>
            <w:gridSpan w:val="5"/>
            <w:shd w:val="clear" w:color="auto" w:fill="auto"/>
            <w:vAlign w:val="center"/>
          </w:tcPr>
          <w:p w14:paraId="2417C11C" w14:textId="77777777" w:rsidR="000D07EA" w:rsidRDefault="00BE7C89">
            <w:pPr>
              <w:pStyle w:val="BodyText"/>
              <w:spacing w:before="100" w:after="100"/>
              <w:jc w:val="center"/>
              <w:rPr>
                <w:b/>
              </w:rPr>
            </w:pPr>
            <w:r>
              <w:rPr>
                <w:b/>
              </w:rPr>
              <w:t>My Plan Plus</w:t>
            </w:r>
          </w:p>
        </w:tc>
      </w:tr>
      <w:tr w:rsidR="000D07EA" w14:paraId="00EB39E8" w14:textId="77777777">
        <w:trPr>
          <w:trHeight w:val="58"/>
        </w:trPr>
        <w:tc>
          <w:tcPr>
            <w:tcW w:w="2808" w:type="dxa"/>
            <w:vAlign w:val="center"/>
          </w:tcPr>
          <w:p w14:paraId="5289DF0B" w14:textId="77777777" w:rsidR="000D07EA" w:rsidRDefault="000D07EA">
            <w:pPr>
              <w:pStyle w:val="BodyText"/>
              <w:spacing w:before="100" w:after="100"/>
              <w:jc w:val="center"/>
              <w:rPr>
                <w:b/>
              </w:rPr>
            </w:pPr>
          </w:p>
        </w:tc>
        <w:tc>
          <w:tcPr>
            <w:tcW w:w="1507" w:type="dxa"/>
            <w:vAlign w:val="center"/>
          </w:tcPr>
          <w:p w14:paraId="0E3E8C48" w14:textId="77777777" w:rsidR="000D07EA" w:rsidRDefault="00BE7C89">
            <w:pPr>
              <w:pStyle w:val="BodyText"/>
              <w:spacing w:before="100" w:after="100"/>
              <w:jc w:val="center"/>
              <w:rPr>
                <w:b/>
              </w:rPr>
            </w:pPr>
            <w:r>
              <w:rPr>
                <w:b/>
              </w:rPr>
              <w:t>$40 My Plan Plus</w:t>
            </w:r>
          </w:p>
        </w:tc>
        <w:tc>
          <w:tcPr>
            <w:tcW w:w="1508" w:type="dxa"/>
            <w:shd w:val="clear" w:color="auto" w:fill="auto"/>
            <w:vAlign w:val="center"/>
          </w:tcPr>
          <w:p w14:paraId="10984D1F" w14:textId="77777777" w:rsidR="000D07EA" w:rsidRDefault="00BE7C89">
            <w:pPr>
              <w:pStyle w:val="BodyText"/>
              <w:spacing w:before="100" w:after="100"/>
              <w:jc w:val="center"/>
              <w:rPr>
                <w:b/>
              </w:rPr>
            </w:pPr>
            <w:r>
              <w:rPr>
                <w:b/>
              </w:rPr>
              <w:t>$60 My Plan Plus</w:t>
            </w:r>
          </w:p>
        </w:tc>
        <w:tc>
          <w:tcPr>
            <w:tcW w:w="1507" w:type="dxa"/>
            <w:shd w:val="clear" w:color="auto" w:fill="auto"/>
            <w:vAlign w:val="center"/>
          </w:tcPr>
          <w:p w14:paraId="3DD3631F" w14:textId="77777777" w:rsidR="000D07EA" w:rsidRDefault="00BE7C89">
            <w:pPr>
              <w:pStyle w:val="BodyText"/>
              <w:spacing w:before="100" w:after="100"/>
              <w:jc w:val="center"/>
              <w:rPr>
                <w:b/>
              </w:rPr>
            </w:pPr>
            <w:r>
              <w:rPr>
                <w:b/>
              </w:rPr>
              <w:t>$80 My Plan Plus</w:t>
            </w:r>
          </w:p>
        </w:tc>
        <w:tc>
          <w:tcPr>
            <w:tcW w:w="1508" w:type="dxa"/>
            <w:shd w:val="clear" w:color="auto" w:fill="auto"/>
            <w:vAlign w:val="center"/>
          </w:tcPr>
          <w:p w14:paraId="718E7353" w14:textId="77777777" w:rsidR="000D07EA" w:rsidRDefault="00BE7C89">
            <w:pPr>
              <w:pStyle w:val="BodyText"/>
              <w:spacing w:before="100" w:after="100"/>
              <w:jc w:val="center"/>
              <w:rPr>
                <w:b/>
              </w:rPr>
            </w:pPr>
            <w:r>
              <w:rPr>
                <w:b/>
              </w:rPr>
              <w:t>$100 My Plan Plus</w:t>
            </w:r>
          </w:p>
        </w:tc>
      </w:tr>
      <w:tr w:rsidR="000D07EA" w14:paraId="3FD01750" w14:textId="77777777">
        <w:trPr>
          <w:trHeight w:val="58"/>
        </w:trPr>
        <w:tc>
          <w:tcPr>
            <w:tcW w:w="2808" w:type="dxa"/>
            <w:vAlign w:val="center"/>
          </w:tcPr>
          <w:p w14:paraId="5B192B68" w14:textId="77777777" w:rsidR="000D07EA" w:rsidRDefault="00BE7C89">
            <w:pPr>
              <w:pStyle w:val="BodyText"/>
              <w:spacing w:before="100" w:after="100"/>
              <w:rPr>
                <w:b/>
              </w:rPr>
            </w:pPr>
            <w:r>
              <w:rPr>
                <w:b/>
              </w:rPr>
              <w:t xml:space="preserve">Cancellation Fee </w:t>
            </w:r>
          </w:p>
        </w:tc>
        <w:tc>
          <w:tcPr>
            <w:tcW w:w="1507" w:type="dxa"/>
            <w:vAlign w:val="center"/>
          </w:tcPr>
          <w:p w14:paraId="6FA3227A" w14:textId="77777777" w:rsidR="000D07EA" w:rsidRDefault="00BE7C89">
            <w:pPr>
              <w:pStyle w:val="BodyText"/>
              <w:spacing w:before="100" w:after="100"/>
            </w:pPr>
            <w:r>
              <w:t>$11.25 x Months remaining</w:t>
            </w:r>
          </w:p>
        </w:tc>
        <w:tc>
          <w:tcPr>
            <w:tcW w:w="1508" w:type="dxa"/>
            <w:shd w:val="clear" w:color="auto" w:fill="auto"/>
            <w:vAlign w:val="center"/>
          </w:tcPr>
          <w:p w14:paraId="606E84A0" w14:textId="77777777" w:rsidR="000D07EA" w:rsidRDefault="00BE7C89">
            <w:pPr>
              <w:pStyle w:val="BodyText"/>
              <w:spacing w:before="100" w:after="100"/>
            </w:pPr>
            <w:r>
              <w:t>$19.16 x Months remaining</w:t>
            </w:r>
          </w:p>
        </w:tc>
        <w:tc>
          <w:tcPr>
            <w:tcW w:w="1507" w:type="dxa"/>
            <w:shd w:val="clear" w:color="auto" w:fill="auto"/>
            <w:vAlign w:val="center"/>
          </w:tcPr>
          <w:p w14:paraId="0AE2D3F5" w14:textId="77777777" w:rsidR="000D07EA" w:rsidRDefault="00BE7C89">
            <w:pPr>
              <w:pStyle w:val="BodyText"/>
              <w:spacing w:before="100" w:after="100"/>
            </w:pPr>
            <w:r>
              <w:t>$16.25 x Months remaining</w:t>
            </w:r>
          </w:p>
        </w:tc>
        <w:tc>
          <w:tcPr>
            <w:tcW w:w="1508" w:type="dxa"/>
            <w:shd w:val="clear" w:color="auto" w:fill="auto"/>
            <w:vAlign w:val="center"/>
          </w:tcPr>
          <w:p w14:paraId="3AEA0BB6" w14:textId="77777777" w:rsidR="000D07EA" w:rsidRDefault="00BE7C89">
            <w:pPr>
              <w:pStyle w:val="BodyText"/>
              <w:spacing w:before="100" w:after="100"/>
            </w:pPr>
            <w:r>
              <w:t>$25.41 x Months remaining</w:t>
            </w:r>
          </w:p>
        </w:tc>
      </w:tr>
      <w:tr w:rsidR="000D07EA" w14:paraId="47518E6B" w14:textId="77777777">
        <w:trPr>
          <w:trHeight w:val="275"/>
        </w:trPr>
        <w:tc>
          <w:tcPr>
            <w:tcW w:w="2808" w:type="dxa"/>
            <w:vAlign w:val="center"/>
          </w:tcPr>
          <w:p w14:paraId="2D1B3BDE" w14:textId="77777777" w:rsidR="000D07EA" w:rsidRDefault="00BE7C89">
            <w:pPr>
              <w:pStyle w:val="BodyText"/>
              <w:spacing w:before="100" w:after="100"/>
              <w:rPr>
                <w:b/>
              </w:rPr>
            </w:pPr>
            <w:r>
              <w:rPr>
                <w:b/>
              </w:rPr>
              <w:t>Maximum Cancellation Fee</w:t>
            </w:r>
          </w:p>
        </w:tc>
        <w:tc>
          <w:tcPr>
            <w:tcW w:w="1507" w:type="dxa"/>
            <w:vAlign w:val="center"/>
          </w:tcPr>
          <w:p w14:paraId="08D48B65" w14:textId="77777777" w:rsidR="000D07EA" w:rsidRDefault="00BE7C89">
            <w:pPr>
              <w:pStyle w:val="BodyText"/>
              <w:spacing w:before="100" w:after="100"/>
            </w:pPr>
            <w:r>
              <w:t>$270</w:t>
            </w:r>
          </w:p>
        </w:tc>
        <w:tc>
          <w:tcPr>
            <w:tcW w:w="1508" w:type="dxa"/>
            <w:shd w:val="clear" w:color="auto" w:fill="auto"/>
            <w:vAlign w:val="center"/>
          </w:tcPr>
          <w:p w14:paraId="5CF449B4" w14:textId="77777777" w:rsidR="000D07EA" w:rsidRDefault="00BE7C89">
            <w:pPr>
              <w:pStyle w:val="BodyText"/>
              <w:spacing w:before="100" w:after="100"/>
            </w:pPr>
            <w:r>
              <w:t>$460</w:t>
            </w:r>
          </w:p>
        </w:tc>
        <w:tc>
          <w:tcPr>
            <w:tcW w:w="1507" w:type="dxa"/>
            <w:shd w:val="clear" w:color="auto" w:fill="auto"/>
            <w:vAlign w:val="center"/>
          </w:tcPr>
          <w:p w14:paraId="22BC5815" w14:textId="77777777" w:rsidR="000D07EA" w:rsidRDefault="00BE7C89">
            <w:pPr>
              <w:pStyle w:val="BodyText"/>
              <w:spacing w:before="100" w:after="100"/>
            </w:pPr>
            <w:r>
              <w:t>$390</w:t>
            </w:r>
          </w:p>
        </w:tc>
        <w:tc>
          <w:tcPr>
            <w:tcW w:w="1508" w:type="dxa"/>
            <w:shd w:val="clear" w:color="auto" w:fill="auto"/>
            <w:vAlign w:val="center"/>
          </w:tcPr>
          <w:p w14:paraId="2E8BE15E" w14:textId="77777777" w:rsidR="000D07EA" w:rsidRDefault="00BE7C89">
            <w:pPr>
              <w:pStyle w:val="BodyText"/>
              <w:spacing w:before="100" w:after="100"/>
            </w:pPr>
            <w:r>
              <w:t>$610</w:t>
            </w:r>
          </w:p>
        </w:tc>
      </w:tr>
    </w:tbl>
    <w:p w14:paraId="1ED16C59" w14:textId="77777777" w:rsidR="000D07EA" w:rsidRDefault="000D07EA">
      <w:pPr>
        <w:pStyle w:val="BodyText"/>
      </w:pPr>
    </w:p>
    <w:p w14:paraId="63366520" w14:textId="77777777" w:rsidR="000D07EA" w:rsidRDefault="00BE7C89">
      <w:pPr>
        <w:pStyle w:val="Heading7"/>
      </w:pPr>
      <w:r>
        <w:t xml:space="preserve">If </w:t>
      </w:r>
      <w:r>
        <w:rPr>
          <w:i/>
        </w:rPr>
        <w:t xml:space="preserve">your </w:t>
      </w:r>
      <w:r>
        <w:t xml:space="preserve">My Plan Plus is </w:t>
      </w:r>
      <w:r>
        <w:rPr>
          <w:i/>
        </w:rPr>
        <w:t>cancelled</w:t>
      </w:r>
      <w:r>
        <w:t xml:space="preserve">, </w:t>
      </w:r>
      <w:r>
        <w:rPr>
          <w:i/>
        </w:rPr>
        <w:t xml:space="preserve">your </w:t>
      </w:r>
      <w:r>
        <w:t xml:space="preserve">Shared Data Plan(s) may also be </w:t>
      </w:r>
      <w:r>
        <w:rPr>
          <w:i/>
        </w:rPr>
        <w:t>cancelled</w:t>
      </w:r>
      <w:r>
        <w:t xml:space="preserve">. There are no </w:t>
      </w:r>
      <w:r>
        <w:rPr>
          <w:i/>
        </w:rPr>
        <w:t>cancellation fees</w:t>
      </w:r>
      <w:r>
        <w:t xml:space="preserve"> for the Shared Data Plan, however if </w:t>
      </w:r>
      <w:r>
        <w:rPr>
          <w:i/>
        </w:rPr>
        <w:t xml:space="preserve">you </w:t>
      </w:r>
      <w:r>
        <w:t xml:space="preserve">purchased a </w:t>
      </w:r>
      <w:r>
        <w:rPr>
          <w:i/>
        </w:rPr>
        <w:t>device you</w:t>
      </w:r>
      <w:r>
        <w:t xml:space="preserve"> need to pay the sum of any remaining equipment charges owing on your device under the </w:t>
      </w:r>
      <w:r>
        <w:rPr>
          <w:i/>
        </w:rPr>
        <w:t>mobile equipment payment plan</w:t>
      </w:r>
      <w:r>
        <w:t xml:space="preserve"> (see </w:t>
      </w:r>
      <w:hyperlink r:id="rId587" w:history="1">
        <w:r>
          <w:rPr>
            <w:rStyle w:val="Hyperlink"/>
            <w:i/>
          </w:rPr>
          <w:t>Appendix D</w:t>
        </w:r>
      </w:hyperlink>
      <w:r>
        <w:t>).</w:t>
      </w:r>
    </w:p>
    <w:p w14:paraId="38D271D0" w14:textId="77777777" w:rsidR="000D07EA" w:rsidRDefault="00BE7C89">
      <w:pPr>
        <w:pStyle w:val="Heading7"/>
      </w:pPr>
      <w:r>
        <w:t xml:space="preserve">If </w:t>
      </w:r>
      <w:r>
        <w:rPr>
          <w:i/>
        </w:rPr>
        <w:t>your</w:t>
      </w:r>
      <w:r>
        <w:t xml:space="preserve"> Shared Data Plan is not </w:t>
      </w:r>
      <w:r>
        <w:rPr>
          <w:i/>
        </w:rPr>
        <w:t>cancelled</w:t>
      </w:r>
      <w:r>
        <w:t xml:space="preserve">, </w:t>
      </w:r>
      <w:r>
        <w:rPr>
          <w:i/>
        </w:rPr>
        <w:t>you</w:t>
      </w:r>
      <w:r>
        <w:t xml:space="preserve"> will be charged $10 per 1GB within Australia, up to a maximum of 60GB (per account) in a billing month.</w:t>
      </w:r>
    </w:p>
    <w:p w14:paraId="7C6515B2" w14:textId="77777777" w:rsidR="000D07EA" w:rsidRDefault="00BE7C89">
      <w:pPr>
        <w:pStyle w:val="Heading4"/>
      </w:pPr>
      <w:bookmarkStart w:id="979" w:name="_Toc62644658"/>
      <w:r>
        <w:t>My Plan Business SIM</w:t>
      </w:r>
      <w:bookmarkEnd w:id="979"/>
      <w:r>
        <w:t xml:space="preserve"> </w:t>
      </w:r>
    </w:p>
    <w:p w14:paraId="4CFE4566" w14:textId="77777777" w:rsidR="000D07EA" w:rsidRDefault="00BE7C89">
      <w:pPr>
        <w:pStyle w:val="BodyText"/>
        <w:ind w:left="720"/>
      </w:pPr>
      <w:r>
        <w:t xml:space="preserve">This section relates to the following plans. </w:t>
      </w:r>
      <w:r>
        <w:rPr>
          <w:i/>
        </w:rPr>
        <w:t>You</w:t>
      </w:r>
      <w:r>
        <w:t xml:space="preserve"> can find </w:t>
      </w:r>
      <w:r>
        <w:rPr>
          <w:i/>
        </w:rPr>
        <w:t>your</w:t>
      </w:r>
      <w:r>
        <w:t xml:space="preserve"> Plan ID on </w:t>
      </w:r>
      <w:r>
        <w:rPr>
          <w:i/>
        </w:rPr>
        <w:t>your</w:t>
      </w:r>
      <w:r>
        <w:t xml:space="preserve"> bill under the Mobile Number Summary section: </w:t>
      </w:r>
    </w:p>
    <w:tbl>
      <w:tblPr>
        <w:tblW w:w="935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402"/>
        <w:gridCol w:w="2155"/>
        <w:gridCol w:w="3799"/>
      </w:tblGrid>
      <w:tr w:rsidR="000D07EA" w14:paraId="619FC2A6" w14:textId="77777777" w:rsidTr="00536F8B">
        <w:trPr>
          <w:trHeight w:val="58"/>
          <w:tblHeader/>
        </w:trPr>
        <w:tc>
          <w:tcPr>
            <w:tcW w:w="3402" w:type="dxa"/>
            <w:shd w:val="clear" w:color="auto" w:fill="auto"/>
          </w:tcPr>
          <w:p w14:paraId="51B93E15" w14:textId="77777777" w:rsidR="000D07EA" w:rsidRDefault="00BE7C89">
            <w:pPr>
              <w:pStyle w:val="BodyText"/>
              <w:spacing w:before="100" w:after="100"/>
              <w:rPr>
                <w:b/>
              </w:rPr>
            </w:pPr>
            <w:r>
              <w:rPr>
                <w:b/>
              </w:rPr>
              <w:t>Plan</w:t>
            </w:r>
          </w:p>
        </w:tc>
        <w:tc>
          <w:tcPr>
            <w:tcW w:w="2155" w:type="dxa"/>
            <w:shd w:val="clear" w:color="auto" w:fill="auto"/>
          </w:tcPr>
          <w:p w14:paraId="4A8F9846" w14:textId="77777777" w:rsidR="000D07EA" w:rsidRDefault="00BE7C89">
            <w:pPr>
              <w:pStyle w:val="BodyText"/>
              <w:spacing w:before="100" w:after="100"/>
              <w:rPr>
                <w:b/>
              </w:rPr>
            </w:pPr>
            <w:r>
              <w:rPr>
                <w:b/>
              </w:rPr>
              <w:t>Plan ID</w:t>
            </w:r>
          </w:p>
        </w:tc>
        <w:tc>
          <w:tcPr>
            <w:tcW w:w="3799" w:type="dxa"/>
            <w:shd w:val="clear" w:color="auto" w:fill="auto"/>
          </w:tcPr>
          <w:p w14:paraId="01D19DCF" w14:textId="77777777" w:rsidR="000D07EA" w:rsidRDefault="00BE7C89">
            <w:pPr>
              <w:pStyle w:val="BodyText"/>
              <w:spacing w:before="100" w:after="100"/>
              <w:rPr>
                <w:b/>
              </w:rPr>
            </w:pPr>
            <w:r>
              <w:rPr>
                <w:b/>
              </w:rPr>
              <w:t>Available</w:t>
            </w:r>
          </w:p>
        </w:tc>
      </w:tr>
      <w:tr w:rsidR="000D07EA" w14:paraId="7369F42A" w14:textId="77777777" w:rsidTr="00536F8B">
        <w:tc>
          <w:tcPr>
            <w:tcW w:w="3402" w:type="dxa"/>
            <w:shd w:val="clear" w:color="auto" w:fill="auto"/>
          </w:tcPr>
          <w:p w14:paraId="48FB39D7" w14:textId="77777777" w:rsidR="000D07EA" w:rsidRDefault="00BE7C89">
            <w:pPr>
              <w:pStyle w:val="BodyText"/>
              <w:spacing w:before="100" w:after="100"/>
            </w:pPr>
            <w:r>
              <w:t>$30 My Plan Business SIM</w:t>
            </w:r>
          </w:p>
        </w:tc>
        <w:tc>
          <w:tcPr>
            <w:tcW w:w="2155" w:type="dxa"/>
            <w:shd w:val="clear" w:color="auto" w:fill="auto"/>
          </w:tcPr>
          <w:p w14:paraId="68E6CE49" w14:textId="77777777" w:rsidR="000D07EA" w:rsidRDefault="00BE7C89">
            <w:pPr>
              <w:pStyle w:val="BodyText"/>
              <w:spacing w:before="100" w:after="100"/>
            </w:pPr>
            <w:r>
              <w:t>800264</w:t>
            </w:r>
            <w:r w:rsidR="003C574B">
              <w:t>, 8455004</w:t>
            </w:r>
          </w:p>
        </w:tc>
        <w:tc>
          <w:tcPr>
            <w:tcW w:w="3799" w:type="dxa"/>
            <w:shd w:val="clear" w:color="auto" w:fill="auto"/>
          </w:tcPr>
          <w:p w14:paraId="7984B6E9" w14:textId="77777777" w:rsidR="000D07EA" w:rsidRDefault="00BE7C89">
            <w:pPr>
              <w:pStyle w:val="BodyText"/>
              <w:spacing w:before="100" w:after="100"/>
              <w:jc w:val="center"/>
            </w:pPr>
            <w:r>
              <w:t>10 May 2015 - 21 May 2015</w:t>
            </w:r>
            <w:r>
              <w:br/>
              <w:t>(online)</w:t>
            </w:r>
          </w:p>
        </w:tc>
      </w:tr>
      <w:tr w:rsidR="000D07EA" w14:paraId="2F3F5F1C" w14:textId="77777777" w:rsidTr="00536F8B">
        <w:tc>
          <w:tcPr>
            <w:tcW w:w="3402" w:type="dxa"/>
            <w:shd w:val="clear" w:color="auto" w:fill="auto"/>
          </w:tcPr>
          <w:p w14:paraId="42C8E246" w14:textId="77777777" w:rsidR="000D07EA" w:rsidRDefault="000D07EA">
            <w:pPr>
              <w:pStyle w:val="BodyText"/>
              <w:spacing w:before="100" w:after="100"/>
            </w:pPr>
          </w:p>
        </w:tc>
        <w:tc>
          <w:tcPr>
            <w:tcW w:w="2155" w:type="dxa"/>
            <w:shd w:val="clear" w:color="auto" w:fill="auto"/>
          </w:tcPr>
          <w:p w14:paraId="2F9D6A60" w14:textId="77777777" w:rsidR="000D07EA" w:rsidRDefault="000D07EA">
            <w:pPr>
              <w:pStyle w:val="BodyText"/>
              <w:spacing w:before="100" w:after="100"/>
            </w:pPr>
          </w:p>
        </w:tc>
        <w:tc>
          <w:tcPr>
            <w:tcW w:w="3799" w:type="dxa"/>
            <w:shd w:val="clear" w:color="auto" w:fill="auto"/>
          </w:tcPr>
          <w:p w14:paraId="4506C1A3" w14:textId="77777777" w:rsidR="000D07EA" w:rsidRDefault="00BE7C89">
            <w:pPr>
              <w:pStyle w:val="BodyText"/>
              <w:spacing w:before="100" w:after="100"/>
              <w:jc w:val="center"/>
            </w:pPr>
            <w:r>
              <w:t>22 May 2015 – 1 November 2015</w:t>
            </w:r>
            <w:r>
              <w:br/>
              <w:t>(all channels)</w:t>
            </w:r>
          </w:p>
        </w:tc>
      </w:tr>
      <w:tr w:rsidR="000D07EA" w14:paraId="579F19C6" w14:textId="77777777" w:rsidTr="00536F8B">
        <w:tc>
          <w:tcPr>
            <w:tcW w:w="3402" w:type="dxa"/>
            <w:shd w:val="clear" w:color="auto" w:fill="auto"/>
          </w:tcPr>
          <w:p w14:paraId="2D30874B" w14:textId="77777777" w:rsidR="000D07EA" w:rsidRDefault="00BE7C89">
            <w:pPr>
              <w:pStyle w:val="BodyText"/>
              <w:spacing w:before="100" w:after="100"/>
            </w:pPr>
            <w:r>
              <w:lastRenderedPageBreak/>
              <w:t>$45 My Plan Business SIM</w:t>
            </w:r>
          </w:p>
        </w:tc>
        <w:tc>
          <w:tcPr>
            <w:tcW w:w="2155" w:type="dxa"/>
            <w:shd w:val="clear" w:color="auto" w:fill="auto"/>
          </w:tcPr>
          <w:p w14:paraId="39C32515" w14:textId="77777777" w:rsidR="000D07EA" w:rsidRDefault="00BE7C89">
            <w:pPr>
              <w:pStyle w:val="BodyText"/>
              <w:spacing w:before="100" w:after="100"/>
            </w:pPr>
            <w:r>
              <w:t>800265</w:t>
            </w:r>
            <w:r w:rsidR="003C574B">
              <w:t>, 8454994</w:t>
            </w:r>
          </w:p>
        </w:tc>
        <w:tc>
          <w:tcPr>
            <w:tcW w:w="3799" w:type="dxa"/>
            <w:shd w:val="clear" w:color="auto" w:fill="auto"/>
            <w:vAlign w:val="center"/>
          </w:tcPr>
          <w:p w14:paraId="0E72727F" w14:textId="77777777" w:rsidR="000D07EA" w:rsidRDefault="00BE7C89">
            <w:pPr>
              <w:pStyle w:val="BodyText"/>
              <w:spacing w:before="100" w:after="100"/>
              <w:jc w:val="center"/>
            </w:pPr>
            <w:r>
              <w:t xml:space="preserve">10 May 2015 - 21 May 2015 </w:t>
            </w:r>
            <w:r>
              <w:br/>
              <w:t>(online)</w:t>
            </w:r>
          </w:p>
        </w:tc>
      </w:tr>
      <w:tr w:rsidR="000D07EA" w14:paraId="543F4292" w14:textId="77777777" w:rsidTr="00536F8B">
        <w:tc>
          <w:tcPr>
            <w:tcW w:w="3402" w:type="dxa"/>
            <w:shd w:val="clear" w:color="auto" w:fill="auto"/>
          </w:tcPr>
          <w:p w14:paraId="0DAC9E25" w14:textId="77777777" w:rsidR="000D07EA" w:rsidRDefault="000D07EA">
            <w:pPr>
              <w:pStyle w:val="BodyText"/>
              <w:spacing w:before="100" w:after="100"/>
            </w:pPr>
          </w:p>
        </w:tc>
        <w:tc>
          <w:tcPr>
            <w:tcW w:w="2155" w:type="dxa"/>
            <w:shd w:val="clear" w:color="auto" w:fill="auto"/>
          </w:tcPr>
          <w:p w14:paraId="323BA36B" w14:textId="77777777" w:rsidR="000D07EA" w:rsidRDefault="000D07EA">
            <w:pPr>
              <w:pStyle w:val="BodyText"/>
              <w:spacing w:before="100" w:after="100"/>
            </w:pPr>
          </w:p>
        </w:tc>
        <w:tc>
          <w:tcPr>
            <w:tcW w:w="3799" w:type="dxa"/>
            <w:shd w:val="clear" w:color="auto" w:fill="auto"/>
            <w:vAlign w:val="center"/>
          </w:tcPr>
          <w:p w14:paraId="34F91FA1" w14:textId="77777777" w:rsidR="000D07EA" w:rsidRDefault="00BE7C89">
            <w:pPr>
              <w:pStyle w:val="BodyText"/>
              <w:spacing w:before="100" w:after="100"/>
              <w:jc w:val="center"/>
            </w:pPr>
            <w:r>
              <w:t>22 May 2015 – 1 November 2015</w:t>
            </w:r>
            <w:r>
              <w:br/>
              <w:t>(all channels)</w:t>
            </w:r>
          </w:p>
        </w:tc>
      </w:tr>
      <w:tr w:rsidR="000D07EA" w14:paraId="5E1D101B" w14:textId="77777777" w:rsidTr="00536F8B">
        <w:tc>
          <w:tcPr>
            <w:tcW w:w="3402" w:type="dxa"/>
            <w:shd w:val="clear" w:color="auto" w:fill="auto"/>
          </w:tcPr>
          <w:p w14:paraId="19E9C823" w14:textId="77777777" w:rsidR="000D07EA" w:rsidRDefault="00BE7C89">
            <w:pPr>
              <w:pStyle w:val="BodyText"/>
              <w:spacing w:before="100" w:after="100"/>
            </w:pPr>
            <w:r>
              <w:t>$60 My Plan Business SIM</w:t>
            </w:r>
          </w:p>
        </w:tc>
        <w:tc>
          <w:tcPr>
            <w:tcW w:w="2155" w:type="dxa"/>
            <w:shd w:val="clear" w:color="auto" w:fill="auto"/>
          </w:tcPr>
          <w:p w14:paraId="38AFAC2D" w14:textId="77777777" w:rsidR="000D07EA" w:rsidRDefault="00BE7C89" w:rsidP="003C574B">
            <w:pPr>
              <w:pStyle w:val="BodyText"/>
              <w:spacing w:before="100" w:after="100"/>
            </w:pPr>
            <w:r>
              <w:t>800266</w:t>
            </w:r>
            <w:r w:rsidR="003C574B">
              <w:t>, 8454984</w:t>
            </w:r>
          </w:p>
        </w:tc>
        <w:tc>
          <w:tcPr>
            <w:tcW w:w="3799" w:type="dxa"/>
            <w:shd w:val="clear" w:color="auto" w:fill="auto"/>
            <w:vAlign w:val="center"/>
          </w:tcPr>
          <w:p w14:paraId="466CFC6F" w14:textId="77777777" w:rsidR="000D07EA" w:rsidRDefault="00BE7C89">
            <w:pPr>
              <w:pStyle w:val="BodyText"/>
              <w:spacing w:before="100" w:after="100"/>
              <w:jc w:val="center"/>
            </w:pPr>
            <w:r>
              <w:t>10 May 2015 - 21 May 2015</w:t>
            </w:r>
            <w:r>
              <w:br/>
              <w:t>(online)</w:t>
            </w:r>
          </w:p>
        </w:tc>
      </w:tr>
      <w:tr w:rsidR="000D07EA" w14:paraId="6D2A0C19" w14:textId="77777777" w:rsidTr="00536F8B">
        <w:tc>
          <w:tcPr>
            <w:tcW w:w="3402" w:type="dxa"/>
            <w:shd w:val="clear" w:color="auto" w:fill="auto"/>
          </w:tcPr>
          <w:p w14:paraId="1BFFB739" w14:textId="77777777" w:rsidR="000D07EA" w:rsidRDefault="000D07EA">
            <w:pPr>
              <w:pStyle w:val="BodyText"/>
              <w:spacing w:before="100" w:after="100"/>
            </w:pPr>
          </w:p>
        </w:tc>
        <w:tc>
          <w:tcPr>
            <w:tcW w:w="2155" w:type="dxa"/>
            <w:shd w:val="clear" w:color="auto" w:fill="auto"/>
          </w:tcPr>
          <w:p w14:paraId="3C24D043" w14:textId="77777777" w:rsidR="000D07EA" w:rsidRDefault="000D07EA">
            <w:pPr>
              <w:pStyle w:val="BodyText"/>
              <w:spacing w:before="100" w:after="100"/>
            </w:pPr>
          </w:p>
        </w:tc>
        <w:tc>
          <w:tcPr>
            <w:tcW w:w="3799" w:type="dxa"/>
            <w:shd w:val="clear" w:color="auto" w:fill="auto"/>
            <w:vAlign w:val="center"/>
          </w:tcPr>
          <w:p w14:paraId="6B5669E9" w14:textId="77777777" w:rsidR="000D07EA" w:rsidRDefault="00BE7C89">
            <w:pPr>
              <w:pStyle w:val="BodyText"/>
              <w:spacing w:before="100" w:after="100"/>
              <w:jc w:val="center"/>
            </w:pPr>
            <w:r>
              <w:t>22 May 2015 – 1 November 2015</w:t>
            </w:r>
            <w:r>
              <w:br/>
              <w:t>(all channels)</w:t>
            </w:r>
          </w:p>
        </w:tc>
      </w:tr>
    </w:tbl>
    <w:p w14:paraId="011F100D" w14:textId="77777777" w:rsidR="000D07EA" w:rsidRDefault="000D07EA">
      <w:pPr>
        <w:pStyle w:val="BodyText"/>
      </w:pPr>
    </w:p>
    <w:p w14:paraId="1FB764AB" w14:textId="77777777" w:rsidR="000D07EA" w:rsidRDefault="00BE7C89">
      <w:pPr>
        <w:pStyle w:val="Heading6"/>
      </w:pPr>
      <w:r>
        <w:t>Eligibilities</w:t>
      </w:r>
    </w:p>
    <w:p w14:paraId="599DB276" w14:textId="77777777" w:rsidR="000D07EA" w:rsidRDefault="00BE7C89">
      <w:pPr>
        <w:pStyle w:val="BodyText"/>
        <w:ind w:left="720"/>
      </w:pPr>
      <w:r>
        <w:t xml:space="preserve">The My Plan Business SIM plans are available to new and existing mobile customers connecting to the </w:t>
      </w:r>
      <w:r>
        <w:rPr>
          <w:i/>
        </w:rPr>
        <w:t>service</w:t>
      </w:r>
      <w:r>
        <w:t xml:space="preserve"> who pass Optus' credit assessment. </w:t>
      </w:r>
    </w:p>
    <w:p w14:paraId="11D44302" w14:textId="77777777" w:rsidR="000D07EA" w:rsidRDefault="00BE7C89">
      <w:pPr>
        <w:pStyle w:val="BodyText"/>
        <w:ind w:left="720"/>
      </w:pPr>
      <w:r>
        <w:t>Optus Service Providers' customers are not eligible to apply.</w:t>
      </w:r>
    </w:p>
    <w:p w14:paraId="171B4F56" w14:textId="77777777" w:rsidR="000D07EA" w:rsidRDefault="00BE7C89">
      <w:pPr>
        <w:pStyle w:val="BodyText"/>
        <w:ind w:left="720"/>
      </w:pPr>
      <w:r>
        <w:t xml:space="preserve">These </w:t>
      </w:r>
      <w:r>
        <w:rPr>
          <w:i/>
        </w:rPr>
        <w:t>plans</w:t>
      </w:r>
      <w:r>
        <w:t xml:space="preserve"> aren't compatible for data use with BlackBerry handsets on operating systems of 7.1 or earlier.</w:t>
      </w:r>
    </w:p>
    <w:p w14:paraId="0DBF6525" w14:textId="77777777" w:rsidR="000D07EA" w:rsidRDefault="00BE7C89">
      <w:pPr>
        <w:pStyle w:val="Heading6"/>
      </w:pPr>
      <w:r>
        <w:t>Minimum Term</w:t>
      </w:r>
    </w:p>
    <w:p w14:paraId="0297FA30" w14:textId="77777777" w:rsidR="000D07EA" w:rsidRDefault="00BE7C89">
      <w:pPr>
        <w:pStyle w:val="BodyText"/>
        <w:ind w:left="720"/>
      </w:pPr>
      <w:r>
        <w:t xml:space="preserve">These plans are month to month plans on a </w:t>
      </w:r>
      <w:r>
        <w:rPr>
          <w:i/>
        </w:rPr>
        <w:t>non-fixed length agreement</w:t>
      </w:r>
      <w:r>
        <w:t>.</w:t>
      </w:r>
    </w:p>
    <w:p w14:paraId="1B65AA54" w14:textId="77777777" w:rsidR="000D07EA" w:rsidRDefault="00BE7C89">
      <w:pPr>
        <w:pStyle w:val="Heading6"/>
      </w:pPr>
      <w:r>
        <w:t>What you have to pay us</w:t>
      </w:r>
    </w:p>
    <w:p w14:paraId="26441669" w14:textId="77777777" w:rsidR="000D07EA" w:rsidRDefault="00BE7C89">
      <w:pPr>
        <w:pStyle w:val="Heading7"/>
      </w:pPr>
      <w:r>
        <w:rPr>
          <w:i/>
        </w:rPr>
        <w:t xml:space="preserve">You </w:t>
      </w:r>
      <w:r>
        <w:t xml:space="preserve">must pay </w:t>
      </w:r>
      <w:r>
        <w:rPr>
          <w:i/>
        </w:rPr>
        <w:t xml:space="preserve">us </w:t>
      </w:r>
      <w:r>
        <w:t xml:space="preserve">for use of the </w:t>
      </w:r>
      <w:r>
        <w:rPr>
          <w:i/>
        </w:rPr>
        <w:t xml:space="preserve">service </w:t>
      </w:r>
      <w:r>
        <w:t xml:space="preserve">at the rates set out in Section 1 of this </w:t>
      </w:r>
      <w:r>
        <w:rPr>
          <w:i/>
        </w:rPr>
        <w:t>standard pricing table</w:t>
      </w:r>
      <w:r>
        <w:t xml:space="preserve"> and for value added service features at the rates set out in </w:t>
      </w:r>
      <w:hyperlink r:id="rId588" w:history="1">
        <w:r>
          <w:rPr>
            <w:rStyle w:val="Hyperlink"/>
            <w:i/>
          </w:rPr>
          <w:t>Appendix Y Value Added Service Features</w:t>
        </w:r>
      </w:hyperlink>
      <w:r>
        <w:t>.</w:t>
      </w:r>
    </w:p>
    <w:p w14:paraId="1D1C85F9" w14:textId="77777777" w:rsidR="000D07EA" w:rsidRDefault="00BE7C89">
      <w:pPr>
        <w:pStyle w:val="Heading7"/>
      </w:pPr>
      <w:r>
        <w:t>If there is a flagfall for a particular call type, the charge for these calls is the flagfall amount plus the relevant rate for the call multiplied by the duration of the call.</w:t>
      </w:r>
    </w:p>
    <w:p w14:paraId="6A4C7467" w14:textId="77777777" w:rsidR="000D07EA" w:rsidRDefault="00BE7C89">
      <w:pPr>
        <w:pStyle w:val="Heading7"/>
        <w:rPr>
          <w:b/>
        </w:rPr>
      </w:pPr>
      <w:r>
        <w:rPr>
          <w:b/>
        </w:rPr>
        <w:t xml:space="preserve">Minimum Monthly Charge </w:t>
      </w:r>
    </w:p>
    <w:p w14:paraId="121A702F" w14:textId="77777777" w:rsidR="000D07EA" w:rsidRDefault="00BE7C89">
      <w:pPr>
        <w:pStyle w:val="Heading8"/>
      </w:pPr>
      <w:r>
        <w:t xml:space="preserve">Each My Plan Business SIM has a Minimum Monthly Charge amount that </w:t>
      </w:r>
      <w:r>
        <w:rPr>
          <w:i/>
        </w:rPr>
        <w:t>you</w:t>
      </w:r>
      <w:r>
        <w:t xml:space="preserve"> must pay </w:t>
      </w:r>
      <w:r>
        <w:rPr>
          <w:i/>
        </w:rPr>
        <w:t>us</w:t>
      </w:r>
      <w:r>
        <w:t xml:space="preserve"> each month as set out in Table 1 below.  </w:t>
      </w:r>
    </w:p>
    <w:p w14:paraId="1B4E699B" w14:textId="77777777" w:rsidR="000D07EA" w:rsidRDefault="00BE7C89">
      <w:pPr>
        <w:pStyle w:val="Heading8"/>
      </w:pPr>
      <w:r>
        <w:rPr>
          <w:i/>
        </w:rPr>
        <w:t xml:space="preserve">You </w:t>
      </w:r>
      <w:r>
        <w:t xml:space="preserve">may purchase a mobile phone (or 'handset') with a 1 month, 12 month or 24 month </w:t>
      </w:r>
      <w:r>
        <w:rPr>
          <w:i/>
        </w:rPr>
        <w:t>equipment term</w:t>
      </w:r>
      <w:r>
        <w:t xml:space="preserve"> under a </w:t>
      </w:r>
      <w:r>
        <w:rPr>
          <w:i/>
        </w:rPr>
        <w:t>mobile equipment payment plan</w:t>
      </w:r>
      <w:r>
        <w:t xml:space="preserve"> (set out in</w:t>
      </w:r>
      <w:r>
        <w:rPr>
          <w:i/>
        </w:rPr>
        <w:t xml:space="preserve"> </w:t>
      </w:r>
      <w:hyperlink r:id="rId589" w:history="1">
        <w:r w:rsidRPr="005855A1">
          <w:rPr>
            <w:rStyle w:val="Hyperlink"/>
            <w:i/>
          </w:rPr>
          <w:t>Appendix D</w:t>
        </w:r>
      </w:hyperlink>
      <w:r>
        <w:t xml:space="preserve">). </w:t>
      </w:r>
    </w:p>
    <w:p w14:paraId="2A36316F" w14:textId="77777777" w:rsidR="000D07EA" w:rsidRDefault="00BE7C89">
      <w:pPr>
        <w:pStyle w:val="Heading6"/>
      </w:pPr>
      <w:r>
        <w:t>How My Plan Business SIM works</w:t>
      </w:r>
    </w:p>
    <w:p w14:paraId="7C1325CB" w14:textId="77777777" w:rsidR="000D07EA" w:rsidRDefault="00BE7C89">
      <w:pPr>
        <w:pStyle w:val="Heading7"/>
      </w:pPr>
      <w:r>
        <w:t>Each My Plan Business SIM has unlimited minutes to use on standard national calls to landlines and mobiles, 13/1300 numbers and voicemail retrievals Included Data (for mobile internet use) to share with other services on a My Plan Plus, My Plan Plus SIM Only, My Plan Business (including Tech Fund), My Plan Business SIM, My Mobile Broadband Plus, Mobile Broadband Business or Shared Data Plan on the same account. These plans also include unlimited standard national SMS/MMS and unlimited standard International SMS/MMS to selected countries. The $45/$60 plans have an amount of included international minutes to use on standard international calls to selected countries.</w:t>
      </w:r>
    </w:p>
    <w:p w14:paraId="059DDEFA" w14:textId="77777777" w:rsidR="000D07EA" w:rsidRDefault="00BE7C89">
      <w:pPr>
        <w:pStyle w:val="Heading7"/>
      </w:pPr>
      <w:r>
        <w:t>Data usage is calculated in one kilobyte increments. Plans that don't have unlimited minutes calculate usage in one minute increments. International minutes are billed in one minute increments.</w:t>
      </w:r>
    </w:p>
    <w:p w14:paraId="147FC49C" w14:textId="77777777" w:rsidR="000D07EA" w:rsidRDefault="00BE7C89">
      <w:pPr>
        <w:pStyle w:val="Heading7"/>
      </w:pPr>
      <w:r>
        <w:lastRenderedPageBreak/>
        <w:t xml:space="preserve">If </w:t>
      </w:r>
      <w:r>
        <w:rPr>
          <w:i/>
        </w:rPr>
        <w:t xml:space="preserve">you </w:t>
      </w:r>
      <w:r>
        <w:t xml:space="preserve">exceed your included shareable data you'll automatically be charged $10 for each additional 1GB of data ("Additional Data") that you use (or part thereof). Previously you could use up to 60GB extra on your account but from 02/08/2015, we're increasing it to 150GB of extra data per account each month. Your service/s may then be restricted or we may continue to charge you at these rates.   </w:t>
      </w:r>
    </w:p>
    <w:p w14:paraId="04A65976" w14:textId="77777777" w:rsidR="000D07EA" w:rsidRDefault="00BE7C89">
      <w:pPr>
        <w:pStyle w:val="Heading7"/>
      </w:pPr>
      <w:r>
        <w:t xml:space="preserve">Any unused portion of </w:t>
      </w:r>
      <w:r>
        <w:rPr>
          <w:i/>
        </w:rPr>
        <w:t>your plan's</w:t>
      </w:r>
      <w:r>
        <w:t xml:space="preserve"> Included Minutes, Included or Additional Data or International Minutes expires at the end of each month and does not roll over into the next month.</w:t>
      </w:r>
    </w:p>
    <w:p w14:paraId="7CC2AD99" w14:textId="77777777" w:rsidR="000D07EA" w:rsidRDefault="00BE7C89">
      <w:pPr>
        <w:pStyle w:val="Heading7"/>
      </w:pPr>
      <w:r>
        <w:rPr>
          <w:i/>
        </w:rPr>
        <w:t>You</w:t>
      </w:r>
      <w:r>
        <w:t xml:space="preserve"> must pay </w:t>
      </w:r>
      <w:r>
        <w:rPr>
          <w:i/>
        </w:rPr>
        <w:t>us</w:t>
      </w:r>
      <w:r>
        <w:t xml:space="preserve"> for use of any services that are not included in </w:t>
      </w:r>
      <w:r>
        <w:rPr>
          <w:i/>
        </w:rPr>
        <w:t>your</w:t>
      </w:r>
      <w:r>
        <w:t xml:space="preserve"> plan's inclusions, examples of which are set out in Table 2 below.</w:t>
      </w:r>
    </w:p>
    <w:p w14:paraId="538ACD74" w14:textId="77777777" w:rsidR="000D07EA" w:rsidRDefault="00BE7C89">
      <w:pPr>
        <w:pStyle w:val="Heading6"/>
      </w:pPr>
      <w:r>
        <w:t>Data Sharing</w:t>
      </w:r>
    </w:p>
    <w:p w14:paraId="0EF8B32F" w14:textId="77777777" w:rsidR="000D07EA" w:rsidRDefault="00BE7C89">
      <w:pPr>
        <w:pStyle w:val="Heading7"/>
      </w:pPr>
      <w:r>
        <w:t>If you have more than one My Plan Plus, My Plan Plus SIM Only, My Plan Business (including Tech Fund), My Plan Business SIM, My Mobile Broadband Plus or Mobile Broadband Business on the same billing account, the included data will combine into one data pool, which will be shared by all eligible services on that account.</w:t>
      </w:r>
    </w:p>
    <w:p w14:paraId="75FED5F5" w14:textId="77777777" w:rsidR="000D07EA" w:rsidRDefault="00BE7C89">
      <w:pPr>
        <w:pStyle w:val="Heading7"/>
      </w:pPr>
      <w:r>
        <w:rPr>
          <w:i/>
        </w:rPr>
        <w:t>You</w:t>
      </w:r>
      <w:r>
        <w:t xml:space="preserve"> can also share the Included Data in your My Plan Business SIM plan with up to five (5) SIM-ready mobile broadband devices (eg tablets, USB modems and laptops). You must connect these mobile broadband devices to Shared Data Plans which have a $5 set up fee each and no ongoing monthly charges. </w:t>
      </w:r>
    </w:p>
    <w:p w14:paraId="4C630792" w14:textId="77777777" w:rsidR="000D07EA" w:rsidRDefault="00BE7C89">
      <w:pPr>
        <w:pStyle w:val="Heading7"/>
      </w:pPr>
      <w:r>
        <w:rPr>
          <w:i/>
        </w:rPr>
        <w:t>We</w:t>
      </w:r>
      <w:r>
        <w:t xml:space="preserve"> may place a limit on the number of Shared Data Plans you can have, based on our credit criteria.</w:t>
      </w:r>
    </w:p>
    <w:p w14:paraId="0E2657B7" w14:textId="77777777" w:rsidR="000D07EA" w:rsidRDefault="00BE7C89">
      <w:pPr>
        <w:pStyle w:val="Heading7"/>
      </w:pPr>
      <w:r>
        <w:t>Shared Data Plans do not have any Included Data, and cannot be used to make calls.</w:t>
      </w:r>
    </w:p>
    <w:p w14:paraId="6FFFBBA1" w14:textId="77777777" w:rsidR="000D07EA" w:rsidRDefault="00BE7C89">
      <w:pPr>
        <w:pStyle w:val="Heading7"/>
      </w:pPr>
      <w:r>
        <w:rPr>
          <w:i/>
        </w:rPr>
        <w:t>You</w:t>
      </w:r>
      <w:r>
        <w:t xml:space="preserve"> can purchase one mobile broadband device per Shared Data Plan, and pay for it in full on your first bill, or pay it off over 12 or 24 months on a Mobile Equipment Payment Plan (see Appendix D).</w:t>
      </w:r>
    </w:p>
    <w:p w14:paraId="40CDF983" w14:textId="77777777" w:rsidR="000D07EA" w:rsidRDefault="00BE7C89">
      <w:pPr>
        <w:pStyle w:val="Heading7"/>
      </w:pPr>
      <w:r>
        <w:t xml:space="preserve">If </w:t>
      </w:r>
      <w:r>
        <w:rPr>
          <w:i/>
        </w:rPr>
        <w:t>you</w:t>
      </w:r>
      <w:r>
        <w:t xml:space="preserve"> do not want your services on any My Plan Plus, My Plan Plus SIM Only, My Plan Business (including Tech Fund), My Plan Business SIM, My Mobile Broadband Plus or Mobile Broadband Business plans to share data, they need to be on separate billing accounts. </w:t>
      </w:r>
    </w:p>
    <w:p w14:paraId="38E9F154" w14:textId="77777777" w:rsidR="000D07EA" w:rsidRDefault="00BE7C89">
      <w:pPr>
        <w:pStyle w:val="Heading7"/>
      </w:pPr>
      <w:r>
        <w:t>Data sharing is only available within Australia</w:t>
      </w:r>
    </w:p>
    <w:p w14:paraId="01DBFC16" w14:textId="77777777" w:rsidR="000D07EA" w:rsidRDefault="00BE7C89">
      <w:pPr>
        <w:pStyle w:val="Heading6"/>
      </w:pPr>
      <w:r>
        <w:t>International Minutes</w:t>
      </w:r>
    </w:p>
    <w:p w14:paraId="6F627FED" w14:textId="77777777" w:rsidR="000D07EA" w:rsidRDefault="00BE7C89">
      <w:pPr>
        <w:pStyle w:val="BodyText"/>
        <w:ind w:left="720"/>
      </w:pPr>
      <w:r>
        <w:t>The $45/$60 My Plan Business SIM includes up to 150/300 international minutes (respectively) for standard calls to mobiles and fixed lines in selected countries. For a list of selected countries see Table 3 below.</w:t>
      </w:r>
    </w:p>
    <w:p w14:paraId="30D2A02F" w14:textId="77777777" w:rsidR="000D07EA" w:rsidRDefault="00BE7C89">
      <w:pPr>
        <w:pStyle w:val="BodyText"/>
        <w:ind w:left="720"/>
      </w:pPr>
      <w:r>
        <w:t xml:space="preserve">Calls are charged per minute. When included minutes for calls to selected countries are used up, standard 'yes' international call charges apply. </w:t>
      </w:r>
    </w:p>
    <w:p w14:paraId="1B580A03" w14:textId="77777777" w:rsidR="000D07EA" w:rsidRDefault="00BE7C89">
      <w:pPr>
        <w:pStyle w:val="Heading6"/>
      </w:pPr>
      <w:r>
        <w:t>Unlimited standard national SMS and MMS</w:t>
      </w:r>
    </w:p>
    <w:p w14:paraId="1B84CDE3" w14:textId="77777777" w:rsidR="000D07EA" w:rsidRDefault="00BE7C89">
      <w:pPr>
        <w:pStyle w:val="BodyText"/>
        <w:ind w:left="720"/>
      </w:pPr>
      <w:r>
        <w:rPr>
          <w:i/>
        </w:rPr>
        <w:t xml:space="preserve">You </w:t>
      </w:r>
      <w:r>
        <w:t>may send standard unlimited SMS and MMS to Australian mobiles from within Australia.</w:t>
      </w:r>
    </w:p>
    <w:p w14:paraId="50DB4B2A" w14:textId="77777777" w:rsidR="000D07EA" w:rsidRDefault="00BE7C89">
      <w:pPr>
        <w:pStyle w:val="BodyText"/>
        <w:ind w:left="720"/>
      </w:pPr>
      <w:r>
        <w:t xml:space="preserve">Unlimited standard national SMS and MMS are only available for personal use and are not to be used for a commercial or non-ordinary purpose as set out in the Fair Go Policy. For further details refer to </w:t>
      </w:r>
      <w:hyperlink r:id="rId590" w:history="1">
        <w:r w:rsidR="00334B99">
          <w:rPr>
            <w:rStyle w:val="Hyperlink"/>
            <w:i/>
          </w:rPr>
          <w:t>Appendix S</w:t>
        </w:r>
      </w:hyperlink>
      <w:r>
        <w:t>.</w:t>
      </w:r>
    </w:p>
    <w:p w14:paraId="07DF71F6" w14:textId="77777777" w:rsidR="000D07EA" w:rsidRDefault="00BE7C89">
      <w:pPr>
        <w:pStyle w:val="Heading6"/>
      </w:pPr>
      <w:r>
        <w:t>Unlimited standard international SMS and MMS</w:t>
      </w:r>
    </w:p>
    <w:p w14:paraId="2223ACD5" w14:textId="77777777" w:rsidR="000D07EA" w:rsidRDefault="00BE7C89">
      <w:pPr>
        <w:pStyle w:val="BodyText"/>
        <w:ind w:left="720"/>
      </w:pPr>
      <w:r>
        <w:rPr>
          <w:u w:val="single"/>
        </w:rPr>
        <w:t>You</w:t>
      </w:r>
      <w:r>
        <w:t xml:space="preserve"> may send unlimited standard SMS and MMS to selected countries as set out in Table 3 below.</w:t>
      </w:r>
    </w:p>
    <w:p w14:paraId="4DAA1F46" w14:textId="77777777" w:rsidR="000D07EA" w:rsidRDefault="00BE7C89">
      <w:pPr>
        <w:pStyle w:val="BodyText"/>
        <w:ind w:left="720"/>
      </w:pPr>
      <w:r>
        <w:t xml:space="preserve">Unlimited standard SMS and MMS are only available for personal use and are not to be used for a commercial or non-ordinary purpose as set out in the Fair Go Policy. For further details refer to </w:t>
      </w:r>
      <w:hyperlink r:id="rId591" w:history="1">
        <w:r w:rsidR="00334B99">
          <w:rPr>
            <w:rStyle w:val="Hyperlink"/>
            <w:i/>
          </w:rPr>
          <w:t>Appendix S</w:t>
        </w:r>
      </w:hyperlink>
      <w:r>
        <w:t>.</w:t>
      </w:r>
    </w:p>
    <w:p w14:paraId="127EAD9A" w14:textId="77777777" w:rsidR="000D07EA" w:rsidRDefault="00BE7C89">
      <w:pPr>
        <w:pStyle w:val="BodyText"/>
        <w:ind w:left="720"/>
        <w:rPr>
          <w:b/>
        </w:rPr>
      </w:pPr>
      <w:r>
        <w:rPr>
          <w:b/>
        </w:rPr>
        <w:lastRenderedPageBreak/>
        <w:t>Table 1 -Plan Inclusions and Charges</w:t>
      </w:r>
    </w:p>
    <w:tbl>
      <w:tblPr>
        <w:tblW w:w="965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3355"/>
        <w:gridCol w:w="2100"/>
        <w:gridCol w:w="2100"/>
        <w:gridCol w:w="2100"/>
      </w:tblGrid>
      <w:tr w:rsidR="000D07EA" w14:paraId="4CD0E0BF" w14:textId="77777777">
        <w:trPr>
          <w:tblHeader/>
        </w:trPr>
        <w:tc>
          <w:tcPr>
            <w:tcW w:w="3355" w:type="dxa"/>
            <w:shd w:val="clear" w:color="auto" w:fill="auto"/>
          </w:tcPr>
          <w:p w14:paraId="20D6B960" w14:textId="77777777" w:rsidR="000D07EA" w:rsidRDefault="000D07EA">
            <w:pPr>
              <w:pStyle w:val="BodyText"/>
              <w:spacing w:before="100" w:after="100"/>
              <w:jc w:val="center"/>
            </w:pPr>
          </w:p>
        </w:tc>
        <w:tc>
          <w:tcPr>
            <w:tcW w:w="2100" w:type="dxa"/>
            <w:vAlign w:val="center"/>
          </w:tcPr>
          <w:p w14:paraId="689255D7" w14:textId="77777777" w:rsidR="000D07EA" w:rsidRDefault="00BE7C89">
            <w:pPr>
              <w:pStyle w:val="BodyText"/>
              <w:spacing w:before="100" w:after="100"/>
              <w:jc w:val="center"/>
              <w:rPr>
                <w:b/>
              </w:rPr>
            </w:pPr>
            <w:r>
              <w:rPr>
                <w:b/>
              </w:rPr>
              <w:t>$30 My Plan Business SIM</w:t>
            </w:r>
          </w:p>
        </w:tc>
        <w:tc>
          <w:tcPr>
            <w:tcW w:w="2100" w:type="dxa"/>
            <w:shd w:val="clear" w:color="auto" w:fill="auto"/>
            <w:vAlign w:val="center"/>
          </w:tcPr>
          <w:p w14:paraId="50F3FB43" w14:textId="77777777" w:rsidR="000D07EA" w:rsidRDefault="00BE7C89">
            <w:pPr>
              <w:pStyle w:val="BodyText"/>
              <w:spacing w:before="100" w:after="100"/>
              <w:jc w:val="center"/>
              <w:rPr>
                <w:b/>
              </w:rPr>
            </w:pPr>
            <w:r>
              <w:rPr>
                <w:b/>
              </w:rPr>
              <w:t>$45 My Plan Business SIM</w:t>
            </w:r>
          </w:p>
        </w:tc>
        <w:tc>
          <w:tcPr>
            <w:tcW w:w="2100" w:type="dxa"/>
            <w:shd w:val="clear" w:color="auto" w:fill="auto"/>
          </w:tcPr>
          <w:p w14:paraId="3AFB113B" w14:textId="77777777" w:rsidR="000D07EA" w:rsidRDefault="00BE7C89">
            <w:pPr>
              <w:pStyle w:val="BodyText"/>
              <w:spacing w:before="100" w:after="100"/>
              <w:jc w:val="center"/>
              <w:rPr>
                <w:b/>
              </w:rPr>
            </w:pPr>
            <w:r>
              <w:rPr>
                <w:b/>
              </w:rPr>
              <w:t>$60 My Plan Business SIM</w:t>
            </w:r>
          </w:p>
        </w:tc>
      </w:tr>
      <w:tr w:rsidR="000D07EA" w14:paraId="0CB7C3BA" w14:textId="77777777">
        <w:tc>
          <w:tcPr>
            <w:tcW w:w="3355" w:type="dxa"/>
            <w:shd w:val="clear" w:color="auto" w:fill="auto"/>
          </w:tcPr>
          <w:p w14:paraId="044AD0D6" w14:textId="77777777" w:rsidR="000D07EA" w:rsidRDefault="00BE7C89">
            <w:pPr>
              <w:pStyle w:val="BodyText"/>
              <w:spacing w:before="100" w:after="100"/>
              <w:rPr>
                <w:b/>
              </w:rPr>
            </w:pPr>
            <w:r>
              <w:rPr>
                <w:b/>
              </w:rPr>
              <w:t>Minimum Monthly charge</w:t>
            </w:r>
          </w:p>
        </w:tc>
        <w:tc>
          <w:tcPr>
            <w:tcW w:w="2100" w:type="dxa"/>
            <w:vAlign w:val="center"/>
          </w:tcPr>
          <w:p w14:paraId="453A663A" w14:textId="77777777" w:rsidR="000D07EA" w:rsidRDefault="00BE7C89">
            <w:pPr>
              <w:pStyle w:val="BodyText"/>
              <w:spacing w:before="100" w:after="100"/>
              <w:jc w:val="center"/>
            </w:pPr>
            <w:r>
              <w:t>$30</w:t>
            </w:r>
          </w:p>
        </w:tc>
        <w:tc>
          <w:tcPr>
            <w:tcW w:w="2100" w:type="dxa"/>
            <w:shd w:val="clear" w:color="auto" w:fill="auto"/>
            <w:vAlign w:val="center"/>
          </w:tcPr>
          <w:p w14:paraId="6C7099A8" w14:textId="77777777" w:rsidR="000D07EA" w:rsidRDefault="00BE7C89">
            <w:pPr>
              <w:pStyle w:val="BodyText"/>
              <w:spacing w:before="100" w:after="100"/>
              <w:jc w:val="center"/>
            </w:pPr>
            <w:r>
              <w:t>$45</w:t>
            </w:r>
          </w:p>
        </w:tc>
        <w:tc>
          <w:tcPr>
            <w:tcW w:w="2100" w:type="dxa"/>
            <w:shd w:val="clear" w:color="auto" w:fill="auto"/>
            <w:vAlign w:val="center"/>
          </w:tcPr>
          <w:p w14:paraId="36C3B306" w14:textId="77777777" w:rsidR="000D07EA" w:rsidRDefault="00BE7C89">
            <w:pPr>
              <w:pStyle w:val="BodyText"/>
              <w:spacing w:before="100" w:after="100"/>
              <w:jc w:val="center"/>
            </w:pPr>
            <w:r>
              <w:t>$60</w:t>
            </w:r>
          </w:p>
        </w:tc>
      </w:tr>
      <w:tr w:rsidR="000D07EA" w14:paraId="34329CF0" w14:textId="77777777">
        <w:tc>
          <w:tcPr>
            <w:tcW w:w="3355" w:type="dxa"/>
            <w:shd w:val="clear" w:color="auto" w:fill="auto"/>
          </w:tcPr>
          <w:p w14:paraId="00DC622F" w14:textId="77777777" w:rsidR="000D07EA" w:rsidRDefault="00BE7C89">
            <w:pPr>
              <w:pStyle w:val="BodyText"/>
              <w:spacing w:before="100" w:after="100"/>
              <w:rPr>
                <w:b/>
              </w:rPr>
            </w:pPr>
            <w:r>
              <w:rPr>
                <w:b/>
              </w:rPr>
              <w:t>Included Data</w:t>
            </w:r>
          </w:p>
        </w:tc>
        <w:tc>
          <w:tcPr>
            <w:tcW w:w="2100" w:type="dxa"/>
            <w:vAlign w:val="center"/>
          </w:tcPr>
          <w:p w14:paraId="21AF4D9D" w14:textId="77777777" w:rsidR="000D07EA" w:rsidRDefault="00BE7C89">
            <w:pPr>
              <w:pStyle w:val="BodyText"/>
              <w:spacing w:before="100" w:after="100"/>
              <w:jc w:val="center"/>
            </w:pPr>
            <w:r>
              <w:t>1GB</w:t>
            </w:r>
          </w:p>
        </w:tc>
        <w:tc>
          <w:tcPr>
            <w:tcW w:w="2100" w:type="dxa"/>
            <w:shd w:val="clear" w:color="auto" w:fill="auto"/>
            <w:vAlign w:val="center"/>
          </w:tcPr>
          <w:p w14:paraId="5D413DC7" w14:textId="77777777" w:rsidR="000D07EA" w:rsidRDefault="00BE7C89">
            <w:pPr>
              <w:pStyle w:val="BodyText"/>
              <w:spacing w:before="100" w:after="100"/>
              <w:jc w:val="center"/>
            </w:pPr>
            <w:r>
              <w:t>4GB</w:t>
            </w:r>
          </w:p>
        </w:tc>
        <w:tc>
          <w:tcPr>
            <w:tcW w:w="2100" w:type="dxa"/>
            <w:shd w:val="clear" w:color="auto" w:fill="auto"/>
            <w:vAlign w:val="center"/>
          </w:tcPr>
          <w:p w14:paraId="2AEBD40C" w14:textId="77777777" w:rsidR="000D07EA" w:rsidRDefault="00BE7C89">
            <w:pPr>
              <w:pStyle w:val="BodyText"/>
              <w:spacing w:before="100" w:after="100"/>
              <w:jc w:val="center"/>
            </w:pPr>
            <w:r>
              <w:t>8GB</w:t>
            </w:r>
          </w:p>
        </w:tc>
      </w:tr>
      <w:tr w:rsidR="000D07EA" w14:paraId="783997A6" w14:textId="77777777">
        <w:tc>
          <w:tcPr>
            <w:tcW w:w="3355" w:type="dxa"/>
            <w:shd w:val="clear" w:color="auto" w:fill="auto"/>
          </w:tcPr>
          <w:p w14:paraId="14BB6F18" w14:textId="77777777" w:rsidR="000D07EA" w:rsidRDefault="00BE7C89">
            <w:pPr>
              <w:pStyle w:val="BodyText"/>
              <w:spacing w:before="100" w:after="100"/>
            </w:pPr>
            <w:r>
              <w:rPr>
                <w:b/>
              </w:rPr>
              <w:t xml:space="preserve">Included Minutes </w:t>
            </w:r>
            <w:r>
              <w:t>for standard national calls to landlines and mobiles, 1300 numbers and voicemail, within Australia</w:t>
            </w:r>
          </w:p>
        </w:tc>
        <w:tc>
          <w:tcPr>
            <w:tcW w:w="2100" w:type="dxa"/>
            <w:vAlign w:val="center"/>
          </w:tcPr>
          <w:p w14:paraId="75A19F44" w14:textId="77777777" w:rsidR="000D07EA" w:rsidRDefault="00BE7C89">
            <w:pPr>
              <w:pStyle w:val="BodyText"/>
              <w:spacing w:before="100" w:after="100"/>
              <w:jc w:val="center"/>
            </w:pPr>
            <w:r>
              <w:t>Unlimited</w:t>
            </w:r>
          </w:p>
        </w:tc>
        <w:tc>
          <w:tcPr>
            <w:tcW w:w="2100" w:type="dxa"/>
            <w:shd w:val="clear" w:color="auto" w:fill="auto"/>
            <w:vAlign w:val="center"/>
          </w:tcPr>
          <w:p w14:paraId="5467F2B5" w14:textId="77777777" w:rsidR="000D07EA" w:rsidRDefault="00BE7C89">
            <w:pPr>
              <w:pStyle w:val="BodyText"/>
              <w:spacing w:before="100" w:after="100"/>
              <w:jc w:val="center"/>
            </w:pPr>
            <w:r>
              <w:t>Unlimited</w:t>
            </w:r>
          </w:p>
        </w:tc>
        <w:tc>
          <w:tcPr>
            <w:tcW w:w="2100" w:type="dxa"/>
            <w:shd w:val="clear" w:color="auto" w:fill="auto"/>
            <w:vAlign w:val="center"/>
          </w:tcPr>
          <w:p w14:paraId="32D6DF19" w14:textId="77777777" w:rsidR="000D07EA" w:rsidRDefault="00BE7C89">
            <w:pPr>
              <w:pStyle w:val="BodyText"/>
              <w:spacing w:before="100" w:after="100"/>
              <w:jc w:val="center"/>
            </w:pPr>
            <w:r>
              <w:t>Unlimited</w:t>
            </w:r>
          </w:p>
        </w:tc>
      </w:tr>
      <w:tr w:rsidR="000D07EA" w14:paraId="68C11101" w14:textId="77777777">
        <w:tc>
          <w:tcPr>
            <w:tcW w:w="3355" w:type="dxa"/>
            <w:shd w:val="clear" w:color="auto" w:fill="auto"/>
          </w:tcPr>
          <w:p w14:paraId="547BA5C7" w14:textId="77777777" w:rsidR="000D07EA" w:rsidRDefault="00BE7C89">
            <w:pPr>
              <w:pStyle w:val="BodyText"/>
              <w:spacing w:before="100" w:after="100"/>
              <w:rPr>
                <w:b/>
              </w:rPr>
            </w:pPr>
            <w:r>
              <w:rPr>
                <w:b/>
              </w:rPr>
              <w:t>Included International Minutes</w:t>
            </w:r>
          </w:p>
          <w:p w14:paraId="2693A17B" w14:textId="77777777" w:rsidR="000D07EA" w:rsidRDefault="00BE7C89">
            <w:pPr>
              <w:pStyle w:val="BodyText"/>
              <w:spacing w:before="100" w:after="100"/>
            </w:pPr>
            <w:r>
              <w:t>Standard international calls to landlines and mobiles to selected countries</w:t>
            </w:r>
          </w:p>
        </w:tc>
        <w:tc>
          <w:tcPr>
            <w:tcW w:w="2100" w:type="dxa"/>
            <w:vAlign w:val="center"/>
          </w:tcPr>
          <w:p w14:paraId="08A6AB87" w14:textId="77777777" w:rsidR="000D07EA" w:rsidRDefault="00BE7C89">
            <w:pPr>
              <w:pStyle w:val="BodyText"/>
              <w:spacing w:before="100" w:after="100"/>
              <w:jc w:val="center"/>
            </w:pPr>
            <w:r>
              <w:t>Not included</w:t>
            </w:r>
          </w:p>
        </w:tc>
        <w:tc>
          <w:tcPr>
            <w:tcW w:w="2100" w:type="dxa"/>
            <w:shd w:val="clear" w:color="auto" w:fill="auto"/>
            <w:vAlign w:val="center"/>
          </w:tcPr>
          <w:p w14:paraId="7D0F0439" w14:textId="77777777" w:rsidR="000D07EA" w:rsidRDefault="00BE7C89">
            <w:pPr>
              <w:pStyle w:val="BodyText"/>
              <w:spacing w:before="100" w:after="100"/>
              <w:jc w:val="center"/>
            </w:pPr>
            <w:r>
              <w:t>Up to 150 mins</w:t>
            </w:r>
          </w:p>
        </w:tc>
        <w:tc>
          <w:tcPr>
            <w:tcW w:w="2100" w:type="dxa"/>
            <w:shd w:val="clear" w:color="auto" w:fill="auto"/>
            <w:vAlign w:val="center"/>
          </w:tcPr>
          <w:p w14:paraId="44220906" w14:textId="77777777" w:rsidR="000D07EA" w:rsidRDefault="00BE7C89">
            <w:pPr>
              <w:pStyle w:val="BodyText"/>
              <w:spacing w:before="100" w:after="100"/>
              <w:jc w:val="center"/>
            </w:pPr>
            <w:r>
              <w:t>Up to 300 mins</w:t>
            </w:r>
          </w:p>
        </w:tc>
      </w:tr>
      <w:tr w:rsidR="000D07EA" w14:paraId="060D17AB" w14:textId="77777777">
        <w:tc>
          <w:tcPr>
            <w:tcW w:w="3355" w:type="dxa"/>
            <w:shd w:val="clear" w:color="auto" w:fill="auto"/>
          </w:tcPr>
          <w:p w14:paraId="51B64DCC" w14:textId="77777777" w:rsidR="000D07EA" w:rsidRDefault="00BE7C89">
            <w:pPr>
              <w:pStyle w:val="BodyText"/>
              <w:spacing w:before="100" w:after="100"/>
            </w:pPr>
            <w:r>
              <w:rPr>
                <w:b/>
              </w:rPr>
              <w:t xml:space="preserve">Standard national SMS </w:t>
            </w:r>
            <w:r>
              <w:t>(per SMS of up to 160 standard characters)</w:t>
            </w:r>
          </w:p>
        </w:tc>
        <w:tc>
          <w:tcPr>
            <w:tcW w:w="2100" w:type="dxa"/>
            <w:vAlign w:val="center"/>
          </w:tcPr>
          <w:p w14:paraId="59D35D4E" w14:textId="77777777" w:rsidR="000D07EA" w:rsidRDefault="00BE7C89">
            <w:pPr>
              <w:pStyle w:val="BodyText"/>
              <w:spacing w:before="100" w:after="100"/>
              <w:jc w:val="center"/>
            </w:pPr>
            <w:r>
              <w:t>Unlimited</w:t>
            </w:r>
          </w:p>
        </w:tc>
        <w:tc>
          <w:tcPr>
            <w:tcW w:w="2100" w:type="dxa"/>
            <w:shd w:val="clear" w:color="auto" w:fill="auto"/>
            <w:vAlign w:val="center"/>
          </w:tcPr>
          <w:p w14:paraId="1CAF5D25" w14:textId="77777777" w:rsidR="000D07EA" w:rsidRDefault="00BE7C89">
            <w:pPr>
              <w:pStyle w:val="BodyText"/>
              <w:spacing w:before="100" w:after="100"/>
              <w:jc w:val="center"/>
            </w:pPr>
            <w:r>
              <w:t>Unlimited</w:t>
            </w:r>
          </w:p>
        </w:tc>
        <w:tc>
          <w:tcPr>
            <w:tcW w:w="2100" w:type="dxa"/>
            <w:shd w:val="clear" w:color="auto" w:fill="auto"/>
            <w:vAlign w:val="center"/>
          </w:tcPr>
          <w:p w14:paraId="0E9505D3" w14:textId="77777777" w:rsidR="000D07EA" w:rsidRDefault="00BE7C89">
            <w:pPr>
              <w:pStyle w:val="BodyText"/>
              <w:spacing w:before="100" w:after="100"/>
              <w:jc w:val="center"/>
            </w:pPr>
            <w:r>
              <w:t>Unlimited</w:t>
            </w:r>
          </w:p>
        </w:tc>
      </w:tr>
      <w:tr w:rsidR="000D07EA" w14:paraId="19A1B9DF" w14:textId="77777777">
        <w:tc>
          <w:tcPr>
            <w:tcW w:w="3355" w:type="dxa"/>
            <w:shd w:val="clear" w:color="auto" w:fill="auto"/>
          </w:tcPr>
          <w:p w14:paraId="3F51AE73" w14:textId="77777777" w:rsidR="000D07EA" w:rsidRDefault="00BE7C89">
            <w:pPr>
              <w:pStyle w:val="BodyText"/>
              <w:spacing w:before="100" w:after="100"/>
            </w:pPr>
            <w:r>
              <w:rPr>
                <w:b/>
              </w:rPr>
              <w:t>Standard national MMS</w:t>
            </w:r>
            <w:r>
              <w:t xml:space="preserve"> (per message)</w:t>
            </w:r>
          </w:p>
        </w:tc>
        <w:tc>
          <w:tcPr>
            <w:tcW w:w="2100" w:type="dxa"/>
            <w:vAlign w:val="center"/>
          </w:tcPr>
          <w:p w14:paraId="3B9E3583" w14:textId="77777777" w:rsidR="000D07EA" w:rsidRDefault="00BE7C89">
            <w:pPr>
              <w:pStyle w:val="BodyText"/>
              <w:spacing w:before="100" w:after="100"/>
              <w:jc w:val="center"/>
            </w:pPr>
            <w:r>
              <w:t>Unlimited</w:t>
            </w:r>
          </w:p>
        </w:tc>
        <w:tc>
          <w:tcPr>
            <w:tcW w:w="2100" w:type="dxa"/>
            <w:shd w:val="clear" w:color="auto" w:fill="auto"/>
            <w:vAlign w:val="center"/>
          </w:tcPr>
          <w:p w14:paraId="3F77C439" w14:textId="77777777" w:rsidR="000D07EA" w:rsidRDefault="00BE7C89">
            <w:pPr>
              <w:pStyle w:val="BodyText"/>
              <w:spacing w:before="100" w:after="100"/>
              <w:jc w:val="center"/>
            </w:pPr>
            <w:r>
              <w:t>Unlimited</w:t>
            </w:r>
          </w:p>
        </w:tc>
        <w:tc>
          <w:tcPr>
            <w:tcW w:w="2100" w:type="dxa"/>
            <w:shd w:val="clear" w:color="auto" w:fill="auto"/>
            <w:vAlign w:val="center"/>
          </w:tcPr>
          <w:p w14:paraId="70AF8C2E" w14:textId="77777777" w:rsidR="000D07EA" w:rsidRDefault="00BE7C89">
            <w:pPr>
              <w:pStyle w:val="BodyText"/>
              <w:spacing w:before="100" w:after="100"/>
              <w:jc w:val="center"/>
            </w:pPr>
            <w:r>
              <w:t>Unlimited</w:t>
            </w:r>
          </w:p>
        </w:tc>
      </w:tr>
      <w:tr w:rsidR="000D07EA" w14:paraId="5BE7ABCD" w14:textId="77777777">
        <w:tc>
          <w:tcPr>
            <w:tcW w:w="3355" w:type="dxa"/>
            <w:shd w:val="clear" w:color="auto" w:fill="auto"/>
          </w:tcPr>
          <w:p w14:paraId="6C646EE9" w14:textId="77777777" w:rsidR="000D07EA" w:rsidRDefault="00BE7C89">
            <w:pPr>
              <w:pStyle w:val="BodyText"/>
              <w:spacing w:before="100" w:after="100"/>
            </w:pPr>
            <w:r>
              <w:rPr>
                <w:b/>
              </w:rPr>
              <w:t>Standard international SMS</w:t>
            </w:r>
            <w:r>
              <w:t xml:space="preserve"> (per SMS of up to 160 standard characters to selected countries)</w:t>
            </w:r>
          </w:p>
        </w:tc>
        <w:tc>
          <w:tcPr>
            <w:tcW w:w="2100" w:type="dxa"/>
            <w:vAlign w:val="center"/>
          </w:tcPr>
          <w:p w14:paraId="63FFC4BF" w14:textId="77777777" w:rsidR="000D07EA" w:rsidRDefault="00BE7C89">
            <w:pPr>
              <w:pStyle w:val="BodyText"/>
              <w:spacing w:before="100" w:after="100"/>
              <w:jc w:val="center"/>
            </w:pPr>
            <w:r>
              <w:t>Unlimited</w:t>
            </w:r>
          </w:p>
        </w:tc>
        <w:tc>
          <w:tcPr>
            <w:tcW w:w="2100" w:type="dxa"/>
            <w:shd w:val="clear" w:color="auto" w:fill="auto"/>
            <w:vAlign w:val="center"/>
          </w:tcPr>
          <w:p w14:paraId="662BC700" w14:textId="77777777" w:rsidR="000D07EA" w:rsidRDefault="00BE7C89">
            <w:pPr>
              <w:pStyle w:val="BodyText"/>
              <w:spacing w:before="100" w:after="100"/>
              <w:jc w:val="center"/>
            </w:pPr>
            <w:r>
              <w:t>Unlimited</w:t>
            </w:r>
          </w:p>
        </w:tc>
        <w:tc>
          <w:tcPr>
            <w:tcW w:w="2100" w:type="dxa"/>
            <w:shd w:val="clear" w:color="auto" w:fill="auto"/>
            <w:vAlign w:val="center"/>
          </w:tcPr>
          <w:p w14:paraId="387E2F41" w14:textId="77777777" w:rsidR="000D07EA" w:rsidRDefault="00BE7C89">
            <w:pPr>
              <w:pStyle w:val="BodyText"/>
              <w:spacing w:before="100" w:after="100"/>
              <w:jc w:val="center"/>
            </w:pPr>
            <w:r>
              <w:t>Unlimited</w:t>
            </w:r>
          </w:p>
        </w:tc>
      </w:tr>
      <w:tr w:rsidR="000D07EA" w14:paraId="7A0AA6B5" w14:textId="77777777">
        <w:tc>
          <w:tcPr>
            <w:tcW w:w="3355" w:type="dxa"/>
            <w:shd w:val="clear" w:color="auto" w:fill="auto"/>
          </w:tcPr>
          <w:p w14:paraId="61B6B37C" w14:textId="77777777" w:rsidR="000D07EA" w:rsidRDefault="00BE7C89">
            <w:pPr>
              <w:pStyle w:val="BodyText"/>
              <w:spacing w:before="100" w:after="100"/>
            </w:pPr>
            <w:r>
              <w:rPr>
                <w:b/>
              </w:rPr>
              <w:t>Standard international MMS</w:t>
            </w:r>
            <w:r>
              <w:t xml:space="preserve"> (per message to selected countries)</w:t>
            </w:r>
          </w:p>
        </w:tc>
        <w:tc>
          <w:tcPr>
            <w:tcW w:w="2100" w:type="dxa"/>
            <w:vAlign w:val="center"/>
          </w:tcPr>
          <w:p w14:paraId="391077FC" w14:textId="77777777" w:rsidR="000D07EA" w:rsidRDefault="00BE7C89">
            <w:pPr>
              <w:pStyle w:val="BodyText"/>
              <w:spacing w:before="100" w:after="100"/>
              <w:jc w:val="center"/>
            </w:pPr>
            <w:r>
              <w:t>Unlimited</w:t>
            </w:r>
          </w:p>
        </w:tc>
        <w:tc>
          <w:tcPr>
            <w:tcW w:w="2100" w:type="dxa"/>
            <w:shd w:val="clear" w:color="auto" w:fill="auto"/>
            <w:vAlign w:val="center"/>
          </w:tcPr>
          <w:p w14:paraId="47D7D384" w14:textId="77777777" w:rsidR="000D07EA" w:rsidRDefault="00BE7C89">
            <w:pPr>
              <w:pStyle w:val="BodyText"/>
              <w:spacing w:before="100" w:after="100"/>
              <w:jc w:val="center"/>
            </w:pPr>
            <w:r>
              <w:t>Unlimited</w:t>
            </w:r>
          </w:p>
        </w:tc>
        <w:tc>
          <w:tcPr>
            <w:tcW w:w="2100" w:type="dxa"/>
            <w:shd w:val="clear" w:color="auto" w:fill="auto"/>
            <w:vAlign w:val="center"/>
          </w:tcPr>
          <w:p w14:paraId="3DDA480B" w14:textId="77777777" w:rsidR="000D07EA" w:rsidRDefault="00BE7C89">
            <w:pPr>
              <w:pStyle w:val="BodyText"/>
              <w:spacing w:before="100" w:after="100"/>
              <w:jc w:val="center"/>
            </w:pPr>
            <w:r>
              <w:t>Unlimited</w:t>
            </w:r>
          </w:p>
        </w:tc>
      </w:tr>
    </w:tbl>
    <w:p w14:paraId="05AA705C" w14:textId="77777777" w:rsidR="000D07EA" w:rsidRDefault="000D07EA">
      <w:pPr>
        <w:pStyle w:val="BodyText"/>
      </w:pPr>
    </w:p>
    <w:p w14:paraId="76A51D9C" w14:textId="77777777" w:rsidR="000D07EA" w:rsidRDefault="00BE7C89">
      <w:pPr>
        <w:pStyle w:val="BodyText"/>
        <w:ind w:left="720"/>
        <w:rPr>
          <w:b/>
        </w:rPr>
      </w:pPr>
      <w:r>
        <w:rPr>
          <w:b/>
        </w:rPr>
        <w:t>Table 2 - Other usage types and charges</w:t>
      </w:r>
    </w:p>
    <w:tbl>
      <w:tblPr>
        <w:tblW w:w="9497"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4705"/>
        <w:gridCol w:w="4792"/>
      </w:tblGrid>
      <w:tr w:rsidR="000D07EA" w14:paraId="5B42A278" w14:textId="77777777">
        <w:trPr>
          <w:tblHeader/>
        </w:trPr>
        <w:tc>
          <w:tcPr>
            <w:tcW w:w="4705" w:type="dxa"/>
            <w:shd w:val="clear" w:color="auto" w:fill="auto"/>
          </w:tcPr>
          <w:p w14:paraId="376DDF9C" w14:textId="77777777" w:rsidR="000D07EA" w:rsidRDefault="00BE7C89">
            <w:pPr>
              <w:pStyle w:val="BodyText"/>
              <w:spacing w:before="100" w:after="100"/>
              <w:rPr>
                <w:b/>
              </w:rPr>
            </w:pPr>
            <w:r>
              <w:rPr>
                <w:b/>
              </w:rPr>
              <w:t>Usage type</w:t>
            </w:r>
          </w:p>
        </w:tc>
        <w:tc>
          <w:tcPr>
            <w:tcW w:w="4792" w:type="dxa"/>
            <w:shd w:val="clear" w:color="auto" w:fill="auto"/>
            <w:vAlign w:val="center"/>
          </w:tcPr>
          <w:p w14:paraId="0D2839EB" w14:textId="77777777" w:rsidR="000D07EA" w:rsidRDefault="00BE7C89">
            <w:pPr>
              <w:pStyle w:val="BodyText"/>
              <w:spacing w:before="100" w:after="100"/>
              <w:rPr>
                <w:b/>
              </w:rPr>
            </w:pPr>
            <w:r>
              <w:rPr>
                <w:b/>
              </w:rPr>
              <w:t>Charge</w:t>
            </w:r>
          </w:p>
        </w:tc>
      </w:tr>
      <w:tr w:rsidR="000D07EA" w14:paraId="0AA5D9F0" w14:textId="77777777">
        <w:tc>
          <w:tcPr>
            <w:tcW w:w="4705" w:type="dxa"/>
            <w:shd w:val="clear" w:color="auto" w:fill="auto"/>
          </w:tcPr>
          <w:p w14:paraId="265FB4FB" w14:textId="77777777" w:rsidR="000D07EA" w:rsidRDefault="00BE7C89">
            <w:pPr>
              <w:pStyle w:val="BodyText"/>
              <w:spacing w:before="100" w:after="100"/>
              <w:rPr>
                <w:b/>
              </w:rPr>
            </w:pPr>
            <w:r>
              <w:rPr>
                <w:b/>
              </w:rPr>
              <w:t xml:space="preserve">National video calls </w:t>
            </w:r>
            <w:r>
              <w:t>(per minute)</w:t>
            </w:r>
          </w:p>
        </w:tc>
        <w:tc>
          <w:tcPr>
            <w:tcW w:w="4792" w:type="dxa"/>
            <w:shd w:val="clear" w:color="auto" w:fill="auto"/>
            <w:vAlign w:val="center"/>
          </w:tcPr>
          <w:p w14:paraId="40AEBD6D" w14:textId="77777777" w:rsidR="000D07EA" w:rsidRDefault="00BE7C89">
            <w:pPr>
              <w:pStyle w:val="BodyText"/>
              <w:spacing w:before="100" w:after="100"/>
              <w:jc w:val="center"/>
            </w:pPr>
            <w:r>
              <w:t>$1.00 per min + 40c flagfall</w:t>
            </w:r>
          </w:p>
        </w:tc>
      </w:tr>
      <w:tr w:rsidR="000D07EA" w14:paraId="02C839D9" w14:textId="77777777">
        <w:tc>
          <w:tcPr>
            <w:tcW w:w="4705" w:type="dxa"/>
            <w:shd w:val="clear" w:color="auto" w:fill="auto"/>
          </w:tcPr>
          <w:p w14:paraId="17A68FC7" w14:textId="77777777" w:rsidR="000D07EA" w:rsidRDefault="00BE7C89">
            <w:pPr>
              <w:pStyle w:val="BodyText"/>
              <w:spacing w:before="100" w:after="100"/>
              <w:rPr>
                <w:b/>
              </w:rPr>
            </w:pPr>
            <w:r>
              <w:rPr>
                <w:b/>
              </w:rPr>
              <w:t xml:space="preserve">VoiceMail Deposits </w:t>
            </w:r>
          </w:p>
        </w:tc>
        <w:tc>
          <w:tcPr>
            <w:tcW w:w="4792" w:type="dxa"/>
            <w:shd w:val="clear" w:color="auto" w:fill="auto"/>
          </w:tcPr>
          <w:p w14:paraId="6BE6729F" w14:textId="77777777" w:rsidR="000D07EA" w:rsidRDefault="00BE7C89">
            <w:pPr>
              <w:pStyle w:val="BodyText"/>
              <w:spacing w:before="100" w:after="100"/>
              <w:jc w:val="center"/>
            </w:pPr>
            <w:r>
              <w:t>$0 per minute</w:t>
            </w:r>
          </w:p>
        </w:tc>
      </w:tr>
      <w:tr w:rsidR="000D07EA" w14:paraId="45AF4546" w14:textId="77777777">
        <w:tc>
          <w:tcPr>
            <w:tcW w:w="4705" w:type="dxa"/>
            <w:shd w:val="clear" w:color="auto" w:fill="auto"/>
          </w:tcPr>
          <w:p w14:paraId="565FE584" w14:textId="77777777" w:rsidR="000D07EA" w:rsidRDefault="00BE7C89">
            <w:pPr>
              <w:pStyle w:val="BodyText"/>
              <w:spacing w:before="100" w:after="100"/>
              <w:rPr>
                <w:b/>
              </w:rPr>
            </w:pPr>
            <w:r>
              <w:rPr>
                <w:b/>
              </w:rPr>
              <w:t>Voicemail Diversions</w:t>
            </w:r>
          </w:p>
        </w:tc>
        <w:tc>
          <w:tcPr>
            <w:tcW w:w="4792" w:type="dxa"/>
            <w:shd w:val="clear" w:color="auto" w:fill="auto"/>
          </w:tcPr>
          <w:p w14:paraId="37F4CED3" w14:textId="77777777" w:rsidR="000D07EA" w:rsidRDefault="00BE7C89">
            <w:pPr>
              <w:pStyle w:val="BodyText"/>
              <w:spacing w:before="100" w:after="100"/>
              <w:jc w:val="center"/>
            </w:pPr>
            <w:r>
              <w:t>$0 per minute</w:t>
            </w:r>
          </w:p>
        </w:tc>
      </w:tr>
      <w:tr w:rsidR="000D07EA" w14:paraId="2C1BAB46" w14:textId="77777777">
        <w:tc>
          <w:tcPr>
            <w:tcW w:w="4705" w:type="dxa"/>
            <w:shd w:val="clear" w:color="auto" w:fill="auto"/>
          </w:tcPr>
          <w:p w14:paraId="7001795A" w14:textId="77777777" w:rsidR="000D07EA" w:rsidRDefault="00BE7C89">
            <w:pPr>
              <w:pStyle w:val="BodyText"/>
              <w:spacing w:before="100" w:after="100"/>
              <w:rPr>
                <w:b/>
              </w:rPr>
            </w:pPr>
            <w:r>
              <w:rPr>
                <w:b/>
              </w:rPr>
              <w:t>National Diversions</w:t>
            </w:r>
          </w:p>
        </w:tc>
        <w:tc>
          <w:tcPr>
            <w:tcW w:w="4792" w:type="dxa"/>
            <w:shd w:val="clear" w:color="auto" w:fill="auto"/>
          </w:tcPr>
          <w:p w14:paraId="03995342" w14:textId="77777777" w:rsidR="000D07EA" w:rsidRDefault="00BE7C89">
            <w:pPr>
              <w:pStyle w:val="BodyText"/>
              <w:spacing w:before="100" w:after="100"/>
              <w:jc w:val="center"/>
            </w:pPr>
            <w:r>
              <w:t>$0 per minute</w:t>
            </w:r>
          </w:p>
        </w:tc>
      </w:tr>
      <w:tr w:rsidR="000D07EA" w14:paraId="7CCE5FF4" w14:textId="77777777">
        <w:tc>
          <w:tcPr>
            <w:tcW w:w="4705" w:type="dxa"/>
            <w:shd w:val="clear" w:color="auto" w:fill="auto"/>
          </w:tcPr>
          <w:p w14:paraId="3C865AEC" w14:textId="77777777" w:rsidR="000D07EA" w:rsidRDefault="00BE7C89">
            <w:pPr>
              <w:pStyle w:val="BodyText"/>
              <w:spacing w:before="100" w:after="100"/>
              <w:rPr>
                <w:b/>
              </w:rPr>
            </w:pPr>
            <w:r>
              <w:rPr>
                <w:b/>
              </w:rPr>
              <w:t xml:space="preserve">International Diversions </w:t>
            </w:r>
          </w:p>
        </w:tc>
        <w:tc>
          <w:tcPr>
            <w:tcW w:w="4792" w:type="dxa"/>
            <w:shd w:val="clear" w:color="auto" w:fill="auto"/>
          </w:tcPr>
          <w:p w14:paraId="095AD5F2" w14:textId="77777777" w:rsidR="000D07EA" w:rsidRDefault="00BE7C89">
            <w:pPr>
              <w:pStyle w:val="BodyText"/>
              <w:spacing w:before="100" w:after="100"/>
              <w:jc w:val="center"/>
            </w:pPr>
            <w:r>
              <w:t>‘yes’ international rates</w:t>
            </w:r>
            <w:r>
              <w:br/>
              <w:t>See optus.com.au/international</w:t>
            </w:r>
          </w:p>
        </w:tc>
      </w:tr>
      <w:tr w:rsidR="000D07EA" w14:paraId="52CD99E7" w14:textId="77777777">
        <w:tc>
          <w:tcPr>
            <w:tcW w:w="4705" w:type="dxa"/>
            <w:shd w:val="clear" w:color="auto" w:fill="auto"/>
          </w:tcPr>
          <w:p w14:paraId="144418F1" w14:textId="77777777" w:rsidR="000D07EA" w:rsidRDefault="00BE7C89">
            <w:pPr>
              <w:pStyle w:val="BodyText"/>
              <w:spacing w:before="100" w:after="100"/>
              <w:rPr>
                <w:b/>
              </w:rPr>
            </w:pPr>
            <w:r>
              <w:rPr>
                <w:b/>
              </w:rPr>
              <w:t xml:space="preserve">1800 numbers </w:t>
            </w:r>
          </w:p>
        </w:tc>
        <w:tc>
          <w:tcPr>
            <w:tcW w:w="4792" w:type="dxa"/>
            <w:shd w:val="clear" w:color="auto" w:fill="auto"/>
            <w:vAlign w:val="center"/>
          </w:tcPr>
          <w:p w14:paraId="137D8E6D" w14:textId="77777777" w:rsidR="000D07EA" w:rsidRDefault="00BE7C89">
            <w:pPr>
              <w:pStyle w:val="BodyText"/>
              <w:spacing w:before="100" w:after="100"/>
              <w:jc w:val="center"/>
            </w:pPr>
            <w:r>
              <w:t>$0 per minute</w:t>
            </w:r>
          </w:p>
        </w:tc>
      </w:tr>
      <w:tr w:rsidR="000D07EA" w14:paraId="358F90FB" w14:textId="77777777">
        <w:tc>
          <w:tcPr>
            <w:tcW w:w="4705" w:type="dxa"/>
            <w:shd w:val="clear" w:color="auto" w:fill="auto"/>
          </w:tcPr>
          <w:p w14:paraId="34961680" w14:textId="77777777" w:rsidR="000D07EA" w:rsidRDefault="00BE7C89">
            <w:pPr>
              <w:pStyle w:val="BodyText"/>
              <w:spacing w:before="100" w:after="100"/>
              <w:rPr>
                <w:b/>
              </w:rPr>
            </w:pPr>
            <w:r>
              <w:rPr>
                <w:b/>
              </w:rPr>
              <w:t xml:space="preserve">Directory Assistance 1223 </w:t>
            </w:r>
          </w:p>
        </w:tc>
        <w:tc>
          <w:tcPr>
            <w:tcW w:w="4792" w:type="dxa"/>
            <w:shd w:val="clear" w:color="auto" w:fill="auto"/>
            <w:vAlign w:val="center"/>
          </w:tcPr>
          <w:p w14:paraId="7CE9EF55" w14:textId="77777777" w:rsidR="000D07EA" w:rsidRDefault="00BE7C89">
            <w:pPr>
              <w:pStyle w:val="BodyText"/>
              <w:spacing w:before="100" w:after="100"/>
              <w:jc w:val="center"/>
            </w:pPr>
            <w:r>
              <w:t>50c per call</w:t>
            </w:r>
          </w:p>
        </w:tc>
      </w:tr>
      <w:tr w:rsidR="000D07EA" w14:paraId="5DB4A055" w14:textId="77777777">
        <w:tc>
          <w:tcPr>
            <w:tcW w:w="4705" w:type="dxa"/>
            <w:shd w:val="clear" w:color="auto" w:fill="auto"/>
          </w:tcPr>
          <w:p w14:paraId="5FB9C5D2" w14:textId="77777777" w:rsidR="000D07EA" w:rsidRDefault="00BE7C89">
            <w:pPr>
              <w:pStyle w:val="BodyText"/>
              <w:spacing w:before="100" w:after="100"/>
              <w:rPr>
                <w:b/>
              </w:rPr>
            </w:pPr>
            <w:r>
              <w:rPr>
                <w:b/>
              </w:rPr>
              <w:t>124 Yes</w:t>
            </w:r>
          </w:p>
        </w:tc>
        <w:tc>
          <w:tcPr>
            <w:tcW w:w="4792" w:type="dxa"/>
            <w:shd w:val="clear" w:color="auto" w:fill="auto"/>
            <w:vAlign w:val="center"/>
          </w:tcPr>
          <w:p w14:paraId="74E704EB" w14:textId="77777777" w:rsidR="000D07EA" w:rsidRDefault="00BE7C89">
            <w:pPr>
              <w:pStyle w:val="BodyText"/>
              <w:spacing w:before="100" w:after="100"/>
              <w:jc w:val="center"/>
            </w:pPr>
            <w:r>
              <w:t>90c per minute +$1.75c flagfall</w:t>
            </w:r>
          </w:p>
        </w:tc>
      </w:tr>
      <w:tr w:rsidR="000D07EA" w14:paraId="1E77D8F3" w14:textId="77777777">
        <w:tc>
          <w:tcPr>
            <w:tcW w:w="4705" w:type="dxa"/>
            <w:shd w:val="clear" w:color="auto" w:fill="auto"/>
          </w:tcPr>
          <w:p w14:paraId="7577CB8C" w14:textId="77777777" w:rsidR="000D07EA" w:rsidRDefault="00BE7C89">
            <w:pPr>
              <w:pStyle w:val="BodyText"/>
              <w:spacing w:before="100" w:after="100"/>
              <w:rPr>
                <w:b/>
              </w:rPr>
            </w:pPr>
            <w:r>
              <w:rPr>
                <w:b/>
              </w:rPr>
              <w:t xml:space="preserve">International voice calls (outside the plan’s included international minutes and to excluded countries) </w:t>
            </w:r>
          </w:p>
        </w:tc>
        <w:tc>
          <w:tcPr>
            <w:tcW w:w="4792" w:type="dxa"/>
            <w:shd w:val="clear" w:color="auto" w:fill="auto"/>
            <w:vAlign w:val="center"/>
          </w:tcPr>
          <w:p w14:paraId="0FC89E91" w14:textId="77777777" w:rsidR="000D07EA" w:rsidRDefault="00BE7C89">
            <w:pPr>
              <w:pStyle w:val="BodyText"/>
              <w:spacing w:before="100" w:after="100"/>
              <w:jc w:val="center"/>
            </w:pPr>
            <w:r>
              <w:t>‘yes’ international rates</w:t>
            </w:r>
            <w:r>
              <w:br/>
              <w:t>See optus.com.au/international</w:t>
            </w:r>
          </w:p>
        </w:tc>
      </w:tr>
      <w:tr w:rsidR="000D07EA" w14:paraId="0F7BE56B" w14:textId="77777777">
        <w:tc>
          <w:tcPr>
            <w:tcW w:w="4705" w:type="dxa"/>
            <w:shd w:val="clear" w:color="auto" w:fill="auto"/>
          </w:tcPr>
          <w:p w14:paraId="76CAA58F" w14:textId="77777777" w:rsidR="000D07EA" w:rsidRDefault="00BE7C89">
            <w:pPr>
              <w:pStyle w:val="BodyText"/>
              <w:spacing w:before="100" w:after="100"/>
              <w:rPr>
                <w:b/>
              </w:rPr>
            </w:pPr>
            <w:r>
              <w:rPr>
                <w:b/>
              </w:rPr>
              <w:t xml:space="preserve">International SMS (to excluded countries) </w:t>
            </w:r>
          </w:p>
        </w:tc>
        <w:tc>
          <w:tcPr>
            <w:tcW w:w="4792" w:type="dxa"/>
            <w:shd w:val="clear" w:color="auto" w:fill="auto"/>
            <w:vAlign w:val="center"/>
          </w:tcPr>
          <w:p w14:paraId="573E637F" w14:textId="77777777" w:rsidR="000D07EA" w:rsidRDefault="00BE7C89">
            <w:pPr>
              <w:pStyle w:val="BodyText"/>
              <w:spacing w:before="100" w:after="100"/>
              <w:jc w:val="center"/>
            </w:pPr>
            <w:r>
              <w:t>50c per SMS up to 160 standard characters</w:t>
            </w:r>
          </w:p>
        </w:tc>
      </w:tr>
      <w:tr w:rsidR="000D07EA" w14:paraId="16A5CA25" w14:textId="77777777">
        <w:tc>
          <w:tcPr>
            <w:tcW w:w="4705" w:type="dxa"/>
            <w:shd w:val="clear" w:color="auto" w:fill="auto"/>
          </w:tcPr>
          <w:p w14:paraId="1F1CEB07" w14:textId="77777777" w:rsidR="000D07EA" w:rsidRDefault="00BE7C89">
            <w:pPr>
              <w:pStyle w:val="BodyText"/>
              <w:spacing w:before="100" w:after="100"/>
              <w:rPr>
                <w:b/>
              </w:rPr>
            </w:pPr>
            <w:r>
              <w:rPr>
                <w:b/>
              </w:rPr>
              <w:lastRenderedPageBreak/>
              <w:t>International MMS (to excluded countries)</w:t>
            </w:r>
          </w:p>
        </w:tc>
        <w:tc>
          <w:tcPr>
            <w:tcW w:w="4792" w:type="dxa"/>
            <w:shd w:val="clear" w:color="auto" w:fill="auto"/>
            <w:vAlign w:val="center"/>
          </w:tcPr>
          <w:p w14:paraId="33712504" w14:textId="77777777" w:rsidR="000D07EA" w:rsidRDefault="00BE7C89">
            <w:pPr>
              <w:pStyle w:val="BodyText"/>
              <w:spacing w:before="100" w:after="100"/>
              <w:jc w:val="center"/>
            </w:pPr>
            <w:r>
              <w:t>75c per MMS</w:t>
            </w:r>
          </w:p>
        </w:tc>
      </w:tr>
      <w:tr w:rsidR="000D07EA" w14:paraId="108CF24D" w14:textId="77777777">
        <w:tc>
          <w:tcPr>
            <w:tcW w:w="4705" w:type="dxa"/>
            <w:shd w:val="clear" w:color="auto" w:fill="auto"/>
          </w:tcPr>
          <w:p w14:paraId="7148B00D" w14:textId="77777777" w:rsidR="000D07EA" w:rsidRDefault="00BE7C89">
            <w:pPr>
              <w:pStyle w:val="BodyText"/>
              <w:spacing w:before="100" w:after="100"/>
              <w:rPr>
                <w:b/>
              </w:rPr>
            </w:pPr>
            <w:r>
              <w:rPr>
                <w:b/>
              </w:rPr>
              <w:t xml:space="preserve">International video calling </w:t>
            </w:r>
          </w:p>
        </w:tc>
        <w:tc>
          <w:tcPr>
            <w:tcW w:w="4792" w:type="dxa"/>
            <w:shd w:val="clear" w:color="auto" w:fill="auto"/>
            <w:vAlign w:val="center"/>
          </w:tcPr>
          <w:p w14:paraId="0C96CEEC" w14:textId="77777777" w:rsidR="000D07EA" w:rsidRDefault="00BE7C89">
            <w:pPr>
              <w:pStyle w:val="BodyText"/>
              <w:spacing w:before="100" w:after="100"/>
              <w:jc w:val="center"/>
            </w:pPr>
            <w:r>
              <w:t>$1.50 per minute +35c flagfall</w:t>
            </w:r>
          </w:p>
        </w:tc>
      </w:tr>
      <w:tr w:rsidR="000D07EA" w14:paraId="3F304DAA" w14:textId="77777777">
        <w:tc>
          <w:tcPr>
            <w:tcW w:w="4705" w:type="dxa"/>
            <w:shd w:val="clear" w:color="auto" w:fill="auto"/>
          </w:tcPr>
          <w:p w14:paraId="0A384127" w14:textId="77777777" w:rsidR="000D07EA" w:rsidRDefault="00BE7C89">
            <w:pPr>
              <w:pStyle w:val="BodyText"/>
              <w:spacing w:before="100" w:after="100"/>
              <w:rPr>
                <w:b/>
              </w:rPr>
            </w:pPr>
            <w:r>
              <w:rPr>
                <w:b/>
              </w:rPr>
              <w:t xml:space="preserve">International roaming </w:t>
            </w:r>
          </w:p>
        </w:tc>
        <w:tc>
          <w:tcPr>
            <w:tcW w:w="4792" w:type="dxa"/>
            <w:shd w:val="clear" w:color="auto" w:fill="auto"/>
            <w:vAlign w:val="center"/>
          </w:tcPr>
          <w:p w14:paraId="2B282C18" w14:textId="77777777" w:rsidR="000D07EA" w:rsidRDefault="00BE7C89">
            <w:pPr>
              <w:pStyle w:val="BodyText"/>
              <w:spacing w:before="100" w:after="100"/>
              <w:jc w:val="center"/>
            </w:pPr>
            <w:r>
              <w:t>See optus.com.au/roaming</w:t>
            </w:r>
          </w:p>
        </w:tc>
      </w:tr>
    </w:tbl>
    <w:p w14:paraId="3B204E65" w14:textId="77777777" w:rsidR="000D07EA" w:rsidRDefault="000D07EA">
      <w:pPr>
        <w:pStyle w:val="BodyText"/>
      </w:pPr>
    </w:p>
    <w:p w14:paraId="616C5826" w14:textId="77777777" w:rsidR="000D07EA" w:rsidRDefault="00BE7C89">
      <w:pPr>
        <w:pStyle w:val="BodyText"/>
        <w:ind w:left="720"/>
        <w:rPr>
          <w:b/>
        </w:rPr>
      </w:pPr>
      <w:r>
        <w:rPr>
          <w:b/>
        </w:rPr>
        <w:t>Table 3 - International Countries</w:t>
      </w:r>
    </w:p>
    <w:tbl>
      <w:tblPr>
        <w:tblW w:w="938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50"/>
        <w:gridCol w:w="2353"/>
        <w:gridCol w:w="2340"/>
      </w:tblGrid>
      <w:tr w:rsidR="000D07EA" w14:paraId="71A5D6E4" w14:textId="77777777">
        <w:tc>
          <w:tcPr>
            <w:tcW w:w="2337" w:type="dxa"/>
            <w:shd w:val="clear" w:color="auto" w:fill="auto"/>
          </w:tcPr>
          <w:p w14:paraId="147E9362" w14:textId="77777777" w:rsidR="000D07EA" w:rsidRDefault="00BE7C89">
            <w:pPr>
              <w:pStyle w:val="BodyText"/>
              <w:spacing w:before="100" w:after="100"/>
            </w:pPr>
            <w:r>
              <w:t>Austria</w:t>
            </w:r>
          </w:p>
        </w:tc>
        <w:tc>
          <w:tcPr>
            <w:tcW w:w="2350" w:type="dxa"/>
            <w:shd w:val="clear" w:color="auto" w:fill="auto"/>
          </w:tcPr>
          <w:p w14:paraId="56E8C774" w14:textId="77777777" w:rsidR="000D07EA" w:rsidRDefault="00BE7C89">
            <w:pPr>
              <w:pStyle w:val="BodyText"/>
              <w:spacing w:before="100" w:after="100"/>
            </w:pPr>
            <w:r>
              <w:t>Bangladesh</w:t>
            </w:r>
          </w:p>
        </w:tc>
        <w:tc>
          <w:tcPr>
            <w:tcW w:w="2353" w:type="dxa"/>
            <w:shd w:val="clear" w:color="auto" w:fill="auto"/>
          </w:tcPr>
          <w:p w14:paraId="3B389777" w14:textId="77777777" w:rsidR="000D07EA" w:rsidRDefault="00BE7C89">
            <w:pPr>
              <w:pStyle w:val="BodyText"/>
              <w:spacing w:before="100" w:after="100"/>
            </w:pPr>
            <w:r>
              <w:t>Cambodia</w:t>
            </w:r>
          </w:p>
        </w:tc>
        <w:tc>
          <w:tcPr>
            <w:tcW w:w="2340" w:type="dxa"/>
            <w:shd w:val="clear" w:color="auto" w:fill="auto"/>
          </w:tcPr>
          <w:p w14:paraId="05178068" w14:textId="77777777" w:rsidR="000D07EA" w:rsidRDefault="00BE7C89">
            <w:pPr>
              <w:pStyle w:val="BodyText"/>
              <w:spacing w:before="100" w:after="100"/>
            </w:pPr>
            <w:r>
              <w:t>Canada</w:t>
            </w:r>
          </w:p>
        </w:tc>
      </w:tr>
      <w:tr w:rsidR="000D07EA" w14:paraId="5CA5C860" w14:textId="77777777">
        <w:trPr>
          <w:trHeight w:val="58"/>
        </w:trPr>
        <w:tc>
          <w:tcPr>
            <w:tcW w:w="2337" w:type="dxa"/>
            <w:shd w:val="clear" w:color="auto" w:fill="auto"/>
          </w:tcPr>
          <w:p w14:paraId="0231E31D" w14:textId="77777777" w:rsidR="000D07EA" w:rsidRDefault="00BE7C89">
            <w:pPr>
              <w:pStyle w:val="BodyText"/>
              <w:spacing w:before="100" w:after="100"/>
            </w:pPr>
            <w:r>
              <w:t xml:space="preserve">Chile </w:t>
            </w:r>
          </w:p>
        </w:tc>
        <w:tc>
          <w:tcPr>
            <w:tcW w:w="2350" w:type="dxa"/>
            <w:shd w:val="clear" w:color="auto" w:fill="auto"/>
          </w:tcPr>
          <w:p w14:paraId="4EE293CB" w14:textId="77777777" w:rsidR="000D07EA" w:rsidRDefault="00BE7C89">
            <w:pPr>
              <w:pStyle w:val="BodyText"/>
              <w:spacing w:before="100" w:after="100"/>
            </w:pPr>
            <w:r>
              <w:t xml:space="preserve">China </w:t>
            </w:r>
          </w:p>
        </w:tc>
        <w:tc>
          <w:tcPr>
            <w:tcW w:w="2353" w:type="dxa"/>
            <w:shd w:val="clear" w:color="auto" w:fill="auto"/>
          </w:tcPr>
          <w:p w14:paraId="654CBECB" w14:textId="77777777" w:rsidR="000D07EA" w:rsidRDefault="00BE7C89">
            <w:pPr>
              <w:pStyle w:val="BodyText"/>
              <w:spacing w:before="100" w:after="100"/>
            </w:pPr>
            <w:r>
              <w:t xml:space="preserve">Croatia </w:t>
            </w:r>
          </w:p>
        </w:tc>
        <w:tc>
          <w:tcPr>
            <w:tcW w:w="2340" w:type="dxa"/>
            <w:shd w:val="clear" w:color="auto" w:fill="auto"/>
          </w:tcPr>
          <w:p w14:paraId="4C405FBE" w14:textId="77777777" w:rsidR="000D07EA" w:rsidRDefault="00BE7C89">
            <w:pPr>
              <w:pStyle w:val="BodyText"/>
              <w:spacing w:before="100" w:after="100"/>
            </w:pPr>
            <w:r>
              <w:t>France</w:t>
            </w:r>
          </w:p>
        </w:tc>
      </w:tr>
      <w:tr w:rsidR="000D07EA" w14:paraId="7D403371" w14:textId="77777777">
        <w:tc>
          <w:tcPr>
            <w:tcW w:w="2337" w:type="dxa"/>
            <w:shd w:val="clear" w:color="auto" w:fill="auto"/>
          </w:tcPr>
          <w:p w14:paraId="5F04E83C" w14:textId="77777777" w:rsidR="000D07EA" w:rsidRDefault="00BE7C89">
            <w:pPr>
              <w:pStyle w:val="BodyText"/>
              <w:spacing w:before="100" w:after="100"/>
            </w:pPr>
            <w:r>
              <w:t>Germany</w:t>
            </w:r>
          </w:p>
        </w:tc>
        <w:tc>
          <w:tcPr>
            <w:tcW w:w="2350" w:type="dxa"/>
            <w:shd w:val="clear" w:color="auto" w:fill="auto"/>
          </w:tcPr>
          <w:p w14:paraId="5A4E2C13" w14:textId="77777777" w:rsidR="000D07EA" w:rsidRDefault="00BE7C89">
            <w:pPr>
              <w:pStyle w:val="BodyText"/>
              <w:spacing w:before="100" w:after="100"/>
            </w:pPr>
            <w:r>
              <w:t>Greece</w:t>
            </w:r>
          </w:p>
        </w:tc>
        <w:tc>
          <w:tcPr>
            <w:tcW w:w="2353" w:type="dxa"/>
            <w:shd w:val="clear" w:color="auto" w:fill="auto"/>
          </w:tcPr>
          <w:p w14:paraId="03FDAC6C" w14:textId="77777777" w:rsidR="000D07EA" w:rsidRDefault="00BE7C89">
            <w:pPr>
              <w:pStyle w:val="BodyText"/>
              <w:spacing w:before="100" w:after="100"/>
            </w:pPr>
            <w:r>
              <w:t>Hong Kong</w:t>
            </w:r>
          </w:p>
        </w:tc>
        <w:tc>
          <w:tcPr>
            <w:tcW w:w="2340" w:type="dxa"/>
            <w:shd w:val="clear" w:color="auto" w:fill="auto"/>
          </w:tcPr>
          <w:p w14:paraId="35CC64B5" w14:textId="77777777" w:rsidR="000D07EA" w:rsidRDefault="00BE7C89">
            <w:pPr>
              <w:pStyle w:val="BodyText"/>
              <w:spacing w:before="100" w:after="100"/>
            </w:pPr>
            <w:r>
              <w:t>Hungary</w:t>
            </w:r>
          </w:p>
        </w:tc>
      </w:tr>
      <w:tr w:rsidR="000D07EA" w14:paraId="30128494" w14:textId="77777777">
        <w:tc>
          <w:tcPr>
            <w:tcW w:w="2337" w:type="dxa"/>
            <w:shd w:val="clear" w:color="auto" w:fill="auto"/>
          </w:tcPr>
          <w:p w14:paraId="23025F07" w14:textId="77777777" w:rsidR="000D07EA" w:rsidRDefault="00BE7C89">
            <w:pPr>
              <w:pStyle w:val="BodyText"/>
              <w:spacing w:before="100" w:after="100"/>
            </w:pPr>
            <w:r>
              <w:t>Indonesia</w:t>
            </w:r>
          </w:p>
        </w:tc>
        <w:tc>
          <w:tcPr>
            <w:tcW w:w="2350" w:type="dxa"/>
            <w:shd w:val="clear" w:color="auto" w:fill="auto"/>
          </w:tcPr>
          <w:p w14:paraId="2D045574" w14:textId="77777777" w:rsidR="000D07EA" w:rsidRDefault="00BE7C89">
            <w:pPr>
              <w:pStyle w:val="BodyText"/>
              <w:spacing w:before="100" w:after="100"/>
            </w:pPr>
            <w:r>
              <w:t>India</w:t>
            </w:r>
          </w:p>
        </w:tc>
        <w:tc>
          <w:tcPr>
            <w:tcW w:w="2353" w:type="dxa"/>
            <w:shd w:val="clear" w:color="auto" w:fill="auto"/>
          </w:tcPr>
          <w:p w14:paraId="1A4F08AD" w14:textId="77777777" w:rsidR="000D07EA" w:rsidRDefault="00BE7C89">
            <w:pPr>
              <w:pStyle w:val="BodyText"/>
              <w:spacing w:before="100" w:after="100"/>
            </w:pPr>
            <w:r>
              <w:t>Ireland</w:t>
            </w:r>
          </w:p>
        </w:tc>
        <w:tc>
          <w:tcPr>
            <w:tcW w:w="2340" w:type="dxa"/>
            <w:shd w:val="clear" w:color="auto" w:fill="auto"/>
          </w:tcPr>
          <w:p w14:paraId="650C9DE7" w14:textId="77777777" w:rsidR="000D07EA" w:rsidRDefault="00BE7C89">
            <w:pPr>
              <w:pStyle w:val="BodyText"/>
              <w:spacing w:before="100" w:after="100"/>
            </w:pPr>
            <w:r>
              <w:t>Italy</w:t>
            </w:r>
          </w:p>
        </w:tc>
      </w:tr>
      <w:tr w:rsidR="000D07EA" w14:paraId="2746F4D6" w14:textId="77777777">
        <w:tc>
          <w:tcPr>
            <w:tcW w:w="2337" w:type="dxa"/>
            <w:shd w:val="clear" w:color="auto" w:fill="auto"/>
          </w:tcPr>
          <w:p w14:paraId="5174FD8D" w14:textId="77777777" w:rsidR="000D07EA" w:rsidRDefault="00BE7C89">
            <w:pPr>
              <w:pStyle w:val="BodyText"/>
              <w:spacing w:before="100" w:after="100"/>
            </w:pPr>
            <w:r>
              <w:t xml:space="preserve">Japan </w:t>
            </w:r>
          </w:p>
        </w:tc>
        <w:tc>
          <w:tcPr>
            <w:tcW w:w="2350" w:type="dxa"/>
            <w:shd w:val="clear" w:color="auto" w:fill="auto"/>
          </w:tcPr>
          <w:p w14:paraId="102FF79F" w14:textId="77777777" w:rsidR="000D07EA" w:rsidRDefault="00BE7C89">
            <w:pPr>
              <w:pStyle w:val="BodyText"/>
              <w:spacing w:before="100" w:after="100"/>
            </w:pPr>
            <w:r>
              <w:t>Malaysia</w:t>
            </w:r>
          </w:p>
        </w:tc>
        <w:tc>
          <w:tcPr>
            <w:tcW w:w="2353" w:type="dxa"/>
            <w:shd w:val="clear" w:color="auto" w:fill="auto"/>
          </w:tcPr>
          <w:p w14:paraId="1B3B49BC" w14:textId="77777777" w:rsidR="000D07EA" w:rsidRDefault="00BE7C89">
            <w:pPr>
              <w:pStyle w:val="BodyText"/>
              <w:spacing w:before="100" w:after="100"/>
            </w:pPr>
            <w:r>
              <w:t>Netherlands</w:t>
            </w:r>
          </w:p>
        </w:tc>
        <w:tc>
          <w:tcPr>
            <w:tcW w:w="2340" w:type="dxa"/>
            <w:shd w:val="clear" w:color="auto" w:fill="auto"/>
          </w:tcPr>
          <w:p w14:paraId="4C8862E6" w14:textId="77777777" w:rsidR="000D07EA" w:rsidRDefault="00BE7C89">
            <w:pPr>
              <w:pStyle w:val="BodyText"/>
              <w:spacing w:before="100" w:after="100"/>
            </w:pPr>
            <w:r>
              <w:t>New Zealand</w:t>
            </w:r>
          </w:p>
        </w:tc>
      </w:tr>
      <w:tr w:rsidR="000D07EA" w14:paraId="14DCFBB9" w14:textId="77777777">
        <w:tc>
          <w:tcPr>
            <w:tcW w:w="2337" w:type="dxa"/>
            <w:shd w:val="clear" w:color="auto" w:fill="auto"/>
          </w:tcPr>
          <w:p w14:paraId="682B8311" w14:textId="77777777" w:rsidR="000D07EA" w:rsidRDefault="00BE7C89">
            <w:pPr>
              <w:pStyle w:val="BodyText"/>
              <w:spacing w:before="100" w:after="100"/>
            </w:pPr>
            <w:r>
              <w:t xml:space="preserve">Pakistan </w:t>
            </w:r>
          </w:p>
        </w:tc>
        <w:tc>
          <w:tcPr>
            <w:tcW w:w="2350" w:type="dxa"/>
            <w:shd w:val="clear" w:color="auto" w:fill="auto"/>
          </w:tcPr>
          <w:p w14:paraId="68500E65" w14:textId="77777777" w:rsidR="000D07EA" w:rsidRDefault="00BE7C89">
            <w:pPr>
              <w:pStyle w:val="BodyText"/>
              <w:spacing w:before="100" w:after="100"/>
            </w:pPr>
            <w:r>
              <w:t>Philippines</w:t>
            </w:r>
          </w:p>
        </w:tc>
        <w:tc>
          <w:tcPr>
            <w:tcW w:w="2353" w:type="dxa"/>
            <w:shd w:val="clear" w:color="auto" w:fill="auto"/>
          </w:tcPr>
          <w:p w14:paraId="6245361F" w14:textId="77777777" w:rsidR="000D07EA" w:rsidRDefault="00BE7C89">
            <w:pPr>
              <w:pStyle w:val="BodyText"/>
              <w:spacing w:before="100" w:after="100"/>
            </w:pPr>
            <w:r>
              <w:t xml:space="preserve">Poland </w:t>
            </w:r>
          </w:p>
        </w:tc>
        <w:tc>
          <w:tcPr>
            <w:tcW w:w="2340" w:type="dxa"/>
            <w:shd w:val="clear" w:color="auto" w:fill="auto"/>
          </w:tcPr>
          <w:p w14:paraId="143A1FA7" w14:textId="77777777" w:rsidR="000D07EA" w:rsidRDefault="00BE7C89">
            <w:pPr>
              <w:pStyle w:val="BodyText"/>
              <w:spacing w:before="100" w:after="100"/>
            </w:pPr>
            <w:r>
              <w:t>Singapore</w:t>
            </w:r>
          </w:p>
        </w:tc>
      </w:tr>
      <w:tr w:rsidR="000D07EA" w14:paraId="68F558D1" w14:textId="77777777">
        <w:tc>
          <w:tcPr>
            <w:tcW w:w="2337" w:type="dxa"/>
            <w:shd w:val="clear" w:color="auto" w:fill="auto"/>
          </w:tcPr>
          <w:p w14:paraId="7CB1A891" w14:textId="77777777" w:rsidR="000D07EA" w:rsidRDefault="00BE7C89">
            <w:pPr>
              <w:pStyle w:val="BodyText"/>
              <w:spacing w:before="100" w:after="100"/>
            </w:pPr>
            <w:r>
              <w:t xml:space="preserve">South Africa </w:t>
            </w:r>
          </w:p>
        </w:tc>
        <w:tc>
          <w:tcPr>
            <w:tcW w:w="2350" w:type="dxa"/>
            <w:shd w:val="clear" w:color="auto" w:fill="auto"/>
          </w:tcPr>
          <w:p w14:paraId="469CC400" w14:textId="77777777" w:rsidR="000D07EA" w:rsidRDefault="00BE7C89">
            <w:pPr>
              <w:pStyle w:val="BodyText"/>
              <w:spacing w:before="100" w:after="100"/>
            </w:pPr>
            <w:r>
              <w:t>South Korea</w:t>
            </w:r>
          </w:p>
        </w:tc>
        <w:tc>
          <w:tcPr>
            <w:tcW w:w="2353" w:type="dxa"/>
            <w:shd w:val="clear" w:color="auto" w:fill="auto"/>
          </w:tcPr>
          <w:p w14:paraId="071821A0" w14:textId="77777777" w:rsidR="000D07EA" w:rsidRDefault="00BE7C89">
            <w:pPr>
              <w:pStyle w:val="BodyText"/>
              <w:spacing w:before="100" w:after="100"/>
            </w:pPr>
            <w:r>
              <w:t xml:space="preserve">Taiwan </w:t>
            </w:r>
          </w:p>
        </w:tc>
        <w:tc>
          <w:tcPr>
            <w:tcW w:w="2340" w:type="dxa"/>
            <w:shd w:val="clear" w:color="auto" w:fill="auto"/>
          </w:tcPr>
          <w:p w14:paraId="43CEA0A3" w14:textId="77777777" w:rsidR="000D07EA" w:rsidRDefault="00BE7C89">
            <w:pPr>
              <w:pStyle w:val="BodyText"/>
              <w:spacing w:before="100" w:after="100"/>
            </w:pPr>
            <w:r>
              <w:t>Thailand</w:t>
            </w:r>
          </w:p>
        </w:tc>
      </w:tr>
      <w:tr w:rsidR="000D07EA" w14:paraId="1DD8FCBF" w14:textId="77777777">
        <w:tc>
          <w:tcPr>
            <w:tcW w:w="2337" w:type="dxa"/>
            <w:shd w:val="clear" w:color="auto" w:fill="auto"/>
          </w:tcPr>
          <w:p w14:paraId="275D2E55" w14:textId="77777777" w:rsidR="000D07EA" w:rsidRDefault="00BE7C89">
            <w:pPr>
              <w:pStyle w:val="BodyText"/>
              <w:spacing w:before="100" w:after="100"/>
            </w:pPr>
            <w:r>
              <w:t>Turkey</w:t>
            </w:r>
          </w:p>
        </w:tc>
        <w:tc>
          <w:tcPr>
            <w:tcW w:w="2350" w:type="dxa"/>
            <w:shd w:val="clear" w:color="auto" w:fill="auto"/>
          </w:tcPr>
          <w:p w14:paraId="3CC735A4" w14:textId="77777777" w:rsidR="000D07EA" w:rsidRDefault="00BE7C89">
            <w:pPr>
              <w:pStyle w:val="BodyText"/>
              <w:spacing w:before="100" w:after="100"/>
            </w:pPr>
            <w:r>
              <w:t>United Kingdom</w:t>
            </w:r>
          </w:p>
        </w:tc>
        <w:tc>
          <w:tcPr>
            <w:tcW w:w="2353" w:type="dxa"/>
            <w:shd w:val="clear" w:color="auto" w:fill="auto"/>
          </w:tcPr>
          <w:p w14:paraId="4161A859" w14:textId="77777777" w:rsidR="000D07EA" w:rsidRDefault="00BE7C89">
            <w:pPr>
              <w:pStyle w:val="BodyText"/>
              <w:spacing w:before="100" w:after="100"/>
            </w:pPr>
            <w:r>
              <w:t xml:space="preserve">USA </w:t>
            </w:r>
          </w:p>
        </w:tc>
        <w:tc>
          <w:tcPr>
            <w:tcW w:w="2340" w:type="dxa"/>
            <w:shd w:val="clear" w:color="auto" w:fill="auto"/>
          </w:tcPr>
          <w:p w14:paraId="5A843B04" w14:textId="77777777" w:rsidR="000D07EA" w:rsidRDefault="00BE7C89">
            <w:pPr>
              <w:pStyle w:val="BodyText"/>
              <w:spacing w:before="100" w:after="100"/>
            </w:pPr>
            <w:r>
              <w:t>Vietnam</w:t>
            </w:r>
          </w:p>
        </w:tc>
      </w:tr>
    </w:tbl>
    <w:p w14:paraId="2864DB45" w14:textId="77777777" w:rsidR="000D07EA" w:rsidRDefault="000D07EA">
      <w:pPr>
        <w:pStyle w:val="BodyText"/>
        <w:ind w:left="720"/>
      </w:pPr>
    </w:p>
    <w:p w14:paraId="403C9C2A" w14:textId="77777777" w:rsidR="000D07EA" w:rsidRDefault="00BE7C89">
      <w:pPr>
        <w:pStyle w:val="Heading6"/>
      </w:pPr>
      <w:r>
        <w:t>My Account</w:t>
      </w:r>
    </w:p>
    <w:p w14:paraId="703FD6A4" w14:textId="77777777" w:rsidR="000D07EA" w:rsidRDefault="00BE7C89">
      <w:pPr>
        <w:pStyle w:val="BodyText"/>
        <w:ind w:left="720"/>
      </w:pPr>
      <w:r>
        <w:t xml:space="preserve">Services that share data may have a service login to My Account which will display all of the service numbers contributing to or using the shared data pool on </w:t>
      </w:r>
      <w:r>
        <w:rPr>
          <w:i/>
        </w:rPr>
        <w:t>your</w:t>
      </w:r>
      <w:r>
        <w:t xml:space="preserve"> account and the amount of data each service has used. If </w:t>
      </w:r>
      <w:r>
        <w:rPr>
          <w:i/>
        </w:rPr>
        <w:t>you</w:t>
      </w:r>
      <w:r>
        <w:t xml:space="preserve"> have more than 6 services on </w:t>
      </w:r>
      <w:r>
        <w:rPr>
          <w:i/>
        </w:rPr>
        <w:t>your</w:t>
      </w:r>
      <w:r>
        <w:t xml:space="preserve"> account, My Account may not be suitable for viewing usage and managing </w:t>
      </w:r>
      <w:r>
        <w:rPr>
          <w:i/>
        </w:rPr>
        <w:t>your</w:t>
      </w:r>
      <w:r>
        <w:t xml:space="preserve"> usage alerts.</w:t>
      </w:r>
    </w:p>
    <w:p w14:paraId="5C1A342F" w14:textId="77777777" w:rsidR="000D07EA" w:rsidRDefault="00BE7C89">
      <w:pPr>
        <w:pStyle w:val="Heading6"/>
      </w:pPr>
      <w:r>
        <w:t xml:space="preserve">What happens if the </w:t>
      </w:r>
      <w:r>
        <w:rPr>
          <w:i/>
        </w:rPr>
        <w:t>service</w:t>
      </w:r>
      <w:r>
        <w:t xml:space="preserve"> is </w:t>
      </w:r>
      <w:r>
        <w:rPr>
          <w:i/>
        </w:rPr>
        <w:t>cancelled</w:t>
      </w:r>
      <w:r>
        <w:t xml:space="preserve">? </w:t>
      </w:r>
    </w:p>
    <w:p w14:paraId="7450CA69" w14:textId="77777777" w:rsidR="000D07EA" w:rsidRDefault="00BE7C89">
      <w:pPr>
        <w:pStyle w:val="Heading7"/>
      </w:pPr>
      <w:r>
        <w:t xml:space="preserve">If </w:t>
      </w:r>
      <w:r>
        <w:rPr>
          <w:i/>
        </w:rPr>
        <w:t xml:space="preserve">your </w:t>
      </w:r>
      <w:r>
        <w:t xml:space="preserve">My Plan Business SIM plan is </w:t>
      </w:r>
      <w:r>
        <w:rPr>
          <w:i/>
        </w:rPr>
        <w:t>cancelled</w:t>
      </w:r>
      <w:r>
        <w:t xml:space="preserve">, </w:t>
      </w:r>
      <w:r>
        <w:rPr>
          <w:i/>
        </w:rPr>
        <w:t xml:space="preserve">your </w:t>
      </w:r>
      <w:r>
        <w:t xml:space="preserve">Shared Data Plan(s) may also be </w:t>
      </w:r>
      <w:r>
        <w:rPr>
          <w:i/>
        </w:rPr>
        <w:t>cancelled</w:t>
      </w:r>
      <w:r>
        <w:t xml:space="preserve">. There are no </w:t>
      </w:r>
      <w:r>
        <w:rPr>
          <w:i/>
        </w:rPr>
        <w:t>cancellation fees</w:t>
      </w:r>
      <w:r>
        <w:t xml:space="preserve"> for the Shared Data Plan, however if </w:t>
      </w:r>
      <w:r>
        <w:rPr>
          <w:i/>
        </w:rPr>
        <w:t xml:space="preserve">you </w:t>
      </w:r>
      <w:r>
        <w:t xml:space="preserve">purchased a </w:t>
      </w:r>
      <w:r>
        <w:rPr>
          <w:i/>
        </w:rPr>
        <w:t xml:space="preserve">device you </w:t>
      </w:r>
      <w:r>
        <w:t xml:space="preserve">need to pay the sum of any remaining </w:t>
      </w:r>
      <w:r>
        <w:rPr>
          <w:i/>
        </w:rPr>
        <w:t>equipment charges</w:t>
      </w:r>
      <w:r>
        <w:t xml:space="preserve"> owing on </w:t>
      </w:r>
      <w:r>
        <w:rPr>
          <w:i/>
        </w:rPr>
        <w:t>your device</w:t>
      </w:r>
      <w:r>
        <w:t xml:space="preserve"> under the </w:t>
      </w:r>
      <w:r>
        <w:rPr>
          <w:i/>
        </w:rPr>
        <w:t>mobile equipment payment plan</w:t>
      </w:r>
      <w:r>
        <w:t xml:space="preserve"> (see Appendix D).</w:t>
      </w:r>
    </w:p>
    <w:p w14:paraId="5A720818" w14:textId="77777777" w:rsidR="000D07EA" w:rsidRDefault="00BE7C89">
      <w:pPr>
        <w:pStyle w:val="Heading7"/>
      </w:pPr>
      <w:r>
        <w:t xml:space="preserve">If </w:t>
      </w:r>
      <w:r>
        <w:rPr>
          <w:i/>
        </w:rPr>
        <w:t>your</w:t>
      </w:r>
      <w:r>
        <w:t xml:space="preserve"> Shared Data Plan is not </w:t>
      </w:r>
      <w:r>
        <w:rPr>
          <w:i/>
        </w:rPr>
        <w:t>cancelled</w:t>
      </w:r>
      <w:r>
        <w:t xml:space="preserve">, </w:t>
      </w:r>
      <w:r>
        <w:rPr>
          <w:i/>
        </w:rPr>
        <w:t>you</w:t>
      </w:r>
      <w:r>
        <w:t xml:space="preserve"> will be charged $10 per 1GB within Australia, up to a maximum of 60GB (per account) in a billing month.</w:t>
      </w:r>
    </w:p>
    <w:p w14:paraId="63AD5490" w14:textId="77777777" w:rsidR="000D07EA" w:rsidRDefault="00BE7C89">
      <w:pPr>
        <w:pStyle w:val="Heading4"/>
      </w:pPr>
      <w:bookmarkStart w:id="980" w:name="_Toc62644659"/>
      <w:r>
        <w:t>My Plan Business SIM (Promotional)</w:t>
      </w:r>
      <w:bookmarkEnd w:id="974"/>
      <w:bookmarkEnd w:id="975"/>
      <w:bookmarkEnd w:id="976"/>
      <w:bookmarkEnd w:id="977"/>
      <w:bookmarkEnd w:id="980"/>
    </w:p>
    <w:p w14:paraId="0B91FBF8" w14:textId="77777777" w:rsidR="000D07EA" w:rsidRDefault="00BE7C89">
      <w:pPr>
        <w:pStyle w:val="BodyText"/>
        <w:ind w:left="720"/>
      </w:pPr>
      <w:r>
        <w:t xml:space="preserve">This section relates to the following plans. </w:t>
      </w:r>
      <w:r>
        <w:rPr>
          <w:i/>
        </w:rPr>
        <w:t>You</w:t>
      </w:r>
      <w:r>
        <w:t xml:space="preserve"> can find </w:t>
      </w:r>
      <w:r>
        <w:rPr>
          <w:i/>
        </w:rPr>
        <w:t>your</w:t>
      </w:r>
      <w:r>
        <w:t xml:space="preserve"> Plan ID on </w:t>
      </w:r>
      <w:r>
        <w:rPr>
          <w:i/>
        </w:rPr>
        <w:t>your</w:t>
      </w:r>
      <w:r>
        <w:t xml:space="preserve"> bill under the Mobile Number Summary section:</w:t>
      </w:r>
    </w:p>
    <w:tbl>
      <w:tblPr>
        <w:tblW w:w="4570"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104"/>
        <w:gridCol w:w="2548"/>
        <w:gridCol w:w="3660"/>
      </w:tblGrid>
      <w:tr w:rsidR="000D07EA" w14:paraId="2F96E6E1" w14:textId="77777777" w:rsidTr="00334B99">
        <w:tc>
          <w:tcPr>
            <w:tcW w:w="1667" w:type="pct"/>
            <w:shd w:val="clear" w:color="auto" w:fill="auto"/>
          </w:tcPr>
          <w:p w14:paraId="7A7C22E5" w14:textId="77777777" w:rsidR="000D07EA" w:rsidRDefault="00BE7C89">
            <w:pPr>
              <w:pStyle w:val="BodyText"/>
              <w:spacing w:before="100" w:after="100"/>
              <w:jc w:val="center"/>
              <w:rPr>
                <w:b/>
              </w:rPr>
            </w:pPr>
            <w:r>
              <w:rPr>
                <w:b/>
              </w:rPr>
              <w:t>Plan</w:t>
            </w:r>
          </w:p>
        </w:tc>
        <w:tc>
          <w:tcPr>
            <w:tcW w:w="1368" w:type="pct"/>
            <w:shd w:val="clear" w:color="auto" w:fill="auto"/>
          </w:tcPr>
          <w:p w14:paraId="0753A82D" w14:textId="77777777" w:rsidR="000D07EA" w:rsidRDefault="00BE7C89">
            <w:pPr>
              <w:pStyle w:val="BodyText"/>
              <w:spacing w:before="100" w:after="100"/>
              <w:jc w:val="center"/>
              <w:rPr>
                <w:b/>
              </w:rPr>
            </w:pPr>
            <w:r>
              <w:rPr>
                <w:b/>
              </w:rPr>
              <w:t>Plan ID</w:t>
            </w:r>
          </w:p>
        </w:tc>
        <w:tc>
          <w:tcPr>
            <w:tcW w:w="1965" w:type="pct"/>
            <w:shd w:val="clear" w:color="auto" w:fill="auto"/>
          </w:tcPr>
          <w:p w14:paraId="2F6778ED" w14:textId="77777777" w:rsidR="000D07EA" w:rsidRDefault="00BE7C89">
            <w:pPr>
              <w:pStyle w:val="BodyText"/>
              <w:spacing w:before="100" w:after="100"/>
              <w:jc w:val="center"/>
              <w:rPr>
                <w:b/>
              </w:rPr>
            </w:pPr>
            <w:r>
              <w:rPr>
                <w:b/>
              </w:rPr>
              <w:t>Available</w:t>
            </w:r>
          </w:p>
        </w:tc>
      </w:tr>
      <w:tr w:rsidR="000D07EA" w14:paraId="098F5C00" w14:textId="77777777" w:rsidTr="00334B99">
        <w:tc>
          <w:tcPr>
            <w:tcW w:w="1667" w:type="pct"/>
            <w:vMerge w:val="restart"/>
            <w:shd w:val="clear" w:color="auto" w:fill="auto"/>
          </w:tcPr>
          <w:p w14:paraId="4B2403DA" w14:textId="77777777" w:rsidR="000D07EA" w:rsidRDefault="00BE7C89">
            <w:pPr>
              <w:pStyle w:val="BodyText"/>
              <w:spacing w:before="100" w:after="100"/>
              <w:jc w:val="center"/>
            </w:pPr>
            <w:r>
              <w:t>$50 My Plan Business SIM</w:t>
            </w:r>
          </w:p>
        </w:tc>
        <w:tc>
          <w:tcPr>
            <w:tcW w:w="1368" w:type="pct"/>
            <w:vMerge w:val="restart"/>
            <w:shd w:val="clear" w:color="auto" w:fill="auto"/>
          </w:tcPr>
          <w:p w14:paraId="3FB4B24A" w14:textId="77777777" w:rsidR="000D07EA" w:rsidRDefault="00BE7C89">
            <w:pPr>
              <w:pStyle w:val="BodyText"/>
              <w:spacing w:before="100" w:after="100"/>
              <w:jc w:val="center"/>
            </w:pPr>
            <w:r>
              <w:t>800273</w:t>
            </w:r>
            <w:r w:rsidR="003C574B">
              <w:t>, 8893931</w:t>
            </w:r>
          </w:p>
        </w:tc>
        <w:tc>
          <w:tcPr>
            <w:tcW w:w="1965" w:type="pct"/>
            <w:shd w:val="clear" w:color="auto" w:fill="auto"/>
          </w:tcPr>
          <w:p w14:paraId="12289089" w14:textId="77777777" w:rsidR="000D07EA" w:rsidRDefault="00BE7C89">
            <w:pPr>
              <w:pStyle w:val="BodyText"/>
              <w:spacing w:before="100" w:after="100"/>
              <w:jc w:val="center"/>
            </w:pPr>
            <w:r>
              <w:t>10 June 2015 – 5 July 2015</w:t>
            </w:r>
          </w:p>
          <w:p w14:paraId="393D8E78" w14:textId="77777777" w:rsidR="000D07EA" w:rsidRDefault="00BE7C89">
            <w:pPr>
              <w:pStyle w:val="BodyText"/>
              <w:spacing w:before="100" w:after="100"/>
              <w:jc w:val="center"/>
            </w:pPr>
            <w:r>
              <w:t>(via Optus online shop)</w:t>
            </w:r>
          </w:p>
        </w:tc>
      </w:tr>
      <w:tr w:rsidR="000D07EA" w14:paraId="7C301809" w14:textId="77777777" w:rsidTr="00334B99">
        <w:tc>
          <w:tcPr>
            <w:tcW w:w="1667" w:type="pct"/>
            <w:vMerge/>
            <w:shd w:val="clear" w:color="auto" w:fill="auto"/>
          </w:tcPr>
          <w:p w14:paraId="5BC92DA3" w14:textId="77777777" w:rsidR="000D07EA" w:rsidRDefault="000D07EA">
            <w:pPr>
              <w:pStyle w:val="BodyText"/>
              <w:spacing w:before="100" w:after="100"/>
              <w:jc w:val="center"/>
            </w:pPr>
          </w:p>
        </w:tc>
        <w:tc>
          <w:tcPr>
            <w:tcW w:w="1368" w:type="pct"/>
            <w:vMerge/>
            <w:shd w:val="clear" w:color="auto" w:fill="auto"/>
          </w:tcPr>
          <w:p w14:paraId="4FE8A48D" w14:textId="77777777" w:rsidR="000D07EA" w:rsidRDefault="000D07EA">
            <w:pPr>
              <w:pStyle w:val="BodyText"/>
              <w:spacing w:before="100" w:after="100"/>
              <w:jc w:val="center"/>
            </w:pPr>
          </w:p>
        </w:tc>
        <w:tc>
          <w:tcPr>
            <w:tcW w:w="1965" w:type="pct"/>
            <w:shd w:val="clear" w:color="auto" w:fill="auto"/>
          </w:tcPr>
          <w:p w14:paraId="2AFD8300" w14:textId="77777777" w:rsidR="000D07EA" w:rsidRDefault="00BE7C89">
            <w:pPr>
              <w:pStyle w:val="BodyText"/>
              <w:spacing w:before="100" w:after="100"/>
              <w:jc w:val="center"/>
            </w:pPr>
            <w:r>
              <w:t>6 July 2015 to 31 July 2015</w:t>
            </w:r>
          </w:p>
          <w:p w14:paraId="5A975F4E" w14:textId="77777777" w:rsidR="000D07EA" w:rsidRDefault="00BE7C89">
            <w:pPr>
              <w:pStyle w:val="BodyText"/>
              <w:spacing w:before="100" w:after="100"/>
              <w:jc w:val="center"/>
            </w:pPr>
            <w:r>
              <w:t>(via Optus telesales)</w:t>
            </w:r>
          </w:p>
        </w:tc>
      </w:tr>
      <w:tr w:rsidR="000D07EA" w14:paraId="0659290C" w14:textId="77777777" w:rsidTr="00334B99">
        <w:tc>
          <w:tcPr>
            <w:tcW w:w="1667" w:type="pct"/>
            <w:vMerge/>
            <w:shd w:val="clear" w:color="auto" w:fill="auto"/>
          </w:tcPr>
          <w:p w14:paraId="5C171644" w14:textId="77777777" w:rsidR="000D07EA" w:rsidRDefault="000D07EA">
            <w:pPr>
              <w:pStyle w:val="BodyText"/>
              <w:spacing w:before="100" w:after="100"/>
              <w:jc w:val="center"/>
            </w:pPr>
          </w:p>
        </w:tc>
        <w:tc>
          <w:tcPr>
            <w:tcW w:w="1368" w:type="pct"/>
            <w:vMerge/>
            <w:shd w:val="clear" w:color="auto" w:fill="auto"/>
          </w:tcPr>
          <w:p w14:paraId="7CBE186C" w14:textId="77777777" w:rsidR="000D07EA" w:rsidRDefault="000D07EA">
            <w:pPr>
              <w:pStyle w:val="BodyText"/>
              <w:spacing w:before="100" w:after="100"/>
              <w:jc w:val="center"/>
            </w:pPr>
          </w:p>
        </w:tc>
        <w:tc>
          <w:tcPr>
            <w:tcW w:w="1965" w:type="pct"/>
            <w:shd w:val="clear" w:color="auto" w:fill="auto"/>
          </w:tcPr>
          <w:p w14:paraId="23BBF2C1" w14:textId="77777777" w:rsidR="000D07EA" w:rsidRDefault="00BE7C89">
            <w:pPr>
              <w:pStyle w:val="BodyText"/>
              <w:spacing w:before="100" w:after="100"/>
              <w:jc w:val="center"/>
            </w:pPr>
            <w:r>
              <w:t>6 August 2015 – 1 November 2015</w:t>
            </w:r>
          </w:p>
          <w:p w14:paraId="7C5C91FA" w14:textId="77777777" w:rsidR="000D07EA" w:rsidRDefault="00BE7C89">
            <w:pPr>
              <w:pStyle w:val="BodyText"/>
              <w:spacing w:before="100" w:after="100"/>
              <w:jc w:val="center"/>
            </w:pPr>
            <w:r>
              <w:lastRenderedPageBreak/>
              <w:t>(all consumer channels)</w:t>
            </w:r>
          </w:p>
        </w:tc>
      </w:tr>
      <w:tr w:rsidR="000D07EA" w14:paraId="3672C7E7" w14:textId="77777777" w:rsidTr="00334B99">
        <w:tc>
          <w:tcPr>
            <w:tcW w:w="1667" w:type="pct"/>
            <w:shd w:val="clear" w:color="auto" w:fill="auto"/>
          </w:tcPr>
          <w:p w14:paraId="25886357" w14:textId="77777777" w:rsidR="000D07EA" w:rsidRDefault="00BE7C89">
            <w:pPr>
              <w:pStyle w:val="BodyText"/>
              <w:spacing w:before="100" w:after="100"/>
              <w:jc w:val="center"/>
            </w:pPr>
            <w:r>
              <w:lastRenderedPageBreak/>
              <w:t>$80 My Plan Business SIM</w:t>
            </w:r>
          </w:p>
        </w:tc>
        <w:tc>
          <w:tcPr>
            <w:tcW w:w="1368" w:type="pct"/>
            <w:shd w:val="clear" w:color="auto" w:fill="auto"/>
          </w:tcPr>
          <w:p w14:paraId="7C57B9FF" w14:textId="77777777" w:rsidR="000D07EA" w:rsidRDefault="00BE7C89">
            <w:pPr>
              <w:pStyle w:val="BodyText"/>
              <w:spacing w:before="100" w:after="100"/>
              <w:jc w:val="center"/>
            </w:pPr>
            <w:r>
              <w:t>800301</w:t>
            </w:r>
            <w:r w:rsidR="003C574B">
              <w:t>, 8893981</w:t>
            </w:r>
          </w:p>
        </w:tc>
        <w:tc>
          <w:tcPr>
            <w:tcW w:w="1965" w:type="pct"/>
            <w:shd w:val="clear" w:color="auto" w:fill="auto"/>
          </w:tcPr>
          <w:p w14:paraId="4C877115" w14:textId="77777777" w:rsidR="000D07EA" w:rsidRDefault="00BE7C89">
            <w:pPr>
              <w:pStyle w:val="BodyText"/>
              <w:spacing w:before="100" w:after="100"/>
              <w:jc w:val="center"/>
            </w:pPr>
            <w:r>
              <w:t>30 August 2015 – 1 November 2015</w:t>
            </w:r>
          </w:p>
          <w:p w14:paraId="030A1FCE" w14:textId="77777777" w:rsidR="000D07EA" w:rsidRDefault="00BE7C89">
            <w:pPr>
              <w:pStyle w:val="BodyText"/>
              <w:spacing w:before="100" w:after="100"/>
              <w:jc w:val="center"/>
            </w:pPr>
            <w:r>
              <w:t>(via Optus online shop)</w:t>
            </w:r>
          </w:p>
        </w:tc>
      </w:tr>
    </w:tbl>
    <w:p w14:paraId="6C6BA6E2" w14:textId="77777777" w:rsidR="000D07EA" w:rsidRDefault="000D07EA">
      <w:pPr>
        <w:pStyle w:val="BodyText"/>
      </w:pPr>
    </w:p>
    <w:p w14:paraId="78EE2542" w14:textId="77777777" w:rsidR="000D07EA" w:rsidRDefault="00BE7C89">
      <w:pPr>
        <w:pStyle w:val="Heading6"/>
        <w:ind w:left="0" w:firstLine="0"/>
      </w:pPr>
      <w:bookmarkStart w:id="981" w:name="_Toc420501443"/>
      <w:bookmarkStart w:id="982" w:name="_Toc425946558"/>
      <w:r>
        <w:t>Eligib</w:t>
      </w:r>
      <w:bookmarkEnd w:id="981"/>
      <w:bookmarkEnd w:id="982"/>
      <w:r>
        <w:t>ility</w:t>
      </w:r>
    </w:p>
    <w:p w14:paraId="63184A3D" w14:textId="77777777" w:rsidR="000D07EA" w:rsidRDefault="00BE7C89">
      <w:pPr>
        <w:pStyle w:val="BodyText"/>
        <w:ind w:left="720"/>
      </w:pPr>
      <w:r>
        <w:t xml:space="preserve">The $50/$80 My Plan Business SIM plan is available to new and existing mobile customers connecting to the </w:t>
      </w:r>
      <w:r>
        <w:rPr>
          <w:i/>
        </w:rPr>
        <w:t xml:space="preserve">service </w:t>
      </w:r>
      <w:r>
        <w:t>who pass Optus' credit assessment.</w:t>
      </w:r>
    </w:p>
    <w:p w14:paraId="35E4EA57" w14:textId="77777777" w:rsidR="000D07EA" w:rsidRDefault="00BE7C89">
      <w:pPr>
        <w:pStyle w:val="BodyText"/>
        <w:ind w:left="720"/>
      </w:pPr>
      <w:r>
        <w:t>The $80 My Plan Business SIM plan is only available via Optus' online shop.</w:t>
      </w:r>
    </w:p>
    <w:p w14:paraId="29FEDFD4" w14:textId="77777777" w:rsidR="000D07EA" w:rsidRDefault="00BE7C89">
      <w:pPr>
        <w:pStyle w:val="BodyText"/>
        <w:ind w:left="720"/>
      </w:pPr>
      <w:r>
        <w:t>Optus Service Providers' customers are not eligible to apply</w:t>
      </w:r>
      <w:r>
        <w:rPr>
          <w:snapToGrid w:val="0"/>
        </w:rPr>
        <w:t>.</w:t>
      </w:r>
    </w:p>
    <w:p w14:paraId="31DD81C9" w14:textId="77777777" w:rsidR="000D07EA" w:rsidRDefault="00BE7C89">
      <w:pPr>
        <w:pStyle w:val="BodyText"/>
        <w:ind w:left="720"/>
      </w:pPr>
      <w:r>
        <w:t xml:space="preserve">These </w:t>
      </w:r>
      <w:r>
        <w:rPr>
          <w:i/>
        </w:rPr>
        <w:t>plans</w:t>
      </w:r>
      <w:r>
        <w:t xml:space="preserve"> aren't compatible for data use with BlackBerry handsets on operating systems of 7.1 or earlier.</w:t>
      </w:r>
    </w:p>
    <w:p w14:paraId="19C8D796" w14:textId="77777777" w:rsidR="000D07EA" w:rsidRDefault="00BE7C89">
      <w:pPr>
        <w:pStyle w:val="Heading6"/>
        <w:ind w:left="0" w:firstLine="0"/>
      </w:pPr>
      <w:bookmarkStart w:id="983" w:name="_Toc420501444"/>
      <w:bookmarkStart w:id="984" w:name="_Toc425946559"/>
      <w:r>
        <w:rPr>
          <w:snapToGrid w:val="0"/>
        </w:rPr>
        <w:t>Minimum Term</w:t>
      </w:r>
      <w:bookmarkEnd w:id="983"/>
      <w:bookmarkEnd w:id="984"/>
    </w:p>
    <w:p w14:paraId="4903479E" w14:textId="77777777" w:rsidR="000D07EA" w:rsidRDefault="00BE7C89">
      <w:pPr>
        <w:pStyle w:val="BodyText"/>
        <w:ind w:left="720"/>
      </w:pPr>
      <w:r>
        <w:t xml:space="preserve">These plans are month to month plans on a </w:t>
      </w:r>
      <w:r>
        <w:rPr>
          <w:i/>
        </w:rPr>
        <w:t>non-fixed length agreement.</w:t>
      </w:r>
    </w:p>
    <w:p w14:paraId="1DDF6619" w14:textId="77777777" w:rsidR="000D07EA" w:rsidRDefault="00BE7C89">
      <w:pPr>
        <w:pStyle w:val="Heading6"/>
        <w:ind w:left="0" w:firstLine="0"/>
      </w:pPr>
      <w:bookmarkStart w:id="985" w:name="_Toc420501445"/>
      <w:bookmarkStart w:id="986" w:name="_Toc425946560"/>
      <w:r>
        <w:t>What you have to pay us</w:t>
      </w:r>
      <w:bookmarkEnd w:id="985"/>
      <w:bookmarkEnd w:id="986"/>
    </w:p>
    <w:p w14:paraId="1E5C7D90" w14:textId="77777777" w:rsidR="000D07EA" w:rsidRDefault="00BE7C89">
      <w:pPr>
        <w:pStyle w:val="Heading7"/>
      </w:pPr>
      <w:r>
        <w:rPr>
          <w:i/>
        </w:rPr>
        <w:t>You</w:t>
      </w:r>
      <w:r>
        <w:t xml:space="preserve"> must pay </w:t>
      </w:r>
      <w:r>
        <w:rPr>
          <w:i/>
        </w:rPr>
        <w:t>us</w:t>
      </w:r>
      <w:r>
        <w:t xml:space="preserve"> for use of the </w:t>
      </w:r>
      <w:r>
        <w:rPr>
          <w:i/>
        </w:rPr>
        <w:t>service</w:t>
      </w:r>
      <w:r>
        <w:t xml:space="preserve"> at the rates set out in Section 1 of this </w:t>
      </w:r>
      <w:r>
        <w:rPr>
          <w:i/>
        </w:rPr>
        <w:t>standard pricing table</w:t>
      </w:r>
      <w:r>
        <w:t xml:space="preserve"> and for value added service features at the rates set out in </w:t>
      </w:r>
      <w:hyperlink r:id="rId592" w:history="1">
        <w:r>
          <w:rPr>
            <w:rStyle w:val="Hyperlink"/>
            <w:i/>
          </w:rPr>
          <w:t>Appendix Y Value Added Service Features</w:t>
        </w:r>
      </w:hyperlink>
      <w:r>
        <w:t>.</w:t>
      </w:r>
    </w:p>
    <w:p w14:paraId="5D49C4CB" w14:textId="77777777" w:rsidR="000D07EA" w:rsidRDefault="00BE7C89">
      <w:pPr>
        <w:pStyle w:val="Heading7"/>
      </w:pPr>
      <w:r>
        <w:t>If there is a flagfall for a particular call type, the charge for these calls is the flagfall amount plus the relevant rate for the call multiplied by the duration of the call.</w:t>
      </w:r>
    </w:p>
    <w:p w14:paraId="720F8486" w14:textId="77777777" w:rsidR="000D07EA" w:rsidRDefault="00BE7C89">
      <w:pPr>
        <w:pStyle w:val="Heading7"/>
        <w:rPr>
          <w:b/>
        </w:rPr>
      </w:pPr>
      <w:r>
        <w:rPr>
          <w:b/>
        </w:rPr>
        <w:t>Minimum Monthly Charge</w:t>
      </w:r>
    </w:p>
    <w:p w14:paraId="585BEE48" w14:textId="77777777" w:rsidR="000D07EA" w:rsidRDefault="00BE7C89">
      <w:pPr>
        <w:pStyle w:val="Heading8"/>
      </w:pPr>
      <w:r>
        <w:t xml:space="preserve">The $50/$80 My Plan Business SIM plans have a Minimum Monthly Charge amount that </w:t>
      </w:r>
      <w:r>
        <w:rPr>
          <w:i/>
        </w:rPr>
        <w:t>you</w:t>
      </w:r>
      <w:r>
        <w:t xml:space="preserve"> must pay </w:t>
      </w:r>
      <w:r>
        <w:rPr>
          <w:i/>
        </w:rPr>
        <w:t>us</w:t>
      </w:r>
      <w:r>
        <w:t xml:space="preserve"> each month as set out in Table 1 below.</w:t>
      </w:r>
    </w:p>
    <w:p w14:paraId="59D125AF" w14:textId="77777777" w:rsidR="000D07EA" w:rsidRDefault="00BE7C89">
      <w:pPr>
        <w:pStyle w:val="Heading8"/>
      </w:pPr>
      <w:r>
        <w:rPr>
          <w:i/>
        </w:rPr>
        <w:t>You</w:t>
      </w:r>
      <w:r>
        <w:t xml:space="preserve"> may purchase a mobile phone (or 'handset') with a 1 month, 12 month or 24 month </w:t>
      </w:r>
      <w:r>
        <w:rPr>
          <w:i/>
        </w:rPr>
        <w:t>equipment term</w:t>
      </w:r>
      <w:r>
        <w:t xml:space="preserve"> under a </w:t>
      </w:r>
      <w:r>
        <w:rPr>
          <w:i/>
        </w:rPr>
        <w:t>mobile equipment payment plan</w:t>
      </w:r>
      <w:r>
        <w:t xml:space="preserve"> (set out in </w:t>
      </w:r>
      <w:hyperlink r:id="rId593" w:history="1">
        <w:r>
          <w:rPr>
            <w:rStyle w:val="Hyperlink"/>
            <w:i/>
          </w:rPr>
          <w:t>Appendix D</w:t>
        </w:r>
      </w:hyperlink>
      <w:r>
        <w:t>).</w:t>
      </w:r>
    </w:p>
    <w:p w14:paraId="479F8922" w14:textId="77777777" w:rsidR="000D07EA" w:rsidRDefault="00BE7C89">
      <w:pPr>
        <w:pStyle w:val="Heading6"/>
        <w:ind w:left="0" w:firstLine="0"/>
        <w:rPr>
          <w:snapToGrid w:val="0"/>
        </w:rPr>
      </w:pPr>
      <w:bookmarkStart w:id="987" w:name="_Toc420501446"/>
      <w:bookmarkStart w:id="988" w:name="_Toc425946561"/>
      <w:r>
        <w:rPr>
          <w:snapToGrid w:val="0"/>
        </w:rPr>
        <w:t>How My Plan Business SIM works</w:t>
      </w:r>
      <w:bookmarkEnd w:id="987"/>
      <w:bookmarkEnd w:id="988"/>
    </w:p>
    <w:p w14:paraId="4E5CC008" w14:textId="77777777" w:rsidR="000D07EA" w:rsidRDefault="00BE7C89">
      <w:pPr>
        <w:pStyle w:val="Heading7"/>
      </w:pPr>
      <w:r>
        <w:t>The $50/$80 My Plan Business SIM have unlimited minutes to use on standard national calls to landlines and mobiles, 13/1300 numbers and voicemail retrievals and Included Data (for mobile internet use) to share with other services on a My Plan Plus</w:t>
      </w:r>
      <w:r>
        <w:rPr>
          <w:lang w:eastAsia="en-AU"/>
        </w:rPr>
        <w:t>, My Plan Plus SIM Only, My Plan Business (including Tech Fund), My Plan Business SIM, My Mobile Broadband Plus, Mobile Broadband Business</w:t>
      </w:r>
      <w:r>
        <w:t xml:space="preserve"> or Shared Data plans on the same account.</w:t>
      </w:r>
    </w:p>
    <w:p w14:paraId="573FD536" w14:textId="77777777" w:rsidR="000D07EA" w:rsidRDefault="00BE7C89">
      <w:pPr>
        <w:pStyle w:val="Heading7"/>
      </w:pPr>
      <w:r>
        <w:t>These plans also include unlimited standard national SMS/MMS and unlimited standard International SMS/MMS to selected countries. They also have an amount of included international minutes to use on standard international calls to selected countries.</w:t>
      </w:r>
    </w:p>
    <w:p w14:paraId="46E35E72" w14:textId="77777777" w:rsidR="000D07EA" w:rsidRDefault="00BE7C89">
      <w:pPr>
        <w:pStyle w:val="Heading7"/>
      </w:pPr>
      <w:r>
        <w:t>Data usage is calculated in one kilobyte increments. International minutes are billed in one minute increments.</w:t>
      </w:r>
    </w:p>
    <w:p w14:paraId="1BAB0F7C" w14:textId="77777777" w:rsidR="000D07EA" w:rsidRDefault="00BE7C89">
      <w:pPr>
        <w:pStyle w:val="Heading7"/>
      </w:pPr>
      <w:r>
        <w:t xml:space="preserve">If </w:t>
      </w:r>
      <w:r>
        <w:rPr>
          <w:i/>
        </w:rPr>
        <w:t>you</w:t>
      </w:r>
      <w:r>
        <w:t xml:space="preserve"> exceed your included shareable data you'll automatically be charged $10 for each additional 1GB of data ("</w:t>
      </w:r>
      <w:r>
        <w:rPr>
          <w:b/>
        </w:rPr>
        <w:t>Additional Data</w:t>
      </w:r>
      <w:r>
        <w:t>") that you use (or part thereof). Previously you could use up to 60GB extra on your account but from 02/08/2015, we're increasing it to 150GB of extra data per account each month. Your service/s may then be restricted or we may continue to charge you at these rates.</w:t>
      </w:r>
    </w:p>
    <w:p w14:paraId="0C7DDA3F" w14:textId="77777777" w:rsidR="000D07EA" w:rsidRDefault="00BE7C89">
      <w:pPr>
        <w:pStyle w:val="Heading7"/>
      </w:pPr>
      <w:r>
        <w:t xml:space="preserve">Any unused portion of </w:t>
      </w:r>
      <w:r>
        <w:rPr>
          <w:i/>
        </w:rPr>
        <w:t>your</w:t>
      </w:r>
      <w:r>
        <w:t xml:space="preserve"> </w:t>
      </w:r>
      <w:r>
        <w:rPr>
          <w:i/>
        </w:rPr>
        <w:t>plan's</w:t>
      </w:r>
      <w:r>
        <w:t xml:space="preserve"> Included Minutes, Included or Additional Data or International Minutes expires at the end of each month and does not roll over into the next month.</w:t>
      </w:r>
    </w:p>
    <w:p w14:paraId="532A6054" w14:textId="77777777" w:rsidR="000D07EA" w:rsidRDefault="00BE7C89">
      <w:pPr>
        <w:pStyle w:val="Heading7"/>
      </w:pPr>
      <w:r>
        <w:rPr>
          <w:i/>
        </w:rPr>
        <w:lastRenderedPageBreak/>
        <w:t>You</w:t>
      </w:r>
      <w:r>
        <w:t xml:space="preserve"> must pay </w:t>
      </w:r>
      <w:r>
        <w:rPr>
          <w:i/>
        </w:rPr>
        <w:t>us</w:t>
      </w:r>
      <w:r>
        <w:t xml:space="preserve"> for use of any services that are not included in </w:t>
      </w:r>
      <w:r>
        <w:rPr>
          <w:i/>
        </w:rPr>
        <w:t>your</w:t>
      </w:r>
      <w:r>
        <w:t xml:space="preserve"> plan's inclusions, examples of which are set out in Table 2 below.</w:t>
      </w:r>
    </w:p>
    <w:p w14:paraId="1BBE4E42" w14:textId="77777777" w:rsidR="000D07EA" w:rsidRDefault="00BE7C89">
      <w:pPr>
        <w:pStyle w:val="Heading6"/>
        <w:ind w:left="0" w:firstLine="0"/>
        <w:rPr>
          <w:snapToGrid w:val="0"/>
        </w:rPr>
      </w:pPr>
      <w:bookmarkStart w:id="989" w:name="_Toc420501447"/>
      <w:bookmarkStart w:id="990" w:name="_Toc425946562"/>
      <w:r>
        <w:rPr>
          <w:snapToGrid w:val="0"/>
        </w:rPr>
        <w:t>Data Sharing</w:t>
      </w:r>
      <w:bookmarkEnd w:id="989"/>
      <w:bookmarkEnd w:id="990"/>
    </w:p>
    <w:p w14:paraId="6ECD0859" w14:textId="77777777" w:rsidR="000D07EA" w:rsidRDefault="00BE7C89">
      <w:pPr>
        <w:pStyle w:val="Heading7"/>
        <w:rPr>
          <w:snapToGrid w:val="0"/>
        </w:rPr>
      </w:pPr>
      <w:r>
        <w:rPr>
          <w:snapToGrid w:val="0"/>
        </w:rPr>
        <w:t>If</w:t>
      </w:r>
      <w:r>
        <w:rPr>
          <w:i/>
          <w:snapToGrid w:val="0"/>
        </w:rPr>
        <w:t xml:space="preserve"> you</w:t>
      </w:r>
      <w:r>
        <w:rPr>
          <w:lang w:eastAsia="en-AU"/>
        </w:rPr>
        <w:t xml:space="preserve"> have more than one </w:t>
      </w:r>
      <w:r>
        <w:t>My Plan Plus</w:t>
      </w:r>
      <w:r>
        <w:rPr>
          <w:lang w:eastAsia="en-AU"/>
        </w:rPr>
        <w:t>, My Plan Plus SIM Only, My Plan Business (including Tech Fund), My Plan Business SIM, My Mobile Broadband Plus or Mobile Broadband Business plan on the same billing account, the included data will combine into one data pool, which will be shared by all eligible services on that account.</w:t>
      </w:r>
    </w:p>
    <w:p w14:paraId="4AC63E62" w14:textId="77777777" w:rsidR="000D07EA" w:rsidRDefault="00BE7C89">
      <w:pPr>
        <w:pStyle w:val="Heading7"/>
        <w:rPr>
          <w:snapToGrid w:val="0"/>
        </w:rPr>
      </w:pPr>
      <w:r>
        <w:rPr>
          <w:i/>
          <w:snapToGrid w:val="0"/>
        </w:rPr>
        <w:t>You</w:t>
      </w:r>
      <w:r>
        <w:rPr>
          <w:snapToGrid w:val="0"/>
        </w:rPr>
        <w:t xml:space="preserve"> can share the Included Data in </w:t>
      </w:r>
      <w:r>
        <w:rPr>
          <w:i/>
          <w:snapToGrid w:val="0"/>
        </w:rPr>
        <w:t>your</w:t>
      </w:r>
      <w:r>
        <w:rPr>
          <w:snapToGrid w:val="0"/>
        </w:rPr>
        <w:t xml:space="preserve"> plan with up to five (5) SIM-ready mobile broadband devices (eg tablets, USB modems and laptops). </w:t>
      </w:r>
      <w:r>
        <w:rPr>
          <w:i/>
          <w:snapToGrid w:val="0"/>
        </w:rPr>
        <w:t>You</w:t>
      </w:r>
      <w:r>
        <w:rPr>
          <w:snapToGrid w:val="0"/>
        </w:rPr>
        <w:t xml:space="preserve"> must connect these mobile broadband devices to Shared Data Plans which have a $5 set up fee each and no ongoing monthly charges.</w:t>
      </w:r>
    </w:p>
    <w:p w14:paraId="32541FC7" w14:textId="77777777" w:rsidR="000D07EA" w:rsidRDefault="00BE7C89">
      <w:pPr>
        <w:pStyle w:val="Heading7"/>
        <w:rPr>
          <w:snapToGrid w:val="0"/>
        </w:rPr>
      </w:pPr>
      <w:r>
        <w:rPr>
          <w:i/>
          <w:snapToGrid w:val="0"/>
        </w:rPr>
        <w:t>We</w:t>
      </w:r>
      <w:r>
        <w:rPr>
          <w:snapToGrid w:val="0"/>
        </w:rPr>
        <w:t xml:space="preserve"> may place a limit on the number of Shared Data Plans </w:t>
      </w:r>
      <w:r>
        <w:rPr>
          <w:i/>
          <w:snapToGrid w:val="0"/>
        </w:rPr>
        <w:t>you</w:t>
      </w:r>
      <w:r>
        <w:rPr>
          <w:snapToGrid w:val="0"/>
        </w:rPr>
        <w:t xml:space="preserve"> can have, based on </w:t>
      </w:r>
      <w:r>
        <w:rPr>
          <w:i/>
          <w:snapToGrid w:val="0"/>
        </w:rPr>
        <w:t>our</w:t>
      </w:r>
      <w:r>
        <w:rPr>
          <w:snapToGrid w:val="0"/>
        </w:rPr>
        <w:t xml:space="preserve"> credit criteria.</w:t>
      </w:r>
    </w:p>
    <w:p w14:paraId="6053D787" w14:textId="77777777" w:rsidR="000D07EA" w:rsidRDefault="00BE7C89">
      <w:pPr>
        <w:pStyle w:val="Heading7"/>
        <w:rPr>
          <w:snapToGrid w:val="0"/>
        </w:rPr>
      </w:pPr>
      <w:r>
        <w:rPr>
          <w:snapToGrid w:val="0"/>
        </w:rPr>
        <w:t>Shared Data Plans do not have any Included Data, and cannot be used to make calls.</w:t>
      </w:r>
    </w:p>
    <w:p w14:paraId="0B8045C4" w14:textId="77777777" w:rsidR="000D07EA" w:rsidRDefault="00BE7C89">
      <w:pPr>
        <w:pStyle w:val="Heading7"/>
        <w:rPr>
          <w:snapToGrid w:val="0"/>
        </w:rPr>
      </w:pPr>
      <w:r>
        <w:rPr>
          <w:i/>
          <w:snapToGrid w:val="0"/>
        </w:rPr>
        <w:t>You</w:t>
      </w:r>
      <w:r>
        <w:rPr>
          <w:snapToGrid w:val="0"/>
        </w:rPr>
        <w:t xml:space="preserve"> can purchase one mobile broadband device per Shared Data Plan, and pay for it in full on </w:t>
      </w:r>
      <w:r>
        <w:rPr>
          <w:i/>
          <w:snapToGrid w:val="0"/>
        </w:rPr>
        <w:t>your</w:t>
      </w:r>
      <w:r>
        <w:rPr>
          <w:snapToGrid w:val="0"/>
        </w:rPr>
        <w:t xml:space="preserve"> first bill, or pay it off over 12 or 24 months on a </w:t>
      </w:r>
      <w:r>
        <w:rPr>
          <w:i/>
          <w:snapToGrid w:val="0"/>
        </w:rPr>
        <w:t>Mobile Equipment Payment Plan</w:t>
      </w:r>
      <w:r>
        <w:rPr>
          <w:snapToGrid w:val="0"/>
        </w:rPr>
        <w:t xml:space="preserve"> (see </w:t>
      </w:r>
      <w:hyperlink r:id="rId594" w:history="1">
        <w:r>
          <w:rPr>
            <w:rStyle w:val="Hyperlink"/>
            <w:i/>
            <w:snapToGrid w:val="0"/>
          </w:rPr>
          <w:t>Appendix D</w:t>
        </w:r>
      </w:hyperlink>
      <w:r>
        <w:rPr>
          <w:snapToGrid w:val="0"/>
        </w:rPr>
        <w:t>).</w:t>
      </w:r>
    </w:p>
    <w:p w14:paraId="53011D02" w14:textId="77777777" w:rsidR="000D07EA" w:rsidRDefault="00BE7C89">
      <w:pPr>
        <w:pStyle w:val="Heading7"/>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services on any</w:t>
      </w:r>
      <w:r>
        <w:t xml:space="preserve"> My Plan Plus</w:t>
      </w:r>
      <w:r>
        <w:rPr>
          <w:lang w:eastAsia="en-AU"/>
        </w:rPr>
        <w:t>, My Plan Plus SIM Only, My Plan Business (including Tech Fund), My Plan Business SIM, My Mobile Broadband Plus or Mobile Broadband Business plans</w:t>
      </w:r>
      <w:r>
        <w:rPr>
          <w:snapToGrid w:val="0"/>
        </w:rPr>
        <w:t xml:space="preserve"> to share data, they need to be on separate billing accounts.</w:t>
      </w:r>
    </w:p>
    <w:p w14:paraId="6CC2C764" w14:textId="77777777" w:rsidR="000D07EA" w:rsidRDefault="00BE7C89">
      <w:pPr>
        <w:pStyle w:val="Heading7"/>
        <w:rPr>
          <w:snapToGrid w:val="0"/>
        </w:rPr>
      </w:pPr>
      <w:r>
        <w:rPr>
          <w:snapToGrid w:val="0"/>
        </w:rPr>
        <w:t>Data sharing is only available within Australia.</w:t>
      </w:r>
    </w:p>
    <w:p w14:paraId="0768363A" w14:textId="77777777" w:rsidR="000D07EA" w:rsidRDefault="00BE7C89">
      <w:pPr>
        <w:pStyle w:val="Heading6"/>
        <w:ind w:left="0" w:firstLine="0"/>
        <w:rPr>
          <w:snapToGrid w:val="0"/>
        </w:rPr>
      </w:pPr>
      <w:bookmarkStart w:id="991" w:name="_Toc420501448"/>
      <w:bookmarkStart w:id="992" w:name="_Toc425946563"/>
      <w:r>
        <w:rPr>
          <w:snapToGrid w:val="0"/>
        </w:rPr>
        <w:t>International Minutes</w:t>
      </w:r>
      <w:bookmarkEnd w:id="991"/>
      <w:bookmarkEnd w:id="992"/>
    </w:p>
    <w:p w14:paraId="43F4FBF4" w14:textId="77777777" w:rsidR="000D07EA" w:rsidRDefault="00BE7C89">
      <w:pPr>
        <w:pStyle w:val="BodyText"/>
        <w:ind w:left="720"/>
      </w:pPr>
      <w:r>
        <w:t>The $50/$80 My Plan Business SIM include up to 300 international minutes for standard calls to mobiles and fixed lines in selected countries made from within Australia. For a list of selected countries see Table 3 below.</w:t>
      </w:r>
    </w:p>
    <w:p w14:paraId="287291EA" w14:textId="77777777" w:rsidR="000D07EA" w:rsidRDefault="00BE7C89">
      <w:pPr>
        <w:pStyle w:val="BodyText"/>
        <w:ind w:left="720"/>
      </w:pPr>
      <w:r>
        <w:t>Calls are charged per minute. When included minutes for calls to selected countries are used up, standard 'yes' international call charges apply.</w:t>
      </w:r>
    </w:p>
    <w:p w14:paraId="4E54826B" w14:textId="77777777" w:rsidR="000D07EA" w:rsidRDefault="00BE7C89">
      <w:pPr>
        <w:pStyle w:val="Heading6"/>
        <w:ind w:left="0" w:firstLine="0"/>
        <w:rPr>
          <w:snapToGrid w:val="0"/>
        </w:rPr>
      </w:pPr>
      <w:bookmarkStart w:id="993" w:name="_Toc420501449"/>
      <w:bookmarkStart w:id="994" w:name="_Toc425946564"/>
      <w:r>
        <w:rPr>
          <w:snapToGrid w:val="0"/>
        </w:rPr>
        <w:t>Unlimited standard national SMS and MMS</w:t>
      </w:r>
      <w:bookmarkEnd w:id="993"/>
      <w:bookmarkEnd w:id="994"/>
    </w:p>
    <w:p w14:paraId="1B1C167E" w14:textId="77777777" w:rsidR="000D07EA" w:rsidRDefault="00BE7C89">
      <w:pPr>
        <w:pStyle w:val="BodyText"/>
        <w:ind w:left="720"/>
      </w:pPr>
      <w:r>
        <w:rPr>
          <w:i/>
        </w:rPr>
        <w:t>You</w:t>
      </w:r>
      <w:r>
        <w:t xml:space="preserve"> may send standard unlimited SMS and MMS to Australian mobiles from within Australia.</w:t>
      </w:r>
    </w:p>
    <w:p w14:paraId="1F97AE86" w14:textId="77777777" w:rsidR="000D07EA" w:rsidRDefault="00BE7C89">
      <w:pPr>
        <w:pStyle w:val="BodyText"/>
        <w:ind w:left="720"/>
        <w:rPr>
          <w:rStyle w:val="Hyperlink"/>
          <w:i/>
        </w:rPr>
      </w:pPr>
      <w:r>
        <w:t xml:space="preserve">Unlimited standard national SMS and MMS are only available for personal use and are not to be used for a commercial or non-ordinary purpose as set out in the Fair Go Policy. For further details refer to </w:t>
      </w:r>
      <w:hyperlink r:id="rId595" w:history="1">
        <w:r>
          <w:rPr>
            <w:rStyle w:val="Hyperlink"/>
            <w:i/>
          </w:rPr>
          <w:t>Appendix S</w:t>
        </w:r>
      </w:hyperlink>
      <w:r>
        <w:rPr>
          <w:i/>
        </w:rPr>
        <w:t>.</w:t>
      </w:r>
    </w:p>
    <w:p w14:paraId="190F20DA" w14:textId="77777777" w:rsidR="000D07EA" w:rsidRDefault="00BE7C89">
      <w:pPr>
        <w:pStyle w:val="Heading6"/>
        <w:ind w:left="0" w:firstLine="0"/>
        <w:rPr>
          <w:snapToGrid w:val="0"/>
        </w:rPr>
      </w:pPr>
      <w:bookmarkStart w:id="995" w:name="_Toc420501450"/>
      <w:bookmarkStart w:id="996" w:name="_Toc425946565"/>
      <w:r>
        <w:rPr>
          <w:snapToGrid w:val="0"/>
        </w:rPr>
        <w:t>Unlimited standard international SMS and MMS</w:t>
      </w:r>
      <w:bookmarkEnd w:id="995"/>
      <w:bookmarkEnd w:id="996"/>
    </w:p>
    <w:p w14:paraId="746BFA53" w14:textId="77777777" w:rsidR="000D07EA" w:rsidRDefault="00BE7C89">
      <w:pPr>
        <w:pStyle w:val="BodyText"/>
        <w:ind w:left="720"/>
      </w:pPr>
      <w:r>
        <w:rPr>
          <w:i/>
        </w:rPr>
        <w:t>You</w:t>
      </w:r>
      <w:r>
        <w:t xml:space="preserve"> may send unlimited standard SMS and MMS to selected countries as set out in Table 3 below from within Australia.</w:t>
      </w:r>
    </w:p>
    <w:p w14:paraId="6D6F25A8" w14:textId="77777777" w:rsidR="000D07EA" w:rsidRDefault="00BE7C89">
      <w:pPr>
        <w:pStyle w:val="BodyText"/>
        <w:ind w:left="720"/>
        <w:rPr>
          <w:i/>
          <w:u w:val="single"/>
        </w:rPr>
      </w:pPr>
      <w:r>
        <w:t xml:space="preserve">Unlimited standard SMS and MMS are only available for personal use and are not to be used for a commercial or non-ordinary purpose as set out in the Fair Go Policy. For further details refer to </w:t>
      </w:r>
      <w:hyperlink r:id="rId596" w:history="1">
        <w:hyperlink r:id="rId597" w:history="1">
          <w:r>
            <w:rPr>
              <w:rStyle w:val="Hyperlink"/>
              <w:i/>
            </w:rPr>
            <w:t>Appendix S</w:t>
          </w:r>
        </w:hyperlink>
      </w:hyperlink>
      <w:r>
        <w:rPr>
          <w:rStyle w:val="Hyperlink"/>
          <w:i/>
          <w:u w:val="none"/>
        </w:rPr>
        <w:t>.</w:t>
      </w:r>
    </w:p>
    <w:p w14:paraId="5C048043" w14:textId="77777777" w:rsidR="000D07EA" w:rsidRDefault="00BE7C89">
      <w:pPr>
        <w:pStyle w:val="BodyText"/>
        <w:ind w:left="720"/>
        <w:rPr>
          <w:b/>
        </w:rPr>
      </w:pPr>
      <w:r>
        <w:rPr>
          <w:b/>
        </w:rPr>
        <w:t>Table 1 –Plan Inclusions and Charges</w:t>
      </w:r>
    </w:p>
    <w:tbl>
      <w:tblPr>
        <w:tblW w:w="4473"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038"/>
        <w:gridCol w:w="3039"/>
        <w:gridCol w:w="3037"/>
      </w:tblGrid>
      <w:tr w:rsidR="000D07EA" w14:paraId="493F6E5D" w14:textId="77777777">
        <w:trPr>
          <w:tblHeader/>
        </w:trPr>
        <w:tc>
          <w:tcPr>
            <w:tcW w:w="1667" w:type="pct"/>
            <w:shd w:val="clear" w:color="auto" w:fill="auto"/>
          </w:tcPr>
          <w:p w14:paraId="33B96946" w14:textId="77777777" w:rsidR="000D07EA" w:rsidRDefault="000D07EA">
            <w:pPr>
              <w:pStyle w:val="BodyText"/>
              <w:spacing w:before="100" w:after="100"/>
              <w:rPr>
                <w:rFonts w:eastAsia="Calibri"/>
              </w:rPr>
            </w:pPr>
          </w:p>
        </w:tc>
        <w:tc>
          <w:tcPr>
            <w:tcW w:w="1667" w:type="pct"/>
            <w:shd w:val="clear" w:color="auto" w:fill="auto"/>
          </w:tcPr>
          <w:p w14:paraId="6B088196" w14:textId="77777777" w:rsidR="000D07EA" w:rsidRDefault="00BE7C89">
            <w:pPr>
              <w:pStyle w:val="BodyText"/>
              <w:spacing w:before="100" w:after="100"/>
              <w:jc w:val="center"/>
              <w:rPr>
                <w:rFonts w:eastAsia="Calibri"/>
                <w:b/>
              </w:rPr>
            </w:pPr>
            <w:r>
              <w:rPr>
                <w:rFonts w:eastAsia="Calibri"/>
                <w:b/>
              </w:rPr>
              <w:t>$50 My Plan Business SIM</w:t>
            </w:r>
          </w:p>
        </w:tc>
        <w:tc>
          <w:tcPr>
            <w:tcW w:w="1666" w:type="pct"/>
          </w:tcPr>
          <w:p w14:paraId="40604B8E" w14:textId="77777777" w:rsidR="000D07EA" w:rsidRDefault="00BE7C89">
            <w:pPr>
              <w:pStyle w:val="BodyText"/>
              <w:spacing w:before="100" w:after="100"/>
              <w:jc w:val="center"/>
              <w:rPr>
                <w:rFonts w:eastAsia="Calibri"/>
                <w:b/>
              </w:rPr>
            </w:pPr>
            <w:r>
              <w:rPr>
                <w:rFonts w:eastAsia="Calibri"/>
                <w:b/>
              </w:rPr>
              <w:t>$80 My Plan Business SIM</w:t>
            </w:r>
          </w:p>
        </w:tc>
      </w:tr>
      <w:tr w:rsidR="000D07EA" w14:paraId="39DA5D52" w14:textId="77777777">
        <w:tc>
          <w:tcPr>
            <w:tcW w:w="1667" w:type="pct"/>
            <w:shd w:val="clear" w:color="auto" w:fill="auto"/>
          </w:tcPr>
          <w:p w14:paraId="2179AF38" w14:textId="77777777" w:rsidR="000D07EA" w:rsidRDefault="00BE7C89">
            <w:pPr>
              <w:pStyle w:val="BodyText"/>
              <w:spacing w:before="100" w:after="100"/>
              <w:rPr>
                <w:rFonts w:eastAsia="Calibri"/>
                <w:b/>
              </w:rPr>
            </w:pPr>
            <w:r>
              <w:rPr>
                <w:rFonts w:eastAsia="Calibri"/>
                <w:b/>
                <w:bCs/>
              </w:rPr>
              <w:t>Minimum Monthly charge</w:t>
            </w:r>
          </w:p>
        </w:tc>
        <w:tc>
          <w:tcPr>
            <w:tcW w:w="1667" w:type="pct"/>
            <w:shd w:val="clear" w:color="auto" w:fill="auto"/>
          </w:tcPr>
          <w:p w14:paraId="5443AB1E" w14:textId="77777777" w:rsidR="000D07EA" w:rsidRDefault="00BE7C89">
            <w:pPr>
              <w:pStyle w:val="BodyText"/>
              <w:spacing w:before="100" w:after="100"/>
              <w:jc w:val="center"/>
              <w:rPr>
                <w:rFonts w:eastAsia="Calibri"/>
              </w:rPr>
            </w:pPr>
            <w:r>
              <w:rPr>
                <w:rFonts w:eastAsia="Calibri"/>
              </w:rPr>
              <w:t>$50</w:t>
            </w:r>
          </w:p>
        </w:tc>
        <w:tc>
          <w:tcPr>
            <w:tcW w:w="1666" w:type="pct"/>
          </w:tcPr>
          <w:p w14:paraId="43088B72" w14:textId="77777777" w:rsidR="000D07EA" w:rsidRDefault="00BE7C89">
            <w:pPr>
              <w:pStyle w:val="BodyText"/>
              <w:spacing w:before="100" w:after="100"/>
              <w:jc w:val="center"/>
              <w:rPr>
                <w:rFonts w:eastAsia="Calibri"/>
              </w:rPr>
            </w:pPr>
            <w:r>
              <w:rPr>
                <w:rFonts w:eastAsia="Calibri"/>
              </w:rPr>
              <w:t>$50</w:t>
            </w:r>
          </w:p>
        </w:tc>
      </w:tr>
      <w:tr w:rsidR="000D07EA" w14:paraId="64A6575F" w14:textId="77777777">
        <w:tc>
          <w:tcPr>
            <w:tcW w:w="1667" w:type="pct"/>
            <w:shd w:val="clear" w:color="auto" w:fill="auto"/>
          </w:tcPr>
          <w:p w14:paraId="093AE284" w14:textId="77777777" w:rsidR="000D07EA" w:rsidRDefault="00BE7C89">
            <w:pPr>
              <w:pStyle w:val="BodyText"/>
              <w:spacing w:before="100" w:after="100"/>
              <w:rPr>
                <w:rFonts w:eastAsia="Calibri"/>
                <w:b/>
                <w:bCs/>
              </w:rPr>
            </w:pPr>
            <w:r>
              <w:rPr>
                <w:b/>
              </w:rPr>
              <w:t>Cost of 1MB of Data</w:t>
            </w:r>
          </w:p>
        </w:tc>
        <w:tc>
          <w:tcPr>
            <w:tcW w:w="1667" w:type="pct"/>
            <w:shd w:val="clear" w:color="auto" w:fill="auto"/>
          </w:tcPr>
          <w:p w14:paraId="33109F9F" w14:textId="77777777" w:rsidR="000D07EA" w:rsidRDefault="00BE7C89">
            <w:pPr>
              <w:pStyle w:val="BodyText"/>
              <w:spacing w:before="100" w:after="100"/>
              <w:jc w:val="center"/>
              <w:rPr>
                <w:rFonts w:eastAsia="Calibri"/>
              </w:rPr>
            </w:pPr>
            <w:r>
              <w:t>$0.0031</w:t>
            </w:r>
          </w:p>
        </w:tc>
        <w:tc>
          <w:tcPr>
            <w:tcW w:w="1666" w:type="pct"/>
          </w:tcPr>
          <w:p w14:paraId="1FC85D0C" w14:textId="77777777" w:rsidR="000D07EA" w:rsidRDefault="00BE7C89">
            <w:pPr>
              <w:pStyle w:val="BodyText"/>
              <w:spacing w:before="100" w:after="100"/>
              <w:jc w:val="center"/>
              <w:rPr>
                <w:rFonts w:eastAsia="Calibri"/>
              </w:rPr>
            </w:pPr>
            <w:r>
              <w:t>$0.0036</w:t>
            </w:r>
          </w:p>
        </w:tc>
      </w:tr>
      <w:tr w:rsidR="000D07EA" w14:paraId="4F0714FE" w14:textId="77777777">
        <w:tc>
          <w:tcPr>
            <w:tcW w:w="1667" w:type="pct"/>
            <w:shd w:val="clear" w:color="auto" w:fill="auto"/>
          </w:tcPr>
          <w:p w14:paraId="5C72B253" w14:textId="77777777" w:rsidR="000D07EA" w:rsidRDefault="00BE7C89">
            <w:pPr>
              <w:pStyle w:val="BodyText"/>
              <w:spacing w:before="100" w:after="100"/>
              <w:rPr>
                <w:rFonts w:eastAsia="Calibri"/>
                <w:b/>
              </w:rPr>
            </w:pPr>
            <w:r>
              <w:rPr>
                <w:rFonts w:eastAsia="Calibri"/>
                <w:b/>
                <w:bCs/>
              </w:rPr>
              <w:lastRenderedPageBreak/>
              <w:t>Included Data</w:t>
            </w:r>
          </w:p>
        </w:tc>
        <w:tc>
          <w:tcPr>
            <w:tcW w:w="1667" w:type="pct"/>
            <w:shd w:val="clear" w:color="auto" w:fill="auto"/>
          </w:tcPr>
          <w:p w14:paraId="372FF9B0" w14:textId="77777777" w:rsidR="000D07EA" w:rsidRDefault="00BE7C89">
            <w:pPr>
              <w:pStyle w:val="BodyText"/>
              <w:spacing w:before="100" w:after="100"/>
              <w:jc w:val="center"/>
              <w:rPr>
                <w:rFonts w:eastAsia="Calibri"/>
              </w:rPr>
            </w:pPr>
            <w:r>
              <w:rPr>
                <w:rFonts w:eastAsia="Calibri"/>
              </w:rPr>
              <w:t>8GB</w:t>
            </w:r>
          </w:p>
        </w:tc>
        <w:tc>
          <w:tcPr>
            <w:tcW w:w="1666" w:type="pct"/>
          </w:tcPr>
          <w:p w14:paraId="468A9F1E" w14:textId="77777777" w:rsidR="000D07EA" w:rsidRDefault="00BE7C89">
            <w:pPr>
              <w:pStyle w:val="BodyText"/>
              <w:spacing w:before="100" w:after="100"/>
              <w:jc w:val="center"/>
              <w:rPr>
                <w:rFonts w:eastAsia="Calibri"/>
              </w:rPr>
            </w:pPr>
            <w:r>
              <w:rPr>
                <w:rFonts w:eastAsia="Calibri"/>
              </w:rPr>
              <w:t>15GB</w:t>
            </w:r>
          </w:p>
        </w:tc>
      </w:tr>
      <w:tr w:rsidR="000D07EA" w14:paraId="22D1E97A" w14:textId="77777777">
        <w:tc>
          <w:tcPr>
            <w:tcW w:w="1667" w:type="pct"/>
            <w:shd w:val="clear" w:color="auto" w:fill="auto"/>
          </w:tcPr>
          <w:p w14:paraId="5DBD3EF8" w14:textId="77777777" w:rsidR="000D07EA" w:rsidRDefault="00BE7C89">
            <w:pPr>
              <w:pStyle w:val="BodyText"/>
              <w:spacing w:before="100" w:after="100"/>
              <w:rPr>
                <w:rFonts w:eastAsia="Calibri"/>
                <w:b/>
                <w:bCs/>
              </w:rPr>
            </w:pPr>
            <w:r>
              <w:rPr>
                <w:rFonts w:eastAsia="Calibri"/>
                <w:b/>
                <w:bCs/>
              </w:rPr>
              <w:t>Included Minutes</w:t>
            </w:r>
          </w:p>
          <w:p w14:paraId="4025A31C" w14:textId="77777777" w:rsidR="000D07EA" w:rsidRDefault="00BE7C89">
            <w:pPr>
              <w:pStyle w:val="BodyText"/>
              <w:spacing w:before="100" w:after="100"/>
              <w:rPr>
                <w:rFonts w:eastAsia="Calibri"/>
              </w:rPr>
            </w:pPr>
            <w:r>
              <w:t>for standard national calls to landlines and mobiles, 1300 numbers and voicemail, within Australia</w:t>
            </w:r>
          </w:p>
        </w:tc>
        <w:tc>
          <w:tcPr>
            <w:tcW w:w="1667" w:type="pct"/>
            <w:shd w:val="clear" w:color="auto" w:fill="auto"/>
          </w:tcPr>
          <w:p w14:paraId="7EEF3C0A" w14:textId="77777777" w:rsidR="000D07EA" w:rsidRDefault="00BE7C89">
            <w:pPr>
              <w:pStyle w:val="BodyText"/>
              <w:spacing w:before="100" w:after="100"/>
              <w:jc w:val="center"/>
              <w:rPr>
                <w:rFonts w:eastAsia="Calibri"/>
              </w:rPr>
            </w:pPr>
            <w:r>
              <w:rPr>
                <w:rFonts w:eastAsia="Calibri"/>
              </w:rPr>
              <w:t>Unlimited</w:t>
            </w:r>
          </w:p>
        </w:tc>
        <w:tc>
          <w:tcPr>
            <w:tcW w:w="1666" w:type="pct"/>
          </w:tcPr>
          <w:p w14:paraId="3ADF47CA" w14:textId="77777777" w:rsidR="000D07EA" w:rsidRDefault="00BE7C89">
            <w:pPr>
              <w:pStyle w:val="BodyText"/>
              <w:spacing w:before="100" w:after="100"/>
              <w:jc w:val="center"/>
              <w:rPr>
                <w:rFonts w:eastAsia="Calibri"/>
              </w:rPr>
            </w:pPr>
            <w:r>
              <w:rPr>
                <w:rFonts w:eastAsia="Calibri"/>
              </w:rPr>
              <w:t>Unlimited</w:t>
            </w:r>
          </w:p>
        </w:tc>
      </w:tr>
      <w:tr w:rsidR="000D07EA" w14:paraId="19730AB6" w14:textId="77777777">
        <w:tc>
          <w:tcPr>
            <w:tcW w:w="1667" w:type="pct"/>
            <w:shd w:val="clear" w:color="auto" w:fill="auto"/>
          </w:tcPr>
          <w:p w14:paraId="69F69FAB" w14:textId="77777777" w:rsidR="000D07EA" w:rsidRDefault="00BE7C89">
            <w:pPr>
              <w:pStyle w:val="BodyText"/>
              <w:keepNext/>
              <w:keepLines/>
              <w:spacing w:before="100" w:after="100"/>
              <w:rPr>
                <w:b/>
                <w:bCs/>
              </w:rPr>
            </w:pPr>
            <w:r>
              <w:rPr>
                <w:b/>
                <w:bCs/>
              </w:rPr>
              <w:t>Included International Minutes</w:t>
            </w:r>
          </w:p>
          <w:p w14:paraId="355865B9" w14:textId="77777777" w:rsidR="000D07EA" w:rsidRDefault="00BE7C89">
            <w:pPr>
              <w:pStyle w:val="BodyText"/>
              <w:keepNext/>
              <w:keepLines/>
              <w:spacing w:before="100" w:after="100"/>
              <w:rPr>
                <w:rFonts w:eastAsia="Calibri"/>
                <w:bCs/>
              </w:rPr>
            </w:pPr>
            <w:r>
              <w:t>Standard international calls to landlines and mobiles to selected countries</w:t>
            </w:r>
          </w:p>
        </w:tc>
        <w:tc>
          <w:tcPr>
            <w:tcW w:w="1667" w:type="pct"/>
            <w:shd w:val="clear" w:color="auto" w:fill="auto"/>
          </w:tcPr>
          <w:p w14:paraId="1B4334B0" w14:textId="77777777" w:rsidR="000D07EA" w:rsidRDefault="00BE7C89">
            <w:pPr>
              <w:pStyle w:val="BodyText"/>
              <w:keepNext/>
              <w:keepLines/>
              <w:spacing w:before="100" w:after="100"/>
              <w:jc w:val="center"/>
              <w:rPr>
                <w:rFonts w:eastAsia="Calibri"/>
              </w:rPr>
            </w:pPr>
            <w:r>
              <w:rPr>
                <w:bCs/>
              </w:rPr>
              <w:t>Up to 300 mins</w:t>
            </w:r>
          </w:p>
        </w:tc>
        <w:tc>
          <w:tcPr>
            <w:tcW w:w="1666" w:type="pct"/>
          </w:tcPr>
          <w:p w14:paraId="7C490C8A" w14:textId="77777777" w:rsidR="000D07EA" w:rsidRDefault="00BE7C89">
            <w:pPr>
              <w:pStyle w:val="BodyText"/>
              <w:keepNext/>
              <w:keepLines/>
              <w:spacing w:before="100" w:after="100"/>
              <w:jc w:val="center"/>
              <w:rPr>
                <w:rFonts w:eastAsia="Calibri"/>
              </w:rPr>
            </w:pPr>
            <w:r>
              <w:rPr>
                <w:bCs/>
              </w:rPr>
              <w:t>Up to 300 mins</w:t>
            </w:r>
          </w:p>
        </w:tc>
      </w:tr>
      <w:tr w:rsidR="000D07EA" w14:paraId="0B73D0F0" w14:textId="77777777">
        <w:tc>
          <w:tcPr>
            <w:tcW w:w="1667" w:type="pct"/>
            <w:shd w:val="clear" w:color="auto" w:fill="auto"/>
          </w:tcPr>
          <w:p w14:paraId="6D6EB644" w14:textId="77777777" w:rsidR="000D07EA" w:rsidRDefault="00BE7C89">
            <w:pPr>
              <w:pStyle w:val="BodyText"/>
              <w:spacing w:before="100" w:after="100"/>
              <w:rPr>
                <w:rFonts w:eastAsia="Calibri"/>
                <w:b/>
                <w:bCs/>
              </w:rPr>
            </w:pPr>
            <w:r>
              <w:rPr>
                <w:rFonts w:eastAsia="Calibri"/>
                <w:b/>
                <w:bCs/>
              </w:rPr>
              <w:t>Standard national SMS</w:t>
            </w:r>
          </w:p>
          <w:p w14:paraId="4B5339DA" w14:textId="77777777" w:rsidR="000D07EA" w:rsidRDefault="00BE7C89">
            <w:pPr>
              <w:pStyle w:val="BodyText"/>
              <w:spacing w:before="100" w:after="100"/>
              <w:rPr>
                <w:rFonts w:eastAsia="Calibri"/>
              </w:rPr>
            </w:pPr>
            <w:r>
              <w:rPr>
                <w:rFonts w:eastAsia="Calibri"/>
              </w:rPr>
              <w:t>(per SMS of up to 160 standard characters)</w:t>
            </w:r>
          </w:p>
        </w:tc>
        <w:tc>
          <w:tcPr>
            <w:tcW w:w="1667" w:type="pct"/>
            <w:shd w:val="clear" w:color="auto" w:fill="auto"/>
          </w:tcPr>
          <w:p w14:paraId="52DF3071" w14:textId="77777777" w:rsidR="000D07EA" w:rsidRDefault="00BE7C89">
            <w:pPr>
              <w:pStyle w:val="BodyText"/>
              <w:spacing w:before="100" w:after="100"/>
              <w:jc w:val="center"/>
              <w:rPr>
                <w:rFonts w:eastAsia="Calibri"/>
              </w:rPr>
            </w:pPr>
            <w:r>
              <w:rPr>
                <w:rFonts w:eastAsia="Calibri"/>
              </w:rPr>
              <w:t>Unlimited</w:t>
            </w:r>
          </w:p>
        </w:tc>
        <w:tc>
          <w:tcPr>
            <w:tcW w:w="1666" w:type="pct"/>
          </w:tcPr>
          <w:p w14:paraId="57524D7E" w14:textId="77777777" w:rsidR="000D07EA" w:rsidRDefault="00BE7C89">
            <w:pPr>
              <w:pStyle w:val="BodyText"/>
              <w:spacing w:before="100" w:after="100"/>
              <w:jc w:val="center"/>
              <w:rPr>
                <w:rFonts w:eastAsia="Calibri"/>
              </w:rPr>
            </w:pPr>
            <w:r>
              <w:rPr>
                <w:rFonts w:eastAsia="Calibri"/>
              </w:rPr>
              <w:t>Unlimited</w:t>
            </w:r>
          </w:p>
        </w:tc>
      </w:tr>
      <w:tr w:rsidR="000D07EA" w14:paraId="6B16CF39" w14:textId="77777777">
        <w:tc>
          <w:tcPr>
            <w:tcW w:w="1667" w:type="pct"/>
            <w:shd w:val="clear" w:color="auto" w:fill="auto"/>
          </w:tcPr>
          <w:p w14:paraId="75234BD2" w14:textId="77777777" w:rsidR="000D07EA" w:rsidRDefault="00BE7C89">
            <w:pPr>
              <w:pStyle w:val="BodyText"/>
              <w:spacing w:before="100" w:after="100"/>
              <w:rPr>
                <w:rFonts w:eastAsia="Calibri"/>
                <w:bCs/>
              </w:rPr>
            </w:pPr>
            <w:r>
              <w:rPr>
                <w:rFonts w:eastAsia="Calibri"/>
                <w:b/>
                <w:bCs/>
              </w:rPr>
              <w:t>Standard national MMS</w:t>
            </w:r>
            <w:r>
              <w:rPr>
                <w:rFonts w:eastAsia="Calibri"/>
                <w:bCs/>
              </w:rPr>
              <w:t xml:space="preserve"> </w:t>
            </w:r>
            <w:r>
              <w:rPr>
                <w:rFonts w:eastAsia="Calibri"/>
              </w:rPr>
              <w:t>(per message)</w:t>
            </w:r>
          </w:p>
        </w:tc>
        <w:tc>
          <w:tcPr>
            <w:tcW w:w="1667" w:type="pct"/>
            <w:shd w:val="clear" w:color="auto" w:fill="auto"/>
          </w:tcPr>
          <w:p w14:paraId="66209FD0" w14:textId="77777777" w:rsidR="000D07EA" w:rsidRDefault="00BE7C89">
            <w:pPr>
              <w:pStyle w:val="BodyText"/>
              <w:spacing w:before="100" w:after="100"/>
              <w:jc w:val="center"/>
              <w:rPr>
                <w:rFonts w:eastAsia="Calibri"/>
              </w:rPr>
            </w:pPr>
            <w:r>
              <w:rPr>
                <w:rFonts w:eastAsia="Calibri"/>
              </w:rPr>
              <w:t>Unlimited</w:t>
            </w:r>
          </w:p>
        </w:tc>
        <w:tc>
          <w:tcPr>
            <w:tcW w:w="1666" w:type="pct"/>
          </w:tcPr>
          <w:p w14:paraId="0C9FD764" w14:textId="77777777" w:rsidR="000D07EA" w:rsidRDefault="00BE7C89">
            <w:pPr>
              <w:pStyle w:val="BodyText"/>
              <w:spacing w:before="100" w:after="100"/>
              <w:jc w:val="center"/>
              <w:rPr>
                <w:rFonts w:eastAsia="Calibri"/>
              </w:rPr>
            </w:pPr>
            <w:r>
              <w:rPr>
                <w:rFonts w:eastAsia="Calibri"/>
              </w:rPr>
              <w:t>Unlimited</w:t>
            </w:r>
          </w:p>
        </w:tc>
      </w:tr>
      <w:tr w:rsidR="000D07EA" w14:paraId="1746B967" w14:textId="77777777">
        <w:tc>
          <w:tcPr>
            <w:tcW w:w="1667" w:type="pct"/>
            <w:shd w:val="clear" w:color="auto" w:fill="auto"/>
          </w:tcPr>
          <w:p w14:paraId="6518AAE0" w14:textId="77777777" w:rsidR="000D07EA" w:rsidRDefault="00BE7C89">
            <w:pPr>
              <w:pStyle w:val="BodyText"/>
              <w:spacing w:before="100" w:after="100"/>
              <w:rPr>
                <w:rFonts w:eastAsia="Calibri"/>
                <w:b/>
                <w:bCs/>
              </w:rPr>
            </w:pPr>
            <w:r>
              <w:rPr>
                <w:rFonts w:eastAsia="Calibri"/>
                <w:b/>
                <w:bCs/>
              </w:rPr>
              <w:t>Standard international SMS</w:t>
            </w:r>
          </w:p>
          <w:p w14:paraId="7E60463D" w14:textId="77777777" w:rsidR="000D07EA" w:rsidRDefault="00BE7C89">
            <w:pPr>
              <w:pStyle w:val="BodyText"/>
              <w:spacing w:before="100" w:after="100"/>
              <w:rPr>
                <w:rFonts w:eastAsia="Calibri"/>
                <w:bCs/>
              </w:rPr>
            </w:pPr>
            <w:r>
              <w:rPr>
                <w:rFonts w:eastAsia="Calibri"/>
              </w:rPr>
              <w:t>(per SMS of up to 160 standard characters to selected countries)</w:t>
            </w:r>
          </w:p>
        </w:tc>
        <w:tc>
          <w:tcPr>
            <w:tcW w:w="1667" w:type="pct"/>
            <w:shd w:val="clear" w:color="auto" w:fill="auto"/>
          </w:tcPr>
          <w:p w14:paraId="4E737D75" w14:textId="77777777" w:rsidR="000D07EA" w:rsidRDefault="00BE7C89">
            <w:pPr>
              <w:pStyle w:val="BodyText"/>
              <w:spacing w:before="100" w:after="100"/>
              <w:jc w:val="center"/>
              <w:rPr>
                <w:rFonts w:eastAsia="Calibri"/>
              </w:rPr>
            </w:pPr>
            <w:r>
              <w:rPr>
                <w:rFonts w:eastAsia="Calibri"/>
              </w:rPr>
              <w:t>Unlimited</w:t>
            </w:r>
          </w:p>
        </w:tc>
        <w:tc>
          <w:tcPr>
            <w:tcW w:w="1666" w:type="pct"/>
          </w:tcPr>
          <w:p w14:paraId="3FA0CF8A" w14:textId="77777777" w:rsidR="000D07EA" w:rsidRDefault="00BE7C89">
            <w:pPr>
              <w:pStyle w:val="BodyText"/>
              <w:spacing w:before="100" w:after="100"/>
              <w:jc w:val="center"/>
              <w:rPr>
                <w:rFonts w:eastAsia="Calibri"/>
              </w:rPr>
            </w:pPr>
            <w:r>
              <w:rPr>
                <w:rFonts w:eastAsia="Calibri"/>
              </w:rPr>
              <w:t>Unlimited</w:t>
            </w:r>
          </w:p>
        </w:tc>
      </w:tr>
      <w:tr w:rsidR="000D07EA" w14:paraId="39006C7D" w14:textId="77777777">
        <w:tc>
          <w:tcPr>
            <w:tcW w:w="1667" w:type="pct"/>
            <w:shd w:val="clear" w:color="auto" w:fill="auto"/>
          </w:tcPr>
          <w:p w14:paraId="0F4356D9" w14:textId="77777777" w:rsidR="000D07EA" w:rsidRDefault="00BE7C89">
            <w:pPr>
              <w:pStyle w:val="BodyText"/>
              <w:spacing w:before="100" w:after="100"/>
              <w:rPr>
                <w:rFonts w:eastAsia="Calibri"/>
                <w:b/>
                <w:bCs/>
              </w:rPr>
            </w:pPr>
            <w:r>
              <w:rPr>
                <w:rFonts w:eastAsia="Calibri"/>
                <w:b/>
                <w:bCs/>
              </w:rPr>
              <w:t>Standard international MMS</w:t>
            </w:r>
          </w:p>
          <w:p w14:paraId="25677FAD" w14:textId="77777777" w:rsidR="000D07EA" w:rsidRDefault="00BE7C89">
            <w:pPr>
              <w:pStyle w:val="BodyText"/>
              <w:spacing w:before="100" w:after="100"/>
              <w:rPr>
                <w:rFonts w:eastAsia="Calibri"/>
                <w:bCs/>
              </w:rPr>
            </w:pPr>
            <w:r>
              <w:rPr>
                <w:rFonts w:eastAsia="Calibri"/>
              </w:rPr>
              <w:t>(per message to selected countries)</w:t>
            </w:r>
          </w:p>
        </w:tc>
        <w:tc>
          <w:tcPr>
            <w:tcW w:w="1667" w:type="pct"/>
            <w:shd w:val="clear" w:color="auto" w:fill="auto"/>
          </w:tcPr>
          <w:p w14:paraId="0E99D635" w14:textId="77777777" w:rsidR="000D07EA" w:rsidRDefault="00BE7C89">
            <w:pPr>
              <w:pStyle w:val="BodyText"/>
              <w:spacing w:before="100" w:after="100"/>
              <w:jc w:val="center"/>
              <w:rPr>
                <w:rFonts w:eastAsia="Calibri"/>
              </w:rPr>
            </w:pPr>
            <w:r>
              <w:rPr>
                <w:rFonts w:eastAsia="Calibri"/>
              </w:rPr>
              <w:t>Unlimited</w:t>
            </w:r>
          </w:p>
        </w:tc>
        <w:tc>
          <w:tcPr>
            <w:tcW w:w="1666" w:type="pct"/>
          </w:tcPr>
          <w:p w14:paraId="3EBB783C" w14:textId="77777777" w:rsidR="000D07EA" w:rsidRDefault="00BE7C89">
            <w:pPr>
              <w:pStyle w:val="BodyText"/>
              <w:spacing w:before="100" w:after="100"/>
              <w:jc w:val="center"/>
              <w:rPr>
                <w:rFonts w:eastAsia="Calibri"/>
              </w:rPr>
            </w:pPr>
            <w:r>
              <w:rPr>
                <w:rFonts w:eastAsia="Calibri"/>
              </w:rPr>
              <w:t>Unlimited</w:t>
            </w:r>
          </w:p>
        </w:tc>
      </w:tr>
    </w:tbl>
    <w:p w14:paraId="604ED751" w14:textId="77777777" w:rsidR="000D07EA" w:rsidRDefault="000D07EA">
      <w:pPr>
        <w:pStyle w:val="BodyText"/>
      </w:pPr>
    </w:p>
    <w:p w14:paraId="4BA72B72" w14:textId="77777777" w:rsidR="000D07EA" w:rsidRDefault="00BE7C89">
      <w:pPr>
        <w:pStyle w:val="BodyText"/>
        <w:ind w:left="720"/>
        <w:rPr>
          <w:b/>
        </w:rPr>
      </w:pPr>
      <w:r>
        <w:rPr>
          <w:b/>
        </w:rPr>
        <w:t>Table 2 – Other usage types and charges</w:t>
      </w:r>
    </w:p>
    <w:tbl>
      <w:tblPr>
        <w:tblW w:w="4473"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557"/>
        <w:gridCol w:w="4557"/>
      </w:tblGrid>
      <w:tr w:rsidR="000D07EA" w14:paraId="57C208D6" w14:textId="77777777">
        <w:trPr>
          <w:tblHeader/>
        </w:trPr>
        <w:tc>
          <w:tcPr>
            <w:tcW w:w="2500" w:type="pct"/>
            <w:shd w:val="clear" w:color="auto" w:fill="auto"/>
          </w:tcPr>
          <w:p w14:paraId="673A9944" w14:textId="77777777" w:rsidR="000D07EA" w:rsidRDefault="00BE7C89">
            <w:pPr>
              <w:pStyle w:val="BodyText"/>
              <w:spacing w:before="100" w:after="100"/>
              <w:rPr>
                <w:b/>
              </w:rPr>
            </w:pPr>
            <w:r>
              <w:rPr>
                <w:b/>
              </w:rPr>
              <w:t>Usage type</w:t>
            </w:r>
          </w:p>
        </w:tc>
        <w:tc>
          <w:tcPr>
            <w:tcW w:w="2500" w:type="pct"/>
            <w:shd w:val="clear" w:color="auto" w:fill="auto"/>
          </w:tcPr>
          <w:p w14:paraId="4E16B246" w14:textId="77777777" w:rsidR="000D07EA" w:rsidRDefault="00BE7C89">
            <w:pPr>
              <w:pStyle w:val="BodyText"/>
              <w:spacing w:before="100" w:after="100"/>
              <w:jc w:val="center"/>
              <w:rPr>
                <w:b/>
              </w:rPr>
            </w:pPr>
            <w:r>
              <w:rPr>
                <w:b/>
              </w:rPr>
              <w:t>Charge</w:t>
            </w:r>
          </w:p>
        </w:tc>
      </w:tr>
      <w:tr w:rsidR="000D07EA" w14:paraId="32EFCE6E" w14:textId="77777777">
        <w:tc>
          <w:tcPr>
            <w:tcW w:w="2500" w:type="pct"/>
            <w:shd w:val="clear" w:color="auto" w:fill="auto"/>
          </w:tcPr>
          <w:p w14:paraId="49D9D8AD" w14:textId="77777777" w:rsidR="000D07EA" w:rsidRDefault="00BE7C89">
            <w:pPr>
              <w:pStyle w:val="BodyText"/>
              <w:spacing w:before="100" w:after="100"/>
            </w:pPr>
            <w:r>
              <w:rPr>
                <w:b/>
              </w:rPr>
              <w:t>National video calls</w:t>
            </w:r>
            <w:r>
              <w:t xml:space="preserve"> (per minute)</w:t>
            </w:r>
          </w:p>
        </w:tc>
        <w:tc>
          <w:tcPr>
            <w:tcW w:w="2500" w:type="pct"/>
            <w:shd w:val="clear" w:color="auto" w:fill="auto"/>
          </w:tcPr>
          <w:p w14:paraId="455A4402" w14:textId="77777777" w:rsidR="000D07EA" w:rsidRDefault="00BE7C89">
            <w:pPr>
              <w:pStyle w:val="BodyText"/>
              <w:spacing w:before="100" w:after="100"/>
              <w:jc w:val="center"/>
            </w:pPr>
            <w:r>
              <w:t>$1.00 per min + 40c flagfall</w:t>
            </w:r>
          </w:p>
        </w:tc>
      </w:tr>
      <w:tr w:rsidR="000D07EA" w14:paraId="12D60796" w14:textId="77777777">
        <w:tc>
          <w:tcPr>
            <w:tcW w:w="2500" w:type="pct"/>
            <w:shd w:val="clear" w:color="auto" w:fill="auto"/>
          </w:tcPr>
          <w:p w14:paraId="34CF134D" w14:textId="77777777" w:rsidR="000D07EA" w:rsidRDefault="00BE7C89">
            <w:pPr>
              <w:pStyle w:val="BodyText"/>
              <w:spacing w:before="100" w:after="100"/>
              <w:rPr>
                <w:b/>
              </w:rPr>
            </w:pPr>
            <w:r>
              <w:rPr>
                <w:b/>
              </w:rPr>
              <w:t>VoiceMail Deposits</w:t>
            </w:r>
          </w:p>
        </w:tc>
        <w:tc>
          <w:tcPr>
            <w:tcW w:w="2500" w:type="pct"/>
            <w:shd w:val="clear" w:color="auto" w:fill="auto"/>
          </w:tcPr>
          <w:p w14:paraId="07243370" w14:textId="77777777" w:rsidR="000D07EA" w:rsidRDefault="00BE7C89">
            <w:pPr>
              <w:pStyle w:val="BodyText"/>
              <w:spacing w:before="100" w:after="100"/>
              <w:jc w:val="center"/>
            </w:pPr>
            <w:r>
              <w:t>$0 per minute</w:t>
            </w:r>
          </w:p>
        </w:tc>
      </w:tr>
      <w:tr w:rsidR="000D07EA" w14:paraId="3D089762" w14:textId="77777777">
        <w:tc>
          <w:tcPr>
            <w:tcW w:w="2500" w:type="pct"/>
            <w:shd w:val="clear" w:color="auto" w:fill="auto"/>
          </w:tcPr>
          <w:p w14:paraId="37EDCC4D" w14:textId="77777777" w:rsidR="000D07EA" w:rsidRDefault="00BE7C89">
            <w:pPr>
              <w:pStyle w:val="BodyText"/>
              <w:spacing w:before="100" w:after="100"/>
              <w:rPr>
                <w:b/>
              </w:rPr>
            </w:pPr>
            <w:r>
              <w:rPr>
                <w:b/>
              </w:rPr>
              <w:t>Voicemail Diversions</w:t>
            </w:r>
          </w:p>
        </w:tc>
        <w:tc>
          <w:tcPr>
            <w:tcW w:w="2500" w:type="pct"/>
            <w:shd w:val="clear" w:color="auto" w:fill="auto"/>
          </w:tcPr>
          <w:p w14:paraId="38C37266" w14:textId="77777777" w:rsidR="000D07EA" w:rsidRDefault="00BE7C89">
            <w:pPr>
              <w:pStyle w:val="BodyText"/>
              <w:spacing w:before="100" w:after="100"/>
              <w:jc w:val="center"/>
            </w:pPr>
            <w:r>
              <w:t>$0 per minute</w:t>
            </w:r>
          </w:p>
        </w:tc>
      </w:tr>
      <w:tr w:rsidR="000D07EA" w14:paraId="5FE5C075" w14:textId="77777777">
        <w:tc>
          <w:tcPr>
            <w:tcW w:w="2500" w:type="pct"/>
            <w:shd w:val="clear" w:color="auto" w:fill="auto"/>
          </w:tcPr>
          <w:p w14:paraId="0DA46CC3" w14:textId="77777777" w:rsidR="000D07EA" w:rsidRDefault="00BE7C89">
            <w:pPr>
              <w:pStyle w:val="BodyText"/>
              <w:spacing w:before="100" w:after="100"/>
              <w:rPr>
                <w:b/>
              </w:rPr>
            </w:pPr>
            <w:r>
              <w:rPr>
                <w:b/>
              </w:rPr>
              <w:t>National Diversions</w:t>
            </w:r>
          </w:p>
        </w:tc>
        <w:tc>
          <w:tcPr>
            <w:tcW w:w="2500" w:type="pct"/>
            <w:shd w:val="clear" w:color="auto" w:fill="auto"/>
          </w:tcPr>
          <w:p w14:paraId="77ED265D" w14:textId="77777777" w:rsidR="000D07EA" w:rsidRDefault="00BE7C89">
            <w:pPr>
              <w:pStyle w:val="BodyText"/>
              <w:spacing w:before="100" w:after="100"/>
              <w:jc w:val="center"/>
            </w:pPr>
            <w:r>
              <w:t>$0 per minute</w:t>
            </w:r>
          </w:p>
        </w:tc>
      </w:tr>
      <w:tr w:rsidR="000D07EA" w14:paraId="1274F03C" w14:textId="77777777">
        <w:tc>
          <w:tcPr>
            <w:tcW w:w="2500" w:type="pct"/>
            <w:shd w:val="clear" w:color="auto" w:fill="auto"/>
          </w:tcPr>
          <w:p w14:paraId="0C154051" w14:textId="77777777" w:rsidR="000D07EA" w:rsidRDefault="00BE7C89">
            <w:pPr>
              <w:pStyle w:val="BodyText"/>
              <w:spacing w:before="100" w:after="100"/>
              <w:rPr>
                <w:b/>
              </w:rPr>
            </w:pPr>
            <w:r>
              <w:rPr>
                <w:b/>
              </w:rPr>
              <w:t>International Diversions</w:t>
            </w:r>
          </w:p>
        </w:tc>
        <w:tc>
          <w:tcPr>
            <w:tcW w:w="2500" w:type="pct"/>
            <w:shd w:val="clear" w:color="auto" w:fill="auto"/>
          </w:tcPr>
          <w:p w14:paraId="265127EA" w14:textId="77777777" w:rsidR="000D07EA" w:rsidRDefault="00BE7C89">
            <w:pPr>
              <w:pStyle w:val="BodyText"/>
              <w:spacing w:before="100" w:after="100"/>
              <w:jc w:val="center"/>
            </w:pPr>
            <w:r>
              <w:t>'yes' international rates</w:t>
            </w:r>
            <w:r>
              <w:br/>
              <w:t>See optus.com.au/international</w:t>
            </w:r>
          </w:p>
        </w:tc>
      </w:tr>
      <w:tr w:rsidR="000D07EA" w14:paraId="61BDEB0C" w14:textId="77777777">
        <w:tc>
          <w:tcPr>
            <w:tcW w:w="2500" w:type="pct"/>
            <w:shd w:val="clear" w:color="auto" w:fill="auto"/>
          </w:tcPr>
          <w:p w14:paraId="2B30F86D" w14:textId="77777777" w:rsidR="000D07EA" w:rsidRDefault="00BE7C89">
            <w:pPr>
              <w:pStyle w:val="BodyText"/>
              <w:spacing w:before="100" w:after="100"/>
              <w:rPr>
                <w:b/>
              </w:rPr>
            </w:pPr>
            <w:r>
              <w:rPr>
                <w:b/>
              </w:rPr>
              <w:t>1800 numbers</w:t>
            </w:r>
          </w:p>
        </w:tc>
        <w:tc>
          <w:tcPr>
            <w:tcW w:w="2500" w:type="pct"/>
            <w:shd w:val="clear" w:color="auto" w:fill="auto"/>
          </w:tcPr>
          <w:p w14:paraId="10B74425" w14:textId="77777777" w:rsidR="000D07EA" w:rsidRDefault="00BE7C89">
            <w:pPr>
              <w:pStyle w:val="BodyText"/>
              <w:spacing w:before="100" w:after="100"/>
              <w:jc w:val="center"/>
            </w:pPr>
            <w:r>
              <w:t>$0 per minute</w:t>
            </w:r>
          </w:p>
        </w:tc>
      </w:tr>
      <w:tr w:rsidR="000D07EA" w14:paraId="060EACE7" w14:textId="77777777">
        <w:tc>
          <w:tcPr>
            <w:tcW w:w="2500" w:type="pct"/>
            <w:shd w:val="clear" w:color="auto" w:fill="auto"/>
          </w:tcPr>
          <w:p w14:paraId="4DEF209F" w14:textId="77777777" w:rsidR="000D07EA" w:rsidRDefault="00BE7C89">
            <w:pPr>
              <w:pStyle w:val="BodyText"/>
              <w:spacing w:before="100" w:after="100"/>
              <w:rPr>
                <w:b/>
              </w:rPr>
            </w:pPr>
            <w:r>
              <w:rPr>
                <w:b/>
              </w:rPr>
              <w:t>Directory Assistance 1223</w:t>
            </w:r>
          </w:p>
        </w:tc>
        <w:tc>
          <w:tcPr>
            <w:tcW w:w="2500" w:type="pct"/>
            <w:shd w:val="clear" w:color="auto" w:fill="auto"/>
          </w:tcPr>
          <w:p w14:paraId="69C357DD" w14:textId="77777777" w:rsidR="000D07EA" w:rsidRDefault="00BE7C89">
            <w:pPr>
              <w:pStyle w:val="BodyText"/>
              <w:spacing w:before="100" w:after="100"/>
              <w:jc w:val="center"/>
            </w:pPr>
            <w:r>
              <w:t>50c per call</w:t>
            </w:r>
          </w:p>
        </w:tc>
      </w:tr>
      <w:tr w:rsidR="000D07EA" w14:paraId="0952E10E" w14:textId="77777777">
        <w:tc>
          <w:tcPr>
            <w:tcW w:w="2500" w:type="pct"/>
            <w:shd w:val="clear" w:color="auto" w:fill="auto"/>
          </w:tcPr>
          <w:p w14:paraId="7C0BD7CE" w14:textId="77777777" w:rsidR="000D07EA" w:rsidRDefault="00BE7C89">
            <w:pPr>
              <w:pStyle w:val="BodyText"/>
              <w:spacing w:before="100" w:after="100"/>
              <w:rPr>
                <w:b/>
              </w:rPr>
            </w:pPr>
            <w:r>
              <w:rPr>
                <w:b/>
              </w:rPr>
              <w:t>124 Yes</w:t>
            </w:r>
          </w:p>
        </w:tc>
        <w:tc>
          <w:tcPr>
            <w:tcW w:w="2500" w:type="pct"/>
            <w:shd w:val="clear" w:color="auto" w:fill="auto"/>
          </w:tcPr>
          <w:p w14:paraId="6D62FB62" w14:textId="77777777" w:rsidR="000D07EA" w:rsidRDefault="00BE7C89">
            <w:pPr>
              <w:pStyle w:val="BodyText"/>
              <w:spacing w:before="100" w:after="100"/>
              <w:jc w:val="center"/>
            </w:pPr>
            <w:r>
              <w:t>90c per minute +$1.75c flagfall</w:t>
            </w:r>
          </w:p>
        </w:tc>
      </w:tr>
      <w:tr w:rsidR="000D07EA" w14:paraId="5FDE5598" w14:textId="77777777">
        <w:tc>
          <w:tcPr>
            <w:tcW w:w="2500" w:type="pct"/>
            <w:shd w:val="clear" w:color="auto" w:fill="auto"/>
          </w:tcPr>
          <w:p w14:paraId="4B9092B4" w14:textId="77777777" w:rsidR="000D07EA" w:rsidRDefault="00BE7C89">
            <w:pPr>
              <w:pStyle w:val="BodyText"/>
              <w:spacing w:before="100" w:after="100"/>
              <w:rPr>
                <w:b/>
              </w:rPr>
            </w:pPr>
            <w:r>
              <w:rPr>
                <w:b/>
              </w:rPr>
              <w:t>International voice calls (outside the plan's included international minutes and to excluded countries)</w:t>
            </w:r>
          </w:p>
        </w:tc>
        <w:tc>
          <w:tcPr>
            <w:tcW w:w="2500" w:type="pct"/>
            <w:shd w:val="clear" w:color="auto" w:fill="auto"/>
          </w:tcPr>
          <w:p w14:paraId="0458DB36" w14:textId="77777777" w:rsidR="000D07EA" w:rsidRDefault="00BE7C89">
            <w:pPr>
              <w:pStyle w:val="BodyText"/>
              <w:spacing w:before="100" w:after="100"/>
              <w:jc w:val="center"/>
            </w:pPr>
            <w:r>
              <w:t>'yes' international rates</w:t>
            </w:r>
            <w:r>
              <w:br/>
              <w:t>See optus.com.au/international</w:t>
            </w:r>
          </w:p>
        </w:tc>
      </w:tr>
      <w:tr w:rsidR="000D07EA" w14:paraId="07CCF1FB" w14:textId="77777777">
        <w:tc>
          <w:tcPr>
            <w:tcW w:w="2500" w:type="pct"/>
            <w:shd w:val="clear" w:color="auto" w:fill="auto"/>
          </w:tcPr>
          <w:p w14:paraId="6F86A426" w14:textId="77777777" w:rsidR="000D07EA" w:rsidRDefault="00BE7C89">
            <w:pPr>
              <w:pStyle w:val="BodyText"/>
              <w:spacing w:before="100" w:after="100"/>
              <w:rPr>
                <w:b/>
              </w:rPr>
            </w:pPr>
            <w:r>
              <w:rPr>
                <w:b/>
              </w:rPr>
              <w:lastRenderedPageBreak/>
              <w:t>International SMS (to excluded countries)</w:t>
            </w:r>
          </w:p>
        </w:tc>
        <w:tc>
          <w:tcPr>
            <w:tcW w:w="2500" w:type="pct"/>
            <w:shd w:val="clear" w:color="auto" w:fill="auto"/>
          </w:tcPr>
          <w:p w14:paraId="1B543048" w14:textId="77777777" w:rsidR="000D07EA" w:rsidRDefault="00BE7C89">
            <w:pPr>
              <w:pStyle w:val="BodyText"/>
              <w:spacing w:before="100" w:after="100"/>
              <w:jc w:val="center"/>
            </w:pPr>
            <w:r>
              <w:t>50c per SMS up to 160 standard characters</w:t>
            </w:r>
          </w:p>
        </w:tc>
      </w:tr>
      <w:tr w:rsidR="000D07EA" w14:paraId="4AA49B86" w14:textId="77777777">
        <w:tc>
          <w:tcPr>
            <w:tcW w:w="2500" w:type="pct"/>
            <w:shd w:val="clear" w:color="auto" w:fill="auto"/>
          </w:tcPr>
          <w:p w14:paraId="5C6BEA05" w14:textId="77777777" w:rsidR="000D07EA" w:rsidRDefault="00BE7C89">
            <w:pPr>
              <w:pStyle w:val="BodyText"/>
              <w:spacing w:before="100" w:after="100"/>
              <w:rPr>
                <w:b/>
              </w:rPr>
            </w:pPr>
            <w:r>
              <w:rPr>
                <w:b/>
              </w:rPr>
              <w:t>International MMS (to excluded countries)</w:t>
            </w:r>
          </w:p>
        </w:tc>
        <w:tc>
          <w:tcPr>
            <w:tcW w:w="2500" w:type="pct"/>
            <w:shd w:val="clear" w:color="auto" w:fill="auto"/>
          </w:tcPr>
          <w:p w14:paraId="32FDB8BB" w14:textId="77777777" w:rsidR="000D07EA" w:rsidRDefault="00BE7C89">
            <w:pPr>
              <w:pStyle w:val="BodyText"/>
              <w:spacing w:before="100" w:after="100"/>
              <w:jc w:val="center"/>
            </w:pPr>
            <w:r>
              <w:t>75c per MMS</w:t>
            </w:r>
          </w:p>
        </w:tc>
      </w:tr>
      <w:tr w:rsidR="000D07EA" w14:paraId="5FC76606" w14:textId="77777777">
        <w:tc>
          <w:tcPr>
            <w:tcW w:w="2500" w:type="pct"/>
            <w:shd w:val="clear" w:color="auto" w:fill="auto"/>
          </w:tcPr>
          <w:p w14:paraId="27EF495C" w14:textId="77777777" w:rsidR="000D07EA" w:rsidRDefault="00BE7C89">
            <w:pPr>
              <w:pStyle w:val="BodyText"/>
              <w:spacing w:before="100" w:after="100"/>
              <w:rPr>
                <w:b/>
              </w:rPr>
            </w:pPr>
            <w:r>
              <w:rPr>
                <w:b/>
              </w:rPr>
              <w:t>International video calling</w:t>
            </w:r>
          </w:p>
        </w:tc>
        <w:tc>
          <w:tcPr>
            <w:tcW w:w="2500" w:type="pct"/>
            <w:shd w:val="clear" w:color="auto" w:fill="auto"/>
          </w:tcPr>
          <w:p w14:paraId="21DE148F" w14:textId="77777777" w:rsidR="000D07EA" w:rsidRDefault="00BE7C89">
            <w:pPr>
              <w:pStyle w:val="BodyText"/>
              <w:spacing w:before="100" w:after="100"/>
              <w:jc w:val="center"/>
            </w:pPr>
            <w:r>
              <w:t>$1.50 per minute +35c flagfall</w:t>
            </w:r>
          </w:p>
        </w:tc>
      </w:tr>
      <w:tr w:rsidR="000D07EA" w14:paraId="4B88E06D" w14:textId="77777777">
        <w:tc>
          <w:tcPr>
            <w:tcW w:w="2500" w:type="pct"/>
            <w:shd w:val="clear" w:color="auto" w:fill="auto"/>
          </w:tcPr>
          <w:p w14:paraId="7FA1D73B" w14:textId="77777777" w:rsidR="000D07EA" w:rsidRDefault="00BE7C89">
            <w:pPr>
              <w:pStyle w:val="BodyText"/>
              <w:spacing w:before="100" w:after="100"/>
              <w:rPr>
                <w:b/>
              </w:rPr>
            </w:pPr>
            <w:r>
              <w:rPr>
                <w:b/>
              </w:rPr>
              <w:t>International roaming</w:t>
            </w:r>
          </w:p>
        </w:tc>
        <w:tc>
          <w:tcPr>
            <w:tcW w:w="2500" w:type="pct"/>
            <w:shd w:val="clear" w:color="auto" w:fill="auto"/>
          </w:tcPr>
          <w:p w14:paraId="7ECAF794" w14:textId="77777777" w:rsidR="000D07EA" w:rsidRDefault="00BE7C89">
            <w:pPr>
              <w:pStyle w:val="BodyText"/>
              <w:spacing w:before="100" w:after="100"/>
              <w:jc w:val="center"/>
            </w:pPr>
            <w:r>
              <w:t>See optus.com.au/roaming</w:t>
            </w:r>
          </w:p>
        </w:tc>
      </w:tr>
    </w:tbl>
    <w:p w14:paraId="5D169295" w14:textId="77777777" w:rsidR="000D07EA" w:rsidRDefault="000D07EA">
      <w:pPr>
        <w:pStyle w:val="BodyText"/>
      </w:pPr>
    </w:p>
    <w:p w14:paraId="460247ED" w14:textId="77777777" w:rsidR="000D07EA" w:rsidRDefault="00BE7C89">
      <w:pPr>
        <w:pStyle w:val="BodyText"/>
        <w:ind w:left="720"/>
        <w:rPr>
          <w:b/>
        </w:rPr>
      </w:pPr>
      <w:r>
        <w:rPr>
          <w:b/>
        </w:rPr>
        <w:t>Table 3 – International Countries</w:t>
      </w:r>
    </w:p>
    <w:tbl>
      <w:tblPr>
        <w:tblW w:w="938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346"/>
        <w:gridCol w:w="2346"/>
        <w:gridCol w:w="2346"/>
        <w:gridCol w:w="2347"/>
      </w:tblGrid>
      <w:tr w:rsidR="000D07EA" w14:paraId="0E2990AC" w14:textId="77777777">
        <w:tc>
          <w:tcPr>
            <w:tcW w:w="2346" w:type="dxa"/>
            <w:shd w:val="clear" w:color="auto" w:fill="auto"/>
          </w:tcPr>
          <w:p w14:paraId="608E3B38" w14:textId="77777777" w:rsidR="000D07EA" w:rsidRDefault="00BE7C89">
            <w:pPr>
              <w:pStyle w:val="BodyText"/>
              <w:spacing w:before="100" w:after="100"/>
              <w:jc w:val="center"/>
            </w:pPr>
            <w:r>
              <w:t>Austria</w:t>
            </w:r>
          </w:p>
        </w:tc>
        <w:tc>
          <w:tcPr>
            <w:tcW w:w="2346" w:type="dxa"/>
            <w:shd w:val="clear" w:color="auto" w:fill="auto"/>
          </w:tcPr>
          <w:p w14:paraId="4B82B14E" w14:textId="77777777" w:rsidR="000D07EA" w:rsidRDefault="00BE7C89">
            <w:pPr>
              <w:pStyle w:val="BodyText"/>
              <w:spacing w:before="100" w:after="100"/>
              <w:jc w:val="center"/>
            </w:pPr>
            <w:r>
              <w:t>Bangladesh</w:t>
            </w:r>
          </w:p>
        </w:tc>
        <w:tc>
          <w:tcPr>
            <w:tcW w:w="2346" w:type="dxa"/>
            <w:shd w:val="clear" w:color="auto" w:fill="auto"/>
          </w:tcPr>
          <w:p w14:paraId="6FD8CEA1" w14:textId="77777777" w:rsidR="000D07EA" w:rsidRDefault="00BE7C89">
            <w:pPr>
              <w:pStyle w:val="BodyText"/>
              <w:spacing w:before="100" w:after="100"/>
              <w:jc w:val="center"/>
            </w:pPr>
            <w:r>
              <w:t>Cambodia</w:t>
            </w:r>
          </w:p>
        </w:tc>
        <w:tc>
          <w:tcPr>
            <w:tcW w:w="2347" w:type="dxa"/>
            <w:shd w:val="clear" w:color="auto" w:fill="auto"/>
          </w:tcPr>
          <w:p w14:paraId="6B7BF9C3" w14:textId="77777777" w:rsidR="000D07EA" w:rsidRDefault="00BE7C89">
            <w:pPr>
              <w:pStyle w:val="BodyText"/>
              <w:spacing w:before="100" w:after="100"/>
              <w:jc w:val="center"/>
            </w:pPr>
            <w:r>
              <w:t>Canada</w:t>
            </w:r>
          </w:p>
        </w:tc>
      </w:tr>
      <w:tr w:rsidR="000D07EA" w14:paraId="32D640E3" w14:textId="77777777">
        <w:tc>
          <w:tcPr>
            <w:tcW w:w="2346" w:type="dxa"/>
            <w:shd w:val="clear" w:color="auto" w:fill="auto"/>
          </w:tcPr>
          <w:p w14:paraId="6B9FE070" w14:textId="77777777" w:rsidR="000D07EA" w:rsidRDefault="00BE7C89">
            <w:pPr>
              <w:pStyle w:val="BodyText"/>
              <w:spacing w:before="100" w:after="100"/>
              <w:jc w:val="center"/>
            </w:pPr>
            <w:r>
              <w:t>Chile</w:t>
            </w:r>
          </w:p>
        </w:tc>
        <w:tc>
          <w:tcPr>
            <w:tcW w:w="2346" w:type="dxa"/>
            <w:shd w:val="clear" w:color="auto" w:fill="auto"/>
          </w:tcPr>
          <w:p w14:paraId="6F720D3D" w14:textId="77777777" w:rsidR="000D07EA" w:rsidRDefault="00BE7C89">
            <w:pPr>
              <w:pStyle w:val="BodyText"/>
              <w:spacing w:before="100" w:after="100"/>
              <w:jc w:val="center"/>
            </w:pPr>
            <w:r>
              <w:t>China</w:t>
            </w:r>
          </w:p>
        </w:tc>
        <w:tc>
          <w:tcPr>
            <w:tcW w:w="2346" w:type="dxa"/>
            <w:shd w:val="clear" w:color="auto" w:fill="auto"/>
          </w:tcPr>
          <w:p w14:paraId="0572D460" w14:textId="77777777" w:rsidR="000D07EA" w:rsidRDefault="00BE7C89">
            <w:pPr>
              <w:pStyle w:val="BodyText"/>
              <w:spacing w:before="100" w:after="100"/>
              <w:jc w:val="center"/>
            </w:pPr>
            <w:r>
              <w:t>Croatia</w:t>
            </w:r>
          </w:p>
        </w:tc>
        <w:tc>
          <w:tcPr>
            <w:tcW w:w="2347" w:type="dxa"/>
            <w:shd w:val="clear" w:color="auto" w:fill="auto"/>
          </w:tcPr>
          <w:p w14:paraId="214A1A0E" w14:textId="77777777" w:rsidR="000D07EA" w:rsidRDefault="00BE7C89">
            <w:pPr>
              <w:pStyle w:val="BodyText"/>
              <w:spacing w:before="100" w:after="100"/>
              <w:jc w:val="center"/>
            </w:pPr>
            <w:r>
              <w:t>France</w:t>
            </w:r>
          </w:p>
        </w:tc>
      </w:tr>
      <w:tr w:rsidR="000D07EA" w14:paraId="1DE7BA92" w14:textId="77777777">
        <w:tc>
          <w:tcPr>
            <w:tcW w:w="2346" w:type="dxa"/>
            <w:shd w:val="clear" w:color="auto" w:fill="auto"/>
          </w:tcPr>
          <w:p w14:paraId="608407F9" w14:textId="77777777" w:rsidR="000D07EA" w:rsidRDefault="00BE7C89">
            <w:pPr>
              <w:pStyle w:val="BodyText"/>
              <w:spacing w:before="100" w:after="100"/>
              <w:jc w:val="center"/>
            </w:pPr>
            <w:r>
              <w:t>Germany</w:t>
            </w:r>
          </w:p>
        </w:tc>
        <w:tc>
          <w:tcPr>
            <w:tcW w:w="2346" w:type="dxa"/>
            <w:shd w:val="clear" w:color="auto" w:fill="auto"/>
          </w:tcPr>
          <w:p w14:paraId="4432CE8C" w14:textId="77777777" w:rsidR="000D07EA" w:rsidRDefault="00BE7C89">
            <w:pPr>
              <w:pStyle w:val="BodyText"/>
              <w:spacing w:before="100" w:after="100"/>
              <w:jc w:val="center"/>
            </w:pPr>
            <w:r>
              <w:t>Greece</w:t>
            </w:r>
          </w:p>
        </w:tc>
        <w:tc>
          <w:tcPr>
            <w:tcW w:w="2346" w:type="dxa"/>
            <w:shd w:val="clear" w:color="auto" w:fill="auto"/>
          </w:tcPr>
          <w:p w14:paraId="6C2AAAB2" w14:textId="77777777" w:rsidR="000D07EA" w:rsidRDefault="00BE7C89">
            <w:pPr>
              <w:pStyle w:val="BodyText"/>
              <w:spacing w:before="100" w:after="100"/>
              <w:jc w:val="center"/>
            </w:pPr>
            <w:r>
              <w:t>Hong Kong</w:t>
            </w:r>
          </w:p>
        </w:tc>
        <w:tc>
          <w:tcPr>
            <w:tcW w:w="2347" w:type="dxa"/>
            <w:shd w:val="clear" w:color="auto" w:fill="auto"/>
          </w:tcPr>
          <w:p w14:paraId="3BE366B3" w14:textId="77777777" w:rsidR="000D07EA" w:rsidRDefault="00BE7C89">
            <w:pPr>
              <w:pStyle w:val="BodyText"/>
              <w:spacing w:before="100" w:after="100"/>
              <w:jc w:val="center"/>
            </w:pPr>
            <w:r>
              <w:t>Hungary</w:t>
            </w:r>
          </w:p>
        </w:tc>
      </w:tr>
      <w:tr w:rsidR="000D07EA" w14:paraId="7969F0E6" w14:textId="77777777">
        <w:tc>
          <w:tcPr>
            <w:tcW w:w="2346" w:type="dxa"/>
            <w:shd w:val="clear" w:color="auto" w:fill="auto"/>
          </w:tcPr>
          <w:p w14:paraId="5DED28D6" w14:textId="77777777" w:rsidR="000D07EA" w:rsidRDefault="00BE7C89">
            <w:pPr>
              <w:pStyle w:val="BodyText"/>
              <w:spacing w:before="100" w:after="100"/>
              <w:jc w:val="center"/>
            </w:pPr>
            <w:r>
              <w:t>Indonesia</w:t>
            </w:r>
          </w:p>
        </w:tc>
        <w:tc>
          <w:tcPr>
            <w:tcW w:w="2346" w:type="dxa"/>
            <w:shd w:val="clear" w:color="auto" w:fill="auto"/>
          </w:tcPr>
          <w:p w14:paraId="6E44839D" w14:textId="77777777" w:rsidR="000D07EA" w:rsidRDefault="00BE7C89">
            <w:pPr>
              <w:pStyle w:val="BodyText"/>
              <w:spacing w:before="100" w:after="100"/>
              <w:jc w:val="center"/>
            </w:pPr>
            <w:r>
              <w:t>India</w:t>
            </w:r>
          </w:p>
        </w:tc>
        <w:tc>
          <w:tcPr>
            <w:tcW w:w="2346" w:type="dxa"/>
            <w:shd w:val="clear" w:color="auto" w:fill="auto"/>
          </w:tcPr>
          <w:p w14:paraId="557A1120" w14:textId="77777777" w:rsidR="000D07EA" w:rsidRDefault="00BE7C89">
            <w:pPr>
              <w:pStyle w:val="BodyText"/>
              <w:spacing w:before="100" w:after="100"/>
              <w:jc w:val="center"/>
            </w:pPr>
            <w:r>
              <w:t>Ireland</w:t>
            </w:r>
          </w:p>
        </w:tc>
        <w:tc>
          <w:tcPr>
            <w:tcW w:w="2347" w:type="dxa"/>
            <w:shd w:val="clear" w:color="auto" w:fill="auto"/>
          </w:tcPr>
          <w:p w14:paraId="46EFD277" w14:textId="77777777" w:rsidR="000D07EA" w:rsidRDefault="00BE7C89">
            <w:pPr>
              <w:pStyle w:val="BodyText"/>
              <w:spacing w:before="100" w:after="100"/>
              <w:jc w:val="center"/>
            </w:pPr>
            <w:r>
              <w:t>Italy</w:t>
            </w:r>
          </w:p>
        </w:tc>
      </w:tr>
      <w:tr w:rsidR="000D07EA" w14:paraId="11A4FFF7" w14:textId="77777777">
        <w:tc>
          <w:tcPr>
            <w:tcW w:w="2346" w:type="dxa"/>
            <w:shd w:val="clear" w:color="auto" w:fill="auto"/>
          </w:tcPr>
          <w:p w14:paraId="704BA74E" w14:textId="77777777" w:rsidR="000D07EA" w:rsidRDefault="00BE7C89">
            <w:pPr>
              <w:pStyle w:val="BodyText"/>
              <w:spacing w:before="100" w:after="100"/>
              <w:jc w:val="center"/>
            </w:pPr>
            <w:r>
              <w:t>Japan</w:t>
            </w:r>
          </w:p>
        </w:tc>
        <w:tc>
          <w:tcPr>
            <w:tcW w:w="2346" w:type="dxa"/>
            <w:shd w:val="clear" w:color="auto" w:fill="auto"/>
          </w:tcPr>
          <w:p w14:paraId="215E5000" w14:textId="77777777" w:rsidR="000D07EA" w:rsidRDefault="00BE7C89">
            <w:pPr>
              <w:pStyle w:val="BodyText"/>
              <w:spacing w:before="100" w:after="100"/>
              <w:jc w:val="center"/>
            </w:pPr>
            <w:r>
              <w:t>Malaysia</w:t>
            </w:r>
          </w:p>
        </w:tc>
        <w:tc>
          <w:tcPr>
            <w:tcW w:w="2346" w:type="dxa"/>
            <w:shd w:val="clear" w:color="auto" w:fill="auto"/>
          </w:tcPr>
          <w:p w14:paraId="3A2FE2CC" w14:textId="77777777" w:rsidR="000D07EA" w:rsidRDefault="00BE7C89">
            <w:pPr>
              <w:pStyle w:val="BodyText"/>
              <w:spacing w:before="100" w:after="100"/>
              <w:jc w:val="center"/>
            </w:pPr>
            <w:r>
              <w:t>Netherlands</w:t>
            </w:r>
          </w:p>
        </w:tc>
        <w:tc>
          <w:tcPr>
            <w:tcW w:w="2347" w:type="dxa"/>
            <w:shd w:val="clear" w:color="auto" w:fill="auto"/>
          </w:tcPr>
          <w:p w14:paraId="5A1C7AEF" w14:textId="77777777" w:rsidR="000D07EA" w:rsidRDefault="00BE7C89">
            <w:pPr>
              <w:pStyle w:val="BodyText"/>
              <w:spacing w:before="100" w:after="100"/>
              <w:jc w:val="center"/>
            </w:pPr>
            <w:r>
              <w:t>New Zealand</w:t>
            </w:r>
          </w:p>
        </w:tc>
      </w:tr>
      <w:tr w:rsidR="000D07EA" w14:paraId="3738AE92" w14:textId="77777777">
        <w:tc>
          <w:tcPr>
            <w:tcW w:w="2346" w:type="dxa"/>
            <w:shd w:val="clear" w:color="auto" w:fill="auto"/>
          </w:tcPr>
          <w:p w14:paraId="01FC51BE" w14:textId="77777777" w:rsidR="000D07EA" w:rsidRDefault="00BE7C89">
            <w:pPr>
              <w:pStyle w:val="BodyText"/>
              <w:spacing w:before="100" w:after="100"/>
              <w:jc w:val="center"/>
            </w:pPr>
            <w:r>
              <w:t>Pakistan</w:t>
            </w:r>
          </w:p>
        </w:tc>
        <w:tc>
          <w:tcPr>
            <w:tcW w:w="2346" w:type="dxa"/>
            <w:shd w:val="clear" w:color="auto" w:fill="auto"/>
          </w:tcPr>
          <w:p w14:paraId="47D8A38A" w14:textId="77777777" w:rsidR="000D07EA" w:rsidRDefault="00BE7C89">
            <w:pPr>
              <w:pStyle w:val="BodyText"/>
              <w:spacing w:before="100" w:after="100"/>
              <w:jc w:val="center"/>
            </w:pPr>
            <w:r>
              <w:t>Philippines</w:t>
            </w:r>
          </w:p>
        </w:tc>
        <w:tc>
          <w:tcPr>
            <w:tcW w:w="2346" w:type="dxa"/>
            <w:shd w:val="clear" w:color="auto" w:fill="auto"/>
          </w:tcPr>
          <w:p w14:paraId="5D06C3D8" w14:textId="77777777" w:rsidR="000D07EA" w:rsidRDefault="00BE7C89">
            <w:pPr>
              <w:pStyle w:val="BodyText"/>
              <w:spacing w:before="100" w:after="100"/>
              <w:jc w:val="center"/>
            </w:pPr>
            <w:r>
              <w:t>Poland</w:t>
            </w:r>
          </w:p>
        </w:tc>
        <w:tc>
          <w:tcPr>
            <w:tcW w:w="2347" w:type="dxa"/>
            <w:shd w:val="clear" w:color="auto" w:fill="auto"/>
          </w:tcPr>
          <w:p w14:paraId="679416B9" w14:textId="77777777" w:rsidR="000D07EA" w:rsidRDefault="00BE7C89">
            <w:pPr>
              <w:pStyle w:val="BodyText"/>
              <w:spacing w:before="100" w:after="100"/>
              <w:jc w:val="center"/>
            </w:pPr>
            <w:r>
              <w:t>Singapore</w:t>
            </w:r>
          </w:p>
        </w:tc>
      </w:tr>
      <w:tr w:rsidR="000D07EA" w14:paraId="16CA0641" w14:textId="77777777">
        <w:tc>
          <w:tcPr>
            <w:tcW w:w="2346" w:type="dxa"/>
            <w:shd w:val="clear" w:color="auto" w:fill="auto"/>
          </w:tcPr>
          <w:p w14:paraId="148DD814" w14:textId="77777777" w:rsidR="000D07EA" w:rsidRDefault="00BE7C89">
            <w:pPr>
              <w:pStyle w:val="BodyText"/>
              <w:spacing w:before="100" w:after="100"/>
              <w:jc w:val="center"/>
            </w:pPr>
            <w:r>
              <w:t>South Africa</w:t>
            </w:r>
          </w:p>
        </w:tc>
        <w:tc>
          <w:tcPr>
            <w:tcW w:w="2346" w:type="dxa"/>
            <w:shd w:val="clear" w:color="auto" w:fill="auto"/>
          </w:tcPr>
          <w:p w14:paraId="20A74438" w14:textId="77777777" w:rsidR="000D07EA" w:rsidRDefault="00BE7C89">
            <w:pPr>
              <w:pStyle w:val="BodyText"/>
              <w:spacing w:before="100" w:after="100"/>
              <w:jc w:val="center"/>
            </w:pPr>
            <w:r>
              <w:t>South Korea</w:t>
            </w:r>
          </w:p>
        </w:tc>
        <w:tc>
          <w:tcPr>
            <w:tcW w:w="2346" w:type="dxa"/>
            <w:shd w:val="clear" w:color="auto" w:fill="auto"/>
          </w:tcPr>
          <w:p w14:paraId="4BF0E0B9" w14:textId="77777777" w:rsidR="000D07EA" w:rsidRDefault="00BE7C89">
            <w:pPr>
              <w:pStyle w:val="BodyText"/>
              <w:spacing w:before="100" w:after="100"/>
              <w:jc w:val="center"/>
            </w:pPr>
            <w:r>
              <w:t>Taiwan</w:t>
            </w:r>
          </w:p>
        </w:tc>
        <w:tc>
          <w:tcPr>
            <w:tcW w:w="2347" w:type="dxa"/>
            <w:shd w:val="clear" w:color="auto" w:fill="auto"/>
          </w:tcPr>
          <w:p w14:paraId="72EA04E0" w14:textId="77777777" w:rsidR="000D07EA" w:rsidRDefault="00BE7C89">
            <w:pPr>
              <w:pStyle w:val="BodyText"/>
              <w:spacing w:before="100" w:after="100"/>
              <w:jc w:val="center"/>
            </w:pPr>
            <w:r>
              <w:t>Thailand</w:t>
            </w:r>
          </w:p>
        </w:tc>
      </w:tr>
      <w:tr w:rsidR="000D07EA" w14:paraId="3CAC292E" w14:textId="77777777">
        <w:tc>
          <w:tcPr>
            <w:tcW w:w="2346" w:type="dxa"/>
            <w:shd w:val="clear" w:color="auto" w:fill="auto"/>
          </w:tcPr>
          <w:p w14:paraId="5F5EAF46" w14:textId="77777777" w:rsidR="000D07EA" w:rsidRDefault="00BE7C89">
            <w:pPr>
              <w:pStyle w:val="BodyText"/>
              <w:spacing w:before="100" w:after="100"/>
              <w:jc w:val="center"/>
            </w:pPr>
            <w:r>
              <w:t>Turkey</w:t>
            </w:r>
          </w:p>
        </w:tc>
        <w:tc>
          <w:tcPr>
            <w:tcW w:w="2346" w:type="dxa"/>
            <w:shd w:val="clear" w:color="auto" w:fill="auto"/>
          </w:tcPr>
          <w:p w14:paraId="4E76EB18" w14:textId="77777777" w:rsidR="000D07EA" w:rsidRDefault="00BE7C89">
            <w:pPr>
              <w:pStyle w:val="BodyText"/>
              <w:spacing w:before="100" w:after="100"/>
              <w:jc w:val="center"/>
            </w:pPr>
            <w:r>
              <w:t>United Kingdom</w:t>
            </w:r>
          </w:p>
        </w:tc>
        <w:tc>
          <w:tcPr>
            <w:tcW w:w="2346" w:type="dxa"/>
            <w:shd w:val="clear" w:color="auto" w:fill="auto"/>
          </w:tcPr>
          <w:p w14:paraId="4325C951" w14:textId="77777777" w:rsidR="000D07EA" w:rsidRDefault="00BE7C89">
            <w:pPr>
              <w:pStyle w:val="BodyText"/>
              <w:spacing w:before="100" w:after="100"/>
              <w:jc w:val="center"/>
            </w:pPr>
            <w:r>
              <w:t>USA</w:t>
            </w:r>
          </w:p>
        </w:tc>
        <w:tc>
          <w:tcPr>
            <w:tcW w:w="2347" w:type="dxa"/>
            <w:shd w:val="clear" w:color="auto" w:fill="auto"/>
          </w:tcPr>
          <w:p w14:paraId="1BA8FAD9" w14:textId="77777777" w:rsidR="000D07EA" w:rsidRDefault="00BE7C89">
            <w:pPr>
              <w:pStyle w:val="BodyText"/>
              <w:spacing w:before="100" w:after="100"/>
              <w:jc w:val="center"/>
            </w:pPr>
            <w:r>
              <w:t>Vietnam</w:t>
            </w:r>
          </w:p>
        </w:tc>
      </w:tr>
    </w:tbl>
    <w:p w14:paraId="33B49517" w14:textId="77777777" w:rsidR="000D07EA" w:rsidRDefault="000D07EA">
      <w:pPr>
        <w:pStyle w:val="BodyText"/>
      </w:pPr>
    </w:p>
    <w:p w14:paraId="31C862DB" w14:textId="77777777" w:rsidR="000D07EA" w:rsidRDefault="00BE7C89">
      <w:pPr>
        <w:pStyle w:val="Heading6"/>
        <w:ind w:left="0" w:firstLine="0"/>
      </w:pPr>
      <w:bookmarkStart w:id="997" w:name="_Toc420501451"/>
      <w:bookmarkStart w:id="998" w:name="_Toc425946566"/>
      <w:r>
        <w:t>My Account</w:t>
      </w:r>
      <w:bookmarkEnd w:id="997"/>
      <w:bookmarkEnd w:id="998"/>
    </w:p>
    <w:p w14:paraId="6F853AAE" w14:textId="77777777" w:rsidR="000D07EA" w:rsidRDefault="00BE7C89">
      <w:pPr>
        <w:pStyle w:val="BodyText"/>
        <w:ind w:left="72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service has used. If </w:t>
      </w:r>
      <w:r>
        <w:rPr>
          <w:i/>
        </w:rPr>
        <w:t>you</w:t>
      </w:r>
      <w:r>
        <w:t xml:space="preserve"> have more than 6 services on </w:t>
      </w:r>
      <w:r>
        <w:rPr>
          <w:i/>
        </w:rPr>
        <w:t xml:space="preserve">your </w:t>
      </w:r>
      <w:r>
        <w:t xml:space="preserve">account, My Account may not be suitable for viewing usage and managing </w:t>
      </w:r>
      <w:r>
        <w:rPr>
          <w:i/>
        </w:rPr>
        <w:t xml:space="preserve">your </w:t>
      </w:r>
      <w:r>
        <w:t>usage alerts.</w:t>
      </w:r>
    </w:p>
    <w:p w14:paraId="65291E38" w14:textId="77777777" w:rsidR="000D07EA" w:rsidRDefault="00BE7C89">
      <w:pPr>
        <w:pStyle w:val="Heading6"/>
        <w:ind w:left="0" w:firstLine="0"/>
      </w:pPr>
      <w:bookmarkStart w:id="999" w:name="_Toc420501452"/>
      <w:bookmarkStart w:id="1000" w:name="_Toc425946567"/>
      <w:r>
        <w:t xml:space="preserve">What happens if the </w:t>
      </w:r>
      <w:r>
        <w:rPr>
          <w:i/>
        </w:rPr>
        <w:t xml:space="preserve">service </w:t>
      </w:r>
      <w:r>
        <w:t>is</w:t>
      </w:r>
      <w:r>
        <w:rPr>
          <w:i/>
        </w:rPr>
        <w:t xml:space="preserve"> cancelled</w:t>
      </w:r>
      <w:r>
        <w:t>?</w:t>
      </w:r>
      <w:bookmarkEnd w:id="999"/>
      <w:bookmarkEnd w:id="1000"/>
    </w:p>
    <w:p w14:paraId="757931AB" w14:textId="77777777" w:rsidR="000D07EA" w:rsidRDefault="00BE7C89">
      <w:pPr>
        <w:pStyle w:val="Heading7"/>
      </w:pPr>
      <w:r>
        <w:t xml:space="preserve">If </w:t>
      </w:r>
      <w:r>
        <w:rPr>
          <w:i/>
        </w:rPr>
        <w:t>your</w:t>
      </w:r>
      <w:r>
        <w:t xml:space="preserve"> $50/$80 My Plan Business SIM plan is </w:t>
      </w:r>
      <w:r>
        <w:rPr>
          <w:i/>
        </w:rPr>
        <w:t xml:space="preserve">cancelled </w:t>
      </w:r>
      <w:r>
        <w:t>you will be required to pay us:</w:t>
      </w:r>
    </w:p>
    <w:p w14:paraId="45735978" w14:textId="77777777" w:rsidR="000D07EA" w:rsidRDefault="00BE7C89">
      <w:pPr>
        <w:pStyle w:val="Heading8"/>
      </w:pPr>
      <w:r>
        <w:t xml:space="preserve">any usage charges incurred up to, and including, the cancellation date; plus; </w:t>
      </w:r>
    </w:p>
    <w:p w14:paraId="753C1D3E" w14:textId="77777777" w:rsidR="000D07EA" w:rsidRDefault="00BE7C89">
      <w:pPr>
        <w:pStyle w:val="Heading8"/>
      </w:pPr>
      <w:r>
        <w:t xml:space="preserve">the sum of unpaid </w:t>
      </w:r>
      <w:r>
        <w:rPr>
          <w:i/>
        </w:rPr>
        <w:t xml:space="preserve">equipment charges </w:t>
      </w:r>
      <w:r>
        <w:t xml:space="preserve">owing on </w:t>
      </w:r>
      <w:r>
        <w:rPr>
          <w:i/>
        </w:rPr>
        <w:t xml:space="preserve">your mobile phone </w:t>
      </w:r>
      <w:r>
        <w:t xml:space="preserve">under the </w:t>
      </w:r>
      <w:r>
        <w:rPr>
          <w:i/>
        </w:rPr>
        <w:t xml:space="preserve">mobile equipment payment plan </w:t>
      </w:r>
      <w:r>
        <w:t>(if any)</w:t>
      </w:r>
      <w:r>
        <w:rPr>
          <w:i/>
        </w:rPr>
        <w:t>;</w:t>
      </w:r>
      <w:r>
        <w:t xml:space="preserve"> plus</w:t>
      </w:r>
    </w:p>
    <w:p w14:paraId="1E3ACCC3" w14:textId="77777777" w:rsidR="000D07EA" w:rsidRDefault="00BE7C89">
      <w:pPr>
        <w:pStyle w:val="Heading8"/>
      </w:pPr>
      <w:r>
        <w:t xml:space="preserve">your Shared Data Plan(s) may also be cancelled. There are no cancellation fees for the Shared Data Plan, however if you purchased a device you need to pay the sum of any remaining equipment charges owing on your device under the mobile equipment payment plan (see </w:t>
      </w:r>
      <w:hyperlink r:id="rId598" w:history="1">
        <w:r>
          <w:rPr>
            <w:rStyle w:val="Hyperlink"/>
            <w:snapToGrid w:val="0"/>
          </w:rPr>
          <w:t>Appendix D</w:t>
        </w:r>
      </w:hyperlink>
      <w:r>
        <w:t xml:space="preserve">). If </w:t>
      </w:r>
      <w:r>
        <w:rPr>
          <w:i/>
        </w:rPr>
        <w:t xml:space="preserve">your </w:t>
      </w:r>
      <w:r>
        <w:t xml:space="preserve">Shared Data Plan is not </w:t>
      </w:r>
      <w:r>
        <w:rPr>
          <w:i/>
        </w:rPr>
        <w:t>cancelled</w:t>
      </w:r>
      <w:r>
        <w:t xml:space="preserve">, </w:t>
      </w:r>
      <w:r>
        <w:rPr>
          <w:i/>
        </w:rPr>
        <w:t>you</w:t>
      </w:r>
      <w:r>
        <w:t xml:space="preserve"> will be charged $10 per 1GB within Australia, up to a maximum of 150GB (per account) in a billing month. Your service/s may then be restricted or we may continue to charge you at these rates</w:t>
      </w:r>
    </w:p>
    <w:p w14:paraId="50CE046B" w14:textId="77777777" w:rsidR="000D07EA" w:rsidRDefault="00BE7C89">
      <w:pPr>
        <w:pStyle w:val="Heading4"/>
        <w:ind w:left="720" w:hanging="720"/>
      </w:pPr>
      <w:bookmarkStart w:id="1001" w:name="_Toc431283562"/>
      <w:bookmarkStart w:id="1002" w:name="_Toc455147638"/>
      <w:bookmarkStart w:id="1003" w:name="_Toc62644660"/>
      <w:r>
        <w:t>My Plan Business SIM</w:t>
      </w:r>
      <w:bookmarkEnd w:id="1001"/>
      <w:bookmarkEnd w:id="1002"/>
      <w:bookmarkEnd w:id="1003"/>
    </w:p>
    <w:p w14:paraId="0A8C63D3" w14:textId="77777777" w:rsidR="000D07EA" w:rsidRDefault="00BE7C89">
      <w:pPr>
        <w:pStyle w:val="BodyText"/>
        <w:ind w:left="720"/>
      </w:pPr>
      <w:r>
        <w:t xml:space="preserve">This section relates to the following plans. </w:t>
      </w:r>
      <w:r>
        <w:rPr>
          <w:i/>
        </w:rPr>
        <w:t>You</w:t>
      </w:r>
      <w:r>
        <w:t xml:space="preserve"> can find </w:t>
      </w:r>
      <w:r>
        <w:rPr>
          <w:i/>
        </w:rPr>
        <w:t>your</w:t>
      </w:r>
      <w:r>
        <w:t xml:space="preserve"> Plan ID on </w:t>
      </w:r>
      <w:r>
        <w:rPr>
          <w:i/>
        </w:rPr>
        <w:t>your</w:t>
      </w:r>
      <w:r>
        <w:t xml:space="preserve"> bill under the Mobile Number Summary section:</w:t>
      </w:r>
    </w:p>
    <w:tbl>
      <w:tblPr>
        <w:tblW w:w="4632"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673"/>
        <w:gridCol w:w="2339"/>
        <w:gridCol w:w="3426"/>
      </w:tblGrid>
      <w:tr w:rsidR="000D07EA" w14:paraId="7D7D8CDB" w14:textId="77777777">
        <w:tc>
          <w:tcPr>
            <w:tcW w:w="1946" w:type="pct"/>
            <w:shd w:val="clear" w:color="auto" w:fill="auto"/>
          </w:tcPr>
          <w:p w14:paraId="46DE5F28" w14:textId="77777777" w:rsidR="000D07EA" w:rsidRDefault="00BE7C89">
            <w:pPr>
              <w:pStyle w:val="BodyText"/>
              <w:spacing w:before="100" w:after="100"/>
              <w:jc w:val="center"/>
              <w:rPr>
                <w:b/>
              </w:rPr>
            </w:pPr>
            <w:r>
              <w:rPr>
                <w:b/>
              </w:rPr>
              <w:t>Plan</w:t>
            </w:r>
          </w:p>
        </w:tc>
        <w:tc>
          <w:tcPr>
            <w:tcW w:w="1239" w:type="pct"/>
            <w:shd w:val="clear" w:color="auto" w:fill="auto"/>
          </w:tcPr>
          <w:p w14:paraId="5BF562A3" w14:textId="77777777" w:rsidR="000D07EA" w:rsidRDefault="00BE7C89">
            <w:pPr>
              <w:pStyle w:val="BodyText"/>
              <w:spacing w:before="100" w:after="100"/>
              <w:jc w:val="center"/>
              <w:rPr>
                <w:b/>
              </w:rPr>
            </w:pPr>
            <w:r>
              <w:rPr>
                <w:b/>
              </w:rPr>
              <w:t>Plan ID</w:t>
            </w:r>
          </w:p>
        </w:tc>
        <w:tc>
          <w:tcPr>
            <w:tcW w:w="1815" w:type="pct"/>
            <w:shd w:val="clear" w:color="auto" w:fill="auto"/>
          </w:tcPr>
          <w:p w14:paraId="6FD5F0A3" w14:textId="77777777" w:rsidR="000D07EA" w:rsidRDefault="00BE7C89">
            <w:pPr>
              <w:pStyle w:val="BodyText"/>
              <w:spacing w:before="100" w:after="100"/>
              <w:jc w:val="center"/>
              <w:rPr>
                <w:b/>
              </w:rPr>
            </w:pPr>
            <w:r>
              <w:rPr>
                <w:b/>
              </w:rPr>
              <w:t>Available</w:t>
            </w:r>
          </w:p>
        </w:tc>
      </w:tr>
      <w:tr w:rsidR="000D07EA" w14:paraId="451CFDF4" w14:textId="77777777">
        <w:tc>
          <w:tcPr>
            <w:tcW w:w="1946" w:type="pct"/>
            <w:shd w:val="clear" w:color="auto" w:fill="auto"/>
          </w:tcPr>
          <w:p w14:paraId="5491A046" w14:textId="77777777" w:rsidR="000D07EA" w:rsidRDefault="00BE7C89">
            <w:pPr>
              <w:pStyle w:val="BodyText"/>
              <w:spacing w:before="100" w:after="100"/>
              <w:jc w:val="center"/>
            </w:pPr>
            <w:r>
              <w:lastRenderedPageBreak/>
              <w:t>$30 My Plan Business SIM</w:t>
            </w:r>
          </w:p>
        </w:tc>
        <w:tc>
          <w:tcPr>
            <w:tcW w:w="1239" w:type="pct"/>
            <w:shd w:val="clear" w:color="auto" w:fill="auto"/>
          </w:tcPr>
          <w:p w14:paraId="71BE7ADD" w14:textId="77777777" w:rsidR="000D07EA" w:rsidRDefault="00BE7C89">
            <w:pPr>
              <w:pStyle w:val="BodyText"/>
              <w:spacing w:before="100" w:after="100"/>
              <w:jc w:val="center"/>
            </w:pPr>
            <w:r>
              <w:t>800258</w:t>
            </w:r>
            <w:r w:rsidR="003C574B">
              <w:t>, 8375764</w:t>
            </w:r>
          </w:p>
        </w:tc>
        <w:tc>
          <w:tcPr>
            <w:tcW w:w="1815" w:type="pct"/>
            <w:shd w:val="clear" w:color="auto" w:fill="auto"/>
          </w:tcPr>
          <w:p w14:paraId="337C5D88" w14:textId="77777777" w:rsidR="000D07EA" w:rsidRDefault="00BE7C89">
            <w:pPr>
              <w:pStyle w:val="BodyText"/>
              <w:spacing w:before="100" w:after="100"/>
              <w:jc w:val="center"/>
            </w:pPr>
            <w:r>
              <w:t>27 April 2015 – 22 May 2015</w:t>
            </w:r>
          </w:p>
        </w:tc>
      </w:tr>
      <w:tr w:rsidR="000D07EA" w14:paraId="1C537423" w14:textId="77777777">
        <w:tc>
          <w:tcPr>
            <w:tcW w:w="1946" w:type="pct"/>
            <w:shd w:val="clear" w:color="auto" w:fill="auto"/>
          </w:tcPr>
          <w:p w14:paraId="0447416D" w14:textId="77777777" w:rsidR="000D07EA" w:rsidRDefault="00BE7C89">
            <w:pPr>
              <w:pStyle w:val="BodyText"/>
              <w:spacing w:before="100" w:after="100"/>
              <w:jc w:val="center"/>
            </w:pPr>
            <w:r>
              <w:t>$45 My Plan Business SIM</w:t>
            </w:r>
          </w:p>
        </w:tc>
        <w:tc>
          <w:tcPr>
            <w:tcW w:w="1239" w:type="pct"/>
            <w:shd w:val="clear" w:color="auto" w:fill="auto"/>
          </w:tcPr>
          <w:p w14:paraId="3CA5A686" w14:textId="77777777" w:rsidR="000D07EA" w:rsidRDefault="00BE7C89">
            <w:pPr>
              <w:pStyle w:val="BodyText"/>
              <w:spacing w:before="100" w:after="100"/>
              <w:jc w:val="center"/>
            </w:pPr>
            <w:r>
              <w:t>800259</w:t>
            </w:r>
            <w:r w:rsidR="003C574B">
              <w:t>, 8375774</w:t>
            </w:r>
          </w:p>
        </w:tc>
        <w:tc>
          <w:tcPr>
            <w:tcW w:w="1815" w:type="pct"/>
            <w:shd w:val="clear" w:color="auto" w:fill="auto"/>
          </w:tcPr>
          <w:p w14:paraId="39F237CD" w14:textId="77777777" w:rsidR="000D07EA" w:rsidRDefault="00BE7C89">
            <w:pPr>
              <w:pStyle w:val="BodyText"/>
              <w:spacing w:before="100" w:after="100"/>
              <w:jc w:val="center"/>
            </w:pPr>
            <w:r>
              <w:t>27 April 2015 – 22 May 2015</w:t>
            </w:r>
          </w:p>
        </w:tc>
      </w:tr>
      <w:tr w:rsidR="000D07EA" w14:paraId="7D4B3106" w14:textId="77777777">
        <w:tc>
          <w:tcPr>
            <w:tcW w:w="1946" w:type="pct"/>
            <w:shd w:val="clear" w:color="auto" w:fill="auto"/>
          </w:tcPr>
          <w:p w14:paraId="489B3330" w14:textId="77777777" w:rsidR="000D07EA" w:rsidRDefault="00BE7C89">
            <w:pPr>
              <w:pStyle w:val="BodyText"/>
              <w:spacing w:before="100" w:after="100"/>
              <w:jc w:val="center"/>
            </w:pPr>
            <w:r>
              <w:t>$60 My Plan Business SIM</w:t>
            </w:r>
          </w:p>
        </w:tc>
        <w:tc>
          <w:tcPr>
            <w:tcW w:w="1239" w:type="pct"/>
            <w:shd w:val="clear" w:color="auto" w:fill="auto"/>
          </w:tcPr>
          <w:p w14:paraId="0507956D" w14:textId="77777777" w:rsidR="000D07EA" w:rsidRDefault="00BE7C89">
            <w:pPr>
              <w:pStyle w:val="BodyText"/>
              <w:spacing w:before="100" w:after="100"/>
              <w:jc w:val="center"/>
            </w:pPr>
            <w:r>
              <w:t>800260</w:t>
            </w:r>
            <w:r w:rsidR="003C574B">
              <w:t>, 8375784</w:t>
            </w:r>
          </w:p>
        </w:tc>
        <w:tc>
          <w:tcPr>
            <w:tcW w:w="1815" w:type="pct"/>
            <w:shd w:val="clear" w:color="auto" w:fill="auto"/>
          </w:tcPr>
          <w:p w14:paraId="0EFC3A09" w14:textId="77777777" w:rsidR="000D07EA" w:rsidRDefault="00BE7C89">
            <w:pPr>
              <w:pStyle w:val="BodyText"/>
              <w:spacing w:before="100" w:after="100"/>
              <w:jc w:val="center"/>
            </w:pPr>
            <w:r>
              <w:t>27 April 2015 – 22 May 2015</w:t>
            </w:r>
          </w:p>
        </w:tc>
      </w:tr>
    </w:tbl>
    <w:p w14:paraId="48A4B781" w14:textId="77777777" w:rsidR="000D07EA" w:rsidRDefault="000D07EA">
      <w:pPr>
        <w:pStyle w:val="BodyText"/>
      </w:pPr>
    </w:p>
    <w:p w14:paraId="7220A14F" w14:textId="77777777" w:rsidR="000D07EA" w:rsidRDefault="00BE7C89">
      <w:pPr>
        <w:pStyle w:val="Heading6"/>
        <w:ind w:left="0" w:firstLine="0"/>
      </w:pPr>
      <w:bookmarkStart w:id="1004" w:name="_Toc416246798"/>
      <w:bookmarkStart w:id="1005" w:name="_Toc419376638"/>
      <w:bookmarkStart w:id="1006" w:name="_Toc431283563"/>
      <w:r>
        <w:t>Eligi</w:t>
      </w:r>
      <w:bookmarkEnd w:id="1004"/>
      <w:bookmarkEnd w:id="1005"/>
      <w:bookmarkEnd w:id="1006"/>
      <w:r>
        <w:t>bility</w:t>
      </w:r>
    </w:p>
    <w:p w14:paraId="68D93E8B" w14:textId="77777777" w:rsidR="000D07EA" w:rsidRDefault="00BE7C89">
      <w:pPr>
        <w:pStyle w:val="BodyText"/>
        <w:ind w:left="720"/>
      </w:pPr>
      <w:r>
        <w:t xml:space="preserve">The My Plan Business SIM plans are available to new and existing mobile customers connecting to the </w:t>
      </w:r>
      <w:r>
        <w:rPr>
          <w:i/>
        </w:rPr>
        <w:t xml:space="preserve">service </w:t>
      </w:r>
      <w:r>
        <w:t>who pass Optus' credit assessment.</w:t>
      </w:r>
    </w:p>
    <w:p w14:paraId="71415B98" w14:textId="77777777" w:rsidR="000D07EA" w:rsidRDefault="00BE7C89">
      <w:pPr>
        <w:pStyle w:val="BodyText"/>
        <w:ind w:left="720"/>
      </w:pPr>
      <w:r>
        <w:t>Optus Service Providers' customers are not eligible to apply</w:t>
      </w:r>
      <w:r>
        <w:rPr>
          <w:snapToGrid w:val="0"/>
        </w:rPr>
        <w:t>.</w:t>
      </w:r>
    </w:p>
    <w:p w14:paraId="7363D525" w14:textId="77777777" w:rsidR="000D07EA" w:rsidRDefault="00BE7C89">
      <w:pPr>
        <w:pStyle w:val="BodyText"/>
        <w:ind w:left="720"/>
      </w:pPr>
      <w:r>
        <w:t xml:space="preserve">These </w:t>
      </w:r>
      <w:r>
        <w:rPr>
          <w:i/>
        </w:rPr>
        <w:t>plans</w:t>
      </w:r>
      <w:r>
        <w:t xml:space="preserve"> aren't compatible for data use with BlackBerry handsets on operating systems of 7.1 or earlier.</w:t>
      </w:r>
    </w:p>
    <w:p w14:paraId="57F4E141" w14:textId="77777777" w:rsidR="000D07EA" w:rsidRDefault="00BE7C89">
      <w:pPr>
        <w:pStyle w:val="Heading6"/>
        <w:ind w:left="0" w:firstLine="0"/>
      </w:pPr>
      <w:bookmarkStart w:id="1007" w:name="_Toc416246799"/>
      <w:bookmarkStart w:id="1008" w:name="_Toc419376639"/>
      <w:bookmarkStart w:id="1009" w:name="_Toc431283564"/>
      <w:r>
        <w:rPr>
          <w:snapToGrid w:val="0"/>
        </w:rPr>
        <w:t>Minimum Term</w:t>
      </w:r>
      <w:bookmarkEnd w:id="1007"/>
      <w:bookmarkEnd w:id="1008"/>
      <w:bookmarkEnd w:id="1009"/>
    </w:p>
    <w:p w14:paraId="68725B58" w14:textId="77777777" w:rsidR="000D07EA" w:rsidRDefault="00BE7C89">
      <w:pPr>
        <w:pStyle w:val="BodyText"/>
        <w:ind w:left="720"/>
      </w:pPr>
      <w:r>
        <w:t xml:space="preserve">These plans are month to month plans on a </w:t>
      </w:r>
      <w:r>
        <w:rPr>
          <w:i/>
        </w:rPr>
        <w:t>non-fixed length agreement.</w:t>
      </w:r>
    </w:p>
    <w:p w14:paraId="06272BEB" w14:textId="77777777" w:rsidR="000D07EA" w:rsidRDefault="00BE7C89">
      <w:pPr>
        <w:pStyle w:val="Heading6"/>
        <w:ind w:left="0" w:firstLine="0"/>
      </w:pPr>
      <w:bookmarkStart w:id="1010" w:name="_Toc416246800"/>
      <w:bookmarkStart w:id="1011" w:name="_Toc419376640"/>
      <w:bookmarkStart w:id="1012" w:name="_Toc431283565"/>
      <w:r>
        <w:t>What you have to pay us</w:t>
      </w:r>
      <w:bookmarkEnd w:id="1010"/>
      <w:bookmarkEnd w:id="1011"/>
      <w:bookmarkEnd w:id="1012"/>
    </w:p>
    <w:p w14:paraId="27CC8DE5" w14:textId="77777777" w:rsidR="000D07EA" w:rsidRDefault="00BE7C89">
      <w:pPr>
        <w:pStyle w:val="Heading7"/>
      </w:pPr>
      <w:r>
        <w:rPr>
          <w:i/>
        </w:rPr>
        <w:t>You</w:t>
      </w:r>
      <w:r>
        <w:t xml:space="preserve"> must pay </w:t>
      </w:r>
      <w:r>
        <w:rPr>
          <w:i/>
        </w:rPr>
        <w:t>us</w:t>
      </w:r>
      <w:r>
        <w:t xml:space="preserve"> for use of the </w:t>
      </w:r>
      <w:r>
        <w:rPr>
          <w:i/>
        </w:rPr>
        <w:t>service</w:t>
      </w:r>
      <w:r>
        <w:t xml:space="preserve"> at the rates set out in Section 1 of this </w:t>
      </w:r>
      <w:r>
        <w:rPr>
          <w:i/>
        </w:rPr>
        <w:t>standard pricing table</w:t>
      </w:r>
      <w:r>
        <w:t xml:space="preserve"> and for value added service features at the rates set out in </w:t>
      </w:r>
      <w:hyperlink r:id="rId599" w:history="1">
        <w:r>
          <w:rPr>
            <w:rStyle w:val="Hyperlink"/>
            <w:i/>
          </w:rPr>
          <w:t>Appendix Y Value Added Service Features</w:t>
        </w:r>
      </w:hyperlink>
      <w:r>
        <w:t>.</w:t>
      </w:r>
    </w:p>
    <w:p w14:paraId="6D6C5485" w14:textId="77777777" w:rsidR="000D07EA" w:rsidRDefault="00BE7C89">
      <w:pPr>
        <w:pStyle w:val="Heading7"/>
      </w:pPr>
      <w:r>
        <w:t>If there is a flagfall for a particular call type, the charge for these calls is the flagfall amount plus the relevant rate for the call multiplied by the duration of the call.</w:t>
      </w:r>
    </w:p>
    <w:p w14:paraId="6FF35359" w14:textId="77777777" w:rsidR="000D07EA" w:rsidRDefault="00BE7C89">
      <w:pPr>
        <w:pStyle w:val="Heading7"/>
        <w:rPr>
          <w:b/>
        </w:rPr>
      </w:pPr>
      <w:r>
        <w:rPr>
          <w:b/>
        </w:rPr>
        <w:t>Minimum Monthly Charge</w:t>
      </w:r>
    </w:p>
    <w:p w14:paraId="64D15FDC" w14:textId="77777777" w:rsidR="000D07EA" w:rsidRDefault="00BE7C89">
      <w:pPr>
        <w:pStyle w:val="Heading8"/>
      </w:pPr>
      <w:r>
        <w:t xml:space="preserve">Each My Plan Business SIM has a Minimum Monthly Charge amount that </w:t>
      </w:r>
      <w:r>
        <w:rPr>
          <w:i/>
        </w:rPr>
        <w:t>you</w:t>
      </w:r>
      <w:r>
        <w:t xml:space="preserve"> must pay </w:t>
      </w:r>
      <w:r>
        <w:rPr>
          <w:i/>
        </w:rPr>
        <w:t>us</w:t>
      </w:r>
      <w:r>
        <w:t xml:space="preserve"> each month as set out in Table 1 below.</w:t>
      </w:r>
    </w:p>
    <w:p w14:paraId="4F5775BB" w14:textId="77777777" w:rsidR="000D07EA" w:rsidRDefault="00BE7C89">
      <w:pPr>
        <w:pStyle w:val="Heading8"/>
      </w:pPr>
      <w:r>
        <w:rPr>
          <w:i/>
        </w:rPr>
        <w:t>You</w:t>
      </w:r>
      <w:r>
        <w:t xml:space="preserve"> may purchase a mobile phone (or 'handset') with a 1 month, 12 month or 24 month </w:t>
      </w:r>
      <w:r>
        <w:rPr>
          <w:i/>
        </w:rPr>
        <w:t>equipment term</w:t>
      </w:r>
      <w:r>
        <w:t xml:space="preserve"> under a </w:t>
      </w:r>
      <w:r>
        <w:rPr>
          <w:i/>
        </w:rPr>
        <w:t>mobile equipment payment plan</w:t>
      </w:r>
      <w:r>
        <w:t xml:space="preserve"> (set out in </w:t>
      </w:r>
      <w:hyperlink r:id="rId600" w:history="1">
        <w:r>
          <w:rPr>
            <w:rStyle w:val="Hyperlink"/>
            <w:i/>
          </w:rPr>
          <w:t>Appendix D</w:t>
        </w:r>
      </w:hyperlink>
      <w:r>
        <w:t>).</w:t>
      </w:r>
    </w:p>
    <w:p w14:paraId="694C559B" w14:textId="77777777" w:rsidR="000D07EA" w:rsidRDefault="00BE7C89">
      <w:pPr>
        <w:pStyle w:val="Heading6"/>
        <w:ind w:left="0" w:firstLine="0"/>
        <w:rPr>
          <w:snapToGrid w:val="0"/>
        </w:rPr>
      </w:pPr>
      <w:bookmarkStart w:id="1013" w:name="_Toc416246801"/>
      <w:bookmarkStart w:id="1014" w:name="_Toc419376641"/>
      <w:bookmarkStart w:id="1015" w:name="_Toc431283566"/>
      <w:r>
        <w:rPr>
          <w:snapToGrid w:val="0"/>
        </w:rPr>
        <w:t>How My Plan Business SIM works</w:t>
      </w:r>
      <w:bookmarkEnd w:id="1013"/>
      <w:bookmarkEnd w:id="1014"/>
      <w:bookmarkEnd w:id="1015"/>
    </w:p>
    <w:p w14:paraId="307D10DF" w14:textId="77777777" w:rsidR="000D07EA" w:rsidRDefault="00BE7C89">
      <w:pPr>
        <w:pStyle w:val="Heading7"/>
      </w:pPr>
      <w:r>
        <w:t xml:space="preserve">Each My Plan Business SIM has unlimited minutes to use on standard national calls to landlines and mobiles, 13/1300 numbers and voicemail retrievals and Included Data (for mobile internet use) to share with other services on a My Plan Plus, My Plan Plus SIM Only, My Plan Business (including Tech Fund), My Plan Business SIM, My Mobile Broadband Plus, Mobile Broadband Business or Shared Data Plan on the same account. </w:t>
      </w:r>
    </w:p>
    <w:p w14:paraId="48FD14A0" w14:textId="77777777" w:rsidR="000D07EA" w:rsidRDefault="00BE7C89">
      <w:pPr>
        <w:pStyle w:val="Heading7"/>
      </w:pPr>
      <w:r>
        <w:t>These plans also include unlimited standard national SMS/MMS and unlimited standard International SMS/MMS to selected countries. The $45/$60 plans have an amount of included international minutes to use on standard international calls to selected countries.</w:t>
      </w:r>
    </w:p>
    <w:p w14:paraId="300D2142" w14:textId="77777777" w:rsidR="000D07EA" w:rsidRDefault="00BE7C89">
      <w:pPr>
        <w:pStyle w:val="Heading7"/>
      </w:pPr>
      <w:r>
        <w:t>Data usage is calculated in one kilobyte increments. Plans that don't have unlimited minutes calculate usage in one minute increments. International minutes are billed in one minute increments.</w:t>
      </w:r>
    </w:p>
    <w:p w14:paraId="02C1A05F" w14:textId="77777777" w:rsidR="000D07EA" w:rsidRDefault="00BE7C89">
      <w:pPr>
        <w:pStyle w:val="Heading7"/>
      </w:pPr>
      <w:r>
        <w:t xml:space="preserve">If </w:t>
      </w:r>
      <w:r>
        <w:rPr>
          <w:i/>
        </w:rPr>
        <w:t>you</w:t>
      </w:r>
      <w:r>
        <w:t xml:space="preserve"> exceed your included shareable data you'll automatically be charged $10 for each additional 1GB of data ("Additional Data") that you use (or part thereof). Previously you could use up to 60GB extra on your account but from 02/08/2015, we're increasing it to 150GB of extra data per account each month. Your service/s may then be restricted or we may continue to charge you at these rates.</w:t>
      </w:r>
    </w:p>
    <w:p w14:paraId="59320340" w14:textId="77777777" w:rsidR="000D07EA" w:rsidRDefault="00BE7C89">
      <w:pPr>
        <w:pStyle w:val="Heading7"/>
      </w:pPr>
      <w:r>
        <w:t xml:space="preserve">Any unused portion of </w:t>
      </w:r>
      <w:r>
        <w:rPr>
          <w:i/>
        </w:rPr>
        <w:t>your</w:t>
      </w:r>
      <w:r>
        <w:t xml:space="preserve"> </w:t>
      </w:r>
      <w:r>
        <w:rPr>
          <w:i/>
        </w:rPr>
        <w:t>plan's</w:t>
      </w:r>
      <w:r>
        <w:t xml:space="preserve"> Included Minutes, Included or Additional Data or International Minutes expires at the end of each month and does not roll over into the next month.</w:t>
      </w:r>
    </w:p>
    <w:p w14:paraId="6EB38491" w14:textId="77777777" w:rsidR="000D07EA" w:rsidRDefault="00BE7C89">
      <w:pPr>
        <w:pStyle w:val="Heading7"/>
      </w:pPr>
      <w:r>
        <w:rPr>
          <w:i/>
        </w:rPr>
        <w:lastRenderedPageBreak/>
        <w:t>You</w:t>
      </w:r>
      <w:r>
        <w:t xml:space="preserve"> must pay </w:t>
      </w:r>
      <w:r>
        <w:rPr>
          <w:i/>
        </w:rPr>
        <w:t>us</w:t>
      </w:r>
      <w:r>
        <w:t xml:space="preserve"> for use of any services that are not included in </w:t>
      </w:r>
      <w:r>
        <w:rPr>
          <w:i/>
        </w:rPr>
        <w:t>your</w:t>
      </w:r>
      <w:r>
        <w:t xml:space="preserve"> plan's inclusions, examples of which are set out in Table 2 below.</w:t>
      </w:r>
    </w:p>
    <w:p w14:paraId="77F1A91B" w14:textId="77777777" w:rsidR="000D07EA" w:rsidRDefault="00BE7C89">
      <w:pPr>
        <w:pStyle w:val="Heading6"/>
        <w:ind w:left="0" w:firstLine="0"/>
        <w:rPr>
          <w:snapToGrid w:val="0"/>
        </w:rPr>
      </w:pPr>
      <w:bookmarkStart w:id="1016" w:name="_Toc416246802"/>
      <w:bookmarkStart w:id="1017" w:name="_Toc419376642"/>
      <w:bookmarkStart w:id="1018" w:name="_Toc431283567"/>
      <w:r>
        <w:rPr>
          <w:snapToGrid w:val="0"/>
        </w:rPr>
        <w:t>Data Sharing</w:t>
      </w:r>
      <w:bookmarkEnd w:id="1016"/>
      <w:bookmarkEnd w:id="1017"/>
      <w:bookmarkEnd w:id="1018"/>
    </w:p>
    <w:p w14:paraId="0CF16986" w14:textId="77777777" w:rsidR="000D07EA" w:rsidRDefault="00BE7C89">
      <w:pPr>
        <w:pStyle w:val="Heading7"/>
        <w:rPr>
          <w:snapToGrid w:val="0"/>
        </w:rPr>
      </w:pPr>
      <w:bookmarkStart w:id="1019" w:name="_Toc416246803"/>
      <w:bookmarkStart w:id="1020" w:name="_Toc419376643"/>
      <w:r>
        <w:rPr>
          <w:snapToGrid w:val="0"/>
        </w:rPr>
        <w:t>If you have more than one My Plan Plus, My Plan Plus SIM Only, My Plan Business (including Tech Fund), My Plan Business SIM, My Mobile Broadband Plus or Mobile Broadband Business on the same billing account, the included data will combine into one data pool, which will be shared by all eligible services on that account.</w:t>
      </w:r>
    </w:p>
    <w:p w14:paraId="2469DEC5" w14:textId="77777777" w:rsidR="000D07EA" w:rsidRDefault="00BE7C89">
      <w:pPr>
        <w:pStyle w:val="Heading7"/>
        <w:rPr>
          <w:snapToGrid w:val="0"/>
        </w:rPr>
      </w:pPr>
      <w:r>
        <w:rPr>
          <w:i/>
          <w:snapToGrid w:val="0"/>
        </w:rPr>
        <w:t>You</w:t>
      </w:r>
      <w:r>
        <w:rPr>
          <w:snapToGrid w:val="0"/>
        </w:rPr>
        <w:t xml:space="preserve"> can also share the Included Data in </w:t>
      </w:r>
      <w:r>
        <w:rPr>
          <w:i/>
          <w:snapToGrid w:val="0"/>
        </w:rPr>
        <w:t>your</w:t>
      </w:r>
      <w:r>
        <w:rPr>
          <w:snapToGrid w:val="0"/>
        </w:rPr>
        <w:t xml:space="preserve"> My Plan Business SIM plan with up to five (5) SIM-ready mobile broadband devices (eg tablets, USB modems and laptops). </w:t>
      </w:r>
      <w:r>
        <w:rPr>
          <w:i/>
          <w:snapToGrid w:val="0"/>
        </w:rPr>
        <w:t>You</w:t>
      </w:r>
      <w:r>
        <w:rPr>
          <w:snapToGrid w:val="0"/>
        </w:rPr>
        <w:t xml:space="preserve"> must connect these mobile broadband devices to Shared Data Plans which have a $5 set up fee each and no ongoing monthly charges. </w:t>
      </w:r>
    </w:p>
    <w:p w14:paraId="0C94020A" w14:textId="77777777" w:rsidR="000D07EA" w:rsidRDefault="00BE7C89">
      <w:pPr>
        <w:pStyle w:val="Heading7"/>
        <w:rPr>
          <w:snapToGrid w:val="0"/>
        </w:rPr>
      </w:pPr>
      <w:r>
        <w:rPr>
          <w:i/>
          <w:snapToGrid w:val="0"/>
        </w:rPr>
        <w:t>We</w:t>
      </w:r>
      <w:r>
        <w:rPr>
          <w:snapToGrid w:val="0"/>
        </w:rPr>
        <w:t xml:space="preserve"> may place a limit on the number of Shared Data Plans </w:t>
      </w:r>
      <w:r>
        <w:rPr>
          <w:i/>
          <w:snapToGrid w:val="0"/>
        </w:rPr>
        <w:t>you</w:t>
      </w:r>
      <w:r>
        <w:rPr>
          <w:snapToGrid w:val="0"/>
        </w:rPr>
        <w:t xml:space="preserve"> can have, based on </w:t>
      </w:r>
      <w:r>
        <w:rPr>
          <w:i/>
          <w:snapToGrid w:val="0"/>
        </w:rPr>
        <w:t>our</w:t>
      </w:r>
      <w:r>
        <w:rPr>
          <w:snapToGrid w:val="0"/>
        </w:rPr>
        <w:t xml:space="preserve"> credit criteria.</w:t>
      </w:r>
    </w:p>
    <w:p w14:paraId="251EDE46" w14:textId="77777777" w:rsidR="000D07EA" w:rsidRDefault="00BE7C89">
      <w:pPr>
        <w:pStyle w:val="Heading7"/>
        <w:rPr>
          <w:snapToGrid w:val="0"/>
        </w:rPr>
      </w:pPr>
      <w:r>
        <w:rPr>
          <w:snapToGrid w:val="0"/>
        </w:rPr>
        <w:t>Shared Data Plans do not have any Included Data, and cannot be used to make calls.</w:t>
      </w:r>
    </w:p>
    <w:p w14:paraId="2C41F674" w14:textId="77777777" w:rsidR="000D07EA" w:rsidRDefault="00BE7C89">
      <w:pPr>
        <w:pStyle w:val="Heading7"/>
        <w:rPr>
          <w:snapToGrid w:val="0"/>
        </w:rPr>
      </w:pPr>
      <w:r>
        <w:rPr>
          <w:i/>
          <w:snapToGrid w:val="0"/>
        </w:rPr>
        <w:t>You</w:t>
      </w:r>
      <w:r>
        <w:rPr>
          <w:snapToGrid w:val="0"/>
        </w:rPr>
        <w:t xml:space="preserve"> can purchase one mobile broadband device per Shared Data Plan, and pay for it in full on </w:t>
      </w:r>
      <w:r>
        <w:rPr>
          <w:i/>
          <w:snapToGrid w:val="0"/>
        </w:rPr>
        <w:t>your</w:t>
      </w:r>
      <w:r>
        <w:rPr>
          <w:snapToGrid w:val="0"/>
        </w:rPr>
        <w:t xml:space="preserve"> first bill, or pay it off over 12 or 24 months on a </w:t>
      </w:r>
      <w:r>
        <w:rPr>
          <w:i/>
          <w:snapToGrid w:val="0"/>
        </w:rPr>
        <w:t>Mobile Equipment Payment Plan</w:t>
      </w:r>
      <w:r>
        <w:rPr>
          <w:snapToGrid w:val="0"/>
        </w:rPr>
        <w:t xml:space="preserve"> (see </w:t>
      </w:r>
      <w:hyperlink r:id="rId601" w:history="1">
        <w:r>
          <w:rPr>
            <w:rStyle w:val="Hyperlink"/>
            <w:i/>
          </w:rPr>
          <w:t>Appendix D</w:t>
        </w:r>
      </w:hyperlink>
      <w:r>
        <w:rPr>
          <w:snapToGrid w:val="0"/>
        </w:rPr>
        <w:t>).</w:t>
      </w:r>
    </w:p>
    <w:p w14:paraId="79987D81" w14:textId="77777777" w:rsidR="000D07EA" w:rsidRDefault="00BE7C89">
      <w:pPr>
        <w:pStyle w:val="Heading7"/>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services on any</w:t>
      </w:r>
      <w:r>
        <w:t xml:space="preserve"> My Plan Plus</w:t>
      </w:r>
      <w:r>
        <w:rPr>
          <w:lang w:eastAsia="en-AU"/>
        </w:rPr>
        <w:t>, My Plan Plus SIM Only, My Plan Business (including Tech Fund), My Plan Business SIM, My Mobile Broadband Plus or Mobile Broadband Business plans</w:t>
      </w:r>
      <w:r>
        <w:rPr>
          <w:snapToGrid w:val="0"/>
        </w:rPr>
        <w:t xml:space="preserve"> to share data, they need to be on separate billing accounts.</w:t>
      </w:r>
    </w:p>
    <w:p w14:paraId="6A13B4FF" w14:textId="77777777" w:rsidR="000D07EA" w:rsidRDefault="00BE7C89">
      <w:pPr>
        <w:pStyle w:val="Heading7"/>
        <w:rPr>
          <w:snapToGrid w:val="0"/>
        </w:rPr>
      </w:pPr>
      <w:r>
        <w:rPr>
          <w:snapToGrid w:val="0"/>
        </w:rPr>
        <w:t>Data sharing is only available within Australia.</w:t>
      </w:r>
    </w:p>
    <w:p w14:paraId="111393A6" w14:textId="77777777" w:rsidR="000D07EA" w:rsidRDefault="00BE7C89">
      <w:pPr>
        <w:pStyle w:val="Heading6"/>
        <w:ind w:left="0" w:firstLine="0"/>
        <w:rPr>
          <w:snapToGrid w:val="0"/>
        </w:rPr>
      </w:pPr>
      <w:bookmarkStart w:id="1021" w:name="_Toc431283568"/>
      <w:r>
        <w:rPr>
          <w:snapToGrid w:val="0"/>
        </w:rPr>
        <w:t>International Minutes</w:t>
      </w:r>
      <w:bookmarkEnd w:id="1019"/>
      <w:bookmarkEnd w:id="1020"/>
      <w:bookmarkEnd w:id="1021"/>
    </w:p>
    <w:p w14:paraId="37140832" w14:textId="77777777" w:rsidR="000D07EA" w:rsidRDefault="00BE7C89">
      <w:pPr>
        <w:pStyle w:val="BodyText"/>
        <w:ind w:left="720"/>
      </w:pPr>
      <w:r>
        <w:t>The $45/$60 My Plan Business SIM includes up to 150/300 international minutes (respectively) for standard calls to mobiles and fixed lines in selected countries. For a list of selected countries see Table 3 below.</w:t>
      </w:r>
    </w:p>
    <w:p w14:paraId="168B252E" w14:textId="77777777" w:rsidR="000D07EA" w:rsidRDefault="00BE7C89">
      <w:pPr>
        <w:pStyle w:val="BodyText"/>
        <w:ind w:left="720"/>
      </w:pPr>
      <w:r>
        <w:t>Calls are charged per minute. When included minutes for calls to selected countries are used up, standard 'yes' international call charges apply.</w:t>
      </w:r>
    </w:p>
    <w:p w14:paraId="731E2655" w14:textId="77777777" w:rsidR="000D07EA" w:rsidRDefault="00BE7C89">
      <w:pPr>
        <w:pStyle w:val="Heading6"/>
        <w:ind w:left="0" w:firstLine="0"/>
        <w:rPr>
          <w:snapToGrid w:val="0"/>
        </w:rPr>
      </w:pPr>
      <w:bookmarkStart w:id="1022" w:name="_Toc416246804"/>
      <w:bookmarkStart w:id="1023" w:name="_Toc419376644"/>
      <w:bookmarkStart w:id="1024" w:name="_Toc431283569"/>
      <w:r>
        <w:rPr>
          <w:snapToGrid w:val="0"/>
        </w:rPr>
        <w:t>Unlimited standard national SMS and MMS</w:t>
      </w:r>
      <w:bookmarkEnd w:id="1022"/>
      <w:bookmarkEnd w:id="1023"/>
      <w:bookmarkEnd w:id="1024"/>
    </w:p>
    <w:p w14:paraId="66B175CD" w14:textId="77777777" w:rsidR="000D07EA" w:rsidRDefault="00BE7C89">
      <w:pPr>
        <w:pStyle w:val="BodyText"/>
        <w:ind w:left="720"/>
      </w:pPr>
      <w:r>
        <w:t>You may send standard unlimited SMS and MMS to Australian mobiles from within Australia.</w:t>
      </w:r>
    </w:p>
    <w:p w14:paraId="41011B1B" w14:textId="77777777" w:rsidR="000D07EA" w:rsidRDefault="00BE7C89">
      <w:pPr>
        <w:pStyle w:val="BodyText"/>
        <w:ind w:left="720"/>
      </w:pPr>
      <w:r>
        <w:t xml:space="preserve">Unlimited standard national SMS and MMS are only available for personal use and ordinary business use and are not to be used for a commercial or non-ordinary purpose as set out in the Fair Go Policy. For further details refer to </w:t>
      </w:r>
      <w:hyperlink r:id="rId602" w:history="1">
        <w:r>
          <w:rPr>
            <w:rStyle w:val="Hyperlink"/>
            <w:i/>
          </w:rPr>
          <w:t>Appendix S</w:t>
        </w:r>
      </w:hyperlink>
      <w:r>
        <w:t>.</w:t>
      </w:r>
    </w:p>
    <w:p w14:paraId="6279A848" w14:textId="77777777" w:rsidR="000D07EA" w:rsidRDefault="00BE7C89">
      <w:pPr>
        <w:pStyle w:val="Heading6"/>
        <w:ind w:left="0" w:firstLine="0"/>
        <w:rPr>
          <w:snapToGrid w:val="0"/>
        </w:rPr>
      </w:pPr>
      <w:bookmarkStart w:id="1025" w:name="_Toc416246805"/>
      <w:bookmarkStart w:id="1026" w:name="_Toc419376645"/>
      <w:bookmarkStart w:id="1027" w:name="_Toc431283570"/>
      <w:r>
        <w:rPr>
          <w:snapToGrid w:val="0"/>
        </w:rPr>
        <w:t>Unlimited standard international SMS and MMS</w:t>
      </w:r>
      <w:bookmarkEnd w:id="1025"/>
      <w:bookmarkEnd w:id="1026"/>
      <w:bookmarkEnd w:id="1027"/>
    </w:p>
    <w:p w14:paraId="7039CB50" w14:textId="77777777" w:rsidR="000D07EA" w:rsidRDefault="00BE7C89">
      <w:pPr>
        <w:pStyle w:val="BodyText"/>
        <w:ind w:left="720"/>
      </w:pPr>
      <w:r>
        <w:t>You may send unlimited standard SMS and MMS to selected countries as set out in Table 3 below.</w:t>
      </w:r>
    </w:p>
    <w:p w14:paraId="7439B13F" w14:textId="77777777" w:rsidR="000D07EA" w:rsidRDefault="00BE7C89">
      <w:pPr>
        <w:pStyle w:val="BodyText"/>
        <w:ind w:left="720"/>
      </w:pPr>
      <w:r>
        <w:t xml:space="preserve">Unlimited standard SMS and MMS are only available for personal and ordinary business use and are not to be used for a commercial or non-ordinary purpose as set out in the Fair Go Policy. For further details refer to </w:t>
      </w:r>
      <w:hyperlink r:id="rId603" w:history="1">
        <w:r>
          <w:rPr>
            <w:rStyle w:val="Hyperlink"/>
            <w:i/>
          </w:rPr>
          <w:t>Appendix S</w:t>
        </w:r>
      </w:hyperlink>
    </w:p>
    <w:p w14:paraId="6451C162" w14:textId="77777777" w:rsidR="000D07EA" w:rsidRDefault="00BE7C89">
      <w:pPr>
        <w:pStyle w:val="BodyText"/>
        <w:spacing w:before="240"/>
        <w:ind w:left="720"/>
        <w:rPr>
          <w:b/>
        </w:rPr>
      </w:pPr>
      <w:r>
        <w:rPr>
          <w:b/>
        </w:rPr>
        <w:t>Table 1 –Plan Inclusions and Charges</w:t>
      </w:r>
    </w:p>
    <w:tbl>
      <w:tblPr>
        <w:tblW w:w="4632"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629"/>
        <w:gridCol w:w="1935"/>
        <w:gridCol w:w="1937"/>
        <w:gridCol w:w="1937"/>
      </w:tblGrid>
      <w:tr w:rsidR="000D07EA" w14:paraId="47782B8D" w14:textId="77777777" w:rsidTr="003D51BB">
        <w:trPr>
          <w:tblHeader/>
        </w:trPr>
        <w:tc>
          <w:tcPr>
            <w:tcW w:w="1923" w:type="pct"/>
            <w:shd w:val="clear" w:color="auto" w:fill="auto"/>
          </w:tcPr>
          <w:p w14:paraId="2F74C46A" w14:textId="77777777" w:rsidR="000D07EA" w:rsidRDefault="000D07EA">
            <w:pPr>
              <w:pStyle w:val="BodyText"/>
              <w:spacing w:before="100" w:after="100"/>
            </w:pPr>
          </w:p>
        </w:tc>
        <w:tc>
          <w:tcPr>
            <w:tcW w:w="1025" w:type="pct"/>
          </w:tcPr>
          <w:p w14:paraId="2D9FDAFE" w14:textId="77777777" w:rsidR="000D07EA" w:rsidRDefault="00BE7C89">
            <w:pPr>
              <w:pStyle w:val="BodyText"/>
              <w:spacing w:before="100" w:after="100"/>
              <w:jc w:val="center"/>
              <w:rPr>
                <w:b/>
              </w:rPr>
            </w:pPr>
            <w:r>
              <w:rPr>
                <w:b/>
              </w:rPr>
              <w:t>$30 My Plan Business SIM</w:t>
            </w:r>
          </w:p>
        </w:tc>
        <w:tc>
          <w:tcPr>
            <w:tcW w:w="1026" w:type="pct"/>
            <w:shd w:val="clear" w:color="auto" w:fill="auto"/>
          </w:tcPr>
          <w:p w14:paraId="68A11CDC" w14:textId="77777777" w:rsidR="000D07EA" w:rsidRDefault="00BE7C89">
            <w:pPr>
              <w:pStyle w:val="BodyText"/>
              <w:spacing w:before="100" w:after="100"/>
              <w:jc w:val="center"/>
              <w:rPr>
                <w:b/>
              </w:rPr>
            </w:pPr>
            <w:r>
              <w:rPr>
                <w:b/>
              </w:rPr>
              <w:t>$45 My Plan Business SIM</w:t>
            </w:r>
          </w:p>
        </w:tc>
        <w:tc>
          <w:tcPr>
            <w:tcW w:w="1026" w:type="pct"/>
            <w:shd w:val="clear" w:color="auto" w:fill="auto"/>
          </w:tcPr>
          <w:p w14:paraId="07DD14EB" w14:textId="77777777" w:rsidR="000D07EA" w:rsidRDefault="00BE7C89">
            <w:pPr>
              <w:pStyle w:val="BodyText"/>
              <w:spacing w:before="100" w:after="100"/>
              <w:jc w:val="center"/>
              <w:rPr>
                <w:b/>
              </w:rPr>
            </w:pPr>
            <w:r>
              <w:rPr>
                <w:b/>
              </w:rPr>
              <w:t>$60 My Plan Business SIM</w:t>
            </w:r>
          </w:p>
        </w:tc>
      </w:tr>
      <w:tr w:rsidR="000D07EA" w14:paraId="48F13004" w14:textId="77777777" w:rsidTr="003D51BB">
        <w:tc>
          <w:tcPr>
            <w:tcW w:w="1923" w:type="pct"/>
            <w:shd w:val="clear" w:color="auto" w:fill="auto"/>
          </w:tcPr>
          <w:p w14:paraId="682B9231" w14:textId="77777777" w:rsidR="000D07EA" w:rsidRDefault="00BE7C89">
            <w:pPr>
              <w:pStyle w:val="BodyText"/>
              <w:spacing w:before="100" w:after="100"/>
              <w:rPr>
                <w:b/>
              </w:rPr>
            </w:pPr>
            <w:r>
              <w:rPr>
                <w:b/>
                <w:bCs/>
              </w:rPr>
              <w:t>Minimum Monthly charge</w:t>
            </w:r>
          </w:p>
        </w:tc>
        <w:tc>
          <w:tcPr>
            <w:tcW w:w="1025" w:type="pct"/>
          </w:tcPr>
          <w:p w14:paraId="6A945710" w14:textId="77777777" w:rsidR="000D07EA" w:rsidRDefault="00BE7C89">
            <w:pPr>
              <w:pStyle w:val="BodyText"/>
              <w:spacing w:before="100" w:after="100"/>
              <w:jc w:val="center"/>
            </w:pPr>
            <w:r>
              <w:t>$30</w:t>
            </w:r>
          </w:p>
        </w:tc>
        <w:tc>
          <w:tcPr>
            <w:tcW w:w="1026" w:type="pct"/>
            <w:shd w:val="clear" w:color="auto" w:fill="auto"/>
          </w:tcPr>
          <w:p w14:paraId="57DCE4EA" w14:textId="77777777" w:rsidR="000D07EA" w:rsidRDefault="00BE7C89">
            <w:pPr>
              <w:pStyle w:val="BodyText"/>
              <w:spacing w:before="100" w:after="100"/>
              <w:jc w:val="center"/>
            </w:pPr>
            <w:r>
              <w:t>$45</w:t>
            </w:r>
          </w:p>
        </w:tc>
        <w:tc>
          <w:tcPr>
            <w:tcW w:w="1026" w:type="pct"/>
            <w:shd w:val="clear" w:color="auto" w:fill="auto"/>
          </w:tcPr>
          <w:p w14:paraId="5046D89F" w14:textId="77777777" w:rsidR="000D07EA" w:rsidRDefault="00BE7C89">
            <w:pPr>
              <w:pStyle w:val="BodyText"/>
              <w:spacing w:before="100" w:after="100"/>
              <w:jc w:val="center"/>
            </w:pPr>
            <w:r>
              <w:t>$60</w:t>
            </w:r>
          </w:p>
        </w:tc>
      </w:tr>
      <w:tr w:rsidR="000D07EA" w14:paraId="746B3091" w14:textId="77777777" w:rsidTr="003D51BB">
        <w:tc>
          <w:tcPr>
            <w:tcW w:w="1923" w:type="pct"/>
            <w:shd w:val="clear" w:color="auto" w:fill="auto"/>
          </w:tcPr>
          <w:p w14:paraId="67CBE4A4" w14:textId="77777777" w:rsidR="000D07EA" w:rsidRDefault="00BE7C89">
            <w:pPr>
              <w:pStyle w:val="BodyText"/>
              <w:spacing w:before="100" w:after="100"/>
              <w:rPr>
                <w:b/>
              </w:rPr>
            </w:pPr>
            <w:r>
              <w:rPr>
                <w:b/>
                <w:bCs/>
              </w:rPr>
              <w:lastRenderedPageBreak/>
              <w:t>Included Data</w:t>
            </w:r>
          </w:p>
        </w:tc>
        <w:tc>
          <w:tcPr>
            <w:tcW w:w="1025" w:type="pct"/>
          </w:tcPr>
          <w:p w14:paraId="140F4398" w14:textId="77777777" w:rsidR="000D07EA" w:rsidRDefault="00BE7C89">
            <w:pPr>
              <w:pStyle w:val="BodyText"/>
              <w:spacing w:before="100" w:after="100"/>
              <w:jc w:val="center"/>
            </w:pPr>
            <w:r>
              <w:t>500MB</w:t>
            </w:r>
          </w:p>
        </w:tc>
        <w:tc>
          <w:tcPr>
            <w:tcW w:w="1026" w:type="pct"/>
            <w:shd w:val="clear" w:color="auto" w:fill="auto"/>
          </w:tcPr>
          <w:p w14:paraId="28A0D3CB" w14:textId="77777777" w:rsidR="000D07EA" w:rsidRDefault="00BE7C89">
            <w:pPr>
              <w:pStyle w:val="BodyText"/>
              <w:spacing w:before="100" w:after="100"/>
              <w:jc w:val="center"/>
            </w:pPr>
            <w:r>
              <w:t>3GB</w:t>
            </w:r>
          </w:p>
        </w:tc>
        <w:tc>
          <w:tcPr>
            <w:tcW w:w="1026" w:type="pct"/>
            <w:shd w:val="clear" w:color="auto" w:fill="auto"/>
          </w:tcPr>
          <w:p w14:paraId="3CE9E7B7" w14:textId="77777777" w:rsidR="000D07EA" w:rsidRDefault="00BE7C89">
            <w:pPr>
              <w:pStyle w:val="BodyText"/>
              <w:spacing w:before="100" w:after="100"/>
              <w:jc w:val="center"/>
            </w:pPr>
            <w:r>
              <w:t>6GB</w:t>
            </w:r>
          </w:p>
        </w:tc>
      </w:tr>
      <w:tr w:rsidR="000D07EA" w14:paraId="27B4CB7E" w14:textId="77777777" w:rsidTr="003D51BB">
        <w:tc>
          <w:tcPr>
            <w:tcW w:w="1923" w:type="pct"/>
            <w:shd w:val="clear" w:color="auto" w:fill="auto"/>
          </w:tcPr>
          <w:p w14:paraId="4F3329C1" w14:textId="77777777" w:rsidR="000D07EA" w:rsidRDefault="00BE7C89">
            <w:pPr>
              <w:pStyle w:val="BodyText"/>
              <w:spacing w:before="100" w:after="100"/>
              <w:rPr>
                <w:b/>
                <w:bCs/>
              </w:rPr>
            </w:pPr>
            <w:r>
              <w:rPr>
                <w:b/>
                <w:bCs/>
              </w:rPr>
              <w:t xml:space="preserve">Included Minutes </w:t>
            </w:r>
          </w:p>
          <w:p w14:paraId="78D5AD59" w14:textId="77777777" w:rsidR="000D07EA" w:rsidRDefault="00BE7C89">
            <w:pPr>
              <w:pStyle w:val="BodyText"/>
              <w:spacing w:before="100" w:after="100"/>
            </w:pPr>
            <w:r>
              <w:t>for standard national calls to landlines and mobiles, 1300 numbers and voicemail, within Australia</w:t>
            </w:r>
          </w:p>
        </w:tc>
        <w:tc>
          <w:tcPr>
            <w:tcW w:w="1025" w:type="pct"/>
          </w:tcPr>
          <w:p w14:paraId="3868202D" w14:textId="77777777" w:rsidR="000D07EA" w:rsidRDefault="00BE7C89">
            <w:pPr>
              <w:pStyle w:val="BodyText"/>
              <w:spacing w:before="100" w:after="100"/>
              <w:jc w:val="center"/>
            </w:pPr>
            <w:r>
              <w:t>Unlimited</w:t>
            </w:r>
          </w:p>
        </w:tc>
        <w:tc>
          <w:tcPr>
            <w:tcW w:w="1026" w:type="pct"/>
            <w:shd w:val="clear" w:color="auto" w:fill="auto"/>
          </w:tcPr>
          <w:p w14:paraId="0DA7271B" w14:textId="77777777" w:rsidR="000D07EA" w:rsidRDefault="00BE7C89">
            <w:pPr>
              <w:pStyle w:val="BodyText"/>
              <w:spacing w:before="100" w:after="100"/>
              <w:jc w:val="center"/>
            </w:pPr>
            <w:r>
              <w:t>Unlimited</w:t>
            </w:r>
          </w:p>
        </w:tc>
        <w:tc>
          <w:tcPr>
            <w:tcW w:w="1026" w:type="pct"/>
            <w:shd w:val="clear" w:color="auto" w:fill="auto"/>
          </w:tcPr>
          <w:p w14:paraId="6093F898" w14:textId="77777777" w:rsidR="000D07EA" w:rsidRDefault="00BE7C89">
            <w:pPr>
              <w:pStyle w:val="BodyText"/>
              <w:spacing w:before="100" w:after="100"/>
              <w:jc w:val="center"/>
            </w:pPr>
            <w:r>
              <w:t>Unlimited</w:t>
            </w:r>
          </w:p>
        </w:tc>
      </w:tr>
      <w:tr w:rsidR="000D07EA" w14:paraId="4190F0B5" w14:textId="77777777" w:rsidTr="003D51BB">
        <w:tc>
          <w:tcPr>
            <w:tcW w:w="1923" w:type="pct"/>
            <w:shd w:val="clear" w:color="auto" w:fill="auto"/>
          </w:tcPr>
          <w:p w14:paraId="5DEF664E" w14:textId="77777777" w:rsidR="000D07EA" w:rsidRDefault="00BE7C89">
            <w:pPr>
              <w:pStyle w:val="BodyText"/>
              <w:spacing w:before="100" w:after="100"/>
              <w:rPr>
                <w:b/>
                <w:bCs/>
              </w:rPr>
            </w:pPr>
            <w:r>
              <w:rPr>
                <w:b/>
                <w:bCs/>
              </w:rPr>
              <w:t>Included International Minutes</w:t>
            </w:r>
          </w:p>
          <w:p w14:paraId="4434ADC1" w14:textId="77777777" w:rsidR="000D07EA" w:rsidRDefault="00BE7C89">
            <w:pPr>
              <w:pStyle w:val="BodyText"/>
              <w:spacing w:before="100" w:after="100"/>
              <w:rPr>
                <w:bCs/>
              </w:rPr>
            </w:pPr>
            <w:r>
              <w:t>Standard international calls to landlines and mobiles to selected countries</w:t>
            </w:r>
          </w:p>
        </w:tc>
        <w:tc>
          <w:tcPr>
            <w:tcW w:w="1025" w:type="pct"/>
          </w:tcPr>
          <w:p w14:paraId="33FAA2C6" w14:textId="77777777" w:rsidR="000D07EA" w:rsidRDefault="00BE7C89">
            <w:pPr>
              <w:pStyle w:val="BodyText"/>
              <w:spacing w:before="100" w:after="100"/>
              <w:jc w:val="center"/>
            </w:pPr>
            <w:r>
              <w:t>Not included</w:t>
            </w:r>
          </w:p>
        </w:tc>
        <w:tc>
          <w:tcPr>
            <w:tcW w:w="1026" w:type="pct"/>
            <w:shd w:val="clear" w:color="auto" w:fill="auto"/>
          </w:tcPr>
          <w:p w14:paraId="314361B8" w14:textId="77777777" w:rsidR="000D07EA" w:rsidRDefault="00BE7C89">
            <w:pPr>
              <w:pStyle w:val="BodyText"/>
              <w:spacing w:before="100" w:after="100"/>
              <w:jc w:val="center"/>
            </w:pPr>
            <w:r>
              <w:rPr>
                <w:bCs/>
              </w:rPr>
              <w:t>Up to 150 mins</w:t>
            </w:r>
          </w:p>
        </w:tc>
        <w:tc>
          <w:tcPr>
            <w:tcW w:w="1026" w:type="pct"/>
            <w:shd w:val="clear" w:color="auto" w:fill="auto"/>
          </w:tcPr>
          <w:p w14:paraId="010896E1" w14:textId="77777777" w:rsidR="000D07EA" w:rsidRDefault="00BE7C89">
            <w:pPr>
              <w:pStyle w:val="BodyText"/>
              <w:spacing w:before="100" w:after="100"/>
              <w:jc w:val="center"/>
            </w:pPr>
            <w:r>
              <w:rPr>
                <w:bCs/>
              </w:rPr>
              <w:t>Up to 300 mins</w:t>
            </w:r>
          </w:p>
        </w:tc>
      </w:tr>
      <w:tr w:rsidR="000D07EA" w14:paraId="4D272FAF" w14:textId="77777777" w:rsidTr="003D51BB">
        <w:tc>
          <w:tcPr>
            <w:tcW w:w="1923" w:type="pct"/>
            <w:shd w:val="clear" w:color="auto" w:fill="auto"/>
          </w:tcPr>
          <w:p w14:paraId="706F27B8" w14:textId="77777777" w:rsidR="000D07EA" w:rsidRDefault="00BE7C89">
            <w:pPr>
              <w:pStyle w:val="BodyText"/>
              <w:spacing w:before="100" w:after="100"/>
              <w:rPr>
                <w:b/>
                <w:bCs/>
              </w:rPr>
            </w:pPr>
            <w:r>
              <w:rPr>
                <w:b/>
                <w:bCs/>
              </w:rPr>
              <w:t>Standard national SMS</w:t>
            </w:r>
          </w:p>
          <w:p w14:paraId="7353AC96" w14:textId="77777777" w:rsidR="000D07EA" w:rsidRDefault="00BE7C89">
            <w:pPr>
              <w:pStyle w:val="BodyText"/>
              <w:spacing w:before="100" w:after="100"/>
            </w:pPr>
            <w:r>
              <w:t>(per SMS of up to 160 standard characters)</w:t>
            </w:r>
          </w:p>
        </w:tc>
        <w:tc>
          <w:tcPr>
            <w:tcW w:w="1025" w:type="pct"/>
          </w:tcPr>
          <w:p w14:paraId="6C10E250" w14:textId="77777777" w:rsidR="000D07EA" w:rsidRDefault="00BE7C89">
            <w:pPr>
              <w:pStyle w:val="BodyText"/>
              <w:spacing w:before="100" w:after="100"/>
              <w:jc w:val="center"/>
            </w:pPr>
            <w:r>
              <w:t>Unlimited</w:t>
            </w:r>
          </w:p>
        </w:tc>
        <w:tc>
          <w:tcPr>
            <w:tcW w:w="1026" w:type="pct"/>
            <w:shd w:val="clear" w:color="auto" w:fill="auto"/>
          </w:tcPr>
          <w:p w14:paraId="5EC6FF96" w14:textId="77777777" w:rsidR="000D07EA" w:rsidRDefault="00BE7C89">
            <w:pPr>
              <w:pStyle w:val="BodyText"/>
              <w:spacing w:before="100" w:after="100"/>
              <w:jc w:val="center"/>
            </w:pPr>
            <w:r>
              <w:t>Unlimited</w:t>
            </w:r>
          </w:p>
        </w:tc>
        <w:tc>
          <w:tcPr>
            <w:tcW w:w="1026" w:type="pct"/>
            <w:shd w:val="clear" w:color="auto" w:fill="auto"/>
          </w:tcPr>
          <w:p w14:paraId="13480652" w14:textId="77777777" w:rsidR="000D07EA" w:rsidRDefault="00BE7C89">
            <w:pPr>
              <w:pStyle w:val="BodyText"/>
              <w:spacing w:before="100" w:after="100"/>
              <w:jc w:val="center"/>
            </w:pPr>
            <w:r>
              <w:t>Unlimited</w:t>
            </w:r>
          </w:p>
        </w:tc>
      </w:tr>
      <w:tr w:rsidR="000D07EA" w14:paraId="6A2E5E6F" w14:textId="77777777" w:rsidTr="003D51BB">
        <w:tc>
          <w:tcPr>
            <w:tcW w:w="1923" w:type="pct"/>
            <w:shd w:val="clear" w:color="auto" w:fill="auto"/>
          </w:tcPr>
          <w:p w14:paraId="735D39BE" w14:textId="77777777" w:rsidR="000D07EA" w:rsidRDefault="00BE7C89">
            <w:pPr>
              <w:pStyle w:val="BodyText"/>
              <w:spacing w:before="100" w:after="100"/>
              <w:rPr>
                <w:bCs/>
              </w:rPr>
            </w:pPr>
            <w:r>
              <w:rPr>
                <w:b/>
                <w:bCs/>
              </w:rPr>
              <w:t>Standard national MMS</w:t>
            </w:r>
            <w:r>
              <w:rPr>
                <w:bCs/>
              </w:rPr>
              <w:t xml:space="preserve"> </w:t>
            </w:r>
            <w:r>
              <w:t>(per message)</w:t>
            </w:r>
          </w:p>
        </w:tc>
        <w:tc>
          <w:tcPr>
            <w:tcW w:w="1025" w:type="pct"/>
          </w:tcPr>
          <w:p w14:paraId="5A7D20D0" w14:textId="77777777" w:rsidR="000D07EA" w:rsidRDefault="00BE7C89">
            <w:pPr>
              <w:pStyle w:val="BodyText"/>
              <w:spacing w:before="100" w:after="100"/>
              <w:jc w:val="center"/>
            </w:pPr>
            <w:r>
              <w:t>Unlimited</w:t>
            </w:r>
          </w:p>
        </w:tc>
        <w:tc>
          <w:tcPr>
            <w:tcW w:w="1026" w:type="pct"/>
            <w:shd w:val="clear" w:color="auto" w:fill="auto"/>
          </w:tcPr>
          <w:p w14:paraId="0D60AFE5" w14:textId="77777777" w:rsidR="000D07EA" w:rsidRDefault="00BE7C89">
            <w:pPr>
              <w:pStyle w:val="BodyText"/>
              <w:spacing w:before="100" w:after="100"/>
              <w:jc w:val="center"/>
            </w:pPr>
            <w:r>
              <w:t>Unlimited</w:t>
            </w:r>
          </w:p>
        </w:tc>
        <w:tc>
          <w:tcPr>
            <w:tcW w:w="1026" w:type="pct"/>
            <w:shd w:val="clear" w:color="auto" w:fill="auto"/>
          </w:tcPr>
          <w:p w14:paraId="51489FFC" w14:textId="77777777" w:rsidR="000D07EA" w:rsidRDefault="00BE7C89">
            <w:pPr>
              <w:pStyle w:val="BodyText"/>
              <w:spacing w:before="100" w:after="100"/>
              <w:jc w:val="center"/>
            </w:pPr>
            <w:r>
              <w:t>Unlimited</w:t>
            </w:r>
          </w:p>
        </w:tc>
      </w:tr>
      <w:tr w:rsidR="000D07EA" w14:paraId="2FFE5DE6" w14:textId="77777777" w:rsidTr="003D51BB">
        <w:tc>
          <w:tcPr>
            <w:tcW w:w="1923" w:type="pct"/>
            <w:shd w:val="clear" w:color="auto" w:fill="auto"/>
          </w:tcPr>
          <w:p w14:paraId="0FE9CB01" w14:textId="77777777" w:rsidR="000D07EA" w:rsidRDefault="00BE7C89">
            <w:pPr>
              <w:pStyle w:val="BodyText"/>
              <w:spacing w:before="100" w:after="100"/>
              <w:rPr>
                <w:b/>
                <w:bCs/>
              </w:rPr>
            </w:pPr>
            <w:r>
              <w:rPr>
                <w:b/>
                <w:bCs/>
              </w:rPr>
              <w:t>Standard international SMS</w:t>
            </w:r>
          </w:p>
          <w:p w14:paraId="171D9073" w14:textId="77777777" w:rsidR="000D07EA" w:rsidRDefault="00BE7C89">
            <w:pPr>
              <w:pStyle w:val="BodyText"/>
              <w:spacing w:before="100" w:after="100"/>
              <w:rPr>
                <w:bCs/>
              </w:rPr>
            </w:pPr>
            <w:r>
              <w:t>(per SMS of up to 160 standard characters to selected countries)</w:t>
            </w:r>
          </w:p>
        </w:tc>
        <w:tc>
          <w:tcPr>
            <w:tcW w:w="1025" w:type="pct"/>
          </w:tcPr>
          <w:p w14:paraId="643B5043" w14:textId="77777777" w:rsidR="000D07EA" w:rsidRDefault="00BE7C89">
            <w:pPr>
              <w:pStyle w:val="BodyText"/>
              <w:spacing w:before="100" w:after="100"/>
              <w:jc w:val="center"/>
            </w:pPr>
            <w:r>
              <w:t>Unlimited</w:t>
            </w:r>
          </w:p>
        </w:tc>
        <w:tc>
          <w:tcPr>
            <w:tcW w:w="1026" w:type="pct"/>
            <w:shd w:val="clear" w:color="auto" w:fill="auto"/>
          </w:tcPr>
          <w:p w14:paraId="5282F4ED" w14:textId="77777777" w:rsidR="000D07EA" w:rsidRDefault="00BE7C89">
            <w:pPr>
              <w:pStyle w:val="BodyText"/>
              <w:spacing w:before="100" w:after="100"/>
              <w:jc w:val="center"/>
            </w:pPr>
            <w:r>
              <w:t>Unlimited</w:t>
            </w:r>
          </w:p>
        </w:tc>
        <w:tc>
          <w:tcPr>
            <w:tcW w:w="1026" w:type="pct"/>
            <w:shd w:val="clear" w:color="auto" w:fill="auto"/>
          </w:tcPr>
          <w:p w14:paraId="04FB1918" w14:textId="77777777" w:rsidR="000D07EA" w:rsidRDefault="00BE7C89">
            <w:pPr>
              <w:pStyle w:val="BodyText"/>
              <w:spacing w:before="100" w:after="100"/>
              <w:jc w:val="center"/>
            </w:pPr>
            <w:r>
              <w:t>Unlimited</w:t>
            </w:r>
          </w:p>
        </w:tc>
      </w:tr>
      <w:tr w:rsidR="000D07EA" w14:paraId="3A0C1F7C" w14:textId="77777777" w:rsidTr="003D51BB">
        <w:tc>
          <w:tcPr>
            <w:tcW w:w="1923" w:type="pct"/>
            <w:shd w:val="clear" w:color="auto" w:fill="auto"/>
          </w:tcPr>
          <w:p w14:paraId="4C651287" w14:textId="77777777" w:rsidR="000D07EA" w:rsidRDefault="00BE7C89">
            <w:pPr>
              <w:pStyle w:val="BodyText"/>
              <w:spacing w:before="100" w:after="100"/>
              <w:rPr>
                <w:b/>
                <w:bCs/>
              </w:rPr>
            </w:pPr>
            <w:r>
              <w:rPr>
                <w:b/>
                <w:bCs/>
              </w:rPr>
              <w:t xml:space="preserve">Standard international MMS </w:t>
            </w:r>
          </w:p>
          <w:p w14:paraId="5C8493F1" w14:textId="77777777" w:rsidR="000D07EA" w:rsidRDefault="00BE7C89">
            <w:pPr>
              <w:pStyle w:val="BodyText"/>
              <w:spacing w:before="100" w:after="100"/>
              <w:rPr>
                <w:bCs/>
              </w:rPr>
            </w:pPr>
            <w:r>
              <w:t>(per message to selected countries)</w:t>
            </w:r>
          </w:p>
        </w:tc>
        <w:tc>
          <w:tcPr>
            <w:tcW w:w="1025" w:type="pct"/>
          </w:tcPr>
          <w:p w14:paraId="652C68A7" w14:textId="77777777" w:rsidR="000D07EA" w:rsidRDefault="00BE7C89">
            <w:pPr>
              <w:pStyle w:val="BodyText"/>
              <w:spacing w:before="100" w:after="100"/>
              <w:jc w:val="center"/>
            </w:pPr>
            <w:r>
              <w:t>Unlimited</w:t>
            </w:r>
          </w:p>
        </w:tc>
        <w:tc>
          <w:tcPr>
            <w:tcW w:w="1026" w:type="pct"/>
            <w:shd w:val="clear" w:color="auto" w:fill="auto"/>
          </w:tcPr>
          <w:p w14:paraId="73B7C248" w14:textId="77777777" w:rsidR="000D07EA" w:rsidRDefault="00BE7C89">
            <w:pPr>
              <w:pStyle w:val="BodyText"/>
              <w:spacing w:before="100" w:after="100"/>
              <w:jc w:val="center"/>
            </w:pPr>
            <w:r>
              <w:t>Unlimited</w:t>
            </w:r>
          </w:p>
        </w:tc>
        <w:tc>
          <w:tcPr>
            <w:tcW w:w="1026" w:type="pct"/>
            <w:shd w:val="clear" w:color="auto" w:fill="auto"/>
          </w:tcPr>
          <w:p w14:paraId="6BA52868" w14:textId="77777777" w:rsidR="000D07EA" w:rsidRDefault="00BE7C89">
            <w:pPr>
              <w:pStyle w:val="BodyText"/>
              <w:spacing w:before="100" w:after="100"/>
              <w:jc w:val="center"/>
            </w:pPr>
            <w:r>
              <w:t>Unlimited</w:t>
            </w:r>
          </w:p>
        </w:tc>
      </w:tr>
    </w:tbl>
    <w:p w14:paraId="7E209BB4" w14:textId="77777777" w:rsidR="000D07EA" w:rsidRDefault="000D07EA">
      <w:pPr>
        <w:pStyle w:val="BodyText"/>
      </w:pPr>
    </w:p>
    <w:p w14:paraId="4402496B" w14:textId="77777777" w:rsidR="000D07EA" w:rsidRDefault="00BE7C89">
      <w:pPr>
        <w:pStyle w:val="BodyText"/>
        <w:ind w:left="720"/>
        <w:rPr>
          <w:b/>
        </w:rPr>
      </w:pPr>
      <w:r>
        <w:rPr>
          <w:b/>
        </w:rPr>
        <w:t>Table 2 – Other usage types and charges</w:t>
      </w:r>
    </w:p>
    <w:tbl>
      <w:tblPr>
        <w:tblW w:w="4632"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430"/>
        <w:gridCol w:w="5008"/>
      </w:tblGrid>
      <w:tr w:rsidR="000D07EA" w14:paraId="690BAC94" w14:textId="77777777">
        <w:trPr>
          <w:tblHeader/>
        </w:trPr>
        <w:tc>
          <w:tcPr>
            <w:tcW w:w="2347" w:type="pct"/>
            <w:shd w:val="clear" w:color="auto" w:fill="auto"/>
          </w:tcPr>
          <w:p w14:paraId="26C75F9F" w14:textId="77777777" w:rsidR="000D07EA" w:rsidRDefault="00BE7C89">
            <w:pPr>
              <w:pStyle w:val="BodyText"/>
              <w:spacing w:before="100" w:after="100"/>
              <w:rPr>
                <w:b/>
              </w:rPr>
            </w:pPr>
            <w:r>
              <w:rPr>
                <w:b/>
              </w:rPr>
              <w:t>Usage type</w:t>
            </w:r>
          </w:p>
        </w:tc>
        <w:tc>
          <w:tcPr>
            <w:tcW w:w="2653" w:type="pct"/>
            <w:shd w:val="clear" w:color="auto" w:fill="auto"/>
          </w:tcPr>
          <w:p w14:paraId="49AC10C2" w14:textId="77777777" w:rsidR="000D07EA" w:rsidRDefault="00BE7C89">
            <w:pPr>
              <w:pStyle w:val="BodyText"/>
              <w:spacing w:before="100" w:after="100"/>
              <w:jc w:val="center"/>
              <w:rPr>
                <w:b/>
              </w:rPr>
            </w:pPr>
            <w:r>
              <w:rPr>
                <w:b/>
              </w:rPr>
              <w:t>Charge</w:t>
            </w:r>
          </w:p>
        </w:tc>
      </w:tr>
      <w:tr w:rsidR="000D07EA" w14:paraId="5CB066AD" w14:textId="77777777">
        <w:tc>
          <w:tcPr>
            <w:tcW w:w="2347" w:type="pct"/>
            <w:shd w:val="clear" w:color="auto" w:fill="auto"/>
          </w:tcPr>
          <w:p w14:paraId="7FE89C41" w14:textId="77777777" w:rsidR="000D07EA" w:rsidRDefault="00BE7C89">
            <w:pPr>
              <w:pStyle w:val="BodyText"/>
              <w:spacing w:before="100" w:after="100"/>
              <w:rPr>
                <w:b/>
              </w:rPr>
            </w:pPr>
            <w:r>
              <w:rPr>
                <w:b/>
              </w:rPr>
              <w:t>National video calls</w:t>
            </w:r>
            <w:r>
              <w:t xml:space="preserve"> (per minute)</w:t>
            </w:r>
          </w:p>
        </w:tc>
        <w:tc>
          <w:tcPr>
            <w:tcW w:w="2653" w:type="pct"/>
            <w:shd w:val="clear" w:color="auto" w:fill="auto"/>
          </w:tcPr>
          <w:p w14:paraId="19BF586F" w14:textId="77777777" w:rsidR="000D07EA" w:rsidRDefault="00BE7C89">
            <w:pPr>
              <w:pStyle w:val="BodyText"/>
              <w:spacing w:before="100" w:after="100"/>
              <w:jc w:val="center"/>
            </w:pPr>
            <w:r>
              <w:t>$1.00 per min + 40c flagfall</w:t>
            </w:r>
          </w:p>
        </w:tc>
      </w:tr>
      <w:tr w:rsidR="000D07EA" w14:paraId="6555EBFF" w14:textId="77777777">
        <w:tc>
          <w:tcPr>
            <w:tcW w:w="2347" w:type="pct"/>
            <w:shd w:val="clear" w:color="auto" w:fill="auto"/>
          </w:tcPr>
          <w:p w14:paraId="765FD835" w14:textId="77777777" w:rsidR="000D07EA" w:rsidRDefault="00BE7C89">
            <w:pPr>
              <w:pStyle w:val="BodyText"/>
              <w:spacing w:before="100" w:after="100"/>
              <w:rPr>
                <w:b/>
              </w:rPr>
            </w:pPr>
            <w:r>
              <w:rPr>
                <w:b/>
              </w:rPr>
              <w:t xml:space="preserve">VoiceMail Deposits </w:t>
            </w:r>
          </w:p>
        </w:tc>
        <w:tc>
          <w:tcPr>
            <w:tcW w:w="2653" w:type="pct"/>
            <w:shd w:val="clear" w:color="auto" w:fill="auto"/>
          </w:tcPr>
          <w:p w14:paraId="55F64F88" w14:textId="77777777" w:rsidR="000D07EA" w:rsidRDefault="00BE7C89">
            <w:pPr>
              <w:pStyle w:val="BodyText"/>
              <w:spacing w:before="100" w:after="100"/>
              <w:jc w:val="center"/>
            </w:pPr>
            <w:r>
              <w:t>$0 per minute</w:t>
            </w:r>
          </w:p>
        </w:tc>
      </w:tr>
      <w:tr w:rsidR="000D07EA" w14:paraId="61F7B4BF" w14:textId="77777777">
        <w:tc>
          <w:tcPr>
            <w:tcW w:w="2347" w:type="pct"/>
            <w:shd w:val="clear" w:color="auto" w:fill="auto"/>
          </w:tcPr>
          <w:p w14:paraId="2C4B7C71" w14:textId="77777777" w:rsidR="000D07EA" w:rsidRDefault="00BE7C89">
            <w:pPr>
              <w:pStyle w:val="BodyText"/>
              <w:spacing w:before="100" w:after="100"/>
              <w:rPr>
                <w:b/>
              </w:rPr>
            </w:pPr>
            <w:r>
              <w:rPr>
                <w:b/>
              </w:rPr>
              <w:t>Voicemail Diversions</w:t>
            </w:r>
          </w:p>
        </w:tc>
        <w:tc>
          <w:tcPr>
            <w:tcW w:w="2653" w:type="pct"/>
            <w:shd w:val="clear" w:color="auto" w:fill="auto"/>
          </w:tcPr>
          <w:p w14:paraId="66F1B69E" w14:textId="77777777" w:rsidR="000D07EA" w:rsidRDefault="00BE7C89">
            <w:pPr>
              <w:pStyle w:val="BodyText"/>
              <w:spacing w:before="100" w:after="100"/>
              <w:jc w:val="center"/>
            </w:pPr>
            <w:r>
              <w:t>$0 per minute</w:t>
            </w:r>
          </w:p>
        </w:tc>
      </w:tr>
      <w:tr w:rsidR="000D07EA" w14:paraId="7116F7C3" w14:textId="77777777">
        <w:tc>
          <w:tcPr>
            <w:tcW w:w="2347" w:type="pct"/>
            <w:shd w:val="clear" w:color="auto" w:fill="auto"/>
          </w:tcPr>
          <w:p w14:paraId="76DDEC0F" w14:textId="77777777" w:rsidR="000D07EA" w:rsidRDefault="00BE7C89">
            <w:pPr>
              <w:pStyle w:val="BodyText"/>
              <w:spacing w:before="100" w:after="100"/>
              <w:rPr>
                <w:b/>
              </w:rPr>
            </w:pPr>
            <w:r>
              <w:rPr>
                <w:b/>
              </w:rPr>
              <w:t>National Diversions</w:t>
            </w:r>
          </w:p>
        </w:tc>
        <w:tc>
          <w:tcPr>
            <w:tcW w:w="2653" w:type="pct"/>
            <w:shd w:val="clear" w:color="auto" w:fill="auto"/>
          </w:tcPr>
          <w:p w14:paraId="3AB5F223" w14:textId="77777777" w:rsidR="000D07EA" w:rsidRDefault="00BE7C89">
            <w:pPr>
              <w:pStyle w:val="BodyText"/>
              <w:spacing w:before="100" w:after="100"/>
              <w:jc w:val="center"/>
            </w:pPr>
            <w:r>
              <w:t>$0 per minute</w:t>
            </w:r>
          </w:p>
        </w:tc>
      </w:tr>
      <w:tr w:rsidR="000D07EA" w14:paraId="6DC1DAEA" w14:textId="77777777">
        <w:tc>
          <w:tcPr>
            <w:tcW w:w="2347" w:type="pct"/>
            <w:shd w:val="clear" w:color="auto" w:fill="auto"/>
          </w:tcPr>
          <w:p w14:paraId="192BE5E2" w14:textId="77777777" w:rsidR="000D07EA" w:rsidRDefault="00BE7C89">
            <w:pPr>
              <w:pStyle w:val="BodyText"/>
              <w:spacing w:before="100" w:after="100"/>
              <w:rPr>
                <w:b/>
              </w:rPr>
            </w:pPr>
            <w:r>
              <w:rPr>
                <w:b/>
              </w:rPr>
              <w:t xml:space="preserve">International Diversions </w:t>
            </w:r>
          </w:p>
        </w:tc>
        <w:tc>
          <w:tcPr>
            <w:tcW w:w="2653" w:type="pct"/>
            <w:shd w:val="clear" w:color="auto" w:fill="auto"/>
          </w:tcPr>
          <w:p w14:paraId="441ED443" w14:textId="77777777" w:rsidR="000D07EA" w:rsidRDefault="00BE7C89">
            <w:pPr>
              <w:pStyle w:val="BodyText"/>
              <w:spacing w:before="100" w:after="100"/>
              <w:jc w:val="center"/>
            </w:pPr>
            <w:r>
              <w:t>'yes' international rates</w:t>
            </w:r>
            <w:r>
              <w:br/>
              <w:t>See optus.com.au/international</w:t>
            </w:r>
          </w:p>
        </w:tc>
      </w:tr>
      <w:tr w:rsidR="000D07EA" w14:paraId="3684207B" w14:textId="77777777">
        <w:tc>
          <w:tcPr>
            <w:tcW w:w="2347" w:type="pct"/>
            <w:shd w:val="clear" w:color="auto" w:fill="auto"/>
          </w:tcPr>
          <w:p w14:paraId="40F83546" w14:textId="77777777" w:rsidR="000D07EA" w:rsidRDefault="00BE7C89">
            <w:pPr>
              <w:pStyle w:val="BodyText"/>
              <w:spacing w:before="100" w:after="100"/>
              <w:rPr>
                <w:b/>
              </w:rPr>
            </w:pPr>
            <w:r>
              <w:rPr>
                <w:b/>
              </w:rPr>
              <w:t xml:space="preserve">1800 numbers </w:t>
            </w:r>
          </w:p>
        </w:tc>
        <w:tc>
          <w:tcPr>
            <w:tcW w:w="2653" w:type="pct"/>
            <w:shd w:val="clear" w:color="auto" w:fill="auto"/>
          </w:tcPr>
          <w:p w14:paraId="0D20986C" w14:textId="77777777" w:rsidR="000D07EA" w:rsidRDefault="00BE7C89">
            <w:pPr>
              <w:pStyle w:val="BodyText"/>
              <w:spacing w:before="100" w:after="100"/>
              <w:jc w:val="center"/>
            </w:pPr>
            <w:r>
              <w:t>$0 per minute</w:t>
            </w:r>
          </w:p>
        </w:tc>
      </w:tr>
      <w:tr w:rsidR="000D07EA" w14:paraId="259610C5" w14:textId="77777777">
        <w:tc>
          <w:tcPr>
            <w:tcW w:w="2347" w:type="pct"/>
            <w:shd w:val="clear" w:color="auto" w:fill="auto"/>
          </w:tcPr>
          <w:p w14:paraId="05DEDFD6" w14:textId="77777777" w:rsidR="000D07EA" w:rsidRDefault="00BE7C89">
            <w:pPr>
              <w:pStyle w:val="BodyText"/>
              <w:spacing w:before="100" w:after="100"/>
              <w:rPr>
                <w:b/>
              </w:rPr>
            </w:pPr>
            <w:r>
              <w:rPr>
                <w:b/>
              </w:rPr>
              <w:t xml:space="preserve">Directory Assistance 1223 </w:t>
            </w:r>
          </w:p>
        </w:tc>
        <w:tc>
          <w:tcPr>
            <w:tcW w:w="2653" w:type="pct"/>
            <w:shd w:val="clear" w:color="auto" w:fill="auto"/>
          </w:tcPr>
          <w:p w14:paraId="523DBD5A" w14:textId="77777777" w:rsidR="000D07EA" w:rsidRDefault="00BE7C89">
            <w:pPr>
              <w:pStyle w:val="BodyText"/>
              <w:spacing w:before="100" w:after="100"/>
              <w:jc w:val="center"/>
            </w:pPr>
            <w:r>
              <w:t>50c per call</w:t>
            </w:r>
          </w:p>
        </w:tc>
      </w:tr>
      <w:tr w:rsidR="000D07EA" w14:paraId="42394FEA" w14:textId="77777777">
        <w:tc>
          <w:tcPr>
            <w:tcW w:w="2347" w:type="pct"/>
            <w:shd w:val="clear" w:color="auto" w:fill="auto"/>
          </w:tcPr>
          <w:p w14:paraId="090E1EB3" w14:textId="77777777" w:rsidR="000D07EA" w:rsidRDefault="00BE7C89">
            <w:pPr>
              <w:pStyle w:val="BodyText"/>
              <w:spacing w:before="100" w:after="100"/>
              <w:rPr>
                <w:b/>
              </w:rPr>
            </w:pPr>
            <w:r>
              <w:rPr>
                <w:b/>
              </w:rPr>
              <w:t>124 Yes</w:t>
            </w:r>
          </w:p>
        </w:tc>
        <w:tc>
          <w:tcPr>
            <w:tcW w:w="2653" w:type="pct"/>
            <w:shd w:val="clear" w:color="auto" w:fill="auto"/>
          </w:tcPr>
          <w:p w14:paraId="7DBC774A" w14:textId="77777777" w:rsidR="000D07EA" w:rsidRDefault="00BE7C89">
            <w:pPr>
              <w:pStyle w:val="BodyText"/>
              <w:spacing w:before="100" w:after="100"/>
              <w:jc w:val="center"/>
            </w:pPr>
            <w:r>
              <w:t>90c per minute +$1.75c flagfall</w:t>
            </w:r>
          </w:p>
        </w:tc>
      </w:tr>
      <w:tr w:rsidR="000D07EA" w14:paraId="1676C3EF" w14:textId="77777777">
        <w:tc>
          <w:tcPr>
            <w:tcW w:w="2347" w:type="pct"/>
            <w:shd w:val="clear" w:color="auto" w:fill="auto"/>
          </w:tcPr>
          <w:p w14:paraId="2BBB8B91" w14:textId="77777777" w:rsidR="000D07EA" w:rsidRDefault="00BE7C89">
            <w:pPr>
              <w:pStyle w:val="BodyText"/>
              <w:spacing w:before="100" w:after="100"/>
              <w:rPr>
                <w:b/>
              </w:rPr>
            </w:pPr>
            <w:r>
              <w:rPr>
                <w:b/>
              </w:rPr>
              <w:t xml:space="preserve">International voice calls (outside the plan's included international minutes and to excluded countries) </w:t>
            </w:r>
          </w:p>
        </w:tc>
        <w:tc>
          <w:tcPr>
            <w:tcW w:w="2653" w:type="pct"/>
            <w:shd w:val="clear" w:color="auto" w:fill="auto"/>
          </w:tcPr>
          <w:p w14:paraId="54E5FF0F" w14:textId="77777777" w:rsidR="000D07EA" w:rsidRDefault="00BE7C89">
            <w:pPr>
              <w:pStyle w:val="BodyText"/>
              <w:spacing w:before="100" w:after="100"/>
              <w:jc w:val="center"/>
            </w:pPr>
            <w:r>
              <w:t>'yes' international rates</w:t>
            </w:r>
            <w:r>
              <w:br/>
              <w:t>See optus.com.au/international</w:t>
            </w:r>
          </w:p>
        </w:tc>
      </w:tr>
      <w:tr w:rsidR="000D07EA" w14:paraId="02FEADBB" w14:textId="77777777">
        <w:tc>
          <w:tcPr>
            <w:tcW w:w="2347" w:type="pct"/>
            <w:shd w:val="clear" w:color="auto" w:fill="auto"/>
          </w:tcPr>
          <w:p w14:paraId="6547675D" w14:textId="77777777" w:rsidR="000D07EA" w:rsidRDefault="00BE7C89">
            <w:pPr>
              <w:pStyle w:val="BodyText"/>
              <w:spacing w:before="100" w:after="100"/>
              <w:rPr>
                <w:b/>
              </w:rPr>
            </w:pPr>
            <w:r>
              <w:rPr>
                <w:b/>
              </w:rPr>
              <w:t xml:space="preserve">International SMS (to excluded countries) </w:t>
            </w:r>
          </w:p>
        </w:tc>
        <w:tc>
          <w:tcPr>
            <w:tcW w:w="2653" w:type="pct"/>
            <w:shd w:val="clear" w:color="auto" w:fill="auto"/>
          </w:tcPr>
          <w:p w14:paraId="7F5535D2" w14:textId="77777777" w:rsidR="000D07EA" w:rsidRDefault="00BE7C89">
            <w:pPr>
              <w:pStyle w:val="BodyText"/>
              <w:spacing w:before="100" w:after="100"/>
              <w:jc w:val="center"/>
            </w:pPr>
            <w:r>
              <w:t>50c per SMS up to 160 standard characters</w:t>
            </w:r>
          </w:p>
        </w:tc>
      </w:tr>
      <w:tr w:rsidR="000D07EA" w14:paraId="07AB0617" w14:textId="77777777">
        <w:tc>
          <w:tcPr>
            <w:tcW w:w="2347" w:type="pct"/>
            <w:shd w:val="clear" w:color="auto" w:fill="auto"/>
          </w:tcPr>
          <w:p w14:paraId="7F5B9CE5" w14:textId="77777777" w:rsidR="000D07EA" w:rsidRDefault="00BE7C89">
            <w:pPr>
              <w:pStyle w:val="BodyText"/>
              <w:spacing w:before="100" w:after="100"/>
              <w:rPr>
                <w:b/>
              </w:rPr>
            </w:pPr>
            <w:r>
              <w:rPr>
                <w:b/>
              </w:rPr>
              <w:t>International MMS (to excluded countries)</w:t>
            </w:r>
          </w:p>
        </w:tc>
        <w:tc>
          <w:tcPr>
            <w:tcW w:w="2653" w:type="pct"/>
            <w:shd w:val="clear" w:color="auto" w:fill="auto"/>
          </w:tcPr>
          <w:p w14:paraId="789F05B6" w14:textId="77777777" w:rsidR="000D07EA" w:rsidRDefault="00BE7C89">
            <w:pPr>
              <w:pStyle w:val="BodyText"/>
              <w:spacing w:before="100" w:after="100"/>
              <w:jc w:val="center"/>
            </w:pPr>
            <w:r>
              <w:t>75c per MMS</w:t>
            </w:r>
          </w:p>
        </w:tc>
      </w:tr>
      <w:tr w:rsidR="000D07EA" w14:paraId="2F091B75" w14:textId="77777777">
        <w:tc>
          <w:tcPr>
            <w:tcW w:w="2347" w:type="pct"/>
            <w:shd w:val="clear" w:color="auto" w:fill="auto"/>
          </w:tcPr>
          <w:p w14:paraId="47155448" w14:textId="77777777" w:rsidR="000D07EA" w:rsidRDefault="00BE7C89">
            <w:pPr>
              <w:pStyle w:val="BodyText"/>
              <w:spacing w:before="100" w:after="100"/>
              <w:rPr>
                <w:b/>
              </w:rPr>
            </w:pPr>
            <w:r>
              <w:rPr>
                <w:b/>
              </w:rPr>
              <w:lastRenderedPageBreak/>
              <w:t xml:space="preserve">International video calling </w:t>
            </w:r>
          </w:p>
        </w:tc>
        <w:tc>
          <w:tcPr>
            <w:tcW w:w="2653" w:type="pct"/>
            <w:shd w:val="clear" w:color="auto" w:fill="auto"/>
          </w:tcPr>
          <w:p w14:paraId="184F2347" w14:textId="77777777" w:rsidR="000D07EA" w:rsidRDefault="00BE7C89">
            <w:pPr>
              <w:pStyle w:val="BodyText"/>
              <w:spacing w:before="100" w:after="100"/>
              <w:jc w:val="center"/>
            </w:pPr>
            <w:r>
              <w:t>$1.50 per minute +35c flagfall</w:t>
            </w:r>
          </w:p>
        </w:tc>
      </w:tr>
      <w:tr w:rsidR="000D07EA" w14:paraId="17D68EA3" w14:textId="77777777">
        <w:tc>
          <w:tcPr>
            <w:tcW w:w="2347" w:type="pct"/>
            <w:shd w:val="clear" w:color="auto" w:fill="auto"/>
          </w:tcPr>
          <w:p w14:paraId="0B6F27FB" w14:textId="77777777" w:rsidR="000D07EA" w:rsidRDefault="00BE7C89">
            <w:pPr>
              <w:pStyle w:val="BodyText"/>
              <w:spacing w:before="100" w:after="100"/>
              <w:rPr>
                <w:b/>
              </w:rPr>
            </w:pPr>
            <w:r>
              <w:rPr>
                <w:b/>
              </w:rPr>
              <w:t xml:space="preserve">International roaming </w:t>
            </w:r>
          </w:p>
        </w:tc>
        <w:tc>
          <w:tcPr>
            <w:tcW w:w="2653" w:type="pct"/>
            <w:shd w:val="clear" w:color="auto" w:fill="auto"/>
          </w:tcPr>
          <w:p w14:paraId="425D7ECE" w14:textId="77777777" w:rsidR="000D07EA" w:rsidRDefault="00BE7C89">
            <w:pPr>
              <w:pStyle w:val="BodyText"/>
              <w:spacing w:before="100" w:after="100"/>
              <w:jc w:val="center"/>
            </w:pPr>
            <w:r>
              <w:t>See optus.com.au/roaming</w:t>
            </w:r>
          </w:p>
        </w:tc>
      </w:tr>
    </w:tbl>
    <w:p w14:paraId="1D2AC8FA" w14:textId="77777777" w:rsidR="000D07EA" w:rsidRDefault="000D07EA">
      <w:pPr>
        <w:pStyle w:val="BodyText"/>
      </w:pPr>
    </w:p>
    <w:p w14:paraId="0D6CD66C" w14:textId="77777777" w:rsidR="000D07EA" w:rsidRDefault="00BE7C89">
      <w:pPr>
        <w:pStyle w:val="BodyText"/>
        <w:ind w:left="720"/>
        <w:rPr>
          <w:b/>
        </w:rPr>
      </w:pPr>
      <w:r>
        <w:rPr>
          <w:b/>
        </w:rPr>
        <w:t>Table 3 – International Countries</w:t>
      </w:r>
    </w:p>
    <w:tbl>
      <w:tblPr>
        <w:tblW w:w="4632"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436"/>
        <w:gridCol w:w="2348"/>
        <w:gridCol w:w="2376"/>
        <w:gridCol w:w="2278"/>
      </w:tblGrid>
      <w:tr w:rsidR="000D07EA" w14:paraId="7F2AD537" w14:textId="77777777">
        <w:tc>
          <w:tcPr>
            <w:tcW w:w="1290" w:type="pct"/>
            <w:shd w:val="clear" w:color="auto" w:fill="auto"/>
          </w:tcPr>
          <w:p w14:paraId="236A982C" w14:textId="77777777" w:rsidR="000D07EA" w:rsidRDefault="00BE7C89">
            <w:pPr>
              <w:pStyle w:val="BodyText"/>
              <w:spacing w:before="100" w:after="100"/>
              <w:jc w:val="center"/>
            </w:pPr>
            <w:r>
              <w:t>Austria</w:t>
            </w:r>
          </w:p>
        </w:tc>
        <w:tc>
          <w:tcPr>
            <w:tcW w:w="1244" w:type="pct"/>
            <w:shd w:val="clear" w:color="auto" w:fill="auto"/>
          </w:tcPr>
          <w:p w14:paraId="4B5C8688" w14:textId="77777777" w:rsidR="000D07EA" w:rsidRDefault="00BE7C89">
            <w:pPr>
              <w:pStyle w:val="BodyText"/>
              <w:spacing w:before="100" w:after="100"/>
              <w:jc w:val="center"/>
            </w:pPr>
            <w:r>
              <w:t>Bangladesh</w:t>
            </w:r>
          </w:p>
        </w:tc>
        <w:tc>
          <w:tcPr>
            <w:tcW w:w="1259" w:type="pct"/>
            <w:shd w:val="clear" w:color="auto" w:fill="auto"/>
          </w:tcPr>
          <w:p w14:paraId="37A1F23D" w14:textId="77777777" w:rsidR="000D07EA" w:rsidRDefault="00BE7C89">
            <w:pPr>
              <w:pStyle w:val="BodyText"/>
              <w:spacing w:before="100" w:after="100"/>
              <w:jc w:val="center"/>
            </w:pPr>
            <w:r>
              <w:t>Cambodia</w:t>
            </w:r>
          </w:p>
        </w:tc>
        <w:tc>
          <w:tcPr>
            <w:tcW w:w="1207" w:type="pct"/>
            <w:shd w:val="clear" w:color="auto" w:fill="auto"/>
          </w:tcPr>
          <w:p w14:paraId="5AD6D80A" w14:textId="77777777" w:rsidR="000D07EA" w:rsidRDefault="00BE7C89">
            <w:pPr>
              <w:pStyle w:val="BodyText"/>
              <w:spacing w:before="100" w:after="100"/>
              <w:jc w:val="center"/>
            </w:pPr>
            <w:r>
              <w:t>Canada</w:t>
            </w:r>
          </w:p>
        </w:tc>
      </w:tr>
      <w:tr w:rsidR="000D07EA" w14:paraId="47118F16" w14:textId="77777777">
        <w:tc>
          <w:tcPr>
            <w:tcW w:w="1290" w:type="pct"/>
            <w:shd w:val="clear" w:color="auto" w:fill="auto"/>
          </w:tcPr>
          <w:p w14:paraId="29429A2A" w14:textId="77777777" w:rsidR="000D07EA" w:rsidRDefault="00BE7C89">
            <w:pPr>
              <w:pStyle w:val="BodyText"/>
              <w:spacing w:before="100" w:after="100"/>
              <w:jc w:val="center"/>
            </w:pPr>
            <w:r>
              <w:t>Chile</w:t>
            </w:r>
          </w:p>
        </w:tc>
        <w:tc>
          <w:tcPr>
            <w:tcW w:w="1244" w:type="pct"/>
            <w:shd w:val="clear" w:color="auto" w:fill="auto"/>
          </w:tcPr>
          <w:p w14:paraId="7B210868" w14:textId="77777777" w:rsidR="000D07EA" w:rsidRDefault="00BE7C89">
            <w:pPr>
              <w:pStyle w:val="BodyText"/>
              <w:spacing w:before="100" w:after="100"/>
              <w:jc w:val="center"/>
            </w:pPr>
            <w:r>
              <w:t>China</w:t>
            </w:r>
          </w:p>
        </w:tc>
        <w:tc>
          <w:tcPr>
            <w:tcW w:w="1259" w:type="pct"/>
            <w:shd w:val="clear" w:color="auto" w:fill="auto"/>
          </w:tcPr>
          <w:p w14:paraId="3D4C851A" w14:textId="77777777" w:rsidR="000D07EA" w:rsidRDefault="00BE7C89">
            <w:pPr>
              <w:pStyle w:val="BodyText"/>
              <w:spacing w:before="100" w:after="100"/>
              <w:jc w:val="center"/>
            </w:pPr>
            <w:r>
              <w:t>Croatia</w:t>
            </w:r>
          </w:p>
        </w:tc>
        <w:tc>
          <w:tcPr>
            <w:tcW w:w="1207" w:type="pct"/>
            <w:shd w:val="clear" w:color="auto" w:fill="auto"/>
          </w:tcPr>
          <w:p w14:paraId="3B9B1215" w14:textId="77777777" w:rsidR="000D07EA" w:rsidRDefault="00BE7C89">
            <w:pPr>
              <w:pStyle w:val="BodyText"/>
              <w:spacing w:before="100" w:after="100"/>
              <w:jc w:val="center"/>
            </w:pPr>
            <w:r>
              <w:t>France</w:t>
            </w:r>
          </w:p>
        </w:tc>
      </w:tr>
      <w:tr w:rsidR="000D07EA" w14:paraId="2711F315" w14:textId="77777777">
        <w:tc>
          <w:tcPr>
            <w:tcW w:w="1290" w:type="pct"/>
            <w:shd w:val="clear" w:color="auto" w:fill="auto"/>
          </w:tcPr>
          <w:p w14:paraId="07AB2892" w14:textId="77777777" w:rsidR="000D07EA" w:rsidRDefault="00BE7C89">
            <w:pPr>
              <w:pStyle w:val="BodyText"/>
              <w:spacing w:before="100" w:after="100"/>
              <w:jc w:val="center"/>
            </w:pPr>
            <w:r>
              <w:t>Germany</w:t>
            </w:r>
          </w:p>
        </w:tc>
        <w:tc>
          <w:tcPr>
            <w:tcW w:w="1244" w:type="pct"/>
            <w:shd w:val="clear" w:color="auto" w:fill="auto"/>
          </w:tcPr>
          <w:p w14:paraId="4C4019E4" w14:textId="77777777" w:rsidR="000D07EA" w:rsidRDefault="00BE7C89">
            <w:pPr>
              <w:pStyle w:val="BodyText"/>
              <w:spacing w:before="100" w:after="100"/>
              <w:jc w:val="center"/>
            </w:pPr>
            <w:r>
              <w:t>Greece</w:t>
            </w:r>
          </w:p>
        </w:tc>
        <w:tc>
          <w:tcPr>
            <w:tcW w:w="1259" w:type="pct"/>
            <w:shd w:val="clear" w:color="auto" w:fill="auto"/>
          </w:tcPr>
          <w:p w14:paraId="522E2A27" w14:textId="77777777" w:rsidR="000D07EA" w:rsidRDefault="00BE7C89">
            <w:pPr>
              <w:pStyle w:val="BodyText"/>
              <w:spacing w:before="100" w:after="100"/>
              <w:jc w:val="center"/>
            </w:pPr>
            <w:r>
              <w:t>Hong Kong</w:t>
            </w:r>
          </w:p>
        </w:tc>
        <w:tc>
          <w:tcPr>
            <w:tcW w:w="1207" w:type="pct"/>
            <w:shd w:val="clear" w:color="auto" w:fill="auto"/>
          </w:tcPr>
          <w:p w14:paraId="5013EA57" w14:textId="77777777" w:rsidR="000D07EA" w:rsidRDefault="00BE7C89">
            <w:pPr>
              <w:pStyle w:val="BodyText"/>
              <w:spacing w:before="100" w:after="100"/>
              <w:jc w:val="center"/>
            </w:pPr>
            <w:r>
              <w:t>Hungary</w:t>
            </w:r>
          </w:p>
        </w:tc>
      </w:tr>
      <w:tr w:rsidR="000D07EA" w14:paraId="79E31267" w14:textId="77777777">
        <w:tc>
          <w:tcPr>
            <w:tcW w:w="1290" w:type="pct"/>
            <w:shd w:val="clear" w:color="auto" w:fill="auto"/>
          </w:tcPr>
          <w:p w14:paraId="76A7408C" w14:textId="77777777" w:rsidR="000D07EA" w:rsidRDefault="00BE7C89">
            <w:pPr>
              <w:pStyle w:val="BodyText"/>
              <w:spacing w:before="100" w:after="100"/>
              <w:jc w:val="center"/>
            </w:pPr>
            <w:r>
              <w:t>Indonesia</w:t>
            </w:r>
          </w:p>
        </w:tc>
        <w:tc>
          <w:tcPr>
            <w:tcW w:w="1244" w:type="pct"/>
            <w:shd w:val="clear" w:color="auto" w:fill="auto"/>
          </w:tcPr>
          <w:p w14:paraId="0964257C" w14:textId="77777777" w:rsidR="000D07EA" w:rsidRDefault="00BE7C89">
            <w:pPr>
              <w:pStyle w:val="BodyText"/>
              <w:spacing w:before="100" w:after="100"/>
              <w:jc w:val="center"/>
            </w:pPr>
            <w:r>
              <w:t>India</w:t>
            </w:r>
          </w:p>
        </w:tc>
        <w:tc>
          <w:tcPr>
            <w:tcW w:w="1259" w:type="pct"/>
            <w:shd w:val="clear" w:color="auto" w:fill="auto"/>
          </w:tcPr>
          <w:p w14:paraId="61FECBCE" w14:textId="77777777" w:rsidR="000D07EA" w:rsidRDefault="00BE7C89">
            <w:pPr>
              <w:pStyle w:val="BodyText"/>
              <w:spacing w:before="100" w:after="100"/>
              <w:jc w:val="center"/>
            </w:pPr>
            <w:r>
              <w:t>Ireland</w:t>
            </w:r>
          </w:p>
        </w:tc>
        <w:tc>
          <w:tcPr>
            <w:tcW w:w="1207" w:type="pct"/>
            <w:shd w:val="clear" w:color="auto" w:fill="auto"/>
          </w:tcPr>
          <w:p w14:paraId="06DD7BCD" w14:textId="77777777" w:rsidR="000D07EA" w:rsidRDefault="00BE7C89">
            <w:pPr>
              <w:pStyle w:val="BodyText"/>
              <w:spacing w:before="100" w:after="100"/>
              <w:jc w:val="center"/>
            </w:pPr>
            <w:r>
              <w:t>Italy</w:t>
            </w:r>
          </w:p>
        </w:tc>
      </w:tr>
      <w:tr w:rsidR="000D07EA" w14:paraId="430C5060" w14:textId="77777777">
        <w:tc>
          <w:tcPr>
            <w:tcW w:w="1290" w:type="pct"/>
            <w:shd w:val="clear" w:color="auto" w:fill="auto"/>
          </w:tcPr>
          <w:p w14:paraId="1745FCB2" w14:textId="77777777" w:rsidR="000D07EA" w:rsidRDefault="00BE7C89">
            <w:pPr>
              <w:pStyle w:val="BodyText"/>
              <w:spacing w:before="100" w:after="100"/>
              <w:jc w:val="center"/>
            </w:pPr>
            <w:r>
              <w:t>Japan</w:t>
            </w:r>
          </w:p>
        </w:tc>
        <w:tc>
          <w:tcPr>
            <w:tcW w:w="1244" w:type="pct"/>
            <w:shd w:val="clear" w:color="auto" w:fill="auto"/>
          </w:tcPr>
          <w:p w14:paraId="72FBF521" w14:textId="77777777" w:rsidR="000D07EA" w:rsidRDefault="00BE7C89">
            <w:pPr>
              <w:pStyle w:val="BodyText"/>
              <w:spacing w:before="100" w:after="100"/>
              <w:jc w:val="center"/>
            </w:pPr>
            <w:r>
              <w:t>Malaysia</w:t>
            </w:r>
          </w:p>
        </w:tc>
        <w:tc>
          <w:tcPr>
            <w:tcW w:w="1259" w:type="pct"/>
            <w:shd w:val="clear" w:color="auto" w:fill="auto"/>
          </w:tcPr>
          <w:p w14:paraId="46F7E33B" w14:textId="77777777" w:rsidR="000D07EA" w:rsidRDefault="00BE7C89">
            <w:pPr>
              <w:pStyle w:val="BodyText"/>
              <w:spacing w:before="100" w:after="100"/>
              <w:jc w:val="center"/>
            </w:pPr>
            <w:r>
              <w:t>Netherlands</w:t>
            </w:r>
          </w:p>
        </w:tc>
        <w:tc>
          <w:tcPr>
            <w:tcW w:w="1207" w:type="pct"/>
            <w:shd w:val="clear" w:color="auto" w:fill="auto"/>
          </w:tcPr>
          <w:p w14:paraId="2ED52C2C" w14:textId="77777777" w:rsidR="000D07EA" w:rsidRDefault="00BE7C89">
            <w:pPr>
              <w:pStyle w:val="BodyText"/>
              <w:spacing w:before="100" w:after="100"/>
              <w:jc w:val="center"/>
            </w:pPr>
            <w:r>
              <w:t>New Zealand</w:t>
            </w:r>
          </w:p>
        </w:tc>
      </w:tr>
      <w:tr w:rsidR="000D07EA" w14:paraId="23F4BEFC" w14:textId="77777777">
        <w:tc>
          <w:tcPr>
            <w:tcW w:w="1290" w:type="pct"/>
            <w:shd w:val="clear" w:color="auto" w:fill="auto"/>
          </w:tcPr>
          <w:p w14:paraId="4A745C26" w14:textId="77777777" w:rsidR="000D07EA" w:rsidRDefault="00BE7C89">
            <w:pPr>
              <w:pStyle w:val="BodyText"/>
              <w:spacing w:before="100" w:after="100"/>
              <w:jc w:val="center"/>
            </w:pPr>
            <w:r>
              <w:t>Pakistan</w:t>
            </w:r>
          </w:p>
        </w:tc>
        <w:tc>
          <w:tcPr>
            <w:tcW w:w="1244" w:type="pct"/>
            <w:shd w:val="clear" w:color="auto" w:fill="auto"/>
          </w:tcPr>
          <w:p w14:paraId="6CFFFF82" w14:textId="77777777" w:rsidR="000D07EA" w:rsidRDefault="00BE7C89">
            <w:pPr>
              <w:pStyle w:val="BodyText"/>
              <w:spacing w:before="100" w:after="100"/>
              <w:jc w:val="center"/>
            </w:pPr>
            <w:r>
              <w:t>Philippines</w:t>
            </w:r>
          </w:p>
        </w:tc>
        <w:tc>
          <w:tcPr>
            <w:tcW w:w="1259" w:type="pct"/>
            <w:shd w:val="clear" w:color="auto" w:fill="auto"/>
          </w:tcPr>
          <w:p w14:paraId="33FA1909" w14:textId="77777777" w:rsidR="000D07EA" w:rsidRDefault="00BE7C89">
            <w:pPr>
              <w:pStyle w:val="BodyText"/>
              <w:spacing w:before="100" w:after="100"/>
              <w:jc w:val="center"/>
            </w:pPr>
            <w:r>
              <w:t>Poland</w:t>
            </w:r>
          </w:p>
        </w:tc>
        <w:tc>
          <w:tcPr>
            <w:tcW w:w="1207" w:type="pct"/>
            <w:shd w:val="clear" w:color="auto" w:fill="auto"/>
          </w:tcPr>
          <w:p w14:paraId="1C9F3D06" w14:textId="77777777" w:rsidR="000D07EA" w:rsidRDefault="00BE7C89">
            <w:pPr>
              <w:pStyle w:val="BodyText"/>
              <w:spacing w:before="100" w:after="100"/>
              <w:jc w:val="center"/>
            </w:pPr>
            <w:r>
              <w:t>Singapore</w:t>
            </w:r>
          </w:p>
        </w:tc>
      </w:tr>
      <w:tr w:rsidR="000D07EA" w14:paraId="0084BC46" w14:textId="77777777">
        <w:tc>
          <w:tcPr>
            <w:tcW w:w="1290" w:type="pct"/>
            <w:shd w:val="clear" w:color="auto" w:fill="auto"/>
          </w:tcPr>
          <w:p w14:paraId="7F4F9F09" w14:textId="77777777" w:rsidR="000D07EA" w:rsidRDefault="00BE7C89">
            <w:pPr>
              <w:pStyle w:val="BodyText"/>
              <w:spacing w:before="100" w:after="100"/>
              <w:jc w:val="center"/>
            </w:pPr>
            <w:r>
              <w:t>South Africa</w:t>
            </w:r>
          </w:p>
        </w:tc>
        <w:tc>
          <w:tcPr>
            <w:tcW w:w="1244" w:type="pct"/>
            <w:shd w:val="clear" w:color="auto" w:fill="auto"/>
          </w:tcPr>
          <w:p w14:paraId="2C952624" w14:textId="77777777" w:rsidR="000D07EA" w:rsidRDefault="00BE7C89">
            <w:pPr>
              <w:pStyle w:val="BodyText"/>
              <w:spacing w:before="100" w:after="100"/>
              <w:jc w:val="center"/>
            </w:pPr>
            <w:r>
              <w:t>South Korea</w:t>
            </w:r>
          </w:p>
        </w:tc>
        <w:tc>
          <w:tcPr>
            <w:tcW w:w="1259" w:type="pct"/>
            <w:shd w:val="clear" w:color="auto" w:fill="auto"/>
          </w:tcPr>
          <w:p w14:paraId="70E4EEF1" w14:textId="77777777" w:rsidR="000D07EA" w:rsidRDefault="00BE7C89">
            <w:pPr>
              <w:pStyle w:val="BodyText"/>
              <w:spacing w:before="100" w:after="100"/>
              <w:jc w:val="center"/>
            </w:pPr>
            <w:r>
              <w:t>Taiwan</w:t>
            </w:r>
          </w:p>
        </w:tc>
        <w:tc>
          <w:tcPr>
            <w:tcW w:w="1207" w:type="pct"/>
            <w:shd w:val="clear" w:color="auto" w:fill="auto"/>
          </w:tcPr>
          <w:p w14:paraId="19AF98C7" w14:textId="77777777" w:rsidR="000D07EA" w:rsidRDefault="00BE7C89">
            <w:pPr>
              <w:pStyle w:val="BodyText"/>
              <w:spacing w:before="100" w:after="100"/>
              <w:jc w:val="center"/>
            </w:pPr>
            <w:r>
              <w:t>Thailand</w:t>
            </w:r>
          </w:p>
        </w:tc>
      </w:tr>
      <w:tr w:rsidR="000D07EA" w14:paraId="71273374" w14:textId="77777777">
        <w:tc>
          <w:tcPr>
            <w:tcW w:w="1290" w:type="pct"/>
            <w:shd w:val="clear" w:color="auto" w:fill="auto"/>
          </w:tcPr>
          <w:p w14:paraId="7F3782D2" w14:textId="77777777" w:rsidR="000D07EA" w:rsidRDefault="00BE7C89">
            <w:pPr>
              <w:pStyle w:val="BodyText"/>
              <w:spacing w:before="100" w:after="100"/>
              <w:jc w:val="center"/>
            </w:pPr>
            <w:r>
              <w:t>Turkey</w:t>
            </w:r>
          </w:p>
        </w:tc>
        <w:tc>
          <w:tcPr>
            <w:tcW w:w="1244" w:type="pct"/>
            <w:shd w:val="clear" w:color="auto" w:fill="auto"/>
          </w:tcPr>
          <w:p w14:paraId="0FA2B7BE" w14:textId="77777777" w:rsidR="000D07EA" w:rsidRDefault="00BE7C89">
            <w:pPr>
              <w:pStyle w:val="BodyText"/>
              <w:spacing w:before="100" w:after="100"/>
              <w:jc w:val="center"/>
            </w:pPr>
            <w:r>
              <w:t>United Kingdom</w:t>
            </w:r>
          </w:p>
        </w:tc>
        <w:tc>
          <w:tcPr>
            <w:tcW w:w="1259" w:type="pct"/>
            <w:shd w:val="clear" w:color="auto" w:fill="auto"/>
          </w:tcPr>
          <w:p w14:paraId="706FA001" w14:textId="77777777" w:rsidR="000D07EA" w:rsidRDefault="00BE7C89">
            <w:pPr>
              <w:pStyle w:val="BodyText"/>
              <w:spacing w:before="100" w:after="100"/>
              <w:jc w:val="center"/>
            </w:pPr>
            <w:r>
              <w:t>USA</w:t>
            </w:r>
          </w:p>
        </w:tc>
        <w:tc>
          <w:tcPr>
            <w:tcW w:w="1207" w:type="pct"/>
            <w:shd w:val="clear" w:color="auto" w:fill="auto"/>
          </w:tcPr>
          <w:p w14:paraId="055A381C" w14:textId="77777777" w:rsidR="000D07EA" w:rsidRDefault="00BE7C89">
            <w:pPr>
              <w:pStyle w:val="BodyText"/>
              <w:spacing w:before="100" w:after="100"/>
              <w:jc w:val="center"/>
            </w:pPr>
            <w:r>
              <w:t>Vietnam</w:t>
            </w:r>
          </w:p>
        </w:tc>
      </w:tr>
    </w:tbl>
    <w:p w14:paraId="07EDEC92" w14:textId="77777777" w:rsidR="000D07EA" w:rsidRDefault="000D07EA">
      <w:pPr>
        <w:pStyle w:val="BodyText"/>
      </w:pPr>
    </w:p>
    <w:p w14:paraId="4D99413B" w14:textId="77777777" w:rsidR="000D07EA" w:rsidRDefault="00BE7C89">
      <w:pPr>
        <w:pStyle w:val="Heading6"/>
        <w:ind w:left="0" w:firstLine="0"/>
      </w:pPr>
      <w:bookmarkStart w:id="1028" w:name="_Toc416246806"/>
      <w:bookmarkStart w:id="1029" w:name="_Toc419376646"/>
      <w:bookmarkStart w:id="1030" w:name="_Toc431283571"/>
      <w:r>
        <w:t>My Account</w:t>
      </w:r>
      <w:bookmarkEnd w:id="1028"/>
      <w:bookmarkEnd w:id="1029"/>
      <w:bookmarkEnd w:id="1030"/>
    </w:p>
    <w:p w14:paraId="0B684403" w14:textId="77777777" w:rsidR="000D07EA" w:rsidRDefault="00BE7C89">
      <w:pPr>
        <w:pStyle w:val="BodyText"/>
        <w:ind w:left="72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service has used. If </w:t>
      </w:r>
      <w:r>
        <w:rPr>
          <w:i/>
        </w:rPr>
        <w:t>you</w:t>
      </w:r>
      <w:r>
        <w:t xml:space="preserve"> have more than 6 services on </w:t>
      </w:r>
      <w:r>
        <w:rPr>
          <w:i/>
        </w:rPr>
        <w:t xml:space="preserve">your </w:t>
      </w:r>
      <w:r>
        <w:t xml:space="preserve">account, My Account may not be suitable for viewing usage and managing </w:t>
      </w:r>
      <w:r>
        <w:rPr>
          <w:i/>
        </w:rPr>
        <w:t xml:space="preserve">your </w:t>
      </w:r>
      <w:r>
        <w:t>usage alerts.</w:t>
      </w:r>
    </w:p>
    <w:p w14:paraId="3A05D6D2" w14:textId="77777777" w:rsidR="000D07EA" w:rsidRDefault="00BE7C89">
      <w:pPr>
        <w:pStyle w:val="Heading6"/>
        <w:ind w:left="0" w:firstLine="0"/>
      </w:pPr>
      <w:bookmarkStart w:id="1031" w:name="_Toc416246807"/>
      <w:bookmarkStart w:id="1032" w:name="_Toc419376647"/>
      <w:bookmarkStart w:id="1033" w:name="_Toc431283572"/>
      <w:r>
        <w:t xml:space="preserve">What happens if the </w:t>
      </w:r>
      <w:r>
        <w:rPr>
          <w:i/>
        </w:rPr>
        <w:t xml:space="preserve">service </w:t>
      </w:r>
      <w:r>
        <w:t>is</w:t>
      </w:r>
      <w:r>
        <w:rPr>
          <w:i/>
        </w:rPr>
        <w:t xml:space="preserve"> cancelled</w:t>
      </w:r>
      <w:r>
        <w:t>?</w:t>
      </w:r>
      <w:bookmarkEnd w:id="1031"/>
      <w:bookmarkEnd w:id="1032"/>
      <w:bookmarkEnd w:id="1033"/>
    </w:p>
    <w:p w14:paraId="0D0F04D1" w14:textId="77777777" w:rsidR="000D07EA" w:rsidRDefault="00BE7C89">
      <w:pPr>
        <w:pStyle w:val="Heading7"/>
      </w:pPr>
      <w:r>
        <w:t xml:space="preserve">If </w:t>
      </w:r>
      <w:r>
        <w:rPr>
          <w:i/>
        </w:rPr>
        <w:t>your</w:t>
      </w:r>
      <w:r>
        <w:t xml:space="preserve"> My Plan Business SIM plan is </w:t>
      </w:r>
      <w:r>
        <w:rPr>
          <w:i/>
        </w:rPr>
        <w:t>cancelled</w:t>
      </w:r>
      <w:r>
        <w:t xml:space="preserve">, </w:t>
      </w:r>
      <w:r>
        <w:rPr>
          <w:i/>
        </w:rPr>
        <w:t>your</w:t>
      </w:r>
      <w:r>
        <w:t xml:space="preserve"> Shared Data Plan(s) may also be </w:t>
      </w:r>
      <w:r>
        <w:rPr>
          <w:i/>
        </w:rPr>
        <w:t>cancelled</w:t>
      </w:r>
      <w:r>
        <w:t xml:space="preserve">. There are no </w:t>
      </w:r>
      <w:r>
        <w:rPr>
          <w:i/>
        </w:rPr>
        <w:t>cancellation fees</w:t>
      </w:r>
      <w:r>
        <w:t xml:space="preserve"> for the Shared Data Plan, however if </w:t>
      </w:r>
      <w:r>
        <w:rPr>
          <w:i/>
        </w:rPr>
        <w:t>you</w:t>
      </w:r>
      <w:r>
        <w:t xml:space="preserve"> purchased a </w:t>
      </w:r>
      <w:r>
        <w:rPr>
          <w:i/>
        </w:rPr>
        <w:t>device</w:t>
      </w:r>
      <w:r>
        <w:t xml:space="preserve"> </w:t>
      </w:r>
      <w:r>
        <w:rPr>
          <w:i/>
        </w:rPr>
        <w:t>you</w:t>
      </w:r>
      <w:r>
        <w:t xml:space="preserve"> need to pay the sum of any remaining </w:t>
      </w:r>
      <w:r>
        <w:rPr>
          <w:i/>
        </w:rPr>
        <w:t xml:space="preserve">equipment charges </w:t>
      </w:r>
      <w:r>
        <w:t xml:space="preserve">owing on </w:t>
      </w:r>
      <w:r>
        <w:rPr>
          <w:i/>
        </w:rPr>
        <w:t xml:space="preserve">your device </w:t>
      </w:r>
      <w:r>
        <w:t xml:space="preserve">under the </w:t>
      </w:r>
      <w:r>
        <w:rPr>
          <w:i/>
        </w:rPr>
        <w:t xml:space="preserve">mobile equipment payment plan </w:t>
      </w:r>
      <w:r>
        <w:t xml:space="preserve">(see </w:t>
      </w:r>
      <w:r w:rsidRPr="003D51BB">
        <w:rPr>
          <w:snapToGrid w:val="0"/>
        </w:rPr>
        <w:t>Appendix D</w:t>
      </w:r>
      <w:r>
        <w:t>).</w:t>
      </w:r>
    </w:p>
    <w:p w14:paraId="14388731" w14:textId="77777777" w:rsidR="000D07EA" w:rsidRDefault="00BE7C89">
      <w:pPr>
        <w:pStyle w:val="Heading7"/>
      </w:pPr>
      <w:r>
        <w:t xml:space="preserve">If </w:t>
      </w:r>
      <w:r>
        <w:rPr>
          <w:i/>
        </w:rPr>
        <w:t xml:space="preserve">your </w:t>
      </w:r>
      <w:r>
        <w:t xml:space="preserve">Shared Data Plan is not </w:t>
      </w:r>
      <w:r>
        <w:rPr>
          <w:i/>
        </w:rPr>
        <w:t>cancelled</w:t>
      </w:r>
      <w:r>
        <w:t xml:space="preserve">, </w:t>
      </w:r>
      <w:r>
        <w:rPr>
          <w:i/>
        </w:rPr>
        <w:t>you</w:t>
      </w:r>
      <w:r>
        <w:t xml:space="preserve"> will be charged $10 per 1GB within Australia, up to a maximum of 60GB (per account) in a billing month.</w:t>
      </w:r>
    </w:p>
    <w:p w14:paraId="57A71E4B" w14:textId="77777777" w:rsidR="000D07EA" w:rsidRDefault="00BE7C89">
      <w:pPr>
        <w:pStyle w:val="Heading4"/>
        <w:ind w:left="720" w:hanging="720"/>
      </w:pPr>
      <w:bookmarkStart w:id="1034" w:name="_Toc429127185"/>
      <w:bookmarkStart w:id="1035" w:name="_Toc429391186"/>
      <w:bookmarkStart w:id="1036" w:name="_Toc431469279"/>
      <w:bookmarkStart w:id="1037" w:name="_Toc432586018"/>
      <w:bookmarkStart w:id="1038" w:name="_Toc435703504"/>
      <w:bookmarkStart w:id="1039" w:name="_Toc455147639"/>
      <w:bookmarkStart w:id="1040" w:name="_Toc62644661"/>
      <w:r>
        <w:t>My Plan Business</w:t>
      </w:r>
      <w:bookmarkEnd w:id="1034"/>
      <w:r>
        <w:t xml:space="preserve"> (Promotional)</w:t>
      </w:r>
      <w:bookmarkEnd w:id="1035"/>
      <w:bookmarkEnd w:id="1036"/>
      <w:bookmarkEnd w:id="1037"/>
      <w:bookmarkEnd w:id="1038"/>
      <w:bookmarkEnd w:id="1039"/>
      <w:bookmarkEnd w:id="1040"/>
    </w:p>
    <w:p w14:paraId="414205A1" w14:textId="77777777" w:rsidR="000D07EA" w:rsidRDefault="00BE7C89">
      <w:pPr>
        <w:pStyle w:val="BodyText"/>
        <w:ind w:left="720"/>
      </w:pPr>
      <w:r>
        <w:t xml:space="preserve">This section relates to the following plans. </w:t>
      </w:r>
      <w:r>
        <w:rPr>
          <w:i/>
        </w:rPr>
        <w:t>You</w:t>
      </w:r>
      <w:r>
        <w:t xml:space="preserve"> can find </w:t>
      </w:r>
      <w:r>
        <w:rPr>
          <w:i/>
        </w:rPr>
        <w:t>your</w:t>
      </w:r>
      <w:r>
        <w:t xml:space="preserve"> Plan ID on </w:t>
      </w:r>
      <w:r>
        <w:rPr>
          <w:i/>
        </w:rPr>
        <w:t>your</w:t>
      </w:r>
      <w:r>
        <w:t xml:space="preserve"> bill under the Mobile Number Summary section: </w:t>
      </w:r>
    </w:p>
    <w:tbl>
      <w:tblPr>
        <w:tblW w:w="9639"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1969"/>
        <w:gridCol w:w="3701"/>
      </w:tblGrid>
      <w:tr w:rsidR="000D07EA" w14:paraId="2567AFBA" w14:textId="77777777" w:rsidTr="00536F8B">
        <w:tc>
          <w:tcPr>
            <w:tcW w:w="3969" w:type="dxa"/>
            <w:shd w:val="clear" w:color="auto" w:fill="auto"/>
          </w:tcPr>
          <w:p w14:paraId="1CDEB7EC" w14:textId="77777777" w:rsidR="000D07EA" w:rsidRDefault="00BE7C89">
            <w:pPr>
              <w:pStyle w:val="BodyText"/>
              <w:spacing w:before="100" w:after="100"/>
              <w:jc w:val="center"/>
              <w:rPr>
                <w:b/>
              </w:rPr>
            </w:pPr>
            <w:r>
              <w:rPr>
                <w:b/>
              </w:rPr>
              <w:t>Plan</w:t>
            </w:r>
          </w:p>
        </w:tc>
        <w:tc>
          <w:tcPr>
            <w:tcW w:w="1969" w:type="dxa"/>
            <w:shd w:val="clear" w:color="auto" w:fill="auto"/>
          </w:tcPr>
          <w:p w14:paraId="2742A8AF" w14:textId="77777777" w:rsidR="000D07EA" w:rsidRDefault="00BE7C89">
            <w:pPr>
              <w:pStyle w:val="BodyText"/>
              <w:spacing w:before="100" w:after="100"/>
              <w:jc w:val="center"/>
              <w:rPr>
                <w:b/>
              </w:rPr>
            </w:pPr>
            <w:r>
              <w:rPr>
                <w:b/>
              </w:rPr>
              <w:t>Plan ID</w:t>
            </w:r>
          </w:p>
        </w:tc>
        <w:tc>
          <w:tcPr>
            <w:tcW w:w="3701" w:type="dxa"/>
            <w:shd w:val="clear" w:color="auto" w:fill="auto"/>
          </w:tcPr>
          <w:p w14:paraId="434E1425" w14:textId="77777777" w:rsidR="000D07EA" w:rsidRDefault="00BE7C89">
            <w:pPr>
              <w:pStyle w:val="BodyText"/>
              <w:spacing w:before="100" w:after="100"/>
              <w:jc w:val="center"/>
              <w:rPr>
                <w:b/>
              </w:rPr>
            </w:pPr>
            <w:r>
              <w:rPr>
                <w:b/>
              </w:rPr>
              <w:t>Available</w:t>
            </w:r>
          </w:p>
        </w:tc>
      </w:tr>
      <w:tr w:rsidR="000D07EA" w14:paraId="2619D45D" w14:textId="77777777" w:rsidTr="00536F8B">
        <w:tc>
          <w:tcPr>
            <w:tcW w:w="3969" w:type="dxa"/>
            <w:shd w:val="clear" w:color="auto" w:fill="auto"/>
          </w:tcPr>
          <w:p w14:paraId="15CD35B5" w14:textId="77777777" w:rsidR="000D07EA" w:rsidRDefault="00BE7C89">
            <w:pPr>
              <w:pStyle w:val="BodyText"/>
              <w:spacing w:before="100" w:after="100"/>
              <w:jc w:val="center"/>
            </w:pPr>
            <w:r>
              <w:t>$40 My Plan Business</w:t>
            </w:r>
          </w:p>
        </w:tc>
        <w:tc>
          <w:tcPr>
            <w:tcW w:w="1969" w:type="dxa"/>
            <w:shd w:val="clear" w:color="auto" w:fill="auto"/>
            <w:vAlign w:val="center"/>
          </w:tcPr>
          <w:p w14:paraId="7C923100" w14:textId="77777777" w:rsidR="000D07EA" w:rsidRDefault="00BE7C89">
            <w:pPr>
              <w:pStyle w:val="BodyText"/>
              <w:spacing w:before="100" w:after="100"/>
              <w:jc w:val="center"/>
            </w:pPr>
            <w:r>
              <w:t>800377</w:t>
            </w:r>
            <w:r w:rsidR="003C574B">
              <w:t xml:space="preserve">, </w:t>
            </w:r>
            <w:r w:rsidR="00E45239">
              <w:t>9008181</w:t>
            </w:r>
          </w:p>
        </w:tc>
        <w:tc>
          <w:tcPr>
            <w:tcW w:w="3701" w:type="dxa"/>
            <w:shd w:val="clear" w:color="auto" w:fill="auto"/>
            <w:vAlign w:val="center"/>
          </w:tcPr>
          <w:p w14:paraId="0F6EBB73" w14:textId="77777777" w:rsidR="000D07EA" w:rsidRDefault="00BE7C89">
            <w:pPr>
              <w:pStyle w:val="BodyText"/>
              <w:spacing w:before="100" w:after="100"/>
              <w:jc w:val="center"/>
            </w:pPr>
            <w:r>
              <w:t>18 January 2016 – 10 March 2016</w:t>
            </w:r>
          </w:p>
        </w:tc>
      </w:tr>
      <w:tr w:rsidR="000D07EA" w14:paraId="398FDC0F" w14:textId="77777777" w:rsidTr="00536F8B">
        <w:tc>
          <w:tcPr>
            <w:tcW w:w="3969" w:type="dxa"/>
            <w:shd w:val="clear" w:color="auto" w:fill="auto"/>
          </w:tcPr>
          <w:p w14:paraId="47F4C65B" w14:textId="77777777" w:rsidR="000D07EA" w:rsidRDefault="00BE7C89">
            <w:pPr>
              <w:pStyle w:val="BodyText"/>
              <w:spacing w:before="100" w:after="100"/>
              <w:jc w:val="center"/>
            </w:pPr>
            <w:r>
              <w:t>$60 My Plan Business</w:t>
            </w:r>
          </w:p>
        </w:tc>
        <w:tc>
          <w:tcPr>
            <w:tcW w:w="1969" w:type="dxa"/>
            <w:shd w:val="clear" w:color="auto" w:fill="auto"/>
            <w:vAlign w:val="center"/>
          </w:tcPr>
          <w:p w14:paraId="146A7158" w14:textId="77777777" w:rsidR="000D07EA" w:rsidRDefault="00BE7C89">
            <w:pPr>
              <w:pStyle w:val="BodyText"/>
              <w:spacing w:before="100" w:after="100"/>
              <w:jc w:val="center"/>
            </w:pPr>
            <w:r>
              <w:t>800378</w:t>
            </w:r>
            <w:r w:rsidR="00E45239">
              <w:t>, 8008191</w:t>
            </w:r>
          </w:p>
        </w:tc>
        <w:tc>
          <w:tcPr>
            <w:tcW w:w="3701" w:type="dxa"/>
            <w:shd w:val="clear" w:color="auto" w:fill="auto"/>
            <w:vAlign w:val="center"/>
          </w:tcPr>
          <w:p w14:paraId="528B001B" w14:textId="77777777" w:rsidR="000D07EA" w:rsidRDefault="00BE7C89">
            <w:pPr>
              <w:pStyle w:val="BodyText"/>
              <w:spacing w:before="100" w:after="100"/>
              <w:jc w:val="center"/>
            </w:pPr>
            <w:r>
              <w:t>18 January 2016 – 10 March 2016</w:t>
            </w:r>
          </w:p>
        </w:tc>
      </w:tr>
      <w:tr w:rsidR="000D07EA" w14:paraId="4B88E5FD" w14:textId="77777777" w:rsidTr="00536F8B">
        <w:tc>
          <w:tcPr>
            <w:tcW w:w="3969" w:type="dxa"/>
            <w:shd w:val="clear" w:color="auto" w:fill="auto"/>
          </w:tcPr>
          <w:p w14:paraId="5EF9F387" w14:textId="77777777" w:rsidR="000D07EA" w:rsidRDefault="00BE7C89">
            <w:pPr>
              <w:pStyle w:val="BodyText"/>
              <w:spacing w:before="100" w:after="100"/>
              <w:jc w:val="center"/>
            </w:pPr>
            <w:r>
              <w:t>$80 My Plan Business</w:t>
            </w:r>
          </w:p>
        </w:tc>
        <w:tc>
          <w:tcPr>
            <w:tcW w:w="1969" w:type="dxa"/>
            <w:shd w:val="clear" w:color="auto" w:fill="auto"/>
            <w:vAlign w:val="center"/>
          </w:tcPr>
          <w:p w14:paraId="36007835" w14:textId="77777777" w:rsidR="000D07EA" w:rsidRDefault="00BE7C89">
            <w:pPr>
              <w:pStyle w:val="BodyText"/>
              <w:spacing w:before="100" w:after="100"/>
              <w:jc w:val="center"/>
            </w:pPr>
            <w:r>
              <w:t>800317</w:t>
            </w:r>
            <w:r w:rsidR="00E45239">
              <w:t>, 8894071</w:t>
            </w:r>
          </w:p>
        </w:tc>
        <w:tc>
          <w:tcPr>
            <w:tcW w:w="3701" w:type="dxa"/>
            <w:shd w:val="clear" w:color="auto" w:fill="auto"/>
            <w:vAlign w:val="center"/>
          </w:tcPr>
          <w:p w14:paraId="4B104DE3" w14:textId="77777777" w:rsidR="000D07EA" w:rsidRDefault="00BE7C89">
            <w:pPr>
              <w:pStyle w:val="BodyText"/>
              <w:spacing w:before="100" w:after="100"/>
              <w:jc w:val="center"/>
            </w:pPr>
            <w:r>
              <w:t>25 September 2015 – 10 March 2016</w:t>
            </w:r>
          </w:p>
        </w:tc>
      </w:tr>
      <w:tr w:rsidR="000D07EA" w14:paraId="4D915BB3" w14:textId="77777777" w:rsidTr="00536F8B">
        <w:tc>
          <w:tcPr>
            <w:tcW w:w="3969" w:type="dxa"/>
            <w:shd w:val="clear" w:color="auto" w:fill="auto"/>
          </w:tcPr>
          <w:p w14:paraId="5DEC03A9" w14:textId="77777777" w:rsidR="000D07EA" w:rsidRDefault="00BE7C89">
            <w:pPr>
              <w:pStyle w:val="BodyText"/>
              <w:spacing w:before="100" w:after="100"/>
              <w:jc w:val="center"/>
            </w:pPr>
            <w:r>
              <w:t>$100 My Plan Business</w:t>
            </w:r>
          </w:p>
        </w:tc>
        <w:tc>
          <w:tcPr>
            <w:tcW w:w="1969" w:type="dxa"/>
            <w:shd w:val="clear" w:color="auto" w:fill="auto"/>
            <w:vAlign w:val="center"/>
          </w:tcPr>
          <w:p w14:paraId="425541B0" w14:textId="77777777" w:rsidR="000D07EA" w:rsidRDefault="00BE7C89">
            <w:pPr>
              <w:pStyle w:val="BodyText"/>
              <w:spacing w:before="100" w:after="100"/>
              <w:jc w:val="center"/>
            </w:pPr>
            <w:r>
              <w:t>800308</w:t>
            </w:r>
            <w:r w:rsidR="00E45239">
              <w:t>, 8894021</w:t>
            </w:r>
          </w:p>
        </w:tc>
        <w:tc>
          <w:tcPr>
            <w:tcW w:w="3701" w:type="dxa"/>
            <w:shd w:val="clear" w:color="auto" w:fill="auto"/>
            <w:vAlign w:val="center"/>
          </w:tcPr>
          <w:p w14:paraId="5BC5C7DD" w14:textId="77777777" w:rsidR="000D07EA" w:rsidRDefault="00BE7C89">
            <w:pPr>
              <w:pStyle w:val="BodyText"/>
              <w:spacing w:before="100" w:after="100"/>
              <w:jc w:val="center"/>
            </w:pPr>
            <w:r>
              <w:t>9 September 2015– 10 March 2016</w:t>
            </w:r>
          </w:p>
        </w:tc>
      </w:tr>
      <w:tr w:rsidR="000D07EA" w14:paraId="5801ECDA" w14:textId="77777777" w:rsidTr="00536F8B">
        <w:tc>
          <w:tcPr>
            <w:tcW w:w="3969" w:type="dxa"/>
            <w:shd w:val="clear" w:color="auto" w:fill="auto"/>
          </w:tcPr>
          <w:p w14:paraId="5C77C9E0" w14:textId="77777777" w:rsidR="000D07EA" w:rsidRDefault="00BE7C89">
            <w:pPr>
              <w:pStyle w:val="BodyText"/>
              <w:spacing w:before="100" w:after="100"/>
              <w:jc w:val="center"/>
            </w:pPr>
            <w:r>
              <w:t>$130 My Plan Business ($100 Promo)</w:t>
            </w:r>
          </w:p>
        </w:tc>
        <w:tc>
          <w:tcPr>
            <w:tcW w:w="1969" w:type="dxa"/>
            <w:shd w:val="clear" w:color="auto" w:fill="auto"/>
            <w:vAlign w:val="center"/>
          </w:tcPr>
          <w:p w14:paraId="7A888D22" w14:textId="77777777" w:rsidR="000D07EA" w:rsidRDefault="00BE7C89">
            <w:pPr>
              <w:pStyle w:val="BodyText"/>
              <w:spacing w:before="100" w:after="100"/>
              <w:jc w:val="center"/>
            </w:pPr>
            <w:r>
              <w:t>800341</w:t>
            </w:r>
            <w:r w:rsidR="00E45239">
              <w:t>, 9008101</w:t>
            </w:r>
          </w:p>
        </w:tc>
        <w:tc>
          <w:tcPr>
            <w:tcW w:w="3701" w:type="dxa"/>
            <w:shd w:val="clear" w:color="auto" w:fill="auto"/>
            <w:vAlign w:val="center"/>
          </w:tcPr>
          <w:p w14:paraId="639B4DBB" w14:textId="77777777" w:rsidR="000D07EA" w:rsidRDefault="00BE7C89">
            <w:pPr>
              <w:pStyle w:val="BodyText"/>
              <w:spacing w:before="100" w:after="100"/>
              <w:jc w:val="center"/>
            </w:pPr>
            <w:r>
              <w:t>5 January 2015 – 10 March 2016</w:t>
            </w:r>
          </w:p>
        </w:tc>
      </w:tr>
      <w:tr w:rsidR="000D07EA" w14:paraId="342F693D" w14:textId="77777777" w:rsidTr="00536F8B">
        <w:tc>
          <w:tcPr>
            <w:tcW w:w="3969" w:type="dxa"/>
            <w:shd w:val="clear" w:color="auto" w:fill="auto"/>
            <w:vAlign w:val="center"/>
          </w:tcPr>
          <w:p w14:paraId="5CE852F1" w14:textId="77777777" w:rsidR="000D07EA" w:rsidRDefault="00BE7C89">
            <w:pPr>
              <w:pStyle w:val="BodyText"/>
              <w:spacing w:before="100" w:after="100"/>
              <w:jc w:val="center"/>
            </w:pPr>
            <w:r>
              <w:lastRenderedPageBreak/>
              <w:t>$135 My Plan Business</w:t>
            </w:r>
          </w:p>
        </w:tc>
        <w:tc>
          <w:tcPr>
            <w:tcW w:w="1969" w:type="dxa"/>
            <w:shd w:val="clear" w:color="auto" w:fill="auto"/>
            <w:vAlign w:val="center"/>
          </w:tcPr>
          <w:p w14:paraId="57C2C908" w14:textId="77777777" w:rsidR="000D07EA" w:rsidRDefault="00BE7C89">
            <w:pPr>
              <w:pStyle w:val="BodyText"/>
              <w:spacing w:before="100" w:after="100"/>
              <w:jc w:val="center"/>
            </w:pPr>
            <w:r>
              <w:t>800309</w:t>
            </w:r>
            <w:r w:rsidR="00E45239">
              <w:t>, 8894031</w:t>
            </w:r>
          </w:p>
        </w:tc>
        <w:tc>
          <w:tcPr>
            <w:tcW w:w="3701" w:type="dxa"/>
            <w:shd w:val="clear" w:color="auto" w:fill="auto"/>
            <w:vAlign w:val="center"/>
          </w:tcPr>
          <w:p w14:paraId="66A71DCF" w14:textId="77777777" w:rsidR="000D07EA" w:rsidRDefault="00BE7C89">
            <w:pPr>
              <w:pStyle w:val="BodyText"/>
              <w:spacing w:before="100" w:after="100"/>
              <w:jc w:val="center"/>
            </w:pPr>
            <w:r>
              <w:t>9 September 2015- 22 November 2015</w:t>
            </w:r>
          </w:p>
        </w:tc>
      </w:tr>
      <w:tr w:rsidR="000D07EA" w14:paraId="2E31BAC4" w14:textId="77777777" w:rsidTr="00536F8B">
        <w:tc>
          <w:tcPr>
            <w:tcW w:w="3969" w:type="dxa"/>
            <w:shd w:val="clear" w:color="auto" w:fill="auto"/>
            <w:vAlign w:val="center"/>
          </w:tcPr>
          <w:p w14:paraId="19E5173D" w14:textId="77777777" w:rsidR="000D07EA" w:rsidRDefault="00BE7C89">
            <w:pPr>
              <w:pStyle w:val="BodyText"/>
              <w:spacing w:before="100" w:after="100"/>
              <w:jc w:val="center"/>
            </w:pPr>
            <w:r>
              <w:t>$135 My Plan Business ($100 Promo)</w:t>
            </w:r>
          </w:p>
        </w:tc>
        <w:tc>
          <w:tcPr>
            <w:tcW w:w="1969" w:type="dxa"/>
            <w:shd w:val="clear" w:color="auto" w:fill="auto"/>
            <w:vAlign w:val="center"/>
          </w:tcPr>
          <w:p w14:paraId="04B93CFB" w14:textId="77777777" w:rsidR="000D07EA" w:rsidRDefault="00BE7C89">
            <w:pPr>
              <w:pStyle w:val="BodyText"/>
              <w:spacing w:before="100" w:after="100"/>
              <w:jc w:val="center"/>
            </w:pPr>
            <w:r>
              <w:t>800349</w:t>
            </w:r>
            <w:r w:rsidR="00E45239">
              <w:t>, 9008131</w:t>
            </w:r>
          </w:p>
        </w:tc>
        <w:tc>
          <w:tcPr>
            <w:tcW w:w="3701" w:type="dxa"/>
            <w:shd w:val="clear" w:color="auto" w:fill="auto"/>
            <w:vAlign w:val="center"/>
          </w:tcPr>
          <w:p w14:paraId="5165170A" w14:textId="77777777" w:rsidR="000D07EA" w:rsidRDefault="00BE7C89">
            <w:pPr>
              <w:pStyle w:val="BodyText"/>
              <w:spacing w:before="100" w:after="100"/>
              <w:jc w:val="center"/>
            </w:pPr>
            <w:r>
              <w:t>22 November 2015 – 4 January 2016</w:t>
            </w:r>
          </w:p>
        </w:tc>
      </w:tr>
    </w:tbl>
    <w:p w14:paraId="44D6CCC4" w14:textId="77777777" w:rsidR="000D07EA" w:rsidRDefault="000D07EA">
      <w:pPr>
        <w:pStyle w:val="BodyText"/>
        <w:rPr>
          <w:lang w:val="en-AU"/>
        </w:rPr>
      </w:pPr>
      <w:bookmarkStart w:id="1041" w:name="_Toc429127186"/>
      <w:bookmarkStart w:id="1042" w:name="_Toc432586019"/>
    </w:p>
    <w:p w14:paraId="7F7A53B1" w14:textId="77777777" w:rsidR="000D07EA" w:rsidRDefault="00BE7C89">
      <w:pPr>
        <w:pStyle w:val="Heading6"/>
        <w:ind w:left="0" w:firstLine="0"/>
      </w:pPr>
      <w:r>
        <w:t>Eligibility</w:t>
      </w:r>
      <w:bookmarkEnd w:id="1041"/>
      <w:bookmarkEnd w:id="1042"/>
      <w:r>
        <w:t xml:space="preserve"> </w:t>
      </w:r>
    </w:p>
    <w:p w14:paraId="12E99B00" w14:textId="77777777" w:rsidR="000D07EA" w:rsidRDefault="00BE7C89">
      <w:pPr>
        <w:pStyle w:val="BodyText"/>
        <w:ind w:left="720"/>
      </w:pPr>
      <w:r>
        <w:t xml:space="preserve">The My Plan Business plans are available to new and existing mobile customers connecting to the </w:t>
      </w:r>
      <w:r>
        <w:rPr>
          <w:i/>
        </w:rPr>
        <w:t xml:space="preserve">service </w:t>
      </w:r>
      <w:r>
        <w:t xml:space="preserve">who pass Optus' credit assessment. </w:t>
      </w:r>
    </w:p>
    <w:p w14:paraId="26EBFF7B" w14:textId="77777777" w:rsidR="000D07EA" w:rsidRDefault="00BE7C89">
      <w:pPr>
        <w:pStyle w:val="BodyText"/>
        <w:ind w:left="720"/>
        <w:rPr>
          <w:szCs w:val="20"/>
        </w:rPr>
      </w:pPr>
      <w:r>
        <w:t>The $40/$60 My Plan Business plans are available via Optus' online shop.</w:t>
      </w:r>
    </w:p>
    <w:p w14:paraId="46B4D92A" w14:textId="77777777" w:rsidR="000D07EA" w:rsidRDefault="00BE7C89">
      <w:pPr>
        <w:pStyle w:val="BodyText"/>
        <w:ind w:left="720"/>
      </w:pPr>
      <w:r>
        <w:t>Optus Service Providers' customers are not eligible to apply</w:t>
      </w:r>
      <w:r>
        <w:rPr>
          <w:snapToGrid w:val="0"/>
        </w:rPr>
        <w:t>.</w:t>
      </w:r>
    </w:p>
    <w:p w14:paraId="22FC050A" w14:textId="77777777" w:rsidR="000D07EA" w:rsidRDefault="00BE7C89">
      <w:pPr>
        <w:pStyle w:val="BodyText"/>
        <w:ind w:left="720"/>
      </w:pPr>
      <w:r>
        <w:t xml:space="preserve">These </w:t>
      </w:r>
      <w:r>
        <w:rPr>
          <w:i/>
        </w:rPr>
        <w:t>plans</w:t>
      </w:r>
      <w:r>
        <w:t xml:space="preserve"> aren't compatible for data use with BlackBerry handsets on operating systems of 7.1 or earlier.</w:t>
      </w:r>
    </w:p>
    <w:p w14:paraId="395A0FDF" w14:textId="77777777" w:rsidR="000D07EA" w:rsidRDefault="00BE7C89">
      <w:pPr>
        <w:pStyle w:val="Heading6"/>
        <w:keepNext/>
        <w:ind w:left="0" w:firstLine="0"/>
      </w:pPr>
      <w:r>
        <w:t>Minimum</w:t>
      </w:r>
      <w:bookmarkStart w:id="1043" w:name="_Toc429127187"/>
      <w:bookmarkStart w:id="1044" w:name="_Toc432586020"/>
      <w:r>
        <w:rPr>
          <w:snapToGrid w:val="0"/>
        </w:rPr>
        <w:t xml:space="preserve"> Term</w:t>
      </w:r>
      <w:bookmarkEnd w:id="1043"/>
      <w:bookmarkEnd w:id="1044"/>
    </w:p>
    <w:p w14:paraId="4F1FC38A" w14:textId="77777777" w:rsidR="000D07EA" w:rsidRDefault="00BE7C89">
      <w:pPr>
        <w:pStyle w:val="BodyText"/>
        <w:ind w:left="720"/>
      </w:pPr>
      <w:r>
        <w:t xml:space="preserve">These </w:t>
      </w:r>
      <w:r>
        <w:rPr>
          <w:i/>
        </w:rPr>
        <w:t xml:space="preserve">plans </w:t>
      </w:r>
      <w:r>
        <w:t xml:space="preserve">have a </w:t>
      </w:r>
      <w:r>
        <w:rPr>
          <w:i/>
        </w:rPr>
        <w:t>fixed length agreement</w:t>
      </w:r>
      <w:r>
        <w:t xml:space="preserve"> with a 24 month </w:t>
      </w:r>
      <w:r>
        <w:rPr>
          <w:i/>
        </w:rPr>
        <w:t>minimum term</w:t>
      </w:r>
      <w:r>
        <w:t>.</w:t>
      </w:r>
    </w:p>
    <w:p w14:paraId="109D63B2" w14:textId="77777777" w:rsidR="000D07EA" w:rsidRDefault="00BE7C89">
      <w:pPr>
        <w:pStyle w:val="Heading6"/>
        <w:ind w:left="0" w:firstLine="0"/>
      </w:pPr>
      <w:bookmarkStart w:id="1045" w:name="_Toc429127188"/>
      <w:bookmarkStart w:id="1046" w:name="_Toc432586021"/>
      <w:r>
        <w:t>What you have to pay us</w:t>
      </w:r>
      <w:bookmarkEnd w:id="1045"/>
      <w:bookmarkEnd w:id="1046"/>
    </w:p>
    <w:p w14:paraId="01065FFC" w14:textId="77777777" w:rsidR="000D07EA" w:rsidRDefault="00BE7C89">
      <w:pPr>
        <w:pStyle w:val="Heading7"/>
      </w:pPr>
      <w:r>
        <w:rPr>
          <w:i/>
        </w:rPr>
        <w:t>You</w:t>
      </w:r>
      <w:r>
        <w:t xml:space="preserve"> must pay </w:t>
      </w:r>
      <w:r>
        <w:rPr>
          <w:i/>
        </w:rPr>
        <w:t>us</w:t>
      </w:r>
      <w:r>
        <w:t xml:space="preserve"> for use of the </w:t>
      </w:r>
      <w:r>
        <w:rPr>
          <w:i/>
        </w:rPr>
        <w:t>service</w:t>
      </w:r>
      <w:r>
        <w:t xml:space="preserve"> at the rates set out in Section 1 of this </w:t>
      </w:r>
      <w:r>
        <w:rPr>
          <w:i/>
        </w:rPr>
        <w:t>standard pricing table</w:t>
      </w:r>
      <w:r>
        <w:t xml:space="preserve"> and for value added service features at the rates set out in </w:t>
      </w:r>
      <w:hyperlink r:id="rId604" w:history="1">
        <w:r>
          <w:rPr>
            <w:rStyle w:val="Hyperlink"/>
            <w:i/>
          </w:rPr>
          <w:t>Appendix Y Value Added Service Features</w:t>
        </w:r>
      </w:hyperlink>
      <w:r>
        <w:rPr>
          <w:i/>
        </w:rPr>
        <w:t>.</w:t>
      </w:r>
    </w:p>
    <w:p w14:paraId="6C9D027D" w14:textId="77777777" w:rsidR="000D07EA" w:rsidRDefault="00BE7C89">
      <w:pPr>
        <w:pStyle w:val="Heading7"/>
      </w:pPr>
      <w:r>
        <w:t>If there is a flagfall for a particular call type, the charge for these calls is the flagfall amount plus the relevant rate for the call multiplied by the duration of the call.</w:t>
      </w:r>
    </w:p>
    <w:p w14:paraId="5E755B3D" w14:textId="77777777" w:rsidR="000D07EA" w:rsidRDefault="00BE7C89">
      <w:pPr>
        <w:pStyle w:val="Heading6"/>
        <w:ind w:left="0" w:firstLine="0"/>
      </w:pPr>
      <w:r>
        <w:t>Minimum Monthly Charge</w:t>
      </w:r>
    </w:p>
    <w:p w14:paraId="573A12D8" w14:textId="77777777" w:rsidR="000D07EA" w:rsidRDefault="00BE7C89">
      <w:pPr>
        <w:pStyle w:val="Heading7"/>
      </w:pPr>
      <w:r>
        <w:t xml:space="preserve">Each My Plan Business plan has a Minimum Monthly Charge amount that you must pay us each month as set out in Table 1 below </w:t>
      </w:r>
    </w:p>
    <w:p w14:paraId="69F1C095" w14:textId="77777777" w:rsidR="000D07EA" w:rsidRDefault="00BE7C89">
      <w:pPr>
        <w:pStyle w:val="Heading7"/>
        <w:rPr>
          <w:szCs w:val="20"/>
        </w:rPr>
      </w:pPr>
      <w:r>
        <w:rPr>
          <w:i/>
          <w:szCs w:val="20"/>
        </w:rPr>
        <w:t>You</w:t>
      </w:r>
      <w:r>
        <w:rPr>
          <w:szCs w:val="20"/>
        </w:rPr>
        <w:t xml:space="preserve"> may purchase a mobile phone (or 'handset') with a 24 month </w:t>
      </w:r>
      <w:r>
        <w:rPr>
          <w:i/>
          <w:szCs w:val="20"/>
        </w:rPr>
        <w:t>equipment term</w:t>
      </w:r>
      <w:r>
        <w:rPr>
          <w:szCs w:val="20"/>
        </w:rPr>
        <w:t xml:space="preserve"> under a </w:t>
      </w:r>
      <w:r>
        <w:rPr>
          <w:i/>
          <w:szCs w:val="20"/>
        </w:rPr>
        <w:t>mobile equipment payment plan</w:t>
      </w:r>
      <w:r>
        <w:rPr>
          <w:szCs w:val="20"/>
        </w:rPr>
        <w:t xml:space="preserve"> (set out in </w:t>
      </w:r>
      <w:hyperlink r:id="rId605" w:history="1">
        <w:r>
          <w:rPr>
            <w:rStyle w:val="Hyperlink"/>
            <w:i/>
          </w:rPr>
          <w:t>Appendix D</w:t>
        </w:r>
      </w:hyperlink>
      <w:r>
        <w:rPr>
          <w:szCs w:val="20"/>
        </w:rPr>
        <w:t xml:space="preserve">) on a 24 month </w:t>
      </w:r>
      <w:r>
        <w:rPr>
          <w:i/>
          <w:szCs w:val="20"/>
        </w:rPr>
        <w:t>fixed-length agreement</w:t>
      </w:r>
      <w:r>
        <w:rPr>
          <w:szCs w:val="20"/>
        </w:rPr>
        <w:t>.</w:t>
      </w:r>
    </w:p>
    <w:p w14:paraId="7A760558" w14:textId="77777777" w:rsidR="000D07EA" w:rsidRDefault="00BE7C89">
      <w:pPr>
        <w:pStyle w:val="Heading6"/>
        <w:ind w:left="0" w:firstLine="0"/>
        <w:rPr>
          <w:snapToGrid w:val="0"/>
        </w:rPr>
      </w:pPr>
      <w:bookmarkStart w:id="1047" w:name="_Toc429127189"/>
      <w:bookmarkStart w:id="1048" w:name="_Toc432586022"/>
      <w:bookmarkStart w:id="1049" w:name="_Ref461555707"/>
      <w:r>
        <w:rPr>
          <w:snapToGrid w:val="0"/>
        </w:rPr>
        <w:t>How My Plan Business works</w:t>
      </w:r>
      <w:bookmarkEnd w:id="1047"/>
      <w:bookmarkEnd w:id="1048"/>
      <w:bookmarkEnd w:id="1049"/>
    </w:p>
    <w:p w14:paraId="1CB7EC6B" w14:textId="77777777" w:rsidR="000D07EA" w:rsidRDefault="00BE7C89">
      <w:pPr>
        <w:pStyle w:val="Heading7"/>
      </w:pPr>
      <w:r>
        <w:t>Each My Plan Business plan referred to in this section has unlimited minutes to use on standard national calls to landlines and mobiles, 13/1300 numbers and voicemail retrievals and an amount of Included Data (for mobile internet use) to share with other services on a My Plan Plus, My Plan Plus SIM Only, My Plan Business (including Tech Fund), My Plan Business SIM, My Mobile Broadband Plus, Mobile Broadband Business or Shared Data Plan on the same account to use within Australia.</w:t>
      </w:r>
    </w:p>
    <w:p w14:paraId="56F58AA1" w14:textId="77777777" w:rsidR="000D07EA" w:rsidRDefault="00BE7C89">
      <w:pPr>
        <w:pStyle w:val="Heading7"/>
        <w:rPr>
          <w:szCs w:val="20"/>
        </w:rPr>
      </w:pPr>
      <w:r>
        <w:rPr>
          <w:szCs w:val="20"/>
        </w:rPr>
        <w:t xml:space="preserve">These plans also include unlimited standard national SMS/MMS and unlimited standard International SMS/MMS to selected countries. The </w:t>
      </w:r>
      <w:r>
        <w:t>$60/$80/$100/$130 ($100 Promo)/$135/$135 ($100 Promo) My Plan Business</w:t>
      </w:r>
      <w:r>
        <w:rPr>
          <w:szCs w:val="20"/>
        </w:rPr>
        <w:t xml:space="preserve"> plans have an amount of included international minutes to use on standard international calls to selected countries. </w:t>
      </w:r>
    </w:p>
    <w:p w14:paraId="24D42073" w14:textId="77777777" w:rsidR="000D07EA" w:rsidRDefault="00BE7C89">
      <w:pPr>
        <w:pStyle w:val="Heading7"/>
        <w:rPr>
          <w:szCs w:val="20"/>
        </w:rPr>
      </w:pPr>
      <w:r>
        <w:rPr>
          <w:szCs w:val="20"/>
        </w:rPr>
        <w:t xml:space="preserve">The $130 ($100 Promo)/$135/$135 ($100 Promo) My Plan Business plans comes with up to 10 days of Optus </w:t>
      </w:r>
      <w:r>
        <w:rPr>
          <w:snapToGrid w:val="0"/>
          <w:szCs w:val="20"/>
        </w:rPr>
        <w:t xml:space="preserve">Travel™ Pack per billing month for use in Zone 1 countries, </w:t>
      </w:r>
    </w:p>
    <w:p w14:paraId="78EDAD12" w14:textId="77777777" w:rsidR="000D07EA" w:rsidRDefault="00BE7C89">
      <w:pPr>
        <w:pStyle w:val="Heading7"/>
        <w:rPr>
          <w:szCs w:val="20"/>
        </w:rPr>
      </w:pPr>
      <w:r>
        <w:rPr>
          <w:szCs w:val="20"/>
        </w:rPr>
        <w:t>Data usage is calculated in one kilobyte increments. International minutes are billed in one minute increments.</w:t>
      </w:r>
    </w:p>
    <w:p w14:paraId="51158ED0" w14:textId="77777777" w:rsidR="000D07EA" w:rsidRDefault="00BE7C89">
      <w:pPr>
        <w:pStyle w:val="Heading7"/>
        <w:rPr>
          <w:szCs w:val="20"/>
        </w:rPr>
      </w:pPr>
      <w:r>
        <w:rPr>
          <w:szCs w:val="20"/>
        </w:rPr>
        <w:t xml:space="preserve">If </w:t>
      </w:r>
      <w:r>
        <w:rPr>
          <w:i/>
          <w:szCs w:val="20"/>
        </w:rPr>
        <w:t xml:space="preserve">you </w:t>
      </w:r>
      <w:r>
        <w:rPr>
          <w:szCs w:val="20"/>
        </w:rPr>
        <w:t>exceed your included shareable data you'll automatically be charged $10 for each additional 1GB of data ("</w:t>
      </w:r>
      <w:r>
        <w:rPr>
          <w:b/>
          <w:szCs w:val="20"/>
        </w:rPr>
        <w:t>Additional Data</w:t>
      </w:r>
      <w:r>
        <w:rPr>
          <w:szCs w:val="20"/>
        </w:rPr>
        <w:t>") that you use (or part thereof) for use within Australia. You can use up to 150GB of extra data per billing account each month. Your service/s may then be restricted or we may continue to charge you at these rates.</w:t>
      </w:r>
    </w:p>
    <w:p w14:paraId="4314A465" w14:textId="77777777" w:rsidR="000D07EA" w:rsidRDefault="00BE7C89">
      <w:pPr>
        <w:pStyle w:val="Heading7"/>
        <w:rPr>
          <w:szCs w:val="20"/>
        </w:rPr>
      </w:pPr>
      <w:r>
        <w:rPr>
          <w:szCs w:val="20"/>
        </w:rPr>
        <w:lastRenderedPageBreak/>
        <w:t xml:space="preserve">Any unused portion of </w:t>
      </w:r>
      <w:r>
        <w:rPr>
          <w:i/>
          <w:szCs w:val="20"/>
        </w:rPr>
        <w:t>your</w:t>
      </w:r>
      <w:r>
        <w:rPr>
          <w:szCs w:val="20"/>
        </w:rPr>
        <w:t xml:space="preserve"> </w:t>
      </w:r>
      <w:r>
        <w:rPr>
          <w:i/>
          <w:szCs w:val="20"/>
        </w:rPr>
        <w:t>plan's</w:t>
      </w:r>
      <w:r>
        <w:rPr>
          <w:szCs w:val="20"/>
        </w:rPr>
        <w:t xml:space="preserve"> Included or Additional Data or International Minutes expires at the end of each month and does not roll over into the next month.</w:t>
      </w:r>
    </w:p>
    <w:p w14:paraId="09F38093" w14:textId="77777777" w:rsidR="000D07EA" w:rsidRDefault="00BE7C89">
      <w:pPr>
        <w:pStyle w:val="Heading7"/>
        <w:rPr>
          <w:szCs w:val="20"/>
        </w:rPr>
      </w:pPr>
      <w:r>
        <w:rPr>
          <w:szCs w:val="20"/>
        </w:rPr>
        <w:t xml:space="preserve">Any unused </w:t>
      </w:r>
      <w:r>
        <w:rPr>
          <w:snapToGrid w:val="0"/>
          <w:szCs w:val="20"/>
        </w:rPr>
        <w:t>days of Optus Travel™ Pack are forfeited and cannot be rolled over to the next billing month</w:t>
      </w:r>
    </w:p>
    <w:p w14:paraId="5D983E9F" w14:textId="77777777" w:rsidR="000D07EA" w:rsidRDefault="00BE7C89">
      <w:pPr>
        <w:pStyle w:val="Heading7"/>
        <w:rPr>
          <w:b/>
          <w:szCs w:val="20"/>
        </w:rPr>
      </w:pPr>
      <w:r>
        <w:rPr>
          <w:i/>
          <w:szCs w:val="20"/>
        </w:rPr>
        <w:t>You</w:t>
      </w:r>
      <w:r>
        <w:rPr>
          <w:szCs w:val="20"/>
        </w:rPr>
        <w:t xml:space="preserve"> must pay </w:t>
      </w:r>
      <w:r>
        <w:rPr>
          <w:i/>
          <w:szCs w:val="20"/>
        </w:rPr>
        <w:t>us</w:t>
      </w:r>
      <w:r>
        <w:rPr>
          <w:szCs w:val="20"/>
        </w:rPr>
        <w:t xml:space="preserve"> for use of any services that are not included in </w:t>
      </w:r>
      <w:r>
        <w:rPr>
          <w:i/>
          <w:szCs w:val="20"/>
        </w:rPr>
        <w:t>your</w:t>
      </w:r>
      <w:r>
        <w:rPr>
          <w:szCs w:val="20"/>
        </w:rPr>
        <w:t xml:space="preserve"> plan's inclusions, examples of which are set out in Table 2 below.</w:t>
      </w:r>
    </w:p>
    <w:p w14:paraId="34A754F2" w14:textId="77777777" w:rsidR="000D07EA" w:rsidRDefault="00BE7C89">
      <w:pPr>
        <w:pStyle w:val="Heading6"/>
        <w:ind w:left="0" w:firstLine="0"/>
        <w:rPr>
          <w:snapToGrid w:val="0"/>
        </w:rPr>
      </w:pPr>
      <w:bookmarkStart w:id="1050" w:name="_Toc429127190"/>
      <w:bookmarkStart w:id="1051" w:name="_Toc432586023"/>
      <w:r>
        <w:rPr>
          <w:snapToGrid w:val="0"/>
        </w:rPr>
        <w:t>Data Sharing</w:t>
      </w:r>
      <w:bookmarkEnd w:id="1050"/>
      <w:bookmarkEnd w:id="1051"/>
    </w:p>
    <w:p w14:paraId="12729312" w14:textId="77777777" w:rsidR="000D07EA" w:rsidRDefault="00BE7C89">
      <w:pPr>
        <w:pStyle w:val="Heading7"/>
        <w:rPr>
          <w:snapToGrid w:val="0"/>
        </w:rPr>
      </w:pPr>
      <w:r>
        <w:rPr>
          <w:snapToGrid w:val="0"/>
        </w:rPr>
        <w:t xml:space="preserve">If </w:t>
      </w:r>
      <w:r>
        <w:rPr>
          <w:i/>
          <w:snapToGrid w:val="0"/>
        </w:rPr>
        <w:t xml:space="preserve">you </w:t>
      </w:r>
      <w:r>
        <w:t>have more than one My Plan Plus, My Plan Plus SIM Only, My Plan Business (including Tech Fund), My Plan Business SIM, My Mobile Broadband Plus or Mobile Broadband Business plans on the same billing account, the included data will combine into one data pool, which will be shared by all eligible services on that account.</w:t>
      </w:r>
    </w:p>
    <w:p w14:paraId="5080D422" w14:textId="77777777" w:rsidR="000D07EA" w:rsidRDefault="00BE7C89">
      <w:pPr>
        <w:pStyle w:val="Heading7"/>
        <w:rPr>
          <w:snapToGrid w:val="0"/>
          <w:szCs w:val="20"/>
        </w:rPr>
      </w:pPr>
      <w:r>
        <w:rPr>
          <w:i/>
          <w:snapToGrid w:val="0"/>
          <w:szCs w:val="20"/>
        </w:rPr>
        <w:t>You</w:t>
      </w:r>
      <w:r>
        <w:rPr>
          <w:snapToGrid w:val="0"/>
          <w:szCs w:val="20"/>
        </w:rPr>
        <w:t xml:space="preserve"> can also share the Included Data in </w:t>
      </w:r>
      <w:r>
        <w:rPr>
          <w:i/>
          <w:snapToGrid w:val="0"/>
          <w:szCs w:val="20"/>
        </w:rPr>
        <w:t>your</w:t>
      </w:r>
      <w:r>
        <w:rPr>
          <w:snapToGrid w:val="0"/>
          <w:szCs w:val="20"/>
        </w:rPr>
        <w:t xml:space="preserve"> My Plan Business plan with up to five (5) SIM-ready mobile broadband devices (eg tablets, USB modems and laptops). </w:t>
      </w:r>
      <w:r>
        <w:rPr>
          <w:i/>
          <w:snapToGrid w:val="0"/>
          <w:szCs w:val="20"/>
        </w:rPr>
        <w:t>You</w:t>
      </w:r>
      <w:r>
        <w:rPr>
          <w:snapToGrid w:val="0"/>
          <w:szCs w:val="20"/>
        </w:rPr>
        <w:t xml:space="preserve"> must connect these mobile broadband devices to Shared Data Plans which have a $5 set up fee each and no ongoing monthly charges. </w:t>
      </w:r>
    </w:p>
    <w:p w14:paraId="7956F7D6" w14:textId="77777777" w:rsidR="000D07EA" w:rsidRDefault="00BE7C89">
      <w:pPr>
        <w:pStyle w:val="Heading7"/>
        <w:rPr>
          <w:snapToGrid w:val="0"/>
          <w:szCs w:val="20"/>
        </w:rPr>
      </w:pPr>
      <w:r>
        <w:rPr>
          <w:i/>
          <w:snapToGrid w:val="0"/>
          <w:szCs w:val="20"/>
        </w:rPr>
        <w:t>We</w:t>
      </w:r>
      <w:r>
        <w:rPr>
          <w:snapToGrid w:val="0"/>
          <w:szCs w:val="20"/>
        </w:rPr>
        <w:t xml:space="preserve"> may place a limit on the number of Shared Data Plans </w:t>
      </w:r>
      <w:r>
        <w:rPr>
          <w:i/>
          <w:snapToGrid w:val="0"/>
          <w:szCs w:val="20"/>
        </w:rPr>
        <w:t>you</w:t>
      </w:r>
      <w:r>
        <w:rPr>
          <w:snapToGrid w:val="0"/>
          <w:szCs w:val="20"/>
        </w:rPr>
        <w:t xml:space="preserve"> can have, based on </w:t>
      </w:r>
      <w:r>
        <w:rPr>
          <w:i/>
          <w:snapToGrid w:val="0"/>
          <w:szCs w:val="20"/>
        </w:rPr>
        <w:t>our</w:t>
      </w:r>
      <w:r>
        <w:rPr>
          <w:snapToGrid w:val="0"/>
          <w:szCs w:val="20"/>
        </w:rPr>
        <w:t xml:space="preserve"> credit criteria.</w:t>
      </w:r>
    </w:p>
    <w:p w14:paraId="186EC4A1" w14:textId="77777777" w:rsidR="000D07EA" w:rsidRDefault="00BE7C89">
      <w:pPr>
        <w:pStyle w:val="Heading7"/>
        <w:rPr>
          <w:snapToGrid w:val="0"/>
          <w:szCs w:val="20"/>
        </w:rPr>
      </w:pPr>
      <w:r>
        <w:rPr>
          <w:snapToGrid w:val="0"/>
          <w:szCs w:val="20"/>
        </w:rPr>
        <w:t>Shared Data Plans do not have any Included Data, and cannot be used to make calls.</w:t>
      </w:r>
    </w:p>
    <w:p w14:paraId="6C7A1FF0" w14:textId="77777777" w:rsidR="000D07EA" w:rsidRDefault="00BE7C89">
      <w:pPr>
        <w:pStyle w:val="Heading7"/>
        <w:rPr>
          <w:snapToGrid w:val="0"/>
          <w:szCs w:val="20"/>
        </w:rPr>
      </w:pPr>
      <w:r>
        <w:rPr>
          <w:i/>
          <w:snapToGrid w:val="0"/>
          <w:szCs w:val="20"/>
        </w:rPr>
        <w:t>You</w:t>
      </w:r>
      <w:r>
        <w:rPr>
          <w:snapToGrid w:val="0"/>
          <w:szCs w:val="20"/>
        </w:rPr>
        <w:t xml:space="preserve"> can purchase one mobile broadband device per Shared Data Plan, and pay for it in full on </w:t>
      </w:r>
      <w:r>
        <w:rPr>
          <w:i/>
          <w:snapToGrid w:val="0"/>
          <w:szCs w:val="20"/>
        </w:rPr>
        <w:t>your</w:t>
      </w:r>
      <w:r>
        <w:rPr>
          <w:snapToGrid w:val="0"/>
          <w:szCs w:val="20"/>
        </w:rPr>
        <w:t xml:space="preserve"> first bill, or pay it off over 12 or 24 months on a </w:t>
      </w:r>
      <w:r>
        <w:rPr>
          <w:i/>
          <w:snapToGrid w:val="0"/>
          <w:szCs w:val="20"/>
        </w:rPr>
        <w:t>Mobile Equipment Payment Plan</w:t>
      </w:r>
      <w:r>
        <w:rPr>
          <w:snapToGrid w:val="0"/>
          <w:szCs w:val="20"/>
        </w:rPr>
        <w:t xml:space="preserve"> (see </w:t>
      </w:r>
      <w:r>
        <w:t>Appendix D</w:t>
      </w:r>
      <w:r>
        <w:rPr>
          <w:snapToGrid w:val="0"/>
          <w:szCs w:val="20"/>
        </w:rPr>
        <w:t>).</w:t>
      </w:r>
    </w:p>
    <w:p w14:paraId="24283705" w14:textId="77777777" w:rsidR="000D07EA" w:rsidRDefault="00BE7C89">
      <w:pPr>
        <w:pStyle w:val="Heading7"/>
        <w:rPr>
          <w:snapToGrid w:val="0"/>
          <w:szCs w:val="20"/>
        </w:rPr>
      </w:pPr>
      <w:r>
        <w:rPr>
          <w:snapToGrid w:val="0"/>
          <w:szCs w:val="20"/>
        </w:rPr>
        <w:t xml:space="preserve">If </w:t>
      </w:r>
      <w:r>
        <w:rPr>
          <w:i/>
          <w:snapToGrid w:val="0"/>
          <w:szCs w:val="20"/>
        </w:rPr>
        <w:t>you</w:t>
      </w:r>
      <w:r>
        <w:rPr>
          <w:snapToGrid w:val="0"/>
          <w:szCs w:val="20"/>
        </w:rPr>
        <w:t xml:space="preserve"> do not want </w:t>
      </w:r>
      <w:r>
        <w:rPr>
          <w:i/>
          <w:snapToGrid w:val="0"/>
          <w:szCs w:val="20"/>
        </w:rPr>
        <w:t>your</w:t>
      </w:r>
      <w:r>
        <w:rPr>
          <w:snapToGrid w:val="0"/>
          <w:szCs w:val="20"/>
        </w:rPr>
        <w:t xml:space="preserve"> services on any</w:t>
      </w:r>
      <w:r>
        <w:rPr>
          <w:szCs w:val="20"/>
        </w:rPr>
        <w:t xml:space="preserve"> My Plan Plus, My Plan Plus SIM Only, My Plan Business (including Tech Fund), My Plan Business SIM, My Mobile Broadband Plus or Mobile Broadband Business plans</w:t>
      </w:r>
      <w:r>
        <w:rPr>
          <w:snapToGrid w:val="0"/>
          <w:szCs w:val="20"/>
        </w:rPr>
        <w:t xml:space="preserve"> to share data, they need to be on separate billing accounts.</w:t>
      </w:r>
    </w:p>
    <w:p w14:paraId="35D385F8" w14:textId="77777777" w:rsidR="000D07EA" w:rsidRDefault="00BE7C89">
      <w:pPr>
        <w:pStyle w:val="Heading7"/>
        <w:rPr>
          <w:snapToGrid w:val="0"/>
          <w:szCs w:val="20"/>
        </w:rPr>
      </w:pPr>
      <w:r>
        <w:rPr>
          <w:snapToGrid w:val="0"/>
          <w:szCs w:val="20"/>
        </w:rPr>
        <w:t>Data sharing is only available within Australia.</w:t>
      </w:r>
    </w:p>
    <w:p w14:paraId="0EC75C0E" w14:textId="77777777" w:rsidR="000D07EA" w:rsidRDefault="00BE7C89">
      <w:pPr>
        <w:pStyle w:val="Heading6"/>
        <w:ind w:left="0" w:firstLine="0"/>
        <w:rPr>
          <w:snapToGrid w:val="0"/>
        </w:rPr>
      </w:pPr>
      <w:bookmarkStart w:id="1052" w:name="_Toc429127191"/>
      <w:bookmarkStart w:id="1053" w:name="_Toc432586024"/>
      <w:r>
        <w:rPr>
          <w:snapToGrid w:val="0"/>
        </w:rPr>
        <w:t>International Minutes</w:t>
      </w:r>
      <w:bookmarkEnd w:id="1052"/>
      <w:bookmarkEnd w:id="1053"/>
    </w:p>
    <w:p w14:paraId="11233A37" w14:textId="77777777" w:rsidR="000D07EA" w:rsidRDefault="00BE7C89">
      <w:pPr>
        <w:pStyle w:val="BodyText"/>
        <w:ind w:left="720"/>
      </w:pPr>
      <w:r>
        <w:t>The $60/$80/$100/$130 ($100 Promo)/$135/$135 ($100 Promo) My Plan Business plan includes up to 150/300/400/unlimited/500/500 international minutes for standard calls to mobiles and fixed lines in selected countries made from within Australia. For a list of selected countries see Table 3 below.</w:t>
      </w:r>
    </w:p>
    <w:p w14:paraId="0F7CFB24" w14:textId="77777777" w:rsidR="000D07EA" w:rsidRDefault="00BE7C89">
      <w:pPr>
        <w:pStyle w:val="BodyText"/>
        <w:ind w:left="720"/>
      </w:pPr>
      <w:r>
        <w:t>Calls are charged per minute. When included minutes for calls to selected countries are used up, standard 'yes' international call charges apply.</w:t>
      </w:r>
    </w:p>
    <w:p w14:paraId="48BB5F88" w14:textId="77777777" w:rsidR="000D07EA" w:rsidRDefault="00BE7C89">
      <w:pPr>
        <w:pStyle w:val="Heading6"/>
        <w:ind w:left="0" w:firstLine="0"/>
        <w:rPr>
          <w:snapToGrid w:val="0"/>
        </w:rPr>
      </w:pPr>
      <w:bookmarkStart w:id="1054" w:name="_Toc429127192"/>
      <w:bookmarkStart w:id="1055" w:name="_Toc432586025"/>
      <w:r>
        <w:rPr>
          <w:snapToGrid w:val="0"/>
        </w:rPr>
        <w:t>Unlimited standard national SMS and MMS</w:t>
      </w:r>
      <w:bookmarkEnd w:id="1054"/>
      <w:bookmarkEnd w:id="1055"/>
    </w:p>
    <w:p w14:paraId="574CBADF" w14:textId="77777777" w:rsidR="000D07EA" w:rsidRDefault="00BE7C89">
      <w:pPr>
        <w:pStyle w:val="BodyText"/>
        <w:ind w:left="720"/>
      </w:pPr>
      <w:r>
        <w:rPr>
          <w:i/>
        </w:rPr>
        <w:t>You</w:t>
      </w:r>
      <w:r>
        <w:t xml:space="preserve"> may send unlimited standard SMS and MMS to Australian mobiles from within Australia.</w:t>
      </w:r>
    </w:p>
    <w:p w14:paraId="35A9EE61" w14:textId="77777777" w:rsidR="000D07EA" w:rsidRDefault="00BE7C89">
      <w:pPr>
        <w:pStyle w:val="BodyText"/>
        <w:ind w:left="720"/>
      </w:pPr>
      <w:r>
        <w:t xml:space="preserve">Unlimited standard national SMS and MMS are only available for personal use and ordinary business use and are not to be used for a commercial or non-ordinary purpose as set out in the Fair Go Policy. For further details refer to </w:t>
      </w:r>
      <w:hyperlink r:id="rId606" w:history="1">
        <w:r>
          <w:rPr>
            <w:rStyle w:val="Hyperlink"/>
            <w:i/>
          </w:rPr>
          <w:t>Appendix S</w:t>
        </w:r>
      </w:hyperlink>
      <w:r>
        <w:t>.</w:t>
      </w:r>
    </w:p>
    <w:p w14:paraId="532AD242" w14:textId="77777777" w:rsidR="000D07EA" w:rsidRDefault="00BE7C89">
      <w:pPr>
        <w:pStyle w:val="Heading6"/>
        <w:ind w:left="0" w:firstLine="0"/>
        <w:rPr>
          <w:snapToGrid w:val="0"/>
        </w:rPr>
      </w:pPr>
      <w:bookmarkStart w:id="1056" w:name="_Toc429127193"/>
      <w:bookmarkStart w:id="1057" w:name="_Toc432586026"/>
      <w:r>
        <w:rPr>
          <w:snapToGrid w:val="0"/>
        </w:rPr>
        <w:t>Unlimited standard international SMS and MMS</w:t>
      </w:r>
      <w:bookmarkEnd w:id="1056"/>
      <w:bookmarkEnd w:id="1057"/>
    </w:p>
    <w:p w14:paraId="2CD111B5" w14:textId="77777777" w:rsidR="000D07EA" w:rsidRDefault="00BE7C89">
      <w:pPr>
        <w:pStyle w:val="BodyText"/>
        <w:ind w:left="720"/>
      </w:pPr>
      <w:r>
        <w:rPr>
          <w:i/>
        </w:rPr>
        <w:t>You</w:t>
      </w:r>
      <w:r>
        <w:t xml:space="preserve"> may send unlimited standard SMS and MMS to selected countries from within Australia as set out in Table 3 below. Unlimited standard SMS and MMS are only available for personal and ordinary business use and are not to be used for a commercial or non-ordinary purpose as set out in the Fair Go Policy. For further details refer to </w:t>
      </w:r>
      <w:hyperlink r:id="rId607" w:history="1">
        <w:r>
          <w:rPr>
            <w:rStyle w:val="Hyperlink"/>
            <w:i/>
          </w:rPr>
          <w:t>Appendix S</w:t>
        </w:r>
      </w:hyperlink>
      <w:r>
        <w:t>.</w:t>
      </w:r>
    </w:p>
    <w:p w14:paraId="6BA11D86" w14:textId="77777777" w:rsidR="000D07EA" w:rsidRDefault="00BE7C89">
      <w:pPr>
        <w:pStyle w:val="Heading6"/>
        <w:ind w:left="0" w:firstLine="0"/>
        <w:rPr>
          <w:snapToGrid w:val="0"/>
        </w:rPr>
      </w:pPr>
      <w:bookmarkStart w:id="1058" w:name="_Toc429124676"/>
      <w:bookmarkStart w:id="1059" w:name="_Toc429127194"/>
      <w:bookmarkStart w:id="1060" w:name="_Ref461555568"/>
      <w:bookmarkStart w:id="1061" w:name="_Toc432586027"/>
      <w:r>
        <w:rPr>
          <w:snapToGrid w:val="0"/>
        </w:rPr>
        <w:t>Optus Travel™ Pack</w:t>
      </w:r>
      <w:bookmarkEnd w:id="1058"/>
      <w:bookmarkEnd w:id="1059"/>
      <w:bookmarkEnd w:id="1060"/>
      <w:r>
        <w:rPr>
          <w:snapToGrid w:val="0"/>
        </w:rPr>
        <w:t xml:space="preserve"> </w:t>
      </w:r>
      <w:bookmarkEnd w:id="1061"/>
    </w:p>
    <w:p w14:paraId="1EF6968B" w14:textId="77777777" w:rsidR="000D07EA" w:rsidRDefault="00BE7C89">
      <w:pPr>
        <w:pStyle w:val="BodyText"/>
        <w:ind w:left="720"/>
        <w:rPr>
          <w:snapToGrid w:val="0"/>
        </w:rPr>
      </w:pPr>
      <w:r>
        <w:rPr>
          <w:snapToGrid w:val="0"/>
        </w:rPr>
        <w:lastRenderedPageBreak/>
        <w:t xml:space="preserve">The </w:t>
      </w:r>
      <w:r>
        <w:t>$130 ($100 Promo)/$135/</w:t>
      </w:r>
      <w:r>
        <w:rPr>
          <w:snapToGrid w:val="0"/>
        </w:rPr>
        <w:t xml:space="preserve">$135 My Plan Business/($100 Promo) have up to 10 days of Optus Travel™ Pack for use within each billing month. </w:t>
      </w:r>
      <w:r>
        <w:rPr>
          <w:i/>
          <w:snapToGrid w:val="0"/>
        </w:rPr>
        <w:t>You</w:t>
      </w:r>
      <w:r>
        <w:rPr>
          <w:snapToGrid w:val="0"/>
        </w:rPr>
        <w:t xml:space="preserve"> need to ensure your Optus Travel™ Pack is active by contacting Optus prior to use. Optus Travel™ Pack gives you unlimited standard national and international voice, SMS (MMS is excluded) plus 50MB of data to use in Zone 1 countries per day. For list of countries see</w:t>
      </w:r>
      <w:r>
        <w:rPr>
          <w:b/>
          <w:snapToGrid w:val="0"/>
        </w:rPr>
        <w:t xml:space="preserve"> </w:t>
      </w:r>
      <w:r>
        <w:rPr>
          <w:snapToGrid w:val="0"/>
        </w:rPr>
        <w:t>optus.com.au/travel</w:t>
      </w:r>
    </w:p>
    <w:p w14:paraId="74FA0585" w14:textId="77777777" w:rsidR="000D07EA" w:rsidRDefault="00BE7C89">
      <w:pPr>
        <w:pStyle w:val="BodyText"/>
        <w:ind w:left="720"/>
        <w:rPr>
          <w:snapToGrid w:val="0"/>
        </w:rPr>
      </w:pPr>
      <w:r>
        <w:rPr>
          <w:i/>
          <w:snapToGrid w:val="0"/>
        </w:rPr>
        <w:t>You</w:t>
      </w:r>
      <w:r>
        <w:rPr>
          <w:snapToGrid w:val="0"/>
        </w:rPr>
        <w:t xml:space="preserve"> can activate the Optus Travel™ Pack on a day to day basis or multiple days at once. If you activate multiple consecutive days, the data allowance will accumulate, for example activate 5 consecutive days and use 250MB any time over the 5 day period. If you exceed the data limit, standard data roaming charges will apply. Any data provided as part of Optus Travel™ Pack is not shareable and will not form part of any Data Pool. Any unused days of Optus Travel™ Pack are forfeited and cannot be rolled over to the next billing month.</w:t>
      </w:r>
    </w:p>
    <w:p w14:paraId="36B2B3E8" w14:textId="77777777" w:rsidR="000D07EA" w:rsidRDefault="00BE7C89">
      <w:pPr>
        <w:pStyle w:val="BodyText"/>
        <w:ind w:left="720"/>
        <w:rPr>
          <w:snapToGrid w:val="0"/>
        </w:rPr>
      </w:pPr>
      <w:r>
        <w:rPr>
          <w:snapToGrid w:val="0"/>
        </w:rPr>
        <w:t>If you are not in a Zone 1 country you will be charged at standard roaming rates for that country.</w:t>
      </w:r>
    </w:p>
    <w:p w14:paraId="00AC970A" w14:textId="77777777" w:rsidR="000D07EA" w:rsidRDefault="00BE7C89">
      <w:pPr>
        <w:pStyle w:val="Heading6"/>
        <w:keepNext/>
        <w:ind w:left="0" w:firstLine="0"/>
        <w:rPr>
          <w:snapToGrid w:val="0"/>
        </w:rPr>
      </w:pPr>
      <w:bookmarkStart w:id="1062" w:name="_Toc429127195"/>
      <w:bookmarkStart w:id="1063" w:name="_Toc432586028"/>
      <w:r>
        <w:rPr>
          <w:snapToGrid w:val="0"/>
        </w:rPr>
        <w:t>Additional benefit – Handset Credit</w:t>
      </w:r>
      <w:bookmarkEnd w:id="1062"/>
      <w:bookmarkEnd w:id="1063"/>
    </w:p>
    <w:p w14:paraId="782B003E" w14:textId="77777777" w:rsidR="000D07EA" w:rsidRDefault="00BE7C89">
      <w:pPr>
        <w:pStyle w:val="Heading7"/>
      </w:pPr>
      <w:r>
        <w:rPr>
          <w:i/>
        </w:rPr>
        <w:t xml:space="preserve">When you </w:t>
      </w:r>
      <w:r>
        <w:t xml:space="preserve">connect to a My Plan Business which has a monthly phone credit ('Handset Credit') each month for </w:t>
      </w:r>
      <w:r>
        <w:rPr>
          <w:i/>
        </w:rPr>
        <w:t>your minimum term</w:t>
      </w:r>
      <w:r>
        <w:t xml:space="preserve">, this will reduce the monthly repayment costs of the handset </w:t>
      </w:r>
      <w:r>
        <w:rPr>
          <w:i/>
        </w:rPr>
        <w:t xml:space="preserve">you </w:t>
      </w:r>
      <w:r>
        <w:t xml:space="preserve">have chosen with </w:t>
      </w:r>
      <w:r>
        <w:rPr>
          <w:i/>
        </w:rPr>
        <w:t>your pricing plan</w:t>
      </w:r>
      <w:r>
        <w:t xml:space="preserve">. </w:t>
      </w:r>
    </w:p>
    <w:p w14:paraId="24B551C6" w14:textId="77777777" w:rsidR="000D07EA" w:rsidRDefault="00BE7C89">
      <w:pPr>
        <w:pStyle w:val="Heading7"/>
        <w:rPr>
          <w:szCs w:val="20"/>
        </w:rPr>
      </w:pPr>
      <w:r>
        <w:rPr>
          <w:szCs w:val="20"/>
        </w:rPr>
        <w:t xml:space="preserve">If </w:t>
      </w:r>
      <w:r>
        <w:rPr>
          <w:i/>
          <w:szCs w:val="20"/>
        </w:rPr>
        <w:t>you</w:t>
      </w:r>
      <w:r>
        <w:rPr>
          <w:szCs w:val="20"/>
        </w:rPr>
        <w:t xml:space="preserve"> </w:t>
      </w:r>
      <w:r>
        <w:rPr>
          <w:i/>
          <w:szCs w:val="20"/>
        </w:rPr>
        <w:t>cancel your pricing plan</w:t>
      </w:r>
      <w:r>
        <w:rPr>
          <w:szCs w:val="20"/>
        </w:rPr>
        <w:t xml:space="preserve"> or the </w:t>
      </w:r>
      <w:r>
        <w:rPr>
          <w:i/>
          <w:szCs w:val="20"/>
        </w:rPr>
        <w:t xml:space="preserve">mobile equipment payment plan </w:t>
      </w:r>
      <w:r>
        <w:rPr>
          <w:szCs w:val="20"/>
        </w:rPr>
        <w:t xml:space="preserve">during </w:t>
      </w:r>
      <w:r>
        <w:rPr>
          <w:i/>
          <w:szCs w:val="20"/>
        </w:rPr>
        <w:t>your minimum term</w:t>
      </w:r>
      <w:r>
        <w:rPr>
          <w:szCs w:val="20"/>
        </w:rPr>
        <w:t xml:space="preserve">, </w:t>
      </w:r>
      <w:r>
        <w:rPr>
          <w:i/>
          <w:szCs w:val="20"/>
        </w:rPr>
        <w:t>you</w:t>
      </w:r>
      <w:r>
        <w:rPr>
          <w:szCs w:val="20"/>
        </w:rPr>
        <w:t xml:space="preserve"> will no longer be entitled to these Handset Credits and </w:t>
      </w:r>
      <w:r>
        <w:rPr>
          <w:i/>
          <w:szCs w:val="20"/>
        </w:rPr>
        <w:t>you</w:t>
      </w:r>
      <w:r>
        <w:rPr>
          <w:szCs w:val="20"/>
        </w:rPr>
        <w:t xml:space="preserve"> must pay the remaining handset repayments in full in addition to any </w:t>
      </w:r>
      <w:r>
        <w:rPr>
          <w:i/>
          <w:szCs w:val="20"/>
        </w:rPr>
        <w:t>cancellation fee</w:t>
      </w:r>
      <w:r>
        <w:rPr>
          <w:szCs w:val="20"/>
        </w:rPr>
        <w:t>.</w:t>
      </w:r>
    </w:p>
    <w:p w14:paraId="5B0ED2B3" w14:textId="77777777" w:rsidR="000D07EA" w:rsidRDefault="00BE7C89">
      <w:pPr>
        <w:pStyle w:val="BodyText"/>
        <w:ind w:left="720"/>
        <w:rPr>
          <w:b/>
        </w:rPr>
      </w:pPr>
      <w:r>
        <w:rPr>
          <w:b/>
        </w:rPr>
        <w:t>Table 1 –Plan Inclusions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519"/>
        <w:gridCol w:w="1237"/>
        <w:gridCol w:w="1239"/>
        <w:gridCol w:w="1098"/>
        <w:gridCol w:w="139"/>
        <w:gridCol w:w="1239"/>
        <w:gridCol w:w="1237"/>
        <w:gridCol w:w="1239"/>
        <w:gridCol w:w="1241"/>
      </w:tblGrid>
      <w:tr w:rsidR="000D07EA" w14:paraId="704CFB64" w14:textId="77777777">
        <w:trPr>
          <w:tblHeader/>
        </w:trPr>
        <w:tc>
          <w:tcPr>
            <w:tcW w:w="746" w:type="pct"/>
            <w:shd w:val="clear" w:color="auto" w:fill="auto"/>
          </w:tcPr>
          <w:p w14:paraId="62B5F897" w14:textId="77777777" w:rsidR="000D07EA" w:rsidRDefault="000D07EA">
            <w:pPr>
              <w:pStyle w:val="BodyText"/>
              <w:spacing w:before="100" w:after="100"/>
              <w:rPr>
                <w:szCs w:val="20"/>
              </w:rPr>
            </w:pPr>
          </w:p>
        </w:tc>
        <w:tc>
          <w:tcPr>
            <w:tcW w:w="607" w:type="pct"/>
          </w:tcPr>
          <w:p w14:paraId="7A0E9158" w14:textId="77777777" w:rsidR="000D07EA" w:rsidRDefault="00BE7C89">
            <w:pPr>
              <w:pStyle w:val="BodyText"/>
              <w:spacing w:before="100" w:after="100"/>
              <w:jc w:val="center"/>
              <w:rPr>
                <w:b/>
                <w:szCs w:val="20"/>
              </w:rPr>
            </w:pPr>
            <w:r>
              <w:rPr>
                <w:b/>
                <w:szCs w:val="20"/>
              </w:rPr>
              <w:t>$40 My Plan Business</w:t>
            </w:r>
          </w:p>
        </w:tc>
        <w:tc>
          <w:tcPr>
            <w:tcW w:w="608" w:type="pct"/>
          </w:tcPr>
          <w:p w14:paraId="1BEACAAB" w14:textId="77777777" w:rsidR="000D07EA" w:rsidRDefault="00BE7C89">
            <w:pPr>
              <w:pStyle w:val="BodyText"/>
              <w:spacing w:before="100" w:after="100"/>
              <w:jc w:val="center"/>
              <w:rPr>
                <w:b/>
                <w:szCs w:val="20"/>
              </w:rPr>
            </w:pPr>
            <w:r>
              <w:rPr>
                <w:b/>
                <w:szCs w:val="20"/>
              </w:rPr>
              <w:t>$60 My Plan Business</w:t>
            </w:r>
          </w:p>
        </w:tc>
        <w:tc>
          <w:tcPr>
            <w:tcW w:w="607" w:type="pct"/>
            <w:gridSpan w:val="2"/>
          </w:tcPr>
          <w:p w14:paraId="196DB29A" w14:textId="77777777" w:rsidR="000D07EA" w:rsidRDefault="00BE7C89">
            <w:pPr>
              <w:pStyle w:val="BodyText"/>
              <w:spacing w:before="100" w:after="100"/>
              <w:jc w:val="center"/>
              <w:rPr>
                <w:b/>
                <w:szCs w:val="20"/>
              </w:rPr>
            </w:pPr>
            <w:r>
              <w:rPr>
                <w:b/>
                <w:szCs w:val="20"/>
              </w:rPr>
              <w:t>$80 My Plan Business</w:t>
            </w:r>
          </w:p>
        </w:tc>
        <w:tc>
          <w:tcPr>
            <w:tcW w:w="608" w:type="pct"/>
          </w:tcPr>
          <w:p w14:paraId="2069856E" w14:textId="77777777" w:rsidR="000D07EA" w:rsidRDefault="00BE7C89">
            <w:pPr>
              <w:pStyle w:val="BodyText"/>
              <w:spacing w:before="100" w:after="100"/>
              <w:jc w:val="center"/>
              <w:rPr>
                <w:b/>
                <w:szCs w:val="20"/>
              </w:rPr>
            </w:pPr>
            <w:r>
              <w:rPr>
                <w:b/>
                <w:szCs w:val="20"/>
              </w:rPr>
              <w:t>$100 My Plan Business</w:t>
            </w:r>
          </w:p>
        </w:tc>
        <w:tc>
          <w:tcPr>
            <w:tcW w:w="607" w:type="pct"/>
          </w:tcPr>
          <w:p w14:paraId="0B308B61" w14:textId="77777777" w:rsidR="000D07EA" w:rsidRDefault="00BE7C89">
            <w:pPr>
              <w:pStyle w:val="BodyText"/>
              <w:spacing w:before="100" w:after="100"/>
              <w:jc w:val="center"/>
              <w:rPr>
                <w:b/>
                <w:szCs w:val="20"/>
              </w:rPr>
            </w:pPr>
            <w:r>
              <w:rPr>
                <w:b/>
                <w:szCs w:val="20"/>
              </w:rPr>
              <w:t>$130 My Plan Business ($100 promo)</w:t>
            </w:r>
          </w:p>
        </w:tc>
        <w:tc>
          <w:tcPr>
            <w:tcW w:w="608" w:type="pct"/>
          </w:tcPr>
          <w:p w14:paraId="605FC77A" w14:textId="77777777" w:rsidR="000D07EA" w:rsidRDefault="00BE7C89">
            <w:pPr>
              <w:pStyle w:val="BodyText"/>
              <w:spacing w:before="100" w:after="100"/>
              <w:jc w:val="center"/>
              <w:rPr>
                <w:b/>
                <w:szCs w:val="20"/>
              </w:rPr>
            </w:pPr>
            <w:r>
              <w:rPr>
                <w:b/>
                <w:szCs w:val="20"/>
              </w:rPr>
              <w:t>$135 My Plan Business</w:t>
            </w:r>
          </w:p>
        </w:tc>
        <w:tc>
          <w:tcPr>
            <w:tcW w:w="608" w:type="pct"/>
          </w:tcPr>
          <w:p w14:paraId="557478D9" w14:textId="77777777" w:rsidR="000D07EA" w:rsidRDefault="00BE7C89">
            <w:pPr>
              <w:pStyle w:val="BodyText"/>
              <w:spacing w:before="100" w:after="100"/>
              <w:jc w:val="center"/>
              <w:rPr>
                <w:b/>
                <w:szCs w:val="20"/>
              </w:rPr>
            </w:pPr>
            <w:r>
              <w:rPr>
                <w:b/>
                <w:szCs w:val="20"/>
              </w:rPr>
              <w:t>$135 My Plan Business ($100 Promo)</w:t>
            </w:r>
          </w:p>
        </w:tc>
      </w:tr>
      <w:tr w:rsidR="000D07EA" w14:paraId="3E265DFB" w14:textId="77777777">
        <w:tc>
          <w:tcPr>
            <w:tcW w:w="746" w:type="pct"/>
            <w:shd w:val="clear" w:color="auto" w:fill="auto"/>
          </w:tcPr>
          <w:p w14:paraId="54550E02" w14:textId="77777777" w:rsidR="000D07EA" w:rsidRDefault="00BE7C89">
            <w:pPr>
              <w:pStyle w:val="BodyText"/>
              <w:spacing w:before="100" w:after="100"/>
              <w:rPr>
                <w:szCs w:val="20"/>
              </w:rPr>
            </w:pPr>
            <w:r>
              <w:rPr>
                <w:b/>
                <w:bCs/>
                <w:szCs w:val="20"/>
              </w:rPr>
              <w:t>Minimum Monthly charge</w:t>
            </w:r>
          </w:p>
        </w:tc>
        <w:tc>
          <w:tcPr>
            <w:tcW w:w="607" w:type="pct"/>
            <w:vAlign w:val="center"/>
          </w:tcPr>
          <w:p w14:paraId="5E07451B" w14:textId="77777777" w:rsidR="000D07EA" w:rsidRDefault="00BE7C89">
            <w:pPr>
              <w:pStyle w:val="BodyText"/>
              <w:spacing w:before="100" w:after="100"/>
              <w:jc w:val="center"/>
              <w:rPr>
                <w:szCs w:val="20"/>
              </w:rPr>
            </w:pPr>
            <w:r>
              <w:rPr>
                <w:szCs w:val="20"/>
              </w:rPr>
              <w:t>$40</w:t>
            </w:r>
          </w:p>
        </w:tc>
        <w:tc>
          <w:tcPr>
            <w:tcW w:w="608" w:type="pct"/>
            <w:vAlign w:val="center"/>
          </w:tcPr>
          <w:p w14:paraId="57F3099A" w14:textId="77777777" w:rsidR="000D07EA" w:rsidRDefault="00BE7C89">
            <w:pPr>
              <w:pStyle w:val="BodyText"/>
              <w:spacing w:before="100" w:after="100"/>
              <w:jc w:val="center"/>
              <w:rPr>
                <w:szCs w:val="20"/>
              </w:rPr>
            </w:pPr>
            <w:r>
              <w:rPr>
                <w:szCs w:val="20"/>
              </w:rPr>
              <w:t>$60</w:t>
            </w:r>
          </w:p>
        </w:tc>
        <w:tc>
          <w:tcPr>
            <w:tcW w:w="607" w:type="pct"/>
            <w:gridSpan w:val="2"/>
            <w:vAlign w:val="center"/>
          </w:tcPr>
          <w:p w14:paraId="21C44F42" w14:textId="77777777" w:rsidR="000D07EA" w:rsidRDefault="00BE7C89">
            <w:pPr>
              <w:pStyle w:val="BodyText"/>
              <w:spacing w:before="100" w:after="100"/>
              <w:jc w:val="center"/>
              <w:rPr>
                <w:szCs w:val="20"/>
              </w:rPr>
            </w:pPr>
            <w:r>
              <w:rPr>
                <w:szCs w:val="20"/>
              </w:rPr>
              <w:t>$80</w:t>
            </w:r>
          </w:p>
        </w:tc>
        <w:tc>
          <w:tcPr>
            <w:tcW w:w="608" w:type="pct"/>
            <w:vAlign w:val="center"/>
          </w:tcPr>
          <w:p w14:paraId="0321698D" w14:textId="77777777" w:rsidR="000D07EA" w:rsidRDefault="00BE7C89">
            <w:pPr>
              <w:pStyle w:val="BodyText"/>
              <w:spacing w:before="100" w:after="100"/>
              <w:jc w:val="center"/>
              <w:rPr>
                <w:szCs w:val="20"/>
              </w:rPr>
            </w:pPr>
            <w:r>
              <w:rPr>
                <w:szCs w:val="20"/>
              </w:rPr>
              <w:t>$100</w:t>
            </w:r>
          </w:p>
        </w:tc>
        <w:tc>
          <w:tcPr>
            <w:tcW w:w="607" w:type="pct"/>
            <w:vAlign w:val="center"/>
          </w:tcPr>
          <w:p w14:paraId="33DB0025" w14:textId="77777777" w:rsidR="000D07EA" w:rsidRDefault="00BE7C89">
            <w:pPr>
              <w:pStyle w:val="BodyText"/>
              <w:spacing w:before="100" w:after="100"/>
              <w:jc w:val="center"/>
              <w:rPr>
                <w:szCs w:val="20"/>
              </w:rPr>
            </w:pPr>
            <w:r>
              <w:rPr>
                <w:szCs w:val="20"/>
              </w:rPr>
              <w:t>$130 (with a $30 discount)</w:t>
            </w:r>
          </w:p>
        </w:tc>
        <w:tc>
          <w:tcPr>
            <w:tcW w:w="608" w:type="pct"/>
            <w:vAlign w:val="center"/>
          </w:tcPr>
          <w:p w14:paraId="73A14E94" w14:textId="77777777" w:rsidR="000D07EA" w:rsidRDefault="00BE7C89">
            <w:pPr>
              <w:pStyle w:val="BodyText"/>
              <w:spacing w:before="100" w:after="100"/>
              <w:jc w:val="center"/>
              <w:rPr>
                <w:szCs w:val="20"/>
              </w:rPr>
            </w:pPr>
            <w:r>
              <w:rPr>
                <w:szCs w:val="20"/>
              </w:rPr>
              <w:t>$135</w:t>
            </w:r>
          </w:p>
        </w:tc>
        <w:tc>
          <w:tcPr>
            <w:tcW w:w="608" w:type="pct"/>
            <w:vAlign w:val="center"/>
          </w:tcPr>
          <w:p w14:paraId="0E506B05" w14:textId="77777777" w:rsidR="000D07EA" w:rsidRDefault="00BE7C89">
            <w:pPr>
              <w:pStyle w:val="BodyText"/>
              <w:spacing w:before="100" w:after="100"/>
              <w:jc w:val="center"/>
              <w:rPr>
                <w:szCs w:val="20"/>
              </w:rPr>
            </w:pPr>
            <w:r>
              <w:rPr>
                <w:szCs w:val="20"/>
              </w:rPr>
              <w:t>$135 (with a $35 discount)</w:t>
            </w:r>
          </w:p>
        </w:tc>
      </w:tr>
      <w:tr w:rsidR="000D07EA" w14:paraId="161AA577" w14:textId="77777777">
        <w:tc>
          <w:tcPr>
            <w:tcW w:w="746" w:type="pct"/>
            <w:shd w:val="clear" w:color="auto" w:fill="auto"/>
          </w:tcPr>
          <w:p w14:paraId="60F044BE" w14:textId="77777777" w:rsidR="000D07EA" w:rsidRDefault="00BE7C89">
            <w:pPr>
              <w:pStyle w:val="BodyText"/>
              <w:spacing w:before="100" w:after="100"/>
              <w:rPr>
                <w:szCs w:val="20"/>
              </w:rPr>
            </w:pPr>
            <w:r>
              <w:rPr>
                <w:b/>
                <w:bCs/>
                <w:szCs w:val="20"/>
              </w:rPr>
              <w:t>Included Data</w:t>
            </w:r>
          </w:p>
        </w:tc>
        <w:tc>
          <w:tcPr>
            <w:tcW w:w="607" w:type="pct"/>
            <w:vAlign w:val="center"/>
          </w:tcPr>
          <w:p w14:paraId="7C8A0FB3" w14:textId="77777777" w:rsidR="000D07EA" w:rsidRDefault="00BE7C89">
            <w:pPr>
              <w:pStyle w:val="BodyText"/>
              <w:spacing w:before="100" w:after="100"/>
              <w:jc w:val="center"/>
              <w:rPr>
                <w:szCs w:val="20"/>
              </w:rPr>
            </w:pPr>
            <w:r>
              <w:rPr>
                <w:szCs w:val="20"/>
              </w:rPr>
              <w:t>1.5GB</w:t>
            </w:r>
          </w:p>
        </w:tc>
        <w:tc>
          <w:tcPr>
            <w:tcW w:w="608" w:type="pct"/>
            <w:vAlign w:val="center"/>
          </w:tcPr>
          <w:p w14:paraId="57894EB2" w14:textId="77777777" w:rsidR="000D07EA" w:rsidRDefault="00BE7C89">
            <w:pPr>
              <w:pStyle w:val="BodyText"/>
              <w:spacing w:before="100" w:after="100"/>
              <w:jc w:val="center"/>
              <w:rPr>
                <w:szCs w:val="20"/>
              </w:rPr>
            </w:pPr>
            <w:r>
              <w:rPr>
                <w:szCs w:val="20"/>
              </w:rPr>
              <w:t>4GB</w:t>
            </w:r>
          </w:p>
        </w:tc>
        <w:tc>
          <w:tcPr>
            <w:tcW w:w="607" w:type="pct"/>
            <w:gridSpan w:val="2"/>
            <w:vAlign w:val="center"/>
          </w:tcPr>
          <w:p w14:paraId="499CE87E" w14:textId="77777777" w:rsidR="000D07EA" w:rsidRDefault="00BE7C89">
            <w:pPr>
              <w:pStyle w:val="BodyText"/>
              <w:spacing w:before="100" w:after="100"/>
              <w:jc w:val="center"/>
              <w:rPr>
                <w:szCs w:val="20"/>
              </w:rPr>
            </w:pPr>
            <w:r>
              <w:rPr>
                <w:szCs w:val="20"/>
              </w:rPr>
              <w:t>8GB</w:t>
            </w:r>
          </w:p>
        </w:tc>
        <w:tc>
          <w:tcPr>
            <w:tcW w:w="608" w:type="pct"/>
            <w:vAlign w:val="center"/>
          </w:tcPr>
          <w:p w14:paraId="238FFDD8" w14:textId="77777777" w:rsidR="000D07EA" w:rsidRDefault="00BE7C89">
            <w:pPr>
              <w:pStyle w:val="BodyText"/>
              <w:spacing w:before="100" w:after="100"/>
              <w:jc w:val="center"/>
              <w:rPr>
                <w:szCs w:val="20"/>
              </w:rPr>
            </w:pPr>
            <w:r>
              <w:rPr>
                <w:szCs w:val="20"/>
              </w:rPr>
              <w:t>12GB</w:t>
            </w:r>
          </w:p>
        </w:tc>
        <w:tc>
          <w:tcPr>
            <w:tcW w:w="607" w:type="pct"/>
            <w:vAlign w:val="center"/>
          </w:tcPr>
          <w:p w14:paraId="660A19AA" w14:textId="77777777" w:rsidR="000D07EA" w:rsidRDefault="00BE7C89">
            <w:pPr>
              <w:pStyle w:val="BodyText"/>
              <w:spacing w:before="100" w:after="100"/>
              <w:jc w:val="center"/>
              <w:rPr>
                <w:szCs w:val="20"/>
              </w:rPr>
            </w:pPr>
            <w:r>
              <w:rPr>
                <w:szCs w:val="20"/>
              </w:rPr>
              <w:t>18GB</w:t>
            </w:r>
          </w:p>
        </w:tc>
        <w:tc>
          <w:tcPr>
            <w:tcW w:w="608" w:type="pct"/>
            <w:vAlign w:val="center"/>
          </w:tcPr>
          <w:p w14:paraId="2C877290" w14:textId="77777777" w:rsidR="000D07EA" w:rsidRDefault="00BE7C89">
            <w:pPr>
              <w:pStyle w:val="BodyText"/>
              <w:spacing w:before="100" w:after="100"/>
              <w:jc w:val="center"/>
              <w:rPr>
                <w:szCs w:val="20"/>
              </w:rPr>
            </w:pPr>
            <w:r>
              <w:rPr>
                <w:szCs w:val="20"/>
              </w:rPr>
              <w:t>20GB</w:t>
            </w:r>
          </w:p>
        </w:tc>
        <w:tc>
          <w:tcPr>
            <w:tcW w:w="608" w:type="pct"/>
            <w:vAlign w:val="center"/>
          </w:tcPr>
          <w:p w14:paraId="6342D60D" w14:textId="77777777" w:rsidR="000D07EA" w:rsidRDefault="00BE7C89">
            <w:pPr>
              <w:pStyle w:val="BodyText"/>
              <w:spacing w:before="100" w:after="100"/>
              <w:jc w:val="center"/>
              <w:rPr>
                <w:szCs w:val="20"/>
              </w:rPr>
            </w:pPr>
            <w:r>
              <w:rPr>
                <w:szCs w:val="20"/>
              </w:rPr>
              <w:t>20GB</w:t>
            </w:r>
          </w:p>
        </w:tc>
      </w:tr>
      <w:tr w:rsidR="000D07EA" w14:paraId="15A6E935" w14:textId="77777777">
        <w:tc>
          <w:tcPr>
            <w:tcW w:w="2500" w:type="pct"/>
            <w:gridSpan w:val="4"/>
            <w:shd w:val="clear" w:color="auto" w:fill="auto"/>
          </w:tcPr>
          <w:p w14:paraId="174A798F" w14:textId="77777777" w:rsidR="000D07EA" w:rsidRDefault="00BE7C89">
            <w:pPr>
              <w:pStyle w:val="BodyText"/>
              <w:spacing w:before="100" w:after="100"/>
              <w:rPr>
                <w:b/>
                <w:szCs w:val="20"/>
              </w:rPr>
            </w:pPr>
            <w:r>
              <w:rPr>
                <w:b/>
                <w:szCs w:val="20"/>
              </w:rPr>
              <w:t>Additional Data</w:t>
            </w:r>
          </w:p>
        </w:tc>
        <w:tc>
          <w:tcPr>
            <w:tcW w:w="2500" w:type="pct"/>
            <w:gridSpan w:val="5"/>
            <w:vAlign w:val="center"/>
          </w:tcPr>
          <w:p w14:paraId="1F2626B0" w14:textId="77777777" w:rsidR="000D07EA" w:rsidRDefault="00BE7C89">
            <w:pPr>
              <w:pStyle w:val="BodyText"/>
              <w:spacing w:before="100" w:after="100"/>
              <w:jc w:val="center"/>
              <w:rPr>
                <w:szCs w:val="20"/>
              </w:rPr>
            </w:pPr>
            <w:r>
              <w:rPr>
                <w:szCs w:val="20"/>
              </w:rPr>
              <w:t>Additional Data $10 per 1GB</w:t>
            </w:r>
          </w:p>
        </w:tc>
      </w:tr>
      <w:tr w:rsidR="000D07EA" w14:paraId="2EADEEC9" w14:textId="77777777">
        <w:tc>
          <w:tcPr>
            <w:tcW w:w="746" w:type="pct"/>
            <w:shd w:val="clear" w:color="auto" w:fill="auto"/>
          </w:tcPr>
          <w:p w14:paraId="3F4D63BB" w14:textId="77777777" w:rsidR="000D07EA" w:rsidRDefault="00BE7C89">
            <w:pPr>
              <w:pStyle w:val="BodyText"/>
              <w:spacing w:before="100" w:after="100"/>
              <w:rPr>
                <w:b/>
                <w:bCs/>
                <w:szCs w:val="20"/>
              </w:rPr>
            </w:pPr>
            <w:r>
              <w:rPr>
                <w:b/>
                <w:bCs/>
                <w:szCs w:val="20"/>
              </w:rPr>
              <w:t xml:space="preserve">Included Minutes </w:t>
            </w:r>
          </w:p>
          <w:p w14:paraId="16F7CFBB" w14:textId="77777777" w:rsidR="000D07EA" w:rsidRDefault="00BE7C89">
            <w:pPr>
              <w:pStyle w:val="BodyText"/>
              <w:spacing w:before="100" w:after="100"/>
              <w:rPr>
                <w:szCs w:val="20"/>
              </w:rPr>
            </w:pPr>
            <w:r>
              <w:rPr>
                <w:szCs w:val="20"/>
              </w:rPr>
              <w:t>for standard national calls to landlines and mobiles, 1300 numbers and voicemail, within Australia</w:t>
            </w:r>
          </w:p>
        </w:tc>
        <w:tc>
          <w:tcPr>
            <w:tcW w:w="607" w:type="pct"/>
            <w:vAlign w:val="center"/>
          </w:tcPr>
          <w:p w14:paraId="3BE907C2" w14:textId="77777777" w:rsidR="000D07EA" w:rsidRDefault="00BE7C89">
            <w:pPr>
              <w:pStyle w:val="BodyText"/>
              <w:spacing w:before="100" w:after="100"/>
              <w:jc w:val="center"/>
              <w:rPr>
                <w:szCs w:val="20"/>
              </w:rPr>
            </w:pPr>
            <w:r>
              <w:rPr>
                <w:szCs w:val="20"/>
              </w:rPr>
              <w:t>Unlimited</w:t>
            </w:r>
          </w:p>
        </w:tc>
        <w:tc>
          <w:tcPr>
            <w:tcW w:w="608" w:type="pct"/>
            <w:vAlign w:val="center"/>
          </w:tcPr>
          <w:p w14:paraId="75DB7A9C" w14:textId="77777777" w:rsidR="000D07EA" w:rsidRDefault="00BE7C89">
            <w:pPr>
              <w:pStyle w:val="BodyText"/>
              <w:spacing w:before="100" w:after="100"/>
              <w:jc w:val="center"/>
              <w:rPr>
                <w:szCs w:val="20"/>
              </w:rPr>
            </w:pPr>
            <w:r>
              <w:rPr>
                <w:szCs w:val="20"/>
              </w:rPr>
              <w:t>Unlimited</w:t>
            </w:r>
          </w:p>
        </w:tc>
        <w:tc>
          <w:tcPr>
            <w:tcW w:w="607" w:type="pct"/>
            <w:gridSpan w:val="2"/>
            <w:vAlign w:val="center"/>
          </w:tcPr>
          <w:p w14:paraId="7FFBAA67" w14:textId="77777777" w:rsidR="000D07EA" w:rsidRDefault="00BE7C89">
            <w:pPr>
              <w:pStyle w:val="BodyText"/>
              <w:spacing w:before="100" w:after="100"/>
              <w:jc w:val="center"/>
              <w:rPr>
                <w:szCs w:val="20"/>
              </w:rPr>
            </w:pPr>
            <w:r>
              <w:rPr>
                <w:szCs w:val="20"/>
              </w:rPr>
              <w:t>Unlimited</w:t>
            </w:r>
          </w:p>
        </w:tc>
        <w:tc>
          <w:tcPr>
            <w:tcW w:w="608" w:type="pct"/>
            <w:vAlign w:val="center"/>
          </w:tcPr>
          <w:p w14:paraId="74C53BCF" w14:textId="77777777" w:rsidR="000D07EA" w:rsidRDefault="00BE7C89">
            <w:pPr>
              <w:pStyle w:val="BodyText"/>
              <w:spacing w:before="100" w:after="100"/>
              <w:jc w:val="center"/>
              <w:rPr>
                <w:szCs w:val="20"/>
              </w:rPr>
            </w:pPr>
            <w:r>
              <w:rPr>
                <w:szCs w:val="20"/>
              </w:rPr>
              <w:t>Unlimited</w:t>
            </w:r>
          </w:p>
        </w:tc>
        <w:tc>
          <w:tcPr>
            <w:tcW w:w="607" w:type="pct"/>
            <w:vAlign w:val="center"/>
          </w:tcPr>
          <w:p w14:paraId="4D9460EB" w14:textId="77777777" w:rsidR="000D07EA" w:rsidRDefault="00BE7C89">
            <w:pPr>
              <w:pStyle w:val="BodyText"/>
              <w:spacing w:before="100" w:after="100"/>
              <w:jc w:val="center"/>
              <w:rPr>
                <w:szCs w:val="20"/>
              </w:rPr>
            </w:pPr>
            <w:r>
              <w:rPr>
                <w:szCs w:val="20"/>
              </w:rPr>
              <w:t>Unlimited</w:t>
            </w:r>
          </w:p>
        </w:tc>
        <w:tc>
          <w:tcPr>
            <w:tcW w:w="608" w:type="pct"/>
            <w:vAlign w:val="center"/>
          </w:tcPr>
          <w:p w14:paraId="505706CA" w14:textId="77777777" w:rsidR="000D07EA" w:rsidRDefault="00BE7C89">
            <w:pPr>
              <w:pStyle w:val="BodyText"/>
              <w:spacing w:before="100" w:after="100"/>
              <w:jc w:val="center"/>
              <w:rPr>
                <w:szCs w:val="20"/>
              </w:rPr>
            </w:pPr>
            <w:r>
              <w:rPr>
                <w:szCs w:val="20"/>
              </w:rPr>
              <w:t>Unlimited</w:t>
            </w:r>
          </w:p>
        </w:tc>
        <w:tc>
          <w:tcPr>
            <w:tcW w:w="608" w:type="pct"/>
            <w:vAlign w:val="center"/>
          </w:tcPr>
          <w:p w14:paraId="35AC510B" w14:textId="77777777" w:rsidR="000D07EA" w:rsidRDefault="00BE7C89">
            <w:pPr>
              <w:pStyle w:val="BodyText"/>
              <w:spacing w:before="100" w:after="100"/>
              <w:jc w:val="center"/>
              <w:rPr>
                <w:szCs w:val="20"/>
              </w:rPr>
            </w:pPr>
            <w:r>
              <w:rPr>
                <w:szCs w:val="20"/>
              </w:rPr>
              <w:t>Unlimited</w:t>
            </w:r>
          </w:p>
        </w:tc>
      </w:tr>
      <w:tr w:rsidR="000D07EA" w14:paraId="230D83E9" w14:textId="77777777">
        <w:tc>
          <w:tcPr>
            <w:tcW w:w="746" w:type="pct"/>
            <w:shd w:val="clear" w:color="auto" w:fill="auto"/>
          </w:tcPr>
          <w:p w14:paraId="61AE5C0D" w14:textId="77777777" w:rsidR="000D07EA" w:rsidRDefault="00BE7C89">
            <w:pPr>
              <w:pStyle w:val="BodyText"/>
              <w:spacing w:before="100" w:after="100"/>
              <w:rPr>
                <w:b/>
                <w:bCs/>
                <w:szCs w:val="20"/>
              </w:rPr>
            </w:pPr>
            <w:r>
              <w:rPr>
                <w:b/>
                <w:bCs/>
                <w:szCs w:val="20"/>
              </w:rPr>
              <w:t>Included International Minutes</w:t>
            </w:r>
          </w:p>
          <w:p w14:paraId="790E400D" w14:textId="77777777" w:rsidR="000D07EA" w:rsidRDefault="00BE7C89">
            <w:pPr>
              <w:pStyle w:val="BodyText"/>
              <w:spacing w:before="100" w:after="100"/>
              <w:rPr>
                <w:b/>
                <w:bCs/>
                <w:szCs w:val="20"/>
              </w:rPr>
            </w:pPr>
            <w:r>
              <w:rPr>
                <w:szCs w:val="20"/>
              </w:rPr>
              <w:t xml:space="preserve">Standard international calls to landlines and mobiles to </w:t>
            </w:r>
            <w:r>
              <w:rPr>
                <w:szCs w:val="20"/>
              </w:rPr>
              <w:lastRenderedPageBreak/>
              <w:t xml:space="preserve">selected countries </w:t>
            </w:r>
          </w:p>
        </w:tc>
        <w:tc>
          <w:tcPr>
            <w:tcW w:w="607" w:type="pct"/>
            <w:vAlign w:val="center"/>
          </w:tcPr>
          <w:p w14:paraId="32BC310E" w14:textId="77777777" w:rsidR="000D07EA" w:rsidRDefault="00BE7C89">
            <w:pPr>
              <w:pStyle w:val="BodyText"/>
              <w:spacing w:before="100" w:after="100"/>
              <w:jc w:val="center"/>
              <w:rPr>
                <w:bCs/>
                <w:szCs w:val="20"/>
              </w:rPr>
            </w:pPr>
            <w:r>
              <w:rPr>
                <w:bCs/>
                <w:szCs w:val="20"/>
              </w:rPr>
              <w:lastRenderedPageBreak/>
              <w:t>Not included</w:t>
            </w:r>
          </w:p>
        </w:tc>
        <w:tc>
          <w:tcPr>
            <w:tcW w:w="608" w:type="pct"/>
            <w:vAlign w:val="center"/>
          </w:tcPr>
          <w:p w14:paraId="78B2A326" w14:textId="77777777" w:rsidR="000D07EA" w:rsidRDefault="00BE7C89">
            <w:pPr>
              <w:pStyle w:val="BodyText"/>
              <w:spacing w:before="100" w:after="100"/>
              <w:jc w:val="center"/>
              <w:rPr>
                <w:bCs/>
                <w:szCs w:val="20"/>
              </w:rPr>
            </w:pPr>
            <w:r>
              <w:rPr>
                <w:bCs/>
                <w:szCs w:val="20"/>
              </w:rPr>
              <w:t>Up to 150 mins</w:t>
            </w:r>
          </w:p>
        </w:tc>
        <w:tc>
          <w:tcPr>
            <w:tcW w:w="607" w:type="pct"/>
            <w:gridSpan w:val="2"/>
            <w:vAlign w:val="center"/>
          </w:tcPr>
          <w:p w14:paraId="7829EA6D" w14:textId="77777777" w:rsidR="000D07EA" w:rsidRDefault="00BE7C89">
            <w:pPr>
              <w:pStyle w:val="BodyText"/>
              <w:spacing w:before="100" w:after="100"/>
              <w:jc w:val="center"/>
              <w:rPr>
                <w:bCs/>
                <w:szCs w:val="20"/>
              </w:rPr>
            </w:pPr>
            <w:r>
              <w:rPr>
                <w:bCs/>
                <w:szCs w:val="20"/>
              </w:rPr>
              <w:t>Up to 300 mins</w:t>
            </w:r>
          </w:p>
        </w:tc>
        <w:tc>
          <w:tcPr>
            <w:tcW w:w="608" w:type="pct"/>
            <w:vAlign w:val="center"/>
          </w:tcPr>
          <w:p w14:paraId="7B136116" w14:textId="77777777" w:rsidR="000D07EA" w:rsidRDefault="00BE7C89">
            <w:pPr>
              <w:pStyle w:val="BodyText"/>
              <w:spacing w:before="100" w:after="100"/>
              <w:jc w:val="center"/>
              <w:rPr>
                <w:bCs/>
                <w:szCs w:val="20"/>
              </w:rPr>
            </w:pPr>
            <w:r>
              <w:rPr>
                <w:bCs/>
                <w:szCs w:val="20"/>
              </w:rPr>
              <w:t>Up to 400 mins</w:t>
            </w:r>
          </w:p>
        </w:tc>
        <w:tc>
          <w:tcPr>
            <w:tcW w:w="607" w:type="pct"/>
            <w:vAlign w:val="center"/>
          </w:tcPr>
          <w:p w14:paraId="3180952F" w14:textId="77777777" w:rsidR="000D07EA" w:rsidRDefault="00BE7C89">
            <w:pPr>
              <w:pStyle w:val="BodyText"/>
              <w:spacing w:before="100" w:after="100"/>
              <w:jc w:val="center"/>
              <w:rPr>
                <w:bCs/>
                <w:szCs w:val="20"/>
              </w:rPr>
            </w:pPr>
            <w:r>
              <w:rPr>
                <w:bCs/>
                <w:szCs w:val="20"/>
              </w:rPr>
              <w:t>Not included</w:t>
            </w:r>
          </w:p>
        </w:tc>
        <w:tc>
          <w:tcPr>
            <w:tcW w:w="608" w:type="pct"/>
            <w:vAlign w:val="center"/>
          </w:tcPr>
          <w:p w14:paraId="2CE80038" w14:textId="77777777" w:rsidR="000D07EA" w:rsidRDefault="00BE7C89">
            <w:pPr>
              <w:pStyle w:val="BodyText"/>
              <w:spacing w:before="100" w:after="100"/>
              <w:jc w:val="center"/>
              <w:rPr>
                <w:bCs/>
                <w:szCs w:val="20"/>
              </w:rPr>
            </w:pPr>
            <w:r>
              <w:rPr>
                <w:bCs/>
                <w:szCs w:val="20"/>
              </w:rPr>
              <w:t>Up to 500 mins</w:t>
            </w:r>
          </w:p>
        </w:tc>
        <w:tc>
          <w:tcPr>
            <w:tcW w:w="608" w:type="pct"/>
            <w:vAlign w:val="center"/>
          </w:tcPr>
          <w:p w14:paraId="5B5D3D82" w14:textId="77777777" w:rsidR="000D07EA" w:rsidRDefault="00BE7C89">
            <w:pPr>
              <w:pStyle w:val="BodyText"/>
              <w:spacing w:before="100" w:after="100"/>
              <w:jc w:val="center"/>
              <w:rPr>
                <w:bCs/>
                <w:szCs w:val="20"/>
              </w:rPr>
            </w:pPr>
            <w:r>
              <w:rPr>
                <w:bCs/>
                <w:szCs w:val="20"/>
              </w:rPr>
              <w:t>Up to 500 mins</w:t>
            </w:r>
          </w:p>
        </w:tc>
      </w:tr>
      <w:tr w:rsidR="000D07EA" w14:paraId="7C02480E" w14:textId="77777777">
        <w:tc>
          <w:tcPr>
            <w:tcW w:w="746" w:type="pct"/>
            <w:shd w:val="clear" w:color="auto" w:fill="auto"/>
          </w:tcPr>
          <w:p w14:paraId="588A59C2" w14:textId="77777777" w:rsidR="000D07EA" w:rsidRDefault="00BE7C89">
            <w:pPr>
              <w:pStyle w:val="BodyText"/>
              <w:spacing w:before="100" w:after="100"/>
              <w:rPr>
                <w:szCs w:val="20"/>
              </w:rPr>
            </w:pPr>
            <w:r>
              <w:rPr>
                <w:b/>
                <w:bCs/>
                <w:szCs w:val="20"/>
              </w:rPr>
              <w:t xml:space="preserve">Standard national SMS </w:t>
            </w:r>
            <w:r>
              <w:rPr>
                <w:szCs w:val="20"/>
              </w:rPr>
              <w:t>(per SMS of up to 160 standard characters)</w:t>
            </w:r>
          </w:p>
        </w:tc>
        <w:tc>
          <w:tcPr>
            <w:tcW w:w="607" w:type="pct"/>
            <w:vAlign w:val="center"/>
          </w:tcPr>
          <w:p w14:paraId="4EA258B1" w14:textId="77777777" w:rsidR="000D07EA" w:rsidRDefault="00BE7C89">
            <w:pPr>
              <w:pStyle w:val="BodyText"/>
              <w:spacing w:before="100" w:after="100"/>
              <w:jc w:val="center"/>
              <w:rPr>
                <w:szCs w:val="20"/>
              </w:rPr>
            </w:pPr>
            <w:r>
              <w:rPr>
                <w:szCs w:val="20"/>
              </w:rPr>
              <w:t>Unlimited</w:t>
            </w:r>
          </w:p>
        </w:tc>
        <w:tc>
          <w:tcPr>
            <w:tcW w:w="608" w:type="pct"/>
            <w:vAlign w:val="center"/>
          </w:tcPr>
          <w:p w14:paraId="453169BF" w14:textId="77777777" w:rsidR="000D07EA" w:rsidRDefault="00BE7C89">
            <w:pPr>
              <w:pStyle w:val="BodyText"/>
              <w:spacing w:before="100" w:after="100"/>
              <w:jc w:val="center"/>
              <w:rPr>
                <w:szCs w:val="20"/>
              </w:rPr>
            </w:pPr>
            <w:r>
              <w:rPr>
                <w:szCs w:val="20"/>
              </w:rPr>
              <w:t>Unlimited</w:t>
            </w:r>
          </w:p>
        </w:tc>
        <w:tc>
          <w:tcPr>
            <w:tcW w:w="607" w:type="pct"/>
            <w:gridSpan w:val="2"/>
            <w:vAlign w:val="center"/>
          </w:tcPr>
          <w:p w14:paraId="13B2B05D" w14:textId="77777777" w:rsidR="000D07EA" w:rsidRDefault="00BE7C89">
            <w:pPr>
              <w:pStyle w:val="BodyText"/>
              <w:spacing w:before="100" w:after="100"/>
              <w:jc w:val="center"/>
              <w:rPr>
                <w:szCs w:val="20"/>
              </w:rPr>
            </w:pPr>
            <w:r>
              <w:rPr>
                <w:szCs w:val="20"/>
              </w:rPr>
              <w:t>Unlimited</w:t>
            </w:r>
          </w:p>
        </w:tc>
        <w:tc>
          <w:tcPr>
            <w:tcW w:w="608" w:type="pct"/>
            <w:vAlign w:val="center"/>
          </w:tcPr>
          <w:p w14:paraId="49248972" w14:textId="77777777" w:rsidR="000D07EA" w:rsidRDefault="00BE7C89">
            <w:pPr>
              <w:pStyle w:val="BodyText"/>
              <w:spacing w:before="100" w:after="100"/>
              <w:jc w:val="center"/>
              <w:rPr>
                <w:szCs w:val="20"/>
              </w:rPr>
            </w:pPr>
            <w:r>
              <w:rPr>
                <w:szCs w:val="20"/>
              </w:rPr>
              <w:t>Unlimited</w:t>
            </w:r>
          </w:p>
        </w:tc>
        <w:tc>
          <w:tcPr>
            <w:tcW w:w="607" w:type="pct"/>
            <w:vAlign w:val="center"/>
          </w:tcPr>
          <w:p w14:paraId="19B9B3F5" w14:textId="77777777" w:rsidR="000D07EA" w:rsidRDefault="00BE7C89">
            <w:pPr>
              <w:pStyle w:val="BodyText"/>
              <w:spacing w:before="100" w:after="100"/>
              <w:jc w:val="center"/>
              <w:rPr>
                <w:szCs w:val="20"/>
              </w:rPr>
            </w:pPr>
            <w:r>
              <w:rPr>
                <w:szCs w:val="20"/>
              </w:rPr>
              <w:t>Unlimited</w:t>
            </w:r>
          </w:p>
        </w:tc>
        <w:tc>
          <w:tcPr>
            <w:tcW w:w="608" w:type="pct"/>
            <w:vAlign w:val="center"/>
          </w:tcPr>
          <w:p w14:paraId="043973CE" w14:textId="77777777" w:rsidR="000D07EA" w:rsidRDefault="00BE7C89">
            <w:pPr>
              <w:pStyle w:val="BodyText"/>
              <w:spacing w:before="100" w:after="100"/>
              <w:jc w:val="center"/>
              <w:rPr>
                <w:szCs w:val="20"/>
              </w:rPr>
            </w:pPr>
            <w:r>
              <w:rPr>
                <w:szCs w:val="20"/>
              </w:rPr>
              <w:t>Unlimited</w:t>
            </w:r>
          </w:p>
        </w:tc>
        <w:tc>
          <w:tcPr>
            <w:tcW w:w="608" w:type="pct"/>
            <w:vAlign w:val="center"/>
          </w:tcPr>
          <w:p w14:paraId="2B1C6959" w14:textId="77777777" w:rsidR="000D07EA" w:rsidRDefault="00BE7C89">
            <w:pPr>
              <w:pStyle w:val="BodyText"/>
              <w:spacing w:before="100" w:after="100"/>
              <w:jc w:val="center"/>
              <w:rPr>
                <w:szCs w:val="20"/>
              </w:rPr>
            </w:pPr>
            <w:r>
              <w:rPr>
                <w:szCs w:val="20"/>
              </w:rPr>
              <w:t>Unlimited</w:t>
            </w:r>
          </w:p>
        </w:tc>
      </w:tr>
      <w:tr w:rsidR="000D07EA" w14:paraId="7F01F3F2" w14:textId="77777777">
        <w:tc>
          <w:tcPr>
            <w:tcW w:w="746" w:type="pct"/>
            <w:shd w:val="clear" w:color="auto" w:fill="auto"/>
          </w:tcPr>
          <w:p w14:paraId="7E934149" w14:textId="77777777" w:rsidR="000D07EA" w:rsidRDefault="00BE7C89">
            <w:pPr>
              <w:pStyle w:val="BodyText"/>
              <w:spacing w:before="100" w:after="100"/>
              <w:rPr>
                <w:b/>
                <w:bCs/>
                <w:szCs w:val="20"/>
              </w:rPr>
            </w:pPr>
            <w:r>
              <w:rPr>
                <w:b/>
                <w:bCs/>
                <w:szCs w:val="20"/>
              </w:rPr>
              <w:t xml:space="preserve">Standard national MMS </w:t>
            </w:r>
            <w:r>
              <w:rPr>
                <w:szCs w:val="20"/>
              </w:rPr>
              <w:t>(per message)</w:t>
            </w:r>
          </w:p>
        </w:tc>
        <w:tc>
          <w:tcPr>
            <w:tcW w:w="607" w:type="pct"/>
            <w:vAlign w:val="center"/>
          </w:tcPr>
          <w:p w14:paraId="723C85A0" w14:textId="77777777" w:rsidR="000D07EA" w:rsidRDefault="00BE7C89">
            <w:pPr>
              <w:pStyle w:val="BodyText"/>
              <w:spacing w:before="100" w:after="100"/>
              <w:jc w:val="center"/>
              <w:rPr>
                <w:szCs w:val="20"/>
              </w:rPr>
            </w:pPr>
            <w:r>
              <w:rPr>
                <w:szCs w:val="20"/>
              </w:rPr>
              <w:t>Unlimited</w:t>
            </w:r>
          </w:p>
        </w:tc>
        <w:tc>
          <w:tcPr>
            <w:tcW w:w="608" w:type="pct"/>
            <w:vAlign w:val="center"/>
          </w:tcPr>
          <w:p w14:paraId="16DF51ED" w14:textId="77777777" w:rsidR="000D07EA" w:rsidRDefault="00BE7C89">
            <w:pPr>
              <w:pStyle w:val="BodyText"/>
              <w:spacing w:before="100" w:after="100"/>
              <w:jc w:val="center"/>
              <w:rPr>
                <w:szCs w:val="20"/>
              </w:rPr>
            </w:pPr>
            <w:r>
              <w:rPr>
                <w:szCs w:val="20"/>
              </w:rPr>
              <w:t>Unlimited</w:t>
            </w:r>
          </w:p>
        </w:tc>
        <w:tc>
          <w:tcPr>
            <w:tcW w:w="607" w:type="pct"/>
            <w:gridSpan w:val="2"/>
            <w:vAlign w:val="center"/>
          </w:tcPr>
          <w:p w14:paraId="10569BE3" w14:textId="77777777" w:rsidR="000D07EA" w:rsidRDefault="00BE7C89">
            <w:pPr>
              <w:pStyle w:val="BodyText"/>
              <w:spacing w:before="100" w:after="100"/>
              <w:jc w:val="center"/>
              <w:rPr>
                <w:szCs w:val="20"/>
              </w:rPr>
            </w:pPr>
            <w:r>
              <w:rPr>
                <w:szCs w:val="20"/>
              </w:rPr>
              <w:t>Unlimited</w:t>
            </w:r>
          </w:p>
        </w:tc>
        <w:tc>
          <w:tcPr>
            <w:tcW w:w="608" w:type="pct"/>
            <w:vAlign w:val="center"/>
          </w:tcPr>
          <w:p w14:paraId="65A6FC13" w14:textId="77777777" w:rsidR="000D07EA" w:rsidRDefault="00BE7C89">
            <w:pPr>
              <w:pStyle w:val="BodyText"/>
              <w:spacing w:before="100" w:after="100"/>
              <w:jc w:val="center"/>
              <w:rPr>
                <w:szCs w:val="20"/>
              </w:rPr>
            </w:pPr>
            <w:r>
              <w:rPr>
                <w:szCs w:val="20"/>
              </w:rPr>
              <w:t>Unlimited</w:t>
            </w:r>
          </w:p>
        </w:tc>
        <w:tc>
          <w:tcPr>
            <w:tcW w:w="607" w:type="pct"/>
            <w:vAlign w:val="center"/>
          </w:tcPr>
          <w:p w14:paraId="52214FF9" w14:textId="77777777" w:rsidR="000D07EA" w:rsidRDefault="00BE7C89">
            <w:pPr>
              <w:pStyle w:val="BodyText"/>
              <w:spacing w:before="100" w:after="100"/>
              <w:jc w:val="center"/>
              <w:rPr>
                <w:szCs w:val="20"/>
              </w:rPr>
            </w:pPr>
            <w:r>
              <w:rPr>
                <w:szCs w:val="20"/>
              </w:rPr>
              <w:t>Unlimited</w:t>
            </w:r>
          </w:p>
        </w:tc>
        <w:tc>
          <w:tcPr>
            <w:tcW w:w="608" w:type="pct"/>
            <w:vAlign w:val="center"/>
          </w:tcPr>
          <w:p w14:paraId="6305F2F3" w14:textId="77777777" w:rsidR="000D07EA" w:rsidRDefault="00BE7C89">
            <w:pPr>
              <w:pStyle w:val="BodyText"/>
              <w:spacing w:before="100" w:after="100"/>
              <w:jc w:val="center"/>
              <w:rPr>
                <w:szCs w:val="20"/>
              </w:rPr>
            </w:pPr>
            <w:r>
              <w:rPr>
                <w:szCs w:val="20"/>
              </w:rPr>
              <w:t>Unlimited</w:t>
            </w:r>
          </w:p>
        </w:tc>
        <w:tc>
          <w:tcPr>
            <w:tcW w:w="608" w:type="pct"/>
            <w:vAlign w:val="center"/>
          </w:tcPr>
          <w:p w14:paraId="764638E7" w14:textId="77777777" w:rsidR="000D07EA" w:rsidRDefault="00BE7C89">
            <w:pPr>
              <w:pStyle w:val="BodyText"/>
              <w:spacing w:before="100" w:after="100"/>
              <w:jc w:val="center"/>
              <w:rPr>
                <w:szCs w:val="20"/>
              </w:rPr>
            </w:pPr>
            <w:r>
              <w:rPr>
                <w:szCs w:val="20"/>
              </w:rPr>
              <w:t>Unlimited</w:t>
            </w:r>
          </w:p>
        </w:tc>
      </w:tr>
      <w:tr w:rsidR="000D07EA" w14:paraId="59AE388B" w14:textId="77777777">
        <w:tc>
          <w:tcPr>
            <w:tcW w:w="746" w:type="pct"/>
            <w:shd w:val="clear" w:color="auto" w:fill="auto"/>
          </w:tcPr>
          <w:p w14:paraId="08F878D6" w14:textId="77777777" w:rsidR="000D07EA" w:rsidRDefault="00BE7C89">
            <w:pPr>
              <w:pStyle w:val="BodyText"/>
              <w:keepNext/>
              <w:keepLines/>
              <w:spacing w:before="100" w:after="100"/>
              <w:rPr>
                <w:b/>
                <w:bCs/>
                <w:szCs w:val="20"/>
              </w:rPr>
            </w:pPr>
            <w:r>
              <w:rPr>
                <w:b/>
                <w:bCs/>
                <w:szCs w:val="20"/>
              </w:rPr>
              <w:t xml:space="preserve">Standard international SMS </w:t>
            </w:r>
            <w:r>
              <w:rPr>
                <w:szCs w:val="20"/>
              </w:rPr>
              <w:t>(per SMS of up to 160 standard characters to selected countries)</w:t>
            </w:r>
          </w:p>
        </w:tc>
        <w:tc>
          <w:tcPr>
            <w:tcW w:w="607" w:type="pct"/>
            <w:vAlign w:val="center"/>
          </w:tcPr>
          <w:p w14:paraId="3F406F33" w14:textId="77777777" w:rsidR="000D07EA" w:rsidRDefault="00BE7C89">
            <w:pPr>
              <w:pStyle w:val="BodyText"/>
              <w:keepNext/>
              <w:keepLines/>
              <w:spacing w:before="100" w:after="100"/>
              <w:jc w:val="center"/>
              <w:rPr>
                <w:szCs w:val="20"/>
              </w:rPr>
            </w:pPr>
            <w:r>
              <w:rPr>
                <w:szCs w:val="20"/>
              </w:rPr>
              <w:t>Unlimited</w:t>
            </w:r>
          </w:p>
        </w:tc>
        <w:tc>
          <w:tcPr>
            <w:tcW w:w="608" w:type="pct"/>
            <w:vAlign w:val="center"/>
          </w:tcPr>
          <w:p w14:paraId="25F6DFFB" w14:textId="77777777" w:rsidR="000D07EA" w:rsidRDefault="00BE7C89">
            <w:pPr>
              <w:pStyle w:val="BodyText"/>
              <w:keepNext/>
              <w:keepLines/>
              <w:spacing w:before="100" w:after="100"/>
              <w:jc w:val="center"/>
              <w:rPr>
                <w:szCs w:val="20"/>
              </w:rPr>
            </w:pPr>
            <w:r>
              <w:rPr>
                <w:szCs w:val="20"/>
              </w:rPr>
              <w:t>Unlimited</w:t>
            </w:r>
          </w:p>
        </w:tc>
        <w:tc>
          <w:tcPr>
            <w:tcW w:w="607" w:type="pct"/>
            <w:gridSpan w:val="2"/>
            <w:vAlign w:val="center"/>
          </w:tcPr>
          <w:p w14:paraId="0AFB5B9B" w14:textId="77777777" w:rsidR="000D07EA" w:rsidRDefault="00BE7C89">
            <w:pPr>
              <w:pStyle w:val="BodyText"/>
              <w:keepNext/>
              <w:keepLines/>
              <w:spacing w:before="100" w:after="100"/>
              <w:jc w:val="center"/>
              <w:rPr>
                <w:szCs w:val="20"/>
              </w:rPr>
            </w:pPr>
            <w:r>
              <w:rPr>
                <w:szCs w:val="20"/>
              </w:rPr>
              <w:t>Unlimited</w:t>
            </w:r>
          </w:p>
        </w:tc>
        <w:tc>
          <w:tcPr>
            <w:tcW w:w="608" w:type="pct"/>
            <w:vAlign w:val="center"/>
          </w:tcPr>
          <w:p w14:paraId="67F5FE5B" w14:textId="77777777" w:rsidR="000D07EA" w:rsidRDefault="00BE7C89">
            <w:pPr>
              <w:pStyle w:val="BodyText"/>
              <w:keepNext/>
              <w:keepLines/>
              <w:spacing w:before="100" w:after="100"/>
              <w:jc w:val="center"/>
              <w:rPr>
                <w:szCs w:val="20"/>
              </w:rPr>
            </w:pPr>
            <w:r>
              <w:rPr>
                <w:szCs w:val="20"/>
              </w:rPr>
              <w:t>Unlimited</w:t>
            </w:r>
          </w:p>
        </w:tc>
        <w:tc>
          <w:tcPr>
            <w:tcW w:w="607" w:type="pct"/>
            <w:vAlign w:val="center"/>
          </w:tcPr>
          <w:p w14:paraId="632BD9F9" w14:textId="77777777" w:rsidR="000D07EA" w:rsidRDefault="00BE7C89">
            <w:pPr>
              <w:pStyle w:val="BodyText"/>
              <w:keepNext/>
              <w:keepLines/>
              <w:spacing w:before="100" w:after="100"/>
              <w:jc w:val="center"/>
              <w:rPr>
                <w:szCs w:val="20"/>
              </w:rPr>
            </w:pPr>
            <w:r>
              <w:rPr>
                <w:szCs w:val="20"/>
              </w:rPr>
              <w:t>Unlimited</w:t>
            </w:r>
          </w:p>
        </w:tc>
        <w:tc>
          <w:tcPr>
            <w:tcW w:w="608" w:type="pct"/>
            <w:vAlign w:val="center"/>
          </w:tcPr>
          <w:p w14:paraId="24561B65" w14:textId="77777777" w:rsidR="000D07EA" w:rsidRDefault="00BE7C89">
            <w:pPr>
              <w:pStyle w:val="BodyText"/>
              <w:keepNext/>
              <w:keepLines/>
              <w:spacing w:before="100" w:after="100"/>
              <w:jc w:val="center"/>
              <w:rPr>
                <w:szCs w:val="20"/>
              </w:rPr>
            </w:pPr>
            <w:r>
              <w:rPr>
                <w:szCs w:val="20"/>
              </w:rPr>
              <w:t>Unlimited</w:t>
            </w:r>
          </w:p>
        </w:tc>
        <w:tc>
          <w:tcPr>
            <w:tcW w:w="608" w:type="pct"/>
            <w:vAlign w:val="center"/>
          </w:tcPr>
          <w:p w14:paraId="1665C7C9" w14:textId="77777777" w:rsidR="000D07EA" w:rsidRDefault="00BE7C89">
            <w:pPr>
              <w:pStyle w:val="BodyText"/>
              <w:keepNext/>
              <w:keepLines/>
              <w:spacing w:before="100" w:after="100"/>
              <w:jc w:val="center"/>
              <w:rPr>
                <w:szCs w:val="20"/>
              </w:rPr>
            </w:pPr>
            <w:r>
              <w:rPr>
                <w:szCs w:val="20"/>
              </w:rPr>
              <w:t>Unlimited</w:t>
            </w:r>
          </w:p>
        </w:tc>
      </w:tr>
      <w:tr w:rsidR="000D07EA" w14:paraId="15515B2F" w14:textId="77777777">
        <w:tc>
          <w:tcPr>
            <w:tcW w:w="746" w:type="pct"/>
            <w:shd w:val="clear" w:color="auto" w:fill="auto"/>
          </w:tcPr>
          <w:p w14:paraId="0BBC1420" w14:textId="77777777" w:rsidR="000D07EA" w:rsidRDefault="00BE7C89">
            <w:pPr>
              <w:pStyle w:val="BodyText"/>
              <w:spacing w:before="100" w:after="100"/>
              <w:rPr>
                <w:b/>
                <w:bCs/>
                <w:szCs w:val="20"/>
              </w:rPr>
            </w:pPr>
            <w:r>
              <w:rPr>
                <w:b/>
                <w:bCs/>
                <w:szCs w:val="20"/>
              </w:rPr>
              <w:t xml:space="preserve">Standard international MMS </w:t>
            </w:r>
            <w:r>
              <w:rPr>
                <w:szCs w:val="20"/>
              </w:rPr>
              <w:t>(per message to selected countries)</w:t>
            </w:r>
          </w:p>
        </w:tc>
        <w:tc>
          <w:tcPr>
            <w:tcW w:w="607" w:type="pct"/>
            <w:vAlign w:val="center"/>
          </w:tcPr>
          <w:p w14:paraId="495CCB1E" w14:textId="77777777" w:rsidR="000D07EA" w:rsidRDefault="00BE7C89">
            <w:pPr>
              <w:pStyle w:val="BodyText"/>
              <w:spacing w:before="100" w:after="100"/>
              <w:jc w:val="center"/>
              <w:rPr>
                <w:szCs w:val="20"/>
              </w:rPr>
            </w:pPr>
            <w:r>
              <w:rPr>
                <w:szCs w:val="20"/>
              </w:rPr>
              <w:t>Unlimited</w:t>
            </w:r>
          </w:p>
        </w:tc>
        <w:tc>
          <w:tcPr>
            <w:tcW w:w="608" w:type="pct"/>
            <w:vAlign w:val="center"/>
          </w:tcPr>
          <w:p w14:paraId="07E92048" w14:textId="77777777" w:rsidR="000D07EA" w:rsidRDefault="00BE7C89">
            <w:pPr>
              <w:pStyle w:val="BodyText"/>
              <w:spacing w:before="100" w:after="100"/>
              <w:jc w:val="center"/>
              <w:rPr>
                <w:szCs w:val="20"/>
              </w:rPr>
            </w:pPr>
            <w:r>
              <w:rPr>
                <w:szCs w:val="20"/>
              </w:rPr>
              <w:t>Unlimited</w:t>
            </w:r>
          </w:p>
        </w:tc>
        <w:tc>
          <w:tcPr>
            <w:tcW w:w="607" w:type="pct"/>
            <w:gridSpan w:val="2"/>
            <w:vAlign w:val="center"/>
          </w:tcPr>
          <w:p w14:paraId="15883097" w14:textId="77777777" w:rsidR="000D07EA" w:rsidRDefault="00BE7C89">
            <w:pPr>
              <w:pStyle w:val="BodyText"/>
              <w:spacing w:before="100" w:after="100"/>
              <w:jc w:val="center"/>
              <w:rPr>
                <w:szCs w:val="20"/>
              </w:rPr>
            </w:pPr>
            <w:r>
              <w:rPr>
                <w:szCs w:val="20"/>
              </w:rPr>
              <w:t>Unlimited</w:t>
            </w:r>
          </w:p>
        </w:tc>
        <w:tc>
          <w:tcPr>
            <w:tcW w:w="608" w:type="pct"/>
            <w:vAlign w:val="center"/>
          </w:tcPr>
          <w:p w14:paraId="24BCE0CE" w14:textId="77777777" w:rsidR="000D07EA" w:rsidRDefault="00BE7C89">
            <w:pPr>
              <w:pStyle w:val="BodyText"/>
              <w:spacing w:before="100" w:after="100"/>
              <w:jc w:val="center"/>
              <w:rPr>
                <w:szCs w:val="20"/>
              </w:rPr>
            </w:pPr>
            <w:r>
              <w:rPr>
                <w:szCs w:val="20"/>
              </w:rPr>
              <w:t>Unlimited</w:t>
            </w:r>
          </w:p>
        </w:tc>
        <w:tc>
          <w:tcPr>
            <w:tcW w:w="607" w:type="pct"/>
            <w:vAlign w:val="center"/>
          </w:tcPr>
          <w:p w14:paraId="7D091167" w14:textId="77777777" w:rsidR="000D07EA" w:rsidRDefault="00BE7C89">
            <w:pPr>
              <w:pStyle w:val="BodyText"/>
              <w:spacing w:before="100" w:after="100"/>
              <w:jc w:val="center"/>
              <w:rPr>
                <w:szCs w:val="20"/>
              </w:rPr>
            </w:pPr>
            <w:r>
              <w:rPr>
                <w:szCs w:val="20"/>
              </w:rPr>
              <w:t>Unlimited</w:t>
            </w:r>
          </w:p>
        </w:tc>
        <w:tc>
          <w:tcPr>
            <w:tcW w:w="608" w:type="pct"/>
            <w:vAlign w:val="center"/>
          </w:tcPr>
          <w:p w14:paraId="5FEDA310" w14:textId="77777777" w:rsidR="000D07EA" w:rsidRDefault="00BE7C89">
            <w:pPr>
              <w:pStyle w:val="BodyText"/>
              <w:spacing w:before="100" w:after="100"/>
              <w:jc w:val="center"/>
              <w:rPr>
                <w:szCs w:val="20"/>
              </w:rPr>
            </w:pPr>
            <w:r>
              <w:rPr>
                <w:szCs w:val="20"/>
              </w:rPr>
              <w:t>Unlimited</w:t>
            </w:r>
          </w:p>
        </w:tc>
        <w:tc>
          <w:tcPr>
            <w:tcW w:w="608" w:type="pct"/>
            <w:vAlign w:val="center"/>
          </w:tcPr>
          <w:p w14:paraId="3A958663" w14:textId="77777777" w:rsidR="000D07EA" w:rsidRDefault="00BE7C89">
            <w:pPr>
              <w:pStyle w:val="BodyText"/>
              <w:spacing w:before="100" w:after="100"/>
              <w:jc w:val="center"/>
              <w:rPr>
                <w:szCs w:val="20"/>
              </w:rPr>
            </w:pPr>
            <w:r>
              <w:rPr>
                <w:szCs w:val="20"/>
              </w:rPr>
              <w:t>Unlimited</w:t>
            </w:r>
          </w:p>
        </w:tc>
      </w:tr>
      <w:tr w:rsidR="000D07EA" w14:paraId="3604DDCE" w14:textId="77777777">
        <w:tc>
          <w:tcPr>
            <w:tcW w:w="746" w:type="pct"/>
            <w:shd w:val="clear" w:color="auto" w:fill="auto"/>
          </w:tcPr>
          <w:p w14:paraId="6D23DE08" w14:textId="77777777" w:rsidR="000D07EA" w:rsidRDefault="00BE7C89">
            <w:pPr>
              <w:pStyle w:val="BodyText"/>
              <w:spacing w:before="100" w:after="100"/>
              <w:rPr>
                <w:b/>
                <w:bCs/>
                <w:szCs w:val="20"/>
              </w:rPr>
            </w:pPr>
            <w:r>
              <w:rPr>
                <w:bCs/>
                <w:snapToGrid w:val="0"/>
                <w:szCs w:val="20"/>
              </w:rPr>
              <w:t>Optus Travel™ Pack</w:t>
            </w:r>
          </w:p>
        </w:tc>
        <w:tc>
          <w:tcPr>
            <w:tcW w:w="607" w:type="pct"/>
            <w:vAlign w:val="center"/>
          </w:tcPr>
          <w:p w14:paraId="1409CF72" w14:textId="77777777" w:rsidR="000D07EA" w:rsidRDefault="000D07EA">
            <w:pPr>
              <w:pStyle w:val="BodyText"/>
              <w:spacing w:before="100" w:after="100"/>
              <w:jc w:val="center"/>
              <w:rPr>
                <w:szCs w:val="20"/>
              </w:rPr>
            </w:pPr>
          </w:p>
        </w:tc>
        <w:tc>
          <w:tcPr>
            <w:tcW w:w="608" w:type="pct"/>
            <w:vAlign w:val="center"/>
          </w:tcPr>
          <w:p w14:paraId="576809AD" w14:textId="77777777" w:rsidR="000D07EA" w:rsidRDefault="000D07EA">
            <w:pPr>
              <w:pStyle w:val="BodyText"/>
              <w:spacing w:before="100" w:after="100"/>
              <w:jc w:val="center"/>
              <w:rPr>
                <w:szCs w:val="20"/>
              </w:rPr>
            </w:pPr>
          </w:p>
        </w:tc>
        <w:tc>
          <w:tcPr>
            <w:tcW w:w="607" w:type="pct"/>
            <w:gridSpan w:val="2"/>
            <w:vAlign w:val="center"/>
          </w:tcPr>
          <w:p w14:paraId="4D4813B4" w14:textId="77777777" w:rsidR="000D07EA" w:rsidRDefault="000D07EA">
            <w:pPr>
              <w:pStyle w:val="BodyText"/>
              <w:spacing w:before="100" w:after="100"/>
              <w:jc w:val="center"/>
              <w:rPr>
                <w:szCs w:val="20"/>
              </w:rPr>
            </w:pPr>
          </w:p>
        </w:tc>
        <w:tc>
          <w:tcPr>
            <w:tcW w:w="608" w:type="pct"/>
            <w:vAlign w:val="center"/>
          </w:tcPr>
          <w:p w14:paraId="6128C2C5" w14:textId="77777777" w:rsidR="000D07EA" w:rsidRDefault="000D07EA">
            <w:pPr>
              <w:pStyle w:val="BodyText"/>
              <w:spacing w:before="100" w:after="100"/>
              <w:jc w:val="center"/>
              <w:rPr>
                <w:szCs w:val="20"/>
              </w:rPr>
            </w:pPr>
          </w:p>
        </w:tc>
        <w:tc>
          <w:tcPr>
            <w:tcW w:w="607" w:type="pct"/>
            <w:vAlign w:val="center"/>
          </w:tcPr>
          <w:p w14:paraId="73C4EC5C" w14:textId="77777777" w:rsidR="000D07EA" w:rsidRDefault="00BE7C89">
            <w:pPr>
              <w:pStyle w:val="BodyText"/>
              <w:spacing w:before="100" w:after="100"/>
              <w:jc w:val="center"/>
              <w:rPr>
                <w:szCs w:val="20"/>
              </w:rPr>
            </w:pPr>
            <w:r>
              <w:rPr>
                <w:szCs w:val="20"/>
              </w:rPr>
              <w:t>Up to 10 days</w:t>
            </w:r>
          </w:p>
        </w:tc>
        <w:tc>
          <w:tcPr>
            <w:tcW w:w="608" w:type="pct"/>
            <w:vAlign w:val="center"/>
          </w:tcPr>
          <w:p w14:paraId="64AC7BBB" w14:textId="77777777" w:rsidR="000D07EA" w:rsidRDefault="00BE7C89">
            <w:pPr>
              <w:pStyle w:val="BodyText"/>
              <w:spacing w:before="100" w:after="100"/>
              <w:jc w:val="center"/>
              <w:rPr>
                <w:szCs w:val="20"/>
              </w:rPr>
            </w:pPr>
            <w:r>
              <w:rPr>
                <w:szCs w:val="20"/>
              </w:rPr>
              <w:t>Up to 10 days</w:t>
            </w:r>
          </w:p>
        </w:tc>
        <w:tc>
          <w:tcPr>
            <w:tcW w:w="608" w:type="pct"/>
            <w:vAlign w:val="center"/>
          </w:tcPr>
          <w:p w14:paraId="4813ADF1" w14:textId="77777777" w:rsidR="000D07EA" w:rsidRDefault="00BE7C89">
            <w:pPr>
              <w:pStyle w:val="BodyText"/>
              <w:spacing w:before="100" w:after="100"/>
              <w:jc w:val="center"/>
              <w:rPr>
                <w:szCs w:val="20"/>
              </w:rPr>
            </w:pPr>
            <w:r>
              <w:rPr>
                <w:szCs w:val="20"/>
              </w:rPr>
              <w:t>Up to 10 days</w:t>
            </w:r>
          </w:p>
        </w:tc>
      </w:tr>
      <w:tr w:rsidR="000D07EA" w14:paraId="037BBEE2" w14:textId="77777777">
        <w:tc>
          <w:tcPr>
            <w:tcW w:w="746" w:type="pct"/>
            <w:shd w:val="clear" w:color="auto" w:fill="auto"/>
          </w:tcPr>
          <w:p w14:paraId="73BDE6D9" w14:textId="77777777" w:rsidR="000D07EA" w:rsidRDefault="00BE7C89">
            <w:pPr>
              <w:pStyle w:val="BodyText"/>
              <w:spacing w:before="100" w:after="100"/>
              <w:rPr>
                <w:b/>
                <w:bCs/>
                <w:szCs w:val="20"/>
              </w:rPr>
            </w:pPr>
            <w:r>
              <w:rPr>
                <w:b/>
                <w:bCs/>
                <w:szCs w:val="20"/>
              </w:rPr>
              <w:t xml:space="preserve">Minimum total cost over 24 months </w:t>
            </w:r>
          </w:p>
        </w:tc>
        <w:tc>
          <w:tcPr>
            <w:tcW w:w="607" w:type="pct"/>
            <w:vAlign w:val="center"/>
          </w:tcPr>
          <w:p w14:paraId="574E09D1" w14:textId="77777777" w:rsidR="000D07EA" w:rsidRDefault="00BE7C89">
            <w:pPr>
              <w:pStyle w:val="BodyText"/>
              <w:spacing w:before="100" w:after="100"/>
              <w:jc w:val="center"/>
              <w:rPr>
                <w:szCs w:val="20"/>
              </w:rPr>
            </w:pPr>
            <w:r>
              <w:rPr>
                <w:szCs w:val="20"/>
              </w:rPr>
              <w:t>$960</w:t>
            </w:r>
          </w:p>
        </w:tc>
        <w:tc>
          <w:tcPr>
            <w:tcW w:w="608" w:type="pct"/>
            <w:vAlign w:val="center"/>
          </w:tcPr>
          <w:p w14:paraId="67DB81D9" w14:textId="77777777" w:rsidR="000D07EA" w:rsidRDefault="00BE7C89">
            <w:pPr>
              <w:pStyle w:val="BodyText"/>
              <w:spacing w:before="100" w:after="100"/>
              <w:jc w:val="center"/>
              <w:rPr>
                <w:szCs w:val="20"/>
              </w:rPr>
            </w:pPr>
            <w:r>
              <w:rPr>
                <w:szCs w:val="20"/>
              </w:rPr>
              <w:t>$1440</w:t>
            </w:r>
          </w:p>
        </w:tc>
        <w:tc>
          <w:tcPr>
            <w:tcW w:w="607" w:type="pct"/>
            <w:gridSpan w:val="2"/>
            <w:vAlign w:val="center"/>
          </w:tcPr>
          <w:p w14:paraId="6B114363" w14:textId="77777777" w:rsidR="000D07EA" w:rsidRDefault="00BE7C89">
            <w:pPr>
              <w:pStyle w:val="BodyText"/>
              <w:spacing w:before="100" w:after="100"/>
              <w:jc w:val="center"/>
              <w:rPr>
                <w:szCs w:val="20"/>
              </w:rPr>
            </w:pPr>
            <w:r>
              <w:rPr>
                <w:szCs w:val="20"/>
              </w:rPr>
              <w:t>$1920</w:t>
            </w:r>
          </w:p>
        </w:tc>
        <w:tc>
          <w:tcPr>
            <w:tcW w:w="608" w:type="pct"/>
            <w:vAlign w:val="center"/>
          </w:tcPr>
          <w:p w14:paraId="105319D7" w14:textId="77777777" w:rsidR="000D07EA" w:rsidRDefault="00BE7C89">
            <w:pPr>
              <w:pStyle w:val="BodyText"/>
              <w:spacing w:before="100" w:after="100"/>
              <w:jc w:val="center"/>
              <w:rPr>
                <w:szCs w:val="20"/>
              </w:rPr>
            </w:pPr>
            <w:r>
              <w:rPr>
                <w:szCs w:val="20"/>
              </w:rPr>
              <w:t>$2400</w:t>
            </w:r>
          </w:p>
        </w:tc>
        <w:tc>
          <w:tcPr>
            <w:tcW w:w="607" w:type="pct"/>
            <w:vAlign w:val="center"/>
          </w:tcPr>
          <w:p w14:paraId="5F12FDBB" w14:textId="77777777" w:rsidR="000D07EA" w:rsidRDefault="00BE7C89">
            <w:pPr>
              <w:pStyle w:val="BodyText"/>
              <w:spacing w:before="100" w:after="100"/>
              <w:jc w:val="center"/>
              <w:rPr>
                <w:szCs w:val="20"/>
              </w:rPr>
            </w:pPr>
            <w:r>
              <w:rPr>
                <w:szCs w:val="20"/>
              </w:rPr>
              <w:t>$2400</w:t>
            </w:r>
          </w:p>
        </w:tc>
        <w:tc>
          <w:tcPr>
            <w:tcW w:w="608" w:type="pct"/>
            <w:vAlign w:val="center"/>
          </w:tcPr>
          <w:p w14:paraId="769CEAB6" w14:textId="77777777" w:rsidR="000D07EA" w:rsidRDefault="00BE7C89">
            <w:pPr>
              <w:pStyle w:val="BodyText"/>
              <w:spacing w:before="100" w:after="100"/>
              <w:jc w:val="center"/>
              <w:rPr>
                <w:szCs w:val="20"/>
              </w:rPr>
            </w:pPr>
            <w:r>
              <w:rPr>
                <w:szCs w:val="20"/>
              </w:rPr>
              <w:t>$3240</w:t>
            </w:r>
          </w:p>
        </w:tc>
        <w:tc>
          <w:tcPr>
            <w:tcW w:w="608" w:type="pct"/>
            <w:vAlign w:val="center"/>
          </w:tcPr>
          <w:p w14:paraId="7CE54B03" w14:textId="77777777" w:rsidR="000D07EA" w:rsidRDefault="00BE7C89">
            <w:pPr>
              <w:pStyle w:val="BodyText"/>
              <w:spacing w:before="100" w:after="100"/>
              <w:jc w:val="center"/>
              <w:rPr>
                <w:szCs w:val="20"/>
              </w:rPr>
            </w:pPr>
            <w:r>
              <w:rPr>
                <w:szCs w:val="20"/>
              </w:rPr>
              <w:t>$2400</w:t>
            </w:r>
          </w:p>
        </w:tc>
      </w:tr>
    </w:tbl>
    <w:p w14:paraId="3D56A344" w14:textId="77777777" w:rsidR="000D07EA" w:rsidRDefault="000D07EA">
      <w:pPr>
        <w:pStyle w:val="BodyText"/>
      </w:pPr>
    </w:p>
    <w:p w14:paraId="3FC24643" w14:textId="77777777" w:rsidR="000D07EA" w:rsidRDefault="00BE7C89">
      <w:pPr>
        <w:pStyle w:val="BodyText"/>
        <w:ind w:left="720"/>
        <w:rPr>
          <w:b/>
        </w:rPr>
      </w:pPr>
      <w:r>
        <w:rPr>
          <w:b/>
        </w:rPr>
        <w:t>Table 2 – Other usage types and charges</w:t>
      </w:r>
    </w:p>
    <w:tbl>
      <w:tblPr>
        <w:tblW w:w="900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4500"/>
        <w:gridCol w:w="4500"/>
      </w:tblGrid>
      <w:tr w:rsidR="000D07EA" w14:paraId="3185D817" w14:textId="77777777">
        <w:trPr>
          <w:tblHeader/>
        </w:trPr>
        <w:tc>
          <w:tcPr>
            <w:tcW w:w="4500" w:type="dxa"/>
            <w:shd w:val="clear" w:color="auto" w:fill="auto"/>
          </w:tcPr>
          <w:p w14:paraId="1B0E5B06" w14:textId="77777777" w:rsidR="000D07EA" w:rsidRDefault="00BE7C89">
            <w:pPr>
              <w:pStyle w:val="BodyText"/>
              <w:spacing w:before="100" w:after="100"/>
              <w:rPr>
                <w:b/>
              </w:rPr>
            </w:pPr>
            <w:r>
              <w:rPr>
                <w:b/>
              </w:rPr>
              <w:t>Usage type</w:t>
            </w:r>
          </w:p>
        </w:tc>
        <w:tc>
          <w:tcPr>
            <w:tcW w:w="4500" w:type="dxa"/>
            <w:shd w:val="clear" w:color="auto" w:fill="auto"/>
            <w:vAlign w:val="center"/>
          </w:tcPr>
          <w:p w14:paraId="10C6B120" w14:textId="77777777" w:rsidR="000D07EA" w:rsidRDefault="00BE7C89">
            <w:pPr>
              <w:pStyle w:val="BodyText"/>
              <w:spacing w:before="100" w:after="100"/>
              <w:jc w:val="center"/>
              <w:rPr>
                <w:b/>
              </w:rPr>
            </w:pPr>
            <w:r>
              <w:rPr>
                <w:b/>
              </w:rPr>
              <w:t>Charge</w:t>
            </w:r>
          </w:p>
        </w:tc>
      </w:tr>
      <w:tr w:rsidR="000D07EA" w14:paraId="565EA8A0" w14:textId="77777777">
        <w:tc>
          <w:tcPr>
            <w:tcW w:w="4500" w:type="dxa"/>
            <w:shd w:val="clear" w:color="auto" w:fill="auto"/>
          </w:tcPr>
          <w:p w14:paraId="76BFBE6C" w14:textId="77777777" w:rsidR="000D07EA" w:rsidRDefault="00BE7C89">
            <w:pPr>
              <w:pStyle w:val="BodyText"/>
              <w:spacing w:before="100" w:after="100"/>
              <w:rPr>
                <w:b/>
              </w:rPr>
            </w:pPr>
            <w:r>
              <w:rPr>
                <w:b/>
              </w:rPr>
              <w:t>National video calls</w:t>
            </w:r>
            <w:r>
              <w:t xml:space="preserve"> (per minute)</w:t>
            </w:r>
          </w:p>
        </w:tc>
        <w:tc>
          <w:tcPr>
            <w:tcW w:w="4500" w:type="dxa"/>
            <w:shd w:val="clear" w:color="auto" w:fill="auto"/>
            <w:vAlign w:val="center"/>
          </w:tcPr>
          <w:p w14:paraId="34F92DCC" w14:textId="77777777" w:rsidR="000D07EA" w:rsidRDefault="00BE7C89">
            <w:pPr>
              <w:pStyle w:val="BodyText"/>
              <w:spacing w:before="100" w:after="100"/>
              <w:jc w:val="center"/>
            </w:pPr>
            <w:r>
              <w:t>$1.00 per min + 40c flagfall</w:t>
            </w:r>
          </w:p>
        </w:tc>
      </w:tr>
      <w:tr w:rsidR="000D07EA" w14:paraId="697F7FB3" w14:textId="77777777">
        <w:tc>
          <w:tcPr>
            <w:tcW w:w="4500" w:type="dxa"/>
            <w:shd w:val="clear" w:color="auto" w:fill="auto"/>
          </w:tcPr>
          <w:p w14:paraId="0877E0D7" w14:textId="77777777" w:rsidR="000D07EA" w:rsidRDefault="00BE7C89">
            <w:pPr>
              <w:pStyle w:val="BodyText"/>
              <w:spacing w:before="100" w:after="100"/>
              <w:rPr>
                <w:b/>
              </w:rPr>
            </w:pPr>
            <w:r>
              <w:rPr>
                <w:b/>
              </w:rPr>
              <w:t>National Diversions</w:t>
            </w:r>
          </w:p>
        </w:tc>
        <w:tc>
          <w:tcPr>
            <w:tcW w:w="4500" w:type="dxa"/>
            <w:shd w:val="clear" w:color="auto" w:fill="auto"/>
          </w:tcPr>
          <w:p w14:paraId="79F93BFE" w14:textId="77777777" w:rsidR="000D07EA" w:rsidRDefault="00BE7C89">
            <w:pPr>
              <w:pStyle w:val="BodyText"/>
              <w:spacing w:before="100" w:after="100"/>
              <w:jc w:val="center"/>
            </w:pPr>
            <w:r>
              <w:t>$0 per minute</w:t>
            </w:r>
          </w:p>
        </w:tc>
      </w:tr>
      <w:tr w:rsidR="000D07EA" w14:paraId="3141CD60" w14:textId="77777777">
        <w:tc>
          <w:tcPr>
            <w:tcW w:w="4500" w:type="dxa"/>
            <w:shd w:val="clear" w:color="auto" w:fill="auto"/>
          </w:tcPr>
          <w:p w14:paraId="5B52DCC1" w14:textId="77777777" w:rsidR="000D07EA" w:rsidRDefault="00BE7C89">
            <w:pPr>
              <w:pStyle w:val="BodyText"/>
              <w:spacing w:before="100" w:after="100"/>
              <w:rPr>
                <w:b/>
              </w:rPr>
            </w:pPr>
            <w:r>
              <w:rPr>
                <w:b/>
              </w:rPr>
              <w:t>International Diversions</w:t>
            </w:r>
          </w:p>
        </w:tc>
        <w:tc>
          <w:tcPr>
            <w:tcW w:w="4500" w:type="dxa"/>
            <w:shd w:val="clear" w:color="auto" w:fill="auto"/>
          </w:tcPr>
          <w:p w14:paraId="14EBB314" w14:textId="77777777" w:rsidR="000D07EA" w:rsidRDefault="00BE7C89">
            <w:pPr>
              <w:pStyle w:val="BodyText"/>
              <w:spacing w:before="100" w:after="100"/>
              <w:jc w:val="center"/>
            </w:pPr>
            <w:r>
              <w:t>'yes' international rates</w:t>
            </w:r>
            <w:r>
              <w:br/>
              <w:t>See optus.com.au/international</w:t>
            </w:r>
          </w:p>
        </w:tc>
      </w:tr>
      <w:tr w:rsidR="000D07EA" w14:paraId="05466171" w14:textId="77777777">
        <w:tc>
          <w:tcPr>
            <w:tcW w:w="4500" w:type="dxa"/>
            <w:shd w:val="clear" w:color="auto" w:fill="auto"/>
          </w:tcPr>
          <w:p w14:paraId="44709DD0" w14:textId="77777777" w:rsidR="000D07EA" w:rsidRDefault="00BE7C89">
            <w:pPr>
              <w:pStyle w:val="BodyText"/>
              <w:spacing w:before="100" w:after="100"/>
              <w:rPr>
                <w:b/>
              </w:rPr>
            </w:pPr>
            <w:r>
              <w:rPr>
                <w:b/>
              </w:rPr>
              <w:t>1800 numbers</w:t>
            </w:r>
          </w:p>
        </w:tc>
        <w:tc>
          <w:tcPr>
            <w:tcW w:w="4500" w:type="dxa"/>
            <w:shd w:val="clear" w:color="auto" w:fill="auto"/>
            <w:vAlign w:val="center"/>
          </w:tcPr>
          <w:p w14:paraId="2F630869" w14:textId="77777777" w:rsidR="000D07EA" w:rsidRDefault="00BE7C89">
            <w:pPr>
              <w:pStyle w:val="BodyText"/>
              <w:spacing w:before="100" w:after="100"/>
              <w:jc w:val="center"/>
            </w:pPr>
            <w:r>
              <w:t>$0 per minute</w:t>
            </w:r>
          </w:p>
        </w:tc>
      </w:tr>
      <w:tr w:rsidR="000D07EA" w14:paraId="411B3445" w14:textId="77777777">
        <w:tc>
          <w:tcPr>
            <w:tcW w:w="4500" w:type="dxa"/>
            <w:shd w:val="clear" w:color="auto" w:fill="auto"/>
          </w:tcPr>
          <w:p w14:paraId="7814CF7D" w14:textId="77777777" w:rsidR="000D07EA" w:rsidRDefault="00BE7C89">
            <w:pPr>
              <w:pStyle w:val="BodyText"/>
              <w:spacing w:before="100" w:after="100"/>
              <w:rPr>
                <w:b/>
              </w:rPr>
            </w:pPr>
            <w:r>
              <w:rPr>
                <w:b/>
              </w:rPr>
              <w:t>Directory Assistance 1223</w:t>
            </w:r>
          </w:p>
        </w:tc>
        <w:tc>
          <w:tcPr>
            <w:tcW w:w="4500" w:type="dxa"/>
            <w:shd w:val="clear" w:color="auto" w:fill="auto"/>
            <w:vAlign w:val="center"/>
          </w:tcPr>
          <w:p w14:paraId="5168EB64" w14:textId="77777777" w:rsidR="000D07EA" w:rsidRDefault="00BE7C89">
            <w:pPr>
              <w:pStyle w:val="BodyText"/>
              <w:spacing w:before="100" w:after="100"/>
              <w:jc w:val="center"/>
            </w:pPr>
            <w:r>
              <w:t>50c per call</w:t>
            </w:r>
          </w:p>
        </w:tc>
      </w:tr>
      <w:tr w:rsidR="000D07EA" w14:paraId="0C1C1B03" w14:textId="77777777">
        <w:tc>
          <w:tcPr>
            <w:tcW w:w="4500" w:type="dxa"/>
            <w:shd w:val="clear" w:color="auto" w:fill="auto"/>
          </w:tcPr>
          <w:p w14:paraId="4BB105D8" w14:textId="77777777" w:rsidR="000D07EA" w:rsidRDefault="00BE7C89">
            <w:pPr>
              <w:pStyle w:val="BodyText"/>
              <w:spacing w:before="100" w:after="100"/>
              <w:rPr>
                <w:b/>
              </w:rPr>
            </w:pPr>
            <w:r>
              <w:rPr>
                <w:b/>
              </w:rPr>
              <w:lastRenderedPageBreak/>
              <w:t>124 Yes</w:t>
            </w:r>
          </w:p>
        </w:tc>
        <w:tc>
          <w:tcPr>
            <w:tcW w:w="4500" w:type="dxa"/>
            <w:shd w:val="clear" w:color="auto" w:fill="auto"/>
            <w:vAlign w:val="center"/>
          </w:tcPr>
          <w:p w14:paraId="613A13F2" w14:textId="77777777" w:rsidR="000D07EA" w:rsidRDefault="00BE7C89">
            <w:pPr>
              <w:pStyle w:val="BodyText"/>
              <w:spacing w:before="100" w:after="100"/>
              <w:jc w:val="center"/>
            </w:pPr>
            <w:r>
              <w:t>90c per minute +$1.75c flagfall</w:t>
            </w:r>
          </w:p>
        </w:tc>
      </w:tr>
      <w:tr w:rsidR="000D07EA" w14:paraId="410C2797" w14:textId="77777777">
        <w:tc>
          <w:tcPr>
            <w:tcW w:w="4500" w:type="dxa"/>
            <w:shd w:val="clear" w:color="auto" w:fill="auto"/>
          </w:tcPr>
          <w:p w14:paraId="2D44EB60" w14:textId="77777777" w:rsidR="000D07EA" w:rsidRDefault="00BE7C89">
            <w:pPr>
              <w:pStyle w:val="BodyText"/>
              <w:spacing w:before="100" w:after="100"/>
              <w:rPr>
                <w:b/>
              </w:rPr>
            </w:pPr>
            <w:r>
              <w:rPr>
                <w:b/>
              </w:rPr>
              <w:t>International voice calls (outside the plan's included international minutes and to excluded countries)</w:t>
            </w:r>
          </w:p>
        </w:tc>
        <w:tc>
          <w:tcPr>
            <w:tcW w:w="4500" w:type="dxa"/>
            <w:shd w:val="clear" w:color="auto" w:fill="auto"/>
            <w:vAlign w:val="center"/>
          </w:tcPr>
          <w:p w14:paraId="48069EF0" w14:textId="77777777" w:rsidR="000D07EA" w:rsidRDefault="00BE7C89">
            <w:pPr>
              <w:pStyle w:val="BodyText"/>
              <w:spacing w:before="100" w:after="100"/>
              <w:jc w:val="center"/>
            </w:pPr>
            <w:r>
              <w:t>'yes' international rates</w:t>
            </w:r>
            <w:r>
              <w:br/>
              <w:t>See optus.com.au/international</w:t>
            </w:r>
          </w:p>
        </w:tc>
      </w:tr>
      <w:tr w:rsidR="000D07EA" w14:paraId="2DC43CF8" w14:textId="77777777">
        <w:tc>
          <w:tcPr>
            <w:tcW w:w="4500" w:type="dxa"/>
            <w:shd w:val="clear" w:color="auto" w:fill="auto"/>
          </w:tcPr>
          <w:p w14:paraId="0A57B3DC" w14:textId="77777777" w:rsidR="000D07EA" w:rsidRDefault="00BE7C89">
            <w:pPr>
              <w:pStyle w:val="BodyText"/>
              <w:spacing w:before="100" w:after="100"/>
              <w:rPr>
                <w:b/>
              </w:rPr>
            </w:pPr>
            <w:r>
              <w:rPr>
                <w:b/>
              </w:rPr>
              <w:t>International SMS (to excluded countries)</w:t>
            </w:r>
          </w:p>
        </w:tc>
        <w:tc>
          <w:tcPr>
            <w:tcW w:w="4500" w:type="dxa"/>
            <w:shd w:val="clear" w:color="auto" w:fill="auto"/>
            <w:vAlign w:val="center"/>
          </w:tcPr>
          <w:p w14:paraId="619BB6E4" w14:textId="77777777" w:rsidR="000D07EA" w:rsidRDefault="00BE7C89">
            <w:pPr>
              <w:pStyle w:val="BodyText"/>
              <w:spacing w:before="100" w:after="100"/>
              <w:jc w:val="center"/>
            </w:pPr>
            <w:r>
              <w:t>50c per SMS up to 160 standard characters</w:t>
            </w:r>
          </w:p>
        </w:tc>
      </w:tr>
      <w:tr w:rsidR="000D07EA" w14:paraId="12AA781D" w14:textId="77777777">
        <w:tc>
          <w:tcPr>
            <w:tcW w:w="4500" w:type="dxa"/>
            <w:shd w:val="clear" w:color="auto" w:fill="auto"/>
          </w:tcPr>
          <w:p w14:paraId="5C63BE66" w14:textId="77777777" w:rsidR="000D07EA" w:rsidRDefault="00BE7C89">
            <w:pPr>
              <w:pStyle w:val="BodyText"/>
              <w:spacing w:before="100" w:after="100"/>
              <w:rPr>
                <w:b/>
              </w:rPr>
            </w:pPr>
            <w:r>
              <w:rPr>
                <w:b/>
              </w:rPr>
              <w:t>International MMS (to excluded countries)</w:t>
            </w:r>
          </w:p>
        </w:tc>
        <w:tc>
          <w:tcPr>
            <w:tcW w:w="4500" w:type="dxa"/>
            <w:shd w:val="clear" w:color="auto" w:fill="auto"/>
            <w:vAlign w:val="center"/>
          </w:tcPr>
          <w:p w14:paraId="798C33C1" w14:textId="77777777" w:rsidR="000D07EA" w:rsidRDefault="00BE7C89">
            <w:pPr>
              <w:pStyle w:val="BodyText"/>
              <w:spacing w:before="100" w:after="100"/>
              <w:jc w:val="center"/>
            </w:pPr>
            <w:r>
              <w:t>75c per MMS</w:t>
            </w:r>
          </w:p>
        </w:tc>
      </w:tr>
      <w:tr w:rsidR="000D07EA" w14:paraId="76B63B0C" w14:textId="77777777">
        <w:tc>
          <w:tcPr>
            <w:tcW w:w="4500" w:type="dxa"/>
            <w:shd w:val="clear" w:color="auto" w:fill="auto"/>
          </w:tcPr>
          <w:p w14:paraId="30CEB3E6" w14:textId="77777777" w:rsidR="000D07EA" w:rsidRDefault="00BE7C89">
            <w:pPr>
              <w:pStyle w:val="BodyText"/>
              <w:spacing w:before="100" w:after="100"/>
              <w:rPr>
                <w:b/>
              </w:rPr>
            </w:pPr>
            <w:r>
              <w:rPr>
                <w:b/>
              </w:rPr>
              <w:t>International video calling</w:t>
            </w:r>
          </w:p>
        </w:tc>
        <w:tc>
          <w:tcPr>
            <w:tcW w:w="4500" w:type="dxa"/>
            <w:shd w:val="clear" w:color="auto" w:fill="auto"/>
            <w:vAlign w:val="center"/>
          </w:tcPr>
          <w:p w14:paraId="04D83D59" w14:textId="77777777" w:rsidR="000D07EA" w:rsidRDefault="00BE7C89">
            <w:pPr>
              <w:pStyle w:val="BodyText"/>
              <w:spacing w:before="100" w:after="100"/>
              <w:jc w:val="center"/>
            </w:pPr>
            <w:r>
              <w:t>$1.50 per minute +35c flagfall</w:t>
            </w:r>
          </w:p>
        </w:tc>
      </w:tr>
      <w:tr w:rsidR="000D07EA" w14:paraId="7ED567F2" w14:textId="77777777">
        <w:tc>
          <w:tcPr>
            <w:tcW w:w="4500" w:type="dxa"/>
            <w:shd w:val="clear" w:color="auto" w:fill="auto"/>
          </w:tcPr>
          <w:p w14:paraId="480432A5" w14:textId="77777777" w:rsidR="000D07EA" w:rsidRDefault="00BE7C89">
            <w:pPr>
              <w:pStyle w:val="BodyText"/>
              <w:spacing w:before="100" w:after="100"/>
              <w:rPr>
                <w:b/>
              </w:rPr>
            </w:pPr>
            <w:r>
              <w:rPr>
                <w:b/>
              </w:rPr>
              <w:t>International roaming</w:t>
            </w:r>
          </w:p>
        </w:tc>
        <w:tc>
          <w:tcPr>
            <w:tcW w:w="4500" w:type="dxa"/>
            <w:shd w:val="clear" w:color="auto" w:fill="auto"/>
            <w:vAlign w:val="center"/>
          </w:tcPr>
          <w:p w14:paraId="6417C45F" w14:textId="77777777" w:rsidR="000D07EA" w:rsidRDefault="00BE7C89">
            <w:pPr>
              <w:pStyle w:val="BodyText"/>
              <w:spacing w:before="100" w:after="100"/>
              <w:jc w:val="center"/>
            </w:pPr>
            <w:r>
              <w:t>See optus.com.au/roaming</w:t>
            </w:r>
          </w:p>
        </w:tc>
      </w:tr>
    </w:tbl>
    <w:p w14:paraId="5C019D48" w14:textId="77777777" w:rsidR="000D07EA" w:rsidRDefault="000D07EA">
      <w:pPr>
        <w:pStyle w:val="BodyText"/>
      </w:pPr>
    </w:p>
    <w:p w14:paraId="44FBC26D" w14:textId="77777777" w:rsidR="000D07EA" w:rsidRDefault="00BE7C89">
      <w:pPr>
        <w:pStyle w:val="BodyText"/>
        <w:ind w:left="720"/>
        <w:rPr>
          <w:b/>
        </w:rPr>
      </w:pPr>
      <w:r>
        <w:rPr>
          <w:b/>
        </w:rPr>
        <w:t>Table 3 – International Countries</w:t>
      </w:r>
    </w:p>
    <w:tbl>
      <w:tblPr>
        <w:tblW w:w="900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250"/>
        <w:gridCol w:w="2250"/>
        <w:gridCol w:w="2250"/>
        <w:gridCol w:w="2250"/>
      </w:tblGrid>
      <w:tr w:rsidR="000D07EA" w14:paraId="43F72052" w14:textId="77777777">
        <w:tc>
          <w:tcPr>
            <w:tcW w:w="2250" w:type="dxa"/>
            <w:shd w:val="clear" w:color="auto" w:fill="auto"/>
          </w:tcPr>
          <w:p w14:paraId="095E9F53" w14:textId="77777777" w:rsidR="000D07EA" w:rsidRDefault="00BE7C89">
            <w:pPr>
              <w:pStyle w:val="BodyText"/>
              <w:spacing w:before="100" w:after="100"/>
            </w:pPr>
            <w:r>
              <w:t>Austria</w:t>
            </w:r>
          </w:p>
        </w:tc>
        <w:tc>
          <w:tcPr>
            <w:tcW w:w="2250" w:type="dxa"/>
            <w:shd w:val="clear" w:color="auto" w:fill="auto"/>
          </w:tcPr>
          <w:p w14:paraId="0E12F0D2" w14:textId="77777777" w:rsidR="000D07EA" w:rsidRDefault="00BE7C89">
            <w:pPr>
              <w:pStyle w:val="BodyText"/>
              <w:spacing w:before="100" w:after="100"/>
            </w:pPr>
            <w:r>
              <w:t>Bangladesh</w:t>
            </w:r>
          </w:p>
        </w:tc>
        <w:tc>
          <w:tcPr>
            <w:tcW w:w="2250" w:type="dxa"/>
            <w:shd w:val="clear" w:color="auto" w:fill="auto"/>
          </w:tcPr>
          <w:p w14:paraId="07AD6E93" w14:textId="77777777" w:rsidR="000D07EA" w:rsidRDefault="00BE7C89">
            <w:pPr>
              <w:pStyle w:val="BodyText"/>
              <w:spacing w:before="100" w:after="100"/>
            </w:pPr>
            <w:r>
              <w:t>Cambodia</w:t>
            </w:r>
          </w:p>
        </w:tc>
        <w:tc>
          <w:tcPr>
            <w:tcW w:w="2250" w:type="dxa"/>
            <w:shd w:val="clear" w:color="auto" w:fill="auto"/>
          </w:tcPr>
          <w:p w14:paraId="2377BF6B" w14:textId="77777777" w:rsidR="000D07EA" w:rsidRDefault="00BE7C89">
            <w:pPr>
              <w:pStyle w:val="BodyText"/>
              <w:spacing w:before="100" w:after="100"/>
            </w:pPr>
            <w:r>
              <w:t>Canada</w:t>
            </w:r>
          </w:p>
        </w:tc>
      </w:tr>
      <w:tr w:rsidR="000D07EA" w14:paraId="35658FF7" w14:textId="77777777">
        <w:tc>
          <w:tcPr>
            <w:tcW w:w="2250" w:type="dxa"/>
            <w:shd w:val="clear" w:color="auto" w:fill="auto"/>
          </w:tcPr>
          <w:p w14:paraId="7A9FC952" w14:textId="77777777" w:rsidR="000D07EA" w:rsidRDefault="00BE7C89">
            <w:pPr>
              <w:pStyle w:val="BodyText"/>
              <w:spacing w:before="100" w:after="100"/>
            </w:pPr>
            <w:r>
              <w:t xml:space="preserve">Chile </w:t>
            </w:r>
          </w:p>
        </w:tc>
        <w:tc>
          <w:tcPr>
            <w:tcW w:w="2250" w:type="dxa"/>
            <w:shd w:val="clear" w:color="auto" w:fill="auto"/>
          </w:tcPr>
          <w:p w14:paraId="5EFB3F54" w14:textId="77777777" w:rsidR="000D07EA" w:rsidRDefault="00BE7C89">
            <w:pPr>
              <w:pStyle w:val="BodyText"/>
              <w:spacing w:before="100" w:after="100"/>
            </w:pPr>
            <w:r>
              <w:t xml:space="preserve">China </w:t>
            </w:r>
          </w:p>
        </w:tc>
        <w:tc>
          <w:tcPr>
            <w:tcW w:w="2250" w:type="dxa"/>
            <w:shd w:val="clear" w:color="auto" w:fill="auto"/>
          </w:tcPr>
          <w:p w14:paraId="67B9731F" w14:textId="77777777" w:rsidR="000D07EA" w:rsidRDefault="00BE7C89">
            <w:pPr>
              <w:pStyle w:val="BodyText"/>
              <w:spacing w:before="100" w:after="100"/>
            </w:pPr>
            <w:r>
              <w:t xml:space="preserve">Croatia </w:t>
            </w:r>
          </w:p>
        </w:tc>
        <w:tc>
          <w:tcPr>
            <w:tcW w:w="2250" w:type="dxa"/>
            <w:shd w:val="clear" w:color="auto" w:fill="auto"/>
          </w:tcPr>
          <w:p w14:paraId="508264E5" w14:textId="77777777" w:rsidR="000D07EA" w:rsidRDefault="00BE7C89">
            <w:pPr>
              <w:pStyle w:val="BodyText"/>
              <w:spacing w:before="100" w:after="100"/>
            </w:pPr>
            <w:r>
              <w:t>France</w:t>
            </w:r>
          </w:p>
        </w:tc>
      </w:tr>
      <w:tr w:rsidR="000D07EA" w14:paraId="1F594003" w14:textId="77777777">
        <w:tc>
          <w:tcPr>
            <w:tcW w:w="2250" w:type="dxa"/>
            <w:shd w:val="clear" w:color="auto" w:fill="auto"/>
          </w:tcPr>
          <w:p w14:paraId="1450CA5A" w14:textId="77777777" w:rsidR="000D07EA" w:rsidRDefault="00BE7C89">
            <w:pPr>
              <w:pStyle w:val="BodyText"/>
              <w:spacing w:before="100" w:after="100"/>
            </w:pPr>
            <w:r>
              <w:t>Germany</w:t>
            </w:r>
          </w:p>
        </w:tc>
        <w:tc>
          <w:tcPr>
            <w:tcW w:w="2250" w:type="dxa"/>
            <w:shd w:val="clear" w:color="auto" w:fill="auto"/>
          </w:tcPr>
          <w:p w14:paraId="7A6FAD71" w14:textId="77777777" w:rsidR="000D07EA" w:rsidRDefault="00BE7C89">
            <w:pPr>
              <w:pStyle w:val="BodyText"/>
              <w:spacing w:before="100" w:after="100"/>
            </w:pPr>
            <w:r>
              <w:t>Greece</w:t>
            </w:r>
          </w:p>
        </w:tc>
        <w:tc>
          <w:tcPr>
            <w:tcW w:w="2250" w:type="dxa"/>
            <w:shd w:val="clear" w:color="auto" w:fill="auto"/>
          </w:tcPr>
          <w:p w14:paraId="295DC495" w14:textId="77777777" w:rsidR="000D07EA" w:rsidRDefault="00BE7C89">
            <w:pPr>
              <w:pStyle w:val="BodyText"/>
              <w:spacing w:before="100" w:after="100"/>
            </w:pPr>
            <w:r>
              <w:t>Hong Kong</w:t>
            </w:r>
          </w:p>
        </w:tc>
        <w:tc>
          <w:tcPr>
            <w:tcW w:w="2250" w:type="dxa"/>
            <w:shd w:val="clear" w:color="auto" w:fill="auto"/>
          </w:tcPr>
          <w:p w14:paraId="0D4B5DC6" w14:textId="77777777" w:rsidR="000D07EA" w:rsidRDefault="00BE7C89">
            <w:pPr>
              <w:pStyle w:val="BodyText"/>
              <w:spacing w:before="100" w:after="100"/>
            </w:pPr>
            <w:r>
              <w:t>Hungary</w:t>
            </w:r>
          </w:p>
        </w:tc>
      </w:tr>
      <w:tr w:rsidR="000D07EA" w14:paraId="511710D0" w14:textId="77777777">
        <w:tc>
          <w:tcPr>
            <w:tcW w:w="2250" w:type="dxa"/>
            <w:shd w:val="clear" w:color="auto" w:fill="auto"/>
          </w:tcPr>
          <w:p w14:paraId="3DF966B7" w14:textId="77777777" w:rsidR="000D07EA" w:rsidRDefault="00BE7C89">
            <w:pPr>
              <w:pStyle w:val="BodyText"/>
              <w:spacing w:before="100" w:after="100"/>
            </w:pPr>
            <w:r>
              <w:t>Indonesia</w:t>
            </w:r>
          </w:p>
        </w:tc>
        <w:tc>
          <w:tcPr>
            <w:tcW w:w="2250" w:type="dxa"/>
            <w:shd w:val="clear" w:color="auto" w:fill="auto"/>
          </w:tcPr>
          <w:p w14:paraId="23E65A17" w14:textId="77777777" w:rsidR="000D07EA" w:rsidRDefault="00BE7C89">
            <w:pPr>
              <w:pStyle w:val="BodyText"/>
              <w:spacing w:before="100" w:after="100"/>
            </w:pPr>
            <w:r>
              <w:t>India</w:t>
            </w:r>
          </w:p>
        </w:tc>
        <w:tc>
          <w:tcPr>
            <w:tcW w:w="2250" w:type="dxa"/>
            <w:shd w:val="clear" w:color="auto" w:fill="auto"/>
          </w:tcPr>
          <w:p w14:paraId="571AF580" w14:textId="77777777" w:rsidR="000D07EA" w:rsidRDefault="00BE7C89">
            <w:pPr>
              <w:pStyle w:val="BodyText"/>
              <w:spacing w:before="100" w:after="100"/>
            </w:pPr>
            <w:r>
              <w:t>Ireland</w:t>
            </w:r>
          </w:p>
        </w:tc>
        <w:tc>
          <w:tcPr>
            <w:tcW w:w="2250" w:type="dxa"/>
            <w:shd w:val="clear" w:color="auto" w:fill="auto"/>
          </w:tcPr>
          <w:p w14:paraId="404924D7" w14:textId="77777777" w:rsidR="000D07EA" w:rsidRDefault="00BE7C89">
            <w:pPr>
              <w:pStyle w:val="BodyText"/>
              <w:spacing w:before="100" w:after="100"/>
            </w:pPr>
            <w:r>
              <w:t>Italy</w:t>
            </w:r>
          </w:p>
        </w:tc>
      </w:tr>
      <w:tr w:rsidR="000D07EA" w14:paraId="59C48477" w14:textId="77777777">
        <w:tc>
          <w:tcPr>
            <w:tcW w:w="2250" w:type="dxa"/>
            <w:shd w:val="clear" w:color="auto" w:fill="auto"/>
          </w:tcPr>
          <w:p w14:paraId="7CECEB0D" w14:textId="77777777" w:rsidR="000D07EA" w:rsidRDefault="00BE7C89">
            <w:pPr>
              <w:pStyle w:val="BodyText"/>
              <w:spacing w:before="100" w:after="100"/>
            </w:pPr>
            <w:r>
              <w:t xml:space="preserve">Japan </w:t>
            </w:r>
          </w:p>
        </w:tc>
        <w:tc>
          <w:tcPr>
            <w:tcW w:w="2250" w:type="dxa"/>
            <w:shd w:val="clear" w:color="auto" w:fill="auto"/>
          </w:tcPr>
          <w:p w14:paraId="28025CB7" w14:textId="77777777" w:rsidR="000D07EA" w:rsidRDefault="00BE7C89">
            <w:pPr>
              <w:pStyle w:val="BodyText"/>
              <w:spacing w:before="100" w:after="100"/>
            </w:pPr>
            <w:r>
              <w:t>Malaysia</w:t>
            </w:r>
          </w:p>
        </w:tc>
        <w:tc>
          <w:tcPr>
            <w:tcW w:w="2250" w:type="dxa"/>
            <w:shd w:val="clear" w:color="auto" w:fill="auto"/>
          </w:tcPr>
          <w:p w14:paraId="7DABB038" w14:textId="77777777" w:rsidR="000D07EA" w:rsidRDefault="00BE7C89">
            <w:pPr>
              <w:pStyle w:val="BodyText"/>
              <w:spacing w:before="100" w:after="100"/>
            </w:pPr>
            <w:r>
              <w:t>Netherlands</w:t>
            </w:r>
          </w:p>
        </w:tc>
        <w:tc>
          <w:tcPr>
            <w:tcW w:w="2250" w:type="dxa"/>
            <w:shd w:val="clear" w:color="auto" w:fill="auto"/>
          </w:tcPr>
          <w:p w14:paraId="3E944915" w14:textId="77777777" w:rsidR="000D07EA" w:rsidRDefault="00BE7C89">
            <w:pPr>
              <w:pStyle w:val="BodyText"/>
              <w:spacing w:before="100" w:after="100"/>
            </w:pPr>
            <w:r>
              <w:t>New Zealand</w:t>
            </w:r>
          </w:p>
        </w:tc>
      </w:tr>
      <w:tr w:rsidR="000D07EA" w14:paraId="4B22B82C" w14:textId="77777777">
        <w:tc>
          <w:tcPr>
            <w:tcW w:w="2250" w:type="dxa"/>
            <w:shd w:val="clear" w:color="auto" w:fill="auto"/>
          </w:tcPr>
          <w:p w14:paraId="631AC144" w14:textId="77777777" w:rsidR="000D07EA" w:rsidRDefault="00BE7C89">
            <w:pPr>
              <w:pStyle w:val="BodyText"/>
              <w:spacing w:before="100" w:after="100"/>
            </w:pPr>
            <w:r>
              <w:t xml:space="preserve">Pakistan </w:t>
            </w:r>
          </w:p>
        </w:tc>
        <w:tc>
          <w:tcPr>
            <w:tcW w:w="2250" w:type="dxa"/>
            <w:shd w:val="clear" w:color="auto" w:fill="auto"/>
          </w:tcPr>
          <w:p w14:paraId="14752718" w14:textId="77777777" w:rsidR="000D07EA" w:rsidRDefault="00BE7C89">
            <w:pPr>
              <w:pStyle w:val="BodyText"/>
              <w:spacing w:before="100" w:after="100"/>
            </w:pPr>
            <w:r>
              <w:t>Philippines</w:t>
            </w:r>
          </w:p>
        </w:tc>
        <w:tc>
          <w:tcPr>
            <w:tcW w:w="2250" w:type="dxa"/>
            <w:shd w:val="clear" w:color="auto" w:fill="auto"/>
          </w:tcPr>
          <w:p w14:paraId="6D6991F1" w14:textId="77777777" w:rsidR="000D07EA" w:rsidRDefault="00BE7C89">
            <w:pPr>
              <w:pStyle w:val="BodyText"/>
              <w:spacing w:before="100" w:after="100"/>
            </w:pPr>
            <w:r>
              <w:t xml:space="preserve">Poland </w:t>
            </w:r>
          </w:p>
        </w:tc>
        <w:tc>
          <w:tcPr>
            <w:tcW w:w="2250" w:type="dxa"/>
            <w:shd w:val="clear" w:color="auto" w:fill="auto"/>
          </w:tcPr>
          <w:p w14:paraId="0610BCAC" w14:textId="77777777" w:rsidR="000D07EA" w:rsidRDefault="00BE7C89">
            <w:pPr>
              <w:pStyle w:val="BodyText"/>
              <w:spacing w:before="100" w:after="100"/>
            </w:pPr>
            <w:r>
              <w:t>Singapore</w:t>
            </w:r>
          </w:p>
        </w:tc>
      </w:tr>
      <w:tr w:rsidR="000D07EA" w14:paraId="6FA1CAF6" w14:textId="77777777">
        <w:tc>
          <w:tcPr>
            <w:tcW w:w="2250" w:type="dxa"/>
            <w:shd w:val="clear" w:color="auto" w:fill="auto"/>
          </w:tcPr>
          <w:p w14:paraId="0E0057D7" w14:textId="77777777" w:rsidR="000D07EA" w:rsidRDefault="00BE7C89">
            <w:pPr>
              <w:pStyle w:val="BodyText"/>
              <w:spacing w:before="100" w:after="100"/>
            </w:pPr>
            <w:r>
              <w:t xml:space="preserve">South Africa </w:t>
            </w:r>
          </w:p>
        </w:tc>
        <w:tc>
          <w:tcPr>
            <w:tcW w:w="2250" w:type="dxa"/>
            <w:shd w:val="clear" w:color="auto" w:fill="auto"/>
          </w:tcPr>
          <w:p w14:paraId="3E367D24" w14:textId="77777777" w:rsidR="000D07EA" w:rsidRDefault="00BE7C89">
            <w:pPr>
              <w:pStyle w:val="BodyText"/>
              <w:spacing w:before="100" w:after="100"/>
            </w:pPr>
            <w:r>
              <w:t>South Korea</w:t>
            </w:r>
          </w:p>
        </w:tc>
        <w:tc>
          <w:tcPr>
            <w:tcW w:w="2250" w:type="dxa"/>
            <w:shd w:val="clear" w:color="auto" w:fill="auto"/>
          </w:tcPr>
          <w:p w14:paraId="4B6BA418" w14:textId="77777777" w:rsidR="000D07EA" w:rsidRDefault="00BE7C89">
            <w:pPr>
              <w:pStyle w:val="BodyText"/>
              <w:spacing w:before="100" w:after="100"/>
            </w:pPr>
            <w:r>
              <w:t xml:space="preserve">Taiwan </w:t>
            </w:r>
          </w:p>
        </w:tc>
        <w:tc>
          <w:tcPr>
            <w:tcW w:w="2250" w:type="dxa"/>
            <w:shd w:val="clear" w:color="auto" w:fill="auto"/>
          </w:tcPr>
          <w:p w14:paraId="7B831AA3" w14:textId="77777777" w:rsidR="000D07EA" w:rsidRDefault="00BE7C89">
            <w:pPr>
              <w:pStyle w:val="BodyText"/>
              <w:spacing w:before="100" w:after="100"/>
            </w:pPr>
            <w:r>
              <w:t>Thailand</w:t>
            </w:r>
          </w:p>
        </w:tc>
      </w:tr>
      <w:tr w:rsidR="000D07EA" w14:paraId="7785049E" w14:textId="77777777">
        <w:tc>
          <w:tcPr>
            <w:tcW w:w="2250" w:type="dxa"/>
            <w:shd w:val="clear" w:color="auto" w:fill="auto"/>
          </w:tcPr>
          <w:p w14:paraId="2CF42100" w14:textId="77777777" w:rsidR="000D07EA" w:rsidRDefault="00BE7C89">
            <w:pPr>
              <w:pStyle w:val="BodyText"/>
              <w:spacing w:before="100" w:after="100"/>
            </w:pPr>
            <w:r>
              <w:t>Turkey</w:t>
            </w:r>
          </w:p>
        </w:tc>
        <w:tc>
          <w:tcPr>
            <w:tcW w:w="2250" w:type="dxa"/>
            <w:shd w:val="clear" w:color="auto" w:fill="auto"/>
          </w:tcPr>
          <w:p w14:paraId="2CA2CA8D" w14:textId="77777777" w:rsidR="000D07EA" w:rsidRDefault="00BE7C89">
            <w:pPr>
              <w:pStyle w:val="BodyText"/>
              <w:spacing w:before="100" w:after="100"/>
            </w:pPr>
            <w:r>
              <w:t>United Kingdom</w:t>
            </w:r>
          </w:p>
        </w:tc>
        <w:tc>
          <w:tcPr>
            <w:tcW w:w="2250" w:type="dxa"/>
            <w:shd w:val="clear" w:color="auto" w:fill="auto"/>
          </w:tcPr>
          <w:p w14:paraId="7C415CFC" w14:textId="77777777" w:rsidR="000D07EA" w:rsidRDefault="00BE7C89">
            <w:pPr>
              <w:pStyle w:val="BodyText"/>
              <w:spacing w:before="100" w:after="100"/>
            </w:pPr>
            <w:r>
              <w:t xml:space="preserve">USA </w:t>
            </w:r>
          </w:p>
        </w:tc>
        <w:tc>
          <w:tcPr>
            <w:tcW w:w="2250" w:type="dxa"/>
            <w:shd w:val="clear" w:color="auto" w:fill="auto"/>
          </w:tcPr>
          <w:p w14:paraId="7299209C" w14:textId="77777777" w:rsidR="000D07EA" w:rsidRDefault="00BE7C89">
            <w:pPr>
              <w:pStyle w:val="BodyText"/>
              <w:spacing w:before="100" w:after="100"/>
            </w:pPr>
            <w:r>
              <w:t>Vietnam</w:t>
            </w:r>
          </w:p>
        </w:tc>
      </w:tr>
    </w:tbl>
    <w:p w14:paraId="450F1CA8" w14:textId="77777777" w:rsidR="000D07EA" w:rsidRDefault="000D07EA">
      <w:pPr>
        <w:pStyle w:val="BodyText"/>
      </w:pPr>
    </w:p>
    <w:p w14:paraId="6FCB2B3A" w14:textId="77777777" w:rsidR="000D07EA" w:rsidRDefault="00BE7C89">
      <w:pPr>
        <w:pStyle w:val="Heading6"/>
        <w:ind w:left="0" w:firstLine="0"/>
      </w:pPr>
      <w:bookmarkStart w:id="1064" w:name="_Toc429127196"/>
      <w:bookmarkStart w:id="1065" w:name="_Toc432586029"/>
      <w:r>
        <w:t>My Account</w:t>
      </w:r>
      <w:bookmarkEnd w:id="1064"/>
      <w:bookmarkEnd w:id="1065"/>
    </w:p>
    <w:p w14:paraId="604633E0" w14:textId="77777777" w:rsidR="000D07EA" w:rsidRDefault="00BE7C89">
      <w:pPr>
        <w:pStyle w:val="BodyText"/>
        <w:ind w:left="72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service has used. If </w:t>
      </w:r>
      <w:r>
        <w:rPr>
          <w:i/>
        </w:rPr>
        <w:t>you</w:t>
      </w:r>
      <w:r>
        <w:t xml:space="preserve"> have more than 6 services on </w:t>
      </w:r>
      <w:r>
        <w:rPr>
          <w:i/>
        </w:rPr>
        <w:t>your</w:t>
      </w:r>
      <w:r>
        <w:t xml:space="preserve"> account, My Account may not be suitable for viewing usage and managing </w:t>
      </w:r>
      <w:r>
        <w:rPr>
          <w:i/>
        </w:rPr>
        <w:t xml:space="preserve">your </w:t>
      </w:r>
      <w:r>
        <w:t>usage alerts.</w:t>
      </w:r>
    </w:p>
    <w:p w14:paraId="0040F01F" w14:textId="77777777" w:rsidR="000D07EA" w:rsidRDefault="00BE7C89">
      <w:pPr>
        <w:pStyle w:val="Heading6"/>
        <w:ind w:left="0" w:firstLine="0"/>
      </w:pPr>
      <w:bookmarkStart w:id="1066" w:name="_Toc429127197"/>
      <w:bookmarkStart w:id="1067" w:name="_Toc432586030"/>
      <w:r>
        <w:t xml:space="preserve">What happens if the </w:t>
      </w:r>
      <w:r>
        <w:rPr>
          <w:i/>
        </w:rPr>
        <w:t xml:space="preserve">service </w:t>
      </w:r>
      <w:r>
        <w:t>is</w:t>
      </w:r>
      <w:r>
        <w:rPr>
          <w:i/>
        </w:rPr>
        <w:t xml:space="preserve"> cancelled </w:t>
      </w:r>
      <w:r>
        <w:t>early?</w:t>
      </w:r>
      <w:bookmarkEnd w:id="1066"/>
      <w:bookmarkEnd w:id="1067"/>
      <w:r>
        <w:t xml:space="preserve"> </w:t>
      </w:r>
    </w:p>
    <w:p w14:paraId="56487D46" w14:textId="77777777" w:rsidR="000D07EA" w:rsidRDefault="00BE7C89">
      <w:pPr>
        <w:pStyle w:val="Heading7"/>
      </w:pPr>
      <w:r>
        <w:t>If the</w:t>
      </w:r>
      <w:r>
        <w:rPr>
          <w:i/>
        </w:rPr>
        <w:t xml:space="preserve"> service</w:t>
      </w:r>
      <w:r>
        <w:t xml:space="preserve"> is</w:t>
      </w:r>
      <w:r>
        <w:rPr>
          <w:i/>
        </w:rPr>
        <w:t xml:space="preserve"> cancelled </w:t>
      </w:r>
      <w:r>
        <w:t xml:space="preserve">before the end of </w:t>
      </w:r>
      <w:r>
        <w:rPr>
          <w:i/>
        </w:rPr>
        <w:t xml:space="preserve">your minimum term, you </w:t>
      </w:r>
      <w:r>
        <w:t xml:space="preserve">will be required to pay </w:t>
      </w:r>
      <w:r>
        <w:rPr>
          <w:i/>
        </w:rPr>
        <w:t>us</w:t>
      </w:r>
      <w:r>
        <w:t>:</w:t>
      </w:r>
    </w:p>
    <w:p w14:paraId="35FAC01F" w14:textId="77777777" w:rsidR="000D07EA" w:rsidRDefault="00BE7C89">
      <w:pPr>
        <w:pStyle w:val="Heading8"/>
      </w:pPr>
      <w:r>
        <w:t xml:space="preserve">any usage charges incurred up to, and including, the </w:t>
      </w:r>
      <w:r>
        <w:rPr>
          <w:i/>
        </w:rPr>
        <w:t xml:space="preserve">cancellation date; </w:t>
      </w:r>
      <w:r>
        <w:t>plus</w:t>
      </w:r>
    </w:p>
    <w:p w14:paraId="6FA93761" w14:textId="77777777" w:rsidR="000D07EA" w:rsidRDefault="00BE7C89">
      <w:pPr>
        <w:pStyle w:val="Heading8"/>
      </w:pPr>
      <w:r>
        <w:t xml:space="preserve">the cancellation fees set out in paragraph </w:t>
      </w:r>
      <w:r>
        <w:fldChar w:fldCharType="begin"/>
      </w:r>
      <w:r>
        <w:instrText xml:space="preserve"> REF _Ref461555542 \n \h </w:instrText>
      </w:r>
      <w:r>
        <w:fldChar w:fldCharType="separate"/>
      </w:r>
      <w:r w:rsidR="0004083A">
        <w:t>(b)</w:t>
      </w:r>
      <w:r>
        <w:fldChar w:fldCharType="end"/>
      </w:r>
      <w:r>
        <w:t xml:space="preserve"> below (unless under clause 2A of the consumer terms, you are entitled to cancel the service without incurring a cancellation fee); plus</w:t>
      </w:r>
    </w:p>
    <w:p w14:paraId="49BE8770" w14:textId="77777777" w:rsidR="000D07EA" w:rsidRDefault="00BE7C89">
      <w:pPr>
        <w:pStyle w:val="Heading7"/>
      </w:pPr>
      <w:bookmarkStart w:id="1068" w:name="_Ref461555542"/>
      <w:r>
        <w:t xml:space="preserve">the sum of unpaid equipment charges owing on your mobile phone under the mobile equipment payment plan (if any). Note, any Handset Credit you were entitled to will be forfeited (see </w:t>
      </w:r>
      <w:r>
        <w:fldChar w:fldCharType="begin"/>
      </w:r>
      <w:r>
        <w:instrText xml:space="preserve"> REF _Ref461555568 \n \h </w:instrText>
      </w:r>
      <w:r>
        <w:fldChar w:fldCharType="separate"/>
      </w:r>
      <w:r w:rsidR="0004083A">
        <w:t>120.10</w:t>
      </w:r>
      <w:r>
        <w:fldChar w:fldCharType="end"/>
      </w:r>
      <w:r>
        <w:t xml:space="preserve"> above).</w:t>
      </w:r>
      <w:bookmarkEnd w:id="1068"/>
    </w:p>
    <w:p w14:paraId="2D5EAFA0" w14:textId="77777777" w:rsidR="000D07EA" w:rsidRDefault="00BE7C89">
      <w:pPr>
        <w:pStyle w:val="Heading7"/>
      </w:pPr>
      <w:r>
        <w:t>The cancellation fee is calculated as the following amounts, multiplied by the months remaining on your minimum term: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3"/>
        <w:gridCol w:w="1226"/>
        <w:gridCol w:w="1226"/>
        <w:gridCol w:w="1227"/>
        <w:gridCol w:w="1227"/>
        <w:gridCol w:w="1227"/>
        <w:gridCol w:w="1227"/>
        <w:gridCol w:w="1225"/>
      </w:tblGrid>
      <w:tr w:rsidR="000D07EA" w14:paraId="05B40BD0" w14:textId="77777777">
        <w:trPr>
          <w:tblHeader/>
        </w:trPr>
        <w:tc>
          <w:tcPr>
            <w:tcW w:w="5000" w:type="pct"/>
            <w:gridSpan w:val="8"/>
            <w:shd w:val="clear" w:color="auto" w:fill="auto"/>
          </w:tcPr>
          <w:p w14:paraId="24846218" w14:textId="77777777" w:rsidR="000D07EA" w:rsidRDefault="00BE7C89">
            <w:pPr>
              <w:pStyle w:val="BodyText"/>
              <w:spacing w:before="100" w:after="100"/>
              <w:jc w:val="center"/>
              <w:rPr>
                <w:b/>
              </w:rPr>
            </w:pPr>
            <w:r>
              <w:rPr>
                <w:b/>
              </w:rPr>
              <w:lastRenderedPageBreak/>
              <w:t>My Plan Business</w:t>
            </w:r>
          </w:p>
        </w:tc>
      </w:tr>
      <w:tr w:rsidR="000D07EA" w14:paraId="444C61BF" w14:textId="77777777">
        <w:trPr>
          <w:tblHeader/>
        </w:trPr>
        <w:tc>
          <w:tcPr>
            <w:tcW w:w="787" w:type="pct"/>
            <w:shd w:val="clear" w:color="auto" w:fill="auto"/>
          </w:tcPr>
          <w:p w14:paraId="6735DCEA" w14:textId="77777777" w:rsidR="000D07EA" w:rsidRDefault="000D07EA">
            <w:pPr>
              <w:pStyle w:val="BodyText"/>
              <w:spacing w:before="100" w:after="100"/>
            </w:pPr>
          </w:p>
        </w:tc>
        <w:tc>
          <w:tcPr>
            <w:tcW w:w="602" w:type="pct"/>
            <w:shd w:val="clear" w:color="auto" w:fill="auto"/>
          </w:tcPr>
          <w:p w14:paraId="1868D93F" w14:textId="77777777" w:rsidR="000D07EA" w:rsidRDefault="00BE7C89">
            <w:pPr>
              <w:pStyle w:val="BodyText"/>
              <w:spacing w:before="100" w:after="100"/>
              <w:jc w:val="center"/>
              <w:rPr>
                <w:b/>
              </w:rPr>
            </w:pPr>
            <w:r>
              <w:rPr>
                <w:b/>
              </w:rPr>
              <w:t>$40 My Plan Business</w:t>
            </w:r>
          </w:p>
        </w:tc>
        <w:tc>
          <w:tcPr>
            <w:tcW w:w="602" w:type="pct"/>
            <w:shd w:val="clear" w:color="auto" w:fill="auto"/>
          </w:tcPr>
          <w:p w14:paraId="0963105E" w14:textId="77777777" w:rsidR="000D07EA" w:rsidRDefault="00BE7C89">
            <w:pPr>
              <w:pStyle w:val="BodyText"/>
              <w:spacing w:before="100" w:after="100"/>
              <w:jc w:val="center"/>
              <w:rPr>
                <w:b/>
              </w:rPr>
            </w:pPr>
            <w:r>
              <w:rPr>
                <w:b/>
              </w:rPr>
              <w:t>$60 My Plan Business</w:t>
            </w:r>
          </w:p>
        </w:tc>
        <w:tc>
          <w:tcPr>
            <w:tcW w:w="602" w:type="pct"/>
            <w:shd w:val="clear" w:color="auto" w:fill="auto"/>
          </w:tcPr>
          <w:p w14:paraId="3877AEC1" w14:textId="77777777" w:rsidR="000D07EA" w:rsidRDefault="00BE7C89">
            <w:pPr>
              <w:pStyle w:val="BodyText"/>
              <w:spacing w:before="100" w:after="100"/>
              <w:jc w:val="center"/>
              <w:rPr>
                <w:b/>
              </w:rPr>
            </w:pPr>
            <w:r>
              <w:rPr>
                <w:b/>
              </w:rPr>
              <w:t>$80 My Plan Business</w:t>
            </w:r>
          </w:p>
        </w:tc>
        <w:tc>
          <w:tcPr>
            <w:tcW w:w="602" w:type="pct"/>
            <w:shd w:val="clear" w:color="auto" w:fill="auto"/>
          </w:tcPr>
          <w:p w14:paraId="6277FC53" w14:textId="77777777" w:rsidR="000D07EA" w:rsidRDefault="00BE7C89">
            <w:pPr>
              <w:pStyle w:val="BodyText"/>
              <w:spacing w:before="100" w:after="100"/>
              <w:jc w:val="center"/>
              <w:rPr>
                <w:b/>
              </w:rPr>
            </w:pPr>
            <w:r>
              <w:rPr>
                <w:b/>
              </w:rPr>
              <w:t>$100 My Plan Business</w:t>
            </w:r>
          </w:p>
        </w:tc>
        <w:tc>
          <w:tcPr>
            <w:tcW w:w="602" w:type="pct"/>
            <w:shd w:val="clear" w:color="auto" w:fill="auto"/>
          </w:tcPr>
          <w:p w14:paraId="3017F0AB" w14:textId="77777777" w:rsidR="000D07EA" w:rsidRDefault="00BE7C89">
            <w:pPr>
              <w:pStyle w:val="BodyText"/>
              <w:spacing w:before="100" w:after="100"/>
              <w:jc w:val="center"/>
              <w:rPr>
                <w:b/>
              </w:rPr>
            </w:pPr>
            <w:r>
              <w:rPr>
                <w:b/>
              </w:rPr>
              <w:t>$130 My Plan Business ($100 Promo)</w:t>
            </w:r>
          </w:p>
        </w:tc>
        <w:tc>
          <w:tcPr>
            <w:tcW w:w="602" w:type="pct"/>
            <w:shd w:val="clear" w:color="auto" w:fill="auto"/>
          </w:tcPr>
          <w:p w14:paraId="217894E8" w14:textId="77777777" w:rsidR="000D07EA" w:rsidRDefault="00BE7C89">
            <w:pPr>
              <w:pStyle w:val="BodyText"/>
              <w:spacing w:before="100" w:after="100"/>
              <w:jc w:val="center"/>
              <w:rPr>
                <w:b/>
              </w:rPr>
            </w:pPr>
            <w:r>
              <w:rPr>
                <w:b/>
              </w:rPr>
              <w:t>$135 My Plan Business</w:t>
            </w:r>
          </w:p>
        </w:tc>
        <w:tc>
          <w:tcPr>
            <w:tcW w:w="600" w:type="pct"/>
            <w:shd w:val="clear" w:color="auto" w:fill="auto"/>
          </w:tcPr>
          <w:p w14:paraId="29F55862" w14:textId="77777777" w:rsidR="000D07EA" w:rsidRDefault="00BE7C89">
            <w:pPr>
              <w:pStyle w:val="BodyText"/>
              <w:spacing w:before="100" w:after="100"/>
              <w:jc w:val="center"/>
              <w:rPr>
                <w:b/>
              </w:rPr>
            </w:pPr>
            <w:r>
              <w:rPr>
                <w:b/>
              </w:rPr>
              <w:t>$135 My Plan Business ($100 Promo)</w:t>
            </w:r>
          </w:p>
        </w:tc>
      </w:tr>
      <w:tr w:rsidR="000D07EA" w14:paraId="01C3A3A1" w14:textId="77777777">
        <w:tc>
          <w:tcPr>
            <w:tcW w:w="787" w:type="pct"/>
            <w:shd w:val="clear" w:color="auto" w:fill="auto"/>
          </w:tcPr>
          <w:p w14:paraId="414EB46D" w14:textId="77777777" w:rsidR="000D07EA" w:rsidRDefault="00BE7C89">
            <w:pPr>
              <w:pStyle w:val="BodyText"/>
              <w:spacing w:before="100" w:after="100"/>
              <w:jc w:val="center"/>
              <w:rPr>
                <w:b/>
              </w:rPr>
            </w:pPr>
            <w:r>
              <w:rPr>
                <w:b/>
              </w:rPr>
              <w:t>Cancellation Fee</w:t>
            </w:r>
          </w:p>
        </w:tc>
        <w:tc>
          <w:tcPr>
            <w:tcW w:w="602" w:type="pct"/>
            <w:shd w:val="clear" w:color="auto" w:fill="auto"/>
          </w:tcPr>
          <w:p w14:paraId="036CA3DA" w14:textId="77777777" w:rsidR="000D07EA" w:rsidRDefault="00BE7C89">
            <w:pPr>
              <w:pStyle w:val="BodyText"/>
              <w:spacing w:before="100" w:after="100"/>
              <w:jc w:val="center"/>
            </w:pPr>
            <w:r>
              <w:t>$11.25 x Months remaining</w:t>
            </w:r>
          </w:p>
        </w:tc>
        <w:tc>
          <w:tcPr>
            <w:tcW w:w="602" w:type="pct"/>
            <w:shd w:val="clear" w:color="auto" w:fill="auto"/>
          </w:tcPr>
          <w:p w14:paraId="79D68509" w14:textId="77777777" w:rsidR="000D07EA" w:rsidRDefault="00BE7C89">
            <w:pPr>
              <w:pStyle w:val="BodyText"/>
              <w:spacing w:before="100" w:after="100"/>
              <w:jc w:val="center"/>
            </w:pPr>
            <w:r>
              <w:t>$19.16 x Months remaining</w:t>
            </w:r>
          </w:p>
        </w:tc>
        <w:tc>
          <w:tcPr>
            <w:tcW w:w="602" w:type="pct"/>
            <w:shd w:val="clear" w:color="auto" w:fill="auto"/>
          </w:tcPr>
          <w:p w14:paraId="35BA95DE" w14:textId="77777777" w:rsidR="000D07EA" w:rsidRDefault="00BE7C89">
            <w:pPr>
              <w:pStyle w:val="BodyText"/>
              <w:spacing w:before="100" w:after="100"/>
              <w:jc w:val="center"/>
            </w:pPr>
            <w:r>
              <w:t>$16.25 x Months remaining</w:t>
            </w:r>
          </w:p>
        </w:tc>
        <w:tc>
          <w:tcPr>
            <w:tcW w:w="602" w:type="pct"/>
            <w:shd w:val="clear" w:color="auto" w:fill="auto"/>
          </w:tcPr>
          <w:p w14:paraId="52143931" w14:textId="77777777" w:rsidR="000D07EA" w:rsidRDefault="00BE7C89">
            <w:pPr>
              <w:pStyle w:val="BodyText"/>
              <w:spacing w:before="100" w:after="100"/>
              <w:jc w:val="center"/>
            </w:pPr>
            <w:r>
              <w:t>$25.41 x Months remaining</w:t>
            </w:r>
          </w:p>
        </w:tc>
        <w:tc>
          <w:tcPr>
            <w:tcW w:w="602" w:type="pct"/>
            <w:shd w:val="clear" w:color="auto" w:fill="auto"/>
          </w:tcPr>
          <w:p w14:paraId="6CE2FAF1" w14:textId="77777777" w:rsidR="000D07EA" w:rsidRDefault="00BE7C89">
            <w:pPr>
              <w:pStyle w:val="BodyText"/>
              <w:spacing w:before="100" w:after="100"/>
              <w:jc w:val="center"/>
            </w:pPr>
            <w:r>
              <w:t>$33.33 x Months remaining</w:t>
            </w:r>
          </w:p>
        </w:tc>
        <w:tc>
          <w:tcPr>
            <w:tcW w:w="602" w:type="pct"/>
            <w:shd w:val="clear" w:color="auto" w:fill="auto"/>
          </w:tcPr>
          <w:p w14:paraId="5AC1F034" w14:textId="77777777" w:rsidR="000D07EA" w:rsidRDefault="00BE7C89">
            <w:pPr>
              <w:pStyle w:val="BodyText"/>
              <w:spacing w:before="100" w:after="100"/>
              <w:jc w:val="center"/>
            </w:pPr>
            <w:r>
              <w:t>$36.25 x Months remaining</w:t>
            </w:r>
          </w:p>
        </w:tc>
        <w:tc>
          <w:tcPr>
            <w:tcW w:w="600" w:type="pct"/>
            <w:shd w:val="clear" w:color="auto" w:fill="auto"/>
          </w:tcPr>
          <w:p w14:paraId="5D28D015" w14:textId="77777777" w:rsidR="000D07EA" w:rsidRDefault="00BE7C89">
            <w:pPr>
              <w:pStyle w:val="BodyText"/>
              <w:spacing w:before="100" w:after="100"/>
              <w:jc w:val="center"/>
            </w:pPr>
            <w:r>
              <w:t>$36.25 x Months remaining</w:t>
            </w:r>
          </w:p>
        </w:tc>
      </w:tr>
      <w:tr w:rsidR="000D07EA" w14:paraId="726BC4F1" w14:textId="77777777">
        <w:tc>
          <w:tcPr>
            <w:tcW w:w="787" w:type="pct"/>
            <w:shd w:val="clear" w:color="auto" w:fill="auto"/>
          </w:tcPr>
          <w:p w14:paraId="4968FD7A" w14:textId="77777777" w:rsidR="000D07EA" w:rsidRDefault="00BE7C89">
            <w:pPr>
              <w:pStyle w:val="BodyText"/>
              <w:spacing w:before="100" w:after="100"/>
              <w:jc w:val="center"/>
              <w:rPr>
                <w:b/>
              </w:rPr>
            </w:pPr>
            <w:r>
              <w:rPr>
                <w:b/>
              </w:rPr>
              <w:t>Maximum Cancellation Fee</w:t>
            </w:r>
          </w:p>
        </w:tc>
        <w:tc>
          <w:tcPr>
            <w:tcW w:w="602" w:type="pct"/>
            <w:shd w:val="clear" w:color="auto" w:fill="auto"/>
          </w:tcPr>
          <w:p w14:paraId="5BD10EAF" w14:textId="77777777" w:rsidR="000D07EA" w:rsidRDefault="00BE7C89">
            <w:pPr>
              <w:pStyle w:val="BodyText"/>
              <w:spacing w:before="100" w:after="100"/>
              <w:jc w:val="center"/>
            </w:pPr>
            <w:r>
              <w:t>$270</w:t>
            </w:r>
          </w:p>
        </w:tc>
        <w:tc>
          <w:tcPr>
            <w:tcW w:w="602" w:type="pct"/>
            <w:shd w:val="clear" w:color="auto" w:fill="auto"/>
          </w:tcPr>
          <w:p w14:paraId="7E2D267D" w14:textId="77777777" w:rsidR="000D07EA" w:rsidRDefault="00BE7C89">
            <w:pPr>
              <w:pStyle w:val="BodyText"/>
              <w:spacing w:before="100" w:after="100"/>
              <w:jc w:val="center"/>
            </w:pPr>
            <w:r>
              <w:t>$460</w:t>
            </w:r>
          </w:p>
        </w:tc>
        <w:tc>
          <w:tcPr>
            <w:tcW w:w="602" w:type="pct"/>
            <w:shd w:val="clear" w:color="auto" w:fill="auto"/>
          </w:tcPr>
          <w:p w14:paraId="252A7E3A" w14:textId="77777777" w:rsidR="000D07EA" w:rsidRDefault="00BE7C89">
            <w:pPr>
              <w:pStyle w:val="BodyText"/>
              <w:spacing w:before="100" w:after="100"/>
              <w:jc w:val="center"/>
            </w:pPr>
            <w:r>
              <w:t>$390</w:t>
            </w:r>
          </w:p>
        </w:tc>
        <w:tc>
          <w:tcPr>
            <w:tcW w:w="602" w:type="pct"/>
            <w:shd w:val="clear" w:color="auto" w:fill="auto"/>
          </w:tcPr>
          <w:p w14:paraId="6A393170" w14:textId="77777777" w:rsidR="000D07EA" w:rsidRDefault="00BE7C89">
            <w:pPr>
              <w:pStyle w:val="BodyText"/>
              <w:spacing w:before="100" w:after="100"/>
              <w:jc w:val="center"/>
            </w:pPr>
            <w:r>
              <w:t>$610</w:t>
            </w:r>
          </w:p>
        </w:tc>
        <w:tc>
          <w:tcPr>
            <w:tcW w:w="602" w:type="pct"/>
            <w:shd w:val="clear" w:color="auto" w:fill="auto"/>
          </w:tcPr>
          <w:p w14:paraId="2F2A82A2" w14:textId="77777777" w:rsidR="000D07EA" w:rsidRDefault="00BE7C89">
            <w:pPr>
              <w:pStyle w:val="BodyText"/>
              <w:spacing w:before="100" w:after="100"/>
              <w:jc w:val="center"/>
            </w:pPr>
            <w:r>
              <w:t>$800</w:t>
            </w:r>
          </w:p>
        </w:tc>
        <w:tc>
          <w:tcPr>
            <w:tcW w:w="602" w:type="pct"/>
            <w:shd w:val="clear" w:color="auto" w:fill="auto"/>
          </w:tcPr>
          <w:p w14:paraId="0CE25EBD" w14:textId="77777777" w:rsidR="000D07EA" w:rsidRDefault="00BE7C89">
            <w:pPr>
              <w:pStyle w:val="BodyText"/>
              <w:spacing w:before="100" w:after="100"/>
              <w:jc w:val="center"/>
            </w:pPr>
            <w:r>
              <w:t>$870</w:t>
            </w:r>
          </w:p>
        </w:tc>
        <w:tc>
          <w:tcPr>
            <w:tcW w:w="600" w:type="pct"/>
            <w:shd w:val="clear" w:color="auto" w:fill="auto"/>
          </w:tcPr>
          <w:p w14:paraId="635942FD" w14:textId="77777777" w:rsidR="000D07EA" w:rsidRDefault="00BE7C89">
            <w:pPr>
              <w:pStyle w:val="BodyText"/>
              <w:spacing w:before="100" w:after="100"/>
              <w:jc w:val="center"/>
            </w:pPr>
            <w:r>
              <w:t>$870</w:t>
            </w:r>
          </w:p>
        </w:tc>
      </w:tr>
    </w:tbl>
    <w:p w14:paraId="2B6F3402" w14:textId="77777777" w:rsidR="000D07EA" w:rsidRDefault="000D07EA">
      <w:pPr>
        <w:pStyle w:val="BodyText"/>
      </w:pPr>
    </w:p>
    <w:p w14:paraId="642AFE47" w14:textId="77777777" w:rsidR="000D07EA" w:rsidRDefault="00BE7C89">
      <w:pPr>
        <w:pStyle w:val="Heading7"/>
      </w:pPr>
      <w:r>
        <w:t xml:space="preserve">If </w:t>
      </w:r>
      <w:r>
        <w:rPr>
          <w:i/>
        </w:rPr>
        <w:t xml:space="preserve">your </w:t>
      </w:r>
      <w:r>
        <w:t xml:space="preserve">My Plan Business is </w:t>
      </w:r>
      <w:r>
        <w:rPr>
          <w:i/>
        </w:rPr>
        <w:t>cancelled</w:t>
      </w:r>
      <w:r>
        <w:t xml:space="preserve">, your Shared Data Plan(s) may also be </w:t>
      </w:r>
      <w:r>
        <w:rPr>
          <w:i/>
        </w:rPr>
        <w:t>cancelled</w:t>
      </w:r>
      <w:r>
        <w:t xml:space="preserve">. There are no </w:t>
      </w:r>
      <w:r>
        <w:rPr>
          <w:i/>
        </w:rPr>
        <w:t xml:space="preserve">cancellation fees </w:t>
      </w:r>
      <w:r>
        <w:t xml:space="preserve">for the Shared Data Plan, however if </w:t>
      </w:r>
      <w:r>
        <w:rPr>
          <w:i/>
        </w:rPr>
        <w:t xml:space="preserve">you </w:t>
      </w:r>
      <w:r>
        <w:t xml:space="preserve">purchased a </w:t>
      </w:r>
      <w:r>
        <w:rPr>
          <w:i/>
        </w:rPr>
        <w:t xml:space="preserve">device you </w:t>
      </w:r>
      <w:r>
        <w:t xml:space="preserve">need to pay the sum of any remaining </w:t>
      </w:r>
      <w:r>
        <w:rPr>
          <w:i/>
        </w:rPr>
        <w:t xml:space="preserve">equipment charges </w:t>
      </w:r>
      <w:r>
        <w:t xml:space="preserve">owing on </w:t>
      </w:r>
      <w:r>
        <w:rPr>
          <w:i/>
        </w:rPr>
        <w:t xml:space="preserve">your device </w:t>
      </w:r>
      <w:r>
        <w:t xml:space="preserve">under the </w:t>
      </w:r>
      <w:r>
        <w:rPr>
          <w:i/>
        </w:rPr>
        <w:t>mobile equipment payment plan</w:t>
      </w:r>
      <w:r>
        <w:t xml:space="preserve"> (see </w:t>
      </w:r>
      <w:hyperlink r:id="rId608" w:history="1">
        <w:r>
          <w:rPr>
            <w:rStyle w:val="Hyperlink"/>
            <w:i/>
          </w:rPr>
          <w:t>Appendix D</w:t>
        </w:r>
      </w:hyperlink>
      <w:r>
        <w:t>).</w:t>
      </w:r>
    </w:p>
    <w:p w14:paraId="6069C38E" w14:textId="77777777" w:rsidR="000D07EA" w:rsidRDefault="00BE7C89">
      <w:pPr>
        <w:pStyle w:val="Heading7"/>
      </w:pPr>
      <w:r>
        <w:t xml:space="preserve">If </w:t>
      </w:r>
      <w:r>
        <w:rPr>
          <w:i/>
        </w:rPr>
        <w:t>your</w:t>
      </w:r>
      <w:r>
        <w:t xml:space="preserve"> Shared Data Plan is not </w:t>
      </w:r>
      <w:r>
        <w:rPr>
          <w:i/>
        </w:rPr>
        <w:t>cancelled</w:t>
      </w:r>
      <w:r>
        <w:t>, you will be charged $10 per 1GB within Australia, up to a maximum of 150GB (per account) in a billing month. Your service/s may then be restricted or we may continue to charge you at these rates.</w:t>
      </w:r>
    </w:p>
    <w:p w14:paraId="54800FA7" w14:textId="77777777" w:rsidR="000D07EA" w:rsidRDefault="00BE7C89">
      <w:pPr>
        <w:pStyle w:val="Heading4"/>
        <w:ind w:left="720" w:hanging="720"/>
      </w:pPr>
      <w:bookmarkStart w:id="1069" w:name="_Toc429127209"/>
      <w:bookmarkStart w:id="1070" w:name="_Toc429391187"/>
      <w:bookmarkStart w:id="1071" w:name="_Toc431469280"/>
      <w:bookmarkStart w:id="1072" w:name="_Toc432586031"/>
      <w:bookmarkStart w:id="1073" w:name="_Toc435703505"/>
      <w:bookmarkStart w:id="1074" w:name="_Toc455147640"/>
      <w:bookmarkStart w:id="1075" w:name="_Toc62644662"/>
      <w:r>
        <w:t>My Plan Business Tech Fund</w:t>
      </w:r>
      <w:bookmarkEnd w:id="1069"/>
      <w:r>
        <w:t xml:space="preserve"> (</w:t>
      </w:r>
      <w:r>
        <w:rPr>
          <w:rFonts w:eastAsia="MS Mincho"/>
        </w:rPr>
        <w:t>Promotional</w:t>
      </w:r>
      <w:r>
        <w:t>)</w:t>
      </w:r>
      <w:bookmarkEnd w:id="1070"/>
      <w:bookmarkEnd w:id="1071"/>
      <w:bookmarkEnd w:id="1072"/>
      <w:bookmarkEnd w:id="1073"/>
      <w:bookmarkEnd w:id="1074"/>
      <w:bookmarkEnd w:id="1075"/>
    </w:p>
    <w:p w14:paraId="4FE5572E" w14:textId="77777777" w:rsidR="000D07EA" w:rsidRDefault="00BE7C89">
      <w:pPr>
        <w:pStyle w:val="BodyText"/>
        <w:ind w:left="720"/>
      </w:pPr>
      <w:r>
        <w:t xml:space="preserve">This section relates to the following plans. </w:t>
      </w:r>
      <w:r>
        <w:rPr>
          <w:i/>
        </w:rPr>
        <w:t>You</w:t>
      </w:r>
      <w:r>
        <w:t xml:space="preserve"> can find </w:t>
      </w:r>
      <w:r>
        <w:rPr>
          <w:i/>
        </w:rPr>
        <w:t>your</w:t>
      </w:r>
      <w:r>
        <w:t xml:space="preserve"> Plan ID on </w:t>
      </w:r>
      <w:r>
        <w:rPr>
          <w:i/>
        </w:rPr>
        <w:t>your</w:t>
      </w:r>
      <w:r>
        <w:t xml:space="preserve"> bill under the Mobile Number Summary section:</w:t>
      </w:r>
    </w:p>
    <w:tbl>
      <w:tblPr>
        <w:tblW w:w="909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9"/>
        <w:gridCol w:w="1935"/>
        <w:gridCol w:w="3436"/>
      </w:tblGrid>
      <w:tr w:rsidR="000D07EA" w14:paraId="453002E9" w14:textId="77777777" w:rsidTr="00536F8B">
        <w:tc>
          <w:tcPr>
            <w:tcW w:w="3719" w:type="dxa"/>
            <w:shd w:val="clear" w:color="auto" w:fill="auto"/>
          </w:tcPr>
          <w:p w14:paraId="2C4E4D90" w14:textId="77777777" w:rsidR="000D07EA" w:rsidRDefault="00BE7C89">
            <w:pPr>
              <w:pStyle w:val="BodyText"/>
              <w:spacing w:before="100" w:after="100"/>
              <w:jc w:val="center"/>
              <w:rPr>
                <w:b/>
              </w:rPr>
            </w:pPr>
            <w:r>
              <w:rPr>
                <w:b/>
              </w:rPr>
              <w:t>Plan</w:t>
            </w:r>
          </w:p>
        </w:tc>
        <w:tc>
          <w:tcPr>
            <w:tcW w:w="1935" w:type="dxa"/>
            <w:shd w:val="clear" w:color="auto" w:fill="auto"/>
          </w:tcPr>
          <w:p w14:paraId="53025C96" w14:textId="77777777" w:rsidR="000D07EA" w:rsidRDefault="00BE7C89">
            <w:pPr>
              <w:pStyle w:val="BodyText"/>
              <w:spacing w:before="100" w:after="100"/>
              <w:jc w:val="center"/>
              <w:rPr>
                <w:b/>
              </w:rPr>
            </w:pPr>
            <w:r>
              <w:rPr>
                <w:b/>
              </w:rPr>
              <w:t>Plan ID</w:t>
            </w:r>
          </w:p>
        </w:tc>
        <w:tc>
          <w:tcPr>
            <w:tcW w:w="3436" w:type="dxa"/>
            <w:shd w:val="clear" w:color="auto" w:fill="auto"/>
          </w:tcPr>
          <w:p w14:paraId="1CA6C714" w14:textId="77777777" w:rsidR="000D07EA" w:rsidRDefault="00BE7C89">
            <w:pPr>
              <w:pStyle w:val="BodyText"/>
              <w:spacing w:before="100" w:after="100"/>
              <w:jc w:val="center"/>
              <w:rPr>
                <w:b/>
              </w:rPr>
            </w:pPr>
            <w:r>
              <w:rPr>
                <w:b/>
              </w:rPr>
              <w:t>Available</w:t>
            </w:r>
          </w:p>
        </w:tc>
      </w:tr>
      <w:tr w:rsidR="000D07EA" w14:paraId="1BB3F547" w14:textId="77777777" w:rsidTr="00536F8B">
        <w:tc>
          <w:tcPr>
            <w:tcW w:w="3719" w:type="dxa"/>
            <w:shd w:val="clear" w:color="auto" w:fill="auto"/>
          </w:tcPr>
          <w:p w14:paraId="5DEC8AC5" w14:textId="77777777" w:rsidR="000D07EA" w:rsidRDefault="00BE7C89">
            <w:pPr>
              <w:pStyle w:val="BodyText"/>
              <w:spacing w:before="100" w:after="100"/>
              <w:jc w:val="center"/>
            </w:pPr>
            <w:r>
              <w:t>$80 My Plan Business Tech Fund</w:t>
            </w:r>
          </w:p>
        </w:tc>
        <w:tc>
          <w:tcPr>
            <w:tcW w:w="1935" w:type="dxa"/>
            <w:shd w:val="clear" w:color="auto" w:fill="auto"/>
          </w:tcPr>
          <w:p w14:paraId="56949782" w14:textId="77777777" w:rsidR="000D07EA" w:rsidRDefault="00BE7C89">
            <w:pPr>
              <w:pStyle w:val="BodyText"/>
              <w:spacing w:before="100" w:after="100"/>
              <w:jc w:val="center"/>
            </w:pPr>
            <w:r>
              <w:t>800318</w:t>
            </w:r>
            <w:r w:rsidR="00140BF1">
              <w:t>, 8894081</w:t>
            </w:r>
          </w:p>
        </w:tc>
        <w:tc>
          <w:tcPr>
            <w:tcW w:w="3436" w:type="dxa"/>
            <w:shd w:val="clear" w:color="auto" w:fill="auto"/>
          </w:tcPr>
          <w:p w14:paraId="1D853E4E" w14:textId="77777777" w:rsidR="000D07EA" w:rsidRDefault="00BE7C89">
            <w:pPr>
              <w:pStyle w:val="BodyText"/>
              <w:spacing w:before="100" w:after="100"/>
              <w:jc w:val="center"/>
            </w:pPr>
            <w:r>
              <w:t>25 September 2015 – 10 March 2016</w:t>
            </w:r>
          </w:p>
        </w:tc>
      </w:tr>
      <w:tr w:rsidR="000D07EA" w14:paraId="396998F8" w14:textId="77777777" w:rsidTr="00536F8B">
        <w:tc>
          <w:tcPr>
            <w:tcW w:w="3719" w:type="dxa"/>
            <w:shd w:val="clear" w:color="auto" w:fill="auto"/>
          </w:tcPr>
          <w:p w14:paraId="61D56E72" w14:textId="77777777" w:rsidR="000D07EA" w:rsidRDefault="00BE7C89">
            <w:pPr>
              <w:pStyle w:val="BodyText"/>
              <w:spacing w:before="100" w:after="100"/>
              <w:jc w:val="center"/>
            </w:pPr>
            <w:r>
              <w:t>$100 My Plan Business Tech Fund</w:t>
            </w:r>
          </w:p>
        </w:tc>
        <w:tc>
          <w:tcPr>
            <w:tcW w:w="1935" w:type="dxa"/>
            <w:shd w:val="clear" w:color="auto" w:fill="auto"/>
          </w:tcPr>
          <w:p w14:paraId="53FAFA75" w14:textId="77777777" w:rsidR="000D07EA" w:rsidRDefault="00BE7C89">
            <w:pPr>
              <w:pStyle w:val="BodyText"/>
              <w:spacing w:before="100" w:after="100"/>
              <w:jc w:val="center"/>
            </w:pPr>
            <w:r>
              <w:t>800311</w:t>
            </w:r>
            <w:r w:rsidR="00140BF1">
              <w:t>, 8894041</w:t>
            </w:r>
          </w:p>
        </w:tc>
        <w:tc>
          <w:tcPr>
            <w:tcW w:w="3436" w:type="dxa"/>
            <w:shd w:val="clear" w:color="auto" w:fill="auto"/>
          </w:tcPr>
          <w:p w14:paraId="5E673BAF" w14:textId="77777777" w:rsidR="000D07EA" w:rsidRDefault="00BE7C89">
            <w:pPr>
              <w:pStyle w:val="BodyText"/>
              <w:spacing w:before="100" w:after="100"/>
              <w:jc w:val="center"/>
            </w:pPr>
            <w:r>
              <w:t>9 September 2015 – 10 March 2016</w:t>
            </w:r>
          </w:p>
        </w:tc>
      </w:tr>
      <w:tr w:rsidR="000D07EA" w14:paraId="304DA74E" w14:textId="77777777" w:rsidTr="00536F8B">
        <w:tc>
          <w:tcPr>
            <w:tcW w:w="3719" w:type="dxa"/>
            <w:shd w:val="clear" w:color="auto" w:fill="auto"/>
          </w:tcPr>
          <w:p w14:paraId="231E2741" w14:textId="77777777" w:rsidR="000D07EA" w:rsidRDefault="00BE7C89">
            <w:pPr>
              <w:pStyle w:val="BodyText"/>
              <w:spacing w:before="100" w:after="100"/>
              <w:jc w:val="center"/>
            </w:pPr>
            <w:r>
              <w:t>$130 My Plan Business Tech Fund ($100 Promo)</w:t>
            </w:r>
          </w:p>
        </w:tc>
        <w:tc>
          <w:tcPr>
            <w:tcW w:w="1935" w:type="dxa"/>
            <w:shd w:val="clear" w:color="auto" w:fill="auto"/>
          </w:tcPr>
          <w:p w14:paraId="56D4B530" w14:textId="77777777" w:rsidR="000D07EA" w:rsidRDefault="00BE7C89">
            <w:pPr>
              <w:pStyle w:val="BodyText"/>
              <w:spacing w:before="100" w:after="100"/>
              <w:jc w:val="center"/>
            </w:pPr>
            <w:r>
              <w:t>800343</w:t>
            </w:r>
            <w:r w:rsidR="00140BF1">
              <w:t>, 9008121</w:t>
            </w:r>
          </w:p>
        </w:tc>
        <w:tc>
          <w:tcPr>
            <w:tcW w:w="3436" w:type="dxa"/>
            <w:shd w:val="clear" w:color="auto" w:fill="auto"/>
          </w:tcPr>
          <w:p w14:paraId="3937E4B4" w14:textId="77777777" w:rsidR="000D07EA" w:rsidRDefault="00BE7C89">
            <w:pPr>
              <w:pStyle w:val="BodyText"/>
              <w:spacing w:before="100" w:after="100"/>
              <w:jc w:val="center"/>
            </w:pPr>
            <w:r>
              <w:t>5 January 2015 – 10 March 2016</w:t>
            </w:r>
          </w:p>
        </w:tc>
      </w:tr>
      <w:tr w:rsidR="000D07EA" w14:paraId="61836A4F" w14:textId="77777777" w:rsidTr="00536F8B">
        <w:tc>
          <w:tcPr>
            <w:tcW w:w="3719" w:type="dxa"/>
            <w:shd w:val="clear" w:color="auto" w:fill="auto"/>
          </w:tcPr>
          <w:p w14:paraId="2E1833FA" w14:textId="77777777" w:rsidR="000D07EA" w:rsidRDefault="00BE7C89">
            <w:pPr>
              <w:pStyle w:val="BodyText"/>
              <w:spacing w:before="100" w:after="100"/>
              <w:jc w:val="center"/>
            </w:pPr>
            <w:r>
              <w:t>$135 My Plan Business Tech Fund</w:t>
            </w:r>
          </w:p>
        </w:tc>
        <w:tc>
          <w:tcPr>
            <w:tcW w:w="1935" w:type="dxa"/>
            <w:shd w:val="clear" w:color="auto" w:fill="auto"/>
            <w:vAlign w:val="center"/>
          </w:tcPr>
          <w:p w14:paraId="718ED316" w14:textId="77777777" w:rsidR="000D07EA" w:rsidRDefault="00BE7C89">
            <w:pPr>
              <w:pStyle w:val="BodyText"/>
              <w:spacing w:before="100" w:after="100"/>
              <w:jc w:val="center"/>
            </w:pPr>
            <w:r>
              <w:t>800312</w:t>
            </w:r>
            <w:r w:rsidR="00140BF1">
              <w:t>, 8894051</w:t>
            </w:r>
          </w:p>
        </w:tc>
        <w:tc>
          <w:tcPr>
            <w:tcW w:w="3436" w:type="dxa"/>
            <w:shd w:val="clear" w:color="auto" w:fill="auto"/>
          </w:tcPr>
          <w:p w14:paraId="0F44E7F5" w14:textId="77777777" w:rsidR="000D07EA" w:rsidRDefault="00BE7C89">
            <w:pPr>
              <w:pStyle w:val="BodyText"/>
              <w:spacing w:before="100" w:after="100"/>
              <w:jc w:val="center"/>
            </w:pPr>
            <w:r>
              <w:t>9 September 2015 – 22 November 2015</w:t>
            </w:r>
          </w:p>
        </w:tc>
      </w:tr>
      <w:tr w:rsidR="000D07EA" w14:paraId="3B7B75B2" w14:textId="77777777" w:rsidTr="00536F8B">
        <w:tc>
          <w:tcPr>
            <w:tcW w:w="3719" w:type="dxa"/>
            <w:shd w:val="clear" w:color="auto" w:fill="auto"/>
            <w:vAlign w:val="center"/>
          </w:tcPr>
          <w:p w14:paraId="09923D68" w14:textId="77777777" w:rsidR="000D07EA" w:rsidRDefault="00BE7C89">
            <w:pPr>
              <w:pStyle w:val="BodyText"/>
              <w:spacing w:before="100" w:after="100"/>
              <w:jc w:val="center"/>
            </w:pPr>
            <w:r>
              <w:t>$135 My Plan Business Tech Fund ($100 Promo)</w:t>
            </w:r>
          </w:p>
        </w:tc>
        <w:tc>
          <w:tcPr>
            <w:tcW w:w="1935" w:type="dxa"/>
            <w:shd w:val="clear" w:color="auto" w:fill="auto"/>
            <w:vAlign w:val="center"/>
          </w:tcPr>
          <w:p w14:paraId="4A4A770D" w14:textId="77777777" w:rsidR="000D07EA" w:rsidRDefault="00BE7C89">
            <w:pPr>
              <w:pStyle w:val="BodyText"/>
              <w:spacing w:before="100" w:after="100"/>
              <w:jc w:val="center"/>
            </w:pPr>
            <w:r>
              <w:t>800350</w:t>
            </w:r>
            <w:r w:rsidR="00140BF1">
              <w:t>, 9008141</w:t>
            </w:r>
          </w:p>
        </w:tc>
        <w:tc>
          <w:tcPr>
            <w:tcW w:w="3436" w:type="dxa"/>
            <w:shd w:val="clear" w:color="auto" w:fill="auto"/>
            <w:vAlign w:val="center"/>
          </w:tcPr>
          <w:p w14:paraId="25C61760" w14:textId="77777777" w:rsidR="000D07EA" w:rsidRDefault="00BE7C89">
            <w:pPr>
              <w:pStyle w:val="BodyText"/>
              <w:spacing w:before="100" w:after="100"/>
              <w:jc w:val="center"/>
            </w:pPr>
            <w:r>
              <w:t>22 November 2015 – 4 January 2016</w:t>
            </w:r>
          </w:p>
        </w:tc>
      </w:tr>
    </w:tbl>
    <w:p w14:paraId="0A5F13DF" w14:textId="77777777" w:rsidR="000D07EA" w:rsidRDefault="000D07EA">
      <w:pPr>
        <w:pStyle w:val="BodyText"/>
      </w:pPr>
    </w:p>
    <w:p w14:paraId="7C89FC31" w14:textId="77777777" w:rsidR="000D07EA" w:rsidRDefault="00BE7C89">
      <w:pPr>
        <w:pStyle w:val="Heading6"/>
        <w:ind w:left="0" w:firstLine="0"/>
      </w:pPr>
      <w:bookmarkStart w:id="1076" w:name="_Toc429127210"/>
      <w:bookmarkStart w:id="1077" w:name="_Toc432586032"/>
      <w:r>
        <w:t>Eligibi</w:t>
      </w:r>
      <w:r>
        <w:rPr>
          <w:rFonts w:ascii="Times" w:hAnsi="Times"/>
        </w:rPr>
        <w:t>l</w:t>
      </w:r>
      <w:r>
        <w:t>ity</w:t>
      </w:r>
      <w:bookmarkEnd w:id="1076"/>
      <w:bookmarkEnd w:id="1077"/>
    </w:p>
    <w:p w14:paraId="549CEE1E" w14:textId="77777777" w:rsidR="000D07EA" w:rsidRDefault="00BE7C89">
      <w:pPr>
        <w:pStyle w:val="BodyText"/>
        <w:ind w:left="720"/>
      </w:pPr>
      <w:r>
        <w:t>The My Plan Business Tech Fund plans are available to new and existing business mobile customers who pass Optus' credit assessment. To be eligible for this plan, businesses must provide Optus with a registered ACN, ARBN or ABN and must sign up for a minimum of 6 services to a My Plan Business Tech Fund Plan on a single Optus billing account.</w:t>
      </w:r>
    </w:p>
    <w:p w14:paraId="2367DABA" w14:textId="77777777" w:rsidR="000D07EA" w:rsidRDefault="00BE7C89">
      <w:pPr>
        <w:pStyle w:val="BodyText"/>
        <w:ind w:left="720"/>
      </w:pPr>
      <w:r>
        <w:t>Optus Service Providers' customers are not eligible to apply</w:t>
      </w:r>
      <w:r>
        <w:rPr>
          <w:snapToGrid w:val="0"/>
        </w:rPr>
        <w:t>.</w:t>
      </w:r>
    </w:p>
    <w:p w14:paraId="623EE5A3" w14:textId="77777777" w:rsidR="000D07EA" w:rsidRDefault="00BE7C89">
      <w:pPr>
        <w:pStyle w:val="BodyText"/>
        <w:ind w:left="720"/>
      </w:pPr>
      <w:r>
        <w:t xml:space="preserve">These </w:t>
      </w:r>
      <w:r>
        <w:rPr>
          <w:i/>
        </w:rPr>
        <w:t>plans</w:t>
      </w:r>
      <w:r>
        <w:t xml:space="preserve"> aren't compatible for data use with BlackBerry handsets on operating systems of 7.1 or earlier.</w:t>
      </w:r>
      <w:bookmarkStart w:id="1078" w:name="_Toc429127211"/>
      <w:bookmarkStart w:id="1079" w:name="_Toc432586033"/>
    </w:p>
    <w:p w14:paraId="21FC96C7" w14:textId="77777777" w:rsidR="000D07EA" w:rsidRDefault="00BE7C89">
      <w:pPr>
        <w:pStyle w:val="Heading6"/>
        <w:ind w:left="0" w:firstLine="0"/>
      </w:pPr>
      <w:r>
        <w:rPr>
          <w:snapToGrid w:val="0"/>
        </w:rPr>
        <w:lastRenderedPageBreak/>
        <w:t>Minimum Term</w:t>
      </w:r>
      <w:bookmarkEnd w:id="1078"/>
      <w:bookmarkEnd w:id="1079"/>
    </w:p>
    <w:p w14:paraId="72310DBB" w14:textId="77777777" w:rsidR="000D07EA" w:rsidRDefault="00BE7C89">
      <w:pPr>
        <w:pStyle w:val="BodyText"/>
        <w:ind w:left="720"/>
      </w:pPr>
      <w:r>
        <w:t xml:space="preserve">These </w:t>
      </w:r>
      <w:r>
        <w:rPr>
          <w:i/>
        </w:rPr>
        <w:t xml:space="preserve">plans </w:t>
      </w:r>
      <w:r>
        <w:t xml:space="preserve">have a </w:t>
      </w:r>
      <w:r>
        <w:rPr>
          <w:i/>
        </w:rPr>
        <w:t>fixed length agreement</w:t>
      </w:r>
      <w:r>
        <w:t xml:space="preserve"> with a 24 month </w:t>
      </w:r>
      <w:r>
        <w:rPr>
          <w:i/>
        </w:rPr>
        <w:t>minimum term</w:t>
      </w:r>
      <w:r>
        <w:t>.</w:t>
      </w:r>
    </w:p>
    <w:p w14:paraId="5EE8BD09" w14:textId="77777777" w:rsidR="000D07EA" w:rsidRDefault="00BE7C89">
      <w:pPr>
        <w:pStyle w:val="Heading6"/>
        <w:ind w:left="0" w:firstLine="0"/>
      </w:pPr>
      <w:bookmarkStart w:id="1080" w:name="_Toc429127212"/>
      <w:bookmarkStart w:id="1081" w:name="_Toc432586034"/>
      <w:r>
        <w:t>What you have to pay us</w:t>
      </w:r>
      <w:bookmarkEnd w:id="1080"/>
      <w:bookmarkEnd w:id="1081"/>
    </w:p>
    <w:p w14:paraId="21A8F716" w14:textId="77777777" w:rsidR="000D07EA" w:rsidRDefault="00BE7C89">
      <w:pPr>
        <w:pStyle w:val="Heading7"/>
      </w:pPr>
      <w:r>
        <w:rPr>
          <w:i/>
        </w:rPr>
        <w:t>You</w:t>
      </w:r>
      <w:r>
        <w:t xml:space="preserve"> must pay </w:t>
      </w:r>
      <w:r>
        <w:rPr>
          <w:i/>
        </w:rPr>
        <w:t>us</w:t>
      </w:r>
      <w:r>
        <w:t xml:space="preserve"> for use of the </w:t>
      </w:r>
      <w:r>
        <w:rPr>
          <w:i/>
        </w:rPr>
        <w:t>service</w:t>
      </w:r>
      <w:r>
        <w:t xml:space="preserve"> at the rates set out in Section 1 of this </w:t>
      </w:r>
      <w:r>
        <w:rPr>
          <w:i/>
        </w:rPr>
        <w:t>standard pricing table</w:t>
      </w:r>
      <w:r>
        <w:t xml:space="preserve"> and for value added service features at the rates set out in </w:t>
      </w:r>
      <w:hyperlink r:id="rId609" w:history="1">
        <w:r>
          <w:rPr>
            <w:rStyle w:val="Hyperlink"/>
            <w:i/>
          </w:rPr>
          <w:t>Appendix Y Value Added Service Features</w:t>
        </w:r>
      </w:hyperlink>
      <w:r>
        <w:rPr>
          <w:i/>
        </w:rPr>
        <w:t xml:space="preserve">. </w:t>
      </w:r>
    </w:p>
    <w:p w14:paraId="6A1BC149" w14:textId="77777777" w:rsidR="000D07EA" w:rsidRDefault="00BE7C89">
      <w:pPr>
        <w:pStyle w:val="Heading7"/>
      </w:pPr>
      <w:r>
        <w:t>If there is a flagfall for a particular call type, the charge for these calls is the flagfall amount plus the relevant rate for the call multiplied by the duration of the call.</w:t>
      </w:r>
    </w:p>
    <w:p w14:paraId="45D2F37F" w14:textId="77777777" w:rsidR="000D07EA" w:rsidRDefault="00BE7C89">
      <w:pPr>
        <w:pStyle w:val="Heading6"/>
        <w:ind w:left="0" w:firstLine="0"/>
      </w:pPr>
      <w:r>
        <w:t xml:space="preserve">Minimum Monthly Charge </w:t>
      </w:r>
    </w:p>
    <w:p w14:paraId="48D43125" w14:textId="77777777" w:rsidR="000D07EA" w:rsidRDefault="00BE7C89">
      <w:pPr>
        <w:pStyle w:val="BodyText"/>
        <w:ind w:left="720"/>
      </w:pPr>
      <w:r>
        <w:t>Each My Plan Business Tech Fund plan has a Minimum Monthly Charge amount that you must pay us each month as set out in Table 1 below.</w:t>
      </w:r>
    </w:p>
    <w:p w14:paraId="0F6E2266" w14:textId="77777777" w:rsidR="000D07EA" w:rsidRDefault="00BE7C89">
      <w:pPr>
        <w:pStyle w:val="Heading6"/>
        <w:keepNext/>
        <w:ind w:left="0" w:firstLine="0"/>
        <w:rPr>
          <w:snapToGrid w:val="0"/>
        </w:rPr>
      </w:pPr>
      <w:bookmarkStart w:id="1082" w:name="_Toc429127213"/>
      <w:bookmarkStart w:id="1083" w:name="_Toc432586035"/>
      <w:bookmarkStart w:id="1084" w:name="_Ref461555788"/>
      <w:r>
        <w:rPr>
          <w:snapToGrid w:val="0"/>
        </w:rPr>
        <w:t xml:space="preserve">How My Plan Business </w:t>
      </w:r>
      <w:r>
        <w:t xml:space="preserve">Tech Fund </w:t>
      </w:r>
      <w:r>
        <w:rPr>
          <w:snapToGrid w:val="0"/>
        </w:rPr>
        <w:t>works</w:t>
      </w:r>
      <w:bookmarkEnd w:id="1082"/>
      <w:bookmarkEnd w:id="1083"/>
      <w:bookmarkEnd w:id="1084"/>
    </w:p>
    <w:p w14:paraId="0F2A6140" w14:textId="77777777" w:rsidR="000D07EA" w:rsidRDefault="00BE7C89">
      <w:pPr>
        <w:pStyle w:val="Heading7"/>
      </w:pPr>
      <w:r>
        <w:t xml:space="preserve">Each My Plan Business Tech Fund referred to in this section has unlimited minutes to use on standard national calls to landlines and mobiles, 13/1300 numbers and voicemail retrievals and an amount of Included Data (for mobile internet use) to share with other services on a My Plan Plus, My Plan Plus SIM Only, My Plan Business (including Tech Fund), My Plan Business SIM, My Mobile Broadband Plus, Mobile Broadband Business or Shared Data Plan on the same account to use within Australia. </w:t>
      </w:r>
    </w:p>
    <w:p w14:paraId="67E17E95" w14:textId="77777777" w:rsidR="000D07EA" w:rsidRDefault="00BE7C89">
      <w:pPr>
        <w:pStyle w:val="Heading7"/>
        <w:rPr>
          <w:szCs w:val="20"/>
        </w:rPr>
      </w:pPr>
      <w:r>
        <w:rPr>
          <w:szCs w:val="20"/>
        </w:rPr>
        <w:t>These plans also include unlimited standard national SMS/MMS and unlimited standard International SMS/MMS to selected countries. These plans have an amount of included international minutes to use on standard international calls to selected countries.</w:t>
      </w:r>
    </w:p>
    <w:p w14:paraId="50C20C05" w14:textId="77777777" w:rsidR="000D07EA" w:rsidRDefault="00BE7C89">
      <w:pPr>
        <w:pStyle w:val="Heading7"/>
      </w:pPr>
      <w:r>
        <w:t xml:space="preserve">The $130 ($100 Promo)/$135/$135 ($100 Promo) My Plan Business Tech Fund plans comes with up to 10 days of Optus </w:t>
      </w:r>
      <w:r>
        <w:rPr>
          <w:snapToGrid w:val="0"/>
        </w:rPr>
        <w:t xml:space="preserve">Travel™ Pack per billing month for use in Zone 1 countries, </w:t>
      </w:r>
    </w:p>
    <w:p w14:paraId="3F53F941" w14:textId="77777777" w:rsidR="000D07EA" w:rsidRDefault="00BE7C89">
      <w:pPr>
        <w:pStyle w:val="Heading7"/>
      </w:pPr>
      <w:r>
        <w:t>Data usage is calculated in one kilobyte increments. International minutes are billed in one minute increments.</w:t>
      </w:r>
    </w:p>
    <w:p w14:paraId="138DF980" w14:textId="77777777" w:rsidR="000D07EA" w:rsidRDefault="00BE7C89">
      <w:pPr>
        <w:pStyle w:val="Heading7"/>
      </w:pPr>
      <w:r>
        <w:t xml:space="preserve">If </w:t>
      </w:r>
      <w:r>
        <w:rPr>
          <w:i/>
        </w:rPr>
        <w:t>you</w:t>
      </w:r>
      <w:r>
        <w:t xml:space="preserve"> exceed your included shareable data you'll automatically be charged $10 for each additional 1GB of data ("</w:t>
      </w:r>
      <w:r>
        <w:rPr>
          <w:b/>
        </w:rPr>
        <w:t>Additional Data</w:t>
      </w:r>
      <w:r>
        <w:t>") that you use (or part thereof) for use within Australia. Previously you could use up to 60GB extra on your account but from 02/08/2015, we're increasing it to 150GB of extra data per billing account each month. Your service/s may then be restricted or we may continue to charge you at these rates.</w:t>
      </w:r>
    </w:p>
    <w:p w14:paraId="48A95088" w14:textId="77777777" w:rsidR="000D07EA" w:rsidRDefault="00BE7C89">
      <w:pPr>
        <w:pStyle w:val="Heading7"/>
      </w:pPr>
      <w:r>
        <w:t xml:space="preserve">Any unused portion of </w:t>
      </w:r>
      <w:r>
        <w:rPr>
          <w:i/>
        </w:rPr>
        <w:t>your</w:t>
      </w:r>
      <w:r>
        <w:t xml:space="preserve"> </w:t>
      </w:r>
      <w:r>
        <w:rPr>
          <w:i/>
        </w:rPr>
        <w:t>plan's</w:t>
      </w:r>
      <w:r>
        <w:t xml:space="preserve"> Included or Additional Data or International Minutes expires at the end of each month and does not roll over into the next month.</w:t>
      </w:r>
    </w:p>
    <w:p w14:paraId="2283519E" w14:textId="77777777" w:rsidR="000D07EA" w:rsidRDefault="00BE7C89">
      <w:pPr>
        <w:pStyle w:val="Heading7"/>
      </w:pPr>
      <w:r>
        <w:t xml:space="preserve">Any unused </w:t>
      </w:r>
      <w:r>
        <w:rPr>
          <w:snapToGrid w:val="0"/>
        </w:rPr>
        <w:t>days of Optus Travel™ Pack are forfeited and cannot be rolled over to the next billing month</w:t>
      </w:r>
    </w:p>
    <w:p w14:paraId="22DED691" w14:textId="77777777" w:rsidR="000D07EA" w:rsidRDefault="00BE7C89">
      <w:pPr>
        <w:pStyle w:val="Heading7"/>
        <w:rPr>
          <w:b/>
        </w:rPr>
      </w:pPr>
      <w:r>
        <w:rPr>
          <w:i/>
        </w:rPr>
        <w:t>You</w:t>
      </w:r>
      <w:r>
        <w:t xml:space="preserve"> must pay </w:t>
      </w:r>
      <w:r>
        <w:rPr>
          <w:i/>
        </w:rPr>
        <w:t>us</w:t>
      </w:r>
      <w:r>
        <w:t xml:space="preserve"> for use of any services that are not included in </w:t>
      </w:r>
      <w:r>
        <w:rPr>
          <w:i/>
        </w:rPr>
        <w:t>your</w:t>
      </w:r>
      <w:r>
        <w:t xml:space="preserve"> plan's inclusions, examples of which are set out in Table 2 below.</w:t>
      </w:r>
    </w:p>
    <w:p w14:paraId="59DA4D0B" w14:textId="77777777" w:rsidR="000D07EA" w:rsidRDefault="00BE7C89">
      <w:pPr>
        <w:pStyle w:val="Heading6"/>
        <w:ind w:left="0" w:firstLine="0"/>
      </w:pPr>
      <w:bookmarkStart w:id="1085" w:name="_Toc429127214"/>
      <w:bookmarkStart w:id="1086" w:name="_Toc432586036"/>
      <w:r>
        <w:t>Handset Credit</w:t>
      </w:r>
      <w:bookmarkEnd w:id="1085"/>
      <w:bookmarkEnd w:id="1086"/>
      <w:r>
        <w:t xml:space="preserve"> </w:t>
      </w:r>
    </w:p>
    <w:p w14:paraId="26CA8D11" w14:textId="77777777" w:rsidR="000D07EA" w:rsidRDefault="00BE7C89">
      <w:pPr>
        <w:pStyle w:val="Heading7"/>
      </w:pPr>
      <w:r>
        <w:t xml:space="preserve">The Handset Credit is a special offer available to customers who are eligible for and connect to a My Plan Business Tech Fund plan, and who do not choose to take a handset upfront. It allows </w:t>
      </w:r>
      <w:r>
        <w:rPr>
          <w:i/>
        </w:rPr>
        <w:t>you</w:t>
      </w:r>
      <w:r>
        <w:t xml:space="preserve"> to purchase mobile phones and accessories from Optus at any period throughout </w:t>
      </w:r>
      <w:r>
        <w:rPr>
          <w:i/>
        </w:rPr>
        <w:t>your</w:t>
      </w:r>
      <w:r>
        <w:t xml:space="preserve"> contract; it cannot be used for any other purpose other than the purchase of handsets and accessories from </w:t>
      </w:r>
      <w:r>
        <w:rPr>
          <w:i/>
        </w:rPr>
        <w:t>us</w:t>
      </w:r>
      <w:r>
        <w:t xml:space="preserve">. </w:t>
      </w:r>
    </w:p>
    <w:p w14:paraId="4392987F" w14:textId="77777777" w:rsidR="000D07EA" w:rsidRDefault="00BE7C89">
      <w:pPr>
        <w:pStyle w:val="Heading7"/>
        <w:rPr>
          <w:szCs w:val="20"/>
        </w:rPr>
      </w:pPr>
      <w:r>
        <w:rPr>
          <w:szCs w:val="20"/>
        </w:rPr>
        <w:t xml:space="preserve">The amount of credit will be dependent on the plan </w:t>
      </w:r>
      <w:r>
        <w:rPr>
          <w:i/>
          <w:szCs w:val="20"/>
        </w:rPr>
        <w:t>you</w:t>
      </w:r>
      <w:r>
        <w:rPr>
          <w:szCs w:val="20"/>
        </w:rPr>
        <w:t xml:space="preserve"> connect to as per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3"/>
        <w:gridCol w:w="1657"/>
        <w:gridCol w:w="1657"/>
        <w:gridCol w:w="1657"/>
        <w:gridCol w:w="1657"/>
        <w:gridCol w:w="1657"/>
      </w:tblGrid>
      <w:tr w:rsidR="000D07EA" w14:paraId="47B5B06C" w14:textId="77777777">
        <w:tc>
          <w:tcPr>
            <w:tcW w:w="934" w:type="pct"/>
            <w:shd w:val="clear" w:color="auto" w:fill="auto"/>
          </w:tcPr>
          <w:p w14:paraId="69F11960" w14:textId="77777777" w:rsidR="000D07EA" w:rsidRDefault="00BE7C89">
            <w:pPr>
              <w:pStyle w:val="BodyText"/>
              <w:spacing w:before="100" w:after="100"/>
              <w:jc w:val="center"/>
              <w:rPr>
                <w:b/>
              </w:rPr>
            </w:pPr>
            <w:r>
              <w:rPr>
                <w:b/>
              </w:rPr>
              <w:lastRenderedPageBreak/>
              <w:t>Plan</w:t>
            </w:r>
          </w:p>
        </w:tc>
        <w:tc>
          <w:tcPr>
            <w:tcW w:w="813" w:type="pct"/>
            <w:shd w:val="clear" w:color="auto" w:fill="auto"/>
          </w:tcPr>
          <w:p w14:paraId="61675E86" w14:textId="77777777" w:rsidR="000D07EA" w:rsidRDefault="00BE7C89">
            <w:pPr>
              <w:pStyle w:val="BodyText"/>
              <w:spacing w:before="100" w:after="100"/>
              <w:jc w:val="center"/>
              <w:rPr>
                <w:b/>
              </w:rPr>
            </w:pPr>
            <w:r>
              <w:rPr>
                <w:b/>
              </w:rPr>
              <w:t>$80 My Plan Business Tech Fund</w:t>
            </w:r>
          </w:p>
        </w:tc>
        <w:tc>
          <w:tcPr>
            <w:tcW w:w="813" w:type="pct"/>
            <w:shd w:val="clear" w:color="auto" w:fill="auto"/>
          </w:tcPr>
          <w:p w14:paraId="55A23509" w14:textId="77777777" w:rsidR="000D07EA" w:rsidRDefault="00BE7C89">
            <w:pPr>
              <w:pStyle w:val="BodyText"/>
              <w:spacing w:before="100" w:after="100"/>
              <w:jc w:val="center"/>
              <w:rPr>
                <w:b/>
              </w:rPr>
            </w:pPr>
            <w:r>
              <w:rPr>
                <w:b/>
              </w:rPr>
              <w:t>$100 My Plan Business Tech Fund</w:t>
            </w:r>
          </w:p>
        </w:tc>
        <w:tc>
          <w:tcPr>
            <w:tcW w:w="813" w:type="pct"/>
            <w:shd w:val="clear" w:color="auto" w:fill="auto"/>
          </w:tcPr>
          <w:p w14:paraId="4AD98BDC" w14:textId="77777777" w:rsidR="000D07EA" w:rsidRDefault="00BE7C89">
            <w:pPr>
              <w:pStyle w:val="BodyText"/>
              <w:spacing w:before="100" w:after="100"/>
              <w:jc w:val="center"/>
              <w:rPr>
                <w:b/>
              </w:rPr>
            </w:pPr>
            <w:r>
              <w:rPr>
                <w:b/>
              </w:rPr>
              <w:t>$130 My Plan Business Tech Fund ($100 Promo)</w:t>
            </w:r>
          </w:p>
        </w:tc>
        <w:tc>
          <w:tcPr>
            <w:tcW w:w="813" w:type="pct"/>
            <w:shd w:val="clear" w:color="auto" w:fill="auto"/>
          </w:tcPr>
          <w:p w14:paraId="16D75EDA" w14:textId="77777777" w:rsidR="000D07EA" w:rsidRDefault="00BE7C89">
            <w:pPr>
              <w:pStyle w:val="BodyText"/>
              <w:spacing w:before="100" w:after="100"/>
              <w:jc w:val="center"/>
              <w:rPr>
                <w:b/>
              </w:rPr>
            </w:pPr>
            <w:r>
              <w:rPr>
                <w:b/>
              </w:rPr>
              <w:t>$135 My Plan Business Tech Fund</w:t>
            </w:r>
          </w:p>
        </w:tc>
        <w:tc>
          <w:tcPr>
            <w:tcW w:w="813" w:type="pct"/>
            <w:shd w:val="clear" w:color="auto" w:fill="auto"/>
          </w:tcPr>
          <w:p w14:paraId="5F5E8232" w14:textId="77777777" w:rsidR="000D07EA" w:rsidRDefault="00BE7C89">
            <w:pPr>
              <w:pStyle w:val="BodyText"/>
              <w:spacing w:before="100" w:after="100"/>
              <w:jc w:val="center"/>
              <w:rPr>
                <w:b/>
              </w:rPr>
            </w:pPr>
            <w:r>
              <w:rPr>
                <w:b/>
              </w:rPr>
              <w:t>$135 My Plan Business Tech Fund ($100 Promo)</w:t>
            </w:r>
          </w:p>
        </w:tc>
      </w:tr>
      <w:tr w:rsidR="000D07EA" w14:paraId="783FB544" w14:textId="77777777">
        <w:tc>
          <w:tcPr>
            <w:tcW w:w="934" w:type="pct"/>
            <w:shd w:val="clear" w:color="auto" w:fill="auto"/>
          </w:tcPr>
          <w:p w14:paraId="203E0D88" w14:textId="77777777" w:rsidR="000D07EA" w:rsidRDefault="00BE7C89">
            <w:pPr>
              <w:pStyle w:val="BodyText"/>
              <w:spacing w:before="100" w:after="100"/>
              <w:jc w:val="center"/>
              <w:rPr>
                <w:b/>
              </w:rPr>
            </w:pPr>
            <w:r>
              <w:rPr>
                <w:b/>
              </w:rPr>
              <w:t>Handset Credit</w:t>
            </w:r>
          </w:p>
        </w:tc>
        <w:tc>
          <w:tcPr>
            <w:tcW w:w="813" w:type="pct"/>
            <w:shd w:val="clear" w:color="auto" w:fill="auto"/>
          </w:tcPr>
          <w:p w14:paraId="0799DC46" w14:textId="77777777" w:rsidR="000D07EA" w:rsidRDefault="00BE7C89">
            <w:pPr>
              <w:pStyle w:val="BodyText"/>
              <w:spacing w:before="100" w:after="100"/>
              <w:jc w:val="center"/>
            </w:pPr>
            <w:r>
              <w:t>$700</w:t>
            </w:r>
          </w:p>
        </w:tc>
        <w:tc>
          <w:tcPr>
            <w:tcW w:w="813" w:type="pct"/>
            <w:shd w:val="clear" w:color="auto" w:fill="auto"/>
          </w:tcPr>
          <w:p w14:paraId="34A40FF2" w14:textId="77777777" w:rsidR="000D07EA" w:rsidRDefault="00BE7C89">
            <w:pPr>
              <w:pStyle w:val="BodyText"/>
              <w:spacing w:before="100" w:after="100"/>
              <w:jc w:val="center"/>
            </w:pPr>
            <w:r>
              <w:t>$870</w:t>
            </w:r>
          </w:p>
        </w:tc>
        <w:tc>
          <w:tcPr>
            <w:tcW w:w="813" w:type="pct"/>
            <w:shd w:val="clear" w:color="auto" w:fill="auto"/>
          </w:tcPr>
          <w:p w14:paraId="15047854" w14:textId="77777777" w:rsidR="000D07EA" w:rsidRDefault="00BE7C89">
            <w:pPr>
              <w:pStyle w:val="BodyText"/>
              <w:spacing w:before="100" w:after="100"/>
              <w:jc w:val="center"/>
            </w:pPr>
            <w:r>
              <w:t>$977</w:t>
            </w:r>
          </w:p>
        </w:tc>
        <w:tc>
          <w:tcPr>
            <w:tcW w:w="813" w:type="pct"/>
            <w:shd w:val="clear" w:color="auto" w:fill="auto"/>
          </w:tcPr>
          <w:p w14:paraId="6788F7F1" w14:textId="77777777" w:rsidR="000D07EA" w:rsidRDefault="00BE7C89">
            <w:pPr>
              <w:pStyle w:val="BodyText"/>
              <w:spacing w:before="100" w:after="100"/>
              <w:jc w:val="center"/>
            </w:pPr>
            <w:r>
              <w:t>$977</w:t>
            </w:r>
          </w:p>
        </w:tc>
        <w:tc>
          <w:tcPr>
            <w:tcW w:w="813" w:type="pct"/>
            <w:shd w:val="clear" w:color="auto" w:fill="auto"/>
          </w:tcPr>
          <w:p w14:paraId="0C9CD90E" w14:textId="77777777" w:rsidR="000D07EA" w:rsidRDefault="00BE7C89">
            <w:pPr>
              <w:pStyle w:val="BodyText"/>
              <w:spacing w:before="100" w:after="100"/>
              <w:jc w:val="center"/>
            </w:pPr>
            <w:r>
              <w:t>$977</w:t>
            </w:r>
          </w:p>
        </w:tc>
      </w:tr>
    </w:tbl>
    <w:p w14:paraId="3F19E0F9" w14:textId="77777777" w:rsidR="000D07EA" w:rsidRDefault="000D07EA">
      <w:pPr>
        <w:pStyle w:val="BodyText"/>
      </w:pPr>
    </w:p>
    <w:p w14:paraId="5ED88041" w14:textId="77777777" w:rsidR="000D07EA" w:rsidRDefault="00BE7C89">
      <w:pPr>
        <w:pStyle w:val="Heading7"/>
      </w:pPr>
      <w:r>
        <w:rPr>
          <w:i/>
        </w:rPr>
        <w:t>You</w:t>
      </w:r>
      <w:r>
        <w:t xml:space="preserve"> may use the Handset Credit deposited into </w:t>
      </w:r>
      <w:r>
        <w:rPr>
          <w:i/>
        </w:rPr>
        <w:t>your</w:t>
      </w:r>
      <w:r>
        <w:t xml:space="preserve"> account to purchase handsets listed in the Optus e-fulfilment price list as amended by </w:t>
      </w:r>
      <w:r>
        <w:rPr>
          <w:i/>
        </w:rPr>
        <w:t>us</w:t>
      </w:r>
      <w:r>
        <w:t xml:space="preserve"> from time to time. This list is available to </w:t>
      </w:r>
      <w:r>
        <w:rPr>
          <w:i/>
        </w:rPr>
        <w:t>you</w:t>
      </w:r>
      <w:r>
        <w:t xml:space="preserve"> upon request.</w:t>
      </w:r>
    </w:p>
    <w:p w14:paraId="32BD289D" w14:textId="77777777" w:rsidR="000D07EA" w:rsidRDefault="00BE7C89">
      <w:pPr>
        <w:pStyle w:val="Heading7"/>
      </w:pPr>
      <w:r>
        <w:t xml:space="preserve">If the purchase price for products that </w:t>
      </w:r>
      <w:r>
        <w:rPr>
          <w:i/>
        </w:rPr>
        <w:t>you</w:t>
      </w:r>
      <w:r>
        <w:t xml:space="preserve"> order is greater than the Handset Credit remaining in </w:t>
      </w:r>
      <w:r>
        <w:rPr>
          <w:i/>
        </w:rPr>
        <w:t>your</w:t>
      </w:r>
      <w:r>
        <w:t xml:space="preserve"> account, </w:t>
      </w:r>
      <w:r>
        <w:rPr>
          <w:i/>
        </w:rPr>
        <w:t>you</w:t>
      </w:r>
      <w:r>
        <w:t xml:space="preserve"> must pay any difference for those products by manually topping up </w:t>
      </w:r>
      <w:r>
        <w:rPr>
          <w:i/>
        </w:rPr>
        <w:t>your</w:t>
      </w:r>
      <w:r>
        <w:t xml:space="preserve"> Handset Credit Fund account with the required funds before purchasing.</w:t>
      </w:r>
    </w:p>
    <w:p w14:paraId="1DCBD133" w14:textId="77777777" w:rsidR="000D07EA" w:rsidRDefault="00BE7C89">
      <w:pPr>
        <w:pStyle w:val="Heading7"/>
      </w:pPr>
      <w:r>
        <w:t xml:space="preserve">The value of the Handset Credit is not redeemable for cash and may not be transferred or used for any other purposes (for instance, it may not be used to pay for service charges, minimum monthly call spend or call costs, cannot be used against cancellation fees). </w:t>
      </w:r>
    </w:p>
    <w:p w14:paraId="2F2553EA" w14:textId="77777777" w:rsidR="000D07EA" w:rsidRDefault="00BE7C89">
      <w:pPr>
        <w:pStyle w:val="Heading7"/>
      </w:pPr>
      <w:r>
        <w:t xml:space="preserve">If you cancel a service on an account with multiple Tech Fund services, you will not lose any unused handset credit. Only if </w:t>
      </w:r>
      <w:r>
        <w:rPr>
          <w:i/>
        </w:rPr>
        <w:t>your</w:t>
      </w:r>
      <w:r>
        <w:t xml:space="preserve"> account is cancelled for any reason than any unused credit will be forfeited.</w:t>
      </w:r>
    </w:p>
    <w:p w14:paraId="46110F4D" w14:textId="77777777" w:rsidR="000D07EA" w:rsidRDefault="00BE7C89">
      <w:pPr>
        <w:pStyle w:val="Heading6"/>
        <w:ind w:left="0" w:firstLine="0"/>
        <w:rPr>
          <w:snapToGrid w:val="0"/>
        </w:rPr>
      </w:pPr>
      <w:bookmarkStart w:id="1087" w:name="_Toc429127215"/>
      <w:bookmarkStart w:id="1088" w:name="_Toc432586037"/>
      <w:r>
        <w:rPr>
          <w:snapToGrid w:val="0"/>
        </w:rPr>
        <w:t>Data Sharing</w:t>
      </w:r>
      <w:bookmarkEnd w:id="1087"/>
      <w:bookmarkEnd w:id="1088"/>
    </w:p>
    <w:p w14:paraId="1784C7E7" w14:textId="77777777" w:rsidR="000D07EA" w:rsidRDefault="00BE7C89">
      <w:pPr>
        <w:pStyle w:val="Heading7"/>
        <w:rPr>
          <w:snapToGrid w:val="0"/>
        </w:rPr>
      </w:pPr>
      <w:r>
        <w:rPr>
          <w:snapToGrid w:val="0"/>
        </w:rPr>
        <w:t>If you have more than one My Plan Plus, My Plan Plus SIM Only, My Plan Business (including Tech Fund), My Plan Business SIM, My Mobile Broadband Plus or Mobile Broadband Business plans on the same billing account, the included data will combine into one data pool, which will be shared by all eligible services on that account.</w:t>
      </w:r>
    </w:p>
    <w:p w14:paraId="5BF5B4F8" w14:textId="77777777" w:rsidR="000D07EA" w:rsidRDefault="00BE7C89">
      <w:pPr>
        <w:pStyle w:val="Heading7"/>
        <w:rPr>
          <w:snapToGrid w:val="0"/>
          <w:szCs w:val="20"/>
        </w:rPr>
      </w:pPr>
      <w:r>
        <w:rPr>
          <w:i/>
          <w:snapToGrid w:val="0"/>
          <w:szCs w:val="20"/>
        </w:rPr>
        <w:t>You</w:t>
      </w:r>
      <w:r>
        <w:rPr>
          <w:snapToGrid w:val="0"/>
          <w:szCs w:val="20"/>
        </w:rPr>
        <w:t xml:space="preserve"> can share the Included Data in </w:t>
      </w:r>
      <w:r>
        <w:rPr>
          <w:i/>
          <w:snapToGrid w:val="0"/>
          <w:szCs w:val="20"/>
        </w:rPr>
        <w:t>your</w:t>
      </w:r>
      <w:r>
        <w:rPr>
          <w:snapToGrid w:val="0"/>
          <w:szCs w:val="20"/>
        </w:rPr>
        <w:t xml:space="preserve"> My Plan Business Tech Fund plan with up to five (5) SIM-ready mobile broadband devices (eg tablets, USB modems and laptops). </w:t>
      </w:r>
      <w:r>
        <w:rPr>
          <w:i/>
          <w:snapToGrid w:val="0"/>
          <w:szCs w:val="20"/>
        </w:rPr>
        <w:t>You</w:t>
      </w:r>
      <w:r>
        <w:rPr>
          <w:snapToGrid w:val="0"/>
          <w:szCs w:val="20"/>
        </w:rPr>
        <w:t xml:space="preserve"> must connect these mobile broadband devices to Shared Data Plans which have a $5 set up fee each and no ongoing monthly charges. </w:t>
      </w:r>
    </w:p>
    <w:p w14:paraId="7C2C75F1" w14:textId="77777777" w:rsidR="000D07EA" w:rsidRDefault="00BE7C89">
      <w:pPr>
        <w:pStyle w:val="Heading7"/>
        <w:rPr>
          <w:snapToGrid w:val="0"/>
          <w:szCs w:val="20"/>
        </w:rPr>
      </w:pPr>
      <w:r>
        <w:rPr>
          <w:i/>
          <w:snapToGrid w:val="0"/>
          <w:szCs w:val="20"/>
        </w:rPr>
        <w:t>We</w:t>
      </w:r>
      <w:r>
        <w:rPr>
          <w:snapToGrid w:val="0"/>
          <w:szCs w:val="20"/>
        </w:rPr>
        <w:t xml:space="preserve"> may place a limit on the number of Shared Data Plans </w:t>
      </w:r>
      <w:r>
        <w:rPr>
          <w:i/>
          <w:snapToGrid w:val="0"/>
          <w:szCs w:val="20"/>
        </w:rPr>
        <w:t>you</w:t>
      </w:r>
      <w:r>
        <w:rPr>
          <w:snapToGrid w:val="0"/>
          <w:szCs w:val="20"/>
        </w:rPr>
        <w:t xml:space="preserve"> can have, based on </w:t>
      </w:r>
      <w:r>
        <w:rPr>
          <w:i/>
          <w:snapToGrid w:val="0"/>
          <w:szCs w:val="20"/>
        </w:rPr>
        <w:t>our</w:t>
      </w:r>
      <w:r>
        <w:rPr>
          <w:snapToGrid w:val="0"/>
          <w:szCs w:val="20"/>
        </w:rPr>
        <w:t xml:space="preserve"> credit criteria.</w:t>
      </w:r>
    </w:p>
    <w:p w14:paraId="50B59550" w14:textId="77777777" w:rsidR="000D07EA" w:rsidRDefault="00BE7C89">
      <w:pPr>
        <w:pStyle w:val="Heading7"/>
        <w:rPr>
          <w:snapToGrid w:val="0"/>
          <w:szCs w:val="20"/>
        </w:rPr>
      </w:pPr>
      <w:r>
        <w:rPr>
          <w:snapToGrid w:val="0"/>
          <w:szCs w:val="20"/>
        </w:rPr>
        <w:t>Shared Data Plans do not have any Included Data, and cannot be used to make calls.</w:t>
      </w:r>
    </w:p>
    <w:p w14:paraId="612DF427" w14:textId="77777777" w:rsidR="000D07EA" w:rsidRDefault="00BE7C89">
      <w:pPr>
        <w:pStyle w:val="Heading7"/>
        <w:rPr>
          <w:snapToGrid w:val="0"/>
          <w:szCs w:val="20"/>
        </w:rPr>
      </w:pPr>
      <w:r>
        <w:rPr>
          <w:i/>
          <w:snapToGrid w:val="0"/>
          <w:szCs w:val="20"/>
        </w:rPr>
        <w:t>You</w:t>
      </w:r>
      <w:r>
        <w:rPr>
          <w:snapToGrid w:val="0"/>
          <w:szCs w:val="20"/>
        </w:rPr>
        <w:t xml:space="preserve"> can purchase one mobile broadband device per Shared Data Plan, and pay for it in full on </w:t>
      </w:r>
      <w:r>
        <w:rPr>
          <w:i/>
          <w:snapToGrid w:val="0"/>
          <w:szCs w:val="20"/>
        </w:rPr>
        <w:t>your</w:t>
      </w:r>
      <w:r>
        <w:rPr>
          <w:snapToGrid w:val="0"/>
          <w:szCs w:val="20"/>
        </w:rPr>
        <w:t xml:space="preserve"> first bill, or pay it off over 12 or 24 months on a </w:t>
      </w:r>
      <w:r>
        <w:rPr>
          <w:i/>
          <w:snapToGrid w:val="0"/>
          <w:szCs w:val="20"/>
        </w:rPr>
        <w:t>Mobile Equipment Payment Plan</w:t>
      </w:r>
      <w:r>
        <w:rPr>
          <w:snapToGrid w:val="0"/>
          <w:szCs w:val="20"/>
        </w:rPr>
        <w:t xml:space="preserve"> (see </w:t>
      </w:r>
      <w:r>
        <w:rPr>
          <w:i/>
        </w:rPr>
        <w:t>Appendix D</w:t>
      </w:r>
      <w:r>
        <w:rPr>
          <w:snapToGrid w:val="0"/>
          <w:szCs w:val="20"/>
        </w:rPr>
        <w:t>).</w:t>
      </w:r>
    </w:p>
    <w:p w14:paraId="3AFC710F" w14:textId="77777777" w:rsidR="000D07EA" w:rsidRDefault="00BE7C89">
      <w:pPr>
        <w:pStyle w:val="Heading7"/>
        <w:rPr>
          <w:snapToGrid w:val="0"/>
          <w:szCs w:val="20"/>
        </w:rPr>
      </w:pPr>
      <w:r>
        <w:rPr>
          <w:snapToGrid w:val="0"/>
          <w:szCs w:val="20"/>
        </w:rPr>
        <w:t xml:space="preserve">If </w:t>
      </w:r>
      <w:r>
        <w:rPr>
          <w:i/>
          <w:snapToGrid w:val="0"/>
          <w:szCs w:val="20"/>
        </w:rPr>
        <w:t>you</w:t>
      </w:r>
      <w:r>
        <w:rPr>
          <w:snapToGrid w:val="0"/>
          <w:szCs w:val="20"/>
        </w:rPr>
        <w:t xml:space="preserve"> do not want </w:t>
      </w:r>
      <w:r>
        <w:rPr>
          <w:i/>
          <w:snapToGrid w:val="0"/>
          <w:szCs w:val="20"/>
        </w:rPr>
        <w:t>your</w:t>
      </w:r>
      <w:r>
        <w:rPr>
          <w:snapToGrid w:val="0"/>
          <w:szCs w:val="20"/>
        </w:rPr>
        <w:t xml:space="preserve"> services on any</w:t>
      </w:r>
      <w:r>
        <w:rPr>
          <w:szCs w:val="20"/>
        </w:rPr>
        <w:t xml:space="preserve"> My Plan Plus, My Plan Plus SIM Only, My Plan Business (including Tech Fund), My Plan Business SIM My Mobile Broadband Plus or Mobile Broadband Business plans</w:t>
      </w:r>
      <w:r>
        <w:rPr>
          <w:snapToGrid w:val="0"/>
          <w:szCs w:val="20"/>
        </w:rPr>
        <w:t xml:space="preserve"> to share data, they need to be on separate billing accounts. </w:t>
      </w:r>
    </w:p>
    <w:p w14:paraId="018A0DB7" w14:textId="77777777" w:rsidR="000D07EA" w:rsidRDefault="00BE7C89">
      <w:pPr>
        <w:pStyle w:val="Heading7"/>
        <w:rPr>
          <w:szCs w:val="20"/>
        </w:rPr>
      </w:pPr>
      <w:r>
        <w:rPr>
          <w:szCs w:val="20"/>
        </w:rPr>
        <w:t>Data sharing is only available within Australia.</w:t>
      </w:r>
    </w:p>
    <w:p w14:paraId="283CE0FA" w14:textId="77777777" w:rsidR="000D07EA" w:rsidRDefault="00BE7C89">
      <w:pPr>
        <w:pStyle w:val="Heading6"/>
        <w:ind w:left="0" w:firstLine="0"/>
        <w:rPr>
          <w:snapToGrid w:val="0"/>
        </w:rPr>
      </w:pPr>
      <w:bookmarkStart w:id="1089" w:name="_Toc429127216"/>
      <w:bookmarkStart w:id="1090" w:name="_Toc432586038"/>
      <w:r>
        <w:rPr>
          <w:snapToGrid w:val="0"/>
        </w:rPr>
        <w:t>International Minutes</w:t>
      </w:r>
      <w:bookmarkEnd w:id="1089"/>
      <w:bookmarkEnd w:id="1090"/>
    </w:p>
    <w:p w14:paraId="428F92D7" w14:textId="77777777" w:rsidR="000D07EA" w:rsidRDefault="00BE7C89">
      <w:pPr>
        <w:pStyle w:val="BodyText"/>
        <w:ind w:left="720"/>
      </w:pPr>
      <w:r>
        <w:t>The $80/$100/$130 ($100 Promo)/$135/$135 ($100 Promo) My Plan Business</w:t>
      </w:r>
      <w:r>
        <w:rPr>
          <w:snapToGrid w:val="0"/>
        </w:rPr>
        <w:t xml:space="preserve"> Tech Fund</w:t>
      </w:r>
      <w:r>
        <w:t xml:space="preserve"> includes up to 300/400/Unlimited/500/500 international minutes (respectively) for standard calls to mobiles and fixed lines in selected countries made from within Australia. For a list of selected countries see Table 3 below.</w:t>
      </w:r>
    </w:p>
    <w:p w14:paraId="1901140B" w14:textId="77777777" w:rsidR="000D07EA" w:rsidRDefault="00BE7C89">
      <w:pPr>
        <w:pStyle w:val="BodyText"/>
        <w:ind w:left="720"/>
      </w:pPr>
      <w:r>
        <w:t>Calls are charged per minute. When included minutes for calls to selected countries are used up, standard 'yes' international call charges apply.</w:t>
      </w:r>
    </w:p>
    <w:p w14:paraId="596AA231" w14:textId="77777777" w:rsidR="000D07EA" w:rsidRDefault="00BE7C89">
      <w:pPr>
        <w:pStyle w:val="Heading6"/>
        <w:ind w:left="0" w:firstLine="0"/>
        <w:rPr>
          <w:snapToGrid w:val="0"/>
        </w:rPr>
      </w:pPr>
      <w:bookmarkStart w:id="1091" w:name="_Toc429127217"/>
      <w:bookmarkStart w:id="1092" w:name="_Toc432586039"/>
      <w:r>
        <w:rPr>
          <w:snapToGrid w:val="0"/>
        </w:rPr>
        <w:t>Unlimited standard national SMS and MMS</w:t>
      </w:r>
      <w:bookmarkEnd w:id="1091"/>
      <w:bookmarkEnd w:id="1092"/>
    </w:p>
    <w:p w14:paraId="6ADD147B" w14:textId="77777777" w:rsidR="000D07EA" w:rsidRDefault="00BE7C89">
      <w:pPr>
        <w:pStyle w:val="BodyText"/>
        <w:ind w:left="720"/>
      </w:pPr>
      <w:r>
        <w:rPr>
          <w:i/>
        </w:rPr>
        <w:lastRenderedPageBreak/>
        <w:t>You</w:t>
      </w:r>
      <w:r>
        <w:t xml:space="preserve"> may send unlimited standard SMS and MMS to Australian mobiles from within Australia.</w:t>
      </w:r>
    </w:p>
    <w:p w14:paraId="3E6794FD" w14:textId="77777777" w:rsidR="000D07EA" w:rsidRDefault="00BE7C89">
      <w:pPr>
        <w:pStyle w:val="BodyText"/>
        <w:ind w:left="720"/>
      </w:pPr>
      <w:r>
        <w:t xml:space="preserve">Unlimited standard national SMS and MMS are only available for personal and ordinary business use and are not to be used for a commercial or non-ordinary purpose as set out in the </w:t>
      </w:r>
      <w:hyperlink r:id="rId610" w:history="1">
        <w:r>
          <w:rPr>
            <w:rStyle w:val="Hyperlink"/>
            <w:i/>
          </w:rPr>
          <w:t>Fair Go Policy</w:t>
        </w:r>
      </w:hyperlink>
      <w:r>
        <w:t xml:space="preserve">. For further details refer to </w:t>
      </w:r>
      <w:hyperlink r:id="rId611" w:history="1">
        <w:r>
          <w:rPr>
            <w:rStyle w:val="Hyperlink"/>
            <w:i/>
          </w:rPr>
          <w:t>Appendix S</w:t>
        </w:r>
      </w:hyperlink>
      <w:r>
        <w:t>.</w:t>
      </w:r>
    </w:p>
    <w:p w14:paraId="26CB93BD" w14:textId="77777777" w:rsidR="000D07EA" w:rsidRDefault="00BE7C89">
      <w:pPr>
        <w:pStyle w:val="Heading6"/>
        <w:ind w:left="0" w:firstLine="0"/>
        <w:rPr>
          <w:snapToGrid w:val="0"/>
        </w:rPr>
      </w:pPr>
      <w:bookmarkStart w:id="1093" w:name="_Toc429127218"/>
      <w:bookmarkStart w:id="1094" w:name="_Toc432586040"/>
      <w:r>
        <w:rPr>
          <w:snapToGrid w:val="0"/>
        </w:rPr>
        <w:t>Unlimited standard international SMS and MMS</w:t>
      </w:r>
      <w:bookmarkEnd w:id="1093"/>
      <w:bookmarkEnd w:id="1094"/>
    </w:p>
    <w:p w14:paraId="6AEF8DBA" w14:textId="77777777" w:rsidR="000D07EA" w:rsidRDefault="00BE7C89">
      <w:pPr>
        <w:pStyle w:val="BodyText"/>
        <w:ind w:left="720"/>
      </w:pPr>
      <w:r>
        <w:rPr>
          <w:i/>
        </w:rPr>
        <w:t>You</w:t>
      </w:r>
      <w:r>
        <w:t xml:space="preserve"> may send unlimited standard SMS and MMS to selected countries from within Australia as set out in Table 3 below.</w:t>
      </w:r>
    </w:p>
    <w:p w14:paraId="031D1122" w14:textId="77777777" w:rsidR="000D07EA" w:rsidRDefault="00BE7C89">
      <w:pPr>
        <w:pStyle w:val="BodyText"/>
        <w:ind w:left="720"/>
      </w:pPr>
      <w:r>
        <w:t xml:space="preserve">Unlimited standard SMS and MMS are only available for personal and ordinary business use and are not to be used for a commercial or non-ordinary purpose as set out in the Fair Go Policy. For further details refer to </w:t>
      </w:r>
      <w:hyperlink r:id="rId612" w:history="1">
        <w:r>
          <w:rPr>
            <w:rStyle w:val="Hyperlink"/>
            <w:i/>
          </w:rPr>
          <w:t>Appendix S</w:t>
        </w:r>
      </w:hyperlink>
      <w:r>
        <w:t>.</w:t>
      </w:r>
    </w:p>
    <w:p w14:paraId="0D2702DF" w14:textId="77777777" w:rsidR="000D07EA" w:rsidRDefault="00BE7C89">
      <w:pPr>
        <w:pStyle w:val="Heading6"/>
        <w:keepNext/>
        <w:ind w:left="0" w:firstLine="0"/>
        <w:rPr>
          <w:snapToGrid w:val="0"/>
        </w:rPr>
      </w:pPr>
      <w:bookmarkStart w:id="1095" w:name="_Toc429127219"/>
      <w:bookmarkStart w:id="1096" w:name="_Toc432586041"/>
      <w:r>
        <w:rPr>
          <w:snapToGrid w:val="0"/>
        </w:rPr>
        <w:t>Optus Travel™ Pack</w:t>
      </w:r>
      <w:bookmarkEnd w:id="1095"/>
      <w:bookmarkEnd w:id="1096"/>
    </w:p>
    <w:p w14:paraId="2CA5DD5D" w14:textId="77777777" w:rsidR="000D07EA" w:rsidRDefault="00BE7C89">
      <w:pPr>
        <w:pStyle w:val="BodyText"/>
        <w:ind w:left="720"/>
        <w:rPr>
          <w:snapToGrid w:val="0"/>
        </w:rPr>
      </w:pPr>
      <w:r>
        <w:rPr>
          <w:snapToGrid w:val="0"/>
        </w:rPr>
        <w:t xml:space="preserve">The </w:t>
      </w:r>
      <w:r>
        <w:t>$130 ($100 Promo)/</w:t>
      </w:r>
      <w:r>
        <w:rPr>
          <w:snapToGrid w:val="0"/>
        </w:rPr>
        <w:t xml:space="preserve">$135 /$135 ($100 Promo) My Plan Business Tech Fund/ ($100 Promo) have up to 10 days of Optus Travel™ Pack for use within each billing month. </w:t>
      </w:r>
      <w:r>
        <w:rPr>
          <w:i/>
          <w:snapToGrid w:val="0"/>
        </w:rPr>
        <w:t>You</w:t>
      </w:r>
      <w:r>
        <w:rPr>
          <w:snapToGrid w:val="0"/>
        </w:rPr>
        <w:t xml:space="preserve"> need to ensure your Optus Travel™ Pack is active by contacting Optus prior to use. Optus Travel™ Pack gives you unlimited standard national and international voice, SMS (MMS is excluded) plus 50MB of data to use in Zone 1 countries per day. For list of countries see</w:t>
      </w:r>
      <w:r>
        <w:rPr>
          <w:b/>
          <w:snapToGrid w:val="0"/>
        </w:rPr>
        <w:t xml:space="preserve"> </w:t>
      </w:r>
      <w:r>
        <w:rPr>
          <w:snapToGrid w:val="0"/>
        </w:rPr>
        <w:t>optus.com.au/travel.</w:t>
      </w:r>
    </w:p>
    <w:p w14:paraId="7229F3AB" w14:textId="77777777" w:rsidR="000D07EA" w:rsidRDefault="00BE7C89">
      <w:pPr>
        <w:pStyle w:val="BodyText"/>
        <w:ind w:left="720"/>
        <w:rPr>
          <w:snapToGrid w:val="0"/>
        </w:rPr>
      </w:pPr>
      <w:r>
        <w:rPr>
          <w:i/>
          <w:snapToGrid w:val="0"/>
        </w:rPr>
        <w:t>You</w:t>
      </w:r>
      <w:r>
        <w:rPr>
          <w:snapToGrid w:val="0"/>
        </w:rPr>
        <w:t xml:space="preserve"> can activate the Optus Travel™ Pack on a day to day basis or multiple days at once. If you activate multiple consecutive days, the data allowance will accumulate, for example activate 5 consecutive days and use 250MB any time over the 5 day period. If you exceed the data limit, standard data roaming charges will apply. Any data provided as part of Optus Travel™ Pack is not shareable and will not form part of any Data Pool. Any unused days of Optus Travel™ Pack are forfeited and cannot be rolled over to the next billing month.</w:t>
      </w:r>
    </w:p>
    <w:p w14:paraId="4E75CF3C" w14:textId="77777777" w:rsidR="000D07EA" w:rsidRDefault="00BE7C89">
      <w:pPr>
        <w:pStyle w:val="BodyText"/>
        <w:ind w:left="720"/>
        <w:rPr>
          <w:snapToGrid w:val="0"/>
        </w:rPr>
      </w:pPr>
      <w:r>
        <w:rPr>
          <w:snapToGrid w:val="0"/>
        </w:rPr>
        <w:t>If you are not in a Zone 1 country you will be charged at standard roaming rates for that country.</w:t>
      </w:r>
    </w:p>
    <w:p w14:paraId="189C0671" w14:textId="77777777" w:rsidR="000D07EA" w:rsidRDefault="00BE7C89">
      <w:pPr>
        <w:pStyle w:val="BodyText"/>
        <w:ind w:left="720"/>
        <w:rPr>
          <w:b/>
        </w:rPr>
      </w:pPr>
      <w:r>
        <w:rPr>
          <w:b/>
        </w:rPr>
        <w:t>Table 1 –Plan Inclusions and Charges</w:t>
      </w:r>
    </w:p>
    <w:tbl>
      <w:tblPr>
        <w:tblW w:w="4632"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2"/>
        <w:gridCol w:w="1566"/>
        <w:gridCol w:w="1550"/>
        <w:gridCol w:w="17"/>
        <w:gridCol w:w="1567"/>
        <w:gridCol w:w="1567"/>
        <w:gridCol w:w="1569"/>
      </w:tblGrid>
      <w:tr w:rsidR="000D07EA" w14:paraId="071D45D4" w14:textId="77777777">
        <w:trPr>
          <w:trHeight w:val="20"/>
          <w:tblHeader/>
        </w:trPr>
        <w:tc>
          <w:tcPr>
            <w:tcW w:w="849" w:type="pct"/>
            <w:shd w:val="clear" w:color="auto" w:fill="auto"/>
          </w:tcPr>
          <w:p w14:paraId="34AFE821" w14:textId="77777777" w:rsidR="000D07EA" w:rsidRDefault="000D07EA">
            <w:pPr>
              <w:pStyle w:val="BodyText"/>
              <w:spacing w:before="100" w:after="100"/>
              <w:rPr>
                <w:szCs w:val="20"/>
              </w:rPr>
            </w:pPr>
          </w:p>
        </w:tc>
        <w:tc>
          <w:tcPr>
            <w:tcW w:w="830" w:type="pct"/>
          </w:tcPr>
          <w:p w14:paraId="5B6913FA" w14:textId="77777777" w:rsidR="000D07EA" w:rsidRDefault="00BE7C89">
            <w:pPr>
              <w:pStyle w:val="BodyText"/>
              <w:spacing w:before="100" w:after="100"/>
              <w:jc w:val="center"/>
              <w:rPr>
                <w:b/>
                <w:szCs w:val="20"/>
              </w:rPr>
            </w:pPr>
            <w:r>
              <w:rPr>
                <w:b/>
                <w:szCs w:val="20"/>
              </w:rPr>
              <w:t>$80 My Plan Business</w:t>
            </w:r>
            <w:r>
              <w:rPr>
                <w:b/>
                <w:snapToGrid w:val="0"/>
                <w:szCs w:val="20"/>
              </w:rPr>
              <w:t xml:space="preserve"> Tech Fund</w:t>
            </w:r>
          </w:p>
        </w:tc>
        <w:tc>
          <w:tcPr>
            <w:tcW w:w="830" w:type="pct"/>
            <w:gridSpan w:val="2"/>
          </w:tcPr>
          <w:p w14:paraId="69303D6D" w14:textId="77777777" w:rsidR="000D07EA" w:rsidRDefault="00BE7C89">
            <w:pPr>
              <w:pStyle w:val="BodyText"/>
              <w:spacing w:before="100" w:after="100"/>
              <w:jc w:val="center"/>
              <w:rPr>
                <w:b/>
                <w:szCs w:val="20"/>
              </w:rPr>
            </w:pPr>
            <w:r>
              <w:rPr>
                <w:b/>
                <w:szCs w:val="20"/>
              </w:rPr>
              <w:t>$100 My Plan Business</w:t>
            </w:r>
            <w:r>
              <w:rPr>
                <w:b/>
                <w:snapToGrid w:val="0"/>
                <w:szCs w:val="20"/>
              </w:rPr>
              <w:t xml:space="preserve"> Tech Fund</w:t>
            </w:r>
          </w:p>
        </w:tc>
        <w:tc>
          <w:tcPr>
            <w:tcW w:w="830" w:type="pct"/>
          </w:tcPr>
          <w:p w14:paraId="7AB1761B" w14:textId="77777777" w:rsidR="000D07EA" w:rsidRDefault="00BE7C89">
            <w:pPr>
              <w:pStyle w:val="BodyText"/>
              <w:spacing w:before="100" w:after="100"/>
              <w:jc w:val="center"/>
              <w:rPr>
                <w:b/>
                <w:szCs w:val="20"/>
              </w:rPr>
            </w:pPr>
            <w:r>
              <w:rPr>
                <w:b/>
                <w:szCs w:val="20"/>
              </w:rPr>
              <w:t>$130 My Plan Business Tech Fund ($100 Promo)</w:t>
            </w:r>
          </w:p>
        </w:tc>
        <w:tc>
          <w:tcPr>
            <w:tcW w:w="830" w:type="pct"/>
          </w:tcPr>
          <w:p w14:paraId="050CDF26" w14:textId="77777777" w:rsidR="000D07EA" w:rsidRDefault="00BE7C89">
            <w:pPr>
              <w:pStyle w:val="BodyText"/>
              <w:spacing w:before="100" w:after="100"/>
              <w:jc w:val="center"/>
              <w:rPr>
                <w:b/>
                <w:szCs w:val="20"/>
              </w:rPr>
            </w:pPr>
            <w:r>
              <w:rPr>
                <w:b/>
                <w:szCs w:val="20"/>
              </w:rPr>
              <w:t>$135 My Plan Business</w:t>
            </w:r>
            <w:r>
              <w:rPr>
                <w:b/>
                <w:snapToGrid w:val="0"/>
                <w:szCs w:val="20"/>
              </w:rPr>
              <w:t xml:space="preserve"> Tech Fund</w:t>
            </w:r>
          </w:p>
        </w:tc>
        <w:tc>
          <w:tcPr>
            <w:tcW w:w="831" w:type="pct"/>
          </w:tcPr>
          <w:p w14:paraId="59D979AA" w14:textId="77777777" w:rsidR="000D07EA" w:rsidRDefault="00BE7C89">
            <w:pPr>
              <w:pStyle w:val="BodyText"/>
              <w:spacing w:before="100" w:after="100"/>
              <w:jc w:val="center"/>
              <w:rPr>
                <w:b/>
                <w:szCs w:val="20"/>
              </w:rPr>
            </w:pPr>
            <w:r>
              <w:rPr>
                <w:b/>
                <w:szCs w:val="20"/>
              </w:rPr>
              <w:t>$135 My Plan Business</w:t>
            </w:r>
            <w:r>
              <w:rPr>
                <w:b/>
                <w:snapToGrid w:val="0"/>
                <w:szCs w:val="20"/>
              </w:rPr>
              <w:t xml:space="preserve"> Tech Fund ($100 Promo)</w:t>
            </w:r>
          </w:p>
        </w:tc>
      </w:tr>
      <w:tr w:rsidR="000D07EA" w14:paraId="6CFD3AAC" w14:textId="77777777">
        <w:trPr>
          <w:trHeight w:val="20"/>
        </w:trPr>
        <w:tc>
          <w:tcPr>
            <w:tcW w:w="849" w:type="pct"/>
            <w:shd w:val="clear" w:color="auto" w:fill="auto"/>
          </w:tcPr>
          <w:p w14:paraId="090C8C0B" w14:textId="77777777" w:rsidR="000D07EA" w:rsidRDefault="00BE7C89">
            <w:pPr>
              <w:pStyle w:val="BodyText"/>
              <w:spacing w:before="100" w:after="100"/>
              <w:rPr>
                <w:szCs w:val="20"/>
              </w:rPr>
            </w:pPr>
            <w:r>
              <w:rPr>
                <w:b/>
                <w:bCs/>
                <w:szCs w:val="20"/>
              </w:rPr>
              <w:t>Minimum Monthly charge</w:t>
            </w:r>
          </w:p>
        </w:tc>
        <w:tc>
          <w:tcPr>
            <w:tcW w:w="830" w:type="pct"/>
            <w:vAlign w:val="center"/>
          </w:tcPr>
          <w:p w14:paraId="4165340C" w14:textId="77777777" w:rsidR="000D07EA" w:rsidRDefault="00BE7C89">
            <w:pPr>
              <w:pStyle w:val="BodyText"/>
              <w:spacing w:before="100" w:after="100"/>
              <w:jc w:val="center"/>
              <w:rPr>
                <w:szCs w:val="20"/>
              </w:rPr>
            </w:pPr>
            <w:r>
              <w:rPr>
                <w:szCs w:val="20"/>
              </w:rPr>
              <w:t>$80</w:t>
            </w:r>
          </w:p>
        </w:tc>
        <w:tc>
          <w:tcPr>
            <w:tcW w:w="830" w:type="pct"/>
            <w:gridSpan w:val="2"/>
            <w:vAlign w:val="center"/>
          </w:tcPr>
          <w:p w14:paraId="628A9716" w14:textId="77777777" w:rsidR="000D07EA" w:rsidRDefault="00BE7C89">
            <w:pPr>
              <w:pStyle w:val="BodyText"/>
              <w:spacing w:before="100" w:after="100"/>
              <w:jc w:val="center"/>
              <w:rPr>
                <w:szCs w:val="20"/>
              </w:rPr>
            </w:pPr>
            <w:r>
              <w:rPr>
                <w:szCs w:val="20"/>
              </w:rPr>
              <w:t>$100</w:t>
            </w:r>
          </w:p>
        </w:tc>
        <w:tc>
          <w:tcPr>
            <w:tcW w:w="830" w:type="pct"/>
            <w:vAlign w:val="center"/>
          </w:tcPr>
          <w:p w14:paraId="79D301F4" w14:textId="77777777" w:rsidR="000D07EA" w:rsidRDefault="00BE7C89">
            <w:pPr>
              <w:pStyle w:val="BodyText"/>
              <w:spacing w:before="100" w:after="100"/>
              <w:jc w:val="center"/>
              <w:rPr>
                <w:szCs w:val="20"/>
              </w:rPr>
            </w:pPr>
            <w:r>
              <w:rPr>
                <w:szCs w:val="20"/>
              </w:rPr>
              <w:t>$100</w:t>
            </w:r>
          </w:p>
        </w:tc>
        <w:tc>
          <w:tcPr>
            <w:tcW w:w="830" w:type="pct"/>
            <w:vAlign w:val="center"/>
          </w:tcPr>
          <w:p w14:paraId="2EFEDB1D" w14:textId="77777777" w:rsidR="000D07EA" w:rsidRDefault="00BE7C89">
            <w:pPr>
              <w:pStyle w:val="BodyText"/>
              <w:spacing w:before="100" w:after="100"/>
              <w:jc w:val="center"/>
              <w:rPr>
                <w:szCs w:val="20"/>
              </w:rPr>
            </w:pPr>
            <w:r>
              <w:rPr>
                <w:szCs w:val="20"/>
              </w:rPr>
              <w:t>$135</w:t>
            </w:r>
          </w:p>
        </w:tc>
        <w:tc>
          <w:tcPr>
            <w:tcW w:w="831" w:type="pct"/>
            <w:vAlign w:val="center"/>
          </w:tcPr>
          <w:p w14:paraId="0228A98D" w14:textId="77777777" w:rsidR="000D07EA" w:rsidRDefault="00BE7C89">
            <w:pPr>
              <w:pStyle w:val="BodyText"/>
              <w:spacing w:before="100" w:after="100"/>
              <w:jc w:val="center"/>
              <w:rPr>
                <w:szCs w:val="20"/>
              </w:rPr>
            </w:pPr>
            <w:r>
              <w:rPr>
                <w:szCs w:val="20"/>
              </w:rPr>
              <w:t>$100</w:t>
            </w:r>
          </w:p>
        </w:tc>
      </w:tr>
      <w:tr w:rsidR="000D07EA" w14:paraId="5B14476B" w14:textId="77777777">
        <w:trPr>
          <w:trHeight w:val="20"/>
        </w:trPr>
        <w:tc>
          <w:tcPr>
            <w:tcW w:w="849" w:type="pct"/>
            <w:shd w:val="clear" w:color="auto" w:fill="auto"/>
          </w:tcPr>
          <w:p w14:paraId="49C0B805" w14:textId="77777777" w:rsidR="000D07EA" w:rsidRDefault="00BE7C89">
            <w:pPr>
              <w:pStyle w:val="BodyText"/>
              <w:spacing w:before="100" w:after="100"/>
              <w:rPr>
                <w:szCs w:val="20"/>
              </w:rPr>
            </w:pPr>
            <w:r>
              <w:rPr>
                <w:b/>
                <w:bCs/>
                <w:szCs w:val="20"/>
              </w:rPr>
              <w:t>Included Data</w:t>
            </w:r>
          </w:p>
        </w:tc>
        <w:tc>
          <w:tcPr>
            <w:tcW w:w="830" w:type="pct"/>
            <w:vAlign w:val="center"/>
          </w:tcPr>
          <w:p w14:paraId="01607901" w14:textId="77777777" w:rsidR="000D07EA" w:rsidRDefault="00BE7C89">
            <w:pPr>
              <w:pStyle w:val="BodyText"/>
              <w:spacing w:before="100" w:after="100"/>
              <w:jc w:val="center"/>
              <w:rPr>
                <w:szCs w:val="20"/>
              </w:rPr>
            </w:pPr>
            <w:r>
              <w:rPr>
                <w:szCs w:val="20"/>
              </w:rPr>
              <w:t>8GB</w:t>
            </w:r>
          </w:p>
        </w:tc>
        <w:tc>
          <w:tcPr>
            <w:tcW w:w="830" w:type="pct"/>
            <w:gridSpan w:val="2"/>
            <w:vAlign w:val="center"/>
          </w:tcPr>
          <w:p w14:paraId="6D0EBF07" w14:textId="77777777" w:rsidR="000D07EA" w:rsidRDefault="00BE7C89">
            <w:pPr>
              <w:pStyle w:val="BodyText"/>
              <w:spacing w:before="100" w:after="100"/>
              <w:jc w:val="center"/>
              <w:rPr>
                <w:szCs w:val="20"/>
              </w:rPr>
            </w:pPr>
            <w:r>
              <w:rPr>
                <w:szCs w:val="20"/>
              </w:rPr>
              <w:t>12GB</w:t>
            </w:r>
          </w:p>
        </w:tc>
        <w:tc>
          <w:tcPr>
            <w:tcW w:w="830" w:type="pct"/>
            <w:vAlign w:val="center"/>
          </w:tcPr>
          <w:p w14:paraId="69C35B10" w14:textId="77777777" w:rsidR="000D07EA" w:rsidRDefault="00BE7C89">
            <w:pPr>
              <w:pStyle w:val="BodyText"/>
              <w:spacing w:before="100" w:after="100"/>
              <w:jc w:val="center"/>
              <w:rPr>
                <w:szCs w:val="20"/>
              </w:rPr>
            </w:pPr>
            <w:r>
              <w:rPr>
                <w:szCs w:val="20"/>
              </w:rPr>
              <w:t>18GB</w:t>
            </w:r>
          </w:p>
        </w:tc>
        <w:tc>
          <w:tcPr>
            <w:tcW w:w="830" w:type="pct"/>
            <w:vAlign w:val="center"/>
          </w:tcPr>
          <w:p w14:paraId="0689735F" w14:textId="77777777" w:rsidR="000D07EA" w:rsidRDefault="00BE7C89">
            <w:pPr>
              <w:pStyle w:val="BodyText"/>
              <w:spacing w:before="100" w:after="100"/>
              <w:jc w:val="center"/>
              <w:rPr>
                <w:szCs w:val="20"/>
              </w:rPr>
            </w:pPr>
            <w:r>
              <w:rPr>
                <w:szCs w:val="20"/>
              </w:rPr>
              <w:t>20GB</w:t>
            </w:r>
          </w:p>
        </w:tc>
        <w:tc>
          <w:tcPr>
            <w:tcW w:w="831" w:type="pct"/>
            <w:vAlign w:val="center"/>
          </w:tcPr>
          <w:p w14:paraId="621BAEF8" w14:textId="77777777" w:rsidR="000D07EA" w:rsidRDefault="00BE7C89">
            <w:pPr>
              <w:pStyle w:val="BodyText"/>
              <w:spacing w:before="100" w:after="100"/>
              <w:jc w:val="center"/>
              <w:rPr>
                <w:szCs w:val="20"/>
              </w:rPr>
            </w:pPr>
            <w:r>
              <w:rPr>
                <w:szCs w:val="20"/>
              </w:rPr>
              <w:t>20GB</w:t>
            </w:r>
          </w:p>
        </w:tc>
      </w:tr>
      <w:tr w:rsidR="000D07EA" w14:paraId="307A79C4" w14:textId="77777777">
        <w:trPr>
          <w:trHeight w:val="20"/>
        </w:trPr>
        <w:tc>
          <w:tcPr>
            <w:tcW w:w="2500" w:type="pct"/>
            <w:gridSpan w:val="3"/>
            <w:shd w:val="clear" w:color="auto" w:fill="auto"/>
          </w:tcPr>
          <w:p w14:paraId="3404C038" w14:textId="77777777" w:rsidR="000D07EA" w:rsidRDefault="00BE7C89">
            <w:pPr>
              <w:pStyle w:val="BodyText"/>
              <w:spacing w:before="100" w:after="100"/>
              <w:rPr>
                <w:b/>
                <w:bCs/>
                <w:szCs w:val="20"/>
              </w:rPr>
            </w:pPr>
            <w:r>
              <w:rPr>
                <w:b/>
                <w:bCs/>
                <w:szCs w:val="20"/>
              </w:rPr>
              <w:t>Additional Data</w:t>
            </w:r>
          </w:p>
        </w:tc>
        <w:tc>
          <w:tcPr>
            <w:tcW w:w="2500" w:type="pct"/>
            <w:gridSpan w:val="4"/>
            <w:vAlign w:val="center"/>
          </w:tcPr>
          <w:p w14:paraId="354EF0D9" w14:textId="77777777" w:rsidR="000D07EA" w:rsidRDefault="00BE7C89">
            <w:pPr>
              <w:pStyle w:val="BodyText"/>
              <w:spacing w:before="100" w:after="100"/>
              <w:jc w:val="center"/>
              <w:rPr>
                <w:szCs w:val="20"/>
              </w:rPr>
            </w:pPr>
            <w:r>
              <w:rPr>
                <w:szCs w:val="20"/>
              </w:rPr>
              <w:t>Additional Data $10 per 1GB</w:t>
            </w:r>
          </w:p>
        </w:tc>
      </w:tr>
      <w:tr w:rsidR="000D07EA" w14:paraId="6E50B40F" w14:textId="77777777">
        <w:trPr>
          <w:trHeight w:val="20"/>
        </w:trPr>
        <w:tc>
          <w:tcPr>
            <w:tcW w:w="849" w:type="pct"/>
            <w:shd w:val="clear" w:color="auto" w:fill="auto"/>
          </w:tcPr>
          <w:p w14:paraId="659E323C" w14:textId="77777777" w:rsidR="000D07EA" w:rsidRDefault="00BE7C89">
            <w:pPr>
              <w:pStyle w:val="BodyText"/>
              <w:spacing w:before="100" w:after="100"/>
              <w:rPr>
                <w:b/>
                <w:bCs/>
                <w:szCs w:val="20"/>
              </w:rPr>
            </w:pPr>
            <w:r>
              <w:rPr>
                <w:b/>
                <w:bCs/>
                <w:szCs w:val="20"/>
              </w:rPr>
              <w:t xml:space="preserve">Included Minutes </w:t>
            </w:r>
          </w:p>
          <w:p w14:paraId="00FA266E" w14:textId="77777777" w:rsidR="000D07EA" w:rsidRDefault="00BE7C89">
            <w:pPr>
              <w:pStyle w:val="BodyText"/>
              <w:spacing w:before="100" w:after="100"/>
              <w:rPr>
                <w:szCs w:val="20"/>
              </w:rPr>
            </w:pPr>
            <w:r>
              <w:rPr>
                <w:szCs w:val="20"/>
              </w:rPr>
              <w:t>for standard national calls to landlines and mobiles, 1300 numbers and voicemail, within Australia</w:t>
            </w:r>
          </w:p>
        </w:tc>
        <w:tc>
          <w:tcPr>
            <w:tcW w:w="830" w:type="pct"/>
            <w:vAlign w:val="center"/>
          </w:tcPr>
          <w:p w14:paraId="17A0FC64" w14:textId="77777777" w:rsidR="000D07EA" w:rsidRDefault="00BE7C89">
            <w:pPr>
              <w:pStyle w:val="BodyText"/>
              <w:spacing w:before="100" w:after="100"/>
              <w:jc w:val="center"/>
              <w:rPr>
                <w:szCs w:val="20"/>
              </w:rPr>
            </w:pPr>
            <w:r>
              <w:rPr>
                <w:szCs w:val="20"/>
              </w:rPr>
              <w:t>Unlimited</w:t>
            </w:r>
          </w:p>
        </w:tc>
        <w:tc>
          <w:tcPr>
            <w:tcW w:w="830" w:type="pct"/>
            <w:gridSpan w:val="2"/>
            <w:vAlign w:val="center"/>
          </w:tcPr>
          <w:p w14:paraId="15FF452D" w14:textId="77777777" w:rsidR="000D07EA" w:rsidRDefault="00BE7C89">
            <w:pPr>
              <w:pStyle w:val="BodyText"/>
              <w:spacing w:before="100" w:after="100"/>
              <w:jc w:val="center"/>
              <w:rPr>
                <w:szCs w:val="20"/>
              </w:rPr>
            </w:pPr>
            <w:r>
              <w:rPr>
                <w:szCs w:val="20"/>
              </w:rPr>
              <w:t>Unlimited</w:t>
            </w:r>
          </w:p>
        </w:tc>
        <w:tc>
          <w:tcPr>
            <w:tcW w:w="830" w:type="pct"/>
            <w:vAlign w:val="center"/>
          </w:tcPr>
          <w:p w14:paraId="7D0D7AD7" w14:textId="77777777" w:rsidR="000D07EA" w:rsidRDefault="00BE7C89">
            <w:pPr>
              <w:pStyle w:val="BodyText"/>
              <w:spacing w:before="100" w:after="100"/>
              <w:jc w:val="center"/>
              <w:rPr>
                <w:szCs w:val="20"/>
              </w:rPr>
            </w:pPr>
            <w:r>
              <w:rPr>
                <w:szCs w:val="20"/>
              </w:rPr>
              <w:t>Unlimited</w:t>
            </w:r>
          </w:p>
        </w:tc>
        <w:tc>
          <w:tcPr>
            <w:tcW w:w="830" w:type="pct"/>
            <w:vAlign w:val="center"/>
          </w:tcPr>
          <w:p w14:paraId="092E881A" w14:textId="77777777" w:rsidR="000D07EA" w:rsidRDefault="00BE7C89">
            <w:pPr>
              <w:pStyle w:val="BodyText"/>
              <w:spacing w:before="100" w:after="100"/>
              <w:jc w:val="center"/>
              <w:rPr>
                <w:szCs w:val="20"/>
              </w:rPr>
            </w:pPr>
            <w:r>
              <w:rPr>
                <w:szCs w:val="20"/>
              </w:rPr>
              <w:t>Unlimited</w:t>
            </w:r>
          </w:p>
        </w:tc>
        <w:tc>
          <w:tcPr>
            <w:tcW w:w="831" w:type="pct"/>
            <w:vAlign w:val="center"/>
          </w:tcPr>
          <w:p w14:paraId="5927FE39" w14:textId="77777777" w:rsidR="000D07EA" w:rsidRDefault="00BE7C89">
            <w:pPr>
              <w:pStyle w:val="BodyText"/>
              <w:spacing w:before="100" w:after="100"/>
              <w:jc w:val="center"/>
              <w:rPr>
                <w:szCs w:val="20"/>
              </w:rPr>
            </w:pPr>
            <w:r>
              <w:rPr>
                <w:szCs w:val="20"/>
              </w:rPr>
              <w:t>Unlimited</w:t>
            </w:r>
          </w:p>
        </w:tc>
      </w:tr>
      <w:tr w:rsidR="000D07EA" w14:paraId="6EE2D856" w14:textId="77777777">
        <w:trPr>
          <w:trHeight w:val="20"/>
        </w:trPr>
        <w:tc>
          <w:tcPr>
            <w:tcW w:w="849" w:type="pct"/>
            <w:shd w:val="clear" w:color="auto" w:fill="auto"/>
          </w:tcPr>
          <w:p w14:paraId="29189E1C" w14:textId="77777777" w:rsidR="000D07EA" w:rsidRDefault="00BE7C89">
            <w:pPr>
              <w:pStyle w:val="BodyText"/>
              <w:spacing w:before="100" w:after="100"/>
              <w:rPr>
                <w:b/>
                <w:bCs/>
                <w:szCs w:val="20"/>
              </w:rPr>
            </w:pPr>
            <w:r>
              <w:rPr>
                <w:b/>
                <w:bCs/>
                <w:szCs w:val="20"/>
              </w:rPr>
              <w:t>Included International Minutes</w:t>
            </w:r>
          </w:p>
          <w:p w14:paraId="307658FC" w14:textId="77777777" w:rsidR="000D07EA" w:rsidRDefault="00BE7C89">
            <w:pPr>
              <w:pStyle w:val="BodyText"/>
              <w:spacing w:before="100" w:after="100"/>
              <w:rPr>
                <w:szCs w:val="20"/>
              </w:rPr>
            </w:pPr>
            <w:r>
              <w:rPr>
                <w:szCs w:val="20"/>
              </w:rPr>
              <w:lastRenderedPageBreak/>
              <w:t>Standard international calls to landlines and mobiles</w:t>
            </w:r>
          </w:p>
          <w:p w14:paraId="474099F5" w14:textId="77777777" w:rsidR="000D07EA" w:rsidRDefault="00BE7C89">
            <w:pPr>
              <w:pStyle w:val="BodyText"/>
              <w:spacing w:before="100" w:after="100"/>
              <w:rPr>
                <w:b/>
                <w:bCs/>
                <w:szCs w:val="20"/>
              </w:rPr>
            </w:pPr>
            <w:r>
              <w:rPr>
                <w:szCs w:val="20"/>
              </w:rPr>
              <w:t xml:space="preserve">to selected countries </w:t>
            </w:r>
          </w:p>
        </w:tc>
        <w:tc>
          <w:tcPr>
            <w:tcW w:w="830" w:type="pct"/>
            <w:vAlign w:val="center"/>
          </w:tcPr>
          <w:p w14:paraId="145F20C0" w14:textId="77777777" w:rsidR="000D07EA" w:rsidRDefault="00BE7C89">
            <w:pPr>
              <w:pStyle w:val="BodyText"/>
              <w:spacing w:before="100" w:after="100"/>
              <w:jc w:val="center"/>
              <w:rPr>
                <w:bCs/>
                <w:szCs w:val="20"/>
              </w:rPr>
            </w:pPr>
            <w:r>
              <w:rPr>
                <w:bCs/>
                <w:szCs w:val="20"/>
              </w:rPr>
              <w:lastRenderedPageBreak/>
              <w:t>Up to 300 mins</w:t>
            </w:r>
          </w:p>
        </w:tc>
        <w:tc>
          <w:tcPr>
            <w:tcW w:w="830" w:type="pct"/>
            <w:gridSpan w:val="2"/>
            <w:vAlign w:val="center"/>
          </w:tcPr>
          <w:p w14:paraId="207829F0" w14:textId="77777777" w:rsidR="000D07EA" w:rsidRDefault="00BE7C89">
            <w:pPr>
              <w:pStyle w:val="BodyText"/>
              <w:spacing w:before="100" w:after="100"/>
              <w:jc w:val="center"/>
              <w:rPr>
                <w:bCs/>
                <w:szCs w:val="20"/>
              </w:rPr>
            </w:pPr>
            <w:r>
              <w:rPr>
                <w:bCs/>
                <w:szCs w:val="20"/>
              </w:rPr>
              <w:t>Up to 400 mins</w:t>
            </w:r>
          </w:p>
        </w:tc>
        <w:tc>
          <w:tcPr>
            <w:tcW w:w="830" w:type="pct"/>
            <w:vAlign w:val="center"/>
          </w:tcPr>
          <w:p w14:paraId="3CED9AE7" w14:textId="77777777" w:rsidR="000D07EA" w:rsidRDefault="00BE7C89">
            <w:pPr>
              <w:pStyle w:val="BodyText"/>
              <w:spacing w:before="100" w:after="100"/>
              <w:jc w:val="center"/>
              <w:rPr>
                <w:bCs/>
                <w:szCs w:val="20"/>
              </w:rPr>
            </w:pPr>
            <w:r>
              <w:rPr>
                <w:bCs/>
                <w:szCs w:val="20"/>
              </w:rPr>
              <w:t>Unlimited</w:t>
            </w:r>
          </w:p>
        </w:tc>
        <w:tc>
          <w:tcPr>
            <w:tcW w:w="830" w:type="pct"/>
            <w:vAlign w:val="center"/>
          </w:tcPr>
          <w:p w14:paraId="025C6B09" w14:textId="77777777" w:rsidR="000D07EA" w:rsidRDefault="00BE7C89">
            <w:pPr>
              <w:pStyle w:val="BodyText"/>
              <w:spacing w:before="100" w:after="100"/>
              <w:jc w:val="center"/>
              <w:rPr>
                <w:bCs/>
                <w:szCs w:val="20"/>
              </w:rPr>
            </w:pPr>
            <w:r>
              <w:rPr>
                <w:bCs/>
                <w:szCs w:val="20"/>
              </w:rPr>
              <w:t>Up to 500 mins</w:t>
            </w:r>
          </w:p>
        </w:tc>
        <w:tc>
          <w:tcPr>
            <w:tcW w:w="831" w:type="pct"/>
            <w:vAlign w:val="center"/>
          </w:tcPr>
          <w:p w14:paraId="2E82E6F4" w14:textId="77777777" w:rsidR="000D07EA" w:rsidRDefault="00BE7C89">
            <w:pPr>
              <w:pStyle w:val="BodyText"/>
              <w:spacing w:before="100" w:after="100"/>
              <w:jc w:val="center"/>
              <w:rPr>
                <w:bCs/>
                <w:szCs w:val="20"/>
              </w:rPr>
            </w:pPr>
            <w:r>
              <w:rPr>
                <w:bCs/>
                <w:szCs w:val="20"/>
              </w:rPr>
              <w:t>Up to 500 mins</w:t>
            </w:r>
          </w:p>
        </w:tc>
      </w:tr>
      <w:tr w:rsidR="000D07EA" w14:paraId="44F2CC62" w14:textId="77777777">
        <w:trPr>
          <w:trHeight w:val="20"/>
        </w:trPr>
        <w:tc>
          <w:tcPr>
            <w:tcW w:w="849" w:type="pct"/>
            <w:shd w:val="clear" w:color="auto" w:fill="auto"/>
          </w:tcPr>
          <w:p w14:paraId="0F9246D8" w14:textId="77777777" w:rsidR="000D07EA" w:rsidRDefault="00BE7C89">
            <w:pPr>
              <w:pStyle w:val="BodyText"/>
              <w:spacing w:before="100" w:after="100"/>
              <w:rPr>
                <w:szCs w:val="20"/>
              </w:rPr>
            </w:pPr>
            <w:r>
              <w:rPr>
                <w:b/>
                <w:bCs/>
                <w:szCs w:val="20"/>
              </w:rPr>
              <w:t xml:space="preserve">Standard national SMS </w:t>
            </w:r>
            <w:r>
              <w:rPr>
                <w:szCs w:val="20"/>
              </w:rPr>
              <w:t>(per SMS of up to 160 standard characters)</w:t>
            </w:r>
          </w:p>
        </w:tc>
        <w:tc>
          <w:tcPr>
            <w:tcW w:w="830" w:type="pct"/>
            <w:vAlign w:val="center"/>
          </w:tcPr>
          <w:p w14:paraId="79B479A6" w14:textId="77777777" w:rsidR="000D07EA" w:rsidRDefault="00BE7C89">
            <w:pPr>
              <w:pStyle w:val="BodyText"/>
              <w:spacing w:before="100" w:after="100"/>
              <w:jc w:val="center"/>
              <w:rPr>
                <w:szCs w:val="20"/>
              </w:rPr>
            </w:pPr>
            <w:r>
              <w:rPr>
                <w:szCs w:val="20"/>
              </w:rPr>
              <w:t>Unlimited</w:t>
            </w:r>
          </w:p>
        </w:tc>
        <w:tc>
          <w:tcPr>
            <w:tcW w:w="830" w:type="pct"/>
            <w:gridSpan w:val="2"/>
            <w:vAlign w:val="center"/>
          </w:tcPr>
          <w:p w14:paraId="1BABC374" w14:textId="77777777" w:rsidR="000D07EA" w:rsidRDefault="00BE7C89">
            <w:pPr>
              <w:pStyle w:val="BodyText"/>
              <w:spacing w:before="100" w:after="100"/>
              <w:jc w:val="center"/>
              <w:rPr>
                <w:szCs w:val="20"/>
              </w:rPr>
            </w:pPr>
            <w:r>
              <w:rPr>
                <w:szCs w:val="20"/>
              </w:rPr>
              <w:t>Unlimited</w:t>
            </w:r>
          </w:p>
        </w:tc>
        <w:tc>
          <w:tcPr>
            <w:tcW w:w="830" w:type="pct"/>
            <w:vAlign w:val="center"/>
          </w:tcPr>
          <w:p w14:paraId="2775ED38" w14:textId="77777777" w:rsidR="000D07EA" w:rsidRDefault="00BE7C89">
            <w:pPr>
              <w:pStyle w:val="BodyText"/>
              <w:spacing w:before="100" w:after="100"/>
              <w:jc w:val="center"/>
              <w:rPr>
                <w:szCs w:val="20"/>
              </w:rPr>
            </w:pPr>
            <w:r>
              <w:rPr>
                <w:szCs w:val="20"/>
              </w:rPr>
              <w:t>Unlimited</w:t>
            </w:r>
          </w:p>
        </w:tc>
        <w:tc>
          <w:tcPr>
            <w:tcW w:w="830" w:type="pct"/>
            <w:vAlign w:val="center"/>
          </w:tcPr>
          <w:p w14:paraId="721A3A08" w14:textId="77777777" w:rsidR="000D07EA" w:rsidRDefault="00BE7C89">
            <w:pPr>
              <w:pStyle w:val="BodyText"/>
              <w:spacing w:before="100" w:after="100"/>
              <w:jc w:val="center"/>
              <w:rPr>
                <w:szCs w:val="20"/>
              </w:rPr>
            </w:pPr>
            <w:r>
              <w:rPr>
                <w:szCs w:val="20"/>
              </w:rPr>
              <w:t>Unlimited</w:t>
            </w:r>
          </w:p>
        </w:tc>
        <w:tc>
          <w:tcPr>
            <w:tcW w:w="831" w:type="pct"/>
            <w:vAlign w:val="center"/>
          </w:tcPr>
          <w:p w14:paraId="73314A0D" w14:textId="77777777" w:rsidR="000D07EA" w:rsidRDefault="00BE7C89">
            <w:pPr>
              <w:pStyle w:val="BodyText"/>
              <w:spacing w:before="100" w:after="100"/>
              <w:jc w:val="center"/>
              <w:rPr>
                <w:szCs w:val="20"/>
              </w:rPr>
            </w:pPr>
            <w:r>
              <w:rPr>
                <w:szCs w:val="20"/>
              </w:rPr>
              <w:t>Unlimited</w:t>
            </w:r>
          </w:p>
        </w:tc>
      </w:tr>
      <w:tr w:rsidR="000D07EA" w14:paraId="47BA3A6B" w14:textId="77777777">
        <w:trPr>
          <w:trHeight w:val="20"/>
        </w:trPr>
        <w:tc>
          <w:tcPr>
            <w:tcW w:w="849" w:type="pct"/>
            <w:shd w:val="clear" w:color="auto" w:fill="auto"/>
          </w:tcPr>
          <w:p w14:paraId="3197A897" w14:textId="77777777" w:rsidR="000D07EA" w:rsidRDefault="00BE7C89">
            <w:pPr>
              <w:pStyle w:val="BodyText"/>
              <w:keepNext/>
              <w:keepLines/>
              <w:spacing w:before="100" w:after="100"/>
              <w:rPr>
                <w:b/>
                <w:bCs/>
                <w:szCs w:val="20"/>
              </w:rPr>
            </w:pPr>
            <w:r>
              <w:rPr>
                <w:b/>
                <w:bCs/>
                <w:szCs w:val="20"/>
              </w:rPr>
              <w:t xml:space="preserve">Standard national MMS </w:t>
            </w:r>
            <w:r>
              <w:rPr>
                <w:szCs w:val="20"/>
              </w:rPr>
              <w:t>(per message)</w:t>
            </w:r>
          </w:p>
        </w:tc>
        <w:tc>
          <w:tcPr>
            <w:tcW w:w="830" w:type="pct"/>
            <w:vAlign w:val="center"/>
          </w:tcPr>
          <w:p w14:paraId="222B6C4B" w14:textId="77777777" w:rsidR="000D07EA" w:rsidRDefault="00BE7C89">
            <w:pPr>
              <w:pStyle w:val="BodyText"/>
              <w:keepNext/>
              <w:keepLines/>
              <w:spacing w:before="100" w:after="100"/>
              <w:jc w:val="center"/>
              <w:rPr>
                <w:szCs w:val="20"/>
              </w:rPr>
            </w:pPr>
            <w:r>
              <w:rPr>
                <w:szCs w:val="20"/>
              </w:rPr>
              <w:t>Unlimited</w:t>
            </w:r>
          </w:p>
        </w:tc>
        <w:tc>
          <w:tcPr>
            <w:tcW w:w="830" w:type="pct"/>
            <w:gridSpan w:val="2"/>
            <w:vAlign w:val="center"/>
          </w:tcPr>
          <w:p w14:paraId="76E63F00" w14:textId="77777777" w:rsidR="000D07EA" w:rsidRDefault="00BE7C89">
            <w:pPr>
              <w:pStyle w:val="BodyText"/>
              <w:keepNext/>
              <w:keepLines/>
              <w:spacing w:before="100" w:after="100"/>
              <w:jc w:val="center"/>
              <w:rPr>
                <w:szCs w:val="20"/>
              </w:rPr>
            </w:pPr>
            <w:r>
              <w:rPr>
                <w:szCs w:val="20"/>
              </w:rPr>
              <w:t>Unlimited</w:t>
            </w:r>
          </w:p>
        </w:tc>
        <w:tc>
          <w:tcPr>
            <w:tcW w:w="830" w:type="pct"/>
            <w:vAlign w:val="center"/>
          </w:tcPr>
          <w:p w14:paraId="7A0BE752" w14:textId="77777777" w:rsidR="000D07EA" w:rsidRDefault="00BE7C89">
            <w:pPr>
              <w:pStyle w:val="BodyText"/>
              <w:keepNext/>
              <w:keepLines/>
              <w:spacing w:before="100" w:after="100"/>
              <w:jc w:val="center"/>
              <w:rPr>
                <w:szCs w:val="20"/>
              </w:rPr>
            </w:pPr>
            <w:r>
              <w:rPr>
                <w:szCs w:val="20"/>
              </w:rPr>
              <w:t>Unlimited</w:t>
            </w:r>
          </w:p>
        </w:tc>
        <w:tc>
          <w:tcPr>
            <w:tcW w:w="830" w:type="pct"/>
            <w:vAlign w:val="center"/>
          </w:tcPr>
          <w:p w14:paraId="35B62C9A" w14:textId="77777777" w:rsidR="000D07EA" w:rsidRDefault="00BE7C89">
            <w:pPr>
              <w:pStyle w:val="BodyText"/>
              <w:keepNext/>
              <w:keepLines/>
              <w:spacing w:before="100" w:after="100"/>
              <w:jc w:val="center"/>
              <w:rPr>
                <w:szCs w:val="20"/>
              </w:rPr>
            </w:pPr>
            <w:r>
              <w:rPr>
                <w:szCs w:val="20"/>
              </w:rPr>
              <w:t>Unlimited</w:t>
            </w:r>
          </w:p>
        </w:tc>
        <w:tc>
          <w:tcPr>
            <w:tcW w:w="831" w:type="pct"/>
            <w:vAlign w:val="center"/>
          </w:tcPr>
          <w:p w14:paraId="28D9D482" w14:textId="77777777" w:rsidR="000D07EA" w:rsidRDefault="00BE7C89">
            <w:pPr>
              <w:pStyle w:val="BodyText"/>
              <w:keepNext/>
              <w:keepLines/>
              <w:spacing w:before="100" w:after="100"/>
              <w:jc w:val="center"/>
              <w:rPr>
                <w:szCs w:val="20"/>
              </w:rPr>
            </w:pPr>
            <w:r>
              <w:rPr>
                <w:szCs w:val="20"/>
              </w:rPr>
              <w:t>Unlimited</w:t>
            </w:r>
          </w:p>
        </w:tc>
      </w:tr>
      <w:tr w:rsidR="000D07EA" w14:paraId="132A7541" w14:textId="77777777">
        <w:trPr>
          <w:trHeight w:val="20"/>
        </w:trPr>
        <w:tc>
          <w:tcPr>
            <w:tcW w:w="849" w:type="pct"/>
            <w:shd w:val="clear" w:color="auto" w:fill="auto"/>
          </w:tcPr>
          <w:p w14:paraId="4E6007BE" w14:textId="77777777" w:rsidR="000D07EA" w:rsidRDefault="00BE7C89">
            <w:pPr>
              <w:pStyle w:val="BodyText"/>
              <w:spacing w:before="100" w:after="100"/>
              <w:rPr>
                <w:b/>
                <w:bCs/>
                <w:szCs w:val="20"/>
              </w:rPr>
            </w:pPr>
            <w:r>
              <w:rPr>
                <w:b/>
                <w:bCs/>
                <w:szCs w:val="20"/>
              </w:rPr>
              <w:t xml:space="preserve">Standard international SMS </w:t>
            </w:r>
            <w:r>
              <w:rPr>
                <w:szCs w:val="20"/>
              </w:rPr>
              <w:t>(per SMS of up to 160 standard characters to selected countries)</w:t>
            </w:r>
          </w:p>
        </w:tc>
        <w:tc>
          <w:tcPr>
            <w:tcW w:w="830" w:type="pct"/>
            <w:vAlign w:val="center"/>
          </w:tcPr>
          <w:p w14:paraId="5515DAF0" w14:textId="77777777" w:rsidR="000D07EA" w:rsidRDefault="00BE7C89">
            <w:pPr>
              <w:pStyle w:val="BodyText"/>
              <w:spacing w:before="100" w:after="100"/>
              <w:jc w:val="center"/>
              <w:rPr>
                <w:szCs w:val="20"/>
              </w:rPr>
            </w:pPr>
            <w:r>
              <w:rPr>
                <w:szCs w:val="20"/>
              </w:rPr>
              <w:t>Unlimited</w:t>
            </w:r>
          </w:p>
        </w:tc>
        <w:tc>
          <w:tcPr>
            <w:tcW w:w="830" w:type="pct"/>
            <w:gridSpan w:val="2"/>
            <w:vAlign w:val="center"/>
          </w:tcPr>
          <w:p w14:paraId="427D1E00" w14:textId="77777777" w:rsidR="000D07EA" w:rsidRDefault="00BE7C89">
            <w:pPr>
              <w:pStyle w:val="BodyText"/>
              <w:spacing w:before="100" w:after="100"/>
              <w:jc w:val="center"/>
              <w:rPr>
                <w:szCs w:val="20"/>
              </w:rPr>
            </w:pPr>
            <w:r>
              <w:rPr>
                <w:szCs w:val="20"/>
              </w:rPr>
              <w:t>Unlimited</w:t>
            </w:r>
          </w:p>
        </w:tc>
        <w:tc>
          <w:tcPr>
            <w:tcW w:w="830" w:type="pct"/>
            <w:vAlign w:val="center"/>
          </w:tcPr>
          <w:p w14:paraId="54F4C6A8" w14:textId="77777777" w:rsidR="000D07EA" w:rsidRDefault="00BE7C89">
            <w:pPr>
              <w:pStyle w:val="BodyText"/>
              <w:spacing w:before="100" w:after="100"/>
              <w:jc w:val="center"/>
              <w:rPr>
                <w:szCs w:val="20"/>
              </w:rPr>
            </w:pPr>
            <w:r>
              <w:rPr>
                <w:szCs w:val="20"/>
              </w:rPr>
              <w:t>Unlimited</w:t>
            </w:r>
          </w:p>
        </w:tc>
        <w:tc>
          <w:tcPr>
            <w:tcW w:w="830" w:type="pct"/>
            <w:vAlign w:val="center"/>
          </w:tcPr>
          <w:p w14:paraId="4D760102" w14:textId="77777777" w:rsidR="000D07EA" w:rsidRDefault="00BE7C89">
            <w:pPr>
              <w:pStyle w:val="BodyText"/>
              <w:spacing w:before="100" w:after="100"/>
              <w:jc w:val="center"/>
              <w:rPr>
                <w:szCs w:val="20"/>
              </w:rPr>
            </w:pPr>
            <w:r>
              <w:rPr>
                <w:szCs w:val="20"/>
              </w:rPr>
              <w:t>Unlimited</w:t>
            </w:r>
          </w:p>
        </w:tc>
        <w:tc>
          <w:tcPr>
            <w:tcW w:w="831" w:type="pct"/>
            <w:vAlign w:val="center"/>
          </w:tcPr>
          <w:p w14:paraId="43118BBC" w14:textId="77777777" w:rsidR="000D07EA" w:rsidRDefault="00BE7C89">
            <w:pPr>
              <w:pStyle w:val="BodyText"/>
              <w:spacing w:before="100" w:after="100"/>
              <w:jc w:val="center"/>
              <w:rPr>
                <w:szCs w:val="20"/>
              </w:rPr>
            </w:pPr>
            <w:r>
              <w:rPr>
                <w:szCs w:val="20"/>
              </w:rPr>
              <w:t>Unlimited</w:t>
            </w:r>
          </w:p>
        </w:tc>
      </w:tr>
      <w:tr w:rsidR="000D07EA" w14:paraId="0F07B295" w14:textId="77777777">
        <w:trPr>
          <w:trHeight w:val="20"/>
        </w:trPr>
        <w:tc>
          <w:tcPr>
            <w:tcW w:w="849" w:type="pct"/>
            <w:shd w:val="clear" w:color="auto" w:fill="auto"/>
          </w:tcPr>
          <w:p w14:paraId="5EE0FCCD" w14:textId="77777777" w:rsidR="000D07EA" w:rsidRDefault="00BE7C89">
            <w:pPr>
              <w:pStyle w:val="BodyText"/>
              <w:spacing w:before="100" w:after="100"/>
              <w:rPr>
                <w:b/>
                <w:bCs/>
                <w:szCs w:val="20"/>
              </w:rPr>
            </w:pPr>
            <w:r>
              <w:rPr>
                <w:b/>
                <w:bCs/>
                <w:szCs w:val="20"/>
              </w:rPr>
              <w:t xml:space="preserve">Standard international MMS </w:t>
            </w:r>
            <w:r>
              <w:rPr>
                <w:szCs w:val="20"/>
              </w:rPr>
              <w:t>(per message to selected countries)</w:t>
            </w:r>
          </w:p>
        </w:tc>
        <w:tc>
          <w:tcPr>
            <w:tcW w:w="830" w:type="pct"/>
            <w:vAlign w:val="center"/>
          </w:tcPr>
          <w:p w14:paraId="784F3B88" w14:textId="77777777" w:rsidR="000D07EA" w:rsidRDefault="00BE7C89">
            <w:pPr>
              <w:pStyle w:val="BodyText"/>
              <w:spacing w:before="100" w:after="100"/>
              <w:jc w:val="center"/>
              <w:rPr>
                <w:szCs w:val="20"/>
              </w:rPr>
            </w:pPr>
            <w:r>
              <w:rPr>
                <w:szCs w:val="20"/>
              </w:rPr>
              <w:t>Unlimited</w:t>
            </w:r>
          </w:p>
        </w:tc>
        <w:tc>
          <w:tcPr>
            <w:tcW w:w="830" w:type="pct"/>
            <w:gridSpan w:val="2"/>
            <w:vAlign w:val="center"/>
          </w:tcPr>
          <w:p w14:paraId="12ABC24D" w14:textId="77777777" w:rsidR="000D07EA" w:rsidRDefault="00BE7C89">
            <w:pPr>
              <w:pStyle w:val="BodyText"/>
              <w:spacing w:before="100" w:after="100"/>
              <w:jc w:val="center"/>
              <w:rPr>
                <w:szCs w:val="20"/>
              </w:rPr>
            </w:pPr>
            <w:r>
              <w:rPr>
                <w:szCs w:val="20"/>
              </w:rPr>
              <w:t>Unlimited</w:t>
            </w:r>
          </w:p>
        </w:tc>
        <w:tc>
          <w:tcPr>
            <w:tcW w:w="830" w:type="pct"/>
            <w:vAlign w:val="center"/>
          </w:tcPr>
          <w:p w14:paraId="6249BB0B" w14:textId="77777777" w:rsidR="000D07EA" w:rsidRDefault="00BE7C89">
            <w:pPr>
              <w:pStyle w:val="BodyText"/>
              <w:spacing w:before="100" w:after="100"/>
              <w:jc w:val="center"/>
              <w:rPr>
                <w:szCs w:val="20"/>
              </w:rPr>
            </w:pPr>
            <w:r>
              <w:rPr>
                <w:szCs w:val="20"/>
              </w:rPr>
              <w:t>Unlimited</w:t>
            </w:r>
          </w:p>
        </w:tc>
        <w:tc>
          <w:tcPr>
            <w:tcW w:w="830" w:type="pct"/>
            <w:vAlign w:val="center"/>
          </w:tcPr>
          <w:p w14:paraId="4199823E" w14:textId="77777777" w:rsidR="000D07EA" w:rsidRDefault="00BE7C89">
            <w:pPr>
              <w:pStyle w:val="BodyText"/>
              <w:spacing w:before="100" w:after="100"/>
              <w:jc w:val="center"/>
              <w:rPr>
                <w:szCs w:val="20"/>
              </w:rPr>
            </w:pPr>
            <w:r>
              <w:rPr>
                <w:szCs w:val="20"/>
              </w:rPr>
              <w:t>Unlimited</w:t>
            </w:r>
          </w:p>
        </w:tc>
        <w:tc>
          <w:tcPr>
            <w:tcW w:w="831" w:type="pct"/>
            <w:vAlign w:val="center"/>
          </w:tcPr>
          <w:p w14:paraId="392657EB" w14:textId="77777777" w:rsidR="000D07EA" w:rsidRDefault="00BE7C89">
            <w:pPr>
              <w:pStyle w:val="BodyText"/>
              <w:spacing w:before="100" w:after="100"/>
              <w:jc w:val="center"/>
              <w:rPr>
                <w:szCs w:val="20"/>
              </w:rPr>
            </w:pPr>
            <w:r>
              <w:rPr>
                <w:szCs w:val="20"/>
              </w:rPr>
              <w:t>Unlimited</w:t>
            </w:r>
          </w:p>
        </w:tc>
      </w:tr>
      <w:tr w:rsidR="000D07EA" w14:paraId="2436B281" w14:textId="77777777">
        <w:trPr>
          <w:trHeight w:val="20"/>
        </w:trPr>
        <w:tc>
          <w:tcPr>
            <w:tcW w:w="849" w:type="pct"/>
            <w:shd w:val="clear" w:color="auto" w:fill="auto"/>
          </w:tcPr>
          <w:p w14:paraId="355ABA4C" w14:textId="77777777" w:rsidR="000D07EA" w:rsidRDefault="00BE7C89">
            <w:pPr>
              <w:pStyle w:val="BodyText"/>
              <w:spacing w:before="100" w:after="100"/>
              <w:rPr>
                <w:b/>
                <w:bCs/>
                <w:szCs w:val="20"/>
              </w:rPr>
            </w:pPr>
            <w:r>
              <w:rPr>
                <w:bCs/>
                <w:snapToGrid w:val="0"/>
                <w:szCs w:val="20"/>
              </w:rPr>
              <w:t>Optus Travel™ Pack</w:t>
            </w:r>
          </w:p>
        </w:tc>
        <w:tc>
          <w:tcPr>
            <w:tcW w:w="830" w:type="pct"/>
            <w:vAlign w:val="center"/>
          </w:tcPr>
          <w:p w14:paraId="74A9C9FA" w14:textId="77777777" w:rsidR="000D07EA" w:rsidRDefault="000D07EA">
            <w:pPr>
              <w:pStyle w:val="BodyText"/>
              <w:spacing w:before="100" w:after="100"/>
              <w:jc w:val="center"/>
              <w:rPr>
                <w:szCs w:val="20"/>
              </w:rPr>
            </w:pPr>
          </w:p>
        </w:tc>
        <w:tc>
          <w:tcPr>
            <w:tcW w:w="830" w:type="pct"/>
            <w:gridSpan w:val="2"/>
            <w:vAlign w:val="center"/>
          </w:tcPr>
          <w:p w14:paraId="30B669E4" w14:textId="77777777" w:rsidR="000D07EA" w:rsidRDefault="000D07EA">
            <w:pPr>
              <w:pStyle w:val="BodyText"/>
              <w:spacing w:before="100" w:after="100"/>
              <w:jc w:val="center"/>
              <w:rPr>
                <w:szCs w:val="20"/>
              </w:rPr>
            </w:pPr>
          </w:p>
        </w:tc>
        <w:tc>
          <w:tcPr>
            <w:tcW w:w="830" w:type="pct"/>
            <w:vAlign w:val="center"/>
          </w:tcPr>
          <w:p w14:paraId="61092339" w14:textId="77777777" w:rsidR="000D07EA" w:rsidRDefault="00BE7C89">
            <w:pPr>
              <w:pStyle w:val="BodyText"/>
              <w:spacing w:before="100" w:after="100"/>
              <w:jc w:val="center"/>
              <w:rPr>
                <w:szCs w:val="20"/>
              </w:rPr>
            </w:pPr>
            <w:r>
              <w:rPr>
                <w:szCs w:val="20"/>
              </w:rPr>
              <w:t>Up to 10 days</w:t>
            </w:r>
          </w:p>
        </w:tc>
        <w:tc>
          <w:tcPr>
            <w:tcW w:w="830" w:type="pct"/>
            <w:vAlign w:val="center"/>
          </w:tcPr>
          <w:p w14:paraId="369921EA" w14:textId="77777777" w:rsidR="000D07EA" w:rsidRDefault="00BE7C89">
            <w:pPr>
              <w:pStyle w:val="BodyText"/>
              <w:spacing w:before="100" w:after="100"/>
              <w:jc w:val="center"/>
              <w:rPr>
                <w:szCs w:val="20"/>
              </w:rPr>
            </w:pPr>
            <w:r>
              <w:rPr>
                <w:szCs w:val="20"/>
              </w:rPr>
              <w:t>Up to 10 days</w:t>
            </w:r>
          </w:p>
        </w:tc>
        <w:tc>
          <w:tcPr>
            <w:tcW w:w="831" w:type="pct"/>
            <w:vAlign w:val="center"/>
          </w:tcPr>
          <w:p w14:paraId="2BB6F08A" w14:textId="77777777" w:rsidR="000D07EA" w:rsidRDefault="00BE7C89">
            <w:pPr>
              <w:pStyle w:val="BodyText"/>
              <w:spacing w:before="100" w:after="100"/>
              <w:jc w:val="center"/>
              <w:rPr>
                <w:szCs w:val="20"/>
              </w:rPr>
            </w:pPr>
            <w:r>
              <w:rPr>
                <w:szCs w:val="20"/>
              </w:rPr>
              <w:t>Up to 10 days</w:t>
            </w:r>
          </w:p>
        </w:tc>
      </w:tr>
      <w:tr w:rsidR="000D07EA" w14:paraId="2B3ACC72" w14:textId="77777777">
        <w:trPr>
          <w:trHeight w:val="20"/>
        </w:trPr>
        <w:tc>
          <w:tcPr>
            <w:tcW w:w="849" w:type="pct"/>
            <w:shd w:val="clear" w:color="auto" w:fill="auto"/>
          </w:tcPr>
          <w:p w14:paraId="616AC691" w14:textId="77777777" w:rsidR="000D07EA" w:rsidRDefault="00BE7C89">
            <w:pPr>
              <w:pStyle w:val="BodyText"/>
              <w:spacing w:before="100" w:after="100"/>
              <w:rPr>
                <w:b/>
                <w:bCs/>
                <w:szCs w:val="20"/>
              </w:rPr>
            </w:pPr>
            <w:r>
              <w:rPr>
                <w:b/>
                <w:bCs/>
                <w:szCs w:val="20"/>
              </w:rPr>
              <w:t xml:space="preserve">Minimum total cost over 24 months </w:t>
            </w:r>
          </w:p>
        </w:tc>
        <w:tc>
          <w:tcPr>
            <w:tcW w:w="830" w:type="pct"/>
            <w:vAlign w:val="center"/>
          </w:tcPr>
          <w:p w14:paraId="5850A25C" w14:textId="77777777" w:rsidR="000D07EA" w:rsidRDefault="00BE7C89">
            <w:pPr>
              <w:pStyle w:val="BodyText"/>
              <w:spacing w:before="100" w:after="100"/>
              <w:jc w:val="center"/>
              <w:rPr>
                <w:szCs w:val="20"/>
              </w:rPr>
            </w:pPr>
            <w:r>
              <w:rPr>
                <w:szCs w:val="20"/>
              </w:rPr>
              <w:t>$1920</w:t>
            </w:r>
          </w:p>
        </w:tc>
        <w:tc>
          <w:tcPr>
            <w:tcW w:w="830" w:type="pct"/>
            <w:gridSpan w:val="2"/>
            <w:vAlign w:val="center"/>
          </w:tcPr>
          <w:p w14:paraId="28717CAA" w14:textId="77777777" w:rsidR="000D07EA" w:rsidRDefault="00BE7C89">
            <w:pPr>
              <w:pStyle w:val="BodyText"/>
              <w:spacing w:before="100" w:after="100"/>
              <w:jc w:val="center"/>
              <w:rPr>
                <w:szCs w:val="20"/>
              </w:rPr>
            </w:pPr>
            <w:r>
              <w:rPr>
                <w:szCs w:val="20"/>
              </w:rPr>
              <w:t>$2400</w:t>
            </w:r>
          </w:p>
        </w:tc>
        <w:tc>
          <w:tcPr>
            <w:tcW w:w="830" w:type="pct"/>
            <w:vAlign w:val="center"/>
          </w:tcPr>
          <w:p w14:paraId="24C8460C" w14:textId="77777777" w:rsidR="000D07EA" w:rsidRDefault="00BE7C89">
            <w:pPr>
              <w:pStyle w:val="BodyText"/>
              <w:spacing w:before="100" w:after="100"/>
              <w:jc w:val="center"/>
              <w:rPr>
                <w:szCs w:val="20"/>
              </w:rPr>
            </w:pPr>
            <w:r>
              <w:rPr>
                <w:szCs w:val="20"/>
              </w:rPr>
              <w:t>$2400</w:t>
            </w:r>
          </w:p>
        </w:tc>
        <w:tc>
          <w:tcPr>
            <w:tcW w:w="830" w:type="pct"/>
            <w:vAlign w:val="center"/>
          </w:tcPr>
          <w:p w14:paraId="32340E5B" w14:textId="77777777" w:rsidR="000D07EA" w:rsidRDefault="00BE7C89">
            <w:pPr>
              <w:pStyle w:val="BodyText"/>
              <w:spacing w:before="100" w:after="100"/>
              <w:jc w:val="center"/>
              <w:rPr>
                <w:szCs w:val="20"/>
              </w:rPr>
            </w:pPr>
            <w:r>
              <w:rPr>
                <w:szCs w:val="20"/>
              </w:rPr>
              <w:t>$3240</w:t>
            </w:r>
          </w:p>
        </w:tc>
        <w:tc>
          <w:tcPr>
            <w:tcW w:w="831" w:type="pct"/>
            <w:vAlign w:val="center"/>
          </w:tcPr>
          <w:p w14:paraId="1217844A" w14:textId="77777777" w:rsidR="000D07EA" w:rsidRDefault="00BE7C89">
            <w:pPr>
              <w:pStyle w:val="BodyText"/>
              <w:spacing w:before="100" w:after="100"/>
              <w:jc w:val="center"/>
              <w:rPr>
                <w:szCs w:val="20"/>
              </w:rPr>
            </w:pPr>
            <w:r>
              <w:rPr>
                <w:szCs w:val="20"/>
              </w:rPr>
              <w:t>$2400</w:t>
            </w:r>
          </w:p>
        </w:tc>
      </w:tr>
    </w:tbl>
    <w:p w14:paraId="09C208C9" w14:textId="77777777" w:rsidR="000D07EA" w:rsidRDefault="000D07EA">
      <w:pPr>
        <w:pStyle w:val="BodyText"/>
      </w:pPr>
    </w:p>
    <w:p w14:paraId="73D7B28D" w14:textId="77777777" w:rsidR="000D07EA" w:rsidRDefault="00BE7C89">
      <w:pPr>
        <w:pStyle w:val="BodyText"/>
        <w:ind w:left="720"/>
        <w:rPr>
          <w:b/>
        </w:rPr>
      </w:pPr>
      <w:r>
        <w:rPr>
          <w:b/>
        </w:rPr>
        <w:t>Table 2 – Other usage types and charges</w:t>
      </w:r>
    </w:p>
    <w:tbl>
      <w:tblPr>
        <w:tblW w:w="87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8"/>
        <w:gridCol w:w="4320"/>
      </w:tblGrid>
      <w:tr w:rsidR="000D07EA" w14:paraId="702AE296" w14:textId="77777777">
        <w:trPr>
          <w:tblHeader/>
        </w:trPr>
        <w:tc>
          <w:tcPr>
            <w:tcW w:w="4428" w:type="dxa"/>
            <w:shd w:val="clear" w:color="auto" w:fill="auto"/>
          </w:tcPr>
          <w:p w14:paraId="34E9B985" w14:textId="77777777" w:rsidR="000D07EA" w:rsidRDefault="00BE7C89">
            <w:pPr>
              <w:pStyle w:val="BodyText"/>
              <w:spacing w:before="100" w:after="100"/>
              <w:rPr>
                <w:b/>
              </w:rPr>
            </w:pPr>
            <w:r>
              <w:rPr>
                <w:b/>
              </w:rPr>
              <w:t>Usage type</w:t>
            </w:r>
          </w:p>
        </w:tc>
        <w:tc>
          <w:tcPr>
            <w:tcW w:w="4320" w:type="dxa"/>
            <w:shd w:val="clear" w:color="auto" w:fill="auto"/>
            <w:vAlign w:val="center"/>
          </w:tcPr>
          <w:p w14:paraId="057EE52F" w14:textId="77777777" w:rsidR="000D07EA" w:rsidRDefault="00BE7C89">
            <w:pPr>
              <w:pStyle w:val="BodyText"/>
              <w:spacing w:before="100" w:after="100"/>
              <w:jc w:val="center"/>
              <w:rPr>
                <w:b/>
              </w:rPr>
            </w:pPr>
            <w:r>
              <w:rPr>
                <w:b/>
              </w:rPr>
              <w:t>Charge</w:t>
            </w:r>
          </w:p>
        </w:tc>
      </w:tr>
      <w:tr w:rsidR="000D07EA" w14:paraId="64D1BE25" w14:textId="77777777">
        <w:tc>
          <w:tcPr>
            <w:tcW w:w="4428" w:type="dxa"/>
            <w:shd w:val="clear" w:color="auto" w:fill="auto"/>
          </w:tcPr>
          <w:p w14:paraId="38437C45" w14:textId="77777777" w:rsidR="000D07EA" w:rsidRDefault="00BE7C89">
            <w:pPr>
              <w:pStyle w:val="BodyText"/>
              <w:spacing w:before="100" w:after="100"/>
              <w:rPr>
                <w:b/>
              </w:rPr>
            </w:pPr>
            <w:r>
              <w:rPr>
                <w:b/>
              </w:rPr>
              <w:t xml:space="preserve">National video calls </w:t>
            </w:r>
            <w:r>
              <w:t>(per minute)</w:t>
            </w:r>
          </w:p>
        </w:tc>
        <w:tc>
          <w:tcPr>
            <w:tcW w:w="4320" w:type="dxa"/>
            <w:shd w:val="clear" w:color="auto" w:fill="auto"/>
            <w:vAlign w:val="center"/>
          </w:tcPr>
          <w:p w14:paraId="10032C93" w14:textId="77777777" w:rsidR="000D07EA" w:rsidRDefault="00BE7C89">
            <w:pPr>
              <w:pStyle w:val="BodyText"/>
              <w:spacing w:before="100" w:after="100"/>
              <w:jc w:val="center"/>
            </w:pPr>
            <w:r>
              <w:t>$1.00 per min + 40c flagfall</w:t>
            </w:r>
          </w:p>
        </w:tc>
      </w:tr>
      <w:tr w:rsidR="000D07EA" w14:paraId="2C82F9AA" w14:textId="77777777">
        <w:tc>
          <w:tcPr>
            <w:tcW w:w="4428" w:type="dxa"/>
            <w:shd w:val="clear" w:color="auto" w:fill="auto"/>
          </w:tcPr>
          <w:p w14:paraId="5D787ADD" w14:textId="77777777" w:rsidR="000D07EA" w:rsidRDefault="00BE7C89">
            <w:pPr>
              <w:pStyle w:val="BodyText"/>
              <w:spacing w:before="100" w:after="100"/>
              <w:rPr>
                <w:b/>
              </w:rPr>
            </w:pPr>
            <w:r>
              <w:rPr>
                <w:b/>
              </w:rPr>
              <w:t>National Diversions</w:t>
            </w:r>
          </w:p>
        </w:tc>
        <w:tc>
          <w:tcPr>
            <w:tcW w:w="4320" w:type="dxa"/>
            <w:shd w:val="clear" w:color="auto" w:fill="auto"/>
          </w:tcPr>
          <w:p w14:paraId="720E5FED" w14:textId="77777777" w:rsidR="000D07EA" w:rsidRDefault="00BE7C89">
            <w:pPr>
              <w:pStyle w:val="BodyText"/>
              <w:spacing w:before="100" w:after="100"/>
              <w:jc w:val="center"/>
            </w:pPr>
            <w:r>
              <w:t>$0 per minute</w:t>
            </w:r>
          </w:p>
        </w:tc>
      </w:tr>
      <w:tr w:rsidR="000D07EA" w14:paraId="48ECED17" w14:textId="77777777">
        <w:tc>
          <w:tcPr>
            <w:tcW w:w="4428" w:type="dxa"/>
            <w:shd w:val="clear" w:color="auto" w:fill="auto"/>
          </w:tcPr>
          <w:p w14:paraId="37B0BE42" w14:textId="77777777" w:rsidR="000D07EA" w:rsidRDefault="00BE7C89">
            <w:pPr>
              <w:pStyle w:val="BodyText"/>
              <w:spacing w:before="100" w:after="100"/>
              <w:rPr>
                <w:b/>
              </w:rPr>
            </w:pPr>
            <w:r>
              <w:rPr>
                <w:b/>
              </w:rPr>
              <w:t>International Diversions</w:t>
            </w:r>
          </w:p>
        </w:tc>
        <w:tc>
          <w:tcPr>
            <w:tcW w:w="4320" w:type="dxa"/>
            <w:shd w:val="clear" w:color="auto" w:fill="auto"/>
          </w:tcPr>
          <w:p w14:paraId="127FB91B" w14:textId="77777777" w:rsidR="000D07EA" w:rsidRDefault="00BE7C89">
            <w:pPr>
              <w:pStyle w:val="BodyText"/>
              <w:spacing w:before="100" w:after="100"/>
              <w:jc w:val="center"/>
            </w:pPr>
            <w:r>
              <w:t>'yes' international rates</w:t>
            </w:r>
            <w:r>
              <w:br/>
              <w:t>See optus.com.au/international</w:t>
            </w:r>
          </w:p>
        </w:tc>
      </w:tr>
      <w:tr w:rsidR="000D07EA" w14:paraId="6933F58F" w14:textId="77777777">
        <w:tc>
          <w:tcPr>
            <w:tcW w:w="4428" w:type="dxa"/>
            <w:shd w:val="clear" w:color="auto" w:fill="auto"/>
          </w:tcPr>
          <w:p w14:paraId="4450729B" w14:textId="77777777" w:rsidR="000D07EA" w:rsidRDefault="00BE7C89">
            <w:pPr>
              <w:pStyle w:val="BodyText"/>
              <w:spacing w:before="100" w:after="100"/>
              <w:rPr>
                <w:b/>
              </w:rPr>
            </w:pPr>
            <w:r>
              <w:rPr>
                <w:b/>
              </w:rPr>
              <w:t>1800 numbers</w:t>
            </w:r>
          </w:p>
        </w:tc>
        <w:tc>
          <w:tcPr>
            <w:tcW w:w="4320" w:type="dxa"/>
            <w:shd w:val="clear" w:color="auto" w:fill="auto"/>
            <w:vAlign w:val="center"/>
          </w:tcPr>
          <w:p w14:paraId="5D4989AF" w14:textId="77777777" w:rsidR="000D07EA" w:rsidRDefault="00BE7C89">
            <w:pPr>
              <w:pStyle w:val="BodyText"/>
              <w:spacing w:before="100" w:after="100"/>
              <w:jc w:val="center"/>
            </w:pPr>
            <w:r>
              <w:t>$0 per minute</w:t>
            </w:r>
          </w:p>
        </w:tc>
      </w:tr>
      <w:tr w:rsidR="000D07EA" w14:paraId="3F97248C" w14:textId="77777777">
        <w:tc>
          <w:tcPr>
            <w:tcW w:w="4428" w:type="dxa"/>
            <w:shd w:val="clear" w:color="auto" w:fill="auto"/>
          </w:tcPr>
          <w:p w14:paraId="096059E0" w14:textId="77777777" w:rsidR="000D07EA" w:rsidRDefault="00BE7C89">
            <w:pPr>
              <w:pStyle w:val="BodyText"/>
              <w:spacing w:before="100" w:after="100"/>
              <w:rPr>
                <w:b/>
              </w:rPr>
            </w:pPr>
            <w:r>
              <w:rPr>
                <w:b/>
              </w:rPr>
              <w:lastRenderedPageBreak/>
              <w:t>Directory Assistance 1223</w:t>
            </w:r>
          </w:p>
        </w:tc>
        <w:tc>
          <w:tcPr>
            <w:tcW w:w="4320" w:type="dxa"/>
            <w:shd w:val="clear" w:color="auto" w:fill="auto"/>
            <w:vAlign w:val="center"/>
          </w:tcPr>
          <w:p w14:paraId="5064A191" w14:textId="77777777" w:rsidR="000D07EA" w:rsidRDefault="00BE7C89">
            <w:pPr>
              <w:pStyle w:val="BodyText"/>
              <w:spacing w:before="100" w:after="100"/>
              <w:jc w:val="center"/>
            </w:pPr>
            <w:r>
              <w:t>50c per call</w:t>
            </w:r>
          </w:p>
        </w:tc>
      </w:tr>
      <w:tr w:rsidR="000D07EA" w14:paraId="7F5346AD" w14:textId="77777777">
        <w:tc>
          <w:tcPr>
            <w:tcW w:w="4428" w:type="dxa"/>
            <w:shd w:val="clear" w:color="auto" w:fill="auto"/>
          </w:tcPr>
          <w:p w14:paraId="2461E5C7" w14:textId="77777777" w:rsidR="000D07EA" w:rsidRDefault="00BE7C89">
            <w:pPr>
              <w:pStyle w:val="BodyText"/>
              <w:spacing w:before="100" w:after="100"/>
              <w:rPr>
                <w:b/>
              </w:rPr>
            </w:pPr>
            <w:r>
              <w:rPr>
                <w:b/>
              </w:rPr>
              <w:t>124 Yes</w:t>
            </w:r>
          </w:p>
        </w:tc>
        <w:tc>
          <w:tcPr>
            <w:tcW w:w="4320" w:type="dxa"/>
            <w:shd w:val="clear" w:color="auto" w:fill="auto"/>
            <w:vAlign w:val="center"/>
          </w:tcPr>
          <w:p w14:paraId="5AB8D1BE" w14:textId="77777777" w:rsidR="000D07EA" w:rsidRDefault="00BE7C89">
            <w:pPr>
              <w:pStyle w:val="BodyText"/>
              <w:spacing w:before="100" w:after="100"/>
              <w:jc w:val="center"/>
            </w:pPr>
            <w:r>
              <w:t>90c per minute +$1.75c flagfall</w:t>
            </w:r>
          </w:p>
        </w:tc>
      </w:tr>
      <w:tr w:rsidR="000D07EA" w14:paraId="07FC853E" w14:textId="77777777">
        <w:tc>
          <w:tcPr>
            <w:tcW w:w="4428" w:type="dxa"/>
            <w:shd w:val="clear" w:color="auto" w:fill="auto"/>
          </w:tcPr>
          <w:p w14:paraId="38CB6730" w14:textId="77777777" w:rsidR="000D07EA" w:rsidRDefault="00BE7C89">
            <w:pPr>
              <w:pStyle w:val="BodyText"/>
              <w:spacing w:before="100" w:after="100"/>
              <w:rPr>
                <w:b/>
              </w:rPr>
            </w:pPr>
            <w:r>
              <w:rPr>
                <w:b/>
              </w:rPr>
              <w:t>International voice calls (outside the plan's included international minutes and to excluded countries)</w:t>
            </w:r>
          </w:p>
        </w:tc>
        <w:tc>
          <w:tcPr>
            <w:tcW w:w="4320" w:type="dxa"/>
            <w:shd w:val="clear" w:color="auto" w:fill="auto"/>
            <w:vAlign w:val="center"/>
          </w:tcPr>
          <w:p w14:paraId="6E427E84" w14:textId="77777777" w:rsidR="000D07EA" w:rsidRDefault="00BE7C89">
            <w:pPr>
              <w:pStyle w:val="BodyText"/>
              <w:spacing w:before="100" w:after="100"/>
              <w:jc w:val="center"/>
            </w:pPr>
            <w:r>
              <w:t>'yes' international rates</w:t>
            </w:r>
            <w:r>
              <w:br/>
              <w:t>See optus.com.au/international</w:t>
            </w:r>
          </w:p>
        </w:tc>
      </w:tr>
      <w:tr w:rsidR="000D07EA" w14:paraId="4FA9FA67" w14:textId="77777777">
        <w:tc>
          <w:tcPr>
            <w:tcW w:w="4428" w:type="dxa"/>
            <w:shd w:val="clear" w:color="auto" w:fill="auto"/>
          </w:tcPr>
          <w:p w14:paraId="7D905597" w14:textId="77777777" w:rsidR="000D07EA" w:rsidRDefault="00BE7C89">
            <w:pPr>
              <w:pStyle w:val="BodyText"/>
              <w:spacing w:before="100" w:after="100"/>
              <w:rPr>
                <w:b/>
              </w:rPr>
            </w:pPr>
            <w:r>
              <w:rPr>
                <w:b/>
              </w:rPr>
              <w:t>International SMS (to excluded countries)</w:t>
            </w:r>
          </w:p>
        </w:tc>
        <w:tc>
          <w:tcPr>
            <w:tcW w:w="4320" w:type="dxa"/>
            <w:shd w:val="clear" w:color="auto" w:fill="auto"/>
            <w:vAlign w:val="center"/>
          </w:tcPr>
          <w:p w14:paraId="2530794B" w14:textId="77777777" w:rsidR="000D07EA" w:rsidRDefault="00BE7C89">
            <w:pPr>
              <w:pStyle w:val="BodyText"/>
              <w:spacing w:before="100" w:after="100"/>
              <w:jc w:val="center"/>
            </w:pPr>
            <w:r>
              <w:t>50c per SMS up to 160 standard characters</w:t>
            </w:r>
          </w:p>
        </w:tc>
      </w:tr>
      <w:tr w:rsidR="000D07EA" w14:paraId="31B8B82E" w14:textId="77777777">
        <w:tc>
          <w:tcPr>
            <w:tcW w:w="4428" w:type="dxa"/>
            <w:shd w:val="clear" w:color="auto" w:fill="auto"/>
          </w:tcPr>
          <w:p w14:paraId="46F8182F" w14:textId="77777777" w:rsidR="000D07EA" w:rsidRDefault="00BE7C89">
            <w:pPr>
              <w:pStyle w:val="BodyText"/>
              <w:spacing w:before="100" w:after="100"/>
              <w:rPr>
                <w:b/>
              </w:rPr>
            </w:pPr>
            <w:r>
              <w:rPr>
                <w:b/>
              </w:rPr>
              <w:t>International MMS (to excluded countries)</w:t>
            </w:r>
          </w:p>
        </w:tc>
        <w:tc>
          <w:tcPr>
            <w:tcW w:w="4320" w:type="dxa"/>
            <w:shd w:val="clear" w:color="auto" w:fill="auto"/>
            <w:vAlign w:val="center"/>
          </w:tcPr>
          <w:p w14:paraId="36C4A9F4" w14:textId="77777777" w:rsidR="000D07EA" w:rsidRDefault="00BE7C89">
            <w:pPr>
              <w:pStyle w:val="BodyText"/>
              <w:spacing w:before="100" w:after="100"/>
              <w:jc w:val="center"/>
            </w:pPr>
            <w:r>
              <w:t>75c per MMS</w:t>
            </w:r>
          </w:p>
        </w:tc>
      </w:tr>
      <w:tr w:rsidR="000D07EA" w14:paraId="758CF1F0" w14:textId="77777777">
        <w:tc>
          <w:tcPr>
            <w:tcW w:w="4428" w:type="dxa"/>
            <w:shd w:val="clear" w:color="auto" w:fill="auto"/>
          </w:tcPr>
          <w:p w14:paraId="167E7B94" w14:textId="77777777" w:rsidR="000D07EA" w:rsidRDefault="00BE7C89">
            <w:pPr>
              <w:pStyle w:val="BodyText"/>
              <w:spacing w:before="100" w:after="100"/>
              <w:rPr>
                <w:b/>
              </w:rPr>
            </w:pPr>
            <w:r>
              <w:rPr>
                <w:b/>
              </w:rPr>
              <w:t>International video calling</w:t>
            </w:r>
          </w:p>
        </w:tc>
        <w:tc>
          <w:tcPr>
            <w:tcW w:w="4320" w:type="dxa"/>
            <w:shd w:val="clear" w:color="auto" w:fill="auto"/>
            <w:vAlign w:val="center"/>
          </w:tcPr>
          <w:p w14:paraId="0D579F75" w14:textId="77777777" w:rsidR="000D07EA" w:rsidRDefault="00BE7C89">
            <w:pPr>
              <w:pStyle w:val="BodyText"/>
              <w:spacing w:before="100" w:after="100"/>
              <w:jc w:val="center"/>
            </w:pPr>
            <w:r>
              <w:t>$1.50 per minute +35c flagfall</w:t>
            </w:r>
          </w:p>
        </w:tc>
      </w:tr>
      <w:tr w:rsidR="000D07EA" w14:paraId="7824CB38" w14:textId="77777777">
        <w:tc>
          <w:tcPr>
            <w:tcW w:w="4428" w:type="dxa"/>
            <w:shd w:val="clear" w:color="auto" w:fill="auto"/>
          </w:tcPr>
          <w:p w14:paraId="3B2A8B5C" w14:textId="77777777" w:rsidR="000D07EA" w:rsidRDefault="00BE7C89">
            <w:pPr>
              <w:pStyle w:val="BodyText"/>
              <w:spacing w:before="100" w:after="100"/>
              <w:jc w:val="center"/>
              <w:rPr>
                <w:b/>
              </w:rPr>
            </w:pPr>
            <w:r>
              <w:rPr>
                <w:b/>
              </w:rPr>
              <w:t>International roaming</w:t>
            </w:r>
          </w:p>
        </w:tc>
        <w:tc>
          <w:tcPr>
            <w:tcW w:w="4320" w:type="dxa"/>
            <w:shd w:val="clear" w:color="auto" w:fill="auto"/>
            <w:vAlign w:val="center"/>
          </w:tcPr>
          <w:p w14:paraId="6A3115F8" w14:textId="77777777" w:rsidR="000D07EA" w:rsidRDefault="00BE7C89">
            <w:pPr>
              <w:pStyle w:val="BodyText"/>
              <w:spacing w:before="100" w:after="100"/>
              <w:jc w:val="center"/>
            </w:pPr>
            <w:r>
              <w:t>See optus.com.au/roaming</w:t>
            </w:r>
          </w:p>
        </w:tc>
      </w:tr>
    </w:tbl>
    <w:p w14:paraId="36951469" w14:textId="77777777" w:rsidR="000D07EA" w:rsidRDefault="000D07EA">
      <w:pPr>
        <w:pStyle w:val="BodyText"/>
      </w:pPr>
    </w:p>
    <w:p w14:paraId="103CDDBC" w14:textId="77777777" w:rsidR="000D07EA" w:rsidRDefault="00BE7C89">
      <w:pPr>
        <w:pStyle w:val="BodyText"/>
        <w:ind w:left="720"/>
        <w:rPr>
          <w:b/>
        </w:rPr>
      </w:pPr>
      <w:r>
        <w:rPr>
          <w:b/>
        </w:rPr>
        <w:t>Table 3 – International Countries</w:t>
      </w:r>
    </w:p>
    <w:tbl>
      <w:tblPr>
        <w:tblW w:w="87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7"/>
        <w:gridCol w:w="2187"/>
        <w:gridCol w:w="2187"/>
        <w:gridCol w:w="2187"/>
      </w:tblGrid>
      <w:tr w:rsidR="000D07EA" w14:paraId="5F07E49F" w14:textId="77777777">
        <w:tc>
          <w:tcPr>
            <w:tcW w:w="2187" w:type="dxa"/>
            <w:shd w:val="clear" w:color="auto" w:fill="auto"/>
          </w:tcPr>
          <w:p w14:paraId="0A1323C2" w14:textId="77777777" w:rsidR="000D07EA" w:rsidRDefault="00BE7C89">
            <w:pPr>
              <w:pStyle w:val="BodyText"/>
              <w:spacing w:before="100" w:after="100"/>
            </w:pPr>
            <w:r>
              <w:t>Austria</w:t>
            </w:r>
          </w:p>
        </w:tc>
        <w:tc>
          <w:tcPr>
            <w:tcW w:w="2187" w:type="dxa"/>
            <w:shd w:val="clear" w:color="auto" w:fill="auto"/>
          </w:tcPr>
          <w:p w14:paraId="1B4F6E45" w14:textId="77777777" w:rsidR="000D07EA" w:rsidRDefault="00BE7C89">
            <w:pPr>
              <w:pStyle w:val="BodyText"/>
              <w:spacing w:before="100" w:after="100"/>
            </w:pPr>
            <w:r>
              <w:t>Bangladesh</w:t>
            </w:r>
          </w:p>
        </w:tc>
        <w:tc>
          <w:tcPr>
            <w:tcW w:w="2187" w:type="dxa"/>
            <w:shd w:val="clear" w:color="auto" w:fill="auto"/>
          </w:tcPr>
          <w:p w14:paraId="514607A9" w14:textId="77777777" w:rsidR="000D07EA" w:rsidRDefault="00BE7C89">
            <w:pPr>
              <w:pStyle w:val="BodyText"/>
              <w:spacing w:before="100" w:after="100"/>
            </w:pPr>
            <w:r>
              <w:t>Cambodia</w:t>
            </w:r>
          </w:p>
        </w:tc>
        <w:tc>
          <w:tcPr>
            <w:tcW w:w="2187" w:type="dxa"/>
            <w:shd w:val="clear" w:color="auto" w:fill="auto"/>
          </w:tcPr>
          <w:p w14:paraId="06A0B9E3" w14:textId="77777777" w:rsidR="000D07EA" w:rsidRDefault="00BE7C89">
            <w:pPr>
              <w:pStyle w:val="BodyText"/>
              <w:spacing w:before="100" w:after="100"/>
            </w:pPr>
            <w:r>
              <w:t>Canada</w:t>
            </w:r>
          </w:p>
        </w:tc>
      </w:tr>
      <w:tr w:rsidR="000D07EA" w14:paraId="022D2961" w14:textId="77777777">
        <w:tc>
          <w:tcPr>
            <w:tcW w:w="2187" w:type="dxa"/>
            <w:shd w:val="clear" w:color="auto" w:fill="auto"/>
          </w:tcPr>
          <w:p w14:paraId="4CDA9994" w14:textId="77777777" w:rsidR="000D07EA" w:rsidRDefault="00BE7C89">
            <w:pPr>
              <w:pStyle w:val="BodyText"/>
              <w:spacing w:before="100" w:after="100"/>
            </w:pPr>
            <w:r>
              <w:t xml:space="preserve">Chile </w:t>
            </w:r>
          </w:p>
        </w:tc>
        <w:tc>
          <w:tcPr>
            <w:tcW w:w="2187" w:type="dxa"/>
            <w:shd w:val="clear" w:color="auto" w:fill="auto"/>
          </w:tcPr>
          <w:p w14:paraId="7942993B" w14:textId="77777777" w:rsidR="000D07EA" w:rsidRDefault="00BE7C89">
            <w:pPr>
              <w:pStyle w:val="BodyText"/>
              <w:spacing w:before="100" w:after="100"/>
            </w:pPr>
            <w:r>
              <w:t xml:space="preserve">China </w:t>
            </w:r>
          </w:p>
        </w:tc>
        <w:tc>
          <w:tcPr>
            <w:tcW w:w="2187" w:type="dxa"/>
            <w:shd w:val="clear" w:color="auto" w:fill="auto"/>
          </w:tcPr>
          <w:p w14:paraId="0AFD5DCE" w14:textId="77777777" w:rsidR="000D07EA" w:rsidRDefault="00BE7C89">
            <w:pPr>
              <w:pStyle w:val="BodyText"/>
              <w:spacing w:before="100" w:after="100"/>
            </w:pPr>
            <w:r>
              <w:t xml:space="preserve">Croatia </w:t>
            </w:r>
          </w:p>
        </w:tc>
        <w:tc>
          <w:tcPr>
            <w:tcW w:w="2187" w:type="dxa"/>
            <w:shd w:val="clear" w:color="auto" w:fill="auto"/>
          </w:tcPr>
          <w:p w14:paraId="35045492" w14:textId="77777777" w:rsidR="000D07EA" w:rsidRDefault="00BE7C89">
            <w:pPr>
              <w:pStyle w:val="BodyText"/>
              <w:spacing w:before="100" w:after="100"/>
            </w:pPr>
            <w:r>
              <w:t>France</w:t>
            </w:r>
          </w:p>
        </w:tc>
      </w:tr>
      <w:tr w:rsidR="000D07EA" w14:paraId="0D266198" w14:textId="77777777">
        <w:tc>
          <w:tcPr>
            <w:tcW w:w="2187" w:type="dxa"/>
            <w:shd w:val="clear" w:color="auto" w:fill="auto"/>
          </w:tcPr>
          <w:p w14:paraId="19991488" w14:textId="77777777" w:rsidR="000D07EA" w:rsidRDefault="00BE7C89">
            <w:pPr>
              <w:pStyle w:val="BodyText"/>
              <w:spacing w:before="100" w:after="100"/>
            </w:pPr>
            <w:r>
              <w:t>Germany</w:t>
            </w:r>
          </w:p>
        </w:tc>
        <w:tc>
          <w:tcPr>
            <w:tcW w:w="2187" w:type="dxa"/>
            <w:shd w:val="clear" w:color="auto" w:fill="auto"/>
          </w:tcPr>
          <w:p w14:paraId="20B551EB" w14:textId="77777777" w:rsidR="000D07EA" w:rsidRDefault="00BE7C89">
            <w:pPr>
              <w:pStyle w:val="BodyText"/>
              <w:spacing w:before="100" w:after="100"/>
            </w:pPr>
            <w:r>
              <w:t>Greece</w:t>
            </w:r>
          </w:p>
        </w:tc>
        <w:tc>
          <w:tcPr>
            <w:tcW w:w="2187" w:type="dxa"/>
            <w:shd w:val="clear" w:color="auto" w:fill="auto"/>
          </w:tcPr>
          <w:p w14:paraId="67146ACD" w14:textId="77777777" w:rsidR="000D07EA" w:rsidRDefault="00BE7C89">
            <w:pPr>
              <w:pStyle w:val="BodyText"/>
              <w:spacing w:before="100" w:after="100"/>
            </w:pPr>
            <w:r>
              <w:t>Hong Kong</w:t>
            </w:r>
          </w:p>
        </w:tc>
        <w:tc>
          <w:tcPr>
            <w:tcW w:w="2187" w:type="dxa"/>
            <w:shd w:val="clear" w:color="auto" w:fill="auto"/>
          </w:tcPr>
          <w:p w14:paraId="155230CA" w14:textId="77777777" w:rsidR="000D07EA" w:rsidRDefault="00BE7C89">
            <w:pPr>
              <w:pStyle w:val="BodyText"/>
              <w:spacing w:before="100" w:after="100"/>
            </w:pPr>
            <w:r>
              <w:t>Hungary</w:t>
            </w:r>
          </w:p>
        </w:tc>
      </w:tr>
      <w:tr w:rsidR="000D07EA" w14:paraId="71B53EC0" w14:textId="77777777">
        <w:tc>
          <w:tcPr>
            <w:tcW w:w="2187" w:type="dxa"/>
            <w:shd w:val="clear" w:color="auto" w:fill="auto"/>
          </w:tcPr>
          <w:p w14:paraId="147ABE24" w14:textId="77777777" w:rsidR="000D07EA" w:rsidRDefault="00BE7C89">
            <w:pPr>
              <w:pStyle w:val="BodyText"/>
              <w:spacing w:before="100" w:after="100"/>
            </w:pPr>
            <w:r>
              <w:t>Indonesia</w:t>
            </w:r>
          </w:p>
        </w:tc>
        <w:tc>
          <w:tcPr>
            <w:tcW w:w="2187" w:type="dxa"/>
            <w:shd w:val="clear" w:color="auto" w:fill="auto"/>
          </w:tcPr>
          <w:p w14:paraId="43DD2E37" w14:textId="77777777" w:rsidR="000D07EA" w:rsidRDefault="00BE7C89">
            <w:pPr>
              <w:pStyle w:val="BodyText"/>
              <w:spacing w:before="100" w:after="100"/>
            </w:pPr>
            <w:r>
              <w:t>India</w:t>
            </w:r>
          </w:p>
        </w:tc>
        <w:tc>
          <w:tcPr>
            <w:tcW w:w="2187" w:type="dxa"/>
            <w:shd w:val="clear" w:color="auto" w:fill="auto"/>
          </w:tcPr>
          <w:p w14:paraId="1742C43B" w14:textId="77777777" w:rsidR="000D07EA" w:rsidRDefault="00BE7C89">
            <w:pPr>
              <w:pStyle w:val="BodyText"/>
              <w:spacing w:before="100" w:after="100"/>
            </w:pPr>
            <w:r>
              <w:t>Ireland</w:t>
            </w:r>
          </w:p>
        </w:tc>
        <w:tc>
          <w:tcPr>
            <w:tcW w:w="2187" w:type="dxa"/>
            <w:shd w:val="clear" w:color="auto" w:fill="auto"/>
          </w:tcPr>
          <w:p w14:paraId="776ED383" w14:textId="77777777" w:rsidR="000D07EA" w:rsidRDefault="00BE7C89">
            <w:pPr>
              <w:pStyle w:val="BodyText"/>
              <w:spacing w:before="100" w:after="100"/>
            </w:pPr>
            <w:r>
              <w:t>Italy</w:t>
            </w:r>
          </w:p>
        </w:tc>
      </w:tr>
      <w:tr w:rsidR="000D07EA" w14:paraId="6D059A82" w14:textId="77777777">
        <w:tc>
          <w:tcPr>
            <w:tcW w:w="2187" w:type="dxa"/>
            <w:shd w:val="clear" w:color="auto" w:fill="auto"/>
          </w:tcPr>
          <w:p w14:paraId="513536D2" w14:textId="77777777" w:rsidR="000D07EA" w:rsidRDefault="00BE7C89">
            <w:pPr>
              <w:pStyle w:val="BodyText"/>
              <w:spacing w:before="100" w:after="100"/>
            </w:pPr>
            <w:r>
              <w:t xml:space="preserve">Japan </w:t>
            </w:r>
          </w:p>
        </w:tc>
        <w:tc>
          <w:tcPr>
            <w:tcW w:w="2187" w:type="dxa"/>
            <w:shd w:val="clear" w:color="auto" w:fill="auto"/>
          </w:tcPr>
          <w:p w14:paraId="018505DD" w14:textId="77777777" w:rsidR="000D07EA" w:rsidRDefault="00BE7C89">
            <w:pPr>
              <w:pStyle w:val="BodyText"/>
              <w:spacing w:before="100" w:after="100"/>
            </w:pPr>
            <w:r>
              <w:t>Malaysia</w:t>
            </w:r>
          </w:p>
        </w:tc>
        <w:tc>
          <w:tcPr>
            <w:tcW w:w="2187" w:type="dxa"/>
            <w:shd w:val="clear" w:color="auto" w:fill="auto"/>
          </w:tcPr>
          <w:p w14:paraId="673E8E27" w14:textId="77777777" w:rsidR="000D07EA" w:rsidRDefault="00BE7C89">
            <w:pPr>
              <w:pStyle w:val="BodyText"/>
              <w:spacing w:before="100" w:after="100"/>
            </w:pPr>
            <w:r>
              <w:t>Netherlands</w:t>
            </w:r>
          </w:p>
        </w:tc>
        <w:tc>
          <w:tcPr>
            <w:tcW w:w="2187" w:type="dxa"/>
            <w:shd w:val="clear" w:color="auto" w:fill="auto"/>
          </w:tcPr>
          <w:p w14:paraId="65E06813" w14:textId="77777777" w:rsidR="000D07EA" w:rsidRDefault="00BE7C89">
            <w:pPr>
              <w:pStyle w:val="BodyText"/>
              <w:spacing w:before="100" w:after="100"/>
            </w:pPr>
            <w:r>
              <w:t>New Zealand</w:t>
            </w:r>
          </w:p>
        </w:tc>
      </w:tr>
      <w:tr w:rsidR="000D07EA" w14:paraId="6CAD8FA3" w14:textId="77777777">
        <w:tc>
          <w:tcPr>
            <w:tcW w:w="2187" w:type="dxa"/>
            <w:shd w:val="clear" w:color="auto" w:fill="auto"/>
          </w:tcPr>
          <w:p w14:paraId="0B0565DD" w14:textId="77777777" w:rsidR="000D07EA" w:rsidRDefault="00BE7C89">
            <w:pPr>
              <w:pStyle w:val="BodyText"/>
              <w:spacing w:before="100" w:after="100"/>
            </w:pPr>
            <w:r>
              <w:t xml:space="preserve">Pakistan </w:t>
            </w:r>
          </w:p>
        </w:tc>
        <w:tc>
          <w:tcPr>
            <w:tcW w:w="2187" w:type="dxa"/>
            <w:shd w:val="clear" w:color="auto" w:fill="auto"/>
          </w:tcPr>
          <w:p w14:paraId="692193D8" w14:textId="77777777" w:rsidR="000D07EA" w:rsidRDefault="00BE7C89">
            <w:pPr>
              <w:pStyle w:val="BodyText"/>
              <w:spacing w:before="100" w:after="100"/>
            </w:pPr>
            <w:r>
              <w:t>Philippines</w:t>
            </w:r>
          </w:p>
        </w:tc>
        <w:tc>
          <w:tcPr>
            <w:tcW w:w="2187" w:type="dxa"/>
            <w:shd w:val="clear" w:color="auto" w:fill="auto"/>
          </w:tcPr>
          <w:p w14:paraId="4831A706" w14:textId="77777777" w:rsidR="000D07EA" w:rsidRDefault="00BE7C89">
            <w:pPr>
              <w:pStyle w:val="BodyText"/>
              <w:spacing w:before="100" w:after="100"/>
            </w:pPr>
            <w:r>
              <w:t xml:space="preserve">Poland </w:t>
            </w:r>
          </w:p>
        </w:tc>
        <w:tc>
          <w:tcPr>
            <w:tcW w:w="2187" w:type="dxa"/>
            <w:shd w:val="clear" w:color="auto" w:fill="auto"/>
          </w:tcPr>
          <w:p w14:paraId="33E17E0D" w14:textId="77777777" w:rsidR="000D07EA" w:rsidRDefault="00BE7C89">
            <w:pPr>
              <w:pStyle w:val="BodyText"/>
              <w:spacing w:before="100" w:after="100"/>
            </w:pPr>
            <w:r>
              <w:t>Singapore</w:t>
            </w:r>
          </w:p>
        </w:tc>
      </w:tr>
      <w:tr w:rsidR="000D07EA" w14:paraId="1B46832C" w14:textId="77777777">
        <w:tc>
          <w:tcPr>
            <w:tcW w:w="2187" w:type="dxa"/>
            <w:shd w:val="clear" w:color="auto" w:fill="auto"/>
          </w:tcPr>
          <w:p w14:paraId="596C5507" w14:textId="77777777" w:rsidR="000D07EA" w:rsidRDefault="00BE7C89">
            <w:pPr>
              <w:pStyle w:val="BodyText"/>
              <w:spacing w:before="100" w:after="100"/>
            </w:pPr>
            <w:r>
              <w:t xml:space="preserve">South Africa </w:t>
            </w:r>
          </w:p>
        </w:tc>
        <w:tc>
          <w:tcPr>
            <w:tcW w:w="2187" w:type="dxa"/>
            <w:shd w:val="clear" w:color="auto" w:fill="auto"/>
          </w:tcPr>
          <w:p w14:paraId="2C06CE47" w14:textId="77777777" w:rsidR="000D07EA" w:rsidRDefault="00BE7C89">
            <w:pPr>
              <w:pStyle w:val="BodyText"/>
              <w:spacing w:before="100" w:after="100"/>
            </w:pPr>
            <w:r>
              <w:t>South Korea</w:t>
            </w:r>
          </w:p>
        </w:tc>
        <w:tc>
          <w:tcPr>
            <w:tcW w:w="2187" w:type="dxa"/>
            <w:shd w:val="clear" w:color="auto" w:fill="auto"/>
          </w:tcPr>
          <w:p w14:paraId="1C244061" w14:textId="77777777" w:rsidR="000D07EA" w:rsidRDefault="00BE7C89">
            <w:pPr>
              <w:pStyle w:val="BodyText"/>
              <w:spacing w:before="100" w:after="100"/>
            </w:pPr>
            <w:r>
              <w:t xml:space="preserve">Taiwan </w:t>
            </w:r>
          </w:p>
        </w:tc>
        <w:tc>
          <w:tcPr>
            <w:tcW w:w="2187" w:type="dxa"/>
            <w:shd w:val="clear" w:color="auto" w:fill="auto"/>
          </w:tcPr>
          <w:p w14:paraId="35C680C3" w14:textId="77777777" w:rsidR="000D07EA" w:rsidRDefault="00BE7C89">
            <w:pPr>
              <w:pStyle w:val="BodyText"/>
              <w:spacing w:before="100" w:after="100"/>
            </w:pPr>
            <w:r>
              <w:t>Thailand</w:t>
            </w:r>
          </w:p>
        </w:tc>
      </w:tr>
      <w:tr w:rsidR="000D07EA" w14:paraId="238A423E" w14:textId="77777777">
        <w:tc>
          <w:tcPr>
            <w:tcW w:w="2187" w:type="dxa"/>
            <w:shd w:val="clear" w:color="auto" w:fill="auto"/>
          </w:tcPr>
          <w:p w14:paraId="7B22E9A6" w14:textId="77777777" w:rsidR="000D07EA" w:rsidRDefault="00BE7C89">
            <w:pPr>
              <w:pStyle w:val="BodyText"/>
              <w:spacing w:before="100" w:after="100"/>
            </w:pPr>
            <w:r>
              <w:t>Turkey</w:t>
            </w:r>
          </w:p>
        </w:tc>
        <w:tc>
          <w:tcPr>
            <w:tcW w:w="2187" w:type="dxa"/>
            <w:shd w:val="clear" w:color="auto" w:fill="auto"/>
          </w:tcPr>
          <w:p w14:paraId="056A8E21" w14:textId="77777777" w:rsidR="000D07EA" w:rsidRDefault="00BE7C89">
            <w:pPr>
              <w:pStyle w:val="BodyText"/>
              <w:spacing w:before="100" w:after="100"/>
            </w:pPr>
            <w:r>
              <w:t>United Kingdom</w:t>
            </w:r>
          </w:p>
        </w:tc>
        <w:tc>
          <w:tcPr>
            <w:tcW w:w="2187" w:type="dxa"/>
            <w:shd w:val="clear" w:color="auto" w:fill="auto"/>
          </w:tcPr>
          <w:p w14:paraId="63DB2F2D" w14:textId="77777777" w:rsidR="000D07EA" w:rsidRDefault="00BE7C89">
            <w:pPr>
              <w:pStyle w:val="BodyText"/>
              <w:spacing w:before="100" w:after="100"/>
            </w:pPr>
            <w:r>
              <w:t xml:space="preserve">USA </w:t>
            </w:r>
          </w:p>
        </w:tc>
        <w:tc>
          <w:tcPr>
            <w:tcW w:w="2187" w:type="dxa"/>
            <w:shd w:val="clear" w:color="auto" w:fill="auto"/>
          </w:tcPr>
          <w:p w14:paraId="6AADAB1C" w14:textId="77777777" w:rsidR="000D07EA" w:rsidRDefault="00BE7C89">
            <w:pPr>
              <w:pStyle w:val="BodyText"/>
              <w:spacing w:before="100" w:after="100"/>
            </w:pPr>
            <w:r>
              <w:t>Vietnam</w:t>
            </w:r>
          </w:p>
        </w:tc>
      </w:tr>
    </w:tbl>
    <w:p w14:paraId="0A1BFBAD" w14:textId="77777777" w:rsidR="000D07EA" w:rsidRDefault="000D07EA">
      <w:pPr>
        <w:pStyle w:val="BodyText"/>
        <w:ind w:left="720"/>
      </w:pPr>
    </w:p>
    <w:p w14:paraId="6E92C355" w14:textId="77777777" w:rsidR="000D07EA" w:rsidRDefault="00BE7C89">
      <w:pPr>
        <w:pStyle w:val="Heading6"/>
        <w:ind w:left="0" w:firstLine="0"/>
      </w:pPr>
      <w:bookmarkStart w:id="1097" w:name="_Toc429127220"/>
      <w:bookmarkStart w:id="1098" w:name="_Toc432586042"/>
      <w:r>
        <w:t>My Account</w:t>
      </w:r>
      <w:bookmarkEnd w:id="1097"/>
      <w:bookmarkEnd w:id="1098"/>
    </w:p>
    <w:p w14:paraId="0F5C8985" w14:textId="77777777" w:rsidR="000D07EA" w:rsidRDefault="00BE7C89">
      <w:pPr>
        <w:pStyle w:val="BodyText"/>
        <w:ind w:left="72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service has used. If </w:t>
      </w:r>
      <w:r>
        <w:rPr>
          <w:i/>
        </w:rPr>
        <w:t>you</w:t>
      </w:r>
      <w:r>
        <w:t xml:space="preserve"> have more than 6 services on </w:t>
      </w:r>
      <w:r>
        <w:rPr>
          <w:i/>
        </w:rPr>
        <w:t>your</w:t>
      </w:r>
      <w:r>
        <w:t xml:space="preserve"> account, My Account may not be suitable for viewing usage and managing </w:t>
      </w:r>
      <w:r>
        <w:rPr>
          <w:i/>
        </w:rPr>
        <w:t xml:space="preserve">your </w:t>
      </w:r>
      <w:r>
        <w:t>usage alerts.</w:t>
      </w:r>
    </w:p>
    <w:p w14:paraId="6C146DAF" w14:textId="77777777" w:rsidR="000D07EA" w:rsidRDefault="00BE7C89">
      <w:pPr>
        <w:pStyle w:val="Heading6"/>
        <w:ind w:left="0" w:firstLine="0"/>
      </w:pPr>
      <w:bookmarkStart w:id="1099" w:name="_Toc429127221"/>
      <w:bookmarkStart w:id="1100" w:name="_Toc432586043"/>
      <w:r>
        <w:t xml:space="preserve">What happens if the </w:t>
      </w:r>
      <w:r>
        <w:rPr>
          <w:i/>
        </w:rPr>
        <w:t xml:space="preserve">service </w:t>
      </w:r>
      <w:r>
        <w:t>is</w:t>
      </w:r>
      <w:r>
        <w:rPr>
          <w:i/>
        </w:rPr>
        <w:t xml:space="preserve"> cancelled </w:t>
      </w:r>
      <w:r>
        <w:t>early?</w:t>
      </w:r>
      <w:bookmarkEnd w:id="1099"/>
      <w:bookmarkEnd w:id="1100"/>
      <w:r>
        <w:t xml:space="preserve"> </w:t>
      </w:r>
    </w:p>
    <w:p w14:paraId="66C0BF85" w14:textId="77777777" w:rsidR="000D07EA" w:rsidRDefault="00BE7C89">
      <w:pPr>
        <w:pStyle w:val="Heading7"/>
      </w:pPr>
      <w:r>
        <w:t>If the</w:t>
      </w:r>
      <w:r>
        <w:rPr>
          <w:i/>
        </w:rPr>
        <w:t xml:space="preserve"> service</w:t>
      </w:r>
      <w:r>
        <w:t xml:space="preserve"> is</w:t>
      </w:r>
      <w:r>
        <w:rPr>
          <w:i/>
        </w:rPr>
        <w:t xml:space="preserve"> cancelled </w:t>
      </w:r>
      <w:r>
        <w:t xml:space="preserve">before the end of </w:t>
      </w:r>
      <w:r>
        <w:rPr>
          <w:i/>
        </w:rPr>
        <w:t xml:space="preserve">your minimum term, you </w:t>
      </w:r>
      <w:r>
        <w:t xml:space="preserve">will be required to pay </w:t>
      </w:r>
      <w:r>
        <w:rPr>
          <w:i/>
        </w:rPr>
        <w:t>us</w:t>
      </w:r>
      <w:r>
        <w:t>:</w:t>
      </w:r>
    </w:p>
    <w:p w14:paraId="0B802F5B" w14:textId="77777777" w:rsidR="000D07EA" w:rsidRDefault="00BE7C89">
      <w:pPr>
        <w:pStyle w:val="Heading8"/>
      </w:pPr>
      <w:r>
        <w:t xml:space="preserve">any usage charges incurred up to, and including, the </w:t>
      </w:r>
      <w:r>
        <w:rPr>
          <w:i/>
        </w:rPr>
        <w:t>cancellation date</w:t>
      </w:r>
      <w:r>
        <w:t>; plus</w:t>
      </w:r>
    </w:p>
    <w:p w14:paraId="4FA567F6" w14:textId="77777777" w:rsidR="000D07EA" w:rsidRDefault="00BE7C89">
      <w:pPr>
        <w:pStyle w:val="Heading8"/>
      </w:pPr>
      <w:r>
        <w:t xml:space="preserve">the </w:t>
      </w:r>
      <w:r>
        <w:rPr>
          <w:i/>
        </w:rPr>
        <w:t>cancellation fees</w:t>
      </w:r>
      <w:r>
        <w:t xml:space="preserve"> set out in paragraph </w:t>
      </w:r>
      <w:r>
        <w:fldChar w:fldCharType="begin"/>
      </w:r>
      <w:r>
        <w:instrText xml:space="preserve"> REF _Ref461555801 \n \h </w:instrText>
      </w:r>
      <w:r>
        <w:fldChar w:fldCharType="separate"/>
      </w:r>
      <w:r w:rsidR="0004083A">
        <w:t>(b)</w:t>
      </w:r>
      <w:r>
        <w:fldChar w:fldCharType="end"/>
      </w:r>
      <w:r>
        <w:t xml:space="preserve"> below (unless under clause 2A of the </w:t>
      </w:r>
      <w:r>
        <w:rPr>
          <w:i/>
        </w:rPr>
        <w:t>consumer terms</w:t>
      </w:r>
      <w:r>
        <w:t xml:space="preserve">, </w:t>
      </w:r>
      <w:r>
        <w:rPr>
          <w:i/>
        </w:rPr>
        <w:t xml:space="preserve">you </w:t>
      </w:r>
      <w:r>
        <w:t xml:space="preserve">are entitled to </w:t>
      </w:r>
      <w:r>
        <w:rPr>
          <w:i/>
        </w:rPr>
        <w:t>cancel the service</w:t>
      </w:r>
      <w:r>
        <w:t xml:space="preserve"> without incurring a </w:t>
      </w:r>
      <w:r>
        <w:rPr>
          <w:i/>
        </w:rPr>
        <w:t>cancellation fee</w:t>
      </w:r>
      <w:r>
        <w:t>); plus</w:t>
      </w:r>
    </w:p>
    <w:p w14:paraId="17922129" w14:textId="77777777" w:rsidR="000D07EA" w:rsidRDefault="00BE7C89">
      <w:pPr>
        <w:pStyle w:val="Heading7"/>
      </w:pPr>
      <w:bookmarkStart w:id="1101" w:name="_Ref461555801"/>
      <w:r>
        <w:t xml:space="preserve">Note, any Handset Credit </w:t>
      </w:r>
      <w:r>
        <w:rPr>
          <w:i/>
        </w:rPr>
        <w:t xml:space="preserve">you </w:t>
      </w:r>
      <w:r>
        <w:t xml:space="preserve">were entitled to will be forfeited (see </w:t>
      </w:r>
      <w:r>
        <w:fldChar w:fldCharType="begin"/>
      </w:r>
      <w:r>
        <w:instrText xml:space="preserve"> REF _Ref461555788 \n \h </w:instrText>
      </w:r>
      <w:r>
        <w:fldChar w:fldCharType="separate"/>
      </w:r>
      <w:r w:rsidR="0004083A">
        <w:t>121.5</w:t>
      </w:r>
      <w:r>
        <w:fldChar w:fldCharType="end"/>
      </w:r>
      <w:r>
        <w:t xml:space="preserve"> above) if the account is cancelled.</w:t>
      </w:r>
      <w:bookmarkEnd w:id="1101"/>
      <w:r>
        <w:t xml:space="preserve"> </w:t>
      </w:r>
    </w:p>
    <w:p w14:paraId="5C0EDEBC" w14:textId="77777777" w:rsidR="000D07EA" w:rsidRDefault="00BE7C89">
      <w:pPr>
        <w:pStyle w:val="Heading7"/>
      </w:pPr>
      <w:r>
        <w:t xml:space="preserve">The </w:t>
      </w:r>
      <w:r>
        <w:rPr>
          <w:i/>
        </w:rPr>
        <w:t>cancellation fee</w:t>
      </w:r>
      <w:r>
        <w:t xml:space="preserve"> is calculated as the following amounts, multiplied by the months remaining on </w:t>
      </w:r>
      <w:r>
        <w:rPr>
          <w:i/>
        </w:rPr>
        <w:t>your minimum term</w:t>
      </w:r>
      <w:r>
        <w:t>:</w:t>
      </w:r>
    </w:p>
    <w:tbl>
      <w:tblPr>
        <w:tblW w:w="96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8"/>
        <w:gridCol w:w="1548"/>
        <w:gridCol w:w="1548"/>
        <w:gridCol w:w="1548"/>
        <w:gridCol w:w="1548"/>
        <w:gridCol w:w="1548"/>
      </w:tblGrid>
      <w:tr w:rsidR="000D07EA" w14:paraId="7643EBCB" w14:textId="77777777">
        <w:trPr>
          <w:trHeight w:val="289"/>
          <w:tblHeader/>
        </w:trPr>
        <w:tc>
          <w:tcPr>
            <w:tcW w:w="9648" w:type="dxa"/>
            <w:gridSpan w:val="6"/>
          </w:tcPr>
          <w:p w14:paraId="4183BF05" w14:textId="77777777" w:rsidR="000D07EA" w:rsidRDefault="00BE7C89">
            <w:pPr>
              <w:pStyle w:val="BodyText"/>
              <w:spacing w:before="100" w:after="100"/>
              <w:jc w:val="center"/>
              <w:rPr>
                <w:b/>
              </w:rPr>
            </w:pPr>
            <w:r>
              <w:rPr>
                <w:b/>
              </w:rPr>
              <w:lastRenderedPageBreak/>
              <w:t>My Plan Business Tech Fund</w:t>
            </w:r>
          </w:p>
        </w:tc>
      </w:tr>
      <w:tr w:rsidR="000D07EA" w14:paraId="0261704A" w14:textId="77777777">
        <w:trPr>
          <w:trHeight w:val="58"/>
          <w:tblHeader/>
        </w:trPr>
        <w:tc>
          <w:tcPr>
            <w:tcW w:w="1908" w:type="dxa"/>
            <w:vAlign w:val="center"/>
          </w:tcPr>
          <w:p w14:paraId="26B9C7CE" w14:textId="77777777" w:rsidR="000D07EA" w:rsidRDefault="00BE7C89">
            <w:pPr>
              <w:pStyle w:val="BodyText"/>
              <w:spacing w:before="100" w:after="100"/>
              <w:rPr>
                <w:b/>
              </w:rPr>
            </w:pPr>
            <w:r>
              <w:rPr>
                <w:b/>
              </w:rPr>
              <w:t>Plan</w:t>
            </w:r>
          </w:p>
        </w:tc>
        <w:tc>
          <w:tcPr>
            <w:tcW w:w="1548" w:type="dxa"/>
          </w:tcPr>
          <w:p w14:paraId="4032E375" w14:textId="77777777" w:rsidR="000D07EA" w:rsidRDefault="00BE7C89">
            <w:pPr>
              <w:pStyle w:val="BodyText"/>
              <w:spacing w:before="100" w:after="100"/>
              <w:jc w:val="center"/>
              <w:rPr>
                <w:b/>
              </w:rPr>
            </w:pPr>
            <w:r>
              <w:rPr>
                <w:b/>
              </w:rPr>
              <w:t>$80 My Plan Business Tech Fund</w:t>
            </w:r>
          </w:p>
        </w:tc>
        <w:tc>
          <w:tcPr>
            <w:tcW w:w="1548" w:type="dxa"/>
          </w:tcPr>
          <w:p w14:paraId="7B4CCD20" w14:textId="77777777" w:rsidR="000D07EA" w:rsidRDefault="00BE7C89">
            <w:pPr>
              <w:pStyle w:val="BodyText"/>
              <w:spacing w:before="100" w:after="100"/>
              <w:jc w:val="center"/>
              <w:rPr>
                <w:b/>
              </w:rPr>
            </w:pPr>
            <w:r>
              <w:rPr>
                <w:b/>
              </w:rPr>
              <w:t>$100 My Plan Business Tech Fund</w:t>
            </w:r>
          </w:p>
        </w:tc>
        <w:tc>
          <w:tcPr>
            <w:tcW w:w="1548" w:type="dxa"/>
          </w:tcPr>
          <w:p w14:paraId="4C664BB8" w14:textId="77777777" w:rsidR="000D07EA" w:rsidRDefault="00BE7C89">
            <w:pPr>
              <w:pStyle w:val="BodyText"/>
              <w:spacing w:before="100" w:after="100"/>
              <w:jc w:val="center"/>
              <w:rPr>
                <w:b/>
              </w:rPr>
            </w:pPr>
            <w:r>
              <w:rPr>
                <w:b/>
              </w:rPr>
              <w:t>$130 My Plan Business Tech Fund</w:t>
            </w:r>
          </w:p>
        </w:tc>
        <w:tc>
          <w:tcPr>
            <w:tcW w:w="1548" w:type="dxa"/>
          </w:tcPr>
          <w:p w14:paraId="0B73BEDE" w14:textId="77777777" w:rsidR="000D07EA" w:rsidRDefault="00BE7C89">
            <w:pPr>
              <w:pStyle w:val="BodyText"/>
              <w:spacing w:before="100" w:after="100"/>
              <w:jc w:val="center"/>
              <w:rPr>
                <w:b/>
              </w:rPr>
            </w:pPr>
            <w:r>
              <w:rPr>
                <w:b/>
              </w:rPr>
              <w:t>$135 My Plan Business Tech Fund</w:t>
            </w:r>
          </w:p>
        </w:tc>
        <w:tc>
          <w:tcPr>
            <w:tcW w:w="1548" w:type="dxa"/>
          </w:tcPr>
          <w:p w14:paraId="726E0923" w14:textId="77777777" w:rsidR="000D07EA" w:rsidRDefault="00BE7C89">
            <w:pPr>
              <w:pStyle w:val="BodyText"/>
              <w:spacing w:before="100" w:after="100"/>
              <w:jc w:val="center"/>
              <w:rPr>
                <w:b/>
              </w:rPr>
            </w:pPr>
            <w:r>
              <w:rPr>
                <w:b/>
              </w:rPr>
              <w:t>$135 My Plan Business Tech Fund ($100 Promo)</w:t>
            </w:r>
          </w:p>
        </w:tc>
      </w:tr>
      <w:tr w:rsidR="000D07EA" w14:paraId="5EB268A2" w14:textId="77777777">
        <w:trPr>
          <w:trHeight w:val="275"/>
        </w:trPr>
        <w:tc>
          <w:tcPr>
            <w:tcW w:w="1908" w:type="dxa"/>
            <w:vAlign w:val="center"/>
          </w:tcPr>
          <w:p w14:paraId="6F1D8200" w14:textId="77777777" w:rsidR="000D07EA" w:rsidRDefault="00BE7C89">
            <w:pPr>
              <w:pStyle w:val="BodyText"/>
              <w:spacing w:before="100" w:after="100"/>
              <w:rPr>
                <w:b/>
              </w:rPr>
            </w:pPr>
            <w:r>
              <w:rPr>
                <w:b/>
              </w:rPr>
              <w:t xml:space="preserve">Cancellation Fee </w:t>
            </w:r>
          </w:p>
        </w:tc>
        <w:tc>
          <w:tcPr>
            <w:tcW w:w="1548" w:type="dxa"/>
          </w:tcPr>
          <w:p w14:paraId="5A111FE7" w14:textId="77777777" w:rsidR="000D07EA" w:rsidRDefault="00BE7C89">
            <w:pPr>
              <w:pStyle w:val="BodyText"/>
              <w:spacing w:before="100" w:after="100"/>
              <w:jc w:val="center"/>
            </w:pPr>
            <w:r>
              <w:t>$48 x Months remaining</w:t>
            </w:r>
          </w:p>
        </w:tc>
        <w:tc>
          <w:tcPr>
            <w:tcW w:w="1548" w:type="dxa"/>
          </w:tcPr>
          <w:p w14:paraId="5E01D308" w14:textId="77777777" w:rsidR="000D07EA" w:rsidRDefault="00BE7C89">
            <w:pPr>
              <w:pStyle w:val="BodyText"/>
              <w:spacing w:before="100" w:after="100"/>
              <w:jc w:val="center"/>
            </w:pPr>
            <w:r>
              <w:t>$60 x Months remaining</w:t>
            </w:r>
          </w:p>
        </w:tc>
        <w:tc>
          <w:tcPr>
            <w:tcW w:w="1548" w:type="dxa"/>
          </w:tcPr>
          <w:p w14:paraId="0709CC40" w14:textId="77777777" w:rsidR="000D07EA" w:rsidRDefault="00BE7C89">
            <w:pPr>
              <w:pStyle w:val="BodyText"/>
              <w:spacing w:before="100" w:after="100"/>
              <w:jc w:val="center"/>
            </w:pPr>
            <w:r>
              <w:t>$78 x Months remaining</w:t>
            </w:r>
          </w:p>
        </w:tc>
        <w:tc>
          <w:tcPr>
            <w:tcW w:w="1548" w:type="dxa"/>
          </w:tcPr>
          <w:p w14:paraId="1DED6DC5" w14:textId="77777777" w:rsidR="000D07EA" w:rsidRDefault="00BE7C89">
            <w:pPr>
              <w:pStyle w:val="BodyText"/>
              <w:spacing w:before="100" w:after="100"/>
              <w:jc w:val="center"/>
            </w:pPr>
            <w:r>
              <w:t>$81 x Months remaining</w:t>
            </w:r>
          </w:p>
        </w:tc>
        <w:tc>
          <w:tcPr>
            <w:tcW w:w="1548" w:type="dxa"/>
          </w:tcPr>
          <w:p w14:paraId="3898F316" w14:textId="77777777" w:rsidR="000D07EA" w:rsidRDefault="00BE7C89">
            <w:pPr>
              <w:pStyle w:val="BodyText"/>
              <w:spacing w:before="100" w:after="100"/>
              <w:jc w:val="center"/>
            </w:pPr>
            <w:r>
              <w:t>$81 x Months remaining</w:t>
            </w:r>
          </w:p>
        </w:tc>
      </w:tr>
      <w:tr w:rsidR="000D07EA" w14:paraId="50DBD98E" w14:textId="77777777">
        <w:trPr>
          <w:trHeight w:val="58"/>
        </w:trPr>
        <w:tc>
          <w:tcPr>
            <w:tcW w:w="1908" w:type="dxa"/>
            <w:vAlign w:val="center"/>
          </w:tcPr>
          <w:p w14:paraId="7D65004A" w14:textId="77777777" w:rsidR="000D07EA" w:rsidRDefault="00BE7C89">
            <w:pPr>
              <w:pStyle w:val="BodyText"/>
              <w:spacing w:before="100" w:after="100"/>
              <w:rPr>
                <w:b/>
              </w:rPr>
            </w:pPr>
            <w:r>
              <w:rPr>
                <w:b/>
              </w:rPr>
              <w:t>Maximum Cancellation Fee</w:t>
            </w:r>
          </w:p>
        </w:tc>
        <w:tc>
          <w:tcPr>
            <w:tcW w:w="1548" w:type="dxa"/>
          </w:tcPr>
          <w:p w14:paraId="26C9173D" w14:textId="77777777" w:rsidR="000D07EA" w:rsidRDefault="00BE7C89">
            <w:pPr>
              <w:pStyle w:val="BodyText"/>
              <w:spacing w:before="100" w:after="100"/>
              <w:jc w:val="center"/>
            </w:pPr>
            <w:r>
              <w:t>$1152</w:t>
            </w:r>
          </w:p>
        </w:tc>
        <w:tc>
          <w:tcPr>
            <w:tcW w:w="1548" w:type="dxa"/>
          </w:tcPr>
          <w:p w14:paraId="0B8D387C" w14:textId="77777777" w:rsidR="000D07EA" w:rsidRDefault="00BE7C89">
            <w:pPr>
              <w:pStyle w:val="BodyText"/>
              <w:spacing w:before="100" w:after="100"/>
              <w:jc w:val="center"/>
            </w:pPr>
            <w:r>
              <w:t>$1440</w:t>
            </w:r>
          </w:p>
        </w:tc>
        <w:tc>
          <w:tcPr>
            <w:tcW w:w="1548" w:type="dxa"/>
          </w:tcPr>
          <w:p w14:paraId="43BC9ECD" w14:textId="77777777" w:rsidR="000D07EA" w:rsidRDefault="00BE7C89">
            <w:pPr>
              <w:pStyle w:val="BodyText"/>
              <w:spacing w:before="100" w:after="100"/>
              <w:jc w:val="center"/>
            </w:pPr>
            <w:r>
              <w:t>$1872</w:t>
            </w:r>
          </w:p>
        </w:tc>
        <w:tc>
          <w:tcPr>
            <w:tcW w:w="1548" w:type="dxa"/>
          </w:tcPr>
          <w:p w14:paraId="3624E954" w14:textId="77777777" w:rsidR="000D07EA" w:rsidRDefault="00BE7C89">
            <w:pPr>
              <w:pStyle w:val="BodyText"/>
              <w:spacing w:before="100" w:after="100"/>
              <w:jc w:val="center"/>
            </w:pPr>
            <w:r>
              <w:t>$1944</w:t>
            </w:r>
          </w:p>
        </w:tc>
        <w:tc>
          <w:tcPr>
            <w:tcW w:w="1548" w:type="dxa"/>
          </w:tcPr>
          <w:p w14:paraId="4118009A" w14:textId="77777777" w:rsidR="000D07EA" w:rsidRDefault="00BE7C89">
            <w:pPr>
              <w:pStyle w:val="BodyText"/>
              <w:spacing w:before="100" w:after="100"/>
              <w:jc w:val="center"/>
            </w:pPr>
            <w:r>
              <w:t>$1944</w:t>
            </w:r>
          </w:p>
        </w:tc>
      </w:tr>
    </w:tbl>
    <w:p w14:paraId="1D35EC9D" w14:textId="77777777" w:rsidR="000D07EA" w:rsidRDefault="000D07EA">
      <w:pPr>
        <w:pStyle w:val="BodyText"/>
      </w:pPr>
    </w:p>
    <w:p w14:paraId="38C2F636" w14:textId="77777777" w:rsidR="000D07EA" w:rsidRDefault="00BE7C89">
      <w:pPr>
        <w:pStyle w:val="Heading7"/>
        <w:rPr>
          <w:i/>
        </w:rPr>
      </w:pPr>
      <w:r>
        <w:t xml:space="preserve">If </w:t>
      </w:r>
      <w:r>
        <w:rPr>
          <w:i/>
        </w:rPr>
        <w:t>your</w:t>
      </w:r>
      <w:r>
        <w:t xml:space="preserve"> My Plan Business Tech Fund is </w:t>
      </w:r>
      <w:r>
        <w:rPr>
          <w:i/>
        </w:rPr>
        <w:t>cancelled</w:t>
      </w:r>
      <w:r>
        <w:t xml:space="preserve">, </w:t>
      </w:r>
      <w:r>
        <w:rPr>
          <w:i/>
        </w:rPr>
        <w:t>your</w:t>
      </w:r>
      <w:r>
        <w:t xml:space="preserve"> Shared Data Plan(s) may also be </w:t>
      </w:r>
      <w:r>
        <w:rPr>
          <w:i/>
        </w:rPr>
        <w:t>cancelled</w:t>
      </w:r>
      <w:r>
        <w:t xml:space="preserve">. There are no </w:t>
      </w:r>
      <w:r>
        <w:rPr>
          <w:i/>
        </w:rPr>
        <w:t>cancellation fees</w:t>
      </w:r>
      <w:r>
        <w:t xml:space="preserve"> for the Shared Data Plan, however if </w:t>
      </w:r>
      <w:r>
        <w:rPr>
          <w:i/>
        </w:rPr>
        <w:t>you</w:t>
      </w:r>
      <w:r>
        <w:t xml:space="preserve"> purchased a </w:t>
      </w:r>
      <w:r>
        <w:rPr>
          <w:i/>
        </w:rPr>
        <w:t>device</w:t>
      </w:r>
      <w:r>
        <w:t xml:space="preserve"> </w:t>
      </w:r>
      <w:r>
        <w:rPr>
          <w:i/>
        </w:rPr>
        <w:t>you</w:t>
      </w:r>
      <w:r>
        <w:t xml:space="preserve"> need to pay the sum of any remaining </w:t>
      </w:r>
      <w:r>
        <w:rPr>
          <w:i/>
        </w:rPr>
        <w:t xml:space="preserve">equipment charges </w:t>
      </w:r>
      <w:r>
        <w:t xml:space="preserve">owing on </w:t>
      </w:r>
      <w:r>
        <w:rPr>
          <w:i/>
        </w:rPr>
        <w:t xml:space="preserve">your device </w:t>
      </w:r>
      <w:r>
        <w:t xml:space="preserve">under the </w:t>
      </w:r>
      <w:r>
        <w:rPr>
          <w:i/>
        </w:rPr>
        <w:t xml:space="preserve">mobile equipment payment plan </w:t>
      </w:r>
      <w:r>
        <w:t xml:space="preserve">(see </w:t>
      </w:r>
      <w:hyperlink r:id="rId613" w:history="1">
        <w:r>
          <w:rPr>
            <w:rStyle w:val="Hyperlink"/>
            <w:i/>
          </w:rPr>
          <w:t>Appendix D</w:t>
        </w:r>
      </w:hyperlink>
      <w:r>
        <w:rPr>
          <w:i/>
        </w:rPr>
        <w:t>).</w:t>
      </w:r>
    </w:p>
    <w:p w14:paraId="2A6C51C8" w14:textId="77777777" w:rsidR="000D07EA" w:rsidRDefault="00BE7C89">
      <w:pPr>
        <w:pStyle w:val="Heading7"/>
      </w:pPr>
      <w:r>
        <w:t xml:space="preserve">If </w:t>
      </w:r>
      <w:r>
        <w:rPr>
          <w:i/>
        </w:rPr>
        <w:t xml:space="preserve">your </w:t>
      </w:r>
      <w:r>
        <w:t xml:space="preserve">Shared Data Plan is not </w:t>
      </w:r>
      <w:r>
        <w:rPr>
          <w:i/>
        </w:rPr>
        <w:t>cancelled</w:t>
      </w:r>
      <w:r>
        <w:t xml:space="preserve">, </w:t>
      </w:r>
      <w:r>
        <w:rPr>
          <w:i/>
        </w:rPr>
        <w:t>you</w:t>
      </w:r>
      <w:r>
        <w:t xml:space="preserve"> will be charged $10 per 1GB within Australia, up to a maximum of 150GB (per account) in a billing month. Your service/s may then be restricted or we may continue to charge you at these rates. </w:t>
      </w:r>
    </w:p>
    <w:p w14:paraId="188A292B" w14:textId="77777777" w:rsidR="000D07EA" w:rsidRDefault="00BE7C89">
      <w:pPr>
        <w:pStyle w:val="Heading4"/>
        <w:ind w:left="720" w:hanging="720"/>
      </w:pPr>
      <w:bookmarkStart w:id="1102" w:name="_Toc418070652"/>
      <w:bookmarkStart w:id="1103" w:name="_Toc433793135"/>
      <w:bookmarkStart w:id="1104" w:name="_Toc436736475"/>
      <w:bookmarkStart w:id="1105" w:name="_Toc437268080"/>
      <w:bookmarkStart w:id="1106" w:name="_Toc455147641"/>
      <w:bookmarkStart w:id="1107" w:name="_Toc62644663"/>
      <w:r>
        <w:t>My Plan Business Sim</w:t>
      </w:r>
      <w:bookmarkEnd w:id="1102"/>
      <w:bookmarkEnd w:id="1103"/>
      <w:r>
        <w:t xml:space="preserve"> (Promotional)</w:t>
      </w:r>
      <w:bookmarkEnd w:id="1104"/>
      <w:bookmarkEnd w:id="1105"/>
      <w:bookmarkEnd w:id="1106"/>
      <w:bookmarkEnd w:id="1107"/>
    </w:p>
    <w:p w14:paraId="075A235A" w14:textId="77777777" w:rsidR="000D07EA" w:rsidRDefault="00BE7C89">
      <w:pPr>
        <w:pStyle w:val="BodyText"/>
        <w:ind w:left="720"/>
      </w:pPr>
      <w:r>
        <w:t xml:space="preserve">This section relates to the following plans. </w:t>
      </w:r>
      <w:r>
        <w:rPr>
          <w:i/>
        </w:rPr>
        <w:t>You</w:t>
      </w:r>
      <w:r>
        <w:t xml:space="preserve"> can find </w:t>
      </w:r>
      <w:r>
        <w:rPr>
          <w:i/>
        </w:rPr>
        <w:t>your</w:t>
      </w:r>
      <w:r>
        <w:t xml:space="preserve"> Plan ID on </w:t>
      </w:r>
      <w:r>
        <w:rPr>
          <w:i/>
        </w:rPr>
        <w:t>your</w:t>
      </w:r>
      <w:r>
        <w:t xml:space="preserve"> bill under the Mobile Number Summary section: </w:t>
      </w:r>
    </w:p>
    <w:tbl>
      <w:tblPr>
        <w:tblW w:w="919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6"/>
        <w:gridCol w:w="2382"/>
        <w:gridCol w:w="4050"/>
      </w:tblGrid>
      <w:tr w:rsidR="000D07EA" w14:paraId="3C421F76" w14:textId="77777777">
        <w:tc>
          <w:tcPr>
            <w:tcW w:w="2766" w:type="dxa"/>
            <w:shd w:val="clear" w:color="auto" w:fill="auto"/>
          </w:tcPr>
          <w:p w14:paraId="280AE72C" w14:textId="77777777" w:rsidR="000D07EA" w:rsidRDefault="00BE7C89">
            <w:pPr>
              <w:pStyle w:val="BodyText"/>
              <w:spacing w:before="100" w:after="100"/>
              <w:jc w:val="center"/>
              <w:rPr>
                <w:b/>
              </w:rPr>
            </w:pPr>
            <w:r>
              <w:rPr>
                <w:b/>
              </w:rPr>
              <w:t>Plan</w:t>
            </w:r>
          </w:p>
        </w:tc>
        <w:tc>
          <w:tcPr>
            <w:tcW w:w="2382" w:type="dxa"/>
            <w:shd w:val="clear" w:color="auto" w:fill="auto"/>
          </w:tcPr>
          <w:p w14:paraId="455354A8" w14:textId="77777777" w:rsidR="000D07EA" w:rsidRDefault="00BE7C89">
            <w:pPr>
              <w:pStyle w:val="BodyText"/>
              <w:spacing w:before="100" w:after="100"/>
              <w:jc w:val="center"/>
              <w:rPr>
                <w:b/>
              </w:rPr>
            </w:pPr>
            <w:r>
              <w:rPr>
                <w:b/>
              </w:rPr>
              <w:t>Plan ID</w:t>
            </w:r>
          </w:p>
        </w:tc>
        <w:tc>
          <w:tcPr>
            <w:tcW w:w="4050" w:type="dxa"/>
            <w:shd w:val="clear" w:color="auto" w:fill="auto"/>
          </w:tcPr>
          <w:p w14:paraId="28E38A6C" w14:textId="77777777" w:rsidR="000D07EA" w:rsidRDefault="00BE7C89">
            <w:pPr>
              <w:pStyle w:val="BodyText"/>
              <w:spacing w:before="100" w:after="100"/>
              <w:jc w:val="center"/>
              <w:rPr>
                <w:b/>
              </w:rPr>
            </w:pPr>
            <w:r>
              <w:rPr>
                <w:b/>
              </w:rPr>
              <w:t>Available</w:t>
            </w:r>
          </w:p>
        </w:tc>
      </w:tr>
      <w:tr w:rsidR="000D07EA" w14:paraId="222BB804" w14:textId="77777777">
        <w:tc>
          <w:tcPr>
            <w:tcW w:w="2766" w:type="dxa"/>
            <w:shd w:val="clear" w:color="auto" w:fill="auto"/>
          </w:tcPr>
          <w:p w14:paraId="4FBDBD9E" w14:textId="77777777" w:rsidR="000D07EA" w:rsidRDefault="00BE7C89">
            <w:pPr>
              <w:pStyle w:val="BodyText"/>
              <w:spacing w:before="100" w:after="100"/>
              <w:jc w:val="center"/>
            </w:pPr>
            <w:r>
              <w:t>$50 My Plan Business SIM</w:t>
            </w:r>
          </w:p>
        </w:tc>
        <w:tc>
          <w:tcPr>
            <w:tcW w:w="2382" w:type="dxa"/>
            <w:shd w:val="clear" w:color="auto" w:fill="auto"/>
          </w:tcPr>
          <w:p w14:paraId="3D2048BD" w14:textId="77777777" w:rsidR="000D07EA" w:rsidRDefault="00BE7C89">
            <w:pPr>
              <w:pStyle w:val="BodyText"/>
              <w:spacing w:before="100" w:after="100"/>
              <w:jc w:val="center"/>
            </w:pPr>
            <w:r>
              <w:t>800337</w:t>
            </w:r>
            <w:r w:rsidR="00140BF1">
              <w:t>, 9008081</w:t>
            </w:r>
          </w:p>
        </w:tc>
        <w:tc>
          <w:tcPr>
            <w:tcW w:w="4050" w:type="dxa"/>
            <w:shd w:val="clear" w:color="auto" w:fill="auto"/>
          </w:tcPr>
          <w:p w14:paraId="1A935B8C" w14:textId="77777777" w:rsidR="000D07EA" w:rsidRDefault="00BE7C89">
            <w:pPr>
              <w:pStyle w:val="BodyText"/>
              <w:spacing w:before="100" w:after="100"/>
              <w:jc w:val="center"/>
            </w:pPr>
            <w:r>
              <w:t>29 November 2015 – 4 January 2016</w:t>
            </w:r>
          </w:p>
        </w:tc>
      </w:tr>
      <w:tr w:rsidR="000D07EA" w14:paraId="2E5BD7B7" w14:textId="77777777">
        <w:tc>
          <w:tcPr>
            <w:tcW w:w="2766" w:type="dxa"/>
            <w:shd w:val="clear" w:color="auto" w:fill="auto"/>
          </w:tcPr>
          <w:p w14:paraId="023F471A" w14:textId="77777777" w:rsidR="000D07EA" w:rsidRDefault="00BE7C89">
            <w:pPr>
              <w:pStyle w:val="BodyText"/>
              <w:spacing w:before="100" w:after="100"/>
              <w:jc w:val="center"/>
            </w:pPr>
            <w:bookmarkStart w:id="1108" w:name="_Toc419374894"/>
            <w:bookmarkStart w:id="1109" w:name="_Toc419725983"/>
            <w:bookmarkStart w:id="1110" w:name="_Toc429479089"/>
            <w:bookmarkStart w:id="1111" w:name="_Toc433793136"/>
            <w:bookmarkStart w:id="1112" w:name="_Toc436736476"/>
            <w:bookmarkStart w:id="1113" w:name="_Toc437268081"/>
            <w:r>
              <w:t>$50 My Plan Business SIM</w:t>
            </w:r>
          </w:p>
        </w:tc>
        <w:tc>
          <w:tcPr>
            <w:tcW w:w="2382" w:type="dxa"/>
            <w:shd w:val="clear" w:color="auto" w:fill="auto"/>
          </w:tcPr>
          <w:p w14:paraId="50975529" w14:textId="77777777" w:rsidR="000D07EA" w:rsidRDefault="00BE7C89">
            <w:pPr>
              <w:pStyle w:val="BodyText"/>
              <w:spacing w:before="100" w:after="100"/>
              <w:jc w:val="center"/>
            </w:pPr>
            <w:r>
              <w:t>800354</w:t>
            </w:r>
            <w:r w:rsidR="00140BF1">
              <w:t>, 9008161</w:t>
            </w:r>
          </w:p>
        </w:tc>
        <w:tc>
          <w:tcPr>
            <w:tcW w:w="4050" w:type="dxa"/>
            <w:shd w:val="clear" w:color="auto" w:fill="auto"/>
          </w:tcPr>
          <w:p w14:paraId="58AADFE2" w14:textId="77777777" w:rsidR="000D07EA" w:rsidRDefault="00BE7C89">
            <w:pPr>
              <w:pStyle w:val="BodyText"/>
              <w:spacing w:before="100" w:after="100"/>
              <w:jc w:val="center"/>
            </w:pPr>
            <w:r>
              <w:t>5 January 2015 – 3 April 2016</w:t>
            </w:r>
          </w:p>
        </w:tc>
      </w:tr>
    </w:tbl>
    <w:p w14:paraId="146F4F91" w14:textId="77777777" w:rsidR="000D07EA" w:rsidRDefault="000D07EA">
      <w:pPr>
        <w:pStyle w:val="BodyText"/>
      </w:pPr>
    </w:p>
    <w:p w14:paraId="0D4C171D" w14:textId="77777777" w:rsidR="000D07EA" w:rsidRDefault="00BE7C89">
      <w:pPr>
        <w:pStyle w:val="Heading6"/>
        <w:ind w:left="0" w:firstLine="0"/>
      </w:pPr>
      <w:r>
        <w:t>Eligibility</w:t>
      </w:r>
      <w:bookmarkEnd w:id="1108"/>
      <w:bookmarkEnd w:id="1109"/>
      <w:bookmarkEnd w:id="1110"/>
      <w:bookmarkEnd w:id="1111"/>
      <w:bookmarkEnd w:id="1112"/>
      <w:bookmarkEnd w:id="1113"/>
    </w:p>
    <w:p w14:paraId="3B1F782C" w14:textId="77777777" w:rsidR="000D07EA" w:rsidRDefault="00BE7C89">
      <w:pPr>
        <w:pStyle w:val="BodyText"/>
        <w:ind w:left="720"/>
      </w:pPr>
      <w:r>
        <w:t xml:space="preserve">The $50 </w:t>
      </w:r>
      <w:r>
        <w:rPr>
          <w:rFonts w:eastAsia="Calibri"/>
        </w:rPr>
        <w:t>My Plan Business SIM</w:t>
      </w:r>
      <w:r>
        <w:t xml:space="preserve"> plan with Plan ID 800337 is only available to new and existing mobile customers connecting to a new </w:t>
      </w:r>
      <w:r>
        <w:rPr>
          <w:i/>
        </w:rPr>
        <w:t xml:space="preserve">service </w:t>
      </w:r>
      <w:r>
        <w:t xml:space="preserve">who pass the Optus' credit assessment. The $50 My Plan Business SIM Plan is a promotional 'was $60, now $50' plan and is not available for recontracts or rate plan changes. </w:t>
      </w:r>
    </w:p>
    <w:p w14:paraId="4151F225" w14:textId="77777777" w:rsidR="000D07EA" w:rsidRDefault="00BE7C89">
      <w:pPr>
        <w:pStyle w:val="BodyText"/>
        <w:ind w:left="720"/>
      </w:pPr>
      <w:r>
        <w:t xml:space="preserve">The $50 </w:t>
      </w:r>
      <w:r>
        <w:rPr>
          <w:rFonts w:eastAsia="Calibri"/>
        </w:rPr>
        <w:t>My Plan Business SIM</w:t>
      </w:r>
      <w:r>
        <w:t xml:space="preserve"> plan with Plan ID 800354 is only available to new and existing mobile customers connecting to a new </w:t>
      </w:r>
      <w:r>
        <w:rPr>
          <w:i/>
        </w:rPr>
        <w:t xml:space="preserve">service </w:t>
      </w:r>
      <w:r>
        <w:t>who pass the Optus' credit assessment. The $50 My Plan Business SIM Only Plan is a promotional plan with double the standard data inclusion ('was 5GB per month, now 10GB per month') and is not available for re-contracts or rate plan changes.</w:t>
      </w:r>
    </w:p>
    <w:p w14:paraId="7FC35E30" w14:textId="77777777" w:rsidR="000D07EA" w:rsidRDefault="00BE7C89">
      <w:pPr>
        <w:pStyle w:val="BodyText"/>
        <w:ind w:left="720"/>
      </w:pPr>
      <w:r>
        <w:t>Optus Service Providers' customers are not eligible to apply</w:t>
      </w:r>
      <w:r>
        <w:rPr>
          <w:snapToGrid w:val="0"/>
        </w:rPr>
        <w:t>.</w:t>
      </w:r>
    </w:p>
    <w:p w14:paraId="05015519" w14:textId="77777777" w:rsidR="000D07EA" w:rsidRDefault="00BE7C89">
      <w:pPr>
        <w:pStyle w:val="BodyText"/>
        <w:ind w:left="720"/>
      </w:pPr>
      <w:r>
        <w:t xml:space="preserve">These </w:t>
      </w:r>
      <w:r>
        <w:rPr>
          <w:i/>
        </w:rPr>
        <w:t>plans</w:t>
      </w:r>
      <w:r>
        <w:t xml:space="preserve"> aren't compatible for data use with BlackBerry handsets on operating systems of 7.1 or earlier.</w:t>
      </w:r>
      <w:bookmarkStart w:id="1114" w:name="_Toc419374895"/>
      <w:bookmarkStart w:id="1115" w:name="_Toc419725984"/>
      <w:bookmarkStart w:id="1116" w:name="_Toc429479090"/>
      <w:bookmarkStart w:id="1117" w:name="_Toc433793137"/>
      <w:bookmarkStart w:id="1118" w:name="_Toc436736477"/>
      <w:bookmarkStart w:id="1119" w:name="_Toc437268082"/>
    </w:p>
    <w:p w14:paraId="1F2A44B9" w14:textId="77777777" w:rsidR="000D07EA" w:rsidRDefault="00BE7C89">
      <w:pPr>
        <w:pStyle w:val="Heading6"/>
        <w:ind w:left="0" w:firstLine="0"/>
      </w:pPr>
      <w:r>
        <w:rPr>
          <w:snapToGrid w:val="0"/>
        </w:rPr>
        <w:t>Minimum Term</w:t>
      </w:r>
      <w:bookmarkEnd w:id="1114"/>
      <w:bookmarkEnd w:id="1115"/>
      <w:bookmarkEnd w:id="1116"/>
      <w:bookmarkEnd w:id="1117"/>
      <w:bookmarkEnd w:id="1118"/>
      <w:bookmarkEnd w:id="1119"/>
    </w:p>
    <w:p w14:paraId="339B403B" w14:textId="77777777" w:rsidR="000D07EA" w:rsidRDefault="00BE7C89">
      <w:pPr>
        <w:pStyle w:val="BodyText"/>
        <w:ind w:left="720"/>
      </w:pPr>
      <w:r>
        <w:t xml:space="preserve">This </w:t>
      </w:r>
      <w:r>
        <w:rPr>
          <w:i/>
        </w:rPr>
        <w:t>plan</w:t>
      </w:r>
      <w:r>
        <w:t xml:space="preserve"> is a month to month plan on a </w:t>
      </w:r>
      <w:r>
        <w:rPr>
          <w:i/>
        </w:rPr>
        <w:t>non-fixed length agreement.</w:t>
      </w:r>
    </w:p>
    <w:p w14:paraId="65FBD4CC" w14:textId="77777777" w:rsidR="000D07EA" w:rsidRDefault="00BE7C89">
      <w:pPr>
        <w:pStyle w:val="Heading6"/>
        <w:ind w:left="0" w:firstLine="0"/>
        <w:rPr>
          <w:b/>
        </w:rPr>
      </w:pPr>
      <w:bookmarkStart w:id="1120" w:name="_Toc419374896"/>
      <w:bookmarkStart w:id="1121" w:name="_Toc419725985"/>
      <w:bookmarkStart w:id="1122" w:name="_Toc429479091"/>
      <w:bookmarkStart w:id="1123" w:name="_Toc433793138"/>
      <w:bookmarkStart w:id="1124" w:name="_Toc436736478"/>
      <w:bookmarkStart w:id="1125" w:name="_Toc437268083"/>
      <w:r>
        <w:t>What you have to pay us</w:t>
      </w:r>
      <w:bookmarkEnd w:id="1120"/>
      <w:bookmarkEnd w:id="1121"/>
      <w:bookmarkEnd w:id="1122"/>
      <w:bookmarkEnd w:id="1123"/>
      <w:bookmarkEnd w:id="1124"/>
      <w:bookmarkEnd w:id="1125"/>
    </w:p>
    <w:p w14:paraId="091F8D40" w14:textId="77777777" w:rsidR="000D07EA" w:rsidRDefault="00BE7C89">
      <w:pPr>
        <w:pStyle w:val="Heading7"/>
      </w:pPr>
      <w:r>
        <w:rPr>
          <w:i/>
        </w:rPr>
        <w:lastRenderedPageBreak/>
        <w:t xml:space="preserve">You </w:t>
      </w:r>
      <w:r>
        <w:t xml:space="preserve">must pay </w:t>
      </w:r>
      <w:r>
        <w:rPr>
          <w:i/>
        </w:rPr>
        <w:t xml:space="preserve">us </w:t>
      </w:r>
      <w:r>
        <w:t xml:space="preserve">for use of the </w:t>
      </w:r>
      <w:r>
        <w:rPr>
          <w:i/>
        </w:rPr>
        <w:t xml:space="preserve">service </w:t>
      </w:r>
      <w:r>
        <w:t xml:space="preserve">at the rates set out in Section 1 of this </w:t>
      </w:r>
      <w:r>
        <w:rPr>
          <w:i/>
        </w:rPr>
        <w:t>standard pricing table</w:t>
      </w:r>
      <w:r>
        <w:t xml:space="preserve"> and for value added service features at the rates set out in </w:t>
      </w:r>
      <w:hyperlink r:id="rId614" w:history="1">
        <w:r>
          <w:rPr>
            <w:rStyle w:val="Hyperlink"/>
            <w:i/>
          </w:rPr>
          <w:t>Appendix Y Value Added Service Features</w:t>
        </w:r>
      </w:hyperlink>
      <w:r>
        <w:t xml:space="preserve">. </w:t>
      </w:r>
    </w:p>
    <w:p w14:paraId="1A7A7C63" w14:textId="77777777" w:rsidR="000D07EA" w:rsidRDefault="00BE7C89">
      <w:pPr>
        <w:pStyle w:val="Heading7"/>
      </w:pPr>
      <w:r>
        <w:t>If there is a flagfall for a particular call type, the charge for these calls is the flagfall amount plus the relevant rate for the call multiplied by the duration of the call.</w:t>
      </w:r>
    </w:p>
    <w:p w14:paraId="680294EA" w14:textId="77777777" w:rsidR="000D07EA" w:rsidRDefault="00BE7C89">
      <w:pPr>
        <w:pStyle w:val="Heading7"/>
        <w:rPr>
          <w:b/>
        </w:rPr>
      </w:pPr>
      <w:r>
        <w:rPr>
          <w:b/>
        </w:rPr>
        <w:t>Minimum Monthly Charge</w:t>
      </w:r>
    </w:p>
    <w:p w14:paraId="4617C2A1" w14:textId="77777777" w:rsidR="000D07EA" w:rsidRDefault="00BE7C89">
      <w:pPr>
        <w:pStyle w:val="Heading8"/>
        <w:rPr>
          <w:b/>
        </w:rPr>
      </w:pPr>
      <w:r>
        <w:t>The $50</w:t>
      </w:r>
      <w:r>
        <w:rPr>
          <w:b/>
        </w:rPr>
        <w:t xml:space="preserve"> </w:t>
      </w:r>
      <w:r>
        <w:rPr>
          <w:rFonts w:eastAsia="Calibri"/>
        </w:rPr>
        <w:t>My Plan Business SIM</w:t>
      </w:r>
      <w:r>
        <w:t xml:space="preserve"> plan has a Minimum Monthly Charge amount that </w:t>
      </w:r>
      <w:r>
        <w:rPr>
          <w:i/>
        </w:rPr>
        <w:t>you</w:t>
      </w:r>
      <w:r>
        <w:t xml:space="preserve"> must pay </w:t>
      </w:r>
      <w:r>
        <w:rPr>
          <w:i/>
        </w:rPr>
        <w:t>us</w:t>
      </w:r>
      <w:r>
        <w:t xml:space="preserve"> each month as set out in Table 1 below. </w:t>
      </w:r>
    </w:p>
    <w:p w14:paraId="18926A5D" w14:textId="77777777" w:rsidR="000D07EA" w:rsidRDefault="00BE7C89">
      <w:pPr>
        <w:pStyle w:val="Heading8"/>
        <w:rPr>
          <w:bCs/>
          <w:iCs w:val="0"/>
          <w:snapToGrid w:val="0"/>
          <w:szCs w:val="22"/>
        </w:rPr>
      </w:pPr>
      <w:r>
        <w:rPr>
          <w:i/>
        </w:rPr>
        <w:t xml:space="preserve">You </w:t>
      </w:r>
      <w:r>
        <w:t xml:space="preserve">may purchase a mobile phone (or 'handset') with a 1 month, 12 month or 24 month </w:t>
      </w:r>
      <w:r>
        <w:rPr>
          <w:i/>
        </w:rPr>
        <w:t>equipment term under a mobile equipment payment plan</w:t>
      </w:r>
      <w:r>
        <w:t xml:space="preserve"> (set out in </w:t>
      </w:r>
      <w:hyperlink r:id="rId615" w:history="1">
        <w:r>
          <w:rPr>
            <w:rStyle w:val="Hyperlink"/>
          </w:rPr>
          <w:t>Appendix D</w:t>
        </w:r>
      </w:hyperlink>
      <w:r>
        <w:t>).</w:t>
      </w:r>
    </w:p>
    <w:p w14:paraId="44073D63" w14:textId="77777777" w:rsidR="000D07EA" w:rsidRDefault="00BE7C89">
      <w:pPr>
        <w:pStyle w:val="Heading6"/>
        <w:keepNext/>
        <w:ind w:left="0" w:firstLine="0"/>
        <w:rPr>
          <w:snapToGrid w:val="0"/>
        </w:rPr>
      </w:pPr>
      <w:bookmarkStart w:id="1126" w:name="_Toc419374897"/>
      <w:bookmarkStart w:id="1127" w:name="_Toc419725986"/>
      <w:bookmarkStart w:id="1128" w:name="_Toc429479092"/>
      <w:bookmarkStart w:id="1129" w:name="_Toc433793139"/>
      <w:bookmarkStart w:id="1130" w:name="_Toc436736479"/>
      <w:bookmarkStart w:id="1131" w:name="_Toc437268084"/>
      <w:r>
        <w:rPr>
          <w:snapToGrid w:val="0"/>
        </w:rPr>
        <w:t xml:space="preserve">How $50 </w:t>
      </w:r>
      <w:r>
        <w:rPr>
          <w:rFonts w:eastAsia="Calibri"/>
        </w:rPr>
        <w:t>My Plan Business SIM</w:t>
      </w:r>
      <w:r>
        <w:rPr>
          <w:snapToGrid w:val="0"/>
        </w:rPr>
        <w:t xml:space="preserve"> works</w:t>
      </w:r>
      <w:bookmarkEnd w:id="1126"/>
      <w:bookmarkEnd w:id="1127"/>
      <w:bookmarkEnd w:id="1128"/>
      <w:bookmarkEnd w:id="1129"/>
      <w:bookmarkEnd w:id="1130"/>
      <w:bookmarkEnd w:id="1131"/>
    </w:p>
    <w:p w14:paraId="64CAE35E" w14:textId="77777777" w:rsidR="000D07EA" w:rsidRDefault="00BE7C89">
      <w:pPr>
        <w:pStyle w:val="Heading7"/>
      </w:pPr>
      <w:r>
        <w:t xml:space="preserve">The $50 </w:t>
      </w:r>
      <w:r>
        <w:rPr>
          <w:rFonts w:eastAsia="Calibri"/>
        </w:rPr>
        <w:t>My Plan Business SIM</w:t>
      </w:r>
      <w:r>
        <w:t xml:space="preserve"> has unlimited minutes to use on standard national calls to landlines and mobiles, 13/1300 numbers and voicemail retrievals and an amount of Included Data (for mobile internet use) to share with other services on a My Plan Plus, My Plan Plus SIM Only, My Plan Business (including Tech Fund), My Plan Business SIM, My Mobile Broadband Plus, Mobile Broadband Business or Shared Data plans on the same account. This plan also includes unlimited standard national SMS and MMS and unlimited standard International SMS/MMS to selected countries. The $50 My Plan Plus SIM Only plan has an amount of included international minutes to use on standard international calls to selected countries.</w:t>
      </w:r>
    </w:p>
    <w:p w14:paraId="56817646" w14:textId="77777777" w:rsidR="000D07EA" w:rsidRDefault="00BE7C89">
      <w:pPr>
        <w:pStyle w:val="Heading7"/>
      </w:pPr>
      <w:r>
        <w:t xml:space="preserve">Data usage is calculated in one kilobyte increments. Plans that don't have unlimited minutes calculate usage in per minute increments. </w:t>
      </w:r>
    </w:p>
    <w:p w14:paraId="3FA32F33" w14:textId="77777777" w:rsidR="000D07EA" w:rsidRDefault="00BE7C89">
      <w:pPr>
        <w:pStyle w:val="Heading7"/>
      </w:pPr>
      <w:r>
        <w:t xml:space="preserve">If </w:t>
      </w:r>
      <w:r>
        <w:rPr>
          <w:i/>
        </w:rPr>
        <w:t>you</w:t>
      </w:r>
      <w:r>
        <w:t xml:space="preserve"> exceed </w:t>
      </w:r>
      <w:r>
        <w:rPr>
          <w:i/>
        </w:rPr>
        <w:t>your</w:t>
      </w:r>
      <w:r>
        <w:t xml:space="preserve"> </w:t>
      </w:r>
      <w:r>
        <w:rPr>
          <w:i/>
        </w:rPr>
        <w:t>plan's</w:t>
      </w:r>
      <w:r>
        <w:t xml:space="preserve"> Included Minutes, </w:t>
      </w:r>
      <w:r>
        <w:rPr>
          <w:i/>
        </w:rPr>
        <w:t>you</w:t>
      </w:r>
      <w:r>
        <w:t xml:space="preserve"> will be automatically get more minutes ("</w:t>
      </w:r>
      <w:r>
        <w:rPr>
          <w:b/>
        </w:rPr>
        <w:t>Additional Minutes</w:t>
      </w:r>
      <w:r>
        <w:t>"), as set out in Table 3 below.</w:t>
      </w:r>
    </w:p>
    <w:p w14:paraId="72569436" w14:textId="77777777" w:rsidR="000D07EA" w:rsidRDefault="00BE7C89">
      <w:pPr>
        <w:pStyle w:val="Heading7"/>
      </w:pPr>
      <w:r>
        <w:t>If you exceed your included shareable data you'll automatically be charged $10 for each additional 1GB of data ("</w:t>
      </w:r>
      <w:r>
        <w:rPr>
          <w:b/>
        </w:rPr>
        <w:t>Additional Data</w:t>
      </w:r>
      <w:r>
        <w:t>") that you use (or part thereof). You can use up to 150GB of extra data per account each month. Your service/s may then be restricted or we may continue to charge you at these rates.</w:t>
      </w:r>
    </w:p>
    <w:p w14:paraId="7E80CFE7" w14:textId="77777777" w:rsidR="000D07EA" w:rsidRDefault="00BE7C89">
      <w:pPr>
        <w:pStyle w:val="Heading7"/>
      </w:pPr>
      <w:r>
        <w:t xml:space="preserve">Any unused portion of </w:t>
      </w:r>
      <w:r>
        <w:rPr>
          <w:i/>
        </w:rPr>
        <w:t>your</w:t>
      </w:r>
      <w:r>
        <w:t xml:space="preserve"> </w:t>
      </w:r>
      <w:r>
        <w:rPr>
          <w:i/>
        </w:rPr>
        <w:t>plan's</w:t>
      </w:r>
      <w:r>
        <w:t xml:space="preserve"> Included or Additional Minutes or Included or Additional Data expires at the end of each month and does not roll over into the next month.</w:t>
      </w:r>
    </w:p>
    <w:p w14:paraId="2EB4CD86" w14:textId="77777777" w:rsidR="000D07EA" w:rsidRDefault="00BE7C89">
      <w:pPr>
        <w:pStyle w:val="Heading7"/>
        <w:rPr>
          <w:b/>
        </w:rPr>
      </w:pPr>
      <w:r>
        <w:rPr>
          <w:i/>
        </w:rPr>
        <w:t>You</w:t>
      </w:r>
      <w:r>
        <w:t xml:space="preserve"> must pay </w:t>
      </w:r>
      <w:r>
        <w:rPr>
          <w:i/>
        </w:rPr>
        <w:t>us</w:t>
      </w:r>
      <w:r>
        <w:t xml:space="preserve"> for use of any services that are not included in </w:t>
      </w:r>
      <w:r>
        <w:rPr>
          <w:i/>
        </w:rPr>
        <w:t>your</w:t>
      </w:r>
      <w:r>
        <w:t xml:space="preserve"> plan's inclusions, examples of which are set out in Table 2 below.</w:t>
      </w:r>
    </w:p>
    <w:p w14:paraId="693D6A37" w14:textId="77777777" w:rsidR="000D07EA" w:rsidRDefault="00BE7C89">
      <w:pPr>
        <w:pStyle w:val="Heading6"/>
        <w:ind w:left="0" w:firstLine="0"/>
        <w:rPr>
          <w:snapToGrid w:val="0"/>
        </w:rPr>
      </w:pPr>
      <w:bookmarkStart w:id="1132" w:name="_Toc419374898"/>
      <w:bookmarkStart w:id="1133" w:name="_Toc419725987"/>
      <w:bookmarkStart w:id="1134" w:name="_Toc429479093"/>
      <w:bookmarkStart w:id="1135" w:name="_Toc433793140"/>
      <w:bookmarkStart w:id="1136" w:name="_Toc436736480"/>
      <w:bookmarkStart w:id="1137" w:name="_Toc437268085"/>
      <w:r>
        <w:rPr>
          <w:snapToGrid w:val="0"/>
        </w:rPr>
        <w:t>Data Sharing</w:t>
      </w:r>
      <w:bookmarkEnd w:id="1132"/>
      <w:bookmarkEnd w:id="1133"/>
      <w:bookmarkEnd w:id="1134"/>
      <w:bookmarkEnd w:id="1135"/>
      <w:bookmarkEnd w:id="1136"/>
      <w:bookmarkEnd w:id="1137"/>
    </w:p>
    <w:p w14:paraId="7420A654" w14:textId="77777777" w:rsidR="000D07EA" w:rsidRDefault="00BE7C89">
      <w:pPr>
        <w:pStyle w:val="Heading7"/>
        <w:rPr>
          <w:snapToGrid w:val="0"/>
        </w:rPr>
      </w:pPr>
      <w:r>
        <w:rPr>
          <w:lang w:eastAsia="en-AU"/>
        </w:rPr>
        <w:t xml:space="preserve">If </w:t>
      </w:r>
      <w:r>
        <w:rPr>
          <w:i/>
          <w:lang w:eastAsia="en-AU"/>
        </w:rPr>
        <w:t xml:space="preserve">you </w:t>
      </w:r>
      <w:r>
        <w:rPr>
          <w:lang w:eastAsia="en-AU"/>
        </w:rPr>
        <w:t xml:space="preserve">have more than one </w:t>
      </w:r>
      <w:r>
        <w:t>My Plan Plus</w:t>
      </w:r>
      <w:r>
        <w:rPr>
          <w:lang w:eastAsia="en-AU"/>
        </w:rPr>
        <w:t xml:space="preserve">, My Plan Plus SIM Only, My Plan Business (including Tech Fund), My Plan Business SIM, My Mobile Broadband Plus or Mobile Broadband Business on the same billing account, the included data will combine into one data pool, which will be shared by all eligible services on that account. </w:t>
      </w:r>
    </w:p>
    <w:p w14:paraId="2399E95E" w14:textId="77777777" w:rsidR="000D07EA" w:rsidRDefault="00BE7C89">
      <w:pPr>
        <w:pStyle w:val="Heading7"/>
        <w:rPr>
          <w:snapToGrid w:val="0"/>
        </w:rPr>
      </w:pPr>
      <w:r>
        <w:rPr>
          <w:i/>
          <w:snapToGrid w:val="0"/>
        </w:rPr>
        <w:t>You</w:t>
      </w:r>
      <w:r>
        <w:rPr>
          <w:snapToGrid w:val="0"/>
        </w:rPr>
        <w:t xml:space="preserve"> can also share the Included Data in </w:t>
      </w:r>
      <w:r>
        <w:rPr>
          <w:i/>
          <w:snapToGrid w:val="0"/>
        </w:rPr>
        <w:t>your</w:t>
      </w:r>
      <w:r>
        <w:rPr>
          <w:snapToGrid w:val="0"/>
        </w:rPr>
        <w:t xml:space="preserve"> My Plan Plus plan with up to five (5) SIM-ready mobile broadband devices (eg tablets, USB modems and laptops). </w:t>
      </w:r>
      <w:r>
        <w:rPr>
          <w:i/>
          <w:snapToGrid w:val="0"/>
        </w:rPr>
        <w:t>You</w:t>
      </w:r>
      <w:r>
        <w:rPr>
          <w:snapToGrid w:val="0"/>
        </w:rPr>
        <w:t xml:space="preserve"> must connect these mobile broadband devices to Shared Data Plans which have a $5 set up fee each and no ongoing monthly charges.</w:t>
      </w:r>
    </w:p>
    <w:p w14:paraId="629A7092" w14:textId="77777777" w:rsidR="000D07EA" w:rsidRDefault="00BE7C89">
      <w:pPr>
        <w:pStyle w:val="Heading7"/>
        <w:rPr>
          <w:snapToGrid w:val="0"/>
        </w:rPr>
      </w:pPr>
      <w:r>
        <w:rPr>
          <w:i/>
          <w:snapToGrid w:val="0"/>
        </w:rPr>
        <w:t>We</w:t>
      </w:r>
      <w:r>
        <w:rPr>
          <w:snapToGrid w:val="0"/>
        </w:rPr>
        <w:t xml:space="preserve"> may place a limit on the number of Shared Data Plans </w:t>
      </w:r>
      <w:r>
        <w:rPr>
          <w:i/>
          <w:snapToGrid w:val="0"/>
        </w:rPr>
        <w:t>you</w:t>
      </w:r>
      <w:r>
        <w:rPr>
          <w:snapToGrid w:val="0"/>
        </w:rPr>
        <w:t xml:space="preserve"> can have, based on </w:t>
      </w:r>
      <w:r>
        <w:rPr>
          <w:i/>
          <w:snapToGrid w:val="0"/>
        </w:rPr>
        <w:t>our</w:t>
      </w:r>
      <w:r>
        <w:rPr>
          <w:snapToGrid w:val="0"/>
        </w:rPr>
        <w:t xml:space="preserve"> credit criteria.</w:t>
      </w:r>
    </w:p>
    <w:p w14:paraId="59DD7E6F" w14:textId="77777777" w:rsidR="000D07EA" w:rsidRDefault="00BE7C89">
      <w:pPr>
        <w:pStyle w:val="Heading7"/>
        <w:rPr>
          <w:snapToGrid w:val="0"/>
        </w:rPr>
      </w:pPr>
      <w:r>
        <w:rPr>
          <w:snapToGrid w:val="0"/>
        </w:rPr>
        <w:t>Shared Data Plans do not have any Included Data, and cannot be used to make calls.</w:t>
      </w:r>
    </w:p>
    <w:p w14:paraId="214849A9" w14:textId="77777777" w:rsidR="000D07EA" w:rsidRDefault="00BE7C89">
      <w:pPr>
        <w:pStyle w:val="Heading7"/>
        <w:rPr>
          <w:snapToGrid w:val="0"/>
        </w:rPr>
      </w:pPr>
      <w:r>
        <w:rPr>
          <w:i/>
          <w:snapToGrid w:val="0"/>
        </w:rPr>
        <w:t>You</w:t>
      </w:r>
      <w:r>
        <w:rPr>
          <w:snapToGrid w:val="0"/>
        </w:rPr>
        <w:t xml:space="preserve"> can purchase one mobile broadband device per Shared Data Plan, and pay for it in full on </w:t>
      </w:r>
      <w:r>
        <w:rPr>
          <w:i/>
          <w:snapToGrid w:val="0"/>
        </w:rPr>
        <w:t>your</w:t>
      </w:r>
      <w:r>
        <w:rPr>
          <w:snapToGrid w:val="0"/>
        </w:rPr>
        <w:t xml:space="preserve"> first bill, or pay it off over 12 or 24 months on a </w:t>
      </w:r>
      <w:r>
        <w:rPr>
          <w:i/>
          <w:snapToGrid w:val="0"/>
        </w:rPr>
        <w:t>Mobile Equipment Payment Plan</w:t>
      </w:r>
      <w:r>
        <w:rPr>
          <w:snapToGrid w:val="0"/>
        </w:rPr>
        <w:t xml:space="preserve"> (see </w:t>
      </w:r>
      <w:r>
        <w:t>Appendix D</w:t>
      </w:r>
      <w:r>
        <w:rPr>
          <w:snapToGrid w:val="0"/>
        </w:rPr>
        <w:t>).</w:t>
      </w:r>
    </w:p>
    <w:p w14:paraId="6D3E89FF" w14:textId="77777777" w:rsidR="000D07EA" w:rsidRDefault="00BE7C89">
      <w:pPr>
        <w:pStyle w:val="Heading7"/>
        <w:rPr>
          <w:snapToGrid w:val="0"/>
        </w:rPr>
      </w:pPr>
      <w:r>
        <w:rPr>
          <w:snapToGrid w:val="0"/>
        </w:rPr>
        <w:lastRenderedPageBreak/>
        <w:t xml:space="preserve">If </w:t>
      </w:r>
      <w:r>
        <w:rPr>
          <w:i/>
          <w:snapToGrid w:val="0"/>
        </w:rPr>
        <w:t>you</w:t>
      </w:r>
      <w:r>
        <w:rPr>
          <w:snapToGrid w:val="0"/>
        </w:rPr>
        <w:t xml:space="preserve"> do not want </w:t>
      </w:r>
      <w:r>
        <w:rPr>
          <w:i/>
          <w:snapToGrid w:val="0"/>
        </w:rPr>
        <w:t>your</w:t>
      </w:r>
      <w:r>
        <w:rPr>
          <w:snapToGrid w:val="0"/>
        </w:rPr>
        <w:t xml:space="preserve"> services on any</w:t>
      </w:r>
      <w:r>
        <w:t xml:space="preserve"> My Plan Plus</w:t>
      </w:r>
      <w:r>
        <w:rPr>
          <w:lang w:eastAsia="en-AU"/>
        </w:rPr>
        <w:t>, My Plan Plus SIM Only, My Plan Business (including Tech Fund), My Plan Business SIM, My Mobile Broadband Plus or Mobile Broadband Business plans</w:t>
      </w:r>
      <w:r>
        <w:rPr>
          <w:snapToGrid w:val="0"/>
        </w:rPr>
        <w:t xml:space="preserve"> to share data, they need to be on separate billing accounts. </w:t>
      </w:r>
    </w:p>
    <w:p w14:paraId="1340DEEB" w14:textId="77777777" w:rsidR="000D07EA" w:rsidRDefault="00BE7C89">
      <w:pPr>
        <w:pStyle w:val="Heading7"/>
        <w:rPr>
          <w:snapToGrid w:val="0"/>
        </w:rPr>
      </w:pPr>
      <w:r>
        <w:rPr>
          <w:snapToGrid w:val="0"/>
        </w:rPr>
        <w:t>Data sharing is only available within Australia.</w:t>
      </w:r>
    </w:p>
    <w:p w14:paraId="3AB4AAC6" w14:textId="77777777" w:rsidR="000D07EA" w:rsidRDefault="00BE7C89">
      <w:pPr>
        <w:pStyle w:val="Heading6"/>
        <w:ind w:left="0" w:firstLine="0"/>
        <w:rPr>
          <w:snapToGrid w:val="0"/>
        </w:rPr>
      </w:pPr>
      <w:bookmarkStart w:id="1138" w:name="_Toc419374899"/>
      <w:bookmarkStart w:id="1139" w:name="_Toc419725988"/>
      <w:bookmarkStart w:id="1140" w:name="_Toc429479094"/>
      <w:bookmarkStart w:id="1141" w:name="_Toc433793141"/>
      <w:bookmarkStart w:id="1142" w:name="_Toc436736481"/>
      <w:bookmarkStart w:id="1143" w:name="_Toc437268086"/>
      <w:r>
        <w:rPr>
          <w:snapToGrid w:val="0"/>
        </w:rPr>
        <w:t>International Minutes</w:t>
      </w:r>
      <w:bookmarkEnd w:id="1138"/>
      <w:bookmarkEnd w:id="1139"/>
      <w:bookmarkEnd w:id="1140"/>
      <w:bookmarkEnd w:id="1141"/>
      <w:bookmarkEnd w:id="1142"/>
      <w:bookmarkEnd w:id="1143"/>
    </w:p>
    <w:p w14:paraId="400839C2" w14:textId="77777777" w:rsidR="000D07EA" w:rsidRDefault="00BE7C89">
      <w:pPr>
        <w:pStyle w:val="BodyText"/>
        <w:ind w:left="720"/>
      </w:pPr>
      <w:r>
        <w:t xml:space="preserve">The $50 </w:t>
      </w:r>
      <w:r>
        <w:rPr>
          <w:rFonts w:eastAsia="Calibri"/>
        </w:rPr>
        <w:t>My Plan Business SIM</w:t>
      </w:r>
      <w:r>
        <w:t xml:space="preserve"> </w:t>
      </w:r>
      <w:r>
        <w:rPr>
          <w:rFonts w:eastAsia="Calibri"/>
        </w:rPr>
        <w:t>(Plan ID 800337)/</w:t>
      </w:r>
      <w:r>
        <w:t xml:space="preserve"> $50 </w:t>
      </w:r>
      <w:r>
        <w:rPr>
          <w:rFonts w:eastAsia="Calibri"/>
        </w:rPr>
        <w:t xml:space="preserve">My Plan Business SIM (Plan ID 800354) </w:t>
      </w:r>
      <w:r>
        <w:t>includes up to unlimited/300 international minutes (respectively) for standard calls to mobiles and fixed lines in selected countries. For a list of selected countries see Table 3 below.</w:t>
      </w:r>
    </w:p>
    <w:p w14:paraId="169C9A6D" w14:textId="77777777" w:rsidR="000D07EA" w:rsidRDefault="00BE7C89">
      <w:pPr>
        <w:pStyle w:val="BodyText"/>
        <w:ind w:left="720"/>
      </w:pPr>
      <w:r>
        <w:t xml:space="preserve">International calls are charged per minute. When included international minutes for calls to selected countries are used up, standard 'yes' international call charges apply. Fair Go Policy applies. For further details refer to </w:t>
      </w:r>
      <w:hyperlink r:id="rId616" w:history="1">
        <w:r>
          <w:rPr>
            <w:rStyle w:val="Hyperlink"/>
            <w:i/>
          </w:rPr>
          <w:t>Appendix S</w:t>
        </w:r>
      </w:hyperlink>
      <w:r>
        <w:rPr>
          <w:i/>
        </w:rPr>
        <w:t>.</w:t>
      </w:r>
    </w:p>
    <w:p w14:paraId="10DCFE00" w14:textId="77777777" w:rsidR="000D07EA" w:rsidRDefault="00BE7C89">
      <w:pPr>
        <w:pStyle w:val="Heading6"/>
        <w:ind w:left="0" w:firstLine="0"/>
        <w:rPr>
          <w:snapToGrid w:val="0"/>
        </w:rPr>
      </w:pPr>
      <w:bookmarkStart w:id="1144" w:name="_Toc419374900"/>
      <w:bookmarkStart w:id="1145" w:name="_Toc419725989"/>
      <w:bookmarkStart w:id="1146" w:name="_Toc429479095"/>
      <w:bookmarkStart w:id="1147" w:name="_Toc433793142"/>
      <w:bookmarkStart w:id="1148" w:name="_Toc436736482"/>
      <w:bookmarkStart w:id="1149" w:name="_Toc437268087"/>
      <w:r>
        <w:rPr>
          <w:snapToGrid w:val="0"/>
        </w:rPr>
        <w:t>Unlimited standard national SMS and MMS</w:t>
      </w:r>
      <w:bookmarkEnd w:id="1144"/>
      <w:bookmarkEnd w:id="1145"/>
      <w:bookmarkEnd w:id="1146"/>
      <w:bookmarkEnd w:id="1147"/>
      <w:bookmarkEnd w:id="1148"/>
      <w:bookmarkEnd w:id="1149"/>
    </w:p>
    <w:p w14:paraId="0908F489" w14:textId="77777777" w:rsidR="000D07EA" w:rsidRDefault="00BE7C89">
      <w:pPr>
        <w:pStyle w:val="BodyText"/>
        <w:ind w:left="720"/>
      </w:pPr>
      <w:r>
        <w:rPr>
          <w:i/>
        </w:rPr>
        <w:t>You</w:t>
      </w:r>
      <w:r>
        <w:t xml:space="preserve"> may send standard unlimited SMS and MMS to Australian mobiles from within Australia. Fair Go Policy applies. Unlimited standard national SMS and MMS are only available for personal and ordinary business use and are not to be used for a commercial or non-ordinary purpose as set out in the </w:t>
      </w:r>
      <w:hyperlink r:id="rId617" w:history="1">
        <w:r>
          <w:rPr>
            <w:rStyle w:val="Hyperlink"/>
            <w:i/>
          </w:rPr>
          <w:t>Fair Go Policy</w:t>
        </w:r>
      </w:hyperlink>
      <w:r>
        <w:t xml:space="preserve">. For further details refer to </w:t>
      </w:r>
      <w:hyperlink r:id="rId618" w:history="1">
        <w:r>
          <w:rPr>
            <w:rStyle w:val="Hyperlink"/>
            <w:i/>
          </w:rPr>
          <w:t>Appendix S</w:t>
        </w:r>
      </w:hyperlink>
      <w:r>
        <w:t>.</w:t>
      </w:r>
    </w:p>
    <w:p w14:paraId="3799D787" w14:textId="77777777" w:rsidR="000D07EA" w:rsidRDefault="00BE7C89">
      <w:pPr>
        <w:pStyle w:val="Heading6"/>
        <w:ind w:left="0" w:firstLine="0"/>
        <w:rPr>
          <w:snapToGrid w:val="0"/>
        </w:rPr>
      </w:pPr>
      <w:bookmarkStart w:id="1150" w:name="_Toc419374901"/>
      <w:bookmarkStart w:id="1151" w:name="_Toc419725990"/>
      <w:bookmarkStart w:id="1152" w:name="_Toc429479096"/>
      <w:bookmarkStart w:id="1153" w:name="_Toc433793143"/>
      <w:bookmarkStart w:id="1154" w:name="_Toc436736483"/>
      <w:bookmarkStart w:id="1155" w:name="_Toc437268088"/>
      <w:r>
        <w:rPr>
          <w:snapToGrid w:val="0"/>
        </w:rPr>
        <w:t>Unlimited standard international SMS and MMS</w:t>
      </w:r>
      <w:bookmarkEnd w:id="1150"/>
      <w:bookmarkEnd w:id="1151"/>
      <w:bookmarkEnd w:id="1152"/>
      <w:bookmarkEnd w:id="1153"/>
      <w:bookmarkEnd w:id="1154"/>
      <w:bookmarkEnd w:id="1155"/>
    </w:p>
    <w:p w14:paraId="23EE32E2" w14:textId="77777777" w:rsidR="000D07EA" w:rsidRDefault="00BE7C89">
      <w:pPr>
        <w:pStyle w:val="BodyText"/>
        <w:ind w:left="720"/>
      </w:pPr>
      <w:r>
        <w:rPr>
          <w:i/>
        </w:rPr>
        <w:t>You</w:t>
      </w:r>
      <w:r>
        <w:t xml:space="preserve"> may send unlimited standard SMS and MMS to selected countries as set out in Table 3 below. Fair Go Policy applies. Unlimited standard SMS and MMS are only available for personal and ordinary business use and are not to be used for a commercial or non-ordinary purpose as set out in the Fair Go Policy. For further details refer to </w:t>
      </w:r>
      <w:hyperlink r:id="rId619" w:history="1">
        <w:hyperlink r:id="rId620" w:history="1">
          <w:r w:rsidR="008107B1">
            <w:rPr>
              <w:rStyle w:val="Hyperlink"/>
              <w:i/>
            </w:rPr>
            <w:t>Appendix S</w:t>
          </w:r>
        </w:hyperlink>
        <w:r>
          <w:t>.</w:t>
        </w:r>
      </w:hyperlink>
    </w:p>
    <w:p w14:paraId="0422BD9B" w14:textId="77777777" w:rsidR="000D07EA" w:rsidRDefault="00BE7C89">
      <w:pPr>
        <w:pStyle w:val="BodyText"/>
        <w:keepNext/>
        <w:ind w:left="720"/>
        <w:rPr>
          <w:b/>
        </w:rPr>
      </w:pPr>
      <w:r>
        <w:rPr>
          <w:b/>
        </w:rPr>
        <w:t xml:space="preserve">Table 1 –Plan Inclusions and Charges </w:t>
      </w:r>
    </w:p>
    <w:tbl>
      <w:tblPr>
        <w:tblW w:w="946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08"/>
        <w:gridCol w:w="2880"/>
        <w:gridCol w:w="2880"/>
      </w:tblGrid>
      <w:tr w:rsidR="000D07EA" w14:paraId="499EB57D" w14:textId="77777777">
        <w:trPr>
          <w:tblHeader/>
        </w:trPr>
        <w:tc>
          <w:tcPr>
            <w:tcW w:w="3708" w:type="dxa"/>
            <w:shd w:val="clear" w:color="auto" w:fill="auto"/>
          </w:tcPr>
          <w:p w14:paraId="43D08AF2" w14:textId="77777777" w:rsidR="000D07EA" w:rsidRDefault="000D07EA">
            <w:pPr>
              <w:pStyle w:val="BodyText"/>
              <w:spacing w:before="100" w:after="100"/>
            </w:pPr>
          </w:p>
        </w:tc>
        <w:tc>
          <w:tcPr>
            <w:tcW w:w="2880" w:type="dxa"/>
          </w:tcPr>
          <w:p w14:paraId="326F4320" w14:textId="77777777" w:rsidR="000D07EA" w:rsidRDefault="00BE7C89">
            <w:pPr>
              <w:pStyle w:val="BodyText"/>
              <w:keepNext/>
              <w:spacing w:before="100" w:after="100"/>
              <w:jc w:val="center"/>
              <w:rPr>
                <w:b/>
              </w:rPr>
            </w:pPr>
            <w:r>
              <w:rPr>
                <w:b/>
              </w:rPr>
              <w:t>$50 My Plan Business SIM Plan ID 800337</w:t>
            </w:r>
          </w:p>
        </w:tc>
        <w:tc>
          <w:tcPr>
            <w:tcW w:w="2880" w:type="dxa"/>
          </w:tcPr>
          <w:p w14:paraId="716EFAF6" w14:textId="77777777" w:rsidR="000D07EA" w:rsidRDefault="00BE7C89">
            <w:pPr>
              <w:pStyle w:val="BodyText"/>
              <w:spacing w:before="100" w:after="100"/>
              <w:jc w:val="center"/>
              <w:rPr>
                <w:b/>
              </w:rPr>
            </w:pPr>
            <w:r>
              <w:rPr>
                <w:b/>
              </w:rPr>
              <w:t>$50 My Plan Business SIM Plan ID 800354</w:t>
            </w:r>
          </w:p>
        </w:tc>
      </w:tr>
      <w:tr w:rsidR="000D07EA" w14:paraId="11007974" w14:textId="77777777">
        <w:tc>
          <w:tcPr>
            <w:tcW w:w="3708" w:type="dxa"/>
            <w:shd w:val="clear" w:color="auto" w:fill="auto"/>
          </w:tcPr>
          <w:p w14:paraId="68A55BA4" w14:textId="77777777" w:rsidR="000D07EA" w:rsidRDefault="00BE7C89">
            <w:pPr>
              <w:pStyle w:val="BodyText"/>
              <w:spacing w:before="100" w:after="100"/>
            </w:pPr>
            <w:r>
              <w:rPr>
                <w:b/>
                <w:bCs/>
              </w:rPr>
              <w:t>Minimum Monthly charge</w:t>
            </w:r>
          </w:p>
        </w:tc>
        <w:tc>
          <w:tcPr>
            <w:tcW w:w="2880" w:type="dxa"/>
            <w:vAlign w:val="center"/>
          </w:tcPr>
          <w:p w14:paraId="2AB99D9D" w14:textId="77777777" w:rsidR="000D07EA" w:rsidRDefault="00BE7C89">
            <w:pPr>
              <w:pStyle w:val="BodyText"/>
              <w:keepNext/>
              <w:spacing w:before="100" w:after="100"/>
              <w:jc w:val="center"/>
            </w:pPr>
            <w:r>
              <w:t>$50</w:t>
            </w:r>
          </w:p>
        </w:tc>
        <w:tc>
          <w:tcPr>
            <w:tcW w:w="2880" w:type="dxa"/>
            <w:vAlign w:val="center"/>
          </w:tcPr>
          <w:p w14:paraId="2DE04D41" w14:textId="77777777" w:rsidR="000D07EA" w:rsidRDefault="00BE7C89">
            <w:pPr>
              <w:pStyle w:val="BodyText"/>
              <w:spacing w:before="100" w:after="100"/>
              <w:jc w:val="center"/>
            </w:pPr>
            <w:r>
              <w:t>$50</w:t>
            </w:r>
          </w:p>
        </w:tc>
      </w:tr>
      <w:tr w:rsidR="000D07EA" w14:paraId="7186A31E" w14:textId="77777777">
        <w:tc>
          <w:tcPr>
            <w:tcW w:w="3708" w:type="dxa"/>
            <w:shd w:val="clear" w:color="auto" w:fill="auto"/>
          </w:tcPr>
          <w:p w14:paraId="5A400B84" w14:textId="77777777" w:rsidR="000D07EA" w:rsidRDefault="00BE7C89">
            <w:pPr>
              <w:pStyle w:val="BodyText"/>
              <w:spacing w:before="100" w:after="100"/>
            </w:pPr>
            <w:r>
              <w:rPr>
                <w:b/>
                <w:bCs/>
              </w:rPr>
              <w:t>Included Data</w:t>
            </w:r>
          </w:p>
        </w:tc>
        <w:tc>
          <w:tcPr>
            <w:tcW w:w="2880" w:type="dxa"/>
            <w:vAlign w:val="center"/>
          </w:tcPr>
          <w:p w14:paraId="66069F84" w14:textId="77777777" w:rsidR="000D07EA" w:rsidRDefault="00BE7C89">
            <w:pPr>
              <w:pStyle w:val="BodyText"/>
              <w:keepNext/>
              <w:spacing w:before="100" w:after="100"/>
              <w:jc w:val="center"/>
            </w:pPr>
            <w:r>
              <w:t>7GB</w:t>
            </w:r>
          </w:p>
        </w:tc>
        <w:tc>
          <w:tcPr>
            <w:tcW w:w="2880" w:type="dxa"/>
            <w:vAlign w:val="center"/>
          </w:tcPr>
          <w:p w14:paraId="27227F9E" w14:textId="77777777" w:rsidR="000D07EA" w:rsidRDefault="00BE7C89">
            <w:pPr>
              <w:pStyle w:val="BodyText"/>
              <w:spacing w:before="100" w:after="100"/>
              <w:jc w:val="center"/>
            </w:pPr>
            <w:r>
              <w:t>10GB</w:t>
            </w:r>
          </w:p>
        </w:tc>
      </w:tr>
      <w:tr w:rsidR="000D07EA" w14:paraId="33DBD792" w14:textId="77777777">
        <w:tc>
          <w:tcPr>
            <w:tcW w:w="3708" w:type="dxa"/>
            <w:shd w:val="clear" w:color="auto" w:fill="auto"/>
          </w:tcPr>
          <w:p w14:paraId="552CA41E" w14:textId="77777777" w:rsidR="000D07EA" w:rsidRDefault="00BE7C89">
            <w:pPr>
              <w:pStyle w:val="BodyText"/>
              <w:spacing w:before="100" w:after="100"/>
              <w:rPr>
                <w:b/>
                <w:bCs/>
              </w:rPr>
            </w:pPr>
            <w:r>
              <w:rPr>
                <w:b/>
                <w:bCs/>
              </w:rPr>
              <w:t xml:space="preserve">Included Minutes </w:t>
            </w:r>
          </w:p>
          <w:p w14:paraId="2CA0F43B" w14:textId="77777777" w:rsidR="000D07EA" w:rsidRDefault="00BE7C89">
            <w:pPr>
              <w:pStyle w:val="BodyText"/>
              <w:spacing w:before="100" w:after="100"/>
              <w:rPr>
                <w:b/>
                <w:bCs/>
              </w:rPr>
            </w:pPr>
            <w:r>
              <w:rPr>
                <w:bCs/>
              </w:rPr>
              <w:t>for standard national calls to landlines and mobiles, 1300 numbers and voicemail, within Australia</w:t>
            </w:r>
          </w:p>
        </w:tc>
        <w:tc>
          <w:tcPr>
            <w:tcW w:w="2880" w:type="dxa"/>
            <w:vAlign w:val="center"/>
          </w:tcPr>
          <w:p w14:paraId="35C65366" w14:textId="77777777" w:rsidR="000D07EA" w:rsidRDefault="00BE7C89">
            <w:pPr>
              <w:pStyle w:val="BodyText"/>
              <w:spacing w:before="100" w:after="100"/>
              <w:jc w:val="center"/>
            </w:pPr>
            <w:r>
              <w:t>Unlimited</w:t>
            </w:r>
          </w:p>
        </w:tc>
        <w:tc>
          <w:tcPr>
            <w:tcW w:w="2880" w:type="dxa"/>
            <w:vAlign w:val="center"/>
          </w:tcPr>
          <w:p w14:paraId="147A5356" w14:textId="77777777" w:rsidR="000D07EA" w:rsidRDefault="00BE7C89">
            <w:pPr>
              <w:pStyle w:val="BodyText"/>
              <w:spacing w:before="100" w:after="100"/>
              <w:jc w:val="center"/>
            </w:pPr>
            <w:r>
              <w:t>Unlimited</w:t>
            </w:r>
          </w:p>
        </w:tc>
      </w:tr>
      <w:tr w:rsidR="000D07EA" w14:paraId="55FD0480" w14:textId="77777777">
        <w:tc>
          <w:tcPr>
            <w:tcW w:w="3708" w:type="dxa"/>
            <w:shd w:val="clear" w:color="auto" w:fill="auto"/>
          </w:tcPr>
          <w:p w14:paraId="13E9C0E7" w14:textId="77777777" w:rsidR="000D07EA" w:rsidRDefault="00BE7C89">
            <w:pPr>
              <w:pStyle w:val="BodyText"/>
              <w:spacing w:before="100" w:after="100"/>
              <w:rPr>
                <w:b/>
                <w:bCs/>
              </w:rPr>
            </w:pPr>
            <w:r>
              <w:rPr>
                <w:b/>
                <w:bCs/>
              </w:rPr>
              <w:t>Included International Minutes</w:t>
            </w:r>
          </w:p>
          <w:p w14:paraId="099A0EA0" w14:textId="77777777" w:rsidR="000D07EA" w:rsidRDefault="00BE7C89">
            <w:pPr>
              <w:pStyle w:val="BodyText"/>
              <w:spacing w:before="100" w:after="100"/>
            </w:pPr>
            <w:r>
              <w:t>Standard international calls to landlines and mobiles</w:t>
            </w:r>
          </w:p>
          <w:p w14:paraId="762FC625" w14:textId="77777777" w:rsidR="000D07EA" w:rsidRDefault="00BE7C89">
            <w:pPr>
              <w:pStyle w:val="BodyText"/>
              <w:spacing w:before="100" w:after="100"/>
              <w:rPr>
                <w:b/>
                <w:bCs/>
              </w:rPr>
            </w:pPr>
            <w:r>
              <w:t>to selected countries</w:t>
            </w:r>
          </w:p>
        </w:tc>
        <w:tc>
          <w:tcPr>
            <w:tcW w:w="2880" w:type="dxa"/>
            <w:vAlign w:val="center"/>
          </w:tcPr>
          <w:p w14:paraId="21D17839" w14:textId="77777777" w:rsidR="000D07EA" w:rsidRDefault="00BE7C89">
            <w:pPr>
              <w:pStyle w:val="BodyText"/>
              <w:spacing w:before="100" w:after="100"/>
              <w:jc w:val="center"/>
              <w:rPr>
                <w:bCs/>
              </w:rPr>
            </w:pPr>
            <w:r>
              <w:rPr>
                <w:bCs/>
              </w:rPr>
              <w:t>Unlimited</w:t>
            </w:r>
          </w:p>
        </w:tc>
        <w:tc>
          <w:tcPr>
            <w:tcW w:w="2880" w:type="dxa"/>
            <w:vAlign w:val="center"/>
          </w:tcPr>
          <w:p w14:paraId="7BFDE311" w14:textId="77777777" w:rsidR="000D07EA" w:rsidRDefault="00BE7C89">
            <w:pPr>
              <w:pStyle w:val="BodyText"/>
              <w:spacing w:before="100" w:after="100"/>
              <w:jc w:val="center"/>
              <w:rPr>
                <w:bCs/>
              </w:rPr>
            </w:pPr>
            <w:r>
              <w:rPr>
                <w:bCs/>
              </w:rPr>
              <w:t>Up to 300 mins</w:t>
            </w:r>
          </w:p>
        </w:tc>
      </w:tr>
      <w:tr w:rsidR="000D07EA" w14:paraId="3EE556D5" w14:textId="77777777">
        <w:tc>
          <w:tcPr>
            <w:tcW w:w="3708" w:type="dxa"/>
            <w:shd w:val="clear" w:color="auto" w:fill="auto"/>
          </w:tcPr>
          <w:p w14:paraId="66A2901E" w14:textId="77777777" w:rsidR="000D07EA" w:rsidRDefault="00BE7C89">
            <w:pPr>
              <w:pStyle w:val="BodyText"/>
              <w:spacing w:before="100" w:after="100"/>
            </w:pPr>
            <w:r>
              <w:rPr>
                <w:b/>
                <w:bCs/>
              </w:rPr>
              <w:t xml:space="preserve">Standard national SMS </w:t>
            </w:r>
            <w:r>
              <w:t>(per SMS of up to 160 standard characters)</w:t>
            </w:r>
          </w:p>
        </w:tc>
        <w:tc>
          <w:tcPr>
            <w:tcW w:w="2880" w:type="dxa"/>
            <w:vAlign w:val="center"/>
          </w:tcPr>
          <w:p w14:paraId="057FC524" w14:textId="77777777" w:rsidR="000D07EA" w:rsidRDefault="00BE7C89">
            <w:pPr>
              <w:pStyle w:val="BodyText"/>
              <w:spacing w:before="100" w:after="100"/>
              <w:jc w:val="center"/>
            </w:pPr>
            <w:r>
              <w:t>Unlimited</w:t>
            </w:r>
          </w:p>
        </w:tc>
        <w:tc>
          <w:tcPr>
            <w:tcW w:w="2880" w:type="dxa"/>
            <w:vAlign w:val="center"/>
          </w:tcPr>
          <w:p w14:paraId="11BA9B52" w14:textId="77777777" w:rsidR="000D07EA" w:rsidRDefault="00BE7C89">
            <w:pPr>
              <w:pStyle w:val="BodyText"/>
              <w:spacing w:before="100" w:after="100"/>
              <w:jc w:val="center"/>
            </w:pPr>
            <w:r>
              <w:t>Unlimited</w:t>
            </w:r>
          </w:p>
        </w:tc>
      </w:tr>
      <w:tr w:rsidR="000D07EA" w14:paraId="6C534D0E" w14:textId="77777777">
        <w:tc>
          <w:tcPr>
            <w:tcW w:w="3708" w:type="dxa"/>
            <w:shd w:val="clear" w:color="auto" w:fill="auto"/>
          </w:tcPr>
          <w:p w14:paraId="7F40EC23" w14:textId="77777777" w:rsidR="000D07EA" w:rsidRDefault="00BE7C89">
            <w:pPr>
              <w:pStyle w:val="BodyText"/>
              <w:spacing w:before="100" w:after="100"/>
              <w:rPr>
                <w:b/>
                <w:bCs/>
              </w:rPr>
            </w:pPr>
            <w:r>
              <w:rPr>
                <w:b/>
                <w:bCs/>
              </w:rPr>
              <w:t xml:space="preserve">Standard national MMS </w:t>
            </w:r>
            <w:r>
              <w:t>(per message)</w:t>
            </w:r>
          </w:p>
        </w:tc>
        <w:tc>
          <w:tcPr>
            <w:tcW w:w="2880" w:type="dxa"/>
            <w:vAlign w:val="center"/>
          </w:tcPr>
          <w:p w14:paraId="78AFF4D8" w14:textId="77777777" w:rsidR="000D07EA" w:rsidRDefault="00BE7C89">
            <w:pPr>
              <w:pStyle w:val="BodyText"/>
              <w:spacing w:before="100" w:after="100"/>
              <w:jc w:val="center"/>
            </w:pPr>
            <w:r>
              <w:t>Unlimited</w:t>
            </w:r>
          </w:p>
        </w:tc>
        <w:tc>
          <w:tcPr>
            <w:tcW w:w="2880" w:type="dxa"/>
            <w:vAlign w:val="center"/>
          </w:tcPr>
          <w:p w14:paraId="115105AC" w14:textId="77777777" w:rsidR="000D07EA" w:rsidRDefault="00BE7C89">
            <w:pPr>
              <w:pStyle w:val="BodyText"/>
              <w:spacing w:before="100" w:after="100"/>
              <w:jc w:val="center"/>
            </w:pPr>
            <w:r>
              <w:t>Unlimited</w:t>
            </w:r>
          </w:p>
        </w:tc>
      </w:tr>
      <w:tr w:rsidR="000D07EA" w14:paraId="1361DDA6" w14:textId="77777777">
        <w:tc>
          <w:tcPr>
            <w:tcW w:w="3708" w:type="dxa"/>
            <w:shd w:val="clear" w:color="auto" w:fill="auto"/>
          </w:tcPr>
          <w:p w14:paraId="52C00D6B" w14:textId="77777777" w:rsidR="000D07EA" w:rsidRDefault="00BE7C89">
            <w:pPr>
              <w:pStyle w:val="BodyText"/>
              <w:spacing w:before="100" w:after="100"/>
              <w:rPr>
                <w:b/>
                <w:bCs/>
              </w:rPr>
            </w:pPr>
            <w:r>
              <w:rPr>
                <w:b/>
                <w:bCs/>
              </w:rPr>
              <w:t xml:space="preserve">Standard international SMS </w:t>
            </w:r>
            <w:r>
              <w:t>(per SMS of up to 160 standard characters to selected countries)</w:t>
            </w:r>
          </w:p>
        </w:tc>
        <w:tc>
          <w:tcPr>
            <w:tcW w:w="2880" w:type="dxa"/>
            <w:vAlign w:val="center"/>
          </w:tcPr>
          <w:p w14:paraId="2CCF9B1D" w14:textId="77777777" w:rsidR="000D07EA" w:rsidRDefault="00BE7C89">
            <w:pPr>
              <w:pStyle w:val="BodyText"/>
              <w:spacing w:before="100" w:after="100"/>
              <w:jc w:val="center"/>
            </w:pPr>
            <w:r>
              <w:t>Unlimited</w:t>
            </w:r>
          </w:p>
        </w:tc>
        <w:tc>
          <w:tcPr>
            <w:tcW w:w="2880" w:type="dxa"/>
            <w:vAlign w:val="center"/>
          </w:tcPr>
          <w:p w14:paraId="337E67D3" w14:textId="77777777" w:rsidR="000D07EA" w:rsidRDefault="00BE7C89">
            <w:pPr>
              <w:pStyle w:val="BodyText"/>
              <w:spacing w:before="100" w:after="100"/>
              <w:jc w:val="center"/>
            </w:pPr>
            <w:r>
              <w:t>Unlimited</w:t>
            </w:r>
          </w:p>
        </w:tc>
      </w:tr>
      <w:tr w:rsidR="000D07EA" w14:paraId="4F851BC8" w14:textId="77777777">
        <w:tc>
          <w:tcPr>
            <w:tcW w:w="3708" w:type="dxa"/>
            <w:shd w:val="clear" w:color="auto" w:fill="auto"/>
          </w:tcPr>
          <w:p w14:paraId="2C80F489" w14:textId="77777777" w:rsidR="000D07EA" w:rsidRDefault="00BE7C89">
            <w:pPr>
              <w:pStyle w:val="BodyText"/>
              <w:spacing w:before="100" w:after="100"/>
              <w:rPr>
                <w:b/>
                <w:bCs/>
              </w:rPr>
            </w:pPr>
            <w:r>
              <w:rPr>
                <w:b/>
                <w:bCs/>
              </w:rPr>
              <w:lastRenderedPageBreak/>
              <w:t xml:space="preserve">Standard international MMS </w:t>
            </w:r>
            <w:r>
              <w:t>(per message to selected countries)</w:t>
            </w:r>
          </w:p>
        </w:tc>
        <w:tc>
          <w:tcPr>
            <w:tcW w:w="2880" w:type="dxa"/>
            <w:vAlign w:val="center"/>
          </w:tcPr>
          <w:p w14:paraId="6A31ED54" w14:textId="77777777" w:rsidR="000D07EA" w:rsidRDefault="00BE7C89">
            <w:pPr>
              <w:pStyle w:val="BodyText"/>
              <w:spacing w:before="100" w:after="100"/>
              <w:jc w:val="center"/>
            </w:pPr>
            <w:r>
              <w:t>Unlimited</w:t>
            </w:r>
          </w:p>
        </w:tc>
        <w:tc>
          <w:tcPr>
            <w:tcW w:w="2880" w:type="dxa"/>
            <w:vAlign w:val="center"/>
          </w:tcPr>
          <w:p w14:paraId="186AAD3F" w14:textId="77777777" w:rsidR="000D07EA" w:rsidRDefault="00BE7C89">
            <w:pPr>
              <w:pStyle w:val="BodyText"/>
              <w:spacing w:before="100" w:after="100"/>
              <w:jc w:val="center"/>
            </w:pPr>
            <w:r>
              <w:t>Unlimited</w:t>
            </w:r>
          </w:p>
        </w:tc>
      </w:tr>
    </w:tbl>
    <w:p w14:paraId="4087B5F3" w14:textId="77777777" w:rsidR="000D07EA" w:rsidRDefault="000D07EA">
      <w:pPr>
        <w:pStyle w:val="BodyText"/>
      </w:pPr>
    </w:p>
    <w:p w14:paraId="315C1381" w14:textId="77777777" w:rsidR="000D07EA" w:rsidRDefault="00BE7C89">
      <w:pPr>
        <w:pStyle w:val="BodyText"/>
        <w:ind w:left="720"/>
        <w:rPr>
          <w:b/>
        </w:rPr>
      </w:pPr>
      <w:r>
        <w:rPr>
          <w:b/>
        </w:rPr>
        <w:t>Table 2 – Other usage types and charges</w:t>
      </w: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0"/>
        <w:gridCol w:w="4320"/>
      </w:tblGrid>
      <w:tr w:rsidR="000D07EA" w14:paraId="49EEEC1E" w14:textId="77777777">
        <w:trPr>
          <w:tblHeader/>
        </w:trPr>
        <w:tc>
          <w:tcPr>
            <w:tcW w:w="4410" w:type="dxa"/>
            <w:shd w:val="clear" w:color="auto" w:fill="auto"/>
          </w:tcPr>
          <w:p w14:paraId="346508BE" w14:textId="77777777" w:rsidR="000D07EA" w:rsidRDefault="00BE7C89">
            <w:pPr>
              <w:pStyle w:val="BodyText"/>
              <w:spacing w:before="100" w:after="100"/>
              <w:rPr>
                <w:b/>
              </w:rPr>
            </w:pPr>
            <w:r>
              <w:rPr>
                <w:b/>
              </w:rPr>
              <w:t>Usage type</w:t>
            </w:r>
          </w:p>
        </w:tc>
        <w:tc>
          <w:tcPr>
            <w:tcW w:w="4320" w:type="dxa"/>
            <w:shd w:val="clear" w:color="auto" w:fill="auto"/>
            <w:vAlign w:val="center"/>
          </w:tcPr>
          <w:p w14:paraId="230D2270" w14:textId="77777777" w:rsidR="000D07EA" w:rsidRDefault="00BE7C89">
            <w:pPr>
              <w:pStyle w:val="BodyText"/>
              <w:spacing w:before="100" w:after="100"/>
              <w:jc w:val="center"/>
              <w:rPr>
                <w:b/>
              </w:rPr>
            </w:pPr>
            <w:r>
              <w:rPr>
                <w:b/>
              </w:rPr>
              <w:t>Charge</w:t>
            </w:r>
          </w:p>
        </w:tc>
      </w:tr>
      <w:tr w:rsidR="000D07EA" w14:paraId="221E05FC" w14:textId="77777777">
        <w:tc>
          <w:tcPr>
            <w:tcW w:w="4410" w:type="dxa"/>
            <w:shd w:val="clear" w:color="auto" w:fill="auto"/>
          </w:tcPr>
          <w:p w14:paraId="6DE51509" w14:textId="77777777" w:rsidR="000D07EA" w:rsidRDefault="00BE7C89">
            <w:pPr>
              <w:pStyle w:val="BodyText"/>
              <w:spacing w:before="100" w:after="100"/>
              <w:rPr>
                <w:b/>
              </w:rPr>
            </w:pPr>
            <w:r>
              <w:rPr>
                <w:b/>
                <w:bCs/>
              </w:rPr>
              <w:t>National video calls</w:t>
            </w:r>
            <w:r>
              <w:rPr>
                <w:bCs/>
              </w:rPr>
              <w:t xml:space="preserve"> </w:t>
            </w:r>
            <w:r>
              <w:t>(per minute)</w:t>
            </w:r>
          </w:p>
        </w:tc>
        <w:tc>
          <w:tcPr>
            <w:tcW w:w="4320" w:type="dxa"/>
            <w:shd w:val="clear" w:color="auto" w:fill="auto"/>
            <w:vAlign w:val="center"/>
          </w:tcPr>
          <w:p w14:paraId="0864E7D2" w14:textId="77777777" w:rsidR="000D07EA" w:rsidRDefault="00BE7C89">
            <w:pPr>
              <w:pStyle w:val="BodyText"/>
              <w:spacing w:before="100" w:after="100"/>
              <w:jc w:val="center"/>
            </w:pPr>
            <w:r>
              <w:t>$1.00 per min + 40c flagfall</w:t>
            </w:r>
          </w:p>
        </w:tc>
      </w:tr>
      <w:tr w:rsidR="000D07EA" w14:paraId="1352A016" w14:textId="77777777">
        <w:tc>
          <w:tcPr>
            <w:tcW w:w="4410" w:type="dxa"/>
            <w:shd w:val="clear" w:color="auto" w:fill="auto"/>
          </w:tcPr>
          <w:p w14:paraId="74D84BD7" w14:textId="77777777" w:rsidR="000D07EA" w:rsidRDefault="00BE7C89">
            <w:pPr>
              <w:pStyle w:val="BodyText"/>
              <w:spacing w:before="100" w:after="100"/>
              <w:rPr>
                <w:b/>
                <w:bCs/>
              </w:rPr>
            </w:pPr>
            <w:r>
              <w:rPr>
                <w:b/>
                <w:bCs/>
              </w:rPr>
              <w:t>National Diversions</w:t>
            </w:r>
          </w:p>
        </w:tc>
        <w:tc>
          <w:tcPr>
            <w:tcW w:w="4320" w:type="dxa"/>
            <w:shd w:val="clear" w:color="auto" w:fill="auto"/>
          </w:tcPr>
          <w:p w14:paraId="28E27942" w14:textId="77777777" w:rsidR="000D07EA" w:rsidRDefault="00BE7C89">
            <w:pPr>
              <w:pStyle w:val="BodyText"/>
              <w:spacing w:before="100" w:after="100"/>
              <w:jc w:val="center"/>
            </w:pPr>
            <w:r>
              <w:t>$0 per minute</w:t>
            </w:r>
          </w:p>
        </w:tc>
      </w:tr>
      <w:tr w:rsidR="000D07EA" w14:paraId="483AAEFE" w14:textId="77777777">
        <w:tc>
          <w:tcPr>
            <w:tcW w:w="4410" w:type="dxa"/>
            <w:shd w:val="clear" w:color="auto" w:fill="auto"/>
          </w:tcPr>
          <w:p w14:paraId="63D42DED" w14:textId="77777777" w:rsidR="000D07EA" w:rsidRDefault="00BE7C89">
            <w:pPr>
              <w:pStyle w:val="BodyText"/>
              <w:spacing w:before="100" w:after="100"/>
              <w:rPr>
                <w:b/>
                <w:bCs/>
              </w:rPr>
            </w:pPr>
            <w:r>
              <w:rPr>
                <w:b/>
                <w:bCs/>
              </w:rPr>
              <w:t>International Diversions</w:t>
            </w:r>
          </w:p>
        </w:tc>
        <w:tc>
          <w:tcPr>
            <w:tcW w:w="4320" w:type="dxa"/>
            <w:shd w:val="clear" w:color="auto" w:fill="auto"/>
          </w:tcPr>
          <w:p w14:paraId="5DF2D74E" w14:textId="77777777" w:rsidR="000D07EA" w:rsidRDefault="00BE7C89">
            <w:pPr>
              <w:pStyle w:val="BodyText"/>
              <w:spacing w:before="100" w:after="100"/>
              <w:jc w:val="center"/>
            </w:pPr>
            <w:r>
              <w:t>'yes' international rates</w:t>
            </w:r>
            <w:r>
              <w:br/>
              <w:t>See optus.com.au/international</w:t>
            </w:r>
          </w:p>
        </w:tc>
      </w:tr>
      <w:tr w:rsidR="000D07EA" w14:paraId="0081A80C" w14:textId="77777777">
        <w:tc>
          <w:tcPr>
            <w:tcW w:w="4410" w:type="dxa"/>
            <w:shd w:val="clear" w:color="auto" w:fill="auto"/>
          </w:tcPr>
          <w:p w14:paraId="0E581015" w14:textId="77777777" w:rsidR="000D07EA" w:rsidRDefault="00BE7C89">
            <w:pPr>
              <w:pStyle w:val="BodyText"/>
              <w:spacing w:before="100" w:after="100"/>
              <w:rPr>
                <w:b/>
                <w:bCs/>
              </w:rPr>
            </w:pPr>
            <w:r>
              <w:rPr>
                <w:b/>
                <w:bCs/>
              </w:rPr>
              <w:t>1800 numbers</w:t>
            </w:r>
          </w:p>
        </w:tc>
        <w:tc>
          <w:tcPr>
            <w:tcW w:w="4320" w:type="dxa"/>
            <w:shd w:val="clear" w:color="auto" w:fill="auto"/>
            <w:vAlign w:val="center"/>
          </w:tcPr>
          <w:p w14:paraId="636DA5E2" w14:textId="77777777" w:rsidR="000D07EA" w:rsidRDefault="00BE7C89">
            <w:pPr>
              <w:pStyle w:val="BodyText"/>
              <w:spacing w:before="100" w:after="100"/>
              <w:jc w:val="center"/>
            </w:pPr>
            <w:r>
              <w:t>$0 per minute</w:t>
            </w:r>
          </w:p>
        </w:tc>
      </w:tr>
      <w:tr w:rsidR="000D07EA" w14:paraId="07C11961" w14:textId="77777777">
        <w:tc>
          <w:tcPr>
            <w:tcW w:w="4410" w:type="dxa"/>
            <w:shd w:val="clear" w:color="auto" w:fill="auto"/>
          </w:tcPr>
          <w:p w14:paraId="091878C7" w14:textId="77777777" w:rsidR="000D07EA" w:rsidRDefault="00BE7C89">
            <w:pPr>
              <w:pStyle w:val="BodyText"/>
              <w:spacing w:before="100" w:after="100"/>
              <w:rPr>
                <w:b/>
                <w:bCs/>
              </w:rPr>
            </w:pPr>
            <w:r>
              <w:rPr>
                <w:b/>
                <w:bCs/>
              </w:rPr>
              <w:t>Directory Assistance 1223</w:t>
            </w:r>
          </w:p>
        </w:tc>
        <w:tc>
          <w:tcPr>
            <w:tcW w:w="4320" w:type="dxa"/>
            <w:shd w:val="clear" w:color="auto" w:fill="auto"/>
            <w:vAlign w:val="center"/>
          </w:tcPr>
          <w:p w14:paraId="0ADE286A" w14:textId="77777777" w:rsidR="000D07EA" w:rsidRDefault="00BE7C89">
            <w:pPr>
              <w:pStyle w:val="BodyText"/>
              <w:spacing w:before="100" w:after="100"/>
              <w:jc w:val="center"/>
            </w:pPr>
            <w:r>
              <w:t>50c per call</w:t>
            </w:r>
          </w:p>
        </w:tc>
      </w:tr>
      <w:tr w:rsidR="000D07EA" w14:paraId="583E6D0D" w14:textId="77777777">
        <w:tc>
          <w:tcPr>
            <w:tcW w:w="4410" w:type="dxa"/>
            <w:shd w:val="clear" w:color="auto" w:fill="auto"/>
          </w:tcPr>
          <w:p w14:paraId="15F7562D" w14:textId="77777777" w:rsidR="000D07EA" w:rsidRDefault="00BE7C89">
            <w:pPr>
              <w:pStyle w:val="BodyText"/>
              <w:spacing w:before="100" w:after="100"/>
              <w:rPr>
                <w:b/>
                <w:bCs/>
              </w:rPr>
            </w:pPr>
            <w:r>
              <w:rPr>
                <w:b/>
                <w:bCs/>
              </w:rPr>
              <w:t>124 Yes</w:t>
            </w:r>
          </w:p>
        </w:tc>
        <w:tc>
          <w:tcPr>
            <w:tcW w:w="4320" w:type="dxa"/>
            <w:shd w:val="clear" w:color="auto" w:fill="auto"/>
            <w:vAlign w:val="center"/>
          </w:tcPr>
          <w:p w14:paraId="4CB1B375" w14:textId="77777777" w:rsidR="000D07EA" w:rsidRDefault="00BE7C89">
            <w:pPr>
              <w:pStyle w:val="BodyText"/>
              <w:spacing w:before="100" w:after="100"/>
              <w:jc w:val="center"/>
            </w:pPr>
            <w:r>
              <w:t>90c per minute +$1.75c flagfall</w:t>
            </w:r>
          </w:p>
        </w:tc>
      </w:tr>
      <w:tr w:rsidR="000D07EA" w14:paraId="686D6447" w14:textId="77777777">
        <w:tc>
          <w:tcPr>
            <w:tcW w:w="4410" w:type="dxa"/>
            <w:shd w:val="clear" w:color="auto" w:fill="auto"/>
          </w:tcPr>
          <w:p w14:paraId="6DEA7046" w14:textId="77777777" w:rsidR="000D07EA" w:rsidRDefault="00BE7C89">
            <w:pPr>
              <w:pStyle w:val="BodyText"/>
              <w:spacing w:before="100" w:after="100"/>
              <w:rPr>
                <w:b/>
                <w:bCs/>
              </w:rPr>
            </w:pPr>
            <w:r>
              <w:rPr>
                <w:b/>
                <w:bCs/>
              </w:rPr>
              <w:t>International voice calls (outside the plan's included international minutes and to excluded countries)</w:t>
            </w:r>
          </w:p>
        </w:tc>
        <w:tc>
          <w:tcPr>
            <w:tcW w:w="4320" w:type="dxa"/>
            <w:shd w:val="clear" w:color="auto" w:fill="auto"/>
            <w:vAlign w:val="center"/>
          </w:tcPr>
          <w:p w14:paraId="55E2247D" w14:textId="77777777" w:rsidR="000D07EA" w:rsidRDefault="00BE7C89">
            <w:pPr>
              <w:pStyle w:val="BodyText"/>
              <w:spacing w:before="100" w:after="100"/>
              <w:jc w:val="center"/>
            </w:pPr>
            <w:r>
              <w:t>'yes' international rates</w:t>
            </w:r>
          </w:p>
          <w:p w14:paraId="5F9EC160" w14:textId="77777777" w:rsidR="000D07EA" w:rsidRDefault="00BE7C89">
            <w:pPr>
              <w:pStyle w:val="BodyText"/>
              <w:spacing w:before="100" w:after="100"/>
              <w:jc w:val="center"/>
            </w:pPr>
            <w:r>
              <w:t>See optus.com.au/international</w:t>
            </w:r>
          </w:p>
        </w:tc>
      </w:tr>
      <w:tr w:rsidR="000D07EA" w14:paraId="254420C4" w14:textId="77777777">
        <w:tc>
          <w:tcPr>
            <w:tcW w:w="4410" w:type="dxa"/>
            <w:shd w:val="clear" w:color="auto" w:fill="auto"/>
          </w:tcPr>
          <w:p w14:paraId="47ACE0EB" w14:textId="77777777" w:rsidR="000D07EA" w:rsidRDefault="00BE7C89">
            <w:pPr>
              <w:pStyle w:val="BodyText"/>
              <w:spacing w:before="100" w:after="100"/>
              <w:rPr>
                <w:b/>
                <w:bCs/>
              </w:rPr>
            </w:pPr>
            <w:r>
              <w:rPr>
                <w:b/>
                <w:bCs/>
              </w:rPr>
              <w:t>International SMS (to excluded countries)</w:t>
            </w:r>
          </w:p>
        </w:tc>
        <w:tc>
          <w:tcPr>
            <w:tcW w:w="4320" w:type="dxa"/>
            <w:shd w:val="clear" w:color="auto" w:fill="auto"/>
            <w:vAlign w:val="center"/>
          </w:tcPr>
          <w:p w14:paraId="4E3D6B24" w14:textId="77777777" w:rsidR="000D07EA" w:rsidRDefault="00BE7C89">
            <w:pPr>
              <w:pStyle w:val="BodyText"/>
              <w:spacing w:before="100" w:after="100"/>
              <w:jc w:val="center"/>
            </w:pPr>
            <w:r>
              <w:t>50c per SMS up to 160 standard characters</w:t>
            </w:r>
          </w:p>
        </w:tc>
      </w:tr>
      <w:tr w:rsidR="000D07EA" w14:paraId="71E650E4" w14:textId="77777777">
        <w:tc>
          <w:tcPr>
            <w:tcW w:w="4410" w:type="dxa"/>
            <w:shd w:val="clear" w:color="auto" w:fill="auto"/>
          </w:tcPr>
          <w:p w14:paraId="41A9CD21" w14:textId="77777777" w:rsidR="000D07EA" w:rsidRDefault="00BE7C89">
            <w:pPr>
              <w:pStyle w:val="BodyText"/>
              <w:spacing w:before="100" w:after="100"/>
              <w:rPr>
                <w:b/>
                <w:bCs/>
              </w:rPr>
            </w:pPr>
            <w:r>
              <w:rPr>
                <w:b/>
                <w:bCs/>
              </w:rPr>
              <w:t>International MMS (to excluded countries)</w:t>
            </w:r>
          </w:p>
        </w:tc>
        <w:tc>
          <w:tcPr>
            <w:tcW w:w="4320" w:type="dxa"/>
            <w:shd w:val="clear" w:color="auto" w:fill="auto"/>
            <w:vAlign w:val="center"/>
          </w:tcPr>
          <w:p w14:paraId="2A2F413B" w14:textId="77777777" w:rsidR="000D07EA" w:rsidRDefault="00BE7C89">
            <w:pPr>
              <w:pStyle w:val="BodyText"/>
              <w:spacing w:before="100" w:after="100"/>
              <w:jc w:val="center"/>
            </w:pPr>
            <w:r>
              <w:t>75c per MMS</w:t>
            </w:r>
          </w:p>
        </w:tc>
      </w:tr>
      <w:tr w:rsidR="000D07EA" w14:paraId="3BF749EF" w14:textId="77777777">
        <w:tc>
          <w:tcPr>
            <w:tcW w:w="4410" w:type="dxa"/>
            <w:shd w:val="clear" w:color="auto" w:fill="auto"/>
          </w:tcPr>
          <w:p w14:paraId="2BBA4094" w14:textId="77777777" w:rsidR="000D07EA" w:rsidRDefault="00BE7C89">
            <w:pPr>
              <w:pStyle w:val="BodyText"/>
              <w:spacing w:before="100" w:after="100"/>
              <w:rPr>
                <w:b/>
                <w:bCs/>
              </w:rPr>
            </w:pPr>
            <w:r>
              <w:rPr>
                <w:b/>
                <w:bCs/>
              </w:rPr>
              <w:t>International video calling</w:t>
            </w:r>
          </w:p>
        </w:tc>
        <w:tc>
          <w:tcPr>
            <w:tcW w:w="4320" w:type="dxa"/>
            <w:shd w:val="clear" w:color="auto" w:fill="auto"/>
            <w:vAlign w:val="center"/>
          </w:tcPr>
          <w:p w14:paraId="234C2A16" w14:textId="77777777" w:rsidR="000D07EA" w:rsidRDefault="00BE7C89">
            <w:pPr>
              <w:pStyle w:val="BodyText"/>
              <w:spacing w:before="100" w:after="100"/>
              <w:jc w:val="center"/>
            </w:pPr>
            <w:r>
              <w:t>$1.50 per minute +35c flagfall</w:t>
            </w:r>
          </w:p>
        </w:tc>
      </w:tr>
      <w:tr w:rsidR="000D07EA" w14:paraId="37BEA9DB" w14:textId="77777777">
        <w:tc>
          <w:tcPr>
            <w:tcW w:w="4410" w:type="dxa"/>
            <w:shd w:val="clear" w:color="auto" w:fill="auto"/>
          </w:tcPr>
          <w:p w14:paraId="18DC3BA8" w14:textId="77777777" w:rsidR="000D07EA" w:rsidRDefault="00BE7C89">
            <w:pPr>
              <w:pStyle w:val="BodyText"/>
              <w:spacing w:before="100" w:after="100"/>
              <w:rPr>
                <w:b/>
                <w:bCs/>
              </w:rPr>
            </w:pPr>
            <w:r>
              <w:rPr>
                <w:b/>
                <w:bCs/>
              </w:rPr>
              <w:t>International roaming</w:t>
            </w:r>
          </w:p>
        </w:tc>
        <w:tc>
          <w:tcPr>
            <w:tcW w:w="4320" w:type="dxa"/>
            <w:shd w:val="clear" w:color="auto" w:fill="auto"/>
            <w:vAlign w:val="center"/>
          </w:tcPr>
          <w:p w14:paraId="53E949BD" w14:textId="77777777" w:rsidR="000D07EA" w:rsidRDefault="00BE7C89">
            <w:pPr>
              <w:pStyle w:val="BodyText"/>
              <w:spacing w:before="100" w:after="100"/>
              <w:jc w:val="center"/>
            </w:pPr>
            <w:r>
              <w:t>See optus.com.au/roaming</w:t>
            </w:r>
          </w:p>
        </w:tc>
      </w:tr>
    </w:tbl>
    <w:p w14:paraId="28871A5D" w14:textId="77777777" w:rsidR="000D07EA" w:rsidRDefault="000D07EA">
      <w:pPr>
        <w:pStyle w:val="BodyText"/>
      </w:pPr>
    </w:p>
    <w:p w14:paraId="620B3986" w14:textId="77777777" w:rsidR="000D07EA" w:rsidRDefault="00BE7C89">
      <w:pPr>
        <w:pStyle w:val="BodyText"/>
        <w:ind w:left="720"/>
        <w:rPr>
          <w:b/>
        </w:rPr>
      </w:pPr>
      <w:r>
        <w:rPr>
          <w:b/>
        </w:rPr>
        <w:t>Table 3 – International Countries</w:t>
      </w: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2"/>
        <w:gridCol w:w="2183"/>
        <w:gridCol w:w="2182"/>
        <w:gridCol w:w="2183"/>
      </w:tblGrid>
      <w:tr w:rsidR="000D07EA" w14:paraId="1D1C56C0" w14:textId="77777777">
        <w:tc>
          <w:tcPr>
            <w:tcW w:w="2182" w:type="dxa"/>
            <w:shd w:val="clear" w:color="auto" w:fill="auto"/>
          </w:tcPr>
          <w:p w14:paraId="63AABE6B" w14:textId="77777777" w:rsidR="000D07EA" w:rsidRDefault="00BE7C89">
            <w:pPr>
              <w:pStyle w:val="BodyText"/>
              <w:spacing w:before="100" w:after="100"/>
              <w:rPr>
                <w:b/>
              </w:rPr>
            </w:pPr>
            <w:r>
              <w:t>Austria</w:t>
            </w:r>
          </w:p>
        </w:tc>
        <w:tc>
          <w:tcPr>
            <w:tcW w:w="2183" w:type="dxa"/>
            <w:shd w:val="clear" w:color="auto" w:fill="auto"/>
          </w:tcPr>
          <w:p w14:paraId="2857E890" w14:textId="77777777" w:rsidR="000D07EA" w:rsidRDefault="00BE7C89">
            <w:pPr>
              <w:pStyle w:val="BodyText"/>
              <w:spacing w:before="100" w:after="100"/>
              <w:rPr>
                <w:b/>
              </w:rPr>
            </w:pPr>
            <w:r>
              <w:t>Bangladesh</w:t>
            </w:r>
          </w:p>
        </w:tc>
        <w:tc>
          <w:tcPr>
            <w:tcW w:w="2182" w:type="dxa"/>
            <w:shd w:val="clear" w:color="auto" w:fill="auto"/>
          </w:tcPr>
          <w:p w14:paraId="4F81A00C" w14:textId="77777777" w:rsidR="000D07EA" w:rsidRDefault="00BE7C89">
            <w:pPr>
              <w:pStyle w:val="BodyText"/>
              <w:spacing w:before="100" w:after="100"/>
              <w:rPr>
                <w:b/>
              </w:rPr>
            </w:pPr>
            <w:r>
              <w:t>Cambodia</w:t>
            </w:r>
          </w:p>
        </w:tc>
        <w:tc>
          <w:tcPr>
            <w:tcW w:w="2183" w:type="dxa"/>
            <w:shd w:val="clear" w:color="auto" w:fill="auto"/>
          </w:tcPr>
          <w:p w14:paraId="3AE5CDFE" w14:textId="77777777" w:rsidR="000D07EA" w:rsidRDefault="00BE7C89">
            <w:pPr>
              <w:pStyle w:val="BodyText"/>
              <w:spacing w:before="100" w:after="100"/>
              <w:rPr>
                <w:b/>
              </w:rPr>
            </w:pPr>
            <w:r>
              <w:t>Canada</w:t>
            </w:r>
          </w:p>
        </w:tc>
      </w:tr>
      <w:tr w:rsidR="000D07EA" w14:paraId="3A39E34B" w14:textId="77777777">
        <w:tc>
          <w:tcPr>
            <w:tcW w:w="2182" w:type="dxa"/>
            <w:shd w:val="clear" w:color="auto" w:fill="auto"/>
          </w:tcPr>
          <w:p w14:paraId="6338D68B" w14:textId="77777777" w:rsidR="000D07EA" w:rsidRDefault="00BE7C89">
            <w:pPr>
              <w:pStyle w:val="BodyText"/>
              <w:spacing w:before="100" w:after="100"/>
              <w:rPr>
                <w:b/>
              </w:rPr>
            </w:pPr>
            <w:r>
              <w:t xml:space="preserve">Chile </w:t>
            </w:r>
          </w:p>
        </w:tc>
        <w:tc>
          <w:tcPr>
            <w:tcW w:w="2183" w:type="dxa"/>
            <w:shd w:val="clear" w:color="auto" w:fill="auto"/>
          </w:tcPr>
          <w:p w14:paraId="168B87B0" w14:textId="77777777" w:rsidR="000D07EA" w:rsidRDefault="00BE7C89">
            <w:pPr>
              <w:pStyle w:val="BodyText"/>
              <w:spacing w:before="100" w:after="100"/>
              <w:rPr>
                <w:b/>
              </w:rPr>
            </w:pPr>
            <w:r>
              <w:t xml:space="preserve">China </w:t>
            </w:r>
          </w:p>
        </w:tc>
        <w:tc>
          <w:tcPr>
            <w:tcW w:w="2182" w:type="dxa"/>
            <w:shd w:val="clear" w:color="auto" w:fill="auto"/>
          </w:tcPr>
          <w:p w14:paraId="01E121B7" w14:textId="77777777" w:rsidR="000D07EA" w:rsidRDefault="00BE7C89">
            <w:pPr>
              <w:pStyle w:val="BodyText"/>
              <w:spacing w:before="100" w:after="100"/>
              <w:rPr>
                <w:b/>
              </w:rPr>
            </w:pPr>
            <w:r>
              <w:t xml:space="preserve">Croatia </w:t>
            </w:r>
          </w:p>
        </w:tc>
        <w:tc>
          <w:tcPr>
            <w:tcW w:w="2183" w:type="dxa"/>
            <w:shd w:val="clear" w:color="auto" w:fill="auto"/>
          </w:tcPr>
          <w:p w14:paraId="34D7147E" w14:textId="77777777" w:rsidR="000D07EA" w:rsidRDefault="00BE7C89">
            <w:pPr>
              <w:pStyle w:val="BodyText"/>
              <w:spacing w:before="100" w:after="100"/>
              <w:rPr>
                <w:b/>
              </w:rPr>
            </w:pPr>
            <w:r>
              <w:t>France</w:t>
            </w:r>
          </w:p>
        </w:tc>
      </w:tr>
      <w:tr w:rsidR="000D07EA" w14:paraId="025E6101" w14:textId="77777777">
        <w:tc>
          <w:tcPr>
            <w:tcW w:w="2182" w:type="dxa"/>
            <w:shd w:val="clear" w:color="auto" w:fill="auto"/>
          </w:tcPr>
          <w:p w14:paraId="59D18398" w14:textId="77777777" w:rsidR="000D07EA" w:rsidRDefault="00BE7C89">
            <w:pPr>
              <w:pStyle w:val="BodyText"/>
              <w:spacing w:before="100" w:after="100"/>
              <w:rPr>
                <w:b/>
              </w:rPr>
            </w:pPr>
            <w:r>
              <w:t>Germany</w:t>
            </w:r>
          </w:p>
        </w:tc>
        <w:tc>
          <w:tcPr>
            <w:tcW w:w="2183" w:type="dxa"/>
            <w:shd w:val="clear" w:color="auto" w:fill="auto"/>
          </w:tcPr>
          <w:p w14:paraId="55B245C5" w14:textId="77777777" w:rsidR="000D07EA" w:rsidRDefault="00BE7C89">
            <w:pPr>
              <w:pStyle w:val="BodyText"/>
              <w:spacing w:before="100" w:after="100"/>
              <w:rPr>
                <w:b/>
              </w:rPr>
            </w:pPr>
            <w:r>
              <w:t>Greece</w:t>
            </w:r>
          </w:p>
        </w:tc>
        <w:tc>
          <w:tcPr>
            <w:tcW w:w="2182" w:type="dxa"/>
            <w:shd w:val="clear" w:color="auto" w:fill="auto"/>
          </w:tcPr>
          <w:p w14:paraId="332B7175" w14:textId="77777777" w:rsidR="000D07EA" w:rsidRDefault="00BE7C89">
            <w:pPr>
              <w:pStyle w:val="BodyText"/>
              <w:spacing w:before="100" w:after="100"/>
              <w:rPr>
                <w:b/>
              </w:rPr>
            </w:pPr>
            <w:r>
              <w:t>Hong Kong,</w:t>
            </w:r>
          </w:p>
        </w:tc>
        <w:tc>
          <w:tcPr>
            <w:tcW w:w="2183" w:type="dxa"/>
            <w:shd w:val="clear" w:color="auto" w:fill="auto"/>
          </w:tcPr>
          <w:p w14:paraId="24AC55A5" w14:textId="77777777" w:rsidR="000D07EA" w:rsidRDefault="00BE7C89">
            <w:pPr>
              <w:pStyle w:val="BodyText"/>
              <w:spacing w:before="100" w:after="100"/>
              <w:rPr>
                <w:b/>
              </w:rPr>
            </w:pPr>
            <w:r>
              <w:t>Hungary</w:t>
            </w:r>
          </w:p>
        </w:tc>
      </w:tr>
      <w:tr w:rsidR="000D07EA" w14:paraId="297CEF4C" w14:textId="77777777">
        <w:tc>
          <w:tcPr>
            <w:tcW w:w="2182" w:type="dxa"/>
            <w:shd w:val="clear" w:color="auto" w:fill="auto"/>
          </w:tcPr>
          <w:p w14:paraId="79BC1078" w14:textId="77777777" w:rsidR="000D07EA" w:rsidRDefault="00BE7C89">
            <w:pPr>
              <w:pStyle w:val="BodyText"/>
              <w:spacing w:before="100" w:after="100"/>
              <w:rPr>
                <w:b/>
              </w:rPr>
            </w:pPr>
            <w:r>
              <w:t>Indonesia</w:t>
            </w:r>
          </w:p>
        </w:tc>
        <w:tc>
          <w:tcPr>
            <w:tcW w:w="2183" w:type="dxa"/>
            <w:shd w:val="clear" w:color="auto" w:fill="auto"/>
          </w:tcPr>
          <w:p w14:paraId="3ED0B2C6" w14:textId="77777777" w:rsidR="000D07EA" w:rsidRDefault="00BE7C89">
            <w:pPr>
              <w:pStyle w:val="BodyText"/>
              <w:spacing w:before="100" w:after="100"/>
              <w:rPr>
                <w:b/>
              </w:rPr>
            </w:pPr>
            <w:r>
              <w:t>India</w:t>
            </w:r>
          </w:p>
        </w:tc>
        <w:tc>
          <w:tcPr>
            <w:tcW w:w="2182" w:type="dxa"/>
            <w:shd w:val="clear" w:color="auto" w:fill="auto"/>
          </w:tcPr>
          <w:p w14:paraId="676724FA" w14:textId="77777777" w:rsidR="000D07EA" w:rsidRDefault="00BE7C89">
            <w:pPr>
              <w:pStyle w:val="BodyText"/>
              <w:spacing w:before="100" w:after="100"/>
              <w:rPr>
                <w:b/>
              </w:rPr>
            </w:pPr>
            <w:r>
              <w:t>Ireland</w:t>
            </w:r>
          </w:p>
        </w:tc>
        <w:tc>
          <w:tcPr>
            <w:tcW w:w="2183" w:type="dxa"/>
            <w:shd w:val="clear" w:color="auto" w:fill="auto"/>
          </w:tcPr>
          <w:p w14:paraId="7B027CDC" w14:textId="77777777" w:rsidR="000D07EA" w:rsidRDefault="00BE7C89">
            <w:pPr>
              <w:pStyle w:val="BodyText"/>
              <w:spacing w:before="100" w:after="100"/>
              <w:rPr>
                <w:b/>
              </w:rPr>
            </w:pPr>
            <w:r>
              <w:t>Italy</w:t>
            </w:r>
          </w:p>
        </w:tc>
      </w:tr>
      <w:tr w:rsidR="000D07EA" w14:paraId="6A747601" w14:textId="77777777">
        <w:tc>
          <w:tcPr>
            <w:tcW w:w="2182" w:type="dxa"/>
            <w:shd w:val="clear" w:color="auto" w:fill="auto"/>
          </w:tcPr>
          <w:p w14:paraId="38F4F553" w14:textId="77777777" w:rsidR="000D07EA" w:rsidRDefault="00BE7C89">
            <w:pPr>
              <w:pStyle w:val="BodyText"/>
              <w:spacing w:before="100" w:after="100"/>
              <w:rPr>
                <w:b/>
              </w:rPr>
            </w:pPr>
            <w:r>
              <w:t xml:space="preserve">Japan </w:t>
            </w:r>
          </w:p>
        </w:tc>
        <w:tc>
          <w:tcPr>
            <w:tcW w:w="2183" w:type="dxa"/>
            <w:shd w:val="clear" w:color="auto" w:fill="auto"/>
          </w:tcPr>
          <w:p w14:paraId="28744C44" w14:textId="77777777" w:rsidR="000D07EA" w:rsidRDefault="00BE7C89">
            <w:pPr>
              <w:pStyle w:val="BodyText"/>
              <w:spacing w:before="100" w:after="100"/>
              <w:rPr>
                <w:b/>
              </w:rPr>
            </w:pPr>
            <w:r>
              <w:t>Malaysia,</w:t>
            </w:r>
          </w:p>
        </w:tc>
        <w:tc>
          <w:tcPr>
            <w:tcW w:w="2182" w:type="dxa"/>
            <w:shd w:val="clear" w:color="auto" w:fill="auto"/>
          </w:tcPr>
          <w:p w14:paraId="109EA1C0" w14:textId="77777777" w:rsidR="000D07EA" w:rsidRDefault="00BE7C89">
            <w:pPr>
              <w:pStyle w:val="BodyText"/>
              <w:spacing w:before="100" w:after="100"/>
              <w:rPr>
                <w:b/>
              </w:rPr>
            </w:pPr>
            <w:r>
              <w:t>Netherlands</w:t>
            </w:r>
          </w:p>
        </w:tc>
        <w:tc>
          <w:tcPr>
            <w:tcW w:w="2183" w:type="dxa"/>
            <w:shd w:val="clear" w:color="auto" w:fill="auto"/>
          </w:tcPr>
          <w:p w14:paraId="30AFFC72" w14:textId="77777777" w:rsidR="000D07EA" w:rsidRDefault="00BE7C89">
            <w:pPr>
              <w:pStyle w:val="BodyText"/>
              <w:spacing w:before="100" w:after="100"/>
              <w:rPr>
                <w:b/>
              </w:rPr>
            </w:pPr>
            <w:r>
              <w:t>New Zealand</w:t>
            </w:r>
          </w:p>
        </w:tc>
      </w:tr>
      <w:tr w:rsidR="000D07EA" w14:paraId="70F34078" w14:textId="77777777">
        <w:tc>
          <w:tcPr>
            <w:tcW w:w="2182" w:type="dxa"/>
            <w:shd w:val="clear" w:color="auto" w:fill="auto"/>
          </w:tcPr>
          <w:p w14:paraId="10E00757" w14:textId="77777777" w:rsidR="000D07EA" w:rsidRDefault="00BE7C89">
            <w:pPr>
              <w:pStyle w:val="BodyText"/>
              <w:spacing w:before="100" w:after="100"/>
              <w:rPr>
                <w:b/>
              </w:rPr>
            </w:pPr>
            <w:r>
              <w:t xml:space="preserve">Pakistan </w:t>
            </w:r>
          </w:p>
        </w:tc>
        <w:tc>
          <w:tcPr>
            <w:tcW w:w="2183" w:type="dxa"/>
            <w:shd w:val="clear" w:color="auto" w:fill="auto"/>
          </w:tcPr>
          <w:p w14:paraId="7D865B8F" w14:textId="77777777" w:rsidR="000D07EA" w:rsidRDefault="00BE7C89">
            <w:pPr>
              <w:pStyle w:val="BodyText"/>
              <w:spacing w:before="100" w:after="100"/>
              <w:rPr>
                <w:b/>
              </w:rPr>
            </w:pPr>
            <w:r>
              <w:t>Philippines</w:t>
            </w:r>
          </w:p>
        </w:tc>
        <w:tc>
          <w:tcPr>
            <w:tcW w:w="2182" w:type="dxa"/>
            <w:shd w:val="clear" w:color="auto" w:fill="auto"/>
          </w:tcPr>
          <w:p w14:paraId="26737DAE" w14:textId="77777777" w:rsidR="000D07EA" w:rsidRDefault="00BE7C89">
            <w:pPr>
              <w:pStyle w:val="BodyText"/>
              <w:spacing w:before="100" w:after="100"/>
              <w:rPr>
                <w:b/>
              </w:rPr>
            </w:pPr>
            <w:r>
              <w:t xml:space="preserve">Poland </w:t>
            </w:r>
          </w:p>
        </w:tc>
        <w:tc>
          <w:tcPr>
            <w:tcW w:w="2183" w:type="dxa"/>
            <w:shd w:val="clear" w:color="auto" w:fill="auto"/>
          </w:tcPr>
          <w:p w14:paraId="37A93216" w14:textId="77777777" w:rsidR="000D07EA" w:rsidRDefault="00BE7C89">
            <w:pPr>
              <w:pStyle w:val="BodyText"/>
              <w:spacing w:before="100" w:after="100"/>
              <w:rPr>
                <w:b/>
              </w:rPr>
            </w:pPr>
            <w:r>
              <w:t>Singapore</w:t>
            </w:r>
          </w:p>
        </w:tc>
      </w:tr>
      <w:tr w:rsidR="000D07EA" w14:paraId="7E6C0593" w14:textId="77777777">
        <w:tc>
          <w:tcPr>
            <w:tcW w:w="2182" w:type="dxa"/>
            <w:shd w:val="clear" w:color="auto" w:fill="auto"/>
          </w:tcPr>
          <w:p w14:paraId="3EFD2A90" w14:textId="77777777" w:rsidR="000D07EA" w:rsidRDefault="00BE7C89">
            <w:pPr>
              <w:pStyle w:val="BodyText"/>
              <w:spacing w:before="100" w:after="100"/>
              <w:rPr>
                <w:b/>
              </w:rPr>
            </w:pPr>
            <w:r>
              <w:t xml:space="preserve">South Africa </w:t>
            </w:r>
          </w:p>
        </w:tc>
        <w:tc>
          <w:tcPr>
            <w:tcW w:w="2183" w:type="dxa"/>
            <w:shd w:val="clear" w:color="auto" w:fill="auto"/>
          </w:tcPr>
          <w:p w14:paraId="1156B09B" w14:textId="77777777" w:rsidR="000D07EA" w:rsidRDefault="00BE7C89">
            <w:pPr>
              <w:pStyle w:val="BodyText"/>
              <w:spacing w:before="100" w:after="100"/>
              <w:rPr>
                <w:b/>
              </w:rPr>
            </w:pPr>
            <w:r>
              <w:t>South Korea</w:t>
            </w:r>
          </w:p>
        </w:tc>
        <w:tc>
          <w:tcPr>
            <w:tcW w:w="2182" w:type="dxa"/>
            <w:shd w:val="clear" w:color="auto" w:fill="auto"/>
          </w:tcPr>
          <w:p w14:paraId="45C1D910" w14:textId="77777777" w:rsidR="000D07EA" w:rsidRDefault="00BE7C89">
            <w:pPr>
              <w:pStyle w:val="BodyText"/>
              <w:spacing w:before="100" w:after="100"/>
              <w:rPr>
                <w:b/>
              </w:rPr>
            </w:pPr>
            <w:r>
              <w:t xml:space="preserve">Taiwan </w:t>
            </w:r>
          </w:p>
        </w:tc>
        <w:tc>
          <w:tcPr>
            <w:tcW w:w="2183" w:type="dxa"/>
            <w:shd w:val="clear" w:color="auto" w:fill="auto"/>
          </w:tcPr>
          <w:p w14:paraId="38B121D7" w14:textId="77777777" w:rsidR="000D07EA" w:rsidRDefault="00BE7C89">
            <w:pPr>
              <w:pStyle w:val="BodyText"/>
              <w:spacing w:before="100" w:after="100"/>
              <w:rPr>
                <w:b/>
              </w:rPr>
            </w:pPr>
            <w:r>
              <w:t>Thailand</w:t>
            </w:r>
          </w:p>
        </w:tc>
      </w:tr>
      <w:tr w:rsidR="000D07EA" w14:paraId="063927F2" w14:textId="77777777">
        <w:tc>
          <w:tcPr>
            <w:tcW w:w="2182" w:type="dxa"/>
            <w:shd w:val="clear" w:color="auto" w:fill="auto"/>
          </w:tcPr>
          <w:p w14:paraId="111EDBC1" w14:textId="77777777" w:rsidR="000D07EA" w:rsidRDefault="00BE7C89">
            <w:pPr>
              <w:pStyle w:val="BodyText"/>
              <w:spacing w:before="100" w:after="100"/>
              <w:rPr>
                <w:b/>
              </w:rPr>
            </w:pPr>
            <w:r>
              <w:t>Turkey</w:t>
            </w:r>
          </w:p>
        </w:tc>
        <w:tc>
          <w:tcPr>
            <w:tcW w:w="2183" w:type="dxa"/>
            <w:shd w:val="clear" w:color="auto" w:fill="auto"/>
          </w:tcPr>
          <w:p w14:paraId="67E13E9F" w14:textId="77777777" w:rsidR="000D07EA" w:rsidRDefault="00BE7C89">
            <w:pPr>
              <w:pStyle w:val="BodyText"/>
              <w:spacing w:before="100" w:after="100"/>
              <w:rPr>
                <w:b/>
              </w:rPr>
            </w:pPr>
            <w:r>
              <w:t>United Kingdom</w:t>
            </w:r>
          </w:p>
        </w:tc>
        <w:tc>
          <w:tcPr>
            <w:tcW w:w="2182" w:type="dxa"/>
            <w:shd w:val="clear" w:color="auto" w:fill="auto"/>
          </w:tcPr>
          <w:p w14:paraId="472C4CDA" w14:textId="77777777" w:rsidR="000D07EA" w:rsidRDefault="00BE7C89">
            <w:pPr>
              <w:pStyle w:val="BodyText"/>
              <w:spacing w:before="100" w:after="100"/>
              <w:rPr>
                <w:b/>
              </w:rPr>
            </w:pPr>
            <w:r>
              <w:t xml:space="preserve">USA </w:t>
            </w:r>
          </w:p>
        </w:tc>
        <w:tc>
          <w:tcPr>
            <w:tcW w:w="2183" w:type="dxa"/>
            <w:shd w:val="clear" w:color="auto" w:fill="auto"/>
          </w:tcPr>
          <w:p w14:paraId="098D210A" w14:textId="77777777" w:rsidR="000D07EA" w:rsidRDefault="00BE7C89">
            <w:pPr>
              <w:pStyle w:val="BodyText"/>
              <w:spacing w:before="100" w:after="100"/>
              <w:rPr>
                <w:b/>
              </w:rPr>
            </w:pPr>
            <w:r>
              <w:t>Vietnam</w:t>
            </w:r>
          </w:p>
        </w:tc>
      </w:tr>
    </w:tbl>
    <w:p w14:paraId="59BE21F0" w14:textId="77777777" w:rsidR="000D07EA" w:rsidRDefault="000D07EA">
      <w:pPr>
        <w:pStyle w:val="BodyText"/>
      </w:pPr>
    </w:p>
    <w:p w14:paraId="6E28E8C6" w14:textId="77777777" w:rsidR="000D07EA" w:rsidRDefault="00BE7C89">
      <w:pPr>
        <w:pStyle w:val="Heading6"/>
        <w:ind w:left="0" w:firstLine="0"/>
      </w:pPr>
      <w:bookmarkStart w:id="1156" w:name="_Toc419374902"/>
      <w:bookmarkStart w:id="1157" w:name="_Toc419725991"/>
      <w:bookmarkStart w:id="1158" w:name="_Toc429479097"/>
      <w:bookmarkStart w:id="1159" w:name="_Toc433793144"/>
      <w:bookmarkStart w:id="1160" w:name="_Toc436736484"/>
      <w:bookmarkStart w:id="1161" w:name="_Toc437268089"/>
      <w:r>
        <w:t>My Account</w:t>
      </w:r>
      <w:bookmarkEnd w:id="1156"/>
      <w:bookmarkEnd w:id="1157"/>
      <w:bookmarkEnd w:id="1158"/>
      <w:bookmarkEnd w:id="1159"/>
      <w:bookmarkEnd w:id="1160"/>
      <w:bookmarkEnd w:id="1161"/>
    </w:p>
    <w:p w14:paraId="3276E60C" w14:textId="77777777" w:rsidR="000D07EA" w:rsidRDefault="00BE7C89">
      <w:pPr>
        <w:pStyle w:val="BodyText"/>
        <w:ind w:left="72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w:t>
      </w:r>
      <w:r>
        <w:lastRenderedPageBreak/>
        <w:t xml:space="preserve">service has used. If </w:t>
      </w:r>
      <w:r>
        <w:rPr>
          <w:i/>
        </w:rPr>
        <w:t>you</w:t>
      </w:r>
      <w:r>
        <w:t xml:space="preserve"> have more than 6 services on </w:t>
      </w:r>
      <w:r>
        <w:rPr>
          <w:i/>
        </w:rPr>
        <w:t xml:space="preserve">your </w:t>
      </w:r>
      <w:r>
        <w:t xml:space="preserve">account, My Account may not be suitable for viewing usage and managing </w:t>
      </w:r>
      <w:r>
        <w:rPr>
          <w:i/>
        </w:rPr>
        <w:t xml:space="preserve">your </w:t>
      </w:r>
      <w:r>
        <w:t>usage alerts.</w:t>
      </w:r>
    </w:p>
    <w:p w14:paraId="1664266A" w14:textId="77777777" w:rsidR="000D07EA" w:rsidRDefault="00BE7C89">
      <w:pPr>
        <w:pStyle w:val="Heading6"/>
        <w:ind w:left="0" w:firstLine="0"/>
      </w:pPr>
      <w:bookmarkStart w:id="1162" w:name="_Toc419374903"/>
      <w:bookmarkStart w:id="1163" w:name="_Toc419725992"/>
      <w:bookmarkStart w:id="1164" w:name="_Toc429479098"/>
      <w:bookmarkStart w:id="1165" w:name="_Toc433793145"/>
      <w:bookmarkStart w:id="1166" w:name="_Toc436736485"/>
      <w:bookmarkStart w:id="1167" w:name="_Toc437268090"/>
      <w:r>
        <w:t xml:space="preserve">What happens if the </w:t>
      </w:r>
      <w:r>
        <w:rPr>
          <w:i/>
        </w:rPr>
        <w:t xml:space="preserve">service </w:t>
      </w:r>
      <w:r>
        <w:t>is</w:t>
      </w:r>
      <w:r>
        <w:rPr>
          <w:i/>
        </w:rPr>
        <w:t xml:space="preserve"> cancelled</w:t>
      </w:r>
      <w:r>
        <w:t>?</w:t>
      </w:r>
      <w:bookmarkEnd w:id="1162"/>
      <w:bookmarkEnd w:id="1163"/>
      <w:bookmarkEnd w:id="1164"/>
      <w:bookmarkEnd w:id="1165"/>
      <w:bookmarkEnd w:id="1166"/>
      <w:bookmarkEnd w:id="1167"/>
      <w:r>
        <w:t xml:space="preserve"> </w:t>
      </w:r>
    </w:p>
    <w:p w14:paraId="1B2271FF" w14:textId="77777777" w:rsidR="000D07EA" w:rsidRDefault="00BE7C89">
      <w:pPr>
        <w:pStyle w:val="Heading7"/>
      </w:pPr>
      <w:r>
        <w:t xml:space="preserve">If </w:t>
      </w:r>
      <w:r>
        <w:rPr>
          <w:i/>
        </w:rPr>
        <w:t xml:space="preserve">your </w:t>
      </w:r>
      <w:r>
        <w:rPr>
          <w:rFonts w:eastAsia="Calibri"/>
        </w:rPr>
        <w:t>My Plan Business SIM</w:t>
      </w:r>
      <w:r>
        <w:t xml:space="preserve"> plan is </w:t>
      </w:r>
      <w:r>
        <w:rPr>
          <w:i/>
        </w:rPr>
        <w:t>cancelled</w:t>
      </w:r>
      <w:r>
        <w:t xml:space="preserve">, </w:t>
      </w:r>
      <w:r>
        <w:rPr>
          <w:i/>
        </w:rPr>
        <w:t xml:space="preserve">your </w:t>
      </w:r>
      <w:r>
        <w:t xml:space="preserve">Shared Data Plan(s) may also be </w:t>
      </w:r>
      <w:r>
        <w:rPr>
          <w:i/>
        </w:rPr>
        <w:t>cancelled</w:t>
      </w:r>
      <w:r>
        <w:t xml:space="preserve">. There are no </w:t>
      </w:r>
      <w:r>
        <w:rPr>
          <w:i/>
        </w:rPr>
        <w:t>cancellation fees</w:t>
      </w:r>
      <w:r>
        <w:t xml:space="preserve"> for the Shared Data Plan, however if </w:t>
      </w:r>
      <w:r>
        <w:rPr>
          <w:i/>
        </w:rPr>
        <w:t xml:space="preserve">you </w:t>
      </w:r>
      <w:r>
        <w:t xml:space="preserve">purchased a </w:t>
      </w:r>
      <w:r>
        <w:rPr>
          <w:i/>
        </w:rPr>
        <w:t xml:space="preserve">device you </w:t>
      </w:r>
      <w:r>
        <w:t xml:space="preserve">need to pay the sum of any remaining equipment charges owing on your device under the </w:t>
      </w:r>
      <w:r>
        <w:rPr>
          <w:i/>
        </w:rPr>
        <w:t>mobile equipment payment plan</w:t>
      </w:r>
      <w:r>
        <w:t xml:space="preserve"> (see </w:t>
      </w:r>
      <w:hyperlink r:id="rId621" w:history="1">
        <w:r>
          <w:rPr>
            <w:rStyle w:val="Hyperlink"/>
            <w:i/>
          </w:rPr>
          <w:t>Appendix D</w:t>
        </w:r>
      </w:hyperlink>
      <w:r>
        <w:t>).</w:t>
      </w:r>
    </w:p>
    <w:p w14:paraId="137C140A" w14:textId="77777777" w:rsidR="000D07EA" w:rsidRDefault="00BE7C89">
      <w:pPr>
        <w:pStyle w:val="Heading7"/>
      </w:pPr>
      <w:r>
        <w:t xml:space="preserve">If </w:t>
      </w:r>
      <w:r>
        <w:rPr>
          <w:i/>
        </w:rPr>
        <w:t>your</w:t>
      </w:r>
      <w:r>
        <w:t xml:space="preserve"> Shared Data Plan is not </w:t>
      </w:r>
      <w:r>
        <w:rPr>
          <w:i/>
        </w:rPr>
        <w:t>cancelled</w:t>
      </w:r>
      <w:r>
        <w:t xml:space="preserve">, </w:t>
      </w:r>
      <w:r>
        <w:rPr>
          <w:i/>
        </w:rPr>
        <w:t>you</w:t>
      </w:r>
      <w:r>
        <w:t xml:space="preserve"> will be charged $10 per 1GB within Australia, up to a maximum of 150GB (per account) in a billing month. </w:t>
      </w:r>
      <w:r>
        <w:rPr>
          <w:i/>
        </w:rPr>
        <w:t>Your</w:t>
      </w:r>
      <w:r>
        <w:t xml:space="preserve"> service/s may then be restricted or we may continue to charge you at these rates.</w:t>
      </w:r>
    </w:p>
    <w:p w14:paraId="1A19734A" w14:textId="77777777" w:rsidR="000D07EA" w:rsidRDefault="00BE7C89">
      <w:pPr>
        <w:pStyle w:val="Heading4"/>
        <w:ind w:left="720" w:hanging="720"/>
      </w:pPr>
      <w:bookmarkStart w:id="1168" w:name="_Toc428375206"/>
      <w:bookmarkStart w:id="1169" w:name="_Toc431469277"/>
      <w:bookmarkStart w:id="1170" w:name="_Toc438713811"/>
      <w:bookmarkStart w:id="1171" w:name="_Toc455147642"/>
      <w:bookmarkStart w:id="1172" w:name="_Toc62644664"/>
      <w:r>
        <w:t>My Plan Business 12 Months SIM – (Promotional)</w:t>
      </w:r>
      <w:bookmarkEnd w:id="1168"/>
      <w:bookmarkEnd w:id="1169"/>
      <w:bookmarkEnd w:id="1170"/>
      <w:bookmarkEnd w:id="1171"/>
      <w:bookmarkEnd w:id="1172"/>
    </w:p>
    <w:p w14:paraId="5D68A570" w14:textId="77777777" w:rsidR="000D07EA" w:rsidRDefault="00BE7C89">
      <w:pPr>
        <w:pStyle w:val="BodyText"/>
        <w:ind w:left="720"/>
      </w:pPr>
      <w:r>
        <w:t xml:space="preserve">This section relates to the following plan(s). </w:t>
      </w:r>
      <w:r>
        <w:rPr>
          <w:i/>
        </w:rPr>
        <w:t>You</w:t>
      </w:r>
      <w:r>
        <w:t xml:space="preserve"> can find </w:t>
      </w:r>
      <w:r>
        <w:rPr>
          <w:i/>
        </w:rPr>
        <w:t>your</w:t>
      </w:r>
      <w:r>
        <w:t xml:space="preserve"> Plan ID on </w:t>
      </w:r>
      <w:r>
        <w:rPr>
          <w:i/>
        </w:rPr>
        <w:t>your</w:t>
      </w:r>
      <w:r>
        <w:t xml:space="preserve"> bill under the Mobile Number Summary section:</w:t>
      </w:r>
    </w:p>
    <w:tbl>
      <w:tblPr>
        <w:tblW w:w="946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1884"/>
        <w:gridCol w:w="3876"/>
      </w:tblGrid>
      <w:tr w:rsidR="000D07EA" w14:paraId="5F1075B2" w14:textId="77777777">
        <w:trPr>
          <w:trHeight w:val="20"/>
          <w:tblHeader/>
        </w:trPr>
        <w:tc>
          <w:tcPr>
            <w:tcW w:w="3708" w:type="dxa"/>
            <w:shd w:val="clear" w:color="auto" w:fill="auto"/>
          </w:tcPr>
          <w:p w14:paraId="129FA570" w14:textId="77777777" w:rsidR="000D07EA" w:rsidRDefault="00BE7C89">
            <w:pPr>
              <w:pStyle w:val="BodyText"/>
              <w:spacing w:before="100" w:after="100"/>
              <w:jc w:val="center"/>
              <w:rPr>
                <w:b/>
              </w:rPr>
            </w:pPr>
            <w:r>
              <w:rPr>
                <w:b/>
              </w:rPr>
              <w:t>Plan</w:t>
            </w:r>
          </w:p>
        </w:tc>
        <w:tc>
          <w:tcPr>
            <w:tcW w:w="1884" w:type="dxa"/>
            <w:shd w:val="clear" w:color="auto" w:fill="auto"/>
          </w:tcPr>
          <w:p w14:paraId="119A74CF" w14:textId="77777777" w:rsidR="000D07EA" w:rsidRDefault="00BE7C89">
            <w:pPr>
              <w:pStyle w:val="BodyText"/>
              <w:spacing w:before="100" w:after="100"/>
              <w:jc w:val="center"/>
              <w:rPr>
                <w:b/>
              </w:rPr>
            </w:pPr>
            <w:r>
              <w:rPr>
                <w:b/>
              </w:rPr>
              <w:t>Plan ID</w:t>
            </w:r>
          </w:p>
        </w:tc>
        <w:tc>
          <w:tcPr>
            <w:tcW w:w="3876" w:type="dxa"/>
            <w:shd w:val="clear" w:color="auto" w:fill="auto"/>
          </w:tcPr>
          <w:p w14:paraId="6D7FE8BC" w14:textId="77777777" w:rsidR="000D07EA" w:rsidRDefault="00BE7C89">
            <w:pPr>
              <w:pStyle w:val="BodyText"/>
              <w:spacing w:before="100" w:after="100"/>
              <w:jc w:val="center"/>
              <w:rPr>
                <w:b/>
              </w:rPr>
            </w:pPr>
            <w:r>
              <w:rPr>
                <w:b/>
              </w:rPr>
              <w:t>Available</w:t>
            </w:r>
          </w:p>
        </w:tc>
      </w:tr>
      <w:tr w:rsidR="000D07EA" w14:paraId="18FCB162" w14:textId="77777777">
        <w:trPr>
          <w:trHeight w:val="20"/>
        </w:trPr>
        <w:tc>
          <w:tcPr>
            <w:tcW w:w="3708" w:type="dxa"/>
            <w:shd w:val="clear" w:color="auto" w:fill="auto"/>
          </w:tcPr>
          <w:p w14:paraId="1580222E" w14:textId="77777777" w:rsidR="000D07EA" w:rsidRDefault="00BE7C89">
            <w:pPr>
              <w:pStyle w:val="BodyText"/>
              <w:spacing w:before="100" w:after="100"/>
              <w:jc w:val="center"/>
            </w:pPr>
            <w:r>
              <w:t>$40 My Plan Business 12M SIM</w:t>
            </w:r>
          </w:p>
        </w:tc>
        <w:tc>
          <w:tcPr>
            <w:tcW w:w="1884" w:type="dxa"/>
            <w:shd w:val="clear" w:color="auto" w:fill="auto"/>
            <w:vAlign w:val="center"/>
          </w:tcPr>
          <w:p w14:paraId="6FAC037E" w14:textId="77777777" w:rsidR="000D07EA" w:rsidRDefault="00BE7C89">
            <w:pPr>
              <w:pStyle w:val="BodyText"/>
              <w:spacing w:before="100" w:after="100"/>
              <w:jc w:val="center"/>
            </w:pPr>
            <w:r>
              <w:rPr>
                <w:color w:val="000000"/>
                <w:lang w:eastAsia="en-AU"/>
              </w:rPr>
              <w:t>800380</w:t>
            </w:r>
            <w:r w:rsidR="00140BF1">
              <w:rPr>
                <w:color w:val="000000"/>
                <w:lang w:eastAsia="en-AU"/>
              </w:rPr>
              <w:t>, 9008201</w:t>
            </w:r>
          </w:p>
        </w:tc>
        <w:tc>
          <w:tcPr>
            <w:tcW w:w="3876" w:type="dxa"/>
            <w:shd w:val="clear" w:color="auto" w:fill="auto"/>
          </w:tcPr>
          <w:p w14:paraId="350EEF3C" w14:textId="77777777" w:rsidR="000D07EA" w:rsidRDefault="00BE7C89">
            <w:pPr>
              <w:pStyle w:val="BodyText"/>
              <w:spacing w:before="100" w:after="100"/>
            </w:pPr>
            <w:r>
              <w:t>18 January 2016 – 3 April 2016</w:t>
            </w:r>
          </w:p>
        </w:tc>
      </w:tr>
      <w:tr w:rsidR="000D07EA" w14:paraId="371EB011" w14:textId="77777777">
        <w:trPr>
          <w:trHeight w:val="20"/>
        </w:trPr>
        <w:tc>
          <w:tcPr>
            <w:tcW w:w="3708" w:type="dxa"/>
            <w:shd w:val="clear" w:color="auto" w:fill="auto"/>
          </w:tcPr>
          <w:p w14:paraId="312DB540" w14:textId="77777777" w:rsidR="000D07EA" w:rsidRDefault="00BE7C89">
            <w:pPr>
              <w:pStyle w:val="BodyText"/>
              <w:spacing w:before="100" w:after="100"/>
              <w:jc w:val="center"/>
            </w:pPr>
            <w:r>
              <w:t>$60 My Plan Business 12M SIM</w:t>
            </w:r>
          </w:p>
        </w:tc>
        <w:tc>
          <w:tcPr>
            <w:tcW w:w="1884" w:type="dxa"/>
            <w:shd w:val="clear" w:color="auto" w:fill="auto"/>
          </w:tcPr>
          <w:p w14:paraId="418F1804" w14:textId="77777777" w:rsidR="000D07EA" w:rsidRDefault="00BE7C89">
            <w:pPr>
              <w:pStyle w:val="BodyText"/>
              <w:spacing w:before="100" w:after="100"/>
              <w:jc w:val="center"/>
              <w:rPr>
                <w:color w:val="000000"/>
                <w:lang w:eastAsia="en-AU"/>
              </w:rPr>
            </w:pPr>
            <w:r>
              <w:t>800315</w:t>
            </w:r>
            <w:r w:rsidR="00140BF1">
              <w:t>, 8894061</w:t>
            </w:r>
          </w:p>
        </w:tc>
        <w:tc>
          <w:tcPr>
            <w:tcW w:w="3876" w:type="dxa"/>
            <w:shd w:val="clear" w:color="auto" w:fill="auto"/>
          </w:tcPr>
          <w:p w14:paraId="29991B09" w14:textId="77777777" w:rsidR="000D07EA" w:rsidRDefault="00BE7C89">
            <w:pPr>
              <w:pStyle w:val="BodyText"/>
              <w:spacing w:before="100" w:after="100"/>
            </w:pPr>
            <w:r>
              <w:t>30 August 2015 – 30 November 2015</w:t>
            </w:r>
          </w:p>
          <w:p w14:paraId="71AEE9FB" w14:textId="77777777" w:rsidR="000D07EA" w:rsidRDefault="00BE7C89">
            <w:pPr>
              <w:pStyle w:val="BodyText"/>
              <w:spacing w:before="100" w:after="100"/>
            </w:pPr>
            <w:r>
              <w:t>to recontracting customers only 1 December 2015 - 17 January 2016 to new customers</w:t>
            </w:r>
          </w:p>
          <w:p w14:paraId="5E53277C" w14:textId="77777777" w:rsidR="000D07EA" w:rsidRDefault="00BE7C89">
            <w:pPr>
              <w:pStyle w:val="BodyText"/>
              <w:spacing w:before="100" w:after="100"/>
            </w:pPr>
            <w:r>
              <w:t>Customers who activate a new service during the period 1 December 2015 to 4 January 2016 will receive a $20 monthly credit for the life of their plan.</w:t>
            </w:r>
          </w:p>
        </w:tc>
      </w:tr>
      <w:tr w:rsidR="000D07EA" w14:paraId="4F3A7C76" w14:textId="77777777">
        <w:trPr>
          <w:trHeight w:val="20"/>
        </w:trPr>
        <w:tc>
          <w:tcPr>
            <w:tcW w:w="3708" w:type="dxa"/>
            <w:tcBorders>
              <w:top w:val="single" w:sz="4" w:space="0" w:color="auto"/>
              <w:left w:val="single" w:sz="4" w:space="0" w:color="auto"/>
              <w:bottom w:val="single" w:sz="4" w:space="0" w:color="auto"/>
              <w:right w:val="single" w:sz="4" w:space="0" w:color="auto"/>
            </w:tcBorders>
            <w:shd w:val="clear" w:color="auto" w:fill="auto"/>
          </w:tcPr>
          <w:p w14:paraId="2F5544DC" w14:textId="77777777" w:rsidR="000D07EA" w:rsidRDefault="00BE7C89">
            <w:pPr>
              <w:pStyle w:val="BodyText"/>
              <w:spacing w:before="100" w:after="100"/>
              <w:jc w:val="center"/>
            </w:pPr>
            <w:r>
              <w:t>$60 My Plan Business 12M SIM</w:t>
            </w:r>
          </w:p>
        </w:tc>
        <w:tc>
          <w:tcPr>
            <w:tcW w:w="1884" w:type="dxa"/>
            <w:tcBorders>
              <w:top w:val="single" w:sz="4" w:space="0" w:color="auto"/>
              <w:left w:val="single" w:sz="4" w:space="0" w:color="auto"/>
              <w:bottom w:val="single" w:sz="4" w:space="0" w:color="auto"/>
              <w:right w:val="single" w:sz="4" w:space="0" w:color="auto"/>
            </w:tcBorders>
            <w:shd w:val="clear" w:color="auto" w:fill="auto"/>
          </w:tcPr>
          <w:p w14:paraId="753F66BD" w14:textId="77777777" w:rsidR="000D07EA" w:rsidRDefault="00BE7C89">
            <w:pPr>
              <w:pStyle w:val="BodyText"/>
              <w:spacing w:before="100" w:after="100"/>
              <w:jc w:val="center"/>
            </w:pPr>
            <w:r>
              <w:t>800358</w:t>
            </w:r>
            <w:r w:rsidR="00140BF1">
              <w:t>, 9008171</w:t>
            </w:r>
          </w:p>
        </w:tc>
        <w:tc>
          <w:tcPr>
            <w:tcW w:w="3876" w:type="dxa"/>
            <w:tcBorders>
              <w:top w:val="single" w:sz="4" w:space="0" w:color="auto"/>
              <w:left w:val="single" w:sz="4" w:space="0" w:color="auto"/>
              <w:bottom w:val="single" w:sz="4" w:space="0" w:color="auto"/>
              <w:right w:val="single" w:sz="4" w:space="0" w:color="auto"/>
            </w:tcBorders>
            <w:shd w:val="clear" w:color="auto" w:fill="auto"/>
          </w:tcPr>
          <w:p w14:paraId="1C55510E" w14:textId="77777777" w:rsidR="000D07EA" w:rsidRDefault="00BE7C89">
            <w:pPr>
              <w:pStyle w:val="BodyText"/>
              <w:spacing w:before="100" w:after="100"/>
            </w:pPr>
            <w:r>
              <w:t>18 January 2016 only</w:t>
            </w:r>
          </w:p>
          <w:p w14:paraId="10134B3F" w14:textId="77777777" w:rsidR="000D07EA" w:rsidRDefault="00BE7C89">
            <w:pPr>
              <w:pStyle w:val="BodyText"/>
              <w:spacing w:before="100" w:after="100"/>
            </w:pPr>
            <w:r>
              <w:t>18 March 2016 – 31 March 2016 via Online Only</w:t>
            </w:r>
          </w:p>
        </w:tc>
      </w:tr>
    </w:tbl>
    <w:p w14:paraId="11C5AD23" w14:textId="77777777" w:rsidR="000D07EA" w:rsidRDefault="000D07EA">
      <w:pPr>
        <w:pStyle w:val="BodyText"/>
      </w:pPr>
    </w:p>
    <w:p w14:paraId="678FCB43" w14:textId="77777777" w:rsidR="000D07EA" w:rsidRDefault="00BE7C89">
      <w:pPr>
        <w:pStyle w:val="Heading6"/>
        <w:ind w:left="0" w:firstLine="0"/>
      </w:pPr>
      <w:bookmarkStart w:id="1173" w:name="_Toc438713812"/>
      <w:r>
        <w:t>Eligibility</w:t>
      </w:r>
      <w:bookmarkEnd w:id="1173"/>
    </w:p>
    <w:p w14:paraId="1275C859" w14:textId="77777777" w:rsidR="000D07EA" w:rsidRDefault="00BE7C89">
      <w:pPr>
        <w:pStyle w:val="BodyText"/>
        <w:ind w:left="720"/>
      </w:pPr>
      <w:r>
        <w:t xml:space="preserve">The My Plan </w:t>
      </w:r>
      <w:r>
        <w:rPr>
          <w:rFonts w:eastAsia="Calibri"/>
          <w:szCs w:val="22"/>
        </w:rPr>
        <w:t>Business</w:t>
      </w:r>
      <w:r>
        <w:t xml:space="preserve"> 12M SIM plan is only available to customers who pass Optus' credit assessment. </w:t>
      </w:r>
    </w:p>
    <w:p w14:paraId="4B93AD3D" w14:textId="77777777" w:rsidR="000D07EA" w:rsidRDefault="00BE7C89">
      <w:pPr>
        <w:pStyle w:val="BodyText"/>
        <w:ind w:left="720"/>
      </w:pPr>
      <w:r>
        <w:t>The $60 My Plan Business 12M SIM plan with Plan ID 800315 is available to re-contracting customers from 30 August 2015 and to new customers from 1 December 2015. Customers that activate a new service onto this plan between 1 December 2015 and 4 January 2016 will get a $20 monthly credit for the life of their plan.</w:t>
      </w:r>
    </w:p>
    <w:p w14:paraId="7B69CBC2" w14:textId="77777777" w:rsidR="000D07EA" w:rsidRDefault="00BE7C89">
      <w:pPr>
        <w:pStyle w:val="BodyText"/>
        <w:ind w:left="720"/>
      </w:pPr>
      <w:r>
        <w:t>The $60 My Plan Business 12M SIM plan with plan ID 800358 is a promotional plan with an automated $20 monthly credit available to new services that were activated to Plan ID 800315 during the period 1 December 2015 to 4 January 2016. From 18 March 2016 to 31 March 2016 it was available to new services only via Online.</w:t>
      </w:r>
    </w:p>
    <w:p w14:paraId="24BAC013" w14:textId="77777777" w:rsidR="000D07EA" w:rsidRDefault="00BE7C89">
      <w:pPr>
        <w:pStyle w:val="BodyText"/>
        <w:ind w:left="720"/>
      </w:pPr>
      <w:r>
        <w:t>Optus Service Providers' customers are not eligible to apply</w:t>
      </w:r>
      <w:r>
        <w:rPr>
          <w:snapToGrid w:val="0"/>
        </w:rPr>
        <w:t>.</w:t>
      </w:r>
    </w:p>
    <w:p w14:paraId="2B675047" w14:textId="77777777" w:rsidR="000D07EA" w:rsidRDefault="00BE7C89">
      <w:pPr>
        <w:pStyle w:val="BodyText"/>
        <w:ind w:left="720"/>
      </w:pPr>
      <w:r>
        <w:t xml:space="preserve">This </w:t>
      </w:r>
      <w:r>
        <w:rPr>
          <w:i/>
        </w:rPr>
        <w:t xml:space="preserve">plan </w:t>
      </w:r>
      <w:r>
        <w:t>is not compatible for data use with BlackBerry handsets on operating systems of 7.1 or earlier.</w:t>
      </w:r>
      <w:bookmarkStart w:id="1174" w:name="_Toc426964155"/>
      <w:bookmarkStart w:id="1175" w:name="_Toc438713813"/>
    </w:p>
    <w:p w14:paraId="357F7030" w14:textId="77777777" w:rsidR="000D07EA" w:rsidRDefault="00BE7C89">
      <w:pPr>
        <w:pStyle w:val="Heading6"/>
        <w:ind w:left="0" w:firstLine="0"/>
      </w:pPr>
      <w:r>
        <w:rPr>
          <w:snapToGrid w:val="0"/>
        </w:rPr>
        <w:t>Minimum Term</w:t>
      </w:r>
      <w:bookmarkEnd w:id="1174"/>
      <w:bookmarkEnd w:id="1175"/>
    </w:p>
    <w:p w14:paraId="74FFA458" w14:textId="77777777" w:rsidR="000D07EA" w:rsidRDefault="00BE7C89">
      <w:pPr>
        <w:pStyle w:val="BodyText"/>
        <w:ind w:left="720"/>
      </w:pPr>
      <w:r>
        <w:t xml:space="preserve">This </w:t>
      </w:r>
      <w:r>
        <w:rPr>
          <w:i/>
        </w:rPr>
        <w:t xml:space="preserve">plan </w:t>
      </w:r>
      <w:r>
        <w:t xml:space="preserve">has a </w:t>
      </w:r>
      <w:r>
        <w:rPr>
          <w:i/>
        </w:rPr>
        <w:t>fixed length agreement</w:t>
      </w:r>
      <w:r>
        <w:t xml:space="preserve"> with a 12 month </w:t>
      </w:r>
      <w:r>
        <w:rPr>
          <w:i/>
        </w:rPr>
        <w:t>minimum term</w:t>
      </w:r>
      <w:r>
        <w:t>.</w:t>
      </w:r>
    </w:p>
    <w:p w14:paraId="0E50CC0B" w14:textId="77777777" w:rsidR="000D07EA" w:rsidRDefault="00BE7C89">
      <w:pPr>
        <w:pStyle w:val="Heading6"/>
        <w:ind w:left="0" w:firstLine="0"/>
        <w:rPr>
          <w:b/>
        </w:rPr>
      </w:pPr>
      <w:bookmarkStart w:id="1176" w:name="_Toc426964156"/>
      <w:bookmarkStart w:id="1177" w:name="_Toc438713814"/>
      <w:r>
        <w:t>What you have to pay us</w:t>
      </w:r>
      <w:bookmarkEnd w:id="1176"/>
      <w:bookmarkEnd w:id="1177"/>
    </w:p>
    <w:p w14:paraId="4CB07014" w14:textId="77777777" w:rsidR="000D07EA" w:rsidRDefault="00BE7C89">
      <w:pPr>
        <w:pStyle w:val="Heading7"/>
      </w:pPr>
      <w:r>
        <w:rPr>
          <w:i/>
        </w:rPr>
        <w:lastRenderedPageBreak/>
        <w:t>You</w:t>
      </w:r>
      <w:r>
        <w:t xml:space="preserve"> must pay </w:t>
      </w:r>
      <w:r>
        <w:rPr>
          <w:i/>
        </w:rPr>
        <w:t>us</w:t>
      </w:r>
      <w:r>
        <w:t xml:space="preserve"> for use of the </w:t>
      </w:r>
      <w:r>
        <w:rPr>
          <w:i/>
        </w:rPr>
        <w:t>service</w:t>
      </w:r>
      <w:r>
        <w:t xml:space="preserve"> at the rates set out in Section 1 of this </w:t>
      </w:r>
      <w:r>
        <w:rPr>
          <w:i/>
        </w:rPr>
        <w:t>standard pricing table</w:t>
      </w:r>
      <w:r>
        <w:t xml:space="preserve"> and for value added service features at the rates set out in </w:t>
      </w:r>
      <w:hyperlink r:id="rId622" w:history="1">
        <w:r>
          <w:rPr>
            <w:rStyle w:val="Hyperlink"/>
            <w:i/>
          </w:rPr>
          <w:t>Appendix Y Value Added Service Features</w:t>
        </w:r>
      </w:hyperlink>
      <w:r>
        <w:t>.</w:t>
      </w:r>
    </w:p>
    <w:p w14:paraId="27C87DF1" w14:textId="77777777" w:rsidR="000D07EA" w:rsidRDefault="00BE7C89">
      <w:pPr>
        <w:pStyle w:val="Heading7"/>
      </w:pPr>
      <w:r>
        <w:t>If there is a flagfall for a particular call type, the charge for these calls is the flagfall amount plus the relevant rate for the call multiplied by the duration of the call.</w:t>
      </w:r>
    </w:p>
    <w:p w14:paraId="519455C0" w14:textId="77777777" w:rsidR="000D07EA" w:rsidRDefault="00BE7C89">
      <w:pPr>
        <w:pStyle w:val="Heading6"/>
        <w:ind w:left="0" w:firstLine="0"/>
        <w:rPr>
          <w:b/>
        </w:rPr>
      </w:pPr>
      <w:bookmarkStart w:id="1178" w:name="_Toc438713815"/>
      <w:r>
        <w:t>Minimum Monthly Charge</w:t>
      </w:r>
      <w:bookmarkEnd w:id="1178"/>
    </w:p>
    <w:p w14:paraId="42AA805D" w14:textId="77777777" w:rsidR="000D07EA" w:rsidRDefault="00BE7C89">
      <w:pPr>
        <w:pStyle w:val="Heading7"/>
      </w:pPr>
      <w:r>
        <w:t xml:space="preserve">My Plan Business 12M SIM plans have a Minimum Monthly Charge amount that </w:t>
      </w:r>
      <w:r>
        <w:rPr>
          <w:i/>
        </w:rPr>
        <w:t>you</w:t>
      </w:r>
      <w:r>
        <w:t xml:space="preserve"> must pay </w:t>
      </w:r>
      <w:r>
        <w:rPr>
          <w:i/>
        </w:rPr>
        <w:t>us</w:t>
      </w:r>
      <w:r>
        <w:t xml:space="preserve"> each month as set out in Table 1 below.</w:t>
      </w:r>
    </w:p>
    <w:p w14:paraId="220B52EB" w14:textId="77777777" w:rsidR="000D07EA" w:rsidRDefault="00BE7C89">
      <w:pPr>
        <w:pStyle w:val="Heading7"/>
      </w:pPr>
      <w:r>
        <w:rPr>
          <w:i/>
        </w:rPr>
        <w:t>You</w:t>
      </w:r>
      <w:r>
        <w:t xml:space="preserve"> may purchase a mobile phone (or 'handset') with a 1 month or 12 month equipment term under a </w:t>
      </w:r>
      <w:r>
        <w:rPr>
          <w:i/>
        </w:rPr>
        <w:t>mobile equipment payment plan</w:t>
      </w:r>
      <w:r>
        <w:t xml:space="preserve"> (set out in </w:t>
      </w:r>
      <w:hyperlink r:id="rId623" w:history="1">
        <w:r>
          <w:rPr>
            <w:rStyle w:val="Hyperlink"/>
            <w:i/>
          </w:rPr>
          <w:t>Appendix D</w:t>
        </w:r>
      </w:hyperlink>
      <w:r>
        <w:t>).</w:t>
      </w:r>
    </w:p>
    <w:p w14:paraId="2778C0C3" w14:textId="77777777" w:rsidR="000D07EA" w:rsidRDefault="00BE7C89">
      <w:pPr>
        <w:pStyle w:val="Heading6"/>
        <w:ind w:left="0" w:firstLine="0"/>
        <w:rPr>
          <w:snapToGrid w:val="0"/>
        </w:rPr>
      </w:pPr>
      <w:bookmarkStart w:id="1179" w:name="_Toc426964157"/>
      <w:bookmarkStart w:id="1180" w:name="_Toc438713816"/>
      <w:r>
        <w:rPr>
          <w:snapToGrid w:val="0"/>
        </w:rPr>
        <w:t>How My Plan Business 12M SIM works</w:t>
      </w:r>
      <w:bookmarkEnd w:id="1179"/>
      <w:bookmarkEnd w:id="1180"/>
    </w:p>
    <w:p w14:paraId="5E87C5F1" w14:textId="77777777" w:rsidR="000D07EA" w:rsidRDefault="00BE7C89">
      <w:pPr>
        <w:pStyle w:val="Heading7"/>
      </w:pPr>
      <w:r>
        <w:t>The My Plan Business 12M SIM plans have unlimited minutes to use on standard national calls to landlines and mobiles, 13/1300 numbers and voicemail retrievals and Included Data (for mobile internet use) to share with other services on a My Plan Plus, My Plan Plus SIM Only, My Plan Plus 12M SIM Only, My Plan Business (including Tech Fund), My Plan Business SIM, My Plan Business 12M SIM, My Mobile Broadband Plus, Mobile Broadband Business or Shared Data Plan on the same account.</w:t>
      </w:r>
    </w:p>
    <w:p w14:paraId="19C184DF" w14:textId="77777777" w:rsidR="000D07EA" w:rsidRDefault="00BE7C89">
      <w:pPr>
        <w:pStyle w:val="Heading7"/>
      </w:pPr>
      <w:r>
        <w:t xml:space="preserve">The My Plan Business 12M SIM plans also includes unlimited standard national SMS/MMS and unlimited standard International SMS/MMS to selected countries. It also has an amount of included international minutes to use on standard international calls to selected countries. </w:t>
      </w:r>
    </w:p>
    <w:p w14:paraId="30131C14" w14:textId="77777777" w:rsidR="000D07EA" w:rsidRDefault="00BE7C89">
      <w:pPr>
        <w:pStyle w:val="Heading7"/>
      </w:pPr>
      <w:r>
        <w:t>Data usage is calculated in one kilobyte increments. International minutes are billed in one minute increments.</w:t>
      </w:r>
    </w:p>
    <w:p w14:paraId="68290687" w14:textId="77777777" w:rsidR="000D07EA" w:rsidRDefault="00BE7C89">
      <w:pPr>
        <w:pStyle w:val="Heading7"/>
      </w:pPr>
      <w:r>
        <w:t xml:space="preserve">If </w:t>
      </w:r>
      <w:r>
        <w:rPr>
          <w:i/>
        </w:rPr>
        <w:t>you</w:t>
      </w:r>
      <w:r>
        <w:t xml:space="preserve"> exceed </w:t>
      </w:r>
      <w:r>
        <w:rPr>
          <w:i/>
        </w:rPr>
        <w:t>your</w:t>
      </w:r>
      <w:r>
        <w:t xml:space="preserve"> included shareable data </w:t>
      </w:r>
      <w:r>
        <w:rPr>
          <w:i/>
        </w:rPr>
        <w:t>you'll</w:t>
      </w:r>
      <w:r>
        <w:t xml:space="preserve"> automatically be charged $10 for each additional 1GB of data ("</w:t>
      </w:r>
      <w:r>
        <w:rPr>
          <w:b/>
        </w:rPr>
        <w:t>Additional Data</w:t>
      </w:r>
      <w:r>
        <w:t xml:space="preserve">") that </w:t>
      </w:r>
      <w:r>
        <w:rPr>
          <w:i/>
        </w:rPr>
        <w:t>you</w:t>
      </w:r>
      <w:r>
        <w:t xml:space="preserve"> use (or part thereof) up to 150GB of extra data per account each month. </w:t>
      </w:r>
      <w:r>
        <w:rPr>
          <w:i/>
        </w:rPr>
        <w:t>Your</w:t>
      </w:r>
      <w:r>
        <w:t xml:space="preserve"> service/s may then be restricted or </w:t>
      </w:r>
      <w:r>
        <w:rPr>
          <w:i/>
        </w:rPr>
        <w:t>we</w:t>
      </w:r>
      <w:r>
        <w:t xml:space="preserve"> may continue to charge </w:t>
      </w:r>
      <w:r>
        <w:rPr>
          <w:i/>
        </w:rPr>
        <w:t>you</w:t>
      </w:r>
      <w:r>
        <w:t xml:space="preserve"> at these rates.</w:t>
      </w:r>
    </w:p>
    <w:p w14:paraId="08EC4C07" w14:textId="77777777" w:rsidR="000D07EA" w:rsidRDefault="00BE7C89">
      <w:pPr>
        <w:pStyle w:val="Heading7"/>
      </w:pPr>
      <w:r>
        <w:t xml:space="preserve">Any unused portion of </w:t>
      </w:r>
      <w:r>
        <w:rPr>
          <w:i/>
        </w:rPr>
        <w:t>your</w:t>
      </w:r>
      <w:r>
        <w:t xml:space="preserve"> </w:t>
      </w:r>
      <w:r>
        <w:rPr>
          <w:i/>
        </w:rPr>
        <w:t>plan's</w:t>
      </w:r>
      <w:r>
        <w:t xml:space="preserve"> Included or Additional Data expires at the end of each month and does not roll over into the next month.</w:t>
      </w:r>
    </w:p>
    <w:p w14:paraId="6C2D59FE" w14:textId="77777777" w:rsidR="000D07EA" w:rsidRDefault="00BE7C89">
      <w:pPr>
        <w:pStyle w:val="Heading7"/>
        <w:rPr>
          <w:b/>
        </w:rPr>
      </w:pPr>
      <w:r>
        <w:rPr>
          <w:i/>
        </w:rPr>
        <w:t>You</w:t>
      </w:r>
      <w:r>
        <w:t xml:space="preserve"> must pay </w:t>
      </w:r>
      <w:r>
        <w:rPr>
          <w:i/>
        </w:rPr>
        <w:t>us</w:t>
      </w:r>
      <w:r>
        <w:t xml:space="preserve"> for use of any services that are not included in </w:t>
      </w:r>
      <w:r>
        <w:rPr>
          <w:i/>
        </w:rPr>
        <w:t>your</w:t>
      </w:r>
      <w:r>
        <w:t xml:space="preserve"> plan's inclusions, examples of which are set out in Table 2 below.</w:t>
      </w:r>
    </w:p>
    <w:p w14:paraId="22E260FB" w14:textId="77777777" w:rsidR="000D07EA" w:rsidRDefault="00BE7C89">
      <w:pPr>
        <w:pStyle w:val="Heading6"/>
        <w:ind w:left="0" w:firstLine="0"/>
        <w:rPr>
          <w:snapToGrid w:val="0"/>
        </w:rPr>
      </w:pPr>
      <w:bookmarkStart w:id="1181" w:name="_Toc426964158"/>
      <w:bookmarkStart w:id="1182" w:name="_Toc438713817"/>
      <w:r>
        <w:rPr>
          <w:snapToGrid w:val="0"/>
        </w:rPr>
        <w:t>Data Sharing</w:t>
      </w:r>
      <w:bookmarkEnd w:id="1181"/>
      <w:bookmarkEnd w:id="1182"/>
    </w:p>
    <w:p w14:paraId="61AF52D3" w14:textId="77777777" w:rsidR="000D07EA" w:rsidRDefault="00BE7C89">
      <w:pPr>
        <w:pStyle w:val="Heading7"/>
      </w:pPr>
      <w:r>
        <w:t xml:space="preserve">If </w:t>
      </w:r>
      <w:r>
        <w:rPr>
          <w:i/>
        </w:rPr>
        <w:t>you</w:t>
      </w:r>
      <w:r>
        <w:t xml:space="preserve"> have more than one My Plan Plus, My Plan Plus SIM Only, My Plan Plus 12M SIM Only, My Plan Business (including Tech Fund), My Plan Business SIM, My Plan Business 12M SIM, My Mobile Broadband Plus or Mobile Broadband Business plan on the same billing account, the included data will combine into one data pool, which will be shared by all eligible services on that account.</w:t>
      </w:r>
    </w:p>
    <w:p w14:paraId="1E095A19" w14:textId="77777777" w:rsidR="000D07EA" w:rsidRDefault="00BE7C89">
      <w:pPr>
        <w:pStyle w:val="Heading7"/>
        <w:rPr>
          <w:snapToGrid w:val="0"/>
        </w:rPr>
      </w:pPr>
      <w:r>
        <w:rPr>
          <w:i/>
          <w:snapToGrid w:val="0"/>
        </w:rPr>
        <w:t>You</w:t>
      </w:r>
      <w:r>
        <w:rPr>
          <w:snapToGrid w:val="0"/>
        </w:rPr>
        <w:t xml:space="preserve"> can also share the Included Data in </w:t>
      </w:r>
      <w:r>
        <w:rPr>
          <w:i/>
          <w:snapToGrid w:val="0"/>
        </w:rPr>
        <w:t>your</w:t>
      </w:r>
      <w:r>
        <w:rPr>
          <w:snapToGrid w:val="0"/>
        </w:rPr>
        <w:t xml:space="preserve"> plan with up to five (5) SIM-ready mobile broadband devices (e.g. tablets, USB modems and laptops). </w:t>
      </w:r>
      <w:r>
        <w:rPr>
          <w:i/>
          <w:snapToGrid w:val="0"/>
        </w:rPr>
        <w:t>You</w:t>
      </w:r>
      <w:r>
        <w:rPr>
          <w:snapToGrid w:val="0"/>
        </w:rPr>
        <w:t xml:space="preserve"> must connect these mobile broadband devices to Shared Data Plans which have a $5 set up fee each and no ongoing monthly charges. </w:t>
      </w:r>
    </w:p>
    <w:p w14:paraId="67D224B5" w14:textId="77777777" w:rsidR="000D07EA" w:rsidRDefault="00BE7C89">
      <w:pPr>
        <w:pStyle w:val="Heading7"/>
        <w:rPr>
          <w:snapToGrid w:val="0"/>
        </w:rPr>
      </w:pPr>
      <w:r>
        <w:rPr>
          <w:i/>
          <w:snapToGrid w:val="0"/>
        </w:rPr>
        <w:t>We</w:t>
      </w:r>
      <w:r>
        <w:rPr>
          <w:snapToGrid w:val="0"/>
        </w:rPr>
        <w:t xml:space="preserve"> may place a limit on the number of Shared Data Plans </w:t>
      </w:r>
      <w:r>
        <w:rPr>
          <w:i/>
          <w:snapToGrid w:val="0"/>
        </w:rPr>
        <w:t>you</w:t>
      </w:r>
      <w:r>
        <w:rPr>
          <w:snapToGrid w:val="0"/>
        </w:rPr>
        <w:t xml:space="preserve"> can have, based on </w:t>
      </w:r>
      <w:r>
        <w:rPr>
          <w:i/>
          <w:snapToGrid w:val="0"/>
        </w:rPr>
        <w:t>our</w:t>
      </w:r>
      <w:r>
        <w:rPr>
          <w:snapToGrid w:val="0"/>
        </w:rPr>
        <w:t xml:space="preserve"> credit criteria.</w:t>
      </w:r>
    </w:p>
    <w:p w14:paraId="03D7135E" w14:textId="77777777" w:rsidR="000D07EA" w:rsidRDefault="00BE7C89">
      <w:pPr>
        <w:pStyle w:val="Heading7"/>
        <w:rPr>
          <w:snapToGrid w:val="0"/>
        </w:rPr>
      </w:pPr>
      <w:r>
        <w:rPr>
          <w:snapToGrid w:val="0"/>
        </w:rPr>
        <w:t>Shared Data Plans do not have any Included Data, and cannot be used to make calls.</w:t>
      </w:r>
    </w:p>
    <w:p w14:paraId="6D0EA7EE" w14:textId="77777777" w:rsidR="000D07EA" w:rsidRDefault="00BE7C89">
      <w:pPr>
        <w:pStyle w:val="Heading7"/>
        <w:rPr>
          <w:snapToGrid w:val="0"/>
        </w:rPr>
      </w:pPr>
      <w:r>
        <w:rPr>
          <w:i/>
          <w:snapToGrid w:val="0"/>
        </w:rPr>
        <w:t>You</w:t>
      </w:r>
      <w:r>
        <w:rPr>
          <w:snapToGrid w:val="0"/>
        </w:rPr>
        <w:t xml:space="preserve"> can purchase one mobile broadband device per Shared Data Plan, and pay for it in full on </w:t>
      </w:r>
      <w:r>
        <w:rPr>
          <w:i/>
          <w:snapToGrid w:val="0"/>
        </w:rPr>
        <w:t>your</w:t>
      </w:r>
      <w:r>
        <w:rPr>
          <w:snapToGrid w:val="0"/>
        </w:rPr>
        <w:t xml:space="preserve"> first bill, or pay it off over 12 or 24 months on a </w:t>
      </w:r>
      <w:r>
        <w:rPr>
          <w:i/>
          <w:snapToGrid w:val="0"/>
        </w:rPr>
        <w:t>Mobile Equipment Payment Plan</w:t>
      </w:r>
      <w:r>
        <w:rPr>
          <w:snapToGrid w:val="0"/>
        </w:rPr>
        <w:t xml:space="preserve"> (see </w:t>
      </w:r>
      <w:r>
        <w:t>Appendix D</w:t>
      </w:r>
      <w:r>
        <w:rPr>
          <w:snapToGrid w:val="0"/>
        </w:rPr>
        <w:t>).</w:t>
      </w:r>
    </w:p>
    <w:p w14:paraId="664D4ACC" w14:textId="77777777" w:rsidR="000D07EA" w:rsidRDefault="00BE7C89">
      <w:pPr>
        <w:pStyle w:val="Heading7"/>
        <w:rPr>
          <w:snapToGrid w:val="0"/>
        </w:rPr>
      </w:pPr>
      <w:r>
        <w:rPr>
          <w:snapToGrid w:val="0"/>
        </w:rPr>
        <w:lastRenderedPageBreak/>
        <w:t xml:space="preserve">If </w:t>
      </w:r>
      <w:r>
        <w:rPr>
          <w:i/>
          <w:snapToGrid w:val="0"/>
        </w:rPr>
        <w:t>you</w:t>
      </w:r>
      <w:r>
        <w:rPr>
          <w:snapToGrid w:val="0"/>
        </w:rPr>
        <w:t xml:space="preserve"> do not want </w:t>
      </w:r>
      <w:r>
        <w:rPr>
          <w:i/>
          <w:snapToGrid w:val="0"/>
        </w:rPr>
        <w:t>your</w:t>
      </w:r>
      <w:r>
        <w:rPr>
          <w:snapToGrid w:val="0"/>
        </w:rPr>
        <w:t xml:space="preserve"> services on any</w:t>
      </w:r>
      <w:r>
        <w:t xml:space="preserve"> My Plan Plus</w:t>
      </w:r>
      <w:r>
        <w:rPr>
          <w:lang w:eastAsia="en-AU"/>
        </w:rPr>
        <w:t>, My Plan Plus SIM Only, MY Plan Plus 12M SIM Only, My Plan Business (including Tech Fund), My Plan Business SIM, My Plan 12M SIM, My</w:t>
      </w:r>
      <w:r>
        <w:rPr>
          <w:color w:val="000000"/>
          <w:lang w:eastAsia="en-AU"/>
        </w:rPr>
        <w:t xml:space="preserve"> Mobile Broadband Plus or Mobile Broadband Business plans</w:t>
      </w:r>
      <w:r>
        <w:rPr>
          <w:snapToGrid w:val="0"/>
        </w:rPr>
        <w:t xml:space="preserve"> to share data, they need to be on separate billing accounts. </w:t>
      </w:r>
    </w:p>
    <w:p w14:paraId="3E3B5F55" w14:textId="77777777" w:rsidR="000D07EA" w:rsidRDefault="00BE7C89">
      <w:pPr>
        <w:pStyle w:val="Heading7"/>
        <w:rPr>
          <w:snapToGrid w:val="0"/>
        </w:rPr>
      </w:pPr>
      <w:r>
        <w:rPr>
          <w:snapToGrid w:val="0"/>
        </w:rPr>
        <w:t>Data sharing is only available within Australia.</w:t>
      </w:r>
    </w:p>
    <w:p w14:paraId="06C516F3" w14:textId="77777777" w:rsidR="000D07EA" w:rsidRDefault="00BE7C89">
      <w:pPr>
        <w:pStyle w:val="Heading6"/>
        <w:ind w:left="0" w:firstLine="0"/>
        <w:rPr>
          <w:snapToGrid w:val="0"/>
        </w:rPr>
      </w:pPr>
      <w:bookmarkStart w:id="1183" w:name="_Toc426964159"/>
      <w:bookmarkStart w:id="1184" w:name="_Toc438713818"/>
      <w:r>
        <w:rPr>
          <w:snapToGrid w:val="0"/>
        </w:rPr>
        <w:t>International Minutes</w:t>
      </w:r>
      <w:bookmarkEnd w:id="1183"/>
      <w:bookmarkEnd w:id="1184"/>
    </w:p>
    <w:p w14:paraId="520E1E4D" w14:textId="77777777" w:rsidR="000D07EA" w:rsidRDefault="00BE7C89">
      <w:pPr>
        <w:pStyle w:val="BodyText"/>
        <w:ind w:left="720"/>
      </w:pPr>
      <w:r>
        <w:t>The $40/$60 My Plan Business 12M SIM plans includes 300 international minutes for standard calls to mobiles and fixed lines to selected countries made from within Australia. For a list of selected countries see Table 3 below.</w:t>
      </w:r>
    </w:p>
    <w:p w14:paraId="02AD4864" w14:textId="77777777" w:rsidR="000D07EA" w:rsidRDefault="00BE7C89">
      <w:pPr>
        <w:pStyle w:val="BodyText"/>
        <w:ind w:left="720"/>
      </w:pPr>
      <w:r>
        <w:t xml:space="preserve">Calls are charged per minute. When included international minutes for calls to selected countries are used up, standard 'yes' international call charges apply. </w:t>
      </w:r>
    </w:p>
    <w:p w14:paraId="4CBEE4B1" w14:textId="77777777" w:rsidR="000D07EA" w:rsidRDefault="00BE7C89">
      <w:pPr>
        <w:pStyle w:val="Heading6"/>
        <w:ind w:left="0" w:firstLine="0"/>
        <w:rPr>
          <w:snapToGrid w:val="0"/>
        </w:rPr>
      </w:pPr>
      <w:bookmarkStart w:id="1185" w:name="_Toc426964160"/>
      <w:bookmarkStart w:id="1186" w:name="_Toc438713819"/>
      <w:r>
        <w:rPr>
          <w:snapToGrid w:val="0"/>
        </w:rPr>
        <w:t>Unlimited standard national SMS and MMS</w:t>
      </w:r>
      <w:bookmarkEnd w:id="1185"/>
      <w:bookmarkEnd w:id="1186"/>
    </w:p>
    <w:p w14:paraId="52583544" w14:textId="77777777" w:rsidR="000D07EA" w:rsidRDefault="00BE7C89">
      <w:pPr>
        <w:pStyle w:val="BodyText"/>
        <w:ind w:left="720"/>
        <w:rPr>
          <w:rStyle w:val="Hyperlink"/>
          <w:i/>
        </w:rPr>
      </w:pPr>
      <w:r>
        <w:t xml:space="preserve">You may send unlimited standard SMS and MMS to Australian mobiles from within Australia. </w:t>
      </w:r>
      <w:hyperlink r:id="rId624" w:history="1">
        <w:r>
          <w:rPr>
            <w:rStyle w:val="Hyperlink"/>
            <w:i/>
          </w:rPr>
          <w:t>Fair Go Policy</w:t>
        </w:r>
      </w:hyperlink>
      <w:r>
        <w:rPr>
          <w:rStyle w:val="Hyperlink"/>
          <w:u w:val="none"/>
        </w:rPr>
        <w:t xml:space="preserve"> </w:t>
      </w:r>
      <w:r>
        <w:t xml:space="preserve">applies. For further details refer to </w:t>
      </w:r>
      <w:hyperlink r:id="rId625" w:history="1">
        <w:r>
          <w:rPr>
            <w:rStyle w:val="Hyperlink"/>
            <w:i/>
          </w:rPr>
          <w:t>Appendix S</w:t>
        </w:r>
      </w:hyperlink>
      <w:r>
        <w:rPr>
          <w:i/>
        </w:rPr>
        <w:t>.</w:t>
      </w:r>
    </w:p>
    <w:p w14:paraId="1D004FD1" w14:textId="77777777" w:rsidR="000D07EA" w:rsidRDefault="00BE7C89">
      <w:pPr>
        <w:pStyle w:val="Heading6"/>
        <w:ind w:left="0" w:firstLine="0"/>
        <w:rPr>
          <w:snapToGrid w:val="0"/>
        </w:rPr>
      </w:pPr>
      <w:bookmarkStart w:id="1187" w:name="_Toc426964161"/>
      <w:bookmarkStart w:id="1188" w:name="_Toc438713820"/>
      <w:r>
        <w:rPr>
          <w:snapToGrid w:val="0"/>
        </w:rPr>
        <w:t>Unlimited standard international SMS and MMS</w:t>
      </w:r>
      <w:bookmarkEnd w:id="1187"/>
      <w:bookmarkEnd w:id="1188"/>
    </w:p>
    <w:p w14:paraId="3002BDCC" w14:textId="77777777" w:rsidR="000D07EA" w:rsidRDefault="00BE7C89">
      <w:pPr>
        <w:pStyle w:val="BodyText"/>
        <w:ind w:left="720"/>
        <w:rPr>
          <w:rStyle w:val="Hyperlink"/>
          <w:i/>
        </w:rPr>
      </w:pPr>
      <w:r>
        <w:rPr>
          <w:i/>
        </w:rPr>
        <w:t>You</w:t>
      </w:r>
      <w:r>
        <w:t xml:space="preserve"> may send unlimited standard SMS and MMS to selected countries from within Australia. For a list of selected countries see Table 3 below. </w:t>
      </w:r>
      <w:hyperlink r:id="rId626" w:history="1">
        <w:r>
          <w:rPr>
            <w:rStyle w:val="Hyperlink"/>
            <w:i/>
          </w:rPr>
          <w:t>Fair Go Policy</w:t>
        </w:r>
      </w:hyperlink>
      <w:r>
        <w:t xml:space="preserve"> applies. For further details refer to </w:t>
      </w:r>
      <w:hyperlink r:id="rId627" w:history="1">
        <w:r>
          <w:rPr>
            <w:rStyle w:val="Hyperlink"/>
            <w:i/>
          </w:rPr>
          <w:t>Appendix S</w:t>
        </w:r>
      </w:hyperlink>
      <w:r>
        <w:rPr>
          <w:i/>
        </w:rPr>
        <w:t>.</w:t>
      </w:r>
    </w:p>
    <w:p w14:paraId="74380FC7" w14:textId="77777777" w:rsidR="000D07EA" w:rsidRDefault="00BE7C89">
      <w:pPr>
        <w:pStyle w:val="BodyText"/>
        <w:ind w:left="720"/>
        <w:rPr>
          <w:b/>
        </w:rPr>
      </w:pPr>
      <w:r>
        <w:rPr>
          <w:b/>
        </w:rPr>
        <w:t>Table 1 –Plan Inclusions and Charges</w:t>
      </w:r>
    </w:p>
    <w:tbl>
      <w:tblPr>
        <w:tblW w:w="4538"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1"/>
        <w:gridCol w:w="2312"/>
        <w:gridCol w:w="2312"/>
        <w:gridCol w:w="2312"/>
      </w:tblGrid>
      <w:tr w:rsidR="000D07EA" w14:paraId="149015A1" w14:textId="77777777">
        <w:tc>
          <w:tcPr>
            <w:tcW w:w="1250" w:type="pct"/>
            <w:shd w:val="clear" w:color="auto" w:fill="auto"/>
          </w:tcPr>
          <w:p w14:paraId="25C228E0" w14:textId="77777777" w:rsidR="000D07EA" w:rsidRDefault="000D07EA">
            <w:pPr>
              <w:pStyle w:val="BodyText"/>
              <w:spacing w:before="100" w:after="100"/>
              <w:rPr>
                <w:b/>
              </w:rPr>
            </w:pPr>
          </w:p>
        </w:tc>
        <w:tc>
          <w:tcPr>
            <w:tcW w:w="1250" w:type="pct"/>
          </w:tcPr>
          <w:p w14:paraId="24A6DC4A" w14:textId="77777777" w:rsidR="000D07EA" w:rsidRDefault="00BE7C89">
            <w:pPr>
              <w:pStyle w:val="BodyText"/>
              <w:spacing w:before="100" w:after="100"/>
              <w:jc w:val="center"/>
              <w:rPr>
                <w:b/>
              </w:rPr>
            </w:pPr>
            <w:r>
              <w:rPr>
                <w:b/>
              </w:rPr>
              <w:t>$40 My Plan Business 12M SIM</w:t>
            </w:r>
          </w:p>
        </w:tc>
        <w:tc>
          <w:tcPr>
            <w:tcW w:w="1250" w:type="pct"/>
            <w:vAlign w:val="center"/>
          </w:tcPr>
          <w:p w14:paraId="305DBE3A" w14:textId="77777777" w:rsidR="000D07EA" w:rsidRDefault="00BE7C89">
            <w:pPr>
              <w:pStyle w:val="BodyText"/>
              <w:spacing w:before="100" w:after="100"/>
              <w:jc w:val="center"/>
              <w:rPr>
                <w:b/>
              </w:rPr>
            </w:pPr>
            <w:r>
              <w:rPr>
                <w:b/>
              </w:rPr>
              <w:t>$60 My Plan Business 12M SIM Plan ID 800315</w:t>
            </w:r>
          </w:p>
        </w:tc>
        <w:tc>
          <w:tcPr>
            <w:tcW w:w="1250" w:type="pct"/>
          </w:tcPr>
          <w:p w14:paraId="17578B84" w14:textId="77777777" w:rsidR="000D07EA" w:rsidRDefault="00BE7C89">
            <w:pPr>
              <w:pStyle w:val="BodyText"/>
              <w:spacing w:before="100" w:after="100"/>
              <w:jc w:val="center"/>
              <w:rPr>
                <w:b/>
              </w:rPr>
            </w:pPr>
            <w:r>
              <w:rPr>
                <w:b/>
              </w:rPr>
              <w:t>$60 My Plan Business 12 SIM Plan ID 800358</w:t>
            </w:r>
          </w:p>
        </w:tc>
      </w:tr>
      <w:tr w:rsidR="000D07EA" w14:paraId="18CEB173" w14:textId="77777777">
        <w:tc>
          <w:tcPr>
            <w:tcW w:w="1250" w:type="pct"/>
            <w:shd w:val="clear" w:color="auto" w:fill="auto"/>
          </w:tcPr>
          <w:p w14:paraId="769A90AF" w14:textId="77777777" w:rsidR="000D07EA" w:rsidRDefault="00BE7C89">
            <w:pPr>
              <w:pStyle w:val="BodyText"/>
              <w:spacing w:before="100" w:after="100"/>
              <w:rPr>
                <w:b/>
              </w:rPr>
            </w:pPr>
            <w:r>
              <w:rPr>
                <w:b/>
              </w:rPr>
              <w:t>Minimum Monthly charge</w:t>
            </w:r>
          </w:p>
        </w:tc>
        <w:tc>
          <w:tcPr>
            <w:tcW w:w="1250" w:type="pct"/>
          </w:tcPr>
          <w:p w14:paraId="22AD898E" w14:textId="77777777" w:rsidR="000D07EA" w:rsidRDefault="00BE7C89">
            <w:pPr>
              <w:pStyle w:val="BodyText"/>
              <w:spacing w:before="100" w:after="100"/>
              <w:jc w:val="center"/>
            </w:pPr>
            <w:r>
              <w:t>$40</w:t>
            </w:r>
          </w:p>
        </w:tc>
        <w:tc>
          <w:tcPr>
            <w:tcW w:w="1250" w:type="pct"/>
            <w:vAlign w:val="center"/>
          </w:tcPr>
          <w:p w14:paraId="7682C95A" w14:textId="77777777" w:rsidR="000D07EA" w:rsidRDefault="00BE7C89">
            <w:pPr>
              <w:pStyle w:val="BodyText"/>
              <w:spacing w:before="100" w:after="100"/>
            </w:pPr>
            <w:r>
              <w:t>(a) $60; or</w:t>
            </w:r>
          </w:p>
          <w:p w14:paraId="12736773" w14:textId="77777777" w:rsidR="000D07EA" w:rsidRDefault="00BE7C89">
            <w:pPr>
              <w:pStyle w:val="BodyText"/>
              <w:spacing w:before="100" w:after="100"/>
            </w:pPr>
            <w:r>
              <w:t>(b) $60 (with a $20 discount) for new services activated between 1 December 2015 to 4 January 2016 and for new services activated online between 8 March 2016 to 31 March 2016</w:t>
            </w:r>
          </w:p>
          <w:p w14:paraId="70547407" w14:textId="77777777" w:rsidR="000D07EA" w:rsidRDefault="000D07EA">
            <w:pPr>
              <w:pStyle w:val="BodyText"/>
              <w:spacing w:before="100" w:after="100"/>
            </w:pPr>
          </w:p>
        </w:tc>
        <w:tc>
          <w:tcPr>
            <w:tcW w:w="1250" w:type="pct"/>
          </w:tcPr>
          <w:p w14:paraId="72F414CB" w14:textId="77777777" w:rsidR="000D07EA" w:rsidRDefault="00BE7C89">
            <w:pPr>
              <w:pStyle w:val="BodyText"/>
              <w:spacing w:before="100" w:after="100"/>
              <w:jc w:val="center"/>
            </w:pPr>
            <w:r>
              <w:t>$60 (with a $20 credit)</w:t>
            </w:r>
          </w:p>
        </w:tc>
      </w:tr>
      <w:tr w:rsidR="000D07EA" w14:paraId="16B35E78" w14:textId="77777777">
        <w:tc>
          <w:tcPr>
            <w:tcW w:w="1250" w:type="pct"/>
            <w:shd w:val="clear" w:color="auto" w:fill="auto"/>
          </w:tcPr>
          <w:p w14:paraId="4C7A4C70" w14:textId="77777777" w:rsidR="000D07EA" w:rsidRDefault="00BE7C89">
            <w:pPr>
              <w:pStyle w:val="BodyText"/>
              <w:spacing w:before="100" w:after="100"/>
              <w:rPr>
                <w:b/>
              </w:rPr>
            </w:pPr>
            <w:r>
              <w:rPr>
                <w:b/>
              </w:rPr>
              <w:t>Included Data</w:t>
            </w:r>
          </w:p>
        </w:tc>
        <w:tc>
          <w:tcPr>
            <w:tcW w:w="1250" w:type="pct"/>
          </w:tcPr>
          <w:p w14:paraId="0AD33F5B" w14:textId="77777777" w:rsidR="000D07EA" w:rsidRDefault="00BE7C89">
            <w:pPr>
              <w:pStyle w:val="BodyText"/>
              <w:spacing w:before="100" w:after="100"/>
              <w:jc w:val="center"/>
            </w:pPr>
            <w:r>
              <w:t>7GB</w:t>
            </w:r>
          </w:p>
        </w:tc>
        <w:tc>
          <w:tcPr>
            <w:tcW w:w="1250" w:type="pct"/>
            <w:vAlign w:val="center"/>
          </w:tcPr>
          <w:p w14:paraId="6532314A" w14:textId="77777777" w:rsidR="000D07EA" w:rsidRDefault="00BE7C89">
            <w:pPr>
              <w:pStyle w:val="BodyText"/>
              <w:spacing w:before="100" w:after="100"/>
              <w:jc w:val="center"/>
            </w:pPr>
            <w:r>
              <w:t>10GB</w:t>
            </w:r>
          </w:p>
        </w:tc>
        <w:tc>
          <w:tcPr>
            <w:tcW w:w="1250" w:type="pct"/>
            <w:vAlign w:val="center"/>
          </w:tcPr>
          <w:p w14:paraId="5199DCAB" w14:textId="77777777" w:rsidR="000D07EA" w:rsidRDefault="00BE7C89">
            <w:pPr>
              <w:pStyle w:val="BodyText"/>
              <w:spacing w:before="100" w:after="100"/>
              <w:jc w:val="center"/>
            </w:pPr>
            <w:r>
              <w:t>10GB</w:t>
            </w:r>
          </w:p>
        </w:tc>
      </w:tr>
      <w:tr w:rsidR="000D07EA" w14:paraId="09DA48FF" w14:textId="77777777">
        <w:tc>
          <w:tcPr>
            <w:tcW w:w="1250" w:type="pct"/>
            <w:shd w:val="clear" w:color="auto" w:fill="auto"/>
          </w:tcPr>
          <w:p w14:paraId="7A3BECF8" w14:textId="77777777" w:rsidR="000D07EA" w:rsidRDefault="00BE7C89">
            <w:pPr>
              <w:pStyle w:val="BodyText"/>
              <w:spacing w:before="100" w:after="100"/>
              <w:rPr>
                <w:b/>
              </w:rPr>
            </w:pPr>
            <w:r>
              <w:rPr>
                <w:b/>
              </w:rPr>
              <w:t>Cost of 1MB of Data</w:t>
            </w:r>
          </w:p>
        </w:tc>
        <w:tc>
          <w:tcPr>
            <w:tcW w:w="1250" w:type="pct"/>
          </w:tcPr>
          <w:p w14:paraId="67FEDBF4" w14:textId="77777777" w:rsidR="000D07EA" w:rsidRDefault="00BE7C89">
            <w:pPr>
              <w:pStyle w:val="BodyText"/>
              <w:spacing w:before="100" w:after="100"/>
              <w:jc w:val="center"/>
            </w:pPr>
            <w:r>
              <w:t>$0.0021</w:t>
            </w:r>
          </w:p>
        </w:tc>
        <w:tc>
          <w:tcPr>
            <w:tcW w:w="1250" w:type="pct"/>
          </w:tcPr>
          <w:p w14:paraId="37491534" w14:textId="77777777" w:rsidR="000D07EA" w:rsidRDefault="00BE7C89">
            <w:pPr>
              <w:pStyle w:val="BodyText"/>
              <w:spacing w:before="100" w:after="100"/>
              <w:jc w:val="center"/>
            </w:pPr>
            <w:r>
              <w:t>$0.0034</w:t>
            </w:r>
          </w:p>
        </w:tc>
        <w:tc>
          <w:tcPr>
            <w:tcW w:w="1250" w:type="pct"/>
          </w:tcPr>
          <w:p w14:paraId="09BF4582" w14:textId="77777777" w:rsidR="000D07EA" w:rsidRDefault="00BE7C89">
            <w:pPr>
              <w:pStyle w:val="BodyText"/>
              <w:spacing w:before="100" w:after="100"/>
              <w:jc w:val="center"/>
            </w:pPr>
            <w:r>
              <w:t>$0.0034</w:t>
            </w:r>
          </w:p>
        </w:tc>
      </w:tr>
      <w:tr w:rsidR="000D07EA" w14:paraId="1C7693FB" w14:textId="77777777">
        <w:tc>
          <w:tcPr>
            <w:tcW w:w="1250" w:type="pct"/>
            <w:shd w:val="clear" w:color="auto" w:fill="auto"/>
          </w:tcPr>
          <w:p w14:paraId="162F1E07" w14:textId="77777777" w:rsidR="000D07EA" w:rsidRDefault="00BE7C89">
            <w:pPr>
              <w:pStyle w:val="BodyText"/>
              <w:spacing w:before="100" w:after="100"/>
              <w:rPr>
                <w:b/>
              </w:rPr>
            </w:pPr>
            <w:r>
              <w:rPr>
                <w:b/>
              </w:rPr>
              <w:t xml:space="preserve">Included Minutes </w:t>
            </w:r>
          </w:p>
          <w:p w14:paraId="289FBFA5" w14:textId="77777777" w:rsidR="000D07EA" w:rsidRDefault="00BE7C89">
            <w:pPr>
              <w:pStyle w:val="BodyText"/>
              <w:spacing w:before="100" w:after="100"/>
            </w:pPr>
            <w:r>
              <w:t>for standard national calls to landlines and mobiles, 1300 numbers and voicemail, within Australia</w:t>
            </w:r>
          </w:p>
        </w:tc>
        <w:tc>
          <w:tcPr>
            <w:tcW w:w="1250" w:type="pct"/>
            <w:vAlign w:val="center"/>
          </w:tcPr>
          <w:p w14:paraId="1387F343" w14:textId="77777777" w:rsidR="000D07EA" w:rsidRDefault="00BE7C89">
            <w:pPr>
              <w:pStyle w:val="BodyText"/>
              <w:spacing w:before="100" w:after="100"/>
              <w:jc w:val="center"/>
            </w:pPr>
            <w:r>
              <w:t>Unlimited</w:t>
            </w:r>
          </w:p>
        </w:tc>
        <w:tc>
          <w:tcPr>
            <w:tcW w:w="1250" w:type="pct"/>
            <w:vAlign w:val="center"/>
          </w:tcPr>
          <w:p w14:paraId="618C0E68" w14:textId="77777777" w:rsidR="000D07EA" w:rsidRDefault="00BE7C89">
            <w:pPr>
              <w:pStyle w:val="BodyText"/>
              <w:spacing w:before="100" w:after="100"/>
              <w:jc w:val="center"/>
            </w:pPr>
            <w:r>
              <w:t>Unlimited</w:t>
            </w:r>
          </w:p>
        </w:tc>
        <w:tc>
          <w:tcPr>
            <w:tcW w:w="1250" w:type="pct"/>
            <w:vAlign w:val="center"/>
          </w:tcPr>
          <w:p w14:paraId="5511870B" w14:textId="77777777" w:rsidR="000D07EA" w:rsidRDefault="00BE7C89">
            <w:pPr>
              <w:pStyle w:val="BodyText"/>
              <w:spacing w:before="100" w:after="100"/>
              <w:jc w:val="center"/>
            </w:pPr>
            <w:r>
              <w:t>Unlimited</w:t>
            </w:r>
          </w:p>
        </w:tc>
      </w:tr>
      <w:tr w:rsidR="000D07EA" w14:paraId="154609FE" w14:textId="77777777">
        <w:tc>
          <w:tcPr>
            <w:tcW w:w="1250" w:type="pct"/>
            <w:shd w:val="clear" w:color="auto" w:fill="auto"/>
          </w:tcPr>
          <w:p w14:paraId="0C17B5A4" w14:textId="77777777" w:rsidR="000D07EA" w:rsidRDefault="00BE7C89">
            <w:pPr>
              <w:pStyle w:val="BodyText"/>
              <w:spacing w:before="100" w:after="100"/>
              <w:rPr>
                <w:b/>
              </w:rPr>
            </w:pPr>
            <w:r>
              <w:rPr>
                <w:b/>
              </w:rPr>
              <w:t>Included International Minutes</w:t>
            </w:r>
          </w:p>
          <w:p w14:paraId="04A00390" w14:textId="77777777" w:rsidR="000D07EA" w:rsidRDefault="00BE7C89">
            <w:pPr>
              <w:pStyle w:val="BodyText"/>
              <w:spacing w:before="100" w:after="100"/>
              <w:rPr>
                <w:b/>
              </w:rPr>
            </w:pPr>
            <w:r>
              <w:t xml:space="preserve">Standard international calls to landlines and </w:t>
            </w:r>
            <w:r>
              <w:lastRenderedPageBreak/>
              <w:t>mobiles to selected countries</w:t>
            </w:r>
          </w:p>
        </w:tc>
        <w:tc>
          <w:tcPr>
            <w:tcW w:w="1250" w:type="pct"/>
            <w:vAlign w:val="center"/>
          </w:tcPr>
          <w:p w14:paraId="09B55A85" w14:textId="77777777" w:rsidR="000D07EA" w:rsidRDefault="00BE7C89">
            <w:pPr>
              <w:pStyle w:val="BodyText"/>
              <w:spacing w:before="100" w:after="100"/>
              <w:jc w:val="center"/>
            </w:pPr>
            <w:r>
              <w:lastRenderedPageBreak/>
              <w:t>Up to 300 mins</w:t>
            </w:r>
          </w:p>
        </w:tc>
        <w:tc>
          <w:tcPr>
            <w:tcW w:w="1250" w:type="pct"/>
            <w:vAlign w:val="center"/>
          </w:tcPr>
          <w:p w14:paraId="0D5E646E" w14:textId="77777777" w:rsidR="000D07EA" w:rsidRDefault="00BE7C89">
            <w:pPr>
              <w:pStyle w:val="BodyText"/>
              <w:spacing w:before="100" w:after="100"/>
              <w:jc w:val="center"/>
            </w:pPr>
            <w:r>
              <w:t>Up to 300 mins</w:t>
            </w:r>
          </w:p>
        </w:tc>
        <w:tc>
          <w:tcPr>
            <w:tcW w:w="1250" w:type="pct"/>
            <w:vAlign w:val="center"/>
          </w:tcPr>
          <w:p w14:paraId="793F87B4" w14:textId="77777777" w:rsidR="000D07EA" w:rsidRDefault="00BE7C89">
            <w:pPr>
              <w:pStyle w:val="BodyText"/>
              <w:spacing w:before="100" w:after="100"/>
              <w:jc w:val="center"/>
            </w:pPr>
            <w:r>
              <w:t>Up to 300 mins</w:t>
            </w:r>
          </w:p>
        </w:tc>
      </w:tr>
      <w:tr w:rsidR="000D07EA" w14:paraId="15417E5C" w14:textId="77777777">
        <w:tc>
          <w:tcPr>
            <w:tcW w:w="1250" w:type="pct"/>
            <w:shd w:val="clear" w:color="auto" w:fill="auto"/>
          </w:tcPr>
          <w:p w14:paraId="3AFA03A8" w14:textId="77777777" w:rsidR="000D07EA" w:rsidRDefault="00BE7C89">
            <w:pPr>
              <w:pStyle w:val="BodyText"/>
              <w:spacing w:before="100" w:after="100"/>
              <w:rPr>
                <w:b/>
              </w:rPr>
            </w:pPr>
            <w:r>
              <w:rPr>
                <w:b/>
              </w:rPr>
              <w:t xml:space="preserve">Standard national SMS </w:t>
            </w:r>
            <w:r>
              <w:t>(per SMS of up to 160 standard characters)</w:t>
            </w:r>
          </w:p>
        </w:tc>
        <w:tc>
          <w:tcPr>
            <w:tcW w:w="1250" w:type="pct"/>
            <w:vAlign w:val="center"/>
          </w:tcPr>
          <w:p w14:paraId="246B0838" w14:textId="77777777" w:rsidR="000D07EA" w:rsidRDefault="00BE7C89">
            <w:pPr>
              <w:pStyle w:val="BodyText"/>
              <w:spacing w:before="100" w:after="100"/>
              <w:jc w:val="center"/>
            </w:pPr>
            <w:r>
              <w:t>Unlimited</w:t>
            </w:r>
          </w:p>
        </w:tc>
        <w:tc>
          <w:tcPr>
            <w:tcW w:w="1250" w:type="pct"/>
            <w:vAlign w:val="center"/>
          </w:tcPr>
          <w:p w14:paraId="39270B0F" w14:textId="77777777" w:rsidR="000D07EA" w:rsidRDefault="00BE7C89">
            <w:pPr>
              <w:pStyle w:val="BodyText"/>
              <w:spacing w:before="100" w:after="100"/>
              <w:jc w:val="center"/>
            </w:pPr>
            <w:r>
              <w:t>Unlimited</w:t>
            </w:r>
          </w:p>
        </w:tc>
        <w:tc>
          <w:tcPr>
            <w:tcW w:w="1250" w:type="pct"/>
            <w:vAlign w:val="center"/>
          </w:tcPr>
          <w:p w14:paraId="29E01990" w14:textId="77777777" w:rsidR="000D07EA" w:rsidRDefault="00BE7C89">
            <w:pPr>
              <w:pStyle w:val="BodyText"/>
              <w:spacing w:before="100" w:after="100"/>
              <w:jc w:val="center"/>
            </w:pPr>
            <w:r>
              <w:t>Unlimited</w:t>
            </w:r>
          </w:p>
        </w:tc>
      </w:tr>
      <w:tr w:rsidR="000D07EA" w14:paraId="19444A1A" w14:textId="77777777">
        <w:tc>
          <w:tcPr>
            <w:tcW w:w="1250" w:type="pct"/>
            <w:shd w:val="clear" w:color="auto" w:fill="auto"/>
          </w:tcPr>
          <w:p w14:paraId="0C99491F" w14:textId="77777777" w:rsidR="000D07EA" w:rsidRDefault="00BE7C89">
            <w:pPr>
              <w:pStyle w:val="BodyText"/>
              <w:spacing w:before="100" w:after="100"/>
              <w:rPr>
                <w:b/>
              </w:rPr>
            </w:pPr>
            <w:r>
              <w:rPr>
                <w:b/>
              </w:rPr>
              <w:t>Standard national MMS</w:t>
            </w:r>
            <w:r>
              <w:t xml:space="preserve"> (per message)</w:t>
            </w:r>
          </w:p>
        </w:tc>
        <w:tc>
          <w:tcPr>
            <w:tcW w:w="1250" w:type="pct"/>
            <w:vAlign w:val="center"/>
          </w:tcPr>
          <w:p w14:paraId="6F96D87D" w14:textId="77777777" w:rsidR="000D07EA" w:rsidRDefault="00BE7C89">
            <w:pPr>
              <w:pStyle w:val="BodyText"/>
              <w:spacing w:before="100" w:after="100"/>
              <w:jc w:val="center"/>
            </w:pPr>
            <w:r>
              <w:t>Unlimited</w:t>
            </w:r>
          </w:p>
        </w:tc>
        <w:tc>
          <w:tcPr>
            <w:tcW w:w="1250" w:type="pct"/>
            <w:vAlign w:val="center"/>
          </w:tcPr>
          <w:p w14:paraId="08FC3663" w14:textId="77777777" w:rsidR="000D07EA" w:rsidRDefault="00BE7C89">
            <w:pPr>
              <w:pStyle w:val="BodyText"/>
              <w:spacing w:before="100" w:after="100"/>
              <w:jc w:val="center"/>
            </w:pPr>
            <w:r>
              <w:t>Unlimited</w:t>
            </w:r>
          </w:p>
        </w:tc>
        <w:tc>
          <w:tcPr>
            <w:tcW w:w="1250" w:type="pct"/>
            <w:vAlign w:val="center"/>
          </w:tcPr>
          <w:p w14:paraId="4EBF3AEC" w14:textId="77777777" w:rsidR="000D07EA" w:rsidRDefault="00BE7C89">
            <w:pPr>
              <w:pStyle w:val="BodyText"/>
              <w:spacing w:before="100" w:after="100"/>
              <w:jc w:val="center"/>
            </w:pPr>
            <w:r>
              <w:t>Unlimited</w:t>
            </w:r>
          </w:p>
        </w:tc>
      </w:tr>
      <w:tr w:rsidR="000D07EA" w14:paraId="3751DA71" w14:textId="77777777">
        <w:tc>
          <w:tcPr>
            <w:tcW w:w="1250" w:type="pct"/>
            <w:shd w:val="clear" w:color="auto" w:fill="auto"/>
          </w:tcPr>
          <w:p w14:paraId="6BDB7D2B" w14:textId="77777777" w:rsidR="000D07EA" w:rsidRDefault="00BE7C89">
            <w:pPr>
              <w:pStyle w:val="BodyText"/>
              <w:spacing w:before="100" w:after="100"/>
              <w:rPr>
                <w:b/>
              </w:rPr>
            </w:pPr>
            <w:r>
              <w:rPr>
                <w:b/>
              </w:rPr>
              <w:t>Standard international SMS</w:t>
            </w:r>
            <w:r>
              <w:t xml:space="preserve"> (per SMS of up to 160 standard characters to selected countries)</w:t>
            </w:r>
          </w:p>
        </w:tc>
        <w:tc>
          <w:tcPr>
            <w:tcW w:w="1250" w:type="pct"/>
            <w:vAlign w:val="center"/>
          </w:tcPr>
          <w:p w14:paraId="5E5DBD86" w14:textId="77777777" w:rsidR="000D07EA" w:rsidRDefault="00BE7C89">
            <w:pPr>
              <w:pStyle w:val="BodyText"/>
              <w:spacing w:before="100" w:after="100"/>
              <w:jc w:val="center"/>
            </w:pPr>
            <w:r>
              <w:t>Unlimited</w:t>
            </w:r>
          </w:p>
        </w:tc>
        <w:tc>
          <w:tcPr>
            <w:tcW w:w="1250" w:type="pct"/>
            <w:vAlign w:val="center"/>
          </w:tcPr>
          <w:p w14:paraId="4D3CB4E4" w14:textId="77777777" w:rsidR="000D07EA" w:rsidRDefault="00BE7C89">
            <w:pPr>
              <w:pStyle w:val="BodyText"/>
              <w:spacing w:before="100" w:after="100"/>
              <w:jc w:val="center"/>
            </w:pPr>
            <w:r>
              <w:t>Unlimited</w:t>
            </w:r>
          </w:p>
        </w:tc>
        <w:tc>
          <w:tcPr>
            <w:tcW w:w="1250" w:type="pct"/>
            <w:vAlign w:val="center"/>
          </w:tcPr>
          <w:p w14:paraId="2CF4684B" w14:textId="77777777" w:rsidR="000D07EA" w:rsidRDefault="00BE7C89">
            <w:pPr>
              <w:pStyle w:val="BodyText"/>
              <w:spacing w:before="100" w:after="100"/>
              <w:jc w:val="center"/>
            </w:pPr>
            <w:r>
              <w:t>Unlimited</w:t>
            </w:r>
          </w:p>
        </w:tc>
      </w:tr>
      <w:tr w:rsidR="000D07EA" w14:paraId="622B703F" w14:textId="77777777">
        <w:tc>
          <w:tcPr>
            <w:tcW w:w="1250" w:type="pct"/>
            <w:shd w:val="clear" w:color="auto" w:fill="auto"/>
          </w:tcPr>
          <w:p w14:paraId="5A35E8AE" w14:textId="77777777" w:rsidR="000D07EA" w:rsidRDefault="00BE7C89">
            <w:pPr>
              <w:pStyle w:val="BodyText"/>
              <w:spacing w:before="100" w:after="100"/>
              <w:rPr>
                <w:b/>
              </w:rPr>
            </w:pPr>
            <w:r>
              <w:rPr>
                <w:b/>
              </w:rPr>
              <w:t>Standard international MMS</w:t>
            </w:r>
            <w:r>
              <w:t xml:space="preserve"> (per message to selected countries)</w:t>
            </w:r>
          </w:p>
        </w:tc>
        <w:tc>
          <w:tcPr>
            <w:tcW w:w="1250" w:type="pct"/>
            <w:vAlign w:val="center"/>
          </w:tcPr>
          <w:p w14:paraId="612C4DED" w14:textId="77777777" w:rsidR="000D07EA" w:rsidRDefault="00BE7C89">
            <w:pPr>
              <w:pStyle w:val="BodyText"/>
              <w:spacing w:before="100" w:after="100"/>
              <w:jc w:val="center"/>
            </w:pPr>
            <w:r>
              <w:t>Unlimited</w:t>
            </w:r>
          </w:p>
        </w:tc>
        <w:tc>
          <w:tcPr>
            <w:tcW w:w="1250" w:type="pct"/>
            <w:vAlign w:val="center"/>
          </w:tcPr>
          <w:p w14:paraId="7BB65A74" w14:textId="77777777" w:rsidR="000D07EA" w:rsidRDefault="00BE7C89">
            <w:pPr>
              <w:pStyle w:val="BodyText"/>
              <w:spacing w:before="100" w:after="100"/>
              <w:jc w:val="center"/>
            </w:pPr>
            <w:r>
              <w:t>Unlimited</w:t>
            </w:r>
          </w:p>
        </w:tc>
        <w:tc>
          <w:tcPr>
            <w:tcW w:w="1250" w:type="pct"/>
            <w:vAlign w:val="center"/>
          </w:tcPr>
          <w:p w14:paraId="1DB920C9" w14:textId="77777777" w:rsidR="000D07EA" w:rsidRDefault="00BE7C89">
            <w:pPr>
              <w:pStyle w:val="BodyText"/>
              <w:spacing w:before="100" w:after="100"/>
              <w:jc w:val="center"/>
            </w:pPr>
            <w:r>
              <w:t>Unlimited</w:t>
            </w:r>
          </w:p>
        </w:tc>
      </w:tr>
      <w:tr w:rsidR="000D07EA" w14:paraId="3D062121" w14:textId="77777777">
        <w:tc>
          <w:tcPr>
            <w:tcW w:w="1250" w:type="pct"/>
            <w:shd w:val="clear" w:color="auto" w:fill="auto"/>
          </w:tcPr>
          <w:p w14:paraId="377E07B0" w14:textId="77777777" w:rsidR="000D07EA" w:rsidRDefault="00BE7C89">
            <w:pPr>
              <w:pStyle w:val="BodyText"/>
              <w:spacing w:before="100" w:after="100"/>
              <w:rPr>
                <w:b/>
              </w:rPr>
            </w:pPr>
            <w:r>
              <w:rPr>
                <w:b/>
              </w:rPr>
              <w:t xml:space="preserve">Minimum total cost over 12 months </w:t>
            </w:r>
          </w:p>
        </w:tc>
        <w:tc>
          <w:tcPr>
            <w:tcW w:w="1250" w:type="pct"/>
          </w:tcPr>
          <w:p w14:paraId="78F9CCDE" w14:textId="77777777" w:rsidR="000D07EA" w:rsidRDefault="000D07EA">
            <w:pPr>
              <w:pStyle w:val="BodyText"/>
              <w:spacing w:before="100" w:after="100"/>
              <w:jc w:val="center"/>
            </w:pPr>
          </w:p>
        </w:tc>
        <w:tc>
          <w:tcPr>
            <w:tcW w:w="1250" w:type="pct"/>
            <w:vAlign w:val="center"/>
          </w:tcPr>
          <w:p w14:paraId="22354A00" w14:textId="77777777" w:rsidR="000D07EA" w:rsidRDefault="00BE7C89">
            <w:pPr>
              <w:pStyle w:val="BodyText"/>
              <w:spacing w:before="100" w:after="100"/>
              <w:jc w:val="center"/>
            </w:pPr>
            <w:r>
              <w:t>The Minimum Total Cost is $720 over 12 months or $480 for customers who are entitled to receive the $20/month credit.</w:t>
            </w:r>
          </w:p>
        </w:tc>
        <w:tc>
          <w:tcPr>
            <w:tcW w:w="1250" w:type="pct"/>
            <w:vAlign w:val="center"/>
          </w:tcPr>
          <w:p w14:paraId="7164A475" w14:textId="77777777" w:rsidR="000D07EA" w:rsidRDefault="00BE7C89">
            <w:pPr>
              <w:pStyle w:val="BodyText"/>
              <w:spacing w:before="100" w:after="100"/>
              <w:jc w:val="center"/>
            </w:pPr>
            <w:r>
              <w:t>The Minimum Total Cost is $480 over 12 months</w:t>
            </w:r>
          </w:p>
        </w:tc>
      </w:tr>
    </w:tbl>
    <w:p w14:paraId="2F31B5F2" w14:textId="77777777" w:rsidR="000D07EA" w:rsidRDefault="000D07EA">
      <w:pPr>
        <w:pStyle w:val="BodyText"/>
      </w:pPr>
    </w:p>
    <w:p w14:paraId="211DDF48" w14:textId="77777777" w:rsidR="000D07EA" w:rsidRDefault="00BE7C89">
      <w:pPr>
        <w:pStyle w:val="BodyText"/>
        <w:ind w:left="720"/>
        <w:rPr>
          <w:b/>
        </w:rPr>
      </w:pPr>
      <w:r>
        <w:rPr>
          <w:b/>
        </w:rPr>
        <w:t>Table 2 – Other usage types and charges</w:t>
      </w:r>
    </w:p>
    <w:tbl>
      <w:tblPr>
        <w:tblW w:w="910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8"/>
        <w:gridCol w:w="4680"/>
      </w:tblGrid>
      <w:tr w:rsidR="000D07EA" w14:paraId="0DF28ECB" w14:textId="77777777">
        <w:tc>
          <w:tcPr>
            <w:tcW w:w="4428" w:type="dxa"/>
            <w:shd w:val="clear" w:color="auto" w:fill="auto"/>
          </w:tcPr>
          <w:p w14:paraId="120B82E2" w14:textId="77777777" w:rsidR="000D07EA" w:rsidRDefault="00BE7C89">
            <w:pPr>
              <w:pStyle w:val="BodyText"/>
              <w:spacing w:before="100" w:after="100"/>
              <w:rPr>
                <w:b/>
              </w:rPr>
            </w:pPr>
            <w:r>
              <w:rPr>
                <w:b/>
              </w:rPr>
              <w:t>Usage type</w:t>
            </w:r>
          </w:p>
        </w:tc>
        <w:tc>
          <w:tcPr>
            <w:tcW w:w="4680" w:type="dxa"/>
            <w:shd w:val="clear" w:color="auto" w:fill="auto"/>
            <w:vAlign w:val="center"/>
          </w:tcPr>
          <w:p w14:paraId="5EA8D4A4" w14:textId="77777777" w:rsidR="000D07EA" w:rsidRDefault="00BE7C89">
            <w:pPr>
              <w:pStyle w:val="BodyText"/>
              <w:spacing w:before="100" w:after="100"/>
              <w:jc w:val="center"/>
              <w:rPr>
                <w:b/>
              </w:rPr>
            </w:pPr>
            <w:r>
              <w:rPr>
                <w:b/>
              </w:rPr>
              <w:t>Charge</w:t>
            </w:r>
          </w:p>
        </w:tc>
      </w:tr>
      <w:tr w:rsidR="000D07EA" w14:paraId="1090DA2D" w14:textId="77777777">
        <w:tc>
          <w:tcPr>
            <w:tcW w:w="4428" w:type="dxa"/>
            <w:shd w:val="clear" w:color="auto" w:fill="auto"/>
          </w:tcPr>
          <w:p w14:paraId="2D5CB4D9" w14:textId="77777777" w:rsidR="000D07EA" w:rsidRDefault="00BE7C89">
            <w:pPr>
              <w:pStyle w:val="BodyText"/>
              <w:spacing w:before="100" w:after="100"/>
              <w:rPr>
                <w:b/>
              </w:rPr>
            </w:pPr>
            <w:r>
              <w:rPr>
                <w:b/>
                <w:bCs/>
              </w:rPr>
              <w:t xml:space="preserve">National video calls </w:t>
            </w:r>
            <w:r>
              <w:t>(per minute)</w:t>
            </w:r>
          </w:p>
        </w:tc>
        <w:tc>
          <w:tcPr>
            <w:tcW w:w="4680" w:type="dxa"/>
            <w:shd w:val="clear" w:color="auto" w:fill="auto"/>
            <w:vAlign w:val="center"/>
          </w:tcPr>
          <w:p w14:paraId="5892BE06" w14:textId="77777777" w:rsidR="000D07EA" w:rsidRDefault="00BE7C89">
            <w:pPr>
              <w:pStyle w:val="BodyText"/>
              <w:spacing w:before="100" w:after="100"/>
              <w:jc w:val="center"/>
            </w:pPr>
            <w:r>
              <w:t>$1.00 per min + 40c flagfall</w:t>
            </w:r>
          </w:p>
        </w:tc>
      </w:tr>
      <w:tr w:rsidR="000D07EA" w14:paraId="2D04483E" w14:textId="77777777">
        <w:tc>
          <w:tcPr>
            <w:tcW w:w="4428" w:type="dxa"/>
            <w:shd w:val="clear" w:color="auto" w:fill="auto"/>
          </w:tcPr>
          <w:p w14:paraId="200EBCB4" w14:textId="77777777" w:rsidR="000D07EA" w:rsidRDefault="00BE7C89">
            <w:pPr>
              <w:pStyle w:val="BodyText"/>
              <w:spacing w:before="100" w:after="100"/>
              <w:rPr>
                <w:b/>
              </w:rPr>
            </w:pPr>
            <w:r>
              <w:rPr>
                <w:b/>
                <w:bCs/>
              </w:rPr>
              <w:t xml:space="preserve">VoiceMail Deposits </w:t>
            </w:r>
          </w:p>
        </w:tc>
        <w:tc>
          <w:tcPr>
            <w:tcW w:w="4680" w:type="dxa"/>
            <w:shd w:val="clear" w:color="auto" w:fill="auto"/>
          </w:tcPr>
          <w:p w14:paraId="7069FC63" w14:textId="77777777" w:rsidR="000D07EA" w:rsidRDefault="00BE7C89">
            <w:pPr>
              <w:pStyle w:val="BodyText"/>
              <w:spacing w:before="100" w:after="100"/>
              <w:jc w:val="center"/>
            </w:pPr>
            <w:r>
              <w:t>$0 per minute</w:t>
            </w:r>
          </w:p>
        </w:tc>
      </w:tr>
      <w:tr w:rsidR="000D07EA" w14:paraId="0A87C22D" w14:textId="77777777">
        <w:tc>
          <w:tcPr>
            <w:tcW w:w="4428" w:type="dxa"/>
            <w:shd w:val="clear" w:color="auto" w:fill="auto"/>
          </w:tcPr>
          <w:p w14:paraId="18544A1E" w14:textId="77777777" w:rsidR="000D07EA" w:rsidRDefault="00BE7C89">
            <w:pPr>
              <w:pStyle w:val="BodyText"/>
              <w:spacing w:before="100" w:after="100"/>
              <w:rPr>
                <w:b/>
              </w:rPr>
            </w:pPr>
            <w:r>
              <w:rPr>
                <w:b/>
                <w:bCs/>
              </w:rPr>
              <w:t>Voicemail Diversions</w:t>
            </w:r>
          </w:p>
        </w:tc>
        <w:tc>
          <w:tcPr>
            <w:tcW w:w="4680" w:type="dxa"/>
            <w:shd w:val="clear" w:color="auto" w:fill="auto"/>
          </w:tcPr>
          <w:p w14:paraId="74AC2155" w14:textId="77777777" w:rsidR="000D07EA" w:rsidRDefault="00BE7C89">
            <w:pPr>
              <w:pStyle w:val="BodyText"/>
              <w:spacing w:before="100" w:after="100"/>
              <w:jc w:val="center"/>
            </w:pPr>
            <w:r>
              <w:t>$0 per minute</w:t>
            </w:r>
          </w:p>
        </w:tc>
      </w:tr>
      <w:tr w:rsidR="000D07EA" w14:paraId="41FB85CD" w14:textId="77777777">
        <w:tc>
          <w:tcPr>
            <w:tcW w:w="4428" w:type="dxa"/>
            <w:shd w:val="clear" w:color="auto" w:fill="auto"/>
          </w:tcPr>
          <w:p w14:paraId="1530FB69" w14:textId="77777777" w:rsidR="000D07EA" w:rsidRDefault="00BE7C89">
            <w:pPr>
              <w:pStyle w:val="BodyText"/>
              <w:spacing w:before="100" w:after="100"/>
              <w:rPr>
                <w:b/>
                <w:bCs/>
              </w:rPr>
            </w:pPr>
            <w:r>
              <w:rPr>
                <w:b/>
                <w:bCs/>
              </w:rPr>
              <w:t>National Diversions</w:t>
            </w:r>
          </w:p>
        </w:tc>
        <w:tc>
          <w:tcPr>
            <w:tcW w:w="4680" w:type="dxa"/>
            <w:shd w:val="clear" w:color="auto" w:fill="auto"/>
          </w:tcPr>
          <w:p w14:paraId="1329B46D" w14:textId="77777777" w:rsidR="000D07EA" w:rsidRDefault="00BE7C89">
            <w:pPr>
              <w:pStyle w:val="BodyText"/>
              <w:spacing w:before="100" w:after="100"/>
              <w:jc w:val="center"/>
            </w:pPr>
            <w:r>
              <w:t>$0 per minute</w:t>
            </w:r>
          </w:p>
        </w:tc>
      </w:tr>
      <w:tr w:rsidR="000D07EA" w14:paraId="185597E3" w14:textId="77777777">
        <w:tc>
          <w:tcPr>
            <w:tcW w:w="4428" w:type="dxa"/>
            <w:shd w:val="clear" w:color="auto" w:fill="auto"/>
          </w:tcPr>
          <w:p w14:paraId="6948D8E5" w14:textId="77777777" w:rsidR="000D07EA" w:rsidRDefault="00BE7C89">
            <w:pPr>
              <w:pStyle w:val="BodyText"/>
              <w:spacing w:before="100" w:after="100"/>
              <w:rPr>
                <w:b/>
                <w:bCs/>
              </w:rPr>
            </w:pPr>
            <w:r>
              <w:rPr>
                <w:b/>
                <w:bCs/>
              </w:rPr>
              <w:t xml:space="preserve">International Diversions </w:t>
            </w:r>
          </w:p>
        </w:tc>
        <w:tc>
          <w:tcPr>
            <w:tcW w:w="4680" w:type="dxa"/>
            <w:shd w:val="clear" w:color="auto" w:fill="auto"/>
          </w:tcPr>
          <w:p w14:paraId="2AB5B7B6" w14:textId="77777777" w:rsidR="000D07EA" w:rsidRDefault="00BE7C89">
            <w:pPr>
              <w:pStyle w:val="BodyText"/>
              <w:spacing w:before="100" w:after="100"/>
              <w:jc w:val="center"/>
            </w:pPr>
            <w:r>
              <w:t>'yes' international rates</w:t>
            </w:r>
            <w:r>
              <w:br/>
              <w:t>See optus.com.au/international</w:t>
            </w:r>
          </w:p>
        </w:tc>
      </w:tr>
      <w:tr w:rsidR="000D07EA" w14:paraId="5D9ED212" w14:textId="77777777">
        <w:tc>
          <w:tcPr>
            <w:tcW w:w="4428" w:type="dxa"/>
            <w:shd w:val="clear" w:color="auto" w:fill="auto"/>
          </w:tcPr>
          <w:p w14:paraId="26B09FFB" w14:textId="77777777" w:rsidR="000D07EA" w:rsidRDefault="00BE7C89">
            <w:pPr>
              <w:pStyle w:val="BodyText"/>
              <w:spacing w:before="100" w:after="100"/>
              <w:rPr>
                <w:b/>
                <w:bCs/>
              </w:rPr>
            </w:pPr>
            <w:r>
              <w:rPr>
                <w:b/>
                <w:bCs/>
              </w:rPr>
              <w:t xml:space="preserve">1800 numbers </w:t>
            </w:r>
          </w:p>
        </w:tc>
        <w:tc>
          <w:tcPr>
            <w:tcW w:w="4680" w:type="dxa"/>
            <w:shd w:val="clear" w:color="auto" w:fill="auto"/>
            <w:vAlign w:val="center"/>
          </w:tcPr>
          <w:p w14:paraId="60F622B8" w14:textId="77777777" w:rsidR="000D07EA" w:rsidRDefault="00BE7C89">
            <w:pPr>
              <w:pStyle w:val="BodyText"/>
              <w:spacing w:before="100" w:after="100"/>
              <w:jc w:val="center"/>
            </w:pPr>
            <w:r>
              <w:t>$0 per minute</w:t>
            </w:r>
          </w:p>
        </w:tc>
      </w:tr>
      <w:tr w:rsidR="000D07EA" w14:paraId="210C73D7" w14:textId="77777777">
        <w:tc>
          <w:tcPr>
            <w:tcW w:w="4428" w:type="dxa"/>
            <w:shd w:val="clear" w:color="auto" w:fill="auto"/>
          </w:tcPr>
          <w:p w14:paraId="30EDE597" w14:textId="77777777" w:rsidR="000D07EA" w:rsidRDefault="00BE7C89">
            <w:pPr>
              <w:pStyle w:val="BodyText"/>
              <w:spacing w:before="100" w:after="100"/>
              <w:rPr>
                <w:b/>
                <w:bCs/>
              </w:rPr>
            </w:pPr>
            <w:r>
              <w:rPr>
                <w:b/>
                <w:bCs/>
              </w:rPr>
              <w:t xml:space="preserve">Directory Assistance 1223 </w:t>
            </w:r>
          </w:p>
        </w:tc>
        <w:tc>
          <w:tcPr>
            <w:tcW w:w="4680" w:type="dxa"/>
            <w:shd w:val="clear" w:color="auto" w:fill="auto"/>
            <w:vAlign w:val="center"/>
          </w:tcPr>
          <w:p w14:paraId="318D9EA8" w14:textId="77777777" w:rsidR="000D07EA" w:rsidRDefault="00BE7C89">
            <w:pPr>
              <w:pStyle w:val="BodyText"/>
              <w:spacing w:before="100" w:after="100"/>
              <w:jc w:val="center"/>
            </w:pPr>
            <w:r>
              <w:t>50c per call</w:t>
            </w:r>
          </w:p>
        </w:tc>
      </w:tr>
      <w:tr w:rsidR="000D07EA" w14:paraId="12FFB6F7" w14:textId="77777777">
        <w:tc>
          <w:tcPr>
            <w:tcW w:w="4428" w:type="dxa"/>
            <w:shd w:val="clear" w:color="auto" w:fill="auto"/>
          </w:tcPr>
          <w:p w14:paraId="75C4CCA7" w14:textId="77777777" w:rsidR="000D07EA" w:rsidRDefault="00BE7C89">
            <w:pPr>
              <w:pStyle w:val="BodyText"/>
              <w:spacing w:before="100" w:after="100"/>
              <w:rPr>
                <w:b/>
                <w:bCs/>
              </w:rPr>
            </w:pPr>
            <w:r>
              <w:rPr>
                <w:b/>
                <w:bCs/>
              </w:rPr>
              <w:t>124 Yes</w:t>
            </w:r>
          </w:p>
        </w:tc>
        <w:tc>
          <w:tcPr>
            <w:tcW w:w="4680" w:type="dxa"/>
            <w:shd w:val="clear" w:color="auto" w:fill="auto"/>
            <w:vAlign w:val="center"/>
          </w:tcPr>
          <w:p w14:paraId="19EC22CC" w14:textId="77777777" w:rsidR="000D07EA" w:rsidRDefault="00BE7C89">
            <w:pPr>
              <w:pStyle w:val="BodyText"/>
              <w:spacing w:before="100" w:after="100"/>
              <w:jc w:val="center"/>
            </w:pPr>
            <w:r>
              <w:t>90c per minute +$1.75c flagfall</w:t>
            </w:r>
          </w:p>
        </w:tc>
      </w:tr>
      <w:tr w:rsidR="000D07EA" w14:paraId="5E044D28" w14:textId="77777777">
        <w:tc>
          <w:tcPr>
            <w:tcW w:w="4428" w:type="dxa"/>
            <w:shd w:val="clear" w:color="auto" w:fill="auto"/>
          </w:tcPr>
          <w:p w14:paraId="771AE6D0" w14:textId="77777777" w:rsidR="000D07EA" w:rsidRDefault="00BE7C89">
            <w:pPr>
              <w:pStyle w:val="BodyText"/>
              <w:spacing w:before="100" w:after="100"/>
              <w:rPr>
                <w:b/>
                <w:bCs/>
              </w:rPr>
            </w:pPr>
            <w:r>
              <w:rPr>
                <w:b/>
                <w:bCs/>
              </w:rPr>
              <w:t xml:space="preserve">International voice calls (outside the plan's included international minutes and to excluded countries) </w:t>
            </w:r>
          </w:p>
        </w:tc>
        <w:tc>
          <w:tcPr>
            <w:tcW w:w="4680" w:type="dxa"/>
            <w:shd w:val="clear" w:color="auto" w:fill="auto"/>
            <w:vAlign w:val="center"/>
          </w:tcPr>
          <w:p w14:paraId="5E15A588" w14:textId="77777777" w:rsidR="000D07EA" w:rsidRDefault="00BE7C89">
            <w:pPr>
              <w:pStyle w:val="BodyText"/>
              <w:spacing w:before="100" w:after="100"/>
              <w:jc w:val="center"/>
            </w:pPr>
            <w:r>
              <w:t>'yes' international rates</w:t>
            </w:r>
          </w:p>
          <w:p w14:paraId="7F7C48DD" w14:textId="77777777" w:rsidR="000D07EA" w:rsidRDefault="00BE7C89">
            <w:pPr>
              <w:pStyle w:val="BodyText"/>
              <w:spacing w:before="100" w:after="100"/>
              <w:jc w:val="center"/>
            </w:pPr>
            <w:r>
              <w:t>See optus.com.au/international</w:t>
            </w:r>
          </w:p>
        </w:tc>
      </w:tr>
      <w:tr w:rsidR="000D07EA" w14:paraId="1DE32617" w14:textId="77777777">
        <w:tc>
          <w:tcPr>
            <w:tcW w:w="4428" w:type="dxa"/>
            <w:shd w:val="clear" w:color="auto" w:fill="auto"/>
          </w:tcPr>
          <w:p w14:paraId="6610CF92" w14:textId="77777777" w:rsidR="000D07EA" w:rsidRDefault="00BE7C89">
            <w:pPr>
              <w:pStyle w:val="BodyText"/>
              <w:spacing w:before="100" w:after="100"/>
              <w:rPr>
                <w:b/>
                <w:bCs/>
              </w:rPr>
            </w:pPr>
            <w:r>
              <w:rPr>
                <w:b/>
                <w:bCs/>
              </w:rPr>
              <w:t>International SMS (to excluded countries)</w:t>
            </w:r>
          </w:p>
        </w:tc>
        <w:tc>
          <w:tcPr>
            <w:tcW w:w="4680" w:type="dxa"/>
            <w:shd w:val="clear" w:color="auto" w:fill="auto"/>
            <w:vAlign w:val="center"/>
          </w:tcPr>
          <w:p w14:paraId="2DF7FE4A" w14:textId="77777777" w:rsidR="000D07EA" w:rsidRDefault="00BE7C89">
            <w:pPr>
              <w:pStyle w:val="BodyText"/>
              <w:spacing w:before="100" w:after="100"/>
              <w:jc w:val="center"/>
            </w:pPr>
            <w:r>
              <w:t>50c per SMS up to 160 standard characters</w:t>
            </w:r>
          </w:p>
        </w:tc>
      </w:tr>
      <w:tr w:rsidR="000D07EA" w14:paraId="58AB4833" w14:textId="77777777">
        <w:tc>
          <w:tcPr>
            <w:tcW w:w="4428" w:type="dxa"/>
            <w:shd w:val="clear" w:color="auto" w:fill="auto"/>
          </w:tcPr>
          <w:p w14:paraId="2E390597" w14:textId="77777777" w:rsidR="000D07EA" w:rsidRDefault="00BE7C89">
            <w:pPr>
              <w:pStyle w:val="BodyText"/>
              <w:spacing w:before="100" w:after="100"/>
              <w:rPr>
                <w:b/>
                <w:bCs/>
              </w:rPr>
            </w:pPr>
            <w:r>
              <w:rPr>
                <w:b/>
                <w:bCs/>
              </w:rPr>
              <w:t>International MMS (to excluded countries)</w:t>
            </w:r>
          </w:p>
        </w:tc>
        <w:tc>
          <w:tcPr>
            <w:tcW w:w="4680" w:type="dxa"/>
            <w:shd w:val="clear" w:color="auto" w:fill="auto"/>
            <w:vAlign w:val="center"/>
          </w:tcPr>
          <w:p w14:paraId="5C984566" w14:textId="77777777" w:rsidR="000D07EA" w:rsidRDefault="00BE7C89">
            <w:pPr>
              <w:pStyle w:val="BodyText"/>
              <w:spacing w:before="100" w:after="100"/>
              <w:jc w:val="center"/>
            </w:pPr>
            <w:r>
              <w:t>75c per MMS</w:t>
            </w:r>
          </w:p>
        </w:tc>
      </w:tr>
      <w:tr w:rsidR="000D07EA" w14:paraId="51980E06" w14:textId="77777777">
        <w:tc>
          <w:tcPr>
            <w:tcW w:w="4428" w:type="dxa"/>
            <w:shd w:val="clear" w:color="auto" w:fill="auto"/>
          </w:tcPr>
          <w:p w14:paraId="3DFDA6D1" w14:textId="77777777" w:rsidR="000D07EA" w:rsidRDefault="00BE7C89">
            <w:pPr>
              <w:pStyle w:val="BodyText"/>
              <w:spacing w:before="100" w:after="100"/>
              <w:rPr>
                <w:b/>
                <w:bCs/>
              </w:rPr>
            </w:pPr>
            <w:r>
              <w:rPr>
                <w:b/>
                <w:bCs/>
              </w:rPr>
              <w:t>International video calling</w:t>
            </w:r>
          </w:p>
        </w:tc>
        <w:tc>
          <w:tcPr>
            <w:tcW w:w="4680" w:type="dxa"/>
            <w:shd w:val="clear" w:color="auto" w:fill="auto"/>
            <w:vAlign w:val="center"/>
          </w:tcPr>
          <w:p w14:paraId="46F5750B" w14:textId="77777777" w:rsidR="000D07EA" w:rsidRDefault="00BE7C89">
            <w:pPr>
              <w:pStyle w:val="BodyText"/>
              <w:spacing w:before="100" w:after="100"/>
              <w:jc w:val="center"/>
            </w:pPr>
            <w:r>
              <w:t>$1.50 per minute +35c flagfall</w:t>
            </w:r>
          </w:p>
        </w:tc>
      </w:tr>
      <w:tr w:rsidR="000D07EA" w14:paraId="2BA59378" w14:textId="77777777">
        <w:tc>
          <w:tcPr>
            <w:tcW w:w="4428" w:type="dxa"/>
            <w:shd w:val="clear" w:color="auto" w:fill="auto"/>
          </w:tcPr>
          <w:p w14:paraId="515ECCA7" w14:textId="77777777" w:rsidR="000D07EA" w:rsidRDefault="00BE7C89">
            <w:pPr>
              <w:pStyle w:val="BodyText"/>
              <w:spacing w:before="100" w:after="100"/>
              <w:rPr>
                <w:b/>
                <w:bCs/>
              </w:rPr>
            </w:pPr>
            <w:r>
              <w:rPr>
                <w:b/>
                <w:bCs/>
              </w:rPr>
              <w:lastRenderedPageBreak/>
              <w:t>International roaming</w:t>
            </w:r>
          </w:p>
        </w:tc>
        <w:tc>
          <w:tcPr>
            <w:tcW w:w="4680" w:type="dxa"/>
            <w:shd w:val="clear" w:color="auto" w:fill="auto"/>
            <w:vAlign w:val="center"/>
          </w:tcPr>
          <w:p w14:paraId="3CDDFFA8" w14:textId="77777777" w:rsidR="000D07EA" w:rsidRDefault="00BE7C89">
            <w:pPr>
              <w:pStyle w:val="BodyText"/>
              <w:spacing w:before="100" w:after="100"/>
              <w:jc w:val="center"/>
            </w:pPr>
            <w:r>
              <w:t>See optus.com.au/roaming</w:t>
            </w:r>
          </w:p>
        </w:tc>
      </w:tr>
    </w:tbl>
    <w:p w14:paraId="0A17285B" w14:textId="77777777" w:rsidR="000D07EA" w:rsidRDefault="000D07EA">
      <w:pPr>
        <w:pStyle w:val="BodyText"/>
      </w:pPr>
    </w:p>
    <w:p w14:paraId="3573E2A8" w14:textId="77777777" w:rsidR="000D07EA" w:rsidRDefault="00BE7C89">
      <w:pPr>
        <w:pStyle w:val="BodyText"/>
        <w:ind w:left="720"/>
        <w:rPr>
          <w:b/>
        </w:rPr>
      </w:pPr>
      <w:r>
        <w:rPr>
          <w:b/>
        </w:rPr>
        <w:t>Table 3 – International Countries</w:t>
      </w:r>
    </w:p>
    <w:tbl>
      <w:tblPr>
        <w:tblW w:w="910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7"/>
        <w:gridCol w:w="2277"/>
        <w:gridCol w:w="2277"/>
        <w:gridCol w:w="2277"/>
      </w:tblGrid>
      <w:tr w:rsidR="000D07EA" w14:paraId="0923F5D8" w14:textId="77777777">
        <w:tc>
          <w:tcPr>
            <w:tcW w:w="2277" w:type="dxa"/>
            <w:shd w:val="clear" w:color="auto" w:fill="auto"/>
          </w:tcPr>
          <w:p w14:paraId="39CB1854" w14:textId="77777777" w:rsidR="000D07EA" w:rsidRDefault="00BE7C89">
            <w:pPr>
              <w:pStyle w:val="BodyText"/>
              <w:spacing w:before="100" w:after="100"/>
              <w:rPr>
                <w:b/>
              </w:rPr>
            </w:pPr>
            <w:r>
              <w:t>Austria</w:t>
            </w:r>
          </w:p>
        </w:tc>
        <w:tc>
          <w:tcPr>
            <w:tcW w:w="2277" w:type="dxa"/>
            <w:shd w:val="clear" w:color="auto" w:fill="auto"/>
          </w:tcPr>
          <w:p w14:paraId="3F712B6D" w14:textId="77777777" w:rsidR="000D07EA" w:rsidRDefault="00BE7C89">
            <w:pPr>
              <w:pStyle w:val="BodyText"/>
              <w:spacing w:before="100" w:after="100"/>
              <w:rPr>
                <w:b/>
              </w:rPr>
            </w:pPr>
            <w:r>
              <w:t>Bangladesh</w:t>
            </w:r>
          </w:p>
        </w:tc>
        <w:tc>
          <w:tcPr>
            <w:tcW w:w="2277" w:type="dxa"/>
            <w:shd w:val="clear" w:color="auto" w:fill="auto"/>
          </w:tcPr>
          <w:p w14:paraId="739BD76D" w14:textId="77777777" w:rsidR="000D07EA" w:rsidRDefault="00BE7C89">
            <w:pPr>
              <w:pStyle w:val="BodyText"/>
              <w:spacing w:before="100" w:after="100"/>
              <w:rPr>
                <w:b/>
              </w:rPr>
            </w:pPr>
            <w:r>
              <w:t>Cambodia</w:t>
            </w:r>
          </w:p>
        </w:tc>
        <w:tc>
          <w:tcPr>
            <w:tcW w:w="2277" w:type="dxa"/>
            <w:shd w:val="clear" w:color="auto" w:fill="auto"/>
          </w:tcPr>
          <w:p w14:paraId="3CA460D7" w14:textId="77777777" w:rsidR="000D07EA" w:rsidRDefault="00BE7C89">
            <w:pPr>
              <w:pStyle w:val="BodyText"/>
              <w:spacing w:before="100" w:after="100"/>
              <w:rPr>
                <w:b/>
              </w:rPr>
            </w:pPr>
            <w:r>
              <w:t>Canada</w:t>
            </w:r>
          </w:p>
        </w:tc>
      </w:tr>
      <w:tr w:rsidR="000D07EA" w14:paraId="5292412E" w14:textId="77777777">
        <w:tc>
          <w:tcPr>
            <w:tcW w:w="2277" w:type="dxa"/>
            <w:shd w:val="clear" w:color="auto" w:fill="auto"/>
          </w:tcPr>
          <w:p w14:paraId="439B1BDC" w14:textId="77777777" w:rsidR="000D07EA" w:rsidRDefault="00BE7C89">
            <w:pPr>
              <w:pStyle w:val="BodyText"/>
              <w:spacing w:before="100" w:after="100"/>
              <w:rPr>
                <w:b/>
              </w:rPr>
            </w:pPr>
            <w:r>
              <w:t xml:space="preserve">Chile </w:t>
            </w:r>
          </w:p>
        </w:tc>
        <w:tc>
          <w:tcPr>
            <w:tcW w:w="2277" w:type="dxa"/>
            <w:shd w:val="clear" w:color="auto" w:fill="auto"/>
          </w:tcPr>
          <w:p w14:paraId="3088B033" w14:textId="77777777" w:rsidR="000D07EA" w:rsidRDefault="00BE7C89">
            <w:pPr>
              <w:pStyle w:val="BodyText"/>
              <w:spacing w:before="100" w:after="100"/>
              <w:rPr>
                <w:b/>
              </w:rPr>
            </w:pPr>
            <w:r>
              <w:t xml:space="preserve">China </w:t>
            </w:r>
          </w:p>
        </w:tc>
        <w:tc>
          <w:tcPr>
            <w:tcW w:w="2277" w:type="dxa"/>
            <w:shd w:val="clear" w:color="auto" w:fill="auto"/>
          </w:tcPr>
          <w:p w14:paraId="06DC4FE0" w14:textId="77777777" w:rsidR="000D07EA" w:rsidRDefault="00BE7C89">
            <w:pPr>
              <w:pStyle w:val="BodyText"/>
              <w:spacing w:before="100" w:after="100"/>
              <w:rPr>
                <w:b/>
              </w:rPr>
            </w:pPr>
            <w:r>
              <w:t xml:space="preserve">Croatia </w:t>
            </w:r>
          </w:p>
        </w:tc>
        <w:tc>
          <w:tcPr>
            <w:tcW w:w="2277" w:type="dxa"/>
            <w:shd w:val="clear" w:color="auto" w:fill="auto"/>
          </w:tcPr>
          <w:p w14:paraId="4CF0F275" w14:textId="77777777" w:rsidR="000D07EA" w:rsidRDefault="00BE7C89">
            <w:pPr>
              <w:pStyle w:val="BodyText"/>
              <w:spacing w:before="100" w:after="100"/>
              <w:rPr>
                <w:b/>
              </w:rPr>
            </w:pPr>
            <w:r>
              <w:t>France</w:t>
            </w:r>
          </w:p>
        </w:tc>
      </w:tr>
      <w:tr w:rsidR="000D07EA" w14:paraId="5728516A" w14:textId="77777777">
        <w:tc>
          <w:tcPr>
            <w:tcW w:w="2277" w:type="dxa"/>
            <w:shd w:val="clear" w:color="auto" w:fill="auto"/>
          </w:tcPr>
          <w:p w14:paraId="4FDB50E9" w14:textId="77777777" w:rsidR="000D07EA" w:rsidRDefault="00BE7C89">
            <w:pPr>
              <w:pStyle w:val="BodyText"/>
              <w:spacing w:before="100" w:after="100"/>
              <w:rPr>
                <w:b/>
              </w:rPr>
            </w:pPr>
            <w:r>
              <w:t>Germany</w:t>
            </w:r>
          </w:p>
        </w:tc>
        <w:tc>
          <w:tcPr>
            <w:tcW w:w="2277" w:type="dxa"/>
            <w:shd w:val="clear" w:color="auto" w:fill="auto"/>
          </w:tcPr>
          <w:p w14:paraId="2BBBD443" w14:textId="77777777" w:rsidR="000D07EA" w:rsidRDefault="00BE7C89">
            <w:pPr>
              <w:pStyle w:val="BodyText"/>
              <w:spacing w:before="100" w:after="100"/>
              <w:rPr>
                <w:b/>
              </w:rPr>
            </w:pPr>
            <w:r>
              <w:t>Greece</w:t>
            </w:r>
          </w:p>
        </w:tc>
        <w:tc>
          <w:tcPr>
            <w:tcW w:w="2277" w:type="dxa"/>
            <w:shd w:val="clear" w:color="auto" w:fill="auto"/>
          </w:tcPr>
          <w:p w14:paraId="5FCACB1B" w14:textId="77777777" w:rsidR="000D07EA" w:rsidRDefault="00BE7C89">
            <w:pPr>
              <w:pStyle w:val="BodyText"/>
              <w:spacing w:before="100" w:after="100"/>
              <w:rPr>
                <w:b/>
              </w:rPr>
            </w:pPr>
            <w:r>
              <w:t>Hong Kong,</w:t>
            </w:r>
          </w:p>
        </w:tc>
        <w:tc>
          <w:tcPr>
            <w:tcW w:w="2277" w:type="dxa"/>
            <w:shd w:val="clear" w:color="auto" w:fill="auto"/>
          </w:tcPr>
          <w:p w14:paraId="01DEB091" w14:textId="77777777" w:rsidR="000D07EA" w:rsidRDefault="00BE7C89">
            <w:pPr>
              <w:pStyle w:val="BodyText"/>
              <w:spacing w:before="100" w:after="100"/>
              <w:rPr>
                <w:b/>
              </w:rPr>
            </w:pPr>
            <w:r>
              <w:t>Hungary</w:t>
            </w:r>
          </w:p>
        </w:tc>
      </w:tr>
      <w:tr w:rsidR="000D07EA" w14:paraId="78FD8343" w14:textId="77777777">
        <w:tc>
          <w:tcPr>
            <w:tcW w:w="2277" w:type="dxa"/>
            <w:shd w:val="clear" w:color="auto" w:fill="auto"/>
          </w:tcPr>
          <w:p w14:paraId="40C825D4" w14:textId="77777777" w:rsidR="000D07EA" w:rsidRDefault="00BE7C89">
            <w:pPr>
              <w:pStyle w:val="BodyText"/>
              <w:spacing w:before="100" w:after="100"/>
              <w:rPr>
                <w:b/>
              </w:rPr>
            </w:pPr>
            <w:r>
              <w:t>Indonesia</w:t>
            </w:r>
          </w:p>
        </w:tc>
        <w:tc>
          <w:tcPr>
            <w:tcW w:w="2277" w:type="dxa"/>
            <w:shd w:val="clear" w:color="auto" w:fill="auto"/>
          </w:tcPr>
          <w:p w14:paraId="59600A15" w14:textId="77777777" w:rsidR="000D07EA" w:rsidRDefault="00BE7C89">
            <w:pPr>
              <w:pStyle w:val="BodyText"/>
              <w:spacing w:before="100" w:after="100"/>
              <w:rPr>
                <w:b/>
              </w:rPr>
            </w:pPr>
            <w:r>
              <w:t>India</w:t>
            </w:r>
          </w:p>
        </w:tc>
        <w:tc>
          <w:tcPr>
            <w:tcW w:w="2277" w:type="dxa"/>
            <w:shd w:val="clear" w:color="auto" w:fill="auto"/>
          </w:tcPr>
          <w:p w14:paraId="546FC030" w14:textId="77777777" w:rsidR="000D07EA" w:rsidRDefault="00BE7C89">
            <w:pPr>
              <w:pStyle w:val="BodyText"/>
              <w:spacing w:before="100" w:after="100"/>
              <w:rPr>
                <w:b/>
              </w:rPr>
            </w:pPr>
            <w:r>
              <w:t>Ireland</w:t>
            </w:r>
          </w:p>
        </w:tc>
        <w:tc>
          <w:tcPr>
            <w:tcW w:w="2277" w:type="dxa"/>
            <w:shd w:val="clear" w:color="auto" w:fill="auto"/>
          </w:tcPr>
          <w:p w14:paraId="5E2CD53E" w14:textId="77777777" w:rsidR="000D07EA" w:rsidRDefault="00BE7C89">
            <w:pPr>
              <w:pStyle w:val="BodyText"/>
              <w:spacing w:before="100" w:after="100"/>
              <w:rPr>
                <w:b/>
              </w:rPr>
            </w:pPr>
            <w:r>
              <w:t>Italy</w:t>
            </w:r>
          </w:p>
        </w:tc>
      </w:tr>
      <w:tr w:rsidR="000D07EA" w14:paraId="6BA00720" w14:textId="77777777">
        <w:tc>
          <w:tcPr>
            <w:tcW w:w="2277" w:type="dxa"/>
            <w:shd w:val="clear" w:color="auto" w:fill="auto"/>
          </w:tcPr>
          <w:p w14:paraId="30A19614" w14:textId="77777777" w:rsidR="000D07EA" w:rsidRDefault="00BE7C89">
            <w:pPr>
              <w:pStyle w:val="BodyText"/>
              <w:spacing w:before="100" w:after="100"/>
              <w:rPr>
                <w:b/>
              </w:rPr>
            </w:pPr>
            <w:r>
              <w:t xml:space="preserve">Japan </w:t>
            </w:r>
          </w:p>
        </w:tc>
        <w:tc>
          <w:tcPr>
            <w:tcW w:w="2277" w:type="dxa"/>
            <w:shd w:val="clear" w:color="auto" w:fill="auto"/>
          </w:tcPr>
          <w:p w14:paraId="4207571B" w14:textId="77777777" w:rsidR="000D07EA" w:rsidRDefault="00BE7C89">
            <w:pPr>
              <w:pStyle w:val="BodyText"/>
              <w:spacing w:before="100" w:after="100"/>
              <w:rPr>
                <w:b/>
              </w:rPr>
            </w:pPr>
            <w:r>
              <w:t>Malaysia,</w:t>
            </w:r>
          </w:p>
        </w:tc>
        <w:tc>
          <w:tcPr>
            <w:tcW w:w="2277" w:type="dxa"/>
            <w:shd w:val="clear" w:color="auto" w:fill="auto"/>
          </w:tcPr>
          <w:p w14:paraId="2EA5787B" w14:textId="77777777" w:rsidR="000D07EA" w:rsidRDefault="00BE7C89">
            <w:pPr>
              <w:pStyle w:val="BodyText"/>
              <w:spacing w:before="100" w:after="100"/>
              <w:rPr>
                <w:b/>
              </w:rPr>
            </w:pPr>
            <w:r>
              <w:t>Netherlands</w:t>
            </w:r>
          </w:p>
        </w:tc>
        <w:tc>
          <w:tcPr>
            <w:tcW w:w="2277" w:type="dxa"/>
            <w:shd w:val="clear" w:color="auto" w:fill="auto"/>
          </w:tcPr>
          <w:p w14:paraId="1D0BE013" w14:textId="77777777" w:rsidR="000D07EA" w:rsidRDefault="00BE7C89">
            <w:pPr>
              <w:pStyle w:val="BodyText"/>
              <w:spacing w:before="100" w:after="100"/>
              <w:rPr>
                <w:b/>
              </w:rPr>
            </w:pPr>
            <w:r>
              <w:t>New Zealand</w:t>
            </w:r>
          </w:p>
        </w:tc>
      </w:tr>
      <w:tr w:rsidR="000D07EA" w14:paraId="251FEE5F" w14:textId="77777777">
        <w:tc>
          <w:tcPr>
            <w:tcW w:w="2277" w:type="dxa"/>
            <w:shd w:val="clear" w:color="auto" w:fill="auto"/>
          </w:tcPr>
          <w:p w14:paraId="753E48BD" w14:textId="77777777" w:rsidR="000D07EA" w:rsidRDefault="00BE7C89">
            <w:pPr>
              <w:pStyle w:val="BodyText"/>
              <w:spacing w:before="100" w:after="100"/>
              <w:rPr>
                <w:b/>
              </w:rPr>
            </w:pPr>
            <w:r>
              <w:t xml:space="preserve">Pakistan </w:t>
            </w:r>
          </w:p>
        </w:tc>
        <w:tc>
          <w:tcPr>
            <w:tcW w:w="2277" w:type="dxa"/>
            <w:shd w:val="clear" w:color="auto" w:fill="auto"/>
          </w:tcPr>
          <w:p w14:paraId="71796D13" w14:textId="77777777" w:rsidR="000D07EA" w:rsidRDefault="00BE7C89">
            <w:pPr>
              <w:pStyle w:val="BodyText"/>
              <w:spacing w:before="100" w:after="100"/>
              <w:rPr>
                <w:b/>
              </w:rPr>
            </w:pPr>
            <w:r>
              <w:t>Philippines</w:t>
            </w:r>
          </w:p>
        </w:tc>
        <w:tc>
          <w:tcPr>
            <w:tcW w:w="2277" w:type="dxa"/>
            <w:shd w:val="clear" w:color="auto" w:fill="auto"/>
          </w:tcPr>
          <w:p w14:paraId="5A5A59D4" w14:textId="77777777" w:rsidR="000D07EA" w:rsidRDefault="00BE7C89">
            <w:pPr>
              <w:pStyle w:val="BodyText"/>
              <w:spacing w:before="100" w:after="100"/>
              <w:rPr>
                <w:b/>
              </w:rPr>
            </w:pPr>
            <w:r>
              <w:t xml:space="preserve">Poland </w:t>
            </w:r>
          </w:p>
        </w:tc>
        <w:tc>
          <w:tcPr>
            <w:tcW w:w="2277" w:type="dxa"/>
            <w:shd w:val="clear" w:color="auto" w:fill="auto"/>
          </w:tcPr>
          <w:p w14:paraId="5734F175" w14:textId="77777777" w:rsidR="000D07EA" w:rsidRDefault="00BE7C89">
            <w:pPr>
              <w:pStyle w:val="BodyText"/>
              <w:spacing w:before="100" w:after="100"/>
              <w:rPr>
                <w:b/>
              </w:rPr>
            </w:pPr>
            <w:r>
              <w:t>Singapore</w:t>
            </w:r>
          </w:p>
        </w:tc>
      </w:tr>
      <w:tr w:rsidR="000D07EA" w14:paraId="084FC3B2" w14:textId="77777777">
        <w:tc>
          <w:tcPr>
            <w:tcW w:w="2277" w:type="dxa"/>
            <w:shd w:val="clear" w:color="auto" w:fill="auto"/>
          </w:tcPr>
          <w:p w14:paraId="55087652" w14:textId="77777777" w:rsidR="000D07EA" w:rsidRDefault="00BE7C89">
            <w:pPr>
              <w:pStyle w:val="BodyText"/>
              <w:spacing w:before="100" w:after="100"/>
              <w:rPr>
                <w:b/>
              </w:rPr>
            </w:pPr>
            <w:r>
              <w:t xml:space="preserve">South Africa </w:t>
            </w:r>
          </w:p>
        </w:tc>
        <w:tc>
          <w:tcPr>
            <w:tcW w:w="2277" w:type="dxa"/>
            <w:shd w:val="clear" w:color="auto" w:fill="auto"/>
          </w:tcPr>
          <w:p w14:paraId="40B01064" w14:textId="77777777" w:rsidR="000D07EA" w:rsidRDefault="00BE7C89">
            <w:pPr>
              <w:pStyle w:val="BodyText"/>
              <w:spacing w:before="100" w:after="100"/>
              <w:rPr>
                <w:b/>
              </w:rPr>
            </w:pPr>
            <w:r>
              <w:t>South Korea</w:t>
            </w:r>
          </w:p>
        </w:tc>
        <w:tc>
          <w:tcPr>
            <w:tcW w:w="2277" w:type="dxa"/>
            <w:shd w:val="clear" w:color="auto" w:fill="auto"/>
          </w:tcPr>
          <w:p w14:paraId="3D7195AF" w14:textId="77777777" w:rsidR="000D07EA" w:rsidRDefault="00BE7C89">
            <w:pPr>
              <w:pStyle w:val="BodyText"/>
              <w:spacing w:before="100" w:after="100"/>
              <w:rPr>
                <w:b/>
              </w:rPr>
            </w:pPr>
            <w:r>
              <w:t xml:space="preserve">Taiwan </w:t>
            </w:r>
          </w:p>
        </w:tc>
        <w:tc>
          <w:tcPr>
            <w:tcW w:w="2277" w:type="dxa"/>
            <w:shd w:val="clear" w:color="auto" w:fill="auto"/>
          </w:tcPr>
          <w:p w14:paraId="49882DBF" w14:textId="77777777" w:rsidR="000D07EA" w:rsidRDefault="00BE7C89">
            <w:pPr>
              <w:pStyle w:val="BodyText"/>
              <w:spacing w:before="100" w:after="100"/>
              <w:rPr>
                <w:b/>
              </w:rPr>
            </w:pPr>
            <w:r>
              <w:t>Thailand</w:t>
            </w:r>
          </w:p>
        </w:tc>
      </w:tr>
      <w:tr w:rsidR="000D07EA" w14:paraId="5BD7E2BD" w14:textId="77777777">
        <w:tc>
          <w:tcPr>
            <w:tcW w:w="2277" w:type="dxa"/>
            <w:shd w:val="clear" w:color="auto" w:fill="auto"/>
          </w:tcPr>
          <w:p w14:paraId="771325D4" w14:textId="77777777" w:rsidR="000D07EA" w:rsidRDefault="00BE7C89">
            <w:pPr>
              <w:pStyle w:val="BodyText"/>
              <w:spacing w:before="100" w:after="100"/>
              <w:rPr>
                <w:b/>
              </w:rPr>
            </w:pPr>
            <w:r>
              <w:t>Turkey</w:t>
            </w:r>
          </w:p>
        </w:tc>
        <w:tc>
          <w:tcPr>
            <w:tcW w:w="2277" w:type="dxa"/>
            <w:shd w:val="clear" w:color="auto" w:fill="auto"/>
          </w:tcPr>
          <w:p w14:paraId="349F2FA0" w14:textId="77777777" w:rsidR="000D07EA" w:rsidRDefault="00BE7C89">
            <w:pPr>
              <w:pStyle w:val="BodyText"/>
              <w:spacing w:before="100" w:after="100"/>
              <w:rPr>
                <w:b/>
              </w:rPr>
            </w:pPr>
            <w:r>
              <w:t>United Kingdom</w:t>
            </w:r>
          </w:p>
        </w:tc>
        <w:tc>
          <w:tcPr>
            <w:tcW w:w="2277" w:type="dxa"/>
            <w:shd w:val="clear" w:color="auto" w:fill="auto"/>
          </w:tcPr>
          <w:p w14:paraId="59F2DF78" w14:textId="77777777" w:rsidR="000D07EA" w:rsidRDefault="00BE7C89">
            <w:pPr>
              <w:pStyle w:val="BodyText"/>
              <w:spacing w:before="100" w:after="100"/>
              <w:rPr>
                <w:b/>
              </w:rPr>
            </w:pPr>
            <w:r>
              <w:t xml:space="preserve">USA </w:t>
            </w:r>
          </w:p>
        </w:tc>
        <w:tc>
          <w:tcPr>
            <w:tcW w:w="2277" w:type="dxa"/>
            <w:shd w:val="clear" w:color="auto" w:fill="auto"/>
          </w:tcPr>
          <w:p w14:paraId="5573F055" w14:textId="77777777" w:rsidR="000D07EA" w:rsidRDefault="00BE7C89">
            <w:pPr>
              <w:pStyle w:val="BodyText"/>
              <w:spacing w:before="100" w:after="100"/>
              <w:rPr>
                <w:b/>
              </w:rPr>
            </w:pPr>
            <w:r>
              <w:t>Vietnam</w:t>
            </w:r>
          </w:p>
        </w:tc>
      </w:tr>
    </w:tbl>
    <w:p w14:paraId="04226227" w14:textId="77777777" w:rsidR="000D07EA" w:rsidRDefault="000D07EA">
      <w:pPr>
        <w:pStyle w:val="BodyText"/>
      </w:pPr>
    </w:p>
    <w:p w14:paraId="361C1E74" w14:textId="77777777" w:rsidR="000D07EA" w:rsidRDefault="00BE7C89">
      <w:pPr>
        <w:pStyle w:val="Heading6"/>
        <w:ind w:left="0" w:firstLine="0"/>
      </w:pPr>
      <w:bookmarkStart w:id="1189" w:name="_Toc426964163"/>
      <w:bookmarkStart w:id="1190" w:name="_Toc438713821"/>
      <w:r>
        <w:t>My Account</w:t>
      </w:r>
      <w:bookmarkEnd w:id="1189"/>
      <w:bookmarkEnd w:id="1190"/>
    </w:p>
    <w:p w14:paraId="6FC90907" w14:textId="77777777" w:rsidR="000D07EA" w:rsidRDefault="00BE7C89">
      <w:pPr>
        <w:pStyle w:val="BodyText"/>
        <w:ind w:left="72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service has used. If </w:t>
      </w:r>
      <w:r>
        <w:rPr>
          <w:i/>
        </w:rPr>
        <w:t>you</w:t>
      </w:r>
      <w:r>
        <w:t xml:space="preserve"> have more than 6 services on </w:t>
      </w:r>
      <w:r>
        <w:rPr>
          <w:i/>
        </w:rPr>
        <w:t>your</w:t>
      </w:r>
      <w:r>
        <w:t xml:space="preserve"> account, My Account may not be suitable for viewing usage and managing </w:t>
      </w:r>
      <w:r>
        <w:rPr>
          <w:i/>
        </w:rPr>
        <w:t xml:space="preserve">your </w:t>
      </w:r>
      <w:r>
        <w:t>usage alerts.</w:t>
      </w:r>
    </w:p>
    <w:p w14:paraId="0E6C36ED" w14:textId="77777777" w:rsidR="000D07EA" w:rsidRDefault="00BE7C89">
      <w:pPr>
        <w:pStyle w:val="Heading6"/>
        <w:ind w:left="0" w:firstLine="0"/>
      </w:pPr>
      <w:bookmarkStart w:id="1191" w:name="_Toc426964164"/>
      <w:bookmarkStart w:id="1192" w:name="_Toc438713822"/>
      <w:bookmarkStart w:id="1193" w:name="_Ref461555873"/>
      <w:r>
        <w:t xml:space="preserve">What happens if the </w:t>
      </w:r>
      <w:r>
        <w:rPr>
          <w:i/>
        </w:rPr>
        <w:t xml:space="preserve">service </w:t>
      </w:r>
      <w:r>
        <w:t>is</w:t>
      </w:r>
      <w:r>
        <w:rPr>
          <w:i/>
        </w:rPr>
        <w:t xml:space="preserve"> cancelled </w:t>
      </w:r>
      <w:r>
        <w:t>early?</w:t>
      </w:r>
      <w:bookmarkEnd w:id="1191"/>
      <w:bookmarkEnd w:id="1192"/>
      <w:bookmarkEnd w:id="1193"/>
      <w:r>
        <w:t xml:space="preserve"> </w:t>
      </w:r>
    </w:p>
    <w:p w14:paraId="6883CC6E" w14:textId="77777777" w:rsidR="000D07EA" w:rsidRDefault="00BE7C89">
      <w:pPr>
        <w:pStyle w:val="Heading7"/>
      </w:pPr>
      <w:r>
        <w:t>If the</w:t>
      </w:r>
      <w:r>
        <w:rPr>
          <w:i/>
        </w:rPr>
        <w:t xml:space="preserve"> service</w:t>
      </w:r>
      <w:r>
        <w:t xml:space="preserve"> is</w:t>
      </w:r>
      <w:r>
        <w:rPr>
          <w:i/>
        </w:rPr>
        <w:t xml:space="preserve"> cancelled </w:t>
      </w:r>
      <w:r>
        <w:t xml:space="preserve">before the end of </w:t>
      </w:r>
      <w:r>
        <w:rPr>
          <w:i/>
        </w:rPr>
        <w:t xml:space="preserve">your minimum term, you </w:t>
      </w:r>
      <w:r>
        <w:t xml:space="preserve">will be required to pay </w:t>
      </w:r>
      <w:r>
        <w:rPr>
          <w:i/>
        </w:rPr>
        <w:t>us</w:t>
      </w:r>
      <w:r>
        <w:t>:</w:t>
      </w:r>
    </w:p>
    <w:p w14:paraId="234689DB" w14:textId="77777777" w:rsidR="000D07EA" w:rsidRDefault="00BE7C89">
      <w:pPr>
        <w:pStyle w:val="Heading8"/>
      </w:pPr>
      <w:r>
        <w:t xml:space="preserve">any usage charges incurred up to, and including, the </w:t>
      </w:r>
      <w:r>
        <w:rPr>
          <w:i/>
        </w:rPr>
        <w:t xml:space="preserve">cancellation date; </w:t>
      </w:r>
      <w:r>
        <w:t>plus</w:t>
      </w:r>
    </w:p>
    <w:p w14:paraId="64234DA1" w14:textId="77777777" w:rsidR="000D07EA" w:rsidRDefault="00BE7C89">
      <w:pPr>
        <w:pStyle w:val="Heading8"/>
      </w:pPr>
      <w:r>
        <w:t xml:space="preserve">the </w:t>
      </w:r>
      <w:r>
        <w:rPr>
          <w:i/>
        </w:rPr>
        <w:t>cancellation fees</w:t>
      </w:r>
      <w:r>
        <w:t xml:space="preserve"> set out in paragraph </w:t>
      </w:r>
      <w:r>
        <w:fldChar w:fldCharType="begin"/>
      </w:r>
      <w:r>
        <w:instrText xml:space="preserve"> REF _Ref461555886 \n \h </w:instrText>
      </w:r>
      <w:r>
        <w:fldChar w:fldCharType="separate"/>
      </w:r>
      <w:r w:rsidR="0004083A">
        <w:t>(b)</w:t>
      </w:r>
      <w:r>
        <w:fldChar w:fldCharType="end"/>
      </w:r>
      <w:r>
        <w:t xml:space="preserve"> below (unless under clause 2A of the </w:t>
      </w:r>
      <w:r>
        <w:rPr>
          <w:i/>
        </w:rPr>
        <w:t>consumer terms</w:t>
      </w:r>
      <w:r>
        <w:t xml:space="preserve">, </w:t>
      </w:r>
      <w:r>
        <w:rPr>
          <w:i/>
        </w:rPr>
        <w:t>you</w:t>
      </w:r>
      <w:r>
        <w:t xml:space="preserve"> are entitled to </w:t>
      </w:r>
      <w:r>
        <w:rPr>
          <w:i/>
        </w:rPr>
        <w:t>cancel the service</w:t>
      </w:r>
      <w:r>
        <w:t xml:space="preserve"> without incurring a </w:t>
      </w:r>
      <w:r>
        <w:rPr>
          <w:i/>
        </w:rPr>
        <w:t>cancellation fee</w:t>
      </w:r>
      <w:r>
        <w:t>); plus</w:t>
      </w:r>
    </w:p>
    <w:p w14:paraId="396606BC" w14:textId="77777777" w:rsidR="000D07EA" w:rsidRDefault="00BE7C89">
      <w:pPr>
        <w:pStyle w:val="Heading8"/>
      </w:pPr>
      <w:r>
        <w:t xml:space="preserve">the sum of unpaid </w:t>
      </w:r>
      <w:r>
        <w:rPr>
          <w:i/>
        </w:rPr>
        <w:t xml:space="preserve">equipment charges </w:t>
      </w:r>
      <w:r>
        <w:t xml:space="preserve">owing on </w:t>
      </w:r>
      <w:r>
        <w:rPr>
          <w:i/>
        </w:rPr>
        <w:t xml:space="preserve">your mobile phone </w:t>
      </w:r>
      <w:r>
        <w:t xml:space="preserve">under the </w:t>
      </w:r>
      <w:r>
        <w:rPr>
          <w:i/>
        </w:rPr>
        <w:t xml:space="preserve">mobile equipment payment plan </w:t>
      </w:r>
      <w:r>
        <w:t xml:space="preserve">(if any). </w:t>
      </w:r>
    </w:p>
    <w:p w14:paraId="1A1D2DB2" w14:textId="77777777" w:rsidR="000D07EA" w:rsidRDefault="00BE7C89">
      <w:pPr>
        <w:pStyle w:val="Heading7"/>
      </w:pPr>
      <w:bookmarkStart w:id="1194" w:name="_Ref461555886"/>
      <w:r>
        <w:t xml:space="preserve">The </w:t>
      </w:r>
      <w:r>
        <w:rPr>
          <w:i/>
        </w:rPr>
        <w:t>cancellation fee</w:t>
      </w:r>
      <w:r>
        <w:t xml:space="preserve"> is calculated as the following amounts, multiplied by the months remaining on </w:t>
      </w:r>
      <w:r>
        <w:rPr>
          <w:i/>
        </w:rPr>
        <w:t>your minimum term</w:t>
      </w:r>
      <w:r>
        <w:t>:</w:t>
      </w:r>
      <w:bookmarkEnd w:id="1194"/>
    </w:p>
    <w:tbl>
      <w:tblPr>
        <w:tblW w:w="96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019"/>
        <w:gridCol w:w="2543"/>
        <w:gridCol w:w="2543"/>
        <w:gridCol w:w="2543"/>
      </w:tblGrid>
      <w:tr w:rsidR="000D07EA" w14:paraId="6B67BD36" w14:textId="77777777">
        <w:trPr>
          <w:trHeight w:val="20"/>
        </w:trPr>
        <w:tc>
          <w:tcPr>
            <w:tcW w:w="2019" w:type="dxa"/>
            <w:shd w:val="clear" w:color="auto" w:fill="auto"/>
            <w:vAlign w:val="center"/>
          </w:tcPr>
          <w:p w14:paraId="6C6EBF82" w14:textId="77777777" w:rsidR="000D07EA" w:rsidRDefault="000D07EA">
            <w:pPr>
              <w:pStyle w:val="BodyText"/>
              <w:spacing w:before="100" w:after="100"/>
            </w:pPr>
          </w:p>
        </w:tc>
        <w:tc>
          <w:tcPr>
            <w:tcW w:w="2543" w:type="dxa"/>
            <w:vAlign w:val="center"/>
          </w:tcPr>
          <w:p w14:paraId="6FB5C0C1" w14:textId="77777777" w:rsidR="000D07EA" w:rsidRDefault="00BE7C89">
            <w:pPr>
              <w:pStyle w:val="BodyText"/>
              <w:spacing w:before="100" w:after="100"/>
              <w:jc w:val="center"/>
              <w:rPr>
                <w:b/>
              </w:rPr>
            </w:pPr>
            <w:r>
              <w:rPr>
                <w:b/>
              </w:rPr>
              <w:t>$40 My Plan Business 12M SIM</w:t>
            </w:r>
          </w:p>
        </w:tc>
        <w:tc>
          <w:tcPr>
            <w:tcW w:w="2543" w:type="dxa"/>
            <w:vAlign w:val="center"/>
          </w:tcPr>
          <w:p w14:paraId="2AB0A6EC" w14:textId="77777777" w:rsidR="000D07EA" w:rsidRDefault="00BE7C89">
            <w:pPr>
              <w:pStyle w:val="BodyText"/>
              <w:spacing w:before="100" w:after="100"/>
              <w:jc w:val="center"/>
              <w:rPr>
                <w:b/>
              </w:rPr>
            </w:pPr>
            <w:r>
              <w:rPr>
                <w:b/>
              </w:rPr>
              <w:t>$60 My Plan Business 12M SIM Plan ID 800315</w:t>
            </w:r>
          </w:p>
        </w:tc>
        <w:tc>
          <w:tcPr>
            <w:tcW w:w="2543" w:type="dxa"/>
            <w:vAlign w:val="center"/>
          </w:tcPr>
          <w:p w14:paraId="56007A7C" w14:textId="77777777" w:rsidR="000D07EA" w:rsidRDefault="00BE7C89">
            <w:pPr>
              <w:pStyle w:val="BodyText"/>
              <w:spacing w:before="100" w:after="100"/>
              <w:jc w:val="center"/>
              <w:rPr>
                <w:b/>
              </w:rPr>
            </w:pPr>
            <w:r>
              <w:rPr>
                <w:b/>
              </w:rPr>
              <w:t>$60 My Plan Business 12M SIM Plan ID 800358</w:t>
            </w:r>
          </w:p>
        </w:tc>
      </w:tr>
      <w:tr w:rsidR="000D07EA" w14:paraId="0901EA2C" w14:textId="77777777">
        <w:trPr>
          <w:trHeight w:val="1137"/>
        </w:trPr>
        <w:tc>
          <w:tcPr>
            <w:tcW w:w="2019" w:type="dxa"/>
            <w:shd w:val="clear" w:color="auto" w:fill="auto"/>
            <w:vAlign w:val="center"/>
          </w:tcPr>
          <w:p w14:paraId="05D2BC7A" w14:textId="77777777" w:rsidR="000D07EA" w:rsidRDefault="00BE7C89">
            <w:pPr>
              <w:pStyle w:val="BodyText"/>
              <w:spacing w:before="100" w:after="100"/>
              <w:rPr>
                <w:b/>
              </w:rPr>
            </w:pPr>
            <w:r>
              <w:rPr>
                <w:b/>
                <w:bCs/>
              </w:rPr>
              <w:t>Cancellation Fee</w:t>
            </w:r>
          </w:p>
        </w:tc>
        <w:tc>
          <w:tcPr>
            <w:tcW w:w="2543" w:type="dxa"/>
            <w:vAlign w:val="center"/>
          </w:tcPr>
          <w:p w14:paraId="0095518A" w14:textId="77777777" w:rsidR="000D07EA" w:rsidRDefault="00BE7C89">
            <w:pPr>
              <w:pStyle w:val="BodyText"/>
              <w:spacing w:before="100" w:after="100"/>
              <w:jc w:val="center"/>
            </w:pPr>
            <w:r>
              <w:t>$24.17 x Months remaining</w:t>
            </w:r>
          </w:p>
        </w:tc>
        <w:tc>
          <w:tcPr>
            <w:tcW w:w="2543" w:type="dxa"/>
            <w:vAlign w:val="center"/>
          </w:tcPr>
          <w:p w14:paraId="7B65DDF7" w14:textId="77777777" w:rsidR="000D07EA" w:rsidRDefault="00BE7C89">
            <w:pPr>
              <w:pStyle w:val="BodyText"/>
              <w:spacing w:before="100" w:after="100"/>
            </w:pPr>
            <w:r>
              <w:t>(a) $36 x Months remaining; or</w:t>
            </w:r>
          </w:p>
          <w:p w14:paraId="0E014DD6" w14:textId="77777777" w:rsidR="000D07EA" w:rsidRDefault="00BE7C89">
            <w:pPr>
              <w:pStyle w:val="BodyText"/>
              <w:spacing w:before="100" w:after="100"/>
            </w:pPr>
            <w:r>
              <w:t>(b) $24.17 x Months remaining for services activated between 1 December 2015 to 4 January 2016 and new services activated online between 18 March 2016 to 31 March 2016.</w:t>
            </w:r>
          </w:p>
        </w:tc>
        <w:tc>
          <w:tcPr>
            <w:tcW w:w="2543" w:type="dxa"/>
            <w:vAlign w:val="center"/>
          </w:tcPr>
          <w:p w14:paraId="6313C88E" w14:textId="77777777" w:rsidR="000D07EA" w:rsidRDefault="00BE7C89">
            <w:pPr>
              <w:pStyle w:val="BodyText"/>
              <w:spacing w:before="100" w:after="100"/>
              <w:jc w:val="center"/>
            </w:pPr>
            <w:r>
              <w:t>$24.17 x Months remaining</w:t>
            </w:r>
          </w:p>
        </w:tc>
      </w:tr>
      <w:tr w:rsidR="000D07EA" w14:paraId="1CB54764" w14:textId="77777777">
        <w:trPr>
          <w:trHeight w:val="20"/>
        </w:trPr>
        <w:tc>
          <w:tcPr>
            <w:tcW w:w="2019" w:type="dxa"/>
            <w:shd w:val="clear" w:color="auto" w:fill="auto"/>
            <w:vAlign w:val="center"/>
          </w:tcPr>
          <w:p w14:paraId="298153C1" w14:textId="77777777" w:rsidR="000D07EA" w:rsidRDefault="00BE7C89">
            <w:pPr>
              <w:pStyle w:val="BodyText"/>
              <w:spacing w:before="100" w:after="100"/>
              <w:rPr>
                <w:b/>
                <w:bCs/>
              </w:rPr>
            </w:pPr>
            <w:r>
              <w:rPr>
                <w:b/>
                <w:bCs/>
              </w:rPr>
              <w:lastRenderedPageBreak/>
              <w:t>Maximum Cancellation Fee</w:t>
            </w:r>
          </w:p>
        </w:tc>
        <w:tc>
          <w:tcPr>
            <w:tcW w:w="2543" w:type="dxa"/>
            <w:vAlign w:val="center"/>
          </w:tcPr>
          <w:p w14:paraId="6176EEAD" w14:textId="77777777" w:rsidR="000D07EA" w:rsidRDefault="00BE7C89">
            <w:pPr>
              <w:pStyle w:val="BodyText"/>
              <w:spacing w:before="100" w:after="100"/>
              <w:jc w:val="center"/>
            </w:pPr>
            <w:r>
              <w:t>$290</w:t>
            </w:r>
          </w:p>
        </w:tc>
        <w:tc>
          <w:tcPr>
            <w:tcW w:w="2543" w:type="dxa"/>
            <w:vAlign w:val="center"/>
          </w:tcPr>
          <w:p w14:paraId="2AAF3B57" w14:textId="77777777" w:rsidR="000D07EA" w:rsidRDefault="00BE7C89">
            <w:pPr>
              <w:pStyle w:val="BodyText"/>
              <w:spacing w:before="100" w:after="100"/>
            </w:pPr>
            <w:r>
              <w:t>$432; or</w:t>
            </w:r>
          </w:p>
          <w:p w14:paraId="1F843FF1" w14:textId="77777777" w:rsidR="000D07EA" w:rsidRDefault="00BE7C89">
            <w:pPr>
              <w:pStyle w:val="BodyText"/>
              <w:spacing w:before="100" w:after="100"/>
            </w:pPr>
            <w:r>
              <w:t>(b) $290 for services activated between 1 December 2015 to 4 January 2016 and new services activated online between 18 March 2016 to 31 March 2016</w:t>
            </w:r>
          </w:p>
        </w:tc>
        <w:tc>
          <w:tcPr>
            <w:tcW w:w="2543" w:type="dxa"/>
            <w:vAlign w:val="center"/>
          </w:tcPr>
          <w:p w14:paraId="2F95B108" w14:textId="77777777" w:rsidR="000D07EA" w:rsidRDefault="00BE7C89">
            <w:pPr>
              <w:pStyle w:val="BodyText"/>
              <w:spacing w:before="100" w:after="100"/>
              <w:jc w:val="center"/>
            </w:pPr>
            <w:r>
              <w:t>$290</w:t>
            </w:r>
          </w:p>
        </w:tc>
      </w:tr>
    </w:tbl>
    <w:p w14:paraId="718085BE" w14:textId="77777777" w:rsidR="000D07EA" w:rsidRDefault="000D07EA">
      <w:pPr>
        <w:pStyle w:val="BodyText"/>
      </w:pPr>
    </w:p>
    <w:p w14:paraId="6A97AFA0" w14:textId="77777777" w:rsidR="000D07EA" w:rsidRDefault="00BE7C89">
      <w:pPr>
        <w:pStyle w:val="Heading7"/>
      </w:pPr>
      <w:r>
        <w:t xml:space="preserve">If </w:t>
      </w:r>
      <w:r>
        <w:rPr>
          <w:i/>
        </w:rPr>
        <w:t>your</w:t>
      </w:r>
      <w:r>
        <w:t xml:space="preserve"> My Plan Business 12M SIM is </w:t>
      </w:r>
      <w:r>
        <w:rPr>
          <w:i/>
        </w:rPr>
        <w:t>cancelled</w:t>
      </w:r>
      <w:r>
        <w:t xml:space="preserve">, </w:t>
      </w:r>
      <w:r>
        <w:rPr>
          <w:i/>
        </w:rPr>
        <w:t>your</w:t>
      </w:r>
      <w:r>
        <w:t xml:space="preserve"> Shared Data Plan(s) may also be </w:t>
      </w:r>
      <w:r>
        <w:rPr>
          <w:i/>
        </w:rPr>
        <w:t>cancelled</w:t>
      </w:r>
      <w:r>
        <w:t xml:space="preserve">. There are no </w:t>
      </w:r>
      <w:r>
        <w:rPr>
          <w:i/>
        </w:rPr>
        <w:t>cancellation fees</w:t>
      </w:r>
      <w:r>
        <w:t xml:space="preserve"> for the Shared Data Plan, however if </w:t>
      </w:r>
      <w:r>
        <w:rPr>
          <w:i/>
        </w:rPr>
        <w:t>you</w:t>
      </w:r>
      <w:r>
        <w:t xml:space="preserve"> purchased a </w:t>
      </w:r>
      <w:r>
        <w:rPr>
          <w:i/>
        </w:rPr>
        <w:t>device</w:t>
      </w:r>
      <w:r>
        <w:t xml:space="preserve"> </w:t>
      </w:r>
      <w:r>
        <w:rPr>
          <w:i/>
        </w:rPr>
        <w:t>you</w:t>
      </w:r>
      <w:r>
        <w:t xml:space="preserve"> need to pay the sum of any remaining </w:t>
      </w:r>
      <w:r>
        <w:rPr>
          <w:i/>
        </w:rPr>
        <w:t xml:space="preserve">equipment charges </w:t>
      </w:r>
      <w:r>
        <w:t xml:space="preserve">owing on </w:t>
      </w:r>
      <w:r>
        <w:rPr>
          <w:i/>
        </w:rPr>
        <w:t xml:space="preserve">your device </w:t>
      </w:r>
      <w:r>
        <w:t xml:space="preserve">under the </w:t>
      </w:r>
      <w:r>
        <w:rPr>
          <w:i/>
        </w:rPr>
        <w:t xml:space="preserve">mobile equipment payment plan </w:t>
      </w:r>
      <w:r>
        <w:t xml:space="preserve">(see </w:t>
      </w:r>
      <w:hyperlink r:id="rId628" w:history="1">
        <w:r>
          <w:rPr>
            <w:rStyle w:val="Hyperlink"/>
            <w:i/>
          </w:rPr>
          <w:t>Appendix D</w:t>
        </w:r>
      </w:hyperlink>
      <w:r>
        <w:t>).</w:t>
      </w:r>
    </w:p>
    <w:p w14:paraId="583972A7" w14:textId="77777777" w:rsidR="000D07EA" w:rsidRDefault="00BE7C89">
      <w:pPr>
        <w:pStyle w:val="Heading7"/>
      </w:pPr>
      <w:r>
        <w:t xml:space="preserve">If </w:t>
      </w:r>
      <w:r>
        <w:rPr>
          <w:i/>
        </w:rPr>
        <w:t xml:space="preserve">your </w:t>
      </w:r>
      <w:r>
        <w:t xml:space="preserve">Shared Data Plan is not </w:t>
      </w:r>
      <w:r>
        <w:rPr>
          <w:i/>
        </w:rPr>
        <w:t>cancelled</w:t>
      </w:r>
      <w:r>
        <w:t xml:space="preserve">, </w:t>
      </w:r>
      <w:r>
        <w:rPr>
          <w:i/>
        </w:rPr>
        <w:t>you</w:t>
      </w:r>
      <w:r>
        <w:t xml:space="preserve"> will be charged $10 per 1GB within Australia, up to 150GB (per account) in a billing month. </w:t>
      </w:r>
      <w:r>
        <w:rPr>
          <w:i/>
        </w:rPr>
        <w:t>Your</w:t>
      </w:r>
      <w:r>
        <w:t xml:space="preserve"> </w:t>
      </w:r>
      <w:r>
        <w:rPr>
          <w:i/>
        </w:rPr>
        <w:t>service/s</w:t>
      </w:r>
      <w:r>
        <w:t xml:space="preserve"> may then be restricted or </w:t>
      </w:r>
      <w:r>
        <w:rPr>
          <w:i/>
        </w:rPr>
        <w:t>we</w:t>
      </w:r>
      <w:r>
        <w:t xml:space="preserve"> may continue to charge </w:t>
      </w:r>
      <w:r>
        <w:rPr>
          <w:i/>
        </w:rPr>
        <w:t>you</w:t>
      </w:r>
      <w:r>
        <w:t xml:space="preserve"> at these rates.</w:t>
      </w:r>
    </w:p>
    <w:p w14:paraId="2EF04F3B" w14:textId="77777777" w:rsidR="000D07EA" w:rsidRDefault="00BE7C89">
      <w:pPr>
        <w:pStyle w:val="Heading4"/>
        <w:ind w:left="720" w:hanging="720"/>
      </w:pPr>
      <w:bookmarkStart w:id="1195" w:name="_Toc416246808"/>
      <w:bookmarkStart w:id="1196" w:name="_Toc441667888"/>
      <w:bookmarkStart w:id="1197" w:name="_Toc444781316"/>
      <w:bookmarkStart w:id="1198" w:name="_Toc455147643"/>
      <w:bookmarkStart w:id="1199" w:name="_Toc62644665"/>
      <w:r>
        <w:t xml:space="preserve">My Plan </w:t>
      </w:r>
      <w:bookmarkEnd w:id="1195"/>
      <w:r>
        <w:t>Business</w:t>
      </w:r>
      <w:bookmarkEnd w:id="1196"/>
      <w:r>
        <w:t xml:space="preserve"> (April 2015)</w:t>
      </w:r>
      <w:bookmarkEnd w:id="1197"/>
      <w:bookmarkEnd w:id="1198"/>
      <w:bookmarkEnd w:id="1199"/>
    </w:p>
    <w:p w14:paraId="541C46C0" w14:textId="77777777" w:rsidR="000D07EA" w:rsidRDefault="00BE7C89">
      <w:pPr>
        <w:pStyle w:val="BodyText"/>
        <w:ind w:left="720"/>
      </w:pPr>
      <w:r>
        <w:t xml:space="preserve">This section relates to the following plans. </w:t>
      </w:r>
      <w:r>
        <w:rPr>
          <w:i/>
        </w:rPr>
        <w:t>You</w:t>
      </w:r>
      <w:r>
        <w:t xml:space="preserve"> can find </w:t>
      </w:r>
      <w:r>
        <w:rPr>
          <w:i/>
        </w:rPr>
        <w:t>your</w:t>
      </w:r>
      <w:r>
        <w:t xml:space="preserve"> Plan ID on </w:t>
      </w:r>
      <w:r>
        <w:rPr>
          <w:i/>
        </w:rPr>
        <w:t>your</w:t>
      </w:r>
      <w:r>
        <w:t xml:space="preserve"> bill under the Mobile Number Summary section:</w:t>
      </w:r>
    </w:p>
    <w:tbl>
      <w:tblPr>
        <w:tblW w:w="920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796"/>
        <w:gridCol w:w="2796"/>
        <w:gridCol w:w="3613"/>
      </w:tblGrid>
      <w:tr w:rsidR="000D07EA" w14:paraId="400EDE76" w14:textId="77777777">
        <w:tc>
          <w:tcPr>
            <w:tcW w:w="2796" w:type="dxa"/>
            <w:shd w:val="clear" w:color="auto" w:fill="auto"/>
          </w:tcPr>
          <w:p w14:paraId="5BD3160E" w14:textId="77777777" w:rsidR="000D07EA" w:rsidRDefault="00BE7C89">
            <w:pPr>
              <w:pStyle w:val="BodyText"/>
              <w:spacing w:before="100" w:after="100"/>
              <w:jc w:val="center"/>
              <w:rPr>
                <w:b/>
              </w:rPr>
            </w:pPr>
            <w:r>
              <w:rPr>
                <w:b/>
              </w:rPr>
              <w:t>Plan</w:t>
            </w:r>
          </w:p>
        </w:tc>
        <w:tc>
          <w:tcPr>
            <w:tcW w:w="2796" w:type="dxa"/>
            <w:shd w:val="clear" w:color="auto" w:fill="auto"/>
          </w:tcPr>
          <w:p w14:paraId="4C01FCEA" w14:textId="77777777" w:rsidR="000D07EA" w:rsidRDefault="00BE7C89">
            <w:pPr>
              <w:pStyle w:val="BodyText"/>
              <w:spacing w:before="100" w:after="100"/>
              <w:jc w:val="center"/>
              <w:rPr>
                <w:b/>
              </w:rPr>
            </w:pPr>
            <w:r>
              <w:rPr>
                <w:b/>
              </w:rPr>
              <w:t>Plan ID</w:t>
            </w:r>
          </w:p>
        </w:tc>
        <w:tc>
          <w:tcPr>
            <w:tcW w:w="3613" w:type="dxa"/>
            <w:shd w:val="clear" w:color="auto" w:fill="auto"/>
          </w:tcPr>
          <w:p w14:paraId="03507115" w14:textId="77777777" w:rsidR="000D07EA" w:rsidRDefault="00BE7C89">
            <w:pPr>
              <w:pStyle w:val="BodyText"/>
              <w:spacing w:before="100" w:after="100"/>
              <w:jc w:val="center"/>
              <w:rPr>
                <w:b/>
              </w:rPr>
            </w:pPr>
            <w:r>
              <w:rPr>
                <w:b/>
              </w:rPr>
              <w:t>Available</w:t>
            </w:r>
          </w:p>
        </w:tc>
      </w:tr>
      <w:tr w:rsidR="000D07EA" w14:paraId="5E4E3489" w14:textId="77777777">
        <w:tc>
          <w:tcPr>
            <w:tcW w:w="2796" w:type="dxa"/>
            <w:shd w:val="clear" w:color="auto" w:fill="auto"/>
          </w:tcPr>
          <w:p w14:paraId="157938AD" w14:textId="77777777" w:rsidR="000D07EA" w:rsidRDefault="00BE7C89">
            <w:pPr>
              <w:pStyle w:val="BodyText"/>
              <w:spacing w:before="100" w:after="100"/>
              <w:jc w:val="center"/>
            </w:pPr>
            <w:r>
              <w:t>$40 My Plan Business</w:t>
            </w:r>
          </w:p>
        </w:tc>
        <w:tc>
          <w:tcPr>
            <w:tcW w:w="2796" w:type="dxa"/>
            <w:shd w:val="clear" w:color="auto" w:fill="auto"/>
            <w:vAlign w:val="center"/>
          </w:tcPr>
          <w:p w14:paraId="66800D3A" w14:textId="77777777" w:rsidR="000D07EA" w:rsidRDefault="00BE7C89">
            <w:pPr>
              <w:pStyle w:val="BodyText"/>
              <w:spacing w:before="100" w:after="100"/>
              <w:jc w:val="center"/>
            </w:pPr>
            <w:r>
              <w:t>800254</w:t>
            </w:r>
            <w:r w:rsidR="00140BF1">
              <w:t xml:space="preserve">, </w:t>
            </w:r>
            <w:r w:rsidR="00E57781">
              <w:t>8375724</w:t>
            </w:r>
          </w:p>
        </w:tc>
        <w:tc>
          <w:tcPr>
            <w:tcW w:w="3613" w:type="dxa"/>
            <w:shd w:val="clear" w:color="auto" w:fill="auto"/>
          </w:tcPr>
          <w:p w14:paraId="598855BE" w14:textId="77777777" w:rsidR="000D07EA" w:rsidRDefault="00BE7C89">
            <w:pPr>
              <w:pStyle w:val="BodyText"/>
              <w:spacing w:before="100" w:after="100"/>
              <w:jc w:val="center"/>
            </w:pPr>
            <w:r>
              <w:t>27 April 2015 – 10 March 2016</w:t>
            </w:r>
          </w:p>
        </w:tc>
      </w:tr>
      <w:tr w:rsidR="000D07EA" w14:paraId="72D7E32F" w14:textId="77777777">
        <w:tc>
          <w:tcPr>
            <w:tcW w:w="2796" w:type="dxa"/>
            <w:shd w:val="clear" w:color="auto" w:fill="auto"/>
          </w:tcPr>
          <w:p w14:paraId="794255CA" w14:textId="77777777" w:rsidR="000D07EA" w:rsidRDefault="00BE7C89">
            <w:pPr>
              <w:pStyle w:val="BodyText"/>
              <w:spacing w:before="100" w:after="100"/>
              <w:jc w:val="center"/>
            </w:pPr>
            <w:r>
              <w:t>$60 My Plan Business</w:t>
            </w:r>
          </w:p>
        </w:tc>
        <w:tc>
          <w:tcPr>
            <w:tcW w:w="2796" w:type="dxa"/>
            <w:shd w:val="clear" w:color="auto" w:fill="auto"/>
            <w:vAlign w:val="center"/>
          </w:tcPr>
          <w:p w14:paraId="00E2276A" w14:textId="77777777" w:rsidR="000D07EA" w:rsidRDefault="00BE7C89">
            <w:pPr>
              <w:pStyle w:val="BodyText"/>
              <w:spacing w:before="100" w:after="100"/>
              <w:jc w:val="center"/>
            </w:pPr>
            <w:r>
              <w:t>800255</w:t>
            </w:r>
            <w:r w:rsidR="00E57781">
              <w:t>, 8375734</w:t>
            </w:r>
          </w:p>
        </w:tc>
        <w:tc>
          <w:tcPr>
            <w:tcW w:w="3613" w:type="dxa"/>
            <w:shd w:val="clear" w:color="auto" w:fill="auto"/>
            <w:vAlign w:val="center"/>
          </w:tcPr>
          <w:p w14:paraId="7F0EB8E3" w14:textId="77777777" w:rsidR="000D07EA" w:rsidRDefault="00BE7C89">
            <w:pPr>
              <w:pStyle w:val="BodyText"/>
              <w:spacing w:before="100" w:after="100"/>
              <w:jc w:val="center"/>
            </w:pPr>
            <w:r>
              <w:t>27 April 2015 – 10 March 2016</w:t>
            </w:r>
          </w:p>
        </w:tc>
      </w:tr>
      <w:tr w:rsidR="000D07EA" w14:paraId="5A101D85" w14:textId="77777777">
        <w:tc>
          <w:tcPr>
            <w:tcW w:w="2796" w:type="dxa"/>
            <w:shd w:val="clear" w:color="auto" w:fill="auto"/>
          </w:tcPr>
          <w:p w14:paraId="5F337E14" w14:textId="77777777" w:rsidR="000D07EA" w:rsidRDefault="00BE7C89">
            <w:pPr>
              <w:pStyle w:val="BodyText"/>
              <w:spacing w:before="100" w:after="100"/>
              <w:jc w:val="center"/>
            </w:pPr>
            <w:r>
              <w:t>$80 My Plan Business</w:t>
            </w:r>
          </w:p>
        </w:tc>
        <w:tc>
          <w:tcPr>
            <w:tcW w:w="2796" w:type="dxa"/>
            <w:shd w:val="clear" w:color="auto" w:fill="auto"/>
            <w:vAlign w:val="center"/>
          </w:tcPr>
          <w:p w14:paraId="5578B6C8" w14:textId="77777777" w:rsidR="000D07EA" w:rsidRDefault="00BE7C89" w:rsidP="00E57781">
            <w:pPr>
              <w:pStyle w:val="BodyText"/>
              <w:spacing w:before="100" w:after="100"/>
              <w:jc w:val="center"/>
            </w:pPr>
            <w:r>
              <w:t>800256</w:t>
            </w:r>
            <w:r w:rsidR="00E57781">
              <w:t>, 8375744</w:t>
            </w:r>
          </w:p>
        </w:tc>
        <w:tc>
          <w:tcPr>
            <w:tcW w:w="3613" w:type="dxa"/>
            <w:shd w:val="clear" w:color="auto" w:fill="auto"/>
            <w:vAlign w:val="center"/>
          </w:tcPr>
          <w:p w14:paraId="1308F79E" w14:textId="77777777" w:rsidR="000D07EA" w:rsidRDefault="00BE7C89">
            <w:pPr>
              <w:pStyle w:val="BodyText"/>
              <w:spacing w:before="100" w:after="100"/>
              <w:jc w:val="center"/>
            </w:pPr>
            <w:r>
              <w:t>27 April 2015 – 10 March 2016</w:t>
            </w:r>
          </w:p>
        </w:tc>
      </w:tr>
      <w:tr w:rsidR="000D07EA" w14:paraId="2084B2B1" w14:textId="77777777">
        <w:tc>
          <w:tcPr>
            <w:tcW w:w="2796" w:type="dxa"/>
            <w:shd w:val="clear" w:color="auto" w:fill="auto"/>
          </w:tcPr>
          <w:p w14:paraId="37496F34" w14:textId="77777777" w:rsidR="000D07EA" w:rsidRDefault="00BE7C89">
            <w:pPr>
              <w:pStyle w:val="BodyText"/>
              <w:spacing w:before="100" w:after="100"/>
              <w:jc w:val="center"/>
            </w:pPr>
            <w:r>
              <w:t>$100 My Plan Business</w:t>
            </w:r>
          </w:p>
        </w:tc>
        <w:tc>
          <w:tcPr>
            <w:tcW w:w="2796" w:type="dxa"/>
            <w:shd w:val="clear" w:color="auto" w:fill="auto"/>
          </w:tcPr>
          <w:p w14:paraId="173BE959" w14:textId="77777777" w:rsidR="000D07EA" w:rsidRDefault="00BE7C89">
            <w:pPr>
              <w:pStyle w:val="BodyText"/>
              <w:spacing w:before="100" w:after="100"/>
              <w:jc w:val="center"/>
            </w:pPr>
            <w:r>
              <w:t>800257</w:t>
            </w:r>
            <w:r w:rsidR="00E57781">
              <w:t>, 8375754</w:t>
            </w:r>
          </w:p>
        </w:tc>
        <w:tc>
          <w:tcPr>
            <w:tcW w:w="3613" w:type="dxa"/>
            <w:shd w:val="clear" w:color="auto" w:fill="auto"/>
          </w:tcPr>
          <w:p w14:paraId="7073AB6F" w14:textId="77777777" w:rsidR="000D07EA" w:rsidRDefault="00BE7C89">
            <w:pPr>
              <w:pStyle w:val="BodyText"/>
              <w:spacing w:before="100" w:after="100"/>
              <w:jc w:val="center"/>
            </w:pPr>
            <w:r>
              <w:t>27 April 2015 – 10 March 2016</w:t>
            </w:r>
          </w:p>
        </w:tc>
      </w:tr>
    </w:tbl>
    <w:p w14:paraId="1DC80366" w14:textId="77777777" w:rsidR="000D07EA" w:rsidRDefault="000D07EA">
      <w:pPr>
        <w:pStyle w:val="BodyText"/>
      </w:pPr>
    </w:p>
    <w:p w14:paraId="1D372464" w14:textId="77777777" w:rsidR="000D07EA" w:rsidRDefault="00BE7C89">
      <w:pPr>
        <w:pStyle w:val="Heading6"/>
        <w:ind w:left="0" w:firstLine="0"/>
      </w:pPr>
      <w:bookmarkStart w:id="1200" w:name="_Toc441667889"/>
      <w:bookmarkStart w:id="1201" w:name="_Toc414345855"/>
      <w:bookmarkStart w:id="1202" w:name="_Toc414347449"/>
      <w:bookmarkStart w:id="1203" w:name="_Toc416246809"/>
      <w:r>
        <w:t>Eligibility</w:t>
      </w:r>
      <w:bookmarkEnd w:id="1200"/>
      <w:bookmarkEnd w:id="1201"/>
      <w:bookmarkEnd w:id="1202"/>
      <w:bookmarkEnd w:id="1203"/>
    </w:p>
    <w:p w14:paraId="677BDCFA" w14:textId="77777777" w:rsidR="000D07EA" w:rsidRDefault="00BE7C89">
      <w:pPr>
        <w:pStyle w:val="BodyText"/>
        <w:ind w:left="720"/>
      </w:pPr>
      <w:r>
        <w:t xml:space="preserve">The My Plan Business plans are available to new and existing mobile customers connecting to the </w:t>
      </w:r>
      <w:r>
        <w:rPr>
          <w:i/>
        </w:rPr>
        <w:t xml:space="preserve">service </w:t>
      </w:r>
      <w:r>
        <w:t xml:space="preserve">who pass Optus' credit assessment. </w:t>
      </w:r>
    </w:p>
    <w:p w14:paraId="15D95C0F" w14:textId="77777777" w:rsidR="000D07EA" w:rsidRDefault="00BE7C89">
      <w:pPr>
        <w:pStyle w:val="BodyText"/>
        <w:ind w:left="720"/>
      </w:pPr>
      <w:r>
        <w:t>Optus Service Providers' customers are not eligible to apply</w:t>
      </w:r>
      <w:r>
        <w:rPr>
          <w:snapToGrid w:val="0"/>
        </w:rPr>
        <w:t>.</w:t>
      </w:r>
    </w:p>
    <w:p w14:paraId="4EAD5AE1" w14:textId="77777777" w:rsidR="000D07EA" w:rsidRDefault="00BE7C89">
      <w:pPr>
        <w:pStyle w:val="BodyText"/>
        <w:ind w:left="720"/>
      </w:pPr>
      <w:r>
        <w:t xml:space="preserve">These </w:t>
      </w:r>
      <w:r>
        <w:rPr>
          <w:i/>
        </w:rPr>
        <w:t>plans</w:t>
      </w:r>
      <w:r>
        <w:t xml:space="preserve"> aren't compatible for data use with BlackBerry handsets on operating systems of 7.1 or earlier.</w:t>
      </w:r>
      <w:bookmarkStart w:id="1204" w:name="_Toc416246810"/>
      <w:bookmarkStart w:id="1205" w:name="_Toc441667890"/>
    </w:p>
    <w:p w14:paraId="6B8442C0" w14:textId="77777777" w:rsidR="000D07EA" w:rsidRDefault="00BE7C89">
      <w:pPr>
        <w:pStyle w:val="Heading6"/>
        <w:ind w:left="0" w:firstLine="0"/>
      </w:pPr>
      <w:r>
        <w:rPr>
          <w:snapToGrid w:val="0"/>
        </w:rPr>
        <w:t>Minimum Term</w:t>
      </w:r>
      <w:bookmarkEnd w:id="1204"/>
      <w:bookmarkEnd w:id="1205"/>
    </w:p>
    <w:p w14:paraId="4C01B7DC" w14:textId="77777777" w:rsidR="000D07EA" w:rsidRDefault="00BE7C89">
      <w:pPr>
        <w:pStyle w:val="BodyText"/>
        <w:ind w:left="720"/>
      </w:pPr>
      <w:r>
        <w:t xml:space="preserve">These </w:t>
      </w:r>
      <w:r>
        <w:rPr>
          <w:i/>
        </w:rPr>
        <w:t xml:space="preserve">plans </w:t>
      </w:r>
      <w:r>
        <w:t xml:space="preserve">have a </w:t>
      </w:r>
      <w:r>
        <w:rPr>
          <w:i/>
        </w:rPr>
        <w:t>fixed length agreement</w:t>
      </w:r>
      <w:r>
        <w:t xml:space="preserve"> with a 24 month </w:t>
      </w:r>
      <w:r>
        <w:rPr>
          <w:i/>
        </w:rPr>
        <w:t>minimum term</w:t>
      </w:r>
      <w:r>
        <w:t>.</w:t>
      </w:r>
    </w:p>
    <w:p w14:paraId="78F7535A" w14:textId="77777777" w:rsidR="000D07EA" w:rsidRDefault="00BE7C89">
      <w:pPr>
        <w:pStyle w:val="Heading6"/>
        <w:ind w:left="0" w:firstLine="0"/>
        <w:rPr>
          <w:b/>
        </w:rPr>
      </w:pPr>
      <w:bookmarkStart w:id="1206" w:name="_Toc416246811"/>
      <w:bookmarkStart w:id="1207" w:name="_Toc441667891"/>
      <w:r>
        <w:t>What you have to pay us</w:t>
      </w:r>
      <w:bookmarkEnd w:id="1206"/>
      <w:bookmarkEnd w:id="1207"/>
    </w:p>
    <w:p w14:paraId="43459B22" w14:textId="77777777" w:rsidR="000D07EA" w:rsidRDefault="00BE7C89">
      <w:pPr>
        <w:pStyle w:val="Heading7"/>
      </w:pPr>
      <w:r>
        <w:rPr>
          <w:i/>
        </w:rPr>
        <w:t xml:space="preserve">You </w:t>
      </w:r>
      <w:r>
        <w:t xml:space="preserve">must pay </w:t>
      </w:r>
      <w:r>
        <w:rPr>
          <w:i/>
        </w:rPr>
        <w:t xml:space="preserve">us </w:t>
      </w:r>
      <w:r>
        <w:t xml:space="preserve">for use of the </w:t>
      </w:r>
      <w:r>
        <w:rPr>
          <w:i/>
        </w:rPr>
        <w:t xml:space="preserve">service </w:t>
      </w:r>
      <w:r>
        <w:t xml:space="preserve">at the rates set out in Section 1 of this </w:t>
      </w:r>
      <w:r>
        <w:rPr>
          <w:i/>
        </w:rPr>
        <w:t>standard pricing table</w:t>
      </w:r>
      <w:r>
        <w:t xml:space="preserve"> and for value added service features at the rates set out in </w:t>
      </w:r>
      <w:hyperlink r:id="rId629" w:history="1">
        <w:r>
          <w:rPr>
            <w:rStyle w:val="Hyperlink"/>
            <w:i/>
          </w:rPr>
          <w:t>Appendix Y Value Added Service Features</w:t>
        </w:r>
      </w:hyperlink>
      <w:r>
        <w:t>.</w:t>
      </w:r>
    </w:p>
    <w:p w14:paraId="605D2F82" w14:textId="77777777" w:rsidR="000D07EA" w:rsidRDefault="00BE7C89">
      <w:pPr>
        <w:pStyle w:val="Heading7"/>
      </w:pPr>
      <w:r>
        <w:t>If there is a flagfall for a particular call type, the charge for these calls is the flagfall amount plus the relevant rate for the call multiplied by the duration of the call.</w:t>
      </w:r>
    </w:p>
    <w:p w14:paraId="71F464FE" w14:textId="77777777" w:rsidR="000D07EA" w:rsidRDefault="00BE7C89">
      <w:pPr>
        <w:pStyle w:val="Heading7"/>
        <w:rPr>
          <w:b/>
        </w:rPr>
      </w:pPr>
      <w:r>
        <w:rPr>
          <w:b/>
        </w:rPr>
        <w:t xml:space="preserve">Minimum Monthly Charge </w:t>
      </w:r>
    </w:p>
    <w:p w14:paraId="47D34B26" w14:textId="77777777" w:rsidR="000D07EA" w:rsidRDefault="00BE7C89">
      <w:pPr>
        <w:pStyle w:val="Heading8"/>
      </w:pPr>
      <w:r>
        <w:lastRenderedPageBreak/>
        <w:t xml:space="preserve">Each My Plan Business plan has a Minimum Monthly Charge amount that </w:t>
      </w:r>
      <w:r>
        <w:rPr>
          <w:i/>
        </w:rPr>
        <w:t>you</w:t>
      </w:r>
      <w:r>
        <w:t xml:space="preserve"> must pay </w:t>
      </w:r>
      <w:r>
        <w:rPr>
          <w:i/>
        </w:rPr>
        <w:t>us</w:t>
      </w:r>
      <w:r>
        <w:t xml:space="preserve"> each month as set out in Table 1 below. </w:t>
      </w:r>
    </w:p>
    <w:p w14:paraId="0FF6D9C8" w14:textId="77777777" w:rsidR="000D07EA" w:rsidRDefault="00BE7C89">
      <w:pPr>
        <w:pStyle w:val="Heading8"/>
      </w:pPr>
      <w:r>
        <w:rPr>
          <w:i/>
        </w:rPr>
        <w:t>You</w:t>
      </w:r>
      <w:r>
        <w:t xml:space="preserve"> may purchase a mobile phone (or 'handset') with a 24 month </w:t>
      </w:r>
      <w:r>
        <w:rPr>
          <w:i/>
        </w:rPr>
        <w:t>equipment term</w:t>
      </w:r>
      <w:r>
        <w:t xml:space="preserve"> under a </w:t>
      </w:r>
      <w:r>
        <w:rPr>
          <w:i/>
        </w:rPr>
        <w:t>mobile equipment payment plan</w:t>
      </w:r>
      <w:r>
        <w:t xml:space="preserve"> (set out in </w:t>
      </w:r>
      <w:hyperlink r:id="rId630" w:history="1">
        <w:r>
          <w:rPr>
            <w:rStyle w:val="Hyperlink"/>
            <w:i/>
          </w:rPr>
          <w:t>Appendix D</w:t>
        </w:r>
      </w:hyperlink>
      <w:r>
        <w:t xml:space="preserve">) on a 24 month </w:t>
      </w:r>
      <w:r>
        <w:rPr>
          <w:i/>
        </w:rPr>
        <w:t>fixed-length agreement</w:t>
      </w:r>
      <w:r>
        <w:t xml:space="preserve">. </w:t>
      </w:r>
    </w:p>
    <w:p w14:paraId="0C0D937E" w14:textId="77777777" w:rsidR="000D07EA" w:rsidRDefault="00BE7C89">
      <w:pPr>
        <w:pStyle w:val="Heading6"/>
        <w:ind w:left="0" w:firstLine="0"/>
        <w:rPr>
          <w:snapToGrid w:val="0"/>
        </w:rPr>
      </w:pPr>
      <w:bookmarkStart w:id="1208" w:name="_Toc416246812"/>
      <w:bookmarkStart w:id="1209" w:name="_Toc441667892"/>
      <w:r>
        <w:rPr>
          <w:snapToGrid w:val="0"/>
        </w:rPr>
        <w:t>How My Plan Business works</w:t>
      </w:r>
      <w:bookmarkEnd w:id="1208"/>
      <w:bookmarkEnd w:id="1209"/>
    </w:p>
    <w:p w14:paraId="7FE00756" w14:textId="77777777" w:rsidR="000D07EA" w:rsidRDefault="00BE7C89">
      <w:pPr>
        <w:pStyle w:val="Heading7"/>
      </w:pPr>
      <w:r>
        <w:t>Each My Plan Business has unlimited minutes to use on standard national calls to landlines and mobiles, 13/1300 numbers and voicemail retrievals and an amount of Included Data (for mobile internet use) to share with other services on a My Plan Plus</w:t>
      </w:r>
      <w:r>
        <w:rPr>
          <w:lang w:eastAsia="en-AU"/>
        </w:rPr>
        <w:t xml:space="preserve">, My Plan Plus SIM Only, My Plan Business (including Tech Fund), My Plan Business SIM, My Mobile Broadband Plus, Mobile Broadband Business or Shared Data Plan </w:t>
      </w:r>
      <w:r>
        <w:t>on the same account.</w:t>
      </w:r>
    </w:p>
    <w:p w14:paraId="508661C8" w14:textId="77777777" w:rsidR="000D07EA" w:rsidRDefault="00BE7C89">
      <w:pPr>
        <w:pStyle w:val="Heading7"/>
      </w:pPr>
      <w:r>
        <w:t xml:space="preserve">These plans also include unlimited standard national SMS/MMS and unlimited standard International SMS/MMS to selected countries. The $60/$80/$100 plans have an amount of included international minutes to use on standard international calls to selected countries. </w:t>
      </w:r>
    </w:p>
    <w:p w14:paraId="4E621317" w14:textId="77777777" w:rsidR="000D07EA" w:rsidRDefault="00BE7C89">
      <w:pPr>
        <w:pStyle w:val="Heading7"/>
      </w:pPr>
      <w:r>
        <w:t>Data usage is calculated in one kilobyte increments. International minutes are billed in one minute increments.</w:t>
      </w:r>
    </w:p>
    <w:p w14:paraId="2383469A" w14:textId="77777777" w:rsidR="000D07EA" w:rsidRDefault="00BE7C89">
      <w:pPr>
        <w:pStyle w:val="Heading7"/>
      </w:pPr>
      <w:r>
        <w:t xml:space="preserve">If </w:t>
      </w:r>
      <w:r>
        <w:rPr>
          <w:i/>
        </w:rPr>
        <w:t xml:space="preserve">you </w:t>
      </w:r>
      <w:r>
        <w:t>exceed your included shareable data you'll automatically be charged $10 for each additional 1GB of data ("</w:t>
      </w:r>
      <w:r>
        <w:rPr>
          <w:b/>
        </w:rPr>
        <w:t>Additional Data</w:t>
      </w:r>
      <w:r>
        <w:t>") that you use (or part thereof). Previously you could use up to 60GB extra on your account but from 02/08/2015, we're increasing it to 150GB of extra data per account each month. Your service/s may then be restricted or we may continue to charge you at these rates.</w:t>
      </w:r>
    </w:p>
    <w:p w14:paraId="7E385556" w14:textId="77777777" w:rsidR="000D07EA" w:rsidRDefault="00BE7C89">
      <w:pPr>
        <w:pStyle w:val="Heading7"/>
      </w:pPr>
      <w:r>
        <w:t xml:space="preserve">Any unused portion of </w:t>
      </w:r>
      <w:r>
        <w:rPr>
          <w:i/>
        </w:rPr>
        <w:t>your</w:t>
      </w:r>
      <w:r>
        <w:t xml:space="preserve"> </w:t>
      </w:r>
      <w:r>
        <w:rPr>
          <w:i/>
        </w:rPr>
        <w:t>plan's</w:t>
      </w:r>
      <w:r>
        <w:t xml:space="preserve"> Included or Additional Data or International Minutes expires at the end of each month and does not roll over into the next month.</w:t>
      </w:r>
    </w:p>
    <w:p w14:paraId="522ECAD0" w14:textId="77777777" w:rsidR="000D07EA" w:rsidRDefault="00BE7C89">
      <w:pPr>
        <w:pStyle w:val="Heading7"/>
        <w:rPr>
          <w:b/>
        </w:rPr>
      </w:pPr>
      <w:r>
        <w:rPr>
          <w:i/>
        </w:rPr>
        <w:t>You</w:t>
      </w:r>
      <w:r>
        <w:t xml:space="preserve"> must pay </w:t>
      </w:r>
      <w:r>
        <w:rPr>
          <w:i/>
        </w:rPr>
        <w:t>us</w:t>
      </w:r>
      <w:r>
        <w:t xml:space="preserve"> for use of any services that are not included in </w:t>
      </w:r>
      <w:r>
        <w:rPr>
          <w:i/>
        </w:rPr>
        <w:t>your</w:t>
      </w:r>
      <w:r>
        <w:t xml:space="preserve"> plan's inclusions, examples of which are set out in Table 2 below.</w:t>
      </w:r>
    </w:p>
    <w:p w14:paraId="68277017" w14:textId="77777777" w:rsidR="000D07EA" w:rsidRDefault="00BE7C89">
      <w:pPr>
        <w:pStyle w:val="Heading6"/>
        <w:ind w:left="0" w:firstLine="0"/>
        <w:rPr>
          <w:snapToGrid w:val="0"/>
        </w:rPr>
      </w:pPr>
      <w:bookmarkStart w:id="1210" w:name="_Toc416246813"/>
      <w:bookmarkStart w:id="1211" w:name="_Toc441667893"/>
      <w:r>
        <w:rPr>
          <w:snapToGrid w:val="0"/>
        </w:rPr>
        <w:t>Data Sharing</w:t>
      </w:r>
      <w:bookmarkEnd w:id="1210"/>
      <w:bookmarkEnd w:id="1211"/>
    </w:p>
    <w:p w14:paraId="4C041D16" w14:textId="77777777" w:rsidR="000D07EA" w:rsidRDefault="00BE7C89">
      <w:pPr>
        <w:pStyle w:val="Heading7"/>
        <w:rPr>
          <w:snapToGrid w:val="0"/>
        </w:rPr>
      </w:pPr>
      <w:r>
        <w:rPr>
          <w:snapToGrid w:val="0"/>
        </w:rPr>
        <w:t xml:space="preserve">If </w:t>
      </w:r>
      <w:r>
        <w:rPr>
          <w:i/>
          <w:snapToGrid w:val="0"/>
        </w:rPr>
        <w:t xml:space="preserve">you </w:t>
      </w:r>
      <w:r>
        <w:rPr>
          <w:lang w:eastAsia="en-AU"/>
        </w:rPr>
        <w:t xml:space="preserve">have more than one </w:t>
      </w:r>
      <w:r>
        <w:t>My Plan Plus</w:t>
      </w:r>
      <w:r>
        <w:rPr>
          <w:lang w:eastAsia="en-AU"/>
        </w:rPr>
        <w:t>, My Plan Plus SIM Only, My Plan Business (including Tech Fund), My Plan Business SIM, My Mobile Broadband Plus or Mobile Broadband Business on the same billing account, the included data will combine into one data pool, which will be shared by all eligible services on that account.</w:t>
      </w:r>
    </w:p>
    <w:p w14:paraId="54DCC310" w14:textId="77777777" w:rsidR="000D07EA" w:rsidRDefault="00BE7C89">
      <w:pPr>
        <w:pStyle w:val="Heading7"/>
        <w:rPr>
          <w:snapToGrid w:val="0"/>
        </w:rPr>
      </w:pPr>
      <w:r>
        <w:rPr>
          <w:i/>
          <w:snapToGrid w:val="0"/>
        </w:rPr>
        <w:t>You</w:t>
      </w:r>
      <w:r>
        <w:rPr>
          <w:snapToGrid w:val="0"/>
        </w:rPr>
        <w:t xml:space="preserve"> can also share the Included Data in </w:t>
      </w:r>
      <w:r>
        <w:rPr>
          <w:i/>
          <w:snapToGrid w:val="0"/>
        </w:rPr>
        <w:t>your</w:t>
      </w:r>
      <w:r>
        <w:rPr>
          <w:snapToGrid w:val="0"/>
        </w:rPr>
        <w:t xml:space="preserve"> My Plan Business plan with up to five (5) SIM-ready mobile broadband devices (eg tablets, USB modems and laptops). </w:t>
      </w:r>
      <w:r>
        <w:rPr>
          <w:i/>
          <w:snapToGrid w:val="0"/>
        </w:rPr>
        <w:t>You</w:t>
      </w:r>
      <w:r>
        <w:rPr>
          <w:snapToGrid w:val="0"/>
        </w:rPr>
        <w:t xml:space="preserve"> must connect these mobile broadband devices to Shared Data Plans which have a $5 set up fee each and no ongoing monthly charges.</w:t>
      </w:r>
    </w:p>
    <w:p w14:paraId="34341022" w14:textId="77777777" w:rsidR="000D07EA" w:rsidRDefault="00BE7C89">
      <w:pPr>
        <w:pStyle w:val="Heading7"/>
        <w:rPr>
          <w:snapToGrid w:val="0"/>
        </w:rPr>
      </w:pPr>
      <w:r>
        <w:rPr>
          <w:i/>
          <w:snapToGrid w:val="0"/>
        </w:rPr>
        <w:t>We</w:t>
      </w:r>
      <w:r>
        <w:rPr>
          <w:snapToGrid w:val="0"/>
        </w:rPr>
        <w:t xml:space="preserve"> may place a limit on the number of Shared Data Plans </w:t>
      </w:r>
      <w:r>
        <w:rPr>
          <w:i/>
          <w:snapToGrid w:val="0"/>
        </w:rPr>
        <w:t>you</w:t>
      </w:r>
      <w:r>
        <w:rPr>
          <w:snapToGrid w:val="0"/>
        </w:rPr>
        <w:t xml:space="preserve"> can have, based on </w:t>
      </w:r>
      <w:r>
        <w:rPr>
          <w:i/>
          <w:snapToGrid w:val="0"/>
        </w:rPr>
        <w:t>our</w:t>
      </w:r>
      <w:r>
        <w:rPr>
          <w:snapToGrid w:val="0"/>
        </w:rPr>
        <w:t xml:space="preserve"> credit criteria.</w:t>
      </w:r>
    </w:p>
    <w:p w14:paraId="4C5BC197" w14:textId="77777777" w:rsidR="000D07EA" w:rsidRDefault="00BE7C89">
      <w:pPr>
        <w:pStyle w:val="Heading7"/>
        <w:rPr>
          <w:snapToGrid w:val="0"/>
        </w:rPr>
      </w:pPr>
      <w:r>
        <w:rPr>
          <w:snapToGrid w:val="0"/>
        </w:rPr>
        <w:t>Shared Data Plans do not have any Included Data, and cannot be used to make calls.</w:t>
      </w:r>
    </w:p>
    <w:p w14:paraId="771EA481" w14:textId="77777777" w:rsidR="000D07EA" w:rsidRDefault="00BE7C89">
      <w:pPr>
        <w:pStyle w:val="Heading7"/>
        <w:rPr>
          <w:snapToGrid w:val="0"/>
        </w:rPr>
      </w:pPr>
      <w:r>
        <w:rPr>
          <w:i/>
          <w:snapToGrid w:val="0"/>
        </w:rPr>
        <w:t>You</w:t>
      </w:r>
      <w:r>
        <w:rPr>
          <w:snapToGrid w:val="0"/>
        </w:rPr>
        <w:t xml:space="preserve"> can purchase one mobile broadband device per Shared Data Plan, and pay for it in full on </w:t>
      </w:r>
      <w:r>
        <w:rPr>
          <w:i/>
          <w:snapToGrid w:val="0"/>
        </w:rPr>
        <w:t>your</w:t>
      </w:r>
      <w:r>
        <w:rPr>
          <w:snapToGrid w:val="0"/>
        </w:rPr>
        <w:t xml:space="preserve"> first bill, or pay it off over 12 or 24 months on a </w:t>
      </w:r>
      <w:r>
        <w:rPr>
          <w:i/>
          <w:snapToGrid w:val="0"/>
        </w:rPr>
        <w:t>Mobile Equipment Payment Plan</w:t>
      </w:r>
      <w:r>
        <w:rPr>
          <w:snapToGrid w:val="0"/>
        </w:rPr>
        <w:t xml:space="preserve"> (see </w:t>
      </w:r>
      <w:r>
        <w:t>Appendix D</w:t>
      </w:r>
      <w:r>
        <w:rPr>
          <w:snapToGrid w:val="0"/>
        </w:rPr>
        <w:t>).</w:t>
      </w:r>
    </w:p>
    <w:p w14:paraId="6D99E338" w14:textId="77777777" w:rsidR="000D07EA" w:rsidRDefault="00BE7C89">
      <w:pPr>
        <w:pStyle w:val="Heading7"/>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services on any</w:t>
      </w:r>
      <w:r>
        <w:t xml:space="preserve"> My Plan Plus</w:t>
      </w:r>
      <w:r>
        <w:rPr>
          <w:lang w:eastAsia="en-AU"/>
        </w:rPr>
        <w:t>, My Plan Plus SIM Only, My Plan Business (including Tech Fund), My Plan Business SIM, My Mobile Broadband Plus or Mobile Broadband Business plans</w:t>
      </w:r>
      <w:r>
        <w:rPr>
          <w:snapToGrid w:val="0"/>
        </w:rPr>
        <w:t xml:space="preserve"> to share data, they need to be on separate billing accounts.</w:t>
      </w:r>
    </w:p>
    <w:p w14:paraId="43AECD03" w14:textId="77777777" w:rsidR="000D07EA" w:rsidRDefault="00BE7C89">
      <w:pPr>
        <w:pStyle w:val="Heading7"/>
        <w:rPr>
          <w:snapToGrid w:val="0"/>
        </w:rPr>
      </w:pPr>
      <w:r>
        <w:rPr>
          <w:snapToGrid w:val="0"/>
        </w:rPr>
        <w:t>Data sharing is only available within Australia.</w:t>
      </w:r>
    </w:p>
    <w:p w14:paraId="23FBB4B3" w14:textId="77777777" w:rsidR="000D07EA" w:rsidRDefault="00BE7C89">
      <w:pPr>
        <w:pStyle w:val="Heading6"/>
        <w:ind w:left="0" w:firstLine="0"/>
        <w:rPr>
          <w:snapToGrid w:val="0"/>
        </w:rPr>
      </w:pPr>
      <w:bookmarkStart w:id="1212" w:name="_Toc416246814"/>
      <w:bookmarkStart w:id="1213" w:name="_Toc441667894"/>
      <w:r>
        <w:rPr>
          <w:snapToGrid w:val="0"/>
        </w:rPr>
        <w:t>International Minutes</w:t>
      </w:r>
      <w:bookmarkEnd w:id="1212"/>
      <w:bookmarkEnd w:id="1213"/>
    </w:p>
    <w:p w14:paraId="0A4FEAE2" w14:textId="77777777" w:rsidR="000D07EA" w:rsidRDefault="00BE7C89">
      <w:pPr>
        <w:pStyle w:val="BodyText"/>
        <w:ind w:left="720"/>
      </w:pPr>
      <w:r>
        <w:lastRenderedPageBreak/>
        <w:t>The $60/$80/$100 My Plan Business includes up to 150/300/300 international minutes (respectively) for standard calls to mobiles and fixed lines in selected countries. For a list of selected countries see Table 3 below.</w:t>
      </w:r>
    </w:p>
    <w:p w14:paraId="36F287E4" w14:textId="77777777" w:rsidR="000D07EA" w:rsidRDefault="00BE7C89">
      <w:pPr>
        <w:pStyle w:val="BodyText"/>
        <w:ind w:left="720"/>
      </w:pPr>
      <w:r>
        <w:t>Calls are charged per minute. When included minutes for calls to selected countries are used up, standard 'yes' international call charges apply.</w:t>
      </w:r>
    </w:p>
    <w:p w14:paraId="1153FA9E" w14:textId="77777777" w:rsidR="000D07EA" w:rsidRDefault="00BE7C89">
      <w:pPr>
        <w:pStyle w:val="Heading6"/>
        <w:ind w:left="0" w:firstLine="0"/>
        <w:rPr>
          <w:snapToGrid w:val="0"/>
        </w:rPr>
      </w:pPr>
      <w:bookmarkStart w:id="1214" w:name="_Toc416246815"/>
      <w:bookmarkStart w:id="1215" w:name="_Toc441667895"/>
      <w:r>
        <w:rPr>
          <w:snapToGrid w:val="0"/>
        </w:rPr>
        <w:t>Unlimited standard national SMS and MMS</w:t>
      </w:r>
      <w:bookmarkEnd w:id="1214"/>
      <w:bookmarkEnd w:id="1215"/>
    </w:p>
    <w:p w14:paraId="5DC22922" w14:textId="77777777" w:rsidR="000D07EA" w:rsidRDefault="00BE7C89">
      <w:pPr>
        <w:pStyle w:val="BodyText"/>
        <w:ind w:left="720"/>
      </w:pPr>
      <w:r>
        <w:rPr>
          <w:i/>
        </w:rPr>
        <w:t>You</w:t>
      </w:r>
      <w:r>
        <w:t xml:space="preserve"> may send unlimited standard SMS and MMS to Australian mobiles from within Australia.</w:t>
      </w:r>
    </w:p>
    <w:p w14:paraId="7CB0DDDB" w14:textId="77777777" w:rsidR="000D07EA" w:rsidRDefault="00BE7C89">
      <w:pPr>
        <w:pStyle w:val="BodyText"/>
        <w:ind w:left="720"/>
        <w:rPr>
          <w:rStyle w:val="Hyperlink"/>
          <w:i/>
        </w:rPr>
      </w:pPr>
      <w:r>
        <w:t xml:space="preserve">Unlimited standard national SMS and MMS are only available for personal and ordinary business use and are not to be used for a commercial or non-ordinary purpose as set out in the </w:t>
      </w:r>
      <w:hyperlink r:id="rId631" w:history="1">
        <w:r>
          <w:rPr>
            <w:rStyle w:val="Hyperlink"/>
            <w:rFonts w:cs="Arial"/>
            <w:i/>
          </w:rPr>
          <w:t>Fair Go Policy</w:t>
        </w:r>
      </w:hyperlink>
      <w:r>
        <w:t xml:space="preserve">. For further details refer to </w:t>
      </w:r>
      <w:hyperlink r:id="rId632" w:history="1">
        <w:r>
          <w:rPr>
            <w:rStyle w:val="Hyperlink"/>
            <w:i/>
          </w:rPr>
          <w:t>Appendix S</w:t>
        </w:r>
      </w:hyperlink>
      <w:r>
        <w:rPr>
          <w:i/>
        </w:rPr>
        <w:t>.</w:t>
      </w:r>
    </w:p>
    <w:p w14:paraId="283C18F7" w14:textId="77777777" w:rsidR="000D07EA" w:rsidRDefault="00BE7C89">
      <w:pPr>
        <w:pStyle w:val="Heading6"/>
        <w:ind w:left="0" w:firstLine="0"/>
        <w:rPr>
          <w:snapToGrid w:val="0"/>
        </w:rPr>
      </w:pPr>
      <w:bookmarkStart w:id="1216" w:name="_Toc416246816"/>
      <w:bookmarkStart w:id="1217" w:name="_Toc441667896"/>
      <w:r>
        <w:rPr>
          <w:snapToGrid w:val="0"/>
        </w:rPr>
        <w:t>Unlimited standard international SMS and MMS</w:t>
      </w:r>
      <w:bookmarkEnd w:id="1216"/>
      <w:bookmarkEnd w:id="1217"/>
    </w:p>
    <w:p w14:paraId="24967FB1" w14:textId="77777777" w:rsidR="000D07EA" w:rsidRDefault="00BE7C89">
      <w:pPr>
        <w:pStyle w:val="BodyText"/>
        <w:ind w:left="720"/>
      </w:pPr>
      <w:r>
        <w:rPr>
          <w:i/>
        </w:rPr>
        <w:t>You</w:t>
      </w:r>
      <w:r>
        <w:t xml:space="preserve"> may send unlimited standard SMS and MMS to selected countries as set out in Table 3 below.</w:t>
      </w:r>
    </w:p>
    <w:p w14:paraId="3CAD7979" w14:textId="77777777" w:rsidR="000D07EA" w:rsidRDefault="00BE7C89">
      <w:pPr>
        <w:pStyle w:val="BodyText"/>
        <w:ind w:left="720"/>
      </w:pPr>
      <w:r>
        <w:t xml:space="preserve">Unlimited standard SMS and MMS are only available for personal and ordinary business use and are not to be used for a commercial or non-ordinary purpose as set out in the Fair Go Policy. For further details refer to </w:t>
      </w:r>
      <w:hyperlink r:id="rId633" w:history="1">
        <w:r>
          <w:rPr>
            <w:rStyle w:val="Hyperlink"/>
            <w:i/>
          </w:rPr>
          <w:t>Appendix S</w:t>
        </w:r>
      </w:hyperlink>
      <w:r>
        <w:rPr>
          <w:i/>
        </w:rPr>
        <w:t>.</w:t>
      </w:r>
    </w:p>
    <w:p w14:paraId="6619FE6E" w14:textId="77777777" w:rsidR="000D07EA" w:rsidRDefault="00BE7C89">
      <w:pPr>
        <w:pStyle w:val="Heading6"/>
        <w:ind w:left="0" w:firstLine="0"/>
        <w:rPr>
          <w:snapToGrid w:val="0"/>
        </w:rPr>
      </w:pPr>
      <w:bookmarkStart w:id="1218" w:name="_Toc416246817"/>
      <w:bookmarkStart w:id="1219" w:name="_Toc441667897"/>
      <w:bookmarkStart w:id="1220" w:name="_Ref461555954"/>
      <w:r>
        <w:rPr>
          <w:snapToGrid w:val="0"/>
        </w:rPr>
        <w:t>Additional benefit – Handset Credit</w:t>
      </w:r>
      <w:bookmarkEnd w:id="1218"/>
      <w:bookmarkEnd w:id="1219"/>
      <w:bookmarkEnd w:id="1220"/>
    </w:p>
    <w:p w14:paraId="0E42BC3F" w14:textId="77777777" w:rsidR="000D07EA" w:rsidRDefault="00BE7C89">
      <w:pPr>
        <w:pStyle w:val="Heading7"/>
      </w:pPr>
      <w:r>
        <w:rPr>
          <w:i/>
        </w:rPr>
        <w:t xml:space="preserve">When you </w:t>
      </w:r>
      <w:r>
        <w:t>connect to a My Plan Business which has a monthly phone credit ('</w:t>
      </w:r>
      <w:r>
        <w:rPr>
          <w:b/>
        </w:rPr>
        <w:t>Handset Credit</w:t>
      </w:r>
      <w:r>
        <w:t xml:space="preserve">') each month for </w:t>
      </w:r>
      <w:r>
        <w:rPr>
          <w:i/>
        </w:rPr>
        <w:t>your minimum term</w:t>
      </w:r>
      <w:r>
        <w:t xml:space="preserve">, this will reduce the monthly repayment costs of the handset </w:t>
      </w:r>
      <w:r>
        <w:rPr>
          <w:i/>
        </w:rPr>
        <w:t xml:space="preserve">you </w:t>
      </w:r>
      <w:r>
        <w:t xml:space="preserve">have chosen with </w:t>
      </w:r>
      <w:r>
        <w:rPr>
          <w:i/>
        </w:rPr>
        <w:t>your pricing plan</w:t>
      </w:r>
      <w:r>
        <w:t>.</w:t>
      </w:r>
    </w:p>
    <w:p w14:paraId="313C8126" w14:textId="77777777" w:rsidR="000D07EA" w:rsidRDefault="00BE7C89">
      <w:pPr>
        <w:pStyle w:val="Heading7"/>
        <w:rPr>
          <w:i/>
        </w:rPr>
      </w:pPr>
      <w:r>
        <w:t xml:space="preserve">If </w:t>
      </w:r>
      <w:r>
        <w:rPr>
          <w:i/>
        </w:rPr>
        <w:t>you</w:t>
      </w:r>
      <w:r>
        <w:t xml:space="preserve"> </w:t>
      </w:r>
      <w:r>
        <w:rPr>
          <w:i/>
        </w:rPr>
        <w:t>cancel your pricing plan</w:t>
      </w:r>
      <w:r>
        <w:t xml:space="preserve"> or the </w:t>
      </w:r>
      <w:r>
        <w:rPr>
          <w:i/>
        </w:rPr>
        <w:t xml:space="preserve">mobile equipment payment plan </w:t>
      </w:r>
      <w:r>
        <w:t xml:space="preserve">during </w:t>
      </w:r>
      <w:r>
        <w:rPr>
          <w:i/>
        </w:rPr>
        <w:t>your minimum term</w:t>
      </w:r>
      <w:r>
        <w:t xml:space="preserve">, </w:t>
      </w:r>
      <w:r>
        <w:rPr>
          <w:i/>
        </w:rPr>
        <w:t>you</w:t>
      </w:r>
      <w:r>
        <w:t xml:space="preserve"> will no longer be entitled to these Handset Credits and </w:t>
      </w:r>
      <w:r>
        <w:rPr>
          <w:i/>
        </w:rPr>
        <w:t>you</w:t>
      </w:r>
      <w:r>
        <w:t xml:space="preserve"> must pay the remaining handset repayments in full in addition to any </w:t>
      </w:r>
      <w:r>
        <w:rPr>
          <w:i/>
        </w:rPr>
        <w:t>cancellation fee.</w:t>
      </w:r>
    </w:p>
    <w:p w14:paraId="7933547C" w14:textId="77777777" w:rsidR="000D07EA" w:rsidRDefault="00BE7C89">
      <w:pPr>
        <w:pStyle w:val="BodyText"/>
        <w:ind w:left="720"/>
        <w:rPr>
          <w:b/>
        </w:rPr>
      </w:pPr>
      <w:r>
        <w:rPr>
          <w:b/>
        </w:rPr>
        <w:t>Table 1 –Plan Inclusions and Charges</w:t>
      </w:r>
    </w:p>
    <w:tbl>
      <w:tblPr>
        <w:tblW w:w="4580"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6"/>
        <w:gridCol w:w="1848"/>
        <w:gridCol w:w="881"/>
        <w:gridCol w:w="969"/>
        <w:gridCol w:w="1850"/>
        <w:gridCol w:w="1848"/>
      </w:tblGrid>
      <w:tr w:rsidR="000D07EA" w14:paraId="526A3E2E" w14:textId="77777777">
        <w:trPr>
          <w:tblHeader/>
        </w:trPr>
        <w:tc>
          <w:tcPr>
            <w:tcW w:w="1038" w:type="pct"/>
            <w:shd w:val="clear" w:color="auto" w:fill="auto"/>
          </w:tcPr>
          <w:p w14:paraId="413D1667" w14:textId="77777777" w:rsidR="000D07EA" w:rsidRDefault="000D07EA">
            <w:pPr>
              <w:pStyle w:val="BodyText"/>
              <w:spacing w:before="100" w:after="100"/>
            </w:pPr>
          </w:p>
        </w:tc>
        <w:tc>
          <w:tcPr>
            <w:tcW w:w="990" w:type="pct"/>
            <w:vAlign w:val="center"/>
          </w:tcPr>
          <w:p w14:paraId="5F9142E9" w14:textId="77777777" w:rsidR="000D07EA" w:rsidRDefault="00BE7C89">
            <w:pPr>
              <w:pStyle w:val="BodyText"/>
              <w:spacing w:before="100" w:after="100"/>
              <w:jc w:val="center"/>
              <w:rPr>
                <w:b/>
              </w:rPr>
            </w:pPr>
            <w:r>
              <w:rPr>
                <w:b/>
              </w:rPr>
              <w:t>$40 My Plan Business</w:t>
            </w:r>
          </w:p>
        </w:tc>
        <w:tc>
          <w:tcPr>
            <w:tcW w:w="991" w:type="pct"/>
            <w:gridSpan w:val="2"/>
            <w:shd w:val="clear" w:color="auto" w:fill="auto"/>
            <w:vAlign w:val="center"/>
          </w:tcPr>
          <w:p w14:paraId="62C0C826" w14:textId="77777777" w:rsidR="000D07EA" w:rsidRDefault="00BE7C89">
            <w:pPr>
              <w:pStyle w:val="BodyText"/>
              <w:spacing w:before="100" w:after="100"/>
              <w:jc w:val="center"/>
              <w:rPr>
                <w:b/>
              </w:rPr>
            </w:pPr>
            <w:r>
              <w:rPr>
                <w:b/>
              </w:rPr>
              <w:t>$60 My Plan Business</w:t>
            </w:r>
          </w:p>
        </w:tc>
        <w:tc>
          <w:tcPr>
            <w:tcW w:w="991" w:type="pct"/>
            <w:shd w:val="clear" w:color="auto" w:fill="auto"/>
            <w:vAlign w:val="center"/>
          </w:tcPr>
          <w:p w14:paraId="18CB3C0A" w14:textId="77777777" w:rsidR="000D07EA" w:rsidRDefault="00BE7C89">
            <w:pPr>
              <w:pStyle w:val="BodyText"/>
              <w:spacing w:before="100" w:after="100"/>
              <w:jc w:val="center"/>
              <w:rPr>
                <w:b/>
              </w:rPr>
            </w:pPr>
            <w:r>
              <w:rPr>
                <w:b/>
              </w:rPr>
              <w:t>$80 My Plan Business</w:t>
            </w:r>
          </w:p>
        </w:tc>
        <w:tc>
          <w:tcPr>
            <w:tcW w:w="991" w:type="pct"/>
          </w:tcPr>
          <w:p w14:paraId="47CB0421" w14:textId="77777777" w:rsidR="000D07EA" w:rsidRDefault="00BE7C89">
            <w:pPr>
              <w:pStyle w:val="BodyText"/>
              <w:spacing w:before="100" w:after="100"/>
              <w:jc w:val="center"/>
              <w:rPr>
                <w:b/>
              </w:rPr>
            </w:pPr>
            <w:r>
              <w:rPr>
                <w:b/>
              </w:rPr>
              <w:t>$100 My Plan Business</w:t>
            </w:r>
          </w:p>
        </w:tc>
      </w:tr>
      <w:tr w:rsidR="000D07EA" w14:paraId="116B008E" w14:textId="77777777">
        <w:tc>
          <w:tcPr>
            <w:tcW w:w="1038" w:type="pct"/>
            <w:shd w:val="clear" w:color="auto" w:fill="auto"/>
          </w:tcPr>
          <w:p w14:paraId="50E03C88" w14:textId="77777777" w:rsidR="000D07EA" w:rsidRDefault="00BE7C89">
            <w:pPr>
              <w:pStyle w:val="BodyText"/>
              <w:spacing w:before="100" w:after="100"/>
            </w:pPr>
            <w:r>
              <w:rPr>
                <w:b/>
                <w:bCs/>
              </w:rPr>
              <w:t>Minimum Monthly charge</w:t>
            </w:r>
          </w:p>
        </w:tc>
        <w:tc>
          <w:tcPr>
            <w:tcW w:w="990" w:type="pct"/>
            <w:vAlign w:val="center"/>
          </w:tcPr>
          <w:p w14:paraId="457F14BB" w14:textId="77777777" w:rsidR="000D07EA" w:rsidRDefault="00BE7C89">
            <w:pPr>
              <w:pStyle w:val="BodyText"/>
              <w:spacing w:before="100" w:after="100"/>
              <w:jc w:val="center"/>
            </w:pPr>
            <w:r>
              <w:t>$40</w:t>
            </w:r>
          </w:p>
        </w:tc>
        <w:tc>
          <w:tcPr>
            <w:tcW w:w="991" w:type="pct"/>
            <w:gridSpan w:val="2"/>
            <w:shd w:val="clear" w:color="auto" w:fill="auto"/>
            <w:vAlign w:val="center"/>
          </w:tcPr>
          <w:p w14:paraId="374B3648" w14:textId="77777777" w:rsidR="000D07EA" w:rsidRDefault="00BE7C89">
            <w:pPr>
              <w:pStyle w:val="BodyText"/>
              <w:spacing w:before="100" w:after="100"/>
              <w:jc w:val="center"/>
            </w:pPr>
            <w:r>
              <w:t>$60</w:t>
            </w:r>
          </w:p>
        </w:tc>
        <w:tc>
          <w:tcPr>
            <w:tcW w:w="991" w:type="pct"/>
            <w:shd w:val="clear" w:color="auto" w:fill="auto"/>
            <w:vAlign w:val="center"/>
          </w:tcPr>
          <w:p w14:paraId="5B6E34A8" w14:textId="77777777" w:rsidR="000D07EA" w:rsidRDefault="00BE7C89">
            <w:pPr>
              <w:pStyle w:val="BodyText"/>
              <w:spacing w:before="100" w:after="100"/>
              <w:jc w:val="center"/>
            </w:pPr>
            <w:r>
              <w:t>$80</w:t>
            </w:r>
          </w:p>
        </w:tc>
        <w:tc>
          <w:tcPr>
            <w:tcW w:w="991" w:type="pct"/>
            <w:vAlign w:val="center"/>
          </w:tcPr>
          <w:p w14:paraId="2DE6FC54" w14:textId="77777777" w:rsidR="000D07EA" w:rsidRDefault="00BE7C89">
            <w:pPr>
              <w:pStyle w:val="BodyText"/>
              <w:spacing w:before="100" w:after="100"/>
              <w:jc w:val="center"/>
            </w:pPr>
            <w:r>
              <w:t>$100</w:t>
            </w:r>
          </w:p>
        </w:tc>
      </w:tr>
      <w:tr w:rsidR="000D07EA" w14:paraId="5820A5C8" w14:textId="77777777">
        <w:tc>
          <w:tcPr>
            <w:tcW w:w="1038" w:type="pct"/>
            <w:shd w:val="clear" w:color="auto" w:fill="auto"/>
          </w:tcPr>
          <w:p w14:paraId="5100F97D" w14:textId="77777777" w:rsidR="000D07EA" w:rsidRDefault="00BE7C89">
            <w:pPr>
              <w:pStyle w:val="BodyText"/>
              <w:spacing w:before="100" w:after="100"/>
            </w:pPr>
            <w:r>
              <w:rPr>
                <w:b/>
                <w:bCs/>
              </w:rPr>
              <w:t>Included Data</w:t>
            </w:r>
          </w:p>
        </w:tc>
        <w:tc>
          <w:tcPr>
            <w:tcW w:w="990" w:type="pct"/>
            <w:vAlign w:val="center"/>
          </w:tcPr>
          <w:p w14:paraId="2D700934" w14:textId="77777777" w:rsidR="000D07EA" w:rsidRDefault="00BE7C89">
            <w:pPr>
              <w:pStyle w:val="BodyText"/>
              <w:spacing w:before="100" w:after="100"/>
              <w:jc w:val="center"/>
            </w:pPr>
            <w:r>
              <w:t>500MB</w:t>
            </w:r>
          </w:p>
        </w:tc>
        <w:tc>
          <w:tcPr>
            <w:tcW w:w="991" w:type="pct"/>
            <w:gridSpan w:val="2"/>
            <w:shd w:val="clear" w:color="auto" w:fill="auto"/>
            <w:vAlign w:val="center"/>
          </w:tcPr>
          <w:p w14:paraId="3E1DCCBC" w14:textId="77777777" w:rsidR="000D07EA" w:rsidRDefault="00BE7C89">
            <w:pPr>
              <w:pStyle w:val="BodyText"/>
              <w:spacing w:before="100" w:after="100"/>
              <w:jc w:val="center"/>
            </w:pPr>
            <w:r>
              <w:t>3GB</w:t>
            </w:r>
          </w:p>
        </w:tc>
        <w:tc>
          <w:tcPr>
            <w:tcW w:w="991" w:type="pct"/>
            <w:shd w:val="clear" w:color="auto" w:fill="auto"/>
            <w:vAlign w:val="center"/>
          </w:tcPr>
          <w:p w14:paraId="18440EA8" w14:textId="77777777" w:rsidR="000D07EA" w:rsidRDefault="00BE7C89">
            <w:pPr>
              <w:pStyle w:val="BodyText"/>
              <w:spacing w:before="100" w:after="100"/>
              <w:jc w:val="center"/>
            </w:pPr>
            <w:r>
              <w:t>6GB</w:t>
            </w:r>
          </w:p>
        </w:tc>
        <w:tc>
          <w:tcPr>
            <w:tcW w:w="991" w:type="pct"/>
            <w:vAlign w:val="center"/>
          </w:tcPr>
          <w:p w14:paraId="05F30C04" w14:textId="77777777" w:rsidR="000D07EA" w:rsidRDefault="00BE7C89">
            <w:pPr>
              <w:pStyle w:val="BodyText"/>
              <w:spacing w:before="100" w:after="100"/>
              <w:jc w:val="center"/>
            </w:pPr>
            <w:r>
              <w:t>10GB</w:t>
            </w:r>
          </w:p>
        </w:tc>
      </w:tr>
      <w:tr w:rsidR="000D07EA" w14:paraId="6C6F4FCE" w14:textId="77777777">
        <w:tc>
          <w:tcPr>
            <w:tcW w:w="2500" w:type="pct"/>
            <w:gridSpan w:val="3"/>
            <w:shd w:val="clear" w:color="auto" w:fill="auto"/>
          </w:tcPr>
          <w:p w14:paraId="7784C990" w14:textId="77777777" w:rsidR="000D07EA" w:rsidRDefault="00BE7C89">
            <w:pPr>
              <w:pStyle w:val="BodyText"/>
              <w:spacing w:before="100" w:after="100"/>
              <w:rPr>
                <w:b/>
                <w:bCs/>
              </w:rPr>
            </w:pPr>
            <w:r>
              <w:rPr>
                <w:b/>
                <w:bCs/>
              </w:rPr>
              <w:t>Additional Data</w:t>
            </w:r>
          </w:p>
        </w:tc>
        <w:tc>
          <w:tcPr>
            <w:tcW w:w="2500" w:type="pct"/>
            <w:gridSpan w:val="3"/>
            <w:vAlign w:val="center"/>
          </w:tcPr>
          <w:p w14:paraId="3C358655" w14:textId="77777777" w:rsidR="000D07EA" w:rsidRDefault="00BE7C89">
            <w:pPr>
              <w:pStyle w:val="BodyText"/>
              <w:spacing w:before="100" w:after="100"/>
              <w:jc w:val="center"/>
            </w:pPr>
            <w:r>
              <w:t>Additional data $10 per 1GB</w:t>
            </w:r>
          </w:p>
        </w:tc>
      </w:tr>
      <w:tr w:rsidR="000D07EA" w14:paraId="335F03D0" w14:textId="77777777">
        <w:tc>
          <w:tcPr>
            <w:tcW w:w="1038" w:type="pct"/>
            <w:shd w:val="clear" w:color="auto" w:fill="auto"/>
          </w:tcPr>
          <w:p w14:paraId="05558561" w14:textId="77777777" w:rsidR="000D07EA" w:rsidRDefault="00BE7C89">
            <w:pPr>
              <w:pStyle w:val="BodyText"/>
              <w:spacing w:before="100" w:after="100"/>
            </w:pPr>
            <w:r>
              <w:rPr>
                <w:b/>
                <w:bCs/>
              </w:rPr>
              <w:t xml:space="preserve">Included Minutes </w:t>
            </w:r>
            <w:r>
              <w:t>for standard national calls to landlines and mobiles, 1300 numbers and voicemail, within Australia</w:t>
            </w:r>
          </w:p>
        </w:tc>
        <w:tc>
          <w:tcPr>
            <w:tcW w:w="990" w:type="pct"/>
            <w:vAlign w:val="center"/>
          </w:tcPr>
          <w:p w14:paraId="3CEA9150" w14:textId="77777777" w:rsidR="000D07EA" w:rsidRDefault="00BE7C89">
            <w:pPr>
              <w:pStyle w:val="BodyText"/>
              <w:spacing w:before="100" w:after="100"/>
              <w:jc w:val="center"/>
            </w:pPr>
            <w:r>
              <w:t>Unlimited</w:t>
            </w:r>
          </w:p>
        </w:tc>
        <w:tc>
          <w:tcPr>
            <w:tcW w:w="991" w:type="pct"/>
            <w:gridSpan w:val="2"/>
            <w:shd w:val="clear" w:color="auto" w:fill="auto"/>
            <w:vAlign w:val="center"/>
          </w:tcPr>
          <w:p w14:paraId="0DD570F3" w14:textId="77777777" w:rsidR="000D07EA" w:rsidRDefault="00BE7C89">
            <w:pPr>
              <w:pStyle w:val="BodyText"/>
              <w:spacing w:before="100" w:after="100"/>
              <w:jc w:val="center"/>
            </w:pPr>
            <w:r>
              <w:t>Unlimited</w:t>
            </w:r>
          </w:p>
        </w:tc>
        <w:tc>
          <w:tcPr>
            <w:tcW w:w="991" w:type="pct"/>
            <w:shd w:val="clear" w:color="auto" w:fill="auto"/>
            <w:vAlign w:val="center"/>
          </w:tcPr>
          <w:p w14:paraId="505AC74F" w14:textId="77777777" w:rsidR="000D07EA" w:rsidRDefault="00BE7C89">
            <w:pPr>
              <w:pStyle w:val="BodyText"/>
              <w:spacing w:before="100" w:after="100"/>
              <w:jc w:val="center"/>
            </w:pPr>
            <w:r>
              <w:t>Unlimited</w:t>
            </w:r>
          </w:p>
        </w:tc>
        <w:tc>
          <w:tcPr>
            <w:tcW w:w="991" w:type="pct"/>
            <w:vAlign w:val="center"/>
          </w:tcPr>
          <w:p w14:paraId="459D01E8" w14:textId="77777777" w:rsidR="000D07EA" w:rsidRDefault="00BE7C89">
            <w:pPr>
              <w:pStyle w:val="BodyText"/>
              <w:spacing w:before="100" w:after="100"/>
              <w:jc w:val="center"/>
            </w:pPr>
            <w:r>
              <w:t>Unlimited</w:t>
            </w:r>
          </w:p>
        </w:tc>
      </w:tr>
      <w:tr w:rsidR="000D07EA" w14:paraId="581A1CEB" w14:textId="77777777">
        <w:tc>
          <w:tcPr>
            <w:tcW w:w="1038" w:type="pct"/>
            <w:shd w:val="clear" w:color="auto" w:fill="auto"/>
          </w:tcPr>
          <w:p w14:paraId="5F2216EE" w14:textId="77777777" w:rsidR="000D07EA" w:rsidRDefault="00BE7C89">
            <w:pPr>
              <w:pStyle w:val="BodyText"/>
              <w:spacing w:before="100" w:after="100"/>
              <w:rPr>
                <w:b/>
                <w:bCs/>
              </w:rPr>
            </w:pPr>
            <w:r>
              <w:rPr>
                <w:b/>
                <w:bCs/>
              </w:rPr>
              <w:t>Included International Minutes</w:t>
            </w:r>
          </w:p>
          <w:p w14:paraId="39D69688" w14:textId="77777777" w:rsidR="000D07EA" w:rsidRDefault="00BE7C89">
            <w:pPr>
              <w:pStyle w:val="BodyText"/>
              <w:spacing w:before="100" w:after="100"/>
              <w:rPr>
                <w:b/>
                <w:bCs/>
              </w:rPr>
            </w:pPr>
            <w:r>
              <w:t xml:space="preserve">Standard international calls to landlines and </w:t>
            </w:r>
            <w:r>
              <w:lastRenderedPageBreak/>
              <w:t xml:space="preserve">mobiles to selected countries </w:t>
            </w:r>
          </w:p>
        </w:tc>
        <w:tc>
          <w:tcPr>
            <w:tcW w:w="990" w:type="pct"/>
            <w:vAlign w:val="center"/>
          </w:tcPr>
          <w:p w14:paraId="7859B2B9" w14:textId="77777777" w:rsidR="000D07EA" w:rsidRDefault="00BE7C89">
            <w:pPr>
              <w:pStyle w:val="BodyText"/>
              <w:spacing w:before="100" w:after="100"/>
              <w:jc w:val="center"/>
            </w:pPr>
            <w:r>
              <w:lastRenderedPageBreak/>
              <w:t>Not included</w:t>
            </w:r>
          </w:p>
        </w:tc>
        <w:tc>
          <w:tcPr>
            <w:tcW w:w="991" w:type="pct"/>
            <w:gridSpan w:val="2"/>
            <w:shd w:val="clear" w:color="auto" w:fill="auto"/>
            <w:vAlign w:val="center"/>
          </w:tcPr>
          <w:p w14:paraId="242A62D0" w14:textId="77777777" w:rsidR="000D07EA" w:rsidRDefault="00BE7C89">
            <w:pPr>
              <w:pStyle w:val="BodyText"/>
              <w:spacing w:before="100" w:after="100"/>
              <w:jc w:val="center"/>
            </w:pPr>
            <w:r>
              <w:rPr>
                <w:bCs/>
              </w:rPr>
              <w:t>Up to 150 mins</w:t>
            </w:r>
          </w:p>
        </w:tc>
        <w:tc>
          <w:tcPr>
            <w:tcW w:w="991" w:type="pct"/>
            <w:shd w:val="clear" w:color="auto" w:fill="auto"/>
            <w:vAlign w:val="center"/>
          </w:tcPr>
          <w:p w14:paraId="091D85EE" w14:textId="77777777" w:rsidR="000D07EA" w:rsidRDefault="00BE7C89">
            <w:pPr>
              <w:pStyle w:val="BodyText"/>
              <w:spacing w:before="100" w:after="100"/>
              <w:jc w:val="center"/>
            </w:pPr>
            <w:r>
              <w:rPr>
                <w:bCs/>
              </w:rPr>
              <w:t>Up to 300 mins</w:t>
            </w:r>
          </w:p>
        </w:tc>
        <w:tc>
          <w:tcPr>
            <w:tcW w:w="991" w:type="pct"/>
            <w:vAlign w:val="center"/>
          </w:tcPr>
          <w:p w14:paraId="4CA7B00F" w14:textId="77777777" w:rsidR="000D07EA" w:rsidRDefault="00BE7C89">
            <w:pPr>
              <w:pStyle w:val="BodyText"/>
              <w:spacing w:before="100" w:after="100"/>
              <w:jc w:val="center"/>
              <w:rPr>
                <w:bCs/>
              </w:rPr>
            </w:pPr>
            <w:r>
              <w:rPr>
                <w:bCs/>
              </w:rPr>
              <w:t>Up to 300 mins</w:t>
            </w:r>
          </w:p>
        </w:tc>
      </w:tr>
      <w:tr w:rsidR="000D07EA" w14:paraId="222B7309" w14:textId="77777777">
        <w:tc>
          <w:tcPr>
            <w:tcW w:w="1038" w:type="pct"/>
            <w:shd w:val="clear" w:color="auto" w:fill="auto"/>
          </w:tcPr>
          <w:p w14:paraId="7CD44BAB" w14:textId="77777777" w:rsidR="000D07EA" w:rsidRDefault="00BE7C89">
            <w:pPr>
              <w:pStyle w:val="BodyText"/>
              <w:spacing w:before="100" w:after="100"/>
            </w:pPr>
            <w:r>
              <w:rPr>
                <w:b/>
                <w:bCs/>
              </w:rPr>
              <w:t xml:space="preserve">Standard national SMS </w:t>
            </w:r>
            <w:r>
              <w:t>(per SMS of up to 160 standard characters)</w:t>
            </w:r>
          </w:p>
        </w:tc>
        <w:tc>
          <w:tcPr>
            <w:tcW w:w="990" w:type="pct"/>
            <w:vAlign w:val="center"/>
          </w:tcPr>
          <w:p w14:paraId="7767D953" w14:textId="77777777" w:rsidR="000D07EA" w:rsidRDefault="00BE7C89">
            <w:pPr>
              <w:pStyle w:val="BodyText"/>
              <w:spacing w:before="100" w:after="100"/>
              <w:jc w:val="center"/>
            </w:pPr>
            <w:r>
              <w:t>Unlimited</w:t>
            </w:r>
          </w:p>
        </w:tc>
        <w:tc>
          <w:tcPr>
            <w:tcW w:w="991" w:type="pct"/>
            <w:gridSpan w:val="2"/>
            <w:shd w:val="clear" w:color="auto" w:fill="auto"/>
            <w:vAlign w:val="center"/>
          </w:tcPr>
          <w:p w14:paraId="66094F3E" w14:textId="77777777" w:rsidR="000D07EA" w:rsidRDefault="00BE7C89">
            <w:pPr>
              <w:pStyle w:val="BodyText"/>
              <w:spacing w:before="100" w:after="100"/>
              <w:jc w:val="center"/>
            </w:pPr>
            <w:r>
              <w:t>Unlimited</w:t>
            </w:r>
          </w:p>
        </w:tc>
        <w:tc>
          <w:tcPr>
            <w:tcW w:w="991" w:type="pct"/>
            <w:shd w:val="clear" w:color="auto" w:fill="auto"/>
            <w:vAlign w:val="center"/>
          </w:tcPr>
          <w:p w14:paraId="0E31F4BD" w14:textId="77777777" w:rsidR="000D07EA" w:rsidRDefault="00BE7C89">
            <w:pPr>
              <w:pStyle w:val="BodyText"/>
              <w:spacing w:before="100" w:after="100"/>
              <w:jc w:val="center"/>
            </w:pPr>
            <w:r>
              <w:t>Unlimited</w:t>
            </w:r>
          </w:p>
        </w:tc>
        <w:tc>
          <w:tcPr>
            <w:tcW w:w="991" w:type="pct"/>
            <w:vAlign w:val="center"/>
          </w:tcPr>
          <w:p w14:paraId="2D86A9C3" w14:textId="77777777" w:rsidR="000D07EA" w:rsidRDefault="00BE7C89">
            <w:pPr>
              <w:pStyle w:val="BodyText"/>
              <w:spacing w:before="100" w:after="100"/>
              <w:jc w:val="center"/>
            </w:pPr>
            <w:r>
              <w:t>Unlimited</w:t>
            </w:r>
          </w:p>
        </w:tc>
      </w:tr>
      <w:tr w:rsidR="000D07EA" w14:paraId="5D009E9B" w14:textId="77777777">
        <w:tc>
          <w:tcPr>
            <w:tcW w:w="1038" w:type="pct"/>
            <w:shd w:val="clear" w:color="auto" w:fill="auto"/>
          </w:tcPr>
          <w:p w14:paraId="77E8E7E6" w14:textId="77777777" w:rsidR="000D07EA" w:rsidRDefault="00BE7C89">
            <w:pPr>
              <w:pStyle w:val="BodyText"/>
              <w:spacing w:before="100" w:after="100"/>
              <w:rPr>
                <w:b/>
                <w:bCs/>
              </w:rPr>
            </w:pPr>
            <w:r>
              <w:rPr>
                <w:b/>
                <w:bCs/>
              </w:rPr>
              <w:t xml:space="preserve">Standard national MMS </w:t>
            </w:r>
            <w:r>
              <w:t>(per message)</w:t>
            </w:r>
          </w:p>
        </w:tc>
        <w:tc>
          <w:tcPr>
            <w:tcW w:w="990" w:type="pct"/>
            <w:vAlign w:val="center"/>
          </w:tcPr>
          <w:p w14:paraId="3D155545" w14:textId="77777777" w:rsidR="000D07EA" w:rsidRDefault="00BE7C89">
            <w:pPr>
              <w:pStyle w:val="BodyText"/>
              <w:spacing w:before="100" w:after="100"/>
              <w:jc w:val="center"/>
            </w:pPr>
            <w:r>
              <w:t>Unlimited</w:t>
            </w:r>
          </w:p>
        </w:tc>
        <w:tc>
          <w:tcPr>
            <w:tcW w:w="991" w:type="pct"/>
            <w:gridSpan w:val="2"/>
            <w:shd w:val="clear" w:color="auto" w:fill="auto"/>
            <w:vAlign w:val="center"/>
          </w:tcPr>
          <w:p w14:paraId="76751580" w14:textId="77777777" w:rsidR="000D07EA" w:rsidRDefault="00BE7C89">
            <w:pPr>
              <w:pStyle w:val="BodyText"/>
              <w:spacing w:before="100" w:after="100"/>
              <w:jc w:val="center"/>
            </w:pPr>
            <w:r>
              <w:t>Unlimited</w:t>
            </w:r>
          </w:p>
        </w:tc>
        <w:tc>
          <w:tcPr>
            <w:tcW w:w="991" w:type="pct"/>
            <w:shd w:val="clear" w:color="auto" w:fill="auto"/>
            <w:vAlign w:val="center"/>
          </w:tcPr>
          <w:p w14:paraId="04C6BCC0" w14:textId="77777777" w:rsidR="000D07EA" w:rsidRDefault="00BE7C89">
            <w:pPr>
              <w:pStyle w:val="BodyText"/>
              <w:spacing w:before="100" w:after="100"/>
              <w:jc w:val="center"/>
            </w:pPr>
            <w:r>
              <w:t>Unlimited</w:t>
            </w:r>
          </w:p>
        </w:tc>
        <w:tc>
          <w:tcPr>
            <w:tcW w:w="991" w:type="pct"/>
          </w:tcPr>
          <w:p w14:paraId="5743BEEE" w14:textId="77777777" w:rsidR="000D07EA" w:rsidRDefault="00BE7C89">
            <w:pPr>
              <w:pStyle w:val="BodyText"/>
              <w:spacing w:before="100" w:after="100"/>
              <w:jc w:val="center"/>
            </w:pPr>
            <w:r>
              <w:t>Unlimited</w:t>
            </w:r>
          </w:p>
        </w:tc>
      </w:tr>
      <w:tr w:rsidR="000D07EA" w14:paraId="323783B3" w14:textId="77777777">
        <w:tc>
          <w:tcPr>
            <w:tcW w:w="1038" w:type="pct"/>
            <w:shd w:val="clear" w:color="auto" w:fill="auto"/>
          </w:tcPr>
          <w:p w14:paraId="7BD17A98" w14:textId="77777777" w:rsidR="000D07EA" w:rsidRDefault="00BE7C89">
            <w:pPr>
              <w:pStyle w:val="BodyText"/>
              <w:spacing w:before="100" w:after="100"/>
              <w:rPr>
                <w:b/>
                <w:bCs/>
              </w:rPr>
            </w:pPr>
            <w:r>
              <w:rPr>
                <w:b/>
                <w:bCs/>
              </w:rPr>
              <w:t xml:space="preserve">Standard international SMS </w:t>
            </w:r>
            <w:r>
              <w:t>(per SMS of up to 160 standard characters to selected countries)</w:t>
            </w:r>
          </w:p>
        </w:tc>
        <w:tc>
          <w:tcPr>
            <w:tcW w:w="990" w:type="pct"/>
            <w:vAlign w:val="center"/>
          </w:tcPr>
          <w:p w14:paraId="2E5914B4" w14:textId="77777777" w:rsidR="000D07EA" w:rsidRDefault="00BE7C89">
            <w:pPr>
              <w:pStyle w:val="BodyText"/>
              <w:spacing w:before="100" w:after="100"/>
              <w:jc w:val="center"/>
            </w:pPr>
            <w:r>
              <w:t>Unlimited</w:t>
            </w:r>
          </w:p>
        </w:tc>
        <w:tc>
          <w:tcPr>
            <w:tcW w:w="991" w:type="pct"/>
            <w:gridSpan w:val="2"/>
            <w:shd w:val="clear" w:color="auto" w:fill="auto"/>
            <w:vAlign w:val="center"/>
          </w:tcPr>
          <w:p w14:paraId="2A7BFE0E" w14:textId="77777777" w:rsidR="000D07EA" w:rsidRDefault="00BE7C89">
            <w:pPr>
              <w:pStyle w:val="BodyText"/>
              <w:spacing w:before="100" w:after="100"/>
              <w:jc w:val="center"/>
            </w:pPr>
            <w:r>
              <w:t>Unlimited</w:t>
            </w:r>
          </w:p>
        </w:tc>
        <w:tc>
          <w:tcPr>
            <w:tcW w:w="991" w:type="pct"/>
            <w:shd w:val="clear" w:color="auto" w:fill="auto"/>
            <w:vAlign w:val="center"/>
          </w:tcPr>
          <w:p w14:paraId="71CE2F8E" w14:textId="77777777" w:rsidR="000D07EA" w:rsidRDefault="00BE7C89">
            <w:pPr>
              <w:pStyle w:val="BodyText"/>
              <w:spacing w:before="100" w:after="100"/>
              <w:jc w:val="center"/>
            </w:pPr>
            <w:r>
              <w:t>Unlimited</w:t>
            </w:r>
          </w:p>
        </w:tc>
        <w:tc>
          <w:tcPr>
            <w:tcW w:w="991" w:type="pct"/>
            <w:vAlign w:val="center"/>
          </w:tcPr>
          <w:p w14:paraId="0E035DF0" w14:textId="77777777" w:rsidR="000D07EA" w:rsidRDefault="00BE7C89">
            <w:pPr>
              <w:pStyle w:val="BodyText"/>
              <w:spacing w:before="100" w:after="100"/>
              <w:jc w:val="center"/>
            </w:pPr>
            <w:r>
              <w:t>Unlimited</w:t>
            </w:r>
          </w:p>
        </w:tc>
      </w:tr>
      <w:tr w:rsidR="000D07EA" w14:paraId="159B510D" w14:textId="77777777">
        <w:tc>
          <w:tcPr>
            <w:tcW w:w="1038" w:type="pct"/>
            <w:shd w:val="clear" w:color="auto" w:fill="auto"/>
          </w:tcPr>
          <w:p w14:paraId="16C436C2" w14:textId="77777777" w:rsidR="000D07EA" w:rsidRDefault="00BE7C89">
            <w:pPr>
              <w:pStyle w:val="BodyText"/>
              <w:spacing w:before="100" w:after="100"/>
              <w:rPr>
                <w:b/>
                <w:bCs/>
              </w:rPr>
            </w:pPr>
            <w:r>
              <w:rPr>
                <w:b/>
                <w:bCs/>
              </w:rPr>
              <w:t xml:space="preserve">Standard international MMS </w:t>
            </w:r>
            <w:r>
              <w:t>(per message to selected countries)</w:t>
            </w:r>
          </w:p>
        </w:tc>
        <w:tc>
          <w:tcPr>
            <w:tcW w:w="990" w:type="pct"/>
            <w:vAlign w:val="center"/>
          </w:tcPr>
          <w:p w14:paraId="007563F5" w14:textId="77777777" w:rsidR="000D07EA" w:rsidRDefault="00BE7C89">
            <w:pPr>
              <w:pStyle w:val="BodyText"/>
              <w:spacing w:before="100" w:after="100"/>
              <w:jc w:val="center"/>
            </w:pPr>
            <w:r>
              <w:t>Unlimited</w:t>
            </w:r>
          </w:p>
        </w:tc>
        <w:tc>
          <w:tcPr>
            <w:tcW w:w="991" w:type="pct"/>
            <w:gridSpan w:val="2"/>
            <w:shd w:val="clear" w:color="auto" w:fill="auto"/>
            <w:vAlign w:val="center"/>
          </w:tcPr>
          <w:p w14:paraId="32885950" w14:textId="77777777" w:rsidR="000D07EA" w:rsidRDefault="00BE7C89">
            <w:pPr>
              <w:pStyle w:val="BodyText"/>
              <w:spacing w:before="100" w:after="100"/>
              <w:jc w:val="center"/>
            </w:pPr>
            <w:r>
              <w:t>Unlimited</w:t>
            </w:r>
          </w:p>
        </w:tc>
        <w:tc>
          <w:tcPr>
            <w:tcW w:w="991" w:type="pct"/>
            <w:shd w:val="clear" w:color="auto" w:fill="auto"/>
            <w:vAlign w:val="center"/>
          </w:tcPr>
          <w:p w14:paraId="33D72B74" w14:textId="77777777" w:rsidR="000D07EA" w:rsidRDefault="00BE7C89">
            <w:pPr>
              <w:pStyle w:val="BodyText"/>
              <w:spacing w:before="100" w:after="100"/>
              <w:jc w:val="center"/>
            </w:pPr>
            <w:r>
              <w:t>Unlimited</w:t>
            </w:r>
          </w:p>
        </w:tc>
        <w:tc>
          <w:tcPr>
            <w:tcW w:w="991" w:type="pct"/>
            <w:vAlign w:val="center"/>
          </w:tcPr>
          <w:p w14:paraId="60AADADE" w14:textId="77777777" w:rsidR="000D07EA" w:rsidRDefault="00BE7C89">
            <w:pPr>
              <w:pStyle w:val="BodyText"/>
              <w:spacing w:before="100" w:after="100"/>
              <w:jc w:val="center"/>
            </w:pPr>
            <w:r>
              <w:t>Unlimited</w:t>
            </w:r>
          </w:p>
        </w:tc>
      </w:tr>
      <w:tr w:rsidR="000D07EA" w14:paraId="6414337F" w14:textId="77777777">
        <w:tc>
          <w:tcPr>
            <w:tcW w:w="1038" w:type="pct"/>
            <w:shd w:val="clear" w:color="auto" w:fill="auto"/>
          </w:tcPr>
          <w:p w14:paraId="02812C27" w14:textId="77777777" w:rsidR="000D07EA" w:rsidRDefault="00BE7C89">
            <w:pPr>
              <w:pStyle w:val="BodyText"/>
              <w:spacing w:before="100" w:after="100"/>
              <w:rPr>
                <w:b/>
                <w:bCs/>
              </w:rPr>
            </w:pPr>
            <w:r>
              <w:rPr>
                <w:b/>
                <w:bCs/>
              </w:rPr>
              <w:t xml:space="preserve">Minimum total cost over 24 months </w:t>
            </w:r>
          </w:p>
        </w:tc>
        <w:tc>
          <w:tcPr>
            <w:tcW w:w="990" w:type="pct"/>
            <w:vAlign w:val="center"/>
          </w:tcPr>
          <w:p w14:paraId="30879223" w14:textId="77777777" w:rsidR="000D07EA" w:rsidRDefault="00BE7C89">
            <w:pPr>
              <w:pStyle w:val="BodyText"/>
              <w:spacing w:before="100" w:after="100"/>
              <w:jc w:val="center"/>
            </w:pPr>
            <w:r>
              <w:t>$960</w:t>
            </w:r>
          </w:p>
        </w:tc>
        <w:tc>
          <w:tcPr>
            <w:tcW w:w="991" w:type="pct"/>
            <w:gridSpan w:val="2"/>
            <w:shd w:val="clear" w:color="auto" w:fill="auto"/>
            <w:vAlign w:val="center"/>
          </w:tcPr>
          <w:p w14:paraId="5BFE0482" w14:textId="77777777" w:rsidR="000D07EA" w:rsidRDefault="00BE7C89">
            <w:pPr>
              <w:pStyle w:val="BodyText"/>
              <w:spacing w:before="100" w:after="100"/>
              <w:jc w:val="center"/>
            </w:pPr>
            <w:r>
              <w:t>$1440</w:t>
            </w:r>
          </w:p>
        </w:tc>
        <w:tc>
          <w:tcPr>
            <w:tcW w:w="991" w:type="pct"/>
            <w:shd w:val="clear" w:color="auto" w:fill="auto"/>
            <w:vAlign w:val="center"/>
          </w:tcPr>
          <w:p w14:paraId="3AFFDE1F" w14:textId="77777777" w:rsidR="000D07EA" w:rsidRDefault="00BE7C89">
            <w:pPr>
              <w:pStyle w:val="BodyText"/>
              <w:spacing w:before="100" w:after="100"/>
              <w:jc w:val="center"/>
            </w:pPr>
            <w:r>
              <w:t>$1920</w:t>
            </w:r>
          </w:p>
        </w:tc>
        <w:tc>
          <w:tcPr>
            <w:tcW w:w="991" w:type="pct"/>
          </w:tcPr>
          <w:p w14:paraId="04F91E83" w14:textId="77777777" w:rsidR="000D07EA" w:rsidRDefault="00BE7C89">
            <w:pPr>
              <w:pStyle w:val="BodyText"/>
              <w:spacing w:before="100" w:after="100"/>
              <w:jc w:val="center"/>
            </w:pPr>
            <w:r>
              <w:t>$2400</w:t>
            </w:r>
          </w:p>
        </w:tc>
      </w:tr>
    </w:tbl>
    <w:p w14:paraId="760879E8" w14:textId="77777777" w:rsidR="000D07EA" w:rsidRDefault="000D07EA">
      <w:pPr>
        <w:pStyle w:val="BodyText"/>
      </w:pPr>
    </w:p>
    <w:p w14:paraId="3E39B344" w14:textId="77777777" w:rsidR="000D07EA" w:rsidRDefault="00BE7C89">
      <w:pPr>
        <w:pStyle w:val="BodyText"/>
        <w:ind w:left="720"/>
        <w:rPr>
          <w:b/>
        </w:rPr>
      </w:pPr>
      <w:r>
        <w:rPr>
          <w:b/>
        </w:rPr>
        <w:t>Table 2 – Other usage types and charges</w:t>
      </w: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0"/>
        <w:gridCol w:w="4320"/>
      </w:tblGrid>
      <w:tr w:rsidR="000D07EA" w14:paraId="45ACBA31" w14:textId="77777777">
        <w:trPr>
          <w:tblHeader/>
        </w:trPr>
        <w:tc>
          <w:tcPr>
            <w:tcW w:w="4410" w:type="dxa"/>
            <w:shd w:val="clear" w:color="auto" w:fill="auto"/>
          </w:tcPr>
          <w:p w14:paraId="469F0674" w14:textId="77777777" w:rsidR="000D07EA" w:rsidRDefault="00BE7C89">
            <w:pPr>
              <w:pStyle w:val="BodyText"/>
              <w:spacing w:before="100" w:after="100"/>
              <w:rPr>
                <w:b/>
              </w:rPr>
            </w:pPr>
            <w:r>
              <w:rPr>
                <w:b/>
              </w:rPr>
              <w:t>Usage type</w:t>
            </w:r>
          </w:p>
        </w:tc>
        <w:tc>
          <w:tcPr>
            <w:tcW w:w="4320" w:type="dxa"/>
            <w:shd w:val="clear" w:color="auto" w:fill="auto"/>
            <w:vAlign w:val="center"/>
          </w:tcPr>
          <w:p w14:paraId="5DC7664F" w14:textId="77777777" w:rsidR="000D07EA" w:rsidRDefault="00BE7C89">
            <w:pPr>
              <w:pStyle w:val="BodyText"/>
              <w:spacing w:before="100" w:after="100"/>
              <w:jc w:val="center"/>
              <w:rPr>
                <w:b/>
              </w:rPr>
            </w:pPr>
            <w:r>
              <w:rPr>
                <w:b/>
              </w:rPr>
              <w:t>Charge</w:t>
            </w:r>
          </w:p>
        </w:tc>
      </w:tr>
      <w:tr w:rsidR="000D07EA" w14:paraId="6BDC9888" w14:textId="77777777">
        <w:tc>
          <w:tcPr>
            <w:tcW w:w="4410" w:type="dxa"/>
            <w:shd w:val="clear" w:color="auto" w:fill="auto"/>
          </w:tcPr>
          <w:p w14:paraId="0E6FCD4F" w14:textId="77777777" w:rsidR="000D07EA" w:rsidRDefault="00BE7C89">
            <w:pPr>
              <w:pStyle w:val="BodyText"/>
              <w:spacing w:before="100" w:after="100"/>
              <w:rPr>
                <w:b/>
              </w:rPr>
            </w:pPr>
            <w:r>
              <w:rPr>
                <w:b/>
                <w:bCs/>
              </w:rPr>
              <w:t xml:space="preserve">National video calls </w:t>
            </w:r>
            <w:r>
              <w:t>(per minute)</w:t>
            </w:r>
          </w:p>
        </w:tc>
        <w:tc>
          <w:tcPr>
            <w:tcW w:w="4320" w:type="dxa"/>
            <w:shd w:val="clear" w:color="auto" w:fill="auto"/>
            <w:vAlign w:val="center"/>
          </w:tcPr>
          <w:p w14:paraId="72240B90" w14:textId="77777777" w:rsidR="000D07EA" w:rsidRDefault="00BE7C89">
            <w:pPr>
              <w:pStyle w:val="BodyText"/>
              <w:spacing w:before="100" w:after="100"/>
              <w:jc w:val="center"/>
            </w:pPr>
            <w:r>
              <w:t>$1.00 per min + 40c flagfall</w:t>
            </w:r>
          </w:p>
        </w:tc>
      </w:tr>
      <w:tr w:rsidR="000D07EA" w14:paraId="440FEE6A" w14:textId="77777777">
        <w:tc>
          <w:tcPr>
            <w:tcW w:w="4410" w:type="dxa"/>
            <w:shd w:val="clear" w:color="auto" w:fill="auto"/>
          </w:tcPr>
          <w:p w14:paraId="08D4981D" w14:textId="77777777" w:rsidR="000D07EA" w:rsidRDefault="00BE7C89">
            <w:pPr>
              <w:pStyle w:val="BodyText"/>
              <w:spacing w:before="100" w:after="100"/>
              <w:rPr>
                <w:b/>
                <w:bCs/>
              </w:rPr>
            </w:pPr>
            <w:r>
              <w:rPr>
                <w:b/>
                <w:bCs/>
              </w:rPr>
              <w:t>National Diversions</w:t>
            </w:r>
          </w:p>
        </w:tc>
        <w:tc>
          <w:tcPr>
            <w:tcW w:w="4320" w:type="dxa"/>
            <w:shd w:val="clear" w:color="auto" w:fill="auto"/>
          </w:tcPr>
          <w:p w14:paraId="5EDC4A01" w14:textId="77777777" w:rsidR="000D07EA" w:rsidRDefault="00BE7C89">
            <w:pPr>
              <w:pStyle w:val="BodyText"/>
              <w:spacing w:before="100" w:after="100"/>
              <w:jc w:val="center"/>
            </w:pPr>
            <w:r>
              <w:t>$0 per minute</w:t>
            </w:r>
          </w:p>
        </w:tc>
      </w:tr>
      <w:tr w:rsidR="000D07EA" w14:paraId="0DA857AC" w14:textId="77777777">
        <w:tc>
          <w:tcPr>
            <w:tcW w:w="4410" w:type="dxa"/>
            <w:shd w:val="clear" w:color="auto" w:fill="auto"/>
          </w:tcPr>
          <w:p w14:paraId="323A417C" w14:textId="77777777" w:rsidR="000D07EA" w:rsidRDefault="00BE7C89">
            <w:pPr>
              <w:pStyle w:val="BodyText"/>
              <w:spacing w:before="100" w:after="100"/>
              <w:rPr>
                <w:b/>
                <w:bCs/>
              </w:rPr>
            </w:pPr>
            <w:r>
              <w:rPr>
                <w:b/>
                <w:bCs/>
              </w:rPr>
              <w:t xml:space="preserve">International Diversions </w:t>
            </w:r>
          </w:p>
        </w:tc>
        <w:tc>
          <w:tcPr>
            <w:tcW w:w="4320" w:type="dxa"/>
            <w:shd w:val="clear" w:color="auto" w:fill="auto"/>
          </w:tcPr>
          <w:p w14:paraId="7FEEF7E0" w14:textId="77777777" w:rsidR="000D07EA" w:rsidRDefault="00BE7C89">
            <w:pPr>
              <w:pStyle w:val="BodyText"/>
              <w:spacing w:before="100" w:after="100"/>
              <w:jc w:val="center"/>
            </w:pPr>
            <w:r>
              <w:t>'yes' international rates</w:t>
            </w:r>
            <w:r>
              <w:br/>
              <w:t>See optus.com.au/international</w:t>
            </w:r>
          </w:p>
        </w:tc>
      </w:tr>
      <w:tr w:rsidR="000D07EA" w14:paraId="7AAB2263" w14:textId="77777777">
        <w:tc>
          <w:tcPr>
            <w:tcW w:w="4410" w:type="dxa"/>
            <w:shd w:val="clear" w:color="auto" w:fill="auto"/>
          </w:tcPr>
          <w:p w14:paraId="0E380860" w14:textId="77777777" w:rsidR="000D07EA" w:rsidRDefault="00BE7C89">
            <w:pPr>
              <w:pStyle w:val="BodyText"/>
              <w:spacing w:before="100" w:after="100"/>
              <w:rPr>
                <w:b/>
                <w:bCs/>
              </w:rPr>
            </w:pPr>
            <w:r>
              <w:rPr>
                <w:b/>
                <w:bCs/>
              </w:rPr>
              <w:t xml:space="preserve">1800 numbers </w:t>
            </w:r>
          </w:p>
        </w:tc>
        <w:tc>
          <w:tcPr>
            <w:tcW w:w="4320" w:type="dxa"/>
            <w:shd w:val="clear" w:color="auto" w:fill="auto"/>
            <w:vAlign w:val="center"/>
          </w:tcPr>
          <w:p w14:paraId="16A608C5" w14:textId="77777777" w:rsidR="000D07EA" w:rsidRDefault="00BE7C89">
            <w:pPr>
              <w:pStyle w:val="BodyText"/>
              <w:spacing w:before="100" w:after="100"/>
              <w:jc w:val="center"/>
            </w:pPr>
            <w:r>
              <w:t>$0 per minute</w:t>
            </w:r>
          </w:p>
        </w:tc>
      </w:tr>
      <w:tr w:rsidR="000D07EA" w14:paraId="68C41C76" w14:textId="77777777">
        <w:tc>
          <w:tcPr>
            <w:tcW w:w="4410" w:type="dxa"/>
            <w:shd w:val="clear" w:color="auto" w:fill="auto"/>
          </w:tcPr>
          <w:p w14:paraId="12533258" w14:textId="77777777" w:rsidR="000D07EA" w:rsidRDefault="00BE7C89">
            <w:pPr>
              <w:pStyle w:val="BodyText"/>
              <w:spacing w:before="100" w:after="100"/>
              <w:rPr>
                <w:b/>
                <w:bCs/>
              </w:rPr>
            </w:pPr>
            <w:r>
              <w:rPr>
                <w:b/>
                <w:bCs/>
              </w:rPr>
              <w:t xml:space="preserve">Directory Assistance 1223 </w:t>
            </w:r>
          </w:p>
        </w:tc>
        <w:tc>
          <w:tcPr>
            <w:tcW w:w="4320" w:type="dxa"/>
            <w:shd w:val="clear" w:color="auto" w:fill="auto"/>
            <w:vAlign w:val="center"/>
          </w:tcPr>
          <w:p w14:paraId="1CBF0F8C" w14:textId="77777777" w:rsidR="000D07EA" w:rsidRDefault="00BE7C89">
            <w:pPr>
              <w:pStyle w:val="BodyText"/>
              <w:spacing w:before="100" w:after="100"/>
              <w:jc w:val="center"/>
            </w:pPr>
            <w:r>
              <w:t>50c per call</w:t>
            </w:r>
          </w:p>
        </w:tc>
      </w:tr>
      <w:tr w:rsidR="000D07EA" w14:paraId="478EB51A" w14:textId="77777777">
        <w:tc>
          <w:tcPr>
            <w:tcW w:w="4410" w:type="dxa"/>
            <w:shd w:val="clear" w:color="auto" w:fill="auto"/>
          </w:tcPr>
          <w:p w14:paraId="4684DA52" w14:textId="77777777" w:rsidR="000D07EA" w:rsidRDefault="00BE7C89">
            <w:pPr>
              <w:pStyle w:val="BodyText"/>
              <w:spacing w:before="100" w:after="100"/>
              <w:rPr>
                <w:b/>
                <w:bCs/>
              </w:rPr>
            </w:pPr>
            <w:r>
              <w:rPr>
                <w:b/>
                <w:bCs/>
              </w:rPr>
              <w:t>124 Yes</w:t>
            </w:r>
          </w:p>
        </w:tc>
        <w:tc>
          <w:tcPr>
            <w:tcW w:w="4320" w:type="dxa"/>
            <w:shd w:val="clear" w:color="auto" w:fill="auto"/>
            <w:vAlign w:val="center"/>
          </w:tcPr>
          <w:p w14:paraId="71B85480" w14:textId="77777777" w:rsidR="000D07EA" w:rsidRDefault="00BE7C89">
            <w:pPr>
              <w:pStyle w:val="BodyText"/>
              <w:spacing w:before="100" w:after="100"/>
              <w:jc w:val="center"/>
            </w:pPr>
            <w:r>
              <w:t>90c per minute +$1.75c flagfall</w:t>
            </w:r>
          </w:p>
        </w:tc>
      </w:tr>
      <w:tr w:rsidR="000D07EA" w14:paraId="49BFC97F" w14:textId="77777777">
        <w:tc>
          <w:tcPr>
            <w:tcW w:w="4410" w:type="dxa"/>
            <w:shd w:val="clear" w:color="auto" w:fill="auto"/>
          </w:tcPr>
          <w:p w14:paraId="48C67100" w14:textId="77777777" w:rsidR="000D07EA" w:rsidRDefault="00BE7C89">
            <w:pPr>
              <w:pStyle w:val="BodyText"/>
              <w:spacing w:before="100" w:after="100"/>
              <w:rPr>
                <w:b/>
                <w:bCs/>
              </w:rPr>
            </w:pPr>
            <w:r>
              <w:rPr>
                <w:b/>
                <w:bCs/>
              </w:rPr>
              <w:t xml:space="preserve">International voice calls (outside the plan's included international minutes and to excluded countries) </w:t>
            </w:r>
          </w:p>
        </w:tc>
        <w:tc>
          <w:tcPr>
            <w:tcW w:w="4320" w:type="dxa"/>
            <w:shd w:val="clear" w:color="auto" w:fill="auto"/>
            <w:vAlign w:val="center"/>
          </w:tcPr>
          <w:p w14:paraId="7FE9DC92" w14:textId="77777777" w:rsidR="000D07EA" w:rsidRDefault="00BE7C89">
            <w:pPr>
              <w:pStyle w:val="BodyText"/>
              <w:spacing w:before="100" w:after="100"/>
              <w:jc w:val="center"/>
            </w:pPr>
            <w:r>
              <w:t>'yes' international rates</w:t>
            </w:r>
            <w:r>
              <w:br/>
              <w:t>See optus.com.au/international</w:t>
            </w:r>
          </w:p>
        </w:tc>
      </w:tr>
      <w:tr w:rsidR="000D07EA" w14:paraId="7ABD6D8F" w14:textId="77777777">
        <w:tc>
          <w:tcPr>
            <w:tcW w:w="4410" w:type="dxa"/>
            <w:shd w:val="clear" w:color="auto" w:fill="auto"/>
          </w:tcPr>
          <w:p w14:paraId="5DA1DBBC" w14:textId="77777777" w:rsidR="000D07EA" w:rsidRDefault="00BE7C89">
            <w:pPr>
              <w:pStyle w:val="BodyText"/>
              <w:spacing w:before="100" w:after="100"/>
              <w:rPr>
                <w:b/>
                <w:bCs/>
              </w:rPr>
            </w:pPr>
            <w:r>
              <w:rPr>
                <w:b/>
                <w:bCs/>
              </w:rPr>
              <w:t>International SMS (to excluded countries)</w:t>
            </w:r>
          </w:p>
        </w:tc>
        <w:tc>
          <w:tcPr>
            <w:tcW w:w="4320" w:type="dxa"/>
            <w:shd w:val="clear" w:color="auto" w:fill="auto"/>
            <w:vAlign w:val="center"/>
          </w:tcPr>
          <w:p w14:paraId="2577A9E5" w14:textId="77777777" w:rsidR="000D07EA" w:rsidRDefault="00BE7C89">
            <w:pPr>
              <w:pStyle w:val="BodyText"/>
              <w:spacing w:before="100" w:after="100"/>
              <w:jc w:val="center"/>
            </w:pPr>
            <w:r>
              <w:t>50c per SMS up to 160 standard characters</w:t>
            </w:r>
          </w:p>
        </w:tc>
      </w:tr>
      <w:tr w:rsidR="000D07EA" w14:paraId="7DE4EE39" w14:textId="77777777">
        <w:tc>
          <w:tcPr>
            <w:tcW w:w="4410" w:type="dxa"/>
            <w:shd w:val="clear" w:color="auto" w:fill="auto"/>
          </w:tcPr>
          <w:p w14:paraId="50211011" w14:textId="77777777" w:rsidR="000D07EA" w:rsidRDefault="00BE7C89">
            <w:pPr>
              <w:pStyle w:val="BodyText"/>
              <w:spacing w:before="100" w:after="100"/>
              <w:rPr>
                <w:b/>
                <w:bCs/>
              </w:rPr>
            </w:pPr>
            <w:r>
              <w:rPr>
                <w:b/>
                <w:bCs/>
              </w:rPr>
              <w:t>International MMS (to excluded countries)</w:t>
            </w:r>
          </w:p>
        </w:tc>
        <w:tc>
          <w:tcPr>
            <w:tcW w:w="4320" w:type="dxa"/>
            <w:shd w:val="clear" w:color="auto" w:fill="auto"/>
            <w:vAlign w:val="center"/>
          </w:tcPr>
          <w:p w14:paraId="1F72459A" w14:textId="77777777" w:rsidR="000D07EA" w:rsidRDefault="00BE7C89">
            <w:pPr>
              <w:pStyle w:val="BodyText"/>
              <w:spacing w:before="100" w:after="100"/>
              <w:jc w:val="center"/>
            </w:pPr>
            <w:r>
              <w:t>75c per MMS</w:t>
            </w:r>
          </w:p>
        </w:tc>
      </w:tr>
      <w:tr w:rsidR="000D07EA" w14:paraId="457FE096" w14:textId="77777777">
        <w:tc>
          <w:tcPr>
            <w:tcW w:w="4410" w:type="dxa"/>
            <w:shd w:val="clear" w:color="auto" w:fill="auto"/>
          </w:tcPr>
          <w:p w14:paraId="5293F346" w14:textId="77777777" w:rsidR="000D07EA" w:rsidRDefault="00BE7C89">
            <w:pPr>
              <w:pStyle w:val="BodyText"/>
              <w:spacing w:before="100" w:after="100"/>
              <w:rPr>
                <w:b/>
                <w:bCs/>
              </w:rPr>
            </w:pPr>
            <w:r>
              <w:rPr>
                <w:b/>
                <w:bCs/>
              </w:rPr>
              <w:t xml:space="preserve">International video calling </w:t>
            </w:r>
          </w:p>
        </w:tc>
        <w:tc>
          <w:tcPr>
            <w:tcW w:w="4320" w:type="dxa"/>
            <w:shd w:val="clear" w:color="auto" w:fill="auto"/>
            <w:vAlign w:val="center"/>
          </w:tcPr>
          <w:p w14:paraId="10E893EF" w14:textId="77777777" w:rsidR="000D07EA" w:rsidRDefault="00BE7C89">
            <w:pPr>
              <w:pStyle w:val="BodyText"/>
              <w:spacing w:before="100" w:after="100"/>
              <w:jc w:val="center"/>
            </w:pPr>
            <w:r>
              <w:t>$1.50 per minute +35c flagfall</w:t>
            </w:r>
          </w:p>
        </w:tc>
      </w:tr>
      <w:tr w:rsidR="000D07EA" w14:paraId="56572F1B" w14:textId="77777777">
        <w:tc>
          <w:tcPr>
            <w:tcW w:w="4410" w:type="dxa"/>
            <w:shd w:val="clear" w:color="auto" w:fill="auto"/>
          </w:tcPr>
          <w:p w14:paraId="55D7AD23" w14:textId="77777777" w:rsidR="000D07EA" w:rsidRDefault="00BE7C89">
            <w:pPr>
              <w:pStyle w:val="BodyText"/>
              <w:spacing w:before="100" w:after="100"/>
              <w:rPr>
                <w:b/>
                <w:bCs/>
              </w:rPr>
            </w:pPr>
            <w:r>
              <w:rPr>
                <w:b/>
                <w:bCs/>
              </w:rPr>
              <w:t xml:space="preserve">International roaming </w:t>
            </w:r>
          </w:p>
        </w:tc>
        <w:tc>
          <w:tcPr>
            <w:tcW w:w="4320" w:type="dxa"/>
            <w:shd w:val="clear" w:color="auto" w:fill="auto"/>
            <w:vAlign w:val="center"/>
          </w:tcPr>
          <w:p w14:paraId="4E19FEF7" w14:textId="77777777" w:rsidR="000D07EA" w:rsidRDefault="00BE7C89">
            <w:pPr>
              <w:pStyle w:val="BodyText"/>
              <w:spacing w:before="100" w:after="100"/>
              <w:jc w:val="center"/>
            </w:pPr>
            <w:r>
              <w:t>See optus.com.au/roaming</w:t>
            </w:r>
          </w:p>
        </w:tc>
      </w:tr>
    </w:tbl>
    <w:p w14:paraId="69B715CB" w14:textId="77777777" w:rsidR="000D07EA" w:rsidRDefault="000D07EA">
      <w:pPr>
        <w:pStyle w:val="BodyText"/>
      </w:pPr>
    </w:p>
    <w:p w14:paraId="2FCBF7AC" w14:textId="77777777" w:rsidR="000D07EA" w:rsidRDefault="00BE7C89">
      <w:pPr>
        <w:pStyle w:val="BodyText"/>
        <w:ind w:left="720"/>
        <w:rPr>
          <w:b/>
        </w:rPr>
      </w:pPr>
      <w:r>
        <w:rPr>
          <w:b/>
        </w:rPr>
        <w:t>Table 3 – International Countries</w:t>
      </w: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2"/>
        <w:gridCol w:w="2183"/>
        <w:gridCol w:w="2182"/>
        <w:gridCol w:w="2183"/>
      </w:tblGrid>
      <w:tr w:rsidR="000D07EA" w14:paraId="257E2C8B" w14:textId="77777777">
        <w:tc>
          <w:tcPr>
            <w:tcW w:w="2182" w:type="dxa"/>
            <w:shd w:val="clear" w:color="auto" w:fill="auto"/>
          </w:tcPr>
          <w:p w14:paraId="3EE93CAE" w14:textId="77777777" w:rsidR="000D07EA" w:rsidRDefault="00BE7C89">
            <w:pPr>
              <w:pStyle w:val="BodyText"/>
              <w:spacing w:before="100" w:after="100"/>
              <w:rPr>
                <w:b/>
              </w:rPr>
            </w:pPr>
            <w:r>
              <w:t>Austria</w:t>
            </w:r>
          </w:p>
        </w:tc>
        <w:tc>
          <w:tcPr>
            <w:tcW w:w="2183" w:type="dxa"/>
            <w:shd w:val="clear" w:color="auto" w:fill="auto"/>
          </w:tcPr>
          <w:p w14:paraId="14C9A5B9" w14:textId="77777777" w:rsidR="000D07EA" w:rsidRDefault="00BE7C89">
            <w:pPr>
              <w:pStyle w:val="BodyText"/>
              <w:spacing w:before="100" w:after="100"/>
              <w:rPr>
                <w:b/>
              </w:rPr>
            </w:pPr>
            <w:r>
              <w:t>Bangladesh</w:t>
            </w:r>
          </w:p>
        </w:tc>
        <w:tc>
          <w:tcPr>
            <w:tcW w:w="2182" w:type="dxa"/>
            <w:shd w:val="clear" w:color="auto" w:fill="auto"/>
          </w:tcPr>
          <w:p w14:paraId="16E75AC3" w14:textId="77777777" w:rsidR="000D07EA" w:rsidRDefault="00BE7C89">
            <w:pPr>
              <w:pStyle w:val="BodyText"/>
              <w:spacing w:before="100" w:after="100"/>
              <w:rPr>
                <w:b/>
              </w:rPr>
            </w:pPr>
            <w:r>
              <w:t>Cambodia</w:t>
            </w:r>
          </w:p>
        </w:tc>
        <w:tc>
          <w:tcPr>
            <w:tcW w:w="2183" w:type="dxa"/>
            <w:shd w:val="clear" w:color="auto" w:fill="auto"/>
          </w:tcPr>
          <w:p w14:paraId="4491B94A" w14:textId="77777777" w:rsidR="000D07EA" w:rsidRDefault="00BE7C89">
            <w:pPr>
              <w:pStyle w:val="BodyText"/>
              <w:spacing w:before="100" w:after="100"/>
              <w:rPr>
                <w:b/>
              </w:rPr>
            </w:pPr>
            <w:r>
              <w:t>Canada</w:t>
            </w:r>
          </w:p>
        </w:tc>
      </w:tr>
      <w:tr w:rsidR="000D07EA" w14:paraId="0FF085C3" w14:textId="77777777">
        <w:tc>
          <w:tcPr>
            <w:tcW w:w="2182" w:type="dxa"/>
            <w:shd w:val="clear" w:color="auto" w:fill="auto"/>
          </w:tcPr>
          <w:p w14:paraId="747F901B" w14:textId="77777777" w:rsidR="000D07EA" w:rsidRDefault="00BE7C89">
            <w:pPr>
              <w:pStyle w:val="BodyText"/>
              <w:spacing w:before="100" w:after="100"/>
              <w:rPr>
                <w:b/>
              </w:rPr>
            </w:pPr>
            <w:r>
              <w:t xml:space="preserve">Chile </w:t>
            </w:r>
          </w:p>
        </w:tc>
        <w:tc>
          <w:tcPr>
            <w:tcW w:w="2183" w:type="dxa"/>
            <w:shd w:val="clear" w:color="auto" w:fill="auto"/>
          </w:tcPr>
          <w:p w14:paraId="5CC8642D" w14:textId="77777777" w:rsidR="000D07EA" w:rsidRDefault="00BE7C89">
            <w:pPr>
              <w:pStyle w:val="BodyText"/>
              <w:spacing w:before="100" w:after="100"/>
              <w:rPr>
                <w:b/>
              </w:rPr>
            </w:pPr>
            <w:r>
              <w:t xml:space="preserve">China </w:t>
            </w:r>
          </w:p>
        </w:tc>
        <w:tc>
          <w:tcPr>
            <w:tcW w:w="2182" w:type="dxa"/>
            <w:shd w:val="clear" w:color="auto" w:fill="auto"/>
          </w:tcPr>
          <w:p w14:paraId="0EB802AB" w14:textId="77777777" w:rsidR="000D07EA" w:rsidRDefault="00BE7C89">
            <w:pPr>
              <w:pStyle w:val="BodyText"/>
              <w:spacing w:before="100" w:after="100"/>
              <w:rPr>
                <w:b/>
              </w:rPr>
            </w:pPr>
            <w:r>
              <w:t xml:space="preserve">Croatia </w:t>
            </w:r>
          </w:p>
        </w:tc>
        <w:tc>
          <w:tcPr>
            <w:tcW w:w="2183" w:type="dxa"/>
            <w:shd w:val="clear" w:color="auto" w:fill="auto"/>
          </w:tcPr>
          <w:p w14:paraId="444B1850" w14:textId="77777777" w:rsidR="000D07EA" w:rsidRDefault="00BE7C89">
            <w:pPr>
              <w:pStyle w:val="BodyText"/>
              <w:spacing w:before="100" w:after="100"/>
              <w:rPr>
                <w:b/>
              </w:rPr>
            </w:pPr>
            <w:r>
              <w:t>France</w:t>
            </w:r>
          </w:p>
        </w:tc>
      </w:tr>
      <w:tr w:rsidR="000D07EA" w14:paraId="0F480247" w14:textId="77777777">
        <w:tc>
          <w:tcPr>
            <w:tcW w:w="2182" w:type="dxa"/>
            <w:shd w:val="clear" w:color="auto" w:fill="auto"/>
          </w:tcPr>
          <w:p w14:paraId="1948555F" w14:textId="77777777" w:rsidR="000D07EA" w:rsidRDefault="00BE7C89">
            <w:pPr>
              <w:pStyle w:val="BodyText"/>
              <w:spacing w:before="100" w:after="100"/>
              <w:rPr>
                <w:b/>
              </w:rPr>
            </w:pPr>
            <w:r>
              <w:t>Germany</w:t>
            </w:r>
          </w:p>
        </w:tc>
        <w:tc>
          <w:tcPr>
            <w:tcW w:w="2183" w:type="dxa"/>
            <w:shd w:val="clear" w:color="auto" w:fill="auto"/>
          </w:tcPr>
          <w:p w14:paraId="06FFD496" w14:textId="77777777" w:rsidR="000D07EA" w:rsidRDefault="00BE7C89">
            <w:pPr>
              <w:pStyle w:val="BodyText"/>
              <w:spacing w:before="100" w:after="100"/>
              <w:rPr>
                <w:b/>
              </w:rPr>
            </w:pPr>
            <w:r>
              <w:t>Greece</w:t>
            </w:r>
          </w:p>
        </w:tc>
        <w:tc>
          <w:tcPr>
            <w:tcW w:w="2182" w:type="dxa"/>
            <w:shd w:val="clear" w:color="auto" w:fill="auto"/>
          </w:tcPr>
          <w:p w14:paraId="1F8B4560" w14:textId="77777777" w:rsidR="000D07EA" w:rsidRDefault="00BE7C89">
            <w:pPr>
              <w:pStyle w:val="BodyText"/>
              <w:spacing w:before="100" w:after="100"/>
              <w:rPr>
                <w:b/>
              </w:rPr>
            </w:pPr>
            <w:r>
              <w:t>Hong Kong</w:t>
            </w:r>
          </w:p>
        </w:tc>
        <w:tc>
          <w:tcPr>
            <w:tcW w:w="2183" w:type="dxa"/>
            <w:shd w:val="clear" w:color="auto" w:fill="auto"/>
          </w:tcPr>
          <w:p w14:paraId="3CF14745" w14:textId="77777777" w:rsidR="000D07EA" w:rsidRDefault="00BE7C89">
            <w:pPr>
              <w:pStyle w:val="BodyText"/>
              <w:spacing w:before="100" w:after="100"/>
              <w:rPr>
                <w:b/>
              </w:rPr>
            </w:pPr>
            <w:r>
              <w:t>Hungary</w:t>
            </w:r>
          </w:p>
        </w:tc>
      </w:tr>
      <w:tr w:rsidR="000D07EA" w14:paraId="09A2C1D6" w14:textId="77777777">
        <w:tc>
          <w:tcPr>
            <w:tcW w:w="2182" w:type="dxa"/>
            <w:shd w:val="clear" w:color="auto" w:fill="auto"/>
          </w:tcPr>
          <w:p w14:paraId="588C19F6" w14:textId="77777777" w:rsidR="000D07EA" w:rsidRDefault="00BE7C89">
            <w:pPr>
              <w:pStyle w:val="BodyText"/>
              <w:spacing w:before="100" w:after="100"/>
              <w:rPr>
                <w:b/>
              </w:rPr>
            </w:pPr>
            <w:r>
              <w:t>Indonesia</w:t>
            </w:r>
          </w:p>
        </w:tc>
        <w:tc>
          <w:tcPr>
            <w:tcW w:w="2183" w:type="dxa"/>
            <w:shd w:val="clear" w:color="auto" w:fill="auto"/>
          </w:tcPr>
          <w:p w14:paraId="11CCC6BD" w14:textId="77777777" w:rsidR="000D07EA" w:rsidRDefault="00BE7C89">
            <w:pPr>
              <w:pStyle w:val="BodyText"/>
              <w:spacing w:before="100" w:after="100"/>
              <w:rPr>
                <w:b/>
              </w:rPr>
            </w:pPr>
            <w:r>
              <w:t>India</w:t>
            </w:r>
          </w:p>
        </w:tc>
        <w:tc>
          <w:tcPr>
            <w:tcW w:w="2182" w:type="dxa"/>
            <w:shd w:val="clear" w:color="auto" w:fill="auto"/>
          </w:tcPr>
          <w:p w14:paraId="77F1085D" w14:textId="77777777" w:rsidR="000D07EA" w:rsidRDefault="00BE7C89">
            <w:pPr>
              <w:pStyle w:val="BodyText"/>
              <w:spacing w:before="100" w:after="100"/>
              <w:rPr>
                <w:b/>
              </w:rPr>
            </w:pPr>
            <w:r>
              <w:t>Ireland</w:t>
            </w:r>
          </w:p>
        </w:tc>
        <w:tc>
          <w:tcPr>
            <w:tcW w:w="2183" w:type="dxa"/>
            <w:shd w:val="clear" w:color="auto" w:fill="auto"/>
          </w:tcPr>
          <w:p w14:paraId="74DAD177" w14:textId="77777777" w:rsidR="000D07EA" w:rsidRDefault="00BE7C89">
            <w:pPr>
              <w:pStyle w:val="BodyText"/>
              <w:spacing w:before="100" w:after="100"/>
              <w:rPr>
                <w:b/>
              </w:rPr>
            </w:pPr>
            <w:r>
              <w:t>Italy</w:t>
            </w:r>
          </w:p>
        </w:tc>
      </w:tr>
      <w:tr w:rsidR="000D07EA" w14:paraId="69B439E2" w14:textId="77777777">
        <w:tc>
          <w:tcPr>
            <w:tcW w:w="2182" w:type="dxa"/>
            <w:shd w:val="clear" w:color="auto" w:fill="auto"/>
          </w:tcPr>
          <w:p w14:paraId="43F2EF1B" w14:textId="77777777" w:rsidR="000D07EA" w:rsidRDefault="00BE7C89">
            <w:pPr>
              <w:pStyle w:val="BodyText"/>
              <w:spacing w:before="100" w:after="100"/>
              <w:rPr>
                <w:b/>
              </w:rPr>
            </w:pPr>
            <w:r>
              <w:t xml:space="preserve">Japan </w:t>
            </w:r>
          </w:p>
        </w:tc>
        <w:tc>
          <w:tcPr>
            <w:tcW w:w="2183" w:type="dxa"/>
            <w:shd w:val="clear" w:color="auto" w:fill="auto"/>
          </w:tcPr>
          <w:p w14:paraId="59CBB9C5" w14:textId="77777777" w:rsidR="000D07EA" w:rsidRDefault="00BE7C89">
            <w:pPr>
              <w:pStyle w:val="BodyText"/>
              <w:spacing w:before="100" w:after="100"/>
              <w:rPr>
                <w:b/>
              </w:rPr>
            </w:pPr>
            <w:r>
              <w:t>Malaysia</w:t>
            </w:r>
          </w:p>
        </w:tc>
        <w:tc>
          <w:tcPr>
            <w:tcW w:w="2182" w:type="dxa"/>
            <w:shd w:val="clear" w:color="auto" w:fill="auto"/>
          </w:tcPr>
          <w:p w14:paraId="77A2A809" w14:textId="77777777" w:rsidR="000D07EA" w:rsidRDefault="00BE7C89">
            <w:pPr>
              <w:pStyle w:val="BodyText"/>
              <w:spacing w:before="100" w:after="100"/>
              <w:rPr>
                <w:b/>
              </w:rPr>
            </w:pPr>
            <w:r>
              <w:t>Netherlands</w:t>
            </w:r>
          </w:p>
        </w:tc>
        <w:tc>
          <w:tcPr>
            <w:tcW w:w="2183" w:type="dxa"/>
            <w:shd w:val="clear" w:color="auto" w:fill="auto"/>
          </w:tcPr>
          <w:p w14:paraId="36154992" w14:textId="77777777" w:rsidR="000D07EA" w:rsidRDefault="00BE7C89">
            <w:pPr>
              <w:pStyle w:val="BodyText"/>
              <w:spacing w:before="100" w:after="100"/>
              <w:rPr>
                <w:b/>
              </w:rPr>
            </w:pPr>
            <w:r>
              <w:t>New Zealand</w:t>
            </w:r>
          </w:p>
        </w:tc>
      </w:tr>
      <w:tr w:rsidR="000D07EA" w14:paraId="041D6BCB" w14:textId="77777777">
        <w:tc>
          <w:tcPr>
            <w:tcW w:w="2182" w:type="dxa"/>
            <w:shd w:val="clear" w:color="auto" w:fill="auto"/>
          </w:tcPr>
          <w:p w14:paraId="421D76C2" w14:textId="77777777" w:rsidR="000D07EA" w:rsidRDefault="00BE7C89">
            <w:pPr>
              <w:pStyle w:val="BodyText"/>
              <w:spacing w:before="100" w:after="100"/>
              <w:rPr>
                <w:b/>
              </w:rPr>
            </w:pPr>
            <w:r>
              <w:t xml:space="preserve">Pakistan </w:t>
            </w:r>
          </w:p>
        </w:tc>
        <w:tc>
          <w:tcPr>
            <w:tcW w:w="2183" w:type="dxa"/>
            <w:shd w:val="clear" w:color="auto" w:fill="auto"/>
          </w:tcPr>
          <w:p w14:paraId="7F61BA47" w14:textId="77777777" w:rsidR="000D07EA" w:rsidRDefault="00BE7C89">
            <w:pPr>
              <w:pStyle w:val="BodyText"/>
              <w:spacing w:before="100" w:after="100"/>
              <w:rPr>
                <w:b/>
              </w:rPr>
            </w:pPr>
            <w:r>
              <w:t>Philippines</w:t>
            </w:r>
          </w:p>
        </w:tc>
        <w:tc>
          <w:tcPr>
            <w:tcW w:w="2182" w:type="dxa"/>
            <w:shd w:val="clear" w:color="auto" w:fill="auto"/>
          </w:tcPr>
          <w:p w14:paraId="633432C6" w14:textId="77777777" w:rsidR="000D07EA" w:rsidRDefault="00BE7C89">
            <w:pPr>
              <w:pStyle w:val="BodyText"/>
              <w:spacing w:before="100" w:after="100"/>
              <w:rPr>
                <w:b/>
              </w:rPr>
            </w:pPr>
            <w:r>
              <w:t xml:space="preserve">Poland </w:t>
            </w:r>
          </w:p>
        </w:tc>
        <w:tc>
          <w:tcPr>
            <w:tcW w:w="2183" w:type="dxa"/>
            <w:shd w:val="clear" w:color="auto" w:fill="auto"/>
          </w:tcPr>
          <w:p w14:paraId="648CAEDE" w14:textId="77777777" w:rsidR="000D07EA" w:rsidRDefault="00BE7C89">
            <w:pPr>
              <w:pStyle w:val="BodyText"/>
              <w:spacing w:before="100" w:after="100"/>
              <w:rPr>
                <w:b/>
              </w:rPr>
            </w:pPr>
            <w:r>
              <w:t>Singapore</w:t>
            </w:r>
          </w:p>
        </w:tc>
      </w:tr>
      <w:tr w:rsidR="000D07EA" w14:paraId="54C040A1" w14:textId="77777777">
        <w:tc>
          <w:tcPr>
            <w:tcW w:w="2182" w:type="dxa"/>
            <w:shd w:val="clear" w:color="auto" w:fill="auto"/>
          </w:tcPr>
          <w:p w14:paraId="77BD08DC" w14:textId="77777777" w:rsidR="000D07EA" w:rsidRDefault="00BE7C89">
            <w:pPr>
              <w:pStyle w:val="BodyText"/>
              <w:spacing w:before="100" w:after="100"/>
              <w:rPr>
                <w:b/>
              </w:rPr>
            </w:pPr>
            <w:r>
              <w:t xml:space="preserve">South Africa </w:t>
            </w:r>
          </w:p>
        </w:tc>
        <w:tc>
          <w:tcPr>
            <w:tcW w:w="2183" w:type="dxa"/>
            <w:shd w:val="clear" w:color="auto" w:fill="auto"/>
          </w:tcPr>
          <w:p w14:paraId="2A09D004" w14:textId="77777777" w:rsidR="000D07EA" w:rsidRDefault="00BE7C89">
            <w:pPr>
              <w:pStyle w:val="BodyText"/>
              <w:spacing w:before="100" w:after="100"/>
              <w:rPr>
                <w:b/>
              </w:rPr>
            </w:pPr>
            <w:r>
              <w:t>South Korea</w:t>
            </w:r>
          </w:p>
        </w:tc>
        <w:tc>
          <w:tcPr>
            <w:tcW w:w="2182" w:type="dxa"/>
            <w:shd w:val="clear" w:color="auto" w:fill="auto"/>
          </w:tcPr>
          <w:p w14:paraId="557DF91A" w14:textId="77777777" w:rsidR="000D07EA" w:rsidRDefault="00BE7C89">
            <w:pPr>
              <w:pStyle w:val="BodyText"/>
              <w:spacing w:before="100" w:after="100"/>
              <w:rPr>
                <w:b/>
              </w:rPr>
            </w:pPr>
            <w:r>
              <w:t xml:space="preserve">Taiwan </w:t>
            </w:r>
          </w:p>
        </w:tc>
        <w:tc>
          <w:tcPr>
            <w:tcW w:w="2183" w:type="dxa"/>
            <w:shd w:val="clear" w:color="auto" w:fill="auto"/>
          </w:tcPr>
          <w:p w14:paraId="5CCA3781" w14:textId="77777777" w:rsidR="000D07EA" w:rsidRDefault="00BE7C89">
            <w:pPr>
              <w:pStyle w:val="BodyText"/>
              <w:spacing w:before="100" w:after="100"/>
              <w:rPr>
                <w:b/>
              </w:rPr>
            </w:pPr>
            <w:r>
              <w:t>Thailand</w:t>
            </w:r>
          </w:p>
        </w:tc>
      </w:tr>
      <w:tr w:rsidR="000D07EA" w14:paraId="76BD23E7" w14:textId="77777777">
        <w:tc>
          <w:tcPr>
            <w:tcW w:w="2182" w:type="dxa"/>
            <w:shd w:val="clear" w:color="auto" w:fill="auto"/>
          </w:tcPr>
          <w:p w14:paraId="6E7C487C" w14:textId="77777777" w:rsidR="000D07EA" w:rsidRDefault="00BE7C89">
            <w:pPr>
              <w:pStyle w:val="BodyText"/>
              <w:spacing w:before="100" w:after="100"/>
              <w:rPr>
                <w:b/>
              </w:rPr>
            </w:pPr>
            <w:r>
              <w:t>Turkey</w:t>
            </w:r>
          </w:p>
        </w:tc>
        <w:tc>
          <w:tcPr>
            <w:tcW w:w="2183" w:type="dxa"/>
            <w:shd w:val="clear" w:color="auto" w:fill="auto"/>
          </w:tcPr>
          <w:p w14:paraId="30F5C1BF" w14:textId="77777777" w:rsidR="000D07EA" w:rsidRDefault="00BE7C89">
            <w:pPr>
              <w:pStyle w:val="BodyText"/>
              <w:spacing w:before="100" w:after="100"/>
              <w:rPr>
                <w:b/>
              </w:rPr>
            </w:pPr>
            <w:r>
              <w:t>United Kingdom</w:t>
            </w:r>
          </w:p>
        </w:tc>
        <w:tc>
          <w:tcPr>
            <w:tcW w:w="2182" w:type="dxa"/>
            <w:shd w:val="clear" w:color="auto" w:fill="auto"/>
          </w:tcPr>
          <w:p w14:paraId="5F168A3C" w14:textId="77777777" w:rsidR="000D07EA" w:rsidRDefault="00BE7C89">
            <w:pPr>
              <w:pStyle w:val="BodyText"/>
              <w:spacing w:before="100" w:after="100"/>
              <w:rPr>
                <w:b/>
              </w:rPr>
            </w:pPr>
            <w:r>
              <w:t xml:space="preserve">USA </w:t>
            </w:r>
          </w:p>
        </w:tc>
        <w:tc>
          <w:tcPr>
            <w:tcW w:w="2183" w:type="dxa"/>
            <w:shd w:val="clear" w:color="auto" w:fill="auto"/>
          </w:tcPr>
          <w:p w14:paraId="7EC2156E" w14:textId="77777777" w:rsidR="000D07EA" w:rsidRDefault="00BE7C89">
            <w:pPr>
              <w:pStyle w:val="BodyText"/>
              <w:spacing w:before="100" w:after="100"/>
              <w:rPr>
                <w:b/>
              </w:rPr>
            </w:pPr>
            <w:r>
              <w:t>Vietnam</w:t>
            </w:r>
          </w:p>
        </w:tc>
      </w:tr>
    </w:tbl>
    <w:p w14:paraId="51175A5D" w14:textId="77777777" w:rsidR="000D07EA" w:rsidRDefault="000D07EA">
      <w:pPr>
        <w:pStyle w:val="BodyText"/>
      </w:pPr>
    </w:p>
    <w:p w14:paraId="07F28EF6" w14:textId="77777777" w:rsidR="000D07EA" w:rsidRDefault="00BE7C89">
      <w:pPr>
        <w:pStyle w:val="Heading6"/>
        <w:ind w:left="0" w:firstLine="0"/>
        <w:rPr>
          <w:szCs w:val="24"/>
        </w:rPr>
      </w:pPr>
      <w:bookmarkStart w:id="1221" w:name="_Toc416246818"/>
      <w:bookmarkStart w:id="1222" w:name="_Toc441667898"/>
      <w:r>
        <w:t>My Account</w:t>
      </w:r>
      <w:bookmarkEnd w:id="1221"/>
      <w:bookmarkEnd w:id="1222"/>
    </w:p>
    <w:p w14:paraId="7F63196D" w14:textId="77777777" w:rsidR="000D07EA" w:rsidRDefault="00BE7C89">
      <w:pPr>
        <w:pStyle w:val="BodyText"/>
        <w:ind w:left="72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service has used. If </w:t>
      </w:r>
      <w:r>
        <w:rPr>
          <w:i/>
        </w:rPr>
        <w:t>you</w:t>
      </w:r>
      <w:r>
        <w:t xml:space="preserve"> have more than 6 services on </w:t>
      </w:r>
      <w:r>
        <w:rPr>
          <w:i/>
        </w:rPr>
        <w:t>your</w:t>
      </w:r>
      <w:r>
        <w:t xml:space="preserve"> account, My Account may not be suitable for viewing usage and managing </w:t>
      </w:r>
      <w:r>
        <w:rPr>
          <w:i/>
        </w:rPr>
        <w:t xml:space="preserve">your </w:t>
      </w:r>
      <w:r>
        <w:t>usage alerts.</w:t>
      </w:r>
    </w:p>
    <w:p w14:paraId="17D3754B" w14:textId="77777777" w:rsidR="000D07EA" w:rsidRDefault="00BE7C89">
      <w:pPr>
        <w:pStyle w:val="Heading6"/>
        <w:ind w:left="0" w:firstLine="0"/>
      </w:pPr>
      <w:bookmarkStart w:id="1223" w:name="_Toc416246819"/>
      <w:bookmarkStart w:id="1224" w:name="_Toc441667899"/>
      <w:r>
        <w:t xml:space="preserve">What happens if the </w:t>
      </w:r>
      <w:r>
        <w:rPr>
          <w:i/>
        </w:rPr>
        <w:t xml:space="preserve">service </w:t>
      </w:r>
      <w:r>
        <w:t>is</w:t>
      </w:r>
      <w:r>
        <w:rPr>
          <w:i/>
        </w:rPr>
        <w:t xml:space="preserve"> cancelled </w:t>
      </w:r>
      <w:r>
        <w:t>early?</w:t>
      </w:r>
      <w:bookmarkEnd w:id="1223"/>
      <w:bookmarkEnd w:id="1224"/>
      <w:r>
        <w:t xml:space="preserve"> </w:t>
      </w:r>
    </w:p>
    <w:p w14:paraId="26477A1E" w14:textId="77777777" w:rsidR="000D07EA" w:rsidRDefault="00BE7C89">
      <w:pPr>
        <w:pStyle w:val="Heading7"/>
      </w:pPr>
      <w:r>
        <w:t>If the</w:t>
      </w:r>
      <w:r>
        <w:rPr>
          <w:i/>
        </w:rPr>
        <w:t xml:space="preserve"> service</w:t>
      </w:r>
      <w:r>
        <w:t xml:space="preserve"> is</w:t>
      </w:r>
      <w:r>
        <w:rPr>
          <w:i/>
        </w:rPr>
        <w:t xml:space="preserve"> cancelled </w:t>
      </w:r>
      <w:r>
        <w:t xml:space="preserve">before the end of </w:t>
      </w:r>
      <w:r>
        <w:rPr>
          <w:i/>
        </w:rPr>
        <w:t xml:space="preserve">your minimum term, you </w:t>
      </w:r>
      <w:r>
        <w:t xml:space="preserve">will be required to pay </w:t>
      </w:r>
      <w:r>
        <w:rPr>
          <w:i/>
        </w:rPr>
        <w:t>us</w:t>
      </w:r>
      <w:r>
        <w:t>:</w:t>
      </w:r>
    </w:p>
    <w:p w14:paraId="1F248966" w14:textId="77777777" w:rsidR="000D07EA" w:rsidRDefault="00BE7C89">
      <w:pPr>
        <w:pStyle w:val="Heading8"/>
      </w:pPr>
      <w:r>
        <w:t xml:space="preserve">any usage charges incurred up to, and including, the </w:t>
      </w:r>
      <w:r>
        <w:rPr>
          <w:i/>
        </w:rPr>
        <w:t xml:space="preserve">cancellation date; </w:t>
      </w:r>
      <w:r>
        <w:t>plus</w:t>
      </w:r>
    </w:p>
    <w:p w14:paraId="57B7BFE2" w14:textId="77777777" w:rsidR="000D07EA" w:rsidRDefault="00BE7C89">
      <w:pPr>
        <w:pStyle w:val="Heading8"/>
      </w:pPr>
      <w:r>
        <w:t xml:space="preserve">the </w:t>
      </w:r>
      <w:r>
        <w:rPr>
          <w:i/>
        </w:rPr>
        <w:t>cancellation fees</w:t>
      </w:r>
      <w:r>
        <w:t xml:space="preserve"> set out in paragraph </w:t>
      </w:r>
      <w:r>
        <w:fldChar w:fldCharType="begin"/>
      </w:r>
      <w:r>
        <w:instrText xml:space="preserve"> REF _Ref461555941 \n \h </w:instrText>
      </w:r>
      <w:r>
        <w:fldChar w:fldCharType="separate"/>
      </w:r>
      <w:r w:rsidR="0004083A">
        <w:t>(b)</w:t>
      </w:r>
      <w:r>
        <w:fldChar w:fldCharType="end"/>
      </w:r>
      <w:r>
        <w:t xml:space="preserve"> below (unless under clause 2A of the </w:t>
      </w:r>
      <w:r>
        <w:rPr>
          <w:i/>
        </w:rPr>
        <w:t>consumer terms</w:t>
      </w:r>
      <w:r>
        <w:t xml:space="preserve">, </w:t>
      </w:r>
      <w:r>
        <w:rPr>
          <w:i/>
        </w:rPr>
        <w:t>you</w:t>
      </w:r>
      <w:r>
        <w:t xml:space="preserve"> are entitled to </w:t>
      </w:r>
      <w:r>
        <w:rPr>
          <w:i/>
        </w:rPr>
        <w:t>cancel the service</w:t>
      </w:r>
      <w:r>
        <w:t xml:space="preserve"> without incurring a </w:t>
      </w:r>
      <w:r>
        <w:rPr>
          <w:i/>
        </w:rPr>
        <w:t>cancellation fee</w:t>
      </w:r>
      <w:r>
        <w:t>); plus</w:t>
      </w:r>
    </w:p>
    <w:p w14:paraId="3F4912EC" w14:textId="77777777" w:rsidR="000D07EA" w:rsidRDefault="00BE7C89">
      <w:pPr>
        <w:pStyle w:val="Heading8"/>
      </w:pPr>
      <w:r>
        <w:t xml:space="preserve">the sum of unpaid </w:t>
      </w:r>
      <w:r>
        <w:rPr>
          <w:i/>
        </w:rPr>
        <w:t xml:space="preserve">equipment charges </w:t>
      </w:r>
      <w:r>
        <w:t xml:space="preserve">owing on </w:t>
      </w:r>
      <w:r>
        <w:rPr>
          <w:i/>
        </w:rPr>
        <w:t xml:space="preserve">your mobile phone </w:t>
      </w:r>
      <w:r>
        <w:t xml:space="preserve">under the </w:t>
      </w:r>
      <w:r>
        <w:rPr>
          <w:i/>
        </w:rPr>
        <w:t xml:space="preserve">mobile equipment payment plan </w:t>
      </w:r>
      <w:r>
        <w:t xml:space="preserve">(if any). Note, any Handset Credit </w:t>
      </w:r>
      <w:r>
        <w:rPr>
          <w:i/>
        </w:rPr>
        <w:t xml:space="preserve">you </w:t>
      </w:r>
      <w:r>
        <w:t xml:space="preserve">were entitled to will be forfeited (see </w:t>
      </w:r>
      <w:r>
        <w:fldChar w:fldCharType="begin"/>
      </w:r>
      <w:r>
        <w:instrText xml:space="preserve"> REF _Ref461555954 \n \h </w:instrText>
      </w:r>
      <w:r>
        <w:fldChar w:fldCharType="separate"/>
      </w:r>
      <w:r w:rsidR="0004083A">
        <w:t>124.9</w:t>
      </w:r>
      <w:r>
        <w:fldChar w:fldCharType="end"/>
      </w:r>
      <w:r>
        <w:t xml:space="preserve"> above).</w:t>
      </w:r>
    </w:p>
    <w:p w14:paraId="7167CF0F" w14:textId="77777777" w:rsidR="000D07EA" w:rsidRDefault="00BE7C89">
      <w:pPr>
        <w:pStyle w:val="Heading7"/>
      </w:pPr>
      <w:bookmarkStart w:id="1225" w:name="_Ref461555941"/>
      <w:r>
        <w:t xml:space="preserve">The </w:t>
      </w:r>
      <w:r>
        <w:rPr>
          <w:i/>
        </w:rPr>
        <w:t>cancellation fee</w:t>
      </w:r>
      <w:r>
        <w:t xml:space="preserve"> is calculated as the following amounts, multiplied by the months remaining on </w:t>
      </w:r>
      <w:r>
        <w:rPr>
          <w:i/>
        </w:rPr>
        <w:t>your minimum term</w:t>
      </w:r>
      <w:r>
        <w:t>:</w:t>
      </w:r>
      <w:bookmarkEnd w:id="1225"/>
    </w:p>
    <w:tbl>
      <w:tblPr>
        <w:tblW w:w="910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8"/>
        <w:gridCol w:w="1755"/>
        <w:gridCol w:w="1755"/>
        <w:gridCol w:w="1755"/>
        <w:gridCol w:w="1755"/>
      </w:tblGrid>
      <w:tr w:rsidR="000D07EA" w14:paraId="4F6484C3" w14:textId="77777777">
        <w:trPr>
          <w:trHeight w:val="20"/>
        </w:trPr>
        <w:tc>
          <w:tcPr>
            <w:tcW w:w="9108" w:type="dxa"/>
            <w:gridSpan w:val="5"/>
            <w:vAlign w:val="center"/>
          </w:tcPr>
          <w:p w14:paraId="367F5ECC" w14:textId="77777777" w:rsidR="000D07EA" w:rsidRDefault="00BE7C89">
            <w:pPr>
              <w:pStyle w:val="BodyText"/>
              <w:spacing w:before="100" w:after="100"/>
              <w:jc w:val="center"/>
              <w:rPr>
                <w:b/>
                <w:szCs w:val="20"/>
              </w:rPr>
            </w:pPr>
            <w:r>
              <w:rPr>
                <w:b/>
                <w:szCs w:val="20"/>
              </w:rPr>
              <w:t>My Plan Business</w:t>
            </w:r>
          </w:p>
        </w:tc>
      </w:tr>
      <w:tr w:rsidR="000D07EA" w14:paraId="7C359DCA" w14:textId="77777777">
        <w:trPr>
          <w:trHeight w:val="20"/>
        </w:trPr>
        <w:tc>
          <w:tcPr>
            <w:tcW w:w="2088" w:type="dxa"/>
            <w:vAlign w:val="center"/>
          </w:tcPr>
          <w:p w14:paraId="5E45FFB6" w14:textId="77777777" w:rsidR="000D07EA" w:rsidRDefault="000D07EA">
            <w:pPr>
              <w:pStyle w:val="BodyText"/>
              <w:spacing w:before="100" w:after="100"/>
              <w:rPr>
                <w:b/>
                <w:szCs w:val="20"/>
              </w:rPr>
            </w:pPr>
          </w:p>
        </w:tc>
        <w:tc>
          <w:tcPr>
            <w:tcW w:w="1755" w:type="dxa"/>
            <w:vAlign w:val="center"/>
          </w:tcPr>
          <w:p w14:paraId="3E6FBEE9" w14:textId="77777777" w:rsidR="000D07EA" w:rsidRDefault="00BE7C89">
            <w:pPr>
              <w:pStyle w:val="BodyText"/>
              <w:spacing w:before="100" w:after="100"/>
              <w:jc w:val="center"/>
              <w:rPr>
                <w:b/>
                <w:szCs w:val="20"/>
              </w:rPr>
            </w:pPr>
            <w:r>
              <w:rPr>
                <w:b/>
                <w:szCs w:val="20"/>
              </w:rPr>
              <w:t>$40 My Plan Business</w:t>
            </w:r>
          </w:p>
        </w:tc>
        <w:tc>
          <w:tcPr>
            <w:tcW w:w="1755" w:type="dxa"/>
            <w:shd w:val="clear" w:color="auto" w:fill="auto"/>
            <w:vAlign w:val="center"/>
          </w:tcPr>
          <w:p w14:paraId="5FFBC9A8" w14:textId="77777777" w:rsidR="000D07EA" w:rsidRDefault="00BE7C89">
            <w:pPr>
              <w:pStyle w:val="BodyText"/>
              <w:spacing w:before="100" w:after="100"/>
              <w:jc w:val="center"/>
              <w:rPr>
                <w:rFonts w:eastAsia="Calibri"/>
                <w:b/>
                <w:szCs w:val="20"/>
              </w:rPr>
            </w:pPr>
            <w:r>
              <w:rPr>
                <w:b/>
                <w:szCs w:val="20"/>
              </w:rPr>
              <w:t>$60 My Plan Business</w:t>
            </w:r>
          </w:p>
        </w:tc>
        <w:tc>
          <w:tcPr>
            <w:tcW w:w="1755" w:type="dxa"/>
            <w:shd w:val="clear" w:color="auto" w:fill="auto"/>
            <w:vAlign w:val="center"/>
          </w:tcPr>
          <w:p w14:paraId="59742A24" w14:textId="77777777" w:rsidR="000D07EA" w:rsidRDefault="00BE7C89">
            <w:pPr>
              <w:pStyle w:val="BodyText"/>
              <w:spacing w:before="100" w:after="100"/>
              <w:jc w:val="center"/>
              <w:rPr>
                <w:rFonts w:eastAsia="Calibri"/>
                <w:b/>
                <w:szCs w:val="20"/>
              </w:rPr>
            </w:pPr>
            <w:r>
              <w:rPr>
                <w:b/>
                <w:szCs w:val="20"/>
              </w:rPr>
              <w:t>$80 My Plan Business</w:t>
            </w:r>
          </w:p>
        </w:tc>
        <w:tc>
          <w:tcPr>
            <w:tcW w:w="1755" w:type="dxa"/>
            <w:vAlign w:val="center"/>
          </w:tcPr>
          <w:p w14:paraId="5881876F" w14:textId="77777777" w:rsidR="000D07EA" w:rsidRDefault="00BE7C89">
            <w:pPr>
              <w:pStyle w:val="BodyText"/>
              <w:spacing w:before="100" w:after="100"/>
              <w:jc w:val="center"/>
              <w:rPr>
                <w:b/>
                <w:szCs w:val="20"/>
              </w:rPr>
            </w:pPr>
            <w:r>
              <w:rPr>
                <w:b/>
                <w:szCs w:val="20"/>
              </w:rPr>
              <w:t>$100 My Plan Business</w:t>
            </w:r>
          </w:p>
        </w:tc>
      </w:tr>
      <w:tr w:rsidR="000D07EA" w14:paraId="2E2C09FF" w14:textId="77777777">
        <w:trPr>
          <w:trHeight w:val="20"/>
        </w:trPr>
        <w:tc>
          <w:tcPr>
            <w:tcW w:w="2088" w:type="dxa"/>
            <w:vAlign w:val="center"/>
          </w:tcPr>
          <w:p w14:paraId="2FF340E0" w14:textId="77777777" w:rsidR="000D07EA" w:rsidRDefault="00BE7C89">
            <w:pPr>
              <w:pStyle w:val="BodyText"/>
              <w:spacing w:before="100" w:after="100"/>
              <w:rPr>
                <w:rFonts w:eastAsia="Calibri"/>
                <w:b/>
                <w:szCs w:val="20"/>
              </w:rPr>
            </w:pPr>
            <w:r>
              <w:rPr>
                <w:rFonts w:eastAsia="Calibri"/>
                <w:b/>
                <w:bCs/>
                <w:szCs w:val="20"/>
              </w:rPr>
              <w:t xml:space="preserve">Cancellation Fee </w:t>
            </w:r>
          </w:p>
        </w:tc>
        <w:tc>
          <w:tcPr>
            <w:tcW w:w="1755" w:type="dxa"/>
            <w:vAlign w:val="center"/>
          </w:tcPr>
          <w:p w14:paraId="220C99D5" w14:textId="77777777" w:rsidR="000D07EA" w:rsidRDefault="00BE7C89">
            <w:pPr>
              <w:pStyle w:val="BodyText"/>
              <w:spacing w:before="100" w:after="100"/>
              <w:jc w:val="center"/>
              <w:rPr>
                <w:rFonts w:eastAsia="Calibri"/>
                <w:i/>
                <w:szCs w:val="20"/>
              </w:rPr>
            </w:pPr>
            <w:r>
              <w:rPr>
                <w:szCs w:val="20"/>
              </w:rPr>
              <w:t>$11.25 x Months remaining</w:t>
            </w:r>
          </w:p>
        </w:tc>
        <w:tc>
          <w:tcPr>
            <w:tcW w:w="1755" w:type="dxa"/>
            <w:shd w:val="clear" w:color="auto" w:fill="auto"/>
            <w:vAlign w:val="center"/>
          </w:tcPr>
          <w:p w14:paraId="58764CA8" w14:textId="77777777" w:rsidR="000D07EA" w:rsidRDefault="00BE7C89">
            <w:pPr>
              <w:pStyle w:val="BodyText"/>
              <w:spacing w:before="100" w:after="100"/>
              <w:jc w:val="center"/>
              <w:rPr>
                <w:rFonts w:eastAsia="Calibri"/>
                <w:szCs w:val="20"/>
              </w:rPr>
            </w:pPr>
            <w:r>
              <w:rPr>
                <w:szCs w:val="20"/>
              </w:rPr>
              <w:t>$19.16 x Months remaining</w:t>
            </w:r>
          </w:p>
        </w:tc>
        <w:tc>
          <w:tcPr>
            <w:tcW w:w="1755" w:type="dxa"/>
            <w:shd w:val="clear" w:color="auto" w:fill="auto"/>
            <w:vAlign w:val="center"/>
          </w:tcPr>
          <w:p w14:paraId="4D679F6C" w14:textId="77777777" w:rsidR="000D07EA" w:rsidRDefault="00BE7C89">
            <w:pPr>
              <w:pStyle w:val="BodyText"/>
              <w:spacing w:before="100" w:after="100"/>
              <w:jc w:val="center"/>
              <w:rPr>
                <w:rFonts w:eastAsia="Calibri"/>
                <w:szCs w:val="20"/>
              </w:rPr>
            </w:pPr>
            <w:r>
              <w:rPr>
                <w:szCs w:val="20"/>
              </w:rPr>
              <w:t>$16.25 x Months remaining</w:t>
            </w:r>
          </w:p>
        </w:tc>
        <w:tc>
          <w:tcPr>
            <w:tcW w:w="1755" w:type="dxa"/>
            <w:vAlign w:val="center"/>
          </w:tcPr>
          <w:p w14:paraId="1B5BDCA3" w14:textId="77777777" w:rsidR="000D07EA" w:rsidRDefault="00BE7C89">
            <w:pPr>
              <w:pStyle w:val="BodyText"/>
              <w:spacing w:before="100" w:after="100"/>
              <w:jc w:val="center"/>
              <w:rPr>
                <w:szCs w:val="20"/>
              </w:rPr>
            </w:pPr>
            <w:r>
              <w:rPr>
                <w:szCs w:val="20"/>
              </w:rPr>
              <w:t>$25.41 x Months remaining</w:t>
            </w:r>
          </w:p>
        </w:tc>
      </w:tr>
      <w:tr w:rsidR="000D07EA" w14:paraId="4D7CEFD7" w14:textId="77777777">
        <w:trPr>
          <w:trHeight w:val="20"/>
        </w:trPr>
        <w:tc>
          <w:tcPr>
            <w:tcW w:w="2088" w:type="dxa"/>
            <w:vAlign w:val="center"/>
          </w:tcPr>
          <w:p w14:paraId="6A8838A0" w14:textId="77777777" w:rsidR="000D07EA" w:rsidRDefault="00BE7C89">
            <w:pPr>
              <w:pStyle w:val="BodyText"/>
              <w:spacing w:before="100" w:after="100"/>
              <w:rPr>
                <w:rFonts w:eastAsia="Calibri"/>
                <w:b/>
                <w:bCs/>
                <w:szCs w:val="20"/>
              </w:rPr>
            </w:pPr>
            <w:r>
              <w:rPr>
                <w:rFonts w:eastAsia="Calibri"/>
                <w:b/>
                <w:bCs/>
                <w:szCs w:val="20"/>
              </w:rPr>
              <w:t>Maximum Cancellation Fee</w:t>
            </w:r>
          </w:p>
        </w:tc>
        <w:tc>
          <w:tcPr>
            <w:tcW w:w="1755" w:type="dxa"/>
            <w:vAlign w:val="center"/>
          </w:tcPr>
          <w:p w14:paraId="06F14CC9" w14:textId="77777777" w:rsidR="000D07EA" w:rsidRDefault="00BE7C89">
            <w:pPr>
              <w:pStyle w:val="BodyText"/>
              <w:spacing w:before="100" w:after="100"/>
              <w:jc w:val="center"/>
              <w:rPr>
                <w:rFonts w:eastAsia="Calibri"/>
                <w:szCs w:val="20"/>
              </w:rPr>
            </w:pPr>
            <w:r>
              <w:rPr>
                <w:rFonts w:eastAsia="Calibri"/>
                <w:szCs w:val="20"/>
              </w:rPr>
              <w:t>$270</w:t>
            </w:r>
          </w:p>
        </w:tc>
        <w:tc>
          <w:tcPr>
            <w:tcW w:w="1755" w:type="dxa"/>
            <w:shd w:val="clear" w:color="auto" w:fill="auto"/>
            <w:vAlign w:val="center"/>
          </w:tcPr>
          <w:p w14:paraId="721B7BC1" w14:textId="77777777" w:rsidR="000D07EA" w:rsidRDefault="00BE7C89">
            <w:pPr>
              <w:pStyle w:val="BodyText"/>
              <w:spacing w:before="100" w:after="100"/>
              <w:jc w:val="center"/>
              <w:rPr>
                <w:rFonts w:eastAsia="Calibri"/>
                <w:szCs w:val="20"/>
              </w:rPr>
            </w:pPr>
            <w:r>
              <w:rPr>
                <w:rFonts w:eastAsia="Calibri"/>
                <w:szCs w:val="20"/>
              </w:rPr>
              <w:t>$460</w:t>
            </w:r>
          </w:p>
        </w:tc>
        <w:tc>
          <w:tcPr>
            <w:tcW w:w="1755" w:type="dxa"/>
            <w:shd w:val="clear" w:color="auto" w:fill="auto"/>
            <w:vAlign w:val="center"/>
          </w:tcPr>
          <w:p w14:paraId="236798EC" w14:textId="77777777" w:rsidR="000D07EA" w:rsidRDefault="00BE7C89">
            <w:pPr>
              <w:pStyle w:val="BodyText"/>
              <w:spacing w:before="100" w:after="100"/>
              <w:jc w:val="center"/>
              <w:rPr>
                <w:rFonts w:eastAsia="Calibri"/>
                <w:szCs w:val="20"/>
              </w:rPr>
            </w:pPr>
            <w:r>
              <w:rPr>
                <w:rFonts w:eastAsia="Calibri"/>
                <w:szCs w:val="20"/>
              </w:rPr>
              <w:t>$390</w:t>
            </w:r>
          </w:p>
        </w:tc>
        <w:tc>
          <w:tcPr>
            <w:tcW w:w="1755" w:type="dxa"/>
            <w:vAlign w:val="center"/>
          </w:tcPr>
          <w:p w14:paraId="5862484F" w14:textId="77777777" w:rsidR="000D07EA" w:rsidRDefault="00BE7C89">
            <w:pPr>
              <w:pStyle w:val="BodyText"/>
              <w:spacing w:before="100" w:after="100"/>
              <w:jc w:val="center"/>
              <w:rPr>
                <w:rFonts w:eastAsia="Calibri"/>
                <w:szCs w:val="20"/>
              </w:rPr>
            </w:pPr>
            <w:r>
              <w:rPr>
                <w:rFonts w:eastAsia="Calibri"/>
                <w:szCs w:val="20"/>
              </w:rPr>
              <w:t>$610</w:t>
            </w:r>
          </w:p>
        </w:tc>
      </w:tr>
    </w:tbl>
    <w:p w14:paraId="4D09EF95" w14:textId="77777777" w:rsidR="000D07EA" w:rsidRDefault="000D07EA">
      <w:pPr>
        <w:pStyle w:val="BodyText"/>
      </w:pPr>
    </w:p>
    <w:p w14:paraId="1139173A" w14:textId="77777777" w:rsidR="000D07EA" w:rsidRDefault="00BE7C89">
      <w:pPr>
        <w:pStyle w:val="Heading7"/>
      </w:pPr>
      <w:r>
        <w:t xml:space="preserve">If </w:t>
      </w:r>
      <w:r>
        <w:rPr>
          <w:i/>
        </w:rPr>
        <w:t xml:space="preserve">your </w:t>
      </w:r>
      <w:r>
        <w:t xml:space="preserve">My Plan Business plan is </w:t>
      </w:r>
      <w:r>
        <w:rPr>
          <w:i/>
        </w:rPr>
        <w:t>cancelled</w:t>
      </w:r>
      <w:r>
        <w:t xml:space="preserve">, </w:t>
      </w:r>
      <w:r>
        <w:rPr>
          <w:i/>
        </w:rPr>
        <w:t xml:space="preserve">your </w:t>
      </w:r>
      <w:r>
        <w:t xml:space="preserve">Shared Data Plan(s) may also be </w:t>
      </w:r>
      <w:r>
        <w:rPr>
          <w:i/>
        </w:rPr>
        <w:t>cancelled</w:t>
      </w:r>
      <w:r>
        <w:t xml:space="preserve">. There are no </w:t>
      </w:r>
      <w:r>
        <w:rPr>
          <w:i/>
        </w:rPr>
        <w:t>cancellation fees</w:t>
      </w:r>
      <w:r>
        <w:t xml:space="preserve"> for the Shared Data Plan, however if </w:t>
      </w:r>
      <w:r>
        <w:rPr>
          <w:i/>
        </w:rPr>
        <w:t xml:space="preserve">you </w:t>
      </w:r>
      <w:r>
        <w:t xml:space="preserve">purchased a </w:t>
      </w:r>
      <w:r>
        <w:rPr>
          <w:i/>
        </w:rPr>
        <w:t xml:space="preserve">device you </w:t>
      </w:r>
      <w:r>
        <w:t xml:space="preserve">need to pay the sum of any remaining </w:t>
      </w:r>
      <w:r>
        <w:rPr>
          <w:i/>
        </w:rPr>
        <w:t>equipment charges</w:t>
      </w:r>
      <w:r>
        <w:t xml:space="preserve"> owing on </w:t>
      </w:r>
      <w:r>
        <w:rPr>
          <w:i/>
        </w:rPr>
        <w:t xml:space="preserve">your device </w:t>
      </w:r>
      <w:r>
        <w:t xml:space="preserve">under the </w:t>
      </w:r>
      <w:r>
        <w:rPr>
          <w:i/>
        </w:rPr>
        <w:t>mobile equipment payment plan</w:t>
      </w:r>
      <w:r>
        <w:t xml:space="preserve"> (see </w:t>
      </w:r>
      <w:hyperlink r:id="rId634" w:history="1">
        <w:r>
          <w:rPr>
            <w:rStyle w:val="Hyperlink"/>
            <w:i/>
          </w:rPr>
          <w:t>Appendix D</w:t>
        </w:r>
      </w:hyperlink>
      <w:r>
        <w:t>).</w:t>
      </w:r>
    </w:p>
    <w:p w14:paraId="563CB55B" w14:textId="77777777" w:rsidR="000D07EA" w:rsidRDefault="00BE7C89">
      <w:pPr>
        <w:pStyle w:val="Heading7"/>
      </w:pPr>
      <w:r>
        <w:lastRenderedPageBreak/>
        <w:t xml:space="preserve">If </w:t>
      </w:r>
      <w:r>
        <w:rPr>
          <w:i/>
        </w:rPr>
        <w:t>your</w:t>
      </w:r>
      <w:r>
        <w:t xml:space="preserve"> Shared Data Plan is not </w:t>
      </w:r>
      <w:r>
        <w:rPr>
          <w:i/>
        </w:rPr>
        <w:t>cancelled</w:t>
      </w:r>
      <w:r>
        <w:t xml:space="preserve">, </w:t>
      </w:r>
      <w:r>
        <w:rPr>
          <w:i/>
        </w:rPr>
        <w:t>you</w:t>
      </w:r>
      <w:r>
        <w:t xml:space="preserve"> will be charged $10 per 1GB within Australia, up to a maximum of 150GB (per account) in a billing month. Your service/s may then be restricted or we may continue to charge you at these rates.</w:t>
      </w:r>
    </w:p>
    <w:p w14:paraId="7206411E" w14:textId="77777777" w:rsidR="000D07EA" w:rsidRDefault="00BE7C89">
      <w:pPr>
        <w:pStyle w:val="Heading4"/>
        <w:ind w:left="720" w:hanging="720"/>
      </w:pPr>
      <w:bookmarkStart w:id="1226" w:name="_Toc441667911"/>
      <w:bookmarkStart w:id="1227" w:name="_Toc444781317"/>
      <w:bookmarkStart w:id="1228" w:name="_Toc455147644"/>
      <w:bookmarkStart w:id="1229" w:name="_Toc62644666"/>
      <w:r>
        <w:t xml:space="preserve">My Plan Business </w:t>
      </w:r>
      <w:bookmarkEnd w:id="1226"/>
      <w:r>
        <w:t>Tech Fund (June 2015)</w:t>
      </w:r>
      <w:bookmarkEnd w:id="1227"/>
      <w:bookmarkEnd w:id="1228"/>
      <w:bookmarkEnd w:id="1229"/>
    </w:p>
    <w:p w14:paraId="74FD0CAA" w14:textId="77777777" w:rsidR="000D07EA" w:rsidRDefault="00BE7C89">
      <w:pPr>
        <w:pStyle w:val="BodyText"/>
        <w:keepNext/>
        <w:ind w:left="720"/>
      </w:pPr>
      <w:r>
        <w:t xml:space="preserve">This section relates to the following plans. </w:t>
      </w:r>
      <w:r>
        <w:rPr>
          <w:i/>
        </w:rPr>
        <w:t>You</w:t>
      </w:r>
      <w:r>
        <w:t xml:space="preserve"> can find </w:t>
      </w:r>
      <w:r>
        <w:rPr>
          <w:i/>
        </w:rPr>
        <w:t>your</w:t>
      </w:r>
      <w:r>
        <w:t xml:space="preserve"> Plan ID on </w:t>
      </w:r>
      <w:r>
        <w:rPr>
          <w:i/>
        </w:rPr>
        <w:t>your</w:t>
      </w:r>
      <w:r>
        <w:t xml:space="preserve"> bill under the Mobile Number Summary section:</w:t>
      </w:r>
    </w:p>
    <w:tbl>
      <w:tblPr>
        <w:tblW w:w="910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068"/>
        <w:gridCol w:w="1870"/>
        <w:gridCol w:w="3170"/>
      </w:tblGrid>
      <w:tr w:rsidR="000D07EA" w14:paraId="15AC2202" w14:textId="77777777" w:rsidTr="00536F8B">
        <w:trPr>
          <w:tblHeader/>
        </w:trPr>
        <w:tc>
          <w:tcPr>
            <w:tcW w:w="4068" w:type="dxa"/>
            <w:shd w:val="clear" w:color="auto" w:fill="auto"/>
          </w:tcPr>
          <w:p w14:paraId="2ADBBDD6" w14:textId="77777777" w:rsidR="000D07EA" w:rsidRDefault="00BE7C89">
            <w:pPr>
              <w:pStyle w:val="BodyText"/>
              <w:keepNext/>
              <w:spacing w:before="100" w:after="100"/>
              <w:jc w:val="center"/>
              <w:rPr>
                <w:b/>
              </w:rPr>
            </w:pPr>
            <w:r>
              <w:rPr>
                <w:b/>
              </w:rPr>
              <w:t>Plan</w:t>
            </w:r>
          </w:p>
        </w:tc>
        <w:tc>
          <w:tcPr>
            <w:tcW w:w="1870" w:type="dxa"/>
            <w:shd w:val="clear" w:color="auto" w:fill="auto"/>
          </w:tcPr>
          <w:p w14:paraId="4B0E79C2" w14:textId="77777777" w:rsidR="000D07EA" w:rsidRDefault="00BE7C89">
            <w:pPr>
              <w:pStyle w:val="BodyText"/>
              <w:spacing w:before="100" w:after="100"/>
              <w:jc w:val="center"/>
              <w:rPr>
                <w:b/>
              </w:rPr>
            </w:pPr>
            <w:r>
              <w:rPr>
                <w:b/>
              </w:rPr>
              <w:t>Plan ID</w:t>
            </w:r>
          </w:p>
        </w:tc>
        <w:tc>
          <w:tcPr>
            <w:tcW w:w="3170" w:type="dxa"/>
            <w:shd w:val="clear" w:color="auto" w:fill="auto"/>
          </w:tcPr>
          <w:p w14:paraId="0561D81A" w14:textId="77777777" w:rsidR="000D07EA" w:rsidRDefault="00BE7C89">
            <w:pPr>
              <w:pStyle w:val="BodyText"/>
              <w:spacing w:before="100" w:after="100"/>
              <w:jc w:val="center"/>
              <w:rPr>
                <w:b/>
              </w:rPr>
            </w:pPr>
            <w:r>
              <w:rPr>
                <w:b/>
              </w:rPr>
              <w:t>Available</w:t>
            </w:r>
          </w:p>
        </w:tc>
      </w:tr>
      <w:tr w:rsidR="000D07EA" w14:paraId="275CE381" w14:textId="77777777" w:rsidTr="00536F8B">
        <w:tc>
          <w:tcPr>
            <w:tcW w:w="4068" w:type="dxa"/>
            <w:shd w:val="clear" w:color="auto" w:fill="auto"/>
          </w:tcPr>
          <w:p w14:paraId="07A161EC" w14:textId="77777777" w:rsidR="000D07EA" w:rsidRDefault="00BE7C89">
            <w:pPr>
              <w:pStyle w:val="BodyText"/>
              <w:spacing w:before="100" w:after="100"/>
              <w:jc w:val="center"/>
            </w:pPr>
            <w:r>
              <w:t>$40 My Plan Business Tech Fund</w:t>
            </w:r>
          </w:p>
        </w:tc>
        <w:tc>
          <w:tcPr>
            <w:tcW w:w="1870" w:type="dxa"/>
            <w:shd w:val="clear" w:color="auto" w:fill="auto"/>
            <w:vAlign w:val="center"/>
          </w:tcPr>
          <w:p w14:paraId="5536613E" w14:textId="77777777" w:rsidR="000D07EA" w:rsidRDefault="00BE7C89">
            <w:pPr>
              <w:pStyle w:val="BodyText"/>
              <w:spacing w:before="100" w:after="100"/>
              <w:jc w:val="center"/>
            </w:pPr>
            <w:r>
              <w:t>800274</w:t>
            </w:r>
            <w:r w:rsidR="00E57781">
              <w:t>, 8893941</w:t>
            </w:r>
          </w:p>
        </w:tc>
        <w:tc>
          <w:tcPr>
            <w:tcW w:w="3170" w:type="dxa"/>
            <w:shd w:val="clear" w:color="auto" w:fill="auto"/>
          </w:tcPr>
          <w:p w14:paraId="223D5E71" w14:textId="77777777" w:rsidR="000D07EA" w:rsidRDefault="00BE7C89">
            <w:pPr>
              <w:pStyle w:val="BodyText"/>
              <w:spacing w:before="100" w:after="100"/>
              <w:jc w:val="center"/>
            </w:pPr>
            <w:r>
              <w:t>22 June 2015 – 10 March 2016</w:t>
            </w:r>
          </w:p>
        </w:tc>
      </w:tr>
      <w:tr w:rsidR="000D07EA" w14:paraId="665132C0" w14:textId="77777777" w:rsidTr="00536F8B">
        <w:tc>
          <w:tcPr>
            <w:tcW w:w="4068" w:type="dxa"/>
            <w:shd w:val="clear" w:color="auto" w:fill="auto"/>
          </w:tcPr>
          <w:p w14:paraId="31908629" w14:textId="77777777" w:rsidR="000D07EA" w:rsidRDefault="00BE7C89">
            <w:pPr>
              <w:pStyle w:val="BodyText"/>
              <w:spacing w:before="100" w:after="100"/>
              <w:jc w:val="center"/>
            </w:pPr>
            <w:r>
              <w:t>$60 My Plan Business Tech Fund</w:t>
            </w:r>
          </w:p>
        </w:tc>
        <w:tc>
          <w:tcPr>
            <w:tcW w:w="1870" w:type="dxa"/>
            <w:shd w:val="clear" w:color="auto" w:fill="auto"/>
            <w:vAlign w:val="center"/>
          </w:tcPr>
          <w:p w14:paraId="10779283" w14:textId="77777777" w:rsidR="000D07EA" w:rsidRDefault="00BE7C89" w:rsidP="00E57781">
            <w:pPr>
              <w:pStyle w:val="BodyText"/>
              <w:spacing w:before="100" w:after="100"/>
              <w:jc w:val="center"/>
            </w:pPr>
            <w:r>
              <w:t>800275</w:t>
            </w:r>
            <w:r w:rsidR="00E57781">
              <w:t>, 8893951</w:t>
            </w:r>
          </w:p>
        </w:tc>
        <w:tc>
          <w:tcPr>
            <w:tcW w:w="3170" w:type="dxa"/>
            <w:shd w:val="clear" w:color="auto" w:fill="auto"/>
            <w:vAlign w:val="center"/>
          </w:tcPr>
          <w:p w14:paraId="563C673B" w14:textId="77777777" w:rsidR="000D07EA" w:rsidRDefault="00BE7C89">
            <w:pPr>
              <w:pStyle w:val="BodyText"/>
              <w:spacing w:before="100" w:after="100"/>
              <w:jc w:val="center"/>
            </w:pPr>
            <w:r>
              <w:t>22 June 2015 – 10 March 2016</w:t>
            </w:r>
          </w:p>
        </w:tc>
      </w:tr>
      <w:tr w:rsidR="000D07EA" w14:paraId="4B28F08B" w14:textId="77777777" w:rsidTr="00536F8B">
        <w:tc>
          <w:tcPr>
            <w:tcW w:w="4068" w:type="dxa"/>
            <w:shd w:val="clear" w:color="auto" w:fill="auto"/>
          </w:tcPr>
          <w:p w14:paraId="5414D44E" w14:textId="77777777" w:rsidR="000D07EA" w:rsidRDefault="00BE7C89">
            <w:pPr>
              <w:pStyle w:val="BodyText"/>
              <w:spacing w:before="100" w:after="100"/>
              <w:jc w:val="center"/>
            </w:pPr>
            <w:r>
              <w:t>$80 My Plan Business Tech Fund</w:t>
            </w:r>
          </w:p>
        </w:tc>
        <w:tc>
          <w:tcPr>
            <w:tcW w:w="1870" w:type="dxa"/>
            <w:shd w:val="clear" w:color="auto" w:fill="auto"/>
            <w:vAlign w:val="center"/>
          </w:tcPr>
          <w:p w14:paraId="3E218509" w14:textId="77777777" w:rsidR="000D07EA" w:rsidRDefault="00BE7C89">
            <w:pPr>
              <w:pStyle w:val="BodyText"/>
              <w:spacing w:before="100" w:after="100"/>
              <w:jc w:val="center"/>
            </w:pPr>
            <w:r>
              <w:t>800276</w:t>
            </w:r>
            <w:r w:rsidR="00E57781">
              <w:t>, 8893961</w:t>
            </w:r>
          </w:p>
        </w:tc>
        <w:tc>
          <w:tcPr>
            <w:tcW w:w="3170" w:type="dxa"/>
            <w:shd w:val="clear" w:color="auto" w:fill="auto"/>
            <w:vAlign w:val="center"/>
          </w:tcPr>
          <w:p w14:paraId="26F975CD" w14:textId="77777777" w:rsidR="000D07EA" w:rsidRDefault="00BE7C89">
            <w:pPr>
              <w:pStyle w:val="BodyText"/>
              <w:spacing w:before="100" w:after="100"/>
              <w:jc w:val="center"/>
            </w:pPr>
            <w:r>
              <w:t>22 June 2015 – 10 March 2016</w:t>
            </w:r>
          </w:p>
        </w:tc>
      </w:tr>
      <w:tr w:rsidR="000D07EA" w14:paraId="121EC7AC" w14:textId="77777777" w:rsidTr="00536F8B">
        <w:tc>
          <w:tcPr>
            <w:tcW w:w="4068" w:type="dxa"/>
            <w:shd w:val="clear" w:color="auto" w:fill="auto"/>
          </w:tcPr>
          <w:p w14:paraId="7CA0F1BD" w14:textId="77777777" w:rsidR="000D07EA" w:rsidRDefault="00BE7C89">
            <w:pPr>
              <w:pStyle w:val="BodyText"/>
              <w:spacing w:before="100" w:after="100"/>
              <w:jc w:val="center"/>
            </w:pPr>
            <w:r>
              <w:t>$100 My Plan Business Tech Fund</w:t>
            </w:r>
          </w:p>
        </w:tc>
        <w:tc>
          <w:tcPr>
            <w:tcW w:w="1870" w:type="dxa"/>
            <w:shd w:val="clear" w:color="auto" w:fill="auto"/>
          </w:tcPr>
          <w:p w14:paraId="4566D96B" w14:textId="77777777" w:rsidR="000D07EA" w:rsidRDefault="00BE7C89">
            <w:pPr>
              <w:pStyle w:val="BodyText"/>
              <w:spacing w:before="100" w:after="100"/>
              <w:jc w:val="center"/>
            </w:pPr>
            <w:r>
              <w:t>800277</w:t>
            </w:r>
            <w:r w:rsidR="00E57781">
              <w:t>, 8893971</w:t>
            </w:r>
          </w:p>
        </w:tc>
        <w:tc>
          <w:tcPr>
            <w:tcW w:w="3170" w:type="dxa"/>
            <w:shd w:val="clear" w:color="auto" w:fill="auto"/>
          </w:tcPr>
          <w:p w14:paraId="15AFBE28" w14:textId="77777777" w:rsidR="000D07EA" w:rsidRDefault="00BE7C89">
            <w:pPr>
              <w:pStyle w:val="BodyText"/>
              <w:spacing w:before="100" w:after="100"/>
              <w:jc w:val="center"/>
            </w:pPr>
            <w:r>
              <w:t>22 June 2015 – 10 March 2016</w:t>
            </w:r>
          </w:p>
        </w:tc>
      </w:tr>
    </w:tbl>
    <w:p w14:paraId="41DEBB5F" w14:textId="77777777" w:rsidR="000D07EA" w:rsidRDefault="000D07EA">
      <w:pPr>
        <w:pStyle w:val="BodyText"/>
      </w:pPr>
    </w:p>
    <w:p w14:paraId="18C6F398" w14:textId="77777777" w:rsidR="000D07EA" w:rsidRDefault="00BE7C89">
      <w:pPr>
        <w:pStyle w:val="Heading6"/>
        <w:ind w:left="0" w:firstLine="0"/>
      </w:pPr>
      <w:bookmarkStart w:id="1230" w:name="_Toc441667912"/>
      <w:r>
        <w:t>Eligibi</w:t>
      </w:r>
      <w:r>
        <w:rPr>
          <w:rFonts w:ascii="Times" w:hAnsi="Times"/>
        </w:rPr>
        <w:t>l</w:t>
      </w:r>
      <w:r>
        <w:t>ity</w:t>
      </w:r>
      <w:bookmarkEnd w:id="1230"/>
    </w:p>
    <w:p w14:paraId="237BDE05" w14:textId="77777777" w:rsidR="000D07EA" w:rsidRDefault="00BE7C89">
      <w:pPr>
        <w:pStyle w:val="BodyText"/>
        <w:ind w:left="720"/>
      </w:pPr>
      <w:r>
        <w:t xml:space="preserve">The My Plan Business Tech Fund plans are available to new and existing business mobile customers who pass Optus' credit assessment. To be eligible for this plan, businesses must provide Optus with a registered ACN, ARBN or ABN and must sign up for a minimum of 6 services to a My Plan Business Tech Fund Plan on a single Optus billing account. </w:t>
      </w:r>
    </w:p>
    <w:p w14:paraId="62012A73" w14:textId="77777777" w:rsidR="000D07EA" w:rsidRDefault="00BE7C89">
      <w:pPr>
        <w:pStyle w:val="BodyText"/>
        <w:ind w:left="720"/>
      </w:pPr>
      <w:r>
        <w:t>Optus Service Providers' customers are not eligible to apply</w:t>
      </w:r>
      <w:r>
        <w:rPr>
          <w:snapToGrid w:val="0"/>
        </w:rPr>
        <w:t>.</w:t>
      </w:r>
    </w:p>
    <w:p w14:paraId="61C6664D" w14:textId="77777777" w:rsidR="000D07EA" w:rsidRDefault="00BE7C89">
      <w:pPr>
        <w:pStyle w:val="BodyText"/>
        <w:ind w:left="720"/>
      </w:pPr>
      <w:r>
        <w:t xml:space="preserve">These </w:t>
      </w:r>
      <w:r>
        <w:rPr>
          <w:i/>
        </w:rPr>
        <w:t>plans</w:t>
      </w:r>
      <w:r>
        <w:t xml:space="preserve"> aren't compatible for data use with BlackBerry handsets on operating systems of 7.1 or earlier.</w:t>
      </w:r>
      <w:bookmarkStart w:id="1231" w:name="_Toc441667913"/>
    </w:p>
    <w:p w14:paraId="134F80BA" w14:textId="77777777" w:rsidR="000D07EA" w:rsidRDefault="00BE7C89">
      <w:pPr>
        <w:pStyle w:val="Heading6"/>
        <w:ind w:left="0" w:firstLine="0"/>
      </w:pPr>
      <w:r>
        <w:rPr>
          <w:snapToGrid w:val="0"/>
        </w:rPr>
        <w:t>Minimum Term</w:t>
      </w:r>
      <w:bookmarkEnd w:id="1231"/>
    </w:p>
    <w:p w14:paraId="6C0A107F" w14:textId="77777777" w:rsidR="000D07EA" w:rsidRDefault="00BE7C89">
      <w:pPr>
        <w:pStyle w:val="BodyText"/>
        <w:ind w:left="720"/>
      </w:pPr>
      <w:r>
        <w:t xml:space="preserve">These </w:t>
      </w:r>
      <w:r>
        <w:rPr>
          <w:i/>
        </w:rPr>
        <w:t xml:space="preserve">plans </w:t>
      </w:r>
      <w:r>
        <w:t xml:space="preserve">have a </w:t>
      </w:r>
      <w:r>
        <w:rPr>
          <w:i/>
        </w:rPr>
        <w:t>fixed length agreement</w:t>
      </w:r>
      <w:r>
        <w:t xml:space="preserve"> with a 24 month </w:t>
      </w:r>
      <w:r>
        <w:rPr>
          <w:i/>
        </w:rPr>
        <w:t>minimum term</w:t>
      </w:r>
      <w:r>
        <w:t>.</w:t>
      </w:r>
    </w:p>
    <w:p w14:paraId="5927C96D" w14:textId="77777777" w:rsidR="000D07EA" w:rsidRDefault="00BE7C89">
      <w:pPr>
        <w:pStyle w:val="Heading6"/>
        <w:ind w:left="0" w:firstLine="0"/>
      </w:pPr>
      <w:bookmarkStart w:id="1232" w:name="_Toc441667914"/>
      <w:r>
        <w:t>What you have to pay us</w:t>
      </w:r>
      <w:bookmarkEnd w:id="1232"/>
    </w:p>
    <w:p w14:paraId="66674D03" w14:textId="77777777" w:rsidR="000D07EA" w:rsidRDefault="00BE7C89">
      <w:pPr>
        <w:pStyle w:val="Heading7"/>
      </w:pPr>
      <w:r>
        <w:rPr>
          <w:i/>
        </w:rPr>
        <w:t xml:space="preserve">You </w:t>
      </w:r>
      <w:r>
        <w:t xml:space="preserve">must pay us for use of the service at the rates set out in Section 1 of this </w:t>
      </w:r>
      <w:r>
        <w:rPr>
          <w:i/>
        </w:rPr>
        <w:t>standard pricing table</w:t>
      </w:r>
      <w:r>
        <w:t xml:space="preserve"> and for value added service features at the rates set out in </w:t>
      </w:r>
      <w:hyperlink r:id="rId635" w:history="1">
        <w:r>
          <w:rPr>
            <w:rStyle w:val="Hyperlink"/>
            <w:i/>
          </w:rPr>
          <w:t>Appendix Y Value Added Service Features</w:t>
        </w:r>
      </w:hyperlink>
      <w:r>
        <w:rPr>
          <w:rFonts w:eastAsia="MS Mincho"/>
          <w:i/>
        </w:rPr>
        <w:t>.</w:t>
      </w:r>
    </w:p>
    <w:p w14:paraId="240253F1" w14:textId="77777777" w:rsidR="000D07EA" w:rsidRDefault="00BE7C89">
      <w:pPr>
        <w:pStyle w:val="Heading7"/>
      </w:pPr>
      <w:r>
        <w:t>If there is a flagfall for a particular call type, the charge for these calls is the flagfall amount plus the relevant rate for the call multiplied by the duration of the call.</w:t>
      </w:r>
    </w:p>
    <w:p w14:paraId="085B14F4" w14:textId="77777777" w:rsidR="000D07EA" w:rsidRDefault="00BE7C89">
      <w:pPr>
        <w:pStyle w:val="Heading7"/>
        <w:rPr>
          <w:b/>
        </w:rPr>
      </w:pPr>
      <w:r>
        <w:rPr>
          <w:b/>
        </w:rPr>
        <w:t xml:space="preserve">Minimum Monthly Charge </w:t>
      </w:r>
    </w:p>
    <w:p w14:paraId="293F844C" w14:textId="77777777" w:rsidR="000D07EA" w:rsidRDefault="00BE7C89">
      <w:pPr>
        <w:pStyle w:val="BodyText"/>
        <w:ind w:left="1440"/>
      </w:pPr>
      <w:r>
        <w:t xml:space="preserve">Each My Plan Business Tech Fund plan has a Minimum Monthly Charge amount that </w:t>
      </w:r>
      <w:r>
        <w:rPr>
          <w:i/>
        </w:rPr>
        <w:t>you</w:t>
      </w:r>
      <w:r>
        <w:t xml:space="preserve"> must pay </w:t>
      </w:r>
      <w:r>
        <w:rPr>
          <w:i/>
        </w:rPr>
        <w:t>us</w:t>
      </w:r>
      <w:r>
        <w:t xml:space="preserve"> each month as set out in Table 1 below. </w:t>
      </w:r>
    </w:p>
    <w:p w14:paraId="04C31F2B" w14:textId="77777777" w:rsidR="000D07EA" w:rsidRDefault="00BE7C89">
      <w:pPr>
        <w:pStyle w:val="Heading6"/>
        <w:ind w:left="0" w:firstLine="0"/>
        <w:rPr>
          <w:snapToGrid w:val="0"/>
        </w:rPr>
      </w:pPr>
      <w:bookmarkStart w:id="1233" w:name="_Toc441667915"/>
      <w:r>
        <w:rPr>
          <w:snapToGrid w:val="0"/>
        </w:rPr>
        <w:t xml:space="preserve">How My Plan Business </w:t>
      </w:r>
      <w:r>
        <w:t xml:space="preserve">Tech Fund </w:t>
      </w:r>
      <w:r>
        <w:rPr>
          <w:snapToGrid w:val="0"/>
        </w:rPr>
        <w:t>works</w:t>
      </w:r>
      <w:bookmarkEnd w:id="1233"/>
    </w:p>
    <w:p w14:paraId="4C8F7A01" w14:textId="77777777" w:rsidR="000D07EA" w:rsidRDefault="00BE7C89">
      <w:pPr>
        <w:pStyle w:val="Heading7"/>
      </w:pPr>
      <w:r>
        <w:t xml:space="preserve">Each My Plan Business Tech Fund has unlimited minutes to use on standard national calls to landlines and mobiles, 13/1300 numbers and voicemail retrievals and an amount of Included Data (for mobile internet use) to share with other services on a My Plan Plus, My Plan Plus SIM Only, My Plan Business (including Tech Fund), My Plan Business SIM, My Mobile Broadband Plus, Mobile Broadband Business or Shared Data Plan on the same account. </w:t>
      </w:r>
    </w:p>
    <w:p w14:paraId="374859D9" w14:textId="77777777" w:rsidR="000D07EA" w:rsidRDefault="00BE7C89">
      <w:pPr>
        <w:pStyle w:val="Heading7"/>
      </w:pPr>
      <w:r>
        <w:t>These plans also include unlimited standard national SMS/MMS and unlimited standard International SMS/MMS to selected countries. The $60/$80/$100plans have an amount of included international minutes to use on standard international calls to selected countries.</w:t>
      </w:r>
    </w:p>
    <w:p w14:paraId="6DAB995E" w14:textId="77777777" w:rsidR="000D07EA" w:rsidRDefault="00BE7C89">
      <w:pPr>
        <w:pStyle w:val="Heading7"/>
      </w:pPr>
      <w:r>
        <w:lastRenderedPageBreak/>
        <w:t>Data usage is calculated in one kilobyte increments. International minutes are billed in one minute increments</w:t>
      </w:r>
    </w:p>
    <w:p w14:paraId="6B27AC8C" w14:textId="77777777" w:rsidR="000D07EA" w:rsidRDefault="00BE7C89">
      <w:pPr>
        <w:pStyle w:val="Heading7"/>
      </w:pPr>
      <w:r>
        <w:t>If you exceed your included shareable data you'll automatically be charged $10 for each additional 1GB of data ("</w:t>
      </w:r>
      <w:r>
        <w:rPr>
          <w:b/>
        </w:rPr>
        <w:t>Additional Data</w:t>
      </w:r>
      <w:r>
        <w:t xml:space="preserve">") that you use (or part thereof). Previously you could use up to 60GB extra on your account but from 02/08/2015, we're increasing it to 150GB of extra data per account each month. Your service/s may then be restricted or we may continue to charge you at these rates. </w:t>
      </w:r>
    </w:p>
    <w:p w14:paraId="6C136B5F" w14:textId="77777777" w:rsidR="000D07EA" w:rsidRDefault="00BE7C89">
      <w:pPr>
        <w:pStyle w:val="Heading7"/>
        <w:rPr>
          <w:i/>
        </w:rPr>
      </w:pPr>
      <w:r>
        <w:t xml:space="preserve">Any unused portion of </w:t>
      </w:r>
      <w:r>
        <w:rPr>
          <w:i/>
        </w:rPr>
        <w:t>your</w:t>
      </w:r>
      <w:r>
        <w:t xml:space="preserve"> </w:t>
      </w:r>
      <w:r>
        <w:rPr>
          <w:i/>
        </w:rPr>
        <w:t>plan's</w:t>
      </w:r>
      <w:r>
        <w:t xml:space="preserve"> Included or Additional Data expires at the end of each month and does not roll over into the next month.</w:t>
      </w:r>
    </w:p>
    <w:p w14:paraId="400B06BC" w14:textId="77777777" w:rsidR="000D07EA" w:rsidRDefault="00BE7C89">
      <w:pPr>
        <w:pStyle w:val="Heading7"/>
        <w:rPr>
          <w:b/>
        </w:rPr>
      </w:pPr>
      <w:r>
        <w:rPr>
          <w:i/>
        </w:rPr>
        <w:t>You</w:t>
      </w:r>
      <w:r>
        <w:t xml:space="preserve"> must pay </w:t>
      </w:r>
      <w:r>
        <w:rPr>
          <w:i/>
        </w:rPr>
        <w:t>us</w:t>
      </w:r>
      <w:r>
        <w:t xml:space="preserve"> for use of any services that are not included in </w:t>
      </w:r>
      <w:r>
        <w:rPr>
          <w:i/>
        </w:rPr>
        <w:t>your</w:t>
      </w:r>
      <w:r>
        <w:t xml:space="preserve"> plan's inclusions, examples of which are set out in Table 2 below.</w:t>
      </w:r>
    </w:p>
    <w:p w14:paraId="020E3171" w14:textId="77777777" w:rsidR="000D07EA" w:rsidRDefault="00BE7C89">
      <w:pPr>
        <w:pStyle w:val="Heading6"/>
        <w:ind w:left="0" w:firstLine="0"/>
        <w:rPr>
          <w:b/>
        </w:rPr>
      </w:pPr>
      <w:bookmarkStart w:id="1234" w:name="_Toc441667916"/>
      <w:bookmarkStart w:id="1235" w:name="_Ref461556230"/>
      <w:r>
        <w:t>Handset Credit</w:t>
      </w:r>
      <w:bookmarkEnd w:id="1234"/>
      <w:bookmarkEnd w:id="1235"/>
      <w:r>
        <w:t xml:space="preserve"> </w:t>
      </w:r>
    </w:p>
    <w:p w14:paraId="758B790A" w14:textId="77777777" w:rsidR="000D07EA" w:rsidRDefault="00BE7C89">
      <w:pPr>
        <w:pStyle w:val="Heading7"/>
      </w:pPr>
      <w:r>
        <w:t xml:space="preserve">The Handset Credit is a special offer available to customers who are eligible for and connect to a My Plan Business Tech Fund plan, and who do not choose to take a handset upfront. It allows </w:t>
      </w:r>
      <w:r>
        <w:rPr>
          <w:i/>
        </w:rPr>
        <w:t>you</w:t>
      </w:r>
      <w:r>
        <w:t xml:space="preserve"> to purchase mobile phones and accessories from Optus at any period throughout </w:t>
      </w:r>
      <w:r>
        <w:rPr>
          <w:i/>
        </w:rPr>
        <w:t>your</w:t>
      </w:r>
      <w:r>
        <w:t xml:space="preserve"> contract; it cannot be used for any other purpose other than the purchase of handsets and accessories from </w:t>
      </w:r>
      <w:r>
        <w:rPr>
          <w:i/>
        </w:rPr>
        <w:t>us</w:t>
      </w:r>
      <w:r>
        <w:t>.</w:t>
      </w:r>
    </w:p>
    <w:p w14:paraId="02AF6F4C" w14:textId="77777777" w:rsidR="000D07EA" w:rsidRDefault="00BE7C89">
      <w:pPr>
        <w:pStyle w:val="Heading7"/>
      </w:pPr>
      <w:r>
        <w:t xml:space="preserve">The amount of credit will be dependent on the plan </w:t>
      </w:r>
      <w:r>
        <w:rPr>
          <w:i/>
        </w:rPr>
        <w:t>you</w:t>
      </w:r>
      <w:r>
        <w:t xml:space="preserve"> connect to as per the table below.</w:t>
      </w:r>
    </w:p>
    <w:tbl>
      <w:tblPr>
        <w:tblW w:w="928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8"/>
        <w:gridCol w:w="1845"/>
        <w:gridCol w:w="1845"/>
        <w:gridCol w:w="1845"/>
        <w:gridCol w:w="1845"/>
      </w:tblGrid>
      <w:tr w:rsidR="000D07EA" w14:paraId="6C38303D" w14:textId="77777777">
        <w:tc>
          <w:tcPr>
            <w:tcW w:w="1908" w:type="dxa"/>
          </w:tcPr>
          <w:p w14:paraId="1F4D67FD" w14:textId="77777777" w:rsidR="000D07EA" w:rsidRDefault="00BE7C89">
            <w:pPr>
              <w:pStyle w:val="BodyText"/>
              <w:spacing w:before="100" w:after="100"/>
              <w:jc w:val="center"/>
              <w:rPr>
                <w:b/>
              </w:rPr>
            </w:pPr>
            <w:r>
              <w:rPr>
                <w:b/>
              </w:rPr>
              <w:t>Plan</w:t>
            </w:r>
          </w:p>
        </w:tc>
        <w:tc>
          <w:tcPr>
            <w:tcW w:w="1845" w:type="dxa"/>
          </w:tcPr>
          <w:p w14:paraId="779B2349" w14:textId="77777777" w:rsidR="000D07EA" w:rsidRDefault="00BE7C89">
            <w:pPr>
              <w:pStyle w:val="BodyText"/>
              <w:spacing w:before="100" w:after="100"/>
              <w:jc w:val="center"/>
              <w:rPr>
                <w:b/>
              </w:rPr>
            </w:pPr>
            <w:r>
              <w:rPr>
                <w:b/>
              </w:rPr>
              <w:t>$40 My Plan Business Tech Fund</w:t>
            </w:r>
          </w:p>
        </w:tc>
        <w:tc>
          <w:tcPr>
            <w:tcW w:w="1845" w:type="dxa"/>
          </w:tcPr>
          <w:p w14:paraId="15A59837" w14:textId="77777777" w:rsidR="000D07EA" w:rsidRDefault="00BE7C89">
            <w:pPr>
              <w:pStyle w:val="BodyText"/>
              <w:spacing w:before="100" w:after="100"/>
              <w:jc w:val="center"/>
              <w:rPr>
                <w:b/>
              </w:rPr>
            </w:pPr>
            <w:r>
              <w:rPr>
                <w:b/>
              </w:rPr>
              <w:t>$60 My Plan Business Tech Fund</w:t>
            </w:r>
          </w:p>
        </w:tc>
        <w:tc>
          <w:tcPr>
            <w:tcW w:w="1845" w:type="dxa"/>
          </w:tcPr>
          <w:p w14:paraId="0CCD30A7" w14:textId="77777777" w:rsidR="000D07EA" w:rsidRDefault="00BE7C89">
            <w:pPr>
              <w:pStyle w:val="BodyText"/>
              <w:spacing w:before="100" w:after="100"/>
              <w:jc w:val="center"/>
              <w:rPr>
                <w:b/>
              </w:rPr>
            </w:pPr>
            <w:r>
              <w:rPr>
                <w:b/>
              </w:rPr>
              <w:t>$80 My Plan Business Tech Fund</w:t>
            </w:r>
          </w:p>
        </w:tc>
        <w:tc>
          <w:tcPr>
            <w:tcW w:w="1845" w:type="dxa"/>
          </w:tcPr>
          <w:p w14:paraId="36D032C3" w14:textId="77777777" w:rsidR="000D07EA" w:rsidRDefault="00BE7C89">
            <w:pPr>
              <w:pStyle w:val="BodyText"/>
              <w:spacing w:before="100" w:after="100"/>
              <w:jc w:val="center"/>
              <w:rPr>
                <w:b/>
              </w:rPr>
            </w:pPr>
            <w:r>
              <w:rPr>
                <w:b/>
              </w:rPr>
              <w:t>$100 M Plan Business Tech Fund</w:t>
            </w:r>
          </w:p>
        </w:tc>
      </w:tr>
      <w:tr w:rsidR="000D07EA" w14:paraId="2A1C8F62" w14:textId="77777777">
        <w:tc>
          <w:tcPr>
            <w:tcW w:w="1908" w:type="dxa"/>
          </w:tcPr>
          <w:p w14:paraId="429F865A" w14:textId="77777777" w:rsidR="000D07EA" w:rsidRDefault="00BE7C89">
            <w:pPr>
              <w:pStyle w:val="BodyText"/>
              <w:spacing w:before="100" w:after="100"/>
              <w:jc w:val="center"/>
              <w:rPr>
                <w:b/>
              </w:rPr>
            </w:pPr>
            <w:r>
              <w:rPr>
                <w:b/>
              </w:rPr>
              <w:t>Handset Credit</w:t>
            </w:r>
          </w:p>
        </w:tc>
        <w:tc>
          <w:tcPr>
            <w:tcW w:w="1845" w:type="dxa"/>
          </w:tcPr>
          <w:p w14:paraId="7CF1FDA3" w14:textId="77777777" w:rsidR="000D07EA" w:rsidRDefault="00BE7C89">
            <w:pPr>
              <w:pStyle w:val="BodyText"/>
              <w:spacing w:before="100" w:after="100"/>
              <w:jc w:val="center"/>
            </w:pPr>
            <w:r>
              <w:t>$330</w:t>
            </w:r>
          </w:p>
        </w:tc>
        <w:tc>
          <w:tcPr>
            <w:tcW w:w="1845" w:type="dxa"/>
          </w:tcPr>
          <w:p w14:paraId="6A9C5956" w14:textId="77777777" w:rsidR="000D07EA" w:rsidRDefault="00BE7C89">
            <w:pPr>
              <w:pStyle w:val="BodyText"/>
              <w:spacing w:before="100" w:after="100"/>
              <w:jc w:val="center"/>
            </w:pPr>
            <w:r>
              <w:t>$490</w:t>
            </w:r>
          </w:p>
        </w:tc>
        <w:tc>
          <w:tcPr>
            <w:tcW w:w="1845" w:type="dxa"/>
          </w:tcPr>
          <w:p w14:paraId="0B1C33A7" w14:textId="77777777" w:rsidR="000D07EA" w:rsidRDefault="00BE7C89">
            <w:pPr>
              <w:pStyle w:val="BodyText"/>
              <w:spacing w:before="100" w:after="100"/>
              <w:jc w:val="center"/>
            </w:pPr>
            <w:r>
              <w:t>$700</w:t>
            </w:r>
          </w:p>
        </w:tc>
        <w:tc>
          <w:tcPr>
            <w:tcW w:w="1845" w:type="dxa"/>
          </w:tcPr>
          <w:p w14:paraId="53F6475D" w14:textId="77777777" w:rsidR="000D07EA" w:rsidRDefault="00BE7C89">
            <w:pPr>
              <w:pStyle w:val="BodyText"/>
              <w:spacing w:before="100" w:after="100"/>
              <w:jc w:val="center"/>
            </w:pPr>
            <w:r>
              <w:t>$780</w:t>
            </w:r>
          </w:p>
        </w:tc>
      </w:tr>
    </w:tbl>
    <w:p w14:paraId="24B558DA" w14:textId="77777777" w:rsidR="000D07EA" w:rsidRDefault="000D07EA">
      <w:pPr>
        <w:pStyle w:val="BodyText"/>
      </w:pPr>
    </w:p>
    <w:p w14:paraId="5C1E6A27" w14:textId="77777777" w:rsidR="000D07EA" w:rsidRDefault="00BE7C89">
      <w:pPr>
        <w:pStyle w:val="Heading7"/>
      </w:pPr>
      <w:r>
        <w:rPr>
          <w:i/>
        </w:rPr>
        <w:t>You</w:t>
      </w:r>
      <w:r>
        <w:t xml:space="preserve"> may use the Handset Credit deposited into </w:t>
      </w:r>
      <w:r>
        <w:rPr>
          <w:i/>
        </w:rPr>
        <w:t>your</w:t>
      </w:r>
      <w:r>
        <w:t xml:space="preserve"> account to purchase handsets listed in the Optus e-fulfilment price list as amended by </w:t>
      </w:r>
      <w:r>
        <w:rPr>
          <w:i/>
        </w:rPr>
        <w:t>us</w:t>
      </w:r>
      <w:r>
        <w:t xml:space="preserve"> from time to time. This list is available to </w:t>
      </w:r>
      <w:r>
        <w:rPr>
          <w:i/>
        </w:rPr>
        <w:t>you</w:t>
      </w:r>
      <w:r>
        <w:t xml:space="preserve"> upon request.</w:t>
      </w:r>
    </w:p>
    <w:p w14:paraId="15DB3489" w14:textId="77777777" w:rsidR="000D07EA" w:rsidRDefault="00BE7C89">
      <w:pPr>
        <w:pStyle w:val="Heading7"/>
      </w:pPr>
      <w:r>
        <w:t xml:space="preserve">If the purchase price for products that </w:t>
      </w:r>
      <w:r>
        <w:rPr>
          <w:i/>
        </w:rPr>
        <w:t>you</w:t>
      </w:r>
      <w:r>
        <w:t xml:space="preserve"> order is greater than the Handset Credit remaining in </w:t>
      </w:r>
      <w:r>
        <w:rPr>
          <w:i/>
        </w:rPr>
        <w:t>your</w:t>
      </w:r>
      <w:r>
        <w:t xml:space="preserve"> account, </w:t>
      </w:r>
      <w:r>
        <w:rPr>
          <w:i/>
        </w:rPr>
        <w:t>you</w:t>
      </w:r>
      <w:r>
        <w:t xml:space="preserve"> must pay any difference for those products by manually topping up </w:t>
      </w:r>
      <w:r>
        <w:rPr>
          <w:i/>
        </w:rPr>
        <w:t>your</w:t>
      </w:r>
      <w:r>
        <w:t xml:space="preserve"> Handset Credit Fund account with the required funds before purchasing.</w:t>
      </w:r>
    </w:p>
    <w:p w14:paraId="157B217F" w14:textId="77777777" w:rsidR="000D07EA" w:rsidRDefault="00BE7C89">
      <w:pPr>
        <w:pStyle w:val="Heading7"/>
      </w:pPr>
      <w:r>
        <w:t>The value of the Handset Credit is not redeemable for cash and may not be transferred or used for any other purposes (for instance, it may not be used to pay for service charges, minimum monthly call spend or call costs, cannot be used against cancellation fees).</w:t>
      </w:r>
    </w:p>
    <w:p w14:paraId="2FC0C1AE" w14:textId="77777777" w:rsidR="000D07EA" w:rsidRDefault="00BE7C89">
      <w:pPr>
        <w:pStyle w:val="Heading7"/>
      </w:pPr>
      <w:r>
        <w:t xml:space="preserve">If you cancel a service on an account with multiple Tech Fund services, you will not lose any unused handset credit. Only if </w:t>
      </w:r>
      <w:r>
        <w:rPr>
          <w:i/>
        </w:rPr>
        <w:t>your</w:t>
      </w:r>
      <w:r>
        <w:t xml:space="preserve"> account is cancelled for any reason then any unused credit will be forfeited.</w:t>
      </w:r>
    </w:p>
    <w:p w14:paraId="10D30110" w14:textId="77777777" w:rsidR="000D07EA" w:rsidRDefault="00BE7C89">
      <w:pPr>
        <w:pStyle w:val="Heading6"/>
        <w:ind w:left="0" w:firstLine="0"/>
        <w:rPr>
          <w:snapToGrid w:val="0"/>
        </w:rPr>
      </w:pPr>
      <w:bookmarkStart w:id="1236" w:name="_Toc441667917"/>
      <w:r>
        <w:rPr>
          <w:snapToGrid w:val="0"/>
        </w:rPr>
        <w:t>Data Sharing</w:t>
      </w:r>
      <w:bookmarkEnd w:id="1236"/>
    </w:p>
    <w:p w14:paraId="09DC75EB" w14:textId="77777777" w:rsidR="000D07EA" w:rsidRDefault="00BE7C89">
      <w:pPr>
        <w:pStyle w:val="Heading7"/>
        <w:rPr>
          <w:snapToGrid w:val="0"/>
        </w:rPr>
      </w:pPr>
      <w:r>
        <w:rPr>
          <w:snapToGrid w:val="0"/>
        </w:rPr>
        <w:t>If you have more than one My Plan Plus, My Plan Plus SIM Only, My Plan Business (including Tech Fund), My Plan Business SIM, My Mobile Broadband Plus or Mobile Broadband Business on the same billing account, the included data will combine into one data pool, which will be shared by all eligible services on that account.</w:t>
      </w:r>
    </w:p>
    <w:p w14:paraId="69A46733" w14:textId="77777777" w:rsidR="000D07EA" w:rsidRDefault="00BE7C89">
      <w:pPr>
        <w:pStyle w:val="Heading7"/>
        <w:rPr>
          <w:snapToGrid w:val="0"/>
        </w:rPr>
      </w:pPr>
      <w:r>
        <w:rPr>
          <w:i/>
          <w:snapToGrid w:val="0"/>
        </w:rPr>
        <w:t>You</w:t>
      </w:r>
      <w:r>
        <w:rPr>
          <w:snapToGrid w:val="0"/>
        </w:rPr>
        <w:t xml:space="preserve"> can share the Included Data in </w:t>
      </w:r>
      <w:r>
        <w:rPr>
          <w:i/>
          <w:snapToGrid w:val="0"/>
        </w:rPr>
        <w:t>your</w:t>
      </w:r>
      <w:r>
        <w:rPr>
          <w:snapToGrid w:val="0"/>
        </w:rPr>
        <w:t xml:space="preserve"> My Plan Business Tech Fund plan with up to five (5) SIM-ready mobile broadband devices (eg tablets, USB modems and laptops). </w:t>
      </w:r>
      <w:r>
        <w:rPr>
          <w:i/>
          <w:snapToGrid w:val="0"/>
        </w:rPr>
        <w:t>You</w:t>
      </w:r>
      <w:r>
        <w:rPr>
          <w:snapToGrid w:val="0"/>
        </w:rPr>
        <w:t xml:space="preserve"> must connect these mobile broadband devices to Shared Data Plans which have a $5 set up fee each and no ongoing monthly charges.</w:t>
      </w:r>
    </w:p>
    <w:p w14:paraId="6317FD85" w14:textId="77777777" w:rsidR="000D07EA" w:rsidRDefault="00BE7C89">
      <w:pPr>
        <w:pStyle w:val="Heading7"/>
        <w:rPr>
          <w:snapToGrid w:val="0"/>
        </w:rPr>
      </w:pPr>
      <w:r>
        <w:rPr>
          <w:i/>
          <w:snapToGrid w:val="0"/>
        </w:rPr>
        <w:t>We</w:t>
      </w:r>
      <w:r>
        <w:rPr>
          <w:snapToGrid w:val="0"/>
        </w:rPr>
        <w:t xml:space="preserve"> may place a limit on the number of Shared Data Plans </w:t>
      </w:r>
      <w:r>
        <w:rPr>
          <w:i/>
          <w:snapToGrid w:val="0"/>
        </w:rPr>
        <w:t>you</w:t>
      </w:r>
      <w:r>
        <w:rPr>
          <w:snapToGrid w:val="0"/>
        </w:rPr>
        <w:t xml:space="preserve"> can have, based on </w:t>
      </w:r>
      <w:r>
        <w:rPr>
          <w:i/>
          <w:snapToGrid w:val="0"/>
        </w:rPr>
        <w:t>our</w:t>
      </w:r>
      <w:r>
        <w:rPr>
          <w:snapToGrid w:val="0"/>
        </w:rPr>
        <w:t xml:space="preserve"> credit criteria.</w:t>
      </w:r>
    </w:p>
    <w:p w14:paraId="2A65CA09" w14:textId="77777777" w:rsidR="000D07EA" w:rsidRDefault="00BE7C89">
      <w:pPr>
        <w:pStyle w:val="Heading7"/>
        <w:rPr>
          <w:snapToGrid w:val="0"/>
        </w:rPr>
      </w:pPr>
      <w:r>
        <w:rPr>
          <w:snapToGrid w:val="0"/>
        </w:rPr>
        <w:lastRenderedPageBreak/>
        <w:t>Shared Data Plans do not have any Included Data, and cannot be used to make calls.</w:t>
      </w:r>
    </w:p>
    <w:p w14:paraId="1E047245" w14:textId="77777777" w:rsidR="000D07EA" w:rsidRDefault="00BE7C89">
      <w:pPr>
        <w:pStyle w:val="Heading7"/>
        <w:rPr>
          <w:snapToGrid w:val="0"/>
        </w:rPr>
      </w:pPr>
      <w:r>
        <w:rPr>
          <w:i/>
          <w:snapToGrid w:val="0"/>
        </w:rPr>
        <w:t>You</w:t>
      </w:r>
      <w:r>
        <w:rPr>
          <w:snapToGrid w:val="0"/>
        </w:rPr>
        <w:t xml:space="preserve"> can purchase one mobile broadband device per Shared Data Plan, and pay for it in full on </w:t>
      </w:r>
      <w:r>
        <w:rPr>
          <w:i/>
          <w:snapToGrid w:val="0"/>
        </w:rPr>
        <w:t>your</w:t>
      </w:r>
      <w:r>
        <w:rPr>
          <w:snapToGrid w:val="0"/>
        </w:rPr>
        <w:t xml:space="preserve"> first bill, or pay it off over 12 or 24 months on a </w:t>
      </w:r>
      <w:r>
        <w:rPr>
          <w:i/>
          <w:snapToGrid w:val="0"/>
        </w:rPr>
        <w:t>Mobile Equipment Payment Plan</w:t>
      </w:r>
      <w:r>
        <w:rPr>
          <w:snapToGrid w:val="0"/>
        </w:rPr>
        <w:t xml:space="preserve"> (see </w:t>
      </w:r>
      <w:r>
        <w:t>Appendix D</w:t>
      </w:r>
      <w:r>
        <w:rPr>
          <w:snapToGrid w:val="0"/>
        </w:rPr>
        <w:t>).</w:t>
      </w:r>
    </w:p>
    <w:p w14:paraId="2BA080FB" w14:textId="77777777" w:rsidR="000D07EA" w:rsidRDefault="00BE7C89">
      <w:pPr>
        <w:pStyle w:val="Heading7"/>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services on any</w:t>
      </w:r>
      <w:r>
        <w:t xml:space="preserve"> My Plan Plus</w:t>
      </w:r>
      <w:r>
        <w:rPr>
          <w:lang w:eastAsia="en-AU"/>
        </w:rPr>
        <w:t>, My Plan Plus SIM Only, My Plan Business (including Tech Fund), My Plan Business SIM, My Mobile Broadband Plus or Mobile Broadband Business plans</w:t>
      </w:r>
      <w:r>
        <w:rPr>
          <w:snapToGrid w:val="0"/>
        </w:rPr>
        <w:t xml:space="preserve"> to share data, they need to be on separate billing accounts.</w:t>
      </w:r>
    </w:p>
    <w:p w14:paraId="4780F4B3" w14:textId="77777777" w:rsidR="000D07EA" w:rsidRDefault="00BE7C89">
      <w:pPr>
        <w:pStyle w:val="Heading7"/>
      </w:pPr>
      <w:r>
        <w:t>Data sharing is only available within Australia.</w:t>
      </w:r>
    </w:p>
    <w:p w14:paraId="393856DD" w14:textId="77777777" w:rsidR="000D07EA" w:rsidRDefault="00BE7C89">
      <w:pPr>
        <w:pStyle w:val="Heading6"/>
        <w:ind w:left="0" w:firstLine="0"/>
        <w:rPr>
          <w:snapToGrid w:val="0"/>
        </w:rPr>
      </w:pPr>
      <w:bookmarkStart w:id="1237" w:name="_Toc441667918"/>
      <w:r>
        <w:rPr>
          <w:snapToGrid w:val="0"/>
        </w:rPr>
        <w:t>International Minutes</w:t>
      </w:r>
      <w:bookmarkEnd w:id="1237"/>
    </w:p>
    <w:p w14:paraId="41691BF9" w14:textId="77777777" w:rsidR="000D07EA" w:rsidRDefault="00BE7C89">
      <w:pPr>
        <w:pStyle w:val="BodyText"/>
        <w:ind w:left="720"/>
      </w:pPr>
      <w:r>
        <w:t>The $60/$80/$100/My Plan Business</w:t>
      </w:r>
      <w:r>
        <w:rPr>
          <w:snapToGrid w:val="0"/>
        </w:rPr>
        <w:t xml:space="preserve"> Tech Fund</w:t>
      </w:r>
      <w:r>
        <w:t xml:space="preserve"> includes up to 150/300/$300/ international minutes (respectively) for standard calls to mobiles and fixed lines in selected countries. For a list of selected countries see Table 3 below.</w:t>
      </w:r>
    </w:p>
    <w:p w14:paraId="7863086E" w14:textId="77777777" w:rsidR="000D07EA" w:rsidRDefault="00BE7C89">
      <w:pPr>
        <w:pStyle w:val="BodyText"/>
        <w:ind w:left="720"/>
      </w:pPr>
      <w:r>
        <w:t>Calls are charged per minute. When included minutes for calls to selected countries are used up, standard 'yes' international call charges apply.</w:t>
      </w:r>
    </w:p>
    <w:p w14:paraId="0A475029" w14:textId="77777777" w:rsidR="000D07EA" w:rsidRDefault="00BE7C89">
      <w:pPr>
        <w:pStyle w:val="Heading6"/>
        <w:ind w:left="0" w:firstLine="0"/>
        <w:rPr>
          <w:snapToGrid w:val="0"/>
        </w:rPr>
      </w:pPr>
      <w:bookmarkStart w:id="1238" w:name="_Toc441667919"/>
      <w:r>
        <w:rPr>
          <w:snapToGrid w:val="0"/>
        </w:rPr>
        <w:t>Unlimited standard national SMS and MMS</w:t>
      </w:r>
      <w:bookmarkEnd w:id="1238"/>
    </w:p>
    <w:p w14:paraId="6CDAF375" w14:textId="77777777" w:rsidR="000D07EA" w:rsidRDefault="00BE7C89">
      <w:pPr>
        <w:pStyle w:val="BodyText"/>
        <w:ind w:left="720"/>
      </w:pPr>
      <w:r>
        <w:rPr>
          <w:i/>
        </w:rPr>
        <w:t>You</w:t>
      </w:r>
      <w:r>
        <w:t xml:space="preserve"> may send unlimited standard SMS and MMS to Australian mobiles from within Australia.</w:t>
      </w:r>
    </w:p>
    <w:p w14:paraId="26BAC30C" w14:textId="77777777" w:rsidR="000D07EA" w:rsidRDefault="00BE7C89">
      <w:pPr>
        <w:pStyle w:val="BodyText"/>
        <w:ind w:left="720"/>
      </w:pPr>
      <w:r>
        <w:t xml:space="preserve">Unlimited standard national SMS and MMS are only available for personal and ordinary business use and are not to be used for a commercial or non-ordinary purpose as set out in the </w:t>
      </w:r>
      <w:hyperlink r:id="rId636" w:history="1">
        <w:r>
          <w:rPr>
            <w:rStyle w:val="Hyperlink"/>
            <w:rFonts w:cs="Arial"/>
            <w:i/>
          </w:rPr>
          <w:t>Fair Go Policy</w:t>
        </w:r>
      </w:hyperlink>
      <w:r>
        <w:t xml:space="preserve">. For further details refer to </w:t>
      </w:r>
      <w:hyperlink r:id="rId637" w:history="1">
        <w:r>
          <w:rPr>
            <w:rStyle w:val="Hyperlink"/>
            <w:i/>
          </w:rPr>
          <w:t>Appendix S</w:t>
        </w:r>
      </w:hyperlink>
      <w:r>
        <w:t>.</w:t>
      </w:r>
    </w:p>
    <w:p w14:paraId="65D95A6E" w14:textId="77777777" w:rsidR="000D07EA" w:rsidRDefault="00BE7C89">
      <w:pPr>
        <w:pStyle w:val="Heading6"/>
        <w:ind w:left="0" w:firstLine="0"/>
        <w:rPr>
          <w:snapToGrid w:val="0"/>
        </w:rPr>
      </w:pPr>
      <w:bookmarkStart w:id="1239" w:name="_Toc441667920"/>
      <w:r>
        <w:rPr>
          <w:snapToGrid w:val="0"/>
        </w:rPr>
        <w:t>Unlimited standard international SMS and MMS</w:t>
      </w:r>
      <w:bookmarkEnd w:id="1239"/>
    </w:p>
    <w:p w14:paraId="5E6F1B34" w14:textId="77777777" w:rsidR="000D07EA" w:rsidRDefault="00BE7C89">
      <w:pPr>
        <w:pStyle w:val="BodyText"/>
        <w:ind w:left="720"/>
      </w:pPr>
      <w:r>
        <w:rPr>
          <w:i/>
        </w:rPr>
        <w:t>You</w:t>
      </w:r>
      <w:r>
        <w:t xml:space="preserve"> may send unlimited standard SMS and MMS to selected countries as set out in Table 3 below.</w:t>
      </w:r>
    </w:p>
    <w:p w14:paraId="677393A6" w14:textId="77777777" w:rsidR="000D07EA" w:rsidRDefault="00BE7C89">
      <w:pPr>
        <w:pStyle w:val="BodyText"/>
        <w:ind w:left="720"/>
      </w:pPr>
      <w:r>
        <w:t xml:space="preserve">Unlimited standard SMS and MMS are only available for personal and ordinary business use and are not to be used for a commercial or non-ordinary purpose as set out in the Fair Go Policy. For further details refer to </w:t>
      </w:r>
      <w:hyperlink r:id="rId638" w:history="1">
        <w:r>
          <w:rPr>
            <w:rStyle w:val="Hyperlink"/>
            <w:i/>
          </w:rPr>
          <w:t>Appendix S</w:t>
        </w:r>
      </w:hyperlink>
      <w:r>
        <w:t>.</w:t>
      </w:r>
    </w:p>
    <w:p w14:paraId="57F42783" w14:textId="77777777" w:rsidR="000D07EA" w:rsidRDefault="00BE7C89">
      <w:pPr>
        <w:pStyle w:val="BodyText"/>
        <w:ind w:left="720"/>
        <w:rPr>
          <w:b/>
          <w:snapToGrid w:val="0"/>
        </w:rPr>
      </w:pPr>
      <w:r>
        <w:rPr>
          <w:b/>
        </w:rPr>
        <w:t>Table 1 –Plan Inclusions and Charges</w:t>
      </w:r>
    </w:p>
    <w:tbl>
      <w:tblPr>
        <w:tblW w:w="4632"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1897"/>
        <w:gridCol w:w="976"/>
        <w:gridCol w:w="921"/>
        <w:gridCol w:w="1897"/>
        <w:gridCol w:w="1901"/>
      </w:tblGrid>
      <w:tr w:rsidR="000D07EA" w14:paraId="2FB521FD" w14:textId="77777777">
        <w:trPr>
          <w:tblHeader/>
        </w:trPr>
        <w:tc>
          <w:tcPr>
            <w:tcW w:w="978" w:type="pct"/>
            <w:shd w:val="clear" w:color="auto" w:fill="auto"/>
          </w:tcPr>
          <w:p w14:paraId="4C9CAF1F" w14:textId="77777777" w:rsidR="000D07EA" w:rsidRDefault="000D07EA">
            <w:pPr>
              <w:pStyle w:val="BodyText"/>
              <w:spacing w:before="100" w:after="100"/>
              <w:rPr>
                <w:szCs w:val="20"/>
              </w:rPr>
            </w:pPr>
          </w:p>
        </w:tc>
        <w:tc>
          <w:tcPr>
            <w:tcW w:w="1005" w:type="pct"/>
          </w:tcPr>
          <w:p w14:paraId="31F70CA2" w14:textId="77777777" w:rsidR="000D07EA" w:rsidRDefault="00BE7C89">
            <w:pPr>
              <w:pStyle w:val="BodyText"/>
              <w:spacing w:before="100" w:after="100"/>
              <w:jc w:val="center"/>
              <w:rPr>
                <w:b/>
                <w:szCs w:val="20"/>
              </w:rPr>
            </w:pPr>
            <w:r>
              <w:rPr>
                <w:b/>
                <w:szCs w:val="20"/>
              </w:rPr>
              <w:t xml:space="preserve">$40 My Plan Business </w:t>
            </w:r>
            <w:r>
              <w:rPr>
                <w:b/>
                <w:snapToGrid w:val="0"/>
                <w:szCs w:val="20"/>
              </w:rPr>
              <w:t>Tech Fund</w:t>
            </w:r>
          </w:p>
        </w:tc>
        <w:tc>
          <w:tcPr>
            <w:tcW w:w="1005" w:type="pct"/>
            <w:gridSpan w:val="2"/>
            <w:shd w:val="clear" w:color="auto" w:fill="auto"/>
          </w:tcPr>
          <w:p w14:paraId="6DAC6A8E" w14:textId="77777777" w:rsidR="000D07EA" w:rsidRDefault="00BE7C89">
            <w:pPr>
              <w:pStyle w:val="BodyText"/>
              <w:spacing w:before="100" w:after="100"/>
              <w:jc w:val="center"/>
              <w:rPr>
                <w:b/>
                <w:szCs w:val="20"/>
              </w:rPr>
            </w:pPr>
            <w:r>
              <w:rPr>
                <w:b/>
                <w:szCs w:val="20"/>
              </w:rPr>
              <w:t>$60 My Plan Business</w:t>
            </w:r>
            <w:r>
              <w:rPr>
                <w:b/>
                <w:snapToGrid w:val="0"/>
                <w:szCs w:val="20"/>
              </w:rPr>
              <w:t xml:space="preserve"> Tech Fund</w:t>
            </w:r>
          </w:p>
        </w:tc>
        <w:tc>
          <w:tcPr>
            <w:tcW w:w="1005" w:type="pct"/>
            <w:shd w:val="clear" w:color="auto" w:fill="auto"/>
          </w:tcPr>
          <w:p w14:paraId="0A80C346" w14:textId="77777777" w:rsidR="000D07EA" w:rsidRDefault="00BE7C89">
            <w:pPr>
              <w:pStyle w:val="BodyText"/>
              <w:spacing w:before="100" w:after="100"/>
              <w:jc w:val="center"/>
              <w:rPr>
                <w:b/>
                <w:szCs w:val="20"/>
              </w:rPr>
            </w:pPr>
            <w:r>
              <w:rPr>
                <w:b/>
                <w:szCs w:val="20"/>
              </w:rPr>
              <w:t>$80 My Plan Business</w:t>
            </w:r>
            <w:r>
              <w:rPr>
                <w:b/>
                <w:snapToGrid w:val="0"/>
                <w:szCs w:val="20"/>
              </w:rPr>
              <w:t xml:space="preserve"> Tech Fund</w:t>
            </w:r>
          </w:p>
        </w:tc>
        <w:tc>
          <w:tcPr>
            <w:tcW w:w="1006" w:type="pct"/>
          </w:tcPr>
          <w:p w14:paraId="08D0074F" w14:textId="77777777" w:rsidR="000D07EA" w:rsidRDefault="00BE7C89">
            <w:pPr>
              <w:pStyle w:val="BodyText"/>
              <w:spacing w:before="100" w:after="100"/>
              <w:jc w:val="center"/>
              <w:rPr>
                <w:b/>
                <w:szCs w:val="20"/>
              </w:rPr>
            </w:pPr>
            <w:r>
              <w:rPr>
                <w:b/>
                <w:szCs w:val="20"/>
              </w:rPr>
              <w:t>$100 My Plan Business Tech Fund</w:t>
            </w:r>
          </w:p>
        </w:tc>
      </w:tr>
      <w:tr w:rsidR="000D07EA" w14:paraId="08F40F85" w14:textId="77777777">
        <w:tc>
          <w:tcPr>
            <w:tcW w:w="978" w:type="pct"/>
            <w:shd w:val="clear" w:color="auto" w:fill="auto"/>
          </w:tcPr>
          <w:p w14:paraId="52E5BAE7" w14:textId="77777777" w:rsidR="000D07EA" w:rsidRDefault="00BE7C89">
            <w:pPr>
              <w:pStyle w:val="BodyText"/>
              <w:spacing w:before="100" w:after="100"/>
              <w:rPr>
                <w:szCs w:val="20"/>
              </w:rPr>
            </w:pPr>
            <w:r>
              <w:rPr>
                <w:b/>
                <w:bCs/>
                <w:szCs w:val="20"/>
              </w:rPr>
              <w:t>Minimum Monthly charge</w:t>
            </w:r>
          </w:p>
        </w:tc>
        <w:tc>
          <w:tcPr>
            <w:tcW w:w="1005" w:type="pct"/>
            <w:vAlign w:val="center"/>
          </w:tcPr>
          <w:p w14:paraId="52402182" w14:textId="77777777" w:rsidR="000D07EA" w:rsidRDefault="00BE7C89">
            <w:pPr>
              <w:pStyle w:val="BodyText"/>
              <w:spacing w:before="100" w:after="100"/>
              <w:jc w:val="center"/>
              <w:rPr>
                <w:szCs w:val="20"/>
              </w:rPr>
            </w:pPr>
            <w:r>
              <w:rPr>
                <w:szCs w:val="20"/>
              </w:rPr>
              <w:t>$40</w:t>
            </w:r>
          </w:p>
        </w:tc>
        <w:tc>
          <w:tcPr>
            <w:tcW w:w="1005" w:type="pct"/>
            <w:gridSpan w:val="2"/>
            <w:shd w:val="clear" w:color="auto" w:fill="auto"/>
            <w:vAlign w:val="center"/>
          </w:tcPr>
          <w:p w14:paraId="01526028" w14:textId="77777777" w:rsidR="000D07EA" w:rsidRDefault="00BE7C89">
            <w:pPr>
              <w:pStyle w:val="BodyText"/>
              <w:spacing w:before="100" w:after="100"/>
              <w:jc w:val="center"/>
              <w:rPr>
                <w:szCs w:val="20"/>
              </w:rPr>
            </w:pPr>
            <w:r>
              <w:rPr>
                <w:szCs w:val="20"/>
              </w:rPr>
              <w:t>$60</w:t>
            </w:r>
          </w:p>
        </w:tc>
        <w:tc>
          <w:tcPr>
            <w:tcW w:w="1005" w:type="pct"/>
            <w:shd w:val="clear" w:color="auto" w:fill="auto"/>
            <w:vAlign w:val="center"/>
          </w:tcPr>
          <w:p w14:paraId="503F8F89" w14:textId="77777777" w:rsidR="000D07EA" w:rsidRDefault="00BE7C89">
            <w:pPr>
              <w:pStyle w:val="BodyText"/>
              <w:spacing w:before="100" w:after="100"/>
              <w:jc w:val="center"/>
              <w:rPr>
                <w:szCs w:val="20"/>
              </w:rPr>
            </w:pPr>
            <w:r>
              <w:rPr>
                <w:szCs w:val="20"/>
              </w:rPr>
              <w:t>$80</w:t>
            </w:r>
          </w:p>
        </w:tc>
        <w:tc>
          <w:tcPr>
            <w:tcW w:w="1006" w:type="pct"/>
            <w:vAlign w:val="center"/>
          </w:tcPr>
          <w:p w14:paraId="31724CAB" w14:textId="77777777" w:rsidR="000D07EA" w:rsidRDefault="00BE7C89">
            <w:pPr>
              <w:pStyle w:val="BodyText"/>
              <w:spacing w:before="100" w:after="100"/>
              <w:jc w:val="center"/>
              <w:rPr>
                <w:szCs w:val="20"/>
              </w:rPr>
            </w:pPr>
            <w:r>
              <w:rPr>
                <w:szCs w:val="20"/>
              </w:rPr>
              <w:t>$100</w:t>
            </w:r>
          </w:p>
        </w:tc>
      </w:tr>
      <w:tr w:rsidR="000D07EA" w14:paraId="75567FFC" w14:textId="77777777">
        <w:tc>
          <w:tcPr>
            <w:tcW w:w="978" w:type="pct"/>
            <w:shd w:val="clear" w:color="auto" w:fill="auto"/>
          </w:tcPr>
          <w:p w14:paraId="16041B2A" w14:textId="77777777" w:rsidR="000D07EA" w:rsidRDefault="00BE7C89">
            <w:pPr>
              <w:pStyle w:val="BodyText"/>
              <w:spacing w:before="100" w:after="100"/>
              <w:rPr>
                <w:szCs w:val="20"/>
              </w:rPr>
            </w:pPr>
            <w:r>
              <w:rPr>
                <w:b/>
                <w:bCs/>
                <w:szCs w:val="20"/>
              </w:rPr>
              <w:t>Included Data</w:t>
            </w:r>
          </w:p>
        </w:tc>
        <w:tc>
          <w:tcPr>
            <w:tcW w:w="1005" w:type="pct"/>
            <w:vAlign w:val="center"/>
          </w:tcPr>
          <w:p w14:paraId="3692D66D" w14:textId="77777777" w:rsidR="000D07EA" w:rsidRDefault="00BE7C89">
            <w:pPr>
              <w:pStyle w:val="BodyText"/>
              <w:spacing w:before="100" w:after="100"/>
              <w:jc w:val="center"/>
              <w:rPr>
                <w:szCs w:val="20"/>
              </w:rPr>
            </w:pPr>
            <w:r>
              <w:rPr>
                <w:szCs w:val="20"/>
              </w:rPr>
              <w:t>500MB</w:t>
            </w:r>
          </w:p>
        </w:tc>
        <w:tc>
          <w:tcPr>
            <w:tcW w:w="1005" w:type="pct"/>
            <w:gridSpan w:val="2"/>
            <w:shd w:val="clear" w:color="auto" w:fill="auto"/>
            <w:vAlign w:val="center"/>
          </w:tcPr>
          <w:p w14:paraId="3A38E7F8" w14:textId="77777777" w:rsidR="000D07EA" w:rsidRDefault="00BE7C89">
            <w:pPr>
              <w:pStyle w:val="BodyText"/>
              <w:spacing w:before="100" w:after="100"/>
              <w:jc w:val="center"/>
              <w:rPr>
                <w:szCs w:val="20"/>
              </w:rPr>
            </w:pPr>
            <w:r>
              <w:rPr>
                <w:szCs w:val="20"/>
              </w:rPr>
              <w:t>3GB</w:t>
            </w:r>
          </w:p>
        </w:tc>
        <w:tc>
          <w:tcPr>
            <w:tcW w:w="1005" w:type="pct"/>
            <w:shd w:val="clear" w:color="auto" w:fill="auto"/>
            <w:vAlign w:val="center"/>
          </w:tcPr>
          <w:p w14:paraId="3427DCCD" w14:textId="77777777" w:rsidR="000D07EA" w:rsidRDefault="00BE7C89">
            <w:pPr>
              <w:pStyle w:val="BodyText"/>
              <w:spacing w:before="100" w:after="100"/>
              <w:jc w:val="center"/>
              <w:rPr>
                <w:szCs w:val="20"/>
              </w:rPr>
            </w:pPr>
            <w:r>
              <w:rPr>
                <w:szCs w:val="20"/>
              </w:rPr>
              <w:t>6GB</w:t>
            </w:r>
          </w:p>
        </w:tc>
        <w:tc>
          <w:tcPr>
            <w:tcW w:w="1006" w:type="pct"/>
            <w:vAlign w:val="center"/>
          </w:tcPr>
          <w:p w14:paraId="784E77CA" w14:textId="77777777" w:rsidR="000D07EA" w:rsidRDefault="00BE7C89">
            <w:pPr>
              <w:pStyle w:val="BodyText"/>
              <w:spacing w:before="100" w:after="100"/>
              <w:jc w:val="center"/>
              <w:rPr>
                <w:szCs w:val="20"/>
              </w:rPr>
            </w:pPr>
            <w:r>
              <w:rPr>
                <w:szCs w:val="20"/>
              </w:rPr>
              <w:t>10GB</w:t>
            </w:r>
          </w:p>
        </w:tc>
      </w:tr>
      <w:tr w:rsidR="000D07EA" w14:paraId="0CDBB6AC" w14:textId="77777777">
        <w:tc>
          <w:tcPr>
            <w:tcW w:w="2500" w:type="pct"/>
            <w:gridSpan w:val="3"/>
            <w:shd w:val="clear" w:color="auto" w:fill="auto"/>
          </w:tcPr>
          <w:p w14:paraId="1278CD47" w14:textId="77777777" w:rsidR="000D07EA" w:rsidRDefault="00BE7C89">
            <w:pPr>
              <w:pStyle w:val="BodyText"/>
              <w:spacing w:before="100" w:after="100"/>
              <w:rPr>
                <w:b/>
                <w:bCs/>
                <w:szCs w:val="20"/>
              </w:rPr>
            </w:pPr>
            <w:r>
              <w:rPr>
                <w:b/>
                <w:bCs/>
                <w:szCs w:val="20"/>
              </w:rPr>
              <w:t>Additional Data</w:t>
            </w:r>
          </w:p>
        </w:tc>
        <w:tc>
          <w:tcPr>
            <w:tcW w:w="2500" w:type="pct"/>
            <w:gridSpan w:val="3"/>
            <w:vAlign w:val="center"/>
          </w:tcPr>
          <w:p w14:paraId="3F67D178" w14:textId="77777777" w:rsidR="000D07EA" w:rsidRDefault="00BE7C89">
            <w:pPr>
              <w:pStyle w:val="BodyText"/>
              <w:spacing w:before="100" w:after="100"/>
              <w:jc w:val="center"/>
              <w:rPr>
                <w:szCs w:val="20"/>
              </w:rPr>
            </w:pPr>
            <w:r>
              <w:rPr>
                <w:szCs w:val="20"/>
              </w:rPr>
              <w:t>Additional Data $10 per 1GB</w:t>
            </w:r>
          </w:p>
        </w:tc>
      </w:tr>
      <w:tr w:rsidR="000D07EA" w14:paraId="77345CD5" w14:textId="77777777">
        <w:tc>
          <w:tcPr>
            <w:tcW w:w="978" w:type="pct"/>
            <w:shd w:val="clear" w:color="auto" w:fill="auto"/>
          </w:tcPr>
          <w:p w14:paraId="63FBA24C" w14:textId="77777777" w:rsidR="000D07EA" w:rsidRDefault="00BE7C89">
            <w:pPr>
              <w:pStyle w:val="BodyText"/>
              <w:spacing w:before="100" w:after="100"/>
              <w:rPr>
                <w:szCs w:val="20"/>
              </w:rPr>
            </w:pPr>
            <w:r>
              <w:rPr>
                <w:b/>
                <w:bCs/>
                <w:szCs w:val="20"/>
              </w:rPr>
              <w:t xml:space="preserve">Included Minutes </w:t>
            </w:r>
            <w:r>
              <w:rPr>
                <w:szCs w:val="20"/>
              </w:rPr>
              <w:t>for standard national calls to landlines and mobiles, 1300 numbers and voicemail, within Australia</w:t>
            </w:r>
          </w:p>
        </w:tc>
        <w:tc>
          <w:tcPr>
            <w:tcW w:w="1005" w:type="pct"/>
            <w:vAlign w:val="center"/>
          </w:tcPr>
          <w:p w14:paraId="478E3831" w14:textId="77777777" w:rsidR="000D07EA" w:rsidRDefault="00BE7C89">
            <w:pPr>
              <w:pStyle w:val="BodyText"/>
              <w:spacing w:before="100" w:after="100"/>
              <w:jc w:val="center"/>
              <w:rPr>
                <w:szCs w:val="20"/>
              </w:rPr>
            </w:pPr>
            <w:r>
              <w:rPr>
                <w:szCs w:val="20"/>
              </w:rPr>
              <w:t>Unlimited</w:t>
            </w:r>
          </w:p>
        </w:tc>
        <w:tc>
          <w:tcPr>
            <w:tcW w:w="1005" w:type="pct"/>
            <w:gridSpan w:val="2"/>
            <w:shd w:val="clear" w:color="auto" w:fill="auto"/>
            <w:vAlign w:val="center"/>
          </w:tcPr>
          <w:p w14:paraId="360E8FEF" w14:textId="77777777" w:rsidR="000D07EA" w:rsidRDefault="00BE7C89">
            <w:pPr>
              <w:pStyle w:val="BodyText"/>
              <w:spacing w:before="100" w:after="100"/>
              <w:jc w:val="center"/>
              <w:rPr>
                <w:szCs w:val="20"/>
              </w:rPr>
            </w:pPr>
            <w:r>
              <w:rPr>
                <w:szCs w:val="20"/>
              </w:rPr>
              <w:t>Unlimited</w:t>
            </w:r>
          </w:p>
        </w:tc>
        <w:tc>
          <w:tcPr>
            <w:tcW w:w="1005" w:type="pct"/>
            <w:shd w:val="clear" w:color="auto" w:fill="auto"/>
            <w:vAlign w:val="center"/>
          </w:tcPr>
          <w:p w14:paraId="67B49F62" w14:textId="77777777" w:rsidR="000D07EA" w:rsidRDefault="00BE7C89">
            <w:pPr>
              <w:pStyle w:val="BodyText"/>
              <w:spacing w:before="100" w:after="100"/>
              <w:jc w:val="center"/>
              <w:rPr>
                <w:szCs w:val="20"/>
              </w:rPr>
            </w:pPr>
            <w:r>
              <w:rPr>
                <w:szCs w:val="20"/>
              </w:rPr>
              <w:t>Unlimited</w:t>
            </w:r>
          </w:p>
        </w:tc>
        <w:tc>
          <w:tcPr>
            <w:tcW w:w="1006" w:type="pct"/>
            <w:vAlign w:val="center"/>
          </w:tcPr>
          <w:p w14:paraId="17537175" w14:textId="77777777" w:rsidR="000D07EA" w:rsidRDefault="00BE7C89">
            <w:pPr>
              <w:pStyle w:val="BodyText"/>
              <w:spacing w:before="100" w:after="100"/>
              <w:jc w:val="center"/>
              <w:rPr>
                <w:szCs w:val="20"/>
              </w:rPr>
            </w:pPr>
            <w:r>
              <w:rPr>
                <w:szCs w:val="20"/>
              </w:rPr>
              <w:t>Unlimited</w:t>
            </w:r>
          </w:p>
        </w:tc>
      </w:tr>
      <w:tr w:rsidR="000D07EA" w14:paraId="6FDFE286" w14:textId="77777777">
        <w:tc>
          <w:tcPr>
            <w:tcW w:w="978" w:type="pct"/>
            <w:shd w:val="clear" w:color="auto" w:fill="auto"/>
          </w:tcPr>
          <w:p w14:paraId="2EDA5496" w14:textId="77777777" w:rsidR="000D07EA" w:rsidRDefault="00BE7C89">
            <w:pPr>
              <w:pStyle w:val="BodyText"/>
              <w:spacing w:before="100" w:after="100"/>
              <w:rPr>
                <w:b/>
                <w:bCs/>
                <w:szCs w:val="20"/>
              </w:rPr>
            </w:pPr>
            <w:r>
              <w:rPr>
                <w:b/>
                <w:bCs/>
                <w:szCs w:val="20"/>
              </w:rPr>
              <w:t>Included International Minutes</w:t>
            </w:r>
          </w:p>
          <w:p w14:paraId="08EBC60D" w14:textId="77777777" w:rsidR="000D07EA" w:rsidRDefault="00BE7C89">
            <w:pPr>
              <w:pStyle w:val="BodyText"/>
              <w:spacing w:before="100" w:after="100"/>
              <w:rPr>
                <w:b/>
                <w:bCs/>
                <w:szCs w:val="20"/>
              </w:rPr>
            </w:pPr>
            <w:r>
              <w:rPr>
                <w:szCs w:val="20"/>
              </w:rPr>
              <w:lastRenderedPageBreak/>
              <w:t xml:space="preserve">Standard international calls to landlines and mobiles to selected countries </w:t>
            </w:r>
          </w:p>
        </w:tc>
        <w:tc>
          <w:tcPr>
            <w:tcW w:w="1005" w:type="pct"/>
            <w:vAlign w:val="center"/>
          </w:tcPr>
          <w:p w14:paraId="5819A61B" w14:textId="77777777" w:rsidR="000D07EA" w:rsidRDefault="00BE7C89">
            <w:pPr>
              <w:pStyle w:val="BodyText"/>
              <w:spacing w:before="100" w:after="100"/>
              <w:jc w:val="center"/>
              <w:rPr>
                <w:szCs w:val="20"/>
              </w:rPr>
            </w:pPr>
            <w:r>
              <w:rPr>
                <w:szCs w:val="20"/>
              </w:rPr>
              <w:lastRenderedPageBreak/>
              <w:t>Not included</w:t>
            </w:r>
          </w:p>
        </w:tc>
        <w:tc>
          <w:tcPr>
            <w:tcW w:w="1005" w:type="pct"/>
            <w:gridSpan w:val="2"/>
            <w:shd w:val="clear" w:color="auto" w:fill="auto"/>
            <w:vAlign w:val="center"/>
          </w:tcPr>
          <w:p w14:paraId="6B063B4A" w14:textId="77777777" w:rsidR="000D07EA" w:rsidRDefault="00BE7C89">
            <w:pPr>
              <w:pStyle w:val="BodyText"/>
              <w:spacing w:before="100" w:after="100"/>
              <w:jc w:val="center"/>
              <w:rPr>
                <w:szCs w:val="20"/>
              </w:rPr>
            </w:pPr>
            <w:r>
              <w:rPr>
                <w:bCs/>
                <w:szCs w:val="20"/>
              </w:rPr>
              <w:t>Up to 150 mins</w:t>
            </w:r>
          </w:p>
        </w:tc>
        <w:tc>
          <w:tcPr>
            <w:tcW w:w="1005" w:type="pct"/>
            <w:shd w:val="clear" w:color="auto" w:fill="auto"/>
            <w:vAlign w:val="center"/>
          </w:tcPr>
          <w:p w14:paraId="691D6BC8" w14:textId="77777777" w:rsidR="000D07EA" w:rsidRDefault="00BE7C89">
            <w:pPr>
              <w:pStyle w:val="BodyText"/>
              <w:spacing w:before="100" w:after="100"/>
              <w:jc w:val="center"/>
              <w:rPr>
                <w:szCs w:val="20"/>
              </w:rPr>
            </w:pPr>
            <w:r>
              <w:rPr>
                <w:bCs/>
                <w:szCs w:val="20"/>
              </w:rPr>
              <w:t>Up to 300 mins</w:t>
            </w:r>
          </w:p>
        </w:tc>
        <w:tc>
          <w:tcPr>
            <w:tcW w:w="1006" w:type="pct"/>
            <w:vAlign w:val="center"/>
          </w:tcPr>
          <w:p w14:paraId="28BCD90F" w14:textId="77777777" w:rsidR="000D07EA" w:rsidRDefault="00BE7C89">
            <w:pPr>
              <w:pStyle w:val="BodyText"/>
              <w:spacing w:before="100" w:after="100"/>
              <w:jc w:val="center"/>
              <w:rPr>
                <w:bCs/>
                <w:szCs w:val="20"/>
              </w:rPr>
            </w:pPr>
            <w:r>
              <w:rPr>
                <w:bCs/>
                <w:szCs w:val="20"/>
              </w:rPr>
              <w:t>Up to 300 mins</w:t>
            </w:r>
          </w:p>
        </w:tc>
      </w:tr>
      <w:tr w:rsidR="000D07EA" w14:paraId="5CF2BCCB" w14:textId="77777777">
        <w:tc>
          <w:tcPr>
            <w:tcW w:w="978" w:type="pct"/>
            <w:shd w:val="clear" w:color="auto" w:fill="auto"/>
          </w:tcPr>
          <w:p w14:paraId="7B0212DB" w14:textId="77777777" w:rsidR="000D07EA" w:rsidRDefault="00BE7C89">
            <w:pPr>
              <w:pStyle w:val="BodyText"/>
              <w:spacing w:before="100" w:after="100"/>
              <w:rPr>
                <w:szCs w:val="20"/>
              </w:rPr>
            </w:pPr>
            <w:r>
              <w:rPr>
                <w:b/>
                <w:bCs/>
                <w:szCs w:val="20"/>
              </w:rPr>
              <w:t xml:space="preserve">Standard national SMS </w:t>
            </w:r>
            <w:r>
              <w:rPr>
                <w:szCs w:val="20"/>
              </w:rPr>
              <w:t>(per SMS of up to 160 standard characters)</w:t>
            </w:r>
          </w:p>
        </w:tc>
        <w:tc>
          <w:tcPr>
            <w:tcW w:w="1005" w:type="pct"/>
            <w:vAlign w:val="center"/>
          </w:tcPr>
          <w:p w14:paraId="199A5638" w14:textId="77777777" w:rsidR="000D07EA" w:rsidRDefault="00BE7C89">
            <w:pPr>
              <w:pStyle w:val="BodyText"/>
              <w:spacing w:before="100" w:after="100"/>
              <w:jc w:val="center"/>
              <w:rPr>
                <w:szCs w:val="20"/>
              </w:rPr>
            </w:pPr>
            <w:r>
              <w:rPr>
                <w:szCs w:val="20"/>
              </w:rPr>
              <w:t>Unlimited</w:t>
            </w:r>
          </w:p>
        </w:tc>
        <w:tc>
          <w:tcPr>
            <w:tcW w:w="1005" w:type="pct"/>
            <w:gridSpan w:val="2"/>
            <w:shd w:val="clear" w:color="auto" w:fill="auto"/>
            <w:vAlign w:val="center"/>
          </w:tcPr>
          <w:p w14:paraId="50EA6328" w14:textId="77777777" w:rsidR="000D07EA" w:rsidRDefault="00BE7C89">
            <w:pPr>
              <w:pStyle w:val="BodyText"/>
              <w:spacing w:before="100" w:after="100"/>
              <w:jc w:val="center"/>
              <w:rPr>
                <w:szCs w:val="20"/>
              </w:rPr>
            </w:pPr>
            <w:r>
              <w:rPr>
                <w:szCs w:val="20"/>
              </w:rPr>
              <w:t>Unlimited</w:t>
            </w:r>
          </w:p>
        </w:tc>
        <w:tc>
          <w:tcPr>
            <w:tcW w:w="1005" w:type="pct"/>
            <w:shd w:val="clear" w:color="auto" w:fill="auto"/>
            <w:vAlign w:val="center"/>
          </w:tcPr>
          <w:p w14:paraId="4AEAD3F1" w14:textId="77777777" w:rsidR="000D07EA" w:rsidRDefault="00BE7C89">
            <w:pPr>
              <w:pStyle w:val="BodyText"/>
              <w:spacing w:before="100" w:after="100"/>
              <w:jc w:val="center"/>
              <w:rPr>
                <w:szCs w:val="20"/>
              </w:rPr>
            </w:pPr>
            <w:r>
              <w:rPr>
                <w:szCs w:val="20"/>
              </w:rPr>
              <w:t>Unlimited</w:t>
            </w:r>
          </w:p>
        </w:tc>
        <w:tc>
          <w:tcPr>
            <w:tcW w:w="1006" w:type="pct"/>
            <w:vAlign w:val="center"/>
          </w:tcPr>
          <w:p w14:paraId="2DD1994C" w14:textId="77777777" w:rsidR="000D07EA" w:rsidRDefault="00BE7C89">
            <w:pPr>
              <w:pStyle w:val="BodyText"/>
              <w:spacing w:before="100" w:after="100"/>
              <w:jc w:val="center"/>
              <w:rPr>
                <w:szCs w:val="20"/>
              </w:rPr>
            </w:pPr>
            <w:r>
              <w:rPr>
                <w:szCs w:val="20"/>
              </w:rPr>
              <w:t>Unlimited</w:t>
            </w:r>
          </w:p>
        </w:tc>
      </w:tr>
      <w:tr w:rsidR="000D07EA" w14:paraId="11DED895" w14:textId="77777777">
        <w:tc>
          <w:tcPr>
            <w:tcW w:w="978" w:type="pct"/>
            <w:shd w:val="clear" w:color="auto" w:fill="auto"/>
          </w:tcPr>
          <w:p w14:paraId="67419CD3" w14:textId="77777777" w:rsidR="000D07EA" w:rsidRDefault="00BE7C89">
            <w:pPr>
              <w:pStyle w:val="BodyText"/>
              <w:spacing w:before="100" w:after="100"/>
              <w:rPr>
                <w:b/>
                <w:bCs/>
                <w:szCs w:val="20"/>
              </w:rPr>
            </w:pPr>
            <w:r>
              <w:rPr>
                <w:b/>
                <w:bCs/>
                <w:szCs w:val="20"/>
              </w:rPr>
              <w:t xml:space="preserve">Standard national MMS </w:t>
            </w:r>
            <w:r>
              <w:rPr>
                <w:szCs w:val="20"/>
              </w:rPr>
              <w:t>(per message)</w:t>
            </w:r>
          </w:p>
        </w:tc>
        <w:tc>
          <w:tcPr>
            <w:tcW w:w="1005" w:type="pct"/>
            <w:vAlign w:val="center"/>
          </w:tcPr>
          <w:p w14:paraId="5B2A25C4" w14:textId="77777777" w:rsidR="000D07EA" w:rsidRDefault="00BE7C89">
            <w:pPr>
              <w:pStyle w:val="BodyText"/>
              <w:spacing w:before="100" w:after="100"/>
              <w:jc w:val="center"/>
              <w:rPr>
                <w:szCs w:val="20"/>
              </w:rPr>
            </w:pPr>
            <w:r>
              <w:rPr>
                <w:szCs w:val="20"/>
              </w:rPr>
              <w:t>Unlimited</w:t>
            </w:r>
          </w:p>
        </w:tc>
        <w:tc>
          <w:tcPr>
            <w:tcW w:w="1005" w:type="pct"/>
            <w:gridSpan w:val="2"/>
            <w:shd w:val="clear" w:color="auto" w:fill="auto"/>
            <w:vAlign w:val="center"/>
          </w:tcPr>
          <w:p w14:paraId="7AF7A53E" w14:textId="77777777" w:rsidR="000D07EA" w:rsidRDefault="00BE7C89">
            <w:pPr>
              <w:pStyle w:val="BodyText"/>
              <w:spacing w:before="100" w:after="100"/>
              <w:jc w:val="center"/>
              <w:rPr>
                <w:szCs w:val="20"/>
              </w:rPr>
            </w:pPr>
            <w:r>
              <w:rPr>
                <w:szCs w:val="20"/>
              </w:rPr>
              <w:t>Unlimited</w:t>
            </w:r>
          </w:p>
        </w:tc>
        <w:tc>
          <w:tcPr>
            <w:tcW w:w="1005" w:type="pct"/>
            <w:shd w:val="clear" w:color="auto" w:fill="auto"/>
            <w:vAlign w:val="center"/>
          </w:tcPr>
          <w:p w14:paraId="098B41F3" w14:textId="77777777" w:rsidR="000D07EA" w:rsidRDefault="00BE7C89">
            <w:pPr>
              <w:pStyle w:val="BodyText"/>
              <w:spacing w:before="100" w:after="100"/>
              <w:jc w:val="center"/>
              <w:rPr>
                <w:szCs w:val="20"/>
              </w:rPr>
            </w:pPr>
            <w:r>
              <w:rPr>
                <w:szCs w:val="20"/>
              </w:rPr>
              <w:t>Unlimited</w:t>
            </w:r>
          </w:p>
        </w:tc>
        <w:tc>
          <w:tcPr>
            <w:tcW w:w="1006" w:type="pct"/>
            <w:vAlign w:val="center"/>
          </w:tcPr>
          <w:p w14:paraId="3E6DB5A9" w14:textId="77777777" w:rsidR="000D07EA" w:rsidRDefault="00BE7C89">
            <w:pPr>
              <w:pStyle w:val="BodyText"/>
              <w:spacing w:before="100" w:after="100"/>
              <w:jc w:val="center"/>
              <w:rPr>
                <w:szCs w:val="20"/>
              </w:rPr>
            </w:pPr>
            <w:r>
              <w:rPr>
                <w:szCs w:val="20"/>
              </w:rPr>
              <w:t>Unlimited</w:t>
            </w:r>
          </w:p>
        </w:tc>
      </w:tr>
      <w:tr w:rsidR="000D07EA" w14:paraId="2EE81F8B" w14:textId="77777777">
        <w:tc>
          <w:tcPr>
            <w:tcW w:w="978" w:type="pct"/>
            <w:shd w:val="clear" w:color="auto" w:fill="auto"/>
          </w:tcPr>
          <w:p w14:paraId="2D278AD8" w14:textId="77777777" w:rsidR="000D07EA" w:rsidRDefault="00BE7C89">
            <w:pPr>
              <w:pStyle w:val="BodyText"/>
              <w:spacing w:before="100" w:after="100"/>
              <w:rPr>
                <w:b/>
                <w:bCs/>
                <w:szCs w:val="20"/>
              </w:rPr>
            </w:pPr>
            <w:r>
              <w:rPr>
                <w:b/>
                <w:bCs/>
                <w:szCs w:val="20"/>
              </w:rPr>
              <w:t xml:space="preserve">Standard international SMS </w:t>
            </w:r>
            <w:r>
              <w:rPr>
                <w:szCs w:val="20"/>
              </w:rPr>
              <w:t>(per SMS of up to 160 standard characters to selected countries)</w:t>
            </w:r>
          </w:p>
        </w:tc>
        <w:tc>
          <w:tcPr>
            <w:tcW w:w="1005" w:type="pct"/>
            <w:vAlign w:val="center"/>
          </w:tcPr>
          <w:p w14:paraId="61065B94" w14:textId="77777777" w:rsidR="000D07EA" w:rsidRDefault="00BE7C89">
            <w:pPr>
              <w:pStyle w:val="BodyText"/>
              <w:spacing w:before="100" w:after="100"/>
              <w:jc w:val="center"/>
              <w:rPr>
                <w:szCs w:val="20"/>
              </w:rPr>
            </w:pPr>
            <w:r>
              <w:rPr>
                <w:szCs w:val="20"/>
              </w:rPr>
              <w:t>Unlimited</w:t>
            </w:r>
          </w:p>
        </w:tc>
        <w:tc>
          <w:tcPr>
            <w:tcW w:w="1005" w:type="pct"/>
            <w:gridSpan w:val="2"/>
            <w:shd w:val="clear" w:color="auto" w:fill="auto"/>
            <w:vAlign w:val="center"/>
          </w:tcPr>
          <w:p w14:paraId="4BF4382C" w14:textId="77777777" w:rsidR="000D07EA" w:rsidRDefault="00BE7C89">
            <w:pPr>
              <w:pStyle w:val="BodyText"/>
              <w:spacing w:before="100" w:after="100"/>
              <w:jc w:val="center"/>
              <w:rPr>
                <w:szCs w:val="20"/>
              </w:rPr>
            </w:pPr>
            <w:r>
              <w:rPr>
                <w:szCs w:val="20"/>
              </w:rPr>
              <w:t>Unlimited</w:t>
            </w:r>
          </w:p>
        </w:tc>
        <w:tc>
          <w:tcPr>
            <w:tcW w:w="1005" w:type="pct"/>
            <w:shd w:val="clear" w:color="auto" w:fill="auto"/>
            <w:vAlign w:val="center"/>
          </w:tcPr>
          <w:p w14:paraId="731BD00A" w14:textId="77777777" w:rsidR="000D07EA" w:rsidRDefault="00BE7C89">
            <w:pPr>
              <w:pStyle w:val="BodyText"/>
              <w:spacing w:before="100" w:after="100"/>
              <w:jc w:val="center"/>
              <w:rPr>
                <w:szCs w:val="20"/>
              </w:rPr>
            </w:pPr>
            <w:r>
              <w:rPr>
                <w:szCs w:val="20"/>
              </w:rPr>
              <w:t>Unlimited</w:t>
            </w:r>
          </w:p>
        </w:tc>
        <w:tc>
          <w:tcPr>
            <w:tcW w:w="1006" w:type="pct"/>
            <w:vAlign w:val="center"/>
          </w:tcPr>
          <w:p w14:paraId="0D090A98" w14:textId="77777777" w:rsidR="000D07EA" w:rsidRDefault="00BE7C89">
            <w:pPr>
              <w:pStyle w:val="BodyText"/>
              <w:spacing w:before="100" w:after="100"/>
              <w:jc w:val="center"/>
              <w:rPr>
                <w:szCs w:val="20"/>
              </w:rPr>
            </w:pPr>
            <w:r>
              <w:rPr>
                <w:szCs w:val="20"/>
              </w:rPr>
              <w:t>Unlimited</w:t>
            </w:r>
          </w:p>
        </w:tc>
      </w:tr>
      <w:tr w:rsidR="000D07EA" w14:paraId="5D5CFB7F" w14:textId="77777777">
        <w:tc>
          <w:tcPr>
            <w:tcW w:w="978" w:type="pct"/>
            <w:shd w:val="clear" w:color="auto" w:fill="auto"/>
          </w:tcPr>
          <w:p w14:paraId="1A0EE56D" w14:textId="77777777" w:rsidR="000D07EA" w:rsidRDefault="00BE7C89">
            <w:pPr>
              <w:pStyle w:val="BodyText"/>
              <w:spacing w:before="100" w:after="100"/>
              <w:rPr>
                <w:b/>
                <w:bCs/>
                <w:szCs w:val="20"/>
              </w:rPr>
            </w:pPr>
            <w:r>
              <w:rPr>
                <w:b/>
                <w:bCs/>
                <w:szCs w:val="20"/>
              </w:rPr>
              <w:t xml:space="preserve">Standard international MMS </w:t>
            </w:r>
            <w:r>
              <w:rPr>
                <w:szCs w:val="20"/>
              </w:rPr>
              <w:t>(per message to selected countries)</w:t>
            </w:r>
          </w:p>
        </w:tc>
        <w:tc>
          <w:tcPr>
            <w:tcW w:w="1005" w:type="pct"/>
            <w:vAlign w:val="center"/>
          </w:tcPr>
          <w:p w14:paraId="4884367A" w14:textId="77777777" w:rsidR="000D07EA" w:rsidRDefault="00BE7C89">
            <w:pPr>
              <w:pStyle w:val="BodyText"/>
              <w:spacing w:before="100" w:after="100"/>
              <w:jc w:val="center"/>
              <w:rPr>
                <w:szCs w:val="20"/>
              </w:rPr>
            </w:pPr>
            <w:r>
              <w:rPr>
                <w:szCs w:val="20"/>
              </w:rPr>
              <w:t>Unlimited</w:t>
            </w:r>
          </w:p>
        </w:tc>
        <w:tc>
          <w:tcPr>
            <w:tcW w:w="1005" w:type="pct"/>
            <w:gridSpan w:val="2"/>
            <w:shd w:val="clear" w:color="auto" w:fill="auto"/>
            <w:vAlign w:val="center"/>
          </w:tcPr>
          <w:p w14:paraId="132AC2C9" w14:textId="77777777" w:rsidR="000D07EA" w:rsidRDefault="00BE7C89">
            <w:pPr>
              <w:pStyle w:val="BodyText"/>
              <w:spacing w:before="100" w:after="100"/>
              <w:jc w:val="center"/>
              <w:rPr>
                <w:szCs w:val="20"/>
              </w:rPr>
            </w:pPr>
            <w:r>
              <w:rPr>
                <w:szCs w:val="20"/>
              </w:rPr>
              <w:t>Unlimited</w:t>
            </w:r>
          </w:p>
        </w:tc>
        <w:tc>
          <w:tcPr>
            <w:tcW w:w="1005" w:type="pct"/>
            <w:shd w:val="clear" w:color="auto" w:fill="auto"/>
            <w:vAlign w:val="center"/>
          </w:tcPr>
          <w:p w14:paraId="6A7F520A" w14:textId="77777777" w:rsidR="000D07EA" w:rsidRDefault="00BE7C89">
            <w:pPr>
              <w:pStyle w:val="BodyText"/>
              <w:spacing w:before="100" w:after="100"/>
              <w:jc w:val="center"/>
              <w:rPr>
                <w:szCs w:val="20"/>
              </w:rPr>
            </w:pPr>
            <w:r>
              <w:rPr>
                <w:szCs w:val="20"/>
              </w:rPr>
              <w:t>Unlimited</w:t>
            </w:r>
          </w:p>
        </w:tc>
        <w:tc>
          <w:tcPr>
            <w:tcW w:w="1006" w:type="pct"/>
            <w:vAlign w:val="center"/>
          </w:tcPr>
          <w:p w14:paraId="317B2C3D" w14:textId="77777777" w:rsidR="000D07EA" w:rsidRDefault="00BE7C89">
            <w:pPr>
              <w:pStyle w:val="BodyText"/>
              <w:spacing w:before="100" w:after="100"/>
              <w:jc w:val="center"/>
              <w:rPr>
                <w:szCs w:val="20"/>
              </w:rPr>
            </w:pPr>
            <w:r>
              <w:rPr>
                <w:szCs w:val="20"/>
              </w:rPr>
              <w:t>Unlimited</w:t>
            </w:r>
          </w:p>
        </w:tc>
      </w:tr>
      <w:tr w:rsidR="000D07EA" w14:paraId="54A67555" w14:textId="77777777">
        <w:tc>
          <w:tcPr>
            <w:tcW w:w="978" w:type="pct"/>
            <w:shd w:val="clear" w:color="auto" w:fill="auto"/>
          </w:tcPr>
          <w:p w14:paraId="53292116" w14:textId="77777777" w:rsidR="000D07EA" w:rsidRDefault="00BE7C89">
            <w:pPr>
              <w:pStyle w:val="BodyText"/>
              <w:spacing w:before="100" w:after="100"/>
              <w:rPr>
                <w:b/>
                <w:bCs/>
                <w:szCs w:val="20"/>
              </w:rPr>
            </w:pPr>
            <w:r>
              <w:rPr>
                <w:b/>
                <w:bCs/>
                <w:szCs w:val="20"/>
              </w:rPr>
              <w:t xml:space="preserve">Minimum total cost over 24 months </w:t>
            </w:r>
          </w:p>
        </w:tc>
        <w:tc>
          <w:tcPr>
            <w:tcW w:w="1005" w:type="pct"/>
            <w:vAlign w:val="center"/>
          </w:tcPr>
          <w:p w14:paraId="6BE71CAF" w14:textId="77777777" w:rsidR="000D07EA" w:rsidRDefault="00BE7C89">
            <w:pPr>
              <w:pStyle w:val="BodyText"/>
              <w:spacing w:before="100" w:after="100"/>
              <w:jc w:val="center"/>
              <w:rPr>
                <w:szCs w:val="20"/>
              </w:rPr>
            </w:pPr>
            <w:r>
              <w:rPr>
                <w:szCs w:val="20"/>
              </w:rPr>
              <w:t>$960</w:t>
            </w:r>
          </w:p>
        </w:tc>
        <w:tc>
          <w:tcPr>
            <w:tcW w:w="1005" w:type="pct"/>
            <w:gridSpan w:val="2"/>
            <w:shd w:val="clear" w:color="auto" w:fill="auto"/>
            <w:vAlign w:val="center"/>
          </w:tcPr>
          <w:p w14:paraId="1C4461A8" w14:textId="77777777" w:rsidR="000D07EA" w:rsidRDefault="00BE7C89">
            <w:pPr>
              <w:pStyle w:val="BodyText"/>
              <w:spacing w:before="100" w:after="100"/>
              <w:jc w:val="center"/>
              <w:rPr>
                <w:szCs w:val="20"/>
              </w:rPr>
            </w:pPr>
            <w:r>
              <w:rPr>
                <w:szCs w:val="20"/>
              </w:rPr>
              <w:t>$1440</w:t>
            </w:r>
          </w:p>
        </w:tc>
        <w:tc>
          <w:tcPr>
            <w:tcW w:w="1005" w:type="pct"/>
            <w:shd w:val="clear" w:color="auto" w:fill="auto"/>
            <w:vAlign w:val="center"/>
          </w:tcPr>
          <w:p w14:paraId="06633C15" w14:textId="77777777" w:rsidR="000D07EA" w:rsidRDefault="00BE7C89">
            <w:pPr>
              <w:pStyle w:val="BodyText"/>
              <w:spacing w:before="100" w:after="100"/>
              <w:jc w:val="center"/>
              <w:rPr>
                <w:szCs w:val="20"/>
              </w:rPr>
            </w:pPr>
            <w:r>
              <w:rPr>
                <w:szCs w:val="20"/>
              </w:rPr>
              <w:t>$1920</w:t>
            </w:r>
          </w:p>
        </w:tc>
        <w:tc>
          <w:tcPr>
            <w:tcW w:w="1006" w:type="pct"/>
            <w:vAlign w:val="center"/>
          </w:tcPr>
          <w:p w14:paraId="2804A123" w14:textId="77777777" w:rsidR="000D07EA" w:rsidRDefault="00BE7C89">
            <w:pPr>
              <w:pStyle w:val="BodyText"/>
              <w:spacing w:before="100" w:after="100"/>
              <w:jc w:val="center"/>
              <w:rPr>
                <w:szCs w:val="20"/>
              </w:rPr>
            </w:pPr>
            <w:r>
              <w:rPr>
                <w:szCs w:val="20"/>
              </w:rPr>
              <w:t>$2400</w:t>
            </w:r>
          </w:p>
        </w:tc>
      </w:tr>
    </w:tbl>
    <w:p w14:paraId="10F031DF" w14:textId="77777777" w:rsidR="000D07EA" w:rsidRDefault="000D07EA">
      <w:pPr>
        <w:pStyle w:val="BodyText"/>
      </w:pPr>
    </w:p>
    <w:p w14:paraId="69B5F261" w14:textId="77777777" w:rsidR="000D07EA" w:rsidRDefault="00BE7C89">
      <w:pPr>
        <w:pStyle w:val="BodyText"/>
        <w:ind w:left="720"/>
        <w:rPr>
          <w:b/>
        </w:rPr>
      </w:pPr>
      <w:r>
        <w:rPr>
          <w:b/>
        </w:rPr>
        <w:t>Table 2 – Other usage types and charges</w:t>
      </w:r>
    </w:p>
    <w:tbl>
      <w:tblPr>
        <w:tblW w:w="883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4428"/>
        <w:gridCol w:w="4410"/>
      </w:tblGrid>
      <w:tr w:rsidR="000D07EA" w14:paraId="2A284FB3" w14:textId="77777777">
        <w:tc>
          <w:tcPr>
            <w:tcW w:w="4428" w:type="dxa"/>
            <w:shd w:val="clear" w:color="auto" w:fill="auto"/>
          </w:tcPr>
          <w:p w14:paraId="04206030" w14:textId="77777777" w:rsidR="000D07EA" w:rsidRDefault="00BE7C89">
            <w:pPr>
              <w:pStyle w:val="BodyText"/>
              <w:spacing w:before="100" w:after="100"/>
              <w:rPr>
                <w:b/>
              </w:rPr>
            </w:pPr>
            <w:r>
              <w:rPr>
                <w:b/>
              </w:rPr>
              <w:t>Usage type</w:t>
            </w:r>
          </w:p>
        </w:tc>
        <w:tc>
          <w:tcPr>
            <w:tcW w:w="4410" w:type="dxa"/>
            <w:shd w:val="clear" w:color="auto" w:fill="auto"/>
            <w:vAlign w:val="center"/>
          </w:tcPr>
          <w:p w14:paraId="6916C8F5" w14:textId="77777777" w:rsidR="000D07EA" w:rsidRDefault="00BE7C89">
            <w:pPr>
              <w:pStyle w:val="BodyText"/>
              <w:spacing w:before="100" w:after="100"/>
              <w:jc w:val="center"/>
              <w:rPr>
                <w:b/>
              </w:rPr>
            </w:pPr>
            <w:r>
              <w:rPr>
                <w:b/>
              </w:rPr>
              <w:t>Charge</w:t>
            </w:r>
          </w:p>
        </w:tc>
      </w:tr>
      <w:tr w:rsidR="000D07EA" w14:paraId="7D52A5A9" w14:textId="77777777">
        <w:tc>
          <w:tcPr>
            <w:tcW w:w="4428" w:type="dxa"/>
            <w:shd w:val="clear" w:color="auto" w:fill="auto"/>
          </w:tcPr>
          <w:p w14:paraId="678640B2" w14:textId="77777777" w:rsidR="000D07EA" w:rsidRDefault="00BE7C89">
            <w:pPr>
              <w:pStyle w:val="BodyText"/>
              <w:spacing w:before="100" w:after="100"/>
              <w:rPr>
                <w:b/>
              </w:rPr>
            </w:pPr>
            <w:r>
              <w:rPr>
                <w:b/>
                <w:bCs/>
              </w:rPr>
              <w:t>National video calls</w:t>
            </w:r>
            <w:r>
              <w:rPr>
                <w:bCs/>
              </w:rPr>
              <w:t xml:space="preserve"> </w:t>
            </w:r>
            <w:r>
              <w:t>(per minute)</w:t>
            </w:r>
          </w:p>
        </w:tc>
        <w:tc>
          <w:tcPr>
            <w:tcW w:w="4410" w:type="dxa"/>
            <w:shd w:val="clear" w:color="auto" w:fill="auto"/>
            <w:vAlign w:val="center"/>
          </w:tcPr>
          <w:p w14:paraId="246CCF1F" w14:textId="77777777" w:rsidR="000D07EA" w:rsidRDefault="00BE7C89">
            <w:pPr>
              <w:pStyle w:val="BodyText"/>
              <w:spacing w:before="100" w:after="100"/>
              <w:jc w:val="center"/>
            </w:pPr>
            <w:r>
              <w:t>$1.00 per min + 40c flagfall</w:t>
            </w:r>
          </w:p>
        </w:tc>
      </w:tr>
      <w:tr w:rsidR="000D07EA" w14:paraId="43E10473" w14:textId="77777777">
        <w:tc>
          <w:tcPr>
            <w:tcW w:w="4428" w:type="dxa"/>
            <w:shd w:val="clear" w:color="auto" w:fill="auto"/>
          </w:tcPr>
          <w:p w14:paraId="66AA3695" w14:textId="77777777" w:rsidR="000D07EA" w:rsidRDefault="00BE7C89">
            <w:pPr>
              <w:pStyle w:val="BodyText"/>
              <w:spacing w:before="100" w:after="100"/>
              <w:rPr>
                <w:b/>
                <w:bCs/>
              </w:rPr>
            </w:pPr>
            <w:r>
              <w:rPr>
                <w:b/>
                <w:bCs/>
              </w:rPr>
              <w:t>National Diversions</w:t>
            </w:r>
          </w:p>
        </w:tc>
        <w:tc>
          <w:tcPr>
            <w:tcW w:w="4410" w:type="dxa"/>
            <w:shd w:val="clear" w:color="auto" w:fill="auto"/>
          </w:tcPr>
          <w:p w14:paraId="2AFCEB70" w14:textId="77777777" w:rsidR="000D07EA" w:rsidRDefault="00BE7C89">
            <w:pPr>
              <w:pStyle w:val="BodyText"/>
              <w:spacing w:before="100" w:after="100"/>
              <w:jc w:val="center"/>
            </w:pPr>
            <w:r>
              <w:t>$0 per minute</w:t>
            </w:r>
          </w:p>
        </w:tc>
      </w:tr>
      <w:tr w:rsidR="000D07EA" w14:paraId="09A8F326" w14:textId="77777777">
        <w:tc>
          <w:tcPr>
            <w:tcW w:w="4428" w:type="dxa"/>
            <w:shd w:val="clear" w:color="auto" w:fill="auto"/>
          </w:tcPr>
          <w:p w14:paraId="2A7484AC" w14:textId="77777777" w:rsidR="000D07EA" w:rsidRDefault="00BE7C89">
            <w:pPr>
              <w:pStyle w:val="BodyText"/>
              <w:spacing w:before="100" w:after="100"/>
              <w:rPr>
                <w:b/>
                <w:bCs/>
              </w:rPr>
            </w:pPr>
            <w:r>
              <w:rPr>
                <w:b/>
                <w:bCs/>
              </w:rPr>
              <w:t xml:space="preserve">International Diversions </w:t>
            </w:r>
          </w:p>
        </w:tc>
        <w:tc>
          <w:tcPr>
            <w:tcW w:w="4410" w:type="dxa"/>
            <w:shd w:val="clear" w:color="auto" w:fill="auto"/>
          </w:tcPr>
          <w:p w14:paraId="53128C9B" w14:textId="77777777" w:rsidR="000D07EA" w:rsidRDefault="00BE7C89">
            <w:pPr>
              <w:pStyle w:val="BodyText"/>
              <w:spacing w:before="100" w:after="100"/>
              <w:jc w:val="center"/>
            </w:pPr>
            <w:r>
              <w:t>'yes' international rates</w:t>
            </w:r>
            <w:r>
              <w:br/>
              <w:t>See optus.com.au/international</w:t>
            </w:r>
          </w:p>
        </w:tc>
      </w:tr>
      <w:tr w:rsidR="000D07EA" w14:paraId="3D562474" w14:textId="77777777">
        <w:tc>
          <w:tcPr>
            <w:tcW w:w="4428" w:type="dxa"/>
            <w:shd w:val="clear" w:color="auto" w:fill="auto"/>
          </w:tcPr>
          <w:p w14:paraId="3184AE4E" w14:textId="77777777" w:rsidR="000D07EA" w:rsidRDefault="00BE7C89">
            <w:pPr>
              <w:pStyle w:val="BodyText"/>
              <w:spacing w:before="100" w:after="100"/>
              <w:rPr>
                <w:b/>
                <w:bCs/>
              </w:rPr>
            </w:pPr>
            <w:r>
              <w:rPr>
                <w:b/>
                <w:bCs/>
              </w:rPr>
              <w:t xml:space="preserve">1800 numbers </w:t>
            </w:r>
          </w:p>
        </w:tc>
        <w:tc>
          <w:tcPr>
            <w:tcW w:w="4410" w:type="dxa"/>
            <w:shd w:val="clear" w:color="auto" w:fill="auto"/>
            <w:vAlign w:val="center"/>
          </w:tcPr>
          <w:p w14:paraId="4A1FB456" w14:textId="77777777" w:rsidR="000D07EA" w:rsidRDefault="00BE7C89">
            <w:pPr>
              <w:pStyle w:val="BodyText"/>
              <w:spacing w:before="100" w:after="100"/>
              <w:jc w:val="center"/>
            </w:pPr>
            <w:r>
              <w:t>$0 per minute</w:t>
            </w:r>
          </w:p>
        </w:tc>
      </w:tr>
      <w:tr w:rsidR="000D07EA" w14:paraId="276D6223" w14:textId="77777777">
        <w:tc>
          <w:tcPr>
            <w:tcW w:w="4428" w:type="dxa"/>
            <w:shd w:val="clear" w:color="auto" w:fill="auto"/>
          </w:tcPr>
          <w:p w14:paraId="2CC14E7C" w14:textId="77777777" w:rsidR="000D07EA" w:rsidRDefault="00BE7C89">
            <w:pPr>
              <w:pStyle w:val="BodyText"/>
              <w:spacing w:before="100" w:after="100"/>
              <w:rPr>
                <w:b/>
                <w:bCs/>
              </w:rPr>
            </w:pPr>
            <w:r>
              <w:rPr>
                <w:b/>
                <w:bCs/>
              </w:rPr>
              <w:t xml:space="preserve">Directory Assistance 1223 </w:t>
            </w:r>
          </w:p>
        </w:tc>
        <w:tc>
          <w:tcPr>
            <w:tcW w:w="4410" w:type="dxa"/>
            <w:shd w:val="clear" w:color="auto" w:fill="auto"/>
            <w:vAlign w:val="center"/>
          </w:tcPr>
          <w:p w14:paraId="0EECA472" w14:textId="77777777" w:rsidR="000D07EA" w:rsidRDefault="00BE7C89">
            <w:pPr>
              <w:pStyle w:val="BodyText"/>
              <w:spacing w:before="100" w:after="100"/>
              <w:jc w:val="center"/>
            </w:pPr>
            <w:r>
              <w:t>50c per call</w:t>
            </w:r>
          </w:p>
        </w:tc>
      </w:tr>
      <w:tr w:rsidR="000D07EA" w14:paraId="32AC1A40" w14:textId="77777777">
        <w:tc>
          <w:tcPr>
            <w:tcW w:w="4428" w:type="dxa"/>
            <w:shd w:val="clear" w:color="auto" w:fill="auto"/>
          </w:tcPr>
          <w:p w14:paraId="2A5A9F73" w14:textId="77777777" w:rsidR="000D07EA" w:rsidRDefault="00BE7C89">
            <w:pPr>
              <w:pStyle w:val="BodyText"/>
              <w:spacing w:before="100" w:after="100"/>
              <w:rPr>
                <w:b/>
                <w:bCs/>
              </w:rPr>
            </w:pPr>
            <w:r>
              <w:rPr>
                <w:b/>
                <w:bCs/>
              </w:rPr>
              <w:t>124 Yes</w:t>
            </w:r>
          </w:p>
        </w:tc>
        <w:tc>
          <w:tcPr>
            <w:tcW w:w="4410" w:type="dxa"/>
            <w:shd w:val="clear" w:color="auto" w:fill="auto"/>
            <w:vAlign w:val="center"/>
          </w:tcPr>
          <w:p w14:paraId="71A3C43C" w14:textId="77777777" w:rsidR="000D07EA" w:rsidRDefault="00BE7C89">
            <w:pPr>
              <w:pStyle w:val="BodyText"/>
              <w:spacing w:before="100" w:after="100"/>
              <w:jc w:val="center"/>
            </w:pPr>
            <w:r>
              <w:t>90c per minute +$1.75c flagfall</w:t>
            </w:r>
          </w:p>
        </w:tc>
      </w:tr>
      <w:tr w:rsidR="000D07EA" w14:paraId="57A7B91A" w14:textId="77777777">
        <w:trPr>
          <w:trHeight w:val="54"/>
        </w:trPr>
        <w:tc>
          <w:tcPr>
            <w:tcW w:w="4428" w:type="dxa"/>
            <w:shd w:val="clear" w:color="auto" w:fill="auto"/>
          </w:tcPr>
          <w:p w14:paraId="0F77C4D2" w14:textId="77777777" w:rsidR="000D07EA" w:rsidRDefault="00BE7C89">
            <w:pPr>
              <w:pStyle w:val="BodyText"/>
              <w:spacing w:before="100" w:after="100"/>
              <w:rPr>
                <w:b/>
                <w:bCs/>
              </w:rPr>
            </w:pPr>
            <w:r>
              <w:rPr>
                <w:b/>
                <w:bCs/>
              </w:rPr>
              <w:lastRenderedPageBreak/>
              <w:t xml:space="preserve">International voice calls (outside the plan's included international minutes and to excluded countries) </w:t>
            </w:r>
          </w:p>
        </w:tc>
        <w:tc>
          <w:tcPr>
            <w:tcW w:w="4410" w:type="dxa"/>
            <w:shd w:val="clear" w:color="auto" w:fill="auto"/>
            <w:vAlign w:val="center"/>
          </w:tcPr>
          <w:p w14:paraId="00C66F47" w14:textId="77777777" w:rsidR="000D07EA" w:rsidRDefault="00BE7C89">
            <w:pPr>
              <w:pStyle w:val="BodyText"/>
              <w:spacing w:before="100" w:after="100"/>
              <w:jc w:val="center"/>
            </w:pPr>
            <w:r>
              <w:t>'yes' international rates</w:t>
            </w:r>
            <w:r>
              <w:br/>
              <w:t>See optus.com.au/international</w:t>
            </w:r>
          </w:p>
        </w:tc>
      </w:tr>
      <w:tr w:rsidR="000D07EA" w14:paraId="2B164B4F" w14:textId="77777777">
        <w:tc>
          <w:tcPr>
            <w:tcW w:w="4428" w:type="dxa"/>
            <w:shd w:val="clear" w:color="auto" w:fill="auto"/>
          </w:tcPr>
          <w:p w14:paraId="58751122" w14:textId="77777777" w:rsidR="000D07EA" w:rsidRDefault="00BE7C89">
            <w:pPr>
              <w:pStyle w:val="BodyText"/>
              <w:spacing w:before="100" w:after="100"/>
              <w:rPr>
                <w:b/>
                <w:bCs/>
              </w:rPr>
            </w:pPr>
            <w:r>
              <w:rPr>
                <w:b/>
                <w:bCs/>
              </w:rPr>
              <w:t xml:space="preserve">International SMS (to excluded countries) </w:t>
            </w:r>
          </w:p>
        </w:tc>
        <w:tc>
          <w:tcPr>
            <w:tcW w:w="4410" w:type="dxa"/>
            <w:shd w:val="clear" w:color="auto" w:fill="auto"/>
            <w:vAlign w:val="center"/>
          </w:tcPr>
          <w:p w14:paraId="1E1F1FDE" w14:textId="77777777" w:rsidR="000D07EA" w:rsidRDefault="00BE7C89">
            <w:pPr>
              <w:pStyle w:val="BodyText"/>
              <w:spacing w:before="100" w:after="100"/>
              <w:jc w:val="center"/>
            </w:pPr>
            <w:r>
              <w:t>50c per SMS up to 160 standard characters</w:t>
            </w:r>
          </w:p>
        </w:tc>
      </w:tr>
      <w:tr w:rsidR="000D07EA" w14:paraId="0F910F07" w14:textId="77777777">
        <w:tc>
          <w:tcPr>
            <w:tcW w:w="4428" w:type="dxa"/>
            <w:shd w:val="clear" w:color="auto" w:fill="auto"/>
          </w:tcPr>
          <w:p w14:paraId="1153F05E" w14:textId="77777777" w:rsidR="000D07EA" w:rsidRDefault="00BE7C89">
            <w:pPr>
              <w:pStyle w:val="BodyText"/>
              <w:spacing w:before="100" w:after="100"/>
              <w:rPr>
                <w:b/>
                <w:bCs/>
              </w:rPr>
            </w:pPr>
            <w:r>
              <w:rPr>
                <w:b/>
                <w:bCs/>
              </w:rPr>
              <w:t>International MMS (to excluded countries)</w:t>
            </w:r>
          </w:p>
        </w:tc>
        <w:tc>
          <w:tcPr>
            <w:tcW w:w="4410" w:type="dxa"/>
            <w:shd w:val="clear" w:color="auto" w:fill="auto"/>
            <w:vAlign w:val="center"/>
          </w:tcPr>
          <w:p w14:paraId="5C38F161" w14:textId="77777777" w:rsidR="000D07EA" w:rsidRDefault="00BE7C89">
            <w:pPr>
              <w:pStyle w:val="BodyText"/>
              <w:spacing w:before="100" w:after="100"/>
              <w:jc w:val="center"/>
            </w:pPr>
            <w:r>
              <w:t>75c per MMS</w:t>
            </w:r>
          </w:p>
        </w:tc>
      </w:tr>
      <w:tr w:rsidR="000D07EA" w14:paraId="022AEFBD" w14:textId="77777777">
        <w:tc>
          <w:tcPr>
            <w:tcW w:w="4428" w:type="dxa"/>
            <w:shd w:val="clear" w:color="auto" w:fill="auto"/>
          </w:tcPr>
          <w:p w14:paraId="4AFA2B87" w14:textId="77777777" w:rsidR="000D07EA" w:rsidRDefault="00BE7C89">
            <w:pPr>
              <w:pStyle w:val="BodyText"/>
              <w:spacing w:before="100" w:after="100"/>
              <w:rPr>
                <w:b/>
                <w:bCs/>
              </w:rPr>
            </w:pPr>
            <w:r>
              <w:rPr>
                <w:b/>
                <w:bCs/>
              </w:rPr>
              <w:t xml:space="preserve">International video calling </w:t>
            </w:r>
          </w:p>
        </w:tc>
        <w:tc>
          <w:tcPr>
            <w:tcW w:w="4410" w:type="dxa"/>
            <w:shd w:val="clear" w:color="auto" w:fill="auto"/>
            <w:vAlign w:val="center"/>
          </w:tcPr>
          <w:p w14:paraId="7A64A56B" w14:textId="77777777" w:rsidR="000D07EA" w:rsidRDefault="00BE7C89">
            <w:pPr>
              <w:pStyle w:val="BodyText"/>
              <w:spacing w:before="100" w:after="100"/>
              <w:jc w:val="center"/>
            </w:pPr>
            <w:r>
              <w:t>$1.50 per minute +35c flagfall</w:t>
            </w:r>
          </w:p>
        </w:tc>
      </w:tr>
      <w:tr w:rsidR="000D07EA" w14:paraId="1D2F3AE3" w14:textId="77777777">
        <w:tc>
          <w:tcPr>
            <w:tcW w:w="4428" w:type="dxa"/>
            <w:shd w:val="clear" w:color="auto" w:fill="auto"/>
          </w:tcPr>
          <w:p w14:paraId="443BCE7F" w14:textId="77777777" w:rsidR="000D07EA" w:rsidRDefault="00BE7C89">
            <w:pPr>
              <w:pStyle w:val="BodyText"/>
              <w:spacing w:before="100" w:after="100"/>
              <w:rPr>
                <w:b/>
                <w:bCs/>
              </w:rPr>
            </w:pPr>
            <w:r>
              <w:rPr>
                <w:b/>
                <w:bCs/>
              </w:rPr>
              <w:t xml:space="preserve">International roaming </w:t>
            </w:r>
          </w:p>
        </w:tc>
        <w:tc>
          <w:tcPr>
            <w:tcW w:w="4410" w:type="dxa"/>
            <w:shd w:val="clear" w:color="auto" w:fill="auto"/>
            <w:vAlign w:val="center"/>
          </w:tcPr>
          <w:p w14:paraId="456DB7C1" w14:textId="77777777" w:rsidR="000D07EA" w:rsidRDefault="00BE7C89">
            <w:pPr>
              <w:pStyle w:val="BodyText"/>
              <w:spacing w:before="100" w:after="100"/>
              <w:jc w:val="center"/>
            </w:pPr>
            <w:r>
              <w:t>See optus.com.au/roaming</w:t>
            </w:r>
          </w:p>
        </w:tc>
      </w:tr>
    </w:tbl>
    <w:p w14:paraId="37F2CCCA" w14:textId="77777777" w:rsidR="000D07EA" w:rsidRDefault="000D07EA">
      <w:pPr>
        <w:pStyle w:val="BodyText"/>
      </w:pPr>
    </w:p>
    <w:p w14:paraId="78A72F4E" w14:textId="77777777" w:rsidR="000D07EA" w:rsidRDefault="00BE7C89">
      <w:pPr>
        <w:pStyle w:val="BodyText"/>
        <w:keepNext/>
        <w:ind w:left="720"/>
        <w:rPr>
          <w:b/>
        </w:rPr>
      </w:pPr>
      <w:r>
        <w:rPr>
          <w:b/>
        </w:rPr>
        <w:t>Table 3 – International Countries</w:t>
      </w:r>
    </w:p>
    <w:tbl>
      <w:tblPr>
        <w:tblW w:w="910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7"/>
        <w:gridCol w:w="2277"/>
        <w:gridCol w:w="2277"/>
        <w:gridCol w:w="2277"/>
      </w:tblGrid>
      <w:tr w:rsidR="000D07EA" w14:paraId="253266DB" w14:textId="77777777">
        <w:tc>
          <w:tcPr>
            <w:tcW w:w="2277" w:type="dxa"/>
            <w:shd w:val="clear" w:color="auto" w:fill="auto"/>
          </w:tcPr>
          <w:p w14:paraId="40CEBFF1" w14:textId="77777777" w:rsidR="000D07EA" w:rsidRDefault="00BE7C89">
            <w:pPr>
              <w:pStyle w:val="BodyText"/>
              <w:spacing w:before="100" w:after="100"/>
              <w:rPr>
                <w:b/>
              </w:rPr>
            </w:pPr>
            <w:r>
              <w:t>Austria</w:t>
            </w:r>
          </w:p>
        </w:tc>
        <w:tc>
          <w:tcPr>
            <w:tcW w:w="2277" w:type="dxa"/>
            <w:shd w:val="clear" w:color="auto" w:fill="auto"/>
          </w:tcPr>
          <w:p w14:paraId="56A65D16" w14:textId="77777777" w:rsidR="000D07EA" w:rsidRDefault="00BE7C89">
            <w:pPr>
              <w:pStyle w:val="BodyText"/>
              <w:spacing w:before="100" w:after="100"/>
              <w:rPr>
                <w:b/>
              </w:rPr>
            </w:pPr>
            <w:r>
              <w:t>Bangladesh</w:t>
            </w:r>
          </w:p>
        </w:tc>
        <w:tc>
          <w:tcPr>
            <w:tcW w:w="2277" w:type="dxa"/>
            <w:shd w:val="clear" w:color="auto" w:fill="auto"/>
          </w:tcPr>
          <w:p w14:paraId="474DFB58" w14:textId="77777777" w:rsidR="000D07EA" w:rsidRDefault="00BE7C89">
            <w:pPr>
              <w:pStyle w:val="BodyText"/>
              <w:spacing w:before="100" w:after="100"/>
              <w:rPr>
                <w:b/>
              </w:rPr>
            </w:pPr>
            <w:r>
              <w:t>Cambodia</w:t>
            </w:r>
          </w:p>
        </w:tc>
        <w:tc>
          <w:tcPr>
            <w:tcW w:w="2277" w:type="dxa"/>
            <w:shd w:val="clear" w:color="auto" w:fill="auto"/>
          </w:tcPr>
          <w:p w14:paraId="15B03D75" w14:textId="77777777" w:rsidR="000D07EA" w:rsidRDefault="00BE7C89">
            <w:pPr>
              <w:pStyle w:val="BodyText"/>
              <w:spacing w:before="100" w:after="100"/>
              <w:rPr>
                <w:b/>
              </w:rPr>
            </w:pPr>
            <w:r>
              <w:t>Canada</w:t>
            </w:r>
          </w:p>
        </w:tc>
      </w:tr>
      <w:tr w:rsidR="000D07EA" w14:paraId="3EC24E0A" w14:textId="77777777">
        <w:tc>
          <w:tcPr>
            <w:tcW w:w="2277" w:type="dxa"/>
            <w:shd w:val="clear" w:color="auto" w:fill="auto"/>
          </w:tcPr>
          <w:p w14:paraId="19A09FA0" w14:textId="77777777" w:rsidR="000D07EA" w:rsidRDefault="00BE7C89">
            <w:pPr>
              <w:pStyle w:val="BodyText"/>
              <w:spacing w:before="100" w:after="100"/>
              <w:rPr>
                <w:b/>
              </w:rPr>
            </w:pPr>
            <w:r>
              <w:t xml:space="preserve">Chile </w:t>
            </w:r>
          </w:p>
        </w:tc>
        <w:tc>
          <w:tcPr>
            <w:tcW w:w="2277" w:type="dxa"/>
            <w:shd w:val="clear" w:color="auto" w:fill="auto"/>
          </w:tcPr>
          <w:p w14:paraId="42187C37" w14:textId="77777777" w:rsidR="000D07EA" w:rsidRDefault="00BE7C89">
            <w:pPr>
              <w:pStyle w:val="BodyText"/>
              <w:spacing w:before="100" w:after="100"/>
              <w:rPr>
                <w:b/>
              </w:rPr>
            </w:pPr>
            <w:r>
              <w:t xml:space="preserve">China </w:t>
            </w:r>
          </w:p>
        </w:tc>
        <w:tc>
          <w:tcPr>
            <w:tcW w:w="2277" w:type="dxa"/>
            <w:shd w:val="clear" w:color="auto" w:fill="auto"/>
          </w:tcPr>
          <w:p w14:paraId="40622192" w14:textId="77777777" w:rsidR="000D07EA" w:rsidRDefault="00BE7C89">
            <w:pPr>
              <w:pStyle w:val="BodyText"/>
              <w:spacing w:before="100" w:after="100"/>
              <w:rPr>
                <w:b/>
              </w:rPr>
            </w:pPr>
            <w:r>
              <w:t xml:space="preserve">Croatia </w:t>
            </w:r>
          </w:p>
        </w:tc>
        <w:tc>
          <w:tcPr>
            <w:tcW w:w="2277" w:type="dxa"/>
            <w:shd w:val="clear" w:color="auto" w:fill="auto"/>
          </w:tcPr>
          <w:p w14:paraId="0FAEC4D8" w14:textId="77777777" w:rsidR="000D07EA" w:rsidRDefault="00BE7C89">
            <w:pPr>
              <w:pStyle w:val="BodyText"/>
              <w:spacing w:before="100" w:after="100"/>
              <w:rPr>
                <w:b/>
              </w:rPr>
            </w:pPr>
            <w:r>
              <w:t>France</w:t>
            </w:r>
          </w:p>
        </w:tc>
      </w:tr>
      <w:tr w:rsidR="000D07EA" w14:paraId="2A34A7F1" w14:textId="77777777">
        <w:tc>
          <w:tcPr>
            <w:tcW w:w="2277" w:type="dxa"/>
            <w:shd w:val="clear" w:color="auto" w:fill="auto"/>
          </w:tcPr>
          <w:p w14:paraId="3F38989E" w14:textId="77777777" w:rsidR="000D07EA" w:rsidRDefault="00BE7C89">
            <w:pPr>
              <w:pStyle w:val="BodyText"/>
              <w:spacing w:before="100" w:after="100"/>
              <w:rPr>
                <w:b/>
              </w:rPr>
            </w:pPr>
            <w:r>
              <w:t>Germany</w:t>
            </w:r>
          </w:p>
        </w:tc>
        <w:tc>
          <w:tcPr>
            <w:tcW w:w="2277" w:type="dxa"/>
            <w:shd w:val="clear" w:color="auto" w:fill="auto"/>
          </w:tcPr>
          <w:p w14:paraId="7943CE12" w14:textId="77777777" w:rsidR="000D07EA" w:rsidRDefault="00BE7C89">
            <w:pPr>
              <w:pStyle w:val="BodyText"/>
              <w:spacing w:before="100" w:after="100"/>
              <w:rPr>
                <w:b/>
              </w:rPr>
            </w:pPr>
            <w:r>
              <w:t>Greece</w:t>
            </w:r>
          </w:p>
        </w:tc>
        <w:tc>
          <w:tcPr>
            <w:tcW w:w="2277" w:type="dxa"/>
            <w:shd w:val="clear" w:color="auto" w:fill="auto"/>
          </w:tcPr>
          <w:p w14:paraId="39457F3A" w14:textId="77777777" w:rsidR="000D07EA" w:rsidRDefault="00BE7C89">
            <w:pPr>
              <w:pStyle w:val="BodyText"/>
              <w:spacing w:before="100" w:after="100"/>
              <w:rPr>
                <w:b/>
              </w:rPr>
            </w:pPr>
            <w:r>
              <w:t>Hong Kong</w:t>
            </w:r>
          </w:p>
        </w:tc>
        <w:tc>
          <w:tcPr>
            <w:tcW w:w="2277" w:type="dxa"/>
            <w:shd w:val="clear" w:color="auto" w:fill="auto"/>
          </w:tcPr>
          <w:p w14:paraId="3A2EA31F" w14:textId="77777777" w:rsidR="000D07EA" w:rsidRDefault="00BE7C89">
            <w:pPr>
              <w:pStyle w:val="BodyText"/>
              <w:spacing w:before="100" w:after="100"/>
              <w:rPr>
                <w:b/>
              </w:rPr>
            </w:pPr>
            <w:r>
              <w:t>Hungary</w:t>
            </w:r>
          </w:p>
        </w:tc>
      </w:tr>
      <w:tr w:rsidR="000D07EA" w14:paraId="12103DC3" w14:textId="77777777">
        <w:tc>
          <w:tcPr>
            <w:tcW w:w="2277" w:type="dxa"/>
            <w:shd w:val="clear" w:color="auto" w:fill="auto"/>
          </w:tcPr>
          <w:p w14:paraId="411B8D8F" w14:textId="77777777" w:rsidR="000D07EA" w:rsidRDefault="00BE7C89">
            <w:pPr>
              <w:pStyle w:val="BodyText"/>
              <w:spacing w:before="100" w:after="100"/>
              <w:rPr>
                <w:b/>
              </w:rPr>
            </w:pPr>
            <w:r>
              <w:t>Indonesia</w:t>
            </w:r>
          </w:p>
        </w:tc>
        <w:tc>
          <w:tcPr>
            <w:tcW w:w="2277" w:type="dxa"/>
            <w:shd w:val="clear" w:color="auto" w:fill="auto"/>
          </w:tcPr>
          <w:p w14:paraId="59128BF4" w14:textId="77777777" w:rsidR="000D07EA" w:rsidRDefault="00BE7C89">
            <w:pPr>
              <w:pStyle w:val="BodyText"/>
              <w:spacing w:before="100" w:after="100"/>
              <w:rPr>
                <w:b/>
              </w:rPr>
            </w:pPr>
            <w:r>
              <w:t>India</w:t>
            </w:r>
          </w:p>
        </w:tc>
        <w:tc>
          <w:tcPr>
            <w:tcW w:w="2277" w:type="dxa"/>
            <w:shd w:val="clear" w:color="auto" w:fill="auto"/>
          </w:tcPr>
          <w:p w14:paraId="378FE3C9" w14:textId="77777777" w:rsidR="000D07EA" w:rsidRDefault="00BE7C89">
            <w:pPr>
              <w:pStyle w:val="BodyText"/>
              <w:spacing w:before="100" w:after="100"/>
              <w:rPr>
                <w:b/>
              </w:rPr>
            </w:pPr>
            <w:r>
              <w:t>Ireland</w:t>
            </w:r>
          </w:p>
        </w:tc>
        <w:tc>
          <w:tcPr>
            <w:tcW w:w="2277" w:type="dxa"/>
            <w:shd w:val="clear" w:color="auto" w:fill="auto"/>
          </w:tcPr>
          <w:p w14:paraId="26226F30" w14:textId="77777777" w:rsidR="000D07EA" w:rsidRDefault="00BE7C89">
            <w:pPr>
              <w:pStyle w:val="BodyText"/>
              <w:spacing w:before="100" w:after="100"/>
              <w:rPr>
                <w:b/>
              </w:rPr>
            </w:pPr>
            <w:r>
              <w:t>Italy</w:t>
            </w:r>
          </w:p>
        </w:tc>
      </w:tr>
      <w:tr w:rsidR="000D07EA" w14:paraId="79A3F369" w14:textId="77777777">
        <w:tc>
          <w:tcPr>
            <w:tcW w:w="2277" w:type="dxa"/>
            <w:shd w:val="clear" w:color="auto" w:fill="auto"/>
          </w:tcPr>
          <w:p w14:paraId="141E1398" w14:textId="77777777" w:rsidR="000D07EA" w:rsidRDefault="00BE7C89">
            <w:pPr>
              <w:pStyle w:val="BodyText"/>
              <w:spacing w:before="100" w:after="100"/>
              <w:rPr>
                <w:b/>
              </w:rPr>
            </w:pPr>
            <w:r>
              <w:t xml:space="preserve">Japan </w:t>
            </w:r>
          </w:p>
        </w:tc>
        <w:tc>
          <w:tcPr>
            <w:tcW w:w="2277" w:type="dxa"/>
            <w:shd w:val="clear" w:color="auto" w:fill="auto"/>
          </w:tcPr>
          <w:p w14:paraId="60E27912" w14:textId="77777777" w:rsidR="000D07EA" w:rsidRDefault="00BE7C89">
            <w:pPr>
              <w:pStyle w:val="BodyText"/>
              <w:spacing w:before="100" w:after="100"/>
              <w:rPr>
                <w:b/>
              </w:rPr>
            </w:pPr>
            <w:r>
              <w:t>Malaysia</w:t>
            </w:r>
          </w:p>
        </w:tc>
        <w:tc>
          <w:tcPr>
            <w:tcW w:w="2277" w:type="dxa"/>
            <w:shd w:val="clear" w:color="auto" w:fill="auto"/>
          </w:tcPr>
          <w:p w14:paraId="6B4B92FC" w14:textId="77777777" w:rsidR="000D07EA" w:rsidRDefault="00BE7C89">
            <w:pPr>
              <w:pStyle w:val="BodyText"/>
              <w:spacing w:before="100" w:after="100"/>
              <w:rPr>
                <w:b/>
              </w:rPr>
            </w:pPr>
            <w:r>
              <w:t>Netherlands</w:t>
            </w:r>
          </w:p>
        </w:tc>
        <w:tc>
          <w:tcPr>
            <w:tcW w:w="2277" w:type="dxa"/>
            <w:shd w:val="clear" w:color="auto" w:fill="auto"/>
          </w:tcPr>
          <w:p w14:paraId="4D52B985" w14:textId="77777777" w:rsidR="000D07EA" w:rsidRDefault="00BE7C89">
            <w:pPr>
              <w:pStyle w:val="BodyText"/>
              <w:spacing w:before="100" w:after="100"/>
              <w:rPr>
                <w:b/>
              </w:rPr>
            </w:pPr>
            <w:r>
              <w:t>New Zealand</w:t>
            </w:r>
          </w:p>
        </w:tc>
      </w:tr>
      <w:tr w:rsidR="000D07EA" w14:paraId="5D58B932" w14:textId="77777777">
        <w:tc>
          <w:tcPr>
            <w:tcW w:w="2277" w:type="dxa"/>
            <w:shd w:val="clear" w:color="auto" w:fill="auto"/>
          </w:tcPr>
          <w:p w14:paraId="21BE0A05" w14:textId="77777777" w:rsidR="000D07EA" w:rsidRDefault="00BE7C89">
            <w:pPr>
              <w:pStyle w:val="BodyText"/>
              <w:spacing w:before="100" w:after="100"/>
              <w:rPr>
                <w:b/>
              </w:rPr>
            </w:pPr>
            <w:r>
              <w:t xml:space="preserve">Pakistan </w:t>
            </w:r>
          </w:p>
        </w:tc>
        <w:tc>
          <w:tcPr>
            <w:tcW w:w="2277" w:type="dxa"/>
            <w:shd w:val="clear" w:color="auto" w:fill="auto"/>
          </w:tcPr>
          <w:p w14:paraId="1293137F" w14:textId="77777777" w:rsidR="000D07EA" w:rsidRDefault="00BE7C89">
            <w:pPr>
              <w:pStyle w:val="BodyText"/>
              <w:spacing w:before="100" w:after="100"/>
              <w:rPr>
                <w:b/>
              </w:rPr>
            </w:pPr>
            <w:r>
              <w:t>Philippines</w:t>
            </w:r>
          </w:p>
        </w:tc>
        <w:tc>
          <w:tcPr>
            <w:tcW w:w="2277" w:type="dxa"/>
            <w:shd w:val="clear" w:color="auto" w:fill="auto"/>
          </w:tcPr>
          <w:p w14:paraId="2F5FB306" w14:textId="77777777" w:rsidR="000D07EA" w:rsidRDefault="00BE7C89">
            <w:pPr>
              <w:pStyle w:val="BodyText"/>
              <w:spacing w:before="100" w:after="100"/>
              <w:rPr>
                <w:b/>
              </w:rPr>
            </w:pPr>
            <w:r>
              <w:t xml:space="preserve">Poland </w:t>
            </w:r>
          </w:p>
        </w:tc>
        <w:tc>
          <w:tcPr>
            <w:tcW w:w="2277" w:type="dxa"/>
            <w:shd w:val="clear" w:color="auto" w:fill="auto"/>
          </w:tcPr>
          <w:p w14:paraId="0563B663" w14:textId="77777777" w:rsidR="000D07EA" w:rsidRDefault="00BE7C89">
            <w:pPr>
              <w:pStyle w:val="BodyText"/>
              <w:spacing w:before="100" w:after="100"/>
              <w:rPr>
                <w:b/>
              </w:rPr>
            </w:pPr>
            <w:r>
              <w:t>Singapore</w:t>
            </w:r>
          </w:p>
        </w:tc>
      </w:tr>
      <w:tr w:rsidR="000D07EA" w14:paraId="69DFE571" w14:textId="77777777">
        <w:tc>
          <w:tcPr>
            <w:tcW w:w="2277" w:type="dxa"/>
            <w:shd w:val="clear" w:color="auto" w:fill="auto"/>
          </w:tcPr>
          <w:p w14:paraId="2FC5AD13" w14:textId="77777777" w:rsidR="000D07EA" w:rsidRDefault="00BE7C89">
            <w:pPr>
              <w:pStyle w:val="BodyText"/>
              <w:spacing w:before="100" w:after="100"/>
              <w:rPr>
                <w:b/>
              </w:rPr>
            </w:pPr>
            <w:r>
              <w:t xml:space="preserve">South Africa </w:t>
            </w:r>
          </w:p>
        </w:tc>
        <w:tc>
          <w:tcPr>
            <w:tcW w:w="2277" w:type="dxa"/>
            <w:shd w:val="clear" w:color="auto" w:fill="auto"/>
          </w:tcPr>
          <w:p w14:paraId="4D8D79AF" w14:textId="77777777" w:rsidR="000D07EA" w:rsidRDefault="00BE7C89">
            <w:pPr>
              <w:pStyle w:val="BodyText"/>
              <w:spacing w:before="100" w:after="100"/>
              <w:rPr>
                <w:b/>
              </w:rPr>
            </w:pPr>
            <w:r>
              <w:t>South Korea</w:t>
            </w:r>
          </w:p>
        </w:tc>
        <w:tc>
          <w:tcPr>
            <w:tcW w:w="2277" w:type="dxa"/>
            <w:shd w:val="clear" w:color="auto" w:fill="auto"/>
          </w:tcPr>
          <w:p w14:paraId="478208DD" w14:textId="77777777" w:rsidR="000D07EA" w:rsidRDefault="00BE7C89">
            <w:pPr>
              <w:pStyle w:val="BodyText"/>
              <w:spacing w:before="100" w:after="100"/>
              <w:rPr>
                <w:b/>
              </w:rPr>
            </w:pPr>
            <w:r>
              <w:t xml:space="preserve">Taiwan </w:t>
            </w:r>
          </w:p>
        </w:tc>
        <w:tc>
          <w:tcPr>
            <w:tcW w:w="2277" w:type="dxa"/>
            <w:shd w:val="clear" w:color="auto" w:fill="auto"/>
          </w:tcPr>
          <w:p w14:paraId="629ADB67" w14:textId="77777777" w:rsidR="000D07EA" w:rsidRDefault="00BE7C89">
            <w:pPr>
              <w:pStyle w:val="BodyText"/>
              <w:spacing w:before="100" w:after="100"/>
              <w:rPr>
                <w:b/>
              </w:rPr>
            </w:pPr>
            <w:r>
              <w:t>Thailand</w:t>
            </w:r>
          </w:p>
        </w:tc>
      </w:tr>
      <w:tr w:rsidR="000D07EA" w14:paraId="4991A1A4" w14:textId="77777777">
        <w:tc>
          <w:tcPr>
            <w:tcW w:w="2277" w:type="dxa"/>
            <w:shd w:val="clear" w:color="auto" w:fill="auto"/>
          </w:tcPr>
          <w:p w14:paraId="4D7216E3" w14:textId="77777777" w:rsidR="000D07EA" w:rsidRDefault="00BE7C89">
            <w:pPr>
              <w:pStyle w:val="BodyText"/>
              <w:spacing w:before="100" w:after="100"/>
              <w:rPr>
                <w:b/>
              </w:rPr>
            </w:pPr>
            <w:r>
              <w:t>Turkey</w:t>
            </w:r>
          </w:p>
        </w:tc>
        <w:tc>
          <w:tcPr>
            <w:tcW w:w="2277" w:type="dxa"/>
            <w:shd w:val="clear" w:color="auto" w:fill="auto"/>
          </w:tcPr>
          <w:p w14:paraId="2CE4DF74" w14:textId="77777777" w:rsidR="000D07EA" w:rsidRDefault="00BE7C89">
            <w:pPr>
              <w:pStyle w:val="BodyText"/>
              <w:spacing w:before="100" w:after="100"/>
              <w:rPr>
                <w:b/>
              </w:rPr>
            </w:pPr>
            <w:r>
              <w:t>United Kingdom</w:t>
            </w:r>
          </w:p>
        </w:tc>
        <w:tc>
          <w:tcPr>
            <w:tcW w:w="2277" w:type="dxa"/>
            <w:shd w:val="clear" w:color="auto" w:fill="auto"/>
          </w:tcPr>
          <w:p w14:paraId="635D2893" w14:textId="77777777" w:rsidR="000D07EA" w:rsidRDefault="00BE7C89">
            <w:pPr>
              <w:pStyle w:val="BodyText"/>
              <w:spacing w:before="100" w:after="100"/>
              <w:rPr>
                <w:b/>
              </w:rPr>
            </w:pPr>
            <w:r>
              <w:t xml:space="preserve">USA </w:t>
            </w:r>
          </w:p>
        </w:tc>
        <w:tc>
          <w:tcPr>
            <w:tcW w:w="2277" w:type="dxa"/>
            <w:shd w:val="clear" w:color="auto" w:fill="auto"/>
          </w:tcPr>
          <w:p w14:paraId="07EA7B87" w14:textId="77777777" w:rsidR="000D07EA" w:rsidRDefault="00BE7C89">
            <w:pPr>
              <w:pStyle w:val="BodyText"/>
              <w:spacing w:before="100" w:after="100"/>
              <w:rPr>
                <w:b/>
              </w:rPr>
            </w:pPr>
            <w:r>
              <w:t>Vietnam</w:t>
            </w:r>
          </w:p>
        </w:tc>
      </w:tr>
    </w:tbl>
    <w:p w14:paraId="72F2E1DF" w14:textId="77777777" w:rsidR="000D07EA" w:rsidRDefault="000D07EA">
      <w:pPr>
        <w:pStyle w:val="BodyText"/>
      </w:pPr>
    </w:p>
    <w:p w14:paraId="6AD02B49" w14:textId="77777777" w:rsidR="000D07EA" w:rsidRDefault="00BE7C89">
      <w:pPr>
        <w:pStyle w:val="Heading6"/>
        <w:ind w:left="0" w:firstLine="0"/>
        <w:rPr>
          <w:szCs w:val="24"/>
        </w:rPr>
      </w:pPr>
      <w:bookmarkStart w:id="1240" w:name="_Toc441667921"/>
      <w:r>
        <w:t>My Account</w:t>
      </w:r>
      <w:bookmarkEnd w:id="1240"/>
    </w:p>
    <w:p w14:paraId="4F197259" w14:textId="77777777" w:rsidR="000D07EA" w:rsidRDefault="00BE7C89">
      <w:pPr>
        <w:pStyle w:val="BodyText"/>
        <w:ind w:left="72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service has used. If </w:t>
      </w:r>
      <w:r>
        <w:rPr>
          <w:i/>
        </w:rPr>
        <w:t>you</w:t>
      </w:r>
      <w:r>
        <w:t xml:space="preserve"> have more than 6 services on </w:t>
      </w:r>
      <w:r>
        <w:rPr>
          <w:i/>
        </w:rPr>
        <w:t>your</w:t>
      </w:r>
      <w:r>
        <w:t xml:space="preserve"> account, My Account may not be suitable for viewing usage and managing </w:t>
      </w:r>
      <w:r>
        <w:rPr>
          <w:i/>
        </w:rPr>
        <w:t xml:space="preserve">your </w:t>
      </w:r>
      <w:r>
        <w:t>usage alerts.</w:t>
      </w:r>
    </w:p>
    <w:p w14:paraId="1E44B0A7" w14:textId="77777777" w:rsidR="000D07EA" w:rsidRDefault="00BE7C89">
      <w:pPr>
        <w:pStyle w:val="Heading6"/>
        <w:ind w:left="0" w:firstLine="0"/>
      </w:pPr>
      <w:bookmarkStart w:id="1241" w:name="_Toc441667922"/>
      <w:r>
        <w:t xml:space="preserve">What happens if the </w:t>
      </w:r>
      <w:r>
        <w:rPr>
          <w:i/>
        </w:rPr>
        <w:t xml:space="preserve">service </w:t>
      </w:r>
      <w:r>
        <w:t>is</w:t>
      </w:r>
      <w:r>
        <w:rPr>
          <w:i/>
        </w:rPr>
        <w:t xml:space="preserve"> cancelled </w:t>
      </w:r>
      <w:r>
        <w:t>early?</w:t>
      </w:r>
      <w:bookmarkEnd w:id="1241"/>
    </w:p>
    <w:p w14:paraId="4C39B4DC" w14:textId="77777777" w:rsidR="000D07EA" w:rsidRDefault="00BE7C89">
      <w:pPr>
        <w:pStyle w:val="Heading7"/>
      </w:pPr>
      <w:r>
        <w:t>If the</w:t>
      </w:r>
      <w:r>
        <w:rPr>
          <w:i/>
        </w:rPr>
        <w:t xml:space="preserve"> service</w:t>
      </w:r>
      <w:r>
        <w:t xml:space="preserve"> is</w:t>
      </w:r>
      <w:r>
        <w:rPr>
          <w:i/>
        </w:rPr>
        <w:t xml:space="preserve"> cancelled </w:t>
      </w:r>
      <w:r>
        <w:t xml:space="preserve">before the end of </w:t>
      </w:r>
      <w:r>
        <w:rPr>
          <w:i/>
        </w:rPr>
        <w:t xml:space="preserve">your minimum term, you </w:t>
      </w:r>
      <w:r>
        <w:t xml:space="preserve">will be required to pay </w:t>
      </w:r>
      <w:r>
        <w:rPr>
          <w:i/>
        </w:rPr>
        <w:t>us</w:t>
      </w:r>
      <w:r>
        <w:t>:</w:t>
      </w:r>
    </w:p>
    <w:p w14:paraId="5CDC2C9E" w14:textId="77777777" w:rsidR="000D07EA" w:rsidRDefault="00BE7C89">
      <w:pPr>
        <w:pStyle w:val="Heading8"/>
      </w:pPr>
      <w:r>
        <w:t xml:space="preserve">any usage charges incurred up to, and including, the </w:t>
      </w:r>
      <w:r>
        <w:rPr>
          <w:i/>
        </w:rPr>
        <w:t xml:space="preserve">cancellation date; </w:t>
      </w:r>
      <w:r>
        <w:t>plus</w:t>
      </w:r>
    </w:p>
    <w:p w14:paraId="05A89B4B" w14:textId="77777777" w:rsidR="000D07EA" w:rsidRDefault="00BE7C89">
      <w:pPr>
        <w:pStyle w:val="Heading8"/>
      </w:pPr>
      <w:r>
        <w:t xml:space="preserve">the </w:t>
      </w:r>
      <w:r>
        <w:rPr>
          <w:i/>
        </w:rPr>
        <w:t>cancellation fees</w:t>
      </w:r>
      <w:r>
        <w:t xml:space="preserve"> set out in paragraph </w:t>
      </w:r>
      <w:r>
        <w:fldChar w:fldCharType="begin"/>
      </w:r>
      <w:r>
        <w:instrText xml:space="preserve"> REF _Ref461556217 \n \h </w:instrText>
      </w:r>
      <w:r>
        <w:fldChar w:fldCharType="separate"/>
      </w:r>
      <w:r w:rsidR="0004083A">
        <w:t>(b)</w:t>
      </w:r>
      <w:r>
        <w:fldChar w:fldCharType="end"/>
      </w:r>
      <w:r>
        <w:t xml:space="preserve"> below (unless under clause 2A of the </w:t>
      </w:r>
      <w:r>
        <w:rPr>
          <w:i/>
        </w:rPr>
        <w:t>consumer terms</w:t>
      </w:r>
      <w:r>
        <w:t xml:space="preserve">, </w:t>
      </w:r>
      <w:r>
        <w:rPr>
          <w:i/>
        </w:rPr>
        <w:t>you</w:t>
      </w:r>
      <w:r>
        <w:t xml:space="preserve"> are entitled to </w:t>
      </w:r>
      <w:r>
        <w:rPr>
          <w:i/>
        </w:rPr>
        <w:t>cancel the service</w:t>
      </w:r>
      <w:r>
        <w:t xml:space="preserve"> without incurring a </w:t>
      </w:r>
      <w:r>
        <w:rPr>
          <w:i/>
        </w:rPr>
        <w:t>cancellation fee</w:t>
      </w:r>
      <w:r>
        <w:t>); plus</w:t>
      </w:r>
    </w:p>
    <w:p w14:paraId="305A4352" w14:textId="77777777" w:rsidR="000D07EA" w:rsidRDefault="00BE7C89">
      <w:pPr>
        <w:pStyle w:val="Heading7"/>
      </w:pPr>
      <w:bookmarkStart w:id="1242" w:name="_Ref461556217"/>
      <w:r>
        <w:t xml:space="preserve">Note, any Handset Credit </w:t>
      </w:r>
      <w:r>
        <w:rPr>
          <w:i/>
        </w:rPr>
        <w:t xml:space="preserve">you </w:t>
      </w:r>
      <w:r>
        <w:t xml:space="preserve">were entitled to will be forfeited (see </w:t>
      </w:r>
      <w:r>
        <w:fldChar w:fldCharType="begin"/>
      </w:r>
      <w:r>
        <w:instrText xml:space="preserve"> REF _Ref461556230 \n \h </w:instrText>
      </w:r>
      <w:r>
        <w:fldChar w:fldCharType="separate"/>
      </w:r>
      <w:r w:rsidR="0004083A">
        <w:t>125.5</w:t>
      </w:r>
      <w:r>
        <w:fldChar w:fldCharType="end"/>
      </w:r>
      <w:r>
        <w:t xml:space="preserve"> above) if the account is cancelled.</w:t>
      </w:r>
      <w:bookmarkEnd w:id="1242"/>
    </w:p>
    <w:p w14:paraId="11D567AD" w14:textId="77777777" w:rsidR="000D07EA" w:rsidRDefault="00BE7C89">
      <w:pPr>
        <w:pStyle w:val="Heading7"/>
      </w:pPr>
      <w:r>
        <w:t xml:space="preserve">The </w:t>
      </w:r>
      <w:r>
        <w:rPr>
          <w:i/>
        </w:rPr>
        <w:t>cancellation fee</w:t>
      </w:r>
      <w:r>
        <w:t xml:space="preserve"> is calculated as the following amounts, multiplied by the months remaining on </w:t>
      </w:r>
      <w:r>
        <w:rPr>
          <w:i/>
        </w:rPr>
        <w:t>your minimum term</w:t>
      </w:r>
      <w:r>
        <w:t>:</w:t>
      </w:r>
    </w:p>
    <w:tbl>
      <w:tblPr>
        <w:tblW w:w="910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710"/>
        <w:gridCol w:w="1710"/>
        <w:gridCol w:w="1710"/>
        <w:gridCol w:w="1710"/>
      </w:tblGrid>
      <w:tr w:rsidR="000D07EA" w14:paraId="19830BF3" w14:textId="77777777">
        <w:trPr>
          <w:trHeight w:val="20"/>
        </w:trPr>
        <w:tc>
          <w:tcPr>
            <w:tcW w:w="9108" w:type="dxa"/>
            <w:gridSpan w:val="5"/>
            <w:shd w:val="clear" w:color="auto" w:fill="auto"/>
            <w:vAlign w:val="center"/>
          </w:tcPr>
          <w:p w14:paraId="42F704E1" w14:textId="77777777" w:rsidR="000D07EA" w:rsidRDefault="00BE7C89">
            <w:pPr>
              <w:pStyle w:val="BodyText"/>
              <w:spacing w:before="100" w:after="100"/>
              <w:jc w:val="center"/>
              <w:rPr>
                <w:b/>
              </w:rPr>
            </w:pPr>
            <w:r>
              <w:rPr>
                <w:b/>
              </w:rPr>
              <w:t>My Plan Business Tech Fund</w:t>
            </w:r>
          </w:p>
        </w:tc>
      </w:tr>
      <w:tr w:rsidR="000D07EA" w14:paraId="51EEA0D4" w14:textId="77777777">
        <w:trPr>
          <w:trHeight w:val="20"/>
        </w:trPr>
        <w:tc>
          <w:tcPr>
            <w:tcW w:w="2268" w:type="dxa"/>
            <w:vAlign w:val="center"/>
          </w:tcPr>
          <w:p w14:paraId="536E2572" w14:textId="77777777" w:rsidR="000D07EA" w:rsidRDefault="00BE7C89">
            <w:pPr>
              <w:pStyle w:val="BodyText"/>
              <w:spacing w:before="100" w:after="100"/>
              <w:rPr>
                <w:b/>
              </w:rPr>
            </w:pPr>
            <w:r>
              <w:rPr>
                <w:b/>
              </w:rPr>
              <w:t>Plan</w:t>
            </w:r>
          </w:p>
        </w:tc>
        <w:tc>
          <w:tcPr>
            <w:tcW w:w="1710" w:type="dxa"/>
            <w:vAlign w:val="center"/>
          </w:tcPr>
          <w:p w14:paraId="439F5AC9" w14:textId="77777777" w:rsidR="000D07EA" w:rsidRDefault="00BE7C89">
            <w:pPr>
              <w:pStyle w:val="BodyText"/>
              <w:spacing w:before="100" w:after="100"/>
              <w:jc w:val="center"/>
              <w:rPr>
                <w:b/>
              </w:rPr>
            </w:pPr>
            <w:r>
              <w:rPr>
                <w:b/>
              </w:rPr>
              <w:t>$40 My Plan Business Tech Fund</w:t>
            </w:r>
          </w:p>
        </w:tc>
        <w:tc>
          <w:tcPr>
            <w:tcW w:w="1710" w:type="dxa"/>
            <w:shd w:val="clear" w:color="auto" w:fill="auto"/>
            <w:vAlign w:val="center"/>
          </w:tcPr>
          <w:p w14:paraId="536A98BA" w14:textId="77777777" w:rsidR="000D07EA" w:rsidRDefault="00BE7C89">
            <w:pPr>
              <w:pStyle w:val="BodyText"/>
              <w:spacing w:before="100" w:after="100"/>
              <w:jc w:val="center"/>
              <w:rPr>
                <w:b/>
              </w:rPr>
            </w:pPr>
            <w:r>
              <w:rPr>
                <w:b/>
              </w:rPr>
              <w:t>$60 My Plan Business Tech Fund</w:t>
            </w:r>
          </w:p>
        </w:tc>
        <w:tc>
          <w:tcPr>
            <w:tcW w:w="1710" w:type="dxa"/>
            <w:shd w:val="clear" w:color="auto" w:fill="auto"/>
            <w:vAlign w:val="center"/>
          </w:tcPr>
          <w:p w14:paraId="3B71EAE4" w14:textId="77777777" w:rsidR="000D07EA" w:rsidRDefault="00BE7C89">
            <w:pPr>
              <w:pStyle w:val="BodyText"/>
              <w:spacing w:before="100" w:after="100"/>
              <w:jc w:val="center"/>
              <w:rPr>
                <w:b/>
              </w:rPr>
            </w:pPr>
            <w:r>
              <w:rPr>
                <w:b/>
              </w:rPr>
              <w:t>$80 My Plan Business Tech Fund</w:t>
            </w:r>
          </w:p>
        </w:tc>
        <w:tc>
          <w:tcPr>
            <w:tcW w:w="1710" w:type="dxa"/>
          </w:tcPr>
          <w:p w14:paraId="1C4D0612" w14:textId="77777777" w:rsidR="000D07EA" w:rsidRDefault="00BE7C89">
            <w:pPr>
              <w:pStyle w:val="BodyText"/>
              <w:spacing w:before="100" w:after="100"/>
              <w:jc w:val="center"/>
              <w:rPr>
                <w:b/>
              </w:rPr>
            </w:pPr>
            <w:r>
              <w:rPr>
                <w:b/>
              </w:rPr>
              <w:t>$100 My Plan Business Tech Fund</w:t>
            </w:r>
          </w:p>
        </w:tc>
      </w:tr>
      <w:tr w:rsidR="000D07EA" w14:paraId="3F9980F0" w14:textId="77777777">
        <w:trPr>
          <w:trHeight w:val="20"/>
        </w:trPr>
        <w:tc>
          <w:tcPr>
            <w:tcW w:w="2268" w:type="dxa"/>
            <w:vAlign w:val="center"/>
          </w:tcPr>
          <w:p w14:paraId="4A9CB903" w14:textId="77777777" w:rsidR="000D07EA" w:rsidRDefault="00BE7C89">
            <w:pPr>
              <w:pStyle w:val="BodyText"/>
              <w:spacing w:before="100" w:after="100"/>
              <w:rPr>
                <w:b/>
              </w:rPr>
            </w:pPr>
            <w:r>
              <w:rPr>
                <w:b/>
              </w:rPr>
              <w:lastRenderedPageBreak/>
              <w:t xml:space="preserve">Cancellation Fee </w:t>
            </w:r>
          </w:p>
        </w:tc>
        <w:tc>
          <w:tcPr>
            <w:tcW w:w="1710" w:type="dxa"/>
            <w:vAlign w:val="center"/>
          </w:tcPr>
          <w:p w14:paraId="79727351" w14:textId="77777777" w:rsidR="000D07EA" w:rsidRDefault="00BE7C89">
            <w:pPr>
              <w:pStyle w:val="BodyText"/>
              <w:spacing w:before="100" w:after="100"/>
              <w:jc w:val="center"/>
            </w:pPr>
            <w:r>
              <w:t>$24 x Months remaining</w:t>
            </w:r>
          </w:p>
        </w:tc>
        <w:tc>
          <w:tcPr>
            <w:tcW w:w="1710" w:type="dxa"/>
            <w:shd w:val="clear" w:color="auto" w:fill="auto"/>
            <w:vAlign w:val="center"/>
          </w:tcPr>
          <w:p w14:paraId="36BED25A" w14:textId="77777777" w:rsidR="000D07EA" w:rsidRDefault="00BE7C89">
            <w:pPr>
              <w:pStyle w:val="BodyText"/>
              <w:spacing w:before="100" w:after="100"/>
              <w:jc w:val="center"/>
            </w:pPr>
            <w:r>
              <w:t>$36 x Months remaining</w:t>
            </w:r>
          </w:p>
        </w:tc>
        <w:tc>
          <w:tcPr>
            <w:tcW w:w="1710" w:type="dxa"/>
            <w:shd w:val="clear" w:color="auto" w:fill="auto"/>
            <w:vAlign w:val="center"/>
          </w:tcPr>
          <w:p w14:paraId="51989E23" w14:textId="77777777" w:rsidR="000D07EA" w:rsidRDefault="00BE7C89">
            <w:pPr>
              <w:pStyle w:val="BodyText"/>
              <w:spacing w:before="100" w:after="100"/>
              <w:jc w:val="center"/>
            </w:pPr>
            <w:r>
              <w:t>$48 x Months remaining</w:t>
            </w:r>
          </w:p>
        </w:tc>
        <w:tc>
          <w:tcPr>
            <w:tcW w:w="1710" w:type="dxa"/>
            <w:vAlign w:val="center"/>
          </w:tcPr>
          <w:p w14:paraId="66F77D94" w14:textId="77777777" w:rsidR="000D07EA" w:rsidRDefault="00BE7C89">
            <w:pPr>
              <w:pStyle w:val="BodyText"/>
              <w:spacing w:before="100" w:after="100"/>
              <w:jc w:val="center"/>
            </w:pPr>
            <w:r>
              <w:t>$60 x Months remaining</w:t>
            </w:r>
          </w:p>
        </w:tc>
      </w:tr>
      <w:tr w:rsidR="000D07EA" w14:paraId="66D711B8" w14:textId="77777777">
        <w:trPr>
          <w:trHeight w:val="20"/>
        </w:trPr>
        <w:tc>
          <w:tcPr>
            <w:tcW w:w="2268" w:type="dxa"/>
            <w:vAlign w:val="center"/>
          </w:tcPr>
          <w:p w14:paraId="7EF45FC9" w14:textId="77777777" w:rsidR="000D07EA" w:rsidRDefault="00BE7C89">
            <w:pPr>
              <w:pStyle w:val="BodyText"/>
              <w:spacing w:before="100" w:after="100"/>
              <w:rPr>
                <w:b/>
              </w:rPr>
            </w:pPr>
            <w:r>
              <w:rPr>
                <w:b/>
              </w:rPr>
              <w:t>Maximum Cancellation Fee</w:t>
            </w:r>
          </w:p>
        </w:tc>
        <w:tc>
          <w:tcPr>
            <w:tcW w:w="1710" w:type="dxa"/>
            <w:vAlign w:val="center"/>
          </w:tcPr>
          <w:p w14:paraId="000B91BE" w14:textId="77777777" w:rsidR="000D07EA" w:rsidRDefault="00BE7C89">
            <w:pPr>
              <w:pStyle w:val="BodyText"/>
              <w:spacing w:before="100" w:after="100"/>
              <w:jc w:val="center"/>
            </w:pPr>
            <w:r>
              <w:t>$576</w:t>
            </w:r>
          </w:p>
        </w:tc>
        <w:tc>
          <w:tcPr>
            <w:tcW w:w="1710" w:type="dxa"/>
            <w:shd w:val="clear" w:color="auto" w:fill="auto"/>
            <w:vAlign w:val="center"/>
          </w:tcPr>
          <w:p w14:paraId="56E2D2E8" w14:textId="77777777" w:rsidR="000D07EA" w:rsidRDefault="00BE7C89">
            <w:pPr>
              <w:pStyle w:val="BodyText"/>
              <w:spacing w:before="100" w:after="100"/>
              <w:jc w:val="center"/>
            </w:pPr>
            <w:r>
              <w:t>$864</w:t>
            </w:r>
          </w:p>
        </w:tc>
        <w:tc>
          <w:tcPr>
            <w:tcW w:w="1710" w:type="dxa"/>
            <w:shd w:val="clear" w:color="auto" w:fill="auto"/>
            <w:vAlign w:val="center"/>
          </w:tcPr>
          <w:p w14:paraId="56C1E08E" w14:textId="77777777" w:rsidR="000D07EA" w:rsidRDefault="00BE7C89">
            <w:pPr>
              <w:pStyle w:val="BodyText"/>
              <w:spacing w:before="100" w:after="100"/>
              <w:jc w:val="center"/>
            </w:pPr>
            <w:r>
              <w:t>$1152</w:t>
            </w:r>
          </w:p>
        </w:tc>
        <w:tc>
          <w:tcPr>
            <w:tcW w:w="1710" w:type="dxa"/>
            <w:vAlign w:val="center"/>
          </w:tcPr>
          <w:p w14:paraId="66D079A1" w14:textId="77777777" w:rsidR="000D07EA" w:rsidRDefault="00BE7C89">
            <w:pPr>
              <w:pStyle w:val="BodyText"/>
              <w:spacing w:before="100" w:after="100"/>
              <w:jc w:val="center"/>
            </w:pPr>
            <w:r>
              <w:t>$1440</w:t>
            </w:r>
          </w:p>
        </w:tc>
      </w:tr>
    </w:tbl>
    <w:p w14:paraId="63CF9FD3" w14:textId="77777777" w:rsidR="000D07EA" w:rsidRDefault="000D07EA">
      <w:pPr>
        <w:pStyle w:val="BodyText"/>
      </w:pPr>
    </w:p>
    <w:p w14:paraId="2F3355A5" w14:textId="77777777" w:rsidR="000D07EA" w:rsidRDefault="00BE7C89">
      <w:pPr>
        <w:pStyle w:val="Heading7"/>
        <w:rPr>
          <w:i/>
        </w:rPr>
      </w:pPr>
      <w:r>
        <w:t xml:space="preserve">If </w:t>
      </w:r>
      <w:r>
        <w:rPr>
          <w:i/>
        </w:rPr>
        <w:t>your</w:t>
      </w:r>
      <w:r>
        <w:t xml:space="preserve"> My Plan Business Tech Fund is </w:t>
      </w:r>
      <w:r>
        <w:rPr>
          <w:i/>
        </w:rPr>
        <w:t>cancelled</w:t>
      </w:r>
      <w:r>
        <w:t xml:space="preserve">, </w:t>
      </w:r>
      <w:r>
        <w:rPr>
          <w:i/>
        </w:rPr>
        <w:t>your</w:t>
      </w:r>
      <w:r>
        <w:t xml:space="preserve"> Shared Data Plan(s) may also be </w:t>
      </w:r>
      <w:r>
        <w:rPr>
          <w:i/>
        </w:rPr>
        <w:t>cancelled</w:t>
      </w:r>
      <w:r>
        <w:t xml:space="preserve">. There are no </w:t>
      </w:r>
      <w:r>
        <w:rPr>
          <w:i/>
        </w:rPr>
        <w:t>cancellation fees</w:t>
      </w:r>
      <w:r>
        <w:t xml:space="preserve"> for the Shared Data Plan, however if </w:t>
      </w:r>
      <w:r>
        <w:rPr>
          <w:i/>
        </w:rPr>
        <w:t>you</w:t>
      </w:r>
      <w:r>
        <w:t xml:space="preserve"> purchased a </w:t>
      </w:r>
      <w:r>
        <w:rPr>
          <w:i/>
        </w:rPr>
        <w:t>device</w:t>
      </w:r>
      <w:r>
        <w:t xml:space="preserve"> </w:t>
      </w:r>
      <w:r>
        <w:rPr>
          <w:i/>
        </w:rPr>
        <w:t>you</w:t>
      </w:r>
      <w:r>
        <w:t xml:space="preserve"> need to pay the sum of any remaining </w:t>
      </w:r>
      <w:r>
        <w:rPr>
          <w:i/>
        </w:rPr>
        <w:t xml:space="preserve">equipment charges </w:t>
      </w:r>
      <w:r>
        <w:t xml:space="preserve">owing on </w:t>
      </w:r>
      <w:r>
        <w:rPr>
          <w:i/>
        </w:rPr>
        <w:t xml:space="preserve">your device </w:t>
      </w:r>
      <w:r>
        <w:t xml:space="preserve">under the </w:t>
      </w:r>
      <w:r>
        <w:rPr>
          <w:i/>
        </w:rPr>
        <w:t xml:space="preserve">mobile equipment payment plan </w:t>
      </w:r>
      <w:r>
        <w:t xml:space="preserve">(see </w:t>
      </w:r>
      <w:hyperlink r:id="rId639" w:history="1">
        <w:r>
          <w:rPr>
            <w:rStyle w:val="Hyperlink"/>
            <w:i/>
          </w:rPr>
          <w:t>Appendix D</w:t>
        </w:r>
      </w:hyperlink>
      <w:r>
        <w:t>).</w:t>
      </w:r>
    </w:p>
    <w:p w14:paraId="5F69554F" w14:textId="77777777" w:rsidR="000D07EA" w:rsidRDefault="00BE7C89">
      <w:pPr>
        <w:pStyle w:val="BodyText"/>
        <w:ind w:left="1440"/>
      </w:pPr>
      <w:r>
        <w:t xml:space="preserve">If </w:t>
      </w:r>
      <w:r>
        <w:rPr>
          <w:i/>
        </w:rPr>
        <w:t xml:space="preserve">your </w:t>
      </w:r>
      <w:r>
        <w:t xml:space="preserve">Shared Data Plan is not </w:t>
      </w:r>
      <w:r>
        <w:rPr>
          <w:i/>
        </w:rPr>
        <w:t>cancelled</w:t>
      </w:r>
      <w:r>
        <w:t xml:space="preserve">, </w:t>
      </w:r>
      <w:r>
        <w:rPr>
          <w:i/>
        </w:rPr>
        <w:t>you</w:t>
      </w:r>
      <w:r>
        <w:t xml:space="preserve"> will be charged $10 per 1GB within Australia, up to a maximum of 150GB (per account) in a billing month. Your service/s may then be restricted or we may continue to charge you at these rates.</w:t>
      </w:r>
    </w:p>
    <w:p w14:paraId="66FAA4A5" w14:textId="77777777" w:rsidR="000D07EA" w:rsidRDefault="00BE7C89">
      <w:pPr>
        <w:pStyle w:val="Heading4"/>
        <w:ind w:left="720" w:hanging="720"/>
      </w:pPr>
      <w:bookmarkStart w:id="1243" w:name="_Toc445988611"/>
      <w:bookmarkStart w:id="1244" w:name="_Toc455147645"/>
      <w:bookmarkStart w:id="1245" w:name="_Toc62644667"/>
      <w:r>
        <w:t>My Plan Business SIM</w:t>
      </w:r>
      <w:bookmarkEnd w:id="1243"/>
      <w:bookmarkEnd w:id="1244"/>
      <w:bookmarkEnd w:id="1245"/>
    </w:p>
    <w:p w14:paraId="388B2BD4" w14:textId="77777777" w:rsidR="000D07EA" w:rsidRDefault="00BE7C89">
      <w:pPr>
        <w:pStyle w:val="BodyText"/>
        <w:ind w:left="720"/>
      </w:pPr>
      <w:r>
        <w:t xml:space="preserve">This section relates to the following plans. </w:t>
      </w:r>
      <w:r>
        <w:rPr>
          <w:i/>
        </w:rPr>
        <w:t>You</w:t>
      </w:r>
      <w:r>
        <w:t xml:space="preserve"> can find </w:t>
      </w:r>
      <w:r>
        <w:rPr>
          <w:i/>
        </w:rPr>
        <w:t>your</w:t>
      </w:r>
      <w:r>
        <w:t xml:space="preserve"> Plan ID on </w:t>
      </w:r>
      <w:r>
        <w:rPr>
          <w:i/>
        </w:rPr>
        <w:t>your</w:t>
      </w:r>
      <w:r>
        <w:t xml:space="preserve"> bill under the Mobile Number Summary section:</w:t>
      </w:r>
    </w:p>
    <w:tbl>
      <w:tblPr>
        <w:tblW w:w="838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2070"/>
        <w:gridCol w:w="3330"/>
      </w:tblGrid>
      <w:tr w:rsidR="000D07EA" w14:paraId="49DEAEE8" w14:textId="77777777">
        <w:tc>
          <w:tcPr>
            <w:tcW w:w="2988" w:type="dxa"/>
            <w:shd w:val="clear" w:color="auto" w:fill="auto"/>
            <w:vAlign w:val="center"/>
          </w:tcPr>
          <w:p w14:paraId="4E1D2E58" w14:textId="77777777" w:rsidR="000D07EA" w:rsidRDefault="00BE7C89">
            <w:pPr>
              <w:pStyle w:val="BodyText"/>
              <w:spacing w:before="100" w:after="100"/>
              <w:jc w:val="center"/>
              <w:rPr>
                <w:b/>
              </w:rPr>
            </w:pPr>
            <w:r>
              <w:rPr>
                <w:b/>
              </w:rPr>
              <w:t>Plan</w:t>
            </w:r>
          </w:p>
        </w:tc>
        <w:tc>
          <w:tcPr>
            <w:tcW w:w="2070" w:type="dxa"/>
            <w:shd w:val="clear" w:color="auto" w:fill="auto"/>
            <w:vAlign w:val="center"/>
          </w:tcPr>
          <w:p w14:paraId="5087C700" w14:textId="77777777" w:rsidR="000D07EA" w:rsidRDefault="00BE7C89">
            <w:pPr>
              <w:pStyle w:val="BodyText"/>
              <w:spacing w:before="100" w:after="100"/>
              <w:jc w:val="center"/>
              <w:rPr>
                <w:b/>
              </w:rPr>
            </w:pPr>
            <w:r>
              <w:rPr>
                <w:b/>
              </w:rPr>
              <w:t>Plan ID</w:t>
            </w:r>
          </w:p>
        </w:tc>
        <w:tc>
          <w:tcPr>
            <w:tcW w:w="3330" w:type="dxa"/>
            <w:shd w:val="clear" w:color="auto" w:fill="auto"/>
            <w:vAlign w:val="center"/>
          </w:tcPr>
          <w:p w14:paraId="03EA2D76" w14:textId="77777777" w:rsidR="000D07EA" w:rsidRDefault="00BE7C89">
            <w:pPr>
              <w:pStyle w:val="BodyText"/>
              <w:spacing w:before="100" w:after="100"/>
              <w:jc w:val="center"/>
              <w:rPr>
                <w:b/>
              </w:rPr>
            </w:pPr>
            <w:r>
              <w:rPr>
                <w:b/>
              </w:rPr>
              <w:t>Available</w:t>
            </w:r>
          </w:p>
        </w:tc>
      </w:tr>
      <w:tr w:rsidR="000D07EA" w14:paraId="1742E229" w14:textId="77777777">
        <w:tc>
          <w:tcPr>
            <w:tcW w:w="2988" w:type="dxa"/>
            <w:shd w:val="clear" w:color="auto" w:fill="auto"/>
            <w:vAlign w:val="center"/>
          </w:tcPr>
          <w:p w14:paraId="7EE8C61B" w14:textId="77777777" w:rsidR="000D07EA" w:rsidRDefault="00BE7C89">
            <w:pPr>
              <w:pStyle w:val="BodyText"/>
              <w:spacing w:before="100" w:after="100"/>
              <w:jc w:val="center"/>
            </w:pPr>
            <w:r>
              <w:t>$30 My Plan Business SIM</w:t>
            </w:r>
          </w:p>
        </w:tc>
        <w:tc>
          <w:tcPr>
            <w:tcW w:w="2070" w:type="dxa"/>
            <w:shd w:val="clear" w:color="auto" w:fill="auto"/>
            <w:vAlign w:val="center"/>
          </w:tcPr>
          <w:p w14:paraId="4304F31E" w14:textId="77777777" w:rsidR="000D07EA" w:rsidRDefault="00BE7C89">
            <w:pPr>
              <w:pStyle w:val="BodyText"/>
              <w:spacing w:before="100" w:after="100"/>
              <w:jc w:val="center"/>
            </w:pPr>
            <w:r>
              <w:t>800321</w:t>
            </w:r>
            <w:r w:rsidR="00E57781">
              <w:t>, 9008031</w:t>
            </w:r>
          </w:p>
        </w:tc>
        <w:tc>
          <w:tcPr>
            <w:tcW w:w="3330" w:type="dxa"/>
            <w:shd w:val="clear" w:color="auto" w:fill="auto"/>
            <w:vAlign w:val="center"/>
          </w:tcPr>
          <w:p w14:paraId="2FEFA2BC" w14:textId="77777777" w:rsidR="000D07EA" w:rsidRDefault="00BE7C89">
            <w:pPr>
              <w:pStyle w:val="BodyText"/>
              <w:spacing w:before="100" w:after="100"/>
              <w:jc w:val="center"/>
            </w:pPr>
            <w:r>
              <w:t>1 November 2015 – 1 May 2016</w:t>
            </w:r>
          </w:p>
        </w:tc>
      </w:tr>
      <w:tr w:rsidR="000D07EA" w14:paraId="16F2173D" w14:textId="77777777">
        <w:tc>
          <w:tcPr>
            <w:tcW w:w="2988" w:type="dxa"/>
            <w:shd w:val="clear" w:color="auto" w:fill="auto"/>
            <w:vAlign w:val="center"/>
          </w:tcPr>
          <w:p w14:paraId="7BEB0CE4" w14:textId="77777777" w:rsidR="000D07EA" w:rsidRDefault="00BE7C89">
            <w:pPr>
              <w:pStyle w:val="BodyText"/>
              <w:spacing w:before="100" w:after="100"/>
              <w:jc w:val="center"/>
            </w:pPr>
            <w:r>
              <w:t>$40 My Plan Business SIM</w:t>
            </w:r>
          </w:p>
        </w:tc>
        <w:tc>
          <w:tcPr>
            <w:tcW w:w="2070" w:type="dxa"/>
            <w:shd w:val="clear" w:color="auto" w:fill="auto"/>
            <w:vAlign w:val="center"/>
          </w:tcPr>
          <w:p w14:paraId="035A8A68" w14:textId="77777777" w:rsidR="000D07EA" w:rsidRDefault="00BE7C89">
            <w:pPr>
              <w:pStyle w:val="BodyText"/>
              <w:spacing w:before="100" w:after="100"/>
              <w:jc w:val="center"/>
            </w:pPr>
            <w:r>
              <w:t>800323</w:t>
            </w:r>
            <w:r w:rsidR="00E57781">
              <w:t>, 9008041</w:t>
            </w:r>
          </w:p>
        </w:tc>
        <w:tc>
          <w:tcPr>
            <w:tcW w:w="3330" w:type="dxa"/>
            <w:shd w:val="clear" w:color="auto" w:fill="auto"/>
            <w:vAlign w:val="center"/>
          </w:tcPr>
          <w:p w14:paraId="437C69C2" w14:textId="77777777" w:rsidR="000D07EA" w:rsidRDefault="00BE7C89">
            <w:pPr>
              <w:pStyle w:val="BodyText"/>
              <w:spacing w:before="100" w:after="100"/>
              <w:jc w:val="center"/>
            </w:pPr>
            <w:r>
              <w:t>1 November 2015 – 1 May 2016</w:t>
            </w:r>
          </w:p>
        </w:tc>
      </w:tr>
      <w:tr w:rsidR="000D07EA" w14:paraId="372E7EFA" w14:textId="77777777">
        <w:tc>
          <w:tcPr>
            <w:tcW w:w="2988" w:type="dxa"/>
            <w:shd w:val="clear" w:color="auto" w:fill="auto"/>
            <w:vAlign w:val="center"/>
          </w:tcPr>
          <w:p w14:paraId="607237E1" w14:textId="77777777" w:rsidR="000D07EA" w:rsidRDefault="00BE7C89">
            <w:pPr>
              <w:pStyle w:val="BodyText"/>
              <w:spacing w:before="100" w:after="100"/>
              <w:jc w:val="center"/>
            </w:pPr>
            <w:r>
              <w:t>$50 My Plan Business SIM</w:t>
            </w:r>
          </w:p>
        </w:tc>
        <w:tc>
          <w:tcPr>
            <w:tcW w:w="2070" w:type="dxa"/>
            <w:shd w:val="clear" w:color="auto" w:fill="auto"/>
            <w:vAlign w:val="center"/>
          </w:tcPr>
          <w:p w14:paraId="18D69FD6" w14:textId="77777777" w:rsidR="000D07EA" w:rsidRDefault="00BE7C89">
            <w:pPr>
              <w:pStyle w:val="BodyText"/>
              <w:spacing w:before="100" w:after="100"/>
              <w:jc w:val="center"/>
            </w:pPr>
            <w:r>
              <w:t>800325</w:t>
            </w:r>
            <w:r w:rsidR="00E57781">
              <w:t>, 9008051</w:t>
            </w:r>
          </w:p>
        </w:tc>
        <w:tc>
          <w:tcPr>
            <w:tcW w:w="3330" w:type="dxa"/>
            <w:shd w:val="clear" w:color="auto" w:fill="auto"/>
            <w:vAlign w:val="center"/>
          </w:tcPr>
          <w:p w14:paraId="7CBE9A33" w14:textId="77777777" w:rsidR="000D07EA" w:rsidRDefault="00BE7C89">
            <w:pPr>
              <w:pStyle w:val="BodyText"/>
              <w:spacing w:before="100" w:after="100"/>
              <w:jc w:val="center"/>
            </w:pPr>
            <w:r>
              <w:t>1 November 2015 – 1 May 2016</w:t>
            </w:r>
          </w:p>
        </w:tc>
      </w:tr>
      <w:tr w:rsidR="000D07EA" w14:paraId="7A508ACC" w14:textId="77777777">
        <w:tc>
          <w:tcPr>
            <w:tcW w:w="2988" w:type="dxa"/>
            <w:shd w:val="clear" w:color="auto" w:fill="auto"/>
            <w:vAlign w:val="center"/>
          </w:tcPr>
          <w:p w14:paraId="0DCA1EC1" w14:textId="77777777" w:rsidR="000D07EA" w:rsidRDefault="00BE7C89">
            <w:pPr>
              <w:pStyle w:val="BodyText"/>
              <w:spacing w:before="100" w:after="100"/>
              <w:jc w:val="center"/>
            </w:pPr>
            <w:r>
              <w:t>$60 My Plan Business SIM</w:t>
            </w:r>
          </w:p>
        </w:tc>
        <w:tc>
          <w:tcPr>
            <w:tcW w:w="2070" w:type="dxa"/>
            <w:shd w:val="clear" w:color="auto" w:fill="auto"/>
            <w:vAlign w:val="center"/>
          </w:tcPr>
          <w:p w14:paraId="1E0A951A" w14:textId="77777777" w:rsidR="000D07EA" w:rsidRDefault="00BE7C89">
            <w:pPr>
              <w:pStyle w:val="BodyText"/>
              <w:spacing w:before="100" w:after="100"/>
              <w:jc w:val="center"/>
            </w:pPr>
            <w:r>
              <w:t>800327</w:t>
            </w:r>
            <w:r w:rsidR="00E57781">
              <w:t>, 9008061</w:t>
            </w:r>
          </w:p>
        </w:tc>
        <w:tc>
          <w:tcPr>
            <w:tcW w:w="3330" w:type="dxa"/>
            <w:shd w:val="clear" w:color="auto" w:fill="auto"/>
            <w:vAlign w:val="center"/>
          </w:tcPr>
          <w:p w14:paraId="1706C8C2" w14:textId="77777777" w:rsidR="000D07EA" w:rsidRDefault="00BE7C89">
            <w:pPr>
              <w:pStyle w:val="BodyText"/>
              <w:spacing w:before="100" w:after="100"/>
              <w:jc w:val="center"/>
            </w:pPr>
            <w:r>
              <w:t>1 November 2015 – 1 May 2016</w:t>
            </w:r>
          </w:p>
        </w:tc>
      </w:tr>
      <w:tr w:rsidR="000D07EA" w14:paraId="56E86DB9" w14:textId="77777777">
        <w:tc>
          <w:tcPr>
            <w:tcW w:w="2988" w:type="dxa"/>
            <w:shd w:val="clear" w:color="auto" w:fill="auto"/>
            <w:vAlign w:val="center"/>
          </w:tcPr>
          <w:p w14:paraId="7EE9A985" w14:textId="77777777" w:rsidR="000D07EA" w:rsidRDefault="00BE7C89">
            <w:pPr>
              <w:pStyle w:val="BodyText"/>
              <w:spacing w:before="100" w:after="100"/>
              <w:jc w:val="center"/>
            </w:pPr>
            <w:r>
              <w:t>$70 My Plan Business SIM</w:t>
            </w:r>
          </w:p>
        </w:tc>
        <w:tc>
          <w:tcPr>
            <w:tcW w:w="2070" w:type="dxa"/>
            <w:shd w:val="clear" w:color="auto" w:fill="auto"/>
            <w:vAlign w:val="center"/>
          </w:tcPr>
          <w:p w14:paraId="6519456E" w14:textId="77777777" w:rsidR="000D07EA" w:rsidRDefault="00BE7C89">
            <w:pPr>
              <w:pStyle w:val="BodyText"/>
              <w:spacing w:before="100" w:after="100"/>
              <w:jc w:val="center"/>
            </w:pPr>
            <w:r>
              <w:t>800329</w:t>
            </w:r>
            <w:r w:rsidR="00E57781">
              <w:t>, 9008071</w:t>
            </w:r>
          </w:p>
        </w:tc>
        <w:tc>
          <w:tcPr>
            <w:tcW w:w="3330" w:type="dxa"/>
            <w:shd w:val="clear" w:color="auto" w:fill="auto"/>
            <w:vAlign w:val="center"/>
          </w:tcPr>
          <w:p w14:paraId="15897F61" w14:textId="77777777" w:rsidR="000D07EA" w:rsidRDefault="00BE7C89">
            <w:pPr>
              <w:pStyle w:val="BodyText"/>
              <w:spacing w:before="100" w:after="100"/>
              <w:jc w:val="center"/>
            </w:pPr>
            <w:r>
              <w:t>1 November 2015 – 1 May 2016</w:t>
            </w:r>
          </w:p>
        </w:tc>
      </w:tr>
    </w:tbl>
    <w:p w14:paraId="2DC648F8" w14:textId="77777777" w:rsidR="000D07EA" w:rsidRDefault="000D07EA">
      <w:pPr>
        <w:pStyle w:val="BodyText"/>
      </w:pPr>
    </w:p>
    <w:p w14:paraId="2AEA281D" w14:textId="77777777" w:rsidR="000D07EA" w:rsidRDefault="00BE7C89">
      <w:pPr>
        <w:pStyle w:val="Heading6"/>
        <w:ind w:left="0" w:firstLine="0"/>
      </w:pPr>
      <w:bookmarkStart w:id="1246" w:name="_Toc445988612"/>
      <w:r>
        <w:t>Eligibility</w:t>
      </w:r>
      <w:bookmarkEnd w:id="1246"/>
    </w:p>
    <w:p w14:paraId="7411A817" w14:textId="77777777" w:rsidR="000D07EA" w:rsidRDefault="00BE7C89">
      <w:pPr>
        <w:pStyle w:val="BodyText"/>
        <w:ind w:left="720"/>
      </w:pPr>
      <w:r>
        <w:t xml:space="preserve">The My Plan Business SIM plans are available to new and existing mobile customers connecting to the </w:t>
      </w:r>
      <w:r>
        <w:rPr>
          <w:i/>
        </w:rPr>
        <w:t xml:space="preserve">service </w:t>
      </w:r>
      <w:r>
        <w:t>who pass Optus' credit assessment.</w:t>
      </w:r>
    </w:p>
    <w:p w14:paraId="646A661A" w14:textId="77777777" w:rsidR="000D07EA" w:rsidRDefault="00BE7C89">
      <w:pPr>
        <w:pStyle w:val="BodyText"/>
        <w:ind w:left="720"/>
      </w:pPr>
      <w:r>
        <w:t>Optus Service Providers' customers are not eligible to apply</w:t>
      </w:r>
      <w:r>
        <w:rPr>
          <w:snapToGrid w:val="0"/>
        </w:rPr>
        <w:t>.</w:t>
      </w:r>
    </w:p>
    <w:p w14:paraId="60DBD513" w14:textId="77777777" w:rsidR="000D07EA" w:rsidRDefault="00BE7C89">
      <w:pPr>
        <w:pStyle w:val="BodyText"/>
        <w:ind w:left="720"/>
      </w:pPr>
      <w:r>
        <w:t xml:space="preserve">These </w:t>
      </w:r>
      <w:r>
        <w:rPr>
          <w:i/>
        </w:rPr>
        <w:t>plans</w:t>
      </w:r>
      <w:r>
        <w:t xml:space="preserve"> aren't compatible for data use with BlackBerry handsets on operating systems of 7.1 or earlier.</w:t>
      </w:r>
      <w:bookmarkStart w:id="1247" w:name="_Toc445988613"/>
    </w:p>
    <w:p w14:paraId="6C8A2DBD" w14:textId="77777777" w:rsidR="000D07EA" w:rsidRDefault="00BE7C89">
      <w:pPr>
        <w:pStyle w:val="Heading6"/>
        <w:ind w:left="0" w:firstLine="0"/>
      </w:pPr>
      <w:r>
        <w:rPr>
          <w:snapToGrid w:val="0"/>
        </w:rPr>
        <w:t>Minimum Term</w:t>
      </w:r>
      <w:bookmarkEnd w:id="1247"/>
    </w:p>
    <w:p w14:paraId="0C09A4D3" w14:textId="77777777" w:rsidR="000D07EA" w:rsidRDefault="00BE7C89">
      <w:pPr>
        <w:pStyle w:val="BodyText"/>
        <w:ind w:left="720"/>
      </w:pPr>
      <w:r>
        <w:t xml:space="preserve">These </w:t>
      </w:r>
      <w:r>
        <w:rPr>
          <w:i/>
        </w:rPr>
        <w:t>plans</w:t>
      </w:r>
      <w:r>
        <w:t xml:space="preserve"> are month to month plans on a </w:t>
      </w:r>
      <w:r>
        <w:rPr>
          <w:i/>
        </w:rPr>
        <w:t>non-fixed length agreement.</w:t>
      </w:r>
    </w:p>
    <w:p w14:paraId="6904DB30" w14:textId="77777777" w:rsidR="000D07EA" w:rsidRDefault="00BE7C89">
      <w:pPr>
        <w:pStyle w:val="Heading6"/>
        <w:ind w:left="0" w:firstLine="0"/>
        <w:rPr>
          <w:b/>
        </w:rPr>
      </w:pPr>
      <w:bookmarkStart w:id="1248" w:name="_Toc445988614"/>
      <w:r>
        <w:t>What you have to pay us</w:t>
      </w:r>
      <w:bookmarkEnd w:id="1248"/>
    </w:p>
    <w:p w14:paraId="7A59A48A" w14:textId="77777777" w:rsidR="000D07EA" w:rsidRDefault="00BE7C89">
      <w:pPr>
        <w:pStyle w:val="Heading7"/>
      </w:pPr>
      <w:r>
        <w:rPr>
          <w:i/>
        </w:rPr>
        <w:t xml:space="preserve">You </w:t>
      </w:r>
      <w:r>
        <w:t xml:space="preserve">must pay </w:t>
      </w:r>
      <w:r>
        <w:rPr>
          <w:i/>
        </w:rPr>
        <w:t xml:space="preserve">us </w:t>
      </w:r>
      <w:r>
        <w:t xml:space="preserve">for use of the </w:t>
      </w:r>
      <w:r>
        <w:rPr>
          <w:i/>
        </w:rPr>
        <w:t xml:space="preserve">service </w:t>
      </w:r>
      <w:r>
        <w:t xml:space="preserve">at the rates set out in Section 1 of this </w:t>
      </w:r>
      <w:r>
        <w:rPr>
          <w:i/>
        </w:rPr>
        <w:t>standard pricing table</w:t>
      </w:r>
      <w:r>
        <w:t xml:space="preserve"> and for value added service features at the rates set out in </w:t>
      </w:r>
      <w:hyperlink r:id="rId640" w:history="1">
        <w:r>
          <w:rPr>
            <w:rStyle w:val="Hyperlink"/>
            <w:i/>
          </w:rPr>
          <w:t>Appendix Y Value Added Service Features</w:t>
        </w:r>
      </w:hyperlink>
      <w:r>
        <w:t xml:space="preserve">. </w:t>
      </w:r>
    </w:p>
    <w:p w14:paraId="5C0A35BF" w14:textId="77777777" w:rsidR="000D07EA" w:rsidRDefault="00BE7C89">
      <w:pPr>
        <w:pStyle w:val="Heading7"/>
      </w:pPr>
      <w:r>
        <w:t>If there is a flagfall for a particular call type, the charge for these calls is the flagfall amount plus the relevant rate for the call multiplied by the duration of the call.</w:t>
      </w:r>
    </w:p>
    <w:p w14:paraId="0EBCC4B8" w14:textId="77777777" w:rsidR="000D07EA" w:rsidRDefault="00BE7C89">
      <w:pPr>
        <w:pStyle w:val="Heading7"/>
        <w:rPr>
          <w:b/>
        </w:rPr>
      </w:pPr>
      <w:r>
        <w:rPr>
          <w:b/>
        </w:rPr>
        <w:t xml:space="preserve">Minimum Monthly Charge </w:t>
      </w:r>
    </w:p>
    <w:p w14:paraId="7AD382A2" w14:textId="77777777" w:rsidR="000D07EA" w:rsidRDefault="00BE7C89">
      <w:pPr>
        <w:pStyle w:val="Heading8"/>
      </w:pPr>
      <w:r>
        <w:t xml:space="preserve">Each My Plan Business SIM has a Minimum Monthly Charge amount that </w:t>
      </w:r>
      <w:r>
        <w:rPr>
          <w:i/>
        </w:rPr>
        <w:t>you</w:t>
      </w:r>
      <w:r>
        <w:t xml:space="preserve"> must pay </w:t>
      </w:r>
      <w:r>
        <w:rPr>
          <w:i/>
        </w:rPr>
        <w:t>us</w:t>
      </w:r>
      <w:r>
        <w:t xml:space="preserve"> each month as set out in Table 1 below.</w:t>
      </w:r>
    </w:p>
    <w:p w14:paraId="1F477F1C" w14:textId="77777777" w:rsidR="000D07EA" w:rsidRDefault="00BE7C89">
      <w:pPr>
        <w:pStyle w:val="Heading8"/>
      </w:pPr>
      <w:r>
        <w:rPr>
          <w:i/>
        </w:rPr>
        <w:lastRenderedPageBreak/>
        <w:t>You</w:t>
      </w:r>
      <w:r>
        <w:t xml:space="preserve"> may purchase a mobile phone (or 'handset') with a 1 month, 12 month or 24 month </w:t>
      </w:r>
      <w:r>
        <w:rPr>
          <w:i/>
        </w:rPr>
        <w:t>equipment term</w:t>
      </w:r>
      <w:r>
        <w:t xml:space="preserve"> under a </w:t>
      </w:r>
      <w:r>
        <w:rPr>
          <w:i/>
        </w:rPr>
        <w:t>mobile equipment payment plan</w:t>
      </w:r>
      <w:r>
        <w:t xml:space="preserve"> (set out in </w:t>
      </w:r>
      <w:hyperlink r:id="rId641" w:history="1">
        <w:r>
          <w:rPr>
            <w:rStyle w:val="Hyperlink"/>
            <w:i/>
          </w:rPr>
          <w:t>Appendix D</w:t>
        </w:r>
      </w:hyperlink>
      <w:r>
        <w:t>).</w:t>
      </w:r>
    </w:p>
    <w:p w14:paraId="14E40B33" w14:textId="77777777" w:rsidR="000D07EA" w:rsidRDefault="00BE7C89">
      <w:pPr>
        <w:pStyle w:val="Heading6"/>
        <w:ind w:left="0" w:firstLine="0"/>
        <w:rPr>
          <w:snapToGrid w:val="0"/>
        </w:rPr>
      </w:pPr>
      <w:bookmarkStart w:id="1249" w:name="_Toc445988615"/>
      <w:r>
        <w:rPr>
          <w:snapToGrid w:val="0"/>
        </w:rPr>
        <w:t>How My Plan Business SIM works</w:t>
      </w:r>
      <w:bookmarkEnd w:id="1249"/>
    </w:p>
    <w:p w14:paraId="0B8E5595" w14:textId="77777777" w:rsidR="000D07EA" w:rsidRDefault="00BE7C89">
      <w:pPr>
        <w:pStyle w:val="Heading7"/>
      </w:pPr>
      <w:r>
        <w:t xml:space="preserve">Each My Plan Business SIM has unlimited minutes to use on standard national calls to landlines and mobiles, 13/1300 numbers and voicemail retrievals and an amount of Included Data (for mobile internet use) to share with other services on a My Plan Plus, My Plan Plus SIM Only, My Plan Business (including Tech Fund), My Plan Business SIM, My Mobile Broadband Plus, Mobile Broadband Business or Shared Data Plan on the same account. </w:t>
      </w:r>
    </w:p>
    <w:p w14:paraId="6E75F57D" w14:textId="77777777" w:rsidR="000D07EA" w:rsidRDefault="00BE7C89">
      <w:pPr>
        <w:pStyle w:val="Heading7"/>
      </w:pPr>
      <w:r>
        <w:t>These plans also include unlimited standard national SMS/MMS and unlimited standard International SMS/MMS to selected countries. The $40/$50/$60/$70 plans have an amount of included international minutes to use on standard international calls to selected countries.</w:t>
      </w:r>
    </w:p>
    <w:p w14:paraId="3E57BDBD" w14:textId="77777777" w:rsidR="000D07EA" w:rsidRDefault="00BE7C89">
      <w:pPr>
        <w:pStyle w:val="Heading7"/>
      </w:pPr>
      <w:r>
        <w:t>Data usage is calculated in one kilobyte increments. Plans that don't have unlimited minutes calculate usage in one minute increments. International minutes are billed in one minute increments.</w:t>
      </w:r>
    </w:p>
    <w:p w14:paraId="4716C2EB" w14:textId="77777777" w:rsidR="000D07EA" w:rsidRDefault="00BE7C89">
      <w:pPr>
        <w:pStyle w:val="Heading7"/>
      </w:pPr>
      <w:r>
        <w:t xml:space="preserve">If </w:t>
      </w:r>
      <w:r>
        <w:rPr>
          <w:i/>
        </w:rPr>
        <w:t>you</w:t>
      </w:r>
      <w:r>
        <w:t xml:space="preserve"> exceed your included shareable data you'll automatically be charged $10 for each additional 1GB of data ("Additional Data") that you use (or part thereof). You can use up to 150GB of extra data per account each month. Your service/s may then be restricted or we may continue to charge you at these rates. </w:t>
      </w:r>
    </w:p>
    <w:p w14:paraId="4F40813E" w14:textId="77777777" w:rsidR="000D07EA" w:rsidRDefault="00BE7C89">
      <w:pPr>
        <w:pStyle w:val="Heading7"/>
      </w:pPr>
      <w:r>
        <w:t xml:space="preserve">Any unused portion of </w:t>
      </w:r>
      <w:r>
        <w:rPr>
          <w:i/>
        </w:rPr>
        <w:t>your</w:t>
      </w:r>
      <w:r>
        <w:t xml:space="preserve"> </w:t>
      </w:r>
      <w:r>
        <w:rPr>
          <w:i/>
        </w:rPr>
        <w:t>plan's</w:t>
      </w:r>
      <w:r>
        <w:t xml:space="preserve"> Included Minutes, Included or Additional Data or International Minutes expires at the end of each month and does not roll over into the next month.</w:t>
      </w:r>
    </w:p>
    <w:p w14:paraId="78AB197C" w14:textId="77777777" w:rsidR="000D07EA" w:rsidRDefault="00BE7C89">
      <w:pPr>
        <w:pStyle w:val="Heading7"/>
        <w:rPr>
          <w:b/>
        </w:rPr>
      </w:pPr>
      <w:r>
        <w:rPr>
          <w:i/>
        </w:rPr>
        <w:t>You</w:t>
      </w:r>
      <w:r>
        <w:t xml:space="preserve"> must pay </w:t>
      </w:r>
      <w:r>
        <w:rPr>
          <w:i/>
        </w:rPr>
        <w:t>us</w:t>
      </w:r>
      <w:r>
        <w:t xml:space="preserve"> for use of any services that are not included in </w:t>
      </w:r>
      <w:r>
        <w:rPr>
          <w:i/>
        </w:rPr>
        <w:t>your</w:t>
      </w:r>
      <w:r>
        <w:t xml:space="preserve"> plan's inclusions, examples of which are set out in Table 2 below.</w:t>
      </w:r>
    </w:p>
    <w:p w14:paraId="56FDB4D0" w14:textId="77777777" w:rsidR="000D07EA" w:rsidRDefault="00BE7C89">
      <w:pPr>
        <w:pStyle w:val="Heading6"/>
        <w:ind w:left="0" w:firstLine="0"/>
        <w:rPr>
          <w:snapToGrid w:val="0"/>
        </w:rPr>
      </w:pPr>
      <w:bookmarkStart w:id="1250" w:name="_Toc445988616"/>
      <w:r>
        <w:rPr>
          <w:snapToGrid w:val="0"/>
        </w:rPr>
        <w:t>Data Sharing</w:t>
      </w:r>
      <w:bookmarkEnd w:id="1250"/>
    </w:p>
    <w:p w14:paraId="5E0E78AF" w14:textId="77777777" w:rsidR="000D07EA" w:rsidRDefault="00BE7C89">
      <w:pPr>
        <w:pStyle w:val="Heading7"/>
        <w:rPr>
          <w:snapToGrid w:val="0"/>
        </w:rPr>
      </w:pPr>
      <w:r>
        <w:rPr>
          <w:snapToGrid w:val="0"/>
        </w:rPr>
        <w:t>If you have more than one My Plan Plus, My Plan Plus SIM Only, My Plan Business (including Tech Fund), My Plan Business SIM, My Mobile Broadband Plus or Mobile Broadband Business on the same billing account, the included data will combine into one data pool, which will be shared by all eligible services on that account.</w:t>
      </w:r>
    </w:p>
    <w:p w14:paraId="6C38CBB4" w14:textId="77777777" w:rsidR="000D07EA" w:rsidRDefault="00BE7C89">
      <w:pPr>
        <w:pStyle w:val="Heading7"/>
        <w:rPr>
          <w:snapToGrid w:val="0"/>
        </w:rPr>
      </w:pPr>
      <w:r>
        <w:rPr>
          <w:i/>
          <w:snapToGrid w:val="0"/>
        </w:rPr>
        <w:t>You</w:t>
      </w:r>
      <w:r>
        <w:rPr>
          <w:snapToGrid w:val="0"/>
        </w:rPr>
        <w:t xml:space="preserve"> can also share the Included Data in </w:t>
      </w:r>
      <w:r>
        <w:rPr>
          <w:i/>
          <w:snapToGrid w:val="0"/>
        </w:rPr>
        <w:t>your</w:t>
      </w:r>
      <w:r>
        <w:rPr>
          <w:snapToGrid w:val="0"/>
        </w:rPr>
        <w:t xml:space="preserve"> My Plan Business SIM plan with up to five (5) SIM-ready mobile broadband devices (eg tablets, USB modems and laptops). </w:t>
      </w:r>
      <w:r>
        <w:rPr>
          <w:i/>
          <w:snapToGrid w:val="0"/>
        </w:rPr>
        <w:t>You</w:t>
      </w:r>
      <w:r>
        <w:rPr>
          <w:snapToGrid w:val="0"/>
        </w:rPr>
        <w:t xml:space="preserve"> must connect these mobile broadband devices to Shared Data Plans which have a $5 set up fee each and no ongoing monthly charges. </w:t>
      </w:r>
    </w:p>
    <w:p w14:paraId="59EBBB70" w14:textId="77777777" w:rsidR="000D07EA" w:rsidRDefault="00BE7C89">
      <w:pPr>
        <w:pStyle w:val="Heading7"/>
        <w:rPr>
          <w:snapToGrid w:val="0"/>
        </w:rPr>
      </w:pPr>
      <w:r>
        <w:rPr>
          <w:i/>
          <w:snapToGrid w:val="0"/>
        </w:rPr>
        <w:t>We</w:t>
      </w:r>
      <w:r>
        <w:rPr>
          <w:snapToGrid w:val="0"/>
        </w:rPr>
        <w:t xml:space="preserve"> may place a limit on the number of Shared Data Plans </w:t>
      </w:r>
      <w:r>
        <w:rPr>
          <w:i/>
          <w:snapToGrid w:val="0"/>
        </w:rPr>
        <w:t>you</w:t>
      </w:r>
      <w:r>
        <w:rPr>
          <w:snapToGrid w:val="0"/>
        </w:rPr>
        <w:t xml:space="preserve"> can have, based on </w:t>
      </w:r>
      <w:r>
        <w:rPr>
          <w:i/>
          <w:snapToGrid w:val="0"/>
        </w:rPr>
        <w:t>our</w:t>
      </w:r>
      <w:r>
        <w:rPr>
          <w:snapToGrid w:val="0"/>
        </w:rPr>
        <w:t xml:space="preserve"> credit criteria.</w:t>
      </w:r>
    </w:p>
    <w:p w14:paraId="4382AC0D" w14:textId="77777777" w:rsidR="000D07EA" w:rsidRDefault="00BE7C89">
      <w:pPr>
        <w:pStyle w:val="Heading7"/>
        <w:rPr>
          <w:snapToGrid w:val="0"/>
        </w:rPr>
      </w:pPr>
      <w:r>
        <w:rPr>
          <w:snapToGrid w:val="0"/>
        </w:rPr>
        <w:t>Shared Data Plans do not have any Included Data, and cannot be used to make calls.</w:t>
      </w:r>
    </w:p>
    <w:p w14:paraId="070F4BF0" w14:textId="77777777" w:rsidR="000D07EA" w:rsidRDefault="00BE7C89">
      <w:pPr>
        <w:pStyle w:val="Heading7"/>
        <w:rPr>
          <w:snapToGrid w:val="0"/>
        </w:rPr>
      </w:pPr>
      <w:r>
        <w:rPr>
          <w:i/>
          <w:snapToGrid w:val="0"/>
        </w:rPr>
        <w:t>You</w:t>
      </w:r>
      <w:r>
        <w:rPr>
          <w:snapToGrid w:val="0"/>
        </w:rPr>
        <w:t xml:space="preserve"> can purchase one mobile broadband device per Shared Data Plan, and pay for it in full on </w:t>
      </w:r>
      <w:r>
        <w:rPr>
          <w:i/>
          <w:snapToGrid w:val="0"/>
        </w:rPr>
        <w:t>your</w:t>
      </w:r>
      <w:r>
        <w:rPr>
          <w:snapToGrid w:val="0"/>
        </w:rPr>
        <w:t xml:space="preserve"> first bill, or pay it off over 12 or 24 months on a </w:t>
      </w:r>
      <w:r>
        <w:rPr>
          <w:i/>
          <w:snapToGrid w:val="0"/>
        </w:rPr>
        <w:t>Mobile Equipment Payment Plan</w:t>
      </w:r>
      <w:r>
        <w:rPr>
          <w:snapToGrid w:val="0"/>
        </w:rPr>
        <w:t xml:space="preserve"> (see </w:t>
      </w:r>
      <w:hyperlink r:id="rId642" w:history="1">
        <w:r>
          <w:rPr>
            <w:rStyle w:val="Hyperlink"/>
            <w:i/>
          </w:rPr>
          <w:t>Appendix D</w:t>
        </w:r>
      </w:hyperlink>
      <w:r>
        <w:rPr>
          <w:snapToGrid w:val="0"/>
        </w:rPr>
        <w:t>).</w:t>
      </w:r>
    </w:p>
    <w:p w14:paraId="70E0E829" w14:textId="77777777" w:rsidR="000D07EA" w:rsidRDefault="00BE7C89">
      <w:pPr>
        <w:pStyle w:val="Heading7"/>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services on any</w:t>
      </w:r>
      <w:r>
        <w:t xml:space="preserve"> My Plan Plus</w:t>
      </w:r>
      <w:r>
        <w:rPr>
          <w:lang w:eastAsia="en-AU"/>
        </w:rPr>
        <w:t>, My Plan Plus SIM Only, My Plan Business (including Tech Fund), My Plan Business SIM, My Mobile Broadband Plus or Mobile Broadband Business plans</w:t>
      </w:r>
      <w:r>
        <w:rPr>
          <w:snapToGrid w:val="0"/>
        </w:rPr>
        <w:t xml:space="preserve"> to share data, they need to be on separate billing accounts. </w:t>
      </w:r>
    </w:p>
    <w:p w14:paraId="7F377303" w14:textId="77777777" w:rsidR="000D07EA" w:rsidRDefault="00BE7C89">
      <w:pPr>
        <w:pStyle w:val="Heading7"/>
        <w:rPr>
          <w:snapToGrid w:val="0"/>
        </w:rPr>
      </w:pPr>
      <w:r>
        <w:rPr>
          <w:snapToGrid w:val="0"/>
        </w:rPr>
        <w:t>Data sharing is only available within Australia.</w:t>
      </w:r>
    </w:p>
    <w:p w14:paraId="0D443FB1" w14:textId="77777777" w:rsidR="000D07EA" w:rsidRDefault="00BE7C89">
      <w:pPr>
        <w:pStyle w:val="Heading6"/>
        <w:ind w:left="0" w:firstLine="0"/>
        <w:rPr>
          <w:snapToGrid w:val="0"/>
        </w:rPr>
      </w:pPr>
      <w:bookmarkStart w:id="1251" w:name="_Toc445988617"/>
      <w:r>
        <w:rPr>
          <w:snapToGrid w:val="0"/>
        </w:rPr>
        <w:t>International Minutes</w:t>
      </w:r>
      <w:bookmarkEnd w:id="1251"/>
    </w:p>
    <w:p w14:paraId="0E4C17AF" w14:textId="77777777" w:rsidR="000D07EA" w:rsidRDefault="00BE7C89">
      <w:pPr>
        <w:pStyle w:val="BodyText"/>
        <w:ind w:left="720"/>
      </w:pPr>
      <w:r>
        <w:t>The $40/$50/$60/$70 My Plan Business SIM includes up to 150/300/Unlimited/Unlimited international minutes (respectively) for standard calls to mobiles and fixed lines in selected countries. For a list of selected countries see Table 3 below.</w:t>
      </w:r>
    </w:p>
    <w:p w14:paraId="183558C3" w14:textId="77777777" w:rsidR="000D07EA" w:rsidRDefault="00BE7C89">
      <w:pPr>
        <w:pStyle w:val="BodyText"/>
        <w:ind w:left="720"/>
      </w:pPr>
      <w:r>
        <w:lastRenderedPageBreak/>
        <w:t>Calls are charged per minute. When included minutes for calls to selected countries are used up, standard 'yes' international call charges apply.</w:t>
      </w:r>
    </w:p>
    <w:p w14:paraId="519AEF8E" w14:textId="77777777" w:rsidR="000D07EA" w:rsidRDefault="00BE7C89">
      <w:pPr>
        <w:pStyle w:val="BodyText"/>
        <w:ind w:left="720"/>
      </w:pPr>
      <w:r>
        <w:t xml:space="preserve">Unlimited standard international calls to selected countries on the $60/$70 My Plan Business SIM are only available for personal use and are not to be used for a commercial or non-ordinary purpose as set out in the Fair Go Policy. For further details refer to </w:t>
      </w:r>
      <w:hyperlink r:id="rId643" w:history="1">
        <w:r>
          <w:rPr>
            <w:rStyle w:val="Hyperlink"/>
            <w:i/>
          </w:rPr>
          <w:t>Appendix S</w:t>
        </w:r>
      </w:hyperlink>
      <w:r>
        <w:t>.</w:t>
      </w:r>
    </w:p>
    <w:p w14:paraId="3FE4F5B3" w14:textId="77777777" w:rsidR="000D07EA" w:rsidRDefault="00BE7C89">
      <w:pPr>
        <w:pStyle w:val="Heading6"/>
        <w:ind w:left="0" w:firstLine="0"/>
        <w:rPr>
          <w:snapToGrid w:val="0"/>
        </w:rPr>
      </w:pPr>
      <w:bookmarkStart w:id="1252" w:name="_Toc445988618"/>
      <w:r>
        <w:rPr>
          <w:snapToGrid w:val="0"/>
        </w:rPr>
        <w:t>Unlimited standard national SMS and MMS</w:t>
      </w:r>
      <w:bookmarkEnd w:id="1252"/>
    </w:p>
    <w:p w14:paraId="4DB2A912" w14:textId="77777777" w:rsidR="000D07EA" w:rsidRDefault="00BE7C89">
      <w:pPr>
        <w:pStyle w:val="BodyText"/>
        <w:ind w:left="720"/>
      </w:pPr>
      <w:r>
        <w:t>You may send standard unlimited SMS and MMS to Australian mobiles from within Australia.</w:t>
      </w:r>
    </w:p>
    <w:p w14:paraId="5A0CF799" w14:textId="77777777" w:rsidR="000D07EA" w:rsidRDefault="00BE7C89">
      <w:pPr>
        <w:pStyle w:val="BodyText"/>
        <w:ind w:left="720"/>
        <w:rPr>
          <w:i/>
        </w:rPr>
      </w:pPr>
      <w:r>
        <w:t xml:space="preserve">Unlimited standard national SMS and MMS are only available for personal and ordinary business use and are not to be used for a commercial or non-ordinary purpose as set out in the Fair Go Policy. For further details refer to </w:t>
      </w:r>
      <w:hyperlink r:id="rId644" w:history="1">
        <w:r>
          <w:rPr>
            <w:rStyle w:val="Hyperlink"/>
            <w:i/>
          </w:rPr>
          <w:t>Appendix S</w:t>
        </w:r>
      </w:hyperlink>
      <w:r>
        <w:rPr>
          <w:i/>
        </w:rPr>
        <w:t>.</w:t>
      </w:r>
    </w:p>
    <w:p w14:paraId="3E837D2D" w14:textId="77777777" w:rsidR="000D07EA" w:rsidRDefault="00BE7C89">
      <w:pPr>
        <w:pStyle w:val="Heading6"/>
        <w:ind w:left="0" w:firstLine="0"/>
        <w:rPr>
          <w:snapToGrid w:val="0"/>
        </w:rPr>
      </w:pPr>
      <w:bookmarkStart w:id="1253" w:name="_Toc445988619"/>
      <w:r>
        <w:rPr>
          <w:snapToGrid w:val="0"/>
        </w:rPr>
        <w:t>Unlimited standard international SMS and MMS</w:t>
      </w:r>
      <w:bookmarkEnd w:id="1253"/>
    </w:p>
    <w:p w14:paraId="556603F5" w14:textId="77777777" w:rsidR="000D07EA" w:rsidRDefault="00BE7C89">
      <w:pPr>
        <w:pStyle w:val="BodyText"/>
        <w:ind w:left="720"/>
      </w:pPr>
      <w:r>
        <w:t>You may send unlimited standard SMS and MMS to selected countries as set out in Table 3 below.</w:t>
      </w:r>
    </w:p>
    <w:p w14:paraId="45B2BB53" w14:textId="77777777" w:rsidR="000D07EA" w:rsidRDefault="00BE7C89">
      <w:pPr>
        <w:pStyle w:val="BodyText"/>
        <w:ind w:left="720"/>
        <w:rPr>
          <w:i/>
        </w:rPr>
      </w:pPr>
      <w:r>
        <w:t xml:space="preserve">Unlimited standard SMS and MMS are only available for personal and ordinary business use and are not to be used for a commercial or non-ordinary purpose as set out in the Fair Go Policy. For further details refer to </w:t>
      </w:r>
      <w:hyperlink r:id="rId645" w:history="1">
        <w:r>
          <w:rPr>
            <w:rStyle w:val="Hyperlink"/>
            <w:i/>
          </w:rPr>
          <w:t>Appendix S</w:t>
        </w:r>
      </w:hyperlink>
      <w:r>
        <w:t>.</w:t>
      </w:r>
    </w:p>
    <w:p w14:paraId="74C93983" w14:textId="77777777" w:rsidR="000D07EA" w:rsidRDefault="00BE7C89">
      <w:pPr>
        <w:pStyle w:val="BodyText"/>
        <w:ind w:left="720"/>
        <w:rPr>
          <w:b/>
        </w:rPr>
      </w:pPr>
      <w:r>
        <w:rPr>
          <w:b/>
        </w:rPr>
        <w:t>Table 1 –Plan Inclusions and Charges</w:t>
      </w:r>
    </w:p>
    <w:tbl>
      <w:tblPr>
        <w:tblW w:w="945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890"/>
        <w:gridCol w:w="1512"/>
        <w:gridCol w:w="1512"/>
        <w:gridCol w:w="1512"/>
        <w:gridCol w:w="1512"/>
        <w:gridCol w:w="1512"/>
      </w:tblGrid>
      <w:tr w:rsidR="000D07EA" w14:paraId="09E1F96E" w14:textId="77777777">
        <w:trPr>
          <w:trHeight w:val="54"/>
          <w:tblHeader/>
        </w:trPr>
        <w:tc>
          <w:tcPr>
            <w:tcW w:w="1890" w:type="dxa"/>
            <w:shd w:val="clear" w:color="auto" w:fill="auto"/>
          </w:tcPr>
          <w:p w14:paraId="66B0590A" w14:textId="77777777" w:rsidR="000D07EA" w:rsidRDefault="000D07EA">
            <w:pPr>
              <w:pStyle w:val="BodyText"/>
              <w:spacing w:before="100" w:after="100"/>
            </w:pPr>
          </w:p>
        </w:tc>
        <w:tc>
          <w:tcPr>
            <w:tcW w:w="1512" w:type="dxa"/>
          </w:tcPr>
          <w:p w14:paraId="1654B79E" w14:textId="77777777" w:rsidR="000D07EA" w:rsidRDefault="00BE7C89">
            <w:pPr>
              <w:pStyle w:val="BodyText"/>
              <w:spacing w:before="100" w:after="100"/>
              <w:jc w:val="center"/>
              <w:rPr>
                <w:b/>
              </w:rPr>
            </w:pPr>
            <w:r>
              <w:rPr>
                <w:b/>
              </w:rPr>
              <w:t>$30 My Plan Business SIM</w:t>
            </w:r>
          </w:p>
        </w:tc>
        <w:tc>
          <w:tcPr>
            <w:tcW w:w="1512" w:type="dxa"/>
            <w:shd w:val="clear" w:color="auto" w:fill="auto"/>
          </w:tcPr>
          <w:p w14:paraId="4B14D9DA" w14:textId="77777777" w:rsidR="000D07EA" w:rsidRDefault="00BE7C89">
            <w:pPr>
              <w:pStyle w:val="BodyText"/>
              <w:spacing w:before="100" w:after="100"/>
              <w:jc w:val="center"/>
              <w:rPr>
                <w:b/>
              </w:rPr>
            </w:pPr>
            <w:r>
              <w:rPr>
                <w:b/>
              </w:rPr>
              <w:t>$40 My Plan Business SIM</w:t>
            </w:r>
          </w:p>
        </w:tc>
        <w:tc>
          <w:tcPr>
            <w:tcW w:w="1512" w:type="dxa"/>
          </w:tcPr>
          <w:p w14:paraId="79F65589" w14:textId="77777777" w:rsidR="000D07EA" w:rsidRDefault="00BE7C89">
            <w:pPr>
              <w:pStyle w:val="BodyText"/>
              <w:spacing w:before="100" w:after="100"/>
              <w:jc w:val="center"/>
              <w:rPr>
                <w:b/>
              </w:rPr>
            </w:pPr>
            <w:r>
              <w:rPr>
                <w:b/>
              </w:rPr>
              <w:t>$50 My Plan Business SIM</w:t>
            </w:r>
          </w:p>
        </w:tc>
        <w:tc>
          <w:tcPr>
            <w:tcW w:w="1512" w:type="dxa"/>
          </w:tcPr>
          <w:p w14:paraId="7A3C64B3" w14:textId="77777777" w:rsidR="000D07EA" w:rsidRDefault="00BE7C89">
            <w:pPr>
              <w:pStyle w:val="BodyText"/>
              <w:spacing w:before="100" w:after="100"/>
              <w:jc w:val="center"/>
              <w:rPr>
                <w:b/>
              </w:rPr>
            </w:pPr>
            <w:r>
              <w:rPr>
                <w:b/>
              </w:rPr>
              <w:t>$60 My Plan Business SIM</w:t>
            </w:r>
          </w:p>
        </w:tc>
        <w:tc>
          <w:tcPr>
            <w:tcW w:w="1512" w:type="dxa"/>
          </w:tcPr>
          <w:p w14:paraId="79F011A6" w14:textId="77777777" w:rsidR="000D07EA" w:rsidRDefault="00BE7C89">
            <w:pPr>
              <w:pStyle w:val="BodyText"/>
              <w:spacing w:before="100" w:after="100"/>
              <w:jc w:val="center"/>
              <w:rPr>
                <w:b/>
              </w:rPr>
            </w:pPr>
            <w:r>
              <w:rPr>
                <w:b/>
              </w:rPr>
              <w:t>$70 My Plan Business SIM</w:t>
            </w:r>
          </w:p>
        </w:tc>
      </w:tr>
      <w:tr w:rsidR="000D07EA" w14:paraId="65521FFB" w14:textId="77777777">
        <w:tc>
          <w:tcPr>
            <w:tcW w:w="1890" w:type="dxa"/>
            <w:shd w:val="clear" w:color="auto" w:fill="auto"/>
          </w:tcPr>
          <w:p w14:paraId="3D2AA8A2" w14:textId="77777777" w:rsidR="000D07EA" w:rsidRDefault="00BE7C89">
            <w:pPr>
              <w:pStyle w:val="BodyText"/>
              <w:spacing w:before="100" w:after="100"/>
            </w:pPr>
            <w:r>
              <w:rPr>
                <w:b/>
                <w:bCs/>
              </w:rPr>
              <w:t>Minimum Monthly charge</w:t>
            </w:r>
          </w:p>
        </w:tc>
        <w:tc>
          <w:tcPr>
            <w:tcW w:w="1512" w:type="dxa"/>
            <w:vAlign w:val="center"/>
          </w:tcPr>
          <w:p w14:paraId="2894271E" w14:textId="77777777" w:rsidR="000D07EA" w:rsidRDefault="00BE7C89">
            <w:pPr>
              <w:pStyle w:val="BodyText"/>
              <w:spacing w:before="100" w:after="100"/>
              <w:jc w:val="center"/>
            </w:pPr>
            <w:r>
              <w:t>$30</w:t>
            </w:r>
          </w:p>
        </w:tc>
        <w:tc>
          <w:tcPr>
            <w:tcW w:w="1512" w:type="dxa"/>
            <w:shd w:val="clear" w:color="auto" w:fill="auto"/>
            <w:vAlign w:val="center"/>
          </w:tcPr>
          <w:p w14:paraId="56AD82B0" w14:textId="77777777" w:rsidR="000D07EA" w:rsidRDefault="00BE7C89">
            <w:pPr>
              <w:pStyle w:val="BodyText"/>
              <w:spacing w:before="100" w:after="100"/>
              <w:jc w:val="center"/>
            </w:pPr>
            <w:r>
              <w:t>$40</w:t>
            </w:r>
          </w:p>
        </w:tc>
        <w:tc>
          <w:tcPr>
            <w:tcW w:w="1512" w:type="dxa"/>
            <w:vAlign w:val="center"/>
          </w:tcPr>
          <w:p w14:paraId="597B7D24" w14:textId="77777777" w:rsidR="000D07EA" w:rsidRDefault="00BE7C89">
            <w:pPr>
              <w:pStyle w:val="BodyText"/>
              <w:spacing w:before="100" w:after="100"/>
              <w:jc w:val="center"/>
            </w:pPr>
            <w:r>
              <w:t>$50</w:t>
            </w:r>
          </w:p>
        </w:tc>
        <w:tc>
          <w:tcPr>
            <w:tcW w:w="1512" w:type="dxa"/>
            <w:vAlign w:val="center"/>
          </w:tcPr>
          <w:p w14:paraId="717CBACC" w14:textId="77777777" w:rsidR="000D07EA" w:rsidRDefault="00BE7C89">
            <w:pPr>
              <w:pStyle w:val="BodyText"/>
              <w:spacing w:before="100" w:after="100"/>
              <w:jc w:val="center"/>
            </w:pPr>
            <w:r>
              <w:t>$60</w:t>
            </w:r>
          </w:p>
        </w:tc>
        <w:tc>
          <w:tcPr>
            <w:tcW w:w="1512" w:type="dxa"/>
            <w:vAlign w:val="center"/>
          </w:tcPr>
          <w:p w14:paraId="59171374" w14:textId="77777777" w:rsidR="000D07EA" w:rsidRDefault="00BE7C89">
            <w:pPr>
              <w:pStyle w:val="BodyText"/>
              <w:spacing w:before="100" w:after="100"/>
              <w:jc w:val="center"/>
            </w:pPr>
            <w:r>
              <w:t>$70</w:t>
            </w:r>
          </w:p>
        </w:tc>
      </w:tr>
      <w:tr w:rsidR="000D07EA" w14:paraId="78857C12" w14:textId="77777777">
        <w:trPr>
          <w:trHeight w:val="54"/>
        </w:trPr>
        <w:tc>
          <w:tcPr>
            <w:tcW w:w="1890" w:type="dxa"/>
            <w:shd w:val="clear" w:color="auto" w:fill="auto"/>
          </w:tcPr>
          <w:p w14:paraId="1AA1CE08" w14:textId="77777777" w:rsidR="000D07EA" w:rsidRDefault="00BE7C89">
            <w:pPr>
              <w:pStyle w:val="BodyText"/>
              <w:spacing w:before="100" w:after="100"/>
            </w:pPr>
            <w:r>
              <w:rPr>
                <w:b/>
                <w:bCs/>
              </w:rPr>
              <w:t>Included Data</w:t>
            </w:r>
          </w:p>
        </w:tc>
        <w:tc>
          <w:tcPr>
            <w:tcW w:w="1512" w:type="dxa"/>
            <w:vAlign w:val="center"/>
          </w:tcPr>
          <w:p w14:paraId="4C69C752" w14:textId="77777777" w:rsidR="000D07EA" w:rsidRDefault="00BE7C89">
            <w:pPr>
              <w:pStyle w:val="BodyText"/>
              <w:spacing w:before="100" w:after="100"/>
              <w:jc w:val="center"/>
            </w:pPr>
            <w:r>
              <w:t>1GB</w:t>
            </w:r>
          </w:p>
        </w:tc>
        <w:tc>
          <w:tcPr>
            <w:tcW w:w="1512" w:type="dxa"/>
            <w:shd w:val="clear" w:color="auto" w:fill="auto"/>
            <w:vAlign w:val="center"/>
          </w:tcPr>
          <w:p w14:paraId="11107A65" w14:textId="77777777" w:rsidR="000D07EA" w:rsidRDefault="00BE7C89">
            <w:pPr>
              <w:pStyle w:val="BodyText"/>
              <w:spacing w:before="100" w:after="100"/>
              <w:jc w:val="center"/>
            </w:pPr>
            <w:r>
              <w:t>3GB</w:t>
            </w:r>
          </w:p>
        </w:tc>
        <w:tc>
          <w:tcPr>
            <w:tcW w:w="1512" w:type="dxa"/>
            <w:vAlign w:val="center"/>
          </w:tcPr>
          <w:p w14:paraId="403433DB" w14:textId="77777777" w:rsidR="000D07EA" w:rsidRDefault="00BE7C89">
            <w:pPr>
              <w:pStyle w:val="BodyText"/>
              <w:spacing w:before="100" w:after="100"/>
              <w:jc w:val="center"/>
            </w:pPr>
            <w:r>
              <w:t>5GB</w:t>
            </w:r>
          </w:p>
        </w:tc>
        <w:tc>
          <w:tcPr>
            <w:tcW w:w="1512" w:type="dxa"/>
            <w:vAlign w:val="center"/>
          </w:tcPr>
          <w:p w14:paraId="2DB6371F" w14:textId="77777777" w:rsidR="000D07EA" w:rsidRDefault="00BE7C89">
            <w:pPr>
              <w:pStyle w:val="BodyText"/>
              <w:spacing w:before="100" w:after="100"/>
              <w:jc w:val="center"/>
            </w:pPr>
            <w:r>
              <w:t>7GB</w:t>
            </w:r>
          </w:p>
        </w:tc>
        <w:tc>
          <w:tcPr>
            <w:tcW w:w="1512" w:type="dxa"/>
            <w:vAlign w:val="center"/>
          </w:tcPr>
          <w:p w14:paraId="426D5C94" w14:textId="77777777" w:rsidR="000D07EA" w:rsidRDefault="00BE7C89">
            <w:pPr>
              <w:pStyle w:val="BodyText"/>
              <w:spacing w:before="100" w:after="100"/>
              <w:jc w:val="center"/>
            </w:pPr>
            <w:r>
              <w:t>10GB</w:t>
            </w:r>
          </w:p>
        </w:tc>
      </w:tr>
      <w:tr w:rsidR="000D07EA" w14:paraId="6B401FA2" w14:textId="77777777">
        <w:trPr>
          <w:trHeight w:val="570"/>
        </w:trPr>
        <w:tc>
          <w:tcPr>
            <w:tcW w:w="1890" w:type="dxa"/>
            <w:shd w:val="clear" w:color="auto" w:fill="auto"/>
          </w:tcPr>
          <w:p w14:paraId="33F5A45E" w14:textId="77777777" w:rsidR="000D07EA" w:rsidRDefault="00BE7C89">
            <w:pPr>
              <w:pStyle w:val="BodyText"/>
              <w:spacing w:before="100" w:after="100"/>
              <w:rPr>
                <w:b/>
                <w:bCs/>
              </w:rPr>
            </w:pPr>
            <w:r>
              <w:rPr>
                <w:b/>
                <w:bCs/>
              </w:rPr>
              <w:t xml:space="preserve">Included Minutes </w:t>
            </w:r>
            <w:r>
              <w:rPr>
                <w:bCs/>
              </w:rPr>
              <w:t>for standard national calls to landlines and mobiles, 1300 numbers and voicemail, within Australia</w:t>
            </w:r>
          </w:p>
        </w:tc>
        <w:tc>
          <w:tcPr>
            <w:tcW w:w="1512" w:type="dxa"/>
            <w:vAlign w:val="center"/>
          </w:tcPr>
          <w:p w14:paraId="71AF7E4A" w14:textId="77777777" w:rsidR="000D07EA" w:rsidRDefault="00BE7C89">
            <w:pPr>
              <w:pStyle w:val="BodyText"/>
              <w:spacing w:before="100" w:after="100"/>
              <w:jc w:val="center"/>
            </w:pPr>
            <w:r>
              <w:t>Unlimited</w:t>
            </w:r>
          </w:p>
        </w:tc>
        <w:tc>
          <w:tcPr>
            <w:tcW w:w="1512" w:type="dxa"/>
            <w:shd w:val="clear" w:color="auto" w:fill="auto"/>
            <w:vAlign w:val="center"/>
          </w:tcPr>
          <w:p w14:paraId="748CDC68" w14:textId="77777777" w:rsidR="000D07EA" w:rsidRDefault="00BE7C89">
            <w:pPr>
              <w:pStyle w:val="BodyText"/>
              <w:spacing w:before="100" w:after="100"/>
              <w:jc w:val="center"/>
            </w:pPr>
            <w:r>
              <w:t>Unlimited</w:t>
            </w:r>
          </w:p>
        </w:tc>
        <w:tc>
          <w:tcPr>
            <w:tcW w:w="1512" w:type="dxa"/>
            <w:vAlign w:val="center"/>
          </w:tcPr>
          <w:p w14:paraId="5AF087FA" w14:textId="77777777" w:rsidR="000D07EA" w:rsidRDefault="00BE7C89">
            <w:pPr>
              <w:pStyle w:val="BodyText"/>
              <w:spacing w:before="100" w:after="100"/>
              <w:jc w:val="center"/>
            </w:pPr>
            <w:r>
              <w:t>Unlimited</w:t>
            </w:r>
          </w:p>
        </w:tc>
        <w:tc>
          <w:tcPr>
            <w:tcW w:w="1512" w:type="dxa"/>
            <w:vAlign w:val="center"/>
          </w:tcPr>
          <w:p w14:paraId="589D67F2" w14:textId="77777777" w:rsidR="000D07EA" w:rsidRDefault="00BE7C89">
            <w:pPr>
              <w:pStyle w:val="BodyText"/>
              <w:spacing w:before="100" w:after="100"/>
              <w:jc w:val="center"/>
            </w:pPr>
            <w:r>
              <w:t>Unlimited</w:t>
            </w:r>
          </w:p>
        </w:tc>
        <w:tc>
          <w:tcPr>
            <w:tcW w:w="1512" w:type="dxa"/>
            <w:vAlign w:val="center"/>
          </w:tcPr>
          <w:p w14:paraId="29A99EDC" w14:textId="77777777" w:rsidR="000D07EA" w:rsidRDefault="00BE7C89">
            <w:pPr>
              <w:pStyle w:val="BodyText"/>
              <w:spacing w:before="100" w:after="100"/>
              <w:jc w:val="center"/>
            </w:pPr>
            <w:r>
              <w:t>Unlimited</w:t>
            </w:r>
          </w:p>
        </w:tc>
      </w:tr>
      <w:tr w:rsidR="000D07EA" w14:paraId="6B6C5328" w14:textId="77777777">
        <w:trPr>
          <w:trHeight w:val="768"/>
        </w:trPr>
        <w:tc>
          <w:tcPr>
            <w:tcW w:w="1890" w:type="dxa"/>
            <w:shd w:val="clear" w:color="auto" w:fill="auto"/>
          </w:tcPr>
          <w:p w14:paraId="160A6F28" w14:textId="77777777" w:rsidR="000D07EA" w:rsidRDefault="00BE7C89">
            <w:pPr>
              <w:pStyle w:val="BodyText"/>
              <w:spacing w:before="100" w:after="100"/>
              <w:rPr>
                <w:b/>
                <w:bCs/>
              </w:rPr>
            </w:pPr>
            <w:r>
              <w:rPr>
                <w:b/>
                <w:bCs/>
              </w:rPr>
              <w:t>Included International Minutes</w:t>
            </w:r>
          </w:p>
          <w:p w14:paraId="29571B30" w14:textId="77777777" w:rsidR="000D07EA" w:rsidRDefault="00BE7C89">
            <w:pPr>
              <w:pStyle w:val="BodyText"/>
              <w:spacing w:before="100" w:after="100"/>
              <w:rPr>
                <w:b/>
                <w:bCs/>
              </w:rPr>
            </w:pPr>
            <w:r>
              <w:t>Standard international calls to landlines and mobiles to selected countries</w:t>
            </w:r>
          </w:p>
        </w:tc>
        <w:tc>
          <w:tcPr>
            <w:tcW w:w="1512" w:type="dxa"/>
            <w:vAlign w:val="center"/>
          </w:tcPr>
          <w:p w14:paraId="0DBAC91F" w14:textId="77777777" w:rsidR="000D07EA" w:rsidRDefault="00BE7C89">
            <w:pPr>
              <w:pStyle w:val="BodyText"/>
              <w:spacing w:before="100" w:after="100"/>
              <w:jc w:val="center"/>
            </w:pPr>
            <w:r>
              <w:t>Not included</w:t>
            </w:r>
          </w:p>
        </w:tc>
        <w:tc>
          <w:tcPr>
            <w:tcW w:w="1512" w:type="dxa"/>
            <w:shd w:val="clear" w:color="auto" w:fill="auto"/>
            <w:vAlign w:val="center"/>
          </w:tcPr>
          <w:p w14:paraId="51C26514" w14:textId="77777777" w:rsidR="000D07EA" w:rsidRDefault="00BE7C89">
            <w:pPr>
              <w:pStyle w:val="BodyText"/>
              <w:spacing w:before="100" w:after="100"/>
              <w:jc w:val="center"/>
            </w:pPr>
            <w:r>
              <w:rPr>
                <w:bCs/>
              </w:rPr>
              <w:t>Up to 150 mins</w:t>
            </w:r>
          </w:p>
        </w:tc>
        <w:tc>
          <w:tcPr>
            <w:tcW w:w="1512" w:type="dxa"/>
            <w:vAlign w:val="center"/>
          </w:tcPr>
          <w:p w14:paraId="29ACA0A9" w14:textId="77777777" w:rsidR="000D07EA" w:rsidRDefault="00BE7C89">
            <w:pPr>
              <w:pStyle w:val="BodyText"/>
              <w:spacing w:before="100" w:after="100"/>
              <w:jc w:val="center"/>
              <w:rPr>
                <w:bCs/>
              </w:rPr>
            </w:pPr>
            <w:r>
              <w:rPr>
                <w:bCs/>
              </w:rPr>
              <w:t>Up to 300 mins</w:t>
            </w:r>
          </w:p>
        </w:tc>
        <w:tc>
          <w:tcPr>
            <w:tcW w:w="1512" w:type="dxa"/>
            <w:vAlign w:val="center"/>
          </w:tcPr>
          <w:p w14:paraId="5E9C388D" w14:textId="77777777" w:rsidR="000D07EA" w:rsidRDefault="00BE7C89">
            <w:pPr>
              <w:pStyle w:val="BodyText"/>
              <w:spacing w:before="100" w:after="100"/>
              <w:jc w:val="center"/>
              <w:rPr>
                <w:bCs/>
              </w:rPr>
            </w:pPr>
            <w:r>
              <w:rPr>
                <w:bCs/>
              </w:rPr>
              <w:t>Unlimited</w:t>
            </w:r>
          </w:p>
        </w:tc>
        <w:tc>
          <w:tcPr>
            <w:tcW w:w="1512" w:type="dxa"/>
            <w:vAlign w:val="center"/>
          </w:tcPr>
          <w:p w14:paraId="2A326C2A" w14:textId="77777777" w:rsidR="000D07EA" w:rsidRDefault="00BE7C89">
            <w:pPr>
              <w:pStyle w:val="BodyText"/>
              <w:spacing w:before="100" w:after="100"/>
              <w:jc w:val="center"/>
              <w:rPr>
                <w:bCs/>
              </w:rPr>
            </w:pPr>
            <w:r>
              <w:rPr>
                <w:bCs/>
              </w:rPr>
              <w:t>Unlimited</w:t>
            </w:r>
          </w:p>
        </w:tc>
      </w:tr>
      <w:tr w:rsidR="000D07EA" w14:paraId="07FC8109" w14:textId="77777777">
        <w:tc>
          <w:tcPr>
            <w:tcW w:w="1890" w:type="dxa"/>
            <w:shd w:val="clear" w:color="auto" w:fill="auto"/>
          </w:tcPr>
          <w:p w14:paraId="35BF25CF" w14:textId="77777777" w:rsidR="000D07EA" w:rsidRDefault="00BE7C89">
            <w:pPr>
              <w:pStyle w:val="BodyText"/>
              <w:spacing w:before="100" w:after="100"/>
            </w:pPr>
            <w:r>
              <w:rPr>
                <w:b/>
                <w:bCs/>
              </w:rPr>
              <w:t xml:space="preserve">Standard national SMS </w:t>
            </w:r>
            <w:r>
              <w:t>(per SMS of up to 160 standard characters)</w:t>
            </w:r>
          </w:p>
        </w:tc>
        <w:tc>
          <w:tcPr>
            <w:tcW w:w="1512" w:type="dxa"/>
            <w:vAlign w:val="center"/>
          </w:tcPr>
          <w:p w14:paraId="011A4ED8" w14:textId="77777777" w:rsidR="000D07EA" w:rsidRDefault="00BE7C89">
            <w:pPr>
              <w:pStyle w:val="BodyText"/>
              <w:spacing w:before="100" w:after="100"/>
              <w:jc w:val="center"/>
            </w:pPr>
            <w:r>
              <w:t>Unlimited</w:t>
            </w:r>
          </w:p>
        </w:tc>
        <w:tc>
          <w:tcPr>
            <w:tcW w:w="1512" w:type="dxa"/>
            <w:shd w:val="clear" w:color="auto" w:fill="auto"/>
            <w:vAlign w:val="center"/>
          </w:tcPr>
          <w:p w14:paraId="694F635F" w14:textId="77777777" w:rsidR="000D07EA" w:rsidRDefault="00BE7C89">
            <w:pPr>
              <w:pStyle w:val="BodyText"/>
              <w:spacing w:before="100" w:after="100"/>
              <w:jc w:val="center"/>
            </w:pPr>
            <w:r>
              <w:t>Unlimited</w:t>
            </w:r>
          </w:p>
        </w:tc>
        <w:tc>
          <w:tcPr>
            <w:tcW w:w="1512" w:type="dxa"/>
            <w:vAlign w:val="center"/>
          </w:tcPr>
          <w:p w14:paraId="25A4287A" w14:textId="77777777" w:rsidR="000D07EA" w:rsidRDefault="00BE7C89">
            <w:pPr>
              <w:pStyle w:val="BodyText"/>
              <w:spacing w:before="100" w:after="100"/>
              <w:jc w:val="center"/>
            </w:pPr>
            <w:r>
              <w:t>Unlimited</w:t>
            </w:r>
          </w:p>
        </w:tc>
        <w:tc>
          <w:tcPr>
            <w:tcW w:w="1512" w:type="dxa"/>
            <w:vAlign w:val="center"/>
          </w:tcPr>
          <w:p w14:paraId="25B1A404" w14:textId="77777777" w:rsidR="000D07EA" w:rsidRDefault="00BE7C89">
            <w:pPr>
              <w:pStyle w:val="BodyText"/>
              <w:spacing w:before="100" w:after="100"/>
              <w:jc w:val="center"/>
            </w:pPr>
            <w:r>
              <w:t>Unlimited</w:t>
            </w:r>
          </w:p>
        </w:tc>
        <w:tc>
          <w:tcPr>
            <w:tcW w:w="1512" w:type="dxa"/>
            <w:vAlign w:val="center"/>
          </w:tcPr>
          <w:p w14:paraId="2AEE032C" w14:textId="77777777" w:rsidR="000D07EA" w:rsidRDefault="00BE7C89">
            <w:pPr>
              <w:pStyle w:val="BodyText"/>
              <w:spacing w:before="100" w:after="100"/>
              <w:jc w:val="center"/>
            </w:pPr>
            <w:r>
              <w:t>Unlimited</w:t>
            </w:r>
          </w:p>
        </w:tc>
      </w:tr>
      <w:tr w:rsidR="000D07EA" w14:paraId="2FEF6B49" w14:textId="77777777">
        <w:tc>
          <w:tcPr>
            <w:tcW w:w="1890" w:type="dxa"/>
            <w:shd w:val="clear" w:color="auto" w:fill="auto"/>
          </w:tcPr>
          <w:p w14:paraId="7CEEE5C5" w14:textId="77777777" w:rsidR="000D07EA" w:rsidRDefault="00BE7C89">
            <w:pPr>
              <w:pStyle w:val="BodyText"/>
              <w:spacing w:before="100" w:after="100"/>
              <w:rPr>
                <w:b/>
                <w:bCs/>
              </w:rPr>
            </w:pPr>
            <w:r>
              <w:rPr>
                <w:b/>
                <w:bCs/>
              </w:rPr>
              <w:t xml:space="preserve">Standard national MMS </w:t>
            </w:r>
            <w:r>
              <w:t>(per message)</w:t>
            </w:r>
          </w:p>
        </w:tc>
        <w:tc>
          <w:tcPr>
            <w:tcW w:w="1512" w:type="dxa"/>
            <w:vAlign w:val="center"/>
          </w:tcPr>
          <w:p w14:paraId="73F1BCE9" w14:textId="77777777" w:rsidR="000D07EA" w:rsidRDefault="00BE7C89">
            <w:pPr>
              <w:pStyle w:val="BodyText"/>
              <w:spacing w:before="100" w:after="100"/>
              <w:jc w:val="center"/>
            </w:pPr>
            <w:r>
              <w:t>Unlimited</w:t>
            </w:r>
          </w:p>
        </w:tc>
        <w:tc>
          <w:tcPr>
            <w:tcW w:w="1512" w:type="dxa"/>
            <w:shd w:val="clear" w:color="auto" w:fill="auto"/>
            <w:vAlign w:val="center"/>
          </w:tcPr>
          <w:p w14:paraId="1BE92AB6" w14:textId="77777777" w:rsidR="000D07EA" w:rsidRDefault="00BE7C89">
            <w:pPr>
              <w:pStyle w:val="BodyText"/>
              <w:spacing w:before="100" w:after="100"/>
              <w:jc w:val="center"/>
            </w:pPr>
            <w:r>
              <w:t>Unlimited</w:t>
            </w:r>
          </w:p>
        </w:tc>
        <w:tc>
          <w:tcPr>
            <w:tcW w:w="1512" w:type="dxa"/>
            <w:vAlign w:val="center"/>
          </w:tcPr>
          <w:p w14:paraId="5B184987" w14:textId="77777777" w:rsidR="000D07EA" w:rsidRDefault="00BE7C89">
            <w:pPr>
              <w:pStyle w:val="BodyText"/>
              <w:spacing w:before="100" w:after="100"/>
              <w:jc w:val="center"/>
            </w:pPr>
            <w:r>
              <w:t>Unlimited</w:t>
            </w:r>
          </w:p>
        </w:tc>
        <w:tc>
          <w:tcPr>
            <w:tcW w:w="1512" w:type="dxa"/>
            <w:vAlign w:val="center"/>
          </w:tcPr>
          <w:p w14:paraId="4DC9AFD6" w14:textId="77777777" w:rsidR="000D07EA" w:rsidRDefault="00BE7C89">
            <w:pPr>
              <w:pStyle w:val="BodyText"/>
              <w:spacing w:before="100" w:after="100"/>
              <w:jc w:val="center"/>
            </w:pPr>
            <w:r>
              <w:t>Unlimited</w:t>
            </w:r>
          </w:p>
        </w:tc>
        <w:tc>
          <w:tcPr>
            <w:tcW w:w="1512" w:type="dxa"/>
            <w:vAlign w:val="center"/>
          </w:tcPr>
          <w:p w14:paraId="4D6B7EE1" w14:textId="77777777" w:rsidR="000D07EA" w:rsidRDefault="00BE7C89">
            <w:pPr>
              <w:pStyle w:val="BodyText"/>
              <w:spacing w:before="100" w:after="100"/>
              <w:jc w:val="center"/>
            </w:pPr>
            <w:r>
              <w:t>Unlimited</w:t>
            </w:r>
          </w:p>
        </w:tc>
      </w:tr>
      <w:tr w:rsidR="000D07EA" w14:paraId="3FB68F45" w14:textId="77777777">
        <w:tc>
          <w:tcPr>
            <w:tcW w:w="1890" w:type="dxa"/>
            <w:shd w:val="clear" w:color="auto" w:fill="auto"/>
          </w:tcPr>
          <w:p w14:paraId="0EF3986E" w14:textId="77777777" w:rsidR="000D07EA" w:rsidRDefault="00BE7C89">
            <w:pPr>
              <w:pStyle w:val="BodyText"/>
              <w:spacing w:before="100" w:after="100"/>
              <w:rPr>
                <w:b/>
                <w:bCs/>
              </w:rPr>
            </w:pPr>
            <w:r>
              <w:rPr>
                <w:b/>
                <w:bCs/>
              </w:rPr>
              <w:lastRenderedPageBreak/>
              <w:t xml:space="preserve">Standard international SMS </w:t>
            </w:r>
            <w:r>
              <w:t>(per SMS of up to 160 standard characters to selected countries)</w:t>
            </w:r>
          </w:p>
        </w:tc>
        <w:tc>
          <w:tcPr>
            <w:tcW w:w="1512" w:type="dxa"/>
            <w:vAlign w:val="center"/>
          </w:tcPr>
          <w:p w14:paraId="322B5D53" w14:textId="77777777" w:rsidR="000D07EA" w:rsidRDefault="00BE7C89">
            <w:pPr>
              <w:pStyle w:val="BodyText"/>
              <w:spacing w:before="100" w:after="100"/>
              <w:jc w:val="center"/>
            </w:pPr>
            <w:r>
              <w:t>Unlimited</w:t>
            </w:r>
          </w:p>
        </w:tc>
        <w:tc>
          <w:tcPr>
            <w:tcW w:w="1512" w:type="dxa"/>
            <w:shd w:val="clear" w:color="auto" w:fill="auto"/>
            <w:vAlign w:val="center"/>
          </w:tcPr>
          <w:p w14:paraId="44A7F6D2" w14:textId="77777777" w:rsidR="000D07EA" w:rsidRDefault="00BE7C89">
            <w:pPr>
              <w:pStyle w:val="BodyText"/>
              <w:spacing w:before="100" w:after="100"/>
              <w:jc w:val="center"/>
            </w:pPr>
            <w:r>
              <w:t>Unlimited</w:t>
            </w:r>
          </w:p>
        </w:tc>
        <w:tc>
          <w:tcPr>
            <w:tcW w:w="1512" w:type="dxa"/>
            <w:vAlign w:val="center"/>
          </w:tcPr>
          <w:p w14:paraId="7AB49C92" w14:textId="77777777" w:rsidR="000D07EA" w:rsidRDefault="00BE7C89">
            <w:pPr>
              <w:pStyle w:val="BodyText"/>
              <w:spacing w:before="100" w:after="100"/>
              <w:jc w:val="center"/>
            </w:pPr>
            <w:r>
              <w:t>Unlimited</w:t>
            </w:r>
          </w:p>
        </w:tc>
        <w:tc>
          <w:tcPr>
            <w:tcW w:w="1512" w:type="dxa"/>
            <w:vAlign w:val="center"/>
          </w:tcPr>
          <w:p w14:paraId="7DE77569" w14:textId="77777777" w:rsidR="000D07EA" w:rsidRDefault="00BE7C89">
            <w:pPr>
              <w:pStyle w:val="BodyText"/>
              <w:spacing w:before="100" w:after="100"/>
              <w:jc w:val="center"/>
            </w:pPr>
            <w:r>
              <w:t>Unlimited</w:t>
            </w:r>
          </w:p>
        </w:tc>
        <w:tc>
          <w:tcPr>
            <w:tcW w:w="1512" w:type="dxa"/>
            <w:vAlign w:val="center"/>
          </w:tcPr>
          <w:p w14:paraId="33903E66" w14:textId="77777777" w:rsidR="000D07EA" w:rsidRDefault="00BE7C89">
            <w:pPr>
              <w:pStyle w:val="BodyText"/>
              <w:spacing w:before="100" w:after="100"/>
              <w:jc w:val="center"/>
            </w:pPr>
            <w:r>
              <w:t>Unlimited</w:t>
            </w:r>
          </w:p>
        </w:tc>
      </w:tr>
      <w:tr w:rsidR="000D07EA" w14:paraId="4A99AF7D" w14:textId="77777777">
        <w:tc>
          <w:tcPr>
            <w:tcW w:w="1890" w:type="dxa"/>
            <w:shd w:val="clear" w:color="auto" w:fill="auto"/>
          </w:tcPr>
          <w:p w14:paraId="59A31717" w14:textId="77777777" w:rsidR="000D07EA" w:rsidRDefault="00BE7C89">
            <w:pPr>
              <w:pStyle w:val="BodyText"/>
              <w:keepNext/>
              <w:spacing w:before="100" w:after="100"/>
              <w:rPr>
                <w:b/>
                <w:bCs/>
              </w:rPr>
            </w:pPr>
            <w:r>
              <w:rPr>
                <w:b/>
                <w:bCs/>
              </w:rPr>
              <w:t xml:space="preserve">Standard international MMS </w:t>
            </w:r>
            <w:r>
              <w:t>(per message to selected countries)</w:t>
            </w:r>
          </w:p>
        </w:tc>
        <w:tc>
          <w:tcPr>
            <w:tcW w:w="1512" w:type="dxa"/>
            <w:vAlign w:val="center"/>
          </w:tcPr>
          <w:p w14:paraId="60B9C311" w14:textId="77777777" w:rsidR="000D07EA" w:rsidRDefault="00BE7C89">
            <w:pPr>
              <w:pStyle w:val="BodyText"/>
              <w:keepNext/>
              <w:spacing w:before="100" w:after="100"/>
              <w:jc w:val="center"/>
            </w:pPr>
            <w:r>
              <w:t>Unlimited</w:t>
            </w:r>
          </w:p>
        </w:tc>
        <w:tc>
          <w:tcPr>
            <w:tcW w:w="1512" w:type="dxa"/>
            <w:shd w:val="clear" w:color="auto" w:fill="auto"/>
            <w:vAlign w:val="center"/>
          </w:tcPr>
          <w:p w14:paraId="517D4ABA" w14:textId="77777777" w:rsidR="000D07EA" w:rsidRDefault="00BE7C89">
            <w:pPr>
              <w:pStyle w:val="BodyText"/>
              <w:keepNext/>
              <w:spacing w:before="100" w:after="100"/>
              <w:jc w:val="center"/>
            </w:pPr>
            <w:r>
              <w:t>Unlimited</w:t>
            </w:r>
          </w:p>
        </w:tc>
        <w:tc>
          <w:tcPr>
            <w:tcW w:w="1512" w:type="dxa"/>
            <w:vAlign w:val="center"/>
          </w:tcPr>
          <w:p w14:paraId="4EA89C75" w14:textId="77777777" w:rsidR="000D07EA" w:rsidRDefault="00BE7C89">
            <w:pPr>
              <w:pStyle w:val="BodyText"/>
              <w:keepNext/>
              <w:spacing w:before="100" w:after="100"/>
              <w:jc w:val="center"/>
            </w:pPr>
            <w:r>
              <w:t>Unlimited</w:t>
            </w:r>
          </w:p>
        </w:tc>
        <w:tc>
          <w:tcPr>
            <w:tcW w:w="1512" w:type="dxa"/>
            <w:vAlign w:val="center"/>
          </w:tcPr>
          <w:p w14:paraId="35871B02" w14:textId="77777777" w:rsidR="000D07EA" w:rsidRDefault="00BE7C89">
            <w:pPr>
              <w:pStyle w:val="BodyText"/>
              <w:keepNext/>
              <w:spacing w:before="100" w:after="100"/>
              <w:jc w:val="center"/>
            </w:pPr>
            <w:r>
              <w:t>Unlimited</w:t>
            </w:r>
          </w:p>
        </w:tc>
        <w:tc>
          <w:tcPr>
            <w:tcW w:w="1512" w:type="dxa"/>
            <w:vAlign w:val="center"/>
          </w:tcPr>
          <w:p w14:paraId="1B23E1C9" w14:textId="77777777" w:rsidR="000D07EA" w:rsidRDefault="00BE7C89">
            <w:pPr>
              <w:pStyle w:val="BodyText"/>
              <w:keepNext/>
              <w:spacing w:before="100" w:after="100"/>
              <w:jc w:val="center"/>
            </w:pPr>
            <w:r>
              <w:t>Unlimited</w:t>
            </w:r>
          </w:p>
        </w:tc>
      </w:tr>
    </w:tbl>
    <w:p w14:paraId="04EE3597" w14:textId="77777777" w:rsidR="000D07EA" w:rsidRDefault="000D07EA">
      <w:pPr>
        <w:pStyle w:val="BodyText"/>
      </w:pPr>
    </w:p>
    <w:p w14:paraId="418A99E7" w14:textId="77777777" w:rsidR="000D07EA" w:rsidRDefault="00BE7C89">
      <w:pPr>
        <w:pStyle w:val="BodyText"/>
        <w:ind w:left="720"/>
        <w:rPr>
          <w:b/>
        </w:rPr>
      </w:pPr>
      <w:r>
        <w:rPr>
          <w:b/>
        </w:rPr>
        <w:t>Table 2 – Other usage types and charges</w:t>
      </w:r>
    </w:p>
    <w:tbl>
      <w:tblPr>
        <w:tblW w:w="882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0"/>
        <w:gridCol w:w="4410"/>
      </w:tblGrid>
      <w:tr w:rsidR="000D07EA" w14:paraId="3CCAAAC8" w14:textId="77777777">
        <w:tc>
          <w:tcPr>
            <w:tcW w:w="4410" w:type="dxa"/>
            <w:shd w:val="clear" w:color="auto" w:fill="auto"/>
          </w:tcPr>
          <w:p w14:paraId="7D3F07A9" w14:textId="77777777" w:rsidR="000D07EA" w:rsidRDefault="00BE7C89">
            <w:pPr>
              <w:pStyle w:val="BodyText"/>
              <w:spacing w:before="100" w:after="100"/>
              <w:rPr>
                <w:b/>
              </w:rPr>
            </w:pPr>
            <w:r>
              <w:rPr>
                <w:b/>
              </w:rPr>
              <w:t>Usage type</w:t>
            </w:r>
          </w:p>
        </w:tc>
        <w:tc>
          <w:tcPr>
            <w:tcW w:w="4410" w:type="dxa"/>
            <w:shd w:val="clear" w:color="auto" w:fill="auto"/>
            <w:vAlign w:val="center"/>
          </w:tcPr>
          <w:p w14:paraId="7615C8F1" w14:textId="77777777" w:rsidR="000D07EA" w:rsidRDefault="00BE7C89">
            <w:pPr>
              <w:pStyle w:val="BodyText"/>
              <w:spacing w:before="100" w:after="100"/>
              <w:jc w:val="center"/>
              <w:rPr>
                <w:b/>
              </w:rPr>
            </w:pPr>
            <w:r>
              <w:rPr>
                <w:b/>
              </w:rPr>
              <w:t>Charge</w:t>
            </w:r>
          </w:p>
        </w:tc>
      </w:tr>
      <w:tr w:rsidR="000D07EA" w14:paraId="45AA8144" w14:textId="77777777">
        <w:tc>
          <w:tcPr>
            <w:tcW w:w="4410" w:type="dxa"/>
            <w:shd w:val="clear" w:color="auto" w:fill="auto"/>
          </w:tcPr>
          <w:p w14:paraId="46067D6B" w14:textId="77777777" w:rsidR="000D07EA" w:rsidRDefault="00BE7C89">
            <w:pPr>
              <w:pStyle w:val="BodyText"/>
              <w:spacing w:before="100" w:after="100"/>
              <w:rPr>
                <w:b/>
              </w:rPr>
            </w:pPr>
            <w:r>
              <w:rPr>
                <w:b/>
                <w:bCs/>
              </w:rPr>
              <w:t>National video calls</w:t>
            </w:r>
            <w:r>
              <w:rPr>
                <w:bCs/>
              </w:rPr>
              <w:t xml:space="preserve"> </w:t>
            </w:r>
            <w:r>
              <w:t>(per minute)</w:t>
            </w:r>
          </w:p>
        </w:tc>
        <w:tc>
          <w:tcPr>
            <w:tcW w:w="4410" w:type="dxa"/>
            <w:shd w:val="clear" w:color="auto" w:fill="auto"/>
            <w:vAlign w:val="center"/>
          </w:tcPr>
          <w:p w14:paraId="020645A5" w14:textId="77777777" w:rsidR="000D07EA" w:rsidRDefault="00BE7C89">
            <w:pPr>
              <w:pStyle w:val="BodyText"/>
              <w:spacing w:before="100" w:after="100"/>
              <w:jc w:val="center"/>
            </w:pPr>
            <w:r>
              <w:t>$1.00 per min + 40c flagfall</w:t>
            </w:r>
          </w:p>
        </w:tc>
      </w:tr>
      <w:tr w:rsidR="000D07EA" w14:paraId="1C3CABB2" w14:textId="77777777">
        <w:tc>
          <w:tcPr>
            <w:tcW w:w="4410" w:type="dxa"/>
            <w:shd w:val="clear" w:color="auto" w:fill="auto"/>
          </w:tcPr>
          <w:p w14:paraId="392DDBA2" w14:textId="77777777" w:rsidR="000D07EA" w:rsidRDefault="00BE7C89">
            <w:pPr>
              <w:pStyle w:val="BodyText"/>
              <w:spacing w:before="100" w:after="100"/>
              <w:rPr>
                <w:b/>
                <w:bCs/>
              </w:rPr>
            </w:pPr>
            <w:r>
              <w:rPr>
                <w:b/>
                <w:bCs/>
              </w:rPr>
              <w:t>National Diversions</w:t>
            </w:r>
          </w:p>
        </w:tc>
        <w:tc>
          <w:tcPr>
            <w:tcW w:w="4410" w:type="dxa"/>
            <w:shd w:val="clear" w:color="auto" w:fill="auto"/>
          </w:tcPr>
          <w:p w14:paraId="2F4F9CBC" w14:textId="77777777" w:rsidR="000D07EA" w:rsidRDefault="00BE7C89">
            <w:pPr>
              <w:pStyle w:val="BodyText"/>
              <w:spacing w:before="100" w:after="100"/>
              <w:jc w:val="center"/>
            </w:pPr>
            <w:r>
              <w:t>$0 per minute</w:t>
            </w:r>
          </w:p>
        </w:tc>
      </w:tr>
      <w:tr w:rsidR="000D07EA" w14:paraId="29BE1CD9" w14:textId="77777777">
        <w:tc>
          <w:tcPr>
            <w:tcW w:w="4410" w:type="dxa"/>
            <w:shd w:val="clear" w:color="auto" w:fill="auto"/>
          </w:tcPr>
          <w:p w14:paraId="5E938582" w14:textId="77777777" w:rsidR="000D07EA" w:rsidRDefault="00BE7C89">
            <w:pPr>
              <w:pStyle w:val="BodyText"/>
              <w:spacing w:before="100" w:after="100"/>
              <w:rPr>
                <w:b/>
                <w:bCs/>
              </w:rPr>
            </w:pPr>
            <w:r>
              <w:rPr>
                <w:b/>
                <w:bCs/>
              </w:rPr>
              <w:t xml:space="preserve">International Diversions </w:t>
            </w:r>
          </w:p>
        </w:tc>
        <w:tc>
          <w:tcPr>
            <w:tcW w:w="4410" w:type="dxa"/>
            <w:shd w:val="clear" w:color="auto" w:fill="auto"/>
          </w:tcPr>
          <w:p w14:paraId="5C75AEC1" w14:textId="77777777" w:rsidR="000D07EA" w:rsidRDefault="00BE7C89">
            <w:pPr>
              <w:pStyle w:val="BodyText"/>
              <w:spacing w:before="100" w:after="100"/>
              <w:jc w:val="center"/>
            </w:pPr>
            <w:r>
              <w:t>'yes' international rates</w:t>
            </w:r>
            <w:r>
              <w:br/>
              <w:t>See optus.com.au/international</w:t>
            </w:r>
          </w:p>
        </w:tc>
      </w:tr>
      <w:tr w:rsidR="000D07EA" w14:paraId="55B35061" w14:textId="77777777">
        <w:tc>
          <w:tcPr>
            <w:tcW w:w="4410" w:type="dxa"/>
            <w:shd w:val="clear" w:color="auto" w:fill="auto"/>
          </w:tcPr>
          <w:p w14:paraId="7D657889" w14:textId="77777777" w:rsidR="000D07EA" w:rsidRDefault="00BE7C89">
            <w:pPr>
              <w:pStyle w:val="BodyText"/>
              <w:spacing w:before="100" w:after="100"/>
              <w:rPr>
                <w:b/>
                <w:bCs/>
              </w:rPr>
            </w:pPr>
            <w:r>
              <w:rPr>
                <w:b/>
                <w:bCs/>
              </w:rPr>
              <w:t xml:space="preserve">1800 numbers </w:t>
            </w:r>
          </w:p>
        </w:tc>
        <w:tc>
          <w:tcPr>
            <w:tcW w:w="4410" w:type="dxa"/>
            <w:shd w:val="clear" w:color="auto" w:fill="auto"/>
            <w:vAlign w:val="center"/>
          </w:tcPr>
          <w:p w14:paraId="38CE1974" w14:textId="77777777" w:rsidR="000D07EA" w:rsidRDefault="00BE7C89">
            <w:pPr>
              <w:pStyle w:val="BodyText"/>
              <w:spacing w:before="100" w:after="100"/>
              <w:jc w:val="center"/>
            </w:pPr>
            <w:r>
              <w:t>$0 per minute</w:t>
            </w:r>
          </w:p>
        </w:tc>
      </w:tr>
      <w:tr w:rsidR="000D07EA" w14:paraId="027066E2" w14:textId="77777777">
        <w:tc>
          <w:tcPr>
            <w:tcW w:w="4410" w:type="dxa"/>
            <w:shd w:val="clear" w:color="auto" w:fill="auto"/>
          </w:tcPr>
          <w:p w14:paraId="5B1F7FE4" w14:textId="77777777" w:rsidR="000D07EA" w:rsidRDefault="00BE7C89">
            <w:pPr>
              <w:pStyle w:val="BodyText"/>
              <w:spacing w:before="100" w:after="100"/>
              <w:rPr>
                <w:b/>
                <w:bCs/>
              </w:rPr>
            </w:pPr>
            <w:r>
              <w:rPr>
                <w:b/>
                <w:bCs/>
              </w:rPr>
              <w:t xml:space="preserve">Directory Assistance 1223 </w:t>
            </w:r>
          </w:p>
        </w:tc>
        <w:tc>
          <w:tcPr>
            <w:tcW w:w="4410" w:type="dxa"/>
            <w:shd w:val="clear" w:color="auto" w:fill="auto"/>
            <w:vAlign w:val="center"/>
          </w:tcPr>
          <w:p w14:paraId="627A21D2" w14:textId="77777777" w:rsidR="000D07EA" w:rsidRDefault="00BE7C89">
            <w:pPr>
              <w:pStyle w:val="BodyText"/>
              <w:spacing w:before="100" w:after="100"/>
              <w:jc w:val="center"/>
            </w:pPr>
            <w:r>
              <w:t>50c per call</w:t>
            </w:r>
          </w:p>
        </w:tc>
      </w:tr>
      <w:tr w:rsidR="000D07EA" w14:paraId="79E2F685" w14:textId="77777777">
        <w:trPr>
          <w:trHeight w:val="54"/>
        </w:trPr>
        <w:tc>
          <w:tcPr>
            <w:tcW w:w="4410" w:type="dxa"/>
            <w:shd w:val="clear" w:color="auto" w:fill="auto"/>
          </w:tcPr>
          <w:p w14:paraId="2D27ADAA" w14:textId="77777777" w:rsidR="000D07EA" w:rsidRDefault="00BE7C89">
            <w:pPr>
              <w:pStyle w:val="BodyText"/>
              <w:spacing w:before="100" w:after="100"/>
              <w:rPr>
                <w:b/>
                <w:bCs/>
              </w:rPr>
            </w:pPr>
            <w:r>
              <w:rPr>
                <w:b/>
                <w:bCs/>
              </w:rPr>
              <w:t>124 Yes</w:t>
            </w:r>
          </w:p>
        </w:tc>
        <w:tc>
          <w:tcPr>
            <w:tcW w:w="4410" w:type="dxa"/>
            <w:shd w:val="clear" w:color="auto" w:fill="auto"/>
            <w:vAlign w:val="center"/>
          </w:tcPr>
          <w:p w14:paraId="663E2A20" w14:textId="77777777" w:rsidR="000D07EA" w:rsidRDefault="00BE7C89">
            <w:pPr>
              <w:pStyle w:val="BodyText"/>
              <w:spacing w:before="100" w:after="100"/>
              <w:jc w:val="center"/>
            </w:pPr>
            <w:r>
              <w:t>90c per minute +$1.75c flagfall</w:t>
            </w:r>
          </w:p>
        </w:tc>
      </w:tr>
      <w:tr w:rsidR="000D07EA" w14:paraId="6E73918C" w14:textId="77777777">
        <w:tc>
          <w:tcPr>
            <w:tcW w:w="4410" w:type="dxa"/>
            <w:shd w:val="clear" w:color="auto" w:fill="auto"/>
          </w:tcPr>
          <w:p w14:paraId="131857E9" w14:textId="77777777" w:rsidR="000D07EA" w:rsidRDefault="00BE7C89">
            <w:pPr>
              <w:pStyle w:val="BodyText"/>
              <w:spacing w:before="100" w:after="100"/>
              <w:rPr>
                <w:b/>
                <w:bCs/>
              </w:rPr>
            </w:pPr>
            <w:r>
              <w:rPr>
                <w:b/>
                <w:bCs/>
              </w:rPr>
              <w:t xml:space="preserve">International voice calls (outside the plan's included international minutes and to excluded countries) </w:t>
            </w:r>
          </w:p>
        </w:tc>
        <w:tc>
          <w:tcPr>
            <w:tcW w:w="4410" w:type="dxa"/>
            <w:shd w:val="clear" w:color="auto" w:fill="auto"/>
            <w:vAlign w:val="center"/>
          </w:tcPr>
          <w:p w14:paraId="27F14868" w14:textId="77777777" w:rsidR="000D07EA" w:rsidRDefault="00BE7C89">
            <w:pPr>
              <w:pStyle w:val="BodyText"/>
              <w:spacing w:before="100" w:after="100"/>
              <w:jc w:val="center"/>
            </w:pPr>
            <w:r>
              <w:t>'yes' international rates</w:t>
            </w:r>
            <w:r>
              <w:br/>
              <w:t>See optus.com.au/international</w:t>
            </w:r>
          </w:p>
        </w:tc>
      </w:tr>
      <w:tr w:rsidR="000D07EA" w14:paraId="2DCDE927" w14:textId="77777777">
        <w:tc>
          <w:tcPr>
            <w:tcW w:w="4410" w:type="dxa"/>
            <w:shd w:val="clear" w:color="auto" w:fill="auto"/>
          </w:tcPr>
          <w:p w14:paraId="62A3AAE8" w14:textId="77777777" w:rsidR="000D07EA" w:rsidRDefault="00BE7C89">
            <w:pPr>
              <w:pStyle w:val="BodyText"/>
              <w:spacing w:before="100" w:after="100"/>
              <w:rPr>
                <w:b/>
                <w:bCs/>
              </w:rPr>
            </w:pPr>
            <w:r>
              <w:rPr>
                <w:b/>
                <w:bCs/>
              </w:rPr>
              <w:t xml:space="preserve">International SMS (to excluded countries) </w:t>
            </w:r>
          </w:p>
        </w:tc>
        <w:tc>
          <w:tcPr>
            <w:tcW w:w="4410" w:type="dxa"/>
            <w:shd w:val="clear" w:color="auto" w:fill="auto"/>
            <w:vAlign w:val="center"/>
          </w:tcPr>
          <w:p w14:paraId="3BE07AA5" w14:textId="77777777" w:rsidR="000D07EA" w:rsidRDefault="00BE7C89">
            <w:pPr>
              <w:pStyle w:val="BodyText"/>
              <w:spacing w:before="100" w:after="100"/>
              <w:jc w:val="center"/>
            </w:pPr>
            <w:r>
              <w:t>50c per SMS up to 160 standard characters</w:t>
            </w:r>
          </w:p>
        </w:tc>
      </w:tr>
      <w:tr w:rsidR="000D07EA" w14:paraId="6EF911A1" w14:textId="77777777">
        <w:tc>
          <w:tcPr>
            <w:tcW w:w="4410" w:type="dxa"/>
            <w:shd w:val="clear" w:color="auto" w:fill="auto"/>
          </w:tcPr>
          <w:p w14:paraId="4F765582" w14:textId="77777777" w:rsidR="000D07EA" w:rsidRDefault="00BE7C89">
            <w:pPr>
              <w:pStyle w:val="BodyText"/>
              <w:spacing w:before="100" w:after="100"/>
              <w:rPr>
                <w:b/>
                <w:bCs/>
              </w:rPr>
            </w:pPr>
            <w:r>
              <w:rPr>
                <w:b/>
                <w:bCs/>
              </w:rPr>
              <w:t>International MMS (to excluded countries)</w:t>
            </w:r>
          </w:p>
        </w:tc>
        <w:tc>
          <w:tcPr>
            <w:tcW w:w="4410" w:type="dxa"/>
            <w:shd w:val="clear" w:color="auto" w:fill="auto"/>
            <w:vAlign w:val="center"/>
          </w:tcPr>
          <w:p w14:paraId="09BB3BFD" w14:textId="77777777" w:rsidR="000D07EA" w:rsidRDefault="00BE7C89">
            <w:pPr>
              <w:pStyle w:val="BodyText"/>
              <w:spacing w:before="100" w:after="100"/>
              <w:jc w:val="center"/>
            </w:pPr>
            <w:r>
              <w:t>75c per MMS</w:t>
            </w:r>
          </w:p>
        </w:tc>
      </w:tr>
      <w:tr w:rsidR="000D07EA" w14:paraId="532EBFBA" w14:textId="77777777">
        <w:tc>
          <w:tcPr>
            <w:tcW w:w="4410" w:type="dxa"/>
            <w:shd w:val="clear" w:color="auto" w:fill="auto"/>
          </w:tcPr>
          <w:p w14:paraId="64263A95" w14:textId="77777777" w:rsidR="000D07EA" w:rsidRDefault="00BE7C89">
            <w:pPr>
              <w:pStyle w:val="BodyText"/>
              <w:spacing w:before="100" w:after="100"/>
              <w:rPr>
                <w:b/>
                <w:bCs/>
              </w:rPr>
            </w:pPr>
            <w:r>
              <w:rPr>
                <w:b/>
                <w:bCs/>
              </w:rPr>
              <w:t xml:space="preserve">International video calling </w:t>
            </w:r>
          </w:p>
        </w:tc>
        <w:tc>
          <w:tcPr>
            <w:tcW w:w="4410" w:type="dxa"/>
            <w:shd w:val="clear" w:color="auto" w:fill="auto"/>
            <w:vAlign w:val="center"/>
          </w:tcPr>
          <w:p w14:paraId="29A251F4" w14:textId="77777777" w:rsidR="000D07EA" w:rsidRDefault="00BE7C89">
            <w:pPr>
              <w:pStyle w:val="BodyText"/>
              <w:spacing w:before="100" w:after="100"/>
              <w:jc w:val="center"/>
            </w:pPr>
            <w:r>
              <w:t>$1.50 per minute +35c flagfall</w:t>
            </w:r>
          </w:p>
        </w:tc>
      </w:tr>
      <w:tr w:rsidR="000D07EA" w14:paraId="575138B9" w14:textId="77777777">
        <w:tc>
          <w:tcPr>
            <w:tcW w:w="4410" w:type="dxa"/>
            <w:shd w:val="clear" w:color="auto" w:fill="auto"/>
          </w:tcPr>
          <w:p w14:paraId="437E245A" w14:textId="77777777" w:rsidR="000D07EA" w:rsidRDefault="00BE7C89">
            <w:pPr>
              <w:pStyle w:val="BodyText"/>
              <w:spacing w:before="100" w:after="100"/>
              <w:rPr>
                <w:b/>
                <w:bCs/>
              </w:rPr>
            </w:pPr>
            <w:r>
              <w:rPr>
                <w:b/>
                <w:bCs/>
              </w:rPr>
              <w:t xml:space="preserve">International roaming </w:t>
            </w:r>
          </w:p>
        </w:tc>
        <w:tc>
          <w:tcPr>
            <w:tcW w:w="4410" w:type="dxa"/>
            <w:shd w:val="clear" w:color="auto" w:fill="auto"/>
            <w:vAlign w:val="center"/>
          </w:tcPr>
          <w:p w14:paraId="59456C1B" w14:textId="77777777" w:rsidR="000D07EA" w:rsidRDefault="00BE7C89">
            <w:pPr>
              <w:pStyle w:val="BodyText"/>
              <w:spacing w:before="100" w:after="100"/>
              <w:jc w:val="center"/>
            </w:pPr>
            <w:r>
              <w:t>See optus.com.au/roaming</w:t>
            </w:r>
          </w:p>
        </w:tc>
      </w:tr>
    </w:tbl>
    <w:p w14:paraId="61FA0724" w14:textId="77777777" w:rsidR="000D07EA" w:rsidRDefault="000D07EA">
      <w:pPr>
        <w:pStyle w:val="BodyText"/>
      </w:pPr>
    </w:p>
    <w:p w14:paraId="4FF0EC89" w14:textId="77777777" w:rsidR="000D07EA" w:rsidRDefault="00BE7C89">
      <w:pPr>
        <w:pStyle w:val="BodyText"/>
        <w:ind w:left="720"/>
        <w:rPr>
          <w:b/>
        </w:rPr>
      </w:pPr>
      <w:r>
        <w:rPr>
          <w:b/>
        </w:rPr>
        <w:t>Table 3 – International Countries</w:t>
      </w:r>
    </w:p>
    <w:tbl>
      <w:tblPr>
        <w:tblW w:w="882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5"/>
        <w:gridCol w:w="2205"/>
        <w:gridCol w:w="2205"/>
        <w:gridCol w:w="2205"/>
      </w:tblGrid>
      <w:tr w:rsidR="000D07EA" w14:paraId="44D63657" w14:textId="77777777">
        <w:tc>
          <w:tcPr>
            <w:tcW w:w="2205" w:type="dxa"/>
            <w:shd w:val="clear" w:color="auto" w:fill="auto"/>
          </w:tcPr>
          <w:p w14:paraId="68AF124B" w14:textId="77777777" w:rsidR="000D07EA" w:rsidRDefault="00BE7C89">
            <w:pPr>
              <w:pStyle w:val="BodyText"/>
              <w:spacing w:before="100" w:after="100"/>
              <w:rPr>
                <w:b/>
              </w:rPr>
            </w:pPr>
            <w:r>
              <w:t>Austria</w:t>
            </w:r>
          </w:p>
        </w:tc>
        <w:tc>
          <w:tcPr>
            <w:tcW w:w="2205" w:type="dxa"/>
            <w:shd w:val="clear" w:color="auto" w:fill="auto"/>
          </w:tcPr>
          <w:p w14:paraId="1F5DAEE0" w14:textId="77777777" w:rsidR="000D07EA" w:rsidRDefault="00BE7C89">
            <w:pPr>
              <w:pStyle w:val="BodyText"/>
              <w:spacing w:before="100" w:after="100"/>
              <w:rPr>
                <w:b/>
              </w:rPr>
            </w:pPr>
            <w:r>
              <w:t>Bangladesh</w:t>
            </w:r>
          </w:p>
        </w:tc>
        <w:tc>
          <w:tcPr>
            <w:tcW w:w="2205" w:type="dxa"/>
            <w:shd w:val="clear" w:color="auto" w:fill="auto"/>
          </w:tcPr>
          <w:p w14:paraId="680A82DE" w14:textId="77777777" w:rsidR="000D07EA" w:rsidRDefault="00BE7C89">
            <w:pPr>
              <w:pStyle w:val="BodyText"/>
              <w:spacing w:before="100" w:after="100"/>
              <w:rPr>
                <w:b/>
              </w:rPr>
            </w:pPr>
            <w:r>
              <w:t>Cambodia</w:t>
            </w:r>
          </w:p>
        </w:tc>
        <w:tc>
          <w:tcPr>
            <w:tcW w:w="2205" w:type="dxa"/>
            <w:shd w:val="clear" w:color="auto" w:fill="auto"/>
          </w:tcPr>
          <w:p w14:paraId="764B6107" w14:textId="77777777" w:rsidR="000D07EA" w:rsidRDefault="00BE7C89">
            <w:pPr>
              <w:pStyle w:val="BodyText"/>
              <w:spacing w:before="100" w:after="100"/>
              <w:rPr>
                <w:b/>
              </w:rPr>
            </w:pPr>
            <w:r>
              <w:t>Canada</w:t>
            </w:r>
          </w:p>
        </w:tc>
      </w:tr>
      <w:tr w:rsidR="000D07EA" w14:paraId="5542CE0F" w14:textId="77777777">
        <w:tc>
          <w:tcPr>
            <w:tcW w:w="2205" w:type="dxa"/>
            <w:shd w:val="clear" w:color="auto" w:fill="auto"/>
          </w:tcPr>
          <w:p w14:paraId="68EF778D" w14:textId="77777777" w:rsidR="000D07EA" w:rsidRDefault="00BE7C89">
            <w:pPr>
              <w:pStyle w:val="BodyText"/>
              <w:spacing w:before="100" w:after="100"/>
              <w:rPr>
                <w:b/>
              </w:rPr>
            </w:pPr>
            <w:r>
              <w:t xml:space="preserve">Chile </w:t>
            </w:r>
          </w:p>
        </w:tc>
        <w:tc>
          <w:tcPr>
            <w:tcW w:w="2205" w:type="dxa"/>
            <w:shd w:val="clear" w:color="auto" w:fill="auto"/>
          </w:tcPr>
          <w:p w14:paraId="45CA5528" w14:textId="77777777" w:rsidR="000D07EA" w:rsidRDefault="00BE7C89">
            <w:pPr>
              <w:pStyle w:val="BodyText"/>
              <w:spacing w:before="100" w:after="100"/>
              <w:rPr>
                <w:b/>
              </w:rPr>
            </w:pPr>
            <w:r>
              <w:t xml:space="preserve">China </w:t>
            </w:r>
          </w:p>
        </w:tc>
        <w:tc>
          <w:tcPr>
            <w:tcW w:w="2205" w:type="dxa"/>
            <w:shd w:val="clear" w:color="auto" w:fill="auto"/>
          </w:tcPr>
          <w:p w14:paraId="7E31BFD0" w14:textId="77777777" w:rsidR="000D07EA" w:rsidRDefault="00BE7C89">
            <w:pPr>
              <w:pStyle w:val="BodyText"/>
              <w:spacing w:before="100" w:after="100"/>
              <w:rPr>
                <w:b/>
              </w:rPr>
            </w:pPr>
            <w:r>
              <w:t xml:space="preserve">Croatia </w:t>
            </w:r>
          </w:p>
        </w:tc>
        <w:tc>
          <w:tcPr>
            <w:tcW w:w="2205" w:type="dxa"/>
            <w:shd w:val="clear" w:color="auto" w:fill="auto"/>
          </w:tcPr>
          <w:p w14:paraId="5598780F" w14:textId="77777777" w:rsidR="000D07EA" w:rsidRDefault="00BE7C89">
            <w:pPr>
              <w:pStyle w:val="BodyText"/>
              <w:spacing w:before="100" w:after="100"/>
              <w:rPr>
                <w:b/>
              </w:rPr>
            </w:pPr>
            <w:r>
              <w:t>France</w:t>
            </w:r>
          </w:p>
        </w:tc>
      </w:tr>
      <w:tr w:rsidR="000D07EA" w14:paraId="1843347B" w14:textId="77777777">
        <w:tc>
          <w:tcPr>
            <w:tcW w:w="2205" w:type="dxa"/>
            <w:shd w:val="clear" w:color="auto" w:fill="auto"/>
          </w:tcPr>
          <w:p w14:paraId="7EE803E4" w14:textId="77777777" w:rsidR="000D07EA" w:rsidRDefault="00BE7C89">
            <w:pPr>
              <w:pStyle w:val="BodyText"/>
              <w:spacing w:before="100" w:after="100"/>
              <w:rPr>
                <w:b/>
              </w:rPr>
            </w:pPr>
            <w:r>
              <w:t>Germany</w:t>
            </w:r>
          </w:p>
        </w:tc>
        <w:tc>
          <w:tcPr>
            <w:tcW w:w="2205" w:type="dxa"/>
            <w:shd w:val="clear" w:color="auto" w:fill="auto"/>
          </w:tcPr>
          <w:p w14:paraId="25EA37FE" w14:textId="77777777" w:rsidR="000D07EA" w:rsidRDefault="00BE7C89">
            <w:pPr>
              <w:pStyle w:val="BodyText"/>
              <w:spacing w:before="100" w:after="100"/>
              <w:rPr>
                <w:b/>
              </w:rPr>
            </w:pPr>
            <w:r>
              <w:t>Greece</w:t>
            </w:r>
          </w:p>
        </w:tc>
        <w:tc>
          <w:tcPr>
            <w:tcW w:w="2205" w:type="dxa"/>
            <w:shd w:val="clear" w:color="auto" w:fill="auto"/>
          </w:tcPr>
          <w:p w14:paraId="2572CFFC" w14:textId="77777777" w:rsidR="000D07EA" w:rsidRDefault="00BE7C89">
            <w:pPr>
              <w:pStyle w:val="BodyText"/>
              <w:spacing w:before="100" w:after="100"/>
              <w:rPr>
                <w:b/>
              </w:rPr>
            </w:pPr>
            <w:r>
              <w:t>Hong Kong</w:t>
            </w:r>
          </w:p>
        </w:tc>
        <w:tc>
          <w:tcPr>
            <w:tcW w:w="2205" w:type="dxa"/>
            <w:shd w:val="clear" w:color="auto" w:fill="auto"/>
          </w:tcPr>
          <w:p w14:paraId="40A1BFAD" w14:textId="77777777" w:rsidR="000D07EA" w:rsidRDefault="00BE7C89">
            <w:pPr>
              <w:pStyle w:val="BodyText"/>
              <w:spacing w:before="100" w:after="100"/>
              <w:rPr>
                <w:b/>
              </w:rPr>
            </w:pPr>
            <w:r>
              <w:t>Hungary</w:t>
            </w:r>
          </w:p>
        </w:tc>
      </w:tr>
      <w:tr w:rsidR="000D07EA" w14:paraId="654C6F78" w14:textId="77777777">
        <w:tc>
          <w:tcPr>
            <w:tcW w:w="2205" w:type="dxa"/>
            <w:shd w:val="clear" w:color="auto" w:fill="auto"/>
          </w:tcPr>
          <w:p w14:paraId="654103FC" w14:textId="77777777" w:rsidR="000D07EA" w:rsidRDefault="00BE7C89">
            <w:pPr>
              <w:pStyle w:val="BodyText"/>
              <w:spacing w:before="100" w:after="100"/>
              <w:rPr>
                <w:b/>
              </w:rPr>
            </w:pPr>
            <w:r>
              <w:t>Indonesia</w:t>
            </w:r>
          </w:p>
        </w:tc>
        <w:tc>
          <w:tcPr>
            <w:tcW w:w="2205" w:type="dxa"/>
            <w:shd w:val="clear" w:color="auto" w:fill="auto"/>
          </w:tcPr>
          <w:p w14:paraId="0A42C852" w14:textId="77777777" w:rsidR="000D07EA" w:rsidRDefault="00BE7C89">
            <w:pPr>
              <w:pStyle w:val="BodyText"/>
              <w:spacing w:before="100" w:after="100"/>
              <w:rPr>
                <w:b/>
              </w:rPr>
            </w:pPr>
            <w:r>
              <w:t>India</w:t>
            </w:r>
          </w:p>
        </w:tc>
        <w:tc>
          <w:tcPr>
            <w:tcW w:w="2205" w:type="dxa"/>
            <w:shd w:val="clear" w:color="auto" w:fill="auto"/>
          </w:tcPr>
          <w:p w14:paraId="3F0BA93D" w14:textId="77777777" w:rsidR="000D07EA" w:rsidRDefault="00BE7C89">
            <w:pPr>
              <w:pStyle w:val="BodyText"/>
              <w:spacing w:before="100" w:after="100"/>
              <w:rPr>
                <w:b/>
              </w:rPr>
            </w:pPr>
            <w:r>
              <w:t>Ireland</w:t>
            </w:r>
          </w:p>
        </w:tc>
        <w:tc>
          <w:tcPr>
            <w:tcW w:w="2205" w:type="dxa"/>
            <w:shd w:val="clear" w:color="auto" w:fill="auto"/>
          </w:tcPr>
          <w:p w14:paraId="3D684C85" w14:textId="77777777" w:rsidR="000D07EA" w:rsidRDefault="00BE7C89">
            <w:pPr>
              <w:pStyle w:val="BodyText"/>
              <w:spacing w:before="100" w:after="100"/>
              <w:rPr>
                <w:b/>
              </w:rPr>
            </w:pPr>
            <w:r>
              <w:t>Italy</w:t>
            </w:r>
          </w:p>
        </w:tc>
      </w:tr>
      <w:tr w:rsidR="000D07EA" w14:paraId="2E2384E9" w14:textId="77777777">
        <w:tc>
          <w:tcPr>
            <w:tcW w:w="2205" w:type="dxa"/>
            <w:shd w:val="clear" w:color="auto" w:fill="auto"/>
          </w:tcPr>
          <w:p w14:paraId="405D30AD" w14:textId="77777777" w:rsidR="000D07EA" w:rsidRDefault="00BE7C89">
            <w:pPr>
              <w:pStyle w:val="BodyText"/>
              <w:spacing w:before="100" w:after="100"/>
              <w:rPr>
                <w:b/>
              </w:rPr>
            </w:pPr>
            <w:r>
              <w:lastRenderedPageBreak/>
              <w:t xml:space="preserve">Japan </w:t>
            </w:r>
          </w:p>
        </w:tc>
        <w:tc>
          <w:tcPr>
            <w:tcW w:w="2205" w:type="dxa"/>
            <w:shd w:val="clear" w:color="auto" w:fill="auto"/>
          </w:tcPr>
          <w:p w14:paraId="52212DC5" w14:textId="77777777" w:rsidR="000D07EA" w:rsidRDefault="00BE7C89">
            <w:pPr>
              <w:pStyle w:val="BodyText"/>
              <w:spacing w:before="100" w:after="100"/>
              <w:rPr>
                <w:b/>
              </w:rPr>
            </w:pPr>
            <w:r>
              <w:t>Malaysia</w:t>
            </w:r>
          </w:p>
        </w:tc>
        <w:tc>
          <w:tcPr>
            <w:tcW w:w="2205" w:type="dxa"/>
            <w:shd w:val="clear" w:color="auto" w:fill="auto"/>
          </w:tcPr>
          <w:p w14:paraId="5DE5BEFF" w14:textId="77777777" w:rsidR="000D07EA" w:rsidRDefault="00BE7C89">
            <w:pPr>
              <w:pStyle w:val="BodyText"/>
              <w:spacing w:before="100" w:after="100"/>
              <w:rPr>
                <w:b/>
              </w:rPr>
            </w:pPr>
            <w:r>
              <w:t>Netherlands</w:t>
            </w:r>
          </w:p>
        </w:tc>
        <w:tc>
          <w:tcPr>
            <w:tcW w:w="2205" w:type="dxa"/>
            <w:shd w:val="clear" w:color="auto" w:fill="auto"/>
          </w:tcPr>
          <w:p w14:paraId="51DD3412" w14:textId="77777777" w:rsidR="000D07EA" w:rsidRDefault="00BE7C89">
            <w:pPr>
              <w:pStyle w:val="BodyText"/>
              <w:spacing w:before="100" w:after="100"/>
              <w:rPr>
                <w:b/>
              </w:rPr>
            </w:pPr>
            <w:r>
              <w:t>New Zealand</w:t>
            </w:r>
          </w:p>
        </w:tc>
      </w:tr>
      <w:tr w:rsidR="000D07EA" w14:paraId="1B1996EA" w14:textId="77777777">
        <w:tc>
          <w:tcPr>
            <w:tcW w:w="2205" w:type="dxa"/>
            <w:shd w:val="clear" w:color="auto" w:fill="auto"/>
          </w:tcPr>
          <w:p w14:paraId="23AEA77A" w14:textId="77777777" w:rsidR="000D07EA" w:rsidRDefault="00BE7C89">
            <w:pPr>
              <w:pStyle w:val="BodyText"/>
              <w:spacing w:before="100" w:after="100"/>
              <w:rPr>
                <w:b/>
              </w:rPr>
            </w:pPr>
            <w:r>
              <w:t xml:space="preserve">Pakistan </w:t>
            </w:r>
          </w:p>
        </w:tc>
        <w:tc>
          <w:tcPr>
            <w:tcW w:w="2205" w:type="dxa"/>
            <w:shd w:val="clear" w:color="auto" w:fill="auto"/>
          </w:tcPr>
          <w:p w14:paraId="7E5BBC12" w14:textId="77777777" w:rsidR="000D07EA" w:rsidRDefault="00BE7C89">
            <w:pPr>
              <w:pStyle w:val="BodyText"/>
              <w:spacing w:before="100" w:after="100"/>
              <w:rPr>
                <w:b/>
              </w:rPr>
            </w:pPr>
            <w:r>
              <w:t>Philippines</w:t>
            </w:r>
          </w:p>
        </w:tc>
        <w:tc>
          <w:tcPr>
            <w:tcW w:w="2205" w:type="dxa"/>
            <w:shd w:val="clear" w:color="auto" w:fill="auto"/>
          </w:tcPr>
          <w:p w14:paraId="204B0D0E" w14:textId="77777777" w:rsidR="000D07EA" w:rsidRDefault="00BE7C89">
            <w:pPr>
              <w:pStyle w:val="BodyText"/>
              <w:spacing w:before="100" w:after="100"/>
              <w:rPr>
                <w:b/>
              </w:rPr>
            </w:pPr>
            <w:r>
              <w:t xml:space="preserve">Poland </w:t>
            </w:r>
          </w:p>
        </w:tc>
        <w:tc>
          <w:tcPr>
            <w:tcW w:w="2205" w:type="dxa"/>
            <w:shd w:val="clear" w:color="auto" w:fill="auto"/>
          </w:tcPr>
          <w:p w14:paraId="7A409824" w14:textId="77777777" w:rsidR="000D07EA" w:rsidRDefault="00BE7C89">
            <w:pPr>
              <w:pStyle w:val="BodyText"/>
              <w:spacing w:before="100" w:after="100"/>
              <w:rPr>
                <w:b/>
              </w:rPr>
            </w:pPr>
            <w:r>
              <w:t>Singapore</w:t>
            </w:r>
          </w:p>
        </w:tc>
      </w:tr>
      <w:tr w:rsidR="000D07EA" w14:paraId="75D0E859" w14:textId="77777777">
        <w:tc>
          <w:tcPr>
            <w:tcW w:w="2205" w:type="dxa"/>
            <w:shd w:val="clear" w:color="auto" w:fill="auto"/>
          </w:tcPr>
          <w:p w14:paraId="3FBF4FF9" w14:textId="77777777" w:rsidR="000D07EA" w:rsidRDefault="00BE7C89">
            <w:pPr>
              <w:pStyle w:val="BodyText"/>
              <w:spacing w:before="100" w:after="100"/>
              <w:rPr>
                <w:b/>
              </w:rPr>
            </w:pPr>
            <w:r>
              <w:t xml:space="preserve">South Africa </w:t>
            </w:r>
          </w:p>
        </w:tc>
        <w:tc>
          <w:tcPr>
            <w:tcW w:w="2205" w:type="dxa"/>
            <w:shd w:val="clear" w:color="auto" w:fill="auto"/>
          </w:tcPr>
          <w:p w14:paraId="296BC971" w14:textId="77777777" w:rsidR="000D07EA" w:rsidRDefault="00BE7C89">
            <w:pPr>
              <w:pStyle w:val="BodyText"/>
              <w:spacing w:before="100" w:after="100"/>
              <w:rPr>
                <w:b/>
              </w:rPr>
            </w:pPr>
            <w:r>
              <w:t>South Korea</w:t>
            </w:r>
          </w:p>
        </w:tc>
        <w:tc>
          <w:tcPr>
            <w:tcW w:w="2205" w:type="dxa"/>
            <w:shd w:val="clear" w:color="auto" w:fill="auto"/>
          </w:tcPr>
          <w:p w14:paraId="271BC08E" w14:textId="77777777" w:rsidR="000D07EA" w:rsidRDefault="00BE7C89">
            <w:pPr>
              <w:pStyle w:val="BodyText"/>
              <w:spacing w:before="100" w:after="100"/>
              <w:rPr>
                <w:b/>
              </w:rPr>
            </w:pPr>
            <w:r>
              <w:t xml:space="preserve">Taiwan </w:t>
            </w:r>
          </w:p>
        </w:tc>
        <w:tc>
          <w:tcPr>
            <w:tcW w:w="2205" w:type="dxa"/>
            <w:shd w:val="clear" w:color="auto" w:fill="auto"/>
          </w:tcPr>
          <w:p w14:paraId="6EB6CC84" w14:textId="77777777" w:rsidR="000D07EA" w:rsidRDefault="00BE7C89">
            <w:pPr>
              <w:pStyle w:val="BodyText"/>
              <w:spacing w:before="100" w:after="100"/>
              <w:rPr>
                <w:b/>
              </w:rPr>
            </w:pPr>
            <w:r>
              <w:t>Thailand</w:t>
            </w:r>
          </w:p>
        </w:tc>
      </w:tr>
      <w:tr w:rsidR="000D07EA" w14:paraId="72C8585E" w14:textId="77777777">
        <w:tc>
          <w:tcPr>
            <w:tcW w:w="2205" w:type="dxa"/>
            <w:shd w:val="clear" w:color="auto" w:fill="auto"/>
          </w:tcPr>
          <w:p w14:paraId="6A6E9D09" w14:textId="77777777" w:rsidR="000D07EA" w:rsidRDefault="00BE7C89">
            <w:pPr>
              <w:pStyle w:val="BodyText"/>
              <w:spacing w:before="100" w:after="100"/>
              <w:rPr>
                <w:b/>
              </w:rPr>
            </w:pPr>
            <w:r>
              <w:t>Turkey</w:t>
            </w:r>
          </w:p>
        </w:tc>
        <w:tc>
          <w:tcPr>
            <w:tcW w:w="2205" w:type="dxa"/>
            <w:shd w:val="clear" w:color="auto" w:fill="auto"/>
          </w:tcPr>
          <w:p w14:paraId="308B421B" w14:textId="77777777" w:rsidR="000D07EA" w:rsidRDefault="00BE7C89">
            <w:pPr>
              <w:pStyle w:val="BodyText"/>
              <w:spacing w:before="100" w:after="100"/>
              <w:rPr>
                <w:b/>
              </w:rPr>
            </w:pPr>
            <w:r>
              <w:t>United Kingdom</w:t>
            </w:r>
          </w:p>
        </w:tc>
        <w:tc>
          <w:tcPr>
            <w:tcW w:w="2205" w:type="dxa"/>
            <w:shd w:val="clear" w:color="auto" w:fill="auto"/>
          </w:tcPr>
          <w:p w14:paraId="6973C57F" w14:textId="77777777" w:rsidR="000D07EA" w:rsidRDefault="00BE7C89">
            <w:pPr>
              <w:pStyle w:val="BodyText"/>
              <w:spacing w:before="100" w:after="100"/>
              <w:rPr>
                <w:b/>
              </w:rPr>
            </w:pPr>
            <w:r>
              <w:t xml:space="preserve">USA </w:t>
            </w:r>
          </w:p>
        </w:tc>
        <w:tc>
          <w:tcPr>
            <w:tcW w:w="2205" w:type="dxa"/>
            <w:shd w:val="clear" w:color="auto" w:fill="auto"/>
          </w:tcPr>
          <w:p w14:paraId="196C821D" w14:textId="77777777" w:rsidR="000D07EA" w:rsidRDefault="00BE7C89">
            <w:pPr>
              <w:pStyle w:val="BodyText"/>
              <w:spacing w:before="100" w:after="100"/>
              <w:rPr>
                <w:b/>
              </w:rPr>
            </w:pPr>
            <w:r>
              <w:t>Vietnam</w:t>
            </w:r>
          </w:p>
        </w:tc>
      </w:tr>
    </w:tbl>
    <w:p w14:paraId="0AF2F315" w14:textId="77777777" w:rsidR="000D07EA" w:rsidRDefault="000D07EA">
      <w:pPr>
        <w:pStyle w:val="BodyText"/>
      </w:pPr>
    </w:p>
    <w:p w14:paraId="25641385" w14:textId="77777777" w:rsidR="000D07EA" w:rsidRDefault="00BE7C89">
      <w:pPr>
        <w:pStyle w:val="Heading6"/>
        <w:ind w:left="0" w:firstLine="0"/>
      </w:pPr>
      <w:bookmarkStart w:id="1254" w:name="_Toc445988620"/>
      <w:r>
        <w:t>My Account</w:t>
      </w:r>
      <w:bookmarkEnd w:id="1254"/>
    </w:p>
    <w:p w14:paraId="0B4D9336" w14:textId="77777777" w:rsidR="000D07EA" w:rsidRDefault="00BE7C89">
      <w:pPr>
        <w:pStyle w:val="BodyText"/>
        <w:ind w:left="72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service has used. If </w:t>
      </w:r>
      <w:r>
        <w:rPr>
          <w:i/>
        </w:rPr>
        <w:t>you</w:t>
      </w:r>
      <w:r>
        <w:t xml:space="preserve"> have more than 6 services on </w:t>
      </w:r>
      <w:r>
        <w:rPr>
          <w:i/>
        </w:rPr>
        <w:t xml:space="preserve">your </w:t>
      </w:r>
      <w:r>
        <w:t xml:space="preserve">account, My Account may not be suitable for viewing usage and managing </w:t>
      </w:r>
      <w:r>
        <w:rPr>
          <w:i/>
        </w:rPr>
        <w:t xml:space="preserve">your </w:t>
      </w:r>
      <w:r>
        <w:t>usage alerts.</w:t>
      </w:r>
    </w:p>
    <w:p w14:paraId="3A153371" w14:textId="77777777" w:rsidR="000D07EA" w:rsidRDefault="00BE7C89">
      <w:pPr>
        <w:pStyle w:val="Heading6"/>
        <w:ind w:left="0" w:firstLine="0"/>
      </w:pPr>
      <w:bookmarkStart w:id="1255" w:name="_Toc445988621"/>
      <w:r>
        <w:t xml:space="preserve">What happens if the </w:t>
      </w:r>
      <w:r>
        <w:rPr>
          <w:i/>
        </w:rPr>
        <w:t xml:space="preserve">service </w:t>
      </w:r>
      <w:r>
        <w:t>is</w:t>
      </w:r>
      <w:r>
        <w:rPr>
          <w:i/>
        </w:rPr>
        <w:t xml:space="preserve"> cancelled</w:t>
      </w:r>
      <w:r>
        <w:t>?</w:t>
      </w:r>
      <w:bookmarkEnd w:id="1255"/>
    </w:p>
    <w:p w14:paraId="5A635210" w14:textId="77777777" w:rsidR="000D07EA" w:rsidRDefault="00BE7C89">
      <w:pPr>
        <w:pStyle w:val="Heading7"/>
      </w:pPr>
      <w:r>
        <w:t xml:space="preserve">If </w:t>
      </w:r>
      <w:r>
        <w:rPr>
          <w:i/>
        </w:rPr>
        <w:t>your</w:t>
      </w:r>
      <w:r>
        <w:t xml:space="preserve"> My Plan Business SIM plan is </w:t>
      </w:r>
      <w:r>
        <w:rPr>
          <w:i/>
        </w:rPr>
        <w:t>cancelled</w:t>
      </w:r>
      <w:r>
        <w:t xml:space="preserve">, </w:t>
      </w:r>
      <w:r>
        <w:rPr>
          <w:i/>
        </w:rPr>
        <w:t>your</w:t>
      </w:r>
      <w:r>
        <w:t xml:space="preserve"> Shared Data Plan(s) may also be </w:t>
      </w:r>
      <w:r>
        <w:rPr>
          <w:i/>
        </w:rPr>
        <w:t>cancelled</w:t>
      </w:r>
      <w:r>
        <w:t xml:space="preserve">. There are no </w:t>
      </w:r>
      <w:r>
        <w:rPr>
          <w:i/>
        </w:rPr>
        <w:t>cancellation fees</w:t>
      </w:r>
      <w:r>
        <w:t xml:space="preserve"> for the Shared Data Plan, however if </w:t>
      </w:r>
      <w:r>
        <w:rPr>
          <w:i/>
        </w:rPr>
        <w:t>you</w:t>
      </w:r>
      <w:r>
        <w:t xml:space="preserve"> purchased a </w:t>
      </w:r>
      <w:r>
        <w:rPr>
          <w:i/>
        </w:rPr>
        <w:t>device</w:t>
      </w:r>
      <w:r>
        <w:t xml:space="preserve"> </w:t>
      </w:r>
      <w:r>
        <w:rPr>
          <w:i/>
        </w:rPr>
        <w:t>you</w:t>
      </w:r>
      <w:r>
        <w:t xml:space="preserve"> need to pay the sum of any remaining </w:t>
      </w:r>
      <w:r>
        <w:rPr>
          <w:i/>
        </w:rPr>
        <w:t xml:space="preserve">equipment charges </w:t>
      </w:r>
      <w:r>
        <w:t xml:space="preserve">owing on </w:t>
      </w:r>
      <w:r>
        <w:rPr>
          <w:i/>
        </w:rPr>
        <w:t xml:space="preserve">your device </w:t>
      </w:r>
      <w:r>
        <w:t xml:space="preserve">under the </w:t>
      </w:r>
      <w:r>
        <w:rPr>
          <w:i/>
        </w:rPr>
        <w:t xml:space="preserve">mobile equipment payment plan </w:t>
      </w:r>
      <w:r>
        <w:t>(see Appendix D).</w:t>
      </w:r>
    </w:p>
    <w:p w14:paraId="2F500BC0" w14:textId="77777777" w:rsidR="000D07EA" w:rsidRDefault="00BE7C89">
      <w:pPr>
        <w:pStyle w:val="Heading7"/>
      </w:pPr>
      <w:r>
        <w:t xml:space="preserve">If </w:t>
      </w:r>
      <w:r>
        <w:rPr>
          <w:i/>
        </w:rPr>
        <w:t xml:space="preserve">your </w:t>
      </w:r>
      <w:r>
        <w:t xml:space="preserve">Shared Data Plan is not </w:t>
      </w:r>
      <w:r>
        <w:rPr>
          <w:i/>
        </w:rPr>
        <w:t>cancelled</w:t>
      </w:r>
      <w:r>
        <w:t xml:space="preserve">, </w:t>
      </w:r>
      <w:r>
        <w:rPr>
          <w:i/>
        </w:rPr>
        <w:t>you</w:t>
      </w:r>
      <w:r>
        <w:t xml:space="preserve"> will be charged $10 per 1GB within Australia, up to a maximum of 60GB (per account) in a billing month.</w:t>
      </w:r>
    </w:p>
    <w:p w14:paraId="2CDF99B8" w14:textId="77777777" w:rsidR="000D07EA" w:rsidRDefault="00BE7C89">
      <w:pPr>
        <w:pStyle w:val="Heading4"/>
        <w:ind w:left="720" w:hanging="720"/>
      </w:pPr>
      <w:bookmarkStart w:id="1256" w:name="_Toc445988596"/>
      <w:bookmarkStart w:id="1257" w:name="_Toc455147646"/>
      <w:bookmarkStart w:id="1258" w:name="_Toc62644668"/>
      <w:r>
        <w:t>My Plan Business</w:t>
      </w:r>
      <w:bookmarkEnd w:id="1256"/>
      <w:bookmarkEnd w:id="1257"/>
      <w:bookmarkEnd w:id="1258"/>
    </w:p>
    <w:p w14:paraId="191900F0" w14:textId="77777777" w:rsidR="000D07EA" w:rsidRDefault="00BE7C89">
      <w:pPr>
        <w:pStyle w:val="BodyText"/>
        <w:ind w:left="720"/>
      </w:pPr>
      <w:r>
        <w:t xml:space="preserve">This section relates to the following plans. </w:t>
      </w:r>
      <w:r>
        <w:rPr>
          <w:i/>
        </w:rPr>
        <w:t>You</w:t>
      </w:r>
      <w:r>
        <w:t xml:space="preserve"> can find </w:t>
      </w:r>
      <w:r>
        <w:rPr>
          <w:i/>
        </w:rPr>
        <w:t>your</w:t>
      </w:r>
      <w:r>
        <w:t xml:space="preserve"> Plan ID on </w:t>
      </w:r>
      <w:r>
        <w:rPr>
          <w:i/>
        </w:rPr>
        <w:t>your</w:t>
      </w:r>
      <w:r>
        <w:t xml:space="preserve"> bill under the Mobile Number Summary section:</w:t>
      </w:r>
    </w:p>
    <w:tbl>
      <w:tblPr>
        <w:tblW w:w="838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0"/>
        <w:gridCol w:w="1918"/>
        <w:gridCol w:w="3600"/>
      </w:tblGrid>
      <w:tr w:rsidR="000D07EA" w14:paraId="60868DBF" w14:textId="77777777">
        <w:tc>
          <w:tcPr>
            <w:tcW w:w="2870" w:type="dxa"/>
            <w:shd w:val="clear" w:color="auto" w:fill="auto"/>
          </w:tcPr>
          <w:p w14:paraId="6F45A989" w14:textId="77777777" w:rsidR="000D07EA" w:rsidRDefault="00BE7C89">
            <w:pPr>
              <w:pStyle w:val="BodyText"/>
              <w:spacing w:before="100" w:after="100"/>
              <w:jc w:val="center"/>
              <w:rPr>
                <w:b/>
              </w:rPr>
            </w:pPr>
            <w:r>
              <w:rPr>
                <w:b/>
              </w:rPr>
              <w:t>Plan</w:t>
            </w:r>
          </w:p>
        </w:tc>
        <w:tc>
          <w:tcPr>
            <w:tcW w:w="1918" w:type="dxa"/>
            <w:shd w:val="clear" w:color="auto" w:fill="auto"/>
          </w:tcPr>
          <w:p w14:paraId="5E85EF5E" w14:textId="77777777" w:rsidR="000D07EA" w:rsidRDefault="00BE7C89">
            <w:pPr>
              <w:pStyle w:val="BodyText"/>
              <w:spacing w:before="100" w:after="100"/>
              <w:jc w:val="center"/>
              <w:rPr>
                <w:b/>
              </w:rPr>
            </w:pPr>
            <w:r>
              <w:rPr>
                <w:b/>
              </w:rPr>
              <w:t>Plan ID</w:t>
            </w:r>
          </w:p>
        </w:tc>
        <w:tc>
          <w:tcPr>
            <w:tcW w:w="3600" w:type="dxa"/>
            <w:shd w:val="clear" w:color="auto" w:fill="auto"/>
          </w:tcPr>
          <w:p w14:paraId="533CDA11" w14:textId="77777777" w:rsidR="000D07EA" w:rsidRDefault="00BE7C89">
            <w:pPr>
              <w:pStyle w:val="BodyText"/>
              <w:spacing w:before="100" w:after="100"/>
              <w:jc w:val="center"/>
              <w:rPr>
                <w:b/>
              </w:rPr>
            </w:pPr>
            <w:r>
              <w:rPr>
                <w:b/>
              </w:rPr>
              <w:t>Available</w:t>
            </w:r>
          </w:p>
        </w:tc>
      </w:tr>
      <w:tr w:rsidR="000D07EA" w14:paraId="6BCCC47C" w14:textId="77777777">
        <w:tc>
          <w:tcPr>
            <w:tcW w:w="2870" w:type="dxa"/>
            <w:shd w:val="clear" w:color="auto" w:fill="auto"/>
          </w:tcPr>
          <w:p w14:paraId="24F8D4D8" w14:textId="77777777" w:rsidR="000D07EA" w:rsidRDefault="00BE7C89">
            <w:pPr>
              <w:pStyle w:val="BodyText"/>
              <w:spacing w:before="100" w:after="100"/>
              <w:jc w:val="center"/>
            </w:pPr>
            <w:r>
              <w:t>$40 My Plan Business</w:t>
            </w:r>
          </w:p>
        </w:tc>
        <w:tc>
          <w:tcPr>
            <w:tcW w:w="1918" w:type="dxa"/>
            <w:shd w:val="clear" w:color="auto" w:fill="auto"/>
            <w:vAlign w:val="center"/>
          </w:tcPr>
          <w:p w14:paraId="790A30FE" w14:textId="77777777" w:rsidR="000D07EA" w:rsidRDefault="00BE7C89">
            <w:pPr>
              <w:pStyle w:val="BodyText"/>
              <w:spacing w:before="100" w:after="100"/>
              <w:jc w:val="center"/>
            </w:pPr>
            <w:r>
              <w:t>800393</w:t>
            </w:r>
            <w:r w:rsidR="00E57781">
              <w:t>, 9008251</w:t>
            </w:r>
          </w:p>
        </w:tc>
        <w:tc>
          <w:tcPr>
            <w:tcW w:w="3600" w:type="dxa"/>
            <w:shd w:val="clear" w:color="auto" w:fill="auto"/>
          </w:tcPr>
          <w:p w14:paraId="170667E7" w14:textId="77777777" w:rsidR="000D07EA" w:rsidRDefault="00BE7C89">
            <w:pPr>
              <w:pStyle w:val="BodyText"/>
              <w:spacing w:before="100" w:after="100"/>
              <w:jc w:val="center"/>
            </w:pPr>
            <w:r>
              <w:t>11 March 2016 – 3 July 2016</w:t>
            </w:r>
          </w:p>
        </w:tc>
      </w:tr>
      <w:tr w:rsidR="000D07EA" w14:paraId="61CE6FC9" w14:textId="77777777">
        <w:tc>
          <w:tcPr>
            <w:tcW w:w="2870" w:type="dxa"/>
            <w:shd w:val="clear" w:color="auto" w:fill="auto"/>
          </w:tcPr>
          <w:p w14:paraId="299AB266" w14:textId="77777777" w:rsidR="000D07EA" w:rsidRDefault="00BE7C89">
            <w:pPr>
              <w:pStyle w:val="BodyText"/>
              <w:spacing w:before="100" w:after="100"/>
              <w:jc w:val="center"/>
            </w:pPr>
            <w:r>
              <w:t>$60 My Plan Business</w:t>
            </w:r>
          </w:p>
        </w:tc>
        <w:tc>
          <w:tcPr>
            <w:tcW w:w="1918" w:type="dxa"/>
            <w:shd w:val="clear" w:color="auto" w:fill="auto"/>
            <w:vAlign w:val="center"/>
          </w:tcPr>
          <w:p w14:paraId="2EBAB584" w14:textId="77777777" w:rsidR="000D07EA" w:rsidRDefault="00BE7C89">
            <w:pPr>
              <w:pStyle w:val="BodyText"/>
              <w:spacing w:before="100" w:after="100"/>
              <w:jc w:val="center"/>
            </w:pPr>
            <w:r>
              <w:t>800394</w:t>
            </w:r>
            <w:r w:rsidR="00E57781">
              <w:t>, 9008261</w:t>
            </w:r>
          </w:p>
        </w:tc>
        <w:tc>
          <w:tcPr>
            <w:tcW w:w="3600" w:type="dxa"/>
            <w:shd w:val="clear" w:color="auto" w:fill="auto"/>
            <w:vAlign w:val="center"/>
          </w:tcPr>
          <w:p w14:paraId="4BD26736" w14:textId="77777777" w:rsidR="000D07EA" w:rsidRDefault="00BE7C89">
            <w:pPr>
              <w:pStyle w:val="BodyText"/>
              <w:spacing w:before="100" w:after="100"/>
              <w:jc w:val="center"/>
            </w:pPr>
            <w:r>
              <w:t>11 March 2016 – 3 July 2016</w:t>
            </w:r>
          </w:p>
        </w:tc>
      </w:tr>
      <w:tr w:rsidR="000D07EA" w14:paraId="7039EA6A" w14:textId="77777777">
        <w:tc>
          <w:tcPr>
            <w:tcW w:w="2870" w:type="dxa"/>
            <w:shd w:val="clear" w:color="auto" w:fill="auto"/>
          </w:tcPr>
          <w:p w14:paraId="47A364CF" w14:textId="77777777" w:rsidR="000D07EA" w:rsidRDefault="00BE7C89">
            <w:pPr>
              <w:pStyle w:val="BodyText"/>
              <w:spacing w:before="100" w:after="100"/>
              <w:jc w:val="center"/>
            </w:pPr>
            <w:r>
              <w:t>$80 My Plan Business</w:t>
            </w:r>
          </w:p>
        </w:tc>
        <w:tc>
          <w:tcPr>
            <w:tcW w:w="1918" w:type="dxa"/>
            <w:shd w:val="clear" w:color="auto" w:fill="auto"/>
            <w:vAlign w:val="center"/>
          </w:tcPr>
          <w:p w14:paraId="625F3D87" w14:textId="77777777" w:rsidR="000D07EA" w:rsidRDefault="00BE7C89">
            <w:pPr>
              <w:pStyle w:val="BodyText"/>
              <w:spacing w:before="100" w:after="100"/>
              <w:jc w:val="center"/>
            </w:pPr>
            <w:r>
              <w:t>800395</w:t>
            </w:r>
            <w:r w:rsidR="00E57781">
              <w:t>, 9008271</w:t>
            </w:r>
          </w:p>
        </w:tc>
        <w:tc>
          <w:tcPr>
            <w:tcW w:w="3600" w:type="dxa"/>
            <w:shd w:val="clear" w:color="auto" w:fill="auto"/>
            <w:vAlign w:val="center"/>
          </w:tcPr>
          <w:p w14:paraId="7AC84632" w14:textId="77777777" w:rsidR="000D07EA" w:rsidRDefault="00BE7C89">
            <w:pPr>
              <w:pStyle w:val="BodyText"/>
              <w:spacing w:before="100" w:after="100"/>
              <w:jc w:val="center"/>
            </w:pPr>
            <w:r>
              <w:t>11 March 2016 – 3 July 2016</w:t>
            </w:r>
          </w:p>
        </w:tc>
      </w:tr>
      <w:tr w:rsidR="000D07EA" w14:paraId="5DB7D3CF" w14:textId="77777777">
        <w:tc>
          <w:tcPr>
            <w:tcW w:w="2870" w:type="dxa"/>
            <w:shd w:val="clear" w:color="auto" w:fill="auto"/>
          </w:tcPr>
          <w:p w14:paraId="78E2E741" w14:textId="77777777" w:rsidR="000D07EA" w:rsidRDefault="00BE7C89">
            <w:pPr>
              <w:pStyle w:val="BodyText"/>
              <w:spacing w:before="100" w:after="100"/>
              <w:jc w:val="center"/>
            </w:pPr>
            <w:r>
              <w:t>$100 My Plan Business</w:t>
            </w:r>
          </w:p>
        </w:tc>
        <w:tc>
          <w:tcPr>
            <w:tcW w:w="1918" w:type="dxa"/>
            <w:shd w:val="clear" w:color="auto" w:fill="auto"/>
          </w:tcPr>
          <w:p w14:paraId="33CEA778" w14:textId="77777777" w:rsidR="000D07EA" w:rsidRDefault="00BE7C89">
            <w:pPr>
              <w:pStyle w:val="BodyText"/>
              <w:spacing w:before="100" w:after="100"/>
              <w:jc w:val="center"/>
            </w:pPr>
            <w:r>
              <w:t>800397</w:t>
            </w:r>
            <w:r w:rsidR="00E57781">
              <w:t>, 9008291</w:t>
            </w:r>
          </w:p>
        </w:tc>
        <w:tc>
          <w:tcPr>
            <w:tcW w:w="3600" w:type="dxa"/>
            <w:shd w:val="clear" w:color="auto" w:fill="auto"/>
          </w:tcPr>
          <w:p w14:paraId="19FB6E01" w14:textId="77777777" w:rsidR="000D07EA" w:rsidRDefault="00BE7C89">
            <w:pPr>
              <w:pStyle w:val="BodyText"/>
              <w:spacing w:before="100" w:after="100"/>
              <w:jc w:val="center"/>
            </w:pPr>
            <w:r>
              <w:t>11 March 2016 – 3 July 2016</w:t>
            </w:r>
          </w:p>
        </w:tc>
      </w:tr>
      <w:tr w:rsidR="000D07EA" w14:paraId="05B6D487" w14:textId="77777777">
        <w:tc>
          <w:tcPr>
            <w:tcW w:w="2870" w:type="dxa"/>
            <w:shd w:val="clear" w:color="auto" w:fill="auto"/>
          </w:tcPr>
          <w:p w14:paraId="704595EC" w14:textId="77777777" w:rsidR="000D07EA" w:rsidRDefault="00BE7C89">
            <w:pPr>
              <w:pStyle w:val="BodyText"/>
              <w:spacing w:before="100" w:after="100"/>
              <w:jc w:val="center"/>
            </w:pPr>
            <w:r>
              <w:t>$120 My Plan Business</w:t>
            </w:r>
          </w:p>
        </w:tc>
        <w:tc>
          <w:tcPr>
            <w:tcW w:w="1918" w:type="dxa"/>
            <w:shd w:val="clear" w:color="auto" w:fill="auto"/>
          </w:tcPr>
          <w:p w14:paraId="389563E3" w14:textId="77777777" w:rsidR="000D07EA" w:rsidRDefault="00BE7C89">
            <w:pPr>
              <w:pStyle w:val="BodyText"/>
              <w:spacing w:before="100" w:after="100"/>
              <w:jc w:val="center"/>
            </w:pPr>
            <w:r>
              <w:t>800398</w:t>
            </w:r>
            <w:r w:rsidR="00E57781">
              <w:t>, 9008301</w:t>
            </w:r>
          </w:p>
        </w:tc>
        <w:tc>
          <w:tcPr>
            <w:tcW w:w="3600" w:type="dxa"/>
            <w:shd w:val="clear" w:color="auto" w:fill="auto"/>
          </w:tcPr>
          <w:p w14:paraId="5625DDB2" w14:textId="77777777" w:rsidR="000D07EA" w:rsidRDefault="00BE7C89">
            <w:pPr>
              <w:pStyle w:val="BodyText"/>
              <w:spacing w:before="100" w:after="100"/>
              <w:jc w:val="center"/>
            </w:pPr>
            <w:r>
              <w:t>11 March 2016 – 3 July 2016</w:t>
            </w:r>
          </w:p>
        </w:tc>
      </w:tr>
    </w:tbl>
    <w:p w14:paraId="5203F0DF" w14:textId="77777777" w:rsidR="000D07EA" w:rsidRDefault="000D07EA">
      <w:pPr>
        <w:pStyle w:val="BodyText"/>
      </w:pPr>
    </w:p>
    <w:p w14:paraId="7C3C6CD4" w14:textId="77777777" w:rsidR="000D07EA" w:rsidRDefault="00BE7C89">
      <w:pPr>
        <w:pStyle w:val="Heading6"/>
        <w:ind w:left="0" w:firstLine="0"/>
      </w:pPr>
      <w:bookmarkStart w:id="1259" w:name="_Toc445988597"/>
      <w:r>
        <w:t>Eligibility</w:t>
      </w:r>
      <w:bookmarkEnd w:id="1259"/>
    </w:p>
    <w:p w14:paraId="35280EB5" w14:textId="77777777" w:rsidR="000D07EA" w:rsidRDefault="00BE7C89">
      <w:pPr>
        <w:pStyle w:val="BodyText"/>
        <w:ind w:left="720"/>
      </w:pPr>
      <w:r>
        <w:t xml:space="preserve">The My Plan Business plans are available to new and existing mobile customers connecting to the </w:t>
      </w:r>
      <w:r>
        <w:rPr>
          <w:i/>
        </w:rPr>
        <w:t xml:space="preserve">service </w:t>
      </w:r>
      <w:r>
        <w:t xml:space="preserve">who pass Optus' credit assessment. </w:t>
      </w:r>
    </w:p>
    <w:p w14:paraId="5CC8FBCF" w14:textId="77777777" w:rsidR="000D07EA" w:rsidRDefault="00BE7C89">
      <w:pPr>
        <w:pStyle w:val="BodyText"/>
        <w:ind w:left="720"/>
      </w:pPr>
      <w:r>
        <w:t>Optus Service Providers' customers are not eligible to apply</w:t>
      </w:r>
      <w:r>
        <w:rPr>
          <w:snapToGrid w:val="0"/>
        </w:rPr>
        <w:t>.</w:t>
      </w:r>
    </w:p>
    <w:p w14:paraId="25712E09" w14:textId="77777777" w:rsidR="000D07EA" w:rsidRDefault="00BE7C89">
      <w:pPr>
        <w:pStyle w:val="BodyText"/>
        <w:ind w:left="720"/>
      </w:pPr>
      <w:r>
        <w:t xml:space="preserve">These </w:t>
      </w:r>
      <w:r>
        <w:rPr>
          <w:i/>
        </w:rPr>
        <w:t>plans</w:t>
      </w:r>
      <w:r>
        <w:t xml:space="preserve"> aren't compatible for data use with BlackBerry handsets on operating systems of 7.1 or earlier.</w:t>
      </w:r>
      <w:bookmarkStart w:id="1260" w:name="_Toc445988598"/>
    </w:p>
    <w:p w14:paraId="01FFD016" w14:textId="77777777" w:rsidR="000D07EA" w:rsidRDefault="00BE7C89">
      <w:pPr>
        <w:pStyle w:val="Heading6"/>
        <w:ind w:left="0" w:firstLine="0"/>
      </w:pPr>
      <w:r>
        <w:rPr>
          <w:snapToGrid w:val="0"/>
        </w:rPr>
        <w:t>Minimum Term</w:t>
      </w:r>
      <w:bookmarkEnd w:id="1260"/>
    </w:p>
    <w:p w14:paraId="4DDE940A" w14:textId="77777777" w:rsidR="000D07EA" w:rsidRDefault="00BE7C89">
      <w:pPr>
        <w:pStyle w:val="BodyText"/>
        <w:ind w:left="720"/>
      </w:pPr>
      <w:r>
        <w:t xml:space="preserve">These </w:t>
      </w:r>
      <w:r>
        <w:rPr>
          <w:i/>
        </w:rPr>
        <w:t xml:space="preserve">plans </w:t>
      </w:r>
      <w:r>
        <w:t xml:space="preserve">have a </w:t>
      </w:r>
      <w:r>
        <w:rPr>
          <w:i/>
        </w:rPr>
        <w:t>fixed length agreement</w:t>
      </w:r>
      <w:r>
        <w:t xml:space="preserve"> with a 24 month </w:t>
      </w:r>
      <w:r>
        <w:rPr>
          <w:i/>
        </w:rPr>
        <w:t>minimum term</w:t>
      </w:r>
      <w:r>
        <w:t>.</w:t>
      </w:r>
    </w:p>
    <w:p w14:paraId="6EE21860" w14:textId="77777777" w:rsidR="000D07EA" w:rsidRDefault="00BE7C89">
      <w:pPr>
        <w:pStyle w:val="Heading6"/>
        <w:ind w:left="0" w:firstLine="0"/>
        <w:rPr>
          <w:b/>
        </w:rPr>
      </w:pPr>
      <w:bookmarkStart w:id="1261" w:name="_Toc445988599"/>
      <w:r>
        <w:t>What you have to pay us</w:t>
      </w:r>
      <w:bookmarkEnd w:id="1261"/>
    </w:p>
    <w:p w14:paraId="72CE1C6C" w14:textId="77777777" w:rsidR="000D07EA" w:rsidRDefault="00BE7C89">
      <w:pPr>
        <w:pStyle w:val="Heading7"/>
      </w:pPr>
      <w:r>
        <w:rPr>
          <w:i/>
        </w:rPr>
        <w:lastRenderedPageBreak/>
        <w:t xml:space="preserve">You </w:t>
      </w:r>
      <w:r>
        <w:t xml:space="preserve">must pay </w:t>
      </w:r>
      <w:r>
        <w:rPr>
          <w:i/>
        </w:rPr>
        <w:t xml:space="preserve">us </w:t>
      </w:r>
      <w:r>
        <w:t xml:space="preserve">for use of the </w:t>
      </w:r>
      <w:r>
        <w:rPr>
          <w:i/>
        </w:rPr>
        <w:t xml:space="preserve">service </w:t>
      </w:r>
      <w:r>
        <w:t xml:space="preserve">at the rates set out in Section 1 of this </w:t>
      </w:r>
      <w:r>
        <w:rPr>
          <w:i/>
        </w:rPr>
        <w:t>standard pricing table</w:t>
      </w:r>
      <w:r>
        <w:t xml:space="preserve"> and for value added service features at the rates set out in </w:t>
      </w:r>
      <w:hyperlink r:id="rId646" w:history="1">
        <w:r>
          <w:rPr>
            <w:rStyle w:val="Hyperlink"/>
            <w:i/>
          </w:rPr>
          <w:t>Appendix Y Value Added Service Features</w:t>
        </w:r>
      </w:hyperlink>
      <w:r>
        <w:t>.</w:t>
      </w:r>
    </w:p>
    <w:p w14:paraId="68255DAF" w14:textId="77777777" w:rsidR="000D07EA" w:rsidRDefault="00BE7C89">
      <w:pPr>
        <w:pStyle w:val="Heading7"/>
      </w:pPr>
      <w:r>
        <w:t>If there is a flagfall for a particular call type, the charge for these calls is the flagfall amount plus the relevant rate for the call multiplied by the duration of the call.</w:t>
      </w:r>
    </w:p>
    <w:p w14:paraId="7C87E58D" w14:textId="77777777" w:rsidR="000D07EA" w:rsidRDefault="00BE7C89">
      <w:pPr>
        <w:pStyle w:val="Heading7"/>
        <w:rPr>
          <w:b/>
        </w:rPr>
      </w:pPr>
      <w:r>
        <w:rPr>
          <w:b/>
        </w:rPr>
        <w:t xml:space="preserve">Minimum Monthly Charge </w:t>
      </w:r>
    </w:p>
    <w:p w14:paraId="047E5068" w14:textId="77777777" w:rsidR="000D07EA" w:rsidRDefault="00BE7C89">
      <w:pPr>
        <w:pStyle w:val="Heading8"/>
      </w:pPr>
      <w:r>
        <w:t xml:space="preserve">Each My Plan Business plan has a Minimum Monthly Charge amount that </w:t>
      </w:r>
      <w:r>
        <w:rPr>
          <w:i/>
        </w:rPr>
        <w:t>you</w:t>
      </w:r>
      <w:r>
        <w:t xml:space="preserve"> must pay </w:t>
      </w:r>
      <w:r>
        <w:rPr>
          <w:i/>
        </w:rPr>
        <w:t>us</w:t>
      </w:r>
      <w:r>
        <w:t xml:space="preserve"> each month as set out in Table 1 below.</w:t>
      </w:r>
    </w:p>
    <w:p w14:paraId="7CDF54C2" w14:textId="77777777" w:rsidR="000D07EA" w:rsidRDefault="00BE7C89">
      <w:pPr>
        <w:pStyle w:val="Heading8"/>
      </w:pPr>
      <w:r>
        <w:rPr>
          <w:i/>
        </w:rPr>
        <w:t>You</w:t>
      </w:r>
      <w:r>
        <w:t xml:space="preserve"> may purchase a mobile phone (or 'handset') with a 24 month </w:t>
      </w:r>
      <w:r>
        <w:rPr>
          <w:i/>
        </w:rPr>
        <w:t>equipment term</w:t>
      </w:r>
      <w:r>
        <w:t xml:space="preserve"> under a </w:t>
      </w:r>
      <w:r>
        <w:rPr>
          <w:i/>
        </w:rPr>
        <w:t>mobile equipment payment plan</w:t>
      </w:r>
      <w:r>
        <w:t xml:space="preserve"> (set out in </w:t>
      </w:r>
      <w:hyperlink r:id="rId647" w:history="1">
        <w:r>
          <w:rPr>
            <w:rStyle w:val="Hyperlink"/>
            <w:i/>
          </w:rPr>
          <w:t>Appendix D</w:t>
        </w:r>
      </w:hyperlink>
      <w:r>
        <w:t xml:space="preserve">) on a 24 month </w:t>
      </w:r>
      <w:r>
        <w:rPr>
          <w:i/>
        </w:rPr>
        <w:t>fixed-length agreement</w:t>
      </w:r>
      <w:r>
        <w:t>.</w:t>
      </w:r>
    </w:p>
    <w:p w14:paraId="1EC39269" w14:textId="77777777" w:rsidR="000D07EA" w:rsidRDefault="00BE7C89">
      <w:pPr>
        <w:pStyle w:val="Heading6"/>
        <w:ind w:left="0" w:firstLine="0"/>
        <w:rPr>
          <w:snapToGrid w:val="0"/>
        </w:rPr>
      </w:pPr>
      <w:bookmarkStart w:id="1262" w:name="_Toc445988600"/>
      <w:r>
        <w:rPr>
          <w:snapToGrid w:val="0"/>
        </w:rPr>
        <w:t>How My Plan Business works</w:t>
      </w:r>
      <w:bookmarkEnd w:id="1262"/>
    </w:p>
    <w:p w14:paraId="4FD48A67" w14:textId="77777777" w:rsidR="000D07EA" w:rsidRDefault="00BE7C89">
      <w:pPr>
        <w:pStyle w:val="Heading7"/>
      </w:pPr>
      <w:r>
        <w:t>Each My Plan Business has unlimited minutes to use on standard national calls to landlines and mobiles, 13/1300 numbers and voicemail retrievals and an amount of Included Data (for mobile internet use) to share with other services on a My Plan Plus</w:t>
      </w:r>
      <w:r>
        <w:rPr>
          <w:lang w:eastAsia="en-AU"/>
        </w:rPr>
        <w:t xml:space="preserve">, My Plan Plus SIM Only, My Plan Business (including Tech Fund), My Plan Business SIM, My Mobile Broadband Plus, Mobile Broadband Business or Shared Data Plan </w:t>
      </w:r>
      <w:r>
        <w:t>on the same account.</w:t>
      </w:r>
    </w:p>
    <w:p w14:paraId="27CE7D77" w14:textId="77777777" w:rsidR="000D07EA" w:rsidRDefault="00BE7C89">
      <w:pPr>
        <w:pStyle w:val="Heading7"/>
      </w:pPr>
      <w:r>
        <w:t>These plans also include unlimited standard national SMS/MMS and unlimited standard International SMS/MMS to selected countries. The $60/$80/$100/$120 plans have an amount of included international minutes to use on standard international calls to selected countries.</w:t>
      </w:r>
    </w:p>
    <w:p w14:paraId="37B01539" w14:textId="77777777" w:rsidR="000D07EA" w:rsidRDefault="00BE7C89">
      <w:pPr>
        <w:pStyle w:val="Heading7"/>
      </w:pPr>
      <w:r>
        <w:t>Data usage is calculated in one kilobyte increments. International minutes are billed in one minute increments.</w:t>
      </w:r>
    </w:p>
    <w:p w14:paraId="792B011F" w14:textId="77777777" w:rsidR="000D07EA" w:rsidRDefault="00BE7C89">
      <w:pPr>
        <w:pStyle w:val="Heading7"/>
      </w:pPr>
      <w:r>
        <w:t xml:space="preserve">If </w:t>
      </w:r>
      <w:r>
        <w:rPr>
          <w:i/>
        </w:rPr>
        <w:t xml:space="preserve">you </w:t>
      </w:r>
      <w:r>
        <w:t>exceed your included shareable data you'll automatically be charged $10 for each additional 1GB of data ("</w:t>
      </w:r>
      <w:r>
        <w:rPr>
          <w:b/>
        </w:rPr>
        <w:t>Additional Data</w:t>
      </w:r>
      <w:r>
        <w:t>") up to 150GB of extra data per account each month. Your service/s may then be restricted or we may continue to charge you at these rates.</w:t>
      </w:r>
    </w:p>
    <w:p w14:paraId="01D7052A" w14:textId="77777777" w:rsidR="000D07EA" w:rsidRDefault="00BE7C89">
      <w:pPr>
        <w:pStyle w:val="Heading7"/>
      </w:pPr>
      <w:r>
        <w:t xml:space="preserve">Any unused portion of </w:t>
      </w:r>
      <w:r>
        <w:rPr>
          <w:i/>
        </w:rPr>
        <w:t>your</w:t>
      </w:r>
      <w:r>
        <w:t xml:space="preserve"> </w:t>
      </w:r>
      <w:r>
        <w:rPr>
          <w:i/>
        </w:rPr>
        <w:t>plan's</w:t>
      </w:r>
      <w:r>
        <w:t xml:space="preserve"> Included or Additional Data or International Minutes expires at the end of each month and does not roll over into the next month. </w:t>
      </w:r>
    </w:p>
    <w:p w14:paraId="30EDDC53" w14:textId="77777777" w:rsidR="000D07EA" w:rsidRDefault="00BE7C89">
      <w:pPr>
        <w:pStyle w:val="Heading7"/>
        <w:rPr>
          <w:b/>
        </w:rPr>
      </w:pPr>
      <w:r>
        <w:rPr>
          <w:i/>
        </w:rPr>
        <w:t>You</w:t>
      </w:r>
      <w:r>
        <w:t xml:space="preserve"> must pay </w:t>
      </w:r>
      <w:r>
        <w:rPr>
          <w:i/>
        </w:rPr>
        <w:t>us</w:t>
      </w:r>
      <w:r>
        <w:t xml:space="preserve"> for use of any services that are not included in </w:t>
      </w:r>
      <w:r>
        <w:rPr>
          <w:i/>
        </w:rPr>
        <w:t>your</w:t>
      </w:r>
      <w:r>
        <w:t xml:space="preserve"> plan's inclusions, examples of which are set out in Table 2 below.</w:t>
      </w:r>
    </w:p>
    <w:p w14:paraId="302A1B3F" w14:textId="77777777" w:rsidR="000D07EA" w:rsidRDefault="00BE7C89">
      <w:pPr>
        <w:pStyle w:val="Heading6"/>
        <w:ind w:left="0" w:firstLine="0"/>
        <w:rPr>
          <w:snapToGrid w:val="0"/>
        </w:rPr>
      </w:pPr>
      <w:bookmarkStart w:id="1263" w:name="_Toc445988601"/>
      <w:r>
        <w:rPr>
          <w:snapToGrid w:val="0"/>
        </w:rPr>
        <w:t>Plan Changes</w:t>
      </w:r>
      <w:bookmarkEnd w:id="1263"/>
    </w:p>
    <w:p w14:paraId="5A64081E" w14:textId="77777777" w:rsidR="000D07EA" w:rsidRDefault="00BE7C89">
      <w:pPr>
        <w:pStyle w:val="BodyText"/>
        <w:ind w:left="720"/>
      </w:pPr>
      <w:r>
        <w:t>You can change your plan during the minimum tern term provided you move to a plan with a higher monthly access fee. You cannot change your plan during the minimum term to a plan with the same or lower monthly access fee. If you change your plan during the minimum term a fee may apply and any handset repayments will remain the same.</w:t>
      </w:r>
    </w:p>
    <w:p w14:paraId="4A9844A2" w14:textId="77777777" w:rsidR="000D07EA" w:rsidRDefault="00BE7C89">
      <w:pPr>
        <w:pStyle w:val="Heading6"/>
        <w:ind w:left="0" w:firstLine="0"/>
        <w:rPr>
          <w:snapToGrid w:val="0"/>
        </w:rPr>
      </w:pPr>
      <w:bookmarkStart w:id="1264" w:name="_Toc445988602"/>
      <w:r>
        <w:rPr>
          <w:snapToGrid w:val="0"/>
        </w:rPr>
        <w:t>New Phone Trade Up</w:t>
      </w:r>
      <w:bookmarkEnd w:id="1264"/>
    </w:p>
    <w:p w14:paraId="4E8DDD9B" w14:textId="77777777" w:rsidR="000D07EA" w:rsidRDefault="00BE7C89">
      <w:pPr>
        <w:pStyle w:val="BodyText"/>
        <w:ind w:left="720"/>
      </w:pPr>
      <w:r>
        <w:t>The plans referred to in this section include the option of New Phone Trade Up, which can be exercised in two ways:</w:t>
      </w:r>
    </w:p>
    <w:p w14:paraId="337B6C95" w14:textId="77777777" w:rsidR="000D07EA" w:rsidRDefault="00BE7C89">
      <w:pPr>
        <w:pStyle w:val="Heading7"/>
      </w:pPr>
      <w:r>
        <w:t>New Phone Trade Up for $99</w:t>
      </w:r>
    </w:p>
    <w:p w14:paraId="210171D6" w14:textId="77777777" w:rsidR="000D07EA" w:rsidRDefault="00BE7C89">
      <w:pPr>
        <w:pStyle w:val="Heading8"/>
      </w:pPr>
      <w:r>
        <w:t>After 12 months on one of these plans, you can pay a one fee of $99, return your original mobile phone to a Yes Optus store in good working order, purchase a new mobile phone on a new 24 month plan and sign documentation that will enable ownership of your original mobile phone to be transferred to a second hand dealer nominated by Optus.</w:t>
      </w:r>
    </w:p>
    <w:p w14:paraId="4F78F330" w14:textId="77777777" w:rsidR="000D07EA" w:rsidRDefault="00BE7C89">
      <w:pPr>
        <w:pStyle w:val="Heading8"/>
      </w:pPr>
      <w:r>
        <w:t>A mobile phone is considered to be in good working order when :</w:t>
      </w:r>
    </w:p>
    <w:p w14:paraId="6E16471C" w14:textId="77777777" w:rsidR="000D07EA" w:rsidRDefault="00BE7C89">
      <w:pPr>
        <w:pStyle w:val="Heading9"/>
      </w:pPr>
      <w:r>
        <w:t xml:space="preserve">it can power on and off, </w:t>
      </w:r>
    </w:p>
    <w:p w14:paraId="67B2F2BB" w14:textId="77777777" w:rsidR="000D07EA" w:rsidRDefault="00BE7C89">
      <w:pPr>
        <w:pStyle w:val="Heading9"/>
      </w:pPr>
      <w:r>
        <w:lastRenderedPageBreak/>
        <w:t xml:space="preserve">it has a touchscreen that is fully functional and has no imperfections such as lines or marks, </w:t>
      </w:r>
    </w:p>
    <w:p w14:paraId="5716EFFC" w14:textId="77777777" w:rsidR="000D07EA" w:rsidRDefault="00BE7C89">
      <w:pPr>
        <w:pStyle w:val="Heading9"/>
      </w:pPr>
      <w:r>
        <w:t xml:space="preserve">it does not have any missing buttons or damage to other components such as charging ports, SIM tray, </w:t>
      </w:r>
    </w:p>
    <w:p w14:paraId="260180A6" w14:textId="77777777" w:rsidR="000D07EA" w:rsidRDefault="00BE7C89">
      <w:pPr>
        <w:pStyle w:val="Heading9"/>
      </w:pPr>
      <w:r>
        <w:t xml:space="preserve">the mobile phone (including the touchscreen) is not cracked and does not have any severe scratches (normal wear and tear such as light marks and scratches are okay); and </w:t>
      </w:r>
    </w:p>
    <w:p w14:paraId="22B11B93" w14:textId="77777777" w:rsidR="000D07EA" w:rsidRDefault="00BE7C89">
      <w:pPr>
        <w:pStyle w:val="Heading9"/>
      </w:pPr>
      <w:r>
        <w:t xml:space="preserve">any locking features are disabled. </w:t>
      </w:r>
    </w:p>
    <w:p w14:paraId="7F7BA3E0" w14:textId="77777777" w:rsidR="000D07EA" w:rsidRDefault="00BE7C89">
      <w:pPr>
        <w:pStyle w:val="Heading8"/>
      </w:pPr>
      <w:r>
        <w:t xml:space="preserve">The mobile phone you return in accordance with section </w:t>
      </w:r>
      <w:r>
        <w:rPr>
          <w:color w:val="FF0000"/>
        </w:rPr>
        <w:t>3.7(a)</w:t>
      </w:r>
      <w:r>
        <w:t xml:space="preserve"> must be the mobile phone you purchased when you took up one of the plans referred to in this section.</w:t>
      </w:r>
    </w:p>
    <w:p w14:paraId="454AC189" w14:textId="77777777" w:rsidR="000D07EA" w:rsidRDefault="00BE7C89">
      <w:pPr>
        <w:pStyle w:val="Heading8"/>
      </w:pPr>
      <w:r>
        <w:t>When you seek to exercise this option and meet the relevant conditions, Optus agrees to waive any remaining mobile phone repayment charges on the mobile phone you are returning.</w:t>
      </w:r>
    </w:p>
    <w:p w14:paraId="5FEF73AB" w14:textId="77777777" w:rsidR="000D07EA" w:rsidRDefault="00BE7C89">
      <w:pPr>
        <w:pStyle w:val="Heading8"/>
      </w:pPr>
      <w:r>
        <w:t>By exercising this option, you acknowledge that the second hand device vendor will pay Optus a fee on your behalf for the mobile phone you return in part consideration of Optus waiving your remaining mobile phone repayments on the phone you are returning.</w:t>
      </w:r>
    </w:p>
    <w:p w14:paraId="00354B3B" w14:textId="77777777" w:rsidR="000D07EA" w:rsidRDefault="00BE7C89">
      <w:pPr>
        <w:pStyle w:val="Heading7"/>
      </w:pPr>
      <w:r>
        <w:t>Keep existing mobile phone</w:t>
      </w:r>
    </w:p>
    <w:p w14:paraId="1793BD53" w14:textId="77777777" w:rsidR="000D07EA" w:rsidRDefault="00BE7C89">
      <w:pPr>
        <w:pStyle w:val="BodyText"/>
        <w:ind w:left="1440"/>
      </w:pPr>
      <w:r>
        <w:t>Alternatively and instead of paying $99, if you wish to keep your original mobile handset, you can simply pay out the full remaining cost of your mobile handset, including any monthly handset credit that Optus was going to cover and purchase a new mobile phone on a new 24 month plan.</w:t>
      </w:r>
    </w:p>
    <w:p w14:paraId="19D2D70C" w14:textId="77777777" w:rsidR="000D07EA" w:rsidRDefault="00BE7C89">
      <w:pPr>
        <w:pStyle w:val="Heading6"/>
        <w:ind w:left="0" w:firstLine="0"/>
        <w:rPr>
          <w:snapToGrid w:val="0"/>
        </w:rPr>
      </w:pPr>
      <w:bookmarkStart w:id="1265" w:name="_Toc445988603"/>
      <w:r>
        <w:rPr>
          <w:snapToGrid w:val="0"/>
        </w:rPr>
        <w:t>Data Sharing</w:t>
      </w:r>
      <w:bookmarkEnd w:id="1265"/>
    </w:p>
    <w:p w14:paraId="4890AA8D" w14:textId="77777777" w:rsidR="000D07EA" w:rsidRDefault="00BE7C89">
      <w:pPr>
        <w:pStyle w:val="Heading7"/>
        <w:rPr>
          <w:snapToGrid w:val="0"/>
        </w:rPr>
      </w:pPr>
      <w:r>
        <w:rPr>
          <w:snapToGrid w:val="0"/>
        </w:rPr>
        <w:t xml:space="preserve">If </w:t>
      </w:r>
      <w:r>
        <w:rPr>
          <w:i/>
          <w:snapToGrid w:val="0"/>
        </w:rPr>
        <w:t xml:space="preserve">you </w:t>
      </w:r>
      <w:r>
        <w:rPr>
          <w:lang w:eastAsia="en-AU"/>
        </w:rPr>
        <w:t xml:space="preserve">have more than one </w:t>
      </w:r>
      <w:r>
        <w:t>My Plan Plus</w:t>
      </w:r>
      <w:r>
        <w:rPr>
          <w:lang w:eastAsia="en-AU"/>
        </w:rPr>
        <w:t>, My Plan Plus SIM Only, My Plan Business (including Tech Fund), My Plan Business SIM, My Mobile Broadband Plus or Mobile Broadband Business on the same billing account, the included data will combine into one data pool, which will be shared by all eligible services on that account.</w:t>
      </w:r>
    </w:p>
    <w:p w14:paraId="70EBC249" w14:textId="77777777" w:rsidR="000D07EA" w:rsidRDefault="00BE7C89">
      <w:pPr>
        <w:pStyle w:val="Heading7"/>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services on any</w:t>
      </w:r>
      <w:r>
        <w:t xml:space="preserve"> My Plan Plus</w:t>
      </w:r>
      <w:r>
        <w:rPr>
          <w:lang w:eastAsia="en-AU"/>
        </w:rPr>
        <w:t>, My Plan Plus SIM Only, My Plan Business (including Tech Fund), My Plan Business SIM, My Mobile Broadband Plus or Mobile Broadband Business plans</w:t>
      </w:r>
      <w:r>
        <w:rPr>
          <w:snapToGrid w:val="0"/>
        </w:rPr>
        <w:t xml:space="preserve"> to share data, they need to be on separate billing accounts. .</w:t>
      </w:r>
    </w:p>
    <w:p w14:paraId="1F895F7C" w14:textId="77777777" w:rsidR="000D07EA" w:rsidRDefault="00BE7C89">
      <w:pPr>
        <w:pStyle w:val="Heading7"/>
        <w:rPr>
          <w:snapToGrid w:val="0"/>
        </w:rPr>
      </w:pPr>
      <w:r>
        <w:rPr>
          <w:snapToGrid w:val="0"/>
        </w:rPr>
        <w:t>Data sharing is only available within Australia.</w:t>
      </w:r>
    </w:p>
    <w:p w14:paraId="7420E05A" w14:textId="77777777" w:rsidR="000D07EA" w:rsidRDefault="00BE7C89">
      <w:pPr>
        <w:pStyle w:val="Heading6"/>
        <w:ind w:left="0" w:firstLine="0"/>
        <w:rPr>
          <w:snapToGrid w:val="0"/>
        </w:rPr>
      </w:pPr>
      <w:bookmarkStart w:id="1266" w:name="_Toc445988604"/>
      <w:r>
        <w:rPr>
          <w:snapToGrid w:val="0"/>
        </w:rPr>
        <w:t>International Minutes</w:t>
      </w:r>
      <w:bookmarkEnd w:id="1266"/>
    </w:p>
    <w:p w14:paraId="2C4BC167" w14:textId="77777777" w:rsidR="000D07EA" w:rsidRDefault="00BE7C89">
      <w:pPr>
        <w:pStyle w:val="BodyText"/>
        <w:ind w:left="720"/>
      </w:pPr>
      <w:r>
        <w:t>The $60/$80/$100/$120 My Plan Business includes up to 150/300/400/unlimited international minutes (respectively) for standard calls to mobiles and fixed lines in selected countries. For a list of selected countries see Table 3 below.</w:t>
      </w:r>
    </w:p>
    <w:p w14:paraId="714744B0" w14:textId="77777777" w:rsidR="000D07EA" w:rsidRDefault="00BE7C89">
      <w:pPr>
        <w:pStyle w:val="BodyText"/>
        <w:ind w:left="720"/>
      </w:pPr>
      <w:r>
        <w:t xml:space="preserve">Calls are charged per minute. When included minutes for calls to selected countries are used up, standard 'yes' international call charges apply. </w:t>
      </w:r>
    </w:p>
    <w:p w14:paraId="5622FD96" w14:textId="77777777" w:rsidR="000D07EA" w:rsidRDefault="00BE7C89">
      <w:pPr>
        <w:pStyle w:val="Heading6"/>
        <w:ind w:left="0" w:firstLine="0"/>
        <w:rPr>
          <w:snapToGrid w:val="0"/>
        </w:rPr>
      </w:pPr>
      <w:bookmarkStart w:id="1267" w:name="_Toc445988605"/>
      <w:r>
        <w:rPr>
          <w:snapToGrid w:val="0"/>
        </w:rPr>
        <w:t>Unlimited standard national SMS and MMS</w:t>
      </w:r>
      <w:bookmarkEnd w:id="1267"/>
    </w:p>
    <w:p w14:paraId="176741D4" w14:textId="77777777" w:rsidR="000D07EA" w:rsidRDefault="00BE7C89">
      <w:pPr>
        <w:pStyle w:val="BodyText"/>
        <w:ind w:left="720"/>
      </w:pPr>
      <w:r>
        <w:rPr>
          <w:i/>
        </w:rPr>
        <w:t>You</w:t>
      </w:r>
      <w:r>
        <w:t xml:space="preserve"> may send unlimited standard SMS and MMS to Australian mobiles from within Australia.</w:t>
      </w:r>
    </w:p>
    <w:p w14:paraId="6F552FCA" w14:textId="77777777" w:rsidR="000D07EA" w:rsidRDefault="00BE7C89">
      <w:pPr>
        <w:pStyle w:val="BodyText"/>
        <w:ind w:left="720"/>
        <w:rPr>
          <w:rStyle w:val="Hyperlink"/>
          <w:i/>
        </w:rPr>
      </w:pPr>
      <w:r>
        <w:t xml:space="preserve">Unlimited standard national SMS and MMS are only available for personal and ordinary business use and are not to be used for a commercial or non-ordinary purpose as set out in the </w:t>
      </w:r>
      <w:hyperlink r:id="rId648" w:history="1">
        <w:r>
          <w:rPr>
            <w:rStyle w:val="Hyperlink"/>
            <w:rFonts w:cs="Arial"/>
            <w:i/>
          </w:rPr>
          <w:t>Fair Go Policy</w:t>
        </w:r>
      </w:hyperlink>
      <w:r>
        <w:t xml:space="preserve">. For further details refer to </w:t>
      </w:r>
      <w:hyperlink r:id="rId649" w:history="1">
        <w:r>
          <w:rPr>
            <w:rStyle w:val="Hyperlink"/>
            <w:i/>
          </w:rPr>
          <w:t>Appendix S</w:t>
        </w:r>
      </w:hyperlink>
      <w:r>
        <w:rPr>
          <w:i/>
        </w:rPr>
        <w:t>.</w:t>
      </w:r>
    </w:p>
    <w:p w14:paraId="3217470E" w14:textId="77777777" w:rsidR="000D07EA" w:rsidRDefault="00BE7C89">
      <w:pPr>
        <w:pStyle w:val="Heading6"/>
        <w:ind w:left="0" w:firstLine="0"/>
        <w:rPr>
          <w:snapToGrid w:val="0"/>
        </w:rPr>
      </w:pPr>
      <w:bookmarkStart w:id="1268" w:name="_Toc445988606"/>
      <w:r>
        <w:rPr>
          <w:snapToGrid w:val="0"/>
        </w:rPr>
        <w:t>Unlimited standard international SMS and MMS</w:t>
      </w:r>
      <w:bookmarkEnd w:id="1268"/>
    </w:p>
    <w:p w14:paraId="420DA280" w14:textId="77777777" w:rsidR="000D07EA" w:rsidRDefault="00BE7C89">
      <w:pPr>
        <w:pStyle w:val="BodyText"/>
        <w:ind w:left="720"/>
      </w:pPr>
      <w:r>
        <w:rPr>
          <w:i/>
        </w:rPr>
        <w:t>You</w:t>
      </w:r>
      <w:r>
        <w:t xml:space="preserve"> may send unlimited standard SMS and MMS to selected countries as set out in Table 3 below.</w:t>
      </w:r>
    </w:p>
    <w:p w14:paraId="201FEE1B" w14:textId="77777777" w:rsidR="000D07EA" w:rsidRDefault="00BE7C89">
      <w:pPr>
        <w:pStyle w:val="BodyText"/>
        <w:ind w:left="720"/>
        <w:rPr>
          <w:i/>
        </w:rPr>
      </w:pPr>
      <w:r>
        <w:lastRenderedPageBreak/>
        <w:t xml:space="preserve">Unlimited standard SMS and MMS are only available for personal and ordinary business use and are not to be used for a commercial or non-ordinary purpose as set out in the Fair Go Policy. For further details refer to </w:t>
      </w:r>
      <w:hyperlink r:id="rId650" w:history="1">
        <w:r>
          <w:rPr>
            <w:rStyle w:val="Hyperlink"/>
            <w:i/>
          </w:rPr>
          <w:t>Appendix S</w:t>
        </w:r>
      </w:hyperlink>
      <w:r>
        <w:rPr>
          <w:i/>
        </w:rPr>
        <w:t>.</w:t>
      </w:r>
    </w:p>
    <w:p w14:paraId="03FE40FA" w14:textId="77777777" w:rsidR="000D07EA" w:rsidRDefault="00BE7C89">
      <w:pPr>
        <w:pStyle w:val="Heading6"/>
        <w:ind w:left="0" w:firstLine="0"/>
        <w:rPr>
          <w:snapToGrid w:val="0"/>
        </w:rPr>
      </w:pPr>
      <w:bookmarkStart w:id="1269" w:name="_Toc445988607"/>
      <w:bookmarkStart w:id="1270" w:name="_Toc438646374"/>
      <w:bookmarkStart w:id="1271" w:name="_Toc429391406"/>
      <w:bookmarkStart w:id="1272" w:name="_Toc431283591"/>
      <w:bookmarkStart w:id="1273" w:name="_Toc437434732"/>
      <w:r>
        <w:rPr>
          <w:snapToGrid w:val="0"/>
        </w:rPr>
        <w:t>Optus Travel</w:t>
      </w:r>
      <w:r>
        <w:rPr>
          <w:snapToGrid w:val="0"/>
          <w:vertAlign w:val="superscript"/>
        </w:rPr>
        <w:t xml:space="preserve">TM </w:t>
      </w:r>
      <w:r>
        <w:rPr>
          <w:snapToGrid w:val="0"/>
        </w:rPr>
        <w:t>Pack</w:t>
      </w:r>
      <w:bookmarkEnd w:id="1269"/>
      <w:r>
        <w:rPr>
          <w:snapToGrid w:val="0"/>
        </w:rPr>
        <w:t xml:space="preserve"> </w:t>
      </w:r>
      <w:bookmarkEnd w:id="1270"/>
    </w:p>
    <w:p w14:paraId="4C0F6F04" w14:textId="77777777" w:rsidR="000D07EA" w:rsidRDefault="00BE7C89">
      <w:pPr>
        <w:pStyle w:val="BodyText"/>
        <w:ind w:left="720"/>
        <w:rPr>
          <w:snapToGrid w:val="0"/>
        </w:rPr>
      </w:pPr>
      <w:bookmarkStart w:id="1274" w:name="_Toc438646375"/>
      <w:r>
        <w:rPr>
          <w:snapToGrid w:val="0"/>
        </w:rPr>
        <w:t>The $120 My Plan Business plan has up to10 days of Optus Travel</w:t>
      </w:r>
      <w:r>
        <w:rPr>
          <w:snapToGrid w:val="0"/>
          <w:vertAlign w:val="superscript"/>
        </w:rPr>
        <w:t>TM</w:t>
      </w:r>
      <w:r>
        <w:rPr>
          <w:snapToGrid w:val="0"/>
        </w:rPr>
        <w:t xml:space="preserve"> Pack for use within each billing month. </w:t>
      </w:r>
      <w:r>
        <w:rPr>
          <w:i/>
          <w:snapToGrid w:val="0"/>
        </w:rPr>
        <w:t>You</w:t>
      </w:r>
      <w:r>
        <w:rPr>
          <w:snapToGrid w:val="0"/>
        </w:rPr>
        <w:t xml:space="preserve"> need to ensure your Optus Travel</w:t>
      </w:r>
      <w:r>
        <w:rPr>
          <w:snapToGrid w:val="0"/>
          <w:vertAlign w:val="superscript"/>
        </w:rPr>
        <w:t>TM</w:t>
      </w:r>
      <w:r>
        <w:rPr>
          <w:snapToGrid w:val="0"/>
        </w:rPr>
        <w:t xml:space="preserve"> Pack is active by contacting Optus prior to use. Optus Travel</w:t>
      </w:r>
      <w:r>
        <w:rPr>
          <w:snapToGrid w:val="0"/>
          <w:vertAlign w:val="superscript"/>
        </w:rPr>
        <w:t>TM</w:t>
      </w:r>
      <w:r>
        <w:rPr>
          <w:snapToGrid w:val="0"/>
        </w:rPr>
        <w:t xml:space="preserve"> Pack gives you unlimited standard national and international voice, SMS (MMS is excluded) plus 50MB of data to use in Zone 1 countries per day. For list of countries see optus.com.au/travel</w:t>
      </w:r>
      <w:bookmarkEnd w:id="1274"/>
    </w:p>
    <w:p w14:paraId="0722CF23" w14:textId="77777777" w:rsidR="000D07EA" w:rsidRDefault="00BE7C89">
      <w:pPr>
        <w:pStyle w:val="BodyText"/>
        <w:ind w:left="720"/>
        <w:rPr>
          <w:snapToGrid w:val="0"/>
        </w:rPr>
      </w:pPr>
      <w:r>
        <w:rPr>
          <w:i/>
          <w:snapToGrid w:val="0"/>
        </w:rPr>
        <w:t>You</w:t>
      </w:r>
      <w:r>
        <w:rPr>
          <w:snapToGrid w:val="0"/>
        </w:rPr>
        <w:t xml:space="preserve"> can activate the Optus Travel</w:t>
      </w:r>
      <w:r>
        <w:rPr>
          <w:snapToGrid w:val="0"/>
          <w:vertAlign w:val="superscript"/>
        </w:rPr>
        <w:t>TM</w:t>
      </w:r>
      <w:r>
        <w:rPr>
          <w:snapToGrid w:val="0"/>
        </w:rPr>
        <w:t xml:space="preserve"> Pack on a day to day basis or multiple days at once. If you activate multiple consecutive days, the data allowance will accumulate, for example </w:t>
      </w:r>
      <w:r>
        <w:rPr>
          <w:bCs/>
          <w:snapToGrid w:val="0"/>
        </w:rPr>
        <w:t>activate 5 consecutive days and use 250MB any time over the 5 day period. If you exceed the data limit, standard data roaming charges will apply. Any data provided as part of Optus Travel™ Pack is not shareable and will not form part of any Data Pool. Any unused days of Optus Travel™ Pack are forfeited and cannot be rolled over to the next billing month.</w:t>
      </w:r>
    </w:p>
    <w:p w14:paraId="5D712DA8" w14:textId="77777777" w:rsidR="000D07EA" w:rsidRDefault="00BE7C89">
      <w:pPr>
        <w:pStyle w:val="BodyText"/>
        <w:ind w:left="720"/>
        <w:rPr>
          <w:snapToGrid w:val="0"/>
        </w:rPr>
      </w:pPr>
      <w:r>
        <w:rPr>
          <w:snapToGrid w:val="0"/>
        </w:rPr>
        <w:t>If you are not in a Zone 1 country you will be charged at standard roaming rates for that country.</w:t>
      </w:r>
    </w:p>
    <w:p w14:paraId="59F16BDC" w14:textId="77777777" w:rsidR="000D07EA" w:rsidRDefault="00BE7C89">
      <w:pPr>
        <w:pStyle w:val="Heading6"/>
        <w:ind w:left="0" w:firstLine="0"/>
        <w:rPr>
          <w:snapToGrid w:val="0"/>
        </w:rPr>
      </w:pPr>
      <w:bookmarkStart w:id="1275" w:name="_Toc445988608"/>
      <w:bookmarkEnd w:id="1271"/>
      <w:bookmarkEnd w:id="1272"/>
      <w:bookmarkEnd w:id="1273"/>
      <w:r>
        <w:rPr>
          <w:snapToGrid w:val="0"/>
        </w:rPr>
        <w:t>Additional benefit – Handset Credit</w:t>
      </w:r>
      <w:bookmarkEnd w:id="1275"/>
    </w:p>
    <w:p w14:paraId="1DC3AAFE" w14:textId="77777777" w:rsidR="000D07EA" w:rsidRDefault="00BE7C89">
      <w:pPr>
        <w:pStyle w:val="Heading7"/>
      </w:pPr>
      <w:r>
        <w:rPr>
          <w:i/>
        </w:rPr>
        <w:t xml:space="preserve">When you </w:t>
      </w:r>
      <w:r>
        <w:t>connect to a My Plan Business which has a monthly phone credit ('</w:t>
      </w:r>
      <w:r>
        <w:rPr>
          <w:b/>
        </w:rPr>
        <w:t>Handset Credit</w:t>
      </w:r>
      <w:r>
        <w:t xml:space="preserve">') each month for </w:t>
      </w:r>
      <w:r>
        <w:rPr>
          <w:i/>
        </w:rPr>
        <w:t>your minimum term</w:t>
      </w:r>
      <w:r>
        <w:t xml:space="preserve">, this will reduce the monthly repayment costs of the handset </w:t>
      </w:r>
      <w:r>
        <w:rPr>
          <w:i/>
        </w:rPr>
        <w:t xml:space="preserve">you </w:t>
      </w:r>
      <w:r>
        <w:t xml:space="preserve">have chosen with </w:t>
      </w:r>
      <w:r>
        <w:rPr>
          <w:i/>
        </w:rPr>
        <w:t>your pricing plan</w:t>
      </w:r>
      <w:r>
        <w:t xml:space="preserve">. </w:t>
      </w:r>
    </w:p>
    <w:p w14:paraId="7683A477" w14:textId="77777777" w:rsidR="000D07EA" w:rsidRDefault="00BE7C89">
      <w:pPr>
        <w:pStyle w:val="Heading7"/>
        <w:rPr>
          <w:i/>
        </w:rPr>
      </w:pPr>
      <w:r>
        <w:t xml:space="preserve">If </w:t>
      </w:r>
      <w:r>
        <w:rPr>
          <w:i/>
        </w:rPr>
        <w:t>you</w:t>
      </w:r>
      <w:r>
        <w:t xml:space="preserve"> </w:t>
      </w:r>
      <w:r>
        <w:rPr>
          <w:i/>
        </w:rPr>
        <w:t>cancel your pricing plan</w:t>
      </w:r>
      <w:r>
        <w:t xml:space="preserve"> or the </w:t>
      </w:r>
      <w:r>
        <w:rPr>
          <w:i/>
        </w:rPr>
        <w:t xml:space="preserve">mobile equipment payment plan </w:t>
      </w:r>
      <w:r>
        <w:t xml:space="preserve">during </w:t>
      </w:r>
      <w:r>
        <w:rPr>
          <w:i/>
        </w:rPr>
        <w:t>your minimum term</w:t>
      </w:r>
      <w:r>
        <w:t xml:space="preserve">, </w:t>
      </w:r>
      <w:r>
        <w:rPr>
          <w:i/>
        </w:rPr>
        <w:t>you</w:t>
      </w:r>
      <w:r>
        <w:t xml:space="preserve"> will no longer be entitled to these Handset Credits and </w:t>
      </w:r>
      <w:r>
        <w:rPr>
          <w:i/>
        </w:rPr>
        <w:t>you</w:t>
      </w:r>
      <w:r>
        <w:t xml:space="preserve"> must pay the remaining handset repayments in full in addition to any </w:t>
      </w:r>
      <w:r>
        <w:rPr>
          <w:i/>
        </w:rPr>
        <w:t>cancellation fee.</w:t>
      </w:r>
    </w:p>
    <w:p w14:paraId="33497366" w14:textId="77777777" w:rsidR="000D07EA" w:rsidRDefault="00BE7C89">
      <w:pPr>
        <w:pStyle w:val="Heading7"/>
        <w:rPr>
          <w:b/>
        </w:rPr>
      </w:pPr>
      <w:r>
        <w:t xml:space="preserve">If you elect to keep your mobile phone when exercising New Phone Trade Up you will no longer be entitled to the Handset Credit and you will be required to pay the remaining handset repayments in full. </w:t>
      </w:r>
    </w:p>
    <w:p w14:paraId="23DCE7CC" w14:textId="77777777" w:rsidR="000D07EA" w:rsidRDefault="00BE7C89">
      <w:pPr>
        <w:pStyle w:val="BodyText"/>
        <w:ind w:left="720"/>
        <w:rPr>
          <w:b/>
        </w:rPr>
      </w:pPr>
      <w:r>
        <w:rPr>
          <w:b/>
        </w:rPr>
        <w:t>Table 1 –Plan Inclusions and Charges</w:t>
      </w:r>
    </w:p>
    <w:tbl>
      <w:tblPr>
        <w:tblW w:w="4580"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1"/>
        <w:gridCol w:w="1469"/>
        <w:gridCol w:w="1471"/>
        <w:gridCol w:w="1469"/>
        <w:gridCol w:w="1471"/>
        <w:gridCol w:w="1471"/>
      </w:tblGrid>
      <w:tr w:rsidR="000D07EA" w14:paraId="2617F239" w14:textId="77777777">
        <w:trPr>
          <w:tblHeader/>
        </w:trPr>
        <w:tc>
          <w:tcPr>
            <w:tcW w:w="1062" w:type="pct"/>
            <w:shd w:val="clear" w:color="auto" w:fill="auto"/>
          </w:tcPr>
          <w:p w14:paraId="6CB54B7B" w14:textId="77777777" w:rsidR="000D07EA" w:rsidRDefault="000D07EA">
            <w:pPr>
              <w:pStyle w:val="BodyText"/>
              <w:spacing w:before="100" w:after="100"/>
              <w:rPr>
                <w:szCs w:val="20"/>
              </w:rPr>
            </w:pPr>
          </w:p>
        </w:tc>
        <w:tc>
          <w:tcPr>
            <w:tcW w:w="787" w:type="pct"/>
          </w:tcPr>
          <w:p w14:paraId="021DADBD" w14:textId="77777777" w:rsidR="000D07EA" w:rsidRDefault="00BE7C89">
            <w:pPr>
              <w:pStyle w:val="BodyText"/>
              <w:spacing w:before="100" w:after="100"/>
              <w:jc w:val="center"/>
              <w:rPr>
                <w:b/>
                <w:szCs w:val="20"/>
              </w:rPr>
            </w:pPr>
            <w:r>
              <w:rPr>
                <w:b/>
                <w:szCs w:val="20"/>
              </w:rPr>
              <w:t>$40 My Plan Business</w:t>
            </w:r>
          </w:p>
        </w:tc>
        <w:tc>
          <w:tcPr>
            <w:tcW w:w="788" w:type="pct"/>
            <w:shd w:val="clear" w:color="auto" w:fill="auto"/>
          </w:tcPr>
          <w:p w14:paraId="479EEF78" w14:textId="77777777" w:rsidR="000D07EA" w:rsidRDefault="00BE7C89">
            <w:pPr>
              <w:pStyle w:val="BodyText"/>
              <w:spacing w:before="100" w:after="100"/>
              <w:jc w:val="center"/>
              <w:rPr>
                <w:b/>
                <w:szCs w:val="20"/>
              </w:rPr>
            </w:pPr>
            <w:r>
              <w:rPr>
                <w:b/>
                <w:szCs w:val="20"/>
              </w:rPr>
              <w:t>$60 My Plan Business</w:t>
            </w:r>
          </w:p>
        </w:tc>
        <w:tc>
          <w:tcPr>
            <w:tcW w:w="787" w:type="pct"/>
            <w:shd w:val="clear" w:color="auto" w:fill="auto"/>
          </w:tcPr>
          <w:p w14:paraId="3755B732" w14:textId="77777777" w:rsidR="000D07EA" w:rsidRDefault="00BE7C89">
            <w:pPr>
              <w:pStyle w:val="BodyText"/>
              <w:spacing w:before="100" w:after="100"/>
              <w:jc w:val="center"/>
              <w:rPr>
                <w:b/>
                <w:szCs w:val="20"/>
              </w:rPr>
            </w:pPr>
            <w:r>
              <w:rPr>
                <w:b/>
                <w:szCs w:val="20"/>
              </w:rPr>
              <w:t>$80 My Plan Business</w:t>
            </w:r>
          </w:p>
        </w:tc>
        <w:tc>
          <w:tcPr>
            <w:tcW w:w="788" w:type="pct"/>
          </w:tcPr>
          <w:p w14:paraId="6E61D985" w14:textId="77777777" w:rsidR="000D07EA" w:rsidRDefault="00BE7C89">
            <w:pPr>
              <w:pStyle w:val="BodyText"/>
              <w:spacing w:before="100" w:after="100"/>
              <w:jc w:val="center"/>
              <w:rPr>
                <w:b/>
                <w:szCs w:val="20"/>
              </w:rPr>
            </w:pPr>
            <w:r>
              <w:rPr>
                <w:b/>
                <w:szCs w:val="20"/>
              </w:rPr>
              <w:t>$100 My Plan Business</w:t>
            </w:r>
          </w:p>
        </w:tc>
        <w:tc>
          <w:tcPr>
            <w:tcW w:w="788" w:type="pct"/>
          </w:tcPr>
          <w:p w14:paraId="3AE2B3C9" w14:textId="77777777" w:rsidR="000D07EA" w:rsidRDefault="00BE7C89">
            <w:pPr>
              <w:pStyle w:val="BodyText"/>
              <w:spacing w:before="100" w:after="100"/>
              <w:jc w:val="center"/>
              <w:rPr>
                <w:b/>
                <w:szCs w:val="20"/>
              </w:rPr>
            </w:pPr>
            <w:r>
              <w:rPr>
                <w:b/>
                <w:szCs w:val="20"/>
              </w:rPr>
              <w:t>$120 My Plan Business</w:t>
            </w:r>
          </w:p>
        </w:tc>
      </w:tr>
      <w:tr w:rsidR="000D07EA" w14:paraId="3558F5D1" w14:textId="77777777">
        <w:tc>
          <w:tcPr>
            <w:tcW w:w="1062" w:type="pct"/>
            <w:shd w:val="clear" w:color="auto" w:fill="auto"/>
          </w:tcPr>
          <w:p w14:paraId="7FB44421" w14:textId="77777777" w:rsidR="000D07EA" w:rsidRDefault="00BE7C89">
            <w:pPr>
              <w:pStyle w:val="BodyText"/>
              <w:spacing w:before="100" w:after="100"/>
              <w:rPr>
                <w:szCs w:val="20"/>
              </w:rPr>
            </w:pPr>
            <w:r>
              <w:rPr>
                <w:b/>
                <w:bCs/>
                <w:szCs w:val="20"/>
              </w:rPr>
              <w:t>Minimum Monthly charge</w:t>
            </w:r>
          </w:p>
        </w:tc>
        <w:tc>
          <w:tcPr>
            <w:tcW w:w="787" w:type="pct"/>
            <w:vAlign w:val="center"/>
          </w:tcPr>
          <w:p w14:paraId="41A69482" w14:textId="77777777" w:rsidR="000D07EA" w:rsidRDefault="00BE7C89">
            <w:pPr>
              <w:pStyle w:val="BodyText"/>
              <w:spacing w:before="100" w:after="100"/>
              <w:jc w:val="center"/>
              <w:rPr>
                <w:szCs w:val="20"/>
              </w:rPr>
            </w:pPr>
            <w:r>
              <w:rPr>
                <w:szCs w:val="20"/>
              </w:rPr>
              <w:t>$40</w:t>
            </w:r>
          </w:p>
        </w:tc>
        <w:tc>
          <w:tcPr>
            <w:tcW w:w="788" w:type="pct"/>
            <w:shd w:val="clear" w:color="auto" w:fill="auto"/>
            <w:vAlign w:val="center"/>
          </w:tcPr>
          <w:p w14:paraId="2E9C1612" w14:textId="77777777" w:rsidR="000D07EA" w:rsidRDefault="00BE7C89">
            <w:pPr>
              <w:pStyle w:val="BodyText"/>
              <w:spacing w:before="100" w:after="100"/>
              <w:jc w:val="center"/>
              <w:rPr>
                <w:szCs w:val="20"/>
              </w:rPr>
            </w:pPr>
            <w:r>
              <w:rPr>
                <w:szCs w:val="20"/>
              </w:rPr>
              <w:t>$60</w:t>
            </w:r>
          </w:p>
        </w:tc>
        <w:tc>
          <w:tcPr>
            <w:tcW w:w="787" w:type="pct"/>
            <w:shd w:val="clear" w:color="auto" w:fill="auto"/>
            <w:vAlign w:val="center"/>
          </w:tcPr>
          <w:p w14:paraId="35077806" w14:textId="77777777" w:rsidR="000D07EA" w:rsidRDefault="00BE7C89">
            <w:pPr>
              <w:pStyle w:val="BodyText"/>
              <w:spacing w:before="100" w:after="100"/>
              <w:jc w:val="center"/>
              <w:rPr>
                <w:szCs w:val="20"/>
              </w:rPr>
            </w:pPr>
            <w:r>
              <w:rPr>
                <w:szCs w:val="20"/>
              </w:rPr>
              <w:t>$80</w:t>
            </w:r>
          </w:p>
        </w:tc>
        <w:tc>
          <w:tcPr>
            <w:tcW w:w="788" w:type="pct"/>
            <w:vAlign w:val="center"/>
          </w:tcPr>
          <w:p w14:paraId="7A943C97" w14:textId="77777777" w:rsidR="000D07EA" w:rsidRDefault="00BE7C89">
            <w:pPr>
              <w:pStyle w:val="BodyText"/>
              <w:spacing w:before="100" w:after="100"/>
              <w:jc w:val="center"/>
              <w:rPr>
                <w:szCs w:val="20"/>
              </w:rPr>
            </w:pPr>
            <w:r>
              <w:rPr>
                <w:szCs w:val="20"/>
              </w:rPr>
              <w:t>$100</w:t>
            </w:r>
          </w:p>
        </w:tc>
        <w:tc>
          <w:tcPr>
            <w:tcW w:w="788" w:type="pct"/>
            <w:vAlign w:val="center"/>
          </w:tcPr>
          <w:p w14:paraId="23E578D3" w14:textId="77777777" w:rsidR="000D07EA" w:rsidRDefault="00BE7C89">
            <w:pPr>
              <w:pStyle w:val="BodyText"/>
              <w:spacing w:before="100" w:after="100"/>
              <w:jc w:val="center"/>
              <w:rPr>
                <w:szCs w:val="20"/>
              </w:rPr>
            </w:pPr>
            <w:r>
              <w:rPr>
                <w:szCs w:val="20"/>
              </w:rPr>
              <w:t>$120</w:t>
            </w:r>
          </w:p>
        </w:tc>
      </w:tr>
      <w:tr w:rsidR="000D07EA" w14:paraId="4188F11E" w14:textId="77777777">
        <w:tc>
          <w:tcPr>
            <w:tcW w:w="1062" w:type="pct"/>
            <w:shd w:val="clear" w:color="auto" w:fill="auto"/>
          </w:tcPr>
          <w:p w14:paraId="30DB317D" w14:textId="77777777" w:rsidR="000D07EA" w:rsidRDefault="00BE7C89">
            <w:pPr>
              <w:pStyle w:val="BodyText"/>
              <w:spacing w:before="100" w:after="100"/>
              <w:rPr>
                <w:szCs w:val="20"/>
              </w:rPr>
            </w:pPr>
            <w:r>
              <w:rPr>
                <w:b/>
                <w:bCs/>
                <w:szCs w:val="20"/>
              </w:rPr>
              <w:t>Included Data</w:t>
            </w:r>
          </w:p>
        </w:tc>
        <w:tc>
          <w:tcPr>
            <w:tcW w:w="787" w:type="pct"/>
            <w:vAlign w:val="center"/>
          </w:tcPr>
          <w:p w14:paraId="640644BA" w14:textId="77777777" w:rsidR="000D07EA" w:rsidRDefault="00BE7C89">
            <w:pPr>
              <w:pStyle w:val="BodyText"/>
              <w:spacing w:before="100" w:after="100"/>
              <w:jc w:val="center"/>
              <w:rPr>
                <w:szCs w:val="20"/>
              </w:rPr>
            </w:pPr>
            <w:r>
              <w:rPr>
                <w:szCs w:val="20"/>
              </w:rPr>
              <w:t>500MB</w:t>
            </w:r>
          </w:p>
        </w:tc>
        <w:tc>
          <w:tcPr>
            <w:tcW w:w="788" w:type="pct"/>
            <w:shd w:val="clear" w:color="auto" w:fill="auto"/>
            <w:vAlign w:val="center"/>
          </w:tcPr>
          <w:p w14:paraId="5F8775E0" w14:textId="77777777" w:rsidR="000D07EA" w:rsidRDefault="00BE7C89">
            <w:pPr>
              <w:pStyle w:val="BodyText"/>
              <w:spacing w:before="100" w:after="100"/>
              <w:jc w:val="center"/>
              <w:rPr>
                <w:szCs w:val="20"/>
              </w:rPr>
            </w:pPr>
            <w:r>
              <w:rPr>
                <w:szCs w:val="20"/>
              </w:rPr>
              <w:t>3GB</w:t>
            </w:r>
          </w:p>
        </w:tc>
        <w:tc>
          <w:tcPr>
            <w:tcW w:w="787" w:type="pct"/>
            <w:shd w:val="clear" w:color="auto" w:fill="auto"/>
            <w:vAlign w:val="center"/>
          </w:tcPr>
          <w:p w14:paraId="6AC1F833" w14:textId="77777777" w:rsidR="000D07EA" w:rsidRDefault="00BE7C89">
            <w:pPr>
              <w:pStyle w:val="BodyText"/>
              <w:spacing w:before="100" w:after="100"/>
              <w:jc w:val="center"/>
              <w:rPr>
                <w:szCs w:val="20"/>
              </w:rPr>
            </w:pPr>
            <w:r>
              <w:rPr>
                <w:szCs w:val="20"/>
              </w:rPr>
              <w:t>6GB</w:t>
            </w:r>
          </w:p>
        </w:tc>
        <w:tc>
          <w:tcPr>
            <w:tcW w:w="788" w:type="pct"/>
            <w:vAlign w:val="center"/>
          </w:tcPr>
          <w:p w14:paraId="2E5BB6F6" w14:textId="77777777" w:rsidR="000D07EA" w:rsidRDefault="00BE7C89">
            <w:pPr>
              <w:pStyle w:val="BodyText"/>
              <w:spacing w:before="100" w:after="100"/>
              <w:jc w:val="center"/>
              <w:rPr>
                <w:szCs w:val="20"/>
              </w:rPr>
            </w:pPr>
            <w:r>
              <w:rPr>
                <w:szCs w:val="20"/>
              </w:rPr>
              <w:t>15GB</w:t>
            </w:r>
          </w:p>
        </w:tc>
        <w:tc>
          <w:tcPr>
            <w:tcW w:w="788" w:type="pct"/>
            <w:vAlign w:val="center"/>
          </w:tcPr>
          <w:p w14:paraId="0F86CD91" w14:textId="77777777" w:rsidR="000D07EA" w:rsidRDefault="00BE7C89">
            <w:pPr>
              <w:pStyle w:val="BodyText"/>
              <w:spacing w:before="100" w:after="100"/>
              <w:jc w:val="center"/>
              <w:rPr>
                <w:szCs w:val="20"/>
              </w:rPr>
            </w:pPr>
            <w:r>
              <w:rPr>
                <w:szCs w:val="20"/>
              </w:rPr>
              <w:t>20GB</w:t>
            </w:r>
          </w:p>
        </w:tc>
      </w:tr>
      <w:tr w:rsidR="000D07EA" w14:paraId="223AE255" w14:textId="77777777">
        <w:tc>
          <w:tcPr>
            <w:tcW w:w="1062" w:type="pct"/>
            <w:shd w:val="clear" w:color="auto" w:fill="auto"/>
          </w:tcPr>
          <w:p w14:paraId="3D96E3A4" w14:textId="77777777" w:rsidR="000D07EA" w:rsidRDefault="00BE7C89">
            <w:pPr>
              <w:pStyle w:val="BodyText"/>
              <w:spacing w:before="100" w:after="100"/>
              <w:rPr>
                <w:b/>
                <w:bCs/>
                <w:szCs w:val="20"/>
              </w:rPr>
            </w:pPr>
            <w:r>
              <w:rPr>
                <w:b/>
                <w:bCs/>
                <w:szCs w:val="20"/>
              </w:rPr>
              <w:t>Additional Data</w:t>
            </w:r>
          </w:p>
        </w:tc>
        <w:tc>
          <w:tcPr>
            <w:tcW w:w="3938" w:type="pct"/>
            <w:gridSpan w:val="5"/>
            <w:vAlign w:val="center"/>
          </w:tcPr>
          <w:p w14:paraId="60A7D8F4" w14:textId="77777777" w:rsidR="000D07EA" w:rsidRDefault="00BE7C89">
            <w:pPr>
              <w:pStyle w:val="BodyText"/>
              <w:spacing w:before="100" w:after="100"/>
              <w:jc w:val="center"/>
              <w:rPr>
                <w:szCs w:val="20"/>
              </w:rPr>
            </w:pPr>
            <w:r>
              <w:rPr>
                <w:szCs w:val="20"/>
              </w:rPr>
              <w:t>Additional data $10 per 1GB</w:t>
            </w:r>
          </w:p>
        </w:tc>
      </w:tr>
      <w:tr w:rsidR="000D07EA" w14:paraId="1D4FC68B" w14:textId="77777777">
        <w:tc>
          <w:tcPr>
            <w:tcW w:w="1062" w:type="pct"/>
            <w:shd w:val="clear" w:color="auto" w:fill="auto"/>
          </w:tcPr>
          <w:p w14:paraId="48099A9D" w14:textId="77777777" w:rsidR="000D07EA" w:rsidRDefault="00BE7C89">
            <w:pPr>
              <w:pStyle w:val="BodyText"/>
              <w:spacing w:before="100" w:after="100"/>
              <w:rPr>
                <w:szCs w:val="20"/>
              </w:rPr>
            </w:pPr>
            <w:r>
              <w:rPr>
                <w:b/>
                <w:bCs/>
                <w:szCs w:val="20"/>
              </w:rPr>
              <w:t xml:space="preserve">Included Minutes </w:t>
            </w:r>
            <w:r>
              <w:rPr>
                <w:szCs w:val="20"/>
              </w:rPr>
              <w:t>for standard national calls to landlines and mobiles, 1300 numbers and voicemail, within Australia</w:t>
            </w:r>
          </w:p>
        </w:tc>
        <w:tc>
          <w:tcPr>
            <w:tcW w:w="787" w:type="pct"/>
            <w:vAlign w:val="center"/>
          </w:tcPr>
          <w:p w14:paraId="337D5AAB" w14:textId="77777777" w:rsidR="000D07EA" w:rsidRDefault="00BE7C89">
            <w:pPr>
              <w:pStyle w:val="BodyText"/>
              <w:spacing w:before="100" w:after="100"/>
              <w:jc w:val="center"/>
              <w:rPr>
                <w:szCs w:val="20"/>
              </w:rPr>
            </w:pPr>
            <w:r>
              <w:rPr>
                <w:szCs w:val="20"/>
              </w:rPr>
              <w:t>Unlimited</w:t>
            </w:r>
          </w:p>
        </w:tc>
        <w:tc>
          <w:tcPr>
            <w:tcW w:w="788" w:type="pct"/>
            <w:shd w:val="clear" w:color="auto" w:fill="auto"/>
            <w:vAlign w:val="center"/>
          </w:tcPr>
          <w:p w14:paraId="6B0C1F98" w14:textId="77777777" w:rsidR="000D07EA" w:rsidRDefault="00BE7C89">
            <w:pPr>
              <w:pStyle w:val="BodyText"/>
              <w:spacing w:before="100" w:after="100"/>
              <w:jc w:val="center"/>
              <w:rPr>
                <w:szCs w:val="20"/>
              </w:rPr>
            </w:pPr>
            <w:r>
              <w:rPr>
                <w:szCs w:val="20"/>
              </w:rPr>
              <w:t>Unlimited</w:t>
            </w:r>
          </w:p>
        </w:tc>
        <w:tc>
          <w:tcPr>
            <w:tcW w:w="787" w:type="pct"/>
            <w:shd w:val="clear" w:color="auto" w:fill="auto"/>
            <w:vAlign w:val="center"/>
          </w:tcPr>
          <w:p w14:paraId="4B250361" w14:textId="77777777" w:rsidR="000D07EA" w:rsidRDefault="00BE7C89">
            <w:pPr>
              <w:pStyle w:val="BodyText"/>
              <w:spacing w:before="100" w:after="100"/>
              <w:jc w:val="center"/>
              <w:rPr>
                <w:szCs w:val="20"/>
              </w:rPr>
            </w:pPr>
            <w:r>
              <w:rPr>
                <w:szCs w:val="20"/>
              </w:rPr>
              <w:t>Unlimited</w:t>
            </w:r>
          </w:p>
        </w:tc>
        <w:tc>
          <w:tcPr>
            <w:tcW w:w="788" w:type="pct"/>
            <w:vAlign w:val="center"/>
          </w:tcPr>
          <w:p w14:paraId="65FF6F23" w14:textId="77777777" w:rsidR="000D07EA" w:rsidRDefault="00BE7C89">
            <w:pPr>
              <w:pStyle w:val="BodyText"/>
              <w:spacing w:before="100" w:after="100"/>
              <w:jc w:val="center"/>
              <w:rPr>
                <w:szCs w:val="20"/>
              </w:rPr>
            </w:pPr>
            <w:r>
              <w:rPr>
                <w:szCs w:val="20"/>
              </w:rPr>
              <w:t>Unlimited</w:t>
            </w:r>
          </w:p>
        </w:tc>
        <w:tc>
          <w:tcPr>
            <w:tcW w:w="788" w:type="pct"/>
            <w:vAlign w:val="center"/>
          </w:tcPr>
          <w:p w14:paraId="135775D2" w14:textId="77777777" w:rsidR="000D07EA" w:rsidRDefault="00BE7C89">
            <w:pPr>
              <w:pStyle w:val="BodyText"/>
              <w:spacing w:before="100" w:after="100"/>
              <w:jc w:val="center"/>
              <w:rPr>
                <w:szCs w:val="20"/>
              </w:rPr>
            </w:pPr>
            <w:r>
              <w:rPr>
                <w:szCs w:val="20"/>
              </w:rPr>
              <w:t>Unlimited</w:t>
            </w:r>
          </w:p>
        </w:tc>
      </w:tr>
      <w:tr w:rsidR="000D07EA" w14:paraId="1FE77604" w14:textId="77777777">
        <w:tc>
          <w:tcPr>
            <w:tcW w:w="1062" w:type="pct"/>
            <w:shd w:val="clear" w:color="auto" w:fill="auto"/>
          </w:tcPr>
          <w:p w14:paraId="18808064" w14:textId="77777777" w:rsidR="000D07EA" w:rsidRDefault="00BE7C89">
            <w:pPr>
              <w:pStyle w:val="BodyText"/>
              <w:spacing w:before="100" w:after="100"/>
              <w:rPr>
                <w:b/>
                <w:bCs/>
                <w:szCs w:val="20"/>
              </w:rPr>
            </w:pPr>
            <w:r>
              <w:rPr>
                <w:b/>
                <w:bCs/>
                <w:szCs w:val="20"/>
              </w:rPr>
              <w:t>Included International Minutes</w:t>
            </w:r>
          </w:p>
          <w:p w14:paraId="14CA3128" w14:textId="77777777" w:rsidR="000D07EA" w:rsidRDefault="00BE7C89">
            <w:pPr>
              <w:pStyle w:val="BodyText"/>
              <w:spacing w:before="100" w:after="100"/>
              <w:rPr>
                <w:b/>
                <w:bCs/>
                <w:szCs w:val="20"/>
              </w:rPr>
            </w:pPr>
            <w:r>
              <w:rPr>
                <w:szCs w:val="20"/>
              </w:rPr>
              <w:t xml:space="preserve">Standard international calls </w:t>
            </w:r>
            <w:r>
              <w:rPr>
                <w:szCs w:val="20"/>
              </w:rPr>
              <w:lastRenderedPageBreak/>
              <w:t xml:space="preserve">to landlines and mobiles to selected countries </w:t>
            </w:r>
          </w:p>
        </w:tc>
        <w:tc>
          <w:tcPr>
            <w:tcW w:w="787" w:type="pct"/>
            <w:vAlign w:val="center"/>
          </w:tcPr>
          <w:p w14:paraId="2BCC812E" w14:textId="77777777" w:rsidR="000D07EA" w:rsidRDefault="00BE7C89">
            <w:pPr>
              <w:pStyle w:val="BodyText"/>
              <w:spacing w:before="100" w:after="100"/>
              <w:jc w:val="center"/>
              <w:rPr>
                <w:szCs w:val="20"/>
              </w:rPr>
            </w:pPr>
            <w:r>
              <w:rPr>
                <w:szCs w:val="20"/>
              </w:rPr>
              <w:lastRenderedPageBreak/>
              <w:t>Not included</w:t>
            </w:r>
          </w:p>
        </w:tc>
        <w:tc>
          <w:tcPr>
            <w:tcW w:w="788" w:type="pct"/>
            <w:shd w:val="clear" w:color="auto" w:fill="auto"/>
            <w:vAlign w:val="center"/>
          </w:tcPr>
          <w:p w14:paraId="5F849DA5" w14:textId="77777777" w:rsidR="000D07EA" w:rsidRDefault="00BE7C89">
            <w:pPr>
              <w:pStyle w:val="BodyText"/>
              <w:spacing w:before="100" w:after="100"/>
              <w:jc w:val="center"/>
              <w:rPr>
                <w:szCs w:val="20"/>
              </w:rPr>
            </w:pPr>
            <w:r>
              <w:rPr>
                <w:bCs/>
                <w:szCs w:val="20"/>
              </w:rPr>
              <w:t>Up to 150 mins</w:t>
            </w:r>
          </w:p>
        </w:tc>
        <w:tc>
          <w:tcPr>
            <w:tcW w:w="787" w:type="pct"/>
            <w:shd w:val="clear" w:color="auto" w:fill="auto"/>
            <w:vAlign w:val="center"/>
          </w:tcPr>
          <w:p w14:paraId="7DA0BE45" w14:textId="77777777" w:rsidR="000D07EA" w:rsidRDefault="00BE7C89">
            <w:pPr>
              <w:pStyle w:val="BodyText"/>
              <w:spacing w:before="100" w:after="100"/>
              <w:jc w:val="center"/>
              <w:rPr>
                <w:szCs w:val="20"/>
              </w:rPr>
            </w:pPr>
            <w:r>
              <w:rPr>
                <w:bCs/>
                <w:szCs w:val="20"/>
              </w:rPr>
              <w:t>Up to 300 mins</w:t>
            </w:r>
          </w:p>
        </w:tc>
        <w:tc>
          <w:tcPr>
            <w:tcW w:w="788" w:type="pct"/>
            <w:vAlign w:val="center"/>
          </w:tcPr>
          <w:p w14:paraId="1AB05C86" w14:textId="77777777" w:rsidR="000D07EA" w:rsidRDefault="00BE7C89">
            <w:pPr>
              <w:pStyle w:val="BodyText"/>
              <w:spacing w:before="100" w:after="100"/>
              <w:jc w:val="center"/>
              <w:rPr>
                <w:bCs/>
                <w:szCs w:val="20"/>
              </w:rPr>
            </w:pPr>
            <w:r>
              <w:rPr>
                <w:bCs/>
                <w:szCs w:val="20"/>
              </w:rPr>
              <w:t>Up to 400 mins</w:t>
            </w:r>
          </w:p>
        </w:tc>
        <w:tc>
          <w:tcPr>
            <w:tcW w:w="788" w:type="pct"/>
            <w:vAlign w:val="center"/>
          </w:tcPr>
          <w:p w14:paraId="7ADA331A" w14:textId="77777777" w:rsidR="000D07EA" w:rsidRDefault="00BE7C89">
            <w:pPr>
              <w:pStyle w:val="BodyText"/>
              <w:spacing w:before="100" w:after="100"/>
              <w:jc w:val="center"/>
              <w:rPr>
                <w:bCs/>
                <w:szCs w:val="20"/>
              </w:rPr>
            </w:pPr>
            <w:r>
              <w:rPr>
                <w:szCs w:val="20"/>
              </w:rPr>
              <w:t>Unlimited</w:t>
            </w:r>
          </w:p>
        </w:tc>
      </w:tr>
      <w:tr w:rsidR="000D07EA" w14:paraId="721DA047" w14:textId="77777777">
        <w:tc>
          <w:tcPr>
            <w:tcW w:w="1062" w:type="pct"/>
            <w:shd w:val="clear" w:color="auto" w:fill="auto"/>
          </w:tcPr>
          <w:p w14:paraId="0DA73DD0" w14:textId="77777777" w:rsidR="000D07EA" w:rsidRDefault="00BE7C89">
            <w:pPr>
              <w:pStyle w:val="BodyText"/>
              <w:spacing w:before="100" w:after="100"/>
              <w:rPr>
                <w:szCs w:val="20"/>
              </w:rPr>
            </w:pPr>
            <w:r>
              <w:rPr>
                <w:b/>
                <w:bCs/>
                <w:szCs w:val="20"/>
              </w:rPr>
              <w:t xml:space="preserve">Standard national SMS </w:t>
            </w:r>
            <w:r>
              <w:rPr>
                <w:szCs w:val="20"/>
              </w:rPr>
              <w:t>(per SMS of up to 160 standard characters)</w:t>
            </w:r>
          </w:p>
        </w:tc>
        <w:tc>
          <w:tcPr>
            <w:tcW w:w="787" w:type="pct"/>
            <w:vAlign w:val="center"/>
          </w:tcPr>
          <w:p w14:paraId="63FB1D8A" w14:textId="77777777" w:rsidR="000D07EA" w:rsidRDefault="00BE7C89">
            <w:pPr>
              <w:pStyle w:val="BodyText"/>
              <w:spacing w:before="100" w:after="100"/>
              <w:jc w:val="center"/>
              <w:rPr>
                <w:szCs w:val="20"/>
              </w:rPr>
            </w:pPr>
            <w:r>
              <w:rPr>
                <w:szCs w:val="20"/>
              </w:rPr>
              <w:t>Unlimited</w:t>
            </w:r>
          </w:p>
        </w:tc>
        <w:tc>
          <w:tcPr>
            <w:tcW w:w="788" w:type="pct"/>
            <w:shd w:val="clear" w:color="auto" w:fill="auto"/>
            <w:vAlign w:val="center"/>
          </w:tcPr>
          <w:p w14:paraId="33A93430" w14:textId="77777777" w:rsidR="000D07EA" w:rsidRDefault="00BE7C89">
            <w:pPr>
              <w:pStyle w:val="BodyText"/>
              <w:spacing w:before="100" w:after="100"/>
              <w:jc w:val="center"/>
              <w:rPr>
                <w:szCs w:val="20"/>
              </w:rPr>
            </w:pPr>
            <w:r>
              <w:rPr>
                <w:szCs w:val="20"/>
              </w:rPr>
              <w:t>Unlimited</w:t>
            </w:r>
          </w:p>
        </w:tc>
        <w:tc>
          <w:tcPr>
            <w:tcW w:w="787" w:type="pct"/>
            <w:shd w:val="clear" w:color="auto" w:fill="auto"/>
            <w:vAlign w:val="center"/>
          </w:tcPr>
          <w:p w14:paraId="7D43F558" w14:textId="77777777" w:rsidR="000D07EA" w:rsidRDefault="00BE7C89">
            <w:pPr>
              <w:pStyle w:val="BodyText"/>
              <w:spacing w:before="100" w:after="100"/>
              <w:jc w:val="center"/>
              <w:rPr>
                <w:szCs w:val="20"/>
              </w:rPr>
            </w:pPr>
            <w:r>
              <w:rPr>
                <w:szCs w:val="20"/>
              </w:rPr>
              <w:t>Unlimited</w:t>
            </w:r>
          </w:p>
        </w:tc>
        <w:tc>
          <w:tcPr>
            <w:tcW w:w="788" w:type="pct"/>
            <w:vAlign w:val="center"/>
          </w:tcPr>
          <w:p w14:paraId="33281DFE" w14:textId="77777777" w:rsidR="000D07EA" w:rsidRDefault="00BE7C89">
            <w:pPr>
              <w:pStyle w:val="BodyText"/>
              <w:spacing w:before="100" w:after="100"/>
              <w:jc w:val="center"/>
              <w:rPr>
                <w:szCs w:val="20"/>
              </w:rPr>
            </w:pPr>
            <w:r>
              <w:rPr>
                <w:szCs w:val="20"/>
              </w:rPr>
              <w:t>Unlimited</w:t>
            </w:r>
          </w:p>
        </w:tc>
        <w:tc>
          <w:tcPr>
            <w:tcW w:w="788" w:type="pct"/>
            <w:vAlign w:val="center"/>
          </w:tcPr>
          <w:p w14:paraId="251357D7" w14:textId="77777777" w:rsidR="000D07EA" w:rsidRDefault="00BE7C89">
            <w:pPr>
              <w:pStyle w:val="BodyText"/>
              <w:spacing w:before="100" w:after="100"/>
              <w:jc w:val="center"/>
              <w:rPr>
                <w:szCs w:val="20"/>
              </w:rPr>
            </w:pPr>
            <w:r>
              <w:rPr>
                <w:szCs w:val="20"/>
              </w:rPr>
              <w:t>Unlim1ited</w:t>
            </w:r>
          </w:p>
        </w:tc>
      </w:tr>
      <w:tr w:rsidR="000D07EA" w14:paraId="5B6BFDAD" w14:textId="77777777">
        <w:tc>
          <w:tcPr>
            <w:tcW w:w="1062" w:type="pct"/>
            <w:shd w:val="clear" w:color="auto" w:fill="auto"/>
          </w:tcPr>
          <w:p w14:paraId="759AC770" w14:textId="77777777" w:rsidR="000D07EA" w:rsidRDefault="00BE7C89">
            <w:pPr>
              <w:pStyle w:val="BodyText"/>
              <w:keepNext/>
              <w:keepLines/>
              <w:spacing w:before="100" w:after="100"/>
              <w:rPr>
                <w:b/>
                <w:bCs/>
                <w:szCs w:val="20"/>
              </w:rPr>
            </w:pPr>
            <w:r>
              <w:rPr>
                <w:b/>
                <w:bCs/>
                <w:szCs w:val="20"/>
              </w:rPr>
              <w:t xml:space="preserve">Standard national MMS </w:t>
            </w:r>
            <w:r>
              <w:rPr>
                <w:szCs w:val="20"/>
              </w:rPr>
              <w:t>(per message)</w:t>
            </w:r>
          </w:p>
        </w:tc>
        <w:tc>
          <w:tcPr>
            <w:tcW w:w="787" w:type="pct"/>
            <w:vAlign w:val="center"/>
          </w:tcPr>
          <w:p w14:paraId="4DE2196F" w14:textId="77777777" w:rsidR="000D07EA" w:rsidRDefault="00BE7C89">
            <w:pPr>
              <w:pStyle w:val="BodyText"/>
              <w:keepNext/>
              <w:keepLines/>
              <w:spacing w:before="100" w:after="100"/>
              <w:jc w:val="center"/>
              <w:rPr>
                <w:szCs w:val="20"/>
              </w:rPr>
            </w:pPr>
            <w:r>
              <w:rPr>
                <w:szCs w:val="20"/>
              </w:rPr>
              <w:t>Unlimited</w:t>
            </w:r>
          </w:p>
        </w:tc>
        <w:tc>
          <w:tcPr>
            <w:tcW w:w="788" w:type="pct"/>
            <w:shd w:val="clear" w:color="auto" w:fill="auto"/>
            <w:vAlign w:val="center"/>
          </w:tcPr>
          <w:p w14:paraId="75F69A00" w14:textId="77777777" w:rsidR="000D07EA" w:rsidRDefault="00BE7C89">
            <w:pPr>
              <w:pStyle w:val="BodyText"/>
              <w:keepNext/>
              <w:keepLines/>
              <w:spacing w:before="100" w:after="100"/>
              <w:jc w:val="center"/>
              <w:rPr>
                <w:szCs w:val="20"/>
              </w:rPr>
            </w:pPr>
            <w:r>
              <w:rPr>
                <w:szCs w:val="20"/>
              </w:rPr>
              <w:t>Unlimited</w:t>
            </w:r>
          </w:p>
        </w:tc>
        <w:tc>
          <w:tcPr>
            <w:tcW w:w="787" w:type="pct"/>
            <w:shd w:val="clear" w:color="auto" w:fill="auto"/>
            <w:vAlign w:val="center"/>
          </w:tcPr>
          <w:p w14:paraId="107EFAAC" w14:textId="77777777" w:rsidR="000D07EA" w:rsidRDefault="00BE7C89">
            <w:pPr>
              <w:pStyle w:val="BodyText"/>
              <w:keepNext/>
              <w:keepLines/>
              <w:spacing w:before="100" w:after="100"/>
              <w:jc w:val="center"/>
              <w:rPr>
                <w:szCs w:val="20"/>
              </w:rPr>
            </w:pPr>
            <w:r>
              <w:rPr>
                <w:szCs w:val="20"/>
              </w:rPr>
              <w:t>Unlimited</w:t>
            </w:r>
          </w:p>
        </w:tc>
        <w:tc>
          <w:tcPr>
            <w:tcW w:w="788" w:type="pct"/>
            <w:vAlign w:val="center"/>
          </w:tcPr>
          <w:p w14:paraId="726357F2" w14:textId="77777777" w:rsidR="000D07EA" w:rsidRDefault="00BE7C89">
            <w:pPr>
              <w:pStyle w:val="BodyText"/>
              <w:keepNext/>
              <w:keepLines/>
              <w:spacing w:before="100" w:after="100"/>
              <w:jc w:val="center"/>
              <w:rPr>
                <w:szCs w:val="20"/>
              </w:rPr>
            </w:pPr>
            <w:r>
              <w:rPr>
                <w:szCs w:val="20"/>
              </w:rPr>
              <w:t>Unlimited</w:t>
            </w:r>
          </w:p>
        </w:tc>
        <w:tc>
          <w:tcPr>
            <w:tcW w:w="788" w:type="pct"/>
            <w:vAlign w:val="center"/>
          </w:tcPr>
          <w:p w14:paraId="6831D958" w14:textId="77777777" w:rsidR="000D07EA" w:rsidRDefault="00BE7C89">
            <w:pPr>
              <w:pStyle w:val="BodyText"/>
              <w:keepNext/>
              <w:keepLines/>
              <w:spacing w:before="100" w:after="100"/>
              <w:jc w:val="center"/>
              <w:rPr>
                <w:szCs w:val="20"/>
              </w:rPr>
            </w:pPr>
            <w:r>
              <w:rPr>
                <w:szCs w:val="20"/>
              </w:rPr>
              <w:t>Unlimited</w:t>
            </w:r>
          </w:p>
        </w:tc>
      </w:tr>
      <w:tr w:rsidR="000D07EA" w14:paraId="2FEF9CD3" w14:textId="77777777">
        <w:tc>
          <w:tcPr>
            <w:tcW w:w="1062" w:type="pct"/>
            <w:shd w:val="clear" w:color="auto" w:fill="auto"/>
          </w:tcPr>
          <w:p w14:paraId="58EFC796" w14:textId="77777777" w:rsidR="000D07EA" w:rsidRDefault="00BE7C89">
            <w:pPr>
              <w:pStyle w:val="BodyText"/>
              <w:spacing w:before="100" w:after="100"/>
              <w:rPr>
                <w:b/>
                <w:bCs/>
                <w:szCs w:val="20"/>
              </w:rPr>
            </w:pPr>
            <w:r>
              <w:rPr>
                <w:b/>
                <w:bCs/>
                <w:szCs w:val="20"/>
              </w:rPr>
              <w:t xml:space="preserve">Standard international SMS </w:t>
            </w:r>
            <w:r>
              <w:rPr>
                <w:szCs w:val="20"/>
              </w:rPr>
              <w:t>(per SMS of up to 160 standard characters to selected countries)</w:t>
            </w:r>
          </w:p>
        </w:tc>
        <w:tc>
          <w:tcPr>
            <w:tcW w:w="787" w:type="pct"/>
            <w:vAlign w:val="center"/>
          </w:tcPr>
          <w:p w14:paraId="01C8BB5C" w14:textId="77777777" w:rsidR="000D07EA" w:rsidRDefault="00BE7C89">
            <w:pPr>
              <w:pStyle w:val="BodyText"/>
              <w:spacing w:before="100" w:after="100"/>
              <w:jc w:val="center"/>
              <w:rPr>
                <w:szCs w:val="20"/>
              </w:rPr>
            </w:pPr>
            <w:r>
              <w:rPr>
                <w:szCs w:val="20"/>
              </w:rPr>
              <w:t>Unlimited</w:t>
            </w:r>
          </w:p>
        </w:tc>
        <w:tc>
          <w:tcPr>
            <w:tcW w:w="788" w:type="pct"/>
            <w:shd w:val="clear" w:color="auto" w:fill="auto"/>
            <w:vAlign w:val="center"/>
          </w:tcPr>
          <w:p w14:paraId="0CC86130" w14:textId="77777777" w:rsidR="000D07EA" w:rsidRDefault="00BE7C89">
            <w:pPr>
              <w:pStyle w:val="BodyText"/>
              <w:spacing w:before="100" w:after="100"/>
              <w:jc w:val="center"/>
              <w:rPr>
                <w:szCs w:val="20"/>
              </w:rPr>
            </w:pPr>
            <w:r>
              <w:rPr>
                <w:szCs w:val="20"/>
              </w:rPr>
              <w:t>Unlimited</w:t>
            </w:r>
          </w:p>
        </w:tc>
        <w:tc>
          <w:tcPr>
            <w:tcW w:w="787" w:type="pct"/>
            <w:shd w:val="clear" w:color="auto" w:fill="auto"/>
            <w:vAlign w:val="center"/>
          </w:tcPr>
          <w:p w14:paraId="7E451AB8" w14:textId="77777777" w:rsidR="000D07EA" w:rsidRDefault="00BE7C89">
            <w:pPr>
              <w:pStyle w:val="BodyText"/>
              <w:spacing w:before="100" w:after="100"/>
              <w:jc w:val="center"/>
              <w:rPr>
                <w:szCs w:val="20"/>
              </w:rPr>
            </w:pPr>
            <w:r>
              <w:rPr>
                <w:szCs w:val="20"/>
              </w:rPr>
              <w:t>Unlimited</w:t>
            </w:r>
          </w:p>
        </w:tc>
        <w:tc>
          <w:tcPr>
            <w:tcW w:w="788" w:type="pct"/>
            <w:vAlign w:val="center"/>
          </w:tcPr>
          <w:p w14:paraId="3C1F0317" w14:textId="77777777" w:rsidR="000D07EA" w:rsidRDefault="00BE7C89">
            <w:pPr>
              <w:pStyle w:val="BodyText"/>
              <w:spacing w:before="100" w:after="100"/>
              <w:jc w:val="center"/>
              <w:rPr>
                <w:szCs w:val="20"/>
              </w:rPr>
            </w:pPr>
            <w:r>
              <w:rPr>
                <w:szCs w:val="20"/>
              </w:rPr>
              <w:t>Unlimited</w:t>
            </w:r>
          </w:p>
        </w:tc>
        <w:tc>
          <w:tcPr>
            <w:tcW w:w="788" w:type="pct"/>
            <w:vAlign w:val="center"/>
          </w:tcPr>
          <w:p w14:paraId="0CC65676" w14:textId="77777777" w:rsidR="000D07EA" w:rsidRDefault="00BE7C89">
            <w:pPr>
              <w:pStyle w:val="BodyText"/>
              <w:spacing w:before="100" w:after="100"/>
              <w:jc w:val="center"/>
              <w:rPr>
                <w:szCs w:val="20"/>
              </w:rPr>
            </w:pPr>
            <w:r>
              <w:rPr>
                <w:szCs w:val="20"/>
              </w:rPr>
              <w:t>Unlimited</w:t>
            </w:r>
          </w:p>
        </w:tc>
      </w:tr>
      <w:tr w:rsidR="000D07EA" w14:paraId="3A7F0D71" w14:textId="77777777">
        <w:tc>
          <w:tcPr>
            <w:tcW w:w="1062" w:type="pct"/>
            <w:shd w:val="clear" w:color="auto" w:fill="auto"/>
          </w:tcPr>
          <w:p w14:paraId="166007B9" w14:textId="77777777" w:rsidR="000D07EA" w:rsidRDefault="00BE7C89">
            <w:pPr>
              <w:pStyle w:val="BodyText"/>
              <w:spacing w:before="100" w:after="100"/>
              <w:rPr>
                <w:b/>
                <w:bCs/>
                <w:szCs w:val="20"/>
              </w:rPr>
            </w:pPr>
            <w:r>
              <w:rPr>
                <w:b/>
                <w:bCs/>
                <w:szCs w:val="20"/>
              </w:rPr>
              <w:t xml:space="preserve">Standard international MMS </w:t>
            </w:r>
            <w:r>
              <w:rPr>
                <w:szCs w:val="20"/>
              </w:rPr>
              <w:t>(per message to selected countries)</w:t>
            </w:r>
          </w:p>
        </w:tc>
        <w:tc>
          <w:tcPr>
            <w:tcW w:w="787" w:type="pct"/>
            <w:vAlign w:val="center"/>
          </w:tcPr>
          <w:p w14:paraId="7D14F91A" w14:textId="77777777" w:rsidR="000D07EA" w:rsidRDefault="00BE7C89">
            <w:pPr>
              <w:pStyle w:val="BodyText"/>
              <w:spacing w:before="100" w:after="100"/>
              <w:jc w:val="center"/>
              <w:rPr>
                <w:szCs w:val="20"/>
              </w:rPr>
            </w:pPr>
            <w:r>
              <w:rPr>
                <w:szCs w:val="20"/>
              </w:rPr>
              <w:t>Unlimited</w:t>
            </w:r>
          </w:p>
        </w:tc>
        <w:tc>
          <w:tcPr>
            <w:tcW w:w="788" w:type="pct"/>
            <w:shd w:val="clear" w:color="auto" w:fill="auto"/>
            <w:vAlign w:val="center"/>
          </w:tcPr>
          <w:p w14:paraId="28A563CA" w14:textId="77777777" w:rsidR="000D07EA" w:rsidRDefault="00BE7C89">
            <w:pPr>
              <w:pStyle w:val="BodyText"/>
              <w:spacing w:before="100" w:after="100"/>
              <w:jc w:val="center"/>
              <w:rPr>
                <w:szCs w:val="20"/>
              </w:rPr>
            </w:pPr>
            <w:r>
              <w:rPr>
                <w:szCs w:val="20"/>
              </w:rPr>
              <w:t>Unlimited</w:t>
            </w:r>
          </w:p>
        </w:tc>
        <w:tc>
          <w:tcPr>
            <w:tcW w:w="787" w:type="pct"/>
            <w:shd w:val="clear" w:color="auto" w:fill="auto"/>
            <w:vAlign w:val="center"/>
          </w:tcPr>
          <w:p w14:paraId="6BF21445" w14:textId="77777777" w:rsidR="000D07EA" w:rsidRDefault="00BE7C89">
            <w:pPr>
              <w:pStyle w:val="BodyText"/>
              <w:spacing w:before="100" w:after="100"/>
              <w:jc w:val="center"/>
              <w:rPr>
                <w:szCs w:val="20"/>
              </w:rPr>
            </w:pPr>
            <w:r>
              <w:rPr>
                <w:szCs w:val="20"/>
              </w:rPr>
              <w:t>Unlimited</w:t>
            </w:r>
          </w:p>
        </w:tc>
        <w:tc>
          <w:tcPr>
            <w:tcW w:w="788" w:type="pct"/>
            <w:vAlign w:val="center"/>
          </w:tcPr>
          <w:p w14:paraId="41009DBE" w14:textId="77777777" w:rsidR="000D07EA" w:rsidRDefault="00BE7C89">
            <w:pPr>
              <w:pStyle w:val="BodyText"/>
              <w:spacing w:before="100" w:after="100"/>
              <w:jc w:val="center"/>
              <w:rPr>
                <w:szCs w:val="20"/>
              </w:rPr>
            </w:pPr>
            <w:r>
              <w:rPr>
                <w:szCs w:val="20"/>
              </w:rPr>
              <w:t>Unlimited</w:t>
            </w:r>
          </w:p>
        </w:tc>
        <w:tc>
          <w:tcPr>
            <w:tcW w:w="788" w:type="pct"/>
            <w:vAlign w:val="center"/>
          </w:tcPr>
          <w:p w14:paraId="4FB05378" w14:textId="77777777" w:rsidR="000D07EA" w:rsidRDefault="00BE7C89">
            <w:pPr>
              <w:pStyle w:val="BodyText"/>
              <w:spacing w:before="100" w:after="100"/>
              <w:jc w:val="center"/>
              <w:rPr>
                <w:szCs w:val="20"/>
              </w:rPr>
            </w:pPr>
            <w:r>
              <w:rPr>
                <w:szCs w:val="20"/>
              </w:rPr>
              <w:t>Unlimited</w:t>
            </w:r>
          </w:p>
        </w:tc>
      </w:tr>
      <w:tr w:rsidR="000D07EA" w14:paraId="63A7790E" w14:textId="77777777">
        <w:tc>
          <w:tcPr>
            <w:tcW w:w="1062" w:type="pct"/>
            <w:shd w:val="clear" w:color="auto" w:fill="auto"/>
          </w:tcPr>
          <w:p w14:paraId="373382A4" w14:textId="77777777" w:rsidR="000D07EA" w:rsidRDefault="00BE7C89">
            <w:pPr>
              <w:pStyle w:val="BodyText"/>
              <w:spacing w:before="100" w:after="100"/>
              <w:rPr>
                <w:b/>
                <w:bCs/>
                <w:szCs w:val="20"/>
              </w:rPr>
            </w:pPr>
            <w:r>
              <w:rPr>
                <w:b/>
                <w:bCs/>
                <w:snapToGrid w:val="0"/>
                <w:szCs w:val="20"/>
              </w:rPr>
              <w:t>Optus Travel™ Pack</w:t>
            </w:r>
          </w:p>
        </w:tc>
        <w:tc>
          <w:tcPr>
            <w:tcW w:w="787" w:type="pct"/>
            <w:vAlign w:val="center"/>
          </w:tcPr>
          <w:p w14:paraId="4E279835" w14:textId="77777777" w:rsidR="000D07EA" w:rsidRDefault="00BE7C89">
            <w:pPr>
              <w:pStyle w:val="BodyText"/>
              <w:spacing w:before="100" w:after="100"/>
              <w:jc w:val="center"/>
              <w:rPr>
                <w:szCs w:val="20"/>
              </w:rPr>
            </w:pPr>
            <w:r>
              <w:rPr>
                <w:szCs w:val="20"/>
              </w:rPr>
              <w:t>Not applicable</w:t>
            </w:r>
          </w:p>
        </w:tc>
        <w:tc>
          <w:tcPr>
            <w:tcW w:w="788" w:type="pct"/>
            <w:shd w:val="clear" w:color="auto" w:fill="auto"/>
            <w:vAlign w:val="center"/>
          </w:tcPr>
          <w:p w14:paraId="6006FFCB" w14:textId="77777777" w:rsidR="000D07EA" w:rsidRDefault="00BE7C89">
            <w:pPr>
              <w:pStyle w:val="BodyText"/>
              <w:spacing w:before="100" w:after="100"/>
              <w:jc w:val="center"/>
              <w:rPr>
                <w:szCs w:val="20"/>
              </w:rPr>
            </w:pPr>
            <w:r>
              <w:rPr>
                <w:szCs w:val="20"/>
              </w:rPr>
              <w:t>Not applicable</w:t>
            </w:r>
          </w:p>
        </w:tc>
        <w:tc>
          <w:tcPr>
            <w:tcW w:w="787" w:type="pct"/>
            <w:shd w:val="clear" w:color="auto" w:fill="auto"/>
            <w:vAlign w:val="center"/>
          </w:tcPr>
          <w:p w14:paraId="07900716" w14:textId="77777777" w:rsidR="000D07EA" w:rsidRDefault="00BE7C89">
            <w:pPr>
              <w:pStyle w:val="BodyText"/>
              <w:spacing w:before="100" w:after="100"/>
              <w:jc w:val="center"/>
              <w:rPr>
                <w:szCs w:val="20"/>
              </w:rPr>
            </w:pPr>
            <w:r>
              <w:rPr>
                <w:szCs w:val="20"/>
              </w:rPr>
              <w:t>Not applicable</w:t>
            </w:r>
          </w:p>
        </w:tc>
        <w:tc>
          <w:tcPr>
            <w:tcW w:w="788" w:type="pct"/>
            <w:vAlign w:val="center"/>
          </w:tcPr>
          <w:p w14:paraId="3B6C7F87" w14:textId="77777777" w:rsidR="000D07EA" w:rsidRDefault="00BE7C89">
            <w:pPr>
              <w:pStyle w:val="BodyText"/>
              <w:spacing w:before="100" w:after="100"/>
              <w:jc w:val="center"/>
              <w:rPr>
                <w:szCs w:val="20"/>
              </w:rPr>
            </w:pPr>
            <w:r>
              <w:rPr>
                <w:szCs w:val="20"/>
              </w:rPr>
              <w:t>Not applicable</w:t>
            </w:r>
          </w:p>
        </w:tc>
        <w:tc>
          <w:tcPr>
            <w:tcW w:w="788" w:type="pct"/>
            <w:vAlign w:val="center"/>
          </w:tcPr>
          <w:p w14:paraId="4C654226" w14:textId="77777777" w:rsidR="000D07EA" w:rsidRDefault="00BE7C89">
            <w:pPr>
              <w:pStyle w:val="BodyText"/>
              <w:spacing w:before="100" w:after="100"/>
              <w:jc w:val="center"/>
              <w:rPr>
                <w:szCs w:val="20"/>
              </w:rPr>
            </w:pPr>
            <w:r>
              <w:rPr>
                <w:szCs w:val="20"/>
              </w:rPr>
              <w:t>Up to 10 days</w:t>
            </w:r>
          </w:p>
        </w:tc>
      </w:tr>
      <w:tr w:rsidR="000D07EA" w14:paraId="362293DC" w14:textId="77777777">
        <w:tc>
          <w:tcPr>
            <w:tcW w:w="1062" w:type="pct"/>
            <w:shd w:val="clear" w:color="auto" w:fill="auto"/>
          </w:tcPr>
          <w:p w14:paraId="2ADBF257" w14:textId="77777777" w:rsidR="000D07EA" w:rsidRDefault="00BE7C89">
            <w:pPr>
              <w:pStyle w:val="BodyText"/>
              <w:spacing w:before="100" w:after="100"/>
              <w:rPr>
                <w:b/>
                <w:bCs/>
                <w:szCs w:val="20"/>
              </w:rPr>
            </w:pPr>
            <w:r>
              <w:rPr>
                <w:b/>
                <w:bCs/>
                <w:szCs w:val="20"/>
              </w:rPr>
              <w:t xml:space="preserve">Minimum total cost over 24 months </w:t>
            </w:r>
          </w:p>
        </w:tc>
        <w:tc>
          <w:tcPr>
            <w:tcW w:w="787" w:type="pct"/>
            <w:vAlign w:val="center"/>
          </w:tcPr>
          <w:p w14:paraId="52ECCECB" w14:textId="77777777" w:rsidR="000D07EA" w:rsidRDefault="00BE7C89">
            <w:pPr>
              <w:pStyle w:val="BodyText"/>
              <w:spacing w:before="100" w:after="100"/>
              <w:jc w:val="center"/>
              <w:rPr>
                <w:szCs w:val="20"/>
              </w:rPr>
            </w:pPr>
            <w:r>
              <w:rPr>
                <w:szCs w:val="20"/>
              </w:rPr>
              <w:t>$960</w:t>
            </w:r>
          </w:p>
        </w:tc>
        <w:tc>
          <w:tcPr>
            <w:tcW w:w="788" w:type="pct"/>
            <w:shd w:val="clear" w:color="auto" w:fill="auto"/>
            <w:vAlign w:val="center"/>
          </w:tcPr>
          <w:p w14:paraId="61C61DC2" w14:textId="77777777" w:rsidR="000D07EA" w:rsidRDefault="00BE7C89">
            <w:pPr>
              <w:pStyle w:val="BodyText"/>
              <w:spacing w:before="100" w:after="100"/>
              <w:jc w:val="center"/>
              <w:rPr>
                <w:szCs w:val="20"/>
              </w:rPr>
            </w:pPr>
            <w:r>
              <w:rPr>
                <w:szCs w:val="20"/>
              </w:rPr>
              <w:t>$1440</w:t>
            </w:r>
          </w:p>
        </w:tc>
        <w:tc>
          <w:tcPr>
            <w:tcW w:w="787" w:type="pct"/>
            <w:shd w:val="clear" w:color="auto" w:fill="auto"/>
            <w:vAlign w:val="center"/>
          </w:tcPr>
          <w:p w14:paraId="0870776B" w14:textId="77777777" w:rsidR="000D07EA" w:rsidRDefault="00BE7C89">
            <w:pPr>
              <w:pStyle w:val="BodyText"/>
              <w:spacing w:before="100" w:after="100"/>
              <w:jc w:val="center"/>
              <w:rPr>
                <w:szCs w:val="20"/>
              </w:rPr>
            </w:pPr>
            <w:r>
              <w:rPr>
                <w:szCs w:val="20"/>
              </w:rPr>
              <w:t>$1920</w:t>
            </w:r>
          </w:p>
        </w:tc>
        <w:tc>
          <w:tcPr>
            <w:tcW w:w="788" w:type="pct"/>
            <w:vAlign w:val="center"/>
          </w:tcPr>
          <w:p w14:paraId="5DA1F27A" w14:textId="77777777" w:rsidR="000D07EA" w:rsidRDefault="00BE7C89">
            <w:pPr>
              <w:pStyle w:val="BodyText"/>
              <w:spacing w:before="100" w:after="100"/>
              <w:jc w:val="center"/>
              <w:rPr>
                <w:szCs w:val="20"/>
              </w:rPr>
            </w:pPr>
            <w:r>
              <w:rPr>
                <w:szCs w:val="20"/>
              </w:rPr>
              <w:t>$2400</w:t>
            </w:r>
          </w:p>
        </w:tc>
        <w:tc>
          <w:tcPr>
            <w:tcW w:w="788" w:type="pct"/>
            <w:vAlign w:val="center"/>
          </w:tcPr>
          <w:p w14:paraId="28E00B69" w14:textId="77777777" w:rsidR="000D07EA" w:rsidRDefault="00BE7C89">
            <w:pPr>
              <w:pStyle w:val="BodyText"/>
              <w:spacing w:before="100" w:after="100"/>
              <w:jc w:val="center"/>
              <w:rPr>
                <w:szCs w:val="20"/>
              </w:rPr>
            </w:pPr>
            <w:r>
              <w:rPr>
                <w:szCs w:val="20"/>
              </w:rPr>
              <w:t>$2880</w:t>
            </w:r>
          </w:p>
        </w:tc>
      </w:tr>
    </w:tbl>
    <w:p w14:paraId="678F3B28" w14:textId="77777777" w:rsidR="000D07EA" w:rsidRDefault="000D07EA">
      <w:pPr>
        <w:pStyle w:val="BodyText"/>
      </w:pPr>
    </w:p>
    <w:p w14:paraId="7CDD5E5F" w14:textId="77777777" w:rsidR="000D07EA" w:rsidRDefault="00BE7C89">
      <w:pPr>
        <w:pStyle w:val="Heading4"/>
        <w:ind w:left="720" w:hanging="720"/>
      </w:pPr>
      <w:bookmarkStart w:id="1276" w:name="_Toc445988622"/>
      <w:bookmarkStart w:id="1277" w:name="_Toc453663532"/>
      <w:bookmarkStart w:id="1278" w:name="_Toc455147647"/>
      <w:bookmarkStart w:id="1279" w:name="_Toc62644669"/>
      <w:r>
        <w:t>My Plan Business Tech Fund</w:t>
      </w:r>
      <w:bookmarkEnd w:id="1276"/>
      <w:bookmarkEnd w:id="1277"/>
      <w:bookmarkEnd w:id="1278"/>
      <w:bookmarkEnd w:id="1279"/>
    </w:p>
    <w:p w14:paraId="537A517B" w14:textId="77777777" w:rsidR="000D07EA" w:rsidRDefault="00BE7C89">
      <w:pPr>
        <w:pStyle w:val="BodyText"/>
        <w:ind w:left="720"/>
      </w:pPr>
      <w:r>
        <w:t xml:space="preserve">This section relates to the following plans. </w:t>
      </w:r>
      <w:r>
        <w:rPr>
          <w:i/>
        </w:rPr>
        <w:t>You</w:t>
      </w:r>
      <w:r>
        <w:t xml:space="preserve"> can find </w:t>
      </w:r>
      <w:r>
        <w:rPr>
          <w:i/>
        </w:rPr>
        <w:t>your</w:t>
      </w:r>
      <w:r>
        <w:t xml:space="preserve"> Plan ID on </w:t>
      </w:r>
      <w:r>
        <w:rPr>
          <w:i/>
        </w:rPr>
        <w:t>your</w:t>
      </w:r>
      <w:r>
        <w:t xml:space="preserve"> bill under the Mobile Number Summary section:</w:t>
      </w:r>
    </w:p>
    <w:tbl>
      <w:tblPr>
        <w:tblW w:w="847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1"/>
        <w:gridCol w:w="2121"/>
        <w:gridCol w:w="2836"/>
      </w:tblGrid>
      <w:tr w:rsidR="000D07EA" w14:paraId="6E21586E" w14:textId="77777777">
        <w:tc>
          <w:tcPr>
            <w:tcW w:w="3521" w:type="dxa"/>
            <w:shd w:val="clear" w:color="auto" w:fill="auto"/>
          </w:tcPr>
          <w:p w14:paraId="1694B5FA" w14:textId="77777777" w:rsidR="000D07EA" w:rsidRDefault="00BE7C89">
            <w:pPr>
              <w:pStyle w:val="BodyText"/>
              <w:spacing w:before="100" w:after="100"/>
              <w:jc w:val="center"/>
              <w:rPr>
                <w:b/>
              </w:rPr>
            </w:pPr>
            <w:r>
              <w:rPr>
                <w:b/>
              </w:rPr>
              <w:t>Plan</w:t>
            </w:r>
          </w:p>
        </w:tc>
        <w:tc>
          <w:tcPr>
            <w:tcW w:w="2121" w:type="dxa"/>
            <w:shd w:val="clear" w:color="auto" w:fill="auto"/>
          </w:tcPr>
          <w:p w14:paraId="6215E693" w14:textId="77777777" w:rsidR="000D07EA" w:rsidRDefault="00BE7C89">
            <w:pPr>
              <w:pStyle w:val="BodyText"/>
              <w:spacing w:before="100" w:after="100"/>
              <w:jc w:val="center"/>
              <w:rPr>
                <w:b/>
              </w:rPr>
            </w:pPr>
            <w:r>
              <w:rPr>
                <w:b/>
              </w:rPr>
              <w:t>Plan ID</w:t>
            </w:r>
          </w:p>
        </w:tc>
        <w:tc>
          <w:tcPr>
            <w:tcW w:w="2836" w:type="dxa"/>
            <w:shd w:val="clear" w:color="auto" w:fill="auto"/>
          </w:tcPr>
          <w:p w14:paraId="7D3B7C6D" w14:textId="77777777" w:rsidR="000D07EA" w:rsidRDefault="00BE7C89">
            <w:pPr>
              <w:pStyle w:val="BodyText"/>
              <w:spacing w:before="100" w:after="100"/>
              <w:jc w:val="center"/>
              <w:rPr>
                <w:b/>
              </w:rPr>
            </w:pPr>
            <w:r>
              <w:rPr>
                <w:b/>
              </w:rPr>
              <w:t>Available</w:t>
            </w:r>
          </w:p>
        </w:tc>
      </w:tr>
      <w:tr w:rsidR="000D07EA" w14:paraId="0864833D" w14:textId="77777777">
        <w:tc>
          <w:tcPr>
            <w:tcW w:w="3521" w:type="dxa"/>
            <w:shd w:val="clear" w:color="auto" w:fill="auto"/>
          </w:tcPr>
          <w:p w14:paraId="104A7777" w14:textId="77777777" w:rsidR="000D07EA" w:rsidRDefault="00BE7C89">
            <w:pPr>
              <w:pStyle w:val="BodyText"/>
              <w:spacing w:before="100" w:after="100"/>
              <w:jc w:val="center"/>
            </w:pPr>
            <w:r>
              <w:t>$40 My Plan Business Tech Fund</w:t>
            </w:r>
          </w:p>
        </w:tc>
        <w:tc>
          <w:tcPr>
            <w:tcW w:w="2121" w:type="dxa"/>
            <w:shd w:val="clear" w:color="auto" w:fill="auto"/>
          </w:tcPr>
          <w:p w14:paraId="13D5BB51" w14:textId="77777777" w:rsidR="000D07EA" w:rsidRDefault="00BE7C89">
            <w:pPr>
              <w:pStyle w:val="BodyText"/>
              <w:spacing w:before="100" w:after="100"/>
              <w:jc w:val="center"/>
            </w:pPr>
            <w:r>
              <w:t>800399</w:t>
            </w:r>
            <w:r w:rsidR="00E57781">
              <w:t>, 9008311</w:t>
            </w:r>
          </w:p>
        </w:tc>
        <w:tc>
          <w:tcPr>
            <w:tcW w:w="2836" w:type="dxa"/>
            <w:shd w:val="clear" w:color="auto" w:fill="auto"/>
          </w:tcPr>
          <w:p w14:paraId="097FD6EA" w14:textId="77777777" w:rsidR="000D07EA" w:rsidRDefault="00BE7C89">
            <w:pPr>
              <w:pStyle w:val="BodyText"/>
              <w:spacing w:before="100" w:after="100"/>
              <w:jc w:val="center"/>
            </w:pPr>
            <w:r>
              <w:t>11 March 2016-3 July 2016</w:t>
            </w:r>
          </w:p>
        </w:tc>
      </w:tr>
      <w:tr w:rsidR="000D07EA" w14:paraId="5AAB239F" w14:textId="77777777">
        <w:tc>
          <w:tcPr>
            <w:tcW w:w="3521" w:type="dxa"/>
            <w:shd w:val="clear" w:color="auto" w:fill="auto"/>
          </w:tcPr>
          <w:p w14:paraId="130B5F6E" w14:textId="77777777" w:rsidR="000D07EA" w:rsidRDefault="00BE7C89">
            <w:pPr>
              <w:pStyle w:val="BodyText"/>
              <w:spacing w:before="100" w:after="100"/>
              <w:jc w:val="center"/>
            </w:pPr>
            <w:r>
              <w:t>$60 My Plan Business Tech Fund</w:t>
            </w:r>
          </w:p>
        </w:tc>
        <w:tc>
          <w:tcPr>
            <w:tcW w:w="2121" w:type="dxa"/>
            <w:shd w:val="clear" w:color="auto" w:fill="auto"/>
            <w:vAlign w:val="center"/>
          </w:tcPr>
          <w:p w14:paraId="3658AF24" w14:textId="77777777" w:rsidR="000D07EA" w:rsidRDefault="00BE7C89">
            <w:pPr>
              <w:pStyle w:val="BodyText"/>
              <w:spacing w:before="100" w:after="100"/>
              <w:jc w:val="center"/>
            </w:pPr>
            <w:r>
              <w:t>800400</w:t>
            </w:r>
            <w:r w:rsidR="00E57781">
              <w:t>, 9008321</w:t>
            </w:r>
          </w:p>
        </w:tc>
        <w:tc>
          <w:tcPr>
            <w:tcW w:w="2836" w:type="dxa"/>
            <w:shd w:val="clear" w:color="auto" w:fill="auto"/>
            <w:vAlign w:val="center"/>
          </w:tcPr>
          <w:p w14:paraId="0343CA0E" w14:textId="77777777" w:rsidR="000D07EA" w:rsidRDefault="00BE7C89">
            <w:pPr>
              <w:pStyle w:val="BodyText"/>
              <w:spacing w:before="100" w:after="100"/>
              <w:jc w:val="center"/>
            </w:pPr>
            <w:r>
              <w:t>11 March 2016-3 July 2016</w:t>
            </w:r>
          </w:p>
        </w:tc>
      </w:tr>
      <w:tr w:rsidR="000D07EA" w14:paraId="168D2A91" w14:textId="77777777">
        <w:tc>
          <w:tcPr>
            <w:tcW w:w="3521" w:type="dxa"/>
            <w:shd w:val="clear" w:color="auto" w:fill="auto"/>
          </w:tcPr>
          <w:p w14:paraId="72826EDE" w14:textId="77777777" w:rsidR="000D07EA" w:rsidRDefault="00BE7C89">
            <w:pPr>
              <w:pStyle w:val="BodyText"/>
              <w:spacing w:before="100" w:after="100"/>
              <w:jc w:val="center"/>
            </w:pPr>
            <w:r>
              <w:t>$80 My Plan Business Tech Fund</w:t>
            </w:r>
          </w:p>
        </w:tc>
        <w:tc>
          <w:tcPr>
            <w:tcW w:w="2121" w:type="dxa"/>
            <w:shd w:val="clear" w:color="auto" w:fill="auto"/>
            <w:vAlign w:val="center"/>
          </w:tcPr>
          <w:p w14:paraId="10E41EE8" w14:textId="77777777" w:rsidR="000D07EA" w:rsidRDefault="00BE7C89">
            <w:pPr>
              <w:pStyle w:val="BodyText"/>
              <w:spacing w:before="100" w:after="100"/>
              <w:jc w:val="center"/>
            </w:pPr>
            <w:r>
              <w:t>800401</w:t>
            </w:r>
            <w:r w:rsidR="00E57781">
              <w:t>, 9008331</w:t>
            </w:r>
          </w:p>
        </w:tc>
        <w:tc>
          <w:tcPr>
            <w:tcW w:w="2836" w:type="dxa"/>
            <w:shd w:val="clear" w:color="auto" w:fill="auto"/>
            <w:vAlign w:val="center"/>
          </w:tcPr>
          <w:p w14:paraId="1A825F42" w14:textId="77777777" w:rsidR="000D07EA" w:rsidRDefault="00BE7C89">
            <w:pPr>
              <w:pStyle w:val="BodyText"/>
              <w:spacing w:before="100" w:after="100"/>
              <w:jc w:val="center"/>
            </w:pPr>
            <w:r>
              <w:t>11 March 2016-3 July 2016</w:t>
            </w:r>
          </w:p>
        </w:tc>
      </w:tr>
    </w:tbl>
    <w:p w14:paraId="40A6AA02" w14:textId="77777777" w:rsidR="000D07EA" w:rsidRDefault="000D07EA">
      <w:pPr>
        <w:pStyle w:val="BodyText"/>
      </w:pPr>
    </w:p>
    <w:p w14:paraId="54D4E472" w14:textId="77777777" w:rsidR="000D07EA" w:rsidRDefault="00BE7C89">
      <w:pPr>
        <w:pStyle w:val="Heading6"/>
        <w:ind w:left="0" w:firstLine="0"/>
      </w:pPr>
      <w:bookmarkStart w:id="1280" w:name="_Toc445988623"/>
      <w:r>
        <w:t>Eligibi</w:t>
      </w:r>
      <w:r>
        <w:rPr>
          <w:rFonts w:ascii="Times" w:hAnsi="Times"/>
        </w:rPr>
        <w:t>l</w:t>
      </w:r>
      <w:r>
        <w:t>ity</w:t>
      </w:r>
      <w:bookmarkEnd w:id="1280"/>
    </w:p>
    <w:p w14:paraId="064CBB77" w14:textId="77777777" w:rsidR="000D07EA" w:rsidRDefault="00BE7C89">
      <w:pPr>
        <w:pStyle w:val="BodyText"/>
        <w:ind w:left="720"/>
      </w:pPr>
      <w:r>
        <w:t>The My Plan Business Tech Fund plans are available to new and existing business mobile customers who pass Optus' credit assessment. To be eligible for this plan, businesses must provide Optus with a registered ACN, ARBN or ABN and must sign up for a minimum of 6 services to a My Plan Business Tech Fund Plan on a single Optus billing account.</w:t>
      </w:r>
    </w:p>
    <w:p w14:paraId="48C073BC" w14:textId="77777777" w:rsidR="000D07EA" w:rsidRDefault="00BE7C89">
      <w:pPr>
        <w:pStyle w:val="BodyText"/>
        <w:ind w:left="720"/>
      </w:pPr>
      <w:r>
        <w:t>Optus Service Providers' customers are not eligible to apply</w:t>
      </w:r>
      <w:r>
        <w:rPr>
          <w:snapToGrid w:val="0"/>
        </w:rPr>
        <w:t>.</w:t>
      </w:r>
    </w:p>
    <w:p w14:paraId="1A24D348" w14:textId="77777777" w:rsidR="000D07EA" w:rsidRDefault="00BE7C89">
      <w:pPr>
        <w:pStyle w:val="BodyText"/>
        <w:ind w:left="720"/>
      </w:pPr>
      <w:r>
        <w:lastRenderedPageBreak/>
        <w:t xml:space="preserve">These </w:t>
      </w:r>
      <w:r>
        <w:rPr>
          <w:i/>
        </w:rPr>
        <w:t>plans</w:t>
      </w:r>
      <w:r>
        <w:t xml:space="preserve"> aren't compatible for data use with BlackBerry handsets on operating systems of 7.1 or earlier.</w:t>
      </w:r>
    </w:p>
    <w:p w14:paraId="11CA3EC9" w14:textId="77777777" w:rsidR="000D07EA" w:rsidRDefault="00BE7C89">
      <w:pPr>
        <w:pStyle w:val="Heading6"/>
        <w:ind w:left="0" w:firstLine="0"/>
      </w:pPr>
      <w:bookmarkStart w:id="1281" w:name="_Toc445988624"/>
      <w:r>
        <w:rPr>
          <w:snapToGrid w:val="0"/>
        </w:rPr>
        <w:t>Minimum Term</w:t>
      </w:r>
      <w:bookmarkEnd w:id="1281"/>
    </w:p>
    <w:p w14:paraId="16D75F64" w14:textId="77777777" w:rsidR="000D07EA" w:rsidRDefault="00BE7C89">
      <w:pPr>
        <w:pStyle w:val="BodyText"/>
        <w:ind w:left="720"/>
      </w:pPr>
      <w:r>
        <w:t xml:space="preserve">These </w:t>
      </w:r>
      <w:r>
        <w:rPr>
          <w:i/>
        </w:rPr>
        <w:t>plans</w:t>
      </w:r>
      <w:r>
        <w:t xml:space="preserve"> have a </w:t>
      </w:r>
      <w:r>
        <w:rPr>
          <w:i/>
        </w:rPr>
        <w:t>fixed length agreement</w:t>
      </w:r>
      <w:r>
        <w:t xml:space="preserve"> with a 24 month </w:t>
      </w:r>
      <w:r>
        <w:rPr>
          <w:i/>
        </w:rPr>
        <w:t>minimum</w:t>
      </w:r>
      <w:r>
        <w:t xml:space="preserve"> </w:t>
      </w:r>
      <w:r>
        <w:rPr>
          <w:i/>
        </w:rPr>
        <w:t>term</w:t>
      </w:r>
      <w:r>
        <w:t>.</w:t>
      </w:r>
    </w:p>
    <w:p w14:paraId="5F7345E9" w14:textId="77777777" w:rsidR="000D07EA" w:rsidRDefault="00BE7C89">
      <w:pPr>
        <w:pStyle w:val="Heading6"/>
        <w:keepNext/>
        <w:ind w:left="0" w:firstLine="0"/>
      </w:pPr>
      <w:bookmarkStart w:id="1282" w:name="_Toc445988625"/>
      <w:r>
        <w:t>What you have to pay us</w:t>
      </w:r>
      <w:bookmarkEnd w:id="1282"/>
    </w:p>
    <w:p w14:paraId="644DD987" w14:textId="77777777" w:rsidR="000D07EA" w:rsidRDefault="00BE7C89">
      <w:pPr>
        <w:pStyle w:val="Heading7"/>
      </w:pPr>
      <w:r>
        <w:rPr>
          <w:i/>
        </w:rPr>
        <w:t>You</w:t>
      </w:r>
      <w:r>
        <w:t xml:space="preserve"> must pay </w:t>
      </w:r>
      <w:r>
        <w:rPr>
          <w:i/>
        </w:rPr>
        <w:t>us</w:t>
      </w:r>
      <w:r>
        <w:t xml:space="preserve"> for use of the </w:t>
      </w:r>
      <w:r>
        <w:rPr>
          <w:i/>
        </w:rPr>
        <w:t>service</w:t>
      </w:r>
      <w:r>
        <w:t xml:space="preserve"> at the rates set out in Section 1 of this </w:t>
      </w:r>
      <w:r>
        <w:rPr>
          <w:i/>
        </w:rPr>
        <w:t>standard pricing table</w:t>
      </w:r>
      <w:r>
        <w:t xml:space="preserve"> and for value added service features at the rates set out in </w:t>
      </w:r>
      <w:hyperlink r:id="rId651" w:history="1">
        <w:r>
          <w:rPr>
            <w:rStyle w:val="Hyperlink"/>
            <w:i/>
          </w:rPr>
          <w:t>Appendix Y Value Added Service Features</w:t>
        </w:r>
      </w:hyperlink>
      <w:r>
        <w:rPr>
          <w:rFonts w:eastAsia="MS Mincho"/>
          <w:i/>
        </w:rPr>
        <w:t>.</w:t>
      </w:r>
    </w:p>
    <w:p w14:paraId="199F00BD" w14:textId="77777777" w:rsidR="000D07EA" w:rsidRDefault="00BE7C89">
      <w:pPr>
        <w:pStyle w:val="Heading7"/>
      </w:pPr>
      <w:r>
        <w:t>If there is a flagfall for a particular call type, the charge for these calls is the flagfall amount plus the relevant rate for the call multiplied by the duration of the call.</w:t>
      </w:r>
    </w:p>
    <w:p w14:paraId="03EC0D55" w14:textId="77777777" w:rsidR="000D07EA" w:rsidRDefault="00BE7C89">
      <w:pPr>
        <w:pStyle w:val="Heading7"/>
        <w:rPr>
          <w:b/>
        </w:rPr>
      </w:pPr>
      <w:r>
        <w:rPr>
          <w:b/>
        </w:rPr>
        <w:t>Minimum Monthly Charge</w:t>
      </w:r>
    </w:p>
    <w:p w14:paraId="11C831F9" w14:textId="77777777" w:rsidR="000D07EA" w:rsidRDefault="00BE7C89">
      <w:pPr>
        <w:pStyle w:val="BodyText"/>
        <w:ind w:left="1440"/>
      </w:pPr>
      <w:r>
        <w:t xml:space="preserve">Each My Plan Business Tech Fund plan has a Minimum Monthly Charge amount that </w:t>
      </w:r>
      <w:r>
        <w:rPr>
          <w:i/>
        </w:rPr>
        <w:t>you</w:t>
      </w:r>
      <w:r>
        <w:t xml:space="preserve"> must pay </w:t>
      </w:r>
      <w:r>
        <w:rPr>
          <w:i/>
        </w:rPr>
        <w:t>us</w:t>
      </w:r>
      <w:r>
        <w:t xml:space="preserve"> each month as set out in Table 1 below.</w:t>
      </w:r>
    </w:p>
    <w:p w14:paraId="4831EADC" w14:textId="77777777" w:rsidR="000D07EA" w:rsidRDefault="00BE7C89">
      <w:pPr>
        <w:pStyle w:val="Heading6"/>
        <w:ind w:left="0" w:firstLine="0"/>
        <w:rPr>
          <w:snapToGrid w:val="0"/>
        </w:rPr>
      </w:pPr>
      <w:bookmarkStart w:id="1283" w:name="_Toc445988626"/>
      <w:r>
        <w:rPr>
          <w:snapToGrid w:val="0"/>
        </w:rPr>
        <w:t xml:space="preserve">How My Plan Business </w:t>
      </w:r>
      <w:r>
        <w:t xml:space="preserve">Tech Fund </w:t>
      </w:r>
      <w:r>
        <w:rPr>
          <w:snapToGrid w:val="0"/>
        </w:rPr>
        <w:t>works</w:t>
      </w:r>
      <w:bookmarkEnd w:id="1283"/>
    </w:p>
    <w:p w14:paraId="3E0BC5C0" w14:textId="77777777" w:rsidR="000D07EA" w:rsidRDefault="00BE7C89">
      <w:pPr>
        <w:pStyle w:val="Heading7"/>
      </w:pPr>
      <w:r>
        <w:t>Each My Plan Business Tech Fund has unlimited minutes to use on standard national calls to landlines and mobiles, 13/1300 numbers and voicemail retrievals and an amount of Included Data (for mobile internet use) to share with other services on a My Plan Plus, My Plan Plus SIM Only, My Plan Business (including Tech Fund), My Plan Business SIM, My Mobile Broadband Plus, Mobile Broadband Business or Shared Data Plan on the same account.</w:t>
      </w:r>
    </w:p>
    <w:p w14:paraId="64AE29B2" w14:textId="77777777" w:rsidR="000D07EA" w:rsidRDefault="00BE7C89">
      <w:pPr>
        <w:pStyle w:val="Heading7"/>
      </w:pPr>
      <w:r>
        <w:t>These plans also include unlimited standard national SMS/MMS and unlimited standard International SMS/MMS to selected countries. The $60/$80 plans have an amount of included international minutes to use on standard international calls to selected countries.</w:t>
      </w:r>
    </w:p>
    <w:p w14:paraId="08826E6E" w14:textId="77777777" w:rsidR="000D07EA" w:rsidRDefault="00BE7C89">
      <w:pPr>
        <w:pStyle w:val="Heading7"/>
      </w:pPr>
      <w:r>
        <w:t>Data usage is calculated in one kilobyte increments. International minutes are billed in one minute increments</w:t>
      </w:r>
    </w:p>
    <w:p w14:paraId="0ED3207F" w14:textId="77777777" w:rsidR="000D07EA" w:rsidRDefault="00BE7C89">
      <w:pPr>
        <w:pStyle w:val="Heading7"/>
      </w:pPr>
      <w:r>
        <w:t>If you exceed your included shareable data you'll automatically be charged $10 for each additional 1GB of data ("</w:t>
      </w:r>
      <w:r>
        <w:rPr>
          <w:b/>
        </w:rPr>
        <w:t>Additional Data</w:t>
      </w:r>
      <w:r>
        <w:t xml:space="preserve">") up to 150GB of extra data per account each month. Your service/s may then be restricted or we may continue to charge you at these rates. </w:t>
      </w:r>
    </w:p>
    <w:p w14:paraId="549253E5" w14:textId="77777777" w:rsidR="000D07EA" w:rsidRDefault="00BE7C89">
      <w:pPr>
        <w:pStyle w:val="Heading7"/>
        <w:rPr>
          <w:b/>
        </w:rPr>
      </w:pPr>
      <w:r>
        <w:t xml:space="preserve">Any unused portion of </w:t>
      </w:r>
      <w:r>
        <w:rPr>
          <w:i/>
        </w:rPr>
        <w:t>your</w:t>
      </w:r>
      <w:r>
        <w:t xml:space="preserve"> </w:t>
      </w:r>
      <w:r>
        <w:rPr>
          <w:i/>
        </w:rPr>
        <w:t>plan's</w:t>
      </w:r>
      <w:r>
        <w:t xml:space="preserve"> Included or Additional Data expires at the end of each month and does not roll over into the next month.</w:t>
      </w:r>
    </w:p>
    <w:p w14:paraId="0CA95508" w14:textId="77777777" w:rsidR="000D07EA" w:rsidRDefault="00BE7C89">
      <w:pPr>
        <w:pStyle w:val="Heading7"/>
        <w:rPr>
          <w:b/>
        </w:rPr>
      </w:pPr>
      <w:r>
        <w:rPr>
          <w:i/>
        </w:rPr>
        <w:t>You</w:t>
      </w:r>
      <w:r>
        <w:t xml:space="preserve"> must pay </w:t>
      </w:r>
      <w:r>
        <w:rPr>
          <w:i/>
        </w:rPr>
        <w:t>us</w:t>
      </w:r>
      <w:r>
        <w:t xml:space="preserve"> for use of any services that are not included in </w:t>
      </w:r>
      <w:r>
        <w:rPr>
          <w:i/>
        </w:rPr>
        <w:t>your</w:t>
      </w:r>
      <w:r>
        <w:t xml:space="preserve"> plan's inclusions, examples of which are set out in Table 2 below.</w:t>
      </w:r>
    </w:p>
    <w:p w14:paraId="572FC967" w14:textId="77777777" w:rsidR="000D07EA" w:rsidRDefault="00BE7C89">
      <w:pPr>
        <w:pStyle w:val="Heading6"/>
        <w:ind w:left="0" w:firstLine="0"/>
      </w:pPr>
      <w:bookmarkStart w:id="1284" w:name="_Toc445988627"/>
      <w:r>
        <w:t>Plan Changes</w:t>
      </w:r>
      <w:bookmarkEnd w:id="1284"/>
    </w:p>
    <w:p w14:paraId="5F4E68C8" w14:textId="77777777" w:rsidR="000D07EA" w:rsidRDefault="00BE7C89">
      <w:pPr>
        <w:pStyle w:val="BodyText"/>
        <w:ind w:left="720"/>
      </w:pPr>
      <w:r>
        <w:t>You can change your plan during the minimum term provided you move to a plan with a higher monthly access fee. You cannot change your plan during the minimum term to a plan with the same or lower monthly access fee. If you change your plan during the minimum term a fee may apply and any mobile handset credit will remain the same.</w:t>
      </w:r>
    </w:p>
    <w:p w14:paraId="5E169DDE" w14:textId="77777777" w:rsidR="000D07EA" w:rsidRDefault="00BE7C89">
      <w:pPr>
        <w:pStyle w:val="Heading6"/>
        <w:ind w:left="0" w:firstLine="0"/>
        <w:rPr>
          <w:b/>
        </w:rPr>
      </w:pPr>
      <w:bookmarkStart w:id="1285" w:name="_Toc445988628"/>
      <w:r>
        <w:t>Handset Credit</w:t>
      </w:r>
      <w:bookmarkEnd w:id="1285"/>
    </w:p>
    <w:p w14:paraId="24B325FE" w14:textId="77777777" w:rsidR="000D07EA" w:rsidRDefault="00BE7C89">
      <w:pPr>
        <w:pStyle w:val="Heading7"/>
      </w:pPr>
      <w:r>
        <w:t xml:space="preserve">The Handset Credit is a special offer available to customers who are eligible for and connect to a My Plan Business Tech Fund plan, and who do not choose to take a handset upfront. It allows </w:t>
      </w:r>
      <w:r>
        <w:rPr>
          <w:i/>
        </w:rPr>
        <w:t>you</w:t>
      </w:r>
      <w:r>
        <w:t xml:space="preserve"> to purchase mobile phones and accessories from Optus at any period throughout </w:t>
      </w:r>
      <w:r>
        <w:rPr>
          <w:i/>
        </w:rPr>
        <w:t>your</w:t>
      </w:r>
      <w:r>
        <w:t xml:space="preserve"> contract; it cannot be used for any other purpose other than the purchase of handsets and accessories from </w:t>
      </w:r>
      <w:r>
        <w:rPr>
          <w:i/>
        </w:rPr>
        <w:t>us</w:t>
      </w:r>
      <w:r>
        <w:t>.</w:t>
      </w:r>
    </w:p>
    <w:p w14:paraId="07C53AAC" w14:textId="77777777" w:rsidR="000D07EA" w:rsidRDefault="00BE7C89">
      <w:pPr>
        <w:pStyle w:val="Heading7"/>
      </w:pPr>
      <w:r>
        <w:t xml:space="preserve">The amount of credit will be dependent on the plan </w:t>
      </w:r>
      <w:r>
        <w:rPr>
          <w:i/>
        </w:rPr>
        <w:t>you</w:t>
      </w:r>
      <w:r>
        <w:t xml:space="preserve"> connect to as per the table below. </w:t>
      </w:r>
    </w:p>
    <w:tbl>
      <w:tblPr>
        <w:tblW w:w="4580"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14"/>
        <w:gridCol w:w="2406"/>
        <w:gridCol w:w="2406"/>
        <w:gridCol w:w="2406"/>
      </w:tblGrid>
      <w:tr w:rsidR="000D07EA" w14:paraId="53B9705D" w14:textId="77777777">
        <w:trPr>
          <w:trHeight w:val="20"/>
        </w:trPr>
        <w:tc>
          <w:tcPr>
            <w:tcW w:w="1132" w:type="pct"/>
          </w:tcPr>
          <w:p w14:paraId="34689135" w14:textId="77777777" w:rsidR="000D07EA" w:rsidRDefault="00BE7C89">
            <w:pPr>
              <w:pStyle w:val="BodyText"/>
              <w:spacing w:before="100" w:after="100"/>
              <w:jc w:val="center"/>
              <w:rPr>
                <w:b/>
              </w:rPr>
            </w:pPr>
            <w:r>
              <w:rPr>
                <w:b/>
              </w:rPr>
              <w:lastRenderedPageBreak/>
              <w:t>Plan</w:t>
            </w:r>
          </w:p>
        </w:tc>
        <w:tc>
          <w:tcPr>
            <w:tcW w:w="1289" w:type="pct"/>
          </w:tcPr>
          <w:p w14:paraId="2A9764FD" w14:textId="77777777" w:rsidR="000D07EA" w:rsidRDefault="00BE7C89">
            <w:pPr>
              <w:pStyle w:val="BodyText"/>
              <w:spacing w:before="100" w:after="100"/>
              <w:jc w:val="center"/>
              <w:rPr>
                <w:b/>
              </w:rPr>
            </w:pPr>
            <w:r>
              <w:rPr>
                <w:b/>
              </w:rPr>
              <w:t>$40 My Plan Business Tech Fund</w:t>
            </w:r>
          </w:p>
        </w:tc>
        <w:tc>
          <w:tcPr>
            <w:tcW w:w="1289" w:type="pct"/>
          </w:tcPr>
          <w:p w14:paraId="0D0A035F" w14:textId="77777777" w:rsidR="000D07EA" w:rsidRDefault="00BE7C89">
            <w:pPr>
              <w:pStyle w:val="BodyText"/>
              <w:spacing w:before="100" w:after="100"/>
              <w:jc w:val="center"/>
              <w:rPr>
                <w:b/>
              </w:rPr>
            </w:pPr>
            <w:r>
              <w:rPr>
                <w:b/>
              </w:rPr>
              <w:t>$60 My Plan Business Tech Fund</w:t>
            </w:r>
          </w:p>
        </w:tc>
        <w:tc>
          <w:tcPr>
            <w:tcW w:w="1289" w:type="pct"/>
          </w:tcPr>
          <w:p w14:paraId="54301599" w14:textId="77777777" w:rsidR="000D07EA" w:rsidRDefault="00BE7C89">
            <w:pPr>
              <w:pStyle w:val="BodyText"/>
              <w:spacing w:before="100" w:after="100"/>
              <w:jc w:val="center"/>
              <w:rPr>
                <w:b/>
              </w:rPr>
            </w:pPr>
            <w:r>
              <w:rPr>
                <w:b/>
              </w:rPr>
              <w:t>$80 My Plan Business Tech Fund</w:t>
            </w:r>
          </w:p>
        </w:tc>
      </w:tr>
      <w:tr w:rsidR="000D07EA" w14:paraId="6870A512" w14:textId="77777777">
        <w:trPr>
          <w:trHeight w:val="20"/>
        </w:trPr>
        <w:tc>
          <w:tcPr>
            <w:tcW w:w="1132" w:type="pct"/>
            <w:vAlign w:val="center"/>
          </w:tcPr>
          <w:p w14:paraId="0C187B33" w14:textId="77777777" w:rsidR="000D07EA" w:rsidRDefault="00BE7C89">
            <w:pPr>
              <w:pStyle w:val="BodyText"/>
              <w:spacing w:before="100" w:after="100"/>
              <w:jc w:val="center"/>
              <w:rPr>
                <w:b/>
              </w:rPr>
            </w:pPr>
            <w:r>
              <w:rPr>
                <w:b/>
              </w:rPr>
              <w:t>Handset Credit</w:t>
            </w:r>
          </w:p>
        </w:tc>
        <w:tc>
          <w:tcPr>
            <w:tcW w:w="1289" w:type="pct"/>
            <w:vAlign w:val="center"/>
          </w:tcPr>
          <w:p w14:paraId="223B1E15" w14:textId="77777777" w:rsidR="000D07EA" w:rsidRDefault="00BE7C89">
            <w:pPr>
              <w:pStyle w:val="BodyText"/>
              <w:spacing w:before="100" w:after="100"/>
              <w:jc w:val="center"/>
            </w:pPr>
            <w:r>
              <w:t>$330</w:t>
            </w:r>
          </w:p>
        </w:tc>
        <w:tc>
          <w:tcPr>
            <w:tcW w:w="1289" w:type="pct"/>
            <w:vAlign w:val="center"/>
          </w:tcPr>
          <w:p w14:paraId="50FDDB34" w14:textId="77777777" w:rsidR="000D07EA" w:rsidRDefault="00BE7C89">
            <w:pPr>
              <w:pStyle w:val="BodyText"/>
              <w:spacing w:before="100" w:after="100"/>
              <w:jc w:val="center"/>
            </w:pPr>
            <w:r>
              <w:t>$490</w:t>
            </w:r>
          </w:p>
        </w:tc>
        <w:tc>
          <w:tcPr>
            <w:tcW w:w="1289" w:type="pct"/>
            <w:vAlign w:val="center"/>
          </w:tcPr>
          <w:p w14:paraId="35CF2FFC" w14:textId="77777777" w:rsidR="000D07EA" w:rsidRDefault="00BE7C89">
            <w:pPr>
              <w:pStyle w:val="BodyText"/>
              <w:spacing w:before="100" w:after="100"/>
              <w:jc w:val="center"/>
            </w:pPr>
            <w:r>
              <w:t>$700</w:t>
            </w:r>
          </w:p>
        </w:tc>
      </w:tr>
    </w:tbl>
    <w:p w14:paraId="44798B2A" w14:textId="77777777" w:rsidR="000D07EA" w:rsidRDefault="000D07EA">
      <w:pPr>
        <w:pStyle w:val="BodyText"/>
      </w:pPr>
    </w:p>
    <w:p w14:paraId="05DCAC1E" w14:textId="77777777" w:rsidR="000D07EA" w:rsidRDefault="00BE7C89">
      <w:pPr>
        <w:pStyle w:val="Heading7"/>
      </w:pPr>
      <w:r>
        <w:rPr>
          <w:i/>
        </w:rPr>
        <w:t>You</w:t>
      </w:r>
      <w:r>
        <w:t xml:space="preserve"> may use the Handset Credit deposited into </w:t>
      </w:r>
      <w:r>
        <w:rPr>
          <w:i/>
        </w:rPr>
        <w:t>your</w:t>
      </w:r>
      <w:r>
        <w:t xml:space="preserve"> account to purchase handsets listed in the Optus e-fulfilment price list as amended by </w:t>
      </w:r>
      <w:r>
        <w:rPr>
          <w:i/>
        </w:rPr>
        <w:t>us</w:t>
      </w:r>
      <w:r>
        <w:t xml:space="preserve"> from time to time. This list is available to </w:t>
      </w:r>
      <w:r>
        <w:rPr>
          <w:i/>
        </w:rPr>
        <w:t>you</w:t>
      </w:r>
      <w:r>
        <w:t xml:space="preserve"> upon request.</w:t>
      </w:r>
    </w:p>
    <w:p w14:paraId="7DC3B6EA" w14:textId="77777777" w:rsidR="000D07EA" w:rsidRDefault="00BE7C89">
      <w:pPr>
        <w:pStyle w:val="Heading7"/>
      </w:pPr>
      <w:r>
        <w:t xml:space="preserve">If the purchase price for products that </w:t>
      </w:r>
      <w:r>
        <w:rPr>
          <w:i/>
        </w:rPr>
        <w:t>you</w:t>
      </w:r>
      <w:r>
        <w:t xml:space="preserve"> order is greater than the Handset Credit remaining in </w:t>
      </w:r>
      <w:r>
        <w:rPr>
          <w:i/>
        </w:rPr>
        <w:t>your</w:t>
      </w:r>
      <w:r>
        <w:t xml:space="preserve"> account, </w:t>
      </w:r>
      <w:r>
        <w:rPr>
          <w:i/>
        </w:rPr>
        <w:t>you</w:t>
      </w:r>
      <w:r>
        <w:t xml:space="preserve"> must pay any difference for those products by manually topping up </w:t>
      </w:r>
      <w:r>
        <w:rPr>
          <w:i/>
        </w:rPr>
        <w:t>your</w:t>
      </w:r>
      <w:r>
        <w:t xml:space="preserve"> Handset Credit Fund account with the required funds before purchasing.</w:t>
      </w:r>
    </w:p>
    <w:p w14:paraId="584D1BCD" w14:textId="77777777" w:rsidR="000D07EA" w:rsidRDefault="00BE7C89">
      <w:pPr>
        <w:pStyle w:val="Heading7"/>
      </w:pPr>
      <w:r>
        <w:t xml:space="preserve">The value of the Handset Credit is not redeemable for cash and may not be transferred or used for any other purposes (for instance, it may not be used to pay for service charges, minimum monthly call spend or call costs, cannot be used against cancellation fees). </w:t>
      </w:r>
    </w:p>
    <w:p w14:paraId="21307DC9" w14:textId="77777777" w:rsidR="000D07EA" w:rsidRDefault="00BE7C89">
      <w:pPr>
        <w:pStyle w:val="Heading7"/>
      </w:pPr>
      <w:r>
        <w:t xml:space="preserve">If you cancel a service on an account with multiple Tech Fund services, you will not lose any unused handset credit. Only if </w:t>
      </w:r>
      <w:r>
        <w:rPr>
          <w:i/>
        </w:rPr>
        <w:t>your</w:t>
      </w:r>
      <w:r>
        <w:t xml:space="preserve"> account is cancelled for any reason then any unused credit will be forfeited.</w:t>
      </w:r>
    </w:p>
    <w:p w14:paraId="5C565A97" w14:textId="77777777" w:rsidR="000D07EA" w:rsidRDefault="00BE7C89">
      <w:pPr>
        <w:pStyle w:val="Heading6"/>
        <w:ind w:left="0" w:firstLine="0"/>
        <w:rPr>
          <w:snapToGrid w:val="0"/>
        </w:rPr>
      </w:pPr>
      <w:bookmarkStart w:id="1286" w:name="_Toc445988629"/>
      <w:r>
        <w:rPr>
          <w:snapToGrid w:val="0"/>
        </w:rPr>
        <w:t>Data Sharing</w:t>
      </w:r>
      <w:bookmarkEnd w:id="1286"/>
    </w:p>
    <w:p w14:paraId="77DE3323" w14:textId="77777777" w:rsidR="000D07EA" w:rsidRDefault="00BE7C89">
      <w:pPr>
        <w:pStyle w:val="Heading7"/>
        <w:rPr>
          <w:snapToGrid w:val="0"/>
        </w:rPr>
      </w:pPr>
      <w:r>
        <w:rPr>
          <w:snapToGrid w:val="0"/>
        </w:rPr>
        <w:t>If you have more than one My Plan Plus, My Plan Plus SIM Only, My Plan Business (including Tech Fund), My Plan Business SIM, My Mobile Broadband Plus or Mobile Broadband Business on the same billing account, the included data will combine into one data pool, which will be shared by all eligible services on that account.</w:t>
      </w:r>
    </w:p>
    <w:p w14:paraId="225CAF37" w14:textId="77777777" w:rsidR="000D07EA" w:rsidRDefault="00BE7C89">
      <w:pPr>
        <w:pStyle w:val="Heading7"/>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services on any</w:t>
      </w:r>
      <w:r>
        <w:t xml:space="preserve"> My Plan Plus</w:t>
      </w:r>
      <w:r>
        <w:rPr>
          <w:lang w:eastAsia="en-AU"/>
        </w:rPr>
        <w:t>, My Plan Plus SIM Only, My Plan Business (including Tech Fund), My Plan Business SIM, My Mobile Broadband Plus or Mobile Broadband Business plans</w:t>
      </w:r>
      <w:r>
        <w:rPr>
          <w:snapToGrid w:val="0"/>
        </w:rPr>
        <w:t xml:space="preserve"> to share data, they need to be on separate billing accounts.</w:t>
      </w:r>
    </w:p>
    <w:p w14:paraId="58BAA13A" w14:textId="77777777" w:rsidR="000D07EA" w:rsidRDefault="00BE7C89">
      <w:pPr>
        <w:pStyle w:val="Heading7"/>
      </w:pPr>
      <w:r>
        <w:t>Data sharing is only available within Australia.</w:t>
      </w:r>
    </w:p>
    <w:p w14:paraId="0AC81C85" w14:textId="77777777" w:rsidR="000D07EA" w:rsidRDefault="00BE7C89">
      <w:pPr>
        <w:pStyle w:val="Heading6"/>
        <w:ind w:left="0" w:firstLine="0"/>
        <w:rPr>
          <w:snapToGrid w:val="0"/>
        </w:rPr>
      </w:pPr>
      <w:bookmarkStart w:id="1287" w:name="_Toc445988630"/>
      <w:r>
        <w:rPr>
          <w:snapToGrid w:val="0"/>
        </w:rPr>
        <w:t>International Minutes</w:t>
      </w:r>
      <w:bookmarkEnd w:id="1287"/>
    </w:p>
    <w:p w14:paraId="39FAC3C1" w14:textId="77777777" w:rsidR="000D07EA" w:rsidRDefault="00BE7C89">
      <w:pPr>
        <w:pStyle w:val="BodyText"/>
        <w:ind w:left="720"/>
      </w:pPr>
      <w:r>
        <w:t>The $60/$80My Plan Business</w:t>
      </w:r>
      <w:r>
        <w:rPr>
          <w:snapToGrid w:val="0"/>
        </w:rPr>
        <w:t xml:space="preserve"> Tech Fund</w:t>
      </w:r>
      <w:r>
        <w:t xml:space="preserve"> includes up to 150/300 international minutes (respectively) for standard calls to mobiles and fixed lines in selected countries. For a list of selected countries see Table 3 below.</w:t>
      </w:r>
    </w:p>
    <w:p w14:paraId="643487BF" w14:textId="77777777" w:rsidR="000D07EA" w:rsidRDefault="00BE7C89">
      <w:pPr>
        <w:pStyle w:val="BodyText"/>
        <w:ind w:left="720"/>
      </w:pPr>
      <w:r>
        <w:t>Calls are charged per minute. When included minutes for calls to selected countries are used up, standard 'yes' international call charges apply.</w:t>
      </w:r>
    </w:p>
    <w:p w14:paraId="4E4892E9" w14:textId="77777777" w:rsidR="000D07EA" w:rsidRDefault="00BE7C89">
      <w:pPr>
        <w:pStyle w:val="Heading6"/>
        <w:ind w:left="0" w:firstLine="0"/>
        <w:rPr>
          <w:snapToGrid w:val="0"/>
        </w:rPr>
      </w:pPr>
      <w:bookmarkStart w:id="1288" w:name="_Toc445988631"/>
      <w:r>
        <w:rPr>
          <w:snapToGrid w:val="0"/>
        </w:rPr>
        <w:t>Unlimited standard national SMS and MMS</w:t>
      </w:r>
      <w:bookmarkEnd w:id="1288"/>
    </w:p>
    <w:p w14:paraId="5138DD65" w14:textId="77777777" w:rsidR="000D07EA" w:rsidRDefault="00BE7C89">
      <w:pPr>
        <w:pStyle w:val="BodyText"/>
        <w:ind w:left="720"/>
      </w:pPr>
      <w:r>
        <w:rPr>
          <w:i/>
        </w:rPr>
        <w:t>You</w:t>
      </w:r>
      <w:r>
        <w:t xml:space="preserve"> may send unlimited standard SMS and MMS to Australian mobiles from within Australia.</w:t>
      </w:r>
    </w:p>
    <w:p w14:paraId="0D9242FC" w14:textId="77777777" w:rsidR="000D07EA" w:rsidRDefault="00BE7C89">
      <w:pPr>
        <w:pStyle w:val="BodyText"/>
        <w:ind w:left="720"/>
      </w:pPr>
      <w:r>
        <w:t xml:space="preserve">Unlimited standard national SMS and MMS are only available for personal and ordinary business use and are not to be used for a commercial or non-ordinary purpose as set out in the </w:t>
      </w:r>
      <w:hyperlink r:id="rId652" w:history="1">
        <w:r>
          <w:rPr>
            <w:rStyle w:val="Hyperlink"/>
            <w:rFonts w:cs="Arial"/>
            <w:i/>
          </w:rPr>
          <w:t>Fair Go Policy</w:t>
        </w:r>
      </w:hyperlink>
      <w:r>
        <w:t xml:space="preserve">. For further details refer to </w:t>
      </w:r>
      <w:hyperlink r:id="rId653" w:history="1">
        <w:r>
          <w:rPr>
            <w:rStyle w:val="Hyperlink"/>
            <w:i/>
          </w:rPr>
          <w:t>Appendix S</w:t>
        </w:r>
      </w:hyperlink>
      <w:r>
        <w:t>.</w:t>
      </w:r>
    </w:p>
    <w:p w14:paraId="3F20887A" w14:textId="77777777" w:rsidR="000D07EA" w:rsidRDefault="00BE7C89">
      <w:pPr>
        <w:pStyle w:val="Heading6"/>
        <w:ind w:left="0" w:firstLine="0"/>
        <w:rPr>
          <w:snapToGrid w:val="0"/>
        </w:rPr>
      </w:pPr>
      <w:bookmarkStart w:id="1289" w:name="_Toc445988632"/>
      <w:r>
        <w:rPr>
          <w:snapToGrid w:val="0"/>
        </w:rPr>
        <w:t>Unlimited standard international SMS and MMS</w:t>
      </w:r>
      <w:bookmarkEnd w:id="1289"/>
    </w:p>
    <w:p w14:paraId="5E207C5F" w14:textId="77777777" w:rsidR="000D07EA" w:rsidRDefault="00BE7C89">
      <w:pPr>
        <w:pStyle w:val="BodyText"/>
        <w:ind w:left="720"/>
      </w:pPr>
      <w:r>
        <w:rPr>
          <w:i/>
        </w:rPr>
        <w:t>You</w:t>
      </w:r>
      <w:r>
        <w:t xml:space="preserve"> may send unlimited standard SMS and MMS to selected countries as set out in Table 3 below.</w:t>
      </w:r>
    </w:p>
    <w:p w14:paraId="1F50305D" w14:textId="77777777" w:rsidR="000D07EA" w:rsidRDefault="00BE7C89">
      <w:pPr>
        <w:pStyle w:val="BodyText"/>
        <w:ind w:left="720"/>
      </w:pPr>
      <w:r>
        <w:t xml:space="preserve">Unlimited standard SMS and MMS are only available for personal and ordinary business use and are not to be used for a commercial or non-ordinary purpose as set out in the Fair Go Policy. For further details refer to </w:t>
      </w:r>
      <w:hyperlink r:id="rId654" w:history="1">
        <w:r>
          <w:rPr>
            <w:rStyle w:val="Hyperlink"/>
            <w:i/>
          </w:rPr>
          <w:t>Appendix S</w:t>
        </w:r>
      </w:hyperlink>
      <w:r>
        <w:t>.</w:t>
      </w:r>
    </w:p>
    <w:p w14:paraId="625C302E" w14:textId="77777777" w:rsidR="000D07EA" w:rsidRDefault="00BE7C89">
      <w:pPr>
        <w:pStyle w:val="BodyText"/>
        <w:ind w:left="720"/>
        <w:rPr>
          <w:b/>
        </w:rPr>
      </w:pPr>
      <w:r>
        <w:rPr>
          <w:b/>
        </w:rPr>
        <w:t>Table 1 –Plan Inclusions and Charges</w:t>
      </w:r>
    </w:p>
    <w:tbl>
      <w:tblPr>
        <w:tblW w:w="4580"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2"/>
        <w:gridCol w:w="2096"/>
        <w:gridCol w:w="2096"/>
        <w:gridCol w:w="2098"/>
      </w:tblGrid>
      <w:tr w:rsidR="000D07EA" w14:paraId="4F7F9FA9" w14:textId="77777777">
        <w:trPr>
          <w:trHeight w:val="54"/>
          <w:tblHeader/>
        </w:trPr>
        <w:tc>
          <w:tcPr>
            <w:tcW w:w="1630" w:type="pct"/>
            <w:shd w:val="clear" w:color="auto" w:fill="auto"/>
          </w:tcPr>
          <w:p w14:paraId="05B15119" w14:textId="77777777" w:rsidR="000D07EA" w:rsidRDefault="000D07EA">
            <w:pPr>
              <w:pStyle w:val="BodyText"/>
              <w:spacing w:before="100" w:after="100"/>
              <w:rPr>
                <w:szCs w:val="20"/>
              </w:rPr>
            </w:pPr>
          </w:p>
        </w:tc>
        <w:tc>
          <w:tcPr>
            <w:tcW w:w="1123" w:type="pct"/>
            <w:vAlign w:val="center"/>
          </w:tcPr>
          <w:p w14:paraId="7E80CD46" w14:textId="77777777" w:rsidR="000D07EA" w:rsidRDefault="00BE7C89">
            <w:pPr>
              <w:pStyle w:val="BodyText"/>
              <w:spacing w:before="100" w:after="100"/>
              <w:rPr>
                <w:b/>
                <w:szCs w:val="20"/>
              </w:rPr>
            </w:pPr>
            <w:r>
              <w:rPr>
                <w:b/>
                <w:szCs w:val="20"/>
              </w:rPr>
              <w:t xml:space="preserve">$40 My Plan Business </w:t>
            </w:r>
            <w:r>
              <w:rPr>
                <w:b/>
                <w:snapToGrid w:val="0"/>
                <w:szCs w:val="20"/>
              </w:rPr>
              <w:t>Tech Fund</w:t>
            </w:r>
          </w:p>
        </w:tc>
        <w:tc>
          <w:tcPr>
            <w:tcW w:w="1123" w:type="pct"/>
            <w:shd w:val="clear" w:color="auto" w:fill="auto"/>
            <w:vAlign w:val="center"/>
          </w:tcPr>
          <w:p w14:paraId="2E4FE22E" w14:textId="77777777" w:rsidR="000D07EA" w:rsidRDefault="00BE7C89">
            <w:pPr>
              <w:pStyle w:val="BodyText"/>
              <w:spacing w:before="100" w:after="100"/>
              <w:rPr>
                <w:b/>
                <w:szCs w:val="20"/>
              </w:rPr>
            </w:pPr>
            <w:r>
              <w:rPr>
                <w:b/>
                <w:szCs w:val="20"/>
              </w:rPr>
              <w:t>$60 My Plan Business</w:t>
            </w:r>
            <w:r>
              <w:rPr>
                <w:b/>
                <w:snapToGrid w:val="0"/>
                <w:szCs w:val="20"/>
              </w:rPr>
              <w:t xml:space="preserve"> Tech Fund</w:t>
            </w:r>
          </w:p>
        </w:tc>
        <w:tc>
          <w:tcPr>
            <w:tcW w:w="1123" w:type="pct"/>
            <w:shd w:val="clear" w:color="auto" w:fill="auto"/>
          </w:tcPr>
          <w:p w14:paraId="49A4B9FB" w14:textId="77777777" w:rsidR="000D07EA" w:rsidRDefault="00BE7C89">
            <w:pPr>
              <w:pStyle w:val="BodyText"/>
              <w:spacing w:before="100" w:after="100"/>
              <w:rPr>
                <w:b/>
                <w:szCs w:val="20"/>
              </w:rPr>
            </w:pPr>
            <w:r>
              <w:rPr>
                <w:b/>
                <w:szCs w:val="20"/>
              </w:rPr>
              <w:t>$80 My Plan Business</w:t>
            </w:r>
            <w:r>
              <w:rPr>
                <w:b/>
                <w:snapToGrid w:val="0"/>
                <w:szCs w:val="20"/>
              </w:rPr>
              <w:t xml:space="preserve"> Tech Fund</w:t>
            </w:r>
          </w:p>
        </w:tc>
      </w:tr>
      <w:tr w:rsidR="000D07EA" w14:paraId="010D7F00" w14:textId="77777777">
        <w:tc>
          <w:tcPr>
            <w:tcW w:w="1630" w:type="pct"/>
            <w:shd w:val="clear" w:color="auto" w:fill="auto"/>
          </w:tcPr>
          <w:p w14:paraId="6E1CE930" w14:textId="77777777" w:rsidR="000D07EA" w:rsidRDefault="00BE7C89">
            <w:pPr>
              <w:pStyle w:val="BodyText"/>
              <w:spacing w:before="100" w:after="100"/>
              <w:rPr>
                <w:szCs w:val="20"/>
              </w:rPr>
            </w:pPr>
            <w:r>
              <w:rPr>
                <w:b/>
                <w:bCs/>
                <w:szCs w:val="20"/>
              </w:rPr>
              <w:t>Minimum Monthly charge</w:t>
            </w:r>
          </w:p>
        </w:tc>
        <w:tc>
          <w:tcPr>
            <w:tcW w:w="1123" w:type="pct"/>
            <w:vAlign w:val="center"/>
          </w:tcPr>
          <w:p w14:paraId="662ACBA0" w14:textId="77777777" w:rsidR="000D07EA" w:rsidRDefault="00BE7C89">
            <w:pPr>
              <w:pStyle w:val="BodyText"/>
              <w:spacing w:before="100" w:after="100"/>
              <w:jc w:val="center"/>
              <w:rPr>
                <w:szCs w:val="20"/>
              </w:rPr>
            </w:pPr>
            <w:r>
              <w:rPr>
                <w:szCs w:val="20"/>
              </w:rPr>
              <w:t>$40</w:t>
            </w:r>
          </w:p>
        </w:tc>
        <w:tc>
          <w:tcPr>
            <w:tcW w:w="1123" w:type="pct"/>
            <w:shd w:val="clear" w:color="auto" w:fill="auto"/>
            <w:vAlign w:val="center"/>
          </w:tcPr>
          <w:p w14:paraId="12D29644" w14:textId="77777777" w:rsidR="000D07EA" w:rsidRDefault="00BE7C89">
            <w:pPr>
              <w:pStyle w:val="BodyText"/>
              <w:spacing w:before="100" w:after="100"/>
              <w:jc w:val="center"/>
              <w:rPr>
                <w:szCs w:val="20"/>
              </w:rPr>
            </w:pPr>
            <w:r>
              <w:rPr>
                <w:szCs w:val="20"/>
              </w:rPr>
              <w:t>$65</w:t>
            </w:r>
          </w:p>
        </w:tc>
        <w:tc>
          <w:tcPr>
            <w:tcW w:w="1123" w:type="pct"/>
            <w:shd w:val="clear" w:color="auto" w:fill="auto"/>
            <w:vAlign w:val="center"/>
          </w:tcPr>
          <w:p w14:paraId="33DB59B7" w14:textId="77777777" w:rsidR="000D07EA" w:rsidRDefault="00BE7C89">
            <w:pPr>
              <w:pStyle w:val="BodyText"/>
              <w:spacing w:before="100" w:after="100"/>
              <w:jc w:val="center"/>
              <w:rPr>
                <w:szCs w:val="20"/>
              </w:rPr>
            </w:pPr>
            <w:r>
              <w:rPr>
                <w:szCs w:val="20"/>
              </w:rPr>
              <w:t>$85</w:t>
            </w:r>
          </w:p>
        </w:tc>
      </w:tr>
      <w:tr w:rsidR="000D07EA" w14:paraId="16644A57" w14:textId="77777777">
        <w:tc>
          <w:tcPr>
            <w:tcW w:w="1630" w:type="pct"/>
            <w:shd w:val="clear" w:color="auto" w:fill="auto"/>
          </w:tcPr>
          <w:p w14:paraId="7DCDDB58" w14:textId="77777777" w:rsidR="000D07EA" w:rsidRDefault="00BE7C89">
            <w:pPr>
              <w:pStyle w:val="BodyText"/>
              <w:spacing w:before="100" w:after="100"/>
              <w:rPr>
                <w:szCs w:val="20"/>
              </w:rPr>
            </w:pPr>
            <w:r>
              <w:rPr>
                <w:b/>
                <w:bCs/>
                <w:szCs w:val="20"/>
              </w:rPr>
              <w:t>Included Data</w:t>
            </w:r>
          </w:p>
        </w:tc>
        <w:tc>
          <w:tcPr>
            <w:tcW w:w="1123" w:type="pct"/>
            <w:vAlign w:val="center"/>
          </w:tcPr>
          <w:p w14:paraId="5D64AF96" w14:textId="77777777" w:rsidR="000D07EA" w:rsidRDefault="00BE7C89">
            <w:pPr>
              <w:pStyle w:val="BodyText"/>
              <w:spacing w:before="100" w:after="100"/>
              <w:jc w:val="center"/>
              <w:rPr>
                <w:szCs w:val="20"/>
              </w:rPr>
            </w:pPr>
            <w:r>
              <w:rPr>
                <w:szCs w:val="20"/>
              </w:rPr>
              <w:t>500MB</w:t>
            </w:r>
          </w:p>
        </w:tc>
        <w:tc>
          <w:tcPr>
            <w:tcW w:w="1123" w:type="pct"/>
            <w:shd w:val="clear" w:color="auto" w:fill="auto"/>
            <w:vAlign w:val="center"/>
          </w:tcPr>
          <w:p w14:paraId="7AB0F32B" w14:textId="77777777" w:rsidR="000D07EA" w:rsidRDefault="00BE7C89">
            <w:pPr>
              <w:pStyle w:val="BodyText"/>
              <w:spacing w:before="100" w:after="100"/>
              <w:jc w:val="center"/>
              <w:rPr>
                <w:szCs w:val="20"/>
              </w:rPr>
            </w:pPr>
            <w:r>
              <w:rPr>
                <w:szCs w:val="20"/>
              </w:rPr>
              <w:t>3GB</w:t>
            </w:r>
          </w:p>
        </w:tc>
        <w:tc>
          <w:tcPr>
            <w:tcW w:w="1123" w:type="pct"/>
            <w:shd w:val="clear" w:color="auto" w:fill="auto"/>
            <w:vAlign w:val="center"/>
          </w:tcPr>
          <w:p w14:paraId="716DA51D" w14:textId="77777777" w:rsidR="000D07EA" w:rsidRDefault="00BE7C89">
            <w:pPr>
              <w:pStyle w:val="BodyText"/>
              <w:spacing w:before="100" w:after="100"/>
              <w:jc w:val="center"/>
              <w:rPr>
                <w:szCs w:val="20"/>
              </w:rPr>
            </w:pPr>
            <w:r>
              <w:rPr>
                <w:szCs w:val="20"/>
              </w:rPr>
              <w:t>6GB</w:t>
            </w:r>
          </w:p>
        </w:tc>
      </w:tr>
      <w:tr w:rsidR="000D07EA" w14:paraId="4B2E3FCE" w14:textId="77777777">
        <w:tc>
          <w:tcPr>
            <w:tcW w:w="1630" w:type="pct"/>
            <w:shd w:val="clear" w:color="auto" w:fill="auto"/>
          </w:tcPr>
          <w:p w14:paraId="2084A860" w14:textId="77777777" w:rsidR="000D07EA" w:rsidRDefault="00BE7C89">
            <w:pPr>
              <w:pStyle w:val="BodyText"/>
              <w:spacing w:before="100" w:after="100"/>
              <w:rPr>
                <w:b/>
                <w:bCs/>
                <w:szCs w:val="20"/>
              </w:rPr>
            </w:pPr>
            <w:r>
              <w:rPr>
                <w:b/>
                <w:bCs/>
                <w:szCs w:val="20"/>
              </w:rPr>
              <w:t>Additional Data</w:t>
            </w:r>
          </w:p>
        </w:tc>
        <w:tc>
          <w:tcPr>
            <w:tcW w:w="3370" w:type="pct"/>
            <w:gridSpan w:val="3"/>
            <w:vAlign w:val="center"/>
          </w:tcPr>
          <w:p w14:paraId="1C3C2A44" w14:textId="77777777" w:rsidR="000D07EA" w:rsidRDefault="00BE7C89">
            <w:pPr>
              <w:pStyle w:val="BodyText"/>
              <w:spacing w:before="100" w:after="100"/>
              <w:jc w:val="center"/>
              <w:rPr>
                <w:szCs w:val="20"/>
              </w:rPr>
            </w:pPr>
            <w:r>
              <w:rPr>
                <w:szCs w:val="20"/>
              </w:rPr>
              <w:t>Additional Data $10 per 1GB</w:t>
            </w:r>
          </w:p>
        </w:tc>
      </w:tr>
      <w:tr w:rsidR="000D07EA" w14:paraId="35007798" w14:textId="77777777">
        <w:tc>
          <w:tcPr>
            <w:tcW w:w="1630" w:type="pct"/>
            <w:shd w:val="clear" w:color="auto" w:fill="auto"/>
          </w:tcPr>
          <w:p w14:paraId="48529827" w14:textId="77777777" w:rsidR="000D07EA" w:rsidRDefault="00BE7C89">
            <w:pPr>
              <w:pStyle w:val="BodyText"/>
              <w:spacing w:before="100" w:after="100"/>
              <w:rPr>
                <w:szCs w:val="20"/>
              </w:rPr>
            </w:pPr>
            <w:r>
              <w:rPr>
                <w:b/>
                <w:bCs/>
                <w:szCs w:val="20"/>
              </w:rPr>
              <w:t xml:space="preserve">Included Minutes </w:t>
            </w:r>
            <w:r>
              <w:rPr>
                <w:szCs w:val="20"/>
              </w:rPr>
              <w:t>for standard national calls to landlines and mobiles, 1300 numbers and voicemail, within Australia</w:t>
            </w:r>
          </w:p>
        </w:tc>
        <w:tc>
          <w:tcPr>
            <w:tcW w:w="1123" w:type="pct"/>
            <w:vAlign w:val="center"/>
          </w:tcPr>
          <w:p w14:paraId="23A3F39A" w14:textId="77777777" w:rsidR="000D07EA" w:rsidRDefault="00BE7C89">
            <w:pPr>
              <w:pStyle w:val="BodyText"/>
              <w:spacing w:before="100" w:after="100"/>
              <w:jc w:val="center"/>
              <w:rPr>
                <w:szCs w:val="20"/>
              </w:rPr>
            </w:pPr>
            <w:r>
              <w:rPr>
                <w:szCs w:val="20"/>
              </w:rPr>
              <w:t>Unlimited</w:t>
            </w:r>
          </w:p>
        </w:tc>
        <w:tc>
          <w:tcPr>
            <w:tcW w:w="1123" w:type="pct"/>
            <w:shd w:val="clear" w:color="auto" w:fill="auto"/>
            <w:vAlign w:val="center"/>
          </w:tcPr>
          <w:p w14:paraId="63C50FD8" w14:textId="77777777" w:rsidR="000D07EA" w:rsidRDefault="00BE7C89">
            <w:pPr>
              <w:pStyle w:val="BodyText"/>
              <w:spacing w:before="100" w:after="100"/>
              <w:jc w:val="center"/>
              <w:rPr>
                <w:szCs w:val="20"/>
              </w:rPr>
            </w:pPr>
            <w:r>
              <w:rPr>
                <w:szCs w:val="20"/>
              </w:rPr>
              <w:t>Unlimited</w:t>
            </w:r>
          </w:p>
        </w:tc>
        <w:tc>
          <w:tcPr>
            <w:tcW w:w="1123" w:type="pct"/>
            <w:shd w:val="clear" w:color="auto" w:fill="auto"/>
            <w:vAlign w:val="center"/>
          </w:tcPr>
          <w:p w14:paraId="19FDB474" w14:textId="77777777" w:rsidR="000D07EA" w:rsidRDefault="00BE7C89">
            <w:pPr>
              <w:pStyle w:val="BodyText"/>
              <w:spacing w:before="100" w:after="100"/>
              <w:jc w:val="center"/>
              <w:rPr>
                <w:szCs w:val="20"/>
              </w:rPr>
            </w:pPr>
            <w:r>
              <w:rPr>
                <w:szCs w:val="20"/>
              </w:rPr>
              <w:t>Unlimited</w:t>
            </w:r>
          </w:p>
        </w:tc>
      </w:tr>
      <w:tr w:rsidR="000D07EA" w14:paraId="4C740ECD" w14:textId="77777777">
        <w:tc>
          <w:tcPr>
            <w:tcW w:w="1630" w:type="pct"/>
            <w:shd w:val="clear" w:color="auto" w:fill="auto"/>
          </w:tcPr>
          <w:p w14:paraId="6DF8D78F" w14:textId="77777777" w:rsidR="000D07EA" w:rsidRDefault="00BE7C89">
            <w:pPr>
              <w:pStyle w:val="BodyText"/>
              <w:spacing w:before="100" w:after="100"/>
              <w:rPr>
                <w:b/>
                <w:bCs/>
                <w:szCs w:val="20"/>
              </w:rPr>
            </w:pPr>
            <w:r>
              <w:rPr>
                <w:b/>
                <w:bCs/>
                <w:szCs w:val="20"/>
              </w:rPr>
              <w:t>Included International Minutes</w:t>
            </w:r>
          </w:p>
          <w:p w14:paraId="7E7284E1" w14:textId="77777777" w:rsidR="000D07EA" w:rsidRDefault="00BE7C89">
            <w:pPr>
              <w:pStyle w:val="BodyText"/>
              <w:spacing w:before="100" w:after="100"/>
              <w:rPr>
                <w:b/>
                <w:bCs/>
                <w:szCs w:val="20"/>
              </w:rPr>
            </w:pPr>
            <w:r>
              <w:rPr>
                <w:szCs w:val="20"/>
              </w:rPr>
              <w:t xml:space="preserve">Standard international calls to landlines and mobiles to selected countries </w:t>
            </w:r>
          </w:p>
        </w:tc>
        <w:tc>
          <w:tcPr>
            <w:tcW w:w="1123" w:type="pct"/>
            <w:vAlign w:val="center"/>
          </w:tcPr>
          <w:p w14:paraId="0A60965D" w14:textId="77777777" w:rsidR="000D07EA" w:rsidRDefault="00BE7C89">
            <w:pPr>
              <w:pStyle w:val="BodyText"/>
              <w:spacing w:before="100" w:after="100"/>
              <w:jc w:val="center"/>
              <w:rPr>
                <w:szCs w:val="20"/>
              </w:rPr>
            </w:pPr>
            <w:r>
              <w:rPr>
                <w:szCs w:val="20"/>
              </w:rPr>
              <w:t>Not included</w:t>
            </w:r>
          </w:p>
        </w:tc>
        <w:tc>
          <w:tcPr>
            <w:tcW w:w="1123" w:type="pct"/>
            <w:shd w:val="clear" w:color="auto" w:fill="auto"/>
            <w:vAlign w:val="center"/>
          </w:tcPr>
          <w:p w14:paraId="3675338B" w14:textId="77777777" w:rsidR="000D07EA" w:rsidRDefault="00BE7C89">
            <w:pPr>
              <w:pStyle w:val="BodyText"/>
              <w:spacing w:before="100" w:after="100"/>
              <w:jc w:val="center"/>
              <w:rPr>
                <w:szCs w:val="20"/>
              </w:rPr>
            </w:pPr>
            <w:r>
              <w:rPr>
                <w:bCs/>
                <w:szCs w:val="20"/>
              </w:rPr>
              <w:t>Up to 150 mins</w:t>
            </w:r>
          </w:p>
        </w:tc>
        <w:tc>
          <w:tcPr>
            <w:tcW w:w="1123" w:type="pct"/>
            <w:shd w:val="clear" w:color="auto" w:fill="auto"/>
            <w:vAlign w:val="center"/>
          </w:tcPr>
          <w:p w14:paraId="49473975" w14:textId="77777777" w:rsidR="000D07EA" w:rsidRDefault="00BE7C89">
            <w:pPr>
              <w:pStyle w:val="BodyText"/>
              <w:spacing w:before="100" w:after="100"/>
              <w:jc w:val="center"/>
              <w:rPr>
                <w:szCs w:val="20"/>
              </w:rPr>
            </w:pPr>
            <w:r>
              <w:rPr>
                <w:bCs/>
                <w:szCs w:val="20"/>
              </w:rPr>
              <w:t>Up to 300 mins</w:t>
            </w:r>
          </w:p>
        </w:tc>
      </w:tr>
      <w:tr w:rsidR="000D07EA" w14:paraId="5E406636" w14:textId="77777777">
        <w:tc>
          <w:tcPr>
            <w:tcW w:w="1630" w:type="pct"/>
            <w:shd w:val="clear" w:color="auto" w:fill="auto"/>
          </w:tcPr>
          <w:p w14:paraId="1B68AB63" w14:textId="77777777" w:rsidR="000D07EA" w:rsidRDefault="00BE7C89">
            <w:pPr>
              <w:pStyle w:val="BodyText"/>
              <w:spacing w:before="100" w:after="100"/>
              <w:rPr>
                <w:szCs w:val="20"/>
              </w:rPr>
            </w:pPr>
            <w:r>
              <w:rPr>
                <w:b/>
                <w:bCs/>
                <w:szCs w:val="20"/>
              </w:rPr>
              <w:t xml:space="preserve">Standard national SMS </w:t>
            </w:r>
            <w:r>
              <w:rPr>
                <w:szCs w:val="20"/>
              </w:rPr>
              <w:t>(per SMS of up to 160 standard characters)</w:t>
            </w:r>
          </w:p>
        </w:tc>
        <w:tc>
          <w:tcPr>
            <w:tcW w:w="1123" w:type="pct"/>
            <w:vAlign w:val="center"/>
          </w:tcPr>
          <w:p w14:paraId="1983B16F" w14:textId="77777777" w:rsidR="000D07EA" w:rsidRDefault="00BE7C89">
            <w:pPr>
              <w:pStyle w:val="BodyText"/>
              <w:spacing w:before="100" w:after="100"/>
              <w:jc w:val="center"/>
              <w:rPr>
                <w:szCs w:val="20"/>
              </w:rPr>
            </w:pPr>
            <w:r>
              <w:rPr>
                <w:szCs w:val="20"/>
              </w:rPr>
              <w:t>Unlimited</w:t>
            </w:r>
          </w:p>
        </w:tc>
        <w:tc>
          <w:tcPr>
            <w:tcW w:w="1123" w:type="pct"/>
            <w:shd w:val="clear" w:color="auto" w:fill="auto"/>
            <w:vAlign w:val="center"/>
          </w:tcPr>
          <w:p w14:paraId="6C3AB933" w14:textId="77777777" w:rsidR="000D07EA" w:rsidRDefault="00BE7C89">
            <w:pPr>
              <w:pStyle w:val="BodyText"/>
              <w:spacing w:before="100" w:after="100"/>
              <w:jc w:val="center"/>
              <w:rPr>
                <w:szCs w:val="20"/>
              </w:rPr>
            </w:pPr>
            <w:r>
              <w:rPr>
                <w:szCs w:val="20"/>
              </w:rPr>
              <w:t>Unlimited</w:t>
            </w:r>
          </w:p>
        </w:tc>
        <w:tc>
          <w:tcPr>
            <w:tcW w:w="1123" w:type="pct"/>
            <w:shd w:val="clear" w:color="auto" w:fill="auto"/>
            <w:vAlign w:val="center"/>
          </w:tcPr>
          <w:p w14:paraId="23DFDD7A" w14:textId="77777777" w:rsidR="000D07EA" w:rsidRDefault="00BE7C89">
            <w:pPr>
              <w:pStyle w:val="BodyText"/>
              <w:spacing w:before="100" w:after="100"/>
              <w:jc w:val="center"/>
              <w:rPr>
                <w:szCs w:val="20"/>
              </w:rPr>
            </w:pPr>
            <w:r>
              <w:rPr>
                <w:szCs w:val="20"/>
              </w:rPr>
              <w:t>Unlimited</w:t>
            </w:r>
          </w:p>
        </w:tc>
      </w:tr>
      <w:tr w:rsidR="000D07EA" w14:paraId="02320624" w14:textId="77777777">
        <w:tc>
          <w:tcPr>
            <w:tcW w:w="1630" w:type="pct"/>
            <w:shd w:val="clear" w:color="auto" w:fill="auto"/>
          </w:tcPr>
          <w:p w14:paraId="679E1E1A" w14:textId="77777777" w:rsidR="000D07EA" w:rsidRDefault="00BE7C89">
            <w:pPr>
              <w:pStyle w:val="BodyText"/>
              <w:spacing w:before="100" w:after="100"/>
              <w:rPr>
                <w:b/>
                <w:bCs/>
                <w:szCs w:val="20"/>
              </w:rPr>
            </w:pPr>
            <w:r>
              <w:rPr>
                <w:b/>
                <w:bCs/>
                <w:szCs w:val="20"/>
              </w:rPr>
              <w:t xml:space="preserve">Standard national MMS </w:t>
            </w:r>
            <w:r>
              <w:rPr>
                <w:szCs w:val="20"/>
              </w:rPr>
              <w:t>(per message)</w:t>
            </w:r>
          </w:p>
        </w:tc>
        <w:tc>
          <w:tcPr>
            <w:tcW w:w="1123" w:type="pct"/>
            <w:vAlign w:val="center"/>
          </w:tcPr>
          <w:p w14:paraId="37F5A848" w14:textId="77777777" w:rsidR="000D07EA" w:rsidRDefault="00BE7C89">
            <w:pPr>
              <w:pStyle w:val="BodyText"/>
              <w:spacing w:before="100" w:after="100"/>
              <w:jc w:val="center"/>
              <w:rPr>
                <w:szCs w:val="20"/>
              </w:rPr>
            </w:pPr>
            <w:r>
              <w:rPr>
                <w:szCs w:val="20"/>
              </w:rPr>
              <w:t>Unlimited</w:t>
            </w:r>
          </w:p>
        </w:tc>
        <w:tc>
          <w:tcPr>
            <w:tcW w:w="1123" w:type="pct"/>
            <w:shd w:val="clear" w:color="auto" w:fill="auto"/>
            <w:vAlign w:val="center"/>
          </w:tcPr>
          <w:p w14:paraId="6645AE04" w14:textId="77777777" w:rsidR="000D07EA" w:rsidRDefault="00BE7C89">
            <w:pPr>
              <w:pStyle w:val="BodyText"/>
              <w:spacing w:before="100" w:after="100"/>
              <w:jc w:val="center"/>
              <w:rPr>
                <w:szCs w:val="20"/>
              </w:rPr>
            </w:pPr>
            <w:r>
              <w:rPr>
                <w:szCs w:val="20"/>
              </w:rPr>
              <w:t>Unlimited</w:t>
            </w:r>
          </w:p>
        </w:tc>
        <w:tc>
          <w:tcPr>
            <w:tcW w:w="1123" w:type="pct"/>
            <w:shd w:val="clear" w:color="auto" w:fill="auto"/>
            <w:vAlign w:val="center"/>
          </w:tcPr>
          <w:p w14:paraId="1A31C3D2" w14:textId="77777777" w:rsidR="000D07EA" w:rsidRDefault="00BE7C89">
            <w:pPr>
              <w:pStyle w:val="BodyText"/>
              <w:spacing w:before="100" w:after="100"/>
              <w:jc w:val="center"/>
              <w:rPr>
                <w:szCs w:val="20"/>
              </w:rPr>
            </w:pPr>
            <w:r>
              <w:rPr>
                <w:szCs w:val="20"/>
              </w:rPr>
              <w:t>Unlimited</w:t>
            </w:r>
          </w:p>
        </w:tc>
      </w:tr>
      <w:tr w:rsidR="000D07EA" w14:paraId="3D5333C2" w14:textId="77777777">
        <w:tc>
          <w:tcPr>
            <w:tcW w:w="1630" w:type="pct"/>
            <w:shd w:val="clear" w:color="auto" w:fill="auto"/>
          </w:tcPr>
          <w:p w14:paraId="5422450E" w14:textId="77777777" w:rsidR="000D07EA" w:rsidRDefault="00BE7C89">
            <w:pPr>
              <w:pStyle w:val="BodyText"/>
              <w:spacing w:before="100" w:after="100"/>
              <w:rPr>
                <w:b/>
                <w:bCs/>
                <w:szCs w:val="20"/>
              </w:rPr>
            </w:pPr>
            <w:r>
              <w:rPr>
                <w:b/>
                <w:bCs/>
                <w:szCs w:val="20"/>
              </w:rPr>
              <w:t xml:space="preserve">Standard international SMS </w:t>
            </w:r>
            <w:r>
              <w:rPr>
                <w:szCs w:val="20"/>
              </w:rPr>
              <w:t>(per SMS of up to 160 standard characters to selected countries)</w:t>
            </w:r>
          </w:p>
        </w:tc>
        <w:tc>
          <w:tcPr>
            <w:tcW w:w="1123" w:type="pct"/>
            <w:vAlign w:val="center"/>
          </w:tcPr>
          <w:p w14:paraId="41C009D9" w14:textId="77777777" w:rsidR="000D07EA" w:rsidRDefault="00BE7C89">
            <w:pPr>
              <w:pStyle w:val="BodyText"/>
              <w:spacing w:before="100" w:after="100"/>
              <w:jc w:val="center"/>
              <w:rPr>
                <w:szCs w:val="20"/>
              </w:rPr>
            </w:pPr>
            <w:r>
              <w:rPr>
                <w:szCs w:val="20"/>
              </w:rPr>
              <w:t>Unlimited</w:t>
            </w:r>
          </w:p>
        </w:tc>
        <w:tc>
          <w:tcPr>
            <w:tcW w:w="1123" w:type="pct"/>
            <w:shd w:val="clear" w:color="auto" w:fill="auto"/>
            <w:vAlign w:val="center"/>
          </w:tcPr>
          <w:p w14:paraId="7F46998D" w14:textId="77777777" w:rsidR="000D07EA" w:rsidRDefault="00BE7C89">
            <w:pPr>
              <w:pStyle w:val="BodyText"/>
              <w:spacing w:before="100" w:after="100"/>
              <w:jc w:val="center"/>
              <w:rPr>
                <w:szCs w:val="20"/>
              </w:rPr>
            </w:pPr>
            <w:r>
              <w:rPr>
                <w:szCs w:val="20"/>
              </w:rPr>
              <w:t>Unlimited</w:t>
            </w:r>
          </w:p>
        </w:tc>
        <w:tc>
          <w:tcPr>
            <w:tcW w:w="1123" w:type="pct"/>
            <w:shd w:val="clear" w:color="auto" w:fill="auto"/>
            <w:vAlign w:val="center"/>
          </w:tcPr>
          <w:p w14:paraId="527DC09D" w14:textId="77777777" w:rsidR="000D07EA" w:rsidRDefault="00BE7C89">
            <w:pPr>
              <w:pStyle w:val="BodyText"/>
              <w:spacing w:before="100" w:after="100"/>
              <w:jc w:val="center"/>
              <w:rPr>
                <w:szCs w:val="20"/>
              </w:rPr>
            </w:pPr>
            <w:r>
              <w:rPr>
                <w:szCs w:val="20"/>
              </w:rPr>
              <w:t>Unlimited</w:t>
            </w:r>
          </w:p>
        </w:tc>
      </w:tr>
      <w:tr w:rsidR="000D07EA" w14:paraId="2C5FC0CE" w14:textId="77777777">
        <w:tc>
          <w:tcPr>
            <w:tcW w:w="1630" w:type="pct"/>
            <w:shd w:val="clear" w:color="auto" w:fill="auto"/>
          </w:tcPr>
          <w:p w14:paraId="3BF56275" w14:textId="77777777" w:rsidR="000D07EA" w:rsidRDefault="00BE7C89">
            <w:pPr>
              <w:pStyle w:val="BodyText"/>
              <w:spacing w:before="100" w:after="100"/>
              <w:rPr>
                <w:b/>
                <w:bCs/>
                <w:szCs w:val="20"/>
              </w:rPr>
            </w:pPr>
            <w:r>
              <w:rPr>
                <w:b/>
                <w:bCs/>
                <w:szCs w:val="20"/>
              </w:rPr>
              <w:t xml:space="preserve">Standard international MMS </w:t>
            </w:r>
            <w:r>
              <w:rPr>
                <w:szCs w:val="20"/>
              </w:rPr>
              <w:t>(per message to selected countries)</w:t>
            </w:r>
          </w:p>
        </w:tc>
        <w:tc>
          <w:tcPr>
            <w:tcW w:w="1123" w:type="pct"/>
            <w:vAlign w:val="center"/>
          </w:tcPr>
          <w:p w14:paraId="4FCEF932" w14:textId="77777777" w:rsidR="000D07EA" w:rsidRDefault="00BE7C89">
            <w:pPr>
              <w:pStyle w:val="BodyText"/>
              <w:spacing w:before="100" w:after="100"/>
              <w:jc w:val="center"/>
              <w:rPr>
                <w:szCs w:val="20"/>
              </w:rPr>
            </w:pPr>
            <w:r>
              <w:rPr>
                <w:szCs w:val="20"/>
              </w:rPr>
              <w:t>Unlimited</w:t>
            </w:r>
          </w:p>
        </w:tc>
        <w:tc>
          <w:tcPr>
            <w:tcW w:w="1123" w:type="pct"/>
            <w:shd w:val="clear" w:color="auto" w:fill="auto"/>
            <w:vAlign w:val="center"/>
          </w:tcPr>
          <w:p w14:paraId="523AD312" w14:textId="77777777" w:rsidR="000D07EA" w:rsidRDefault="00BE7C89">
            <w:pPr>
              <w:pStyle w:val="BodyText"/>
              <w:spacing w:before="100" w:after="100"/>
              <w:jc w:val="center"/>
              <w:rPr>
                <w:szCs w:val="20"/>
              </w:rPr>
            </w:pPr>
            <w:r>
              <w:rPr>
                <w:szCs w:val="20"/>
              </w:rPr>
              <w:t>Unlimited</w:t>
            </w:r>
          </w:p>
        </w:tc>
        <w:tc>
          <w:tcPr>
            <w:tcW w:w="1123" w:type="pct"/>
            <w:shd w:val="clear" w:color="auto" w:fill="auto"/>
            <w:vAlign w:val="center"/>
          </w:tcPr>
          <w:p w14:paraId="35C04690" w14:textId="77777777" w:rsidR="000D07EA" w:rsidRDefault="00BE7C89">
            <w:pPr>
              <w:pStyle w:val="BodyText"/>
              <w:spacing w:before="100" w:after="100"/>
              <w:jc w:val="center"/>
              <w:rPr>
                <w:szCs w:val="20"/>
              </w:rPr>
            </w:pPr>
            <w:r>
              <w:rPr>
                <w:szCs w:val="20"/>
              </w:rPr>
              <w:t>Unlimited</w:t>
            </w:r>
          </w:p>
        </w:tc>
      </w:tr>
      <w:tr w:rsidR="000D07EA" w14:paraId="277C0443" w14:textId="77777777">
        <w:tc>
          <w:tcPr>
            <w:tcW w:w="1630" w:type="pct"/>
            <w:shd w:val="clear" w:color="auto" w:fill="auto"/>
          </w:tcPr>
          <w:p w14:paraId="7074650B" w14:textId="77777777" w:rsidR="000D07EA" w:rsidRDefault="00BE7C89">
            <w:pPr>
              <w:pStyle w:val="BodyText"/>
              <w:spacing w:before="100" w:after="100"/>
              <w:rPr>
                <w:b/>
                <w:bCs/>
                <w:szCs w:val="20"/>
              </w:rPr>
            </w:pPr>
            <w:r>
              <w:rPr>
                <w:b/>
                <w:szCs w:val="20"/>
              </w:rPr>
              <w:t>Optus Travel™ Pack</w:t>
            </w:r>
          </w:p>
        </w:tc>
        <w:tc>
          <w:tcPr>
            <w:tcW w:w="1123" w:type="pct"/>
            <w:vAlign w:val="center"/>
          </w:tcPr>
          <w:p w14:paraId="3C553867" w14:textId="77777777" w:rsidR="000D07EA" w:rsidRDefault="00BE7C89">
            <w:pPr>
              <w:pStyle w:val="BodyText"/>
              <w:spacing w:before="100" w:after="100"/>
              <w:jc w:val="center"/>
              <w:rPr>
                <w:szCs w:val="20"/>
              </w:rPr>
            </w:pPr>
            <w:r>
              <w:rPr>
                <w:szCs w:val="20"/>
              </w:rPr>
              <w:t>Not applicable</w:t>
            </w:r>
          </w:p>
        </w:tc>
        <w:tc>
          <w:tcPr>
            <w:tcW w:w="1123" w:type="pct"/>
            <w:shd w:val="clear" w:color="auto" w:fill="auto"/>
            <w:vAlign w:val="center"/>
          </w:tcPr>
          <w:p w14:paraId="2C61A65B" w14:textId="77777777" w:rsidR="000D07EA" w:rsidRDefault="00BE7C89">
            <w:pPr>
              <w:pStyle w:val="BodyText"/>
              <w:spacing w:before="100" w:after="100"/>
              <w:jc w:val="center"/>
              <w:rPr>
                <w:szCs w:val="20"/>
              </w:rPr>
            </w:pPr>
            <w:r>
              <w:rPr>
                <w:szCs w:val="20"/>
              </w:rPr>
              <w:t>Not applicable</w:t>
            </w:r>
          </w:p>
        </w:tc>
        <w:tc>
          <w:tcPr>
            <w:tcW w:w="1123" w:type="pct"/>
            <w:shd w:val="clear" w:color="auto" w:fill="auto"/>
            <w:vAlign w:val="center"/>
          </w:tcPr>
          <w:p w14:paraId="3937A9DB" w14:textId="77777777" w:rsidR="000D07EA" w:rsidRDefault="00BE7C89">
            <w:pPr>
              <w:pStyle w:val="BodyText"/>
              <w:spacing w:before="100" w:after="100"/>
              <w:jc w:val="center"/>
              <w:rPr>
                <w:szCs w:val="20"/>
              </w:rPr>
            </w:pPr>
            <w:r>
              <w:rPr>
                <w:szCs w:val="20"/>
              </w:rPr>
              <w:t>Not applicable</w:t>
            </w:r>
          </w:p>
        </w:tc>
      </w:tr>
      <w:tr w:rsidR="000D07EA" w14:paraId="41DFB497" w14:textId="77777777">
        <w:tc>
          <w:tcPr>
            <w:tcW w:w="1630" w:type="pct"/>
            <w:shd w:val="clear" w:color="auto" w:fill="auto"/>
          </w:tcPr>
          <w:p w14:paraId="5BBC3FAD" w14:textId="77777777" w:rsidR="000D07EA" w:rsidRDefault="00BE7C89">
            <w:pPr>
              <w:pStyle w:val="BodyText"/>
              <w:spacing w:before="100" w:after="100"/>
              <w:rPr>
                <w:b/>
                <w:bCs/>
                <w:szCs w:val="20"/>
              </w:rPr>
            </w:pPr>
            <w:r>
              <w:rPr>
                <w:b/>
                <w:bCs/>
                <w:szCs w:val="20"/>
              </w:rPr>
              <w:t xml:space="preserve">Minimum total cost over 24 months </w:t>
            </w:r>
          </w:p>
        </w:tc>
        <w:tc>
          <w:tcPr>
            <w:tcW w:w="1123" w:type="pct"/>
            <w:vAlign w:val="center"/>
          </w:tcPr>
          <w:p w14:paraId="5FE3B8AC" w14:textId="77777777" w:rsidR="000D07EA" w:rsidRDefault="00BE7C89">
            <w:pPr>
              <w:pStyle w:val="BodyText"/>
              <w:spacing w:before="100" w:after="100"/>
              <w:jc w:val="center"/>
              <w:rPr>
                <w:szCs w:val="20"/>
              </w:rPr>
            </w:pPr>
            <w:r>
              <w:rPr>
                <w:szCs w:val="20"/>
              </w:rPr>
              <w:t>$960</w:t>
            </w:r>
          </w:p>
        </w:tc>
        <w:tc>
          <w:tcPr>
            <w:tcW w:w="1123" w:type="pct"/>
            <w:shd w:val="clear" w:color="auto" w:fill="auto"/>
            <w:vAlign w:val="center"/>
          </w:tcPr>
          <w:p w14:paraId="3E307CBF" w14:textId="77777777" w:rsidR="000D07EA" w:rsidRDefault="00BE7C89">
            <w:pPr>
              <w:pStyle w:val="BodyText"/>
              <w:spacing w:before="100" w:after="100"/>
              <w:jc w:val="center"/>
              <w:rPr>
                <w:szCs w:val="20"/>
              </w:rPr>
            </w:pPr>
            <w:r>
              <w:rPr>
                <w:szCs w:val="20"/>
              </w:rPr>
              <w:t>$1560</w:t>
            </w:r>
          </w:p>
        </w:tc>
        <w:tc>
          <w:tcPr>
            <w:tcW w:w="1123" w:type="pct"/>
            <w:shd w:val="clear" w:color="auto" w:fill="auto"/>
            <w:vAlign w:val="center"/>
          </w:tcPr>
          <w:p w14:paraId="652E7231" w14:textId="77777777" w:rsidR="000D07EA" w:rsidRDefault="00BE7C89">
            <w:pPr>
              <w:pStyle w:val="BodyText"/>
              <w:spacing w:before="100" w:after="100"/>
              <w:jc w:val="center"/>
              <w:rPr>
                <w:szCs w:val="20"/>
              </w:rPr>
            </w:pPr>
            <w:r>
              <w:rPr>
                <w:szCs w:val="20"/>
              </w:rPr>
              <w:t>$2040</w:t>
            </w:r>
          </w:p>
        </w:tc>
      </w:tr>
    </w:tbl>
    <w:p w14:paraId="3E1FE92F" w14:textId="77777777" w:rsidR="000D07EA" w:rsidRDefault="000D07EA">
      <w:pPr>
        <w:pStyle w:val="BodyText"/>
      </w:pPr>
    </w:p>
    <w:p w14:paraId="6941923A" w14:textId="77777777" w:rsidR="000D07EA" w:rsidRDefault="00BE7C89">
      <w:pPr>
        <w:pStyle w:val="BodyText"/>
        <w:ind w:left="720"/>
        <w:rPr>
          <w:b/>
        </w:rPr>
      </w:pPr>
      <w:r>
        <w:rPr>
          <w:b/>
        </w:rPr>
        <w:t>Table 2 – Other usage types and charges</w:t>
      </w:r>
    </w:p>
    <w:tbl>
      <w:tblPr>
        <w:tblW w:w="87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4428"/>
        <w:gridCol w:w="4320"/>
      </w:tblGrid>
      <w:tr w:rsidR="000D07EA" w14:paraId="2A2883AE" w14:textId="77777777">
        <w:trPr>
          <w:trHeight w:val="54"/>
          <w:tblHeader/>
        </w:trPr>
        <w:tc>
          <w:tcPr>
            <w:tcW w:w="4428" w:type="dxa"/>
            <w:shd w:val="clear" w:color="auto" w:fill="auto"/>
          </w:tcPr>
          <w:p w14:paraId="1393B954" w14:textId="77777777" w:rsidR="000D07EA" w:rsidRDefault="00BE7C89">
            <w:pPr>
              <w:pStyle w:val="BodyText"/>
              <w:spacing w:before="100" w:after="100"/>
              <w:rPr>
                <w:b/>
              </w:rPr>
            </w:pPr>
            <w:r>
              <w:rPr>
                <w:b/>
              </w:rPr>
              <w:t>Usage type</w:t>
            </w:r>
          </w:p>
        </w:tc>
        <w:tc>
          <w:tcPr>
            <w:tcW w:w="4320" w:type="dxa"/>
            <w:shd w:val="clear" w:color="auto" w:fill="auto"/>
            <w:vAlign w:val="center"/>
          </w:tcPr>
          <w:p w14:paraId="25398177" w14:textId="77777777" w:rsidR="000D07EA" w:rsidRDefault="00BE7C89">
            <w:pPr>
              <w:pStyle w:val="BodyText"/>
              <w:spacing w:before="100" w:after="100"/>
              <w:jc w:val="center"/>
              <w:rPr>
                <w:b/>
              </w:rPr>
            </w:pPr>
            <w:r>
              <w:rPr>
                <w:b/>
              </w:rPr>
              <w:t>Charge</w:t>
            </w:r>
          </w:p>
        </w:tc>
      </w:tr>
      <w:tr w:rsidR="000D07EA" w14:paraId="2FD8F151" w14:textId="77777777">
        <w:tc>
          <w:tcPr>
            <w:tcW w:w="4428" w:type="dxa"/>
            <w:shd w:val="clear" w:color="auto" w:fill="auto"/>
          </w:tcPr>
          <w:p w14:paraId="6F506EB1" w14:textId="77777777" w:rsidR="000D07EA" w:rsidRDefault="00BE7C89">
            <w:pPr>
              <w:pStyle w:val="BodyText"/>
              <w:spacing w:before="100" w:after="100"/>
              <w:rPr>
                <w:b/>
              </w:rPr>
            </w:pPr>
            <w:r>
              <w:rPr>
                <w:b/>
                <w:bCs/>
              </w:rPr>
              <w:t xml:space="preserve">National video calls </w:t>
            </w:r>
            <w:r>
              <w:t>(per minute)</w:t>
            </w:r>
          </w:p>
        </w:tc>
        <w:tc>
          <w:tcPr>
            <w:tcW w:w="4320" w:type="dxa"/>
            <w:shd w:val="clear" w:color="auto" w:fill="auto"/>
            <w:vAlign w:val="center"/>
          </w:tcPr>
          <w:p w14:paraId="7BB37D40" w14:textId="77777777" w:rsidR="000D07EA" w:rsidRDefault="00BE7C89">
            <w:pPr>
              <w:pStyle w:val="BodyText"/>
              <w:spacing w:before="100" w:after="100"/>
              <w:jc w:val="center"/>
            </w:pPr>
            <w:r>
              <w:t>$1.00 per min + 40c flagfall</w:t>
            </w:r>
          </w:p>
        </w:tc>
      </w:tr>
      <w:tr w:rsidR="000D07EA" w14:paraId="716FFECB" w14:textId="77777777">
        <w:tc>
          <w:tcPr>
            <w:tcW w:w="4428" w:type="dxa"/>
            <w:shd w:val="clear" w:color="auto" w:fill="auto"/>
          </w:tcPr>
          <w:p w14:paraId="30AE8E03" w14:textId="77777777" w:rsidR="000D07EA" w:rsidRDefault="00BE7C89">
            <w:pPr>
              <w:pStyle w:val="BodyText"/>
              <w:spacing w:before="100" w:after="100"/>
              <w:rPr>
                <w:b/>
                <w:bCs/>
              </w:rPr>
            </w:pPr>
            <w:r>
              <w:rPr>
                <w:b/>
                <w:bCs/>
              </w:rPr>
              <w:t>National Diversions</w:t>
            </w:r>
          </w:p>
        </w:tc>
        <w:tc>
          <w:tcPr>
            <w:tcW w:w="4320" w:type="dxa"/>
            <w:shd w:val="clear" w:color="auto" w:fill="auto"/>
          </w:tcPr>
          <w:p w14:paraId="338ADDE9" w14:textId="77777777" w:rsidR="000D07EA" w:rsidRDefault="00BE7C89">
            <w:pPr>
              <w:pStyle w:val="BodyText"/>
              <w:spacing w:before="100" w:after="100"/>
              <w:jc w:val="center"/>
            </w:pPr>
            <w:r>
              <w:t>$0 per minute</w:t>
            </w:r>
          </w:p>
        </w:tc>
      </w:tr>
      <w:tr w:rsidR="000D07EA" w14:paraId="7EB2B718" w14:textId="77777777">
        <w:tc>
          <w:tcPr>
            <w:tcW w:w="4428" w:type="dxa"/>
            <w:shd w:val="clear" w:color="auto" w:fill="auto"/>
          </w:tcPr>
          <w:p w14:paraId="708EB910" w14:textId="77777777" w:rsidR="000D07EA" w:rsidRDefault="00BE7C89">
            <w:pPr>
              <w:pStyle w:val="BodyText"/>
              <w:spacing w:before="100" w:after="100"/>
              <w:rPr>
                <w:b/>
                <w:bCs/>
              </w:rPr>
            </w:pPr>
            <w:r>
              <w:rPr>
                <w:b/>
                <w:bCs/>
              </w:rPr>
              <w:t xml:space="preserve">International Diversions </w:t>
            </w:r>
          </w:p>
        </w:tc>
        <w:tc>
          <w:tcPr>
            <w:tcW w:w="4320" w:type="dxa"/>
            <w:shd w:val="clear" w:color="auto" w:fill="auto"/>
          </w:tcPr>
          <w:p w14:paraId="2E5E9CD1" w14:textId="77777777" w:rsidR="000D07EA" w:rsidRDefault="00BE7C89">
            <w:pPr>
              <w:pStyle w:val="BodyText"/>
              <w:spacing w:before="100" w:after="100"/>
              <w:jc w:val="center"/>
            </w:pPr>
            <w:r>
              <w:t>'yes' international rates</w:t>
            </w:r>
            <w:r>
              <w:br/>
              <w:t>See optus.com.au/international</w:t>
            </w:r>
          </w:p>
        </w:tc>
      </w:tr>
      <w:tr w:rsidR="000D07EA" w14:paraId="70D5B9C3" w14:textId="77777777">
        <w:tc>
          <w:tcPr>
            <w:tcW w:w="4428" w:type="dxa"/>
            <w:shd w:val="clear" w:color="auto" w:fill="auto"/>
          </w:tcPr>
          <w:p w14:paraId="29270443" w14:textId="77777777" w:rsidR="000D07EA" w:rsidRDefault="00BE7C89">
            <w:pPr>
              <w:pStyle w:val="BodyText"/>
              <w:spacing w:before="100" w:after="100"/>
              <w:rPr>
                <w:b/>
                <w:bCs/>
              </w:rPr>
            </w:pPr>
            <w:r>
              <w:rPr>
                <w:b/>
                <w:bCs/>
              </w:rPr>
              <w:t xml:space="preserve">1800 numbers </w:t>
            </w:r>
          </w:p>
        </w:tc>
        <w:tc>
          <w:tcPr>
            <w:tcW w:w="4320" w:type="dxa"/>
            <w:shd w:val="clear" w:color="auto" w:fill="auto"/>
            <w:vAlign w:val="center"/>
          </w:tcPr>
          <w:p w14:paraId="58DB5196" w14:textId="77777777" w:rsidR="000D07EA" w:rsidRDefault="00BE7C89">
            <w:pPr>
              <w:pStyle w:val="BodyText"/>
              <w:spacing w:before="100" w:after="100"/>
              <w:jc w:val="center"/>
            </w:pPr>
            <w:r>
              <w:t>$0 per minute</w:t>
            </w:r>
          </w:p>
        </w:tc>
      </w:tr>
      <w:tr w:rsidR="000D07EA" w14:paraId="115AA5A8" w14:textId="77777777">
        <w:tc>
          <w:tcPr>
            <w:tcW w:w="4428" w:type="dxa"/>
            <w:shd w:val="clear" w:color="auto" w:fill="auto"/>
          </w:tcPr>
          <w:p w14:paraId="5244589D" w14:textId="77777777" w:rsidR="000D07EA" w:rsidRDefault="00BE7C89">
            <w:pPr>
              <w:pStyle w:val="BodyText"/>
              <w:spacing w:before="100" w:after="100"/>
              <w:rPr>
                <w:b/>
                <w:bCs/>
              </w:rPr>
            </w:pPr>
            <w:r>
              <w:rPr>
                <w:b/>
                <w:bCs/>
              </w:rPr>
              <w:t xml:space="preserve">Directory Assistance 1223 </w:t>
            </w:r>
          </w:p>
        </w:tc>
        <w:tc>
          <w:tcPr>
            <w:tcW w:w="4320" w:type="dxa"/>
            <w:shd w:val="clear" w:color="auto" w:fill="auto"/>
            <w:vAlign w:val="center"/>
          </w:tcPr>
          <w:p w14:paraId="230852BB" w14:textId="77777777" w:rsidR="000D07EA" w:rsidRDefault="00BE7C89">
            <w:pPr>
              <w:pStyle w:val="BodyText"/>
              <w:spacing w:before="100" w:after="100"/>
              <w:jc w:val="center"/>
            </w:pPr>
            <w:r>
              <w:t>50c per call</w:t>
            </w:r>
          </w:p>
        </w:tc>
      </w:tr>
      <w:tr w:rsidR="000D07EA" w14:paraId="02620152" w14:textId="77777777">
        <w:tc>
          <w:tcPr>
            <w:tcW w:w="4428" w:type="dxa"/>
            <w:shd w:val="clear" w:color="auto" w:fill="auto"/>
          </w:tcPr>
          <w:p w14:paraId="5D91C9B7" w14:textId="77777777" w:rsidR="000D07EA" w:rsidRDefault="00BE7C89">
            <w:pPr>
              <w:pStyle w:val="BodyText"/>
              <w:spacing w:before="100" w:after="100"/>
              <w:rPr>
                <w:b/>
                <w:bCs/>
              </w:rPr>
            </w:pPr>
            <w:r>
              <w:rPr>
                <w:b/>
                <w:bCs/>
              </w:rPr>
              <w:t>124 Yes</w:t>
            </w:r>
          </w:p>
        </w:tc>
        <w:tc>
          <w:tcPr>
            <w:tcW w:w="4320" w:type="dxa"/>
            <w:shd w:val="clear" w:color="auto" w:fill="auto"/>
            <w:vAlign w:val="center"/>
          </w:tcPr>
          <w:p w14:paraId="3CF44759" w14:textId="77777777" w:rsidR="000D07EA" w:rsidRDefault="00BE7C89">
            <w:pPr>
              <w:pStyle w:val="BodyText"/>
              <w:spacing w:before="100" w:after="100"/>
              <w:jc w:val="center"/>
            </w:pPr>
            <w:r>
              <w:t>90c per minute +$1.75c flagfall</w:t>
            </w:r>
          </w:p>
        </w:tc>
      </w:tr>
      <w:tr w:rsidR="000D07EA" w14:paraId="12074B15" w14:textId="77777777">
        <w:tc>
          <w:tcPr>
            <w:tcW w:w="4428" w:type="dxa"/>
            <w:shd w:val="clear" w:color="auto" w:fill="auto"/>
          </w:tcPr>
          <w:p w14:paraId="04D94E0E" w14:textId="77777777" w:rsidR="000D07EA" w:rsidRDefault="00BE7C89">
            <w:pPr>
              <w:pStyle w:val="BodyText"/>
              <w:spacing w:before="100" w:after="100"/>
              <w:rPr>
                <w:b/>
                <w:bCs/>
              </w:rPr>
            </w:pPr>
            <w:r>
              <w:rPr>
                <w:b/>
                <w:bCs/>
              </w:rPr>
              <w:lastRenderedPageBreak/>
              <w:t xml:space="preserve">International voice calls (outside the plan's included international minutes and to excluded countries) </w:t>
            </w:r>
          </w:p>
        </w:tc>
        <w:tc>
          <w:tcPr>
            <w:tcW w:w="4320" w:type="dxa"/>
            <w:shd w:val="clear" w:color="auto" w:fill="auto"/>
            <w:vAlign w:val="center"/>
          </w:tcPr>
          <w:p w14:paraId="1F942976" w14:textId="77777777" w:rsidR="000D07EA" w:rsidRDefault="00BE7C89">
            <w:pPr>
              <w:pStyle w:val="BodyText"/>
              <w:spacing w:before="100" w:after="100"/>
              <w:jc w:val="center"/>
            </w:pPr>
            <w:r>
              <w:t>'yes' international rates</w:t>
            </w:r>
            <w:r>
              <w:br/>
              <w:t>See optus.com.au/international</w:t>
            </w:r>
          </w:p>
        </w:tc>
      </w:tr>
      <w:tr w:rsidR="000D07EA" w14:paraId="2FDD4DA2" w14:textId="77777777">
        <w:tc>
          <w:tcPr>
            <w:tcW w:w="4428" w:type="dxa"/>
            <w:shd w:val="clear" w:color="auto" w:fill="auto"/>
          </w:tcPr>
          <w:p w14:paraId="3CD82A33" w14:textId="77777777" w:rsidR="000D07EA" w:rsidRDefault="00BE7C89">
            <w:pPr>
              <w:pStyle w:val="BodyText"/>
              <w:spacing w:before="100" w:after="100"/>
              <w:rPr>
                <w:b/>
                <w:bCs/>
              </w:rPr>
            </w:pPr>
            <w:r>
              <w:rPr>
                <w:b/>
                <w:bCs/>
              </w:rPr>
              <w:t>International SMS (to excluded countries)</w:t>
            </w:r>
          </w:p>
        </w:tc>
        <w:tc>
          <w:tcPr>
            <w:tcW w:w="4320" w:type="dxa"/>
            <w:shd w:val="clear" w:color="auto" w:fill="auto"/>
            <w:vAlign w:val="center"/>
          </w:tcPr>
          <w:p w14:paraId="4BD7C63F" w14:textId="77777777" w:rsidR="000D07EA" w:rsidRDefault="00BE7C89">
            <w:pPr>
              <w:pStyle w:val="BodyText"/>
              <w:spacing w:before="100" w:after="100"/>
              <w:jc w:val="center"/>
            </w:pPr>
            <w:r>
              <w:t>50c per SMS up to 160 standard characters</w:t>
            </w:r>
          </w:p>
        </w:tc>
      </w:tr>
      <w:tr w:rsidR="000D07EA" w14:paraId="2B4A0FCE" w14:textId="77777777">
        <w:tc>
          <w:tcPr>
            <w:tcW w:w="4428" w:type="dxa"/>
            <w:shd w:val="clear" w:color="auto" w:fill="auto"/>
          </w:tcPr>
          <w:p w14:paraId="57F80529" w14:textId="77777777" w:rsidR="000D07EA" w:rsidRDefault="00BE7C89">
            <w:pPr>
              <w:pStyle w:val="BodyText"/>
              <w:spacing w:before="100" w:after="100"/>
              <w:rPr>
                <w:b/>
                <w:bCs/>
              </w:rPr>
            </w:pPr>
            <w:r>
              <w:rPr>
                <w:b/>
                <w:bCs/>
              </w:rPr>
              <w:t>International MMS (to excluded countries)</w:t>
            </w:r>
          </w:p>
        </w:tc>
        <w:tc>
          <w:tcPr>
            <w:tcW w:w="4320" w:type="dxa"/>
            <w:shd w:val="clear" w:color="auto" w:fill="auto"/>
            <w:vAlign w:val="center"/>
          </w:tcPr>
          <w:p w14:paraId="60EAD068" w14:textId="77777777" w:rsidR="000D07EA" w:rsidRDefault="00BE7C89">
            <w:pPr>
              <w:pStyle w:val="BodyText"/>
              <w:spacing w:before="100" w:after="100"/>
              <w:jc w:val="center"/>
            </w:pPr>
            <w:r>
              <w:t>75c per MMS</w:t>
            </w:r>
          </w:p>
        </w:tc>
      </w:tr>
      <w:tr w:rsidR="000D07EA" w14:paraId="6AC41D80" w14:textId="77777777">
        <w:tc>
          <w:tcPr>
            <w:tcW w:w="4428" w:type="dxa"/>
            <w:shd w:val="clear" w:color="auto" w:fill="auto"/>
          </w:tcPr>
          <w:p w14:paraId="534D2C80" w14:textId="77777777" w:rsidR="000D07EA" w:rsidRDefault="00BE7C89">
            <w:pPr>
              <w:pStyle w:val="BodyText"/>
              <w:spacing w:before="100" w:after="100"/>
              <w:rPr>
                <w:b/>
                <w:bCs/>
              </w:rPr>
            </w:pPr>
            <w:r>
              <w:rPr>
                <w:b/>
                <w:bCs/>
              </w:rPr>
              <w:t xml:space="preserve">International video calling </w:t>
            </w:r>
          </w:p>
        </w:tc>
        <w:tc>
          <w:tcPr>
            <w:tcW w:w="4320" w:type="dxa"/>
            <w:shd w:val="clear" w:color="auto" w:fill="auto"/>
            <w:vAlign w:val="center"/>
          </w:tcPr>
          <w:p w14:paraId="52B0FC19" w14:textId="77777777" w:rsidR="000D07EA" w:rsidRDefault="00BE7C89">
            <w:pPr>
              <w:pStyle w:val="BodyText"/>
              <w:spacing w:before="100" w:after="100"/>
              <w:jc w:val="center"/>
            </w:pPr>
            <w:r>
              <w:t>$1.50 per minute +35c flagfall</w:t>
            </w:r>
          </w:p>
        </w:tc>
      </w:tr>
      <w:tr w:rsidR="000D07EA" w14:paraId="60DE3001" w14:textId="77777777">
        <w:tc>
          <w:tcPr>
            <w:tcW w:w="4428" w:type="dxa"/>
            <w:shd w:val="clear" w:color="auto" w:fill="auto"/>
          </w:tcPr>
          <w:p w14:paraId="00ACB037" w14:textId="77777777" w:rsidR="000D07EA" w:rsidRDefault="00BE7C89">
            <w:pPr>
              <w:pStyle w:val="BodyText"/>
              <w:spacing w:before="100" w:after="100"/>
              <w:rPr>
                <w:b/>
                <w:bCs/>
              </w:rPr>
            </w:pPr>
            <w:r>
              <w:rPr>
                <w:b/>
                <w:bCs/>
              </w:rPr>
              <w:t xml:space="preserve">International roaming </w:t>
            </w:r>
          </w:p>
        </w:tc>
        <w:tc>
          <w:tcPr>
            <w:tcW w:w="4320" w:type="dxa"/>
            <w:shd w:val="clear" w:color="auto" w:fill="auto"/>
            <w:vAlign w:val="center"/>
          </w:tcPr>
          <w:p w14:paraId="7BF0D311" w14:textId="77777777" w:rsidR="000D07EA" w:rsidRDefault="00BE7C89">
            <w:pPr>
              <w:pStyle w:val="BodyText"/>
              <w:spacing w:before="100" w:after="100"/>
              <w:jc w:val="center"/>
            </w:pPr>
            <w:r>
              <w:t>See optus.com.au/roaming</w:t>
            </w:r>
          </w:p>
        </w:tc>
      </w:tr>
    </w:tbl>
    <w:p w14:paraId="46E49345" w14:textId="77777777" w:rsidR="000D07EA" w:rsidRDefault="000D07EA">
      <w:pPr>
        <w:pStyle w:val="BodyText"/>
      </w:pPr>
    </w:p>
    <w:p w14:paraId="49F2900A" w14:textId="77777777" w:rsidR="000D07EA" w:rsidRDefault="00BE7C89">
      <w:pPr>
        <w:pStyle w:val="BodyText"/>
        <w:ind w:left="720"/>
        <w:rPr>
          <w:b/>
        </w:rPr>
      </w:pPr>
      <w:r>
        <w:rPr>
          <w:b/>
        </w:rPr>
        <w:t>Table 3 – International Countries</w:t>
      </w:r>
    </w:p>
    <w:tbl>
      <w:tblPr>
        <w:tblW w:w="87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7"/>
        <w:gridCol w:w="2187"/>
        <w:gridCol w:w="2187"/>
        <w:gridCol w:w="2187"/>
      </w:tblGrid>
      <w:tr w:rsidR="000D07EA" w14:paraId="703F859B" w14:textId="77777777">
        <w:tc>
          <w:tcPr>
            <w:tcW w:w="2187" w:type="dxa"/>
            <w:shd w:val="clear" w:color="auto" w:fill="auto"/>
          </w:tcPr>
          <w:p w14:paraId="798C9E87" w14:textId="77777777" w:rsidR="000D07EA" w:rsidRDefault="00BE7C89">
            <w:pPr>
              <w:pStyle w:val="BodyText"/>
              <w:spacing w:before="100" w:after="100"/>
              <w:rPr>
                <w:b/>
              </w:rPr>
            </w:pPr>
            <w:r>
              <w:t>Austria</w:t>
            </w:r>
          </w:p>
        </w:tc>
        <w:tc>
          <w:tcPr>
            <w:tcW w:w="2187" w:type="dxa"/>
            <w:shd w:val="clear" w:color="auto" w:fill="auto"/>
          </w:tcPr>
          <w:p w14:paraId="22AAAB83" w14:textId="77777777" w:rsidR="000D07EA" w:rsidRDefault="00BE7C89">
            <w:pPr>
              <w:pStyle w:val="BodyText"/>
              <w:spacing w:before="100" w:after="100"/>
              <w:rPr>
                <w:b/>
              </w:rPr>
            </w:pPr>
            <w:r>
              <w:t>Bangladesh</w:t>
            </w:r>
          </w:p>
        </w:tc>
        <w:tc>
          <w:tcPr>
            <w:tcW w:w="2187" w:type="dxa"/>
            <w:shd w:val="clear" w:color="auto" w:fill="auto"/>
          </w:tcPr>
          <w:p w14:paraId="08828DD8" w14:textId="77777777" w:rsidR="000D07EA" w:rsidRDefault="00BE7C89">
            <w:pPr>
              <w:pStyle w:val="BodyText"/>
              <w:spacing w:before="100" w:after="100"/>
              <w:rPr>
                <w:b/>
              </w:rPr>
            </w:pPr>
            <w:r>
              <w:t>Cambodia</w:t>
            </w:r>
          </w:p>
        </w:tc>
        <w:tc>
          <w:tcPr>
            <w:tcW w:w="2187" w:type="dxa"/>
            <w:shd w:val="clear" w:color="auto" w:fill="auto"/>
          </w:tcPr>
          <w:p w14:paraId="1388555D" w14:textId="77777777" w:rsidR="000D07EA" w:rsidRDefault="00BE7C89">
            <w:pPr>
              <w:pStyle w:val="BodyText"/>
              <w:spacing w:before="100" w:after="100"/>
              <w:rPr>
                <w:b/>
              </w:rPr>
            </w:pPr>
            <w:r>
              <w:t>Canada</w:t>
            </w:r>
          </w:p>
        </w:tc>
      </w:tr>
      <w:tr w:rsidR="000D07EA" w14:paraId="6D054F58" w14:textId="77777777">
        <w:tc>
          <w:tcPr>
            <w:tcW w:w="2187" w:type="dxa"/>
            <w:shd w:val="clear" w:color="auto" w:fill="auto"/>
          </w:tcPr>
          <w:p w14:paraId="4FF58DAF" w14:textId="77777777" w:rsidR="000D07EA" w:rsidRDefault="00BE7C89">
            <w:pPr>
              <w:pStyle w:val="BodyText"/>
              <w:spacing w:before="100" w:after="100"/>
              <w:rPr>
                <w:b/>
              </w:rPr>
            </w:pPr>
            <w:r>
              <w:t xml:space="preserve">Chile </w:t>
            </w:r>
          </w:p>
        </w:tc>
        <w:tc>
          <w:tcPr>
            <w:tcW w:w="2187" w:type="dxa"/>
            <w:shd w:val="clear" w:color="auto" w:fill="auto"/>
          </w:tcPr>
          <w:p w14:paraId="1A494E84" w14:textId="77777777" w:rsidR="000D07EA" w:rsidRDefault="00BE7C89">
            <w:pPr>
              <w:pStyle w:val="BodyText"/>
              <w:spacing w:before="100" w:after="100"/>
              <w:rPr>
                <w:b/>
              </w:rPr>
            </w:pPr>
            <w:r>
              <w:t xml:space="preserve">China </w:t>
            </w:r>
          </w:p>
        </w:tc>
        <w:tc>
          <w:tcPr>
            <w:tcW w:w="2187" w:type="dxa"/>
            <w:shd w:val="clear" w:color="auto" w:fill="auto"/>
          </w:tcPr>
          <w:p w14:paraId="0955CC90" w14:textId="77777777" w:rsidR="000D07EA" w:rsidRDefault="00BE7C89">
            <w:pPr>
              <w:pStyle w:val="BodyText"/>
              <w:spacing w:before="100" w:after="100"/>
              <w:rPr>
                <w:b/>
              </w:rPr>
            </w:pPr>
            <w:r>
              <w:t xml:space="preserve">Croatia </w:t>
            </w:r>
          </w:p>
        </w:tc>
        <w:tc>
          <w:tcPr>
            <w:tcW w:w="2187" w:type="dxa"/>
            <w:shd w:val="clear" w:color="auto" w:fill="auto"/>
          </w:tcPr>
          <w:p w14:paraId="3B95630A" w14:textId="77777777" w:rsidR="000D07EA" w:rsidRDefault="00BE7C89">
            <w:pPr>
              <w:pStyle w:val="BodyText"/>
              <w:spacing w:before="100" w:after="100"/>
              <w:rPr>
                <w:b/>
              </w:rPr>
            </w:pPr>
            <w:r>
              <w:t>France</w:t>
            </w:r>
          </w:p>
        </w:tc>
      </w:tr>
      <w:tr w:rsidR="000D07EA" w14:paraId="51331FAC" w14:textId="77777777">
        <w:tc>
          <w:tcPr>
            <w:tcW w:w="2187" w:type="dxa"/>
            <w:shd w:val="clear" w:color="auto" w:fill="auto"/>
          </w:tcPr>
          <w:p w14:paraId="7FC1E591" w14:textId="77777777" w:rsidR="000D07EA" w:rsidRDefault="00BE7C89">
            <w:pPr>
              <w:pStyle w:val="BodyText"/>
              <w:spacing w:before="100" w:after="100"/>
              <w:rPr>
                <w:b/>
              </w:rPr>
            </w:pPr>
            <w:r>
              <w:t>Germany</w:t>
            </w:r>
          </w:p>
        </w:tc>
        <w:tc>
          <w:tcPr>
            <w:tcW w:w="2187" w:type="dxa"/>
            <w:shd w:val="clear" w:color="auto" w:fill="auto"/>
          </w:tcPr>
          <w:p w14:paraId="4C90DC98" w14:textId="77777777" w:rsidR="000D07EA" w:rsidRDefault="00BE7C89">
            <w:pPr>
              <w:pStyle w:val="BodyText"/>
              <w:spacing w:before="100" w:after="100"/>
              <w:rPr>
                <w:b/>
              </w:rPr>
            </w:pPr>
            <w:r>
              <w:t>Greece</w:t>
            </w:r>
          </w:p>
        </w:tc>
        <w:tc>
          <w:tcPr>
            <w:tcW w:w="2187" w:type="dxa"/>
            <w:shd w:val="clear" w:color="auto" w:fill="auto"/>
          </w:tcPr>
          <w:p w14:paraId="6C6B82DD" w14:textId="77777777" w:rsidR="000D07EA" w:rsidRDefault="00BE7C89">
            <w:pPr>
              <w:pStyle w:val="BodyText"/>
              <w:spacing w:before="100" w:after="100"/>
              <w:rPr>
                <w:b/>
              </w:rPr>
            </w:pPr>
            <w:r>
              <w:t>Hong Kong</w:t>
            </w:r>
          </w:p>
        </w:tc>
        <w:tc>
          <w:tcPr>
            <w:tcW w:w="2187" w:type="dxa"/>
            <w:shd w:val="clear" w:color="auto" w:fill="auto"/>
          </w:tcPr>
          <w:p w14:paraId="73885BB5" w14:textId="77777777" w:rsidR="000D07EA" w:rsidRDefault="00BE7C89">
            <w:pPr>
              <w:pStyle w:val="BodyText"/>
              <w:spacing w:before="100" w:after="100"/>
              <w:rPr>
                <w:b/>
              </w:rPr>
            </w:pPr>
            <w:r>
              <w:t>Hungary</w:t>
            </w:r>
          </w:p>
        </w:tc>
      </w:tr>
      <w:tr w:rsidR="000D07EA" w14:paraId="14E3E047" w14:textId="77777777">
        <w:tc>
          <w:tcPr>
            <w:tcW w:w="2187" w:type="dxa"/>
            <w:shd w:val="clear" w:color="auto" w:fill="auto"/>
          </w:tcPr>
          <w:p w14:paraId="3152D922" w14:textId="77777777" w:rsidR="000D07EA" w:rsidRDefault="00BE7C89">
            <w:pPr>
              <w:pStyle w:val="BodyText"/>
              <w:spacing w:before="100" w:after="100"/>
              <w:rPr>
                <w:b/>
              </w:rPr>
            </w:pPr>
            <w:r>
              <w:t>Indonesia</w:t>
            </w:r>
          </w:p>
        </w:tc>
        <w:tc>
          <w:tcPr>
            <w:tcW w:w="2187" w:type="dxa"/>
            <w:shd w:val="clear" w:color="auto" w:fill="auto"/>
          </w:tcPr>
          <w:p w14:paraId="5260CA69" w14:textId="77777777" w:rsidR="000D07EA" w:rsidRDefault="00BE7C89">
            <w:pPr>
              <w:pStyle w:val="BodyText"/>
              <w:spacing w:before="100" w:after="100"/>
              <w:rPr>
                <w:b/>
              </w:rPr>
            </w:pPr>
            <w:r>
              <w:t>India</w:t>
            </w:r>
          </w:p>
        </w:tc>
        <w:tc>
          <w:tcPr>
            <w:tcW w:w="2187" w:type="dxa"/>
            <w:shd w:val="clear" w:color="auto" w:fill="auto"/>
          </w:tcPr>
          <w:p w14:paraId="66420EE9" w14:textId="77777777" w:rsidR="000D07EA" w:rsidRDefault="00BE7C89">
            <w:pPr>
              <w:pStyle w:val="BodyText"/>
              <w:spacing w:before="100" w:after="100"/>
              <w:rPr>
                <w:b/>
              </w:rPr>
            </w:pPr>
            <w:r>
              <w:t>Ireland</w:t>
            </w:r>
          </w:p>
        </w:tc>
        <w:tc>
          <w:tcPr>
            <w:tcW w:w="2187" w:type="dxa"/>
            <w:shd w:val="clear" w:color="auto" w:fill="auto"/>
          </w:tcPr>
          <w:p w14:paraId="0F42E8A6" w14:textId="77777777" w:rsidR="000D07EA" w:rsidRDefault="00BE7C89">
            <w:pPr>
              <w:pStyle w:val="BodyText"/>
              <w:spacing w:before="100" w:after="100"/>
              <w:rPr>
                <w:b/>
              </w:rPr>
            </w:pPr>
            <w:r>
              <w:t>Italy</w:t>
            </w:r>
          </w:p>
        </w:tc>
      </w:tr>
      <w:tr w:rsidR="000D07EA" w14:paraId="2B9CFB8D" w14:textId="77777777">
        <w:tc>
          <w:tcPr>
            <w:tcW w:w="2187" w:type="dxa"/>
            <w:shd w:val="clear" w:color="auto" w:fill="auto"/>
          </w:tcPr>
          <w:p w14:paraId="051FD193" w14:textId="77777777" w:rsidR="000D07EA" w:rsidRDefault="00BE7C89">
            <w:pPr>
              <w:pStyle w:val="BodyText"/>
              <w:spacing w:before="100" w:after="100"/>
              <w:rPr>
                <w:b/>
              </w:rPr>
            </w:pPr>
            <w:r>
              <w:t xml:space="preserve">Japan </w:t>
            </w:r>
          </w:p>
        </w:tc>
        <w:tc>
          <w:tcPr>
            <w:tcW w:w="2187" w:type="dxa"/>
            <w:shd w:val="clear" w:color="auto" w:fill="auto"/>
          </w:tcPr>
          <w:p w14:paraId="30B79659" w14:textId="77777777" w:rsidR="000D07EA" w:rsidRDefault="00BE7C89">
            <w:pPr>
              <w:pStyle w:val="BodyText"/>
              <w:spacing w:before="100" w:after="100"/>
              <w:rPr>
                <w:b/>
              </w:rPr>
            </w:pPr>
            <w:r>
              <w:t>Malaysia</w:t>
            </w:r>
          </w:p>
        </w:tc>
        <w:tc>
          <w:tcPr>
            <w:tcW w:w="2187" w:type="dxa"/>
            <w:shd w:val="clear" w:color="auto" w:fill="auto"/>
          </w:tcPr>
          <w:p w14:paraId="0E0F92AD" w14:textId="77777777" w:rsidR="000D07EA" w:rsidRDefault="00BE7C89">
            <w:pPr>
              <w:pStyle w:val="BodyText"/>
              <w:spacing w:before="100" w:after="100"/>
              <w:rPr>
                <w:b/>
              </w:rPr>
            </w:pPr>
            <w:r>
              <w:t>Netherlands</w:t>
            </w:r>
          </w:p>
        </w:tc>
        <w:tc>
          <w:tcPr>
            <w:tcW w:w="2187" w:type="dxa"/>
            <w:shd w:val="clear" w:color="auto" w:fill="auto"/>
          </w:tcPr>
          <w:p w14:paraId="067AAF1F" w14:textId="77777777" w:rsidR="000D07EA" w:rsidRDefault="00BE7C89">
            <w:pPr>
              <w:pStyle w:val="BodyText"/>
              <w:spacing w:before="100" w:after="100"/>
              <w:rPr>
                <w:b/>
              </w:rPr>
            </w:pPr>
            <w:r>
              <w:t>New Zealand</w:t>
            </w:r>
          </w:p>
        </w:tc>
      </w:tr>
      <w:tr w:rsidR="000D07EA" w14:paraId="5E80243C" w14:textId="77777777">
        <w:tc>
          <w:tcPr>
            <w:tcW w:w="2187" w:type="dxa"/>
            <w:shd w:val="clear" w:color="auto" w:fill="auto"/>
          </w:tcPr>
          <w:p w14:paraId="406B080B" w14:textId="77777777" w:rsidR="000D07EA" w:rsidRDefault="00BE7C89">
            <w:pPr>
              <w:pStyle w:val="BodyText"/>
              <w:spacing w:before="100" w:after="100"/>
              <w:rPr>
                <w:b/>
              </w:rPr>
            </w:pPr>
            <w:r>
              <w:t xml:space="preserve">Pakistan </w:t>
            </w:r>
          </w:p>
        </w:tc>
        <w:tc>
          <w:tcPr>
            <w:tcW w:w="2187" w:type="dxa"/>
            <w:shd w:val="clear" w:color="auto" w:fill="auto"/>
          </w:tcPr>
          <w:p w14:paraId="65207432" w14:textId="77777777" w:rsidR="000D07EA" w:rsidRDefault="00BE7C89">
            <w:pPr>
              <w:pStyle w:val="BodyText"/>
              <w:spacing w:before="100" w:after="100"/>
              <w:rPr>
                <w:b/>
              </w:rPr>
            </w:pPr>
            <w:r>
              <w:t>Philippines</w:t>
            </w:r>
          </w:p>
        </w:tc>
        <w:tc>
          <w:tcPr>
            <w:tcW w:w="2187" w:type="dxa"/>
            <w:shd w:val="clear" w:color="auto" w:fill="auto"/>
          </w:tcPr>
          <w:p w14:paraId="29169914" w14:textId="77777777" w:rsidR="000D07EA" w:rsidRDefault="00BE7C89">
            <w:pPr>
              <w:pStyle w:val="BodyText"/>
              <w:spacing w:before="100" w:after="100"/>
              <w:rPr>
                <w:b/>
              </w:rPr>
            </w:pPr>
            <w:r>
              <w:t xml:space="preserve">Poland </w:t>
            </w:r>
          </w:p>
        </w:tc>
        <w:tc>
          <w:tcPr>
            <w:tcW w:w="2187" w:type="dxa"/>
            <w:shd w:val="clear" w:color="auto" w:fill="auto"/>
          </w:tcPr>
          <w:p w14:paraId="62FB51DB" w14:textId="77777777" w:rsidR="000D07EA" w:rsidRDefault="00BE7C89">
            <w:pPr>
              <w:pStyle w:val="BodyText"/>
              <w:spacing w:before="100" w:after="100"/>
              <w:rPr>
                <w:b/>
              </w:rPr>
            </w:pPr>
            <w:r>
              <w:t>Singapore</w:t>
            </w:r>
          </w:p>
        </w:tc>
      </w:tr>
      <w:tr w:rsidR="000D07EA" w14:paraId="0495288C" w14:textId="77777777">
        <w:tc>
          <w:tcPr>
            <w:tcW w:w="2187" w:type="dxa"/>
            <w:shd w:val="clear" w:color="auto" w:fill="auto"/>
          </w:tcPr>
          <w:p w14:paraId="74FAFE4A" w14:textId="77777777" w:rsidR="000D07EA" w:rsidRDefault="00BE7C89">
            <w:pPr>
              <w:pStyle w:val="BodyText"/>
              <w:spacing w:before="100" w:after="100"/>
              <w:rPr>
                <w:b/>
              </w:rPr>
            </w:pPr>
            <w:r>
              <w:t xml:space="preserve">South Africa </w:t>
            </w:r>
          </w:p>
        </w:tc>
        <w:tc>
          <w:tcPr>
            <w:tcW w:w="2187" w:type="dxa"/>
            <w:shd w:val="clear" w:color="auto" w:fill="auto"/>
          </w:tcPr>
          <w:p w14:paraId="5BFA5DAF" w14:textId="77777777" w:rsidR="000D07EA" w:rsidRDefault="00BE7C89">
            <w:pPr>
              <w:pStyle w:val="BodyText"/>
              <w:spacing w:before="100" w:after="100"/>
              <w:rPr>
                <w:b/>
              </w:rPr>
            </w:pPr>
            <w:r>
              <w:t>South Korea</w:t>
            </w:r>
          </w:p>
        </w:tc>
        <w:tc>
          <w:tcPr>
            <w:tcW w:w="2187" w:type="dxa"/>
            <w:shd w:val="clear" w:color="auto" w:fill="auto"/>
          </w:tcPr>
          <w:p w14:paraId="2EE8E5B5" w14:textId="77777777" w:rsidR="000D07EA" w:rsidRDefault="00BE7C89">
            <w:pPr>
              <w:pStyle w:val="BodyText"/>
              <w:spacing w:before="100" w:after="100"/>
              <w:rPr>
                <w:b/>
              </w:rPr>
            </w:pPr>
            <w:r>
              <w:t xml:space="preserve">Taiwan </w:t>
            </w:r>
          </w:p>
        </w:tc>
        <w:tc>
          <w:tcPr>
            <w:tcW w:w="2187" w:type="dxa"/>
            <w:shd w:val="clear" w:color="auto" w:fill="auto"/>
          </w:tcPr>
          <w:p w14:paraId="37C11025" w14:textId="77777777" w:rsidR="000D07EA" w:rsidRDefault="00BE7C89">
            <w:pPr>
              <w:pStyle w:val="BodyText"/>
              <w:spacing w:before="100" w:after="100"/>
              <w:rPr>
                <w:b/>
              </w:rPr>
            </w:pPr>
            <w:r>
              <w:t>Thailand</w:t>
            </w:r>
          </w:p>
        </w:tc>
      </w:tr>
      <w:tr w:rsidR="000D07EA" w14:paraId="19A6BA92" w14:textId="77777777">
        <w:tc>
          <w:tcPr>
            <w:tcW w:w="2187" w:type="dxa"/>
            <w:shd w:val="clear" w:color="auto" w:fill="auto"/>
          </w:tcPr>
          <w:p w14:paraId="694132D0" w14:textId="77777777" w:rsidR="000D07EA" w:rsidRDefault="00BE7C89">
            <w:pPr>
              <w:pStyle w:val="BodyText"/>
              <w:spacing w:before="100" w:after="100"/>
              <w:rPr>
                <w:b/>
              </w:rPr>
            </w:pPr>
            <w:r>
              <w:t>Turkey</w:t>
            </w:r>
          </w:p>
        </w:tc>
        <w:tc>
          <w:tcPr>
            <w:tcW w:w="2187" w:type="dxa"/>
            <w:shd w:val="clear" w:color="auto" w:fill="auto"/>
          </w:tcPr>
          <w:p w14:paraId="054738FF" w14:textId="77777777" w:rsidR="000D07EA" w:rsidRDefault="00BE7C89">
            <w:pPr>
              <w:pStyle w:val="BodyText"/>
              <w:spacing w:before="100" w:after="100"/>
              <w:rPr>
                <w:b/>
              </w:rPr>
            </w:pPr>
            <w:r>
              <w:t>United Kingdom</w:t>
            </w:r>
          </w:p>
        </w:tc>
        <w:tc>
          <w:tcPr>
            <w:tcW w:w="2187" w:type="dxa"/>
            <w:shd w:val="clear" w:color="auto" w:fill="auto"/>
          </w:tcPr>
          <w:p w14:paraId="1862438A" w14:textId="77777777" w:rsidR="000D07EA" w:rsidRDefault="00BE7C89">
            <w:pPr>
              <w:pStyle w:val="BodyText"/>
              <w:spacing w:before="100" w:after="100"/>
              <w:rPr>
                <w:b/>
              </w:rPr>
            </w:pPr>
            <w:r>
              <w:t xml:space="preserve">USA </w:t>
            </w:r>
          </w:p>
        </w:tc>
        <w:tc>
          <w:tcPr>
            <w:tcW w:w="2187" w:type="dxa"/>
            <w:shd w:val="clear" w:color="auto" w:fill="auto"/>
          </w:tcPr>
          <w:p w14:paraId="0CC5C1C1" w14:textId="77777777" w:rsidR="000D07EA" w:rsidRDefault="00BE7C89">
            <w:pPr>
              <w:pStyle w:val="BodyText"/>
              <w:spacing w:before="100" w:after="100"/>
              <w:rPr>
                <w:b/>
              </w:rPr>
            </w:pPr>
            <w:r>
              <w:t>Vietnam</w:t>
            </w:r>
          </w:p>
        </w:tc>
      </w:tr>
    </w:tbl>
    <w:p w14:paraId="2C502205" w14:textId="77777777" w:rsidR="000D07EA" w:rsidRDefault="000D07EA">
      <w:pPr>
        <w:pStyle w:val="BodyText"/>
      </w:pPr>
    </w:p>
    <w:p w14:paraId="1935EF63" w14:textId="77777777" w:rsidR="000D07EA" w:rsidRDefault="00BE7C89">
      <w:pPr>
        <w:pStyle w:val="Heading6"/>
        <w:ind w:left="0" w:firstLine="0"/>
        <w:rPr>
          <w:szCs w:val="24"/>
        </w:rPr>
      </w:pPr>
      <w:bookmarkStart w:id="1290" w:name="_Toc445988634"/>
      <w:r>
        <w:t>My Account</w:t>
      </w:r>
      <w:bookmarkEnd w:id="1290"/>
    </w:p>
    <w:p w14:paraId="452D6D13" w14:textId="77777777" w:rsidR="000D07EA" w:rsidRDefault="00BE7C89">
      <w:pPr>
        <w:pStyle w:val="BodyText"/>
        <w:ind w:left="68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service has used. If </w:t>
      </w:r>
      <w:r>
        <w:rPr>
          <w:i/>
        </w:rPr>
        <w:t>you</w:t>
      </w:r>
      <w:r>
        <w:t xml:space="preserve"> have more than 6 services on </w:t>
      </w:r>
      <w:r>
        <w:rPr>
          <w:i/>
        </w:rPr>
        <w:t>your</w:t>
      </w:r>
      <w:r>
        <w:t xml:space="preserve"> account, My Account may not be suitable for viewing usage and managing </w:t>
      </w:r>
      <w:r>
        <w:rPr>
          <w:i/>
        </w:rPr>
        <w:t xml:space="preserve">your </w:t>
      </w:r>
      <w:r>
        <w:t>usage alerts.</w:t>
      </w:r>
    </w:p>
    <w:p w14:paraId="7ABE5002" w14:textId="77777777" w:rsidR="000D07EA" w:rsidRDefault="00BE7C89">
      <w:pPr>
        <w:pStyle w:val="Heading6"/>
        <w:ind w:left="0" w:firstLine="0"/>
      </w:pPr>
      <w:bookmarkStart w:id="1291" w:name="_Toc445988635"/>
      <w:r>
        <w:t xml:space="preserve">What happens if the </w:t>
      </w:r>
      <w:r>
        <w:rPr>
          <w:i/>
        </w:rPr>
        <w:t xml:space="preserve">service </w:t>
      </w:r>
      <w:r>
        <w:t>is</w:t>
      </w:r>
      <w:r>
        <w:rPr>
          <w:i/>
        </w:rPr>
        <w:t xml:space="preserve"> cancelled </w:t>
      </w:r>
      <w:r>
        <w:t>early?</w:t>
      </w:r>
      <w:bookmarkEnd w:id="1291"/>
    </w:p>
    <w:p w14:paraId="72106252" w14:textId="77777777" w:rsidR="000D07EA" w:rsidRDefault="00BE7C89">
      <w:pPr>
        <w:pStyle w:val="Heading7"/>
      </w:pPr>
      <w:r>
        <w:t>If the</w:t>
      </w:r>
      <w:r>
        <w:rPr>
          <w:i/>
        </w:rPr>
        <w:t xml:space="preserve"> service</w:t>
      </w:r>
      <w:r>
        <w:t xml:space="preserve"> is</w:t>
      </w:r>
      <w:r>
        <w:rPr>
          <w:i/>
        </w:rPr>
        <w:t xml:space="preserve"> cancelled </w:t>
      </w:r>
      <w:r>
        <w:t xml:space="preserve">before the end of </w:t>
      </w:r>
      <w:r>
        <w:rPr>
          <w:i/>
        </w:rPr>
        <w:t xml:space="preserve">your minimum term, you </w:t>
      </w:r>
      <w:r>
        <w:t xml:space="preserve">will be required to pay </w:t>
      </w:r>
      <w:r>
        <w:rPr>
          <w:i/>
        </w:rPr>
        <w:t>us</w:t>
      </w:r>
      <w:r>
        <w:t>:</w:t>
      </w:r>
    </w:p>
    <w:p w14:paraId="7998DEE5" w14:textId="77777777" w:rsidR="000D07EA" w:rsidRDefault="00BE7C89">
      <w:pPr>
        <w:pStyle w:val="Heading8"/>
      </w:pPr>
      <w:r>
        <w:t xml:space="preserve">any usage charges incurred up to, and including, the </w:t>
      </w:r>
      <w:r>
        <w:rPr>
          <w:i/>
        </w:rPr>
        <w:t xml:space="preserve">cancellation date; </w:t>
      </w:r>
      <w:r>
        <w:t>plus</w:t>
      </w:r>
    </w:p>
    <w:p w14:paraId="78ABE1D0" w14:textId="77777777" w:rsidR="000D07EA" w:rsidRDefault="00BE7C89">
      <w:pPr>
        <w:pStyle w:val="Heading8"/>
      </w:pPr>
      <w:r>
        <w:t xml:space="preserve">the </w:t>
      </w:r>
      <w:r>
        <w:rPr>
          <w:i/>
        </w:rPr>
        <w:t>cancellation fees</w:t>
      </w:r>
      <w:r>
        <w:t xml:space="preserve"> set out in paragraph </w:t>
      </w:r>
      <w:r>
        <w:fldChar w:fldCharType="begin"/>
      </w:r>
      <w:r>
        <w:instrText xml:space="preserve"> REF _Ref461556335 \n \h </w:instrText>
      </w:r>
      <w:r>
        <w:fldChar w:fldCharType="separate"/>
      </w:r>
      <w:r w:rsidR="0004083A">
        <w:t>(b)</w:t>
      </w:r>
      <w:r>
        <w:fldChar w:fldCharType="end"/>
      </w:r>
      <w:r>
        <w:t xml:space="preserve"> below (unless under clause 2A of the </w:t>
      </w:r>
      <w:r>
        <w:rPr>
          <w:i/>
        </w:rPr>
        <w:t>consumer terms</w:t>
      </w:r>
      <w:r>
        <w:t xml:space="preserve">, </w:t>
      </w:r>
      <w:r>
        <w:rPr>
          <w:i/>
        </w:rPr>
        <w:t>you</w:t>
      </w:r>
      <w:r>
        <w:t xml:space="preserve"> are entitled to </w:t>
      </w:r>
      <w:r>
        <w:rPr>
          <w:i/>
        </w:rPr>
        <w:t>cancel the service</w:t>
      </w:r>
      <w:r>
        <w:t xml:space="preserve"> without incurring a </w:t>
      </w:r>
      <w:r>
        <w:rPr>
          <w:i/>
        </w:rPr>
        <w:t>cancellation fee</w:t>
      </w:r>
      <w:r>
        <w:t>); plus</w:t>
      </w:r>
    </w:p>
    <w:p w14:paraId="7502D4AE" w14:textId="77777777" w:rsidR="000D07EA" w:rsidRDefault="00BE7C89">
      <w:pPr>
        <w:pStyle w:val="Heading7"/>
      </w:pPr>
      <w:bookmarkStart w:id="1292" w:name="_Ref461556335"/>
      <w:r>
        <w:t xml:space="preserve">Note, any Handset Credit </w:t>
      </w:r>
      <w:r>
        <w:rPr>
          <w:i/>
        </w:rPr>
        <w:t xml:space="preserve">you </w:t>
      </w:r>
      <w:r>
        <w:t>were entitled to will be forfeited (</w:t>
      </w:r>
      <w:r w:rsidRPr="00272628">
        <w:t xml:space="preserve">see </w:t>
      </w:r>
      <w:r w:rsidR="00C67DDF" w:rsidRPr="00272628">
        <w:t>128.6</w:t>
      </w:r>
      <w:r w:rsidRPr="00272628">
        <w:t xml:space="preserve"> above</w:t>
      </w:r>
      <w:r>
        <w:t>) if the account is cancelled.</w:t>
      </w:r>
      <w:bookmarkEnd w:id="1292"/>
      <w:r>
        <w:t xml:space="preserve"> </w:t>
      </w:r>
    </w:p>
    <w:p w14:paraId="08A61B9D" w14:textId="77777777" w:rsidR="000D07EA" w:rsidRDefault="00BE7C89">
      <w:pPr>
        <w:pStyle w:val="Heading7"/>
      </w:pPr>
      <w:r>
        <w:t xml:space="preserve">The </w:t>
      </w:r>
      <w:r>
        <w:rPr>
          <w:i/>
        </w:rPr>
        <w:t>cancellation fee</w:t>
      </w:r>
      <w:r>
        <w:t xml:space="preserve"> is calculated as the following amounts, multiplied by the months remaining on </w:t>
      </w:r>
      <w:r>
        <w:rPr>
          <w:i/>
        </w:rPr>
        <w:t>your minimum term</w:t>
      </w:r>
      <w:r>
        <w:t>:</w:t>
      </w:r>
    </w:p>
    <w:tbl>
      <w:tblPr>
        <w:tblW w:w="4480"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7"/>
        <w:gridCol w:w="2233"/>
        <w:gridCol w:w="2233"/>
        <w:gridCol w:w="2235"/>
      </w:tblGrid>
      <w:tr w:rsidR="000D07EA" w14:paraId="69063AD9" w14:textId="77777777">
        <w:trPr>
          <w:tblHeader/>
        </w:trPr>
        <w:tc>
          <w:tcPr>
            <w:tcW w:w="5000" w:type="pct"/>
            <w:gridSpan w:val="4"/>
            <w:shd w:val="clear" w:color="auto" w:fill="auto"/>
          </w:tcPr>
          <w:p w14:paraId="677E0803" w14:textId="77777777" w:rsidR="000D07EA" w:rsidRDefault="00BE7C89">
            <w:pPr>
              <w:pStyle w:val="BodyText"/>
              <w:spacing w:before="100" w:after="100"/>
              <w:jc w:val="center"/>
              <w:rPr>
                <w:b/>
              </w:rPr>
            </w:pPr>
            <w:r>
              <w:rPr>
                <w:b/>
              </w:rPr>
              <w:lastRenderedPageBreak/>
              <w:t>My Plan Business Tech Fund</w:t>
            </w:r>
          </w:p>
        </w:tc>
      </w:tr>
      <w:tr w:rsidR="000D07EA" w14:paraId="664C62F3" w14:textId="77777777">
        <w:trPr>
          <w:tblHeader/>
        </w:trPr>
        <w:tc>
          <w:tcPr>
            <w:tcW w:w="1330" w:type="pct"/>
            <w:shd w:val="clear" w:color="auto" w:fill="auto"/>
          </w:tcPr>
          <w:p w14:paraId="2F0C75EB" w14:textId="77777777" w:rsidR="000D07EA" w:rsidRDefault="00BE7C89">
            <w:pPr>
              <w:pStyle w:val="BodyText"/>
              <w:spacing w:before="100" w:after="100"/>
              <w:jc w:val="center"/>
              <w:rPr>
                <w:b/>
              </w:rPr>
            </w:pPr>
            <w:r>
              <w:rPr>
                <w:b/>
              </w:rPr>
              <w:t>Plan</w:t>
            </w:r>
          </w:p>
        </w:tc>
        <w:tc>
          <w:tcPr>
            <w:tcW w:w="1223" w:type="pct"/>
            <w:shd w:val="clear" w:color="auto" w:fill="auto"/>
          </w:tcPr>
          <w:p w14:paraId="0C147F1B" w14:textId="77777777" w:rsidR="000D07EA" w:rsidRDefault="00BE7C89">
            <w:pPr>
              <w:pStyle w:val="BodyText"/>
              <w:spacing w:before="100" w:after="100"/>
              <w:jc w:val="center"/>
              <w:rPr>
                <w:b/>
              </w:rPr>
            </w:pPr>
            <w:r>
              <w:rPr>
                <w:b/>
              </w:rPr>
              <w:t>$40 My Plan Business Tech Fund</w:t>
            </w:r>
          </w:p>
        </w:tc>
        <w:tc>
          <w:tcPr>
            <w:tcW w:w="1223" w:type="pct"/>
            <w:shd w:val="clear" w:color="auto" w:fill="auto"/>
          </w:tcPr>
          <w:p w14:paraId="095CF445" w14:textId="77777777" w:rsidR="000D07EA" w:rsidRDefault="00BE7C89">
            <w:pPr>
              <w:pStyle w:val="BodyText"/>
              <w:spacing w:before="100" w:after="100"/>
              <w:jc w:val="center"/>
              <w:rPr>
                <w:b/>
              </w:rPr>
            </w:pPr>
            <w:r>
              <w:rPr>
                <w:b/>
              </w:rPr>
              <w:t>$60 My Plan Business Tech Fund</w:t>
            </w:r>
          </w:p>
        </w:tc>
        <w:tc>
          <w:tcPr>
            <w:tcW w:w="1223" w:type="pct"/>
            <w:shd w:val="clear" w:color="auto" w:fill="auto"/>
          </w:tcPr>
          <w:p w14:paraId="4E13BD27" w14:textId="77777777" w:rsidR="000D07EA" w:rsidRDefault="00BE7C89">
            <w:pPr>
              <w:pStyle w:val="BodyText"/>
              <w:spacing w:before="100" w:after="100"/>
              <w:jc w:val="center"/>
              <w:rPr>
                <w:b/>
              </w:rPr>
            </w:pPr>
            <w:r>
              <w:rPr>
                <w:b/>
              </w:rPr>
              <w:t>$80 My Plan Business Tech Fund</w:t>
            </w:r>
          </w:p>
        </w:tc>
      </w:tr>
      <w:tr w:rsidR="000D07EA" w14:paraId="7C956203" w14:textId="77777777">
        <w:tc>
          <w:tcPr>
            <w:tcW w:w="1330" w:type="pct"/>
            <w:shd w:val="clear" w:color="auto" w:fill="auto"/>
          </w:tcPr>
          <w:p w14:paraId="1B7CDFB1" w14:textId="77777777" w:rsidR="000D07EA" w:rsidRDefault="00BE7C89">
            <w:pPr>
              <w:pStyle w:val="BodyText"/>
              <w:spacing w:before="100" w:after="100"/>
              <w:rPr>
                <w:b/>
              </w:rPr>
            </w:pPr>
            <w:r>
              <w:rPr>
                <w:b/>
              </w:rPr>
              <w:t>Cancellation Fee</w:t>
            </w:r>
          </w:p>
        </w:tc>
        <w:tc>
          <w:tcPr>
            <w:tcW w:w="1223" w:type="pct"/>
            <w:shd w:val="clear" w:color="auto" w:fill="auto"/>
          </w:tcPr>
          <w:p w14:paraId="209E53DB" w14:textId="77777777" w:rsidR="000D07EA" w:rsidRDefault="00BE7C89">
            <w:pPr>
              <w:pStyle w:val="BodyText"/>
              <w:spacing w:before="100" w:after="100"/>
              <w:jc w:val="center"/>
            </w:pPr>
            <w:r>
              <w:t>$24 x Months remaining</w:t>
            </w:r>
          </w:p>
        </w:tc>
        <w:tc>
          <w:tcPr>
            <w:tcW w:w="1223" w:type="pct"/>
            <w:shd w:val="clear" w:color="auto" w:fill="auto"/>
          </w:tcPr>
          <w:p w14:paraId="7503C821" w14:textId="77777777" w:rsidR="000D07EA" w:rsidRDefault="00BE7C89">
            <w:pPr>
              <w:pStyle w:val="BodyText"/>
              <w:spacing w:before="100" w:after="100"/>
              <w:jc w:val="center"/>
            </w:pPr>
            <w:r>
              <w:t>$36 x Months remaining</w:t>
            </w:r>
          </w:p>
        </w:tc>
        <w:tc>
          <w:tcPr>
            <w:tcW w:w="1223" w:type="pct"/>
            <w:shd w:val="clear" w:color="auto" w:fill="auto"/>
          </w:tcPr>
          <w:p w14:paraId="2D219672" w14:textId="77777777" w:rsidR="000D07EA" w:rsidRDefault="00BE7C89">
            <w:pPr>
              <w:pStyle w:val="BodyText"/>
              <w:spacing w:before="100" w:after="100"/>
              <w:jc w:val="center"/>
            </w:pPr>
            <w:r>
              <w:t>$48 x Months remaining</w:t>
            </w:r>
          </w:p>
        </w:tc>
      </w:tr>
      <w:tr w:rsidR="000D07EA" w14:paraId="4730A237" w14:textId="77777777">
        <w:tc>
          <w:tcPr>
            <w:tcW w:w="1330" w:type="pct"/>
            <w:shd w:val="clear" w:color="auto" w:fill="auto"/>
          </w:tcPr>
          <w:p w14:paraId="09DDFBB0" w14:textId="77777777" w:rsidR="000D07EA" w:rsidRDefault="00BE7C89">
            <w:pPr>
              <w:pStyle w:val="BodyText"/>
              <w:spacing w:before="100" w:after="100"/>
              <w:rPr>
                <w:b/>
              </w:rPr>
            </w:pPr>
            <w:r>
              <w:rPr>
                <w:b/>
              </w:rPr>
              <w:t>Maximum Cancellation Fee</w:t>
            </w:r>
          </w:p>
        </w:tc>
        <w:tc>
          <w:tcPr>
            <w:tcW w:w="1223" w:type="pct"/>
            <w:shd w:val="clear" w:color="auto" w:fill="auto"/>
          </w:tcPr>
          <w:p w14:paraId="240D4650" w14:textId="77777777" w:rsidR="000D07EA" w:rsidRDefault="00BE7C89">
            <w:pPr>
              <w:pStyle w:val="BodyText"/>
              <w:spacing w:before="100" w:after="100"/>
              <w:jc w:val="center"/>
            </w:pPr>
            <w:r>
              <w:t>$576</w:t>
            </w:r>
          </w:p>
        </w:tc>
        <w:tc>
          <w:tcPr>
            <w:tcW w:w="1223" w:type="pct"/>
            <w:shd w:val="clear" w:color="auto" w:fill="auto"/>
          </w:tcPr>
          <w:p w14:paraId="2C4F2775" w14:textId="77777777" w:rsidR="000D07EA" w:rsidRDefault="00BE7C89">
            <w:pPr>
              <w:pStyle w:val="BodyText"/>
              <w:spacing w:before="100" w:after="100"/>
              <w:jc w:val="center"/>
            </w:pPr>
            <w:r>
              <w:t>$864</w:t>
            </w:r>
          </w:p>
        </w:tc>
        <w:tc>
          <w:tcPr>
            <w:tcW w:w="1223" w:type="pct"/>
            <w:shd w:val="clear" w:color="auto" w:fill="auto"/>
          </w:tcPr>
          <w:p w14:paraId="73A97669" w14:textId="77777777" w:rsidR="000D07EA" w:rsidRDefault="00BE7C89">
            <w:pPr>
              <w:pStyle w:val="BodyText"/>
              <w:spacing w:before="100" w:after="100"/>
              <w:jc w:val="center"/>
            </w:pPr>
            <w:r>
              <w:t>$1152</w:t>
            </w:r>
          </w:p>
        </w:tc>
      </w:tr>
    </w:tbl>
    <w:p w14:paraId="2FCBEC6D" w14:textId="77777777" w:rsidR="000D07EA" w:rsidRDefault="000D07EA">
      <w:pPr>
        <w:pStyle w:val="BodyText"/>
      </w:pPr>
    </w:p>
    <w:p w14:paraId="3D39E046" w14:textId="77777777" w:rsidR="000D07EA" w:rsidRDefault="00BE7C89">
      <w:pPr>
        <w:pStyle w:val="Heading7"/>
      </w:pPr>
      <w:r>
        <w:t xml:space="preserve">If </w:t>
      </w:r>
      <w:r>
        <w:rPr>
          <w:i/>
        </w:rPr>
        <w:t>your</w:t>
      </w:r>
      <w:r>
        <w:t xml:space="preserve"> My Plan Business Tech Fund is </w:t>
      </w:r>
      <w:r>
        <w:rPr>
          <w:i/>
        </w:rPr>
        <w:t>cancelled</w:t>
      </w:r>
      <w:r>
        <w:t xml:space="preserve">, </w:t>
      </w:r>
      <w:r>
        <w:rPr>
          <w:i/>
        </w:rPr>
        <w:t>your</w:t>
      </w:r>
      <w:r>
        <w:t xml:space="preserve"> Shared Data Plan(s) may also be </w:t>
      </w:r>
      <w:r>
        <w:rPr>
          <w:i/>
        </w:rPr>
        <w:t>cancelled</w:t>
      </w:r>
      <w:r>
        <w:t xml:space="preserve">. There are no </w:t>
      </w:r>
      <w:r>
        <w:rPr>
          <w:i/>
        </w:rPr>
        <w:t>cancellation fees</w:t>
      </w:r>
      <w:r>
        <w:t xml:space="preserve"> for the Shared Data Plan, however if </w:t>
      </w:r>
      <w:r>
        <w:rPr>
          <w:i/>
        </w:rPr>
        <w:t>you</w:t>
      </w:r>
      <w:r>
        <w:t xml:space="preserve"> purchased a </w:t>
      </w:r>
      <w:r>
        <w:rPr>
          <w:i/>
        </w:rPr>
        <w:t>device</w:t>
      </w:r>
      <w:r>
        <w:t xml:space="preserve"> </w:t>
      </w:r>
      <w:r>
        <w:rPr>
          <w:i/>
        </w:rPr>
        <w:t>you</w:t>
      </w:r>
      <w:r>
        <w:t xml:space="preserve"> need to pay the sum of any remaining </w:t>
      </w:r>
      <w:r>
        <w:rPr>
          <w:i/>
        </w:rPr>
        <w:t xml:space="preserve">equipment charges </w:t>
      </w:r>
      <w:r>
        <w:t xml:space="preserve">owing on </w:t>
      </w:r>
      <w:r>
        <w:rPr>
          <w:i/>
        </w:rPr>
        <w:t xml:space="preserve">your device </w:t>
      </w:r>
      <w:r>
        <w:t xml:space="preserve">under the </w:t>
      </w:r>
      <w:r>
        <w:rPr>
          <w:i/>
        </w:rPr>
        <w:t xml:space="preserve">mobile equipment payment plan </w:t>
      </w:r>
      <w:r>
        <w:t xml:space="preserve">(see </w:t>
      </w:r>
      <w:hyperlink r:id="rId655" w:history="1">
        <w:r>
          <w:rPr>
            <w:rStyle w:val="Hyperlink"/>
            <w:i/>
          </w:rPr>
          <w:t>Appendix D</w:t>
        </w:r>
      </w:hyperlink>
      <w:r>
        <w:t>).</w:t>
      </w:r>
    </w:p>
    <w:p w14:paraId="705DACA0" w14:textId="77777777" w:rsidR="000D07EA" w:rsidRDefault="00BE7C89">
      <w:pPr>
        <w:pStyle w:val="Heading7"/>
      </w:pPr>
      <w:r>
        <w:t xml:space="preserve">If </w:t>
      </w:r>
      <w:r>
        <w:rPr>
          <w:i/>
        </w:rPr>
        <w:t xml:space="preserve">your </w:t>
      </w:r>
      <w:r>
        <w:t xml:space="preserve">Shared Data Plan is not </w:t>
      </w:r>
      <w:r>
        <w:rPr>
          <w:i/>
        </w:rPr>
        <w:t>cancelled</w:t>
      </w:r>
      <w:r>
        <w:t xml:space="preserve">, </w:t>
      </w:r>
      <w:r>
        <w:rPr>
          <w:i/>
        </w:rPr>
        <w:t>you</w:t>
      </w:r>
      <w:r>
        <w:t xml:space="preserve"> will be charged $10 per 1GB within Australia, up to a maximum of 150GB (per account) in a billing month. Your service/s may then be restricted or we may continue to charge you at these rates.</w:t>
      </w:r>
    </w:p>
    <w:p w14:paraId="54B4761A" w14:textId="77777777" w:rsidR="000D07EA" w:rsidRDefault="00BE7C89">
      <w:pPr>
        <w:pStyle w:val="Heading4"/>
        <w:ind w:left="720" w:hanging="720"/>
      </w:pPr>
      <w:bookmarkStart w:id="1293" w:name="_Toc451948822"/>
      <w:bookmarkStart w:id="1294" w:name="_Toc451952253"/>
      <w:bookmarkStart w:id="1295" w:name="_Toc452129192"/>
      <w:bookmarkStart w:id="1296" w:name="_Toc452372243"/>
      <w:bookmarkStart w:id="1297" w:name="_Toc453663534"/>
      <w:bookmarkStart w:id="1298" w:name="_Toc455147648"/>
      <w:bookmarkStart w:id="1299" w:name="_Toc62644670"/>
      <w:r>
        <w:t>$0 Optus Plan (Mar 2015)</w:t>
      </w:r>
      <w:bookmarkEnd w:id="1293"/>
      <w:bookmarkEnd w:id="1294"/>
      <w:bookmarkEnd w:id="1295"/>
      <w:bookmarkEnd w:id="1296"/>
      <w:bookmarkEnd w:id="1297"/>
      <w:bookmarkEnd w:id="1298"/>
      <w:bookmarkEnd w:id="1299"/>
    </w:p>
    <w:p w14:paraId="2A23A694" w14:textId="77777777" w:rsidR="000D07EA" w:rsidRDefault="00BE7C89">
      <w:pPr>
        <w:pStyle w:val="BodyText"/>
        <w:ind w:left="720"/>
      </w:pPr>
      <w:r>
        <w:t xml:space="preserve">This section relates to the following plan. </w:t>
      </w:r>
      <w:r>
        <w:rPr>
          <w:i/>
        </w:rPr>
        <w:t>You</w:t>
      </w:r>
      <w:r>
        <w:t xml:space="preserve"> can find </w:t>
      </w:r>
      <w:r>
        <w:rPr>
          <w:i/>
        </w:rPr>
        <w:t>your</w:t>
      </w:r>
      <w:r>
        <w:t xml:space="preserve"> Plan ID on </w:t>
      </w:r>
      <w:r>
        <w:rPr>
          <w:i/>
        </w:rPr>
        <w:t>your</w:t>
      </w:r>
      <w:r>
        <w:t xml:space="preserve"> bill under the Mobile Number Summary section:</w:t>
      </w:r>
    </w:p>
    <w:tbl>
      <w:tblPr>
        <w:tblW w:w="910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0"/>
        <w:gridCol w:w="1878"/>
        <w:gridCol w:w="4230"/>
      </w:tblGrid>
      <w:tr w:rsidR="000D07EA" w14:paraId="3738680D" w14:textId="77777777">
        <w:tc>
          <w:tcPr>
            <w:tcW w:w="3000" w:type="dxa"/>
            <w:shd w:val="clear" w:color="auto" w:fill="auto"/>
          </w:tcPr>
          <w:p w14:paraId="34BA3B28" w14:textId="77777777" w:rsidR="000D07EA" w:rsidRDefault="00BE7C89">
            <w:pPr>
              <w:pStyle w:val="BodyText"/>
              <w:spacing w:before="100" w:after="100"/>
              <w:jc w:val="center"/>
              <w:rPr>
                <w:b/>
              </w:rPr>
            </w:pPr>
            <w:r>
              <w:rPr>
                <w:b/>
              </w:rPr>
              <w:t>Plan</w:t>
            </w:r>
          </w:p>
        </w:tc>
        <w:tc>
          <w:tcPr>
            <w:tcW w:w="1878" w:type="dxa"/>
            <w:shd w:val="clear" w:color="auto" w:fill="auto"/>
          </w:tcPr>
          <w:p w14:paraId="677C3AA1" w14:textId="77777777" w:rsidR="000D07EA" w:rsidRDefault="00BE7C89">
            <w:pPr>
              <w:pStyle w:val="BodyText"/>
              <w:spacing w:before="100" w:after="100"/>
              <w:jc w:val="center"/>
              <w:rPr>
                <w:b/>
              </w:rPr>
            </w:pPr>
            <w:r>
              <w:rPr>
                <w:b/>
              </w:rPr>
              <w:t>Plan ID</w:t>
            </w:r>
          </w:p>
        </w:tc>
        <w:tc>
          <w:tcPr>
            <w:tcW w:w="4230" w:type="dxa"/>
            <w:shd w:val="clear" w:color="auto" w:fill="auto"/>
          </w:tcPr>
          <w:p w14:paraId="23E22F2C" w14:textId="77777777" w:rsidR="000D07EA" w:rsidRDefault="00BE7C89">
            <w:pPr>
              <w:pStyle w:val="BodyText"/>
              <w:spacing w:before="100" w:after="100"/>
              <w:jc w:val="center"/>
              <w:rPr>
                <w:b/>
              </w:rPr>
            </w:pPr>
            <w:r>
              <w:rPr>
                <w:b/>
              </w:rPr>
              <w:t>Available</w:t>
            </w:r>
          </w:p>
        </w:tc>
      </w:tr>
      <w:tr w:rsidR="000D07EA" w14:paraId="3F3F8459" w14:textId="77777777">
        <w:tc>
          <w:tcPr>
            <w:tcW w:w="3000" w:type="dxa"/>
            <w:shd w:val="clear" w:color="auto" w:fill="auto"/>
          </w:tcPr>
          <w:p w14:paraId="09FC95FD" w14:textId="77777777" w:rsidR="000D07EA" w:rsidRDefault="00BE7C89">
            <w:pPr>
              <w:pStyle w:val="BodyText"/>
              <w:spacing w:before="100" w:after="100"/>
            </w:pPr>
            <w:r>
              <w:t>$0 Optus Plan (Mar 2015)</w:t>
            </w:r>
          </w:p>
        </w:tc>
        <w:tc>
          <w:tcPr>
            <w:tcW w:w="1878" w:type="dxa"/>
            <w:shd w:val="clear" w:color="auto" w:fill="auto"/>
          </w:tcPr>
          <w:p w14:paraId="3A12C787" w14:textId="77777777" w:rsidR="000D07EA" w:rsidRDefault="00BE7C89">
            <w:pPr>
              <w:pStyle w:val="BodyText"/>
              <w:spacing w:before="100" w:after="100"/>
              <w:jc w:val="center"/>
            </w:pPr>
            <w:r>
              <w:t>603738</w:t>
            </w:r>
            <w:r w:rsidR="00E57781">
              <w:t>, 8375794</w:t>
            </w:r>
          </w:p>
        </w:tc>
        <w:tc>
          <w:tcPr>
            <w:tcW w:w="4230" w:type="dxa"/>
            <w:shd w:val="clear" w:color="auto" w:fill="auto"/>
          </w:tcPr>
          <w:p w14:paraId="7D7D5DDB" w14:textId="77777777" w:rsidR="000D07EA" w:rsidRDefault="00BE7C89">
            <w:pPr>
              <w:pStyle w:val="BodyText"/>
              <w:spacing w:before="100" w:after="100"/>
            </w:pPr>
            <w:r>
              <w:t>1 March 2015 (existing customers)</w:t>
            </w:r>
          </w:p>
          <w:p w14:paraId="4D869644" w14:textId="77777777" w:rsidR="000D07EA" w:rsidRDefault="00BE7C89">
            <w:pPr>
              <w:pStyle w:val="BodyText"/>
              <w:spacing w:before="100" w:after="100"/>
            </w:pPr>
            <w:r>
              <w:t>2 May 2016 – 3 July 2016 (new customers)</w:t>
            </w:r>
          </w:p>
        </w:tc>
      </w:tr>
    </w:tbl>
    <w:p w14:paraId="02C5156A" w14:textId="77777777" w:rsidR="000D07EA" w:rsidRDefault="000D07EA">
      <w:pPr>
        <w:pStyle w:val="BodyText"/>
      </w:pPr>
    </w:p>
    <w:p w14:paraId="5DD33722" w14:textId="77777777" w:rsidR="000D07EA" w:rsidRDefault="00BE7C89">
      <w:pPr>
        <w:pStyle w:val="Heading6"/>
        <w:ind w:left="0" w:firstLine="0"/>
      </w:pPr>
      <w:bookmarkStart w:id="1300" w:name="_Toc451948823"/>
      <w:bookmarkStart w:id="1301" w:name="_Toc451952254"/>
      <w:bookmarkStart w:id="1302" w:name="_Toc452129193"/>
      <w:bookmarkStart w:id="1303" w:name="_Toc452372244"/>
      <w:r>
        <w:t>Eligibility</w:t>
      </w:r>
      <w:bookmarkEnd w:id="1300"/>
      <w:bookmarkEnd w:id="1301"/>
      <w:bookmarkEnd w:id="1302"/>
      <w:bookmarkEnd w:id="1303"/>
    </w:p>
    <w:p w14:paraId="0AF6F2F7" w14:textId="77777777" w:rsidR="000D07EA" w:rsidRDefault="00BE7C89">
      <w:pPr>
        <w:pStyle w:val="BodyText"/>
        <w:ind w:left="720"/>
      </w:pPr>
      <w:r>
        <w:t xml:space="preserve">The $0 </w:t>
      </w:r>
      <w:r>
        <w:rPr>
          <w:b/>
        </w:rPr>
        <w:t>Optus</w:t>
      </w:r>
      <w:r>
        <w:t xml:space="preserve"> </w:t>
      </w:r>
      <w:r>
        <w:rPr>
          <w:b/>
        </w:rPr>
        <w:t>Plan</w:t>
      </w:r>
      <w:r>
        <w:t xml:space="preserve"> is available from 1 March 2015 to existing selected mobile services customers and to new services connecting from 2 May 2016 to 3 July 2016 who pass the existing Optus credit assessment criteria.</w:t>
      </w:r>
    </w:p>
    <w:p w14:paraId="3ED3AF85" w14:textId="77777777" w:rsidR="000D07EA" w:rsidRDefault="00BE7C89">
      <w:pPr>
        <w:pStyle w:val="BodyText"/>
        <w:ind w:left="720"/>
      </w:pPr>
      <w:r>
        <w:t>Optus Service Providers' customers are not eligible to apply.</w:t>
      </w:r>
    </w:p>
    <w:p w14:paraId="5A014739" w14:textId="77777777" w:rsidR="000D07EA" w:rsidRDefault="00BE7C89">
      <w:pPr>
        <w:pStyle w:val="BodyText"/>
        <w:ind w:left="720"/>
      </w:pPr>
      <w:r>
        <w:t>The $0 Optus Plan is not compatible with BlackBerry handsets on an operating system of 7.1 or earlier for data usage.</w:t>
      </w:r>
    </w:p>
    <w:p w14:paraId="7E16419A" w14:textId="77777777" w:rsidR="000D07EA" w:rsidRDefault="00BE7C89">
      <w:pPr>
        <w:pStyle w:val="Heading6"/>
        <w:ind w:left="0" w:firstLine="0"/>
      </w:pPr>
      <w:bookmarkStart w:id="1304" w:name="_Toc451948824"/>
      <w:bookmarkStart w:id="1305" w:name="_Toc451952255"/>
      <w:bookmarkStart w:id="1306" w:name="_Toc452129194"/>
      <w:bookmarkStart w:id="1307" w:name="_Toc452372245"/>
      <w:r>
        <w:t>Minimum Term</w:t>
      </w:r>
      <w:bookmarkEnd w:id="1304"/>
      <w:bookmarkEnd w:id="1305"/>
      <w:bookmarkEnd w:id="1306"/>
      <w:bookmarkEnd w:id="1307"/>
    </w:p>
    <w:p w14:paraId="36DFA05D" w14:textId="77777777" w:rsidR="000D07EA" w:rsidRDefault="00BE7C89">
      <w:pPr>
        <w:pStyle w:val="BodyText"/>
        <w:ind w:left="720"/>
      </w:pPr>
      <w:r>
        <w:t>This plan is a month to month plan.</w:t>
      </w:r>
    </w:p>
    <w:p w14:paraId="3C17ED85" w14:textId="77777777" w:rsidR="000D07EA" w:rsidRDefault="00BE7C89">
      <w:pPr>
        <w:pStyle w:val="Heading6"/>
        <w:ind w:left="0" w:firstLine="0"/>
      </w:pPr>
      <w:bookmarkStart w:id="1308" w:name="_Toc451948825"/>
      <w:bookmarkStart w:id="1309" w:name="_Toc451952256"/>
      <w:bookmarkStart w:id="1310" w:name="_Toc452129195"/>
      <w:bookmarkStart w:id="1311" w:name="_Toc452372246"/>
      <w:r>
        <w:t>What you have to pay us</w:t>
      </w:r>
      <w:bookmarkEnd w:id="1308"/>
      <w:bookmarkEnd w:id="1309"/>
      <w:bookmarkEnd w:id="1310"/>
      <w:bookmarkEnd w:id="1311"/>
    </w:p>
    <w:p w14:paraId="7CFFEA12" w14:textId="77777777" w:rsidR="000D07EA" w:rsidRDefault="00BE7C89">
      <w:pPr>
        <w:pStyle w:val="Heading7"/>
      </w:pPr>
      <w:r>
        <w:rPr>
          <w:i/>
        </w:rPr>
        <w:t>You</w:t>
      </w:r>
      <w:r>
        <w:t xml:space="preserve"> must pay </w:t>
      </w:r>
      <w:r>
        <w:rPr>
          <w:i/>
        </w:rPr>
        <w:t>us</w:t>
      </w:r>
      <w:r>
        <w:t xml:space="preserve"> for use of the </w:t>
      </w:r>
      <w:r>
        <w:rPr>
          <w:i/>
        </w:rPr>
        <w:t>service</w:t>
      </w:r>
      <w:r>
        <w:t xml:space="preserve"> at the rates set out in Section 1 of this </w:t>
      </w:r>
      <w:r>
        <w:rPr>
          <w:i/>
        </w:rPr>
        <w:t>standard pricing table</w:t>
      </w:r>
      <w:r>
        <w:t xml:space="preserve"> and for value added service features at the rates set out in </w:t>
      </w:r>
      <w:hyperlink r:id="rId656" w:history="1">
        <w:r>
          <w:rPr>
            <w:rStyle w:val="Hyperlink"/>
            <w:i/>
          </w:rPr>
          <w:t>Appendix Y Value Added Service Features</w:t>
        </w:r>
      </w:hyperlink>
      <w:r>
        <w:t xml:space="preserve"> or other relevant appendix.</w:t>
      </w:r>
    </w:p>
    <w:p w14:paraId="00C39DD1" w14:textId="77777777" w:rsidR="000D07EA" w:rsidRDefault="00BE7C89">
      <w:pPr>
        <w:pStyle w:val="Heading7"/>
      </w:pPr>
      <w:r>
        <w:t>If there is a flagfall for a particular call type, the charge for these calls is the flagfall amount plus the relevant rate for the call multiplied by the duration of the call.</w:t>
      </w:r>
    </w:p>
    <w:p w14:paraId="6B8A1657" w14:textId="77777777" w:rsidR="000D07EA" w:rsidRDefault="00BE7C89">
      <w:pPr>
        <w:pStyle w:val="Heading7"/>
        <w:rPr>
          <w:b/>
        </w:rPr>
      </w:pPr>
      <w:r>
        <w:rPr>
          <w:b/>
        </w:rPr>
        <w:t>Minimum Monthly Charge</w:t>
      </w:r>
    </w:p>
    <w:p w14:paraId="2B880962" w14:textId="77777777" w:rsidR="000D07EA" w:rsidRDefault="00BE7C89">
      <w:pPr>
        <w:pStyle w:val="Heading8"/>
      </w:pPr>
      <w:r>
        <w:lastRenderedPageBreak/>
        <w:t>The $0 Optu</w:t>
      </w:r>
      <w:r>
        <w:rPr>
          <w:rStyle w:val="Heading8Char"/>
        </w:rPr>
        <w:t>s</w:t>
      </w:r>
      <w:r>
        <w:t xml:space="preserve"> Plan has no Minimum Monthly Charge amount. This plan does not include any calls, texts or data as part of the monthly access fee. This means you will pay for your usage according to the rates outlined in Tables 1 and 2 below.</w:t>
      </w:r>
    </w:p>
    <w:p w14:paraId="1CDCCAB2" w14:textId="77777777" w:rsidR="000D07EA" w:rsidRDefault="00BE7C89">
      <w:pPr>
        <w:pStyle w:val="Heading8"/>
      </w:pPr>
      <w:r>
        <w:rPr>
          <w:i/>
        </w:rPr>
        <w:t>This plan is not eligible to purchase a mobile phone (or 'handset') with a 24 month equipment term under a</w:t>
      </w:r>
      <w:r>
        <w:t xml:space="preserve"> mobile equipment payment plan </w:t>
      </w:r>
      <w:r>
        <w:rPr>
          <w:i/>
        </w:rPr>
        <w:t xml:space="preserve">(set out in </w:t>
      </w:r>
      <w:hyperlink r:id="rId657" w:history="1">
        <w:r>
          <w:rPr>
            <w:rStyle w:val="Hyperlink"/>
            <w:i/>
          </w:rPr>
          <w:t>Appendix D</w:t>
        </w:r>
      </w:hyperlink>
      <w:r>
        <w:rPr>
          <w:i/>
        </w:rPr>
        <w:t>) on a 24 month</w:t>
      </w:r>
      <w:r>
        <w:t xml:space="preserve"> fixed-length agreement.</w:t>
      </w:r>
    </w:p>
    <w:p w14:paraId="5D58DD30" w14:textId="77777777" w:rsidR="000D07EA" w:rsidRDefault="00BE7C89">
      <w:pPr>
        <w:pStyle w:val="BodyText"/>
        <w:ind w:left="720"/>
        <w:rPr>
          <w:b/>
        </w:rPr>
      </w:pPr>
      <w:r>
        <w:rPr>
          <w:b/>
        </w:rPr>
        <w:t>Table 1 –Plan Inclusions and Charges for $0 Optus Plan</w:t>
      </w:r>
    </w:p>
    <w:tbl>
      <w:tblPr>
        <w:tblW w:w="82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4140"/>
      </w:tblGrid>
      <w:tr w:rsidR="000D07EA" w14:paraId="5ADE3F80" w14:textId="77777777">
        <w:trPr>
          <w:trHeight w:val="54"/>
        </w:trPr>
        <w:tc>
          <w:tcPr>
            <w:tcW w:w="4140" w:type="dxa"/>
            <w:shd w:val="clear" w:color="auto" w:fill="auto"/>
            <w:vAlign w:val="center"/>
          </w:tcPr>
          <w:p w14:paraId="352A6210" w14:textId="77777777" w:rsidR="000D07EA" w:rsidRDefault="00BE7C89">
            <w:pPr>
              <w:pStyle w:val="BodyText"/>
              <w:spacing w:before="100" w:after="100"/>
              <w:jc w:val="center"/>
              <w:rPr>
                <w:b/>
              </w:rPr>
            </w:pPr>
            <w:r>
              <w:rPr>
                <w:b/>
              </w:rPr>
              <w:t>Minimum Monthly charge</w:t>
            </w:r>
          </w:p>
        </w:tc>
        <w:tc>
          <w:tcPr>
            <w:tcW w:w="4140" w:type="dxa"/>
            <w:vAlign w:val="center"/>
          </w:tcPr>
          <w:p w14:paraId="3600E1AB" w14:textId="77777777" w:rsidR="000D07EA" w:rsidRDefault="00BE7C89">
            <w:pPr>
              <w:pStyle w:val="BodyText"/>
              <w:spacing w:before="100" w:after="100"/>
              <w:jc w:val="center"/>
              <w:rPr>
                <w:b/>
              </w:rPr>
            </w:pPr>
            <w:r>
              <w:rPr>
                <w:b/>
              </w:rPr>
              <w:t>$0</w:t>
            </w:r>
          </w:p>
        </w:tc>
      </w:tr>
      <w:tr w:rsidR="000D07EA" w14:paraId="04323586" w14:textId="77777777">
        <w:trPr>
          <w:trHeight w:val="20"/>
        </w:trPr>
        <w:tc>
          <w:tcPr>
            <w:tcW w:w="4140" w:type="dxa"/>
            <w:shd w:val="clear" w:color="auto" w:fill="auto"/>
          </w:tcPr>
          <w:p w14:paraId="1B36FE4C" w14:textId="77777777" w:rsidR="000D07EA" w:rsidRDefault="00BE7C89">
            <w:pPr>
              <w:pStyle w:val="BodyText"/>
              <w:spacing w:before="100" w:after="100"/>
              <w:jc w:val="center"/>
              <w:rPr>
                <w:b/>
              </w:rPr>
            </w:pPr>
            <w:r>
              <w:rPr>
                <w:b/>
              </w:rPr>
              <w:t>Voicemail Deposits</w:t>
            </w:r>
          </w:p>
        </w:tc>
        <w:tc>
          <w:tcPr>
            <w:tcW w:w="4140" w:type="dxa"/>
          </w:tcPr>
          <w:p w14:paraId="27C6798F" w14:textId="77777777" w:rsidR="000D07EA" w:rsidRDefault="00BE7C89">
            <w:pPr>
              <w:pStyle w:val="BodyText"/>
              <w:spacing w:before="100" w:after="100"/>
              <w:jc w:val="center"/>
            </w:pPr>
            <w:r>
              <w:t>Unlimited</w:t>
            </w:r>
          </w:p>
        </w:tc>
      </w:tr>
      <w:tr w:rsidR="000D07EA" w14:paraId="7D39D7E0" w14:textId="77777777">
        <w:trPr>
          <w:trHeight w:val="20"/>
        </w:trPr>
        <w:tc>
          <w:tcPr>
            <w:tcW w:w="4140" w:type="dxa"/>
            <w:shd w:val="clear" w:color="auto" w:fill="auto"/>
          </w:tcPr>
          <w:p w14:paraId="153C0F9A" w14:textId="77777777" w:rsidR="000D07EA" w:rsidRDefault="00BE7C89">
            <w:pPr>
              <w:pStyle w:val="BodyText"/>
              <w:spacing w:before="100" w:after="100"/>
              <w:jc w:val="center"/>
              <w:rPr>
                <w:b/>
              </w:rPr>
            </w:pPr>
            <w:r>
              <w:rPr>
                <w:b/>
              </w:rPr>
              <w:t>Voicemail Diversions</w:t>
            </w:r>
          </w:p>
        </w:tc>
        <w:tc>
          <w:tcPr>
            <w:tcW w:w="4140" w:type="dxa"/>
          </w:tcPr>
          <w:p w14:paraId="3C2F4A15" w14:textId="77777777" w:rsidR="000D07EA" w:rsidRDefault="00BE7C89">
            <w:pPr>
              <w:pStyle w:val="BodyText"/>
              <w:spacing w:before="100" w:after="100"/>
              <w:jc w:val="center"/>
            </w:pPr>
            <w:r>
              <w:t>Unlimited</w:t>
            </w:r>
          </w:p>
        </w:tc>
      </w:tr>
      <w:tr w:rsidR="000D07EA" w14:paraId="503A08BB" w14:textId="77777777">
        <w:trPr>
          <w:trHeight w:val="54"/>
        </w:trPr>
        <w:tc>
          <w:tcPr>
            <w:tcW w:w="4140" w:type="dxa"/>
            <w:shd w:val="clear" w:color="auto" w:fill="auto"/>
          </w:tcPr>
          <w:p w14:paraId="2F1B9AD2" w14:textId="77777777" w:rsidR="000D07EA" w:rsidRDefault="00BE7C89">
            <w:pPr>
              <w:pStyle w:val="BodyText"/>
              <w:spacing w:before="100" w:after="100"/>
              <w:jc w:val="center"/>
              <w:rPr>
                <w:b/>
              </w:rPr>
            </w:pPr>
            <w:r>
              <w:rPr>
                <w:b/>
              </w:rPr>
              <w:t>1800 numbers</w:t>
            </w:r>
          </w:p>
        </w:tc>
        <w:tc>
          <w:tcPr>
            <w:tcW w:w="4140" w:type="dxa"/>
          </w:tcPr>
          <w:p w14:paraId="510F3A3D" w14:textId="77777777" w:rsidR="000D07EA" w:rsidRDefault="00BE7C89">
            <w:pPr>
              <w:pStyle w:val="BodyText"/>
              <w:spacing w:before="100" w:after="100"/>
              <w:jc w:val="center"/>
            </w:pPr>
            <w:r>
              <w:t>Unlimited</w:t>
            </w:r>
          </w:p>
        </w:tc>
      </w:tr>
    </w:tbl>
    <w:p w14:paraId="5D6DCE37" w14:textId="77777777" w:rsidR="000D07EA" w:rsidRDefault="000D07EA">
      <w:pPr>
        <w:pStyle w:val="BodyText"/>
      </w:pPr>
    </w:p>
    <w:p w14:paraId="588CFD7A" w14:textId="77777777" w:rsidR="000D07EA" w:rsidRDefault="00BE7C89">
      <w:pPr>
        <w:pStyle w:val="BodyText"/>
        <w:ind w:left="720"/>
        <w:rPr>
          <w:b/>
        </w:rPr>
      </w:pPr>
      <w:r>
        <w:rPr>
          <w:b/>
        </w:rPr>
        <w:t>Table 2 – Other usage types and charges</w:t>
      </w:r>
    </w:p>
    <w:tbl>
      <w:tblPr>
        <w:tblW w:w="82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4140"/>
      </w:tblGrid>
      <w:tr w:rsidR="000D07EA" w14:paraId="381D6B15" w14:textId="77777777">
        <w:tc>
          <w:tcPr>
            <w:tcW w:w="4140" w:type="dxa"/>
            <w:shd w:val="clear" w:color="auto" w:fill="auto"/>
          </w:tcPr>
          <w:p w14:paraId="33E527EF" w14:textId="77777777" w:rsidR="000D07EA" w:rsidRDefault="00BE7C89">
            <w:pPr>
              <w:pStyle w:val="BodyText"/>
              <w:spacing w:before="100" w:after="100"/>
              <w:jc w:val="center"/>
              <w:rPr>
                <w:b/>
                <w:szCs w:val="20"/>
              </w:rPr>
            </w:pPr>
            <w:r>
              <w:rPr>
                <w:b/>
                <w:szCs w:val="20"/>
              </w:rPr>
              <w:t>Usage type</w:t>
            </w:r>
          </w:p>
        </w:tc>
        <w:tc>
          <w:tcPr>
            <w:tcW w:w="4140" w:type="dxa"/>
            <w:shd w:val="clear" w:color="auto" w:fill="auto"/>
            <w:vAlign w:val="center"/>
          </w:tcPr>
          <w:p w14:paraId="7939C3E7" w14:textId="77777777" w:rsidR="000D07EA" w:rsidRDefault="00BE7C89">
            <w:pPr>
              <w:pStyle w:val="BodyText"/>
              <w:spacing w:before="100" w:after="100"/>
              <w:jc w:val="center"/>
              <w:rPr>
                <w:b/>
                <w:szCs w:val="20"/>
              </w:rPr>
            </w:pPr>
            <w:r>
              <w:rPr>
                <w:b/>
                <w:szCs w:val="20"/>
              </w:rPr>
              <w:t>Charge</w:t>
            </w:r>
          </w:p>
        </w:tc>
      </w:tr>
      <w:tr w:rsidR="000D07EA" w14:paraId="23222BED" w14:textId="77777777">
        <w:tc>
          <w:tcPr>
            <w:tcW w:w="4140" w:type="dxa"/>
            <w:shd w:val="clear" w:color="auto" w:fill="auto"/>
            <w:vAlign w:val="center"/>
          </w:tcPr>
          <w:p w14:paraId="5BA1C956" w14:textId="77777777" w:rsidR="000D07EA" w:rsidRDefault="00BE7C89">
            <w:pPr>
              <w:pStyle w:val="BodyText"/>
              <w:spacing w:before="100" w:after="100"/>
              <w:jc w:val="center"/>
              <w:rPr>
                <w:b/>
                <w:bCs/>
                <w:szCs w:val="20"/>
              </w:rPr>
            </w:pPr>
            <w:r>
              <w:rPr>
                <w:b/>
                <w:bCs/>
                <w:szCs w:val="20"/>
              </w:rPr>
              <w:t>Standard national calls to Optus mobiles</w:t>
            </w:r>
            <w:r>
              <w:rPr>
                <w:b/>
                <w:bCs/>
                <w:szCs w:val="20"/>
              </w:rPr>
              <w:br/>
              <w:t>(charged per minute)</w:t>
            </w:r>
          </w:p>
        </w:tc>
        <w:tc>
          <w:tcPr>
            <w:tcW w:w="4140" w:type="dxa"/>
            <w:shd w:val="clear" w:color="auto" w:fill="auto"/>
            <w:vAlign w:val="center"/>
          </w:tcPr>
          <w:p w14:paraId="68B5D7BC" w14:textId="77777777" w:rsidR="000D07EA" w:rsidRDefault="00BE7C89">
            <w:pPr>
              <w:pStyle w:val="BodyText"/>
              <w:spacing w:before="100" w:after="100"/>
              <w:jc w:val="center"/>
              <w:rPr>
                <w:szCs w:val="20"/>
              </w:rPr>
            </w:pPr>
            <w:r>
              <w:rPr>
                <w:szCs w:val="20"/>
              </w:rPr>
              <w:t>62c per minute plus 35c flagfall</w:t>
            </w:r>
          </w:p>
        </w:tc>
      </w:tr>
      <w:tr w:rsidR="000D07EA" w14:paraId="7E81568E" w14:textId="77777777">
        <w:tc>
          <w:tcPr>
            <w:tcW w:w="4140" w:type="dxa"/>
            <w:shd w:val="clear" w:color="auto" w:fill="auto"/>
            <w:vAlign w:val="center"/>
          </w:tcPr>
          <w:p w14:paraId="70FBFAC3" w14:textId="77777777" w:rsidR="000D07EA" w:rsidRDefault="00BE7C89">
            <w:pPr>
              <w:pStyle w:val="BodyText"/>
              <w:spacing w:before="100" w:after="100"/>
              <w:jc w:val="center"/>
              <w:rPr>
                <w:b/>
                <w:bCs/>
                <w:szCs w:val="20"/>
              </w:rPr>
            </w:pPr>
            <w:r>
              <w:rPr>
                <w:b/>
                <w:bCs/>
                <w:szCs w:val="20"/>
              </w:rPr>
              <w:t>Standard national calls to other Australian mobiles</w:t>
            </w:r>
            <w:r>
              <w:rPr>
                <w:b/>
                <w:bCs/>
                <w:szCs w:val="20"/>
              </w:rPr>
              <w:br/>
              <w:t>(charged per minute)</w:t>
            </w:r>
          </w:p>
        </w:tc>
        <w:tc>
          <w:tcPr>
            <w:tcW w:w="4140" w:type="dxa"/>
            <w:shd w:val="clear" w:color="auto" w:fill="auto"/>
            <w:vAlign w:val="center"/>
          </w:tcPr>
          <w:p w14:paraId="0DCFF89D" w14:textId="77777777" w:rsidR="000D07EA" w:rsidRDefault="00BE7C89">
            <w:pPr>
              <w:pStyle w:val="BodyText"/>
              <w:spacing w:before="100" w:after="100"/>
              <w:jc w:val="center"/>
              <w:rPr>
                <w:szCs w:val="20"/>
              </w:rPr>
            </w:pPr>
            <w:r>
              <w:rPr>
                <w:szCs w:val="20"/>
              </w:rPr>
              <w:t>62c per minute plus 35c flagfall</w:t>
            </w:r>
          </w:p>
        </w:tc>
      </w:tr>
      <w:tr w:rsidR="000D07EA" w14:paraId="2F3C1B1C" w14:textId="77777777">
        <w:tc>
          <w:tcPr>
            <w:tcW w:w="4140" w:type="dxa"/>
            <w:shd w:val="clear" w:color="auto" w:fill="auto"/>
            <w:vAlign w:val="center"/>
          </w:tcPr>
          <w:p w14:paraId="42E27647" w14:textId="77777777" w:rsidR="000D07EA" w:rsidRDefault="00BE7C89">
            <w:pPr>
              <w:pStyle w:val="BodyText"/>
              <w:spacing w:before="100" w:after="100"/>
              <w:jc w:val="center"/>
              <w:rPr>
                <w:b/>
                <w:bCs/>
                <w:szCs w:val="20"/>
              </w:rPr>
            </w:pPr>
            <w:r>
              <w:rPr>
                <w:b/>
                <w:bCs/>
                <w:szCs w:val="20"/>
              </w:rPr>
              <w:t>Standard national calls to landlines</w:t>
            </w:r>
            <w:r>
              <w:rPr>
                <w:b/>
                <w:bCs/>
                <w:szCs w:val="20"/>
              </w:rPr>
              <w:br/>
              <w:t>(charged per minute)</w:t>
            </w:r>
          </w:p>
        </w:tc>
        <w:tc>
          <w:tcPr>
            <w:tcW w:w="4140" w:type="dxa"/>
            <w:shd w:val="clear" w:color="auto" w:fill="auto"/>
            <w:vAlign w:val="center"/>
          </w:tcPr>
          <w:p w14:paraId="04E062D4" w14:textId="77777777" w:rsidR="000D07EA" w:rsidRDefault="00BE7C89">
            <w:pPr>
              <w:pStyle w:val="BodyText"/>
              <w:spacing w:before="100" w:after="100"/>
              <w:jc w:val="center"/>
              <w:rPr>
                <w:szCs w:val="20"/>
              </w:rPr>
            </w:pPr>
            <w:r>
              <w:rPr>
                <w:szCs w:val="20"/>
              </w:rPr>
              <w:t>62c per minute plus 35c flagfall</w:t>
            </w:r>
          </w:p>
        </w:tc>
      </w:tr>
      <w:tr w:rsidR="000D07EA" w14:paraId="51EE0F61" w14:textId="77777777">
        <w:tc>
          <w:tcPr>
            <w:tcW w:w="4140" w:type="dxa"/>
            <w:shd w:val="clear" w:color="auto" w:fill="auto"/>
            <w:vAlign w:val="center"/>
          </w:tcPr>
          <w:p w14:paraId="2FE8CE93" w14:textId="77777777" w:rsidR="000D07EA" w:rsidRDefault="00BE7C89">
            <w:pPr>
              <w:pStyle w:val="BodyText"/>
              <w:spacing w:before="100" w:after="100"/>
              <w:jc w:val="center"/>
              <w:rPr>
                <w:b/>
                <w:bCs/>
                <w:szCs w:val="20"/>
              </w:rPr>
            </w:pPr>
            <w:r>
              <w:rPr>
                <w:b/>
                <w:bCs/>
                <w:szCs w:val="20"/>
              </w:rPr>
              <w:t>Calls to 13/1300 numbers</w:t>
            </w:r>
            <w:r>
              <w:rPr>
                <w:b/>
                <w:bCs/>
                <w:szCs w:val="20"/>
              </w:rPr>
              <w:br/>
              <w:t>(charged per minute)</w:t>
            </w:r>
          </w:p>
        </w:tc>
        <w:tc>
          <w:tcPr>
            <w:tcW w:w="4140" w:type="dxa"/>
            <w:shd w:val="clear" w:color="auto" w:fill="auto"/>
            <w:vAlign w:val="center"/>
          </w:tcPr>
          <w:p w14:paraId="1149A93C" w14:textId="77777777" w:rsidR="000D07EA" w:rsidRDefault="00BE7C89">
            <w:pPr>
              <w:pStyle w:val="BodyText"/>
              <w:spacing w:before="100" w:after="100"/>
              <w:jc w:val="center"/>
              <w:rPr>
                <w:szCs w:val="20"/>
              </w:rPr>
            </w:pPr>
            <w:r>
              <w:rPr>
                <w:szCs w:val="20"/>
              </w:rPr>
              <w:t>62c per minute plus 35c flagfall</w:t>
            </w:r>
          </w:p>
        </w:tc>
      </w:tr>
      <w:tr w:rsidR="000D07EA" w14:paraId="657F8850" w14:textId="77777777">
        <w:tc>
          <w:tcPr>
            <w:tcW w:w="4140" w:type="dxa"/>
            <w:shd w:val="clear" w:color="auto" w:fill="auto"/>
            <w:vAlign w:val="center"/>
          </w:tcPr>
          <w:p w14:paraId="34D0D900" w14:textId="77777777" w:rsidR="000D07EA" w:rsidRDefault="00BE7C89">
            <w:pPr>
              <w:pStyle w:val="BodyText"/>
              <w:spacing w:before="100" w:after="100"/>
              <w:jc w:val="center"/>
              <w:rPr>
                <w:b/>
                <w:bCs/>
                <w:szCs w:val="20"/>
              </w:rPr>
            </w:pPr>
            <w:r>
              <w:rPr>
                <w:b/>
                <w:bCs/>
                <w:szCs w:val="20"/>
              </w:rPr>
              <w:t xml:space="preserve">Standard national SMS </w:t>
            </w:r>
            <w:r>
              <w:rPr>
                <w:szCs w:val="20"/>
              </w:rPr>
              <w:t>(per SMS of up to 160 standard characters^)</w:t>
            </w:r>
          </w:p>
        </w:tc>
        <w:tc>
          <w:tcPr>
            <w:tcW w:w="4140" w:type="dxa"/>
            <w:shd w:val="clear" w:color="auto" w:fill="auto"/>
            <w:vAlign w:val="center"/>
          </w:tcPr>
          <w:p w14:paraId="4B21A9E5" w14:textId="77777777" w:rsidR="000D07EA" w:rsidRDefault="00BE7C89">
            <w:pPr>
              <w:pStyle w:val="BodyText"/>
              <w:spacing w:before="100" w:after="100"/>
              <w:jc w:val="center"/>
              <w:rPr>
                <w:szCs w:val="20"/>
              </w:rPr>
            </w:pPr>
            <w:r>
              <w:rPr>
                <w:szCs w:val="20"/>
              </w:rPr>
              <w:t>10c</w:t>
            </w:r>
          </w:p>
        </w:tc>
      </w:tr>
      <w:tr w:rsidR="000D07EA" w14:paraId="3D1506DF" w14:textId="77777777">
        <w:tc>
          <w:tcPr>
            <w:tcW w:w="4140" w:type="dxa"/>
            <w:shd w:val="clear" w:color="auto" w:fill="auto"/>
            <w:vAlign w:val="center"/>
          </w:tcPr>
          <w:p w14:paraId="689D41E6" w14:textId="77777777" w:rsidR="000D07EA" w:rsidRDefault="00BE7C89">
            <w:pPr>
              <w:pStyle w:val="BodyText"/>
              <w:spacing w:before="100" w:after="100"/>
              <w:jc w:val="center"/>
              <w:rPr>
                <w:b/>
                <w:bCs/>
                <w:szCs w:val="20"/>
              </w:rPr>
            </w:pPr>
            <w:r>
              <w:rPr>
                <w:b/>
                <w:bCs/>
                <w:szCs w:val="20"/>
              </w:rPr>
              <w:t xml:space="preserve">Standard national MMS </w:t>
            </w:r>
            <w:r>
              <w:rPr>
                <w:szCs w:val="20"/>
              </w:rPr>
              <w:t>(per message)</w:t>
            </w:r>
          </w:p>
        </w:tc>
        <w:tc>
          <w:tcPr>
            <w:tcW w:w="4140" w:type="dxa"/>
            <w:shd w:val="clear" w:color="auto" w:fill="auto"/>
            <w:vAlign w:val="center"/>
          </w:tcPr>
          <w:p w14:paraId="73F5F06A" w14:textId="77777777" w:rsidR="000D07EA" w:rsidRDefault="00BE7C89">
            <w:pPr>
              <w:pStyle w:val="BodyText"/>
              <w:spacing w:before="100" w:after="100"/>
              <w:jc w:val="center"/>
              <w:rPr>
                <w:szCs w:val="20"/>
              </w:rPr>
            </w:pPr>
            <w:r>
              <w:rPr>
                <w:szCs w:val="20"/>
              </w:rPr>
              <w:t>10c</w:t>
            </w:r>
          </w:p>
        </w:tc>
      </w:tr>
      <w:tr w:rsidR="000D07EA" w14:paraId="5763B302" w14:textId="77777777">
        <w:tc>
          <w:tcPr>
            <w:tcW w:w="4140" w:type="dxa"/>
            <w:shd w:val="clear" w:color="auto" w:fill="auto"/>
            <w:vAlign w:val="center"/>
          </w:tcPr>
          <w:p w14:paraId="6AB5764C" w14:textId="77777777" w:rsidR="000D07EA" w:rsidRDefault="00BE7C89">
            <w:pPr>
              <w:pStyle w:val="BodyText"/>
              <w:spacing w:before="100" w:after="100"/>
              <w:jc w:val="center"/>
              <w:rPr>
                <w:b/>
                <w:bCs/>
                <w:szCs w:val="20"/>
              </w:rPr>
            </w:pPr>
            <w:r>
              <w:rPr>
                <w:b/>
                <w:bCs/>
                <w:szCs w:val="20"/>
              </w:rPr>
              <w:t>Data</w:t>
            </w:r>
          </w:p>
        </w:tc>
        <w:tc>
          <w:tcPr>
            <w:tcW w:w="4140" w:type="dxa"/>
            <w:shd w:val="clear" w:color="auto" w:fill="auto"/>
            <w:vAlign w:val="center"/>
          </w:tcPr>
          <w:p w14:paraId="4E8820EB" w14:textId="77777777" w:rsidR="000D07EA" w:rsidRDefault="00BE7C89">
            <w:pPr>
              <w:pStyle w:val="BodyText"/>
              <w:spacing w:before="100" w:after="100"/>
              <w:jc w:val="center"/>
              <w:rPr>
                <w:szCs w:val="20"/>
              </w:rPr>
            </w:pPr>
            <w:r>
              <w:rPr>
                <w:szCs w:val="20"/>
              </w:rPr>
              <w:t>10c per MB</w:t>
            </w:r>
          </w:p>
        </w:tc>
      </w:tr>
      <w:tr w:rsidR="000D07EA" w14:paraId="543B6685" w14:textId="77777777">
        <w:tc>
          <w:tcPr>
            <w:tcW w:w="4140" w:type="dxa"/>
            <w:shd w:val="clear" w:color="auto" w:fill="auto"/>
          </w:tcPr>
          <w:p w14:paraId="26D73330" w14:textId="77777777" w:rsidR="000D07EA" w:rsidRDefault="00BE7C89">
            <w:pPr>
              <w:pStyle w:val="BodyText"/>
              <w:spacing w:before="100" w:after="100"/>
              <w:jc w:val="center"/>
              <w:rPr>
                <w:b/>
                <w:bCs/>
                <w:szCs w:val="20"/>
              </w:rPr>
            </w:pPr>
            <w:r>
              <w:rPr>
                <w:b/>
                <w:bCs/>
                <w:szCs w:val="20"/>
              </w:rPr>
              <w:t>National diversions</w:t>
            </w:r>
          </w:p>
        </w:tc>
        <w:tc>
          <w:tcPr>
            <w:tcW w:w="4140" w:type="dxa"/>
            <w:shd w:val="clear" w:color="auto" w:fill="auto"/>
            <w:vAlign w:val="center"/>
          </w:tcPr>
          <w:p w14:paraId="28D37BA6" w14:textId="77777777" w:rsidR="000D07EA" w:rsidRDefault="00BE7C89">
            <w:pPr>
              <w:pStyle w:val="BodyText"/>
              <w:spacing w:before="100" w:after="100"/>
              <w:jc w:val="center"/>
              <w:rPr>
                <w:szCs w:val="20"/>
              </w:rPr>
            </w:pPr>
            <w:r>
              <w:rPr>
                <w:szCs w:val="20"/>
              </w:rPr>
              <w:t>10c per minute</w:t>
            </w:r>
          </w:p>
        </w:tc>
      </w:tr>
      <w:tr w:rsidR="000D07EA" w14:paraId="578B3A3A" w14:textId="77777777">
        <w:tc>
          <w:tcPr>
            <w:tcW w:w="4140" w:type="dxa"/>
            <w:shd w:val="clear" w:color="auto" w:fill="auto"/>
          </w:tcPr>
          <w:p w14:paraId="05D8E6A5" w14:textId="77777777" w:rsidR="000D07EA" w:rsidRDefault="00BE7C89">
            <w:pPr>
              <w:pStyle w:val="BodyText"/>
              <w:spacing w:before="100" w:after="100"/>
              <w:jc w:val="center"/>
              <w:rPr>
                <w:b/>
                <w:szCs w:val="20"/>
              </w:rPr>
            </w:pPr>
            <w:r>
              <w:rPr>
                <w:b/>
                <w:bCs/>
                <w:szCs w:val="20"/>
              </w:rPr>
              <w:t>National video calls</w:t>
            </w:r>
            <w:r>
              <w:rPr>
                <w:bCs/>
                <w:szCs w:val="20"/>
              </w:rPr>
              <w:t xml:space="preserve"> </w:t>
            </w:r>
            <w:r>
              <w:rPr>
                <w:szCs w:val="20"/>
              </w:rPr>
              <w:t>(per minute)</w:t>
            </w:r>
          </w:p>
        </w:tc>
        <w:tc>
          <w:tcPr>
            <w:tcW w:w="4140" w:type="dxa"/>
            <w:shd w:val="clear" w:color="auto" w:fill="auto"/>
            <w:vAlign w:val="center"/>
          </w:tcPr>
          <w:p w14:paraId="6D14F1C0" w14:textId="77777777" w:rsidR="000D07EA" w:rsidRDefault="00BE7C89">
            <w:pPr>
              <w:pStyle w:val="BodyText"/>
              <w:spacing w:before="100" w:after="100"/>
              <w:jc w:val="center"/>
              <w:rPr>
                <w:szCs w:val="20"/>
              </w:rPr>
            </w:pPr>
            <w:r>
              <w:rPr>
                <w:szCs w:val="20"/>
              </w:rPr>
              <w:t>$1.00 per min + 40c flagfall</w:t>
            </w:r>
          </w:p>
        </w:tc>
      </w:tr>
      <w:tr w:rsidR="000D07EA" w14:paraId="61B78157" w14:textId="77777777">
        <w:tc>
          <w:tcPr>
            <w:tcW w:w="4140" w:type="dxa"/>
            <w:shd w:val="clear" w:color="auto" w:fill="auto"/>
          </w:tcPr>
          <w:p w14:paraId="13459711" w14:textId="77777777" w:rsidR="000D07EA" w:rsidRDefault="00BE7C89">
            <w:pPr>
              <w:pStyle w:val="BodyText"/>
              <w:spacing w:before="100" w:after="100"/>
              <w:jc w:val="center"/>
              <w:rPr>
                <w:b/>
                <w:bCs/>
                <w:szCs w:val="20"/>
              </w:rPr>
            </w:pPr>
            <w:r>
              <w:rPr>
                <w:b/>
                <w:bCs/>
                <w:szCs w:val="20"/>
              </w:rPr>
              <w:t>Directory Assistance 1223</w:t>
            </w:r>
          </w:p>
        </w:tc>
        <w:tc>
          <w:tcPr>
            <w:tcW w:w="4140" w:type="dxa"/>
            <w:shd w:val="clear" w:color="auto" w:fill="auto"/>
            <w:vAlign w:val="center"/>
          </w:tcPr>
          <w:p w14:paraId="6FC13267" w14:textId="77777777" w:rsidR="000D07EA" w:rsidRDefault="00BE7C89">
            <w:pPr>
              <w:pStyle w:val="BodyText"/>
              <w:spacing w:before="100" w:after="100"/>
              <w:jc w:val="center"/>
              <w:rPr>
                <w:szCs w:val="20"/>
              </w:rPr>
            </w:pPr>
            <w:r>
              <w:rPr>
                <w:szCs w:val="20"/>
              </w:rPr>
              <w:t>50c per call</w:t>
            </w:r>
          </w:p>
        </w:tc>
      </w:tr>
      <w:tr w:rsidR="000D07EA" w14:paraId="02855BE7" w14:textId="77777777">
        <w:tc>
          <w:tcPr>
            <w:tcW w:w="4140" w:type="dxa"/>
            <w:shd w:val="clear" w:color="auto" w:fill="auto"/>
          </w:tcPr>
          <w:p w14:paraId="57E9E469" w14:textId="77777777" w:rsidR="000D07EA" w:rsidRDefault="00BE7C89">
            <w:pPr>
              <w:pStyle w:val="BodyText"/>
              <w:spacing w:before="100" w:after="100"/>
              <w:jc w:val="center"/>
              <w:rPr>
                <w:b/>
                <w:bCs/>
                <w:szCs w:val="20"/>
              </w:rPr>
            </w:pPr>
            <w:r>
              <w:rPr>
                <w:b/>
                <w:bCs/>
                <w:szCs w:val="20"/>
              </w:rPr>
              <w:t>124 Yes</w:t>
            </w:r>
          </w:p>
        </w:tc>
        <w:tc>
          <w:tcPr>
            <w:tcW w:w="4140" w:type="dxa"/>
            <w:shd w:val="clear" w:color="auto" w:fill="auto"/>
            <w:vAlign w:val="center"/>
          </w:tcPr>
          <w:p w14:paraId="42EC6902" w14:textId="77777777" w:rsidR="000D07EA" w:rsidRDefault="00BE7C89">
            <w:pPr>
              <w:pStyle w:val="BodyText"/>
              <w:spacing w:before="100" w:after="100"/>
              <w:jc w:val="center"/>
              <w:rPr>
                <w:szCs w:val="20"/>
              </w:rPr>
            </w:pPr>
            <w:r>
              <w:rPr>
                <w:szCs w:val="20"/>
              </w:rPr>
              <w:t>90c per minute +$1.75c flagfall</w:t>
            </w:r>
          </w:p>
        </w:tc>
      </w:tr>
      <w:tr w:rsidR="000D07EA" w14:paraId="695060A3" w14:textId="77777777">
        <w:tc>
          <w:tcPr>
            <w:tcW w:w="4140" w:type="dxa"/>
            <w:shd w:val="clear" w:color="auto" w:fill="auto"/>
          </w:tcPr>
          <w:p w14:paraId="51236F27" w14:textId="77777777" w:rsidR="000D07EA" w:rsidRDefault="00BE7C89">
            <w:pPr>
              <w:pStyle w:val="BodyText"/>
              <w:spacing w:before="100" w:after="100"/>
              <w:jc w:val="center"/>
              <w:rPr>
                <w:b/>
                <w:bCs/>
                <w:szCs w:val="20"/>
              </w:rPr>
            </w:pPr>
            <w:r>
              <w:rPr>
                <w:b/>
                <w:bCs/>
                <w:szCs w:val="20"/>
              </w:rPr>
              <w:t>International voice calls</w:t>
            </w:r>
          </w:p>
        </w:tc>
        <w:tc>
          <w:tcPr>
            <w:tcW w:w="4140" w:type="dxa"/>
            <w:shd w:val="clear" w:color="auto" w:fill="auto"/>
            <w:vAlign w:val="center"/>
          </w:tcPr>
          <w:p w14:paraId="576C1AE3" w14:textId="77777777" w:rsidR="000D07EA" w:rsidRDefault="00BE7C89">
            <w:pPr>
              <w:pStyle w:val="BodyText"/>
              <w:spacing w:before="100" w:after="100"/>
              <w:jc w:val="center"/>
              <w:rPr>
                <w:szCs w:val="20"/>
              </w:rPr>
            </w:pPr>
            <w:r>
              <w:rPr>
                <w:szCs w:val="20"/>
              </w:rPr>
              <w:t>See optus.com.au/international</w:t>
            </w:r>
          </w:p>
        </w:tc>
      </w:tr>
      <w:tr w:rsidR="000D07EA" w14:paraId="4AC20954" w14:textId="77777777">
        <w:tc>
          <w:tcPr>
            <w:tcW w:w="4140" w:type="dxa"/>
            <w:shd w:val="clear" w:color="auto" w:fill="auto"/>
          </w:tcPr>
          <w:p w14:paraId="4B9835D0" w14:textId="77777777" w:rsidR="000D07EA" w:rsidRDefault="00BE7C89">
            <w:pPr>
              <w:pStyle w:val="BodyText"/>
              <w:spacing w:before="100" w:after="100"/>
              <w:jc w:val="center"/>
              <w:rPr>
                <w:b/>
                <w:bCs/>
                <w:szCs w:val="20"/>
              </w:rPr>
            </w:pPr>
            <w:r>
              <w:rPr>
                <w:b/>
                <w:bCs/>
                <w:szCs w:val="20"/>
              </w:rPr>
              <w:t>International SMS</w:t>
            </w:r>
          </w:p>
        </w:tc>
        <w:tc>
          <w:tcPr>
            <w:tcW w:w="4140" w:type="dxa"/>
            <w:shd w:val="clear" w:color="auto" w:fill="auto"/>
            <w:vAlign w:val="center"/>
          </w:tcPr>
          <w:p w14:paraId="29555C48" w14:textId="77777777" w:rsidR="000D07EA" w:rsidRDefault="00BE7C89">
            <w:pPr>
              <w:pStyle w:val="BodyText"/>
              <w:spacing w:before="100" w:after="100"/>
              <w:jc w:val="center"/>
              <w:rPr>
                <w:szCs w:val="20"/>
              </w:rPr>
            </w:pPr>
            <w:r>
              <w:rPr>
                <w:szCs w:val="20"/>
              </w:rPr>
              <w:t>50c per SMS up to 160 standard characters</w:t>
            </w:r>
          </w:p>
        </w:tc>
      </w:tr>
      <w:tr w:rsidR="000D07EA" w14:paraId="661BE188" w14:textId="77777777">
        <w:tc>
          <w:tcPr>
            <w:tcW w:w="4140" w:type="dxa"/>
            <w:shd w:val="clear" w:color="auto" w:fill="auto"/>
          </w:tcPr>
          <w:p w14:paraId="10ECA6D2" w14:textId="77777777" w:rsidR="000D07EA" w:rsidRDefault="00BE7C89">
            <w:pPr>
              <w:pStyle w:val="BodyText"/>
              <w:spacing w:before="100" w:after="100"/>
              <w:jc w:val="center"/>
              <w:rPr>
                <w:b/>
                <w:bCs/>
                <w:szCs w:val="20"/>
              </w:rPr>
            </w:pPr>
            <w:r>
              <w:rPr>
                <w:b/>
                <w:bCs/>
                <w:szCs w:val="20"/>
              </w:rPr>
              <w:t>International MMS</w:t>
            </w:r>
          </w:p>
        </w:tc>
        <w:tc>
          <w:tcPr>
            <w:tcW w:w="4140" w:type="dxa"/>
            <w:shd w:val="clear" w:color="auto" w:fill="auto"/>
            <w:vAlign w:val="center"/>
          </w:tcPr>
          <w:p w14:paraId="61C88ED1" w14:textId="77777777" w:rsidR="000D07EA" w:rsidRDefault="00BE7C89">
            <w:pPr>
              <w:pStyle w:val="BodyText"/>
              <w:spacing w:before="100" w:after="100"/>
              <w:jc w:val="center"/>
              <w:rPr>
                <w:szCs w:val="20"/>
              </w:rPr>
            </w:pPr>
            <w:r>
              <w:rPr>
                <w:szCs w:val="20"/>
              </w:rPr>
              <w:t>75c per MMS</w:t>
            </w:r>
          </w:p>
        </w:tc>
      </w:tr>
      <w:tr w:rsidR="000D07EA" w14:paraId="5F09FA66" w14:textId="77777777">
        <w:tc>
          <w:tcPr>
            <w:tcW w:w="4140" w:type="dxa"/>
            <w:shd w:val="clear" w:color="auto" w:fill="auto"/>
          </w:tcPr>
          <w:p w14:paraId="56A8170A" w14:textId="77777777" w:rsidR="000D07EA" w:rsidRDefault="00BE7C89">
            <w:pPr>
              <w:pStyle w:val="BodyText"/>
              <w:spacing w:before="100" w:after="100"/>
              <w:jc w:val="center"/>
              <w:rPr>
                <w:b/>
                <w:bCs/>
                <w:szCs w:val="20"/>
              </w:rPr>
            </w:pPr>
            <w:r>
              <w:rPr>
                <w:b/>
                <w:bCs/>
                <w:szCs w:val="20"/>
              </w:rPr>
              <w:t>International video calling</w:t>
            </w:r>
          </w:p>
        </w:tc>
        <w:tc>
          <w:tcPr>
            <w:tcW w:w="4140" w:type="dxa"/>
            <w:shd w:val="clear" w:color="auto" w:fill="auto"/>
            <w:vAlign w:val="center"/>
          </w:tcPr>
          <w:p w14:paraId="0988C569" w14:textId="77777777" w:rsidR="000D07EA" w:rsidRDefault="00BE7C89">
            <w:pPr>
              <w:pStyle w:val="BodyText"/>
              <w:spacing w:before="100" w:after="100"/>
              <w:jc w:val="center"/>
              <w:rPr>
                <w:szCs w:val="20"/>
              </w:rPr>
            </w:pPr>
            <w:r>
              <w:rPr>
                <w:szCs w:val="20"/>
              </w:rPr>
              <w:t>$1.50 per minute +35c flagfall</w:t>
            </w:r>
          </w:p>
        </w:tc>
      </w:tr>
      <w:tr w:rsidR="000D07EA" w14:paraId="672A75E0" w14:textId="77777777">
        <w:tc>
          <w:tcPr>
            <w:tcW w:w="4140" w:type="dxa"/>
            <w:shd w:val="clear" w:color="auto" w:fill="auto"/>
          </w:tcPr>
          <w:p w14:paraId="1CD8102C" w14:textId="77777777" w:rsidR="000D07EA" w:rsidRDefault="00BE7C89">
            <w:pPr>
              <w:pStyle w:val="BodyText"/>
              <w:spacing w:before="100" w:after="100"/>
              <w:jc w:val="center"/>
              <w:rPr>
                <w:b/>
                <w:bCs/>
                <w:szCs w:val="20"/>
              </w:rPr>
            </w:pPr>
            <w:r>
              <w:rPr>
                <w:b/>
                <w:bCs/>
                <w:szCs w:val="20"/>
              </w:rPr>
              <w:t>International roaming</w:t>
            </w:r>
          </w:p>
        </w:tc>
        <w:tc>
          <w:tcPr>
            <w:tcW w:w="4140" w:type="dxa"/>
            <w:shd w:val="clear" w:color="auto" w:fill="auto"/>
            <w:vAlign w:val="center"/>
          </w:tcPr>
          <w:p w14:paraId="27F117CA" w14:textId="77777777" w:rsidR="000D07EA" w:rsidRDefault="00BE7C89">
            <w:pPr>
              <w:pStyle w:val="BodyText"/>
              <w:spacing w:before="100" w:after="100"/>
              <w:jc w:val="center"/>
              <w:rPr>
                <w:szCs w:val="20"/>
              </w:rPr>
            </w:pPr>
            <w:r>
              <w:rPr>
                <w:szCs w:val="20"/>
              </w:rPr>
              <w:t>See optus.com.au/travel</w:t>
            </w:r>
          </w:p>
        </w:tc>
      </w:tr>
    </w:tbl>
    <w:p w14:paraId="62F8F5E1" w14:textId="77777777" w:rsidR="000D07EA" w:rsidRDefault="000D07EA">
      <w:pPr>
        <w:pStyle w:val="BodyText"/>
      </w:pPr>
    </w:p>
    <w:p w14:paraId="03FD9AF9" w14:textId="77777777" w:rsidR="000D07EA" w:rsidRDefault="00BE7C89">
      <w:pPr>
        <w:pStyle w:val="Heading6"/>
        <w:keepNext/>
        <w:ind w:left="0" w:firstLine="0"/>
      </w:pPr>
      <w:bookmarkStart w:id="1312" w:name="_Toc452129196"/>
      <w:bookmarkStart w:id="1313" w:name="_Toc452372247"/>
      <w:r>
        <w:lastRenderedPageBreak/>
        <w:t>Are there any charges if I cancel my service?</w:t>
      </w:r>
      <w:bookmarkEnd w:id="1312"/>
      <w:bookmarkEnd w:id="1313"/>
    </w:p>
    <w:p w14:paraId="332EFAF4" w14:textId="77777777" w:rsidR="000D07EA" w:rsidRDefault="00BE7C89">
      <w:pPr>
        <w:pStyle w:val="BodyText"/>
        <w:ind w:left="720"/>
      </w:pPr>
      <w:r>
        <w:rPr>
          <w:i/>
        </w:rPr>
        <w:t>You</w:t>
      </w:r>
      <w:r>
        <w:t xml:space="preserve"> can cancel </w:t>
      </w:r>
      <w:r>
        <w:rPr>
          <w:i/>
        </w:rPr>
        <w:t>your service</w:t>
      </w:r>
      <w:r>
        <w:t xml:space="preserve"> at any time, with no cancellation fee. </w:t>
      </w:r>
      <w:r>
        <w:rPr>
          <w:i/>
        </w:rPr>
        <w:t>You</w:t>
      </w:r>
      <w:r>
        <w:t xml:space="preserve"> just need to pay for any usage up to and including the date of cancellation.</w:t>
      </w:r>
    </w:p>
    <w:p w14:paraId="2C5E3AD5" w14:textId="77777777" w:rsidR="000D07EA" w:rsidRDefault="00BE7C89">
      <w:pPr>
        <w:pStyle w:val="Heading4"/>
        <w:ind w:left="720" w:hanging="720"/>
      </w:pPr>
      <w:bookmarkStart w:id="1314" w:name="_Toc447189769"/>
      <w:bookmarkStart w:id="1315" w:name="_Toc452734327"/>
      <w:bookmarkStart w:id="1316" w:name="_Toc455147649"/>
      <w:bookmarkStart w:id="1317" w:name="_Toc62644671"/>
      <w:r>
        <w:t>My Plan Business – (Promotional)</w:t>
      </w:r>
      <w:bookmarkEnd w:id="1314"/>
      <w:bookmarkEnd w:id="1315"/>
      <w:bookmarkEnd w:id="1316"/>
      <w:bookmarkEnd w:id="1317"/>
    </w:p>
    <w:p w14:paraId="3603CF34" w14:textId="77777777" w:rsidR="000D07EA" w:rsidRDefault="00BE7C89">
      <w:pPr>
        <w:pStyle w:val="BodyText"/>
        <w:ind w:left="720"/>
      </w:pPr>
      <w:r>
        <w:t xml:space="preserve">This section relates to the following plans. </w:t>
      </w:r>
      <w:r>
        <w:rPr>
          <w:i/>
        </w:rPr>
        <w:t>You</w:t>
      </w:r>
      <w:r>
        <w:t xml:space="preserve"> can find </w:t>
      </w:r>
      <w:r>
        <w:rPr>
          <w:i/>
        </w:rPr>
        <w:t>your</w:t>
      </w:r>
      <w:r>
        <w:t xml:space="preserve"> Plan ID on </w:t>
      </w:r>
      <w:r>
        <w:rPr>
          <w:i/>
        </w:rPr>
        <w:t>your</w:t>
      </w:r>
      <w:r>
        <w:t xml:space="preserve"> bill under the Mobile Number Summary section: </w:t>
      </w:r>
    </w:p>
    <w:tbl>
      <w:tblPr>
        <w:tblW w:w="87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2604"/>
        <w:gridCol w:w="3156"/>
      </w:tblGrid>
      <w:tr w:rsidR="000D07EA" w14:paraId="42D486EF" w14:textId="77777777">
        <w:tc>
          <w:tcPr>
            <w:tcW w:w="2988" w:type="dxa"/>
            <w:shd w:val="clear" w:color="auto" w:fill="auto"/>
          </w:tcPr>
          <w:p w14:paraId="4B30BEDA" w14:textId="77777777" w:rsidR="000D07EA" w:rsidRDefault="00BE7C89">
            <w:pPr>
              <w:pStyle w:val="BodyText"/>
              <w:spacing w:before="100" w:after="100"/>
              <w:jc w:val="center"/>
              <w:rPr>
                <w:b/>
              </w:rPr>
            </w:pPr>
            <w:r>
              <w:rPr>
                <w:b/>
              </w:rPr>
              <w:t>Plan</w:t>
            </w:r>
          </w:p>
        </w:tc>
        <w:tc>
          <w:tcPr>
            <w:tcW w:w="2604" w:type="dxa"/>
            <w:shd w:val="clear" w:color="auto" w:fill="auto"/>
          </w:tcPr>
          <w:p w14:paraId="28169D8B" w14:textId="77777777" w:rsidR="000D07EA" w:rsidRDefault="00BE7C89">
            <w:pPr>
              <w:pStyle w:val="BodyText"/>
              <w:spacing w:before="100" w:after="100"/>
              <w:jc w:val="center"/>
              <w:rPr>
                <w:b/>
              </w:rPr>
            </w:pPr>
            <w:r>
              <w:rPr>
                <w:b/>
              </w:rPr>
              <w:t>Plan ID</w:t>
            </w:r>
          </w:p>
        </w:tc>
        <w:tc>
          <w:tcPr>
            <w:tcW w:w="3156" w:type="dxa"/>
            <w:shd w:val="clear" w:color="auto" w:fill="auto"/>
          </w:tcPr>
          <w:p w14:paraId="06A6AA00" w14:textId="77777777" w:rsidR="000D07EA" w:rsidRDefault="00BE7C89">
            <w:pPr>
              <w:pStyle w:val="BodyText"/>
              <w:spacing w:before="100" w:after="100"/>
              <w:jc w:val="center"/>
              <w:rPr>
                <w:b/>
              </w:rPr>
            </w:pPr>
            <w:r>
              <w:rPr>
                <w:b/>
              </w:rPr>
              <w:t>Available</w:t>
            </w:r>
          </w:p>
        </w:tc>
      </w:tr>
      <w:tr w:rsidR="000D07EA" w14:paraId="0FB61205" w14:textId="77777777">
        <w:tc>
          <w:tcPr>
            <w:tcW w:w="2988" w:type="dxa"/>
            <w:shd w:val="clear" w:color="auto" w:fill="auto"/>
          </w:tcPr>
          <w:p w14:paraId="6E495CDB" w14:textId="77777777" w:rsidR="000D07EA" w:rsidRDefault="00BE7C89">
            <w:pPr>
              <w:pStyle w:val="BodyText"/>
              <w:spacing w:before="100" w:after="100"/>
              <w:jc w:val="center"/>
            </w:pPr>
            <w:r>
              <w:t>$40 My Plan Business</w:t>
            </w:r>
          </w:p>
        </w:tc>
        <w:tc>
          <w:tcPr>
            <w:tcW w:w="2604" w:type="dxa"/>
            <w:shd w:val="clear" w:color="auto" w:fill="auto"/>
            <w:vAlign w:val="center"/>
          </w:tcPr>
          <w:p w14:paraId="0F7C3C31" w14:textId="77777777" w:rsidR="000D07EA" w:rsidRDefault="00BE7C89">
            <w:pPr>
              <w:pStyle w:val="BodyText"/>
              <w:spacing w:before="100" w:after="100"/>
              <w:jc w:val="center"/>
            </w:pPr>
            <w:r>
              <w:t>800438</w:t>
            </w:r>
            <w:r w:rsidR="00E57781">
              <w:t>, 9669701</w:t>
            </w:r>
          </w:p>
        </w:tc>
        <w:tc>
          <w:tcPr>
            <w:tcW w:w="3156" w:type="dxa"/>
            <w:shd w:val="clear" w:color="auto" w:fill="auto"/>
          </w:tcPr>
          <w:p w14:paraId="2C1DD661" w14:textId="77777777" w:rsidR="000D07EA" w:rsidRDefault="00BE7C89">
            <w:pPr>
              <w:pStyle w:val="BodyText"/>
              <w:spacing w:before="100" w:after="100"/>
              <w:jc w:val="center"/>
            </w:pPr>
            <w:r>
              <w:t>4 April 2016 – 3 July 2016</w:t>
            </w:r>
          </w:p>
        </w:tc>
      </w:tr>
    </w:tbl>
    <w:p w14:paraId="56DE07EE" w14:textId="77777777" w:rsidR="000D07EA" w:rsidRDefault="000D07EA">
      <w:pPr>
        <w:pStyle w:val="BodyText"/>
      </w:pPr>
    </w:p>
    <w:p w14:paraId="1EE3258E" w14:textId="77777777" w:rsidR="000D07EA" w:rsidRDefault="00BE7C89">
      <w:pPr>
        <w:pStyle w:val="Heading6"/>
        <w:ind w:left="0" w:firstLine="0"/>
      </w:pPr>
      <w:bookmarkStart w:id="1318" w:name="_Toc447189770"/>
      <w:bookmarkStart w:id="1319" w:name="_Toc452734328"/>
      <w:r>
        <w:t>Eligibility</w:t>
      </w:r>
      <w:bookmarkEnd w:id="1318"/>
      <w:bookmarkEnd w:id="1319"/>
      <w:r>
        <w:t xml:space="preserve"> </w:t>
      </w:r>
    </w:p>
    <w:p w14:paraId="0B24883D" w14:textId="77777777" w:rsidR="000D07EA" w:rsidRDefault="00BE7C89">
      <w:pPr>
        <w:pStyle w:val="BodyText"/>
        <w:ind w:left="720"/>
      </w:pPr>
      <w:r>
        <w:t xml:space="preserve">The $40 My Plan Business plan is available to new and existing mobile customers connecting to the </w:t>
      </w:r>
      <w:r>
        <w:rPr>
          <w:i/>
        </w:rPr>
        <w:t xml:space="preserve">service </w:t>
      </w:r>
      <w:r>
        <w:t>who pass Optus' credit assessment.</w:t>
      </w:r>
    </w:p>
    <w:p w14:paraId="138B42DC" w14:textId="77777777" w:rsidR="000D07EA" w:rsidRDefault="00BE7C89">
      <w:pPr>
        <w:pStyle w:val="BodyText"/>
        <w:ind w:left="720"/>
      </w:pPr>
      <w:r>
        <w:t>Optus Service Providers' customers are not eligible to apply</w:t>
      </w:r>
      <w:r>
        <w:rPr>
          <w:snapToGrid w:val="0"/>
        </w:rPr>
        <w:t>.</w:t>
      </w:r>
    </w:p>
    <w:p w14:paraId="6090BC53" w14:textId="77777777" w:rsidR="000D07EA" w:rsidRDefault="00BE7C89">
      <w:pPr>
        <w:pStyle w:val="BodyText"/>
        <w:ind w:left="720"/>
      </w:pPr>
      <w:r>
        <w:t xml:space="preserve">These </w:t>
      </w:r>
      <w:r>
        <w:rPr>
          <w:i/>
        </w:rPr>
        <w:t>plans</w:t>
      </w:r>
      <w:r>
        <w:t xml:space="preserve"> aren't compatible for data use with BlackBerry handsets on operating systems of 7.1 or earlier. </w:t>
      </w:r>
    </w:p>
    <w:p w14:paraId="2B95A428" w14:textId="77777777" w:rsidR="000D07EA" w:rsidRDefault="00BE7C89">
      <w:pPr>
        <w:pStyle w:val="Heading6"/>
        <w:ind w:left="0" w:firstLine="0"/>
      </w:pPr>
      <w:bookmarkStart w:id="1320" w:name="_Toc447189771"/>
      <w:bookmarkStart w:id="1321" w:name="_Toc452734329"/>
      <w:r>
        <w:rPr>
          <w:snapToGrid w:val="0"/>
        </w:rPr>
        <w:t>Minimum Term</w:t>
      </w:r>
      <w:bookmarkEnd w:id="1320"/>
      <w:bookmarkEnd w:id="1321"/>
    </w:p>
    <w:p w14:paraId="26C74A81" w14:textId="77777777" w:rsidR="000D07EA" w:rsidRDefault="00BE7C89">
      <w:pPr>
        <w:pStyle w:val="BodyText"/>
        <w:ind w:left="680"/>
      </w:pPr>
      <w:r>
        <w:t xml:space="preserve">This </w:t>
      </w:r>
      <w:r>
        <w:rPr>
          <w:i/>
        </w:rPr>
        <w:t>plan</w:t>
      </w:r>
      <w:r>
        <w:t xml:space="preserve"> has a </w:t>
      </w:r>
      <w:r>
        <w:rPr>
          <w:i/>
        </w:rPr>
        <w:t>fixed</w:t>
      </w:r>
      <w:r>
        <w:t xml:space="preserve"> </w:t>
      </w:r>
      <w:r>
        <w:rPr>
          <w:i/>
        </w:rPr>
        <w:t>length</w:t>
      </w:r>
      <w:r>
        <w:t xml:space="preserve"> </w:t>
      </w:r>
      <w:r>
        <w:rPr>
          <w:i/>
        </w:rPr>
        <w:t>agreement</w:t>
      </w:r>
      <w:r>
        <w:t xml:space="preserve"> with a 24 month </w:t>
      </w:r>
      <w:r>
        <w:rPr>
          <w:i/>
        </w:rPr>
        <w:t>minimum</w:t>
      </w:r>
      <w:r>
        <w:t xml:space="preserve"> </w:t>
      </w:r>
      <w:r>
        <w:rPr>
          <w:i/>
        </w:rPr>
        <w:t>term</w:t>
      </w:r>
      <w:r>
        <w:t>.</w:t>
      </w:r>
    </w:p>
    <w:p w14:paraId="468204A4" w14:textId="77777777" w:rsidR="000D07EA" w:rsidRDefault="00BE7C89">
      <w:pPr>
        <w:pStyle w:val="Heading6"/>
        <w:ind w:left="0" w:firstLine="0"/>
      </w:pPr>
      <w:bookmarkStart w:id="1322" w:name="_Toc447189772"/>
      <w:bookmarkStart w:id="1323" w:name="_Toc452734330"/>
      <w:r>
        <w:t>What you have to pay us</w:t>
      </w:r>
      <w:bookmarkEnd w:id="1322"/>
      <w:bookmarkEnd w:id="1323"/>
    </w:p>
    <w:p w14:paraId="04F8CFE3" w14:textId="77777777" w:rsidR="000D07EA" w:rsidRDefault="00BE7C89">
      <w:pPr>
        <w:pStyle w:val="Heading7"/>
      </w:pPr>
      <w:r>
        <w:rPr>
          <w:i/>
        </w:rPr>
        <w:t>You</w:t>
      </w:r>
      <w:r>
        <w:t xml:space="preserve"> must pay </w:t>
      </w:r>
      <w:r>
        <w:rPr>
          <w:i/>
        </w:rPr>
        <w:t>us</w:t>
      </w:r>
      <w:r>
        <w:t xml:space="preserve"> for use of the </w:t>
      </w:r>
      <w:r>
        <w:rPr>
          <w:i/>
        </w:rPr>
        <w:t>service</w:t>
      </w:r>
      <w:r>
        <w:t xml:space="preserve"> at the rates set out in Section 1 of this </w:t>
      </w:r>
      <w:r>
        <w:rPr>
          <w:i/>
        </w:rPr>
        <w:t>standard</w:t>
      </w:r>
      <w:r>
        <w:t xml:space="preserve"> </w:t>
      </w:r>
      <w:r>
        <w:rPr>
          <w:i/>
        </w:rPr>
        <w:t>pricing</w:t>
      </w:r>
      <w:r>
        <w:t xml:space="preserve"> </w:t>
      </w:r>
      <w:r>
        <w:rPr>
          <w:i/>
        </w:rPr>
        <w:t>table</w:t>
      </w:r>
      <w:r>
        <w:t xml:space="preserve"> and for value added service features at the rates set out in </w:t>
      </w:r>
      <w:hyperlink r:id="rId658" w:history="1">
        <w:r>
          <w:rPr>
            <w:rStyle w:val="Hyperlink"/>
            <w:i/>
          </w:rPr>
          <w:t>Appendix Y Value Added Service Features</w:t>
        </w:r>
      </w:hyperlink>
      <w:r>
        <w:rPr>
          <w:rFonts w:eastAsia="MS Mincho"/>
          <w:i/>
        </w:rPr>
        <w:t xml:space="preserve">. </w:t>
      </w:r>
    </w:p>
    <w:p w14:paraId="584BF5CE" w14:textId="77777777" w:rsidR="000D07EA" w:rsidRDefault="00BE7C89">
      <w:pPr>
        <w:pStyle w:val="Heading7"/>
      </w:pPr>
      <w:r>
        <w:t>If there is a flagfall for a particular call type, the charge for these calls is the flagfall amount plus the relevant rate for the call multiplied by the duration of the call.</w:t>
      </w:r>
    </w:p>
    <w:p w14:paraId="7521BE78" w14:textId="77777777" w:rsidR="000D07EA" w:rsidRDefault="00BE7C89">
      <w:pPr>
        <w:pStyle w:val="Heading7"/>
        <w:rPr>
          <w:b/>
        </w:rPr>
      </w:pPr>
      <w:r>
        <w:rPr>
          <w:b/>
        </w:rPr>
        <w:t xml:space="preserve">Minimum Monthly Charge </w:t>
      </w:r>
    </w:p>
    <w:p w14:paraId="2A94EB3F" w14:textId="77777777" w:rsidR="000D07EA" w:rsidRDefault="00BE7C89">
      <w:pPr>
        <w:pStyle w:val="Heading8"/>
      </w:pPr>
      <w:r>
        <w:t xml:space="preserve">The $40 My Plan Business plan has a Minimum Monthly Charge amount that </w:t>
      </w:r>
      <w:r>
        <w:rPr>
          <w:i/>
        </w:rPr>
        <w:t>you</w:t>
      </w:r>
      <w:r>
        <w:t xml:space="preserve"> must pay </w:t>
      </w:r>
      <w:r>
        <w:rPr>
          <w:i/>
        </w:rPr>
        <w:t>us</w:t>
      </w:r>
      <w:r>
        <w:t xml:space="preserve"> each month as set out in Table 1 below. </w:t>
      </w:r>
    </w:p>
    <w:p w14:paraId="2E1187DC" w14:textId="77777777" w:rsidR="000D07EA" w:rsidRDefault="00BE7C89">
      <w:pPr>
        <w:pStyle w:val="Heading8"/>
      </w:pPr>
      <w:r>
        <w:rPr>
          <w:i/>
        </w:rPr>
        <w:t>You</w:t>
      </w:r>
      <w:r>
        <w:t xml:space="preserve"> may purchase a mobile phone (or 'handset') with a 24 month </w:t>
      </w:r>
      <w:r>
        <w:rPr>
          <w:i/>
        </w:rPr>
        <w:t>equipment term</w:t>
      </w:r>
      <w:r>
        <w:t xml:space="preserve"> under a </w:t>
      </w:r>
      <w:r>
        <w:rPr>
          <w:i/>
        </w:rPr>
        <w:t>mobile equipment payment plan</w:t>
      </w:r>
      <w:r>
        <w:t xml:space="preserve"> (set out in </w:t>
      </w:r>
      <w:hyperlink r:id="rId659" w:history="1">
        <w:r>
          <w:rPr>
            <w:rStyle w:val="Hyperlink"/>
            <w:i/>
          </w:rPr>
          <w:t>Appendix D</w:t>
        </w:r>
      </w:hyperlink>
      <w:r>
        <w:t xml:space="preserve">) on a 24 month </w:t>
      </w:r>
      <w:r>
        <w:rPr>
          <w:i/>
        </w:rPr>
        <w:t>fixed-length agreement</w:t>
      </w:r>
      <w:r>
        <w:t xml:space="preserve">. </w:t>
      </w:r>
    </w:p>
    <w:p w14:paraId="7195D0B2" w14:textId="77777777" w:rsidR="000D07EA" w:rsidRDefault="00BE7C89">
      <w:pPr>
        <w:pStyle w:val="Heading6"/>
        <w:ind w:left="0" w:firstLine="0"/>
        <w:rPr>
          <w:snapToGrid w:val="0"/>
        </w:rPr>
      </w:pPr>
      <w:bookmarkStart w:id="1324" w:name="_Toc447189773"/>
      <w:bookmarkStart w:id="1325" w:name="_Toc452734331"/>
      <w:r>
        <w:rPr>
          <w:snapToGrid w:val="0"/>
        </w:rPr>
        <w:t>How My Plan Business works</w:t>
      </w:r>
      <w:bookmarkEnd w:id="1324"/>
      <w:bookmarkEnd w:id="1325"/>
    </w:p>
    <w:p w14:paraId="1B742B56" w14:textId="77777777" w:rsidR="000D07EA" w:rsidRDefault="00BE7C89">
      <w:pPr>
        <w:pStyle w:val="Heading7"/>
        <w:rPr>
          <w:szCs w:val="20"/>
        </w:rPr>
      </w:pPr>
      <w:r>
        <w:rPr>
          <w:szCs w:val="20"/>
        </w:rPr>
        <w:t xml:space="preserve">The $40 My Plan Business plan has unlimited minutes to use on standard national calls to landlines and mobiles, 13/1300 numbers and voicemail retrievals and an amount of Included Data (for mobile internet use) to share with other services on a </w:t>
      </w:r>
      <w:r>
        <w:t xml:space="preserve">My Plan Plus, My Plan Plus SIM Only, My Plan Business (including Tech Fund), My Plan Business SIM, My Mobile Broadband Plus, Mobile Broadband Business or Shared Data Plan </w:t>
      </w:r>
      <w:r>
        <w:rPr>
          <w:szCs w:val="20"/>
        </w:rPr>
        <w:t>on the same account.</w:t>
      </w:r>
    </w:p>
    <w:p w14:paraId="52AF40A8" w14:textId="77777777" w:rsidR="000D07EA" w:rsidRDefault="00BE7C89">
      <w:pPr>
        <w:pStyle w:val="Heading7"/>
        <w:rPr>
          <w:szCs w:val="20"/>
        </w:rPr>
      </w:pPr>
      <w:r>
        <w:rPr>
          <w:szCs w:val="20"/>
        </w:rPr>
        <w:t xml:space="preserve">This plan also includes unlimited standard national SMS/MMS and unlimited standard International SMS/MMS to selected countries. </w:t>
      </w:r>
    </w:p>
    <w:p w14:paraId="285052A3" w14:textId="77777777" w:rsidR="000D07EA" w:rsidRDefault="00BE7C89">
      <w:pPr>
        <w:pStyle w:val="Heading7"/>
        <w:rPr>
          <w:szCs w:val="20"/>
        </w:rPr>
      </w:pPr>
      <w:r>
        <w:rPr>
          <w:szCs w:val="20"/>
        </w:rPr>
        <w:t xml:space="preserve">Data usage is calculated in one kilobyte increments. </w:t>
      </w:r>
    </w:p>
    <w:p w14:paraId="2C7EF662" w14:textId="77777777" w:rsidR="000D07EA" w:rsidRDefault="00BE7C89">
      <w:pPr>
        <w:pStyle w:val="Heading7"/>
        <w:rPr>
          <w:szCs w:val="20"/>
        </w:rPr>
      </w:pPr>
      <w:r>
        <w:rPr>
          <w:szCs w:val="20"/>
        </w:rPr>
        <w:lastRenderedPageBreak/>
        <w:t xml:space="preserve">If </w:t>
      </w:r>
      <w:r>
        <w:rPr>
          <w:i/>
          <w:szCs w:val="20"/>
        </w:rPr>
        <w:t xml:space="preserve">you </w:t>
      </w:r>
      <w:r>
        <w:rPr>
          <w:szCs w:val="20"/>
        </w:rPr>
        <w:t>exceed your included shareable data you'll automatically be charged $10 for each additional 1GB of data ("</w:t>
      </w:r>
      <w:r>
        <w:rPr>
          <w:b/>
          <w:szCs w:val="20"/>
        </w:rPr>
        <w:t>Additional Data</w:t>
      </w:r>
      <w:r>
        <w:rPr>
          <w:szCs w:val="20"/>
        </w:rPr>
        <w:t>") up to 150GB of extra data per account each month. Your service/s may then be restricted or we may continue to charge you at these rates.</w:t>
      </w:r>
    </w:p>
    <w:p w14:paraId="1DBEC5CD" w14:textId="77777777" w:rsidR="000D07EA" w:rsidRDefault="00BE7C89">
      <w:pPr>
        <w:pStyle w:val="Heading7"/>
        <w:rPr>
          <w:szCs w:val="20"/>
        </w:rPr>
      </w:pPr>
      <w:r>
        <w:rPr>
          <w:szCs w:val="20"/>
        </w:rPr>
        <w:t xml:space="preserve">Any unused portion of </w:t>
      </w:r>
      <w:r>
        <w:rPr>
          <w:i/>
          <w:szCs w:val="20"/>
        </w:rPr>
        <w:t>your</w:t>
      </w:r>
      <w:r>
        <w:rPr>
          <w:szCs w:val="20"/>
        </w:rPr>
        <w:t xml:space="preserve"> </w:t>
      </w:r>
      <w:r>
        <w:rPr>
          <w:i/>
          <w:szCs w:val="20"/>
        </w:rPr>
        <w:t>plan's</w:t>
      </w:r>
      <w:r>
        <w:rPr>
          <w:szCs w:val="20"/>
        </w:rPr>
        <w:t xml:space="preserve"> Included or Additional Data expires at the end of each month and does not roll over into the next month. </w:t>
      </w:r>
    </w:p>
    <w:p w14:paraId="3AB705CA" w14:textId="77777777" w:rsidR="000D07EA" w:rsidRDefault="00BE7C89">
      <w:pPr>
        <w:pStyle w:val="Heading7"/>
        <w:rPr>
          <w:b/>
          <w:szCs w:val="20"/>
        </w:rPr>
      </w:pPr>
      <w:r>
        <w:rPr>
          <w:i/>
          <w:szCs w:val="20"/>
        </w:rPr>
        <w:t>You</w:t>
      </w:r>
      <w:r>
        <w:rPr>
          <w:szCs w:val="20"/>
        </w:rPr>
        <w:t xml:space="preserve"> must pay </w:t>
      </w:r>
      <w:r>
        <w:rPr>
          <w:i/>
          <w:szCs w:val="20"/>
        </w:rPr>
        <w:t>us</w:t>
      </w:r>
      <w:r>
        <w:rPr>
          <w:szCs w:val="20"/>
        </w:rPr>
        <w:t xml:space="preserve"> for use of any services that are not included in </w:t>
      </w:r>
      <w:r>
        <w:rPr>
          <w:i/>
          <w:szCs w:val="20"/>
        </w:rPr>
        <w:t>your</w:t>
      </w:r>
      <w:r>
        <w:rPr>
          <w:szCs w:val="20"/>
        </w:rPr>
        <w:t xml:space="preserve"> plan's inclusions, examples of which are set out in Table 2 below.</w:t>
      </w:r>
    </w:p>
    <w:p w14:paraId="1A65F8B1" w14:textId="77777777" w:rsidR="000D07EA" w:rsidRDefault="00BE7C89">
      <w:pPr>
        <w:pStyle w:val="Heading6"/>
        <w:ind w:left="0" w:firstLine="0"/>
        <w:rPr>
          <w:snapToGrid w:val="0"/>
        </w:rPr>
      </w:pPr>
      <w:bookmarkStart w:id="1326" w:name="_Toc447189774"/>
      <w:bookmarkStart w:id="1327" w:name="_Toc452734332"/>
      <w:r>
        <w:rPr>
          <w:snapToGrid w:val="0"/>
        </w:rPr>
        <w:t>Plan Changes</w:t>
      </w:r>
      <w:bookmarkEnd w:id="1326"/>
      <w:bookmarkEnd w:id="1327"/>
    </w:p>
    <w:p w14:paraId="55025DC4" w14:textId="77777777" w:rsidR="000D07EA" w:rsidRDefault="00BE7C89">
      <w:pPr>
        <w:pStyle w:val="BodyText"/>
        <w:ind w:left="720"/>
      </w:pPr>
      <w:r>
        <w:t>You can change your plan during the minimum tern term provided you move to a plan with a higher monthly access fee. You cannot change your plan during the minimum term to a plan with the same or lower monthly access fee. If you change your plan during the minimum term a fee may apply and any handset repayments will remain the same.</w:t>
      </w:r>
    </w:p>
    <w:p w14:paraId="56D3FC46" w14:textId="77777777" w:rsidR="000D07EA" w:rsidRDefault="00BE7C89">
      <w:pPr>
        <w:pStyle w:val="Heading6"/>
        <w:ind w:left="0" w:firstLine="0"/>
        <w:rPr>
          <w:snapToGrid w:val="0"/>
        </w:rPr>
      </w:pPr>
      <w:bookmarkStart w:id="1328" w:name="_Toc447189775"/>
      <w:bookmarkStart w:id="1329" w:name="_Toc452734333"/>
      <w:r>
        <w:rPr>
          <w:snapToGrid w:val="0"/>
        </w:rPr>
        <w:t>New Phone Trade Up</w:t>
      </w:r>
      <w:bookmarkEnd w:id="1328"/>
      <w:bookmarkEnd w:id="1329"/>
    </w:p>
    <w:p w14:paraId="1D81DBA1" w14:textId="77777777" w:rsidR="000D07EA" w:rsidRDefault="00BE7C89">
      <w:pPr>
        <w:pStyle w:val="BodyText"/>
        <w:ind w:left="720"/>
      </w:pPr>
      <w:r>
        <w:t>The plans referred to in this section include the option of New Phone Trade Up, which can be exercised in two ways:</w:t>
      </w:r>
    </w:p>
    <w:p w14:paraId="19D36CEF" w14:textId="77777777" w:rsidR="000D07EA" w:rsidRDefault="00BE7C89">
      <w:pPr>
        <w:pStyle w:val="Heading7"/>
      </w:pPr>
      <w:r>
        <w:t>New Phone Trade Up for $99</w:t>
      </w:r>
    </w:p>
    <w:p w14:paraId="5F06BE33" w14:textId="77777777" w:rsidR="000D07EA" w:rsidRDefault="00BE7C89">
      <w:pPr>
        <w:pStyle w:val="Heading8"/>
      </w:pPr>
      <w:r>
        <w:t>After 12 months on one of these plans, you can pay a one fee of $99, return your original mobile phone to a Yes Optus store in good working order, purchase a new mobile phone on a new 24 month plan and sign documentation that will enable ownership of your original mobile phone to be transferred to a second hand dealer nominated by Optus.</w:t>
      </w:r>
    </w:p>
    <w:p w14:paraId="20BB9F45" w14:textId="77777777" w:rsidR="000D07EA" w:rsidRDefault="00BE7C89">
      <w:pPr>
        <w:pStyle w:val="Heading8"/>
      </w:pPr>
      <w:r>
        <w:t>A mobile phone is considered to be in good working order when:</w:t>
      </w:r>
    </w:p>
    <w:p w14:paraId="58D9CD64" w14:textId="77777777" w:rsidR="000D07EA" w:rsidRDefault="00BE7C89">
      <w:pPr>
        <w:pStyle w:val="Heading9"/>
      </w:pPr>
      <w:r>
        <w:t xml:space="preserve">It can power on and off, </w:t>
      </w:r>
    </w:p>
    <w:p w14:paraId="36A95F6D" w14:textId="77777777" w:rsidR="000D07EA" w:rsidRDefault="00BE7C89">
      <w:pPr>
        <w:pStyle w:val="Heading9"/>
      </w:pPr>
      <w:r>
        <w:t xml:space="preserve">It has a touchscreen that is fully functional and has no imperfections such as lines or marks, </w:t>
      </w:r>
    </w:p>
    <w:p w14:paraId="1ABEBA3B" w14:textId="77777777" w:rsidR="000D07EA" w:rsidRDefault="00BE7C89">
      <w:pPr>
        <w:pStyle w:val="Heading9"/>
      </w:pPr>
      <w:r>
        <w:t xml:space="preserve">It does not have any missing buttons or damage to other components such as charging ports, SIM tray, </w:t>
      </w:r>
    </w:p>
    <w:p w14:paraId="21FB36E9" w14:textId="77777777" w:rsidR="000D07EA" w:rsidRDefault="00BE7C89">
      <w:pPr>
        <w:pStyle w:val="Heading9"/>
      </w:pPr>
      <w:r>
        <w:t xml:space="preserve">The mobile phone (including the touchscreen) is not cracked and does not have any severe scratches (normal wear and tear such as light marks and scratches are okay); and </w:t>
      </w:r>
    </w:p>
    <w:p w14:paraId="3D765B71" w14:textId="77777777" w:rsidR="000D07EA" w:rsidRDefault="00BE7C89">
      <w:pPr>
        <w:pStyle w:val="Heading9"/>
      </w:pPr>
      <w:r>
        <w:t xml:space="preserve">Any locking features are disabled. </w:t>
      </w:r>
    </w:p>
    <w:p w14:paraId="009ECCE1" w14:textId="77777777" w:rsidR="000D07EA" w:rsidRDefault="00BE7C89">
      <w:pPr>
        <w:pStyle w:val="Heading8"/>
      </w:pPr>
      <w:r>
        <w:t xml:space="preserve">The mobile phone you return in accordance with section </w:t>
      </w:r>
      <w:r w:rsidR="00C67DDF" w:rsidRPr="00D50A97">
        <w:t>130.6</w:t>
      </w:r>
      <w:r w:rsidRPr="00D50A97">
        <w:t xml:space="preserve">(a) </w:t>
      </w:r>
      <w:r>
        <w:t xml:space="preserve">must be the mobile phone you purchased when you took up one of the plans referred to in this section. </w:t>
      </w:r>
    </w:p>
    <w:p w14:paraId="67268A82" w14:textId="77777777" w:rsidR="000D07EA" w:rsidRDefault="00BE7C89">
      <w:pPr>
        <w:pStyle w:val="Heading8"/>
      </w:pPr>
      <w:r>
        <w:t>When you seek to exercise this option and meet the relevant conditions, Optus agrees to waive any remaining mobile phone repayment charges on the mobile phone you are returning.</w:t>
      </w:r>
    </w:p>
    <w:p w14:paraId="4C9C94F6" w14:textId="77777777" w:rsidR="000D07EA" w:rsidRDefault="00BE7C89">
      <w:pPr>
        <w:pStyle w:val="Heading8"/>
      </w:pPr>
      <w:r>
        <w:t>By exercising this option, you acknowledge that the second hand device vendor will pay Optus a fee on your behalf for the mobile phone you return in part consideration of Optus waiving your remaining mobile phone repayments on the phone you are returning.</w:t>
      </w:r>
    </w:p>
    <w:p w14:paraId="2E0B90B6" w14:textId="77777777" w:rsidR="000D07EA" w:rsidRDefault="00BE7C89">
      <w:pPr>
        <w:pStyle w:val="Heading7"/>
      </w:pPr>
      <w:r>
        <w:t>Keep existing mobile phone</w:t>
      </w:r>
    </w:p>
    <w:p w14:paraId="0CBB6CD0" w14:textId="77777777" w:rsidR="000D07EA" w:rsidRDefault="00BE7C89">
      <w:pPr>
        <w:pStyle w:val="BodyText"/>
        <w:ind w:left="1440"/>
      </w:pPr>
      <w:r>
        <w:t>Alternatively and instead of paying $99, if you wish to keep your original mobile handset, you can simply pay out the full remaining cost of your mobile handset, including any monthly handset credit that Optus was going to cover and purchase a new mobile phone on a new 24 month plan.</w:t>
      </w:r>
    </w:p>
    <w:p w14:paraId="0D4A211C" w14:textId="77777777" w:rsidR="000D07EA" w:rsidRDefault="00BE7C89">
      <w:pPr>
        <w:pStyle w:val="Heading6"/>
        <w:keepNext/>
        <w:ind w:left="0" w:firstLine="0"/>
        <w:rPr>
          <w:snapToGrid w:val="0"/>
        </w:rPr>
      </w:pPr>
      <w:bookmarkStart w:id="1330" w:name="_Toc447189776"/>
      <w:bookmarkStart w:id="1331" w:name="_Toc452734334"/>
      <w:r>
        <w:rPr>
          <w:snapToGrid w:val="0"/>
        </w:rPr>
        <w:lastRenderedPageBreak/>
        <w:t>Data Sharing</w:t>
      </w:r>
      <w:bookmarkEnd w:id="1330"/>
      <w:bookmarkEnd w:id="1331"/>
    </w:p>
    <w:p w14:paraId="6FE4F5D4" w14:textId="77777777" w:rsidR="000D07EA" w:rsidRDefault="00BE7C89">
      <w:pPr>
        <w:pStyle w:val="Heading7"/>
        <w:rPr>
          <w:snapToGrid w:val="0"/>
        </w:rPr>
      </w:pPr>
      <w:r>
        <w:rPr>
          <w:snapToGrid w:val="0"/>
        </w:rPr>
        <w:t xml:space="preserve">If </w:t>
      </w:r>
      <w:r>
        <w:rPr>
          <w:i/>
          <w:snapToGrid w:val="0"/>
        </w:rPr>
        <w:t xml:space="preserve">you </w:t>
      </w:r>
      <w:r>
        <w:t>have more than one My Plan Plus, My Plan Plus SIM Only, My Plan Business (including Tech Fund), My Plan Business SIM, My Mobile Broadband Plus or Mobile Broadband Business on the same billing account, the included data will combine into one data pool, which will be shared by all eligible services on that account.</w:t>
      </w:r>
    </w:p>
    <w:p w14:paraId="3DB7AADF" w14:textId="77777777" w:rsidR="000D07EA" w:rsidRDefault="00BE7C89">
      <w:pPr>
        <w:pStyle w:val="Heading7"/>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services on any</w:t>
      </w:r>
      <w:r>
        <w:t xml:space="preserve"> My Plan Plus, My Plan Plus SIM Only, My Plan Business (including Tech Fund), My Plan Business SIM, My Mobile Broadband Plus or Mobile Broadband Business plans</w:t>
      </w:r>
      <w:r>
        <w:rPr>
          <w:snapToGrid w:val="0"/>
        </w:rPr>
        <w:t xml:space="preserve"> to share data, they need to be on separate billing accounts. .</w:t>
      </w:r>
    </w:p>
    <w:p w14:paraId="4A22F35E" w14:textId="77777777" w:rsidR="000D07EA" w:rsidRDefault="00BE7C89">
      <w:pPr>
        <w:pStyle w:val="Heading7"/>
        <w:rPr>
          <w:snapToGrid w:val="0"/>
        </w:rPr>
      </w:pPr>
      <w:r>
        <w:rPr>
          <w:snapToGrid w:val="0"/>
        </w:rPr>
        <w:t>Data sharing is only available within Australia.</w:t>
      </w:r>
    </w:p>
    <w:p w14:paraId="39DF4C7E" w14:textId="77777777" w:rsidR="000D07EA" w:rsidRDefault="00BE7C89">
      <w:pPr>
        <w:pStyle w:val="Heading6"/>
        <w:ind w:left="0" w:firstLine="0"/>
        <w:rPr>
          <w:snapToGrid w:val="0"/>
        </w:rPr>
      </w:pPr>
      <w:bookmarkStart w:id="1332" w:name="_Toc447189777"/>
      <w:bookmarkStart w:id="1333" w:name="_Toc452734335"/>
      <w:r>
        <w:rPr>
          <w:snapToGrid w:val="0"/>
        </w:rPr>
        <w:t>Unlimited standard national SMS and MMS</w:t>
      </w:r>
      <w:bookmarkEnd w:id="1332"/>
      <w:bookmarkEnd w:id="1333"/>
    </w:p>
    <w:p w14:paraId="46865477" w14:textId="77777777" w:rsidR="000D07EA" w:rsidRDefault="00BE7C89">
      <w:pPr>
        <w:pStyle w:val="BodyText"/>
        <w:ind w:left="720"/>
      </w:pPr>
      <w:r>
        <w:rPr>
          <w:i/>
        </w:rPr>
        <w:t>You</w:t>
      </w:r>
      <w:r>
        <w:t xml:space="preserve"> may send unlimited standard SMS and MMS to Australian mobiles from within Australia.</w:t>
      </w:r>
    </w:p>
    <w:p w14:paraId="2A633924" w14:textId="77777777" w:rsidR="000D07EA" w:rsidRDefault="00BE7C89">
      <w:pPr>
        <w:pStyle w:val="BodyText"/>
        <w:ind w:left="720"/>
      </w:pPr>
      <w:r>
        <w:t xml:space="preserve">Unlimited standard national SMS and MMS are only available for personal and ordinary business use and are not to be used for a commercial or non-ordinary purpose as set out in the </w:t>
      </w:r>
      <w:hyperlink r:id="rId660" w:history="1">
        <w:r>
          <w:rPr>
            <w:rStyle w:val="Hyperlink"/>
            <w:rFonts w:cs="Arial"/>
            <w:i/>
          </w:rPr>
          <w:t>Fair Go Policy</w:t>
        </w:r>
      </w:hyperlink>
      <w:r>
        <w:t xml:space="preserve">. For further details refer to </w:t>
      </w:r>
      <w:hyperlink r:id="rId661" w:history="1">
        <w:r>
          <w:rPr>
            <w:rStyle w:val="Hyperlink"/>
            <w:i/>
          </w:rPr>
          <w:t>Appendix S</w:t>
        </w:r>
      </w:hyperlink>
      <w:r>
        <w:t>.</w:t>
      </w:r>
    </w:p>
    <w:p w14:paraId="3B93E0BC" w14:textId="77777777" w:rsidR="000D07EA" w:rsidRDefault="00BE7C89">
      <w:pPr>
        <w:pStyle w:val="Heading6"/>
        <w:ind w:left="0" w:firstLine="0"/>
        <w:rPr>
          <w:snapToGrid w:val="0"/>
        </w:rPr>
      </w:pPr>
      <w:bookmarkStart w:id="1334" w:name="_Toc447189778"/>
      <w:bookmarkStart w:id="1335" w:name="_Toc452734336"/>
      <w:r>
        <w:rPr>
          <w:snapToGrid w:val="0"/>
        </w:rPr>
        <w:t>Unlimited standard international SMS and MMS</w:t>
      </w:r>
      <w:bookmarkEnd w:id="1334"/>
      <w:bookmarkEnd w:id="1335"/>
    </w:p>
    <w:p w14:paraId="33217127" w14:textId="77777777" w:rsidR="000D07EA" w:rsidRDefault="00BE7C89">
      <w:pPr>
        <w:pStyle w:val="BodyText"/>
        <w:ind w:left="720"/>
      </w:pPr>
      <w:r>
        <w:rPr>
          <w:i/>
        </w:rPr>
        <w:t>You</w:t>
      </w:r>
      <w:r>
        <w:t xml:space="preserve"> may send unlimited standard SMS and MMS to selected countries as set out in Table 3 below.</w:t>
      </w:r>
    </w:p>
    <w:p w14:paraId="24FEAB61" w14:textId="77777777" w:rsidR="000D07EA" w:rsidRDefault="00BE7C89">
      <w:pPr>
        <w:pStyle w:val="BodyText"/>
        <w:ind w:left="720"/>
      </w:pPr>
      <w:r>
        <w:t xml:space="preserve">Unlimited standard SMS and MMS are only available for personal and ordinary business use and are not to be used for a commercial or non-ordinary purpose as set out in the Fair Go Policy. For further details refer to </w:t>
      </w:r>
      <w:hyperlink r:id="rId662" w:history="1">
        <w:r>
          <w:rPr>
            <w:rStyle w:val="Hyperlink"/>
            <w:i/>
          </w:rPr>
          <w:t>Appendix S</w:t>
        </w:r>
      </w:hyperlink>
      <w:r>
        <w:t>.</w:t>
      </w:r>
    </w:p>
    <w:p w14:paraId="59016348" w14:textId="77777777" w:rsidR="000D07EA" w:rsidRDefault="00BE7C89">
      <w:pPr>
        <w:pStyle w:val="Heading6"/>
        <w:ind w:left="0" w:firstLine="0"/>
        <w:rPr>
          <w:snapToGrid w:val="0"/>
        </w:rPr>
      </w:pPr>
      <w:bookmarkStart w:id="1336" w:name="_Toc447189779"/>
      <w:bookmarkStart w:id="1337" w:name="_Toc452734337"/>
      <w:r>
        <w:rPr>
          <w:snapToGrid w:val="0"/>
        </w:rPr>
        <w:t>Additional benefit – Handset Credit</w:t>
      </w:r>
      <w:bookmarkEnd w:id="1336"/>
      <w:bookmarkEnd w:id="1337"/>
    </w:p>
    <w:p w14:paraId="254AA018" w14:textId="77777777" w:rsidR="000D07EA" w:rsidRDefault="00BE7C89">
      <w:pPr>
        <w:pStyle w:val="Heading7"/>
      </w:pPr>
      <w:r>
        <w:rPr>
          <w:i/>
        </w:rPr>
        <w:t xml:space="preserve">When you </w:t>
      </w:r>
      <w:r>
        <w:t>connect to a My Plan Business which has a monthly phone credit ('</w:t>
      </w:r>
      <w:r>
        <w:rPr>
          <w:b/>
        </w:rPr>
        <w:t>Handset Credit</w:t>
      </w:r>
      <w:r>
        <w:t xml:space="preserve">') each month for </w:t>
      </w:r>
      <w:r>
        <w:rPr>
          <w:i/>
        </w:rPr>
        <w:t>your minimum term</w:t>
      </w:r>
      <w:r>
        <w:t xml:space="preserve">, this will reduce the monthly repayment costs of the handset </w:t>
      </w:r>
      <w:r>
        <w:rPr>
          <w:i/>
        </w:rPr>
        <w:t xml:space="preserve">you </w:t>
      </w:r>
      <w:r>
        <w:t xml:space="preserve">have chosen with </w:t>
      </w:r>
      <w:r>
        <w:rPr>
          <w:i/>
        </w:rPr>
        <w:t>your pricing plan</w:t>
      </w:r>
      <w:r>
        <w:t xml:space="preserve">. </w:t>
      </w:r>
    </w:p>
    <w:p w14:paraId="3AEC7184" w14:textId="77777777" w:rsidR="000D07EA" w:rsidRDefault="00BE7C89">
      <w:pPr>
        <w:pStyle w:val="Heading7"/>
        <w:rPr>
          <w:i/>
        </w:rPr>
      </w:pPr>
      <w:r>
        <w:t xml:space="preserve">If </w:t>
      </w:r>
      <w:r>
        <w:rPr>
          <w:i/>
        </w:rPr>
        <w:t>you</w:t>
      </w:r>
      <w:r>
        <w:t xml:space="preserve"> </w:t>
      </w:r>
      <w:r>
        <w:rPr>
          <w:i/>
        </w:rPr>
        <w:t>cancel your pricing plan</w:t>
      </w:r>
      <w:r>
        <w:t xml:space="preserve"> or the </w:t>
      </w:r>
      <w:r>
        <w:rPr>
          <w:i/>
        </w:rPr>
        <w:t xml:space="preserve">mobile equipment payment plan </w:t>
      </w:r>
      <w:r>
        <w:t xml:space="preserve">during </w:t>
      </w:r>
      <w:r>
        <w:rPr>
          <w:i/>
        </w:rPr>
        <w:t>your minimum term</w:t>
      </w:r>
      <w:r>
        <w:t xml:space="preserve">, </w:t>
      </w:r>
      <w:r>
        <w:rPr>
          <w:i/>
        </w:rPr>
        <w:t>you</w:t>
      </w:r>
      <w:r>
        <w:t xml:space="preserve"> will no longer be entitled to these Handset Credits and </w:t>
      </w:r>
      <w:r>
        <w:rPr>
          <w:i/>
        </w:rPr>
        <w:t>you</w:t>
      </w:r>
      <w:r>
        <w:t xml:space="preserve"> must pay the remaining handset repayments in full in addition to any </w:t>
      </w:r>
      <w:r>
        <w:rPr>
          <w:i/>
        </w:rPr>
        <w:t xml:space="preserve">cancellation fee. </w:t>
      </w:r>
    </w:p>
    <w:p w14:paraId="1BCBA2A8" w14:textId="77777777" w:rsidR="000D07EA" w:rsidRDefault="00BE7C89">
      <w:pPr>
        <w:pStyle w:val="Heading7"/>
        <w:rPr>
          <w:i/>
        </w:rPr>
      </w:pPr>
      <w:r>
        <w:t xml:space="preserve">If you elect to keep your mobile phone when exercising New Phone Trade Up you will no longer be entitled to the Handset Credit and you will be required to pay the remaining handset repayments in full. </w:t>
      </w:r>
    </w:p>
    <w:p w14:paraId="6E2BC85E" w14:textId="77777777" w:rsidR="000D07EA" w:rsidRDefault="00BE7C89">
      <w:pPr>
        <w:pStyle w:val="BodyText"/>
        <w:ind w:left="720"/>
        <w:rPr>
          <w:b/>
        </w:rPr>
      </w:pPr>
      <w:r>
        <w:rPr>
          <w:b/>
        </w:rPr>
        <w:t>Table 1 –Plan Inclusions and Charges</w:t>
      </w:r>
    </w:p>
    <w:tbl>
      <w:tblPr>
        <w:tblW w:w="4531"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5"/>
        <w:gridCol w:w="4727"/>
      </w:tblGrid>
      <w:tr w:rsidR="000D07EA" w14:paraId="5A0C4585" w14:textId="77777777">
        <w:trPr>
          <w:trHeight w:val="54"/>
        </w:trPr>
        <w:tc>
          <w:tcPr>
            <w:tcW w:w="2440" w:type="pct"/>
            <w:shd w:val="clear" w:color="auto" w:fill="auto"/>
          </w:tcPr>
          <w:p w14:paraId="20B2A6FA" w14:textId="77777777" w:rsidR="000D07EA" w:rsidRDefault="000D07EA">
            <w:pPr>
              <w:pStyle w:val="BodyText"/>
              <w:spacing w:before="100" w:after="100"/>
              <w:rPr>
                <w:szCs w:val="20"/>
              </w:rPr>
            </w:pPr>
          </w:p>
        </w:tc>
        <w:tc>
          <w:tcPr>
            <w:tcW w:w="2560" w:type="pct"/>
            <w:vAlign w:val="center"/>
          </w:tcPr>
          <w:p w14:paraId="00BC7CCC" w14:textId="77777777" w:rsidR="000D07EA" w:rsidRDefault="00BE7C89">
            <w:pPr>
              <w:pStyle w:val="BodyText"/>
              <w:spacing w:before="100" w:after="100"/>
              <w:jc w:val="center"/>
              <w:rPr>
                <w:b/>
                <w:szCs w:val="20"/>
              </w:rPr>
            </w:pPr>
            <w:r>
              <w:rPr>
                <w:b/>
                <w:szCs w:val="20"/>
              </w:rPr>
              <w:t>$40 My Plan Business</w:t>
            </w:r>
          </w:p>
        </w:tc>
      </w:tr>
      <w:tr w:rsidR="000D07EA" w14:paraId="6D835F18" w14:textId="77777777">
        <w:tc>
          <w:tcPr>
            <w:tcW w:w="2440" w:type="pct"/>
            <w:shd w:val="clear" w:color="auto" w:fill="auto"/>
          </w:tcPr>
          <w:p w14:paraId="23D3EDFD" w14:textId="77777777" w:rsidR="000D07EA" w:rsidRDefault="00BE7C89">
            <w:pPr>
              <w:pStyle w:val="BodyText"/>
              <w:spacing w:before="100" w:after="100"/>
              <w:rPr>
                <w:szCs w:val="20"/>
              </w:rPr>
            </w:pPr>
            <w:r>
              <w:rPr>
                <w:b/>
                <w:bCs/>
                <w:szCs w:val="20"/>
              </w:rPr>
              <w:t>Minimum Monthly charge</w:t>
            </w:r>
          </w:p>
        </w:tc>
        <w:tc>
          <w:tcPr>
            <w:tcW w:w="2560" w:type="pct"/>
            <w:vAlign w:val="center"/>
          </w:tcPr>
          <w:p w14:paraId="145DCCB8" w14:textId="77777777" w:rsidR="000D07EA" w:rsidRDefault="00BE7C89">
            <w:pPr>
              <w:pStyle w:val="BodyText"/>
              <w:spacing w:before="100" w:after="100"/>
              <w:jc w:val="center"/>
              <w:rPr>
                <w:szCs w:val="20"/>
              </w:rPr>
            </w:pPr>
            <w:r>
              <w:rPr>
                <w:szCs w:val="20"/>
              </w:rPr>
              <w:t>$40</w:t>
            </w:r>
          </w:p>
        </w:tc>
      </w:tr>
      <w:tr w:rsidR="000D07EA" w14:paraId="72559E5A" w14:textId="77777777">
        <w:tc>
          <w:tcPr>
            <w:tcW w:w="2440" w:type="pct"/>
            <w:shd w:val="clear" w:color="auto" w:fill="auto"/>
          </w:tcPr>
          <w:p w14:paraId="63E41B05" w14:textId="77777777" w:rsidR="000D07EA" w:rsidRDefault="00BE7C89">
            <w:pPr>
              <w:pStyle w:val="BodyText"/>
              <w:spacing w:before="100" w:after="100"/>
              <w:rPr>
                <w:szCs w:val="20"/>
              </w:rPr>
            </w:pPr>
            <w:r>
              <w:rPr>
                <w:b/>
                <w:bCs/>
                <w:szCs w:val="20"/>
              </w:rPr>
              <w:t>Included Data</w:t>
            </w:r>
          </w:p>
        </w:tc>
        <w:tc>
          <w:tcPr>
            <w:tcW w:w="2560" w:type="pct"/>
            <w:vAlign w:val="center"/>
          </w:tcPr>
          <w:p w14:paraId="40ED8009" w14:textId="77777777" w:rsidR="000D07EA" w:rsidRDefault="00BE7C89">
            <w:pPr>
              <w:pStyle w:val="BodyText"/>
              <w:spacing w:before="100" w:after="100"/>
              <w:jc w:val="center"/>
              <w:rPr>
                <w:szCs w:val="20"/>
              </w:rPr>
            </w:pPr>
            <w:r>
              <w:rPr>
                <w:szCs w:val="20"/>
              </w:rPr>
              <w:t>1GB</w:t>
            </w:r>
          </w:p>
        </w:tc>
      </w:tr>
      <w:tr w:rsidR="000D07EA" w14:paraId="47192D3C" w14:textId="77777777">
        <w:tc>
          <w:tcPr>
            <w:tcW w:w="2440" w:type="pct"/>
            <w:shd w:val="clear" w:color="auto" w:fill="auto"/>
          </w:tcPr>
          <w:p w14:paraId="59A8CEAA" w14:textId="77777777" w:rsidR="000D07EA" w:rsidRDefault="00BE7C89">
            <w:pPr>
              <w:pStyle w:val="BodyText"/>
              <w:spacing w:before="100" w:after="100"/>
              <w:rPr>
                <w:b/>
                <w:bCs/>
                <w:szCs w:val="20"/>
              </w:rPr>
            </w:pPr>
            <w:r>
              <w:rPr>
                <w:b/>
                <w:bCs/>
                <w:szCs w:val="20"/>
              </w:rPr>
              <w:t>Additional Data</w:t>
            </w:r>
          </w:p>
        </w:tc>
        <w:tc>
          <w:tcPr>
            <w:tcW w:w="2560" w:type="pct"/>
            <w:vAlign w:val="center"/>
          </w:tcPr>
          <w:p w14:paraId="3C0D4638" w14:textId="77777777" w:rsidR="000D07EA" w:rsidRDefault="00BE7C89">
            <w:pPr>
              <w:pStyle w:val="BodyText"/>
              <w:spacing w:before="100" w:after="100"/>
              <w:jc w:val="center"/>
              <w:rPr>
                <w:szCs w:val="20"/>
              </w:rPr>
            </w:pPr>
            <w:r>
              <w:rPr>
                <w:szCs w:val="20"/>
              </w:rPr>
              <w:t>Additional data $10 per 1GB</w:t>
            </w:r>
          </w:p>
          <w:p w14:paraId="644BB2D9" w14:textId="77777777" w:rsidR="000D07EA" w:rsidRDefault="000D07EA">
            <w:pPr>
              <w:pStyle w:val="BodyText"/>
              <w:spacing w:before="100" w:after="100"/>
              <w:jc w:val="center"/>
              <w:rPr>
                <w:szCs w:val="20"/>
              </w:rPr>
            </w:pPr>
          </w:p>
        </w:tc>
      </w:tr>
      <w:tr w:rsidR="000D07EA" w14:paraId="47ADA9E9" w14:textId="77777777">
        <w:tc>
          <w:tcPr>
            <w:tcW w:w="2440" w:type="pct"/>
            <w:shd w:val="clear" w:color="auto" w:fill="auto"/>
          </w:tcPr>
          <w:p w14:paraId="2BE9410C" w14:textId="77777777" w:rsidR="000D07EA" w:rsidRDefault="00BE7C89">
            <w:pPr>
              <w:pStyle w:val="BodyText"/>
              <w:spacing w:before="100" w:after="100"/>
              <w:rPr>
                <w:szCs w:val="20"/>
              </w:rPr>
            </w:pPr>
            <w:r>
              <w:rPr>
                <w:b/>
                <w:bCs/>
                <w:szCs w:val="20"/>
              </w:rPr>
              <w:t xml:space="preserve">Included Minutes </w:t>
            </w:r>
            <w:r>
              <w:rPr>
                <w:szCs w:val="20"/>
              </w:rPr>
              <w:t>for standard national calls to landlines and mobiles, 1300 numbers and voicemail, within Australia</w:t>
            </w:r>
          </w:p>
        </w:tc>
        <w:tc>
          <w:tcPr>
            <w:tcW w:w="2560" w:type="pct"/>
            <w:vAlign w:val="center"/>
          </w:tcPr>
          <w:p w14:paraId="2E713291" w14:textId="77777777" w:rsidR="000D07EA" w:rsidRDefault="00BE7C89">
            <w:pPr>
              <w:pStyle w:val="BodyText"/>
              <w:spacing w:before="100" w:after="100"/>
              <w:jc w:val="center"/>
              <w:rPr>
                <w:szCs w:val="20"/>
              </w:rPr>
            </w:pPr>
            <w:r>
              <w:rPr>
                <w:szCs w:val="20"/>
              </w:rPr>
              <w:t>Unlimited</w:t>
            </w:r>
          </w:p>
        </w:tc>
      </w:tr>
      <w:tr w:rsidR="000D07EA" w14:paraId="609259BB" w14:textId="77777777">
        <w:tc>
          <w:tcPr>
            <w:tcW w:w="2440" w:type="pct"/>
            <w:shd w:val="clear" w:color="auto" w:fill="auto"/>
          </w:tcPr>
          <w:p w14:paraId="6C5C2330" w14:textId="77777777" w:rsidR="000D07EA" w:rsidRDefault="00BE7C89">
            <w:pPr>
              <w:pStyle w:val="BodyText"/>
              <w:spacing w:before="100" w:after="100"/>
              <w:rPr>
                <w:b/>
                <w:bCs/>
                <w:szCs w:val="20"/>
              </w:rPr>
            </w:pPr>
            <w:r>
              <w:rPr>
                <w:b/>
                <w:bCs/>
                <w:szCs w:val="20"/>
              </w:rPr>
              <w:t>Included International Minutes</w:t>
            </w:r>
          </w:p>
          <w:p w14:paraId="25BED696" w14:textId="77777777" w:rsidR="000D07EA" w:rsidRDefault="00BE7C89">
            <w:pPr>
              <w:pStyle w:val="BodyText"/>
              <w:spacing w:before="100" w:after="100"/>
              <w:rPr>
                <w:b/>
                <w:bCs/>
                <w:szCs w:val="20"/>
              </w:rPr>
            </w:pPr>
            <w:r>
              <w:rPr>
                <w:szCs w:val="20"/>
              </w:rPr>
              <w:t xml:space="preserve">Standard international calls to landlines and mobiles to selected countries </w:t>
            </w:r>
          </w:p>
        </w:tc>
        <w:tc>
          <w:tcPr>
            <w:tcW w:w="2560" w:type="pct"/>
            <w:vAlign w:val="center"/>
          </w:tcPr>
          <w:p w14:paraId="253AEC92" w14:textId="77777777" w:rsidR="000D07EA" w:rsidRDefault="00BE7C89">
            <w:pPr>
              <w:pStyle w:val="BodyText"/>
              <w:spacing w:before="100" w:after="100"/>
              <w:jc w:val="center"/>
              <w:rPr>
                <w:szCs w:val="20"/>
              </w:rPr>
            </w:pPr>
            <w:r>
              <w:rPr>
                <w:szCs w:val="20"/>
              </w:rPr>
              <w:t>Not included</w:t>
            </w:r>
          </w:p>
        </w:tc>
      </w:tr>
      <w:tr w:rsidR="000D07EA" w14:paraId="2A66771F" w14:textId="77777777">
        <w:tc>
          <w:tcPr>
            <w:tcW w:w="2440" w:type="pct"/>
            <w:shd w:val="clear" w:color="auto" w:fill="auto"/>
          </w:tcPr>
          <w:p w14:paraId="698939B7" w14:textId="77777777" w:rsidR="000D07EA" w:rsidRDefault="00BE7C89">
            <w:pPr>
              <w:pStyle w:val="BodyText"/>
              <w:spacing w:before="100" w:after="100"/>
              <w:rPr>
                <w:szCs w:val="20"/>
              </w:rPr>
            </w:pPr>
            <w:r>
              <w:rPr>
                <w:b/>
                <w:bCs/>
                <w:szCs w:val="20"/>
              </w:rPr>
              <w:lastRenderedPageBreak/>
              <w:t xml:space="preserve">Standard national SMS </w:t>
            </w:r>
            <w:r>
              <w:rPr>
                <w:szCs w:val="20"/>
              </w:rPr>
              <w:t>(per SMS of up to 160 standard characters)</w:t>
            </w:r>
          </w:p>
        </w:tc>
        <w:tc>
          <w:tcPr>
            <w:tcW w:w="2560" w:type="pct"/>
            <w:vAlign w:val="center"/>
          </w:tcPr>
          <w:p w14:paraId="50781911" w14:textId="77777777" w:rsidR="000D07EA" w:rsidRDefault="00BE7C89">
            <w:pPr>
              <w:pStyle w:val="BodyText"/>
              <w:spacing w:before="100" w:after="100"/>
              <w:jc w:val="center"/>
              <w:rPr>
                <w:szCs w:val="20"/>
              </w:rPr>
            </w:pPr>
            <w:r>
              <w:rPr>
                <w:szCs w:val="20"/>
              </w:rPr>
              <w:t>Unlimited</w:t>
            </w:r>
          </w:p>
        </w:tc>
      </w:tr>
      <w:tr w:rsidR="000D07EA" w14:paraId="23147823" w14:textId="77777777">
        <w:tc>
          <w:tcPr>
            <w:tcW w:w="2440" w:type="pct"/>
            <w:shd w:val="clear" w:color="auto" w:fill="auto"/>
          </w:tcPr>
          <w:p w14:paraId="37F4A0DA" w14:textId="77777777" w:rsidR="000D07EA" w:rsidRDefault="00BE7C89">
            <w:pPr>
              <w:pStyle w:val="BodyText"/>
              <w:spacing w:before="100" w:after="100"/>
              <w:rPr>
                <w:b/>
                <w:bCs/>
                <w:szCs w:val="20"/>
              </w:rPr>
            </w:pPr>
            <w:r>
              <w:rPr>
                <w:b/>
                <w:bCs/>
                <w:szCs w:val="20"/>
              </w:rPr>
              <w:t xml:space="preserve">Standard national MMS </w:t>
            </w:r>
            <w:r>
              <w:rPr>
                <w:szCs w:val="20"/>
              </w:rPr>
              <w:t>(per message)</w:t>
            </w:r>
          </w:p>
        </w:tc>
        <w:tc>
          <w:tcPr>
            <w:tcW w:w="2560" w:type="pct"/>
            <w:vAlign w:val="center"/>
          </w:tcPr>
          <w:p w14:paraId="3ECB94B3" w14:textId="77777777" w:rsidR="000D07EA" w:rsidRDefault="00BE7C89">
            <w:pPr>
              <w:pStyle w:val="BodyText"/>
              <w:spacing w:before="100" w:after="100"/>
              <w:jc w:val="center"/>
              <w:rPr>
                <w:szCs w:val="20"/>
              </w:rPr>
            </w:pPr>
            <w:r>
              <w:rPr>
                <w:szCs w:val="20"/>
              </w:rPr>
              <w:t>Unlimited</w:t>
            </w:r>
          </w:p>
        </w:tc>
      </w:tr>
      <w:tr w:rsidR="000D07EA" w14:paraId="2CA5439B" w14:textId="77777777">
        <w:tc>
          <w:tcPr>
            <w:tcW w:w="2440" w:type="pct"/>
            <w:shd w:val="clear" w:color="auto" w:fill="auto"/>
          </w:tcPr>
          <w:p w14:paraId="635199C6" w14:textId="77777777" w:rsidR="000D07EA" w:rsidRDefault="00BE7C89">
            <w:pPr>
              <w:pStyle w:val="BodyText"/>
              <w:spacing w:before="100" w:after="100"/>
              <w:rPr>
                <w:b/>
                <w:bCs/>
                <w:szCs w:val="20"/>
              </w:rPr>
            </w:pPr>
            <w:r>
              <w:rPr>
                <w:b/>
                <w:bCs/>
                <w:szCs w:val="20"/>
              </w:rPr>
              <w:t xml:space="preserve">Standard international SMS </w:t>
            </w:r>
            <w:r>
              <w:rPr>
                <w:szCs w:val="20"/>
              </w:rPr>
              <w:t>(per SMS of up to 160 standard characters to selected countries)</w:t>
            </w:r>
          </w:p>
        </w:tc>
        <w:tc>
          <w:tcPr>
            <w:tcW w:w="2560" w:type="pct"/>
            <w:vAlign w:val="center"/>
          </w:tcPr>
          <w:p w14:paraId="4C853093" w14:textId="77777777" w:rsidR="000D07EA" w:rsidRDefault="00BE7C89">
            <w:pPr>
              <w:pStyle w:val="BodyText"/>
              <w:spacing w:before="100" w:after="100"/>
              <w:jc w:val="center"/>
              <w:rPr>
                <w:szCs w:val="20"/>
              </w:rPr>
            </w:pPr>
            <w:r>
              <w:rPr>
                <w:szCs w:val="20"/>
              </w:rPr>
              <w:t>Unlimited</w:t>
            </w:r>
          </w:p>
        </w:tc>
      </w:tr>
      <w:tr w:rsidR="000D07EA" w14:paraId="62B93CE8" w14:textId="77777777">
        <w:tc>
          <w:tcPr>
            <w:tcW w:w="2440" w:type="pct"/>
            <w:shd w:val="clear" w:color="auto" w:fill="auto"/>
          </w:tcPr>
          <w:p w14:paraId="5B1F60BB" w14:textId="77777777" w:rsidR="000D07EA" w:rsidRDefault="00BE7C89">
            <w:pPr>
              <w:pStyle w:val="BodyText"/>
              <w:spacing w:before="100" w:after="100"/>
              <w:rPr>
                <w:b/>
                <w:bCs/>
                <w:szCs w:val="20"/>
              </w:rPr>
            </w:pPr>
            <w:r>
              <w:rPr>
                <w:b/>
                <w:bCs/>
                <w:szCs w:val="20"/>
              </w:rPr>
              <w:t xml:space="preserve">Standard international MMS </w:t>
            </w:r>
            <w:r>
              <w:rPr>
                <w:szCs w:val="20"/>
              </w:rPr>
              <w:t>(per message to selected countries)</w:t>
            </w:r>
          </w:p>
        </w:tc>
        <w:tc>
          <w:tcPr>
            <w:tcW w:w="2560" w:type="pct"/>
            <w:vAlign w:val="center"/>
          </w:tcPr>
          <w:p w14:paraId="5DCED474" w14:textId="77777777" w:rsidR="000D07EA" w:rsidRDefault="00BE7C89">
            <w:pPr>
              <w:pStyle w:val="BodyText"/>
              <w:spacing w:before="100" w:after="100"/>
              <w:jc w:val="center"/>
              <w:rPr>
                <w:szCs w:val="20"/>
              </w:rPr>
            </w:pPr>
            <w:r>
              <w:rPr>
                <w:szCs w:val="20"/>
              </w:rPr>
              <w:t>Unlimited</w:t>
            </w:r>
          </w:p>
        </w:tc>
      </w:tr>
      <w:tr w:rsidR="000D07EA" w14:paraId="766FBB30" w14:textId="77777777">
        <w:tc>
          <w:tcPr>
            <w:tcW w:w="2440" w:type="pct"/>
            <w:shd w:val="clear" w:color="auto" w:fill="auto"/>
          </w:tcPr>
          <w:p w14:paraId="77627728" w14:textId="77777777" w:rsidR="000D07EA" w:rsidRDefault="00BE7C89">
            <w:pPr>
              <w:pStyle w:val="BodyText"/>
              <w:spacing w:before="100" w:after="100"/>
              <w:rPr>
                <w:b/>
                <w:bCs/>
                <w:szCs w:val="20"/>
              </w:rPr>
            </w:pPr>
            <w:r>
              <w:rPr>
                <w:b/>
                <w:bCs/>
                <w:snapToGrid w:val="0"/>
                <w:szCs w:val="20"/>
              </w:rPr>
              <w:t>Optus Travel™ Pack</w:t>
            </w:r>
          </w:p>
        </w:tc>
        <w:tc>
          <w:tcPr>
            <w:tcW w:w="2560" w:type="pct"/>
            <w:vAlign w:val="center"/>
          </w:tcPr>
          <w:p w14:paraId="1782226F" w14:textId="77777777" w:rsidR="000D07EA" w:rsidRDefault="00BE7C89">
            <w:pPr>
              <w:pStyle w:val="BodyText"/>
              <w:spacing w:before="100" w:after="100"/>
              <w:jc w:val="center"/>
              <w:rPr>
                <w:szCs w:val="20"/>
              </w:rPr>
            </w:pPr>
            <w:r>
              <w:rPr>
                <w:szCs w:val="20"/>
              </w:rPr>
              <w:t>Not applicable</w:t>
            </w:r>
          </w:p>
        </w:tc>
      </w:tr>
      <w:tr w:rsidR="000D07EA" w14:paraId="5F00312A" w14:textId="77777777">
        <w:tc>
          <w:tcPr>
            <w:tcW w:w="2440" w:type="pct"/>
            <w:shd w:val="clear" w:color="auto" w:fill="auto"/>
          </w:tcPr>
          <w:p w14:paraId="376D097D" w14:textId="77777777" w:rsidR="000D07EA" w:rsidRDefault="00BE7C89">
            <w:pPr>
              <w:pStyle w:val="BodyText"/>
              <w:spacing w:before="100" w:after="100"/>
              <w:rPr>
                <w:b/>
                <w:bCs/>
                <w:szCs w:val="20"/>
              </w:rPr>
            </w:pPr>
            <w:r>
              <w:rPr>
                <w:b/>
                <w:bCs/>
                <w:szCs w:val="20"/>
              </w:rPr>
              <w:t xml:space="preserve">Minimum total cost over 24 months </w:t>
            </w:r>
          </w:p>
        </w:tc>
        <w:tc>
          <w:tcPr>
            <w:tcW w:w="2560" w:type="pct"/>
            <w:vAlign w:val="center"/>
          </w:tcPr>
          <w:p w14:paraId="6D11CD5C" w14:textId="77777777" w:rsidR="000D07EA" w:rsidRDefault="00BE7C89">
            <w:pPr>
              <w:pStyle w:val="BodyText"/>
              <w:spacing w:before="100" w:after="100"/>
              <w:jc w:val="center"/>
              <w:rPr>
                <w:szCs w:val="20"/>
              </w:rPr>
            </w:pPr>
            <w:r>
              <w:rPr>
                <w:szCs w:val="20"/>
              </w:rPr>
              <w:t>$960</w:t>
            </w:r>
          </w:p>
        </w:tc>
      </w:tr>
    </w:tbl>
    <w:p w14:paraId="256B0415" w14:textId="77777777" w:rsidR="000D07EA" w:rsidRDefault="000D07EA">
      <w:pPr>
        <w:pStyle w:val="BodyText"/>
      </w:pPr>
    </w:p>
    <w:p w14:paraId="15885BB8" w14:textId="77777777" w:rsidR="000D07EA" w:rsidRDefault="00BE7C89">
      <w:pPr>
        <w:pStyle w:val="BodyText"/>
        <w:ind w:left="720"/>
        <w:rPr>
          <w:b/>
        </w:rPr>
      </w:pPr>
      <w:r>
        <w:rPr>
          <w:b/>
        </w:rPr>
        <w:t>Table 2 – Other usage types and charges</w:t>
      </w: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0"/>
        <w:gridCol w:w="4320"/>
      </w:tblGrid>
      <w:tr w:rsidR="000D07EA" w14:paraId="1275ECAC" w14:textId="77777777">
        <w:tc>
          <w:tcPr>
            <w:tcW w:w="4410" w:type="dxa"/>
            <w:shd w:val="clear" w:color="auto" w:fill="auto"/>
          </w:tcPr>
          <w:p w14:paraId="2B335D43" w14:textId="77777777" w:rsidR="000D07EA" w:rsidRDefault="00BE7C89">
            <w:pPr>
              <w:pStyle w:val="BodyText"/>
              <w:spacing w:before="100" w:after="100"/>
              <w:rPr>
                <w:b/>
              </w:rPr>
            </w:pPr>
            <w:r>
              <w:rPr>
                <w:b/>
              </w:rPr>
              <w:t>Usage type</w:t>
            </w:r>
          </w:p>
        </w:tc>
        <w:tc>
          <w:tcPr>
            <w:tcW w:w="4320" w:type="dxa"/>
            <w:shd w:val="clear" w:color="auto" w:fill="auto"/>
            <w:vAlign w:val="center"/>
          </w:tcPr>
          <w:p w14:paraId="6C8DAEC0" w14:textId="77777777" w:rsidR="000D07EA" w:rsidRDefault="00BE7C89">
            <w:pPr>
              <w:pStyle w:val="BodyText"/>
              <w:spacing w:before="100" w:after="100"/>
              <w:jc w:val="center"/>
              <w:rPr>
                <w:b/>
              </w:rPr>
            </w:pPr>
            <w:r>
              <w:rPr>
                <w:b/>
              </w:rPr>
              <w:t>Charge</w:t>
            </w:r>
          </w:p>
        </w:tc>
      </w:tr>
      <w:tr w:rsidR="000D07EA" w14:paraId="46E447E4" w14:textId="77777777">
        <w:tc>
          <w:tcPr>
            <w:tcW w:w="4410" w:type="dxa"/>
            <w:shd w:val="clear" w:color="auto" w:fill="auto"/>
          </w:tcPr>
          <w:p w14:paraId="51052BC5" w14:textId="77777777" w:rsidR="000D07EA" w:rsidRDefault="00BE7C89">
            <w:pPr>
              <w:pStyle w:val="BodyText"/>
              <w:spacing w:before="100" w:after="100"/>
              <w:rPr>
                <w:b/>
              </w:rPr>
            </w:pPr>
            <w:r>
              <w:rPr>
                <w:b/>
                <w:bCs/>
              </w:rPr>
              <w:t xml:space="preserve">National video calls </w:t>
            </w:r>
            <w:r>
              <w:t>(per minute)</w:t>
            </w:r>
          </w:p>
        </w:tc>
        <w:tc>
          <w:tcPr>
            <w:tcW w:w="4320" w:type="dxa"/>
            <w:shd w:val="clear" w:color="auto" w:fill="auto"/>
            <w:vAlign w:val="center"/>
          </w:tcPr>
          <w:p w14:paraId="4E6D01A0" w14:textId="77777777" w:rsidR="000D07EA" w:rsidRDefault="00BE7C89">
            <w:pPr>
              <w:pStyle w:val="BodyText"/>
              <w:spacing w:before="100" w:after="100"/>
              <w:jc w:val="center"/>
            </w:pPr>
            <w:r>
              <w:t>$1.00 per min + 40c flagfall</w:t>
            </w:r>
          </w:p>
        </w:tc>
      </w:tr>
      <w:tr w:rsidR="000D07EA" w14:paraId="5FB00678" w14:textId="77777777">
        <w:tc>
          <w:tcPr>
            <w:tcW w:w="4410" w:type="dxa"/>
            <w:shd w:val="clear" w:color="auto" w:fill="auto"/>
          </w:tcPr>
          <w:p w14:paraId="3EA6DDD4" w14:textId="77777777" w:rsidR="000D07EA" w:rsidRDefault="00BE7C89">
            <w:pPr>
              <w:pStyle w:val="BodyText"/>
              <w:spacing w:before="100" w:after="100"/>
              <w:rPr>
                <w:b/>
                <w:bCs/>
              </w:rPr>
            </w:pPr>
            <w:r>
              <w:rPr>
                <w:b/>
                <w:bCs/>
              </w:rPr>
              <w:t>National Diversions</w:t>
            </w:r>
          </w:p>
        </w:tc>
        <w:tc>
          <w:tcPr>
            <w:tcW w:w="4320" w:type="dxa"/>
            <w:shd w:val="clear" w:color="auto" w:fill="auto"/>
          </w:tcPr>
          <w:p w14:paraId="2298EC5A" w14:textId="77777777" w:rsidR="000D07EA" w:rsidRDefault="00BE7C89">
            <w:pPr>
              <w:pStyle w:val="BodyText"/>
              <w:spacing w:before="100" w:after="100"/>
              <w:jc w:val="center"/>
            </w:pPr>
            <w:r>
              <w:t>$0 per minute</w:t>
            </w:r>
          </w:p>
        </w:tc>
      </w:tr>
      <w:tr w:rsidR="000D07EA" w14:paraId="63052FA1" w14:textId="77777777">
        <w:tc>
          <w:tcPr>
            <w:tcW w:w="4410" w:type="dxa"/>
            <w:shd w:val="clear" w:color="auto" w:fill="auto"/>
          </w:tcPr>
          <w:p w14:paraId="7EF51842" w14:textId="77777777" w:rsidR="000D07EA" w:rsidRDefault="00BE7C89">
            <w:pPr>
              <w:pStyle w:val="BodyText"/>
              <w:spacing w:before="100" w:after="100"/>
              <w:rPr>
                <w:b/>
                <w:bCs/>
              </w:rPr>
            </w:pPr>
            <w:r>
              <w:rPr>
                <w:b/>
                <w:bCs/>
              </w:rPr>
              <w:t xml:space="preserve">International Diversions </w:t>
            </w:r>
          </w:p>
        </w:tc>
        <w:tc>
          <w:tcPr>
            <w:tcW w:w="4320" w:type="dxa"/>
            <w:shd w:val="clear" w:color="auto" w:fill="auto"/>
          </w:tcPr>
          <w:p w14:paraId="1BB0A70C" w14:textId="77777777" w:rsidR="000D07EA" w:rsidRDefault="00BE7C89">
            <w:pPr>
              <w:pStyle w:val="BodyText"/>
              <w:spacing w:before="100" w:after="100"/>
              <w:jc w:val="center"/>
            </w:pPr>
            <w:r>
              <w:t>'yes' international rates</w:t>
            </w:r>
            <w:r>
              <w:br/>
              <w:t>See optus.com.au/international</w:t>
            </w:r>
          </w:p>
        </w:tc>
      </w:tr>
      <w:tr w:rsidR="000D07EA" w14:paraId="78344EC1" w14:textId="77777777">
        <w:tc>
          <w:tcPr>
            <w:tcW w:w="4410" w:type="dxa"/>
            <w:shd w:val="clear" w:color="auto" w:fill="auto"/>
          </w:tcPr>
          <w:p w14:paraId="59011D23" w14:textId="77777777" w:rsidR="000D07EA" w:rsidRDefault="00BE7C89">
            <w:pPr>
              <w:pStyle w:val="BodyText"/>
              <w:spacing w:before="100" w:after="100"/>
              <w:rPr>
                <w:b/>
                <w:bCs/>
              </w:rPr>
            </w:pPr>
            <w:r>
              <w:rPr>
                <w:b/>
                <w:bCs/>
              </w:rPr>
              <w:t xml:space="preserve">1800 numbers </w:t>
            </w:r>
          </w:p>
        </w:tc>
        <w:tc>
          <w:tcPr>
            <w:tcW w:w="4320" w:type="dxa"/>
            <w:shd w:val="clear" w:color="auto" w:fill="auto"/>
            <w:vAlign w:val="center"/>
          </w:tcPr>
          <w:p w14:paraId="1AC7A5E7" w14:textId="77777777" w:rsidR="000D07EA" w:rsidRDefault="00BE7C89">
            <w:pPr>
              <w:pStyle w:val="BodyText"/>
              <w:spacing w:before="100" w:after="100"/>
              <w:jc w:val="center"/>
            </w:pPr>
            <w:r>
              <w:t>$0 per minute</w:t>
            </w:r>
          </w:p>
        </w:tc>
      </w:tr>
      <w:tr w:rsidR="000D07EA" w14:paraId="188300E7" w14:textId="77777777">
        <w:tc>
          <w:tcPr>
            <w:tcW w:w="4410" w:type="dxa"/>
            <w:shd w:val="clear" w:color="auto" w:fill="auto"/>
          </w:tcPr>
          <w:p w14:paraId="09BE3907" w14:textId="77777777" w:rsidR="000D07EA" w:rsidRDefault="00BE7C89">
            <w:pPr>
              <w:pStyle w:val="BodyText"/>
              <w:spacing w:before="100" w:after="100"/>
              <w:rPr>
                <w:b/>
                <w:bCs/>
              </w:rPr>
            </w:pPr>
            <w:r>
              <w:rPr>
                <w:b/>
                <w:bCs/>
              </w:rPr>
              <w:t xml:space="preserve">Directory Assistance 1223 </w:t>
            </w:r>
          </w:p>
        </w:tc>
        <w:tc>
          <w:tcPr>
            <w:tcW w:w="4320" w:type="dxa"/>
            <w:shd w:val="clear" w:color="auto" w:fill="auto"/>
            <w:vAlign w:val="center"/>
          </w:tcPr>
          <w:p w14:paraId="619E7F35" w14:textId="77777777" w:rsidR="000D07EA" w:rsidRDefault="00BE7C89">
            <w:pPr>
              <w:pStyle w:val="BodyText"/>
              <w:spacing w:before="100" w:after="100"/>
              <w:jc w:val="center"/>
            </w:pPr>
            <w:r>
              <w:t>50c per call</w:t>
            </w:r>
          </w:p>
        </w:tc>
      </w:tr>
      <w:tr w:rsidR="000D07EA" w14:paraId="345944F7" w14:textId="77777777">
        <w:tc>
          <w:tcPr>
            <w:tcW w:w="4410" w:type="dxa"/>
            <w:shd w:val="clear" w:color="auto" w:fill="auto"/>
          </w:tcPr>
          <w:p w14:paraId="74C65FED" w14:textId="77777777" w:rsidR="000D07EA" w:rsidRDefault="00BE7C89">
            <w:pPr>
              <w:pStyle w:val="BodyText"/>
              <w:spacing w:before="100" w:after="100"/>
              <w:rPr>
                <w:b/>
                <w:bCs/>
              </w:rPr>
            </w:pPr>
            <w:r>
              <w:rPr>
                <w:b/>
                <w:bCs/>
              </w:rPr>
              <w:t>124 Yes</w:t>
            </w:r>
          </w:p>
        </w:tc>
        <w:tc>
          <w:tcPr>
            <w:tcW w:w="4320" w:type="dxa"/>
            <w:shd w:val="clear" w:color="auto" w:fill="auto"/>
            <w:vAlign w:val="center"/>
          </w:tcPr>
          <w:p w14:paraId="795B0845" w14:textId="77777777" w:rsidR="000D07EA" w:rsidRDefault="00BE7C89">
            <w:pPr>
              <w:pStyle w:val="BodyText"/>
              <w:spacing w:before="100" w:after="100"/>
              <w:jc w:val="center"/>
            </w:pPr>
            <w:r>
              <w:t>90c per minute +$1.75c flagfall</w:t>
            </w:r>
          </w:p>
        </w:tc>
      </w:tr>
      <w:tr w:rsidR="000D07EA" w14:paraId="6026993F" w14:textId="77777777">
        <w:tc>
          <w:tcPr>
            <w:tcW w:w="4410" w:type="dxa"/>
            <w:shd w:val="clear" w:color="auto" w:fill="auto"/>
          </w:tcPr>
          <w:p w14:paraId="5FB781FC" w14:textId="77777777" w:rsidR="000D07EA" w:rsidRDefault="00BE7C89">
            <w:pPr>
              <w:pStyle w:val="BodyText"/>
              <w:spacing w:before="100" w:after="100"/>
              <w:rPr>
                <w:b/>
                <w:bCs/>
              </w:rPr>
            </w:pPr>
            <w:r>
              <w:rPr>
                <w:b/>
                <w:bCs/>
              </w:rPr>
              <w:t xml:space="preserve">International voice calls (outside the plan's included international minutes and to excluded countries) </w:t>
            </w:r>
          </w:p>
        </w:tc>
        <w:tc>
          <w:tcPr>
            <w:tcW w:w="4320" w:type="dxa"/>
            <w:shd w:val="clear" w:color="auto" w:fill="auto"/>
            <w:vAlign w:val="center"/>
          </w:tcPr>
          <w:p w14:paraId="1E027A9D" w14:textId="77777777" w:rsidR="000D07EA" w:rsidRDefault="00BE7C89">
            <w:pPr>
              <w:pStyle w:val="BodyText"/>
              <w:spacing w:before="100" w:after="100"/>
              <w:jc w:val="center"/>
            </w:pPr>
            <w:r>
              <w:t>'yes' international rates</w:t>
            </w:r>
            <w:r>
              <w:br/>
              <w:t>See optus.com.au/international</w:t>
            </w:r>
          </w:p>
        </w:tc>
      </w:tr>
      <w:tr w:rsidR="000D07EA" w14:paraId="795A94A0" w14:textId="77777777">
        <w:tc>
          <w:tcPr>
            <w:tcW w:w="4410" w:type="dxa"/>
            <w:shd w:val="clear" w:color="auto" w:fill="auto"/>
          </w:tcPr>
          <w:p w14:paraId="43D1F947" w14:textId="77777777" w:rsidR="000D07EA" w:rsidRDefault="00BE7C89">
            <w:pPr>
              <w:pStyle w:val="BodyText"/>
              <w:spacing w:before="100" w:after="100"/>
              <w:rPr>
                <w:b/>
                <w:bCs/>
              </w:rPr>
            </w:pPr>
            <w:r>
              <w:rPr>
                <w:b/>
                <w:bCs/>
              </w:rPr>
              <w:t xml:space="preserve">International SMS (to excluded countries) </w:t>
            </w:r>
          </w:p>
        </w:tc>
        <w:tc>
          <w:tcPr>
            <w:tcW w:w="4320" w:type="dxa"/>
            <w:shd w:val="clear" w:color="auto" w:fill="auto"/>
            <w:vAlign w:val="center"/>
          </w:tcPr>
          <w:p w14:paraId="6954E824" w14:textId="77777777" w:rsidR="000D07EA" w:rsidRDefault="00BE7C89">
            <w:pPr>
              <w:pStyle w:val="BodyText"/>
              <w:spacing w:before="100" w:after="100"/>
              <w:jc w:val="center"/>
            </w:pPr>
            <w:r>
              <w:t>50c per SMS up to 160 standard characters</w:t>
            </w:r>
          </w:p>
        </w:tc>
      </w:tr>
      <w:tr w:rsidR="000D07EA" w14:paraId="019AAB2C" w14:textId="77777777">
        <w:tc>
          <w:tcPr>
            <w:tcW w:w="4410" w:type="dxa"/>
            <w:shd w:val="clear" w:color="auto" w:fill="auto"/>
          </w:tcPr>
          <w:p w14:paraId="2304BF61" w14:textId="77777777" w:rsidR="000D07EA" w:rsidRDefault="00BE7C89">
            <w:pPr>
              <w:pStyle w:val="BodyText"/>
              <w:spacing w:before="100" w:after="100"/>
              <w:rPr>
                <w:b/>
                <w:bCs/>
              </w:rPr>
            </w:pPr>
            <w:r>
              <w:rPr>
                <w:b/>
                <w:bCs/>
              </w:rPr>
              <w:t>International MMS (to excluded countries)</w:t>
            </w:r>
          </w:p>
        </w:tc>
        <w:tc>
          <w:tcPr>
            <w:tcW w:w="4320" w:type="dxa"/>
            <w:shd w:val="clear" w:color="auto" w:fill="auto"/>
            <w:vAlign w:val="center"/>
          </w:tcPr>
          <w:p w14:paraId="082EAC75" w14:textId="77777777" w:rsidR="000D07EA" w:rsidRDefault="00BE7C89">
            <w:pPr>
              <w:pStyle w:val="BodyText"/>
              <w:spacing w:before="100" w:after="100"/>
              <w:jc w:val="center"/>
            </w:pPr>
            <w:r>
              <w:t>75c per MMS</w:t>
            </w:r>
          </w:p>
        </w:tc>
      </w:tr>
      <w:tr w:rsidR="000D07EA" w14:paraId="71D66454" w14:textId="77777777">
        <w:tc>
          <w:tcPr>
            <w:tcW w:w="4410" w:type="dxa"/>
            <w:shd w:val="clear" w:color="auto" w:fill="auto"/>
          </w:tcPr>
          <w:p w14:paraId="25A55FF9" w14:textId="77777777" w:rsidR="000D07EA" w:rsidRDefault="00BE7C89">
            <w:pPr>
              <w:pStyle w:val="BodyText"/>
              <w:spacing w:before="100" w:after="100"/>
              <w:rPr>
                <w:b/>
                <w:bCs/>
              </w:rPr>
            </w:pPr>
            <w:r>
              <w:rPr>
                <w:b/>
                <w:bCs/>
              </w:rPr>
              <w:t xml:space="preserve">International video calling </w:t>
            </w:r>
          </w:p>
        </w:tc>
        <w:tc>
          <w:tcPr>
            <w:tcW w:w="4320" w:type="dxa"/>
            <w:shd w:val="clear" w:color="auto" w:fill="auto"/>
            <w:vAlign w:val="center"/>
          </w:tcPr>
          <w:p w14:paraId="545F94A5" w14:textId="77777777" w:rsidR="000D07EA" w:rsidRDefault="00BE7C89">
            <w:pPr>
              <w:pStyle w:val="BodyText"/>
              <w:spacing w:before="100" w:after="100"/>
              <w:jc w:val="center"/>
            </w:pPr>
            <w:r>
              <w:t>$1.50 per minute +35c flagfall</w:t>
            </w:r>
          </w:p>
        </w:tc>
      </w:tr>
      <w:tr w:rsidR="000D07EA" w14:paraId="5D5AE16A" w14:textId="77777777">
        <w:tc>
          <w:tcPr>
            <w:tcW w:w="4410" w:type="dxa"/>
            <w:shd w:val="clear" w:color="auto" w:fill="auto"/>
          </w:tcPr>
          <w:p w14:paraId="48D3DFB4" w14:textId="77777777" w:rsidR="000D07EA" w:rsidRDefault="00BE7C89">
            <w:pPr>
              <w:pStyle w:val="BodyText"/>
              <w:spacing w:before="100" w:after="100"/>
              <w:rPr>
                <w:b/>
                <w:bCs/>
              </w:rPr>
            </w:pPr>
            <w:r>
              <w:rPr>
                <w:b/>
                <w:bCs/>
              </w:rPr>
              <w:t xml:space="preserve">International roaming </w:t>
            </w:r>
          </w:p>
        </w:tc>
        <w:tc>
          <w:tcPr>
            <w:tcW w:w="4320" w:type="dxa"/>
            <w:shd w:val="clear" w:color="auto" w:fill="auto"/>
            <w:vAlign w:val="center"/>
          </w:tcPr>
          <w:p w14:paraId="0339D988" w14:textId="77777777" w:rsidR="000D07EA" w:rsidRDefault="00BE7C89">
            <w:pPr>
              <w:pStyle w:val="BodyText"/>
              <w:spacing w:before="100" w:after="100"/>
              <w:jc w:val="center"/>
            </w:pPr>
            <w:r>
              <w:t>See optus.com.au/roaming</w:t>
            </w:r>
          </w:p>
        </w:tc>
      </w:tr>
    </w:tbl>
    <w:p w14:paraId="02868365" w14:textId="77777777" w:rsidR="000D07EA" w:rsidRDefault="000D07EA">
      <w:pPr>
        <w:pStyle w:val="BodyText"/>
      </w:pPr>
    </w:p>
    <w:p w14:paraId="7D6B62AC" w14:textId="77777777" w:rsidR="000D07EA" w:rsidRDefault="00BE7C89">
      <w:pPr>
        <w:pStyle w:val="BodyText"/>
        <w:ind w:left="720"/>
        <w:rPr>
          <w:b/>
        </w:rPr>
      </w:pPr>
      <w:r>
        <w:rPr>
          <w:b/>
        </w:rPr>
        <w:t>Table 3 – International Countries</w:t>
      </w: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2"/>
        <w:gridCol w:w="2183"/>
        <w:gridCol w:w="2182"/>
        <w:gridCol w:w="2183"/>
      </w:tblGrid>
      <w:tr w:rsidR="000D07EA" w14:paraId="5C19815D" w14:textId="77777777">
        <w:trPr>
          <w:trHeight w:val="430"/>
        </w:trPr>
        <w:tc>
          <w:tcPr>
            <w:tcW w:w="2182" w:type="dxa"/>
            <w:shd w:val="clear" w:color="auto" w:fill="auto"/>
          </w:tcPr>
          <w:p w14:paraId="1BB56E67" w14:textId="77777777" w:rsidR="000D07EA" w:rsidRDefault="00BE7C89">
            <w:pPr>
              <w:pStyle w:val="BodyText"/>
              <w:spacing w:before="100" w:after="100"/>
              <w:rPr>
                <w:b/>
              </w:rPr>
            </w:pPr>
            <w:r>
              <w:t>Austria</w:t>
            </w:r>
          </w:p>
        </w:tc>
        <w:tc>
          <w:tcPr>
            <w:tcW w:w="2183" w:type="dxa"/>
            <w:shd w:val="clear" w:color="auto" w:fill="auto"/>
          </w:tcPr>
          <w:p w14:paraId="1A593106" w14:textId="77777777" w:rsidR="000D07EA" w:rsidRDefault="00BE7C89">
            <w:pPr>
              <w:pStyle w:val="BodyText"/>
              <w:spacing w:before="100" w:after="100"/>
              <w:rPr>
                <w:b/>
              </w:rPr>
            </w:pPr>
            <w:r>
              <w:t>Bangladesh</w:t>
            </w:r>
          </w:p>
        </w:tc>
        <w:tc>
          <w:tcPr>
            <w:tcW w:w="2182" w:type="dxa"/>
            <w:shd w:val="clear" w:color="auto" w:fill="auto"/>
          </w:tcPr>
          <w:p w14:paraId="6ABA7138" w14:textId="77777777" w:rsidR="000D07EA" w:rsidRDefault="00BE7C89">
            <w:pPr>
              <w:pStyle w:val="BodyText"/>
              <w:spacing w:before="100" w:after="100"/>
              <w:rPr>
                <w:b/>
              </w:rPr>
            </w:pPr>
            <w:r>
              <w:t>Cambodia</w:t>
            </w:r>
          </w:p>
        </w:tc>
        <w:tc>
          <w:tcPr>
            <w:tcW w:w="2183" w:type="dxa"/>
            <w:shd w:val="clear" w:color="auto" w:fill="auto"/>
          </w:tcPr>
          <w:p w14:paraId="0D965A79" w14:textId="77777777" w:rsidR="000D07EA" w:rsidRDefault="00BE7C89">
            <w:pPr>
              <w:pStyle w:val="BodyText"/>
              <w:spacing w:before="100" w:after="100"/>
              <w:rPr>
                <w:b/>
              </w:rPr>
            </w:pPr>
            <w:r>
              <w:t>Canada</w:t>
            </w:r>
          </w:p>
        </w:tc>
      </w:tr>
      <w:tr w:rsidR="000D07EA" w14:paraId="348AAF58" w14:textId="77777777">
        <w:trPr>
          <w:trHeight w:val="430"/>
        </w:trPr>
        <w:tc>
          <w:tcPr>
            <w:tcW w:w="2182" w:type="dxa"/>
            <w:shd w:val="clear" w:color="auto" w:fill="auto"/>
          </w:tcPr>
          <w:p w14:paraId="5984A978" w14:textId="77777777" w:rsidR="000D07EA" w:rsidRDefault="00BE7C89">
            <w:pPr>
              <w:pStyle w:val="BodyText"/>
              <w:spacing w:before="100" w:after="100"/>
              <w:rPr>
                <w:b/>
              </w:rPr>
            </w:pPr>
            <w:r>
              <w:t xml:space="preserve">Chile </w:t>
            </w:r>
          </w:p>
        </w:tc>
        <w:tc>
          <w:tcPr>
            <w:tcW w:w="2183" w:type="dxa"/>
            <w:shd w:val="clear" w:color="auto" w:fill="auto"/>
          </w:tcPr>
          <w:p w14:paraId="516654E2" w14:textId="77777777" w:rsidR="000D07EA" w:rsidRDefault="00BE7C89">
            <w:pPr>
              <w:pStyle w:val="BodyText"/>
              <w:spacing w:before="100" w:after="100"/>
              <w:rPr>
                <w:b/>
              </w:rPr>
            </w:pPr>
            <w:r>
              <w:t xml:space="preserve">China </w:t>
            </w:r>
          </w:p>
        </w:tc>
        <w:tc>
          <w:tcPr>
            <w:tcW w:w="2182" w:type="dxa"/>
            <w:shd w:val="clear" w:color="auto" w:fill="auto"/>
          </w:tcPr>
          <w:p w14:paraId="5DD33858" w14:textId="77777777" w:rsidR="000D07EA" w:rsidRDefault="00BE7C89">
            <w:pPr>
              <w:pStyle w:val="BodyText"/>
              <w:spacing w:before="100" w:after="100"/>
              <w:rPr>
                <w:b/>
              </w:rPr>
            </w:pPr>
            <w:r>
              <w:t xml:space="preserve">Croatia </w:t>
            </w:r>
          </w:p>
        </w:tc>
        <w:tc>
          <w:tcPr>
            <w:tcW w:w="2183" w:type="dxa"/>
            <w:shd w:val="clear" w:color="auto" w:fill="auto"/>
          </w:tcPr>
          <w:p w14:paraId="0B25646F" w14:textId="77777777" w:rsidR="000D07EA" w:rsidRDefault="00BE7C89">
            <w:pPr>
              <w:pStyle w:val="BodyText"/>
              <w:spacing w:before="100" w:after="100"/>
              <w:rPr>
                <w:b/>
              </w:rPr>
            </w:pPr>
            <w:r>
              <w:t>France</w:t>
            </w:r>
          </w:p>
        </w:tc>
      </w:tr>
      <w:tr w:rsidR="000D07EA" w14:paraId="3A530ADE" w14:textId="77777777">
        <w:trPr>
          <w:trHeight w:val="430"/>
        </w:trPr>
        <w:tc>
          <w:tcPr>
            <w:tcW w:w="2182" w:type="dxa"/>
            <w:shd w:val="clear" w:color="auto" w:fill="auto"/>
          </w:tcPr>
          <w:p w14:paraId="4775A593" w14:textId="77777777" w:rsidR="000D07EA" w:rsidRDefault="00BE7C89">
            <w:pPr>
              <w:pStyle w:val="BodyText"/>
              <w:spacing w:before="100" w:after="100"/>
              <w:rPr>
                <w:b/>
              </w:rPr>
            </w:pPr>
            <w:r>
              <w:t>Germany</w:t>
            </w:r>
          </w:p>
        </w:tc>
        <w:tc>
          <w:tcPr>
            <w:tcW w:w="2183" w:type="dxa"/>
            <w:shd w:val="clear" w:color="auto" w:fill="auto"/>
          </w:tcPr>
          <w:p w14:paraId="075DD3BE" w14:textId="77777777" w:rsidR="000D07EA" w:rsidRDefault="00BE7C89">
            <w:pPr>
              <w:pStyle w:val="BodyText"/>
              <w:spacing w:before="100" w:after="100"/>
              <w:rPr>
                <w:b/>
              </w:rPr>
            </w:pPr>
            <w:r>
              <w:t>Greece</w:t>
            </w:r>
          </w:p>
        </w:tc>
        <w:tc>
          <w:tcPr>
            <w:tcW w:w="2182" w:type="dxa"/>
            <w:shd w:val="clear" w:color="auto" w:fill="auto"/>
          </w:tcPr>
          <w:p w14:paraId="3590E39C" w14:textId="77777777" w:rsidR="000D07EA" w:rsidRDefault="00BE7C89">
            <w:pPr>
              <w:pStyle w:val="BodyText"/>
              <w:spacing w:before="100" w:after="100"/>
              <w:rPr>
                <w:b/>
              </w:rPr>
            </w:pPr>
            <w:r>
              <w:t>Hong Kong</w:t>
            </w:r>
          </w:p>
        </w:tc>
        <w:tc>
          <w:tcPr>
            <w:tcW w:w="2183" w:type="dxa"/>
            <w:shd w:val="clear" w:color="auto" w:fill="auto"/>
          </w:tcPr>
          <w:p w14:paraId="1278AB5F" w14:textId="77777777" w:rsidR="000D07EA" w:rsidRDefault="00BE7C89">
            <w:pPr>
              <w:pStyle w:val="BodyText"/>
              <w:spacing w:before="100" w:after="100"/>
              <w:rPr>
                <w:b/>
              </w:rPr>
            </w:pPr>
            <w:r>
              <w:t>Hungary</w:t>
            </w:r>
          </w:p>
        </w:tc>
      </w:tr>
      <w:tr w:rsidR="000D07EA" w14:paraId="3A404160" w14:textId="77777777">
        <w:trPr>
          <w:trHeight w:val="430"/>
        </w:trPr>
        <w:tc>
          <w:tcPr>
            <w:tcW w:w="2182" w:type="dxa"/>
            <w:shd w:val="clear" w:color="auto" w:fill="auto"/>
          </w:tcPr>
          <w:p w14:paraId="1ED4B8B3" w14:textId="77777777" w:rsidR="000D07EA" w:rsidRDefault="00BE7C89">
            <w:pPr>
              <w:pStyle w:val="BodyText"/>
              <w:spacing w:before="100" w:after="100"/>
              <w:rPr>
                <w:b/>
              </w:rPr>
            </w:pPr>
            <w:r>
              <w:t>Indonesia</w:t>
            </w:r>
          </w:p>
        </w:tc>
        <w:tc>
          <w:tcPr>
            <w:tcW w:w="2183" w:type="dxa"/>
            <w:shd w:val="clear" w:color="auto" w:fill="auto"/>
          </w:tcPr>
          <w:p w14:paraId="61BE5A88" w14:textId="77777777" w:rsidR="000D07EA" w:rsidRDefault="00BE7C89">
            <w:pPr>
              <w:pStyle w:val="BodyText"/>
              <w:spacing w:before="100" w:after="100"/>
              <w:rPr>
                <w:b/>
              </w:rPr>
            </w:pPr>
            <w:r>
              <w:t>India</w:t>
            </w:r>
          </w:p>
        </w:tc>
        <w:tc>
          <w:tcPr>
            <w:tcW w:w="2182" w:type="dxa"/>
            <w:shd w:val="clear" w:color="auto" w:fill="auto"/>
          </w:tcPr>
          <w:p w14:paraId="5EA3F363" w14:textId="77777777" w:rsidR="000D07EA" w:rsidRDefault="00BE7C89">
            <w:pPr>
              <w:pStyle w:val="BodyText"/>
              <w:spacing w:before="100" w:after="100"/>
              <w:rPr>
                <w:b/>
              </w:rPr>
            </w:pPr>
            <w:r>
              <w:t>Ireland</w:t>
            </w:r>
          </w:p>
        </w:tc>
        <w:tc>
          <w:tcPr>
            <w:tcW w:w="2183" w:type="dxa"/>
            <w:shd w:val="clear" w:color="auto" w:fill="auto"/>
          </w:tcPr>
          <w:p w14:paraId="52BD10F4" w14:textId="77777777" w:rsidR="000D07EA" w:rsidRDefault="00BE7C89">
            <w:pPr>
              <w:pStyle w:val="BodyText"/>
              <w:spacing w:before="100" w:after="100"/>
              <w:rPr>
                <w:b/>
              </w:rPr>
            </w:pPr>
            <w:r>
              <w:t>Italy</w:t>
            </w:r>
          </w:p>
        </w:tc>
      </w:tr>
      <w:tr w:rsidR="000D07EA" w14:paraId="751E7844" w14:textId="77777777">
        <w:trPr>
          <w:trHeight w:val="430"/>
        </w:trPr>
        <w:tc>
          <w:tcPr>
            <w:tcW w:w="2182" w:type="dxa"/>
            <w:shd w:val="clear" w:color="auto" w:fill="auto"/>
          </w:tcPr>
          <w:p w14:paraId="4E18C675" w14:textId="77777777" w:rsidR="000D07EA" w:rsidRDefault="00BE7C89">
            <w:pPr>
              <w:pStyle w:val="BodyText"/>
              <w:spacing w:before="100" w:after="100"/>
              <w:rPr>
                <w:b/>
              </w:rPr>
            </w:pPr>
            <w:r>
              <w:t xml:space="preserve">Japan </w:t>
            </w:r>
          </w:p>
        </w:tc>
        <w:tc>
          <w:tcPr>
            <w:tcW w:w="2183" w:type="dxa"/>
            <w:shd w:val="clear" w:color="auto" w:fill="auto"/>
          </w:tcPr>
          <w:p w14:paraId="27825464" w14:textId="77777777" w:rsidR="000D07EA" w:rsidRDefault="00BE7C89">
            <w:pPr>
              <w:pStyle w:val="BodyText"/>
              <w:spacing w:before="100" w:after="100"/>
              <w:rPr>
                <w:b/>
              </w:rPr>
            </w:pPr>
            <w:r>
              <w:t>Malaysia</w:t>
            </w:r>
          </w:p>
        </w:tc>
        <w:tc>
          <w:tcPr>
            <w:tcW w:w="2182" w:type="dxa"/>
            <w:shd w:val="clear" w:color="auto" w:fill="auto"/>
          </w:tcPr>
          <w:p w14:paraId="4DEC4AA8" w14:textId="77777777" w:rsidR="000D07EA" w:rsidRDefault="00BE7C89">
            <w:pPr>
              <w:pStyle w:val="BodyText"/>
              <w:spacing w:before="100" w:after="100"/>
              <w:rPr>
                <w:b/>
              </w:rPr>
            </w:pPr>
            <w:r>
              <w:t>Netherlands</w:t>
            </w:r>
          </w:p>
        </w:tc>
        <w:tc>
          <w:tcPr>
            <w:tcW w:w="2183" w:type="dxa"/>
            <w:shd w:val="clear" w:color="auto" w:fill="auto"/>
          </w:tcPr>
          <w:p w14:paraId="7CF8F00F" w14:textId="77777777" w:rsidR="000D07EA" w:rsidRDefault="00BE7C89">
            <w:pPr>
              <w:pStyle w:val="BodyText"/>
              <w:spacing w:before="100" w:after="100"/>
              <w:rPr>
                <w:b/>
              </w:rPr>
            </w:pPr>
            <w:r>
              <w:t>New Zealand</w:t>
            </w:r>
          </w:p>
        </w:tc>
      </w:tr>
      <w:tr w:rsidR="000D07EA" w14:paraId="058803CC" w14:textId="77777777">
        <w:trPr>
          <w:trHeight w:val="430"/>
        </w:trPr>
        <w:tc>
          <w:tcPr>
            <w:tcW w:w="2182" w:type="dxa"/>
            <w:shd w:val="clear" w:color="auto" w:fill="auto"/>
          </w:tcPr>
          <w:p w14:paraId="2CF8BC9E" w14:textId="77777777" w:rsidR="000D07EA" w:rsidRDefault="00BE7C89">
            <w:pPr>
              <w:pStyle w:val="BodyText"/>
              <w:spacing w:before="100" w:after="100"/>
              <w:rPr>
                <w:b/>
              </w:rPr>
            </w:pPr>
            <w:r>
              <w:t xml:space="preserve">Pakistan </w:t>
            </w:r>
          </w:p>
        </w:tc>
        <w:tc>
          <w:tcPr>
            <w:tcW w:w="2183" w:type="dxa"/>
            <w:shd w:val="clear" w:color="auto" w:fill="auto"/>
          </w:tcPr>
          <w:p w14:paraId="5D68D33C" w14:textId="77777777" w:rsidR="000D07EA" w:rsidRDefault="00BE7C89">
            <w:pPr>
              <w:pStyle w:val="BodyText"/>
              <w:spacing w:before="100" w:after="100"/>
              <w:rPr>
                <w:b/>
              </w:rPr>
            </w:pPr>
            <w:r>
              <w:t>Philippines</w:t>
            </w:r>
          </w:p>
        </w:tc>
        <w:tc>
          <w:tcPr>
            <w:tcW w:w="2182" w:type="dxa"/>
            <w:shd w:val="clear" w:color="auto" w:fill="auto"/>
          </w:tcPr>
          <w:p w14:paraId="197C9CD6" w14:textId="77777777" w:rsidR="000D07EA" w:rsidRDefault="00BE7C89">
            <w:pPr>
              <w:pStyle w:val="BodyText"/>
              <w:spacing w:before="100" w:after="100"/>
              <w:rPr>
                <w:b/>
              </w:rPr>
            </w:pPr>
            <w:r>
              <w:t xml:space="preserve">Poland </w:t>
            </w:r>
          </w:p>
        </w:tc>
        <w:tc>
          <w:tcPr>
            <w:tcW w:w="2183" w:type="dxa"/>
            <w:shd w:val="clear" w:color="auto" w:fill="auto"/>
          </w:tcPr>
          <w:p w14:paraId="5C9970C4" w14:textId="77777777" w:rsidR="000D07EA" w:rsidRDefault="00BE7C89">
            <w:pPr>
              <w:pStyle w:val="BodyText"/>
              <w:spacing w:before="100" w:after="100"/>
              <w:rPr>
                <w:b/>
              </w:rPr>
            </w:pPr>
            <w:r>
              <w:t>Singapore</w:t>
            </w:r>
          </w:p>
        </w:tc>
      </w:tr>
      <w:tr w:rsidR="000D07EA" w14:paraId="726815C9" w14:textId="77777777">
        <w:trPr>
          <w:trHeight w:val="430"/>
        </w:trPr>
        <w:tc>
          <w:tcPr>
            <w:tcW w:w="2182" w:type="dxa"/>
            <w:shd w:val="clear" w:color="auto" w:fill="auto"/>
          </w:tcPr>
          <w:p w14:paraId="4E064E80" w14:textId="77777777" w:rsidR="000D07EA" w:rsidRDefault="00BE7C89">
            <w:pPr>
              <w:pStyle w:val="BodyText"/>
              <w:spacing w:before="100" w:after="100"/>
              <w:rPr>
                <w:b/>
              </w:rPr>
            </w:pPr>
            <w:r>
              <w:lastRenderedPageBreak/>
              <w:t xml:space="preserve">South Africa </w:t>
            </w:r>
          </w:p>
        </w:tc>
        <w:tc>
          <w:tcPr>
            <w:tcW w:w="2183" w:type="dxa"/>
            <w:shd w:val="clear" w:color="auto" w:fill="auto"/>
          </w:tcPr>
          <w:p w14:paraId="62FE507A" w14:textId="77777777" w:rsidR="000D07EA" w:rsidRDefault="00BE7C89">
            <w:pPr>
              <w:pStyle w:val="BodyText"/>
              <w:spacing w:before="100" w:after="100"/>
              <w:rPr>
                <w:b/>
              </w:rPr>
            </w:pPr>
            <w:r>
              <w:t>South Korea</w:t>
            </w:r>
          </w:p>
        </w:tc>
        <w:tc>
          <w:tcPr>
            <w:tcW w:w="2182" w:type="dxa"/>
            <w:shd w:val="clear" w:color="auto" w:fill="auto"/>
          </w:tcPr>
          <w:p w14:paraId="51623934" w14:textId="77777777" w:rsidR="000D07EA" w:rsidRDefault="00BE7C89">
            <w:pPr>
              <w:pStyle w:val="BodyText"/>
              <w:spacing w:before="100" w:after="100"/>
              <w:rPr>
                <w:b/>
              </w:rPr>
            </w:pPr>
            <w:r>
              <w:t xml:space="preserve">Taiwan </w:t>
            </w:r>
          </w:p>
        </w:tc>
        <w:tc>
          <w:tcPr>
            <w:tcW w:w="2183" w:type="dxa"/>
            <w:shd w:val="clear" w:color="auto" w:fill="auto"/>
          </w:tcPr>
          <w:p w14:paraId="40395469" w14:textId="77777777" w:rsidR="000D07EA" w:rsidRDefault="00BE7C89">
            <w:pPr>
              <w:pStyle w:val="BodyText"/>
              <w:spacing w:before="100" w:after="100"/>
              <w:rPr>
                <w:b/>
              </w:rPr>
            </w:pPr>
            <w:r>
              <w:t>Thailand</w:t>
            </w:r>
          </w:p>
        </w:tc>
      </w:tr>
      <w:tr w:rsidR="000D07EA" w14:paraId="105310F3" w14:textId="77777777">
        <w:trPr>
          <w:trHeight w:val="430"/>
        </w:trPr>
        <w:tc>
          <w:tcPr>
            <w:tcW w:w="2182" w:type="dxa"/>
            <w:shd w:val="clear" w:color="auto" w:fill="auto"/>
          </w:tcPr>
          <w:p w14:paraId="1E18B177" w14:textId="77777777" w:rsidR="000D07EA" w:rsidRDefault="00BE7C89">
            <w:pPr>
              <w:pStyle w:val="BodyText"/>
              <w:spacing w:before="100" w:after="100"/>
              <w:rPr>
                <w:b/>
              </w:rPr>
            </w:pPr>
            <w:r>
              <w:t>Turkey</w:t>
            </w:r>
          </w:p>
        </w:tc>
        <w:tc>
          <w:tcPr>
            <w:tcW w:w="2183" w:type="dxa"/>
            <w:shd w:val="clear" w:color="auto" w:fill="auto"/>
          </w:tcPr>
          <w:p w14:paraId="345CD602" w14:textId="77777777" w:rsidR="000D07EA" w:rsidRDefault="00BE7C89">
            <w:pPr>
              <w:pStyle w:val="BodyText"/>
              <w:spacing w:before="100" w:after="100"/>
              <w:rPr>
                <w:b/>
              </w:rPr>
            </w:pPr>
            <w:r>
              <w:t>United Kingdom</w:t>
            </w:r>
          </w:p>
        </w:tc>
        <w:tc>
          <w:tcPr>
            <w:tcW w:w="2182" w:type="dxa"/>
            <w:shd w:val="clear" w:color="auto" w:fill="auto"/>
          </w:tcPr>
          <w:p w14:paraId="688AD1E8" w14:textId="77777777" w:rsidR="000D07EA" w:rsidRDefault="00BE7C89">
            <w:pPr>
              <w:pStyle w:val="BodyText"/>
              <w:spacing w:before="100" w:after="100"/>
              <w:rPr>
                <w:b/>
              </w:rPr>
            </w:pPr>
            <w:r>
              <w:t xml:space="preserve">USA </w:t>
            </w:r>
          </w:p>
        </w:tc>
        <w:tc>
          <w:tcPr>
            <w:tcW w:w="2183" w:type="dxa"/>
            <w:shd w:val="clear" w:color="auto" w:fill="auto"/>
          </w:tcPr>
          <w:p w14:paraId="30A3A08D" w14:textId="77777777" w:rsidR="000D07EA" w:rsidRDefault="00BE7C89">
            <w:pPr>
              <w:pStyle w:val="BodyText"/>
              <w:spacing w:before="100" w:after="100"/>
              <w:rPr>
                <w:b/>
              </w:rPr>
            </w:pPr>
            <w:r>
              <w:t>Vietnam</w:t>
            </w:r>
          </w:p>
        </w:tc>
      </w:tr>
    </w:tbl>
    <w:p w14:paraId="5DBDF7F1" w14:textId="77777777" w:rsidR="000D07EA" w:rsidRDefault="000D07EA">
      <w:pPr>
        <w:pStyle w:val="BodyText"/>
      </w:pPr>
    </w:p>
    <w:p w14:paraId="5BDDC532" w14:textId="77777777" w:rsidR="000D07EA" w:rsidRDefault="00BE7C89">
      <w:pPr>
        <w:pStyle w:val="Heading6"/>
        <w:ind w:left="0" w:firstLine="0"/>
      </w:pPr>
      <w:bookmarkStart w:id="1338" w:name="_Toc447189780"/>
      <w:bookmarkStart w:id="1339" w:name="_Toc452734338"/>
      <w:r>
        <w:t>My Account</w:t>
      </w:r>
      <w:bookmarkEnd w:id="1338"/>
      <w:bookmarkEnd w:id="1339"/>
    </w:p>
    <w:p w14:paraId="65E2F78A" w14:textId="77777777" w:rsidR="000D07EA" w:rsidRDefault="00BE7C89">
      <w:pPr>
        <w:pStyle w:val="BodyText"/>
        <w:ind w:left="72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service has used. If </w:t>
      </w:r>
      <w:r>
        <w:rPr>
          <w:i/>
        </w:rPr>
        <w:t>you</w:t>
      </w:r>
      <w:r>
        <w:t xml:space="preserve"> have more than 6 services on </w:t>
      </w:r>
      <w:r>
        <w:rPr>
          <w:i/>
        </w:rPr>
        <w:t>your</w:t>
      </w:r>
      <w:r>
        <w:t xml:space="preserve"> account, My Account may not be suitable for viewing usage and managing </w:t>
      </w:r>
      <w:r>
        <w:rPr>
          <w:i/>
        </w:rPr>
        <w:t xml:space="preserve">your </w:t>
      </w:r>
      <w:r>
        <w:t>usage alerts.</w:t>
      </w:r>
    </w:p>
    <w:p w14:paraId="4F3F43F2" w14:textId="77777777" w:rsidR="000D07EA" w:rsidRDefault="00BE7C89">
      <w:pPr>
        <w:pStyle w:val="Heading6"/>
        <w:ind w:left="0" w:firstLine="0"/>
      </w:pPr>
      <w:bookmarkStart w:id="1340" w:name="_Toc447189781"/>
      <w:bookmarkStart w:id="1341" w:name="_Toc452734339"/>
      <w:r>
        <w:t xml:space="preserve">What happens if the </w:t>
      </w:r>
      <w:r>
        <w:rPr>
          <w:i/>
        </w:rPr>
        <w:t xml:space="preserve">service </w:t>
      </w:r>
      <w:r>
        <w:t>is</w:t>
      </w:r>
      <w:r>
        <w:rPr>
          <w:i/>
        </w:rPr>
        <w:t xml:space="preserve"> cancelled </w:t>
      </w:r>
      <w:r>
        <w:t>early?</w:t>
      </w:r>
      <w:bookmarkEnd w:id="1340"/>
      <w:bookmarkEnd w:id="1341"/>
      <w:r>
        <w:t xml:space="preserve"> </w:t>
      </w:r>
    </w:p>
    <w:p w14:paraId="491E7A73" w14:textId="77777777" w:rsidR="000D07EA" w:rsidRDefault="00BE7C89">
      <w:pPr>
        <w:pStyle w:val="BodyText"/>
        <w:ind w:left="720"/>
      </w:pPr>
      <w:r>
        <w:t xml:space="preserve">If your service is cancelled before the end of your minimum term, there are no plan cancellation fees. You will simply need to pay out the sum of unpaid equipment charges owing on your mobile phone under the mobile equipment payment plan (if any). Note any handset credit you were entitled to will be forfeited (see clause </w:t>
      </w:r>
      <w:r w:rsidR="00C67DDF" w:rsidRPr="00824317">
        <w:t>1</w:t>
      </w:r>
      <w:r w:rsidRPr="00824317">
        <w:t>3</w:t>
      </w:r>
      <w:r w:rsidR="00C67DDF" w:rsidRPr="00824317">
        <w:t>0</w:t>
      </w:r>
      <w:r w:rsidRPr="00824317">
        <w:t xml:space="preserve">.10 </w:t>
      </w:r>
      <w:r>
        <w:t>above).</w:t>
      </w:r>
    </w:p>
    <w:p w14:paraId="314C57F5" w14:textId="77777777" w:rsidR="000D07EA" w:rsidRDefault="00BE7C89">
      <w:pPr>
        <w:pStyle w:val="Heading7"/>
      </w:pPr>
      <w:r>
        <w:t xml:space="preserve">If </w:t>
      </w:r>
      <w:r>
        <w:rPr>
          <w:i/>
        </w:rPr>
        <w:t>your</w:t>
      </w:r>
      <w:r>
        <w:t xml:space="preserve"> My Plan Business plan is </w:t>
      </w:r>
      <w:r>
        <w:rPr>
          <w:i/>
        </w:rPr>
        <w:t>cancelled</w:t>
      </w:r>
      <w:r>
        <w:t xml:space="preserve">, </w:t>
      </w:r>
      <w:r>
        <w:rPr>
          <w:i/>
        </w:rPr>
        <w:t>your</w:t>
      </w:r>
      <w:r>
        <w:t xml:space="preserve"> Shared Data Plan(s) may also be </w:t>
      </w:r>
      <w:r>
        <w:rPr>
          <w:i/>
        </w:rPr>
        <w:t>cancelled</w:t>
      </w:r>
      <w:r>
        <w:t xml:space="preserve">. There are no </w:t>
      </w:r>
      <w:r>
        <w:rPr>
          <w:i/>
        </w:rPr>
        <w:t>cancellation</w:t>
      </w:r>
      <w:r>
        <w:t xml:space="preserve"> </w:t>
      </w:r>
      <w:r>
        <w:rPr>
          <w:i/>
        </w:rPr>
        <w:t>fees</w:t>
      </w:r>
      <w:r>
        <w:t xml:space="preserve"> for the Shared Data Plan, however if </w:t>
      </w:r>
      <w:r>
        <w:rPr>
          <w:i/>
        </w:rPr>
        <w:t>you</w:t>
      </w:r>
      <w:r>
        <w:t xml:space="preserve"> purchased a </w:t>
      </w:r>
      <w:r>
        <w:rPr>
          <w:i/>
        </w:rPr>
        <w:t>device</w:t>
      </w:r>
      <w:r>
        <w:t xml:space="preserve"> you need to pay the sum of any remaining </w:t>
      </w:r>
      <w:r>
        <w:rPr>
          <w:i/>
        </w:rPr>
        <w:t>equipment</w:t>
      </w:r>
      <w:r>
        <w:t xml:space="preserve"> </w:t>
      </w:r>
      <w:r>
        <w:rPr>
          <w:i/>
        </w:rPr>
        <w:t>charges</w:t>
      </w:r>
      <w:r>
        <w:t xml:space="preserve"> owing on </w:t>
      </w:r>
      <w:r>
        <w:rPr>
          <w:i/>
        </w:rPr>
        <w:t>your</w:t>
      </w:r>
      <w:r>
        <w:t xml:space="preserve"> </w:t>
      </w:r>
      <w:r>
        <w:rPr>
          <w:i/>
        </w:rPr>
        <w:t>device</w:t>
      </w:r>
      <w:r>
        <w:t xml:space="preserve"> under the </w:t>
      </w:r>
      <w:r>
        <w:rPr>
          <w:i/>
        </w:rPr>
        <w:t>mobile</w:t>
      </w:r>
      <w:r>
        <w:t xml:space="preserve"> </w:t>
      </w:r>
      <w:r>
        <w:rPr>
          <w:i/>
        </w:rPr>
        <w:t>equipment</w:t>
      </w:r>
      <w:r>
        <w:t xml:space="preserve"> </w:t>
      </w:r>
      <w:r>
        <w:rPr>
          <w:i/>
        </w:rPr>
        <w:t>payment</w:t>
      </w:r>
      <w:r>
        <w:t xml:space="preserve"> </w:t>
      </w:r>
      <w:r>
        <w:rPr>
          <w:i/>
        </w:rPr>
        <w:t>plan</w:t>
      </w:r>
      <w:r>
        <w:t xml:space="preserve"> (see </w:t>
      </w:r>
      <w:hyperlink r:id="rId663" w:history="1">
        <w:r>
          <w:rPr>
            <w:rStyle w:val="Hyperlink"/>
            <w:i/>
          </w:rPr>
          <w:t>Appendix D</w:t>
        </w:r>
      </w:hyperlink>
      <w:r>
        <w:t>).</w:t>
      </w:r>
    </w:p>
    <w:p w14:paraId="58D72519" w14:textId="77777777" w:rsidR="000D07EA" w:rsidRDefault="00BE7C89">
      <w:pPr>
        <w:pStyle w:val="Heading7"/>
      </w:pPr>
      <w:r>
        <w:t xml:space="preserve">If </w:t>
      </w:r>
      <w:r>
        <w:rPr>
          <w:i/>
        </w:rPr>
        <w:t>your</w:t>
      </w:r>
      <w:r>
        <w:t xml:space="preserve"> Shared Data Plan is not </w:t>
      </w:r>
      <w:r>
        <w:rPr>
          <w:i/>
        </w:rPr>
        <w:t>cancelled</w:t>
      </w:r>
      <w:r>
        <w:t xml:space="preserve">, </w:t>
      </w:r>
      <w:r>
        <w:rPr>
          <w:i/>
        </w:rPr>
        <w:t>you</w:t>
      </w:r>
      <w:r>
        <w:t xml:space="preserve"> will be charged $10 per 1GB within Australia, up to a maximum of 150GB (per account) in a billing month. Your service/s may then be restricted or we may continue to charge you at these.</w:t>
      </w:r>
    </w:p>
    <w:p w14:paraId="50B71AC7" w14:textId="77777777" w:rsidR="000D07EA" w:rsidRDefault="000D07EA">
      <w:pPr>
        <w:pStyle w:val="BodyText"/>
      </w:pPr>
    </w:p>
    <w:p w14:paraId="1B8B374F" w14:textId="77777777" w:rsidR="00AB1B6A" w:rsidRPr="000846C1" w:rsidRDefault="00AB1B6A" w:rsidP="00D50A97">
      <w:pPr>
        <w:pStyle w:val="Heading4"/>
        <w:ind w:left="720" w:hanging="720"/>
        <w:rPr>
          <w:rFonts w:cs="Arial"/>
          <w:b/>
          <w:szCs w:val="32"/>
        </w:rPr>
      </w:pPr>
      <w:bookmarkStart w:id="1342" w:name="_Toc457482553"/>
      <w:bookmarkStart w:id="1343" w:name="_Toc460849477"/>
      <w:bookmarkStart w:id="1344" w:name="_Toc62644672"/>
      <w:r w:rsidRPr="000846C1">
        <w:rPr>
          <w:rFonts w:cs="Arial"/>
          <w:b/>
          <w:caps/>
          <w:szCs w:val="32"/>
        </w:rPr>
        <w:t>My Plan Business 12 Months S</w:t>
      </w:r>
      <w:bookmarkEnd w:id="1342"/>
      <w:bookmarkEnd w:id="1343"/>
      <w:r w:rsidRPr="000846C1">
        <w:rPr>
          <w:rFonts w:cs="Arial"/>
          <w:b/>
          <w:caps/>
          <w:szCs w:val="32"/>
        </w:rPr>
        <w:t>IM</w:t>
      </w:r>
      <w:bookmarkEnd w:id="1344"/>
    </w:p>
    <w:p w14:paraId="46D5A492" w14:textId="77777777" w:rsidR="00AB1B6A" w:rsidRPr="008A60DC" w:rsidRDefault="00AB1B6A" w:rsidP="00AB1B6A">
      <w:pPr>
        <w:pStyle w:val="OptusH3"/>
        <w:tabs>
          <w:tab w:val="clear" w:pos="2127"/>
        </w:tabs>
        <w:spacing w:before="0" w:after="0"/>
        <w:ind w:left="426" w:firstLine="0"/>
        <w:rPr>
          <w:rFonts w:ascii="Arial" w:hAnsi="Arial" w:cs="Arial"/>
          <w:sz w:val="20"/>
        </w:rPr>
      </w:pPr>
      <w:r w:rsidRPr="008A60DC">
        <w:rPr>
          <w:rFonts w:ascii="Arial" w:hAnsi="Arial" w:cs="Arial"/>
          <w:sz w:val="20"/>
        </w:rPr>
        <w:t xml:space="preserve">This section relates to the following plan(s). </w:t>
      </w:r>
      <w:r w:rsidRPr="008A60DC">
        <w:rPr>
          <w:rFonts w:ascii="Arial" w:hAnsi="Arial" w:cs="Arial"/>
          <w:i/>
          <w:sz w:val="20"/>
        </w:rPr>
        <w:t>You</w:t>
      </w:r>
      <w:r w:rsidRPr="008A60DC">
        <w:rPr>
          <w:rFonts w:ascii="Arial" w:hAnsi="Arial" w:cs="Arial"/>
          <w:sz w:val="20"/>
        </w:rPr>
        <w:t xml:space="preserve"> can find </w:t>
      </w:r>
      <w:r w:rsidRPr="008A60DC">
        <w:rPr>
          <w:rFonts w:ascii="Arial" w:hAnsi="Arial" w:cs="Arial"/>
          <w:i/>
          <w:sz w:val="20"/>
        </w:rPr>
        <w:t>your</w:t>
      </w:r>
      <w:r w:rsidRPr="008A60DC">
        <w:rPr>
          <w:rFonts w:ascii="Arial" w:hAnsi="Arial" w:cs="Arial"/>
          <w:sz w:val="20"/>
        </w:rPr>
        <w:t xml:space="preserve"> Plan ID on </w:t>
      </w:r>
      <w:r w:rsidRPr="008A60DC">
        <w:rPr>
          <w:rFonts w:ascii="Arial" w:hAnsi="Arial" w:cs="Arial"/>
          <w:i/>
          <w:sz w:val="20"/>
        </w:rPr>
        <w:t>your</w:t>
      </w:r>
      <w:r w:rsidRPr="008A60DC">
        <w:rPr>
          <w:rFonts w:ascii="Arial" w:hAnsi="Arial" w:cs="Arial"/>
          <w:sz w:val="20"/>
        </w:rPr>
        <w:t xml:space="preserve"> bill under the Mobile Number Summary section:</w:t>
      </w:r>
    </w:p>
    <w:p w14:paraId="0D174AD6" w14:textId="77777777" w:rsidR="00AB1B6A" w:rsidRPr="008A60DC" w:rsidRDefault="00AB1B6A" w:rsidP="00AB1B6A">
      <w:pPr>
        <w:pStyle w:val="OptusH3"/>
        <w:tabs>
          <w:tab w:val="clear" w:pos="2127"/>
        </w:tabs>
        <w:spacing w:before="0" w:after="0"/>
        <w:ind w:left="0" w:firstLine="0"/>
        <w:rPr>
          <w:rFonts w:ascii="Arial" w:hAnsi="Arial" w:cs="Arial"/>
          <w:sz w:val="20"/>
        </w:rPr>
      </w:pPr>
    </w:p>
    <w:tbl>
      <w:tblPr>
        <w:tblW w:w="935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1843"/>
        <w:gridCol w:w="3685"/>
      </w:tblGrid>
      <w:tr w:rsidR="00AB1B6A" w:rsidRPr="008A60DC" w14:paraId="2FCACD77" w14:textId="77777777" w:rsidTr="00127CDF">
        <w:tc>
          <w:tcPr>
            <w:tcW w:w="3827" w:type="dxa"/>
            <w:shd w:val="clear" w:color="auto" w:fill="auto"/>
          </w:tcPr>
          <w:p w14:paraId="519EA665" w14:textId="77777777" w:rsidR="00AB1B6A" w:rsidRPr="008A60DC" w:rsidRDefault="00AB1B6A" w:rsidP="00127CDF">
            <w:pPr>
              <w:pStyle w:val="OptusH3"/>
              <w:tabs>
                <w:tab w:val="clear" w:pos="2127"/>
              </w:tabs>
              <w:ind w:left="0" w:firstLine="0"/>
              <w:jc w:val="center"/>
              <w:rPr>
                <w:rFonts w:ascii="Arial" w:eastAsia="Calibri" w:hAnsi="Arial" w:cs="Arial"/>
                <w:b/>
                <w:sz w:val="20"/>
              </w:rPr>
            </w:pPr>
            <w:r w:rsidRPr="008A60DC">
              <w:rPr>
                <w:rFonts w:ascii="Arial" w:eastAsia="Calibri" w:hAnsi="Arial" w:cs="Arial"/>
                <w:b/>
                <w:sz w:val="20"/>
              </w:rPr>
              <w:t>Plan</w:t>
            </w:r>
          </w:p>
        </w:tc>
        <w:tc>
          <w:tcPr>
            <w:tcW w:w="1843" w:type="dxa"/>
            <w:shd w:val="clear" w:color="auto" w:fill="auto"/>
          </w:tcPr>
          <w:p w14:paraId="4E624270" w14:textId="77777777" w:rsidR="00AB1B6A" w:rsidRPr="008A60DC" w:rsidRDefault="00AB1B6A" w:rsidP="00127CDF">
            <w:pPr>
              <w:pStyle w:val="OptusH3"/>
              <w:tabs>
                <w:tab w:val="clear" w:pos="2127"/>
              </w:tabs>
              <w:ind w:left="0" w:firstLine="0"/>
              <w:jc w:val="center"/>
              <w:rPr>
                <w:rFonts w:ascii="Arial" w:eastAsia="Calibri" w:hAnsi="Arial" w:cs="Arial"/>
                <w:b/>
                <w:sz w:val="20"/>
              </w:rPr>
            </w:pPr>
            <w:r w:rsidRPr="008A60DC">
              <w:rPr>
                <w:rFonts w:ascii="Arial" w:eastAsia="Calibri" w:hAnsi="Arial" w:cs="Arial"/>
                <w:b/>
                <w:sz w:val="20"/>
              </w:rPr>
              <w:t>Plan ID</w:t>
            </w:r>
          </w:p>
        </w:tc>
        <w:tc>
          <w:tcPr>
            <w:tcW w:w="3685" w:type="dxa"/>
            <w:shd w:val="clear" w:color="auto" w:fill="auto"/>
          </w:tcPr>
          <w:p w14:paraId="2A9BA30C" w14:textId="77777777" w:rsidR="00AB1B6A" w:rsidRPr="008A60DC" w:rsidRDefault="00AB1B6A" w:rsidP="00127CDF">
            <w:pPr>
              <w:pStyle w:val="OptusH3"/>
              <w:tabs>
                <w:tab w:val="clear" w:pos="2127"/>
              </w:tabs>
              <w:ind w:left="0" w:firstLine="0"/>
              <w:jc w:val="center"/>
              <w:rPr>
                <w:rFonts w:ascii="Arial" w:eastAsia="Calibri" w:hAnsi="Arial" w:cs="Arial"/>
                <w:b/>
                <w:sz w:val="20"/>
              </w:rPr>
            </w:pPr>
            <w:r w:rsidRPr="008A60DC">
              <w:rPr>
                <w:rFonts w:ascii="Arial" w:eastAsia="Calibri" w:hAnsi="Arial" w:cs="Arial"/>
                <w:b/>
                <w:sz w:val="20"/>
              </w:rPr>
              <w:t>Available</w:t>
            </w:r>
          </w:p>
        </w:tc>
      </w:tr>
      <w:tr w:rsidR="00AB1B6A" w:rsidRPr="008A60DC" w14:paraId="5BE1BED8" w14:textId="77777777" w:rsidTr="00127CDF">
        <w:tc>
          <w:tcPr>
            <w:tcW w:w="3827" w:type="dxa"/>
            <w:shd w:val="clear" w:color="auto" w:fill="auto"/>
          </w:tcPr>
          <w:p w14:paraId="12391A5C" w14:textId="77777777" w:rsidR="00AB1B6A" w:rsidRPr="008A60DC" w:rsidRDefault="00AB1B6A" w:rsidP="00127CDF">
            <w:pPr>
              <w:pStyle w:val="OptusH3"/>
              <w:tabs>
                <w:tab w:val="clear" w:pos="2127"/>
              </w:tabs>
              <w:ind w:left="0" w:firstLine="0"/>
              <w:jc w:val="center"/>
              <w:rPr>
                <w:rFonts w:ascii="Arial" w:eastAsia="Calibri" w:hAnsi="Arial" w:cs="Arial"/>
                <w:b/>
                <w:sz w:val="20"/>
              </w:rPr>
            </w:pPr>
            <w:r w:rsidRPr="008A60DC">
              <w:rPr>
                <w:rFonts w:ascii="Arial" w:eastAsia="Calibri" w:hAnsi="Arial" w:cs="Arial"/>
                <w:sz w:val="20"/>
              </w:rPr>
              <w:t xml:space="preserve">$40 My Plan Business 12M SIM </w:t>
            </w:r>
          </w:p>
        </w:tc>
        <w:tc>
          <w:tcPr>
            <w:tcW w:w="1843" w:type="dxa"/>
            <w:shd w:val="clear" w:color="auto" w:fill="auto"/>
            <w:vAlign w:val="center"/>
          </w:tcPr>
          <w:p w14:paraId="33B503E1" w14:textId="77777777" w:rsidR="00AB1B6A" w:rsidRPr="008A60DC" w:rsidRDefault="00AB1B6A" w:rsidP="00E57781">
            <w:pPr>
              <w:pStyle w:val="OptusH3"/>
              <w:tabs>
                <w:tab w:val="clear" w:pos="2127"/>
              </w:tabs>
              <w:ind w:left="0" w:firstLine="0"/>
              <w:jc w:val="center"/>
              <w:rPr>
                <w:rFonts w:ascii="Arial" w:eastAsia="Calibri" w:hAnsi="Arial" w:cs="Arial"/>
                <w:b/>
                <w:sz w:val="20"/>
              </w:rPr>
            </w:pPr>
            <w:r w:rsidRPr="008A60DC">
              <w:rPr>
                <w:rFonts w:ascii="Arial" w:hAnsi="Arial" w:cs="Arial"/>
                <w:color w:val="000000"/>
                <w:sz w:val="20"/>
                <w:lang w:eastAsia="en-AU"/>
              </w:rPr>
              <w:t>800430</w:t>
            </w:r>
            <w:r w:rsidR="00E57781">
              <w:rPr>
                <w:rFonts w:ascii="Arial" w:hAnsi="Arial" w:cs="Arial"/>
                <w:color w:val="000000"/>
                <w:sz w:val="20"/>
                <w:lang w:eastAsia="en-AU"/>
              </w:rPr>
              <w:t>, 9167661</w:t>
            </w:r>
          </w:p>
        </w:tc>
        <w:tc>
          <w:tcPr>
            <w:tcW w:w="3685" w:type="dxa"/>
            <w:shd w:val="clear" w:color="auto" w:fill="auto"/>
          </w:tcPr>
          <w:p w14:paraId="42629B04" w14:textId="77777777" w:rsidR="00AB1B6A" w:rsidRPr="008A60DC" w:rsidRDefault="00AB1B6A" w:rsidP="00127CDF">
            <w:pPr>
              <w:pStyle w:val="OptusH3"/>
              <w:tabs>
                <w:tab w:val="clear" w:pos="2127"/>
              </w:tabs>
              <w:ind w:left="0" w:firstLine="0"/>
              <w:jc w:val="center"/>
              <w:rPr>
                <w:rFonts w:ascii="Arial" w:eastAsia="Calibri" w:hAnsi="Arial" w:cs="Arial"/>
                <w:b/>
                <w:sz w:val="20"/>
              </w:rPr>
            </w:pPr>
            <w:r w:rsidRPr="008A60DC">
              <w:rPr>
                <w:rFonts w:ascii="Arial" w:eastAsia="Calibri" w:hAnsi="Arial" w:cs="Arial"/>
                <w:sz w:val="20"/>
              </w:rPr>
              <w:t>1 April 2016 – 31 July 2016</w:t>
            </w:r>
          </w:p>
        </w:tc>
      </w:tr>
    </w:tbl>
    <w:p w14:paraId="7E634EDD" w14:textId="77777777" w:rsidR="00AB1B6A" w:rsidRPr="008A60DC" w:rsidRDefault="00AB1B6A" w:rsidP="00AB1B6A">
      <w:pPr>
        <w:pStyle w:val="ListParagraph"/>
        <w:ind w:left="0"/>
        <w:rPr>
          <w:rFonts w:ascii="Arial" w:hAnsi="Arial" w:cs="Arial"/>
          <w:b/>
          <w:lang w:val="en-AU"/>
        </w:rPr>
      </w:pPr>
    </w:p>
    <w:p w14:paraId="42D571CA" w14:textId="77777777" w:rsidR="00AB1B6A" w:rsidRPr="008A60DC" w:rsidRDefault="00AB1B6A" w:rsidP="00972274">
      <w:pPr>
        <w:pStyle w:val="OptusH2"/>
        <w:numPr>
          <w:ilvl w:val="1"/>
          <w:numId w:val="27"/>
        </w:numPr>
        <w:tabs>
          <w:tab w:val="num" w:pos="680"/>
          <w:tab w:val="left" w:pos="851"/>
        </w:tabs>
        <w:ind w:left="680" w:hanging="680"/>
        <w:rPr>
          <w:rFonts w:ascii="Arial" w:hAnsi="Arial" w:cs="Arial"/>
          <w:b w:val="0"/>
          <w:sz w:val="20"/>
        </w:rPr>
      </w:pPr>
      <w:r w:rsidRPr="008A60DC">
        <w:rPr>
          <w:rFonts w:ascii="Arial" w:hAnsi="Arial" w:cs="Arial"/>
          <w:b w:val="0"/>
          <w:sz w:val="20"/>
        </w:rPr>
        <w:t>Eligibility</w:t>
      </w:r>
    </w:p>
    <w:p w14:paraId="117B35D1" w14:textId="77777777" w:rsidR="00AB1B6A" w:rsidRPr="008A60DC" w:rsidRDefault="00AB1B6A" w:rsidP="00AB1B6A">
      <w:pPr>
        <w:pStyle w:val="OptusH3"/>
        <w:tabs>
          <w:tab w:val="clear" w:pos="2127"/>
        </w:tabs>
        <w:ind w:left="709" w:firstLine="0"/>
        <w:rPr>
          <w:rFonts w:ascii="Arial" w:hAnsi="Arial" w:cs="Arial"/>
          <w:sz w:val="20"/>
        </w:rPr>
      </w:pPr>
      <w:r w:rsidRPr="008A60DC">
        <w:rPr>
          <w:rFonts w:ascii="Arial" w:hAnsi="Arial" w:cs="Arial"/>
          <w:sz w:val="20"/>
        </w:rPr>
        <w:t xml:space="preserve">The $40 My Plan </w:t>
      </w:r>
      <w:r w:rsidRPr="008A60DC">
        <w:rPr>
          <w:rFonts w:ascii="Arial" w:eastAsia="Calibri" w:hAnsi="Arial" w:cs="Arial"/>
          <w:sz w:val="20"/>
        </w:rPr>
        <w:t>Business</w:t>
      </w:r>
      <w:r w:rsidRPr="008A60DC">
        <w:rPr>
          <w:rFonts w:ascii="Arial" w:hAnsi="Arial" w:cs="Arial"/>
          <w:sz w:val="20"/>
        </w:rPr>
        <w:t xml:space="preserve"> 12M SIM plan is only available to customers who pass Optus’ credit assessment. </w:t>
      </w:r>
    </w:p>
    <w:p w14:paraId="3ECC47D3" w14:textId="77777777" w:rsidR="00AB1B6A" w:rsidRPr="008A60DC" w:rsidRDefault="00AB1B6A" w:rsidP="00AB1B6A">
      <w:pPr>
        <w:pStyle w:val="OptusH3"/>
        <w:tabs>
          <w:tab w:val="clear" w:pos="2127"/>
        </w:tabs>
        <w:ind w:left="709" w:firstLine="0"/>
        <w:rPr>
          <w:rFonts w:ascii="Arial" w:hAnsi="Arial" w:cs="Arial"/>
          <w:sz w:val="20"/>
        </w:rPr>
      </w:pPr>
      <w:r w:rsidRPr="008A60DC">
        <w:rPr>
          <w:rFonts w:ascii="Arial" w:hAnsi="Arial" w:cs="Arial"/>
          <w:sz w:val="20"/>
        </w:rPr>
        <w:t>Optus Service Providers’ customers are not eligible to apply</w:t>
      </w:r>
      <w:r w:rsidRPr="008A60DC">
        <w:rPr>
          <w:rFonts w:ascii="Arial" w:hAnsi="Arial" w:cs="Arial"/>
          <w:snapToGrid w:val="0"/>
          <w:sz w:val="20"/>
        </w:rPr>
        <w:t>.</w:t>
      </w:r>
    </w:p>
    <w:p w14:paraId="3DEC4CA2" w14:textId="77777777" w:rsidR="00AB1B6A" w:rsidRPr="008A60DC" w:rsidRDefault="00AB1B6A" w:rsidP="00AB1B6A">
      <w:pPr>
        <w:pStyle w:val="OptusH3"/>
        <w:tabs>
          <w:tab w:val="clear" w:pos="2127"/>
        </w:tabs>
        <w:spacing w:before="0" w:after="0"/>
        <w:ind w:left="709" w:firstLine="0"/>
        <w:rPr>
          <w:rFonts w:ascii="Arial" w:hAnsi="Arial" w:cs="Arial"/>
          <w:sz w:val="20"/>
        </w:rPr>
      </w:pPr>
      <w:r w:rsidRPr="008A60DC">
        <w:rPr>
          <w:rFonts w:ascii="Arial" w:hAnsi="Arial" w:cs="Arial"/>
          <w:sz w:val="20"/>
        </w:rPr>
        <w:t xml:space="preserve">This </w:t>
      </w:r>
      <w:r w:rsidRPr="008A60DC">
        <w:rPr>
          <w:rFonts w:ascii="Arial" w:hAnsi="Arial" w:cs="Arial"/>
          <w:i/>
          <w:sz w:val="20"/>
        </w:rPr>
        <w:t xml:space="preserve">plan </w:t>
      </w:r>
      <w:r w:rsidRPr="008A60DC">
        <w:rPr>
          <w:rFonts w:ascii="Arial" w:hAnsi="Arial" w:cs="Arial"/>
          <w:sz w:val="20"/>
        </w:rPr>
        <w:t>is not compatible for data use with BlackBerry handsets on operating systems of 7.1 or earlier.</w:t>
      </w:r>
      <w:r w:rsidRPr="008A60DC">
        <w:rPr>
          <w:rFonts w:ascii="Arial" w:hAnsi="Arial" w:cs="Arial"/>
          <w:sz w:val="20"/>
        </w:rPr>
        <w:br/>
        <w:t xml:space="preserve">          </w:t>
      </w:r>
    </w:p>
    <w:p w14:paraId="2D44BAAB" w14:textId="77777777" w:rsidR="00AB1B6A" w:rsidRPr="008A60DC" w:rsidRDefault="00AB1B6A" w:rsidP="00972274">
      <w:pPr>
        <w:pStyle w:val="OptusH2"/>
        <w:numPr>
          <w:ilvl w:val="1"/>
          <w:numId w:val="27"/>
        </w:numPr>
        <w:tabs>
          <w:tab w:val="num" w:pos="680"/>
          <w:tab w:val="left" w:pos="851"/>
        </w:tabs>
        <w:ind w:left="680" w:hanging="680"/>
        <w:rPr>
          <w:rFonts w:ascii="Arial" w:hAnsi="Arial" w:cs="Arial"/>
          <w:b w:val="0"/>
          <w:sz w:val="20"/>
        </w:rPr>
      </w:pPr>
      <w:r w:rsidRPr="008A60DC">
        <w:rPr>
          <w:rFonts w:ascii="Arial" w:hAnsi="Arial" w:cs="Arial"/>
          <w:b w:val="0"/>
          <w:snapToGrid w:val="0"/>
          <w:sz w:val="20"/>
        </w:rPr>
        <w:t>Minimum Term</w:t>
      </w:r>
    </w:p>
    <w:p w14:paraId="40BA0777" w14:textId="77777777" w:rsidR="00AB1B6A" w:rsidRPr="008A60DC" w:rsidRDefault="00AB1B6A" w:rsidP="00824317">
      <w:pPr>
        <w:pStyle w:val="OptusH3"/>
        <w:tabs>
          <w:tab w:val="clear" w:pos="2127"/>
        </w:tabs>
        <w:spacing w:after="240"/>
        <w:ind w:left="709" w:firstLine="0"/>
        <w:rPr>
          <w:rFonts w:ascii="Arial" w:hAnsi="Arial" w:cs="Arial"/>
          <w:sz w:val="20"/>
        </w:rPr>
      </w:pPr>
      <w:r w:rsidRPr="008A60DC">
        <w:rPr>
          <w:rFonts w:ascii="Arial" w:hAnsi="Arial" w:cs="Arial"/>
          <w:sz w:val="20"/>
        </w:rPr>
        <w:t xml:space="preserve">This </w:t>
      </w:r>
      <w:r w:rsidRPr="008A60DC">
        <w:rPr>
          <w:rFonts w:ascii="Arial" w:hAnsi="Arial" w:cs="Arial"/>
          <w:i/>
          <w:sz w:val="20"/>
        </w:rPr>
        <w:t>plan</w:t>
      </w:r>
      <w:r w:rsidRPr="008A60DC">
        <w:rPr>
          <w:rFonts w:ascii="Arial" w:hAnsi="Arial" w:cs="Arial"/>
          <w:sz w:val="20"/>
        </w:rPr>
        <w:t xml:space="preserve"> has</w:t>
      </w:r>
      <w:r w:rsidRPr="008A60DC">
        <w:rPr>
          <w:rFonts w:ascii="Arial" w:hAnsi="Arial" w:cs="Arial"/>
          <w:i/>
          <w:sz w:val="20"/>
        </w:rPr>
        <w:t xml:space="preserve"> </w:t>
      </w:r>
      <w:r w:rsidRPr="008A60DC">
        <w:rPr>
          <w:rFonts w:ascii="Arial" w:hAnsi="Arial" w:cs="Arial"/>
          <w:sz w:val="20"/>
        </w:rPr>
        <w:t xml:space="preserve">a </w:t>
      </w:r>
      <w:r w:rsidRPr="008A60DC">
        <w:rPr>
          <w:rFonts w:ascii="Arial" w:hAnsi="Arial" w:cs="Arial"/>
          <w:i/>
          <w:sz w:val="20"/>
        </w:rPr>
        <w:t>fixed length agreement</w:t>
      </w:r>
      <w:r w:rsidRPr="008A60DC">
        <w:rPr>
          <w:rFonts w:ascii="Arial" w:hAnsi="Arial" w:cs="Arial"/>
          <w:sz w:val="20"/>
        </w:rPr>
        <w:t xml:space="preserve"> with a 12 month </w:t>
      </w:r>
      <w:r w:rsidRPr="008A60DC">
        <w:rPr>
          <w:rFonts w:ascii="Arial" w:hAnsi="Arial" w:cs="Arial"/>
          <w:i/>
          <w:sz w:val="20"/>
        </w:rPr>
        <w:t>minimum term.</w:t>
      </w:r>
    </w:p>
    <w:p w14:paraId="3BBD35CD" w14:textId="77777777" w:rsidR="00AB1B6A" w:rsidRPr="008A60DC" w:rsidRDefault="00AB1B6A" w:rsidP="00972274">
      <w:pPr>
        <w:pStyle w:val="OptusH2"/>
        <w:numPr>
          <w:ilvl w:val="1"/>
          <w:numId w:val="27"/>
        </w:numPr>
        <w:tabs>
          <w:tab w:val="num" w:pos="680"/>
          <w:tab w:val="left" w:pos="851"/>
        </w:tabs>
        <w:ind w:left="680" w:hanging="680"/>
        <w:rPr>
          <w:rFonts w:ascii="Arial" w:hAnsi="Arial" w:cs="Arial"/>
          <w:b w:val="0"/>
          <w:sz w:val="20"/>
        </w:rPr>
      </w:pPr>
      <w:r w:rsidRPr="008A60DC">
        <w:rPr>
          <w:rFonts w:ascii="Arial" w:hAnsi="Arial" w:cs="Arial"/>
          <w:b w:val="0"/>
          <w:sz w:val="20"/>
        </w:rPr>
        <w:t>What you have to pay us</w:t>
      </w:r>
    </w:p>
    <w:p w14:paraId="64C5BD95" w14:textId="77777777" w:rsidR="00AB1B6A" w:rsidRPr="008A60DC" w:rsidRDefault="00AB1B6A" w:rsidP="00972274">
      <w:pPr>
        <w:pStyle w:val="OptusH3"/>
        <w:numPr>
          <w:ilvl w:val="2"/>
          <w:numId w:val="61"/>
        </w:numPr>
        <w:tabs>
          <w:tab w:val="clear" w:pos="2127"/>
        </w:tabs>
        <w:spacing w:before="0" w:after="0"/>
        <w:ind w:left="1276" w:hanging="567"/>
        <w:rPr>
          <w:rFonts w:ascii="Arial" w:hAnsi="Arial" w:cs="Arial"/>
          <w:sz w:val="20"/>
        </w:rPr>
      </w:pPr>
      <w:r w:rsidRPr="008A60DC">
        <w:rPr>
          <w:rFonts w:ascii="Arial" w:hAnsi="Arial" w:cs="Arial"/>
          <w:i/>
          <w:sz w:val="20"/>
        </w:rPr>
        <w:t>You</w:t>
      </w:r>
      <w:r w:rsidRPr="008A60DC">
        <w:rPr>
          <w:rFonts w:ascii="Arial" w:hAnsi="Arial" w:cs="Arial"/>
          <w:sz w:val="20"/>
        </w:rPr>
        <w:t xml:space="preserve"> must pay </w:t>
      </w:r>
      <w:r w:rsidRPr="008A60DC">
        <w:rPr>
          <w:rFonts w:ascii="Arial" w:hAnsi="Arial" w:cs="Arial"/>
          <w:i/>
          <w:sz w:val="20"/>
        </w:rPr>
        <w:t>us</w:t>
      </w:r>
      <w:r w:rsidRPr="008A60DC">
        <w:rPr>
          <w:rFonts w:ascii="Arial" w:hAnsi="Arial" w:cs="Arial"/>
          <w:sz w:val="20"/>
        </w:rPr>
        <w:t xml:space="preserve"> for use of the </w:t>
      </w:r>
      <w:r w:rsidRPr="008A60DC">
        <w:rPr>
          <w:rFonts w:ascii="Arial" w:hAnsi="Arial" w:cs="Arial"/>
          <w:i/>
          <w:sz w:val="20"/>
        </w:rPr>
        <w:t>service</w:t>
      </w:r>
      <w:r w:rsidRPr="008A60DC">
        <w:rPr>
          <w:rFonts w:ascii="Arial" w:hAnsi="Arial" w:cs="Arial"/>
          <w:sz w:val="20"/>
        </w:rPr>
        <w:t xml:space="preserve"> at the rates set out in Section 1 of this </w:t>
      </w:r>
      <w:r w:rsidRPr="008A60DC">
        <w:rPr>
          <w:rFonts w:ascii="Arial" w:hAnsi="Arial" w:cs="Arial"/>
          <w:i/>
          <w:sz w:val="20"/>
        </w:rPr>
        <w:t>standard pricing table</w:t>
      </w:r>
      <w:r w:rsidRPr="008A60DC">
        <w:rPr>
          <w:rFonts w:ascii="Arial" w:hAnsi="Arial" w:cs="Arial"/>
          <w:sz w:val="20"/>
        </w:rPr>
        <w:t xml:space="preserve"> and for value added service features at the rates set out in </w:t>
      </w:r>
      <w:hyperlink r:id="rId664" w:history="1">
        <w:r w:rsidRPr="00460CAF">
          <w:rPr>
            <w:rStyle w:val="Hyperlink"/>
            <w:rFonts w:cs="Arial"/>
            <w:i/>
          </w:rPr>
          <w:t>Appendix Y Value Added Service Features</w:t>
        </w:r>
        <w:r w:rsidRPr="00460CAF">
          <w:rPr>
            <w:rStyle w:val="Hyperlink"/>
            <w:rFonts w:cs="Arial"/>
          </w:rPr>
          <w:t>.</w:t>
        </w:r>
      </w:hyperlink>
    </w:p>
    <w:p w14:paraId="1106DB3E" w14:textId="77777777" w:rsidR="00AB1B6A" w:rsidRPr="008A60DC" w:rsidRDefault="00AB1B6A" w:rsidP="00972274">
      <w:pPr>
        <w:pStyle w:val="OptusH3"/>
        <w:numPr>
          <w:ilvl w:val="2"/>
          <w:numId w:val="27"/>
        </w:numPr>
        <w:tabs>
          <w:tab w:val="clear" w:pos="2127"/>
          <w:tab w:val="left" w:pos="1276"/>
        </w:tabs>
        <w:spacing w:after="240"/>
        <w:ind w:left="1276" w:hanging="567"/>
        <w:rPr>
          <w:rFonts w:ascii="Arial" w:hAnsi="Arial" w:cs="Arial"/>
          <w:sz w:val="20"/>
        </w:rPr>
      </w:pPr>
      <w:r w:rsidRPr="008A60DC">
        <w:rPr>
          <w:rFonts w:ascii="Arial" w:hAnsi="Arial" w:cs="Arial"/>
          <w:sz w:val="20"/>
        </w:rPr>
        <w:t>If there is a flagfall for a particular call type, the charge for these calls is the flagfall amount plus the relevant rate for the call multiplied by the duration of the call.</w:t>
      </w:r>
    </w:p>
    <w:p w14:paraId="4F159265" w14:textId="77777777" w:rsidR="00AB1B6A" w:rsidRPr="00824317" w:rsidRDefault="00AB1B6A" w:rsidP="00972274">
      <w:pPr>
        <w:pStyle w:val="OptusH2"/>
        <w:numPr>
          <w:ilvl w:val="1"/>
          <w:numId w:val="27"/>
        </w:numPr>
        <w:tabs>
          <w:tab w:val="num" w:pos="680"/>
          <w:tab w:val="left" w:pos="851"/>
        </w:tabs>
        <w:ind w:left="680" w:hanging="680"/>
        <w:rPr>
          <w:rFonts w:ascii="Arial" w:hAnsi="Arial" w:cs="Arial"/>
          <w:b w:val="0"/>
          <w:sz w:val="20"/>
        </w:rPr>
      </w:pPr>
      <w:r w:rsidRPr="00824317">
        <w:rPr>
          <w:rFonts w:ascii="Arial" w:hAnsi="Arial" w:cs="Arial"/>
          <w:b w:val="0"/>
          <w:sz w:val="20"/>
        </w:rPr>
        <w:lastRenderedPageBreak/>
        <w:t>Minimum Monthly Charge</w:t>
      </w:r>
    </w:p>
    <w:p w14:paraId="099E015D" w14:textId="77777777" w:rsidR="00AB1B6A" w:rsidRPr="008A60DC" w:rsidRDefault="00AB1B6A" w:rsidP="00972274">
      <w:pPr>
        <w:pStyle w:val="OptusH3"/>
        <w:numPr>
          <w:ilvl w:val="2"/>
          <w:numId w:val="61"/>
        </w:numPr>
        <w:tabs>
          <w:tab w:val="clear" w:pos="2127"/>
          <w:tab w:val="num" w:pos="1276"/>
        </w:tabs>
        <w:spacing w:before="0" w:after="0"/>
        <w:ind w:left="1276" w:hanging="567"/>
        <w:rPr>
          <w:rFonts w:ascii="Arial" w:hAnsi="Arial" w:cs="Arial"/>
          <w:sz w:val="20"/>
        </w:rPr>
      </w:pPr>
      <w:r w:rsidRPr="008A60DC">
        <w:rPr>
          <w:rFonts w:ascii="Arial" w:hAnsi="Arial" w:cs="Arial"/>
          <w:sz w:val="20"/>
        </w:rPr>
        <w:t xml:space="preserve">My Plan Business 12M SIM plans have a Minimum Monthly Charge amount that </w:t>
      </w:r>
      <w:r w:rsidRPr="008A60DC">
        <w:rPr>
          <w:rFonts w:ascii="Arial" w:hAnsi="Arial" w:cs="Arial"/>
          <w:i/>
          <w:sz w:val="20"/>
        </w:rPr>
        <w:t>you</w:t>
      </w:r>
      <w:r w:rsidRPr="008A60DC">
        <w:rPr>
          <w:rFonts w:ascii="Arial" w:hAnsi="Arial" w:cs="Arial"/>
          <w:sz w:val="20"/>
        </w:rPr>
        <w:t xml:space="preserve"> must pay </w:t>
      </w:r>
      <w:r w:rsidRPr="008A60DC">
        <w:rPr>
          <w:rFonts w:ascii="Arial" w:hAnsi="Arial" w:cs="Arial"/>
          <w:i/>
          <w:sz w:val="20"/>
        </w:rPr>
        <w:t>us</w:t>
      </w:r>
      <w:r w:rsidRPr="008A60DC">
        <w:rPr>
          <w:rFonts w:ascii="Arial" w:hAnsi="Arial" w:cs="Arial"/>
          <w:sz w:val="20"/>
        </w:rPr>
        <w:t xml:space="preserve"> each month as set out in Table 1 below.  </w:t>
      </w:r>
    </w:p>
    <w:p w14:paraId="0DA70A01" w14:textId="77777777" w:rsidR="00AB1B6A" w:rsidRPr="008A60DC" w:rsidRDefault="00AB1B6A" w:rsidP="00AB1B6A">
      <w:pPr>
        <w:pStyle w:val="OptusH3"/>
        <w:tabs>
          <w:tab w:val="clear" w:pos="2127"/>
          <w:tab w:val="num" w:pos="1276"/>
        </w:tabs>
        <w:spacing w:before="0" w:after="0"/>
        <w:ind w:left="1276" w:hanging="567"/>
        <w:rPr>
          <w:rFonts w:ascii="Arial" w:hAnsi="Arial" w:cs="Arial"/>
          <w:sz w:val="20"/>
        </w:rPr>
      </w:pPr>
      <w:r w:rsidRPr="008A60DC">
        <w:rPr>
          <w:rFonts w:ascii="Arial" w:hAnsi="Arial" w:cs="Arial"/>
          <w:sz w:val="20"/>
        </w:rPr>
        <w:t xml:space="preserve">  </w:t>
      </w:r>
    </w:p>
    <w:p w14:paraId="5C378B33" w14:textId="77777777" w:rsidR="00AB1B6A" w:rsidRPr="008A60DC" w:rsidRDefault="00AB1B6A" w:rsidP="00972274">
      <w:pPr>
        <w:pStyle w:val="OptusH3"/>
        <w:numPr>
          <w:ilvl w:val="2"/>
          <w:numId w:val="27"/>
        </w:numPr>
        <w:tabs>
          <w:tab w:val="clear" w:pos="2127"/>
          <w:tab w:val="num" w:pos="1276"/>
          <w:tab w:val="left" w:pos="1701"/>
        </w:tabs>
        <w:spacing w:after="240"/>
        <w:ind w:left="1276" w:hanging="567"/>
        <w:rPr>
          <w:rFonts w:ascii="Arial" w:hAnsi="Arial" w:cs="Arial"/>
          <w:sz w:val="20"/>
        </w:rPr>
      </w:pPr>
      <w:r w:rsidRPr="008A60DC">
        <w:rPr>
          <w:rFonts w:ascii="Arial" w:hAnsi="Arial" w:cs="Arial"/>
          <w:i/>
          <w:sz w:val="20"/>
        </w:rPr>
        <w:t>You</w:t>
      </w:r>
      <w:r w:rsidRPr="008A60DC">
        <w:rPr>
          <w:rFonts w:ascii="Arial" w:hAnsi="Arial" w:cs="Arial"/>
          <w:sz w:val="20"/>
        </w:rPr>
        <w:t xml:space="preserve"> may purchase a mobile phone (or ‘handset’) with a 1 month or 12 month equipment term under a </w:t>
      </w:r>
      <w:r w:rsidRPr="008A60DC">
        <w:rPr>
          <w:rFonts w:ascii="Arial" w:hAnsi="Arial" w:cs="Arial"/>
          <w:i/>
          <w:sz w:val="20"/>
        </w:rPr>
        <w:t>mobile equipment payment plan</w:t>
      </w:r>
      <w:r w:rsidRPr="008A60DC">
        <w:rPr>
          <w:rFonts w:ascii="Arial" w:hAnsi="Arial" w:cs="Arial"/>
          <w:sz w:val="20"/>
        </w:rPr>
        <w:t xml:space="preserve"> (set out in </w:t>
      </w:r>
      <w:hyperlink r:id="rId665" w:history="1">
        <w:r w:rsidRPr="008A60DC">
          <w:rPr>
            <w:rStyle w:val="Hyperlink"/>
            <w:rFonts w:cs="Arial"/>
          </w:rPr>
          <w:t>Appendix D</w:t>
        </w:r>
      </w:hyperlink>
      <w:r w:rsidRPr="008A60DC">
        <w:rPr>
          <w:rFonts w:ascii="Arial" w:hAnsi="Arial" w:cs="Arial"/>
          <w:sz w:val="20"/>
        </w:rPr>
        <w:t>).</w:t>
      </w:r>
    </w:p>
    <w:p w14:paraId="59E3FE44" w14:textId="77777777" w:rsidR="00AB1B6A" w:rsidRPr="008A60DC" w:rsidRDefault="00AB1B6A" w:rsidP="00972274">
      <w:pPr>
        <w:pStyle w:val="OptusH2"/>
        <w:numPr>
          <w:ilvl w:val="1"/>
          <w:numId w:val="27"/>
        </w:numPr>
        <w:tabs>
          <w:tab w:val="num" w:pos="680"/>
          <w:tab w:val="left" w:pos="851"/>
        </w:tabs>
        <w:ind w:left="680" w:hanging="680"/>
        <w:rPr>
          <w:rFonts w:ascii="Arial" w:hAnsi="Arial" w:cs="Arial"/>
          <w:b w:val="0"/>
          <w:snapToGrid w:val="0"/>
          <w:sz w:val="20"/>
        </w:rPr>
      </w:pPr>
      <w:r w:rsidRPr="008A60DC">
        <w:rPr>
          <w:rFonts w:ascii="Arial" w:hAnsi="Arial" w:cs="Arial"/>
          <w:b w:val="0"/>
          <w:snapToGrid w:val="0"/>
          <w:sz w:val="20"/>
        </w:rPr>
        <w:t>How My Plan Business 12M SIM works</w:t>
      </w:r>
    </w:p>
    <w:p w14:paraId="1A9E4F45" w14:textId="77777777" w:rsidR="00AB1B6A" w:rsidRPr="008A60DC" w:rsidRDefault="00AB1B6A" w:rsidP="00972274">
      <w:pPr>
        <w:pStyle w:val="OptusH3"/>
        <w:numPr>
          <w:ilvl w:val="2"/>
          <w:numId w:val="61"/>
        </w:numPr>
        <w:tabs>
          <w:tab w:val="clear" w:pos="2127"/>
          <w:tab w:val="num" w:pos="1276"/>
          <w:tab w:val="left" w:pos="1701"/>
        </w:tabs>
        <w:ind w:left="1276" w:hanging="567"/>
        <w:rPr>
          <w:rFonts w:ascii="Arial" w:hAnsi="Arial" w:cs="Arial"/>
          <w:sz w:val="20"/>
        </w:rPr>
      </w:pPr>
      <w:r w:rsidRPr="008A60DC">
        <w:rPr>
          <w:rFonts w:ascii="Arial" w:hAnsi="Arial" w:cs="Arial"/>
          <w:sz w:val="20"/>
        </w:rPr>
        <w:t>The $40 My Plan Business 12M SIM plans has unlimited minutes to use on standard national calls to landlines and mobiles, 13/1300 numbers and voicemail retrievals and Included Data (for mobile internet use) to share with other services on a My Plan Plus, My Plan Plus SIM Only, My Plan Plus 12M SIM Only,  My Plan Business (including Tech Fund), My Plan Business SIM, My Plan Business 12M SIM, My Mobile Broadband Plus, Mobile Broadband Business or Shared Data Plan on the same account.</w:t>
      </w:r>
    </w:p>
    <w:p w14:paraId="4653D85E" w14:textId="77777777" w:rsidR="00AB1B6A" w:rsidRPr="008A60DC" w:rsidRDefault="00AB1B6A" w:rsidP="00972274">
      <w:pPr>
        <w:pStyle w:val="OptusH3"/>
        <w:numPr>
          <w:ilvl w:val="2"/>
          <w:numId w:val="27"/>
        </w:numPr>
        <w:tabs>
          <w:tab w:val="clear" w:pos="2127"/>
          <w:tab w:val="num" w:pos="1276"/>
          <w:tab w:val="left" w:pos="1701"/>
        </w:tabs>
        <w:spacing w:before="100" w:beforeAutospacing="1" w:after="0"/>
        <w:ind w:left="1276" w:hanging="567"/>
        <w:rPr>
          <w:rFonts w:ascii="Arial" w:hAnsi="Arial" w:cs="Arial"/>
          <w:sz w:val="20"/>
        </w:rPr>
      </w:pPr>
      <w:r w:rsidRPr="008A60DC">
        <w:rPr>
          <w:rFonts w:ascii="Arial" w:hAnsi="Arial" w:cs="Arial"/>
          <w:sz w:val="20"/>
        </w:rPr>
        <w:t xml:space="preserve">The $40 My Plan Business 12M SIM plan also includes unlimited standard national SMS/MMS and unlimited standard International SMS/MMS to selected countries. It also has an amount of included international minutes to use on standard international calls to selected countries. </w:t>
      </w:r>
    </w:p>
    <w:p w14:paraId="19A060DF" w14:textId="77777777" w:rsidR="00AB1B6A" w:rsidRPr="008A60DC" w:rsidRDefault="00AB1B6A" w:rsidP="00AB1B6A">
      <w:pPr>
        <w:pStyle w:val="OptusH3"/>
        <w:tabs>
          <w:tab w:val="clear" w:pos="2127"/>
          <w:tab w:val="num" w:pos="1276"/>
        </w:tabs>
        <w:spacing w:before="0" w:after="0"/>
        <w:ind w:left="1276" w:hanging="567"/>
        <w:rPr>
          <w:rFonts w:ascii="Arial" w:hAnsi="Arial" w:cs="Arial"/>
          <w:sz w:val="20"/>
        </w:rPr>
      </w:pPr>
    </w:p>
    <w:p w14:paraId="38B112DE" w14:textId="77777777" w:rsidR="00AB1B6A" w:rsidRPr="008A60DC" w:rsidRDefault="00AB1B6A" w:rsidP="00972274">
      <w:pPr>
        <w:pStyle w:val="OptusH3"/>
        <w:numPr>
          <w:ilvl w:val="2"/>
          <w:numId w:val="27"/>
        </w:numPr>
        <w:tabs>
          <w:tab w:val="clear" w:pos="2127"/>
          <w:tab w:val="num" w:pos="1276"/>
          <w:tab w:val="left" w:pos="1701"/>
        </w:tabs>
        <w:spacing w:before="0" w:after="0"/>
        <w:ind w:left="1276" w:hanging="567"/>
        <w:rPr>
          <w:rFonts w:ascii="Arial" w:hAnsi="Arial" w:cs="Arial"/>
          <w:sz w:val="20"/>
        </w:rPr>
      </w:pPr>
      <w:r w:rsidRPr="008A60DC">
        <w:rPr>
          <w:rFonts w:ascii="Arial" w:hAnsi="Arial" w:cs="Arial"/>
          <w:sz w:val="20"/>
        </w:rPr>
        <w:t>Data usage is calculated in one kilobyte increments. International minutes are billed in one minute increments.</w:t>
      </w:r>
    </w:p>
    <w:p w14:paraId="7C2DAFE7" w14:textId="77777777" w:rsidR="00AB1B6A" w:rsidRPr="008A60DC" w:rsidRDefault="00AB1B6A" w:rsidP="00AB1B6A">
      <w:pPr>
        <w:pStyle w:val="OptusH3"/>
        <w:tabs>
          <w:tab w:val="clear" w:pos="2127"/>
          <w:tab w:val="num" w:pos="1276"/>
        </w:tabs>
        <w:spacing w:before="0" w:after="0"/>
        <w:ind w:left="1276" w:hanging="567"/>
        <w:rPr>
          <w:rFonts w:ascii="Arial" w:hAnsi="Arial" w:cs="Arial"/>
          <w:sz w:val="20"/>
        </w:rPr>
      </w:pPr>
    </w:p>
    <w:p w14:paraId="7FC22846" w14:textId="77777777" w:rsidR="00AB1B6A" w:rsidRPr="008A60DC" w:rsidRDefault="00AB1B6A" w:rsidP="00972274">
      <w:pPr>
        <w:pStyle w:val="OptusH3"/>
        <w:numPr>
          <w:ilvl w:val="2"/>
          <w:numId w:val="27"/>
        </w:numPr>
        <w:tabs>
          <w:tab w:val="clear" w:pos="2127"/>
          <w:tab w:val="num" w:pos="1276"/>
          <w:tab w:val="left" w:pos="1701"/>
        </w:tabs>
        <w:spacing w:before="0" w:after="0"/>
        <w:ind w:left="1276" w:hanging="567"/>
        <w:rPr>
          <w:rFonts w:ascii="Arial" w:hAnsi="Arial" w:cs="Arial"/>
          <w:sz w:val="20"/>
        </w:rPr>
      </w:pPr>
      <w:r w:rsidRPr="008A60DC">
        <w:rPr>
          <w:rFonts w:ascii="Arial" w:hAnsi="Arial" w:cs="Arial"/>
          <w:sz w:val="20"/>
        </w:rPr>
        <w:t xml:space="preserve">If </w:t>
      </w:r>
      <w:r w:rsidRPr="008A60DC">
        <w:rPr>
          <w:rFonts w:ascii="Arial" w:hAnsi="Arial" w:cs="Arial"/>
          <w:i/>
          <w:sz w:val="20"/>
        </w:rPr>
        <w:t>you</w:t>
      </w:r>
      <w:r w:rsidRPr="008A60DC">
        <w:rPr>
          <w:rFonts w:ascii="Arial" w:hAnsi="Arial" w:cs="Arial"/>
          <w:sz w:val="20"/>
        </w:rPr>
        <w:t xml:space="preserve"> exceed </w:t>
      </w:r>
      <w:r w:rsidRPr="008A60DC">
        <w:rPr>
          <w:rFonts w:ascii="Arial" w:hAnsi="Arial" w:cs="Arial"/>
          <w:i/>
          <w:sz w:val="20"/>
        </w:rPr>
        <w:t>your</w:t>
      </w:r>
      <w:r w:rsidRPr="008A60DC">
        <w:rPr>
          <w:rFonts w:ascii="Arial" w:hAnsi="Arial" w:cs="Arial"/>
          <w:sz w:val="20"/>
        </w:rPr>
        <w:t xml:space="preserve"> included shareable data </w:t>
      </w:r>
      <w:r w:rsidRPr="008A60DC">
        <w:rPr>
          <w:rFonts w:ascii="Arial" w:hAnsi="Arial" w:cs="Arial"/>
          <w:i/>
          <w:sz w:val="20"/>
        </w:rPr>
        <w:t>you’ll</w:t>
      </w:r>
      <w:r w:rsidRPr="008A60DC">
        <w:rPr>
          <w:rFonts w:ascii="Arial" w:hAnsi="Arial" w:cs="Arial"/>
          <w:sz w:val="20"/>
        </w:rPr>
        <w:t xml:space="preserve"> automatically be charged $10 for each additional 1GB of data (“</w:t>
      </w:r>
      <w:r w:rsidRPr="008A60DC">
        <w:rPr>
          <w:rFonts w:ascii="Arial" w:hAnsi="Arial" w:cs="Arial"/>
          <w:b/>
          <w:sz w:val="20"/>
        </w:rPr>
        <w:t>Additional Data</w:t>
      </w:r>
      <w:r w:rsidRPr="008A60DC">
        <w:rPr>
          <w:rFonts w:ascii="Arial" w:hAnsi="Arial" w:cs="Arial"/>
          <w:sz w:val="20"/>
        </w:rPr>
        <w:t xml:space="preserve">”) that </w:t>
      </w:r>
      <w:r w:rsidRPr="008A60DC">
        <w:rPr>
          <w:rFonts w:ascii="Arial" w:hAnsi="Arial" w:cs="Arial"/>
          <w:i/>
          <w:sz w:val="20"/>
        </w:rPr>
        <w:t>you</w:t>
      </w:r>
      <w:r w:rsidRPr="008A60DC">
        <w:rPr>
          <w:rFonts w:ascii="Arial" w:hAnsi="Arial" w:cs="Arial"/>
          <w:sz w:val="20"/>
        </w:rPr>
        <w:t xml:space="preserve"> use (or part thereof) up to 150GB of extra data per account each month. </w:t>
      </w:r>
      <w:r w:rsidRPr="008A60DC">
        <w:rPr>
          <w:rFonts w:ascii="Arial" w:hAnsi="Arial" w:cs="Arial"/>
          <w:i/>
          <w:sz w:val="20"/>
        </w:rPr>
        <w:t>Your</w:t>
      </w:r>
      <w:r w:rsidRPr="008A60DC">
        <w:rPr>
          <w:rFonts w:ascii="Arial" w:hAnsi="Arial" w:cs="Arial"/>
          <w:sz w:val="20"/>
        </w:rPr>
        <w:t xml:space="preserve"> service/s may then be restricted or </w:t>
      </w:r>
      <w:r w:rsidRPr="008A60DC">
        <w:rPr>
          <w:rFonts w:ascii="Arial" w:hAnsi="Arial" w:cs="Arial"/>
          <w:i/>
          <w:sz w:val="20"/>
        </w:rPr>
        <w:t>we</w:t>
      </w:r>
      <w:r w:rsidRPr="008A60DC">
        <w:rPr>
          <w:rFonts w:ascii="Arial" w:hAnsi="Arial" w:cs="Arial"/>
          <w:sz w:val="20"/>
        </w:rPr>
        <w:t xml:space="preserve"> may continue to charge </w:t>
      </w:r>
      <w:r w:rsidRPr="008A60DC">
        <w:rPr>
          <w:rFonts w:ascii="Arial" w:hAnsi="Arial" w:cs="Arial"/>
          <w:i/>
          <w:sz w:val="20"/>
        </w:rPr>
        <w:t>you</w:t>
      </w:r>
      <w:r w:rsidRPr="008A60DC">
        <w:rPr>
          <w:rFonts w:ascii="Arial" w:hAnsi="Arial" w:cs="Arial"/>
          <w:sz w:val="20"/>
        </w:rPr>
        <w:t xml:space="preserve"> at these rates.</w:t>
      </w:r>
    </w:p>
    <w:p w14:paraId="56901345" w14:textId="77777777" w:rsidR="00AB1B6A" w:rsidRPr="008A60DC" w:rsidRDefault="00AB1B6A" w:rsidP="00AB1B6A">
      <w:pPr>
        <w:pStyle w:val="OptusH3"/>
        <w:tabs>
          <w:tab w:val="clear" w:pos="2127"/>
          <w:tab w:val="num" w:pos="1276"/>
        </w:tabs>
        <w:spacing w:before="0" w:after="0"/>
        <w:ind w:left="1276" w:hanging="567"/>
        <w:rPr>
          <w:rFonts w:ascii="Arial" w:hAnsi="Arial" w:cs="Arial"/>
          <w:sz w:val="20"/>
        </w:rPr>
      </w:pPr>
    </w:p>
    <w:p w14:paraId="7040120F" w14:textId="77777777" w:rsidR="00AB1B6A" w:rsidRPr="008A60DC" w:rsidRDefault="00AB1B6A" w:rsidP="00972274">
      <w:pPr>
        <w:pStyle w:val="OptusH3"/>
        <w:numPr>
          <w:ilvl w:val="2"/>
          <w:numId w:val="27"/>
        </w:numPr>
        <w:tabs>
          <w:tab w:val="clear" w:pos="2127"/>
          <w:tab w:val="num" w:pos="1276"/>
          <w:tab w:val="left" w:pos="1701"/>
        </w:tabs>
        <w:spacing w:before="0"/>
        <w:ind w:left="1276" w:hanging="567"/>
        <w:rPr>
          <w:rFonts w:ascii="Arial" w:hAnsi="Arial" w:cs="Arial"/>
          <w:sz w:val="20"/>
        </w:rPr>
      </w:pPr>
      <w:r w:rsidRPr="008A60DC">
        <w:rPr>
          <w:rFonts w:ascii="Arial" w:hAnsi="Arial" w:cs="Arial"/>
          <w:sz w:val="20"/>
        </w:rPr>
        <w:t xml:space="preserve">Any unused portion of </w:t>
      </w:r>
      <w:r w:rsidRPr="008A60DC">
        <w:rPr>
          <w:rFonts w:ascii="Arial" w:hAnsi="Arial" w:cs="Arial"/>
          <w:i/>
          <w:sz w:val="20"/>
        </w:rPr>
        <w:t>your</w:t>
      </w:r>
      <w:r w:rsidRPr="008A60DC">
        <w:rPr>
          <w:rFonts w:ascii="Arial" w:hAnsi="Arial" w:cs="Arial"/>
          <w:sz w:val="20"/>
        </w:rPr>
        <w:t xml:space="preserve"> </w:t>
      </w:r>
      <w:r w:rsidRPr="008A60DC">
        <w:rPr>
          <w:rFonts w:ascii="Arial" w:hAnsi="Arial" w:cs="Arial"/>
          <w:i/>
          <w:sz w:val="20"/>
        </w:rPr>
        <w:t>plan’s</w:t>
      </w:r>
      <w:r w:rsidRPr="008A60DC">
        <w:rPr>
          <w:rFonts w:ascii="Arial" w:hAnsi="Arial" w:cs="Arial"/>
          <w:sz w:val="20"/>
        </w:rPr>
        <w:t xml:space="preserve"> Included or Additional Data expires at the end of each month and does not roll over into the next month.</w:t>
      </w:r>
    </w:p>
    <w:p w14:paraId="6501BB0A" w14:textId="77777777" w:rsidR="00AB1B6A" w:rsidRPr="008A60DC" w:rsidRDefault="00AB1B6A" w:rsidP="00AB1B6A">
      <w:pPr>
        <w:pStyle w:val="OptusH3"/>
        <w:tabs>
          <w:tab w:val="clear" w:pos="2127"/>
          <w:tab w:val="num" w:pos="1276"/>
        </w:tabs>
        <w:spacing w:before="0" w:after="0"/>
        <w:ind w:left="1276" w:hanging="567"/>
        <w:rPr>
          <w:rFonts w:ascii="Arial" w:hAnsi="Arial" w:cs="Arial"/>
          <w:sz w:val="20"/>
        </w:rPr>
      </w:pPr>
    </w:p>
    <w:p w14:paraId="0E715690" w14:textId="77777777" w:rsidR="00AB1B6A" w:rsidRPr="008A60DC" w:rsidRDefault="00AB1B6A" w:rsidP="00972274">
      <w:pPr>
        <w:pStyle w:val="OptusH3"/>
        <w:numPr>
          <w:ilvl w:val="2"/>
          <w:numId w:val="27"/>
        </w:numPr>
        <w:tabs>
          <w:tab w:val="clear" w:pos="2127"/>
          <w:tab w:val="num" w:pos="1276"/>
          <w:tab w:val="left" w:pos="1701"/>
        </w:tabs>
        <w:spacing w:before="0" w:after="240"/>
        <w:ind w:left="1276" w:hanging="567"/>
        <w:rPr>
          <w:rFonts w:ascii="Arial" w:hAnsi="Arial" w:cs="Arial"/>
          <w:b/>
          <w:sz w:val="20"/>
        </w:rPr>
      </w:pPr>
      <w:r w:rsidRPr="008A60DC">
        <w:rPr>
          <w:rFonts w:ascii="Arial" w:hAnsi="Arial" w:cs="Arial"/>
          <w:i/>
          <w:sz w:val="20"/>
        </w:rPr>
        <w:t>You</w:t>
      </w:r>
      <w:r w:rsidRPr="008A60DC">
        <w:rPr>
          <w:rFonts w:ascii="Arial" w:hAnsi="Arial" w:cs="Arial"/>
          <w:sz w:val="20"/>
        </w:rPr>
        <w:t xml:space="preserve"> must pay </w:t>
      </w:r>
      <w:r w:rsidRPr="008A60DC">
        <w:rPr>
          <w:rFonts w:ascii="Arial" w:hAnsi="Arial" w:cs="Arial"/>
          <w:i/>
          <w:sz w:val="20"/>
        </w:rPr>
        <w:t>us</w:t>
      </w:r>
      <w:r w:rsidRPr="008A60DC">
        <w:rPr>
          <w:rFonts w:ascii="Arial" w:hAnsi="Arial" w:cs="Arial"/>
          <w:sz w:val="20"/>
        </w:rPr>
        <w:t xml:space="preserve"> for use of any services that are not included in </w:t>
      </w:r>
      <w:r w:rsidRPr="008A60DC">
        <w:rPr>
          <w:rFonts w:ascii="Arial" w:hAnsi="Arial" w:cs="Arial"/>
          <w:i/>
          <w:sz w:val="20"/>
        </w:rPr>
        <w:t>your</w:t>
      </w:r>
      <w:r w:rsidRPr="008A60DC">
        <w:rPr>
          <w:rFonts w:ascii="Arial" w:hAnsi="Arial" w:cs="Arial"/>
          <w:sz w:val="20"/>
        </w:rPr>
        <w:t xml:space="preserve"> plan’s inclusions, examples of which are set out in Table 2 below.</w:t>
      </w:r>
    </w:p>
    <w:p w14:paraId="2D128351" w14:textId="77777777" w:rsidR="00AB1B6A" w:rsidRPr="008A60DC" w:rsidRDefault="00AB1B6A" w:rsidP="00972274">
      <w:pPr>
        <w:pStyle w:val="OptusH2"/>
        <w:numPr>
          <w:ilvl w:val="1"/>
          <w:numId w:val="27"/>
        </w:numPr>
        <w:tabs>
          <w:tab w:val="num" w:pos="680"/>
          <w:tab w:val="left" w:pos="851"/>
        </w:tabs>
        <w:ind w:left="680" w:hanging="680"/>
        <w:rPr>
          <w:rFonts w:ascii="Arial" w:hAnsi="Arial" w:cs="Arial"/>
          <w:b w:val="0"/>
          <w:snapToGrid w:val="0"/>
          <w:sz w:val="20"/>
        </w:rPr>
      </w:pPr>
      <w:r w:rsidRPr="008A60DC">
        <w:rPr>
          <w:rFonts w:ascii="Arial" w:hAnsi="Arial" w:cs="Arial"/>
          <w:b w:val="0"/>
          <w:snapToGrid w:val="0"/>
          <w:sz w:val="20"/>
        </w:rPr>
        <w:t>Data Sharing</w:t>
      </w:r>
    </w:p>
    <w:p w14:paraId="3A448C53" w14:textId="77777777" w:rsidR="00AB1B6A" w:rsidRPr="008A60DC" w:rsidRDefault="00AB1B6A" w:rsidP="00972274">
      <w:pPr>
        <w:pStyle w:val="OptusH3"/>
        <w:numPr>
          <w:ilvl w:val="2"/>
          <w:numId w:val="61"/>
        </w:numPr>
        <w:tabs>
          <w:tab w:val="clear" w:pos="2127"/>
          <w:tab w:val="left" w:pos="1276"/>
        </w:tabs>
        <w:spacing w:before="0" w:after="0"/>
        <w:ind w:left="1276" w:hanging="567"/>
        <w:rPr>
          <w:rFonts w:ascii="Arial" w:hAnsi="Arial" w:cs="Arial"/>
          <w:sz w:val="20"/>
        </w:rPr>
      </w:pPr>
      <w:r w:rsidRPr="008A60DC">
        <w:rPr>
          <w:rFonts w:ascii="Arial" w:hAnsi="Arial" w:cs="Arial"/>
          <w:sz w:val="20"/>
        </w:rPr>
        <w:t xml:space="preserve">If </w:t>
      </w:r>
      <w:r w:rsidRPr="008A60DC">
        <w:rPr>
          <w:rFonts w:ascii="Arial" w:hAnsi="Arial" w:cs="Arial"/>
          <w:i/>
          <w:sz w:val="20"/>
        </w:rPr>
        <w:t>you</w:t>
      </w:r>
      <w:r w:rsidRPr="008A60DC">
        <w:rPr>
          <w:rFonts w:ascii="Arial" w:hAnsi="Arial" w:cs="Arial"/>
          <w:sz w:val="20"/>
        </w:rPr>
        <w:t xml:space="preserve"> have more than one My Plan Plus, My Plan Plus SIM Only, My Plan Plus 12M SIM Only, My Plan Business (including Tech Fund), My Plan Business SIM, My Plan Business 12M SIM, My Mobile Broadband Plus or Mobile Broadband Business plan on the same billing account, the included data will combine into one data pool, which will be shared by all eligible services on that account.  </w:t>
      </w:r>
    </w:p>
    <w:p w14:paraId="72C81415" w14:textId="77777777" w:rsidR="00AB1B6A" w:rsidRPr="008A60DC" w:rsidRDefault="00AB1B6A" w:rsidP="00972274">
      <w:pPr>
        <w:pStyle w:val="OptusH3"/>
        <w:numPr>
          <w:ilvl w:val="2"/>
          <w:numId w:val="27"/>
        </w:numPr>
        <w:tabs>
          <w:tab w:val="clear" w:pos="2127"/>
          <w:tab w:val="left" w:pos="1276"/>
        </w:tabs>
        <w:ind w:left="1276" w:hanging="567"/>
        <w:rPr>
          <w:rFonts w:ascii="Arial" w:hAnsi="Arial" w:cs="Arial"/>
          <w:snapToGrid w:val="0"/>
          <w:sz w:val="20"/>
        </w:rPr>
      </w:pPr>
      <w:r w:rsidRPr="008A60DC">
        <w:rPr>
          <w:rFonts w:ascii="Arial" w:hAnsi="Arial" w:cs="Arial"/>
          <w:snapToGrid w:val="0"/>
          <w:sz w:val="20"/>
        </w:rPr>
        <w:t xml:space="preserve">If </w:t>
      </w:r>
      <w:r w:rsidRPr="008A60DC">
        <w:rPr>
          <w:rFonts w:ascii="Arial" w:hAnsi="Arial" w:cs="Arial"/>
          <w:i/>
          <w:snapToGrid w:val="0"/>
          <w:sz w:val="20"/>
        </w:rPr>
        <w:t>you</w:t>
      </w:r>
      <w:r w:rsidRPr="008A60DC">
        <w:rPr>
          <w:rFonts w:ascii="Arial" w:hAnsi="Arial" w:cs="Arial"/>
          <w:snapToGrid w:val="0"/>
          <w:sz w:val="20"/>
        </w:rPr>
        <w:t xml:space="preserve"> do not want </w:t>
      </w:r>
      <w:r w:rsidRPr="008A60DC">
        <w:rPr>
          <w:rFonts w:ascii="Arial" w:hAnsi="Arial" w:cs="Arial"/>
          <w:i/>
          <w:snapToGrid w:val="0"/>
          <w:sz w:val="20"/>
        </w:rPr>
        <w:t>your</w:t>
      </w:r>
      <w:r w:rsidRPr="008A60DC">
        <w:rPr>
          <w:rFonts w:ascii="Arial" w:hAnsi="Arial" w:cs="Arial"/>
          <w:snapToGrid w:val="0"/>
          <w:sz w:val="20"/>
        </w:rPr>
        <w:t xml:space="preserve"> services on any</w:t>
      </w:r>
      <w:r w:rsidRPr="008A60DC">
        <w:rPr>
          <w:rFonts w:ascii="Arial" w:hAnsi="Arial" w:cs="Arial"/>
          <w:sz w:val="20"/>
        </w:rPr>
        <w:t xml:space="preserve"> My Plan Plus</w:t>
      </w:r>
      <w:r w:rsidRPr="008A60DC">
        <w:rPr>
          <w:rFonts w:ascii="Arial" w:hAnsi="Arial" w:cs="Arial"/>
          <w:sz w:val="20"/>
          <w:lang w:eastAsia="en-AU"/>
        </w:rPr>
        <w:t>, My Plan Plus SIM Only, MY Plan Plus 12M SIM Only, My Plan Business (including Tech Fund), My Plan Business SIM, My Plan 12M SIM, My</w:t>
      </w:r>
      <w:r w:rsidRPr="008A60DC">
        <w:rPr>
          <w:rFonts w:ascii="Arial" w:hAnsi="Arial" w:cs="Arial"/>
          <w:color w:val="000000"/>
          <w:sz w:val="20"/>
          <w:lang w:eastAsia="en-AU"/>
        </w:rPr>
        <w:t xml:space="preserve"> Mobile Broadband Plus or Mobile Broadband Business plans</w:t>
      </w:r>
      <w:r w:rsidRPr="008A60DC">
        <w:rPr>
          <w:rFonts w:ascii="Arial" w:hAnsi="Arial" w:cs="Arial"/>
          <w:snapToGrid w:val="0"/>
          <w:sz w:val="20"/>
        </w:rPr>
        <w:t xml:space="preserve"> to share data, they need to be on separate billing accounts. </w:t>
      </w:r>
    </w:p>
    <w:p w14:paraId="00B751DC" w14:textId="77777777" w:rsidR="00AB1B6A" w:rsidRPr="008A60DC" w:rsidRDefault="00AB1B6A" w:rsidP="00972274">
      <w:pPr>
        <w:pStyle w:val="OptusH3"/>
        <w:numPr>
          <w:ilvl w:val="2"/>
          <w:numId w:val="27"/>
        </w:numPr>
        <w:tabs>
          <w:tab w:val="clear" w:pos="2127"/>
          <w:tab w:val="left" w:pos="1276"/>
        </w:tabs>
        <w:spacing w:after="240"/>
        <w:ind w:left="1276" w:hanging="567"/>
        <w:rPr>
          <w:rFonts w:ascii="Arial" w:hAnsi="Arial" w:cs="Arial"/>
          <w:snapToGrid w:val="0"/>
          <w:sz w:val="20"/>
        </w:rPr>
      </w:pPr>
      <w:r w:rsidRPr="008A60DC">
        <w:rPr>
          <w:rFonts w:ascii="Arial" w:hAnsi="Arial" w:cs="Arial"/>
          <w:snapToGrid w:val="0"/>
          <w:sz w:val="20"/>
        </w:rPr>
        <w:t>Data sharing is only available within Australia.</w:t>
      </w:r>
    </w:p>
    <w:p w14:paraId="13CC0B83" w14:textId="77777777" w:rsidR="00AB1B6A" w:rsidRPr="008A60DC" w:rsidRDefault="00AB1B6A" w:rsidP="00972274">
      <w:pPr>
        <w:pStyle w:val="OptusH2"/>
        <w:numPr>
          <w:ilvl w:val="1"/>
          <w:numId w:val="27"/>
        </w:numPr>
        <w:tabs>
          <w:tab w:val="num" w:pos="680"/>
          <w:tab w:val="left" w:pos="851"/>
        </w:tabs>
        <w:ind w:left="680" w:hanging="680"/>
        <w:rPr>
          <w:rFonts w:ascii="Arial" w:hAnsi="Arial" w:cs="Arial"/>
          <w:b w:val="0"/>
          <w:snapToGrid w:val="0"/>
          <w:sz w:val="20"/>
        </w:rPr>
      </w:pPr>
      <w:r w:rsidRPr="008A60DC">
        <w:rPr>
          <w:rFonts w:ascii="Arial" w:hAnsi="Arial" w:cs="Arial"/>
          <w:b w:val="0"/>
          <w:snapToGrid w:val="0"/>
          <w:sz w:val="20"/>
        </w:rPr>
        <w:t>International Minutes</w:t>
      </w:r>
    </w:p>
    <w:p w14:paraId="15E268FA" w14:textId="77777777" w:rsidR="00AB1B6A" w:rsidRPr="008A60DC" w:rsidRDefault="00AB1B6A" w:rsidP="00AB1B6A">
      <w:pPr>
        <w:ind w:left="709"/>
        <w:rPr>
          <w:rFonts w:cs="Arial"/>
          <w:sz w:val="20"/>
          <w:szCs w:val="20"/>
        </w:rPr>
      </w:pPr>
      <w:r w:rsidRPr="008A60DC">
        <w:rPr>
          <w:rFonts w:cs="Arial"/>
          <w:sz w:val="20"/>
          <w:szCs w:val="20"/>
        </w:rPr>
        <w:t>The $40 My Plan Business 12M SIM plans  includes 300 international minutes for standard calls to mobiles and fixed lines to selected countries made from within Australia. For a list of select</w:t>
      </w:r>
      <w:r>
        <w:rPr>
          <w:rFonts w:cs="Arial"/>
          <w:sz w:val="20"/>
          <w:szCs w:val="20"/>
        </w:rPr>
        <w:t>ed countries see Table 3 below.</w:t>
      </w:r>
    </w:p>
    <w:p w14:paraId="29E1E945" w14:textId="77777777" w:rsidR="00AB1B6A" w:rsidRPr="008A60DC" w:rsidRDefault="00AB1B6A" w:rsidP="000E7C1E">
      <w:pPr>
        <w:spacing w:after="240"/>
        <w:ind w:left="709"/>
        <w:rPr>
          <w:rFonts w:cs="Arial"/>
          <w:sz w:val="20"/>
          <w:szCs w:val="20"/>
        </w:rPr>
      </w:pPr>
      <w:r w:rsidRPr="008A60DC">
        <w:rPr>
          <w:rFonts w:cs="Arial"/>
          <w:sz w:val="20"/>
          <w:szCs w:val="20"/>
        </w:rPr>
        <w:t>Calls are charged per minute. When included international minutes for calls to selected countries are used up, standard ‘yes’ int</w:t>
      </w:r>
      <w:r>
        <w:rPr>
          <w:rFonts w:cs="Arial"/>
          <w:sz w:val="20"/>
          <w:szCs w:val="20"/>
        </w:rPr>
        <w:t xml:space="preserve">ernational call charges apply. </w:t>
      </w:r>
    </w:p>
    <w:p w14:paraId="5ABEBEDD" w14:textId="77777777" w:rsidR="00AB1B6A" w:rsidRPr="008A60DC" w:rsidRDefault="00AB1B6A" w:rsidP="00972274">
      <w:pPr>
        <w:pStyle w:val="OptusH2"/>
        <w:numPr>
          <w:ilvl w:val="1"/>
          <w:numId w:val="27"/>
        </w:numPr>
        <w:tabs>
          <w:tab w:val="num" w:pos="680"/>
          <w:tab w:val="left" w:pos="851"/>
        </w:tabs>
        <w:ind w:left="680" w:hanging="680"/>
        <w:rPr>
          <w:rFonts w:ascii="Arial" w:hAnsi="Arial" w:cs="Arial"/>
          <w:b w:val="0"/>
          <w:snapToGrid w:val="0"/>
          <w:sz w:val="20"/>
        </w:rPr>
      </w:pPr>
      <w:r w:rsidRPr="008A60DC">
        <w:rPr>
          <w:rFonts w:ascii="Arial" w:hAnsi="Arial" w:cs="Arial"/>
          <w:b w:val="0"/>
          <w:snapToGrid w:val="0"/>
          <w:sz w:val="20"/>
        </w:rPr>
        <w:t>Unlimited standard national SMS and MMS</w:t>
      </w:r>
    </w:p>
    <w:p w14:paraId="62AD0EB8" w14:textId="77777777" w:rsidR="00AB1B6A" w:rsidRPr="008A60DC" w:rsidRDefault="00AB1B6A" w:rsidP="00677FFC">
      <w:pPr>
        <w:spacing w:after="240"/>
        <w:ind w:left="709"/>
        <w:rPr>
          <w:rFonts w:cs="Arial"/>
          <w:i/>
          <w:color w:val="13607C"/>
          <w:sz w:val="20"/>
          <w:szCs w:val="20"/>
          <w:u w:val="single"/>
        </w:rPr>
      </w:pPr>
      <w:r w:rsidRPr="008A60DC">
        <w:rPr>
          <w:rFonts w:cs="Arial"/>
          <w:i/>
          <w:sz w:val="20"/>
          <w:szCs w:val="20"/>
        </w:rPr>
        <w:t>You</w:t>
      </w:r>
      <w:r w:rsidRPr="008A60DC">
        <w:rPr>
          <w:rFonts w:cs="Arial"/>
          <w:sz w:val="20"/>
          <w:szCs w:val="20"/>
        </w:rPr>
        <w:t xml:space="preserve"> may send unlimited standard SMS and MMS to Australian mobiles from within Australia.</w:t>
      </w:r>
      <w:r w:rsidRPr="008A60DC">
        <w:rPr>
          <w:rFonts w:cs="Arial"/>
          <w:i/>
          <w:sz w:val="20"/>
          <w:szCs w:val="20"/>
        </w:rPr>
        <w:t xml:space="preserve"> </w:t>
      </w:r>
      <w:hyperlink r:id="rId666" w:history="1">
        <w:r w:rsidRPr="00460CAF">
          <w:rPr>
            <w:rStyle w:val="Hyperlink"/>
            <w:rFonts w:cs="Arial"/>
            <w:i/>
            <w:szCs w:val="20"/>
          </w:rPr>
          <w:t xml:space="preserve">Fair Go Policy </w:t>
        </w:r>
        <w:r w:rsidRPr="00460CAF">
          <w:rPr>
            <w:rStyle w:val="Hyperlink"/>
            <w:rFonts w:cs="Arial"/>
            <w:szCs w:val="20"/>
          </w:rPr>
          <w:t>applies</w:t>
        </w:r>
      </w:hyperlink>
      <w:r w:rsidRPr="008A60DC">
        <w:rPr>
          <w:rFonts w:cs="Arial"/>
          <w:sz w:val="20"/>
          <w:szCs w:val="20"/>
        </w:rPr>
        <w:t xml:space="preserve">. For further details refer to </w:t>
      </w:r>
      <w:hyperlink r:id="rId667" w:history="1">
        <w:r w:rsidRPr="008A60DC">
          <w:rPr>
            <w:rStyle w:val="Hyperlink"/>
            <w:rFonts w:cs="Arial"/>
            <w:i/>
            <w:szCs w:val="20"/>
          </w:rPr>
          <w:t>Appendix S.</w:t>
        </w:r>
      </w:hyperlink>
    </w:p>
    <w:p w14:paraId="241A96B1" w14:textId="77777777" w:rsidR="00AB1B6A" w:rsidRPr="008A60DC" w:rsidRDefault="00AB1B6A" w:rsidP="00972274">
      <w:pPr>
        <w:pStyle w:val="OptusH2"/>
        <w:numPr>
          <w:ilvl w:val="1"/>
          <w:numId w:val="27"/>
        </w:numPr>
        <w:tabs>
          <w:tab w:val="num" w:pos="680"/>
          <w:tab w:val="left" w:pos="851"/>
        </w:tabs>
        <w:ind w:left="680" w:hanging="680"/>
        <w:rPr>
          <w:rFonts w:ascii="Arial" w:hAnsi="Arial" w:cs="Arial"/>
          <w:b w:val="0"/>
          <w:snapToGrid w:val="0"/>
          <w:sz w:val="20"/>
        </w:rPr>
      </w:pPr>
      <w:r w:rsidRPr="008A60DC">
        <w:rPr>
          <w:rFonts w:ascii="Arial" w:hAnsi="Arial" w:cs="Arial"/>
          <w:b w:val="0"/>
          <w:snapToGrid w:val="0"/>
          <w:sz w:val="20"/>
        </w:rPr>
        <w:lastRenderedPageBreak/>
        <w:t>Unlimited standard international SMS and MMS</w:t>
      </w:r>
    </w:p>
    <w:p w14:paraId="2B13C2B8" w14:textId="77777777" w:rsidR="00AB1B6A" w:rsidRPr="00460CAF" w:rsidRDefault="00AB1B6A" w:rsidP="00AB1B6A">
      <w:pPr>
        <w:ind w:left="709"/>
        <w:rPr>
          <w:rStyle w:val="Hyperlink"/>
          <w:rFonts w:cs="Arial"/>
          <w:i/>
          <w:szCs w:val="20"/>
        </w:rPr>
      </w:pPr>
      <w:r w:rsidRPr="008A60DC">
        <w:rPr>
          <w:rFonts w:cs="Arial"/>
          <w:i/>
          <w:sz w:val="20"/>
          <w:szCs w:val="20"/>
        </w:rPr>
        <w:t>You</w:t>
      </w:r>
      <w:r w:rsidRPr="008A60DC">
        <w:rPr>
          <w:rFonts w:cs="Arial"/>
          <w:sz w:val="20"/>
          <w:szCs w:val="20"/>
        </w:rPr>
        <w:t xml:space="preserve"> may send unlimited standard SMS and MMS to selected countries from within Australia. For a list of selected countries see Table 3 below. </w:t>
      </w:r>
      <w:hyperlink r:id="rId668" w:history="1">
        <w:r w:rsidRPr="008A60DC">
          <w:rPr>
            <w:rStyle w:val="Hyperlink"/>
            <w:rFonts w:cs="Arial"/>
            <w:i/>
            <w:szCs w:val="20"/>
          </w:rPr>
          <w:t>Fair Go Policy</w:t>
        </w:r>
      </w:hyperlink>
      <w:r w:rsidRPr="008A60DC">
        <w:rPr>
          <w:rFonts w:cs="Arial"/>
          <w:sz w:val="20"/>
          <w:szCs w:val="20"/>
        </w:rPr>
        <w:t xml:space="preserve"> applies. For further details refer to </w:t>
      </w:r>
      <w:r w:rsidR="00460CAF">
        <w:rPr>
          <w:rFonts w:cs="Arial"/>
          <w:i/>
          <w:sz w:val="20"/>
          <w:szCs w:val="20"/>
        </w:rPr>
        <w:fldChar w:fldCharType="begin"/>
      </w:r>
      <w:r w:rsidR="00460CAF">
        <w:rPr>
          <w:rFonts w:cs="Arial"/>
          <w:i/>
          <w:sz w:val="20"/>
          <w:szCs w:val="20"/>
        </w:rPr>
        <w:instrText xml:space="preserve"> HYPERLINK "http://www.optus.com.au/content/dam/optus/appendix/Appendix%20S/AppS.doc" </w:instrText>
      </w:r>
      <w:r w:rsidR="00460CAF">
        <w:rPr>
          <w:rFonts w:cs="Arial"/>
          <w:i/>
          <w:sz w:val="20"/>
          <w:szCs w:val="20"/>
        </w:rPr>
        <w:fldChar w:fldCharType="separate"/>
      </w:r>
      <w:r w:rsidRPr="00460CAF">
        <w:rPr>
          <w:rStyle w:val="Hyperlink"/>
          <w:rFonts w:cs="Arial"/>
          <w:i/>
          <w:szCs w:val="20"/>
        </w:rPr>
        <w:t>Appendix S.</w:t>
      </w:r>
    </w:p>
    <w:p w14:paraId="3021CC16" w14:textId="77777777" w:rsidR="00AB1B6A" w:rsidRPr="008A60DC" w:rsidRDefault="00460CAF" w:rsidP="00AB1B6A">
      <w:pPr>
        <w:rPr>
          <w:rFonts w:cs="Arial"/>
          <w:sz w:val="20"/>
          <w:szCs w:val="20"/>
        </w:rPr>
      </w:pPr>
      <w:r>
        <w:rPr>
          <w:rFonts w:cs="Arial"/>
          <w:i/>
          <w:sz w:val="20"/>
          <w:szCs w:val="20"/>
        </w:rPr>
        <w:fldChar w:fldCharType="end"/>
      </w:r>
    </w:p>
    <w:p w14:paraId="1B9F2729" w14:textId="77777777" w:rsidR="00AB1B6A" w:rsidRPr="008A60DC" w:rsidRDefault="00AB1B6A" w:rsidP="00AB1B6A">
      <w:pPr>
        <w:pStyle w:val="OptusH3"/>
        <w:tabs>
          <w:tab w:val="clear" w:pos="2127"/>
        </w:tabs>
        <w:ind w:left="0" w:firstLine="0"/>
        <w:rPr>
          <w:rFonts w:ascii="Arial" w:hAnsi="Arial" w:cs="Arial"/>
          <w:b/>
          <w:sz w:val="20"/>
        </w:rPr>
      </w:pPr>
      <w:r>
        <w:rPr>
          <w:rFonts w:ascii="Arial" w:hAnsi="Arial" w:cs="Arial"/>
          <w:sz w:val="20"/>
        </w:rPr>
        <w:t xml:space="preserve">   </w:t>
      </w:r>
      <w:r w:rsidRPr="008A60DC">
        <w:rPr>
          <w:rFonts w:ascii="Arial" w:hAnsi="Arial" w:cs="Arial"/>
          <w:b/>
          <w:sz w:val="20"/>
        </w:rPr>
        <w:t>Table 1 –Plan Inclusions and Charges</w:t>
      </w:r>
    </w:p>
    <w:tbl>
      <w:tblPr>
        <w:tblW w:w="4343"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6"/>
        <w:gridCol w:w="3653"/>
      </w:tblGrid>
      <w:tr w:rsidR="00AB1B6A" w:rsidRPr="008A60DC" w14:paraId="74276493" w14:textId="77777777" w:rsidTr="00127CDF">
        <w:tc>
          <w:tcPr>
            <w:tcW w:w="2936" w:type="pct"/>
            <w:shd w:val="clear" w:color="auto" w:fill="auto"/>
          </w:tcPr>
          <w:p w14:paraId="43AE0817" w14:textId="77777777" w:rsidR="00AB1B6A" w:rsidRPr="008A60DC" w:rsidRDefault="00AB1B6A" w:rsidP="00127CDF">
            <w:pPr>
              <w:rPr>
                <w:rFonts w:eastAsia="Calibri" w:cs="Arial"/>
                <w:sz w:val="20"/>
                <w:szCs w:val="20"/>
              </w:rPr>
            </w:pPr>
          </w:p>
        </w:tc>
        <w:tc>
          <w:tcPr>
            <w:tcW w:w="2064" w:type="pct"/>
          </w:tcPr>
          <w:p w14:paraId="06793D0A" w14:textId="77777777" w:rsidR="00AB1B6A" w:rsidRPr="008A60DC" w:rsidRDefault="00AB1B6A" w:rsidP="00127CDF">
            <w:pPr>
              <w:spacing w:before="240" w:line="276" w:lineRule="auto"/>
              <w:jc w:val="center"/>
              <w:rPr>
                <w:rFonts w:eastAsia="Calibri" w:cs="Arial"/>
                <w:b/>
                <w:sz w:val="20"/>
                <w:szCs w:val="20"/>
              </w:rPr>
            </w:pPr>
            <w:r w:rsidRPr="008A60DC">
              <w:rPr>
                <w:rFonts w:eastAsia="Calibri" w:cs="Arial"/>
                <w:b/>
                <w:sz w:val="20"/>
                <w:szCs w:val="20"/>
              </w:rPr>
              <w:t xml:space="preserve">$40 My Plan Business 12M SIM </w:t>
            </w:r>
          </w:p>
        </w:tc>
      </w:tr>
      <w:tr w:rsidR="00AB1B6A" w:rsidRPr="008A60DC" w14:paraId="0AAE2EEF" w14:textId="77777777" w:rsidTr="00127CDF">
        <w:tc>
          <w:tcPr>
            <w:tcW w:w="2936" w:type="pct"/>
            <w:shd w:val="clear" w:color="auto" w:fill="auto"/>
          </w:tcPr>
          <w:p w14:paraId="264A413B" w14:textId="77777777" w:rsidR="00AB1B6A" w:rsidRPr="008A60DC" w:rsidRDefault="00AB1B6A" w:rsidP="00127CDF">
            <w:pPr>
              <w:spacing w:after="200" w:line="276" w:lineRule="auto"/>
              <w:rPr>
                <w:rFonts w:eastAsia="Calibri" w:cs="Arial"/>
                <w:sz w:val="20"/>
                <w:szCs w:val="20"/>
              </w:rPr>
            </w:pPr>
            <w:r w:rsidRPr="008A60DC">
              <w:rPr>
                <w:rFonts w:eastAsia="Calibri" w:cs="Arial"/>
                <w:b/>
                <w:bCs/>
                <w:sz w:val="20"/>
                <w:szCs w:val="20"/>
              </w:rPr>
              <w:t>Minimum Monthly charge</w:t>
            </w:r>
          </w:p>
        </w:tc>
        <w:tc>
          <w:tcPr>
            <w:tcW w:w="2064" w:type="pct"/>
          </w:tcPr>
          <w:p w14:paraId="09B54895" w14:textId="77777777" w:rsidR="00AB1B6A" w:rsidRPr="008A60DC" w:rsidRDefault="00AB1B6A" w:rsidP="00127CDF">
            <w:pPr>
              <w:jc w:val="center"/>
              <w:rPr>
                <w:rFonts w:eastAsia="Calibri" w:cs="Arial"/>
                <w:sz w:val="20"/>
                <w:szCs w:val="20"/>
              </w:rPr>
            </w:pPr>
            <w:r w:rsidRPr="008A60DC">
              <w:rPr>
                <w:rFonts w:eastAsia="Calibri" w:cs="Arial"/>
                <w:sz w:val="20"/>
                <w:szCs w:val="20"/>
              </w:rPr>
              <w:t>$40</w:t>
            </w:r>
          </w:p>
        </w:tc>
      </w:tr>
      <w:tr w:rsidR="00AB1B6A" w:rsidRPr="008A60DC" w14:paraId="03D76FCE" w14:textId="77777777" w:rsidTr="00127CDF">
        <w:tc>
          <w:tcPr>
            <w:tcW w:w="2936" w:type="pct"/>
            <w:shd w:val="clear" w:color="auto" w:fill="auto"/>
          </w:tcPr>
          <w:p w14:paraId="574B4025" w14:textId="77777777" w:rsidR="00AB1B6A" w:rsidRPr="008A60DC" w:rsidRDefault="00AB1B6A" w:rsidP="00127CDF">
            <w:pPr>
              <w:spacing w:after="200" w:line="276" w:lineRule="auto"/>
              <w:rPr>
                <w:rFonts w:eastAsia="Calibri" w:cs="Arial"/>
                <w:sz w:val="20"/>
                <w:szCs w:val="20"/>
              </w:rPr>
            </w:pPr>
            <w:r w:rsidRPr="008A60DC">
              <w:rPr>
                <w:rFonts w:eastAsia="Calibri" w:cs="Arial"/>
                <w:b/>
                <w:bCs/>
                <w:sz w:val="20"/>
                <w:szCs w:val="20"/>
              </w:rPr>
              <w:t>Included Data</w:t>
            </w:r>
          </w:p>
        </w:tc>
        <w:tc>
          <w:tcPr>
            <w:tcW w:w="2064" w:type="pct"/>
          </w:tcPr>
          <w:p w14:paraId="7CE8A38E" w14:textId="77777777" w:rsidR="00AB1B6A" w:rsidRPr="008A60DC" w:rsidRDefault="00AB1B6A" w:rsidP="00127CDF">
            <w:pPr>
              <w:spacing w:before="120"/>
              <w:jc w:val="center"/>
              <w:rPr>
                <w:rFonts w:eastAsia="Calibri" w:cs="Arial"/>
                <w:sz w:val="20"/>
                <w:szCs w:val="20"/>
              </w:rPr>
            </w:pPr>
            <w:r w:rsidRPr="008A60DC">
              <w:rPr>
                <w:rFonts w:eastAsia="Calibri" w:cs="Arial"/>
                <w:sz w:val="20"/>
                <w:szCs w:val="20"/>
              </w:rPr>
              <w:t>6GB</w:t>
            </w:r>
          </w:p>
        </w:tc>
      </w:tr>
      <w:tr w:rsidR="00AB1B6A" w:rsidRPr="008A60DC" w14:paraId="7B2FE5C1" w14:textId="77777777" w:rsidTr="00127CDF">
        <w:tc>
          <w:tcPr>
            <w:tcW w:w="2936" w:type="pct"/>
            <w:shd w:val="clear" w:color="auto" w:fill="auto"/>
          </w:tcPr>
          <w:p w14:paraId="7AE8F6FE" w14:textId="77777777" w:rsidR="00AB1B6A" w:rsidRPr="008A60DC" w:rsidRDefault="00AB1B6A" w:rsidP="00127CDF">
            <w:pPr>
              <w:spacing w:line="276" w:lineRule="auto"/>
              <w:rPr>
                <w:rFonts w:eastAsia="Calibri" w:cs="Arial"/>
                <w:b/>
                <w:bCs/>
                <w:sz w:val="20"/>
                <w:szCs w:val="20"/>
              </w:rPr>
            </w:pPr>
            <w:r w:rsidRPr="008A60DC">
              <w:rPr>
                <w:rFonts w:eastAsia="Calibri" w:cs="Arial"/>
                <w:b/>
                <w:bCs/>
                <w:sz w:val="20"/>
                <w:szCs w:val="20"/>
              </w:rPr>
              <w:t xml:space="preserve">Included Minutes </w:t>
            </w:r>
          </w:p>
          <w:p w14:paraId="56586136" w14:textId="77777777" w:rsidR="00AB1B6A" w:rsidRPr="008A60DC" w:rsidRDefault="00AB1B6A" w:rsidP="00127CDF">
            <w:pPr>
              <w:spacing w:line="276" w:lineRule="auto"/>
              <w:rPr>
                <w:rFonts w:eastAsia="Calibri" w:cs="Arial"/>
                <w:b/>
                <w:bCs/>
                <w:sz w:val="20"/>
                <w:szCs w:val="20"/>
              </w:rPr>
            </w:pPr>
            <w:r w:rsidRPr="008A60DC">
              <w:rPr>
                <w:rFonts w:eastAsia="Calibri" w:cs="Arial"/>
                <w:bCs/>
                <w:sz w:val="20"/>
                <w:szCs w:val="20"/>
              </w:rPr>
              <w:t>for standard national calls to landlines and mobiles, 1300 numbers and voicemail, within Australia</w:t>
            </w:r>
          </w:p>
        </w:tc>
        <w:tc>
          <w:tcPr>
            <w:tcW w:w="2064" w:type="pct"/>
            <w:vAlign w:val="center"/>
          </w:tcPr>
          <w:p w14:paraId="17964709"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r>
      <w:tr w:rsidR="00AB1B6A" w:rsidRPr="008A60DC" w14:paraId="022E8E6E" w14:textId="77777777" w:rsidTr="00127CDF">
        <w:tc>
          <w:tcPr>
            <w:tcW w:w="2936" w:type="pct"/>
            <w:shd w:val="clear" w:color="auto" w:fill="auto"/>
          </w:tcPr>
          <w:p w14:paraId="778E13DF" w14:textId="77777777" w:rsidR="00AB1B6A" w:rsidRPr="008A60DC" w:rsidRDefault="00AB1B6A" w:rsidP="00127CDF">
            <w:pPr>
              <w:autoSpaceDE w:val="0"/>
              <w:autoSpaceDN w:val="0"/>
              <w:adjustRightInd w:val="0"/>
              <w:rPr>
                <w:rFonts w:cs="Arial"/>
                <w:b/>
                <w:bCs/>
                <w:sz w:val="20"/>
                <w:szCs w:val="20"/>
              </w:rPr>
            </w:pPr>
            <w:r w:rsidRPr="008A60DC">
              <w:rPr>
                <w:rFonts w:cs="Arial"/>
                <w:b/>
                <w:bCs/>
                <w:sz w:val="20"/>
                <w:szCs w:val="20"/>
              </w:rPr>
              <w:t>Included International Minutes</w:t>
            </w:r>
          </w:p>
          <w:p w14:paraId="209D4E78" w14:textId="77777777" w:rsidR="00AB1B6A" w:rsidRPr="008A60DC" w:rsidRDefault="00AB1B6A" w:rsidP="00127CDF">
            <w:pPr>
              <w:autoSpaceDE w:val="0"/>
              <w:autoSpaceDN w:val="0"/>
              <w:adjustRightInd w:val="0"/>
              <w:rPr>
                <w:rFonts w:cs="Arial"/>
                <w:sz w:val="20"/>
                <w:szCs w:val="20"/>
              </w:rPr>
            </w:pPr>
            <w:r w:rsidRPr="008A60DC">
              <w:rPr>
                <w:rFonts w:cs="Arial"/>
                <w:sz w:val="20"/>
                <w:szCs w:val="20"/>
              </w:rPr>
              <w:t>Standard international calls to landlines and mobiles</w:t>
            </w:r>
          </w:p>
          <w:p w14:paraId="4DD82031" w14:textId="77777777" w:rsidR="00AB1B6A" w:rsidRPr="008A60DC" w:rsidRDefault="00AB1B6A" w:rsidP="00127CDF">
            <w:pPr>
              <w:spacing w:after="200" w:line="276" w:lineRule="auto"/>
              <w:rPr>
                <w:rFonts w:eastAsia="Calibri" w:cs="Arial"/>
                <w:b/>
                <w:bCs/>
                <w:sz w:val="20"/>
                <w:szCs w:val="20"/>
              </w:rPr>
            </w:pPr>
            <w:r w:rsidRPr="008A60DC">
              <w:rPr>
                <w:rFonts w:cs="Arial"/>
                <w:sz w:val="20"/>
                <w:szCs w:val="20"/>
              </w:rPr>
              <w:t xml:space="preserve">to selected countries </w:t>
            </w:r>
          </w:p>
        </w:tc>
        <w:tc>
          <w:tcPr>
            <w:tcW w:w="2064" w:type="pct"/>
            <w:vAlign w:val="center"/>
          </w:tcPr>
          <w:p w14:paraId="7757E664" w14:textId="77777777" w:rsidR="00AB1B6A" w:rsidRPr="008A60DC" w:rsidRDefault="00AB1B6A" w:rsidP="00127CDF">
            <w:pPr>
              <w:jc w:val="center"/>
              <w:rPr>
                <w:rFonts w:cs="Arial"/>
                <w:bCs/>
                <w:sz w:val="20"/>
                <w:szCs w:val="20"/>
              </w:rPr>
            </w:pPr>
            <w:r w:rsidRPr="008A60DC">
              <w:rPr>
                <w:rFonts w:cs="Arial"/>
                <w:bCs/>
                <w:sz w:val="20"/>
                <w:szCs w:val="20"/>
              </w:rPr>
              <w:t>Up to 300 mins</w:t>
            </w:r>
          </w:p>
        </w:tc>
      </w:tr>
      <w:tr w:rsidR="00AB1B6A" w:rsidRPr="008A60DC" w14:paraId="652EFBB1" w14:textId="77777777" w:rsidTr="00127CDF">
        <w:tc>
          <w:tcPr>
            <w:tcW w:w="2936" w:type="pct"/>
            <w:shd w:val="clear" w:color="auto" w:fill="auto"/>
          </w:tcPr>
          <w:p w14:paraId="4F1ACE6D" w14:textId="77777777" w:rsidR="00AB1B6A" w:rsidRPr="008A60DC" w:rsidRDefault="00AB1B6A" w:rsidP="00127CDF">
            <w:pPr>
              <w:spacing w:after="200" w:line="276" w:lineRule="auto"/>
              <w:rPr>
                <w:rFonts w:eastAsia="Calibri" w:cs="Arial"/>
                <w:sz w:val="20"/>
                <w:szCs w:val="20"/>
              </w:rPr>
            </w:pPr>
            <w:r w:rsidRPr="008A60DC">
              <w:rPr>
                <w:rFonts w:eastAsia="Calibri" w:cs="Arial"/>
                <w:b/>
                <w:bCs/>
                <w:sz w:val="20"/>
                <w:szCs w:val="20"/>
              </w:rPr>
              <w:t xml:space="preserve">Standard national SMS </w:t>
            </w:r>
            <w:r w:rsidRPr="008A60DC">
              <w:rPr>
                <w:rFonts w:eastAsia="Calibri" w:cs="Arial"/>
                <w:sz w:val="20"/>
                <w:szCs w:val="20"/>
              </w:rPr>
              <w:t>(per SMS of up to 160 standard characters)</w:t>
            </w:r>
          </w:p>
        </w:tc>
        <w:tc>
          <w:tcPr>
            <w:tcW w:w="2064" w:type="pct"/>
            <w:vAlign w:val="center"/>
          </w:tcPr>
          <w:p w14:paraId="526E1BD7"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r>
      <w:tr w:rsidR="00AB1B6A" w:rsidRPr="008A60DC" w14:paraId="48B688B7" w14:textId="77777777" w:rsidTr="00127CDF">
        <w:tc>
          <w:tcPr>
            <w:tcW w:w="2936" w:type="pct"/>
            <w:shd w:val="clear" w:color="auto" w:fill="auto"/>
          </w:tcPr>
          <w:p w14:paraId="567AA76A" w14:textId="77777777" w:rsidR="00AB1B6A" w:rsidRPr="008A60DC" w:rsidRDefault="00AB1B6A" w:rsidP="00127CDF">
            <w:pPr>
              <w:spacing w:after="200" w:line="276" w:lineRule="auto"/>
              <w:rPr>
                <w:rFonts w:eastAsia="Calibri" w:cs="Arial"/>
                <w:b/>
                <w:bCs/>
                <w:sz w:val="20"/>
                <w:szCs w:val="20"/>
              </w:rPr>
            </w:pPr>
            <w:r w:rsidRPr="008A60DC">
              <w:rPr>
                <w:rFonts w:eastAsia="Calibri" w:cs="Arial"/>
                <w:b/>
                <w:bCs/>
                <w:sz w:val="20"/>
                <w:szCs w:val="20"/>
              </w:rPr>
              <w:t xml:space="preserve">Standard national MMS </w:t>
            </w:r>
            <w:r w:rsidRPr="008A60DC">
              <w:rPr>
                <w:rFonts w:eastAsia="Calibri" w:cs="Arial"/>
                <w:sz w:val="20"/>
                <w:szCs w:val="20"/>
              </w:rPr>
              <w:t>(per message)</w:t>
            </w:r>
          </w:p>
        </w:tc>
        <w:tc>
          <w:tcPr>
            <w:tcW w:w="2064" w:type="pct"/>
            <w:vAlign w:val="center"/>
          </w:tcPr>
          <w:p w14:paraId="3A757FD9"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r>
      <w:tr w:rsidR="00AB1B6A" w:rsidRPr="008A60DC" w14:paraId="7DD59704" w14:textId="77777777" w:rsidTr="00127CDF">
        <w:tc>
          <w:tcPr>
            <w:tcW w:w="2936" w:type="pct"/>
            <w:shd w:val="clear" w:color="auto" w:fill="auto"/>
          </w:tcPr>
          <w:p w14:paraId="1DA7A901" w14:textId="77777777" w:rsidR="00AB1B6A" w:rsidRPr="008A60DC" w:rsidDel="00064B49" w:rsidRDefault="00AB1B6A" w:rsidP="00127CDF">
            <w:pPr>
              <w:spacing w:after="200" w:line="276" w:lineRule="auto"/>
              <w:rPr>
                <w:rFonts w:eastAsia="Calibri" w:cs="Arial"/>
                <w:b/>
                <w:bCs/>
                <w:sz w:val="20"/>
                <w:szCs w:val="20"/>
              </w:rPr>
            </w:pPr>
            <w:r w:rsidRPr="008A60DC">
              <w:rPr>
                <w:rFonts w:eastAsia="Calibri" w:cs="Arial"/>
                <w:b/>
                <w:bCs/>
                <w:sz w:val="20"/>
                <w:szCs w:val="20"/>
              </w:rPr>
              <w:t xml:space="preserve">Standard international SMS </w:t>
            </w:r>
            <w:r w:rsidRPr="008A60DC">
              <w:rPr>
                <w:rFonts w:eastAsia="Calibri" w:cs="Arial"/>
                <w:sz w:val="20"/>
                <w:szCs w:val="20"/>
              </w:rPr>
              <w:t>(per SMS of up to 160 standard characters to selected countries)</w:t>
            </w:r>
          </w:p>
        </w:tc>
        <w:tc>
          <w:tcPr>
            <w:tcW w:w="2064" w:type="pct"/>
            <w:vAlign w:val="center"/>
          </w:tcPr>
          <w:p w14:paraId="440B3AA5"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r>
      <w:tr w:rsidR="00AB1B6A" w:rsidRPr="008A60DC" w14:paraId="2EFEE06F" w14:textId="77777777" w:rsidTr="00127CDF">
        <w:tc>
          <w:tcPr>
            <w:tcW w:w="2936" w:type="pct"/>
            <w:shd w:val="clear" w:color="auto" w:fill="auto"/>
          </w:tcPr>
          <w:p w14:paraId="060F74CF" w14:textId="77777777" w:rsidR="00AB1B6A" w:rsidRPr="008A60DC" w:rsidRDefault="00AB1B6A" w:rsidP="00127CDF">
            <w:pPr>
              <w:spacing w:after="200" w:line="276" w:lineRule="auto"/>
              <w:rPr>
                <w:rFonts w:eastAsia="Calibri" w:cs="Arial"/>
                <w:b/>
                <w:bCs/>
                <w:sz w:val="20"/>
                <w:szCs w:val="20"/>
              </w:rPr>
            </w:pPr>
            <w:r w:rsidRPr="008A60DC">
              <w:rPr>
                <w:rFonts w:eastAsia="Calibri" w:cs="Arial"/>
                <w:b/>
                <w:bCs/>
                <w:sz w:val="20"/>
                <w:szCs w:val="20"/>
              </w:rPr>
              <w:t xml:space="preserve">Standard international MMS </w:t>
            </w:r>
            <w:r w:rsidRPr="008A60DC">
              <w:rPr>
                <w:rFonts w:eastAsia="Calibri" w:cs="Arial"/>
                <w:sz w:val="20"/>
                <w:szCs w:val="20"/>
              </w:rPr>
              <w:t>(per message to selected countries)</w:t>
            </w:r>
          </w:p>
        </w:tc>
        <w:tc>
          <w:tcPr>
            <w:tcW w:w="2064" w:type="pct"/>
            <w:vAlign w:val="center"/>
          </w:tcPr>
          <w:p w14:paraId="1A00E286"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r>
      <w:tr w:rsidR="00AB1B6A" w:rsidRPr="008A60DC" w14:paraId="0BF5C6DD" w14:textId="77777777" w:rsidTr="00127CDF">
        <w:tc>
          <w:tcPr>
            <w:tcW w:w="2936" w:type="pct"/>
            <w:shd w:val="clear" w:color="auto" w:fill="auto"/>
          </w:tcPr>
          <w:p w14:paraId="02F4CD2E" w14:textId="77777777" w:rsidR="00AB1B6A" w:rsidRPr="008A60DC" w:rsidRDefault="00AB1B6A" w:rsidP="00127CDF">
            <w:pPr>
              <w:rPr>
                <w:rFonts w:eastAsia="Calibri" w:cs="Arial"/>
                <w:b/>
                <w:bCs/>
                <w:sz w:val="20"/>
                <w:szCs w:val="20"/>
              </w:rPr>
            </w:pPr>
            <w:r w:rsidRPr="008A60DC">
              <w:rPr>
                <w:rFonts w:eastAsia="Calibri" w:cs="Arial"/>
                <w:b/>
                <w:bCs/>
                <w:sz w:val="20"/>
                <w:szCs w:val="20"/>
              </w:rPr>
              <w:t xml:space="preserve">Minimum total cost over 12 months </w:t>
            </w:r>
          </w:p>
          <w:p w14:paraId="047022CC" w14:textId="77777777" w:rsidR="00AB1B6A" w:rsidRPr="008A60DC" w:rsidRDefault="00AB1B6A" w:rsidP="00127CDF">
            <w:pPr>
              <w:rPr>
                <w:rFonts w:eastAsia="Calibri" w:cs="Arial"/>
                <w:b/>
                <w:bCs/>
                <w:sz w:val="20"/>
                <w:szCs w:val="20"/>
              </w:rPr>
            </w:pPr>
          </w:p>
        </w:tc>
        <w:tc>
          <w:tcPr>
            <w:tcW w:w="2064" w:type="pct"/>
          </w:tcPr>
          <w:p w14:paraId="5CF3B1B8" w14:textId="77777777" w:rsidR="00AB1B6A" w:rsidRPr="008A60DC" w:rsidRDefault="00AB1B6A" w:rsidP="00127CDF">
            <w:pPr>
              <w:autoSpaceDE w:val="0"/>
              <w:autoSpaceDN w:val="0"/>
              <w:adjustRightInd w:val="0"/>
              <w:jc w:val="center"/>
              <w:rPr>
                <w:rFonts w:eastAsia="Calibri" w:cs="Arial"/>
                <w:sz w:val="20"/>
                <w:szCs w:val="20"/>
              </w:rPr>
            </w:pPr>
          </w:p>
        </w:tc>
      </w:tr>
    </w:tbl>
    <w:p w14:paraId="6EDACD78" w14:textId="77777777" w:rsidR="00AB1B6A" w:rsidRPr="008A60DC" w:rsidRDefault="00AB1B6A" w:rsidP="00AB1B6A">
      <w:pPr>
        <w:rPr>
          <w:rFonts w:cs="Arial"/>
          <w:b/>
          <w:sz w:val="20"/>
          <w:szCs w:val="20"/>
        </w:rPr>
      </w:pPr>
    </w:p>
    <w:p w14:paraId="5B0975D8" w14:textId="77777777" w:rsidR="00AB1B6A" w:rsidRPr="008A60DC" w:rsidRDefault="00AB1B6A" w:rsidP="00AB1B6A">
      <w:pPr>
        <w:spacing w:after="120"/>
        <w:jc w:val="center"/>
        <w:rPr>
          <w:rFonts w:cs="Arial"/>
          <w:sz w:val="20"/>
          <w:szCs w:val="20"/>
        </w:rPr>
      </w:pPr>
      <w:r w:rsidRPr="008A60DC">
        <w:rPr>
          <w:rFonts w:cs="Arial"/>
          <w:b/>
          <w:sz w:val="20"/>
          <w:szCs w:val="20"/>
        </w:rPr>
        <w:t>Table 2 – Other usage types and charges</w:t>
      </w: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5670"/>
      </w:tblGrid>
      <w:tr w:rsidR="00AB1B6A" w:rsidRPr="008A60DC" w14:paraId="7132B050" w14:textId="77777777" w:rsidTr="00127CDF">
        <w:tc>
          <w:tcPr>
            <w:tcW w:w="4253" w:type="dxa"/>
            <w:shd w:val="clear" w:color="auto" w:fill="auto"/>
          </w:tcPr>
          <w:p w14:paraId="14FAC60C" w14:textId="77777777" w:rsidR="00AB1B6A" w:rsidRPr="008A60DC" w:rsidRDefault="00AB1B6A" w:rsidP="00127CDF">
            <w:pPr>
              <w:rPr>
                <w:rFonts w:eastAsia="Calibri" w:cs="Arial"/>
                <w:b/>
                <w:sz w:val="20"/>
                <w:szCs w:val="20"/>
              </w:rPr>
            </w:pPr>
            <w:r w:rsidRPr="008A60DC">
              <w:rPr>
                <w:rFonts w:eastAsia="Calibri" w:cs="Arial"/>
                <w:b/>
                <w:sz w:val="20"/>
                <w:szCs w:val="20"/>
              </w:rPr>
              <w:t>Usage type</w:t>
            </w:r>
          </w:p>
        </w:tc>
        <w:tc>
          <w:tcPr>
            <w:tcW w:w="5670" w:type="dxa"/>
            <w:shd w:val="clear" w:color="auto" w:fill="auto"/>
            <w:vAlign w:val="center"/>
          </w:tcPr>
          <w:p w14:paraId="738C8762" w14:textId="77777777" w:rsidR="00AB1B6A" w:rsidRPr="008A60DC" w:rsidRDefault="00AB1B6A" w:rsidP="00127CDF">
            <w:pPr>
              <w:jc w:val="center"/>
              <w:rPr>
                <w:rFonts w:eastAsia="Calibri" w:cs="Arial"/>
                <w:b/>
                <w:sz w:val="20"/>
                <w:szCs w:val="20"/>
              </w:rPr>
            </w:pPr>
            <w:r w:rsidRPr="008A60DC">
              <w:rPr>
                <w:rFonts w:eastAsia="Calibri" w:cs="Arial"/>
                <w:b/>
                <w:sz w:val="20"/>
                <w:szCs w:val="20"/>
              </w:rPr>
              <w:t>Charge</w:t>
            </w:r>
          </w:p>
        </w:tc>
      </w:tr>
      <w:tr w:rsidR="00AB1B6A" w:rsidRPr="008A60DC" w14:paraId="6E733EFF" w14:textId="77777777" w:rsidTr="00127CDF">
        <w:tc>
          <w:tcPr>
            <w:tcW w:w="4253" w:type="dxa"/>
            <w:shd w:val="clear" w:color="auto" w:fill="auto"/>
          </w:tcPr>
          <w:p w14:paraId="40A2D4B0" w14:textId="77777777" w:rsidR="00AB1B6A" w:rsidRPr="008A60DC" w:rsidRDefault="00AB1B6A" w:rsidP="00127CDF">
            <w:pPr>
              <w:spacing w:after="200" w:line="276" w:lineRule="auto"/>
              <w:rPr>
                <w:rFonts w:eastAsia="Calibri" w:cs="Arial"/>
                <w:sz w:val="20"/>
                <w:szCs w:val="20"/>
              </w:rPr>
            </w:pPr>
            <w:r w:rsidRPr="008A60DC">
              <w:rPr>
                <w:rFonts w:eastAsia="Calibri" w:cs="Arial"/>
                <w:b/>
                <w:bCs/>
                <w:sz w:val="20"/>
                <w:szCs w:val="20"/>
              </w:rPr>
              <w:t xml:space="preserve">National video calls </w:t>
            </w:r>
            <w:r w:rsidRPr="008A60DC">
              <w:rPr>
                <w:rFonts w:eastAsia="Calibri" w:cs="Arial"/>
                <w:sz w:val="20"/>
                <w:szCs w:val="20"/>
              </w:rPr>
              <w:t>(per minute)</w:t>
            </w:r>
          </w:p>
        </w:tc>
        <w:tc>
          <w:tcPr>
            <w:tcW w:w="5670" w:type="dxa"/>
            <w:shd w:val="clear" w:color="auto" w:fill="auto"/>
            <w:vAlign w:val="center"/>
          </w:tcPr>
          <w:p w14:paraId="41C645DE" w14:textId="77777777" w:rsidR="00AB1B6A" w:rsidRPr="008A60DC" w:rsidRDefault="00AB1B6A" w:rsidP="00127CDF">
            <w:pPr>
              <w:jc w:val="center"/>
              <w:rPr>
                <w:rFonts w:eastAsia="Calibri" w:cs="Arial"/>
                <w:sz w:val="20"/>
                <w:szCs w:val="20"/>
              </w:rPr>
            </w:pPr>
            <w:r w:rsidRPr="008A60DC">
              <w:rPr>
                <w:rFonts w:eastAsia="Calibri" w:cs="Arial"/>
                <w:sz w:val="20"/>
                <w:szCs w:val="20"/>
              </w:rPr>
              <w:t>$1.00 per min + 40c flagfall</w:t>
            </w:r>
          </w:p>
        </w:tc>
      </w:tr>
      <w:tr w:rsidR="00AB1B6A" w:rsidRPr="008A60DC" w14:paraId="26458AE3" w14:textId="77777777" w:rsidTr="00127CDF">
        <w:tc>
          <w:tcPr>
            <w:tcW w:w="4253" w:type="dxa"/>
            <w:shd w:val="clear" w:color="auto" w:fill="auto"/>
          </w:tcPr>
          <w:p w14:paraId="5644A54F" w14:textId="77777777" w:rsidR="00AB1B6A" w:rsidRPr="008A60DC" w:rsidRDefault="00AB1B6A" w:rsidP="00127CDF">
            <w:pPr>
              <w:spacing w:line="276" w:lineRule="auto"/>
              <w:rPr>
                <w:rFonts w:eastAsia="Calibri" w:cs="Arial"/>
                <w:sz w:val="20"/>
                <w:szCs w:val="20"/>
              </w:rPr>
            </w:pPr>
            <w:r w:rsidRPr="008A60DC">
              <w:rPr>
                <w:rFonts w:eastAsia="Calibri" w:cs="Arial"/>
                <w:b/>
                <w:bCs/>
                <w:sz w:val="20"/>
                <w:szCs w:val="20"/>
              </w:rPr>
              <w:t xml:space="preserve">VoiceMail Deposits </w:t>
            </w:r>
          </w:p>
        </w:tc>
        <w:tc>
          <w:tcPr>
            <w:tcW w:w="5670" w:type="dxa"/>
            <w:shd w:val="clear" w:color="auto" w:fill="auto"/>
          </w:tcPr>
          <w:p w14:paraId="2286BE76" w14:textId="77777777" w:rsidR="00AB1B6A" w:rsidRPr="008A60DC" w:rsidRDefault="00AB1B6A" w:rsidP="00127CDF">
            <w:pPr>
              <w:jc w:val="center"/>
              <w:rPr>
                <w:rFonts w:eastAsia="Calibri" w:cs="Arial"/>
                <w:sz w:val="20"/>
                <w:szCs w:val="20"/>
              </w:rPr>
            </w:pPr>
            <w:r w:rsidRPr="008A60DC">
              <w:rPr>
                <w:rFonts w:eastAsia="Calibri" w:cs="Arial"/>
                <w:sz w:val="20"/>
                <w:szCs w:val="20"/>
              </w:rPr>
              <w:t>$0 per minute</w:t>
            </w:r>
          </w:p>
        </w:tc>
      </w:tr>
      <w:tr w:rsidR="00AB1B6A" w:rsidRPr="008A60DC" w14:paraId="600172CB" w14:textId="77777777" w:rsidTr="00127CDF">
        <w:tc>
          <w:tcPr>
            <w:tcW w:w="4253" w:type="dxa"/>
            <w:shd w:val="clear" w:color="auto" w:fill="auto"/>
          </w:tcPr>
          <w:p w14:paraId="54EDEE05" w14:textId="77777777" w:rsidR="00AB1B6A" w:rsidRPr="008A60DC" w:rsidRDefault="00AB1B6A" w:rsidP="00127CDF">
            <w:pPr>
              <w:rPr>
                <w:rFonts w:eastAsia="Calibri" w:cs="Arial"/>
                <w:sz w:val="20"/>
                <w:szCs w:val="20"/>
              </w:rPr>
            </w:pPr>
            <w:r w:rsidRPr="008A60DC">
              <w:rPr>
                <w:rFonts w:eastAsia="Calibri" w:cs="Arial"/>
                <w:b/>
                <w:bCs/>
                <w:sz w:val="20"/>
                <w:szCs w:val="20"/>
              </w:rPr>
              <w:t>Voicemail Diversions</w:t>
            </w:r>
          </w:p>
        </w:tc>
        <w:tc>
          <w:tcPr>
            <w:tcW w:w="5670" w:type="dxa"/>
            <w:shd w:val="clear" w:color="auto" w:fill="auto"/>
          </w:tcPr>
          <w:p w14:paraId="46D12190" w14:textId="77777777" w:rsidR="00AB1B6A" w:rsidRPr="008A60DC" w:rsidRDefault="00AB1B6A" w:rsidP="00127CDF">
            <w:pPr>
              <w:jc w:val="center"/>
              <w:rPr>
                <w:rFonts w:eastAsia="Calibri" w:cs="Arial"/>
                <w:sz w:val="20"/>
                <w:szCs w:val="20"/>
              </w:rPr>
            </w:pPr>
            <w:r w:rsidRPr="008A60DC">
              <w:rPr>
                <w:rFonts w:eastAsia="Calibri" w:cs="Arial"/>
                <w:sz w:val="20"/>
                <w:szCs w:val="20"/>
              </w:rPr>
              <w:t>$0 per minute</w:t>
            </w:r>
          </w:p>
        </w:tc>
      </w:tr>
      <w:tr w:rsidR="00AB1B6A" w:rsidRPr="008A60DC" w14:paraId="4777C00B" w14:textId="77777777" w:rsidTr="00127CDF">
        <w:tc>
          <w:tcPr>
            <w:tcW w:w="4253" w:type="dxa"/>
            <w:shd w:val="clear" w:color="auto" w:fill="auto"/>
          </w:tcPr>
          <w:p w14:paraId="329DBBA6" w14:textId="77777777" w:rsidR="00AB1B6A" w:rsidRPr="008A60DC" w:rsidRDefault="00AB1B6A" w:rsidP="00127CDF">
            <w:pPr>
              <w:rPr>
                <w:rFonts w:eastAsia="Calibri" w:cs="Arial"/>
                <w:b/>
                <w:bCs/>
                <w:sz w:val="20"/>
                <w:szCs w:val="20"/>
              </w:rPr>
            </w:pPr>
            <w:r w:rsidRPr="008A60DC">
              <w:rPr>
                <w:rFonts w:eastAsia="Calibri" w:cs="Arial"/>
                <w:b/>
                <w:bCs/>
                <w:sz w:val="20"/>
                <w:szCs w:val="20"/>
              </w:rPr>
              <w:t>National Diversions</w:t>
            </w:r>
          </w:p>
        </w:tc>
        <w:tc>
          <w:tcPr>
            <w:tcW w:w="5670" w:type="dxa"/>
            <w:shd w:val="clear" w:color="auto" w:fill="auto"/>
          </w:tcPr>
          <w:p w14:paraId="6834AA57" w14:textId="77777777" w:rsidR="00AB1B6A" w:rsidRPr="008A60DC" w:rsidRDefault="00AB1B6A" w:rsidP="00127CDF">
            <w:pPr>
              <w:jc w:val="center"/>
              <w:rPr>
                <w:rFonts w:eastAsia="Calibri" w:cs="Arial"/>
                <w:sz w:val="20"/>
                <w:szCs w:val="20"/>
              </w:rPr>
            </w:pPr>
            <w:r w:rsidRPr="008A60DC">
              <w:rPr>
                <w:rFonts w:eastAsia="Calibri" w:cs="Arial"/>
                <w:sz w:val="20"/>
                <w:szCs w:val="20"/>
              </w:rPr>
              <w:t>$0 per minute</w:t>
            </w:r>
          </w:p>
        </w:tc>
      </w:tr>
      <w:tr w:rsidR="00AB1B6A" w:rsidRPr="008A60DC" w14:paraId="7C8DBECE" w14:textId="77777777" w:rsidTr="00127CDF">
        <w:tc>
          <w:tcPr>
            <w:tcW w:w="4253" w:type="dxa"/>
            <w:shd w:val="clear" w:color="auto" w:fill="auto"/>
          </w:tcPr>
          <w:p w14:paraId="580F4A2D" w14:textId="77777777" w:rsidR="00AB1B6A" w:rsidRPr="008A60DC" w:rsidRDefault="00AB1B6A" w:rsidP="00127CDF">
            <w:pPr>
              <w:rPr>
                <w:rFonts w:eastAsia="Calibri" w:cs="Arial"/>
                <w:b/>
                <w:bCs/>
                <w:sz w:val="20"/>
                <w:szCs w:val="20"/>
              </w:rPr>
            </w:pPr>
            <w:r w:rsidRPr="008A60DC">
              <w:rPr>
                <w:rFonts w:eastAsia="Calibri" w:cs="Arial"/>
                <w:b/>
                <w:bCs/>
                <w:sz w:val="20"/>
                <w:szCs w:val="20"/>
              </w:rPr>
              <w:t xml:space="preserve">International Diversions </w:t>
            </w:r>
          </w:p>
        </w:tc>
        <w:tc>
          <w:tcPr>
            <w:tcW w:w="5670" w:type="dxa"/>
            <w:shd w:val="clear" w:color="auto" w:fill="auto"/>
          </w:tcPr>
          <w:p w14:paraId="5D9D7491" w14:textId="77777777" w:rsidR="00AB1B6A" w:rsidRPr="008A60DC" w:rsidRDefault="00AB1B6A" w:rsidP="00127CDF">
            <w:pPr>
              <w:jc w:val="center"/>
              <w:rPr>
                <w:rFonts w:eastAsia="Calibri" w:cs="Arial"/>
                <w:sz w:val="20"/>
                <w:szCs w:val="20"/>
              </w:rPr>
            </w:pPr>
            <w:r w:rsidRPr="008A60DC">
              <w:rPr>
                <w:rFonts w:eastAsia="Calibri" w:cs="Arial"/>
                <w:sz w:val="20"/>
                <w:szCs w:val="20"/>
              </w:rPr>
              <w:t>‘yes’ international rates</w:t>
            </w:r>
            <w:r w:rsidRPr="008A60DC">
              <w:rPr>
                <w:rFonts w:eastAsia="Calibri" w:cs="Arial"/>
                <w:sz w:val="20"/>
                <w:szCs w:val="20"/>
              </w:rPr>
              <w:br/>
              <w:t>See optus.com.au/international</w:t>
            </w:r>
          </w:p>
        </w:tc>
      </w:tr>
      <w:tr w:rsidR="00AB1B6A" w:rsidRPr="008A60DC" w14:paraId="56F506F3" w14:textId="77777777" w:rsidTr="00127CDF">
        <w:tc>
          <w:tcPr>
            <w:tcW w:w="4253" w:type="dxa"/>
            <w:shd w:val="clear" w:color="auto" w:fill="auto"/>
          </w:tcPr>
          <w:p w14:paraId="64DDE6C2" w14:textId="77777777" w:rsidR="00AB1B6A" w:rsidRPr="008A60DC" w:rsidRDefault="00AB1B6A" w:rsidP="00127CDF">
            <w:pPr>
              <w:rPr>
                <w:rFonts w:eastAsia="Calibri" w:cs="Arial"/>
                <w:b/>
                <w:bCs/>
                <w:sz w:val="20"/>
                <w:szCs w:val="20"/>
              </w:rPr>
            </w:pPr>
            <w:r w:rsidRPr="008A60DC">
              <w:rPr>
                <w:rFonts w:eastAsia="Calibri" w:cs="Arial"/>
                <w:b/>
                <w:bCs/>
                <w:sz w:val="20"/>
                <w:szCs w:val="20"/>
              </w:rPr>
              <w:t xml:space="preserve">1800 numbers </w:t>
            </w:r>
          </w:p>
        </w:tc>
        <w:tc>
          <w:tcPr>
            <w:tcW w:w="5670" w:type="dxa"/>
            <w:shd w:val="clear" w:color="auto" w:fill="auto"/>
            <w:vAlign w:val="center"/>
          </w:tcPr>
          <w:p w14:paraId="2FEA9F7B" w14:textId="77777777" w:rsidR="00AB1B6A" w:rsidRPr="008A60DC" w:rsidRDefault="00AB1B6A" w:rsidP="00127CDF">
            <w:pPr>
              <w:jc w:val="center"/>
              <w:rPr>
                <w:rFonts w:eastAsia="Calibri" w:cs="Arial"/>
                <w:sz w:val="20"/>
                <w:szCs w:val="20"/>
              </w:rPr>
            </w:pPr>
            <w:r w:rsidRPr="008A60DC">
              <w:rPr>
                <w:rFonts w:eastAsia="Calibri" w:cs="Arial"/>
                <w:sz w:val="20"/>
                <w:szCs w:val="20"/>
              </w:rPr>
              <w:t>$0 per minute</w:t>
            </w:r>
          </w:p>
        </w:tc>
      </w:tr>
      <w:tr w:rsidR="00AB1B6A" w:rsidRPr="008A60DC" w14:paraId="783A08D8" w14:textId="77777777" w:rsidTr="00127CDF">
        <w:tc>
          <w:tcPr>
            <w:tcW w:w="4253" w:type="dxa"/>
            <w:shd w:val="clear" w:color="auto" w:fill="auto"/>
          </w:tcPr>
          <w:p w14:paraId="11188D3E" w14:textId="77777777" w:rsidR="00AB1B6A" w:rsidRPr="008A60DC" w:rsidRDefault="00AB1B6A" w:rsidP="00127CDF">
            <w:pPr>
              <w:rPr>
                <w:rFonts w:eastAsia="Calibri" w:cs="Arial"/>
                <w:b/>
                <w:bCs/>
                <w:sz w:val="20"/>
                <w:szCs w:val="20"/>
              </w:rPr>
            </w:pPr>
            <w:r w:rsidRPr="008A60DC">
              <w:rPr>
                <w:rFonts w:eastAsia="Calibri" w:cs="Arial"/>
                <w:b/>
                <w:bCs/>
                <w:sz w:val="20"/>
                <w:szCs w:val="20"/>
              </w:rPr>
              <w:t xml:space="preserve">Directory Assistance 1223 </w:t>
            </w:r>
          </w:p>
        </w:tc>
        <w:tc>
          <w:tcPr>
            <w:tcW w:w="5670" w:type="dxa"/>
            <w:shd w:val="clear" w:color="auto" w:fill="auto"/>
            <w:vAlign w:val="center"/>
          </w:tcPr>
          <w:p w14:paraId="75EF4BC0" w14:textId="77777777" w:rsidR="00AB1B6A" w:rsidRPr="008A60DC" w:rsidRDefault="00AB1B6A" w:rsidP="00127CDF">
            <w:pPr>
              <w:jc w:val="center"/>
              <w:rPr>
                <w:rFonts w:eastAsia="Calibri" w:cs="Arial"/>
                <w:sz w:val="20"/>
                <w:szCs w:val="20"/>
              </w:rPr>
            </w:pPr>
            <w:r w:rsidRPr="008A60DC">
              <w:rPr>
                <w:rFonts w:eastAsia="Calibri" w:cs="Arial"/>
                <w:sz w:val="20"/>
                <w:szCs w:val="20"/>
              </w:rPr>
              <w:t>50c per call</w:t>
            </w:r>
          </w:p>
        </w:tc>
      </w:tr>
      <w:tr w:rsidR="00AB1B6A" w:rsidRPr="008A60DC" w14:paraId="221388AC" w14:textId="77777777" w:rsidTr="00127CDF">
        <w:tc>
          <w:tcPr>
            <w:tcW w:w="4253" w:type="dxa"/>
            <w:shd w:val="clear" w:color="auto" w:fill="auto"/>
          </w:tcPr>
          <w:p w14:paraId="65724FA9" w14:textId="77777777" w:rsidR="00AB1B6A" w:rsidRPr="008A60DC" w:rsidRDefault="00AB1B6A" w:rsidP="00127CDF">
            <w:pPr>
              <w:rPr>
                <w:rFonts w:eastAsia="Calibri" w:cs="Arial"/>
                <w:b/>
                <w:bCs/>
                <w:sz w:val="20"/>
                <w:szCs w:val="20"/>
              </w:rPr>
            </w:pPr>
            <w:r w:rsidRPr="008A60DC">
              <w:rPr>
                <w:rFonts w:eastAsia="Calibri" w:cs="Arial"/>
                <w:b/>
                <w:bCs/>
                <w:sz w:val="20"/>
                <w:szCs w:val="20"/>
              </w:rPr>
              <w:t>124 Yes</w:t>
            </w:r>
          </w:p>
        </w:tc>
        <w:tc>
          <w:tcPr>
            <w:tcW w:w="5670" w:type="dxa"/>
            <w:shd w:val="clear" w:color="auto" w:fill="auto"/>
            <w:vAlign w:val="center"/>
          </w:tcPr>
          <w:p w14:paraId="6D66F6B6" w14:textId="77777777" w:rsidR="00AB1B6A" w:rsidRPr="008A60DC" w:rsidRDefault="00AB1B6A" w:rsidP="00127CDF">
            <w:pPr>
              <w:jc w:val="center"/>
              <w:rPr>
                <w:rFonts w:eastAsia="Calibri" w:cs="Arial"/>
                <w:sz w:val="20"/>
                <w:szCs w:val="20"/>
              </w:rPr>
            </w:pPr>
            <w:r w:rsidRPr="008A60DC">
              <w:rPr>
                <w:rFonts w:eastAsia="Calibri" w:cs="Arial"/>
                <w:sz w:val="20"/>
                <w:szCs w:val="20"/>
              </w:rPr>
              <w:t>90c per minute +$1.75c flagfall</w:t>
            </w:r>
          </w:p>
        </w:tc>
      </w:tr>
      <w:tr w:rsidR="00AB1B6A" w:rsidRPr="008A60DC" w14:paraId="357CA4E4" w14:textId="77777777" w:rsidTr="00127CDF">
        <w:tc>
          <w:tcPr>
            <w:tcW w:w="4253" w:type="dxa"/>
            <w:shd w:val="clear" w:color="auto" w:fill="auto"/>
          </w:tcPr>
          <w:p w14:paraId="626EFF55" w14:textId="77777777" w:rsidR="00AB1B6A" w:rsidRPr="008A60DC" w:rsidRDefault="00AB1B6A" w:rsidP="00127CDF">
            <w:pPr>
              <w:rPr>
                <w:rFonts w:eastAsia="Calibri" w:cs="Arial"/>
                <w:b/>
                <w:bCs/>
                <w:sz w:val="20"/>
                <w:szCs w:val="20"/>
              </w:rPr>
            </w:pPr>
            <w:r w:rsidRPr="008A60DC">
              <w:rPr>
                <w:rFonts w:eastAsia="Calibri" w:cs="Arial"/>
                <w:b/>
                <w:bCs/>
                <w:sz w:val="20"/>
                <w:szCs w:val="20"/>
              </w:rPr>
              <w:t xml:space="preserve">International voice calls (outside the plan’s included international minutes and to excluded countries) </w:t>
            </w:r>
          </w:p>
        </w:tc>
        <w:tc>
          <w:tcPr>
            <w:tcW w:w="5670" w:type="dxa"/>
            <w:shd w:val="clear" w:color="auto" w:fill="auto"/>
            <w:vAlign w:val="center"/>
          </w:tcPr>
          <w:p w14:paraId="57463958" w14:textId="77777777" w:rsidR="00AB1B6A" w:rsidRPr="008A60DC" w:rsidRDefault="00AB1B6A" w:rsidP="00127CDF">
            <w:pPr>
              <w:jc w:val="center"/>
              <w:rPr>
                <w:rFonts w:eastAsia="Calibri" w:cs="Arial"/>
                <w:sz w:val="20"/>
                <w:szCs w:val="20"/>
              </w:rPr>
            </w:pPr>
            <w:r w:rsidRPr="008A60DC">
              <w:rPr>
                <w:rFonts w:eastAsia="Calibri" w:cs="Arial"/>
                <w:sz w:val="20"/>
                <w:szCs w:val="20"/>
              </w:rPr>
              <w:t>‘yes’ international rates</w:t>
            </w:r>
          </w:p>
          <w:p w14:paraId="3C12BA2A" w14:textId="77777777" w:rsidR="00AB1B6A" w:rsidRPr="008A60DC" w:rsidRDefault="00AB1B6A" w:rsidP="00127CDF">
            <w:pPr>
              <w:jc w:val="center"/>
              <w:rPr>
                <w:rFonts w:eastAsia="Calibri" w:cs="Arial"/>
                <w:sz w:val="20"/>
                <w:szCs w:val="20"/>
              </w:rPr>
            </w:pPr>
            <w:r w:rsidRPr="008A60DC">
              <w:rPr>
                <w:rFonts w:eastAsia="Calibri" w:cs="Arial"/>
                <w:sz w:val="20"/>
                <w:szCs w:val="20"/>
              </w:rPr>
              <w:t>See optus.com.au/international</w:t>
            </w:r>
          </w:p>
        </w:tc>
      </w:tr>
      <w:tr w:rsidR="00AB1B6A" w:rsidRPr="008A60DC" w14:paraId="44D335D1" w14:textId="77777777" w:rsidTr="00127CDF">
        <w:tc>
          <w:tcPr>
            <w:tcW w:w="4253" w:type="dxa"/>
            <w:shd w:val="clear" w:color="auto" w:fill="auto"/>
          </w:tcPr>
          <w:p w14:paraId="09CE8B2F" w14:textId="77777777" w:rsidR="00AB1B6A" w:rsidRPr="008A60DC" w:rsidRDefault="00AB1B6A" w:rsidP="00127CDF">
            <w:pPr>
              <w:rPr>
                <w:rFonts w:eastAsia="Calibri" w:cs="Arial"/>
                <w:b/>
                <w:bCs/>
                <w:sz w:val="20"/>
                <w:szCs w:val="20"/>
              </w:rPr>
            </w:pPr>
            <w:r w:rsidRPr="008A60DC">
              <w:rPr>
                <w:rFonts w:eastAsia="Calibri" w:cs="Arial"/>
                <w:b/>
                <w:bCs/>
                <w:sz w:val="20"/>
                <w:szCs w:val="20"/>
              </w:rPr>
              <w:t xml:space="preserve">International SMS (to excluded countries) </w:t>
            </w:r>
          </w:p>
        </w:tc>
        <w:tc>
          <w:tcPr>
            <w:tcW w:w="5670" w:type="dxa"/>
            <w:shd w:val="clear" w:color="auto" w:fill="auto"/>
            <w:vAlign w:val="center"/>
          </w:tcPr>
          <w:p w14:paraId="53BE4112" w14:textId="77777777" w:rsidR="00AB1B6A" w:rsidRPr="008A60DC" w:rsidRDefault="00AB1B6A" w:rsidP="00127CDF">
            <w:pPr>
              <w:jc w:val="center"/>
              <w:rPr>
                <w:rFonts w:eastAsia="Calibri" w:cs="Arial"/>
                <w:sz w:val="20"/>
                <w:szCs w:val="20"/>
              </w:rPr>
            </w:pPr>
            <w:r w:rsidRPr="008A60DC">
              <w:rPr>
                <w:rFonts w:eastAsia="Calibri" w:cs="Arial"/>
                <w:sz w:val="20"/>
                <w:szCs w:val="20"/>
              </w:rPr>
              <w:t>50c per SMS up to 160 standard characters</w:t>
            </w:r>
          </w:p>
        </w:tc>
      </w:tr>
      <w:tr w:rsidR="00AB1B6A" w:rsidRPr="008A60DC" w14:paraId="710FD43A" w14:textId="77777777" w:rsidTr="00127CDF">
        <w:tc>
          <w:tcPr>
            <w:tcW w:w="4253" w:type="dxa"/>
            <w:shd w:val="clear" w:color="auto" w:fill="auto"/>
          </w:tcPr>
          <w:p w14:paraId="75C46A70" w14:textId="77777777" w:rsidR="00AB1B6A" w:rsidRPr="008A60DC" w:rsidRDefault="00AB1B6A" w:rsidP="00127CDF">
            <w:pPr>
              <w:rPr>
                <w:rFonts w:eastAsia="Calibri" w:cs="Arial"/>
                <w:b/>
                <w:bCs/>
                <w:sz w:val="20"/>
                <w:szCs w:val="20"/>
              </w:rPr>
            </w:pPr>
            <w:r w:rsidRPr="008A60DC">
              <w:rPr>
                <w:rFonts w:eastAsia="Calibri" w:cs="Arial"/>
                <w:b/>
                <w:bCs/>
                <w:sz w:val="20"/>
                <w:szCs w:val="20"/>
              </w:rPr>
              <w:t>International MMS (to excluded countries)</w:t>
            </w:r>
          </w:p>
        </w:tc>
        <w:tc>
          <w:tcPr>
            <w:tcW w:w="5670" w:type="dxa"/>
            <w:shd w:val="clear" w:color="auto" w:fill="auto"/>
            <w:vAlign w:val="center"/>
          </w:tcPr>
          <w:p w14:paraId="0B3450E3" w14:textId="77777777" w:rsidR="00AB1B6A" w:rsidRPr="008A60DC" w:rsidRDefault="00AB1B6A" w:rsidP="00127CDF">
            <w:pPr>
              <w:jc w:val="center"/>
              <w:rPr>
                <w:rFonts w:eastAsia="Calibri" w:cs="Arial"/>
                <w:sz w:val="20"/>
                <w:szCs w:val="20"/>
              </w:rPr>
            </w:pPr>
            <w:r w:rsidRPr="008A60DC">
              <w:rPr>
                <w:rFonts w:eastAsia="Calibri" w:cs="Arial"/>
                <w:sz w:val="20"/>
                <w:szCs w:val="20"/>
              </w:rPr>
              <w:t xml:space="preserve">75c per MMS </w:t>
            </w:r>
          </w:p>
        </w:tc>
      </w:tr>
      <w:tr w:rsidR="00AB1B6A" w:rsidRPr="008A60DC" w14:paraId="143C8C4E" w14:textId="77777777" w:rsidTr="00127CDF">
        <w:tc>
          <w:tcPr>
            <w:tcW w:w="4253" w:type="dxa"/>
            <w:shd w:val="clear" w:color="auto" w:fill="auto"/>
          </w:tcPr>
          <w:p w14:paraId="074DA504" w14:textId="77777777" w:rsidR="00AB1B6A" w:rsidRPr="008A60DC" w:rsidRDefault="00AB1B6A" w:rsidP="00127CDF">
            <w:pPr>
              <w:rPr>
                <w:rFonts w:eastAsia="Calibri" w:cs="Arial"/>
                <w:b/>
                <w:bCs/>
                <w:sz w:val="20"/>
                <w:szCs w:val="20"/>
              </w:rPr>
            </w:pPr>
            <w:r w:rsidRPr="008A60DC">
              <w:rPr>
                <w:rFonts w:eastAsia="Calibri" w:cs="Arial"/>
                <w:b/>
                <w:bCs/>
                <w:sz w:val="20"/>
                <w:szCs w:val="20"/>
              </w:rPr>
              <w:t xml:space="preserve">International video calling </w:t>
            </w:r>
          </w:p>
        </w:tc>
        <w:tc>
          <w:tcPr>
            <w:tcW w:w="5670" w:type="dxa"/>
            <w:shd w:val="clear" w:color="auto" w:fill="auto"/>
            <w:vAlign w:val="center"/>
          </w:tcPr>
          <w:p w14:paraId="48C04C51" w14:textId="77777777" w:rsidR="00AB1B6A" w:rsidRPr="008A60DC" w:rsidRDefault="00AB1B6A" w:rsidP="00127CDF">
            <w:pPr>
              <w:jc w:val="center"/>
              <w:rPr>
                <w:rFonts w:eastAsia="Calibri" w:cs="Arial"/>
                <w:sz w:val="20"/>
                <w:szCs w:val="20"/>
              </w:rPr>
            </w:pPr>
            <w:r w:rsidRPr="008A60DC">
              <w:rPr>
                <w:rFonts w:eastAsia="Calibri" w:cs="Arial"/>
                <w:sz w:val="20"/>
                <w:szCs w:val="20"/>
              </w:rPr>
              <w:t>$1.50 per minute +35c flagfall</w:t>
            </w:r>
          </w:p>
        </w:tc>
      </w:tr>
      <w:tr w:rsidR="00AB1B6A" w:rsidRPr="008A60DC" w14:paraId="5B9326D9" w14:textId="77777777" w:rsidTr="00127CDF">
        <w:tc>
          <w:tcPr>
            <w:tcW w:w="4253" w:type="dxa"/>
            <w:shd w:val="clear" w:color="auto" w:fill="auto"/>
          </w:tcPr>
          <w:p w14:paraId="71DF4DBF" w14:textId="77777777" w:rsidR="00AB1B6A" w:rsidRPr="008A60DC" w:rsidRDefault="00AB1B6A" w:rsidP="00127CDF">
            <w:pPr>
              <w:rPr>
                <w:rFonts w:eastAsia="Calibri" w:cs="Arial"/>
                <w:b/>
                <w:bCs/>
                <w:sz w:val="20"/>
                <w:szCs w:val="20"/>
              </w:rPr>
            </w:pPr>
            <w:r w:rsidRPr="008A60DC">
              <w:rPr>
                <w:rFonts w:eastAsia="Calibri" w:cs="Arial"/>
                <w:b/>
                <w:bCs/>
                <w:sz w:val="20"/>
                <w:szCs w:val="20"/>
              </w:rPr>
              <w:t xml:space="preserve">International roaming </w:t>
            </w:r>
          </w:p>
        </w:tc>
        <w:tc>
          <w:tcPr>
            <w:tcW w:w="5670" w:type="dxa"/>
            <w:shd w:val="clear" w:color="auto" w:fill="auto"/>
            <w:vAlign w:val="center"/>
          </w:tcPr>
          <w:p w14:paraId="1EB6882F" w14:textId="77777777" w:rsidR="00AB1B6A" w:rsidRPr="008A60DC" w:rsidRDefault="00AB1B6A" w:rsidP="00127CDF">
            <w:pPr>
              <w:jc w:val="center"/>
              <w:rPr>
                <w:rFonts w:eastAsia="Calibri" w:cs="Arial"/>
                <w:sz w:val="20"/>
                <w:szCs w:val="20"/>
              </w:rPr>
            </w:pPr>
            <w:r w:rsidRPr="008A60DC">
              <w:rPr>
                <w:rFonts w:eastAsia="Calibri" w:cs="Arial"/>
                <w:sz w:val="20"/>
                <w:szCs w:val="20"/>
              </w:rPr>
              <w:t>See optus.com.au/roaming</w:t>
            </w:r>
          </w:p>
        </w:tc>
      </w:tr>
    </w:tbl>
    <w:p w14:paraId="37464061" w14:textId="77777777" w:rsidR="000E7C1E" w:rsidRDefault="000E7C1E" w:rsidP="000E7C1E">
      <w:pPr>
        <w:spacing w:after="240"/>
        <w:rPr>
          <w:rFonts w:cs="Arial"/>
          <w:b/>
          <w:sz w:val="20"/>
          <w:szCs w:val="20"/>
        </w:rPr>
      </w:pPr>
    </w:p>
    <w:p w14:paraId="1D209225" w14:textId="77777777" w:rsidR="00D50A97" w:rsidRDefault="00D50A97" w:rsidP="000E7C1E">
      <w:pPr>
        <w:spacing w:after="240"/>
        <w:rPr>
          <w:rFonts w:cs="Arial"/>
          <w:b/>
          <w:sz w:val="20"/>
          <w:szCs w:val="20"/>
        </w:rPr>
      </w:pPr>
    </w:p>
    <w:p w14:paraId="0593652B" w14:textId="77777777" w:rsidR="00D50A97" w:rsidRDefault="00D50A97" w:rsidP="000E7C1E">
      <w:pPr>
        <w:spacing w:after="240"/>
        <w:rPr>
          <w:rFonts w:cs="Arial"/>
          <w:b/>
          <w:sz w:val="20"/>
          <w:szCs w:val="20"/>
        </w:rPr>
      </w:pPr>
    </w:p>
    <w:p w14:paraId="029CE04B" w14:textId="77777777" w:rsidR="00AB1B6A" w:rsidRPr="008A60DC" w:rsidRDefault="00AB1B6A" w:rsidP="000E7C1E">
      <w:pPr>
        <w:spacing w:after="240"/>
        <w:rPr>
          <w:rFonts w:cs="Arial"/>
          <w:b/>
          <w:sz w:val="20"/>
          <w:szCs w:val="20"/>
        </w:rPr>
      </w:pPr>
      <w:r w:rsidRPr="008A60DC">
        <w:rPr>
          <w:rFonts w:cs="Arial"/>
          <w:b/>
          <w:sz w:val="20"/>
          <w:szCs w:val="20"/>
        </w:rPr>
        <w:lastRenderedPageBreak/>
        <w:t>Table 3 – International Countries</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2"/>
        <w:gridCol w:w="2462"/>
        <w:gridCol w:w="2462"/>
        <w:gridCol w:w="2537"/>
      </w:tblGrid>
      <w:tr w:rsidR="00AB1B6A" w:rsidRPr="008A60DC" w14:paraId="088DEDBC" w14:textId="77777777" w:rsidTr="000E7C1E">
        <w:tc>
          <w:tcPr>
            <w:tcW w:w="2462" w:type="dxa"/>
            <w:shd w:val="clear" w:color="auto" w:fill="auto"/>
          </w:tcPr>
          <w:p w14:paraId="57553D2A" w14:textId="77777777" w:rsidR="00AB1B6A" w:rsidRPr="008A60DC" w:rsidRDefault="00AB1B6A" w:rsidP="00127CDF">
            <w:pPr>
              <w:rPr>
                <w:rFonts w:eastAsia="Calibri" w:cs="Arial"/>
                <w:b/>
                <w:sz w:val="20"/>
                <w:szCs w:val="20"/>
              </w:rPr>
            </w:pPr>
            <w:r w:rsidRPr="008A60DC">
              <w:rPr>
                <w:rFonts w:eastAsia="Calibri" w:cs="Arial"/>
                <w:sz w:val="20"/>
                <w:szCs w:val="20"/>
              </w:rPr>
              <w:t>Austria</w:t>
            </w:r>
          </w:p>
        </w:tc>
        <w:tc>
          <w:tcPr>
            <w:tcW w:w="2462" w:type="dxa"/>
            <w:shd w:val="clear" w:color="auto" w:fill="auto"/>
          </w:tcPr>
          <w:p w14:paraId="7C185CA2" w14:textId="77777777" w:rsidR="00AB1B6A" w:rsidRPr="008A60DC" w:rsidRDefault="00AB1B6A" w:rsidP="00127CDF">
            <w:pPr>
              <w:rPr>
                <w:rFonts w:eastAsia="Calibri" w:cs="Arial"/>
                <w:b/>
                <w:sz w:val="20"/>
                <w:szCs w:val="20"/>
              </w:rPr>
            </w:pPr>
            <w:r w:rsidRPr="008A60DC">
              <w:rPr>
                <w:rFonts w:eastAsia="Calibri" w:cs="Arial"/>
                <w:sz w:val="20"/>
                <w:szCs w:val="20"/>
              </w:rPr>
              <w:t>Bangladesh</w:t>
            </w:r>
          </w:p>
        </w:tc>
        <w:tc>
          <w:tcPr>
            <w:tcW w:w="2462" w:type="dxa"/>
            <w:shd w:val="clear" w:color="auto" w:fill="auto"/>
          </w:tcPr>
          <w:p w14:paraId="4DA6A4AB" w14:textId="77777777" w:rsidR="00AB1B6A" w:rsidRPr="008A60DC" w:rsidRDefault="00AB1B6A" w:rsidP="00127CDF">
            <w:pPr>
              <w:rPr>
                <w:rFonts w:eastAsia="Calibri" w:cs="Arial"/>
                <w:b/>
                <w:sz w:val="20"/>
                <w:szCs w:val="20"/>
              </w:rPr>
            </w:pPr>
            <w:r w:rsidRPr="008A60DC">
              <w:rPr>
                <w:rFonts w:eastAsia="Calibri" w:cs="Arial"/>
                <w:sz w:val="20"/>
                <w:szCs w:val="20"/>
              </w:rPr>
              <w:t>Cambodia</w:t>
            </w:r>
          </w:p>
        </w:tc>
        <w:tc>
          <w:tcPr>
            <w:tcW w:w="2537" w:type="dxa"/>
            <w:shd w:val="clear" w:color="auto" w:fill="auto"/>
          </w:tcPr>
          <w:p w14:paraId="0D080AAB" w14:textId="77777777" w:rsidR="00AB1B6A" w:rsidRPr="008A60DC" w:rsidRDefault="00AB1B6A" w:rsidP="00127CDF">
            <w:pPr>
              <w:rPr>
                <w:rFonts w:eastAsia="Calibri" w:cs="Arial"/>
                <w:b/>
                <w:sz w:val="20"/>
                <w:szCs w:val="20"/>
              </w:rPr>
            </w:pPr>
            <w:r w:rsidRPr="008A60DC">
              <w:rPr>
                <w:rFonts w:eastAsia="Calibri" w:cs="Arial"/>
                <w:sz w:val="20"/>
                <w:szCs w:val="20"/>
              </w:rPr>
              <w:t>Canada</w:t>
            </w:r>
          </w:p>
        </w:tc>
      </w:tr>
      <w:tr w:rsidR="00AB1B6A" w:rsidRPr="008A60DC" w14:paraId="1E313E7A" w14:textId="77777777" w:rsidTr="000E7C1E">
        <w:tc>
          <w:tcPr>
            <w:tcW w:w="2462" w:type="dxa"/>
            <w:shd w:val="clear" w:color="auto" w:fill="auto"/>
          </w:tcPr>
          <w:p w14:paraId="47E5EDD5" w14:textId="77777777" w:rsidR="00AB1B6A" w:rsidRPr="008A60DC" w:rsidRDefault="00AB1B6A" w:rsidP="00127CDF">
            <w:pPr>
              <w:rPr>
                <w:rFonts w:eastAsia="Calibri" w:cs="Arial"/>
                <w:b/>
                <w:sz w:val="20"/>
                <w:szCs w:val="20"/>
              </w:rPr>
            </w:pPr>
            <w:r w:rsidRPr="008A60DC">
              <w:rPr>
                <w:rFonts w:eastAsia="Calibri" w:cs="Arial"/>
                <w:sz w:val="20"/>
                <w:szCs w:val="20"/>
              </w:rPr>
              <w:t xml:space="preserve">Chile </w:t>
            </w:r>
          </w:p>
        </w:tc>
        <w:tc>
          <w:tcPr>
            <w:tcW w:w="2462" w:type="dxa"/>
            <w:shd w:val="clear" w:color="auto" w:fill="auto"/>
          </w:tcPr>
          <w:p w14:paraId="5AE1E87B" w14:textId="77777777" w:rsidR="00AB1B6A" w:rsidRPr="008A60DC" w:rsidRDefault="00AB1B6A" w:rsidP="00127CDF">
            <w:pPr>
              <w:rPr>
                <w:rFonts w:eastAsia="Calibri" w:cs="Arial"/>
                <w:b/>
                <w:sz w:val="20"/>
                <w:szCs w:val="20"/>
              </w:rPr>
            </w:pPr>
            <w:r w:rsidRPr="008A60DC">
              <w:rPr>
                <w:rFonts w:eastAsia="Calibri" w:cs="Arial"/>
                <w:sz w:val="20"/>
                <w:szCs w:val="20"/>
              </w:rPr>
              <w:t xml:space="preserve">China </w:t>
            </w:r>
          </w:p>
        </w:tc>
        <w:tc>
          <w:tcPr>
            <w:tcW w:w="2462" w:type="dxa"/>
            <w:shd w:val="clear" w:color="auto" w:fill="auto"/>
          </w:tcPr>
          <w:p w14:paraId="27A0AA4D" w14:textId="77777777" w:rsidR="00AB1B6A" w:rsidRPr="008A60DC" w:rsidRDefault="00AB1B6A" w:rsidP="00127CDF">
            <w:pPr>
              <w:rPr>
                <w:rFonts w:eastAsia="Calibri" w:cs="Arial"/>
                <w:b/>
                <w:sz w:val="20"/>
                <w:szCs w:val="20"/>
              </w:rPr>
            </w:pPr>
            <w:r w:rsidRPr="008A60DC">
              <w:rPr>
                <w:rFonts w:eastAsia="Calibri" w:cs="Arial"/>
                <w:sz w:val="20"/>
                <w:szCs w:val="20"/>
              </w:rPr>
              <w:t xml:space="preserve">Croatia </w:t>
            </w:r>
          </w:p>
        </w:tc>
        <w:tc>
          <w:tcPr>
            <w:tcW w:w="2537" w:type="dxa"/>
            <w:shd w:val="clear" w:color="auto" w:fill="auto"/>
          </w:tcPr>
          <w:p w14:paraId="59B209DD" w14:textId="77777777" w:rsidR="00AB1B6A" w:rsidRPr="008A60DC" w:rsidRDefault="00AB1B6A" w:rsidP="00127CDF">
            <w:pPr>
              <w:rPr>
                <w:rFonts w:eastAsia="Calibri" w:cs="Arial"/>
                <w:b/>
                <w:sz w:val="20"/>
                <w:szCs w:val="20"/>
              </w:rPr>
            </w:pPr>
            <w:r w:rsidRPr="008A60DC">
              <w:rPr>
                <w:rFonts w:eastAsia="Calibri" w:cs="Arial"/>
                <w:sz w:val="20"/>
                <w:szCs w:val="20"/>
              </w:rPr>
              <w:t>France</w:t>
            </w:r>
          </w:p>
        </w:tc>
      </w:tr>
      <w:tr w:rsidR="00AB1B6A" w:rsidRPr="008A60DC" w14:paraId="3CC5BFF2" w14:textId="77777777" w:rsidTr="000E7C1E">
        <w:tc>
          <w:tcPr>
            <w:tcW w:w="2462" w:type="dxa"/>
            <w:shd w:val="clear" w:color="auto" w:fill="auto"/>
          </w:tcPr>
          <w:p w14:paraId="623683F8" w14:textId="77777777" w:rsidR="00AB1B6A" w:rsidRPr="008A60DC" w:rsidRDefault="00AB1B6A" w:rsidP="00127CDF">
            <w:pPr>
              <w:rPr>
                <w:rFonts w:eastAsia="Calibri" w:cs="Arial"/>
                <w:b/>
                <w:sz w:val="20"/>
                <w:szCs w:val="20"/>
              </w:rPr>
            </w:pPr>
            <w:r w:rsidRPr="008A60DC">
              <w:rPr>
                <w:rFonts w:eastAsia="Calibri" w:cs="Arial"/>
                <w:sz w:val="20"/>
                <w:szCs w:val="20"/>
              </w:rPr>
              <w:t>Germany</w:t>
            </w:r>
          </w:p>
        </w:tc>
        <w:tc>
          <w:tcPr>
            <w:tcW w:w="2462" w:type="dxa"/>
            <w:shd w:val="clear" w:color="auto" w:fill="auto"/>
          </w:tcPr>
          <w:p w14:paraId="60719D07" w14:textId="77777777" w:rsidR="00AB1B6A" w:rsidRPr="008A60DC" w:rsidRDefault="00AB1B6A" w:rsidP="00127CDF">
            <w:pPr>
              <w:rPr>
                <w:rFonts w:eastAsia="Calibri" w:cs="Arial"/>
                <w:b/>
                <w:sz w:val="20"/>
                <w:szCs w:val="20"/>
              </w:rPr>
            </w:pPr>
            <w:r w:rsidRPr="008A60DC">
              <w:rPr>
                <w:rFonts w:eastAsia="Calibri" w:cs="Arial"/>
                <w:sz w:val="20"/>
                <w:szCs w:val="20"/>
              </w:rPr>
              <w:t>Greece</w:t>
            </w:r>
          </w:p>
        </w:tc>
        <w:tc>
          <w:tcPr>
            <w:tcW w:w="2462" w:type="dxa"/>
            <w:shd w:val="clear" w:color="auto" w:fill="auto"/>
          </w:tcPr>
          <w:p w14:paraId="01A210E1" w14:textId="77777777" w:rsidR="00AB1B6A" w:rsidRPr="008A60DC" w:rsidRDefault="00AB1B6A" w:rsidP="00127CDF">
            <w:pPr>
              <w:rPr>
                <w:rFonts w:eastAsia="Calibri" w:cs="Arial"/>
                <w:b/>
                <w:sz w:val="20"/>
                <w:szCs w:val="20"/>
              </w:rPr>
            </w:pPr>
            <w:r w:rsidRPr="008A60DC">
              <w:rPr>
                <w:rFonts w:eastAsia="Calibri" w:cs="Arial"/>
                <w:sz w:val="20"/>
                <w:szCs w:val="20"/>
              </w:rPr>
              <w:t>Hong Kong,</w:t>
            </w:r>
          </w:p>
        </w:tc>
        <w:tc>
          <w:tcPr>
            <w:tcW w:w="2537" w:type="dxa"/>
            <w:shd w:val="clear" w:color="auto" w:fill="auto"/>
          </w:tcPr>
          <w:p w14:paraId="416E3A77" w14:textId="77777777" w:rsidR="00AB1B6A" w:rsidRPr="008A60DC" w:rsidRDefault="00AB1B6A" w:rsidP="00127CDF">
            <w:pPr>
              <w:rPr>
                <w:rFonts w:eastAsia="Calibri" w:cs="Arial"/>
                <w:b/>
                <w:sz w:val="20"/>
                <w:szCs w:val="20"/>
              </w:rPr>
            </w:pPr>
            <w:r w:rsidRPr="008A60DC">
              <w:rPr>
                <w:rFonts w:eastAsia="Calibri" w:cs="Arial"/>
                <w:sz w:val="20"/>
                <w:szCs w:val="20"/>
              </w:rPr>
              <w:t>Hungary</w:t>
            </w:r>
          </w:p>
        </w:tc>
      </w:tr>
      <w:tr w:rsidR="00AB1B6A" w:rsidRPr="008A60DC" w14:paraId="5E9D7645" w14:textId="77777777" w:rsidTr="000E7C1E">
        <w:tc>
          <w:tcPr>
            <w:tcW w:w="2462" w:type="dxa"/>
            <w:shd w:val="clear" w:color="auto" w:fill="auto"/>
          </w:tcPr>
          <w:p w14:paraId="09618E9E" w14:textId="77777777" w:rsidR="00AB1B6A" w:rsidRPr="008A60DC" w:rsidRDefault="00AB1B6A" w:rsidP="00127CDF">
            <w:pPr>
              <w:rPr>
                <w:rFonts w:eastAsia="Calibri" w:cs="Arial"/>
                <w:b/>
                <w:sz w:val="20"/>
                <w:szCs w:val="20"/>
              </w:rPr>
            </w:pPr>
            <w:r w:rsidRPr="008A60DC">
              <w:rPr>
                <w:rFonts w:eastAsia="Calibri" w:cs="Arial"/>
                <w:sz w:val="20"/>
                <w:szCs w:val="20"/>
              </w:rPr>
              <w:t>Indonesia</w:t>
            </w:r>
          </w:p>
        </w:tc>
        <w:tc>
          <w:tcPr>
            <w:tcW w:w="2462" w:type="dxa"/>
            <w:shd w:val="clear" w:color="auto" w:fill="auto"/>
          </w:tcPr>
          <w:p w14:paraId="7EA905DB" w14:textId="77777777" w:rsidR="00AB1B6A" w:rsidRPr="008A60DC" w:rsidRDefault="00AB1B6A" w:rsidP="00127CDF">
            <w:pPr>
              <w:rPr>
                <w:rFonts w:eastAsia="Calibri" w:cs="Arial"/>
                <w:b/>
                <w:sz w:val="20"/>
                <w:szCs w:val="20"/>
              </w:rPr>
            </w:pPr>
            <w:r w:rsidRPr="008A60DC">
              <w:rPr>
                <w:rFonts w:eastAsia="Calibri" w:cs="Arial"/>
                <w:sz w:val="20"/>
                <w:szCs w:val="20"/>
              </w:rPr>
              <w:t>India</w:t>
            </w:r>
          </w:p>
        </w:tc>
        <w:tc>
          <w:tcPr>
            <w:tcW w:w="2462" w:type="dxa"/>
            <w:shd w:val="clear" w:color="auto" w:fill="auto"/>
          </w:tcPr>
          <w:p w14:paraId="3552A72F" w14:textId="77777777" w:rsidR="00AB1B6A" w:rsidRPr="008A60DC" w:rsidRDefault="00AB1B6A" w:rsidP="00127CDF">
            <w:pPr>
              <w:rPr>
                <w:rFonts w:eastAsia="Calibri" w:cs="Arial"/>
                <w:b/>
                <w:sz w:val="20"/>
                <w:szCs w:val="20"/>
              </w:rPr>
            </w:pPr>
            <w:r w:rsidRPr="008A60DC">
              <w:rPr>
                <w:rFonts w:eastAsia="Calibri" w:cs="Arial"/>
                <w:sz w:val="20"/>
                <w:szCs w:val="20"/>
              </w:rPr>
              <w:t>Ireland</w:t>
            </w:r>
          </w:p>
        </w:tc>
        <w:tc>
          <w:tcPr>
            <w:tcW w:w="2537" w:type="dxa"/>
            <w:shd w:val="clear" w:color="auto" w:fill="auto"/>
          </w:tcPr>
          <w:p w14:paraId="3EE47D08" w14:textId="77777777" w:rsidR="00AB1B6A" w:rsidRPr="008A60DC" w:rsidRDefault="00AB1B6A" w:rsidP="00127CDF">
            <w:pPr>
              <w:rPr>
                <w:rFonts w:eastAsia="Calibri" w:cs="Arial"/>
                <w:b/>
                <w:sz w:val="20"/>
                <w:szCs w:val="20"/>
              </w:rPr>
            </w:pPr>
            <w:r w:rsidRPr="008A60DC">
              <w:rPr>
                <w:rFonts w:eastAsia="Calibri" w:cs="Arial"/>
                <w:sz w:val="20"/>
                <w:szCs w:val="20"/>
              </w:rPr>
              <w:t>Italy</w:t>
            </w:r>
          </w:p>
        </w:tc>
      </w:tr>
      <w:tr w:rsidR="00AB1B6A" w:rsidRPr="008A60DC" w14:paraId="193AEF0C" w14:textId="77777777" w:rsidTr="000E7C1E">
        <w:tc>
          <w:tcPr>
            <w:tcW w:w="2462" w:type="dxa"/>
            <w:shd w:val="clear" w:color="auto" w:fill="auto"/>
          </w:tcPr>
          <w:p w14:paraId="59CF1127" w14:textId="77777777" w:rsidR="00AB1B6A" w:rsidRPr="008A60DC" w:rsidRDefault="00AB1B6A" w:rsidP="00127CDF">
            <w:pPr>
              <w:rPr>
                <w:rFonts w:eastAsia="Calibri" w:cs="Arial"/>
                <w:b/>
                <w:sz w:val="20"/>
                <w:szCs w:val="20"/>
              </w:rPr>
            </w:pPr>
            <w:r w:rsidRPr="008A60DC">
              <w:rPr>
                <w:rFonts w:eastAsia="Calibri" w:cs="Arial"/>
                <w:sz w:val="20"/>
                <w:szCs w:val="20"/>
              </w:rPr>
              <w:t xml:space="preserve">Japan </w:t>
            </w:r>
          </w:p>
        </w:tc>
        <w:tc>
          <w:tcPr>
            <w:tcW w:w="2462" w:type="dxa"/>
            <w:shd w:val="clear" w:color="auto" w:fill="auto"/>
          </w:tcPr>
          <w:p w14:paraId="77D1E812" w14:textId="77777777" w:rsidR="00AB1B6A" w:rsidRPr="008A60DC" w:rsidRDefault="00AB1B6A" w:rsidP="00127CDF">
            <w:pPr>
              <w:rPr>
                <w:rFonts w:eastAsia="Calibri" w:cs="Arial"/>
                <w:b/>
                <w:sz w:val="20"/>
                <w:szCs w:val="20"/>
              </w:rPr>
            </w:pPr>
            <w:r w:rsidRPr="008A60DC">
              <w:rPr>
                <w:rFonts w:eastAsia="Calibri" w:cs="Arial"/>
                <w:sz w:val="20"/>
                <w:szCs w:val="20"/>
              </w:rPr>
              <w:t>Malaysia,</w:t>
            </w:r>
          </w:p>
        </w:tc>
        <w:tc>
          <w:tcPr>
            <w:tcW w:w="2462" w:type="dxa"/>
            <w:shd w:val="clear" w:color="auto" w:fill="auto"/>
          </w:tcPr>
          <w:p w14:paraId="4AC0F1C0" w14:textId="77777777" w:rsidR="00AB1B6A" w:rsidRPr="008A60DC" w:rsidRDefault="00AB1B6A" w:rsidP="00127CDF">
            <w:pPr>
              <w:rPr>
                <w:rFonts w:eastAsia="Calibri" w:cs="Arial"/>
                <w:b/>
                <w:sz w:val="20"/>
                <w:szCs w:val="20"/>
              </w:rPr>
            </w:pPr>
            <w:r w:rsidRPr="008A60DC">
              <w:rPr>
                <w:rFonts w:eastAsia="Calibri" w:cs="Arial"/>
                <w:sz w:val="20"/>
                <w:szCs w:val="20"/>
              </w:rPr>
              <w:t>Netherlands</w:t>
            </w:r>
          </w:p>
        </w:tc>
        <w:tc>
          <w:tcPr>
            <w:tcW w:w="2537" w:type="dxa"/>
            <w:shd w:val="clear" w:color="auto" w:fill="auto"/>
          </w:tcPr>
          <w:p w14:paraId="67072C4A" w14:textId="77777777" w:rsidR="00AB1B6A" w:rsidRPr="008A60DC" w:rsidRDefault="00AB1B6A" w:rsidP="00127CDF">
            <w:pPr>
              <w:rPr>
                <w:rFonts w:eastAsia="Calibri" w:cs="Arial"/>
                <w:b/>
                <w:sz w:val="20"/>
                <w:szCs w:val="20"/>
              </w:rPr>
            </w:pPr>
            <w:r w:rsidRPr="008A60DC">
              <w:rPr>
                <w:rFonts w:eastAsia="Calibri" w:cs="Arial"/>
                <w:sz w:val="20"/>
                <w:szCs w:val="20"/>
              </w:rPr>
              <w:t>New Zealand</w:t>
            </w:r>
          </w:p>
        </w:tc>
      </w:tr>
      <w:tr w:rsidR="00AB1B6A" w:rsidRPr="008A60DC" w14:paraId="21E11260" w14:textId="77777777" w:rsidTr="000E7C1E">
        <w:tc>
          <w:tcPr>
            <w:tcW w:w="2462" w:type="dxa"/>
            <w:shd w:val="clear" w:color="auto" w:fill="auto"/>
          </w:tcPr>
          <w:p w14:paraId="04F162E0" w14:textId="77777777" w:rsidR="00AB1B6A" w:rsidRPr="008A60DC" w:rsidRDefault="00AB1B6A" w:rsidP="00127CDF">
            <w:pPr>
              <w:rPr>
                <w:rFonts w:eastAsia="Calibri" w:cs="Arial"/>
                <w:b/>
                <w:sz w:val="20"/>
                <w:szCs w:val="20"/>
              </w:rPr>
            </w:pPr>
            <w:r w:rsidRPr="008A60DC">
              <w:rPr>
                <w:rFonts w:eastAsia="Calibri" w:cs="Arial"/>
                <w:sz w:val="20"/>
                <w:szCs w:val="20"/>
              </w:rPr>
              <w:t xml:space="preserve">Pakistan </w:t>
            </w:r>
          </w:p>
        </w:tc>
        <w:tc>
          <w:tcPr>
            <w:tcW w:w="2462" w:type="dxa"/>
            <w:shd w:val="clear" w:color="auto" w:fill="auto"/>
          </w:tcPr>
          <w:p w14:paraId="3B6AD1BD" w14:textId="77777777" w:rsidR="00AB1B6A" w:rsidRPr="008A60DC" w:rsidRDefault="00AB1B6A" w:rsidP="00127CDF">
            <w:pPr>
              <w:rPr>
                <w:rFonts w:eastAsia="Calibri" w:cs="Arial"/>
                <w:b/>
                <w:sz w:val="20"/>
                <w:szCs w:val="20"/>
              </w:rPr>
            </w:pPr>
            <w:r w:rsidRPr="008A60DC">
              <w:rPr>
                <w:rFonts w:eastAsia="Calibri" w:cs="Arial"/>
                <w:sz w:val="20"/>
                <w:szCs w:val="20"/>
              </w:rPr>
              <w:t>Philippines</w:t>
            </w:r>
          </w:p>
        </w:tc>
        <w:tc>
          <w:tcPr>
            <w:tcW w:w="2462" w:type="dxa"/>
            <w:shd w:val="clear" w:color="auto" w:fill="auto"/>
          </w:tcPr>
          <w:p w14:paraId="0BFD1981" w14:textId="77777777" w:rsidR="00AB1B6A" w:rsidRPr="008A60DC" w:rsidRDefault="00AB1B6A" w:rsidP="00127CDF">
            <w:pPr>
              <w:rPr>
                <w:rFonts w:eastAsia="Calibri" w:cs="Arial"/>
                <w:b/>
                <w:sz w:val="20"/>
                <w:szCs w:val="20"/>
              </w:rPr>
            </w:pPr>
            <w:r w:rsidRPr="008A60DC">
              <w:rPr>
                <w:rFonts w:eastAsia="Calibri" w:cs="Arial"/>
                <w:sz w:val="20"/>
                <w:szCs w:val="20"/>
              </w:rPr>
              <w:t xml:space="preserve">Poland </w:t>
            </w:r>
          </w:p>
        </w:tc>
        <w:tc>
          <w:tcPr>
            <w:tcW w:w="2537" w:type="dxa"/>
            <w:shd w:val="clear" w:color="auto" w:fill="auto"/>
          </w:tcPr>
          <w:p w14:paraId="07C8152D" w14:textId="77777777" w:rsidR="00AB1B6A" w:rsidRPr="008A60DC" w:rsidRDefault="00AB1B6A" w:rsidP="00127CDF">
            <w:pPr>
              <w:rPr>
                <w:rFonts w:eastAsia="Calibri" w:cs="Arial"/>
                <w:b/>
                <w:sz w:val="20"/>
                <w:szCs w:val="20"/>
              </w:rPr>
            </w:pPr>
            <w:r w:rsidRPr="008A60DC">
              <w:rPr>
                <w:rFonts w:eastAsia="Calibri" w:cs="Arial"/>
                <w:sz w:val="20"/>
                <w:szCs w:val="20"/>
              </w:rPr>
              <w:t>Singapore</w:t>
            </w:r>
          </w:p>
        </w:tc>
      </w:tr>
      <w:tr w:rsidR="00AB1B6A" w:rsidRPr="008A60DC" w14:paraId="3091C4E8" w14:textId="77777777" w:rsidTr="000E7C1E">
        <w:tc>
          <w:tcPr>
            <w:tcW w:w="2462" w:type="dxa"/>
            <w:shd w:val="clear" w:color="auto" w:fill="auto"/>
          </w:tcPr>
          <w:p w14:paraId="528ABB19" w14:textId="77777777" w:rsidR="00AB1B6A" w:rsidRPr="008A60DC" w:rsidRDefault="00AB1B6A" w:rsidP="00127CDF">
            <w:pPr>
              <w:rPr>
                <w:rFonts w:eastAsia="Calibri" w:cs="Arial"/>
                <w:b/>
                <w:sz w:val="20"/>
                <w:szCs w:val="20"/>
              </w:rPr>
            </w:pPr>
            <w:r w:rsidRPr="008A60DC">
              <w:rPr>
                <w:rFonts w:eastAsia="Calibri" w:cs="Arial"/>
                <w:sz w:val="20"/>
                <w:szCs w:val="20"/>
              </w:rPr>
              <w:t xml:space="preserve">South Africa </w:t>
            </w:r>
          </w:p>
        </w:tc>
        <w:tc>
          <w:tcPr>
            <w:tcW w:w="2462" w:type="dxa"/>
            <w:shd w:val="clear" w:color="auto" w:fill="auto"/>
          </w:tcPr>
          <w:p w14:paraId="2F38A033" w14:textId="77777777" w:rsidR="00AB1B6A" w:rsidRPr="008A60DC" w:rsidRDefault="00AB1B6A" w:rsidP="00127CDF">
            <w:pPr>
              <w:rPr>
                <w:rFonts w:eastAsia="Calibri" w:cs="Arial"/>
                <w:b/>
                <w:sz w:val="20"/>
                <w:szCs w:val="20"/>
              </w:rPr>
            </w:pPr>
            <w:r w:rsidRPr="008A60DC">
              <w:rPr>
                <w:rFonts w:eastAsia="Calibri" w:cs="Arial"/>
                <w:sz w:val="20"/>
                <w:szCs w:val="20"/>
              </w:rPr>
              <w:t>South Korea</w:t>
            </w:r>
          </w:p>
        </w:tc>
        <w:tc>
          <w:tcPr>
            <w:tcW w:w="2462" w:type="dxa"/>
            <w:shd w:val="clear" w:color="auto" w:fill="auto"/>
          </w:tcPr>
          <w:p w14:paraId="2A669082" w14:textId="77777777" w:rsidR="00AB1B6A" w:rsidRPr="008A60DC" w:rsidRDefault="00AB1B6A" w:rsidP="00127CDF">
            <w:pPr>
              <w:rPr>
                <w:rFonts w:eastAsia="Calibri" w:cs="Arial"/>
                <w:b/>
                <w:sz w:val="20"/>
                <w:szCs w:val="20"/>
              </w:rPr>
            </w:pPr>
            <w:r w:rsidRPr="008A60DC">
              <w:rPr>
                <w:rFonts w:eastAsia="Calibri" w:cs="Arial"/>
                <w:sz w:val="20"/>
                <w:szCs w:val="20"/>
              </w:rPr>
              <w:t xml:space="preserve">Taiwan </w:t>
            </w:r>
          </w:p>
        </w:tc>
        <w:tc>
          <w:tcPr>
            <w:tcW w:w="2537" w:type="dxa"/>
            <w:shd w:val="clear" w:color="auto" w:fill="auto"/>
          </w:tcPr>
          <w:p w14:paraId="3BC285BF" w14:textId="77777777" w:rsidR="00AB1B6A" w:rsidRPr="008A60DC" w:rsidRDefault="00AB1B6A" w:rsidP="00127CDF">
            <w:pPr>
              <w:rPr>
                <w:rFonts w:eastAsia="Calibri" w:cs="Arial"/>
                <w:b/>
                <w:sz w:val="20"/>
                <w:szCs w:val="20"/>
              </w:rPr>
            </w:pPr>
            <w:r w:rsidRPr="008A60DC">
              <w:rPr>
                <w:rFonts w:eastAsia="Calibri" w:cs="Arial"/>
                <w:sz w:val="20"/>
                <w:szCs w:val="20"/>
              </w:rPr>
              <w:t>Thailand</w:t>
            </w:r>
          </w:p>
        </w:tc>
      </w:tr>
      <w:tr w:rsidR="00AB1B6A" w:rsidRPr="008A60DC" w14:paraId="7DE63657" w14:textId="77777777" w:rsidTr="000E7C1E">
        <w:tc>
          <w:tcPr>
            <w:tcW w:w="2462" w:type="dxa"/>
            <w:shd w:val="clear" w:color="auto" w:fill="auto"/>
          </w:tcPr>
          <w:p w14:paraId="633BCDEC" w14:textId="77777777" w:rsidR="00AB1B6A" w:rsidRPr="008A60DC" w:rsidRDefault="00AB1B6A" w:rsidP="00127CDF">
            <w:pPr>
              <w:rPr>
                <w:rFonts w:eastAsia="Calibri" w:cs="Arial"/>
                <w:b/>
                <w:sz w:val="20"/>
                <w:szCs w:val="20"/>
              </w:rPr>
            </w:pPr>
            <w:r w:rsidRPr="008A60DC">
              <w:rPr>
                <w:rFonts w:eastAsia="Calibri" w:cs="Arial"/>
                <w:sz w:val="20"/>
                <w:szCs w:val="20"/>
              </w:rPr>
              <w:t>Turkey</w:t>
            </w:r>
          </w:p>
        </w:tc>
        <w:tc>
          <w:tcPr>
            <w:tcW w:w="2462" w:type="dxa"/>
            <w:shd w:val="clear" w:color="auto" w:fill="auto"/>
          </w:tcPr>
          <w:p w14:paraId="0857C82E" w14:textId="77777777" w:rsidR="00AB1B6A" w:rsidRPr="008A60DC" w:rsidRDefault="00AB1B6A" w:rsidP="00127CDF">
            <w:pPr>
              <w:rPr>
                <w:rFonts w:eastAsia="Calibri" w:cs="Arial"/>
                <w:b/>
                <w:sz w:val="20"/>
                <w:szCs w:val="20"/>
              </w:rPr>
            </w:pPr>
            <w:r w:rsidRPr="008A60DC">
              <w:rPr>
                <w:rFonts w:eastAsia="Calibri" w:cs="Arial"/>
                <w:sz w:val="20"/>
                <w:szCs w:val="20"/>
              </w:rPr>
              <w:t>United Kingdom</w:t>
            </w:r>
          </w:p>
        </w:tc>
        <w:tc>
          <w:tcPr>
            <w:tcW w:w="2462" w:type="dxa"/>
            <w:shd w:val="clear" w:color="auto" w:fill="auto"/>
          </w:tcPr>
          <w:p w14:paraId="2AA74057" w14:textId="77777777" w:rsidR="00AB1B6A" w:rsidRPr="008A60DC" w:rsidRDefault="00AB1B6A" w:rsidP="00127CDF">
            <w:pPr>
              <w:rPr>
                <w:rFonts w:eastAsia="Calibri" w:cs="Arial"/>
                <w:b/>
                <w:sz w:val="20"/>
                <w:szCs w:val="20"/>
              </w:rPr>
            </w:pPr>
            <w:r w:rsidRPr="008A60DC">
              <w:rPr>
                <w:rFonts w:eastAsia="Calibri" w:cs="Arial"/>
                <w:sz w:val="20"/>
                <w:szCs w:val="20"/>
              </w:rPr>
              <w:t xml:space="preserve">USA </w:t>
            </w:r>
          </w:p>
        </w:tc>
        <w:tc>
          <w:tcPr>
            <w:tcW w:w="2537" w:type="dxa"/>
            <w:shd w:val="clear" w:color="auto" w:fill="auto"/>
          </w:tcPr>
          <w:p w14:paraId="6D5C02D9" w14:textId="77777777" w:rsidR="00AB1B6A" w:rsidRPr="008A60DC" w:rsidRDefault="00AB1B6A" w:rsidP="00127CDF">
            <w:pPr>
              <w:rPr>
                <w:rFonts w:eastAsia="Calibri" w:cs="Arial"/>
                <w:b/>
                <w:sz w:val="20"/>
                <w:szCs w:val="20"/>
              </w:rPr>
            </w:pPr>
            <w:r w:rsidRPr="008A60DC">
              <w:rPr>
                <w:rFonts w:eastAsia="Calibri" w:cs="Arial"/>
                <w:sz w:val="20"/>
                <w:szCs w:val="20"/>
              </w:rPr>
              <w:t>Vietnam</w:t>
            </w:r>
          </w:p>
        </w:tc>
      </w:tr>
    </w:tbl>
    <w:p w14:paraId="03BF9D06" w14:textId="77777777" w:rsidR="00AB1B6A" w:rsidRPr="008A60DC" w:rsidRDefault="00AB1B6A" w:rsidP="00AB1B6A">
      <w:pPr>
        <w:rPr>
          <w:rFonts w:cs="Arial"/>
          <w:b/>
          <w:sz w:val="20"/>
          <w:szCs w:val="20"/>
        </w:rPr>
      </w:pPr>
    </w:p>
    <w:p w14:paraId="68F79491" w14:textId="77777777" w:rsidR="00AB1B6A" w:rsidRPr="000846C1" w:rsidRDefault="00AB1B6A" w:rsidP="00972274">
      <w:pPr>
        <w:pStyle w:val="OptusH2"/>
        <w:numPr>
          <w:ilvl w:val="1"/>
          <w:numId w:val="27"/>
        </w:numPr>
        <w:tabs>
          <w:tab w:val="num" w:pos="680"/>
          <w:tab w:val="left" w:pos="851"/>
        </w:tabs>
        <w:ind w:left="680" w:hanging="680"/>
        <w:rPr>
          <w:rFonts w:ascii="Arial" w:hAnsi="Arial" w:cs="Arial"/>
          <w:b w:val="0"/>
          <w:sz w:val="20"/>
        </w:rPr>
      </w:pPr>
      <w:r w:rsidRPr="000846C1">
        <w:rPr>
          <w:rFonts w:ascii="Arial" w:hAnsi="Arial" w:cs="Arial"/>
          <w:b w:val="0"/>
          <w:sz w:val="20"/>
        </w:rPr>
        <w:t>My Account</w:t>
      </w:r>
    </w:p>
    <w:p w14:paraId="7D0B7103" w14:textId="77777777" w:rsidR="00AB1B6A" w:rsidRPr="008A60DC" w:rsidRDefault="00AB1B6A" w:rsidP="00824317">
      <w:pPr>
        <w:pStyle w:val="OptusH3"/>
        <w:tabs>
          <w:tab w:val="clear" w:pos="2127"/>
        </w:tabs>
        <w:spacing w:after="240"/>
        <w:ind w:left="709" w:firstLine="0"/>
        <w:rPr>
          <w:rFonts w:ascii="Arial" w:hAnsi="Arial" w:cs="Arial"/>
          <w:sz w:val="20"/>
        </w:rPr>
      </w:pPr>
      <w:r w:rsidRPr="008A60DC">
        <w:rPr>
          <w:rFonts w:ascii="Arial" w:hAnsi="Arial" w:cs="Arial"/>
          <w:sz w:val="20"/>
        </w:rPr>
        <w:t xml:space="preserve">Services that share data may have a service login to My Account which will display all of the service numbers contributing to or using the shared data pool on </w:t>
      </w:r>
      <w:r w:rsidRPr="008A60DC">
        <w:rPr>
          <w:rFonts w:ascii="Arial" w:hAnsi="Arial" w:cs="Arial"/>
          <w:i/>
          <w:sz w:val="20"/>
        </w:rPr>
        <w:t xml:space="preserve">your </w:t>
      </w:r>
      <w:r w:rsidRPr="008A60DC">
        <w:rPr>
          <w:rFonts w:ascii="Arial" w:hAnsi="Arial" w:cs="Arial"/>
          <w:sz w:val="20"/>
        </w:rPr>
        <w:t xml:space="preserve">account and the amount of data each service has used. If </w:t>
      </w:r>
      <w:r w:rsidRPr="008A60DC">
        <w:rPr>
          <w:rFonts w:ascii="Arial" w:hAnsi="Arial" w:cs="Arial"/>
          <w:i/>
          <w:sz w:val="20"/>
        </w:rPr>
        <w:t>you</w:t>
      </w:r>
      <w:r w:rsidRPr="008A60DC">
        <w:rPr>
          <w:rFonts w:ascii="Arial" w:hAnsi="Arial" w:cs="Arial"/>
          <w:sz w:val="20"/>
        </w:rPr>
        <w:t xml:space="preserve"> have more than 6 services on </w:t>
      </w:r>
      <w:r w:rsidRPr="008A60DC">
        <w:rPr>
          <w:rFonts w:ascii="Arial" w:hAnsi="Arial" w:cs="Arial"/>
          <w:i/>
          <w:sz w:val="20"/>
        </w:rPr>
        <w:t>your</w:t>
      </w:r>
      <w:r w:rsidRPr="008A60DC">
        <w:rPr>
          <w:rFonts w:ascii="Arial" w:hAnsi="Arial" w:cs="Arial"/>
          <w:sz w:val="20"/>
        </w:rPr>
        <w:t xml:space="preserve"> account, My Account may not be suitable for viewing usage and managing </w:t>
      </w:r>
      <w:r w:rsidRPr="008A60DC">
        <w:rPr>
          <w:rFonts w:ascii="Arial" w:hAnsi="Arial" w:cs="Arial"/>
          <w:i/>
          <w:sz w:val="20"/>
        </w:rPr>
        <w:t xml:space="preserve">your </w:t>
      </w:r>
      <w:r w:rsidRPr="008A60DC">
        <w:rPr>
          <w:rFonts w:ascii="Arial" w:hAnsi="Arial" w:cs="Arial"/>
          <w:sz w:val="20"/>
        </w:rPr>
        <w:t>usage alerts.</w:t>
      </w:r>
    </w:p>
    <w:p w14:paraId="3AFB8756" w14:textId="77777777" w:rsidR="00AB1B6A" w:rsidRPr="000846C1" w:rsidRDefault="00AB1B6A" w:rsidP="00972274">
      <w:pPr>
        <w:pStyle w:val="OptusH2"/>
        <w:numPr>
          <w:ilvl w:val="1"/>
          <w:numId w:val="27"/>
        </w:numPr>
        <w:tabs>
          <w:tab w:val="num" w:pos="680"/>
          <w:tab w:val="left" w:pos="851"/>
        </w:tabs>
        <w:ind w:left="680" w:hanging="680"/>
        <w:rPr>
          <w:rFonts w:ascii="Arial" w:hAnsi="Arial" w:cs="Arial"/>
          <w:b w:val="0"/>
          <w:sz w:val="20"/>
        </w:rPr>
      </w:pPr>
      <w:r w:rsidRPr="000846C1">
        <w:rPr>
          <w:rFonts w:ascii="Arial" w:hAnsi="Arial" w:cs="Arial"/>
          <w:b w:val="0"/>
          <w:sz w:val="20"/>
        </w:rPr>
        <w:t xml:space="preserve">What happens if the </w:t>
      </w:r>
      <w:r w:rsidRPr="000846C1">
        <w:rPr>
          <w:rFonts w:ascii="Arial" w:hAnsi="Arial" w:cs="Arial"/>
          <w:b w:val="0"/>
          <w:i/>
          <w:sz w:val="20"/>
        </w:rPr>
        <w:t xml:space="preserve">service </w:t>
      </w:r>
      <w:r w:rsidRPr="000846C1">
        <w:rPr>
          <w:rFonts w:ascii="Arial" w:hAnsi="Arial" w:cs="Arial"/>
          <w:b w:val="0"/>
          <w:sz w:val="20"/>
        </w:rPr>
        <w:t>is</w:t>
      </w:r>
      <w:r w:rsidRPr="000846C1">
        <w:rPr>
          <w:rFonts w:ascii="Arial" w:hAnsi="Arial" w:cs="Arial"/>
          <w:b w:val="0"/>
          <w:i/>
          <w:sz w:val="20"/>
        </w:rPr>
        <w:t xml:space="preserve"> cancelled </w:t>
      </w:r>
      <w:r w:rsidRPr="000846C1">
        <w:rPr>
          <w:rFonts w:ascii="Arial" w:hAnsi="Arial" w:cs="Arial"/>
          <w:b w:val="0"/>
          <w:sz w:val="20"/>
        </w:rPr>
        <w:t xml:space="preserve">early? </w:t>
      </w:r>
    </w:p>
    <w:p w14:paraId="5E83C2D6" w14:textId="77777777" w:rsidR="00AB1B6A" w:rsidRPr="008A60DC" w:rsidRDefault="00AB1B6A" w:rsidP="00972274">
      <w:pPr>
        <w:pStyle w:val="OptusH3"/>
        <w:numPr>
          <w:ilvl w:val="2"/>
          <w:numId w:val="67"/>
        </w:numPr>
        <w:tabs>
          <w:tab w:val="clear" w:pos="1843"/>
          <w:tab w:val="num" w:pos="1276"/>
        </w:tabs>
        <w:ind w:left="1276" w:hanging="567"/>
        <w:rPr>
          <w:rFonts w:ascii="Arial" w:hAnsi="Arial" w:cs="Arial"/>
          <w:sz w:val="20"/>
        </w:rPr>
      </w:pPr>
      <w:r w:rsidRPr="008A60DC">
        <w:rPr>
          <w:rFonts w:ascii="Arial" w:hAnsi="Arial" w:cs="Arial"/>
          <w:sz w:val="20"/>
        </w:rPr>
        <w:t>If the</w:t>
      </w:r>
      <w:r w:rsidRPr="008A60DC">
        <w:rPr>
          <w:rFonts w:ascii="Arial" w:hAnsi="Arial" w:cs="Arial"/>
          <w:i/>
          <w:sz w:val="20"/>
        </w:rPr>
        <w:t xml:space="preserve"> service</w:t>
      </w:r>
      <w:r w:rsidRPr="008A60DC">
        <w:rPr>
          <w:rFonts w:ascii="Arial" w:hAnsi="Arial" w:cs="Arial"/>
          <w:sz w:val="20"/>
        </w:rPr>
        <w:t xml:space="preserve"> is</w:t>
      </w:r>
      <w:r w:rsidRPr="008A60DC">
        <w:rPr>
          <w:rFonts w:ascii="Arial" w:hAnsi="Arial" w:cs="Arial"/>
          <w:i/>
          <w:sz w:val="20"/>
        </w:rPr>
        <w:t xml:space="preserve"> cancelled </w:t>
      </w:r>
      <w:r w:rsidRPr="008A60DC">
        <w:rPr>
          <w:rFonts w:ascii="Arial" w:hAnsi="Arial" w:cs="Arial"/>
          <w:sz w:val="20"/>
        </w:rPr>
        <w:t xml:space="preserve">before the end of </w:t>
      </w:r>
      <w:r w:rsidRPr="008A60DC">
        <w:rPr>
          <w:rFonts w:ascii="Arial" w:hAnsi="Arial" w:cs="Arial"/>
          <w:i/>
          <w:sz w:val="20"/>
        </w:rPr>
        <w:t xml:space="preserve">your minimum term, you </w:t>
      </w:r>
      <w:r w:rsidRPr="008A60DC">
        <w:rPr>
          <w:rFonts w:ascii="Arial" w:hAnsi="Arial" w:cs="Arial"/>
          <w:sz w:val="20"/>
        </w:rPr>
        <w:t xml:space="preserve">will be required to pay </w:t>
      </w:r>
      <w:r w:rsidRPr="008A60DC">
        <w:rPr>
          <w:rFonts w:ascii="Arial" w:hAnsi="Arial" w:cs="Arial"/>
          <w:i/>
          <w:sz w:val="20"/>
        </w:rPr>
        <w:t>us</w:t>
      </w:r>
      <w:r w:rsidRPr="008A60DC">
        <w:rPr>
          <w:rFonts w:ascii="Arial" w:hAnsi="Arial" w:cs="Arial"/>
          <w:sz w:val="20"/>
        </w:rPr>
        <w:t>:</w:t>
      </w:r>
    </w:p>
    <w:p w14:paraId="7FD6685A" w14:textId="77777777" w:rsidR="00AB1B6A" w:rsidRPr="008A60DC" w:rsidRDefault="00AB1B6A" w:rsidP="00972274">
      <w:pPr>
        <w:pStyle w:val="OptusH4"/>
        <w:numPr>
          <w:ilvl w:val="3"/>
          <w:numId w:val="63"/>
        </w:numPr>
        <w:tabs>
          <w:tab w:val="clear" w:pos="2552"/>
          <w:tab w:val="num" w:pos="1843"/>
        </w:tabs>
        <w:ind w:left="1843" w:hanging="567"/>
        <w:rPr>
          <w:rFonts w:ascii="Arial" w:hAnsi="Arial" w:cs="Arial"/>
          <w:sz w:val="20"/>
        </w:rPr>
      </w:pPr>
      <w:r w:rsidRPr="008A60DC">
        <w:rPr>
          <w:rFonts w:ascii="Arial" w:hAnsi="Arial" w:cs="Arial"/>
          <w:sz w:val="20"/>
        </w:rPr>
        <w:t xml:space="preserve">any usage charges incurred up to, and including, the </w:t>
      </w:r>
      <w:r w:rsidRPr="008A60DC">
        <w:rPr>
          <w:rFonts w:ascii="Arial" w:hAnsi="Arial" w:cs="Arial"/>
          <w:i/>
          <w:sz w:val="20"/>
        </w:rPr>
        <w:t xml:space="preserve">cancellation date; </w:t>
      </w:r>
      <w:r w:rsidRPr="008A60DC">
        <w:rPr>
          <w:rFonts w:ascii="Arial" w:hAnsi="Arial" w:cs="Arial"/>
          <w:sz w:val="20"/>
        </w:rPr>
        <w:t>plus</w:t>
      </w:r>
    </w:p>
    <w:p w14:paraId="5F6E3204" w14:textId="77777777" w:rsidR="00AB1B6A" w:rsidRPr="008A60DC" w:rsidRDefault="00AB1B6A" w:rsidP="00972274">
      <w:pPr>
        <w:pStyle w:val="OptusH4"/>
        <w:numPr>
          <w:ilvl w:val="3"/>
          <w:numId w:val="63"/>
        </w:numPr>
        <w:tabs>
          <w:tab w:val="clear" w:pos="2552"/>
          <w:tab w:val="num" w:pos="1843"/>
        </w:tabs>
        <w:ind w:left="1843" w:hanging="567"/>
        <w:rPr>
          <w:rFonts w:ascii="Arial" w:hAnsi="Arial" w:cs="Arial"/>
          <w:sz w:val="20"/>
        </w:rPr>
      </w:pPr>
      <w:r w:rsidRPr="008A60DC">
        <w:rPr>
          <w:rFonts w:ascii="Arial" w:hAnsi="Arial" w:cs="Arial"/>
          <w:sz w:val="20"/>
        </w:rPr>
        <w:t xml:space="preserve">the sum of unpaid </w:t>
      </w:r>
      <w:r w:rsidRPr="008A60DC">
        <w:rPr>
          <w:rFonts w:ascii="Arial" w:hAnsi="Arial" w:cs="Arial"/>
          <w:i/>
          <w:sz w:val="20"/>
        </w:rPr>
        <w:t xml:space="preserve">equipment charges </w:t>
      </w:r>
      <w:r w:rsidRPr="008A60DC">
        <w:rPr>
          <w:rFonts w:ascii="Arial" w:hAnsi="Arial" w:cs="Arial"/>
          <w:sz w:val="20"/>
        </w:rPr>
        <w:t xml:space="preserve">owing on </w:t>
      </w:r>
      <w:r w:rsidRPr="008A60DC">
        <w:rPr>
          <w:rFonts w:ascii="Arial" w:hAnsi="Arial" w:cs="Arial"/>
          <w:i/>
          <w:sz w:val="20"/>
        </w:rPr>
        <w:t xml:space="preserve">your mobile phone </w:t>
      </w:r>
      <w:r w:rsidRPr="008A60DC">
        <w:rPr>
          <w:rFonts w:ascii="Arial" w:hAnsi="Arial" w:cs="Arial"/>
          <w:sz w:val="20"/>
        </w:rPr>
        <w:t xml:space="preserve">under the </w:t>
      </w:r>
      <w:r w:rsidRPr="008A60DC">
        <w:rPr>
          <w:rFonts w:ascii="Arial" w:hAnsi="Arial" w:cs="Arial"/>
          <w:i/>
          <w:sz w:val="20"/>
        </w:rPr>
        <w:t xml:space="preserve">mobile equipment payment plan </w:t>
      </w:r>
      <w:r w:rsidRPr="008A60DC">
        <w:rPr>
          <w:rFonts w:ascii="Arial" w:hAnsi="Arial" w:cs="Arial"/>
          <w:sz w:val="20"/>
        </w:rPr>
        <w:t xml:space="preserve">(if any). </w:t>
      </w:r>
    </w:p>
    <w:p w14:paraId="21819DE5" w14:textId="77777777" w:rsidR="00AB1B6A" w:rsidRPr="008A60DC" w:rsidRDefault="00AB1B6A" w:rsidP="00972274">
      <w:pPr>
        <w:pStyle w:val="OptusH3"/>
        <w:numPr>
          <w:ilvl w:val="2"/>
          <w:numId w:val="63"/>
        </w:numPr>
        <w:tabs>
          <w:tab w:val="clear" w:pos="1843"/>
          <w:tab w:val="num" w:pos="1276"/>
        </w:tabs>
        <w:ind w:left="1276" w:hanging="567"/>
        <w:rPr>
          <w:rFonts w:ascii="Arial" w:hAnsi="Arial" w:cs="Arial"/>
          <w:sz w:val="20"/>
        </w:rPr>
      </w:pPr>
      <w:r w:rsidRPr="008A60DC">
        <w:rPr>
          <w:rFonts w:ascii="Arial" w:hAnsi="Arial" w:cs="Arial"/>
          <w:sz w:val="20"/>
        </w:rPr>
        <w:t xml:space="preserve">The </w:t>
      </w:r>
      <w:r w:rsidRPr="008A60DC">
        <w:rPr>
          <w:rFonts w:ascii="Arial" w:hAnsi="Arial" w:cs="Arial"/>
          <w:i/>
          <w:sz w:val="20"/>
        </w:rPr>
        <w:t>cancellation fee</w:t>
      </w:r>
      <w:r w:rsidRPr="008A60DC">
        <w:rPr>
          <w:rFonts w:ascii="Arial" w:hAnsi="Arial" w:cs="Arial"/>
          <w:sz w:val="20"/>
        </w:rPr>
        <w:t xml:space="preserve"> is calculated as the following amounts, multiplied by the months remaining on </w:t>
      </w:r>
      <w:r w:rsidRPr="008A60DC">
        <w:rPr>
          <w:rFonts w:ascii="Arial" w:hAnsi="Arial" w:cs="Arial"/>
          <w:i/>
          <w:sz w:val="20"/>
        </w:rPr>
        <w:t>your minimum term</w:t>
      </w:r>
      <w:r w:rsidRPr="008A60DC">
        <w:rPr>
          <w:rFonts w:ascii="Arial" w:hAnsi="Arial" w:cs="Arial"/>
          <w:sz w:val="20"/>
        </w:rPr>
        <w:t>:</w:t>
      </w:r>
    </w:p>
    <w:p w14:paraId="049316E3" w14:textId="77777777" w:rsidR="00677FFC" w:rsidRPr="008A60DC" w:rsidRDefault="00677FFC" w:rsidP="00AB1B6A">
      <w:pPr>
        <w:pStyle w:val="OptusH3"/>
        <w:tabs>
          <w:tab w:val="clear" w:pos="2127"/>
        </w:tabs>
        <w:ind w:left="709" w:firstLine="0"/>
        <w:rPr>
          <w:rFonts w:ascii="Arial" w:hAnsi="Arial" w:cs="Arial"/>
          <w:sz w:val="20"/>
        </w:rPr>
      </w:pPr>
    </w:p>
    <w:tbl>
      <w:tblPr>
        <w:tblW w:w="694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3827"/>
      </w:tblGrid>
      <w:tr w:rsidR="00AB1B6A" w:rsidRPr="008A60DC" w14:paraId="2D55A0E2" w14:textId="77777777" w:rsidTr="00127CDF">
        <w:trPr>
          <w:trHeight w:val="668"/>
        </w:trPr>
        <w:tc>
          <w:tcPr>
            <w:tcW w:w="3119" w:type="dxa"/>
            <w:shd w:val="clear" w:color="auto" w:fill="auto"/>
            <w:vAlign w:val="center"/>
          </w:tcPr>
          <w:p w14:paraId="19E1BAE3" w14:textId="77777777" w:rsidR="00AB1B6A" w:rsidRPr="008A60DC" w:rsidRDefault="00AB1B6A" w:rsidP="00127CDF">
            <w:pPr>
              <w:jc w:val="center"/>
              <w:rPr>
                <w:rFonts w:eastAsia="Calibri" w:cs="Arial"/>
                <w:b/>
                <w:sz w:val="20"/>
                <w:szCs w:val="20"/>
              </w:rPr>
            </w:pPr>
          </w:p>
        </w:tc>
        <w:tc>
          <w:tcPr>
            <w:tcW w:w="3827" w:type="dxa"/>
            <w:vAlign w:val="center"/>
          </w:tcPr>
          <w:p w14:paraId="03CB67B1" w14:textId="77777777" w:rsidR="00AB1B6A" w:rsidRPr="008A60DC" w:rsidRDefault="00AB1B6A" w:rsidP="00127CDF">
            <w:pPr>
              <w:jc w:val="center"/>
              <w:rPr>
                <w:rFonts w:cs="Arial"/>
                <w:b/>
                <w:sz w:val="20"/>
                <w:szCs w:val="20"/>
              </w:rPr>
            </w:pPr>
            <w:r w:rsidRPr="008A60DC">
              <w:rPr>
                <w:rFonts w:cs="Arial"/>
                <w:b/>
                <w:sz w:val="20"/>
                <w:szCs w:val="20"/>
              </w:rPr>
              <w:t xml:space="preserve">$40 My Plan Business 12M SIM </w:t>
            </w:r>
          </w:p>
        </w:tc>
      </w:tr>
      <w:tr w:rsidR="00AB1B6A" w:rsidRPr="008A60DC" w14:paraId="1A19A0F2" w14:textId="77777777" w:rsidTr="00127CDF">
        <w:trPr>
          <w:trHeight w:val="275"/>
        </w:trPr>
        <w:tc>
          <w:tcPr>
            <w:tcW w:w="3119" w:type="dxa"/>
            <w:shd w:val="clear" w:color="auto" w:fill="auto"/>
            <w:vAlign w:val="center"/>
          </w:tcPr>
          <w:p w14:paraId="4909BEB1" w14:textId="77777777" w:rsidR="00AB1B6A" w:rsidRPr="008A60DC" w:rsidRDefault="00AB1B6A" w:rsidP="00127CDF">
            <w:pPr>
              <w:spacing w:after="200" w:line="276" w:lineRule="auto"/>
              <w:jc w:val="center"/>
              <w:rPr>
                <w:rFonts w:eastAsia="Calibri" w:cs="Arial"/>
                <w:sz w:val="20"/>
                <w:szCs w:val="20"/>
              </w:rPr>
            </w:pPr>
            <w:r w:rsidRPr="008A60DC">
              <w:rPr>
                <w:rFonts w:eastAsia="Calibri" w:cs="Arial"/>
                <w:b/>
                <w:bCs/>
                <w:sz w:val="20"/>
                <w:szCs w:val="20"/>
              </w:rPr>
              <w:t>Cancellation Fee</w:t>
            </w:r>
          </w:p>
        </w:tc>
        <w:tc>
          <w:tcPr>
            <w:tcW w:w="3827" w:type="dxa"/>
            <w:vAlign w:val="center"/>
          </w:tcPr>
          <w:p w14:paraId="15E555CF" w14:textId="77777777" w:rsidR="00AB1B6A" w:rsidRPr="008A60DC" w:rsidRDefault="00AB1B6A" w:rsidP="00972274">
            <w:pPr>
              <w:numPr>
                <w:ilvl w:val="6"/>
                <w:numId w:val="66"/>
              </w:numPr>
              <w:ind w:left="34"/>
              <w:jc w:val="center"/>
              <w:rPr>
                <w:rFonts w:cs="Arial"/>
                <w:sz w:val="20"/>
                <w:szCs w:val="20"/>
              </w:rPr>
            </w:pPr>
            <w:r w:rsidRPr="008A60DC">
              <w:rPr>
                <w:rFonts w:cs="Arial"/>
                <w:sz w:val="20"/>
                <w:szCs w:val="20"/>
              </w:rPr>
              <w:t>$12 x Months remaining</w:t>
            </w:r>
          </w:p>
        </w:tc>
      </w:tr>
      <w:tr w:rsidR="00AB1B6A" w:rsidRPr="008A60DC" w14:paraId="5E3DC7A5" w14:textId="77777777" w:rsidTr="00127CDF">
        <w:trPr>
          <w:trHeight w:val="530"/>
        </w:trPr>
        <w:tc>
          <w:tcPr>
            <w:tcW w:w="3119" w:type="dxa"/>
            <w:shd w:val="clear" w:color="auto" w:fill="auto"/>
            <w:vAlign w:val="center"/>
          </w:tcPr>
          <w:p w14:paraId="644026F9" w14:textId="77777777" w:rsidR="00AB1B6A" w:rsidRPr="008A60DC" w:rsidRDefault="00AB1B6A" w:rsidP="00127CDF">
            <w:pPr>
              <w:spacing w:after="200" w:line="276" w:lineRule="auto"/>
              <w:jc w:val="center"/>
              <w:rPr>
                <w:rFonts w:eastAsia="Calibri" w:cs="Arial"/>
                <w:b/>
                <w:bCs/>
                <w:sz w:val="20"/>
                <w:szCs w:val="20"/>
              </w:rPr>
            </w:pPr>
            <w:r w:rsidRPr="008A60DC">
              <w:rPr>
                <w:rFonts w:eastAsia="Calibri" w:cs="Arial"/>
                <w:b/>
                <w:bCs/>
                <w:sz w:val="20"/>
                <w:szCs w:val="20"/>
              </w:rPr>
              <w:t>Maximum Cancellation Fee</w:t>
            </w:r>
          </w:p>
        </w:tc>
        <w:tc>
          <w:tcPr>
            <w:tcW w:w="3827" w:type="dxa"/>
            <w:vAlign w:val="center"/>
          </w:tcPr>
          <w:p w14:paraId="0C240E1B" w14:textId="77777777" w:rsidR="00AB1B6A" w:rsidRPr="008A60DC" w:rsidRDefault="00AB1B6A" w:rsidP="00127CDF">
            <w:pPr>
              <w:ind w:left="34"/>
              <w:jc w:val="center"/>
              <w:rPr>
                <w:rFonts w:eastAsia="Calibri" w:cs="Arial"/>
                <w:sz w:val="20"/>
                <w:szCs w:val="20"/>
              </w:rPr>
            </w:pPr>
            <w:r w:rsidRPr="008A60DC">
              <w:rPr>
                <w:rFonts w:eastAsia="Calibri" w:cs="Arial"/>
                <w:sz w:val="20"/>
                <w:szCs w:val="20"/>
              </w:rPr>
              <w:t>$144</w:t>
            </w:r>
          </w:p>
        </w:tc>
      </w:tr>
    </w:tbl>
    <w:p w14:paraId="0320FABC" w14:textId="77777777" w:rsidR="00AB1B6A" w:rsidRPr="008A60DC" w:rsidRDefault="00AB1B6A" w:rsidP="00AB1B6A">
      <w:pPr>
        <w:pStyle w:val="OptusH3"/>
        <w:tabs>
          <w:tab w:val="clear" w:pos="2127"/>
        </w:tabs>
        <w:rPr>
          <w:rFonts w:ascii="Arial" w:hAnsi="Arial" w:cs="Arial"/>
          <w:sz w:val="20"/>
        </w:rPr>
      </w:pPr>
    </w:p>
    <w:p w14:paraId="233FA017" w14:textId="77777777" w:rsidR="00AB1B6A" w:rsidRDefault="00AB1B6A" w:rsidP="00972274">
      <w:pPr>
        <w:pStyle w:val="OptusH3"/>
        <w:numPr>
          <w:ilvl w:val="2"/>
          <w:numId w:val="63"/>
        </w:numPr>
        <w:tabs>
          <w:tab w:val="clear" w:pos="1843"/>
          <w:tab w:val="num" w:pos="1276"/>
        </w:tabs>
        <w:ind w:left="1276" w:hanging="567"/>
        <w:rPr>
          <w:rFonts w:ascii="Arial" w:hAnsi="Arial" w:cs="Arial"/>
          <w:sz w:val="20"/>
        </w:rPr>
      </w:pPr>
      <w:r w:rsidRPr="008A60DC">
        <w:rPr>
          <w:rFonts w:ascii="Arial" w:hAnsi="Arial" w:cs="Arial"/>
          <w:sz w:val="20"/>
        </w:rPr>
        <w:t xml:space="preserve">If </w:t>
      </w:r>
      <w:r w:rsidRPr="008A60DC">
        <w:rPr>
          <w:rFonts w:ascii="Arial" w:hAnsi="Arial" w:cs="Arial"/>
          <w:i/>
          <w:sz w:val="20"/>
        </w:rPr>
        <w:t>your</w:t>
      </w:r>
      <w:r w:rsidRPr="008A60DC">
        <w:rPr>
          <w:rFonts w:ascii="Arial" w:hAnsi="Arial" w:cs="Arial"/>
          <w:sz w:val="20"/>
        </w:rPr>
        <w:t xml:space="preserve"> My Plan Business 12M SIM is </w:t>
      </w:r>
      <w:r w:rsidRPr="008A60DC">
        <w:rPr>
          <w:rFonts w:ascii="Arial" w:hAnsi="Arial" w:cs="Arial"/>
          <w:i/>
          <w:sz w:val="20"/>
        </w:rPr>
        <w:t>cancelled</w:t>
      </w:r>
      <w:r w:rsidRPr="008A60DC">
        <w:rPr>
          <w:rFonts w:ascii="Arial" w:hAnsi="Arial" w:cs="Arial"/>
          <w:sz w:val="20"/>
        </w:rPr>
        <w:t xml:space="preserve">, </w:t>
      </w:r>
      <w:r w:rsidRPr="008A60DC">
        <w:rPr>
          <w:rFonts w:ascii="Arial" w:hAnsi="Arial" w:cs="Arial"/>
          <w:i/>
          <w:sz w:val="20"/>
        </w:rPr>
        <w:t xml:space="preserve">any </w:t>
      </w:r>
      <w:r w:rsidRPr="008A60DC">
        <w:rPr>
          <w:rFonts w:ascii="Arial" w:hAnsi="Arial" w:cs="Arial"/>
          <w:sz w:val="20"/>
        </w:rPr>
        <w:t xml:space="preserve">Shared Data Plan(s) on the account may also be </w:t>
      </w:r>
      <w:r w:rsidRPr="008A60DC">
        <w:rPr>
          <w:rFonts w:ascii="Arial" w:hAnsi="Arial" w:cs="Arial"/>
          <w:i/>
          <w:sz w:val="20"/>
        </w:rPr>
        <w:t>cancelled</w:t>
      </w:r>
      <w:r w:rsidRPr="008A60DC">
        <w:rPr>
          <w:rFonts w:ascii="Arial" w:hAnsi="Arial" w:cs="Arial"/>
          <w:sz w:val="20"/>
        </w:rPr>
        <w:t xml:space="preserve">. There are no </w:t>
      </w:r>
      <w:r w:rsidRPr="008A60DC">
        <w:rPr>
          <w:rFonts w:ascii="Arial" w:hAnsi="Arial" w:cs="Arial"/>
          <w:i/>
          <w:sz w:val="20"/>
        </w:rPr>
        <w:t>cancellation fees</w:t>
      </w:r>
      <w:r w:rsidRPr="008A60DC">
        <w:rPr>
          <w:rFonts w:ascii="Arial" w:hAnsi="Arial" w:cs="Arial"/>
          <w:sz w:val="20"/>
        </w:rPr>
        <w:t xml:space="preserve"> for any Shared Data Plan, however if </w:t>
      </w:r>
      <w:r w:rsidRPr="008A60DC">
        <w:rPr>
          <w:rFonts w:ascii="Arial" w:hAnsi="Arial" w:cs="Arial"/>
          <w:i/>
          <w:sz w:val="20"/>
        </w:rPr>
        <w:t>you</w:t>
      </w:r>
      <w:r w:rsidRPr="008A60DC">
        <w:rPr>
          <w:rFonts w:ascii="Arial" w:hAnsi="Arial" w:cs="Arial"/>
          <w:sz w:val="20"/>
        </w:rPr>
        <w:t xml:space="preserve"> purchased a </w:t>
      </w:r>
      <w:r w:rsidRPr="008A60DC">
        <w:rPr>
          <w:rFonts w:ascii="Arial" w:hAnsi="Arial" w:cs="Arial"/>
          <w:i/>
          <w:sz w:val="20"/>
        </w:rPr>
        <w:t>device</w:t>
      </w:r>
      <w:r w:rsidRPr="008A60DC">
        <w:rPr>
          <w:rFonts w:ascii="Arial" w:hAnsi="Arial" w:cs="Arial"/>
          <w:sz w:val="20"/>
        </w:rPr>
        <w:t xml:space="preserve"> </w:t>
      </w:r>
      <w:r w:rsidRPr="008A60DC">
        <w:rPr>
          <w:rFonts w:ascii="Arial" w:hAnsi="Arial" w:cs="Arial"/>
          <w:i/>
          <w:sz w:val="20"/>
        </w:rPr>
        <w:t>you</w:t>
      </w:r>
      <w:r w:rsidRPr="008A60DC">
        <w:rPr>
          <w:rFonts w:ascii="Arial" w:hAnsi="Arial" w:cs="Arial"/>
          <w:sz w:val="20"/>
        </w:rPr>
        <w:t xml:space="preserve"> need to pay the sum of any remaining </w:t>
      </w:r>
      <w:r w:rsidRPr="008A60DC">
        <w:rPr>
          <w:rFonts w:ascii="Arial" w:hAnsi="Arial" w:cs="Arial"/>
          <w:i/>
          <w:sz w:val="20"/>
        </w:rPr>
        <w:t xml:space="preserve">equipment charges </w:t>
      </w:r>
      <w:r w:rsidRPr="008A60DC">
        <w:rPr>
          <w:rFonts w:ascii="Arial" w:hAnsi="Arial" w:cs="Arial"/>
          <w:sz w:val="20"/>
        </w:rPr>
        <w:t xml:space="preserve">owing on </w:t>
      </w:r>
      <w:r w:rsidRPr="008A60DC">
        <w:rPr>
          <w:rFonts w:ascii="Arial" w:hAnsi="Arial" w:cs="Arial"/>
          <w:i/>
          <w:sz w:val="20"/>
        </w:rPr>
        <w:t xml:space="preserve">your device </w:t>
      </w:r>
      <w:r w:rsidRPr="008A60DC">
        <w:rPr>
          <w:rFonts w:ascii="Arial" w:hAnsi="Arial" w:cs="Arial"/>
          <w:sz w:val="20"/>
        </w:rPr>
        <w:t xml:space="preserve">under the </w:t>
      </w:r>
      <w:r w:rsidRPr="008A60DC">
        <w:rPr>
          <w:rFonts w:ascii="Arial" w:hAnsi="Arial" w:cs="Arial"/>
          <w:i/>
          <w:sz w:val="20"/>
        </w:rPr>
        <w:t xml:space="preserve">mobile equipment payment plan </w:t>
      </w:r>
      <w:r w:rsidRPr="008A60DC">
        <w:rPr>
          <w:rFonts w:ascii="Arial" w:hAnsi="Arial" w:cs="Arial"/>
          <w:sz w:val="20"/>
        </w:rPr>
        <w:t xml:space="preserve">(see </w:t>
      </w:r>
      <w:hyperlink r:id="rId669" w:history="1">
        <w:r w:rsidRPr="00460CAF">
          <w:rPr>
            <w:rStyle w:val="Hyperlink"/>
            <w:rFonts w:cs="Arial"/>
            <w:i/>
          </w:rPr>
          <w:t>Appendix D</w:t>
        </w:r>
        <w:r w:rsidRPr="00460CAF">
          <w:rPr>
            <w:rStyle w:val="Hyperlink"/>
            <w:rFonts w:cs="Arial"/>
          </w:rPr>
          <w:t>).</w:t>
        </w:r>
      </w:hyperlink>
    </w:p>
    <w:p w14:paraId="5AED6920" w14:textId="77777777" w:rsidR="00AB1B6A" w:rsidRPr="00123B47" w:rsidRDefault="00AB1B6A" w:rsidP="00972274">
      <w:pPr>
        <w:pStyle w:val="OptusH3"/>
        <w:numPr>
          <w:ilvl w:val="2"/>
          <w:numId w:val="63"/>
        </w:numPr>
        <w:tabs>
          <w:tab w:val="clear" w:pos="1843"/>
          <w:tab w:val="num" w:pos="1276"/>
        </w:tabs>
        <w:ind w:left="1276" w:hanging="567"/>
        <w:rPr>
          <w:rFonts w:ascii="Arial" w:hAnsi="Arial" w:cs="Arial"/>
          <w:sz w:val="20"/>
        </w:rPr>
      </w:pPr>
      <w:r w:rsidRPr="00123B47">
        <w:rPr>
          <w:rFonts w:ascii="Arial" w:hAnsi="Arial" w:cs="Arial"/>
          <w:sz w:val="20"/>
        </w:rPr>
        <w:t xml:space="preserve">If any Shared Data Plan is not </w:t>
      </w:r>
      <w:r w:rsidRPr="00123B47">
        <w:rPr>
          <w:rFonts w:ascii="Arial" w:hAnsi="Arial" w:cs="Arial"/>
          <w:i/>
          <w:sz w:val="20"/>
        </w:rPr>
        <w:t>cancelled</w:t>
      </w:r>
      <w:r w:rsidRPr="00123B47">
        <w:rPr>
          <w:rFonts w:ascii="Arial" w:hAnsi="Arial" w:cs="Arial"/>
          <w:sz w:val="20"/>
        </w:rPr>
        <w:t xml:space="preserve">, </w:t>
      </w:r>
      <w:r w:rsidRPr="00123B47">
        <w:rPr>
          <w:rFonts w:ascii="Arial" w:hAnsi="Arial" w:cs="Arial"/>
          <w:i/>
          <w:sz w:val="20"/>
        </w:rPr>
        <w:t>you</w:t>
      </w:r>
      <w:r w:rsidRPr="00123B47">
        <w:rPr>
          <w:rFonts w:ascii="Arial" w:hAnsi="Arial" w:cs="Arial"/>
          <w:sz w:val="20"/>
        </w:rPr>
        <w:t xml:space="preserve"> will be charged $10 per 1GB within Australia, up to 150GB (per account) in a billing month. </w:t>
      </w:r>
      <w:r w:rsidRPr="00123B47">
        <w:rPr>
          <w:rFonts w:ascii="Arial" w:hAnsi="Arial" w:cs="Arial"/>
          <w:i/>
          <w:sz w:val="20"/>
        </w:rPr>
        <w:t>Your</w:t>
      </w:r>
      <w:r w:rsidRPr="00123B47">
        <w:rPr>
          <w:rFonts w:ascii="Arial" w:hAnsi="Arial" w:cs="Arial"/>
          <w:sz w:val="20"/>
        </w:rPr>
        <w:t xml:space="preserve"> </w:t>
      </w:r>
      <w:r w:rsidRPr="00123B47">
        <w:rPr>
          <w:rFonts w:ascii="Arial" w:hAnsi="Arial" w:cs="Arial"/>
          <w:i/>
          <w:sz w:val="20"/>
        </w:rPr>
        <w:t>service/s</w:t>
      </w:r>
      <w:r w:rsidRPr="00123B47">
        <w:rPr>
          <w:rFonts w:ascii="Arial" w:hAnsi="Arial" w:cs="Arial"/>
          <w:sz w:val="20"/>
        </w:rPr>
        <w:t xml:space="preserve"> may then be restricted or </w:t>
      </w:r>
      <w:r w:rsidRPr="00123B47">
        <w:rPr>
          <w:rFonts w:ascii="Arial" w:hAnsi="Arial" w:cs="Arial"/>
          <w:i/>
          <w:sz w:val="20"/>
        </w:rPr>
        <w:t>we</w:t>
      </w:r>
      <w:r w:rsidRPr="00123B47">
        <w:rPr>
          <w:rFonts w:ascii="Arial" w:hAnsi="Arial" w:cs="Arial"/>
          <w:sz w:val="20"/>
        </w:rPr>
        <w:t xml:space="preserve"> may continue to charge </w:t>
      </w:r>
      <w:r w:rsidRPr="00123B47">
        <w:rPr>
          <w:rFonts w:ascii="Arial" w:hAnsi="Arial" w:cs="Arial"/>
          <w:i/>
          <w:sz w:val="20"/>
        </w:rPr>
        <w:t>you</w:t>
      </w:r>
      <w:r w:rsidRPr="00123B47">
        <w:rPr>
          <w:rFonts w:ascii="Arial" w:hAnsi="Arial" w:cs="Arial"/>
          <w:sz w:val="20"/>
        </w:rPr>
        <w:t xml:space="preserve"> at these rates.</w:t>
      </w:r>
    </w:p>
    <w:p w14:paraId="60E6C824" w14:textId="77777777" w:rsidR="00AB1B6A" w:rsidRPr="006D579C" w:rsidRDefault="00AB1B6A" w:rsidP="00AB1B6A"/>
    <w:p w14:paraId="1098ECEA" w14:textId="77777777" w:rsidR="00AB1B6A" w:rsidRPr="000846C1" w:rsidRDefault="00AB1B6A" w:rsidP="00D50A97">
      <w:pPr>
        <w:pStyle w:val="Heading4"/>
        <w:ind w:left="720" w:hanging="720"/>
        <w:rPr>
          <w:rFonts w:cs="Arial"/>
          <w:b/>
          <w:szCs w:val="32"/>
        </w:rPr>
      </w:pPr>
      <w:bookmarkStart w:id="1345" w:name="_Toc460247022"/>
      <w:bookmarkStart w:id="1346" w:name="_Toc460512874"/>
      <w:bookmarkStart w:id="1347" w:name="_Toc460849478"/>
      <w:bookmarkStart w:id="1348" w:name="_Toc62644673"/>
      <w:r w:rsidRPr="000846C1">
        <w:rPr>
          <w:rFonts w:cs="Arial"/>
          <w:b/>
          <w:caps/>
          <w:szCs w:val="32"/>
        </w:rPr>
        <w:t>My Plan Business</w:t>
      </w:r>
      <w:bookmarkEnd w:id="1345"/>
      <w:r w:rsidRPr="000846C1">
        <w:rPr>
          <w:rFonts w:cs="Arial"/>
          <w:b/>
          <w:caps/>
          <w:szCs w:val="32"/>
        </w:rPr>
        <w:t xml:space="preserve"> (July 2016)</w:t>
      </w:r>
      <w:bookmarkEnd w:id="1346"/>
      <w:bookmarkEnd w:id="1347"/>
      <w:bookmarkEnd w:id="1348"/>
    </w:p>
    <w:p w14:paraId="55C58CB2" w14:textId="77777777" w:rsidR="00AB1B6A" w:rsidRPr="008A60DC" w:rsidRDefault="00AB1B6A" w:rsidP="00AB1B6A">
      <w:pPr>
        <w:tabs>
          <w:tab w:val="left" w:pos="1701"/>
        </w:tabs>
        <w:ind w:left="426"/>
        <w:rPr>
          <w:rFonts w:cs="Arial"/>
          <w:sz w:val="20"/>
          <w:szCs w:val="20"/>
        </w:rPr>
      </w:pPr>
      <w:r w:rsidRPr="008A60DC">
        <w:rPr>
          <w:rFonts w:cs="Arial"/>
          <w:sz w:val="20"/>
          <w:szCs w:val="20"/>
        </w:rPr>
        <w:t xml:space="preserve">This section relates to the following plans. </w:t>
      </w:r>
      <w:r w:rsidRPr="008A60DC">
        <w:rPr>
          <w:rFonts w:cs="Arial"/>
          <w:i/>
          <w:sz w:val="20"/>
          <w:szCs w:val="20"/>
        </w:rPr>
        <w:t>You</w:t>
      </w:r>
      <w:r w:rsidRPr="008A60DC">
        <w:rPr>
          <w:rFonts w:cs="Arial"/>
          <w:sz w:val="20"/>
          <w:szCs w:val="20"/>
        </w:rPr>
        <w:t xml:space="preserve"> can find </w:t>
      </w:r>
      <w:r w:rsidRPr="008A60DC">
        <w:rPr>
          <w:rFonts w:cs="Arial"/>
          <w:i/>
          <w:sz w:val="20"/>
          <w:szCs w:val="20"/>
        </w:rPr>
        <w:t>your</w:t>
      </w:r>
      <w:r w:rsidRPr="008A60DC">
        <w:rPr>
          <w:rFonts w:cs="Arial"/>
          <w:sz w:val="20"/>
          <w:szCs w:val="20"/>
        </w:rPr>
        <w:t xml:space="preserve"> Plan ID on </w:t>
      </w:r>
      <w:r w:rsidRPr="008A60DC">
        <w:rPr>
          <w:rFonts w:cs="Arial"/>
          <w:i/>
          <w:sz w:val="20"/>
          <w:szCs w:val="20"/>
        </w:rPr>
        <w:t>your</w:t>
      </w:r>
      <w:r w:rsidRPr="008A60DC">
        <w:rPr>
          <w:rFonts w:cs="Arial"/>
          <w:sz w:val="20"/>
          <w:szCs w:val="20"/>
        </w:rPr>
        <w:t xml:space="preserve"> bill under the Mobile Number Summary section: </w:t>
      </w:r>
    </w:p>
    <w:p w14:paraId="16B371A4" w14:textId="77777777" w:rsidR="00AB1B6A" w:rsidRPr="008A60DC" w:rsidRDefault="00AB1B6A" w:rsidP="00AB1B6A">
      <w:pPr>
        <w:tabs>
          <w:tab w:val="left" w:pos="1701"/>
        </w:tabs>
        <w:ind w:left="426"/>
        <w:rPr>
          <w:rFonts w:cs="Arial"/>
          <w:sz w:val="20"/>
          <w:szCs w:val="20"/>
        </w:rPr>
      </w:pPr>
    </w:p>
    <w:tbl>
      <w:tblPr>
        <w:tblW w:w="963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1983"/>
        <w:gridCol w:w="4678"/>
      </w:tblGrid>
      <w:tr w:rsidR="00AB1B6A" w:rsidRPr="008A60DC" w14:paraId="38F6716C" w14:textId="77777777" w:rsidTr="00127CDF">
        <w:tc>
          <w:tcPr>
            <w:tcW w:w="2978" w:type="dxa"/>
            <w:shd w:val="clear" w:color="auto" w:fill="auto"/>
          </w:tcPr>
          <w:p w14:paraId="7D1B6668" w14:textId="77777777" w:rsidR="00AB1B6A" w:rsidRPr="008A60DC" w:rsidRDefault="00AB1B6A" w:rsidP="00127CDF">
            <w:pPr>
              <w:tabs>
                <w:tab w:val="left" w:pos="1701"/>
              </w:tabs>
              <w:jc w:val="center"/>
              <w:rPr>
                <w:rFonts w:eastAsia="Calibri" w:cs="Arial"/>
                <w:b/>
                <w:sz w:val="20"/>
                <w:szCs w:val="20"/>
              </w:rPr>
            </w:pPr>
            <w:r w:rsidRPr="008A60DC">
              <w:rPr>
                <w:rFonts w:eastAsia="Calibri" w:cs="Arial"/>
                <w:b/>
                <w:sz w:val="20"/>
                <w:szCs w:val="20"/>
              </w:rPr>
              <w:t>Plan</w:t>
            </w:r>
          </w:p>
        </w:tc>
        <w:tc>
          <w:tcPr>
            <w:tcW w:w="1983" w:type="dxa"/>
            <w:shd w:val="clear" w:color="auto" w:fill="auto"/>
          </w:tcPr>
          <w:p w14:paraId="1F34AF13" w14:textId="77777777" w:rsidR="00AB1B6A" w:rsidRPr="008A60DC" w:rsidRDefault="00AB1B6A" w:rsidP="00127CDF">
            <w:pPr>
              <w:tabs>
                <w:tab w:val="left" w:pos="1701"/>
              </w:tabs>
              <w:jc w:val="center"/>
              <w:rPr>
                <w:rFonts w:eastAsia="Calibri" w:cs="Arial"/>
                <w:b/>
                <w:sz w:val="20"/>
                <w:szCs w:val="20"/>
              </w:rPr>
            </w:pPr>
            <w:r w:rsidRPr="008A60DC">
              <w:rPr>
                <w:rFonts w:eastAsia="Calibri" w:cs="Arial"/>
                <w:b/>
                <w:sz w:val="20"/>
                <w:szCs w:val="20"/>
              </w:rPr>
              <w:t>Plan ID</w:t>
            </w:r>
          </w:p>
        </w:tc>
        <w:tc>
          <w:tcPr>
            <w:tcW w:w="4678" w:type="dxa"/>
            <w:shd w:val="clear" w:color="auto" w:fill="auto"/>
          </w:tcPr>
          <w:p w14:paraId="432D3927" w14:textId="77777777" w:rsidR="00AB1B6A" w:rsidRPr="008A60DC" w:rsidRDefault="00AB1B6A" w:rsidP="00127CDF">
            <w:pPr>
              <w:tabs>
                <w:tab w:val="left" w:pos="1701"/>
              </w:tabs>
              <w:jc w:val="center"/>
              <w:rPr>
                <w:rFonts w:eastAsia="Calibri" w:cs="Arial"/>
                <w:b/>
                <w:sz w:val="20"/>
                <w:szCs w:val="20"/>
              </w:rPr>
            </w:pPr>
            <w:r w:rsidRPr="008A60DC">
              <w:rPr>
                <w:rFonts w:eastAsia="Calibri" w:cs="Arial"/>
                <w:b/>
                <w:sz w:val="20"/>
                <w:szCs w:val="20"/>
              </w:rPr>
              <w:t>Available</w:t>
            </w:r>
          </w:p>
        </w:tc>
      </w:tr>
      <w:tr w:rsidR="00AB1B6A" w:rsidRPr="008A60DC" w14:paraId="6F85259E" w14:textId="77777777" w:rsidTr="00127CDF">
        <w:tc>
          <w:tcPr>
            <w:tcW w:w="2978" w:type="dxa"/>
            <w:shd w:val="clear" w:color="auto" w:fill="auto"/>
          </w:tcPr>
          <w:p w14:paraId="616A176C" w14:textId="77777777" w:rsidR="00AB1B6A" w:rsidRPr="008A60DC" w:rsidRDefault="00AB1B6A" w:rsidP="00127CDF">
            <w:pPr>
              <w:tabs>
                <w:tab w:val="left" w:pos="1701"/>
              </w:tabs>
              <w:spacing w:before="120" w:after="120"/>
              <w:jc w:val="center"/>
              <w:rPr>
                <w:rFonts w:eastAsia="Calibri" w:cs="Arial"/>
                <w:sz w:val="20"/>
                <w:szCs w:val="20"/>
              </w:rPr>
            </w:pPr>
            <w:r w:rsidRPr="008A60DC">
              <w:rPr>
                <w:rFonts w:eastAsia="Calibri" w:cs="Arial"/>
                <w:sz w:val="20"/>
                <w:szCs w:val="20"/>
              </w:rPr>
              <w:t>$45 My Plan Business</w:t>
            </w:r>
          </w:p>
        </w:tc>
        <w:tc>
          <w:tcPr>
            <w:tcW w:w="1983" w:type="dxa"/>
            <w:shd w:val="clear" w:color="auto" w:fill="auto"/>
            <w:vAlign w:val="center"/>
          </w:tcPr>
          <w:p w14:paraId="3E11663F" w14:textId="77777777" w:rsidR="00AB1B6A" w:rsidRPr="008A60DC" w:rsidRDefault="00AB1B6A" w:rsidP="00127CDF">
            <w:pPr>
              <w:jc w:val="center"/>
              <w:rPr>
                <w:rFonts w:eastAsia="Calibri" w:cs="Arial"/>
                <w:sz w:val="20"/>
                <w:szCs w:val="20"/>
              </w:rPr>
            </w:pPr>
            <w:r w:rsidRPr="008A60DC">
              <w:rPr>
                <w:rFonts w:eastAsia="Calibri" w:cs="Arial"/>
                <w:sz w:val="20"/>
                <w:szCs w:val="20"/>
              </w:rPr>
              <w:t>800489</w:t>
            </w:r>
            <w:r w:rsidR="004355C7">
              <w:rPr>
                <w:rFonts w:eastAsia="Calibri" w:cs="Arial"/>
                <w:sz w:val="20"/>
                <w:szCs w:val="20"/>
              </w:rPr>
              <w:t>, 10132521</w:t>
            </w:r>
          </w:p>
        </w:tc>
        <w:tc>
          <w:tcPr>
            <w:tcW w:w="4678" w:type="dxa"/>
            <w:shd w:val="clear" w:color="auto" w:fill="auto"/>
          </w:tcPr>
          <w:p w14:paraId="3C8C5AD3" w14:textId="77777777" w:rsidR="00AB1B6A" w:rsidRPr="008A60DC" w:rsidRDefault="00AB1B6A" w:rsidP="00127CDF">
            <w:pPr>
              <w:tabs>
                <w:tab w:val="left" w:pos="1701"/>
              </w:tabs>
              <w:spacing w:before="120" w:after="120"/>
              <w:jc w:val="center"/>
              <w:rPr>
                <w:rFonts w:eastAsia="Calibri" w:cs="Arial"/>
                <w:sz w:val="20"/>
                <w:szCs w:val="20"/>
              </w:rPr>
            </w:pPr>
            <w:r w:rsidRPr="008A60DC">
              <w:rPr>
                <w:rFonts w:eastAsia="Calibri" w:cs="Arial"/>
                <w:sz w:val="20"/>
                <w:szCs w:val="20"/>
              </w:rPr>
              <w:t>4 July 2016 – 4 September 2016</w:t>
            </w:r>
          </w:p>
        </w:tc>
      </w:tr>
      <w:tr w:rsidR="00AB1B6A" w:rsidRPr="008A60DC" w14:paraId="5E546C78" w14:textId="77777777" w:rsidTr="00127CDF">
        <w:tc>
          <w:tcPr>
            <w:tcW w:w="2978" w:type="dxa"/>
            <w:shd w:val="clear" w:color="auto" w:fill="auto"/>
          </w:tcPr>
          <w:p w14:paraId="62011DDA" w14:textId="77777777" w:rsidR="00AB1B6A" w:rsidRPr="008A60DC" w:rsidRDefault="00AB1B6A" w:rsidP="00127CDF">
            <w:pPr>
              <w:tabs>
                <w:tab w:val="left" w:pos="1701"/>
              </w:tabs>
              <w:spacing w:before="120" w:after="120"/>
              <w:jc w:val="center"/>
              <w:rPr>
                <w:rFonts w:eastAsia="Calibri" w:cs="Arial"/>
                <w:sz w:val="20"/>
                <w:szCs w:val="20"/>
              </w:rPr>
            </w:pPr>
            <w:r w:rsidRPr="008A60DC">
              <w:rPr>
                <w:rFonts w:eastAsia="Calibri" w:cs="Arial"/>
                <w:sz w:val="20"/>
                <w:szCs w:val="20"/>
              </w:rPr>
              <w:t>$70 My Plan Business</w:t>
            </w:r>
          </w:p>
        </w:tc>
        <w:tc>
          <w:tcPr>
            <w:tcW w:w="1983" w:type="dxa"/>
            <w:shd w:val="clear" w:color="auto" w:fill="auto"/>
            <w:vAlign w:val="center"/>
          </w:tcPr>
          <w:p w14:paraId="5FE30CFC" w14:textId="77777777" w:rsidR="00AB1B6A" w:rsidRPr="008A60DC" w:rsidRDefault="00AB1B6A" w:rsidP="00127CDF">
            <w:pPr>
              <w:spacing w:before="120"/>
              <w:jc w:val="center"/>
              <w:rPr>
                <w:rFonts w:eastAsia="Calibri" w:cs="Arial"/>
                <w:sz w:val="20"/>
                <w:szCs w:val="20"/>
              </w:rPr>
            </w:pPr>
            <w:r w:rsidRPr="008A60DC">
              <w:rPr>
                <w:rFonts w:eastAsia="Calibri" w:cs="Arial"/>
                <w:sz w:val="20"/>
                <w:szCs w:val="20"/>
              </w:rPr>
              <w:t>800490</w:t>
            </w:r>
            <w:r w:rsidR="004355C7">
              <w:rPr>
                <w:rFonts w:eastAsia="Calibri" w:cs="Arial"/>
                <w:sz w:val="20"/>
                <w:szCs w:val="20"/>
              </w:rPr>
              <w:t>, 10132531</w:t>
            </w:r>
          </w:p>
        </w:tc>
        <w:tc>
          <w:tcPr>
            <w:tcW w:w="4678" w:type="dxa"/>
            <w:shd w:val="clear" w:color="auto" w:fill="auto"/>
            <w:vAlign w:val="center"/>
          </w:tcPr>
          <w:p w14:paraId="247602C1" w14:textId="77777777" w:rsidR="00AB1B6A" w:rsidRPr="008A60DC" w:rsidRDefault="00AB1B6A" w:rsidP="00127CDF">
            <w:pPr>
              <w:jc w:val="center"/>
              <w:rPr>
                <w:rFonts w:cs="Arial"/>
                <w:sz w:val="20"/>
                <w:szCs w:val="20"/>
              </w:rPr>
            </w:pPr>
            <w:r w:rsidRPr="008A60DC">
              <w:rPr>
                <w:rFonts w:eastAsia="Calibri" w:cs="Arial"/>
                <w:sz w:val="20"/>
                <w:szCs w:val="20"/>
              </w:rPr>
              <w:t>4 July 2016 – 4 September 2016</w:t>
            </w:r>
          </w:p>
        </w:tc>
      </w:tr>
      <w:tr w:rsidR="00AB1B6A" w:rsidRPr="008A60DC" w14:paraId="3FF134F6" w14:textId="77777777" w:rsidTr="00127CDF">
        <w:tc>
          <w:tcPr>
            <w:tcW w:w="2978" w:type="dxa"/>
            <w:shd w:val="clear" w:color="auto" w:fill="auto"/>
          </w:tcPr>
          <w:p w14:paraId="67D226EF" w14:textId="77777777" w:rsidR="00AB1B6A" w:rsidRPr="008A60DC" w:rsidRDefault="00AB1B6A" w:rsidP="00127CDF">
            <w:pPr>
              <w:tabs>
                <w:tab w:val="left" w:pos="1701"/>
              </w:tabs>
              <w:spacing w:before="120" w:after="120"/>
              <w:jc w:val="center"/>
              <w:rPr>
                <w:rFonts w:eastAsia="Calibri" w:cs="Arial"/>
                <w:sz w:val="20"/>
                <w:szCs w:val="20"/>
              </w:rPr>
            </w:pPr>
            <w:r w:rsidRPr="008A60DC">
              <w:rPr>
                <w:rFonts w:eastAsia="Calibri" w:cs="Arial"/>
                <w:sz w:val="20"/>
                <w:szCs w:val="20"/>
              </w:rPr>
              <w:lastRenderedPageBreak/>
              <w:t>$90 My Plan Business</w:t>
            </w:r>
          </w:p>
        </w:tc>
        <w:tc>
          <w:tcPr>
            <w:tcW w:w="1983" w:type="dxa"/>
            <w:shd w:val="clear" w:color="auto" w:fill="auto"/>
            <w:vAlign w:val="center"/>
          </w:tcPr>
          <w:p w14:paraId="042C9BE2" w14:textId="77777777" w:rsidR="00AB1B6A" w:rsidRPr="008A60DC" w:rsidRDefault="00AB1B6A" w:rsidP="00127CDF">
            <w:pPr>
              <w:jc w:val="center"/>
              <w:rPr>
                <w:rFonts w:eastAsia="Calibri" w:cs="Arial"/>
                <w:sz w:val="20"/>
                <w:szCs w:val="20"/>
              </w:rPr>
            </w:pPr>
            <w:r w:rsidRPr="008A60DC">
              <w:rPr>
                <w:rFonts w:eastAsia="Calibri" w:cs="Arial"/>
                <w:sz w:val="20"/>
                <w:szCs w:val="20"/>
              </w:rPr>
              <w:t>800491</w:t>
            </w:r>
            <w:r w:rsidR="004355C7">
              <w:rPr>
                <w:rFonts w:eastAsia="Calibri" w:cs="Arial"/>
                <w:sz w:val="20"/>
                <w:szCs w:val="20"/>
              </w:rPr>
              <w:t xml:space="preserve">,10132541 </w:t>
            </w:r>
          </w:p>
        </w:tc>
        <w:tc>
          <w:tcPr>
            <w:tcW w:w="4678" w:type="dxa"/>
            <w:shd w:val="clear" w:color="auto" w:fill="auto"/>
            <w:vAlign w:val="center"/>
          </w:tcPr>
          <w:p w14:paraId="3E64E6A6" w14:textId="77777777" w:rsidR="00AB1B6A" w:rsidRPr="008A60DC" w:rsidRDefault="00AB1B6A" w:rsidP="00127CDF">
            <w:pPr>
              <w:jc w:val="center"/>
              <w:rPr>
                <w:rFonts w:cs="Arial"/>
                <w:sz w:val="20"/>
                <w:szCs w:val="20"/>
              </w:rPr>
            </w:pPr>
            <w:r w:rsidRPr="008A60DC">
              <w:rPr>
                <w:rFonts w:eastAsia="Calibri" w:cs="Arial"/>
                <w:sz w:val="20"/>
                <w:szCs w:val="20"/>
              </w:rPr>
              <w:t>4 July 2016 – 4 September 2016</w:t>
            </w:r>
          </w:p>
        </w:tc>
      </w:tr>
      <w:tr w:rsidR="00AB1B6A" w:rsidRPr="008A60DC" w14:paraId="569FB971" w14:textId="77777777" w:rsidTr="00127CDF">
        <w:tc>
          <w:tcPr>
            <w:tcW w:w="2978" w:type="dxa"/>
            <w:shd w:val="clear" w:color="auto" w:fill="auto"/>
          </w:tcPr>
          <w:p w14:paraId="2389A639" w14:textId="77777777" w:rsidR="00AB1B6A" w:rsidRPr="008A60DC" w:rsidRDefault="00AB1B6A" w:rsidP="00127CDF">
            <w:pPr>
              <w:tabs>
                <w:tab w:val="left" w:pos="1701"/>
              </w:tabs>
              <w:spacing w:before="120" w:after="120"/>
              <w:jc w:val="center"/>
              <w:rPr>
                <w:rFonts w:eastAsia="Calibri" w:cs="Arial"/>
                <w:sz w:val="20"/>
                <w:szCs w:val="20"/>
              </w:rPr>
            </w:pPr>
            <w:r w:rsidRPr="008A60DC">
              <w:rPr>
                <w:rFonts w:cs="Arial"/>
                <w:sz w:val="20"/>
                <w:szCs w:val="20"/>
              </w:rPr>
              <w:t xml:space="preserve">$105 My Plan Business </w:t>
            </w:r>
          </w:p>
        </w:tc>
        <w:tc>
          <w:tcPr>
            <w:tcW w:w="1983" w:type="dxa"/>
            <w:shd w:val="clear" w:color="auto" w:fill="auto"/>
          </w:tcPr>
          <w:p w14:paraId="72BA9EE9" w14:textId="77777777" w:rsidR="00AB1B6A" w:rsidRPr="008A60DC" w:rsidRDefault="00AB1B6A" w:rsidP="00127CDF">
            <w:pPr>
              <w:spacing w:before="120" w:after="120"/>
              <w:jc w:val="center"/>
              <w:rPr>
                <w:rFonts w:eastAsia="Calibri" w:cs="Arial"/>
                <w:sz w:val="20"/>
                <w:szCs w:val="20"/>
              </w:rPr>
            </w:pPr>
            <w:r w:rsidRPr="008A60DC">
              <w:rPr>
                <w:rFonts w:cs="Arial"/>
                <w:sz w:val="20"/>
                <w:szCs w:val="20"/>
              </w:rPr>
              <w:t>800492</w:t>
            </w:r>
            <w:r w:rsidR="004355C7">
              <w:rPr>
                <w:rFonts w:cs="Arial"/>
                <w:sz w:val="20"/>
                <w:szCs w:val="20"/>
              </w:rPr>
              <w:t>, 10132551</w:t>
            </w:r>
          </w:p>
        </w:tc>
        <w:tc>
          <w:tcPr>
            <w:tcW w:w="4678" w:type="dxa"/>
            <w:shd w:val="clear" w:color="auto" w:fill="auto"/>
          </w:tcPr>
          <w:p w14:paraId="7C6F5869" w14:textId="77777777" w:rsidR="00AB1B6A" w:rsidRPr="008A60DC" w:rsidRDefault="00AB1B6A" w:rsidP="00127CDF">
            <w:pPr>
              <w:spacing w:before="120" w:after="120"/>
              <w:jc w:val="center"/>
              <w:rPr>
                <w:rFonts w:eastAsia="Calibri" w:cs="Arial"/>
                <w:sz w:val="20"/>
                <w:szCs w:val="20"/>
              </w:rPr>
            </w:pPr>
            <w:r w:rsidRPr="008A60DC">
              <w:rPr>
                <w:rFonts w:eastAsia="Calibri" w:cs="Arial"/>
                <w:sz w:val="20"/>
                <w:szCs w:val="20"/>
              </w:rPr>
              <w:t>4 July 2016 – 4 September 2016</w:t>
            </w:r>
          </w:p>
        </w:tc>
      </w:tr>
      <w:tr w:rsidR="00AB1B6A" w:rsidRPr="008A60DC" w14:paraId="6FEBDFA6" w14:textId="77777777" w:rsidTr="00127CDF">
        <w:tc>
          <w:tcPr>
            <w:tcW w:w="2978" w:type="dxa"/>
            <w:shd w:val="clear" w:color="auto" w:fill="auto"/>
          </w:tcPr>
          <w:p w14:paraId="489A0349" w14:textId="77777777" w:rsidR="00AB1B6A" w:rsidRPr="008A60DC" w:rsidRDefault="00AB1B6A" w:rsidP="00127CDF">
            <w:pPr>
              <w:tabs>
                <w:tab w:val="left" w:pos="1701"/>
              </w:tabs>
              <w:spacing w:before="120" w:after="120"/>
              <w:jc w:val="center"/>
              <w:rPr>
                <w:rFonts w:cs="Arial"/>
                <w:sz w:val="20"/>
                <w:szCs w:val="20"/>
              </w:rPr>
            </w:pPr>
            <w:r w:rsidRPr="008A60DC">
              <w:rPr>
                <w:rFonts w:cs="Arial"/>
                <w:sz w:val="20"/>
                <w:szCs w:val="20"/>
              </w:rPr>
              <w:t>$120 My Plan Business</w:t>
            </w:r>
          </w:p>
        </w:tc>
        <w:tc>
          <w:tcPr>
            <w:tcW w:w="1983" w:type="dxa"/>
            <w:shd w:val="clear" w:color="auto" w:fill="auto"/>
          </w:tcPr>
          <w:p w14:paraId="577CDC30" w14:textId="77777777" w:rsidR="00AB1B6A" w:rsidRPr="008A60DC" w:rsidDel="002E191F" w:rsidRDefault="00AB1B6A" w:rsidP="00127CDF">
            <w:pPr>
              <w:spacing w:before="120" w:after="120"/>
              <w:jc w:val="center"/>
              <w:rPr>
                <w:rFonts w:cs="Arial"/>
                <w:sz w:val="20"/>
                <w:szCs w:val="20"/>
              </w:rPr>
            </w:pPr>
            <w:r w:rsidRPr="008A60DC">
              <w:rPr>
                <w:rFonts w:cs="Arial"/>
                <w:sz w:val="20"/>
                <w:szCs w:val="20"/>
              </w:rPr>
              <w:t>800493</w:t>
            </w:r>
            <w:r w:rsidR="004355C7">
              <w:rPr>
                <w:rFonts w:cs="Arial"/>
                <w:sz w:val="20"/>
                <w:szCs w:val="20"/>
              </w:rPr>
              <w:t>, 10132561</w:t>
            </w:r>
          </w:p>
        </w:tc>
        <w:tc>
          <w:tcPr>
            <w:tcW w:w="4678" w:type="dxa"/>
            <w:shd w:val="clear" w:color="auto" w:fill="auto"/>
          </w:tcPr>
          <w:p w14:paraId="6C180104" w14:textId="77777777" w:rsidR="00AB1B6A" w:rsidRPr="008A60DC" w:rsidRDefault="00AB1B6A" w:rsidP="00127CDF">
            <w:pPr>
              <w:spacing w:before="120" w:after="120"/>
              <w:jc w:val="center"/>
              <w:rPr>
                <w:rFonts w:eastAsia="Calibri" w:cs="Arial"/>
                <w:sz w:val="20"/>
                <w:szCs w:val="20"/>
              </w:rPr>
            </w:pPr>
            <w:r w:rsidRPr="008A60DC">
              <w:rPr>
                <w:rFonts w:cs="Arial"/>
                <w:sz w:val="20"/>
                <w:szCs w:val="20"/>
              </w:rPr>
              <w:t xml:space="preserve">4 July 2016 </w:t>
            </w:r>
            <w:r w:rsidRPr="008A60DC">
              <w:rPr>
                <w:rFonts w:eastAsia="Calibri" w:cs="Arial"/>
                <w:sz w:val="20"/>
                <w:szCs w:val="20"/>
              </w:rPr>
              <w:t>– 4 September 2016</w:t>
            </w:r>
          </w:p>
        </w:tc>
      </w:tr>
    </w:tbl>
    <w:p w14:paraId="46EFE468" w14:textId="77777777" w:rsidR="00AB1B6A" w:rsidRPr="008A60DC" w:rsidRDefault="00AB1B6A" w:rsidP="00AB1B6A">
      <w:pPr>
        <w:tabs>
          <w:tab w:val="left" w:pos="1701"/>
        </w:tabs>
        <w:rPr>
          <w:rFonts w:cs="Arial"/>
          <w:b/>
          <w:sz w:val="20"/>
          <w:szCs w:val="20"/>
        </w:rPr>
      </w:pPr>
    </w:p>
    <w:p w14:paraId="7C1A426B" w14:textId="77777777" w:rsidR="00D50A97" w:rsidRPr="00D50A97" w:rsidRDefault="00D50A97" w:rsidP="00972274">
      <w:pPr>
        <w:pStyle w:val="ListParagraph"/>
        <w:keepNext/>
        <w:numPr>
          <w:ilvl w:val="0"/>
          <w:numId w:val="27"/>
        </w:numPr>
        <w:spacing w:before="120" w:after="120"/>
        <w:rPr>
          <w:rFonts w:ascii="Arial" w:hAnsi="Arial" w:cs="Arial"/>
          <w:vanish/>
          <w:lang w:val="en-AU"/>
        </w:rPr>
      </w:pPr>
      <w:bookmarkStart w:id="1349" w:name="_Toc460247023"/>
    </w:p>
    <w:p w14:paraId="1672FE81" w14:textId="77777777" w:rsidR="00AB1B6A" w:rsidRPr="000846C1" w:rsidRDefault="00AB1B6A" w:rsidP="00972274">
      <w:pPr>
        <w:pStyle w:val="OptusH2"/>
        <w:numPr>
          <w:ilvl w:val="1"/>
          <w:numId w:val="27"/>
        </w:numPr>
        <w:rPr>
          <w:rFonts w:ascii="Arial" w:hAnsi="Arial" w:cs="Arial"/>
          <w:b w:val="0"/>
          <w:sz w:val="20"/>
        </w:rPr>
      </w:pPr>
      <w:r w:rsidRPr="000846C1">
        <w:rPr>
          <w:rFonts w:ascii="Arial" w:hAnsi="Arial" w:cs="Arial"/>
          <w:b w:val="0"/>
          <w:sz w:val="20"/>
        </w:rPr>
        <w:t>Eligibility</w:t>
      </w:r>
      <w:bookmarkEnd w:id="1349"/>
      <w:r w:rsidRPr="000846C1">
        <w:rPr>
          <w:rFonts w:ascii="Arial" w:hAnsi="Arial" w:cs="Arial"/>
          <w:b w:val="0"/>
          <w:sz w:val="20"/>
        </w:rPr>
        <w:t xml:space="preserve"> </w:t>
      </w:r>
    </w:p>
    <w:p w14:paraId="549A699D" w14:textId="77777777" w:rsidR="00AB1B6A" w:rsidRPr="008A60DC" w:rsidRDefault="00AB1B6A" w:rsidP="00AB1B6A">
      <w:pPr>
        <w:tabs>
          <w:tab w:val="left" w:pos="1701"/>
        </w:tabs>
        <w:spacing w:before="120" w:after="120"/>
        <w:ind w:left="709"/>
        <w:rPr>
          <w:rFonts w:cs="Arial"/>
          <w:sz w:val="20"/>
          <w:szCs w:val="20"/>
        </w:rPr>
      </w:pPr>
      <w:r w:rsidRPr="008A60DC">
        <w:rPr>
          <w:rFonts w:cs="Arial"/>
          <w:sz w:val="20"/>
          <w:szCs w:val="20"/>
        </w:rPr>
        <w:t xml:space="preserve">The My Plan Business plans are available to new and existing mobile customers connecting to the </w:t>
      </w:r>
      <w:r w:rsidRPr="008A60DC">
        <w:rPr>
          <w:rFonts w:cs="Arial"/>
          <w:i/>
          <w:sz w:val="20"/>
          <w:szCs w:val="20"/>
        </w:rPr>
        <w:t xml:space="preserve">service </w:t>
      </w:r>
      <w:r w:rsidRPr="008A60DC">
        <w:rPr>
          <w:rFonts w:cs="Arial"/>
          <w:sz w:val="20"/>
          <w:szCs w:val="20"/>
        </w:rPr>
        <w:t xml:space="preserve">who pass Optus’ credit assessment. </w:t>
      </w:r>
    </w:p>
    <w:p w14:paraId="42D28234" w14:textId="77777777" w:rsidR="00AB1B6A" w:rsidRPr="008A60DC" w:rsidRDefault="00AB1B6A" w:rsidP="00AB1B6A">
      <w:pPr>
        <w:tabs>
          <w:tab w:val="left" w:pos="1701"/>
        </w:tabs>
        <w:spacing w:before="120" w:after="120"/>
        <w:ind w:left="709"/>
        <w:rPr>
          <w:rFonts w:cs="Arial"/>
          <w:sz w:val="20"/>
          <w:szCs w:val="20"/>
        </w:rPr>
      </w:pPr>
      <w:r w:rsidRPr="008A60DC">
        <w:rPr>
          <w:rFonts w:cs="Arial"/>
          <w:sz w:val="20"/>
          <w:szCs w:val="20"/>
        </w:rPr>
        <w:t>Optus Service Providers’ customers are not eligible to apply</w:t>
      </w:r>
      <w:r w:rsidRPr="008A60DC">
        <w:rPr>
          <w:rFonts w:cs="Arial"/>
          <w:snapToGrid w:val="0"/>
          <w:sz w:val="20"/>
          <w:szCs w:val="20"/>
        </w:rPr>
        <w:t>.</w:t>
      </w:r>
    </w:p>
    <w:p w14:paraId="20D9DA63" w14:textId="77777777" w:rsidR="00AB1B6A" w:rsidRPr="008A60DC" w:rsidRDefault="00AB1B6A" w:rsidP="00AB1B6A">
      <w:pPr>
        <w:tabs>
          <w:tab w:val="left" w:pos="1701"/>
        </w:tabs>
        <w:ind w:left="709"/>
        <w:rPr>
          <w:rFonts w:cs="Arial"/>
          <w:sz w:val="20"/>
          <w:szCs w:val="20"/>
        </w:rPr>
      </w:pPr>
      <w:r w:rsidRPr="008A60DC">
        <w:rPr>
          <w:rFonts w:cs="Arial"/>
          <w:sz w:val="20"/>
          <w:szCs w:val="20"/>
        </w:rPr>
        <w:t xml:space="preserve">These </w:t>
      </w:r>
      <w:r w:rsidRPr="008A60DC">
        <w:rPr>
          <w:rFonts w:cs="Arial"/>
          <w:i/>
          <w:sz w:val="20"/>
          <w:szCs w:val="20"/>
        </w:rPr>
        <w:t>plans</w:t>
      </w:r>
      <w:r w:rsidRPr="008A60DC">
        <w:rPr>
          <w:rFonts w:cs="Arial"/>
          <w:sz w:val="20"/>
          <w:szCs w:val="20"/>
        </w:rPr>
        <w:t xml:space="preserve"> aren’t compatible for data use with BlackBerry handsets on operating systems of 7.1 or earlier.</w:t>
      </w:r>
      <w:r w:rsidRPr="008A60DC">
        <w:rPr>
          <w:rFonts w:cs="Arial"/>
          <w:sz w:val="20"/>
          <w:szCs w:val="20"/>
        </w:rPr>
        <w:br/>
        <w:t xml:space="preserve">          </w:t>
      </w:r>
    </w:p>
    <w:p w14:paraId="609BC51B" w14:textId="77777777" w:rsidR="00AB1B6A" w:rsidRPr="00824317" w:rsidRDefault="00AB1B6A" w:rsidP="00972274">
      <w:pPr>
        <w:pStyle w:val="OptusH2"/>
        <w:numPr>
          <w:ilvl w:val="1"/>
          <w:numId w:val="27"/>
        </w:numPr>
        <w:tabs>
          <w:tab w:val="num" w:pos="680"/>
          <w:tab w:val="left" w:pos="851"/>
        </w:tabs>
        <w:ind w:left="680" w:hanging="680"/>
        <w:rPr>
          <w:rFonts w:ascii="Arial" w:hAnsi="Arial" w:cs="Arial"/>
          <w:b w:val="0"/>
          <w:sz w:val="20"/>
        </w:rPr>
      </w:pPr>
      <w:bookmarkStart w:id="1350" w:name="_Toc460247024"/>
      <w:r w:rsidRPr="00824317">
        <w:rPr>
          <w:rFonts w:ascii="Arial" w:hAnsi="Arial" w:cs="Arial"/>
          <w:b w:val="0"/>
          <w:snapToGrid w:val="0"/>
          <w:sz w:val="20"/>
        </w:rPr>
        <w:t>Minimum Term</w:t>
      </w:r>
      <w:bookmarkEnd w:id="1350"/>
    </w:p>
    <w:p w14:paraId="52E57F0A" w14:textId="77777777" w:rsidR="00AB1B6A" w:rsidRPr="008A60DC" w:rsidRDefault="00AB1B6A" w:rsidP="00AB1B6A">
      <w:pPr>
        <w:tabs>
          <w:tab w:val="left" w:pos="1701"/>
        </w:tabs>
        <w:spacing w:before="120" w:after="120"/>
        <w:ind w:left="709"/>
        <w:rPr>
          <w:rFonts w:cs="Arial"/>
          <w:sz w:val="20"/>
          <w:szCs w:val="20"/>
        </w:rPr>
      </w:pPr>
      <w:r w:rsidRPr="008A60DC">
        <w:rPr>
          <w:rFonts w:cs="Arial"/>
          <w:sz w:val="20"/>
          <w:szCs w:val="20"/>
        </w:rPr>
        <w:t xml:space="preserve">These </w:t>
      </w:r>
      <w:r w:rsidRPr="008A60DC">
        <w:rPr>
          <w:rFonts w:cs="Arial"/>
          <w:i/>
          <w:sz w:val="20"/>
          <w:szCs w:val="20"/>
        </w:rPr>
        <w:t>plans</w:t>
      </w:r>
      <w:r w:rsidRPr="008A60DC">
        <w:rPr>
          <w:rFonts w:cs="Arial"/>
          <w:sz w:val="20"/>
          <w:szCs w:val="20"/>
        </w:rPr>
        <w:t xml:space="preserve"> have</w:t>
      </w:r>
      <w:r w:rsidRPr="008A60DC">
        <w:rPr>
          <w:rFonts w:cs="Arial"/>
          <w:i/>
          <w:sz w:val="20"/>
          <w:szCs w:val="20"/>
        </w:rPr>
        <w:t xml:space="preserve"> </w:t>
      </w:r>
      <w:r w:rsidRPr="008A60DC">
        <w:rPr>
          <w:rFonts w:cs="Arial"/>
          <w:sz w:val="20"/>
          <w:szCs w:val="20"/>
        </w:rPr>
        <w:t xml:space="preserve">a </w:t>
      </w:r>
      <w:r w:rsidRPr="008A60DC">
        <w:rPr>
          <w:rFonts w:cs="Arial"/>
          <w:i/>
          <w:sz w:val="20"/>
          <w:szCs w:val="20"/>
        </w:rPr>
        <w:t>fixed length agreement</w:t>
      </w:r>
      <w:r w:rsidRPr="008A60DC">
        <w:rPr>
          <w:rFonts w:cs="Arial"/>
          <w:sz w:val="20"/>
          <w:szCs w:val="20"/>
        </w:rPr>
        <w:t xml:space="preserve"> with a 24 month </w:t>
      </w:r>
      <w:r w:rsidRPr="008A60DC">
        <w:rPr>
          <w:rFonts w:cs="Arial"/>
          <w:i/>
          <w:sz w:val="20"/>
          <w:szCs w:val="20"/>
        </w:rPr>
        <w:t>minimum term.</w:t>
      </w:r>
    </w:p>
    <w:p w14:paraId="4947817E" w14:textId="77777777" w:rsidR="00AB1B6A" w:rsidRPr="00824317" w:rsidRDefault="00AB1B6A" w:rsidP="00972274">
      <w:pPr>
        <w:pStyle w:val="OptusH2"/>
        <w:numPr>
          <w:ilvl w:val="1"/>
          <w:numId w:val="27"/>
        </w:numPr>
        <w:tabs>
          <w:tab w:val="num" w:pos="680"/>
          <w:tab w:val="left" w:pos="851"/>
        </w:tabs>
        <w:ind w:left="680" w:hanging="680"/>
        <w:rPr>
          <w:rFonts w:ascii="Arial" w:hAnsi="Arial" w:cs="Arial"/>
          <w:b w:val="0"/>
          <w:sz w:val="20"/>
        </w:rPr>
      </w:pPr>
      <w:bookmarkStart w:id="1351" w:name="_Toc460247025"/>
      <w:r w:rsidRPr="00824317">
        <w:rPr>
          <w:rFonts w:ascii="Arial" w:hAnsi="Arial" w:cs="Arial"/>
          <w:b w:val="0"/>
          <w:sz w:val="20"/>
        </w:rPr>
        <w:t>What you have to pay us</w:t>
      </w:r>
      <w:bookmarkEnd w:id="1351"/>
    </w:p>
    <w:p w14:paraId="573F96F7" w14:textId="77777777" w:rsidR="00AB1B6A" w:rsidRPr="00460CAF" w:rsidRDefault="00AB1B6A" w:rsidP="00972274">
      <w:pPr>
        <w:numPr>
          <w:ilvl w:val="2"/>
          <w:numId w:val="27"/>
        </w:numPr>
        <w:tabs>
          <w:tab w:val="clear" w:pos="2127"/>
          <w:tab w:val="num" w:pos="1448"/>
          <w:tab w:val="left" w:pos="1701"/>
        </w:tabs>
        <w:spacing w:before="120" w:after="120"/>
        <w:ind w:left="1448" w:hanging="738"/>
        <w:rPr>
          <w:rStyle w:val="Hyperlink"/>
          <w:rFonts w:cs="Arial"/>
          <w:szCs w:val="20"/>
        </w:rPr>
      </w:pPr>
      <w:r w:rsidRPr="008A60DC">
        <w:rPr>
          <w:rFonts w:cs="Arial"/>
          <w:i/>
          <w:sz w:val="20"/>
          <w:szCs w:val="20"/>
        </w:rPr>
        <w:t>You</w:t>
      </w:r>
      <w:r w:rsidRPr="008A60DC">
        <w:rPr>
          <w:rFonts w:cs="Arial"/>
          <w:sz w:val="20"/>
          <w:szCs w:val="20"/>
        </w:rPr>
        <w:t xml:space="preserve"> must pay </w:t>
      </w:r>
      <w:r w:rsidRPr="008A60DC">
        <w:rPr>
          <w:rFonts w:cs="Arial"/>
          <w:i/>
          <w:sz w:val="20"/>
          <w:szCs w:val="20"/>
        </w:rPr>
        <w:t>us</w:t>
      </w:r>
      <w:r w:rsidRPr="008A60DC">
        <w:rPr>
          <w:rFonts w:cs="Arial"/>
          <w:sz w:val="20"/>
          <w:szCs w:val="20"/>
        </w:rPr>
        <w:t xml:space="preserve"> for use of the </w:t>
      </w:r>
      <w:r w:rsidRPr="008A60DC">
        <w:rPr>
          <w:rFonts w:cs="Arial"/>
          <w:i/>
          <w:sz w:val="20"/>
          <w:szCs w:val="20"/>
        </w:rPr>
        <w:t>service</w:t>
      </w:r>
      <w:r w:rsidRPr="008A60DC">
        <w:rPr>
          <w:rFonts w:cs="Arial"/>
          <w:sz w:val="20"/>
          <w:szCs w:val="20"/>
        </w:rPr>
        <w:t xml:space="preserve"> at the rates set out in Section 1 of this </w:t>
      </w:r>
      <w:r w:rsidRPr="008A60DC">
        <w:rPr>
          <w:rFonts w:cs="Arial"/>
          <w:i/>
          <w:sz w:val="20"/>
          <w:szCs w:val="20"/>
        </w:rPr>
        <w:t>standard pricing table</w:t>
      </w:r>
      <w:r w:rsidRPr="008A60DC">
        <w:rPr>
          <w:rFonts w:cs="Arial"/>
          <w:sz w:val="20"/>
          <w:szCs w:val="20"/>
        </w:rPr>
        <w:t xml:space="preserve"> and for value added service features at the rates set out in </w:t>
      </w:r>
      <w:r w:rsidR="00460CAF">
        <w:rPr>
          <w:rFonts w:cs="Arial"/>
          <w:i/>
          <w:color w:val="0000FF"/>
          <w:sz w:val="20"/>
          <w:szCs w:val="20"/>
          <w:u w:val="single"/>
        </w:rPr>
        <w:fldChar w:fldCharType="begin"/>
      </w:r>
      <w:r w:rsidR="00460CAF">
        <w:rPr>
          <w:rFonts w:cs="Arial"/>
          <w:i/>
          <w:color w:val="0000FF"/>
          <w:sz w:val="20"/>
          <w:szCs w:val="20"/>
          <w:u w:val="single"/>
        </w:rPr>
        <w:instrText xml:space="preserve"> HYPERLINK "http://www.optus.com.au/content/dam/optus/appendix/Appendix%20Y/AppY.doc" </w:instrText>
      </w:r>
      <w:r w:rsidR="00460CAF">
        <w:rPr>
          <w:rFonts w:cs="Arial"/>
          <w:i/>
          <w:color w:val="0000FF"/>
          <w:sz w:val="20"/>
          <w:szCs w:val="20"/>
          <w:u w:val="single"/>
        </w:rPr>
        <w:fldChar w:fldCharType="separate"/>
      </w:r>
      <w:r w:rsidRPr="00460CAF">
        <w:rPr>
          <w:rStyle w:val="Hyperlink"/>
          <w:rFonts w:cs="Arial"/>
          <w:i/>
          <w:szCs w:val="20"/>
        </w:rPr>
        <w:t>Appendix Y Value Added Service Features</w:t>
      </w:r>
      <w:r w:rsidRPr="00460CAF">
        <w:rPr>
          <w:rStyle w:val="Hyperlink"/>
          <w:rFonts w:cs="Arial"/>
          <w:szCs w:val="20"/>
        </w:rPr>
        <w:t xml:space="preserve">.  </w:t>
      </w:r>
    </w:p>
    <w:p w14:paraId="3D8F538D" w14:textId="77777777" w:rsidR="00AB1B6A" w:rsidRPr="008A60DC" w:rsidRDefault="00460CAF" w:rsidP="00972274">
      <w:pPr>
        <w:numPr>
          <w:ilvl w:val="2"/>
          <w:numId w:val="27"/>
        </w:numPr>
        <w:tabs>
          <w:tab w:val="clear" w:pos="2127"/>
          <w:tab w:val="num" w:pos="1448"/>
          <w:tab w:val="left" w:pos="1701"/>
        </w:tabs>
        <w:spacing w:before="120" w:after="120"/>
        <w:ind w:left="1448" w:hanging="738"/>
        <w:rPr>
          <w:rFonts w:cs="Arial"/>
          <w:sz w:val="20"/>
          <w:szCs w:val="20"/>
        </w:rPr>
      </w:pPr>
      <w:r>
        <w:rPr>
          <w:rFonts w:cs="Arial"/>
          <w:i/>
          <w:color w:val="0000FF"/>
          <w:sz w:val="20"/>
          <w:szCs w:val="20"/>
          <w:u w:val="single"/>
        </w:rPr>
        <w:fldChar w:fldCharType="end"/>
      </w:r>
      <w:r w:rsidR="00AB1B6A" w:rsidRPr="008A60DC">
        <w:rPr>
          <w:rFonts w:cs="Arial"/>
          <w:sz w:val="20"/>
          <w:szCs w:val="20"/>
        </w:rPr>
        <w:t>If there is a flagfall for a particular call type, the charge for these calls is the flagfall amount plus the relevant rate for the call multiplied by the duration of the call.</w:t>
      </w:r>
    </w:p>
    <w:p w14:paraId="3E852F8D" w14:textId="77777777" w:rsidR="00AB1B6A" w:rsidRPr="008A60DC" w:rsidRDefault="00AB1B6A" w:rsidP="00972274">
      <w:pPr>
        <w:numPr>
          <w:ilvl w:val="2"/>
          <w:numId w:val="27"/>
        </w:numPr>
        <w:tabs>
          <w:tab w:val="clear" w:pos="2127"/>
          <w:tab w:val="num" w:pos="1448"/>
          <w:tab w:val="left" w:pos="1701"/>
        </w:tabs>
        <w:spacing w:before="120" w:after="120"/>
        <w:ind w:left="1448" w:hanging="738"/>
        <w:rPr>
          <w:rFonts w:cs="Arial"/>
          <w:b/>
          <w:sz w:val="20"/>
          <w:szCs w:val="20"/>
        </w:rPr>
      </w:pPr>
      <w:r w:rsidRPr="008A60DC">
        <w:rPr>
          <w:rFonts w:cs="Arial"/>
          <w:b/>
          <w:sz w:val="20"/>
          <w:szCs w:val="20"/>
        </w:rPr>
        <w:t xml:space="preserve">Minimum Monthly Charge </w:t>
      </w:r>
    </w:p>
    <w:p w14:paraId="167DFA35" w14:textId="77777777" w:rsidR="00AB1B6A" w:rsidRPr="008A60DC" w:rsidRDefault="00AB1B6A" w:rsidP="00972274">
      <w:pPr>
        <w:numPr>
          <w:ilvl w:val="3"/>
          <w:numId w:val="68"/>
        </w:numPr>
        <w:tabs>
          <w:tab w:val="clear" w:pos="2552"/>
          <w:tab w:val="num" w:pos="2127"/>
        </w:tabs>
        <w:spacing w:before="120" w:after="120"/>
        <w:ind w:left="2127" w:hanging="709"/>
        <w:rPr>
          <w:rFonts w:cs="Arial"/>
          <w:sz w:val="20"/>
          <w:szCs w:val="20"/>
        </w:rPr>
      </w:pPr>
      <w:r w:rsidRPr="008A60DC">
        <w:rPr>
          <w:rFonts w:cs="Arial"/>
          <w:sz w:val="20"/>
          <w:szCs w:val="20"/>
        </w:rPr>
        <w:t xml:space="preserve">Each My Plan Business plan has a Minimum Monthly Charge amount that </w:t>
      </w:r>
      <w:r w:rsidRPr="008A60DC">
        <w:rPr>
          <w:rFonts w:cs="Arial"/>
          <w:i/>
          <w:sz w:val="20"/>
          <w:szCs w:val="20"/>
        </w:rPr>
        <w:t>you</w:t>
      </w:r>
      <w:r w:rsidRPr="008A60DC">
        <w:rPr>
          <w:rFonts w:cs="Arial"/>
          <w:sz w:val="20"/>
          <w:szCs w:val="20"/>
        </w:rPr>
        <w:t xml:space="preserve"> must pay </w:t>
      </w:r>
      <w:r w:rsidRPr="008A60DC">
        <w:rPr>
          <w:rFonts w:cs="Arial"/>
          <w:i/>
          <w:sz w:val="20"/>
          <w:szCs w:val="20"/>
        </w:rPr>
        <w:t>us</w:t>
      </w:r>
      <w:r w:rsidRPr="008A60DC">
        <w:rPr>
          <w:rFonts w:cs="Arial"/>
          <w:sz w:val="20"/>
          <w:szCs w:val="20"/>
        </w:rPr>
        <w:t xml:space="preserve"> each month as set out in Table 1 below.  </w:t>
      </w:r>
    </w:p>
    <w:p w14:paraId="79F48FC1" w14:textId="77777777" w:rsidR="00AB1B6A" w:rsidRPr="008A60DC" w:rsidRDefault="00AB1B6A" w:rsidP="00972274">
      <w:pPr>
        <w:numPr>
          <w:ilvl w:val="3"/>
          <w:numId w:val="68"/>
        </w:numPr>
        <w:tabs>
          <w:tab w:val="clear" w:pos="2552"/>
          <w:tab w:val="num" w:pos="2127"/>
        </w:tabs>
        <w:spacing w:before="120" w:after="120"/>
        <w:ind w:left="2127" w:hanging="709"/>
        <w:rPr>
          <w:rFonts w:cs="Arial"/>
          <w:sz w:val="20"/>
          <w:szCs w:val="20"/>
        </w:rPr>
      </w:pPr>
      <w:r w:rsidRPr="008A60DC">
        <w:rPr>
          <w:rFonts w:cs="Arial"/>
          <w:sz w:val="20"/>
          <w:szCs w:val="20"/>
        </w:rPr>
        <w:tab/>
      </w:r>
      <w:r w:rsidRPr="008A60DC">
        <w:rPr>
          <w:rFonts w:cs="Arial"/>
          <w:i/>
          <w:sz w:val="20"/>
          <w:szCs w:val="20"/>
        </w:rPr>
        <w:t>You</w:t>
      </w:r>
      <w:r w:rsidRPr="008A60DC">
        <w:rPr>
          <w:rFonts w:cs="Arial"/>
          <w:sz w:val="20"/>
          <w:szCs w:val="20"/>
        </w:rPr>
        <w:t xml:space="preserve"> may purchase a mobile phone (or ‘handset’) with a 24 month </w:t>
      </w:r>
      <w:r w:rsidRPr="008A60DC">
        <w:rPr>
          <w:rFonts w:cs="Arial"/>
          <w:i/>
          <w:sz w:val="20"/>
          <w:szCs w:val="20"/>
        </w:rPr>
        <w:t>equipment term</w:t>
      </w:r>
      <w:r w:rsidRPr="008A60DC">
        <w:rPr>
          <w:rFonts w:cs="Arial"/>
          <w:sz w:val="20"/>
          <w:szCs w:val="20"/>
        </w:rPr>
        <w:t xml:space="preserve"> under a </w:t>
      </w:r>
      <w:r w:rsidRPr="008A60DC">
        <w:rPr>
          <w:rFonts w:cs="Arial"/>
          <w:i/>
          <w:sz w:val="20"/>
          <w:szCs w:val="20"/>
        </w:rPr>
        <w:t>mobile equipment payment plan</w:t>
      </w:r>
      <w:r w:rsidRPr="008A60DC">
        <w:rPr>
          <w:rFonts w:cs="Arial"/>
          <w:sz w:val="20"/>
          <w:szCs w:val="20"/>
        </w:rPr>
        <w:t xml:space="preserve"> (set out in </w:t>
      </w:r>
      <w:hyperlink r:id="rId670" w:history="1">
        <w:r w:rsidRPr="008A60DC">
          <w:rPr>
            <w:rFonts w:cs="Arial"/>
            <w:i/>
            <w:sz w:val="20"/>
            <w:szCs w:val="20"/>
            <w:u w:val="single"/>
          </w:rPr>
          <w:t>Appendix D</w:t>
        </w:r>
      </w:hyperlink>
      <w:r w:rsidRPr="008A60DC">
        <w:rPr>
          <w:rFonts w:cs="Arial"/>
          <w:sz w:val="20"/>
          <w:szCs w:val="20"/>
        </w:rPr>
        <w:t xml:space="preserve">) on a 24 month </w:t>
      </w:r>
      <w:r w:rsidRPr="008A60DC">
        <w:rPr>
          <w:rFonts w:cs="Arial"/>
          <w:i/>
          <w:sz w:val="20"/>
          <w:szCs w:val="20"/>
        </w:rPr>
        <w:t>fixed-length agreement</w:t>
      </w:r>
      <w:r w:rsidRPr="008A60DC">
        <w:rPr>
          <w:rFonts w:cs="Arial"/>
          <w:sz w:val="20"/>
          <w:szCs w:val="20"/>
        </w:rPr>
        <w:t xml:space="preserve">. </w:t>
      </w:r>
    </w:p>
    <w:p w14:paraId="363BCA69" w14:textId="77777777" w:rsidR="00AB1B6A" w:rsidRPr="00824317" w:rsidRDefault="00AB1B6A" w:rsidP="00972274">
      <w:pPr>
        <w:pStyle w:val="OptusH2"/>
        <w:numPr>
          <w:ilvl w:val="1"/>
          <w:numId w:val="27"/>
        </w:numPr>
        <w:tabs>
          <w:tab w:val="num" w:pos="680"/>
          <w:tab w:val="left" w:pos="851"/>
        </w:tabs>
        <w:ind w:left="680" w:hanging="680"/>
        <w:rPr>
          <w:rFonts w:ascii="Arial" w:hAnsi="Arial" w:cs="Arial"/>
          <w:b w:val="0"/>
          <w:snapToGrid w:val="0"/>
          <w:sz w:val="20"/>
        </w:rPr>
      </w:pPr>
      <w:r w:rsidRPr="008A60DC">
        <w:rPr>
          <w:rFonts w:cs="Arial"/>
          <w:snapToGrid w:val="0"/>
          <w:sz w:val="20"/>
        </w:rPr>
        <w:t xml:space="preserve"> </w:t>
      </w:r>
      <w:bookmarkStart w:id="1352" w:name="_Toc460247026"/>
      <w:r w:rsidRPr="00824317">
        <w:rPr>
          <w:rFonts w:ascii="Arial" w:hAnsi="Arial" w:cs="Arial"/>
          <w:b w:val="0"/>
          <w:snapToGrid w:val="0"/>
          <w:sz w:val="20"/>
        </w:rPr>
        <w:t>How My Plan Business works</w:t>
      </w:r>
      <w:bookmarkEnd w:id="1352"/>
    </w:p>
    <w:p w14:paraId="2ED0FC2E" w14:textId="77777777" w:rsidR="00AB1B6A" w:rsidRPr="008A60DC" w:rsidRDefault="00AB1B6A" w:rsidP="00972274">
      <w:pPr>
        <w:numPr>
          <w:ilvl w:val="2"/>
          <w:numId w:val="27"/>
        </w:numPr>
        <w:tabs>
          <w:tab w:val="clear" w:pos="2127"/>
          <w:tab w:val="num" w:pos="1448"/>
          <w:tab w:val="left" w:pos="1701"/>
        </w:tabs>
        <w:spacing w:before="120" w:after="120"/>
        <w:ind w:left="1448" w:hanging="738"/>
        <w:rPr>
          <w:rFonts w:cs="Arial"/>
          <w:sz w:val="20"/>
          <w:szCs w:val="20"/>
        </w:rPr>
      </w:pPr>
      <w:r w:rsidRPr="008A60DC">
        <w:rPr>
          <w:rFonts w:cs="Arial"/>
          <w:sz w:val="20"/>
          <w:szCs w:val="20"/>
        </w:rPr>
        <w:t>Each My Plan Business has unlimited minutes to use on standard national calls to landlines and mobiles, 13/1300 numbers and voicemail retrievals and an amount of Included Data (for mobile internet use) to share with other services on a My Plan Plus, My Plan Plus SIM Only, My Plan Business (including Tech Fund), My Plan Business SIM, My Mobile Broadband Plus, Mobile Broadband Business or Shared Data Plan on the same account.</w:t>
      </w:r>
    </w:p>
    <w:p w14:paraId="226748FB" w14:textId="77777777" w:rsidR="00AB1B6A" w:rsidRPr="008A60DC" w:rsidRDefault="00AB1B6A" w:rsidP="00972274">
      <w:pPr>
        <w:numPr>
          <w:ilvl w:val="2"/>
          <w:numId w:val="27"/>
        </w:numPr>
        <w:tabs>
          <w:tab w:val="clear" w:pos="2127"/>
          <w:tab w:val="num" w:pos="1448"/>
          <w:tab w:val="left" w:pos="1701"/>
        </w:tabs>
        <w:spacing w:before="120" w:after="120"/>
        <w:ind w:left="1448" w:hanging="738"/>
        <w:rPr>
          <w:rFonts w:cs="Arial"/>
          <w:sz w:val="20"/>
          <w:szCs w:val="20"/>
        </w:rPr>
      </w:pPr>
      <w:r w:rsidRPr="008A60DC">
        <w:rPr>
          <w:rFonts w:cs="Arial"/>
          <w:sz w:val="20"/>
          <w:szCs w:val="20"/>
        </w:rPr>
        <w:t xml:space="preserve">These plans also include unlimited standard national SMS/MMS and unlimited standard International SMS/MMS to selected countries. These plans also have an amount of included international minutes to use on standard international calls to selected countries. </w:t>
      </w:r>
    </w:p>
    <w:p w14:paraId="6F67779C" w14:textId="77777777" w:rsidR="00AB1B6A" w:rsidRPr="008A60DC" w:rsidRDefault="00AB1B6A" w:rsidP="00972274">
      <w:pPr>
        <w:numPr>
          <w:ilvl w:val="2"/>
          <w:numId w:val="27"/>
        </w:numPr>
        <w:tabs>
          <w:tab w:val="clear" w:pos="2127"/>
          <w:tab w:val="num" w:pos="1448"/>
          <w:tab w:val="left" w:pos="1701"/>
        </w:tabs>
        <w:spacing w:before="120" w:after="120"/>
        <w:ind w:left="1448" w:hanging="738"/>
        <w:rPr>
          <w:rFonts w:cs="Arial"/>
          <w:sz w:val="20"/>
          <w:szCs w:val="20"/>
        </w:rPr>
      </w:pPr>
      <w:r w:rsidRPr="008A60DC">
        <w:rPr>
          <w:rFonts w:cs="Arial"/>
          <w:sz w:val="20"/>
          <w:szCs w:val="20"/>
        </w:rPr>
        <w:t>Data usage is calculated in one kilobyte increments. International minutes are billed in one minute increments.</w:t>
      </w:r>
    </w:p>
    <w:p w14:paraId="6F647EE0" w14:textId="77777777" w:rsidR="00AB1B6A" w:rsidRPr="008A60DC" w:rsidRDefault="00AB1B6A" w:rsidP="00972274">
      <w:pPr>
        <w:numPr>
          <w:ilvl w:val="2"/>
          <w:numId w:val="27"/>
        </w:numPr>
        <w:tabs>
          <w:tab w:val="clear" w:pos="2127"/>
          <w:tab w:val="num" w:pos="1448"/>
          <w:tab w:val="left" w:pos="1701"/>
        </w:tabs>
        <w:spacing w:before="120" w:after="120"/>
        <w:ind w:left="1448" w:hanging="738"/>
        <w:rPr>
          <w:rFonts w:cs="Arial"/>
          <w:sz w:val="20"/>
          <w:szCs w:val="20"/>
        </w:rPr>
      </w:pPr>
      <w:r w:rsidRPr="008A60DC">
        <w:rPr>
          <w:rFonts w:cs="Arial"/>
          <w:sz w:val="20"/>
          <w:szCs w:val="20"/>
        </w:rPr>
        <w:t xml:space="preserve">If </w:t>
      </w:r>
      <w:r w:rsidRPr="008A60DC">
        <w:rPr>
          <w:rFonts w:cs="Arial"/>
          <w:i/>
          <w:sz w:val="20"/>
          <w:szCs w:val="20"/>
        </w:rPr>
        <w:t xml:space="preserve">you </w:t>
      </w:r>
      <w:r w:rsidRPr="008A60DC">
        <w:rPr>
          <w:rFonts w:cs="Arial"/>
          <w:sz w:val="20"/>
          <w:szCs w:val="20"/>
        </w:rPr>
        <w:t>exceed your included shareable data you’ll automatically be charged $10 for each additional 1GB of data (“</w:t>
      </w:r>
      <w:r w:rsidRPr="008A60DC">
        <w:rPr>
          <w:rFonts w:cs="Arial"/>
          <w:b/>
          <w:sz w:val="20"/>
          <w:szCs w:val="20"/>
        </w:rPr>
        <w:t>Additional Data</w:t>
      </w:r>
      <w:r w:rsidRPr="008A60DC">
        <w:rPr>
          <w:rFonts w:cs="Arial"/>
          <w:sz w:val="20"/>
          <w:szCs w:val="20"/>
        </w:rPr>
        <w:t>”) up to 150GB of extra data per account each month. Your service/s may then be restricted or we may continue to charge you at these rates.</w:t>
      </w:r>
    </w:p>
    <w:p w14:paraId="7D644418" w14:textId="77777777" w:rsidR="00AB1B6A" w:rsidRPr="008A60DC" w:rsidRDefault="00AB1B6A" w:rsidP="00972274">
      <w:pPr>
        <w:numPr>
          <w:ilvl w:val="2"/>
          <w:numId w:val="27"/>
        </w:numPr>
        <w:tabs>
          <w:tab w:val="clear" w:pos="2127"/>
          <w:tab w:val="num" w:pos="1448"/>
          <w:tab w:val="left" w:pos="1701"/>
        </w:tabs>
        <w:spacing w:before="120" w:after="120"/>
        <w:ind w:left="1448" w:hanging="738"/>
        <w:rPr>
          <w:rFonts w:cs="Arial"/>
          <w:sz w:val="20"/>
          <w:szCs w:val="20"/>
        </w:rPr>
      </w:pPr>
      <w:r w:rsidRPr="008A60DC">
        <w:rPr>
          <w:rFonts w:cs="Arial"/>
          <w:sz w:val="20"/>
          <w:szCs w:val="20"/>
        </w:rPr>
        <w:t xml:space="preserve">Any unused portion of </w:t>
      </w:r>
      <w:r w:rsidRPr="008A60DC">
        <w:rPr>
          <w:rFonts w:cs="Arial"/>
          <w:i/>
          <w:sz w:val="20"/>
          <w:szCs w:val="20"/>
        </w:rPr>
        <w:t>your</w:t>
      </w:r>
      <w:r w:rsidRPr="008A60DC">
        <w:rPr>
          <w:rFonts w:cs="Arial"/>
          <w:sz w:val="20"/>
          <w:szCs w:val="20"/>
        </w:rPr>
        <w:t xml:space="preserve"> </w:t>
      </w:r>
      <w:r w:rsidRPr="008A60DC">
        <w:rPr>
          <w:rFonts w:cs="Arial"/>
          <w:i/>
          <w:sz w:val="20"/>
          <w:szCs w:val="20"/>
        </w:rPr>
        <w:t>plan’s</w:t>
      </w:r>
      <w:r w:rsidRPr="008A60DC">
        <w:rPr>
          <w:rFonts w:cs="Arial"/>
          <w:sz w:val="20"/>
          <w:szCs w:val="20"/>
        </w:rPr>
        <w:t xml:space="preserve"> Included or Additional Data or International Minutes expires at the end of each month and does not roll over into the next month. </w:t>
      </w:r>
    </w:p>
    <w:p w14:paraId="0A953C24" w14:textId="77777777" w:rsidR="00AB1B6A" w:rsidRPr="008A60DC" w:rsidRDefault="00AB1B6A" w:rsidP="00972274">
      <w:pPr>
        <w:numPr>
          <w:ilvl w:val="2"/>
          <w:numId w:val="27"/>
        </w:numPr>
        <w:tabs>
          <w:tab w:val="clear" w:pos="2127"/>
          <w:tab w:val="num" w:pos="1448"/>
          <w:tab w:val="left" w:pos="1701"/>
        </w:tabs>
        <w:spacing w:before="120" w:after="120"/>
        <w:ind w:left="1448" w:hanging="738"/>
        <w:rPr>
          <w:rFonts w:cs="Arial"/>
          <w:b/>
          <w:sz w:val="20"/>
          <w:szCs w:val="20"/>
        </w:rPr>
      </w:pPr>
      <w:r w:rsidRPr="008A60DC">
        <w:rPr>
          <w:rFonts w:cs="Arial"/>
          <w:i/>
          <w:sz w:val="20"/>
          <w:szCs w:val="20"/>
        </w:rPr>
        <w:t>You</w:t>
      </w:r>
      <w:r w:rsidRPr="008A60DC">
        <w:rPr>
          <w:rFonts w:cs="Arial"/>
          <w:sz w:val="20"/>
          <w:szCs w:val="20"/>
        </w:rPr>
        <w:t xml:space="preserve"> must pay </w:t>
      </w:r>
      <w:r w:rsidRPr="008A60DC">
        <w:rPr>
          <w:rFonts w:cs="Arial"/>
          <w:i/>
          <w:sz w:val="20"/>
          <w:szCs w:val="20"/>
        </w:rPr>
        <w:t>us</w:t>
      </w:r>
      <w:r w:rsidRPr="008A60DC">
        <w:rPr>
          <w:rFonts w:cs="Arial"/>
          <w:sz w:val="20"/>
          <w:szCs w:val="20"/>
        </w:rPr>
        <w:t xml:space="preserve"> for use of any services that are not included in </w:t>
      </w:r>
      <w:r w:rsidRPr="008A60DC">
        <w:rPr>
          <w:rFonts w:cs="Arial"/>
          <w:i/>
          <w:sz w:val="20"/>
          <w:szCs w:val="20"/>
        </w:rPr>
        <w:t>your</w:t>
      </w:r>
      <w:r w:rsidRPr="008A60DC">
        <w:rPr>
          <w:rFonts w:cs="Arial"/>
          <w:sz w:val="20"/>
          <w:szCs w:val="20"/>
        </w:rPr>
        <w:t xml:space="preserve"> plan’s inclusions, examples of which are set out in Table 2 below.</w:t>
      </w:r>
    </w:p>
    <w:p w14:paraId="1A30E874" w14:textId="77777777" w:rsidR="00AB1B6A" w:rsidRPr="00824317" w:rsidRDefault="00AB1B6A" w:rsidP="00972274">
      <w:pPr>
        <w:pStyle w:val="OptusH2"/>
        <w:numPr>
          <w:ilvl w:val="1"/>
          <w:numId w:val="27"/>
        </w:numPr>
        <w:tabs>
          <w:tab w:val="num" w:pos="680"/>
          <w:tab w:val="left" w:pos="851"/>
        </w:tabs>
        <w:ind w:left="680" w:hanging="680"/>
        <w:rPr>
          <w:rFonts w:ascii="Arial" w:hAnsi="Arial" w:cs="Arial"/>
          <w:b w:val="0"/>
          <w:snapToGrid w:val="0"/>
          <w:sz w:val="20"/>
        </w:rPr>
      </w:pPr>
      <w:bookmarkStart w:id="1353" w:name="_Toc460247027"/>
      <w:r w:rsidRPr="00824317">
        <w:rPr>
          <w:rFonts w:ascii="Arial" w:hAnsi="Arial" w:cs="Arial"/>
          <w:b w:val="0"/>
          <w:snapToGrid w:val="0"/>
          <w:sz w:val="20"/>
        </w:rPr>
        <w:t>Plan Changes</w:t>
      </w:r>
      <w:bookmarkEnd w:id="1353"/>
    </w:p>
    <w:p w14:paraId="61526688" w14:textId="77777777" w:rsidR="00AB1B6A" w:rsidRPr="008A60DC" w:rsidRDefault="00AB1B6A" w:rsidP="00AB1B6A">
      <w:pPr>
        <w:ind w:left="709"/>
        <w:rPr>
          <w:rFonts w:cs="Arial"/>
          <w:sz w:val="20"/>
          <w:szCs w:val="20"/>
        </w:rPr>
      </w:pPr>
      <w:r w:rsidRPr="008A60DC">
        <w:rPr>
          <w:rFonts w:cs="Arial"/>
          <w:sz w:val="20"/>
          <w:szCs w:val="20"/>
        </w:rPr>
        <w:t xml:space="preserve">You can change your plan during the minimum tern term provided you move to a plan with a higher monthly access fee. You cannot change your plan during the minimum term to a plan with the same or </w:t>
      </w:r>
      <w:r w:rsidRPr="008A60DC">
        <w:rPr>
          <w:rFonts w:cs="Arial"/>
          <w:sz w:val="20"/>
          <w:szCs w:val="20"/>
        </w:rPr>
        <w:lastRenderedPageBreak/>
        <w:t>lower monthly access fee. If you change your plan during the minimum term a fee may apply and any handset repayments will remain the same.</w:t>
      </w:r>
    </w:p>
    <w:p w14:paraId="313458AF" w14:textId="77777777" w:rsidR="00AB1B6A" w:rsidRPr="008A60DC" w:rsidRDefault="00AB1B6A" w:rsidP="00AB1B6A">
      <w:pPr>
        <w:ind w:left="709"/>
        <w:rPr>
          <w:rFonts w:cs="Arial"/>
          <w:sz w:val="20"/>
          <w:szCs w:val="20"/>
        </w:rPr>
      </w:pPr>
    </w:p>
    <w:p w14:paraId="403AECEB" w14:textId="77777777" w:rsidR="00AB1B6A" w:rsidRPr="00824317" w:rsidRDefault="00AB1B6A" w:rsidP="00972274">
      <w:pPr>
        <w:pStyle w:val="OptusH2"/>
        <w:numPr>
          <w:ilvl w:val="1"/>
          <w:numId w:val="27"/>
        </w:numPr>
        <w:tabs>
          <w:tab w:val="num" w:pos="680"/>
          <w:tab w:val="left" w:pos="851"/>
        </w:tabs>
        <w:spacing w:before="0"/>
        <w:ind w:left="680" w:hanging="680"/>
        <w:rPr>
          <w:rFonts w:ascii="Arial" w:hAnsi="Arial" w:cs="Arial"/>
          <w:b w:val="0"/>
          <w:snapToGrid w:val="0"/>
          <w:sz w:val="20"/>
        </w:rPr>
      </w:pPr>
      <w:bookmarkStart w:id="1354" w:name="_Toc460247028"/>
      <w:r w:rsidRPr="00824317">
        <w:rPr>
          <w:rFonts w:ascii="Arial" w:hAnsi="Arial" w:cs="Arial"/>
          <w:b w:val="0"/>
          <w:snapToGrid w:val="0"/>
          <w:sz w:val="20"/>
        </w:rPr>
        <w:t>New Phone Trade Up</w:t>
      </w:r>
      <w:bookmarkEnd w:id="1354"/>
    </w:p>
    <w:p w14:paraId="2F9FC7D1" w14:textId="77777777" w:rsidR="00AB1B6A" w:rsidRPr="008A60DC" w:rsidRDefault="00AB1B6A" w:rsidP="00AB1B6A">
      <w:pPr>
        <w:ind w:left="709"/>
        <w:rPr>
          <w:rFonts w:cs="Arial"/>
          <w:sz w:val="20"/>
          <w:szCs w:val="20"/>
        </w:rPr>
      </w:pPr>
      <w:r w:rsidRPr="008A60DC">
        <w:rPr>
          <w:rFonts w:cs="Arial"/>
          <w:sz w:val="20"/>
          <w:szCs w:val="20"/>
        </w:rPr>
        <w:t>The plans referred to in this section include the option of New Phone Trade Up, which can be exercised in two ways:</w:t>
      </w:r>
    </w:p>
    <w:p w14:paraId="1FC16B9A" w14:textId="77777777" w:rsidR="00AB1B6A" w:rsidRPr="008A60DC" w:rsidRDefault="00AB1B6A" w:rsidP="00972274">
      <w:pPr>
        <w:numPr>
          <w:ilvl w:val="2"/>
          <w:numId w:val="67"/>
        </w:numPr>
        <w:tabs>
          <w:tab w:val="clear" w:pos="1843"/>
          <w:tab w:val="num" w:pos="1418"/>
        </w:tabs>
        <w:spacing w:before="120" w:after="120"/>
        <w:ind w:left="1418" w:hanging="709"/>
        <w:rPr>
          <w:rFonts w:cs="Arial"/>
          <w:sz w:val="20"/>
          <w:szCs w:val="20"/>
        </w:rPr>
      </w:pPr>
      <w:r w:rsidRPr="008A60DC">
        <w:rPr>
          <w:rFonts w:cs="Arial"/>
          <w:sz w:val="20"/>
          <w:szCs w:val="20"/>
        </w:rPr>
        <w:t>New Phone Trade Up for $99</w:t>
      </w:r>
    </w:p>
    <w:p w14:paraId="5A49C225" w14:textId="77777777" w:rsidR="00AB1B6A" w:rsidRPr="008A60DC" w:rsidRDefault="00AB1B6A" w:rsidP="00972274">
      <w:pPr>
        <w:numPr>
          <w:ilvl w:val="0"/>
          <w:numId w:val="69"/>
        </w:numPr>
        <w:spacing w:before="120" w:after="120"/>
        <w:ind w:left="2127" w:hanging="709"/>
        <w:rPr>
          <w:rFonts w:cs="Arial"/>
          <w:sz w:val="20"/>
          <w:szCs w:val="20"/>
        </w:rPr>
      </w:pPr>
      <w:r w:rsidRPr="008A60DC">
        <w:rPr>
          <w:rFonts w:cs="Arial"/>
          <w:sz w:val="20"/>
          <w:szCs w:val="20"/>
        </w:rPr>
        <w:t>After 12 months on one of these plans, you can pay a one-off fee of $99, return your original mobile phone to an Optus store in good working order, purchase a new mobile phone on a new 24 month plan and sign documentation that will enable ownership of your original mobile phone to be transferred to a second hand dealer nominated by Optus.</w:t>
      </w:r>
    </w:p>
    <w:p w14:paraId="5AA9DF0E" w14:textId="77777777" w:rsidR="00AB1B6A" w:rsidRPr="008A60DC" w:rsidRDefault="00AB1B6A" w:rsidP="00972274">
      <w:pPr>
        <w:numPr>
          <w:ilvl w:val="0"/>
          <w:numId w:val="69"/>
        </w:numPr>
        <w:spacing w:before="120" w:after="120"/>
        <w:ind w:left="2127" w:hanging="709"/>
        <w:rPr>
          <w:rFonts w:cs="Arial"/>
          <w:sz w:val="20"/>
          <w:szCs w:val="20"/>
        </w:rPr>
      </w:pPr>
      <w:r w:rsidRPr="008A60DC">
        <w:rPr>
          <w:rFonts w:cs="Arial"/>
          <w:sz w:val="20"/>
          <w:szCs w:val="20"/>
        </w:rPr>
        <w:t>A mobile phone is considered to be in good working order when:</w:t>
      </w:r>
    </w:p>
    <w:p w14:paraId="41DEFF37" w14:textId="77777777" w:rsidR="00AB1B6A" w:rsidRPr="008A60DC" w:rsidRDefault="00AB1B6A" w:rsidP="00972274">
      <w:pPr>
        <w:numPr>
          <w:ilvl w:val="1"/>
          <w:numId w:val="69"/>
        </w:numPr>
        <w:spacing w:before="120" w:after="120"/>
        <w:ind w:left="2880" w:hanging="753"/>
        <w:rPr>
          <w:rFonts w:cs="Arial"/>
          <w:sz w:val="20"/>
          <w:szCs w:val="20"/>
        </w:rPr>
      </w:pPr>
      <w:r w:rsidRPr="008A60DC">
        <w:rPr>
          <w:rFonts w:cs="Arial"/>
          <w:sz w:val="20"/>
          <w:szCs w:val="20"/>
        </w:rPr>
        <w:t xml:space="preserve">it can power on and off; </w:t>
      </w:r>
    </w:p>
    <w:p w14:paraId="22F1C6BC" w14:textId="77777777" w:rsidR="00AB1B6A" w:rsidRPr="008A60DC" w:rsidRDefault="00AB1B6A" w:rsidP="00972274">
      <w:pPr>
        <w:numPr>
          <w:ilvl w:val="1"/>
          <w:numId w:val="69"/>
        </w:numPr>
        <w:spacing w:before="120" w:after="120"/>
        <w:ind w:left="2880" w:hanging="753"/>
        <w:rPr>
          <w:rFonts w:cs="Arial"/>
          <w:sz w:val="20"/>
          <w:szCs w:val="20"/>
        </w:rPr>
      </w:pPr>
      <w:r w:rsidRPr="008A60DC">
        <w:rPr>
          <w:rFonts w:cs="Arial"/>
          <w:sz w:val="20"/>
          <w:szCs w:val="20"/>
        </w:rPr>
        <w:t xml:space="preserve">it has a touchscreen that is fully functional, </w:t>
      </w:r>
    </w:p>
    <w:p w14:paraId="3061E766" w14:textId="77777777" w:rsidR="00AB1B6A" w:rsidRPr="008A60DC" w:rsidRDefault="00AB1B6A" w:rsidP="00972274">
      <w:pPr>
        <w:numPr>
          <w:ilvl w:val="1"/>
          <w:numId w:val="69"/>
        </w:numPr>
        <w:spacing w:before="120" w:after="120"/>
        <w:ind w:left="2880" w:hanging="753"/>
        <w:rPr>
          <w:rFonts w:cs="Arial"/>
          <w:sz w:val="20"/>
          <w:szCs w:val="20"/>
        </w:rPr>
      </w:pPr>
      <w:r w:rsidRPr="008A60DC">
        <w:rPr>
          <w:rFonts w:cs="Arial"/>
          <w:sz w:val="20"/>
          <w:szCs w:val="20"/>
        </w:rPr>
        <w:t xml:space="preserve">it does not have any missing buttons or damage to other components such as charging ports, SIM tray; </w:t>
      </w:r>
    </w:p>
    <w:p w14:paraId="36F70A5F" w14:textId="77777777" w:rsidR="00AB1B6A" w:rsidRPr="008A60DC" w:rsidRDefault="00AB1B6A" w:rsidP="00972274">
      <w:pPr>
        <w:numPr>
          <w:ilvl w:val="1"/>
          <w:numId w:val="69"/>
        </w:numPr>
        <w:spacing w:before="120" w:after="120"/>
        <w:ind w:left="2880" w:hanging="753"/>
        <w:rPr>
          <w:rFonts w:cs="Arial"/>
          <w:sz w:val="20"/>
          <w:szCs w:val="20"/>
        </w:rPr>
      </w:pPr>
      <w:r w:rsidRPr="008A60DC">
        <w:rPr>
          <w:rFonts w:cs="Arial"/>
          <w:sz w:val="20"/>
          <w:szCs w:val="20"/>
        </w:rPr>
        <w:t xml:space="preserve">the mobile phone, including the touchscreen, is not cracked and does not have any severe scratches (normal wear and tear such as light marks and scratches are okay); and </w:t>
      </w:r>
    </w:p>
    <w:p w14:paraId="3E55C1F1" w14:textId="77777777" w:rsidR="00AB1B6A" w:rsidRPr="008A60DC" w:rsidRDefault="00AB1B6A" w:rsidP="00972274">
      <w:pPr>
        <w:numPr>
          <w:ilvl w:val="1"/>
          <w:numId w:val="69"/>
        </w:numPr>
        <w:spacing w:before="120" w:after="120"/>
        <w:ind w:left="2880" w:hanging="753"/>
        <w:rPr>
          <w:rFonts w:cs="Arial"/>
          <w:sz w:val="20"/>
          <w:szCs w:val="20"/>
        </w:rPr>
      </w:pPr>
      <w:r w:rsidRPr="008A60DC">
        <w:rPr>
          <w:rFonts w:cs="Arial"/>
          <w:sz w:val="20"/>
          <w:szCs w:val="20"/>
        </w:rPr>
        <w:t xml:space="preserve">any locking features are disabled.  </w:t>
      </w:r>
    </w:p>
    <w:p w14:paraId="7AFE15CF" w14:textId="77777777" w:rsidR="00AB1B6A" w:rsidRPr="008A60DC" w:rsidRDefault="00AB1B6A" w:rsidP="00972274">
      <w:pPr>
        <w:numPr>
          <w:ilvl w:val="0"/>
          <w:numId w:val="69"/>
        </w:numPr>
        <w:spacing w:before="120" w:after="120"/>
        <w:ind w:left="2127" w:hanging="709"/>
        <w:rPr>
          <w:rFonts w:cs="Arial"/>
          <w:sz w:val="20"/>
          <w:szCs w:val="20"/>
        </w:rPr>
      </w:pPr>
      <w:r w:rsidRPr="008A60DC">
        <w:rPr>
          <w:rFonts w:cs="Arial"/>
          <w:sz w:val="20"/>
          <w:szCs w:val="20"/>
        </w:rPr>
        <w:t xml:space="preserve">The mobile phone you return in accordance with section 3.6(a) must be the mobile phone you purchased when you took up one of the plans referred to in this section. </w:t>
      </w:r>
    </w:p>
    <w:p w14:paraId="0097AF8C" w14:textId="77777777" w:rsidR="00AB1B6A" w:rsidRPr="008A60DC" w:rsidRDefault="00AB1B6A" w:rsidP="00972274">
      <w:pPr>
        <w:numPr>
          <w:ilvl w:val="0"/>
          <w:numId w:val="69"/>
        </w:numPr>
        <w:spacing w:before="120" w:after="120"/>
        <w:ind w:left="2127" w:hanging="709"/>
        <w:rPr>
          <w:rFonts w:cs="Arial"/>
          <w:sz w:val="20"/>
          <w:szCs w:val="20"/>
        </w:rPr>
      </w:pPr>
      <w:r w:rsidRPr="008A60DC">
        <w:rPr>
          <w:rFonts w:cs="Arial"/>
          <w:sz w:val="20"/>
          <w:szCs w:val="20"/>
        </w:rPr>
        <w:t xml:space="preserve">When you seek to exercise this option and meet the relevant conditions, Optus agrees to waive any remaining mobile phone repayment charges on the mobile phone you are returning. </w:t>
      </w:r>
    </w:p>
    <w:p w14:paraId="56363F63" w14:textId="77777777" w:rsidR="00AB1B6A" w:rsidRPr="008A60DC" w:rsidRDefault="00AB1B6A" w:rsidP="00972274">
      <w:pPr>
        <w:numPr>
          <w:ilvl w:val="0"/>
          <w:numId w:val="69"/>
        </w:numPr>
        <w:spacing w:before="120" w:after="120"/>
        <w:ind w:left="2127" w:hanging="709"/>
        <w:rPr>
          <w:rFonts w:cs="Arial"/>
          <w:sz w:val="20"/>
          <w:szCs w:val="20"/>
        </w:rPr>
      </w:pPr>
      <w:r w:rsidRPr="008A60DC">
        <w:rPr>
          <w:rFonts w:cs="Arial"/>
          <w:sz w:val="20"/>
          <w:szCs w:val="20"/>
        </w:rPr>
        <w:t xml:space="preserve">By exercising this option, you acknowledge that the second hand device vendor will pay Optus a fee on your behalf for the mobile phone you return in part consideration of Optus waiving your remaining mobile phone repayments on the phone you are returning.  </w:t>
      </w:r>
    </w:p>
    <w:p w14:paraId="7A2A9546" w14:textId="77777777" w:rsidR="00AB1B6A" w:rsidRPr="008A60DC" w:rsidRDefault="00AB1B6A" w:rsidP="00972274">
      <w:pPr>
        <w:numPr>
          <w:ilvl w:val="2"/>
          <w:numId w:val="63"/>
        </w:numPr>
        <w:tabs>
          <w:tab w:val="clear" w:pos="1843"/>
          <w:tab w:val="num" w:pos="850"/>
          <w:tab w:val="num" w:pos="1418"/>
        </w:tabs>
        <w:spacing w:before="120" w:after="120"/>
        <w:ind w:left="850" w:hanging="141"/>
        <w:rPr>
          <w:rFonts w:cs="Arial"/>
          <w:sz w:val="20"/>
          <w:szCs w:val="20"/>
        </w:rPr>
      </w:pPr>
      <w:r w:rsidRPr="008A60DC">
        <w:rPr>
          <w:rFonts w:cs="Arial"/>
          <w:sz w:val="20"/>
          <w:szCs w:val="20"/>
        </w:rPr>
        <w:t>Keep existing mobile phone</w:t>
      </w:r>
    </w:p>
    <w:p w14:paraId="4EADA1B4" w14:textId="77777777" w:rsidR="00AB1B6A" w:rsidRPr="00824317" w:rsidRDefault="00AB1B6A" w:rsidP="00972274">
      <w:pPr>
        <w:numPr>
          <w:ilvl w:val="0"/>
          <w:numId w:val="72"/>
        </w:numPr>
        <w:spacing w:before="120" w:after="120"/>
        <w:ind w:left="2127" w:hanging="709"/>
        <w:rPr>
          <w:rFonts w:cs="Arial"/>
          <w:b/>
          <w:snapToGrid w:val="0"/>
          <w:sz w:val="20"/>
          <w:szCs w:val="20"/>
        </w:rPr>
      </w:pPr>
      <w:r w:rsidRPr="008A60DC">
        <w:rPr>
          <w:rFonts w:cs="Arial"/>
          <w:sz w:val="20"/>
          <w:szCs w:val="20"/>
        </w:rPr>
        <w:t>Alternatively and instead of paying $99, if you wish to keep your original mobile handset, you can simply pay out the full remaining cost of your mobile handset, including any monthly handset credit that Optus was going to cover and purchase a new mobile phone on a new 24 month plan.</w:t>
      </w:r>
    </w:p>
    <w:p w14:paraId="76215938" w14:textId="77777777" w:rsidR="00AB1B6A" w:rsidRPr="00824317" w:rsidRDefault="00AB1B6A" w:rsidP="00972274">
      <w:pPr>
        <w:pStyle w:val="OptusH2"/>
        <w:numPr>
          <w:ilvl w:val="1"/>
          <w:numId w:val="27"/>
        </w:numPr>
        <w:tabs>
          <w:tab w:val="num" w:pos="680"/>
          <w:tab w:val="left" w:pos="851"/>
        </w:tabs>
        <w:ind w:left="680" w:hanging="680"/>
        <w:rPr>
          <w:rFonts w:ascii="Arial" w:hAnsi="Arial" w:cs="Arial"/>
          <w:b w:val="0"/>
          <w:snapToGrid w:val="0"/>
          <w:sz w:val="20"/>
        </w:rPr>
      </w:pPr>
      <w:bookmarkStart w:id="1355" w:name="_Toc460247029"/>
      <w:r w:rsidRPr="00824317">
        <w:rPr>
          <w:rFonts w:ascii="Arial" w:hAnsi="Arial" w:cs="Arial"/>
          <w:b w:val="0"/>
          <w:snapToGrid w:val="0"/>
          <w:sz w:val="20"/>
        </w:rPr>
        <w:t>Data Sharing</w:t>
      </w:r>
      <w:bookmarkEnd w:id="1355"/>
    </w:p>
    <w:p w14:paraId="7868A995" w14:textId="77777777" w:rsidR="00AB1B6A" w:rsidRPr="008A60DC" w:rsidRDefault="00AB1B6A" w:rsidP="00972274">
      <w:pPr>
        <w:numPr>
          <w:ilvl w:val="2"/>
          <w:numId w:val="27"/>
        </w:numPr>
        <w:tabs>
          <w:tab w:val="clear" w:pos="2127"/>
          <w:tab w:val="num" w:pos="1448"/>
          <w:tab w:val="left" w:pos="1701"/>
        </w:tabs>
        <w:spacing w:before="120" w:after="120"/>
        <w:ind w:left="1448" w:hanging="738"/>
        <w:rPr>
          <w:rFonts w:cs="Arial"/>
          <w:snapToGrid w:val="0"/>
          <w:sz w:val="20"/>
          <w:szCs w:val="20"/>
        </w:rPr>
      </w:pPr>
      <w:r w:rsidRPr="008A60DC">
        <w:rPr>
          <w:rFonts w:cs="Arial"/>
          <w:snapToGrid w:val="0"/>
          <w:sz w:val="20"/>
          <w:szCs w:val="20"/>
        </w:rPr>
        <w:t xml:space="preserve">If </w:t>
      </w:r>
      <w:r w:rsidRPr="008A60DC">
        <w:rPr>
          <w:rFonts w:cs="Arial"/>
          <w:i/>
          <w:snapToGrid w:val="0"/>
          <w:sz w:val="20"/>
          <w:szCs w:val="20"/>
        </w:rPr>
        <w:t xml:space="preserve">you </w:t>
      </w:r>
      <w:r w:rsidRPr="008A60DC">
        <w:rPr>
          <w:rFonts w:cs="Arial"/>
          <w:sz w:val="20"/>
          <w:szCs w:val="20"/>
        </w:rPr>
        <w:t>have more than one My Plan Plus, My Plan Plus SIM Only, My Plan Business (including Tech Fund), My Plan Business SIM, My Mobile Broadband Plus or Mobile Broadband Business on the same billing account, the included data will combine into one data pool, which will be shared by all eligible services on that account.</w:t>
      </w:r>
    </w:p>
    <w:p w14:paraId="623EBD3A" w14:textId="77777777" w:rsidR="00AB1B6A" w:rsidRPr="008A60DC" w:rsidRDefault="00AB1B6A" w:rsidP="00972274">
      <w:pPr>
        <w:numPr>
          <w:ilvl w:val="2"/>
          <w:numId w:val="27"/>
        </w:numPr>
        <w:tabs>
          <w:tab w:val="clear" w:pos="2127"/>
          <w:tab w:val="num" w:pos="1448"/>
          <w:tab w:val="left" w:pos="1701"/>
        </w:tabs>
        <w:spacing w:before="120" w:after="120"/>
        <w:ind w:left="1448" w:hanging="738"/>
        <w:rPr>
          <w:rFonts w:cs="Arial"/>
          <w:snapToGrid w:val="0"/>
          <w:sz w:val="20"/>
          <w:szCs w:val="20"/>
        </w:rPr>
      </w:pPr>
      <w:r w:rsidRPr="008A60DC">
        <w:rPr>
          <w:rFonts w:cs="Arial"/>
          <w:snapToGrid w:val="0"/>
          <w:sz w:val="20"/>
          <w:szCs w:val="20"/>
        </w:rPr>
        <w:t xml:space="preserve">If </w:t>
      </w:r>
      <w:r w:rsidRPr="008A60DC">
        <w:rPr>
          <w:rFonts w:cs="Arial"/>
          <w:i/>
          <w:snapToGrid w:val="0"/>
          <w:sz w:val="20"/>
          <w:szCs w:val="20"/>
        </w:rPr>
        <w:t>you</w:t>
      </w:r>
      <w:r w:rsidRPr="008A60DC">
        <w:rPr>
          <w:rFonts w:cs="Arial"/>
          <w:snapToGrid w:val="0"/>
          <w:sz w:val="20"/>
          <w:szCs w:val="20"/>
        </w:rPr>
        <w:t xml:space="preserve"> do not want </w:t>
      </w:r>
      <w:r w:rsidRPr="008A60DC">
        <w:rPr>
          <w:rFonts w:cs="Arial"/>
          <w:i/>
          <w:snapToGrid w:val="0"/>
          <w:sz w:val="20"/>
          <w:szCs w:val="20"/>
        </w:rPr>
        <w:t>your</w:t>
      </w:r>
      <w:r w:rsidRPr="008A60DC">
        <w:rPr>
          <w:rFonts w:cs="Arial"/>
          <w:snapToGrid w:val="0"/>
          <w:sz w:val="20"/>
          <w:szCs w:val="20"/>
        </w:rPr>
        <w:t xml:space="preserve"> services on any</w:t>
      </w:r>
      <w:r w:rsidRPr="008A60DC">
        <w:rPr>
          <w:rFonts w:cs="Arial"/>
          <w:sz w:val="20"/>
          <w:szCs w:val="20"/>
        </w:rPr>
        <w:t xml:space="preserve"> My Plan Plus, My Plan Plus SIM Only, My Plan Business (including Tech Fund), My Plan Business SIM, My Mobile Broadband Plus or Mobile Broadband Business plans</w:t>
      </w:r>
      <w:r w:rsidRPr="008A60DC">
        <w:rPr>
          <w:rFonts w:cs="Arial"/>
          <w:snapToGrid w:val="0"/>
          <w:sz w:val="20"/>
          <w:szCs w:val="20"/>
        </w:rPr>
        <w:t xml:space="preserve"> to share data, they need to be on separate billing accounts. .</w:t>
      </w:r>
    </w:p>
    <w:p w14:paraId="1BEE3CE7" w14:textId="77777777" w:rsidR="00AB1B6A" w:rsidRPr="008A60DC" w:rsidRDefault="00AB1B6A" w:rsidP="00972274">
      <w:pPr>
        <w:numPr>
          <w:ilvl w:val="2"/>
          <w:numId w:val="27"/>
        </w:numPr>
        <w:tabs>
          <w:tab w:val="clear" w:pos="2127"/>
          <w:tab w:val="num" w:pos="1448"/>
          <w:tab w:val="left" w:pos="1701"/>
        </w:tabs>
        <w:spacing w:before="120" w:after="120"/>
        <w:ind w:left="1448" w:hanging="738"/>
        <w:rPr>
          <w:rFonts w:cs="Arial"/>
          <w:snapToGrid w:val="0"/>
          <w:sz w:val="20"/>
          <w:szCs w:val="20"/>
        </w:rPr>
      </w:pPr>
      <w:r w:rsidRPr="008A60DC">
        <w:rPr>
          <w:rFonts w:cs="Arial"/>
          <w:snapToGrid w:val="0"/>
          <w:sz w:val="20"/>
          <w:szCs w:val="20"/>
        </w:rPr>
        <w:t>Data sharing is only available within Australia.</w:t>
      </w:r>
    </w:p>
    <w:p w14:paraId="1DA333CD" w14:textId="77777777" w:rsidR="00AB1B6A" w:rsidRPr="00824317" w:rsidRDefault="00AB1B6A" w:rsidP="00972274">
      <w:pPr>
        <w:pStyle w:val="OptusH2"/>
        <w:numPr>
          <w:ilvl w:val="1"/>
          <w:numId w:val="27"/>
        </w:numPr>
        <w:tabs>
          <w:tab w:val="num" w:pos="680"/>
          <w:tab w:val="left" w:pos="851"/>
        </w:tabs>
        <w:spacing w:before="240"/>
        <w:ind w:left="680" w:hanging="680"/>
        <w:rPr>
          <w:rFonts w:ascii="Arial" w:hAnsi="Arial" w:cs="Arial"/>
          <w:b w:val="0"/>
          <w:snapToGrid w:val="0"/>
          <w:sz w:val="20"/>
        </w:rPr>
      </w:pPr>
      <w:bookmarkStart w:id="1356" w:name="_Toc460247030"/>
      <w:r w:rsidRPr="00824317">
        <w:rPr>
          <w:rFonts w:ascii="Arial" w:hAnsi="Arial" w:cs="Arial"/>
          <w:b w:val="0"/>
          <w:snapToGrid w:val="0"/>
          <w:sz w:val="20"/>
        </w:rPr>
        <w:t>International Minutes</w:t>
      </w:r>
      <w:bookmarkEnd w:id="1356"/>
    </w:p>
    <w:p w14:paraId="1906F6B3" w14:textId="77777777" w:rsidR="00AB1B6A" w:rsidRPr="008A60DC" w:rsidRDefault="00AB1B6A" w:rsidP="00AB1B6A">
      <w:pPr>
        <w:ind w:left="709"/>
        <w:rPr>
          <w:rFonts w:cs="Arial"/>
          <w:sz w:val="20"/>
          <w:szCs w:val="20"/>
        </w:rPr>
      </w:pPr>
      <w:r w:rsidRPr="008A60DC">
        <w:rPr>
          <w:rFonts w:cs="Arial"/>
          <w:sz w:val="20"/>
          <w:szCs w:val="20"/>
        </w:rPr>
        <w:t>The $45/$70/$90/$105/$120 My Plan Business plans include, respectively, up to 50, up to 200 up to400, and unlimited international minutes for standard calls to mobiles and fixed lines in selected countries. For a list of select</w:t>
      </w:r>
      <w:r>
        <w:rPr>
          <w:rFonts w:cs="Arial"/>
          <w:sz w:val="20"/>
          <w:szCs w:val="20"/>
        </w:rPr>
        <w:t>ed countries see Table 3 below.</w:t>
      </w:r>
    </w:p>
    <w:p w14:paraId="3B32DF7C" w14:textId="77777777" w:rsidR="00AB1B6A" w:rsidRPr="000846C1" w:rsidRDefault="00AB1B6A" w:rsidP="00AB1B6A">
      <w:pPr>
        <w:ind w:left="709"/>
        <w:rPr>
          <w:rFonts w:cs="Arial"/>
          <w:sz w:val="20"/>
          <w:szCs w:val="20"/>
        </w:rPr>
      </w:pPr>
      <w:r w:rsidRPr="008A60DC">
        <w:rPr>
          <w:rFonts w:cs="Arial"/>
          <w:sz w:val="20"/>
          <w:szCs w:val="20"/>
        </w:rPr>
        <w:t>Calls are charged per minute. When included minutes for calls to selected countries are used up, standard ‘yes’ int</w:t>
      </w:r>
      <w:r>
        <w:rPr>
          <w:rFonts w:cs="Arial"/>
          <w:sz w:val="20"/>
          <w:szCs w:val="20"/>
        </w:rPr>
        <w:t xml:space="preserve">ernational call charges apply. </w:t>
      </w:r>
    </w:p>
    <w:p w14:paraId="29B46334" w14:textId="77777777" w:rsidR="00AB1B6A" w:rsidRPr="00824317" w:rsidRDefault="00AB1B6A" w:rsidP="00972274">
      <w:pPr>
        <w:pStyle w:val="OptusH2"/>
        <w:numPr>
          <w:ilvl w:val="1"/>
          <w:numId w:val="27"/>
        </w:numPr>
        <w:tabs>
          <w:tab w:val="num" w:pos="680"/>
          <w:tab w:val="left" w:pos="851"/>
        </w:tabs>
        <w:spacing w:before="240"/>
        <w:ind w:left="680" w:hanging="680"/>
        <w:rPr>
          <w:rFonts w:ascii="Arial" w:hAnsi="Arial" w:cs="Arial"/>
          <w:b w:val="0"/>
          <w:snapToGrid w:val="0"/>
          <w:sz w:val="20"/>
        </w:rPr>
      </w:pPr>
      <w:bookmarkStart w:id="1357" w:name="_Toc460247031"/>
      <w:r w:rsidRPr="00824317">
        <w:rPr>
          <w:rFonts w:ascii="Arial" w:hAnsi="Arial" w:cs="Arial"/>
          <w:b w:val="0"/>
          <w:snapToGrid w:val="0"/>
          <w:sz w:val="20"/>
        </w:rPr>
        <w:lastRenderedPageBreak/>
        <w:t>Unlimited standard national SMS and MMS</w:t>
      </w:r>
      <w:bookmarkEnd w:id="1357"/>
    </w:p>
    <w:p w14:paraId="084E7C7D" w14:textId="77777777" w:rsidR="00AB1B6A" w:rsidRPr="008A60DC" w:rsidRDefault="00AB1B6A" w:rsidP="00AB1B6A">
      <w:pPr>
        <w:ind w:left="709"/>
        <w:rPr>
          <w:rFonts w:cs="Arial"/>
          <w:sz w:val="20"/>
          <w:szCs w:val="20"/>
        </w:rPr>
      </w:pPr>
      <w:r w:rsidRPr="008A60DC">
        <w:rPr>
          <w:rFonts w:cs="Arial"/>
          <w:i/>
          <w:sz w:val="20"/>
          <w:szCs w:val="20"/>
        </w:rPr>
        <w:t>You</w:t>
      </w:r>
      <w:r w:rsidRPr="008A60DC">
        <w:rPr>
          <w:rFonts w:cs="Arial"/>
          <w:sz w:val="20"/>
          <w:szCs w:val="20"/>
        </w:rPr>
        <w:t xml:space="preserve"> may send unlimited standard SMS and MMS to Australian</w:t>
      </w:r>
      <w:r>
        <w:rPr>
          <w:rFonts w:cs="Arial"/>
          <w:sz w:val="20"/>
          <w:szCs w:val="20"/>
        </w:rPr>
        <w:t xml:space="preserve"> mobiles from within Australia.</w:t>
      </w:r>
    </w:p>
    <w:p w14:paraId="460A7C89" w14:textId="77777777" w:rsidR="00AB1B6A" w:rsidRPr="008A60DC" w:rsidRDefault="00AB1B6A" w:rsidP="00AB1B6A">
      <w:pPr>
        <w:ind w:left="709"/>
        <w:rPr>
          <w:rFonts w:cs="Arial"/>
          <w:i/>
          <w:sz w:val="20"/>
          <w:szCs w:val="20"/>
          <w:u w:val="single"/>
        </w:rPr>
      </w:pPr>
      <w:r w:rsidRPr="008A60DC">
        <w:rPr>
          <w:rFonts w:cs="Arial"/>
          <w:sz w:val="20"/>
          <w:szCs w:val="20"/>
        </w:rPr>
        <w:t xml:space="preserve">Unlimited standard national SMS and MMS are only available for personal and ordinary business use and are not to be used for a commercial or non-ordinary purpose as set out in the </w:t>
      </w:r>
      <w:hyperlink r:id="rId671" w:history="1">
        <w:r w:rsidRPr="008A60DC">
          <w:rPr>
            <w:rFonts w:cs="Arial"/>
            <w:i/>
            <w:sz w:val="20"/>
            <w:szCs w:val="20"/>
            <w:u w:val="single"/>
          </w:rPr>
          <w:t>Fair Go Policy</w:t>
        </w:r>
      </w:hyperlink>
      <w:r w:rsidRPr="008A60DC">
        <w:rPr>
          <w:rFonts w:cs="Arial"/>
          <w:sz w:val="20"/>
          <w:szCs w:val="20"/>
        </w:rPr>
        <w:t xml:space="preserve">. For further details refer to </w:t>
      </w:r>
      <w:hyperlink r:id="rId672" w:history="1">
        <w:r w:rsidRPr="008A60DC">
          <w:rPr>
            <w:rFonts w:cs="Arial"/>
            <w:i/>
            <w:color w:val="0000FF"/>
            <w:sz w:val="20"/>
            <w:szCs w:val="20"/>
            <w:u w:val="single"/>
          </w:rPr>
          <w:t>Appendix S.</w:t>
        </w:r>
      </w:hyperlink>
    </w:p>
    <w:p w14:paraId="1B58654B" w14:textId="77777777" w:rsidR="00AB1B6A" w:rsidRPr="00824317" w:rsidRDefault="00AB1B6A" w:rsidP="00972274">
      <w:pPr>
        <w:pStyle w:val="OptusH2"/>
        <w:numPr>
          <w:ilvl w:val="1"/>
          <w:numId w:val="27"/>
        </w:numPr>
        <w:tabs>
          <w:tab w:val="num" w:pos="680"/>
          <w:tab w:val="left" w:pos="851"/>
        </w:tabs>
        <w:spacing w:before="240"/>
        <w:ind w:left="680" w:hanging="680"/>
        <w:rPr>
          <w:rFonts w:ascii="Arial" w:hAnsi="Arial" w:cs="Arial"/>
          <w:b w:val="0"/>
          <w:snapToGrid w:val="0"/>
          <w:sz w:val="20"/>
        </w:rPr>
      </w:pPr>
      <w:bookmarkStart w:id="1358" w:name="_Toc460247032"/>
      <w:r w:rsidRPr="00824317">
        <w:rPr>
          <w:rFonts w:ascii="Arial" w:hAnsi="Arial" w:cs="Arial"/>
          <w:b w:val="0"/>
          <w:snapToGrid w:val="0"/>
          <w:sz w:val="20"/>
        </w:rPr>
        <w:t>Unlimited standard international SMS and MMS</w:t>
      </w:r>
      <w:bookmarkEnd w:id="1358"/>
    </w:p>
    <w:p w14:paraId="2932B9B3" w14:textId="77777777" w:rsidR="00AB1B6A" w:rsidRPr="008A60DC" w:rsidRDefault="00AB1B6A" w:rsidP="00AB1B6A">
      <w:pPr>
        <w:ind w:left="709"/>
        <w:rPr>
          <w:rFonts w:cs="Arial"/>
          <w:sz w:val="20"/>
          <w:szCs w:val="20"/>
        </w:rPr>
      </w:pPr>
      <w:r w:rsidRPr="008A60DC">
        <w:rPr>
          <w:rFonts w:cs="Arial"/>
          <w:i/>
          <w:sz w:val="20"/>
          <w:szCs w:val="20"/>
        </w:rPr>
        <w:t>You</w:t>
      </w:r>
      <w:r w:rsidRPr="008A60DC">
        <w:rPr>
          <w:rFonts w:cs="Arial"/>
          <w:sz w:val="20"/>
          <w:szCs w:val="20"/>
        </w:rPr>
        <w:t xml:space="preserve"> may send unlimited standard SMS and MMS to selected countri</w:t>
      </w:r>
      <w:r>
        <w:rPr>
          <w:rFonts w:cs="Arial"/>
          <w:sz w:val="20"/>
          <w:szCs w:val="20"/>
        </w:rPr>
        <w:t>es as set out in Table 3 below.</w:t>
      </w:r>
    </w:p>
    <w:p w14:paraId="1A0ADE7F" w14:textId="77777777" w:rsidR="00AB1B6A" w:rsidRPr="008A60DC" w:rsidRDefault="00AB1B6A" w:rsidP="00AB1B6A">
      <w:pPr>
        <w:ind w:left="709"/>
        <w:rPr>
          <w:rFonts w:cs="Arial"/>
          <w:i/>
          <w:sz w:val="20"/>
          <w:szCs w:val="20"/>
        </w:rPr>
      </w:pPr>
      <w:r w:rsidRPr="008A60DC">
        <w:rPr>
          <w:rFonts w:cs="Arial"/>
          <w:sz w:val="20"/>
          <w:szCs w:val="20"/>
        </w:rPr>
        <w:t xml:space="preserve">Unlimited standard SMS and MMS are only available for personal and ordinary business use and are not to be used for a commercial or non-ordinary purpose as set out in the Fair Go Policy. For further details refer to </w:t>
      </w:r>
      <w:hyperlink r:id="rId673" w:history="1">
        <w:r w:rsidRPr="008A60DC">
          <w:rPr>
            <w:rFonts w:cs="Arial"/>
            <w:i/>
            <w:color w:val="0000FF"/>
            <w:sz w:val="20"/>
            <w:szCs w:val="20"/>
            <w:u w:val="single"/>
          </w:rPr>
          <w:t>Appendix S.</w:t>
        </w:r>
      </w:hyperlink>
    </w:p>
    <w:p w14:paraId="2E067924" w14:textId="77777777" w:rsidR="00AB1B6A" w:rsidRPr="00824317" w:rsidRDefault="00AB1B6A" w:rsidP="00972274">
      <w:pPr>
        <w:pStyle w:val="OptusH2"/>
        <w:numPr>
          <w:ilvl w:val="1"/>
          <w:numId w:val="27"/>
        </w:numPr>
        <w:tabs>
          <w:tab w:val="num" w:pos="680"/>
          <w:tab w:val="left" w:pos="851"/>
        </w:tabs>
        <w:spacing w:before="240"/>
        <w:ind w:left="680" w:hanging="680"/>
        <w:rPr>
          <w:rFonts w:ascii="Arial" w:hAnsi="Arial" w:cs="Arial"/>
          <w:b w:val="0"/>
          <w:snapToGrid w:val="0"/>
          <w:sz w:val="20"/>
        </w:rPr>
      </w:pPr>
      <w:bookmarkStart w:id="1359" w:name="_Toc460247033"/>
      <w:r w:rsidRPr="00824317">
        <w:rPr>
          <w:rFonts w:ascii="Arial" w:hAnsi="Arial" w:cs="Arial"/>
          <w:b w:val="0"/>
          <w:snapToGrid w:val="0"/>
          <w:sz w:val="20"/>
        </w:rPr>
        <w:t>Optus Travel</w:t>
      </w:r>
      <w:r w:rsidRPr="00824317">
        <w:rPr>
          <w:rFonts w:ascii="Arial" w:hAnsi="Arial" w:cs="Arial"/>
          <w:b w:val="0"/>
          <w:snapToGrid w:val="0"/>
          <w:sz w:val="20"/>
          <w:vertAlign w:val="superscript"/>
        </w:rPr>
        <w:t xml:space="preserve">TM </w:t>
      </w:r>
      <w:r w:rsidRPr="00824317">
        <w:rPr>
          <w:rFonts w:ascii="Arial" w:hAnsi="Arial" w:cs="Arial"/>
          <w:b w:val="0"/>
          <w:snapToGrid w:val="0"/>
          <w:sz w:val="20"/>
        </w:rPr>
        <w:t>Pack</w:t>
      </w:r>
      <w:bookmarkEnd w:id="1359"/>
      <w:r w:rsidRPr="00824317">
        <w:rPr>
          <w:rFonts w:ascii="Arial" w:hAnsi="Arial" w:cs="Arial"/>
          <w:b w:val="0"/>
          <w:snapToGrid w:val="0"/>
          <w:sz w:val="20"/>
        </w:rPr>
        <w:t xml:space="preserve"> </w:t>
      </w:r>
    </w:p>
    <w:p w14:paraId="49622D19" w14:textId="77777777" w:rsidR="00AB1B6A" w:rsidRPr="008A60DC" w:rsidRDefault="00AB1B6A" w:rsidP="00AB1B6A">
      <w:pPr>
        <w:ind w:left="709"/>
        <w:rPr>
          <w:rFonts w:cs="Arial"/>
          <w:snapToGrid w:val="0"/>
          <w:sz w:val="20"/>
          <w:szCs w:val="20"/>
        </w:rPr>
      </w:pPr>
      <w:r w:rsidRPr="008A60DC">
        <w:rPr>
          <w:rFonts w:cs="Arial"/>
          <w:snapToGrid w:val="0"/>
          <w:sz w:val="20"/>
          <w:szCs w:val="20"/>
        </w:rPr>
        <w:t>The $105 and $120 My Plan Business plans have up to 10 days of Optus Travel</w:t>
      </w:r>
      <w:r w:rsidRPr="008A60DC">
        <w:rPr>
          <w:rFonts w:cs="Arial"/>
          <w:snapToGrid w:val="0"/>
          <w:sz w:val="20"/>
          <w:szCs w:val="20"/>
          <w:vertAlign w:val="superscript"/>
        </w:rPr>
        <w:t>TM</w:t>
      </w:r>
      <w:r w:rsidRPr="008A60DC">
        <w:rPr>
          <w:rFonts w:cs="Arial"/>
          <w:snapToGrid w:val="0"/>
          <w:sz w:val="20"/>
          <w:szCs w:val="20"/>
        </w:rPr>
        <w:t xml:space="preserve"> Pack for use within each billing month. </w:t>
      </w:r>
      <w:r w:rsidRPr="008A60DC">
        <w:rPr>
          <w:rFonts w:cs="Arial"/>
          <w:i/>
          <w:snapToGrid w:val="0"/>
          <w:sz w:val="20"/>
          <w:szCs w:val="20"/>
        </w:rPr>
        <w:t>You</w:t>
      </w:r>
      <w:r w:rsidRPr="008A60DC">
        <w:rPr>
          <w:rFonts w:cs="Arial"/>
          <w:snapToGrid w:val="0"/>
          <w:sz w:val="20"/>
          <w:szCs w:val="20"/>
        </w:rPr>
        <w:t xml:space="preserve"> need to ensure your Optus Travel</w:t>
      </w:r>
      <w:r w:rsidRPr="008A60DC">
        <w:rPr>
          <w:rFonts w:cs="Arial"/>
          <w:snapToGrid w:val="0"/>
          <w:sz w:val="20"/>
          <w:szCs w:val="20"/>
          <w:vertAlign w:val="superscript"/>
        </w:rPr>
        <w:t>TM</w:t>
      </w:r>
      <w:r w:rsidRPr="008A60DC">
        <w:rPr>
          <w:rFonts w:cs="Arial"/>
          <w:snapToGrid w:val="0"/>
          <w:sz w:val="20"/>
          <w:szCs w:val="20"/>
        </w:rPr>
        <w:t xml:space="preserve"> Pack is active by contacting Optus prior to use. Optus Travel</w:t>
      </w:r>
      <w:r w:rsidRPr="008A60DC">
        <w:rPr>
          <w:rFonts w:cs="Arial"/>
          <w:snapToGrid w:val="0"/>
          <w:sz w:val="20"/>
          <w:szCs w:val="20"/>
          <w:vertAlign w:val="superscript"/>
        </w:rPr>
        <w:t>TM</w:t>
      </w:r>
      <w:r w:rsidRPr="008A60DC">
        <w:rPr>
          <w:rFonts w:cs="Arial"/>
          <w:snapToGrid w:val="0"/>
          <w:sz w:val="20"/>
          <w:szCs w:val="20"/>
        </w:rPr>
        <w:t xml:space="preserve"> Pack gives you unlimited standard national and international voice, SMS (MMS is excluded) plus 50MB of data to use in Zone 1 countries per day. For list of countries see optus.com.au/travel</w:t>
      </w:r>
      <w:r>
        <w:rPr>
          <w:rFonts w:cs="Arial"/>
          <w:snapToGrid w:val="0"/>
          <w:sz w:val="20"/>
          <w:szCs w:val="20"/>
        </w:rPr>
        <w:br/>
      </w:r>
    </w:p>
    <w:p w14:paraId="5668FBCF" w14:textId="77777777" w:rsidR="00AB1B6A" w:rsidRPr="008A60DC" w:rsidRDefault="00AB1B6A" w:rsidP="00AB1B6A">
      <w:pPr>
        <w:tabs>
          <w:tab w:val="left" w:pos="567"/>
          <w:tab w:val="left" w:pos="709"/>
          <w:tab w:val="left" w:pos="1701"/>
        </w:tabs>
        <w:ind w:left="709"/>
        <w:rPr>
          <w:rFonts w:cs="Arial"/>
          <w:snapToGrid w:val="0"/>
          <w:sz w:val="20"/>
          <w:szCs w:val="20"/>
        </w:rPr>
      </w:pPr>
      <w:r w:rsidRPr="008A60DC">
        <w:rPr>
          <w:rFonts w:cs="Arial"/>
          <w:i/>
          <w:snapToGrid w:val="0"/>
          <w:sz w:val="20"/>
          <w:szCs w:val="20"/>
        </w:rPr>
        <w:t>You</w:t>
      </w:r>
      <w:r w:rsidRPr="008A60DC">
        <w:rPr>
          <w:rFonts w:cs="Arial"/>
          <w:snapToGrid w:val="0"/>
          <w:sz w:val="20"/>
          <w:szCs w:val="20"/>
        </w:rPr>
        <w:t xml:space="preserve"> can activate the Optus Travel</w:t>
      </w:r>
      <w:r w:rsidRPr="008A60DC">
        <w:rPr>
          <w:rFonts w:cs="Arial"/>
          <w:snapToGrid w:val="0"/>
          <w:sz w:val="20"/>
          <w:szCs w:val="20"/>
          <w:vertAlign w:val="superscript"/>
        </w:rPr>
        <w:t>TM</w:t>
      </w:r>
      <w:r w:rsidRPr="008A60DC">
        <w:rPr>
          <w:rFonts w:cs="Arial"/>
          <w:snapToGrid w:val="0"/>
          <w:sz w:val="20"/>
          <w:szCs w:val="20"/>
        </w:rPr>
        <w:t xml:space="preserve"> Pack on a day to day basis or multiple days at once. If you activate multiple consecutive days, the data allowance will accumulate, for example </w:t>
      </w:r>
      <w:r w:rsidRPr="008A60DC">
        <w:rPr>
          <w:rFonts w:cs="Arial"/>
          <w:bCs/>
          <w:snapToGrid w:val="0"/>
          <w:sz w:val="20"/>
          <w:szCs w:val="20"/>
        </w:rPr>
        <w:t>activate 5 consecutive days and use up to 250MB any time over the 5 day period. If you exceed the data limit, standard data roaming charges will apply. Any data provided as part of Optus Travel™ Pack is not shareable and will not form part of any Data Pool. Any unused days of Optus Travel™ Pack are forfeited and cannot be rolled over to the next billing month.</w:t>
      </w:r>
      <w:r>
        <w:rPr>
          <w:rFonts w:cs="Arial"/>
          <w:bCs/>
          <w:snapToGrid w:val="0"/>
          <w:sz w:val="20"/>
          <w:szCs w:val="20"/>
        </w:rPr>
        <w:br/>
      </w:r>
    </w:p>
    <w:p w14:paraId="14912B57" w14:textId="77777777" w:rsidR="00AB1B6A" w:rsidRPr="00677FFC" w:rsidRDefault="00AB1B6A" w:rsidP="00677FFC">
      <w:pPr>
        <w:tabs>
          <w:tab w:val="left" w:pos="567"/>
          <w:tab w:val="left" w:pos="709"/>
          <w:tab w:val="left" w:pos="1701"/>
        </w:tabs>
        <w:spacing w:before="120" w:after="240"/>
        <w:ind w:left="709"/>
        <w:rPr>
          <w:rFonts w:cs="Arial"/>
          <w:snapToGrid w:val="0"/>
          <w:sz w:val="20"/>
          <w:szCs w:val="20"/>
        </w:rPr>
      </w:pPr>
      <w:r w:rsidRPr="008A60DC">
        <w:rPr>
          <w:rFonts w:cs="Arial"/>
          <w:snapToGrid w:val="0"/>
          <w:sz w:val="20"/>
          <w:szCs w:val="20"/>
        </w:rPr>
        <w:t>I</w:t>
      </w:r>
      <w:r w:rsidRPr="008A60DC">
        <w:rPr>
          <w:rFonts w:cs="Arial"/>
          <w:bCs/>
          <w:snapToGrid w:val="0"/>
          <w:sz w:val="20"/>
          <w:szCs w:val="20"/>
        </w:rPr>
        <w:t>f you are not in a Zone 1 country you will be charged at standard roaming rates for that country.</w:t>
      </w:r>
    </w:p>
    <w:p w14:paraId="203854BE" w14:textId="77777777" w:rsidR="00AB1B6A" w:rsidRPr="00824317" w:rsidRDefault="00AB1B6A" w:rsidP="00972274">
      <w:pPr>
        <w:pStyle w:val="OptusH2"/>
        <w:numPr>
          <w:ilvl w:val="1"/>
          <w:numId w:val="27"/>
        </w:numPr>
        <w:tabs>
          <w:tab w:val="num" w:pos="680"/>
          <w:tab w:val="left" w:pos="851"/>
        </w:tabs>
        <w:ind w:left="680" w:hanging="680"/>
        <w:rPr>
          <w:rFonts w:ascii="Arial" w:hAnsi="Arial" w:cs="Arial"/>
          <w:b w:val="0"/>
          <w:snapToGrid w:val="0"/>
          <w:sz w:val="20"/>
        </w:rPr>
      </w:pPr>
      <w:bookmarkStart w:id="1360" w:name="_Toc460247034"/>
      <w:r w:rsidRPr="00824317">
        <w:rPr>
          <w:rFonts w:ascii="Arial" w:hAnsi="Arial" w:cs="Arial"/>
          <w:b w:val="0"/>
          <w:snapToGrid w:val="0"/>
          <w:sz w:val="20"/>
        </w:rPr>
        <w:t>Additional benefit – Handset Credit</w:t>
      </w:r>
      <w:bookmarkEnd w:id="1360"/>
    </w:p>
    <w:p w14:paraId="2C17AFFA" w14:textId="77777777" w:rsidR="00AB1B6A" w:rsidRPr="008A60DC" w:rsidRDefault="00AB1B6A" w:rsidP="00972274">
      <w:pPr>
        <w:numPr>
          <w:ilvl w:val="2"/>
          <w:numId w:val="27"/>
        </w:numPr>
        <w:tabs>
          <w:tab w:val="clear" w:pos="2127"/>
          <w:tab w:val="num" w:pos="1448"/>
          <w:tab w:val="left" w:pos="1701"/>
        </w:tabs>
        <w:spacing w:before="120" w:after="120"/>
        <w:ind w:left="1448" w:hanging="738"/>
        <w:rPr>
          <w:rFonts w:cs="Arial"/>
          <w:sz w:val="20"/>
          <w:szCs w:val="20"/>
        </w:rPr>
      </w:pPr>
      <w:r w:rsidRPr="008A60DC">
        <w:rPr>
          <w:rFonts w:cs="Arial"/>
          <w:i/>
          <w:sz w:val="20"/>
          <w:szCs w:val="20"/>
        </w:rPr>
        <w:t xml:space="preserve">When you </w:t>
      </w:r>
      <w:r w:rsidRPr="008A60DC">
        <w:rPr>
          <w:rFonts w:cs="Arial"/>
          <w:sz w:val="20"/>
          <w:szCs w:val="20"/>
        </w:rPr>
        <w:t>connect to a My Plan Business which has a monthly phone credit (‘</w:t>
      </w:r>
      <w:r w:rsidRPr="008A60DC">
        <w:rPr>
          <w:rFonts w:cs="Arial"/>
          <w:b/>
          <w:sz w:val="20"/>
          <w:szCs w:val="20"/>
        </w:rPr>
        <w:t>Handset Credit</w:t>
      </w:r>
      <w:r w:rsidRPr="008A60DC">
        <w:rPr>
          <w:rFonts w:cs="Arial"/>
          <w:sz w:val="20"/>
          <w:szCs w:val="20"/>
        </w:rPr>
        <w:t xml:space="preserve">’) each month for </w:t>
      </w:r>
      <w:r w:rsidRPr="008A60DC">
        <w:rPr>
          <w:rFonts w:cs="Arial"/>
          <w:i/>
          <w:sz w:val="20"/>
          <w:szCs w:val="20"/>
        </w:rPr>
        <w:t>your minimum term</w:t>
      </w:r>
      <w:r w:rsidRPr="008A60DC">
        <w:rPr>
          <w:rFonts w:cs="Arial"/>
          <w:sz w:val="20"/>
          <w:szCs w:val="20"/>
        </w:rPr>
        <w:t xml:space="preserve">, this will reduce the monthly repayment costs of the handset </w:t>
      </w:r>
      <w:r w:rsidRPr="008A60DC">
        <w:rPr>
          <w:rFonts w:cs="Arial"/>
          <w:i/>
          <w:sz w:val="20"/>
          <w:szCs w:val="20"/>
        </w:rPr>
        <w:t xml:space="preserve">you </w:t>
      </w:r>
      <w:r w:rsidRPr="008A60DC">
        <w:rPr>
          <w:rFonts w:cs="Arial"/>
          <w:sz w:val="20"/>
          <w:szCs w:val="20"/>
        </w:rPr>
        <w:t xml:space="preserve">have chosen with </w:t>
      </w:r>
      <w:r w:rsidRPr="008A60DC">
        <w:rPr>
          <w:rFonts w:cs="Arial"/>
          <w:i/>
          <w:sz w:val="20"/>
          <w:szCs w:val="20"/>
        </w:rPr>
        <w:t>your pricing plan</w:t>
      </w:r>
      <w:r w:rsidRPr="008A60DC">
        <w:rPr>
          <w:rFonts w:cs="Arial"/>
          <w:sz w:val="20"/>
          <w:szCs w:val="20"/>
        </w:rPr>
        <w:t xml:space="preserve">. </w:t>
      </w:r>
    </w:p>
    <w:p w14:paraId="23C6D114" w14:textId="77777777" w:rsidR="00AB1B6A" w:rsidRPr="008A60DC" w:rsidRDefault="00AB1B6A" w:rsidP="00972274">
      <w:pPr>
        <w:numPr>
          <w:ilvl w:val="2"/>
          <w:numId w:val="27"/>
        </w:numPr>
        <w:tabs>
          <w:tab w:val="clear" w:pos="2127"/>
          <w:tab w:val="num" w:pos="1448"/>
          <w:tab w:val="left" w:pos="1701"/>
        </w:tabs>
        <w:spacing w:before="120" w:after="120"/>
        <w:ind w:left="1448" w:hanging="738"/>
        <w:rPr>
          <w:rFonts w:cs="Arial"/>
          <w:i/>
          <w:sz w:val="20"/>
          <w:szCs w:val="20"/>
        </w:rPr>
      </w:pPr>
      <w:r w:rsidRPr="008A60DC">
        <w:rPr>
          <w:rFonts w:cs="Arial"/>
          <w:sz w:val="20"/>
          <w:szCs w:val="20"/>
        </w:rPr>
        <w:t xml:space="preserve">If </w:t>
      </w:r>
      <w:r w:rsidRPr="008A60DC">
        <w:rPr>
          <w:rFonts w:cs="Arial"/>
          <w:i/>
          <w:sz w:val="20"/>
          <w:szCs w:val="20"/>
        </w:rPr>
        <w:t>you</w:t>
      </w:r>
      <w:r w:rsidRPr="008A60DC">
        <w:rPr>
          <w:rFonts w:cs="Arial"/>
          <w:sz w:val="20"/>
          <w:szCs w:val="20"/>
        </w:rPr>
        <w:t xml:space="preserve"> </w:t>
      </w:r>
      <w:r w:rsidRPr="008A60DC">
        <w:rPr>
          <w:rFonts w:cs="Arial"/>
          <w:i/>
          <w:sz w:val="20"/>
          <w:szCs w:val="20"/>
        </w:rPr>
        <w:t>cancel your pricing plan</w:t>
      </w:r>
      <w:r w:rsidRPr="008A60DC">
        <w:rPr>
          <w:rFonts w:cs="Arial"/>
          <w:sz w:val="20"/>
          <w:szCs w:val="20"/>
        </w:rPr>
        <w:t xml:space="preserve"> or the </w:t>
      </w:r>
      <w:r w:rsidRPr="008A60DC">
        <w:rPr>
          <w:rFonts w:cs="Arial"/>
          <w:i/>
          <w:sz w:val="20"/>
          <w:szCs w:val="20"/>
        </w:rPr>
        <w:t xml:space="preserve">mobile equipment payment plan </w:t>
      </w:r>
      <w:r w:rsidRPr="008A60DC">
        <w:rPr>
          <w:rFonts w:cs="Arial"/>
          <w:sz w:val="20"/>
          <w:szCs w:val="20"/>
        </w:rPr>
        <w:t xml:space="preserve">during </w:t>
      </w:r>
      <w:r w:rsidRPr="008A60DC">
        <w:rPr>
          <w:rFonts w:cs="Arial"/>
          <w:i/>
          <w:sz w:val="20"/>
          <w:szCs w:val="20"/>
        </w:rPr>
        <w:t>your minimum term</w:t>
      </w:r>
      <w:r w:rsidRPr="008A60DC">
        <w:rPr>
          <w:rFonts w:cs="Arial"/>
          <w:sz w:val="20"/>
          <w:szCs w:val="20"/>
        </w:rPr>
        <w:t xml:space="preserve">, </w:t>
      </w:r>
      <w:r w:rsidRPr="008A60DC">
        <w:rPr>
          <w:rFonts w:cs="Arial"/>
          <w:i/>
          <w:sz w:val="20"/>
          <w:szCs w:val="20"/>
        </w:rPr>
        <w:t>you</w:t>
      </w:r>
      <w:r w:rsidRPr="008A60DC">
        <w:rPr>
          <w:rFonts w:cs="Arial"/>
          <w:sz w:val="20"/>
          <w:szCs w:val="20"/>
        </w:rPr>
        <w:t xml:space="preserve"> will no longer be entitled to these Handset Credits and </w:t>
      </w:r>
      <w:r w:rsidRPr="008A60DC">
        <w:rPr>
          <w:rFonts w:cs="Arial"/>
          <w:i/>
          <w:sz w:val="20"/>
          <w:szCs w:val="20"/>
        </w:rPr>
        <w:t>you</w:t>
      </w:r>
      <w:r w:rsidRPr="008A60DC">
        <w:rPr>
          <w:rFonts w:cs="Arial"/>
          <w:sz w:val="20"/>
          <w:szCs w:val="20"/>
        </w:rPr>
        <w:t xml:space="preserve"> must pay the remaining handset repayments in full in addition to any </w:t>
      </w:r>
      <w:r w:rsidRPr="008A60DC">
        <w:rPr>
          <w:rFonts w:cs="Arial"/>
          <w:i/>
          <w:sz w:val="20"/>
          <w:szCs w:val="20"/>
        </w:rPr>
        <w:t xml:space="preserve">cancellation fee. </w:t>
      </w:r>
    </w:p>
    <w:p w14:paraId="1D4FBC24" w14:textId="77777777" w:rsidR="00AB1B6A" w:rsidRPr="008A60DC" w:rsidRDefault="00AB1B6A" w:rsidP="00972274">
      <w:pPr>
        <w:numPr>
          <w:ilvl w:val="2"/>
          <w:numId w:val="27"/>
        </w:numPr>
        <w:tabs>
          <w:tab w:val="clear" w:pos="2127"/>
          <w:tab w:val="num" w:pos="1448"/>
          <w:tab w:val="left" w:pos="1701"/>
        </w:tabs>
        <w:spacing w:before="120" w:after="120"/>
        <w:ind w:left="1448" w:hanging="738"/>
        <w:rPr>
          <w:rFonts w:cs="Arial"/>
          <w:i/>
          <w:sz w:val="20"/>
          <w:szCs w:val="20"/>
        </w:rPr>
      </w:pPr>
      <w:r w:rsidRPr="008A60DC">
        <w:rPr>
          <w:rFonts w:cs="Arial"/>
          <w:sz w:val="20"/>
          <w:szCs w:val="20"/>
        </w:rPr>
        <w:t xml:space="preserve">If you elect to keep your mobile phone when exercising New Phone Trade Up you will no longer be entitled to the Handset Credit and you will be required to pay the remaining handset repayments in full.  </w:t>
      </w:r>
      <w:r>
        <w:rPr>
          <w:rFonts w:cs="Arial"/>
          <w:sz w:val="20"/>
          <w:szCs w:val="20"/>
        </w:rPr>
        <w:br/>
      </w:r>
    </w:p>
    <w:p w14:paraId="16F17CAF" w14:textId="77777777" w:rsidR="00AB1B6A" w:rsidRPr="00907D7F" w:rsidRDefault="00AB1B6A" w:rsidP="00AB1B6A">
      <w:pPr>
        <w:tabs>
          <w:tab w:val="left" w:pos="1701"/>
        </w:tabs>
        <w:spacing w:before="120" w:after="120"/>
        <w:rPr>
          <w:rFonts w:cs="Arial"/>
          <w:b/>
          <w:sz w:val="20"/>
          <w:szCs w:val="20"/>
          <w:lang w:val="en-AU"/>
        </w:rPr>
      </w:pPr>
      <w:r w:rsidRPr="00907D7F">
        <w:rPr>
          <w:rFonts w:cs="Arial"/>
          <w:b/>
          <w:sz w:val="20"/>
          <w:szCs w:val="20"/>
        </w:rPr>
        <w:t>Table 1 –Plan Inclusions and Charges</w:t>
      </w:r>
    </w:p>
    <w:tbl>
      <w:tblPr>
        <w:tblW w:w="467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9"/>
        <w:gridCol w:w="1299"/>
        <w:gridCol w:w="1299"/>
        <w:gridCol w:w="1442"/>
        <w:gridCol w:w="1457"/>
        <w:gridCol w:w="1878"/>
      </w:tblGrid>
      <w:tr w:rsidR="00AB1B6A" w:rsidRPr="008A60DC" w14:paraId="287CC04C" w14:textId="77777777" w:rsidTr="00907D7F">
        <w:tc>
          <w:tcPr>
            <w:tcW w:w="1133" w:type="pct"/>
            <w:shd w:val="clear" w:color="auto" w:fill="auto"/>
          </w:tcPr>
          <w:p w14:paraId="4949039D" w14:textId="77777777" w:rsidR="00AB1B6A" w:rsidRPr="008A60DC" w:rsidRDefault="00AB1B6A" w:rsidP="00127CDF">
            <w:pPr>
              <w:spacing w:before="240" w:after="240"/>
              <w:rPr>
                <w:rFonts w:eastAsia="Calibri" w:cs="Arial"/>
                <w:sz w:val="20"/>
                <w:szCs w:val="20"/>
              </w:rPr>
            </w:pPr>
          </w:p>
        </w:tc>
        <w:tc>
          <w:tcPr>
            <w:tcW w:w="681" w:type="pct"/>
            <w:vAlign w:val="center"/>
          </w:tcPr>
          <w:p w14:paraId="111C872A" w14:textId="77777777" w:rsidR="00AB1B6A" w:rsidRPr="008A60DC" w:rsidRDefault="00AB1B6A" w:rsidP="00127CDF">
            <w:pPr>
              <w:spacing w:before="240" w:after="240"/>
              <w:jc w:val="center"/>
              <w:rPr>
                <w:rFonts w:eastAsia="Calibri" w:cs="Arial"/>
                <w:b/>
                <w:sz w:val="20"/>
                <w:szCs w:val="20"/>
              </w:rPr>
            </w:pPr>
            <w:r w:rsidRPr="008A60DC">
              <w:rPr>
                <w:rFonts w:eastAsia="Calibri" w:cs="Arial"/>
                <w:b/>
                <w:sz w:val="20"/>
                <w:szCs w:val="20"/>
              </w:rPr>
              <w:t>$45 My Plan Business</w:t>
            </w:r>
          </w:p>
        </w:tc>
        <w:tc>
          <w:tcPr>
            <w:tcW w:w="681" w:type="pct"/>
            <w:shd w:val="clear" w:color="auto" w:fill="auto"/>
            <w:vAlign w:val="center"/>
          </w:tcPr>
          <w:p w14:paraId="0E7A03AB" w14:textId="77777777" w:rsidR="00AB1B6A" w:rsidRPr="008A60DC" w:rsidRDefault="00AB1B6A" w:rsidP="00127CDF">
            <w:pPr>
              <w:spacing w:before="240" w:after="240"/>
              <w:jc w:val="center"/>
              <w:rPr>
                <w:rFonts w:eastAsia="Calibri" w:cs="Arial"/>
                <w:b/>
                <w:sz w:val="20"/>
                <w:szCs w:val="20"/>
              </w:rPr>
            </w:pPr>
            <w:r w:rsidRPr="008A60DC">
              <w:rPr>
                <w:rFonts w:eastAsia="Calibri" w:cs="Arial"/>
                <w:b/>
                <w:sz w:val="20"/>
                <w:szCs w:val="20"/>
              </w:rPr>
              <w:t>$70 My Plan Business</w:t>
            </w:r>
          </w:p>
        </w:tc>
        <w:tc>
          <w:tcPr>
            <w:tcW w:w="756" w:type="pct"/>
            <w:shd w:val="clear" w:color="auto" w:fill="auto"/>
          </w:tcPr>
          <w:p w14:paraId="79EB6D71" w14:textId="77777777" w:rsidR="00AB1B6A" w:rsidRPr="008A60DC" w:rsidRDefault="00AB1B6A" w:rsidP="00127CDF">
            <w:pPr>
              <w:spacing w:before="240" w:after="240"/>
              <w:jc w:val="center"/>
              <w:rPr>
                <w:rFonts w:eastAsia="Calibri" w:cs="Arial"/>
                <w:b/>
                <w:sz w:val="20"/>
                <w:szCs w:val="20"/>
              </w:rPr>
            </w:pPr>
            <w:r w:rsidRPr="008A60DC">
              <w:rPr>
                <w:rFonts w:eastAsia="Calibri" w:cs="Arial"/>
                <w:b/>
                <w:sz w:val="20"/>
                <w:szCs w:val="20"/>
              </w:rPr>
              <w:t>$90 My Plan Business</w:t>
            </w:r>
          </w:p>
        </w:tc>
        <w:tc>
          <w:tcPr>
            <w:tcW w:w="764" w:type="pct"/>
          </w:tcPr>
          <w:p w14:paraId="57D27C57" w14:textId="77777777" w:rsidR="00AB1B6A" w:rsidRPr="008A60DC" w:rsidRDefault="00AB1B6A" w:rsidP="00127CDF">
            <w:pPr>
              <w:spacing w:before="240" w:after="240"/>
              <w:jc w:val="center"/>
              <w:rPr>
                <w:rFonts w:eastAsia="Calibri" w:cs="Arial"/>
                <w:b/>
                <w:sz w:val="20"/>
                <w:szCs w:val="20"/>
              </w:rPr>
            </w:pPr>
            <w:r w:rsidRPr="008A60DC">
              <w:rPr>
                <w:rFonts w:eastAsia="Calibri" w:cs="Arial"/>
                <w:b/>
                <w:sz w:val="20"/>
                <w:szCs w:val="20"/>
              </w:rPr>
              <w:t xml:space="preserve">$105 My Plan Business </w:t>
            </w:r>
          </w:p>
        </w:tc>
        <w:tc>
          <w:tcPr>
            <w:tcW w:w="985" w:type="pct"/>
          </w:tcPr>
          <w:p w14:paraId="40F8EBD9" w14:textId="77777777" w:rsidR="00AB1B6A" w:rsidRPr="008A60DC" w:rsidRDefault="00AB1B6A" w:rsidP="00127CDF">
            <w:pPr>
              <w:spacing w:before="240" w:after="240"/>
              <w:jc w:val="center"/>
              <w:rPr>
                <w:rFonts w:eastAsia="Calibri" w:cs="Arial"/>
                <w:b/>
                <w:sz w:val="20"/>
                <w:szCs w:val="20"/>
              </w:rPr>
            </w:pPr>
            <w:r w:rsidRPr="008A60DC">
              <w:rPr>
                <w:rFonts w:eastAsia="Calibri" w:cs="Arial"/>
                <w:b/>
                <w:sz w:val="20"/>
                <w:szCs w:val="20"/>
              </w:rPr>
              <w:t>$120 My Plan Business</w:t>
            </w:r>
          </w:p>
        </w:tc>
      </w:tr>
      <w:tr w:rsidR="00AB1B6A" w:rsidRPr="008A60DC" w14:paraId="2C68288D" w14:textId="77777777" w:rsidTr="00907D7F">
        <w:tc>
          <w:tcPr>
            <w:tcW w:w="1133" w:type="pct"/>
            <w:shd w:val="clear" w:color="auto" w:fill="auto"/>
          </w:tcPr>
          <w:p w14:paraId="54E9DCA1" w14:textId="77777777" w:rsidR="00AB1B6A" w:rsidRPr="008A60DC" w:rsidRDefault="00AB1B6A" w:rsidP="00127CDF">
            <w:pPr>
              <w:spacing w:after="200" w:line="276" w:lineRule="auto"/>
              <w:rPr>
                <w:rFonts w:eastAsia="Calibri" w:cs="Arial"/>
                <w:sz w:val="20"/>
                <w:szCs w:val="20"/>
              </w:rPr>
            </w:pPr>
            <w:r w:rsidRPr="008A60DC">
              <w:rPr>
                <w:rFonts w:eastAsia="Calibri" w:cs="Arial"/>
                <w:b/>
                <w:bCs/>
                <w:sz w:val="20"/>
                <w:szCs w:val="20"/>
              </w:rPr>
              <w:t>Minimum Monthly charge</w:t>
            </w:r>
          </w:p>
        </w:tc>
        <w:tc>
          <w:tcPr>
            <w:tcW w:w="681" w:type="pct"/>
            <w:vAlign w:val="center"/>
          </w:tcPr>
          <w:p w14:paraId="2AC1EF18" w14:textId="77777777" w:rsidR="00AB1B6A" w:rsidRPr="008A60DC" w:rsidRDefault="00AB1B6A" w:rsidP="00127CDF">
            <w:pPr>
              <w:jc w:val="center"/>
              <w:rPr>
                <w:rFonts w:eastAsia="Calibri" w:cs="Arial"/>
                <w:sz w:val="20"/>
                <w:szCs w:val="20"/>
              </w:rPr>
            </w:pPr>
            <w:r w:rsidRPr="008A60DC">
              <w:rPr>
                <w:rFonts w:eastAsia="Calibri" w:cs="Arial"/>
                <w:sz w:val="20"/>
                <w:szCs w:val="20"/>
              </w:rPr>
              <w:t>$45</w:t>
            </w:r>
          </w:p>
        </w:tc>
        <w:tc>
          <w:tcPr>
            <w:tcW w:w="681" w:type="pct"/>
            <w:shd w:val="clear" w:color="auto" w:fill="auto"/>
            <w:vAlign w:val="center"/>
          </w:tcPr>
          <w:p w14:paraId="6CFE470E" w14:textId="77777777" w:rsidR="00AB1B6A" w:rsidRPr="008A60DC" w:rsidRDefault="00AB1B6A" w:rsidP="00127CDF">
            <w:pPr>
              <w:jc w:val="center"/>
              <w:rPr>
                <w:rFonts w:eastAsia="Calibri" w:cs="Arial"/>
                <w:sz w:val="20"/>
                <w:szCs w:val="20"/>
              </w:rPr>
            </w:pPr>
            <w:r w:rsidRPr="008A60DC">
              <w:rPr>
                <w:rFonts w:eastAsia="Calibri" w:cs="Arial"/>
                <w:sz w:val="20"/>
                <w:szCs w:val="20"/>
              </w:rPr>
              <w:t>$70</w:t>
            </w:r>
          </w:p>
        </w:tc>
        <w:tc>
          <w:tcPr>
            <w:tcW w:w="756" w:type="pct"/>
            <w:shd w:val="clear" w:color="auto" w:fill="auto"/>
            <w:vAlign w:val="center"/>
          </w:tcPr>
          <w:p w14:paraId="71F8CE08" w14:textId="77777777" w:rsidR="00AB1B6A" w:rsidRPr="008A60DC" w:rsidRDefault="00AB1B6A" w:rsidP="00127CDF">
            <w:pPr>
              <w:jc w:val="center"/>
              <w:rPr>
                <w:rFonts w:eastAsia="Calibri" w:cs="Arial"/>
                <w:sz w:val="20"/>
                <w:szCs w:val="20"/>
              </w:rPr>
            </w:pPr>
            <w:r w:rsidRPr="008A60DC">
              <w:rPr>
                <w:rFonts w:eastAsia="Calibri" w:cs="Arial"/>
                <w:sz w:val="20"/>
                <w:szCs w:val="20"/>
              </w:rPr>
              <w:t>$90</w:t>
            </w:r>
          </w:p>
        </w:tc>
        <w:tc>
          <w:tcPr>
            <w:tcW w:w="764" w:type="pct"/>
            <w:vAlign w:val="center"/>
          </w:tcPr>
          <w:p w14:paraId="7105031D" w14:textId="77777777" w:rsidR="00AB1B6A" w:rsidRPr="008A60DC" w:rsidRDefault="00AB1B6A" w:rsidP="00127CDF">
            <w:pPr>
              <w:jc w:val="center"/>
              <w:rPr>
                <w:rFonts w:eastAsia="Calibri" w:cs="Arial"/>
                <w:sz w:val="20"/>
                <w:szCs w:val="20"/>
              </w:rPr>
            </w:pPr>
            <w:r w:rsidRPr="008A60DC">
              <w:rPr>
                <w:rFonts w:eastAsia="Calibri" w:cs="Arial"/>
                <w:sz w:val="20"/>
                <w:szCs w:val="20"/>
              </w:rPr>
              <w:t>$105</w:t>
            </w:r>
          </w:p>
        </w:tc>
        <w:tc>
          <w:tcPr>
            <w:tcW w:w="985" w:type="pct"/>
          </w:tcPr>
          <w:p w14:paraId="68555343" w14:textId="77777777" w:rsidR="00AB1B6A" w:rsidRPr="008A60DC" w:rsidRDefault="00AB1B6A" w:rsidP="00127CDF">
            <w:pPr>
              <w:spacing w:before="240"/>
              <w:jc w:val="center"/>
              <w:rPr>
                <w:rFonts w:eastAsia="Calibri" w:cs="Arial"/>
                <w:sz w:val="20"/>
                <w:szCs w:val="20"/>
              </w:rPr>
            </w:pPr>
            <w:r w:rsidRPr="008A60DC">
              <w:rPr>
                <w:rFonts w:eastAsia="Calibri" w:cs="Arial"/>
                <w:sz w:val="20"/>
                <w:szCs w:val="20"/>
              </w:rPr>
              <w:t>$120</w:t>
            </w:r>
          </w:p>
        </w:tc>
      </w:tr>
      <w:tr w:rsidR="00AB1B6A" w:rsidRPr="008A60DC" w14:paraId="7EED1408" w14:textId="77777777" w:rsidTr="00907D7F">
        <w:tc>
          <w:tcPr>
            <w:tcW w:w="1133" w:type="pct"/>
            <w:shd w:val="clear" w:color="auto" w:fill="auto"/>
          </w:tcPr>
          <w:p w14:paraId="32E882B0" w14:textId="77777777" w:rsidR="00AB1B6A" w:rsidRPr="008A60DC" w:rsidRDefault="00AB1B6A" w:rsidP="00127CDF">
            <w:pPr>
              <w:spacing w:after="200" w:line="276" w:lineRule="auto"/>
              <w:rPr>
                <w:rFonts w:eastAsia="Calibri" w:cs="Arial"/>
                <w:sz w:val="20"/>
                <w:szCs w:val="20"/>
              </w:rPr>
            </w:pPr>
            <w:r w:rsidRPr="008A60DC">
              <w:rPr>
                <w:rFonts w:eastAsia="Calibri" w:cs="Arial"/>
                <w:b/>
                <w:bCs/>
                <w:sz w:val="20"/>
                <w:szCs w:val="20"/>
              </w:rPr>
              <w:t>Included Data</w:t>
            </w:r>
          </w:p>
        </w:tc>
        <w:tc>
          <w:tcPr>
            <w:tcW w:w="681" w:type="pct"/>
            <w:vAlign w:val="center"/>
          </w:tcPr>
          <w:p w14:paraId="1CEA6F22" w14:textId="77777777" w:rsidR="00AB1B6A" w:rsidRPr="008A60DC" w:rsidRDefault="00AB1B6A" w:rsidP="00127CDF">
            <w:pPr>
              <w:jc w:val="center"/>
              <w:rPr>
                <w:rFonts w:eastAsia="Calibri" w:cs="Arial"/>
                <w:sz w:val="20"/>
                <w:szCs w:val="20"/>
              </w:rPr>
            </w:pPr>
            <w:r w:rsidRPr="008A60DC">
              <w:rPr>
                <w:rFonts w:eastAsia="Calibri" w:cs="Arial"/>
                <w:sz w:val="20"/>
                <w:szCs w:val="20"/>
              </w:rPr>
              <w:t>1GB</w:t>
            </w:r>
          </w:p>
        </w:tc>
        <w:tc>
          <w:tcPr>
            <w:tcW w:w="681" w:type="pct"/>
            <w:shd w:val="clear" w:color="auto" w:fill="auto"/>
            <w:vAlign w:val="center"/>
          </w:tcPr>
          <w:p w14:paraId="68B632FB" w14:textId="77777777" w:rsidR="00AB1B6A" w:rsidRPr="008A60DC" w:rsidRDefault="00AB1B6A" w:rsidP="00127CDF">
            <w:pPr>
              <w:jc w:val="center"/>
              <w:rPr>
                <w:rFonts w:eastAsia="Calibri" w:cs="Arial"/>
                <w:sz w:val="20"/>
                <w:szCs w:val="20"/>
              </w:rPr>
            </w:pPr>
            <w:r w:rsidRPr="008A60DC">
              <w:rPr>
                <w:rFonts w:eastAsia="Calibri" w:cs="Arial"/>
                <w:sz w:val="20"/>
                <w:szCs w:val="20"/>
              </w:rPr>
              <w:t>4.5GB</w:t>
            </w:r>
          </w:p>
        </w:tc>
        <w:tc>
          <w:tcPr>
            <w:tcW w:w="756" w:type="pct"/>
            <w:shd w:val="clear" w:color="auto" w:fill="auto"/>
            <w:vAlign w:val="center"/>
          </w:tcPr>
          <w:p w14:paraId="30CEB9E6" w14:textId="77777777" w:rsidR="00AB1B6A" w:rsidRPr="008A60DC" w:rsidRDefault="00AB1B6A" w:rsidP="00127CDF">
            <w:pPr>
              <w:jc w:val="center"/>
              <w:rPr>
                <w:rFonts w:eastAsia="Calibri" w:cs="Arial"/>
                <w:sz w:val="20"/>
                <w:szCs w:val="20"/>
              </w:rPr>
            </w:pPr>
            <w:r w:rsidRPr="008A60DC">
              <w:rPr>
                <w:rFonts w:eastAsia="Calibri" w:cs="Arial"/>
                <w:sz w:val="20"/>
                <w:szCs w:val="20"/>
              </w:rPr>
              <w:t>8GB</w:t>
            </w:r>
          </w:p>
        </w:tc>
        <w:tc>
          <w:tcPr>
            <w:tcW w:w="764" w:type="pct"/>
            <w:vAlign w:val="center"/>
          </w:tcPr>
          <w:p w14:paraId="05BE89EB" w14:textId="77777777" w:rsidR="00AB1B6A" w:rsidRPr="008A60DC" w:rsidRDefault="00AB1B6A" w:rsidP="00127CDF">
            <w:pPr>
              <w:jc w:val="center"/>
              <w:rPr>
                <w:rFonts w:eastAsia="Calibri" w:cs="Arial"/>
                <w:sz w:val="20"/>
                <w:szCs w:val="20"/>
              </w:rPr>
            </w:pPr>
            <w:r w:rsidRPr="008A60DC">
              <w:rPr>
                <w:rFonts w:eastAsia="Calibri" w:cs="Arial"/>
                <w:sz w:val="20"/>
                <w:szCs w:val="20"/>
              </w:rPr>
              <w:t>15GB</w:t>
            </w:r>
          </w:p>
        </w:tc>
        <w:tc>
          <w:tcPr>
            <w:tcW w:w="985" w:type="pct"/>
          </w:tcPr>
          <w:p w14:paraId="79BDBC48" w14:textId="77777777" w:rsidR="00AB1B6A" w:rsidRPr="008A60DC" w:rsidRDefault="00AB1B6A" w:rsidP="00127CDF">
            <w:pPr>
              <w:spacing w:before="120"/>
              <w:jc w:val="center"/>
              <w:rPr>
                <w:rFonts w:eastAsia="Calibri" w:cs="Arial"/>
                <w:sz w:val="20"/>
                <w:szCs w:val="20"/>
              </w:rPr>
            </w:pPr>
            <w:r w:rsidRPr="008A60DC">
              <w:rPr>
                <w:rFonts w:eastAsia="Calibri" w:cs="Arial"/>
                <w:sz w:val="20"/>
                <w:szCs w:val="20"/>
              </w:rPr>
              <w:t>20GB</w:t>
            </w:r>
          </w:p>
        </w:tc>
      </w:tr>
      <w:tr w:rsidR="00AB1B6A" w:rsidRPr="008A60DC" w14:paraId="5E2EE942" w14:textId="77777777" w:rsidTr="00907D7F">
        <w:tc>
          <w:tcPr>
            <w:tcW w:w="1133" w:type="pct"/>
            <w:shd w:val="clear" w:color="auto" w:fill="auto"/>
          </w:tcPr>
          <w:p w14:paraId="68267D1A" w14:textId="77777777" w:rsidR="00AB1B6A" w:rsidRPr="008A60DC" w:rsidRDefault="00AB1B6A" w:rsidP="00127CDF">
            <w:pPr>
              <w:spacing w:before="240" w:after="200" w:line="276" w:lineRule="auto"/>
              <w:rPr>
                <w:rFonts w:eastAsia="Calibri" w:cs="Arial"/>
                <w:b/>
                <w:bCs/>
                <w:sz w:val="20"/>
                <w:szCs w:val="20"/>
              </w:rPr>
            </w:pPr>
            <w:r w:rsidRPr="008A60DC">
              <w:rPr>
                <w:rFonts w:eastAsia="Calibri" w:cs="Arial"/>
                <w:b/>
                <w:bCs/>
                <w:sz w:val="20"/>
                <w:szCs w:val="20"/>
              </w:rPr>
              <w:t>Additional Data</w:t>
            </w:r>
          </w:p>
        </w:tc>
        <w:tc>
          <w:tcPr>
            <w:tcW w:w="3867" w:type="pct"/>
            <w:gridSpan w:val="5"/>
          </w:tcPr>
          <w:p w14:paraId="279A3493" w14:textId="77777777" w:rsidR="00AB1B6A" w:rsidRPr="008A60DC" w:rsidRDefault="00AB1B6A" w:rsidP="00127CDF">
            <w:pPr>
              <w:spacing w:before="240"/>
              <w:jc w:val="center"/>
              <w:rPr>
                <w:rFonts w:cs="Arial"/>
                <w:sz w:val="20"/>
                <w:szCs w:val="20"/>
              </w:rPr>
            </w:pPr>
            <w:r w:rsidRPr="008A60DC">
              <w:rPr>
                <w:rFonts w:cs="Arial"/>
                <w:sz w:val="20"/>
                <w:szCs w:val="20"/>
              </w:rPr>
              <w:t xml:space="preserve">Additional data $10 per 1GB </w:t>
            </w:r>
          </w:p>
          <w:p w14:paraId="61DFB4FB" w14:textId="77777777" w:rsidR="00AB1B6A" w:rsidRPr="008A60DC" w:rsidRDefault="00AB1B6A" w:rsidP="00127CDF">
            <w:pPr>
              <w:spacing w:before="240"/>
              <w:jc w:val="center"/>
              <w:rPr>
                <w:rFonts w:cs="Arial"/>
                <w:sz w:val="20"/>
                <w:szCs w:val="20"/>
              </w:rPr>
            </w:pPr>
          </w:p>
        </w:tc>
      </w:tr>
      <w:tr w:rsidR="00AB1B6A" w:rsidRPr="008A60DC" w14:paraId="265820C9" w14:textId="77777777" w:rsidTr="00907D7F">
        <w:tc>
          <w:tcPr>
            <w:tcW w:w="1133" w:type="pct"/>
            <w:shd w:val="clear" w:color="auto" w:fill="auto"/>
          </w:tcPr>
          <w:p w14:paraId="48B76E48" w14:textId="77777777" w:rsidR="00AB1B6A" w:rsidRPr="008A60DC" w:rsidRDefault="00AB1B6A" w:rsidP="00127CDF">
            <w:pPr>
              <w:spacing w:after="200" w:line="276" w:lineRule="auto"/>
              <w:rPr>
                <w:rFonts w:eastAsia="Calibri" w:cs="Arial"/>
                <w:b/>
                <w:bCs/>
                <w:sz w:val="20"/>
                <w:szCs w:val="20"/>
              </w:rPr>
            </w:pPr>
            <w:r w:rsidRPr="008A60DC">
              <w:rPr>
                <w:rFonts w:eastAsia="Calibri" w:cs="Arial"/>
                <w:b/>
                <w:bCs/>
                <w:sz w:val="20"/>
                <w:szCs w:val="20"/>
              </w:rPr>
              <w:lastRenderedPageBreak/>
              <w:t xml:space="preserve">Included Minutes </w:t>
            </w:r>
          </w:p>
          <w:p w14:paraId="400E89D0" w14:textId="77777777" w:rsidR="00AB1B6A" w:rsidRPr="008A60DC" w:rsidRDefault="00AB1B6A" w:rsidP="00127CDF">
            <w:pPr>
              <w:spacing w:after="200" w:line="276" w:lineRule="auto"/>
              <w:rPr>
                <w:rFonts w:eastAsia="Calibri" w:cs="Arial"/>
                <w:sz w:val="20"/>
                <w:szCs w:val="20"/>
              </w:rPr>
            </w:pPr>
            <w:r w:rsidRPr="008A60DC">
              <w:rPr>
                <w:rFonts w:cs="Arial"/>
                <w:sz w:val="20"/>
                <w:szCs w:val="20"/>
              </w:rPr>
              <w:t>for standard national calls to landlines and mobiles, 1300 numbers and voicemail, within Australia</w:t>
            </w:r>
          </w:p>
        </w:tc>
        <w:tc>
          <w:tcPr>
            <w:tcW w:w="681" w:type="pct"/>
            <w:vAlign w:val="center"/>
          </w:tcPr>
          <w:p w14:paraId="08C9B93F"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c>
          <w:tcPr>
            <w:tcW w:w="681" w:type="pct"/>
            <w:shd w:val="clear" w:color="auto" w:fill="auto"/>
            <w:vAlign w:val="center"/>
          </w:tcPr>
          <w:p w14:paraId="3DD460B5"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c>
          <w:tcPr>
            <w:tcW w:w="756" w:type="pct"/>
            <w:shd w:val="clear" w:color="auto" w:fill="auto"/>
            <w:vAlign w:val="center"/>
          </w:tcPr>
          <w:p w14:paraId="178EC9C9"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c>
          <w:tcPr>
            <w:tcW w:w="764" w:type="pct"/>
            <w:vAlign w:val="center"/>
          </w:tcPr>
          <w:p w14:paraId="5BDFE92D"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c>
          <w:tcPr>
            <w:tcW w:w="985" w:type="pct"/>
          </w:tcPr>
          <w:p w14:paraId="3801564A" w14:textId="77777777" w:rsidR="00AB1B6A" w:rsidRPr="008A60DC" w:rsidRDefault="00AB1B6A" w:rsidP="00127CDF">
            <w:pPr>
              <w:spacing w:before="600"/>
              <w:jc w:val="center"/>
              <w:rPr>
                <w:rFonts w:eastAsia="Calibri" w:cs="Arial"/>
                <w:sz w:val="20"/>
                <w:szCs w:val="20"/>
              </w:rPr>
            </w:pPr>
            <w:r w:rsidRPr="008A60DC">
              <w:rPr>
                <w:rFonts w:eastAsia="Calibri" w:cs="Arial"/>
                <w:sz w:val="20"/>
                <w:szCs w:val="20"/>
              </w:rPr>
              <w:t>Unlimited</w:t>
            </w:r>
          </w:p>
        </w:tc>
      </w:tr>
      <w:tr w:rsidR="00AB1B6A" w:rsidRPr="008A60DC" w14:paraId="72EB6C94" w14:textId="77777777" w:rsidTr="00907D7F">
        <w:tc>
          <w:tcPr>
            <w:tcW w:w="1133" w:type="pct"/>
            <w:shd w:val="clear" w:color="auto" w:fill="auto"/>
          </w:tcPr>
          <w:p w14:paraId="1DEE98F0" w14:textId="77777777" w:rsidR="00AB1B6A" w:rsidRPr="008A60DC" w:rsidRDefault="00AB1B6A" w:rsidP="00127CDF">
            <w:pPr>
              <w:autoSpaceDE w:val="0"/>
              <w:autoSpaceDN w:val="0"/>
              <w:adjustRightInd w:val="0"/>
              <w:rPr>
                <w:rFonts w:cs="Arial"/>
                <w:b/>
                <w:bCs/>
                <w:sz w:val="20"/>
                <w:szCs w:val="20"/>
              </w:rPr>
            </w:pPr>
            <w:r w:rsidRPr="008A60DC">
              <w:rPr>
                <w:rFonts w:cs="Arial"/>
                <w:b/>
                <w:bCs/>
                <w:sz w:val="20"/>
                <w:szCs w:val="20"/>
              </w:rPr>
              <w:t>Included International Minutes</w:t>
            </w:r>
          </w:p>
          <w:p w14:paraId="656DE176" w14:textId="77777777" w:rsidR="00AB1B6A" w:rsidRPr="008A60DC" w:rsidRDefault="00AB1B6A" w:rsidP="00127CDF">
            <w:pPr>
              <w:autoSpaceDE w:val="0"/>
              <w:autoSpaceDN w:val="0"/>
              <w:adjustRightInd w:val="0"/>
              <w:rPr>
                <w:rFonts w:cs="Arial"/>
                <w:sz w:val="20"/>
                <w:szCs w:val="20"/>
              </w:rPr>
            </w:pPr>
            <w:r w:rsidRPr="008A60DC">
              <w:rPr>
                <w:rFonts w:cs="Arial"/>
                <w:sz w:val="20"/>
                <w:szCs w:val="20"/>
              </w:rPr>
              <w:t>Standard international calls to landlines and mobiles</w:t>
            </w:r>
          </w:p>
          <w:p w14:paraId="436F6780" w14:textId="77777777" w:rsidR="00AB1B6A" w:rsidRPr="008A60DC" w:rsidRDefault="00AB1B6A" w:rsidP="00127CDF">
            <w:pPr>
              <w:spacing w:after="200" w:line="276" w:lineRule="auto"/>
              <w:rPr>
                <w:rFonts w:eastAsia="Calibri" w:cs="Arial"/>
                <w:b/>
                <w:bCs/>
                <w:sz w:val="20"/>
                <w:szCs w:val="20"/>
              </w:rPr>
            </w:pPr>
            <w:r w:rsidRPr="008A60DC">
              <w:rPr>
                <w:rFonts w:cs="Arial"/>
                <w:sz w:val="20"/>
                <w:szCs w:val="20"/>
              </w:rPr>
              <w:t>to selected countries (charged per min)</w:t>
            </w:r>
          </w:p>
        </w:tc>
        <w:tc>
          <w:tcPr>
            <w:tcW w:w="681" w:type="pct"/>
            <w:vAlign w:val="center"/>
          </w:tcPr>
          <w:p w14:paraId="23E2681A" w14:textId="77777777" w:rsidR="00AB1B6A" w:rsidRPr="008A60DC" w:rsidRDefault="00AB1B6A" w:rsidP="00127CDF">
            <w:pPr>
              <w:jc w:val="center"/>
              <w:rPr>
                <w:rFonts w:eastAsia="Calibri" w:cs="Arial"/>
                <w:sz w:val="20"/>
                <w:szCs w:val="20"/>
              </w:rPr>
            </w:pPr>
            <w:r w:rsidRPr="008A60DC">
              <w:rPr>
                <w:rFonts w:cs="Arial"/>
                <w:bCs/>
                <w:sz w:val="20"/>
                <w:szCs w:val="20"/>
              </w:rPr>
              <w:t>Up to 50 mins</w:t>
            </w:r>
          </w:p>
        </w:tc>
        <w:tc>
          <w:tcPr>
            <w:tcW w:w="681" w:type="pct"/>
            <w:shd w:val="clear" w:color="auto" w:fill="auto"/>
            <w:vAlign w:val="center"/>
          </w:tcPr>
          <w:p w14:paraId="3FC075AD" w14:textId="77777777" w:rsidR="00AB1B6A" w:rsidRPr="008A60DC" w:rsidRDefault="00AB1B6A" w:rsidP="00127CDF">
            <w:pPr>
              <w:jc w:val="center"/>
              <w:rPr>
                <w:rFonts w:eastAsia="Calibri" w:cs="Arial"/>
                <w:sz w:val="20"/>
                <w:szCs w:val="20"/>
              </w:rPr>
            </w:pPr>
            <w:r w:rsidRPr="008A60DC">
              <w:rPr>
                <w:rFonts w:cs="Arial"/>
                <w:bCs/>
                <w:sz w:val="20"/>
                <w:szCs w:val="20"/>
              </w:rPr>
              <w:t>Up to 200 mins</w:t>
            </w:r>
          </w:p>
        </w:tc>
        <w:tc>
          <w:tcPr>
            <w:tcW w:w="756" w:type="pct"/>
            <w:shd w:val="clear" w:color="auto" w:fill="auto"/>
            <w:vAlign w:val="center"/>
          </w:tcPr>
          <w:p w14:paraId="556F4B95" w14:textId="77777777" w:rsidR="00AB1B6A" w:rsidRPr="008A60DC" w:rsidRDefault="00AB1B6A" w:rsidP="00127CDF">
            <w:pPr>
              <w:jc w:val="center"/>
              <w:rPr>
                <w:rFonts w:eastAsia="Calibri" w:cs="Arial"/>
                <w:sz w:val="20"/>
                <w:szCs w:val="20"/>
              </w:rPr>
            </w:pPr>
            <w:r w:rsidRPr="008A60DC">
              <w:rPr>
                <w:rFonts w:cs="Arial"/>
                <w:bCs/>
                <w:sz w:val="20"/>
                <w:szCs w:val="20"/>
              </w:rPr>
              <w:t>Up to 400 mins</w:t>
            </w:r>
          </w:p>
        </w:tc>
        <w:tc>
          <w:tcPr>
            <w:tcW w:w="764" w:type="pct"/>
            <w:vAlign w:val="center"/>
          </w:tcPr>
          <w:p w14:paraId="29B375E3" w14:textId="77777777" w:rsidR="00AB1B6A" w:rsidRPr="008A60DC" w:rsidRDefault="00AB1B6A" w:rsidP="00127CDF">
            <w:pPr>
              <w:jc w:val="center"/>
              <w:rPr>
                <w:rFonts w:cs="Arial"/>
                <w:bCs/>
                <w:sz w:val="20"/>
                <w:szCs w:val="20"/>
              </w:rPr>
            </w:pPr>
            <w:r w:rsidRPr="008A60DC">
              <w:rPr>
                <w:rFonts w:eastAsia="Calibri" w:cs="Arial"/>
                <w:sz w:val="20"/>
                <w:szCs w:val="20"/>
              </w:rPr>
              <w:t>Unlimited</w:t>
            </w:r>
          </w:p>
        </w:tc>
        <w:tc>
          <w:tcPr>
            <w:tcW w:w="985" w:type="pct"/>
          </w:tcPr>
          <w:p w14:paraId="64BE4860" w14:textId="77777777" w:rsidR="00AB1B6A" w:rsidRPr="008A60DC" w:rsidRDefault="00AB1B6A" w:rsidP="00127CDF">
            <w:pPr>
              <w:spacing w:before="480"/>
              <w:jc w:val="center"/>
              <w:rPr>
                <w:rFonts w:cs="Arial"/>
                <w:bCs/>
                <w:sz w:val="20"/>
                <w:szCs w:val="20"/>
              </w:rPr>
            </w:pPr>
            <w:r w:rsidRPr="008A60DC">
              <w:rPr>
                <w:rFonts w:eastAsia="Calibri" w:cs="Arial"/>
                <w:sz w:val="20"/>
                <w:szCs w:val="20"/>
              </w:rPr>
              <w:t>Unlimited</w:t>
            </w:r>
          </w:p>
        </w:tc>
      </w:tr>
      <w:tr w:rsidR="00AB1B6A" w:rsidRPr="008A60DC" w14:paraId="15EE8325" w14:textId="77777777" w:rsidTr="00907D7F">
        <w:tc>
          <w:tcPr>
            <w:tcW w:w="1133" w:type="pct"/>
            <w:shd w:val="clear" w:color="auto" w:fill="auto"/>
          </w:tcPr>
          <w:p w14:paraId="4CB16493" w14:textId="77777777" w:rsidR="00AB1B6A" w:rsidRPr="008A60DC" w:rsidRDefault="00AB1B6A" w:rsidP="00127CDF">
            <w:pPr>
              <w:spacing w:after="200" w:line="276" w:lineRule="auto"/>
              <w:rPr>
                <w:rFonts w:eastAsia="Calibri" w:cs="Arial"/>
                <w:sz w:val="20"/>
                <w:szCs w:val="20"/>
              </w:rPr>
            </w:pPr>
            <w:r w:rsidRPr="008A60DC">
              <w:rPr>
                <w:rFonts w:eastAsia="Calibri" w:cs="Arial"/>
                <w:b/>
                <w:bCs/>
                <w:sz w:val="20"/>
                <w:szCs w:val="20"/>
              </w:rPr>
              <w:t xml:space="preserve">Standard national SMS </w:t>
            </w:r>
            <w:r w:rsidRPr="008A60DC">
              <w:rPr>
                <w:rFonts w:eastAsia="Calibri" w:cs="Arial"/>
                <w:sz w:val="20"/>
                <w:szCs w:val="20"/>
              </w:rPr>
              <w:t>(per SMS of up to 160 standard characters)</w:t>
            </w:r>
          </w:p>
        </w:tc>
        <w:tc>
          <w:tcPr>
            <w:tcW w:w="681" w:type="pct"/>
            <w:vAlign w:val="center"/>
          </w:tcPr>
          <w:p w14:paraId="4C6C2A27"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c>
          <w:tcPr>
            <w:tcW w:w="681" w:type="pct"/>
            <w:shd w:val="clear" w:color="auto" w:fill="auto"/>
            <w:vAlign w:val="center"/>
          </w:tcPr>
          <w:p w14:paraId="6C99F055" w14:textId="77777777" w:rsidR="00AB1B6A" w:rsidRPr="008A60DC" w:rsidRDefault="00AB1B6A" w:rsidP="00127CDF">
            <w:pPr>
              <w:jc w:val="center"/>
              <w:rPr>
                <w:rFonts w:eastAsia="Calibri" w:cs="Arial"/>
                <w:sz w:val="20"/>
                <w:szCs w:val="20"/>
              </w:rPr>
            </w:pPr>
            <w:r w:rsidRPr="008A60DC">
              <w:rPr>
                <w:rFonts w:eastAsia="Calibri" w:cs="Arial"/>
                <w:sz w:val="20"/>
                <w:szCs w:val="20"/>
              </w:rPr>
              <w:t xml:space="preserve">Unlimited </w:t>
            </w:r>
          </w:p>
        </w:tc>
        <w:tc>
          <w:tcPr>
            <w:tcW w:w="756" w:type="pct"/>
            <w:shd w:val="clear" w:color="auto" w:fill="auto"/>
            <w:vAlign w:val="center"/>
          </w:tcPr>
          <w:p w14:paraId="68A5E8BC"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c>
          <w:tcPr>
            <w:tcW w:w="764" w:type="pct"/>
            <w:vAlign w:val="center"/>
          </w:tcPr>
          <w:p w14:paraId="3FDE57E0"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c>
          <w:tcPr>
            <w:tcW w:w="985" w:type="pct"/>
          </w:tcPr>
          <w:p w14:paraId="4FDE1593" w14:textId="77777777" w:rsidR="00AB1B6A" w:rsidRPr="008A60DC" w:rsidRDefault="00AB1B6A" w:rsidP="00127CDF">
            <w:pPr>
              <w:spacing w:before="480"/>
              <w:jc w:val="center"/>
              <w:rPr>
                <w:rFonts w:eastAsia="Calibri" w:cs="Arial"/>
                <w:sz w:val="20"/>
                <w:szCs w:val="20"/>
              </w:rPr>
            </w:pPr>
            <w:r w:rsidRPr="008A60DC">
              <w:rPr>
                <w:rFonts w:eastAsia="Calibri" w:cs="Arial"/>
                <w:sz w:val="20"/>
                <w:szCs w:val="20"/>
              </w:rPr>
              <w:t>Unlim1ited</w:t>
            </w:r>
          </w:p>
        </w:tc>
      </w:tr>
      <w:tr w:rsidR="00AB1B6A" w:rsidRPr="008A60DC" w14:paraId="5C810D39" w14:textId="77777777" w:rsidTr="00907D7F">
        <w:tc>
          <w:tcPr>
            <w:tcW w:w="1133" w:type="pct"/>
            <w:shd w:val="clear" w:color="auto" w:fill="auto"/>
          </w:tcPr>
          <w:p w14:paraId="7A29D4A4" w14:textId="77777777" w:rsidR="00AB1B6A" w:rsidRPr="008A60DC" w:rsidRDefault="00AB1B6A" w:rsidP="00127CDF">
            <w:pPr>
              <w:spacing w:after="200" w:line="276" w:lineRule="auto"/>
              <w:rPr>
                <w:rFonts w:eastAsia="Calibri" w:cs="Arial"/>
                <w:b/>
                <w:bCs/>
                <w:sz w:val="20"/>
                <w:szCs w:val="20"/>
              </w:rPr>
            </w:pPr>
            <w:r w:rsidRPr="008A60DC">
              <w:rPr>
                <w:rFonts w:eastAsia="Calibri" w:cs="Arial"/>
                <w:b/>
                <w:bCs/>
                <w:sz w:val="20"/>
                <w:szCs w:val="20"/>
              </w:rPr>
              <w:t xml:space="preserve">Standard national MMS </w:t>
            </w:r>
            <w:r w:rsidRPr="008A60DC">
              <w:rPr>
                <w:rFonts w:eastAsia="Calibri" w:cs="Arial"/>
                <w:sz w:val="20"/>
                <w:szCs w:val="20"/>
              </w:rPr>
              <w:t>(per message)</w:t>
            </w:r>
          </w:p>
        </w:tc>
        <w:tc>
          <w:tcPr>
            <w:tcW w:w="681" w:type="pct"/>
            <w:vAlign w:val="center"/>
          </w:tcPr>
          <w:p w14:paraId="31CF8C3E"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c>
          <w:tcPr>
            <w:tcW w:w="681" w:type="pct"/>
            <w:shd w:val="clear" w:color="auto" w:fill="auto"/>
            <w:vAlign w:val="center"/>
          </w:tcPr>
          <w:p w14:paraId="0243F953" w14:textId="77777777" w:rsidR="00AB1B6A" w:rsidRPr="008A60DC" w:rsidRDefault="00AB1B6A" w:rsidP="00127CDF">
            <w:pPr>
              <w:jc w:val="center"/>
              <w:rPr>
                <w:rFonts w:eastAsia="Calibri" w:cs="Arial"/>
                <w:sz w:val="20"/>
                <w:szCs w:val="20"/>
              </w:rPr>
            </w:pPr>
            <w:r w:rsidRPr="008A60DC">
              <w:rPr>
                <w:rFonts w:eastAsia="Calibri" w:cs="Arial"/>
                <w:sz w:val="20"/>
                <w:szCs w:val="20"/>
              </w:rPr>
              <w:t xml:space="preserve">Unlimited </w:t>
            </w:r>
          </w:p>
        </w:tc>
        <w:tc>
          <w:tcPr>
            <w:tcW w:w="756" w:type="pct"/>
            <w:shd w:val="clear" w:color="auto" w:fill="auto"/>
            <w:vAlign w:val="center"/>
          </w:tcPr>
          <w:p w14:paraId="04C08D9E" w14:textId="77777777" w:rsidR="00AB1B6A" w:rsidRPr="008A60DC" w:rsidRDefault="00AB1B6A" w:rsidP="00127CDF">
            <w:pPr>
              <w:jc w:val="center"/>
              <w:rPr>
                <w:rFonts w:eastAsia="Calibri" w:cs="Arial"/>
                <w:sz w:val="20"/>
                <w:szCs w:val="20"/>
              </w:rPr>
            </w:pPr>
            <w:r w:rsidRPr="008A60DC">
              <w:rPr>
                <w:rFonts w:eastAsia="Calibri" w:cs="Arial"/>
                <w:sz w:val="20"/>
                <w:szCs w:val="20"/>
              </w:rPr>
              <w:t xml:space="preserve">Unlimited </w:t>
            </w:r>
          </w:p>
        </w:tc>
        <w:tc>
          <w:tcPr>
            <w:tcW w:w="764" w:type="pct"/>
          </w:tcPr>
          <w:p w14:paraId="6A059D2C" w14:textId="77777777" w:rsidR="00AB1B6A" w:rsidRPr="008A60DC" w:rsidRDefault="00AB1B6A" w:rsidP="00127CDF">
            <w:pPr>
              <w:spacing w:before="240"/>
              <w:jc w:val="center"/>
              <w:rPr>
                <w:rFonts w:eastAsia="Calibri" w:cs="Arial"/>
                <w:sz w:val="20"/>
                <w:szCs w:val="20"/>
              </w:rPr>
            </w:pPr>
            <w:r w:rsidRPr="008A60DC">
              <w:rPr>
                <w:rFonts w:eastAsia="Calibri" w:cs="Arial"/>
                <w:sz w:val="20"/>
                <w:szCs w:val="20"/>
              </w:rPr>
              <w:t>Unlimited</w:t>
            </w:r>
          </w:p>
        </w:tc>
        <w:tc>
          <w:tcPr>
            <w:tcW w:w="985" w:type="pct"/>
          </w:tcPr>
          <w:p w14:paraId="746B8959" w14:textId="77777777" w:rsidR="00AB1B6A" w:rsidRPr="008A60DC" w:rsidRDefault="00AB1B6A" w:rsidP="00127CDF">
            <w:pPr>
              <w:spacing w:before="240"/>
              <w:jc w:val="center"/>
              <w:rPr>
                <w:rFonts w:eastAsia="Calibri" w:cs="Arial"/>
                <w:sz w:val="20"/>
                <w:szCs w:val="20"/>
              </w:rPr>
            </w:pPr>
            <w:r w:rsidRPr="008A60DC">
              <w:rPr>
                <w:rFonts w:eastAsia="Calibri" w:cs="Arial"/>
                <w:sz w:val="20"/>
                <w:szCs w:val="20"/>
              </w:rPr>
              <w:t>Unlimited</w:t>
            </w:r>
          </w:p>
        </w:tc>
      </w:tr>
      <w:tr w:rsidR="00AB1B6A" w:rsidRPr="008A60DC" w14:paraId="7CD4B254" w14:textId="77777777" w:rsidTr="00907D7F">
        <w:tc>
          <w:tcPr>
            <w:tcW w:w="1133" w:type="pct"/>
            <w:shd w:val="clear" w:color="auto" w:fill="auto"/>
          </w:tcPr>
          <w:p w14:paraId="5DE52124" w14:textId="77777777" w:rsidR="00AB1B6A" w:rsidRPr="008A60DC" w:rsidDel="00064B49" w:rsidRDefault="00AB1B6A" w:rsidP="00127CDF">
            <w:pPr>
              <w:spacing w:after="200" w:line="276" w:lineRule="auto"/>
              <w:rPr>
                <w:rFonts w:eastAsia="Calibri" w:cs="Arial"/>
                <w:b/>
                <w:bCs/>
                <w:sz w:val="20"/>
                <w:szCs w:val="20"/>
              </w:rPr>
            </w:pPr>
            <w:r w:rsidRPr="008A60DC">
              <w:rPr>
                <w:rFonts w:eastAsia="Calibri" w:cs="Arial"/>
                <w:b/>
                <w:bCs/>
                <w:sz w:val="20"/>
                <w:szCs w:val="20"/>
              </w:rPr>
              <w:t xml:space="preserve">Standard international SMS </w:t>
            </w:r>
            <w:r w:rsidRPr="008A60DC">
              <w:rPr>
                <w:rFonts w:eastAsia="Calibri" w:cs="Arial"/>
                <w:sz w:val="20"/>
                <w:szCs w:val="20"/>
              </w:rPr>
              <w:t>(per SMS of up to 160 standard characters to selected countries)</w:t>
            </w:r>
          </w:p>
        </w:tc>
        <w:tc>
          <w:tcPr>
            <w:tcW w:w="681" w:type="pct"/>
            <w:vAlign w:val="center"/>
          </w:tcPr>
          <w:p w14:paraId="3A354F53"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c>
          <w:tcPr>
            <w:tcW w:w="681" w:type="pct"/>
            <w:shd w:val="clear" w:color="auto" w:fill="auto"/>
            <w:vAlign w:val="center"/>
          </w:tcPr>
          <w:p w14:paraId="2A30F68D" w14:textId="77777777" w:rsidR="00AB1B6A" w:rsidRPr="008A60DC" w:rsidDel="00064B49" w:rsidRDefault="00AB1B6A" w:rsidP="00127CDF">
            <w:pPr>
              <w:jc w:val="center"/>
              <w:rPr>
                <w:rFonts w:eastAsia="Calibri" w:cs="Arial"/>
                <w:sz w:val="20"/>
                <w:szCs w:val="20"/>
              </w:rPr>
            </w:pPr>
            <w:r w:rsidRPr="008A60DC">
              <w:rPr>
                <w:rFonts w:eastAsia="Calibri" w:cs="Arial"/>
                <w:sz w:val="20"/>
                <w:szCs w:val="20"/>
              </w:rPr>
              <w:t xml:space="preserve">Unlimited </w:t>
            </w:r>
          </w:p>
        </w:tc>
        <w:tc>
          <w:tcPr>
            <w:tcW w:w="756" w:type="pct"/>
            <w:shd w:val="clear" w:color="auto" w:fill="auto"/>
            <w:vAlign w:val="center"/>
          </w:tcPr>
          <w:p w14:paraId="336F3912" w14:textId="77777777" w:rsidR="00AB1B6A" w:rsidRPr="008A60DC" w:rsidDel="00064B49" w:rsidRDefault="00AB1B6A" w:rsidP="00127CDF">
            <w:pPr>
              <w:jc w:val="center"/>
              <w:rPr>
                <w:rFonts w:eastAsia="Calibri" w:cs="Arial"/>
                <w:sz w:val="20"/>
                <w:szCs w:val="20"/>
              </w:rPr>
            </w:pPr>
            <w:r w:rsidRPr="008A60DC">
              <w:rPr>
                <w:rFonts w:eastAsia="Calibri" w:cs="Arial"/>
                <w:sz w:val="20"/>
                <w:szCs w:val="20"/>
              </w:rPr>
              <w:t>Unlimited</w:t>
            </w:r>
          </w:p>
        </w:tc>
        <w:tc>
          <w:tcPr>
            <w:tcW w:w="764" w:type="pct"/>
            <w:vAlign w:val="center"/>
          </w:tcPr>
          <w:p w14:paraId="4CED23B5"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c>
          <w:tcPr>
            <w:tcW w:w="985" w:type="pct"/>
          </w:tcPr>
          <w:p w14:paraId="407FAB20" w14:textId="77777777" w:rsidR="00AB1B6A" w:rsidRPr="008A60DC" w:rsidRDefault="00AB1B6A" w:rsidP="00127CDF">
            <w:pPr>
              <w:spacing w:before="480"/>
              <w:jc w:val="center"/>
              <w:rPr>
                <w:rFonts w:eastAsia="Calibri" w:cs="Arial"/>
                <w:sz w:val="20"/>
                <w:szCs w:val="20"/>
              </w:rPr>
            </w:pPr>
            <w:r w:rsidRPr="008A60DC">
              <w:rPr>
                <w:rFonts w:eastAsia="Calibri" w:cs="Arial"/>
                <w:sz w:val="20"/>
                <w:szCs w:val="20"/>
              </w:rPr>
              <w:t>Unlimited</w:t>
            </w:r>
          </w:p>
        </w:tc>
      </w:tr>
      <w:tr w:rsidR="00AB1B6A" w:rsidRPr="008A60DC" w14:paraId="15B38CDB" w14:textId="77777777" w:rsidTr="00907D7F">
        <w:tc>
          <w:tcPr>
            <w:tcW w:w="1133" w:type="pct"/>
            <w:shd w:val="clear" w:color="auto" w:fill="auto"/>
          </w:tcPr>
          <w:p w14:paraId="06CA3A34" w14:textId="77777777" w:rsidR="00AB1B6A" w:rsidRPr="008A60DC" w:rsidRDefault="00AB1B6A" w:rsidP="00127CDF">
            <w:pPr>
              <w:spacing w:after="200" w:line="276" w:lineRule="auto"/>
              <w:rPr>
                <w:rFonts w:eastAsia="Calibri" w:cs="Arial"/>
                <w:b/>
                <w:bCs/>
                <w:sz w:val="20"/>
                <w:szCs w:val="20"/>
              </w:rPr>
            </w:pPr>
            <w:r w:rsidRPr="008A60DC">
              <w:rPr>
                <w:rFonts w:eastAsia="Calibri" w:cs="Arial"/>
                <w:b/>
                <w:bCs/>
                <w:sz w:val="20"/>
                <w:szCs w:val="20"/>
              </w:rPr>
              <w:t xml:space="preserve">Standard international MMS </w:t>
            </w:r>
            <w:r w:rsidRPr="008A60DC">
              <w:rPr>
                <w:rFonts w:eastAsia="Calibri" w:cs="Arial"/>
                <w:sz w:val="20"/>
                <w:szCs w:val="20"/>
              </w:rPr>
              <w:t>(per message to selected countries)</w:t>
            </w:r>
          </w:p>
        </w:tc>
        <w:tc>
          <w:tcPr>
            <w:tcW w:w="681" w:type="pct"/>
            <w:vAlign w:val="center"/>
          </w:tcPr>
          <w:p w14:paraId="17278FC5"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c>
          <w:tcPr>
            <w:tcW w:w="681" w:type="pct"/>
            <w:shd w:val="clear" w:color="auto" w:fill="auto"/>
            <w:vAlign w:val="center"/>
          </w:tcPr>
          <w:p w14:paraId="63C338DA" w14:textId="77777777" w:rsidR="00AB1B6A" w:rsidRPr="008A60DC" w:rsidRDefault="00AB1B6A" w:rsidP="00127CDF">
            <w:pPr>
              <w:jc w:val="center"/>
              <w:rPr>
                <w:rFonts w:eastAsia="Calibri" w:cs="Arial"/>
                <w:sz w:val="20"/>
                <w:szCs w:val="20"/>
              </w:rPr>
            </w:pPr>
            <w:r w:rsidRPr="008A60DC">
              <w:rPr>
                <w:rFonts w:eastAsia="Calibri" w:cs="Arial"/>
                <w:sz w:val="20"/>
                <w:szCs w:val="20"/>
              </w:rPr>
              <w:t xml:space="preserve">Unlimited </w:t>
            </w:r>
          </w:p>
        </w:tc>
        <w:tc>
          <w:tcPr>
            <w:tcW w:w="756" w:type="pct"/>
            <w:shd w:val="clear" w:color="auto" w:fill="auto"/>
            <w:vAlign w:val="center"/>
          </w:tcPr>
          <w:p w14:paraId="5368FD8D" w14:textId="77777777" w:rsidR="00AB1B6A" w:rsidRPr="008A60DC" w:rsidRDefault="00AB1B6A" w:rsidP="00127CDF">
            <w:pPr>
              <w:jc w:val="center"/>
              <w:rPr>
                <w:rFonts w:eastAsia="Calibri" w:cs="Arial"/>
                <w:sz w:val="20"/>
                <w:szCs w:val="20"/>
              </w:rPr>
            </w:pPr>
            <w:r w:rsidRPr="008A60DC">
              <w:rPr>
                <w:rFonts w:eastAsia="Calibri" w:cs="Arial"/>
                <w:sz w:val="20"/>
                <w:szCs w:val="20"/>
              </w:rPr>
              <w:t xml:space="preserve">Unlimited </w:t>
            </w:r>
          </w:p>
        </w:tc>
        <w:tc>
          <w:tcPr>
            <w:tcW w:w="764" w:type="pct"/>
            <w:vAlign w:val="center"/>
          </w:tcPr>
          <w:p w14:paraId="7DD3FBCF"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c>
          <w:tcPr>
            <w:tcW w:w="985" w:type="pct"/>
          </w:tcPr>
          <w:p w14:paraId="4870427D" w14:textId="77777777" w:rsidR="00AB1B6A" w:rsidRPr="008A60DC" w:rsidRDefault="00AB1B6A" w:rsidP="00127CDF">
            <w:pPr>
              <w:spacing w:before="360"/>
              <w:jc w:val="center"/>
              <w:rPr>
                <w:rFonts w:eastAsia="Calibri" w:cs="Arial"/>
                <w:sz w:val="20"/>
                <w:szCs w:val="20"/>
              </w:rPr>
            </w:pPr>
            <w:r w:rsidRPr="008A60DC">
              <w:rPr>
                <w:rFonts w:eastAsia="Calibri" w:cs="Arial"/>
                <w:sz w:val="20"/>
                <w:szCs w:val="20"/>
              </w:rPr>
              <w:t>Unlimited</w:t>
            </w:r>
          </w:p>
        </w:tc>
      </w:tr>
      <w:tr w:rsidR="00AB1B6A" w:rsidRPr="008A60DC" w14:paraId="3BEA1D73" w14:textId="77777777" w:rsidTr="00907D7F">
        <w:tc>
          <w:tcPr>
            <w:tcW w:w="1133" w:type="pct"/>
            <w:shd w:val="clear" w:color="auto" w:fill="auto"/>
          </w:tcPr>
          <w:p w14:paraId="242F6010" w14:textId="77777777" w:rsidR="00AB1B6A" w:rsidRPr="008A60DC" w:rsidRDefault="00AB1B6A" w:rsidP="00127CDF">
            <w:pPr>
              <w:spacing w:after="200" w:line="276" w:lineRule="auto"/>
              <w:rPr>
                <w:rFonts w:cs="Arial"/>
                <w:b/>
                <w:bCs/>
                <w:snapToGrid w:val="0"/>
                <w:sz w:val="20"/>
                <w:szCs w:val="20"/>
              </w:rPr>
            </w:pPr>
            <w:r w:rsidRPr="008A60DC">
              <w:rPr>
                <w:rFonts w:cs="Arial"/>
                <w:b/>
                <w:bCs/>
                <w:snapToGrid w:val="0"/>
                <w:sz w:val="20"/>
                <w:szCs w:val="20"/>
              </w:rPr>
              <w:t>Optus Travel™ Pack</w:t>
            </w:r>
          </w:p>
          <w:p w14:paraId="4885099F" w14:textId="77777777" w:rsidR="00AB1B6A" w:rsidRPr="008A60DC" w:rsidRDefault="00AB1B6A" w:rsidP="00127CDF">
            <w:pPr>
              <w:spacing w:after="200" w:line="276" w:lineRule="auto"/>
              <w:rPr>
                <w:rFonts w:eastAsia="Calibri" w:cs="Arial"/>
                <w:b/>
                <w:bCs/>
                <w:sz w:val="20"/>
                <w:szCs w:val="20"/>
              </w:rPr>
            </w:pPr>
            <w:r w:rsidRPr="008A60DC">
              <w:rPr>
                <w:rFonts w:cs="Arial"/>
                <w:b/>
                <w:bCs/>
                <w:snapToGrid w:val="0"/>
                <w:sz w:val="20"/>
                <w:szCs w:val="20"/>
              </w:rPr>
              <w:t xml:space="preserve">(Zone 1 countries) </w:t>
            </w:r>
          </w:p>
        </w:tc>
        <w:tc>
          <w:tcPr>
            <w:tcW w:w="681" w:type="pct"/>
            <w:vAlign w:val="center"/>
          </w:tcPr>
          <w:p w14:paraId="32CF015D" w14:textId="77777777" w:rsidR="00AB1B6A" w:rsidRPr="008A60DC" w:rsidRDefault="00AB1B6A" w:rsidP="00127CDF">
            <w:pPr>
              <w:spacing w:before="120"/>
              <w:rPr>
                <w:rFonts w:eastAsia="Calibri" w:cs="Arial"/>
                <w:sz w:val="20"/>
                <w:szCs w:val="20"/>
              </w:rPr>
            </w:pPr>
            <w:r w:rsidRPr="008A60DC">
              <w:rPr>
                <w:rFonts w:eastAsia="Calibri" w:cs="Arial"/>
                <w:sz w:val="20"/>
                <w:szCs w:val="20"/>
              </w:rPr>
              <w:t>Get $5 Optus Travel™ Pack - normally $10</w:t>
            </w:r>
          </w:p>
          <w:p w14:paraId="4A741624" w14:textId="77777777" w:rsidR="00AB1B6A" w:rsidRPr="008A60DC" w:rsidRDefault="00AB1B6A" w:rsidP="00127CDF">
            <w:pPr>
              <w:spacing w:after="120"/>
              <w:jc w:val="center"/>
              <w:rPr>
                <w:rFonts w:eastAsia="Calibri" w:cs="Arial"/>
                <w:sz w:val="20"/>
                <w:szCs w:val="20"/>
              </w:rPr>
            </w:pPr>
          </w:p>
        </w:tc>
        <w:tc>
          <w:tcPr>
            <w:tcW w:w="681" w:type="pct"/>
            <w:shd w:val="clear" w:color="auto" w:fill="auto"/>
          </w:tcPr>
          <w:p w14:paraId="6282363F" w14:textId="77777777" w:rsidR="00AB1B6A" w:rsidRPr="008A60DC" w:rsidRDefault="00AB1B6A" w:rsidP="00127CDF">
            <w:pPr>
              <w:spacing w:before="120"/>
              <w:rPr>
                <w:rFonts w:eastAsia="Calibri" w:cs="Arial"/>
                <w:sz w:val="20"/>
                <w:szCs w:val="20"/>
              </w:rPr>
            </w:pPr>
            <w:r w:rsidRPr="008A60DC">
              <w:rPr>
                <w:rFonts w:eastAsia="Calibri" w:cs="Arial"/>
                <w:sz w:val="20"/>
                <w:szCs w:val="20"/>
              </w:rPr>
              <w:t>Get $5 Optus Travel™ Pack - normally $10</w:t>
            </w:r>
          </w:p>
          <w:p w14:paraId="3868008E" w14:textId="77777777" w:rsidR="00AB1B6A" w:rsidRPr="008A60DC" w:rsidRDefault="00AB1B6A" w:rsidP="00127CDF">
            <w:pPr>
              <w:spacing w:before="120"/>
              <w:jc w:val="center"/>
              <w:rPr>
                <w:rFonts w:eastAsia="Calibri" w:cs="Arial"/>
                <w:sz w:val="20"/>
                <w:szCs w:val="20"/>
              </w:rPr>
            </w:pPr>
          </w:p>
        </w:tc>
        <w:tc>
          <w:tcPr>
            <w:tcW w:w="756" w:type="pct"/>
            <w:shd w:val="clear" w:color="auto" w:fill="auto"/>
          </w:tcPr>
          <w:p w14:paraId="08EA101F" w14:textId="77777777" w:rsidR="00AB1B6A" w:rsidRPr="008A60DC" w:rsidRDefault="00AB1B6A" w:rsidP="00127CDF">
            <w:pPr>
              <w:spacing w:before="120"/>
              <w:rPr>
                <w:rFonts w:eastAsia="Calibri" w:cs="Arial"/>
                <w:sz w:val="20"/>
                <w:szCs w:val="20"/>
              </w:rPr>
            </w:pPr>
            <w:r w:rsidRPr="008A60DC">
              <w:rPr>
                <w:rFonts w:eastAsia="Calibri" w:cs="Arial"/>
                <w:sz w:val="20"/>
                <w:szCs w:val="20"/>
              </w:rPr>
              <w:t>Get $5 Optus Travel™ Pack - normally $10</w:t>
            </w:r>
          </w:p>
          <w:p w14:paraId="16792226" w14:textId="77777777" w:rsidR="00AB1B6A" w:rsidRPr="008A60DC" w:rsidRDefault="00AB1B6A" w:rsidP="00127CDF">
            <w:pPr>
              <w:spacing w:before="120"/>
              <w:jc w:val="center"/>
              <w:rPr>
                <w:rFonts w:eastAsia="Calibri" w:cs="Arial"/>
                <w:sz w:val="20"/>
                <w:szCs w:val="20"/>
              </w:rPr>
            </w:pPr>
          </w:p>
        </w:tc>
        <w:tc>
          <w:tcPr>
            <w:tcW w:w="764" w:type="pct"/>
          </w:tcPr>
          <w:p w14:paraId="401FB7B7" w14:textId="77777777" w:rsidR="00AB1B6A" w:rsidRPr="008A60DC" w:rsidRDefault="00AB1B6A" w:rsidP="00127CDF">
            <w:pPr>
              <w:spacing w:before="120"/>
              <w:jc w:val="center"/>
              <w:rPr>
                <w:rFonts w:eastAsia="Calibri" w:cs="Arial"/>
                <w:sz w:val="20"/>
                <w:szCs w:val="20"/>
              </w:rPr>
            </w:pPr>
            <w:r w:rsidRPr="008A60DC">
              <w:rPr>
                <w:rFonts w:eastAsia="Calibri" w:cs="Arial"/>
                <w:sz w:val="20"/>
                <w:szCs w:val="20"/>
              </w:rPr>
              <w:t>Up to 10 days</w:t>
            </w:r>
          </w:p>
        </w:tc>
        <w:tc>
          <w:tcPr>
            <w:tcW w:w="985" w:type="pct"/>
          </w:tcPr>
          <w:p w14:paraId="1BD7ABE4" w14:textId="77777777" w:rsidR="00AB1B6A" w:rsidRPr="008A60DC" w:rsidRDefault="00AB1B6A" w:rsidP="00127CDF">
            <w:pPr>
              <w:spacing w:before="120"/>
              <w:jc w:val="center"/>
              <w:rPr>
                <w:rFonts w:eastAsia="Calibri" w:cs="Arial"/>
                <w:sz w:val="20"/>
                <w:szCs w:val="20"/>
              </w:rPr>
            </w:pPr>
            <w:r w:rsidRPr="008A60DC">
              <w:rPr>
                <w:rFonts w:eastAsia="Calibri" w:cs="Arial"/>
                <w:sz w:val="20"/>
                <w:szCs w:val="20"/>
              </w:rPr>
              <w:t>Up to 10 days</w:t>
            </w:r>
          </w:p>
        </w:tc>
      </w:tr>
      <w:tr w:rsidR="00AB1B6A" w:rsidRPr="008A60DC" w14:paraId="6ADE1F17" w14:textId="77777777" w:rsidTr="00907D7F">
        <w:tc>
          <w:tcPr>
            <w:tcW w:w="1133" w:type="pct"/>
            <w:shd w:val="clear" w:color="auto" w:fill="auto"/>
          </w:tcPr>
          <w:p w14:paraId="1F789387" w14:textId="77777777" w:rsidR="00AB1B6A" w:rsidRPr="008A60DC" w:rsidRDefault="00AB1B6A" w:rsidP="00127CDF">
            <w:pPr>
              <w:spacing w:after="120"/>
              <w:rPr>
                <w:rFonts w:eastAsia="Calibri" w:cs="Arial"/>
                <w:b/>
                <w:bCs/>
                <w:sz w:val="20"/>
                <w:szCs w:val="20"/>
              </w:rPr>
            </w:pPr>
            <w:r w:rsidRPr="008A60DC">
              <w:rPr>
                <w:rFonts w:eastAsia="Calibri" w:cs="Arial"/>
                <w:b/>
                <w:bCs/>
                <w:sz w:val="20"/>
                <w:szCs w:val="20"/>
              </w:rPr>
              <w:t xml:space="preserve">Minimum total cost over 24 months </w:t>
            </w:r>
          </w:p>
        </w:tc>
        <w:tc>
          <w:tcPr>
            <w:tcW w:w="681" w:type="pct"/>
            <w:vAlign w:val="center"/>
          </w:tcPr>
          <w:p w14:paraId="6FC07835" w14:textId="77777777" w:rsidR="00AB1B6A" w:rsidRPr="008A60DC" w:rsidRDefault="00AB1B6A" w:rsidP="00127CDF">
            <w:pPr>
              <w:spacing w:after="120"/>
              <w:jc w:val="center"/>
              <w:rPr>
                <w:rFonts w:eastAsia="Calibri" w:cs="Arial"/>
                <w:sz w:val="20"/>
                <w:szCs w:val="20"/>
              </w:rPr>
            </w:pPr>
            <w:r w:rsidRPr="008A60DC">
              <w:rPr>
                <w:rFonts w:eastAsia="Calibri" w:cs="Arial"/>
                <w:sz w:val="20"/>
                <w:szCs w:val="20"/>
              </w:rPr>
              <w:t>$1080</w:t>
            </w:r>
          </w:p>
        </w:tc>
        <w:tc>
          <w:tcPr>
            <w:tcW w:w="681" w:type="pct"/>
            <w:shd w:val="clear" w:color="auto" w:fill="auto"/>
            <w:vAlign w:val="center"/>
          </w:tcPr>
          <w:p w14:paraId="45D0851C" w14:textId="77777777" w:rsidR="00AB1B6A" w:rsidRPr="008A60DC" w:rsidRDefault="00AB1B6A" w:rsidP="00127CDF">
            <w:pPr>
              <w:spacing w:after="120"/>
              <w:jc w:val="center"/>
              <w:rPr>
                <w:rFonts w:eastAsia="Calibri" w:cs="Arial"/>
                <w:sz w:val="20"/>
                <w:szCs w:val="20"/>
              </w:rPr>
            </w:pPr>
            <w:r w:rsidRPr="008A60DC">
              <w:rPr>
                <w:rFonts w:eastAsia="Calibri" w:cs="Arial"/>
                <w:sz w:val="20"/>
                <w:szCs w:val="20"/>
              </w:rPr>
              <w:t>$1680</w:t>
            </w:r>
          </w:p>
        </w:tc>
        <w:tc>
          <w:tcPr>
            <w:tcW w:w="756" w:type="pct"/>
            <w:shd w:val="clear" w:color="auto" w:fill="auto"/>
            <w:vAlign w:val="center"/>
          </w:tcPr>
          <w:p w14:paraId="6B8F66C0" w14:textId="77777777" w:rsidR="00AB1B6A" w:rsidRPr="008A60DC" w:rsidRDefault="00AB1B6A" w:rsidP="00127CDF">
            <w:pPr>
              <w:spacing w:after="120"/>
              <w:jc w:val="center"/>
              <w:rPr>
                <w:rFonts w:eastAsia="Calibri" w:cs="Arial"/>
                <w:sz w:val="20"/>
                <w:szCs w:val="20"/>
              </w:rPr>
            </w:pPr>
            <w:r w:rsidRPr="008A60DC">
              <w:rPr>
                <w:rFonts w:eastAsia="Calibri" w:cs="Arial"/>
                <w:sz w:val="20"/>
                <w:szCs w:val="20"/>
              </w:rPr>
              <w:t>$2160</w:t>
            </w:r>
          </w:p>
        </w:tc>
        <w:tc>
          <w:tcPr>
            <w:tcW w:w="764" w:type="pct"/>
          </w:tcPr>
          <w:p w14:paraId="7765BCF2" w14:textId="77777777" w:rsidR="00AB1B6A" w:rsidRPr="008A60DC" w:rsidRDefault="00AB1B6A" w:rsidP="00127CDF">
            <w:pPr>
              <w:spacing w:before="120" w:after="120"/>
              <w:jc w:val="center"/>
              <w:rPr>
                <w:rFonts w:eastAsia="Calibri" w:cs="Arial"/>
                <w:sz w:val="20"/>
                <w:szCs w:val="20"/>
              </w:rPr>
            </w:pPr>
            <w:r w:rsidRPr="008A60DC">
              <w:rPr>
                <w:rFonts w:eastAsia="Calibri" w:cs="Arial"/>
                <w:sz w:val="20"/>
                <w:szCs w:val="20"/>
              </w:rPr>
              <w:t>$2520</w:t>
            </w:r>
          </w:p>
        </w:tc>
        <w:tc>
          <w:tcPr>
            <w:tcW w:w="985" w:type="pct"/>
          </w:tcPr>
          <w:p w14:paraId="150E9105" w14:textId="77777777" w:rsidR="00AB1B6A" w:rsidRPr="008A60DC" w:rsidRDefault="00AB1B6A" w:rsidP="00127CDF">
            <w:pPr>
              <w:spacing w:before="120" w:after="120"/>
              <w:jc w:val="center"/>
              <w:rPr>
                <w:rFonts w:eastAsia="Calibri" w:cs="Arial"/>
                <w:sz w:val="20"/>
                <w:szCs w:val="20"/>
              </w:rPr>
            </w:pPr>
            <w:r w:rsidRPr="008A60DC">
              <w:rPr>
                <w:rFonts w:eastAsia="Calibri" w:cs="Arial"/>
                <w:sz w:val="20"/>
                <w:szCs w:val="20"/>
              </w:rPr>
              <w:t>$2880</w:t>
            </w:r>
          </w:p>
        </w:tc>
      </w:tr>
    </w:tbl>
    <w:p w14:paraId="665BB0FC" w14:textId="77777777" w:rsidR="00AB1B6A" w:rsidRPr="008A60DC" w:rsidRDefault="00AB1B6A" w:rsidP="00AB1B6A">
      <w:pPr>
        <w:rPr>
          <w:rFonts w:cs="Arial"/>
          <w:sz w:val="20"/>
          <w:szCs w:val="20"/>
        </w:rPr>
      </w:pPr>
      <w:r w:rsidRPr="008A60DC">
        <w:rPr>
          <w:rFonts w:cs="Arial"/>
          <w:sz w:val="20"/>
          <w:szCs w:val="20"/>
        </w:rPr>
        <w:t xml:space="preserve"> </w:t>
      </w:r>
    </w:p>
    <w:p w14:paraId="66A1A8A8" w14:textId="77777777" w:rsidR="00AB1B6A" w:rsidRPr="008A60DC" w:rsidRDefault="00AB1B6A" w:rsidP="00677FFC">
      <w:pPr>
        <w:spacing w:after="120"/>
        <w:rPr>
          <w:rFonts w:cs="Arial"/>
          <w:sz w:val="20"/>
          <w:szCs w:val="20"/>
        </w:rPr>
      </w:pPr>
      <w:r w:rsidRPr="008A60DC">
        <w:rPr>
          <w:rFonts w:cs="Arial"/>
          <w:b/>
          <w:sz w:val="20"/>
          <w:szCs w:val="20"/>
        </w:rPr>
        <w:t>Table 2 – Other usage types and charges</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5386"/>
      </w:tblGrid>
      <w:tr w:rsidR="00AB1B6A" w:rsidRPr="008A60DC" w14:paraId="6AE56057" w14:textId="77777777" w:rsidTr="000E7C1E">
        <w:tc>
          <w:tcPr>
            <w:tcW w:w="4253" w:type="dxa"/>
            <w:shd w:val="clear" w:color="auto" w:fill="auto"/>
          </w:tcPr>
          <w:p w14:paraId="62D0318F" w14:textId="77777777" w:rsidR="00AB1B6A" w:rsidRPr="008A60DC" w:rsidRDefault="00AB1B6A" w:rsidP="00127CDF">
            <w:pPr>
              <w:rPr>
                <w:rFonts w:eastAsia="Calibri" w:cs="Arial"/>
                <w:b/>
                <w:sz w:val="20"/>
                <w:szCs w:val="20"/>
              </w:rPr>
            </w:pPr>
            <w:r w:rsidRPr="008A60DC">
              <w:rPr>
                <w:rFonts w:eastAsia="Calibri" w:cs="Arial"/>
                <w:b/>
                <w:sz w:val="20"/>
                <w:szCs w:val="20"/>
              </w:rPr>
              <w:t>Usage type</w:t>
            </w:r>
          </w:p>
        </w:tc>
        <w:tc>
          <w:tcPr>
            <w:tcW w:w="5386" w:type="dxa"/>
            <w:shd w:val="clear" w:color="auto" w:fill="auto"/>
            <w:vAlign w:val="center"/>
          </w:tcPr>
          <w:p w14:paraId="680A36CE" w14:textId="77777777" w:rsidR="00AB1B6A" w:rsidRPr="008A60DC" w:rsidRDefault="00AB1B6A" w:rsidP="00127CDF">
            <w:pPr>
              <w:jc w:val="center"/>
              <w:rPr>
                <w:rFonts w:eastAsia="Calibri" w:cs="Arial"/>
                <w:b/>
                <w:sz w:val="20"/>
                <w:szCs w:val="20"/>
              </w:rPr>
            </w:pPr>
            <w:r w:rsidRPr="008A60DC">
              <w:rPr>
                <w:rFonts w:eastAsia="Calibri" w:cs="Arial"/>
                <w:b/>
                <w:sz w:val="20"/>
                <w:szCs w:val="20"/>
              </w:rPr>
              <w:t>Charge</w:t>
            </w:r>
          </w:p>
        </w:tc>
      </w:tr>
      <w:tr w:rsidR="00AB1B6A" w:rsidRPr="008A60DC" w14:paraId="4E6D5F15" w14:textId="77777777" w:rsidTr="000E7C1E">
        <w:tc>
          <w:tcPr>
            <w:tcW w:w="4253" w:type="dxa"/>
            <w:shd w:val="clear" w:color="auto" w:fill="auto"/>
          </w:tcPr>
          <w:p w14:paraId="7CADCBD5" w14:textId="77777777" w:rsidR="00AB1B6A" w:rsidRPr="008A60DC" w:rsidRDefault="00AB1B6A" w:rsidP="00127CDF">
            <w:pPr>
              <w:spacing w:after="200" w:line="276" w:lineRule="auto"/>
              <w:rPr>
                <w:rFonts w:eastAsia="Calibri" w:cs="Arial"/>
                <w:sz w:val="20"/>
                <w:szCs w:val="20"/>
              </w:rPr>
            </w:pPr>
            <w:r w:rsidRPr="008A60DC">
              <w:rPr>
                <w:rFonts w:eastAsia="Calibri" w:cs="Arial"/>
                <w:b/>
                <w:bCs/>
                <w:sz w:val="20"/>
                <w:szCs w:val="20"/>
              </w:rPr>
              <w:t xml:space="preserve">National video calls </w:t>
            </w:r>
            <w:r w:rsidRPr="008A60DC">
              <w:rPr>
                <w:rFonts w:eastAsia="Calibri" w:cs="Arial"/>
                <w:sz w:val="20"/>
                <w:szCs w:val="20"/>
              </w:rPr>
              <w:t>(per minute)</w:t>
            </w:r>
          </w:p>
        </w:tc>
        <w:tc>
          <w:tcPr>
            <w:tcW w:w="5386" w:type="dxa"/>
            <w:shd w:val="clear" w:color="auto" w:fill="auto"/>
            <w:vAlign w:val="center"/>
          </w:tcPr>
          <w:p w14:paraId="3271AFAD" w14:textId="77777777" w:rsidR="00AB1B6A" w:rsidRPr="008A60DC" w:rsidRDefault="00AB1B6A" w:rsidP="00127CDF">
            <w:pPr>
              <w:jc w:val="center"/>
              <w:rPr>
                <w:rFonts w:eastAsia="Calibri" w:cs="Arial"/>
                <w:sz w:val="20"/>
                <w:szCs w:val="20"/>
              </w:rPr>
            </w:pPr>
            <w:r w:rsidRPr="008A60DC">
              <w:rPr>
                <w:rFonts w:eastAsia="Calibri" w:cs="Arial"/>
                <w:sz w:val="20"/>
                <w:szCs w:val="20"/>
              </w:rPr>
              <w:t>$1.00 per min + 40c flagfall</w:t>
            </w:r>
          </w:p>
        </w:tc>
      </w:tr>
      <w:tr w:rsidR="00AB1B6A" w:rsidRPr="008A60DC" w14:paraId="65E80AA3" w14:textId="77777777" w:rsidTr="000E7C1E">
        <w:tc>
          <w:tcPr>
            <w:tcW w:w="4253" w:type="dxa"/>
            <w:shd w:val="clear" w:color="auto" w:fill="auto"/>
          </w:tcPr>
          <w:p w14:paraId="54E57D4C" w14:textId="77777777" w:rsidR="00AB1B6A" w:rsidRPr="008A60DC" w:rsidRDefault="00AB1B6A" w:rsidP="00127CDF">
            <w:pPr>
              <w:rPr>
                <w:rFonts w:eastAsia="Calibri" w:cs="Arial"/>
                <w:b/>
                <w:bCs/>
                <w:sz w:val="20"/>
                <w:szCs w:val="20"/>
              </w:rPr>
            </w:pPr>
            <w:r w:rsidRPr="008A60DC">
              <w:rPr>
                <w:rFonts w:eastAsia="Calibri" w:cs="Arial"/>
                <w:b/>
                <w:bCs/>
                <w:sz w:val="20"/>
                <w:szCs w:val="20"/>
              </w:rPr>
              <w:t>National Diversions</w:t>
            </w:r>
          </w:p>
        </w:tc>
        <w:tc>
          <w:tcPr>
            <w:tcW w:w="5386" w:type="dxa"/>
            <w:shd w:val="clear" w:color="auto" w:fill="auto"/>
          </w:tcPr>
          <w:p w14:paraId="0304B031" w14:textId="77777777" w:rsidR="00AB1B6A" w:rsidRPr="008A60DC" w:rsidRDefault="00AB1B6A" w:rsidP="00127CDF">
            <w:pPr>
              <w:jc w:val="center"/>
              <w:rPr>
                <w:rFonts w:eastAsia="Calibri" w:cs="Arial"/>
                <w:sz w:val="20"/>
                <w:szCs w:val="20"/>
              </w:rPr>
            </w:pPr>
            <w:r w:rsidRPr="008A60DC">
              <w:rPr>
                <w:rFonts w:eastAsia="Calibri" w:cs="Arial"/>
                <w:sz w:val="20"/>
                <w:szCs w:val="20"/>
              </w:rPr>
              <w:t>$0 per minute</w:t>
            </w:r>
          </w:p>
        </w:tc>
      </w:tr>
      <w:tr w:rsidR="00AB1B6A" w:rsidRPr="008A60DC" w14:paraId="27184DDA" w14:textId="77777777" w:rsidTr="000E7C1E">
        <w:tc>
          <w:tcPr>
            <w:tcW w:w="4253" w:type="dxa"/>
            <w:shd w:val="clear" w:color="auto" w:fill="auto"/>
          </w:tcPr>
          <w:p w14:paraId="11ECE9F5" w14:textId="77777777" w:rsidR="00AB1B6A" w:rsidRPr="008A60DC" w:rsidRDefault="00AB1B6A" w:rsidP="00127CDF">
            <w:pPr>
              <w:rPr>
                <w:rFonts w:eastAsia="Calibri" w:cs="Arial"/>
                <w:b/>
                <w:bCs/>
                <w:sz w:val="20"/>
                <w:szCs w:val="20"/>
              </w:rPr>
            </w:pPr>
            <w:r w:rsidRPr="008A60DC">
              <w:rPr>
                <w:rFonts w:eastAsia="Calibri" w:cs="Arial"/>
                <w:b/>
                <w:bCs/>
                <w:sz w:val="20"/>
                <w:szCs w:val="20"/>
              </w:rPr>
              <w:t xml:space="preserve">International Diversions </w:t>
            </w:r>
          </w:p>
        </w:tc>
        <w:tc>
          <w:tcPr>
            <w:tcW w:w="5386" w:type="dxa"/>
            <w:shd w:val="clear" w:color="auto" w:fill="auto"/>
          </w:tcPr>
          <w:p w14:paraId="48D82535" w14:textId="77777777" w:rsidR="00AB1B6A" w:rsidRPr="008A60DC" w:rsidRDefault="00AB1B6A" w:rsidP="00127CDF">
            <w:pPr>
              <w:jc w:val="center"/>
              <w:rPr>
                <w:rFonts w:eastAsia="Calibri" w:cs="Arial"/>
                <w:sz w:val="20"/>
                <w:szCs w:val="20"/>
              </w:rPr>
            </w:pPr>
            <w:r w:rsidRPr="008A60DC">
              <w:rPr>
                <w:rFonts w:eastAsia="Calibri" w:cs="Arial"/>
                <w:sz w:val="20"/>
                <w:szCs w:val="20"/>
              </w:rPr>
              <w:t>‘yes’ international rates</w:t>
            </w:r>
            <w:r w:rsidRPr="008A60DC">
              <w:rPr>
                <w:rFonts w:eastAsia="Calibri" w:cs="Arial"/>
                <w:sz w:val="20"/>
                <w:szCs w:val="20"/>
              </w:rPr>
              <w:br/>
              <w:t>See optus.com.au/international</w:t>
            </w:r>
          </w:p>
        </w:tc>
      </w:tr>
      <w:tr w:rsidR="00AB1B6A" w:rsidRPr="008A60DC" w14:paraId="3E076820" w14:textId="77777777" w:rsidTr="000E7C1E">
        <w:tc>
          <w:tcPr>
            <w:tcW w:w="4253" w:type="dxa"/>
            <w:shd w:val="clear" w:color="auto" w:fill="auto"/>
          </w:tcPr>
          <w:p w14:paraId="6A6F77BD" w14:textId="77777777" w:rsidR="00AB1B6A" w:rsidRPr="008A60DC" w:rsidRDefault="00AB1B6A" w:rsidP="00127CDF">
            <w:pPr>
              <w:rPr>
                <w:rFonts w:eastAsia="Calibri" w:cs="Arial"/>
                <w:b/>
                <w:bCs/>
                <w:sz w:val="20"/>
                <w:szCs w:val="20"/>
              </w:rPr>
            </w:pPr>
            <w:r w:rsidRPr="008A60DC">
              <w:rPr>
                <w:rFonts w:eastAsia="Calibri" w:cs="Arial"/>
                <w:b/>
                <w:bCs/>
                <w:sz w:val="20"/>
                <w:szCs w:val="20"/>
              </w:rPr>
              <w:lastRenderedPageBreak/>
              <w:t xml:space="preserve">1800 numbers </w:t>
            </w:r>
          </w:p>
        </w:tc>
        <w:tc>
          <w:tcPr>
            <w:tcW w:w="5386" w:type="dxa"/>
            <w:shd w:val="clear" w:color="auto" w:fill="auto"/>
            <w:vAlign w:val="center"/>
          </w:tcPr>
          <w:p w14:paraId="51517BCE" w14:textId="77777777" w:rsidR="00AB1B6A" w:rsidRPr="008A60DC" w:rsidRDefault="00AB1B6A" w:rsidP="00127CDF">
            <w:pPr>
              <w:jc w:val="center"/>
              <w:rPr>
                <w:rFonts w:eastAsia="Calibri" w:cs="Arial"/>
                <w:sz w:val="20"/>
                <w:szCs w:val="20"/>
              </w:rPr>
            </w:pPr>
            <w:r w:rsidRPr="008A60DC">
              <w:rPr>
                <w:rFonts w:eastAsia="Calibri" w:cs="Arial"/>
                <w:sz w:val="20"/>
                <w:szCs w:val="20"/>
              </w:rPr>
              <w:t>$0 per minute</w:t>
            </w:r>
          </w:p>
        </w:tc>
      </w:tr>
      <w:tr w:rsidR="00AB1B6A" w:rsidRPr="008A60DC" w14:paraId="78B24B31" w14:textId="77777777" w:rsidTr="000E7C1E">
        <w:tc>
          <w:tcPr>
            <w:tcW w:w="4253" w:type="dxa"/>
            <w:shd w:val="clear" w:color="auto" w:fill="auto"/>
          </w:tcPr>
          <w:p w14:paraId="3D3268BE" w14:textId="77777777" w:rsidR="00AB1B6A" w:rsidRPr="008A60DC" w:rsidRDefault="00AB1B6A" w:rsidP="00127CDF">
            <w:pPr>
              <w:rPr>
                <w:rFonts w:eastAsia="Calibri" w:cs="Arial"/>
                <w:b/>
                <w:bCs/>
                <w:sz w:val="20"/>
                <w:szCs w:val="20"/>
              </w:rPr>
            </w:pPr>
            <w:r w:rsidRPr="008A60DC">
              <w:rPr>
                <w:rFonts w:eastAsia="Calibri" w:cs="Arial"/>
                <w:b/>
                <w:bCs/>
                <w:sz w:val="20"/>
                <w:szCs w:val="20"/>
              </w:rPr>
              <w:t xml:space="preserve">Directory Assistance 1223 </w:t>
            </w:r>
          </w:p>
        </w:tc>
        <w:tc>
          <w:tcPr>
            <w:tcW w:w="5386" w:type="dxa"/>
            <w:shd w:val="clear" w:color="auto" w:fill="auto"/>
            <w:vAlign w:val="center"/>
          </w:tcPr>
          <w:p w14:paraId="51E9280D" w14:textId="77777777" w:rsidR="00AB1B6A" w:rsidRPr="008A60DC" w:rsidRDefault="00AB1B6A" w:rsidP="00127CDF">
            <w:pPr>
              <w:jc w:val="center"/>
              <w:rPr>
                <w:rFonts w:eastAsia="Calibri" w:cs="Arial"/>
                <w:sz w:val="20"/>
                <w:szCs w:val="20"/>
              </w:rPr>
            </w:pPr>
            <w:r w:rsidRPr="008A60DC">
              <w:rPr>
                <w:rFonts w:eastAsia="Calibri" w:cs="Arial"/>
                <w:sz w:val="20"/>
                <w:szCs w:val="20"/>
              </w:rPr>
              <w:t>50c per call</w:t>
            </w:r>
          </w:p>
        </w:tc>
      </w:tr>
      <w:tr w:rsidR="00AB1B6A" w:rsidRPr="008A60DC" w14:paraId="5A291903" w14:textId="77777777" w:rsidTr="000E7C1E">
        <w:tc>
          <w:tcPr>
            <w:tcW w:w="4253" w:type="dxa"/>
            <w:shd w:val="clear" w:color="auto" w:fill="auto"/>
          </w:tcPr>
          <w:p w14:paraId="6AFB9A26" w14:textId="77777777" w:rsidR="00AB1B6A" w:rsidRPr="008A60DC" w:rsidRDefault="00AB1B6A" w:rsidP="00127CDF">
            <w:pPr>
              <w:rPr>
                <w:rFonts w:eastAsia="Calibri" w:cs="Arial"/>
                <w:b/>
                <w:bCs/>
                <w:sz w:val="20"/>
                <w:szCs w:val="20"/>
              </w:rPr>
            </w:pPr>
            <w:r w:rsidRPr="008A60DC">
              <w:rPr>
                <w:rFonts w:eastAsia="Calibri" w:cs="Arial"/>
                <w:b/>
                <w:bCs/>
                <w:sz w:val="20"/>
                <w:szCs w:val="20"/>
              </w:rPr>
              <w:t>124 Yes</w:t>
            </w:r>
          </w:p>
        </w:tc>
        <w:tc>
          <w:tcPr>
            <w:tcW w:w="5386" w:type="dxa"/>
            <w:shd w:val="clear" w:color="auto" w:fill="auto"/>
            <w:vAlign w:val="center"/>
          </w:tcPr>
          <w:p w14:paraId="51558DAD" w14:textId="77777777" w:rsidR="00AB1B6A" w:rsidRPr="008A60DC" w:rsidRDefault="00AB1B6A" w:rsidP="00127CDF">
            <w:pPr>
              <w:jc w:val="center"/>
              <w:rPr>
                <w:rFonts w:eastAsia="Calibri" w:cs="Arial"/>
                <w:sz w:val="20"/>
                <w:szCs w:val="20"/>
              </w:rPr>
            </w:pPr>
            <w:r w:rsidRPr="008A60DC">
              <w:rPr>
                <w:rFonts w:eastAsia="Calibri" w:cs="Arial"/>
                <w:sz w:val="20"/>
                <w:szCs w:val="20"/>
              </w:rPr>
              <w:t>90c per minute +$1.75c flagfall</w:t>
            </w:r>
          </w:p>
        </w:tc>
      </w:tr>
      <w:tr w:rsidR="00AB1B6A" w:rsidRPr="008A60DC" w14:paraId="798D9EA5" w14:textId="77777777" w:rsidTr="000E7C1E">
        <w:tc>
          <w:tcPr>
            <w:tcW w:w="4253" w:type="dxa"/>
            <w:shd w:val="clear" w:color="auto" w:fill="auto"/>
          </w:tcPr>
          <w:p w14:paraId="75B168E5" w14:textId="77777777" w:rsidR="00AB1B6A" w:rsidRPr="008A60DC" w:rsidRDefault="00AB1B6A" w:rsidP="00127CDF">
            <w:pPr>
              <w:rPr>
                <w:rFonts w:eastAsia="Calibri" w:cs="Arial"/>
                <w:b/>
                <w:bCs/>
                <w:sz w:val="20"/>
                <w:szCs w:val="20"/>
              </w:rPr>
            </w:pPr>
            <w:r w:rsidRPr="008A60DC">
              <w:rPr>
                <w:rFonts w:eastAsia="Calibri" w:cs="Arial"/>
                <w:b/>
                <w:bCs/>
                <w:sz w:val="20"/>
                <w:szCs w:val="20"/>
              </w:rPr>
              <w:t xml:space="preserve">International voice calls (outside the plan’s included international minutes and to excluded countries) </w:t>
            </w:r>
          </w:p>
        </w:tc>
        <w:tc>
          <w:tcPr>
            <w:tcW w:w="5386" w:type="dxa"/>
            <w:shd w:val="clear" w:color="auto" w:fill="auto"/>
            <w:vAlign w:val="center"/>
          </w:tcPr>
          <w:p w14:paraId="32120D1B" w14:textId="77777777" w:rsidR="00AB1B6A" w:rsidRPr="008A60DC" w:rsidRDefault="00AB1B6A" w:rsidP="00127CDF">
            <w:pPr>
              <w:jc w:val="center"/>
              <w:rPr>
                <w:rFonts w:eastAsia="Calibri" w:cs="Arial"/>
                <w:sz w:val="20"/>
                <w:szCs w:val="20"/>
              </w:rPr>
            </w:pPr>
            <w:r w:rsidRPr="008A60DC">
              <w:rPr>
                <w:rFonts w:eastAsia="Calibri" w:cs="Arial"/>
                <w:sz w:val="20"/>
                <w:szCs w:val="20"/>
              </w:rPr>
              <w:t>‘yes’ international rates</w:t>
            </w:r>
            <w:r w:rsidRPr="008A60DC">
              <w:rPr>
                <w:rFonts w:eastAsia="Calibri" w:cs="Arial"/>
                <w:sz w:val="20"/>
                <w:szCs w:val="20"/>
              </w:rPr>
              <w:br/>
              <w:t>See optus.com.au/international</w:t>
            </w:r>
          </w:p>
        </w:tc>
      </w:tr>
      <w:tr w:rsidR="00AB1B6A" w:rsidRPr="008A60DC" w14:paraId="64BAC495" w14:textId="77777777" w:rsidTr="000E7C1E">
        <w:tc>
          <w:tcPr>
            <w:tcW w:w="4253" w:type="dxa"/>
            <w:shd w:val="clear" w:color="auto" w:fill="auto"/>
          </w:tcPr>
          <w:p w14:paraId="490C17FA" w14:textId="77777777" w:rsidR="00AB1B6A" w:rsidRPr="008A60DC" w:rsidRDefault="00AB1B6A" w:rsidP="00127CDF">
            <w:pPr>
              <w:rPr>
                <w:rFonts w:eastAsia="Calibri" w:cs="Arial"/>
                <w:b/>
                <w:bCs/>
                <w:sz w:val="20"/>
                <w:szCs w:val="20"/>
              </w:rPr>
            </w:pPr>
            <w:r w:rsidRPr="008A60DC">
              <w:rPr>
                <w:rFonts w:eastAsia="Calibri" w:cs="Arial"/>
                <w:b/>
                <w:bCs/>
                <w:sz w:val="20"/>
                <w:szCs w:val="20"/>
              </w:rPr>
              <w:t xml:space="preserve">International SMS (to excluded countries) </w:t>
            </w:r>
          </w:p>
        </w:tc>
        <w:tc>
          <w:tcPr>
            <w:tcW w:w="5386" w:type="dxa"/>
            <w:shd w:val="clear" w:color="auto" w:fill="auto"/>
            <w:vAlign w:val="center"/>
          </w:tcPr>
          <w:p w14:paraId="7000AB5B" w14:textId="77777777" w:rsidR="00AB1B6A" w:rsidRPr="008A60DC" w:rsidRDefault="00AB1B6A" w:rsidP="00127CDF">
            <w:pPr>
              <w:jc w:val="center"/>
              <w:rPr>
                <w:rFonts w:eastAsia="Calibri" w:cs="Arial"/>
                <w:sz w:val="20"/>
                <w:szCs w:val="20"/>
              </w:rPr>
            </w:pPr>
            <w:r w:rsidRPr="008A60DC">
              <w:rPr>
                <w:rFonts w:eastAsia="Calibri" w:cs="Arial"/>
                <w:sz w:val="20"/>
                <w:szCs w:val="20"/>
              </w:rPr>
              <w:t>50c per SMS up to 160 standard characters</w:t>
            </w:r>
          </w:p>
        </w:tc>
      </w:tr>
      <w:tr w:rsidR="00AB1B6A" w:rsidRPr="008A60DC" w14:paraId="399AE920" w14:textId="77777777" w:rsidTr="000E7C1E">
        <w:tc>
          <w:tcPr>
            <w:tcW w:w="4253" w:type="dxa"/>
            <w:shd w:val="clear" w:color="auto" w:fill="auto"/>
          </w:tcPr>
          <w:p w14:paraId="6C147226" w14:textId="77777777" w:rsidR="00AB1B6A" w:rsidRPr="008A60DC" w:rsidRDefault="00AB1B6A" w:rsidP="00127CDF">
            <w:pPr>
              <w:rPr>
                <w:rFonts w:eastAsia="Calibri" w:cs="Arial"/>
                <w:b/>
                <w:bCs/>
                <w:sz w:val="20"/>
                <w:szCs w:val="20"/>
              </w:rPr>
            </w:pPr>
            <w:r w:rsidRPr="008A60DC">
              <w:rPr>
                <w:rFonts w:eastAsia="Calibri" w:cs="Arial"/>
                <w:b/>
                <w:bCs/>
                <w:sz w:val="20"/>
                <w:szCs w:val="20"/>
              </w:rPr>
              <w:t>International MMS (to excluded countries)</w:t>
            </w:r>
          </w:p>
        </w:tc>
        <w:tc>
          <w:tcPr>
            <w:tcW w:w="5386" w:type="dxa"/>
            <w:shd w:val="clear" w:color="auto" w:fill="auto"/>
            <w:vAlign w:val="center"/>
          </w:tcPr>
          <w:p w14:paraId="676C1CD4" w14:textId="77777777" w:rsidR="00AB1B6A" w:rsidRPr="008A60DC" w:rsidRDefault="00AB1B6A" w:rsidP="00127CDF">
            <w:pPr>
              <w:jc w:val="center"/>
              <w:rPr>
                <w:rFonts w:eastAsia="Calibri" w:cs="Arial"/>
                <w:sz w:val="20"/>
                <w:szCs w:val="20"/>
              </w:rPr>
            </w:pPr>
            <w:r w:rsidRPr="008A60DC">
              <w:rPr>
                <w:rFonts w:eastAsia="Calibri" w:cs="Arial"/>
                <w:sz w:val="20"/>
                <w:szCs w:val="20"/>
              </w:rPr>
              <w:t xml:space="preserve">75c per MMS </w:t>
            </w:r>
          </w:p>
        </w:tc>
      </w:tr>
      <w:tr w:rsidR="00AB1B6A" w:rsidRPr="008A60DC" w14:paraId="0F9DDBCC" w14:textId="77777777" w:rsidTr="000E7C1E">
        <w:tc>
          <w:tcPr>
            <w:tcW w:w="4253" w:type="dxa"/>
            <w:shd w:val="clear" w:color="auto" w:fill="auto"/>
          </w:tcPr>
          <w:p w14:paraId="06EE50FD" w14:textId="77777777" w:rsidR="00AB1B6A" w:rsidRPr="008A60DC" w:rsidRDefault="00AB1B6A" w:rsidP="00127CDF">
            <w:pPr>
              <w:rPr>
                <w:rFonts w:eastAsia="Calibri" w:cs="Arial"/>
                <w:b/>
                <w:bCs/>
                <w:sz w:val="20"/>
                <w:szCs w:val="20"/>
              </w:rPr>
            </w:pPr>
            <w:r w:rsidRPr="008A60DC">
              <w:rPr>
                <w:rFonts w:eastAsia="Calibri" w:cs="Arial"/>
                <w:b/>
                <w:bCs/>
                <w:sz w:val="20"/>
                <w:szCs w:val="20"/>
              </w:rPr>
              <w:t xml:space="preserve">International video calling </w:t>
            </w:r>
          </w:p>
        </w:tc>
        <w:tc>
          <w:tcPr>
            <w:tcW w:w="5386" w:type="dxa"/>
            <w:shd w:val="clear" w:color="auto" w:fill="auto"/>
            <w:vAlign w:val="center"/>
          </w:tcPr>
          <w:p w14:paraId="7FA59DA6" w14:textId="77777777" w:rsidR="00AB1B6A" w:rsidRPr="008A60DC" w:rsidRDefault="00AB1B6A" w:rsidP="00127CDF">
            <w:pPr>
              <w:jc w:val="center"/>
              <w:rPr>
                <w:rFonts w:eastAsia="Calibri" w:cs="Arial"/>
                <w:sz w:val="20"/>
                <w:szCs w:val="20"/>
              </w:rPr>
            </w:pPr>
            <w:r w:rsidRPr="008A60DC">
              <w:rPr>
                <w:rFonts w:eastAsia="Calibri" w:cs="Arial"/>
                <w:sz w:val="20"/>
                <w:szCs w:val="20"/>
              </w:rPr>
              <w:t>$1.50 per minute +35c flagfall</w:t>
            </w:r>
          </w:p>
        </w:tc>
      </w:tr>
      <w:tr w:rsidR="00AB1B6A" w:rsidRPr="008A60DC" w14:paraId="35490609" w14:textId="77777777" w:rsidTr="000E7C1E">
        <w:tc>
          <w:tcPr>
            <w:tcW w:w="4253" w:type="dxa"/>
            <w:shd w:val="clear" w:color="auto" w:fill="auto"/>
          </w:tcPr>
          <w:p w14:paraId="3605E991" w14:textId="77777777" w:rsidR="00AB1B6A" w:rsidRPr="008A60DC" w:rsidRDefault="00AB1B6A" w:rsidP="00127CDF">
            <w:pPr>
              <w:rPr>
                <w:rFonts w:eastAsia="Calibri" w:cs="Arial"/>
                <w:b/>
                <w:bCs/>
                <w:sz w:val="20"/>
                <w:szCs w:val="20"/>
              </w:rPr>
            </w:pPr>
            <w:r w:rsidRPr="008A60DC">
              <w:rPr>
                <w:rFonts w:eastAsia="Calibri" w:cs="Arial"/>
                <w:b/>
                <w:bCs/>
                <w:sz w:val="20"/>
                <w:szCs w:val="20"/>
              </w:rPr>
              <w:t xml:space="preserve">International roaming </w:t>
            </w:r>
          </w:p>
        </w:tc>
        <w:tc>
          <w:tcPr>
            <w:tcW w:w="5386" w:type="dxa"/>
            <w:shd w:val="clear" w:color="auto" w:fill="auto"/>
            <w:vAlign w:val="center"/>
          </w:tcPr>
          <w:p w14:paraId="1BDE2BF5" w14:textId="77777777" w:rsidR="00AB1B6A" w:rsidRPr="008A60DC" w:rsidRDefault="00AB1B6A" w:rsidP="00127CDF">
            <w:pPr>
              <w:jc w:val="center"/>
              <w:rPr>
                <w:rFonts w:eastAsia="Calibri" w:cs="Arial"/>
                <w:sz w:val="20"/>
                <w:szCs w:val="20"/>
              </w:rPr>
            </w:pPr>
            <w:r w:rsidRPr="008A60DC">
              <w:rPr>
                <w:rFonts w:eastAsia="Calibri" w:cs="Arial"/>
                <w:sz w:val="20"/>
                <w:szCs w:val="20"/>
              </w:rPr>
              <w:t>See optus.com.au/roaming</w:t>
            </w:r>
          </w:p>
        </w:tc>
      </w:tr>
    </w:tbl>
    <w:p w14:paraId="4D794B4E" w14:textId="77777777" w:rsidR="00AB1B6A" w:rsidRDefault="00AB1B6A" w:rsidP="00AB1B6A">
      <w:pPr>
        <w:rPr>
          <w:rFonts w:cs="Arial"/>
          <w:b/>
          <w:sz w:val="20"/>
          <w:szCs w:val="20"/>
        </w:rPr>
      </w:pPr>
    </w:p>
    <w:p w14:paraId="414AC67A" w14:textId="77777777" w:rsidR="00AB1B6A" w:rsidRPr="008A60DC" w:rsidRDefault="00AB1B6A" w:rsidP="00677FFC">
      <w:pPr>
        <w:spacing w:after="120"/>
        <w:rPr>
          <w:rFonts w:cs="Arial"/>
          <w:b/>
          <w:sz w:val="20"/>
          <w:szCs w:val="20"/>
        </w:rPr>
      </w:pPr>
      <w:r w:rsidRPr="008A60DC">
        <w:rPr>
          <w:rFonts w:cs="Arial"/>
          <w:b/>
          <w:sz w:val="20"/>
          <w:szCs w:val="20"/>
        </w:rPr>
        <w:t>Table 3 – Internat</w:t>
      </w:r>
      <w:r>
        <w:rPr>
          <w:rFonts w:cs="Arial"/>
          <w:b/>
          <w:sz w:val="20"/>
          <w:szCs w:val="20"/>
        </w:rPr>
        <w:t>ional Countries</w:t>
      </w:r>
    </w:p>
    <w:tbl>
      <w:tblPr>
        <w:tblW w:w="93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50"/>
        <w:gridCol w:w="2353"/>
        <w:gridCol w:w="2340"/>
      </w:tblGrid>
      <w:tr w:rsidR="00AB1B6A" w:rsidRPr="008A60DC" w14:paraId="24D040ED" w14:textId="77777777" w:rsidTr="000E7C1E">
        <w:tc>
          <w:tcPr>
            <w:tcW w:w="2337" w:type="dxa"/>
            <w:shd w:val="clear" w:color="auto" w:fill="auto"/>
          </w:tcPr>
          <w:p w14:paraId="6CAD19AC" w14:textId="77777777" w:rsidR="00AB1B6A" w:rsidRPr="008A60DC" w:rsidRDefault="00AB1B6A" w:rsidP="00127CDF">
            <w:pPr>
              <w:rPr>
                <w:rFonts w:eastAsia="Calibri" w:cs="Arial"/>
                <w:b/>
                <w:sz w:val="20"/>
                <w:szCs w:val="20"/>
              </w:rPr>
            </w:pPr>
            <w:r w:rsidRPr="008A60DC">
              <w:rPr>
                <w:rFonts w:eastAsia="Calibri" w:cs="Arial"/>
                <w:sz w:val="20"/>
                <w:szCs w:val="20"/>
              </w:rPr>
              <w:t>Austria</w:t>
            </w:r>
          </w:p>
        </w:tc>
        <w:tc>
          <w:tcPr>
            <w:tcW w:w="2350" w:type="dxa"/>
            <w:shd w:val="clear" w:color="auto" w:fill="auto"/>
          </w:tcPr>
          <w:p w14:paraId="47BED624" w14:textId="77777777" w:rsidR="00AB1B6A" w:rsidRPr="008A60DC" w:rsidRDefault="00AB1B6A" w:rsidP="00127CDF">
            <w:pPr>
              <w:rPr>
                <w:rFonts w:eastAsia="Calibri" w:cs="Arial"/>
                <w:b/>
                <w:sz w:val="20"/>
                <w:szCs w:val="20"/>
              </w:rPr>
            </w:pPr>
            <w:r w:rsidRPr="008A60DC">
              <w:rPr>
                <w:rFonts w:eastAsia="Calibri" w:cs="Arial"/>
                <w:sz w:val="20"/>
                <w:szCs w:val="20"/>
              </w:rPr>
              <w:t>Bangladesh</w:t>
            </w:r>
          </w:p>
        </w:tc>
        <w:tc>
          <w:tcPr>
            <w:tcW w:w="2353" w:type="dxa"/>
            <w:shd w:val="clear" w:color="auto" w:fill="auto"/>
          </w:tcPr>
          <w:p w14:paraId="7F2A0A40" w14:textId="77777777" w:rsidR="00AB1B6A" w:rsidRPr="008A60DC" w:rsidRDefault="00AB1B6A" w:rsidP="00127CDF">
            <w:pPr>
              <w:rPr>
                <w:rFonts w:eastAsia="Calibri" w:cs="Arial"/>
                <w:b/>
                <w:sz w:val="20"/>
                <w:szCs w:val="20"/>
              </w:rPr>
            </w:pPr>
            <w:r w:rsidRPr="008A60DC">
              <w:rPr>
                <w:rFonts w:eastAsia="Calibri" w:cs="Arial"/>
                <w:sz w:val="20"/>
                <w:szCs w:val="20"/>
              </w:rPr>
              <w:t>Cambodia</w:t>
            </w:r>
          </w:p>
        </w:tc>
        <w:tc>
          <w:tcPr>
            <w:tcW w:w="2340" w:type="dxa"/>
            <w:shd w:val="clear" w:color="auto" w:fill="auto"/>
          </w:tcPr>
          <w:p w14:paraId="0AD83E07" w14:textId="77777777" w:rsidR="00AB1B6A" w:rsidRPr="008A60DC" w:rsidRDefault="00AB1B6A" w:rsidP="00127CDF">
            <w:pPr>
              <w:rPr>
                <w:rFonts w:eastAsia="Calibri" w:cs="Arial"/>
                <w:b/>
                <w:sz w:val="20"/>
                <w:szCs w:val="20"/>
              </w:rPr>
            </w:pPr>
            <w:r w:rsidRPr="008A60DC">
              <w:rPr>
                <w:rFonts w:eastAsia="Calibri" w:cs="Arial"/>
                <w:sz w:val="20"/>
                <w:szCs w:val="20"/>
              </w:rPr>
              <w:t>Canada</w:t>
            </w:r>
          </w:p>
        </w:tc>
      </w:tr>
      <w:tr w:rsidR="00AB1B6A" w:rsidRPr="008A60DC" w14:paraId="06D4AE00" w14:textId="77777777" w:rsidTr="000E7C1E">
        <w:tc>
          <w:tcPr>
            <w:tcW w:w="2337" w:type="dxa"/>
            <w:shd w:val="clear" w:color="auto" w:fill="auto"/>
          </w:tcPr>
          <w:p w14:paraId="64578848" w14:textId="77777777" w:rsidR="00AB1B6A" w:rsidRPr="008A60DC" w:rsidRDefault="00AB1B6A" w:rsidP="00127CDF">
            <w:pPr>
              <w:rPr>
                <w:rFonts w:eastAsia="Calibri" w:cs="Arial"/>
                <w:b/>
                <w:sz w:val="20"/>
                <w:szCs w:val="20"/>
              </w:rPr>
            </w:pPr>
            <w:r w:rsidRPr="008A60DC">
              <w:rPr>
                <w:rFonts w:eastAsia="Calibri" w:cs="Arial"/>
                <w:sz w:val="20"/>
                <w:szCs w:val="20"/>
              </w:rPr>
              <w:t xml:space="preserve">Chile </w:t>
            </w:r>
          </w:p>
        </w:tc>
        <w:tc>
          <w:tcPr>
            <w:tcW w:w="2350" w:type="dxa"/>
            <w:shd w:val="clear" w:color="auto" w:fill="auto"/>
          </w:tcPr>
          <w:p w14:paraId="0D14173D" w14:textId="77777777" w:rsidR="00AB1B6A" w:rsidRPr="008A60DC" w:rsidRDefault="00AB1B6A" w:rsidP="00127CDF">
            <w:pPr>
              <w:rPr>
                <w:rFonts w:eastAsia="Calibri" w:cs="Arial"/>
                <w:b/>
                <w:sz w:val="20"/>
                <w:szCs w:val="20"/>
              </w:rPr>
            </w:pPr>
            <w:r w:rsidRPr="008A60DC">
              <w:rPr>
                <w:rFonts w:eastAsia="Calibri" w:cs="Arial"/>
                <w:sz w:val="20"/>
                <w:szCs w:val="20"/>
              </w:rPr>
              <w:t xml:space="preserve">China </w:t>
            </w:r>
          </w:p>
        </w:tc>
        <w:tc>
          <w:tcPr>
            <w:tcW w:w="2353" w:type="dxa"/>
            <w:shd w:val="clear" w:color="auto" w:fill="auto"/>
          </w:tcPr>
          <w:p w14:paraId="56CC33E9" w14:textId="77777777" w:rsidR="00AB1B6A" w:rsidRPr="008A60DC" w:rsidRDefault="00AB1B6A" w:rsidP="00127CDF">
            <w:pPr>
              <w:rPr>
                <w:rFonts w:eastAsia="Calibri" w:cs="Arial"/>
                <w:b/>
                <w:sz w:val="20"/>
                <w:szCs w:val="20"/>
              </w:rPr>
            </w:pPr>
            <w:r w:rsidRPr="008A60DC">
              <w:rPr>
                <w:rFonts w:eastAsia="Calibri" w:cs="Arial"/>
                <w:sz w:val="20"/>
                <w:szCs w:val="20"/>
              </w:rPr>
              <w:t xml:space="preserve">Croatia </w:t>
            </w:r>
          </w:p>
        </w:tc>
        <w:tc>
          <w:tcPr>
            <w:tcW w:w="2340" w:type="dxa"/>
            <w:shd w:val="clear" w:color="auto" w:fill="auto"/>
          </w:tcPr>
          <w:p w14:paraId="72F046AF" w14:textId="77777777" w:rsidR="00AB1B6A" w:rsidRPr="008A60DC" w:rsidRDefault="00AB1B6A" w:rsidP="00127CDF">
            <w:pPr>
              <w:rPr>
                <w:rFonts w:eastAsia="Calibri" w:cs="Arial"/>
                <w:b/>
                <w:sz w:val="20"/>
                <w:szCs w:val="20"/>
              </w:rPr>
            </w:pPr>
            <w:r w:rsidRPr="008A60DC">
              <w:rPr>
                <w:rFonts w:eastAsia="Calibri" w:cs="Arial"/>
                <w:sz w:val="20"/>
                <w:szCs w:val="20"/>
              </w:rPr>
              <w:t>France</w:t>
            </w:r>
          </w:p>
        </w:tc>
      </w:tr>
      <w:tr w:rsidR="00AB1B6A" w:rsidRPr="008A60DC" w14:paraId="721CCC34" w14:textId="77777777" w:rsidTr="000E7C1E">
        <w:tc>
          <w:tcPr>
            <w:tcW w:w="2337" w:type="dxa"/>
            <w:shd w:val="clear" w:color="auto" w:fill="auto"/>
          </w:tcPr>
          <w:p w14:paraId="2823E462" w14:textId="77777777" w:rsidR="00AB1B6A" w:rsidRPr="008A60DC" w:rsidRDefault="00AB1B6A" w:rsidP="00127CDF">
            <w:pPr>
              <w:rPr>
                <w:rFonts w:eastAsia="Calibri" w:cs="Arial"/>
                <w:b/>
                <w:sz w:val="20"/>
                <w:szCs w:val="20"/>
              </w:rPr>
            </w:pPr>
            <w:r w:rsidRPr="008A60DC">
              <w:rPr>
                <w:rFonts w:eastAsia="Calibri" w:cs="Arial"/>
                <w:sz w:val="20"/>
                <w:szCs w:val="20"/>
              </w:rPr>
              <w:t>Germany</w:t>
            </w:r>
          </w:p>
        </w:tc>
        <w:tc>
          <w:tcPr>
            <w:tcW w:w="2350" w:type="dxa"/>
            <w:shd w:val="clear" w:color="auto" w:fill="auto"/>
          </w:tcPr>
          <w:p w14:paraId="03FD47CA" w14:textId="77777777" w:rsidR="00AB1B6A" w:rsidRPr="008A60DC" w:rsidRDefault="00AB1B6A" w:rsidP="00127CDF">
            <w:pPr>
              <w:rPr>
                <w:rFonts w:eastAsia="Calibri" w:cs="Arial"/>
                <w:b/>
                <w:sz w:val="20"/>
                <w:szCs w:val="20"/>
              </w:rPr>
            </w:pPr>
            <w:r w:rsidRPr="008A60DC">
              <w:rPr>
                <w:rFonts w:eastAsia="Calibri" w:cs="Arial"/>
                <w:sz w:val="20"/>
                <w:szCs w:val="20"/>
              </w:rPr>
              <w:t>Greece</w:t>
            </w:r>
          </w:p>
        </w:tc>
        <w:tc>
          <w:tcPr>
            <w:tcW w:w="2353" w:type="dxa"/>
            <w:shd w:val="clear" w:color="auto" w:fill="auto"/>
          </w:tcPr>
          <w:p w14:paraId="26B7CF1A" w14:textId="77777777" w:rsidR="00AB1B6A" w:rsidRPr="008A60DC" w:rsidRDefault="00AB1B6A" w:rsidP="00127CDF">
            <w:pPr>
              <w:rPr>
                <w:rFonts w:eastAsia="Calibri" w:cs="Arial"/>
                <w:b/>
                <w:sz w:val="20"/>
                <w:szCs w:val="20"/>
              </w:rPr>
            </w:pPr>
            <w:r w:rsidRPr="008A60DC">
              <w:rPr>
                <w:rFonts w:eastAsia="Calibri" w:cs="Arial"/>
                <w:sz w:val="20"/>
                <w:szCs w:val="20"/>
              </w:rPr>
              <w:t>Hong Kong</w:t>
            </w:r>
          </w:p>
        </w:tc>
        <w:tc>
          <w:tcPr>
            <w:tcW w:w="2340" w:type="dxa"/>
            <w:shd w:val="clear" w:color="auto" w:fill="auto"/>
          </w:tcPr>
          <w:p w14:paraId="7490CD31" w14:textId="77777777" w:rsidR="00AB1B6A" w:rsidRPr="008A60DC" w:rsidRDefault="00AB1B6A" w:rsidP="00127CDF">
            <w:pPr>
              <w:rPr>
                <w:rFonts w:eastAsia="Calibri" w:cs="Arial"/>
                <w:b/>
                <w:sz w:val="20"/>
                <w:szCs w:val="20"/>
              </w:rPr>
            </w:pPr>
            <w:r w:rsidRPr="008A60DC">
              <w:rPr>
                <w:rFonts w:eastAsia="Calibri" w:cs="Arial"/>
                <w:sz w:val="20"/>
                <w:szCs w:val="20"/>
              </w:rPr>
              <w:t>Hungary</w:t>
            </w:r>
          </w:p>
        </w:tc>
      </w:tr>
      <w:tr w:rsidR="00AB1B6A" w:rsidRPr="008A60DC" w14:paraId="6B909C90" w14:textId="77777777" w:rsidTr="000E7C1E">
        <w:tc>
          <w:tcPr>
            <w:tcW w:w="2337" w:type="dxa"/>
            <w:shd w:val="clear" w:color="auto" w:fill="auto"/>
          </w:tcPr>
          <w:p w14:paraId="55D2ED63" w14:textId="77777777" w:rsidR="00AB1B6A" w:rsidRPr="008A60DC" w:rsidRDefault="00AB1B6A" w:rsidP="00127CDF">
            <w:pPr>
              <w:rPr>
                <w:rFonts w:eastAsia="Calibri" w:cs="Arial"/>
                <w:b/>
                <w:sz w:val="20"/>
                <w:szCs w:val="20"/>
              </w:rPr>
            </w:pPr>
            <w:r w:rsidRPr="008A60DC">
              <w:rPr>
                <w:rFonts w:eastAsia="Calibri" w:cs="Arial"/>
                <w:sz w:val="20"/>
                <w:szCs w:val="20"/>
              </w:rPr>
              <w:t>Indonesia</w:t>
            </w:r>
          </w:p>
        </w:tc>
        <w:tc>
          <w:tcPr>
            <w:tcW w:w="2350" w:type="dxa"/>
            <w:shd w:val="clear" w:color="auto" w:fill="auto"/>
          </w:tcPr>
          <w:p w14:paraId="17E9CA9B" w14:textId="77777777" w:rsidR="00AB1B6A" w:rsidRPr="008A60DC" w:rsidRDefault="00AB1B6A" w:rsidP="00127CDF">
            <w:pPr>
              <w:rPr>
                <w:rFonts w:eastAsia="Calibri" w:cs="Arial"/>
                <w:b/>
                <w:sz w:val="20"/>
                <w:szCs w:val="20"/>
              </w:rPr>
            </w:pPr>
            <w:r w:rsidRPr="008A60DC">
              <w:rPr>
                <w:rFonts w:eastAsia="Calibri" w:cs="Arial"/>
                <w:sz w:val="20"/>
                <w:szCs w:val="20"/>
              </w:rPr>
              <w:t>India</w:t>
            </w:r>
          </w:p>
        </w:tc>
        <w:tc>
          <w:tcPr>
            <w:tcW w:w="2353" w:type="dxa"/>
            <w:shd w:val="clear" w:color="auto" w:fill="auto"/>
          </w:tcPr>
          <w:p w14:paraId="7F0E5567" w14:textId="77777777" w:rsidR="00AB1B6A" w:rsidRPr="008A60DC" w:rsidRDefault="00AB1B6A" w:rsidP="00127CDF">
            <w:pPr>
              <w:rPr>
                <w:rFonts w:eastAsia="Calibri" w:cs="Arial"/>
                <w:b/>
                <w:sz w:val="20"/>
                <w:szCs w:val="20"/>
              </w:rPr>
            </w:pPr>
            <w:r w:rsidRPr="008A60DC">
              <w:rPr>
                <w:rFonts w:eastAsia="Calibri" w:cs="Arial"/>
                <w:sz w:val="20"/>
                <w:szCs w:val="20"/>
              </w:rPr>
              <w:t>Ireland</w:t>
            </w:r>
          </w:p>
        </w:tc>
        <w:tc>
          <w:tcPr>
            <w:tcW w:w="2340" w:type="dxa"/>
            <w:shd w:val="clear" w:color="auto" w:fill="auto"/>
          </w:tcPr>
          <w:p w14:paraId="63EF39FD" w14:textId="77777777" w:rsidR="00AB1B6A" w:rsidRPr="008A60DC" w:rsidRDefault="00AB1B6A" w:rsidP="00127CDF">
            <w:pPr>
              <w:rPr>
                <w:rFonts w:eastAsia="Calibri" w:cs="Arial"/>
                <w:b/>
                <w:sz w:val="20"/>
                <w:szCs w:val="20"/>
              </w:rPr>
            </w:pPr>
            <w:r w:rsidRPr="008A60DC">
              <w:rPr>
                <w:rFonts w:eastAsia="Calibri" w:cs="Arial"/>
                <w:sz w:val="20"/>
                <w:szCs w:val="20"/>
              </w:rPr>
              <w:t>Italy</w:t>
            </w:r>
          </w:p>
        </w:tc>
      </w:tr>
      <w:tr w:rsidR="00AB1B6A" w:rsidRPr="008A60DC" w14:paraId="0C39AC1D" w14:textId="77777777" w:rsidTr="000E7C1E">
        <w:tc>
          <w:tcPr>
            <w:tcW w:w="2337" w:type="dxa"/>
            <w:shd w:val="clear" w:color="auto" w:fill="auto"/>
          </w:tcPr>
          <w:p w14:paraId="25D3319B" w14:textId="77777777" w:rsidR="00AB1B6A" w:rsidRPr="008A60DC" w:rsidRDefault="00AB1B6A" w:rsidP="00127CDF">
            <w:pPr>
              <w:rPr>
                <w:rFonts w:eastAsia="Calibri" w:cs="Arial"/>
                <w:b/>
                <w:sz w:val="20"/>
                <w:szCs w:val="20"/>
              </w:rPr>
            </w:pPr>
            <w:r w:rsidRPr="008A60DC">
              <w:rPr>
                <w:rFonts w:eastAsia="Calibri" w:cs="Arial"/>
                <w:sz w:val="20"/>
                <w:szCs w:val="20"/>
              </w:rPr>
              <w:t xml:space="preserve">Japan </w:t>
            </w:r>
          </w:p>
        </w:tc>
        <w:tc>
          <w:tcPr>
            <w:tcW w:w="2350" w:type="dxa"/>
            <w:shd w:val="clear" w:color="auto" w:fill="auto"/>
          </w:tcPr>
          <w:p w14:paraId="3222D35D" w14:textId="77777777" w:rsidR="00AB1B6A" w:rsidRPr="008A60DC" w:rsidRDefault="00AB1B6A" w:rsidP="00127CDF">
            <w:pPr>
              <w:rPr>
                <w:rFonts w:eastAsia="Calibri" w:cs="Arial"/>
                <w:b/>
                <w:sz w:val="20"/>
                <w:szCs w:val="20"/>
              </w:rPr>
            </w:pPr>
            <w:r w:rsidRPr="008A60DC">
              <w:rPr>
                <w:rFonts w:eastAsia="Calibri" w:cs="Arial"/>
                <w:sz w:val="20"/>
                <w:szCs w:val="20"/>
              </w:rPr>
              <w:t>Malaysia</w:t>
            </w:r>
          </w:p>
        </w:tc>
        <w:tc>
          <w:tcPr>
            <w:tcW w:w="2353" w:type="dxa"/>
            <w:shd w:val="clear" w:color="auto" w:fill="auto"/>
          </w:tcPr>
          <w:p w14:paraId="7D135845" w14:textId="77777777" w:rsidR="00AB1B6A" w:rsidRPr="008A60DC" w:rsidRDefault="00AB1B6A" w:rsidP="00127CDF">
            <w:pPr>
              <w:rPr>
                <w:rFonts w:eastAsia="Calibri" w:cs="Arial"/>
                <w:b/>
                <w:sz w:val="20"/>
                <w:szCs w:val="20"/>
              </w:rPr>
            </w:pPr>
            <w:r w:rsidRPr="008A60DC">
              <w:rPr>
                <w:rFonts w:eastAsia="Calibri" w:cs="Arial"/>
                <w:sz w:val="20"/>
                <w:szCs w:val="20"/>
              </w:rPr>
              <w:t>Netherlands</w:t>
            </w:r>
          </w:p>
        </w:tc>
        <w:tc>
          <w:tcPr>
            <w:tcW w:w="2340" w:type="dxa"/>
            <w:shd w:val="clear" w:color="auto" w:fill="auto"/>
          </w:tcPr>
          <w:p w14:paraId="6A2E45D3" w14:textId="77777777" w:rsidR="00AB1B6A" w:rsidRPr="008A60DC" w:rsidRDefault="00AB1B6A" w:rsidP="00127CDF">
            <w:pPr>
              <w:rPr>
                <w:rFonts w:eastAsia="Calibri" w:cs="Arial"/>
                <w:b/>
                <w:sz w:val="20"/>
                <w:szCs w:val="20"/>
              </w:rPr>
            </w:pPr>
            <w:r w:rsidRPr="008A60DC">
              <w:rPr>
                <w:rFonts w:eastAsia="Calibri" w:cs="Arial"/>
                <w:sz w:val="20"/>
                <w:szCs w:val="20"/>
              </w:rPr>
              <w:t>New Zealand</w:t>
            </w:r>
          </w:p>
        </w:tc>
      </w:tr>
      <w:tr w:rsidR="00AB1B6A" w:rsidRPr="008A60DC" w14:paraId="09CF452C" w14:textId="77777777" w:rsidTr="000E7C1E">
        <w:tc>
          <w:tcPr>
            <w:tcW w:w="2337" w:type="dxa"/>
            <w:shd w:val="clear" w:color="auto" w:fill="auto"/>
          </w:tcPr>
          <w:p w14:paraId="1B8C7CB3" w14:textId="77777777" w:rsidR="00AB1B6A" w:rsidRPr="008A60DC" w:rsidRDefault="00AB1B6A" w:rsidP="00127CDF">
            <w:pPr>
              <w:rPr>
                <w:rFonts w:eastAsia="Calibri" w:cs="Arial"/>
                <w:b/>
                <w:sz w:val="20"/>
                <w:szCs w:val="20"/>
              </w:rPr>
            </w:pPr>
            <w:r w:rsidRPr="008A60DC">
              <w:rPr>
                <w:rFonts w:eastAsia="Calibri" w:cs="Arial"/>
                <w:sz w:val="20"/>
                <w:szCs w:val="20"/>
              </w:rPr>
              <w:t xml:space="preserve">Pakistan </w:t>
            </w:r>
          </w:p>
        </w:tc>
        <w:tc>
          <w:tcPr>
            <w:tcW w:w="2350" w:type="dxa"/>
            <w:shd w:val="clear" w:color="auto" w:fill="auto"/>
          </w:tcPr>
          <w:p w14:paraId="7798A049" w14:textId="77777777" w:rsidR="00AB1B6A" w:rsidRPr="008A60DC" w:rsidRDefault="00AB1B6A" w:rsidP="00127CDF">
            <w:pPr>
              <w:rPr>
                <w:rFonts w:eastAsia="Calibri" w:cs="Arial"/>
                <w:b/>
                <w:sz w:val="20"/>
                <w:szCs w:val="20"/>
              </w:rPr>
            </w:pPr>
            <w:r w:rsidRPr="008A60DC">
              <w:rPr>
                <w:rFonts w:eastAsia="Calibri" w:cs="Arial"/>
                <w:sz w:val="20"/>
                <w:szCs w:val="20"/>
              </w:rPr>
              <w:t>Philippines</w:t>
            </w:r>
          </w:p>
        </w:tc>
        <w:tc>
          <w:tcPr>
            <w:tcW w:w="2353" w:type="dxa"/>
            <w:shd w:val="clear" w:color="auto" w:fill="auto"/>
          </w:tcPr>
          <w:p w14:paraId="354A18BD" w14:textId="77777777" w:rsidR="00AB1B6A" w:rsidRPr="008A60DC" w:rsidRDefault="00AB1B6A" w:rsidP="00127CDF">
            <w:pPr>
              <w:rPr>
                <w:rFonts w:eastAsia="Calibri" w:cs="Arial"/>
                <w:b/>
                <w:sz w:val="20"/>
                <w:szCs w:val="20"/>
              </w:rPr>
            </w:pPr>
            <w:r w:rsidRPr="008A60DC">
              <w:rPr>
                <w:rFonts w:eastAsia="Calibri" w:cs="Arial"/>
                <w:sz w:val="20"/>
                <w:szCs w:val="20"/>
              </w:rPr>
              <w:t xml:space="preserve">Poland </w:t>
            </w:r>
          </w:p>
        </w:tc>
        <w:tc>
          <w:tcPr>
            <w:tcW w:w="2340" w:type="dxa"/>
            <w:shd w:val="clear" w:color="auto" w:fill="auto"/>
          </w:tcPr>
          <w:p w14:paraId="76A3ED30" w14:textId="77777777" w:rsidR="00AB1B6A" w:rsidRPr="008A60DC" w:rsidRDefault="00AB1B6A" w:rsidP="00127CDF">
            <w:pPr>
              <w:rPr>
                <w:rFonts w:eastAsia="Calibri" w:cs="Arial"/>
                <w:b/>
                <w:sz w:val="20"/>
                <w:szCs w:val="20"/>
              </w:rPr>
            </w:pPr>
            <w:r w:rsidRPr="008A60DC">
              <w:rPr>
                <w:rFonts w:eastAsia="Calibri" w:cs="Arial"/>
                <w:sz w:val="20"/>
                <w:szCs w:val="20"/>
              </w:rPr>
              <w:t>Singapore</w:t>
            </w:r>
          </w:p>
        </w:tc>
      </w:tr>
      <w:tr w:rsidR="00AB1B6A" w:rsidRPr="008A60DC" w14:paraId="5131ED2E" w14:textId="77777777" w:rsidTr="000E7C1E">
        <w:tc>
          <w:tcPr>
            <w:tcW w:w="2337" w:type="dxa"/>
            <w:shd w:val="clear" w:color="auto" w:fill="auto"/>
          </w:tcPr>
          <w:p w14:paraId="6F9D70D7" w14:textId="77777777" w:rsidR="00AB1B6A" w:rsidRPr="008A60DC" w:rsidRDefault="00AB1B6A" w:rsidP="00127CDF">
            <w:pPr>
              <w:rPr>
                <w:rFonts w:eastAsia="Calibri" w:cs="Arial"/>
                <w:b/>
                <w:sz w:val="20"/>
                <w:szCs w:val="20"/>
              </w:rPr>
            </w:pPr>
            <w:r w:rsidRPr="008A60DC">
              <w:rPr>
                <w:rFonts w:eastAsia="Calibri" w:cs="Arial"/>
                <w:sz w:val="20"/>
                <w:szCs w:val="20"/>
              </w:rPr>
              <w:t xml:space="preserve">South Africa </w:t>
            </w:r>
          </w:p>
        </w:tc>
        <w:tc>
          <w:tcPr>
            <w:tcW w:w="2350" w:type="dxa"/>
            <w:shd w:val="clear" w:color="auto" w:fill="auto"/>
          </w:tcPr>
          <w:p w14:paraId="05FEC95E" w14:textId="77777777" w:rsidR="00AB1B6A" w:rsidRPr="008A60DC" w:rsidRDefault="00AB1B6A" w:rsidP="00127CDF">
            <w:pPr>
              <w:rPr>
                <w:rFonts w:eastAsia="Calibri" w:cs="Arial"/>
                <w:b/>
                <w:sz w:val="20"/>
                <w:szCs w:val="20"/>
              </w:rPr>
            </w:pPr>
            <w:r w:rsidRPr="008A60DC">
              <w:rPr>
                <w:rFonts w:eastAsia="Calibri" w:cs="Arial"/>
                <w:sz w:val="20"/>
                <w:szCs w:val="20"/>
              </w:rPr>
              <w:t>South Korea</w:t>
            </w:r>
          </w:p>
        </w:tc>
        <w:tc>
          <w:tcPr>
            <w:tcW w:w="2353" w:type="dxa"/>
            <w:shd w:val="clear" w:color="auto" w:fill="auto"/>
          </w:tcPr>
          <w:p w14:paraId="1A7FC5EF" w14:textId="77777777" w:rsidR="00AB1B6A" w:rsidRPr="008A60DC" w:rsidRDefault="00AB1B6A" w:rsidP="00127CDF">
            <w:pPr>
              <w:rPr>
                <w:rFonts w:eastAsia="Calibri" w:cs="Arial"/>
                <w:b/>
                <w:sz w:val="20"/>
                <w:szCs w:val="20"/>
              </w:rPr>
            </w:pPr>
            <w:r w:rsidRPr="008A60DC">
              <w:rPr>
                <w:rFonts w:eastAsia="Calibri" w:cs="Arial"/>
                <w:sz w:val="20"/>
                <w:szCs w:val="20"/>
              </w:rPr>
              <w:t xml:space="preserve">Taiwan </w:t>
            </w:r>
          </w:p>
        </w:tc>
        <w:tc>
          <w:tcPr>
            <w:tcW w:w="2340" w:type="dxa"/>
            <w:shd w:val="clear" w:color="auto" w:fill="auto"/>
          </w:tcPr>
          <w:p w14:paraId="32D930CD" w14:textId="77777777" w:rsidR="00AB1B6A" w:rsidRPr="008A60DC" w:rsidRDefault="00AB1B6A" w:rsidP="00127CDF">
            <w:pPr>
              <w:rPr>
                <w:rFonts w:eastAsia="Calibri" w:cs="Arial"/>
                <w:b/>
                <w:sz w:val="20"/>
                <w:szCs w:val="20"/>
              </w:rPr>
            </w:pPr>
            <w:r w:rsidRPr="008A60DC">
              <w:rPr>
                <w:rFonts w:eastAsia="Calibri" w:cs="Arial"/>
                <w:sz w:val="20"/>
                <w:szCs w:val="20"/>
              </w:rPr>
              <w:t>Thailand</w:t>
            </w:r>
          </w:p>
        </w:tc>
      </w:tr>
      <w:tr w:rsidR="00AB1B6A" w:rsidRPr="008A60DC" w14:paraId="64152573" w14:textId="77777777" w:rsidTr="000E7C1E">
        <w:tc>
          <w:tcPr>
            <w:tcW w:w="2337" w:type="dxa"/>
            <w:shd w:val="clear" w:color="auto" w:fill="auto"/>
          </w:tcPr>
          <w:p w14:paraId="0364ED35" w14:textId="77777777" w:rsidR="00AB1B6A" w:rsidRPr="008A60DC" w:rsidRDefault="00AB1B6A" w:rsidP="00127CDF">
            <w:pPr>
              <w:rPr>
                <w:rFonts w:eastAsia="Calibri" w:cs="Arial"/>
                <w:b/>
                <w:sz w:val="20"/>
                <w:szCs w:val="20"/>
              </w:rPr>
            </w:pPr>
            <w:r w:rsidRPr="008A60DC">
              <w:rPr>
                <w:rFonts w:eastAsia="Calibri" w:cs="Arial"/>
                <w:sz w:val="20"/>
                <w:szCs w:val="20"/>
              </w:rPr>
              <w:t>Turkey</w:t>
            </w:r>
          </w:p>
        </w:tc>
        <w:tc>
          <w:tcPr>
            <w:tcW w:w="2350" w:type="dxa"/>
            <w:shd w:val="clear" w:color="auto" w:fill="auto"/>
          </w:tcPr>
          <w:p w14:paraId="51ECC885" w14:textId="77777777" w:rsidR="00AB1B6A" w:rsidRPr="008A60DC" w:rsidRDefault="00AB1B6A" w:rsidP="00127CDF">
            <w:pPr>
              <w:rPr>
                <w:rFonts w:eastAsia="Calibri" w:cs="Arial"/>
                <w:b/>
                <w:sz w:val="20"/>
                <w:szCs w:val="20"/>
              </w:rPr>
            </w:pPr>
            <w:r w:rsidRPr="008A60DC">
              <w:rPr>
                <w:rFonts w:eastAsia="Calibri" w:cs="Arial"/>
                <w:sz w:val="20"/>
                <w:szCs w:val="20"/>
              </w:rPr>
              <w:t>United Kingdom</w:t>
            </w:r>
          </w:p>
        </w:tc>
        <w:tc>
          <w:tcPr>
            <w:tcW w:w="2353" w:type="dxa"/>
            <w:shd w:val="clear" w:color="auto" w:fill="auto"/>
          </w:tcPr>
          <w:p w14:paraId="03D56DFD" w14:textId="77777777" w:rsidR="00AB1B6A" w:rsidRPr="008A60DC" w:rsidRDefault="00AB1B6A" w:rsidP="00127CDF">
            <w:pPr>
              <w:rPr>
                <w:rFonts w:eastAsia="Calibri" w:cs="Arial"/>
                <w:b/>
                <w:sz w:val="20"/>
                <w:szCs w:val="20"/>
              </w:rPr>
            </w:pPr>
            <w:r w:rsidRPr="008A60DC">
              <w:rPr>
                <w:rFonts w:eastAsia="Calibri" w:cs="Arial"/>
                <w:sz w:val="20"/>
                <w:szCs w:val="20"/>
              </w:rPr>
              <w:t xml:space="preserve">USA </w:t>
            </w:r>
          </w:p>
        </w:tc>
        <w:tc>
          <w:tcPr>
            <w:tcW w:w="2340" w:type="dxa"/>
            <w:shd w:val="clear" w:color="auto" w:fill="auto"/>
          </w:tcPr>
          <w:p w14:paraId="2DE923F4" w14:textId="77777777" w:rsidR="00AB1B6A" w:rsidRPr="008A60DC" w:rsidRDefault="00AB1B6A" w:rsidP="00127CDF">
            <w:pPr>
              <w:rPr>
                <w:rFonts w:eastAsia="Calibri" w:cs="Arial"/>
                <w:b/>
                <w:sz w:val="20"/>
                <w:szCs w:val="20"/>
              </w:rPr>
            </w:pPr>
            <w:r w:rsidRPr="008A60DC">
              <w:rPr>
                <w:rFonts w:eastAsia="Calibri" w:cs="Arial"/>
                <w:sz w:val="20"/>
                <w:szCs w:val="20"/>
              </w:rPr>
              <w:t>Vietnam</w:t>
            </w:r>
          </w:p>
        </w:tc>
      </w:tr>
    </w:tbl>
    <w:p w14:paraId="1A4A9681" w14:textId="77777777" w:rsidR="00AB1B6A" w:rsidRPr="008A60DC" w:rsidRDefault="00AB1B6A" w:rsidP="00AB1B6A">
      <w:pPr>
        <w:rPr>
          <w:rFonts w:cs="Arial"/>
          <w:b/>
          <w:sz w:val="20"/>
          <w:szCs w:val="20"/>
        </w:rPr>
      </w:pPr>
    </w:p>
    <w:p w14:paraId="3A7C91A7" w14:textId="77777777" w:rsidR="00AB1B6A" w:rsidRPr="000E7C1E" w:rsidRDefault="00AB1B6A" w:rsidP="00972274">
      <w:pPr>
        <w:pStyle w:val="OptusH2"/>
        <w:numPr>
          <w:ilvl w:val="1"/>
          <w:numId w:val="27"/>
        </w:numPr>
        <w:tabs>
          <w:tab w:val="num" w:pos="680"/>
          <w:tab w:val="left" w:pos="851"/>
        </w:tabs>
        <w:ind w:left="680" w:hanging="680"/>
        <w:rPr>
          <w:rFonts w:ascii="Arial" w:hAnsi="Arial" w:cs="Arial"/>
          <w:b w:val="0"/>
          <w:sz w:val="20"/>
        </w:rPr>
      </w:pPr>
      <w:bookmarkStart w:id="1361" w:name="_Toc460247035"/>
      <w:r w:rsidRPr="000E7C1E">
        <w:rPr>
          <w:rFonts w:ascii="Arial" w:hAnsi="Arial" w:cs="Arial"/>
          <w:b w:val="0"/>
          <w:sz w:val="20"/>
        </w:rPr>
        <w:t>My Account</w:t>
      </w:r>
      <w:bookmarkEnd w:id="1361"/>
    </w:p>
    <w:p w14:paraId="57EC95BF" w14:textId="77777777" w:rsidR="00AB1B6A" w:rsidRPr="008A60DC" w:rsidRDefault="00AB1B6A" w:rsidP="000E7C1E">
      <w:pPr>
        <w:tabs>
          <w:tab w:val="left" w:pos="1701"/>
        </w:tabs>
        <w:spacing w:before="120" w:after="240"/>
        <w:ind w:left="709"/>
        <w:rPr>
          <w:rFonts w:cs="Arial"/>
          <w:sz w:val="20"/>
          <w:szCs w:val="20"/>
        </w:rPr>
      </w:pPr>
      <w:r w:rsidRPr="008A60DC">
        <w:rPr>
          <w:rFonts w:cs="Arial"/>
          <w:sz w:val="20"/>
          <w:szCs w:val="20"/>
        </w:rPr>
        <w:t xml:space="preserve">Services that share data may have a service login to My Account which will display all of the service numbers contributing to or using the shared data pool on </w:t>
      </w:r>
      <w:r w:rsidRPr="008A60DC">
        <w:rPr>
          <w:rFonts w:cs="Arial"/>
          <w:i/>
          <w:sz w:val="20"/>
          <w:szCs w:val="20"/>
        </w:rPr>
        <w:t xml:space="preserve">your </w:t>
      </w:r>
      <w:r w:rsidRPr="008A60DC">
        <w:rPr>
          <w:rFonts w:cs="Arial"/>
          <w:sz w:val="20"/>
          <w:szCs w:val="20"/>
        </w:rPr>
        <w:t xml:space="preserve">account and the amount of data each service has used. If </w:t>
      </w:r>
      <w:r w:rsidRPr="008A60DC">
        <w:rPr>
          <w:rFonts w:cs="Arial"/>
          <w:i/>
          <w:sz w:val="20"/>
          <w:szCs w:val="20"/>
        </w:rPr>
        <w:t>you</w:t>
      </w:r>
      <w:r w:rsidRPr="008A60DC">
        <w:rPr>
          <w:rFonts w:cs="Arial"/>
          <w:sz w:val="20"/>
          <w:szCs w:val="20"/>
        </w:rPr>
        <w:t xml:space="preserve"> have more than 6 services on </w:t>
      </w:r>
      <w:r w:rsidRPr="008A60DC">
        <w:rPr>
          <w:rFonts w:cs="Arial"/>
          <w:i/>
          <w:sz w:val="20"/>
          <w:szCs w:val="20"/>
        </w:rPr>
        <w:t>your</w:t>
      </w:r>
      <w:r w:rsidRPr="008A60DC">
        <w:rPr>
          <w:rFonts w:cs="Arial"/>
          <w:sz w:val="20"/>
          <w:szCs w:val="20"/>
        </w:rPr>
        <w:t xml:space="preserve"> account, My Account may not be suitable for viewing usage and managing </w:t>
      </w:r>
      <w:r w:rsidRPr="008A60DC">
        <w:rPr>
          <w:rFonts w:cs="Arial"/>
          <w:i/>
          <w:sz w:val="20"/>
          <w:szCs w:val="20"/>
        </w:rPr>
        <w:t xml:space="preserve">your </w:t>
      </w:r>
      <w:r w:rsidRPr="008A60DC">
        <w:rPr>
          <w:rFonts w:cs="Arial"/>
          <w:sz w:val="20"/>
          <w:szCs w:val="20"/>
        </w:rPr>
        <w:t>usage alerts.</w:t>
      </w:r>
    </w:p>
    <w:p w14:paraId="2A39B7AD" w14:textId="77777777" w:rsidR="00AB1B6A" w:rsidRPr="000E7C1E" w:rsidRDefault="00AB1B6A" w:rsidP="00972274">
      <w:pPr>
        <w:pStyle w:val="OptusH2"/>
        <w:numPr>
          <w:ilvl w:val="1"/>
          <w:numId w:val="27"/>
        </w:numPr>
        <w:tabs>
          <w:tab w:val="num" w:pos="680"/>
          <w:tab w:val="left" w:pos="851"/>
        </w:tabs>
        <w:ind w:left="680" w:hanging="680"/>
        <w:rPr>
          <w:rFonts w:ascii="Arial" w:hAnsi="Arial" w:cs="Arial"/>
          <w:b w:val="0"/>
          <w:sz w:val="20"/>
        </w:rPr>
      </w:pPr>
      <w:bookmarkStart w:id="1362" w:name="_Toc460247036"/>
      <w:r w:rsidRPr="000E7C1E">
        <w:rPr>
          <w:rFonts w:ascii="Arial" w:hAnsi="Arial" w:cs="Arial"/>
          <w:b w:val="0"/>
          <w:sz w:val="20"/>
        </w:rPr>
        <w:t xml:space="preserve">What happens if the </w:t>
      </w:r>
      <w:r w:rsidRPr="000E7C1E">
        <w:rPr>
          <w:rFonts w:ascii="Arial" w:hAnsi="Arial" w:cs="Arial"/>
          <w:b w:val="0"/>
          <w:i/>
          <w:sz w:val="20"/>
        </w:rPr>
        <w:t xml:space="preserve">service </w:t>
      </w:r>
      <w:r w:rsidRPr="000E7C1E">
        <w:rPr>
          <w:rFonts w:ascii="Arial" w:hAnsi="Arial" w:cs="Arial"/>
          <w:b w:val="0"/>
          <w:sz w:val="20"/>
        </w:rPr>
        <w:t>is</w:t>
      </w:r>
      <w:r w:rsidRPr="000E7C1E">
        <w:rPr>
          <w:rFonts w:ascii="Arial" w:hAnsi="Arial" w:cs="Arial"/>
          <w:b w:val="0"/>
          <w:i/>
          <w:sz w:val="20"/>
        </w:rPr>
        <w:t xml:space="preserve"> cancelled </w:t>
      </w:r>
      <w:r w:rsidRPr="000E7C1E">
        <w:rPr>
          <w:rFonts w:ascii="Arial" w:hAnsi="Arial" w:cs="Arial"/>
          <w:b w:val="0"/>
          <w:sz w:val="20"/>
        </w:rPr>
        <w:t>early?</w:t>
      </w:r>
      <w:bookmarkEnd w:id="1362"/>
      <w:r w:rsidRPr="000E7C1E">
        <w:rPr>
          <w:rFonts w:ascii="Arial" w:hAnsi="Arial" w:cs="Arial"/>
          <w:b w:val="0"/>
          <w:sz w:val="20"/>
        </w:rPr>
        <w:t xml:space="preserve"> </w:t>
      </w:r>
    </w:p>
    <w:p w14:paraId="034821EC" w14:textId="77777777" w:rsidR="00AB1B6A" w:rsidRPr="008A60DC" w:rsidRDefault="00AB1B6A" w:rsidP="00AB1B6A">
      <w:pPr>
        <w:ind w:left="709"/>
        <w:rPr>
          <w:rFonts w:cs="Arial"/>
          <w:sz w:val="20"/>
          <w:szCs w:val="20"/>
        </w:rPr>
      </w:pPr>
      <w:r w:rsidRPr="008A60DC">
        <w:rPr>
          <w:rFonts w:cs="Arial"/>
          <w:sz w:val="20"/>
          <w:szCs w:val="20"/>
        </w:rPr>
        <w:t>If your service is cancelled before the end of your minimum term, there are no plan cancellation fees. You will simply need to pay out the sum of unpaid equipment charges owing on your mobile phone under the mobile equipment payment plan (if any).  Note any handset credit you were entitled to will be forfeited (see clause 3.12 above).</w:t>
      </w:r>
    </w:p>
    <w:p w14:paraId="014A0573" w14:textId="77777777" w:rsidR="00AB1B6A" w:rsidRPr="008A60DC" w:rsidRDefault="00AB1B6A" w:rsidP="00AB1B6A">
      <w:pPr>
        <w:pStyle w:val="OptusH2"/>
        <w:keepNext w:val="0"/>
        <w:tabs>
          <w:tab w:val="clear" w:pos="851"/>
        </w:tabs>
        <w:spacing w:before="0" w:after="0"/>
        <w:rPr>
          <w:rFonts w:ascii="Arial" w:hAnsi="Arial" w:cs="Arial"/>
          <w:sz w:val="20"/>
        </w:rPr>
      </w:pPr>
    </w:p>
    <w:p w14:paraId="0FBFAE6D" w14:textId="77777777" w:rsidR="00AB1B6A" w:rsidRPr="000846C1" w:rsidRDefault="00AB1B6A" w:rsidP="00BC25AA">
      <w:pPr>
        <w:pStyle w:val="Heading4"/>
        <w:ind w:left="720" w:hanging="720"/>
        <w:rPr>
          <w:rFonts w:cs="Arial"/>
          <w:b/>
          <w:szCs w:val="32"/>
        </w:rPr>
      </w:pPr>
      <w:bookmarkStart w:id="1363" w:name="_Toc460247048"/>
      <w:bookmarkStart w:id="1364" w:name="_Toc460512875"/>
      <w:bookmarkStart w:id="1365" w:name="_Toc460849479"/>
      <w:bookmarkStart w:id="1366" w:name="_Toc62644674"/>
      <w:r w:rsidRPr="000846C1">
        <w:rPr>
          <w:rFonts w:cs="Arial"/>
          <w:b/>
          <w:caps/>
          <w:szCs w:val="32"/>
        </w:rPr>
        <w:t>My Plan Business Tech Fund</w:t>
      </w:r>
      <w:bookmarkEnd w:id="1363"/>
      <w:r w:rsidRPr="000846C1">
        <w:rPr>
          <w:rFonts w:cs="Arial"/>
          <w:b/>
          <w:caps/>
          <w:szCs w:val="32"/>
        </w:rPr>
        <w:t xml:space="preserve"> (July 2016)</w:t>
      </w:r>
      <w:bookmarkEnd w:id="1364"/>
      <w:bookmarkEnd w:id="1365"/>
      <w:bookmarkEnd w:id="1366"/>
    </w:p>
    <w:p w14:paraId="47934510" w14:textId="77777777" w:rsidR="00AB1B6A" w:rsidRPr="008A60DC" w:rsidRDefault="00AB1B6A" w:rsidP="00AB1B6A">
      <w:pPr>
        <w:tabs>
          <w:tab w:val="left" w:pos="1701"/>
        </w:tabs>
        <w:ind w:left="426"/>
        <w:rPr>
          <w:rFonts w:cs="Arial"/>
          <w:sz w:val="20"/>
          <w:szCs w:val="20"/>
        </w:rPr>
      </w:pPr>
      <w:r w:rsidRPr="008A60DC">
        <w:rPr>
          <w:rFonts w:cs="Arial"/>
          <w:sz w:val="20"/>
          <w:szCs w:val="20"/>
        </w:rPr>
        <w:t xml:space="preserve">This section relates to the following plans. </w:t>
      </w:r>
      <w:r w:rsidRPr="008A60DC">
        <w:rPr>
          <w:rFonts w:cs="Arial"/>
          <w:i/>
          <w:sz w:val="20"/>
          <w:szCs w:val="20"/>
        </w:rPr>
        <w:t>You</w:t>
      </w:r>
      <w:r w:rsidRPr="008A60DC">
        <w:rPr>
          <w:rFonts w:cs="Arial"/>
          <w:sz w:val="20"/>
          <w:szCs w:val="20"/>
        </w:rPr>
        <w:t xml:space="preserve"> can find </w:t>
      </w:r>
      <w:r w:rsidRPr="008A60DC">
        <w:rPr>
          <w:rFonts w:cs="Arial"/>
          <w:i/>
          <w:sz w:val="20"/>
          <w:szCs w:val="20"/>
        </w:rPr>
        <w:t>your</w:t>
      </w:r>
      <w:r w:rsidRPr="008A60DC">
        <w:rPr>
          <w:rFonts w:cs="Arial"/>
          <w:sz w:val="20"/>
          <w:szCs w:val="20"/>
        </w:rPr>
        <w:t xml:space="preserve"> Plan ID on </w:t>
      </w:r>
      <w:r w:rsidRPr="008A60DC">
        <w:rPr>
          <w:rFonts w:cs="Arial"/>
          <w:i/>
          <w:sz w:val="20"/>
          <w:szCs w:val="20"/>
        </w:rPr>
        <w:t>your</w:t>
      </w:r>
      <w:r w:rsidRPr="008A60DC">
        <w:rPr>
          <w:rFonts w:cs="Arial"/>
          <w:sz w:val="20"/>
          <w:szCs w:val="20"/>
        </w:rPr>
        <w:t xml:space="preserve"> bill under the </w:t>
      </w:r>
      <w:r>
        <w:rPr>
          <w:rFonts w:cs="Arial"/>
          <w:sz w:val="20"/>
          <w:szCs w:val="20"/>
        </w:rPr>
        <w:t xml:space="preserve">Mobile Number Summary section: </w:t>
      </w:r>
      <w:r>
        <w:rPr>
          <w:rFonts w:cs="Arial"/>
          <w:sz w:val="20"/>
          <w:szCs w:val="20"/>
        </w:rPr>
        <w:br/>
      </w:r>
    </w:p>
    <w:tbl>
      <w:tblPr>
        <w:tblW w:w="963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2121"/>
        <w:gridCol w:w="3691"/>
      </w:tblGrid>
      <w:tr w:rsidR="00AB1B6A" w:rsidRPr="008A60DC" w14:paraId="2D2BDA80" w14:textId="77777777" w:rsidTr="00127CDF">
        <w:tc>
          <w:tcPr>
            <w:tcW w:w="3827" w:type="dxa"/>
            <w:shd w:val="clear" w:color="auto" w:fill="auto"/>
          </w:tcPr>
          <w:p w14:paraId="77CD49BC" w14:textId="77777777" w:rsidR="00AB1B6A" w:rsidRPr="008A60DC" w:rsidRDefault="00AB1B6A" w:rsidP="00127CDF">
            <w:pPr>
              <w:tabs>
                <w:tab w:val="left" w:pos="1701"/>
              </w:tabs>
              <w:spacing w:before="120" w:after="120"/>
              <w:jc w:val="center"/>
              <w:rPr>
                <w:rFonts w:eastAsia="Calibri" w:cs="Arial"/>
                <w:b/>
                <w:sz w:val="20"/>
                <w:szCs w:val="20"/>
              </w:rPr>
            </w:pPr>
            <w:r w:rsidRPr="008A60DC">
              <w:rPr>
                <w:rFonts w:eastAsia="Calibri" w:cs="Arial"/>
                <w:b/>
                <w:sz w:val="20"/>
                <w:szCs w:val="20"/>
              </w:rPr>
              <w:t>Plan</w:t>
            </w:r>
          </w:p>
        </w:tc>
        <w:tc>
          <w:tcPr>
            <w:tcW w:w="2121" w:type="dxa"/>
            <w:shd w:val="clear" w:color="auto" w:fill="auto"/>
          </w:tcPr>
          <w:p w14:paraId="1992BC4B" w14:textId="77777777" w:rsidR="00AB1B6A" w:rsidRPr="008A60DC" w:rsidRDefault="00AB1B6A" w:rsidP="00127CDF">
            <w:pPr>
              <w:tabs>
                <w:tab w:val="left" w:pos="1701"/>
              </w:tabs>
              <w:spacing w:before="120" w:after="120"/>
              <w:jc w:val="center"/>
              <w:rPr>
                <w:rFonts w:eastAsia="Calibri" w:cs="Arial"/>
                <w:b/>
                <w:sz w:val="20"/>
                <w:szCs w:val="20"/>
              </w:rPr>
            </w:pPr>
            <w:r w:rsidRPr="008A60DC">
              <w:rPr>
                <w:rFonts w:eastAsia="Calibri" w:cs="Arial"/>
                <w:b/>
                <w:sz w:val="20"/>
                <w:szCs w:val="20"/>
              </w:rPr>
              <w:t>Plan ID</w:t>
            </w:r>
          </w:p>
        </w:tc>
        <w:tc>
          <w:tcPr>
            <w:tcW w:w="3691" w:type="dxa"/>
            <w:shd w:val="clear" w:color="auto" w:fill="auto"/>
          </w:tcPr>
          <w:p w14:paraId="2D4E3AA0" w14:textId="77777777" w:rsidR="00AB1B6A" w:rsidRPr="008A60DC" w:rsidRDefault="00AB1B6A" w:rsidP="00127CDF">
            <w:pPr>
              <w:tabs>
                <w:tab w:val="left" w:pos="1701"/>
              </w:tabs>
              <w:spacing w:before="120" w:after="120"/>
              <w:jc w:val="center"/>
              <w:rPr>
                <w:rFonts w:eastAsia="Calibri" w:cs="Arial"/>
                <w:b/>
                <w:sz w:val="20"/>
                <w:szCs w:val="20"/>
              </w:rPr>
            </w:pPr>
            <w:r w:rsidRPr="008A60DC">
              <w:rPr>
                <w:rFonts w:eastAsia="Calibri" w:cs="Arial"/>
                <w:b/>
                <w:sz w:val="20"/>
                <w:szCs w:val="20"/>
              </w:rPr>
              <w:t>Available</w:t>
            </w:r>
          </w:p>
        </w:tc>
      </w:tr>
      <w:tr w:rsidR="00AB1B6A" w:rsidRPr="008A60DC" w14:paraId="16F0B6E6" w14:textId="77777777" w:rsidTr="00127CDF">
        <w:tc>
          <w:tcPr>
            <w:tcW w:w="3827" w:type="dxa"/>
            <w:shd w:val="clear" w:color="auto" w:fill="auto"/>
          </w:tcPr>
          <w:p w14:paraId="066A3A31" w14:textId="77777777" w:rsidR="00AB1B6A" w:rsidRPr="008A60DC" w:rsidRDefault="00AB1B6A" w:rsidP="00127CDF">
            <w:pPr>
              <w:tabs>
                <w:tab w:val="left" w:pos="1701"/>
              </w:tabs>
              <w:spacing w:before="120" w:after="120"/>
              <w:jc w:val="center"/>
              <w:rPr>
                <w:rFonts w:eastAsia="Calibri" w:cs="Arial"/>
                <w:sz w:val="20"/>
                <w:szCs w:val="20"/>
              </w:rPr>
            </w:pPr>
            <w:r w:rsidRPr="008A60DC">
              <w:rPr>
                <w:rFonts w:eastAsia="Calibri" w:cs="Arial"/>
                <w:sz w:val="20"/>
                <w:szCs w:val="20"/>
              </w:rPr>
              <w:t>$40 My Plan Business Tech Fund</w:t>
            </w:r>
          </w:p>
        </w:tc>
        <w:tc>
          <w:tcPr>
            <w:tcW w:w="2121" w:type="dxa"/>
            <w:shd w:val="clear" w:color="auto" w:fill="auto"/>
            <w:vAlign w:val="center"/>
          </w:tcPr>
          <w:p w14:paraId="34472D89" w14:textId="77777777" w:rsidR="00AB1B6A" w:rsidRPr="008A60DC" w:rsidRDefault="00AB1B6A" w:rsidP="004355C7">
            <w:pPr>
              <w:jc w:val="center"/>
              <w:rPr>
                <w:rFonts w:eastAsia="Calibri" w:cs="Arial"/>
                <w:sz w:val="20"/>
                <w:szCs w:val="20"/>
              </w:rPr>
            </w:pPr>
            <w:r w:rsidRPr="008A60DC">
              <w:rPr>
                <w:rFonts w:eastAsia="Calibri" w:cs="Arial"/>
                <w:sz w:val="20"/>
                <w:szCs w:val="20"/>
              </w:rPr>
              <w:t>800439</w:t>
            </w:r>
            <w:r w:rsidR="004355C7">
              <w:rPr>
                <w:rFonts w:eastAsia="Calibri" w:cs="Arial"/>
                <w:sz w:val="20"/>
                <w:szCs w:val="20"/>
              </w:rPr>
              <w:t>, 9669711</w:t>
            </w:r>
          </w:p>
        </w:tc>
        <w:tc>
          <w:tcPr>
            <w:tcW w:w="3691" w:type="dxa"/>
            <w:shd w:val="clear" w:color="auto" w:fill="auto"/>
          </w:tcPr>
          <w:p w14:paraId="29AAC267" w14:textId="77777777" w:rsidR="00AB1B6A" w:rsidRPr="008A60DC" w:rsidRDefault="00AB1B6A" w:rsidP="00127CDF">
            <w:pPr>
              <w:tabs>
                <w:tab w:val="left" w:pos="1701"/>
              </w:tabs>
              <w:spacing w:before="120" w:after="120"/>
              <w:jc w:val="center"/>
              <w:rPr>
                <w:rFonts w:eastAsia="Calibri" w:cs="Arial"/>
                <w:sz w:val="20"/>
                <w:szCs w:val="20"/>
              </w:rPr>
            </w:pPr>
            <w:r w:rsidRPr="008A60DC">
              <w:rPr>
                <w:rFonts w:eastAsia="Calibri" w:cs="Arial"/>
                <w:sz w:val="20"/>
                <w:szCs w:val="20"/>
              </w:rPr>
              <w:t>4 April 2016 – 4 September 2016</w:t>
            </w:r>
          </w:p>
        </w:tc>
      </w:tr>
      <w:tr w:rsidR="00AB1B6A" w:rsidRPr="008A60DC" w14:paraId="2D0875C6" w14:textId="77777777" w:rsidTr="00127CDF">
        <w:tc>
          <w:tcPr>
            <w:tcW w:w="3827" w:type="dxa"/>
            <w:shd w:val="clear" w:color="auto" w:fill="auto"/>
          </w:tcPr>
          <w:p w14:paraId="2BA541FD" w14:textId="77777777" w:rsidR="00AB1B6A" w:rsidRPr="008A60DC" w:rsidRDefault="00AB1B6A" w:rsidP="00127CDF">
            <w:pPr>
              <w:tabs>
                <w:tab w:val="left" w:pos="1701"/>
              </w:tabs>
              <w:spacing w:before="120" w:after="120"/>
              <w:jc w:val="center"/>
              <w:rPr>
                <w:rFonts w:eastAsia="Calibri" w:cs="Arial"/>
                <w:sz w:val="20"/>
                <w:szCs w:val="20"/>
              </w:rPr>
            </w:pPr>
            <w:r w:rsidRPr="008A60DC">
              <w:rPr>
                <w:rFonts w:eastAsia="Calibri" w:cs="Arial"/>
                <w:sz w:val="20"/>
                <w:szCs w:val="20"/>
              </w:rPr>
              <w:t>$65 My Plan Business Tech Fund</w:t>
            </w:r>
          </w:p>
        </w:tc>
        <w:tc>
          <w:tcPr>
            <w:tcW w:w="2121" w:type="dxa"/>
            <w:shd w:val="clear" w:color="auto" w:fill="auto"/>
            <w:vAlign w:val="center"/>
          </w:tcPr>
          <w:p w14:paraId="7DE155BB" w14:textId="77777777" w:rsidR="00AB1B6A" w:rsidRPr="008A60DC" w:rsidRDefault="00AB1B6A" w:rsidP="00127CDF">
            <w:pPr>
              <w:jc w:val="center"/>
              <w:rPr>
                <w:rFonts w:eastAsia="Calibri" w:cs="Arial"/>
                <w:sz w:val="20"/>
                <w:szCs w:val="20"/>
              </w:rPr>
            </w:pPr>
            <w:r w:rsidRPr="008A60DC">
              <w:rPr>
                <w:rFonts w:eastAsia="Calibri" w:cs="Arial"/>
                <w:sz w:val="20"/>
                <w:szCs w:val="20"/>
              </w:rPr>
              <w:t>800488</w:t>
            </w:r>
            <w:r w:rsidR="004355C7">
              <w:rPr>
                <w:rFonts w:eastAsia="Calibri" w:cs="Arial"/>
                <w:sz w:val="20"/>
                <w:szCs w:val="20"/>
              </w:rPr>
              <w:t>, 10132511</w:t>
            </w:r>
          </w:p>
        </w:tc>
        <w:tc>
          <w:tcPr>
            <w:tcW w:w="3691" w:type="dxa"/>
            <w:shd w:val="clear" w:color="auto" w:fill="auto"/>
            <w:vAlign w:val="center"/>
          </w:tcPr>
          <w:p w14:paraId="48A2EA6F" w14:textId="77777777" w:rsidR="00AB1B6A" w:rsidRPr="008A60DC" w:rsidRDefault="00AB1B6A" w:rsidP="00127CDF">
            <w:pPr>
              <w:jc w:val="center"/>
              <w:rPr>
                <w:rFonts w:cs="Arial"/>
                <w:sz w:val="20"/>
                <w:szCs w:val="20"/>
              </w:rPr>
            </w:pPr>
            <w:r w:rsidRPr="008A60DC">
              <w:rPr>
                <w:rFonts w:eastAsia="Calibri" w:cs="Arial"/>
                <w:sz w:val="20"/>
                <w:szCs w:val="20"/>
              </w:rPr>
              <w:t>4 July 2016 – 4 September 2016</w:t>
            </w:r>
          </w:p>
        </w:tc>
      </w:tr>
      <w:tr w:rsidR="00AB1B6A" w:rsidRPr="008A60DC" w14:paraId="32E7FBA9" w14:textId="77777777" w:rsidTr="00127CDF">
        <w:tc>
          <w:tcPr>
            <w:tcW w:w="3827" w:type="dxa"/>
            <w:shd w:val="clear" w:color="auto" w:fill="auto"/>
          </w:tcPr>
          <w:p w14:paraId="389AF16A" w14:textId="77777777" w:rsidR="00AB1B6A" w:rsidRPr="008A60DC" w:rsidRDefault="00AB1B6A" w:rsidP="00127CDF">
            <w:pPr>
              <w:tabs>
                <w:tab w:val="left" w:pos="1701"/>
              </w:tabs>
              <w:spacing w:before="120" w:after="120"/>
              <w:jc w:val="center"/>
              <w:rPr>
                <w:rFonts w:eastAsia="Calibri" w:cs="Arial"/>
                <w:sz w:val="20"/>
                <w:szCs w:val="20"/>
              </w:rPr>
            </w:pPr>
            <w:r w:rsidRPr="008A60DC">
              <w:rPr>
                <w:rFonts w:eastAsia="Calibri" w:cs="Arial"/>
                <w:sz w:val="20"/>
                <w:szCs w:val="20"/>
              </w:rPr>
              <w:t>$85 My Plan Business Tech Fund</w:t>
            </w:r>
          </w:p>
        </w:tc>
        <w:tc>
          <w:tcPr>
            <w:tcW w:w="2121" w:type="dxa"/>
            <w:shd w:val="clear" w:color="auto" w:fill="auto"/>
            <w:vAlign w:val="center"/>
          </w:tcPr>
          <w:p w14:paraId="2B2C4A19" w14:textId="77777777" w:rsidR="00AB1B6A" w:rsidRPr="008A60DC" w:rsidRDefault="00AB1B6A" w:rsidP="00127CDF">
            <w:pPr>
              <w:jc w:val="center"/>
              <w:rPr>
                <w:rFonts w:eastAsia="Calibri" w:cs="Arial"/>
                <w:sz w:val="20"/>
                <w:szCs w:val="20"/>
              </w:rPr>
            </w:pPr>
            <w:r w:rsidRPr="008A60DC">
              <w:rPr>
                <w:rFonts w:eastAsia="Calibri" w:cs="Arial"/>
                <w:sz w:val="20"/>
                <w:szCs w:val="20"/>
              </w:rPr>
              <w:t>800485</w:t>
            </w:r>
            <w:r w:rsidR="004355C7">
              <w:rPr>
                <w:rFonts w:eastAsia="Calibri" w:cs="Arial"/>
                <w:sz w:val="20"/>
                <w:szCs w:val="20"/>
              </w:rPr>
              <w:t>, 9793081</w:t>
            </w:r>
          </w:p>
        </w:tc>
        <w:tc>
          <w:tcPr>
            <w:tcW w:w="3691" w:type="dxa"/>
            <w:shd w:val="clear" w:color="auto" w:fill="auto"/>
            <w:vAlign w:val="center"/>
          </w:tcPr>
          <w:p w14:paraId="5D236BB6" w14:textId="77777777" w:rsidR="00AB1B6A" w:rsidRPr="008A60DC" w:rsidRDefault="00AB1B6A" w:rsidP="00127CDF">
            <w:pPr>
              <w:jc w:val="center"/>
              <w:rPr>
                <w:rFonts w:cs="Arial"/>
                <w:sz w:val="20"/>
                <w:szCs w:val="20"/>
              </w:rPr>
            </w:pPr>
            <w:r w:rsidRPr="008A60DC">
              <w:rPr>
                <w:rFonts w:eastAsia="Calibri" w:cs="Arial"/>
                <w:sz w:val="20"/>
                <w:szCs w:val="20"/>
              </w:rPr>
              <w:t>4 July 2016 – 4 September 2016</w:t>
            </w:r>
          </w:p>
        </w:tc>
      </w:tr>
      <w:tr w:rsidR="00AB1B6A" w:rsidRPr="008A60DC" w14:paraId="34CB037C" w14:textId="77777777" w:rsidTr="00127CDF">
        <w:tc>
          <w:tcPr>
            <w:tcW w:w="3827" w:type="dxa"/>
            <w:shd w:val="clear" w:color="auto" w:fill="auto"/>
          </w:tcPr>
          <w:p w14:paraId="08AE545F" w14:textId="77777777" w:rsidR="00AB1B6A" w:rsidRPr="008A60DC" w:rsidRDefault="00AB1B6A" w:rsidP="00127CDF">
            <w:pPr>
              <w:tabs>
                <w:tab w:val="left" w:pos="1701"/>
              </w:tabs>
              <w:spacing w:before="120" w:after="120"/>
              <w:jc w:val="center"/>
              <w:rPr>
                <w:rFonts w:eastAsia="Calibri" w:cs="Arial"/>
                <w:sz w:val="20"/>
                <w:szCs w:val="20"/>
              </w:rPr>
            </w:pPr>
            <w:r w:rsidRPr="008A60DC">
              <w:rPr>
                <w:rFonts w:cs="Arial"/>
                <w:sz w:val="20"/>
                <w:szCs w:val="20"/>
              </w:rPr>
              <w:t xml:space="preserve">$100 My Plan Business Tech Fund </w:t>
            </w:r>
          </w:p>
        </w:tc>
        <w:tc>
          <w:tcPr>
            <w:tcW w:w="2121" w:type="dxa"/>
            <w:shd w:val="clear" w:color="auto" w:fill="auto"/>
          </w:tcPr>
          <w:p w14:paraId="22E7690D" w14:textId="77777777" w:rsidR="00AB1B6A" w:rsidRPr="008A60DC" w:rsidRDefault="00AB1B6A" w:rsidP="00127CDF">
            <w:pPr>
              <w:spacing w:before="120"/>
              <w:jc w:val="center"/>
              <w:rPr>
                <w:rFonts w:eastAsia="Calibri" w:cs="Arial"/>
                <w:sz w:val="20"/>
                <w:szCs w:val="20"/>
              </w:rPr>
            </w:pPr>
            <w:r w:rsidRPr="008A60DC">
              <w:rPr>
                <w:rFonts w:cs="Arial"/>
                <w:sz w:val="20"/>
                <w:szCs w:val="20"/>
              </w:rPr>
              <w:t>800402</w:t>
            </w:r>
            <w:r w:rsidR="004355C7">
              <w:rPr>
                <w:rFonts w:cs="Arial"/>
                <w:sz w:val="20"/>
                <w:szCs w:val="20"/>
              </w:rPr>
              <w:t>, 9008341</w:t>
            </w:r>
          </w:p>
        </w:tc>
        <w:tc>
          <w:tcPr>
            <w:tcW w:w="3691" w:type="dxa"/>
            <w:shd w:val="clear" w:color="auto" w:fill="auto"/>
          </w:tcPr>
          <w:p w14:paraId="22B5D577" w14:textId="77777777" w:rsidR="00AB1B6A" w:rsidRPr="008A60DC" w:rsidRDefault="00AB1B6A" w:rsidP="00127CDF">
            <w:pPr>
              <w:spacing w:before="120"/>
              <w:jc w:val="center"/>
              <w:rPr>
                <w:rFonts w:eastAsia="Calibri" w:cs="Arial"/>
                <w:sz w:val="20"/>
                <w:szCs w:val="20"/>
              </w:rPr>
            </w:pPr>
            <w:r w:rsidRPr="008A60DC">
              <w:rPr>
                <w:rFonts w:eastAsia="Calibri" w:cs="Arial"/>
                <w:sz w:val="20"/>
                <w:szCs w:val="20"/>
              </w:rPr>
              <w:t>11 March 2016 – 4 September 2016</w:t>
            </w:r>
          </w:p>
        </w:tc>
      </w:tr>
      <w:tr w:rsidR="00AB1B6A" w:rsidRPr="008A60DC" w14:paraId="4F493546" w14:textId="77777777" w:rsidTr="00127CDF">
        <w:tc>
          <w:tcPr>
            <w:tcW w:w="3827" w:type="dxa"/>
            <w:shd w:val="clear" w:color="auto" w:fill="auto"/>
          </w:tcPr>
          <w:p w14:paraId="6B5169EF" w14:textId="77777777" w:rsidR="00AB1B6A" w:rsidRPr="008A60DC" w:rsidRDefault="00AB1B6A" w:rsidP="00127CDF">
            <w:pPr>
              <w:tabs>
                <w:tab w:val="left" w:pos="1701"/>
              </w:tabs>
              <w:spacing w:before="120" w:after="120"/>
              <w:jc w:val="center"/>
              <w:rPr>
                <w:rFonts w:cs="Arial"/>
                <w:sz w:val="20"/>
                <w:szCs w:val="20"/>
              </w:rPr>
            </w:pPr>
            <w:r w:rsidRPr="008A60DC">
              <w:rPr>
                <w:rFonts w:cs="Arial"/>
                <w:sz w:val="20"/>
                <w:szCs w:val="20"/>
              </w:rPr>
              <w:t>$120 My Plan Business Tech Fund</w:t>
            </w:r>
          </w:p>
        </w:tc>
        <w:tc>
          <w:tcPr>
            <w:tcW w:w="2121" w:type="dxa"/>
            <w:shd w:val="clear" w:color="auto" w:fill="auto"/>
          </w:tcPr>
          <w:p w14:paraId="2D59F760" w14:textId="77777777" w:rsidR="00AB1B6A" w:rsidRPr="008A60DC" w:rsidDel="00432A16" w:rsidRDefault="00AB1B6A" w:rsidP="00127CDF">
            <w:pPr>
              <w:spacing w:before="120"/>
              <w:jc w:val="center"/>
              <w:rPr>
                <w:rFonts w:cs="Arial"/>
                <w:sz w:val="20"/>
                <w:szCs w:val="20"/>
              </w:rPr>
            </w:pPr>
            <w:r w:rsidRPr="008A60DC">
              <w:rPr>
                <w:rFonts w:cs="Arial"/>
                <w:sz w:val="20"/>
                <w:szCs w:val="20"/>
              </w:rPr>
              <w:t>800403</w:t>
            </w:r>
            <w:r w:rsidR="004355C7">
              <w:rPr>
                <w:rFonts w:cs="Arial"/>
                <w:sz w:val="20"/>
                <w:szCs w:val="20"/>
              </w:rPr>
              <w:t>, 9008351</w:t>
            </w:r>
          </w:p>
        </w:tc>
        <w:tc>
          <w:tcPr>
            <w:tcW w:w="3691" w:type="dxa"/>
            <w:shd w:val="clear" w:color="auto" w:fill="auto"/>
          </w:tcPr>
          <w:p w14:paraId="6F73F9F6" w14:textId="77777777" w:rsidR="00AB1B6A" w:rsidRPr="008A60DC" w:rsidRDefault="00AB1B6A" w:rsidP="00127CDF">
            <w:pPr>
              <w:spacing w:before="120"/>
              <w:jc w:val="center"/>
              <w:rPr>
                <w:rFonts w:eastAsia="Calibri" w:cs="Arial"/>
                <w:sz w:val="20"/>
                <w:szCs w:val="20"/>
              </w:rPr>
            </w:pPr>
            <w:r w:rsidRPr="008A60DC">
              <w:rPr>
                <w:rFonts w:cs="Arial"/>
                <w:sz w:val="20"/>
                <w:szCs w:val="20"/>
              </w:rPr>
              <w:t xml:space="preserve">11 March 2016 </w:t>
            </w:r>
            <w:r w:rsidRPr="008A60DC">
              <w:rPr>
                <w:rFonts w:eastAsia="Calibri" w:cs="Arial"/>
                <w:sz w:val="20"/>
                <w:szCs w:val="20"/>
              </w:rPr>
              <w:t>– 4 September 2016</w:t>
            </w:r>
          </w:p>
        </w:tc>
      </w:tr>
    </w:tbl>
    <w:p w14:paraId="468D8F47" w14:textId="77777777" w:rsidR="00AB1B6A" w:rsidRPr="008A60DC" w:rsidRDefault="00AB1B6A" w:rsidP="00AB1B6A">
      <w:pPr>
        <w:tabs>
          <w:tab w:val="left" w:pos="1701"/>
        </w:tabs>
        <w:rPr>
          <w:rFonts w:cs="Arial"/>
          <w:b/>
          <w:sz w:val="20"/>
          <w:szCs w:val="20"/>
        </w:rPr>
      </w:pPr>
    </w:p>
    <w:p w14:paraId="3FBE7042" w14:textId="77777777" w:rsidR="00BC25AA" w:rsidRPr="00BC25AA" w:rsidRDefault="00BC25AA" w:rsidP="00972274">
      <w:pPr>
        <w:pStyle w:val="ListParagraph"/>
        <w:keepNext/>
        <w:numPr>
          <w:ilvl w:val="0"/>
          <w:numId w:val="27"/>
        </w:numPr>
        <w:spacing w:before="120" w:after="120"/>
        <w:rPr>
          <w:rFonts w:ascii="Arial" w:hAnsi="Arial" w:cs="Arial"/>
          <w:vanish/>
          <w:lang w:val="en-AU"/>
        </w:rPr>
      </w:pPr>
      <w:bookmarkStart w:id="1367" w:name="_Toc460247049"/>
    </w:p>
    <w:p w14:paraId="07E5692C" w14:textId="77777777" w:rsidR="00AB1B6A" w:rsidRPr="000E7C1E" w:rsidRDefault="00AB1B6A" w:rsidP="00972274">
      <w:pPr>
        <w:pStyle w:val="OptusH2"/>
        <w:numPr>
          <w:ilvl w:val="1"/>
          <w:numId w:val="27"/>
        </w:numPr>
        <w:tabs>
          <w:tab w:val="clear" w:pos="851"/>
          <w:tab w:val="num" w:pos="709"/>
        </w:tabs>
        <w:ind w:left="709" w:hanging="709"/>
        <w:rPr>
          <w:rFonts w:ascii="Arial" w:hAnsi="Arial" w:cs="Arial"/>
          <w:b w:val="0"/>
          <w:sz w:val="20"/>
        </w:rPr>
      </w:pPr>
      <w:r w:rsidRPr="000E7C1E">
        <w:rPr>
          <w:rFonts w:ascii="Arial" w:hAnsi="Arial" w:cs="Arial"/>
          <w:b w:val="0"/>
          <w:sz w:val="20"/>
        </w:rPr>
        <w:t>Eligibility</w:t>
      </w:r>
      <w:bookmarkEnd w:id="1367"/>
    </w:p>
    <w:p w14:paraId="0700849F" w14:textId="77777777" w:rsidR="00AB1B6A" w:rsidRPr="008A60DC" w:rsidRDefault="00AB1B6A" w:rsidP="00AB1B6A">
      <w:pPr>
        <w:tabs>
          <w:tab w:val="left" w:pos="1701"/>
        </w:tabs>
        <w:spacing w:before="120" w:after="120"/>
        <w:ind w:left="709"/>
        <w:rPr>
          <w:rFonts w:cs="Arial"/>
          <w:sz w:val="20"/>
          <w:szCs w:val="20"/>
        </w:rPr>
      </w:pPr>
      <w:r w:rsidRPr="008A60DC">
        <w:rPr>
          <w:rFonts w:cs="Arial"/>
          <w:sz w:val="20"/>
          <w:szCs w:val="20"/>
        </w:rPr>
        <w:t xml:space="preserve">The My Plan Business Tech Fund plans are available to new and existing business mobile customers who pass Optus’ credit assessment. To be eligible for this plan, businesses must provide Optus with a registered ACN, ARBN or ABN and must sign up for a minimum of 6 services to a My Plan Business Tech Fund Plan on a single Optus billing account. </w:t>
      </w:r>
    </w:p>
    <w:p w14:paraId="39EC6DC0" w14:textId="77777777" w:rsidR="00AB1B6A" w:rsidRPr="008A60DC" w:rsidRDefault="00AB1B6A" w:rsidP="00AB1B6A">
      <w:pPr>
        <w:tabs>
          <w:tab w:val="left" w:pos="1701"/>
        </w:tabs>
        <w:spacing w:before="120" w:after="120"/>
        <w:ind w:left="709"/>
        <w:rPr>
          <w:rFonts w:cs="Arial"/>
          <w:sz w:val="20"/>
          <w:szCs w:val="20"/>
        </w:rPr>
      </w:pPr>
      <w:r w:rsidRPr="008A60DC">
        <w:rPr>
          <w:rFonts w:cs="Arial"/>
          <w:sz w:val="20"/>
          <w:szCs w:val="20"/>
        </w:rPr>
        <w:lastRenderedPageBreak/>
        <w:t>Optus Service Providers’ customers are not eligible to apply</w:t>
      </w:r>
      <w:r w:rsidRPr="008A60DC">
        <w:rPr>
          <w:rFonts w:cs="Arial"/>
          <w:snapToGrid w:val="0"/>
          <w:sz w:val="20"/>
          <w:szCs w:val="20"/>
        </w:rPr>
        <w:t>.</w:t>
      </w:r>
    </w:p>
    <w:p w14:paraId="3E3B3C1C" w14:textId="77777777" w:rsidR="00AB1B6A" w:rsidRPr="008A60DC" w:rsidRDefault="00AB1B6A" w:rsidP="000E7C1E">
      <w:pPr>
        <w:tabs>
          <w:tab w:val="left" w:pos="1701"/>
        </w:tabs>
        <w:spacing w:before="120" w:after="240"/>
        <w:ind w:left="709"/>
        <w:rPr>
          <w:rFonts w:cs="Arial"/>
          <w:sz w:val="20"/>
          <w:szCs w:val="20"/>
        </w:rPr>
      </w:pPr>
      <w:r w:rsidRPr="008A60DC">
        <w:rPr>
          <w:rFonts w:cs="Arial"/>
          <w:sz w:val="20"/>
          <w:szCs w:val="20"/>
        </w:rPr>
        <w:t xml:space="preserve">These </w:t>
      </w:r>
      <w:r w:rsidRPr="008A60DC">
        <w:rPr>
          <w:rFonts w:cs="Arial"/>
          <w:i/>
          <w:sz w:val="20"/>
          <w:szCs w:val="20"/>
        </w:rPr>
        <w:t>plans</w:t>
      </w:r>
      <w:r w:rsidRPr="008A60DC">
        <w:rPr>
          <w:rFonts w:cs="Arial"/>
          <w:sz w:val="20"/>
          <w:szCs w:val="20"/>
        </w:rPr>
        <w:t xml:space="preserve"> aren’t compatible for data use with BlackBerry handsets on operating systems of 7.1 or earlier.      </w:t>
      </w:r>
    </w:p>
    <w:p w14:paraId="017DE474" w14:textId="77777777" w:rsidR="00AB1B6A" w:rsidRPr="000E7C1E" w:rsidRDefault="00AB1B6A" w:rsidP="00972274">
      <w:pPr>
        <w:pStyle w:val="OptusH2"/>
        <w:numPr>
          <w:ilvl w:val="1"/>
          <w:numId w:val="27"/>
        </w:numPr>
        <w:tabs>
          <w:tab w:val="num" w:pos="680"/>
          <w:tab w:val="left" w:pos="851"/>
        </w:tabs>
        <w:ind w:left="680" w:hanging="680"/>
        <w:rPr>
          <w:rFonts w:ascii="Arial" w:hAnsi="Arial" w:cs="Arial"/>
          <w:b w:val="0"/>
          <w:sz w:val="20"/>
        </w:rPr>
      </w:pPr>
      <w:bookmarkStart w:id="1368" w:name="_Toc460247050"/>
      <w:r w:rsidRPr="000E7C1E">
        <w:rPr>
          <w:rFonts w:ascii="Arial" w:hAnsi="Arial" w:cs="Arial"/>
          <w:b w:val="0"/>
          <w:snapToGrid w:val="0"/>
          <w:sz w:val="20"/>
        </w:rPr>
        <w:t>Minimum Term</w:t>
      </w:r>
      <w:bookmarkEnd w:id="1368"/>
    </w:p>
    <w:p w14:paraId="55B1E74B" w14:textId="77777777" w:rsidR="00AB1B6A" w:rsidRPr="008A60DC" w:rsidRDefault="00AB1B6A" w:rsidP="000E7C1E">
      <w:pPr>
        <w:tabs>
          <w:tab w:val="left" w:pos="1701"/>
        </w:tabs>
        <w:spacing w:before="120" w:after="240"/>
        <w:ind w:left="709"/>
        <w:rPr>
          <w:rFonts w:cs="Arial"/>
          <w:sz w:val="20"/>
          <w:szCs w:val="20"/>
        </w:rPr>
      </w:pPr>
      <w:r w:rsidRPr="008A60DC">
        <w:rPr>
          <w:rFonts w:cs="Arial"/>
          <w:sz w:val="20"/>
          <w:szCs w:val="20"/>
        </w:rPr>
        <w:t xml:space="preserve">These </w:t>
      </w:r>
      <w:r w:rsidRPr="008A60DC">
        <w:rPr>
          <w:rFonts w:cs="Arial"/>
          <w:i/>
          <w:sz w:val="20"/>
          <w:szCs w:val="20"/>
        </w:rPr>
        <w:t>plans</w:t>
      </w:r>
      <w:r w:rsidRPr="008A60DC">
        <w:rPr>
          <w:rFonts w:cs="Arial"/>
          <w:sz w:val="20"/>
          <w:szCs w:val="20"/>
        </w:rPr>
        <w:t xml:space="preserve"> have</w:t>
      </w:r>
      <w:r w:rsidRPr="008A60DC">
        <w:rPr>
          <w:rFonts w:cs="Arial"/>
          <w:i/>
          <w:sz w:val="20"/>
          <w:szCs w:val="20"/>
        </w:rPr>
        <w:t xml:space="preserve"> </w:t>
      </w:r>
      <w:r w:rsidRPr="008A60DC">
        <w:rPr>
          <w:rFonts w:cs="Arial"/>
          <w:sz w:val="20"/>
          <w:szCs w:val="20"/>
        </w:rPr>
        <w:t xml:space="preserve">a </w:t>
      </w:r>
      <w:r w:rsidRPr="008A60DC">
        <w:rPr>
          <w:rFonts w:cs="Arial"/>
          <w:i/>
          <w:sz w:val="20"/>
          <w:szCs w:val="20"/>
        </w:rPr>
        <w:t>fixed length agreement</w:t>
      </w:r>
      <w:r w:rsidRPr="008A60DC">
        <w:rPr>
          <w:rFonts w:cs="Arial"/>
          <w:sz w:val="20"/>
          <w:szCs w:val="20"/>
        </w:rPr>
        <w:t xml:space="preserve"> with a 24 month </w:t>
      </w:r>
      <w:r w:rsidRPr="008A60DC">
        <w:rPr>
          <w:rFonts w:cs="Arial"/>
          <w:i/>
          <w:sz w:val="20"/>
          <w:szCs w:val="20"/>
        </w:rPr>
        <w:t>minimum term.</w:t>
      </w:r>
    </w:p>
    <w:p w14:paraId="25030815" w14:textId="77777777" w:rsidR="00AB1B6A" w:rsidRPr="000E7C1E" w:rsidRDefault="00AB1B6A" w:rsidP="00972274">
      <w:pPr>
        <w:pStyle w:val="OptusH2"/>
        <w:numPr>
          <w:ilvl w:val="1"/>
          <w:numId w:val="27"/>
        </w:numPr>
        <w:tabs>
          <w:tab w:val="num" w:pos="680"/>
          <w:tab w:val="left" w:pos="851"/>
        </w:tabs>
        <w:ind w:left="680" w:hanging="680"/>
        <w:rPr>
          <w:rFonts w:ascii="Arial" w:hAnsi="Arial" w:cs="Arial"/>
          <w:b w:val="0"/>
          <w:sz w:val="20"/>
        </w:rPr>
      </w:pPr>
      <w:bookmarkStart w:id="1369" w:name="_Toc460247051"/>
      <w:r w:rsidRPr="000E7C1E">
        <w:rPr>
          <w:rFonts w:ascii="Arial" w:hAnsi="Arial" w:cs="Arial"/>
          <w:b w:val="0"/>
          <w:sz w:val="20"/>
        </w:rPr>
        <w:t>What you have to pay us</w:t>
      </w:r>
      <w:bookmarkEnd w:id="1369"/>
    </w:p>
    <w:p w14:paraId="0059D8C9" w14:textId="77777777" w:rsidR="00AB1B6A" w:rsidRPr="000846C1" w:rsidRDefault="00AB1B6A" w:rsidP="00972274">
      <w:pPr>
        <w:numPr>
          <w:ilvl w:val="2"/>
          <w:numId w:val="27"/>
        </w:numPr>
        <w:tabs>
          <w:tab w:val="clear" w:pos="2127"/>
          <w:tab w:val="num" w:pos="1448"/>
          <w:tab w:val="left" w:pos="1701"/>
        </w:tabs>
        <w:ind w:left="1448" w:hanging="738"/>
        <w:rPr>
          <w:rFonts w:cs="Arial"/>
          <w:sz w:val="20"/>
          <w:szCs w:val="20"/>
        </w:rPr>
      </w:pPr>
      <w:r w:rsidRPr="008A60DC">
        <w:rPr>
          <w:rFonts w:cs="Arial"/>
          <w:i/>
          <w:sz w:val="20"/>
          <w:szCs w:val="20"/>
        </w:rPr>
        <w:t>You</w:t>
      </w:r>
      <w:r w:rsidRPr="008A60DC">
        <w:rPr>
          <w:rFonts w:cs="Arial"/>
          <w:sz w:val="20"/>
          <w:szCs w:val="20"/>
        </w:rPr>
        <w:t xml:space="preserve"> must pay </w:t>
      </w:r>
      <w:r w:rsidRPr="008A60DC">
        <w:rPr>
          <w:rFonts w:cs="Arial"/>
          <w:i/>
          <w:sz w:val="20"/>
          <w:szCs w:val="20"/>
        </w:rPr>
        <w:t>us</w:t>
      </w:r>
      <w:r w:rsidRPr="008A60DC">
        <w:rPr>
          <w:rFonts w:cs="Arial"/>
          <w:sz w:val="20"/>
          <w:szCs w:val="20"/>
        </w:rPr>
        <w:t xml:space="preserve"> for use of the </w:t>
      </w:r>
      <w:r w:rsidRPr="008A60DC">
        <w:rPr>
          <w:rFonts w:cs="Arial"/>
          <w:i/>
          <w:sz w:val="20"/>
          <w:szCs w:val="20"/>
        </w:rPr>
        <w:t>service</w:t>
      </w:r>
      <w:r w:rsidRPr="008A60DC">
        <w:rPr>
          <w:rFonts w:cs="Arial"/>
          <w:sz w:val="20"/>
          <w:szCs w:val="20"/>
        </w:rPr>
        <w:t xml:space="preserve"> at the rates set out in Section 1 of this </w:t>
      </w:r>
      <w:r w:rsidRPr="008A60DC">
        <w:rPr>
          <w:rFonts w:cs="Arial"/>
          <w:i/>
          <w:sz w:val="20"/>
          <w:szCs w:val="20"/>
        </w:rPr>
        <w:t>standard pricing table</w:t>
      </w:r>
      <w:r w:rsidRPr="008A60DC">
        <w:rPr>
          <w:rFonts w:cs="Arial"/>
          <w:sz w:val="20"/>
          <w:szCs w:val="20"/>
        </w:rPr>
        <w:t xml:space="preserve"> and for value added service features at the rates set out in </w:t>
      </w:r>
      <w:hyperlink r:id="rId674" w:history="1">
        <w:r w:rsidRPr="008A60DC">
          <w:rPr>
            <w:rFonts w:cs="Arial"/>
            <w:i/>
            <w:color w:val="0000FF"/>
            <w:sz w:val="20"/>
            <w:szCs w:val="20"/>
            <w:u w:val="single"/>
          </w:rPr>
          <w:t>Appendix Y Value Added Service Features</w:t>
        </w:r>
        <w:r w:rsidRPr="008A60DC">
          <w:rPr>
            <w:rFonts w:cs="Arial"/>
            <w:color w:val="0000FF"/>
            <w:sz w:val="20"/>
            <w:szCs w:val="20"/>
            <w:u w:val="single"/>
          </w:rPr>
          <w:t xml:space="preserve">. </w:t>
        </w:r>
      </w:hyperlink>
      <w:r w:rsidRPr="008A60DC">
        <w:rPr>
          <w:rFonts w:cs="Arial"/>
          <w:sz w:val="20"/>
          <w:szCs w:val="20"/>
        </w:rPr>
        <w:t xml:space="preserve"> </w:t>
      </w:r>
      <w:r>
        <w:rPr>
          <w:rFonts w:cs="Arial"/>
          <w:sz w:val="20"/>
          <w:szCs w:val="20"/>
        </w:rPr>
        <w:br/>
      </w:r>
    </w:p>
    <w:p w14:paraId="11DE519E" w14:textId="77777777" w:rsidR="00AB1B6A" w:rsidRPr="000846C1" w:rsidRDefault="00AB1B6A" w:rsidP="00972274">
      <w:pPr>
        <w:numPr>
          <w:ilvl w:val="2"/>
          <w:numId w:val="27"/>
        </w:numPr>
        <w:tabs>
          <w:tab w:val="clear" w:pos="2127"/>
          <w:tab w:val="num" w:pos="1448"/>
          <w:tab w:val="left" w:pos="1701"/>
        </w:tabs>
        <w:ind w:left="1448" w:hanging="738"/>
        <w:rPr>
          <w:rFonts w:cs="Arial"/>
          <w:sz w:val="20"/>
          <w:szCs w:val="20"/>
        </w:rPr>
      </w:pPr>
      <w:r w:rsidRPr="008A60DC">
        <w:rPr>
          <w:rFonts w:cs="Arial"/>
          <w:sz w:val="20"/>
          <w:szCs w:val="20"/>
        </w:rPr>
        <w:t>If there is a flagfall for a particular call type, the charge for these calls is the flagfall amount plus the relevant rate for the call multiplied by the duration of the call.</w:t>
      </w:r>
      <w:r>
        <w:rPr>
          <w:rFonts w:cs="Arial"/>
          <w:sz w:val="20"/>
          <w:szCs w:val="20"/>
        </w:rPr>
        <w:br/>
      </w:r>
    </w:p>
    <w:p w14:paraId="18EDCF87" w14:textId="77777777" w:rsidR="00AB1B6A" w:rsidRPr="008A60DC" w:rsidRDefault="00AB1B6A" w:rsidP="00972274">
      <w:pPr>
        <w:numPr>
          <w:ilvl w:val="2"/>
          <w:numId w:val="27"/>
        </w:numPr>
        <w:tabs>
          <w:tab w:val="clear" w:pos="2127"/>
          <w:tab w:val="num" w:pos="1448"/>
          <w:tab w:val="left" w:pos="1701"/>
        </w:tabs>
        <w:ind w:left="1448" w:hanging="738"/>
        <w:rPr>
          <w:rFonts w:cs="Arial"/>
          <w:b/>
          <w:sz w:val="20"/>
          <w:szCs w:val="20"/>
        </w:rPr>
      </w:pPr>
      <w:r w:rsidRPr="008A60DC">
        <w:rPr>
          <w:rFonts w:cs="Arial"/>
          <w:b/>
          <w:sz w:val="20"/>
          <w:szCs w:val="20"/>
        </w:rPr>
        <w:t xml:space="preserve">Minimum Monthly Charge </w:t>
      </w:r>
    </w:p>
    <w:p w14:paraId="763F2791" w14:textId="77777777" w:rsidR="00AB1B6A" w:rsidRPr="008A60DC" w:rsidRDefault="00AB1B6A" w:rsidP="00972274">
      <w:pPr>
        <w:numPr>
          <w:ilvl w:val="3"/>
          <w:numId w:val="70"/>
        </w:numPr>
        <w:tabs>
          <w:tab w:val="clear" w:pos="2552"/>
          <w:tab w:val="num" w:pos="1985"/>
        </w:tabs>
        <w:spacing w:before="120" w:after="240"/>
        <w:ind w:left="1985" w:hanging="567"/>
        <w:rPr>
          <w:rFonts w:cs="Arial"/>
          <w:sz w:val="20"/>
          <w:szCs w:val="20"/>
        </w:rPr>
      </w:pPr>
      <w:r w:rsidRPr="008A60DC">
        <w:rPr>
          <w:rFonts w:cs="Arial"/>
          <w:sz w:val="20"/>
          <w:szCs w:val="20"/>
        </w:rPr>
        <w:t xml:space="preserve">Each My Plan Business Tech Fund plan has a Minimum Monthly Charge amount that </w:t>
      </w:r>
      <w:r w:rsidRPr="008A60DC">
        <w:rPr>
          <w:rFonts w:cs="Arial"/>
          <w:i/>
          <w:sz w:val="20"/>
          <w:szCs w:val="20"/>
        </w:rPr>
        <w:t>you</w:t>
      </w:r>
      <w:r w:rsidRPr="008A60DC">
        <w:rPr>
          <w:rFonts w:cs="Arial"/>
          <w:sz w:val="20"/>
          <w:szCs w:val="20"/>
        </w:rPr>
        <w:t xml:space="preserve"> must pay </w:t>
      </w:r>
      <w:r w:rsidRPr="008A60DC">
        <w:rPr>
          <w:rFonts w:cs="Arial"/>
          <w:i/>
          <w:sz w:val="20"/>
          <w:szCs w:val="20"/>
        </w:rPr>
        <w:t>us</w:t>
      </w:r>
      <w:r w:rsidRPr="008A60DC">
        <w:rPr>
          <w:rFonts w:cs="Arial"/>
          <w:sz w:val="20"/>
          <w:szCs w:val="20"/>
        </w:rPr>
        <w:t xml:space="preserve"> each month as set out in Table 1 below.   </w:t>
      </w:r>
    </w:p>
    <w:p w14:paraId="6FDDDA8B" w14:textId="77777777" w:rsidR="00AB1B6A" w:rsidRPr="000E7C1E" w:rsidRDefault="00AB1B6A" w:rsidP="00972274">
      <w:pPr>
        <w:pStyle w:val="OptusH2"/>
        <w:numPr>
          <w:ilvl w:val="1"/>
          <w:numId w:val="27"/>
        </w:numPr>
        <w:tabs>
          <w:tab w:val="num" w:pos="680"/>
          <w:tab w:val="left" w:pos="851"/>
        </w:tabs>
        <w:ind w:left="680" w:hanging="680"/>
        <w:rPr>
          <w:rFonts w:ascii="Arial" w:hAnsi="Arial" w:cs="Arial"/>
          <w:b w:val="0"/>
          <w:snapToGrid w:val="0"/>
          <w:sz w:val="20"/>
        </w:rPr>
      </w:pPr>
      <w:r w:rsidRPr="008A60DC">
        <w:rPr>
          <w:rFonts w:cs="Arial"/>
          <w:snapToGrid w:val="0"/>
          <w:sz w:val="20"/>
        </w:rPr>
        <w:t xml:space="preserve"> </w:t>
      </w:r>
      <w:bookmarkStart w:id="1370" w:name="_Toc460247052"/>
      <w:r w:rsidRPr="000E7C1E">
        <w:rPr>
          <w:rFonts w:ascii="Arial" w:hAnsi="Arial" w:cs="Arial"/>
          <w:b w:val="0"/>
          <w:snapToGrid w:val="0"/>
          <w:sz w:val="20"/>
        </w:rPr>
        <w:t xml:space="preserve">How My Plan Business </w:t>
      </w:r>
      <w:r w:rsidRPr="000E7C1E">
        <w:rPr>
          <w:rFonts w:ascii="Arial" w:hAnsi="Arial" w:cs="Arial"/>
          <w:b w:val="0"/>
          <w:sz w:val="20"/>
        </w:rPr>
        <w:t xml:space="preserve">Tech Fund </w:t>
      </w:r>
      <w:r w:rsidRPr="000E7C1E">
        <w:rPr>
          <w:rFonts w:ascii="Arial" w:hAnsi="Arial" w:cs="Arial"/>
          <w:b w:val="0"/>
          <w:snapToGrid w:val="0"/>
          <w:sz w:val="20"/>
        </w:rPr>
        <w:t>works</w:t>
      </w:r>
      <w:bookmarkEnd w:id="1370"/>
    </w:p>
    <w:p w14:paraId="2D15F611" w14:textId="77777777" w:rsidR="00AB1B6A" w:rsidRPr="008A60DC" w:rsidRDefault="00AB1B6A" w:rsidP="00972274">
      <w:pPr>
        <w:numPr>
          <w:ilvl w:val="2"/>
          <w:numId w:val="27"/>
        </w:numPr>
        <w:tabs>
          <w:tab w:val="clear" w:pos="2127"/>
          <w:tab w:val="num" w:pos="1448"/>
          <w:tab w:val="left" w:pos="1701"/>
        </w:tabs>
        <w:spacing w:before="60" w:after="60"/>
        <w:ind w:left="1448" w:hanging="738"/>
        <w:rPr>
          <w:rFonts w:cs="Arial"/>
          <w:sz w:val="20"/>
          <w:szCs w:val="20"/>
        </w:rPr>
      </w:pPr>
      <w:r w:rsidRPr="008A60DC">
        <w:rPr>
          <w:rFonts w:cs="Arial"/>
          <w:sz w:val="20"/>
          <w:szCs w:val="20"/>
        </w:rPr>
        <w:t xml:space="preserve">Each My Plan Business Tech Fund has unlimited minutes to use on standard national calls to landlines and mobiles, 13/1300 numbers and voicemail retrievals and an amount of Included Data (for mobile internet use) to share with other services on a My Plan Plus, My Plan Plus SIM Only, My Plan Business (including Tech Fund), My Plan Business SIM, My Mobile Broadband Plus, Mobile Broadband Business or Shared Data Plan on the same account. </w:t>
      </w:r>
      <w:r>
        <w:rPr>
          <w:rFonts w:cs="Arial"/>
          <w:sz w:val="20"/>
          <w:szCs w:val="20"/>
        </w:rPr>
        <w:br/>
      </w:r>
    </w:p>
    <w:p w14:paraId="3E8DAF7C" w14:textId="77777777" w:rsidR="00AB1B6A" w:rsidRPr="008A60DC" w:rsidRDefault="00AB1B6A" w:rsidP="00972274">
      <w:pPr>
        <w:numPr>
          <w:ilvl w:val="2"/>
          <w:numId w:val="27"/>
        </w:numPr>
        <w:tabs>
          <w:tab w:val="clear" w:pos="2127"/>
          <w:tab w:val="num" w:pos="1448"/>
          <w:tab w:val="left" w:pos="1701"/>
        </w:tabs>
        <w:spacing w:before="60" w:after="60"/>
        <w:ind w:left="1448" w:hanging="738"/>
        <w:rPr>
          <w:rFonts w:cs="Arial"/>
          <w:sz w:val="20"/>
          <w:szCs w:val="20"/>
        </w:rPr>
      </w:pPr>
      <w:r w:rsidRPr="008A60DC">
        <w:rPr>
          <w:rFonts w:cs="Arial"/>
          <w:sz w:val="20"/>
          <w:szCs w:val="20"/>
        </w:rPr>
        <w:t>These plans also include unlimited standard national SMS/MMS and unlimited standard International SMS/MMS to selected countries. The $65/$85/$100/$120 plans have an amount of included international minutes to use on standard international calls to selected countries.</w:t>
      </w:r>
    </w:p>
    <w:p w14:paraId="5C92028F" w14:textId="77777777" w:rsidR="00AB1B6A" w:rsidRPr="008A60DC" w:rsidRDefault="00AB1B6A" w:rsidP="00972274">
      <w:pPr>
        <w:numPr>
          <w:ilvl w:val="2"/>
          <w:numId w:val="27"/>
        </w:numPr>
        <w:tabs>
          <w:tab w:val="clear" w:pos="2127"/>
          <w:tab w:val="num" w:pos="1448"/>
          <w:tab w:val="left" w:pos="1701"/>
        </w:tabs>
        <w:spacing w:before="120" w:after="120"/>
        <w:ind w:left="1448" w:hanging="738"/>
        <w:rPr>
          <w:rFonts w:cs="Arial"/>
          <w:sz w:val="20"/>
          <w:szCs w:val="20"/>
        </w:rPr>
      </w:pPr>
      <w:r w:rsidRPr="008A60DC">
        <w:rPr>
          <w:rFonts w:cs="Arial"/>
          <w:sz w:val="20"/>
          <w:szCs w:val="20"/>
        </w:rPr>
        <w:t>Data usage is calculated in one kilobyte increments. International minutes are billed in one minute increments</w:t>
      </w:r>
    </w:p>
    <w:p w14:paraId="687911F8" w14:textId="77777777" w:rsidR="00AB1B6A" w:rsidRPr="000846C1" w:rsidRDefault="00AB1B6A" w:rsidP="00972274">
      <w:pPr>
        <w:numPr>
          <w:ilvl w:val="2"/>
          <w:numId w:val="27"/>
        </w:numPr>
        <w:tabs>
          <w:tab w:val="clear" w:pos="2127"/>
          <w:tab w:val="num" w:pos="1448"/>
          <w:tab w:val="left" w:pos="1701"/>
        </w:tabs>
        <w:ind w:left="1448" w:hanging="738"/>
        <w:rPr>
          <w:rFonts w:cs="Arial"/>
          <w:sz w:val="20"/>
          <w:szCs w:val="20"/>
        </w:rPr>
      </w:pPr>
      <w:r w:rsidRPr="008A60DC">
        <w:rPr>
          <w:rFonts w:cs="Arial"/>
          <w:sz w:val="20"/>
          <w:szCs w:val="20"/>
        </w:rPr>
        <w:t>If you exceed your included shareable data you’ll automatically be charged $10 for each additional 1GB of data (“</w:t>
      </w:r>
      <w:r w:rsidRPr="008A60DC">
        <w:rPr>
          <w:rFonts w:cs="Arial"/>
          <w:b/>
          <w:sz w:val="20"/>
          <w:szCs w:val="20"/>
        </w:rPr>
        <w:t>Additional Data</w:t>
      </w:r>
      <w:r w:rsidRPr="008A60DC">
        <w:rPr>
          <w:rFonts w:cs="Arial"/>
          <w:sz w:val="20"/>
          <w:szCs w:val="20"/>
        </w:rPr>
        <w:t xml:space="preserve">”) up to 150GB of extra data per account each month. Your service/s may then be restricted or we may continue to charge you at these rates. </w:t>
      </w:r>
    </w:p>
    <w:p w14:paraId="07B35820" w14:textId="77777777" w:rsidR="00AB1B6A" w:rsidRPr="008A60DC" w:rsidRDefault="00AB1B6A" w:rsidP="00972274">
      <w:pPr>
        <w:numPr>
          <w:ilvl w:val="2"/>
          <w:numId w:val="27"/>
        </w:numPr>
        <w:tabs>
          <w:tab w:val="clear" w:pos="2127"/>
          <w:tab w:val="num" w:pos="1448"/>
          <w:tab w:val="left" w:pos="1701"/>
        </w:tabs>
        <w:ind w:left="1448" w:hanging="738"/>
        <w:rPr>
          <w:rFonts w:cs="Arial"/>
          <w:i/>
          <w:sz w:val="20"/>
          <w:szCs w:val="20"/>
        </w:rPr>
      </w:pPr>
      <w:r w:rsidRPr="008A60DC">
        <w:rPr>
          <w:rFonts w:cs="Arial"/>
          <w:sz w:val="20"/>
          <w:szCs w:val="20"/>
        </w:rPr>
        <w:t xml:space="preserve">Any unused portion of </w:t>
      </w:r>
      <w:r w:rsidRPr="008A60DC">
        <w:rPr>
          <w:rFonts w:cs="Arial"/>
          <w:i/>
          <w:sz w:val="20"/>
          <w:szCs w:val="20"/>
        </w:rPr>
        <w:t>your</w:t>
      </w:r>
      <w:r w:rsidRPr="008A60DC">
        <w:rPr>
          <w:rFonts w:cs="Arial"/>
          <w:sz w:val="20"/>
          <w:szCs w:val="20"/>
        </w:rPr>
        <w:t xml:space="preserve"> </w:t>
      </w:r>
      <w:r w:rsidRPr="008A60DC">
        <w:rPr>
          <w:rFonts w:cs="Arial"/>
          <w:i/>
          <w:sz w:val="20"/>
          <w:szCs w:val="20"/>
        </w:rPr>
        <w:t>plan’s</w:t>
      </w:r>
      <w:r w:rsidRPr="008A60DC">
        <w:rPr>
          <w:rFonts w:cs="Arial"/>
          <w:sz w:val="20"/>
          <w:szCs w:val="20"/>
        </w:rPr>
        <w:t xml:space="preserve"> Included or Additional Data expires at the end of each month and does not roll over into the next month.</w:t>
      </w:r>
      <w:r w:rsidRPr="008A60DC">
        <w:rPr>
          <w:rFonts w:cs="Arial"/>
          <w:sz w:val="20"/>
          <w:szCs w:val="20"/>
        </w:rPr>
        <w:br/>
      </w:r>
    </w:p>
    <w:p w14:paraId="06486EDD" w14:textId="77777777" w:rsidR="00AB1B6A" w:rsidRPr="008A60DC" w:rsidRDefault="00AB1B6A" w:rsidP="00972274">
      <w:pPr>
        <w:numPr>
          <w:ilvl w:val="2"/>
          <w:numId w:val="27"/>
        </w:numPr>
        <w:tabs>
          <w:tab w:val="clear" w:pos="2127"/>
          <w:tab w:val="num" w:pos="1448"/>
          <w:tab w:val="left" w:pos="1701"/>
        </w:tabs>
        <w:ind w:left="1448" w:hanging="738"/>
        <w:rPr>
          <w:rFonts w:cs="Arial"/>
          <w:b/>
          <w:sz w:val="20"/>
          <w:szCs w:val="20"/>
        </w:rPr>
      </w:pPr>
      <w:r w:rsidRPr="008A60DC">
        <w:rPr>
          <w:rFonts w:cs="Arial"/>
          <w:i/>
          <w:sz w:val="20"/>
          <w:szCs w:val="20"/>
        </w:rPr>
        <w:t>You</w:t>
      </w:r>
      <w:r w:rsidRPr="008A60DC">
        <w:rPr>
          <w:rFonts w:cs="Arial"/>
          <w:sz w:val="20"/>
          <w:szCs w:val="20"/>
        </w:rPr>
        <w:t xml:space="preserve"> must pay </w:t>
      </w:r>
      <w:r w:rsidRPr="008A60DC">
        <w:rPr>
          <w:rFonts w:cs="Arial"/>
          <w:i/>
          <w:sz w:val="20"/>
          <w:szCs w:val="20"/>
        </w:rPr>
        <w:t>us</w:t>
      </w:r>
      <w:r w:rsidRPr="008A60DC">
        <w:rPr>
          <w:rFonts w:cs="Arial"/>
          <w:sz w:val="20"/>
          <w:szCs w:val="20"/>
        </w:rPr>
        <w:t xml:space="preserve"> for use of any services that are not included in </w:t>
      </w:r>
      <w:r w:rsidRPr="008A60DC">
        <w:rPr>
          <w:rFonts w:cs="Arial"/>
          <w:i/>
          <w:sz w:val="20"/>
          <w:szCs w:val="20"/>
        </w:rPr>
        <w:t>your</w:t>
      </w:r>
      <w:r w:rsidRPr="008A60DC">
        <w:rPr>
          <w:rFonts w:cs="Arial"/>
          <w:sz w:val="20"/>
          <w:szCs w:val="20"/>
        </w:rPr>
        <w:t xml:space="preserve"> plan’s inclusions, examples of which are set out in Table 2 below.</w:t>
      </w:r>
    </w:p>
    <w:p w14:paraId="23D1C058" w14:textId="77777777" w:rsidR="00AB1B6A" w:rsidRPr="008A60DC" w:rsidRDefault="00AB1B6A" w:rsidP="00AB1B6A">
      <w:pPr>
        <w:tabs>
          <w:tab w:val="left" w:pos="1701"/>
        </w:tabs>
        <w:ind w:left="1448" w:hanging="738"/>
        <w:rPr>
          <w:rFonts w:cs="Arial"/>
          <w:b/>
          <w:sz w:val="20"/>
          <w:szCs w:val="20"/>
        </w:rPr>
      </w:pPr>
    </w:p>
    <w:p w14:paraId="40CCC251" w14:textId="77777777" w:rsidR="00AB1B6A" w:rsidRPr="000E7C1E" w:rsidRDefault="00AB1B6A" w:rsidP="00972274">
      <w:pPr>
        <w:pStyle w:val="OptusH2"/>
        <w:numPr>
          <w:ilvl w:val="1"/>
          <w:numId w:val="27"/>
        </w:numPr>
        <w:tabs>
          <w:tab w:val="num" w:pos="680"/>
          <w:tab w:val="left" w:pos="851"/>
        </w:tabs>
        <w:ind w:left="680" w:hanging="680"/>
        <w:rPr>
          <w:rFonts w:ascii="Arial" w:hAnsi="Arial" w:cs="Arial"/>
          <w:b w:val="0"/>
          <w:sz w:val="20"/>
        </w:rPr>
      </w:pPr>
      <w:bookmarkStart w:id="1371" w:name="_Toc460247053"/>
      <w:r w:rsidRPr="000E7C1E">
        <w:rPr>
          <w:rFonts w:ascii="Arial" w:hAnsi="Arial" w:cs="Arial"/>
          <w:b w:val="0"/>
          <w:sz w:val="20"/>
        </w:rPr>
        <w:t>Plan Changes</w:t>
      </w:r>
      <w:bookmarkEnd w:id="1371"/>
    </w:p>
    <w:p w14:paraId="0A4768CF" w14:textId="77777777" w:rsidR="00AB1B6A" w:rsidRPr="008A60DC" w:rsidRDefault="00AB1B6A" w:rsidP="000E7C1E">
      <w:pPr>
        <w:spacing w:after="240"/>
        <w:ind w:left="709"/>
        <w:rPr>
          <w:rFonts w:cs="Arial"/>
          <w:sz w:val="20"/>
          <w:szCs w:val="20"/>
        </w:rPr>
      </w:pPr>
      <w:r w:rsidRPr="008A60DC">
        <w:rPr>
          <w:rFonts w:cs="Arial"/>
          <w:sz w:val="20"/>
          <w:szCs w:val="20"/>
        </w:rPr>
        <w:t>You can change your plan during the minimum term provided you move to a plan with a higher monthly access fee. You cannot change your plan during the minimum term to a plan with the same or lower monthly access fee. If you change your plan during the minimum term a fee may apply and any mobile handset credit will remain the same.</w:t>
      </w:r>
    </w:p>
    <w:p w14:paraId="708C7655" w14:textId="77777777" w:rsidR="00AB1B6A" w:rsidRPr="000E7C1E" w:rsidRDefault="00AB1B6A" w:rsidP="00972274">
      <w:pPr>
        <w:pStyle w:val="OptusH2"/>
        <w:numPr>
          <w:ilvl w:val="1"/>
          <w:numId w:val="27"/>
        </w:numPr>
        <w:tabs>
          <w:tab w:val="num" w:pos="680"/>
          <w:tab w:val="left" w:pos="851"/>
        </w:tabs>
        <w:ind w:left="680" w:hanging="680"/>
        <w:rPr>
          <w:rFonts w:ascii="Arial" w:hAnsi="Arial" w:cs="Arial"/>
          <w:b w:val="0"/>
          <w:sz w:val="20"/>
        </w:rPr>
      </w:pPr>
      <w:bookmarkStart w:id="1372" w:name="_Toc460247054"/>
      <w:r w:rsidRPr="000E7C1E">
        <w:rPr>
          <w:rFonts w:ascii="Arial" w:hAnsi="Arial" w:cs="Arial"/>
          <w:b w:val="0"/>
          <w:sz w:val="20"/>
        </w:rPr>
        <w:t>Handset Credit</w:t>
      </w:r>
      <w:bookmarkEnd w:id="1372"/>
      <w:r w:rsidRPr="000E7C1E">
        <w:rPr>
          <w:rFonts w:ascii="Arial" w:hAnsi="Arial" w:cs="Arial"/>
          <w:b w:val="0"/>
          <w:sz w:val="20"/>
        </w:rPr>
        <w:t xml:space="preserve"> </w:t>
      </w:r>
    </w:p>
    <w:p w14:paraId="57A4905E" w14:textId="77777777" w:rsidR="00AB1B6A" w:rsidRPr="000846C1" w:rsidRDefault="00AB1B6A" w:rsidP="00972274">
      <w:pPr>
        <w:numPr>
          <w:ilvl w:val="2"/>
          <w:numId w:val="27"/>
        </w:numPr>
        <w:tabs>
          <w:tab w:val="clear" w:pos="2127"/>
          <w:tab w:val="num" w:pos="1448"/>
          <w:tab w:val="left" w:pos="1701"/>
        </w:tabs>
        <w:ind w:left="1448" w:hanging="738"/>
        <w:rPr>
          <w:rFonts w:cs="Arial"/>
          <w:sz w:val="20"/>
          <w:szCs w:val="20"/>
        </w:rPr>
      </w:pPr>
      <w:r w:rsidRPr="008A60DC">
        <w:rPr>
          <w:rFonts w:cs="Arial"/>
          <w:sz w:val="20"/>
          <w:szCs w:val="20"/>
        </w:rPr>
        <w:t xml:space="preserve">The Handset Credit is a special offer available to customers who are eligible for and connect to a My Plan Business Tech Fund plan, and who do not choose to take a handset upfront. It allows </w:t>
      </w:r>
      <w:r w:rsidRPr="008A60DC">
        <w:rPr>
          <w:rFonts w:cs="Arial"/>
          <w:i/>
          <w:sz w:val="20"/>
          <w:szCs w:val="20"/>
        </w:rPr>
        <w:t>you</w:t>
      </w:r>
      <w:r w:rsidRPr="008A60DC">
        <w:rPr>
          <w:rFonts w:cs="Arial"/>
          <w:sz w:val="20"/>
          <w:szCs w:val="20"/>
        </w:rPr>
        <w:t xml:space="preserve"> to purchase mobile phones and accessories from Optus at any period throughout </w:t>
      </w:r>
      <w:r w:rsidRPr="008A60DC">
        <w:rPr>
          <w:rFonts w:cs="Arial"/>
          <w:i/>
          <w:sz w:val="20"/>
          <w:szCs w:val="20"/>
        </w:rPr>
        <w:t>your</w:t>
      </w:r>
      <w:r w:rsidRPr="008A60DC">
        <w:rPr>
          <w:rFonts w:cs="Arial"/>
          <w:sz w:val="20"/>
          <w:szCs w:val="20"/>
        </w:rPr>
        <w:t xml:space="preserve"> contract; it cannot be used for any other purpose other than the purchase of handsets and accessories from </w:t>
      </w:r>
      <w:r w:rsidRPr="008A60DC">
        <w:rPr>
          <w:rFonts w:cs="Arial"/>
          <w:i/>
          <w:sz w:val="20"/>
          <w:szCs w:val="20"/>
        </w:rPr>
        <w:t>us</w:t>
      </w:r>
      <w:r w:rsidRPr="008A60DC">
        <w:rPr>
          <w:rFonts w:cs="Arial"/>
          <w:sz w:val="20"/>
          <w:szCs w:val="20"/>
        </w:rPr>
        <w:t xml:space="preserve">. </w:t>
      </w:r>
      <w:r>
        <w:rPr>
          <w:rFonts w:cs="Arial"/>
          <w:sz w:val="20"/>
          <w:szCs w:val="20"/>
        </w:rPr>
        <w:br/>
      </w:r>
    </w:p>
    <w:p w14:paraId="5F4338CB" w14:textId="77777777" w:rsidR="00AB1B6A" w:rsidRPr="008A60DC" w:rsidRDefault="00AB1B6A" w:rsidP="00972274">
      <w:pPr>
        <w:numPr>
          <w:ilvl w:val="2"/>
          <w:numId w:val="27"/>
        </w:numPr>
        <w:tabs>
          <w:tab w:val="clear" w:pos="2127"/>
          <w:tab w:val="num" w:pos="1448"/>
          <w:tab w:val="left" w:pos="1701"/>
        </w:tabs>
        <w:ind w:left="1448" w:hanging="738"/>
        <w:rPr>
          <w:rFonts w:cs="Arial"/>
          <w:sz w:val="20"/>
          <w:szCs w:val="20"/>
        </w:rPr>
      </w:pPr>
      <w:r w:rsidRPr="008A60DC">
        <w:rPr>
          <w:rFonts w:cs="Arial"/>
          <w:sz w:val="20"/>
          <w:szCs w:val="20"/>
        </w:rPr>
        <w:t xml:space="preserve">The amount of credit will be dependent on the plan </w:t>
      </w:r>
      <w:r w:rsidRPr="008A60DC">
        <w:rPr>
          <w:rFonts w:cs="Arial"/>
          <w:i/>
          <w:sz w:val="20"/>
          <w:szCs w:val="20"/>
        </w:rPr>
        <w:t>you</w:t>
      </w:r>
      <w:r w:rsidRPr="008A60DC">
        <w:rPr>
          <w:rFonts w:cs="Arial"/>
          <w:sz w:val="20"/>
          <w:szCs w:val="20"/>
        </w:rPr>
        <w:t xml:space="preserve"> connect to as per the table below. </w:t>
      </w:r>
    </w:p>
    <w:p w14:paraId="30E6AB00" w14:textId="77777777" w:rsidR="00AB1B6A" w:rsidRPr="008A60DC" w:rsidRDefault="00AB1B6A" w:rsidP="00AB1B6A">
      <w:pPr>
        <w:tabs>
          <w:tab w:val="left" w:pos="1701"/>
        </w:tabs>
        <w:rPr>
          <w:rFonts w:cs="Arial"/>
          <w:sz w:val="20"/>
          <w:szCs w:val="20"/>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699"/>
        <w:gridCol w:w="1846"/>
        <w:gridCol w:w="1842"/>
        <w:gridCol w:w="1843"/>
        <w:gridCol w:w="1701"/>
      </w:tblGrid>
      <w:tr w:rsidR="00AB1B6A" w:rsidRPr="008A60DC" w14:paraId="54724DF2" w14:textId="77777777" w:rsidTr="00127CDF">
        <w:tc>
          <w:tcPr>
            <w:tcW w:w="1559" w:type="dxa"/>
            <w:vAlign w:val="center"/>
          </w:tcPr>
          <w:p w14:paraId="1C3ADE04" w14:textId="77777777" w:rsidR="00AB1B6A" w:rsidRPr="008A60DC" w:rsidRDefault="00AB1B6A" w:rsidP="00127CDF">
            <w:pPr>
              <w:jc w:val="center"/>
              <w:rPr>
                <w:rFonts w:cs="Arial"/>
                <w:b/>
                <w:sz w:val="20"/>
                <w:szCs w:val="20"/>
              </w:rPr>
            </w:pPr>
            <w:r w:rsidRPr="008A60DC">
              <w:rPr>
                <w:rFonts w:cs="Arial"/>
                <w:b/>
                <w:sz w:val="20"/>
                <w:szCs w:val="20"/>
              </w:rPr>
              <w:lastRenderedPageBreak/>
              <w:t>Plan</w:t>
            </w:r>
          </w:p>
        </w:tc>
        <w:tc>
          <w:tcPr>
            <w:tcW w:w="1699" w:type="dxa"/>
            <w:vAlign w:val="center"/>
          </w:tcPr>
          <w:p w14:paraId="19641014" w14:textId="77777777" w:rsidR="00AB1B6A" w:rsidRPr="008A60DC" w:rsidRDefault="00AB1B6A" w:rsidP="00127CDF">
            <w:pPr>
              <w:jc w:val="center"/>
              <w:rPr>
                <w:rFonts w:cs="Arial"/>
                <w:b/>
                <w:sz w:val="20"/>
                <w:szCs w:val="20"/>
              </w:rPr>
            </w:pPr>
            <w:r w:rsidRPr="008A60DC">
              <w:rPr>
                <w:rFonts w:cs="Arial"/>
                <w:b/>
                <w:sz w:val="20"/>
                <w:szCs w:val="20"/>
              </w:rPr>
              <w:t>$40 My Plan Business Tech Fund</w:t>
            </w:r>
          </w:p>
        </w:tc>
        <w:tc>
          <w:tcPr>
            <w:tcW w:w="1846" w:type="dxa"/>
            <w:vAlign w:val="center"/>
          </w:tcPr>
          <w:p w14:paraId="2EC993D4" w14:textId="77777777" w:rsidR="00AB1B6A" w:rsidRPr="008A60DC" w:rsidRDefault="00AB1B6A" w:rsidP="00127CDF">
            <w:pPr>
              <w:jc w:val="center"/>
              <w:rPr>
                <w:rFonts w:cs="Arial"/>
                <w:b/>
                <w:sz w:val="20"/>
                <w:szCs w:val="20"/>
              </w:rPr>
            </w:pPr>
            <w:r w:rsidRPr="008A60DC">
              <w:rPr>
                <w:rFonts w:cs="Arial"/>
                <w:b/>
                <w:sz w:val="20"/>
                <w:szCs w:val="20"/>
              </w:rPr>
              <w:t>$65 My Plan Business Tech Fund</w:t>
            </w:r>
          </w:p>
        </w:tc>
        <w:tc>
          <w:tcPr>
            <w:tcW w:w="1842" w:type="dxa"/>
            <w:vAlign w:val="center"/>
          </w:tcPr>
          <w:p w14:paraId="0638E736" w14:textId="77777777" w:rsidR="00AB1B6A" w:rsidRPr="008A60DC" w:rsidRDefault="00AB1B6A" w:rsidP="00127CDF">
            <w:pPr>
              <w:spacing w:before="240" w:after="240"/>
              <w:jc w:val="center"/>
              <w:rPr>
                <w:rFonts w:cs="Arial"/>
                <w:b/>
                <w:sz w:val="20"/>
                <w:szCs w:val="20"/>
              </w:rPr>
            </w:pPr>
            <w:r w:rsidRPr="008A60DC">
              <w:rPr>
                <w:rFonts w:cs="Arial"/>
                <w:b/>
                <w:sz w:val="20"/>
                <w:szCs w:val="20"/>
              </w:rPr>
              <w:t>$85 My Plan Business Tech Fund</w:t>
            </w:r>
          </w:p>
        </w:tc>
        <w:tc>
          <w:tcPr>
            <w:tcW w:w="1843" w:type="dxa"/>
          </w:tcPr>
          <w:p w14:paraId="500AC920" w14:textId="77777777" w:rsidR="00AB1B6A" w:rsidRPr="008A60DC" w:rsidRDefault="00AB1B6A" w:rsidP="00127CDF">
            <w:pPr>
              <w:spacing w:before="240" w:after="240"/>
              <w:jc w:val="center"/>
              <w:rPr>
                <w:rFonts w:cs="Arial"/>
                <w:b/>
                <w:sz w:val="20"/>
                <w:szCs w:val="20"/>
              </w:rPr>
            </w:pPr>
            <w:r w:rsidRPr="008A60DC">
              <w:rPr>
                <w:rFonts w:cs="Arial"/>
                <w:b/>
                <w:sz w:val="20"/>
                <w:szCs w:val="20"/>
              </w:rPr>
              <w:t xml:space="preserve">$100 My Plan Business Tech Fund </w:t>
            </w:r>
          </w:p>
        </w:tc>
        <w:tc>
          <w:tcPr>
            <w:tcW w:w="1701" w:type="dxa"/>
          </w:tcPr>
          <w:p w14:paraId="48D2A78B" w14:textId="77777777" w:rsidR="00AB1B6A" w:rsidRPr="008A60DC" w:rsidRDefault="00AB1B6A" w:rsidP="00127CDF">
            <w:pPr>
              <w:spacing w:before="240" w:after="240"/>
              <w:jc w:val="center"/>
              <w:rPr>
                <w:rFonts w:cs="Arial"/>
                <w:b/>
                <w:sz w:val="20"/>
                <w:szCs w:val="20"/>
              </w:rPr>
            </w:pPr>
            <w:r w:rsidRPr="008A60DC">
              <w:rPr>
                <w:rFonts w:cs="Arial"/>
                <w:b/>
                <w:sz w:val="20"/>
                <w:szCs w:val="20"/>
              </w:rPr>
              <w:t>$120 My Plan Business Tech Fund</w:t>
            </w:r>
          </w:p>
        </w:tc>
      </w:tr>
      <w:tr w:rsidR="00AB1B6A" w:rsidRPr="008A60DC" w14:paraId="70945F25" w14:textId="77777777" w:rsidTr="00127CDF">
        <w:tc>
          <w:tcPr>
            <w:tcW w:w="1559" w:type="dxa"/>
            <w:vAlign w:val="center"/>
          </w:tcPr>
          <w:p w14:paraId="40251D92" w14:textId="77777777" w:rsidR="00AB1B6A" w:rsidRPr="008A60DC" w:rsidRDefault="00AB1B6A" w:rsidP="00127CDF">
            <w:pPr>
              <w:jc w:val="center"/>
              <w:rPr>
                <w:rFonts w:cs="Arial"/>
                <w:sz w:val="20"/>
                <w:szCs w:val="20"/>
              </w:rPr>
            </w:pPr>
            <w:r w:rsidRPr="008A60DC">
              <w:rPr>
                <w:rFonts w:cs="Arial"/>
                <w:b/>
                <w:bCs/>
                <w:color w:val="000000"/>
                <w:sz w:val="20"/>
                <w:szCs w:val="20"/>
              </w:rPr>
              <w:t>Handset Credit</w:t>
            </w:r>
          </w:p>
        </w:tc>
        <w:tc>
          <w:tcPr>
            <w:tcW w:w="1699" w:type="dxa"/>
            <w:vAlign w:val="center"/>
          </w:tcPr>
          <w:p w14:paraId="6AEC5004" w14:textId="77777777" w:rsidR="00AB1B6A" w:rsidRPr="008A60DC" w:rsidRDefault="00AB1B6A" w:rsidP="00127CDF">
            <w:pPr>
              <w:jc w:val="center"/>
              <w:rPr>
                <w:rFonts w:cs="Arial"/>
                <w:color w:val="000000"/>
                <w:sz w:val="20"/>
                <w:szCs w:val="20"/>
              </w:rPr>
            </w:pPr>
            <w:r w:rsidRPr="008A60DC">
              <w:rPr>
                <w:rFonts w:cs="Arial"/>
                <w:color w:val="000000"/>
                <w:sz w:val="20"/>
                <w:szCs w:val="20"/>
              </w:rPr>
              <w:t>$330</w:t>
            </w:r>
          </w:p>
        </w:tc>
        <w:tc>
          <w:tcPr>
            <w:tcW w:w="1846" w:type="dxa"/>
            <w:vAlign w:val="center"/>
          </w:tcPr>
          <w:p w14:paraId="06C68B77" w14:textId="77777777" w:rsidR="00AB1B6A" w:rsidRPr="008A60DC" w:rsidRDefault="00AB1B6A" w:rsidP="00127CDF">
            <w:pPr>
              <w:jc w:val="center"/>
              <w:rPr>
                <w:rFonts w:cs="Arial"/>
                <w:sz w:val="20"/>
                <w:szCs w:val="20"/>
              </w:rPr>
            </w:pPr>
            <w:r w:rsidRPr="008A60DC">
              <w:rPr>
                <w:rFonts w:cs="Arial"/>
                <w:color w:val="000000"/>
                <w:sz w:val="20"/>
                <w:szCs w:val="20"/>
              </w:rPr>
              <w:t>$490</w:t>
            </w:r>
          </w:p>
        </w:tc>
        <w:tc>
          <w:tcPr>
            <w:tcW w:w="1842" w:type="dxa"/>
            <w:vAlign w:val="center"/>
          </w:tcPr>
          <w:p w14:paraId="09E0F7D3" w14:textId="77777777" w:rsidR="00AB1B6A" w:rsidRPr="008A60DC" w:rsidRDefault="00AB1B6A" w:rsidP="00127CDF">
            <w:pPr>
              <w:tabs>
                <w:tab w:val="left" w:pos="426"/>
                <w:tab w:val="right" w:leader="dot" w:pos="9617"/>
              </w:tabs>
              <w:spacing w:before="120" w:after="120"/>
              <w:ind w:left="426" w:hanging="426"/>
              <w:jc w:val="center"/>
              <w:rPr>
                <w:rFonts w:cs="Arial"/>
                <w:bCs/>
                <w:caps/>
                <w:sz w:val="20"/>
                <w:szCs w:val="20"/>
              </w:rPr>
            </w:pPr>
            <w:r w:rsidRPr="008A60DC">
              <w:rPr>
                <w:rFonts w:cs="Arial"/>
                <w:bCs/>
                <w:caps/>
                <w:color w:val="000000"/>
                <w:sz w:val="20"/>
                <w:szCs w:val="20"/>
              </w:rPr>
              <w:t>$700</w:t>
            </w:r>
          </w:p>
        </w:tc>
        <w:tc>
          <w:tcPr>
            <w:tcW w:w="1843" w:type="dxa"/>
          </w:tcPr>
          <w:p w14:paraId="169017D8" w14:textId="77777777" w:rsidR="00AB1B6A" w:rsidRPr="008A60DC" w:rsidRDefault="00AB1B6A" w:rsidP="00127CDF">
            <w:pPr>
              <w:tabs>
                <w:tab w:val="left" w:pos="426"/>
                <w:tab w:val="right" w:leader="dot" w:pos="9617"/>
              </w:tabs>
              <w:spacing w:before="120" w:after="120"/>
              <w:ind w:left="426" w:hanging="426"/>
              <w:jc w:val="center"/>
              <w:rPr>
                <w:rFonts w:cs="Arial"/>
                <w:bCs/>
                <w:caps/>
                <w:color w:val="000000"/>
                <w:sz w:val="20"/>
                <w:szCs w:val="20"/>
              </w:rPr>
            </w:pPr>
            <w:r w:rsidRPr="008A60DC">
              <w:rPr>
                <w:rFonts w:cs="Arial"/>
                <w:bCs/>
                <w:caps/>
                <w:color w:val="000000"/>
                <w:sz w:val="20"/>
                <w:szCs w:val="20"/>
              </w:rPr>
              <w:t>$870</w:t>
            </w:r>
          </w:p>
        </w:tc>
        <w:tc>
          <w:tcPr>
            <w:tcW w:w="1701" w:type="dxa"/>
          </w:tcPr>
          <w:p w14:paraId="30EF8A2B" w14:textId="77777777" w:rsidR="00AB1B6A" w:rsidRPr="008A60DC" w:rsidRDefault="00AB1B6A" w:rsidP="00127CDF">
            <w:pPr>
              <w:tabs>
                <w:tab w:val="left" w:pos="426"/>
                <w:tab w:val="right" w:leader="dot" w:pos="9617"/>
              </w:tabs>
              <w:spacing w:before="120" w:after="120"/>
              <w:ind w:left="426" w:hanging="426"/>
              <w:jc w:val="center"/>
              <w:rPr>
                <w:rFonts w:cs="Arial"/>
                <w:bCs/>
                <w:caps/>
                <w:color w:val="000000"/>
                <w:sz w:val="20"/>
                <w:szCs w:val="20"/>
              </w:rPr>
            </w:pPr>
            <w:r w:rsidRPr="008A60DC">
              <w:rPr>
                <w:rFonts w:cs="Arial"/>
                <w:sz w:val="20"/>
                <w:szCs w:val="20"/>
              </w:rPr>
              <w:t>$977</w:t>
            </w:r>
          </w:p>
        </w:tc>
      </w:tr>
    </w:tbl>
    <w:p w14:paraId="0713123E" w14:textId="77777777" w:rsidR="00AB1B6A" w:rsidRPr="008A60DC" w:rsidRDefault="00AB1B6A" w:rsidP="00AB1B6A">
      <w:pPr>
        <w:rPr>
          <w:rFonts w:cs="Arial"/>
          <w:sz w:val="20"/>
          <w:szCs w:val="20"/>
        </w:rPr>
      </w:pPr>
    </w:p>
    <w:p w14:paraId="01AF9B7C" w14:textId="77777777" w:rsidR="00AB1B6A" w:rsidRPr="008A60DC" w:rsidRDefault="00AB1B6A" w:rsidP="00972274">
      <w:pPr>
        <w:numPr>
          <w:ilvl w:val="2"/>
          <w:numId w:val="27"/>
        </w:numPr>
        <w:tabs>
          <w:tab w:val="clear" w:pos="2127"/>
          <w:tab w:val="num" w:pos="1448"/>
          <w:tab w:val="left" w:pos="1701"/>
        </w:tabs>
        <w:ind w:left="1448" w:hanging="738"/>
        <w:rPr>
          <w:rFonts w:cs="Arial"/>
          <w:sz w:val="20"/>
          <w:szCs w:val="20"/>
        </w:rPr>
      </w:pPr>
      <w:r w:rsidRPr="008A60DC">
        <w:rPr>
          <w:rFonts w:cs="Arial"/>
          <w:i/>
          <w:sz w:val="20"/>
          <w:szCs w:val="20"/>
        </w:rPr>
        <w:t>You</w:t>
      </w:r>
      <w:r w:rsidRPr="008A60DC">
        <w:rPr>
          <w:rFonts w:cs="Arial"/>
          <w:sz w:val="20"/>
          <w:szCs w:val="20"/>
        </w:rPr>
        <w:t xml:space="preserve"> may use the Handset Credit deposited into </w:t>
      </w:r>
      <w:r w:rsidRPr="008A60DC">
        <w:rPr>
          <w:rFonts w:cs="Arial"/>
          <w:i/>
          <w:sz w:val="20"/>
          <w:szCs w:val="20"/>
        </w:rPr>
        <w:t>your</w:t>
      </w:r>
      <w:r w:rsidRPr="008A60DC">
        <w:rPr>
          <w:rFonts w:cs="Arial"/>
          <w:sz w:val="20"/>
          <w:szCs w:val="20"/>
        </w:rPr>
        <w:t xml:space="preserve"> account to purchase handsets listed in the Optus e-fulfilment price list as amended by </w:t>
      </w:r>
      <w:r w:rsidRPr="008A60DC">
        <w:rPr>
          <w:rFonts w:cs="Arial"/>
          <w:i/>
          <w:sz w:val="20"/>
          <w:szCs w:val="20"/>
        </w:rPr>
        <w:t>us</w:t>
      </w:r>
      <w:r w:rsidRPr="008A60DC">
        <w:rPr>
          <w:rFonts w:cs="Arial"/>
          <w:sz w:val="20"/>
          <w:szCs w:val="20"/>
        </w:rPr>
        <w:t xml:space="preserve"> from time to time. This list is available to </w:t>
      </w:r>
      <w:r w:rsidRPr="008A60DC">
        <w:rPr>
          <w:rFonts w:cs="Arial"/>
          <w:i/>
          <w:sz w:val="20"/>
          <w:szCs w:val="20"/>
        </w:rPr>
        <w:t>you</w:t>
      </w:r>
      <w:r w:rsidRPr="008A60DC">
        <w:rPr>
          <w:rFonts w:cs="Arial"/>
          <w:sz w:val="20"/>
          <w:szCs w:val="20"/>
        </w:rPr>
        <w:t xml:space="preserve"> upon request.</w:t>
      </w:r>
    </w:p>
    <w:p w14:paraId="48EC980C" w14:textId="77777777" w:rsidR="00AB1B6A" w:rsidRPr="008A60DC" w:rsidRDefault="00AB1B6A" w:rsidP="00972274">
      <w:pPr>
        <w:numPr>
          <w:ilvl w:val="2"/>
          <w:numId w:val="27"/>
        </w:numPr>
        <w:tabs>
          <w:tab w:val="clear" w:pos="2127"/>
          <w:tab w:val="num" w:pos="1448"/>
          <w:tab w:val="left" w:pos="1701"/>
        </w:tabs>
        <w:spacing w:before="120" w:after="120"/>
        <w:ind w:left="1446" w:hanging="737"/>
        <w:rPr>
          <w:rFonts w:cs="Arial"/>
          <w:sz w:val="20"/>
          <w:szCs w:val="20"/>
        </w:rPr>
      </w:pPr>
      <w:r w:rsidRPr="008A60DC">
        <w:rPr>
          <w:rFonts w:cs="Arial"/>
          <w:sz w:val="20"/>
          <w:szCs w:val="20"/>
        </w:rPr>
        <w:t xml:space="preserve">If the purchase price for products that </w:t>
      </w:r>
      <w:r w:rsidRPr="008A60DC">
        <w:rPr>
          <w:rFonts w:cs="Arial"/>
          <w:i/>
          <w:sz w:val="20"/>
          <w:szCs w:val="20"/>
        </w:rPr>
        <w:t>you</w:t>
      </w:r>
      <w:r w:rsidRPr="008A60DC">
        <w:rPr>
          <w:rFonts w:cs="Arial"/>
          <w:sz w:val="20"/>
          <w:szCs w:val="20"/>
        </w:rPr>
        <w:t xml:space="preserve"> order is greater than the Handset Credit remaining in </w:t>
      </w:r>
      <w:r w:rsidRPr="008A60DC">
        <w:rPr>
          <w:rFonts w:cs="Arial"/>
          <w:i/>
          <w:sz w:val="20"/>
          <w:szCs w:val="20"/>
        </w:rPr>
        <w:t>your</w:t>
      </w:r>
      <w:r w:rsidRPr="008A60DC">
        <w:rPr>
          <w:rFonts w:cs="Arial"/>
          <w:sz w:val="20"/>
          <w:szCs w:val="20"/>
        </w:rPr>
        <w:t xml:space="preserve"> account, </w:t>
      </w:r>
      <w:r w:rsidRPr="008A60DC">
        <w:rPr>
          <w:rFonts w:cs="Arial"/>
          <w:i/>
          <w:sz w:val="20"/>
          <w:szCs w:val="20"/>
        </w:rPr>
        <w:t>you</w:t>
      </w:r>
      <w:r w:rsidRPr="008A60DC">
        <w:rPr>
          <w:rFonts w:cs="Arial"/>
          <w:sz w:val="20"/>
          <w:szCs w:val="20"/>
        </w:rPr>
        <w:t xml:space="preserve"> must pay any difference for those products by manually topping up </w:t>
      </w:r>
      <w:r w:rsidRPr="008A60DC">
        <w:rPr>
          <w:rFonts w:cs="Arial"/>
          <w:i/>
          <w:sz w:val="20"/>
          <w:szCs w:val="20"/>
        </w:rPr>
        <w:t>your</w:t>
      </w:r>
      <w:r w:rsidRPr="008A60DC">
        <w:rPr>
          <w:rFonts w:cs="Arial"/>
          <w:sz w:val="20"/>
          <w:szCs w:val="20"/>
        </w:rPr>
        <w:t xml:space="preserve"> Handset Credit Fund account with the required funds before purchasing.</w:t>
      </w:r>
    </w:p>
    <w:p w14:paraId="3791E073" w14:textId="77777777" w:rsidR="00AB1B6A" w:rsidRPr="008A60DC" w:rsidRDefault="00AB1B6A" w:rsidP="00972274">
      <w:pPr>
        <w:numPr>
          <w:ilvl w:val="2"/>
          <w:numId w:val="27"/>
        </w:numPr>
        <w:tabs>
          <w:tab w:val="clear" w:pos="2127"/>
          <w:tab w:val="num" w:pos="1448"/>
          <w:tab w:val="left" w:pos="1701"/>
        </w:tabs>
        <w:spacing w:before="120" w:after="120"/>
        <w:ind w:left="1446" w:hanging="737"/>
        <w:rPr>
          <w:rFonts w:cs="Arial"/>
          <w:sz w:val="20"/>
          <w:szCs w:val="20"/>
        </w:rPr>
      </w:pPr>
      <w:r w:rsidRPr="008A60DC">
        <w:rPr>
          <w:rFonts w:cs="Arial"/>
          <w:sz w:val="20"/>
          <w:szCs w:val="20"/>
        </w:rPr>
        <w:t xml:space="preserve">The value of the Handset Credit is not redeemable for cash and may not be transferred or used for any other purposes (for instance, it may not be used to pay for service charges, minimum monthly call spend or call costs, cannot be used against cancellation fees). </w:t>
      </w:r>
    </w:p>
    <w:p w14:paraId="725C6F52" w14:textId="77777777" w:rsidR="00AB1B6A" w:rsidRPr="008A60DC" w:rsidRDefault="00AB1B6A" w:rsidP="00972274">
      <w:pPr>
        <w:numPr>
          <w:ilvl w:val="2"/>
          <w:numId w:val="27"/>
        </w:numPr>
        <w:tabs>
          <w:tab w:val="clear" w:pos="2127"/>
          <w:tab w:val="num" w:pos="1448"/>
          <w:tab w:val="left" w:pos="1701"/>
        </w:tabs>
        <w:spacing w:before="120" w:after="240"/>
        <w:ind w:left="1448" w:hanging="738"/>
        <w:rPr>
          <w:rFonts w:cs="Arial"/>
          <w:sz w:val="20"/>
          <w:szCs w:val="20"/>
        </w:rPr>
      </w:pPr>
      <w:r w:rsidRPr="008A60DC">
        <w:rPr>
          <w:rFonts w:cs="Arial"/>
          <w:sz w:val="20"/>
          <w:szCs w:val="20"/>
        </w:rPr>
        <w:t xml:space="preserve">If you cancel a service on an account with multiple Tech Fund services, you will not lose any unused handset credit. Only if </w:t>
      </w:r>
      <w:r w:rsidRPr="008A60DC">
        <w:rPr>
          <w:rFonts w:cs="Arial"/>
          <w:i/>
          <w:sz w:val="20"/>
          <w:szCs w:val="20"/>
        </w:rPr>
        <w:t>your</w:t>
      </w:r>
      <w:r w:rsidRPr="008A60DC">
        <w:rPr>
          <w:rFonts w:cs="Arial"/>
          <w:sz w:val="20"/>
          <w:szCs w:val="20"/>
        </w:rPr>
        <w:t xml:space="preserve"> account is cancelled for any reason then any unused credit will be forfeited.</w:t>
      </w:r>
    </w:p>
    <w:p w14:paraId="5F278AEF" w14:textId="77777777" w:rsidR="00AB1B6A" w:rsidRPr="000E7C1E" w:rsidRDefault="00AB1B6A" w:rsidP="00972274">
      <w:pPr>
        <w:pStyle w:val="OptusH2"/>
        <w:numPr>
          <w:ilvl w:val="1"/>
          <w:numId w:val="27"/>
        </w:numPr>
        <w:tabs>
          <w:tab w:val="num" w:pos="680"/>
          <w:tab w:val="left" w:pos="851"/>
        </w:tabs>
        <w:ind w:left="680" w:hanging="680"/>
        <w:rPr>
          <w:rFonts w:ascii="Arial" w:hAnsi="Arial" w:cs="Arial"/>
          <w:b w:val="0"/>
          <w:snapToGrid w:val="0"/>
          <w:sz w:val="20"/>
        </w:rPr>
      </w:pPr>
      <w:bookmarkStart w:id="1373" w:name="_Toc460247055"/>
      <w:r w:rsidRPr="000E7C1E">
        <w:rPr>
          <w:rFonts w:ascii="Arial" w:hAnsi="Arial" w:cs="Arial"/>
          <w:b w:val="0"/>
          <w:snapToGrid w:val="0"/>
          <w:sz w:val="20"/>
        </w:rPr>
        <w:t>Data Sharing</w:t>
      </w:r>
      <w:bookmarkEnd w:id="1373"/>
    </w:p>
    <w:p w14:paraId="0B09CD44" w14:textId="77777777" w:rsidR="00AB1B6A" w:rsidRPr="008A60DC" w:rsidRDefault="00AB1B6A" w:rsidP="00972274">
      <w:pPr>
        <w:numPr>
          <w:ilvl w:val="2"/>
          <w:numId w:val="27"/>
        </w:numPr>
        <w:tabs>
          <w:tab w:val="clear" w:pos="2127"/>
          <w:tab w:val="num" w:pos="1448"/>
          <w:tab w:val="left" w:pos="1701"/>
        </w:tabs>
        <w:spacing w:before="120" w:after="120"/>
        <w:ind w:left="1448" w:hanging="738"/>
        <w:rPr>
          <w:rFonts w:cs="Arial"/>
          <w:snapToGrid w:val="0"/>
          <w:sz w:val="20"/>
          <w:szCs w:val="20"/>
        </w:rPr>
      </w:pPr>
      <w:r w:rsidRPr="008A60DC">
        <w:rPr>
          <w:rFonts w:cs="Arial"/>
          <w:snapToGrid w:val="0"/>
          <w:sz w:val="20"/>
          <w:szCs w:val="20"/>
        </w:rPr>
        <w:t>If you have more than one My Plan Plus, My Plan Plus SIM Only, My Plan Business (including Tech Fund), My Plan Business SIM, My Mobile Broadband Plus or Mobile Broadband Business on the same billing account, the included data will combine into one data pool, which will be shared by all eligible services on that account.</w:t>
      </w:r>
    </w:p>
    <w:p w14:paraId="12146666" w14:textId="77777777" w:rsidR="00AB1B6A" w:rsidRPr="008A60DC" w:rsidRDefault="00AB1B6A" w:rsidP="00972274">
      <w:pPr>
        <w:numPr>
          <w:ilvl w:val="2"/>
          <w:numId w:val="27"/>
        </w:numPr>
        <w:tabs>
          <w:tab w:val="clear" w:pos="2127"/>
          <w:tab w:val="num" w:pos="1448"/>
          <w:tab w:val="left" w:pos="1701"/>
        </w:tabs>
        <w:spacing w:before="120" w:after="120"/>
        <w:ind w:left="1448" w:hanging="738"/>
        <w:rPr>
          <w:rFonts w:cs="Arial"/>
          <w:snapToGrid w:val="0"/>
          <w:sz w:val="20"/>
          <w:szCs w:val="20"/>
        </w:rPr>
      </w:pPr>
      <w:r w:rsidRPr="008A60DC">
        <w:rPr>
          <w:rFonts w:cs="Arial"/>
          <w:snapToGrid w:val="0"/>
          <w:sz w:val="20"/>
          <w:szCs w:val="20"/>
        </w:rPr>
        <w:t xml:space="preserve">If </w:t>
      </w:r>
      <w:r w:rsidRPr="008A60DC">
        <w:rPr>
          <w:rFonts w:cs="Arial"/>
          <w:i/>
          <w:snapToGrid w:val="0"/>
          <w:sz w:val="20"/>
          <w:szCs w:val="20"/>
        </w:rPr>
        <w:t>you</w:t>
      </w:r>
      <w:r w:rsidRPr="008A60DC">
        <w:rPr>
          <w:rFonts w:cs="Arial"/>
          <w:snapToGrid w:val="0"/>
          <w:sz w:val="20"/>
          <w:szCs w:val="20"/>
        </w:rPr>
        <w:t xml:space="preserve"> do not want </w:t>
      </w:r>
      <w:r w:rsidRPr="008A60DC">
        <w:rPr>
          <w:rFonts w:cs="Arial"/>
          <w:i/>
          <w:snapToGrid w:val="0"/>
          <w:sz w:val="20"/>
          <w:szCs w:val="20"/>
        </w:rPr>
        <w:t>your</w:t>
      </w:r>
      <w:r w:rsidRPr="008A60DC">
        <w:rPr>
          <w:rFonts w:cs="Arial"/>
          <w:snapToGrid w:val="0"/>
          <w:sz w:val="20"/>
          <w:szCs w:val="20"/>
        </w:rPr>
        <w:t xml:space="preserve"> services on any</w:t>
      </w:r>
      <w:r w:rsidRPr="008A60DC">
        <w:rPr>
          <w:rFonts w:cs="Arial"/>
          <w:sz w:val="20"/>
          <w:szCs w:val="20"/>
        </w:rPr>
        <w:t xml:space="preserve"> My Plan Plus, My Plan Plus SIM Only, My Plan Business (including Tech Fund), My Plan Business SIM, My Mobile Broadband Plus or Mobile Broadband Business plans</w:t>
      </w:r>
      <w:r w:rsidRPr="008A60DC">
        <w:rPr>
          <w:rFonts w:cs="Arial"/>
          <w:snapToGrid w:val="0"/>
          <w:sz w:val="20"/>
          <w:szCs w:val="20"/>
        </w:rPr>
        <w:t xml:space="preserve"> to share data, they need to be on separate billing accounts. </w:t>
      </w:r>
    </w:p>
    <w:p w14:paraId="33A90F7A" w14:textId="77777777" w:rsidR="00AB1B6A" w:rsidRPr="008A60DC" w:rsidRDefault="00AB1B6A" w:rsidP="00972274">
      <w:pPr>
        <w:numPr>
          <w:ilvl w:val="2"/>
          <w:numId w:val="27"/>
        </w:numPr>
        <w:tabs>
          <w:tab w:val="clear" w:pos="2127"/>
          <w:tab w:val="num" w:pos="1448"/>
          <w:tab w:val="left" w:pos="1701"/>
        </w:tabs>
        <w:spacing w:before="120" w:after="120"/>
        <w:ind w:left="1448" w:hanging="738"/>
        <w:rPr>
          <w:rFonts w:cs="Arial"/>
          <w:sz w:val="20"/>
          <w:szCs w:val="20"/>
        </w:rPr>
      </w:pPr>
      <w:r w:rsidRPr="008A60DC">
        <w:rPr>
          <w:rFonts w:cs="Arial"/>
          <w:sz w:val="20"/>
          <w:szCs w:val="20"/>
        </w:rPr>
        <w:t>Data sharing is only available within Australia.</w:t>
      </w:r>
    </w:p>
    <w:p w14:paraId="77C38C8A" w14:textId="77777777" w:rsidR="00AB1B6A" w:rsidRPr="000E7C1E" w:rsidRDefault="00AB1B6A" w:rsidP="00972274">
      <w:pPr>
        <w:pStyle w:val="OptusH2"/>
        <w:numPr>
          <w:ilvl w:val="1"/>
          <w:numId w:val="27"/>
        </w:numPr>
        <w:tabs>
          <w:tab w:val="num" w:pos="680"/>
          <w:tab w:val="left" w:pos="851"/>
        </w:tabs>
        <w:ind w:left="680" w:hanging="680"/>
        <w:rPr>
          <w:rFonts w:ascii="Arial" w:hAnsi="Arial" w:cs="Arial"/>
          <w:b w:val="0"/>
          <w:snapToGrid w:val="0"/>
          <w:sz w:val="20"/>
        </w:rPr>
      </w:pPr>
      <w:bookmarkStart w:id="1374" w:name="_Toc460247056"/>
      <w:r w:rsidRPr="000E7C1E">
        <w:rPr>
          <w:rFonts w:ascii="Arial" w:hAnsi="Arial" w:cs="Arial"/>
          <w:b w:val="0"/>
          <w:snapToGrid w:val="0"/>
          <w:sz w:val="20"/>
        </w:rPr>
        <w:t>International Minutes</w:t>
      </w:r>
      <w:bookmarkEnd w:id="1374"/>
    </w:p>
    <w:p w14:paraId="23F38671" w14:textId="77777777" w:rsidR="00AB1B6A" w:rsidRPr="008A60DC" w:rsidRDefault="00AB1B6A" w:rsidP="00AB1B6A">
      <w:pPr>
        <w:ind w:left="709"/>
        <w:rPr>
          <w:rFonts w:cs="Arial"/>
          <w:sz w:val="20"/>
          <w:szCs w:val="20"/>
        </w:rPr>
      </w:pPr>
      <w:r w:rsidRPr="008A60DC">
        <w:rPr>
          <w:rFonts w:cs="Arial"/>
          <w:sz w:val="20"/>
          <w:szCs w:val="20"/>
        </w:rPr>
        <w:t>The $65/$85/$100/$120 My Plan Business</w:t>
      </w:r>
      <w:r w:rsidRPr="008A60DC">
        <w:rPr>
          <w:rFonts w:cs="Arial"/>
          <w:snapToGrid w:val="0"/>
          <w:sz w:val="20"/>
          <w:szCs w:val="20"/>
        </w:rPr>
        <w:t xml:space="preserve"> Tech Fund</w:t>
      </w:r>
      <w:r w:rsidRPr="008A60DC">
        <w:rPr>
          <w:rFonts w:cs="Arial"/>
          <w:sz w:val="20"/>
          <w:szCs w:val="20"/>
        </w:rPr>
        <w:t xml:space="preserve"> include, respectively, up to 150, up to 300, up to $400 or unlimited international minutes for standard calls to mobiles and fixed lines in selected countries. For a list of select</w:t>
      </w:r>
      <w:r>
        <w:rPr>
          <w:rFonts w:cs="Arial"/>
          <w:sz w:val="20"/>
          <w:szCs w:val="20"/>
        </w:rPr>
        <w:t>ed countries see Table 3 below.</w:t>
      </w:r>
    </w:p>
    <w:p w14:paraId="50795DB7" w14:textId="77777777" w:rsidR="00AB1B6A" w:rsidRPr="008A60DC" w:rsidRDefault="00AB1B6A" w:rsidP="000E7C1E">
      <w:pPr>
        <w:spacing w:after="240"/>
        <w:ind w:left="709"/>
        <w:rPr>
          <w:rFonts w:cs="Arial"/>
          <w:sz w:val="20"/>
          <w:szCs w:val="20"/>
        </w:rPr>
      </w:pPr>
      <w:r w:rsidRPr="008A60DC">
        <w:rPr>
          <w:rFonts w:cs="Arial"/>
          <w:sz w:val="20"/>
          <w:szCs w:val="20"/>
        </w:rPr>
        <w:t>Calls are charged per minute. When included minutes for calls to selected countries are used up, standard ‘yes’ int</w:t>
      </w:r>
      <w:r>
        <w:rPr>
          <w:rFonts w:cs="Arial"/>
          <w:sz w:val="20"/>
          <w:szCs w:val="20"/>
        </w:rPr>
        <w:t xml:space="preserve">ernational call charges apply. </w:t>
      </w:r>
    </w:p>
    <w:p w14:paraId="5B0D05F4" w14:textId="77777777" w:rsidR="00AB1B6A" w:rsidRPr="000E7C1E" w:rsidRDefault="00AB1B6A" w:rsidP="00972274">
      <w:pPr>
        <w:pStyle w:val="OptusH2"/>
        <w:numPr>
          <w:ilvl w:val="1"/>
          <w:numId w:val="27"/>
        </w:numPr>
        <w:tabs>
          <w:tab w:val="num" w:pos="680"/>
          <w:tab w:val="left" w:pos="851"/>
        </w:tabs>
        <w:ind w:left="680" w:hanging="680"/>
        <w:rPr>
          <w:rFonts w:ascii="Arial" w:hAnsi="Arial" w:cs="Arial"/>
          <w:b w:val="0"/>
          <w:snapToGrid w:val="0"/>
          <w:sz w:val="20"/>
        </w:rPr>
      </w:pPr>
      <w:bookmarkStart w:id="1375" w:name="_Toc460247057"/>
      <w:r w:rsidRPr="000E7C1E">
        <w:rPr>
          <w:rFonts w:ascii="Arial" w:hAnsi="Arial" w:cs="Arial"/>
          <w:b w:val="0"/>
          <w:snapToGrid w:val="0"/>
          <w:sz w:val="20"/>
        </w:rPr>
        <w:t>Unlimited standard national SMS and MMS</w:t>
      </w:r>
      <w:bookmarkEnd w:id="1375"/>
    </w:p>
    <w:p w14:paraId="1DAA3EA1" w14:textId="77777777" w:rsidR="00AB1B6A" w:rsidRPr="008A60DC" w:rsidRDefault="00AB1B6A" w:rsidP="00AB1B6A">
      <w:pPr>
        <w:ind w:left="709"/>
        <w:rPr>
          <w:rFonts w:cs="Arial"/>
          <w:sz w:val="20"/>
          <w:szCs w:val="20"/>
        </w:rPr>
      </w:pPr>
      <w:r w:rsidRPr="008A60DC">
        <w:rPr>
          <w:rFonts w:cs="Arial"/>
          <w:i/>
          <w:sz w:val="20"/>
          <w:szCs w:val="20"/>
        </w:rPr>
        <w:t>You</w:t>
      </w:r>
      <w:r w:rsidRPr="008A60DC">
        <w:rPr>
          <w:rFonts w:cs="Arial"/>
          <w:sz w:val="20"/>
          <w:szCs w:val="20"/>
        </w:rPr>
        <w:t xml:space="preserve"> may send unlimited standard SMS and MMS to Australian mobiles from within Australia.</w:t>
      </w:r>
    </w:p>
    <w:p w14:paraId="273169ED" w14:textId="77777777" w:rsidR="00AB1B6A" w:rsidRPr="00460CAF" w:rsidRDefault="00AB1B6A" w:rsidP="000E7C1E">
      <w:pPr>
        <w:spacing w:before="120" w:after="240"/>
        <w:ind w:left="709"/>
        <w:rPr>
          <w:rStyle w:val="Hyperlink"/>
          <w:rFonts w:cs="Arial"/>
          <w:i/>
          <w:szCs w:val="20"/>
        </w:rPr>
      </w:pPr>
      <w:r w:rsidRPr="008A60DC">
        <w:rPr>
          <w:rFonts w:cs="Arial"/>
          <w:sz w:val="20"/>
          <w:szCs w:val="20"/>
        </w:rPr>
        <w:t xml:space="preserve">Unlimited standard national SMS and MMS are only available for personal and ordinary business use and are not to be used for a commercial or non-ordinary purpose as set out in the </w:t>
      </w:r>
      <w:hyperlink r:id="rId675" w:history="1">
        <w:r w:rsidRPr="00460CAF">
          <w:rPr>
            <w:rStyle w:val="Hyperlink"/>
            <w:rFonts w:cs="Arial"/>
            <w:i/>
            <w:szCs w:val="20"/>
          </w:rPr>
          <w:t>Fair Go Policy</w:t>
        </w:r>
        <w:r w:rsidRPr="00460CAF">
          <w:rPr>
            <w:rStyle w:val="Hyperlink"/>
            <w:rFonts w:cs="Arial"/>
            <w:szCs w:val="20"/>
          </w:rPr>
          <w:t>.</w:t>
        </w:r>
      </w:hyperlink>
      <w:r w:rsidRPr="008A60DC">
        <w:rPr>
          <w:rFonts w:cs="Arial"/>
          <w:sz w:val="20"/>
          <w:szCs w:val="20"/>
        </w:rPr>
        <w:t xml:space="preserve"> For further details refer to </w:t>
      </w:r>
      <w:r w:rsidR="00460CAF">
        <w:rPr>
          <w:rFonts w:cs="Arial"/>
          <w:i/>
          <w:color w:val="0000FF"/>
          <w:sz w:val="20"/>
          <w:szCs w:val="20"/>
          <w:u w:val="single"/>
        </w:rPr>
        <w:fldChar w:fldCharType="begin"/>
      </w:r>
      <w:r w:rsidR="00460CAF">
        <w:rPr>
          <w:rFonts w:cs="Arial"/>
          <w:i/>
          <w:color w:val="0000FF"/>
          <w:sz w:val="20"/>
          <w:szCs w:val="20"/>
          <w:u w:val="single"/>
        </w:rPr>
        <w:instrText xml:space="preserve"> HYPERLINK "http://www.optus.com.au/content/dam/optus/appendix/Appendix%20S/AppS.doc" </w:instrText>
      </w:r>
      <w:r w:rsidR="00460CAF">
        <w:rPr>
          <w:rFonts w:cs="Arial"/>
          <w:i/>
          <w:color w:val="0000FF"/>
          <w:sz w:val="20"/>
          <w:szCs w:val="20"/>
          <w:u w:val="single"/>
        </w:rPr>
        <w:fldChar w:fldCharType="separate"/>
      </w:r>
      <w:r w:rsidRPr="00460CAF">
        <w:rPr>
          <w:rStyle w:val="Hyperlink"/>
          <w:rFonts w:cs="Arial"/>
          <w:i/>
          <w:szCs w:val="20"/>
        </w:rPr>
        <w:t>Appendix S.</w:t>
      </w:r>
    </w:p>
    <w:bookmarkStart w:id="1376" w:name="_Toc460247058"/>
    <w:p w14:paraId="2DB96EDB" w14:textId="77777777" w:rsidR="00AB1B6A" w:rsidRPr="000E7C1E" w:rsidRDefault="00460CAF" w:rsidP="00972274">
      <w:pPr>
        <w:pStyle w:val="OptusH2"/>
        <w:numPr>
          <w:ilvl w:val="1"/>
          <w:numId w:val="27"/>
        </w:numPr>
        <w:tabs>
          <w:tab w:val="num" w:pos="680"/>
          <w:tab w:val="left" w:pos="851"/>
        </w:tabs>
        <w:spacing w:after="240"/>
        <w:ind w:left="680" w:hanging="680"/>
        <w:rPr>
          <w:rFonts w:ascii="Arial" w:hAnsi="Arial" w:cs="Arial"/>
          <w:b w:val="0"/>
          <w:snapToGrid w:val="0"/>
          <w:sz w:val="20"/>
        </w:rPr>
      </w:pPr>
      <w:r>
        <w:rPr>
          <w:rFonts w:cs="Arial"/>
          <w:i/>
          <w:color w:val="0000FF"/>
          <w:sz w:val="20"/>
          <w:u w:val="single"/>
        </w:rPr>
        <w:fldChar w:fldCharType="end"/>
      </w:r>
      <w:r w:rsidR="00AB1B6A" w:rsidRPr="000E7C1E">
        <w:rPr>
          <w:rFonts w:ascii="Arial" w:hAnsi="Arial" w:cs="Arial"/>
          <w:b w:val="0"/>
          <w:snapToGrid w:val="0"/>
          <w:sz w:val="20"/>
        </w:rPr>
        <w:t>Unlimited standard international SMS and MMS</w:t>
      </w:r>
      <w:bookmarkEnd w:id="1376"/>
    </w:p>
    <w:p w14:paraId="3DDEA585" w14:textId="77777777" w:rsidR="00AB1B6A" w:rsidRPr="008A60DC" w:rsidRDefault="00AB1B6A" w:rsidP="00AB1B6A">
      <w:pPr>
        <w:ind w:left="709"/>
        <w:rPr>
          <w:rFonts w:cs="Arial"/>
          <w:sz w:val="20"/>
          <w:szCs w:val="20"/>
        </w:rPr>
      </w:pPr>
      <w:r w:rsidRPr="008A60DC">
        <w:rPr>
          <w:rFonts w:cs="Arial"/>
          <w:i/>
          <w:sz w:val="20"/>
          <w:szCs w:val="20"/>
        </w:rPr>
        <w:t>You</w:t>
      </w:r>
      <w:r w:rsidRPr="008A60DC">
        <w:rPr>
          <w:rFonts w:cs="Arial"/>
          <w:sz w:val="20"/>
          <w:szCs w:val="20"/>
        </w:rPr>
        <w:t xml:space="preserve"> may send unlimited standard SMS and MMS to selected countri</w:t>
      </w:r>
      <w:r>
        <w:rPr>
          <w:rFonts w:cs="Arial"/>
          <w:sz w:val="20"/>
          <w:szCs w:val="20"/>
        </w:rPr>
        <w:t>es as set out in Table 3 below.</w:t>
      </w:r>
    </w:p>
    <w:p w14:paraId="2180B09E" w14:textId="77777777" w:rsidR="00AB1B6A" w:rsidRDefault="00AB1B6A" w:rsidP="00AB1B6A">
      <w:pPr>
        <w:ind w:left="709"/>
        <w:rPr>
          <w:rFonts w:cs="Arial"/>
          <w:i/>
          <w:color w:val="0000FF"/>
          <w:sz w:val="20"/>
          <w:szCs w:val="20"/>
          <w:u w:val="single"/>
        </w:rPr>
      </w:pPr>
      <w:r w:rsidRPr="008A60DC">
        <w:rPr>
          <w:rFonts w:cs="Arial"/>
          <w:sz w:val="20"/>
          <w:szCs w:val="20"/>
        </w:rPr>
        <w:t xml:space="preserve">Unlimited standard SMS and MMS are only available for personal and ordinary business use and are not to be used for a commercial or non-ordinary purpose as set out in the Fair Go Policy. For further details refer to </w:t>
      </w:r>
      <w:hyperlink r:id="rId676" w:history="1">
        <w:r w:rsidRPr="008A60DC">
          <w:rPr>
            <w:rFonts w:cs="Arial"/>
            <w:i/>
            <w:color w:val="0000FF"/>
            <w:sz w:val="20"/>
            <w:szCs w:val="20"/>
            <w:u w:val="single"/>
          </w:rPr>
          <w:t>Appendix S.</w:t>
        </w:r>
      </w:hyperlink>
    </w:p>
    <w:p w14:paraId="610453F2" w14:textId="77777777" w:rsidR="000E7C1E" w:rsidRPr="008A60DC" w:rsidRDefault="000E7C1E" w:rsidP="00AB1B6A">
      <w:pPr>
        <w:ind w:left="709"/>
        <w:rPr>
          <w:rFonts w:cs="Arial"/>
          <w:i/>
          <w:color w:val="0000FF"/>
          <w:sz w:val="20"/>
          <w:szCs w:val="20"/>
          <w:u w:val="single"/>
        </w:rPr>
      </w:pPr>
    </w:p>
    <w:p w14:paraId="7E154DBE" w14:textId="77777777" w:rsidR="00AB1B6A" w:rsidRPr="000E7C1E" w:rsidRDefault="00AB1B6A" w:rsidP="00972274">
      <w:pPr>
        <w:pStyle w:val="OptusH2"/>
        <w:numPr>
          <w:ilvl w:val="1"/>
          <w:numId w:val="27"/>
        </w:numPr>
        <w:tabs>
          <w:tab w:val="num" w:pos="680"/>
          <w:tab w:val="left" w:pos="851"/>
        </w:tabs>
        <w:ind w:left="680" w:hanging="680"/>
        <w:rPr>
          <w:rFonts w:ascii="Arial" w:hAnsi="Arial" w:cs="Arial"/>
          <w:b w:val="0"/>
          <w:snapToGrid w:val="0"/>
          <w:sz w:val="20"/>
        </w:rPr>
      </w:pPr>
      <w:bookmarkStart w:id="1377" w:name="_Toc460247059"/>
      <w:r w:rsidRPr="000E7C1E">
        <w:rPr>
          <w:rFonts w:ascii="Arial" w:hAnsi="Arial" w:cs="Arial"/>
          <w:b w:val="0"/>
          <w:snapToGrid w:val="0"/>
          <w:sz w:val="20"/>
        </w:rPr>
        <w:t>Optus Travel</w:t>
      </w:r>
      <w:r w:rsidRPr="000E7C1E">
        <w:rPr>
          <w:rFonts w:ascii="Arial" w:hAnsi="Arial" w:cs="Arial"/>
          <w:b w:val="0"/>
          <w:snapToGrid w:val="0"/>
          <w:sz w:val="20"/>
          <w:vertAlign w:val="superscript"/>
        </w:rPr>
        <w:t xml:space="preserve">TM </w:t>
      </w:r>
      <w:r w:rsidRPr="000E7C1E">
        <w:rPr>
          <w:rFonts w:ascii="Arial" w:hAnsi="Arial" w:cs="Arial"/>
          <w:b w:val="0"/>
          <w:snapToGrid w:val="0"/>
          <w:sz w:val="20"/>
        </w:rPr>
        <w:t>Pack</w:t>
      </w:r>
      <w:bookmarkEnd w:id="1377"/>
      <w:r w:rsidRPr="000E7C1E">
        <w:rPr>
          <w:rFonts w:ascii="Arial" w:hAnsi="Arial" w:cs="Arial"/>
          <w:b w:val="0"/>
          <w:snapToGrid w:val="0"/>
          <w:sz w:val="20"/>
        </w:rPr>
        <w:t xml:space="preserve"> </w:t>
      </w:r>
    </w:p>
    <w:p w14:paraId="12546245" w14:textId="77777777" w:rsidR="00AB1B6A" w:rsidRPr="008A60DC" w:rsidRDefault="00AB1B6A" w:rsidP="00AB1B6A">
      <w:pPr>
        <w:ind w:left="709"/>
        <w:rPr>
          <w:rFonts w:cs="Arial"/>
          <w:snapToGrid w:val="0"/>
          <w:sz w:val="20"/>
          <w:szCs w:val="20"/>
        </w:rPr>
      </w:pPr>
      <w:r w:rsidRPr="008A60DC">
        <w:rPr>
          <w:rFonts w:cs="Arial"/>
          <w:snapToGrid w:val="0"/>
          <w:sz w:val="20"/>
          <w:szCs w:val="20"/>
        </w:rPr>
        <w:t>The $120 My Plan Business Tech Fund plan has up to10 days of Optus Travel</w:t>
      </w:r>
      <w:r w:rsidRPr="008A60DC">
        <w:rPr>
          <w:rFonts w:cs="Arial"/>
          <w:snapToGrid w:val="0"/>
          <w:sz w:val="20"/>
          <w:szCs w:val="20"/>
          <w:vertAlign w:val="superscript"/>
        </w:rPr>
        <w:t>TM</w:t>
      </w:r>
      <w:r w:rsidRPr="008A60DC">
        <w:rPr>
          <w:rFonts w:cs="Arial"/>
          <w:snapToGrid w:val="0"/>
          <w:sz w:val="20"/>
          <w:szCs w:val="20"/>
        </w:rPr>
        <w:t xml:space="preserve"> Pack for use within each billing month. </w:t>
      </w:r>
      <w:r w:rsidRPr="008A60DC">
        <w:rPr>
          <w:rFonts w:cs="Arial"/>
          <w:i/>
          <w:snapToGrid w:val="0"/>
          <w:sz w:val="20"/>
          <w:szCs w:val="20"/>
        </w:rPr>
        <w:t>You</w:t>
      </w:r>
      <w:r w:rsidRPr="008A60DC">
        <w:rPr>
          <w:rFonts w:cs="Arial"/>
          <w:snapToGrid w:val="0"/>
          <w:sz w:val="20"/>
          <w:szCs w:val="20"/>
        </w:rPr>
        <w:t xml:space="preserve"> need to ensure your Optus Travel</w:t>
      </w:r>
      <w:r w:rsidRPr="008A60DC">
        <w:rPr>
          <w:rFonts w:cs="Arial"/>
          <w:snapToGrid w:val="0"/>
          <w:sz w:val="20"/>
          <w:szCs w:val="20"/>
          <w:vertAlign w:val="superscript"/>
        </w:rPr>
        <w:t>TM</w:t>
      </w:r>
      <w:r w:rsidRPr="008A60DC">
        <w:rPr>
          <w:rFonts w:cs="Arial"/>
          <w:snapToGrid w:val="0"/>
          <w:sz w:val="20"/>
          <w:szCs w:val="20"/>
        </w:rPr>
        <w:t xml:space="preserve"> Pack is active by contacting Optus prior to use. Optus Travel</w:t>
      </w:r>
      <w:r w:rsidRPr="008A60DC">
        <w:rPr>
          <w:rFonts w:cs="Arial"/>
          <w:snapToGrid w:val="0"/>
          <w:sz w:val="20"/>
          <w:szCs w:val="20"/>
          <w:vertAlign w:val="superscript"/>
        </w:rPr>
        <w:t>TM</w:t>
      </w:r>
      <w:r w:rsidRPr="008A60DC">
        <w:rPr>
          <w:rFonts w:cs="Arial"/>
          <w:snapToGrid w:val="0"/>
          <w:sz w:val="20"/>
          <w:szCs w:val="20"/>
        </w:rPr>
        <w:t xml:space="preserve"> Pack gives you unlimited standard national and international voice, SMS (MMS is </w:t>
      </w:r>
      <w:r w:rsidRPr="008A60DC">
        <w:rPr>
          <w:rFonts w:cs="Arial"/>
          <w:snapToGrid w:val="0"/>
          <w:sz w:val="20"/>
          <w:szCs w:val="20"/>
        </w:rPr>
        <w:lastRenderedPageBreak/>
        <w:t>excluded) plus 50MB of data to use in Zone 1 countries per day. For list of countries see optus.com.au/travel</w:t>
      </w:r>
      <w:r>
        <w:rPr>
          <w:rFonts w:cs="Arial"/>
          <w:snapToGrid w:val="0"/>
          <w:sz w:val="20"/>
          <w:szCs w:val="20"/>
        </w:rPr>
        <w:br/>
      </w:r>
    </w:p>
    <w:p w14:paraId="4A4AA870" w14:textId="77777777" w:rsidR="00AB1B6A" w:rsidRPr="008A60DC" w:rsidRDefault="00AB1B6A" w:rsidP="00AB1B6A">
      <w:pPr>
        <w:tabs>
          <w:tab w:val="left" w:pos="567"/>
          <w:tab w:val="left" w:pos="1701"/>
        </w:tabs>
        <w:ind w:left="709"/>
        <w:rPr>
          <w:rFonts w:cs="Arial"/>
          <w:snapToGrid w:val="0"/>
          <w:sz w:val="20"/>
          <w:szCs w:val="20"/>
        </w:rPr>
      </w:pPr>
      <w:r w:rsidRPr="008A60DC">
        <w:rPr>
          <w:rFonts w:cs="Arial"/>
          <w:i/>
          <w:snapToGrid w:val="0"/>
          <w:sz w:val="20"/>
          <w:szCs w:val="20"/>
        </w:rPr>
        <w:t>You</w:t>
      </w:r>
      <w:r w:rsidRPr="008A60DC">
        <w:rPr>
          <w:rFonts w:cs="Arial"/>
          <w:snapToGrid w:val="0"/>
          <w:sz w:val="20"/>
          <w:szCs w:val="20"/>
        </w:rPr>
        <w:t xml:space="preserve"> can activate the Optus Travel</w:t>
      </w:r>
      <w:r w:rsidRPr="008A60DC">
        <w:rPr>
          <w:rFonts w:cs="Arial"/>
          <w:snapToGrid w:val="0"/>
          <w:sz w:val="20"/>
          <w:szCs w:val="20"/>
          <w:vertAlign w:val="superscript"/>
        </w:rPr>
        <w:t>TM</w:t>
      </w:r>
      <w:r w:rsidRPr="008A60DC">
        <w:rPr>
          <w:rFonts w:cs="Arial"/>
          <w:snapToGrid w:val="0"/>
          <w:sz w:val="20"/>
          <w:szCs w:val="20"/>
        </w:rPr>
        <w:t xml:space="preserve"> Pack on a day to day basis or multiple days at once. If you activate multiple consecutive days, the data allowance will accumulate, for example </w:t>
      </w:r>
      <w:r w:rsidRPr="008A60DC">
        <w:rPr>
          <w:rFonts w:cs="Arial"/>
          <w:bCs/>
          <w:snapToGrid w:val="0"/>
          <w:sz w:val="20"/>
          <w:szCs w:val="20"/>
        </w:rPr>
        <w:t>activate 5 consecutive days and use up to 250MB any time over the 5 day period. If you exceed the data limit, standard data roaming charges will apply. Any data provided as part of Optus Travel™ Pack is not shareable and will not form part of any Data Pool. Any unused days of Optus Travel™ Pack are forfeited and cannot be rolled over to the next billing month.</w:t>
      </w:r>
      <w:r>
        <w:rPr>
          <w:rFonts w:cs="Arial"/>
          <w:bCs/>
          <w:snapToGrid w:val="0"/>
          <w:sz w:val="20"/>
          <w:szCs w:val="20"/>
        </w:rPr>
        <w:br/>
      </w:r>
    </w:p>
    <w:p w14:paraId="2D2CB372" w14:textId="77777777" w:rsidR="00AB1B6A" w:rsidRPr="008A60DC" w:rsidRDefault="00AB1B6A" w:rsidP="00AB1B6A">
      <w:pPr>
        <w:tabs>
          <w:tab w:val="left" w:pos="567"/>
          <w:tab w:val="left" w:pos="1701"/>
        </w:tabs>
        <w:spacing w:line="276" w:lineRule="auto"/>
        <w:ind w:left="709"/>
        <w:rPr>
          <w:rFonts w:cs="Arial"/>
          <w:i/>
          <w:color w:val="0000FF"/>
          <w:sz w:val="20"/>
          <w:szCs w:val="20"/>
          <w:u w:val="single"/>
        </w:rPr>
      </w:pPr>
      <w:r w:rsidRPr="008A60DC">
        <w:rPr>
          <w:rFonts w:cs="Arial"/>
          <w:snapToGrid w:val="0"/>
          <w:sz w:val="20"/>
          <w:szCs w:val="20"/>
        </w:rPr>
        <w:t>I</w:t>
      </w:r>
      <w:r w:rsidRPr="008A60DC">
        <w:rPr>
          <w:rFonts w:cs="Arial"/>
          <w:bCs/>
          <w:snapToGrid w:val="0"/>
          <w:sz w:val="20"/>
          <w:szCs w:val="20"/>
        </w:rPr>
        <w:t>f you are not in a Zone 1 country you will be charged at standard roaming rates for that country.</w:t>
      </w:r>
      <w:r>
        <w:rPr>
          <w:rFonts w:cs="Arial"/>
          <w:bCs/>
          <w:snapToGrid w:val="0"/>
          <w:sz w:val="20"/>
          <w:szCs w:val="20"/>
        </w:rPr>
        <w:br/>
      </w:r>
    </w:p>
    <w:p w14:paraId="26ECDF54" w14:textId="77777777" w:rsidR="00AB1B6A" w:rsidRPr="008A60DC" w:rsidRDefault="00AB1B6A" w:rsidP="00677FFC">
      <w:pPr>
        <w:tabs>
          <w:tab w:val="left" w:pos="0"/>
          <w:tab w:val="left" w:pos="1701"/>
        </w:tabs>
        <w:spacing w:after="120" w:line="276" w:lineRule="auto"/>
        <w:rPr>
          <w:rFonts w:cs="Arial"/>
          <w:sz w:val="20"/>
          <w:szCs w:val="20"/>
        </w:rPr>
      </w:pPr>
      <w:r w:rsidRPr="008A60DC">
        <w:rPr>
          <w:rFonts w:cs="Arial"/>
          <w:b/>
          <w:sz w:val="20"/>
          <w:szCs w:val="20"/>
        </w:rPr>
        <w:t>Table 1 –Plan Inclusions and Charges</w:t>
      </w:r>
    </w:p>
    <w:tbl>
      <w:tblPr>
        <w:tblW w:w="490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0"/>
        <w:gridCol w:w="1506"/>
        <w:gridCol w:w="1590"/>
        <w:gridCol w:w="1558"/>
        <w:gridCol w:w="1769"/>
        <w:gridCol w:w="1620"/>
      </w:tblGrid>
      <w:tr w:rsidR="00AB1B6A" w:rsidRPr="008A60DC" w14:paraId="7C21BD44" w14:textId="77777777" w:rsidTr="00677FFC">
        <w:tc>
          <w:tcPr>
            <w:tcW w:w="979" w:type="pct"/>
            <w:shd w:val="clear" w:color="auto" w:fill="auto"/>
          </w:tcPr>
          <w:p w14:paraId="684054DB" w14:textId="77777777" w:rsidR="00AB1B6A" w:rsidRPr="008A60DC" w:rsidRDefault="00AB1B6A" w:rsidP="00127CDF">
            <w:pPr>
              <w:spacing w:before="240" w:after="240"/>
              <w:rPr>
                <w:rFonts w:eastAsia="Calibri" w:cs="Arial"/>
                <w:sz w:val="20"/>
                <w:szCs w:val="20"/>
              </w:rPr>
            </w:pPr>
          </w:p>
        </w:tc>
        <w:tc>
          <w:tcPr>
            <w:tcW w:w="753" w:type="pct"/>
            <w:vAlign w:val="center"/>
          </w:tcPr>
          <w:p w14:paraId="0704505F" w14:textId="77777777" w:rsidR="00AB1B6A" w:rsidRPr="008A60DC" w:rsidRDefault="00AB1B6A" w:rsidP="00127CDF">
            <w:pPr>
              <w:spacing w:after="120"/>
              <w:jc w:val="center"/>
              <w:rPr>
                <w:rFonts w:eastAsia="Calibri" w:cs="Arial"/>
                <w:b/>
                <w:sz w:val="20"/>
                <w:szCs w:val="20"/>
              </w:rPr>
            </w:pPr>
            <w:r w:rsidRPr="008A60DC">
              <w:rPr>
                <w:rFonts w:eastAsia="Calibri" w:cs="Arial"/>
                <w:b/>
                <w:sz w:val="20"/>
                <w:szCs w:val="20"/>
              </w:rPr>
              <w:t xml:space="preserve">$40 My Plan Business </w:t>
            </w:r>
            <w:r w:rsidRPr="008A60DC">
              <w:rPr>
                <w:rFonts w:cs="Arial"/>
                <w:b/>
                <w:snapToGrid w:val="0"/>
                <w:sz w:val="20"/>
                <w:szCs w:val="20"/>
              </w:rPr>
              <w:t>Tech Fund</w:t>
            </w:r>
          </w:p>
        </w:tc>
        <w:tc>
          <w:tcPr>
            <w:tcW w:w="795" w:type="pct"/>
            <w:shd w:val="clear" w:color="auto" w:fill="auto"/>
            <w:vAlign w:val="center"/>
          </w:tcPr>
          <w:p w14:paraId="4B8BF4D3" w14:textId="77777777" w:rsidR="00AB1B6A" w:rsidRPr="008A60DC" w:rsidRDefault="00AB1B6A" w:rsidP="00127CDF">
            <w:pPr>
              <w:spacing w:after="120"/>
              <w:jc w:val="center"/>
              <w:rPr>
                <w:rFonts w:eastAsia="Calibri" w:cs="Arial"/>
                <w:b/>
                <w:sz w:val="20"/>
                <w:szCs w:val="20"/>
              </w:rPr>
            </w:pPr>
            <w:r w:rsidRPr="008A60DC">
              <w:rPr>
                <w:rFonts w:eastAsia="Calibri" w:cs="Arial"/>
                <w:b/>
                <w:sz w:val="20"/>
                <w:szCs w:val="20"/>
              </w:rPr>
              <w:t>$60 My Plan Business</w:t>
            </w:r>
            <w:r w:rsidRPr="008A60DC">
              <w:rPr>
                <w:rFonts w:cs="Arial"/>
                <w:b/>
                <w:snapToGrid w:val="0"/>
                <w:sz w:val="20"/>
                <w:szCs w:val="20"/>
              </w:rPr>
              <w:t xml:space="preserve"> Tech Fund</w:t>
            </w:r>
          </w:p>
        </w:tc>
        <w:tc>
          <w:tcPr>
            <w:tcW w:w="779" w:type="pct"/>
            <w:shd w:val="clear" w:color="auto" w:fill="auto"/>
          </w:tcPr>
          <w:p w14:paraId="533C11DA" w14:textId="77777777" w:rsidR="00AB1B6A" w:rsidRPr="008A60DC" w:rsidRDefault="00AB1B6A" w:rsidP="00127CDF">
            <w:pPr>
              <w:spacing w:after="120"/>
              <w:jc w:val="center"/>
              <w:rPr>
                <w:rFonts w:eastAsia="Calibri" w:cs="Arial"/>
                <w:b/>
                <w:sz w:val="20"/>
                <w:szCs w:val="20"/>
              </w:rPr>
            </w:pPr>
            <w:r w:rsidRPr="008A60DC">
              <w:rPr>
                <w:rFonts w:eastAsia="Calibri" w:cs="Arial"/>
                <w:b/>
                <w:sz w:val="20"/>
                <w:szCs w:val="20"/>
              </w:rPr>
              <w:t>$80 My Plan Business</w:t>
            </w:r>
            <w:r w:rsidRPr="008A60DC">
              <w:rPr>
                <w:rFonts w:cs="Arial"/>
                <w:b/>
                <w:snapToGrid w:val="0"/>
                <w:sz w:val="20"/>
                <w:szCs w:val="20"/>
              </w:rPr>
              <w:t xml:space="preserve"> Tech Fund</w:t>
            </w:r>
          </w:p>
        </w:tc>
        <w:tc>
          <w:tcPr>
            <w:tcW w:w="883" w:type="pct"/>
          </w:tcPr>
          <w:p w14:paraId="4285B1CF" w14:textId="77777777" w:rsidR="00AB1B6A" w:rsidRPr="008A60DC" w:rsidRDefault="00AB1B6A" w:rsidP="00127CDF">
            <w:pPr>
              <w:spacing w:after="120"/>
              <w:jc w:val="center"/>
              <w:rPr>
                <w:rFonts w:eastAsia="Calibri" w:cs="Arial"/>
                <w:b/>
                <w:sz w:val="20"/>
                <w:szCs w:val="20"/>
              </w:rPr>
            </w:pPr>
            <w:r w:rsidRPr="008A60DC">
              <w:rPr>
                <w:rFonts w:eastAsia="Calibri" w:cs="Arial"/>
                <w:b/>
                <w:sz w:val="20"/>
                <w:szCs w:val="20"/>
              </w:rPr>
              <w:t xml:space="preserve">$100 My Plan Business Tech Fund </w:t>
            </w:r>
          </w:p>
        </w:tc>
        <w:tc>
          <w:tcPr>
            <w:tcW w:w="811" w:type="pct"/>
          </w:tcPr>
          <w:p w14:paraId="1E033555" w14:textId="77777777" w:rsidR="00AB1B6A" w:rsidRPr="008A60DC" w:rsidRDefault="00AB1B6A" w:rsidP="00127CDF">
            <w:pPr>
              <w:spacing w:after="120"/>
              <w:jc w:val="center"/>
              <w:rPr>
                <w:rFonts w:eastAsia="Calibri" w:cs="Arial"/>
                <w:b/>
                <w:sz w:val="20"/>
                <w:szCs w:val="20"/>
              </w:rPr>
            </w:pPr>
            <w:r w:rsidRPr="008A60DC">
              <w:rPr>
                <w:rFonts w:eastAsia="Calibri" w:cs="Arial"/>
                <w:b/>
                <w:sz w:val="20"/>
                <w:szCs w:val="20"/>
              </w:rPr>
              <w:t>$120 My Plan Business Tech Fund</w:t>
            </w:r>
          </w:p>
        </w:tc>
      </w:tr>
      <w:tr w:rsidR="00AB1B6A" w:rsidRPr="008A60DC" w14:paraId="1617384B" w14:textId="77777777" w:rsidTr="00677FFC">
        <w:tc>
          <w:tcPr>
            <w:tcW w:w="979" w:type="pct"/>
            <w:shd w:val="clear" w:color="auto" w:fill="auto"/>
          </w:tcPr>
          <w:p w14:paraId="3566CD2B" w14:textId="77777777" w:rsidR="00AB1B6A" w:rsidRPr="008A60DC" w:rsidRDefault="00AB1B6A" w:rsidP="00127CDF">
            <w:pPr>
              <w:spacing w:after="100" w:afterAutospacing="1" w:line="276" w:lineRule="auto"/>
              <w:rPr>
                <w:rFonts w:eastAsia="Calibri" w:cs="Arial"/>
                <w:sz w:val="20"/>
                <w:szCs w:val="20"/>
              </w:rPr>
            </w:pPr>
            <w:r w:rsidRPr="008A60DC">
              <w:rPr>
                <w:rFonts w:eastAsia="Calibri" w:cs="Arial"/>
                <w:b/>
                <w:bCs/>
                <w:sz w:val="20"/>
                <w:szCs w:val="20"/>
              </w:rPr>
              <w:t>Minimum Monthly charge</w:t>
            </w:r>
          </w:p>
        </w:tc>
        <w:tc>
          <w:tcPr>
            <w:tcW w:w="753" w:type="pct"/>
            <w:vAlign w:val="center"/>
          </w:tcPr>
          <w:p w14:paraId="43D9C103" w14:textId="77777777" w:rsidR="00AB1B6A" w:rsidRPr="008A60DC" w:rsidRDefault="00AB1B6A" w:rsidP="00127CDF">
            <w:pPr>
              <w:jc w:val="center"/>
              <w:rPr>
                <w:rFonts w:eastAsia="Calibri" w:cs="Arial"/>
                <w:sz w:val="20"/>
                <w:szCs w:val="20"/>
              </w:rPr>
            </w:pPr>
            <w:r w:rsidRPr="008A60DC">
              <w:rPr>
                <w:rFonts w:eastAsia="Calibri" w:cs="Arial"/>
                <w:sz w:val="20"/>
                <w:szCs w:val="20"/>
              </w:rPr>
              <w:t>$40</w:t>
            </w:r>
          </w:p>
        </w:tc>
        <w:tc>
          <w:tcPr>
            <w:tcW w:w="795" w:type="pct"/>
            <w:shd w:val="clear" w:color="auto" w:fill="auto"/>
            <w:vAlign w:val="center"/>
          </w:tcPr>
          <w:p w14:paraId="13CE7A7E" w14:textId="77777777" w:rsidR="00AB1B6A" w:rsidRPr="008A60DC" w:rsidRDefault="00AB1B6A" w:rsidP="00127CDF">
            <w:pPr>
              <w:jc w:val="center"/>
              <w:rPr>
                <w:rFonts w:eastAsia="Calibri" w:cs="Arial"/>
                <w:sz w:val="20"/>
                <w:szCs w:val="20"/>
              </w:rPr>
            </w:pPr>
            <w:r w:rsidRPr="008A60DC">
              <w:rPr>
                <w:rFonts w:eastAsia="Calibri" w:cs="Arial"/>
                <w:sz w:val="20"/>
                <w:szCs w:val="20"/>
              </w:rPr>
              <w:t>$65</w:t>
            </w:r>
          </w:p>
        </w:tc>
        <w:tc>
          <w:tcPr>
            <w:tcW w:w="779" w:type="pct"/>
            <w:shd w:val="clear" w:color="auto" w:fill="auto"/>
            <w:vAlign w:val="center"/>
          </w:tcPr>
          <w:p w14:paraId="733DE48D" w14:textId="77777777" w:rsidR="00AB1B6A" w:rsidRPr="008A60DC" w:rsidRDefault="00AB1B6A" w:rsidP="00127CDF">
            <w:pPr>
              <w:jc w:val="center"/>
              <w:rPr>
                <w:rFonts w:eastAsia="Calibri" w:cs="Arial"/>
                <w:sz w:val="20"/>
                <w:szCs w:val="20"/>
              </w:rPr>
            </w:pPr>
            <w:r w:rsidRPr="008A60DC">
              <w:rPr>
                <w:rFonts w:eastAsia="Calibri" w:cs="Arial"/>
                <w:sz w:val="20"/>
                <w:szCs w:val="20"/>
              </w:rPr>
              <w:t>$85</w:t>
            </w:r>
          </w:p>
        </w:tc>
        <w:tc>
          <w:tcPr>
            <w:tcW w:w="883" w:type="pct"/>
            <w:vAlign w:val="center"/>
          </w:tcPr>
          <w:p w14:paraId="2875D894" w14:textId="77777777" w:rsidR="00AB1B6A" w:rsidRPr="008A60DC" w:rsidRDefault="00AB1B6A" w:rsidP="00127CDF">
            <w:pPr>
              <w:jc w:val="center"/>
              <w:rPr>
                <w:rFonts w:eastAsia="Calibri" w:cs="Arial"/>
                <w:sz w:val="20"/>
                <w:szCs w:val="20"/>
              </w:rPr>
            </w:pPr>
            <w:r w:rsidRPr="008A60DC">
              <w:rPr>
                <w:rFonts w:eastAsia="Calibri" w:cs="Arial"/>
                <w:sz w:val="20"/>
                <w:szCs w:val="20"/>
              </w:rPr>
              <w:t>$100</w:t>
            </w:r>
          </w:p>
        </w:tc>
        <w:tc>
          <w:tcPr>
            <w:tcW w:w="811" w:type="pct"/>
            <w:vAlign w:val="center"/>
          </w:tcPr>
          <w:p w14:paraId="4C027A36" w14:textId="77777777" w:rsidR="00AB1B6A" w:rsidRPr="008A60DC" w:rsidRDefault="00AB1B6A" w:rsidP="00127CDF">
            <w:pPr>
              <w:jc w:val="center"/>
              <w:rPr>
                <w:rFonts w:eastAsia="Calibri" w:cs="Arial"/>
                <w:sz w:val="20"/>
                <w:szCs w:val="20"/>
              </w:rPr>
            </w:pPr>
            <w:r w:rsidRPr="008A60DC">
              <w:rPr>
                <w:rFonts w:eastAsia="Calibri" w:cs="Arial"/>
                <w:sz w:val="20"/>
                <w:szCs w:val="20"/>
              </w:rPr>
              <w:t>$120</w:t>
            </w:r>
          </w:p>
        </w:tc>
      </w:tr>
      <w:tr w:rsidR="00AB1B6A" w:rsidRPr="008A60DC" w14:paraId="1F0A2B77" w14:textId="77777777" w:rsidTr="00677FFC">
        <w:tc>
          <w:tcPr>
            <w:tcW w:w="979" w:type="pct"/>
            <w:shd w:val="clear" w:color="auto" w:fill="auto"/>
          </w:tcPr>
          <w:p w14:paraId="13D76473" w14:textId="77777777" w:rsidR="00AB1B6A" w:rsidRPr="008A60DC" w:rsidRDefault="00AB1B6A" w:rsidP="00127CDF">
            <w:pPr>
              <w:spacing w:after="100" w:afterAutospacing="1" w:line="276" w:lineRule="auto"/>
              <w:rPr>
                <w:rFonts w:eastAsia="Calibri" w:cs="Arial"/>
                <w:sz w:val="20"/>
                <w:szCs w:val="20"/>
              </w:rPr>
            </w:pPr>
            <w:r w:rsidRPr="008A60DC">
              <w:rPr>
                <w:rFonts w:eastAsia="Calibri" w:cs="Arial"/>
                <w:b/>
                <w:bCs/>
                <w:sz w:val="20"/>
                <w:szCs w:val="20"/>
              </w:rPr>
              <w:t>Included Data</w:t>
            </w:r>
          </w:p>
        </w:tc>
        <w:tc>
          <w:tcPr>
            <w:tcW w:w="753" w:type="pct"/>
            <w:vAlign w:val="center"/>
          </w:tcPr>
          <w:p w14:paraId="49354307" w14:textId="77777777" w:rsidR="00AB1B6A" w:rsidRPr="008A60DC" w:rsidRDefault="00AB1B6A" w:rsidP="00127CDF">
            <w:pPr>
              <w:jc w:val="center"/>
              <w:rPr>
                <w:rFonts w:eastAsia="Calibri" w:cs="Arial"/>
                <w:sz w:val="20"/>
                <w:szCs w:val="20"/>
              </w:rPr>
            </w:pPr>
            <w:r w:rsidRPr="008A60DC">
              <w:rPr>
                <w:rFonts w:eastAsia="Calibri" w:cs="Arial"/>
                <w:sz w:val="20"/>
                <w:szCs w:val="20"/>
              </w:rPr>
              <w:t>1GB</w:t>
            </w:r>
          </w:p>
        </w:tc>
        <w:tc>
          <w:tcPr>
            <w:tcW w:w="795" w:type="pct"/>
            <w:shd w:val="clear" w:color="auto" w:fill="auto"/>
            <w:vAlign w:val="center"/>
          </w:tcPr>
          <w:p w14:paraId="1B5946AD" w14:textId="77777777" w:rsidR="00AB1B6A" w:rsidRPr="008A60DC" w:rsidRDefault="00AB1B6A" w:rsidP="00127CDF">
            <w:pPr>
              <w:jc w:val="center"/>
              <w:rPr>
                <w:rFonts w:eastAsia="Calibri" w:cs="Arial"/>
                <w:sz w:val="20"/>
                <w:szCs w:val="20"/>
              </w:rPr>
            </w:pPr>
            <w:r w:rsidRPr="008A60DC">
              <w:rPr>
                <w:rFonts w:eastAsia="Calibri" w:cs="Arial"/>
                <w:sz w:val="20"/>
                <w:szCs w:val="20"/>
              </w:rPr>
              <w:t>3.5GB</w:t>
            </w:r>
          </w:p>
        </w:tc>
        <w:tc>
          <w:tcPr>
            <w:tcW w:w="779" w:type="pct"/>
            <w:shd w:val="clear" w:color="auto" w:fill="auto"/>
            <w:vAlign w:val="center"/>
          </w:tcPr>
          <w:p w14:paraId="4AF91A3D" w14:textId="77777777" w:rsidR="00AB1B6A" w:rsidRPr="008A60DC" w:rsidRDefault="00AB1B6A" w:rsidP="00127CDF">
            <w:pPr>
              <w:jc w:val="center"/>
              <w:rPr>
                <w:rFonts w:eastAsia="Calibri" w:cs="Arial"/>
                <w:sz w:val="20"/>
                <w:szCs w:val="20"/>
              </w:rPr>
            </w:pPr>
            <w:r w:rsidRPr="008A60DC">
              <w:rPr>
                <w:rFonts w:eastAsia="Calibri" w:cs="Arial"/>
                <w:sz w:val="20"/>
                <w:szCs w:val="20"/>
              </w:rPr>
              <w:t>7GB</w:t>
            </w:r>
          </w:p>
        </w:tc>
        <w:tc>
          <w:tcPr>
            <w:tcW w:w="883" w:type="pct"/>
            <w:vAlign w:val="center"/>
          </w:tcPr>
          <w:p w14:paraId="51706343" w14:textId="77777777" w:rsidR="00AB1B6A" w:rsidRPr="008A60DC" w:rsidRDefault="00AB1B6A" w:rsidP="00127CDF">
            <w:pPr>
              <w:jc w:val="center"/>
              <w:rPr>
                <w:rFonts w:eastAsia="Calibri" w:cs="Arial"/>
                <w:sz w:val="20"/>
                <w:szCs w:val="20"/>
              </w:rPr>
            </w:pPr>
            <w:r w:rsidRPr="008A60DC">
              <w:rPr>
                <w:rFonts w:eastAsia="Calibri" w:cs="Arial"/>
                <w:sz w:val="20"/>
                <w:szCs w:val="20"/>
              </w:rPr>
              <w:t>15GB</w:t>
            </w:r>
          </w:p>
        </w:tc>
        <w:tc>
          <w:tcPr>
            <w:tcW w:w="811" w:type="pct"/>
            <w:vAlign w:val="center"/>
          </w:tcPr>
          <w:p w14:paraId="5F9CD7A8" w14:textId="77777777" w:rsidR="00AB1B6A" w:rsidRPr="008A60DC" w:rsidRDefault="00AB1B6A" w:rsidP="00127CDF">
            <w:pPr>
              <w:jc w:val="center"/>
              <w:rPr>
                <w:rFonts w:eastAsia="Calibri" w:cs="Arial"/>
                <w:sz w:val="20"/>
                <w:szCs w:val="20"/>
              </w:rPr>
            </w:pPr>
            <w:r w:rsidRPr="008A60DC">
              <w:rPr>
                <w:rFonts w:eastAsia="Calibri" w:cs="Arial"/>
                <w:sz w:val="20"/>
                <w:szCs w:val="20"/>
              </w:rPr>
              <w:t>20GB</w:t>
            </w:r>
          </w:p>
        </w:tc>
      </w:tr>
      <w:tr w:rsidR="00AB1B6A" w:rsidRPr="008A60DC" w14:paraId="6F065DFC" w14:textId="77777777" w:rsidTr="00677FFC">
        <w:tc>
          <w:tcPr>
            <w:tcW w:w="979" w:type="pct"/>
            <w:shd w:val="clear" w:color="auto" w:fill="auto"/>
          </w:tcPr>
          <w:p w14:paraId="64322921" w14:textId="77777777" w:rsidR="00AB1B6A" w:rsidRPr="008A60DC" w:rsidRDefault="00AB1B6A" w:rsidP="00127CDF">
            <w:pPr>
              <w:spacing w:after="100" w:afterAutospacing="1" w:line="276" w:lineRule="auto"/>
              <w:rPr>
                <w:rFonts w:eastAsia="Calibri" w:cs="Arial"/>
                <w:b/>
                <w:bCs/>
                <w:sz w:val="20"/>
                <w:szCs w:val="20"/>
              </w:rPr>
            </w:pPr>
            <w:r w:rsidRPr="008A60DC">
              <w:rPr>
                <w:rFonts w:eastAsia="Calibri" w:cs="Arial"/>
                <w:b/>
                <w:bCs/>
                <w:sz w:val="20"/>
                <w:szCs w:val="20"/>
              </w:rPr>
              <w:t>Additional Data</w:t>
            </w:r>
          </w:p>
        </w:tc>
        <w:tc>
          <w:tcPr>
            <w:tcW w:w="3211" w:type="pct"/>
            <w:gridSpan w:val="4"/>
            <w:vAlign w:val="center"/>
          </w:tcPr>
          <w:p w14:paraId="7360B9F7" w14:textId="77777777" w:rsidR="00AB1B6A" w:rsidRPr="008A60DC" w:rsidRDefault="00AB1B6A" w:rsidP="00127CDF">
            <w:pPr>
              <w:jc w:val="center"/>
              <w:rPr>
                <w:rFonts w:eastAsia="Calibri" w:cs="Arial"/>
                <w:sz w:val="20"/>
                <w:szCs w:val="20"/>
              </w:rPr>
            </w:pPr>
            <w:r w:rsidRPr="008A60DC">
              <w:rPr>
                <w:rFonts w:eastAsia="Calibri" w:cs="Arial"/>
                <w:sz w:val="20"/>
                <w:szCs w:val="20"/>
              </w:rPr>
              <w:t>Additional Data $10 per 1GB</w:t>
            </w:r>
          </w:p>
        </w:tc>
        <w:tc>
          <w:tcPr>
            <w:tcW w:w="811" w:type="pct"/>
          </w:tcPr>
          <w:p w14:paraId="60CB36E8" w14:textId="77777777" w:rsidR="00AB1B6A" w:rsidRPr="008A60DC" w:rsidRDefault="00AB1B6A" w:rsidP="00127CDF">
            <w:pPr>
              <w:jc w:val="center"/>
              <w:rPr>
                <w:rFonts w:eastAsia="Calibri" w:cs="Arial"/>
                <w:sz w:val="20"/>
                <w:szCs w:val="20"/>
              </w:rPr>
            </w:pPr>
          </w:p>
        </w:tc>
      </w:tr>
      <w:tr w:rsidR="00AB1B6A" w:rsidRPr="008A60DC" w14:paraId="25A6F8DA" w14:textId="77777777" w:rsidTr="00677FFC">
        <w:tc>
          <w:tcPr>
            <w:tcW w:w="979" w:type="pct"/>
            <w:shd w:val="clear" w:color="auto" w:fill="auto"/>
          </w:tcPr>
          <w:p w14:paraId="6250887A" w14:textId="77777777" w:rsidR="00AB1B6A" w:rsidRPr="008A60DC" w:rsidRDefault="00AB1B6A" w:rsidP="00127CDF">
            <w:pPr>
              <w:spacing w:after="100" w:afterAutospacing="1" w:line="276" w:lineRule="auto"/>
              <w:rPr>
                <w:rFonts w:eastAsia="Calibri" w:cs="Arial"/>
                <w:b/>
                <w:bCs/>
                <w:sz w:val="20"/>
                <w:szCs w:val="20"/>
              </w:rPr>
            </w:pPr>
            <w:r w:rsidRPr="008A60DC">
              <w:rPr>
                <w:rFonts w:eastAsia="Calibri" w:cs="Arial"/>
                <w:b/>
                <w:bCs/>
                <w:sz w:val="20"/>
                <w:szCs w:val="20"/>
              </w:rPr>
              <w:t xml:space="preserve">Included Minutes </w:t>
            </w:r>
          </w:p>
          <w:p w14:paraId="46909AF1" w14:textId="77777777" w:rsidR="00AB1B6A" w:rsidRPr="008A60DC" w:rsidRDefault="00AB1B6A" w:rsidP="00127CDF">
            <w:pPr>
              <w:spacing w:after="100" w:afterAutospacing="1" w:line="276" w:lineRule="auto"/>
              <w:rPr>
                <w:rFonts w:eastAsia="Calibri" w:cs="Arial"/>
                <w:sz w:val="20"/>
                <w:szCs w:val="20"/>
              </w:rPr>
            </w:pPr>
            <w:r w:rsidRPr="008A60DC">
              <w:rPr>
                <w:rFonts w:cs="Arial"/>
                <w:sz w:val="20"/>
                <w:szCs w:val="20"/>
              </w:rPr>
              <w:t>for standard national calls to landlines and mobiles, 1300 numbers and voicemail, within Australia</w:t>
            </w:r>
          </w:p>
        </w:tc>
        <w:tc>
          <w:tcPr>
            <w:tcW w:w="753" w:type="pct"/>
            <w:vAlign w:val="center"/>
          </w:tcPr>
          <w:p w14:paraId="3494FB99"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c>
          <w:tcPr>
            <w:tcW w:w="795" w:type="pct"/>
            <w:shd w:val="clear" w:color="auto" w:fill="auto"/>
            <w:vAlign w:val="center"/>
          </w:tcPr>
          <w:p w14:paraId="5284F393"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c>
          <w:tcPr>
            <w:tcW w:w="779" w:type="pct"/>
            <w:shd w:val="clear" w:color="auto" w:fill="auto"/>
            <w:vAlign w:val="center"/>
          </w:tcPr>
          <w:p w14:paraId="518123D2"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c>
          <w:tcPr>
            <w:tcW w:w="883" w:type="pct"/>
            <w:vAlign w:val="center"/>
          </w:tcPr>
          <w:p w14:paraId="62480BD3"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c>
          <w:tcPr>
            <w:tcW w:w="811" w:type="pct"/>
            <w:vAlign w:val="center"/>
          </w:tcPr>
          <w:p w14:paraId="00FA8402" w14:textId="77777777" w:rsidR="00AB1B6A" w:rsidRPr="008A60DC" w:rsidRDefault="00AB1B6A" w:rsidP="00127CDF">
            <w:pPr>
              <w:spacing w:before="840" w:after="840"/>
              <w:jc w:val="center"/>
              <w:rPr>
                <w:rFonts w:eastAsia="Calibri" w:cs="Arial"/>
                <w:sz w:val="20"/>
                <w:szCs w:val="20"/>
              </w:rPr>
            </w:pPr>
            <w:r w:rsidRPr="008A60DC">
              <w:rPr>
                <w:rFonts w:eastAsia="Calibri" w:cs="Arial"/>
                <w:sz w:val="20"/>
                <w:szCs w:val="20"/>
              </w:rPr>
              <w:t>Unlimited</w:t>
            </w:r>
          </w:p>
        </w:tc>
      </w:tr>
      <w:tr w:rsidR="00AB1B6A" w:rsidRPr="008A60DC" w14:paraId="1A59FF4A" w14:textId="77777777" w:rsidTr="00677FFC">
        <w:tc>
          <w:tcPr>
            <w:tcW w:w="979" w:type="pct"/>
            <w:shd w:val="clear" w:color="auto" w:fill="auto"/>
          </w:tcPr>
          <w:p w14:paraId="11A5788C" w14:textId="77777777" w:rsidR="00AB1B6A" w:rsidRPr="008A60DC" w:rsidRDefault="00AB1B6A" w:rsidP="00127CDF">
            <w:pPr>
              <w:autoSpaceDE w:val="0"/>
              <w:autoSpaceDN w:val="0"/>
              <w:adjustRightInd w:val="0"/>
              <w:spacing w:after="100" w:afterAutospacing="1"/>
              <w:rPr>
                <w:rFonts w:cs="Arial"/>
                <w:b/>
                <w:bCs/>
                <w:sz w:val="20"/>
                <w:szCs w:val="20"/>
              </w:rPr>
            </w:pPr>
            <w:r w:rsidRPr="008A60DC">
              <w:rPr>
                <w:rFonts w:cs="Arial"/>
                <w:b/>
                <w:bCs/>
                <w:sz w:val="20"/>
                <w:szCs w:val="20"/>
              </w:rPr>
              <w:t>Included International Minutes</w:t>
            </w:r>
          </w:p>
          <w:p w14:paraId="140E5E6D" w14:textId="77777777" w:rsidR="00AB1B6A" w:rsidRPr="008A60DC" w:rsidRDefault="00AB1B6A" w:rsidP="00127CDF">
            <w:pPr>
              <w:autoSpaceDE w:val="0"/>
              <w:autoSpaceDN w:val="0"/>
              <w:adjustRightInd w:val="0"/>
              <w:spacing w:after="100" w:afterAutospacing="1"/>
              <w:rPr>
                <w:rFonts w:cs="Arial"/>
                <w:sz w:val="20"/>
                <w:szCs w:val="20"/>
              </w:rPr>
            </w:pPr>
            <w:r w:rsidRPr="008A60DC">
              <w:rPr>
                <w:rFonts w:cs="Arial"/>
                <w:sz w:val="20"/>
                <w:szCs w:val="20"/>
              </w:rPr>
              <w:t>Standard international calls to landlines and mobiles</w:t>
            </w:r>
          </w:p>
          <w:p w14:paraId="06494957" w14:textId="77777777" w:rsidR="00AB1B6A" w:rsidRPr="008A60DC" w:rsidRDefault="00AB1B6A" w:rsidP="00127CDF">
            <w:pPr>
              <w:spacing w:after="100" w:afterAutospacing="1" w:line="276" w:lineRule="auto"/>
              <w:rPr>
                <w:rFonts w:eastAsia="Calibri" w:cs="Arial"/>
                <w:b/>
                <w:bCs/>
                <w:sz w:val="20"/>
                <w:szCs w:val="20"/>
              </w:rPr>
            </w:pPr>
            <w:r w:rsidRPr="008A60DC">
              <w:rPr>
                <w:rFonts w:cs="Arial"/>
                <w:sz w:val="20"/>
                <w:szCs w:val="20"/>
              </w:rPr>
              <w:t>to selected countries (charged per min)</w:t>
            </w:r>
          </w:p>
        </w:tc>
        <w:tc>
          <w:tcPr>
            <w:tcW w:w="753" w:type="pct"/>
            <w:vAlign w:val="center"/>
          </w:tcPr>
          <w:p w14:paraId="448F403F" w14:textId="77777777" w:rsidR="00AB1B6A" w:rsidRPr="008A60DC" w:rsidRDefault="00AB1B6A" w:rsidP="00127CDF">
            <w:pPr>
              <w:jc w:val="center"/>
              <w:rPr>
                <w:rFonts w:eastAsia="Calibri" w:cs="Arial"/>
                <w:sz w:val="20"/>
                <w:szCs w:val="20"/>
              </w:rPr>
            </w:pPr>
            <w:r w:rsidRPr="008A60DC">
              <w:rPr>
                <w:rFonts w:eastAsia="Calibri" w:cs="Arial"/>
                <w:sz w:val="20"/>
                <w:szCs w:val="20"/>
              </w:rPr>
              <w:t>Not included</w:t>
            </w:r>
          </w:p>
        </w:tc>
        <w:tc>
          <w:tcPr>
            <w:tcW w:w="795" w:type="pct"/>
            <w:shd w:val="clear" w:color="auto" w:fill="auto"/>
            <w:vAlign w:val="center"/>
          </w:tcPr>
          <w:p w14:paraId="46A08478" w14:textId="77777777" w:rsidR="00AB1B6A" w:rsidRPr="008A60DC" w:rsidRDefault="00AB1B6A" w:rsidP="00127CDF">
            <w:pPr>
              <w:jc w:val="center"/>
              <w:rPr>
                <w:rFonts w:eastAsia="Calibri" w:cs="Arial"/>
                <w:sz w:val="20"/>
                <w:szCs w:val="20"/>
              </w:rPr>
            </w:pPr>
            <w:r w:rsidRPr="008A60DC">
              <w:rPr>
                <w:rFonts w:cs="Arial"/>
                <w:bCs/>
                <w:sz w:val="20"/>
                <w:szCs w:val="20"/>
              </w:rPr>
              <w:t>Up to 150 mins</w:t>
            </w:r>
          </w:p>
        </w:tc>
        <w:tc>
          <w:tcPr>
            <w:tcW w:w="779" w:type="pct"/>
            <w:shd w:val="clear" w:color="auto" w:fill="auto"/>
            <w:vAlign w:val="center"/>
          </w:tcPr>
          <w:p w14:paraId="1706CE02" w14:textId="77777777" w:rsidR="00AB1B6A" w:rsidRPr="008A60DC" w:rsidRDefault="00AB1B6A" w:rsidP="00127CDF">
            <w:pPr>
              <w:jc w:val="center"/>
              <w:rPr>
                <w:rFonts w:eastAsia="Calibri" w:cs="Arial"/>
                <w:sz w:val="20"/>
                <w:szCs w:val="20"/>
              </w:rPr>
            </w:pPr>
            <w:r w:rsidRPr="008A60DC">
              <w:rPr>
                <w:rFonts w:cs="Arial"/>
                <w:bCs/>
                <w:sz w:val="20"/>
                <w:szCs w:val="20"/>
              </w:rPr>
              <w:t>Up to 300 mins</w:t>
            </w:r>
          </w:p>
        </w:tc>
        <w:tc>
          <w:tcPr>
            <w:tcW w:w="883" w:type="pct"/>
            <w:vAlign w:val="center"/>
          </w:tcPr>
          <w:p w14:paraId="7B19D11B" w14:textId="77777777" w:rsidR="00AB1B6A" w:rsidRPr="008A60DC" w:rsidRDefault="00AB1B6A" w:rsidP="00127CDF">
            <w:pPr>
              <w:jc w:val="center"/>
              <w:rPr>
                <w:rFonts w:cs="Arial"/>
                <w:bCs/>
                <w:sz w:val="20"/>
                <w:szCs w:val="20"/>
              </w:rPr>
            </w:pPr>
            <w:r w:rsidRPr="008A60DC">
              <w:rPr>
                <w:rFonts w:cs="Arial"/>
                <w:bCs/>
                <w:sz w:val="20"/>
                <w:szCs w:val="20"/>
              </w:rPr>
              <w:t>Up to 400 mins</w:t>
            </w:r>
          </w:p>
        </w:tc>
        <w:tc>
          <w:tcPr>
            <w:tcW w:w="811" w:type="pct"/>
            <w:vAlign w:val="center"/>
          </w:tcPr>
          <w:p w14:paraId="2877E35C" w14:textId="77777777" w:rsidR="00AB1B6A" w:rsidRPr="008A60DC" w:rsidRDefault="00AB1B6A" w:rsidP="00127CDF">
            <w:pPr>
              <w:spacing w:before="960" w:after="960"/>
              <w:jc w:val="center"/>
              <w:rPr>
                <w:rFonts w:cs="Arial"/>
                <w:bCs/>
                <w:sz w:val="20"/>
                <w:szCs w:val="20"/>
              </w:rPr>
            </w:pPr>
            <w:r w:rsidRPr="008A60DC">
              <w:rPr>
                <w:rFonts w:eastAsia="Calibri" w:cs="Arial"/>
                <w:sz w:val="20"/>
                <w:szCs w:val="20"/>
              </w:rPr>
              <w:t>Unlimited</w:t>
            </w:r>
          </w:p>
        </w:tc>
      </w:tr>
      <w:tr w:rsidR="00AB1B6A" w:rsidRPr="008A60DC" w14:paraId="1FE3D5A9" w14:textId="77777777" w:rsidTr="00677FFC">
        <w:tc>
          <w:tcPr>
            <w:tcW w:w="979" w:type="pct"/>
            <w:shd w:val="clear" w:color="auto" w:fill="auto"/>
          </w:tcPr>
          <w:p w14:paraId="09A37C93" w14:textId="77777777" w:rsidR="00AB1B6A" w:rsidRPr="008A60DC" w:rsidRDefault="00AB1B6A" w:rsidP="00127CDF">
            <w:pPr>
              <w:spacing w:after="100" w:afterAutospacing="1" w:line="276" w:lineRule="auto"/>
              <w:rPr>
                <w:rFonts w:eastAsia="Calibri" w:cs="Arial"/>
                <w:sz w:val="20"/>
                <w:szCs w:val="20"/>
              </w:rPr>
            </w:pPr>
            <w:r w:rsidRPr="008A60DC">
              <w:rPr>
                <w:rFonts w:eastAsia="Calibri" w:cs="Arial"/>
                <w:b/>
                <w:bCs/>
                <w:sz w:val="20"/>
                <w:szCs w:val="20"/>
              </w:rPr>
              <w:t xml:space="preserve">Standard national SMS </w:t>
            </w:r>
            <w:r w:rsidRPr="008A60DC">
              <w:rPr>
                <w:rFonts w:eastAsia="Calibri" w:cs="Arial"/>
                <w:sz w:val="20"/>
                <w:szCs w:val="20"/>
              </w:rPr>
              <w:t>(per SMS of up to 160 standard characters)</w:t>
            </w:r>
          </w:p>
        </w:tc>
        <w:tc>
          <w:tcPr>
            <w:tcW w:w="753" w:type="pct"/>
            <w:vAlign w:val="center"/>
          </w:tcPr>
          <w:p w14:paraId="5FEEB9D7"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c>
          <w:tcPr>
            <w:tcW w:w="795" w:type="pct"/>
            <w:shd w:val="clear" w:color="auto" w:fill="auto"/>
            <w:vAlign w:val="center"/>
          </w:tcPr>
          <w:p w14:paraId="645C4DE9"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c>
          <w:tcPr>
            <w:tcW w:w="779" w:type="pct"/>
            <w:shd w:val="clear" w:color="auto" w:fill="auto"/>
            <w:vAlign w:val="center"/>
          </w:tcPr>
          <w:p w14:paraId="4425D78F"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c>
          <w:tcPr>
            <w:tcW w:w="883" w:type="pct"/>
            <w:vAlign w:val="center"/>
          </w:tcPr>
          <w:p w14:paraId="7ACB62B6"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c>
          <w:tcPr>
            <w:tcW w:w="811" w:type="pct"/>
          </w:tcPr>
          <w:p w14:paraId="6796D12F" w14:textId="77777777" w:rsidR="00AB1B6A" w:rsidRPr="008A60DC" w:rsidRDefault="00AB1B6A" w:rsidP="00127CDF">
            <w:pPr>
              <w:spacing w:before="480" w:after="120"/>
              <w:jc w:val="center"/>
              <w:rPr>
                <w:rFonts w:eastAsia="Calibri" w:cs="Arial"/>
                <w:sz w:val="20"/>
                <w:szCs w:val="20"/>
              </w:rPr>
            </w:pPr>
            <w:r w:rsidRPr="008A60DC">
              <w:rPr>
                <w:rFonts w:eastAsia="Calibri" w:cs="Arial"/>
                <w:sz w:val="20"/>
                <w:szCs w:val="20"/>
              </w:rPr>
              <w:t>Unlimited</w:t>
            </w:r>
          </w:p>
        </w:tc>
      </w:tr>
      <w:tr w:rsidR="00AB1B6A" w:rsidRPr="008A60DC" w14:paraId="51FB9028" w14:textId="77777777" w:rsidTr="00677FFC">
        <w:tc>
          <w:tcPr>
            <w:tcW w:w="979" w:type="pct"/>
            <w:shd w:val="clear" w:color="auto" w:fill="auto"/>
          </w:tcPr>
          <w:p w14:paraId="02888938" w14:textId="77777777" w:rsidR="00AB1B6A" w:rsidRPr="008A60DC" w:rsidRDefault="00AB1B6A" w:rsidP="00127CDF">
            <w:pPr>
              <w:spacing w:after="100" w:afterAutospacing="1" w:line="276" w:lineRule="auto"/>
              <w:rPr>
                <w:rFonts w:eastAsia="Calibri" w:cs="Arial"/>
                <w:b/>
                <w:bCs/>
                <w:sz w:val="20"/>
                <w:szCs w:val="20"/>
              </w:rPr>
            </w:pPr>
            <w:r w:rsidRPr="008A60DC">
              <w:rPr>
                <w:rFonts w:eastAsia="Calibri" w:cs="Arial"/>
                <w:b/>
                <w:bCs/>
                <w:sz w:val="20"/>
                <w:szCs w:val="20"/>
              </w:rPr>
              <w:t xml:space="preserve">Standard national MMS </w:t>
            </w:r>
            <w:r w:rsidRPr="008A60DC">
              <w:rPr>
                <w:rFonts w:eastAsia="Calibri" w:cs="Arial"/>
                <w:sz w:val="20"/>
                <w:szCs w:val="20"/>
              </w:rPr>
              <w:t>(per message)</w:t>
            </w:r>
          </w:p>
        </w:tc>
        <w:tc>
          <w:tcPr>
            <w:tcW w:w="753" w:type="pct"/>
            <w:vAlign w:val="center"/>
          </w:tcPr>
          <w:p w14:paraId="4B04CE22"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c>
          <w:tcPr>
            <w:tcW w:w="795" w:type="pct"/>
            <w:shd w:val="clear" w:color="auto" w:fill="auto"/>
            <w:vAlign w:val="center"/>
          </w:tcPr>
          <w:p w14:paraId="1264CF50"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c>
          <w:tcPr>
            <w:tcW w:w="779" w:type="pct"/>
            <w:shd w:val="clear" w:color="auto" w:fill="auto"/>
            <w:vAlign w:val="center"/>
          </w:tcPr>
          <w:p w14:paraId="4071FC31"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c>
          <w:tcPr>
            <w:tcW w:w="883" w:type="pct"/>
            <w:vAlign w:val="center"/>
          </w:tcPr>
          <w:p w14:paraId="6FE4AC41"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c>
          <w:tcPr>
            <w:tcW w:w="811" w:type="pct"/>
          </w:tcPr>
          <w:p w14:paraId="32B12C41" w14:textId="77777777" w:rsidR="00AB1B6A" w:rsidRPr="008A60DC" w:rsidRDefault="00AB1B6A" w:rsidP="00127CDF">
            <w:pPr>
              <w:spacing w:before="360" w:after="100" w:afterAutospacing="1"/>
              <w:jc w:val="center"/>
              <w:rPr>
                <w:rFonts w:eastAsia="Calibri" w:cs="Arial"/>
                <w:sz w:val="20"/>
                <w:szCs w:val="20"/>
              </w:rPr>
            </w:pPr>
            <w:r w:rsidRPr="008A60DC">
              <w:rPr>
                <w:rFonts w:eastAsia="Calibri" w:cs="Arial"/>
                <w:sz w:val="20"/>
                <w:szCs w:val="20"/>
              </w:rPr>
              <w:t>Unlimited</w:t>
            </w:r>
          </w:p>
        </w:tc>
      </w:tr>
      <w:tr w:rsidR="00AB1B6A" w:rsidRPr="008A60DC" w14:paraId="1D62594F" w14:textId="77777777" w:rsidTr="00677FFC">
        <w:tc>
          <w:tcPr>
            <w:tcW w:w="979" w:type="pct"/>
            <w:shd w:val="clear" w:color="auto" w:fill="auto"/>
          </w:tcPr>
          <w:p w14:paraId="3AD62081" w14:textId="77777777" w:rsidR="00AB1B6A" w:rsidRPr="008A60DC" w:rsidDel="00064B49" w:rsidRDefault="00AB1B6A" w:rsidP="00127CDF">
            <w:pPr>
              <w:spacing w:after="100" w:afterAutospacing="1" w:line="276" w:lineRule="auto"/>
              <w:rPr>
                <w:rFonts w:eastAsia="Calibri" w:cs="Arial"/>
                <w:b/>
                <w:bCs/>
                <w:sz w:val="20"/>
                <w:szCs w:val="20"/>
              </w:rPr>
            </w:pPr>
            <w:r w:rsidRPr="008A60DC">
              <w:rPr>
                <w:rFonts w:eastAsia="Calibri" w:cs="Arial"/>
                <w:b/>
                <w:bCs/>
                <w:sz w:val="20"/>
                <w:szCs w:val="20"/>
              </w:rPr>
              <w:t xml:space="preserve">Standard international SMS </w:t>
            </w:r>
            <w:r w:rsidRPr="008A60DC">
              <w:rPr>
                <w:rFonts w:eastAsia="Calibri" w:cs="Arial"/>
                <w:sz w:val="20"/>
                <w:szCs w:val="20"/>
              </w:rPr>
              <w:t>(per SMS of up to 160 standard characters to selected countries)</w:t>
            </w:r>
          </w:p>
        </w:tc>
        <w:tc>
          <w:tcPr>
            <w:tcW w:w="753" w:type="pct"/>
            <w:vAlign w:val="center"/>
          </w:tcPr>
          <w:p w14:paraId="43A9C3C3"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c>
          <w:tcPr>
            <w:tcW w:w="795" w:type="pct"/>
            <w:shd w:val="clear" w:color="auto" w:fill="auto"/>
            <w:vAlign w:val="center"/>
          </w:tcPr>
          <w:p w14:paraId="62C7F3F1" w14:textId="77777777" w:rsidR="00AB1B6A" w:rsidRPr="008A60DC" w:rsidDel="00064B49" w:rsidRDefault="00AB1B6A" w:rsidP="00127CDF">
            <w:pPr>
              <w:jc w:val="center"/>
              <w:rPr>
                <w:rFonts w:eastAsia="Calibri" w:cs="Arial"/>
                <w:sz w:val="20"/>
                <w:szCs w:val="20"/>
              </w:rPr>
            </w:pPr>
            <w:r w:rsidRPr="008A60DC">
              <w:rPr>
                <w:rFonts w:eastAsia="Calibri" w:cs="Arial"/>
                <w:sz w:val="20"/>
                <w:szCs w:val="20"/>
              </w:rPr>
              <w:t>Unlimited</w:t>
            </w:r>
          </w:p>
        </w:tc>
        <w:tc>
          <w:tcPr>
            <w:tcW w:w="779" w:type="pct"/>
            <w:shd w:val="clear" w:color="auto" w:fill="auto"/>
            <w:vAlign w:val="center"/>
          </w:tcPr>
          <w:p w14:paraId="2BE6582B" w14:textId="77777777" w:rsidR="00AB1B6A" w:rsidRPr="008A60DC" w:rsidDel="00064B49" w:rsidRDefault="00AB1B6A" w:rsidP="00127CDF">
            <w:pPr>
              <w:jc w:val="center"/>
              <w:rPr>
                <w:rFonts w:eastAsia="Calibri" w:cs="Arial"/>
                <w:sz w:val="20"/>
                <w:szCs w:val="20"/>
              </w:rPr>
            </w:pPr>
            <w:r w:rsidRPr="008A60DC">
              <w:rPr>
                <w:rFonts w:eastAsia="Calibri" w:cs="Arial"/>
                <w:sz w:val="20"/>
                <w:szCs w:val="20"/>
              </w:rPr>
              <w:t>Unlimited</w:t>
            </w:r>
          </w:p>
        </w:tc>
        <w:tc>
          <w:tcPr>
            <w:tcW w:w="883" w:type="pct"/>
            <w:vAlign w:val="center"/>
          </w:tcPr>
          <w:p w14:paraId="3ED12783"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c>
          <w:tcPr>
            <w:tcW w:w="811" w:type="pct"/>
          </w:tcPr>
          <w:p w14:paraId="78E5A7C6" w14:textId="77777777" w:rsidR="00AB1B6A" w:rsidRPr="008A60DC" w:rsidRDefault="00AB1B6A" w:rsidP="00127CDF">
            <w:pPr>
              <w:spacing w:before="840"/>
              <w:jc w:val="center"/>
              <w:rPr>
                <w:rFonts w:eastAsia="Calibri" w:cs="Arial"/>
                <w:sz w:val="20"/>
                <w:szCs w:val="20"/>
              </w:rPr>
            </w:pPr>
            <w:r w:rsidRPr="008A60DC">
              <w:rPr>
                <w:rFonts w:eastAsia="Calibri" w:cs="Arial"/>
                <w:sz w:val="20"/>
                <w:szCs w:val="20"/>
              </w:rPr>
              <w:t>Unlimited</w:t>
            </w:r>
          </w:p>
        </w:tc>
      </w:tr>
      <w:tr w:rsidR="00AB1B6A" w:rsidRPr="008A60DC" w14:paraId="1FAB67F8" w14:textId="77777777" w:rsidTr="00677FFC">
        <w:tc>
          <w:tcPr>
            <w:tcW w:w="979" w:type="pct"/>
            <w:shd w:val="clear" w:color="auto" w:fill="auto"/>
          </w:tcPr>
          <w:p w14:paraId="6108E145" w14:textId="77777777" w:rsidR="00AB1B6A" w:rsidRPr="008A60DC" w:rsidRDefault="00AB1B6A" w:rsidP="00127CDF">
            <w:pPr>
              <w:spacing w:after="100" w:afterAutospacing="1" w:line="276" w:lineRule="auto"/>
              <w:rPr>
                <w:rFonts w:eastAsia="Calibri" w:cs="Arial"/>
                <w:b/>
                <w:bCs/>
                <w:sz w:val="20"/>
                <w:szCs w:val="20"/>
              </w:rPr>
            </w:pPr>
            <w:r w:rsidRPr="008A60DC">
              <w:rPr>
                <w:rFonts w:eastAsia="Calibri" w:cs="Arial"/>
                <w:b/>
                <w:bCs/>
                <w:sz w:val="20"/>
                <w:szCs w:val="20"/>
              </w:rPr>
              <w:lastRenderedPageBreak/>
              <w:t xml:space="preserve">Standard international MMS </w:t>
            </w:r>
            <w:r w:rsidRPr="008A60DC">
              <w:rPr>
                <w:rFonts w:eastAsia="Calibri" w:cs="Arial"/>
                <w:sz w:val="20"/>
                <w:szCs w:val="20"/>
              </w:rPr>
              <w:t>(per message to selected countries)</w:t>
            </w:r>
          </w:p>
        </w:tc>
        <w:tc>
          <w:tcPr>
            <w:tcW w:w="753" w:type="pct"/>
            <w:vAlign w:val="center"/>
          </w:tcPr>
          <w:p w14:paraId="2CB70F66"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c>
          <w:tcPr>
            <w:tcW w:w="795" w:type="pct"/>
            <w:shd w:val="clear" w:color="auto" w:fill="auto"/>
            <w:vAlign w:val="center"/>
          </w:tcPr>
          <w:p w14:paraId="05D69526"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c>
          <w:tcPr>
            <w:tcW w:w="779" w:type="pct"/>
            <w:shd w:val="clear" w:color="auto" w:fill="auto"/>
            <w:vAlign w:val="center"/>
          </w:tcPr>
          <w:p w14:paraId="14248529"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c>
          <w:tcPr>
            <w:tcW w:w="883" w:type="pct"/>
            <w:vAlign w:val="center"/>
          </w:tcPr>
          <w:p w14:paraId="58152BC4" w14:textId="77777777" w:rsidR="00AB1B6A" w:rsidRPr="008A60DC" w:rsidRDefault="00AB1B6A" w:rsidP="00127CDF">
            <w:pPr>
              <w:jc w:val="center"/>
              <w:rPr>
                <w:rFonts w:eastAsia="Calibri" w:cs="Arial"/>
                <w:sz w:val="20"/>
                <w:szCs w:val="20"/>
              </w:rPr>
            </w:pPr>
            <w:r w:rsidRPr="008A60DC">
              <w:rPr>
                <w:rFonts w:eastAsia="Calibri" w:cs="Arial"/>
                <w:sz w:val="20"/>
                <w:szCs w:val="20"/>
              </w:rPr>
              <w:t>Unlimited</w:t>
            </w:r>
          </w:p>
        </w:tc>
        <w:tc>
          <w:tcPr>
            <w:tcW w:w="811" w:type="pct"/>
          </w:tcPr>
          <w:p w14:paraId="3F3CEF0C" w14:textId="77777777" w:rsidR="00AB1B6A" w:rsidRPr="008A60DC" w:rsidRDefault="00AB1B6A" w:rsidP="00127CDF">
            <w:pPr>
              <w:spacing w:before="720"/>
              <w:jc w:val="center"/>
              <w:rPr>
                <w:rFonts w:eastAsia="Calibri" w:cs="Arial"/>
                <w:sz w:val="20"/>
                <w:szCs w:val="20"/>
              </w:rPr>
            </w:pPr>
            <w:r w:rsidRPr="008A60DC">
              <w:rPr>
                <w:rFonts w:eastAsia="Calibri" w:cs="Arial"/>
                <w:sz w:val="20"/>
                <w:szCs w:val="20"/>
              </w:rPr>
              <w:t>Unlimited</w:t>
            </w:r>
          </w:p>
        </w:tc>
      </w:tr>
      <w:tr w:rsidR="00AB1B6A" w:rsidRPr="008A60DC" w14:paraId="31D27F47" w14:textId="77777777" w:rsidTr="00677FFC">
        <w:tc>
          <w:tcPr>
            <w:tcW w:w="979" w:type="pct"/>
            <w:shd w:val="clear" w:color="auto" w:fill="auto"/>
          </w:tcPr>
          <w:p w14:paraId="0DC048F3" w14:textId="77777777" w:rsidR="00AB1B6A" w:rsidRPr="008A60DC" w:rsidRDefault="00AB1B6A" w:rsidP="00127CDF">
            <w:pPr>
              <w:spacing w:after="100" w:afterAutospacing="1" w:line="276" w:lineRule="auto"/>
              <w:rPr>
                <w:rFonts w:eastAsia="Calibri" w:cs="Arial"/>
                <w:b/>
                <w:bCs/>
                <w:sz w:val="20"/>
                <w:szCs w:val="20"/>
              </w:rPr>
            </w:pPr>
            <w:r w:rsidRPr="008A60DC">
              <w:rPr>
                <w:rFonts w:cs="Arial"/>
                <w:b/>
                <w:sz w:val="20"/>
                <w:szCs w:val="20"/>
              </w:rPr>
              <w:t>Optus Travel™ Pack</w:t>
            </w:r>
          </w:p>
        </w:tc>
        <w:tc>
          <w:tcPr>
            <w:tcW w:w="753" w:type="pct"/>
            <w:vAlign w:val="center"/>
          </w:tcPr>
          <w:p w14:paraId="24BB3A11" w14:textId="77777777" w:rsidR="00AB1B6A" w:rsidRPr="008A60DC" w:rsidRDefault="00AB1B6A" w:rsidP="00127CDF">
            <w:pPr>
              <w:jc w:val="center"/>
              <w:rPr>
                <w:rFonts w:eastAsia="Calibri" w:cs="Arial"/>
                <w:sz w:val="20"/>
                <w:szCs w:val="20"/>
              </w:rPr>
            </w:pPr>
            <w:r w:rsidRPr="008A60DC">
              <w:rPr>
                <w:rFonts w:cs="Arial"/>
                <w:sz w:val="20"/>
                <w:szCs w:val="20"/>
              </w:rPr>
              <w:t>Not applicable</w:t>
            </w:r>
          </w:p>
        </w:tc>
        <w:tc>
          <w:tcPr>
            <w:tcW w:w="795" w:type="pct"/>
            <w:shd w:val="clear" w:color="auto" w:fill="auto"/>
            <w:vAlign w:val="center"/>
          </w:tcPr>
          <w:p w14:paraId="3DAF62F6" w14:textId="77777777" w:rsidR="00AB1B6A" w:rsidRPr="008A60DC" w:rsidRDefault="00AB1B6A" w:rsidP="00127CDF">
            <w:pPr>
              <w:jc w:val="center"/>
              <w:rPr>
                <w:rFonts w:eastAsia="Calibri" w:cs="Arial"/>
                <w:sz w:val="20"/>
                <w:szCs w:val="20"/>
              </w:rPr>
            </w:pPr>
            <w:r w:rsidRPr="008A60DC">
              <w:rPr>
                <w:rFonts w:cs="Arial"/>
                <w:sz w:val="20"/>
                <w:szCs w:val="20"/>
              </w:rPr>
              <w:t>Not applicable</w:t>
            </w:r>
          </w:p>
        </w:tc>
        <w:tc>
          <w:tcPr>
            <w:tcW w:w="779" w:type="pct"/>
            <w:shd w:val="clear" w:color="auto" w:fill="auto"/>
            <w:vAlign w:val="center"/>
          </w:tcPr>
          <w:p w14:paraId="0C744778" w14:textId="77777777" w:rsidR="00AB1B6A" w:rsidRPr="008A60DC" w:rsidRDefault="00AB1B6A" w:rsidP="00127CDF">
            <w:pPr>
              <w:jc w:val="center"/>
              <w:rPr>
                <w:rFonts w:eastAsia="Calibri" w:cs="Arial"/>
                <w:sz w:val="20"/>
                <w:szCs w:val="20"/>
              </w:rPr>
            </w:pPr>
            <w:r w:rsidRPr="008A60DC">
              <w:rPr>
                <w:rFonts w:cs="Arial"/>
                <w:sz w:val="20"/>
                <w:szCs w:val="20"/>
              </w:rPr>
              <w:t>Not applicable</w:t>
            </w:r>
          </w:p>
        </w:tc>
        <w:tc>
          <w:tcPr>
            <w:tcW w:w="883" w:type="pct"/>
            <w:vAlign w:val="center"/>
          </w:tcPr>
          <w:p w14:paraId="63E680BC" w14:textId="77777777" w:rsidR="00AB1B6A" w:rsidRPr="008A60DC" w:rsidRDefault="00AB1B6A" w:rsidP="00127CDF">
            <w:pPr>
              <w:jc w:val="center"/>
              <w:rPr>
                <w:rFonts w:eastAsia="Calibri" w:cs="Arial"/>
                <w:sz w:val="20"/>
                <w:szCs w:val="20"/>
              </w:rPr>
            </w:pPr>
            <w:r w:rsidRPr="008A60DC">
              <w:rPr>
                <w:rFonts w:cs="Arial"/>
                <w:sz w:val="20"/>
                <w:szCs w:val="20"/>
              </w:rPr>
              <w:t>Not applicable</w:t>
            </w:r>
          </w:p>
        </w:tc>
        <w:tc>
          <w:tcPr>
            <w:tcW w:w="811" w:type="pct"/>
            <w:vAlign w:val="center"/>
          </w:tcPr>
          <w:p w14:paraId="1CE5AAB4" w14:textId="77777777" w:rsidR="00AB1B6A" w:rsidRPr="008A60DC" w:rsidRDefault="00AB1B6A" w:rsidP="00127CDF">
            <w:pPr>
              <w:jc w:val="center"/>
              <w:rPr>
                <w:rFonts w:eastAsia="Calibri" w:cs="Arial"/>
                <w:sz w:val="20"/>
                <w:szCs w:val="20"/>
              </w:rPr>
            </w:pPr>
            <w:r w:rsidRPr="008A60DC">
              <w:rPr>
                <w:rFonts w:cs="Arial"/>
                <w:sz w:val="20"/>
                <w:szCs w:val="20"/>
              </w:rPr>
              <w:t>Up to 10 days</w:t>
            </w:r>
          </w:p>
        </w:tc>
      </w:tr>
      <w:tr w:rsidR="00AB1B6A" w:rsidRPr="008A60DC" w14:paraId="13D2B5C8" w14:textId="77777777" w:rsidTr="00677FFC">
        <w:tc>
          <w:tcPr>
            <w:tcW w:w="979" w:type="pct"/>
            <w:shd w:val="clear" w:color="auto" w:fill="auto"/>
          </w:tcPr>
          <w:p w14:paraId="73698FFF" w14:textId="77777777" w:rsidR="00AB1B6A" w:rsidRPr="008A60DC" w:rsidRDefault="00AB1B6A" w:rsidP="00127CDF">
            <w:pPr>
              <w:spacing w:after="100" w:afterAutospacing="1" w:line="276" w:lineRule="auto"/>
              <w:rPr>
                <w:rFonts w:eastAsia="Calibri" w:cs="Arial"/>
                <w:b/>
                <w:bCs/>
                <w:sz w:val="20"/>
                <w:szCs w:val="20"/>
              </w:rPr>
            </w:pPr>
            <w:r w:rsidRPr="008A60DC">
              <w:rPr>
                <w:rFonts w:eastAsia="Calibri" w:cs="Arial"/>
                <w:b/>
                <w:bCs/>
                <w:sz w:val="20"/>
                <w:szCs w:val="20"/>
              </w:rPr>
              <w:t xml:space="preserve">Minimum total cost over 24 months </w:t>
            </w:r>
          </w:p>
        </w:tc>
        <w:tc>
          <w:tcPr>
            <w:tcW w:w="753" w:type="pct"/>
            <w:vAlign w:val="center"/>
          </w:tcPr>
          <w:p w14:paraId="33C6153C" w14:textId="77777777" w:rsidR="00AB1B6A" w:rsidRPr="008A60DC" w:rsidRDefault="00AB1B6A" w:rsidP="00127CDF">
            <w:pPr>
              <w:spacing w:before="120"/>
              <w:jc w:val="center"/>
              <w:rPr>
                <w:rFonts w:eastAsia="Calibri" w:cs="Arial"/>
                <w:sz w:val="20"/>
                <w:szCs w:val="20"/>
              </w:rPr>
            </w:pPr>
            <w:r w:rsidRPr="008A60DC">
              <w:rPr>
                <w:rFonts w:eastAsia="Calibri" w:cs="Arial"/>
                <w:sz w:val="20"/>
                <w:szCs w:val="20"/>
              </w:rPr>
              <w:t>$960</w:t>
            </w:r>
          </w:p>
        </w:tc>
        <w:tc>
          <w:tcPr>
            <w:tcW w:w="795" w:type="pct"/>
            <w:shd w:val="clear" w:color="auto" w:fill="auto"/>
            <w:vAlign w:val="center"/>
          </w:tcPr>
          <w:p w14:paraId="51297257" w14:textId="77777777" w:rsidR="00AB1B6A" w:rsidRPr="008A60DC" w:rsidRDefault="00AB1B6A" w:rsidP="00127CDF">
            <w:pPr>
              <w:spacing w:before="120"/>
              <w:jc w:val="center"/>
              <w:rPr>
                <w:rFonts w:eastAsia="Calibri" w:cs="Arial"/>
                <w:sz w:val="20"/>
                <w:szCs w:val="20"/>
              </w:rPr>
            </w:pPr>
            <w:r w:rsidRPr="008A60DC">
              <w:rPr>
                <w:rFonts w:eastAsia="Calibri" w:cs="Arial"/>
                <w:sz w:val="20"/>
                <w:szCs w:val="20"/>
              </w:rPr>
              <w:t>$1560</w:t>
            </w:r>
          </w:p>
        </w:tc>
        <w:tc>
          <w:tcPr>
            <w:tcW w:w="779" w:type="pct"/>
            <w:shd w:val="clear" w:color="auto" w:fill="auto"/>
            <w:vAlign w:val="center"/>
          </w:tcPr>
          <w:p w14:paraId="3E1461C0" w14:textId="77777777" w:rsidR="00AB1B6A" w:rsidRPr="008A60DC" w:rsidRDefault="00AB1B6A" w:rsidP="00127CDF">
            <w:pPr>
              <w:spacing w:before="120"/>
              <w:jc w:val="center"/>
              <w:rPr>
                <w:rFonts w:eastAsia="Calibri" w:cs="Arial"/>
                <w:sz w:val="20"/>
                <w:szCs w:val="20"/>
              </w:rPr>
            </w:pPr>
            <w:r w:rsidRPr="008A60DC">
              <w:rPr>
                <w:rFonts w:eastAsia="Calibri" w:cs="Arial"/>
                <w:sz w:val="20"/>
                <w:szCs w:val="20"/>
              </w:rPr>
              <w:t>$2040</w:t>
            </w:r>
          </w:p>
        </w:tc>
        <w:tc>
          <w:tcPr>
            <w:tcW w:w="883" w:type="pct"/>
            <w:vAlign w:val="center"/>
          </w:tcPr>
          <w:p w14:paraId="2EF6DD0A" w14:textId="77777777" w:rsidR="00AB1B6A" w:rsidRPr="008A60DC" w:rsidRDefault="00AB1B6A" w:rsidP="00127CDF">
            <w:pPr>
              <w:spacing w:before="120"/>
              <w:jc w:val="center"/>
              <w:rPr>
                <w:rFonts w:eastAsia="Calibri" w:cs="Arial"/>
                <w:sz w:val="20"/>
                <w:szCs w:val="20"/>
              </w:rPr>
            </w:pPr>
            <w:r w:rsidRPr="008A60DC">
              <w:rPr>
                <w:rFonts w:eastAsia="Calibri" w:cs="Arial"/>
                <w:sz w:val="20"/>
                <w:szCs w:val="20"/>
              </w:rPr>
              <w:t>$2400</w:t>
            </w:r>
          </w:p>
        </w:tc>
        <w:tc>
          <w:tcPr>
            <w:tcW w:w="811" w:type="pct"/>
            <w:vAlign w:val="center"/>
          </w:tcPr>
          <w:p w14:paraId="4F8A9DC0" w14:textId="77777777" w:rsidR="00AB1B6A" w:rsidRPr="008A60DC" w:rsidRDefault="00AB1B6A" w:rsidP="00127CDF">
            <w:pPr>
              <w:jc w:val="center"/>
              <w:rPr>
                <w:rFonts w:eastAsia="Calibri" w:cs="Arial"/>
                <w:sz w:val="20"/>
                <w:szCs w:val="20"/>
              </w:rPr>
            </w:pPr>
            <w:r w:rsidRPr="008A60DC">
              <w:rPr>
                <w:rFonts w:eastAsia="Calibri" w:cs="Arial"/>
                <w:sz w:val="20"/>
                <w:szCs w:val="20"/>
              </w:rPr>
              <w:t>$2880</w:t>
            </w:r>
          </w:p>
        </w:tc>
      </w:tr>
    </w:tbl>
    <w:p w14:paraId="159463C5" w14:textId="77777777" w:rsidR="00AB1B6A" w:rsidRPr="008A60DC" w:rsidRDefault="00AB1B6A" w:rsidP="00AB1B6A">
      <w:pPr>
        <w:rPr>
          <w:rFonts w:cs="Arial"/>
          <w:sz w:val="20"/>
          <w:szCs w:val="20"/>
        </w:rPr>
      </w:pPr>
      <w:r w:rsidRPr="008A60DC">
        <w:rPr>
          <w:rFonts w:cs="Arial"/>
          <w:sz w:val="20"/>
          <w:szCs w:val="20"/>
        </w:rPr>
        <w:t xml:space="preserve">  </w:t>
      </w:r>
    </w:p>
    <w:p w14:paraId="78C43330" w14:textId="77777777" w:rsidR="00AB1B6A" w:rsidRPr="008A60DC" w:rsidRDefault="00AB1B6A" w:rsidP="00677FFC">
      <w:pPr>
        <w:spacing w:after="120"/>
        <w:rPr>
          <w:rFonts w:cs="Arial"/>
          <w:sz w:val="20"/>
          <w:szCs w:val="20"/>
        </w:rPr>
      </w:pPr>
      <w:r w:rsidRPr="008A60DC">
        <w:rPr>
          <w:rFonts w:cs="Arial"/>
          <w:b/>
          <w:sz w:val="20"/>
          <w:szCs w:val="20"/>
        </w:rPr>
        <w:t>Table 2 – Other usage types and charges</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5386"/>
      </w:tblGrid>
      <w:tr w:rsidR="00AB1B6A" w:rsidRPr="008A60DC" w14:paraId="1F20EC55" w14:textId="77777777" w:rsidTr="00677FFC">
        <w:tc>
          <w:tcPr>
            <w:tcW w:w="4253" w:type="dxa"/>
            <w:shd w:val="clear" w:color="auto" w:fill="auto"/>
          </w:tcPr>
          <w:p w14:paraId="19ECA23D" w14:textId="77777777" w:rsidR="00AB1B6A" w:rsidRPr="008A60DC" w:rsidRDefault="00AB1B6A" w:rsidP="00127CDF">
            <w:pPr>
              <w:rPr>
                <w:rFonts w:eastAsia="Calibri" w:cs="Arial"/>
                <w:b/>
                <w:sz w:val="20"/>
                <w:szCs w:val="20"/>
              </w:rPr>
            </w:pPr>
            <w:r w:rsidRPr="008A60DC">
              <w:rPr>
                <w:rFonts w:eastAsia="Calibri" w:cs="Arial"/>
                <w:b/>
                <w:sz w:val="20"/>
                <w:szCs w:val="20"/>
              </w:rPr>
              <w:t>Usage type</w:t>
            </w:r>
          </w:p>
        </w:tc>
        <w:tc>
          <w:tcPr>
            <w:tcW w:w="5386" w:type="dxa"/>
            <w:shd w:val="clear" w:color="auto" w:fill="auto"/>
            <w:vAlign w:val="center"/>
          </w:tcPr>
          <w:p w14:paraId="2618C3EC" w14:textId="77777777" w:rsidR="00AB1B6A" w:rsidRPr="008A60DC" w:rsidRDefault="00AB1B6A" w:rsidP="00127CDF">
            <w:pPr>
              <w:jc w:val="center"/>
              <w:rPr>
                <w:rFonts w:eastAsia="Calibri" w:cs="Arial"/>
                <w:b/>
                <w:sz w:val="20"/>
                <w:szCs w:val="20"/>
              </w:rPr>
            </w:pPr>
            <w:r w:rsidRPr="008A60DC">
              <w:rPr>
                <w:rFonts w:eastAsia="Calibri" w:cs="Arial"/>
                <w:b/>
                <w:sz w:val="20"/>
                <w:szCs w:val="20"/>
              </w:rPr>
              <w:t>Charge</w:t>
            </w:r>
          </w:p>
        </w:tc>
      </w:tr>
      <w:tr w:rsidR="00AB1B6A" w:rsidRPr="008A60DC" w14:paraId="49232FCF" w14:textId="77777777" w:rsidTr="00677FFC">
        <w:tc>
          <w:tcPr>
            <w:tcW w:w="4253" w:type="dxa"/>
            <w:shd w:val="clear" w:color="auto" w:fill="auto"/>
          </w:tcPr>
          <w:p w14:paraId="4D174A2D" w14:textId="77777777" w:rsidR="00AB1B6A" w:rsidRPr="008A60DC" w:rsidRDefault="00AB1B6A" w:rsidP="00127CDF">
            <w:pPr>
              <w:spacing w:after="200" w:line="276" w:lineRule="auto"/>
              <w:rPr>
                <w:rFonts w:eastAsia="Calibri" w:cs="Arial"/>
                <w:sz w:val="20"/>
                <w:szCs w:val="20"/>
              </w:rPr>
            </w:pPr>
            <w:r w:rsidRPr="008A60DC">
              <w:rPr>
                <w:rFonts w:eastAsia="Calibri" w:cs="Arial"/>
                <w:b/>
                <w:bCs/>
                <w:sz w:val="20"/>
                <w:szCs w:val="20"/>
              </w:rPr>
              <w:t xml:space="preserve">National video calls </w:t>
            </w:r>
            <w:r w:rsidRPr="008A60DC">
              <w:rPr>
                <w:rFonts w:eastAsia="Calibri" w:cs="Arial"/>
                <w:sz w:val="20"/>
                <w:szCs w:val="20"/>
              </w:rPr>
              <w:t>(per minute)</w:t>
            </w:r>
          </w:p>
        </w:tc>
        <w:tc>
          <w:tcPr>
            <w:tcW w:w="5386" w:type="dxa"/>
            <w:shd w:val="clear" w:color="auto" w:fill="auto"/>
            <w:vAlign w:val="center"/>
          </w:tcPr>
          <w:p w14:paraId="11857D43" w14:textId="77777777" w:rsidR="00AB1B6A" w:rsidRPr="008A60DC" w:rsidRDefault="00AB1B6A" w:rsidP="00127CDF">
            <w:pPr>
              <w:jc w:val="center"/>
              <w:rPr>
                <w:rFonts w:eastAsia="Calibri" w:cs="Arial"/>
                <w:sz w:val="20"/>
                <w:szCs w:val="20"/>
              </w:rPr>
            </w:pPr>
            <w:r w:rsidRPr="008A60DC">
              <w:rPr>
                <w:rFonts w:eastAsia="Calibri" w:cs="Arial"/>
                <w:sz w:val="20"/>
                <w:szCs w:val="20"/>
              </w:rPr>
              <w:t>$1.00 per min + 40c flagfall</w:t>
            </w:r>
          </w:p>
        </w:tc>
      </w:tr>
      <w:tr w:rsidR="00AB1B6A" w:rsidRPr="008A60DC" w14:paraId="1038DE04" w14:textId="77777777" w:rsidTr="00677FFC">
        <w:tc>
          <w:tcPr>
            <w:tcW w:w="4253" w:type="dxa"/>
            <w:shd w:val="clear" w:color="auto" w:fill="auto"/>
          </w:tcPr>
          <w:p w14:paraId="65EDE214" w14:textId="77777777" w:rsidR="00AB1B6A" w:rsidRPr="008A60DC" w:rsidRDefault="00AB1B6A" w:rsidP="00127CDF">
            <w:pPr>
              <w:rPr>
                <w:rFonts w:eastAsia="Calibri" w:cs="Arial"/>
                <w:b/>
                <w:bCs/>
                <w:sz w:val="20"/>
                <w:szCs w:val="20"/>
              </w:rPr>
            </w:pPr>
            <w:r w:rsidRPr="008A60DC">
              <w:rPr>
                <w:rFonts w:eastAsia="Calibri" w:cs="Arial"/>
                <w:b/>
                <w:bCs/>
                <w:sz w:val="20"/>
                <w:szCs w:val="20"/>
              </w:rPr>
              <w:t>National Diversions</w:t>
            </w:r>
          </w:p>
        </w:tc>
        <w:tc>
          <w:tcPr>
            <w:tcW w:w="5386" w:type="dxa"/>
            <w:shd w:val="clear" w:color="auto" w:fill="auto"/>
          </w:tcPr>
          <w:p w14:paraId="7206F6D9" w14:textId="77777777" w:rsidR="00AB1B6A" w:rsidRPr="008A60DC" w:rsidRDefault="00AB1B6A" w:rsidP="00127CDF">
            <w:pPr>
              <w:jc w:val="center"/>
              <w:rPr>
                <w:rFonts w:eastAsia="Calibri" w:cs="Arial"/>
                <w:sz w:val="20"/>
                <w:szCs w:val="20"/>
              </w:rPr>
            </w:pPr>
            <w:r w:rsidRPr="008A60DC">
              <w:rPr>
                <w:rFonts w:eastAsia="Calibri" w:cs="Arial"/>
                <w:sz w:val="20"/>
                <w:szCs w:val="20"/>
              </w:rPr>
              <w:t>$0 per minute</w:t>
            </w:r>
          </w:p>
        </w:tc>
      </w:tr>
      <w:tr w:rsidR="00AB1B6A" w:rsidRPr="008A60DC" w14:paraId="481AB557" w14:textId="77777777" w:rsidTr="00677FFC">
        <w:tc>
          <w:tcPr>
            <w:tcW w:w="4253" w:type="dxa"/>
            <w:shd w:val="clear" w:color="auto" w:fill="auto"/>
          </w:tcPr>
          <w:p w14:paraId="70AA0A9B" w14:textId="77777777" w:rsidR="00AB1B6A" w:rsidRPr="008A60DC" w:rsidRDefault="00AB1B6A" w:rsidP="00127CDF">
            <w:pPr>
              <w:rPr>
                <w:rFonts w:eastAsia="Calibri" w:cs="Arial"/>
                <w:b/>
                <w:bCs/>
                <w:sz w:val="20"/>
                <w:szCs w:val="20"/>
              </w:rPr>
            </w:pPr>
            <w:r w:rsidRPr="008A60DC">
              <w:rPr>
                <w:rFonts w:eastAsia="Calibri" w:cs="Arial"/>
                <w:b/>
                <w:bCs/>
                <w:sz w:val="20"/>
                <w:szCs w:val="20"/>
              </w:rPr>
              <w:t xml:space="preserve">International Diversions </w:t>
            </w:r>
          </w:p>
        </w:tc>
        <w:tc>
          <w:tcPr>
            <w:tcW w:w="5386" w:type="dxa"/>
            <w:shd w:val="clear" w:color="auto" w:fill="auto"/>
          </w:tcPr>
          <w:p w14:paraId="4665BD44" w14:textId="77777777" w:rsidR="00AB1B6A" w:rsidRPr="008A60DC" w:rsidRDefault="00AB1B6A" w:rsidP="00127CDF">
            <w:pPr>
              <w:jc w:val="center"/>
              <w:rPr>
                <w:rFonts w:eastAsia="Calibri" w:cs="Arial"/>
                <w:sz w:val="20"/>
                <w:szCs w:val="20"/>
              </w:rPr>
            </w:pPr>
            <w:r w:rsidRPr="008A60DC">
              <w:rPr>
                <w:rFonts w:eastAsia="Calibri" w:cs="Arial"/>
                <w:sz w:val="20"/>
                <w:szCs w:val="20"/>
              </w:rPr>
              <w:t>‘yes’ international rates</w:t>
            </w:r>
            <w:r w:rsidRPr="008A60DC">
              <w:rPr>
                <w:rFonts w:eastAsia="Calibri" w:cs="Arial"/>
                <w:sz w:val="20"/>
                <w:szCs w:val="20"/>
              </w:rPr>
              <w:br/>
              <w:t>See optus.com.au/international</w:t>
            </w:r>
          </w:p>
        </w:tc>
      </w:tr>
      <w:tr w:rsidR="00AB1B6A" w:rsidRPr="008A60DC" w14:paraId="69AFDA2E" w14:textId="77777777" w:rsidTr="00677FFC">
        <w:tc>
          <w:tcPr>
            <w:tcW w:w="4253" w:type="dxa"/>
            <w:shd w:val="clear" w:color="auto" w:fill="auto"/>
          </w:tcPr>
          <w:p w14:paraId="43ABAA10" w14:textId="77777777" w:rsidR="00AB1B6A" w:rsidRPr="008A60DC" w:rsidRDefault="00AB1B6A" w:rsidP="00127CDF">
            <w:pPr>
              <w:rPr>
                <w:rFonts w:eastAsia="Calibri" w:cs="Arial"/>
                <w:b/>
                <w:bCs/>
                <w:sz w:val="20"/>
                <w:szCs w:val="20"/>
              </w:rPr>
            </w:pPr>
            <w:r w:rsidRPr="008A60DC">
              <w:rPr>
                <w:rFonts w:eastAsia="Calibri" w:cs="Arial"/>
                <w:b/>
                <w:bCs/>
                <w:sz w:val="20"/>
                <w:szCs w:val="20"/>
              </w:rPr>
              <w:t xml:space="preserve">1800 numbers </w:t>
            </w:r>
          </w:p>
        </w:tc>
        <w:tc>
          <w:tcPr>
            <w:tcW w:w="5386" w:type="dxa"/>
            <w:shd w:val="clear" w:color="auto" w:fill="auto"/>
            <w:vAlign w:val="center"/>
          </w:tcPr>
          <w:p w14:paraId="2BA81163" w14:textId="77777777" w:rsidR="00AB1B6A" w:rsidRPr="008A60DC" w:rsidRDefault="00AB1B6A" w:rsidP="00127CDF">
            <w:pPr>
              <w:jc w:val="center"/>
              <w:rPr>
                <w:rFonts w:eastAsia="Calibri" w:cs="Arial"/>
                <w:sz w:val="20"/>
                <w:szCs w:val="20"/>
              </w:rPr>
            </w:pPr>
            <w:r w:rsidRPr="008A60DC">
              <w:rPr>
                <w:rFonts w:eastAsia="Calibri" w:cs="Arial"/>
                <w:sz w:val="20"/>
                <w:szCs w:val="20"/>
              </w:rPr>
              <w:t>$0 per minute</w:t>
            </w:r>
          </w:p>
        </w:tc>
      </w:tr>
      <w:tr w:rsidR="00AB1B6A" w:rsidRPr="008A60DC" w14:paraId="7D788486" w14:textId="77777777" w:rsidTr="00677FFC">
        <w:tc>
          <w:tcPr>
            <w:tcW w:w="4253" w:type="dxa"/>
            <w:shd w:val="clear" w:color="auto" w:fill="auto"/>
          </w:tcPr>
          <w:p w14:paraId="1A520109" w14:textId="77777777" w:rsidR="00AB1B6A" w:rsidRPr="008A60DC" w:rsidRDefault="00AB1B6A" w:rsidP="00127CDF">
            <w:pPr>
              <w:rPr>
                <w:rFonts w:eastAsia="Calibri" w:cs="Arial"/>
                <w:b/>
                <w:bCs/>
                <w:sz w:val="20"/>
                <w:szCs w:val="20"/>
              </w:rPr>
            </w:pPr>
            <w:r w:rsidRPr="008A60DC">
              <w:rPr>
                <w:rFonts w:eastAsia="Calibri" w:cs="Arial"/>
                <w:b/>
                <w:bCs/>
                <w:sz w:val="20"/>
                <w:szCs w:val="20"/>
              </w:rPr>
              <w:t xml:space="preserve">Directory Assistance 1223 </w:t>
            </w:r>
          </w:p>
        </w:tc>
        <w:tc>
          <w:tcPr>
            <w:tcW w:w="5386" w:type="dxa"/>
            <w:shd w:val="clear" w:color="auto" w:fill="auto"/>
            <w:vAlign w:val="center"/>
          </w:tcPr>
          <w:p w14:paraId="56FE8671" w14:textId="77777777" w:rsidR="00AB1B6A" w:rsidRPr="008A60DC" w:rsidRDefault="00AB1B6A" w:rsidP="00127CDF">
            <w:pPr>
              <w:jc w:val="center"/>
              <w:rPr>
                <w:rFonts w:eastAsia="Calibri" w:cs="Arial"/>
                <w:sz w:val="20"/>
                <w:szCs w:val="20"/>
              </w:rPr>
            </w:pPr>
            <w:r w:rsidRPr="008A60DC">
              <w:rPr>
                <w:rFonts w:eastAsia="Calibri" w:cs="Arial"/>
                <w:sz w:val="20"/>
                <w:szCs w:val="20"/>
              </w:rPr>
              <w:t>50c per call</w:t>
            </w:r>
          </w:p>
        </w:tc>
      </w:tr>
      <w:tr w:rsidR="00AB1B6A" w:rsidRPr="008A60DC" w14:paraId="6C96B2F4" w14:textId="77777777" w:rsidTr="00677FFC">
        <w:tc>
          <w:tcPr>
            <w:tcW w:w="4253" w:type="dxa"/>
            <w:shd w:val="clear" w:color="auto" w:fill="auto"/>
          </w:tcPr>
          <w:p w14:paraId="138102F7" w14:textId="77777777" w:rsidR="00AB1B6A" w:rsidRPr="008A60DC" w:rsidRDefault="00AB1B6A" w:rsidP="00127CDF">
            <w:pPr>
              <w:rPr>
                <w:rFonts w:eastAsia="Calibri" w:cs="Arial"/>
                <w:b/>
                <w:bCs/>
                <w:sz w:val="20"/>
                <w:szCs w:val="20"/>
              </w:rPr>
            </w:pPr>
            <w:r w:rsidRPr="008A60DC">
              <w:rPr>
                <w:rFonts w:eastAsia="Calibri" w:cs="Arial"/>
                <w:b/>
                <w:bCs/>
                <w:sz w:val="20"/>
                <w:szCs w:val="20"/>
              </w:rPr>
              <w:t>124 Yes</w:t>
            </w:r>
          </w:p>
        </w:tc>
        <w:tc>
          <w:tcPr>
            <w:tcW w:w="5386" w:type="dxa"/>
            <w:shd w:val="clear" w:color="auto" w:fill="auto"/>
            <w:vAlign w:val="center"/>
          </w:tcPr>
          <w:p w14:paraId="575B81FD" w14:textId="77777777" w:rsidR="00AB1B6A" w:rsidRPr="008A60DC" w:rsidRDefault="00AB1B6A" w:rsidP="00127CDF">
            <w:pPr>
              <w:jc w:val="center"/>
              <w:rPr>
                <w:rFonts w:eastAsia="Calibri" w:cs="Arial"/>
                <w:sz w:val="20"/>
                <w:szCs w:val="20"/>
              </w:rPr>
            </w:pPr>
            <w:r w:rsidRPr="008A60DC">
              <w:rPr>
                <w:rFonts w:eastAsia="Calibri" w:cs="Arial"/>
                <w:sz w:val="20"/>
                <w:szCs w:val="20"/>
              </w:rPr>
              <w:t>90c per minute +$1.75c flagfall</w:t>
            </w:r>
          </w:p>
        </w:tc>
      </w:tr>
      <w:tr w:rsidR="00AB1B6A" w:rsidRPr="008A60DC" w14:paraId="42676091" w14:textId="77777777" w:rsidTr="00677FFC">
        <w:tc>
          <w:tcPr>
            <w:tcW w:w="4253" w:type="dxa"/>
            <w:shd w:val="clear" w:color="auto" w:fill="auto"/>
          </w:tcPr>
          <w:p w14:paraId="6C5C37FE" w14:textId="77777777" w:rsidR="00AB1B6A" w:rsidRPr="008A60DC" w:rsidRDefault="00AB1B6A" w:rsidP="00127CDF">
            <w:pPr>
              <w:rPr>
                <w:rFonts w:eastAsia="Calibri" w:cs="Arial"/>
                <w:b/>
                <w:bCs/>
                <w:sz w:val="20"/>
                <w:szCs w:val="20"/>
              </w:rPr>
            </w:pPr>
            <w:r w:rsidRPr="008A60DC">
              <w:rPr>
                <w:rFonts w:eastAsia="Calibri" w:cs="Arial"/>
                <w:b/>
                <w:bCs/>
                <w:sz w:val="20"/>
                <w:szCs w:val="20"/>
              </w:rPr>
              <w:t xml:space="preserve">International voice calls (outside the plan’s included international minutes and to excluded countries) </w:t>
            </w:r>
          </w:p>
        </w:tc>
        <w:tc>
          <w:tcPr>
            <w:tcW w:w="5386" w:type="dxa"/>
            <w:shd w:val="clear" w:color="auto" w:fill="auto"/>
            <w:vAlign w:val="center"/>
          </w:tcPr>
          <w:p w14:paraId="28DD0722" w14:textId="77777777" w:rsidR="00AB1B6A" w:rsidRPr="008A60DC" w:rsidRDefault="00AB1B6A" w:rsidP="00127CDF">
            <w:pPr>
              <w:jc w:val="center"/>
              <w:rPr>
                <w:rFonts w:eastAsia="Calibri" w:cs="Arial"/>
                <w:sz w:val="20"/>
                <w:szCs w:val="20"/>
              </w:rPr>
            </w:pPr>
            <w:r w:rsidRPr="008A60DC">
              <w:rPr>
                <w:rFonts w:eastAsia="Calibri" w:cs="Arial"/>
                <w:sz w:val="20"/>
                <w:szCs w:val="20"/>
              </w:rPr>
              <w:t>‘yes’ international rates</w:t>
            </w:r>
            <w:r w:rsidRPr="008A60DC">
              <w:rPr>
                <w:rFonts w:eastAsia="Calibri" w:cs="Arial"/>
                <w:sz w:val="20"/>
                <w:szCs w:val="20"/>
              </w:rPr>
              <w:br/>
              <w:t>See optus.com.au/international</w:t>
            </w:r>
          </w:p>
        </w:tc>
      </w:tr>
      <w:tr w:rsidR="00AB1B6A" w:rsidRPr="008A60DC" w14:paraId="0B84481B" w14:textId="77777777" w:rsidTr="00677FFC">
        <w:tc>
          <w:tcPr>
            <w:tcW w:w="4253" w:type="dxa"/>
            <w:shd w:val="clear" w:color="auto" w:fill="auto"/>
          </w:tcPr>
          <w:p w14:paraId="12F083E1" w14:textId="77777777" w:rsidR="00AB1B6A" w:rsidRPr="008A60DC" w:rsidRDefault="00AB1B6A" w:rsidP="00127CDF">
            <w:pPr>
              <w:rPr>
                <w:rFonts w:eastAsia="Calibri" w:cs="Arial"/>
                <w:b/>
                <w:bCs/>
                <w:sz w:val="20"/>
                <w:szCs w:val="20"/>
              </w:rPr>
            </w:pPr>
            <w:r w:rsidRPr="008A60DC">
              <w:rPr>
                <w:rFonts w:eastAsia="Calibri" w:cs="Arial"/>
                <w:b/>
                <w:bCs/>
                <w:sz w:val="20"/>
                <w:szCs w:val="20"/>
              </w:rPr>
              <w:t xml:space="preserve">International SMS (to excluded countries) </w:t>
            </w:r>
          </w:p>
        </w:tc>
        <w:tc>
          <w:tcPr>
            <w:tcW w:w="5386" w:type="dxa"/>
            <w:shd w:val="clear" w:color="auto" w:fill="auto"/>
            <w:vAlign w:val="center"/>
          </w:tcPr>
          <w:p w14:paraId="3000031D" w14:textId="77777777" w:rsidR="00AB1B6A" w:rsidRPr="008A60DC" w:rsidRDefault="00AB1B6A" w:rsidP="00127CDF">
            <w:pPr>
              <w:jc w:val="center"/>
              <w:rPr>
                <w:rFonts w:eastAsia="Calibri" w:cs="Arial"/>
                <w:sz w:val="20"/>
                <w:szCs w:val="20"/>
              </w:rPr>
            </w:pPr>
            <w:r w:rsidRPr="008A60DC">
              <w:rPr>
                <w:rFonts w:eastAsia="Calibri" w:cs="Arial"/>
                <w:sz w:val="20"/>
                <w:szCs w:val="20"/>
              </w:rPr>
              <w:t>50c per SMS up to 160 standard characters</w:t>
            </w:r>
          </w:p>
        </w:tc>
      </w:tr>
      <w:tr w:rsidR="00AB1B6A" w:rsidRPr="008A60DC" w14:paraId="2B245708" w14:textId="77777777" w:rsidTr="00677FFC">
        <w:tc>
          <w:tcPr>
            <w:tcW w:w="4253" w:type="dxa"/>
            <w:shd w:val="clear" w:color="auto" w:fill="auto"/>
          </w:tcPr>
          <w:p w14:paraId="6CCEDBBE" w14:textId="77777777" w:rsidR="00AB1B6A" w:rsidRPr="008A60DC" w:rsidRDefault="00AB1B6A" w:rsidP="00127CDF">
            <w:pPr>
              <w:rPr>
                <w:rFonts w:eastAsia="Calibri" w:cs="Arial"/>
                <w:b/>
                <w:bCs/>
                <w:sz w:val="20"/>
                <w:szCs w:val="20"/>
              </w:rPr>
            </w:pPr>
            <w:r w:rsidRPr="008A60DC">
              <w:rPr>
                <w:rFonts w:eastAsia="Calibri" w:cs="Arial"/>
                <w:b/>
                <w:bCs/>
                <w:sz w:val="20"/>
                <w:szCs w:val="20"/>
              </w:rPr>
              <w:t>International MMS (to excluded countries)</w:t>
            </w:r>
          </w:p>
        </w:tc>
        <w:tc>
          <w:tcPr>
            <w:tcW w:w="5386" w:type="dxa"/>
            <w:shd w:val="clear" w:color="auto" w:fill="auto"/>
            <w:vAlign w:val="center"/>
          </w:tcPr>
          <w:p w14:paraId="56D1011B" w14:textId="77777777" w:rsidR="00AB1B6A" w:rsidRPr="008A60DC" w:rsidRDefault="00AB1B6A" w:rsidP="00127CDF">
            <w:pPr>
              <w:jc w:val="center"/>
              <w:rPr>
                <w:rFonts w:eastAsia="Calibri" w:cs="Arial"/>
                <w:sz w:val="20"/>
                <w:szCs w:val="20"/>
              </w:rPr>
            </w:pPr>
            <w:r w:rsidRPr="008A60DC">
              <w:rPr>
                <w:rFonts w:eastAsia="Calibri" w:cs="Arial"/>
                <w:sz w:val="20"/>
                <w:szCs w:val="20"/>
              </w:rPr>
              <w:t xml:space="preserve">75c per MMS </w:t>
            </w:r>
          </w:p>
        </w:tc>
      </w:tr>
      <w:tr w:rsidR="00AB1B6A" w:rsidRPr="008A60DC" w14:paraId="39DB6FFF" w14:textId="77777777" w:rsidTr="00677FFC">
        <w:tc>
          <w:tcPr>
            <w:tcW w:w="4253" w:type="dxa"/>
            <w:shd w:val="clear" w:color="auto" w:fill="auto"/>
          </w:tcPr>
          <w:p w14:paraId="2C2B88CD" w14:textId="77777777" w:rsidR="00AB1B6A" w:rsidRPr="008A60DC" w:rsidRDefault="00AB1B6A" w:rsidP="00127CDF">
            <w:pPr>
              <w:rPr>
                <w:rFonts w:eastAsia="Calibri" w:cs="Arial"/>
                <w:b/>
                <w:bCs/>
                <w:sz w:val="20"/>
                <w:szCs w:val="20"/>
              </w:rPr>
            </w:pPr>
            <w:r w:rsidRPr="008A60DC">
              <w:rPr>
                <w:rFonts w:eastAsia="Calibri" w:cs="Arial"/>
                <w:b/>
                <w:bCs/>
                <w:sz w:val="20"/>
                <w:szCs w:val="20"/>
              </w:rPr>
              <w:t xml:space="preserve">International video calling </w:t>
            </w:r>
          </w:p>
        </w:tc>
        <w:tc>
          <w:tcPr>
            <w:tcW w:w="5386" w:type="dxa"/>
            <w:shd w:val="clear" w:color="auto" w:fill="auto"/>
            <w:vAlign w:val="center"/>
          </w:tcPr>
          <w:p w14:paraId="1D2BF179" w14:textId="77777777" w:rsidR="00AB1B6A" w:rsidRPr="008A60DC" w:rsidRDefault="00AB1B6A" w:rsidP="00127CDF">
            <w:pPr>
              <w:jc w:val="center"/>
              <w:rPr>
                <w:rFonts w:eastAsia="Calibri" w:cs="Arial"/>
                <w:sz w:val="20"/>
                <w:szCs w:val="20"/>
              </w:rPr>
            </w:pPr>
            <w:r w:rsidRPr="008A60DC">
              <w:rPr>
                <w:rFonts w:eastAsia="Calibri" w:cs="Arial"/>
                <w:sz w:val="20"/>
                <w:szCs w:val="20"/>
              </w:rPr>
              <w:t>$1.50 per minute +35c flagfall</w:t>
            </w:r>
          </w:p>
        </w:tc>
      </w:tr>
      <w:tr w:rsidR="00AB1B6A" w:rsidRPr="008A60DC" w14:paraId="06CE9479" w14:textId="77777777" w:rsidTr="00677FFC">
        <w:tc>
          <w:tcPr>
            <w:tcW w:w="4253" w:type="dxa"/>
            <w:shd w:val="clear" w:color="auto" w:fill="auto"/>
          </w:tcPr>
          <w:p w14:paraId="32645697" w14:textId="77777777" w:rsidR="00AB1B6A" w:rsidRPr="008A60DC" w:rsidRDefault="00AB1B6A" w:rsidP="00127CDF">
            <w:pPr>
              <w:rPr>
                <w:rFonts w:eastAsia="Calibri" w:cs="Arial"/>
                <w:b/>
                <w:bCs/>
                <w:sz w:val="20"/>
                <w:szCs w:val="20"/>
              </w:rPr>
            </w:pPr>
            <w:r w:rsidRPr="008A60DC">
              <w:rPr>
                <w:rFonts w:eastAsia="Calibri" w:cs="Arial"/>
                <w:b/>
                <w:bCs/>
                <w:sz w:val="20"/>
                <w:szCs w:val="20"/>
              </w:rPr>
              <w:t xml:space="preserve">International roaming </w:t>
            </w:r>
          </w:p>
        </w:tc>
        <w:tc>
          <w:tcPr>
            <w:tcW w:w="5386" w:type="dxa"/>
            <w:shd w:val="clear" w:color="auto" w:fill="auto"/>
            <w:vAlign w:val="center"/>
          </w:tcPr>
          <w:p w14:paraId="4E5AA73C" w14:textId="77777777" w:rsidR="00AB1B6A" w:rsidRPr="008A60DC" w:rsidRDefault="00AB1B6A" w:rsidP="00127CDF">
            <w:pPr>
              <w:jc w:val="center"/>
              <w:rPr>
                <w:rFonts w:eastAsia="Calibri" w:cs="Arial"/>
                <w:sz w:val="20"/>
                <w:szCs w:val="20"/>
              </w:rPr>
            </w:pPr>
            <w:r w:rsidRPr="008A60DC">
              <w:rPr>
                <w:rFonts w:eastAsia="Calibri" w:cs="Arial"/>
                <w:sz w:val="20"/>
                <w:szCs w:val="20"/>
              </w:rPr>
              <w:t>See optus.com.au/roaming</w:t>
            </w:r>
          </w:p>
        </w:tc>
      </w:tr>
    </w:tbl>
    <w:p w14:paraId="3E229A1C" w14:textId="77777777" w:rsidR="000E7C1E" w:rsidRPr="008A60DC" w:rsidRDefault="000E7C1E" w:rsidP="00AB1B6A">
      <w:pPr>
        <w:rPr>
          <w:rFonts w:cs="Arial"/>
          <w:b/>
          <w:sz w:val="20"/>
          <w:szCs w:val="20"/>
        </w:rPr>
      </w:pPr>
    </w:p>
    <w:p w14:paraId="507EE7D5" w14:textId="77777777" w:rsidR="00AB1B6A" w:rsidRPr="008A60DC" w:rsidRDefault="00AB1B6A" w:rsidP="00677FFC">
      <w:pPr>
        <w:spacing w:after="120"/>
        <w:rPr>
          <w:rFonts w:cs="Arial"/>
          <w:b/>
          <w:sz w:val="20"/>
          <w:szCs w:val="20"/>
        </w:rPr>
      </w:pPr>
      <w:r w:rsidRPr="008A60DC">
        <w:rPr>
          <w:rFonts w:cs="Arial"/>
          <w:b/>
          <w:sz w:val="20"/>
          <w:szCs w:val="20"/>
        </w:rPr>
        <w:t>Ta</w:t>
      </w:r>
      <w:r>
        <w:rPr>
          <w:rFonts w:cs="Arial"/>
          <w:b/>
          <w:sz w:val="20"/>
          <w:szCs w:val="20"/>
        </w:rPr>
        <w:t>ble 3 – International Countries</w:t>
      </w:r>
    </w:p>
    <w:tbl>
      <w:tblPr>
        <w:tblW w:w="93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50"/>
        <w:gridCol w:w="2353"/>
        <w:gridCol w:w="2340"/>
      </w:tblGrid>
      <w:tr w:rsidR="00AB1B6A" w:rsidRPr="008A60DC" w14:paraId="5843F579" w14:textId="77777777" w:rsidTr="00677FFC">
        <w:tc>
          <w:tcPr>
            <w:tcW w:w="2337" w:type="dxa"/>
            <w:shd w:val="clear" w:color="auto" w:fill="auto"/>
          </w:tcPr>
          <w:p w14:paraId="2F90B10B" w14:textId="77777777" w:rsidR="00AB1B6A" w:rsidRPr="008A60DC" w:rsidRDefault="00AB1B6A" w:rsidP="00127CDF">
            <w:pPr>
              <w:rPr>
                <w:rFonts w:eastAsia="Calibri" w:cs="Arial"/>
                <w:b/>
                <w:sz w:val="20"/>
                <w:szCs w:val="20"/>
              </w:rPr>
            </w:pPr>
            <w:r w:rsidRPr="008A60DC">
              <w:rPr>
                <w:rFonts w:eastAsia="Calibri" w:cs="Arial"/>
                <w:sz w:val="20"/>
                <w:szCs w:val="20"/>
              </w:rPr>
              <w:t>Austria</w:t>
            </w:r>
          </w:p>
        </w:tc>
        <w:tc>
          <w:tcPr>
            <w:tcW w:w="2350" w:type="dxa"/>
            <w:shd w:val="clear" w:color="auto" w:fill="auto"/>
          </w:tcPr>
          <w:p w14:paraId="5CE4C497" w14:textId="77777777" w:rsidR="00AB1B6A" w:rsidRPr="008A60DC" w:rsidRDefault="00AB1B6A" w:rsidP="00127CDF">
            <w:pPr>
              <w:rPr>
                <w:rFonts w:eastAsia="Calibri" w:cs="Arial"/>
                <w:b/>
                <w:sz w:val="20"/>
                <w:szCs w:val="20"/>
              </w:rPr>
            </w:pPr>
            <w:r w:rsidRPr="008A60DC">
              <w:rPr>
                <w:rFonts w:eastAsia="Calibri" w:cs="Arial"/>
                <w:sz w:val="20"/>
                <w:szCs w:val="20"/>
              </w:rPr>
              <w:t>Bangladesh</w:t>
            </w:r>
          </w:p>
        </w:tc>
        <w:tc>
          <w:tcPr>
            <w:tcW w:w="2353" w:type="dxa"/>
            <w:shd w:val="clear" w:color="auto" w:fill="auto"/>
          </w:tcPr>
          <w:p w14:paraId="4F56CDA4" w14:textId="77777777" w:rsidR="00AB1B6A" w:rsidRPr="008A60DC" w:rsidRDefault="00AB1B6A" w:rsidP="00127CDF">
            <w:pPr>
              <w:rPr>
                <w:rFonts w:eastAsia="Calibri" w:cs="Arial"/>
                <w:b/>
                <w:sz w:val="20"/>
                <w:szCs w:val="20"/>
              </w:rPr>
            </w:pPr>
            <w:r w:rsidRPr="008A60DC">
              <w:rPr>
                <w:rFonts w:eastAsia="Calibri" w:cs="Arial"/>
                <w:sz w:val="20"/>
                <w:szCs w:val="20"/>
              </w:rPr>
              <w:t>Cambodia</w:t>
            </w:r>
          </w:p>
        </w:tc>
        <w:tc>
          <w:tcPr>
            <w:tcW w:w="2340" w:type="dxa"/>
            <w:shd w:val="clear" w:color="auto" w:fill="auto"/>
          </w:tcPr>
          <w:p w14:paraId="501BDEEC" w14:textId="77777777" w:rsidR="00AB1B6A" w:rsidRPr="008A60DC" w:rsidRDefault="00AB1B6A" w:rsidP="00127CDF">
            <w:pPr>
              <w:rPr>
                <w:rFonts w:eastAsia="Calibri" w:cs="Arial"/>
                <w:b/>
                <w:sz w:val="20"/>
                <w:szCs w:val="20"/>
              </w:rPr>
            </w:pPr>
            <w:r w:rsidRPr="008A60DC">
              <w:rPr>
                <w:rFonts w:eastAsia="Calibri" w:cs="Arial"/>
                <w:sz w:val="20"/>
                <w:szCs w:val="20"/>
              </w:rPr>
              <w:t>Canada</w:t>
            </w:r>
          </w:p>
        </w:tc>
      </w:tr>
      <w:tr w:rsidR="00AB1B6A" w:rsidRPr="008A60DC" w14:paraId="0F3F6941" w14:textId="77777777" w:rsidTr="00677FFC">
        <w:tc>
          <w:tcPr>
            <w:tcW w:w="2337" w:type="dxa"/>
            <w:shd w:val="clear" w:color="auto" w:fill="auto"/>
          </w:tcPr>
          <w:p w14:paraId="422D18D2" w14:textId="77777777" w:rsidR="00AB1B6A" w:rsidRPr="008A60DC" w:rsidRDefault="00AB1B6A" w:rsidP="00127CDF">
            <w:pPr>
              <w:rPr>
                <w:rFonts w:eastAsia="Calibri" w:cs="Arial"/>
                <w:b/>
                <w:sz w:val="20"/>
                <w:szCs w:val="20"/>
              </w:rPr>
            </w:pPr>
            <w:r w:rsidRPr="008A60DC">
              <w:rPr>
                <w:rFonts w:eastAsia="Calibri" w:cs="Arial"/>
                <w:sz w:val="20"/>
                <w:szCs w:val="20"/>
              </w:rPr>
              <w:t xml:space="preserve">Chile </w:t>
            </w:r>
          </w:p>
        </w:tc>
        <w:tc>
          <w:tcPr>
            <w:tcW w:w="2350" w:type="dxa"/>
            <w:shd w:val="clear" w:color="auto" w:fill="auto"/>
          </w:tcPr>
          <w:p w14:paraId="571DFF6A" w14:textId="77777777" w:rsidR="00AB1B6A" w:rsidRPr="008A60DC" w:rsidRDefault="00AB1B6A" w:rsidP="00127CDF">
            <w:pPr>
              <w:rPr>
                <w:rFonts w:eastAsia="Calibri" w:cs="Arial"/>
                <w:b/>
                <w:sz w:val="20"/>
                <w:szCs w:val="20"/>
              </w:rPr>
            </w:pPr>
            <w:r w:rsidRPr="008A60DC">
              <w:rPr>
                <w:rFonts w:eastAsia="Calibri" w:cs="Arial"/>
                <w:sz w:val="20"/>
                <w:szCs w:val="20"/>
              </w:rPr>
              <w:t xml:space="preserve">China </w:t>
            </w:r>
          </w:p>
        </w:tc>
        <w:tc>
          <w:tcPr>
            <w:tcW w:w="2353" w:type="dxa"/>
            <w:shd w:val="clear" w:color="auto" w:fill="auto"/>
          </w:tcPr>
          <w:p w14:paraId="34DC5828" w14:textId="77777777" w:rsidR="00AB1B6A" w:rsidRPr="008A60DC" w:rsidRDefault="00AB1B6A" w:rsidP="00127CDF">
            <w:pPr>
              <w:rPr>
                <w:rFonts w:eastAsia="Calibri" w:cs="Arial"/>
                <w:b/>
                <w:sz w:val="20"/>
                <w:szCs w:val="20"/>
              </w:rPr>
            </w:pPr>
            <w:r w:rsidRPr="008A60DC">
              <w:rPr>
                <w:rFonts w:eastAsia="Calibri" w:cs="Arial"/>
                <w:sz w:val="20"/>
                <w:szCs w:val="20"/>
              </w:rPr>
              <w:t xml:space="preserve">Croatia </w:t>
            </w:r>
          </w:p>
        </w:tc>
        <w:tc>
          <w:tcPr>
            <w:tcW w:w="2340" w:type="dxa"/>
            <w:shd w:val="clear" w:color="auto" w:fill="auto"/>
          </w:tcPr>
          <w:p w14:paraId="042EB76C" w14:textId="77777777" w:rsidR="00AB1B6A" w:rsidRPr="008A60DC" w:rsidRDefault="00AB1B6A" w:rsidP="00127CDF">
            <w:pPr>
              <w:rPr>
                <w:rFonts w:eastAsia="Calibri" w:cs="Arial"/>
                <w:b/>
                <w:sz w:val="20"/>
                <w:szCs w:val="20"/>
              </w:rPr>
            </w:pPr>
            <w:r w:rsidRPr="008A60DC">
              <w:rPr>
                <w:rFonts w:eastAsia="Calibri" w:cs="Arial"/>
                <w:sz w:val="20"/>
                <w:szCs w:val="20"/>
              </w:rPr>
              <w:t>France</w:t>
            </w:r>
          </w:p>
        </w:tc>
      </w:tr>
      <w:tr w:rsidR="00AB1B6A" w:rsidRPr="008A60DC" w14:paraId="790F9E16" w14:textId="77777777" w:rsidTr="00677FFC">
        <w:tc>
          <w:tcPr>
            <w:tcW w:w="2337" w:type="dxa"/>
            <w:shd w:val="clear" w:color="auto" w:fill="auto"/>
          </w:tcPr>
          <w:p w14:paraId="0EB58CE0" w14:textId="77777777" w:rsidR="00AB1B6A" w:rsidRPr="008A60DC" w:rsidRDefault="00AB1B6A" w:rsidP="00127CDF">
            <w:pPr>
              <w:rPr>
                <w:rFonts w:eastAsia="Calibri" w:cs="Arial"/>
                <w:b/>
                <w:sz w:val="20"/>
                <w:szCs w:val="20"/>
              </w:rPr>
            </w:pPr>
            <w:r w:rsidRPr="008A60DC">
              <w:rPr>
                <w:rFonts w:eastAsia="Calibri" w:cs="Arial"/>
                <w:sz w:val="20"/>
                <w:szCs w:val="20"/>
              </w:rPr>
              <w:t>Germany</w:t>
            </w:r>
          </w:p>
        </w:tc>
        <w:tc>
          <w:tcPr>
            <w:tcW w:w="2350" w:type="dxa"/>
            <w:shd w:val="clear" w:color="auto" w:fill="auto"/>
          </w:tcPr>
          <w:p w14:paraId="65EA31EF" w14:textId="77777777" w:rsidR="00AB1B6A" w:rsidRPr="008A60DC" w:rsidRDefault="00AB1B6A" w:rsidP="00127CDF">
            <w:pPr>
              <w:rPr>
                <w:rFonts w:eastAsia="Calibri" w:cs="Arial"/>
                <w:b/>
                <w:sz w:val="20"/>
                <w:szCs w:val="20"/>
              </w:rPr>
            </w:pPr>
            <w:r w:rsidRPr="008A60DC">
              <w:rPr>
                <w:rFonts w:eastAsia="Calibri" w:cs="Arial"/>
                <w:sz w:val="20"/>
                <w:szCs w:val="20"/>
              </w:rPr>
              <w:t>Greece</w:t>
            </w:r>
          </w:p>
        </w:tc>
        <w:tc>
          <w:tcPr>
            <w:tcW w:w="2353" w:type="dxa"/>
            <w:shd w:val="clear" w:color="auto" w:fill="auto"/>
          </w:tcPr>
          <w:p w14:paraId="648A7F61" w14:textId="77777777" w:rsidR="00AB1B6A" w:rsidRPr="008A60DC" w:rsidRDefault="00AB1B6A" w:rsidP="00127CDF">
            <w:pPr>
              <w:rPr>
                <w:rFonts w:eastAsia="Calibri" w:cs="Arial"/>
                <w:b/>
                <w:sz w:val="20"/>
                <w:szCs w:val="20"/>
              </w:rPr>
            </w:pPr>
            <w:r w:rsidRPr="008A60DC">
              <w:rPr>
                <w:rFonts w:eastAsia="Calibri" w:cs="Arial"/>
                <w:sz w:val="20"/>
                <w:szCs w:val="20"/>
              </w:rPr>
              <w:t>Hong Kong</w:t>
            </w:r>
          </w:p>
        </w:tc>
        <w:tc>
          <w:tcPr>
            <w:tcW w:w="2340" w:type="dxa"/>
            <w:shd w:val="clear" w:color="auto" w:fill="auto"/>
          </w:tcPr>
          <w:p w14:paraId="3045991C" w14:textId="77777777" w:rsidR="00AB1B6A" w:rsidRPr="008A60DC" w:rsidRDefault="00AB1B6A" w:rsidP="00127CDF">
            <w:pPr>
              <w:rPr>
                <w:rFonts w:eastAsia="Calibri" w:cs="Arial"/>
                <w:b/>
                <w:sz w:val="20"/>
                <w:szCs w:val="20"/>
              </w:rPr>
            </w:pPr>
            <w:r w:rsidRPr="008A60DC">
              <w:rPr>
                <w:rFonts w:eastAsia="Calibri" w:cs="Arial"/>
                <w:sz w:val="20"/>
                <w:szCs w:val="20"/>
              </w:rPr>
              <w:t>Hungary</w:t>
            </w:r>
          </w:p>
        </w:tc>
      </w:tr>
      <w:tr w:rsidR="00AB1B6A" w:rsidRPr="008A60DC" w14:paraId="19D457A3" w14:textId="77777777" w:rsidTr="00677FFC">
        <w:tc>
          <w:tcPr>
            <w:tcW w:w="2337" w:type="dxa"/>
            <w:shd w:val="clear" w:color="auto" w:fill="auto"/>
          </w:tcPr>
          <w:p w14:paraId="6730A6CE" w14:textId="77777777" w:rsidR="00AB1B6A" w:rsidRPr="008A60DC" w:rsidRDefault="00AB1B6A" w:rsidP="00127CDF">
            <w:pPr>
              <w:rPr>
                <w:rFonts w:eastAsia="Calibri" w:cs="Arial"/>
                <w:b/>
                <w:sz w:val="20"/>
                <w:szCs w:val="20"/>
              </w:rPr>
            </w:pPr>
            <w:r w:rsidRPr="008A60DC">
              <w:rPr>
                <w:rFonts w:eastAsia="Calibri" w:cs="Arial"/>
                <w:sz w:val="20"/>
                <w:szCs w:val="20"/>
              </w:rPr>
              <w:t>Indonesia</w:t>
            </w:r>
          </w:p>
        </w:tc>
        <w:tc>
          <w:tcPr>
            <w:tcW w:w="2350" w:type="dxa"/>
            <w:shd w:val="clear" w:color="auto" w:fill="auto"/>
          </w:tcPr>
          <w:p w14:paraId="507C0D91" w14:textId="77777777" w:rsidR="00AB1B6A" w:rsidRPr="008A60DC" w:rsidRDefault="00AB1B6A" w:rsidP="00127CDF">
            <w:pPr>
              <w:rPr>
                <w:rFonts w:eastAsia="Calibri" w:cs="Arial"/>
                <w:b/>
                <w:sz w:val="20"/>
                <w:szCs w:val="20"/>
              </w:rPr>
            </w:pPr>
            <w:r w:rsidRPr="008A60DC">
              <w:rPr>
                <w:rFonts w:eastAsia="Calibri" w:cs="Arial"/>
                <w:sz w:val="20"/>
                <w:szCs w:val="20"/>
              </w:rPr>
              <w:t>India</w:t>
            </w:r>
          </w:p>
        </w:tc>
        <w:tc>
          <w:tcPr>
            <w:tcW w:w="2353" w:type="dxa"/>
            <w:shd w:val="clear" w:color="auto" w:fill="auto"/>
          </w:tcPr>
          <w:p w14:paraId="4221609F" w14:textId="77777777" w:rsidR="00AB1B6A" w:rsidRPr="008A60DC" w:rsidRDefault="00AB1B6A" w:rsidP="00127CDF">
            <w:pPr>
              <w:rPr>
                <w:rFonts w:eastAsia="Calibri" w:cs="Arial"/>
                <w:b/>
                <w:sz w:val="20"/>
                <w:szCs w:val="20"/>
              </w:rPr>
            </w:pPr>
            <w:r w:rsidRPr="008A60DC">
              <w:rPr>
                <w:rFonts w:eastAsia="Calibri" w:cs="Arial"/>
                <w:sz w:val="20"/>
                <w:szCs w:val="20"/>
              </w:rPr>
              <w:t>Ireland</w:t>
            </w:r>
          </w:p>
        </w:tc>
        <w:tc>
          <w:tcPr>
            <w:tcW w:w="2340" w:type="dxa"/>
            <w:shd w:val="clear" w:color="auto" w:fill="auto"/>
          </w:tcPr>
          <w:p w14:paraId="158491A6" w14:textId="77777777" w:rsidR="00AB1B6A" w:rsidRPr="008A60DC" w:rsidRDefault="00AB1B6A" w:rsidP="00127CDF">
            <w:pPr>
              <w:rPr>
                <w:rFonts w:eastAsia="Calibri" w:cs="Arial"/>
                <w:b/>
                <w:sz w:val="20"/>
                <w:szCs w:val="20"/>
              </w:rPr>
            </w:pPr>
            <w:r w:rsidRPr="008A60DC">
              <w:rPr>
                <w:rFonts w:eastAsia="Calibri" w:cs="Arial"/>
                <w:sz w:val="20"/>
                <w:szCs w:val="20"/>
              </w:rPr>
              <w:t>Italy</w:t>
            </w:r>
          </w:p>
        </w:tc>
      </w:tr>
      <w:tr w:rsidR="00AB1B6A" w:rsidRPr="008A60DC" w14:paraId="3BA6FCEC" w14:textId="77777777" w:rsidTr="00677FFC">
        <w:tc>
          <w:tcPr>
            <w:tcW w:w="2337" w:type="dxa"/>
            <w:shd w:val="clear" w:color="auto" w:fill="auto"/>
          </w:tcPr>
          <w:p w14:paraId="0232C2E3" w14:textId="77777777" w:rsidR="00AB1B6A" w:rsidRPr="008A60DC" w:rsidRDefault="00AB1B6A" w:rsidP="00127CDF">
            <w:pPr>
              <w:rPr>
                <w:rFonts w:eastAsia="Calibri" w:cs="Arial"/>
                <w:b/>
                <w:sz w:val="20"/>
                <w:szCs w:val="20"/>
              </w:rPr>
            </w:pPr>
            <w:r w:rsidRPr="008A60DC">
              <w:rPr>
                <w:rFonts w:eastAsia="Calibri" w:cs="Arial"/>
                <w:sz w:val="20"/>
                <w:szCs w:val="20"/>
              </w:rPr>
              <w:t xml:space="preserve">Japan </w:t>
            </w:r>
          </w:p>
        </w:tc>
        <w:tc>
          <w:tcPr>
            <w:tcW w:w="2350" w:type="dxa"/>
            <w:shd w:val="clear" w:color="auto" w:fill="auto"/>
          </w:tcPr>
          <w:p w14:paraId="706B3A8E" w14:textId="77777777" w:rsidR="00AB1B6A" w:rsidRPr="008A60DC" w:rsidRDefault="00AB1B6A" w:rsidP="00127CDF">
            <w:pPr>
              <w:rPr>
                <w:rFonts w:eastAsia="Calibri" w:cs="Arial"/>
                <w:b/>
                <w:sz w:val="20"/>
                <w:szCs w:val="20"/>
              </w:rPr>
            </w:pPr>
            <w:r w:rsidRPr="008A60DC">
              <w:rPr>
                <w:rFonts w:eastAsia="Calibri" w:cs="Arial"/>
                <w:sz w:val="20"/>
                <w:szCs w:val="20"/>
              </w:rPr>
              <w:t>Malaysia</w:t>
            </w:r>
          </w:p>
        </w:tc>
        <w:tc>
          <w:tcPr>
            <w:tcW w:w="2353" w:type="dxa"/>
            <w:shd w:val="clear" w:color="auto" w:fill="auto"/>
          </w:tcPr>
          <w:p w14:paraId="5CB24D5A" w14:textId="77777777" w:rsidR="00AB1B6A" w:rsidRPr="008A60DC" w:rsidRDefault="00AB1B6A" w:rsidP="00127CDF">
            <w:pPr>
              <w:rPr>
                <w:rFonts w:eastAsia="Calibri" w:cs="Arial"/>
                <w:b/>
                <w:sz w:val="20"/>
                <w:szCs w:val="20"/>
              </w:rPr>
            </w:pPr>
            <w:r w:rsidRPr="008A60DC">
              <w:rPr>
                <w:rFonts w:eastAsia="Calibri" w:cs="Arial"/>
                <w:sz w:val="20"/>
                <w:szCs w:val="20"/>
              </w:rPr>
              <w:t>Netherlands</w:t>
            </w:r>
          </w:p>
        </w:tc>
        <w:tc>
          <w:tcPr>
            <w:tcW w:w="2340" w:type="dxa"/>
            <w:shd w:val="clear" w:color="auto" w:fill="auto"/>
          </w:tcPr>
          <w:p w14:paraId="3F4E5887" w14:textId="77777777" w:rsidR="00AB1B6A" w:rsidRPr="008A60DC" w:rsidRDefault="00AB1B6A" w:rsidP="00127CDF">
            <w:pPr>
              <w:rPr>
                <w:rFonts w:eastAsia="Calibri" w:cs="Arial"/>
                <w:b/>
                <w:sz w:val="20"/>
                <w:szCs w:val="20"/>
              </w:rPr>
            </w:pPr>
            <w:r w:rsidRPr="008A60DC">
              <w:rPr>
                <w:rFonts w:eastAsia="Calibri" w:cs="Arial"/>
                <w:sz w:val="20"/>
                <w:szCs w:val="20"/>
              </w:rPr>
              <w:t>New Zealand</w:t>
            </w:r>
          </w:p>
        </w:tc>
      </w:tr>
      <w:tr w:rsidR="00AB1B6A" w:rsidRPr="008A60DC" w14:paraId="2AFF2F50" w14:textId="77777777" w:rsidTr="00677FFC">
        <w:tc>
          <w:tcPr>
            <w:tcW w:w="2337" w:type="dxa"/>
            <w:shd w:val="clear" w:color="auto" w:fill="auto"/>
          </w:tcPr>
          <w:p w14:paraId="1041C753" w14:textId="77777777" w:rsidR="00AB1B6A" w:rsidRPr="008A60DC" w:rsidRDefault="00AB1B6A" w:rsidP="00127CDF">
            <w:pPr>
              <w:rPr>
                <w:rFonts w:eastAsia="Calibri" w:cs="Arial"/>
                <w:b/>
                <w:sz w:val="20"/>
                <w:szCs w:val="20"/>
              </w:rPr>
            </w:pPr>
            <w:r w:rsidRPr="008A60DC">
              <w:rPr>
                <w:rFonts w:eastAsia="Calibri" w:cs="Arial"/>
                <w:sz w:val="20"/>
                <w:szCs w:val="20"/>
              </w:rPr>
              <w:t xml:space="preserve">Pakistan </w:t>
            </w:r>
          </w:p>
        </w:tc>
        <w:tc>
          <w:tcPr>
            <w:tcW w:w="2350" w:type="dxa"/>
            <w:shd w:val="clear" w:color="auto" w:fill="auto"/>
          </w:tcPr>
          <w:p w14:paraId="4688699C" w14:textId="77777777" w:rsidR="00AB1B6A" w:rsidRPr="008A60DC" w:rsidRDefault="00AB1B6A" w:rsidP="00127CDF">
            <w:pPr>
              <w:rPr>
                <w:rFonts w:eastAsia="Calibri" w:cs="Arial"/>
                <w:b/>
                <w:sz w:val="20"/>
                <w:szCs w:val="20"/>
              </w:rPr>
            </w:pPr>
            <w:r w:rsidRPr="008A60DC">
              <w:rPr>
                <w:rFonts w:eastAsia="Calibri" w:cs="Arial"/>
                <w:sz w:val="20"/>
                <w:szCs w:val="20"/>
              </w:rPr>
              <w:t>Philippines</w:t>
            </w:r>
          </w:p>
        </w:tc>
        <w:tc>
          <w:tcPr>
            <w:tcW w:w="2353" w:type="dxa"/>
            <w:shd w:val="clear" w:color="auto" w:fill="auto"/>
          </w:tcPr>
          <w:p w14:paraId="7A4850D2" w14:textId="77777777" w:rsidR="00AB1B6A" w:rsidRPr="008A60DC" w:rsidRDefault="00AB1B6A" w:rsidP="00127CDF">
            <w:pPr>
              <w:rPr>
                <w:rFonts w:eastAsia="Calibri" w:cs="Arial"/>
                <w:b/>
                <w:sz w:val="20"/>
                <w:szCs w:val="20"/>
              </w:rPr>
            </w:pPr>
            <w:r w:rsidRPr="008A60DC">
              <w:rPr>
                <w:rFonts w:eastAsia="Calibri" w:cs="Arial"/>
                <w:sz w:val="20"/>
                <w:szCs w:val="20"/>
              </w:rPr>
              <w:t xml:space="preserve">Poland </w:t>
            </w:r>
          </w:p>
        </w:tc>
        <w:tc>
          <w:tcPr>
            <w:tcW w:w="2340" w:type="dxa"/>
            <w:shd w:val="clear" w:color="auto" w:fill="auto"/>
          </w:tcPr>
          <w:p w14:paraId="43518F9C" w14:textId="77777777" w:rsidR="00AB1B6A" w:rsidRPr="008A60DC" w:rsidRDefault="00AB1B6A" w:rsidP="00127CDF">
            <w:pPr>
              <w:rPr>
                <w:rFonts w:eastAsia="Calibri" w:cs="Arial"/>
                <w:b/>
                <w:sz w:val="20"/>
                <w:szCs w:val="20"/>
              </w:rPr>
            </w:pPr>
            <w:r w:rsidRPr="008A60DC">
              <w:rPr>
                <w:rFonts w:eastAsia="Calibri" w:cs="Arial"/>
                <w:sz w:val="20"/>
                <w:szCs w:val="20"/>
              </w:rPr>
              <w:t>Singapore</w:t>
            </w:r>
          </w:p>
        </w:tc>
      </w:tr>
      <w:tr w:rsidR="00AB1B6A" w:rsidRPr="008A60DC" w14:paraId="0CA5911D" w14:textId="77777777" w:rsidTr="00677FFC">
        <w:tc>
          <w:tcPr>
            <w:tcW w:w="2337" w:type="dxa"/>
            <w:shd w:val="clear" w:color="auto" w:fill="auto"/>
          </w:tcPr>
          <w:p w14:paraId="1AC6C929" w14:textId="77777777" w:rsidR="00AB1B6A" w:rsidRPr="008A60DC" w:rsidRDefault="00AB1B6A" w:rsidP="00127CDF">
            <w:pPr>
              <w:rPr>
                <w:rFonts w:eastAsia="Calibri" w:cs="Arial"/>
                <w:b/>
                <w:sz w:val="20"/>
                <w:szCs w:val="20"/>
              </w:rPr>
            </w:pPr>
            <w:r w:rsidRPr="008A60DC">
              <w:rPr>
                <w:rFonts w:eastAsia="Calibri" w:cs="Arial"/>
                <w:sz w:val="20"/>
                <w:szCs w:val="20"/>
              </w:rPr>
              <w:t xml:space="preserve">South Africa </w:t>
            </w:r>
          </w:p>
        </w:tc>
        <w:tc>
          <w:tcPr>
            <w:tcW w:w="2350" w:type="dxa"/>
            <w:shd w:val="clear" w:color="auto" w:fill="auto"/>
          </w:tcPr>
          <w:p w14:paraId="571FED1B" w14:textId="77777777" w:rsidR="00AB1B6A" w:rsidRPr="008A60DC" w:rsidRDefault="00AB1B6A" w:rsidP="00127CDF">
            <w:pPr>
              <w:rPr>
                <w:rFonts w:eastAsia="Calibri" w:cs="Arial"/>
                <w:b/>
                <w:sz w:val="20"/>
                <w:szCs w:val="20"/>
              </w:rPr>
            </w:pPr>
            <w:r w:rsidRPr="008A60DC">
              <w:rPr>
                <w:rFonts w:eastAsia="Calibri" w:cs="Arial"/>
                <w:sz w:val="20"/>
                <w:szCs w:val="20"/>
              </w:rPr>
              <w:t>South Korea</w:t>
            </w:r>
          </w:p>
        </w:tc>
        <w:tc>
          <w:tcPr>
            <w:tcW w:w="2353" w:type="dxa"/>
            <w:shd w:val="clear" w:color="auto" w:fill="auto"/>
          </w:tcPr>
          <w:p w14:paraId="7ED7FC06" w14:textId="77777777" w:rsidR="00AB1B6A" w:rsidRPr="008A60DC" w:rsidRDefault="00AB1B6A" w:rsidP="00127CDF">
            <w:pPr>
              <w:rPr>
                <w:rFonts w:eastAsia="Calibri" w:cs="Arial"/>
                <w:b/>
                <w:sz w:val="20"/>
                <w:szCs w:val="20"/>
              </w:rPr>
            </w:pPr>
            <w:r w:rsidRPr="008A60DC">
              <w:rPr>
                <w:rFonts w:eastAsia="Calibri" w:cs="Arial"/>
                <w:sz w:val="20"/>
                <w:szCs w:val="20"/>
              </w:rPr>
              <w:t xml:space="preserve">Taiwan </w:t>
            </w:r>
          </w:p>
        </w:tc>
        <w:tc>
          <w:tcPr>
            <w:tcW w:w="2340" w:type="dxa"/>
            <w:shd w:val="clear" w:color="auto" w:fill="auto"/>
          </w:tcPr>
          <w:p w14:paraId="3EEC5C81" w14:textId="77777777" w:rsidR="00AB1B6A" w:rsidRPr="008A60DC" w:rsidRDefault="00AB1B6A" w:rsidP="00127CDF">
            <w:pPr>
              <w:rPr>
                <w:rFonts w:eastAsia="Calibri" w:cs="Arial"/>
                <w:b/>
                <w:sz w:val="20"/>
                <w:szCs w:val="20"/>
              </w:rPr>
            </w:pPr>
            <w:r w:rsidRPr="008A60DC">
              <w:rPr>
                <w:rFonts w:eastAsia="Calibri" w:cs="Arial"/>
                <w:sz w:val="20"/>
                <w:szCs w:val="20"/>
              </w:rPr>
              <w:t>Thailand</w:t>
            </w:r>
          </w:p>
        </w:tc>
      </w:tr>
      <w:tr w:rsidR="00AB1B6A" w:rsidRPr="008A60DC" w14:paraId="577EE99F" w14:textId="77777777" w:rsidTr="00677FFC">
        <w:tc>
          <w:tcPr>
            <w:tcW w:w="2337" w:type="dxa"/>
            <w:shd w:val="clear" w:color="auto" w:fill="auto"/>
          </w:tcPr>
          <w:p w14:paraId="46BCCD9E" w14:textId="77777777" w:rsidR="00AB1B6A" w:rsidRPr="008A60DC" w:rsidRDefault="00AB1B6A" w:rsidP="00127CDF">
            <w:pPr>
              <w:rPr>
                <w:rFonts w:eastAsia="Calibri" w:cs="Arial"/>
                <w:b/>
                <w:sz w:val="20"/>
                <w:szCs w:val="20"/>
              </w:rPr>
            </w:pPr>
            <w:r w:rsidRPr="008A60DC">
              <w:rPr>
                <w:rFonts w:eastAsia="Calibri" w:cs="Arial"/>
                <w:sz w:val="20"/>
                <w:szCs w:val="20"/>
              </w:rPr>
              <w:t>Turkey</w:t>
            </w:r>
          </w:p>
        </w:tc>
        <w:tc>
          <w:tcPr>
            <w:tcW w:w="2350" w:type="dxa"/>
            <w:shd w:val="clear" w:color="auto" w:fill="auto"/>
          </w:tcPr>
          <w:p w14:paraId="5428F632" w14:textId="77777777" w:rsidR="00AB1B6A" w:rsidRPr="008A60DC" w:rsidRDefault="00AB1B6A" w:rsidP="00127CDF">
            <w:pPr>
              <w:rPr>
                <w:rFonts w:eastAsia="Calibri" w:cs="Arial"/>
                <w:b/>
                <w:sz w:val="20"/>
                <w:szCs w:val="20"/>
              </w:rPr>
            </w:pPr>
            <w:r w:rsidRPr="008A60DC">
              <w:rPr>
                <w:rFonts w:eastAsia="Calibri" w:cs="Arial"/>
                <w:sz w:val="20"/>
                <w:szCs w:val="20"/>
              </w:rPr>
              <w:t>United Kingdom</w:t>
            </w:r>
          </w:p>
        </w:tc>
        <w:tc>
          <w:tcPr>
            <w:tcW w:w="2353" w:type="dxa"/>
            <w:shd w:val="clear" w:color="auto" w:fill="auto"/>
          </w:tcPr>
          <w:p w14:paraId="4279C729" w14:textId="77777777" w:rsidR="00AB1B6A" w:rsidRPr="008A60DC" w:rsidRDefault="00AB1B6A" w:rsidP="00127CDF">
            <w:pPr>
              <w:rPr>
                <w:rFonts w:eastAsia="Calibri" w:cs="Arial"/>
                <w:b/>
                <w:sz w:val="20"/>
                <w:szCs w:val="20"/>
              </w:rPr>
            </w:pPr>
            <w:r w:rsidRPr="008A60DC">
              <w:rPr>
                <w:rFonts w:eastAsia="Calibri" w:cs="Arial"/>
                <w:sz w:val="20"/>
                <w:szCs w:val="20"/>
              </w:rPr>
              <w:t xml:space="preserve">USA </w:t>
            </w:r>
          </w:p>
        </w:tc>
        <w:tc>
          <w:tcPr>
            <w:tcW w:w="2340" w:type="dxa"/>
            <w:shd w:val="clear" w:color="auto" w:fill="auto"/>
          </w:tcPr>
          <w:p w14:paraId="54DA586B" w14:textId="77777777" w:rsidR="00AB1B6A" w:rsidRPr="008A60DC" w:rsidRDefault="00AB1B6A" w:rsidP="00127CDF">
            <w:pPr>
              <w:rPr>
                <w:rFonts w:eastAsia="Calibri" w:cs="Arial"/>
                <w:b/>
                <w:sz w:val="20"/>
                <w:szCs w:val="20"/>
              </w:rPr>
            </w:pPr>
            <w:r w:rsidRPr="008A60DC">
              <w:rPr>
                <w:rFonts w:eastAsia="Calibri" w:cs="Arial"/>
                <w:sz w:val="20"/>
                <w:szCs w:val="20"/>
              </w:rPr>
              <w:t>Vietnam</w:t>
            </w:r>
          </w:p>
        </w:tc>
      </w:tr>
    </w:tbl>
    <w:p w14:paraId="3AD5500E" w14:textId="77777777" w:rsidR="00AB1B6A" w:rsidRPr="008A60DC" w:rsidRDefault="00AB1B6A" w:rsidP="00AB1B6A">
      <w:pPr>
        <w:rPr>
          <w:rFonts w:cs="Arial"/>
          <w:b/>
          <w:sz w:val="20"/>
          <w:szCs w:val="20"/>
        </w:rPr>
      </w:pPr>
    </w:p>
    <w:p w14:paraId="246CF404" w14:textId="77777777" w:rsidR="00AB1B6A" w:rsidRPr="000E7C1E" w:rsidRDefault="00AB1B6A" w:rsidP="00972274">
      <w:pPr>
        <w:pStyle w:val="OptusH2"/>
        <w:numPr>
          <w:ilvl w:val="1"/>
          <w:numId w:val="27"/>
        </w:numPr>
        <w:tabs>
          <w:tab w:val="num" w:pos="680"/>
          <w:tab w:val="left" w:pos="851"/>
        </w:tabs>
        <w:ind w:left="680" w:hanging="680"/>
        <w:rPr>
          <w:rFonts w:ascii="Arial" w:hAnsi="Arial" w:cs="Arial"/>
          <w:b w:val="0"/>
          <w:sz w:val="20"/>
        </w:rPr>
      </w:pPr>
      <w:bookmarkStart w:id="1378" w:name="_Toc460247060"/>
      <w:r w:rsidRPr="000E7C1E">
        <w:rPr>
          <w:rFonts w:ascii="Arial" w:hAnsi="Arial" w:cs="Arial"/>
          <w:b w:val="0"/>
          <w:sz w:val="20"/>
        </w:rPr>
        <w:t>My Account</w:t>
      </w:r>
      <w:bookmarkEnd w:id="1378"/>
    </w:p>
    <w:p w14:paraId="02DA0982" w14:textId="77777777" w:rsidR="00AB1B6A" w:rsidRPr="008A60DC" w:rsidRDefault="00AB1B6A" w:rsidP="000E7C1E">
      <w:pPr>
        <w:tabs>
          <w:tab w:val="left" w:pos="1701"/>
        </w:tabs>
        <w:spacing w:before="120" w:after="240"/>
        <w:ind w:left="709"/>
        <w:rPr>
          <w:rFonts w:cs="Arial"/>
          <w:sz w:val="20"/>
          <w:szCs w:val="20"/>
        </w:rPr>
      </w:pPr>
      <w:r w:rsidRPr="008A60DC">
        <w:rPr>
          <w:rFonts w:cs="Arial"/>
          <w:sz w:val="20"/>
          <w:szCs w:val="20"/>
        </w:rPr>
        <w:t xml:space="preserve">Services that share data may have a service login to My Account which will display all of the service numbers contributing to or using the shared data pool on </w:t>
      </w:r>
      <w:r w:rsidRPr="008A60DC">
        <w:rPr>
          <w:rFonts w:cs="Arial"/>
          <w:i/>
          <w:sz w:val="20"/>
          <w:szCs w:val="20"/>
        </w:rPr>
        <w:t xml:space="preserve">your </w:t>
      </w:r>
      <w:r w:rsidRPr="008A60DC">
        <w:rPr>
          <w:rFonts w:cs="Arial"/>
          <w:sz w:val="20"/>
          <w:szCs w:val="20"/>
        </w:rPr>
        <w:t xml:space="preserve">account and the amount of data each service has used. If </w:t>
      </w:r>
      <w:r w:rsidRPr="008A60DC">
        <w:rPr>
          <w:rFonts w:cs="Arial"/>
          <w:i/>
          <w:sz w:val="20"/>
          <w:szCs w:val="20"/>
        </w:rPr>
        <w:t>you</w:t>
      </w:r>
      <w:r w:rsidRPr="008A60DC">
        <w:rPr>
          <w:rFonts w:cs="Arial"/>
          <w:sz w:val="20"/>
          <w:szCs w:val="20"/>
        </w:rPr>
        <w:t xml:space="preserve"> have more than 6 services on </w:t>
      </w:r>
      <w:r w:rsidRPr="008A60DC">
        <w:rPr>
          <w:rFonts w:cs="Arial"/>
          <w:i/>
          <w:sz w:val="20"/>
          <w:szCs w:val="20"/>
        </w:rPr>
        <w:t>your</w:t>
      </w:r>
      <w:r w:rsidRPr="008A60DC">
        <w:rPr>
          <w:rFonts w:cs="Arial"/>
          <w:sz w:val="20"/>
          <w:szCs w:val="20"/>
        </w:rPr>
        <w:t xml:space="preserve"> account, My Account may not be suitable for viewing usage and managing </w:t>
      </w:r>
      <w:r w:rsidRPr="008A60DC">
        <w:rPr>
          <w:rFonts w:cs="Arial"/>
          <w:i/>
          <w:sz w:val="20"/>
          <w:szCs w:val="20"/>
        </w:rPr>
        <w:t xml:space="preserve">your </w:t>
      </w:r>
      <w:r w:rsidRPr="008A60DC">
        <w:rPr>
          <w:rFonts w:cs="Arial"/>
          <w:sz w:val="20"/>
          <w:szCs w:val="20"/>
        </w:rPr>
        <w:t>usage alerts.</w:t>
      </w:r>
    </w:p>
    <w:p w14:paraId="01AB81B8" w14:textId="77777777" w:rsidR="00AB1B6A" w:rsidRPr="000E7C1E" w:rsidRDefault="00AB1B6A" w:rsidP="00972274">
      <w:pPr>
        <w:pStyle w:val="OptusH2"/>
        <w:numPr>
          <w:ilvl w:val="1"/>
          <w:numId w:val="27"/>
        </w:numPr>
        <w:tabs>
          <w:tab w:val="num" w:pos="680"/>
          <w:tab w:val="left" w:pos="851"/>
        </w:tabs>
        <w:ind w:left="680" w:hanging="680"/>
        <w:rPr>
          <w:rFonts w:ascii="Arial" w:hAnsi="Arial" w:cs="Arial"/>
          <w:b w:val="0"/>
          <w:sz w:val="20"/>
        </w:rPr>
      </w:pPr>
      <w:bookmarkStart w:id="1379" w:name="_Toc460247061"/>
      <w:r w:rsidRPr="000E7C1E">
        <w:rPr>
          <w:rFonts w:ascii="Arial" w:hAnsi="Arial" w:cs="Arial"/>
          <w:b w:val="0"/>
          <w:sz w:val="20"/>
        </w:rPr>
        <w:t xml:space="preserve">What happens if the </w:t>
      </w:r>
      <w:r w:rsidRPr="000E7C1E">
        <w:rPr>
          <w:rFonts w:ascii="Arial" w:hAnsi="Arial" w:cs="Arial"/>
          <w:b w:val="0"/>
          <w:i/>
          <w:sz w:val="20"/>
        </w:rPr>
        <w:t xml:space="preserve">service </w:t>
      </w:r>
      <w:r w:rsidRPr="000E7C1E">
        <w:rPr>
          <w:rFonts w:ascii="Arial" w:hAnsi="Arial" w:cs="Arial"/>
          <w:b w:val="0"/>
          <w:sz w:val="20"/>
        </w:rPr>
        <w:t>is</w:t>
      </w:r>
      <w:r w:rsidRPr="000E7C1E">
        <w:rPr>
          <w:rFonts w:ascii="Arial" w:hAnsi="Arial" w:cs="Arial"/>
          <w:b w:val="0"/>
          <w:i/>
          <w:sz w:val="20"/>
        </w:rPr>
        <w:t xml:space="preserve"> cancelled </w:t>
      </w:r>
      <w:r w:rsidRPr="000E7C1E">
        <w:rPr>
          <w:rFonts w:ascii="Arial" w:hAnsi="Arial" w:cs="Arial"/>
          <w:b w:val="0"/>
          <w:sz w:val="20"/>
        </w:rPr>
        <w:t>early?</w:t>
      </w:r>
      <w:bookmarkEnd w:id="1379"/>
      <w:r w:rsidRPr="000E7C1E">
        <w:rPr>
          <w:rFonts w:ascii="Arial" w:hAnsi="Arial" w:cs="Arial"/>
          <w:b w:val="0"/>
          <w:sz w:val="20"/>
        </w:rPr>
        <w:t xml:space="preserve"> </w:t>
      </w:r>
    </w:p>
    <w:p w14:paraId="2B9C19E2" w14:textId="77777777" w:rsidR="00AB1B6A" w:rsidRPr="008A60DC" w:rsidRDefault="00AB1B6A" w:rsidP="00972274">
      <w:pPr>
        <w:numPr>
          <w:ilvl w:val="2"/>
          <w:numId w:val="27"/>
        </w:numPr>
        <w:tabs>
          <w:tab w:val="clear" w:pos="2127"/>
          <w:tab w:val="num" w:pos="1448"/>
          <w:tab w:val="left" w:pos="1701"/>
        </w:tabs>
        <w:spacing w:before="120" w:after="120"/>
        <w:ind w:left="1446" w:hanging="737"/>
        <w:rPr>
          <w:rFonts w:cs="Arial"/>
          <w:sz w:val="20"/>
          <w:szCs w:val="20"/>
        </w:rPr>
      </w:pPr>
      <w:r w:rsidRPr="008A60DC">
        <w:rPr>
          <w:rFonts w:cs="Arial"/>
          <w:sz w:val="20"/>
          <w:szCs w:val="20"/>
        </w:rPr>
        <w:t>If the</w:t>
      </w:r>
      <w:r w:rsidRPr="008A60DC">
        <w:rPr>
          <w:rFonts w:cs="Arial"/>
          <w:i/>
          <w:sz w:val="20"/>
          <w:szCs w:val="20"/>
        </w:rPr>
        <w:t xml:space="preserve"> service</w:t>
      </w:r>
      <w:r w:rsidRPr="008A60DC">
        <w:rPr>
          <w:rFonts w:cs="Arial"/>
          <w:sz w:val="20"/>
          <w:szCs w:val="20"/>
        </w:rPr>
        <w:t xml:space="preserve"> is</w:t>
      </w:r>
      <w:r w:rsidRPr="008A60DC">
        <w:rPr>
          <w:rFonts w:cs="Arial"/>
          <w:i/>
          <w:sz w:val="20"/>
          <w:szCs w:val="20"/>
        </w:rPr>
        <w:t xml:space="preserve"> cancelled </w:t>
      </w:r>
      <w:r w:rsidRPr="008A60DC">
        <w:rPr>
          <w:rFonts w:cs="Arial"/>
          <w:sz w:val="20"/>
          <w:szCs w:val="20"/>
        </w:rPr>
        <w:t xml:space="preserve">before the end of </w:t>
      </w:r>
      <w:r w:rsidRPr="008A60DC">
        <w:rPr>
          <w:rFonts w:cs="Arial"/>
          <w:i/>
          <w:sz w:val="20"/>
          <w:szCs w:val="20"/>
        </w:rPr>
        <w:t xml:space="preserve">your minimum term, you </w:t>
      </w:r>
      <w:r w:rsidRPr="008A60DC">
        <w:rPr>
          <w:rFonts w:cs="Arial"/>
          <w:sz w:val="20"/>
          <w:szCs w:val="20"/>
        </w:rPr>
        <w:t xml:space="preserve">will be required to pay </w:t>
      </w:r>
      <w:r w:rsidRPr="008A60DC">
        <w:rPr>
          <w:rFonts w:cs="Arial"/>
          <w:i/>
          <w:sz w:val="20"/>
          <w:szCs w:val="20"/>
        </w:rPr>
        <w:t>us</w:t>
      </w:r>
      <w:r w:rsidRPr="008A60DC">
        <w:rPr>
          <w:rFonts w:cs="Arial"/>
          <w:sz w:val="20"/>
          <w:szCs w:val="20"/>
        </w:rPr>
        <w:t>:</w:t>
      </w:r>
    </w:p>
    <w:p w14:paraId="1E99B9C2" w14:textId="77777777" w:rsidR="00AB1B6A" w:rsidRPr="008A60DC" w:rsidRDefault="00AB1B6A" w:rsidP="00972274">
      <w:pPr>
        <w:numPr>
          <w:ilvl w:val="3"/>
          <w:numId w:val="71"/>
        </w:numPr>
        <w:tabs>
          <w:tab w:val="clear" w:pos="2552"/>
          <w:tab w:val="num" w:pos="1985"/>
        </w:tabs>
        <w:spacing w:before="120" w:after="120"/>
        <w:ind w:left="1985" w:hanging="567"/>
        <w:rPr>
          <w:rFonts w:cs="Arial"/>
          <w:sz w:val="20"/>
          <w:szCs w:val="20"/>
        </w:rPr>
      </w:pPr>
      <w:r w:rsidRPr="008A60DC">
        <w:rPr>
          <w:rFonts w:cs="Arial"/>
          <w:sz w:val="20"/>
          <w:szCs w:val="20"/>
        </w:rPr>
        <w:t xml:space="preserve">any usage charges incurred up to, and including, the </w:t>
      </w:r>
      <w:r w:rsidRPr="008A60DC">
        <w:rPr>
          <w:rFonts w:cs="Arial"/>
          <w:i/>
          <w:sz w:val="20"/>
          <w:szCs w:val="20"/>
        </w:rPr>
        <w:t xml:space="preserve">cancellation date; </w:t>
      </w:r>
      <w:r w:rsidRPr="008A60DC">
        <w:rPr>
          <w:rFonts w:cs="Arial"/>
          <w:sz w:val="20"/>
          <w:szCs w:val="20"/>
        </w:rPr>
        <w:t>plus</w:t>
      </w:r>
    </w:p>
    <w:p w14:paraId="0A77FE54" w14:textId="77777777" w:rsidR="00AB1B6A" w:rsidRPr="008A60DC" w:rsidRDefault="00AB1B6A" w:rsidP="00972274">
      <w:pPr>
        <w:numPr>
          <w:ilvl w:val="3"/>
          <w:numId w:val="71"/>
        </w:numPr>
        <w:tabs>
          <w:tab w:val="clear" w:pos="2552"/>
          <w:tab w:val="num" w:pos="1985"/>
        </w:tabs>
        <w:spacing w:before="120" w:after="120"/>
        <w:ind w:left="1985" w:hanging="567"/>
        <w:rPr>
          <w:rFonts w:cs="Arial"/>
          <w:sz w:val="20"/>
          <w:szCs w:val="20"/>
        </w:rPr>
      </w:pPr>
      <w:r w:rsidRPr="008A60DC">
        <w:rPr>
          <w:rFonts w:cs="Arial"/>
          <w:sz w:val="20"/>
          <w:szCs w:val="20"/>
        </w:rPr>
        <w:t xml:space="preserve">the </w:t>
      </w:r>
      <w:r w:rsidRPr="008A60DC">
        <w:rPr>
          <w:rFonts w:cs="Arial"/>
          <w:i/>
          <w:sz w:val="20"/>
          <w:szCs w:val="20"/>
        </w:rPr>
        <w:t>cancellation fees</w:t>
      </w:r>
      <w:r w:rsidRPr="008A60DC">
        <w:rPr>
          <w:rFonts w:cs="Arial"/>
          <w:sz w:val="20"/>
          <w:szCs w:val="20"/>
        </w:rPr>
        <w:t xml:space="preserve"> set out in paragraph (b) below (unless under clause 2A of the </w:t>
      </w:r>
      <w:r w:rsidRPr="008A60DC">
        <w:rPr>
          <w:rFonts w:cs="Arial"/>
          <w:i/>
          <w:sz w:val="20"/>
          <w:szCs w:val="20"/>
        </w:rPr>
        <w:t>consumer terms</w:t>
      </w:r>
      <w:r w:rsidRPr="008A60DC">
        <w:rPr>
          <w:rFonts w:cs="Arial"/>
          <w:sz w:val="20"/>
          <w:szCs w:val="20"/>
        </w:rPr>
        <w:t xml:space="preserve">, </w:t>
      </w:r>
      <w:r w:rsidRPr="008A60DC">
        <w:rPr>
          <w:rFonts w:cs="Arial"/>
          <w:i/>
          <w:sz w:val="20"/>
          <w:szCs w:val="20"/>
        </w:rPr>
        <w:t>you</w:t>
      </w:r>
      <w:r w:rsidRPr="008A60DC">
        <w:rPr>
          <w:rFonts w:cs="Arial"/>
          <w:sz w:val="20"/>
          <w:szCs w:val="20"/>
        </w:rPr>
        <w:t xml:space="preserve"> are entitled to </w:t>
      </w:r>
      <w:r w:rsidRPr="008A60DC">
        <w:rPr>
          <w:rFonts w:cs="Arial"/>
          <w:i/>
          <w:sz w:val="20"/>
          <w:szCs w:val="20"/>
        </w:rPr>
        <w:t>cancel the service</w:t>
      </w:r>
      <w:r w:rsidRPr="008A60DC">
        <w:rPr>
          <w:rFonts w:cs="Arial"/>
          <w:sz w:val="20"/>
          <w:szCs w:val="20"/>
        </w:rPr>
        <w:t xml:space="preserve"> without incurring a </w:t>
      </w:r>
      <w:r w:rsidRPr="008A60DC">
        <w:rPr>
          <w:rFonts w:cs="Arial"/>
          <w:i/>
          <w:sz w:val="20"/>
          <w:szCs w:val="20"/>
        </w:rPr>
        <w:t>cancellation fee</w:t>
      </w:r>
      <w:r w:rsidRPr="008A60DC">
        <w:rPr>
          <w:rFonts w:cs="Arial"/>
          <w:sz w:val="20"/>
          <w:szCs w:val="20"/>
        </w:rPr>
        <w:t>); plus</w:t>
      </w:r>
    </w:p>
    <w:p w14:paraId="38648E7E" w14:textId="77777777" w:rsidR="00AB1B6A" w:rsidRPr="008A60DC" w:rsidRDefault="00AB1B6A" w:rsidP="00972274">
      <w:pPr>
        <w:numPr>
          <w:ilvl w:val="2"/>
          <w:numId w:val="27"/>
        </w:numPr>
        <w:tabs>
          <w:tab w:val="clear" w:pos="2127"/>
          <w:tab w:val="num" w:pos="1448"/>
          <w:tab w:val="left" w:pos="1701"/>
        </w:tabs>
        <w:spacing w:before="120" w:after="120"/>
        <w:ind w:left="1446" w:hanging="737"/>
        <w:rPr>
          <w:rFonts w:cs="Arial"/>
          <w:sz w:val="20"/>
          <w:szCs w:val="20"/>
        </w:rPr>
      </w:pPr>
      <w:r w:rsidRPr="008A60DC">
        <w:rPr>
          <w:rFonts w:cs="Arial"/>
          <w:sz w:val="20"/>
          <w:szCs w:val="20"/>
        </w:rPr>
        <w:t xml:space="preserve">Note, any Handset Credit </w:t>
      </w:r>
      <w:r w:rsidRPr="008A60DC">
        <w:rPr>
          <w:rFonts w:cs="Arial"/>
          <w:i/>
          <w:sz w:val="20"/>
          <w:szCs w:val="20"/>
        </w:rPr>
        <w:t xml:space="preserve">you </w:t>
      </w:r>
      <w:r w:rsidRPr="008A60DC">
        <w:rPr>
          <w:rFonts w:cs="Arial"/>
          <w:sz w:val="20"/>
          <w:szCs w:val="20"/>
        </w:rPr>
        <w:t xml:space="preserve">were entitled to will be forfeited (see 5.5 above) if the account is cancelled. </w:t>
      </w:r>
    </w:p>
    <w:p w14:paraId="04BB5789" w14:textId="77777777" w:rsidR="00AB1B6A" w:rsidRPr="008A60DC" w:rsidRDefault="00AB1B6A" w:rsidP="00972274">
      <w:pPr>
        <w:numPr>
          <w:ilvl w:val="2"/>
          <w:numId w:val="27"/>
        </w:numPr>
        <w:tabs>
          <w:tab w:val="clear" w:pos="2127"/>
          <w:tab w:val="num" w:pos="1448"/>
          <w:tab w:val="left" w:pos="1701"/>
        </w:tabs>
        <w:spacing w:before="120" w:after="120"/>
        <w:ind w:left="1446" w:hanging="737"/>
        <w:rPr>
          <w:rFonts w:cs="Arial"/>
          <w:sz w:val="20"/>
          <w:szCs w:val="20"/>
        </w:rPr>
      </w:pPr>
      <w:r w:rsidRPr="008A60DC">
        <w:rPr>
          <w:rFonts w:cs="Arial"/>
          <w:sz w:val="20"/>
          <w:szCs w:val="20"/>
        </w:rPr>
        <w:lastRenderedPageBreak/>
        <w:t xml:space="preserve">The </w:t>
      </w:r>
      <w:r w:rsidRPr="008A60DC">
        <w:rPr>
          <w:rFonts w:cs="Arial"/>
          <w:i/>
          <w:sz w:val="20"/>
          <w:szCs w:val="20"/>
        </w:rPr>
        <w:t>cancellation fee</w:t>
      </w:r>
      <w:r w:rsidRPr="008A60DC">
        <w:rPr>
          <w:rFonts w:cs="Arial"/>
          <w:sz w:val="20"/>
          <w:szCs w:val="20"/>
        </w:rPr>
        <w:t xml:space="preserve"> is calculated as the following amounts, multiplied by the months remaining on </w:t>
      </w:r>
      <w:r w:rsidRPr="008A60DC">
        <w:rPr>
          <w:rFonts w:cs="Arial"/>
          <w:i/>
          <w:sz w:val="20"/>
          <w:szCs w:val="20"/>
        </w:rPr>
        <w:t>your minimum term</w:t>
      </w:r>
      <w:r w:rsidRPr="008A60DC">
        <w:rPr>
          <w:rFonts w:cs="Arial"/>
          <w:sz w:val="20"/>
          <w:szCs w:val="20"/>
        </w:rPr>
        <w:t>:</w:t>
      </w:r>
    </w:p>
    <w:tbl>
      <w:tblPr>
        <w:tblpPr w:leftFromText="180" w:rightFromText="180" w:vertAnchor="text" w:horzAnchor="margin" w:tblpX="250" w:tblpY="393"/>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701"/>
        <w:gridCol w:w="1701"/>
        <w:gridCol w:w="1701"/>
        <w:gridCol w:w="1701"/>
        <w:gridCol w:w="1701"/>
      </w:tblGrid>
      <w:tr w:rsidR="00AB1B6A" w:rsidRPr="008A60DC" w14:paraId="55063781" w14:textId="77777777" w:rsidTr="00127CDF">
        <w:trPr>
          <w:trHeight w:val="289"/>
        </w:trPr>
        <w:tc>
          <w:tcPr>
            <w:tcW w:w="10065" w:type="dxa"/>
            <w:gridSpan w:val="6"/>
            <w:shd w:val="clear" w:color="auto" w:fill="auto"/>
            <w:vAlign w:val="center"/>
          </w:tcPr>
          <w:p w14:paraId="2219DB7E" w14:textId="77777777" w:rsidR="00AB1B6A" w:rsidRPr="008A60DC" w:rsidRDefault="00AB1B6A" w:rsidP="00127CDF">
            <w:pPr>
              <w:spacing w:line="276" w:lineRule="auto"/>
              <w:jc w:val="center"/>
              <w:rPr>
                <w:rFonts w:eastAsia="Calibri" w:cs="Arial"/>
                <w:b/>
                <w:bCs/>
                <w:sz w:val="20"/>
                <w:szCs w:val="20"/>
              </w:rPr>
            </w:pPr>
            <w:r w:rsidRPr="008A60DC">
              <w:rPr>
                <w:rFonts w:eastAsia="Calibri" w:cs="Arial"/>
                <w:b/>
                <w:bCs/>
                <w:sz w:val="20"/>
                <w:szCs w:val="20"/>
              </w:rPr>
              <w:t xml:space="preserve">My Plan Business </w:t>
            </w:r>
            <w:r w:rsidRPr="008A60DC">
              <w:rPr>
                <w:rFonts w:cs="Arial"/>
                <w:b/>
                <w:snapToGrid w:val="0"/>
                <w:sz w:val="20"/>
                <w:szCs w:val="20"/>
              </w:rPr>
              <w:t>Tech Fund</w:t>
            </w:r>
          </w:p>
        </w:tc>
      </w:tr>
      <w:tr w:rsidR="00AB1B6A" w:rsidRPr="008A60DC" w14:paraId="650042B7" w14:textId="77777777" w:rsidTr="00127CDF">
        <w:trPr>
          <w:trHeight w:val="1302"/>
        </w:trPr>
        <w:tc>
          <w:tcPr>
            <w:tcW w:w="1560" w:type="dxa"/>
            <w:vAlign w:val="center"/>
          </w:tcPr>
          <w:p w14:paraId="6A8C3BAF" w14:textId="77777777" w:rsidR="00AB1B6A" w:rsidRPr="008A60DC" w:rsidRDefault="00AB1B6A" w:rsidP="00127CDF">
            <w:pPr>
              <w:jc w:val="center"/>
              <w:rPr>
                <w:rFonts w:cs="Arial"/>
                <w:b/>
                <w:sz w:val="20"/>
                <w:szCs w:val="20"/>
              </w:rPr>
            </w:pPr>
            <w:r w:rsidRPr="008A60DC">
              <w:rPr>
                <w:rFonts w:cs="Arial"/>
                <w:b/>
                <w:sz w:val="20"/>
                <w:szCs w:val="20"/>
              </w:rPr>
              <w:t>Plan</w:t>
            </w:r>
          </w:p>
        </w:tc>
        <w:tc>
          <w:tcPr>
            <w:tcW w:w="1701" w:type="dxa"/>
            <w:vAlign w:val="center"/>
          </w:tcPr>
          <w:p w14:paraId="20DA9107" w14:textId="77777777" w:rsidR="00AB1B6A" w:rsidRPr="008A60DC" w:rsidRDefault="00AB1B6A" w:rsidP="00127CDF">
            <w:pPr>
              <w:jc w:val="center"/>
              <w:rPr>
                <w:rFonts w:cs="Arial"/>
                <w:b/>
                <w:sz w:val="20"/>
                <w:szCs w:val="20"/>
              </w:rPr>
            </w:pPr>
            <w:r w:rsidRPr="008A60DC">
              <w:rPr>
                <w:rFonts w:cs="Arial"/>
                <w:b/>
                <w:sz w:val="20"/>
                <w:szCs w:val="20"/>
              </w:rPr>
              <w:t xml:space="preserve">$40 My Plan Business </w:t>
            </w:r>
            <w:r w:rsidRPr="008A60DC">
              <w:rPr>
                <w:rFonts w:cs="Arial"/>
                <w:b/>
                <w:snapToGrid w:val="0"/>
                <w:sz w:val="20"/>
                <w:szCs w:val="20"/>
              </w:rPr>
              <w:t>Tech Fund</w:t>
            </w:r>
          </w:p>
        </w:tc>
        <w:tc>
          <w:tcPr>
            <w:tcW w:w="1701" w:type="dxa"/>
            <w:shd w:val="clear" w:color="auto" w:fill="auto"/>
            <w:vAlign w:val="center"/>
          </w:tcPr>
          <w:p w14:paraId="7BFA74F5" w14:textId="77777777" w:rsidR="00AB1B6A" w:rsidRPr="008A60DC" w:rsidRDefault="00AB1B6A" w:rsidP="00127CDF">
            <w:pPr>
              <w:jc w:val="center"/>
              <w:rPr>
                <w:rFonts w:eastAsia="Calibri" w:cs="Arial"/>
                <w:b/>
                <w:sz w:val="20"/>
                <w:szCs w:val="20"/>
              </w:rPr>
            </w:pPr>
            <w:r w:rsidRPr="008A60DC">
              <w:rPr>
                <w:rFonts w:cs="Arial"/>
                <w:b/>
                <w:sz w:val="20"/>
                <w:szCs w:val="20"/>
              </w:rPr>
              <w:t>$65 My Plan Business</w:t>
            </w:r>
            <w:r w:rsidRPr="008A60DC">
              <w:rPr>
                <w:rFonts w:cs="Arial"/>
                <w:b/>
                <w:snapToGrid w:val="0"/>
                <w:sz w:val="20"/>
                <w:szCs w:val="20"/>
              </w:rPr>
              <w:t xml:space="preserve"> Tech Fund</w:t>
            </w:r>
          </w:p>
        </w:tc>
        <w:tc>
          <w:tcPr>
            <w:tcW w:w="1701" w:type="dxa"/>
            <w:shd w:val="clear" w:color="auto" w:fill="auto"/>
            <w:vAlign w:val="center"/>
          </w:tcPr>
          <w:p w14:paraId="5265DCC7" w14:textId="77777777" w:rsidR="00AB1B6A" w:rsidRPr="008A60DC" w:rsidRDefault="00AB1B6A" w:rsidP="00127CDF">
            <w:pPr>
              <w:jc w:val="center"/>
              <w:rPr>
                <w:rFonts w:eastAsia="Calibri" w:cs="Arial"/>
                <w:b/>
                <w:sz w:val="20"/>
                <w:szCs w:val="20"/>
              </w:rPr>
            </w:pPr>
            <w:r w:rsidRPr="008A60DC">
              <w:rPr>
                <w:rFonts w:cs="Arial"/>
                <w:b/>
                <w:sz w:val="20"/>
                <w:szCs w:val="20"/>
              </w:rPr>
              <w:t>$85 My Plan Business</w:t>
            </w:r>
            <w:r w:rsidRPr="008A60DC">
              <w:rPr>
                <w:rFonts w:cs="Arial"/>
                <w:b/>
                <w:snapToGrid w:val="0"/>
                <w:sz w:val="20"/>
                <w:szCs w:val="20"/>
              </w:rPr>
              <w:t xml:space="preserve"> Tech Fund</w:t>
            </w:r>
          </w:p>
        </w:tc>
        <w:tc>
          <w:tcPr>
            <w:tcW w:w="1701" w:type="dxa"/>
            <w:vAlign w:val="center"/>
          </w:tcPr>
          <w:p w14:paraId="28D3AF36" w14:textId="77777777" w:rsidR="00AB1B6A" w:rsidRPr="008A60DC" w:rsidRDefault="00AB1B6A" w:rsidP="00127CDF">
            <w:pPr>
              <w:jc w:val="center"/>
              <w:rPr>
                <w:rFonts w:cs="Arial"/>
                <w:b/>
                <w:sz w:val="20"/>
                <w:szCs w:val="20"/>
              </w:rPr>
            </w:pPr>
          </w:p>
          <w:p w14:paraId="5BF57A31" w14:textId="77777777" w:rsidR="00AB1B6A" w:rsidRPr="008A60DC" w:rsidRDefault="00AB1B6A" w:rsidP="00127CDF">
            <w:pPr>
              <w:spacing w:after="240"/>
              <w:jc w:val="center"/>
              <w:rPr>
                <w:rFonts w:cs="Arial"/>
                <w:b/>
                <w:sz w:val="20"/>
                <w:szCs w:val="20"/>
              </w:rPr>
            </w:pPr>
            <w:r w:rsidRPr="008A60DC">
              <w:rPr>
                <w:rFonts w:cs="Arial"/>
                <w:b/>
                <w:sz w:val="20"/>
                <w:szCs w:val="20"/>
              </w:rPr>
              <w:t>$100 My Plan Business</w:t>
            </w:r>
            <w:r w:rsidRPr="008A60DC">
              <w:rPr>
                <w:rFonts w:cs="Arial"/>
                <w:b/>
                <w:snapToGrid w:val="0"/>
                <w:sz w:val="20"/>
                <w:szCs w:val="20"/>
              </w:rPr>
              <w:t xml:space="preserve"> Tech Fund</w:t>
            </w:r>
          </w:p>
        </w:tc>
        <w:tc>
          <w:tcPr>
            <w:tcW w:w="1701" w:type="dxa"/>
            <w:vAlign w:val="center"/>
          </w:tcPr>
          <w:p w14:paraId="735D7FE4" w14:textId="77777777" w:rsidR="00AB1B6A" w:rsidRPr="008A60DC" w:rsidRDefault="00AB1B6A" w:rsidP="00127CDF">
            <w:pPr>
              <w:jc w:val="center"/>
              <w:rPr>
                <w:rFonts w:cs="Arial"/>
                <w:b/>
                <w:sz w:val="20"/>
                <w:szCs w:val="20"/>
              </w:rPr>
            </w:pPr>
            <w:r w:rsidRPr="008A60DC">
              <w:rPr>
                <w:rFonts w:cs="Arial"/>
                <w:b/>
                <w:sz w:val="20"/>
                <w:szCs w:val="20"/>
              </w:rPr>
              <w:t>$120 My Plan Business</w:t>
            </w:r>
            <w:r w:rsidRPr="008A60DC">
              <w:rPr>
                <w:rFonts w:cs="Arial"/>
                <w:b/>
                <w:snapToGrid w:val="0"/>
                <w:sz w:val="20"/>
                <w:szCs w:val="20"/>
              </w:rPr>
              <w:t xml:space="preserve"> Tech Fund</w:t>
            </w:r>
          </w:p>
        </w:tc>
      </w:tr>
      <w:tr w:rsidR="00AB1B6A" w:rsidRPr="008A60DC" w14:paraId="40CC0CD3" w14:textId="77777777" w:rsidTr="00127CDF">
        <w:trPr>
          <w:trHeight w:val="275"/>
        </w:trPr>
        <w:tc>
          <w:tcPr>
            <w:tcW w:w="1560" w:type="dxa"/>
            <w:vAlign w:val="center"/>
          </w:tcPr>
          <w:p w14:paraId="560C4E1B" w14:textId="77777777" w:rsidR="00AB1B6A" w:rsidRPr="008A60DC" w:rsidRDefault="00AB1B6A" w:rsidP="00127CDF">
            <w:pPr>
              <w:spacing w:before="120" w:after="120" w:line="276" w:lineRule="auto"/>
              <w:rPr>
                <w:rFonts w:eastAsia="Calibri" w:cs="Arial"/>
                <w:sz w:val="20"/>
                <w:szCs w:val="20"/>
              </w:rPr>
            </w:pPr>
            <w:r w:rsidRPr="008A60DC">
              <w:rPr>
                <w:rFonts w:eastAsia="Calibri" w:cs="Arial"/>
                <w:b/>
                <w:bCs/>
                <w:sz w:val="20"/>
                <w:szCs w:val="20"/>
              </w:rPr>
              <w:t xml:space="preserve">Cancellation Fee </w:t>
            </w:r>
          </w:p>
        </w:tc>
        <w:tc>
          <w:tcPr>
            <w:tcW w:w="1701" w:type="dxa"/>
            <w:vAlign w:val="center"/>
          </w:tcPr>
          <w:p w14:paraId="311D43AB" w14:textId="77777777" w:rsidR="00AB1B6A" w:rsidRPr="008A60DC" w:rsidRDefault="00AB1B6A" w:rsidP="00127CDF">
            <w:pPr>
              <w:spacing w:before="120" w:after="120"/>
              <w:jc w:val="center"/>
              <w:rPr>
                <w:rFonts w:eastAsia="Calibri" w:cs="Arial"/>
                <w:i/>
                <w:sz w:val="20"/>
                <w:szCs w:val="20"/>
              </w:rPr>
            </w:pPr>
            <w:r w:rsidRPr="008A60DC">
              <w:rPr>
                <w:rFonts w:cs="Arial"/>
                <w:sz w:val="20"/>
                <w:szCs w:val="20"/>
              </w:rPr>
              <w:t>$24 x Months remaining</w:t>
            </w:r>
          </w:p>
        </w:tc>
        <w:tc>
          <w:tcPr>
            <w:tcW w:w="1701" w:type="dxa"/>
            <w:shd w:val="clear" w:color="auto" w:fill="auto"/>
            <w:vAlign w:val="center"/>
          </w:tcPr>
          <w:p w14:paraId="4AB9B323" w14:textId="77777777" w:rsidR="00AB1B6A" w:rsidRPr="008A60DC" w:rsidRDefault="00AB1B6A" w:rsidP="00127CDF">
            <w:pPr>
              <w:spacing w:before="120" w:after="120"/>
              <w:jc w:val="center"/>
              <w:rPr>
                <w:rFonts w:eastAsia="Calibri" w:cs="Arial"/>
                <w:sz w:val="20"/>
                <w:szCs w:val="20"/>
              </w:rPr>
            </w:pPr>
            <w:r w:rsidRPr="008A60DC">
              <w:rPr>
                <w:rFonts w:cs="Arial"/>
                <w:sz w:val="20"/>
                <w:szCs w:val="20"/>
              </w:rPr>
              <w:t>$36 x Months remaining</w:t>
            </w:r>
          </w:p>
        </w:tc>
        <w:tc>
          <w:tcPr>
            <w:tcW w:w="1701" w:type="dxa"/>
            <w:shd w:val="clear" w:color="auto" w:fill="auto"/>
            <w:vAlign w:val="center"/>
          </w:tcPr>
          <w:p w14:paraId="511A3283" w14:textId="77777777" w:rsidR="00AB1B6A" w:rsidRPr="008A60DC" w:rsidRDefault="00AB1B6A" w:rsidP="00127CDF">
            <w:pPr>
              <w:spacing w:before="120" w:after="120"/>
              <w:jc w:val="center"/>
              <w:rPr>
                <w:rFonts w:eastAsia="Calibri" w:cs="Arial"/>
                <w:sz w:val="20"/>
                <w:szCs w:val="20"/>
              </w:rPr>
            </w:pPr>
            <w:r w:rsidRPr="008A60DC">
              <w:rPr>
                <w:rFonts w:cs="Arial"/>
                <w:sz w:val="20"/>
                <w:szCs w:val="20"/>
              </w:rPr>
              <w:t>$48 x Months remaining</w:t>
            </w:r>
          </w:p>
        </w:tc>
        <w:tc>
          <w:tcPr>
            <w:tcW w:w="1701" w:type="dxa"/>
            <w:vAlign w:val="center"/>
          </w:tcPr>
          <w:p w14:paraId="75109B89" w14:textId="77777777" w:rsidR="00AB1B6A" w:rsidRPr="008A60DC" w:rsidRDefault="00AB1B6A" w:rsidP="00127CDF">
            <w:pPr>
              <w:spacing w:before="120" w:after="120"/>
              <w:jc w:val="center"/>
              <w:rPr>
                <w:rFonts w:cs="Arial"/>
                <w:sz w:val="20"/>
                <w:szCs w:val="20"/>
              </w:rPr>
            </w:pPr>
            <w:r w:rsidRPr="008A60DC">
              <w:rPr>
                <w:rFonts w:cs="Arial"/>
                <w:sz w:val="20"/>
                <w:szCs w:val="20"/>
              </w:rPr>
              <w:t>$60 x Months remaining</w:t>
            </w:r>
          </w:p>
        </w:tc>
        <w:tc>
          <w:tcPr>
            <w:tcW w:w="1701" w:type="dxa"/>
          </w:tcPr>
          <w:p w14:paraId="192BCFB5" w14:textId="77777777" w:rsidR="00AB1B6A" w:rsidRPr="008A60DC" w:rsidRDefault="00AB1B6A" w:rsidP="00127CDF">
            <w:pPr>
              <w:spacing w:before="120" w:after="120"/>
              <w:jc w:val="center"/>
              <w:rPr>
                <w:rFonts w:cs="Arial"/>
                <w:sz w:val="20"/>
                <w:szCs w:val="20"/>
              </w:rPr>
            </w:pPr>
            <w:r w:rsidRPr="008A60DC">
              <w:rPr>
                <w:rFonts w:cs="Arial"/>
                <w:sz w:val="20"/>
                <w:szCs w:val="20"/>
              </w:rPr>
              <w:t xml:space="preserve">$78 x Months remaining </w:t>
            </w:r>
          </w:p>
        </w:tc>
      </w:tr>
      <w:tr w:rsidR="00AB1B6A" w:rsidRPr="008A60DC" w14:paraId="051D2DDA" w14:textId="77777777" w:rsidTr="00127CDF">
        <w:trPr>
          <w:trHeight w:val="275"/>
        </w:trPr>
        <w:tc>
          <w:tcPr>
            <w:tcW w:w="1560" w:type="dxa"/>
            <w:vAlign w:val="center"/>
          </w:tcPr>
          <w:p w14:paraId="6F14CBB9" w14:textId="77777777" w:rsidR="00AB1B6A" w:rsidRPr="008A60DC" w:rsidRDefault="00AB1B6A" w:rsidP="00127CDF">
            <w:pPr>
              <w:spacing w:before="120" w:after="120" w:line="276" w:lineRule="auto"/>
              <w:rPr>
                <w:rFonts w:eastAsia="Calibri" w:cs="Arial"/>
                <w:b/>
                <w:bCs/>
                <w:sz w:val="20"/>
                <w:szCs w:val="20"/>
              </w:rPr>
            </w:pPr>
            <w:r w:rsidRPr="008A60DC">
              <w:rPr>
                <w:rFonts w:eastAsia="Calibri" w:cs="Arial"/>
                <w:b/>
                <w:bCs/>
                <w:sz w:val="20"/>
                <w:szCs w:val="20"/>
              </w:rPr>
              <w:t>Maximum Cancellation Fee</w:t>
            </w:r>
          </w:p>
        </w:tc>
        <w:tc>
          <w:tcPr>
            <w:tcW w:w="1701" w:type="dxa"/>
            <w:vAlign w:val="center"/>
          </w:tcPr>
          <w:p w14:paraId="0BD86694" w14:textId="77777777" w:rsidR="00AB1B6A" w:rsidRPr="008A60DC" w:rsidRDefault="00AB1B6A" w:rsidP="00127CDF">
            <w:pPr>
              <w:spacing w:before="120" w:after="120"/>
              <w:jc w:val="center"/>
              <w:rPr>
                <w:rFonts w:eastAsia="Calibri" w:cs="Arial"/>
                <w:sz w:val="20"/>
                <w:szCs w:val="20"/>
              </w:rPr>
            </w:pPr>
            <w:r w:rsidRPr="008A60DC">
              <w:rPr>
                <w:rFonts w:eastAsia="Calibri" w:cs="Arial"/>
                <w:sz w:val="20"/>
                <w:szCs w:val="20"/>
              </w:rPr>
              <w:t>$576</w:t>
            </w:r>
          </w:p>
        </w:tc>
        <w:tc>
          <w:tcPr>
            <w:tcW w:w="1701" w:type="dxa"/>
            <w:shd w:val="clear" w:color="auto" w:fill="auto"/>
            <w:vAlign w:val="center"/>
          </w:tcPr>
          <w:p w14:paraId="07E404AD" w14:textId="77777777" w:rsidR="00AB1B6A" w:rsidRPr="008A60DC" w:rsidRDefault="00AB1B6A" w:rsidP="00127CDF">
            <w:pPr>
              <w:spacing w:before="120" w:after="120"/>
              <w:jc w:val="center"/>
              <w:rPr>
                <w:rFonts w:eastAsia="Calibri" w:cs="Arial"/>
                <w:sz w:val="20"/>
                <w:szCs w:val="20"/>
              </w:rPr>
            </w:pPr>
            <w:r w:rsidRPr="008A60DC">
              <w:rPr>
                <w:rFonts w:eastAsia="Calibri" w:cs="Arial"/>
                <w:sz w:val="20"/>
                <w:szCs w:val="20"/>
              </w:rPr>
              <w:t>$864</w:t>
            </w:r>
          </w:p>
        </w:tc>
        <w:tc>
          <w:tcPr>
            <w:tcW w:w="1701" w:type="dxa"/>
            <w:shd w:val="clear" w:color="auto" w:fill="auto"/>
            <w:vAlign w:val="center"/>
          </w:tcPr>
          <w:p w14:paraId="51940A35" w14:textId="77777777" w:rsidR="00AB1B6A" w:rsidRPr="008A60DC" w:rsidRDefault="00AB1B6A" w:rsidP="00127CDF">
            <w:pPr>
              <w:spacing w:before="120" w:after="120"/>
              <w:jc w:val="center"/>
              <w:rPr>
                <w:rFonts w:eastAsia="Calibri" w:cs="Arial"/>
                <w:sz w:val="20"/>
                <w:szCs w:val="20"/>
              </w:rPr>
            </w:pPr>
            <w:r w:rsidRPr="008A60DC">
              <w:rPr>
                <w:rFonts w:eastAsia="Calibri" w:cs="Arial"/>
                <w:sz w:val="20"/>
                <w:szCs w:val="20"/>
              </w:rPr>
              <w:t>$1152</w:t>
            </w:r>
          </w:p>
        </w:tc>
        <w:tc>
          <w:tcPr>
            <w:tcW w:w="1701" w:type="dxa"/>
            <w:vAlign w:val="center"/>
          </w:tcPr>
          <w:p w14:paraId="37587749" w14:textId="77777777" w:rsidR="00AB1B6A" w:rsidRPr="008A60DC" w:rsidRDefault="00AB1B6A" w:rsidP="00127CDF">
            <w:pPr>
              <w:spacing w:before="120" w:after="120"/>
              <w:jc w:val="center"/>
              <w:rPr>
                <w:rFonts w:eastAsia="Calibri" w:cs="Arial"/>
                <w:sz w:val="20"/>
                <w:szCs w:val="20"/>
              </w:rPr>
            </w:pPr>
            <w:r w:rsidRPr="008A60DC">
              <w:rPr>
                <w:rFonts w:eastAsia="Calibri" w:cs="Arial"/>
                <w:sz w:val="20"/>
                <w:szCs w:val="20"/>
              </w:rPr>
              <w:t>$1440</w:t>
            </w:r>
          </w:p>
        </w:tc>
        <w:tc>
          <w:tcPr>
            <w:tcW w:w="1701" w:type="dxa"/>
            <w:vAlign w:val="center"/>
          </w:tcPr>
          <w:p w14:paraId="57E4F1CD" w14:textId="77777777" w:rsidR="00AB1B6A" w:rsidRPr="008A60DC" w:rsidRDefault="00AB1B6A" w:rsidP="00127CDF">
            <w:pPr>
              <w:spacing w:before="120" w:after="120"/>
              <w:jc w:val="center"/>
              <w:rPr>
                <w:rFonts w:eastAsia="Calibri" w:cs="Arial"/>
                <w:sz w:val="20"/>
                <w:szCs w:val="20"/>
              </w:rPr>
            </w:pPr>
            <w:r w:rsidRPr="008A60DC">
              <w:rPr>
                <w:rFonts w:eastAsia="Calibri" w:cs="Arial"/>
                <w:sz w:val="20"/>
                <w:szCs w:val="20"/>
              </w:rPr>
              <w:t>$1872</w:t>
            </w:r>
          </w:p>
        </w:tc>
      </w:tr>
    </w:tbl>
    <w:p w14:paraId="4B74B8A5" w14:textId="77777777" w:rsidR="00AB1B6A" w:rsidRPr="008A60DC" w:rsidRDefault="00AB1B6A" w:rsidP="00AB1B6A">
      <w:pPr>
        <w:rPr>
          <w:rFonts w:cs="Arial"/>
          <w:sz w:val="20"/>
          <w:szCs w:val="20"/>
        </w:rPr>
      </w:pPr>
    </w:p>
    <w:p w14:paraId="57DC7179" w14:textId="77777777" w:rsidR="00AB1B6A" w:rsidRPr="008A60DC" w:rsidRDefault="00AB1B6A" w:rsidP="00972274">
      <w:pPr>
        <w:numPr>
          <w:ilvl w:val="2"/>
          <w:numId w:val="65"/>
        </w:numPr>
        <w:tabs>
          <w:tab w:val="clear" w:pos="2127"/>
          <w:tab w:val="num" w:pos="1448"/>
          <w:tab w:val="left" w:pos="1701"/>
        </w:tabs>
        <w:spacing w:before="240" w:after="120"/>
        <w:ind w:left="1448" w:hanging="738"/>
        <w:rPr>
          <w:rFonts w:cs="Arial"/>
          <w:sz w:val="20"/>
          <w:szCs w:val="20"/>
        </w:rPr>
      </w:pPr>
      <w:r w:rsidRPr="008A60DC">
        <w:rPr>
          <w:rFonts w:cs="Arial"/>
          <w:sz w:val="20"/>
          <w:szCs w:val="20"/>
        </w:rPr>
        <w:t xml:space="preserve">If </w:t>
      </w:r>
      <w:r w:rsidRPr="008A60DC">
        <w:rPr>
          <w:rFonts w:cs="Arial"/>
          <w:i/>
          <w:sz w:val="20"/>
          <w:szCs w:val="20"/>
        </w:rPr>
        <w:t>your</w:t>
      </w:r>
      <w:r w:rsidRPr="008A60DC">
        <w:rPr>
          <w:rFonts w:cs="Arial"/>
          <w:sz w:val="20"/>
          <w:szCs w:val="20"/>
        </w:rPr>
        <w:t xml:space="preserve"> My Plan Business Tech Fund is </w:t>
      </w:r>
      <w:r w:rsidRPr="008A60DC">
        <w:rPr>
          <w:rFonts w:cs="Arial"/>
          <w:i/>
          <w:sz w:val="20"/>
          <w:szCs w:val="20"/>
        </w:rPr>
        <w:t>cancelled</w:t>
      </w:r>
      <w:r w:rsidRPr="008A60DC">
        <w:rPr>
          <w:rFonts w:cs="Arial"/>
          <w:sz w:val="20"/>
          <w:szCs w:val="20"/>
        </w:rPr>
        <w:t xml:space="preserve">, </w:t>
      </w:r>
      <w:r w:rsidRPr="008A60DC">
        <w:rPr>
          <w:rFonts w:cs="Arial"/>
          <w:i/>
          <w:sz w:val="20"/>
          <w:szCs w:val="20"/>
        </w:rPr>
        <w:t>your</w:t>
      </w:r>
      <w:r w:rsidRPr="008A60DC">
        <w:rPr>
          <w:rFonts w:cs="Arial"/>
          <w:sz w:val="20"/>
          <w:szCs w:val="20"/>
        </w:rPr>
        <w:t xml:space="preserve"> Shared Data Plan(s) may also be </w:t>
      </w:r>
      <w:r w:rsidRPr="008A60DC">
        <w:rPr>
          <w:rFonts w:cs="Arial"/>
          <w:i/>
          <w:sz w:val="20"/>
          <w:szCs w:val="20"/>
        </w:rPr>
        <w:t>cancelled</w:t>
      </w:r>
      <w:r w:rsidRPr="008A60DC">
        <w:rPr>
          <w:rFonts w:cs="Arial"/>
          <w:sz w:val="20"/>
          <w:szCs w:val="20"/>
        </w:rPr>
        <w:t xml:space="preserve">. There are no </w:t>
      </w:r>
      <w:r w:rsidRPr="008A60DC">
        <w:rPr>
          <w:rFonts w:cs="Arial"/>
          <w:i/>
          <w:sz w:val="20"/>
          <w:szCs w:val="20"/>
        </w:rPr>
        <w:t>cancellation fees</w:t>
      </w:r>
      <w:r w:rsidRPr="008A60DC">
        <w:rPr>
          <w:rFonts w:cs="Arial"/>
          <w:sz w:val="20"/>
          <w:szCs w:val="20"/>
        </w:rPr>
        <w:t xml:space="preserve"> for the Shared Data Plan, however if </w:t>
      </w:r>
      <w:r w:rsidRPr="008A60DC">
        <w:rPr>
          <w:rFonts w:cs="Arial"/>
          <w:i/>
          <w:sz w:val="20"/>
          <w:szCs w:val="20"/>
        </w:rPr>
        <w:t>you</w:t>
      </w:r>
      <w:r w:rsidRPr="008A60DC">
        <w:rPr>
          <w:rFonts w:cs="Arial"/>
          <w:sz w:val="20"/>
          <w:szCs w:val="20"/>
        </w:rPr>
        <w:t xml:space="preserve"> purchased a </w:t>
      </w:r>
      <w:r w:rsidRPr="008A60DC">
        <w:rPr>
          <w:rFonts w:cs="Arial"/>
          <w:i/>
          <w:sz w:val="20"/>
          <w:szCs w:val="20"/>
        </w:rPr>
        <w:t>device</w:t>
      </w:r>
      <w:r w:rsidRPr="008A60DC">
        <w:rPr>
          <w:rFonts w:cs="Arial"/>
          <w:sz w:val="20"/>
          <w:szCs w:val="20"/>
        </w:rPr>
        <w:t xml:space="preserve"> </w:t>
      </w:r>
      <w:r w:rsidRPr="008A60DC">
        <w:rPr>
          <w:rFonts w:cs="Arial"/>
          <w:i/>
          <w:sz w:val="20"/>
          <w:szCs w:val="20"/>
        </w:rPr>
        <w:t>you</w:t>
      </w:r>
      <w:r w:rsidRPr="008A60DC">
        <w:rPr>
          <w:rFonts w:cs="Arial"/>
          <w:sz w:val="20"/>
          <w:szCs w:val="20"/>
        </w:rPr>
        <w:t xml:space="preserve"> need to pay the sum of any remaining </w:t>
      </w:r>
      <w:r w:rsidRPr="008A60DC">
        <w:rPr>
          <w:rFonts w:cs="Arial"/>
          <w:i/>
          <w:sz w:val="20"/>
          <w:szCs w:val="20"/>
        </w:rPr>
        <w:t xml:space="preserve">equipment charges </w:t>
      </w:r>
      <w:r w:rsidRPr="008A60DC">
        <w:rPr>
          <w:rFonts w:cs="Arial"/>
          <w:sz w:val="20"/>
          <w:szCs w:val="20"/>
        </w:rPr>
        <w:t xml:space="preserve">owing on your device under the mobile equipment payment plan (see </w:t>
      </w:r>
      <w:hyperlink r:id="rId677" w:history="1">
        <w:r w:rsidRPr="008A60DC">
          <w:rPr>
            <w:rFonts w:cs="Arial"/>
            <w:sz w:val="20"/>
            <w:szCs w:val="20"/>
          </w:rPr>
          <w:t>Appendix D).</w:t>
        </w:r>
      </w:hyperlink>
    </w:p>
    <w:p w14:paraId="3EFA1F80" w14:textId="77777777" w:rsidR="00AB1B6A" w:rsidRPr="008A60DC" w:rsidRDefault="00AB1B6A" w:rsidP="00972274">
      <w:pPr>
        <w:numPr>
          <w:ilvl w:val="2"/>
          <w:numId w:val="65"/>
        </w:numPr>
        <w:tabs>
          <w:tab w:val="clear" w:pos="2127"/>
          <w:tab w:val="num" w:pos="1448"/>
          <w:tab w:val="left" w:pos="1701"/>
        </w:tabs>
        <w:spacing w:before="240" w:after="120"/>
        <w:ind w:left="1448" w:hanging="738"/>
        <w:rPr>
          <w:rFonts w:cs="Arial"/>
          <w:sz w:val="20"/>
          <w:szCs w:val="20"/>
        </w:rPr>
      </w:pPr>
      <w:r w:rsidRPr="008A60DC">
        <w:rPr>
          <w:rFonts w:cs="Arial"/>
          <w:sz w:val="20"/>
          <w:szCs w:val="20"/>
        </w:rPr>
        <w:t xml:space="preserve">If </w:t>
      </w:r>
      <w:r w:rsidRPr="008A60DC">
        <w:rPr>
          <w:rFonts w:cs="Arial"/>
          <w:i/>
          <w:sz w:val="20"/>
          <w:szCs w:val="20"/>
        </w:rPr>
        <w:t xml:space="preserve">your </w:t>
      </w:r>
      <w:r w:rsidRPr="008A60DC">
        <w:rPr>
          <w:rFonts w:cs="Arial"/>
          <w:sz w:val="20"/>
          <w:szCs w:val="20"/>
        </w:rPr>
        <w:t xml:space="preserve">Shared Data Plan is not </w:t>
      </w:r>
      <w:r w:rsidRPr="008A60DC">
        <w:rPr>
          <w:rFonts w:cs="Arial"/>
          <w:i/>
          <w:sz w:val="20"/>
          <w:szCs w:val="20"/>
        </w:rPr>
        <w:t>cancelled</w:t>
      </w:r>
      <w:r w:rsidRPr="008A60DC">
        <w:rPr>
          <w:rFonts w:cs="Arial"/>
          <w:sz w:val="20"/>
          <w:szCs w:val="20"/>
        </w:rPr>
        <w:t xml:space="preserve">, </w:t>
      </w:r>
      <w:r w:rsidRPr="008A60DC">
        <w:rPr>
          <w:rFonts w:cs="Arial"/>
          <w:i/>
          <w:sz w:val="20"/>
          <w:szCs w:val="20"/>
        </w:rPr>
        <w:t>you</w:t>
      </w:r>
      <w:r w:rsidRPr="008A60DC">
        <w:rPr>
          <w:rFonts w:cs="Arial"/>
          <w:sz w:val="20"/>
          <w:szCs w:val="20"/>
        </w:rPr>
        <w:t xml:space="preserve"> will be charged $10 per 1GB within Australia, up to a maximum of 150GB (per account) in a billing month. Your service/s may then be restricted or we may continue to charge you at these rates.</w:t>
      </w:r>
    </w:p>
    <w:p w14:paraId="1C974499" w14:textId="77777777" w:rsidR="00AB1B6A" w:rsidRDefault="00AB1B6A" w:rsidP="00AB1B6A">
      <w:pPr>
        <w:pStyle w:val="BodyText"/>
      </w:pPr>
    </w:p>
    <w:p w14:paraId="722F65EA" w14:textId="77777777" w:rsidR="00523659" w:rsidRPr="00145D34" w:rsidRDefault="00523659" w:rsidP="00523659">
      <w:pPr>
        <w:pStyle w:val="Heading4"/>
        <w:rPr>
          <w:lang w:val="en-AU"/>
        </w:rPr>
      </w:pPr>
      <w:bookmarkStart w:id="1380" w:name="_Toc470182660"/>
      <w:bookmarkStart w:id="1381" w:name="_Toc62644675"/>
      <w:r w:rsidRPr="00145D34">
        <w:rPr>
          <w:lang w:val="en-AU"/>
        </w:rPr>
        <w:t>SAMSUNG GALAXY S7 – PROMOTION</w:t>
      </w:r>
      <w:bookmarkEnd w:id="1380"/>
      <w:bookmarkEnd w:id="1381"/>
      <w:r w:rsidRPr="00145D34">
        <w:rPr>
          <w:lang w:val="en-AU"/>
        </w:rPr>
        <w:t xml:space="preserve"> </w:t>
      </w:r>
    </w:p>
    <w:p w14:paraId="1F65B506" w14:textId="77777777" w:rsidR="00523659" w:rsidRPr="00145D34" w:rsidRDefault="00523659" w:rsidP="00523659">
      <w:pPr>
        <w:pStyle w:val="BodyText"/>
        <w:ind w:left="720"/>
        <w:rPr>
          <w:lang w:val="en-AU"/>
        </w:rPr>
      </w:pPr>
      <w:r w:rsidRPr="00145D34">
        <w:rPr>
          <w:lang w:val="en-AU"/>
        </w:rPr>
        <w:t>This section relates to a promotion offered to new and re-contracting customers between</w:t>
      </w:r>
      <w:r>
        <w:rPr>
          <w:lang w:val="en-AU"/>
        </w:rPr>
        <w:t xml:space="preserve"> </w:t>
      </w:r>
      <w:r w:rsidRPr="00145D34">
        <w:rPr>
          <w:lang w:val="en-AU"/>
        </w:rPr>
        <w:t xml:space="preserve">5 September 2016 to 30 September 2016. </w:t>
      </w:r>
    </w:p>
    <w:p w14:paraId="1BDE7A21" w14:textId="77777777" w:rsidR="00523659" w:rsidRPr="00F271B8" w:rsidRDefault="00523659" w:rsidP="00523659">
      <w:pPr>
        <w:pStyle w:val="BodyText"/>
        <w:ind w:left="720"/>
        <w:rPr>
          <w:lang w:val="en-AU"/>
        </w:rPr>
      </w:pPr>
      <w:r w:rsidRPr="00145D34">
        <w:rPr>
          <w:lang w:val="en-AU"/>
        </w:rPr>
        <w:t>If you sign up or recontract to the $90 My Plan Business with Plan ID 800491 with a Samsung Galaxy S7 between 5 September 2016 and 30 September 2016, you will receive a $20 discount off your monthly plan fee for 24 months. This discount will be applied as a monthly billing credit on your bill. After 24 months, you will be charged $90 per month. Credit cannot be transferred or redeemed for cash. Credit will be forfeited if you cancel your service, take advantage of our New Phone Trade Up offer or change to a different rate plan.</w:t>
      </w:r>
    </w:p>
    <w:p w14:paraId="40FFFA63" w14:textId="77777777" w:rsidR="00523659" w:rsidRDefault="00523659" w:rsidP="00523659">
      <w:pPr>
        <w:pStyle w:val="BodyText"/>
      </w:pPr>
    </w:p>
    <w:p w14:paraId="37357CDC" w14:textId="77777777" w:rsidR="00523659" w:rsidRPr="005256DC" w:rsidRDefault="00523659" w:rsidP="00523659">
      <w:pPr>
        <w:pStyle w:val="Heading4"/>
        <w:rPr>
          <w:lang w:val="en-AU"/>
        </w:rPr>
      </w:pPr>
      <w:bookmarkStart w:id="1382" w:name="_Toc470182734"/>
      <w:bookmarkStart w:id="1383" w:name="_Toc62644676"/>
      <w:r w:rsidRPr="005256DC">
        <w:rPr>
          <w:lang w:val="en-AU"/>
        </w:rPr>
        <w:t>Optus Sport Promotion</w:t>
      </w:r>
      <w:bookmarkEnd w:id="1382"/>
      <w:bookmarkEnd w:id="1383"/>
      <w:r w:rsidRPr="005256DC">
        <w:rPr>
          <w:lang w:val="en-AU"/>
        </w:rPr>
        <w:t xml:space="preserve"> </w:t>
      </w:r>
    </w:p>
    <w:p w14:paraId="1A03D60C" w14:textId="77777777" w:rsidR="00523659" w:rsidRDefault="00523659" w:rsidP="00523659">
      <w:pPr>
        <w:pStyle w:val="BodyText"/>
        <w:ind w:left="709"/>
        <w:rPr>
          <w:iCs/>
        </w:rPr>
      </w:pPr>
      <w:r w:rsidRPr="008A551D">
        <w:rPr>
          <w:iCs/>
        </w:rPr>
        <w:t xml:space="preserve">This section relates to a promotion offered to </w:t>
      </w:r>
      <w:r>
        <w:rPr>
          <w:iCs/>
        </w:rPr>
        <w:t>New SMB Optus Sport Subscribers from</w:t>
      </w:r>
      <w:r w:rsidRPr="008A551D">
        <w:rPr>
          <w:iCs/>
        </w:rPr>
        <w:t xml:space="preserve"> 5 </w:t>
      </w:r>
      <w:r>
        <w:rPr>
          <w:iCs/>
        </w:rPr>
        <w:t>December</w:t>
      </w:r>
      <w:r w:rsidRPr="008A551D">
        <w:rPr>
          <w:iCs/>
        </w:rPr>
        <w:t xml:space="preserve"> 2016 to </w:t>
      </w:r>
      <w:r>
        <w:rPr>
          <w:iCs/>
        </w:rPr>
        <w:t>15</w:t>
      </w:r>
      <w:r w:rsidRPr="008A551D">
        <w:rPr>
          <w:iCs/>
        </w:rPr>
        <w:t xml:space="preserve"> </w:t>
      </w:r>
      <w:r>
        <w:rPr>
          <w:iCs/>
        </w:rPr>
        <w:t>January</w:t>
      </w:r>
      <w:r w:rsidRPr="008A551D">
        <w:rPr>
          <w:iCs/>
        </w:rPr>
        <w:t xml:space="preserve"> 201</w:t>
      </w:r>
      <w:r>
        <w:rPr>
          <w:iCs/>
        </w:rPr>
        <w:t>7</w:t>
      </w:r>
      <w:r w:rsidRPr="008A551D">
        <w:rPr>
          <w:iCs/>
        </w:rPr>
        <w:t xml:space="preserve">. </w:t>
      </w:r>
    </w:p>
    <w:p w14:paraId="203740D6" w14:textId="77777777" w:rsidR="00523659" w:rsidRDefault="00523659" w:rsidP="00523659">
      <w:pPr>
        <w:pStyle w:val="BodyText"/>
        <w:ind w:left="709"/>
      </w:pPr>
      <w:r>
        <w:t xml:space="preserve">If you are on one of the below plans </w:t>
      </w:r>
      <w:r w:rsidRPr="000970C1">
        <w:t>and subscribe to Optus Sport from</w:t>
      </w:r>
      <w:r w:rsidRPr="0029602F">
        <w:t xml:space="preserve"> 5 December 2016 to 15 January</w:t>
      </w:r>
      <w:r w:rsidRPr="00C05815">
        <w:t xml:space="preserve"> 2017, you will receive Optus Sport for no additional cost until 30 July 2017 (usual</w:t>
      </w:r>
      <w:r w:rsidRPr="00B55B70">
        <w:t xml:space="preserve">ly $15/mth).  </w:t>
      </w:r>
    </w:p>
    <w:p w14:paraId="02BF073F" w14:textId="77777777" w:rsidR="00523659" w:rsidRPr="00C11365" w:rsidRDefault="00523659" w:rsidP="00523659">
      <w:pPr>
        <w:pStyle w:val="BodyText"/>
        <w:ind w:left="709"/>
      </w:pPr>
      <w:r>
        <w:t xml:space="preserve">If you are on a </w:t>
      </w:r>
      <w:r w:rsidRPr="000970C1">
        <w:t xml:space="preserve">My Plan </w:t>
      </w:r>
      <w:r>
        <w:t xml:space="preserve">Business </w:t>
      </w:r>
      <w:r w:rsidRPr="000970C1">
        <w:t>from 1 July 2013 (excluding Essentials plans)</w:t>
      </w:r>
      <w:r>
        <w:t xml:space="preserve"> you will also be entitled to this offer.</w:t>
      </w:r>
    </w:p>
    <w:tbl>
      <w:tblPr>
        <w:tblpPr w:leftFromText="180" w:rightFromText="180" w:vertAnchor="text" w:horzAnchor="margin" w:tblpY="113"/>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8080"/>
      </w:tblGrid>
      <w:tr w:rsidR="00523659" w:rsidRPr="006D2888" w14:paraId="6630A23F" w14:textId="77777777" w:rsidTr="00523659">
        <w:tc>
          <w:tcPr>
            <w:tcW w:w="2376" w:type="dxa"/>
            <w:shd w:val="clear" w:color="auto" w:fill="auto"/>
          </w:tcPr>
          <w:p w14:paraId="7585A385" w14:textId="77777777" w:rsidR="00523659" w:rsidRPr="006D2888" w:rsidRDefault="00523659" w:rsidP="00523659">
            <w:pPr>
              <w:pStyle w:val="BodyText"/>
              <w:rPr>
                <w:b/>
                <w:iCs/>
              </w:rPr>
            </w:pPr>
            <w:r>
              <w:rPr>
                <w:b/>
                <w:iCs/>
              </w:rPr>
              <w:t xml:space="preserve">Plan ID </w:t>
            </w:r>
          </w:p>
        </w:tc>
        <w:tc>
          <w:tcPr>
            <w:tcW w:w="8080" w:type="dxa"/>
            <w:shd w:val="clear" w:color="auto" w:fill="auto"/>
          </w:tcPr>
          <w:p w14:paraId="22DF28E5" w14:textId="77777777" w:rsidR="00523659" w:rsidRPr="006D2888" w:rsidRDefault="00523659" w:rsidP="00523659">
            <w:pPr>
              <w:pStyle w:val="BodyText"/>
              <w:rPr>
                <w:b/>
                <w:iCs/>
              </w:rPr>
            </w:pPr>
            <w:r>
              <w:rPr>
                <w:b/>
                <w:iCs/>
              </w:rPr>
              <w:t xml:space="preserve">Name </w:t>
            </w:r>
          </w:p>
        </w:tc>
      </w:tr>
      <w:tr w:rsidR="00523659" w:rsidRPr="006D2888" w14:paraId="6DD0CD69" w14:textId="77777777" w:rsidTr="00523659">
        <w:tc>
          <w:tcPr>
            <w:tcW w:w="2376" w:type="dxa"/>
            <w:shd w:val="clear" w:color="auto" w:fill="auto"/>
          </w:tcPr>
          <w:p w14:paraId="72CD288B" w14:textId="77777777" w:rsidR="00523659" w:rsidRPr="006D2888" w:rsidRDefault="00523659" w:rsidP="00523659">
            <w:pPr>
              <w:pStyle w:val="BodyText"/>
              <w:rPr>
                <w:iCs/>
              </w:rPr>
            </w:pPr>
            <w:r>
              <w:t>800554</w:t>
            </w:r>
          </w:p>
        </w:tc>
        <w:tc>
          <w:tcPr>
            <w:tcW w:w="8080" w:type="dxa"/>
            <w:shd w:val="clear" w:color="auto" w:fill="auto"/>
          </w:tcPr>
          <w:p w14:paraId="43995EA6" w14:textId="77777777" w:rsidR="00523659" w:rsidRPr="00523659" w:rsidRDefault="007569EB" w:rsidP="00523659">
            <w:pPr>
              <w:pStyle w:val="BodyText"/>
              <w:rPr>
                <w:iCs/>
              </w:rPr>
            </w:pPr>
            <w:hyperlink r:id="rId678" w:tgtFrame="_blank" w:tooltip="$45 My Plan Business (Sept 16)" w:history="1">
              <w:r w:rsidR="00523659" w:rsidRPr="00523659">
                <w:rPr>
                  <w:rStyle w:val="Hyperlink"/>
                  <w:rFonts w:cs="Arial"/>
                  <w:color w:val="auto"/>
                  <w:szCs w:val="18"/>
                  <w:bdr w:val="none" w:sz="0" w:space="0" w:color="auto" w:frame="1"/>
                  <w:shd w:val="clear" w:color="auto" w:fill="FFFFFF"/>
                </w:rPr>
                <w:t>$45 My Plan Business (Sept 16)</w:t>
              </w:r>
            </w:hyperlink>
          </w:p>
        </w:tc>
      </w:tr>
      <w:tr w:rsidR="00523659" w:rsidRPr="006D2888" w14:paraId="6C5731B4" w14:textId="77777777" w:rsidTr="00523659">
        <w:tc>
          <w:tcPr>
            <w:tcW w:w="2376" w:type="dxa"/>
            <w:shd w:val="clear" w:color="auto" w:fill="auto"/>
          </w:tcPr>
          <w:p w14:paraId="7E651D71" w14:textId="77777777" w:rsidR="00523659" w:rsidRDefault="00523659" w:rsidP="00523659">
            <w:pPr>
              <w:pStyle w:val="BodyText"/>
            </w:pPr>
            <w:r>
              <w:lastRenderedPageBreak/>
              <w:t>800555</w:t>
            </w:r>
          </w:p>
        </w:tc>
        <w:tc>
          <w:tcPr>
            <w:tcW w:w="8080" w:type="dxa"/>
            <w:shd w:val="clear" w:color="auto" w:fill="auto"/>
          </w:tcPr>
          <w:p w14:paraId="08277243" w14:textId="77777777" w:rsidR="00523659" w:rsidRPr="00523659" w:rsidRDefault="007569EB" w:rsidP="00523659">
            <w:pPr>
              <w:pStyle w:val="BodyText"/>
            </w:pPr>
            <w:hyperlink r:id="rId679" w:tgtFrame="_blank" w:tooltip="$70 My Plan Business (Sept 16)" w:history="1">
              <w:r w:rsidR="00523659" w:rsidRPr="00523659">
                <w:rPr>
                  <w:rStyle w:val="Hyperlink"/>
                  <w:rFonts w:cs="Arial"/>
                  <w:color w:val="auto"/>
                  <w:szCs w:val="18"/>
                  <w:bdr w:val="none" w:sz="0" w:space="0" w:color="auto" w:frame="1"/>
                  <w:shd w:val="clear" w:color="auto" w:fill="E5E5E5"/>
                </w:rPr>
                <w:t>$70 My Plan Business (Sept 16)</w:t>
              </w:r>
            </w:hyperlink>
          </w:p>
        </w:tc>
      </w:tr>
      <w:tr w:rsidR="00523659" w:rsidRPr="006D2888" w14:paraId="5B9E6530" w14:textId="77777777" w:rsidTr="00523659">
        <w:tc>
          <w:tcPr>
            <w:tcW w:w="2376" w:type="dxa"/>
            <w:shd w:val="clear" w:color="auto" w:fill="auto"/>
          </w:tcPr>
          <w:p w14:paraId="681ABD86" w14:textId="77777777" w:rsidR="00523659" w:rsidRDefault="00523659" w:rsidP="00523659">
            <w:pPr>
              <w:pStyle w:val="BodyText"/>
            </w:pPr>
            <w:r>
              <w:t>800528</w:t>
            </w:r>
          </w:p>
        </w:tc>
        <w:tc>
          <w:tcPr>
            <w:tcW w:w="8080" w:type="dxa"/>
            <w:shd w:val="clear" w:color="auto" w:fill="auto"/>
          </w:tcPr>
          <w:p w14:paraId="64E5B6B0" w14:textId="77777777" w:rsidR="00523659" w:rsidRPr="00523659" w:rsidRDefault="007569EB" w:rsidP="00523659">
            <w:pPr>
              <w:pStyle w:val="BodyText"/>
            </w:pPr>
            <w:hyperlink r:id="rId680" w:tgtFrame="_blank" w:tooltip="$45 My Plan Business (Sept 16 TF)" w:history="1">
              <w:r w:rsidR="00523659" w:rsidRPr="00523659">
                <w:rPr>
                  <w:rStyle w:val="Hyperlink"/>
                  <w:rFonts w:cs="Arial"/>
                  <w:color w:val="auto"/>
                  <w:szCs w:val="18"/>
                  <w:bdr w:val="none" w:sz="0" w:space="0" w:color="auto" w:frame="1"/>
                  <w:shd w:val="clear" w:color="auto" w:fill="E5E5E5"/>
                </w:rPr>
                <w:t>$45 My Plan Business (Sept 16 TF)</w:t>
              </w:r>
            </w:hyperlink>
          </w:p>
        </w:tc>
      </w:tr>
      <w:tr w:rsidR="00523659" w:rsidRPr="006D2888" w14:paraId="50397EC8" w14:textId="77777777" w:rsidTr="00523659">
        <w:tc>
          <w:tcPr>
            <w:tcW w:w="2376" w:type="dxa"/>
            <w:shd w:val="clear" w:color="auto" w:fill="auto"/>
          </w:tcPr>
          <w:p w14:paraId="669CC7D0" w14:textId="77777777" w:rsidR="00523659" w:rsidRDefault="00523659" w:rsidP="00523659">
            <w:pPr>
              <w:pStyle w:val="BodyText"/>
            </w:pPr>
            <w:r>
              <w:t>800529</w:t>
            </w:r>
          </w:p>
        </w:tc>
        <w:tc>
          <w:tcPr>
            <w:tcW w:w="8080" w:type="dxa"/>
            <w:shd w:val="clear" w:color="auto" w:fill="auto"/>
          </w:tcPr>
          <w:p w14:paraId="27AA6D8D" w14:textId="77777777" w:rsidR="00523659" w:rsidRPr="00523659" w:rsidRDefault="007569EB" w:rsidP="00523659">
            <w:pPr>
              <w:pStyle w:val="BodyText"/>
            </w:pPr>
            <w:hyperlink r:id="rId681" w:tgtFrame="_blank" w:tooltip="$70 My Plan Business (Sept 16 TF)" w:history="1">
              <w:r w:rsidR="00523659" w:rsidRPr="00523659">
                <w:rPr>
                  <w:rStyle w:val="Hyperlink"/>
                  <w:rFonts w:cs="Arial"/>
                  <w:color w:val="auto"/>
                  <w:szCs w:val="18"/>
                  <w:bdr w:val="none" w:sz="0" w:space="0" w:color="auto" w:frame="1"/>
                  <w:shd w:val="clear" w:color="auto" w:fill="FFFFFF"/>
                </w:rPr>
                <w:t>$70 My Plan Business (Sept 16 TF)</w:t>
              </w:r>
            </w:hyperlink>
          </w:p>
        </w:tc>
      </w:tr>
      <w:tr w:rsidR="00523659" w:rsidRPr="006D2888" w14:paraId="0380A655" w14:textId="77777777" w:rsidTr="00523659">
        <w:tc>
          <w:tcPr>
            <w:tcW w:w="2376" w:type="dxa"/>
            <w:shd w:val="clear" w:color="auto" w:fill="auto"/>
          </w:tcPr>
          <w:p w14:paraId="48C1A036" w14:textId="77777777" w:rsidR="00523659" w:rsidRDefault="00523659" w:rsidP="00523659">
            <w:pPr>
              <w:pStyle w:val="BodyText"/>
            </w:pPr>
            <w:r>
              <w:t>800426</w:t>
            </w:r>
          </w:p>
        </w:tc>
        <w:tc>
          <w:tcPr>
            <w:tcW w:w="8080" w:type="dxa"/>
            <w:shd w:val="clear" w:color="auto" w:fill="auto"/>
          </w:tcPr>
          <w:p w14:paraId="472C247D" w14:textId="77777777" w:rsidR="00523659" w:rsidRPr="00523659" w:rsidRDefault="007569EB" w:rsidP="00523659">
            <w:pPr>
              <w:pStyle w:val="BodyText"/>
            </w:pPr>
            <w:hyperlink r:id="rId682" w:tgtFrame="_blank" w:tooltip="$35 My Plan Business SIM (Business Sharing April 1.5GB)" w:history="1">
              <w:r w:rsidR="00523659" w:rsidRPr="00523659">
                <w:rPr>
                  <w:rStyle w:val="Hyperlink"/>
                  <w:rFonts w:cs="Arial"/>
                  <w:color w:val="auto"/>
                  <w:szCs w:val="18"/>
                  <w:bdr w:val="none" w:sz="0" w:space="0" w:color="auto" w:frame="1"/>
                  <w:shd w:val="clear" w:color="auto" w:fill="FFFFFF"/>
                </w:rPr>
                <w:t>$35 My Plan Business SIM (Business Sharing April 1.5GB)</w:t>
              </w:r>
            </w:hyperlink>
          </w:p>
        </w:tc>
      </w:tr>
      <w:tr w:rsidR="00523659" w:rsidRPr="006D2888" w14:paraId="6B0A5217" w14:textId="77777777" w:rsidTr="00523659">
        <w:tc>
          <w:tcPr>
            <w:tcW w:w="2376" w:type="dxa"/>
            <w:shd w:val="clear" w:color="auto" w:fill="auto"/>
          </w:tcPr>
          <w:p w14:paraId="7979B2F6" w14:textId="77777777" w:rsidR="00523659" w:rsidRDefault="00523659" w:rsidP="00523659">
            <w:pPr>
              <w:pStyle w:val="BodyText"/>
            </w:pPr>
            <w:r>
              <w:t>800427</w:t>
            </w:r>
          </w:p>
        </w:tc>
        <w:tc>
          <w:tcPr>
            <w:tcW w:w="8080" w:type="dxa"/>
            <w:shd w:val="clear" w:color="auto" w:fill="auto"/>
          </w:tcPr>
          <w:p w14:paraId="4CD38E63" w14:textId="77777777" w:rsidR="00523659" w:rsidRPr="00523659" w:rsidRDefault="007569EB" w:rsidP="00523659">
            <w:pPr>
              <w:pStyle w:val="BodyText"/>
            </w:pPr>
            <w:hyperlink r:id="rId683" w:tgtFrame="_blank" w:tooltip="$50 My Plan Business SIM (Business Sharing April 6GB)" w:history="1">
              <w:r w:rsidR="00523659" w:rsidRPr="00523659">
                <w:rPr>
                  <w:rStyle w:val="Hyperlink"/>
                  <w:rFonts w:cs="Arial"/>
                  <w:color w:val="auto"/>
                  <w:szCs w:val="18"/>
                  <w:bdr w:val="none" w:sz="0" w:space="0" w:color="auto" w:frame="1"/>
                  <w:shd w:val="clear" w:color="auto" w:fill="E5E5E5"/>
                </w:rPr>
                <w:t>$50 My Plan Business SIM (Business Sharing April 6GB)</w:t>
              </w:r>
            </w:hyperlink>
          </w:p>
        </w:tc>
      </w:tr>
      <w:tr w:rsidR="00523659" w:rsidRPr="006D2888" w14:paraId="419CA99E" w14:textId="77777777" w:rsidTr="00523659">
        <w:tc>
          <w:tcPr>
            <w:tcW w:w="2376" w:type="dxa"/>
            <w:shd w:val="clear" w:color="auto" w:fill="auto"/>
          </w:tcPr>
          <w:p w14:paraId="05FC2C4D" w14:textId="77777777" w:rsidR="00523659" w:rsidRDefault="00523659" w:rsidP="00523659">
            <w:pPr>
              <w:pStyle w:val="BodyText"/>
            </w:pPr>
            <w:r>
              <w:t>800428</w:t>
            </w:r>
          </w:p>
        </w:tc>
        <w:tc>
          <w:tcPr>
            <w:tcW w:w="8080" w:type="dxa"/>
            <w:shd w:val="clear" w:color="auto" w:fill="auto"/>
          </w:tcPr>
          <w:p w14:paraId="363C47D6" w14:textId="77777777" w:rsidR="00523659" w:rsidRPr="00523659" w:rsidRDefault="007569EB" w:rsidP="00523659">
            <w:pPr>
              <w:pStyle w:val="BodyText"/>
            </w:pPr>
            <w:hyperlink r:id="rId684" w:tgtFrame="_blank" w:tooltip="$60 My Plan Business SIM (Business Sharing April 9GB)" w:history="1">
              <w:r w:rsidR="00523659" w:rsidRPr="00523659">
                <w:rPr>
                  <w:rStyle w:val="Hyperlink"/>
                  <w:rFonts w:cs="Arial"/>
                  <w:color w:val="auto"/>
                  <w:szCs w:val="18"/>
                  <w:bdr w:val="none" w:sz="0" w:space="0" w:color="auto" w:frame="1"/>
                  <w:shd w:val="clear" w:color="auto" w:fill="FFFFFF"/>
                </w:rPr>
                <w:t>$60 My Plan Business SIM (Business Sharing April 9GB)</w:t>
              </w:r>
            </w:hyperlink>
          </w:p>
        </w:tc>
      </w:tr>
      <w:tr w:rsidR="00523659" w:rsidRPr="006D2888" w14:paraId="4B1E016E" w14:textId="77777777" w:rsidTr="00523659">
        <w:tc>
          <w:tcPr>
            <w:tcW w:w="2376" w:type="dxa"/>
            <w:shd w:val="clear" w:color="auto" w:fill="auto"/>
          </w:tcPr>
          <w:p w14:paraId="3223FA2D" w14:textId="77777777" w:rsidR="00523659" w:rsidRDefault="00523659" w:rsidP="00523659">
            <w:pPr>
              <w:pStyle w:val="BodyText"/>
            </w:pPr>
            <w:r>
              <w:t>800533</w:t>
            </w:r>
          </w:p>
        </w:tc>
        <w:tc>
          <w:tcPr>
            <w:tcW w:w="8080" w:type="dxa"/>
            <w:shd w:val="clear" w:color="auto" w:fill="auto"/>
          </w:tcPr>
          <w:p w14:paraId="294159C7" w14:textId="77777777" w:rsidR="00523659" w:rsidRPr="00523659" w:rsidRDefault="007569EB" w:rsidP="00523659">
            <w:pPr>
              <w:pStyle w:val="BodyText"/>
            </w:pPr>
            <w:hyperlink r:id="rId685" w:tgtFrame="_blank" w:tooltip="$30 My Plan Business Tech Fund (Oct 16)" w:history="1">
              <w:r w:rsidR="00523659" w:rsidRPr="00523659">
                <w:rPr>
                  <w:rStyle w:val="Hyperlink"/>
                  <w:rFonts w:cs="Arial"/>
                  <w:color w:val="auto"/>
                  <w:szCs w:val="18"/>
                  <w:bdr w:val="none" w:sz="0" w:space="0" w:color="auto" w:frame="1"/>
                  <w:shd w:val="clear" w:color="auto" w:fill="FFFFFF"/>
                </w:rPr>
                <w:t>$30 My Plan Business Tech Fund (Oct 16)</w:t>
              </w:r>
            </w:hyperlink>
          </w:p>
        </w:tc>
      </w:tr>
      <w:tr w:rsidR="00523659" w:rsidRPr="006D2888" w14:paraId="52DD1213" w14:textId="77777777" w:rsidTr="00523659">
        <w:tc>
          <w:tcPr>
            <w:tcW w:w="2376" w:type="dxa"/>
            <w:shd w:val="clear" w:color="auto" w:fill="auto"/>
          </w:tcPr>
          <w:p w14:paraId="5929C681" w14:textId="77777777" w:rsidR="00523659" w:rsidRDefault="00523659" w:rsidP="00523659">
            <w:pPr>
              <w:pStyle w:val="BodyText"/>
            </w:pPr>
            <w:r>
              <w:t>800577</w:t>
            </w:r>
          </w:p>
        </w:tc>
        <w:tc>
          <w:tcPr>
            <w:tcW w:w="8080" w:type="dxa"/>
            <w:shd w:val="clear" w:color="auto" w:fill="auto"/>
          </w:tcPr>
          <w:p w14:paraId="32B13222" w14:textId="77777777" w:rsidR="00523659" w:rsidRPr="00523659" w:rsidRDefault="007569EB" w:rsidP="00523659">
            <w:pPr>
              <w:pStyle w:val="BodyText"/>
            </w:pPr>
            <w:hyperlink r:id="rId686" w:tgtFrame="_blank" w:tooltip="$70 My Plan Business (Nov 8GB)" w:history="1">
              <w:r w:rsidR="00523659" w:rsidRPr="00523659">
                <w:rPr>
                  <w:rStyle w:val="Hyperlink"/>
                  <w:rFonts w:cs="Arial"/>
                  <w:color w:val="auto"/>
                  <w:szCs w:val="18"/>
                  <w:bdr w:val="none" w:sz="0" w:space="0" w:color="auto" w:frame="1"/>
                  <w:shd w:val="clear" w:color="auto" w:fill="E5E5E5"/>
                </w:rPr>
                <w:t>$70 My Plan Business (Nov 8GB)</w:t>
              </w:r>
            </w:hyperlink>
          </w:p>
        </w:tc>
      </w:tr>
      <w:tr w:rsidR="00523659" w:rsidRPr="006D2888" w14:paraId="7DA9C52E" w14:textId="77777777" w:rsidTr="00523659">
        <w:tc>
          <w:tcPr>
            <w:tcW w:w="2376" w:type="dxa"/>
            <w:shd w:val="clear" w:color="auto" w:fill="auto"/>
          </w:tcPr>
          <w:p w14:paraId="060B46EF" w14:textId="77777777" w:rsidR="00523659" w:rsidRDefault="00523659" w:rsidP="00523659">
            <w:pPr>
              <w:pStyle w:val="BodyText"/>
            </w:pPr>
            <w:r>
              <w:t>800429</w:t>
            </w:r>
          </w:p>
        </w:tc>
        <w:tc>
          <w:tcPr>
            <w:tcW w:w="8080" w:type="dxa"/>
            <w:shd w:val="clear" w:color="auto" w:fill="auto"/>
          </w:tcPr>
          <w:p w14:paraId="79AD051B" w14:textId="77777777" w:rsidR="00523659" w:rsidRPr="00523659" w:rsidRDefault="007569EB" w:rsidP="00523659">
            <w:pPr>
              <w:pStyle w:val="BodyText"/>
            </w:pPr>
            <w:hyperlink r:id="rId687" w:tgtFrame="_blank" w:tooltip="$30 My Plan Business 12M SIM (April 16 1.5GB)" w:history="1">
              <w:r w:rsidR="00523659" w:rsidRPr="00523659">
                <w:rPr>
                  <w:rStyle w:val="Hyperlink"/>
                  <w:rFonts w:cs="Arial"/>
                  <w:color w:val="auto"/>
                  <w:szCs w:val="18"/>
                  <w:bdr w:val="none" w:sz="0" w:space="0" w:color="auto" w:frame="1"/>
                  <w:shd w:val="clear" w:color="auto" w:fill="FFFFFF"/>
                </w:rPr>
                <w:t>$30 My Plan Business 12M SIM (April 16 1.5GB)</w:t>
              </w:r>
            </w:hyperlink>
          </w:p>
        </w:tc>
      </w:tr>
      <w:tr w:rsidR="00523659" w:rsidRPr="006D2888" w14:paraId="221F8E04" w14:textId="77777777" w:rsidTr="00523659">
        <w:tc>
          <w:tcPr>
            <w:tcW w:w="2376" w:type="dxa"/>
            <w:shd w:val="clear" w:color="auto" w:fill="auto"/>
          </w:tcPr>
          <w:p w14:paraId="74FE76F6" w14:textId="77777777" w:rsidR="00523659" w:rsidRDefault="00523659" w:rsidP="00523659">
            <w:pPr>
              <w:pStyle w:val="BodyText"/>
            </w:pPr>
            <w:r>
              <w:t>800535</w:t>
            </w:r>
          </w:p>
        </w:tc>
        <w:tc>
          <w:tcPr>
            <w:tcW w:w="8080" w:type="dxa"/>
            <w:shd w:val="clear" w:color="auto" w:fill="auto"/>
          </w:tcPr>
          <w:p w14:paraId="6126A1F1" w14:textId="77777777" w:rsidR="00523659" w:rsidRPr="00523659" w:rsidRDefault="007569EB" w:rsidP="00523659">
            <w:pPr>
              <w:pStyle w:val="BodyText"/>
            </w:pPr>
            <w:hyperlink r:id="rId688" w:tgtFrame="_blank" w:tooltip="$40 My Plan Business 12M (Aug 8GB)" w:history="1">
              <w:r w:rsidR="00523659" w:rsidRPr="00523659">
                <w:rPr>
                  <w:rStyle w:val="Hyperlink"/>
                  <w:rFonts w:cs="Arial"/>
                  <w:color w:val="auto"/>
                  <w:szCs w:val="18"/>
                  <w:bdr w:val="none" w:sz="0" w:space="0" w:color="auto" w:frame="1"/>
                  <w:shd w:val="clear" w:color="auto" w:fill="E5E5E5"/>
                </w:rPr>
                <w:t>$40 My Plan Business 12M (Aug 8GB)</w:t>
              </w:r>
            </w:hyperlink>
          </w:p>
        </w:tc>
      </w:tr>
      <w:tr w:rsidR="00523659" w:rsidRPr="006D2888" w14:paraId="1A17C6E7" w14:textId="77777777" w:rsidTr="00523659">
        <w:tc>
          <w:tcPr>
            <w:tcW w:w="2376" w:type="dxa"/>
            <w:shd w:val="clear" w:color="auto" w:fill="auto"/>
          </w:tcPr>
          <w:p w14:paraId="2F9805C6" w14:textId="77777777" w:rsidR="00523659" w:rsidRDefault="00523659" w:rsidP="00523659">
            <w:pPr>
              <w:pStyle w:val="BodyText"/>
            </w:pPr>
            <w:r>
              <w:t>800431</w:t>
            </w:r>
          </w:p>
        </w:tc>
        <w:tc>
          <w:tcPr>
            <w:tcW w:w="8080" w:type="dxa"/>
            <w:shd w:val="clear" w:color="auto" w:fill="auto"/>
          </w:tcPr>
          <w:p w14:paraId="762239FE" w14:textId="77777777" w:rsidR="00523659" w:rsidRPr="00523659" w:rsidRDefault="007569EB" w:rsidP="00523659">
            <w:pPr>
              <w:pStyle w:val="BodyText"/>
            </w:pPr>
            <w:hyperlink r:id="rId689" w:tgtFrame="_blank" w:tooltip="$50 My Plan Business 12M SIM (April 16 9GB)" w:history="1">
              <w:r w:rsidR="00523659" w:rsidRPr="00523659">
                <w:rPr>
                  <w:rStyle w:val="Hyperlink"/>
                  <w:rFonts w:cs="Arial"/>
                  <w:color w:val="auto"/>
                  <w:szCs w:val="18"/>
                  <w:bdr w:val="none" w:sz="0" w:space="0" w:color="auto" w:frame="1"/>
                  <w:shd w:val="clear" w:color="auto" w:fill="FFFFFF"/>
                </w:rPr>
                <w:t>$50 My Plan Business 12M SIM (April 16 9GB)</w:t>
              </w:r>
            </w:hyperlink>
          </w:p>
        </w:tc>
      </w:tr>
      <w:tr w:rsidR="00523659" w:rsidRPr="006D2888" w14:paraId="01B02E9F" w14:textId="77777777" w:rsidTr="00523659">
        <w:tc>
          <w:tcPr>
            <w:tcW w:w="2376" w:type="dxa"/>
            <w:shd w:val="clear" w:color="auto" w:fill="auto"/>
          </w:tcPr>
          <w:p w14:paraId="1D3648B0" w14:textId="77777777" w:rsidR="00523659" w:rsidRDefault="00523659" w:rsidP="00523659">
            <w:pPr>
              <w:pStyle w:val="BodyText"/>
            </w:pPr>
            <w:r>
              <w:t>800514</w:t>
            </w:r>
          </w:p>
        </w:tc>
        <w:tc>
          <w:tcPr>
            <w:tcW w:w="8080" w:type="dxa"/>
            <w:shd w:val="clear" w:color="auto" w:fill="auto"/>
          </w:tcPr>
          <w:p w14:paraId="468F4754" w14:textId="77777777" w:rsidR="00523659" w:rsidRPr="00523659" w:rsidRDefault="007569EB" w:rsidP="00523659">
            <w:pPr>
              <w:pStyle w:val="BodyText"/>
            </w:pPr>
            <w:hyperlink r:id="rId690" w:tgtFrame="_blank" w:tooltip="$50 My Plan Business 12M SIM (Aug 15GB)" w:history="1">
              <w:r w:rsidR="00523659" w:rsidRPr="00523659">
                <w:rPr>
                  <w:rStyle w:val="Hyperlink"/>
                  <w:rFonts w:cs="Arial"/>
                  <w:color w:val="auto"/>
                  <w:szCs w:val="18"/>
                  <w:bdr w:val="none" w:sz="0" w:space="0" w:color="auto" w:frame="1"/>
                  <w:shd w:val="clear" w:color="auto" w:fill="FFFFFF"/>
                </w:rPr>
                <w:t>$50 My Plan Business 12M SIM (Aug 15GB)</w:t>
              </w:r>
            </w:hyperlink>
          </w:p>
        </w:tc>
      </w:tr>
      <w:tr w:rsidR="00523659" w:rsidRPr="006D2888" w14:paraId="0C5150EA" w14:textId="77777777" w:rsidTr="00523659">
        <w:tc>
          <w:tcPr>
            <w:tcW w:w="2376" w:type="dxa"/>
            <w:shd w:val="clear" w:color="auto" w:fill="auto"/>
          </w:tcPr>
          <w:p w14:paraId="5EF939B7" w14:textId="77777777" w:rsidR="00523659" w:rsidRDefault="00523659" w:rsidP="00523659">
            <w:pPr>
              <w:pStyle w:val="BodyText"/>
            </w:pPr>
            <w:r>
              <w:t>800508</w:t>
            </w:r>
          </w:p>
        </w:tc>
        <w:tc>
          <w:tcPr>
            <w:tcW w:w="8080" w:type="dxa"/>
            <w:shd w:val="clear" w:color="auto" w:fill="auto"/>
          </w:tcPr>
          <w:p w14:paraId="1A2804EA" w14:textId="77777777" w:rsidR="00523659" w:rsidRPr="00523659" w:rsidRDefault="007569EB" w:rsidP="00523659">
            <w:pPr>
              <w:pStyle w:val="BodyText"/>
            </w:pPr>
            <w:hyperlink r:id="rId691" w:tgtFrame="_blank" w:tooltip="$40 My Plan Business 12M SIM (June 10GB)" w:history="1">
              <w:r w:rsidR="00523659" w:rsidRPr="00523659">
                <w:rPr>
                  <w:rStyle w:val="Hyperlink"/>
                  <w:rFonts w:cs="Arial"/>
                  <w:color w:val="auto"/>
                  <w:szCs w:val="18"/>
                  <w:bdr w:val="none" w:sz="0" w:space="0" w:color="auto" w:frame="1"/>
                  <w:shd w:val="clear" w:color="auto" w:fill="E5E5E5"/>
                </w:rPr>
                <w:t>$40 My Plan Business 12M SIM (June 10GB)</w:t>
              </w:r>
            </w:hyperlink>
          </w:p>
        </w:tc>
      </w:tr>
      <w:tr w:rsidR="00523659" w:rsidRPr="006D2888" w14:paraId="19465820" w14:textId="77777777" w:rsidTr="00523659">
        <w:tc>
          <w:tcPr>
            <w:tcW w:w="2376" w:type="dxa"/>
            <w:shd w:val="clear" w:color="auto" w:fill="auto"/>
          </w:tcPr>
          <w:p w14:paraId="2699D48F" w14:textId="77777777" w:rsidR="00523659" w:rsidRDefault="00523659" w:rsidP="00523659">
            <w:pPr>
              <w:pStyle w:val="BodyText"/>
            </w:pPr>
            <w:r>
              <w:t>800549</w:t>
            </w:r>
          </w:p>
        </w:tc>
        <w:tc>
          <w:tcPr>
            <w:tcW w:w="8080" w:type="dxa"/>
            <w:shd w:val="clear" w:color="auto" w:fill="auto"/>
          </w:tcPr>
          <w:p w14:paraId="767C4A96" w14:textId="77777777" w:rsidR="00523659" w:rsidRPr="00523659" w:rsidRDefault="007569EB" w:rsidP="00523659">
            <w:pPr>
              <w:pStyle w:val="BodyText"/>
            </w:pPr>
            <w:hyperlink r:id="rId692" w:tgtFrame="_blank" w:tooltip="$15 Mobile Broadband Business 2GB (Sept 16)" w:history="1">
              <w:r w:rsidR="00523659" w:rsidRPr="00523659">
                <w:rPr>
                  <w:rStyle w:val="Hyperlink"/>
                  <w:rFonts w:cs="Arial"/>
                  <w:color w:val="auto"/>
                  <w:szCs w:val="18"/>
                  <w:bdr w:val="none" w:sz="0" w:space="0" w:color="auto" w:frame="1"/>
                  <w:shd w:val="clear" w:color="auto" w:fill="FFFFFF"/>
                </w:rPr>
                <w:t>$15 Mobile Broadband Business 2GB (Sept 16)</w:t>
              </w:r>
            </w:hyperlink>
          </w:p>
        </w:tc>
      </w:tr>
      <w:tr w:rsidR="00523659" w:rsidRPr="006D2888" w14:paraId="1F0BD27E" w14:textId="77777777" w:rsidTr="00523659">
        <w:tc>
          <w:tcPr>
            <w:tcW w:w="2376" w:type="dxa"/>
            <w:shd w:val="clear" w:color="auto" w:fill="auto"/>
          </w:tcPr>
          <w:p w14:paraId="3AAF9260" w14:textId="77777777" w:rsidR="00523659" w:rsidRDefault="00523659" w:rsidP="00523659">
            <w:pPr>
              <w:pStyle w:val="BodyText"/>
            </w:pPr>
            <w:r>
              <w:t>800550</w:t>
            </w:r>
          </w:p>
        </w:tc>
        <w:tc>
          <w:tcPr>
            <w:tcW w:w="8080" w:type="dxa"/>
            <w:shd w:val="clear" w:color="auto" w:fill="auto"/>
          </w:tcPr>
          <w:p w14:paraId="7C8F430A" w14:textId="77777777" w:rsidR="00523659" w:rsidRPr="00523659" w:rsidRDefault="007569EB" w:rsidP="00523659">
            <w:pPr>
              <w:pStyle w:val="BodyText"/>
            </w:pPr>
            <w:hyperlink r:id="rId693" w:tgtFrame="_blank" w:tooltip="$25 Mobile Broadband Business 5GB (Sept 16)" w:history="1">
              <w:r w:rsidR="00523659" w:rsidRPr="00523659">
                <w:rPr>
                  <w:rStyle w:val="Hyperlink"/>
                  <w:rFonts w:cs="Arial"/>
                  <w:color w:val="auto"/>
                  <w:szCs w:val="18"/>
                  <w:bdr w:val="none" w:sz="0" w:space="0" w:color="auto" w:frame="1"/>
                  <w:shd w:val="clear" w:color="auto" w:fill="E5E5E5"/>
                </w:rPr>
                <w:t>$25 Mobile Broadband Business 5GB (Sept 16)</w:t>
              </w:r>
            </w:hyperlink>
          </w:p>
        </w:tc>
      </w:tr>
      <w:tr w:rsidR="00523659" w:rsidRPr="006D2888" w14:paraId="7A9DDBE8" w14:textId="77777777" w:rsidTr="00523659">
        <w:tc>
          <w:tcPr>
            <w:tcW w:w="2376" w:type="dxa"/>
            <w:shd w:val="clear" w:color="auto" w:fill="auto"/>
          </w:tcPr>
          <w:p w14:paraId="2396E8FE" w14:textId="77777777" w:rsidR="00523659" w:rsidRDefault="00523659" w:rsidP="00523659">
            <w:pPr>
              <w:pStyle w:val="BodyText"/>
            </w:pPr>
            <w:r>
              <w:t>800551</w:t>
            </w:r>
          </w:p>
        </w:tc>
        <w:tc>
          <w:tcPr>
            <w:tcW w:w="8080" w:type="dxa"/>
            <w:shd w:val="clear" w:color="auto" w:fill="auto"/>
          </w:tcPr>
          <w:p w14:paraId="6F751B1B" w14:textId="77777777" w:rsidR="00523659" w:rsidRPr="00523659" w:rsidRDefault="007569EB" w:rsidP="00523659">
            <w:pPr>
              <w:pStyle w:val="BodyText"/>
            </w:pPr>
            <w:hyperlink r:id="rId694" w:tgtFrame="_blank" w:tooltip="$35 Mobile Broadband Business 10GB (Sept 16)" w:history="1">
              <w:r w:rsidR="00523659" w:rsidRPr="00523659">
                <w:rPr>
                  <w:rStyle w:val="Hyperlink"/>
                  <w:rFonts w:cs="Arial"/>
                  <w:color w:val="auto"/>
                  <w:szCs w:val="18"/>
                  <w:bdr w:val="none" w:sz="0" w:space="0" w:color="auto" w:frame="1"/>
                  <w:shd w:val="clear" w:color="auto" w:fill="FFFFFF"/>
                </w:rPr>
                <w:t>$35 Mobile Broadband Business 10GB (Sept 16)</w:t>
              </w:r>
            </w:hyperlink>
          </w:p>
        </w:tc>
      </w:tr>
      <w:tr w:rsidR="00523659" w:rsidRPr="006D2888" w14:paraId="4BB2E6DA" w14:textId="77777777" w:rsidTr="00523659">
        <w:tc>
          <w:tcPr>
            <w:tcW w:w="2376" w:type="dxa"/>
            <w:shd w:val="clear" w:color="auto" w:fill="auto"/>
          </w:tcPr>
          <w:p w14:paraId="150A524A" w14:textId="77777777" w:rsidR="00523659" w:rsidRDefault="00523659" w:rsidP="00523659">
            <w:pPr>
              <w:pStyle w:val="BodyText"/>
            </w:pPr>
            <w:r>
              <w:t>800552</w:t>
            </w:r>
          </w:p>
        </w:tc>
        <w:tc>
          <w:tcPr>
            <w:tcW w:w="8080" w:type="dxa"/>
            <w:shd w:val="clear" w:color="auto" w:fill="auto"/>
          </w:tcPr>
          <w:p w14:paraId="48038FDD" w14:textId="77777777" w:rsidR="00523659" w:rsidRPr="00523659" w:rsidRDefault="007569EB" w:rsidP="00523659">
            <w:pPr>
              <w:pStyle w:val="BodyText"/>
            </w:pPr>
            <w:hyperlink r:id="rId695" w:tgtFrame="_blank" w:tooltip="$50 Mobile Broadband Business 25GB (Sept 16)" w:history="1">
              <w:r w:rsidR="00523659" w:rsidRPr="00523659">
                <w:rPr>
                  <w:rStyle w:val="Hyperlink"/>
                  <w:rFonts w:cs="Arial"/>
                  <w:color w:val="auto"/>
                  <w:szCs w:val="18"/>
                  <w:bdr w:val="none" w:sz="0" w:space="0" w:color="auto" w:frame="1"/>
                  <w:shd w:val="clear" w:color="auto" w:fill="E5E5E5"/>
                </w:rPr>
                <w:t>$50 Mobile Broadband Business 25GB (Sept 16)</w:t>
              </w:r>
            </w:hyperlink>
          </w:p>
        </w:tc>
      </w:tr>
    </w:tbl>
    <w:p w14:paraId="294F23AC" w14:textId="77777777" w:rsidR="00523659" w:rsidRDefault="00523659" w:rsidP="00523659">
      <w:pPr>
        <w:pStyle w:val="BodyText"/>
      </w:pPr>
    </w:p>
    <w:p w14:paraId="5C18353B" w14:textId="77777777" w:rsidR="00523659" w:rsidRDefault="00523659" w:rsidP="00523659">
      <w:pPr>
        <w:pStyle w:val="Heading4"/>
      </w:pPr>
      <w:bookmarkStart w:id="1384" w:name="_Toc470182735"/>
      <w:bookmarkStart w:id="1385" w:name="_Toc62644677"/>
      <w:r>
        <w:t>Fetch Mini Promotion</w:t>
      </w:r>
      <w:bookmarkEnd w:id="1384"/>
      <w:bookmarkEnd w:id="1385"/>
      <w:r>
        <w:t xml:space="preserve"> </w:t>
      </w:r>
    </w:p>
    <w:p w14:paraId="27BEF7AB" w14:textId="77777777" w:rsidR="00523659" w:rsidRDefault="00523659" w:rsidP="00523659">
      <w:pPr>
        <w:pStyle w:val="BodyText"/>
        <w:ind w:left="709"/>
        <w:rPr>
          <w:iCs/>
        </w:rPr>
      </w:pPr>
      <w:r>
        <w:rPr>
          <w:iCs/>
        </w:rPr>
        <w:t xml:space="preserve">This section relates to a promotion offered to new and re-contracting SMB customers between 5 December 2016 to 15 January 2017.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7"/>
        <w:gridCol w:w="7833"/>
      </w:tblGrid>
      <w:tr w:rsidR="00523659" w:rsidRPr="006D2888" w14:paraId="2F573591" w14:textId="77777777" w:rsidTr="00523659">
        <w:tc>
          <w:tcPr>
            <w:tcW w:w="2268" w:type="dxa"/>
            <w:shd w:val="clear" w:color="auto" w:fill="auto"/>
          </w:tcPr>
          <w:p w14:paraId="64302FCA" w14:textId="77777777" w:rsidR="00523659" w:rsidRPr="006D2888" w:rsidRDefault="00523659" w:rsidP="00523659">
            <w:pPr>
              <w:pStyle w:val="BodyText"/>
              <w:rPr>
                <w:b/>
                <w:iCs/>
              </w:rPr>
            </w:pPr>
            <w:r>
              <w:rPr>
                <w:b/>
                <w:iCs/>
              </w:rPr>
              <w:t xml:space="preserve">Plan ID </w:t>
            </w:r>
          </w:p>
        </w:tc>
        <w:tc>
          <w:tcPr>
            <w:tcW w:w="7938" w:type="dxa"/>
            <w:shd w:val="clear" w:color="auto" w:fill="auto"/>
          </w:tcPr>
          <w:p w14:paraId="27A63BF7" w14:textId="77777777" w:rsidR="00523659" w:rsidRPr="006D2888" w:rsidRDefault="00523659" w:rsidP="00523659">
            <w:pPr>
              <w:pStyle w:val="BodyText"/>
              <w:rPr>
                <w:b/>
                <w:iCs/>
              </w:rPr>
            </w:pPr>
            <w:r>
              <w:rPr>
                <w:b/>
                <w:iCs/>
              </w:rPr>
              <w:t xml:space="preserve">Name </w:t>
            </w:r>
          </w:p>
        </w:tc>
      </w:tr>
      <w:tr w:rsidR="00523659" w14:paraId="76859C33" w14:textId="77777777" w:rsidTr="00523659">
        <w:tc>
          <w:tcPr>
            <w:tcW w:w="2268" w:type="dxa"/>
            <w:shd w:val="clear" w:color="auto" w:fill="auto"/>
          </w:tcPr>
          <w:p w14:paraId="3FAED66A" w14:textId="77777777" w:rsidR="00523659" w:rsidRDefault="00523659" w:rsidP="00523659">
            <w:pPr>
              <w:pStyle w:val="BodyText"/>
            </w:pPr>
            <w:r>
              <w:t>800481</w:t>
            </w:r>
          </w:p>
        </w:tc>
        <w:tc>
          <w:tcPr>
            <w:tcW w:w="7938" w:type="dxa"/>
            <w:shd w:val="clear" w:color="auto" w:fill="auto"/>
          </w:tcPr>
          <w:p w14:paraId="31647913" w14:textId="77777777" w:rsidR="00523659" w:rsidRPr="00523659" w:rsidRDefault="007569EB" w:rsidP="00523659">
            <w:pPr>
              <w:pStyle w:val="BodyText"/>
            </w:pPr>
            <w:hyperlink r:id="rId696" w:tgtFrame="_blank" w:tooltip="$85 My Plan Plus (Trade Up Plan)" w:history="1">
              <w:r w:rsidR="00523659" w:rsidRPr="00523659">
                <w:rPr>
                  <w:rStyle w:val="Hyperlink"/>
                  <w:rFonts w:cs="Arial"/>
                  <w:color w:val="auto"/>
                  <w:szCs w:val="18"/>
                  <w:bdr w:val="none" w:sz="0" w:space="0" w:color="auto" w:frame="1"/>
                  <w:shd w:val="clear" w:color="auto" w:fill="FFFFFF"/>
                </w:rPr>
                <w:t>$85 My Plan Plus (Trade Up Plan)</w:t>
              </w:r>
            </w:hyperlink>
          </w:p>
        </w:tc>
      </w:tr>
      <w:tr w:rsidR="00523659" w14:paraId="3F87B329" w14:textId="77777777" w:rsidTr="00523659">
        <w:tc>
          <w:tcPr>
            <w:tcW w:w="2268" w:type="dxa"/>
            <w:shd w:val="clear" w:color="auto" w:fill="auto"/>
          </w:tcPr>
          <w:p w14:paraId="7EC6499C" w14:textId="77777777" w:rsidR="00523659" w:rsidRDefault="00523659" w:rsidP="00523659">
            <w:pPr>
              <w:pStyle w:val="BodyText"/>
            </w:pPr>
            <w:r>
              <w:t>800391</w:t>
            </w:r>
          </w:p>
        </w:tc>
        <w:tc>
          <w:tcPr>
            <w:tcW w:w="7938" w:type="dxa"/>
            <w:shd w:val="clear" w:color="auto" w:fill="auto"/>
          </w:tcPr>
          <w:p w14:paraId="1802D3E5" w14:textId="77777777" w:rsidR="00523659" w:rsidRPr="00523659" w:rsidRDefault="007569EB" w:rsidP="00523659">
            <w:pPr>
              <w:pStyle w:val="BodyText"/>
            </w:pPr>
            <w:hyperlink r:id="rId697" w:tgtFrame="_blank" w:tooltip="$100 My Plan Plus (Trade Up Plan)" w:history="1">
              <w:r w:rsidR="00523659" w:rsidRPr="00523659">
                <w:rPr>
                  <w:rStyle w:val="Hyperlink"/>
                  <w:rFonts w:cs="Arial"/>
                  <w:color w:val="auto"/>
                  <w:szCs w:val="18"/>
                  <w:bdr w:val="none" w:sz="0" w:space="0" w:color="auto" w:frame="1"/>
                  <w:shd w:val="clear" w:color="auto" w:fill="E5E5E5"/>
                </w:rPr>
                <w:t>$100 My Plan Plus (Trade Up Plan)</w:t>
              </w:r>
            </w:hyperlink>
          </w:p>
        </w:tc>
      </w:tr>
      <w:tr w:rsidR="00523659" w14:paraId="5DB18237" w14:textId="77777777" w:rsidTr="00523659">
        <w:tc>
          <w:tcPr>
            <w:tcW w:w="2268" w:type="dxa"/>
            <w:shd w:val="clear" w:color="auto" w:fill="auto"/>
          </w:tcPr>
          <w:p w14:paraId="53F103DC" w14:textId="77777777" w:rsidR="00523659" w:rsidRDefault="00523659" w:rsidP="00523659">
            <w:pPr>
              <w:pStyle w:val="BodyText"/>
            </w:pPr>
            <w:r>
              <w:t>800392</w:t>
            </w:r>
          </w:p>
        </w:tc>
        <w:tc>
          <w:tcPr>
            <w:tcW w:w="7938" w:type="dxa"/>
            <w:shd w:val="clear" w:color="auto" w:fill="auto"/>
          </w:tcPr>
          <w:p w14:paraId="602DF233" w14:textId="77777777" w:rsidR="00523659" w:rsidRPr="00523659" w:rsidRDefault="007569EB" w:rsidP="00523659">
            <w:pPr>
              <w:pStyle w:val="BodyText"/>
            </w:pPr>
            <w:hyperlink r:id="rId698" w:tgtFrame="_blank" w:tooltip="$120 My Plan Plus (Trade Up Plan)" w:history="1">
              <w:r w:rsidR="00523659" w:rsidRPr="00523659">
                <w:rPr>
                  <w:rStyle w:val="Hyperlink"/>
                  <w:rFonts w:cs="Arial"/>
                  <w:color w:val="auto"/>
                  <w:szCs w:val="18"/>
                  <w:bdr w:val="none" w:sz="0" w:space="0" w:color="auto" w:frame="1"/>
                  <w:shd w:val="clear" w:color="auto" w:fill="FFFFFF"/>
                </w:rPr>
                <w:t>$120 My Plan Plus (Trade Up Plan)</w:t>
              </w:r>
            </w:hyperlink>
          </w:p>
        </w:tc>
      </w:tr>
      <w:tr w:rsidR="00523659" w14:paraId="237FCB8B" w14:textId="77777777" w:rsidTr="00523659">
        <w:tc>
          <w:tcPr>
            <w:tcW w:w="2268" w:type="dxa"/>
            <w:shd w:val="clear" w:color="auto" w:fill="auto"/>
          </w:tcPr>
          <w:p w14:paraId="7DDD6333" w14:textId="77777777" w:rsidR="00523659" w:rsidRDefault="00523659" w:rsidP="00523659">
            <w:pPr>
              <w:pStyle w:val="BodyText"/>
            </w:pPr>
            <w:r>
              <w:t>800570</w:t>
            </w:r>
          </w:p>
        </w:tc>
        <w:tc>
          <w:tcPr>
            <w:tcW w:w="7938" w:type="dxa"/>
            <w:shd w:val="clear" w:color="auto" w:fill="auto"/>
          </w:tcPr>
          <w:p w14:paraId="313398F5" w14:textId="77777777" w:rsidR="00523659" w:rsidRPr="00523659" w:rsidRDefault="007569EB" w:rsidP="00523659">
            <w:pPr>
              <w:pStyle w:val="BodyText"/>
            </w:pPr>
            <w:hyperlink r:id="rId699" w:tgtFrame="_blank" w:tooltip="$85 My Plan Plus (Trade Up Plan 8GB)" w:history="1">
              <w:r w:rsidR="00523659" w:rsidRPr="00523659">
                <w:rPr>
                  <w:rStyle w:val="Hyperlink"/>
                  <w:rFonts w:cs="Arial"/>
                  <w:color w:val="auto"/>
                  <w:szCs w:val="18"/>
                  <w:bdr w:val="none" w:sz="0" w:space="0" w:color="auto" w:frame="1"/>
                  <w:shd w:val="clear" w:color="auto" w:fill="FFFFFF"/>
                </w:rPr>
                <w:t>$85 My Plan Plus (Trade Up Plan 8GB)</w:t>
              </w:r>
            </w:hyperlink>
          </w:p>
        </w:tc>
      </w:tr>
      <w:tr w:rsidR="00523659" w14:paraId="7D582F31" w14:textId="77777777" w:rsidTr="00523659">
        <w:tc>
          <w:tcPr>
            <w:tcW w:w="2268" w:type="dxa"/>
            <w:shd w:val="clear" w:color="auto" w:fill="auto"/>
          </w:tcPr>
          <w:p w14:paraId="78B0537B" w14:textId="77777777" w:rsidR="00523659" w:rsidRDefault="00523659" w:rsidP="00523659">
            <w:pPr>
              <w:pStyle w:val="BodyText"/>
            </w:pPr>
            <w:r>
              <w:t>800554</w:t>
            </w:r>
          </w:p>
        </w:tc>
        <w:tc>
          <w:tcPr>
            <w:tcW w:w="7938" w:type="dxa"/>
            <w:shd w:val="clear" w:color="auto" w:fill="auto"/>
          </w:tcPr>
          <w:p w14:paraId="1F7F9A89" w14:textId="77777777" w:rsidR="00523659" w:rsidRPr="00523659" w:rsidRDefault="007569EB" w:rsidP="00523659">
            <w:pPr>
              <w:pStyle w:val="BodyText"/>
            </w:pPr>
            <w:hyperlink r:id="rId700" w:tgtFrame="_blank" w:tooltip="$45 My Plan Business (Sept 16)" w:history="1">
              <w:r w:rsidR="00523659" w:rsidRPr="00523659">
                <w:rPr>
                  <w:rStyle w:val="Hyperlink"/>
                  <w:rFonts w:cs="Arial"/>
                  <w:color w:val="auto"/>
                  <w:szCs w:val="18"/>
                  <w:bdr w:val="none" w:sz="0" w:space="0" w:color="auto" w:frame="1"/>
                  <w:shd w:val="clear" w:color="auto" w:fill="FFFFFF"/>
                </w:rPr>
                <w:t>$45 My Plan Business (Sept 16)</w:t>
              </w:r>
            </w:hyperlink>
          </w:p>
        </w:tc>
      </w:tr>
      <w:tr w:rsidR="00523659" w14:paraId="40EC7B1A" w14:textId="77777777" w:rsidTr="00523659">
        <w:tc>
          <w:tcPr>
            <w:tcW w:w="2268" w:type="dxa"/>
            <w:shd w:val="clear" w:color="auto" w:fill="auto"/>
          </w:tcPr>
          <w:p w14:paraId="3B175832" w14:textId="77777777" w:rsidR="00523659" w:rsidRDefault="00523659" w:rsidP="00523659">
            <w:pPr>
              <w:pStyle w:val="BodyText"/>
            </w:pPr>
            <w:r>
              <w:t>800555</w:t>
            </w:r>
          </w:p>
        </w:tc>
        <w:tc>
          <w:tcPr>
            <w:tcW w:w="7938" w:type="dxa"/>
            <w:shd w:val="clear" w:color="auto" w:fill="auto"/>
          </w:tcPr>
          <w:p w14:paraId="099F5780" w14:textId="77777777" w:rsidR="00523659" w:rsidRPr="00523659" w:rsidRDefault="007569EB" w:rsidP="00523659">
            <w:pPr>
              <w:pStyle w:val="BodyText"/>
            </w:pPr>
            <w:hyperlink r:id="rId701" w:tgtFrame="_blank" w:tooltip="$70 My Plan Business (Sept 16)" w:history="1">
              <w:r w:rsidR="00523659" w:rsidRPr="00523659">
                <w:rPr>
                  <w:rStyle w:val="Hyperlink"/>
                  <w:rFonts w:cs="Arial"/>
                  <w:color w:val="auto"/>
                  <w:szCs w:val="18"/>
                  <w:bdr w:val="none" w:sz="0" w:space="0" w:color="auto" w:frame="1"/>
                  <w:shd w:val="clear" w:color="auto" w:fill="E5E5E5"/>
                </w:rPr>
                <w:t>$70 My Plan Business (Sept 16)</w:t>
              </w:r>
            </w:hyperlink>
          </w:p>
        </w:tc>
      </w:tr>
      <w:tr w:rsidR="00523659" w14:paraId="4409276A" w14:textId="77777777" w:rsidTr="00523659">
        <w:tc>
          <w:tcPr>
            <w:tcW w:w="2268" w:type="dxa"/>
            <w:shd w:val="clear" w:color="auto" w:fill="auto"/>
          </w:tcPr>
          <w:p w14:paraId="4B3B77BA" w14:textId="77777777" w:rsidR="00523659" w:rsidRDefault="00523659" w:rsidP="00523659">
            <w:pPr>
              <w:pStyle w:val="BodyText"/>
            </w:pPr>
            <w:r>
              <w:t>800528</w:t>
            </w:r>
          </w:p>
        </w:tc>
        <w:tc>
          <w:tcPr>
            <w:tcW w:w="7938" w:type="dxa"/>
            <w:shd w:val="clear" w:color="auto" w:fill="auto"/>
          </w:tcPr>
          <w:p w14:paraId="436CE7E5" w14:textId="77777777" w:rsidR="00523659" w:rsidRPr="00523659" w:rsidRDefault="007569EB" w:rsidP="00523659">
            <w:pPr>
              <w:pStyle w:val="BodyText"/>
            </w:pPr>
            <w:hyperlink r:id="rId702" w:tgtFrame="_blank" w:tooltip="$45 My Plan Business (Sept 16 TF)" w:history="1">
              <w:r w:rsidR="00523659" w:rsidRPr="00523659">
                <w:rPr>
                  <w:rStyle w:val="Hyperlink"/>
                  <w:rFonts w:cs="Arial"/>
                  <w:color w:val="auto"/>
                  <w:szCs w:val="18"/>
                  <w:bdr w:val="none" w:sz="0" w:space="0" w:color="auto" w:frame="1"/>
                  <w:shd w:val="clear" w:color="auto" w:fill="E5E5E5"/>
                </w:rPr>
                <w:t>$45 My Plan Business (Sept 16 TF)</w:t>
              </w:r>
            </w:hyperlink>
          </w:p>
        </w:tc>
      </w:tr>
      <w:tr w:rsidR="00523659" w14:paraId="495198CC" w14:textId="77777777" w:rsidTr="00523659">
        <w:tc>
          <w:tcPr>
            <w:tcW w:w="2268" w:type="dxa"/>
            <w:shd w:val="clear" w:color="auto" w:fill="auto"/>
          </w:tcPr>
          <w:p w14:paraId="2E39E493" w14:textId="77777777" w:rsidR="00523659" w:rsidRDefault="00523659" w:rsidP="00523659">
            <w:pPr>
              <w:pStyle w:val="BodyText"/>
            </w:pPr>
            <w:r>
              <w:t>800529</w:t>
            </w:r>
          </w:p>
        </w:tc>
        <w:tc>
          <w:tcPr>
            <w:tcW w:w="7938" w:type="dxa"/>
            <w:shd w:val="clear" w:color="auto" w:fill="auto"/>
          </w:tcPr>
          <w:p w14:paraId="7E02B7C9" w14:textId="77777777" w:rsidR="00523659" w:rsidRPr="00523659" w:rsidRDefault="007569EB" w:rsidP="00523659">
            <w:pPr>
              <w:pStyle w:val="BodyText"/>
            </w:pPr>
            <w:hyperlink r:id="rId703" w:tgtFrame="_blank" w:tooltip="$70 My Plan Business (Sept 16 TF)" w:history="1">
              <w:r w:rsidR="00523659" w:rsidRPr="00523659">
                <w:rPr>
                  <w:rStyle w:val="Hyperlink"/>
                  <w:rFonts w:cs="Arial"/>
                  <w:color w:val="auto"/>
                  <w:szCs w:val="18"/>
                  <w:bdr w:val="none" w:sz="0" w:space="0" w:color="auto" w:frame="1"/>
                  <w:shd w:val="clear" w:color="auto" w:fill="FFFFFF"/>
                </w:rPr>
                <w:t>$70 My Plan Business (Sept 16 TF)</w:t>
              </w:r>
            </w:hyperlink>
          </w:p>
        </w:tc>
      </w:tr>
      <w:tr w:rsidR="00523659" w14:paraId="0F92D2DD" w14:textId="77777777" w:rsidTr="00523659">
        <w:tc>
          <w:tcPr>
            <w:tcW w:w="2268" w:type="dxa"/>
            <w:shd w:val="clear" w:color="auto" w:fill="auto"/>
          </w:tcPr>
          <w:p w14:paraId="5A5FB0D6" w14:textId="77777777" w:rsidR="00523659" w:rsidRDefault="00523659" w:rsidP="00523659">
            <w:pPr>
              <w:pStyle w:val="BodyText"/>
            </w:pPr>
            <w:r>
              <w:t>800533</w:t>
            </w:r>
          </w:p>
        </w:tc>
        <w:tc>
          <w:tcPr>
            <w:tcW w:w="7938" w:type="dxa"/>
            <w:shd w:val="clear" w:color="auto" w:fill="auto"/>
          </w:tcPr>
          <w:p w14:paraId="240FDCB5" w14:textId="77777777" w:rsidR="00523659" w:rsidRPr="00523659" w:rsidRDefault="007569EB" w:rsidP="00523659">
            <w:pPr>
              <w:pStyle w:val="BodyText"/>
            </w:pPr>
            <w:hyperlink r:id="rId704" w:tgtFrame="_blank" w:tooltip="$30 My Plan Business Tech Fund (Oct 16)" w:history="1">
              <w:r w:rsidR="00523659" w:rsidRPr="00523659">
                <w:rPr>
                  <w:rStyle w:val="Hyperlink"/>
                  <w:rFonts w:cs="Arial"/>
                  <w:color w:val="auto"/>
                  <w:szCs w:val="18"/>
                  <w:bdr w:val="none" w:sz="0" w:space="0" w:color="auto" w:frame="1"/>
                  <w:shd w:val="clear" w:color="auto" w:fill="FFFFFF"/>
                </w:rPr>
                <w:t>$30 My Plan Business Tech Fund (Oct 16)</w:t>
              </w:r>
            </w:hyperlink>
          </w:p>
        </w:tc>
      </w:tr>
      <w:tr w:rsidR="00523659" w14:paraId="0B2C24E1" w14:textId="77777777" w:rsidTr="00523659">
        <w:tc>
          <w:tcPr>
            <w:tcW w:w="2268" w:type="dxa"/>
            <w:shd w:val="clear" w:color="auto" w:fill="auto"/>
          </w:tcPr>
          <w:p w14:paraId="0EB02A3A" w14:textId="77777777" w:rsidR="00523659" w:rsidRDefault="00523659" w:rsidP="00523659">
            <w:pPr>
              <w:pStyle w:val="BodyText"/>
            </w:pPr>
            <w:r>
              <w:t>800577</w:t>
            </w:r>
          </w:p>
        </w:tc>
        <w:tc>
          <w:tcPr>
            <w:tcW w:w="7938" w:type="dxa"/>
            <w:shd w:val="clear" w:color="auto" w:fill="auto"/>
          </w:tcPr>
          <w:p w14:paraId="1750A08E" w14:textId="77777777" w:rsidR="00523659" w:rsidRPr="00523659" w:rsidRDefault="007569EB" w:rsidP="00523659">
            <w:pPr>
              <w:pStyle w:val="BodyText"/>
            </w:pPr>
            <w:hyperlink r:id="rId705" w:tgtFrame="_blank" w:tooltip="$70 My Plan Business (Nov 8GB)" w:history="1">
              <w:r w:rsidR="00523659" w:rsidRPr="00523659">
                <w:rPr>
                  <w:rStyle w:val="Hyperlink"/>
                  <w:rFonts w:cs="Arial"/>
                  <w:color w:val="auto"/>
                  <w:szCs w:val="18"/>
                  <w:bdr w:val="none" w:sz="0" w:space="0" w:color="auto" w:frame="1"/>
                  <w:shd w:val="clear" w:color="auto" w:fill="E5E5E5"/>
                </w:rPr>
                <w:t>$70 My Plan Business (Nov 8GB)</w:t>
              </w:r>
            </w:hyperlink>
          </w:p>
        </w:tc>
      </w:tr>
      <w:tr w:rsidR="00523659" w14:paraId="416B4D7A" w14:textId="77777777" w:rsidTr="00523659">
        <w:tc>
          <w:tcPr>
            <w:tcW w:w="2268" w:type="dxa"/>
            <w:shd w:val="clear" w:color="auto" w:fill="auto"/>
          </w:tcPr>
          <w:p w14:paraId="378F958B" w14:textId="77777777" w:rsidR="00523659" w:rsidRDefault="00523659" w:rsidP="00523659">
            <w:pPr>
              <w:pStyle w:val="BodyText"/>
            </w:pPr>
            <w:r>
              <w:lastRenderedPageBreak/>
              <w:t>800304</w:t>
            </w:r>
          </w:p>
        </w:tc>
        <w:tc>
          <w:tcPr>
            <w:tcW w:w="7938" w:type="dxa"/>
            <w:shd w:val="clear" w:color="auto" w:fill="auto"/>
          </w:tcPr>
          <w:p w14:paraId="1A68CC1E" w14:textId="77777777" w:rsidR="00523659" w:rsidRPr="00523659" w:rsidRDefault="007569EB" w:rsidP="00523659">
            <w:pPr>
              <w:pStyle w:val="BodyText"/>
            </w:pPr>
            <w:hyperlink r:id="rId706" w:tgtFrame="_blank" w:tooltip="$30 My Plan Business Essentials - Promotion" w:history="1">
              <w:r w:rsidR="00523659" w:rsidRPr="00523659">
                <w:rPr>
                  <w:rStyle w:val="Hyperlink"/>
                  <w:rFonts w:cs="Arial"/>
                  <w:color w:val="auto"/>
                  <w:szCs w:val="18"/>
                  <w:bdr w:val="none" w:sz="0" w:space="0" w:color="auto" w:frame="1"/>
                </w:rPr>
                <w:t>$30 My Plan Business Essentials - Promotion</w:t>
              </w:r>
            </w:hyperlink>
          </w:p>
        </w:tc>
      </w:tr>
      <w:tr w:rsidR="00523659" w14:paraId="640D010A" w14:textId="77777777" w:rsidTr="00523659">
        <w:tc>
          <w:tcPr>
            <w:tcW w:w="2268" w:type="dxa"/>
            <w:shd w:val="clear" w:color="auto" w:fill="auto"/>
          </w:tcPr>
          <w:p w14:paraId="4C880C19" w14:textId="77777777" w:rsidR="00523659" w:rsidRDefault="00523659" w:rsidP="00523659">
            <w:pPr>
              <w:pStyle w:val="BodyText"/>
            </w:pPr>
            <w:r>
              <w:t>800436</w:t>
            </w:r>
          </w:p>
        </w:tc>
        <w:tc>
          <w:tcPr>
            <w:tcW w:w="7938" w:type="dxa"/>
            <w:shd w:val="clear" w:color="auto" w:fill="auto"/>
          </w:tcPr>
          <w:p w14:paraId="1A44FF90" w14:textId="77777777" w:rsidR="00523659" w:rsidRPr="00523659" w:rsidRDefault="007569EB" w:rsidP="00523659">
            <w:pPr>
              <w:pStyle w:val="BodyText"/>
              <w:rPr>
                <w:rFonts w:cs="Arial"/>
                <w:sz w:val="18"/>
                <w:szCs w:val="18"/>
              </w:rPr>
            </w:pPr>
            <w:hyperlink r:id="rId707" w:tgtFrame="_blank" w:tooltip="$30 My Plan Business TF Essentials - Promotion" w:history="1">
              <w:r w:rsidR="00523659" w:rsidRPr="00523659">
                <w:rPr>
                  <w:rStyle w:val="Hyperlink"/>
                  <w:rFonts w:cs="Arial"/>
                  <w:color w:val="auto"/>
                  <w:szCs w:val="18"/>
                  <w:bdr w:val="none" w:sz="0" w:space="0" w:color="auto" w:frame="1"/>
                  <w:shd w:val="clear" w:color="auto" w:fill="E5E5E5"/>
                </w:rPr>
                <w:t>$30 My Plan Business TF Essentials - Promotion</w:t>
              </w:r>
            </w:hyperlink>
          </w:p>
        </w:tc>
      </w:tr>
    </w:tbl>
    <w:p w14:paraId="61EDD2A5" w14:textId="77777777" w:rsidR="00523659" w:rsidRDefault="00523659" w:rsidP="00523659">
      <w:pPr>
        <w:pStyle w:val="BodyText"/>
        <w:rPr>
          <w:iCs/>
        </w:rPr>
      </w:pPr>
    </w:p>
    <w:p w14:paraId="7BB6E100" w14:textId="77777777" w:rsidR="00523659" w:rsidRDefault="00523659" w:rsidP="00523659">
      <w:pPr>
        <w:pStyle w:val="BodyText"/>
        <w:ind w:left="709"/>
      </w:pPr>
      <w:r>
        <w:t xml:space="preserve">If you sign up or re-contract to an $85 a month or above plan and add a Yes TV by Fetch Mini subscription, you will receive a $0/mth subscription on your Yes TV by Fetch Mini and $5/mth discount on all other plans for the life of your plan. Yes TV by Fetch Mini must be added with the 24M mobile plan at the point of purchase to receive the discount. Yes TV by Fetch Mini subscription is month-to-month with no lock in contract and is linked to an eligible My Plan Plus service. </w:t>
      </w:r>
    </w:p>
    <w:p w14:paraId="31E2ADC5" w14:textId="77777777" w:rsidR="00523659" w:rsidRDefault="00523659" w:rsidP="00523659">
      <w:pPr>
        <w:pStyle w:val="BodyText"/>
        <w:ind w:left="709"/>
      </w:pPr>
      <w:r>
        <w:t>Discount will remain on the service unless you recontract, change to an ineligible plan or cancel your plan. Minimum of one calendar month subscription. No cancellation fees apply for the Yes TV by Fetch Mini. If you cancel your service you must return the device within 45 days otherwise you will be charged $150 for the equipment.</w:t>
      </w:r>
    </w:p>
    <w:p w14:paraId="60312047" w14:textId="77777777" w:rsidR="00523659" w:rsidRDefault="00523659" w:rsidP="00523659">
      <w:pPr>
        <w:pStyle w:val="BodyText"/>
        <w:ind w:left="709"/>
      </w:pPr>
      <w:r>
        <w:t>Excludes: SIM only (incl 12M and M2M), MBB.</w:t>
      </w:r>
    </w:p>
    <w:p w14:paraId="57B02918" w14:textId="77777777" w:rsidR="00523659" w:rsidRDefault="00523659" w:rsidP="00523659">
      <w:pPr>
        <w:rPr>
          <w:sz w:val="20"/>
          <w:szCs w:val="20"/>
        </w:rPr>
      </w:pPr>
    </w:p>
    <w:p w14:paraId="1C256DBD" w14:textId="77777777" w:rsidR="00523659" w:rsidRPr="00B2655E" w:rsidRDefault="00523659" w:rsidP="00523659">
      <w:pPr>
        <w:pStyle w:val="Heading4"/>
      </w:pPr>
      <w:bookmarkStart w:id="1386" w:name="_Toc470182736"/>
      <w:bookmarkStart w:id="1387" w:name="_Toc62644678"/>
      <w:r>
        <w:t>$90 My Plan Business Bonus Data Promotion (Dec 2016)</w:t>
      </w:r>
      <w:bookmarkEnd w:id="1386"/>
      <w:bookmarkEnd w:id="1387"/>
    </w:p>
    <w:p w14:paraId="62EFB457" w14:textId="77777777" w:rsidR="00523659" w:rsidRDefault="00523659" w:rsidP="00523659">
      <w:pPr>
        <w:rPr>
          <w:sz w:val="20"/>
          <w:szCs w:val="20"/>
        </w:rPr>
      </w:pPr>
    </w:p>
    <w:p w14:paraId="20E64ECA" w14:textId="77777777" w:rsidR="00523659" w:rsidRPr="00B2655E" w:rsidRDefault="00523659" w:rsidP="00667404">
      <w:pPr>
        <w:spacing w:after="360"/>
        <w:ind w:left="709"/>
        <w:outlineLvl w:val="6"/>
        <w:rPr>
          <w:iCs/>
          <w:sz w:val="20"/>
        </w:rPr>
      </w:pPr>
      <w:r w:rsidRPr="00AD1F6F">
        <w:rPr>
          <w:iCs/>
          <w:sz w:val="20"/>
        </w:rPr>
        <w:t xml:space="preserve">This section relates to a promotion offered to new and re-contracting customers who </w:t>
      </w:r>
      <w:r>
        <w:rPr>
          <w:iCs/>
          <w:sz w:val="20"/>
        </w:rPr>
        <w:t>sign up or recontract to the $90 My Plan Business</w:t>
      </w:r>
      <w:r w:rsidRPr="00AD1F6F">
        <w:rPr>
          <w:iCs/>
          <w:sz w:val="20"/>
        </w:rPr>
        <w:t xml:space="preserve"> </w:t>
      </w:r>
      <w:r>
        <w:rPr>
          <w:iCs/>
          <w:sz w:val="20"/>
        </w:rPr>
        <w:t xml:space="preserve">with Plan ID 800569 between 16 December 2016 and 4 January 2017.  </w:t>
      </w:r>
      <w:r>
        <w:rPr>
          <w:iCs/>
          <w:sz w:val="20"/>
        </w:rPr>
        <w:br/>
      </w:r>
      <w:r w:rsidRPr="00AD1F6F">
        <w:rPr>
          <w:iCs/>
          <w:sz w:val="20"/>
        </w:rPr>
        <w:br/>
      </w:r>
      <w:r w:rsidRPr="00AD1F6F">
        <w:rPr>
          <w:rFonts w:eastAsia="Times New Roman"/>
          <w:iCs/>
          <w:sz w:val="20"/>
        </w:rPr>
        <w:t xml:space="preserve">If you sign up or recontract to the </w:t>
      </w:r>
      <w:r>
        <w:rPr>
          <w:iCs/>
          <w:sz w:val="20"/>
        </w:rPr>
        <w:t>$90 My Plan Business</w:t>
      </w:r>
      <w:r w:rsidRPr="00AD1F6F">
        <w:rPr>
          <w:iCs/>
          <w:sz w:val="20"/>
        </w:rPr>
        <w:t xml:space="preserve"> </w:t>
      </w:r>
      <w:r>
        <w:rPr>
          <w:rFonts w:eastAsia="Times New Roman"/>
          <w:iCs/>
          <w:sz w:val="20"/>
        </w:rPr>
        <w:t xml:space="preserve">with Plan ID 800569 between </w:t>
      </w:r>
      <w:r w:rsidRPr="00AD1F6F">
        <w:rPr>
          <w:rFonts w:eastAsia="Times New Roman"/>
          <w:iCs/>
          <w:sz w:val="20"/>
        </w:rPr>
        <w:t xml:space="preserve">13 December 2016 </w:t>
      </w:r>
      <w:r>
        <w:rPr>
          <w:rFonts w:eastAsia="Times New Roman"/>
          <w:iCs/>
          <w:sz w:val="20"/>
        </w:rPr>
        <w:t xml:space="preserve">and 4 January 2017 </w:t>
      </w:r>
      <w:r w:rsidRPr="00AD1F6F">
        <w:rPr>
          <w:rFonts w:eastAsia="Times New Roman"/>
          <w:iCs/>
          <w:sz w:val="20"/>
        </w:rPr>
        <w:t xml:space="preserve">you will receive a bonus 2GB data per month for 24 months. </w:t>
      </w:r>
      <w:r>
        <w:rPr>
          <w:rFonts w:eastAsia="Times New Roman"/>
          <w:iCs/>
          <w:sz w:val="20"/>
        </w:rPr>
        <w:t>2GB b</w:t>
      </w:r>
      <w:r w:rsidRPr="00AD1F6F">
        <w:rPr>
          <w:rFonts w:eastAsia="Times New Roman"/>
          <w:iCs/>
          <w:sz w:val="20"/>
        </w:rPr>
        <w:t xml:space="preserve">onus data will remain on your service for </w:t>
      </w:r>
      <w:r>
        <w:rPr>
          <w:rFonts w:eastAsia="Times New Roman"/>
          <w:iCs/>
          <w:sz w:val="20"/>
        </w:rPr>
        <w:t xml:space="preserve">a maximum period of 24 months.  Bonus data will be forfeited if you re-contract, change to an ineligible plan or cancel your plan.  Bonus data may take up to 72 hours from activation to be applied.  </w:t>
      </w:r>
    </w:p>
    <w:p w14:paraId="3E69656A" w14:textId="77777777" w:rsidR="00421097" w:rsidRPr="00421097" w:rsidRDefault="00421097" w:rsidP="00BA62D1">
      <w:pPr>
        <w:pStyle w:val="Heading4"/>
        <w:rPr>
          <w:bCs w:val="0"/>
          <w:lang w:val="en-AU"/>
        </w:rPr>
      </w:pPr>
      <w:bookmarkStart w:id="1388" w:name="_Toc466892497"/>
      <w:bookmarkStart w:id="1389" w:name="_Toc475699571"/>
      <w:bookmarkStart w:id="1390" w:name="_Toc479146548"/>
      <w:bookmarkStart w:id="1391" w:name="_Toc62644679"/>
      <w:r w:rsidRPr="00421097">
        <w:rPr>
          <w:bCs w:val="0"/>
          <w:lang w:val="en-AU"/>
        </w:rPr>
        <w:t>$125 My Plan Business ($105 Promo)</w:t>
      </w:r>
      <w:bookmarkEnd w:id="1388"/>
      <w:bookmarkEnd w:id="1389"/>
      <w:bookmarkEnd w:id="1390"/>
      <w:bookmarkEnd w:id="1391"/>
    </w:p>
    <w:p w14:paraId="6C6458AA" w14:textId="77777777" w:rsidR="00421097" w:rsidRPr="00421097" w:rsidRDefault="00421097" w:rsidP="00BA62D1">
      <w:pPr>
        <w:keepNext/>
        <w:spacing w:after="200"/>
        <w:ind w:left="709"/>
        <w:rPr>
          <w:sz w:val="20"/>
        </w:rPr>
      </w:pPr>
      <w:r w:rsidRPr="00421097">
        <w:rPr>
          <w:sz w:val="20"/>
        </w:rPr>
        <w:t xml:space="preserve">This section relates to the following plans. </w:t>
      </w:r>
      <w:r w:rsidRPr="00421097">
        <w:rPr>
          <w:i/>
          <w:sz w:val="20"/>
        </w:rPr>
        <w:t>You</w:t>
      </w:r>
      <w:r w:rsidRPr="00421097">
        <w:rPr>
          <w:sz w:val="20"/>
        </w:rPr>
        <w:t xml:space="preserve"> can find </w:t>
      </w:r>
      <w:r w:rsidRPr="00421097">
        <w:rPr>
          <w:i/>
          <w:sz w:val="20"/>
        </w:rPr>
        <w:t>your</w:t>
      </w:r>
      <w:r w:rsidRPr="00421097">
        <w:rPr>
          <w:sz w:val="20"/>
        </w:rPr>
        <w:t xml:space="preserve"> Plan ID on </w:t>
      </w:r>
      <w:r w:rsidRPr="00421097">
        <w:rPr>
          <w:i/>
          <w:sz w:val="20"/>
        </w:rPr>
        <w:t>your</w:t>
      </w:r>
      <w:r w:rsidRPr="00421097">
        <w:rPr>
          <w:sz w:val="20"/>
        </w:rPr>
        <w:t xml:space="preserve"> bill under the Mobile Number Summary section:</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1418"/>
        <w:gridCol w:w="4536"/>
      </w:tblGrid>
      <w:tr w:rsidR="00421097" w:rsidRPr="00421097" w14:paraId="6D15054B" w14:textId="77777777" w:rsidTr="00421097">
        <w:tc>
          <w:tcPr>
            <w:tcW w:w="3969" w:type="dxa"/>
            <w:shd w:val="clear" w:color="auto" w:fill="auto"/>
          </w:tcPr>
          <w:p w14:paraId="60AA64B2" w14:textId="77777777" w:rsidR="00421097" w:rsidRPr="00421097" w:rsidRDefault="00421097" w:rsidP="00421097">
            <w:pPr>
              <w:spacing w:before="100" w:after="100"/>
              <w:jc w:val="center"/>
              <w:rPr>
                <w:b/>
                <w:sz w:val="20"/>
              </w:rPr>
            </w:pPr>
            <w:r w:rsidRPr="00421097">
              <w:rPr>
                <w:b/>
                <w:sz w:val="20"/>
              </w:rPr>
              <w:t>Plan</w:t>
            </w:r>
          </w:p>
        </w:tc>
        <w:tc>
          <w:tcPr>
            <w:tcW w:w="1418" w:type="dxa"/>
            <w:shd w:val="clear" w:color="auto" w:fill="auto"/>
          </w:tcPr>
          <w:p w14:paraId="03E5F315" w14:textId="77777777" w:rsidR="00421097" w:rsidRPr="00421097" w:rsidRDefault="00421097" w:rsidP="00421097">
            <w:pPr>
              <w:spacing w:before="100" w:after="100"/>
              <w:jc w:val="center"/>
              <w:rPr>
                <w:b/>
                <w:sz w:val="20"/>
              </w:rPr>
            </w:pPr>
            <w:r w:rsidRPr="00421097">
              <w:rPr>
                <w:b/>
                <w:sz w:val="20"/>
              </w:rPr>
              <w:t>Plan ID</w:t>
            </w:r>
          </w:p>
        </w:tc>
        <w:tc>
          <w:tcPr>
            <w:tcW w:w="4536" w:type="dxa"/>
            <w:shd w:val="clear" w:color="auto" w:fill="auto"/>
          </w:tcPr>
          <w:p w14:paraId="27AB2E1E" w14:textId="77777777" w:rsidR="00421097" w:rsidRPr="00421097" w:rsidRDefault="00421097" w:rsidP="00421097">
            <w:pPr>
              <w:spacing w:before="100" w:after="100"/>
              <w:jc w:val="center"/>
              <w:rPr>
                <w:b/>
                <w:sz w:val="20"/>
              </w:rPr>
            </w:pPr>
            <w:r w:rsidRPr="00421097">
              <w:rPr>
                <w:b/>
                <w:sz w:val="20"/>
              </w:rPr>
              <w:t>Available</w:t>
            </w:r>
          </w:p>
        </w:tc>
      </w:tr>
      <w:tr w:rsidR="00421097" w:rsidRPr="00421097" w14:paraId="526961A7" w14:textId="77777777" w:rsidTr="00421097">
        <w:tc>
          <w:tcPr>
            <w:tcW w:w="3969" w:type="dxa"/>
            <w:shd w:val="clear" w:color="auto" w:fill="auto"/>
          </w:tcPr>
          <w:p w14:paraId="5A790AA0" w14:textId="77777777" w:rsidR="00421097" w:rsidRPr="00421097" w:rsidRDefault="00421097" w:rsidP="00421097">
            <w:pPr>
              <w:spacing w:before="100" w:after="100"/>
              <w:jc w:val="center"/>
              <w:rPr>
                <w:sz w:val="20"/>
              </w:rPr>
            </w:pPr>
            <w:r w:rsidRPr="00421097">
              <w:rPr>
                <w:sz w:val="20"/>
              </w:rPr>
              <w:t>$125 My Plan Business ($105 Promo)</w:t>
            </w:r>
          </w:p>
        </w:tc>
        <w:tc>
          <w:tcPr>
            <w:tcW w:w="1418" w:type="dxa"/>
            <w:shd w:val="clear" w:color="auto" w:fill="auto"/>
          </w:tcPr>
          <w:p w14:paraId="70998A0B" w14:textId="77777777" w:rsidR="00421097" w:rsidRPr="00421097" w:rsidDel="002E191F" w:rsidRDefault="00421097" w:rsidP="00421097">
            <w:pPr>
              <w:spacing w:before="100" w:after="100"/>
              <w:jc w:val="center"/>
              <w:rPr>
                <w:sz w:val="20"/>
              </w:rPr>
            </w:pPr>
            <w:r w:rsidRPr="00421097">
              <w:rPr>
                <w:sz w:val="20"/>
              </w:rPr>
              <w:t>800566</w:t>
            </w:r>
          </w:p>
        </w:tc>
        <w:tc>
          <w:tcPr>
            <w:tcW w:w="4536" w:type="dxa"/>
            <w:shd w:val="clear" w:color="auto" w:fill="auto"/>
          </w:tcPr>
          <w:p w14:paraId="4D51B3BE" w14:textId="77777777" w:rsidR="00421097" w:rsidRPr="00421097" w:rsidRDefault="00421097" w:rsidP="00421097">
            <w:pPr>
              <w:spacing w:before="100" w:after="100"/>
              <w:jc w:val="center"/>
              <w:rPr>
                <w:sz w:val="20"/>
              </w:rPr>
            </w:pPr>
            <w:r w:rsidRPr="00421097">
              <w:rPr>
                <w:rFonts w:eastAsia="Calibri"/>
                <w:sz w:val="20"/>
              </w:rPr>
              <w:t xml:space="preserve">14 November 2016 - </w:t>
            </w:r>
            <w:r w:rsidRPr="00421097">
              <w:t>26 February 2017</w:t>
            </w:r>
          </w:p>
        </w:tc>
      </w:tr>
    </w:tbl>
    <w:p w14:paraId="2FD43782" w14:textId="77777777" w:rsidR="00421097" w:rsidRPr="00421097" w:rsidRDefault="00421097" w:rsidP="00421097">
      <w:pPr>
        <w:spacing w:after="200"/>
        <w:rPr>
          <w:sz w:val="20"/>
        </w:rPr>
      </w:pPr>
    </w:p>
    <w:p w14:paraId="7B624905" w14:textId="77777777" w:rsidR="00421097" w:rsidRPr="00421097" w:rsidRDefault="00421097" w:rsidP="00421097">
      <w:pPr>
        <w:numPr>
          <w:ilvl w:val="5"/>
          <w:numId w:val="1"/>
        </w:numPr>
        <w:spacing w:before="240" w:after="200"/>
        <w:outlineLvl w:val="5"/>
        <w:rPr>
          <w:rFonts w:eastAsia="Times New Roman"/>
          <w:bCs/>
          <w:sz w:val="20"/>
          <w:szCs w:val="22"/>
          <w:lang w:val="en-AU"/>
        </w:rPr>
      </w:pPr>
      <w:bookmarkStart w:id="1392" w:name="_Toc455149894"/>
      <w:bookmarkStart w:id="1393" w:name="_Toc465162120"/>
      <w:bookmarkStart w:id="1394" w:name="_Toc466892498"/>
      <w:bookmarkStart w:id="1395" w:name="_Toc475699572"/>
      <w:r w:rsidRPr="00421097">
        <w:rPr>
          <w:rFonts w:eastAsia="Times New Roman"/>
          <w:bCs/>
          <w:sz w:val="20"/>
          <w:szCs w:val="22"/>
          <w:lang w:val="en-AU"/>
        </w:rPr>
        <w:t>Eligibility</w:t>
      </w:r>
      <w:bookmarkEnd w:id="1392"/>
      <w:bookmarkEnd w:id="1393"/>
      <w:bookmarkEnd w:id="1394"/>
      <w:bookmarkEnd w:id="1395"/>
      <w:r w:rsidRPr="00421097">
        <w:rPr>
          <w:rFonts w:eastAsia="Times New Roman"/>
          <w:bCs/>
          <w:sz w:val="20"/>
          <w:szCs w:val="22"/>
          <w:lang w:val="en-AU"/>
        </w:rPr>
        <w:t xml:space="preserve"> </w:t>
      </w:r>
    </w:p>
    <w:p w14:paraId="04983A02" w14:textId="77777777" w:rsidR="00421097" w:rsidRPr="00421097" w:rsidRDefault="00421097" w:rsidP="00421097">
      <w:pPr>
        <w:spacing w:after="200"/>
        <w:ind w:left="709"/>
        <w:rPr>
          <w:sz w:val="20"/>
        </w:rPr>
      </w:pPr>
      <w:r w:rsidRPr="00421097">
        <w:rPr>
          <w:sz w:val="20"/>
        </w:rPr>
        <w:t xml:space="preserve">The $125 My Plan Business ($105 Promo) plan is available to new and existing re-contracting mobile customers connecting to the service who pass Optus' credit assessment and provide Optus with a registered ACN, ARBN or ABN.  This is a promotional plan with an automated $20 monthly credit, available to new and re-contracting services that activate onto this plan between 14 November 2016 and 15 January 2017. </w:t>
      </w:r>
    </w:p>
    <w:p w14:paraId="5EF6157F" w14:textId="77777777" w:rsidR="00421097" w:rsidRPr="00421097" w:rsidRDefault="00421097" w:rsidP="00421097">
      <w:pPr>
        <w:spacing w:after="200"/>
        <w:ind w:left="720"/>
        <w:rPr>
          <w:sz w:val="20"/>
        </w:rPr>
      </w:pPr>
      <w:r w:rsidRPr="00421097">
        <w:rPr>
          <w:sz w:val="20"/>
        </w:rPr>
        <w:t>Optus Service Providers' customers are not eligible to apply.</w:t>
      </w:r>
    </w:p>
    <w:p w14:paraId="21A3A0E0" w14:textId="77777777" w:rsidR="00421097" w:rsidRPr="00421097" w:rsidRDefault="00421097" w:rsidP="00421097">
      <w:pPr>
        <w:spacing w:after="200"/>
        <w:ind w:left="720"/>
        <w:rPr>
          <w:b/>
          <w:sz w:val="20"/>
          <w:lang w:val="en-AU"/>
        </w:rPr>
      </w:pPr>
      <w:r w:rsidRPr="00421097">
        <w:rPr>
          <w:sz w:val="20"/>
        </w:rPr>
        <w:t>This plan is not compatible for data use with BlackBerry handsets on operating systems of 7.1 or earlier.</w:t>
      </w:r>
      <w:bookmarkStart w:id="1396" w:name="_Toc414345856"/>
      <w:bookmarkStart w:id="1397" w:name="_Toc414347450"/>
      <w:bookmarkStart w:id="1398" w:name="_Toc455149895"/>
    </w:p>
    <w:p w14:paraId="1D5F6EE5" w14:textId="77777777" w:rsidR="00421097" w:rsidRPr="00421097" w:rsidRDefault="00421097" w:rsidP="00421097">
      <w:pPr>
        <w:numPr>
          <w:ilvl w:val="5"/>
          <w:numId w:val="1"/>
        </w:numPr>
        <w:spacing w:before="240" w:after="200"/>
        <w:outlineLvl w:val="5"/>
        <w:rPr>
          <w:rFonts w:eastAsia="Times New Roman"/>
          <w:bCs/>
          <w:sz w:val="20"/>
          <w:szCs w:val="22"/>
          <w:lang w:val="en-AU"/>
        </w:rPr>
      </w:pPr>
      <w:bookmarkStart w:id="1399" w:name="_Toc465162121"/>
      <w:bookmarkStart w:id="1400" w:name="_Toc466892499"/>
      <w:bookmarkStart w:id="1401" w:name="_Toc475699573"/>
      <w:r w:rsidRPr="00421097">
        <w:rPr>
          <w:rFonts w:eastAsia="Times New Roman"/>
          <w:bCs/>
          <w:sz w:val="20"/>
          <w:szCs w:val="22"/>
          <w:lang w:val="en-AU"/>
        </w:rPr>
        <w:t>Minimum Term</w:t>
      </w:r>
      <w:bookmarkEnd w:id="1396"/>
      <w:bookmarkEnd w:id="1397"/>
      <w:bookmarkEnd w:id="1398"/>
      <w:bookmarkEnd w:id="1399"/>
      <w:bookmarkEnd w:id="1400"/>
      <w:bookmarkEnd w:id="1401"/>
    </w:p>
    <w:p w14:paraId="712DFF89" w14:textId="77777777" w:rsidR="00421097" w:rsidRPr="00421097" w:rsidRDefault="00421097" w:rsidP="00421097">
      <w:pPr>
        <w:spacing w:after="200"/>
        <w:ind w:firstLine="720"/>
        <w:rPr>
          <w:sz w:val="20"/>
          <w:lang w:val="en-AU"/>
        </w:rPr>
      </w:pPr>
      <w:r w:rsidRPr="00421097">
        <w:rPr>
          <w:sz w:val="20"/>
          <w:lang w:val="en-AU"/>
        </w:rPr>
        <w:t xml:space="preserve">This </w:t>
      </w:r>
      <w:r w:rsidRPr="00421097">
        <w:rPr>
          <w:i/>
          <w:sz w:val="20"/>
          <w:lang w:val="en-AU"/>
        </w:rPr>
        <w:t>plan</w:t>
      </w:r>
      <w:r w:rsidRPr="00421097">
        <w:rPr>
          <w:sz w:val="20"/>
          <w:lang w:val="en-AU"/>
        </w:rPr>
        <w:t xml:space="preserve"> has</w:t>
      </w:r>
      <w:r w:rsidRPr="00421097">
        <w:rPr>
          <w:i/>
          <w:sz w:val="20"/>
          <w:lang w:val="en-AU"/>
        </w:rPr>
        <w:t xml:space="preserve"> </w:t>
      </w:r>
      <w:r w:rsidRPr="00421097">
        <w:rPr>
          <w:sz w:val="20"/>
          <w:lang w:val="en-AU"/>
        </w:rPr>
        <w:t xml:space="preserve">a </w:t>
      </w:r>
      <w:r w:rsidRPr="00421097">
        <w:rPr>
          <w:i/>
          <w:sz w:val="20"/>
          <w:lang w:val="en-AU"/>
        </w:rPr>
        <w:t>fixed length agreement</w:t>
      </w:r>
      <w:r w:rsidRPr="00421097">
        <w:rPr>
          <w:sz w:val="20"/>
          <w:lang w:val="en-AU"/>
        </w:rPr>
        <w:t xml:space="preserve"> with a 24 month </w:t>
      </w:r>
      <w:r w:rsidRPr="00421097">
        <w:rPr>
          <w:i/>
          <w:sz w:val="20"/>
          <w:lang w:val="en-AU"/>
        </w:rPr>
        <w:t>minimum term.</w:t>
      </w:r>
    </w:p>
    <w:p w14:paraId="0CB11B64" w14:textId="77777777" w:rsidR="00421097" w:rsidRPr="00421097" w:rsidRDefault="00421097" w:rsidP="00421097">
      <w:pPr>
        <w:numPr>
          <w:ilvl w:val="5"/>
          <w:numId w:val="1"/>
        </w:numPr>
        <w:spacing w:before="240" w:after="200"/>
        <w:outlineLvl w:val="5"/>
        <w:rPr>
          <w:rFonts w:eastAsia="Times New Roman"/>
          <w:bCs/>
          <w:sz w:val="20"/>
          <w:szCs w:val="22"/>
          <w:lang w:val="en-AU"/>
        </w:rPr>
      </w:pPr>
      <w:bookmarkStart w:id="1402" w:name="_Toc414345857"/>
      <w:bookmarkStart w:id="1403" w:name="_Toc414347451"/>
      <w:bookmarkStart w:id="1404" w:name="_Toc455149896"/>
      <w:bookmarkStart w:id="1405" w:name="_Toc465162122"/>
      <w:bookmarkStart w:id="1406" w:name="_Toc466892500"/>
      <w:bookmarkStart w:id="1407" w:name="_Toc475699574"/>
      <w:r w:rsidRPr="00421097">
        <w:rPr>
          <w:rFonts w:eastAsia="Times New Roman"/>
          <w:bCs/>
          <w:sz w:val="20"/>
          <w:szCs w:val="22"/>
          <w:lang w:val="en-AU"/>
        </w:rPr>
        <w:t>What you have to pay us</w:t>
      </w:r>
      <w:bookmarkEnd w:id="1402"/>
      <w:bookmarkEnd w:id="1403"/>
      <w:bookmarkEnd w:id="1404"/>
      <w:bookmarkEnd w:id="1405"/>
      <w:bookmarkEnd w:id="1406"/>
      <w:bookmarkEnd w:id="1407"/>
    </w:p>
    <w:p w14:paraId="01747F1C" w14:textId="77777777" w:rsidR="00421097" w:rsidRPr="00421097" w:rsidRDefault="00421097" w:rsidP="00421097">
      <w:pPr>
        <w:numPr>
          <w:ilvl w:val="6"/>
          <w:numId w:val="1"/>
        </w:numPr>
        <w:spacing w:after="200"/>
        <w:outlineLvl w:val="6"/>
        <w:rPr>
          <w:rFonts w:eastAsia="Times New Roman"/>
          <w:sz w:val="20"/>
          <w:lang w:val="en-AU"/>
        </w:rPr>
      </w:pPr>
      <w:r w:rsidRPr="00421097">
        <w:rPr>
          <w:rFonts w:eastAsia="Times New Roman"/>
          <w:i/>
          <w:sz w:val="20"/>
          <w:lang w:val="en-AU"/>
        </w:rPr>
        <w:lastRenderedPageBreak/>
        <w:t>You</w:t>
      </w:r>
      <w:r w:rsidRPr="00421097">
        <w:rPr>
          <w:rFonts w:eastAsia="Times New Roman"/>
          <w:sz w:val="20"/>
          <w:lang w:val="en-AU"/>
        </w:rPr>
        <w:t xml:space="preserve"> must pay </w:t>
      </w:r>
      <w:r w:rsidRPr="00421097">
        <w:rPr>
          <w:rFonts w:eastAsia="Times New Roman"/>
          <w:i/>
          <w:sz w:val="20"/>
          <w:lang w:val="en-AU"/>
        </w:rPr>
        <w:t>us</w:t>
      </w:r>
      <w:r w:rsidRPr="00421097">
        <w:rPr>
          <w:rFonts w:eastAsia="Times New Roman"/>
          <w:sz w:val="20"/>
          <w:lang w:val="en-AU"/>
        </w:rPr>
        <w:t xml:space="preserve"> for use of the </w:t>
      </w:r>
      <w:r w:rsidRPr="00421097">
        <w:rPr>
          <w:rFonts w:eastAsia="Times New Roman"/>
          <w:i/>
          <w:sz w:val="20"/>
          <w:lang w:val="en-AU"/>
        </w:rPr>
        <w:t>service</w:t>
      </w:r>
      <w:r w:rsidRPr="00421097">
        <w:rPr>
          <w:rFonts w:eastAsia="Times New Roman"/>
          <w:sz w:val="20"/>
          <w:lang w:val="en-AU"/>
        </w:rPr>
        <w:t xml:space="preserve"> at the rates set out in Section 1 of this </w:t>
      </w:r>
      <w:r w:rsidRPr="00421097">
        <w:rPr>
          <w:rFonts w:eastAsia="Times New Roman"/>
          <w:i/>
          <w:sz w:val="20"/>
          <w:lang w:val="en-AU"/>
        </w:rPr>
        <w:t>standard pricing table</w:t>
      </w:r>
      <w:r w:rsidRPr="00421097">
        <w:rPr>
          <w:rFonts w:eastAsia="Times New Roman"/>
          <w:sz w:val="20"/>
          <w:lang w:val="en-AU"/>
        </w:rPr>
        <w:t xml:space="preserve"> and for value added service features at the rates set out in </w:t>
      </w:r>
      <w:r w:rsidRPr="00421097">
        <w:rPr>
          <w:rFonts w:eastAsia="Times New Roman"/>
          <w:i/>
          <w:sz w:val="20"/>
          <w:lang w:val="en-AU"/>
        </w:rPr>
        <w:t>Appendix Y Value Added Service Features</w:t>
      </w:r>
      <w:r w:rsidRPr="00421097">
        <w:rPr>
          <w:rFonts w:eastAsia="Times New Roman"/>
          <w:sz w:val="20"/>
          <w:lang w:val="en-AU"/>
        </w:rPr>
        <w:t>.</w:t>
      </w:r>
    </w:p>
    <w:p w14:paraId="6D3CF5FD" w14:textId="77777777" w:rsidR="00421097" w:rsidRPr="00421097" w:rsidRDefault="00421097" w:rsidP="00421097">
      <w:pPr>
        <w:numPr>
          <w:ilvl w:val="6"/>
          <w:numId w:val="1"/>
        </w:numPr>
        <w:spacing w:after="200"/>
        <w:outlineLvl w:val="6"/>
        <w:rPr>
          <w:rFonts w:eastAsia="Times New Roman"/>
          <w:sz w:val="20"/>
          <w:lang w:val="en-AU"/>
        </w:rPr>
      </w:pPr>
      <w:r w:rsidRPr="00421097">
        <w:rPr>
          <w:rFonts w:eastAsia="Times New Roman"/>
          <w:sz w:val="20"/>
          <w:lang w:val="en-AU"/>
        </w:rPr>
        <w:t>If there is a flagfall for a particular call type, the charge for these calls is the flagfall amount plus the relevant rate for the call multiplied by the duration of the call.</w:t>
      </w:r>
    </w:p>
    <w:p w14:paraId="56B5DA2E" w14:textId="77777777" w:rsidR="00421097" w:rsidRPr="00421097" w:rsidRDefault="00421097" w:rsidP="00421097">
      <w:pPr>
        <w:numPr>
          <w:ilvl w:val="6"/>
          <w:numId w:val="1"/>
        </w:numPr>
        <w:spacing w:after="200"/>
        <w:outlineLvl w:val="6"/>
        <w:rPr>
          <w:rFonts w:eastAsia="Times New Roman"/>
          <w:b/>
          <w:sz w:val="20"/>
          <w:lang w:val="en-AU"/>
        </w:rPr>
      </w:pPr>
      <w:r w:rsidRPr="00421097">
        <w:rPr>
          <w:rFonts w:eastAsia="Times New Roman"/>
          <w:b/>
          <w:sz w:val="20"/>
          <w:lang w:val="en-AU"/>
        </w:rPr>
        <w:t>Minimum Monthly Charge</w:t>
      </w:r>
    </w:p>
    <w:p w14:paraId="197FF20D" w14:textId="77777777" w:rsidR="00421097" w:rsidRPr="00421097" w:rsidRDefault="00421097" w:rsidP="00421097">
      <w:pPr>
        <w:numPr>
          <w:ilvl w:val="7"/>
          <w:numId w:val="1"/>
        </w:numPr>
        <w:spacing w:after="200"/>
        <w:outlineLvl w:val="7"/>
        <w:rPr>
          <w:rFonts w:eastAsia="Times New Roman"/>
          <w:iCs/>
          <w:sz w:val="20"/>
          <w:lang w:val="en-AU"/>
        </w:rPr>
      </w:pPr>
      <w:r w:rsidRPr="00421097">
        <w:rPr>
          <w:rFonts w:eastAsia="Times New Roman"/>
          <w:iCs/>
          <w:sz w:val="20"/>
          <w:lang w:val="en-AU"/>
        </w:rPr>
        <w:t xml:space="preserve">Each My Plan Business plan has a Minimum Monthly Charge amount that </w:t>
      </w:r>
      <w:r w:rsidRPr="00421097">
        <w:rPr>
          <w:rFonts w:eastAsia="Times New Roman"/>
          <w:i/>
          <w:iCs/>
          <w:sz w:val="20"/>
          <w:lang w:val="en-AU"/>
        </w:rPr>
        <w:t>you</w:t>
      </w:r>
      <w:r w:rsidRPr="00421097">
        <w:rPr>
          <w:rFonts w:eastAsia="Times New Roman"/>
          <w:iCs/>
          <w:sz w:val="20"/>
          <w:lang w:val="en-AU"/>
        </w:rPr>
        <w:t xml:space="preserve"> must pay </w:t>
      </w:r>
      <w:r w:rsidRPr="00421097">
        <w:rPr>
          <w:rFonts w:eastAsia="Times New Roman"/>
          <w:i/>
          <w:iCs/>
          <w:sz w:val="20"/>
          <w:lang w:val="en-AU"/>
        </w:rPr>
        <w:t>us</w:t>
      </w:r>
      <w:r w:rsidRPr="00421097">
        <w:rPr>
          <w:rFonts w:eastAsia="Times New Roman"/>
          <w:iCs/>
          <w:sz w:val="20"/>
          <w:lang w:val="en-AU"/>
        </w:rPr>
        <w:t xml:space="preserve"> each month as set out in Table 1 below.</w:t>
      </w:r>
    </w:p>
    <w:p w14:paraId="5C75A04E" w14:textId="77777777" w:rsidR="00421097" w:rsidRPr="00421097" w:rsidRDefault="00421097" w:rsidP="00421097">
      <w:pPr>
        <w:numPr>
          <w:ilvl w:val="7"/>
          <w:numId w:val="1"/>
        </w:numPr>
        <w:spacing w:after="200"/>
        <w:outlineLvl w:val="7"/>
        <w:rPr>
          <w:rFonts w:eastAsia="Times New Roman"/>
          <w:iCs/>
          <w:sz w:val="20"/>
        </w:rPr>
      </w:pPr>
      <w:r w:rsidRPr="00421097">
        <w:rPr>
          <w:rFonts w:eastAsia="Times New Roman"/>
          <w:i/>
          <w:iCs/>
          <w:sz w:val="20"/>
        </w:rPr>
        <w:t>You</w:t>
      </w:r>
      <w:r w:rsidRPr="00421097">
        <w:rPr>
          <w:rFonts w:eastAsia="Times New Roman"/>
          <w:iCs/>
          <w:sz w:val="20"/>
        </w:rPr>
        <w:t xml:space="preserve"> may purchase a mobile phone (or 'handset') with a 24 month </w:t>
      </w:r>
      <w:r w:rsidRPr="00421097">
        <w:rPr>
          <w:rFonts w:eastAsia="Times New Roman"/>
          <w:i/>
          <w:iCs/>
          <w:sz w:val="20"/>
        </w:rPr>
        <w:t>equipment term</w:t>
      </w:r>
      <w:r w:rsidRPr="00421097">
        <w:rPr>
          <w:rFonts w:eastAsia="Times New Roman"/>
          <w:iCs/>
          <w:sz w:val="20"/>
        </w:rPr>
        <w:t xml:space="preserve"> under a </w:t>
      </w:r>
      <w:r w:rsidRPr="00421097">
        <w:rPr>
          <w:rFonts w:eastAsia="Times New Roman"/>
          <w:i/>
          <w:iCs/>
          <w:sz w:val="20"/>
        </w:rPr>
        <w:t>mobile equipment payment plan</w:t>
      </w:r>
      <w:r w:rsidRPr="00421097">
        <w:rPr>
          <w:rFonts w:eastAsia="Times New Roman"/>
          <w:iCs/>
          <w:sz w:val="20"/>
        </w:rPr>
        <w:t xml:space="preserve"> (set out in </w:t>
      </w:r>
      <w:hyperlink r:id="rId708" w:history="1">
        <w:r w:rsidRPr="00421097">
          <w:rPr>
            <w:rFonts w:eastAsia="Times New Roman"/>
            <w:i/>
            <w:iCs/>
            <w:color w:val="13607C"/>
            <w:sz w:val="18"/>
            <w:u w:val="single"/>
          </w:rPr>
          <w:t>Appendix D</w:t>
        </w:r>
      </w:hyperlink>
      <w:r w:rsidRPr="00421097">
        <w:rPr>
          <w:rFonts w:eastAsia="Times New Roman"/>
          <w:iCs/>
          <w:sz w:val="20"/>
        </w:rPr>
        <w:t xml:space="preserve">) on a 24 month </w:t>
      </w:r>
      <w:r w:rsidRPr="00421097">
        <w:rPr>
          <w:rFonts w:eastAsia="Times New Roman"/>
          <w:i/>
          <w:iCs/>
          <w:sz w:val="20"/>
        </w:rPr>
        <w:t>fixed-length agreement</w:t>
      </w:r>
      <w:r w:rsidRPr="00421097">
        <w:rPr>
          <w:rFonts w:eastAsia="Times New Roman"/>
          <w:iCs/>
          <w:sz w:val="20"/>
        </w:rPr>
        <w:t>.</w:t>
      </w:r>
    </w:p>
    <w:p w14:paraId="2793CA65" w14:textId="77777777" w:rsidR="00421097" w:rsidRPr="00421097" w:rsidRDefault="00421097" w:rsidP="00421097">
      <w:pPr>
        <w:numPr>
          <w:ilvl w:val="5"/>
          <w:numId w:val="1"/>
        </w:numPr>
        <w:spacing w:before="240" w:after="200"/>
        <w:outlineLvl w:val="5"/>
        <w:rPr>
          <w:rFonts w:eastAsia="Times New Roman"/>
          <w:bCs/>
          <w:sz w:val="20"/>
          <w:szCs w:val="22"/>
          <w:lang w:val="en-AU"/>
        </w:rPr>
      </w:pPr>
      <w:bookmarkStart w:id="1408" w:name="_Toc414345858"/>
      <w:bookmarkStart w:id="1409" w:name="_Toc414347452"/>
      <w:bookmarkStart w:id="1410" w:name="_Toc455149897"/>
      <w:bookmarkStart w:id="1411" w:name="_Toc465162123"/>
      <w:bookmarkStart w:id="1412" w:name="_Toc466892501"/>
      <w:bookmarkStart w:id="1413" w:name="_Toc475699575"/>
      <w:r w:rsidRPr="00421097">
        <w:rPr>
          <w:rFonts w:eastAsia="Times New Roman"/>
          <w:bCs/>
          <w:sz w:val="20"/>
          <w:szCs w:val="22"/>
          <w:lang w:val="en-AU"/>
        </w:rPr>
        <w:t>How My Plan Business works</w:t>
      </w:r>
      <w:bookmarkEnd w:id="1408"/>
      <w:bookmarkEnd w:id="1409"/>
      <w:bookmarkEnd w:id="1410"/>
      <w:bookmarkEnd w:id="1411"/>
      <w:bookmarkEnd w:id="1412"/>
      <w:bookmarkEnd w:id="1413"/>
    </w:p>
    <w:p w14:paraId="6BC85A68" w14:textId="77777777" w:rsidR="00421097" w:rsidRPr="00421097" w:rsidRDefault="00421097" w:rsidP="00421097">
      <w:pPr>
        <w:numPr>
          <w:ilvl w:val="6"/>
          <w:numId w:val="1"/>
        </w:numPr>
        <w:spacing w:after="200"/>
        <w:outlineLvl w:val="6"/>
        <w:rPr>
          <w:rFonts w:eastAsia="Times New Roman"/>
          <w:sz w:val="20"/>
          <w:lang w:val="en-AU"/>
        </w:rPr>
      </w:pPr>
      <w:r w:rsidRPr="00421097">
        <w:rPr>
          <w:rFonts w:eastAsia="Times New Roman"/>
          <w:sz w:val="20"/>
          <w:lang w:val="en-AU"/>
        </w:rPr>
        <w:t>The $125 My Plan Business ($105 promo) plan has unlimited minutes to use on standard national calls to landlines and mobiles, 13/1300 numbers and voicemail retrievals and an amount of Included Data (for mobile internet use) to share with other services on a My Plan Plus, My Plan Plus SIM Only, My Plan Business (including Tech Fund), My Plan Business SIM, My Mobile Broadband Plus, Mobile Broadband Business or Shared Data Plan on the same account.</w:t>
      </w:r>
    </w:p>
    <w:p w14:paraId="00414032" w14:textId="77777777" w:rsidR="00421097" w:rsidRPr="00421097" w:rsidRDefault="00421097" w:rsidP="00421097">
      <w:pPr>
        <w:numPr>
          <w:ilvl w:val="6"/>
          <w:numId w:val="1"/>
        </w:numPr>
        <w:spacing w:after="200"/>
        <w:outlineLvl w:val="6"/>
        <w:rPr>
          <w:rFonts w:eastAsia="Times New Roman"/>
          <w:sz w:val="20"/>
          <w:lang w:val="en-AU"/>
        </w:rPr>
      </w:pPr>
      <w:r w:rsidRPr="00421097">
        <w:rPr>
          <w:rFonts w:eastAsia="Times New Roman"/>
          <w:sz w:val="20"/>
          <w:lang w:val="en-AU"/>
        </w:rPr>
        <w:t>The $125 My Plan Business ($105 promo) plan also includes unlimited standard national SMS/MMS and unlimited standard International SMS/MMS to selected countries. This plan also has international minutes to use on standard international calls to selected countries.</w:t>
      </w:r>
    </w:p>
    <w:p w14:paraId="62486DBE" w14:textId="77777777" w:rsidR="00421097" w:rsidRPr="00421097" w:rsidRDefault="00421097" w:rsidP="00421097">
      <w:pPr>
        <w:numPr>
          <w:ilvl w:val="6"/>
          <w:numId w:val="1"/>
        </w:numPr>
        <w:spacing w:after="200"/>
        <w:outlineLvl w:val="6"/>
        <w:rPr>
          <w:rFonts w:eastAsia="Times New Roman"/>
          <w:sz w:val="20"/>
          <w:lang w:val="en-AU"/>
        </w:rPr>
      </w:pPr>
      <w:r w:rsidRPr="00421097">
        <w:rPr>
          <w:rFonts w:eastAsia="Times New Roman"/>
          <w:sz w:val="20"/>
          <w:lang w:val="en-AU"/>
        </w:rPr>
        <w:t>Data usage is calculated in one kilobyte increments. International minutes are billed in one minute increments.</w:t>
      </w:r>
    </w:p>
    <w:p w14:paraId="0FA6F8FB" w14:textId="77777777" w:rsidR="00421097" w:rsidRPr="00421097" w:rsidRDefault="00421097" w:rsidP="00421097">
      <w:pPr>
        <w:numPr>
          <w:ilvl w:val="6"/>
          <w:numId w:val="1"/>
        </w:numPr>
        <w:spacing w:after="200"/>
        <w:outlineLvl w:val="6"/>
        <w:rPr>
          <w:rFonts w:eastAsia="Times New Roman"/>
          <w:sz w:val="20"/>
          <w:lang w:val="en-AU"/>
        </w:rPr>
      </w:pPr>
      <w:r w:rsidRPr="00421097">
        <w:rPr>
          <w:rFonts w:eastAsia="Times New Roman"/>
          <w:sz w:val="20"/>
          <w:lang w:val="en-AU"/>
        </w:rPr>
        <w:t xml:space="preserve">If </w:t>
      </w:r>
      <w:r w:rsidRPr="00421097">
        <w:rPr>
          <w:rFonts w:eastAsia="Times New Roman"/>
          <w:i/>
          <w:sz w:val="20"/>
          <w:lang w:val="en-AU"/>
        </w:rPr>
        <w:t xml:space="preserve">you </w:t>
      </w:r>
      <w:r w:rsidRPr="00421097">
        <w:rPr>
          <w:rFonts w:eastAsia="Times New Roman"/>
          <w:sz w:val="20"/>
          <w:lang w:val="en-AU"/>
        </w:rPr>
        <w:t>exceed your included shareable data you'll automatically be charged $10 for each additional 1GB of data ("</w:t>
      </w:r>
      <w:r w:rsidRPr="00421097">
        <w:rPr>
          <w:rFonts w:eastAsia="Times New Roman"/>
          <w:b/>
          <w:sz w:val="20"/>
          <w:lang w:val="en-AU"/>
        </w:rPr>
        <w:t>Additional Data</w:t>
      </w:r>
      <w:r w:rsidRPr="00421097">
        <w:rPr>
          <w:rFonts w:eastAsia="Times New Roman"/>
          <w:sz w:val="20"/>
          <w:lang w:val="en-AU"/>
        </w:rPr>
        <w:t>") up to 150GB of extra data per account each month. Your service/s may then be restricted or we may continue to charge you at these rates.</w:t>
      </w:r>
    </w:p>
    <w:p w14:paraId="13AA66B7" w14:textId="77777777" w:rsidR="00421097" w:rsidRPr="00421097" w:rsidRDefault="00421097" w:rsidP="00421097">
      <w:pPr>
        <w:numPr>
          <w:ilvl w:val="6"/>
          <w:numId w:val="1"/>
        </w:numPr>
        <w:spacing w:after="200"/>
        <w:outlineLvl w:val="6"/>
        <w:rPr>
          <w:rFonts w:eastAsia="Times New Roman"/>
          <w:sz w:val="20"/>
          <w:lang w:val="en-AU"/>
        </w:rPr>
      </w:pPr>
      <w:r w:rsidRPr="00421097">
        <w:rPr>
          <w:rFonts w:eastAsia="Times New Roman"/>
          <w:sz w:val="20"/>
          <w:lang w:val="en-AU"/>
        </w:rPr>
        <w:t xml:space="preserve">Any unused portion of </w:t>
      </w:r>
      <w:r w:rsidRPr="00421097">
        <w:rPr>
          <w:rFonts w:eastAsia="Times New Roman"/>
          <w:i/>
          <w:sz w:val="20"/>
          <w:lang w:val="en-AU"/>
        </w:rPr>
        <w:t>your</w:t>
      </w:r>
      <w:r w:rsidRPr="00421097">
        <w:rPr>
          <w:rFonts w:eastAsia="Times New Roman"/>
          <w:sz w:val="20"/>
          <w:lang w:val="en-AU"/>
        </w:rPr>
        <w:t xml:space="preserve"> </w:t>
      </w:r>
      <w:r w:rsidRPr="00421097">
        <w:rPr>
          <w:rFonts w:eastAsia="Times New Roman"/>
          <w:i/>
          <w:sz w:val="20"/>
          <w:lang w:val="en-AU"/>
        </w:rPr>
        <w:t>plan's</w:t>
      </w:r>
      <w:r w:rsidRPr="00421097">
        <w:rPr>
          <w:rFonts w:eastAsia="Times New Roman"/>
          <w:sz w:val="20"/>
          <w:lang w:val="en-AU"/>
        </w:rPr>
        <w:t xml:space="preserve"> Included or Additional Data or International Minutes expires at the end of each month and does not roll over into the next month.</w:t>
      </w:r>
    </w:p>
    <w:p w14:paraId="0B33306F" w14:textId="77777777" w:rsidR="00421097" w:rsidRPr="00421097" w:rsidRDefault="00421097" w:rsidP="00421097">
      <w:pPr>
        <w:numPr>
          <w:ilvl w:val="6"/>
          <w:numId w:val="1"/>
        </w:numPr>
        <w:spacing w:after="200"/>
        <w:outlineLvl w:val="6"/>
        <w:rPr>
          <w:rFonts w:eastAsia="Times New Roman"/>
          <w:b/>
          <w:sz w:val="20"/>
          <w:lang w:val="en-AU"/>
        </w:rPr>
      </w:pPr>
      <w:r w:rsidRPr="00421097">
        <w:rPr>
          <w:rFonts w:eastAsia="Times New Roman"/>
          <w:i/>
          <w:sz w:val="20"/>
          <w:lang w:val="en-AU"/>
        </w:rPr>
        <w:t>You</w:t>
      </w:r>
      <w:r w:rsidRPr="00421097">
        <w:rPr>
          <w:rFonts w:eastAsia="Times New Roman"/>
          <w:sz w:val="20"/>
          <w:lang w:val="en-AU"/>
        </w:rPr>
        <w:t xml:space="preserve"> must pay </w:t>
      </w:r>
      <w:r w:rsidRPr="00421097">
        <w:rPr>
          <w:rFonts w:eastAsia="Times New Roman"/>
          <w:i/>
          <w:sz w:val="20"/>
          <w:lang w:val="en-AU"/>
        </w:rPr>
        <w:t>us</w:t>
      </w:r>
      <w:r w:rsidRPr="00421097">
        <w:rPr>
          <w:rFonts w:eastAsia="Times New Roman"/>
          <w:sz w:val="20"/>
          <w:lang w:val="en-AU"/>
        </w:rPr>
        <w:t xml:space="preserve"> for use of any services that are not included in </w:t>
      </w:r>
      <w:r w:rsidRPr="00421097">
        <w:rPr>
          <w:rFonts w:eastAsia="Times New Roman"/>
          <w:i/>
          <w:sz w:val="20"/>
          <w:lang w:val="en-AU"/>
        </w:rPr>
        <w:t>your</w:t>
      </w:r>
      <w:r w:rsidRPr="00421097">
        <w:rPr>
          <w:rFonts w:eastAsia="Times New Roman"/>
          <w:sz w:val="20"/>
          <w:lang w:val="en-AU"/>
        </w:rPr>
        <w:t xml:space="preserve"> plan's inclusions, examples of which are set out in Table 2 below.</w:t>
      </w:r>
    </w:p>
    <w:p w14:paraId="45D5BD68" w14:textId="77777777" w:rsidR="00421097" w:rsidRPr="00421097" w:rsidRDefault="00421097" w:rsidP="00421097">
      <w:pPr>
        <w:numPr>
          <w:ilvl w:val="5"/>
          <w:numId w:val="1"/>
        </w:numPr>
        <w:spacing w:before="240" w:after="200"/>
        <w:outlineLvl w:val="5"/>
        <w:rPr>
          <w:rFonts w:eastAsia="Times New Roman"/>
          <w:bCs/>
          <w:sz w:val="20"/>
          <w:szCs w:val="22"/>
          <w:lang w:val="en-AU"/>
        </w:rPr>
      </w:pPr>
      <w:bookmarkStart w:id="1414" w:name="_Toc455149898"/>
      <w:bookmarkStart w:id="1415" w:name="_Toc465162124"/>
      <w:bookmarkStart w:id="1416" w:name="_Toc466892502"/>
      <w:bookmarkStart w:id="1417" w:name="_Toc475699576"/>
      <w:r w:rsidRPr="00421097">
        <w:rPr>
          <w:rFonts w:eastAsia="Times New Roman"/>
          <w:bCs/>
          <w:sz w:val="20"/>
          <w:szCs w:val="22"/>
          <w:lang w:val="en-AU"/>
        </w:rPr>
        <w:t>Plan Changes</w:t>
      </w:r>
      <w:bookmarkEnd w:id="1414"/>
      <w:bookmarkEnd w:id="1415"/>
      <w:bookmarkEnd w:id="1416"/>
      <w:bookmarkEnd w:id="1417"/>
    </w:p>
    <w:p w14:paraId="33D029A1" w14:textId="77777777" w:rsidR="00421097" w:rsidRPr="00421097" w:rsidRDefault="00421097" w:rsidP="00421097">
      <w:pPr>
        <w:spacing w:after="200"/>
        <w:ind w:left="720"/>
        <w:rPr>
          <w:sz w:val="20"/>
        </w:rPr>
      </w:pPr>
      <w:r w:rsidRPr="00421097">
        <w:rPr>
          <w:sz w:val="20"/>
        </w:rPr>
        <w:t>You can change your plan during the minimum term provided you move to a plan with a higher monthly access fee. You cannot change your plan during the minimum term to a plan with the same or lower monthly access fee. If you change your plan during the minimum term a fee may apply and any handset repayments will remain the same.</w:t>
      </w:r>
    </w:p>
    <w:p w14:paraId="53D9E013" w14:textId="77777777" w:rsidR="00421097" w:rsidRPr="00421097" w:rsidRDefault="00421097" w:rsidP="00421097">
      <w:pPr>
        <w:numPr>
          <w:ilvl w:val="5"/>
          <w:numId w:val="1"/>
        </w:numPr>
        <w:spacing w:before="240" w:after="200"/>
        <w:outlineLvl w:val="5"/>
        <w:rPr>
          <w:rFonts w:eastAsia="Times New Roman"/>
          <w:bCs/>
          <w:sz w:val="20"/>
          <w:szCs w:val="22"/>
          <w:lang w:val="en-AU"/>
        </w:rPr>
      </w:pPr>
      <w:bookmarkStart w:id="1418" w:name="_Toc455149899"/>
      <w:bookmarkStart w:id="1419" w:name="_Toc465162125"/>
      <w:bookmarkStart w:id="1420" w:name="_Toc466892503"/>
      <w:bookmarkStart w:id="1421" w:name="_Toc475699577"/>
      <w:r w:rsidRPr="00421097">
        <w:rPr>
          <w:rFonts w:eastAsia="Times New Roman"/>
          <w:bCs/>
          <w:sz w:val="20"/>
          <w:szCs w:val="22"/>
          <w:lang w:val="en-AU"/>
        </w:rPr>
        <w:t>New Phone Trade Up</w:t>
      </w:r>
      <w:bookmarkEnd w:id="1418"/>
      <w:bookmarkEnd w:id="1419"/>
      <w:bookmarkEnd w:id="1420"/>
      <w:bookmarkEnd w:id="1421"/>
    </w:p>
    <w:p w14:paraId="687629E4" w14:textId="77777777" w:rsidR="00421097" w:rsidRPr="00421097" w:rsidRDefault="00421097" w:rsidP="00421097">
      <w:pPr>
        <w:spacing w:after="200"/>
        <w:ind w:left="720"/>
        <w:rPr>
          <w:sz w:val="20"/>
        </w:rPr>
      </w:pPr>
      <w:r w:rsidRPr="00421097">
        <w:rPr>
          <w:sz w:val="20"/>
        </w:rPr>
        <w:t>The plan referred to in this section includes the option of New Phone Trade Up, which can be exercised in two ways:</w:t>
      </w:r>
    </w:p>
    <w:p w14:paraId="18320CBD" w14:textId="77777777" w:rsidR="00421097" w:rsidRPr="00421097" w:rsidRDefault="00421097" w:rsidP="00421097">
      <w:pPr>
        <w:numPr>
          <w:ilvl w:val="6"/>
          <w:numId w:val="1"/>
        </w:numPr>
        <w:spacing w:after="200"/>
        <w:outlineLvl w:val="6"/>
        <w:rPr>
          <w:rFonts w:eastAsia="Times New Roman"/>
          <w:sz w:val="20"/>
          <w:lang w:val="en-AU"/>
        </w:rPr>
      </w:pPr>
      <w:r w:rsidRPr="00421097">
        <w:rPr>
          <w:rFonts w:eastAsia="Times New Roman"/>
          <w:sz w:val="20"/>
          <w:lang w:val="en-AU"/>
        </w:rPr>
        <w:t>New Phone Trade Up for $99</w:t>
      </w:r>
    </w:p>
    <w:p w14:paraId="531F5A45" w14:textId="77777777" w:rsidR="00421097" w:rsidRPr="00421097" w:rsidRDefault="00421097" w:rsidP="00421097">
      <w:pPr>
        <w:numPr>
          <w:ilvl w:val="7"/>
          <w:numId w:val="1"/>
        </w:numPr>
        <w:spacing w:after="200"/>
        <w:outlineLvl w:val="7"/>
        <w:rPr>
          <w:rFonts w:eastAsia="Times New Roman"/>
          <w:iCs/>
          <w:sz w:val="20"/>
          <w:lang w:val="en-AU"/>
        </w:rPr>
      </w:pPr>
      <w:r w:rsidRPr="00421097">
        <w:rPr>
          <w:rFonts w:eastAsia="Times New Roman"/>
          <w:iCs/>
          <w:sz w:val="20"/>
          <w:lang w:val="en-AU"/>
        </w:rPr>
        <w:t>After 12 months on this plan, you can pay a one fee of $99, return your original mobile phone to a Yes Optus store in good working order, purchase a new mobile phone on a new 24 month plan and sign documentation that will enable ownership of your original mobile phone to be transferred to a second hand dealer nominated by Optus.</w:t>
      </w:r>
    </w:p>
    <w:p w14:paraId="74D6D7F7" w14:textId="77777777" w:rsidR="00421097" w:rsidRPr="00421097" w:rsidRDefault="00421097" w:rsidP="00421097">
      <w:pPr>
        <w:numPr>
          <w:ilvl w:val="7"/>
          <w:numId w:val="1"/>
        </w:numPr>
        <w:spacing w:after="200"/>
        <w:outlineLvl w:val="7"/>
        <w:rPr>
          <w:rFonts w:eastAsia="Times New Roman"/>
          <w:iCs/>
          <w:sz w:val="20"/>
        </w:rPr>
      </w:pPr>
      <w:r w:rsidRPr="00421097">
        <w:rPr>
          <w:rFonts w:eastAsia="Times New Roman"/>
          <w:iCs/>
          <w:sz w:val="20"/>
        </w:rPr>
        <w:t>A mobile phone is considered to be in good working order when:</w:t>
      </w:r>
    </w:p>
    <w:p w14:paraId="712802D5" w14:textId="77777777" w:rsidR="00421097" w:rsidRPr="00421097" w:rsidRDefault="00421097" w:rsidP="00421097">
      <w:pPr>
        <w:numPr>
          <w:ilvl w:val="8"/>
          <w:numId w:val="1"/>
        </w:numPr>
        <w:spacing w:after="200"/>
        <w:outlineLvl w:val="8"/>
        <w:rPr>
          <w:rFonts w:eastAsia="Times New Roman"/>
          <w:sz w:val="20"/>
          <w:szCs w:val="22"/>
          <w:lang w:val="en-AU"/>
        </w:rPr>
      </w:pPr>
      <w:r w:rsidRPr="00421097">
        <w:rPr>
          <w:rFonts w:eastAsia="Times New Roman"/>
          <w:sz w:val="20"/>
          <w:szCs w:val="22"/>
          <w:lang w:val="en-AU"/>
        </w:rPr>
        <w:t xml:space="preserve">It can power on and off, </w:t>
      </w:r>
    </w:p>
    <w:p w14:paraId="270198FF" w14:textId="77777777" w:rsidR="00421097" w:rsidRPr="00421097" w:rsidRDefault="00421097" w:rsidP="00421097">
      <w:pPr>
        <w:numPr>
          <w:ilvl w:val="8"/>
          <w:numId w:val="1"/>
        </w:numPr>
        <w:spacing w:after="200"/>
        <w:outlineLvl w:val="8"/>
        <w:rPr>
          <w:rFonts w:eastAsia="Times New Roman"/>
          <w:sz w:val="20"/>
          <w:szCs w:val="22"/>
          <w:lang w:val="en-AU"/>
        </w:rPr>
      </w:pPr>
      <w:r w:rsidRPr="00421097">
        <w:rPr>
          <w:rFonts w:eastAsia="Times New Roman"/>
          <w:sz w:val="20"/>
          <w:szCs w:val="22"/>
          <w:lang w:val="en-AU"/>
        </w:rPr>
        <w:lastRenderedPageBreak/>
        <w:t xml:space="preserve">It has a touchscreen that is fully functional and has no imperfections such as lines or marks, </w:t>
      </w:r>
    </w:p>
    <w:p w14:paraId="03572C9B" w14:textId="77777777" w:rsidR="00421097" w:rsidRPr="00421097" w:rsidRDefault="00421097" w:rsidP="00421097">
      <w:pPr>
        <w:numPr>
          <w:ilvl w:val="8"/>
          <w:numId w:val="1"/>
        </w:numPr>
        <w:spacing w:after="200"/>
        <w:outlineLvl w:val="8"/>
        <w:rPr>
          <w:rFonts w:eastAsia="Times New Roman"/>
          <w:sz w:val="20"/>
          <w:szCs w:val="22"/>
          <w:lang w:val="en-AU"/>
        </w:rPr>
      </w:pPr>
      <w:r w:rsidRPr="00421097">
        <w:rPr>
          <w:rFonts w:eastAsia="Times New Roman"/>
          <w:sz w:val="20"/>
          <w:szCs w:val="22"/>
          <w:lang w:val="en-AU"/>
        </w:rPr>
        <w:t xml:space="preserve">It does not have any missing buttons or damage to other components such as charging ports, SIM tray, </w:t>
      </w:r>
    </w:p>
    <w:p w14:paraId="4256F21A" w14:textId="77777777" w:rsidR="00421097" w:rsidRPr="00421097" w:rsidRDefault="00421097" w:rsidP="00421097">
      <w:pPr>
        <w:numPr>
          <w:ilvl w:val="8"/>
          <w:numId w:val="1"/>
        </w:numPr>
        <w:spacing w:after="200"/>
        <w:outlineLvl w:val="8"/>
        <w:rPr>
          <w:rFonts w:eastAsia="Times New Roman"/>
          <w:sz w:val="20"/>
          <w:szCs w:val="22"/>
          <w:lang w:val="en-AU"/>
        </w:rPr>
      </w:pPr>
      <w:r w:rsidRPr="00421097">
        <w:rPr>
          <w:rFonts w:eastAsia="Times New Roman"/>
          <w:sz w:val="20"/>
          <w:szCs w:val="22"/>
          <w:lang w:val="en-AU"/>
        </w:rPr>
        <w:t xml:space="preserve">The mobile phone (including the touchscreen) is not cracked and does not have any severe scratches (normal wear and tear such as light marks and scratches are okay); and </w:t>
      </w:r>
    </w:p>
    <w:p w14:paraId="1C92A757" w14:textId="77777777" w:rsidR="00421097" w:rsidRPr="00421097" w:rsidRDefault="00421097" w:rsidP="00421097">
      <w:pPr>
        <w:numPr>
          <w:ilvl w:val="8"/>
          <w:numId w:val="1"/>
        </w:numPr>
        <w:spacing w:after="200"/>
        <w:outlineLvl w:val="8"/>
        <w:rPr>
          <w:rFonts w:eastAsia="Times New Roman"/>
          <w:sz w:val="20"/>
          <w:szCs w:val="22"/>
          <w:lang w:val="en-AU"/>
        </w:rPr>
      </w:pPr>
      <w:r w:rsidRPr="00421097">
        <w:rPr>
          <w:rFonts w:eastAsia="Times New Roman"/>
          <w:sz w:val="20"/>
          <w:szCs w:val="22"/>
          <w:lang w:val="en-AU"/>
        </w:rPr>
        <w:t xml:space="preserve">Any locking features are disabled. </w:t>
      </w:r>
    </w:p>
    <w:p w14:paraId="412A6A8E" w14:textId="77777777" w:rsidR="00421097" w:rsidRPr="00421097" w:rsidRDefault="00421097" w:rsidP="00421097">
      <w:pPr>
        <w:numPr>
          <w:ilvl w:val="7"/>
          <w:numId w:val="1"/>
        </w:numPr>
        <w:spacing w:after="200"/>
        <w:outlineLvl w:val="7"/>
        <w:rPr>
          <w:rFonts w:eastAsia="Times New Roman"/>
          <w:iCs/>
          <w:sz w:val="20"/>
          <w:lang w:val="en-AU"/>
        </w:rPr>
      </w:pPr>
      <w:r w:rsidRPr="00421097">
        <w:rPr>
          <w:rFonts w:eastAsia="Times New Roman"/>
          <w:iCs/>
          <w:sz w:val="20"/>
          <w:lang w:val="en-AU"/>
        </w:rPr>
        <w:t xml:space="preserve">The mobile phone you return in accordance with section 9.6(a) must be the mobile phone you purchased when you took up the plan referred to in this section. </w:t>
      </w:r>
    </w:p>
    <w:p w14:paraId="13469B09" w14:textId="77777777" w:rsidR="00421097" w:rsidRPr="00421097" w:rsidRDefault="00421097" w:rsidP="00421097">
      <w:pPr>
        <w:numPr>
          <w:ilvl w:val="7"/>
          <w:numId w:val="1"/>
        </w:numPr>
        <w:spacing w:after="200"/>
        <w:outlineLvl w:val="7"/>
        <w:rPr>
          <w:rFonts w:eastAsia="Times New Roman"/>
          <w:iCs/>
          <w:sz w:val="20"/>
          <w:lang w:val="en-AU"/>
        </w:rPr>
      </w:pPr>
      <w:r w:rsidRPr="00421097">
        <w:rPr>
          <w:rFonts w:eastAsia="Times New Roman"/>
          <w:iCs/>
          <w:sz w:val="20"/>
          <w:lang w:val="en-AU"/>
        </w:rPr>
        <w:t xml:space="preserve">When you seek to exercise this option and meet the relevant conditions, Optus agrees to waive any remaining mobile phone repayment charges on the mobile phone you are returning. </w:t>
      </w:r>
    </w:p>
    <w:p w14:paraId="16B66CC2" w14:textId="77777777" w:rsidR="00421097" w:rsidRPr="00421097" w:rsidRDefault="00421097" w:rsidP="00421097">
      <w:pPr>
        <w:numPr>
          <w:ilvl w:val="7"/>
          <w:numId w:val="1"/>
        </w:numPr>
        <w:spacing w:after="200"/>
        <w:outlineLvl w:val="7"/>
        <w:rPr>
          <w:rFonts w:eastAsia="Times New Roman"/>
          <w:iCs/>
          <w:sz w:val="20"/>
          <w:lang w:val="en-AU"/>
        </w:rPr>
      </w:pPr>
      <w:r w:rsidRPr="00421097">
        <w:rPr>
          <w:rFonts w:eastAsia="Times New Roman"/>
          <w:iCs/>
          <w:sz w:val="20"/>
          <w:lang w:val="en-AU"/>
        </w:rPr>
        <w:t xml:space="preserve">By exercising this option, you acknowledge that the second hand device vendor will pay Optus a fee on your behalf for the mobile phone you return in part consideration of Optus waiving your remaining mobile phone repayments on the phone you are returning. </w:t>
      </w:r>
    </w:p>
    <w:p w14:paraId="6F7702B3" w14:textId="77777777" w:rsidR="00421097" w:rsidRPr="00421097" w:rsidRDefault="00421097" w:rsidP="00421097">
      <w:pPr>
        <w:numPr>
          <w:ilvl w:val="6"/>
          <w:numId w:val="1"/>
        </w:numPr>
        <w:spacing w:after="200"/>
        <w:outlineLvl w:val="6"/>
        <w:rPr>
          <w:rFonts w:eastAsia="Times New Roman"/>
          <w:sz w:val="20"/>
          <w:lang w:val="en-AU"/>
        </w:rPr>
      </w:pPr>
      <w:r w:rsidRPr="00421097">
        <w:rPr>
          <w:rFonts w:eastAsia="Times New Roman"/>
          <w:sz w:val="20"/>
          <w:lang w:val="en-AU"/>
        </w:rPr>
        <w:t>Keep existing mobile phone</w:t>
      </w:r>
    </w:p>
    <w:p w14:paraId="43AF7E05" w14:textId="77777777" w:rsidR="00421097" w:rsidRPr="00421097" w:rsidRDefault="00421097" w:rsidP="00421097">
      <w:pPr>
        <w:numPr>
          <w:ilvl w:val="7"/>
          <w:numId w:val="1"/>
        </w:numPr>
        <w:spacing w:after="200"/>
        <w:outlineLvl w:val="7"/>
        <w:rPr>
          <w:rFonts w:eastAsia="Times New Roman"/>
          <w:iCs/>
          <w:sz w:val="20"/>
          <w:lang w:val="en-AU"/>
        </w:rPr>
      </w:pPr>
      <w:r w:rsidRPr="00421097">
        <w:rPr>
          <w:rFonts w:eastAsia="Times New Roman"/>
          <w:iCs/>
          <w:sz w:val="20"/>
          <w:lang w:val="en-AU"/>
        </w:rPr>
        <w:t>Alternatively and instead of paying $99, if you wish to keep your original mobile handset, you can simply pay out the full remaining cost of your mobile handset, including any monthly handset credit that Optus was going to cover and purchase a new mobile phone on a new 24 month plan.</w:t>
      </w:r>
    </w:p>
    <w:p w14:paraId="3E825C5C" w14:textId="77777777" w:rsidR="00421097" w:rsidRPr="00421097" w:rsidRDefault="00421097" w:rsidP="00421097">
      <w:pPr>
        <w:numPr>
          <w:ilvl w:val="5"/>
          <w:numId w:val="1"/>
        </w:numPr>
        <w:spacing w:before="240" w:after="200"/>
        <w:outlineLvl w:val="5"/>
        <w:rPr>
          <w:rFonts w:eastAsia="Times New Roman"/>
          <w:bCs/>
          <w:sz w:val="20"/>
          <w:szCs w:val="22"/>
          <w:lang w:val="en-AU"/>
        </w:rPr>
      </w:pPr>
      <w:bookmarkStart w:id="1422" w:name="_Toc455149900"/>
      <w:bookmarkStart w:id="1423" w:name="_Toc465162126"/>
      <w:bookmarkStart w:id="1424" w:name="_Toc466892504"/>
      <w:bookmarkStart w:id="1425" w:name="_Toc475699578"/>
      <w:r w:rsidRPr="00421097">
        <w:rPr>
          <w:rFonts w:eastAsia="Times New Roman"/>
          <w:bCs/>
          <w:sz w:val="20"/>
          <w:szCs w:val="22"/>
          <w:lang w:val="en-AU"/>
        </w:rPr>
        <w:t>Data Sharing</w:t>
      </w:r>
      <w:bookmarkEnd w:id="1422"/>
      <w:bookmarkEnd w:id="1423"/>
      <w:bookmarkEnd w:id="1424"/>
      <w:bookmarkEnd w:id="1425"/>
    </w:p>
    <w:p w14:paraId="2A1E0765" w14:textId="77777777" w:rsidR="00421097" w:rsidRPr="00421097" w:rsidRDefault="00421097" w:rsidP="00421097">
      <w:pPr>
        <w:numPr>
          <w:ilvl w:val="6"/>
          <w:numId w:val="1"/>
        </w:numPr>
        <w:spacing w:after="200"/>
        <w:outlineLvl w:val="6"/>
        <w:rPr>
          <w:rFonts w:eastAsia="Times New Roman"/>
          <w:sz w:val="20"/>
          <w:lang w:val="en-AU"/>
        </w:rPr>
      </w:pPr>
      <w:r w:rsidRPr="00421097">
        <w:rPr>
          <w:rFonts w:eastAsia="Times New Roman"/>
          <w:sz w:val="20"/>
          <w:lang w:val="en-AU"/>
        </w:rPr>
        <w:t xml:space="preserve">If </w:t>
      </w:r>
      <w:r w:rsidRPr="00421097">
        <w:rPr>
          <w:rFonts w:eastAsia="Times New Roman"/>
          <w:i/>
          <w:sz w:val="20"/>
          <w:lang w:val="en-AU"/>
        </w:rPr>
        <w:t xml:space="preserve">you </w:t>
      </w:r>
      <w:r w:rsidRPr="00421097">
        <w:rPr>
          <w:rFonts w:eastAsia="Times New Roman"/>
          <w:sz w:val="20"/>
          <w:lang w:val="en-AU"/>
        </w:rPr>
        <w:t>have more than one My Plan Plus, My Plan Plus SIM Only, My Plan Business (including Tech Fund), My Plan Business SIM, My Mobile Broadband Plus or Mobile Broadband Business on the same billing account, the included data will combine into one data pool, which will be shared by all eligible services on that account.</w:t>
      </w:r>
    </w:p>
    <w:p w14:paraId="5D0E7C97" w14:textId="77777777" w:rsidR="00421097" w:rsidRPr="00421097" w:rsidRDefault="00421097" w:rsidP="00421097">
      <w:pPr>
        <w:numPr>
          <w:ilvl w:val="6"/>
          <w:numId w:val="1"/>
        </w:numPr>
        <w:spacing w:after="200"/>
        <w:outlineLvl w:val="6"/>
        <w:rPr>
          <w:rFonts w:eastAsia="Times New Roman"/>
          <w:sz w:val="20"/>
          <w:lang w:val="en-AU"/>
        </w:rPr>
      </w:pPr>
      <w:r w:rsidRPr="00421097">
        <w:rPr>
          <w:rFonts w:eastAsia="Times New Roman"/>
          <w:sz w:val="20"/>
          <w:lang w:val="en-AU"/>
        </w:rPr>
        <w:t xml:space="preserve">If </w:t>
      </w:r>
      <w:r w:rsidRPr="00421097">
        <w:rPr>
          <w:rFonts w:eastAsia="Times New Roman"/>
          <w:i/>
          <w:sz w:val="20"/>
          <w:lang w:val="en-AU"/>
        </w:rPr>
        <w:t>you</w:t>
      </w:r>
      <w:r w:rsidRPr="00421097">
        <w:rPr>
          <w:rFonts w:eastAsia="Times New Roman"/>
          <w:sz w:val="20"/>
          <w:lang w:val="en-AU"/>
        </w:rPr>
        <w:t xml:space="preserve"> do not want </w:t>
      </w:r>
      <w:r w:rsidRPr="00421097">
        <w:rPr>
          <w:rFonts w:eastAsia="Times New Roman"/>
          <w:i/>
          <w:sz w:val="20"/>
          <w:lang w:val="en-AU"/>
        </w:rPr>
        <w:t>your</w:t>
      </w:r>
      <w:r w:rsidRPr="00421097">
        <w:rPr>
          <w:rFonts w:eastAsia="Times New Roman"/>
          <w:sz w:val="20"/>
          <w:lang w:val="en-AU"/>
        </w:rPr>
        <w:t xml:space="preserve"> services on any My Plan Plus, My Plan Plus SIM Only, My Plan Business (including Tech Fund), My Plan Business SIM, My Mobile Broadband Plus or Mobile Broadband Business plans to share data, they need to be on separate billing accounts. .</w:t>
      </w:r>
    </w:p>
    <w:p w14:paraId="0FCE90F7" w14:textId="77777777" w:rsidR="00421097" w:rsidRPr="00421097" w:rsidRDefault="00421097" w:rsidP="00421097">
      <w:pPr>
        <w:numPr>
          <w:ilvl w:val="6"/>
          <w:numId w:val="1"/>
        </w:numPr>
        <w:spacing w:after="200"/>
        <w:outlineLvl w:val="6"/>
        <w:rPr>
          <w:rFonts w:eastAsia="Times New Roman"/>
          <w:sz w:val="20"/>
        </w:rPr>
      </w:pPr>
      <w:r w:rsidRPr="00421097">
        <w:rPr>
          <w:rFonts w:eastAsia="Times New Roman"/>
          <w:sz w:val="20"/>
        </w:rPr>
        <w:t>Data sharing is only available within Australia.</w:t>
      </w:r>
    </w:p>
    <w:p w14:paraId="029BFA9F" w14:textId="77777777" w:rsidR="00421097" w:rsidRPr="00421097" w:rsidRDefault="00421097" w:rsidP="00421097">
      <w:pPr>
        <w:numPr>
          <w:ilvl w:val="5"/>
          <w:numId w:val="1"/>
        </w:numPr>
        <w:spacing w:before="240" w:after="200"/>
        <w:outlineLvl w:val="5"/>
        <w:rPr>
          <w:rFonts w:eastAsia="Times New Roman"/>
          <w:bCs/>
          <w:sz w:val="20"/>
          <w:szCs w:val="22"/>
          <w:lang w:val="en-AU"/>
        </w:rPr>
      </w:pPr>
      <w:bookmarkStart w:id="1426" w:name="_Toc455149901"/>
      <w:bookmarkStart w:id="1427" w:name="_Toc465162127"/>
      <w:bookmarkStart w:id="1428" w:name="_Toc466892505"/>
      <w:bookmarkStart w:id="1429" w:name="_Toc475699579"/>
      <w:r w:rsidRPr="00421097">
        <w:rPr>
          <w:rFonts w:eastAsia="Times New Roman"/>
          <w:bCs/>
          <w:sz w:val="20"/>
          <w:szCs w:val="22"/>
          <w:lang w:val="en-AU"/>
        </w:rPr>
        <w:t>International Minutes</w:t>
      </w:r>
      <w:bookmarkEnd w:id="1426"/>
      <w:bookmarkEnd w:id="1427"/>
      <w:bookmarkEnd w:id="1428"/>
      <w:bookmarkEnd w:id="1429"/>
    </w:p>
    <w:p w14:paraId="34EA63A7" w14:textId="77777777" w:rsidR="00421097" w:rsidRPr="00421097" w:rsidRDefault="00421097" w:rsidP="00421097">
      <w:pPr>
        <w:spacing w:after="200"/>
        <w:ind w:left="720"/>
        <w:rPr>
          <w:sz w:val="20"/>
        </w:rPr>
      </w:pPr>
      <w:r w:rsidRPr="00421097">
        <w:rPr>
          <w:sz w:val="20"/>
        </w:rPr>
        <w:t>The $125 My Plan Business ($105 Promo) plan includes unlimited international minutes for standard calls to mobiles and fixed lines in selected countries. From 5 February 2017 the following countries will also be included: Canada, Hong Kong, South Korea and Thailand. For a list of selected countries see Table 3 below.</w:t>
      </w:r>
    </w:p>
    <w:p w14:paraId="1EFDD8DC" w14:textId="77777777" w:rsidR="00421097" w:rsidRPr="00421097" w:rsidRDefault="00421097" w:rsidP="00421097">
      <w:pPr>
        <w:spacing w:after="200"/>
        <w:ind w:left="720"/>
        <w:rPr>
          <w:sz w:val="20"/>
        </w:rPr>
      </w:pPr>
      <w:r w:rsidRPr="00421097">
        <w:rPr>
          <w:sz w:val="20"/>
        </w:rPr>
        <w:t>Calls to non- selected countries are charged at standard 'yes' international call rates.</w:t>
      </w:r>
    </w:p>
    <w:p w14:paraId="0B753C94" w14:textId="77777777" w:rsidR="00421097" w:rsidRPr="00421097" w:rsidRDefault="00421097" w:rsidP="00421097">
      <w:pPr>
        <w:numPr>
          <w:ilvl w:val="5"/>
          <w:numId w:val="1"/>
        </w:numPr>
        <w:spacing w:before="240" w:after="200"/>
        <w:outlineLvl w:val="5"/>
        <w:rPr>
          <w:rFonts w:eastAsia="Times New Roman"/>
          <w:bCs/>
          <w:sz w:val="20"/>
          <w:szCs w:val="22"/>
          <w:lang w:val="en-AU"/>
        </w:rPr>
      </w:pPr>
      <w:bookmarkStart w:id="1430" w:name="_Toc414345861"/>
      <w:bookmarkStart w:id="1431" w:name="_Toc414347455"/>
      <w:bookmarkStart w:id="1432" w:name="_Toc455149902"/>
      <w:bookmarkStart w:id="1433" w:name="_Toc465162128"/>
      <w:bookmarkStart w:id="1434" w:name="_Toc466892506"/>
      <w:bookmarkStart w:id="1435" w:name="_Toc475699580"/>
      <w:r w:rsidRPr="00421097">
        <w:rPr>
          <w:rFonts w:eastAsia="Times New Roman"/>
          <w:bCs/>
          <w:sz w:val="20"/>
          <w:szCs w:val="22"/>
          <w:lang w:val="en-AU"/>
        </w:rPr>
        <w:t>Unlimited standard national SMS and MMS</w:t>
      </w:r>
      <w:bookmarkEnd w:id="1430"/>
      <w:bookmarkEnd w:id="1431"/>
      <w:bookmarkEnd w:id="1432"/>
      <w:bookmarkEnd w:id="1433"/>
      <w:bookmarkEnd w:id="1434"/>
      <w:bookmarkEnd w:id="1435"/>
    </w:p>
    <w:p w14:paraId="2BA1A646" w14:textId="77777777" w:rsidR="00421097" w:rsidRPr="00421097" w:rsidRDefault="00421097" w:rsidP="00421097">
      <w:pPr>
        <w:spacing w:after="200"/>
        <w:ind w:firstLine="720"/>
        <w:rPr>
          <w:sz w:val="20"/>
        </w:rPr>
      </w:pPr>
      <w:r w:rsidRPr="00421097">
        <w:rPr>
          <w:i/>
          <w:sz w:val="20"/>
        </w:rPr>
        <w:t>You</w:t>
      </w:r>
      <w:r w:rsidRPr="00421097">
        <w:rPr>
          <w:sz w:val="20"/>
        </w:rPr>
        <w:t xml:space="preserve"> may send unlimited standard SMS and MMS to Australian mobiles from within Australia.</w:t>
      </w:r>
    </w:p>
    <w:p w14:paraId="7374A138" w14:textId="77777777" w:rsidR="00421097" w:rsidRPr="00421097" w:rsidRDefault="00421097" w:rsidP="00421097">
      <w:pPr>
        <w:spacing w:after="200"/>
        <w:ind w:left="720"/>
        <w:rPr>
          <w:i/>
          <w:sz w:val="20"/>
          <w:u w:val="single"/>
        </w:rPr>
      </w:pPr>
      <w:r w:rsidRPr="00421097">
        <w:rPr>
          <w:sz w:val="20"/>
        </w:rPr>
        <w:t xml:space="preserve">Unlimited standard national SMS and MMS are only available for personal and ordinary business use and are not to be used for a commercial or non-ordinary purpose as set out in the </w:t>
      </w:r>
      <w:hyperlink r:id="rId709" w:history="1">
        <w:r w:rsidRPr="00421097">
          <w:rPr>
            <w:i/>
            <w:color w:val="13607C"/>
            <w:sz w:val="18"/>
            <w:u w:val="single"/>
          </w:rPr>
          <w:t>Fair Go Policy</w:t>
        </w:r>
      </w:hyperlink>
      <w:r w:rsidRPr="00421097">
        <w:rPr>
          <w:sz w:val="20"/>
        </w:rPr>
        <w:t xml:space="preserve">. For further details refer to </w:t>
      </w:r>
      <w:hyperlink r:id="rId710" w:history="1">
        <w:r w:rsidRPr="00421097">
          <w:rPr>
            <w:i/>
            <w:color w:val="13607C"/>
            <w:sz w:val="18"/>
            <w:u w:val="single"/>
          </w:rPr>
          <w:t>Appendix S.</w:t>
        </w:r>
      </w:hyperlink>
    </w:p>
    <w:p w14:paraId="5C59E0B8" w14:textId="77777777" w:rsidR="00421097" w:rsidRPr="00421097" w:rsidRDefault="00421097" w:rsidP="00421097">
      <w:pPr>
        <w:numPr>
          <w:ilvl w:val="5"/>
          <w:numId w:val="1"/>
        </w:numPr>
        <w:spacing w:before="240" w:after="200"/>
        <w:outlineLvl w:val="5"/>
        <w:rPr>
          <w:rFonts w:eastAsia="Times New Roman"/>
          <w:bCs/>
          <w:sz w:val="20"/>
          <w:szCs w:val="22"/>
          <w:lang w:val="en-AU"/>
        </w:rPr>
      </w:pPr>
      <w:bookmarkStart w:id="1436" w:name="_Toc414345862"/>
      <w:bookmarkStart w:id="1437" w:name="_Toc414347456"/>
      <w:bookmarkStart w:id="1438" w:name="_Toc455149903"/>
      <w:bookmarkStart w:id="1439" w:name="_Toc465162129"/>
      <w:bookmarkStart w:id="1440" w:name="_Toc466892507"/>
      <w:bookmarkStart w:id="1441" w:name="_Toc475699581"/>
      <w:r w:rsidRPr="00421097">
        <w:rPr>
          <w:rFonts w:eastAsia="Times New Roman"/>
          <w:bCs/>
          <w:sz w:val="20"/>
          <w:szCs w:val="22"/>
          <w:lang w:val="en-AU"/>
        </w:rPr>
        <w:t>Unlimited standard international SMS and MMS</w:t>
      </w:r>
      <w:bookmarkEnd w:id="1436"/>
      <w:bookmarkEnd w:id="1437"/>
      <w:bookmarkEnd w:id="1438"/>
      <w:bookmarkEnd w:id="1439"/>
      <w:bookmarkEnd w:id="1440"/>
      <w:bookmarkEnd w:id="1441"/>
    </w:p>
    <w:p w14:paraId="7F0EEAF3" w14:textId="77777777" w:rsidR="00421097" w:rsidRPr="00421097" w:rsidRDefault="00421097" w:rsidP="00421097">
      <w:pPr>
        <w:spacing w:after="200"/>
        <w:ind w:firstLine="720"/>
        <w:rPr>
          <w:sz w:val="20"/>
        </w:rPr>
      </w:pPr>
      <w:r w:rsidRPr="00421097">
        <w:rPr>
          <w:i/>
          <w:sz w:val="20"/>
        </w:rPr>
        <w:lastRenderedPageBreak/>
        <w:t>You</w:t>
      </w:r>
      <w:r w:rsidRPr="00421097">
        <w:rPr>
          <w:sz w:val="20"/>
        </w:rPr>
        <w:t xml:space="preserve"> may send unlimited standard SMS and MMS to selected countries as set out in Table 3 below.</w:t>
      </w:r>
    </w:p>
    <w:p w14:paraId="7A5872FF" w14:textId="77777777" w:rsidR="00421097" w:rsidRPr="00421097" w:rsidRDefault="00421097" w:rsidP="00421097">
      <w:pPr>
        <w:spacing w:after="200"/>
        <w:ind w:left="720"/>
        <w:rPr>
          <w:sz w:val="20"/>
        </w:rPr>
      </w:pPr>
      <w:r w:rsidRPr="00421097">
        <w:rPr>
          <w:sz w:val="20"/>
        </w:rPr>
        <w:t xml:space="preserve">Unlimited standard SMS and MMS are only available for personal and ordinary business use and are not to be used for a commercial or non-ordinary purpose as set out in the Fair Go Policy. For further details refer to </w:t>
      </w:r>
      <w:hyperlink r:id="rId711" w:history="1">
        <w:r w:rsidRPr="00421097">
          <w:rPr>
            <w:i/>
            <w:color w:val="13607C"/>
            <w:sz w:val="18"/>
            <w:u w:val="single"/>
          </w:rPr>
          <w:t>Appendix S</w:t>
        </w:r>
      </w:hyperlink>
      <w:r w:rsidRPr="00421097">
        <w:rPr>
          <w:sz w:val="20"/>
        </w:rPr>
        <w:t>.</w:t>
      </w:r>
    </w:p>
    <w:p w14:paraId="2E409141" w14:textId="77777777" w:rsidR="00421097" w:rsidRPr="00421097" w:rsidRDefault="00421097" w:rsidP="00421097">
      <w:pPr>
        <w:numPr>
          <w:ilvl w:val="5"/>
          <w:numId w:val="1"/>
        </w:numPr>
        <w:spacing w:before="240" w:after="200"/>
        <w:outlineLvl w:val="5"/>
        <w:rPr>
          <w:rFonts w:eastAsia="Times New Roman"/>
          <w:bCs/>
          <w:sz w:val="20"/>
          <w:szCs w:val="22"/>
          <w:lang w:val="en-AU"/>
        </w:rPr>
      </w:pPr>
      <w:bookmarkStart w:id="1442" w:name="_Toc465162130"/>
      <w:bookmarkStart w:id="1443" w:name="_Toc466892508"/>
      <w:bookmarkStart w:id="1444" w:name="_Toc475699582"/>
      <w:r w:rsidRPr="00421097">
        <w:rPr>
          <w:rFonts w:eastAsia="Times New Roman"/>
          <w:bCs/>
          <w:sz w:val="20"/>
          <w:szCs w:val="22"/>
          <w:lang w:val="en-AU"/>
        </w:rPr>
        <w:t>International Roaming</w:t>
      </w:r>
      <w:bookmarkEnd w:id="1442"/>
      <w:bookmarkEnd w:id="1443"/>
      <w:bookmarkEnd w:id="1444"/>
      <w:r w:rsidRPr="00421097">
        <w:rPr>
          <w:rFonts w:eastAsia="Times New Roman"/>
          <w:bCs/>
          <w:sz w:val="20"/>
          <w:szCs w:val="22"/>
          <w:lang w:val="en-AU"/>
        </w:rPr>
        <w:t xml:space="preserve"> </w:t>
      </w:r>
    </w:p>
    <w:p w14:paraId="7E1144C0" w14:textId="77777777" w:rsidR="00421097" w:rsidRPr="00421097" w:rsidRDefault="00421097" w:rsidP="00421097">
      <w:pPr>
        <w:spacing w:after="200"/>
        <w:ind w:left="720"/>
        <w:rPr>
          <w:sz w:val="20"/>
        </w:rPr>
      </w:pPr>
      <w:r w:rsidRPr="00421097">
        <w:rPr>
          <w:rFonts w:cs="Arial"/>
          <w:sz w:val="20"/>
          <w:lang w:val="en-AU" w:eastAsia="en-AU"/>
        </w:rPr>
        <w:t xml:space="preserve">The </w:t>
      </w:r>
      <w:r w:rsidRPr="00421097">
        <w:rPr>
          <w:sz w:val="20"/>
        </w:rPr>
        <w:t xml:space="preserve">$125 My Plan Business ($105 Promo) </w:t>
      </w:r>
      <w:r w:rsidRPr="00421097">
        <w:rPr>
          <w:rFonts w:cs="Arial"/>
          <w:sz w:val="20"/>
          <w:lang w:val="en-AU" w:eastAsia="en-AU"/>
        </w:rPr>
        <w:t>plan will receive unlimited standard national and international voice, SMS (MMS is excluded) plus 1.5GB of data to use in Zone 1 countries within each billing month. If you are not in a Zone 1 country you will be charged at standard roaming rates for that country.</w:t>
      </w:r>
      <w:r w:rsidRPr="00421097">
        <w:rPr>
          <w:rFonts w:cs="Arial"/>
          <w:sz w:val="20"/>
          <w:lang w:val="en-AU" w:eastAsia="en-AU"/>
        </w:rPr>
        <w:br/>
      </w:r>
      <w:r w:rsidRPr="00421097">
        <w:rPr>
          <w:rFonts w:cs="Arial"/>
          <w:sz w:val="20"/>
          <w:lang w:val="en-AU" w:eastAsia="en-AU"/>
        </w:rPr>
        <w:br/>
        <w:t>If you exceed the data limit, standard data roaming charges will apply. Any data provided is not shareable and will not form part of any Data Pool. Any unused data will be forfeited and cannot be rolled over to the next billing month. For list of countries see optus.com.au/biztravel</w:t>
      </w:r>
    </w:p>
    <w:p w14:paraId="7787674B" w14:textId="77777777" w:rsidR="00421097" w:rsidRPr="00421097" w:rsidRDefault="00421097" w:rsidP="00421097">
      <w:pPr>
        <w:spacing w:after="200"/>
        <w:ind w:firstLine="720"/>
        <w:rPr>
          <w:sz w:val="20"/>
        </w:rPr>
      </w:pPr>
      <w:r w:rsidRPr="00421097">
        <w:rPr>
          <w:sz w:val="20"/>
        </w:rPr>
        <w:t>I</w:t>
      </w:r>
      <w:r w:rsidRPr="00421097">
        <w:rPr>
          <w:bCs/>
          <w:sz w:val="20"/>
        </w:rPr>
        <w:t>f you are not in a Zone 1 country you will be charged at standard roaming rates for that country.</w:t>
      </w:r>
    </w:p>
    <w:p w14:paraId="209297AB" w14:textId="77777777" w:rsidR="00421097" w:rsidRPr="00421097" w:rsidRDefault="00421097" w:rsidP="00421097">
      <w:pPr>
        <w:numPr>
          <w:ilvl w:val="5"/>
          <w:numId w:val="1"/>
        </w:numPr>
        <w:spacing w:before="240" w:after="200"/>
        <w:outlineLvl w:val="5"/>
        <w:rPr>
          <w:rFonts w:eastAsia="Times New Roman"/>
          <w:bCs/>
          <w:sz w:val="20"/>
          <w:szCs w:val="22"/>
          <w:lang w:val="en-AU"/>
        </w:rPr>
      </w:pPr>
      <w:bookmarkStart w:id="1445" w:name="_Toc414345863"/>
      <w:bookmarkStart w:id="1446" w:name="_Toc414347457"/>
      <w:bookmarkStart w:id="1447" w:name="_Toc455149905"/>
      <w:bookmarkStart w:id="1448" w:name="_Ref458717544"/>
      <w:bookmarkStart w:id="1449" w:name="_Toc465162132"/>
      <w:bookmarkStart w:id="1450" w:name="_Toc466892509"/>
      <w:bookmarkStart w:id="1451" w:name="_Toc475699583"/>
      <w:r w:rsidRPr="00421097">
        <w:rPr>
          <w:rFonts w:eastAsia="Times New Roman"/>
          <w:bCs/>
          <w:sz w:val="20"/>
          <w:szCs w:val="22"/>
          <w:lang w:val="en-AU"/>
        </w:rPr>
        <w:t>Additional benefit – Handset Credit</w:t>
      </w:r>
      <w:bookmarkEnd w:id="1445"/>
      <w:bookmarkEnd w:id="1446"/>
      <w:bookmarkEnd w:id="1447"/>
      <w:bookmarkEnd w:id="1448"/>
      <w:bookmarkEnd w:id="1449"/>
      <w:bookmarkEnd w:id="1450"/>
      <w:bookmarkEnd w:id="1451"/>
    </w:p>
    <w:p w14:paraId="32D1327F" w14:textId="77777777" w:rsidR="00421097" w:rsidRPr="00421097" w:rsidRDefault="00421097" w:rsidP="00421097">
      <w:pPr>
        <w:numPr>
          <w:ilvl w:val="6"/>
          <w:numId w:val="1"/>
        </w:numPr>
        <w:spacing w:after="200"/>
        <w:outlineLvl w:val="6"/>
        <w:rPr>
          <w:rFonts w:eastAsia="Times New Roman"/>
          <w:sz w:val="20"/>
          <w:lang w:val="en-AU"/>
        </w:rPr>
      </w:pPr>
      <w:r w:rsidRPr="00421097">
        <w:rPr>
          <w:rFonts w:eastAsia="Times New Roman"/>
          <w:i/>
          <w:sz w:val="20"/>
          <w:lang w:val="en-AU"/>
        </w:rPr>
        <w:t xml:space="preserve">When you </w:t>
      </w:r>
      <w:r w:rsidRPr="00421097">
        <w:rPr>
          <w:rFonts w:eastAsia="Times New Roman"/>
          <w:sz w:val="20"/>
          <w:lang w:val="en-AU"/>
        </w:rPr>
        <w:t>connect to a My Plan Business which has a monthly phone credit ('</w:t>
      </w:r>
      <w:r w:rsidRPr="00421097">
        <w:rPr>
          <w:rFonts w:eastAsia="Times New Roman"/>
          <w:b/>
          <w:sz w:val="20"/>
          <w:lang w:val="en-AU"/>
        </w:rPr>
        <w:t>Handset Credit</w:t>
      </w:r>
      <w:r w:rsidRPr="00421097">
        <w:rPr>
          <w:rFonts w:eastAsia="Times New Roman"/>
          <w:sz w:val="20"/>
          <w:lang w:val="en-AU"/>
        </w:rPr>
        <w:t xml:space="preserve">') each month for </w:t>
      </w:r>
      <w:r w:rsidRPr="00421097">
        <w:rPr>
          <w:rFonts w:eastAsia="Times New Roman"/>
          <w:i/>
          <w:sz w:val="20"/>
          <w:lang w:val="en-AU"/>
        </w:rPr>
        <w:t>your minimum term</w:t>
      </w:r>
      <w:r w:rsidRPr="00421097">
        <w:rPr>
          <w:rFonts w:eastAsia="Times New Roman"/>
          <w:sz w:val="20"/>
          <w:lang w:val="en-AU"/>
        </w:rPr>
        <w:t xml:space="preserve">, this will reduce the monthly repayment costs of the handset </w:t>
      </w:r>
      <w:r w:rsidRPr="00421097">
        <w:rPr>
          <w:rFonts w:eastAsia="Times New Roman"/>
          <w:i/>
          <w:sz w:val="20"/>
          <w:lang w:val="en-AU"/>
        </w:rPr>
        <w:t xml:space="preserve">you </w:t>
      </w:r>
      <w:r w:rsidRPr="00421097">
        <w:rPr>
          <w:rFonts w:eastAsia="Times New Roman"/>
          <w:sz w:val="20"/>
          <w:lang w:val="en-AU"/>
        </w:rPr>
        <w:t xml:space="preserve">have chosen with </w:t>
      </w:r>
      <w:r w:rsidRPr="00421097">
        <w:rPr>
          <w:rFonts w:eastAsia="Times New Roman"/>
          <w:i/>
          <w:sz w:val="20"/>
          <w:lang w:val="en-AU"/>
        </w:rPr>
        <w:t>your pricing plan</w:t>
      </w:r>
      <w:r w:rsidRPr="00421097">
        <w:rPr>
          <w:rFonts w:eastAsia="Times New Roman"/>
          <w:sz w:val="20"/>
          <w:lang w:val="en-AU"/>
        </w:rPr>
        <w:t xml:space="preserve">. </w:t>
      </w:r>
    </w:p>
    <w:p w14:paraId="1E8AEE88" w14:textId="77777777" w:rsidR="00421097" w:rsidRPr="00421097" w:rsidRDefault="00421097" w:rsidP="00421097">
      <w:pPr>
        <w:numPr>
          <w:ilvl w:val="6"/>
          <w:numId w:val="1"/>
        </w:numPr>
        <w:spacing w:after="200"/>
        <w:outlineLvl w:val="6"/>
        <w:rPr>
          <w:rFonts w:eastAsia="Times New Roman"/>
          <w:i/>
          <w:sz w:val="20"/>
          <w:lang w:val="en-AU"/>
        </w:rPr>
      </w:pPr>
      <w:r w:rsidRPr="00421097">
        <w:rPr>
          <w:rFonts w:eastAsia="Times New Roman"/>
          <w:sz w:val="20"/>
          <w:lang w:val="en-AU"/>
        </w:rPr>
        <w:t xml:space="preserve">If </w:t>
      </w:r>
      <w:r w:rsidRPr="00421097">
        <w:rPr>
          <w:rFonts w:eastAsia="Times New Roman"/>
          <w:i/>
          <w:sz w:val="20"/>
          <w:lang w:val="en-AU"/>
        </w:rPr>
        <w:t>you</w:t>
      </w:r>
      <w:r w:rsidRPr="00421097">
        <w:rPr>
          <w:rFonts w:eastAsia="Times New Roman"/>
          <w:sz w:val="20"/>
          <w:lang w:val="en-AU"/>
        </w:rPr>
        <w:t xml:space="preserve"> </w:t>
      </w:r>
      <w:r w:rsidRPr="00421097">
        <w:rPr>
          <w:rFonts w:eastAsia="Times New Roman"/>
          <w:i/>
          <w:sz w:val="20"/>
          <w:lang w:val="en-AU"/>
        </w:rPr>
        <w:t>cancel your pricing plan</w:t>
      </w:r>
      <w:r w:rsidRPr="00421097">
        <w:rPr>
          <w:rFonts w:eastAsia="Times New Roman"/>
          <w:sz w:val="20"/>
          <w:lang w:val="en-AU"/>
        </w:rPr>
        <w:t xml:space="preserve"> or the </w:t>
      </w:r>
      <w:r w:rsidRPr="00421097">
        <w:rPr>
          <w:rFonts w:eastAsia="Times New Roman"/>
          <w:i/>
          <w:sz w:val="20"/>
          <w:lang w:val="en-AU"/>
        </w:rPr>
        <w:t xml:space="preserve">mobile equipment payment plan </w:t>
      </w:r>
      <w:r w:rsidRPr="00421097">
        <w:rPr>
          <w:rFonts w:eastAsia="Times New Roman"/>
          <w:sz w:val="20"/>
          <w:lang w:val="en-AU"/>
        </w:rPr>
        <w:t xml:space="preserve">during </w:t>
      </w:r>
      <w:r w:rsidRPr="00421097">
        <w:rPr>
          <w:rFonts w:eastAsia="Times New Roman"/>
          <w:i/>
          <w:sz w:val="20"/>
          <w:lang w:val="en-AU"/>
        </w:rPr>
        <w:t>your minimum term</w:t>
      </w:r>
      <w:r w:rsidRPr="00421097">
        <w:rPr>
          <w:rFonts w:eastAsia="Times New Roman"/>
          <w:sz w:val="20"/>
          <w:lang w:val="en-AU"/>
        </w:rPr>
        <w:t xml:space="preserve">, </w:t>
      </w:r>
      <w:r w:rsidRPr="00421097">
        <w:rPr>
          <w:rFonts w:eastAsia="Times New Roman"/>
          <w:i/>
          <w:sz w:val="20"/>
          <w:lang w:val="en-AU"/>
        </w:rPr>
        <w:t>you</w:t>
      </w:r>
      <w:r w:rsidRPr="00421097">
        <w:rPr>
          <w:rFonts w:eastAsia="Times New Roman"/>
          <w:sz w:val="20"/>
          <w:lang w:val="en-AU"/>
        </w:rPr>
        <w:t xml:space="preserve"> will no longer be entitled to these Handset Credits and </w:t>
      </w:r>
      <w:r w:rsidRPr="00421097">
        <w:rPr>
          <w:rFonts w:eastAsia="Times New Roman"/>
          <w:i/>
          <w:sz w:val="20"/>
          <w:lang w:val="en-AU"/>
        </w:rPr>
        <w:t>you</w:t>
      </w:r>
      <w:r w:rsidRPr="00421097">
        <w:rPr>
          <w:rFonts w:eastAsia="Times New Roman"/>
          <w:sz w:val="20"/>
          <w:lang w:val="en-AU"/>
        </w:rPr>
        <w:t xml:space="preserve"> must pay the remaining handset repayments in full in addition to any </w:t>
      </w:r>
      <w:r w:rsidRPr="00421097">
        <w:rPr>
          <w:rFonts w:eastAsia="Times New Roman"/>
          <w:i/>
          <w:sz w:val="20"/>
          <w:lang w:val="en-AU"/>
        </w:rPr>
        <w:t xml:space="preserve">cancellation fee. </w:t>
      </w:r>
    </w:p>
    <w:p w14:paraId="52ED9A51" w14:textId="77777777" w:rsidR="00421097" w:rsidRPr="00421097" w:rsidRDefault="00421097" w:rsidP="00421097">
      <w:pPr>
        <w:numPr>
          <w:ilvl w:val="6"/>
          <w:numId w:val="1"/>
        </w:numPr>
        <w:spacing w:after="200"/>
        <w:outlineLvl w:val="6"/>
        <w:rPr>
          <w:rFonts w:eastAsia="Times New Roman"/>
          <w:sz w:val="20"/>
        </w:rPr>
      </w:pPr>
      <w:r w:rsidRPr="00421097">
        <w:rPr>
          <w:rFonts w:eastAsia="Times New Roman"/>
          <w:sz w:val="20"/>
        </w:rPr>
        <w:t>If you elect to keep your mobile phone when exercising New Phone Trade Up you will no longer be entitled to the Handset Credit and you will be required to pay the remaining handset repayments in full.</w:t>
      </w:r>
    </w:p>
    <w:p w14:paraId="0045F723" w14:textId="77777777" w:rsidR="00421097" w:rsidRPr="00421097" w:rsidRDefault="00421097" w:rsidP="00421097">
      <w:pPr>
        <w:spacing w:after="200"/>
        <w:jc w:val="both"/>
        <w:rPr>
          <w:b/>
          <w:sz w:val="20"/>
        </w:rPr>
      </w:pPr>
      <w:r w:rsidRPr="00421097">
        <w:rPr>
          <w:b/>
          <w:sz w:val="20"/>
        </w:rPr>
        <w:t>Table 1 – Plan Inclusions and Charges</w:t>
      </w:r>
    </w:p>
    <w:tbl>
      <w:tblPr>
        <w:tblW w:w="47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60"/>
        <w:gridCol w:w="5547"/>
      </w:tblGrid>
      <w:tr w:rsidR="00421097" w:rsidRPr="00421097" w14:paraId="39D0FB96" w14:textId="77777777" w:rsidTr="00421097">
        <w:trPr>
          <w:trHeight w:val="408"/>
          <w:tblHeader/>
        </w:trPr>
        <w:tc>
          <w:tcPr>
            <w:tcW w:w="2143" w:type="pct"/>
            <w:shd w:val="clear" w:color="auto" w:fill="auto"/>
          </w:tcPr>
          <w:p w14:paraId="1726A7CC" w14:textId="77777777" w:rsidR="00421097" w:rsidRPr="00421097" w:rsidRDefault="00421097" w:rsidP="00421097">
            <w:pPr>
              <w:spacing w:before="100" w:after="100"/>
              <w:jc w:val="center"/>
              <w:rPr>
                <w:sz w:val="20"/>
              </w:rPr>
            </w:pPr>
          </w:p>
        </w:tc>
        <w:tc>
          <w:tcPr>
            <w:tcW w:w="2857" w:type="pct"/>
          </w:tcPr>
          <w:p w14:paraId="41000BC9" w14:textId="77777777" w:rsidR="00421097" w:rsidRPr="00421097" w:rsidRDefault="00421097" w:rsidP="00421097">
            <w:pPr>
              <w:spacing w:before="100" w:after="100"/>
              <w:jc w:val="center"/>
              <w:rPr>
                <w:b/>
                <w:sz w:val="20"/>
              </w:rPr>
            </w:pPr>
            <w:r w:rsidRPr="00421097">
              <w:rPr>
                <w:b/>
                <w:sz w:val="20"/>
              </w:rPr>
              <w:t>$125 My Plan Business ($105 Promo)</w:t>
            </w:r>
          </w:p>
        </w:tc>
      </w:tr>
      <w:tr w:rsidR="00421097" w:rsidRPr="00421097" w14:paraId="72E02374" w14:textId="77777777" w:rsidTr="00421097">
        <w:trPr>
          <w:trHeight w:val="53"/>
        </w:trPr>
        <w:tc>
          <w:tcPr>
            <w:tcW w:w="2143" w:type="pct"/>
            <w:shd w:val="clear" w:color="auto" w:fill="auto"/>
          </w:tcPr>
          <w:p w14:paraId="2150862E" w14:textId="77777777" w:rsidR="00421097" w:rsidRPr="00421097" w:rsidRDefault="00421097" w:rsidP="00421097">
            <w:pPr>
              <w:spacing w:before="100" w:after="100"/>
              <w:rPr>
                <w:sz w:val="20"/>
              </w:rPr>
            </w:pPr>
            <w:r w:rsidRPr="00421097">
              <w:rPr>
                <w:b/>
                <w:bCs/>
                <w:sz w:val="20"/>
                <w:lang w:eastAsia="en-AU"/>
              </w:rPr>
              <w:t>Minimum Monthly charge</w:t>
            </w:r>
          </w:p>
        </w:tc>
        <w:tc>
          <w:tcPr>
            <w:tcW w:w="2857" w:type="pct"/>
          </w:tcPr>
          <w:p w14:paraId="293860A3" w14:textId="77777777" w:rsidR="00421097" w:rsidRPr="00421097" w:rsidRDefault="00421097" w:rsidP="00421097">
            <w:pPr>
              <w:spacing w:before="100" w:after="100"/>
              <w:jc w:val="center"/>
              <w:rPr>
                <w:sz w:val="20"/>
              </w:rPr>
            </w:pPr>
            <w:r w:rsidRPr="00421097">
              <w:rPr>
                <w:sz w:val="20"/>
              </w:rPr>
              <w:t xml:space="preserve">$105 (incl $20 discount) </w:t>
            </w:r>
          </w:p>
        </w:tc>
      </w:tr>
      <w:tr w:rsidR="00421097" w:rsidRPr="00421097" w14:paraId="6D51A4E1" w14:textId="77777777" w:rsidTr="00421097">
        <w:tc>
          <w:tcPr>
            <w:tcW w:w="2143" w:type="pct"/>
            <w:shd w:val="clear" w:color="auto" w:fill="auto"/>
          </w:tcPr>
          <w:p w14:paraId="1BBD1BF8" w14:textId="77777777" w:rsidR="00421097" w:rsidRPr="00421097" w:rsidRDefault="00421097" w:rsidP="00421097">
            <w:pPr>
              <w:spacing w:before="100" w:after="100"/>
              <w:rPr>
                <w:sz w:val="20"/>
              </w:rPr>
            </w:pPr>
            <w:r w:rsidRPr="00421097">
              <w:rPr>
                <w:b/>
                <w:bCs/>
                <w:sz w:val="20"/>
                <w:lang w:eastAsia="en-AU"/>
              </w:rPr>
              <w:t>Included Data</w:t>
            </w:r>
          </w:p>
        </w:tc>
        <w:tc>
          <w:tcPr>
            <w:tcW w:w="2857" w:type="pct"/>
          </w:tcPr>
          <w:p w14:paraId="40E6B244" w14:textId="77777777" w:rsidR="00421097" w:rsidRPr="00421097" w:rsidRDefault="00421097" w:rsidP="00421097">
            <w:pPr>
              <w:spacing w:before="100" w:after="100"/>
              <w:jc w:val="center"/>
              <w:rPr>
                <w:sz w:val="20"/>
              </w:rPr>
            </w:pPr>
            <w:r w:rsidRPr="00421097">
              <w:rPr>
                <w:sz w:val="20"/>
              </w:rPr>
              <w:t>20GB</w:t>
            </w:r>
          </w:p>
        </w:tc>
      </w:tr>
      <w:tr w:rsidR="00421097" w:rsidRPr="00421097" w14:paraId="6F18BFE1" w14:textId="77777777" w:rsidTr="00421097">
        <w:tc>
          <w:tcPr>
            <w:tcW w:w="2143" w:type="pct"/>
            <w:shd w:val="clear" w:color="auto" w:fill="auto"/>
          </w:tcPr>
          <w:p w14:paraId="702F4532" w14:textId="77777777" w:rsidR="00421097" w:rsidRPr="00421097" w:rsidRDefault="00421097" w:rsidP="00421097">
            <w:pPr>
              <w:spacing w:before="100" w:after="100"/>
              <w:rPr>
                <w:b/>
                <w:bCs/>
                <w:sz w:val="20"/>
                <w:lang w:eastAsia="en-AU"/>
              </w:rPr>
            </w:pPr>
            <w:r w:rsidRPr="00421097">
              <w:rPr>
                <w:b/>
                <w:bCs/>
                <w:sz w:val="20"/>
                <w:lang w:eastAsia="en-AU"/>
              </w:rPr>
              <w:t>Additional Data</w:t>
            </w:r>
          </w:p>
        </w:tc>
        <w:tc>
          <w:tcPr>
            <w:tcW w:w="2857" w:type="pct"/>
            <w:vAlign w:val="center"/>
          </w:tcPr>
          <w:p w14:paraId="607E79EF" w14:textId="77777777" w:rsidR="00421097" w:rsidRPr="00421097" w:rsidRDefault="00421097" w:rsidP="00421097">
            <w:pPr>
              <w:spacing w:before="100" w:after="100"/>
              <w:jc w:val="center"/>
              <w:rPr>
                <w:sz w:val="20"/>
              </w:rPr>
            </w:pPr>
            <w:r w:rsidRPr="00421097">
              <w:rPr>
                <w:sz w:val="20"/>
              </w:rPr>
              <w:t>Additional data $10 per 1GB</w:t>
            </w:r>
          </w:p>
        </w:tc>
      </w:tr>
      <w:tr w:rsidR="00421097" w:rsidRPr="00421097" w14:paraId="1815CF28" w14:textId="77777777" w:rsidTr="00421097">
        <w:tc>
          <w:tcPr>
            <w:tcW w:w="2143" w:type="pct"/>
            <w:shd w:val="clear" w:color="auto" w:fill="auto"/>
          </w:tcPr>
          <w:p w14:paraId="238616D2" w14:textId="77777777" w:rsidR="00421097" w:rsidRPr="00421097" w:rsidRDefault="00421097" w:rsidP="00421097">
            <w:pPr>
              <w:spacing w:before="100" w:after="100"/>
              <w:rPr>
                <w:b/>
                <w:bCs/>
                <w:sz w:val="20"/>
                <w:lang w:eastAsia="en-AU"/>
              </w:rPr>
            </w:pPr>
            <w:r w:rsidRPr="00421097">
              <w:rPr>
                <w:b/>
                <w:bCs/>
                <w:sz w:val="20"/>
                <w:lang w:eastAsia="en-AU"/>
              </w:rPr>
              <w:t>Included Minutes</w:t>
            </w:r>
          </w:p>
          <w:p w14:paraId="6A264855" w14:textId="77777777" w:rsidR="00421097" w:rsidRPr="00421097" w:rsidRDefault="00421097" w:rsidP="00421097">
            <w:pPr>
              <w:spacing w:before="100" w:after="100"/>
              <w:rPr>
                <w:sz w:val="20"/>
              </w:rPr>
            </w:pPr>
            <w:r w:rsidRPr="00421097">
              <w:rPr>
                <w:sz w:val="17"/>
                <w:szCs w:val="17"/>
                <w:lang w:eastAsia="en-AU"/>
              </w:rPr>
              <w:t>for standard national calls to landlines and mobiles, 1300 numbers and voicemail, within Australia</w:t>
            </w:r>
          </w:p>
        </w:tc>
        <w:tc>
          <w:tcPr>
            <w:tcW w:w="2857" w:type="pct"/>
            <w:vAlign w:val="center"/>
          </w:tcPr>
          <w:p w14:paraId="59B1E11C" w14:textId="77777777" w:rsidR="00421097" w:rsidRPr="00421097" w:rsidRDefault="00421097" w:rsidP="00421097">
            <w:pPr>
              <w:spacing w:before="100" w:after="100"/>
              <w:jc w:val="center"/>
              <w:rPr>
                <w:sz w:val="20"/>
              </w:rPr>
            </w:pPr>
            <w:r w:rsidRPr="00421097">
              <w:rPr>
                <w:sz w:val="20"/>
              </w:rPr>
              <w:t>Unlimited</w:t>
            </w:r>
          </w:p>
        </w:tc>
      </w:tr>
      <w:tr w:rsidR="00421097" w:rsidRPr="00421097" w14:paraId="17629B68" w14:textId="77777777" w:rsidTr="00421097">
        <w:tc>
          <w:tcPr>
            <w:tcW w:w="2143" w:type="pct"/>
            <w:shd w:val="clear" w:color="auto" w:fill="auto"/>
          </w:tcPr>
          <w:p w14:paraId="17B8FF29" w14:textId="77777777" w:rsidR="00421097" w:rsidRPr="00421097" w:rsidRDefault="00421097" w:rsidP="00421097">
            <w:pPr>
              <w:spacing w:before="100" w:after="100"/>
              <w:rPr>
                <w:b/>
                <w:bCs/>
                <w:sz w:val="20"/>
                <w:lang w:eastAsia="en-AU"/>
              </w:rPr>
            </w:pPr>
            <w:r w:rsidRPr="00421097">
              <w:rPr>
                <w:b/>
                <w:bCs/>
                <w:sz w:val="20"/>
                <w:lang w:eastAsia="en-AU"/>
              </w:rPr>
              <w:t>Included International Minutes</w:t>
            </w:r>
          </w:p>
          <w:p w14:paraId="2F218244" w14:textId="77777777" w:rsidR="00421097" w:rsidRPr="00421097" w:rsidRDefault="00421097" w:rsidP="00421097">
            <w:pPr>
              <w:spacing w:before="100" w:after="100"/>
              <w:rPr>
                <w:b/>
                <w:bCs/>
                <w:sz w:val="20"/>
                <w:lang w:eastAsia="en-AU"/>
              </w:rPr>
            </w:pPr>
            <w:r w:rsidRPr="00421097">
              <w:rPr>
                <w:sz w:val="17"/>
                <w:szCs w:val="17"/>
                <w:lang w:eastAsia="en-AU"/>
              </w:rPr>
              <w:t>Standard international calls to landlines and mobiles to selected countries</w:t>
            </w:r>
          </w:p>
        </w:tc>
        <w:tc>
          <w:tcPr>
            <w:tcW w:w="2857" w:type="pct"/>
            <w:vAlign w:val="center"/>
          </w:tcPr>
          <w:p w14:paraId="338F3149" w14:textId="77777777" w:rsidR="00421097" w:rsidRPr="00421097" w:rsidRDefault="00421097" w:rsidP="00421097">
            <w:pPr>
              <w:spacing w:before="100" w:after="100"/>
              <w:jc w:val="center"/>
              <w:rPr>
                <w:bCs/>
                <w:sz w:val="20"/>
              </w:rPr>
            </w:pPr>
            <w:r w:rsidRPr="00421097">
              <w:rPr>
                <w:sz w:val="20"/>
              </w:rPr>
              <w:t>Unlimited</w:t>
            </w:r>
          </w:p>
        </w:tc>
      </w:tr>
      <w:tr w:rsidR="00421097" w:rsidRPr="00421097" w14:paraId="1446FB59" w14:textId="77777777" w:rsidTr="00421097">
        <w:tc>
          <w:tcPr>
            <w:tcW w:w="2143" w:type="pct"/>
            <w:shd w:val="clear" w:color="auto" w:fill="auto"/>
          </w:tcPr>
          <w:p w14:paraId="3CF0AF1C" w14:textId="77777777" w:rsidR="00421097" w:rsidRPr="00421097" w:rsidRDefault="00421097" w:rsidP="00421097">
            <w:pPr>
              <w:spacing w:before="100" w:after="100"/>
              <w:rPr>
                <w:sz w:val="20"/>
              </w:rPr>
            </w:pPr>
            <w:r w:rsidRPr="00421097">
              <w:rPr>
                <w:b/>
                <w:bCs/>
                <w:sz w:val="20"/>
                <w:lang w:eastAsia="en-AU"/>
              </w:rPr>
              <w:t xml:space="preserve">Standard national SMS </w:t>
            </w:r>
            <w:r w:rsidRPr="00421097">
              <w:rPr>
                <w:sz w:val="20"/>
                <w:lang w:eastAsia="en-AU"/>
              </w:rPr>
              <w:t>(per SMS of up to 160 standard characters)</w:t>
            </w:r>
          </w:p>
        </w:tc>
        <w:tc>
          <w:tcPr>
            <w:tcW w:w="2857" w:type="pct"/>
            <w:vAlign w:val="center"/>
          </w:tcPr>
          <w:p w14:paraId="787AA633" w14:textId="77777777" w:rsidR="00421097" w:rsidRPr="00421097" w:rsidRDefault="00421097" w:rsidP="00421097">
            <w:pPr>
              <w:spacing w:before="100" w:after="100"/>
              <w:jc w:val="center"/>
              <w:rPr>
                <w:sz w:val="20"/>
              </w:rPr>
            </w:pPr>
            <w:r w:rsidRPr="00421097">
              <w:rPr>
                <w:sz w:val="20"/>
              </w:rPr>
              <w:t>Unlimited</w:t>
            </w:r>
          </w:p>
        </w:tc>
      </w:tr>
      <w:tr w:rsidR="00421097" w:rsidRPr="00421097" w14:paraId="5527EC5A" w14:textId="77777777" w:rsidTr="00421097">
        <w:tc>
          <w:tcPr>
            <w:tcW w:w="2143" w:type="pct"/>
            <w:shd w:val="clear" w:color="auto" w:fill="auto"/>
          </w:tcPr>
          <w:p w14:paraId="022552E3" w14:textId="77777777" w:rsidR="00421097" w:rsidRPr="00421097" w:rsidRDefault="00421097" w:rsidP="00421097">
            <w:pPr>
              <w:spacing w:before="100" w:after="100"/>
              <w:rPr>
                <w:b/>
                <w:bCs/>
                <w:sz w:val="20"/>
                <w:lang w:eastAsia="en-AU"/>
              </w:rPr>
            </w:pPr>
            <w:r w:rsidRPr="00421097">
              <w:rPr>
                <w:b/>
                <w:bCs/>
                <w:sz w:val="20"/>
                <w:lang w:eastAsia="en-AU"/>
              </w:rPr>
              <w:t xml:space="preserve">Standard national MMS </w:t>
            </w:r>
            <w:r w:rsidRPr="00421097">
              <w:rPr>
                <w:sz w:val="20"/>
                <w:lang w:eastAsia="en-AU"/>
              </w:rPr>
              <w:t>(per message)</w:t>
            </w:r>
          </w:p>
        </w:tc>
        <w:tc>
          <w:tcPr>
            <w:tcW w:w="2857" w:type="pct"/>
          </w:tcPr>
          <w:p w14:paraId="6CE981DD" w14:textId="77777777" w:rsidR="00421097" w:rsidRPr="00421097" w:rsidRDefault="00421097" w:rsidP="00421097">
            <w:pPr>
              <w:spacing w:before="100" w:after="100"/>
              <w:jc w:val="center"/>
              <w:rPr>
                <w:sz w:val="20"/>
              </w:rPr>
            </w:pPr>
            <w:r w:rsidRPr="00421097">
              <w:rPr>
                <w:sz w:val="20"/>
              </w:rPr>
              <w:t>Unlimited</w:t>
            </w:r>
          </w:p>
        </w:tc>
      </w:tr>
      <w:tr w:rsidR="00421097" w:rsidRPr="00421097" w14:paraId="04AF80AC" w14:textId="77777777" w:rsidTr="00421097">
        <w:tc>
          <w:tcPr>
            <w:tcW w:w="2143" w:type="pct"/>
            <w:shd w:val="clear" w:color="auto" w:fill="auto"/>
          </w:tcPr>
          <w:p w14:paraId="77A32D35" w14:textId="77777777" w:rsidR="00421097" w:rsidRPr="00421097" w:rsidDel="00064B49" w:rsidRDefault="00421097" w:rsidP="00421097">
            <w:pPr>
              <w:spacing w:before="100" w:after="100"/>
              <w:rPr>
                <w:b/>
                <w:bCs/>
                <w:sz w:val="20"/>
                <w:lang w:eastAsia="en-AU"/>
              </w:rPr>
            </w:pPr>
            <w:r w:rsidRPr="00421097">
              <w:rPr>
                <w:b/>
                <w:bCs/>
                <w:sz w:val="20"/>
                <w:lang w:eastAsia="en-AU"/>
              </w:rPr>
              <w:t xml:space="preserve">Standard international SMS </w:t>
            </w:r>
            <w:r w:rsidRPr="00421097">
              <w:rPr>
                <w:sz w:val="20"/>
                <w:lang w:eastAsia="en-AU"/>
              </w:rPr>
              <w:t>(per SMS of up to 160 standard characters to selected countries)</w:t>
            </w:r>
          </w:p>
        </w:tc>
        <w:tc>
          <w:tcPr>
            <w:tcW w:w="2857" w:type="pct"/>
            <w:vAlign w:val="center"/>
          </w:tcPr>
          <w:p w14:paraId="4A0A3567" w14:textId="77777777" w:rsidR="00421097" w:rsidRPr="00421097" w:rsidRDefault="00421097" w:rsidP="00421097">
            <w:pPr>
              <w:spacing w:before="100" w:after="100"/>
              <w:jc w:val="center"/>
              <w:rPr>
                <w:sz w:val="20"/>
              </w:rPr>
            </w:pPr>
            <w:r w:rsidRPr="00421097">
              <w:rPr>
                <w:sz w:val="20"/>
              </w:rPr>
              <w:t>Unlimited</w:t>
            </w:r>
          </w:p>
        </w:tc>
      </w:tr>
      <w:tr w:rsidR="00421097" w:rsidRPr="00421097" w14:paraId="77DC64EF" w14:textId="77777777" w:rsidTr="00421097">
        <w:tc>
          <w:tcPr>
            <w:tcW w:w="2143" w:type="pct"/>
            <w:shd w:val="clear" w:color="auto" w:fill="auto"/>
          </w:tcPr>
          <w:p w14:paraId="5BE7E833" w14:textId="77777777" w:rsidR="00421097" w:rsidRPr="00421097" w:rsidRDefault="00421097" w:rsidP="00421097">
            <w:pPr>
              <w:spacing w:before="100" w:after="100"/>
              <w:rPr>
                <w:b/>
                <w:bCs/>
                <w:sz w:val="20"/>
                <w:lang w:eastAsia="en-AU"/>
              </w:rPr>
            </w:pPr>
            <w:r w:rsidRPr="00421097">
              <w:rPr>
                <w:b/>
                <w:bCs/>
                <w:sz w:val="20"/>
                <w:lang w:eastAsia="en-AU"/>
              </w:rPr>
              <w:t xml:space="preserve">Standard international MMS </w:t>
            </w:r>
            <w:r w:rsidRPr="00421097">
              <w:rPr>
                <w:sz w:val="20"/>
                <w:lang w:eastAsia="en-AU"/>
              </w:rPr>
              <w:t>(per message to selected countries)</w:t>
            </w:r>
          </w:p>
        </w:tc>
        <w:tc>
          <w:tcPr>
            <w:tcW w:w="2857" w:type="pct"/>
            <w:vAlign w:val="center"/>
          </w:tcPr>
          <w:p w14:paraId="6AC3E2B0" w14:textId="77777777" w:rsidR="00421097" w:rsidRPr="00421097" w:rsidRDefault="00421097" w:rsidP="00421097">
            <w:pPr>
              <w:spacing w:before="100" w:after="100"/>
              <w:jc w:val="center"/>
              <w:rPr>
                <w:sz w:val="20"/>
              </w:rPr>
            </w:pPr>
            <w:r w:rsidRPr="00421097">
              <w:rPr>
                <w:sz w:val="20"/>
              </w:rPr>
              <w:t>Unlimited</w:t>
            </w:r>
          </w:p>
        </w:tc>
      </w:tr>
      <w:tr w:rsidR="00421097" w:rsidRPr="00421097" w14:paraId="2339F4CB" w14:textId="77777777" w:rsidTr="00421097">
        <w:tc>
          <w:tcPr>
            <w:tcW w:w="2143" w:type="pct"/>
            <w:shd w:val="clear" w:color="auto" w:fill="auto"/>
          </w:tcPr>
          <w:p w14:paraId="5D190D59" w14:textId="77777777" w:rsidR="00421097" w:rsidRPr="00421097" w:rsidRDefault="00421097" w:rsidP="00421097">
            <w:pPr>
              <w:spacing w:before="100" w:after="100"/>
              <w:rPr>
                <w:b/>
                <w:bCs/>
                <w:sz w:val="20"/>
                <w:lang w:eastAsia="en-AU"/>
              </w:rPr>
            </w:pPr>
            <w:r w:rsidRPr="00421097">
              <w:rPr>
                <w:rFonts w:eastAsia="Calibri"/>
                <w:b/>
                <w:bCs/>
                <w:sz w:val="20"/>
                <w:lang w:eastAsia="en-AU"/>
              </w:rPr>
              <w:lastRenderedPageBreak/>
              <w:t xml:space="preserve">International Roaming </w:t>
            </w:r>
            <w:r w:rsidRPr="00421097">
              <w:rPr>
                <w:rFonts w:eastAsia="Calibri"/>
                <w:b/>
                <w:bCs/>
                <w:sz w:val="20"/>
                <w:lang w:eastAsia="en-AU"/>
              </w:rPr>
              <w:br/>
            </w:r>
            <w:r w:rsidRPr="00421097">
              <w:rPr>
                <w:b/>
                <w:bCs/>
                <w:snapToGrid w:val="0"/>
                <w:sz w:val="20"/>
              </w:rPr>
              <w:t>(Zone 1 countries)</w:t>
            </w:r>
          </w:p>
        </w:tc>
        <w:tc>
          <w:tcPr>
            <w:tcW w:w="2857" w:type="pct"/>
          </w:tcPr>
          <w:p w14:paraId="2521F829" w14:textId="77777777" w:rsidR="00421097" w:rsidRPr="00421097" w:rsidRDefault="00421097" w:rsidP="00421097">
            <w:pPr>
              <w:spacing w:before="100" w:after="100"/>
              <w:jc w:val="center"/>
              <w:rPr>
                <w:sz w:val="20"/>
              </w:rPr>
            </w:pPr>
            <w:r w:rsidRPr="00421097">
              <w:rPr>
                <w:sz w:val="20"/>
                <w:lang w:val="en-AU" w:eastAsia="en-AU"/>
              </w:rPr>
              <w:t>Unlimited standard national/international talk, SMS &amp; 1.5GB data</w:t>
            </w:r>
          </w:p>
        </w:tc>
      </w:tr>
      <w:tr w:rsidR="00421097" w:rsidRPr="00421097" w14:paraId="1EFCA16C" w14:textId="77777777" w:rsidTr="00421097">
        <w:tc>
          <w:tcPr>
            <w:tcW w:w="2143" w:type="pct"/>
            <w:shd w:val="clear" w:color="auto" w:fill="auto"/>
          </w:tcPr>
          <w:p w14:paraId="0170D68F" w14:textId="77777777" w:rsidR="00421097" w:rsidRPr="00421097" w:rsidRDefault="00421097" w:rsidP="00421097">
            <w:pPr>
              <w:spacing w:before="100" w:after="100"/>
              <w:rPr>
                <w:b/>
                <w:bCs/>
                <w:sz w:val="20"/>
                <w:lang w:eastAsia="en-AU"/>
              </w:rPr>
            </w:pPr>
            <w:r w:rsidRPr="00421097">
              <w:rPr>
                <w:b/>
                <w:bCs/>
                <w:sz w:val="20"/>
                <w:lang w:eastAsia="en-AU"/>
              </w:rPr>
              <w:t>Minimum total cost over 24 months</w:t>
            </w:r>
          </w:p>
        </w:tc>
        <w:tc>
          <w:tcPr>
            <w:tcW w:w="2857" w:type="pct"/>
            <w:vAlign w:val="center"/>
          </w:tcPr>
          <w:p w14:paraId="60E3D203" w14:textId="77777777" w:rsidR="00421097" w:rsidRPr="00421097" w:rsidRDefault="00421097" w:rsidP="00421097">
            <w:pPr>
              <w:spacing w:before="100" w:after="100"/>
              <w:jc w:val="center"/>
              <w:rPr>
                <w:sz w:val="20"/>
              </w:rPr>
            </w:pPr>
            <w:r w:rsidRPr="00421097">
              <w:rPr>
                <w:sz w:val="20"/>
              </w:rPr>
              <w:t>$2,520</w:t>
            </w:r>
          </w:p>
        </w:tc>
      </w:tr>
    </w:tbl>
    <w:p w14:paraId="5CC9737D" w14:textId="77777777" w:rsidR="00421097" w:rsidRPr="00421097" w:rsidRDefault="00421097" w:rsidP="00421097">
      <w:pPr>
        <w:spacing w:after="200"/>
        <w:rPr>
          <w:sz w:val="20"/>
        </w:rPr>
      </w:pPr>
    </w:p>
    <w:p w14:paraId="376078A6" w14:textId="77777777" w:rsidR="00421097" w:rsidRPr="00421097" w:rsidRDefault="00421097" w:rsidP="00421097">
      <w:pPr>
        <w:spacing w:after="200"/>
        <w:rPr>
          <w:b/>
          <w:sz w:val="20"/>
        </w:rPr>
      </w:pPr>
      <w:r w:rsidRPr="00421097">
        <w:rPr>
          <w:b/>
          <w:sz w:val="20"/>
        </w:rPr>
        <w:t>Table 2 – Other usage types and charges</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0"/>
        <w:gridCol w:w="5333"/>
      </w:tblGrid>
      <w:tr w:rsidR="00421097" w:rsidRPr="00421097" w14:paraId="1DDBC5B3" w14:textId="77777777" w:rsidTr="00421097">
        <w:trPr>
          <w:tblHeader/>
        </w:trPr>
        <w:tc>
          <w:tcPr>
            <w:tcW w:w="4590" w:type="dxa"/>
            <w:shd w:val="clear" w:color="auto" w:fill="auto"/>
          </w:tcPr>
          <w:p w14:paraId="0B0143E9" w14:textId="77777777" w:rsidR="00421097" w:rsidRPr="00421097" w:rsidRDefault="00421097" w:rsidP="00421097">
            <w:pPr>
              <w:spacing w:before="100" w:after="100"/>
              <w:jc w:val="center"/>
              <w:rPr>
                <w:b/>
                <w:sz w:val="20"/>
              </w:rPr>
            </w:pPr>
            <w:r w:rsidRPr="00421097">
              <w:rPr>
                <w:b/>
                <w:sz w:val="20"/>
              </w:rPr>
              <w:t>Usage type</w:t>
            </w:r>
          </w:p>
        </w:tc>
        <w:tc>
          <w:tcPr>
            <w:tcW w:w="5333" w:type="dxa"/>
            <w:shd w:val="clear" w:color="auto" w:fill="auto"/>
            <w:vAlign w:val="center"/>
          </w:tcPr>
          <w:p w14:paraId="4A96FFAF" w14:textId="77777777" w:rsidR="00421097" w:rsidRPr="00421097" w:rsidRDefault="00421097" w:rsidP="00421097">
            <w:pPr>
              <w:spacing w:before="100" w:after="100"/>
              <w:jc w:val="center"/>
              <w:rPr>
                <w:b/>
                <w:sz w:val="20"/>
              </w:rPr>
            </w:pPr>
            <w:r w:rsidRPr="00421097">
              <w:rPr>
                <w:b/>
                <w:sz w:val="20"/>
              </w:rPr>
              <w:t>Charge</w:t>
            </w:r>
          </w:p>
        </w:tc>
      </w:tr>
      <w:tr w:rsidR="00421097" w:rsidRPr="00421097" w14:paraId="0428850A" w14:textId="77777777" w:rsidTr="00421097">
        <w:tc>
          <w:tcPr>
            <w:tcW w:w="4590" w:type="dxa"/>
            <w:shd w:val="clear" w:color="auto" w:fill="auto"/>
          </w:tcPr>
          <w:p w14:paraId="133C37CD" w14:textId="77777777" w:rsidR="00421097" w:rsidRPr="00421097" w:rsidRDefault="00421097" w:rsidP="00421097">
            <w:pPr>
              <w:spacing w:before="100" w:after="100"/>
              <w:rPr>
                <w:b/>
                <w:sz w:val="20"/>
              </w:rPr>
            </w:pPr>
            <w:r w:rsidRPr="00421097">
              <w:rPr>
                <w:b/>
                <w:sz w:val="20"/>
              </w:rPr>
              <w:t>National video calls (per minute)</w:t>
            </w:r>
          </w:p>
        </w:tc>
        <w:tc>
          <w:tcPr>
            <w:tcW w:w="5333" w:type="dxa"/>
            <w:shd w:val="clear" w:color="auto" w:fill="auto"/>
            <w:vAlign w:val="center"/>
          </w:tcPr>
          <w:p w14:paraId="083569CD" w14:textId="77777777" w:rsidR="00421097" w:rsidRPr="00421097" w:rsidRDefault="00421097" w:rsidP="00421097">
            <w:pPr>
              <w:spacing w:before="100" w:after="100"/>
              <w:jc w:val="center"/>
              <w:rPr>
                <w:sz w:val="20"/>
              </w:rPr>
            </w:pPr>
            <w:r w:rsidRPr="00421097">
              <w:rPr>
                <w:sz w:val="20"/>
              </w:rPr>
              <w:t>$1.00 per min + 40c flagfall</w:t>
            </w:r>
          </w:p>
        </w:tc>
      </w:tr>
      <w:tr w:rsidR="00421097" w:rsidRPr="00421097" w14:paraId="6C19181B" w14:textId="77777777" w:rsidTr="00421097">
        <w:tc>
          <w:tcPr>
            <w:tcW w:w="4590" w:type="dxa"/>
            <w:shd w:val="clear" w:color="auto" w:fill="auto"/>
          </w:tcPr>
          <w:p w14:paraId="21848084" w14:textId="77777777" w:rsidR="00421097" w:rsidRPr="00421097" w:rsidRDefault="00421097" w:rsidP="00421097">
            <w:pPr>
              <w:spacing w:before="100" w:after="100"/>
              <w:rPr>
                <w:b/>
                <w:sz w:val="20"/>
              </w:rPr>
            </w:pPr>
            <w:r w:rsidRPr="00421097">
              <w:rPr>
                <w:b/>
                <w:sz w:val="20"/>
              </w:rPr>
              <w:t>National Diversions</w:t>
            </w:r>
          </w:p>
        </w:tc>
        <w:tc>
          <w:tcPr>
            <w:tcW w:w="5333" w:type="dxa"/>
            <w:shd w:val="clear" w:color="auto" w:fill="auto"/>
          </w:tcPr>
          <w:p w14:paraId="7342FE0C" w14:textId="77777777" w:rsidR="00421097" w:rsidRPr="00421097" w:rsidRDefault="00421097" w:rsidP="00421097">
            <w:pPr>
              <w:spacing w:before="100" w:after="100"/>
              <w:jc w:val="center"/>
              <w:rPr>
                <w:sz w:val="20"/>
              </w:rPr>
            </w:pPr>
            <w:r w:rsidRPr="00421097">
              <w:rPr>
                <w:sz w:val="20"/>
              </w:rPr>
              <w:t>$0 per minute</w:t>
            </w:r>
          </w:p>
        </w:tc>
      </w:tr>
      <w:tr w:rsidR="00421097" w:rsidRPr="00421097" w14:paraId="7833912D" w14:textId="77777777" w:rsidTr="00421097">
        <w:trPr>
          <w:trHeight w:val="53"/>
        </w:trPr>
        <w:tc>
          <w:tcPr>
            <w:tcW w:w="4590" w:type="dxa"/>
            <w:shd w:val="clear" w:color="auto" w:fill="auto"/>
          </w:tcPr>
          <w:p w14:paraId="19BEA67E" w14:textId="77777777" w:rsidR="00421097" w:rsidRPr="00421097" w:rsidRDefault="00421097" w:rsidP="00421097">
            <w:pPr>
              <w:spacing w:before="100" w:after="100"/>
              <w:rPr>
                <w:b/>
                <w:sz w:val="20"/>
              </w:rPr>
            </w:pPr>
            <w:r w:rsidRPr="00421097">
              <w:rPr>
                <w:b/>
                <w:sz w:val="20"/>
              </w:rPr>
              <w:t xml:space="preserve">International Diversions </w:t>
            </w:r>
          </w:p>
        </w:tc>
        <w:tc>
          <w:tcPr>
            <w:tcW w:w="5333" w:type="dxa"/>
            <w:shd w:val="clear" w:color="auto" w:fill="auto"/>
          </w:tcPr>
          <w:p w14:paraId="4205EBCB" w14:textId="77777777" w:rsidR="00421097" w:rsidRPr="00421097" w:rsidRDefault="00421097" w:rsidP="00421097">
            <w:pPr>
              <w:spacing w:before="100" w:after="100"/>
              <w:jc w:val="center"/>
              <w:rPr>
                <w:sz w:val="20"/>
              </w:rPr>
            </w:pPr>
            <w:r w:rsidRPr="00421097">
              <w:rPr>
                <w:sz w:val="20"/>
              </w:rPr>
              <w:t>'yes' international rates</w:t>
            </w:r>
            <w:r w:rsidRPr="00421097">
              <w:rPr>
                <w:sz w:val="20"/>
              </w:rPr>
              <w:br/>
              <w:t>See optus.com.au/international</w:t>
            </w:r>
          </w:p>
        </w:tc>
      </w:tr>
      <w:tr w:rsidR="00421097" w:rsidRPr="00421097" w14:paraId="61345DF5" w14:textId="77777777" w:rsidTr="00421097">
        <w:tc>
          <w:tcPr>
            <w:tcW w:w="4590" w:type="dxa"/>
            <w:shd w:val="clear" w:color="auto" w:fill="auto"/>
          </w:tcPr>
          <w:p w14:paraId="6D5561A8" w14:textId="77777777" w:rsidR="00421097" w:rsidRPr="00421097" w:rsidRDefault="00421097" w:rsidP="00421097">
            <w:pPr>
              <w:spacing w:before="100" w:after="100"/>
              <w:rPr>
                <w:b/>
                <w:sz w:val="20"/>
              </w:rPr>
            </w:pPr>
            <w:r w:rsidRPr="00421097">
              <w:rPr>
                <w:b/>
                <w:sz w:val="20"/>
              </w:rPr>
              <w:t xml:space="preserve">1800 numbers </w:t>
            </w:r>
          </w:p>
        </w:tc>
        <w:tc>
          <w:tcPr>
            <w:tcW w:w="5333" w:type="dxa"/>
            <w:shd w:val="clear" w:color="auto" w:fill="auto"/>
            <w:vAlign w:val="center"/>
          </w:tcPr>
          <w:p w14:paraId="7F906309" w14:textId="77777777" w:rsidR="00421097" w:rsidRPr="00421097" w:rsidRDefault="00421097" w:rsidP="00421097">
            <w:pPr>
              <w:spacing w:before="100" w:after="100"/>
              <w:jc w:val="center"/>
              <w:rPr>
                <w:sz w:val="20"/>
              </w:rPr>
            </w:pPr>
            <w:r w:rsidRPr="00421097">
              <w:rPr>
                <w:sz w:val="20"/>
              </w:rPr>
              <w:t>$0 per minute</w:t>
            </w:r>
          </w:p>
        </w:tc>
      </w:tr>
      <w:tr w:rsidR="00421097" w:rsidRPr="00421097" w14:paraId="5ABB245A" w14:textId="77777777" w:rsidTr="00421097">
        <w:tc>
          <w:tcPr>
            <w:tcW w:w="4590" w:type="dxa"/>
            <w:shd w:val="clear" w:color="auto" w:fill="auto"/>
          </w:tcPr>
          <w:p w14:paraId="31056C6D" w14:textId="77777777" w:rsidR="00421097" w:rsidRPr="00421097" w:rsidRDefault="00421097" w:rsidP="00421097">
            <w:pPr>
              <w:spacing w:before="100" w:after="100"/>
              <w:rPr>
                <w:b/>
                <w:sz w:val="20"/>
              </w:rPr>
            </w:pPr>
            <w:r w:rsidRPr="00421097">
              <w:rPr>
                <w:b/>
                <w:sz w:val="20"/>
              </w:rPr>
              <w:t xml:space="preserve">Directory Assistance 1223 </w:t>
            </w:r>
          </w:p>
        </w:tc>
        <w:tc>
          <w:tcPr>
            <w:tcW w:w="5333" w:type="dxa"/>
            <w:shd w:val="clear" w:color="auto" w:fill="auto"/>
            <w:vAlign w:val="center"/>
          </w:tcPr>
          <w:p w14:paraId="381D6512" w14:textId="77777777" w:rsidR="00421097" w:rsidRPr="00421097" w:rsidRDefault="00421097" w:rsidP="00421097">
            <w:pPr>
              <w:spacing w:before="100" w:after="100"/>
              <w:jc w:val="center"/>
              <w:rPr>
                <w:sz w:val="20"/>
              </w:rPr>
            </w:pPr>
            <w:r w:rsidRPr="00421097">
              <w:rPr>
                <w:sz w:val="20"/>
              </w:rPr>
              <w:t>50c per call</w:t>
            </w:r>
          </w:p>
        </w:tc>
      </w:tr>
      <w:tr w:rsidR="00421097" w:rsidRPr="00421097" w14:paraId="392B92C5" w14:textId="77777777" w:rsidTr="00421097">
        <w:trPr>
          <w:trHeight w:val="53"/>
        </w:trPr>
        <w:tc>
          <w:tcPr>
            <w:tcW w:w="4590" w:type="dxa"/>
            <w:shd w:val="clear" w:color="auto" w:fill="auto"/>
          </w:tcPr>
          <w:p w14:paraId="586E6F1B" w14:textId="77777777" w:rsidR="00421097" w:rsidRPr="00421097" w:rsidRDefault="00421097" w:rsidP="00421097">
            <w:pPr>
              <w:spacing w:before="100" w:after="100"/>
              <w:rPr>
                <w:b/>
                <w:sz w:val="20"/>
              </w:rPr>
            </w:pPr>
            <w:r w:rsidRPr="00421097">
              <w:rPr>
                <w:b/>
                <w:sz w:val="20"/>
              </w:rPr>
              <w:t>124 Yes</w:t>
            </w:r>
          </w:p>
        </w:tc>
        <w:tc>
          <w:tcPr>
            <w:tcW w:w="5333" w:type="dxa"/>
            <w:shd w:val="clear" w:color="auto" w:fill="auto"/>
            <w:vAlign w:val="center"/>
          </w:tcPr>
          <w:p w14:paraId="1FA9338E" w14:textId="77777777" w:rsidR="00421097" w:rsidRPr="00421097" w:rsidRDefault="00421097" w:rsidP="00421097">
            <w:pPr>
              <w:spacing w:before="100" w:after="100"/>
              <w:jc w:val="center"/>
              <w:rPr>
                <w:sz w:val="20"/>
              </w:rPr>
            </w:pPr>
            <w:r w:rsidRPr="00421097">
              <w:rPr>
                <w:sz w:val="20"/>
              </w:rPr>
              <w:t>90c per minute +$1.75c flagfall</w:t>
            </w:r>
          </w:p>
        </w:tc>
      </w:tr>
      <w:tr w:rsidR="00421097" w:rsidRPr="00421097" w14:paraId="444D2321" w14:textId="77777777" w:rsidTr="00421097">
        <w:tc>
          <w:tcPr>
            <w:tcW w:w="4590" w:type="dxa"/>
            <w:shd w:val="clear" w:color="auto" w:fill="auto"/>
          </w:tcPr>
          <w:p w14:paraId="57AA74A5" w14:textId="77777777" w:rsidR="00421097" w:rsidRPr="00421097" w:rsidRDefault="00421097" w:rsidP="00421097">
            <w:pPr>
              <w:spacing w:before="100" w:after="100"/>
              <w:rPr>
                <w:b/>
                <w:sz w:val="20"/>
              </w:rPr>
            </w:pPr>
            <w:r w:rsidRPr="00421097">
              <w:rPr>
                <w:b/>
                <w:sz w:val="20"/>
              </w:rPr>
              <w:t xml:space="preserve">International voice calls (outside the plan's included international minutes and to excluded countries) </w:t>
            </w:r>
          </w:p>
        </w:tc>
        <w:tc>
          <w:tcPr>
            <w:tcW w:w="5333" w:type="dxa"/>
            <w:shd w:val="clear" w:color="auto" w:fill="auto"/>
            <w:vAlign w:val="center"/>
          </w:tcPr>
          <w:p w14:paraId="4149B90E" w14:textId="77777777" w:rsidR="00421097" w:rsidRPr="00421097" w:rsidRDefault="00421097" w:rsidP="00421097">
            <w:pPr>
              <w:spacing w:before="100" w:after="100"/>
              <w:jc w:val="center"/>
              <w:rPr>
                <w:sz w:val="20"/>
              </w:rPr>
            </w:pPr>
            <w:r w:rsidRPr="00421097">
              <w:rPr>
                <w:sz w:val="20"/>
              </w:rPr>
              <w:t>'yes' international rates</w:t>
            </w:r>
            <w:r w:rsidRPr="00421097">
              <w:rPr>
                <w:sz w:val="20"/>
              </w:rPr>
              <w:br/>
              <w:t>See optus.com.au/international</w:t>
            </w:r>
          </w:p>
        </w:tc>
      </w:tr>
      <w:tr w:rsidR="00421097" w:rsidRPr="00421097" w14:paraId="24231E41" w14:textId="77777777" w:rsidTr="00421097">
        <w:tc>
          <w:tcPr>
            <w:tcW w:w="4590" w:type="dxa"/>
            <w:shd w:val="clear" w:color="auto" w:fill="auto"/>
          </w:tcPr>
          <w:p w14:paraId="5E49890B" w14:textId="77777777" w:rsidR="00421097" w:rsidRPr="00421097" w:rsidRDefault="00421097" w:rsidP="00421097">
            <w:pPr>
              <w:spacing w:before="100" w:after="100"/>
              <w:rPr>
                <w:b/>
                <w:sz w:val="20"/>
              </w:rPr>
            </w:pPr>
            <w:r w:rsidRPr="00421097">
              <w:rPr>
                <w:b/>
                <w:sz w:val="20"/>
              </w:rPr>
              <w:t xml:space="preserve">International SMS (to excluded countries) </w:t>
            </w:r>
          </w:p>
        </w:tc>
        <w:tc>
          <w:tcPr>
            <w:tcW w:w="5333" w:type="dxa"/>
            <w:shd w:val="clear" w:color="auto" w:fill="auto"/>
            <w:vAlign w:val="center"/>
          </w:tcPr>
          <w:p w14:paraId="461B65F4" w14:textId="77777777" w:rsidR="00421097" w:rsidRPr="00421097" w:rsidRDefault="00421097" w:rsidP="00421097">
            <w:pPr>
              <w:spacing w:before="100" w:after="100"/>
              <w:jc w:val="center"/>
              <w:rPr>
                <w:sz w:val="20"/>
              </w:rPr>
            </w:pPr>
            <w:r w:rsidRPr="00421097">
              <w:rPr>
                <w:sz w:val="20"/>
              </w:rPr>
              <w:t>50c per SMS up to 160 standard characters</w:t>
            </w:r>
          </w:p>
        </w:tc>
      </w:tr>
      <w:tr w:rsidR="00421097" w:rsidRPr="00421097" w14:paraId="5CBD74A7" w14:textId="77777777" w:rsidTr="00421097">
        <w:tc>
          <w:tcPr>
            <w:tcW w:w="4590" w:type="dxa"/>
            <w:shd w:val="clear" w:color="auto" w:fill="auto"/>
          </w:tcPr>
          <w:p w14:paraId="724C6A91" w14:textId="77777777" w:rsidR="00421097" w:rsidRPr="00421097" w:rsidRDefault="00421097" w:rsidP="00421097">
            <w:pPr>
              <w:spacing w:before="100" w:after="100"/>
              <w:rPr>
                <w:b/>
                <w:sz w:val="20"/>
              </w:rPr>
            </w:pPr>
            <w:r w:rsidRPr="00421097">
              <w:rPr>
                <w:b/>
                <w:sz w:val="20"/>
              </w:rPr>
              <w:t>International MMS (to excluded countries)</w:t>
            </w:r>
          </w:p>
        </w:tc>
        <w:tc>
          <w:tcPr>
            <w:tcW w:w="5333" w:type="dxa"/>
            <w:shd w:val="clear" w:color="auto" w:fill="auto"/>
            <w:vAlign w:val="center"/>
          </w:tcPr>
          <w:p w14:paraId="78A13D66" w14:textId="77777777" w:rsidR="00421097" w:rsidRPr="00421097" w:rsidRDefault="00421097" w:rsidP="00421097">
            <w:pPr>
              <w:spacing w:before="100" w:after="100"/>
              <w:jc w:val="center"/>
              <w:rPr>
                <w:sz w:val="20"/>
              </w:rPr>
            </w:pPr>
            <w:r w:rsidRPr="00421097">
              <w:rPr>
                <w:sz w:val="20"/>
              </w:rPr>
              <w:t xml:space="preserve">75c per MMS </w:t>
            </w:r>
          </w:p>
        </w:tc>
      </w:tr>
      <w:tr w:rsidR="00421097" w:rsidRPr="00421097" w14:paraId="435A776B" w14:textId="77777777" w:rsidTr="00421097">
        <w:tc>
          <w:tcPr>
            <w:tcW w:w="4590" w:type="dxa"/>
            <w:shd w:val="clear" w:color="auto" w:fill="auto"/>
          </w:tcPr>
          <w:p w14:paraId="6B311B95" w14:textId="77777777" w:rsidR="00421097" w:rsidRPr="00421097" w:rsidRDefault="00421097" w:rsidP="00421097">
            <w:pPr>
              <w:spacing w:before="100" w:after="100"/>
              <w:rPr>
                <w:b/>
                <w:sz w:val="20"/>
              </w:rPr>
            </w:pPr>
            <w:r w:rsidRPr="00421097">
              <w:rPr>
                <w:b/>
                <w:sz w:val="20"/>
              </w:rPr>
              <w:t xml:space="preserve">International video calling </w:t>
            </w:r>
          </w:p>
        </w:tc>
        <w:tc>
          <w:tcPr>
            <w:tcW w:w="5333" w:type="dxa"/>
            <w:shd w:val="clear" w:color="auto" w:fill="auto"/>
            <w:vAlign w:val="center"/>
          </w:tcPr>
          <w:p w14:paraId="55FC1911" w14:textId="77777777" w:rsidR="00421097" w:rsidRPr="00421097" w:rsidRDefault="00421097" w:rsidP="00421097">
            <w:pPr>
              <w:spacing w:before="100" w:after="100"/>
              <w:jc w:val="center"/>
              <w:rPr>
                <w:sz w:val="20"/>
              </w:rPr>
            </w:pPr>
            <w:r w:rsidRPr="00421097">
              <w:rPr>
                <w:sz w:val="20"/>
              </w:rPr>
              <w:t>$1.50 per minute +35c flagfall</w:t>
            </w:r>
          </w:p>
        </w:tc>
      </w:tr>
      <w:tr w:rsidR="00421097" w:rsidRPr="00421097" w14:paraId="4D09B8F2" w14:textId="77777777" w:rsidTr="00421097">
        <w:tc>
          <w:tcPr>
            <w:tcW w:w="4590" w:type="dxa"/>
            <w:shd w:val="clear" w:color="auto" w:fill="auto"/>
          </w:tcPr>
          <w:p w14:paraId="00A42056" w14:textId="77777777" w:rsidR="00421097" w:rsidRPr="00421097" w:rsidRDefault="00421097" w:rsidP="00421097">
            <w:pPr>
              <w:spacing w:before="100" w:after="100"/>
              <w:rPr>
                <w:b/>
                <w:sz w:val="20"/>
              </w:rPr>
            </w:pPr>
            <w:r w:rsidRPr="00421097">
              <w:rPr>
                <w:b/>
                <w:sz w:val="20"/>
              </w:rPr>
              <w:t xml:space="preserve">International roaming </w:t>
            </w:r>
          </w:p>
        </w:tc>
        <w:tc>
          <w:tcPr>
            <w:tcW w:w="5333" w:type="dxa"/>
            <w:shd w:val="clear" w:color="auto" w:fill="auto"/>
            <w:vAlign w:val="center"/>
          </w:tcPr>
          <w:p w14:paraId="33793C44" w14:textId="77777777" w:rsidR="00421097" w:rsidRPr="00421097" w:rsidRDefault="00421097" w:rsidP="00421097">
            <w:pPr>
              <w:spacing w:before="100" w:after="100"/>
              <w:jc w:val="center"/>
              <w:rPr>
                <w:sz w:val="20"/>
              </w:rPr>
            </w:pPr>
            <w:r w:rsidRPr="00421097">
              <w:rPr>
                <w:sz w:val="20"/>
              </w:rPr>
              <w:t>See optus.com.au/roaming</w:t>
            </w:r>
          </w:p>
        </w:tc>
      </w:tr>
    </w:tbl>
    <w:p w14:paraId="090902C2" w14:textId="77777777" w:rsidR="00421097" w:rsidRPr="00421097" w:rsidRDefault="00421097" w:rsidP="00421097">
      <w:pPr>
        <w:spacing w:after="200"/>
        <w:rPr>
          <w:sz w:val="20"/>
        </w:rPr>
      </w:pPr>
    </w:p>
    <w:p w14:paraId="39BB7863" w14:textId="77777777" w:rsidR="00421097" w:rsidRPr="00421097" w:rsidRDefault="00421097" w:rsidP="00421097">
      <w:pPr>
        <w:keepNext/>
        <w:spacing w:after="200"/>
        <w:rPr>
          <w:b/>
          <w:sz w:val="20"/>
        </w:rPr>
      </w:pPr>
      <w:r w:rsidRPr="00421097">
        <w:rPr>
          <w:b/>
          <w:sz w:val="20"/>
        </w:rPr>
        <w:t>Table 3 – International Countries</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1"/>
        <w:gridCol w:w="2257"/>
        <w:gridCol w:w="2419"/>
        <w:gridCol w:w="2253"/>
      </w:tblGrid>
      <w:tr w:rsidR="00421097" w:rsidRPr="00421097" w14:paraId="5D683458" w14:textId="77777777" w:rsidTr="00421097">
        <w:tc>
          <w:tcPr>
            <w:tcW w:w="2251" w:type="dxa"/>
            <w:shd w:val="clear" w:color="auto" w:fill="auto"/>
          </w:tcPr>
          <w:p w14:paraId="6806325F" w14:textId="77777777" w:rsidR="00421097" w:rsidRPr="00421097" w:rsidRDefault="00421097" w:rsidP="00421097">
            <w:pPr>
              <w:keepNext/>
              <w:spacing w:before="100" w:after="100"/>
              <w:rPr>
                <w:b/>
                <w:sz w:val="20"/>
              </w:rPr>
            </w:pPr>
            <w:r w:rsidRPr="00421097">
              <w:rPr>
                <w:rFonts w:eastAsia="Calibri"/>
                <w:sz w:val="20"/>
              </w:rPr>
              <w:t>China</w:t>
            </w:r>
          </w:p>
        </w:tc>
        <w:tc>
          <w:tcPr>
            <w:tcW w:w="2257" w:type="dxa"/>
            <w:shd w:val="clear" w:color="auto" w:fill="auto"/>
          </w:tcPr>
          <w:p w14:paraId="50C7607F" w14:textId="77777777" w:rsidR="00421097" w:rsidRPr="00421097" w:rsidRDefault="00421097" w:rsidP="00421097">
            <w:pPr>
              <w:keepNext/>
              <w:spacing w:before="100" w:after="100"/>
              <w:rPr>
                <w:b/>
                <w:sz w:val="20"/>
              </w:rPr>
            </w:pPr>
            <w:r w:rsidRPr="00421097">
              <w:rPr>
                <w:rFonts w:eastAsia="Calibri"/>
                <w:sz w:val="20"/>
              </w:rPr>
              <w:t>Indonesia</w:t>
            </w:r>
          </w:p>
        </w:tc>
        <w:tc>
          <w:tcPr>
            <w:tcW w:w="2419" w:type="dxa"/>
            <w:shd w:val="clear" w:color="auto" w:fill="auto"/>
          </w:tcPr>
          <w:p w14:paraId="0BCDB6E4" w14:textId="77777777" w:rsidR="00421097" w:rsidRPr="00421097" w:rsidRDefault="00421097" w:rsidP="00421097">
            <w:pPr>
              <w:keepNext/>
              <w:spacing w:before="100" w:after="100"/>
              <w:rPr>
                <w:b/>
                <w:sz w:val="20"/>
              </w:rPr>
            </w:pPr>
            <w:r w:rsidRPr="00421097">
              <w:rPr>
                <w:rFonts w:eastAsia="Calibri"/>
                <w:sz w:val="20"/>
              </w:rPr>
              <w:t>India</w:t>
            </w:r>
          </w:p>
        </w:tc>
        <w:tc>
          <w:tcPr>
            <w:tcW w:w="2253" w:type="dxa"/>
            <w:shd w:val="clear" w:color="auto" w:fill="auto"/>
          </w:tcPr>
          <w:p w14:paraId="6DEDF8A1" w14:textId="77777777" w:rsidR="00421097" w:rsidRPr="00421097" w:rsidRDefault="00421097" w:rsidP="00421097">
            <w:pPr>
              <w:keepNext/>
              <w:spacing w:before="100" w:after="100"/>
              <w:rPr>
                <w:b/>
                <w:sz w:val="20"/>
              </w:rPr>
            </w:pPr>
            <w:r w:rsidRPr="00421097">
              <w:rPr>
                <w:rFonts w:eastAsia="Calibri"/>
                <w:sz w:val="20"/>
              </w:rPr>
              <w:t>Malaysia</w:t>
            </w:r>
          </w:p>
        </w:tc>
      </w:tr>
      <w:tr w:rsidR="00421097" w:rsidRPr="00421097" w14:paraId="7CB093F5" w14:textId="77777777" w:rsidTr="00421097">
        <w:tc>
          <w:tcPr>
            <w:tcW w:w="2251" w:type="dxa"/>
            <w:shd w:val="clear" w:color="auto" w:fill="auto"/>
          </w:tcPr>
          <w:p w14:paraId="01ACF78D" w14:textId="77777777" w:rsidR="00421097" w:rsidRPr="00421097" w:rsidRDefault="00421097" w:rsidP="00421097">
            <w:pPr>
              <w:keepNext/>
              <w:spacing w:before="100" w:after="100"/>
              <w:rPr>
                <w:rFonts w:eastAsia="Calibri"/>
                <w:sz w:val="20"/>
              </w:rPr>
            </w:pPr>
            <w:r w:rsidRPr="00421097">
              <w:rPr>
                <w:rFonts w:eastAsia="Calibri"/>
                <w:sz w:val="20"/>
              </w:rPr>
              <w:t>New Zealand</w:t>
            </w:r>
          </w:p>
        </w:tc>
        <w:tc>
          <w:tcPr>
            <w:tcW w:w="2257" w:type="dxa"/>
            <w:shd w:val="clear" w:color="auto" w:fill="auto"/>
          </w:tcPr>
          <w:p w14:paraId="63A19F0F" w14:textId="77777777" w:rsidR="00421097" w:rsidRPr="00421097" w:rsidRDefault="00421097" w:rsidP="00421097">
            <w:pPr>
              <w:keepNext/>
              <w:spacing w:before="100" w:after="100"/>
              <w:rPr>
                <w:rFonts w:eastAsia="Calibri"/>
                <w:sz w:val="20"/>
              </w:rPr>
            </w:pPr>
            <w:r w:rsidRPr="00421097">
              <w:rPr>
                <w:rFonts w:eastAsia="Calibri"/>
                <w:sz w:val="20"/>
                <w:szCs w:val="20"/>
              </w:rPr>
              <w:t>Singapore</w:t>
            </w:r>
          </w:p>
        </w:tc>
        <w:tc>
          <w:tcPr>
            <w:tcW w:w="2419" w:type="dxa"/>
            <w:shd w:val="clear" w:color="auto" w:fill="auto"/>
          </w:tcPr>
          <w:p w14:paraId="4A5FDD30" w14:textId="77777777" w:rsidR="00421097" w:rsidRPr="00421097" w:rsidRDefault="00421097" w:rsidP="00421097">
            <w:pPr>
              <w:keepNext/>
              <w:spacing w:before="100" w:after="100"/>
              <w:rPr>
                <w:rFonts w:eastAsia="Calibri"/>
                <w:sz w:val="20"/>
              </w:rPr>
            </w:pPr>
            <w:r w:rsidRPr="00421097">
              <w:rPr>
                <w:rFonts w:eastAsia="Calibri"/>
                <w:sz w:val="20"/>
              </w:rPr>
              <w:t>South Africa</w:t>
            </w:r>
          </w:p>
        </w:tc>
        <w:tc>
          <w:tcPr>
            <w:tcW w:w="2253" w:type="dxa"/>
            <w:shd w:val="clear" w:color="auto" w:fill="auto"/>
          </w:tcPr>
          <w:p w14:paraId="5AB56A01" w14:textId="77777777" w:rsidR="00421097" w:rsidRPr="00421097" w:rsidRDefault="00421097" w:rsidP="00421097">
            <w:pPr>
              <w:keepNext/>
              <w:spacing w:before="100" w:after="100"/>
              <w:rPr>
                <w:rFonts w:eastAsia="Calibri"/>
                <w:sz w:val="20"/>
              </w:rPr>
            </w:pPr>
            <w:r w:rsidRPr="00421097">
              <w:rPr>
                <w:rFonts w:eastAsia="Calibri"/>
                <w:sz w:val="20"/>
              </w:rPr>
              <w:t>UK</w:t>
            </w:r>
          </w:p>
        </w:tc>
      </w:tr>
      <w:tr w:rsidR="00421097" w:rsidRPr="00421097" w14:paraId="29B2F040" w14:textId="77777777" w:rsidTr="00421097">
        <w:tc>
          <w:tcPr>
            <w:tcW w:w="2251" w:type="dxa"/>
            <w:shd w:val="clear" w:color="auto" w:fill="auto"/>
          </w:tcPr>
          <w:p w14:paraId="1D2917EA" w14:textId="77777777" w:rsidR="00421097" w:rsidRPr="00421097" w:rsidRDefault="00421097" w:rsidP="00421097">
            <w:pPr>
              <w:spacing w:before="100" w:after="100"/>
              <w:rPr>
                <w:b/>
                <w:sz w:val="20"/>
              </w:rPr>
            </w:pPr>
            <w:r w:rsidRPr="00421097">
              <w:rPr>
                <w:rFonts w:eastAsia="Calibri"/>
                <w:sz w:val="20"/>
              </w:rPr>
              <w:t xml:space="preserve">USA </w:t>
            </w:r>
          </w:p>
        </w:tc>
        <w:tc>
          <w:tcPr>
            <w:tcW w:w="2257" w:type="dxa"/>
            <w:shd w:val="clear" w:color="auto" w:fill="auto"/>
          </w:tcPr>
          <w:p w14:paraId="4C8733DD" w14:textId="77777777" w:rsidR="00421097" w:rsidRPr="00421097" w:rsidRDefault="00421097" w:rsidP="00421097">
            <w:pPr>
              <w:spacing w:before="100" w:after="100"/>
              <w:rPr>
                <w:b/>
                <w:sz w:val="20"/>
              </w:rPr>
            </w:pPr>
            <w:r w:rsidRPr="00421097">
              <w:rPr>
                <w:rFonts w:eastAsia="Calibri"/>
                <w:sz w:val="20"/>
              </w:rPr>
              <w:t>Vietnam</w:t>
            </w:r>
          </w:p>
        </w:tc>
        <w:tc>
          <w:tcPr>
            <w:tcW w:w="2419" w:type="dxa"/>
            <w:shd w:val="clear" w:color="auto" w:fill="auto"/>
          </w:tcPr>
          <w:p w14:paraId="79DD868A" w14:textId="77777777" w:rsidR="00421097" w:rsidRPr="00421097" w:rsidRDefault="00421097" w:rsidP="00421097">
            <w:pPr>
              <w:spacing w:before="100" w:after="100"/>
              <w:rPr>
                <w:b/>
                <w:sz w:val="20"/>
              </w:rPr>
            </w:pPr>
            <w:r w:rsidRPr="00421097">
              <w:rPr>
                <w:sz w:val="20"/>
              </w:rPr>
              <w:t xml:space="preserve">Canada </w:t>
            </w:r>
          </w:p>
        </w:tc>
        <w:tc>
          <w:tcPr>
            <w:tcW w:w="2253" w:type="dxa"/>
            <w:shd w:val="clear" w:color="auto" w:fill="auto"/>
          </w:tcPr>
          <w:p w14:paraId="427F537E" w14:textId="77777777" w:rsidR="00421097" w:rsidRPr="00421097" w:rsidRDefault="00421097" w:rsidP="00421097">
            <w:pPr>
              <w:spacing w:before="100" w:after="100"/>
              <w:rPr>
                <w:b/>
                <w:sz w:val="20"/>
              </w:rPr>
            </w:pPr>
            <w:r w:rsidRPr="00421097">
              <w:rPr>
                <w:sz w:val="20"/>
              </w:rPr>
              <w:t>Hong Kong</w:t>
            </w:r>
          </w:p>
        </w:tc>
      </w:tr>
      <w:tr w:rsidR="00421097" w:rsidRPr="00421097" w14:paraId="32CC9D53" w14:textId="77777777" w:rsidTr="00421097">
        <w:tc>
          <w:tcPr>
            <w:tcW w:w="2251" w:type="dxa"/>
            <w:shd w:val="clear" w:color="auto" w:fill="auto"/>
          </w:tcPr>
          <w:p w14:paraId="50B79B2B" w14:textId="77777777" w:rsidR="00421097" w:rsidRPr="00421097" w:rsidRDefault="00421097" w:rsidP="00421097">
            <w:pPr>
              <w:spacing w:before="100" w:after="100"/>
              <w:rPr>
                <w:rFonts w:eastAsia="Calibri"/>
                <w:sz w:val="20"/>
              </w:rPr>
            </w:pPr>
            <w:r w:rsidRPr="00421097">
              <w:rPr>
                <w:rFonts w:eastAsia="Calibri"/>
                <w:sz w:val="20"/>
              </w:rPr>
              <w:t>South Korea</w:t>
            </w:r>
          </w:p>
        </w:tc>
        <w:tc>
          <w:tcPr>
            <w:tcW w:w="2257" w:type="dxa"/>
            <w:shd w:val="clear" w:color="auto" w:fill="auto"/>
          </w:tcPr>
          <w:p w14:paraId="2EC8AB3F" w14:textId="77777777" w:rsidR="00421097" w:rsidRPr="00421097" w:rsidRDefault="00421097" w:rsidP="00421097">
            <w:pPr>
              <w:spacing w:before="100" w:after="100"/>
              <w:rPr>
                <w:rFonts w:eastAsia="Calibri"/>
                <w:sz w:val="20"/>
              </w:rPr>
            </w:pPr>
            <w:r w:rsidRPr="00421097">
              <w:rPr>
                <w:rFonts w:eastAsia="Calibri"/>
                <w:sz w:val="20"/>
              </w:rPr>
              <w:t xml:space="preserve">Thailand </w:t>
            </w:r>
          </w:p>
        </w:tc>
        <w:tc>
          <w:tcPr>
            <w:tcW w:w="2419" w:type="dxa"/>
            <w:shd w:val="clear" w:color="auto" w:fill="auto"/>
          </w:tcPr>
          <w:p w14:paraId="635E5591" w14:textId="77777777" w:rsidR="00421097" w:rsidRPr="00421097" w:rsidRDefault="00421097" w:rsidP="00421097">
            <w:pPr>
              <w:spacing w:before="100" w:after="100"/>
              <w:rPr>
                <w:sz w:val="20"/>
              </w:rPr>
            </w:pPr>
          </w:p>
        </w:tc>
        <w:tc>
          <w:tcPr>
            <w:tcW w:w="2253" w:type="dxa"/>
            <w:shd w:val="clear" w:color="auto" w:fill="auto"/>
          </w:tcPr>
          <w:p w14:paraId="35059908" w14:textId="77777777" w:rsidR="00421097" w:rsidRPr="00421097" w:rsidRDefault="00421097" w:rsidP="00421097">
            <w:pPr>
              <w:spacing w:before="100" w:after="100"/>
              <w:rPr>
                <w:sz w:val="20"/>
              </w:rPr>
            </w:pPr>
          </w:p>
        </w:tc>
      </w:tr>
    </w:tbl>
    <w:p w14:paraId="6EBC55B0" w14:textId="77777777" w:rsidR="00421097" w:rsidRPr="00421097" w:rsidRDefault="00421097" w:rsidP="00421097">
      <w:pPr>
        <w:spacing w:after="200"/>
        <w:rPr>
          <w:b/>
          <w:sz w:val="20"/>
        </w:rPr>
      </w:pPr>
    </w:p>
    <w:p w14:paraId="4A30274A" w14:textId="77777777" w:rsidR="00421097" w:rsidRPr="00421097" w:rsidRDefault="00421097" w:rsidP="00421097">
      <w:pPr>
        <w:numPr>
          <w:ilvl w:val="5"/>
          <w:numId w:val="1"/>
        </w:numPr>
        <w:spacing w:before="240" w:after="200"/>
        <w:outlineLvl w:val="5"/>
        <w:rPr>
          <w:rFonts w:eastAsia="Times New Roman"/>
          <w:bCs/>
          <w:sz w:val="20"/>
          <w:szCs w:val="22"/>
          <w:lang w:val="en-AU"/>
        </w:rPr>
      </w:pPr>
      <w:bookmarkStart w:id="1452" w:name="_Toc414347458"/>
      <w:bookmarkStart w:id="1453" w:name="_Toc455149906"/>
      <w:bookmarkStart w:id="1454" w:name="_Toc465162133"/>
      <w:bookmarkStart w:id="1455" w:name="_Toc466892510"/>
      <w:bookmarkStart w:id="1456" w:name="_Toc475699584"/>
      <w:r w:rsidRPr="00421097">
        <w:rPr>
          <w:rFonts w:eastAsia="Times New Roman"/>
          <w:bCs/>
          <w:sz w:val="20"/>
          <w:szCs w:val="22"/>
          <w:lang w:val="en-AU"/>
        </w:rPr>
        <w:t>My Account</w:t>
      </w:r>
      <w:bookmarkEnd w:id="1452"/>
      <w:bookmarkEnd w:id="1453"/>
      <w:bookmarkEnd w:id="1454"/>
      <w:bookmarkEnd w:id="1455"/>
      <w:bookmarkEnd w:id="1456"/>
    </w:p>
    <w:p w14:paraId="34602085" w14:textId="77777777" w:rsidR="00421097" w:rsidRPr="00421097" w:rsidRDefault="00421097" w:rsidP="00421097">
      <w:pPr>
        <w:spacing w:after="200"/>
        <w:ind w:left="720"/>
        <w:rPr>
          <w:sz w:val="20"/>
          <w:lang w:val="en-AU"/>
        </w:rPr>
      </w:pPr>
      <w:r w:rsidRPr="00421097">
        <w:rPr>
          <w:sz w:val="20"/>
          <w:lang w:val="en-AU"/>
        </w:rPr>
        <w:t xml:space="preserve">Services that share data may have a service login to My Account which will display all of the service numbers contributing to or using the shared data pool on </w:t>
      </w:r>
      <w:r w:rsidRPr="00421097">
        <w:rPr>
          <w:i/>
          <w:sz w:val="20"/>
          <w:lang w:val="en-AU"/>
        </w:rPr>
        <w:t xml:space="preserve">your </w:t>
      </w:r>
      <w:r w:rsidRPr="00421097">
        <w:rPr>
          <w:sz w:val="20"/>
          <w:lang w:val="en-AU"/>
        </w:rPr>
        <w:t xml:space="preserve">account and the amount of data each service has used. If </w:t>
      </w:r>
      <w:r w:rsidRPr="00421097">
        <w:rPr>
          <w:i/>
          <w:sz w:val="20"/>
          <w:lang w:val="en-AU"/>
        </w:rPr>
        <w:t>you</w:t>
      </w:r>
      <w:r w:rsidRPr="00421097">
        <w:rPr>
          <w:sz w:val="20"/>
          <w:lang w:val="en-AU"/>
        </w:rPr>
        <w:t xml:space="preserve"> have more than 6 services on </w:t>
      </w:r>
      <w:r w:rsidRPr="00421097">
        <w:rPr>
          <w:i/>
          <w:sz w:val="20"/>
          <w:lang w:val="en-AU"/>
        </w:rPr>
        <w:t>your</w:t>
      </w:r>
      <w:r w:rsidRPr="00421097">
        <w:rPr>
          <w:sz w:val="20"/>
          <w:lang w:val="en-AU"/>
        </w:rPr>
        <w:t xml:space="preserve"> account, My Account may not be suitable for viewing usage and managing </w:t>
      </w:r>
      <w:r w:rsidRPr="00421097">
        <w:rPr>
          <w:i/>
          <w:sz w:val="20"/>
          <w:lang w:val="en-AU"/>
        </w:rPr>
        <w:t xml:space="preserve">your </w:t>
      </w:r>
      <w:r w:rsidRPr="00421097">
        <w:rPr>
          <w:sz w:val="20"/>
          <w:lang w:val="en-AU"/>
        </w:rPr>
        <w:t>usage alerts.</w:t>
      </w:r>
    </w:p>
    <w:p w14:paraId="66CC519A" w14:textId="77777777" w:rsidR="00421097" w:rsidRPr="00421097" w:rsidRDefault="00421097" w:rsidP="00421097">
      <w:pPr>
        <w:numPr>
          <w:ilvl w:val="5"/>
          <w:numId w:val="1"/>
        </w:numPr>
        <w:spacing w:before="240" w:after="200"/>
        <w:outlineLvl w:val="5"/>
        <w:rPr>
          <w:rFonts w:eastAsia="Times New Roman"/>
          <w:bCs/>
          <w:sz w:val="20"/>
          <w:szCs w:val="22"/>
          <w:lang w:val="en-AU"/>
        </w:rPr>
      </w:pPr>
      <w:bookmarkStart w:id="1457" w:name="_Toc414345865"/>
      <w:bookmarkStart w:id="1458" w:name="_Toc414347459"/>
      <w:bookmarkStart w:id="1459" w:name="_Toc455149907"/>
      <w:bookmarkStart w:id="1460" w:name="_Toc465162134"/>
      <w:bookmarkStart w:id="1461" w:name="_Toc466892511"/>
      <w:bookmarkStart w:id="1462" w:name="_Toc475699585"/>
      <w:r w:rsidRPr="00421097">
        <w:rPr>
          <w:rFonts w:eastAsia="Times New Roman"/>
          <w:bCs/>
          <w:sz w:val="20"/>
          <w:szCs w:val="22"/>
          <w:lang w:val="en-AU"/>
        </w:rPr>
        <w:t xml:space="preserve">What happens if the </w:t>
      </w:r>
      <w:r w:rsidRPr="00421097">
        <w:rPr>
          <w:rFonts w:eastAsia="Times New Roman"/>
          <w:bCs/>
          <w:i/>
          <w:sz w:val="20"/>
          <w:szCs w:val="22"/>
          <w:lang w:val="en-AU"/>
        </w:rPr>
        <w:t xml:space="preserve">service </w:t>
      </w:r>
      <w:r w:rsidRPr="00421097">
        <w:rPr>
          <w:rFonts w:eastAsia="Times New Roman"/>
          <w:bCs/>
          <w:sz w:val="20"/>
          <w:szCs w:val="22"/>
          <w:lang w:val="en-AU"/>
        </w:rPr>
        <w:t>is</w:t>
      </w:r>
      <w:r w:rsidRPr="00421097">
        <w:rPr>
          <w:rFonts w:eastAsia="Times New Roman"/>
          <w:bCs/>
          <w:i/>
          <w:sz w:val="20"/>
          <w:szCs w:val="22"/>
          <w:lang w:val="en-AU"/>
        </w:rPr>
        <w:t xml:space="preserve"> cancelled </w:t>
      </w:r>
      <w:r w:rsidRPr="00421097">
        <w:rPr>
          <w:rFonts w:eastAsia="Times New Roman"/>
          <w:bCs/>
          <w:sz w:val="20"/>
          <w:szCs w:val="22"/>
          <w:lang w:val="en-AU"/>
        </w:rPr>
        <w:t>early?</w:t>
      </w:r>
      <w:bookmarkEnd w:id="1457"/>
      <w:bookmarkEnd w:id="1458"/>
      <w:bookmarkEnd w:id="1459"/>
      <w:bookmarkEnd w:id="1460"/>
      <w:bookmarkEnd w:id="1461"/>
      <w:bookmarkEnd w:id="1462"/>
      <w:r w:rsidRPr="00421097">
        <w:rPr>
          <w:rFonts w:eastAsia="Times New Roman"/>
          <w:bCs/>
          <w:sz w:val="20"/>
          <w:szCs w:val="22"/>
          <w:lang w:val="en-AU"/>
        </w:rPr>
        <w:t xml:space="preserve"> </w:t>
      </w:r>
    </w:p>
    <w:p w14:paraId="47635F21" w14:textId="77777777" w:rsidR="00421097" w:rsidRPr="00421097" w:rsidRDefault="00421097" w:rsidP="00421097">
      <w:pPr>
        <w:spacing w:after="200"/>
        <w:ind w:left="720"/>
        <w:rPr>
          <w:sz w:val="20"/>
        </w:rPr>
      </w:pPr>
      <w:r w:rsidRPr="00421097">
        <w:rPr>
          <w:sz w:val="20"/>
        </w:rPr>
        <w:t xml:space="preserve">If your service is cancelled before the end of your minimum term, there are no plan cancellation fees. You will simply need to pay out the sum of unpaid equipment charges owing on your mobile phone under the </w:t>
      </w:r>
      <w:r w:rsidRPr="00421097">
        <w:rPr>
          <w:sz w:val="20"/>
        </w:rPr>
        <w:lastRenderedPageBreak/>
        <w:t>mobile equipment payment plan (if any). Note any handset credit you were entitled to will be forfeited (see clause 9.12 above).</w:t>
      </w:r>
    </w:p>
    <w:p w14:paraId="4A455B31" w14:textId="77777777" w:rsidR="00421097" w:rsidRPr="00421097" w:rsidRDefault="00421097" w:rsidP="00421097">
      <w:pPr>
        <w:rPr>
          <w:sz w:val="20"/>
          <w:szCs w:val="20"/>
        </w:rPr>
      </w:pPr>
    </w:p>
    <w:p w14:paraId="61C83759" w14:textId="77777777" w:rsidR="00421097" w:rsidRPr="00421097" w:rsidRDefault="00421097" w:rsidP="00BA62D1">
      <w:pPr>
        <w:pStyle w:val="Heading4"/>
        <w:rPr>
          <w:lang w:val="en-AU"/>
        </w:rPr>
      </w:pPr>
      <w:bookmarkStart w:id="1463" w:name="_Toc466892512"/>
      <w:bookmarkStart w:id="1464" w:name="_Toc475699586"/>
      <w:bookmarkStart w:id="1465" w:name="_Toc479146549"/>
      <w:bookmarkStart w:id="1466" w:name="_Toc62644680"/>
      <w:r w:rsidRPr="00421097">
        <w:rPr>
          <w:lang w:val="en-AU"/>
        </w:rPr>
        <w:t>$125 My Plan Business Tech Fund ($105 Promo)</w:t>
      </w:r>
      <w:bookmarkEnd w:id="1463"/>
      <w:bookmarkEnd w:id="1464"/>
      <w:bookmarkEnd w:id="1465"/>
      <w:bookmarkEnd w:id="1466"/>
    </w:p>
    <w:p w14:paraId="59003549" w14:textId="77777777" w:rsidR="00421097" w:rsidRPr="00421097" w:rsidRDefault="00421097" w:rsidP="00421097">
      <w:pPr>
        <w:spacing w:after="200"/>
        <w:ind w:left="720"/>
        <w:rPr>
          <w:sz w:val="20"/>
        </w:rPr>
      </w:pPr>
      <w:r w:rsidRPr="00421097">
        <w:rPr>
          <w:sz w:val="20"/>
          <w:lang w:val="en-AU"/>
        </w:rPr>
        <w:t xml:space="preserve">This section relates to the following plans. </w:t>
      </w:r>
      <w:r w:rsidRPr="00421097">
        <w:rPr>
          <w:i/>
          <w:sz w:val="20"/>
          <w:lang w:val="en-AU"/>
        </w:rPr>
        <w:t>You</w:t>
      </w:r>
      <w:r w:rsidRPr="00421097">
        <w:rPr>
          <w:sz w:val="20"/>
          <w:lang w:val="en-AU"/>
        </w:rPr>
        <w:t xml:space="preserve"> can find </w:t>
      </w:r>
      <w:r w:rsidRPr="00421097">
        <w:rPr>
          <w:i/>
          <w:sz w:val="20"/>
          <w:lang w:val="en-AU"/>
        </w:rPr>
        <w:t>your</w:t>
      </w:r>
      <w:r w:rsidRPr="00421097">
        <w:rPr>
          <w:sz w:val="20"/>
          <w:lang w:val="en-AU"/>
        </w:rPr>
        <w:t xml:space="preserve"> Plan ID on </w:t>
      </w:r>
      <w:r w:rsidRPr="00421097">
        <w:rPr>
          <w:i/>
          <w:sz w:val="20"/>
          <w:lang w:val="en-AU"/>
        </w:rPr>
        <w:t>your</w:t>
      </w:r>
      <w:r w:rsidRPr="00421097">
        <w:rPr>
          <w:sz w:val="20"/>
          <w:lang w:val="en-AU"/>
        </w:rPr>
        <w:t xml:space="preserve"> bill under the Mobile Number Summary section:</w:t>
      </w:r>
    </w:p>
    <w:tbl>
      <w:tblPr>
        <w:tblW w:w="99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3"/>
        <w:gridCol w:w="1134"/>
        <w:gridCol w:w="4116"/>
      </w:tblGrid>
      <w:tr w:rsidR="00421097" w:rsidRPr="00421097" w14:paraId="7527D46E" w14:textId="77777777" w:rsidTr="00421097">
        <w:trPr>
          <w:jc w:val="center"/>
        </w:trPr>
        <w:tc>
          <w:tcPr>
            <w:tcW w:w="4693" w:type="dxa"/>
            <w:shd w:val="clear" w:color="auto" w:fill="auto"/>
          </w:tcPr>
          <w:p w14:paraId="78091732" w14:textId="77777777" w:rsidR="00421097" w:rsidRPr="00421097" w:rsidRDefault="00421097" w:rsidP="00421097">
            <w:pPr>
              <w:spacing w:before="100" w:after="100"/>
              <w:jc w:val="center"/>
              <w:rPr>
                <w:b/>
                <w:sz w:val="20"/>
                <w:lang w:val="en-AU"/>
              </w:rPr>
            </w:pPr>
            <w:r w:rsidRPr="00421097">
              <w:rPr>
                <w:b/>
                <w:sz w:val="20"/>
                <w:lang w:val="en-AU"/>
              </w:rPr>
              <w:t>Plan</w:t>
            </w:r>
          </w:p>
        </w:tc>
        <w:tc>
          <w:tcPr>
            <w:tcW w:w="1134" w:type="dxa"/>
            <w:shd w:val="clear" w:color="auto" w:fill="auto"/>
          </w:tcPr>
          <w:p w14:paraId="0FCBC5AA" w14:textId="77777777" w:rsidR="00421097" w:rsidRPr="00421097" w:rsidRDefault="00421097" w:rsidP="00421097">
            <w:pPr>
              <w:spacing w:before="100" w:after="100"/>
              <w:jc w:val="center"/>
              <w:rPr>
                <w:b/>
                <w:sz w:val="20"/>
                <w:lang w:val="en-AU"/>
              </w:rPr>
            </w:pPr>
            <w:r w:rsidRPr="00421097">
              <w:rPr>
                <w:b/>
                <w:sz w:val="20"/>
                <w:lang w:val="en-AU"/>
              </w:rPr>
              <w:t>Plan ID</w:t>
            </w:r>
          </w:p>
        </w:tc>
        <w:tc>
          <w:tcPr>
            <w:tcW w:w="4116" w:type="dxa"/>
            <w:shd w:val="clear" w:color="auto" w:fill="auto"/>
          </w:tcPr>
          <w:p w14:paraId="176ABED6" w14:textId="77777777" w:rsidR="00421097" w:rsidRPr="00421097" w:rsidRDefault="00421097" w:rsidP="00421097">
            <w:pPr>
              <w:spacing w:before="100" w:after="100"/>
              <w:jc w:val="center"/>
              <w:rPr>
                <w:b/>
                <w:sz w:val="20"/>
                <w:lang w:val="en-AU"/>
              </w:rPr>
            </w:pPr>
            <w:r w:rsidRPr="00421097">
              <w:rPr>
                <w:b/>
                <w:sz w:val="20"/>
                <w:lang w:val="en-AU"/>
              </w:rPr>
              <w:t>Available</w:t>
            </w:r>
          </w:p>
        </w:tc>
      </w:tr>
      <w:tr w:rsidR="00421097" w:rsidRPr="00421097" w14:paraId="2922A3B2" w14:textId="77777777" w:rsidTr="00421097">
        <w:trPr>
          <w:trHeight w:val="53"/>
          <w:jc w:val="center"/>
        </w:trPr>
        <w:tc>
          <w:tcPr>
            <w:tcW w:w="4693" w:type="dxa"/>
            <w:shd w:val="clear" w:color="auto" w:fill="auto"/>
          </w:tcPr>
          <w:p w14:paraId="140D851D" w14:textId="77777777" w:rsidR="00421097" w:rsidRPr="00421097" w:rsidRDefault="00421097" w:rsidP="00421097">
            <w:pPr>
              <w:spacing w:before="100" w:after="100"/>
              <w:jc w:val="center"/>
              <w:rPr>
                <w:sz w:val="20"/>
              </w:rPr>
            </w:pPr>
            <w:r w:rsidRPr="00421097">
              <w:rPr>
                <w:sz w:val="20"/>
              </w:rPr>
              <w:t>$125 My Plan Business Tech Fund ($105 Promo)</w:t>
            </w:r>
          </w:p>
        </w:tc>
        <w:tc>
          <w:tcPr>
            <w:tcW w:w="1134" w:type="dxa"/>
            <w:shd w:val="clear" w:color="auto" w:fill="auto"/>
          </w:tcPr>
          <w:p w14:paraId="65B85478" w14:textId="77777777" w:rsidR="00421097" w:rsidRPr="00421097" w:rsidDel="00432A16" w:rsidRDefault="00421097" w:rsidP="00421097">
            <w:pPr>
              <w:spacing w:before="100" w:after="100"/>
              <w:jc w:val="center"/>
              <w:rPr>
                <w:sz w:val="20"/>
              </w:rPr>
            </w:pPr>
            <w:r w:rsidRPr="00421097">
              <w:rPr>
                <w:sz w:val="20"/>
              </w:rPr>
              <w:t>800567</w:t>
            </w:r>
          </w:p>
        </w:tc>
        <w:tc>
          <w:tcPr>
            <w:tcW w:w="4116" w:type="dxa"/>
            <w:shd w:val="clear" w:color="auto" w:fill="auto"/>
          </w:tcPr>
          <w:p w14:paraId="6B8D5C81" w14:textId="77777777" w:rsidR="00421097" w:rsidRPr="00421097" w:rsidRDefault="00421097" w:rsidP="00421097">
            <w:pPr>
              <w:spacing w:before="100" w:after="100"/>
              <w:jc w:val="center"/>
              <w:rPr>
                <w:sz w:val="20"/>
                <w:lang w:val="en-AU"/>
              </w:rPr>
            </w:pPr>
            <w:r w:rsidRPr="00421097">
              <w:rPr>
                <w:sz w:val="20"/>
                <w:lang w:val="en-AU"/>
              </w:rPr>
              <w:t xml:space="preserve">14 November 2016 - </w:t>
            </w:r>
            <w:r w:rsidRPr="00421097">
              <w:t>26 February 2017</w:t>
            </w:r>
          </w:p>
        </w:tc>
      </w:tr>
    </w:tbl>
    <w:p w14:paraId="30EEAD9F" w14:textId="77777777" w:rsidR="00421097" w:rsidRPr="00421097" w:rsidRDefault="00421097" w:rsidP="00421097">
      <w:pPr>
        <w:spacing w:after="200"/>
        <w:rPr>
          <w:b/>
          <w:sz w:val="20"/>
        </w:rPr>
      </w:pPr>
    </w:p>
    <w:p w14:paraId="4F876AF4" w14:textId="77777777" w:rsidR="00421097" w:rsidRPr="00421097" w:rsidRDefault="00421097" w:rsidP="00421097">
      <w:pPr>
        <w:numPr>
          <w:ilvl w:val="5"/>
          <w:numId w:val="1"/>
        </w:numPr>
        <w:spacing w:before="240" w:after="200"/>
        <w:outlineLvl w:val="5"/>
        <w:rPr>
          <w:rFonts w:eastAsia="Times New Roman"/>
          <w:sz w:val="20"/>
          <w:szCs w:val="22"/>
          <w:lang w:val="en-AU"/>
        </w:rPr>
      </w:pPr>
      <w:bookmarkStart w:id="1467" w:name="_Toc465162147"/>
      <w:bookmarkStart w:id="1468" w:name="_Toc466892513"/>
      <w:bookmarkStart w:id="1469" w:name="_Toc475699587"/>
      <w:r w:rsidRPr="00421097">
        <w:rPr>
          <w:rFonts w:eastAsia="Times New Roman"/>
          <w:sz w:val="20"/>
          <w:szCs w:val="22"/>
          <w:lang w:val="en-AU"/>
        </w:rPr>
        <w:t>Eligibility</w:t>
      </w:r>
      <w:bookmarkEnd w:id="1467"/>
      <w:bookmarkEnd w:id="1468"/>
      <w:bookmarkEnd w:id="1469"/>
    </w:p>
    <w:p w14:paraId="191EE357" w14:textId="77777777" w:rsidR="00421097" w:rsidRPr="00421097" w:rsidRDefault="00421097" w:rsidP="00421097">
      <w:pPr>
        <w:spacing w:after="200"/>
        <w:ind w:left="720"/>
        <w:rPr>
          <w:sz w:val="20"/>
          <w:lang w:val="en-AU"/>
        </w:rPr>
      </w:pPr>
      <w:r w:rsidRPr="00421097">
        <w:rPr>
          <w:sz w:val="20"/>
          <w:lang w:val="en-AU"/>
        </w:rPr>
        <w:t xml:space="preserve">The My Plan Business Tech Fund plans are available to new and existing recontracting business mobile customers who pass Optus' credit assessment. To be eligible for this plan, businesses must provide Optus with a registered ACN, ARBN or ABN and must sign up for a minimum of 6 services to a My Plan Business Tech Fund Plan on a single Optus billing account. </w:t>
      </w:r>
      <w:r w:rsidRPr="00421097">
        <w:rPr>
          <w:sz w:val="20"/>
        </w:rPr>
        <w:t>This is a promotional plan with an automated $20 monthly credit, available to new and re-contracting services that activate onto this plan between 14 November 2016 and 15 January 2017</w:t>
      </w:r>
    </w:p>
    <w:p w14:paraId="51044C22" w14:textId="77777777" w:rsidR="00421097" w:rsidRPr="00421097" w:rsidRDefault="00421097" w:rsidP="00421097">
      <w:pPr>
        <w:spacing w:after="200"/>
        <w:ind w:left="720"/>
        <w:rPr>
          <w:sz w:val="20"/>
          <w:lang w:val="en-AU"/>
        </w:rPr>
      </w:pPr>
      <w:r w:rsidRPr="00421097">
        <w:rPr>
          <w:sz w:val="20"/>
          <w:lang w:val="en-AU"/>
        </w:rPr>
        <w:t>Optus Service Providers' customers are not eligible to apply.</w:t>
      </w:r>
    </w:p>
    <w:p w14:paraId="2CE991CA" w14:textId="77777777" w:rsidR="00421097" w:rsidRPr="00421097" w:rsidRDefault="00421097" w:rsidP="00421097">
      <w:pPr>
        <w:spacing w:after="200"/>
        <w:ind w:left="720"/>
        <w:rPr>
          <w:sz w:val="20"/>
          <w:lang w:val="en-AU"/>
        </w:rPr>
      </w:pPr>
      <w:r w:rsidRPr="00421097">
        <w:rPr>
          <w:sz w:val="20"/>
          <w:lang w:val="en-AU"/>
        </w:rPr>
        <w:t xml:space="preserve">This </w:t>
      </w:r>
      <w:r w:rsidRPr="00421097">
        <w:rPr>
          <w:i/>
          <w:sz w:val="20"/>
          <w:lang w:val="en-AU"/>
        </w:rPr>
        <w:t xml:space="preserve">plan </w:t>
      </w:r>
      <w:r w:rsidRPr="00421097">
        <w:rPr>
          <w:sz w:val="20"/>
          <w:lang w:val="en-AU"/>
        </w:rPr>
        <w:t>is not compatible for data use with BlackBerry handsets on operating systems of 7.1 or earlier.</w:t>
      </w:r>
    </w:p>
    <w:p w14:paraId="178AB945" w14:textId="77777777" w:rsidR="00421097" w:rsidRPr="00421097" w:rsidRDefault="00421097" w:rsidP="00421097">
      <w:pPr>
        <w:numPr>
          <w:ilvl w:val="5"/>
          <w:numId w:val="1"/>
        </w:numPr>
        <w:spacing w:before="240" w:after="200"/>
        <w:outlineLvl w:val="5"/>
        <w:rPr>
          <w:rFonts w:eastAsia="Times New Roman"/>
          <w:sz w:val="20"/>
          <w:szCs w:val="22"/>
          <w:lang w:val="en-AU"/>
        </w:rPr>
      </w:pPr>
      <w:bookmarkStart w:id="1470" w:name="_Toc465162148"/>
      <w:bookmarkStart w:id="1471" w:name="_Toc466892514"/>
      <w:bookmarkStart w:id="1472" w:name="_Toc475699588"/>
      <w:r w:rsidRPr="00421097">
        <w:rPr>
          <w:rFonts w:eastAsia="Times New Roman"/>
          <w:sz w:val="20"/>
          <w:szCs w:val="22"/>
          <w:lang w:val="en-AU"/>
        </w:rPr>
        <w:t>Minimum Term</w:t>
      </w:r>
      <w:bookmarkEnd w:id="1470"/>
      <w:bookmarkEnd w:id="1471"/>
      <w:bookmarkEnd w:id="1472"/>
    </w:p>
    <w:p w14:paraId="3FF23919" w14:textId="77777777" w:rsidR="00421097" w:rsidRPr="00421097" w:rsidRDefault="00421097" w:rsidP="00421097">
      <w:pPr>
        <w:spacing w:after="200"/>
        <w:ind w:firstLine="720"/>
        <w:rPr>
          <w:sz w:val="20"/>
          <w:lang w:val="en-AU"/>
        </w:rPr>
      </w:pPr>
      <w:r w:rsidRPr="00421097">
        <w:rPr>
          <w:sz w:val="20"/>
          <w:lang w:val="en-AU"/>
        </w:rPr>
        <w:t xml:space="preserve">This </w:t>
      </w:r>
      <w:r w:rsidRPr="00421097">
        <w:rPr>
          <w:i/>
          <w:sz w:val="20"/>
          <w:lang w:val="en-AU"/>
        </w:rPr>
        <w:t>plan</w:t>
      </w:r>
      <w:r w:rsidRPr="00421097">
        <w:rPr>
          <w:sz w:val="20"/>
          <w:lang w:val="en-AU"/>
        </w:rPr>
        <w:t xml:space="preserve"> has</w:t>
      </w:r>
      <w:r w:rsidRPr="00421097">
        <w:rPr>
          <w:i/>
          <w:sz w:val="20"/>
          <w:lang w:val="en-AU"/>
        </w:rPr>
        <w:t xml:space="preserve"> </w:t>
      </w:r>
      <w:r w:rsidRPr="00421097">
        <w:rPr>
          <w:sz w:val="20"/>
          <w:lang w:val="en-AU"/>
        </w:rPr>
        <w:t xml:space="preserve">a </w:t>
      </w:r>
      <w:r w:rsidRPr="00421097">
        <w:rPr>
          <w:i/>
          <w:sz w:val="20"/>
          <w:lang w:val="en-AU"/>
        </w:rPr>
        <w:t>fixed length agreement</w:t>
      </w:r>
      <w:r w:rsidRPr="00421097">
        <w:rPr>
          <w:sz w:val="20"/>
          <w:lang w:val="en-AU"/>
        </w:rPr>
        <w:t xml:space="preserve"> with a 24 month </w:t>
      </w:r>
      <w:r w:rsidRPr="00421097">
        <w:rPr>
          <w:i/>
          <w:sz w:val="20"/>
          <w:lang w:val="en-AU"/>
        </w:rPr>
        <w:t>minimum term.</w:t>
      </w:r>
    </w:p>
    <w:p w14:paraId="4A85544A" w14:textId="77777777" w:rsidR="00421097" w:rsidRPr="00421097" w:rsidRDefault="00421097" w:rsidP="00421097">
      <w:pPr>
        <w:numPr>
          <w:ilvl w:val="5"/>
          <w:numId w:val="1"/>
        </w:numPr>
        <w:spacing w:before="240" w:after="200"/>
        <w:outlineLvl w:val="5"/>
        <w:rPr>
          <w:rFonts w:eastAsia="Times New Roman"/>
          <w:sz w:val="20"/>
          <w:szCs w:val="22"/>
          <w:lang w:val="en-AU"/>
        </w:rPr>
      </w:pPr>
      <w:bookmarkStart w:id="1473" w:name="_Toc465162149"/>
      <w:bookmarkStart w:id="1474" w:name="_Toc466892515"/>
      <w:bookmarkStart w:id="1475" w:name="_Toc475699589"/>
      <w:r w:rsidRPr="00421097">
        <w:rPr>
          <w:rFonts w:eastAsia="Times New Roman"/>
          <w:sz w:val="20"/>
          <w:szCs w:val="22"/>
          <w:lang w:val="en-AU"/>
        </w:rPr>
        <w:t>What you have to pay us</w:t>
      </w:r>
      <w:bookmarkEnd w:id="1473"/>
      <w:bookmarkEnd w:id="1474"/>
      <w:bookmarkEnd w:id="1475"/>
    </w:p>
    <w:p w14:paraId="77FF7D69" w14:textId="77777777" w:rsidR="00421097" w:rsidRPr="00421097" w:rsidRDefault="00421097" w:rsidP="00421097">
      <w:pPr>
        <w:numPr>
          <w:ilvl w:val="6"/>
          <w:numId w:val="1"/>
        </w:numPr>
        <w:spacing w:after="200"/>
        <w:outlineLvl w:val="6"/>
        <w:rPr>
          <w:rFonts w:eastAsia="Times New Roman"/>
          <w:sz w:val="20"/>
          <w:lang w:val="en-AU"/>
        </w:rPr>
      </w:pPr>
      <w:r w:rsidRPr="00421097">
        <w:rPr>
          <w:rFonts w:eastAsia="Times New Roman"/>
          <w:i/>
          <w:sz w:val="20"/>
          <w:lang w:val="en-AU"/>
        </w:rPr>
        <w:t>You</w:t>
      </w:r>
      <w:r w:rsidRPr="00421097">
        <w:rPr>
          <w:rFonts w:eastAsia="Times New Roman"/>
          <w:sz w:val="20"/>
          <w:lang w:val="en-AU"/>
        </w:rPr>
        <w:t xml:space="preserve"> must pay </w:t>
      </w:r>
      <w:r w:rsidRPr="00421097">
        <w:rPr>
          <w:rFonts w:eastAsia="Times New Roman"/>
          <w:i/>
          <w:sz w:val="20"/>
          <w:lang w:val="en-AU"/>
        </w:rPr>
        <w:t>us</w:t>
      </w:r>
      <w:r w:rsidRPr="00421097">
        <w:rPr>
          <w:rFonts w:eastAsia="Times New Roman"/>
          <w:sz w:val="20"/>
          <w:lang w:val="en-AU"/>
        </w:rPr>
        <w:t xml:space="preserve"> for use of the </w:t>
      </w:r>
      <w:r w:rsidRPr="00421097">
        <w:rPr>
          <w:rFonts w:eastAsia="Times New Roman"/>
          <w:i/>
          <w:sz w:val="20"/>
          <w:lang w:val="en-AU"/>
        </w:rPr>
        <w:t>service</w:t>
      </w:r>
      <w:r w:rsidRPr="00421097">
        <w:rPr>
          <w:rFonts w:eastAsia="Times New Roman"/>
          <w:sz w:val="20"/>
          <w:lang w:val="en-AU"/>
        </w:rPr>
        <w:t xml:space="preserve"> at the rates set out in Section 1 of this </w:t>
      </w:r>
      <w:r w:rsidRPr="00421097">
        <w:rPr>
          <w:rFonts w:eastAsia="Times New Roman"/>
          <w:i/>
          <w:sz w:val="20"/>
          <w:lang w:val="en-AU"/>
        </w:rPr>
        <w:t>standard pricing table</w:t>
      </w:r>
      <w:r w:rsidRPr="00421097">
        <w:rPr>
          <w:rFonts w:eastAsia="Times New Roman"/>
          <w:sz w:val="20"/>
          <w:lang w:val="en-AU"/>
        </w:rPr>
        <w:t xml:space="preserve"> and for value added service features at the rates set out in </w:t>
      </w:r>
      <w:hyperlink r:id="rId712" w:history="1">
        <w:r w:rsidRPr="00421097">
          <w:rPr>
            <w:rFonts w:eastAsia="Times New Roman"/>
            <w:i/>
            <w:color w:val="13607C"/>
            <w:sz w:val="18"/>
            <w:u w:val="single"/>
            <w:lang w:val="en-AU"/>
          </w:rPr>
          <w:t>Appendix Y Value Added Service Features</w:t>
        </w:r>
        <w:r w:rsidRPr="00421097">
          <w:rPr>
            <w:rFonts w:eastAsia="Times New Roman"/>
            <w:color w:val="13607C"/>
            <w:sz w:val="18"/>
            <w:u w:val="single"/>
            <w:lang w:val="en-AU"/>
          </w:rPr>
          <w:t>.</w:t>
        </w:r>
      </w:hyperlink>
    </w:p>
    <w:p w14:paraId="1F7B1FE1" w14:textId="77777777" w:rsidR="00421097" w:rsidRPr="00421097" w:rsidRDefault="00421097" w:rsidP="00421097">
      <w:pPr>
        <w:numPr>
          <w:ilvl w:val="6"/>
          <w:numId w:val="1"/>
        </w:numPr>
        <w:spacing w:after="200"/>
        <w:outlineLvl w:val="6"/>
        <w:rPr>
          <w:rFonts w:eastAsia="Times New Roman"/>
          <w:sz w:val="20"/>
          <w:lang w:val="en-AU"/>
        </w:rPr>
      </w:pPr>
      <w:r w:rsidRPr="00421097">
        <w:rPr>
          <w:rFonts w:eastAsia="Times New Roman"/>
          <w:sz w:val="20"/>
          <w:lang w:val="en-AU"/>
        </w:rPr>
        <w:t>If there is a flagfall for a particular call type, the charge for these calls is the flagfall amount plus the relevant rate for the call multiplied by the duration of the call.</w:t>
      </w:r>
    </w:p>
    <w:p w14:paraId="5182C298" w14:textId="77777777" w:rsidR="00421097" w:rsidRPr="00421097" w:rsidRDefault="00421097" w:rsidP="00421097">
      <w:pPr>
        <w:numPr>
          <w:ilvl w:val="6"/>
          <w:numId w:val="1"/>
        </w:numPr>
        <w:spacing w:after="200"/>
        <w:outlineLvl w:val="6"/>
        <w:rPr>
          <w:rFonts w:eastAsia="Times New Roman"/>
          <w:b/>
          <w:sz w:val="20"/>
          <w:lang w:val="en-AU"/>
        </w:rPr>
      </w:pPr>
      <w:r w:rsidRPr="00421097">
        <w:rPr>
          <w:rFonts w:eastAsia="Times New Roman"/>
          <w:b/>
          <w:sz w:val="20"/>
          <w:lang w:val="en-AU"/>
        </w:rPr>
        <w:t>Minimum Monthly Charge</w:t>
      </w:r>
    </w:p>
    <w:p w14:paraId="2070227A" w14:textId="77777777" w:rsidR="00421097" w:rsidRPr="00421097" w:rsidRDefault="00421097" w:rsidP="00421097">
      <w:pPr>
        <w:numPr>
          <w:ilvl w:val="7"/>
          <w:numId w:val="1"/>
        </w:numPr>
        <w:spacing w:after="200"/>
        <w:outlineLvl w:val="7"/>
        <w:rPr>
          <w:rFonts w:eastAsia="Times New Roman"/>
          <w:iCs/>
          <w:sz w:val="20"/>
          <w:lang w:val="en-AU"/>
        </w:rPr>
      </w:pPr>
      <w:r w:rsidRPr="00421097">
        <w:rPr>
          <w:rFonts w:eastAsia="Times New Roman"/>
          <w:iCs/>
          <w:sz w:val="20"/>
          <w:lang w:val="en-AU"/>
        </w:rPr>
        <w:t xml:space="preserve">Each My Plan Business Tech Fund plan has a Minimum Monthly Charge amount that </w:t>
      </w:r>
      <w:r w:rsidRPr="00421097">
        <w:rPr>
          <w:rFonts w:eastAsia="Times New Roman"/>
          <w:i/>
          <w:iCs/>
          <w:sz w:val="20"/>
          <w:lang w:val="en-AU"/>
        </w:rPr>
        <w:t>you</w:t>
      </w:r>
      <w:r w:rsidRPr="00421097">
        <w:rPr>
          <w:rFonts w:eastAsia="Times New Roman"/>
          <w:iCs/>
          <w:sz w:val="20"/>
          <w:lang w:val="en-AU"/>
        </w:rPr>
        <w:t xml:space="preserve"> must pay </w:t>
      </w:r>
      <w:r w:rsidRPr="00421097">
        <w:rPr>
          <w:rFonts w:eastAsia="Times New Roman"/>
          <w:i/>
          <w:iCs/>
          <w:sz w:val="20"/>
          <w:lang w:val="en-AU"/>
        </w:rPr>
        <w:t>us</w:t>
      </w:r>
      <w:r w:rsidRPr="00421097">
        <w:rPr>
          <w:rFonts w:eastAsia="Times New Roman"/>
          <w:iCs/>
          <w:sz w:val="20"/>
          <w:lang w:val="en-AU"/>
        </w:rPr>
        <w:t xml:space="preserve"> each month as set out in Table 1 below. </w:t>
      </w:r>
    </w:p>
    <w:p w14:paraId="08E77352" w14:textId="77777777" w:rsidR="00421097" w:rsidRPr="00421097" w:rsidRDefault="00421097" w:rsidP="00421097">
      <w:pPr>
        <w:numPr>
          <w:ilvl w:val="5"/>
          <w:numId w:val="1"/>
        </w:numPr>
        <w:spacing w:before="240" w:after="200"/>
        <w:outlineLvl w:val="5"/>
        <w:rPr>
          <w:rFonts w:eastAsia="Times New Roman"/>
          <w:sz w:val="20"/>
          <w:szCs w:val="22"/>
          <w:lang w:val="en-AU"/>
        </w:rPr>
      </w:pPr>
      <w:bookmarkStart w:id="1476" w:name="_Toc465162150"/>
      <w:bookmarkStart w:id="1477" w:name="_Toc466892516"/>
      <w:bookmarkStart w:id="1478" w:name="_Toc475699590"/>
      <w:r w:rsidRPr="00421097">
        <w:rPr>
          <w:rFonts w:eastAsia="Times New Roman"/>
          <w:sz w:val="20"/>
          <w:szCs w:val="22"/>
          <w:lang w:val="en-AU"/>
        </w:rPr>
        <w:t>How My Plan Business Tech Fund works</w:t>
      </w:r>
      <w:bookmarkEnd w:id="1476"/>
      <w:bookmarkEnd w:id="1477"/>
      <w:bookmarkEnd w:id="1478"/>
    </w:p>
    <w:p w14:paraId="323FD1D4" w14:textId="77777777" w:rsidR="00421097" w:rsidRPr="00421097" w:rsidRDefault="00421097" w:rsidP="00421097">
      <w:pPr>
        <w:numPr>
          <w:ilvl w:val="6"/>
          <w:numId w:val="1"/>
        </w:numPr>
        <w:spacing w:after="200"/>
        <w:outlineLvl w:val="6"/>
        <w:rPr>
          <w:rFonts w:eastAsia="Times New Roman"/>
          <w:sz w:val="20"/>
          <w:lang w:val="en-AU"/>
        </w:rPr>
      </w:pPr>
      <w:r w:rsidRPr="00421097">
        <w:rPr>
          <w:rFonts w:eastAsia="Times New Roman"/>
          <w:sz w:val="20"/>
          <w:lang w:val="en-AU"/>
        </w:rPr>
        <w:t xml:space="preserve">The $125 My Plan Business Tech Fund ($105 Promo) plan has unlimited minutes to use on standard national calls to landlines and mobiles, 13/1300 numbers and voicemail retrievals and an amount of Included Data (for mobile internet use) to share with other services on a My Plan Plus, My Plan Plus SIM Only, My Plan Business (including Tech Fund), My Plan Business SIM, My Mobile Broadband Plus, Mobile Broadband Business or Shared Data Plan on the same account. </w:t>
      </w:r>
    </w:p>
    <w:p w14:paraId="55617EF7" w14:textId="77777777" w:rsidR="00421097" w:rsidRPr="00421097" w:rsidRDefault="00421097" w:rsidP="00421097">
      <w:pPr>
        <w:numPr>
          <w:ilvl w:val="6"/>
          <w:numId w:val="1"/>
        </w:numPr>
        <w:spacing w:after="200"/>
        <w:outlineLvl w:val="6"/>
        <w:rPr>
          <w:rFonts w:eastAsia="Times New Roman"/>
          <w:sz w:val="20"/>
          <w:lang w:val="en-AU"/>
        </w:rPr>
      </w:pPr>
      <w:r w:rsidRPr="00421097">
        <w:rPr>
          <w:rFonts w:eastAsia="Times New Roman"/>
          <w:sz w:val="20"/>
          <w:lang w:val="en-AU"/>
        </w:rPr>
        <w:t>The $125 My Plan Business Tech Fund ($105 Promo) plan also includes unlimited standard national SMS/MMS and unlimited standard International SMS/MMS to selected countries. This plan has an amount of included international minutes to use on standard international calls to selected countries.</w:t>
      </w:r>
    </w:p>
    <w:p w14:paraId="1850B87A" w14:textId="77777777" w:rsidR="00421097" w:rsidRPr="00421097" w:rsidRDefault="00421097" w:rsidP="00421097">
      <w:pPr>
        <w:numPr>
          <w:ilvl w:val="6"/>
          <w:numId w:val="1"/>
        </w:numPr>
        <w:spacing w:after="200"/>
        <w:outlineLvl w:val="6"/>
        <w:rPr>
          <w:rFonts w:eastAsia="Times New Roman"/>
          <w:sz w:val="20"/>
          <w:lang w:val="en-AU"/>
        </w:rPr>
      </w:pPr>
      <w:r w:rsidRPr="00421097">
        <w:rPr>
          <w:rFonts w:eastAsia="Times New Roman"/>
          <w:sz w:val="20"/>
          <w:lang w:val="en-AU"/>
        </w:rPr>
        <w:t>Data usage is calculated in one kilobyte increments. International minutes are billed in one minute increments</w:t>
      </w:r>
    </w:p>
    <w:p w14:paraId="6BC1E5A0" w14:textId="77777777" w:rsidR="00421097" w:rsidRPr="00421097" w:rsidRDefault="00421097" w:rsidP="00421097">
      <w:pPr>
        <w:numPr>
          <w:ilvl w:val="6"/>
          <w:numId w:val="1"/>
        </w:numPr>
        <w:spacing w:after="200"/>
        <w:outlineLvl w:val="6"/>
        <w:rPr>
          <w:rFonts w:eastAsia="Times New Roman"/>
          <w:sz w:val="20"/>
          <w:lang w:val="en-AU"/>
        </w:rPr>
      </w:pPr>
      <w:r w:rsidRPr="00421097">
        <w:rPr>
          <w:rFonts w:eastAsia="Times New Roman"/>
          <w:sz w:val="20"/>
        </w:rPr>
        <w:lastRenderedPageBreak/>
        <w:t>If you exceed your included shareable data you'll automatically be charged $10 for each additional 1GB of data ("</w:t>
      </w:r>
      <w:r w:rsidRPr="00421097">
        <w:rPr>
          <w:rFonts w:eastAsia="Times New Roman"/>
          <w:b/>
          <w:sz w:val="20"/>
        </w:rPr>
        <w:t>Additional Data</w:t>
      </w:r>
      <w:r w:rsidRPr="00421097">
        <w:rPr>
          <w:rFonts w:eastAsia="Times New Roman"/>
          <w:sz w:val="20"/>
        </w:rPr>
        <w:t xml:space="preserve">") up to 150GB of extra data per account each month. Your service/s may then be restricted or we may continue to charge you at these rates. </w:t>
      </w:r>
    </w:p>
    <w:p w14:paraId="08932C01" w14:textId="77777777" w:rsidR="00421097" w:rsidRPr="00421097" w:rsidRDefault="00421097" w:rsidP="00421097">
      <w:pPr>
        <w:numPr>
          <w:ilvl w:val="6"/>
          <w:numId w:val="1"/>
        </w:numPr>
        <w:spacing w:after="200"/>
        <w:outlineLvl w:val="6"/>
        <w:rPr>
          <w:rFonts w:eastAsia="Times New Roman"/>
          <w:b/>
          <w:sz w:val="20"/>
          <w:lang w:val="en-AU"/>
        </w:rPr>
      </w:pPr>
      <w:r w:rsidRPr="00421097">
        <w:rPr>
          <w:rFonts w:eastAsia="Times New Roman"/>
          <w:sz w:val="20"/>
          <w:lang w:val="en-AU"/>
        </w:rPr>
        <w:t xml:space="preserve">Any unused portion of </w:t>
      </w:r>
      <w:r w:rsidRPr="00421097">
        <w:rPr>
          <w:rFonts w:eastAsia="Times New Roman"/>
          <w:i/>
          <w:sz w:val="20"/>
          <w:lang w:val="en-AU"/>
        </w:rPr>
        <w:t>your</w:t>
      </w:r>
      <w:r w:rsidRPr="00421097">
        <w:rPr>
          <w:rFonts w:eastAsia="Times New Roman"/>
          <w:sz w:val="20"/>
          <w:lang w:val="en-AU"/>
        </w:rPr>
        <w:t xml:space="preserve"> </w:t>
      </w:r>
      <w:r w:rsidRPr="00421097">
        <w:rPr>
          <w:rFonts w:eastAsia="Times New Roman"/>
          <w:i/>
          <w:sz w:val="20"/>
          <w:lang w:val="en-AU"/>
        </w:rPr>
        <w:t>plan's</w:t>
      </w:r>
      <w:r w:rsidRPr="00421097">
        <w:rPr>
          <w:rFonts w:eastAsia="Times New Roman"/>
          <w:sz w:val="20"/>
          <w:lang w:val="en-AU"/>
        </w:rPr>
        <w:t xml:space="preserve"> Included or Additional Data expires at the end of each month and does not roll over into the next month.</w:t>
      </w:r>
    </w:p>
    <w:p w14:paraId="110BE607" w14:textId="77777777" w:rsidR="00421097" w:rsidRPr="00421097" w:rsidRDefault="00421097" w:rsidP="00421097">
      <w:pPr>
        <w:numPr>
          <w:ilvl w:val="6"/>
          <w:numId w:val="1"/>
        </w:numPr>
        <w:spacing w:after="200"/>
        <w:outlineLvl w:val="6"/>
        <w:rPr>
          <w:rFonts w:eastAsia="Times New Roman"/>
          <w:b/>
          <w:sz w:val="20"/>
          <w:lang w:val="en-AU"/>
        </w:rPr>
      </w:pPr>
      <w:r w:rsidRPr="00421097">
        <w:rPr>
          <w:rFonts w:eastAsia="Times New Roman"/>
          <w:i/>
          <w:sz w:val="20"/>
          <w:lang w:val="en-AU"/>
        </w:rPr>
        <w:t>You</w:t>
      </w:r>
      <w:r w:rsidRPr="00421097">
        <w:rPr>
          <w:rFonts w:eastAsia="Times New Roman"/>
          <w:sz w:val="20"/>
          <w:lang w:val="en-AU"/>
        </w:rPr>
        <w:t xml:space="preserve"> must pay </w:t>
      </w:r>
      <w:r w:rsidRPr="00421097">
        <w:rPr>
          <w:rFonts w:eastAsia="Times New Roman"/>
          <w:i/>
          <w:sz w:val="20"/>
          <w:lang w:val="en-AU"/>
        </w:rPr>
        <w:t>us</w:t>
      </w:r>
      <w:r w:rsidRPr="00421097">
        <w:rPr>
          <w:rFonts w:eastAsia="Times New Roman"/>
          <w:sz w:val="20"/>
          <w:lang w:val="en-AU"/>
        </w:rPr>
        <w:t xml:space="preserve"> for use of any services that are not included in </w:t>
      </w:r>
      <w:r w:rsidRPr="00421097">
        <w:rPr>
          <w:rFonts w:eastAsia="Times New Roman"/>
          <w:i/>
          <w:sz w:val="20"/>
          <w:lang w:val="en-AU"/>
        </w:rPr>
        <w:t>your</w:t>
      </w:r>
      <w:r w:rsidRPr="00421097">
        <w:rPr>
          <w:rFonts w:eastAsia="Times New Roman"/>
          <w:sz w:val="20"/>
          <w:lang w:val="en-AU"/>
        </w:rPr>
        <w:t xml:space="preserve"> plan's inclusions, examples of which are set out in Table 2 below.</w:t>
      </w:r>
    </w:p>
    <w:p w14:paraId="10844ED9" w14:textId="77777777" w:rsidR="00421097" w:rsidRPr="00421097" w:rsidRDefault="00421097" w:rsidP="00421097">
      <w:pPr>
        <w:numPr>
          <w:ilvl w:val="5"/>
          <w:numId w:val="1"/>
        </w:numPr>
        <w:spacing w:before="240" w:after="200"/>
        <w:outlineLvl w:val="5"/>
        <w:rPr>
          <w:rFonts w:eastAsia="Times New Roman"/>
          <w:sz w:val="20"/>
          <w:szCs w:val="22"/>
          <w:lang w:val="en-AU"/>
        </w:rPr>
      </w:pPr>
      <w:bookmarkStart w:id="1479" w:name="_Toc465162151"/>
      <w:bookmarkStart w:id="1480" w:name="_Toc466892517"/>
      <w:bookmarkStart w:id="1481" w:name="_Toc475699591"/>
      <w:r w:rsidRPr="00421097">
        <w:rPr>
          <w:rFonts w:eastAsia="Times New Roman"/>
          <w:sz w:val="20"/>
          <w:szCs w:val="22"/>
          <w:lang w:val="en-AU"/>
        </w:rPr>
        <w:t>Plan Changes</w:t>
      </w:r>
      <w:bookmarkEnd w:id="1479"/>
      <w:bookmarkEnd w:id="1480"/>
      <w:bookmarkEnd w:id="1481"/>
    </w:p>
    <w:p w14:paraId="3ED18611" w14:textId="77777777" w:rsidR="00421097" w:rsidRPr="00421097" w:rsidRDefault="00421097" w:rsidP="00421097">
      <w:pPr>
        <w:spacing w:after="200"/>
        <w:ind w:left="720"/>
        <w:rPr>
          <w:sz w:val="20"/>
        </w:rPr>
      </w:pPr>
      <w:r w:rsidRPr="00421097">
        <w:rPr>
          <w:sz w:val="20"/>
        </w:rPr>
        <w:t>You can change your plan during the minimum term provided you move to a plan with a higher monthly access fee. You cannot change your plan during the minimum term to a plan with the same or lower monthly access fee. If you change your plan during the minimum term a fee may apply and any mobile handset credit will remain the same.</w:t>
      </w:r>
    </w:p>
    <w:p w14:paraId="07110C9A" w14:textId="77777777" w:rsidR="00421097" w:rsidRPr="00421097" w:rsidRDefault="00421097" w:rsidP="00421097">
      <w:pPr>
        <w:numPr>
          <w:ilvl w:val="5"/>
          <w:numId w:val="1"/>
        </w:numPr>
        <w:spacing w:before="240" w:after="200"/>
        <w:outlineLvl w:val="5"/>
        <w:rPr>
          <w:rFonts w:eastAsia="Times New Roman"/>
          <w:sz w:val="20"/>
          <w:szCs w:val="22"/>
          <w:lang w:val="en-AU"/>
        </w:rPr>
      </w:pPr>
      <w:bookmarkStart w:id="1482" w:name="_Toc465162152"/>
      <w:bookmarkStart w:id="1483" w:name="_Toc466892518"/>
      <w:bookmarkStart w:id="1484" w:name="_Toc475699592"/>
      <w:r w:rsidRPr="00421097">
        <w:rPr>
          <w:rFonts w:eastAsia="Times New Roman"/>
          <w:sz w:val="20"/>
          <w:szCs w:val="22"/>
          <w:lang w:val="en-AU"/>
        </w:rPr>
        <w:t>Handset Credit</w:t>
      </w:r>
      <w:bookmarkEnd w:id="1482"/>
      <w:bookmarkEnd w:id="1483"/>
      <w:bookmarkEnd w:id="1484"/>
    </w:p>
    <w:p w14:paraId="341D1BEE" w14:textId="77777777" w:rsidR="00421097" w:rsidRPr="00421097" w:rsidRDefault="00421097" w:rsidP="00421097">
      <w:pPr>
        <w:numPr>
          <w:ilvl w:val="6"/>
          <w:numId w:val="1"/>
        </w:numPr>
        <w:spacing w:after="200"/>
        <w:outlineLvl w:val="6"/>
        <w:rPr>
          <w:rFonts w:eastAsia="Times New Roman"/>
          <w:sz w:val="20"/>
          <w:lang w:val="en-AU"/>
        </w:rPr>
      </w:pPr>
      <w:r w:rsidRPr="00421097">
        <w:rPr>
          <w:rFonts w:eastAsia="Times New Roman"/>
          <w:sz w:val="20"/>
          <w:lang w:val="en-AU"/>
        </w:rPr>
        <w:t xml:space="preserve">The Handset Credit is a special offer available to customers who are eligible for and connect to a My Plan Business Tech Fund plan, and who do not choose to take a handset upfront. It allows </w:t>
      </w:r>
      <w:r w:rsidRPr="00421097">
        <w:rPr>
          <w:rFonts w:eastAsia="Times New Roman"/>
          <w:i/>
          <w:sz w:val="20"/>
          <w:lang w:val="en-AU"/>
        </w:rPr>
        <w:t>you</w:t>
      </w:r>
      <w:r w:rsidRPr="00421097">
        <w:rPr>
          <w:rFonts w:eastAsia="Times New Roman"/>
          <w:sz w:val="20"/>
          <w:lang w:val="en-AU"/>
        </w:rPr>
        <w:t xml:space="preserve"> to purchase mobile phones and accessories from Optus at any period throughout </w:t>
      </w:r>
      <w:r w:rsidRPr="00421097">
        <w:rPr>
          <w:rFonts w:eastAsia="Times New Roman"/>
          <w:i/>
          <w:sz w:val="20"/>
          <w:lang w:val="en-AU"/>
        </w:rPr>
        <w:t>your</w:t>
      </w:r>
      <w:r w:rsidRPr="00421097">
        <w:rPr>
          <w:rFonts w:eastAsia="Times New Roman"/>
          <w:sz w:val="20"/>
          <w:lang w:val="en-AU"/>
        </w:rPr>
        <w:t xml:space="preserve"> contract; it cannot be used for any other purpose other than the purchase of handsets and accessories from </w:t>
      </w:r>
      <w:r w:rsidRPr="00421097">
        <w:rPr>
          <w:rFonts w:eastAsia="Times New Roman"/>
          <w:i/>
          <w:sz w:val="20"/>
          <w:lang w:val="en-AU"/>
        </w:rPr>
        <w:t>us</w:t>
      </w:r>
      <w:r w:rsidRPr="00421097">
        <w:rPr>
          <w:rFonts w:eastAsia="Times New Roman"/>
          <w:sz w:val="20"/>
          <w:lang w:val="en-AU"/>
        </w:rPr>
        <w:t xml:space="preserve">. </w:t>
      </w:r>
    </w:p>
    <w:p w14:paraId="5BC544D6" w14:textId="77777777" w:rsidR="00421097" w:rsidRPr="00421097" w:rsidRDefault="00421097" w:rsidP="00421097">
      <w:pPr>
        <w:numPr>
          <w:ilvl w:val="6"/>
          <w:numId w:val="1"/>
        </w:numPr>
        <w:spacing w:after="200"/>
        <w:outlineLvl w:val="6"/>
        <w:rPr>
          <w:rFonts w:eastAsia="Times New Roman"/>
          <w:sz w:val="20"/>
        </w:rPr>
      </w:pPr>
      <w:r w:rsidRPr="00421097">
        <w:rPr>
          <w:rFonts w:eastAsia="Times New Roman"/>
          <w:sz w:val="20"/>
        </w:rPr>
        <w:t xml:space="preserve">The amount of credit will be dependent on the plan </w:t>
      </w:r>
      <w:r w:rsidRPr="00421097">
        <w:rPr>
          <w:rFonts w:eastAsia="Times New Roman"/>
          <w:i/>
          <w:sz w:val="20"/>
        </w:rPr>
        <w:t>you</w:t>
      </w:r>
      <w:r w:rsidRPr="00421097">
        <w:rPr>
          <w:rFonts w:eastAsia="Times New Roman"/>
          <w:sz w:val="20"/>
        </w:rPr>
        <w:t xml:space="preserve"> connect to as per the table below.</w:t>
      </w:r>
    </w:p>
    <w:tbl>
      <w:tblPr>
        <w:tblW w:w="6226" w:type="dxa"/>
        <w:tblInd w:w="1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336"/>
      </w:tblGrid>
      <w:tr w:rsidR="00421097" w:rsidRPr="00421097" w14:paraId="120A8CF9" w14:textId="77777777" w:rsidTr="00421097">
        <w:tc>
          <w:tcPr>
            <w:tcW w:w="1890" w:type="dxa"/>
            <w:vAlign w:val="center"/>
          </w:tcPr>
          <w:p w14:paraId="39EEBB9B" w14:textId="77777777" w:rsidR="00421097" w:rsidRPr="00421097" w:rsidRDefault="00421097" w:rsidP="00421097">
            <w:pPr>
              <w:spacing w:before="100" w:after="100"/>
              <w:jc w:val="center"/>
              <w:rPr>
                <w:b/>
                <w:sz w:val="20"/>
              </w:rPr>
            </w:pPr>
            <w:r w:rsidRPr="00421097">
              <w:rPr>
                <w:b/>
                <w:sz w:val="20"/>
              </w:rPr>
              <w:t>Plan</w:t>
            </w:r>
          </w:p>
        </w:tc>
        <w:tc>
          <w:tcPr>
            <w:tcW w:w="4336" w:type="dxa"/>
          </w:tcPr>
          <w:p w14:paraId="169FF870" w14:textId="77777777" w:rsidR="00421097" w:rsidRPr="00421097" w:rsidRDefault="00421097" w:rsidP="00421097">
            <w:pPr>
              <w:spacing w:before="100" w:after="100"/>
              <w:jc w:val="center"/>
              <w:rPr>
                <w:b/>
                <w:sz w:val="20"/>
              </w:rPr>
            </w:pPr>
            <w:r w:rsidRPr="00421097">
              <w:rPr>
                <w:b/>
                <w:sz w:val="20"/>
              </w:rPr>
              <w:t>$125 My Plan Business Tech Fund</w:t>
            </w:r>
          </w:p>
        </w:tc>
      </w:tr>
      <w:tr w:rsidR="00421097" w:rsidRPr="00421097" w14:paraId="4E22DCF4" w14:textId="77777777" w:rsidTr="00421097">
        <w:tc>
          <w:tcPr>
            <w:tcW w:w="1890" w:type="dxa"/>
            <w:vAlign w:val="center"/>
          </w:tcPr>
          <w:p w14:paraId="39CEED58" w14:textId="77777777" w:rsidR="00421097" w:rsidRPr="00421097" w:rsidRDefault="00421097" w:rsidP="00421097">
            <w:pPr>
              <w:spacing w:before="100" w:after="100"/>
              <w:jc w:val="center"/>
              <w:rPr>
                <w:b/>
                <w:sz w:val="20"/>
              </w:rPr>
            </w:pPr>
            <w:r w:rsidRPr="00421097">
              <w:rPr>
                <w:b/>
                <w:bCs/>
                <w:color w:val="000000"/>
                <w:sz w:val="20"/>
              </w:rPr>
              <w:t>Handset Credit</w:t>
            </w:r>
          </w:p>
        </w:tc>
        <w:tc>
          <w:tcPr>
            <w:tcW w:w="4336" w:type="dxa"/>
          </w:tcPr>
          <w:p w14:paraId="52742E59" w14:textId="77777777" w:rsidR="00421097" w:rsidRPr="00421097" w:rsidRDefault="00421097" w:rsidP="00421097">
            <w:pPr>
              <w:spacing w:before="100" w:after="100"/>
              <w:jc w:val="center"/>
              <w:rPr>
                <w:bCs/>
                <w:caps/>
                <w:color w:val="000000"/>
                <w:sz w:val="20"/>
              </w:rPr>
            </w:pPr>
            <w:r w:rsidRPr="00421097">
              <w:rPr>
                <w:sz w:val="20"/>
              </w:rPr>
              <w:t>$977</w:t>
            </w:r>
          </w:p>
        </w:tc>
      </w:tr>
    </w:tbl>
    <w:p w14:paraId="2A836791" w14:textId="77777777" w:rsidR="00421097" w:rsidRPr="00421097" w:rsidRDefault="00421097" w:rsidP="00421097">
      <w:pPr>
        <w:spacing w:after="200"/>
        <w:rPr>
          <w:sz w:val="20"/>
        </w:rPr>
      </w:pPr>
    </w:p>
    <w:p w14:paraId="0E28E0DF" w14:textId="77777777" w:rsidR="00421097" w:rsidRPr="00421097" w:rsidRDefault="00421097" w:rsidP="00421097">
      <w:pPr>
        <w:numPr>
          <w:ilvl w:val="6"/>
          <w:numId w:val="1"/>
        </w:numPr>
        <w:spacing w:after="200"/>
        <w:outlineLvl w:val="6"/>
        <w:rPr>
          <w:rFonts w:eastAsia="Times New Roman"/>
          <w:sz w:val="20"/>
          <w:lang w:val="en-AU"/>
        </w:rPr>
      </w:pPr>
      <w:r w:rsidRPr="00421097">
        <w:rPr>
          <w:rFonts w:eastAsia="Times New Roman"/>
          <w:i/>
          <w:sz w:val="20"/>
          <w:lang w:val="en-AU"/>
        </w:rPr>
        <w:t>You</w:t>
      </w:r>
      <w:r w:rsidRPr="00421097">
        <w:rPr>
          <w:rFonts w:eastAsia="Times New Roman"/>
          <w:sz w:val="20"/>
          <w:lang w:val="en-AU"/>
        </w:rPr>
        <w:t xml:space="preserve"> may use the Handset Credit deposited into </w:t>
      </w:r>
      <w:r w:rsidRPr="00421097">
        <w:rPr>
          <w:rFonts w:eastAsia="Times New Roman"/>
          <w:i/>
          <w:sz w:val="20"/>
          <w:lang w:val="en-AU"/>
        </w:rPr>
        <w:t>your</w:t>
      </w:r>
      <w:r w:rsidRPr="00421097">
        <w:rPr>
          <w:rFonts w:eastAsia="Times New Roman"/>
          <w:sz w:val="20"/>
          <w:lang w:val="en-AU"/>
        </w:rPr>
        <w:t xml:space="preserve"> account to purchase handsets listed in the Optus e-fulfilment price list as amended by </w:t>
      </w:r>
      <w:r w:rsidRPr="00421097">
        <w:rPr>
          <w:rFonts w:eastAsia="Times New Roman"/>
          <w:i/>
          <w:sz w:val="20"/>
          <w:lang w:val="en-AU"/>
        </w:rPr>
        <w:t>us</w:t>
      </w:r>
      <w:r w:rsidRPr="00421097">
        <w:rPr>
          <w:rFonts w:eastAsia="Times New Roman"/>
          <w:sz w:val="20"/>
          <w:lang w:val="en-AU"/>
        </w:rPr>
        <w:t xml:space="preserve"> from time to time. This list is available to </w:t>
      </w:r>
      <w:r w:rsidRPr="00421097">
        <w:rPr>
          <w:rFonts w:eastAsia="Times New Roman"/>
          <w:i/>
          <w:sz w:val="20"/>
          <w:lang w:val="en-AU"/>
        </w:rPr>
        <w:t>you</w:t>
      </w:r>
      <w:r w:rsidRPr="00421097">
        <w:rPr>
          <w:rFonts w:eastAsia="Times New Roman"/>
          <w:sz w:val="20"/>
          <w:lang w:val="en-AU"/>
        </w:rPr>
        <w:t xml:space="preserve"> upon request.</w:t>
      </w:r>
    </w:p>
    <w:p w14:paraId="51479185" w14:textId="77777777" w:rsidR="00421097" w:rsidRPr="00421097" w:rsidRDefault="00421097" w:rsidP="00421097">
      <w:pPr>
        <w:numPr>
          <w:ilvl w:val="6"/>
          <w:numId w:val="1"/>
        </w:numPr>
        <w:spacing w:after="200"/>
        <w:outlineLvl w:val="6"/>
        <w:rPr>
          <w:rFonts w:eastAsia="Times New Roman"/>
          <w:sz w:val="20"/>
          <w:lang w:val="en-AU"/>
        </w:rPr>
      </w:pPr>
      <w:r w:rsidRPr="00421097">
        <w:rPr>
          <w:rFonts w:eastAsia="Times New Roman"/>
          <w:sz w:val="20"/>
          <w:lang w:val="en-AU"/>
        </w:rPr>
        <w:t xml:space="preserve">If the purchase price for products that </w:t>
      </w:r>
      <w:r w:rsidRPr="00421097">
        <w:rPr>
          <w:rFonts w:eastAsia="Times New Roman"/>
          <w:i/>
          <w:sz w:val="20"/>
          <w:lang w:val="en-AU"/>
        </w:rPr>
        <w:t>you</w:t>
      </w:r>
      <w:r w:rsidRPr="00421097">
        <w:rPr>
          <w:rFonts w:eastAsia="Times New Roman"/>
          <w:sz w:val="20"/>
          <w:lang w:val="en-AU"/>
        </w:rPr>
        <w:t xml:space="preserve"> order is greater than the Handset Credit remaining in </w:t>
      </w:r>
      <w:r w:rsidRPr="00421097">
        <w:rPr>
          <w:rFonts w:eastAsia="Times New Roman"/>
          <w:i/>
          <w:sz w:val="20"/>
          <w:lang w:val="en-AU"/>
        </w:rPr>
        <w:t>your</w:t>
      </w:r>
      <w:r w:rsidRPr="00421097">
        <w:rPr>
          <w:rFonts w:eastAsia="Times New Roman"/>
          <w:sz w:val="20"/>
          <w:lang w:val="en-AU"/>
        </w:rPr>
        <w:t xml:space="preserve"> account, </w:t>
      </w:r>
      <w:r w:rsidRPr="00421097">
        <w:rPr>
          <w:rFonts w:eastAsia="Times New Roman"/>
          <w:i/>
          <w:sz w:val="20"/>
          <w:lang w:val="en-AU"/>
        </w:rPr>
        <w:t>you</w:t>
      </w:r>
      <w:r w:rsidRPr="00421097">
        <w:rPr>
          <w:rFonts w:eastAsia="Times New Roman"/>
          <w:sz w:val="20"/>
          <w:lang w:val="en-AU"/>
        </w:rPr>
        <w:t xml:space="preserve"> must pay any difference for those products by manually topping up </w:t>
      </w:r>
      <w:r w:rsidRPr="00421097">
        <w:rPr>
          <w:rFonts w:eastAsia="Times New Roman"/>
          <w:i/>
          <w:sz w:val="20"/>
          <w:lang w:val="en-AU"/>
        </w:rPr>
        <w:t>your</w:t>
      </w:r>
      <w:r w:rsidRPr="00421097">
        <w:rPr>
          <w:rFonts w:eastAsia="Times New Roman"/>
          <w:sz w:val="20"/>
          <w:lang w:val="en-AU"/>
        </w:rPr>
        <w:t xml:space="preserve"> Handset Credit Fund account with the required funds before purchasing.</w:t>
      </w:r>
    </w:p>
    <w:p w14:paraId="41A6723C" w14:textId="77777777" w:rsidR="00421097" w:rsidRPr="00421097" w:rsidRDefault="00421097" w:rsidP="00421097">
      <w:pPr>
        <w:numPr>
          <w:ilvl w:val="6"/>
          <w:numId w:val="1"/>
        </w:numPr>
        <w:spacing w:after="200"/>
        <w:outlineLvl w:val="6"/>
        <w:rPr>
          <w:rFonts w:eastAsia="Times New Roman"/>
          <w:sz w:val="20"/>
          <w:lang w:val="en-AU"/>
        </w:rPr>
      </w:pPr>
      <w:r w:rsidRPr="00421097">
        <w:rPr>
          <w:rFonts w:eastAsia="Times New Roman"/>
          <w:sz w:val="20"/>
          <w:lang w:val="en-AU"/>
        </w:rPr>
        <w:t xml:space="preserve">The value of the Handset Credit is not redeemable for cash and may not be transferred or used for any other purposes (for instance, it may not be used to pay for service charges, minimum monthly call spend or call costs, cannot be used against cancellation fees). </w:t>
      </w:r>
    </w:p>
    <w:p w14:paraId="29793640" w14:textId="77777777" w:rsidR="00421097" w:rsidRPr="00421097" w:rsidRDefault="00421097" w:rsidP="00421097">
      <w:pPr>
        <w:numPr>
          <w:ilvl w:val="6"/>
          <w:numId w:val="1"/>
        </w:numPr>
        <w:spacing w:after="200"/>
        <w:outlineLvl w:val="6"/>
        <w:rPr>
          <w:rFonts w:eastAsia="Times New Roman"/>
          <w:sz w:val="20"/>
          <w:lang w:val="en-AU"/>
        </w:rPr>
      </w:pPr>
      <w:r w:rsidRPr="00421097">
        <w:rPr>
          <w:rFonts w:eastAsia="Times New Roman"/>
          <w:sz w:val="20"/>
          <w:lang w:val="en-AU"/>
        </w:rPr>
        <w:t xml:space="preserve">If you cancel a service on an account with multiple Tech Fund services, you will not lose any unused handset credit. Only if </w:t>
      </w:r>
      <w:r w:rsidRPr="00421097">
        <w:rPr>
          <w:rFonts w:eastAsia="Times New Roman"/>
          <w:i/>
          <w:sz w:val="20"/>
          <w:lang w:val="en-AU"/>
        </w:rPr>
        <w:t>your</w:t>
      </w:r>
      <w:r w:rsidRPr="00421097">
        <w:rPr>
          <w:rFonts w:eastAsia="Times New Roman"/>
          <w:sz w:val="20"/>
          <w:lang w:val="en-AU"/>
        </w:rPr>
        <w:t xml:space="preserve"> account is cancelled for any reason then any unused credit will be forfeited.</w:t>
      </w:r>
    </w:p>
    <w:p w14:paraId="2A22EF8C" w14:textId="77777777" w:rsidR="00421097" w:rsidRPr="00421097" w:rsidRDefault="00421097" w:rsidP="00421097">
      <w:pPr>
        <w:numPr>
          <w:ilvl w:val="5"/>
          <w:numId w:val="1"/>
        </w:numPr>
        <w:spacing w:before="240" w:after="200"/>
        <w:outlineLvl w:val="5"/>
        <w:rPr>
          <w:rFonts w:eastAsia="Times New Roman"/>
          <w:sz w:val="20"/>
          <w:szCs w:val="22"/>
          <w:lang w:val="en-AU"/>
        </w:rPr>
      </w:pPr>
      <w:bookmarkStart w:id="1485" w:name="_Toc465162153"/>
      <w:bookmarkStart w:id="1486" w:name="_Toc466892519"/>
      <w:bookmarkStart w:id="1487" w:name="_Toc475699593"/>
      <w:r w:rsidRPr="00421097">
        <w:rPr>
          <w:rFonts w:eastAsia="Times New Roman"/>
          <w:sz w:val="20"/>
          <w:szCs w:val="22"/>
          <w:lang w:val="en-AU"/>
        </w:rPr>
        <w:t>Data Sharing</w:t>
      </w:r>
      <w:bookmarkEnd w:id="1485"/>
      <w:bookmarkEnd w:id="1486"/>
      <w:bookmarkEnd w:id="1487"/>
    </w:p>
    <w:p w14:paraId="194C8D7A" w14:textId="77777777" w:rsidR="00421097" w:rsidRPr="00421097" w:rsidRDefault="00421097" w:rsidP="00421097">
      <w:pPr>
        <w:numPr>
          <w:ilvl w:val="6"/>
          <w:numId w:val="1"/>
        </w:numPr>
        <w:spacing w:after="200"/>
        <w:outlineLvl w:val="6"/>
        <w:rPr>
          <w:rFonts w:eastAsia="Times New Roman"/>
          <w:sz w:val="20"/>
          <w:lang w:val="en-AU"/>
        </w:rPr>
      </w:pPr>
      <w:r w:rsidRPr="00421097">
        <w:rPr>
          <w:rFonts w:eastAsia="Times New Roman"/>
          <w:sz w:val="20"/>
          <w:lang w:val="en-AU"/>
        </w:rPr>
        <w:t>If you have more than one My Plan Plus, My Plan Plus SIM Only, My Plan Business (including Tech Fund), My Plan Business SIM, My Mobile Broadband Plus or Mobile Broadband Business on the same billing account, the included data will combine into one data pool, which will be shared by all eligible services on that account.</w:t>
      </w:r>
    </w:p>
    <w:p w14:paraId="28DC3CF7" w14:textId="77777777" w:rsidR="00421097" w:rsidRPr="00421097" w:rsidRDefault="00421097" w:rsidP="00421097">
      <w:pPr>
        <w:numPr>
          <w:ilvl w:val="6"/>
          <w:numId w:val="1"/>
        </w:numPr>
        <w:spacing w:after="200"/>
        <w:outlineLvl w:val="6"/>
        <w:rPr>
          <w:rFonts w:eastAsia="Times New Roman"/>
          <w:sz w:val="20"/>
          <w:lang w:val="en-AU"/>
        </w:rPr>
      </w:pPr>
      <w:r w:rsidRPr="00421097">
        <w:rPr>
          <w:rFonts w:eastAsia="Times New Roman"/>
          <w:sz w:val="20"/>
          <w:lang w:val="en-AU"/>
        </w:rPr>
        <w:t xml:space="preserve">If </w:t>
      </w:r>
      <w:r w:rsidRPr="00421097">
        <w:rPr>
          <w:rFonts w:eastAsia="Times New Roman"/>
          <w:i/>
          <w:sz w:val="20"/>
          <w:lang w:val="en-AU"/>
        </w:rPr>
        <w:t>you</w:t>
      </w:r>
      <w:r w:rsidRPr="00421097">
        <w:rPr>
          <w:rFonts w:eastAsia="Times New Roman"/>
          <w:sz w:val="20"/>
          <w:lang w:val="en-AU"/>
        </w:rPr>
        <w:t xml:space="preserve"> do not want </w:t>
      </w:r>
      <w:r w:rsidRPr="00421097">
        <w:rPr>
          <w:rFonts w:eastAsia="Times New Roman"/>
          <w:i/>
          <w:sz w:val="20"/>
          <w:lang w:val="en-AU"/>
        </w:rPr>
        <w:t>your</w:t>
      </w:r>
      <w:r w:rsidRPr="00421097">
        <w:rPr>
          <w:rFonts w:eastAsia="Times New Roman"/>
          <w:sz w:val="20"/>
          <w:lang w:val="en-AU"/>
        </w:rPr>
        <w:t xml:space="preserve"> services on any My Plan Plus, My Plan Plus SIM Only, My Plan Business (including Tech Fund), My Plan Business SIM, My Mobile Broadband Plus or Mobile Broadband Business plans to share data, they need to be on separate billing accounts. </w:t>
      </w:r>
    </w:p>
    <w:p w14:paraId="241B99B0" w14:textId="77777777" w:rsidR="00421097" w:rsidRPr="00421097" w:rsidRDefault="00421097" w:rsidP="00421097">
      <w:pPr>
        <w:numPr>
          <w:ilvl w:val="6"/>
          <w:numId w:val="1"/>
        </w:numPr>
        <w:spacing w:after="200"/>
        <w:outlineLvl w:val="6"/>
        <w:rPr>
          <w:rFonts w:eastAsia="Times New Roman"/>
          <w:sz w:val="20"/>
          <w:lang w:val="en-AU"/>
        </w:rPr>
      </w:pPr>
      <w:r w:rsidRPr="00421097">
        <w:rPr>
          <w:rFonts w:eastAsia="Times New Roman"/>
          <w:sz w:val="20"/>
          <w:lang w:val="en-AU"/>
        </w:rPr>
        <w:t>Data sharing is only available within Australia.</w:t>
      </w:r>
    </w:p>
    <w:p w14:paraId="51E3B321" w14:textId="77777777" w:rsidR="00421097" w:rsidRPr="00421097" w:rsidRDefault="00421097" w:rsidP="00421097">
      <w:pPr>
        <w:numPr>
          <w:ilvl w:val="5"/>
          <w:numId w:val="1"/>
        </w:numPr>
        <w:spacing w:before="240" w:after="200"/>
        <w:outlineLvl w:val="5"/>
        <w:rPr>
          <w:rFonts w:eastAsia="Times New Roman"/>
          <w:sz w:val="20"/>
          <w:szCs w:val="22"/>
          <w:lang w:val="en-AU"/>
        </w:rPr>
      </w:pPr>
      <w:bookmarkStart w:id="1488" w:name="_Toc465162154"/>
      <w:bookmarkStart w:id="1489" w:name="_Toc466892520"/>
      <w:bookmarkStart w:id="1490" w:name="_Toc475699594"/>
      <w:r w:rsidRPr="00421097">
        <w:rPr>
          <w:rFonts w:eastAsia="Times New Roman"/>
          <w:sz w:val="20"/>
          <w:szCs w:val="22"/>
          <w:lang w:val="en-AU"/>
        </w:rPr>
        <w:t>International Minutes</w:t>
      </w:r>
      <w:bookmarkEnd w:id="1488"/>
      <w:bookmarkEnd w:id="1489"/>
      <w:bookmarkEnd w:id="1490"/>
    </w:p>
    <w:p w14:paraId="275BC9B0" w14:textId="77777777" w:rsidR="00421097" w:rsidRPr="00421097" w:rsidRDefault="00421097" w:rsidP="00421097">
      <w:pPr>
        <w:spacing w:after="200"/>
        <w:ind w:left="720"/>
        <w:rPr>
          <w:sz w:val="20"/>
        </w:rPr>
      </w:pPr>
      <w:r w:rsidRPr="00421097">
        <w:rPr>
          <w:sz w:val="20"/>
        </w:rPr>
        <w:lastRenderedPageBreak/>
        <w:t>The $125 My Plan Business Tech Fund ($105 Promo) plan includes unlimited international minutes for standard calls to mobiles and fixed lines in selected countries.</w:t>
      </w:r>
      <w:r w:rsidRPr="00421097">
        <w:t xml:space="preserve"> </w:t>
      </w:r>
      <w:r w:rsidRPr="00421097">
        <w:rPr>
          <w:sz w:val="20"/>
        </w:rPr>
        <w:t>From 5 February 2017 the following countries will also be included: Canada, Hong Kong, South Korea and Thailand.  For a list of selected countries see Table 3 below.</w:t>
      </w:r>
    </w:p>
    <w:p w14:paraId="07553078" w14:textId="77777777" w:rsidR="00421097" w:rsidRPr="00421097" w:rsidRDefault="00421097" w:rsidP="00421097">
      <w:pPr>
        <w:spacing w:after="200"/>
        <w:ind w:left="720"/>
        <w:rPr>
          <w:sz w:val="20"/>
        </w:rPr>
      </w:pPr>
      <w:r w:rsidRPr="00421097">
        <w:rPr>
          <w:sz w:val="20"/>
          <w:szCs w:val="20"/>
        </w:rPr>
        <w:t>Calls to non-selected countries are charged at standard ‘yes’ international call rates</w:t>
      </w:r>
    </w:p>
    <w:p w14:paraId="6A3122AA" w14:textId="77777777" w:rsidR="00421097" w:rsidRPr="00421097" w:rsidRDefault="00421097" w:rsidP="00421097">
      <w:pPr>
        <w:numPr>
          <w:ilvl w:val="5"/>
          <w:numId w:val="1"/>
        </w:numPr>
        <w:spacing w:before="240" w:after="200"/>
        <w:outlineLvl w:val="5"/>
        <w:rPr>
          <w:rFonts w:eastAsia="Times New Roman" w:cs="Arial"/>
          <w:sz w:val="20"/>
          <w:szCs w:val="20"/>
          <w:lang w:val="en-AU"/>
        </w:rPr>
      </w:pPr>
      <w:bookmarkStart w:id="1491" w:name="_Toc465162155"/>
      <w:bookmarkStart w:id="1492" w:name="_Toc466892521"/>
      <w:bookmarkStart w:id="1493" w:name="_Toc475699595"/>
      <w:r w:rsidRPr="00421097">
        <w:rPr>
          <w:rFonts w:eastAsia="Times New Roman" w:cs="Arial"/>
          <w:sz w:val="20"/>
          <w:szCs w:val="20"/>
          <w:lang w:val="en-AU"/>
        </w:rPr>
        <w:t>Unlimited standard national SMS and MMS</w:t>
      </w:r>
      <w:bookmarkEnd w:id="1491"/>
      <w:bookmarkEnd w:id="1492"/>
      <w:bookmarkEnd w:id="1493"/>
    </w:p>
    <w:p w14:paraId="7A0BC100" w14:textId="77777777" w:rsidR="00421097" w:rsidRPr="00421097" w:rsidRDefault="00421097" w:rsidP="00421097">
      <w:pPr>
        <w:spacing w:after="200"/>
        <w:ind w:left="720"/>
        <w:rPr>
          <w:rFonts w:cs="Arial"/>
          <w:sz w:val="20"/>
          <w:szCs w:val="20"/>
        </w:rPr>
      </w:pPr>
      <w:r w:rsidRPr="00421097">
        <w:rPr>
          <w:rFonts w:cs="Arial"/>
          <w:i/>
          <w:sz w:val="20"/>
          <w:szCs w:val="20"/>
        </w:rPr>
        <w:t>You</w:t>
      </w:r>
      <w:r w:rsidRPr="00421097">
        <w:rPr>
          <w:rFonts w:cs="Arial"/>
          <w:sz w:val="20"/>
          <w:szCs w:val="20"/>
        </w:rPr>
        <w:t xml:space="preserve"> may send unlimited standard SMS and MMS to Australian mobiles from within Australia.</w:t>
      </w:r>
    </w:p>
    <w:p w14:paraId="2FF816C3" w14:textId="77777777" w:rsidR="00421097" w:rsidRPr="00421097" w:rsidRDefault="00421097" w:rsidP="00421097">
      <w:pPr>
        <w:spacing w:after="200"/>
        <w:ind w:left="720"/>
        <w:rPr>
          <w:rFonts w:cs="Arial"/>
          <w:i/>
          <w:sz w:val="20"/>
          <w:szCs w:val="20"/>
          <w:u w:val="single"/>
        </w:rPr>
      </w:pPr>
      <w:r w:rsidRPr="00421097">
        <w:rPr>
          <w:rFonts w:cs="Arial"/>
          <w:sz w:val="20"/>
          <w:szCs w:val="20"/>
        </w:rPr>
        <w:t xml:space="preserve">Unlimited standard national SMS and MMS are only available for personal and ordinary business use and are not to be used for a commercial or non-ordinary purpose as set out in the </w:t>
      </w:r>
      <w:hyperlink r:id="rId713" w:history="1">
        <w:r w:rsidRPr="00421097">
          <w:rPr>
            <w:rFonts w:cs="Arial"/>
            <w:i/>
            <w:color w:val="13607C"/>
            <w:sz w:val="20"/>
            <w:szCs w:val="20"/>
            <w:u w:val="single"/>
          </w:rPr>
          <w:t>Fair Go Policy</w:t>
        </w:r>
      </w:hyperlink>
      <w:r w:rsidRPr="00421097">
        <w:rPr>
          <w:rFonts w:cs="Arial"/>
          <w:sz w:val="20"/>
          <w:szCs w:val="20"/>
        </w:rPr>
        <w:t xml:space="preserve">. For further details refer to </w:t>
      </w:r>
      <w:hyperlink r:id="rId714" w:history="1">
        <w:r w:rsidRPr="00421097">
          <w:rPr>
            <w:rFonts w:cs="Arial"/>
            <w:i/>
            <w:color w:val="13607C"/>
            <w:sz w:val="20"/>
            <w:szCs w:val="20"/>
            <w:u w:val="single"/>
          </w:rPr>
          <w:t>Appendix S</w:t>
        </w:r>
      </w:hyperlink>
      <w:r w:rsidRPr="00421097">
        <w:rPr>
          <w:rFonts w:cs="Arial"/>
          <w:sz w:val="20"/>
          <w:szCs w:val="20"/>
        </w:rPr>
        <w:t>.</w:t>
      </w:r>
    </w:p>
    <w:p w14:paraId="5B8DF0C2" w14:textId="77777777" w:rsidR="00421097" w:rsidRPr="00421097" w:rsidRDefault="00421097" w:rsidP="00421097">
      <w:pPr>
        <w:numPr>
          <w:ilvl w:val="5"/>
          <w:numId w:val="1"/>
        </w:numPr>
        <w:spacing w:before="240" w:after="200"/>
        <w:outlineLvl w:val="5"/>
        <w:rPr>
          <w:rFonts w:eastAsia="Times New Roman"/>
          <w:sz w:val="20"/>
          <w:szCs w:val="22"/>
          <w:lang w:val="en-AU"/>
        </w:rPr>
      </w:pPr>
      <w:bookmarkStart w:id="1494" w:name="_Toc465162156"/>
      <w:bookmarkStart w:id="1495" w:name="_Toc466892522"/>
      <w:bookmarkStart w:id="1496" w:name="_Toc475699596"/>
      <w:r w:rsidRPr="00421097">
        <w:rPr>
          <w:rFonts w:eastAsia="Times New Roman"/>
          <w:sz w:val="20"/>
          <w:szCs w:val="22"/>
          <w:lang w:val="en-AU"/>
        </w:rPr>
        <w:t>Unlimited standard international SMS and MMS</w:t>
      </w:r>
      <w:bookmarkEnd w:id="1494"/>
      <w:bookmarkEnd w:id="1495"/>
      <w:bookmarkEnd w:id="1496"/>
    </w:p>
    <w:p w14:paraId="6F5A2BF9" w14:textId="77777777" w:rsidR="00421097" w:rsidRPr="00421097" w:rsidRDefault="00421097" w:rsidP="00421097">
      <w:pPr>
        <w:spacing w:after="200"/>
        <w:ind w:left="720"/>
        <w:rPr>
          <w:sz w:val="20"/>
        </w:rPr>
      </w:pPr>
      <w:r w:rsidRPr="00421097">
        <w:rPr>
          <w:i/>
          <w:sz w:val="20"/>
        </w:rPr>
        <w:t>You</w:t>
      </w:r>
      <w:r w:rsidRPr="00421097">
        <w:rPr>
          <w:sz w:val="20"/>
        </w:rPr>
        <w:t xml:space="preserve"> may send unlimited standard SMS and MMS to selected countries as set out in Table 3 below.</w:t>
      </w:r>
    </w:p>
    <w:p w14:paraId="7155E611" w14:textId="77777777" w:rsidR="00421097" w:rsidRPr="00421097" w:rsidRDefault="00421097" w:rsidP="00421097">
      <w:pPr>
        <w:spacing w:after="200"/>
        <w:ind w:left="720"/>
        <w:rPr>
          <w:i/>
          <w:sz w:val="20"/>
        </w:rPr>
      </w:pPr>
      <w:r w:rsidRPr="00421097">
        <w:rPr>
          <w:sz w:val="20"/>
        </w:rPr>
        <w:t xml:space="preserve">Unlimited standard SMS and MMS are only available for personal and ordinary business use and are not to be used for a commercial or non-ordinary purpose as set out in the Fair Go Policy. For further details refer to </w:t>
      </w:r>
      <w:hyperlink r:id="rId715" w:history="1">
        <w:r w:rsidRPr="00421097">
          <w:rPr>
            <w:i/>
            <w:color w:val="13607C"/>
            <w:sz w:val="18"/>
            <w:u w:val="single"/>
          </w:rPr>
          <w:t>Appendix S</w:t>
        </w:r>
      </w:hyperlink>
      <w:r w:rsidRPr="00421097">
        <w:rPr>
          <w:i/>
          <w:sz w:val="20"/>
        </w:rPr>
        <w:t>.</w:t>
      </w:r>
    </w:p>
    <w:p w14:paraId="076808B3" w14:textId="77777777" w:rsidR="00421097" w:rsidRPr="00421097" w:rsidRDefault="00421097" w:rsidP="00421097">
      <w:pPr>
        <w:numPr>
          <w:ilvl w:val="5"/>
          <w:numId w:val="1"/>
        </w:numPr>
        <w:spacing w:before="240" w:after="200"/>
        <w:outlineLvl w:val="5"/>
        <w:rPr>
          <w:rFonts w:eastAsia="Times New Roman"/>
          <w:sz w:val="20"/>
          <w:szCs w:val="22"/>
          <w:lang w:val="en-AU"/>
        </w:rPr>
      </w:pPr>
      <w:bookmarkStart w:id="1497" w:name="_Toc465162157"/>
      <w:bookmarkStart w:id="1498" w:name="_Toc466892523"/>
      <w:bookmarkStart w:id="1499" w:name="_Toc475699597"/>
      <w:r w:rsidRPr="00421097">
        <w:rPr>
          <w:rFonts w:eastAsia="Times New Roman"/>
          <w:sz w:val="20"/>
          <w:szCs w:val="22"/>
          <w:lang w:val="en-AU"/>
        </w:rPr>
        <w:t>International Roaming</w:t>
      </w:r>
      <w:bookmarkEnd w:id="1497"/>
      <w:bookmarkEnd w:id="1498"/>
      <w:bookmarkEnd w:id="1499"/>
      <w:r w:rsidRPr="00421097">
        <w:rPr>
          <w:rFonts w:eastAsia="Times New Roman"/>
          <w:sz w:val="20"/>
          <w:szCs w:val="22"/>
          <w:lang w:val="en-AU"/>
        </w:rPr>
        <w:t xml:space="preserve"> </w:t>
      </w:r>
    </w:p>
    <w:p w14:paraId="3D226B82" w14:textId="77777777" w:rsidR="00421097" w:rsidRPr="00421097" w:rsidRDefault="00421097" w:rsidP="00421097">
      <w:pPr>
        <w:ind w:left="709"/>
        <w:rPr>
          <w:rFonts w:eastAsia="Times New Roman" w:cs="Arial"/>
          <w:sz w:val="20"/>
          <w:szCs w:val="20"/>
        </w:rPr>
      </w:pPr>
      <w:r w:rsidRPr="00421097">
        <w:rPr>
          <w:rFonts w:eastAsia="Times New Roman" w:cs="Arial"/>
          <w:sz w:val="20"/>
          <w:szCs w:val="20"/>
        </w:rPr>
        <w:t>The $125 My Plan Business Tech Fund ($105 Promo) plan will receive unlimited standard national and international voice, SMS (MMS is excluded) plus 1GB/1.5GB of data (respectively) to use in Zone 1 countries within each billing month. If you are not in a Zone 1 country you will be charged at standard roaming rates for that country.</w:t>
      </w:r>
    </w:p>
    <w:p w14:paraId="6C8321B5" w14:textId="77777777" w:rsidR="00421097" w:rsidRPr="00421097" w:rsidRDefault="00421097" w:rsidP="00421097">
      <w:pPr>
        <w:ind w:left="709"/>
        <w:rPr>
          <w:rFonts w:eastAsia="Times New Roman" w:cs="Arial"/>
          <w:sz w:val="20"/>
          <w:szCs w:val="20"/>
        </w:rPr>
      </w:pPr>
    </w:p>
    <w:p w14:paraId="7DB10187" w14:textId="77777777" w:rsidR="00421097" w:rsidRPr="00421097" w:rsidRDefault="00421097" w:rsidP="00421097">
      <w:pPr>
        <w:spacing w:after="200"/>
        <w:ind w:left="720"/>
        <w:rPr>
          <w:rFonts w:cs="Arial"/>
          <w:sz w:val="20"/>
          <w:szCs w:val="20"/>
        </w:rPr>
      </w:pPr>
      <w:r w:rsidRPr="00421097">
        <w:rPr>
          <w:rFonts w:eastAsia="Times New Roman" w:cs="Arial"/>
          <w:sz w:val="20"/>
          <w:szCs w:val="20"/>
        </w:rPr>
        <w:t>If you exceed the data limit, standard data roaming charges will apply. Any data provided is not shareable and will not form part of any Data Pool. Any unused data will be forfeited and cannot be rolled over to the next billing month.</w:t>
      </w:r>
      <w:r w:rsidRPr="00421097">
        <w:rPr>
          <w:rFonts w:eastAsia="Times New Roman" w:cs="Arial"/>
          <w:snapToGrid w:val="0"/>
          <w:sz w:val="20"/>
          <w:szCs w:val="20"/>
        </w:rPr>
        <w:t xml:space="preserve"> For list of countries see optus.com.au/biztravel</w:t>
      </w:r>
    </w:p>
    <w:p w14:paraId="0A94A416" w14:textId="77777777" w:rsidR="00105234" w:rsidRDefault="00421097" w:rsidP="003A53B5">
      <w:pPr>
        <w:spacing w:after="200"/>
        <w:ind w:left="720"/>
        <w:rPr>
          <w:sz w:val="20"/>
        </w:rPr>
      </w:pPr>
      <w:r w:rsidRPr="00421097">
        <w:rPr>
          <w:sz w:val="20"/>
        </w:rPr>
        <w:t>If you are not in a Zone 1 country you will be charged at standard roaming rates for that country.</w:t>
      </w:r>
      <w:r w:rsidR="003A53B5" w:rsidRPr="00421097" w:rsidDel="003A53B5">
        <w:rPr>
          <w:sz w:val="20"/>
        </w:rPr>
        <w:t xml:space="preserve"> </w:t>
      </w:r>
    </w:p>
    <w:p w14:paraId="0367A634" w14:textId="77777777" w:rsidR="00667404" w:rsidRDefault="00667404" w:rsidP="003A53B5">
      <w:pPr>
        <w:spacing w:after="200"/>
        <w:ind w:left="720"/>
        <w:rPr>
          <w:b/>
          <w:sz w:val="20"/>
          <w:lang w:val="en-AU"/>
        </w:rPr>
      </w:pPr>
    </w:p>
    <w:p w14:paraId="3A5FD3EF" w14:textId="77777777" w:rsidR="00667404" w:rsidRDefault="00667404" w:rsidP="003A53B5">
      <w:pPr>
        <w:spacing w:after="200"/>
        <w:ind w:left="720"/>
        <w:rPr>
          <w:b/>
          <w:sz w:val="20"/>
          <w:lang w:val="en-AU"/>
        </w:rPr>
      </w:pPr>
    </w:p>
    <w:p w14:paraId="095256C3" w14:textId="77777777" w:rsidR="00667404" w:rsidRDefault="00667404" w:rsidP="003A53B5">
      <w:pPr>
        <w:spacing w:after="200"/>
        <w:ind w:left="720"/>
        <w:rPr>
          <w:b/>
          <w:sz w:val="20"/>
          <w:lang w:val="en-AU"/>
        </w:rPr>
      </w:pPr>
    </w:p>
    <w:p w14:paraId="36D72FA3" w14:textId="77777777" w:rsidR="00667404" w:rsidRDefault="00667404" w:rsidP="003A53B5">
      <w:pPr>
        <w:spacing w:after="200"/>
        <w:ind w:left="720"/>
        <w:rPr>
          <w:b/>
          <w:sz w:val="20"/>
          <w:lang w:val="en-AU"/>
        </w:rPr>
      </w:pPr>
    </w:p>
    <w:p w14:paraId="784B4DEA" w14:textId="77777777" w:rsidR="00667404" w:rsidRDefault="00667404" w:rsidP="003A53B5">
      <w:pPr>
        <w:spacing w:after="200"/>
        <w:ind w:left="720"/>
        <w:rPr>
          <w:b/>
          <w:sz w:val="20"/>
          <w:lang w:val="en-AU"/>
        </w:rPr>
      </w:pPr>
    </w:p>
    <w:p w14:paraId="7BF8F1B5" w14:textId="77777777" w:rsidR="00667404" w:rsidRDefault="00667404" w:rsidP="003A53B5">
      <w:pPr>
        <w:spacing w:after="200"/>
        <w:ind w:left="720"/>
        <w:rPr>
          <w:b/>
          <w:sz w:val="20"/>
          <w:lang w:val="en-AU"/>
        </w:rPr>
      </w:pPr>
    </w:p>
    <w:p w14:paraId="185D9595" w14:textId="77777777" w:rsidR="00667404" w:rsidRDefault="00667404" w:rsidP="003A53B5">
      <w:pPr>
        <w:spacing w:after="200"/>
        <w:ind w:left="720"/>
        <w:rPr>
          <w:b/>
          <w:sz w:val="20"/>
          <w:lang w:val="en-AU"/>
        </w:rPr>
      </w:pPr>
    </w:p>
    <w:p w14:paraId="59402D19" w14:textId="77777777" w:rsidR="00667404" w:rsidRDefault="00667404" w:rsidP="003A53B5">
      <w:pPr>
        <w:spacing w:after="200"/>
        <w:ind w:left="720"/>
        <w:rPr>
          <w:b/>
          <w:sz w:val="20"/>
          <w:lang w:val="en-AU"/>
        </w:rPr>
      </w:pPr>
    </w:p>
    <w:p w14:paraId="0E0F0C39" w14:textId="77777777" w:rsidR="00667404" w:rsidRDefault="00667404" w:rsidP="003A53B5">
      <w:pPr>
        <w:spacing w:after="200"/>
        <w:ind w:left="720"/>
        <w:rPr>
          <w:b/>
          <w:sz w:val="20"/>
          <w:lang w:val="en-AU"/>
        </w:rPr>
      </w:pPr>
    </w:p>
    <w:p w14:paraId="7254AF03" w14:textId="77777777" w:rsidR="00667404" w:rsidRDefault="00667404" w:rsidP="003A53B5">
      <w:pPr>
        <w:spacing w:after="200"/>
        <w:ind w:left="720"/>
        <w:rPr>
          <w:b/>
          <w:sz w:val="20"/>
          <w:lang w:val="en-AU"/>
        </w:rPr>
      </w:pPr>
    </w:p>
    <w:p w14:paraId="35CAEACB" w14:textId="77777777" w:rsidR="00667404" w:rsidRDefault="00667404" w:rsidP="003A53B5">
      <w:pPr>
        <w:spacing w:after="200"/>
        <w:ind w:left="720"/>
        <w:rPr>
          <w:b/>
          <w:sz w:val="20"/>
          <w:lang w:val="en-AU"/>
        </w:rPr>
      </w:pPr>
    </w:p>
    <w:p w14:paraId="449E4C61" w14:textId="77777777" w:rsidR="00667404" w:rsidRDefault="00667404" w:rsidP="003A53B5">
      <w:pPr>
        <w:spacing w:after="200"/>
        <w:ind w:left="720"/>
        <w:rPr>
          <w:b/>
          <w:sz w:val="20"/>
          <w:lang w:val="en-AU"/>
        </w:rPr>
      </w:pPr>
    </w:p>
    <w:p w14:paraId="07E50EE4" w14:textId="77777777" w:rsidR="00667404" w:rsidRDefault="00667404" w:rsidP="003A53B5">
      <w:pPr>
        <w:spacing w:after="200"/>
        <w:ind w:left="720"/>
        <w:rPr>
          <w:b/>
          <w:sz w:val="20"/>
          <w:lang w:val="en-AU"/>
        </w:rPr>
      </w:pPr>
    </w:p>
    <w:p w14:paraId="7978F8A6" w14:textId="77777777" w:rsidR="00421097" w:rsidRPr="00421097" w:rsidRDefault="00421097" w:rsidP="003A53B5">
      <w:pPr>
        <w:spacing w:after="200"/>
        <w:ind w:left="720"/>
        <w:rPr>
          <w:sz w:val="20"/>
        </w:rPr>
      </w:pPr>
      <w:r w:rsidRPr="00421097">
        <w:rPr>
          <w:b/>
          <w:sz w:val="20"/>
          <w:lang w:val="en-AU"/>
        </w:rPr>
        <w:t>Table 1 – Plan Inclusions and Charges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5387"/>
      </w:tblGrid>
      <w:tr w:rsidR="00421097" w:rsidRPr="00421097" w14:paraId="77FB1CE2" w14:textId="77777777" w:rsidTr="00421097">
        <w:tc>
          <w:tcPr>
            <w:tcW w:w="4536" w:type="dxa"/>
            <w:shd w:val="clear" w:color="auto" w:fill="auto"/>
          </w:tcPr>
          <w:p w14:paraId="30E7DE82" w14:textId="77777777" w:rsidR="00421097" w:rsidRPr="00421097" w:rsidRDefault="00421097" w:rsidP="00421097">
            <w:pPr>
              <w:keepNext/>
              <w:spacing w:before="100" w:after="100"/>
              <w:rPr>
                <w:sz w:val="20"/>
              </w:rPr>
            </w:pPr>
          </w:p>
        </w:tc>
        <w:tc>
          <w:tcPr>
            <w:tcW w:w="5387" w:type="dxa"/>
            <w:vAlign w:val="center"/>
          </w:tcPr>
          <w:p w14:paraId="4A4FF1C6" w14:textId="77777777" w:rsidR="00421097" w:rsidRPr="00421097" w:rsidRDefault="00421097" w:rsidP="00421097">
            <w:pPr>
              <w:keepNext/>
              <w:spacing w:before="100" w:after="100"/>
              <w:jc w:val="center"/>
              <w:rPr>
                <w:b/>
                <w:sz w:val="20"/>
              </w:rPr>
            </w:pPr>
            <w:r w:rsidRPr="00421097">
              <w:rPr>
                <w:b/>
                <w:sz w:val="20"/>
              </w:rPr>
              <w:t>$125 My Plan Business Tech Fund ($105 Promo)</w:t>
            </w:r>
          </w:p>
        </w:tc>
      </w:tr>
      <w:tr w:rsidR="00421097" w:rsidRPr="00421097" w14:paraId="465EACC4" w14:textId="77777777" w:rsidTr="00421097">
        <w:tc>
          <w:tcPr>
            <w:tcW w:w="4536" w:type="dxa"/>
            <w:shd w:val="clear" w:color="auto" w:fill="auto"/>
          </w:tcPr>
          <w:p w14:paraId="778FEFC7" w14:textId="77777777" w:rsidR="00421097" w:rsidRPr="00421097" w:rsidRDefault="00421097" w:rsidP="00421097">
            <w:pPr>
              <w:keepNext/>
              <w:spacing w:before="100" w:after="100"/>
              <w:rPr>
                <w:sz w:val="20"/>
              </w:rPr>
            </w:pPr>
            <w:r w:rsidRPr="00421097">
              <w:rPr>
                <w:b/>
                <w:bCs/>
                <w:sz w:val="20"/>
                <w:lang w:eastAsia="en-AU"/>
              </w:rPr>
              <w:t>Minimum Monthly charge</w:t>
            </w:r>
          </w:p>
        </w:tc>
        <w:tc>
          <w:tcPr>
            <w:tcW w:w="5387" w:type="dxa"/>
            <w:vAlign w:val="center"/>
          </w:tcPr>
          <w:p w14:paraId="67EE91DD" w14:textId="77777777" w:rsidR="00421097" w:rsidRPr="00421097" w:rsidRDefault="00421097" w:rsidP="00421097">
            <w:pPr>
              <w:keepNext/>
              <w:spacing w:before="100" w:after="100"/>
              <w:jc w:val="center"/>
              <w:rPr>
                <w:sz w:val="20"/>
              </w:rPr>
            </w:pPr>
            <w:r w:rsidRPr="00421097">
              <w:rPr>
                <w:sz w:val="20"/>
              </w:rPr>
              <w:t>$105 (incl $20 discount)</w:t>
            </w:r>
          </w:p>
        </w:tc>
      </w:tr>
      <w:tr w:rsidR="00421097" w:rsidRPr="00421097" w14:paraId="10CF69E9" w14:textId="77777777" w:rsidTr="00421097">
        <w:tc>
          <w:tcPr>
            <w:tcW w:w="4536" w:type="dxa"/>
            <w:shd w:val="clear" w:color="auto" w:fill="auto"/>
          </w:tcPr>
          <w:p w14:paraId="3916C11B" w14:textId="77777777" w:rsidR="00421097" w:rsidRPr="00421097" w:rsidRDefault="00421097" w:rsidP="00421097">
            <w:pPr>
              <w:keepNext/>
              <w:spacing w:before="100" w:after="100"/>
              <w:rPr>
                <w:sz w:val="20"/>
              </w:rPr>
            </w:pPr>
            <w:r w:rsidRPr="00421097">
              <w:rPr>
                <w:b/>
                <w:bCs/>
                <w:sz w:val="20"/>
                <w:lang w:eastAsia="en-AU"/>
              </w:rPr>
              <w:t>Included Data</w:t>
            </w:r>
          </w:p>
        </w:tc>
        <w:tc>
          <w:tcPr>
            <w:tcW w:w="5387" w:type="dxa"/>
            <w:vAlign w:val="center"/>
          </w:tcPr>
          <w:p w14:paraId="38FB03D9" w14:textId="77777777" w:rsidR="00421097" w:rsidRPr="00421097" w:rsidRDefault="00421097" w:rsidP="00421097">
            <w:pPr>
              <w:keepNext/>
              <w:spacing w:before="100" w:after="100"/>
              <w:jc w:val="center"/>
              <w:rPr>
                <w:sz w:val="20"/>
              </w:rPr>
            </w:pPr>
            <w:r w:rsidRPr="00421097">
              <w:rPr>
                <w:sz w:val="20"/>
              </w:rPr>
              <w:t>20GB</w:t>
            </w:r>
          </w:p>
        </w:tc>
      </w:tr>
      <w:tr w:rsidR="00421097" w:rsidRPr="00421097" w14:paraId="451FB820" w14:textId="77777777" w:rsidTr="00421097">
        <w:tc>
          <w:tcPr>
            <w:tcW w:w="4536" w:type="dxa"/>
            <w:shd w:val="clear" w:color="auto" w:fill="auto"/>
          </w:tcPr>
          <w:p w14:paraId="001ECD77" w14:textId="77777777" w:rsidR="00421097" w:rsidRPr="00421097" w:rsidRDefault="00421097" w:rsidP="00421097">
            <w:pPr>
              <w:keepNext/>
              <w:spacing w:before="100" w:after="100"/>
              <w:rPr>
                <w:b/>
                <w:bCs/>
                <w:sz w:val="20"/>
                <w:lang w:eastAsia="en-AU"/>
              </w:rPr>
            </w:pPr>
            <w:r w:rsidRPr="00421097">
              <w:rPr>
                <w:b/>
                <w:bCs/>
                <w:sz w:val="20"/>
                <w:lang w:eastAsia="en-AU"/>
              </w:rPr>
              <w:t>Additional Data</w:t>
            </w:r>
          </w:p>
        </w:tc>
        <w:tc>
          <w:tcPr>
            <w:tcW w:w="5387" w:type="dxa"/>
            <w:vAlign w:val="center"/>
          </w:tcPr>
          <w:p w14:paraId="38BCFC16" w14:textId="77777777" w:rsidR="00421097" w:rsidRPr="00421097" w:rsidRDefault="00421097" w:rsidP="00421097">
            <w:pPr>
              <w:keepNext/>
              <w:spacing w:before="100" w:after="100"/>
              <w:jc w:val="center"/>
              <w:rPr>
                <w:sz w:val="20"/>
              </w:rPr>
            </w:pPr>
            <w:r w:rsidRPr="00421097">
              <w:rPr>
                <w:sz w:val="20"/>
              </w:rPr>
              <w:t>Additional Data $10 per 1GB</w:t>
            </w:r>
          </w:p>
        </w:tc>
      </w:tr>
      <w:tr w:rsidR="00421097" w:rsidRPr="00421097" w14:paraId="12E6E265" w14:textId="77777777" w:rsidTr="00421097">
        <w:tc>
          <w:tcPr>
            <w:tcW w:w="4536" w:type="dxa"/>
            <w:shd w:val="clear" w:color="auto" w:fill="auto"/>
          </w:tcPr>
          <w:p w14:paraId="6CE78D92" w14:textId="77777777" w:rsidR="00421097" w:rsidRPr="00421097" w:rsidRDefault="00421097" w:rsidP="00421097">
            <w:pPr>
              <w:keepNext/>
              <w:spacing w:before="100" w:after="100"/>
              <w:rPr>
                <w:b/>
                <w:bCs/>
                <w:sz w:val="20"/>
                <w:lang w:eastAsia="en-AU"/>
              </w:rPr>
            </w:pPr>
            <w:r w:rsidRPr="00421097">
              <w:rPr>
                <w:b/>
                <w:bCs/>
                <w:sz w:val="20"/>
                <w:lang w:eastAsia="en-AU"/>
              </w:rPr>
              <w:t xml:space="preserve">Included Minutes </w:t>
            </w:r>
          </w:p>
          <w:p w14:paraId="0A2F141A" w14:textId="77777777" w:rsidR="00421097" w:rsidRPr="00421097" w:rsidRDefault="00421097" w:rsidP="00421097">
            <w:pPr>
              <w:keepNext/>
              <w:spacing w:before="100" w:after="100"/>
              <w:rPr>
                <w:sz w:val="20"/>
              </w:rPr>
            </w:pPr>
            <w:r w:rsidRPr="00421097">
              <w:rPr>
                <w:sz w:val="20"/>
                <w:lang w:eastAsia="en-AU"/>
              </w:rPr>
              <w:t>for standard national calls to landlines and mobiles, 1300 numbers and voicemail, within Australia</w:t>
            </w:r>
          </w:p>
        </w:tc>
        <w:tc>
          <w:tcPr>
            <w:tcW w:w="5387" w:type="dxa"/>
            <w:vAlign w:val="center"/>
          </w:tcPr>
          <w:p w14:paraId="4B22D8E0" w14:textId="77777777" w:rsidR="00421097" w:rsidRPr="00421097" w:rsidRDefault="00421097" w:rsidP="00421097">
            <w:pPr>
              <w:keepNext/>
              <w:spacing w:before="100" w:after="100"/>
              <w:jc w:val="center"/>
              <w:rPr>
                <w:sz w:val="20"/>
              </w:rPr>
            </w:pPr>
            <w:r w:rsidRPr="00421097">
              <w:rPr>
                <w:sz w:val="20"/>
              </w:rPr>
              <w:t>Unlimited</w:t>
            </w:r>
          </w:p>
        </w:tc>
      </w:tr>
      <w:tr w:rsidR="00421097" w:rsidRPr="00421097" w14:paraId="35F8B2D3" w14:textId="77777777" w:rsidTr="00421097">
        <w:tc>
          <w:tcPr>
            <w:tcW w:w="4536" w:type="dxa"/>
            <w:shd w:val="clear" w:color="auto" w:fill="auto"/>
          </w:tcPr>
          <w:p w14:paraId="3E87E813" w14:textId="77777777" w:rsidR="00421097" w:rsidRPr="00421097" w:rsidRDefault="00421097" w:rsidP="00421097">
            <w:pPr>
              <w:keepNext/>
              <w:spacing w:before="100" w:after="100"/>
              <w:rPr>
                <w:b/>
                <w:bCs/>
                <w:sz w:val="20"/>
                <w:lang w:eastAsia="en-AU"/>
              </w:rPr>
            </w:pPr>
            <w:r w:rsidRPr="00421097">
              <w:rPr>
                <w:b/>
                <w:bCs/>
                <w:sz w:val="20"/>
                <w:lang w:eastAsia="en-AU"/>
              </w:rPr>
              <w:t>Included International Minutes</w:t>
            </w:r>
          </w:p>
          <w:p w14:paraId="7EDF0142" w14:textId="77777777" w:rsidR="00421097" w:rsidRPr="00421097" w:rsidRDefault="00421097" w:rsidP="00421097">
            <w:pPr>
              <w:keepNext/>
              <w:spacing w:before="100" w:after="100"/>
              <w:rPr>
                <w:sz w:val="20"/>
                <w:lang w:eastAsia="en-AU"/>
              </w:rPr>
            </w:pPr>
            <w:r w:rsidRPr="00421097">
              <w:rPr>
                <w:sz w:val="20"/>
                <w:lang w:eastAsia="en-AU"/>
              </w:rPr>
              <w:t>Standard international calls to landlines and mobiles</w:t>
            </w:r>
          </w:p>
          <w:p w14:paraId="4C403172" w14:textId="77777777" w:rsidR="00421097" w:rsidRPr="00421097" w:rsidRDefault="00421097" w:rsidP="00421097">
            <w:pPr>
              <w:keepNext/>
              <w:spacing w:before="100" w:after="100"/>
              <w:rPr>
                <w:b/>
                <w:bCs/>
                <w:sz w:val="20"/>
                <w:lang w:eastAsia="en-AU"/>
              </w:rPr>
            </w:pPr>
            <w:r w:rsidRPr="00421097">
              <w:rPr>
                <w:sz w:val="20"/>
                <w:lang w:eastAsia="en-AU"/>
              </w:rPr>
              <w:t xml:space="preserve">to selected countries </w:t>
            </w:r>
          </w:p>
        </w:tc>
        <w:tc>
          <w:tcPr>
            <w:tcW w:w="5387" w:type="dxa"/>
            <w:vAlign w:val="center"/>
          </w:tcPr>
          <w:p w14:paraId="55B5AE9D" w14:textId="77777777" w:rsidR="00421097" w:rsidRPr="00421097" w:rsidRDefault="00421097" w:rsidP="00421097">
            <w:pPr>
              <w:keepNext/>
              <w:spacing w:before="100" w:after="100"/>
              <w:jc w:val="center"/>
              <w:rPr>
                <w:bCs/>
                <w:sz w:val="20"/>
              </w:rPr>
            </w:pPr>
            <w:r w:rsidRPr="00421097">
              <w:rPr>
                <w:sz w:val="20"/>
              </w:rPr>
              <w:t>Unlimited</w:t>
            </w:r>
          </w:p>
        </w:tc>
      </w:tr>
      <w:tr w:rsidR="00421097" w:rsidRPr="00421097" w14:paraId="42B8099B" w14:textId="77777777" w:rsidTr="00421097">
        <w:tc>
          <w:tcPr>
            <w:tcW w:w="4536" w:type="dxa"/>
            <w:shd w:val="clear" w:color="auto" w:fill="auto"/>
          </w:tcPr>
          <w:p w14:paraId="20F110CF" w14:textId="77777777" w:rsidR="00421097" w:rsidRPr="00421097" w:rsidRDefault="00421097" w:rsidP="00421097">
            <w:pPr>
              <w:keepNext/>
              <w:spacing w:before="100" w:after="100"/>
              <w:rPr>
                <w:sz w:val="20"/>
              </w:rPr>
            </w:pPr>
            <w:r w:rsidRPr="00421097">
              <w:rPr>
                <w:b/>
                <w:bCs/>
                <w:sz w:val="20"/>
                <w:lang w:eastAsia="en-AU"/>
              </w:rPr>
              <w:t xml:space="preserve">Standard national SMS </w:t>
            </w:r>
            <w:r w:rsidRPr="00421097">
              <w:rPr>
                <w:sz w:val="20"/>
                <w:lang w:eastAsia="en-AU"/>
              </w:rPr>
              <w:t>(per SMS of up to 160 standard characters)</w:t>
            </w:r>
          </w:p>
        </w:tc>
        <w:tc>
          <w:tcPr>
            <w:tcW w:w="5387" w:type="dxa"/>
            <w:vAlign w:val="center"/>
          </w:tcPr>
          <w:p w14:paraId="5B1EABF7" w14:textId="77777777" w:rsidR="00421097" w:rsidRPr="00421097" w:rsidRDefault="00421097" w:rsidP="00421097">
            <w:pPr>
              <w:keepNext/>
              <w:spacing w:before="100" w:after="100"/>
              <w:jc w:val="center"/>
              <w:rPr>
                <w:sz w:val="20"/>
              </w:rPr>
            </w:pPr>
            <w:r w:rsidRPr="00421097">
              <w:rPr>
                <w:sz w:val="20"/>
              </w:rPr>
              <w:t>Unlimited</w:t>
            </w:r>
          </w:p>
        </w:tc>
      </w:tr>
      <w:tr w:rsidR="00421097" w:rsidRPr="00421097" w14:paraId="234BBDBC" w14:textId="77777777" w:rsidTr="00421097">
        <w:tc>
          <w:tcPr>
            <w:tcW w:w="4536" w:type="dxa"/>
            <w:shd w:val="clear" w:color="auto" w:fill="auto"/>
          </w:tcPr>
          <w:p w14:paraId="29556836" w14:textId="77777777" w:rsidR="00421097" w:rsidRPr="00421097" w:rsidRDefault="00421097" w:rsidP="00421097">
            <w:pPr>
              <w:keepNext/>
              <w:spacing w:before="100" w:after="100"/>
              <w:rPr>
                <w:b/>
                <w:bCs/>
                <w:sz w:val="20"/>
                <w:lang w:eastAsia="en-AU"/>
              </w:rPr>
            </w:pPr>
            <w:r w:rsidRPr="00421097">
              <w:rPr>
                <w:b/>
                <w:bCs/>
                <w:sz w:val="20"/>
                <w:lang w:eastAsia="en-AU"/>
              </w:rPr>
              <w:t xml:space="preserve">Standard national MMS </w:t>
            </w:r>
            <w:r w:rsidRPr="00421097">
              <w:rPr>
                <w:sz w:val="20"/>
                <w:lang w:eastAsia="en-AU"/>
              </w:rPr>
              <w:t>(per message)</w:t>
            </w:r>
          </w:p>
        </w:tc>
        <w:tc>
          <w:tcPr>
            <w:tcW w:w="5387" w:type="dxa"/>
            <w:vAlign w:val="center"/>
          </w:tcPr>
          <w:p w14:paraId="4C8B9E7B" w14:textId="77777777" w:rsidR="00421097" w:rsidRPr="00421097" w:rsidRDefault="00421097" w:rsidP="00421097">
            <w:pPr>
              <w:keepNext/>
              <w:spacing w:before="100" w:after="100"/>
              <w:jc w:val="center"/>
              <w:rPr>
                <w:sz w:val="20"/>
              </w:rPr>
            </w:pPr>
            <w:r w:rsidRPr="00421097">
              <w:rPr>
                <w:sz w:val="20"/>
              </w:rPr>
              <w:t>Unlimited</w:t>
            </w:r>
          </w:p>
        </w:tc>
      </w:tr>
      <w:tr w:rsidR="00421097" w:rsidRPr="00421097" w14:paraId="64F5ED61" w14:textId="77777777" w:rsidTr="00421097">
        <w:tc>
          <w:tcPr>
            <w:tcW w:w="4536" w:type="dxa"/>
            <w:shd w:val="clear" w:color="auto" w:fill="auto"/>
          </w:tcPr>
          <w:p w14:paraId="2BBAA21A" w14:textId="77777777" w:rsidR="00421097" w:rsidRPr="00421097" w:rsidDel="00064B49" w:rsidRDefault="00421097" w:rsidP="00421097">
            <w:pPr>
              <w:keepNext/>
              <w:spacing w:before="100" w:after="100"/>
              <w:rPr>
                <w:b/>
                <w:bCs/>
                <w:sz w:val="20"/>
                <w:lang w:eastAsia="en-AU"/>
              </w:rPr>
            </w:pPr>
            <w:r w:rsidRPr="00421097">
              <w:rPr>
                <w:b/>
                <w:bCs/>
                <w:sz w:val="20"/>
                <w:lang w:eastAsia="en-AU"/>
              </w:rPr>
              <w:t xml:space="preserve">Standard international SMS </w:t>
            </w:r>
            <w:r w:rsidRPr="00421097">
              <w:rPr>
                <w:sz w:val="20"/>
                <w:lang w:eastAsia="en-AU"/>
              </w:rPr>
              <w:t>(per SMS of up to 160 standard characters to selected countries)</w:t>
            </w:r>
          </w:p>
        </w:tc>
        <w:tc>
          <w:tcPr>
            <w:tcW w:w="5387" w:type="dxa"/>
            <w:vAlign w:val="center"/>
          </w:tcPr>
          <w:p w14:paraId="31E979E4" w14:textId="77777777" w:rsidR="00421097" w:rsidRPr="00421097" w:rsidRDefault="00421097" w:rsidP="00421097">
            <w:pPr>
              <w:keepNext/>
              <w:spacing w:before="100" w:after="100"/>
              <w:jc w:val="center"/>
              <w:rPr>
                <w:sz w:val="20"/>
              </w:rPr>
            </w:pPr>
            <w:r w:rsidRPr="00421097">
              <w:rPr>
                <w:sz w:val="20"/>
              </w:rPr>
              <w:t>Unlimited</w:t>
            </w:r>
          </w:p>
        </w:tc>
      </w:tr>
      <w:tr w:rsidR="00421097" w:rsidRPr="00421097" w14:paraId="291652B0" w14:textId="77777777" w:rsidTr="00421097">
        <w:tc>
          <w:tcPr>
            <w:tcW w:w="4536" w:type="dxa"/>
            <w:shd w:val="clear" w:color="auto" w:fill="auto"/>
          </w:tcPr>
          <w:p w14:paraId="49A07C01" w14:textId="77777777" w:rsidR="00421097" w:rsidRPr="00421097" w:rsidRDefault="00421097" w:rsidP="00421097">
            <w:pPr>
              <w:keepNext/>
              <w:spacing w:before="100" w:after="100"/>
              <w:rPr>
                <w:b/>
                <w:bCs/>
                <w:sz w:val="20"/>
                <w:lang w:eastAsia="en-AU"/>
              </w:rPr>
            </w:pPr>
            <w:r w:rsidRPr="00421097">
              <w:rPr>
                <w:b/>
                <w:bCs/>
                <w:sz w:val="20"/>
                <w:lang w:eastAsia="en-AU"/>
              </w:rPr>
              <w:t xml:space="preserve">Standard international MMS </w:t>
            </w:r>
            <w:r w:rsidRPr="00421097">
              <w:rPr>
                <w:sz w:val="20"/>
                <w:lang w:eastAsia="en-AU"/>
              </w:rPr>
              <w:t>(per message to selected countries)</w:t>
            </w:r>
          </w:p>
        </w:tc>
        <w:tc>
          <w:tcPr>
            <w:tcW w:w="5387" w:type="dxa"/>
            <w:vAlign w:val="center"/>
          </w:tcPr>
          <w:p w14:paraId="2CC1FD11" w14:textId="77777777" w:rsidR="00421097" w:rsidRPr="00421097" w:rsidRDefault="00421097" w:rsidP="00421097">
            <w:pPr>
              <w:keepNext/>
              <w:spacing w:before="100" w:after="100"/>
              <w:jc w:val="center"/>
              <w:rPr>
                <w:sz w:val="20"/>
              </w:rPr>
            </w:pPr>
            <w:r w:rsidRPr="00421097">
              <w:rPr>
                <w:sz w:val="20"/>
              </w:rPr>
              <w:t>Unlimited</w:t>
            </w:r>
          </w:p>
        </w:tc>
      </w:tr>
      <w:tr w:rsidR="00421097" w:rsidRPr="00421097" w14:paraId="033F409E" w14:textId="77777777" w:rsidTr="00421097">
        <w:tc>
          <w:tcPr>
            <w:tcW w:w="4536" w:type="dxa"/>
            <w:shd w:val="clear" w:color="auto" w:fill="auto"/>
          </w:tcPr>
          <w:p w14:paraId="586EF7C9" w14:textId="77777777" w:rsidR="00421097" w:rsidRPr="00421097" w:rsidRDefault="00421097" w:rsidP="00421097">
            <w:pPr>
              <w:keepNext/>
              <w:spacing w:before="100" w:after="100"/>
              <w:rPr>
                <w:b/>
                <w:bCs/>
                <w:sz w:val="20"/>
                <w:lang w:eastAsia="en-AU"/>
              </w:rPr>
            </w:pPr>
            <w:r w:rsidRPr="00421097">
              <w:rPr>
                <w:rFonts w:eastAsia="Calibri"/>
                <w:b/>
                <w:bCs/>
                <w:sz w:val="20"/>
                <w:lang w:eastAsia="en-AU"/>
              </w:rPr>
              <w:t xml:space="preserve">International Roaming </w:t>
            </w:r>
            <w:r w:rsidRPr="00421097">
              <w:rPr>
                <w:rFonts w:eastAsia="Calibri"/>
                <w:b/>
                <w:bCs/>
                <w:sz w:val="20"/>
                <w:lang w:eastAsia="en-AU"/>
              </w:rPr>
              <w:br/>
            </w:r>
            <w:r w:rsidRPr="00421097">
              <w:rPr>
                <w:b/>
                <w:bCs/>
                <w:snapToGrid w:val="0"/>
                <w:sz w:val="20"/>
              </w:rPr>
              <w:t>(Zone 1 countries)</w:t>
            </w:r>
          </w:p>
        </w:tc>
        <w:tc>
          <w:tcPr>
            <w:tcW w:w="5387" w:type="dxa"/>
          </w:tcPr>
          <w:p w14:paraId="3424CFA8" w14:textId="77777777" w:rsidR="00421097" w:rsidRPr="00421097" w:rsidRDefault="00421097" w:rsidP="00421097">
            <w:pPr>
              <w:keepNext/>
              <w:spacing w:before="100" w:after="100"/>
              <w:jc w:val="center"/>
              <w:rPr>
                <w:sz w:val="20"/>
              </w:rPr>
            </w:pPr>
            <w:r w:rsidRPr="00421097">
              <w:rPr>
                <w:sz w:val="20"/>
                <w:lang w:val="en-AU" w:eastAsia="en-AU"/>
              </w:rPr>
              <w:t>Unlimited standard national/international talk, SMS &amp; 1.5GB data</w:t>
            </w:r>
          </w:p>
        </w:tc>
      </w:tr>
      <w:tr w:rsidR="00421097" w:rsidRPr="00421097" w14:paraId="1B40DE36" w14:textId="77777777" w:rsidTr="00421097">
        <w:tc>
          <w:tcPr>
            <w:tcW w:w="4536" w:type="dxa"/>
            <w:shd w:val="clear" w:color="auto" w:fill="auto"/>
          </w:tcPr>
          <w:p w14:paraId="2C9EA60C" w14:textId="77777777" w:rsidR="00421097" w:rsidRPr="00421097" w:rsidRDefault="00421097" w:rsidP="00421097">
            <w:pPr>
              <w:keepNext/>
              <w:spacing w:before="100" w:after="100"/>
              <w:rPr>
                <w:b/>
                <w:bCs/>
                <w:sz w:val="20"/>
                <w:szCs w:val="20"/>
                <w:lang w:eastAsia="en-AU"/>
              </w:rPr>
            </w:pPr>
            <w:r w:rsidRPr="00421097">
              <w:rPr>
                <w:b/>
                <w:sz w:val="20"/>
                <w:szCs w:val="20"/>
              </w:rPr>
              <w:t xml:space="preserve">Optus Travel™ Pack </w:t>
            </w:r>
            <w:r w:rsidRPr="00421097">
              <w:rPr>
                <w:b/>
                <w:bCs/>
                <w:snapToGrid w:val="0"/>
                <w:sz w:val="20"/>
              </w:rPr>
              <w:t>(Zone 1 countries)</w:t>
            </w:r>
          </w:p>
        </w:tc>
        <w:tc>
          <w:tcPr>
            <w:tcW w:w="5387" w:type="dxa"/>
          </w:tcPr>
          <w:p w14:paraId="5D54DA20" w14:textId="77777777" w:rsidR="00421097" w:rsidRPr="00421097" w:rsidRDefault="00421097" w:rsidP="00421097">
            <w:pPr>
              <w:keepNext/>
              <w:spacing w:before="100" w:after="100"/>
              <w:jc w:val="center"/>
              <w:rPr>
                <w:sz w:val="20"/>
                <w:szCs w:val="20"/>
              </w:rPr>
            </w:pPr>
            <w:r w:rsidRPr="00421097">
              <w:rPr>
                <w:rFonts w:eastAsia="Calibri"/>
                <w:sz w:val="20"/>
                <w:szCs w:val="20"/>
              </w:rPr>
              <w:t>Not included</w:t>
            </w:r>
          </w:p>
        </w:tc>
      </w:tr>
      <w:tr w:rsidR="00421097" w:rsidRPr="00421097" w14:paraId="5AAF9B2C" w14:textId="77777777" w:rsidTr="00421097">
        <w:tc>
          <w:tcPr>
            <w:tcW w:w="4536" w:type="dxa"/>
            <w:shd w:val="clear" w:color="auto" w:fill="auto"/>
          </w:tcPr>
          <w:p w14:paraId="22997644" w14:textId="77777777" w:rsidR="00421097" w:rsidRPr="00421097" w:rsidRDefault="00421097" w:rsidP="00421097">
            <w:pPr>
              <w:keepNext/>
              <w:spacing w:before="100" w:after="100"/>
              <w:rPr>
                <w:b/>
                <w:bCs/>
                <w:sz w:val="20"/>
                <w:lang w:eastAsia="en-AU"/>
              </w:rPr>
            </w:pPr>
            <w:r w:rsidRPr="00421097">
              <w:rPr>
                <w:b/>
                <w:bCs/>
                <w:sz w:val="20"/>
                <w:lang w:eastAsia="en-AU"/>
              </w:rPr>
              <w:t xml:space="preserve">Minimum total cost over 24 months </w:t>
            </w:r>
          </w:p>
        </w:tc>
        <w:tc>
          <w:tcPr>
            <w:tcW w:w="5387" w:type="dxa"/>
          </w:tcPr>
          <w:p w14:paraId="745ACE77" w14:textId="77777777" w:rsidR="00421097" w:rsidRPr="00421097" w:rsidRDefault="00421097" w:rsidP="00421097">
            <w:pPr>
              <w:keepNext/>
              <w:spacing w:before="100" w:after="100"/>
              <w:jc w:val="center"/>
              <w:rPr>
                <w:sz w:val="20"/>
              </w:rPr>
            </w:pPr>
            <w:r w:rsidRPr="00421097">
              <w:rPr>
                <w:rFonts w:eastAsia="Calibri"/>
                <w:sz w:val="20"/>
              </w:rPr>
              <w:t>$2520</w:t>
            </w:r>
          </w:p>
        </w:tc>
      </w:tr>
    </w:tbl>
    <w:p w14:paraId="1DE0CF36" w14:textId="77777777" w:rsidR="00421097" w:rsidRPr="00421097" w:rsidRDefault="00421097" w:rsidP="00421097">
      <w:pPr>
        <w:spacing w:after="200"/>
        <w:rPr>
          <w:b/>
          <w:sz w:val="20"/>
        </w:rPr>
      </w:pPr>
    </w:p>
    <w:p w14:paraId="547A177E" w14:textId="77777777" w:rsidR="00421097" w:rsidRPr="00421097" w:rsidRDefault="00421097" w:rsidP="00421097">
      <w:pPr>
        <w:spacing w:after="200"/>
        <w:rPr>
          <w:b/>
          <w:sz w:val="20"/>
        </w:rPr>
      </w:pPr>
      <w:r w:rsidRPr="00421097">
        <w:rPr>
          <w:b/>
          <w:sz w:val="20"/>
        </w:rPr>
        <w:t>Table 2 – Other usage types and charges</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05"/>
        <w:gridCol w:w="5518"/>
      </w:tblGrid>
      <w:tr w:rsidR="00421097" w:rsidRPr="00421097" w14:paraId="36E826CF" w14:textId="77777777" w:rsidTr="00421097">
        <w:trPr>
          <w:tblHeader/>
        </w:trPr>
        <w:tc>
          <w:tcPr>
            <w:tcW w:w="4405" w:type="dxa"/>
            <w:shd w:val="clear" w:color="auto" w:fill="auto"/>
            <w:vAlign w:val="center"/>
          </w:tcPr>
          <w:p w14:paraId="6AE4248C" w14:textId="77777777" w:rsidR="00421097" w:rsidRPr="00421097" w:rsidRDefault="00421097" w:rsidP="00421097">
            <w:pPr>
              <w:spacing w:before="100" w:after="100"/>
              <w:jc w:val="center"/>
              <w:rPr>
                <w:b/>
                <w:sz w:val="20"/>
              </w:rPr>
            </w:pPr>
            <w:r w:rsidRPr="00421097">
              <w:rPr>
                <w:b/>
                <w:sz w:val="20"/>
              </w:rPr>
              <w:t>Usage type</w:t>
            </w:r>
          </w:p>
        </w:tc>
        <w:tc>
          <w:tcPr>
            <w:tcW w:w="5518" w:type="dxa"/>
            <w:shd w:val="clear" w:color="auto" w:fill="auto"/>
            <w:vAlign w:val="center"/>
          </w:tcPr>
          <w:p w14:paraId="4D5AFEA7" w14:textId="77777777" w:rsidR="00421097" w:rsidRPr="00421097" w:rsidRDefault="00421097" w:rsidP="00421097">
            <w:pPr>
              <w:spacing w:before="100" w:after="100"/>
              <w:jc w:val="center"/>
              <w:rPr>
                <w:b/>
                <w:sz w:val="20"/>
              </w:rPr>
            </w:pPr>
            <w:r w:rsidRPr="00421097">
              <w:rPr>
                <w:b/>
                <w:sz w:val="20"/>
              </w:rPr>
              <w:t>Charge</w:t>
            </w:r>
          </w:p>
        </w:tc>
      </w:tr>
      <w:tr w:rsidR="00421097" w:rsidRPr="00421097" w14:paraId="2922CCF4" w14:textId="77777777" w:rsidTr="00421097">
        <w:tc>
          <w:tcPr>
            <w:tcW w:w="4405" w:type="dxa"/>
            <w:shd w:val="clear" w:color="auto" w:fill="auto"/>
          </w:tcPr>
          <w:p w14:paraId="03259A63" w14:textId="77777777" w:rsidR="00421097" w:rsidRPr="00421097" w:rsidRDefault="00421097" w:rsidP="00421097">
            <w:pPr>
              <w:spacing w:before="100" w:after="100"/>
              <w:rPr>
                <w:sz w:val="20"/>
              </w:rPr>
            </w:pPr>
            <w:r w:rsidRPr="00421097">
              <w:rPr>
                <w:bCs/>
                <w:sz w:val="20"/>
                <w:lang w:eastAsia="en-AU"/>
              </w:rPr>
              <w:t xml:space="preserve">National video calls </w:t>
            </w:r>
            <w:r w:rsidRPr="00421097">
              <w:rPr>
                <w:sz w:val="20"/>
                <w:lang w:eastAsia="en-AU"/>
              </w:rPr>
              <w:t>(per minute)</w:t>
            </w:r>
          </w:p>
        </w:tc>
        <w:tc>
          <w:tcPr>
            <w:tcW w:w="5518" w:type="dxa"/>
            <w:shd w:val="clear" w:color="auto" w:fill="auto"/>
            <w:vAlign w:val="center"/>
          </w:tcPr>
          <w:p w14:paraId="54A06A82" w14:textId="77777777" w:rsidR="00421097" w:rsidRPr="00421097" w:rsidRDefault="00421097" w:rsidP="00421097">
            <w:pPr>
              <w:spacing w:before="100" w:after="100"/>
              <w:jc w:val="center"/>
              <w:rPr>
                <w:sz w:val="20"/>
              </w:rPr>
            </w:pPr>
            <w:r w:rsidRPr="00421097">
              <w:rPr>
                <w:sz w:val="20"/>
              </w:rPr>
              <w:t>$1.00 per min + 40c flagfall</w:t>
            </w:r>
          </w:p>
        </w:tc>
      </w:tr>
      <w:tr w:rsidR="00421097" w:rsidRPr="00421097" w14:paraId="6C1667FD" w14:textId="77777777" w:rsidTr="00421097">
        <w:tc>
          <w:tcPr>
            <w:tcW w:w="4405" w:type="dxa"/>
            <w:shd w:val="clear" w:color="auto" w:fill="auto"/>
          </w:tcPr>
          <w:p w14:paraId="371D814F" w14:textId="77777777" w:rsidR="00421097" w:rsidRPr="00421097" w:rsidRDefault="00421097" w:rsidP="00421097">
            <w:pPr>
              <w:spacing w:before="100" w:after="100"/>
              <w:rPr>
                <w:bCs/>
                <w:sz w:val="20"/>
                <w:lang w:eastAsia="en-AU"/>
              </w:rPr>
            </w:pPr>
            <w:r w:rsidRPr="00421097">
              <w:rPr>
                <w:bCs/>
                <w:sz w:val="20"/>
                <w:lang w:eastAsia="en-AU"/>
              </w:rPr>
              <w:t>National Diversions</w:t>
            </w:r>
          </w:p>
        </w:tc>
        <w:tc>
          <w:tcPr>
            <w:tcW w:w="5518" w:type="dxa"/>
            <w:shd w:val="clear" w:color="auto" w:fill="auto"/>
          </w:tcPr>
          <w:p w14:paraId="01F69748" w14:textId="77777777" w:rsidR="00421097" w:rsidRPr="00421097" w:rsidRDefault="00421097" w:rsidP="00421097">
            <w:pPr>
              <w:spacing w:before="100" w:after="100"/>
              <w:jc w:val="center"/>
              <w:rPr>
                <w:sz w:val="20"/>
              </w:rPr>
            </w:pPr>
            <w:r w:rsidRPr="00421097">
              <w:rPr>
                <w:sz w:val="20"/>
              </w:rPr>
              <w:t>$0 per minute</w:t>
            </w:r>
          </w:p>
        </w:tc>
      </w:tr>
      <w:tr w:rsidR="00421097" w:rsidRPr="00421097" w14:paraId="34F038A1" w14:textId="77777777" w:rsidTr="00421097">
        <w:tc>
          <w:tcPr>
            <w:tcW w:w="4405" w:type="dxa"/>
            <w:shd w:val="clear" w:color="auto" w:fill="auto"/>
          </w:tcPr>
          <w:p w14:paraId="32A05604" w14:textId="77777777" w:rsidR="00421097" w:rsidRPr="00421097" w:rsidRDefault="00421097" w:rsidP="00421097">
            <w:pPr>
              <w:spacing w:before="100" w:after="100"/>
              <w:rPr>
                <w:bCs/>
                <w:sz w:val="20"/>
                <w:lang w:eastAsia="en-AU"/>
              </w:rPr>
            </w:pPr>
            <w:r w:rsidRPr="00421097">
              <w:rPr>
                <w:bCs/>
                <w:sz w:val="20"/>
                <w:lang w:eastAsia="en-AU"/>
              </w:rPr>
              <w:t xml:space="preserve">International Diversions </w:t>
            </w:r>
          </w:p>
        </w:tc>
        <w:tc>
          <w:tcPr>
            <w:tcW w:w="5518" w:type="dxa"/>
            <w:shd w:val="clear" w:color="auto" w:fill="auto"/>
          </w:tcPr>
          <w:p w14:paraId="4C10A0A8" w14:textId="77777777" w:rsidR="00421097" w:rsidRPr="00421097" w:rsidRDefault="00421097" w:rsidP="00421097">
            <w:pPr>
              <w:spacing w:before="100" w:after="100"/>
              <w:jc w:val="center"/>
              <w:rPr>
                <w:sz w:val="20"/>
              </w:rPr>
            </w:pPr>
            <w:r w:rsidRPr="00421097">
              <w:rPr>
                <w:sz w:val="20"/>
              </w:rPr>
              <w:t>'yes' international rates</w:t>
            </w:r>
            <w:r w:rsidRPr="00421097">
              <w:rPr>
                <w:sz w:val="20"/>
              </w:rPr>
              <w:br/>
              <w:t>See optus.com.au/international</w:t>
            </w:r>
          </w:p>
        </w:tc>
      </w:tr>
      <w:tr w:rsidR="00421097" w:rsidRPr="00421097" w14:paraId="08AF762A" w14:textId="77777777" w:rsidTr="00421097">
        <w:tc>
          <w:tcPr>
            <w:tcW w:w="4405" w:type="dxa"/>
            <w:shd w:val="clear" w:color="auto" w:fill="auto"/>
          </w:tcPr>
          <w:p w14:paraId="7EB94C08" w14:textId="77777777" w:rsidR="00421097" w:rsidRPr="00421097" w:rsidRDefault="00421097" w:rsidP="00421097">
            <w:pPr>
              <w:spacing w:before="100" w:after="100"/>
              <w:rPr>
                <w:bCs/>
                <w:sz w:val="20"/>
                <w:lang w:eastAsia="en-AU"/>
              </w:rPr>
            </w:pPr>
            <w:r w:rsidRPr="00421097">
              <w:rPr>
                <w:bCs/>
                <w:sz w:val="20"/>
                <w:lang w:eastAsia="en-AU"/>
              </w:rPr>
              <w:t xml:space="preserve">1800 numbers </w:t>
            </w:r>
          </w:p>
        </w:tc>
        <w:tc>
          <w:tcPr>
            <w:tcW w:w="5518" w:type="dxa"/>
            <w:shd w:val="clear" w:color="auto" w:fill="auto"/>
            <w:vAlign w:val="center"/>
          </w:tcPr>
          <w:p w14:paraId="25A6BD0E" w14:textId="77777777" w:rsidR="00421097" w:rsidRPr="00421097" w:rsidRDefault="00421097" w:rsidP="00421097">
            <w:pPr>
              <w:spacing w:before="100" w:after="100"/>
              <w:jc w:val="center"/>
              <w:rPr>
                <w:sz w:val="20"/>
              </w:rPr>
            </w:pPr>
            <w:r w:rsidRPr="00421097">
              <w:rPr>
                <w:sz w:val="20"/>
              </w:rPr>
              <w:t>$0 per minute</w:t>
            </w:r>
          </w:p>
        </w:tc>
      </w:tr>
      <w:tr w:rsidR="00421097" w:rsidRPr="00421097" w14:paraId="55858909" w14:textId="77777777" w:rsidTr="00421097">
        <w:tc>
          <w:tcPr>
            <w:tcW w:w="4405" w:type="dxa"/>
            <w:shd w:val="clear" w:color="auto" w:fill="auto"/>
          </w:tcPr>
          <w:p w14:paraId="4E54E5F3" w14:textId="77777777" w:rsidR="00421097" w:rsidRPr="00421097" w:rsidRDefault="00421097" w:rsidP="00421097">
            <w:pPr>
              <w:spacing w:before="100" w:after="100"/>
              <w:rPr>
                <w:bCs/>
                <w:sz w:val="20"/>
                <w:lang w:eastAsia="en-AU"/>
              </w:rPr>
            </w:pPr>
            <w:r w:rsidRPr="00421097">
              <w:rPr>
                <w:bCs/>
                <w:sz w:val="20"/>
                <w:lang w:eastAsia="en-AU"/>
              </w:rPr>
              <w:t xml:space="preserve">Directory Assistance 1223 </w:t>
            </w:r>
          </w:p>
        </w:tc>
        <w:tc>
          <w:tcPr>
            <w:tcW w:w="5518" w:type="dxa"/>
            <w:shd w:val="clear" w:color="auto" w:fill="auto"/>
            <w:vAlign w:val="center"/>
          </w:tcPr>
          <w:p w14:paraId="2A067A10" w14:textId="77777777" w:rsidR="00421097" w:rsidRPr="00421097" w:rsidRDefault="00421097" w:rsidP="00421097">
            <w:pPr>
              <w:spacing w:before="100" w:after="100"/>
              <w:jc w:val="center"/>
              <w:rPr>
                <w:sz w:val="20"/>
              </w:rPr>
            </w:pPr>
            <w:r w:rsidRPr="00421097">
              <w:rPr>
                <w:sz w:val="20"/>
              </w:rPr>
              <w:t>50c per call</w:t>
            </w:r>
          </w:p>
        </w:tc>
      </w:tr>
      <w:tr w:rsidR="00421097" w:rsidRPr="00421097" w14:paraId="40F084B2" w14:textId="77777777" w:rsidTr="00421097">
        <w:tc>
          <w:tcPr>
            <w:tcW w:w="4405" w:type="dxa"/>
            <w:shd w:val="clear" w:color="auto" w:fill="auto"/>
          </w:tcPr>
          <w:p w14:paraId="7EE6F435" w14:textId="77777777" w:rsidR="00421097" w:rsidRPr="00421097" w:rsidRDefault="00421097" w:rsidP="00421097">
            <w:pPr>
              <w:spacing w:before="100" w:after="100"/>
              <w:rPr>
                <w:bCs/>
                <w:sz w:val="20"/>
                <w:lang w:eastAsia="en-AU"/>
              </w:rPr>
            </w:pPr>
            <w:r w:rsidRPr="00421097">
              <w:rPr>
                <w:bCs/>
                <w:sz w:val="20"/>
                <w:lang w:eastAsia="en-AU"/>
              </w:rPr>
              <w:t>124 Yes</w:t>
            </w:r>
          </w:p>
        </w:tc>
        <w:tc>
          <w:tcPr>
            <w:tcW w:w="5518" w:type="dxa"/>
            <w:shd w:val="clear" w:color="auto" w:fill="auto"/>
            <w:vAlign w:val="center"/>
          </w:tcPr>
          <w:p w14:paraId="7D33A291" w14:textId="77777777" w:rsidR="00421097" w:rsidRPr="00421097" w:rsidRDefault="00421097" w:rsidP="00421097">
            <w:pPr>
              <w:spacing w:before="100" w:after="100"/>
              <w:jc w:val="center"/>
              <w:rPr>
                <w:sz w:val="20"/>
              </w:rPr>
            </w:pPr>
            <w:r w:rsidRPr="00421097">
              <w:rPr>
                <w:sz w:val="20"/>
              </w:rPr>
              <w:t>90c per minute +$1.75c flagfall</w:t>
            </w:r>
          </w:p>
        </w:tc>
      </w:tr>
      <w:tr w:rsidR="00421097" w:rsidRPr="00421097" w14:paraId="7685AA16" w14:textId="77777777" w:rsidTr="00421097">
        <w:tc>
          <w:tcPr>
            <w:tcW w:w="4405" w:type="dxa"/>
            <w:shd w:val="clear" w:color="auto" w:fill="auto"/>
          </w:tcPr>
          <w:p w14:paraId="661F696B" w14:textId="77777777" w:rsidR="00421097" w:rsidRPr="00421097" w:rsidRDefault="00421097" w:rsidP="00421097">
            <w:pPr>
              <w:spacing w:before="100" w:after="100"/>
              <w:rPr>
                <w:bCs/>
                <w:sz w:val="20"/>
                <w:lang w:eastAsia="en-AU"/>
              </w:rPr>
            </w:pPr>
            <w:r w:rsidRPr="00421097">
              <w:rPr>
                <w:bCs/>
                <w:sz w:val="20"/>
                <w:lang w:eastAsia="en-AU"/>
              </w:rPr>
              <w:t xml:space="preserve">International voice calls (outside the plan's included international minutes and to excluded countries) </w:t>
            </w:r>
          </w:p>
        </w:tc>
        <w:tc>
          <w:tcPr>
            <w:tcW w:w="5518" w:type="dxa"/>
            <w:shd w:val="clear" w:color="auto" w:fill="auto"/>
            <w:vAlign w:val="center"/>
          </w:tcPr>
          <w:p w14:paraId="5E1C1605" w14:textId="77777777" w:rsidR="00421097" w:rsidRPr="00421097" w:rsidRDefault="00421097" w:rsidP="00421097">
            <w:pPr>
              <w:spacing w:before="100" w:after="100"/>
              <w:jc w:val="center"/>
              <w:rPr>
                <w:sz w:val="20"/>
              </w:rPr>
            </w:pPr>
            <w:r w:rsidRPr="00421097">
              <w:rPr>
                <w:sz w:val="20"/>
              </w:rPr>
              <w:t>'yes' international rates</w:t>
            </w:r>
            <w:r w:rsidRPr="00421097">
              <w:rPr>
                <w:sz w:val="20"/>
              </w:rPr>
              <w:br/>
              <w:t>See optus.com.au/international</w:t>
            </w:r>
          </w:p>
        </w:tc>
      </w:tr>
      <w:tr w:rsidR="00421097" w:rsidRPr="00421097" w14:paraId="101183C4" w14:textId="77777777" w:rsidTr="00421097">
        <w:tc>
          <w:tcPr>
            <w:tcW w:w="4405" w:type="dxa"/>
            <w:shd w:val="clear" w:color="auto" w:fill="auto"/>
          </w:tcPr>
          <w:p w14:paraId="00DAF9E5" w14:textId="77777777" w:rsidR="00421097" w:rsidRPr="00421097" w:rsidRDefault="00421097" w:rsidP="00421097">
            <w:pPr>
              <w:spacing w:before="100" w:after="100"/>
              <w:rPr>
                <w:bCs/>
                <w:sz w:val="20"/>
                <w:lang w:eastAsia="en-AU"/>
              </w:rPr>
            </w:pPr>
            <w:r w:rsidRPr="00421097">
              <w:rPr>
                <w:bCs/>
                <w:sz w:val="20"/>
                <w:lang w:eastAsia="en-AU"/>
              </w:rPr>
              <w:t xml:space="preserve">International SMS (to excluded countries) </w:t>
            </w:r>
          </w:p>
        </w:tc>
        <w:tc>
          <w:tcPr>
            <w:tcW w:w="5518" w:type="dxa"/>
            <w:shd w:val="clear" w:color="auto" w:fill="auto"/>
            <w:vAlign w:val="center"/>
          </w:tcPr>
          <w:p w14:paraId="6BB168E2" w14:textId="77777777" w:rsidR="00421097" w:rsidRPr="00421097" w:rsidRDefault="00421097" w:rsidP="00421097">
            <w:pPr>
              <w:spacing w:before="100" w:after="100"/>
              <w:jc w:val="center"/>
              <w:rPr>
                <w:sz w:val="20"/>
              </w:rPr>
            </w:pPr>
            <w:r w:rsidRPr="00421097">
              <w:rPr>
                <w:sz w:val="20"/>
              </w:rPr>
              <w:t>50c per SMS up to 160 standard characters</w:t>
            </w:r>
          </w:p>
        </w:tc>
      </w:tr>
      <w:tr w:rsidR="00421097" w:rsidRPr="00421097" w14:paraId="10ABB0D0" w14:textId="77777777" w:rsidTr="00421097">
        <w:tc>
          <w:tcPr>
            <w:tcW w:w="4405" w:type="dxa"/>
            <w:shd w:val="clear" w:color="auto" w:fill="auto"/>
          </w:tcPr>
          <w:p w14:paraId="0AF8B72B" w14:textId="77777777" w:rsidR="00421097" w:rsidRPr="00421097" w:rsidRDefault="00421097" w:rsidP="00421097">
            <w:pPr>
              <w:spacing w:before="100" w:after="100"/>
              <w:rPr>
                <w:bCs/>
                <w:sz w:val="20"/>
                <w:lang w:eastAsia="en-AU"/>
              </w:rPr>
            </w:pPr>
            <w:r w:rsidRPr="00421097">
              <w:rPr>
                <w:bCs/>
                <w:sz w:val="20"/>
                <w:lang w:eastAsia="en-AU"/>
              </w:rPr>
              <w:lastRenderedPageBreak/>
              <w:t>International MMS (to excluded countries)</w:t>
            </w:r>
          </w:p>
        </w:tc>
        <w:tc>
          <w:tcPr>
            <w:tcW w:w="5518" w:type="dxa"/>
            <w:shd w:val="clear" w:color="auto" w:fill="auto"/>
            <w:vAlign w:val="center"/>
          </w:tcPr>
          <w:p w14:paraId="0297B29C" w14:textId="77777777" w:rsidR="00421097" w:rsidRPr="00421097" w:rsidRDefault="00421097" w:rsidP="00421097">
            <w:pPr>
              <w:spacing w:before="100" w:after="100"/>
              <w:jc w:val="center"/>
              <w:rPr>
                <w:sz w:val="20"/>
              </w:rPr>
            </w:pPr>
            <w:r w:rsidRPr="00421097">
              <w:rPr>
                <w:sz w:val="20"/>
              </w:rPr>
              <w:t>75c per MMS</w:t>
            </w:r>
          </w:p>
        </w:tc>
      </w:tr>
      <w:tr w:rsidR="00421097" w:rsidRPr="00421097" w14:paraId="0FCA568D" w14:textId="77777777" w:rsidTr="00421097">
        <w:tc>
          <w:tcPr>
            <w:tcW w:w="4405" w:type="dxa"/>
            <w:shd w:val="clear" w:color="auto" w:fill="auto"/>
          </w:tcPr>
          <w:p w14:paraId="25AAE080" w14:textId="77777777" w:rsidR="00421097" w:rsidRPr="00421097" w:rsidRDefault="00421097" w:rsidP="00421097">
            <w:pPr>
              <w:spacing w:before="100" w:after="100"/>
              <w:rPr>
                <w:bCs/>
                <w:sz w:val="20"/>
                <w:lang w:eastAsia="en-AU"/>
              </w:rPr>
            </w:pPr>
            <w:r w:rsidRPr="00421097">
              <w:rPr>
                <w:bCs/>
                <w:sz w:val="20"/>
                <w:lang w:eastAsia="en-AU"/>
              </w:rPr>
              <w:t xml:space="preserve">International video calling </w:t>
            </w:r>
          </w:p>
        </w:tc>
        <w:tc>
          <w:tcPr>
            <w:tcW w:w="5518" w:type="dxa"/>
            <w:shd w:val="clear" w:color="auto" w:fill="auto"/>
            <w:vAlign w:val="center"/>
          </w:tcPr>
          <w:p w14:paraId="27735D2D" w14:textId="77777777" w:rsidR="00421097" w:rsidRPr="00421097" w:rsidRDefault="00421097" w:rsidP="00421097">
            <w:pPr>
              <w:spacing w:before="100" w:after="100"/>
              <w:jc w:val="center"/>
              <w:rPr>
                <w:sz w:val="20"/>
              </w:rPr>
            </w:pPr>
            <w:r w:rsidRPr="00421097">
              <w:rPr>
                <w:sz w:val="20"/>
              </w:rPr>
              <w:t>$1.50 per minute +35c flagfall</w:t>
            </w:r>
          </w:p>
        </w:tc>
      </w:tr>
      <w:tr w:rsidR="00421097" w:rsidRPr="00421097" w14:paraId="474A24BF" w14:textId="77777777" w:rsidTr="00421097">
        <w:tc>
          <w:tcPr>
            <w:tcW w:w="4405" w:type="dxa"/>
            <w:shd w:val="clear" w:color="auto" w:fill="auto"/>
          </w:tcPr>
          <w:p w14:paraId="60671279" w14:textId="77777777" w:rsidR="00421097" w:rsidRPr="00421097" w:rsidRDefault="00421097" w:rsidP="00421097">
            <w:pPr>
              <w:spacing w:before="100" w:after="100"/>
              <w:rPr>
                <w:bCs/>
                <w:sz w:val="20"/>
                <w:lang w:eastAsia="en-AU"/>
              </w:rPr>
            </w:pPr>
            <w:r w:rsidRPr="00421097">
              <w:rPr>
                <w:bCs/>
                <w:sz w:val="20"/>
                <w:lang w:eastAsia="en-AU"/>
              </w:rPr>
              <w:t xml:space="preserve">International roaming </w:t>
            </w:r>
          </w:p>
        </w:tc>
        <w:tc>
          <w:tcPr>
            <w:tcW w:w="5518" w:type="dxa"/>
            <w:shd w:val="clear" w:color="auto" w:fill="auto"/>
            <w:vAlign w:val="center"/>
          </w:tcPr>
          <w:p w14:paraId="6D3C8F16" w14:textId="77777777" w:rsidR="00421097" w:rsidRPr="00421097" w:rsidRDefault="00421097" w:rsidP="00421097">
            <w:pPr>
              <w:spacing w:before="100" w:after="100"/>
              <w:jc w:val="center"/>
              <w:rPr>
                <w:sz w:val="20"/>
              </w:rPr>
            </w:pPr>
            <w:r w:rsidRPr="00421097">
              <w:rPr>
                <w:sz w:val="20"/>
              </w:rPr>
              <w:t>See optus.com.au/roaming</w:t>
            </w:r>
          </w:p>
        </w:tc>
      </w:tr>
    </w:tbl>
    <w:p w14:paraId="027080A4" w14:textId="77777777" w:rsidR="00421097" w:rsidRPr="00421097" w:rsidRDefault="00421097" w:rsidP="00421097">
      <w:pPr>
        <w:spacing w:after="200"/>
        <w:rPr>
          <w:b/>
          <w:sz w:val="20"/>
        </w:rPr>
      </w:pPr>
    </w:p>
    <w:p w14:paraId="3103D178" w14:textId="77777777" w:rsidR="00421097" w:rsidRPr="00421097" w:rsidRDefault="00421097" w:rsidP="00421097">
      <w:pPr>
        <w:spacing w:after="200"/>
        <w:rPr>
          <w:b/>
          <w:sz w:val="20"/>
        </w:rPr>
      </w:pPr>
      <w:r w:rsidRPr="00421097">
        <w:rPr>
          <w:b/>
          <w:sz w:val="20"/>
        </w:rPr>
        <w:t>Table 3 – International Countries</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5"/>
        <w:gridCol w:w="2205"/>
        <w:gridCol w:w="2205"/>
        <w:gridCol w:w="2205"/>
      </w:tblGrid>
      <w:tr w:rsidR="00421097" w:rsidRPr="00421097" w14:paraId="0FDE711B" w14:textId="77777777" w:rsidTr="00421097">
        <w:tc>
          <w:tcPr>
            <w:tcW w:w="2205" w:type="dxa"/>
            <w:shd w:val="clear" w:color="auto" w:fill="auto"/>
          </w:tcPr>
          <w:p w14:paraId="7A87C3C8" w14:textId="77777777" w:rsidR="00421097" w:rsidRPr="00421097" w:rsidRDefault="00421097" w:rsidP="00421097">
            <w:pPr>
              <w:spacing w:before="100" w:after="100"/>
              <w:rPr>
                <w:b/>
                <w:sz w:val="20"/>
              </w:rPr>
            </w:pPr>
            <w:r w:rsidRPr="00421097">
              <w:rPr>
                <w:rFonts w:eastAsia="Calibri"/>
                <w:sz w:val="20"/>
              </w:rPr>
              <w:t>China</w:t>
            </w:r>
          </w:p>
        </w:tc>
        <w:tc>
          <w:tcPr>
            <w:tcW w:w="2205" w:type="dxa"/>
            <w:shd w:val="clear" w:color="auto" w:fill="auto"/>
          </w:tcPr>
          <w:p w14:paraId="456EC2AC" w14:textId="77777777" w:rsidR="00421097" w:rsidRPr="00421097" w:rsidRDefault="00421097" w:rsidP="00421097">
            <w:pPr>
              <w:spacing w:before="100" w:after="100"/>
              <w:rPr>
                <w:b/>
                <w:sz w:val="20"/>
              </w:rPr>
            </w:pPr>
            <w:r w:rsidRPr="00421097">
              <w:rPr>
                <w:rFonts w:eastAsia="Calibri"/>
                <w:sz w:val="20"/>
              </w:rPr>
              <w:t>Indonesia</w:t>
            </w:r>
          </w:p>
        </w:tc>
        <w:tc>
          <w:tcPr>
            <w:tcW w:w="2205" w:type="dxa"/>
            <w:shd w:val="clear" w:color="auto" w:fill="auto"/>
          </w:tcPr>
          <w:p w14:paraId="452F136E" w14:textId="77777777" w:rsidR="00421097" w:rsidRPr="00421097" w:rsidRDefault="00421097" w:rsidP="00421097">
            <w:pPr>
              <w:spacing w:before="100" w:after="100"/>
              <w:rPr>
                <w:b/>
                <w:sz w:val="20"/>
              </w:rPr>
            </w:pPr>
            <w:r w:rsidRPr="00421097">
              <w:rPr>
                <w:rFonts w:eastAsia="Calibri"/>
                <w:sz w:val="20"/>
              </w:rPr>
              <w:t>India</w:t>
            </w:r>
          </w:p>
        </w:tc>
        <w:tc>
          <w:tcPr>
            <w:tcW w:w="2205" w:type="dxa"/>
            <w:shd w:val="clear" w:color="auto" w:fill="auto"/>
          </w:tcPr>
          <w:p w14:paraId="3A093FB9" w14:textId="77777777" w:rsidR="00421097" w:rsidRPr="00421097" w:rsidRDefault="00421097" w:rsidP="00421097">
            <w:pPr>
              <w:spacing w:before="100" w:after="100"/>
              <w:rPr>
                <w:b/>
                <w:sz w:val="20"/>
              </w:rPr>
            </w:pPr>
            <w:r w:rsidRPr="00421097">
              <w:rPr>
                <w:rFonts w:eastAsia="Calibri"/>
                <w:sz w:val="20"/>
              </w:rPr>
              <w:t>Malaysia</w:t>
            </w:r>
          </w:p>
        </w:tc>
      </w:tr>
      <w:tr w:rsidR="00421097" w:rsidRPr="00421097" w14:paraId="0ACACE5E" w14:textId="77777777" w:rsidTr="00421097">
        <w:tc>
          <w:tcPr>
            <w:tcW w:w="2205" w:type="dxa"/>
            <w:shd w:val="clear" w:color="auto" w:fill="auto"/>
            <w:vAlign w:val="center"/>
          </w:tcPr>
          <w:p w14:paraId="63A5C491" w14:textId="77777777" w:rsidR="00421097" w:rsidRPr="00421097" w:rsidRDefault="00421097" w:rsidP="00421097">
            <w:pPr>
              <w:spacing w:before="100" w:after="100"/>
              <w:rPr>
                <w:b/>
                <w:sz w:val="20"/>
              </w:rPr>
            </w:pPr>
            <w:r w:rsidRPr="00421097">
              <w:rPr>
                <w:rFonts w:eastAsia="Calibri"/>
                <w:sz w:val="20"/>
              </w:rPr>
              <w:t>New Zealand</w:t>
            </w:r>
          </w:p>
        </w:tc>
        <w:tc>
          <w:tcPr>
            <w:tcW w:w="2205" w:type="dxa"/>
            <w:shd w:val="clear" w:color="auto" w:fill="auto"/>
            <w:vAlign w:val="center"/>
          </w:tcPr>
          <w:p w14:paraId="6972CB82" w14:textId="77777777" w:rsidR="00421097" w:rsidRPr="00421097" w:rsidRDefault="00421097" w:rsidP="00421097">
            <w:pPr>
              <w:spacing w:before="100" w:after="100"/>
              <w:rPr>
                <w:b/>
                <w:sz w:val="20"/>
              </w:rPr>
            </w:pPr>
            <w:r w:rsidRPr="00421097">
              <w:rPr>
                <w:rFonts w:eastAsia="Calibri"/>
                <w:sz w:val="20"/>
              </w:rPr>
              <w:t>Singapore</w:t>
            </w:r>
          </w:p>
        </w:tc>
        <w:tc>
          <w:tcPr>
            <w:tcW w:w="2205" w:type="dxa"/>
            <w:shd w:val="clear" w:color="auto" w:fill="auto"/>
            <w:vAlign w:val="center"/>
          </w:tcPr>
          <w:p w14:paraId="73F63C73" w14:textId="77777777" w:rsidR="00421097" w:rsidRPr="00421097" w:rsidRDefault="00421097" w:rsidP="00421097">
            <w:pPr>
              <w:rPr>
                <w:rFonts w:eastAsia="Calibri"/>
                <w:b/>
                <w:sz w:val="20"/>
                <w:szCs w:val="20"/>
              </w:rPr>
            </w:pPr>
            <w:r w:rsidRPr="00421097">
              <w:rPr>
                <w:rFonts w:eastAsia="Calibri"/>
                <w:sz w:val="20"/>
                <w:szCs w:val="20"/>
              </w:rPr>
              <w:t>South Africa</w:t>
            </w:r>
          </w:p>
        </w:tc>
        <w:tc>
          <w:tcPr>
            <w:tcW w:w="2205" w:type="dxa"/>
            <w:shd w:val="clear" w:color="auto" w:fill="auto"/>
            <w:vAlign w:val="center"/>
          </w:tcPr>
          <w:p w14:paraId="4879FC24" w14:textId="77777777" w:rsidR="00421097" w:rsidRPr="00421097" w:rsidRDefault="00421097" w:rsidP="00421097">
            <w:pPr>
              <w:spacing w:before="100" w:after="100"/>
              <w:rPr>
                <w:b/>
                <w:sz w:val="20"/>
              </w:rPr>
            </w:pPr>
            <w:r w:rsidRPr="00421097">
              <w:rPr>
                <w:rFonts w:eastAsia="Calibri"/>
                <w:sz w:val="20"/>
              </w:rPr>
              <w:t>UK</w:t>
            </w:r>
          </w:p>
        </w:tc>
      </w:tr>
      <w:tr w:rsidR="00421097" w:rsidRPr="00421097" w14:paraId="61386A42" w14:textId="77777777" w:rsidTr="00421097">
        <w:tc>
          <w:tcPr>
            <w:tcW w:w="2205" w:type="dxa"/>
            <w:shd w:val="clear" w:color="auto" w:fill="auto"/>
          </w:tcPr>
          <w:p w14:paraId="215BA519" w14:textId="77777777" w:rsidR="00421097" w:rsidRPr="00421097" w:rsidRDefault="00421097" w:rsidP="00421097">
            <w:pPr>
              <w:spacing w:before="100" w:after="100"/>
              <w:rPr>
                <w:b/>
                <w:sz w:val="20"/>
              </w:rPr>
            </w:pPr>
            <w:r w:rsidRPr="00421097">
              <w:rPr>
                <w:rFonts w:eastAsia="Calibri"/>
                <w:sz w:val="20"/>
              </w:rPr>
              <w:t xml:space="preserve">USA </w:t>
            </w:r>
          </w:p>
        </w:tc>
        <w:tc>
          <w:tcPr>
            <w:tcW w:w="2205" w:type="dxa"/>
            <w:shd w:val="clear" w:color="auto" w:fill="auto"/>
          </w:tcPr>
          <w:p w14:paraId="53D9655B" w14:textId="77777777" w:rsidR="00421097" w:rsidRPr="00421097" w:rsidRDefault="00421097" w:rsidP="00421097">
            <w:pPr>
              <w:spacing w:before="100" w:after="100"/>
              <w:rPr>
                <w:b/>
                <w:sz w:val="20"/>
              </w:rPr>
            </w:pPr>
            <w:r w:rsidRPr="00421097">
              <w:rPr>
                <w:rFonts w:eastAsia="Calibri"/>
                <w:sz w:val="20"/>
              </w:rPr>
              <w:t>Vietnam</w:t>
            </w:r>
          </w:p>
        </w:tc>
        <w:tc>
          <w:tcPr>
            <w:tcW w:w="2205" w:type="dxa"/>
            <w:shd w:val="clear" w:color="auto" w:fill="auto"/>
          </w:tcPr>
          <w:p w14:paraId="56123384" w14:textId="77777777" w:rsidR="00421097" w:rsidRPr="00421097" w:rsidRDefault="00421097" w:rsidP="00421097">
            <w:pPr>
              <w:spacing w:before="100" w:after="100"/>
              <w:rPr>
                <w:b/>
                <w:sz w:val="20"/>
              </w:rPr>
            </w:pPr>
            <w:r w:rsidRPr="00421097">
              <w:rPr>
                <w:sz w:val="20"/>
              </w:rPr>
              <w:t>Canada</w:t>
            </w:r>
          </w:p>
        </w:tc>
        <w:tc>
          <w:tcPr>
            <w:tcW w:w="2205" w:type="dxa"/>
            <w:shd w:val="clear" w:color="auto" w:fill="auto"/>
          </w:tcPr>
          <w:p w14:paraId="134F3888" w14:textId="77777777" w:rsidR="00421097" w:rsidRPr="00421097" w:rsidRDefault="00421097" w:rsidP="00421097">
            <w:pPr>
              <w:spacing w:before="100" w:after="100"/>
              <w:rPr>
                <w:b/>
                <w:sz w:val="20"/>
              </w:rPr>
            </w:pPr>
            <w:r w:rsidRPr="00421097">
              <w:rPr>
                <w:sz w:val="20"/>
              </w:rPr>
              <w:t>Hong Kong</w:t>
            </w:r>
          </w:p>
        </w:tc>
      </w:tr>
      <w:tr w:rsidR="00421097" w:rsidRPr="00421097" w14:paraId="4C2F9481" w14:textId="77777777" w:rsidTr="00421097">
        <w:tc>
          <w:tcPr>
            <w:tcW w:w="2205" w:type="dxa"/>
            <w:shd w:val="clear" w:color="auto" w:fill="auto"/>
          </w:tcPr>
          <w:p w14:paraId="4C51504D" w14:textId="77777777" w:rsidR="00421097" w:rsidRPr="00421097" w:rsidRDefault="00421097" w:rsidP="00421097">
            <w:pPr>
              <w:spacing w:before="100" w:after="100"/>
              <w:rPr>
                <w:rFonts w:eastAsia="Calibri"/>
                <w:sz w:val="20"/>
              </w:rPr>
            </w:pPr>
            <w:r w:rsidRPr="00421097">
              <w:rPr>
                <w:rFonts w:eastAsia="Calibri"/>
                <w:sz w:val="20"/>
              </w:rPr>
              <w:t>South Korea</w:t>
            </w:r>
          </w:p>
        </w:tc>
        <w:tc>
          <w:tcPr>
            <w:tcW w:w="2205" w:type="dxa"/>
            <w:shd w:val="clear" w:color="auto" w:fill="auto"/>
          </w:tcPr>
          <w:p w14:paraId="66826A25" w14:textId="77777777" w:rsidR="00421097" w:rsidRPr="00421097" w:rsidRDefault="00421097" w:rsidP="00421097">
            <w:pPr>
              <w:spacing w:before="100" w:after="100"/>
              <w:rPr>
                <w:rFonts w:eastAsia="Calibri"/>
                <w:sz w:val="20"/>
              </w:rPr>
            </w:pPr>
            <w:r w:rsidRPr="00421097">
              <w:rPr>
                <w:rFonts w:eastAsia="Calibri"/>
                <w:sz w:val="20"/>
              </w:rPr>
              <w:t xml:space="preserve">Thailand </w:t>
            </w:r>
          </w:p>
        </w:tc>
        <w:tc>
          <w:tcPr>
            <w:tcW w:w="2205" w:type="dxa"/>
            <w:shd w:val="clear" w:color="auto" w:fill="auto"/>
          </w:tcPr>
          <w:p w14:paraId="342EF4EB" w14:textId="77777777" w:rsidR="00421097" w:rsidRPr="00421097" w:rsidRDefault="00421097" w:rsidP="00421097">
            <w:pPr>
              <w:spacing w:before="100" w:after="100"/>
              <w:rPr>
                <w:sz w:val="20"/>
              </w:rPr>
            </w:pPr>
          </w:p>
        </w:tc>
        <w:tc>
          <w:tcPr>
            <w:tcW w:w="2205" w:type="dxa"/>
            <w:shd w:val="clear" w:color="auto" w:fill="auto"/>
          </w:tcPr>
          <w:p w14:paraId="0876AF4B" w14:textId="77777777" w:rsidR="00421097" w:rsidRPr="00421097" w:rsidRDefault="00421097" w:rsidP="00421097">
            <w:pPr>
              <w:spacing w:before="100" w:after="100"/>
              <w:rPr>
                <w:sz w:val="20"/>
              </w:rPr>
            </w:pPr>
          </w:p>
        </w:tc>
      </w:tr>
    </w:tbl>
    <w:p w14:paraId="586104E9" w14:textId="77777777" w:rsidR="00421097" w:rsidRPr="00421097" w:rsidRDefault="00421097" w:rsidP="00421097">
      <w:pPr>
        <w:spacing w:after="200"/>
        <w:rPr>
          <w:sz w:val="20"/>
        </w:rPr>
      </w:pPr>
    </w:p>
    <w:p w14:paraId="1D0635A4" w14:textId="77777777" w:rsidR="00421097" w:rsidRPr="00421097" w:rsidRDefault="00421097" w:rsidP="00421097">
      <w:pPr>
        <w:numPr>
          <w:ilvl w:val="5"/>
          <w:numId w:val="1"/>
        </w:numPr>
        <w:spacing w:before="240" w:after="200"/>
        <w:outlineLvl w:val="5"/>
        <w:rPr>
          <w:rFonts w:eastAsia="Times New Roman"/>
          <w:sz w:val="20"/>
          <w:szCs w:val="22"/>
          <w:lang w:val="en-AU"/>
        </w:rPr>
      </w:pPr>
      <w:bookmarkStart w:id="1500" w:name="_Toc465162159"/>
      <w:bookmarkStart w:id="1501" w:name="_Toc466892524"/>
      <w:bookmarkStart w:id="1502" w:name="_Toc475699598"/>
      <w:r w:rsidRPr="00421097">
        <w:rPr>
          <w:rFonts w:eastAsia="Times New Roman"/>
          <w:sz w:val="20"/>
          <w:szCs w:val="22"/>
          <w:lang w:val="en-AU"/>
        </w:rPr>
        <w:t>My Account</w:t>
      </w:r>
      <w:bookmarkEnd w:id="1500"/>
      <w:bookmarkEnd w:id="1501"/>
      <w:bookmarkEnd w:id="1502"/>
    </w:p>
    <w:p w14:paraId="124483A3" w14:textId="77777777" w:rsidR="00421097" w:rsidRPr="00421097" w:rsidRDefault="00421097" w:rsidP="00421097">
      <w:pPr>
        <w:spacing w:after="200"/>
        <w:ind w:left="720"/>
        <w:rPr>
          <w:sz w:val="20"/>
          <w:lang w:val="en-AU"/>
        </w:rPr>
      </w:pPr>
      <w:r w:rsidRPr="00421097">
        <w:rPr>
          <w:sz w:val="20"/>
          <w:lang w:val="en-AU"/>
        </w:rPr>
        <w:t xml:space="preserve">Services that share data may have a service login to My Account which will display all of the service numbers contributing to or using the shared data pool on </w:t>
      </w:r>
      <w:r w:rsidRPr="00421097">
        <w:rPr>
          <w:i/>
          <w:sz w:val="20"/>
          <w:lang w:val="en-AU"/>
        </w:rPr>
        <w:t xml:space="preserve">your </w:t>
      </w:r>
      <w:r w:rsidRPr="00421097">
        <w:rPr>
          <w:sz w:val="20"/>
          <w:lang w:val="en-AU"/>
        </w:rPr>
        <w:t xml:space="preserve">account and the amount of data each service has used. If </w:t>
      </w:r>
      <w:r w:rsidRPr="00421097">
        <w:rPr>
          <w:i/>
          <w:sz w:val="20"/>
          <w:lang w:val="en-AU"/>
        </w:rPr>
        <w:t>you</w:t>
      </w:r>
      <w:r w:rsidRPr="00421097">
        <w:rPr>
          <w:sz w:val="20"/>
          <w:lang w:val="en-AU"/>
        </w:rPr>
        <w:t xml:space="preserve"> have more than 6 services on </w:t>
      </w:r>
      <w:r w:rsidRPr="00421097">
        <w:rPr>
          <w:i/>
          <w:sz w:val="20"/>
          <w:lang w:val="en-AU"/>
        </w:rPr>
        <w:t>your</w:t>
      </w:r>
      <w:r w:rsidRPr="00421097">
        <w:rPr>
          <w:sz w:val="20"/>
          <w:lang w:val="en-AU"/>
        </w:rPr>
        <w:t xml:space="preserve"> account, My Account may not be suitable for viewing usage and managing </w:t>
      </w:r>
      <w:r w:rsidRPr="00421097">
        <w:rPr>
          <w:i/>
          <w:sz w:val="20"/>
          <w:lang w:val="en-AU"/>
        </w:rPr>
        <w:t xml:space="preserve">your </w:t>
      </w:r>
      <w:r w:rsidRPr="00421097">
        <w:rPr>
          <w:sz w:val="20"/>
          <w:lang w:val="en-AU"/>
        </w:rPr>
        <w:t>usage alerts.</w:t>
      </w:r>
    </w:p>
    <w:p w14:paraId="697ABA63" w14:textId="77777777" w:rsidR="00421097" w:rsidRPr="00421097" w:rsidRDefault="00421097" w:rsidP="00421097">
      <w:pPr>
        <w:numPr>
          <w:ilvl w:val="5"/>
          <w:numId w:val="1"/>
        </w:numPr>
        <w:spacing w:before="240" w:after="200"/>
        <w:outlineLvl w:val="5"/>
        <w:rPr>
          <w:rFonts w:eastAsia="Times New Roman"/>
          <w:sz w:val="20"/>
          <w:szCs w:val="22"/>
          <w:lang w:val="en-AU"/>
        </w:rPr>
      </w:pPr>
      <w:bookmarkStart w:id="1503" w:name="_Toc465162160"/>
      <w:bookmarkStart w:id="1504" w:name="_Toc466892525"/>
      <w:bookmarkStart w:id="1505" w:name="_Toc475699599"/>
      <w:r w:rsidRPr="00421097">
        <w:rPr>
          <w:rFonts w:eastAsia="Times New Roman"/>
          <w:sz w:val="20"/>
          <w:szCs w:val="22"/>
          <w:lang w:val="en-AU"/>
        </w:rPr>
        <w:t xml:space="preserve">What happens if the </w:t>
      </w:r>
      <w:r w:rsidRPr="00421097">
        <w:rPr>
          <w:rFonts w:eastAsia="Times New Roman"/>
          <w:i/>
          <w:sz w:val="20"/>
          <w:szCs w:val="22"/>
          <w:lang w:val="en-AU"/>
        </w:rPr>
        <w:t xml:space="preserve">service </w:t>
      </w:r>
      <w:r w:rsidRPr="00421097">
        <w:rPr>
          <w:rFonts w:eastAsia="Times New Roman"/>
          <w:sz w:val="20"/>
          <w:szCs w:val="22"/>
          <w:lang w:val="en-AU"/>
        </w:rPr>
        <w:t>is</w:t>
      </w:r>
      <w:r w:rsidRPr="00421097">
        <w:rPr>
          <w:rFonts w:eastAsia="Times New Roman"/>
          <w:i/>
          <w:sz w:val="20"/>
          <w:szCs w:val="22"/>
          <w:lang w:val="en-AU"/>
        </w:rPr>
        <w:t xml:space="preserve"> cancelled </w:t>
      </w:r>
      <w:r w:rsidRPr="00421097">
        <w:rPr>
          <w:rFonts w:eastAsia="Times New Roman"/>
          <w:sz w:val="20"/>
          <w:szCs w:val="22"/>
          <w:lang w:val="en-AU"/>
        </w:rPr>
        <w:t>early?</w:t>
      </w:r>
      <w:bookmarkEnd w:id="1503"/>
      <w:bookmarkEnd w:id="1504"/>
      <w:bookmarkEnd w:id="1505"/>
    </w:p>
    <w:p w14:paraId="244D4E52" w14:textId="77777777" w:rsidR="00421097" w:rsidRPr="00421097" w:rsidRDefault="00421097" w:rsidP="00421097">
      <w:pPr>
        <w:numPr>
          <w:ilvl w:val="6"/>
          <w:numId w:val="1"/>
        </w:numPr>
        <w:spacing w:after="200"/>
        <w:outlineLvl w:val="6"/>
        <w:rPr>
          <w:rFonts w:eastAsia="Times New Roman"/>
          <w:sz w:val="20"/>
          <w:lang w:val="en-AU"/>
        </w:rPr>
      </w:pPr>
      <w:r w:rsidRPr="00421097">
        <w:rPr>
          <w:rFonts w:eastAsia="Times New Roman"/>
          <w:sz w:val="20"/>
          <w:lang w:val="en-AU"/>
        </w:rPr>
        <w:t>If the</w:t>
      </w:r>
      <w:r w:rsidRPr="00421097">
        <w:rPr>
          <w:rFonts w:eastAsia="Times New Roman"/>
          <w:i/>
          <w:sz w:val="20"/>
          <w:lang w:val="en-AU"/>
        </w:rPr>
        <w:t xml:space="preserve"> service</w:t>
      </w:r>
      <w:r w:rsidRPr="00421097">
        <w:rPr>
          <w:rFonts w:eastAsia="Times New Roman"/>
          <w:sz w:val="20"/>
          <w:lang w:val="en-AU"/>
        </w:rPr>
        <w:t xml:space="preserve"> is</w:t>
      </w:r>
      <w:r w:rsidRPr="00421097">
        <w:rPr>
          <w:rFonts w:eastAsia="Times New Roman"/>
          <w:i/>
          <w:sz w:val="20"/>
          <w:lang w:val="en-AU"/>
        </w:rPr>
        <w:t xml:space="preserve"> cancelled </w:t>
      </w:r>
      <w:r w:rsidRPr="00421097">
        <w:rPr>
          <w:rFonts w:eastAsia="Times New Roman"/>
          <w:sz w:val="20"/>
          <w:lang w:val="en-AU"/>
        </w:rPr>
        <w:t xml:space="preserve">before the end of </w:t>
      </w:r>
      <w:r w:rsidRPr="00421097">
        <w:rPr>
          <w:rFonts w:eastAsia="Times New Roman"/>
          <w:i/>
          <w:sz w:val="20"/>
          <w:lang w:val="en-AU"/>
        </w:rPr>
        <w:t xml:space="preserve">your minimum term, you </w:t>
      </w:r>
      <w:r w:rsidRPr="00421097">
        <w:rPr>
          <w:rFonts w:eastAsia="Times New Roman"/>
          <w:sz w:val="20"/>
          <w:lang w:val="en-AU"/>
        </w:rPr>
        <w:t xml:space="preserve">will be required to pay </w:t>
      </w:r>
      <w:r w:rsidRPr="00421097">
        <w:rPr>
          <w:rFonts w:eastAsia="Times New Roman"/>
          <w:i/>
          <w:sz w:val="20"/>
          <w:lang w:val="en-AU"/>
        </w:rPr>
        <w:t>us</w:t>
      </w:r>
      <w:r w:rsidRPr="00421097">
        <w:rPr>
          <w:rFonts w:eastAsia="Times New Roman"/>
          <w:sz w:val="20"/>
          <w:lang w:val="en-AU"/>
        </w:rPr>
        <w:t>:</w:t>
      </w:r>
    </w:p>
    <w:p w14:paraId="44C257E9" w14:textId="77777777" w:rsidR="00421097" w:rsidRPr="00421097" w:rsidRDefault="00421097" w:rsidP="00421097">
      <w:pPr>
        <w:numPr>
          <w:ilvl w:val="7"/>
          <w:numId w:val="1"/>
        </w:numPr>
        <w:spacing w:after="200"/>
        <w:outlineLvl w:val="7"/>
        <w:rPr>
          <w:rFonts w:eastAsia="Times New Roman"/>
          <w:iCs/>
          <w:sz w:val="20"/>
          <w:lang w:val="en-AU"/>
        </w:rPr>
      </w:pPr>
      <w:r w:rsidRPr="00421097">
        <w:rPr>
          <w:rFonts w:eastAsia="Times New Roman"/>
          <w:iCs/>
          <w:sz w:val="20"/>
          <w:lang w:val="en-AU"/>
        </w:rPr>
        <w:t xml:space="preserve">any usage charges incurred up to, and including, the </w:t>
      </w:r>
      <w:r w:rsidRPr="00421097">
        <w:rPr>
          <w:rFonts w:eastAsia="Times New Roman"/>
          <w:i/>
          <w:iCs/>
          <w:sz w:val="20"/>
          <w:lang w:val="en-AU"/>
        </w:rPr>
        <w:t xml:space="preserve">cancellation date; </w:t>
      </w:r>
      <w:r w:rsidRPr="00421097">
        <w:rPr>
          <w:rFonts w:eastAsia="Times New Roman"/>
          <w:iCs/>
          <w:sz w:val="20"/>
          <w:lang w:val="en-AU"/>
        </w:rPr>
        <w:t>plus</w:t>
      </w:r>
    </w:p>
    <w:p w14:paraId="6EB3615B" w14:textId="77777777" w:rsidR="00421097" w:rsidRPr="00421097" w:rsidRDefault="00421097" w:rsidP="00421097">
      <w:pPr>
        <w:numPr>
          <w:ilvl w:val="7"/>
          <w:numId w:val="1"/>
        </w:numPr>
        <w:spacing w:after="200"/>
        <w:outlineLvl w:val="7"/>
        <w:rPr>
          <w:rFonts w:eastAsia="Times New Roman"/>
          <w:iCs/>
          <w:sz w:val="20"/>
          <w:lang w:val="en-AU"/>
        </w:rPr>
      </w:pPr>
      <w:r w:rsidRPr="00421097">
        <w:rPr>
          <w:rFonts w:eastAsia="Times New Roman"/>
          <w:iCs/>
          <w:sz w:val="20"/>
          <w:lang w:val="en-AU"/>
        </w:rPr>
        <w:t xml:space="preserve">the </w:t>
      </w:r>
      <w:r w:rsidRPr="00421097">
        <w:rPr>
          <w:rFonts w:eastAsia="Times New Roman"/>
          <w:i/>
          <w:iCs/>
          <w:sz w:val="20"/>
          <w:lang w:val="en-AU"/>
        </w:rPr>
        <w:t>cancellation fees</w:t>
      </w:r>
      <w:r w:rsidRPr="00421097">
        <w:rPr>
          <w:rFonts w:eastAsia="Times New Roman"/>
          <w:iCs/>
          <w:sz w:val="20"/>
          <w:lang w:val="en-AU"/>
        </w:rPr>
        <w:t xml:space="preserve"> set out in paragraph (b) below (unless under clause 2A of the </w:t>
      </w:r>
      <w:r w:rsidRPr="00421097">
        <w:rPr>
          <w:rFonts w:eastAsia="Times New Roman"/>
          <w:i/>
          <w:iCs/>
          <w:sz w:val="20"/>
          <w:lang w:val="en-AU"/>
        </w:rPr>
        <w:t>SMB terms</w:t>
      </w:r>
      <w:r w:rsidRPr="00421097">
        <w:rPr>
          <w:rFonts w:eastAsia="Times New Roman"/>
          <w:iCs/>
          <w:sz w:val="20"/>
          <w:lang w:val="en-AU"/>
        </w:rPr>
        <w:t xml:space="preserve">, </w:t>
      </w:r>
      <w:r w:rsidRPr="00421097">
        <w:rPr>
          <w:rFonts w:eastAsia="Times New Roman"/>
          <w:i/>
          <w:iCs/>
          <w:sz w:val="20"/>
          <w:lang w:val="en-AU"/>
        </w:rPr>
        <w:t>you</w:t>
      </w:r>
      <w:r w:rsidRPr="00421097">
        <w:rPr>
          <w:rFonts w:eastAsia="Times New Roman"/>
          <w:iCs/>
          <w:sz w:val="20"/>
          <w:lang w:val="en-AU"/>
        </w:rPr>
        <w:t xml:space="preserve"> are entitled to </w:t>
      </w:r>
      <w:r w:rsidRPr="00421097">
        <w:rPr>
          <w:rFonts w:eastAsia="Times New Roman"/>
          <w:i/>
          <w:iCs/>
          <w:sz w:val="20"/>
          <w:lang w:val="en-AU"/>
        </w:rPr>
        <w:t>cancel the service</w:t>
      </w:r>
      <w:r w:rsidRPr="00421097">
        <w:rPr>
          <w:rFonts w:eastAsia="Times New Roman"/>
          <w:iCs/>
          <w:sz w:val="20"/>
          <w:lang w:val="en-AU"/>
        </w:rPr>
        <w:t xml:space="preserve"> without incurring a </w:t>
      </w:r>
      <w:r w:rsidRPr="00421097">
        <w:rPr>
          <w:rFonts w:eastAsia="Times New Roman"/>
          <w:i/>
          <w:iCs/>
          <w:sz w:val="20"/>
          <w:lang w:val="en-AU"/>
        </w:rPr>
        <w:t>cancellation fee</w:t>
      </w:r>
      <w:r w:rsidRPr="00421097">
        <w:rPr>
          <w:rFonts w:eastAsia="Times New Roman"/>
          <w:iCs/>
          <w:sz w:val="20"/>
          <w:lang w:val="en-AU"/>
        </w:rPr>
        <w:t>); plus</w:t>
      </w:r>
    </w:p>
    <w:p w14:paraId="72AAC67C" w14:textId="77777777" w:rsidR="00421097" w:rsidRPr="00421097" w:rsidRDefault="00421097" w:rsidP="00421097">
      <w:pPr>
        <w:numPr>
          <w:ilvl w:val="6"/>
          <w:numId w:val="1"/>
        </w:numPr>
        <w:spacing w:after="200"/>
        <w:outlineLvl w:val="6"/>
        <w:rPr>
          <w:rFonts w:eastAsia="Times New Roman"/>
          <w:sz w:val="20"/>
          <w:lang w:val="en-AU"/>
        </w:rPr>
      </w:pPr>
      <w:r w:rsidRPr="00421097">
        <w:rPr>
          <w:rFonts w:eastAsia="Times New Roman"/>
          <w:sz w:val="20"/>
          <w:lang w:val="en-AU"/>
        </w:rPr>
        <w:t xml:space="preserve">Note, any Handset Credit </w:t>
      </w:r>
      <w:r w:rsidRPr="00421097">
        <w:rPr>
          <w:rFonts w:eastAsia="Times New Roman"/>
          <w:i/>
          <w:sz w:val="20"/>
          <w:lang w:val="en-AU"/>
        </w:rPr>
        <w:t xml:space="preserve">you </w:t>
      </w:r>
      <w:r w:rsidRPr="00421097">
        <w:rPr>
          <w:rFonts w:eastAsia="Times New Roman"/>
          <w:sz w:val="20"/>
          <w:lang w:val="en-AU"/>
        </w:rPr>
        <w:t xml:space="preserve">were entitled to will be forfeited (see 10.6 above) if the account is cancelled. </w:t>
      </w:r>
    </w:p>
    <w:p w14:paraId="1C8D6894" w14:textId="77777777" w:rsidR="00421097" w:rsidRPr="00421097" w:rsidRDefault="00421097" w:rsidP="00421097">
      <w:pPr>
        <w:numPr>
          <w:ilvl w:val="6"/>
          <w:numId w:val="1"/>
        </w:numPr>
        <w:outlineLvl w:val="6"/>
        <w:rPr>
          <w:rFonts w:eastAsia="Times New Roman"/>
          <w:sz w:val="20"/>
        </w:rPr>
      </w:pPr>
      <w:r w:rsidRPr="00421097">
        <w:rPr>
          <w:rFonts w:eastAsia="Times New Roman"/>
          <w:sz w:val="20"/>
        </w:rPr>
        <w:t xml:space="preserve">The </w:t>
      </w:r>
      <w:r w:rsidRPr="00421097">
        <w:rPr>
          <w:rFonts w:eastAsia="Times New Roman"/>
          <w:i/>
          <w:sz w:val="20"/>
        </w:rPr>
        <w:t>cancellation fee</w:t>
      </w:r>
      <w:r w:rsidRPr="00421097">
        <w:rPr>
          <w:rFonts w:eastAsia="Times New Roman"/>
          <w:sz w:val="20"/>
        </w:rPr>
        <w:t xml:space="preserve"> is calculated as the following amounts, multiplied by the months remaining on </w:t>
      </w:r>
      <w:r w:rsidRPr="00421097">
        <w:rPr>
          <w:rFonts w:eastAsia="Times New Roman"/>
          <w:i/>
          <w:sz w:val="20"/>
        </w:rPr>
        <w:t>your minimum term</w:t>
      </w:r>
      <w:r w:rsidRPr="00421097">
        <w:rPr>
          <w:rFonts w:eastAsia="Times New Roman"/>
          <w:sz w:val="20"/>
        </w:rPr>
        <w:t>:</w:t>
      </w:r>
    </w:p>
    <w:p w14:paraId="77F1AE09" w14:textId="77777777" w:rsidR="00421097" w:rsidRPr="00421097" w:rsidRDefault="00421097" w:rsidP="00BA62D1">
      <w:pPr>
        <w:outlineLvl w:val="6"/>
        <w:rPr>
          <w:rFonts w:eastAsia="Times New Roman"/>
          <w:sz w:val="20"/>
        </w:rPr>
      </w:pPr>
    </w:p>
    <w:tbl>
      <w:tblPr>
        <w:tblpPr w:leftFromText="180" w:rightFromText="180" w:vertAnchor="text" w:horzAnchor="margin" w:tblpX="216" w:tblpY="393"/>
        <w:tblW w:w="47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6"/>
        <w:gridCol w:w="6519"/>
      </w:tblGrid>
      <w:tr w:rsidR="00421097" w:rsidRPr="00421097" w14:paraId="7961ADB4" w14:textId="77777777" w:rsidTr="00421097">
        <w:trPr>
          <w:trHeight w:val="289"/>
        </w:trPr>
        <w:tc>
          <w:tcPr>
            <w:tcW w:w="5000" w:type="pct"/>
            <w:gridSpan w:val="2"/>
            <w:shd w:val="clear" w:color="auto" w:fill="auto"/>
            <w:vAlign w:val="center"/>
          </w:tcPr>
          <w:p w14:paraId="0DAE78EC" w14:textId="77777777" w:rsidR="00421097" w:rsidRPr="00421097" w:rsidRDefault="00421097" w:rsidP="00421097">
            <w:pPr>
              <w:spacing w:before="120" w:after="120"/>
              <w:jc w:val="center"/>
              <w:rPr>
                <w:b/>
                <w:sz w:val="20"/>
                <w:lang w:eastAsia="en-AU"/>
              </w:rPr>
            </w:pPr>
            <w:r w:rsidRPr="00421097">
              <w:rPr>
                <w:b/>
                <w:sz w:val="20"/>
                <w:lang w:eastAsia="en-AU"/>
              </w:rPr>
              <w:t xml:space="preserve">My Plan Business </w:t>
            </w:r>
            <w:r w:rsidRPr="00421097">
              <w:rPr>
                <w:b/>
                <w:snapToGrid w:val="0"/>
                <w:sz w:val="20"/>
              </w:rPr>
              <w:t>Tech Fund</w:t>
            </w:r>
          </w:p>
        </w:tc>
      </w:tr>
      <w:tr w:rsidR="00421097" w:rsidRPr="00421097" w14:paraId="46B24590" w14:textId="77777777" w:rsidTr="00421097">
        <w:trPr>
          <w:trHeight w:val="182"/>
        </w:trPr>
        <w:tc>
          <w:tcPr>
            <w:tcW w:w="1631" w:type="pct"/>
            <w:vAlign w:val="center"/>
          </w:tcPr>
          <w:p w14:paraId="3351C688" w14:textId="77777777" w:rsidR="00421097" w:rsidRPr="00421097" w:rsidRDefault="00421097" w:rsidP="00421097">
            <w:pPr>
              <w:spacing w:before="100" w:after="100"/>
              <w:jc w:val="center"/>
              <w:rPr>
                <w:b/>
                <w:sz w:val="20"/>
              </w:rPr>
            </w:pPr>
            <w:r w:rsidRPr="00421097">
              <w:rPr>
                <w:b/>
                <w:sz w:val="20"/>
              </w:rPr>
              <w:t>Plan</w:t>
            </w:r>
          </w:p>
        </w:tc>
        <w:tc>
          <w:tcPr>
            <w:tcW w:w="3369" w:type="pct"/>
            <w:vAlign w:val="center"/>
          </w:tcPr>
          <w:p w14:paraId="633A17DC" w14:textId="77777777" w:rsidR="00421097" w:rsidRPr="00421097" w:rsidRDefault="00421097" w:rsidP="00421097">
            <w:pPr>
              <w:spacing w:before="100" w:after="100"/>
              <w:jc w:val="center"/>
              <w:rPr>
                <w:b/>
                <w:sz w:val="20"/>
              </w:rPr>
            </w:pPr>
            <w:r w:rsidRPr="00421097">
              <w:rPr>
                <w:b/>
                <w:sz w:val="20"/>
              </w:rPr>
              <w:t>$125 My Plan Business</w:t>
            </w:r>
            <w:r w:rsidRPr="00421097">
              <w:rPr>
                <w:b/>
                <w:snapToGrid w:val="0"/>
                <w:sz w:val="20"/>
              </w:rPr>
              <w:t xml:space="preserve"> Tech Fund ($105 promo)</w:t>
            </w:r>
          </w:p>
        </w:tc>
      </w:tr>
      <w:tr w:rsidR="00421097" w:rsidRPr="00421097" w14:paraId="37052686" w14:textId="77777777" w:rsidTr="00421097">
        <w:trPr>
          <w:trHeight w:val="275"/>
        </w:trPr>
        <w:tc>
          <w:tcPr>
            <w:tcW w:w="1631" w:type="pct"/>
            <w:vAlign w:val="center"/>
          </w:tcPr>
          <w:p w14:paraId="40237BB5" w14:textId="77777777" w:rsidR="00421097" w:rsidRPr="00421097" w:rsidRDefault="00421097" w:rsidP="00421097">
            <w:pPr>
              <w:spacing w:before="100" w:after="100"/>
              <w:jc w:val="center"/>
              <w:rPr>
                <w:b/>
                <w:sz w:val="20"/>
              </w:rPr>
            </w:pPr>
            <w:r w:rsidRPr="00421097">
              <w:rPr>
                <w:b/>
                <w:sz w:val="20"/>
                <w:lang w:eastAsia="en-AU"/>
              </w:rPr>
              <w:t>Cancellation Fee</w:t>
            </w:r>
          </w:p>
        </w:tc>
        <w:tc>
          <w:tcPr>
            <w:tcW w:w="3369" w:type="pct"/>
          </w:tcPr>
          <w:p w14:paraId="2C4D92CA" w14:textId="77777777" w:rsidR="00421097" w:rsidRPr="00421097" w:rsidRDefault="00421097" w:rsidP="00421097">
            <w:pPr>
              <w:spacing w:before="100" w:after="100"/>
              <w:jc w:val="center"/>
              <w:rPr>
                <w:sz w:val="20"/>
              </w:rPr>
            </w:pPr>
            <w:r w:rsidRPr="00421097">
              <w:rPr>
                <w:sz w:val="20"/>
              </w:rPr>
              <w:t>$78 x Months remaining</w:t>
            </w:r>
          </w:p>
        </w:tc>
      </w:tr>
      <w:tr w:rsidR="00421097" w:rsidRPr="00421097" w14:paraId="20BB4A6B" w14:textId="77777777" w:rsidTr="00421097">
        <w:trPr>
          <w:trHeight w:val="275"/>
        </w:trPr>
        <w:tc>
          <w:tcPr>
            <w:tcW w:w="1631" w:type="pct"/>
            <w:vAlign w:val="center"/>
          </w:tcPr>
          <w:p w14:paraId="5BA3C609" w14:textId="77777777" w:rsidR="00421097" w:rsidRPr="00421097" w:rsidRDefault="00421097" w:rsidP="00421097">
            <w:pPr>
              <w:spacing w:before="100" w:after="100"/>
              <w:jc w:val="center"/>
              <w:rPr>
                <w:b/>
                <w:sz w:val="20"/>
                <w:lang w:eastAsia="en-AU"/>
              </w:rPr>
            </w:pPr>
            <w:r w:rsidRPr="00421097">
              <w:rPr>
                <w:b/>
                <w:sz w:val="20"/>
                <w:lang w:eastAsia="en-AU"/>
              </w:rPr>
              <w:t>Maximum Cancellation Fee</w:t>
            </w:r>
          </w:p>
        </w:tc>
        <w:tc>
          <w:tcPr>
            <w:tcW w:w="3369" w:type="pct"/>
            <w:vAlign w:val="center"/>
          </w:tcPr>
          <w:p w14:paraId="34F11B91" w14:textId="77777777" w:rsidR="00421097" w:rsidRPr="00421097" w:rsidRDefault="00421097" w:rsidP="00421097">
            <w:pPr>
              <w:spacing w:before="100" w:after="100"/>
              <w:jc w:val="center"/>
              <w:rPr>
                <w:sz w:val="20"/>
              </w:rPr>
            </w:pPr>
            <w:r w:rsidRPr="00421097">
              <w:rPr>
                <w:sz w:val="20"/>
              </w:rPr>
              <w:t>$1872</w:t>
            </w:r>
          </w:p>
        </w:tc>
      </w:tr>
    </w:tbl>
    <w:p w14:paraId="4C229BF3" w14:textId="77777777" w:rsidR="00421097" w:rsidRPr="00421097" w:rsidRDefault="00421097" w:rsidP="00421097">
      <w:pPr>
        <w:spacing w:after="200"/>
        <w:rPr>
          <w:sz w:val="20"/>
        </w:rPr>
      </w:pPr>
    </w:p>
    <w:p w14:paraId="66C59224" w14:textId="77777777" w:rsidR="00421097" w:rsidRPr="00421097" w:rsidRDefault="00421097" w:rsidP="00421097">
      <w:pPr>
        <w:spacing w:after="200"/>
        <w:rPr>
          <w:sz w:val="20"/>
        </w:rPr>
      </w:pPr>
    </w:p>
    <w:p w14:paraId="44845940" w14:textId="77777777" w:rsidR="00421097" w:rsidRPr="00421097" w:rsidRDefault="00421097" w:rsidP="00BA62D1">
      <w:pPr>
        <w:pStyle w:val="Heading4"/>
        <w:rPr>
          <w:bCs w:val="0"/>
        </w:rPr>
      </w:pPr>
      <w:bookmarkStart w:id="1506" w:name="_Toc470182704"/>
      <w:bookmarkStart w:id="1507" w:name="_Toc472938999"/>
      <w:bookmarkStart w:id="1508" w:name="_Toc472939666"/>
      <w:bookmarkStart w:id="1509" w:name="_Toc475699600"/>
      <w:bookmarkStart w:id="1510" w:name="_Toc479146550"/>
      <w:bookmarkStart w:id="1511" w:name="_Toc62644681"/>
      <w:r w:rsidRPr="00421097">
        <w:rPr>
          <w:bCs w:val="0"/>
        </w:rPr>
        <w:t>Bonus Data Promotion</w:t>
      </w:r>
      <w:bookmarkEnd w:id="1506"/>
      <w:bookmarkEnd w:id="1507"/>
      <w:bookmarkEnd w:id="1508"/>
      <w:bookmarkEnd w:id="1509"/>
      <w:bookmarkEnd w:id="1510"/>
      <w:bookmarkEnd w:id="1511"/>
    </w:p>
    <w:p w14:paraId="2460D4DA" w14:textId="77777777" w:rsidR="00421097" w:rsidRPr="00421097" w:rsidRDefault="00421097" w:rsidP="00421097">
      <w:pPr>
        <w:spacing w:after="200"/>
        <w:ind w:left="709"/>
        <w:rPr>
          <w:iCs/>
          <w:sz w:val="20"/>
        </w:rPr>
      </w:pPr>
      <w:r w:rsidRPr="00421097">
        <w:rPr>
          <w:iCs/>
          <w:sz w:val="20"/>
        </w:rPr>
        <w:t xml:space="preserve">This section relates to a promotion offered to new and re-contracting customers who take up the below handsets on the $70 My Plan Business with Plan ID 800555.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4"/>
        <w:gridCol w:w="4621"/>
      </w:tblGrid>
      <w:tr w:rsidR="00421097" w:rsidRPr="00421097" w14:paraId="0981C9FF" w14:textId="77777777" w:rsidTr="00421097">
        <w:tc>
          <w:tcPr>
            <w:tcW w:w="4904" w:type="dxa"/>
            <w:shd w:val="clear" w:color="auto" w:fill="auto"/>
            <w:vAlign w:val="center"/>
          </w:tcPr>
          <w:p w14:paraId="31D2788D" w14:textId="77777777" w:rsidR="00421097" w:rsidRPr="00421097" w:rsidRDefault="00421097" w:rsidP="00421097">
            <w:pPr>
              <w:spacing w:before="100" w:after="100"/>
              <w:rPr>
                <w:b/>
                <w:sz w:val="20"/>
              </w:rPr>
            </w:pPr>
            <w:r w:rsidRPr="00421097">
              <w:rPr>
                <w:b/>
                <w:sz w:val="20"/>
              </w:rPr>
              <w:lastRenderedPageBreak/>
              <w:t>Handset</w:t>
            </w:r>
          </w:p>
        </w:tc>
        <w:tc>
          <w:tcPr>
            <w:tcW w:w="4621" w:type="dxa"/>
            <w:shd w:val="clear" w:color="auto" w:fill="auto"/>
            <w:vAlign w:val="center"/>
          </w:tcPr>
          <w:p w14:paraId="72678C64" w14:textId="77777777" w:rsidR="00421097" w:rsidRPr="00421097" w:rsidRDefault="00421097" w:rsidP="00421097">
            <w:pPr>
              <w:spacing w:before="100" w:after="100"/>
              <w:rPr>
                <w:b/>
                <w:sz w:val="20"/>
              </w:rPr>
            </w:pPr>
            <w:r w:rsidRPr="00421097">
              <w:rPr>
                <w:b/>
                <w:sz w:val="20"/>
              </w:rPr>
              <w:t xml:space="preserve">Available </w:t>
            </w:r>
          </w:p>
        </w:tc>
      </w:tr>
      <w:tr w:rsidR="00421097" w:rsidRPr="00421097" w14:paraId="3D6A58D0" w14:textId="77777777" w:rsidTr="00421097">
        <w:tc>
          <w:tcPr>
            <w:tcW w:w="4904" w:type="dxa"/>
            <w:shd w:val="clear" w:color="auto" w:fill="auto"/>
            <w:vAlign w:val="center"/>
          </w:tcPr>
          <w:p w14:paraId="532F043E" w14:textId="77777777" w:rsidR="00421097" w:rsidRPr="00421097" w:rsidRDefault="00421097" w:rsidP="00421097">
            <w:pPr>
              <w:spacing w:before="100" w:after="100"/>
              <w:rPr>
                <w:sz w:val="20"/>
              </w:rPr>
            </w:pPr>
            <w:r w:rsidRPr="00421097">
              <w:rPr>
                <w:sz w:val="20"/>
              </w:rPr>
              <w:t>Samsung Galaxy S7</w:t>
            </w:r>
          </w:p>
        </w:tc>
        <w:tc>
          <w:tcPr>
            <w:tcW w:w="4621" w:type="dxa"/>
            <w:shd w:val="clear" w:color="auto" w:fill="auto"/>
            <w:vAlign w:val="center"/>
          </w:tcPr>
          <w:p w14:paraId="4DC298BD" w14:textId="77777777" w:rsidR="00421097" w:rsidRPr="00421097" w:rsidRDefault="00421097" w:rsidP="00421097">
            <w:pPr>
              <w:spacing w:before="100" w:after="100"/>
              <w:rPr>
                <w:sz w:val="20"/>
              </w:rPr>
            </w:pPr>
            <w:r w:rsidRPr="00421097">
              <w:rPr>
                <w:sz w:val="20"/>
              </w:rPr>
              <w:t>31 October 2016 – 5 March 2017</w:t>
            </w:r>
          </w:p>
        </w:tc>
      </w:tr>
      <w:tr w:rsidR="00421097" w:rsidRPr="00421097" w14:paraId="7AC45277" w14:textId="77777777" w:rsidTr="00421097">
        <w:tc>
          <w:tcPr>
            <w:tcW w:w="4904" w:type="dxa"/>
            <w:shd w:val="clear" w:color="auto" w:fill="auto"/>
            <w:vAlign w:val="center"/>
          </w:tcPr>
          <w:p w14:paraId="33DDE859" w14:textId="77777777" w:rsidR="00421097" w:rsidRPr="00421097" w:rsidRDefault="00421097" w:rsidP="00421097">
            <w:pPr>
              <w:spacing w:before="100" w:after="100"/>
              <w:rPr>
                <w:sz w:val="20"/>
              </w:rPr>
            </w:pPr>
            <w:r w:rsidRPr="00421097">
              <w:rPr>
                <w:sz w:val="20"/>
              </w:rPr>
              <w:t>Huawei P9</w:t>
            </w:r>
          </w:p>
        </w:tc>
        <w:tc>
          <w:tcPr>
            <w:tcW w:w="4621" w:type="dxa"/>
            <w:shd w:val="clear" w:color="auto" w:fill="auto"/>
            <w:vAlign w:val="center"/>
          </w:tcPr>
          <w:p w14:paraId="63276E6E" w14:textId="77777777" w:rsidR="00421097" w:rsidRPr="00421097" w:rsidRDefault="00421097" w:rsidP="00421097">
            <w:pPr>
              <w:spacing w:before="100" w:after="100"/>
              <w:rPr>
                <w:sz w:val="20"/>
              </w:rPr>
            </w:pPr>
            <w:r w:rsidRPr="00421097">
              <w:rPr>
                <w:sz w:val="20"/>
              </w:rPr>
              <w:t>7 November 2016 – 5 March 2017</w:t>
            </w:r>
          </w:p>
        </w:tc>
      </w:tr>
    </w:tbl>
    <w:p w14:paraId="589C9DA2" w14:textId="77777777" w:rsidR="00421097" w:rsidRPr="00421097" w:rsidRDefault="00421097" w:rsidP="00421097">
      <w:pPr>
        <w:spacing w:after="120"/>
        <w:ind w:left="709"/>
        <w:rPr>
          <w:iCs/>
          <w:sz w:val="20"/>
          <w:szCs w:val="20"/>
        </w:rPr>
      </w:pPr>
      <w:r w:rsidRPr="00421097">
        <w:rPr>
          <w:b/>
          <w:sz w:val="20"/>
        </w:rPr>
        <w:br/>
      </w:r>
      <w:r w:rsidRPr="00421097">
        <w:rPr>
          <w:iCs/>
          <w:sz w:val="20"/>
          <w:szCs w:val="20"/>
        </w:rPr>
        <w:t>If you sign up or recontract to the $70 My Plan Business with a Samsung Galaxy S7 from 31 October 2016 or with a Huawei P9 from 7 November 2016, you will receive a bonus 3.5GB data per month. This will give you a total of 8GB of data. Bonus data will remain on your service until you recontract, change to an ineligible plan or cancel your plan.</w:t>
      </w:r>
    </w:p>
    <w:p w14:paraId="0B583A2E" w14:textId="77777777" w:rsidR="00421097" w:rsidRPr="00421097" w:rsidRDefault="00421097" w:rsidP="00421097">
      <w:pPr>
        <w:spacing w:after="200"/>
        <w:rPr>
          <w:sz w:val="20"/>
        </w:rPr>
      </w:pPr>
    </w:p>
    <w:p w14:paraId="52BCA085" w14:textId="77777777" w:rsidR="00421097" w:rsidRPr="00421097" w:rsidRDefault="00421097" w:rsidP="00BA62D1">
      <w:pPr>
        <w:pStyle w:val="Heading4"/>
        <w:rPr>
          <w:bCs w:val="0"/>
        </w:rPr>
      </w:pPr>
      <w:bookmarkStart w:id="1512" w:name="_Toc472939000"/>
      <w:bookmarkStart w:id="1513" w:name="_Toc472939667"/>
      <w:bookmarkStart w:id="1514" w:name="_Toc475699601"/>
      <w:bookmarkStart w:id="1515" w:name="_Toc479146551"/>
      <w:bookmarkStart w:id="1516" w:name="_Toc62644682"/>
      <w:r w:rsidRPr="00421097">
        <w:rPr>
          <w:bCs w:val="0"/>
        </w:rPr>
        <w:t>Home Zone Customer Promotion (Jan 2017)</w:t>
      </w:r>
      <w:bookmarkEnd w:id="1512"/>
      <w:bookmarkEnd w:id="1513"/>
      <w:bookmarkEnd w:id="1514"/>
      <w:bookmarkEnd w:id="1515"/>
      <w:bookmarkEnd w:id="1516"/>
    </w:p>
    <w:p w14:paraId="2966F5CB" w14:textId="77777777" w:rsidR="00421097" w:rsidRPr="00421097" w:rsidRDefault="00421097" w:rsidP="00421097">
      <w:pPr>
        <w:ind w:left="709"/>
        <w:rPr>
          <w:sz w:val="20"/>
          <w:szCs w:val="20"/>
        </w:rPr>
      </w:pPr>
      <w:r w:rsidRPr="00421097">
        <w:rPr>
          <w:sz w:val="20"/>
          <w:szCs w:val="20"/>
        </w:rPr>
        <w:t>This section relates to a promotion offered to selected Home Zone customers from 1 January 2017 to 27 February 2017.</w:t>
      </w:r>
      <w:r w:rsidRPr="00421097">
        <w:rPr>
          <w:sz w:val="20"/>
          <w:szCs w:val="20"/>
        </w:rPr>
        <w:br/>
      </w:r>
      <w:r w:rsidRPr="00421097">
        <w:rPr>
          <w:sz w:val="20"/>
          <w:szCs w:val="20"/>
        </w:rPr>
        <w:br/>
        <w:t xml:space="preserve">If you connect to a current Optus Mobile Postpaid 24 month plan with the Samsung Galaxy S7 or S7 edge, you will have your early upgrade fee waived. Selected customers will also receive $250 credit that will be applied to their account. Credit is not transferable or redeemed for cash. </w:t>
      </w:r>
    </w:p>
    <w:p w14:paraId="6DF040AA" w14:textId="77777777" w:rsidR="00421097" w:rsidRPr="00421097" w:rsidRDefault="00421097" w:rsidP="00421097">
      <w:pPr>
        <w:spacing w:after="200"/>
        <w:rPr>
          <w:sz w:val="20"/>
        </w:rPr>
      </w:pPr>
    </w:p>
    <w:p w14:paraId="34EDA462" w14:textId="77777777" w:rsidR="00421097" w:rsidRPr="00421097" w:rsidRDefault="00421097" w:rsidP="00BA62D1">
      <w:pPr>
        <w:pStyle w:val="Heading4"/>
        <w:ind w:left="709" w:hanging="709"/>
        <w:rPr>
          <w:bCs w:val="0"/>
        </w:rPr>
      </w:pPr>
      <w:bookmarkStart w:id="1517" w:name="_Toc467671439"/>
      <w:bookmarkStart w:id="1518" w:name="_Toc471825717"/>
      <w:bookmarkStart w:id="1519" w:name="_Toc473902714"/>
      <w:bookmarkStart w:id="1520" w:name="_Toc474502953"/>
      <w:bookmarkStart w:id="1521" w:name="_Toc475699602"/>
      <w:bookmarkStart w:id="1522" w:name="_Toc479146552"/>
      <w:bookmarkStart w:id="1523" w:name="_Toc62644683"/>
      <w:r w:rsidRPr="00421097">
        <w:rPr>
          <w:bCs w:val="0"/>
        </w:rPr>
        <w:t>$70 My Plan Business + Tech Fund Bonus Data Promotion (Feb 2017)</w:t>
      </w:r>
      <w:bookmarkEnd w:id="1517"/>
      <w:bookmarkEnd w:id="1518"/>
      <w:bookmarkEnd w:id="1519"/>
      <w:bookmarkEnd w:id="1520"/>
      <w:bookmarkEnd w:id="1521"/>
      <w:bookmarkEnd w:id="1522"/>
      <w:bookmarkEnd w:id="1523"/>
    </w:p>
    <w:p w14:paraId="1BC8095D" w14:textId="77777777" w:rsidR="00421097" w:rsidRPr="00421097" w:rsidRDefault="00421097" w:rsidP="00BA62D1">
      <w:pPr>
        <w:spacing w:after="200"/>
        <w:ind w:left="709"/>
        <w:rPr>
          <w:rFonts w:eastAsia="Times New Roman"/>
          <w:iCs/>
          <w:sz w:val="20"/>
        </w:rPr>
      </w:pPr>
      <w:r w:rsidRPr="00421097">
        <w:rPr>
          <w:iCs/>
          <w:sz w:val="20"/>
        </w:rPr>
        <w:t xml:space="preserve">This section relates to a promotion offered to new and re-contracting customers who sign up or recontract to the $70 My Plan Business with Plan ID 800555 or $70 My Plan Business with Plan ID 800529 from 10 February 2017 – 26 March 2017.  </w:t>
      </w:r>
      <w:r w:rsidRPr="00421097">
        <w:rPr>
          <w:iCs/>
          <w:sz w:val="20"/>
        </w:rPr>
        <w:br/>
      </w:r>
      <w:r w:rsidRPr="00421097">
        <w:rPr>
          <w:iCs/>
          <w:sz w:val="20"/>
        </w:rPr>
        <w:br/>
      </w:r>
      <w:r w:rsidRPr="00421097">
        <w:rPr>
          <w:rFonts w:eastAsia="Times New Roman"/>
          <w:iCs/>
          <w:sz w:val="20"/>
        </w:rPr>
        <w:t xml:space="preserve">If you sign up or recontract to the </w:t>
      </w:r>
      <w:r w:rsidRPr="00421097">
        <w:rPr>
          <w:iCs/>
          <w:sz w:val="20"/>
        </w:rPr>
        <w:t xml:space="preserve">$70 My Plan Business with Plan ID 800555 or $70 My Plan Business Tech Fund with Plan ID 800529 </w:t>
      </w:r>
      <w:r w:rsidRPr="00421097">
        <w:rPr>
          <w:rFonts w:eastAsia="Times New Roman"/>
          <w:iCs/>
          <w:sz w:val="20"/>
        </w:rPr>
        <w:t xml:space="preserve">you will receive a bonus 2GB data per month for 24 months. 2GB bonus data will remain on your service for a maximum period of 24 months.  Bonus data will be forfeited if you re-contract, change to an ineligible plan or cancel your plan.  Bonus data may take up to 72 hours from activation to be applied.  </w:t>
      </w:r>
    </w:p>
    <w:p w14:paraId="641BEC61" w14:textId="77777777" w:rsidR="00421097" w:rsidRPr="00421097" w:rsidRDefault="00421097" w:rsidP="00421097">
      <w:pPr>
        <w:spacing w:after="200"/>
        <w:rPr>
          <w:rFonts w:eastAsia="Times New Roman"/>
          <w:iCs/>
          <w:sz w:val="20"/>
        </w:rPr>
      </w:pPr>
    </w:p>
    <w:p w14:paraId="1E483CE7" w14:textId="77777777" w:rsidR="00421097" w:rsidRPr="00421097" w:rsidRDefault="00E441CA" w:rsidP="00BA62D1">
      <w:pPr>
        <w:pStyle w:val="Heading4"/>
        <w:rPr>
          <w:bCs w:val="0"/>
        </w:rPr>
      </w:pPr>
      <w:bookmarkStart w:id="1524" w:name="_Toc479146553"/>
      <w:bookmarkStart w:id="1525" w:name="_Toc62644684"/>
      <w:r>
        <w:rPr>
          <w:bCs w:val="0"/>
        </w:rPr>
        <w:t>$</w:t>
      </w:r>
      <w:r w:rsidR="00421097" w:rsidRPr="00421097">
        <w:rPr>
          <w:bCs w:val="0"/>
        </w:rPr>
        <w:t>40 My Plan Business SIM 12M Promotion (Feb 2017)</w:t>
      </w:r>
      <w:bookmarkEnd w:id="1524"/>
      <w:bookmarkEnd w:id="1525"/>
    </w:p>
    <w:p w14:paraId="54552077" w14:textId="77777777" w:rsidR="00421097" w:rsidRDefault="00421097" w:rsidP="00BA62D1">
      <w:pPr>
        <w:spacing w:after="200"/>
        <w:ind w:left="709"/>
        <w:rPr>
          <w:rFonts w:eastAsia="Times New Roman"/>
          <w:iCs/>
          <w:sz w:val="20"/>
        </w:rPr>
      </w:pPr>
      <w:r w:rsidRPr="00421097">
        <w:rPr>
          <w:iCs/>
          <w:sz w:val="20"/>
        </w:rPr>
        <w:t xml:space="preserve">This section relates to a promotion offered to new and re-contracting customers who sign up or recontract to the $40 My Plan Business SIM 12M with Plan ID 800508 from 8 February 2017 – 26 February 2017 via Online.  </w:t>
      </w:r>
      <w:r w:rsidRPr="00421097">
        <w:rPr>
          <w:iCs/>
          <w:sz w:val="20"/>
        </w:rPr>
        <w:br/>
      </w:r>
      <w:r w:rsidRPr="00421097">
        <w:rPr>
          <w:iCs/>
          <w:sz w:val="20"/>
        </w:rPr>
        <w:br/>
      </w:r>
      <w:r w:rsidRPr="00421097">
        <w:rPr>
          <w:rFonts w:eastAsia="Times New Roman"/>
          <w:iCs/>
          <w:sz w:val="20"/>
        </w:rPr>
        <w:t xml:space="preserve">If you sign up or recontract to the $40 My Plan Business SIM 12M with Plan ID 800508 you will receive a bonus 2GB data per month for 12 months. 2GB bonus data will remain on your service for a maximum period of 12 months.  Bonus data will be forfeited if you re-contract, change to an ineligible plan or cancel your plan.  Bonus data may take up to 72 hours from activation to be applied.  </w:t>
      </w:r>
    </w:p>
    <w:p w14:paraId="60CB580F" w14:textId="77777777" w:rsidR="00052511" w:rsidRPr="00421097" w:rsidRDefault="00052511" w:rsidP="00BA62D1">
      <w:pPr>
        <w:spacing w:after="200"/>
        <w:ind w:left="709"/>
        <w:rPr>
          <w:sz w:val="20"/>
        </w:rPr>
      </w:pPr>
    </w:p>
    <w:p w14:paraId="73FE27B0" w14:textId="77777777" w:rsidR="00E441CA" w:rsidRPr="00FC5779" w:rsidRDefault="00E441CA" w:rsidP="00E441CA">
      <w:pPr>
        <w:pStyle w:val="Heading4"/>
        <w:rPr>
          <w:lang w:val="en-AU"/>
        </w:rPr>
      </w:pPr>
      <w:bookmarkStart w:id="1526" w:name="_Toc455149919"/>
      <w:bookmarkStart w:id="1527" w:name="_Toc483832367"/>
      <w:bookmarkStart w:id="1528" w:name="_Toc484514097"/>
      <w:bookmarkStart w:id="1529" w:name="_Toc62644685"/>
      <w:r>
        <w:rPr>
          <w:lang w:val="en-AU"/>
        </w:rPr>
        <w:t xml:space="preserve">$125 </w:t>
      </w:r>
      <w:r w:rsidRPr="00FC5779">
        <w:rPr>
          <w:lang w:val="en-AU"/>
        </w:rPr>
        <w:t>My Plan Business Tech Fund</w:t>
      </w:r>
      <w:bookmarkEnd w:id="1526"/>
      <w:bookmarkEnd w:id="1527"/>
      <w:bookmarkEnd w:id="1528"/>
      <w:bookmarkEnd w:id="1529"/>
    </w:p>
    <w:p w14:paraId="78458EE2" w14:textId="77777777" w:rsidR="00E441CA" w:rsidRDefault="00E441CA" w:rsidP="00E441CA">
      <w:pPr>
        <w:pStyle w:val="BodyText"/>
        <w:ind w:left="720"/>
      </w:pPr>
      <w:r w:rsidRPr="00FC5779">
        <w:rPr>
          <w:lang w:val="en-AU"/>
        </w:rPr>
        <w:t xml:space="preserve">This section relates to the following plans. </w:t>
      </w:r>
      <w:r w:rsidRPr="00FC5779">
        <w:rPr>
          <w:i/>
          <w:lang w:val="en-AU"/>
        </w:rPr>
        <w:t>You</w:t>
      </w:r>
      <w:r w:rsidRPr="00FC5779">
        <w:rPr>
          <w:lang w:val="en-AU"/>
        </w:rPr>
        <w:t xml:space="preserve"> can find </w:t>
      </w:r>
      <w:r w:rsidRPr="00FC5779">
        <w:rPr>
          <w:i/>
          <w:lang w:val="en-AU"/>
        </w:rPr>
        <w:t>your</w:t>
      </w:r>
      <w:r w:rsidRPr="00FC5779">
        <w:rPr>
          <w:lang w:val="en-AU"/>
        </w:rPr>
        <w:t xml:space="preserve"> Plan ID on </w:t>
      </w:r>
      <w:r w:rsidRPr="00FC5779">
        <w:rPr>
          <w:i/>
          <w:lang w:val="en-AU"/>
        </w:rPr>
        <w:t>your</w:t>
      </w:r>
      <w:r w:rsidRPr="00FC5779">
        <w:rPr>
          <w:lang w:val="en-AU"/>
        </w:rPr>
        <w:t xml:space="preserve"> bill under the Mobile Number Summary section:</w:t>
      </w:r>
    </w:p>
    <w:tbl>
      <w:tblPr>
        <w:tblW w:w="92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9"/>
        <w:gridCol w:w="1984"/>
        <w:gridCol w:w="3686"/>
      </w:tblGrid>
      <w:tr w:rsidR="00E441CA" w:rsidRPr="00090AB3" w14:paraId="5F932DA1" w14:textId="77777777" w:rsidTr="00E441CA">
        <w:trPr>
          <w:jc w:val="center"/>
        </w:trPr>
        <w:tc>
          <w:tcPr>
            <w:tcW w:w="3549" w:type="dxa"/>
            <w:shd w:val="clear" w:color="auto" w:fill="auto"/>
          </w:tcPr>
          <w:p w14:paraId="1F876F5C" w14:textId="77777777" w:rsidR="00E441CA" w:rsidRPr="00EE0D35" w:rsidRDefault="00E441CA" w:rsidP="00E441CA">
            <w:pPr>
              <w:pStyle w:val="BodyText"/>
              <w:spacing w:before="100" w:after="100"/>
              <w:jc w:val="center"/>
              <w:rPr>
                <w:b/>
                <w:lang w:val="en-AU"/>
              </w:rPr>
            </w:pPr>
            <w:r w:rsidRPr="00EE0D35">
              <w:rPr>
                <w:b/>
                <w:lang w:val="en-AU"/>
              </w:rPr>
              <w:t>Plan</w:t>
            </w:r>
          </w:p>
        </w:tc>
        <w:tc>
          <w:tcPr>
            <w:tcW w:w="1984" w:type="dxa"/>
            <w:shd w:val="clear" w:color="auto" w:fill="auto"/>
          </w:tcPr>
          <w:p w14:paraId="29C7EE9F" w14:textId="77777777" w:rsidR="00E441CA" w:rsidRPr="00EE0D35" w:rsidRDefault="00E441CA" w:rsidP="00E441CA">
            <w:pPr>
              <w:pStyle w:val="BodyText"/>
              <w:spacing w:before="100" w:after="100"/>
              <w:jc w:val="center"/>
              <w:rPr>
                <w:b/>
                <w:lang w:val="en-AU"/>
              </w:rPr>
            </w:pPr>
            <w:r w:rsidRPr="00EE0D35">
              <w:rPr>
                <w:b/>
                <w:lang w:val="en-AU"/>
              </w:rPr>
              <w:t>Plan ID</w:t>
            </w:r>
          </w:p>
        </w:tc>
        <w:tc>
          <w:tcPr>
            <w:tcW w:w="3686" w:type="dxa"/>
            <w:shd w:val="clear" w:color="auto" w:fill="auto"/>
          </w:tcPr>
          <w:p w14:paraId="761A0733" w14:textId="77777777" w:rsidR="00E441CA" w:rsidRPr="00EE0D35" w:rsidRDefault="00E441CA" w:rsidP="00E441CA">
            <w:pPr>
              <w:pStyle w:val="BodyText"/>
              <w:spacing w:before="100" w:after="100"/>
              <w:jc w:val="center"/>
              <w:rPr>
                <w:b/>
                <w:lang w:val="en-AU"/>
              </w:rPr>
            </w:pPr>
            <w:r w:rsidRPr="00EE0D35">
              <w:rPr>
                <w:b/>
                <w:lang w:val="en-AU"/>
              </w:rPr>
              <w:t>Available</w:t>
            </w:r>
          </w:p>
        </w:tc>
      </w:tr>
      <w:tr w:rsidR="00E441CA" w:rsidRPr="00F632D6" w14:paraId="0647453E" w14:textId="77777777" w:rsidTr="00E441CA">
        <w:trPr>
          <w:trHeight w:val="53"/>
          <w:jc w:val="center"/>
        </w:trPr>
        <w:tc>
          <w:tcPr>
            <w:tcW w:w="3549" w:type="dxa"/>
            <w:shd w:val="clear" w:color="auto" w:fill="auto"/>
          </w:tcPr>
          <w:p w14:paraId="2C4A6E4E" w14:textId="77777777" w:rsidR="00E441CA" w:rsidRPr="00F632D6" w:rsidRDefault="00E441CA" w:rsidP="00E441CA">
            <w:pPr>
              <w:pStyle w:val="BodyText"/>
              <w:spacing w:before="100" w:after="100"/>
              <w:jc w:val="center"/>
            </w:pPr>
            <w:r w:rsidRPr="00F632D6">
              <w:lastRenderedPageBreak/>
              <w:t>$12</w:t>
            </w:r>
            <w:r>
              <w:t>5</w:t>
            </w:r>
            <w:r w:rsidRPr="00F632D6">
              <w:t xml:space="preserve"> My Plan Business Tech Fund</w:t>
            </w:r>
          </w:p>
        </w:tc>
        <w:tc>
          <w:tcPr>
            <w:tcW w:w="1984" w:type="dxa"/>
            <w:shd w:val="clear" w:color="auto" w:fill="auto"/>
          </w:tcPr>
          <w:p w14:paraId="3E7660A1" w14:textId="77777777" w:rsidR="00E441CA" w:rsidRPr="00F632D6" w:rsidDel="00432A16" w:rsidRDefault="00E441CA" w:rsidP="00E441CA">
            <w:pPr>
              <w:pStyle w:val="BodyText"/>
              <w:spacing w:before="100" w:after="100"/>
              <w:jc w:val="center"/>
            </w:pPr>
            <w:r>
              <w:t>800532, 9954332</w:t>
            </w:r>
          </w:p>
        </w:tc>
        <w:tc>
          <w:tcPr>
            <w:tcW w:w="3686" w:type="dxa"/>
            <w:shd w:val="clear" w:color="auto" w:fill="auto"/>
          </w:tcPr>
          <w:p w14:paraId="5E65E677" w14:textId="77777777" w:rsidR="00E441CA" w:rsidRPr="00F632D6" w:rsidRDefault="00E441CA" w:rsidP="00E441CA">
            <w:pPr>
              <w:pStyle w:val="BodyText"/>
              <w:spacing w:before="100" w:after="100"/>
              <w:jc w:val="center"/>
              <w:rPr>
                <w:lang w:val="en-AU"/>
              </w:rPr>
            </w:pPr>
            <w:r w:rsidRPr="00B93D19">
              <w:rPr>
                <w:lang w:val="en-AU"/>
              </w:rPr>
              <w:t>5 September 2016</w:t>
            </w:r>
            <w:r>
              <w:rPr>
                <w:lang w:val="en-AU"/>
              </w:rPr>
              <w:t xml:space="preserve"> – 4 June 2017</w:t>
            </w:r>
          </w:p>
        </w:tc>
      </w:tr>
    </w:tbl>
    <w:p w14:paraId="7737FF1D" w14:textId="77777777" w:rsidR="00E441CA" w:rsidRPr="00FC5779" w:rsidRDefault="00E441CA" w:rsidP="00E441CA">
      <w:pPr>
        <w:pStyle w:val="BodyText"/>
        <w:rPr>
          <w:b/>
        </w:rPr>
      </w:pPr>
    </w:p>
    <w:p w14:paraId="3A42E017" w14:textId="77777777" w:rsidR="00E441CA" w:rsidRPr="00CD3F2D" w:rsidRDefault="00E441CA" w:rsidP="00E441CA">
      <w:pPr>
        <w:pStyle w:val="Heading6"/>
        <w:ind w:left="0" w:firstLine="0"/>
        <w:rPr>
          <w:lang w:val="en-AU"/>
        </w:rPr>
      </w:pPr>
      <w:bookmarkStart w:id="1530" w:name="_Toc455149920"/>
      <w:bookmarkStart w:id="1531" w:name="_Toc483832368"/>
      <w:r w:rsidRPr="00CD3F2D">
        <w:rPr>
          <w:lang w:val="en-AU"/>
        </w:rPr>
        <w:t>Eligibility</w:t>
      </w:r>
      <w:bookmarkEnd w:id="1530"/>
      <w:bookmarkEnd w:id="1531"/>
    </w:p>
    <w:p w14:paraId="329BA334" w14:textId="77777777" w:rsidR="00E441CA" w:rsidRPr="00C12929" w:rsidRDefault="00E441CA" w:rsidP="00E441CA">
      <w:pPr>
        <w:pStyle w:val="BodyText"/>
        <w:ind w:left="720"/>
        <w:rPr>
          <w:lang w:val="en-AU"/>
        </w:rPr>
      </w:pPr>
      <w:r w:rsidRPr="00C12929">
        <w:rPr>
          <w:lang w:val="en-AU"/>
        </w:rPr>
        <w:t xml:space="preserve">The </w:t>
      </w:r>
      <w:r>
        <w:rPr>
          <w:lang w:val="en-AU"/>
        </w:rPr>
        <w:t>$125 My Plan Business Tech Fund plan is</w:t>
      </w:r>
      <w:r w:rsidRPr="00C12929">
        <w:rPr>
          <w:lang w:val="en-AU"/>
        </w:rPr>
        <w:t xml:space="preserve"> available to new and existing business mobile customers who pass Optus</w:t>
      </w:r>
      <w:r>
        <w:rPr>
          <w:lang w:val="en-AU"/>
        </w:rPr>
        <w:t>'</w:t>
      </w:r>
      <w:r w:rsidRPr="00C12929">
        <w:rPr>
          <w:lang w:val="en-AU"/>
        </w:rPr>
        <w:t xml:space="preserve"> credit assessment. To be eligible for this plan, businesses must provide Optus with a registered ACN, ARBN or ABN and must sign up for a minimum of 6 services to a My Plan Business Tech Fund Plan on a single Optus billing account. </w:t>
      </w:r>
    </w:p>
    <w:p w14:paraId="17D0DB5C" w14:textId="77777777" w:rsidR="00E441CA" w:rsidRPr="00C12929" w:rsidRDefault="00E441CA" w:rsidP="00E441CA">
      <w:pPr>
        <w:pStyle w:val="BodyText"/>
        <w:ind w:left="720"/>
        <w:rPr>
          <w:lang w:val="en-AU"/>
        </w:rPr>
      </w:pPr>
      <w:r w:rsidRPr="00C12929">
        <w:rPr>
          <w:lang w:val="en-AU"/>
        </w:rPr>
        <w:t>Optus Service Providers</w:t>
      </w:r>
      <w:r>
        <w:rPr>
          <w:lang w:val="en-AU"/>
        </w:rPr>
        <w:t>'</w:t>
      </w:r>
      <w:r w:rsidRPr="00C12929">
        <w:rPr>
          <w:lang w:val="en-AU"/>
        </w:rPr>
        <w:t xml:space="preserve"> customers are not eligible to apply.</w:t>
      </w:r>
    </w:p>
    <w:p w14:paraId="427C0741" w14:textId="77777777" w:rsidR="00E441CA" w:rsidRPr="00C12929" w:rsidRDefault="00E441CA" w:rsidP="00E441CA">
      <w:pPr>
        <w:pStyle w:val="BodyText"/>
        <w:ind w:left="720"/>
        <w:rPr>
          <w:lang w:val="en-AU"/>
        </w:rPr>
      </w:pPr>
      <w:r>
        <w:rPr>
          <w:lang w:val="en-AU"/>
        </w:rPr>
        <w:t>This</w:t>
      </w:r>
      <w:r w:rsidRPr="00C12929">
        <w:rPr>
          <w:lang w:val="en-AU"/>
        </w:rPr>
        <w:t xml:space="preserve"> </w:t>
      </w:r>
      <w:r>
        <w:rPr>
          <w:i/>
          <w:lang w:val="en-AU"/>
        </w:rPr>
        <w:t>plan</w:t>
      </w:r>
      <w:r w:rsidRPr="00C12929">
        <w:rPr>
          <w:lang w:val="en-AU"/>
        </w:rPr>
        <w:t xml:space="preserve"> isn’t compatible for data use with BlackBerry handsets on operating systems of 7.1 or earlier.</w:t>
      </w:r>
    </w:p>
    <w:p w14:paraId="2B2F103F" w14:textId="77777777" w:rsidR="00E441CA" w:rsidRPr="00CD3F2D" w:rsidRDefault="00E441CA" w:rsidP="00E441CA">
      <w:pPr>
        <w:pStyle w:val="Heading6"/>
        <w:ind w:left="0" w:firstLine="0"/>
        <w:rPr>
          <w:lang w:val="en-AU"/>
        </w:rPr>
      </w:pPr>
      <w:bookmarkStart w:id="1532" w:name="_Toc455149921"/>
      <w:bookmarkStart w:id="1533" w:name="_Toc483832369"/>
      <w:r w:rsidRPr="00CD3F2D">
        <w:rPr>
          <w:lang w:val="en-AU"/>
        </w:rPr>
        <w:t>Minimum Term</w:t>
      </w:r>
      <w:bookmarkEnd w:id="1532"/>
      <w:bookmarkEnd w:id="1533"/>
    </w:p>
    <w:p w14:paraId="478F0D3D" w14:textId="77777777" w:rsidR="00E441CA" w:rsidRPr="00C12929" w:rsidRDefault="00E441CA" w:rsidP="00E441CA">
      <w:pPr>
        <w:pStyle w:val="BodyText"/>
        <w:ind w:firstLine="720"/>
        <w:rPr>
          <w:lang w:val="en-AU"/>
        </w:rPr>
      </w:pPr>
      <w:r>
        <w:rPr>
          <w:lang w:val="en-AU"/>
        </w:rPr>
        <w:t>This</w:t>
      </w:r>
      <w:r w:rsidRPr="00C12929">
        <w:rPr>
          <w:lang w:val="en-AU"/>
        </w:rPr>
        <w:t xml:space="preserve"> </w:t>
      </w:r>
      <w:r>
        <w:rPr>
          <w:i/>
          <w:lang w:val="en-AU"/>
        </w:rPr>
        <w:t>plan</w:t>
      </w:r>
      <w:r w:rsidRPr="00C12929">
        <w:rPr>
          <w:lang w:val="en-AU"/>
        </w:rPr>
        <w:t xml:space="preserve"> has</w:t>
      </w:r>
      <w:r w:rsidRPr="00C12929">
        <w:rPr>
          <w:i/>
          <w:lang w:val="en-AU"/>
        </w:rPr>
        <w:t xml:space="preserve"> </w:t>
      </w:r>
      <w:r w:rsidRPr="00C12929">
        <w:rPr>
          <w:lang w:val="en-AU"/>
        </w:rPr>
        <w:t xml:space="preserve">a </w:t>
      </w:r>
      <w:r w:rsidRPr="00C12929">
        <w:rPr>
          <w:i/>
          <w:lang w:val="en-AU"/>
        </w:rPr>
        <w:t>fixed length agreement</w:t>
      </w:r>
      <w:r w:rsidRPr="00C12929">
        <w:rPr>
          <w:lang w:val="en-AU"/>
        </w:rPr>
        <w:t xml:space="preserve"> with a 24 month </w:t>
      </w:r>
      <w:r w:rsidRPr="00C12929">
        <w:rPr>
          <w:i/>
          <w:lang w:val="en-AU"/>
        </w:rPr>
        <w:t>minimum term.</w:t>
      </w:r>
    </w:p>
    <w:p w14:paraId="55FBBA85" w14:textId="77777777" w:rsidR="00E441CA" w:rsidRPr="00CD3F2D" w:rsidRDefault="00E441CA" w:rsidP="00E441CA">
      <w:pPr>
        <w:pStyle w:val="Heading6"/>
        <w:ind w:left="0" w:firstLine="0"/>
        <w:rPr>
          <w:lang w:val="en-AU"/>
        </w:rPr>
      </w:pPr>
      <w:bookmarkStart w:id="1534" w:name="_Toc455149922"/>
      <w:bookmarkStart w:id="1535" w:name="_Toc483832370"/>
      <w:r w:rsidRPr="00CD3F2D">
        <w:rPr>
          <w:lang w:val="en-AU"/>
        </w:rPr>
        <w:t>What you have to pay us</w:t>
      </w:r>
      <w:bookmarkEnd w:id="1534"/>
      <w:bookmarkEnd w:id="1535"/>
    </w:p>
    <w:p w14:paraId="352F6698" w14:textId="77777777" w:rsidR="00E441CA" w:rsidRPr="00C12929" w:rsidRDefault="00E441CA" w:rsidP="00E441CA">
      <w:pPr>
        <w:pStyle w:val="Heading7"/>
        <w:rPr>
          <w:lang w:val="en-AU"/>
        </w:rPr>
      </w:pPr>
      <w:r w:rsidRPr="00C12929">
        <w:rPr>
          <w:i/>
          <w:lang w:val="en-AU"/>
        </w:rPr>
        <w:t>You</w:t>
      </w:r>
      <w:r w:rsidRPr="00C12929">
        <w:rPr>
          <w:lang w:val="en-AU"/>
        </w:rPr>
        <w:t xml:space="preserve"> must pay </w:t>
      </w:r>
      <w:r w:rsidRPr="00C12929">
        <w:rPr>
          <w:i/>
          <w:lang w:val="en-AU"/>
        </w:rPr>
        <w:t>us</w:t>
      </w:r>
      <w:r w:rsidRPr="00C12929">
        <w:rPr>
          <w:lang w:val="en-AU"/>
        </w:rPr>
        <w:t xml:space="preserve"> for use of the </w:t>
      </w:r>
      <w:r w:rsidRPr="00C12929">
        <w:rPr>
          <w:i/>
          <w:lang w:val="en-AU"/>
        </w:rPr>
        <w:t>service</w:t>
      </w:r>
      <w:r w:rsidRPr="00C12929">
        <w:rPr>
          <w:lang w:val="en-AU"/>
        </w:rPr>
        <w:t xml:space="preserve"> at the rates set out in Section 1 of this </w:t>
      </w:r>
      <w:r w:rsidRPr="00C12929">
        <w:rPr>
          <w:i/>
          <w:lang w:val="en-AU"/>
        </w:rPr>
        <w:t>standard pricing table</w:t>
      </w:r>
      <w:r w:rsidRPr="00C12929">
        <w:rPr>
          <w:lang w:val="en-AU"/>
        </w:rPr>
        <w:t xml:space="preserve"> and for value added service features at the rates set out in </w:t>
      </w:r>
      <w:hyperlink r:id="rId716" w:history="1">
        <w:r w:rsidRPr="00365735">
          <w:rPr>
            <w:rStyle w:val="Hyperlink"/>
            <w:i/>
            <w:lang w:val="en-AU"/>
          </w:rPr>
          <w:t>Appendix Y Value Added Service Features</w:t>
        </w:r>
        <w:r w:rsidRPr="004F0BB5">
          <w:rPr>
            <w:rStyle w:val="Hyperlink"/>
            <w:lang w:val="en-AU"/>
          </w:rPr>
          <w:t>.</w:t>
        </w:r>
      </w:hyperlink>
    </w:p>
    <w:p w14:paraId="767FACBB" w14:textId="77777777" w:rsidR="00E441CA" w:rsidRPr="00C12929" w:rsidRDefault="00E441CA" w:rsidP="00E441CA">
      <w:pPr>
        <w:pStyle w:val="Heading7"/>
        <w:rPr>
          <w:lang w:val="en-AU"/>
        </w:rPr>
      </w:pPr>
      <w:r w:rsidRPr="00C12929">
        <w:rPr>
          <w:lang w:val="en-AU"/>
        </w:rPr>
        <w:t>If there is a flagfall for a particular call type, the charge for these calls is the flagfall amount plus the relevant rate for the call multiplied by the duration of the call.</w:t>
      </w:r>
    </w:p>
    <w:p w14:paraId="1B128822" w14:textId="77777777" w:rsidR="00E441CA" w:rsidRPr="002663BF" w:rsidRDefault="00E441CA" w:rsidP="00E441CA">
      <w:pPr>
        <w:pStyle w:val="Heading7"/>
        <w:rPr>
          <w:b/>
          <w:lang w:val="en-AU"/>
        </w:rPr>
      </w:pPr>
      <w:r w:rsidRPr="002663BF">
        <w:rPr>
          <w:b/>
          <w:lang w:val="en-AU"/>
        </w:rPr>
        <w:t>Minimum Monthly Charge</w:t>
      </w:r>
    </w:p>
    <w:p w14:paraId="30FD401E" w14:textId="77777777" w:rsidR="00E441CA" w:rsidRPr="00C12929" w:rsidRDefault="00E441CA" w:rsidP="00E441CA">
      <w:pPr>
        <w:pStyle w:val="Heading8"/>
        <w:rPr>
          <w:lang w:val="en-AU"/>
        </w:rPr>
      </w:pPr>
      <w:r>
        <w:rPr>
          <w:lang w:val="en-AU"/>
        </w:rPr>
        <w:t xml:space="preserve">$125 </w:t>
      </w:r>
      <w:r w:rsidRPr="00C12929">
        <w:rPr>
          <w:lang w:val="en-AU"/>
        </w:rPr>
        <w:t xml:space="preserve">My Plan Business Tech Fund plan has a Minimum Monthly Charge amount that </w:t>
      </w:r>
      <w:r w:rsidRPr="00C12929">
        <w:rPr>
          <w:i/>
          <w:lang w:val="en-AU"/>
        </w:rPr>
        <w:t>you</w:t>
      </w:r>
      <w:r w:rsidRPr="00C12929">
        <w:rPr>
          <w:lang w:val="en-AU"/>
        </w:rPr>
        <w:t xml:space="preserve"> must pay </w:t>
      </w:r>
      <w:r w:rsidRPr="00C12929">
        <w:rPr>
          <w:i/>
          <w:lang w:val="en-AU"/>
        </w:rPr>
        <w:t>us</w:t>
      </w:r>
      <w:r w:rsidRPr="00C12929">
        <w:rPr>
          <w:lang w:val="en-AU"/>
        </w:rPr>
        <w:t xml:space="preserve"> each month as set out in Table 1 below.</w:t>
      </w:r>
      <w:r>
        <w:rPr>
          <w:lang w:val="en-AU"/>
        </w:rPr>
        <w:t xml:space="preserve"> </w:t>
      </w:r>
    </w:p>
    <w:p w14:paraId="7E918879" w14:textId="77777777" w:rsidR="00E441CA" w:rsidRPr="00CD3F2D" w:rsidRDefault="00E441CA" w:rsidP="00E441CA">
      <w:pPr>
        <w:pStyle w:val="Heading6"/>
        <w:ind w:left="0" w:firstLine="0"/>
        <w:rPr>
          <w:lang w:val="en-AU"/>
        </w:rPr>
      </w:pPr>
      <w:bookmarkStart w:id="1536" w:name="_Toc455149923"/>
      <w:bookmarkStart w:id="1537" w:name="_Toc483832371"/>
      <w:r w:rsidRPr="00CD3F2D">
        <w:rPr>
          <w:lang w:val="en-AU"/>
        </w:rPr>
        <w:t>How My Plan Business Tech Fund works</w:t>
      </w:r>
      <w:bookmarkEnd w:id="1536"/>
      <w:bookmarkEnd w:id="1537"/>
    </w:p>
    <w:p w14:paraId="302D9866" w14:textId="77777777" w:rsidR="00E441CA" w:rsidRPr="00C12929" w:rsidRDefault="00E441CA" w:rsidP="00E441CA">
      <w:pPr>
        <w:pStyle w:val="Heading7"/>
        <w:rPr>
          <w:lang w:val="en-AU"/>
        </w:rPr>
      </w:pPr>
      <w:r>
        <w:rPr>
          <w:lang w:val="en-AU"/>
        </w:rPr>
        <w:t xml:space="preserve">$125 </w:t>
      </w:r>
      <w:r w:rsidRPr="00C12929">
        <w:rPr>
          <w:lang w:val="en-AU"/>
        </w:rPr>
        <w:t xml:space="preserve">My Plan Business Tech Fund has unlimited minutes to use on standard national calls to landlines and mobiles, 13/1300 numbers and voicemail retrievals and an amount of Included Data (for mobile internet use) to share with other services on a My Plan Plus, My Plan Plus SIM Only, My Plan Business (including Tech Fund), My Plan Business SIM, My Mobile Broadband Plus, Mobile Broadband Business or Shared Data Plan on the same account. </w:t>
      </w:r>
    </w:p>
    <w:p w14:paraId="603C4011" w14:textId="77777777" w:rsidR="00E441CA" w:rsidRPr="00C12929" w:rsidRDefault="00E441CA" w:rsidP="00E441CA">
      <w:pPr>
        <w:pStyle w:val="Heading7"/>
        <w:rPr>
          <w:lang w:val="en-AU"/>
        </w:rPr>
      </w:pPr>
      <w:r>
        <w:rPr>
          <w:lang w:val="en-AU"/>
        </w:rPr>
        <w:t>This plan</w:t>
      </w:r>
      <w:r w:rsidRPr="00C12929">
        <w:rPr>
          <w:lang w:val="en-AU"/>
        </w:rPr>
        <w:t xml:space="preserve"> also includes unlimited standard national SMS/MMS and unlimited standard International SMS/MM</w:t>
      </w:r>
      <w:r>
        <w:rPr>
          <w:lang w:val="en-AU"/>
        </w:rPr>
        <w:t xml:space="preserve">S to selected countries. </w:t>
      </w:r>
    </w:p>
    <w:p w14:paraId="0272C32A" w14:textId="77777777" w:rsidR="00E441CA" w:rsidRPr="00C12929" w:rsidRDefault="00E441CA" w:rsidP="00E441CA">
      <w:pPr>
        <w:pStyle w:val="Heading7"/>
        <w:rPr>
          <w:lang w:val="en-AU"/>
        </w:rPr>
      </w:pPr>
      <w:r w:rsidRPr="00C12929">
        <w:rPr>
          <w:lang w:val="en-AU"/>
        </w:rPr>
        <w:t>Data usage is calculated in one kilobyte increments. International minutes are billed in one minute increments</w:t>
      </w:r>
    </w:p>
    <w:p w14:paraId="07B5E6D2" w14:textId="77777777" w:rsidR="00E441CA" w:rsidRPr="00C12929" w:rsidRDefault="00E441CA" w:rsidP="00E441CA">
      <w:pPr>
        <w:pStyle w:val="Heading7"/>
        <w:rPr>
          <w:lang w:val="en-AU"/>
        </w:rPr>
      </w:pPr>
      <w:r w:rsidRPr="00C12929">
        <w:t>If you exceed your included shareable data you</w:t>
      </w:r>
      <w:r>
        <w:t>'</w:t>
      </w:r>
      <w:r w:rsidRPr="00C12929">
        <w:t>ll automatically be charged $10 for each additional 1GB of data (</w:t>
      </w:r>
      <w:r>
        <w:t>"</w:t>
      </w:r>
      <w:r w:rsidRPr="00C12929">
        <w:rPr>
          <w:b/>
        </w:rPr>
        <w:t>Additional Data</w:t>
      </w:r>
      <w:r>
        <w:t>"</w:t>
      </w:r>
      <w:r w:rsidRPr="00C12929">
        <w:t xml:space="preserve">) up to 150GB of extra data per account each month. Your service/s may then be restricted or we may continue to charge you at these rates. </w:t>
      </w:r>
    </w:p>
    <w:p w14:paraId="6864C17C" w14:textId="77777777" w:rsidR="00E441CA" w:rsidRPr="00CD3F2D" w:rsidRDefault="00E441CA" w:rsidP="00E441CA">
      <w:pPr>
        <w:pStyle w:val="Heading7"/>
        <w:rPr>
          <w:b/>
          <w:lang w:val="en-AU"/>
        </w:rPr>
      </w:pPr>
      <w:r w:rsidRPr="00C12929">
        <w:rPr>
          <w:lang w:val="en-AU"/>
        </w:rPr>
        <w:t xml:space="preserve">Any unused portion of </w:t>
      </w:r>
      <w:r w:rsidRPr="00C12929">
        <w:rPr>
          <w:i/>
          <w:lang w:val="en-AU"/>
        </w:rPr>
        <w:t>your</w:t>
      </w:r>
      <w:r w:rsidRPr="00C12929">
        <w:rPr>
          <w:lang w:val="en-AU"/>
        </w:rPr>
        <w:t xml:space="preserve"> </w:t>
      </w:r>
      <w:r w:rsidRPr="00C12929">
        <w:rPr>
          <w:i/>
          <w:lang w:val="en-AU"/>
        </w:rPr>
        <w:t>plan</w:t>
      </w:r>
      <w:r>
        <w:rPr>
          <w:i/>
          <w:lang w:val="en-AU"/>
        </w:rPr>
        <w:t>'</w:t>
      </w:r>
      <w:r w:rsidRPr="00C12929">
        <w:rPr>
          <w:i/>
          <w:lang w:val="en-AU"/>
        </w:rPr>
        <w:t>s</w:t>
      </w:r>
      <w:r w:rsidRPr="00C12929">
        <w:rPr>
          <w:lang w:val="en-AU"/>
        </w:rPr>
        <w:t xml:space="preserve"> Included or Additional Data expires at the end of each month and does not roll over into the next month.</w:t>
      </w:r>
    </w:p>
    <w:p w14:paraId="7C5F8F8B" w14:textId="77777777" w:rsidR="00E441CA" w:rsidRPr="00C12929" w:rsidRDefault="00E441CA" w:rsidP="00E441CA">
      <w:pPr>
        <w:pStyle w:val="Heading7"/>
        <w:rPr>
          <w:b/>
          <w:lang w:val="en-AU"/>
        </w:rPr>
      </w:pPr>
      <w:r w:rsidRPr="00C12929">
        <w:rPr>
          <w:i/>
          <w:lang w:val="en-AU"/>
        </w:rPr>
        <w:t>You</w:t>
      </w:r>
      <w:r w:rsidRPr="00C12929">
        <w:rPr>
          <w:lang w:val="en-AU"/>
        </w:rPr>
        <w:t xml:space="preserve"> must pay </w:t>
      </w:r>
      <w:r w:rsidRPr="00C12929">
        <w:rPr>
          <w:i/>
          <w:lang w:val="en-AU"/>
        </w:rPr>
        <w:t>us</w:t>
      </w:r>
      <w:r w:rsidRPr="00C12929">
        <w:rPr>
          <w:lang w:val="en-AU"/>
        </w:rPr>
        <w:t xml:space="preserve"> for use of any services that are not included in </w:t>
      </w:r>
      <w:r w:rsidRPr="00C12929">
        <w:rPr>
          <w:i/>
          <w:lang w:val="en-AU"/>
        </w:rPr>
        <w:t>your</w:t>
      </w:r>
      <w:r w:rsidRPr="00C12929">
        <w:rPr>
          <w:lang w:val="en-AU"/>
        </w:rPr>
        <w:t xml:space="preserve"> plan</w:t>
      </w:r>
      <w:r>
        <w:rPr>
          <w:lang w:val="en-AU"/>
        </w:rPr>
        <w:t>'</w:t>
      </w:r>
      <w:r w:rsidRPr="00C12929">
        <w:rPr>
          <w:lang w:val="en-AU"/>
        </w:rPr>
        <w:t>s inclusions, examples of which are set out in Table 2 below.</w:t>
      </w:r>
    </w:p>
    <w:p w14:paraId="7912D2C9" w14:textId="77777777" w:rsidR="00E441CA" w:rsidRPr="00CD3F2D" w:rsidRDefault="00E441CA" w:rsidP="00E441CA">
      <w:pPr>
        <w:pStyle w:val="Heading6"/>
        <w:ind w:left="0" w:firstLine="0"/>
        <w:rPr>
          <w:lang w:val="en-AU"/>
        </w:rPr>
      </w:pPr>
      <w:bookmarkStart w:id="1538" w:name="_Toc455149924"/>
      <w:bookmarkStart w:id="1539" w:name="_Toc483832372"/>
      <w:r w:rsidRPr="00CD3F2D">
        <w:rPr>
          <w:lang w:val="en-AU"/>
        </w:rPr>
        <w:t>Plan Changes</w:t>
      </w:r>
      <w:bookmarkEnd w:id="1538"/>
      <w:bookmarkEnd w:id="1539"/>
    </w:p>
    <w:p w14:paraId="622D5CA2" w14:textId="77777777" w:rsidR="00E441CA" w:rsidRPr="00C12929" w:rsidRDefault="00E441CA" w:rsidP="00E441CA">
      <w:pPr>
        <w:pStyle w:val="BodyText"/>
        <w:ind w:left="720"/>
      </w:pPr>
      <w:r w:rsidRPr="00C12929">
        <w:t>You can change your plan during the minimum term provided you move to a plan with a higher monthly access fee. You cannot change your plan during the minimum term to a plan with the same or lower monthly access fee. If you change your plan during the minimum term a fee may apply and any mobile handset credit will remain the same.</w:t>
      </w:r>
    </w:p>
    <w:p w14:paraId="0147972F" w14:textId="77777777" w:rsidR="00E441CA" w:rsidRPr="004C64A0" w:rsidRDefault="00E441CA" w:rsidP="00E441CA">
      <w:pPr>
        <w:pStyle w:val="Heading6"/>
        <w:ind w:left="0" w:firstLine="0"/>
        <w:rPr>
          <w:lang w:val="en-AU"/>
        </w:rPr>
      </w:pPr>
      <w:bookmarkStart w:id="1540" w:name="_Toc455149925"/>
      <w:bookmarkStart w:id="1541" w:name="_Toc483832373"/>
      <w:r w:rsidRPr="004C64A0">
        <w:rPr>
          <w:lang w:val="en-AU"/>
        </w:rPr>
        <w:lastRenderedPageBreak/>
        <w:t>Handset Credit</w:t>
      </w:r>
      <w:bookmarkEnd w:id="1540"/>
      <w:bookmarkEnd w:id="1541"/>
    </w:p>
    <w:p w14:paraId="327FA1DE" w14:textId="77777777" w:rsidR="00E441CA" w:rsidRPr="00C12929" w:rsidRDefault="00E441CA" w:rsidP="00E441CA">
      <w:pPr>
        <w:pStyle w:val="Heading7"/>
        <w:rPr>
          <w:lang w:val="en-AU"/>
        </w:rPr>
      </w:pPr>
      <w:r w:rsidRPr="00C12929">
        <w:rPr>
          <w:lang w:val="en-AU"/>
        </w:rPr>
        <w:t xml:space="preserve">The Handset Credit is a special offer available to customers who are eligible for and connect to a My Plan Business Tech Fund plan, and who do not choose to take a handset upfront. It allows </w:t>
      </w:r>
      <w:r w:rsidRPr="00C12929">
        <w:rPr>
          <w:i/>
          <w:lang w:val="en-AU"/>
        </w:rPr>
        <w:t>you</w:t>
      </w:r>
      <w:r w:rsidRPr="00C12929">
        <w:rPr>
          <w:lang w:val="en-AU"/>
        </w:rPr>
        <w:t xml:space="preserve"> to purchase mobile phones and accessories from Optus at any period throughout </w:t>
      </w:r>
      <w:r w:rsidRPr="00C12929">
        <w:rPr>
          <w:i/>
          <w:lang w:val="en-AU"/>
        </w:rPr>
        <w:t>your</w:t>
      </w:r>
      <w:r w:rsidRPr="00C12929">
        <w:rPr>
          <w:lang w:val="en-AU"/>
        </w:rPr>
        <w:t xml:space="preserve"> contract; it cannot be used for any other purpose other than the purchase of handsets and accessories from </w:t>
      </w:r>
      <w:r w:rsidRPr="00C12929">
        <w:rPr>
          <w:i/>
          <w:lang w:val="en-AU"/>
        </w:rPr>
        <w:t>us</w:t>
      </w:r>
      <w:r w:rsidRPr="00C12929">
        <w:rPr>
          <w:lang w:val="en-AU"/>
        </w:rPr>
        <w:t xml:space="preserve">. </w:t>
      </w:r>
    </w:p>
    <w:p w14:paraId="6571998A" w14:textId="77777777" w:rsidR="00E441CA" w:rsidRDefault="00E441CA" w:rsidP="00E441CA">
      <w:pPr>
        <w:pStyle w:val="Heading7"/>
      </w:pPr>
      <w:r w:rsidRPr="00C12929">
        <w:t xml:space="preserve">The amount of credit will be dependent on the plan </w:t>
      </w:r>
      <w:r w:rsidRPr="00C12929">
        <w:rPr>
          <w:i/>
        </w:rPr>
        <w:t>you</w:t>
      </w:r>
      <w:r w:rsidRPr="00C12929">
        <w:t xml:space="preserve"> connect to as per the table below.</w:t>
      </w:r>
    </w:p>
    <w:tbl>
      <w:tblPr>
        <w:tblW w:w="5659"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3769"/>
      </w:tblGrid>
      <w:tr w:rsidR="00E441CA" w:rsidRPr="00090AB3" w14:paraId="605CD60D" w14:textId="77777777" w:rsidTr="00E441CA">
        <w:tc>
          <w:tcPr>
            <w:tcW w:w="1890" w:type="dxa"/>
            <w:vAlign w:val="center"/>
          </w:tcPr>
          <w:p w14:paraId="521C2AF2" w14:textId="77777777" w:rsidR="00E441CA" w:rsidRPr="004C64A0" w:rsidRDefault="00E441CA" w:rsidP="00E441CA">
            <w:pPr>
              <w:pStyle w:val="BodyText"/>
              <w:spacing w:before="100" w:after="100"/>
              <w:jc w:val="center"/>
              <w:rPr>
                <w:b/>
              </w:rPr>
            </w:pPr>
            <w:r w:rsidRPr="004C64A0">
              <w:rPr>
                <w:b/>
              </w:rPr>
              <w:t>Plan</w:t>
            </w:r>
          </w:p>
        </w:tc>
        <w:tc>
          <w:tcPr>
            <w:tcW w:w="3769" w:type="dxa"/>
          </w:tcPr>
          <w:p w14:paraId="1DA865F9" w14:textId="77777777" w:rsidR="00E441CA" w:rsidRPr="004C64A0" w:rsidRDefault="00E441CA" w:rsidP="00E441CA">
            <w:pPr>
              <w:pStyle w:val="BodyText"/>
              <w:spacing w:before="100" w:after="100"/>
              <w:jc w:val="center"/>
              <w:rPr>
                <w:b/>
              </w:rPr>
            </w:pPr>
            <w:r w:rsidRPr="004C64A0">
              <w:rPr>
                <w:b/>
              </w:rPr>
              <w:t>$12</w:t>
            </w:r>
            <w:r>
              <w:rPr>
                <w:b/>
              </w:rPr>
              <w:t>5</w:t>
            </w:r>
            <w:r w:rsidRPr="004C64A0">
              <w:rPr>
                <w:b/>
              </w:rPr>
              <w:t xml:space="preserve"> My Plan Business Tech Fund</w:t>
            </w:r>
          </w:p>
        </w:tc>
      </w:tr>
      <w:tr w:rsidR="00E441CA" w:rsidRPr="00090AB3" w14:paraId="2C16F5E4" w14:textId="77777777" w:rsidTr="00E441CA">
        <w:tc>
          <w:tcPr>
            <w:tcW w:w="1890" w:type="dxa"/>
            <w:vAlign w:val="center"/>
          </w:tcPr>
          <w:p w14:paraId="648C8D55" w14:textId="77777777" w:rsidR="00E441CA" w:rsidRPr="004C64A0" w:rsidRDefault="00E441CA" w:rsidP="00E441CA">
            <w:pPr>
              <w:pStyle w:val="BodyText"/>
              <w:spacing w:before="100" w:after="100"/>
              <w:jc w:val="center"/>
              <w:rPr>
                <w:b/>
              </w:rPr>
            </w:pPr>
            <w:r w:rsidRPr="004C64A0">
              <w:rPr>
                <w:b/>
                <w:bCs/>
                <w:color w:val="000000"/>
              </w:rPr>
              <w:t>Handset Credit</w:t>
            </w:r>
          </w:p>
        </w:tc>
        <w:tc>
          <w:tcPr>
            <w:tcW w:w="3769" w:type="dxa"/>
          </w:tcPr>
          <w:p w14:paraId="7F16E332" w14:textId="77777777" w:rsidR="00E441CA" w:rsidRPr="00F632D6" w:rsidRDefault="00E441CA" w:rsidP="00E441CA">
            <w:pPr>
              <w:pStyle w:val="BodyText"/>
              <w:spacing w:before="100" w:after="100"/>
              <w:jc w:val="center"/>
              <w:rPr>
                <w:bCs/>
                <w:caps/>
                <w:color w:val="000000"/>
              </w:rPr>
            </w:pPr>
            <w:r w:rsidRPr="00F632D6">
              <w:t>$977</w:t>
            </w:r>
          </w:p>
        </w:tc>
      </w:tr>
    </w:tbl>
    <w:p w14:paraId="07E40812" w14:textId="77777777" w:rsidR="00E441CA" w:rsidRDefault="00E441CA" w:rsidP="00E441CA">
      <w:pPr>
        <w:pStyle w:val="BodyText"/>
      </w:pPr>
    </w:p>
    <w:p w14:paraId="52163EA7" w14:textId="77777777" w:rsidR="00E441CA" w:rsidRPr="004C64A0" w:rsidRDefault="00E441CA" w:rsidP="00E441CA">
      <w:pPr>
        <w:pStyle w:val="Heading7"/>
        <w:rPr>
          <w:lang w:val="en-AU"/>
        </w:rPr>
      </w:pPr>
      <w:r w:rsidRPr="004C64A0">
        <w:rPr>
          <w:i/>
          <w:lang w:val="en-AU"/>
        </w:rPr>
        <w:t>You</w:t>
      </w:r>
      <w:r w:rsidRPr="004C64A0">
        <w:rPr>
          <w:lang w:val="en-AU"/>
        </w:rPr>
        <w:t xml:space="preserve"> may use the Handset Credit deposited into </w:t>
      </w:r>
      <w:r w:rsidRPr="004C64A0">
        <w:rPr>
          <w:i/>
          <w:lang w:val="en-AU"/>
        </w:rPr>
        <w:t>your</w:t>
      </w:r>
      <w:r w:rsidRPr="004C64A0">
        <w:rPr>
          <w:lang w:val="en-AU"/>
        </w:rPr>
        <w:t xml:space="preserve"> account to purchase handsets listed in the Optus e-fulfilment price list as amended by </w:t>
      </w:r>
      <w:r w:rsidRPr="004C64A0">
        <w:rPr>
          <w:i/>
          <w:lang w:val="en-AU"/>
        </w:rPr>
        <w:t>us</w:t>
      </w:r>
      <w:r w:rsidRPr="004C64A0">
        <w:rPr>
          <w:lang w:val="en-AU"/>
        </w:rPr>
        <w:t xml:space="preserve"> from time to time. This list is available to </w:t>
      </w:r>
      <w:r w:rsidRPr="004C64A0">
        <w:rPr>
          <w:i/>
          <w:lang w:val="en-AU"/>
        </w:rPr>
        <w:t>you</w:t>
      </w:r>
      <w:r w:rsidRPr="004C64A0">
        <w:rPr>
          <w:lang w:val="en-AU"/>
        </w:rPr>
        <w:t xml:space="preserve"> upon request.</w:t>
      </w:r>
    </w:p>
    <w:p w14:paraId="3A6E7BA3" w14:textId="77777777" w:rsidR="00E441CA" w:rsidRPr="004C64A0" w:rsidRDefault="00E441CA" w:rsidP="00E441CA">
      <w:pPr>
        <w:pStyle w:val="Heading7"/>
        <w:rPr>
          <w:lang w:val="en-AU"/>
        </w:rPr>
      </w:pPr>
      <w:r w:rsidRPr="004C64A0">
        <w:rPr>
          <w:lang w:val="en-AU"/>
        </w:rPr>
        <w:t xml:space="preserve">If the purchase price for products that </w:t>
      </w:r>
      <w:r w:rsidRPr="004C64A0">
        <w:rPr>
          <w:i/>
          <w:lang w:val="en-AU"/>
        </w:rPr>
        <w:t>you</w:t>
      </w:r>
      <w:r w:rsidRPr="004C64A0">
        <w:rPr>
          <w:lang w:val="en-AU"/>
        </w:rPr>
        <w:t xml:space="preserve"> order is greater than the Handset Credit remaining in </w:t>
      </w:r>
      <w:r w:rsidRPr="004C64A0">
        <w:rPr>
          <w:i/>
          <w:lang w:val="en-AU"/>
        </w:rPr>
        <w:t>your</w:t>
      </w:r>
      <w:r w:rsidRPr="004C64A0">
        <w:rPr>
          <w:lang w:val="en-AU"/>
        </w:rPr>
        <w:t xml:space="preserve"> account, </w:t>
      </w:r>
      <w:r w:rsidRPr="004C64A0">
        <w:rPr>
          <w:i/>
          <w:lang w:val="en-AU"/>
        </w:rPr>
        <w:t>you</w:t>
      </w:r>
      <w:r w:rsidRPr="004C64A0">
        <w:rPr>
          <w:lang w:val="en-AU"/>
        </w:rPr>
        <w:t xml:space="preserve"> must pay any difference for those products by manually topping up </w:t>
      </w:r>
      <w:r w:rsidRPr="004C64A0">
        <w:rPr>
          <w:i/>
          <w:lang w:val="en-AU"/>
        </w:rPr>
        <w:t>your</w:t>
      </w:r>
      <w:r w:rsidRPr="004C64A0">
        <w:rPr>
          <w:lang w:val="en-AU"/>
        </w:rPr>
        <w:t xml:space="preserve"> Handset Credit Fund account with the required funds before purchasing.</w:t>
      </w:r>
    </w:p>
    <w:p w14:paraId="3B89F66E" w14:textId="77777777" w:rsidR="00E441CA" w:rsidRPr="004C64A0" w:rsidRDefault="00E441CA" w:rsidP="00E441CA">
      <w:pPr>
        <w:pStyle w:val="Heading7"/>
        <w:rPr>
          <w:lang w:val="en-AU"/>
        </w:rPr>
      </w:pPr>
      <w:r w:rsidRPr="004C64A0">
        <w:rPr>
          <w:lang w:val="en-AU"/>
        </w:rPr>
        <w:t xml:space="preserve">The value of the Handset Credit is not redeemable for cash and may not be transferred or used for any other purposes (for instance, it may not be used to pay for service charges, minimum monthly call spend or call costs, cannot be used against cancellation fees). </w:t>
      </w:r>
    </w:p>
    <w:p w14:paraId="36BFA81D" w14:textId="77777777" w:rsidR="00E441CA" w:rsidRPr="004C64A0" w:rsidRDefault="00E441CA" w:rsidP="00E441CA">
      <w:pPr>
        <w:pStyle w:val="Heading7"/>
        <w:rPr>
          <w:lang w:val="en-AU"/>
        </w:rPr>
      </w:pPr>
      <w:r w:rsidRPr="004C64A0">
        <w:rPr>
          <w:lang w:val="en-AU"/>
        </w:rPr>
        <w:t xml:space="preserve">If you cancel a service on an account with multiple Tech Fund services, you will not lose any unused handset credit. Only if </w:t>
      </w:r>
      <w:r w:rsidRPr="004C64A0">
        <w:rPr>
          <w:i/>
          <w:lang w:val="en-AU"/>
        </w:rPr>
        <w:t>your</w:t>
      </w:r>
      <w:r w:rsidRPr="004C64A0">
        <w:rPr>
          <w:lang w:val="en-AU"/>
        </w:rPr>
        <w:t xml:space="preserve"> account is cancelled for any reason then any unused credit will be forfeited.</w:t>
      </w:r>
    </w:p>
    <w:p w14:paraId="71A12551" w14:textId="77777777" w:rsidR="00E441CA" w:rsidRPr="004C64A0" w:rsidRDefault="00E441CA" w:rsidP="00E441CA">
      <w:pPr>
        <w:pStyle w:val="Heading6"/>
        <w:ind w:left="0" w:firstLine="0"/>
        <w:rPr>
          <w:lang w:val="en-AU"/>
        </w:rPr>
      </w:pPr>
      <w:bookmarkStart w:id="1542" w:name="_Toc455149926"/>
      <w:bookmarkStart w:id="1543" w:name="_Toc483832374"/>
      <w:r w:rsidRPr="004C64A0">
        <w:rPr>
          <w:lang w:val="en-AU"/>
        </w:rPr>
        <w:t>Data Sharing</w:t>
      </w:r>
      <w:bookmarkEnd w:id="1542"/>
      <w:bookmarkEnd w:id="1543"/>
    </w:p>
    <w:p w14:paraId="4E218AE3" w14:textId="77777777" w:rsidR="00E441CA" w:rsidRPr="004C64A0" w:rsidRDefault="00E441CA" w:rsidP="00E441CA">
      <w:pPr>
        <w:pStyle w:val="Heading7"/>
        <w:rPr>
          <w:lang w:val="en-AU"/>
        </w:rPr>
      </w:pPr>
      <w:r w:rsidRPr="004C64A0">
        <w:rPr>
          <w:lang w:val="en-AU"/>
        </w:rPr>
        <w:t>If you have more than one My Plan Plus, My Plan Plus SIM Only, My Plan Business (including Tech Fund), My Plan Business SIM, My Mobile Broadband Plus or Mobile Broadband Business on the same billing account, the included data will combine into one data pool, which will be shared by all eligible services on that account.</w:t>
      </w:r>
    </w:p>
    <w:p w14:paraId="77DA070B" w14:textId="77777777" w:rsidR="00E441CA" w:rsidRPr="004C64A0" w:rsidRDefault="00E441CA" w:rsidP="00E441CA">
      <w:pPr>
        <w:pStyle w:val="Heading7"/>
        <w:rPr>
          <w:lang w:val="en-AU"/>
        </w:rPr>
      </w:pPr>
      <w:r w:rsidRPr="004C64A0">
        <w:rPr>
          <w:lang w:val="en-AU"/>
        </w:rPr>
        <w:t xml:space="preserve">If </w:t>
      </w:r>
      <w:r w:rsidRPr="004C64A0">
        <w:rPr>
          <w:i/>
          <w:lang w:val="en-AU"/>
        </w:rPr>
        <w:t>you</w:t>
      </w:r>
      <w:r w:rsidRPr="004C64A0">
        <w:rPr>
          <w:lang w:val="en-AU"/>
        </w:rPr>
        <w:t xml:space="preserve"> do not want </w:t>
      </w:r>
      <w:r w:rsidRPr="004C64A0">
        <w:rPr>
          <w:i/>
          <w:lang w:val="en-AU"/>
        </w:rPr>
        <w:t>your</w:t>
      </w:r>
      <w:r w:rsidRPr="004C64A0">
        <w:rPr>
          <w:lang w:val="en-AU"/>
        </w:rPr>
        <w:t xml:space="preserve"> services on any My Plan Plus, My Plan Plus SIM Only, My Plan Business (including Tech Fund), My Plan Business SIM, My Mobile Broadband Plus or Mobile Broadband Business plans to share data, they need to be on separate billing accounts. </w:t>
      </w:r>
    </w:p>
    <w:p w14:paraId="024D365F" w14:textId="77777777" w:rsidR="00E441CA" w:rsidRPr="004C64A0" w:rsidRDefault="00E441CA" w:rsidP="00E441CA">
      <w:pPr>
        <w:pStyle w:val="Heading7"/>
        <w:rPr>
          <w:lang w:val="en-AU"/>
        </w:rPr>
      </w:pPr>
      <w:r w:rsidRPr="004C64A0">
        <w:rPr>
          <w:lang w:val="en-AU"/>
        </w:rPr>
        <w:t>Data sharing is only available within Australia.</w:t>
      </w:r>
    </w:p>
    <w:p w14:paraId="672B9A46" w14:textId="77777777" w:rsidR="00E441CA" w:rsidRPr="004C64A0" w:rsidRDefault="00E441CA" w:rsidP="00E441CA">
      <w:pPr>
        <w:pStyle w:val="Heading6"/>
        <w:ind w:left="0" w:firstLine="0"/>
        <w:rPr>
          <w:lang w:val="en-AU"/>
        </w:rPr>
      </w:pPr>
      <w:bookmarkStart w:id="1544" w:name="_Toc455149927"/>
      <w:bookmarkStart w:id="1545" w:name="_Toc483832375"/>
      <w:r w:rsidRPr="004C64A0">
        <w:rPr>
          <w:lang w:val="en-AU"/>
        </w:rPr>
        <w:t>International Minutes</w:t>
      </w:r>
      <w:bookmarkEnd w:id="1544"/>
      <w:bookmarkEnd w:id="1545"/>
    </w:p>
    <w:p w14:paraId="0ECA5F61" w14:textId="77777777" w:rsidR="00E441CA" w:rsidRPr="004C64A0" w:rsidRDefault="00E441CA" w:rsidP="00E441CA">
      <w:pPr>
        <w:pStyle w:val="BodyText"/>
        <w:ind w:left="720"/>
      </w:pPr>
      <w:r>
        <w:t xml:space="preserve">The </w:t>
      </w:r>
      <w:r w:rsidRPr="004C64A0">
        <w:t>$12</w:t>
      </w:r>
      <w:r>
        <w:t>5</w:t>
      </w:r>
      <w:r w:rsidRPr="004C64A0">
        <w:t xml:space="preserve"> My Plan Business Tech Fund</w:t>
      </w:r>
      <w:r>
        <w:t xml:space="preserve"> plan includes</w:t>
      </w:r>
      <w:r w:rsidRPr="004C64A0">
        <w:t xml:space="preserve"> unlimited international minutes for standard calls to mobiles and fixed lines in selected countries. For a list of selected countries see Table 3 below.</w:t>
      </w:r>
      <w:r>
        <w:t xml:space="preserve"> </w:t>
      </w:r>
      <w:r w:rsidRPr="00B753E8">
        <w:rPr>
          <w:rFonts w:cs="Arial"/>
          <w:color w:val="000000"/>
          <w:lang w:val="en-AU" w:eastAsia="en-AU"/>
        </w:rPr>
        <w:t>From 5 February 2017 the following countries will also be included: Canada, Hong Kong, South Korea and Thailand.</w:t>
      </w:r>
    </w:p>
    <w:p w14:paraId="04B9BE98" w14:textId="77777777" w:rsidR="00E441CA" w:rsidRDefault="00E441CA" w:rsidP="00E441CA">
      <w:pPr>
        <w:pStyle w:val="BodyText"/>
        <w:ind w:left="720"/>
      </w:pPr>
      <w:r w:rsidRPr="00CF4A96">
        <w:rPr>
          <w:szCs w:val="20"/>
        </w:rPr>
        <w:t>Calls to non-selected countries are charged at standard ‘yes’ international call rates</w:t>
      </w:r>
      <w:r>
        <w:rPr>
          <w:szCs w:val="20"/>
        </w:rPr>
        <w:t>.</w:t>
      </w:r>
    </w:p>
    <w:p w14:paraId="64D18317" w14:textId="77777777" w:rsidR="00E441CA" w:rsidRPr="004C64A0" w:rsidRDefault="00E441CA" w:rsidP="00E441CA">
      <w:pPr>
        <w:pStyle w:val="Heading6"/>
        <w:ind w:left="0" w:firstLine="0"/>
        <w:rPr>
          <w:lang w:val="en-AU"/>
        </w:rPr>
      </w:pPr>
      <w:bookmarkStart w:id="1546" w:name="_Toc455149928"/>
      <w:bookmarkStart w:id="1547" w:name="_Toc483832376"/>
      <w:r w:rsidRPr="004C64A0">
        <w:rPr>
          <w:lang w:val="en-AU"/>
        </w:rPr>
        <w:t>Unlimited standard national SMS and MMS</w:t>
      </w:r>
      <w:bookmarkEnd w:id="1546"/>
      <w:bookmarkEnd w:id="1547"/>
    </w:p>
    <w:p w14:paraId="549EFA32" w14:textId="77777777" w:rsidR="00E441CA" w:rsidRPr="004C64A0" w:rsidRDefault="00E441CA" w:rsidP="00E441CA">
      <w:pPr>
        <w:pStyle w:val="BodyText"/>
        <w:ind w:left="720"/>
      </w:pPr>
      <w:r w:rsidRPr="004C64A0">
        <w:rPr>
          <w:i/>
        </w:rPr>
        <w:t>You</w:t>
      </w:r>
      <w:r w:rsidRPr="004C64A0">
        <w:t xml:space="preserve"> may send unlimited standard SMS and MMS to Australian mobiles from within Australia.</w:t>
      </w:r>
    </w:p>
    <w:p w14:paraId="71F13F21" w14:textId="77777777" w:rsidR="00E441CA" w:rsidRPr="004C64A0" w:rsidRDefault="00E441CA" w:rsidP="00E441CA">
      <w:pPr>
        <w:pStyle w:val="BodyText"/>
        <w:ind w:left="720"/>
        <w:rPr>
          <w:i/>
          <w:u w:val="single"/>
        </w:rPr>
      </w:pPr>
      <w:r w:rsidRPr="004C64A0">
        <w:t xml:space="preserve">Unlimited standard national SMS and MMS are only available for personal and ordinary business use and are not to be used for a commercial or non-ordinary purpose as set out in the </w:t>
      </w:r>
      <w:hyperlink r:id="rId717" w:history="1">
        <w:r w:rsidRPr="004C64A0">
          <w:rPr>
            <w:rStyle w:val="Hyperlink"/>
            <w:i/>
          </w:rPr>
          <w:t>Fair Go Policy</w:t>
        </w:r>
      </w:hyperlink>
      <w:r w:rsidRPr="004C64A0">
        <w:t xml:space="preserve">. For further details refer to </w:t>
      </w:r>
      <w:hyperlink r:id="rId718" w:history="1">
        <w:r w:rsidRPr="00365735">
          <w:rPr>
            <w:rStyle w:val="Hyperlink"/>
            <w:i/>
          </w:rPr>
          <w:t>Appendix S</w:t>
        </w:r>
      </w:hyperlink>
      <w:r w:rsidRPr="00092720">
        <w:t>.</w:t>
      </w:r>
    </w:p>
    <w:p w14:paraId="4F0FD591" w14:textId="77777777" w:rsidR="00E441CA" w:rsidRPr="004C64A0" w:rsidRDefault="00E441CA" w:rsidP="00E441CA">
      <w:pPr>
        <w:pStyle w:val="Heading6"/>
        <w:ind w:left="0" w:firstLine="0"/>
        <w:rPr>
          <w:lang w:val="en-AU"/>
        </w:rPr>
      </w:pPr>
      <w:bookmarkStart w:id="1548" w:name="_Toc455149929"/>
      <w:bookmarkStart w:id="1549" w:name="_Toc483832377"/>
      <w:r w:rsidRPr="004C64A0">
        <w:rPr>
          <w:lang w:val="en-AU"/>
        </w:rPr>
        <w:t>Unlimited standard international SMS and MMS</w:t>
      </w:r>
      <w:bookmarkEnd w:id="1548"/>
      <w:bookmarkEnd w:id="1549"/>
    </w:p>
    <w:p w14:paraId="2D80E9D4" w14:textId="77777777" w:rsidR="00E441CA" w:rsidRPr="004C64A0" w:rsidRDefault="00E441CA" w:rsidP="00E441CA">
      <w:pPr>
        <w:pStyle w:val="BodyText"/>
        <w:ind w:left="720"/>
      </w:pPr>
      <w:r w:rsidRPr="004C64A0">
        <w:rPr>
          <w:i/>
        </w:rPr>
        <w:lastRenderedPageBreak/>
        <w:t>You</w:t>
      </w:r>
      <w:r w:rsidRPr="004C64A0">
        <w:t xml:space="preserve"> may send unlimited standard SMS and MMS to selected countries as set out in Table 3 below.</w:t>
      </w:r>
    </w:p>
    <w:p w14:paraId="45972ECD" w14:textId="77777777" w:rsidR="00E441CA" w:rsidRDefault="00E441CA" w:rsidP="00E441CA">
      <w:pPr>
        <w:pStyle w:val="BodyText"/>
        <w:ind w:left="720"/>
        <w:rPr>
          <w:i/>
        </w:rPr>
      </w:pPr>
      <w:r w:rsidRPr="004C64A0">
        <w:t xml:space="preserve">Unlimited standard SMS and MMS are only available for personal and ordinary business use and are not to be used for a commercial or non-ordinary purpose as set out in the </w:t>
      </w:r>
      <w:r w:rsidRPr="00F1117F">
        <w:t>Fair Go P</w:t>
      </w:r>
      <w:r w:rsidRPr="004C64A0">
        <w:t xml:space="preserve">olicy. For further details refer to </w:t>
      </w:r>
      <w:hyperlink r:id="rId719" w:history="1">
        <w:r w:rsidRPr="00092720">
          <w:rPr>
            <w:rStyle w:val="Hyperlink"/>
            <w:i/>
          </w:rPr>
          <w:t>Appendix S</w:t>
        </w:r>
      </w:hyperlink>
      <w:r w:rsidRPr="00092720">
        <w:rPr>
          <w:i/>
        </w:rPr>
        <w:t>.</w:t>
      </w:r>
    </w:p>
    <w:p w14:paraId="53EB3E92" w14:textId="77777777" w:rsidR="00E441CA" w:rsidRPr="007F5B4A" w:rsidRDefault="00E441CA" w:rsidP="00E441CA">
      <w:pPr>
        <w:pStyle w:val="Heading6"/>
        <w:ind w:left="0" w:firstLine="0"/>
        <w:rPr>
          <w:lang w:val="en-AU"/>
        </w:rPr>
      </w:pPr>
      <w:bookmarkStart w:id="1550" w:name="_Toc483832378"/>
      <w:r w:rsidRPr="007F5B4A">
        <w:rPr>
          <w:lang w:val="en-AU"/>
        </w:rPr>
        <w:t>International Roaming</w:t>
      </w:r>
      <w:bookmarkEnd w:id="1550"/>
      <w:r w:rsidRPr="007F5B4A">
        <w:rPr>
          <w:lang w:val="en-AU"/>
        </w:rPr>
        <w:t xml:space="preserve"> </w:t>
      </w:r>
    </w:p>
    <w:p w14:paraId="02CC478D" w14:textId="77777777" w:rsidR="00E441CA" w:rsidRPr="00B6465B" w:rsidRDefault="00E441CA" w:rsidP="00E441CA">
      <w:pPr>
        <w:pStyle w:val="ListParagraph"/>
        <w:ind w:left="709"/>
        <w:rPr>
          <w:rFonts w:ascii="Arial" w:hAnsi="Arial" w:cs="Arial"/>
        </w:rPr>
      </w:pPr>
      <w:r>
        <w:rPr>
          <w:rFonts w:ascii="Arial" w:hAnsi="Arial" w:cs="Arial"/>
        </w:rPr>
        <w:t xml:space="preserve">The </w:t>
      </w:r>
      <w:r w:rsidRPr="00B6465B">
        <w:rPr>
          <w:rFonts w:ascii="Arial" w:hAnsi="Arial" w:cs="Arial"/>
        </w:rPr>
        <w:t xml:space="preserve">$125 </w:t>
      </w:r>
      <w:r>
        <w:rPr>
          <w:rFonts w:ascii="Arial" w:hAnsi="Arial" w:cs="Arial"/>
        </w:rPr>
        <w:t>My Plan Business Tech Fund plan</w:t>
      </w:r>
      <w:r w:rsidRPr="00B6465B">
        <w:rPr>
          <w:rFonts w:ascii="Arial" w:hAnsi="Arial" w:cs="Arial"/>
        </w:rPr>
        <w:t xml:space="preserve"> will receive unlimited standard national and international voice,</w:t>
      </w:r>
      <w:r>
        <w:rPr>
          <w:rFonts w:ascii="Arial" w:hAnsi="Arial" w:cs="Arial"/>
        </w:rPr>
        <w:t xml:space="preserve"> SMS (MMS is excluded) plus 1.5GB of data</w:t>
      </w:r>
      <w:r w:rsidRPr="00B6465B">
        <w:rPr>
          <w:rFonts w:ascii="Arial" w:hAnsi="Arial" w:cs="Arial"/>
        </w:rPr>
        <w:t xml:space="preserve"> to use in Zone 1 countries within each billing month. If you are not in a Zone 1 country you will be charged at standard roaming rates for that country.</w:t>
      </w:r>
    </w:p>
    <w:p w14:paraId="71E19DE6" w14:textId="77777777" w:rsidR="00E441CA" w:rsidRPr="00CF4A96" w:rsidRDefault="00E441CA" w:rsidP="00E441CA">
      <w:pPr>
        <w:ind w:left="709"/>
        <w:rPr>
          <w:rFonts w:eastAsia="Times New Roman" w:cs="Arial"/>
          <w:sz w:val="20"/>
          <w:szCs w:val="20"/>
        </w:rPr>
      </w:pPr>
    </w:p>
    <w:p w14:paraId="77736ACD" w14:textId="77777777" w:rsidR="00E441CA" w:rsidRPr="00CF4A96" w:rsidRDefault="00E441CA" w:rsidP="00E441CA">
      <w:pPr>
        <w:pStyle w:val="BodyText"/>
        <w:ind w:left="720"/>
        <w:rPr>
          <w:rFonts w:cs="Arial"/>
          <w:szCs w:val="20"/>
        </w:rPr>
      </w:pPr>
      <w:r w:rsidRPr="00CF4A96">
        <w:rPr>
          <w:rFonts w:eastAsia="Times New Roman" w:cs="Arial"/>
          <w:szCs w:val="20"/>
        </w:rPr>
        <w:t>If you exceed the data limit, standard data roaming charges will apply. Any data provided is not shareable and will not form part of any Data Pool. Any unused data will be forfeited and cannot be rolled over to the next billing month.</w:t>
      </w:r>
      <w:r w:rsidRPr="00CF4A96">
        <w:rPr>
          <w:rFonts w:eastAsia="Times New Roman" w:cs="Arial"/>
          <w:snapToGrid w:val="0"/>
          <w:szCs w:val="20"/>
        </w:rPr>
        <w:t xml:space="preserve"> For list of countries see optus.com.au/biztravel</w:t>
      </w:r>
      <w:r>
        <w:rPr>
          <w:rFonts w:eastAsia="Times New Roman" w:cs="Arial"/>
          <w:snapToGrid w:val="0"/>
          <w:szCs w:val="20"/>
        </w:rPr>
        <w:t>.</w:t>
      </w:r>
    </w:p>
    <w:p w14:paraId="21D5411F" w14:textId="77777777" w:rsidR="00E441CA" w:rsidRPr="004C64A0" w:rsidRDefault="00E441CA" w:rsidP="00E441CA">
      <w:pPr>
        <w:pStyle w:val="BodyText"/>
        <w:keepNext/>
        <w:rPr>
          <w:lang w:val="en-AU"/>
        </w:rPr>
      </w:pPr>
      <w:r w:rsidRPr="004C64A0">
        <w:rPr>
          <w:b/>
          <w:lang w:val="en-AU"/>
        </w:rPr>
        <w:t>Table 1 –</w:t>
      </w:r>
      <w:r>
        <w:rPr>
          <w:b/>
          <w:lang w:val="en-AU"/>
        </w:rPr>
        <w:t xml:space="preserve"> </w:t>
      </w:r>
      <w:r w:rsidRPr="004C64A0">
        <w:rPr>
          <w:b/>
          <w:lang w:val="en-AU"/>
        </w:rPr>
        <w:t>Plan Inclusions and Charges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gridCol w:w="3119"/>
      </w:tblGrid>
      <w:tr w:rsidR="00E441CA" w:rsidRPr="00F20B08" w14:paraId="17AEE44F" w14:textId="77777777" w:rsidTr="00E441CA">
        <w:tc>
          <w:tcPr>
            <w:tcW w:w="3969" w:type="dxa"/>
            <w:shd w:val="clear" w:color="auto" w:fill="auto"/>
          </w:tcPr>
          <w:p w14:paraId="0D30057A" w14:textId="77777777" w:rsidR="00E441CA" w:rsidRPr="00E441CA" w:rsidRDefault="00E441CA" w:rsidP="00E441CA">
            <w:pPr>
              <w:pStyle w:val="BodyText"/>
              <w:keepNext/>
              <w:spacing w:before="100" w:after="100"/>
              <w:rPr>
                <w:sz w:val="18"/>
                <w:szCs w:val="18"/>
              </w:rPr>
            </w:pPr>
          </w:p>
        </w:tc>
        <w:tc>
          <w:tcPr>
            <w:tcW w:w="3119" w:type="dxa"/>
            <w:vAlign w:val="center"/>
          </w:tcPr>
          <w:p w14:paraId="064ECA2D" w14:textId="77777777" w:rsidR="00E441CA" w:rsidRPr="00E441CA" w:rsidRDefault="00E441CA" w:rsidP="00E441CA">
            <w:pPr>
              <w:pStyle w:val="BodyText"/>
              <w:keepNext/>
              <w:spacing w:before="100" w:after="100"/>
              <w:jc w:val="center"/>
              <w:rPr>
                <w:b/>
                <w:sz w:val="18"/>
                <w:szCs w:val="18"/>
              </w:rPr>
            </w:pPr>
            <w:r w:rsidRPr="00E441CA">
              <w:rPr>
                <w:b/>
                <w:sz w:val="18"/>
                <w:szCs w:val="18"/>
              </w:rPr>
              <w:t>$125 My Plan Business Tech Fund</w:t>
            </w:r>
          </w:p>
        </w:tc>
      </w:tr>
      <w:tr w:rsidR="00E441CA" w:rsidRPr="00F20B08" w14:paraId="32922355" w14:textId="77777777" w:rsidTr="00E441CA">
        <w:tc>
          <w:tcPr>
            <w:tcW w:w="3969" w:type="dxa"/>
            <w:shd w:val="clear" w:color="auto" w:fill="auto"/>
          </w:tcPr>
          <w:p w14:paraId="2B797AE0" w14:textId="77777777" w:rsidR="00E441CA" w:rsidRPr="00E441CA" w:rsidRDefault="00E441CA" w:rsidP="00E441CA">
            <w:pPr>
              <w:pStyle w:val="BodyText"/>
              <w:keepNext/>
              <w:spacing w:before="100" w:after="100"/>
              <w:rPr>
                <w:sz w:val="18"/>
                <w:szCs w:val="18"/>
              </w:rPr>
            </w:pPr>
            <w:r w:rsidRPr="00E441CA">
              <w:rPr>
                <w:b/>
                <w:bCs/>
                <w:sz w:val="18"/>
                <w:szCs w:val="18"/>
                <w:lang w:eastAsia="en-AU"/>
              </w:rPr>
              <w:t>Minimum Monthly charge</w:t>
            </w:r>
          </w:p>
        </w:tc>
        <w:tc>
          <w:tcPr>
            <w:tcW w:w="3119" w:type="dxa"/>
            <w:vAlign w:val="center"/>
          </w:tcPr>
          <w:p w14:paraId="6E6BA47C" w14:textId="77777777" w:rsidR="00E441CA" w:rsidRPr="00E441CA" w:rsidRDefault="00E441CA" w:rsidP="00E441CA">
            <w:pPr>
              <w:pStyle w:val="BodyText"/>
              <w:keepNext/>
              <w:spacing w:before="100" w:after="100"/>
              <w:jc w:val="center"/>
              <w:rPr>
                <w:sz w:val="18"/>
                <w:szCs w:val="18"/>
              </w:rPr>
            </w:pPr>
            <w:r w:rsidRPr="00E441CA">
              <w:rPr>
                <w:sz w:val="18"/>
                <w:szCs w:val="18"/>
              </w:rPr>
              <w:t>$125</w:t>
            </w:r>
          </w:p>
        </w:tc>
      </w:tr>
      <w:tr w:rsidR="00E441CA" w:rsidRPr="00F20B08" w14:paraId="7E7549D4" w14:textId="77777777" w:rsidTr="00E441CA">
        <w:tc>
          <w:tcPr>
            <w:tcW w:w="3969" w:type="dxa"/>
            <w:shd w:val="clear" w:color="auto" w:fill="auto"/>
          </w:tcPr>
          <w:p w14:paraId="2B623824" w14:textId="77777777" w:rsidR="00E441CA" w:rsidRPr="00E441CA" w:rsidRDefault="00E441CA" w:rsidP="00E441CA">
            <w:pPr>
              <w:pStyle w:val="BodyText"/>
              <w:keepNext/>
              <w:spacing w:before="100" w:after="100"/>
              <w:rPr>
                <w:sz w:val="18"/>
                <w:szCs w:val="18"/>
              </w:rPr>
            </w:pPr>
            <w:r w:rsidRPr="00E441CA">
              <w:rPr>
                <w:b/>
                <w:bCs/>
                <w:sz w:val="18"/>
                <w:szCs w:val="18"/>
                <w:lang w:eastAsia="en-AU"/>
              </w:rPr>
              <w:t>Included Data</w:t>
            </w:r>
          </w:p>
        </w:tc>
        <w:tc>
          <w:tcPr>
            <w:tcW w:w="3119" w:type="dxa"/>
            <w:vAlign w:val="center"/>
          </w:tcPr>
          <w:p w14:paraId="721082C2" w14:textId="77777777" w:rsidR="00E441CA" w:rsidRPr="00E441CA" w:rsidRDefault="00E441CA" w:rsidP="00E441CA">
            <w:pPr>
              <w:pStyle w:val="BodyText"/>
              <w:keepNext/>
              <w:spacing w:before="100" w:after="100"/>
              <w:jc w:val="center"/>
              <w:rPr>
                <w:sz w:val="18"/>
                <w:szCs w:val="18"/>
              </w:rPr>
            </w:pPr>
            <w:r w:rsidRPr="00E441CA">
              <w:rPr>
                <w:sz w:val="18"/>
                <w:szCs w:val="18"/>
              </w:rPr>
              <w:t>20GB</w:t>
            </w:r>
          </w:p>
        </w:tc>
      </w:tr>
      <w:tr w:rsidR="00E441CA" w:rsidRPr="00F20B08" w14:paraId="3EBF0D21" w14:textId="77777777" w:rsidTr="00E441CA">
        <w:tc>
          <w:tcPr>
            <w:tcW w:w="3969" w:type="dxa"/>
            <w:shd w:val="clear" w:color="auto" w:fill="auto"/>
          </w:tcPr>
          <w:p w14:paraId="749E45DF" w14:textId="77777777" w:rsidR="00E441CA" w:rsidRPr="00E441CA" w:rsidRDefault="00E441CA" w:rsidP="00E441CA">
            <w:pPr>
              <w:pStyle w:val="BodyText"/>
              <w:keepNext/>
              <w:spacing w:before="100" w:after="100"/>
              <w:rPr>
                <w:b/>
                <w:bCs/>
                <w:sz w:val="18"/>
                <w:szCs w:val="18"/>
                <w:lang w:eastAsia="en-AU"/>
              </w:rPr>
            </w:pPr>
            <w:r w:rsidRPr="00E441CA">
              <w:rPr>
                <w:b/>
                <w:bCs/>
                <w:sz w:val="18"/>
                <w:szCs w:val="18"/>
                <w:lang w:eastAsia="en-AU"/>
              </w:rPr>
              <w:t>Additional Data</w:t>
            </w:r>
          </w:p>
        </w:tc>
        <w:tc>
          <w:tcPr>
            <w:tcW w:w="3119" w:type="dxa"/>
            <w:vAlign w:val="center"/>
          </w:tcPr>
          <w:p w14:paraId="76EB5F97" w14:textId="77777777" w:rsidR="00E441CA" w:rsidRPr="00E441CA" w:rsidRDefault="00E441CA" w:rsidP="00E441CA">
            <w:pPr>
              <w:pStyle w:val="BodyText"/>
              <w:keepNext/>
              <w:spacing w:before="100" w:after="100"/>
              <w:jc w:val="center"/>
              <w:rPr>
                <w:sz w:val="18"/>
                <w:szCs w:val="18"/>
              </w:rPr>
            </w:pPr>
            <w:r w:rsidRPr="00E441CA">
              <w:rPr>
                <w:sz w:val="18"/>
                <w:szCs w:val="18"/>
              </w:rPr>
              <w:t>Additional Data $10 per 1GB</w:t>
            </w:r>
          </w:p>
        </w:tc>
      </w:tr>
      <w:tr w:rsidR="00E441CA" w:rsidRPr="00F20B08" w14:paraId="4A4DA93C" w14:textId="77777777" w:rsidTr="00E441CA">
        <w:tc>
          <w:tcPr>
            <w:tcW w:w="3969" w:type="dxa"/>
            <w:shd w:val="clear" w:color="auto" w:fill="auto"/>
          </w:tcPr>
          <w:p w14:paraId="42678CC5" w14:textId="77777777" w:rsidR="00E441CA" w:rsidRPr="00E441CA" w:rsidRDefault="00E441CA" w:rsidP="00E441CA">
            <w:pPr>
              <w:pStyle w:val="BodyText"/>
              <w:keepNext/>
              <w:spacing w:before="100" w:after="100"/>
              <w:rPr>
                <w:b/>
                <w:bCs/>
                <w:sz w:val="18"/>
                <w:szCs w:val="18"/>
                <w:lang w:eastAsia="en-AU"/>
              </w:rPr>
            </w:pPr>
            <w:r w:rsidRPr="00E441CA">
              <w:rPr>
                <w:b/>
                <w:bCs/>
                <w:sz w:val="18"/>
                <w:szCs w:val="18"/>
                <w:lang w:eastAsia="en-AU"/>
              </w:rPr>
              <w:t xml:space="preserve">Included Minutes </w:t>
            </w:r>
          </w:p>
          <w:p w14:paraId="19903CFB" w14:textId="77777777" w:rsidR="00E441CA" w:rsidRPr="00E441CA" w:rsidRDefault="00E441CA" w:rsidP="00E441CA">
            <w:pPr>
              <w:pStyle w:val="BodyText"/>
              <w:keepNext/>
              <w:spacing w:before="100" w:after="100"/>
              <w:rPr>
                <w:sz w:val="18"/>
                <w:szCs w:val="18"/>
              </w:rPr>
            </w:pPr>
            <w:r w:rsidRPr="00E441CA">
              <w:rPr>
                <w:sz w:val="18"/>
                <w:szCs w:val="18"/>
                <w:lang w:eastAsia="en-AU"/>
              </w:rPr>
              <w:t>for standard national calls to landlines and mobiles, 1300 numbers and voicemail, within Australia</w:t>
            </w:r>
          </w:p>
        </w:tc>
        <w:tc>
          <w:tcPr>
            <w:tcW w:w="3119" w:type="dxa"/>
            <w:vAlign w:val="center"/>
          </w:tcPr>
          <w:p w14:paraId="4D8033BD" w14:textId="77777777" w:rsidR="00E441CA" w:rsidRPr="00E441CA" w:rsidRDefault="00E441CA" w:rsidP="00E441CA">
            <w:pPr>
              <w:pStyle w:val="BodyText"/>
              <w:keepNext/>
              <w:spacing w:before="100" w:after="100"/>
              <w:jc w:val="center"/>
              <w:rPr>
                <w:sz w:val="18"/>
                <w:szCs w:val="18"/>
              </w:rPr>
            </w:pPr>
            <w:r w:rsidRPr="00E441CA">
              <w:rPr>
                <w:sz w:val="18"/>
                <w:szCs w:val="18"/>
              </w:rPr>
              <w:t>Unlimited</w:t>
            </w:r>
          </w:p>
        </w:tc>
      </w:tr>
      <w:tr w:rsidR="00E441CA" w:rsidRPr="00F20B08" w14:paraId="79663431" w14:textId="77777777" w:rsidTr="00E441CA">
        <w:tc>
          <w:tcPr>
            <w:tcW w:w="3969" w:type="dxa"/>
            <w:shd w:val="clear" w:color="auto" w:fill="auto"/>
          </w:tcPr>
          <w:p w14:paraId="206238E4" w14:textId="77777777" w:rsidR="00E441CA" w:rsidRPr="00E441CA" w:rsidRDefault="00E441CA" w:rsidP="00E441CA">
            <w:pPr>
              <w:pStyle w:val="BodyText"/>
              <w:keepNext/>
              <w:spacing w:before="100" w:after="100"/>
              <w:rPr>
                <w:b/>
                <w:bCs/>
                <w:sz w:val="18"/>
                <w:szCs w:val="18"/>
                <w:lang w:eastAsia="en-AU"/>
              </w:rPr>
            </w:pPr>
            <w:r w:rsidRPr="00E441CA">
              <w:rPr>
                <w:b/>
                <w:bCs/>
                <w:sz w:val="18"/>
                <w:szCs w:val="18"/>
                <w:lang w:eastAsia="en-AU"/>
              </w:rPr>
              <w:t>Included International Minutes</w:t>
            </w:r>
          </w:p>
          <w:p w14:paraId="732D515A" w14:textId="77777777" w:rsidR="00E441CA" w:rsidRPr="00E441CA" w:rsidRDefault="00E441CA" w:rsidP="00E441CA">
            <w:pPr>
              <w:pStyle w:val="BodyText"/>
              <w:keepNext/>
              <w:spacing w:before="100" w:after="100"/>
              <w:rPr>
                <w:sz w:val="18"/>
                <w:szCs w:val="18"/>
                <w:lang w:eastAsia="en-AU"/>
              </w:rPr>
            </w:pPr>
            <w:r w:rsidRPr="00E441CA">
              <w:rPr>
                <w:sz w:val="18"/>
                <w:szCs w:val="18"/>
                <w:lang w:eastAsia="en-AU"/>
              </w:rPr>
              <w:t>Standard international calls to landlines and mobiles</w:t>
            </w:r>
          </w:p>
          <w:p w14:paraId="2C96D153" w14:textId="77777777" w:rsidR="00E441CA" w:rsidRPr="00E441CA" w:rsidRDefault="00E441CA" w:rsidP="00E441CA">
            <w:pPr>
              <w:pStyle w:val="BodyText"/>
              <w:keepNext/>
              <w:spacing w:before="100" w:after="100"/>
              <w:rPr>
                <w:b/>
                <w:bCs/>
                <w:sz w:val="18"/>
                <w:szCs w:val="18"/>
                <w:lang w:eastAsia="en-AU"/>
              </w:rPr>
            </w:pPr>
            <w:r w:rsidRPr="00E441CA">
              <w:rPr>
                <w:sz w:val="18"/>
                <w:szCs w:val="18"/>
                <w:lang w:eastAsia="en-AU"/>
              </w:rPr>
              <w:t xml:space="preserve">to selected countries </w:t>
            </w:r>
          </w:p>
        </w:tc>
        <w:tc>
          <w:tcPr>
            <w:tcW w:w="3119" w:type="dxa"/>
            <w:vAlign w:val="center"/>
          </w:tcPr>
          <w:p w14:paraId="30E918B9" w14:textId="77777777" w:rsidR="00E441CA" w:rsidRPr="00E441CA" w:rsidRDefault="00E441CA" w:rsidP="00E441CA">
            <w:pPr>
              <w:pStyle w:val="BodyText"/>
              <w:keepNext/>
              <w:spacing w:before="100" w:after="100"/>
              <w:jc w:val="center"/>
              <w:rPr>
                <w:bCs/>
                <w:sz w:val="18"/>
                <w:szCs w:val="18"/>
              </w:rPr>
            </w:pPr>
            <w:r w:rsidRPr="00E441CA">
              <w:rPr>
                <w:sz w:val="18"/>
                <w:szCs w:val="18"/>
              </w:rPr>
              <w:t>Unlimited</w:t>
            </w:r>
          </w:p>
        </w:tc>
      </w:tr>
      <w:tr w:rsidR="00E441CA" w:rsidRPr="00F20B08" w14:paraId="1CC964DD" w14:textId="77777777" w:rsidTr="00E441CA">
        <w:tc>
          <w:tcPr>
            <w:tcW w:w="3969" w:type="dxa"/>
            <w:shd w:val="clear" w:color="auto" w:fill="auto"/>
          </w:tcPr>
          <w:p w14:paraId="60ED2479" w14:textId="77777777" w:rsidR="00E441CA" w:rsidRPr="00E441CA" w:rsidRDefault="00E441CA" w:rsidP="00E441CA">
            <w:pPr>
              <w:pStyle w:val="BodyText"/>
              <w:keepNext/>
              <w:spacing w:before="100" w:after="100"/>
              <w:rPr>
                <w:sz w:val="18"/>
                <w:szCs w:val="18"/>
              </w:rPr>
            </w:pPr>
            <w:r w:rsidRPr="00E441CA">
              <w:rPr>
                <w:b/>
                <w:bCs/>
                <w:sz w:val="18"/>
                <w:szCs w:val="18"/>
                <w:lang w:eastAsia="en-AU"/>
              </w:rPr>
              <w:t xml:space="preserve">Standard national SMS </w:t>
            </w:r>
            <w:r w:rsidRPr="00E441CA">
              <w:rPr>
                <w:sz w:val="18"/>
                <w:szCs w:val="18"/>
                <w:lang w:eastAsia="en-AU"/>
              </w:rPr>
              <w:t>(per SMS of up to 160 standard characters)</w:t>
            </w:r>
          </w:p>
        </w:tc>
        <w:tc>
          <w:tcPr>
            <w:tcW w:w="3119" w:type="dxa"/>
            <w:vAlign w:val="center"/>
          </w:tcPr>
          <w:p w14:paraId="049D2CB9" w14:textId="77777777" w:rsidR="00E441CA" w:rsidRPr="00E441CA" w:rsidRDefault="00E441CA" w:rsidP="00E441CA">
            <w:pPr>
              <w:pStyle w:val="BodyText"/>
              <w:keepNext/>
              <w:spacing w:before="100" w:after="100"/>
              <w:jc w:val="center"/>
              <w:rPr>
                <w:sz w:val="18"/>
                <w:szCs w:val="18"/>
              </w:rPr>
            </w:pPr>
            <w:r w:rsidRPr="00E441CA">
              <w:rPr>
                <w:sz w:val="18"/>
                <w:szCs w:val="18"/>
              </w:rPr>
              <w:t>Unlimited</w:t>
            </w:r>
          </w:p>
        </w:tc>
      </w:tr>
      <w:tr w:rsidR="00E441CA" w:rsidRPr="00F20B08" w14:paraId="13EE04D4" w14:textId="77777777" w:rsidTr="00E441CA">
        <w:tc>
          <w:tcPr>
            <w:tcW w:w="3969" w:type="dxa"/>
            <w:shd w:val="clear" w:color="auto" w:fill="auto"/>
          </w:tcPr>
          <w:p w14:paraId="752F39D7" w14:textId="77777777" w:rsidR="00E441CA" w:rsidRPr="00E441CA" w:rsidRDefault="00E441CA" w:rsidP="00E441CA">
            <w:pPr>
              <w:pStyle w:val="BodyText"/>
              <w:keepNext/>
              <w:spacing w:before="100" w:after="100"/>
              <w:rPr>
                <w:b/>
                <w:bCs/>
                <w:sz w:val="18"/>
                <w:szCs w:val="18"/>
                <w:lang w:eastAsia="en-AU"/>
              </w:rPr>
            </w:pPr>
            <w:r w:rsidRPr="00E441CA">
              <w:rPr>
                <w:b/>
                <w:bCs/>
                <w:sz w:val="18"/>
                <w:szCs w:val="18"/>
                <w:lang w:eastAsia="en-AU"/>
              </w:rPr>
              <w:t xml:space="preserve">Standard national MMS </w:t>
            </w:r>
            <w:r w:rsidRPr="00E441CA">
              <w:rPr>
                <w:sz w:val="18"/>
                <w:szCs w:val="18"/>
                <w:lang w:eastAsia="en-AU"/>
              </w:rPr>
              <w:t>(per message)</w:t>
            </w:r>
          </w:p>
        </w:tc>
        <w:tc>
          <w:tcPr>
            <w:tcW w:w="3119" w:type="dxa"/>
            <w:vAlign w:val="center"/>
          </w:tcPr>
          <w:p w14:paraId="2FCAD8DB" w14:textId="77777777" w:rsidR="00E441CA" w:rsidRPr="00E441CA" w:rsidRDefault="00E441CA" w:rsidP="00E441CA">
            <w:pPr>
              <w:pStyle w:val="BodyText"/>
              <w:keepNext/>
              <w:spacing w:before="100" w:after="100"/>
              <w:jc w:val="center"/>
              <w:rPr>
                <w:sz w:val="18"/>
                <w:szCs w:val="18"/>
              </w:rPr>
            </w:pPr>
            <w:r w:rsidRPr="00E441CA">
              <w:rPr>
                <w:sz w:val="18"/>
                <w:szCs w:val="18"/>
              </w:rPr>
              <w:t>Unlimited</w:t>
            </w:r>
          </w:p>
        </w:tc>
      </w:tr>
      <w:tr w:rsidR="00E441CA" w:rsidRPr="00F20B08" w14:paraId="78EDC9DC" w14:textId="77777777" w:rsidTr="00E441CA">
        <w:tc>
          <w:tcPr>
            <w:tcW w:w="3969" w:type="dxa"/>
            <w:shd w:val="clear" w:color="auto" w:fill="auto"/>
          </w:tcPr>
          <w:p w14:paraId="2D3C067E" w14:textId="77777777" w:rsidR="00E441CA" w:rsidRPr="00E441CA" w:rsidDel="00064B49" w:rsidRDefault="00E441CA" w:rsidP="00E441CA">
            <w:pPr>
              <w:pStyle w:val="BodyText"/>
              <w:keepNext/>
              <w:spacing w:before="100" w:after="100"/>
              <w:rPr>
                <w:b/>
                <w:bCs/>
                <w:sz w:val="18"/>
                <w:szCs w:val="18"/>
                <w:lang w:eastAsia="en-AU"/>
              </w:rPr>
            </w:pPr>
            <w:r w:rsidRPr="00E441CA">
              <w:rPr>
                <w:b/>
                <w:bCs/>
                <w:sz w:val="18"/>
                <w:szCs w:val="18"/>
                <w:lang w:eastAsia="en-AU"/>
              </w:rPr>
              <w:t xml:space="preserve">Standard international SMS </w:t>
            </w:r>
            <w:r w:rsidRPr="00E441CA">
              <w:rPr>
                <w:sz w:val="18"/>
                <w:szCs w:val="18"/>
                <w:lang w:eastAsia="en-AU"/>
              </w:rPr>
              <w:t>(per SMS of up to 160 standard characters to selected countries)</w:t>
            </w:r>
          </w:p>
        </w:tc>
        <w:tc>
          <w:tcPr>
            <w:tcW w:w="3119" w:type="dxa"/>
            <w:vAlign w:val="center"/>
          </w:tcPr>
          <w:p w14:paraId="72D1E291" w14:textId="77777777" w:rsidR="00E441CA" w:rsidRPr="00E441CA" w:rsidRDefault="00E441CA" w:rsidP="00E441CA">
            <w:pPr>
              <w:pStyle w:val="BodyText"/>
              <w:keepNext/>
              <w:spacing w:before="100" w:after="100"/>
              <w:jc w:val="center"/>
              <w:rPr>
                <w:sz w:val="18"/>
                <w:szCs w:val="18"/>
              </w:rPr>
            </w:pPr>
            <w:r w:rsidRPr="00E441CA">
              <w:rPr>
                <w:sz w:val="18"/>
                <w:szCs w:val="18"/>
              </w:rPr>
              <w:t>Unlimited</w:t>
            </w:r>
          </w:p>
        </w:tc>
      </w:tr>
      <w:tr w:rsidR="00E441CA" w:rsidRPr="00F20B08" w14:paraId="1DC5FE10" w14:textId="77777777" w:rsidTr="00E441CA">
        <w:tc>
          <w:tcPr>
            <w:tcW w:w="3969" w:type="dxa"/>
            <w:shd w:val="clear" w:color="auto" w:fill="auto"/>
          </w:tcPr>
          <w:p w14:paraId="5566006C" w14:textId="77777777" w:rsidR="00E441CA" w:rsidRPr="00E441CA" w:rsidRDefault="00E441CA" w:rsidP="00E441CA">
            <w:pPr>
              <w:pStyle w:val="BodyText"/>
              <w:keepNext/>
              <w:spacing w:before="100" w:after="100"/>
              <w:rPr>
                <w:b/>
                <w:bCs/>
                <w:sz w:val="18"/>
                <w:szCs w:val="18"/>
                <w:lang w:eastAsia="en-AU"/>
              </w:rPr>
            </w:pPr>
            <w:r w:rsidRPr="00E441CA">
              <w:rPr>
                <w:b/>
                <w:bCs/>
                <w:sz w:val="18"/>
                <w:szCs w:val="18"/>
                <w:lang w:eastAsia="en-AU"/>
              </w:rPr>
              <w:t xml:space="preserve">Standard international MMS </w:t>
            </w:r>
            <w:r w:rsidRPr="00E441CA">
              <w:rPr>
                <w:sz w:val="18"/>
                <w:szCs w:val="18"/>
                <w:lang w:eastAsia="en-AU"/>
              </w:rPr>
              <w:t>(per message to selected countries)</w:t>
            </w:r>
          </w:p>
        </w:tc>
        <w:tc>
          <w:tcPr>
            <w:tcW w:w="3119" w:type="dxa"/>
            <w:vAlign w:val="center"/>
          </w:tcPr>
          <w:p w14:paraId="452B00AE" w14:textId="77777777" w:rsidR="00E441CA" w:rsidRPr="00E441CA" w:rsidRDefault="00E441CA" w:rsidP="00E441CA">
            <w:pPr>
              <w:pStyle w:val="BodyText"/>
              <w:keepNext/>
              <w:spacing w:before="100" w:after="100"/>
              <w:jc w:val="center"/>
              <w:rPr>
                <w:sz w:val="18"/>
                <w:szCs w:val="18"/>
              </w:rPr>
            </w:pPr>
            <w:r w:rsidRPr="00E441CA">
              <w:rPr>
                <w:sz w:val="18"/>
                <w:szCs w:val="18"/>
              </w:rPr>
              <w:t>Unlimited</w:t>
            </w:r>
          </w:p>
        </w:tc>
      </w:tr>
      <w:tr w:rsidR="00E441CA" w:rsidRPr="00F20B08" w14:paraId="769F22E1" w14:textId="77777777" w:rsidTr="00E441CA">
        <w:tc>
          <w:tcPr>
            <w:tcW w:w="3969" w:type="dxa"/>
            <w:shd w:val="clear" w:color="auto" w:fill="auto"/>
          </w:tcPr>
          <w:p w14:paraId="4FB06009" w14:textId="77777777" w:rsidR="00E441CA" w:rsidRPr="00E441CA" w:rsidRDefault="00E441CA" w:rsidP="00E441CA">
            <w:pPr>
              <w:pStyle w:val="BodyText"/>
              <w:keepNext/>
              <w:spacing w:before="100" w:after="100"/>
              <w:rPr>
                <w:b/>
                <w:bCs/>
                <w:sz w:val="18"/>
                <w:szCs w:val="18"/>
                <w:lang w:eastAsia="en-AU"/>
              </w:rPr>
            </w:pPr>
            <w:r w:rsidRPr="00E441CA">
              <w:rPr>
                <w:rFonts w:eastAsia="Calibri"/>
                <w:b/>
                <w:bCs/>
                <w:sz w:val="18"/>
                <w:szCs w:val="18"/>
                <w:lang w:eastAsia="en-AU"/>
              </w:rPr>
              <w:t xml:space="preserve">International Roaming </w:t>
            </w:r>
            <w:r w:rsidRPr="00E441CA">
              <w:rPr>
                <w:rFonts w:eastAsia="Calibri"/>
                <w:b/>
                <w:bCs/>
                <w:sz w:val="18"/>
                <w:szCs w:val="18"/>
                <w:lang w:eastAsia="en-AU"/>
              </w:rPr>
              <w:br/>
            </w:r>
            <w:r w:rsidRPr="00E441CA">
              <w:rPr>
                <w:b/>
                <w:bCs/>
                <w:snapToGrid w:val="0"/>
                <w:sz w:val="18"/>
                <w:szCs w:val="18"/>
              </w:rPr>
              <w:t>(Zone 1 countries)</w:t>
            </w:r>
          </w:p>
        </w:tc>
        <w:tc>
          <w:tcPr>
            <w:tcW w:w="3119" w:type="dxa"/>
          </w:tcPr>
          <w:p w14:paraId="3C612A43" w14:textId="77777777" w:rsidR="00E441CA" w:rsidRPr="00E441CA" w:rsidRDefault="00E441CA" w:rsidP="00E441CA">
            <w:pPr>
              <w:pStyle w:val="BodyText"/>
              <w:keepNext/>
              <w:spacing w:before="100" w:after="100"/>
              <w:jc w:val="center"/>
              <w:rPr>
                <w:sz w:val="18"/>
                <w:szCs w:val="18"/>
              </w:rPr>
            </w:pPr>
            <w:r w:rsidRPr="00E441CA">
              <w:rPr>
                <w:sz w:val="18"/>
                <w:szCs w:val="18"/>
                <w:lang w:val="en-AU" w:eastAsia="en-AU"/>
              </w:rPr>
              <w:t>Unlimited standard national/international talk, SMS &amp; 1.5GB data</w:t>
            </w:r>
          </w:p>
        </w:tc>
      </w:tr>
      <w:tr w:rsidR="00E441CA" w:rsidRPr="00F20B08" w14:paraId="0BEEE152" w14:textId="77777777" w:rsidTr="00E441CA">
        <w:tc>
          <w:tcPr>
            <w:tcW w:w="3969" w:type="dxa"/>
            <w:shd w:val="clear" w:color="auto" w:fill="auto"/>
          </w:tcPr>
          <w:p w14:paraId="520A0A13" w14:textId="77777777" w:rsidR="00E441CA" w:rsidRPr="00E441CA" w:rsidRDefault="00E441CA" w:rsidP="00E441CA">
            <w:pPr>
              <w:pStyle w:val="BodyText"/>
              <w:keepNext/>
              <w:spacing w:before="100" w:after="100"/>
              <w:rPr>
                <w:b/>
                <w:bCs/>
                <w:sz w:val="18"/>
                <w:szCs w:val="18"/>
                <w:lang w:eastAsia="en-AU"/>
              </w:rPr>
            </w:pPr>
            <w:r w:rsidRPr="00E441CA">
              <w:rPr>
                <w:b/>
                <w:sz w:val="18"/>
                <w:szCs w:val="18"/>
              </w:rPr>
              <w:t xml:space="preserve">Optus Travel™ Pack </w:t>
            </w:r>
            <w:r w:rsidRPr="00E441CA">
              <w:rPr>
                <w:b/>
                <w:bCs/>
                <w:snapToGrid w:val="0"/>
                <w:sz w:val="18"/>
                <w:szCs w:val="18"/>
              </w:rPr>
              <w:t>(Zone 1 countries)</w:t>
            </w:r>
          </w:p>
        </w:tc>
        <w:tc>
          <w:tcPr>
            <w:tcW w:w="3119" w:type="dxa"/>
          </w:tcPr>
          <w:p w14:paraId="663149F3" w14:textId="77777777" w:rsidR="00E441CA" w:rsidRPr="00E441CA" w:rsidRDefault="00E441CA" w:rsidP="00E441CA">
            <w:pPr>
              <w:pStyle w:val="BodyText"/>
              <w:keepNext/>
              <w:spacing w:before="100" w:after="100"/>
              <w:jc w:val="center"/>
              <w:rPr>
                <w:sz w:val="18"/>
                <w:szCs w:val="18"/>
              </w:rPr>
            </w:pPr>
            <w:r w:rsidRPr="00E441CA">
              <w:rPr>
                <w:rFonts w:eastAsia="Calibri"/>
                <w:sz w:val="18"/>
                <w:szCs w:val="18"/>
              </w:rPr>
              <w:t>Not included</w:t>
            </w:r>
          </w:p>
        </w:tc>
      </w:tr>
      <w:tr w:rsidR="00E441CA" w:rsidRPr="00F20B08" w14:paraId="73F9CAAD" w14:textId="77777777" w:rsidTr="00E441CA">
        <w:tc>
          <w:tcPr>
            <w:tcW w:w="3969" w:type="dxa"/>
            <w:shd w:val="clear" w:color="auto" w:fill="auto"/>
          </w:tcPr>
          <w:p w14:paraId="6646CBCC" w14:textId="77777777" w:rsidR="00E441CA" w:rsidRPr="00E441CA" w:rsidRDefault="00E441CA" w:rsidP="00E441CA">
            <w:pPr>
              <w:pStyle w:val="BodyText"/>
              <w:keepNext/>
              <w:spacing w:before="100" w:after="100"/>
              <w:rPr>
                <w:b/>
                <w:bCs/>
                <w:sz w:val="18"/>
                <w:szCs w:val="18"/>
                <w:lang w:eastAsia="en-AU"/>
              </w:rPr>
            </w:pPr>
            <w:r w:rsidRPr="00E441CA">
              <w:rPr>
                <w:b/>
                <w:bCs/>
                <w:sz w:val="18"/>
                <w:szCs w:val="18"/>
                <w:lang w:eastAsia="en-AU"/>
              </w:rPr>
              <w:t xml:space="preserve">Minimum total cost over 24 months </w:t>
            </w:r>
          </w:p>
        </w:tc>
        <w:tc>
          <w:tcPr>
            <w:tcW w:w="3119" w:type="dxa"/>
          </w:tcPr>
          <w:p w14:paraId="4505361D" w14:textId="77777777" w:rsidR="00E441CA" w:rsidRPr="00E441CA" w:rsidRDefault="00E441CA" w:rsidP="00E441CA">
            <w:pPr>
              <w:pStyle w:val="BodyText"/>
              <w:keepNext/>
              <w:spacing w:before="100" w:after="100"/>
              <w:jc w:val="center"/>
              <w:rPr>
                <w:sz w:val="18"/>
                <w:szCs w:val="18"/>
              </w:rPr>
            </w:pPr>
            <w:r w:rsidRPr="00E441CA">
              <w:rPr>
                <w:rFonts w:eastAsia="Calibri"/>
                <w:sz w:val="18"/>
                <w:szCs w:val="18"/>
              </w:rPr>
              <w:t>$3,000</w:t>
            </w:r>
          </w:p>
        </w:tc>
      </w:tr>
    </w:tbl>
    <w:p w14:paraId="50E14E60" w14:textId="77777777" w:rsidR="00E441CA" w:rsidRDefault="00E441CA" w:rsidP="00E441CA">
      <w:pPr>
        <w:pStyle w:val="BodyText"/>
      </w:pPr>
    </w:p>
    <w:p w14:paraId="6E8898B5" w14:textId="77777777" w:rsidR="00E441CA" w:rsidRDefault="00E441CA" w:rsidP="00E441CA">
      <w:pPr>
        <w:pStyle w:val="BodyText"/>
        <w:ind w:left="720"/>
        <w:rPr>
          <w:b/>
        </w:rPr>
      </w:pPr>
    </w:p>
    <w:p w14:paraId="09573DCF" w14:textId="77777777" w:rsidR="00E441CA" w:rsidRDefault="00E441CA" w:rsidP="00E441CA">
      <w:pPr>
        <w:pStyle w:val="BodyText"/>
        <w:rPr>
          <w:b/>
        </w:rPr>
      </w:pPr>
      <w:r w:rsidRPr="00950DA4">
        <w:rPr>
          <w:b/>
        </w:rPr>
        <w:t>Table 2 – Other usage types and charges</w:t>
      </w:r>
    </w:p>
    <w:tbl>
      <w:tblPr>
        <w:tblW w:w="88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05"/>
        <w:gridCol w:w="4406"/>
      </w:tblGrid>
      <w:tr w:rsidR="00E441CA" w:rsidRPr="00090AB3" w14:paraId="1A0BD88E" w14:textId="77777777" w:rsidTr="00E441CA">
        <w:trPr>
          <w:tblHeader/>
        </w:trPr>
        <w:tc>
          <w:tcPr>
            <w:tcW w:w="4405" w:type="dxa"/>
            <w:shd w:val="clear" w:color="auto" w:fill="auto"/>
            <w:vAlign w:val="center"/>
          </w:tcPr>
          <w:p w14:paraId="72EAF0F5" w14:textId="77777777" w:rsidR="00E441CA" w:rsidRPr="00925C02" w:rsidRDefault="00E441CA" w:rsidP="00E441CA">
            <w:pPr>
              <w:pStyle w:val="BodyText"/>
              <w:spacing w:before="100" w:after="100"/>
              <w:jc w:val="center"/>
              <w:rPr>
                <w:b/>
              </w:rPr>
            </w:pPr>
            <w:r w:rsidRPr="00925C02">
              <w:rPr>
                <w:b/>
              </w:rPr>
              <w:lastRenderedPageBreak/>
              <w:t>Usage type</w:t>
            </w:r>
          </w:p>
        </w:tc>
        <w:tc>
          <w:tcPr>
            <w:tcW w:w="4406" w:type="dxa"/>
            <w:shd w:val="clear" w:color="auto" w:fill="auto"/>
            <w:vAlign w:val="center"/>
          </w:tcPr>
          <w:p w14:paraId="3A2AE123" w14:textId="77777777" w:rsidR="00E441CA" w:rsidRPr="00925C02" w:rsidRDefault="00E441CA" w:rsidP="00E441CA">
            <w:pPr>
              <w:pStyle w:val="BodyText"/>
              <w:spacing w:before="100" w:after="100"/>
              <w:jc w:val="center"/>
              <w:rPr>
                <w:b/>
              </w:rPr>
            </w:pPr>
            <w:r w:rsidRPr="00925C02">
              <w:rPr>
                <w:b/>
              </w:rPr>
              <w:t>Charge</w:t>
            </w:r>
          </w:p>
        </w:tc>
      </w:tr>
      <w:tr w:rsidR="00E441CA" w:rsidRPr="00090AB3" w14:paraId="4735DF7C" w14:textId="77777777" w:rsidTr="00E441CA">
        <w:tc>
          <w:tcPr>
            <w:tcW w:w="4405" w:type="dxa"/>
            <w:shd w:val="clear" w:color="auto" w:fill="auto"/>
          </w:tcPr>
          <w:p w14:paraId="537F7515" w14:textId="77777777" w:rsidR="00E441CA" w:rsidRPr="00950DA4" w:rsidRDefault="00E441CA" w:rsidP="00E441CA">
            <w:pPr>
              <w:pStyle w:val="BodyText"/>
              <w:spacing w:before="100" w:after="100"/>
            </w:pPr>
            <w:r w:rsidRPr="00950DA4">
              <w:rPr>
                <w:bCs/>
                <w:lang w:eastAsia="en-AU"/>
              </w:rPr>
              <w:t xml:space="preserve">National video calls </w:t>
            </w:r>
            <w:r w:rsidRPr="00950DA4">
              <w:rPr>
                <w:lang w:eastAsia="en-AU"/>
              </w:rPr>
              <w:t>(per minute)</w:t>
            </w:r>
          </w:p>
        </w:tc>
        <w:tc>
          <w:tcPr>
            <w:tcW w:w="4406" w:type="dxa"/>
            <w:shd w:val="clear" w:color="auto" w:fill="auto"/>
            <w:vAlign w:val="center"/>
          </w:tcPr>
          <w:p w14:paraId="5BBB9AFE" w14:textId="77777777" w:rsidR="00E441CA" w:rsidRPr="00090AB3" w:rsidRDefault="00E441CA" w:rsidP="00E441CA">
            <w:pPr>
              <w:pStyle w:val="BodyText"/>
              <w:spacing w:before="100" w:after="100"/>
              <w:jc w:val="center"/>
            </w:pPr>
            <w:r w:rsidRPr="00090AB3">
              <w:t>$1.00 per min + 40c flagfall</w:t>
            </w:r>
          </w:p>
        </w:tc>
      </w:tr>
      <w:tr w:rsidR="00E441CA" w:rsidRPr="00090AB3" w14:paraId="2A824971" w14:textId="77777777" w:rsidTr="00E441CA">
        <w:tc>
          <w:tcPr>
            <w:tcW w:w="4405" w:type="dxa"/>
            <w:shd w:val="clear" w:color="auto" w:fill="auto"/>
          </w:tcPr>
          <w:p w14:paraId="78CB7062" w14:textId="77777777" w:rsidR="00E441CA" w:rsidRPr="00950DA4" w:rsidRDefault="00E441CA" w:rsidP="00E441CA">
            <w:pPr>
              <w:pStyle w:val="BodyText"/>
              <w:spacing w:before="100" w:after="100"/>
              <w:rPr>
                <w:bCs/>
                <w:lang w:eastAsia="en-AU"/>
              </w:rPr>
            </w:pPr>
            <w:r w:rsidRPr="00950DA4">
              <w:rPr>
                <w:bCs/>
                <w:lang w:eastAsia="en-AU"/>
              </w:rPr>
              <w:t>National Diversions</w:t>
            </w:r>
          </w:p>
        </w:tc>
        <w:tc>
          <w:tcPr>
            <w:tcW w:w="4406" w:type="dxa"/>
            <w:shd w:val="clear" w:color="auto" w:fill="auto"/>
          </w:tcPr>
          <w:p w14:paraId="2FA365B9" w14:textId="77777777" w:rsidR="00E441CA" w:rsidRPr="00090AB3" w:rsidRDefault="00E441CA" w:rsidP="00E441CA">
            <w:pPr>
              <w:pStyle w:val="BodyText"/>
              <w:spacing w:before="100" w:after="100"/>
              <w:jc w:val="center"/>
            </w:pPr>
            <w:r w:rsidRPr="00090AB3">
              <w:t>$0 per minute</w:t>
            </w:r>
          </w:p>
        </w:tc>
      </w:tr>
      <w:tr w:rsidR="00E441CA" w:rsidRPr="00090AB3" w14:paraId="033C7E70" w14:textId="77777777" w:rsidTr="00E441CA">
        <w:tc>
          <w:tcPr>
            <w:tcW w:w="4405" w:type="dxa"/>
            <w:shd w:val="clear" w:color="auto" w:fill="auto"/>
          </w:tcPr>
          <w:p w14:paraId="634848B8" w14:textId="77777777" w:rsidR="00E441CA" w:rsidRPr="00950DA4" w:rsidRDefault="00E441CA" w:rsidP="00E441CA">
            <w:pPr>
              <w:pStyle w:val="BodyText"/>
              <w:spacing w:before="100" w:after="100"/>
              <w:rPr>
                <w:bCs/>
                <w:lang w:eastAsia="en-AU"/>
              </w:rPr>
            </w:pPr>
            <w:r w:rsidRPr="00950DA4">
              <w:rPr>
                <w:bCs/>
                <w:lang w:eastAsia="en-AU"/>
              </w:rPr>
              <w:t xml:space="preserve">International Diversions </w:t>
            </w:r>
          </w:p>
        </w:tc>
        <w:tc>
          <w:tcPr>
            <w:tcW w:w="4406" w:type="dxa"/>
            <w:shd w:val="clear" w:color="auto" w:fill="auto"/>
          </w:tcPr>
          <w:p w14:paraId="671A9E6C" w14:textId="77777777" w:rsidR="00E441CA" w:rsidRPr="00090AB3" w:rsidRDefault="00E441CA" w:rsidP="00E441CA">
            <w:pPr>
              <w:pStyle w:val="BodyText"/>
              <w:spacing w:before="100" w:after="100"/>
              <w:jc w:val="center"/>
            </w:pPr>
            <w:r>
              <w:t>'</w:t>
            </w:r>
            <w:r w:rsidRPr="00090AB3">
              <w:t>yes</w:t>
            </w:r>
            <w:r>
              <w:t>'</w:t>
            </w:r>
            <w:r w:rsidRPr="00090AB3">
              <w:t xml:space="preserve"> international rates</w:t>
            </w:r>
            <w:r w:rsidRPr="00090AB3">
              <w:br/>
              <w:t>See optus.com.au/international</w:t>
            </w:r>
          </w:p>
        </w:tc>
      </w:tr>
      <w:tr w:rsidR="00E441CA" w:rsidRPr="00090AB3" w14:paraId="31E78F8B" w14:textId="77777777" w:rsidTr="00E441CA">
        <w:tc>
          <w:tcPr>
            <w:tcW w:w="4405" w:type="dxa"/>
            <w:shd w:val="clear" w:color="auto" w:fill="auto"/>
          </w:tcPr>
          <w:p w14:paraId="42CB4310" w14:textId="77777777" w:rsidR="00E441CA" w:rsidRPr="00950DA4" w:rsidRDefault="00E441CA" w:rsidP="00E441CA">
            <w:pPr>
              <w:pStyle w:val="BodyText"/>
              <w:spacing w:before="100" w:after="100"/>
              <w:rPr>
                <w:bCs/>
                <w:lang w:eastAsia="en-AU"/>
              </w:rPr>
            </w:pPr>
            <w:r w:rsidRPr="00950DA4">
              <w:rPr>
                <w:bCs/>
                <w:lang w:eastAsia="en-AU"/>
              </w:rPr>
              <w:t xml:space="preserve">1800 numbers </w:t>
            </w:r>
          </w:p>
        </w:tc>
        <w:tc>
          <w:tcPr>
            <w:tcW w:w="4406" w:type="dxa"/>
            <w:shd w:val="clear" w:color="auto" w:fill="auto"/>
            <w:vAlign w:val="center"/>
          </w:tcPr>
          <w:p w14:paraId="0AD89562" w14:textId="77777777" w:rsidR="00E441CA" w:rsidRPr="00090AB3" w:rsidRDefault="00E441CA" w:rsidP="00E441CA">
            <w:pPr>
              <w:pStyle w:val="BodyText"/>
              <w:spacing w:before="100" w:after="100"/>
              <w:jc w:val="center"/>
            </w:pPr>
            <w:r w:rsidRPr="00090AB3">
              <w:t>$0 per minute</w:t>
            </w:r>
          </w:p>
        </w:tc>
      </w:tr>
      <w:tr w:rsidR="00E441CA" w:rsidRPr="00090AB3" w14:paraId="73FA5F03" w14:textId="77777777" w:rsidTr="00E441CA">
        <w:tc>
          <w:tcPr>
            <w:tcW w:w="4405" w:type="dxa"/>
            <w:shd w:val="clear" w:color="auto" w:fill="auto"/>
          </w:tcPr>
          <w:p w14:paraId="1B7A9127" w14:textId="77777777" w:rsidR="00E441CA" w:rsidRPr="00950DA4" w:rsidRDefault="00E441CA" w:rsidP="00E441CA">
            <w:pPr>
              <w:pStyle w:val="BodyText"/>
              <w:spacing w:before="100" w:after="100"/>
              <w:rPr>
                <w:bCs/>
                <w:lang w:eastAsia="en-AU"/>
              </w:rPr>
            </w:pPr>
            <w:r w:rsidRPr="00950DA4">
              <w:rPr>
                <w:bCs/>
                <w:lang w:eastAsia="en-AU"/>
              </w:rPr>
              <w:t xml:space="preserve">Directory Assistance 1223 </w:t>
            </w:r>
          </w:p>
        </w:tc>
        <w:tc>
          <w:tcPr>
            <w:tcW w:w="4406" w:type="dxa"/>
            <w:shd w:val="clear" w:color="auto" w:fill="auto"/>
            <w:vAlign w:val="center"/>
          </w:tcPr>
          <w:p w14:paraId="481F4DD9" w14:textId="77777777" w:rsidR="00E441CA" w:rsidRPr="00090AB3" w:rsidRDefault="00E441CA" w:rsidP="00E441CA">
            <w:pPr>
              <w:pStyle w:val="BodyText"/>
              <w:spacing w:before="100" w:after="100"/>
              <w:jc w:val="center"/>
            </w:pPr>
            <w:r w:rsidRPr="00090AB3">
              <w:t>50c per call</w:t>
            </w:r>
          </w:p>
        </w:tc>
      </w:tr>
      <w:tr w:rsidR="00E441CA" w:rsidRPr="00090AB3" w14:paraId="448A05D5" w14:textId="77777777" w:rsidTr="00E441CA">
        <w:tc>
          <w:tcPr>
            <w:tcW w:w="4405" w:type="dxa"/>
            <w:shd w:val="clear" w:color="auto" w:fill="auto"/>
          </w:tcPr>
          <w:p w14:paraId="671BE67B" w14:textId="77777777" w:rsidR="00E441CA" w:rsidRPr="00950DA4" w:rsidRDefault="00E441CA" w:rsidP="00E441CA">
            <w:pPr>
              <w:pStyle w:val="BodyText"/>
              <w:spacing w:before="100" w:after="100"/>
              <w:rPr>
                <w:bCs/>
                <w:lang w:eastAsia="en-AU"/>
              </w:rPr>
            </w:pPr>
            <w:r w:rsidRPr="00950DA4">
              <w:rPr>
                <w:bCs/>
                <w:lang w:eastAsia="en-AU"/>
              </w:rPr>
              <w:t>124 Yes</w:t>
            </w:r>
          </w:p>
        </w:tc>
        <w:tc>
          <w:tcPr>
            <w:tcW w:w="4406" w:type="dxa"/>
            <w:shd w:val="clear" w:color="auto" w:fill="auto"/>
            <w:vAlign w:val="center"/>
          </w:tcPr>
          <w:p w14:paraId="3465E835" w14:textId="77777777" w:rsidR="00E441CA" w:rsidRPr="00090AB3" w:rsidRDefault="00E441CA" w:rsidP="00E441CA">
            <w:pPr>
              <w:pStyle w:val="BodyText"/>
              <w:spacing w:before="100" w:after="100"/>
              <w:jc w:val="center"/>
            </w:pPr>
            <w:r w:rsidRPr="00090AB3">
              <w:t>90c per minute +$1.75c flagfall</w:t>
            </w:r>
          </w:p>
        </w:tc>
      </w:tr>
      <w:tr w:rsidR="00E441CA" w:rsidRPr="00090AB3" w14:paraId="20CEE72E" w14:textId="77777777" w:rsidTr="00E441CA">
        <w:tc>
          <w:tcPr>
            <w:tcW w:w="4405" w:type="dxa"/>
            <w:shd w:val="clear" w:color="auto" w:fill="auto"/>
          </w:tcPr>
          <w:p w14:paraId="7E0E8847" w14:textId="77777777" w:rsidR="00E441CA" w:rsidRPr="00950DA4" w:rsidRDefault="00E441CA" w:rsidP="00E441CA">
            <w:pPr>
              <w:pStyle w:val="BodyText"/>
              <w:spacing w:before="100" w:after="100"/>
              <w:rPr>
                <w:bCs/>
                <w:lang w:eastAsia="en-AU"/>
              </w:rPr>
            </w:pPr>
            <w:r w:rsidRPr="00950DA4">
              <w:rPr>
                <w:bCs/>
                <w:lang w:eastAsia="en-AU"/>
              </w:rPr>
              <w:t>International voice calls (outside the plan</w:t>
            </w:r>
            <w:r>
              <w:rPr>
                <w:bCs/>
                <w:lang w:eastAsia="en-AU"/>
              </w:rPr>
              <w:t>'</w:t>
            </w:r>
            <w:r w:rsidRPr="00950DA4">
              <w:rPr>
                <w:bCs/>
                <w:lang w:eastAsia="en-AU"/>
              </w:rPr>
              <w:t xml:space="preserve">s included international minutes and to excluded countries) </w:t>
            </w:r>
          </w:p>
        </w:tc>
        <w:tc>
          <w:tcPr>
            <w:tcW w:w="4406" w:type="dxa"/>
            <w:shd w:val="clear" w:color="auto" w:fill="auto"/>
            <w:vAlign w:val="center"/>
          </w:tcPr>
          <w:p w14:paraId="0E8F0C13" w14:textId="77777777" w:rsidR="00E441CA" w:rsidRPr="00090AB3" w:rsidRDefault="00E441CA" w:rsidP="00E441CA">
            <w:pPr>
              <w:pStyle w:val="BodyText"/>
              <w:spacing w:before="100" w:after="100"/>
              <w:jc w:val="center"/>
            </w:pPr>
            <w:r>
              <w:t>'</w:t>
            </w:r>
            <w:r w:rsidRPr="00090AB3">
              <w:t>yes</w:t>
            </w:r>
            <w:r>
              <w:t>'</w:t>
            </w:r>
            <w:r w:rsidRPr="00090AB3">
              <w:t xml:space="preserve"> international rates</w:t>
            </w:r>
            <w:r w:rsidRPr="00090AB3">
              <w:br/>
              <w:t>See optus.com.au/international</w:t>
            </w:r>
          </w:p>
        </w:tc>
      </w:tr>
      <w:tr w:rsidR="00E441CA" w:rsidRPr="00090AB3" w14:paraId="7EF18A3F" w14:textId="77777777" w:rsidTr="00E441CA">
        <w:tc>
          <w:tcPr>
            <w:tcW w:w="4405" w:type="dxa"/>
            <w:shd w:val="clear" w:color="auto" w:fill="auto"/>
          </w:tcPr>
          <w:p w14:paraId="3C87A4FB" w14:textId="77777777" w:rsidR="00E441CA" w:rsidRPr="00950DA4" w:rsidRDefault="00E441CA" w:rsidP="00E441CA">
            <w:pPr>
              <w:pStyle w:val="BodyText"/>
              <w:spacing w:before="100" w:after="100"/>
              <w:rPr>
                <w:bCs/>
                <w:lang w:eastAsia="en-AU"/>
              </w:rPr>
            </w:pPr>
            <w:r w:rsidRPr="00950DA4">
              <w:rPr>
                <w:bCs/>
                <w:lang w:eastAsia="en-AU"/>
              </w:rPr>
              <w:t xml:space="preserve">International SMS (to excluded countries) </w:t>
            </w:r>
          </w:p>
        </w:tc>
        <w:tc>
          <w:tcPr>
            <w:tcW w:w="4406" w:type="dxa"/>
            <w:shd w:val="clear" w:color="auto" w:fill="auto"/>
            <w:vAlign w:val="center"/>
          </w:tcPr>
          <w:p w14:paraId="3AD0FFC9" w14:textId="77777777" w:rsidR="00E441CA" w:rsidRPr="00090AB3" w:rsidRDefault="00E441CA" w:rsidP="00E441CA">
            <w:pPr>
              <w:pStyle w:val="BodyText"/>
              <w:spacing w:before="100" w:after="100"/>
              <w:jc w:val="center"/>
            </w:pPr>
            <w:r w:rsidRPr="00090AB3">
              <w:t>50c per SMS up to 160 standard characters</w:t>
            </w:r>
          </w:p>
        </w:tc>
      </w:tr>
      <w:tr w:rsidR="00E441CA" w:rsidRPr="00090AB3" w14:paraId="51F2671E" w14:textId="77777777" w:rsidTr="00E441CA">
        <w:tc>
          <w:tcPr>
            <w:tcW w:w="4405" w:type="dxa"/>
            <w:shd w:val="clear" w:color="auto" w:fill="auto"/>
          </w:tcPr>
          <w:p w14:paraId="135196FD" w14:textId="77777777" w:rsidR="00E441CA" w:rsidRPr="00950DA4" w:rsidRDefault="00E441CA" w:rsidP="00E441CA">
            <w:pPr>
              <w:pStyle w:val="BodyText"/>
              <w:spacing w:before="100" w:after="100"/>
              <w:rPr>
                <w:bCs/>
                <w:lang w:eastAsia="en-AU"/>
              </w:rPr>
            </w:pPr>
            <w:r w:rsidRPr="00950DA4">
              <w:rPr>
                <w:bCs/>
                <w:lang w:eastAsia="en-AU"/>
              </w:rPr>
              <w:t>International MMS (to excluded countries)</w:t>
            </w:r>
          </w:p>
        </w:tc>
        <w:tc>
          <w:tcPr>
            <w:tcW w:w="4406" w:type="dxa"/>
            <w:shd w:val="clear" w:color="auto" w:fill="auto"/>
            <w:vAlign w:val="center"/>
          </w:tcPr>
          <w:p w14:paraId="3C1A2461" w14:textId="77777777" w:rsidR="00E441CA" w:rsidRPr="00090AB3" w:rsidRDefault="00E441CA" w:rsidP="00E441CA">
            <w:pPr>
              <w:pStyle w:val="BodyText"/>
              <w:spacing w:before="100" w:after="100"/>
              <w:jc w:val="center"/>
            </w:pPr>
            <w:r w:rsidRPr="00090AB3">
              <w:t>75c per MMS</w:t>
            </w:r>
          </w:p>
        </w:tc>
      </w:tr>
      <w:tr w:rsidR="00E441CA" w:rsidRPr="00090AB3" w14:paraId="33EE73CD" w14:textId="77777777" w:rsidTr="00E441CA">
        <w:tc>
          <w:tcPr>
            <w:tcW w:w="4405" w:type="dxa"/>
            <w:shd w:val="clear" w:color="auto" w:fill="auto"/>
          </w:tcPr>
          <w:p w14:paraId="5B6AC77C" w14:textId="77777777" w:rsidR="00E441CA" w:rsidRPr="00950DA4" w:rsidRDefault="00E441CA" w:rsidP="00E441CA">
            <w:pPr>
              <w:pStyle w:val="BodyText"/>
              <w:spacing w:before="100" w:after="100"/>
              <w:rPr>
                <w:bCs/>
                <w:lang w:eastAsia="en-AU"/>
              </w:rPr>
            </w:pPr>
            <w:r w:rsidRPr="00950DA4">
              <w:rPr>
                <w:bCs/>
                <w:lang w:eastAsia="en-AU"/>
              </w:rPr>
              <w:t xml:space="preserve">International video calling </w:t>
            </w:r>
          </w:p>
        </w:tc>
        <w:tc>
          <w:tcPr>
            <w:tcW w:w="4406" w:type="dxa"/>
            <w:shd w:val="clear" w:color="auto" w:fill="auto"/>
            <w:vAlign w:val="center"/>
          </w:tcPr>
          <w:p w14:paraId="2A73B4DE" w14:textId="77777777" w:rsidR="00E441CA" w:rsidRPr="00090AB3" w:rsidRDefault="00E441CA" w:rsidP="00E441CA">
            <w:pPr>
              <w:pStyle w:val="BodyText"/>
              <w:spacing w:before="100" w:after="100"/>
              <w:jc w:val="center"/>
            </w:pPr>
            <w:r w:rsidRPr="00090AB3">
              <w:t>$1.50 per minute +35c flagfall</w:t>
            </w:r>
          </w:p>
        </w:tc>
      </w:tr>
      <w:tr w:rsidR="00E441CA" w:rsidRPr="00090AB3" w14:paraId="1261084D" w14:textId="77777777" w:rsidTr="00E441CA">
        <w:tc>
          <w:tcPr>
            <w:tcW w:w="4405" w:type="dxa"/>
            <w:shd w:val="clear" w:color="auto" w:fill="auto"/>
          </w:tcPr>
          <w:p w14:paraId="5DDD606E" w14:textId="77777777" w:rsidR="00E441CA" w:rsidRPr="00950DA4" w:rsidRDefault="00E441CA" w:rsidP="00E441CA">
            <w:pPr>
              <w:pStyle w:val="BodyText"/>
              <w:spacing w:before="100" w:after="100"/>
              <w:rPr>
                <w:bCs/>
                <w:lang w:eastAsia="en-AU"/>
              </w:rPr>
            </w:pPr>
            <w:r w:rsidRPr="00950DA4">
              <w:rPr>
                <w:bCs/>
                <w:lang w:eastAsia="en-AU"/>
              </w:rPr>
              <w:t xml:space="preserve">International roaming </w:t>
            </w:r>
          </w:p>
        </w:tc>
        <w:tc>
          <w:tcPr>
            <w:tcW w:w="4406" w:type="dxa"/>
            <w:shd w:val="clear" w:color="auto" w:fill="auto"/>
            <w:vAlign w:val="center"/>
          </w:tcPr>
          <w:p w14:paraId="10C93774" w14:textId="77777777" w:rsidR="00E441CA" w:rsidRPr="00090AB3" w:rsidRDefault="00E441CA" w:rsidP="00E441CA">
            <w:pPr>
              <w:pStyle w:val="BodyText"/>
              <w:spacing w:before="100" w:after="100"/>
              <w:jc w:val="center"/>
            </w:pPr>
            <w:r w:rsidRPr="00090AB3">
              <w:t>See optus.com.au/roaming</w:t>
            </w:r>
          </w:p>
        </w:tc>
      </w:tr>
    </w:tbl>
    <w:p w14:paraId="2F883D6D" w14:textId="77777777" w:rsidR="00E441CA" w:rsidRDefault="00E441CA" w:rsidP="00E441CA">
      <w:pPr>
        <w:pStyle w:val="BodyText"/>
        <w:rPr>
          <w:b/>
        </w:rPr>
      </w:pPr>
    </w:p>
    <w:p w14:paraId="18A95511" w14:textId="77777777" w:rsidR="00E441CA" w:rsidRDefault="00E441CA" w:rsidP="00E441CA">
      <w:pPr>
        <w:pStyle w:val="BodyText"/>
        <w:rPr>
          <w:b/>
        </w:rPr>
      </w:pPr>
      <w:r w:rsidRPr="00950DA4">
        <w:rPr>
          <w:b/>
        </w:rPr>
        <w:t>Table 3 – International Countries</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5"/>
        <w:gridCol w:w="2205"/>
        <w:gridCol w:w="2205"/>
        <w:gridCol w:w="2205"/>
      </w:tblGrid>
      <w:tr w:rsidR="00E441CA" w:rsidRPr="00090AB3" w14:paraId="613B68E7" w14:textId="77777777" w:rsidTr="00E441CA">
        <w:tc>
          <w:tcPr>
            <w:tcW w:w="2205" w:type="dxa"/>
            <w:shd w:val="clear" w:color="auto" w:fill="auto"/>
          </w:tcPr>
          <w:p w14:paraId="3331382E" w14:textId="77777777" w:rsidR="00E441CA" w:rsidRPr="00090AB3" w:rsidRDefault="00E441CA" w:rsidP="00E441CA">
            <w:pPr>
              <w:pStyle w:val="BodyText"/>
              <w:spacing w:before="100" w:after="100"/>
              <w:rPr>
                <w:b/>
              </w:rPr>
            </w:pPr>
            <w:r w:rsidRPr="00A166C1">
              <w:rPr>
                <w:rFonts w:eastAsia="Calibri"/>
              </w:rPr>
              <w:t>China</w:t>
            </w:r>
          </w:p>
        </w:tc>
        <w:tc>
          <w:tcPr>
            <w:tcW w:w="2205" w:type="dxa"/>
            <w:shd w:val="clear" w:color="auto" w:fill="auto"/>
          </w:tcPr>
          <w:p w14:paraId="02450FBC" w14:textId="77777777" w:rsidR="00E441CA" w:rsidRPr="00090AB3" w:rsidRDefault="00E441CA" w:rsidP="00E441CA">
            <w:pPr>
              <w:pStyle w:val="BodyText"/>
              <w:spacing w:before="100" w:after="100"/>
              <w:rPr>
                <w:b/>
              </w:rPr>
            </w:pPr>
            <w:r w:rsidRPr="00A166C1">
              <w:rPr>
                <w:rFonts w:eastAsia="Calibri"/>
              </w:rPr>
              <w:t>Indonesia</w:t>
            </w:r>
          </w:p>
        </w:tc>
        <w:tc>
          <w:tcPr>
            <w:tcW w:w="2205" w:type="dxa"/>
            <w:shd w:val="clear" w:color="auto" w:fill="auto"/>
          </w:tcPr>
          <w:p w14:paraId="2E795CAA" w14:textId="77777777" w:rsidR="00E441CA" w:rsidRPr="00090AB3" w:rsidRDefault="00E441CA" w:rsidP="00E441CA">
            <w:pPr>
              <w:pStyle w:val="BodyText"/>
              <w:spacing w:before="100" w:after="100"/>
              <w:rPr>
                <w:b/>
              </w:rPr>
            </w:pPr>
            <w:r>
              <w:rPr>
                <w:rFonts w:eastAsia="Calibri"/>
              </w:rPr>
              <w:t>India</w:t>
            </w:r>
          </w:p>
        </w:tc>
        <w:tc>
          <w:tcPr>
            <w:tcW w:w="2205" w:type="dxa"/>
            <w:shd w:val="clear" w:color="auto" w:fill="auto"/>
          </w:tcPr>
          <w:p w14:paraId="00E4B689" w14:textId="77777777" w:rsidR="00E441CA" w:rsidRPr="00090AB3" w:rsidRDefault="00E441CA" w:rsidP="00E441CA">
            <w:pPr>
              <w:pStyle w:val="BodyText"/>
              <w:spacing w:before="100" w:after="100"/>
              <w:rPr>
                <w:b/>
              </w:rPr>
            </w:pPr>
            <w:r>
              <w:rPr>
                <w:rFonts w:eastAsia="Calibri"/>
              </w:rPr>
              <w:t>Malaysia</w:t>
            </w:r>
          </w:p>
        </w:tc>
      </w:tr>
      <w:tr w:rsidR="00E441CA" w:rsidRPr="00090AB3" w14:paraId="32C266CD" w14:textId="77777777" w:rsidTr="00E441CA">
        <w:tc>
          <w:tcPr>
            <w:tcW w:w="2205" w:type="dxa"/>
            <w:shd w:val="clear" w:color="auto" w:fill="auto"/>
          </w:tcPr>
          <w:p w14:paraId="3F345C88" w14:textId="77777777" w:rsidR="00E441CA" w:rsidRPr="00090AB3" w:rsidRDefault="00E441CA" w:rsidP="00E441CA">
            <w:pPr>
              <w:pStyle w:val="BodyText"/>
              <w:spacing w:before="100" w:after="100"/>
              <w:rPr>
                <w:b/>
              </w:rPr>
            </w:pPr>
            <w:r w:rsidRPr="00A166C1">
              <w:rPr>
                <w:rFonts w:eastAsia="Calibri"/>
              </w:rPr>
              <w:t>New Zealand</w:t>
            </w:r>
          </w:p>
        </w:tc>
        <w:tc>
          <w:tcPr>
            <w:tcW w:w="2205" w:type="dxa"/>
            <w:shd w:val="clear" w:color="auto" w:fill="auto"/>
          </w:tcPr>
          <w:p w14:paraId="56CEA0F3" w14:textId="77777777" w:rsidR="00E441CA" w:rsidRPr="00090AB3" w:rsidRDefault="00E441CA" w:rsidP="00E441CA">
            <w:pPr>
              <w:pStyle w:val="BodyText"/>
              <w:spacing w:before="100" w:after="100"/>
              <w:rPr>
                <w:b/>
              </w:rPr>
            </w:pPr>
            <w:r w:rsidRPr="00A166C1">
              <w:rPr>
                <w:rFonts w:eastAsia="Calibri"/>
              </w:rPr>
              <w:t>Singapore</w:t>
            </w:r>
          </w:p>
        </w:tc>
        <w:tc>
          <w:tcPr>
            <w:tcW w:w="2205" w:type="dxa"/>
            <w:shd w:val="clear" w:color="auto" w:fill="auto"/>
          </w:tcPr>
          <w:p w14:paraId="5001786C" w14:textId="77777777" w:rsidR="00E441CA" w:rsidRPr="00090AB3" w:rsidRDefault="00E441CA" w:rsidP="00E441CA">
            <w:pPr>
              <w:pStyle w:val="TOC8"/>
              <w:ind w:left="0"/>
              <w:rPr>
                <w:b/>
              </w:rPr>
            </w:pPr>
            <w:r>
              <w:rPr>
                <w:rFonts w:eastAsia="Calibri"/>
              </w:rPr>
              <w:t>South Africa</w:t>
            </w:r>
          </w:p>
        </w:tc>
        <w:tc>
          <w:tcPr>
            <w:tcW w:w="2205" w:type="dxa"/>
            <w:shd w:val="clear" w:color="auto" w:fill="auto"/>
          </w:tcPr>
          <w:p w14:paraId="6375A185" w14:textId="77777777" w:rsidR="00E441CA" w:rsidRPr="00090AB3" w:rsidRDefault="00E441CA" w:rsidP="00E441CA">
            <w:pPr>
              <w:pStyle w:val="BodyText"/>
              <w:spacing w:before="100" w:after="100"/>
              <w:rPr>
                <w:b/>
              </w:rPr>
            </w:pPr>
            <w:r>
              <w:rPr>
                <w:rFonts w:eastAsia="Calibri"/>
              </w:rPr>
              <w:t>UK</w:t>
            </w:r>
          </w:p>
        </w:tc>
      </w:tr>
      <w:tr w:rsidR="00E441CA" w:rsidRPr="00090AB3" w14:paraId="2A8AB408" w14:textId="77777777" w:rsidTr="00E441CA">
        <w:tc>
          <w:tcPr>
            <w:tcW w:w="2205" w:type="dxa"/>
            <w:shd w:val="clear" w:color="auto" w:fill="auto"/>
          </w:tcPr>
          <w:p w14:paraId="66EE8722" w14:textId="77777777" w:rsidR="00E441CA" w:rsidRPr="00090AB3" w:rsidRDefault="00E441CA" w:rsidP="00E441CA">
            <w:pPr>
              <w:pStyle w:val="BodyText"/>
              <w:spacing w:before="100" w:after="100"/>
              <w:rPr>
                <w:b/>
              </w:rPr>
            </w:pPr>
            <w:r w:rsidRPr="00A166C1">
              <w:rPr>
                <w:rFonts w:eastAsia="Calibri"/>
              </w:rPr>
              <w:t xml:space="preserve">USA </w:t>
            </w:r>
          </w:p>
        </w:tc>
        <w:tc>
          <w:tcPr>
            <w:tcW w:w="2205" w:type="dxa"/>
            <w:shd w:val="clear" w:color="auto" w:fill="auto"/>
          </w:tcPr>
          <w:p w14:paraId="67C31A30" w14:textId="77777777" w:rsidR="00E441CA" w:rsidRPr="00090AB3" w:rsidRDefault="00E441CA" w:rsidP="00E441CA">
            <w:pPr>
              <w:pStyle w:val="BodyText"/>
              <w:spacing w:before="100" w:after="100"/>
              <w:rPr>
                <w:b/>
              </w:rPr>
            </w:pPr>
            <w:r w:rsidRPr="00A166C1">
              <w:rPr>
                <w:rFonts w:eastAsia="Calibri"/>
              </w:rPr>
              <w:t>Vietnam</w:t>
            </w:r>
          </w:p>
        </w:tc>
        <w:tc>
          <w:tcPr>
            <w:tcW w:w="2205" w:type="dxa"/>
            <w:shd w:val="clear" w:color="auto" w:fill="auto"/>
          </w:tcPr>
          <w:p w14:paraId="42D0806C" w14:textId="77777777" w:rsidR="00E441CA" w:rsidRPr="00B753E8" w:rsidRDefault="00E441CA" w:rsidP="00E441CA">
            <w:pPr>
              <w:pStyle w:val="BodyText"/>
              <w:spacing w:before="100" w:after="100"/>
            </w:pPr>
            <w:r>
              <w:t>Canada</w:t>
            </w:r>
          </w:p>
        </w:tc>
        <w:tc>
          <w:tcPr>
            <w:tcW w:w="2205" w:type="dxa"/>
            <w:shd w:val="clear" w:color="auto" w:fill="auto"/>
          </w:tcPr>
          <w:p w14:paraId="53DB9908" w14:textId="77777777" w:rsidR="00E441CA" w:rsidRPr="00B753E8" w:rsidRDefault="00E441CA" w:rsidP="00E441CA">
            <w:pPr>
              <w:pStyle w:val="BodyText"/>
              <w:spacing w:before="100" w:after="100"/>
            </w:pPr>
            <w:r w:rsidRPr="00B753E8">
              <w:t>Hong Kong</w:t>
            </w:r>
          </w:p>
        </w:tc>
      </w:tr>
      <w:tr w:rsidR="00E441CA" w:rsidRPr="00090AB3" w14:paraId="7EC5BBFF" w14:textId="77777777" w:rsidTr="00E441CA">
        <w:tc>
          <w:tcPr>
            <w:tcW w:w="2205" w:type="dxa"/>
            <w:shd w:val="clear" w:color="auto" w:fill="auto"/>
          </w:tcPr>
          <w:p w14:paraId="26294E81" w14:textId="77777777" w:rsidR="00E441CA" w:rsidRPr="00A166C1" w:rsidRDefault="00E441CA" w:rsidP="00E441CA">
            <w:pPr>
              <w:pStyle w:val="BodyText"/>
              <w:spacing w:before="100" w:after="100"/>
              <w:rPr>
                <w:rFonts w:eastAsia="Calibri"/>
              </w:rPr>
            </w:pPr>
            <w:r>
              <w:rPr>
                <w:rFonts w:eastAsia="Calibri"/>
              </w:rPr>
              <w:t>South Korea</w:t>
            </w:r>
          </w:p>
        </w:tc>
        <w:tc>
          <w:tcPr>
            <w:tcW w:w="2205" w:type="dxa"/>
            <w:shd w:val="clear" w:color="auto" w:fill="auto"/>
          </w:tcPr>
          <w:p w14:paraId="19B57C2A" w14:textId="77777777" w:rsidR="00E441CA" w:rsidRPr="00A166C1" w:rsidRDefault="00E441CA" w:rsidP="00E441CA">
            <w:pPr>
              <w:pStyle w:val="BodyText"/>
              <w:spacing w:before="100" w:after="100"/>
              <w:rPr>
                <w:rFonts w:eastAsia="Calibri"/>
              </w:rPr>
            </w:pPr>
            <w:r>
              <w:rPr>
                <w:rFonts w:eastAsia="Calibri"/>
              </w:rPr>
              <w:t>Thailand</w:t>
            </w:r>
          </w:p>
        </w:tc>
        <w:tc>
          <w:tcPr>
            <w:tcW w:w="2205" w:type="dxa"/>
            <w:shd w:val="clear" w:color="auto" w:fill="auto"/>
          </w:tcPr>
          <w:p w14:paraId="62690DCE" w14:textId="77777777" w:rsidR="00E441CA" w:rsidRDefault="00E441CA" w:rsidP="00E441CA">
            <w:pPr>
              <w:pStyle w:val="BodyText"/>
              <w:spacing w:before="100" w:after="100"/>
            </w:pPr>
          </w:p>
        </w:tc>
        <w:tc>
          <w:tcPr>
            <w:tcW w:w="2205" w:type="dxa"/>
            <w:shd w:val="clear" w:color="auto" w:fill="auto"/>
          </w:tcPr>
          <w:p w14:paraId="73437AAA" w14:textId="77777777" w:rsidR="00E441CA" w:rsidRPr="00B753E8" w:rsidRDefault="00E441CA" w:rsidP="00E441CA">
            <w:pPr>
              <w:pStyle w:val="BodyText"/>
              <w:spacing w:before="100" w:after="100"/>
            </w:pPr>
          </w:p>
        </w:tc>
      </w:tr>
    </w:tbl>
    <w:p w14:paraId="02CA29BD" w14:textId="77777777" w:rsidR="00E441CA" w:rsidRDefault="00E441CA" w:rsidP="00E441CA">
      <w:pPr>
        <w:pStyle w:val="BodyText"/>
      </w:pPr>
    </w:p>
    <w:p w14:paraId="20AFF421" w14:textId="77777777" w:rsidR="00E441CA" w:rsidRPr="00950DA4" w:rsidRDefault="00E441CA" w:rsidP="00E441CA">
      <w:pPr>
        <w:pStyle w:val="Heading6"/>
        <w:ind w:left="0" w:firstLine="0"/>
        <w:rPr>
          <w:lang w:val="en-AU"/>
        </w:rPr>
      </w:pPr>
      <w:bookmarkStart w:id="1551" w:name="_Toc455149931"/>
      <w:bookmarkStart w:id="1552" w:name="_Toc483832380"/>
      <w:r w:rsidRPr="00950DA4">
        <w:rPr>
          <w:lang w:val="en-AU"/>
        </w:rPr>
        <w:t>My Account</w:t>
      </w:r>
      <w:bookmarkEnd w:id="1551"/>
      <w:bookmarkEnd w:id="1552"/>
    </w:p>
    <w:p w14:paraId="19355FDF" w14:textId="77777777" w:rsidR="00E441CA" w:rsidRPr="00950DA4" w:rsidRDefault="00E441CA" w:rsidP="00E441CA">
      <w:pPr>
        <w:pStyle w:val="BodyText"/>
        <w:ind w:left="720"/>
        <w:rPr>
          <w:lang w:val="en-AU"/>
        </w:rPr>
      </w:pPr>
      <w:r w:rsidRPr="00950DA4">
        <w:rPr>
          <w:lang w:val="en-AU"/>
        </w:rPr>
        <w:t xml:space="preserve">Services that share data may have a service login to My Account which will display all of the service numbers contributing to or using the shared data pool on </w:t>
      </w:r>
      <w:r w:rsidRPr="00950DA4">
        <w:rPr>
          <w:i/>
          <w:lang w:val="en-AU"/>
        </w:rPr>
        <w:t xml:space="preserve">your </w:t>
      </w:r>
      <w:r w:rsidRPr="00950DA4">
        <w:rPr>
          <w:lang w:val="en-AU"/>
        </w:rPr>
        <w:t xml:space="preserve">account and the amount of data each service has used. If </w:t>
      </w:r>
      <w:r w:rsidRPr="00950DA4">
        <w:rPr>
          <w:i/>
          <w:lang w:val="en-AU"/>
        </w:rPr>
        <w:t>you</w:t>
      </w:r>
      <w:r w:rsidRPr="00950DA4">
        <w:rPr>
          <w:lang w:val="en-AU"/>
        </w:rPr>
        <w:t xml:space="preserve"> have more than 6 services on </w:t>
      </w:r>
      <w:r w:rsidRPr="00950DA4">
        <w:rPr>
          <w:i/>
          <w:lang w:val="en-AU"/>
        </w:rPr>
        <w:t>your</w:t>
      </w:r>
      <w:r w:rsidRPr="00950DA4">
        <w:rPr>
          <w:lang w:val="en-AU"/>
        </w:rPr>
        <w:t xml:space="preserve"> account, My Account may not be suitable for viewing usage and managing </w:t>
      </w:r>
      <w:r w:rsidRPr="00950DA4">
        <w:rPr>
          <w:i/>
          <w:lang w:val="en-AU"/>
        </w:rPr>
        <w:t xml:space="preserve">your </w:t>
      </w:r>
      <w:r w:rsidRPr="00950DA4">
        <w:rPr>
          <w:lang w:val="en-AU"/>
        </w:rPr>
        <w:t>usage alerts.</w:t>
      </w:r>
    </w:p>
    <w:p w14:paraId="2FABBC3D" w14:textId="77777777" w:rsidR="00E441CA" w:rsidRPr="00950DA4" w:rsidRDefault="00E441CA" w:rsidP="00E441CA">
      <w:pPr>
        <w:pStyle w:val="Heading6"/>
        <w:ind w:left="0" w:firstLine="0"/>
        <w:rPr>
          <w:lang w:val="en-AU"/>
        </w:rPr>
      </w:pPr>
      <w:bookmarkStart w:id="1553" w:name="_Toc455149932"/>
      <w:bookmarkStart w:id="1554" w:name="_Toc483832381"/>
      <w:r w:rsidRPr="00950DA4">
        <w:rPr>
          <w:lang w:val="en-AU"/>
        </w:rPr>
        <w:t xml:space="preserve">What happens if the </w:t>
      </w:r>
      <w:r w:rsidRPr="00950DA4">
        <w:rPr>
          <w:i/>
          <w:lang w:val="en-AU"/>
        </w:rPr>
        <w:t xml:space="preserve">service </w:t>
      </w:r>
      <w:r w:rsidRPr="00950DA4">
        <w:rPr>
          <w:lang w:val="en-AU"/>
        </w:rPr>
        <w:t>is</w:t>
      </w:r>
      <w:r w:rsidRPr="00950DA4">
        <w:rPr>
          <w:i/>
          <w:lang w:val="en-AU"/>
        </w:rPr>
        <w:t xml:space="preserve"> cancelled </w:t>
      </w:r>
      <w:r w:rsidRPr="00950DA4">
        <w:rPr>
          <w:lang w:val="en-AU"/>
        </w:rPr>
        <w:t>early?</w:t>
      </w:r>
      <w:bookmarkEnd w:id="1553"/>
      <w:bookmarkEnd w:id="1554"/>
    </w:p>
    <w:p w14:paraId="6A613BE9" w14:textId="77777777" w:rsidR="00E441CA" w:rsidRPr="00950DA4" w:rsidRDefault="00E441CA" w:rsidP="00E441CA">
      <w:pPr>
        <w:pStyle w:val="Heading7"/>
        <w:rPr>
          <w:lang w:val="en-AU"/>
        </w:rPr>
      </w:pPr>
      <w:r w:rsidRPr="00950DA4">
        <w:rPr>
          <w:lang w:val="en-AU"/>
        </w:rPr>
        <w:t>If the</w:t>
      </w:r>
      <w:r w:rsidRPr="00950DA4">
        <w:rPr>
          <w:i/>
          <w:lang w:val="en-AU"/>
        </w:rPr>
        <w:t xml:space="preserve"> service</w:t>
      </w:r>
      <w:r w:rsidRPr="00950DA4">
        <w:rPr>
          <w:lang w:val="en-AU"/>
        </w:rPr>
        <w:t xml:space="preserve"> is</w:t>
      </w:r>
      <w:r w:rsidRPr="00950DA4">
        <w:rPr>
          <w:i/>
          <w:lang w:val="en-AU"/>
        </w:rPr>
        <w:t xml:space="preserve"> cancelled </w:t>
      </w:r>
      <w:r w:rsidRPr="00950DA4">
        <w:rPr>
          <w:lang w:val="en-AU"/>
        </w:rPr>
        <w:t xml:space="preserve">before the end of </w:t>
      </w:r>
      <w:r w:rsidRPr="00950DA4">
        <w:rPr>
          <w:i/>
          <w:lang w:val="en-AU"/>
        </w:rPr>
        <w:t xml:space="preserve">your minimum term, you </w:t>
      </w:r>
      <w:r w:rsidRPr="00950DA4">
        <w:rPr>
          <w:lang w:val="en-AU"/>
        </w:rPr>
        <w:t xml:space="preserve">will be required to pay </w:t>
      </w:r>
      <w:r w:rsidRPr="00950DA4">
        <w:rPr>
          <w:i/>
          <w:lang w:val="en-AU"/>
        </w:rPr>
        <w:t>us</w:t>
      </w:r>
      <w:r w:rsidRPr="00950DA4">
        <w:rPr>
          <w:lang w:val="en-AU"/>
        </w:rPr>
        <w:t>:</w:t>
      </w:r>
    </w:p>
    <w:p w14:paraId="2F444BFD" w14:textId="77777777" w:rsidR="00E441CA" w:rsidRPr="00950DA4" w:rsidRDefault="00E441CA" w:rsidP="00E441CA">
      <w:pPr>
        <w:pStyle w:val="Heading8"/>
        <w:rPr>
          <w:lang w:val="en-AU"/>
        </w:rPr>
      </w:pPr>
      <w:r w:rsidRPr="00950DA4">
        <w:rPr>
          <w:lang w:val="en-AU"/>
        </w:rPr>
        <w:t xml:space="preserve">any usage charges incurred up to, and including, the </w:t>
      </w:r>
      <w:r w:rsidRPr="00950DA4">
        <w:rPr>
          <w:i/>
          <w:lang w:val="en-AU"/>
        </w:rPr>
        <w:t xml:space="preserve">cancellation date; </w:t>
      </w:r>
      <w:r w:rsidRPr="00950DA4">
        <w:rPr>
          <w:lang w:val="en-AU"/>
        </w:rPr>
        <w:t>plus</w:t>
      </w:r>
    </w:p>
    <w:p w14:paraId="6A23E36D" w14:textId="77777777" w:rsidR="00E441CA" w:rsidRPr="00950DA4" w:rsidRDefault="00E441CA" w:rsidP="00E441CA">
      <w:pPr>
        <w:pStyle w:val="Heading8"/>
        <w:rPr>
          <w:lang w:val="en-AU"/>
        </w:rPr>
      </w:pPr>
      <w:r w:rsidRPr="00950DA4">
        <w:rPr>
          <w:lang w:val="en-AU"/>
        </w:rPr>
        <w:t xml:space="preserve">the </w:t>
      </w:r>
      <w:r w:rsidRPr="00950DA4">
        <w:rPr>
          <w:i/>
          <w:lang w:val="en-AU"/>
        </w:rPr>
        <w:t>cancellation fees</w:t>
      </w:r>
      <w:r w:rsidRPr="00950DA4">
        <w:rPr>
          <w:lang w:val="en-AU"/>
        </w:rPr>
        <w:t xml:space="preserve"> set out in paragraph (b) below (unless under </w:t>
      </w:r>
      <w:r w:rsidRPr="001A4873">
        <w:rPr>
          <w:lang w:val="en-AU"/>
        </w:rPr>
        <w:t>clause 2A</w:t>
      </w:r>
      <w:r w:rsidRPr="00950DA4">
        <w:rPr>
          <w:lang w:val="en-AU"/>
        </w:rPr>
        <w:t xml:space="preserve"> of the </w:t>
      </w:r>
      <w:r w:rsidRPr="00950DA4">
        <w:rPr>
          <w:i/>
          <w:lang w:val="en-AU"/>
        </w:rPr>
        <w:t>consumer terms</w:t>
      </w:r>
      <w:r w:rsidRPr="00950DA4">
        <w:rPr>
          <w:lang w:val="en-AU"/>
        </w:rPr>
        <w:t xml:space="preserve">, </w:t>
      </w:r>
      <w:r w:rsidRPr="00950DA4">
        <w:rPr>
          <w:i/>
          <w:lang w:val="en-AU"/>
        </w:rPr>
        <w:t>you</w:t>
      </w:r>
      <w:r w:rsidRPr="00950DA4">
        <w:rPr>
          <w:lang w:val="en-AU"/>
        </w:rPr>
        <w:t xml:space="preserve"> are entitled to </w:t>
      </w:r>
      <w:r w:rsidRPr="00950DA4">
        <w:rPr>
          <w:i/>
          <w:lang w:val="en-AU"/>
        </w:rPr>
        <w:t>cancel the service</w:t>
      </w:r>
      <w:r w:rsidRPr="00950DA4">
        <w:rPr>
          <w:lang w:val="en-AU"/>
        </w:rPr>
        <w:t xml:space="preserve"> without incurring a </w:t>
      </w:r>
      <w:r w:rsidRPr="00950DA4">
        <w:rPr>
          <w:i/>
          <w:lang w:val="en-AU"/>
        </w:rPr>
        <w:t>cancellation fee</w:t>
      </w:r>
      <w:r w:rsidRPr="00950DA4">
        <w:rPr>
          <w:lang w:val="en-AU"/>
        </w:rPr>
        <w:t>); plus</w:t>
      </w:r>
    </w:p>
    <w:p w14:paraId="7DD8C77A" w14:textId="77777777" w:rsidR="00E441CA" w:rsidRPr="00950DA4" w:rsidRDefault="00E441CA" w:rsidP="00E441CA">
      <w:pPr>
        <w:pStyle w:val="Heading7"/>
        <w:rPr>
          <w:lang w:val="en-AU"/>
        </w:rPr>
      </w:pPr>
      <w:r w:rsidRPr="00950DA4">
        <w:rPr>
          <w:lang w:val="en-AU"/>
        </w:rPr>
        <w:t xml:space="preserve">Note, any Handset Credit </w:t>
      </w:r>
      <w:r w:rsidRPr="00950DA4">
        <w:rPr>
          <w:i/>
          <w:lang w:val="en-AU"/>
        </w:rPr>
        <w:t xml:space="preserve">you </w:t>
      </w:r>
      <w:r w:rsidRPr="00950DA4">
        <w:rPr>
          <w:lang w:val="en-AU"/>
        </w:rPr>
        <w:t xml:space="preserve">were entitled to will be forfeited (see 5.5 above) if the account is cancelled. </w:t>
      </w:r>
    </w:p>
    <w:p w14:paraId="00698F55" w14:textId="77777777" w:rsidR="00E441CA" w:rsidRDefault="00E441CA" w:rsidP="00E441CA">
      <w:pPr>
        <w:pStyle w:val="Heading7"/>
        <w:spacing w:after="0"/>
      </w:pPr>
      <w:r w:rsidRPr="00950DA4">
        <w:t xml:space="preserve">The </w:t>
      </w:r>
      <w:r w:rsidRPr="00950DA4">
        <w:rPr>
          <w:i/>
        </w:rPr>
        <w:t>cancellation fee</w:t>
      </w:r>
      <w:r w:rsidRPr="00950DA4">
        <w:t xml:space="preserve"> is calculated as the following amounts, multiplied by the months remaining on </w:t>
      </w:r>
      <w:r w:rsidRPr="00950DA4">
        <w:rPr>
          <w:i/>
        </w:rPr>
        <w:t>your minimum term</w:t>
      </w:r>
      <w:r w:rsidRPr="00950DA4">
        <w:t>:</w:t>
      </w:r>
    </w:p>
    <w:tbl>
      <w:tblPr>
        <w:tblpPr w:leftFromText="180" w:rightFromText="180" w:vertAnchor="text" w:horzAnchor="margin" w:tblpX="358" w:tblpY="393"/>
        <w:tblW w:w="31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4567"/>
      </w:tblGrid>
      <w:tr w:rsidR="00E441CA" w:rsidRPr="00A974C9" w14:paraId="2A390515" w14:textId="77777777" w:rsidTr="00E441CA">
        <w:trPr>
          <w:trHeight w:val="289"/>
        </w:trPr>
        <w:tc>
          <w:tcPr>
            <w:tcW w:w="5000" w:type="pct"/>
            <w:gridSpan w:val="2"/>
            <w:shd w:val="clear" w:color="auto" w:fill="auto"/>
            <w:vAlign w:val="center"/>
          </w:tcPr>
          <w:p w14:paraId="6CAC54AB" w14:textId="77777777" w:rsidR="00E441CA" w:rsidRPr="00950DA4" w:rsidRDefault="00E441CA" w:rsidP="00E441CA">
            <w:pPr>
              <w:pStyle w:val="BodyText"/>
              <w:spacing w:before="100" w:after="100"/>
              <w:jc w:val="center"/>
              <w:rPr>
                <w:b/>
                <w:lang w:eastAsia="en-AU"/>
              </w:rPr>
            </w:pPr>
            <w:r w:rsidRPr="00950DA4">
              <w:rPr>
                <w:b/>
                <w:lang w:eastAsia="en-AU"/>
              </w:rPr>
              <w:lastRenderedPageBreak/>
              <w:t xml:space="preserve">My Plan Business </w:t>
            </w:r>
            <w:r w:rsidRPr="00950DA4">
              <w:rPr>
                <w:b/>
                <w:snapToGrid w:val="0"/>
              </w:rPr>
              <w:t>Tech Fund</w:t>
            </w:r>
          </w:p>
        </w:tc>
      </w:tr>
      <w:tr w:rsidR="00E441CA" w:rsidRPr="00A974C9" w14:paraId="77958FAC" w14:textId="77777777" w:rsidTr="00E441CA">
        <w:trPr>
          <w:trHeight w:val="182"/>
        </w:trPr>
        <w:tc>
          <w:tcPr>
            <w:tcW w:w="1401" w:type="pct"/>
            <w:vAlign w:val="center"/>
          </w:tcPr>
          <w:p w14:paraId="6884BA23" w14:textId="77777777" w:rsidR="00E441CA" w:rsidRPr="0034768D" w:rsidRDefault="00E441CA" w:rsidP="00E441CA">
            <w:pPr>
              <w:pStyle w:val="BodyText"/>
              <w:spacing w:before="100" w:after="100"/>
              <w:jc w:val="center"/>
              <w:rPr>
                <w:b/>
              </w:rPr>
            </w:pPr>
            <w:r w:rsidRPr="0034768D">
              <w:rPr>
                <w:b/>
              </w:rPr>
              <w:t>Plan</w:t>
            </w:r>
          </w:p>
        </w:tc>
        <w:tc>
          <w:tcPr>
            <w:tcW w:w="3599" w:type="pct"/>
            <w:vAlign w:val="center"/>
          </w:tcPr>
          <w:p w14:paraId="46E5C3CE" w14:textId="77777777" w:rsidR="00E441CA" w:rsidRPr="0034768D" w:rsidRDefault="00E441CA" w:rsidP="00E441CA">
            <w:pPr>
              <w:pStyle w:val="BodyText"/>
              <w:spacing w:before="100" w:after="100"/>
              <w:jc w:val="center"/>
              <w:rPr>
                <w:b/>
              </w:rPr>
            </w:pPr>
            <w:r>
              <w:rPr>
                <w:b/>
              </w:rPr>
              <w:t>$125</w:t>
            </w:r>
            <w:r w:rsidRPr="0034768D">
              <w:rPr>
                <w:b/>
              </w:rPr>
              <w:t xml:space="preserve"> My Plan Business</w:t>
            </w:r>
            <w:r w:rsidRPr="0034768D">
              <w:rPr>
                <w:b/>
                <w:snapToGrid w:val="0"/>
              </w:rPr>
              <w:t xml:space="preserve"> Tech Fund</w:t>
            </w:r>
          </w:p>
        </w:tc>
      </w:tr>
      <w:tr w:rsidR="00E441CA" w:rsidRPr="00A974C9" w14:paraId="0BF4F1B9" w14:textId="77777777" w:rsidTr="00E441CA">
        <w:trPr>
          <w:trHeight w:val="275"/>
        </w:trPr>
        <w:tc>
          <w:tcPr>
            <w:tcW w:w="1401" w:type="pct"/>
            <w:vAlign w:val="center"/>
          </w:tcPr>
          <w:p w14:paraId="3FB5B185" w14:textId="77777777" w:rsidR="00E441CA" w:rsidRPr="0034768D" w:rsidRDefault="00E441CA" w:rsidP="00E441CA">
            <w:pPr>
              <w:pStyle w:val="BodyText"/>
              <w:spacing w:before="100" w:after="100"/>
              <w:jc w:val="center"/>
              <w:rPr>
                <w:b/>
              </w:rPr>
            </w:pPr>
            <w:r w:rsidRPr="0034768D">
              <w:rPr>
                <w:b/>
                <w:lang w:eastAsia="en-AU"/>
              </w:rPr>
              <w:t>Cancellation Fee</w:t>
            </w:r>
          </w:p>
        </w:tc>
        <w:tc>
          <w:tcPr>
            <w:tcW w:w="3599" w:type="pct"/>
          </w:tcPr>
          <w:p w14:paraId="386814DB" w14:textId="77777777" w:rsidR="00E441CA" w:rsidRPr="00A974C9" w:rsidRDefault="00E441CA" w:rsidP="00E441CA">
            <w:pPr>
              <w:pStyle w:val="BodyText"/>
              <w:spacing w:before="100" w:after="100"/>
              <w:jc w:val="center"/>
            </w:pPr>
            <w:r>
              <w:t>$78 x Months remaining</w:t>
            </w:r>
          </w:p>
        </w:tc>
      </w:tr>
      <w:tr w:rsidR="00E441CA" w:rsidRPr="00A974C9" w14:paraId="6C4D4EE0" w14:textId="77777777" w:rsidTr="00E441CA">
        <w:trPr>
          <w:trHeight w:val="275"/>
        </w:trPr>
        <w:tc>
          <w:tcPr>
            <w:tcW w:w="1401" w:type="pct"/>
            <w:vAlign w:val="center"/>
          </w:tcPr>
          <w:p w14:paraId="4EEA09B8" w14:textId="77777777" w:rsidR="00E441CA" w:rsidRPr="0034768D" w:rsidRDefault="00E441CA" w:rsidP="00E441CA">
            <w:pPr>
              <w:pStyle w:val="BodyText"/>
              <w:spacing w:before="100" w:after="100"/>
              <w:jc w:val="center"/>
              <w:rPr>
                <w:b/>
                <w:lang w:eastAsia="en-AU"/>
              </w:rPr>
            </w:pPr>
            <w:r w:rsidRPr="0034768D">
              <w:rPr>
                <w:b/>
                <w:lang w:eastAsia="en-AU"/>
              </w:rPr>
              <w:t>Maximum Cancellation Fee</w:t>
            </w:r>
          </w:p>
        </w:tc>
        <w:tc>
          <w:tcPr>
            <w:tcW w:w="3599" w:type="pct"/>
            <w:vAlign w:val="center"/>
          </w:tcPr>
          <w:p w14:paraId="0383A493" w14:textId="77777777" w:rsidR="00E441CA" w:rsidRPr="00A974C9" w:rsidRDefault="00E441CA" w:rsidP="00E441CA">
            <w:pPr>
              <w:pStyle w:val="BodyText"/>
              <w:spacing w:before="100" w:after="100"/>
              <w:jc w:val="center"/>
            </w:pPr>
            <w:r>
              <w:t>$1872</w:t>
            </w:r>
          </w:p>
        </w:tc>
      </w:tr>
    </w:tbl>
    <w:p w14:paraId="6CD7DF68" w14:textId="77777777" w:rsidR="00E441CA" w:rsidRDefault="00E441CA" w:rsidP="00E441CA">
      <w:pPr>
        <w:pStyle w:val="BodyText"/>
      </w:pPr>
    </w:p>
    <w:p w14:paraId="30A298AF" w14:textId="77777777" w:rsidR="00E441CA" w:rsidRDefault="00E441CA" w:rsidP="00E441CA">
      <w:pPr>
        <w:pStyle w:val="Heading7"/>
        <w:numPr>
          <w:ilvl w:val="0"/>
          <w:numId w:val="0"/>
        </w:numPr>
        <w:ind w:left="720"/>
        <w:rPr>
          <w:rFonts w:eastAsia="MS Mincho"/>
          <w:lang w:val="en-AU"/>
        </w:rPr>
      </w:pPr>
    </w:p>
    <w:p w14:paraId="68C84DCF" w14:textId="77777777" w:rsidR="00E441CA" w:rsidRDefault="00E441CA" w:rsidP="00E441CA">
      <w:pPr>
        <w:pStyle w:val="Heading7"/>
        <w:numPr>
          <w:ilvl w:val="0"/>
          <w:numId w:val="0"/>
        </w:numPr>
        <w:ind w:left="720"/>
        <w:rPr>
          <w:rFonts w:eastAsia="MS Mincho"/>
          <w:lang w:val="en-AU"/>
        </w:rPr>
      </w:pPr>
    </w:p>
    <w:p w14:paraId="675DEF0A" w14:textId="77777777" w:rsidR="00E441CA" w:rsidRDefault="00E441CA" w:rsidP="00E441CA">
      <w:pPr>
        <w:pStyle w:val="Heading7"/>
        <w:numPr>
          <w:ilvl w:val="0"/>
          <w:numId w:val="0"/>
        </w:numPr>
        <w:ind w:left="720"/>
        <w:rPr>
          <w:rFonts w:eastAsia="MS Mincho"/>
          <w:lang w:val="en-AU"/>
        </w:rPr>
      </w:pPr>
    </w:p>
    <w:p w14:paraId="19A8419B" w14:textId="77777777" w:rsidR="00E441CA" w:rsidRDefault="00E441CA" w:rsidP="00E441CA">
      <w:pPr>
        <w:pStyle w:val="Heading7"/>
        <w:numPr>
          <w:ilvl w:val="0"/>
          <w:numId w:val="0"/>
        </w:numPr>
        <w:ind w:left="720"/>
        <w:rPr>
          <w:rFonts w:eastAsia="MS Mincho"/>
          <w:lang w:val="en-AU"/>
        </w:rPr>
      </w:pPr>
    </w:p>
    <w:p w14:paraId="66E98B28" w14:textId="77777777" w:rsidR="00E441CA" w:rsidRDefault="00E441CA" w:rsidP="00E441CA">
      <w:pPr>
        <w:pStyle w:val="Heading7"/>
        <w:numPr>
          <w:ilvl w:val="0"/>
          <w:numId w:val="0"/>
        </w:numPr>
        <w:ind w:left="720"/>
        <w:rPr>
          <w:rFonts w:eastAsia="MS Mincho"/>
          <w:lang w:val="en-AU"/>
        </w:rPr>
      </w:pPr>
    </w:p>
    <w:p w14:paraId="288C720C" w14:textId="77777777" w:rsidR="00E441CA" w:rsidRPr="00E441CA" w:rsidRDefault="00E441CA" w:rsidP="00E441CA">
      <w:pPr>
        <w:rPr>
          <w:lang w:val="en-AU"/>
        </w:rPr>
      </w:pPr>
    </w:p>
    <w:p w14:paraId="2EFFFB25" w14:textId="77777777" w:rsidR="00E441CA" w:rsidRPr="0034768D" w:rsidRDefault="00E441CA" w:rsidP="00E441CA">
      <w:pPr>
        <w:pStyle w:val="Heading7"/>
        <w:rPr>
          <w:rFonts w:eastAsia="MS Mincho"/>
          <w:lang w:val="en-AU"/>
        </w:rPr>
      </w:pPr>
      <w:r w:rsidRPr="0034768D">
        <w:rPr>
          <w:rFonts w:eastAsia="MS Mincho"/>
          <w:lang w:val="en-AU"/>
        </w:rPr>
        <w:t xml:space="preserve">If </w:t>
      </w:r>
      <w:r w:rsidRPr="0034768D">
        <w:rPr>
          <w:rFonts w:eastAsia="MS Mincho"/>
          <w:i/>
          <w:lang w:val="en-AU"/>
        </w:rPr>
        <w:t>your</w:t>
      </w:r>
      <w:r w:rsidRPr="0034768D">
        <w:rPr>
          <w:rFonts w:eastAsia="MS Mincho"/>
          <w:lang w:val="en-AU"/>
        </w:rPr>
        <w:t xml:space="preserve"> My Plan Business Tech Fund is </w:t>
      </w:r>
      <w:r w:rsidRPr="0034768D">
        <w:rPr>
          <w:rFonts w:eastAsia="MS Mincho"/>
          <w:i/>
          <w:lang w:val="en-AU"/>
        </w:rPr>
        <w:t>cancelled</w:t>
      </w:r>
      <w:r w:rsidRPr="0034768D">
        <w:rPr>
          <w:rFonts w:eastAsia="MS Mincho"/>
          <w:lang w:val="en-AU"/>
        </w:rPr>
        <w:t xml:space="preserve">, </w:t>
      </w:r>
      <w:r w:rsidRPr="0034768D">
        <w:rPr>
          <w:rFonts w:eastAsia="MS Mincho"/>
          <w:i/>
          <w:lang w:val="en-AU"/>
        </w:rPr>
        <w:t>your</w:t>
      </w:r>
      <w:r w:rsidRPr="0034768D">
        <w:rPr>
          <w:rFonts w:eastAsia="MS Mincho"/>
          <w:lang w:val="en-AU"/>
        </w:rPr>
        <w:t xml:space="preserve"> Shared Data Plan(s) may also be </w:t>
      </w:r>
      <w:r w:rsidRPr="0034768D">
        <w:rPr>
          <w:rFonts w:eastAsia="MS Mincho"/>
          <w:i/>
          <w:lang w:val="en-AU"/>
        </w:rPr>
        <w:t>cancelled</w:t>
      </w:r>
      <w:r w:rsidRPr="0034768D">
        <w:rPr>
          <w:rFonts w:eastAsia="MS Mincho"/>
          <w:lang w:val="en-AU"/>
        </w:rPr>
        <w:t xml:space="preserve">. There are no </w:t>
      </w:r>
      <w:r w:rsidRPr="0034768D">
        <w:rPr>
          <w:rFonts w:eastAsia="MS Mincho"/>
          <w:i/>
          <w:lang w:val="en-AU"/>
        </w:rPr>
        <w:t>cancellation fees</w:t>
      </w:r>
      <w:r w:rsidRPr="0034768D">
        <w:rPr>
          <w:rFonts w:eastAsia="MS Mincho"/>
          <w:lang w:val="en-AU"/>
        </w:rPr>
        <w:t xml:space="preserve"> for the Shared Data Plan, however if </w:t>
      </w:r>
      <w:r w:rsidRPr="0034768D">
        <w:rPr>
          <w:rFonts w:eastAsia="MS Mincho"/>
          <w:i/>
          <w:lang w:val="en-AU"/>
        </w:rPr>
        <w:t>you</w:t>
      </w:r>
      <w:r w:rsidRPr="0034768D">
        <w:rPr>
          <w:rFonts w:eastAsia="MS Mincho"/>
          <w:lang w:val="en-AU"/>
        </w:rPr>
        <w:t xml:space="preserve"> purchased a </w:t>
      </w:r>
      <w:r w:rsidRPr="0034768D">
        <w:rPr>
          <w:rFonts w:eastAsia="MS Mincho"/>
          <w:i/>
          <w:lang w:val="en-AU"/>
        </w:rPr>
        <w:t>device</w:t>
      </w:r>
      <w:r w:rsidRPr="0034768D">
        <w:rPr>
          <w:rFonts w:eastAsia="MS Mincho"/>
          <w:lang w:val="en-AU"/>
        </w:rPr>
        <w:t xml:space="preserve"> </w:t>
      </w:r>
      <w:r w:rsidRPr="0034768D">
        <w:rPr>
          <w:rFonts w:eastAsia="MS Mincho"/>
          <w:i/>
          <w:lang w:val="en-AU"/>
        </w:rPr>
        <w:t>you</w:t>
      </w:r>
      <w:r w:rsidRPr="0034768D">
        <w:rPr>
          <w:rFonts w:eastAsia="MS Mincho"/>
          <w:lang w:val="en-AU"/>
        </w:rPr>
        <w:t xml:space="preserve"> need to pay the sum of any remaining </w:t>
      </w:r>
      <w:r w:rsidRPr="0034768D">
        <w:rPr>
          <w:rFonts w:eastAsia="MS Mincho"/>
          <w:i/>
          <w:lang w:val="en-AU"/>
        </w:rPr>
        <w:t xml:space="preserve">equipment charges </w:t>
      </w:r>
      <w:r w:rsidRPr="0034768D">
        <w:rPr>
          <w:rFonts w:eastAsia="MS Mincho"/>
          <w:lang w:val="en-AU"/>
        </w:rPr>
        <w:t xml:space="preserve">owing on </w:t>
      </w:r>
      <w:r w:rsidRPr="0034768D">
        <w:rPr>
          <w:rFonts w:eastAsia="MS Mincho"/>
          <w:i/>
          <w:lang w:val="en-AU"/>
        </w:rPr>
        <w:t xml:space="preserve">your device </w:t>
      </w:r>
      <w:r w:rsidRPr="0034768D">
        <w:rPr>
          <w:rFonts w:eastAsia="MS Mincho"/>
          <w:lang w:val="en-AU"/>
        </w:rPr>
        <w:t xml:space="preserve">under the </w:t>
      </w:r>
      <w:r w:rsidRPr="0034768D">
        <w:rPr>
          <w:rFonts w:eastAsia="MS Mincho"/>
          <w:i/>
          <w:lang w:val="en-AU"/>
        </w:rPr>
        <w:t xml:space="preserve">mobile equipment payment plan </w:t>
      </w:r>
      <w:r w:rsidRPr="0034768D">
        <w:rPr>
          <w:rFonts w:eastAsia="MS Mincho"/>
          <w:lang w:val="en-AU"/>
        </w:rPr>
        <w:t xml:space="preserve">(see </w:t>
      </w:r>
      <w:hyperlink r:id="rId720" w:history="1">
        <w:r w:rsidRPr="0007664B">
          <w:rPr>
            <w:rStyle w:val="Hyperlink"/>
            <w:i/>
            <w:lang w:val="en-AU"/>
          </w:rPr>
          <w:t>Appendix D</w:t>
        </w:r>
      </w:hyperlink>
      <w:r w:rsidRPr="0007664B">
        <w:rPr>
          <w:lang w:val="en-AU"/>
        </w:rPr>
        <w:t>).</w:t>
      </w:r>
    </w:p>
    <w:p w14:paraId="2D528A8B" w14:textId="77777777" w:rsidR="00E441CA" w:rsidRDefault="00E441CA" w:rsidP="00E441CA">
      <w:pPr>
        <w:pStyle w:val="Heading7"/>
      </w:pPr>
      <w:r w:rsidRPr="0034768D">
        <w:t xml:space="preserve">If </w:t>
      </w:r>
      <w:r w:rsidRPr="0034768D">
        <w:rPr>
          <w:i/>
        </w:rPr>
        <w:t xml:space="preserve">your </w:t>
      </w:r>
      <w:r w:rsidRPr="0034768D">
        <w:t xml:space="preserve">Shared Data Plan is not </w:t>
      </w:r>
      <w:r w:rsidRPr="0034768D">
        <w:rPr>
          <w:i/>
        </w:rPr>
        <w:t>cancelled</w:t>
      </w:r>
      <w:r w:rsidRPr="0034768D">
        <w:t xml:space="preserve">, </w:t>
      </w:r>
      <w:r w:rsidRPr="0034768D">
        <w:rPr>
          <w:i/>
        </w:rPr>
        <w:t>you</w:t>
      </w:r>
      <w:r w:rsidRPr="0034768D">
        <w:t xml:space="preserve"> will be charged $10 per 1GB within Australia, up to a maximum of 150GB (per account) in a billing month. Your service/s may then be restricted or we may continue to charge you at these rates.</w:t>
      </w:r>
    </w:p>
    <w:p w14:paraId="5299B0A4" w14:textId="77777777" w:rsidR="00E441CA" w:rsidRPr="00B7364B" w:rsidRDefault="00E441CA" w:rsidP="00E441CA">
      <w:pPr>
        <w:pStyle w:val="Heading4"/>
      </w:pPr>
      <w:bookmarkStart w:id="1555" w:name="_Toc479674686"/>
      <w:bookmarkStart w:id="1556" w:name="_Toc483832404"/>
      <w:bookmarkStart w:id="1557" w:name="_Toc484514098"/>
      <w:bookmarkStart w:id="1558" w:name="_Toc62644686"/>
      <w:r>
        <w:t xml:space="preserve">$125 </w:t>
      </w:r>
      <w:r w:rsidRPr="00B7364B">
        <w:t>Business Plan</w:t>
      </w:r>
      <w:bookmarkEnd w:id="1555"/>
      <w:bookmarkEnd w:id="1556"/>
      <w:bookmarkEnd w:id="1557"/>
      <w:bookmarkEnd w:id="1558"/>
    </w:p>
    <w:p w14:paraId="6D1A5B9E" w14:textId="77777777" w:rsidR="00E441CA" w:rsidRPr="00B7364B" w:rsidRDefault="00E441CA" w:rsidP="00E441CA">
      <w:pPr>
        <w:spacing w:after="200"/>
        <w:ind w:left="720"/>
        <w:rPr>
          <w:sz w:val="20"/>
        </w:rPr>
      </w:pPr>
      <w:r w:rsidRPr="00B7364B">
        <w:rPr>
          <w:sz w:val="20"/>
        </w:rPr>
        <w:t xml:space="preserve">This section relates to the following plans. </w:t>
      </w:r>
      <w:r w:rsidRPr="00B7364B">
        <w:rPr>
          <w:i/>
          <w:sz w:val="20"/>
        </w:rPr>
        <w:t>You</w:t>
      </w:r>
      <w:r w:rsidRPr="00B7364B">
        <w:rPr>
          <w:sz w:val="20"/>
        </w:rPr>
        <w:t xml:space="preserve"> can find </w:t>
      </w:r>
      <w:r w:rsidRPr="00B7364B">
        <w:rPr>
          <w:i/>
          <w:sz w:val="20"/>
        </w:rPr>
        <w:t>your</w:t>
      </w:r>
      <w:r w:rsidRPr="00B7364B">
        <w:rPr>
          <w:sz w:val="20"/>
        </w:rPr>
        <w:t xml:space="preserve"> Plan ID on </w:t>
      </w:r>
      <w:r w:rsidRPr="00B7364B">
        <w:rPr>
          <w:i/>
          <w:sz w:val="20"/>
        </w:rPr>
        <w:t>your</w:t>
      </w:r>
      <w:r w:rsidRPr="00B7364B">
        <w:rPr>
          <w:sz w:val="20"/>
        </w:rPr>
        <w:t xml:space="preserve"> bill under the Mobile Number Summary section:</w:t>
      </w:r>
    </w:p>
    <w:tbl>
      <w:tblPr>
        <w:tblW w:w="838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0"/>
        <w:gridCol w:w="1918"/>
        <w:gridCol w:w="3600"/>
      </w:tblGrid>
      <w:tr w:rsidR="00E441CA" w:rsidRPr="00B7364B" w14:paraId="76C942FA" w14:textId="77777777" w:rsidTr="00E441CA">
        <w:tc>
          <w:tcPr>
            <w:tcW w:w="2870" w:type="dxa"/>
            <w:shd w:val="clear" w:color="auto" w:fill="auto"/>
          </w:tcPr>
          <w:p w14:paraId="2739A6A6" w14:textId="77777777" w:rsidR="00E441CA" w:rsidRPr="00B7364B" w:rsidRDefault="00E441CA" w:rsidP="00E441CA">
            <w:pPr>
              <w:spacing w:before="100" w:after="100"/>
              <w:jc w:val="center"/>
              <w:rPr>
                <w:b/>
                <w:sz w:val="20"/>
              </w:rPr>
            </w:pPr>
            <w:r w:rsidRPr="00B7364B">
              <w:rPr>
                <w:b/>
                <w:sz w:val="20"/>
              </w:rPr>
              <w:t>Plan</w:t>
            </w:r>
          </w:p>
        </w:tc>
        <w:tc>
          <w:tcPr>
            <w:tcW w:w="1918" w:type="dxa"/>
            <w:shd w:val="clear" w:color="auto" w:fill="auto"/>
          </w:tcPr>
          <w:p w14:paraId="69BAF7A8" w14:textId="77777777" w:rsidR="00E441CA" w:rsidRPr="00B7364B" w:rsidRDefault="00E441CA" w:rsidP="00E441CA">
            <w:pPr>
              <w:spacing w:before="100" w:after="100"/>
              <w:jc w:val="center"/>
              <w:rPr>
                <w:b/>
                <w:sz w:val="20"/>
              </w:rPr>
            </w:pPr>
            <w:r w:rsidRPr="00B7364B">
              <w:rPr>
                <w:b/>
                <w:sz w:val="20"/>
              </w:rPr>
              <w:t>Plan ID</w:t>
            </w:r>
          </w:p>
        </w:tc>
        <w:tc>
          <w:tcPr>
            <w:tcW w:w="3600" w:type="dxa"/>
            <w:shd w:val="clear" w:color="auto" w:fill="auto"/>
          </w:tcPr>
          <w:p w14:paraId="44BBE191" w14:textId="77777777" w:rsidR="00E441CA" w:rsidRPr="00B7364B" w:rsidRDefault="00E441CA" w:rsidP="00E441CA">
            <w:pPr>
              <w:spacing w:before="100" w:after="100"/>
              <w:jc w:val="center"/>
              <w:rPr>
                <w:b/>
                <w:sz w:val="20"/>
              </w:rPr>
            </w:pPr>
            <w:r w:rsidRPr="00B7364B">
              <w:rPr>
                <w:b/>
                <w:sz w:val="20"/>
              </w:rPr>
              <w:t>Available</w:t>
            </w:r>
          </w:p>
        </w:tc>
      </w:tr>
      <w:tr w:rsidR="00E441CA" w:rsidRPr="00B7364B" w14:paraId="6718C1E0" w14:textId="77777777" w:rsidTr="00E441CA">
        <w:tc>
          <w:tcPr>
            <w:tcW w:w="2870" w:type="dxa"/>
            <w:shd w:val="clear" w:color="auto" w:fill="auto"/>
          </w:tcPr>
          <w:p w14:paraId="221B5FB7" w14:textId="77777777" w:rsidR="00E441CA" w:rsidRPr="00B7364B" w:rsidRDefault="00E441CA" w:rsidP="00E441CA">
            <w:pPr>
              <w:spacing w:before="100" w:after="100"/>
              <w:jc w:val="center"/>
              <w:rPr>
                <w:sz w:val="20"/>
              </w:rPr>
            </w:pPr>
            <w:r w:rsidRPr="00B7364B">
              <w:rPr>
                <w:sz w:val="20"/>
              </w:rPr>
              <w:t>$125 Business Plan</w:t>
            </w:r>
          </w:p>
        </w:tc>
        <w:tc>
          <w:tcPr>
            <w:tcW w:w="1918" w:type="dxa"/>
            <w:shd w:val="clear" w:color="auto" w:fill="auto"/>
          </w:tcPr>
          <w:p w14:paraId="0F33C2BB" w14:textId="77777777" w:rsidR="00E441CA" w:rsidRPr="00B7364B" w:rsidRDefault="00E441CA" w:rsidP="00E441CA">
            <w:pPr>
              <w:spacing w:before="100" w:after="100"/>
              <w:jc w:val="center"/>
              <w:rPr>
                <w:sz w:val="20"/>
              </w:rPr>
            </w:pPr>
            <w:r w:rsidRPr="00B7364B">
              <w:rPr>
                <w:sz w:val="20"/>
              </w:rPr>
              <w:t>800630, 10595104</w:t>
            </w:r>
          </w:p>
        </w:tc>
        <w:tc>
          <w:tcPr>
            <w:tcW w:w="3600" w:type="dxa"/>
            <w:shd w:val="clear" w:color="auto" w:fill="auto"/>
          </w:tcPr>
          <w:p w14:paraId="4FC22BD7" w14:textId="77777777" w:rsidR="00E441CA" w:rsidRPr="00B7364B" w:rsidRDefault="00E441CA" w:rsidP="00E441CA">
            <w:pPr>
              <w:spacing w:before="100" w:after="100"/>
              <w:jc w:val="center"/>
              <w:rPr>
                <w:sz w:val="20"/>
              </w:rPr>
            </w:pPr>
            <w:r w:rsidRPr="00B7364B">
              <w:rPr>
                <w:sz w:val="20"/>
              </w:rPr>
              <w:t>27 Febuary 2017</w:t>
            </w:r>
            <w:r>
              <w:rPr>
                <w:sz w:val="20"/>
              </w:rPr>
              <w:t xml:space="preserve"> – 4 June 2017</w:t>
            </w:r>
          </w:p>
        </w:tc>
      </w:tr>
    </w:tbl>
    <w:p w14:paraId="3BD2A85C" w14:textId="77777777" w:rsidR="00E441CA" w:rsidRPr="00B7364B" w:rsidRDefault="00E441CA" w:rsidP="00E441CA">
      <w:pPr>
        <w:spacing w:after="200"/>
        <w:rPr>
          <w:sz w:val="20"/>
        </w:rPr>
      </w:pPr>
    </w:p>
    <w:p w14:paraId="1B91A02D" w14:textId="77777777" w:rsidR="00E441CA" w:rsidRPr="00B7364B" w:rsidRDefault="00E441CA" w:rsidP="00E441CA">
      <w:pPr>
        <w:numPr>
          <w:ilvl w:val="5"/>
          <w:numId w:val="1"/>
        </w:numPr>
        <w:spacing w:after="200"/>
        <w:outlineLvl w:val="5"/>
        <w:rPr>
          <w:rFonts w:eastAsia="Times New Roman"/>
          <w:bCs/>
          <w:sz w:val="20"/>
          <w:szCs w:val="22"/>
        </w:rPr>
      </w:pPr>
      <w:bookmarkStart w:id="1559" w:name="_Toc479674687"/>
      <w:r w:rsidRPr="00B7364B">
        <w:rPr>
          <w:rFonts w:eastAsia="Times New Roman"/>
          <w:bCs/>
          <w:sz w:val="20"/>
          <w:szCs w:val="22"/>
        </w:rPr>
        <w:t>Eligibility</w:t>
      </w:r>
      <w:bookmarkEnd w:id="1559"/>
    </w:p>
    <w:p w14:paraId="3CBA8E27" w14:textId="77777777" w:rsidR="00E441CA" w:rsidRPr="00B7364B" w:rsidRDefault="00E441CA" w:rsidP="00E441CA">
      <w:pPr>
        <w:spacing w:after="200"/>
        <w:ind w:left="720"/>
        <w:rPr>
          <w:sz w:val="20"/>
        </w:rPr>
      </w:pPr>
      <w:r w:rsidRPr="00B7364B">
        <w:rPr>
          <w:sz w:val="20"/>
        </w:rPr>
        <w:t xml:space="preserve">The </w:t>
      </w:r>
      <w:r>
        <w:rPr>
          <w:sz w:val="20"/>
        </w:rPr>
        <w:t>$125 Business Plan</w:t>
      </w:r>
      <w:r w:rsidRPr="00B7364B">
        <w:rPr>
          <w:sz w:val="20"/>
        </w:rPr>
        <w:t xml:space="preserve"> is available to new and existing mobile customers connecting to the </w:t>
      </w:r>
      <w:r w:rsidRPr="00B7364B">
        <w:rPr>
          <w:i/>
          <w:sz w:val="20"/>
        </w:rPr>
        <w:t xml:space="preserve">service </w:t>
      </w:r>
      <w:r w:rsidRPr="00B7364B">
        <w:rPr>
          <w:sz w:val="20"/>
        </w:rPr>
        <w:t xml:space="preserve">who pass Optus' credit assessment. </w:t>
      </w:r>
    </w:p>
    <w:p w14:paraId="5BEC43A9" w14:textId="77777777" w:rsidR="00E441CA" w:rsidRPr="00B7364B" w:rsidRDefault="00E441CA" w:rsidP="00E441CA">
      <w:pPr>
        <w:spacing w:after="200"/>
        <w:ind w:left="720"/>
        <w:rPr>
          <w:sz w:val="20"/>
        </w:rPr>
      </w:pPr>
      <w:r w:rsidRPr="00B7364B">
        <w:rPr>
          <w:sz w:val="20"/>
        </w:rPr>
        <w:t>Optus Service Providers' customers are not eligible to apply</w:t>
      </w:r>
      <w:r w:rsidRPr="00B7364B">
        <w:rPr>
          <w:snapToGrid w:val="0"/>
          <w:sz w:val="20"/>
        </w:rPr>
        <w:t>.</w:t>
      </w:r>
    </w:p>
    <w:p w14:paraId="11EC8DE7" w14:textId="77777777" w:rsidR="00E441CA" w:rsidRPr="00B7364B" w:rsidRDefault="00E441CA" w:rsidP="00E441CA">
      <w:pPr>
        <w:spacing w:after="200"/>
        <w:ind w:left="720"/>
        <w:rPr>
          <w:sz w:val="20"/>
        </w:rPr>
      </w:pPr>
      <w:r w:rsidRPr="00B7364B">
        <w:rPr>
          <w:sz w:val="20"/>
        </w:rPr>
        <w:t xml:space="preserve">These </w:t>
      </w:r>
      <w:r w:rsidRPr="00B7364B">
        <w:rPr>
          <w:i/>
          <w:sz w:val="20"/>
        </w:rPr>
        <w:t>plans</w:t>
      </w:r>
      <w:r w:rsidRPr="00B7364B">
        <w:rPr>
          <w:sz w:val="20"/>
        </w:rPr>
        <w:t xml:space="preserve"> aren't compatible for data use with BlackBerry handsets on operating systems of 7.1 or earlier.</w:t>
      </w:r>
    </w:p>
    <w:p w14:paraId="3B0C92C9" w14:textId="77777777" w:rsidR="00E441CA" w:rsidRPr="00B7364B" w:rsidRDefault="00E441CA" w:rsidP="00E441CA">
      <w:pPr>
        <w:numPr>
          <w:ilvl w:val="5"/>
          <w:numId w:val="1"/>
        </w:numPr>
        <w:spacing w:after="200"/>
        <w:outlineLvl w:val="5"/>
        <w:rPr>
          <w:rFonts w:eastAsia="Times New Roman"/>
          <w:bCs/>
          <w:sz w:val="20"/>
          <w:szCs w:val="22"/>
        </w:rPr>
      </w:pPr>
      <w:bookmarkStart w:id="1560" w:name="_Toc479674688"/>
      <w:r w:rsidRPr="00B7364B">
        <w:rPr>
          <w:rFonts w:eastAsia="Times New Roman"/>
          <w:bCs/>
          <w:snapToGrid w:val="0"/>
          <w:sz w:val="20"/>
          <w:szCs w:val="22"/>
        </w:rPr>
        <w:t>Minimum Term</w:t>
      </w:r>
      <w:bookmarkEnd w:id="1560"/>
    </w:p>
    <w:p w14:paraId="6C6807E0" w14:textId="77777777" w:rsidR="00E441CA" w:rsidRPr="00B7364B" w:rsidRDefault="00E441CA" w:rsidP="00E441CA">
      <w:pPr>
        <w:spacing w:after="200"/>
        <w:ind w:left="720"/>
        <w:rPr>
          <w:sz w:val="20"/>
        </w:rPr>
      </w:pPr>
      <w:r>
        <w:rPr>
          <w:sz w:val="20"/>
        </w:rPr>
        <w:t>This</w:t>
      </w:r>
      <w:r w:rsidRPr="00B7364B">
        <w:rPr>
          <w:sz w:val="20"/>
        </w:rPr>
        <w:t xml:space="preserve"> </w:t>
      </w:r>
      <w:r>
        <w:rPr>
          <w:i/>
          <w:sz w:val="20"/>
        </w:rPr>
        <w:t>plan</w:t>
      </w:r>
      <w:r w:rsidRPr="00B7364B">
        <w:rPr>
          <w:i/>
          <w:sz w:val="20"/>
        </w:rPr>
        <w:t xml:space="preserve"> </w:t>
      </w:r>
      <w:r w:rsidRPr="00B7364B">
        <w:rPr>
          <w:sz w:val="20"/>
        </w:rPr>
        <w:t xml:space="preserve">has a </w:t>
      </w:r>
      <w:r w:rsidRPr="00B7364B">
        <w:rPr>
          <w:i/>
          <w:sz w:val="20"/>
        </w:rPr>
        <w:t>fixed length agreement</w:t>
      </w:r>
      <w:r w:rsidRPr="00B7364B">
        <w:rPr>
          <w:sz w:val="20"/>
        </w:rPr>
        <w:t xml:space="preserve"> with a 24 month </w:t>
      </w:r>
      <w:r w:rsidRPr="00B7364B">
        <w:rPr>
          <w:i/>
          <w:sz w:val="20"/>
        </w:rPr>
        <w:t>minimum term</w:t>
      </w:r>
      <w:r w:rsidRPr="00B7364B">
        <w:rPr>
          <w:sz w:val="20"/>
        </w:rPr>
        <w:t>.</w:t>
      </w:r>
    </w:p>
    <w:p w14:paraId="6E031AED" w14:textId="77777777" w:rsidR="00E441CA" w:rsidRPr="00B7364B" w:rsidRDefault="00E441CA" w:rsidP="00E441CA">
      <w:pPr>
        <w:numPr>
          <w:ilvl w:val="5"/>
          <w:numId w:val="1"/>
        </w:numPr>
        <w:spacing w:after="200"/>
        <w:outlineLvl w:val="5"/>
        <w:rPr>
          <w:rFonts w:eastAsia="Times New Roman"/>
          <w:b/>
          <w:bCs/>
          <w:sz w:val="20"/>
          <w:szCs w:val="22"/>
        </w:rPr>
      </w:pPr>
      <w:bookmarkStart w:id="1561" w:name="_Toc479674689"/>
      <w:r w:rsidRPr="00B7364B">
        <w:rPr>
          <w:rFonts w:eastAsia="Times New Roman"/>
          <w:bCs/>
          <w:sz w:val="20"/>
          <w:szCs w:val="22"/>
        </w:rPr>
        <w:t>What you have to pay us</w:t>
      </w:r>
      <w:bookmarkEnd w:id="1561"/>
    </w:p>
    <w:p w14:paraId="082CEE5C" w14:textId="77777777" w:rsidR="00E441CA" w:rsidRPr="00B7364B" w:rsidRDefault="00E441CA" w:rsidP="00E441CA">
      <w:pPr>
        <w:numPr>
          <w:ilvl w:val="6"/>
          <w:numId w:val="1"/>
        </w:numPr>
        <w:spacing w:after="200"/>
        <w:outlineLvl w:val="6"/>
        <w:rPr>
          <w:rFonts w:eastAsia="Times New Roman"/>
          <w:sz w:val="20"/>
        </w:rPr>
      </w:pPr>
      <w:r w:rsidRPr="00B7364B">
        <w:rPr>
          <w:rFonts w:eastAsia="Times New Roman"/>
          <w:i/>
          <w:sz w:val="20"/>
        </w:rPr>
        <w:t xml:space="preserve">You </w:t>
      </w:r>
      <w:r w:rsidRPr="00B7364B">
        <w:rPr>
          <w:rFonts w:eastAsia="Times New Roman"/>
          <w:sz w:val="20"/>
        </w:rPr>
        <w:t xml:space="preserve">must pay </w:t>
      </w:r>
      <w:r w:rsidRPr="00B7364B">
        <w:rPr>
          <w:rFonts w:eastAsia="Times New Roman"/>
          <w:i/>
          <w:sz w:val="20"/>
        </w:rPr>
        <w:t xml:space="preserve">us </w:t>
      </w:r>
      <w:r w:rsidRPr="00B7364B">
        <w:rPr>
          <w:rFonts w:eastAsia="Times New Roman"/>
          <w:sz w:val="20"/>
        </w:rPr>
        <w:t xml:space="preserve">for use of the </w:t>
      </w:r>
      <w:r w:rsidRPr="00B7364B">
        <w:rPr>
          <w:rFonts w:eastAsia="Times New Roman"/>
          <w:i/>
          <w:sz w:val="20"/>
        </w:rPr>
        <w:t xml:space="preserve">service </w:t>
      </w:r>
      <w:r w:rsidRPr="00B7364B">
        <w:rPr>
          <w:rFonts w:eastAsia="Times New Roman"/>
          <w:sz w:val="20"/>
        </w:rPr>
        <w:t xml:space="preserve">at the rates set out in Section 1 of this </w:t>
      </w:r>
      <w:r w:rsidRPr="00B7364B">
        <w:rPr>
          <w:rFonts w:eastAsia="Times New Roman"/>
          <w:i/>
          <w:sz w:val="20"/>
        </w:rPr>
        <w:t>standard pricing table</w:t>
      </w:r>
      <w:r w:rsidRPr="00B7364B">
        <w:rPr>
          <w:rFonts w:eastAsia="Times New Roman"/>
          <w:sz w:val="20"/>
        </w:rPr>
        <w:t xml:space="preserve"> and for value added service features at the rates set out in </w:t>
      </w:r>
      <w:hyperlink r:id="rId721" w:history="1">
        <w:r w:rsidRPr="00B7364B">
          <w:rPr>
            <w:rFonts w:eastAsia="Times New Roman"/>
            <w:i/>
            <w:color w:val="13607C"/>
            <w:sz w:val="18"/>
            <w:u w:val="single"/>
          </w:rPr>
          <w:t>Appendix Y Value Added Service Features</w:t>
        </w:r>
      </w:hyperlink>
      <w:r w:rsidRPr="00B7364B">
        <w:rPr>
          <w:rFonts w:eastAsia="Times New Roman"/>
          <w:sz w:val="20"/>
        </w:rPr>
        <w:t>.</w:t>
      </w:r>
    </w:p>
    <w:p w14:paraId="3EC1076E" w14:textId="77777777" w:rsidR="00E441CA" w:rsidRPr="00B7364B" w:rsidRDefault="00E441CA" w:rsidP="00E441CA">
      <w:pPr>
        <w:numPr>
          <w:ilvl w:val="6"/>
          <w:numId w:val="1"/>
        </w:numPr>
        <w:spacing w:after="200"/>
        <w:outlineLvl w:val="6"/>
        <w:rPr>
          <w:rFonts w:eastAsia="Times New Roman"/>
          <w:sz w:val="20"/>
        </w:rPr>
      </w:pPr>
      <w:r w:rsidRPr="00B7364B">
        <w:rPr>
          <w:rFonts w:eastAsia="Times New Roman"/>
          <w:sz w:val="20"/>
        </w:rPr>
        <w:t>If there is a flagfall for a particular call type, the charge for these calls is the flagfall amount plus the relevant rate for the call multiplied by the duration of the call.</w:t>
      </w:r>
    </w:p>
    <w:p w14:paraId="0E46CFCB" w14:textId="77777777" w:rsidR="00E441CA" w:rsidRPr="00B7364B" w:rsidRDefault="00E441CA" w:rsidP="00E441CA">
      <w:pPr>
        <w:numPr>
          <w:ilvl w:val="6"/>
          <w:numId w:val="1"/>
        </w:numPr>
        <w:spacing w:after="200"/>
        <w:outlineLvl w:val="6"/>
        <w:rPr>
          <w:rFonts w:eastAsia="Times New Roman"/>
          <w:b/>
          <w:sz w:val="20"/>
        </w:rPr>
      </w:pPr>
      <w:r w:rsidRPr="00B7364B">
        <w:rPr>
          <w:rFonts w:eastAsia="Times New Roman"/>
          <w:b/>
          <w:sz w:val="20"/>
        </w:rPr>
        <w:t xml:space="preserve">Minimum Monthly Charge </w:t>
      </w:r>
    </w:p>
    <w:p w14:paraId="4D9E6780" w14:textId="77777777" w:rsidR="00E441CA" w:rsidRPr="00B7364B" w:rsidRDefault="00E441CA" w:rsidP="00E441CA">
      <w:pPr>
        <w:numPr>
          <w:ilvl w:val="7"/>
          <w:numId w:val="1"/>
        </w:numPr>
        <w:spacing w:after="200"/>
        <w:outlineLvl w:val="7"/>
        <w:rPr>
          <w:rFonts w:eastAsia="Times New Roman"/>
          <w:iCs/>
          <w:sz w:val="20"/>
        </w:rPr>
      </w:pPr>
      <w:r>
        <w:rPr>
          <w:rFonts w:eastAsia="Times New Roman"/>
          <w:iCs/>
          <w:sz w:val="20"/>
        </w:rPr>
        <w:t xml:space="preserve">$125 </w:t>
      </w:r>
      <w:r w:rsidRPr="00B7364B">
        <w:rPr>
          <w:rFonts w:eastAsia="Times New Roman"/>
          <w:iCs/>
          <w:sz w:val="20"/>
        </w:rPr>
        <w:t xml:space="preserve">Business Plan has a Minimum Monthly Charge amount that </w:t>
      </w:r>
      <w:r w:rsidRPr="00B7364B">
        <w:rPr>
          <w:rFonts w:eastAsia="Times New Roman"/>
          <w:i/>
          <w:iCs/>
          <w:sz w:val="20"/>
        </w:rPr>
        <w:t>you</w:t>
      </w:r>
      <w:r w:rsidRPr="00B7364B">
        <w:rPr>
          <w:rFonts w:eastAsia="Times New Roman"/>
          <w:iCs/>
          <w:sz w:val="20"/>
        </w:rPr>
        <w:t xml:space="preserve"> must pay </w:t>
      </w:r>
      <w:r w:rsidRPr="00B7364B">
        <w:rPr>
          <w:rFonts w:eastAsia="Times New Roman"/>
          <w:i/>
          <w:iCs/>
          <w:sz w:val="20"/>
        </w:rPr>
        <w:t>us</w:t>
      </w:r>
      <w:r w:rsidRPr="00B7364B">
        <w:rPr>
          <w:rFonts w:eastAsia="Times New Roman"/>
          <w:iCs/>
          <w:sz w:val="20"/>
        </w:rPr>
        <w:t xml:space="preserve"> each month as set out in Table 1 below.</w:t>
      </w:r>
    </w:p>
    <w:p w14:paraId="50F581A6" w14:textId="77777777" w:rsidR="00E441CA" w:rsidRPr="00B7364B" w:rsidRDefault="00E441CA" w:rsidP="00E441CA">
      <w:pPr>
        <w:numPr>
          <w:ilvl w:val="7"/>
          <w:numId w:val="1"/>
        </w:numPr>
        <w:spacing w:after="200"/>
        <w:outlineLvl w:val="7"/>
        <w:rPr>
          <w:rFonts w:eastAsia="Times New Roman"/>
          <w:iCs/>
          <w:sz w:val="20"/>
        </w:rPr>
      </w:pPr>
      <w:r w:rsidRPr="00B7364B">
        <w:rPr>
          <w:rFonts w:eastAsia="Times New Roman"/>
          <w:i/>
          <w:iCs/>
          <w:sz w:val="20"/>
        </w:rPr>
        <w:t>You</w:t>
      </w:r>
      <w:r w:rsidRPr="00B7364B">
        <w:rPr>
          <w:rFonts w:eastAsia="Times New Roman"/>
          <w:iCs/>
          <w:sz w:val="20"/>
        </w:rPr>
        <w:t xml:space="preserve"> may purchase a mobile phone (or 'handset') with a 24 month </w:t>
      </w:r>
      <w:r w:rsidRPr="00B7364B">
        <w:rPr>
          <w:rFonts w:eastAsia="Times New Roman"/>
          <w:i/>
          <w:iCs/>
          <w:sz w:val="20"/>
        </w:rPr>
        <w:t>equipment term</w:t>
      </w:r>
      <w:r w:rsidRPr="00B7364B">
        <w:rPr>
          <w:rFonts w:eastAsia="Times New Roman"/>
          <w:iCs/>
          <w:sz w:val="20"/>
        </w:rPr>
        <w:t xml:space="preserve"> under a </w:t>
      </w:r>
      <w:r w:rsidRPr="00B7364B">
        <w:rPr>
          <w:rFonts w:eastAsia="Times New Roman"/>
          <w:i/>
          <w:iCs/>
          <w:sz w:val="20"/>
        </w:rPr>
        <w:t>mobile equipment payment plan</w:t>
      </w:r>
      <w:r w:rsidRPr="00B7364B">
        <w:rPr>
          <w:rFonts w:eastAsia="Times New Roman"/>
          <w:iCs/>
          <w:sz w:val="20"/>
        </w:rPr>
        <w:t xml:space="preserve"> (set out in </w:t>
      </w:r>
      <w:hyperlink r:id="rId722" w:history="1">
        <w:r w:rsidRPr="00B7364B">
          <w:rPr>
            <w:rFonts w:eastAsia="Times New Roman"/>
            <w:i/>
            <w:iCs/>
            <w:color w:val="13607C"/>
            <w:sz w:val="18"/>
            <w:u w:val="single"/>
          </w:rPr>
          <w:t>Appendix D</w:t>
        </w:r>
      </w:hyperlink>
      <w:r w:rsidRPr="00B7364B">
        <w:rPr>
          <w:rFonts w:eastAsia="Times New Roman"/>
          <w:iCs/>
          <w:sz w:val="20"/>
        </w:rPr>
        <w:t xml:space="preserve">) on a 24 month </w:t>
      </w:r>
      <w:r w:rsidRPr="00B7364B">
        <w:rPr>
          <w:rFonts w:eastAsia="Times New Roman"/>
          <w:i/>
          <w:iCs/>
          <w:sz w:val="20"/>
        </w:rPr>
        <w:t>fixed-length agreement</w:t>
      </w:r>
      <w:r w:rsidRPr="00B7364B">
        <w:rPr>
          <w:rFonts w:eastAsia="Times New Roman"/>
          <w:iCs/>
          <w:sz w:val="20"/>
        </w:rPr>
        <w:t>.</w:t>
      </w:r>
    </w:p>
    <w:p w14:paraId="757BA993" w14:textId="77777777" w:rsidR="00E441CA" w:rsidRPr="00B7364B" w:rsidRDefault="00E441CA" w:rsidP="00E441CA">
      <w:pPr>
        <w:numPr>
          <w:ilvl w:val="5"/>
          <w:numId w:val="1"/>
        </w:numPr>
        <w:spacing w:after="200"/>
        <w:outlineLvl w:val="5"/>
        <w:rPr>
          <w:rFonts w:eastAsia="Times New Roman"/>
          <w:bCs/>
          <w:snapToGrid w:val="0"/>
          <w:sz w:val="20"/>
          <w:szCs w:val="22"/>
        </w:rPr>
      </w:pPr>
      <w:bookmarkStart w:id="1562" w:name="_Toc479674690"/>
      <w:r w:rsidRPr="00B7364B">
        <w:rPr>
          <w:rFonts w:eastAsia="Times New Roman"/>
          <w:bCs/>
          <w:snapToGrid w:val="0"/>
          <w:sz w:val="20"/>
          <w:szCs w:val="22"/>
        </w:rPr>
        <w:lastRenderedPageBreak/>
        <w:t>How My Plan Business works</w:t>
      </w:r>
      <w:bookmarkEnd w:id="1562"/>
    </w:p>
    <w:p w14:paraId="2425584D" w14:textId="77777777" w:rsidR="00E441CA" w:rsidRPr="00B7364B" w:rsidRDefault="00E441CA" w:rsidP="00E441CA">
      <w:pPr>
        <w:numPr>
          <w:ilvl w:val="6"/>
          <w:numId w:val="1"/>
        </w:numPr>
        <w:spacing w:after="200"/>
        <w:outlineLvl w:val="6"/>
        <w:rPr>
          <w:rFonts w:eastAsia="Times New Roman"/>
          <w:sz w:val="20"/>
        </w:rPr>
      </w:pPr>
      <w:r>
        <w:rPr>
          <w:rFonts w:eastAsia="Times New Roman"/>
          <w:sz w:val="20"/>
        </w:rPr>
        <w:t xml:space="preserve">$125 </w:t>
      </w:r>
      <w:r w:rsidRPr="00B7364B">
        <w:rPr>
          <w:rFonts w:eastAsia="Times New Roman"/>
          <w:sz w:val="20"/>
        </w:rPr>
        <w:t>Business Plan has unlimited minutes to use on standard national calls to landlines and mobiles, 13/1300 numbers and voicemail retrievals and an amount of Included Data (for mobile internet use) to share with other services on a My Plan Plus</w:t>
      </w:r>
      <w:r w:rsidRPr="00B7364B">
        <w:rPr>
          <w:rFonts w:eastAsia="Times New Roman"/>
          <w:sz w:val="20"/>
          <w:lang w:eastAsia="en-AU"/>
        </w:rPr>
        <w:t xml:space="preserve">, My Plan Plus SIM Only, My Plan Business (including Tech Fund), My Plan Business SIM, My Mobile Broadband Plus, Mobile Broadband Business or Shared Data Plan </w:t>
      </w:r>
      <w:r w:rsidRPr="00B7364B">
        <w:rPr>
          <w:rFonts w:eastAsia="Times New Roman"/>
          <w:sz w:val="20"/>
        </w:rPr>
        <w:t>on the same account.</w:t>
      </w:r>
    </w:p>
    <w:p w14:paraId="47B94B07" w14:textId="77777777" w:rsidR="00E441CA" w:rsidRPr="00B7364B" w:rsidRDefault="00E441CA" w:rsidP="00E441CA">
      <w:pPr>
        <w:numPr>
          <w:ilvl w:val="6"/>
          <w:numId w:val="1"/>
        </w:numPr>
        <w:spacing w:after="200"/>
        <w:outlineLvl w:val="6"/>
        <w:rPr>
          <w:rFonts w:eastAsia="Times New Roman"/>
          <w:sz w:val="20"/>
        </w:rPr>
      </w:pPr>
      <w:r w:rsidRPr="00B7364B">
        <w:rPr>
          <w:rFonts w:eastAsia="Times New Roman"/>
          <w:sz w:val="20"/>
        </w:rPr>
        <w:t xml:space="preserve">These plans also include unlimited standard national SMS/MMS and unlimited standard International SMS/MMS to selected countries. </w:t>
      </w:r>
    </w:p>
    <w:p w14:paraId="2A802934" w14:textId="77777777" w:rsidR="00E441CA" w:rsidRPr="00B7364B" w:rsidRDefault="00E441CA" w:rsidP="00E441CA">
      <w:pPr>
        <w:numPr>
          <w:ilvl w:val="6"/>
          <w:numId w:val="1"/>
        </w:numPr>
        <w:spacing w:after="200"/>
        <w:outlineLvl w:val="6"/>
        <w:rPr>
          <w:rFonts w:eastAsia="Times New Roman"/>
          <w:sz w:val="20"/>
        </w:rPr>
      </w:pPr>
      <w:r w:rsidRPr="00B7364B">
        <w:rPr>
          <w:rFonts w:eastAsia="Times New Roman"/>
          <w:sz w:val="20"/>
        </w:rPr>
        <w:t>Data usage is calculated in one kilobyte increments. International minutes are billed in one minute increments.</w:t>
      </w:r>
    </w:p>
    <w:p w14:paraId="11B98BAE" w14:textId="77777777" w:rsidR="00E441CA" w:rsidRPr="00B7364B" w:rsidRDefault="00E441CA" w:rsidP="00E441CA">
      <w:pPr>
        <w:numPr>
          <w:ilvl w:val="6"/>
          <w:numId w:val="1"/>
        </w:numPr>
        <w:spacing w:after="200"/>
        <w:outlineLvl w:val="6"/>
        <w:rPr>
          <w:rFonts w:eastAsia="Times New Roman"/>
          <w:sz w:val="20"/>
        </w:rPr>
      </w:pPr>
      <w:r w:rsidRPr="00B7364B">
        <w:rPr>
          <w:rFonts w:eastAsia="Times New Roman"/>
          <w:sz w:val="20"/>
        </w:rPr>
        <w:t xml:space="preserve">If </w:t>
      </w:r>
      <w:r w:rsidRPr="00B7364B">
        <w:rPr>
          <w:rFonts w:eastAsia="Times New Roman"/>
          <w:i/>
          <w:sz w:val="20"/>
        </w:rPr>
        <w:t xml:space="preserve">you </w:t>
      </w:r>
      <w:r w:rsidRPr="00B7364B">
        <w:rPr>
          <w:rFonts w:eastAsia="Times New Roman"/>
          <w:sz w:val="20"/>
        </w:rPr>
        <w:t>exceed your included shareable data you'll automatically be charged $10 for each additional 1GB of data ("</w:t>
      </w:r>
      <w:r w:rsidRPr="00B7364B">
        <w:rPr>
          <w:rFonts w:eastAsia="Times New Roman"/>
          <w:b/>
          <w:sz w:val="20"/>
        </w:rPr>
        <w:t>Additional Data</w:t>
      </w:r>
      <w:r w:rsidRPr="00B7364B">
        <w:rPr>
          <w:rFonts w:eastAsia="Times New Roman"/>
          <w:sz w:val="20"/>
        </w:rPr>
        <w:t>") up to 150GB of extra data per account each month. Your service/s may then be restricted or we may continue to charge you at these rates.</w:t>
      </w:r>
    </w:p>
    <w:p w14:paraId="1630593F" w14:textId="77777777" w:rsidR="00E441CA" w:rsidRPr="00B7364B" w:rsidRDefault="00E441CA" w:rsidP="00E441CA">
      <w:pPr>
        <w:numPr>
          <w:ilvl w:val="6"/>
          <w:numId w:val="1"/>
        </w:numPr>
        <w:spacing w:after="200"/>
        <w:outlineLvl w:val="6"/>
        <w:rPr>
          <w:rFonts w:eastAsia="Times New Roman"/>
          <w:sz w:val="20"/>
        </w:rPr>
      </w:pPr>
      <w:r w:rsidRPr="00B7364B">
        <w:rPr>
          <w:rFonts w:eastAsia="Times New Roman"/>
          <w:sz w:val="20"/>
        </w:rPr>
        <w:t xml:space="preserve">Any unused portion of </w:t>
      </w:r>
      <w:r w:rsidRPr="00B7364B">
        <w:rPr>
          <w:rFonts w:eastAsia="Times New Roman"/>
          <w:i/>
          <w:sz w:val="20"/>
        </w:rPr>
        <w:t>your</w:t>
      </w:r>
      <w:r w:rsidRPr="00B7364B">
        <w:rPr>
          <w:rFonts w:eastAsia="Times New Roman"/>
          <w:sz w:val="20"/>
        </w:rPr>
        <w:t xml:space="preserve"> </w:t>
      </w:r>
      <w:r w:rsidRPr="00B7364B">
        <w:rPr>
          <w:rFonts w:eastAsia="Times New Roman"/>
          <w:i/>
          <w:sz w:val="20"/>
        </w:rPr>
        <w:t>plan's</w:t>
      </w:r>
      <w:r w:rsidRPr="00B7364B">
        <w:rPr>
          <w:rFonts w:eastAsia="Times New Roman"/>
          <w:sz w:val="20"/>
        </w:rPr>
        <w:t xml:space="preserve"> Included or Additional Data or International Minutes expires at the end of each month and does not roll over into the next month. </w:t>
      </w:r>
    </w:p>
    <w:p w14:paraId="57DC80DB" w14:textId="77777777" w:rsidR="00E441CA" w:rsidRPr="00B7364B" w:rsidRDefault="00E441CA" w:rsidP="00E441CA">
      <w:pPr>
        <w:numPr>
          <w:ilvl w:val="6"/>
          <w:numId w:val="1"/>
        </w:numPr>
        <w:spacing w:after="200"/>
        <w:outlineLvl w:val="6"/>
        <w:rPr>
          <w:rFonts w:eastAsia="Times New Roman"/>
          <w:b/>
          <w:sz w:val="20"/>
        </w:rPr>
      </w:pPr>
      <w:r w:rsidRPr="00B7364B">
        <w:rPr>
          <w:rFonts w:eastAsia="Times New Roman"/>
          <w:i/>
          <w:sz w:val="20"/>
        </w:rPr>
        <w:t>You</w:t>
      </w:r>
      <w:r w:rsidRPr="00B7364B">
        <w:rPr>
          <w:rFonts w:eastAsia="Times New Roman"/>
          <w:sz w:val="20"/>
        </w:rPr>
        <w:t xml:space="preserve"> must pay </w:t>
      </w:r>
      <w:r w:rsidRPr="00B7364B">
        <w:rPr>
          <w:rFonts w:eastAsia="Times New Roman"/>
          <w:i/>
          <w:sz w:val="20"/>
        </w:rPr>
        <w:t>us</w:t>
      </w:r>
      <w:r w:rsidRPr="00B7364B">
        <w:rPr>
          <w:rFonts w:eastAsia="Times New Roman"/>
          <w:sz w:val="20"/>
        </w:rPr>
        <w:t xml:space="preserve"> for use of any services that are not included in </w:t>
      </w:r>
      <w:r w:rsidRPr="00B7364B">
        <w:rPr>
          <w:rFonts w:eastAsia="Times New Roman"/>
          <w:i/>
          <w:sz w:val="20"/>
        </w:rPr>
        <w:t>your</w:t>
      </w:r>
      <w:r w:rsidRPr="00B7364B">
        <w:rPr>
          <w:rFonts w:eastAsia="Times New Roman"/>
          <w:sz w:val="20"/>
        </w:rPr>
        <w:t xml:space="preserve"> plan's inclusions, examples of which are set out in Table 2 below.</w:t>
      </w:r>
    </w:p>
    <w:p w14:paraId="41482986" w14:textId="77777777" w:rsidR="00E441CA" w:rsidRPr="00B7364B" w:rsidRDefault="00E441CA" w:rsidP="00E441CA">
      <w:pPr>
        <w:numPr>
          <w:ilvl w:val="5"/>
          <w:numId w:val="1"/>
        </w:numPr>
        <w:spacing w:after="200"/>
        <w:outlineLvl w:val="5"/>
        <w:rPr>
          <w:rFonts w:eastAsia="Times New Roman"/>
          <w:bCs/>
          <w:snapToGrid w:val="0"/>
          <w:sz w:val="20"/>
          <w:szCs w:val="22"/>
        </w:rPr>
      </w:pPr>
      <w:bookmarkStart w:id="1563" w:name="_Toc479674691"/>
      <w:r w:rsidRPr="00B7364B">
        <w:rPr>
          <w:rFonts w:eastAsia="Times New Roman"/>
          <w:bCs/>
          <w:snapToGrid w:val="0"/>
          <w:sz w:val="20"/>
          <w:szCs w:val="22"/>
        </w:rPr>
        <w:t>Plan Changes</w:t>
      </w:r>
      <w:bookmarkEnd w:id="1563"/>
    </w:p>
    <w:p w14:paraId="086DDCF7" w14:textId="77777777" w:rsidR="00E441CA" w:rsidRPr="00B7364B" w:rsidRDefault="00E441CA" w:rsidP="00E441CA">
      <w:pPr>
        <w:spacing w:after="200"/>
        <w:ind w:left="720"/>
        <w:rPr>
          <w:sz w:val="20"/>
        </w:rPr>
      </w:pPr>
      <w:r w:rsidRPr="00B7364B">
        <w:rPr>
          <w:sz w:val="20"/>
        </w:rPr>
        <w:t>You can change your plan during the minimum tern term provided you move to a plan with a higher monthly access fee. You cannot change your plan during the minimum term to a plan with the same or lower monthly access fee. If you change your plan during the minimum term a fee may apply and any handset repayments will remain the same.</w:t>
      </w:r>
    </w:p>
    <w:p w14:paraId="79C296B1" w14:textId="77777777" w:rsidR="00E441CA" w:rsidRPr="00B7364B" w:rsidRDefault="00E441CA" w:rsidP="00E441CA">
      <w:pPr>
        <w:numPr>
          <w:ilvl w:val="5"/>
          <w:numId w:val="1"/>
        </w:numPr>
        <w:spacing w:after="200"/>
        <w:outlineLvl w:val="5"/>
        <w:rPr>
          <w:rFonts w:eastAsia="Times New Roman"/>
          <w:bCs/>
          <w:snapToGrid w:val="0"/>
          <w:sz w:val="20"/>
          <w:szCs w:val="22"/>
        </w:rPr>
      </w:pPr>
      <w:bookmarkStart w:id="1564" w:name="_Toc479674692"/>
      <w:r w:rsidRPr="00B7364B">
        <w:rPr>
          <w:rFonts w:eastAsia="Times New Roman"/>
          <w:bCs/>
          <w:snapToGrid w:val="0"/>
          <w:sz w:val="20"/>
          <w:szCs w:val="22"/>
        </w:rPr>
        <w:t>New Phone Trade Up</w:t>
      </w:r>
      <w:bookmarkEnd w:id="1564"/>
    </w:p>
    <w:p w14:paraId="391BEF86" w14:textId="77777777" w:rsidR="00E441CA" w:rsidRPr="00B7364B" w:rsidRDefault="00E441CA" w:rsidP="00E441CA">
      <w:pPr>
        <w:spacing w:after="200"/>
        <w:ind w:left="720"/>
        <w:rPr>
          <w:sz w:val="20"/>
        </w:rPr>
      </w:pPr>
      <w:r w:rsidRPr="00B7364B">
        <w:rPr>
          <w:sz w:val="20"/>
        </w:rPr>
        <w:t>The plans referred to in this section include the option of New Phone Trade Up, which can be exercised in two ways:</w:t>
      </w:r>
    </w:p>
    <w:p w14:paraId="7FC0BED1" w14:textId="77777777" w:rsidR="00E441CA" w:rsidRPr="00B7364B" w:rsidRDefault="00E441CA" w:rsidP="00E441CA">
      <w:pPr>
        <w:numPr>
          <w:ilvl w:val="6"/>
          <w:numId w:val="1"/>
        </w:numPr>
        <w:spacing w:after="200"/>
        <w:outlineLvl w:val="6"/>
        <w:rPr>
          <w:rFonts w:eastAsia="Times New Roman"/>
          <w:sz w:val="20"/>
        </w:rPr>
      </w:pPr>
      <w:r w:rsidRPr="00B7364B">
        <w:rPr>
          <w:rFonts w:eastAsia="Times New Roman"/>
          <w:sz w:val="20"/>
        </w:rPr>
        <w:t>New Phone Trade Up for $99</w:t>
      </w:r>
    </w:p>
    <w:p w14:paraId="206561A5" w14:textId="77777777" w:rsidR="00E441CA" w:rsidRPr="00B7364B" w:rsidRDefault="00E441CA" w:rsidP="00E441CA">
      <w:pPr>
        <w:numPr>
          <w:ilvl w:val="7"/>
          <w:numId w:val="1"/>
        </w:numPr>
        <w:spacing w:after="200"/>
        <w:outlineLvl w:val="7"/>
        <w:rPr>
          <w:rFonts w:eastAsia="Times New Roman"/>
          <w:iCs/>
          <w:sz w:val="20"/>
        </w:rPr>
      </w:pPr>
      <w:r w:rsidRPr="00B7364B">
        <w:rPr>
          <w:rFonts w:eastAsia="Times New Roman"/>
          <w:iCs/>
          <w:sz w:val="20"/>
        </w:rPr>
        <w:t>After 12 months on one of these plans, you can pay a one fee of $99, return your original mobile phone to a Yes Optus store in good working order, purchase a new mobile phone on a new 24 month plan and sign documentation that will enable ownership of your original mobile phone to be transferred to a second hand dealer nominated by Optus.</w:t>
      </w:r>
    </w:p>
    <w:p w14:paraId="6C5FCB62" w14:textId="77777777" w:rsidR="00E441CA" w:rsidRPr="00B7364B" w:rsidRDefault="00E441CA" w:rsidP="00E441CA">
      <w:pPr>
        <w:numPr>
          <w:ilvl w:val="7"/>
          <w:numId w:val="1"/>
        </w:numPr>
        <w:spacing w:after="200"/>
        <w:outlineLvl w:val="7"/>
        <w:rPr>
          <w:rFonts w:eastAsia="Times New Roman"/>
          <w:iCs/>
          <w:sz w:val="20"/>
        </w:rPr>
      </w:pPr>
      <w:r w:rsidRPr="00B7364B">
        <w:rPr>
          <w:rFonts w:eastAsia="Times New Roman"/>
          <w:iCs/>
          <w:sz w:val="20"/>
        </w:rPr>
        <w:t>A mobile phone is considered to be in good working order when :</w:t>
      </w:r>
    </w:p>
    <w:p w14:paraId="320A63A4" w14:textId="77777777" w:rsidR="00E441CA" w:rsidRPr="00B7364B" w:rsidRDefault="00E441CA" w:rsidP="00E441CA">
      <w:pPr>
        <w:numPr>
          <w:ilvl w:val="8"/>
          <w:numId w:val="1"/>
        </w:numPr>
        <w:spacing w:after="200"/>
        <w:outlineLvl w:val="8"/>
        <w:rPr>
          <w:rFonts w:eastAsia="Times New Roman"/>
          <w:sz w:val="20"/>
          <w:szCs w:val="22"/>
        </w:rPr>
      </w:pPr>
      <w:r w:rsidRPr="00B7364B">
        <w:rPr>
          <w:rFonts w:eastAsia="Times New Roman"/>
          <w:sz w:val="20"/>
          <w:szCs w:val="22"/>
        </w:rPr>
        <w:t xml:space="preserve">it can power on and off, </w:t>
      </w:r>
    </w:p>
    <w:p w14:paraId="539D59ED" w14:textId="77777777" w:rsidR="00E441CA" w:rsidRPr="00B7364B" w:rsidRDefault="00E441CA" w:rsidP="00E441CA">
      <w:pPr>
        <w:numPr>
          <w:ilvl w:val="8"/>
          <w:numId w:val="1"/>
        </w:numPr>
        <w:spacing w:after="200"/>
        <w:outlineLvl w:val="8"/>
        <w:rPr>
          <w:rFonts w:eastAsia="Times New Roman"/>
          <w:sz w:val="20"/>
          <w:szCs w:val="22"/>
        </w:rPr>
      </w:pPr>
      <w:r w:rsidRPr="00B7364B">
        <w:rPr>
          <w:rFonts w:eastAsia="Times New Roman"/>
          <w:sz w:val="20"/>
          <w:szCs w:val="22"/>
        </w:rPr>
        <w:t xml:space="preserve">it has a touchscreen that is fully functional and has no imperfections such as lines or marks, </w:t>
      </w:r>
    </w:p>
    <w:p w14:paraId="568FC0A6" w14:textId="77777777" w:rsidR="00E441CA" w:rsidRPr="00B7364B" w:rsidRDefault="00E441CA" w:rsidP="00E441CA">
      <w:pPr>
        <w:numPr>
          <w:ilvl w:val="8"/>
          <w:numId w:val="1"/>
        </w:numPr>
        <w:spacing w:after="200"/>
        <w:outlineLvl w:val="8"/>
        <w:rPr>
          <w:rFonts w:eastAsia="Times New Roman"/>
          <w:sz w:val="20"/>
          <w:szCs w:val="22"/>
        </w:rPr>
      </w:pPr>
      <w:r w:rsidRPr="00B7364B">
        <w:rPr>
          <w:rFonts w:eastAsia="Times New Roman"/>
          <w:sz w:val="20"/>
          <w:szCs w:val="22"/>
        </w:rPr>
        <w:t xml:space="preserve">it does not have any missing buttons or damage to other components such as charging ports, SIM tray, </w:t>
      </w:r>
    </w:p>
    <w:p w14:paraId="63DE7B31" w14:textId="77777777" w:rsidR="00E441CA" w:rsidRPr="00B7364B" w:rsidRDefault="00E441CA" w:rsidP="00E441CA">
      <w:pPr>
        <w:numPr>
          <w:ilvl w:val="8"/>
          <w:numId w:val="1"/>
        </w:numPr>
        <w:spacing w:after="200"/>
        <w:outlineLvl w:val="8"/>
        <w:rPr>
          <w:rFonts w:eastAsia="Times New Roman"/>
          <w:sz w:val="20"/>
          <w:szCs w:val="22"/>
        </w:rPr>
      </w:pPr>
      <w:r w:rsidRPr="00B7364B">
        <w:rPr>
          <w:rFonts w:eastAsia="Times New Roman"/>
          <w:sz w:val="20"/>
          <w:szCs w:val="22"/>
        </w:rPr>
        <w:t xml:space="preserve">the mobile phone (including the touchscreen) is not cracked and does not have any severe scratches (normal wear and tear such as light marks and scratches are okay); and </w:t>
      </w:r>
    </w:p>
    <w:p w14:paraId="6928ED4D" w14:textId="77777777" w:rsidR="00E441CA" w:rsidRPr="00B7364B" w:rsidRDefault="00E441CA" w:rsidP="00E441CA">
      <w:pPr>
        <w:numPr>
          <w:ilvl w:val="8"/>
          <w:numId w:val="1"/>
        </w:numPr>
        <w:spacing w:after="200"/>
        <w:outlineLvl w:val="8"/>
        <w:rPr>
          <w:rFonts w:eastAsia="Times New Roman"/>
          <w:sz w:val="20"/>
          <w:szCs w:val="22"/>
        </w:rPr>
      </w:pPr>
      <w:r w:rsidRPr="00B7364B">
        <w:rPr>
          <w:rFonts w:eastAsia="Times New Roman"/>
          <w:sz w:val="20"/>
          <w:szCs w:val="22"/>
        </w:rPr>
        <w:t xml:space="preserve">any locking features are disabled. </w:t>
      </w:r>
    </w:p>
    <w:p w14:paraId="62248F64" w14:textId="77777777" w:rsidR="00E441CA" w:rsidRPr="00B7364B" w:rsidRDefault="00E441CA" w:rsidP="00E441CA">
      <w:pPr>
        <w:numPr>
          <w:ilvl w:val="7"/>
          <w:numId w:val="1"/>
        </w:numPr>
        <w:spacing w:after="200"/>
        <w:outlineLvl w:val="7"/>
        <w:rPr>
          <w:rFonts w:eastAsia="Times New Roman"/>
          <w:iCs/>
          <w:sz w:val="20"/>
        </w:rPr>
      </w:pPr>
      <w:r w:rsidRPr="00B7364B">
        <w:rPr>
          <w:rFonts w:eastAsia="Times New Roman"/>
          <w:iCs/>
          <w:sz w:val="20"/>
        </w:rPr>
        <w:t>The mobile phone you return in accordance with section 3.7(a) must be the mobile phone you purchased when you took up one of the plans referred to in this section.</w:t>
      </w:r>
    </w:p>
    <w:p w14:paraId="2F9DE92A" w14:textId="77777777" w:rsidR="00E441CA" w:rsidRPr="00B7364B" w:rsidRDefault="00E441CA" w:rsidP="00E441CA">
      <w:pPr>
        <w:numPr>
          <w:ilvl w:val="7"/>
          <w:numId w:val="1"/>
        </w:numPr>
        <w:spacing w:after="200"/>
        <w:outlineLvl w:val="7"/>
        <w:rPr>
          <w:rFonts w:eastAsia="Times New Roman"/>
          <w:iCs/>
          <w:sz w:val="20"/>
        </w:rPr>
      </w:pPr>
      <w:r w:rsidRPr="00B7364B">
        <w:rPr>
          <w:rFonts w:eastAsia="Times New Roman"/>
          <w:iCs/>
          <w:sz w:val="20"/>
        </w:rPr>
        <w:lastRenderedPageBreak/>
        <w:t>When you seek to exercise this option and meet the relevant conditions, Optus agrees to waive any remaining mobile phone repayment charges on the mobile phone you are returning.</w:t>
      </w:r>
    </w:p>
    <w:p w14:paraId="5806B112" w14:textId="77777777" w:rsidR="00E441CA" w:rsidRPr="00B7364B" w:rsidRDefault="00E441CA" w:rsidP="00E441CA">
      <w:pPr>
        <w:numPr>
          <w:ilvl w:val="7"/>
          <w:numId w:val="1"/>
        </w:numPr>
        <w:spacing w:after="200"/>
        <w:outlineLvl w:val="7"/>
        <w:rPr>
          <w:rFonts w:eastAsia="Times New Roman"/>
          <w:iCs/>
          <w:sz w:val="20"/>
        </w:rPr>
      </w:pPr>
      <w:r w:rsidRPr="00B7364B">
        <w:rPr>
          <w:rFonts w:eastAsia="Times New Roman"/>
          <w:iCs/>
          <w:sz w:val="20"/>
        </w:rPr>
        <w:t>By exercising this option, you acknowledge that the second hand device vendor will pay Optus a fee on your behalf for the mobile phone you return in part consideration of Optus waiving your remaining mobile phone repayments on the phone you are returning.</w:t>
      </w:r>
    </w:p>
    <w:p w14:paraId="13C3DDF4" w14:textId="77777777" w:rsidR="00E441CA" w:rsidRPr="00B7364B" w:rsidRDefault="00E441CA" w:rsidP="00E441CA">
      <w:pPr>
        <w:numPr>
          <w:ilvl w:val="6"/>
          <w:numId w:val="1"/>
        </w:numPr>
        <w:spacing w:after="200"/>
        <w:outlineLvl w:val="6"/>
        <w:rPr>
          <w:rFonts w:eastAsia="Times New Roman"/>
          <w:sz w:val="20"/>
        </w:rPr>
      </w:pPr>
      <w:r w:rsidRPr="00B7364B">
        <w:rPr>
          <w:rFonts w:eastAsia="Times New Roman"/>
          <w:sz w:val="20"/>
        </w:rPr>
        <w:t>Keep existing mobile phone</w:t>
      </w:r>
    </w:p>
    <w:p w14:paraId="5C268805" w14:textId="77777777" w:rsidR="00E441CA" w:rsidRPr="00B7364B" w:rsidRDefault="00E441CA" w:rsidP="00E441CA">
      <w:pPr>
        <w:spacing w:after="200"/>
        <w:ind w:left="1440"/>
        <w:rPr>
          <w:sz w:val="20"/>
        </w:rPr>
      </w:pPr>
      <w:r w:rsidRPr="00B7364B">
        <w:rPr>
          <w:sz w:val="20"/>
        </w:rPr>
        <w:t>Alternatively and instead of paying $99, if you wish to keep your original mobile handset, you can simply pay out the full remaining cost of your mobile handset, including any monthly handset credit that Optus was going to cover and purchase a new mobile phone on a new 24 month plan.</w:t>
      </w:r>
    </w:p>
    <w:p w14:paraId="4D3D125D" w14:textId="77777777" w:rsidR="00E441CA" w:rsidRPr="00B7364B" w:rsidRDefault="00E441CA" w:rsidP="00E441CA">
      <w:pPr>
        <w:numPr>
          <w:ilvl w:val="5"/>
          <w:numId w:val="1"/>
        </w:numPr>
        <w:spacing w:after="200"/>
        <w:outlineLvl w:val="5"/>
        <w:rPr>
          <w:rFonts w:eastAsia="Times New Roman"/>
          <w:bCs/>
          <w:snapToGrid w:val="0"/>
          <w:sz w:val="20"/>
          <w:szCs w:val="22"/>
        </w:rPr>
      </w:pPr>
      <w:bookmarkStart w:id="1565" w:name="_Toc479674693"/>
      <w:r w:rsidRPr="00B7364B">
        <w:rPr>
          <w:rFonts w:eastAsia="Times New Roman"/>
          <w:bCs/>
          <w:snapToGrid w:val="0"/>
          <w:sz w:val="20"/>
          <w:szCs w:val="22"/>
        </w:rPr>
        <w:t>Data Sharing</w:t>
      </w:r>
      <w:bookmarkEnd w:id="1565"/>
    </w:p>
    <w:p w14:paraId="3AF65EDD" w14:textId="77777777" w:rsidR="00E441CA" w:rsidRPr="00B7364B" w:rsidRDefault="00E441CA" w:rsidP="00E441CA">
      <w:pPr>
        <w:numPr>
          <w:ilvl w:val="6"/>
          <w:numId w:val="1"/>
        </w:numPr>
        <w:spacing w:after="200"/>
        <w:outlineLvl w:val="6"/>
        <w:rPr>
          <w:rFonts w:eastAsia="Times New Roman"/>
          <w:snapToGrid w:val="0"/>
          <w:sz w:val="20"/>
        </w:rPr>
      </w:pPr>
      <w:r w:rsidRPr="00B7364B">
        <w:rPr>
          <w:rFonts w:eastAsia="Times New Roman"/>
          <w:snapToGrid w:val="0"/>
          <w:sz w:val="20"/>
        </w:rPr>
        <w:t xml:space="preserve">If </w:t>
      </w:r>
      <w:r w:rsidRPr="00B7364B">
        <w:rPr>
          <w:rFonts w:eastAsia="Times New Roman"/>
          <w:i/>
          <w:snapToGrid w:val="0"/>
          <w:sz w:val="20"/>
        </w:rPr>
        <w:t xml:space="preserve">you </w:t>
      </w:r>
      <w:r w:rsidRPr="00B7364B">
        <w:rPr>
          <w:rFonts w:eastAsia="Times New Roman"/>
          <w:sz w:val="20"/>
          <w:lang w:eastAsia="en-AU"/>
        </w:rPr>
        <w:t xml:space="preserve">have more than one Business Plan, </w:t>
      </w:r>
      <w:r w:rsidRPr="00B7364B">
        <w:rPr>
          <w:rFonts w:eastAsia="Times New Roman"/>
          <w:sz w:val="20"/>
        </w:rPr>
        <w:t>My Plan Plus</w:t>
      </w:r>
      <w:r w:rsidRPr="00B7364B">
        <w:rPr>
          <w:rFonts w:eastAsia="Times New Roman"/>
          <w:sz w:val="20"/>
          <w:lang w:eastAsia="en-AU"/>
        </w:rPr>
        <w:t>, My Plan Plus SIM Only, My Plan Business (including Tech Fund), My Plan Business SIM, My Mobile Broadband Plus or Mobile Broadband Business on the same billing account, the included data will combine into one data pool, which will be shared by all eligible services on that account.</w:t>
      </w:r>
    </w:p>
    <w:p w14:paraId="18A21F67" w14:textId="77777777" w:rsidR="00E441CA" w:rsidRPr="00B7364B" w:rsidRDefault="00E441CA" w:rsidP="00E441CA">
      <w:pPr>
        <w:numPr>
          <w:ilvl w:val="6"/>
          <w:numId w:val="1"/>
        </w:numPr>
        <w:spacing w:after="200"/>
        <w:outlineLvl w:val="6"/>
        <w:rPr>
          <w:rFonts w:eastAsia="Times New Roman"/>
          <w:snapToGrid w:val="0"/>
          <w:sz w:val="20"/>
        </w:rPr>
      </w:pPr>
      <w:r w:rsidRPr="00B7364B">
        <w:rPr>
          <w:rFonts w:eastAsia="Times New Roman"/>
          <w:snapToGrid w:val="0"/>
          <w:sz w:val="20"/>
        </w:rPr>
        <w:t xml:space="preserve">If </w:t>
      </w:r>
      <w:r w:rsidRPr="00B7364B">
        <w:rPr>
          <w:rFonts w:eastAsia="Times New Roman"/>
          <w:i/>
          <w:snapToGrid w:val="0"/>
          <w:sz w:val="20"/>
        </w:rPr>
        <w:t>you</w:t>
      </w:r>
      <w:r w:rsidRPr="00B7364B">
        <w:rPr>
          <w:rFonts w:eastAsia="Times New Roman"/>
          <w:snapToGrid w:val="0"/>
          <w:sz w:val="20"/>
        </w:rPr>
        <w:t xml:space="preserve"> do not want </w:t>
      </w:r>
      <w:r w:rsidRPr="00B7364B">
        <w:rPr>
          <w:rFonts w:eastAsia="Times New Roman"/>
          <w:i/>
          <w:snapToGrid w:val="0"/>
          <w:sz w:val="20"/>
        </w:rPr>
        <w:t>your</w:t>
      </w:r>
      <w:r w:rsidRPr="00B7364B">
        <w:rPr>
          <w:rFonts w:eastAsia="Times New Roman"/>
          <w:snapToGrid w:val="0"/>
          <w:sz w:val="20"/>
        </w:rPr>
        <w:t xml:space="preserve"> services on any</w:t>
      </w:r>
      <w:r w:rsidRPr="00B7364B">
        <w:rPr>
          <w:rFonts w:eastAsia="Times New Roman"/>
          <w:sz w:val="20"/>
        </w:rPr>
        <w:t xml:space="preserve"> Business Plan, My Plan Plus</w:t>
      </w:r>
      <w:r w:rsidRPr="00B7364B">
        <w:rPr>
          <w:rFonts w:eastAsia="Times New Roman"/>
          <w:sz w:val="20"/>
          <w:lang w:eastAsia="en-AU"/>
        </w:rPr>
        <w:t>, My Plan Plus SIM Only, My Plan Business (including Tech Fund), My Plan Business SIM, My Mobile Broadband Plus or Mobile Broadband Business plans</w:t>
      </w:r>
      <w:r w:rsidRPr="00B7364B">
        <w:rPr>
          <w:rFonts w:eastAsia="Times New Roman"/>
          <w:snapToGrid w:val="0"/>
          <w:sz w:val="20"/>
        </w:rPr>
        <w:t xml:space="preserve"> to share data, they need to be on separate billing accounts. .</w:t>
      </w:r>
    </w:p>
    <w:p w14:paraId="1E9B611A" w14:textId="77777777" w:rsidR="00E441CA" w:rsidRPr="00B7364B" w:rsidRDefault="00E441CA" w:rsidP="00E441CA">
      <w:pPr>
        <w:numPr>
          <w:ilvl w:val="6"/>
          <w:numId w:val="1"/>
        </w:numPr>
        <w:spacing w:after="200"/>
        <w:outlineLvl w:val="6"/>
        <w:rPr>
          <w:rFonts w:eastAsia="Times New Roman"/>
          <w:snapToGrid w:val="0"/>
          <w:sz w:val="20"/>
        </w:rPr>
      </w:pPr>
      <w:r w:rsidRPr="00B7364B">
        <w:rPr>
          <w:rFonts w:eastAsia="Times New Roman"/>
          <w:snapToGrid w:val="0"/>
          <w:sz w:val="20"/>
        </w:rPr>
        <w:t>Data sharing is only available within Australia.</w:t>
      </w:r>
    </w:p>
    <w:p w14:paraId="49E8DC24" w14:textId="77777777" w:rsidR="00E441CA" w:rsidRPr="00B7364B" w:rsidRDefault="00E441CA" w:rsidP="00E441CA">
      <w:pPr>
        <w:numPr>
          <w:ilvl w:val="5"/>
          <w:numId w:val="1"/>
        </w:numPr>
        <w:spacing w:after="200"/>
        <w:outlineLvl w:val="5"/>
        <w:rPr>
          <w:rFonts w:eastAsia="Times New Roman"/>
          <w:bCs/>
          <w:snapToGrid w:val="0"/>
          <w:sz w:val="20"/>
          <w:szCs w:val="22"/>
        </w:rPr>
      </w:pPr>
      <w:bookmarkStart w:id="1566" w:name="_Toc479674694"/>
      <w:r w:rsidRPr="00B7364B">
        <w:rPr>
          <w:rFonts w:eastAsia="Times New Roman"/>
          <w:bCs/>
          <w:snapToGrid w:val="0"/>
          <w:sz w:val="20"/>
          <w:szCs w:val="22"/>
        </w:rPr>
        <w:t>International Minutes</w:t>
      </w:r>
      <w:bookmarkEnd w:id="1566"/>
    </w:p>
    <w:p w14:paraId="055225AD" w14:textId="77777777" w:rsidR="00E441CA" w:rsidRPr="00801DBA" w:rsidRDefault="00E441CA" w:rsidP="00E441CA">
      <w:pPr>
        <w:spacing w:after="200"/>
        <w:ind w:left="720"/>
        <w:rPr>
          <w:sz w:val="20"/>
          <w:szCs w:val="20"/>
        </w:rPr>
      </w:pPr>
      <w:r w:rsidRPr="00801DBA">
        <w:rPr>
          <w:sz w:val="20"/>
          <w:szCs w:val="20"/>
        </w:rPr>
        <w:t>The $125 Business</w:t>
      </w:r>
      <w:r>
        <w:rPr>
          <w:sz w:val="20"/>
          <w:szCs w:val="20"/>
        </w:rPr>
        <w:t xml:space="preserve"> Plan</w:t>
      </w:r>
      <w:r w:rsidRPr="00801DBA">
        <w:rPr>
          <w:sz w:val="20"/>
          <w:szCs w:val="20"/>
        </w:rPr>
        <w:t xml:space="preserve"> includes unlimited inte</w:t>
      </w:r>
      <w:r>
        <w:rPr>
          <w:sz w:val="20"/>
          <w:szCs w:val="20"/>
        </w:rPr>
        <w:t>rnational minutes</w:t>
      </w:r>
      <w:r w:rsidRPr="00801DBA">
        <w:rPr>
          <w:sz w:val="20"/>
          <w:szCs w:val="20"/>
        </w:rPr>
        <w:t xml:space="preserve"> for standard calls to mobiles and fixed lines in selected countries. For a list of selected countries see Table 3 below.</w:t>
      </w:r>
    </w:p>
    <w:p w14:paraId="3B7C1419" w14:textId="77777777" w:rsidR="00E441CA" w:rsidRDefault="00E441CA" w:rsidP="00E441CA">
      <w:pPr>
        <w:pStyle w:val="BodyText"/>
        <w:ind w:left="720"/>
      </w:pPr>
      <w:bookmarkStart w:id="1567" w:name="_Toc479674695"/>
      <w:r w:rsidRPr="00CF4A96">
        <w:rPr>
          <w:szCs w:val="20"/>
        </w:rPr>
        <w:t>Calls to non-selected countries are charged at standard ‘yes’ international call rates</w:t>
      </w:r>
      <w:r>
        <w:rPr>
          <w:szCs w:val="20"/>
        </w:rPr>
        <w:t>.</w:t>
      </w:r>
    </w:p>
    <w:p w14:paraId="221BCA0B" w14:textId="77777777" w:rsidR="00E441CA" w:rsidRPr="00801DBA" w:rsidRDefault="00E441CA" w:rsidP="00E441CA">
      <w:pPr>
        <w:numPr>
          <w:ilvl w:val="5"/>
          <w:numId w:val="1"/>
        </w:numPr>
        <w:spacing w:after="200"/>
        <w:outlineLvl w:val="5"/>
        <w:rPr>
          <w:rFonts w:eastAsia="Times New Roman"/>
          <w:bCs/>
          <w:snapToGrid w:val="0"/>
          <w:sz w:val="20"/>
          <w:szCs w:val="20"/>
        </w:rPr>
      </w:pPr>
      <w:r w:rsidRPr="00801DBA">
        <w:rPr>
          <w:rFonts w:eastAsia="Times New Roman"/>
          <w:bCs/>
          <w:snapToGrid w:val="0"/>
          <w:sz w:val="20"/>
          <w:szCs w:val="20"/>
        </w:rPr>
        <w:t>Unlimited standard national SMS and MMS</w:t>
      </w:r>
      <w:bookmarkEnd w:id="1567"/>
    </w:p>
    <w:p w14:paraId="1F22BC00" w14:textId="77777777" w:rsidR="00E441CA" w:rsidRPr="00801DBA" w:rsidRDefault="00E441CA" w:rsidP="00E441CA">
      <w:pPr>
        <w:spacing w:after="200"/>
        <w:ind w:left="720"/>
        <w:rPr>
          <w:sz w:val="20"/>
          <w:szCs w:val="20"/>
        </w:rPr>
      </w:pPr>
      <w:r w:rsidRPr="00801DBA">
        <w:rPr>
          <w:i/>
          <w:sz w:val="20"/>
          <w:szCs w:val="20"/>
        </w:rPr>
        <w:t>You</w:t>
      </w:r>
      <w:r w:rsidRPr="00801DBA">
        <w:rPr>
          <w:sz w:val="20"/>
          <w:szCs w:val="20"/>
        </w:rPr>
        <w:t xml:space="preserve"> may send unlimited standard SMS and MMS to Australian mobiles from within Australia.</w:t>
      </w:r>
    </w:p>
    <w:p w14:paraId="129301BA" w14:textId="77777777" w:rsidR="00E441CA" w:rsidRPr="00801DBA" w:rsidRDefault="00E441CA" w:rsidP="00E441CA">
      <w:pPr>
        <w:spacing w:after="200"/>
        <w:ind w:left="720"/>
        <w:rPr>
          <w:i/>
          <w:color w:val="13607C"/>
          <w:sz w:val="20"/>
          <w:szCs w:val="20"/>
          <w:u w:val="single"/>
        </w:rPr>
      </w:pPr>
      <w:r w:rsidRPr="00801DBA">
        <w:rPr>
          <w:sz w:val="20"/>
          <w:szCs w:val="20"/>
        </w:rPr>
        <w:t xml:space="preserve">Unlimited standard national SMS and MMS are only available for personal and ordinary business use and are not to be used for a commercial or non-ordinary purpose as set out in the </w:t>
      </w:r>
      <w:hyperlink r:id="rId723" w:history="1">
        <w:r w:rsidRPr="00801DBA">
          <w:rPr>
            <w:rFonts w:cs="Arial"/>
            <w:i/>
            <w:color w:val="13607C"/>
            <w:sz w:val="20"/>
            <w:szCs w:val="20"/>
            <w:u w:val="single"/>
          </w:rPr>
          <w:t>Fair Go Policy</w:t>
        </w:r>
      </w:hyperlink>
      <w:r w:rsidRPr="00801DBA">
        <w:rPr>
          <w:sz w:val="20"/>
          <w:szCs w:val="20"/>
        </w:rPr>
        <w:t xml:space="preserve">. For further details refer to </w:t>
      </w:r>
      <w:hyperlink r:id="rId724" w:history="1">
        <w:r w:rsidRPr="00801DBA">
          <w:rPr>
            <w:i/>
            <w:color w:val="13607C"/>
            <w:sz w:val="20"/>
            <w:szCs w:val="20"/>
            <w:u w:val="single"/>
          </w:rPr>
          <w:t>Appendix S</w:t>
        </w:r>
      </w:hyperlink>
      <w:r w:rsidRPr="00801DBA">
        <w:rPr>
          <w:i/>
          <w:sz w:val="20"/>
          <w:szCs w:val="20"/>
        </w:rPr>
        <w:t>.</w:t>
      </w:r>
    </w:p>
    <w:p w14:paraId="2CB5F91D" w14:textId="77777777" w:rsidR="00E441CA" w:rsidRPr="00801DBA" w:rsidRDefault="00E441CA" w:rsidP="00E441CA">
      <w:pPr>
        <w:numPr>
          <w:ilvl w:val="5"/>
          <w:numId w:val="1"/>
        </w:numPr>
        <w:spacing w:after="200"/>
        <w:outlineLvl w:val="5"/>
        <w:rPr>
          <w:rFonts w:eastAsia="Times New Roman"/>
          <w:bCs/>
          <w:snapToGrid w:val="0"/>
          <w:sz w:val="20"/>
          <w:szCs w:val="20"/>
        </w:rPr>
      </w:pPr>
      <w:bookmarkStart w:id="1568" w:name="_Toc479674696"/>
      <w:r w:rsidRPr="00801DBA">
        <w:rPr>
          <w:rFonts w:eastAsia="Times New Roman"/>
          <w:bCs/>
          <w:snapToGrid w:val="0"/>
          <w:sz w:val="20"/>
          <w:szCs w:val="20"/>
        </w:rPr>
        <w:t>Unlimited standard international SMS and MMS</w:t>
      </w:r>
      <w:bookmarkEnd w:id="1568"/>
    </w:p>
    <w:p w14:paraId="5C229E62" w14:textId="77777777" w:rsidR="00E441CA" w:rsidRPr="00801DBA" w:rsidRDefault="00E441CA" w:rsidP="00E441CA">
      <w:pPr>
        <w:spacing w:after="200"/>
        <w:ind w:left="720"/>
        <w:rPr>
          <w:sz w:val="20"/>
          <w:szCs w:val="20"/>
        </w:rPr>
      </w:pPr>
      <w:r w:rsidRPr="00801DBA">
        <w:rPr>
          <w:i/>
          <w:sz w:val="20"/>
          <w:szCs w:val="20"/>
        </w:rPr>
        <w:t>You</w:t>
      </w:r>
      <w:r w:rsidRPr="00801DBA">
        <w:rPr>
          <w:sz w:val="20"/>
          <w:szCs w:val="20"/>
        </w:rPr>
        <w:t xml:space="preserve"> may send unlimited standard SMS and MMS to selected countries as set out in Table 3 below.</w:t>
      </w:r>
    </w:p>
    <w:p w14:paraId="3722EF11" w14:textId="77777777" w:rsidR="00E441CA" w:rsidRPr="00CC022A" w:rsidRDefault="00E441CA" w:rsidP="00E441CA">
      <w:pPr>
        <w:spacing w:after="200"/>
        <w:ind w:left="720"/>
        <w:rPr>
          <w:i/>
          <w:sz w:val="20"/>
          <w:szCs w:val="20"/>
        </w:rPr>
      </w:pPr>
      <w:r w:rsidRPr="00801DBA">
        <w:rPr>
          <w:sz w:val="20"/>
          <w:szCs w:val="20"/>
        </w:rPr>
        <w:t xml:space="preserve">Unlimited standard SMS and MMS are only available for personal and ordinary business use and are not to be used for a commercial or non-ordinary purpose as set out in the Fair Go Policy. For further details refer to </w:t>
      </w:r>
      <w:hyperlink r:id="rId725" w:history="1">
        <w:r w:rsidRPr="00801DBA">
          <w:rPr>
            <w:i/>
            <w:color w:val="13607C"/>
            <w:sz w:val="20"/>
            <w:szCs w:val="20"/>
            <w:u w:val="single"/>
          </w:rPr>
          <w:t>Appendix S</w:t>
        </w:r>
      </w:hyperlink>
      <w:r>
        <w:rPr>
          <w:i/>
          <w:sz w:val="20"/>
          <w:szCs w:val="20"/>
        </w:rPr>
        <w:t>.</w:t>
      </w:r>
    </w:p>
    <w:p w14:paraId="523A345E" w14:textId="77777777" w:rsidR="00E441CA" w:rsidRPr="007F5B4A" w:rsidRDefault="00E441CA" w:rsidP="00E441CA">
      <w:pPr>
        <w:pStyle w:val="Heading6"/>
        <w:ind w:left="0" w:firstLine="0"/>
        <w:rPr>
          <w:lang w:val="en-AU"/>
        </w:rPr>
      </w:pPr>
      <w:r w:rsidRPr="007F5B4A">
        <w:rPr>
          <w:lang w:val="en-AU"/>
        </w:rPr>
        <w:t xml:space="preserve">International Roaming </w:t>
      </w:r>
    </w:p>
    <w:p w14:paraId="1DF7E825" w14:textId="77777777" w:rsidR="00E441CA" w:rsidRPr="00B6465B" w:rsidRDefault="00E441CA" w:rsidP="00E441CA">
      <w:pPr>
        <w:pStyle w:val="ListParagraph"/>
        <w:ind w:left="709"/>
        <w:rPr>
          <w:rFonts w:ascii="Arial" w:hAnsi="Arial" w:cs="Arial"/>
        </w:rPr>
      </w:pPr>
      <w:r>
        <w:rPr>
          <w:rFonts w:ascii="Arial" w:hAnsi="Arial" w:cs="Arial"/>
        </w:rPr>
        <w:t xml:space="preserve">The </w:t>
      </w:r>
      <w:r w:rsidRPr="00B6465B">
        <w:rPr>
          <w:rFonts w:ascii="Arial" w:hAnsi="Arial" w:cs="Arial"/>
        </w:rPr>
        <w:t xml:space="preserve">$125 </w:t>
      </w:r>
      <w:r>
        <w:rPr>
          <w:rFonts w:ascii="Arial" w:hAnsi="Arial" w:cs="Arial"/>
        </w:rPr>
        <w:t>Business Plan</w:t>
      </w:r>
      <w:r w:rsidRPr="00B6465B">
        <w:rPr>
          <w:rFonts w:ascii="Arial" w:hAnsi="Arial" w:cs="Arial"/>
        </w:rPr>
        <w:t xml:space="preserve"> will receive unlimited standard national and international voice,</w:t>
      </w:r>
      <w:r>
        <w:rPr>
          <w:rFonts w:ascii="Arial" w:hAnsi="Arial" w:cs="Arial"/>
        </w:rPr>
        <w:t xml:space="preserve"> SMS (MMS is excluded) plus 1.5GB of data</w:t>
      </w:r>
      <w:r w:rsidRPr="00B6465B">
        <w:rPr>
          <w:rFonts w:ascii="Arial" w:hAnsi="Arial" w:cs="Arial"/>
        </w:rPr>
        <w:t xml:space="preserve"> to use in Zone 1 countries within each billing month. If you are not in a Zone 1 country you will be charged at standard roaming rates for that country.</w:t>
      </w:r>
    </w:p>
    <w:p w14:paraId="4A919FCB" w14:textId="77777777" w:rsidR="00E441CA" w:rsidRPr="00CF4A96" w:rsidRDefault="00E441CA" w:rsidP="00E441CA">
      <w:pPr>
        <w:ind w:left="709"/>
        <w:rPr>
          <w:rFonts w:eastAsia="Times New Roman" w:cs="Arial"/>
          <w:sz w:val="20"/>
          <w:szCs w:val="20"/>
        </w:rPr>
      </w:pPr>
    </w:p>
    <w:p w14:paraId="4FAC0C1B" w14:textId="77777777" w:rsidR="00E441CA" w:rsidRPr="00CF4A96" w:rsidRDefault="00E441CA" w:rsidP="00E441CA">
      <w:pPr>
        <w:pStyle w:val="BodyText"/>
        <w:ind w:left="720"/>
        <w:rPr>
          <w:rFonts w:cs="Arial"/>
          <w:szCs w:val="20"/>
        </w:rPr>
      </w:pPr>
      <w:r w:rsidRPr="00CF4A96">
        <w:rPr>
          <w:rFonts w:eastAsia="Times New Roman" w:cs="Arial"/>
          <w:szCs w:val="20"/>
        </w:rPr>
        <w:t>If you exceed the data limit, standard data roaming charges will apply. Any data provided is not shareable and will not form part of any Data Pool. Any unused data will be forfeited and cannot be rolled over to the next billing month.</w:t>
      </w:r>
      <w:r w:rsidRPr="00CF4A96">
        <w:rPr>
          <w:rFonts w:eastAsia="Times New Roman" w:cs="Arial"/>
          <w:snapToGrid w:val="0"/>
          <w:szCs w:val="20"/>
        </w:rPr>
        <w:t xml:space="preserve"> For list of countries see optus.com.au/biztravel</w:t>
      </w:r>
    </w:p>
    <w:p w14:paraId="16594E17" w14:textId="77777777" w:rsidR="00E441CA" w:rsidRPr="00B7364B" w:rsidRDefault="00E441CA" w:rsidP="00E441CA">
      <w:pPr>
        <w:spacing w:after="200"/>
        <w:ind w:left="720"/>
        <w:rPr>
          <w:b/>
          <w:sz w:val="20"/>
        </w:rPr>
      </w:pPr>
      <w:r w:rsidRPr="00B7364B">
        <w:rPr>
          <w:b/>
          <w:sz w:val="20"/>
        </w:rPr>
        <w:t>Table 1 –Plan Inclusions and Charges</w:t>
      </w:r>
    </w:p>
    <w:tbl>
      <w:tblPr>
        <w:tblW w:w="2989"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2721"/>
      </w:tblGrid>
      <w:tr w:rsidR="00E441CA" w:rsidRPr="00B7364B" w14:paraId="08833595" w14:textId="77777777" w:rsidTr="00E441CA">
        <w:trPr>
          <w:tblHeader/>
        </w:trPr>
        <w:tc>
          <w:tcPr>
            <w:tcW w:w="2766" w:type="pct"/>
            <w:shd w:val="clear" w:color="auto" w:fill="auto"/>
          </w:tcPr>
          <w:p w14:paraId="7B157981" w14:textId="77777777" w:rsidR="00E441CA" w:rsidRPr="00B7364B" w:rsidRDefault="00E441CA" w:rsidP="00E441CA">
            <w:pPr>
              <w:spacing w:before="100" w:after="100"/>
              <w:rPr>
                <w:sz w:val="20"/>
                <w:szCs w:val="20"/>
              </w:rPr>
            </w:pPr>
          </w:p>
        </w:tc>
        <w:tc>
          <w:tcPr>
            <w:tcW w:w="2234" w:type="pct"/>
          </w:tcPr>
          <w:p w14:paraId="01E35010" w14:textId="77777777" w:rsidR="00E441CA" w:rsidRPr="00B7364B" w:rsidRDefault="00E441CA" w:rsidP="00E441CA">
            <w:pPr>
              <w:spacing w:before="100" w:after="100"/>
              <w:jc w:val="center"/>
              <w:rPr>
                <w:b/>
                <w:sz w:val="20"/>
                <w:szCs w:val="20"/>
              </w:rPr>
            </w:pPr>
            <w:r w:rsidRPr="00B7364B">
              <w:rPr>
                <w:b/>
                <w:sz w:val="20"/>
                <w:szCs w:val="20"/>
              </w:rPr>
              <w:t>$125 Business Plan</w:t>
            </w:r>
          </w:p>
        </w:tc>
      </w:tr>
      <w:tr w:rsidR="00E441CA" w:rsidRPr="00B7364B" w14:paraId="195257A0" w14:textId="77777777" w:rsidTr="00E441CA">
        <w:tc>
          <w:tcPr>
            <w:tcW w:w="2766" w:type="pct"/>
            <w:shd w:val="clear" w:color="auto" w:fill="auto"/>
          </w:tcPr>
          <w:p w14:paraId="2CAB3859" w14:textId="77777777" w:rsidR="00E441CA" w:rsidRPr="00B7364B" w:rsidRDefault="00E441CA" w:rsidP="00E441CA">
            <w:pPr>
              <w:spacing w:before="100" w:after="100"/>
              <w:rPr>
                <w:sz w:val="20"/>
                <w:szCs w:val="20"/>
              </w:rPr>
            </w:pPr>
            <w:r w:rsidRPr="00B7364B">
              <w:rPr>
                <w:b/>
                <w:bCs/>
                <w:sz w:val="20"/>
                <w:szCs w:val="20"/>
              </w:rPr>
              <w:t>Minimum Monthly charge</w:t>
            </w:r>
          </w:p>
        </w:tc>
        <w:tc>
          <w:tcPr>
            <w:tcW w:w="2234" w:type="pct"/>
            <w:vAlign w:val="center"/>
          </w:tcPr>
          <w:p w14:paraId="3F9D870A" w14:textId="77777777" w:rsidR="00E441CA" w:rsidRPr="00B7364B" w:rsidRDefault="00E441CA" w:rsidP="00E441CA">
            <w:pPr>
              <w:spacing w:before="100" w:after="100"/>
              <w:jc w:val="center"/>
              <w:rPr>
                <w:sz w:val="20"/>
                <w:szCs w:val="20"/>
              </w:rPr>
            </w:pPr>
            <w:r w:rsidRPr="00B7364B">
              <w:rPr>
                <w:sz w:val="20"/>
                <w:szCs w:val="20"/>
              </w:rPr>
              <w:t>$125</w:t>
            </w:r>
          </w:p>
        </w:tc>
      </w:tr>
      <w:tr w:rsidR="00E441CA" w:rsidRPr="00B7364B" w14:paraId="023FCA3F" w14:textId="77777777" w:rsidTr="00E441CA">
        <w:tc>
          <w:tcPr>
            <w:tcW w:w="2766" w:type="pct"/>
            <w:shd w:val="clear" w:color="auto" w:fill="auto"/>
          </w:tcPr>
          <w:p w14:paraId="06F84DC6" w14:textId="77777777" w:rsidR="00E441CA" w:rsidRPr="00B7364B" w:rsidRDefault="00E441CA" w:rsidP="00E441CA">
            <w:pPr>
              <w:spacing w:before="100" w:after="100"/>
              <w:rPr>
                <w:sz w:val="20"/>
                <w:szCs w:val="20"/>
              </w:rPr>
            </w:pPr>
            <w:r w:rsidRPr="00B7364B">
              <w:rPr>
                <w:b/>
                <w:bCs/>
                <w:sz w:val="20"/>
                <w:szCs w:val="20"/>
              </w:rPr>
              <w:t>Included Data</w:t>
            </w:r>
          </w:p>
        </w:tc>
        <w:tc>
          <w:tcPr>
            <w:tcW w:w="2234" w:type="pct"/>
            <w:vAlign w:val="center"/>
          </w:tcPr>
          <w:p w14:paraId="7ECC64B1" w14:textId="77777777" w:rsidR="00E441CA" w:rsidRPr="00B7364B" w:rsidRDefault="00E441CA" w:rsidP="00E441CA">
            <w:pPr>
              <w:spacing w:before="100" w:after="100"/>
              <w:jc w:val="center"/>
              <w:rPr>
                <w:sz w:val="20"/>
                <w:szCs w:val="20"/>
              </w:rPr>
            </w:pPr>
            <w:r w:rsidRPr="00B7364B">
              <w:rPr>
                <w:sz w:val="20"/>
                <w:szCs w:val="20"/>
              </w:rPr>
              <w:t>20GB</w:t>
            </w:r>
          </w:p>
        </w:tc>
      </w:tr>
      <w:tr w:rsidR="00E441CA" w:rsidRPr="00B7364B" w14:paraId="795136E7" w14:textId="77777777" w:rsidTr="00E441CA">
        <w:tc>
          <w:tcPr>
            <w:tcW w:w="2766" w:type="pct"/>
            <w:shd w:val="clear" w:color="auto" w:fill="auto"/>
          </w:tcPr>
          <w:p w14:paraId="643E94BF" w14:textId="77777777" w:rsidR="00E441CA" w:rsidRPr="00B7364B" w:rsidRDefault="00E441CA" w:rsidP="00E441CA">
            <w:pPr>
              <w:spacing w:before="100" w:after="100"/>
              <w:rPr>
                <w:b/>
                <w:bCs/>
                <w:sz w:val="20"/>
                <w:szCs w:val="20"/>
              </w:rPr>
            </w:pPr>
            <w:r w:rsidRPr="00B7364B">
              <w:rPr>
                <w:b/>
                <w:bCs/>
                <w:sz w:val="20"/>
                <w:szCs w:val="20"/>
              </w:rPr>
              <w:t>Additional Data</w:t>
            </w:r>
          </w:p>
        </w:tc>
        <w:tc>
          <w:tcPr>
            <w:tcW w:w="2234" w:type="pct"/>
            <w:vAlign w:val="center"/>
          </w:tcPr>
          <w:p w14:paraId="4FDD56A1" w14:textId="77777777" w:rsidR="00E441CA" w:rsidRPr="00B7364B" w:rsidRDefault="00E441CA" w:rsidP="00E441CA">
            <w:pPr>
              <w:spacing w:before="100" w:after="100"/>
              <w:jc w:val="center"/>
              <w:rPr>
                <w:sz w:val="20"/>
                <w:szCs w:val="20"/>
              </w:rPr>
            </w:pPr>
            <w:r w:rsidRPr="00B7364B">
              <w:rPr>
                <w:sz w:val="20"/>
                <w:szCs w:val="20"/>
              </w:rPr>
              <w:t>Additional data $10 per 1GB</w:t>
            </w:r>
          </w:p>
        </w:tc>
      </w:tr>
      <w:tr w:rsidR="00E441CA" w:rsidRPr="00B7364B" w14:paraId="4759E142" w14:textId="77777777" w:rsidTr="00E441CA">
        <w:tc>
          <w:tcPr>
            <w:tcW w:w="2766" w:type="pct"/>
            <w:shd w:val="clear" w:color="auto" w:fill="auto"/>
          </w:tcPr>
          <w:p w14:paraId="3BB422A5" w14:textId="77777777" w:rsidR="00E441CA" w:rsidRPr="00B7364B" w:rsidRDefault="00E441CA" w:rsidP="00E441CA">
            <w:pPr>
              <w:spacing w:before="100" w:after="100"/>
              <w:rPr>
                <w:sz w:val="20"/>
                <w:szCs w:val="20"/>
              </w:rPr>
            </w:pPr>
            <w:r w:rsidRPr="00B7364B">
              <w:rPr>
                <w:b/>
                <w:bCs/>
                <w:sz w:val="20"/>
                <w:szCs w:val="20"/>
              </w:rPr>
              <w:t xml:space="preserve">Included Minutes </w:t>
            </w:r>
            <w:r w:rsidRPr="00B7364B">
              <w:rPr>
                <w:sz w:val="20"/>
                <w:szCs w:val="20"/>
              </w:rPr>
              <w:t>for standard national calls to landlines and mobiles, 1300 numbers and voicemail, within Australia</w:t>
            </w:r>
          </w:p>
        </w:tc>
        <w:tc>
          <w:tcPr>
            <w:tcW w:w="2234" w:type="pct"/>
            <w:vAlign w:val="center"/>
          </w:tcPr>
          <w:p w14:paraId="08A1EEFC" w14:textId="77777777" w:rsidR="00E441CA" w:rsidRPr="00B7364B" w:rsidRDefault="00E441CA" w:rsidP="00E441CA">
            <w:pPr>
              <w:spacing w:before="100" w:after="100"/>
              <w:jc w:val="center"/>
              <w:rPr>
                <w:sz w:val="20"/>
                <w:szCs w:val="20"/>
              </w:rPr>
            </w:pPr>
            <w:r w:rsidRPr="00B7364B">
              <w:rPr>
                <w:sz w:val="20"/>
                <w:szCs w:val="20"/>
              </w:rPr>
              <w:t>Unlimited</w:t>
            </w:r>
          </w:p>
        </w:tc>
      </w:tr>
      <w:tr w:rsidR="00E441CA" w:rsidRPr="00B7364B" w14:paraId="323825AA" w14:textId="77777777" w:rsidTr="00E441CA">
        <w:tc>
          <w:tcPr>
            <w:tcW w:w="2766" w:type="pct"/>
            <w:shd w:val="clear" w:color="auto" w:fill="auto"/>
          </w:tcPr>
          <w:p w14:paraId="5E238527" w14:textId="77777777" w:rsidR="00E441CA" w:rsidRPr="00B7364B" w:rsidRDefault="00E441CA" w:rsidP="00E441CA">
            <w:pPr>
              <w:spacing w:before="100" w:after="100"/>
              <w:rPr>
                <w:b/>
                <w:bCs/>
                <w:sz w:val="20"/>
                <w:szCs w:val="20"/>
              </w:rPr>
            </w:pPr>
            <w:r w:rsidRPr="00B7364B">
              <w:rPr>
                <w:b/>
                <w:bCs/>
                <w:sz w:val="20"/>
                <w:szCs w:val="20"/>
              </w:rPr>
              <w:t>Included International Minutes</w:t>
            </w:r>
          </w:p>
          <w:p w14:paraId="13B823C1" w14:textId="77777777" w:rsidR="00E441CA" w:rsidRPr="00B7364B" w:rsidRDefault="00E441CA" w:rsidP="00E441CA">
            <w:pPr>
              <w:spacing w:before="100" w:after="100"/>
              <w:rPr>
                <w:b/>
                <w:bCs/>
                <w:sz w:val="20"/>
                <w:szCs w:val="20"/>
              </w:rPr>
            </w:pPr>
            <w:r w:rsidRPr="00B7364B">
              <w:rPr>
                <w:sz w:val="20"/>
                <w:szCs w:val="20"/>
              </w:rPr>
              <w:t xml:space="preserve">Standard international calls to landlines and mobiles to selected countries </w:t>
            </w:r>
          </w:p>
        </w:tc>
        <w:tc>
          <w:tcPr>
            <w:tcW w:w="2234" w:type="pct"/>
            <w:vAlign w:val="center"/>
          </w:tcPr>
          <w:p w14:paraId="1A405CE3" w14:textId="77777777" w:rsidR="00E441CA" w:rsidRPr="00B7364B" w:rsidRDefault="00E441CA" w:rsidP="00E441CA">
            <w:pPr>
              <w:spacing w:before="100" w:after="100"/>
              <w:jc w:val="center"/>
              <w:rPr>
                <w:bCs/>
                <w:sz w:val="20"/>
                <w:szCs w:val="20"/>
              </w:rPr>
            </w:pPr>
            <w:r w:rsidRPr="00B7364B">
              <w:rPr>
                <w:sz w:val="20"/>
                <w:szCs w:val="20"/>
              </w:rPr>
              <w:t>Unlimited</w:t>
            </w:r>
          </w:p>
        </w:tc>
      </w:tr>
      <w:tr w:rsidR="00E441CA" w:rsidRPr="00B7364B" w14:paraId="64D86BF8" w14:textId="77777777" w:rsidTr="00E441CA">
        <w:tc>
          <w:tcPr>
            <w:tcW w:w="2766" w:type="pct"/>
            <w:shd w:val="clear" w:color="auto" w:fill="auto"/>
          </w:tcPr>
          <w:p w14:paraId="2F09C340" w14:textId="77777777" w:rsidR="00E441CA" w:rsidRPr="00B7364B" w:rsidRDefault="00E441CA" w:rsidP="00E441CA">
            <w:pPr>
              <w:spacing w:before="100" w:after="100"/>
              <w:rPr>
                <w:sz w:val="20"/>
                <w:szCs w:val="20"/>
              </w:rPr>
            </w:pPr>
            <w:r w:rsidRPr="00B7364B">
              <w:rPr>
                <w:b/>
                <w:bCs/>
                <w:sz w:val="20"/>
                <w:szCs w:val="20"/>
              </w:rPr>
              <w:t xml:space="preserve">Standard national SMS </w:t>
            </w:r>
            <w:r w:rsidRPr="00B7364B">
              <w:rPr>
                <w:sz w:val="20"/>
                <w:szCs w:val="20"/>
              </w:rPr>
              <w:t>(per SMS of up to 160 standard characters)</w:t>
            </w:r>
          </w:p>
        </w:tc>
        <w:tc>
          <w:tcPr>
            <w:tcW w:w="2234" w:type="pct"/>
            <w:vAlign w:val="center"/>
          </w:tcPr>
          <w:p w14:paraId="24943595" w14:textId="77777777" w:rsidR="00E441CA" w:rsidRPr="00B7364B" w:rsidRDefault="00E441CA" w:rsidP="00E441CA">
            <w:pPr>
              <w:spacing w:before="100" w:after="100"/>
              <w:jc w:val="center"/>
              <w:rPr>
                <w:sz w:val="20"/>
                <w:szCs w:val="20"/>
              </w:rPr>
            </w:pPr>
            <w:r w:rsidRPr="00B7364B">
              <w:rPr>
                <w:sz w:val="20"/>
                <w:szCs w:val="20"/>
              </w:rPr>
              <w:t>Unlim1ited</w:t>
            </w:r>
          </w:p>
        </w:tc>
      </w:tr>
      <w:tr w:rsidR="00E441CA" w:rsidRPr="00B7364B" w14:paraId="77949E55" w14:textId="77777777" w:rsidTr="00E441CA">
        <w:tc>
          <w:tcPr>
            <w:tcW w:w="2766" w:type="pct"/>
            <w:shd w:val="clear" w:color="auto" w:fill="auto"/>
          </w:tcPr>
          <w:p w14:paraId="5DB2F6F0" w14:textId="77777777" w:rsidR="00E441CA" w:rsidRPr="00B7364B" w:rsidRDefault="00E441CA" w:rsidP="00E441CA">
            <w:pPr>
              <w:keepNext/>
              <w:keepLines/>
              <w:spacing w:before="100" w:after="100"/>
              <w:rPr>
                <w:b/>
                <w:bCs/>
                <w:sz w:val="20"/>
                <w:szCs w:val="20"/>
              </w:rPr>
            </w:pPr>
            <w:r w:rsidRPr="00B7364B">
              <w:rPr>
                <w:b/>
                <w:bCs/>
                <w:sz w:val="20"/>
                <w:szCs w:val="20"/>
              </w:rPr>
              <w:t xml:space="preserve">Standard national MMS </w:t>
            </w:r>
            <w:r w:rsidRPr="00B7364B">
              <w:rPr>
                <w:sz w:val="20"/>
                <w:szCs w:val="20"/>
              </w:rPr>
              <w:t>(per message)</w:t>
            </w:r>
          </w:p>
        </w:tc>
        <w:tc>
          <w:tcPr>
            <w:tcW w:w="2234" w:type="pct"/>
            <w:vAlign w:val="center"/>
          </w:tcPr>
          <w:p w14:paraId="35B839F8" w14:textId="77777777" w:rsidR="00E441CA" w:rsidRPr="00B7364B" w:rsidRDefault="00E441CA" w:rsidP="00E441CA">
            <w:pPr>
              <w:keepNext/>
              <w:keepLines/>
              <w:spacing w:before="100" w:after="100"/>
              <w:jc w:val="center"/>
              <w:rPr>
                <w:sz w:val="20"/>
                <w:szCs w:val="20"/>
              </w:rPr>
            </w:pPr>
            <w:r w:rsidRPr="00B7364B">
              <w:rPr>
                <w:sz w:val="20"/>
                <w:szCs w:val="20"/>
              </w:rPr>
              <w:t>Unlimited</w:t>
            </w:r>
          </w:p>
        </w:tc>
      </w:tr>
      <w:tr w:rsidR="00E441CA" w:rsidRPr="00B7364B" w14:paraId="6ABC3828" w14:textId="77777777" w:rsidTr="00E441CA">
        <w:tc>
          <w:tcPr>
            <w:tcW w:w="2766" w:type="pct"/>
            <w:shd w:val="clear" w:color="auto" w:fill="auto"/>
          </w:tcPr>
          <w:p w14:paraId="1B8B0869" w14:textId="77777777" w:rsidR="00E441CA" w:rsidRPr="00B7364B" w:rsidRDefault="00E441CA" w:rsidP="00E441CA">
            <w:pPr>
              <w:spacing w:before="100" w:after="100"/>
              <w:rPr>
                <w:b/>
                <w:bCs/>
                <w:sz w:val="20"/>
                <w:szCs w:val="20"/>
              </w:rPr>
            </w:pPr>
            <w:r w:rsidRPr="00B7364B">
              <w:rPr>
                <w:b/>
                <w:bCs/>
                <w:sz w:val="20"/>
                <w:szCs w:val="20"/>
              </w:rPr>
              <w:t xml:space="preserve">Standard international SMS </w:t>
            </w:r>
            <w:r w:rsidRPr="00B7364B">
              <w:rPr>
                <w:sz w:val="20"/>
                <w:szCs w:val="20"/>
              </w:rPr>
              <w:t>(per SMS of up to 160 standard characters to selected countries)</w:t>
            </w:r>
          </w:p>
        </w:tc>
        <w:tc>
          <w:tcPr>
            <w:tcW w:w="2234" w:type="pct"/>
            <w:vAlign w:val="center"/>
          </w:tcPr>
          <w:p w14:paraId="3FCE5C6B" w14:textId="77777777" w:rsidR="00E441CA" w:rsidRPr="00B7364B" w:rsidRDefault="00E441CA" w:rsidP="00E441CA">
            <w:pPr>
              <w:spacing w:before="100" w:after="100"/>
              <w:jc w:val="center"/>
              <w:rPr>
                <w:sz w:val="20"/>
                <w:szCs w:val="20"/>
              </w:rPr>
            </w:pPr>
            <w:r w:rsidRPr="00B7364B">
              <w:rPr>
                <w:sz w:val="20"/>
                <w:szCs w:val="20"/>
              </w:rPr>
              <w:t>Unlimited</w:t>
            </w:r>
          </w:p>
        </w:tc>
      </w:tr>
      <w:tr w:rsidR="00E441CA" w:rsidRPr="00B7364B" w14:paraId="10A0A820" w14:textId="77777777" w:rsidTr="00E441CA">
        <w:tc>
          <w:tcPr>
            <w:tcW w:w="2766" w:type="pct"/>
            <w:shd w:val="clear" w:color="auto" w:fill="auto"/>
          </w:tcPr>
          <w:p w14:paraId="51C334B7" w14:textId="77777777" w:rsidR="00E441CA" w:rsidRPr="00B7364B" w:rsidRDefault="00E441CA" w:rsidP="00E441CA">
            <w:pPr>
              <w:spacing w:before="100" w:after="100"/>
              <w:rPr>
                <w:b/>
                <w:bCs/>
                <w:sz w:val="20"/>
                <w:szCs w:val="20"/>
              </w:rPr>
            </w:pPr>
            <w:r w:rsidRPr="00B7364B">
              <w:rPr>
                <w:b/>
                <w:bCs/>
                <w:sz w:val="20"/>
                <w:szCs w:val="20"/>
              </w:rPr>
              <w:t xml:space="preserve">Standard international MMS </w:t>
            </w:r>
            <w:r w:rsidRPr="00B7364B">
              <w:rPr>
                <w:sz w:val="20"/>
                <w:szCs w:val="20"/>
              </w:rPr>
              <w:t>(per message to selected countries)</w:t>
            </w:r>
          </w:p>
        </w:tc>
        <w:tc>
          <w:tcPr>
            <w:tcW w:w="2234" w:type="pct"/>
            <w:vAlign w:val="center"/>
          </w:tcPr>
          <w:p w14:paraId="48CA36AF" w14:textId="77777777" w:rsidR="00E441CA" w:rsidRPr="00B7364B" w:rsidRDefault="00E441CA" w:rsidP="00E441CA">
            <w:pPr>
              <w:spacing w:before="100" w:after="100"/>
              <w:jc w:val="center"/>
              <w:rPr>
                <w:sz w:val="20"/>
                <w:szCs w:val="20"/>
              </w:rPr>
            </w:pPr>
            <w:r w:rsidRPr="00B7364B">
              <w:rPr>
                <w:sz w:val="20"/>
                <w:szCs w:val="20"/>
              </w:rPr>
              <w:t>Unlimited</w:t>
            </w:r>
          </w:p>
        </w:tc>
      </w:tr>
      <w:tr w:rsidR="00E441CA" w:rsidRPr="00B7364B" w14:paraId="4D52A99A" w14:textId="77777777" w:rsidTr="00E441CA">
        <w:tc>
          <w:tcPr>
            <w:tcW w:w="2766" w:type="pct"/>
            <w:shd w:val="clear" w:color="auto" w:fill="auto"/>
          </w:tcPr>
          <w:p w14:paraId="7E5E9136" w14:textId="77777777" w:rsidR="00E441CA" w:rsidRPr="00B7364B" w:rsidRDefault="00E441CA" w:rsidP="00E441CA">
            <w:pPr>
              <w:spacing w:before="100" w:after="100"/>
              <w:rPr>
                <w:b/>
                <w:bCs/>
                <w:sz w:val="20"/>
                <w:szCs w:val="20"/>
              </w:rPr>
            </w:pPr>
            <w:r w:rsidRPr="00B7364B">
              <w:rPr>
                <w:b/>
                <w:bCs/>
                <w:snapToGrid w:val="0"/>
                <w:sz w:val="20"/>
                <w:szCs w:val="20"/>
              </w:rPr>
              <w:t>Optus Travel™ Pack</w:t>
            </w:r>
          </w:p>
        </w:tc>
        <w:tc>
          <w:tcPr>
            <w:tcW w:w="2234" w:type="pct"/>
            <w:vAlign w:val="center"/>
          </w:tcPr>
          <w:p w14:paraId="0CF5D0A9" w14:textId="77777777" w:rsidR="00E441CA" w:rsidRPr="00B7364B" w:rsidRDefault="00E441CA" w:rsidP="00E441CA">
            <w:pPr>
              <w:spacing w:before="100" w:after="100"/>
              <w:jc w:val="center"/>
              <w:rPr>
                <w:sz w:val="20"/>
                <w:szCs w:val="20"/>
              </w:rPr>
            </w:pPr>
            <w:r w:rsidRPr="00B7364B">
              <w:rPr>
                <w:sz w:val="20"/>
                <w:szCs w:val="20"/>
              </w:rPr>
              <w:t>Not applicable</w:t>
            </w:r>
          </w:p>
        </w:tc>
      </w:tr>
      <w:tr w:rsidR="00E441CA" w:rsidRPr="00B7364B" w14:paraId="64FBB8B8" w14:textId="77777777" w:rsidTr="00E441CA">
        <w:tc>
          <w:tcPr>
            <w:tcW w:w="2766" w:type="pct"/>
            <w:shd w:val="clear" w:color="auto" w:fill="auto"/>
          </w:tcPr>
          <w:p w14:paraId="77415A59" w14:textId="77777777" w:rsidR="00E441CA" w:rsidRPr="00B7364B" w:rsidRDefault="00E441CA" w:rsidP="00E441CA">
            <w:pPr>
              <w:spacing w:before="100" w:after="100"/>
              <w:rPr>
                <w:b/>
                <w:bCs/>
                <w:snapToGrid w:val="0"/>
                <w:sz w:val="20"/>
                <w:szCs w:val="20"/>
              </w:rPr>
            </w:pPr>
            <w:r w:rsidRPr="00B7364B">
              <w:rPr>
                <w:b/>
                <w:bCs/>
                <w:snapToGrid w:val="0"/>
                <w:sz w:val="20"/>
                <w:szCs w:val="20"/>
              </w:rPr>
              <w:t>International Roaming Data for use in Zone 1 Countries</w:t>
            </w:r>
          </w:p>
        </w:tc>
        <w:tc>
          <w:tcPr>
            <w:tcW w:w="2234" w:type="pct"/>
            <w:vAlign w:val="center"/>
          </w:tcPr>
          <w:p w14:paraId="21340DA2" w14:textId="77777777" w:rsidR="00E441CA" w:rsidRPr="00B7364B" w:rsidRDefault="00E441CA" w:rsidP="00E441CA">
            <w:pPr>
              <w:spacing w:before="100" w:after="100"/>
              <w:jc w:val="center"/>
              <w:rPr>
                <w:sz w:val="20"/>
                <w:szCs w:val="20"/>
              </w:rPr>
            </w:pPr>
            <w:r w:rsidRPr="00B7364B">
              <w:rPr>
                <w:sz w:val="20"/>
                <w:szCs w:val="20"/>
              </w:rPr>
              <w:t>1.5GB</w:t>
            </w:r>
          </w:p>
        </w:tc>
      </w:tr>
      <w:tr w:rsidR="00E441CA" w:rsidRPr="00B7364B" w14:paraId="1EE3EAD8" w14:textId="77777777" w:rsidTr="00E441CA">
        <w:tc>
          <w:tcPr>
            <w:tcW w:w="2766" w:type="pct"/>
            <w:shd w:val="clear" w:color="auto" w:fill="auto"/>
          </w:tcPr>
          <w:p w14:paraId="27EA65E1" w14:textId="77777777" w:rsidR="00E441CA" w:rsidRPr="00B7364B" w:rsidRDefault="00E441CA" w:rsidP="00E441CA">
            <w:pPr>
              <w:spacing w:before="100" w:after="100"/>
              <w:rPr>
                <w:b/>
                <w:bCs/>
                <w:sz w:val="20"/>
                <w:szCs w:val="20"/>
              </w:rPr>
            </w:pPr>
            <w:r w:rsidRPr="00B7364B">
              <w:rPr>
                <w:b/>
                <w:bCs/>
                <w:sz w:val="20"/>
                <w:szCs w:val="20"/>
              </w:rPr>
              <w:t xml:space="preserve">Minimum total cost over 24 months </w:t>
            </w:r>
          </w:p>
        </w:tc>
        <w:tc>
          <w:tcPr>
            <w:tcW w:w="2234" w:type="pct"/>
            <w:vAlign w:val="center"/>
          </w:tcPr>
          <w:p w14:paraId="665325F4" w14:textId="77777777" w:rsidR="00E441CA" w:rsidRPr="00B7364B" w:rsidRDefault="00E441CA" w:rsidP="00E441CA">
            <w:pPr>
              <w:spacing w:before="100" w:after="100"/>
              <w:jc w:val="center"/>
              <w:rPr>
                <w:sz w:val="20"/>
                <w:szCs w:val="20"/>
              </w:rPr>
            </w:pPr>
            <w:r w:rsidRPr="00B7364B">
              <w:rPr>
                <w:sz w:val="20"/>
                <w:szCs w:val="20"/>
              </w:rPr>
              <w:t>$3000</w:t>
            </w:r>
          </w:p>
        </w:tc>
      </w:tr>
    </w:tbl>
    <w:p w14:paraId="28B514D8" w14:textId="77777777" w:rsidR="00E441CA" w:rsidRPr="00B7364B" w:rsidRDefault="00E441CA" w:rsidP="00E441CA">
      <w:pPr>
        <w:spacing w:after="120"/>
        <w:jc w:val="center"/>
        <w:rPr>
          <w:rFonts w:cs="Arial"/>
          <w:b/>
          <w:sz w:val="20"/>
          <w:szCs w:val="20"/>
        </w:rPr>
      </w:pPr>
    </w:p>
    <w:p w14:paraId="45ED7B09" w14:textId="77777777" w:rsidR="00E441CA" w:rsidRPr="00B7364B" w:rsidRDefault="00E441CA" w:rsidP="00E441CA">
      <w:pPr>
        <w:spacing w:after="120"/>
        <w:ind w:left="709"/>
        <w:rPr>
          <w:rFonts w:cs="Arial"/>
          <w:sz w:val="20"/>
          <w:szCs w:val="20"/>
        </w:rPr>
      </w:pPr>
      <w:r w:rsidRPr="00B7364B">
        <w:rPr>
          <w:rFonts w:cs="Arial"/>
          <w:b/>
          <w:sz w:val="20"/>
          <w:szCs w:val="20"/>
        </w:rPr>
        <w:t>Table 2 – Other usage types and charges</w:t>
      </w:r>
    </w:p>
    <w:tbl>
      <w:tblPr>
        <w:tblW w:w="949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5244"/>
      </w:tblGrid>
      <w:tr w:rsidR="00E441CA" w:rsidRPr="00B7364B" w14:paraId="2DFA0DB3" w14:textId="77777777" w:rsidTr="00E441CA">
        <w:tc>
          <w:tcPr>
            <w:tcW w:w="4253" w:type="dxa"/>
            <w:shd w:val="clear" w:color="auto" w:fill="auto"/>
          </w:tcPr>
          <w:p w14:paraId="4295D692" w14:textId="77777777" w:rsidR="00E441CA" w:rsidRPr="00B7364B" w:rsidRDefault="00E441CA" w:rsidP="00E441CA">
            <w:pPr>
              <w:rPr>
                <w:rFonts w:eastAsia="Calibri" w:cs="Arial"/>
                <w:b/>
                <w:sz w:val="20"/>
                <w:szCs w:val="20"/>
              </w:rPr>
            </w:pPr>
            <w:r w:rsidRPr="00B7364B">
              <w:rPr>
                <w:rFonts w:eastAsia="Calibri" w:cs="Arial"/>
                <w:b/>
                <w:sz w:val="20"/>
                <w:szCs w:val="20"/>
              </w:rPr>
              <w:t>Usage type</w:t>
            </w:r>
          </w:p>
        </w:tc>
        <w:tc>
          <w:tcPr>
            <w:tcW w:w="5244" w:type="dxa"/>
            <w:shd w:val="clear" w:color="auto" w:fill="auto"/>
            <w:vAlign w:val="center"/>
          </w:tcPr>
          <w:p w14:paraId="095571C3" w14:textId="77777777" w:rsidR="00E441CA" w:rsidRPr="00B7364B" w:rsidRDefault="00E441CA" w:rsidP="00E441CA">
            <w:pPr>
              <w:jc w:val="center"/>
              <w:rPr>
                <w:rFonts w:eastAsia="Calibri" w:cs="Arial"/>
                <w:b/>
                <w:sz w:val="20"/>
                <w:szCs w:val="20"/>
              </w:rPr>
            </w:pPr>
            <w:r w:rsidRPr="00B7364B">
              <w:rPr>
                <w:rFonts w:eastAsia="Calibri" w:cs="Arial"/>
                <w:b/>
                <w:sz w:val="20"/>
                <w:szCs w:val="20"/>
              </w:rPr>
              <w:t>Charge</w:t>
            </w:r>
          </w:p>
        </w:tc>
      </w:tr>
      <w:tr w:rsidR="00E441CA" w:rsidRPr="00B7364B" w14:paraId="51AE9969" w14:textId="77777777" w:rsidTr="00E441CA">
        <w:tc>
          <w:tcPr>
            <w:tcW w:w="4253" w:type="dxa"/>
            <w:shd w:val="clear" w:color="auto" w:fill="auto"/>
          </w:tcPr>
          <w:p w14:paraId="6CEC46EB" w14:textId="77777777" w:rsidR="00E441CA" w:rsidRPr="00B7364B" w:rsidRDefault="00E441CA" w:rsidP="00E441CA">
            <w:pPr>
              <w:spacing w:after="200" w:line="276" w:lineRule="auto"/>
              <w:rPr>
                <w:rFonts w:eastAsia="Calibri" w:cs="Arial"/>
                <w:sz w:val="20"/>
                <w:szCs w:val="20"/>
              </w:rPr>
            </w:pPr>
            <w:r w:rsidRPr="00B7364B">
              <w:rPr>
                <w:rFonts w:eastAsia="Calibri" w:cs="Arial"/>
                <w:b/>
                <w:bCs/>
                <w:sz w:val="20"/>
                <w:szCs w:val="20"/>
              </w:rPr>
              <w:t xml:space="preserve">National video calls </w:t>
            </w:r>
            <w:r w:rsidRPr="00B7364B">
              <w:rPr>
                <w:rFonts w:eastAsia="Calibri" w:cs="Arial"/>
                <w:sz w:val="20"/>
                <w:szCs w:val="20"/>
              </w:rPr>
              <w:t>(per minute)</w:t>
            </w:r>
          </w:p>
        </w:tc>
        <w:tc>
          <w:tcPr>
            <w:tcW w:w="5244" w:type="dxa"/>
            <w:shd w:val="clear" w:color="auto" w:fill="auto"/>
            <w:vAlign w:val="center"/>
          </w:tcPr>
          <w:p w14:paraId="3F699CBB" w14:textId="77777777" w:rsidR="00E441CA" w:rsidRPr="00B7364B" w:rsidRDefault="00E441CA" w:rsidP="00E441CA">
            <w:pPr>
              <w:jc w:val="center"/>
              <w:rPr>
                <w:rFonts w:eastAsia="Calibri" w:cs="Arial"/>
                <w:sz w:val="20"/>
                <w:szCs w:val="20"/>
              </w:rPr>
            </w:pPr>
            <w:r w:rsidRPr="00B7364B">
              <w:rPr>
                <w:rFonts w:eastAsia="Calibri" w:cs="Arial"/>
                <w:sz w:val="20"/>
                <w:szCs w:val="20"/>
              </w:rPr>
              <w:t>$1.00 per min + 40c flagfall</w:t>
            </w:r>
          </w:p>
        </w:tc>
      </w:tr>
      <w:tr w:rsidR="00E441CA" w:rsidRPr="00B7364B" w14:paraId="203BAB60" w14:textId="77777777" w:rsidTr="00E441CA">
        <w:tc>
          <w:tcPr>
            <w:tcW w:w="4253" w:type="dxa"/>
            <w:shd w:val="clear" w:color="auto" w:fill="auto"/>
          </w:tcPr>
          <w:p w14:paraId="32402511" w14:textId="77777777" w:rsidR="00E441CA" w:rsidRPr="00B7364B" w:rsidRDefault="00E441CA" w:rsidP="00E441CA">
            <w:pPr>
              <w:spacing w:line="276" w:lineRule="auto"/>
              <w:rPr>
                <w:rFonts w:eastAsia="Calibri" w:cs="Arial"/>
                <w:sz w:val="20"/>
                <w:szCs w:val="20"/>
              </w:rPr>
            </w:pPr>
            <w:r w:rsidRPr="00B7364B">
              <w:rPr>
                <w:rFonts w:eastAsia="Calibri" w:cs="Arial"/>
                <w:b/>
                <w:bCs/>
                <w:sz w:val="20"/>
                <w:szCs w:val="20"/>
              </w:rPr>
              <w:t xml:space="preserve">VoiceMail Deposits </w:t>
            </w:r>
          </w:p>
        </w:tc>
        <w:tc>
          <w:tcPr>
            <w:tcW w:w="5244" w:type="dxa"/>
            <w:shd w:val="clear" w:color="auto" w:fill="auto"/>
          </w:tcPr>
          <w:p w14:paraId="61DAC16F" w14:textId="77777777" w:rsidR="00E441CA" w:rsidRPr="00B7364B" w:rsidRDefault="00E441CA" w:rsidP="00E441CA">
            <w:pPr>
              <w:jc w:val="center"/>
              <w:rPr>
                <w:rFonts w:eastAsia="Calibri" w:cs="Arial"/>
                <w:sz w:val="20"/>
                <w:szCs w:val="20"/>
              </w:rPr>
            </w:pPr>
            <w:r w:rsidRPr="00B7364B">
              <w:rPr>
                <w:rFonts w:eastAsia="Calibri" w:cs="Arial"/>
                <w:sz w:val="20"/>
                <w:szCs w:val="20"/>
              </w:rPr>
              <w:t>$0 per minute</w:t>
            </w:r>
          </w:p>
        </w:tc>
      </w:tr>
      <w:tr w:rsidR="00E441CA" w:rsidRPr="00B7364B" w14:paraId="5E0E2AB1" w14:textId="77777777" w:rsidTr="00E441CA">
        <w:tc>
          <w:tcPr>
            <w:tcW w:w="4253" w:type="dxa"/>
            <w:shd w:val="clear" w:color="auto" w:fill="auto"/>
          </w:tcPr>
          <w:p w14:paraId="2C2A3281" w14:textId="77777777" w:rsidR="00E441CA" w:rsidRPr="00B7364B" w:rsidRDefault="00E441CA" w:rsidP="00E441CA">
            <w:pPr>
              <w:rPr>
                <w:rFonts w:eastAsia="Calibri" w:cs="Arial"/>
                <w:sz w:val="20"/>
                <w:szCs w:val="20"/>
              </w:rPr>
            </w:pPr>
            <w:r w:rsidRPr="00B7364B">
              <w:rPr>
                <w:rFonts w:eastAsia="Calibri" w:cs="Arial"/>
                <w:b/>
                <w:bCs/>
                <w:sz w:val="20"/>
                <w:szCs w:val="20"/>
              </w:rPr>
              <w:t>Voicemail Diversions</w:t>
            </w:r>
          </w:p>
        </w:tc>
        <w:tc>
          <w:tcPr>
            <w:tcW w:w="5244" w:type="dxa"/>
            <w:shd w:val="clear" w:color="auto" w:fill="auto"/>
          </w:tcPr>
          <w:p w14:paraId="69E05448" w14:textId="77777777" w:rsidR="00E441CA" w:rsidRPr="00B7364B" w:rsidRDefault="00E441CA" w:rsidP="00E441CA">
            <w:pPr>
              <w:jc w:val="center"/>
              <w:rPr>
                <w:rFonts w:eastAsia="Calibri" w:cs="Arial"/>
                <w:sz w:val="20"/>
                <w:szCs w:val="20"/>
              </w:rPr>
            </w:pPr>
            <w:r w:rsidRPr="00B7364B">
              <w:rPr>
                <w:rFonts w:eastAsia="Calibri" w:cs="Arial"/>
                <w:sz w:val="20"/>
                <w:szCs w:val="20"/>
              </w:rPr>
              <w:t>$0 per minute</w:t>
            </w:r>
          </w:p>
        </w:tc>
      </w:tr>
      <w:tr w:rsidR="00E441CA" w:rsidRPr="00B7364B" w14:paraId="1D9B82E2" w14:textId="77777777" w:rsidTr="00E441CA">
        <w:tc>
          <w:tcPr>
            <w:tcW w:w="4253" w:type="dxa"/>
            <w:shd w:val="clear" w:color="auto" w:fill="auto"/>
          </w:tcPr>
          <w:p w14:paraId="6088AEA7" w14:textId="77777777" w:rsidR="00E441CA" w:rsidRPr="00B7364B" w:rsidRDefault="00E441CA" w:rsidP="00E441CA">
            <w:pPr>
              <w:rPr>
                <w:rFonts w:eastAsia="Calibri" w:cs="Arial"/>
                <w:b/>
                <w:bCs/>
                <w:sz w:val="20"/>
                <w:szCs w:val="20"/>
              </w:rPr>
            </w:pPr>
            <w:r w:rsidRPr="00B7364B">
              <w:rPr>
                <w:rFonts w:eastAsia="Calibri" w:cs="Arial"/>
                <w:b/>
                <w:bCs/>
                <w:sz w:val="20"/>
                <w:szCs w:val="20"/>
              </w:rPr>
              <w:t>National Diversions</w:t>
            </w:r>
          </w:p>
        </w:tc>
        <w:tc>
          <w:tcPr>
            <w:tcW w:w="5244" w:type="dxa"/>
            <w:shd w:val="clear" w:color="auto" w:fill="auto"/>
          </w:tcPr>
          <w:p w14:paraId="76A11B26" w14:textId="77777777" w:rsidR="00E441CA" w:rsidRPr="00B7364B" w:rsidRDefault="00E441CA" w:rsidP="00E441CA">
            <w:pPr>
              <w:jc w:val="center"/>
              <w:rPr>
                <w:rFonts w:eastAsia="Calibri" w:cs="Arial"/>
                <w:sz w:val="20"/>
                <w:szCs w:val="20"/>
              </w:rPr>
            </w:pPr>
            <w:r w:rsidRPr="00B7364B">
              <w:rPr>
                <w:rFonts w:eastAsia="Calibri" w:cs="Arial"/>
                <w:sz w:val="20"/>
                <w:szCs w:val="20"/>
              </w:rPr>
              <w:t>$0 per minute</w:t>
            </w:r>
          </w:p>
        </w:tc>
      </w:tr>
      <w:tr w:rsidR="00E441CA" w:rsidRPr="00B7364B" w14:paraId="261A25DC" w14:textId="77777777" w:rsidTr="00E441CA">
        <w:tc>
          <w:tcPr>
            <w:tcW w:w="4253" w:type="dxa"/>
            <w:shd w:val="clear" w:color="auto" w:fill="auto"/>
          </w:tcPr>
          <w:p w14:paraId="71F8D82A" w14:textId="77777777" w:rsidR="00E441CA" w:rsidRPr="00B7364B" w:rsidRDefault="00E441CA" w:rsidP="00E441CA">
            <w:pPr>
              <w:rPr>
                <w:rFonts w:eastAsia="Calibri" w:cs="Arial"/>
                <w:b/>
                <w:bCs/>
                <w:sz w:val="20"/>
                <w:szCs w:val="20"/>
              </w:rPr>
            </w:pPr>
            <w:r w:rsidRPr="00B7364B">
              <w:rPr>
                <w:rFonts w:eastAsia="Calibri" w:cs="Arial"/>
                <w:b/>
                <w:bCs/>
                <w:sz w:val="20"/>
                <w:szCs w:val="20"/>
              </w:rPr>
              <w:t xml:space="preserve">International Diversions </w:t>
            </w:r>
          </w:p>
        </w:tc>
        <w:tc>
          <w:tcPr>
            <w:tcW w:w="5244" w:type="dxa"/>
            <w:shd w:val="clear" w:color="auto" w:fill="auto"/>
          </w:tcPr>
          <w:p w14:paraId="7289A8B5" w14:textId="77777777" w:rsidR="00E441CA" w:rsidRPr="00B7364B" w:rsidRDefault="00E441CA" w:rsidP="00E441CA">
            <w:pPr>
              <w:jc w:val="center"/>
              <w:rPr>
                <w:rFonts w:eastAsia="Calibri" w:cs="Arial"/>
                <w:sz w:val="20"/>
                <w:szCs w:val="20"/>
              </w:rPr>
            </w:pPr>
            <w:r w:rsidRPr="00B7364B">
              <w:rPr>
                <w:rFonts w:eastAsia="Calibri" w:cs="Arial"/>
                <w:sz w:val="20"/>
                <w:szCs w:val="20"/>
              </w:rPr>
              <w:t>‘yes’ international rates</w:t>
            </w:r>
            <w:r w:rsidRPr="00B7364B">
              <w:rPr>
                <w:rFonts w:eastAsia="Calibri" w:cs="Arial"/>
                <w:sz w:val="20"/>
                <w:szCs w:val="20"/>
              </w:rPr>
              <w:br/>
              <w:t>See optus.com.au/international</w:t>
            </w:r>
          </w:p>
        </w:tc>
      </w:tr>
      <w:tr w:rsidR="00E441CA" w:rsidRPr="00B7364B" w14:paraId="00C40F9A" w14:textId="77777777" w:rsidTr="00E441CA">
        <w:tc>
          <w:tcPr>
            <w:tcW w:w="4253" w:type="dxa"/>
            <w:shd w:val="clear" w:color="auto" w:fill="auto"/>
          </w:tcPr>
          <w:p w14:paraId="542B375F" w14:textId="77777777" w:rsidR="00E441CA" w:rsidRPr="00B7364B" w:rsidRDefault="00E441CA" w:rsidP="00E441CA">
            <w:pPr>
              <w:rPr>
                <w:rFonts w:eastAsia="Calibri" w:cs="Arial"/>
                <w:b/>
                <w:bCs/>
                <w:sz w:val="20"/>
                <w:szCs w:val="20"/>
              </w:rPr>
            </w:pPr>
            <w:r w:rsidRPr="00B7364B">
              <w:rPr>
                <w:rFonts w:eastAsia="Calibri" w:cs="Arial"/>
                <w:b/>
                <w:bCs/>
                <w:sz w:val="20"/>
                <w:szCs w:val="20"/>
              </w:rPr>
              <w:t xml:space="preserve">1800 numbers </w:t>
            </w:r>
          </w:p>
        </w:tc>
        <w:tc>
          <w:tcPr>
            <w:tcW w:w="5244" w:type="dxa"/>
            <w:shd w:val="clear" w:color="auto" w:fill="auto"/>
            <w:vAlign w:val="center"/>
          </w:tcPr>
          <w:p w14:paraId="18F8182C" w14:textId="77777777" w:rsidR="00E441CA" w:rsidRPr="00B7364B" w:rsidRDefault="00E441CA" w:rsidP="00E441CA">
            <w:pPr>
              <w:jc w:val="center"/>
              <w:rPr>
                <w:rFonts w:eastAsia="Calibri" w:cs="Arial"/>
                <w:sz w:val="20"/>
                <w:szCs w:val="20"/>
              </w:rPr>
            </w:pPr>
            <w:r w:rsidRPr="00B7364B">
              <w:rPr>
                <w:rFonts w:eastAsia="Calibri" w:cs="Arial"/>
                <w:sz w:val="20"/>
                <w:szCs w:val="20"/>
              </w:rPr>
              <w:t>$0 per minute</w:t>
            </w:r>
          </w:p>
        </w:tc>
      </w:tr>
      <w:tr w:rsidR="00E441CA" w:rsidRPr="00B7364B" w14:paraId="7542495D" w14:textId="77777777" w:rsidTr="00E441CA">
        <w:tc>
          <w:tcPr>
            <w:tcW w:w="4253" w:type="dxa"/>
            <w:shd w:val="clear" w:color="auto" w:fill="auto"/>
          </w:tcPr>
          <w:p w14:paraId="7C974296" w14:textId="77777777" w:rsidR="00E441CA" w:rsidRPr="00B7364B" w:rsidRDefault="00E441CA" w:rsidP="00E441CA">
            <w:pPr>
              <w:rPr>
                <w:rFonts w:eastAsia="Calibri" w:cs="Arial"/>
                <w:b/>
                <w:bCs/>
                <w:sz w:val="20"/>
                <w:szCs w:val="20"/>
              </w:rPr>
            </w:pPr>
            <w:r w:rsidRPr="00B7364B">
              <w:rPr>
                <w:rFonts w:eastAsia="Calibri" w:cs="Arial"/>
                <w:b/>
                <w:bCs/>
                <w:sz w:val="20"/>
                <w:szCs w:val="20"/>
              </w:rPr>
              <w:t xml:space="preserve">Directory Assistance 1223 </w:t>
            </w:r>
          </w:p>
        </w:tc>
        <w:tc>
          <w:tcPr>
            <w:tcW w:w="5244" w:type="dxa"/>
            <w:shd w:val="clear" w:color="auto" w:fill="auto"/>
            <w:vAlign w:val="center"/>
          </w:tcPr>
          <w:p w14:paraId="51E264CF" w14:textId="77777777" w:rsidR="00E441CA" w:rsidRPr="00B7364B" w:rsidRDefault="00E441CA" w:rsidP="00E441CA">
            <w:pPr>
              <w:jc w:val="center"/>
              <w:rPr>
                <w:rFonts w:eastAsia="Calibri" w:cs="Arial"/>
                <w:sz w:val="20"/>
                <w:szCs w:val="20"/>
              </w:rPr>
            </w:pPr>
            <w:r w:rsidRPr="00B7364B">
              <w:rPr>
                <w:rFonts w:eastAsia="Calibri" w:cs="Arial"/>
                <w:sz w:val="20"/>
                <w:szCs w:val="20"/>
              </w:rPr>
              <w:t>50c per call</w:t>
            </w:r>
          </w:p>
        </w:tc>
      </w:tr>
      <w:tr w:rsidR="00E441CA" w:rsidRPr="00B7364B" w14:paraId="386B6738" w14:textId="77777777" w:rsidTr="00E441CA">
        <w:tc>
          <w:tcPr>
            <w:tcW w:w="4253" w:type="dxa"/>
            <w:shd w:val="clear" w:color="auto" w:fill="auto"/>
          </w:tcPr>
          <w:p w14:paraId="0B0571C5" w14:textId="77777777" w:rsidR="00E441CA" w:rsidRPr="00B7364B" w:rsidRDefault="00E441CA" w:rsidP="00E441CA">
            <w:pPr>
              <w:rPr>
                <w:rFonts w:eastAsia="Calibri" w:cs="Arial"/>
                <w:b/>
                <w:bCs/>
                <w:sz w:val="20"/>
                <w:szCs w:val="20"/>
              </w:rPr>
            </w:pPr>
            <w:r w:rsidRPr="00B7364B">
              <w:rPr>
                <w:rFonts w:eastAsia="Calibri" w:cs="Arial"/>
                <w:b/>
                <w:bCs/>
                <w:sz w:val="20"/>
                <w:szCs w:val="20"/>
              </w:rPr>
              <w:t>124 Yes</w:t>
            </w:r>
          </w:p>
        </w:tc>
        <w:tc>
          <w:tcPr>
            <w:tcW w:w="5244" w:type="dxa"/>
            <w:shd w:val="clear" w:color="auto" w:fill="auto"/>
            <w:vAlign w:val="center"/>
          </w:tcPr>
          <w:p w14:paraId="6AEA4524" w14:textId="77777777" w:rsidR="00E441CA" w:rsidRPr="00B7364B" w:rsidRDefault="00E441CA" w:rsidP="00E441CA">
            <w:pPr>
              <w:jc w:val="center"/>
              <w:rPr>
                <w:rFonts w:eastAsia="Calibri" w:cs="Arial"/>
                <w:sz w:val="20"/>
                <w:szCs w:val="20"/>
              </w:rPr>
            </w:pPr>
            <w:r w:rsidRPr="00B7364B">
              <w:rPr>
                <w:rFonts w:eastAsia="Calibri" w:cs="Arial"/>
                <w:sz w:val="20"/>
                <w:szCs w:val="20"/>
              </w:rPr>
              <w:t>90c per minute +$1.75c flagfall</w:t>
            </w:r>
          </w:p>
        </w:tc>
      </w:tr>
      <w:tr w:rsidR="00E441CA" w:rsidRPr="00B7364B" w14:paraId="6BF65EB7" w14:textId="77777777" w:rsidTr="00E441CA">
        <w:tc>
          <w:tcPr>
            <w:tcW w:w="4253" w:type="dxa"/>
            <w:shd w:val="clear" w:color="auto" w:fill="auto"/>
          </w:tcPr>
          <w:p w14:paraId="0B63B3FA" w14:textId="77777777" w:rsidR="00E441CA" w:rsidRPr="00B7364B" w:rsidRDefault="00E441CA" w:rsidP="00E441CA">
            <w:pPr>
              <w:rPr>
                <w:rFonts w:eastAsia="Calibri" w:cs="Arial"/>
                <w:b/>
                <w:bCs/>
                <w:sz w:val="20"/>
                <w:szCs w:val="20"/>
              </w:rPr>
            </w:pPr>
            <w:r w:rsidRPr="00B7364B">
              <w:rPr>
                <w:rFonts w:eastAsia="Calibri" w:cs="Arial"/>
                <w:b/>
                <w:bCs/>
                <w:sz w:val="20"/>
                <w:szCs w:val="20"/>
              </w:rPr>
              <w:t xml:space="preserve">International voice calls (outside the plan’s included international minutes and to excluded countries) </w:t>
            </w:r>
          </w:p>
        </w:tc>
        <w:tc>
          <w:tcPr>
            <w:tcW w:w="5244" w:type="dxa"/>
            <w:shd w:val="clear" w:color="auto" w:fill="auto"/>
            <w:vAlign w:val="center"/>
          </w:tcPr>
          <w:p w14:paraId="0AFC2F20" w14:textId="77777777" w:rsidR="00E441CA" w:rsidRPr="00B7364B" w:rsidRDefault="00E441CA" w:rsidP="00E441CA">
            <w:pPr>
              <w:jc w:val="center"/>
              <w:rPr>
                <w:rFonts w:eastAsia="Calibri" w:cs="Arial"/>
                <w:sz w:val="20"/>
                <w:szCs w:val="20"/>
              </w:rPr>
            </w:pPr>
            <w:r w:rsidRPr="00B7364B">
              <w:rPr>
                <w:rFonts w:eastAsia="Calibri" w:cs="Arial"/>
                <w:sz w:val="20"/>
                <w:szCs w:val="20"/>
              </w:rPr>
              <w:t>‘yes’ international rates</w:t>
            </w:r>
          </w:p>
          <w:p w14:paraId="07A8A609" w14:textId="77777777" w:rsidR="00E441CA" w:rsidRPr="00B7364B" w:rsidRDefault="00E441CA" w:rsidP="00E441CA">
            <w:pPr>
              <w:jc w:val="center"/>
              <w:rPr>
                <w:rFonts w:eastAsia="Calibri" w:cs="Arial"/>
                <w:sz w:val="20"/>
                <w:szCs w:val="20"/>
              </w:rPr>
            </w:pPr>
            <w:r w:rsidRPr="00B7364B">
              <w:rPr>
                <w:rFonts w:eastAsia="Calibri" w:cs="Arial"/>
                <w:sz w:val="20"/>
                <w:szCs w:val="20"/>
              </w:rPr>
              <w:t>See optus.com.au/international</w:t>
            </w:r>
          </w:p>
        </w:tc>
      </w:tr>
      <w:tr w:rsidR="00E441CA" w:rsidRPr="00B7364B" w14:paraId="571EB3F2" w14:textId="77777777" w:rsidTr="00E441CA">
        <w:tc>
          <w:tcPr>
            <w:tcW w:w="4253" w:type="dxa"/>
            <w:shd w:val="clear" w:color="auto" w:fill="auto"/>
          </w:tcPr>
          <w:p w14:paraId="659C7C34" w14:textId="77777777" w:rsidR="00E441CA" w:rsidRPr="00B7364B" w:rsidRDefault="00E441CA" w:rsidP="00E441CA">
            <w:pPr>
              <w:rPr>
                <w:rFonts w:eastAsia="Calibri" w:cs="Arial"/>
                <w:b/>
                <w:bCs/>
                <w:sz w:val="20"/>
                <w:szCs w:val="20"/>
              </w:rPr>
            </w:pPr>
            <w:r w:rsidRPr="00B7364B">
              <w:rPr>
                <w:rFonts w:eastAsia="Calibri" w:cs="Arial"/>
                <w:b/>
                <w:bCs/>
                <w:sz w:val="20"/>
                <w:szCs w:val="20"/>
              </w:rPr>
              <w:t xml:space="preserve">International SMS (to excluded countries) </w:t>
            </w:r>
          </w:p>
        </w:tc>
        <w:tc>
          <w:tcPr>
            <w:tcW w:w="5244" w:type="dxa"/>
            <w:shd w:val="clear" w:color="auto" w:fill="auto"/>
            <w:vAlign w:val="center"/>
          </w:tcPr>
          <w:p w14:paraId="3F55BC1E" w14:textId="77777777" w:rsidR="00E441CA" w:rsidRPr="00B7364B" w:rsidRDefault="00E441CA" w:rsidP="00E441CA">
            <w:pPr>
              <w:jc w:val="center"/>
              <w:rPr>
                <w:rFonts w:eastAsia="Calibri" w:cs="Arial"/>
                <w:sz w:val="20"/>
                <w:szCs w:val="20"/>
              </w:rPr>
            </w:pPr>
            <w:r w:rsidRPr="00B7364B">
              <w:rPr>
                <w:rFonts w:eastAsia="Calibri" w:cs="Arial"/>
                <w:sz w:val="20"/>
                <w:szCs w:val="20"/>
              </w:rPr>
              <w:t>50c per SMS up to 160 standard characters</w:t>
            </w:r>
          </w:p>
        </w:tc>
      </w:tr>
      <w:tr w:rsidR="00E441CA" w:rsidRPr="00B7364B" w14:paraId="3BC4B474" w14:textId="77777777" w:rsidTr="00E441CA">
        <w:tc>
          <w:tcPr>
            <w:tcW w:w="4253" w:type="dxa"/>
            <w:shd w:val="clear" w:color="auto" w:fill="auto"/>
          </w:tcPr>
          <w:p w14:paraId="4FEA3E14" w14:textId="77777777" w:rsidR="00E441CA" w:rsidRPr="00B7364B" w:rsidRDefault="00E441CA" w:rsidP="00E441CA">
            <w:pPr>
              <w:rPr>
                <w:rFonts w:eastAsia="Calibri" w:cs="Arial"/>
                <w:b/>
                <w:bCs/>
                <w:sz w:val="20"/>
                <w:szCs w:val="20"/>
              </w:rPr>
            </w:pPr>
            <w:r w:rsidRPr="00B7364B">
              <w:rPr>
                <w:rFonts w:eastAsia="Calibri" w:cs="Arial"/>
                <w:b/>
                <w:bCs/>
                <w:sz w:val="20"/>
                <w:szCs w:val="20"/>
              </w:rPr>
              <w:t>International MMS (to excluded countries)</w:t>
            </w:r>
          </w:p>
        </w:tc>
        <w:tc>
          <w:tcPr>
            <w:tcW w:w="5244" w:type="dxa"/>
            <w:shd w:val="clear" w:color="auto" w:fill="auto"/>
            <w:vAlign w:val="center"/>
          </w:tcPr>
          <w:p w14:paraId="685C6612" w14:textId="77777777" w:rsidR="00E441CA" w:rsidRPr="00B7364B" w:rsidRDefault="00E441CA" w:rsidP="00E441CA">
            <w:pPr>
              <w:jc w:val="center"/>
              <w:rPr>
                <w:rFonts w:eastAsia="Calibri" w:cs="Arial"/>
                <w:sz w:val="20"/>
                <w:szCs w:val="20"/>
              </w:rPr>
            </w:pPr>
            <w:r w:rsidRPr="00B7364B">
              <w:rPr>
                <w:rFonts w:eastAsia="Calibri" w:cs="Arial"/>
                <w:sz w:val="20"/>
                <w:szCs w:val="20"/>
              </w:rPr>
              <w:t xml:space="preserve">75c per MMS </w:t>
            </w:r>
          </w:p>
        </w:tc>
      </w:tr>
      <w:tr w:rsidR="00E441CA" w:rsidRPr="00B7364B" w14:paraId="5F500E0E" w14:textId="77777777" w:rsidTr="00E441CA">
        <w:tc>
          <w:tcPr>
            <w:tcW w:w="4253" w:type="dxa"/>
            <w:shd w:val="clear" w:color="auto" w:fill="auto"/>
          </w:tcPr>
          <w:p w14:paraId="044B9FE9" w14:textId="77777777" w:rsidR="00E441CA" w:rsidRPr="00B7364B" w:rsidRDefault="00E441CA" w:rsidP="00E441CA">
            <w:pPr>
              <w:rPr>
                <w:rFonts w:eastAsia="Calibri" w:cs="Arial"/>
                <w:b/>
                <w:bCs/>
                <w:sz w:val="20"/>
                <w:szCs w:val="20"/>
              </w:rPr>
            </w:pPr>
            <w:r w:rsidRPr="00B7364B">
              <w:rPr>
                <w:rFonts w:eastAsia="Calibri" w:cs="Arial"/>
                <w:b/>
                <w:bCs/>
                <w:sz w:val="20"/>
                <w:szCs w:val="20"/>
              </w:rPr>
              <w:t xml:space="preserve">International video calling </w:t>
            </w:r>
          </w:p>
        </w:tc>
        <w:tc>
          <w:tcPr>
            <w:tcW w:w="5244" w:type="dxa"/>
            <w:shd w:val="clear" w:color="auto" w:fill="auto"/>
            <w:vAlign w:val="center"/>
          </w:tcPr>
          <w:p w14:paraId="644251FC" w14:textId="77777777" w:rsidR="00E441CA" w:rsidRPr="00B7364B" w:rsidRDefault="00E441CA" w:rsidP="00E441CA">
            <w:pPr>
              <w:jc w:val="center"/>
              <w:rPr>
                <w:rFonts w:eastAsia="Calibri" w:cs="Arial"/>
                <w:sz w:val="20"/>
                <w:szCs w:val="20"/>
              </w:rPr>
            </w:pPr>
            <w:r w:rsidRPr="00B7364B">
              <w:rPr>
                <w:rFonts w:eastAsia="Calibri" w:cs="Arial"/>
                <w:sz w:val="20"/>
                <w:szCs w:val="20"/>
              </w:rPr>
              <w:t>$1.50 per minute +35c flagfall</w:t>
            </w:r>
          </w:p>
        </w:tc>
      </w:tr>
      <w:tr w:rsidR="00E441CA" w:rsidRPr="00B7364B" w14:paraId="100F2179" w14:textId="77777777" w:rsidTr="00E441CA">
        <w:tc>
          <w:tcPr>
            <w:tcW w:w="4253" w:type="dxa"/>
            <w:shd w:val="clear" w:color="auto" w:fill="auto"/>
          </w:tcPr>
          <w:p w14:paraId="1D38234D" w14:textId="77777777" w:rsidR="00E441CA" w:rsidRPr="00B7364B" w:rsidRDefault="00E441CA" w:rsidP="00E441CA">
            <w:pPr>
              <w:rPr>
                <w:rFonts w:eastAsia="Calibri" w:cs="Arial"/>
                <w:b/>
                <w:bCs/>
                <w:sz w:val="20"/>
                <w:szCs w:val="20"/>
              </w:rPr>
            </w:pPr>
            <w:r w:rsidRPr="00B7364B">
              <w:rPr>
                <w:rFonts w:eastAsia="Calibri" w:cs="Arial"/>
                <w:b/>
                <w:bCs/>
                <w:sz w:val="20"/>
                <w:szCs w:val="20"/>
              </w:rPr>
              <w:lastRenderedPageBreak/>
              <w:t xml:space="preserve">International roaming </w:t>
            </w:r>
          </w:p>
        </w:tc>
        <w:tc>
          <w:tcPr>
            <w:tcW w:w="5244" w:type="dxa"/>
            <w:shd w:val="clear" w:color="auto" w:fill="auto"/>
            <w:vAlign w:val="center"/>
          </w:tcPr>
          <w:p w14:paraId="0DAF1040" w14:textId="77777777" w:rsidR="00E441CA" w:rsidRPr="00B7364B" w:rsidRDefault="00E441CA" w:rsidP="00E441CA">
            <w:pPr>
              <w:jc w:val="center"/>
              <w:rPr>
                <w:rFonts w:eastAsia="Calibri" w:cs="Arial"/>
                <w:sz w:val="20"/>
                <w:szCs w:val="20"/>
              </w:rPr>
            </w:pPr>
            <w:r w:rsidRPr="00B7364B">
              <w:rPr>
                <w:rFonts w:eastAsia="Calibri" w:cs="Arial"/>
                <w:sz w:val="20"/>
                <w:szCs w:val="20"/>
              </w:rPr>
              <w:t>See optus.com.au/roaming</w:t>
            </w:r>
          </w:p>
        </w:tc>
      </w:tr>
    </w:tbl>
    <w:p w14:paraId="2F83D79B" w14:textId="77777777" w:rsidR="00E441CA" w:rsidRPr="00B7364B" w:rsidRDefault="00E441CA" w:rsidP="00E441CA">
      <w:pPr>
        <w:spacing w:after="240"/>
        <w:rPr>
          <w:rFonts w:cs="Arial"/>
          <w:b/>
          <w:sz w:val="20"/>
          <w:szCs w:val="20"/>
        </w:rPr>
      </w:pPr>
    </w:p>
    <w:p w14:paraId="6FF31512" w14:textId="77777777" w:rsidR="00E441CA" w:rsidRPr="00B7364B" w:rsidRDefault="00E441CA" w:rsidP="00E441CA">
      <w:pPr>
        <w:spacing w:after="200"/>
        <w:ind w:left="720"/>
        <w:rPr>
          <w:b/>
          <w:sz w:val="20"/>
        </w:rPr>
      </w:pPr>
      <w:r w:rsidRPr="00B7364B">
        <w:rPr>
          <w:b/>
          <w:sz w:val="20"/>
        </w:rPr>
        <w:t>Table 3 – International Countries</w:t>
      </w:r>
    </w:p>
    <w:tbl>
      <w:tblPr>
        <w:tblW w:w="882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5"/>
        <w:gridCol w:w="2205"/>
        <w:gridCol w:w="2205"/>
        <w:gridCol w:w="2205"/>
      </w:tblGrid>
      <w:tr w:rsidR="00E441CA" w:rsidRPr="00B7364B" w14:paraId="65883026" w14:textId="77777777" w:rsidTr="00E441CA">
        <w:tc>
          <w:tcPr>
            <w:tcW w:w="2205" w:type="dxa"/>
            <w:shd w:val="clear" w:color="auto" w:fill="auto"/>
          </w:tcPr>
          <w:p w14:paraId="5B7C437B" w14:textId="77777777" w:rsidR="00E441CA" w:rsidRPr="00B7364B" w:rsidRDefault="00E441CA" w:rsidP="00E441CA">
            <w:pPr>
              <w:spacing w:before="100" w:after="100"/>
              <w:rPr>
                <w:b/>
                <w:sz w:val="20"/>
              </w:rPr>
            </w:pPr>
            <w:r w:rsidRPr="00B7364B">
              <w:rPr>
                <w:sz w:val="20"/>
              </w:rPr>
              <w:t>Canada</w:t>
            </w:r>
          </w:p>
        </w:tc>
        <w:tc>
          <w:tcPr>
            <w:tcW w:w="2205" w:type="dxa"/>
            <w:shd w:val="clear" w:color="auto" w:fill="auto"/>
          </w:tcPr>
          <w:p w14:paraId="4935ADE9" w14:textId="77777777" w:rsidR="00E441CA" w:rsidRPr="00B7364B" w:rsidRDefault="00E441CA" w:rsidP="00E441CA">
            <w:pPr>
              <w:spacing w:before="100" w:after="100"/>
              <w:rPr>
                <w:b/>
                <w:sz w:val="20"/>
              </w:rPr>
            </w:pPr>
            <w:r w:rsidRPr="00B7364B">
              <w:rPr>
                <w:sz w:val="20"/>
              </w:rPr>
              <w:t>China</w:t>
            </w:r>
          </w:p>
        </w:tc>
        <w:tc>
          <w:tcPr>
            <w:tcW w:w="2205" w:type="dxa"/>
            <w:shd w:val="clear" w:color="auto" w:fill="auto"/>
          </w:tcPr>
          <w:p w14:paraId="2B5D9086" w14:textId="77777777" w:rsidR="00E441CA" w:rsidRPr="00B7364B" w:rsidRDefault="00E441CA" w:rsidP="00E441CA">
            <w:pPr>
              <w:spacing w:before="100" w:after="100"/>
              <w:rPr>
                <w:b/>
                <w:sz w:val="20"/>
              </w:rPr>
            </w:pPr>
            <w:r w:rsidRPr="00B7364B">
              <w:rPr>
                <w:sz w:val="20"/>
              </w:rPr>
              <w:t>Hong Kong</w:t>
            </w:r>
          </w:p>
        </w:tc>
        <w:tc>
          <w:tcPr>
            <w:tcW w:w="2205" w:type="dxa"/>
            <w:shd w:val="clear" w:color="auto" w:fill="auto"/>
          </w:tcPr>
          <w:p w14:paraId="3F7E2618" w14:textId="77777777" w:rsidR="00E441CA" w:rsidRPr="00B7364B" w:rsidRDefault="00E441CA" w:rsidP="00E441CA">
            <w:pPr>
              <w:spacing w:before="100" w:after="100"/>
              <w:rPr>
                <w:b/>
                <w:sz w:val="20"/>
              </w:rPr>
            </w:pPr>
            <w:r w:rsidRPr="00B7364B">
              <w:rPr>
                <w:sz w:val="20"/>
              </w:rPr>
              <w:t>India</w:t>
            </w:r>
          </w:p>
        </w:tc>
      </w:tr>
      <w:tr w:rsidR="00E441CA" w:rsidRPr="00B7364B" w14:paraId="2C9F80E2" w14:textId="77777777" w:rsidTr="00E441CA">
        <w:tc>
          <w:tcPr>
            <w:tcW w:w="2205" w:type="dxa"/>
            <w:shd w:val="clear" w:color="auto" w:fill="auto"/>
          </w:tcPr>
          <w:p w14:paraId="34ABFBF2" w14:textId="77777777" w:rsidR="00E441CA" w:rsidRPr="00B7364B" w:rsidRDefault="00E441CA" w:rsidP="00E441CA">
            <w:pPr>
              <w:spacing w:before="100" w:after="100"/>
              <w:rPr>
                <w:b/>
                <w:sz w:val="20"/>
              </w:rPr>
            </w:pPr>
            <w:r w:rsidRPr="00B7364B">
              <w:rPr>
                <w:sz w:val="20"/>
              </w:rPr>
              <w:t>Indonesia</w:t>
            </w:r>
          </w:p>
        </w:tc>
        <w:tc>
          <w:tcPr>
            <w:tcW w:w="2205" w:type="dxa"/>
            <w:shd w:val="clear" w:color="auto" w:fill="auto"/>
          </w:tcPr>
          <w:p w14:paraId="44ED3A19" w14:textId="77777777" w:rsidR="00E441CA" w:rsidRPr="00B7364B" w:rsidRDefault="00E441CA" w:rsidP="00E441CA">
            <w:pPr>
              <w:spacing w:before="100" w:after="100"/>
              <w:rPr>
                <w:b/>
                <w:sz w:val="20"/>
              </w:rPr>
            </w:pPr>
            <w:r w:rsidRPr="00B7364B">
              <w:rPr>
                <w:sz w:val="20"/>
              </w:rPr>
              <w:t>Malaysia</w:t>
            </w:r>
          </w:p>
        </w:tc>
        <w:tc>
          <w:tcPr>
            <w:tcW w:w="2205" w:type="dxa"/>
            <w:shd w:val="clear" w:color="auto" w:fill="auto"/>
          </w:tcPr>
          <w:p w14:paraId="5BDA99FC" w14:textId="77777777" w:rsidR="00E441CA" w:rsidRPr="00B7364B" w:rsidRDefault="00E441CA" w:rsidP="00E441CA">
            <w:pPr>
              <w:spacing w:before="100" w:after="100"/>
              <w:rPr>
                <w:b/>
                <w:sz w:val="20"/>
              </w:rPr>
            </w:pPr>
            <w:r w:rsidRPr="00B7364B">
              <w:rPr>
                <w:sz w:val="20"/>
              </w:rPr>
              <w:t>New Zealand</w:t>
            </w:r>
          </w:p>
        </w:tc>
        <w:tc>
          <w:tcPr>
            <w:tcW w:w="2205" w:type="dxa"/>
            <w:shd w:val="clear" w:color="auto" w:fill="auto"/>
          </w:tcPr>
          <w:p w14:paraId="6C524EA2" w14:textId="77777777" w:rsidR="00E441CA" w:rsidRPr="00B7364B" w:rsidRDefault="00E441CA" w:rsidP="00E441CA">
            <w:pPr>
              <w:spacing w:before="100" w:after="100"/>
              <w:rPr>
                <w:b/>
                <w:sz w:val="20"/>
              </w:rPr>
            </w:pPr>
            <w:r w:rsidRPr="00B7364B">
              <w:rPr>
                <w:sz w:val="20"/>
              </w:rPr>
              <w:t>Singapore</w:t>
            </w:r>
          </w:p>
        </w:tc>
      </w:tr>
      <w:tr w:rsidR="00E441CA" w:rsidRPr="00B7364B" w14:paraId="3EF6094B" w14:textId="77777777" w:rsidTr="00E441CA">
        <w:tc>
          <w:tcPr>
            <w:tcW w:w="2205" w:type="dxa"/>
            <w:shd w:val="clear" w:color="auto" w:fill="auto"/>
          </w:tcPr>
          <w:p w14:paraId="7E202475" w14:textId="77777777" w:rsidR="00E441CA" w:rsidRPr="00B7364B" w:rsidRDefault="00E441CA" w:rsidP="00E441CA">
            <w:pPr>
              <w:spacing w:before="100" w:after="100"/>
              <w:rPr>
                <w:b/>
                <w:sz w:val="20"/>
              </w:rPr>
            </w:pPr>
            <w:r w:rsidRPr="00B7364B">
              <w:rPr>
                <w:sz w:val="20"/>
              </w:rPr>
              <w:t>South Africa</w:t>
            </w:r>
          </w:p>
        </w:tc>
        <w:tc>
          <w:tcPr>
            <w:tcW w:w="2205" w:type="dxa"/>
            <w:shd w:val="clear" w:color="auto" w:fill="auto"/>
          </w:tcPr>
          <w:p w14:paraId="32238BD9" w14:textId="77777777" w:rsidR="00E441CA" w:rsidRPr="00B7364B" w:rsidRDefault="00E441CA" w:rsidP="00E441CA">
            <w:pPr>
              <w:spacing w:before="100" w:after="100"/>
              <w:rPr>
                <w:b/>
                <w:sz w:val="20"/>
              </w:rPr>
            </w:pPr>
            <w:r w:rsidRPr="00B7364B">
              <w:rPr>
                <w:sz w:val="20"/>
              </w:rPr>
              <w:t>South Korea</w:t>
            </w:r>
          </w:p>
        </w:tc>
        <w:tc>
          <w:tcPr>
            <w:tcW w:w="2205" w:type="dxa"/>
            <w:shd w:val="clear" w:color="auto" w:fill="auto"/>
          </w:tcPr>
          <w:p w14:paraId="18B8DAAD" w14:textId="77777777" w:rsidR="00E441CA" w:rsidRPr="00B7364B" w:rsidRDefault="00E441CA" w:rsidP="00E441CA">
            <w:pPr>
              <w:spacing w:before="100" w:after="100"/>
              <w:rPr>
                <w:b/>
                <w:sz w:val="20"/>
              </w:rPr>
            </w:pPr>
            <w:r w:rsidRPr="00B7364B">
              <w:rPr>
                <w:sz w:val="20"/>
              </w:rPr>
              <w:t>Thailand</w:t>
            </w:r>
          </w:p>
        </w:tc>
        <w:tc>
          <w:tcPr>
            <w:tcW w:w="2205" w:type="dxa"/>
            <w:shd w:val="clear" w:color="auto" w:fill="auto"/>
          </w:tcPr>
          <w:p w14:paraId="06A9E655" w14:textId="77777777" w:rsidR="00E441CA" w:rsidRPr="00B7364B" w:rsidRDefault="00E441CA" w:rsidP="00E441CA">
            <w:pPr>
              <w:spacing w:before="100" w:after="100"/>
              <w:rPr>
                <w:b/>
                <w:sz w:val="20"/>
              </w:rPr>
            </w:pPr>
            <w:r w:rsidRPr="00B7364B">
              <w:rPr>
                <w:sz w:val="20"/>
              </w:rPr>
              <w:t>United Kingdom</w:t>
            </w:r>
          </w:p>
        </w:tc>
      </w:tr>
      <w:tr w:rsidR="00E441CA" w:rsidRPr="00B7364B" w14:paraId="0355D57C" w14:textId="77777777" w:rsidTr="00E441CA">
        <w:tc>
          <w:tcPr>
            <w:tcW w:w="2205" w:type="dxa"/>
            <w:shd w:val="clear" w:color="auto" w:fill="auto"/>
          </w:tcPr>
          <w:p w14:paraId="7FCF67D8" w14:textId="77777777" w:rsidR="00E441CA" w:rsidRPr="00B7364B" w:rsidRDefault="00E441CA" w:rsidP="00E441CA">
            <w:pPr>
              <w:spacing w:before="100" w:after="100"/>
              <w:rPr>
                <w:b/>
                <w:sz w:val="20"/>
              </w:rPr>
            </w:pPr>
            <w:r w:rsidRPr="00B7364B">
              <w:rPr>
                <w:sz w:val="20"/>
              </w:rPr>
              <w:t>USA</w:t>
            </w:r>
          </w:p>
        </w:tc>
        <w:tc>
          <w:tcPr>
            <w:tcW w:w="2205" w:type="dxa"/>
            <w:shd w:val="clear" w:color="auto" w:fill="auto"/>
          </w:tcPr>
          <w:p w14:paraId="52CFD55C" w14:textId="77777777" w:rsidR="00E441CA" w:rsidRPr="00B7364B" w:rsidRDefault="00E441CA" w:rsidP="00E441CA">
            <w:pPr>
              <w:spacing w:before="100" w:after="100"/>
              <w:rPr>
                <w:b/>
                <w:sz w:val="20"/>
              </w:rPr>
            </w:pPr>
            <w:r w:rsidRPr="00B7364B">
              <w:rPr>
                <w:sz w:val="20"/>
              </w:rPr>
              <w:t>Vietnam</w:t>
            </w:r>
          </w:p>
        </w:tc>
        <w:tc>
          <w:tcPr>
            <w:tcW w:w="2205" w:type="dxa"/>
            <w:shd w:val="clear" w:color="auto" w:fill="auto"/>
          </w:tcPr>
          <w:p w14:paraId="0A39090F" w14:textId="77777777" w:rsidR="00E441CA" w:rsidRPr="00B7364B" w:rsidRDefault="00E441CA" w:rsidP="00E441CA">
            <w:pPr>
              <w:spacing w:before="100" w:after="100"/>
              <w:rPr>
                <w:b/>
                <w:sz w:val="20"/>
              </w:rPr>
            </w:pPr>
          </w:p>
        </w:tc>
        <w:tc>
          <w:tcPr>
            <w:tcW w:w="2205" w:type="dxa"/>
            <w:shd w:val="clear" w:color="auto" w:fill="auto"/>
          </w:tcPr>
          <w:p w14:paraId="491D47BC" w14:textId="77777777" w:rsidR="00E441CA" w:rsidRPr="00B7364B" w:rsidRDefault="00E441CA" w:rsidP="00E441CA">
            <w:pPr>
              <w:spacing w:before="100" w:after="100"/>
              <w:rPr>
                <w:b/>
                <w:sz w:val="20"/>
              </w:rPr>
            </w:pPr>
          </w:p>
        </w:tc>
      </w:tr>
    </w:tbl>
    <w:p w14:paraId="0EEBB5E4" w14:textId="77777777" w:rsidR="00E441CA" w:rsidRDefault="00E441CA" w:rsidP="00E441CA">
      <w:pPr>
        <w:spacing w:after="200"/>
        <w:outlineLvl w:val="5"/>
        <w:rPr>
          <w:rFonts w:eastAsia="Times New Roman" w:cs="Arial"/>
          <w:sz w:val="20"/>
          <w:szCs w:val="20"/>
          <w:lang w:val="en-AU"/>
        </w:rPr>
      </w:pPr>
    </w:p>
    <w:p w14:paraId="03AD9604" w14:textId="77777777" w:rsidR="00E441CA" w:rsidRPr="00B7364B" w:rsidRDefault="00E441CA" w:rsidP="00E441CA">
      <w:pPr>
        <w:numPr>
          <w:ilvl w:val="5"/>
          <w:numId w:val="1"/>
        </w:numPr>
        <w:spacing w:after="200"/>
        <w:outlineLvl w:val="5"/>
        <w:rPr>
          <w:rFonts w:eastAsia="Times New Roman" w:cs="Arial"/>
          <w:sz w:val="20"/>
          <w:szCs w:val="20"/>
          <w:lang w:val="en-AU"/>
        </w:rPr>
      </w:pPr>
      <w:r w:rsidRPr="00B7364B">
        <w:rPr>
          <w:rFonts w:eastAsia="Times New Roman" w:cs="Arial"/>
          <w:sz w:val="20"/>
          <w:szCs w:val="20"/>
          <w:lang w:val="en-AU"/>
        </w:rPr>
        <w:t>My Account</w:t>
      </w:r>
    </w:p>
    <w:p w14:paraId="3560D50C" w14:textId="77777777" w:rsidR="000D07EA" w:rsidRDefault="00E441CA" w:rsidP="00E441CA">
      <w:pPr>
        <w:pStyle w:val="BodyText"/>
        <w:rPr>
          <w:rFonts w:eastAsia="Times New Roman" w:cs="Arial"/>
          <w:szCs w:val="20"/>
          <w:lang w:val="en-AU"/>
        </w:rPr>
      </w:pPr>
      <w:r w:rsidRPr="00B7364B">
        <w:rPr>
          <w:rFonts w:eastAsia="Times New Roman" w:cs="Arial"/>
          <w:szCs w:val="20"/>
          <w:lang w:val="en-AU"/>
        </w:rPr>
        <w:t xml:space="preserve">Services that share data may have a service login to My Account which will display all of the service numbers contributing to or using the shared data pool on </w:t>
      </w:r>
      <w:r w:rsidRPr="00B7364B">
        <w:rPr>
          <w:rFonts w:eastAsia="Times New Roman" w:cs="Arial"/>
          <w:i/>
          <w:szCs w:val="20"/>
          <w:lang w:val="en-AU"/>
        </w:rPr>
        <w:t xml:space="preserve">your </w:t>
      </w:r>
      <w:r w:rsidRPr="00B7364B">
        <w:rPr>
          <w:rFonts w:eastAsia="Times New Roman" w:cs="Arial"/>
          <w:szCs w:val="20"/>
          <w:lang w:val="en-AU"/>
        </w:rPr>
        <w:t xml:space="preserve">account and the amount of data each service has used. If </w:t>
      </w:r>
      <w:r w:rsidRPr="00B7364B">
        <w:rPr>
          <w:rFonts w:eastAsia="Times New Roman" w:cs="Arial"/>
          <w:i/>
          <w:szCs w:val="20"/>
          <w:lang w:val="en-AU"/>
        </w:rPr>
        <w:t>you</w:t>
      </w:r>
      <w:r w:rsidRPr="00B7364B">
        <w:rPr>
          <w:rFonts w:eastAsia="Times New Roman" w:cs="Arial"/>
          <w:szCs w:val="20"/>
          <w:lang w:val="en-AU"/>
        </w:rPr>
        <w:t xml:space="preserve"> have more than 6 services on </w:t>
      </w:r>
      <w:r w:rsidRPr="00B7364B">
        <w:rPr>
          <w:rFonts w:eastAsia="Times New Roman" w:cs="Arial"/>
          <w:i/>
          <w:szCs w:val="20"/>
          <w:lang w:val="en-AU"/>
        </w:rPr>
        <w:t>your</w:t>
      </w:r>
      <w:r w:rsidRPr="00B7364B">
        <w:rPr>
          <w:rFonts w:eastAsia="Times New Roman" w:cs="Arial"/>
          <w:szCs w:val="20"/>
          <w:lang w:val="en-AU"/>
        </w:rPr>
        <w:t xml:space="preserve"> account, My Account may not be suitable for viewing usage and managing </w:t>
      </w:r>
      <w:r w:rsidRPr="00B7364B">
        <w:rPr>
          <w:rFonts w:eastAsia="Times New Roman" w:cs="Arial"/>
          <w:i/>
          <w:szCs w:val="20"/>
          <w:lang w:val="en-AU"/>
        </w:rPr>
        <w:t xml:space="preserve">your </w:t>
      </w:r>
      <w:r w:rsidRPr="00B7364B">
        <w:rPr>
          <w:rFonts w:eastAsia="Times New Roman" w:cs="Arial"/>
          <w:szCs w:val="20"/>
          <w:lang w:val="en-AU"/>
        </w:rPr>
        <w:t>usage alerts.</w:t>
      </w:r>
    </w:p>
    <w:p w14:paraId="5ED9ECAC" w14:textId="77777777" w:rsidR="00735147" w:rsidRPr="00AD1F6F" w:rsidRDefault="00735147" w:rsidP="00735147">
      <w:pPr>
        <w:pStyle w:val="Heading4"/>
        <w:ind w:left="709" w:hanging="709"/>
      </w:pPr>
      <w:bookmarkStart w:id="1569" w:name="_Toc474502954"/>
      <w:bookmarkStart w:id="1570" w:name="_Toc489971220"/>
      <w:bookmarkStart w:id="1571" w:name="_Toc62644687"/>
      <w:r>
        <w:t>$90</w:t>
      </w:r>
      <w:r w:rsidRPr="00AD1F6F">
        <w:t xml:space="preserve"> My Pla</w:t>
      </w:r>
      <w:r>
        <w:t>n Business + Tech Fund Bonus + Business Plan Data Promotion (Feb/April 2017</w:t>
      </w:r>
      <w:r w:rsidRPr="00AD1F6F">
        <w:t>)</w:t>
      </w:r>
      <w:bookmarkEnd w:id="1569"/>
      <w:bookmarkEnd w:id="1570"/>
      <w:bookmarkEnd w:id="1571"/>
    </w:p>
    <w:p w14:paraId="69596EFA" w14:textId="77777777" w:rsidR="00735147" w:rsidRDefault="00735147" w:rsidP="00735147">
      <w:pPr>
        <w:spacing w:after="200"/>
        <w:outlineLvl w:val="6"/>
        <w:rPr>
          <w:iCs/>
          <w:sz w:val="20"/>
        </w:rPr>
      </w:pPr>
      <w:r w:rsidRPr="00AD1F6F">
        <w:rPr>
          <w:iCs/>
          <w:sz w:val="20"/>
        </w:rPr>
        <w:t xml:space="preserve">This section relates to a promotion offered to new and re-contracting customers who </w:t>
      </w:r>
      <w:r>
        <w:rPr>
          <w:iCs/>
          <w:sz w:val="20"/>
        </w:rPr>
        <w:t xml:space="preserve">sign up or recontract to one of the plans.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393"/>
        <w:gridCol w:w="3398"/>
      </w:tblGrid>
      <w:tr w:rsidR="00735147" w:rsidRPr="007774A1" w14:paraId="04BF8E58" w14:textId="77777777" w:rsidTr="00735147">
        <w:tc>
          <w:tcPr>
            <w:tcW w:w="3471" w:type="dxa"/>
            <w:shd w:val="clear" w:color="auto" w:fill="auto"/>
          </w:tcPr>
          <w:p w14:paraId="27036DA0" w14:textId="77777777" w:rsidR="00735147" w:rsidRPr="007774A1" w:rsidRDefault="00735147" w:rsidP="00735147">
            <w:pPr>
              <w:spacing w:after="200"/>
              <w:outlineLvl w:val="6"/>
              <w:rPr>
                <w:iCs/>
                <w:sz w:val="20"/>
              </w:rPr>
            </w:pPr>
            <w:r w:rsidRPr="007774A1">
              <w:rPr>
                <w:iCs/>
                <w:sz w:val="20"/>
              </w:rPr>
              <w:t>Plan Name</w:t>
            </w:r>
          </w:p>
        </w:tc>
        <w:tc>
          <w:tcPr>
            <w:tcW w:w="3471" w:type="dxa"/>
            <w:shd w:val="clear" w:color="auto" w:fill="auto"/>
          </w:tcPr>
          <w:p w14:paraId="49914FD1" w14:textId="77777777" w:rsidR="00735147" w:rsidRPr="007774A1" w:rsidRDefault="00735147" w:rsidP="00735147">
            <w:pPr>
              <w:spacing w:after="200"/>
              <w:outlineLvl w:val="6"/>
              <w:rPr>
                <w:iCs/>
                <w:sz w:val="20"/>
              </w:rPr>
            </w:pPr>
            <w:r w:rsidRPr="007774A1">
              <w:rPr>
                <w:iCs/>
                <w:sz w:val="20"/>
              </w:rPr>
              <w:t>Plan ID</w:t>
            </w:r>
          </w:p>
        </w:tc>
        <w:tc>
          <w:tcPr>
            <w:tcW w:w="3472" w:type="dxa"/>
            <w:shd w:val="clear" w:color="auto" w:fill="auto"/>
          </w:tcPr>
          <w:p w14:paraId="66AFE3B5" w14:textId="77777777" w:rsidR="00735147" w:rsidRPr="007774A1" w:rsidRDefault="00735147" w:rsidP="00735147">
            <w:pPr>
              <w:spacing w:after="200"/>
              <w:outlineLvl w:val="6"/>
              <w:rPr>
                <w:iCs/>
                <w:sz w:val="20"/>
              </w:rPr>
            </w:pPr>
            <w:r w:rsidRPr="007774A1">
              <w:rPr>
                <w:iCs/>
                <w:sz w:val="20"/>
              </w:rPr>
              <w:t xml:space="preserve">Available </w:t>
            </w:r>
          </w:p>
        </w:tc>
      </w:tr>
      <w:tr w:rsidR="00735147" w:rsidRPr="007774A1" w14:paraId="6D5A6048" w14:textId="77777777" w:rsidTr="00735147">
        <w:tc>
          <w:tcPr>
            <w:tcW w:w="3471" w:type="dxa"/>
            <w:shd w:val="clear" w:color="auto" w:fill="auto"/>
          </w:tcPr>
          <w:p w14:paraId="43C4758C" w14:textId="77777777" w:rsidR="00735147" w:rsidRPr="007774A1" w:rsidRDefault="00735147" w:rsidP="00735147">
            <w:pPr>
              <w:spacing w:after="200"/>
              <w:outlineLvl w:val="6"/>
              <w:rPr>
                <w:iCs/>
                <w:sz w:val="20"/>
              </w:rPr>
            </w:pPr>
            <w:r w:rsidRPr="007774A1">
              <w:rPr>
                <w:iCs/>
                <w:sz w:val="20"/>
              </w:rPr>
              <w:t>$90 My Plan Business</w:t>
            </w:r>
          </w:p>
        </w:tc>
        <w:tc>
          <w:tcPr>
            <w:tcW w:w="3471" w:type="dxa"/>
            <w:shd w:val="clear" w:color="auto" w:fill="auto"/>
          </w:tcPr>
          <w:p w14:paraId="62DE62CF" w14:textId="77777777" w:rsidR="00735147" w:rsidRPr="007774A1" w:rsidRDefault="00735147" w:rsidP="00735147">
            <w:pPr>
              <w:spacing w:after="200"/>
              <w:outlineLvl w:val="6"/>
              <w:rPr>
                <w:iCs/>
                <w:sz w:val="20"/>
              </w:rPr>
            </w:pPr>
            <w:r w:rsidRPr="007774A1">
              <w:rPr>
                <w:iCs/>
                <w:sz w:val="20"/>
              </w:rPr>
              <w:t>800569</w:t>
            </w:r>
          </w:p>
        </w:tc>
        <w:tc>
          <w:tcPr>
            <w:tcW w:w="3472" w:type="dxa"/>
            <w:shd w:val="clear" w:color="auto" w:fill="auto"/>
          </w:tcPr>
          <w:p w14:paraId="08818F12" w14:textId="77777777" w:rsidR="00735147" w:rsidRPr="007774A1" w:rsidRDefault="00735147" w:rsidP="00735147">
            <w:pPr>
              <w:spacing w:after="200"/>
              <w:outlineLvl w:val="6"/>
              <w:rPr>
                <w:iCs/>
                <w:sz w:val="20"/>
              </w:rPr>
            </w:pPr>
            <w:r w:rsidRPr="007774A1">
              <w:rPr>
                <w:iCs/>
                <w:sz w:val="20"/>
              </w:rPr>
              <w:t>1 February 2017 – 26 March 2017</w:t>
            </w:r>
            <w:r w:rsidRPr="007774A1">
              <w:rPr>
                <w:iCs/>
                <w:sz w:val="20"/>
              </w:rPr>
              <w:br/>
              <w:t>3 April 2017 - 4 June 2017</w:t>
            </w:r>
          </w:p>
        </w:tc>
      </w:tr>
      <w:tr w:rsidR="00735147" w:rsidRPr="007774A1" w14:paraId="349F9BA6" w14:textId="77777777" w:rsidTr="00735147">
        <w:tc>
          <w:tcPr>
            <w:tcW w:w="3471" w:type="dxa"/>
            <w:shd w:val="clear" w:color="auto" w:fill="auto"/>
          </w:tcPr>
          <w:p w14:paraId="3F2C9395" w14:textId="77777777" w:rsidR="00735147" w:rsidRPr="007774A1" w:rsidRDefault="00735147" w:rsidP="00735147">
            <w:pPr>
              <w:spacing w:after="200"/>
              <w:outlineLvl w:val="6"/>
              <w:rPr>
                <w:iCs/>
                <w:sz w:val="20"/>
              </w:rPr>
            </w:pPr>
            <w:r w:rsidRPr="007774A1">
              <w:rPr>
                <w:iCs/>
                <w:sz w:val="20"/>
              </w:rPr>
              <w:t>$90 My Plan Business Tech Fund</w:t>
            </w:r>
          </w:p>
        </w:tc>
        <w:tc>
          <w:tcPr>
            <w:tcW w:w="3471" w:type="dxa"/>
            <w:shd w:val="clear" w:color="auto" w:fill="auto"/>
          </w:tcPr>
          <w:p w14:paraId="2C26847C" w14:textId="77777777" w:rsidR="00735147" w:rsidRPr="007774A1" w:rsidRDefault="00735147" w:rsidP="00735147">
            <w:pPr>
              <w:spacing w:after="200"/>
              <w:outlineLvl w:val="6"/>
              <w:rPr>
                <w:iCs/>
                <w:sz w:val="20"/>
              </w:rPr>
            </w:pPr>
            <w:r w:rsidRPr="007774A1">
              <w:rPr>
                <w:iCs/>
                <w:sz w:val="20"/>
              </w:rPr>
              <w:t>800571</w:t>
            </w:r>
          </w:p>
        </w:tc>
        <w:tc>
          <w:tcPr>
            <w:tcW w:w="3472" w:type="dxa"/>
            <w:shd w:val="clear" w:color="auto" w:fill="auto"/>
          </w:tcPr>
          <w:p w14:paraId="5CB55C37" w14:textId="77777777" w:rsidR="00735147" w:rsidRPr="007774A1" w:rsidRDefault="00735147" w:rsidP="00735147">
            <w:pPr>
              <w:spacing w:after="200"/>
              <w:outlineLvl w:val="6"/>
              <w:rPr>
                <w:iCs/>
                <w:sz w:val="20"/>
              </w:rPr>
            </w:pPr>
            <w:r w:rsidRPr="007774A1">
              <w:rPr>
                <w:iCs/>
                <w:sz w:val="20"/>
              </w:rPr>
              <w:t>1 February 2017 – 26 March 2017</w:t>
            </w:r>
            <w:r w:rsidRPr="007774A1">
              <w:rPr>
                <w:iCs/>
                <w:sz w:val="20"/>
              </w:rPr>
              <w:br/>
              <w:t>3 April 2017 - 4 June 2017</w:t>
            </w:r>
          </w:p>
        </w:tc>
      </w:tr>
      <w:tr w:rsidR="00735147" w:rsidRPr="007774A1" w14:paraId="13A3F27D" w14:textId="77777777" w:rsidTr="00735147">
        <w:tc>
          <w:tcPr>
            <w:tcW w:w="3471" w:type="dxa"/>
            <w:shd w:val="clear" w:color="auto" w:fill="auto"/>
          </w:tcPr>
          <w:p w14:paraId="6A22F7D5" w14:textId="77777777" w:rsidR="00735147" w:rsidRPr="007774A1" w:rsidRDefault="00735147" w:rsidP="00735147">
            <w:pPr>
              <w:spacing w:after="200"/>
              <w:outlineLvl w:val="6"/>
              <w:rPr>
                <w:iCs/>
                <w:sz w:val="20"/>
              </w:rPr>
            </w:pPr>
            <w:r w:rsidRPr="007774A1">
              <w:rPr>
                <w:iCs/>
                <w:sz w:val="20"/>
              </w:rPr>
              <w:t>$90 Business Plan</w:t>
            </w:r>
          </w:p>
        </w:tc>
        <w:tc>
          <w:tcPr>
            <w:tcW w:w="3471" w:type="dxa"/>
            <w:shd w:val="clear" w:color="auto" w:fill="auto"/>
          </w:tcPr>
          <w:p w14:paraId="5A8A9FFC" w14:textId="77777777" w:rsidR="00735147" w:rsidRPr="007774A1" w:rsidRDefault="00735147" w:rsidP="00735147">
            <w:pPr>
              <w:spacing w:after="200"/>
              <w:outlineLvl w:val="6"/>
              <w:rPr>
                <w:iCs/>
                <w:sz w:val="20"/>
              </w:rPr>
            </w:pPr>
            <w:r w:rsidRPr="007774A1">
              <w:rPr>
                <w:iCs/>
                <w:sz w:val="20"/>
              </w:rPr>
              <w:t>800628</w:t>
            </w:r>
          </w:p>
        </w:tc>
        <w:tc>
          <w:tcPr>
            <w:tcW w:w="3472" w:type="dxa"/>
            <w:shd w:val="clear" w:color="auto" w:fill="auto"/>
          </w:tcPr>
          <w:p w14:paraId="13287F2F" w14:textId="77777777" w:rsidR="00735147" w:rsidRPr="007774A1" w:rsidRDefault="00735147" w:rsidP="00735147">
            <w:pPr>
              <w:spacing w:after="200"/>
              <w:outlineLvl w:val="6"/>
              <w:rPr>
                <w:iCs/>
                <w:sz w:val="20"/>
              </w:rPr>
            </w:pPr>
            <w:r w:rsidRPr="007774A1">
              <w:rPr>
                <w:iCs/>
                <w:sz w:val="20"/>
              </w:rPr>
              <w:t>3 April 2017 - 4 June 2017</w:t>
            </w:r>
          </w:p>
        </w:tc>
      </w:tr>
    </w:tbl>
    <w:p w14:paraId="139A52AB" w14:textId="77777777" w:rsidR="00735147" w:rsidRDefault="00735147" w:rsidP="00735147">
      <w:pPr>
        <w:spacing w:after="200"/>
        <w:outlineLvl w:val="6"/>
        <w:rPr>
          <w:iCs/>
          <w:sz w:val="20"/>
        </w:rPr>
      </w:pPr>
    </w:p>
    <w:p w14:paraId="226238DF" w14:textId="77777777" w:rsidR="00735147" w:rsidRPr="00AF7C4E" w:rsidRDefault="00735147" w:rsidP="00735147">
      <w:pPr>
        <w:spacing w:after="360"/>
        <w:outlineLvl w:val="6"/>
      </w:pPr>
      <w:r w:rsidRPr="00AD1F6F">
        <w:rPr>
          <w:rFonts w:eastAsia="Times New Roman"/>
          <w:iCs/>
          <w:sz w:val="20"/>
        </w:rPr>
        <w:t xml:space="preserve">If you sign up </w:t>
      </w:r>
      <w:r>
        <w:rPr>
          <w:rFonts w:eastAsia="Times New Roman"/>
          <w:iCs/>
          <w:sz w:val="20"/>
        </w:rPr>
        <w:t xml:space="preserve">to one of these plans </w:t>
      </w:r>
      <w:r w:rsidRPr="00AD1F6F">
        <w:rPr>
          <w:rFonts w:eastAsia="Times New Roman"/>
          <w:iCs/>
          <w:sz w:val="20"/>
        </w:rPr>
        <w:t xml:space="preserve">you will receive a bonus 2GB data per month for 24 months. </w:t>
      </w:r>
      <w:r>
        <w:rPr>
          <w:rFonts w:eastAsia="Times New Roman"/>
          <w:iCs/>
          <w:sz w:val="20"/>
        </w:rPr>
        <w:t>2GB b</w:t>
      </w:r>
      <w:r w:rsidRPr="00AD1F6F">
        <w:rPr>
          <w:rFonts w:eastAsia="Times New Roman"/>
          <w:iCs/>
          <w:sz w:val="20"/>
        </w:rPr>
        <w:t xml:space="preserve">onus data will remain on your service for </w:t>
      </w:r>
      <w:r>
        <w:rPr>
          <w:rFonts w:eastAsia="Times New Roman"/>
          <w:iCs/>
          <w:sz w:val="20"/>
        </w:rPr>
        <w:t xml:space="preserve">a maximum period of 24 months.  Bonus data will be forfeited if you re-contract, change to an ineligible plan or cancel your plan.  Bonus data may take up to 72 hours from activation to be applied.  </w:t>
      </w:r>
    </w:p>
    <w:p w14:paraId="2D2C992E" w14:textId="77777777" w:rsidR="00735147" w:rsidRPr="00AD1F6F" w:rsidRDefault="00735147" w:rsidP="00735147">
      <w:pPr>
        <w:pStyle w:val="Heading4"/>
        <w:ind w:left="709" w:hanging="709"/>
      </w:pPr>
      <w:bookmarkStart w:id="1572" w:name="_Toc479147727"/>
      <w:bookmarkStart w:id="1573" w:name="_Toc489971221"/>
      <w:bookmarkStart w:id="1574" w:name="_Toc62644688"/>
      <w:r>
        <w:t>$105</w:t>
      </w:r>
      <w:r w:rsidRPr="00AD1F6F">
        <w:t xml:space="preserve"> My Pla</w:t>
      </w:r>
      <w:r>
        <w:t>n Business + Tech Fund Bonus + Business Plan Data Promotion (Feb/April 2017</w:t>
      </w:r>
      <w:r w:rsidRPr="00AD1F6F">
        <w:t>)</w:t>
      </w:r>
      <w:bookmarkEnd w:id="1572"/>
      <w:bookmarkEnd w:id="1573"/>
      <w:bookmarkEnd w:id="1574"/>
    </w:p>
    <w:p w14:paraId="22FD4F35" w14:textId="77777777" w:rsidR="00735147" w:rsidRPr="00E37347" w:rsidRDefault="00735147" w:rsidP="00735147">
      <w:pPr>
        <w:spacing w:after="200"/>
        <w:outlineLvl w:val="6"/>
        <w:rPr>
          <w:rFonts w:cs="Arial"/>
          <w:iCs/>
          <w:sz w:val="20"/>
          <w:szCs w:val="20"/>
        </w:rPr>
      </w:pPr>
      <w:r w:rsidRPr="00E37347">
        <w:rPr>
          <w:rFonts w:cs="Arial"/>
          <w:iCs/>
          <w:sz w:val="20"/>
          <w:szCs w:val="20"/>
        </w:rPr>
        <w:t>This section relates to a promotion offered to new and re-contracting customers who sign up or recontract to one of the below plans.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393"/>
        <w:gridCol w:w="3398"/>
      </w:tblGrid>
      <w:tr w:rsidR="00735147" w:rsidRPr="00E37347" w14:paraId="0D75545C" w14:textId="77777777" w:rsidTr="00735147">
        <w:tc>
          <w:tcPr>
            <w:tcW w:w="3471" w:type="dxa"/>
            <w:shd w:val="clear" w:color="auto" w:fill="auto"/>
          </w:tcPr>
          <w:p w14:paraId="6AD46165" w14:textId="77777777" w:rsidR="00735147" w:rsidRPr="00E37347" w:rsidRDefault="00735147" w:rsidP="00735147">
            <w:pPr>
              <w:spacing w:after="200"/>
              <w:outlineLvl w:val="6"/>
              <w:rPr>
                <w:rFonts w:cs="Arial"/>
                <w:iCs/>
                <w:sz w:val="20"/>
                <w:szCs w:val="20"/>
              </w:rPr>
            </w:pPr>
            <w:r w:rsidRPr="00E37347">
              <w:rPr>
                <w:rFonts w:cs="Arial"/>
                <w:iCs/>
                <w:sz w:val="20"/>
                <w:szCs w:val="20"/>
              </w:rPr>
              <w:t>Plan Name</w:t>
            </w:r>
          </w:p>
        </w:tc>
        <w:tc>
          <w:tcPr>
            <w:tcW w:w="3471" w:type="dxa"/>
            <w:shd w:val="clear" w:color="auto" w:fill="auto"/>
          </w:tcPr>
          <w:p w14:paraId="70A941EB" w14:textId="77777777" w:rsidR="00735147" w:rsidRPr="00E37347" w:rsidRDefault="00735147" w:rsidP="00735147">
            <w:pPr>
              <w:spacing w:after="200"/>
              <w:outlineLvl w:val="6"/>
              <w:rPr>
                <w:rFonts w:cs="Arial"/>
                <w:iCs/>
                <w:sz w:val="20"/>
                <w:szCs w:val="20"/>
              </w:rPr>
            </w:pPr>
            <w:r w:rsidRPr="00E37347">
              <w:rPr>
                <w:rFonts w:cs="Arial"/>
                <w:iCs/>
                <w:sz w:val="20"/>
                <w:szCs w:val="20"/>
              </w:rPr>
              <w:t>Plan ID</w:t>
            </w:r>
          </w:p>
        </w:tc>
        <w:tc>
          <w:tcPr>
            <w:tcW w:w="3472" w:type="dxa"/>
            <w:shd w:val="clear" w:color="auto" w:fill="auto"/>
          </w:tcPr>
          <w:p w14:paraId="2852D9AC" w14:textId="77777777" w:rsidR="00735147" w:rsidRPr="00E37347" w:rsidRDefault="00735147" w:rsidP="00735147">
            <w:pPr>
              <w:spacing w:after="200"/>
              <w:outlineLvl w:val="6"/>
              <w:rPr>
                <w:rFonts w:cs="Arial"/>
                <w:iCs/>
                <w:sz w:val="20"/>
                <w:szCs w:val="20"/>
              </w:rPr>
            </w:pPr>
            <w:r w:rsidRPr="00E37347">
              <w:rPr>
                <w:rFonts w:cs="Arial"/>
                <w:iCs/>
                <w:sz w:val="20"/>
                <w:szCs w:val="20"/>
              </w:rPr>
              <w:t xml:space="preserve">Available </w:t>
            </w:r>
          </w:p>
        </w:tc>
      </w:tr>
      <w:tr w:rsidR="00735147" w:rsidRPr="00E37347" w14:paraId="16DB521B" w14:textId="77777777" w:rsidTr="00735147">
        <w:tc>
          <w:tcPr>
            <w:tcW w:w="3471" w:type="dxa"/>
            <w:shd w:val="clear" w:color="auto" w:fill="auto"/>
          </w:tcPr>
          <w:p w14:paraId="6931FBBA" w14:textId="77777777" w:rsidR="00735147" w:rsidRPr="00E37347" w:rsidRDefault="00735147" w:rsidP="00735147">
            <w:pPr>
              <w:spacing w:after="200"/>
              <w:outlineLvl w:val="6"/>
              <w:rPr>
                <w:rFonts w:cs="Arial"/>
                <w:iCs/>
                <w:sz w:val="20"/>
                <w:szCs w:val="20"/>
              </w:rPr>
            </w:pPr>
            <w:r w:rsidRPr="00E37347">
              <w:rPr>
                <w:rFonts w:cs="Arial"/>
                <w:sz w:val="20"/>
                <w:szCs w:val="20"/>
              </w:rPr>
              <w:t>$105 My Plan Business</w:t>
            </w:r>
          </w:p>
        </w:tc>
        <w:tc>
          <w:tcPr>
            <w:tcW w:w="3471" w:type="dxa"/>
            <w:shd w:val="clear" w:color="auto" w:fill="auto"/>
          </w:tcPr>
          <w:p w14:paraId="3D92F227" w14:textId="77777777" w:rsidR="00735147" w:rsidRPr="00E37347" w:rsidRDefault="00735147" w:rsidP="00735147">
            <w:pPr>
              <w:spacing w:after="200"/>
              <w:outlineLvl w:val="6"/>
              <w:rPr>
                <w:rFonts w:cs="Arial"/>
                <w:iCs/>
                <w:sz w:val="20"/>
                <w:szCs w:val="20"/>
              </w:rPr>
            </w:pPr>
            <w:r w:rsidRPr="00E37347">
              <w:rPr>
                <w:rFonts w:cs="Arial"/>
                <w:sz w:val="20"/>
                <w:szCs w:val="20"/>
              </w:rPr>
              <w:t>800557</w:t>
            </w:r>
          </w:p>
        </w:tc>
        <w:tc>
          <w:tcPr>
            <w:tcW w:w="3472" w:type="dxa"/>
            <w:shd w:val="clear" w:color="auto" w:fill="auto"/>
          </w:tcPr>
          <w:p w14:paraId="49608501" w14:textId="77777777" w:rsidR="00735147" w:rsidRPr="00E37347" w:rsidRDefault="00735147" w:rsidP="00735147">
            <w:pPr>
              <w:spacing w:after="200"/>
              <w:outlineLvl w:val="6"/>
              <w:rPr>
                <w:rFonts w:cs="Arial"/>
                <w:iCs/>
                <w:sz w:val="20"/>
                <w:szCs w:val="20"/>
              </w:rPr>
            </w:pPr>
            <w:r w:rsidRPr="00E37347">
              <w:rPr>
                <w:rFonts w:cs="Arial"/>
                <w:iCs/>
                <w:sz w:val="20"/>
                <w:szCs w:val="20"/>
              </w:rPr>
              <w:t>1 February 2017 – 26 March 2017</w:t>
            </w:r>
            <w:r w:rsidRPr="00E37347">
              <w:rPr>
                <w:rFonts w:cs="Arial"/>
                <w:iCs/>
                <w:sz w:val="20"/>
                <w:szCs w:val="20"/>
              </w:rPr>
              <w:br/>
              <w:t>3 April 2017 - 4 June 2017</w:t>
            </w:r>
          </w:p>
        </w:tc>
      </w:tr>
      <w:tr w:rsidR="00735147" w:rsidRPr="00E37347" w14:paraId="771A7E85" w14:textId="77777777" w:rsidTr="00735147">
        <w:tc>
          <w:tcPr>
            <w:tcW w:w="3471" w:type="dxa"/>
            <w:shd w:val="clear" w:color="auto" w:fill="auto"/>
          </w:tcPr>
          <w:p w14:paraId="76E98802" w14:textId="77777777" w:rsidR="00735147" w:rsidRPr="00E37347" w:rsidRDefault="00735147" w:rsidP="00735147">
            <w:pPr>
              <w:spacing w:after="200"/>
              <w:outlineLvl w:val="6"/>
              <w:rPr>
                <w:rFonts w:cs="Arial"/>
                <w:iCs/>
                <w:sz w:val="20"/>
                <w:szCs w:val="20"/>
              </w:rPr>
            </w:pPr>
            <w:r w:rsidRPr="00E37347">
              <w:rPr>
                <w:rFonts w:cs="Arial"/>
                <w:sz w:val="20"/>
                <w:szCs w:val="20"/>
              </w:rPr>
              <w:t>$105 My Plan Business</w:t>
            </w:r>
          </w:p>
        </w:tc>
        <w:tc>
          <w:tcPr>
            <w:tcW w:w="3471" w:type="dxa"/>
            <w:shd w:val="clear" w:color="auto" w:fill="auto"/>
          </w:tcPr>
          <w:p w14:paraId="7813A963" w14:textId="77777777" w:rsidR="00735147" w:rsidRPr="00E37347" w:rsidRDefault="00735147" w:rsidP="00735147">
            <w:pPr>
              <w:spacing w:after="200"/>
              <w:outlineLvl w:val="6"/>
              <w:rPr>
                <w:rFonts w:cs="Arial"/>
                <w:iCs/>
                <w:sz w:val="20"/>
                <w:szCs w:val="20"/>
              </w:rPr>
            </w:pPr>
            <w:r w:rsidRPr="00E37347">
              <w:rPr>
                <w:rFonts w:cs="Arial"/>
                <w:sz w:val="20"/>
                <w:szCs w:val="20"/>
              </w:rPr>
              <w:t>800531</w:t>
            </w:r>
          </w:p>
        </w:tc>
        <w:tc>
          <w:tcPr>
            <w:tcW w:w="3472" w:type="dxa"/>
            <w:shd w:val="clear" w:color="auto" w:fill="auto"/>
          </w:tcPr>
          <w:p w14:paraId="25563420" w14:textId="77777777" w:rsidR="00735147" w:rsidRPr="00E37347" w:rsidRDefault="00735147" w:rsidP="00735147">
            <w:pPr>
              <w:spacing w:after="200"/>
              <w:outlineLvl w:val="6"/>
              <w:rPr>
                <w:rFonts w:cs="Arial"/>
                <w:iCs/>
                <w:sz w:val="20"/>
                <w:szCs w:val="20"/>
              </w:rPr>
            </w:pPr>
            <w:r w:rsidRPr="00E37347">
              <w:rPr>
                <w:rFonts w:cs="Arial"/>
                <w:iCs/>
                <w:sz w:val="20"/>
                <w:szCs w:val="20"/>
              </w:rPr>
              <w:t>1 February 2017 – 26 March 2017</w:t>
            </w:r>
            <w:r w:rsidRPr="00E37347">
              <w:rPr>
                <w:rFonts w:cs="Arial"/>
                <w:iCs/>
                <w:sz w:val="20"/>
                <w:szCs w:val="20"/>
              </w:rPr>
              <w:br/>
              <w:t>3 April 2017 - 4 June 2017</w:t>
            </w:r>
          </w:p>
        </w:tc>
      </w:tr>
      <w:tr w:rsidR="00735147" w:rsidRPr="00E37347" w14:paraId="54F29620" w14:textId="77777777" w:rsidTr="00735147">
        <w:tc>
          <w:tcPr>
            <w:tcW w:w="3471" w:type="dxa"/>
            <w:shd w:val="clear" w:color="auto" w:fill="auto"/>
          </w:tcPr>
          <w:p w14:paraId="4E74BEC9" w14:textId="77777777" w:rsidR="00735147" w:rsidRPr="00E37347" w:rsidRDefault="00735147" w:rsidP="00735147">
            <w:pPr>
              <w:spacing w:after="200"/>
              <w:outlineLvl w:val="6"/>
              <w:rPr>
                <w:rFonts w:cs="Arial"/>
                <w:iCs/>
                <w:sz w:val="20"/>
                <w:szCs w:val="20"/>
              </w:rPr>
            </w:pPr>
            <w:r w:rsidRPr="00E37347">
              <w:rPr>
                <w:rFonts w:cs="Arial"/>
                <w:sz w:val="20"/>
                <w:szCs w:val="20"/>
              </w:rPr>
              <w:t>$105 Business Plan</w:t>
            </w:r>
          </w:p>
        </w:tc>
        <w:tc>
          <w:tcPr>
            <w:tcW w:w="3471" w:type="dxa"/>
            <w:shd w:val="clear" w:color="auto" w:fill="auto"/>
          </w:tcPr>
          <w:p w14:paraId="6FC7F245" w14:textId="77777777" w:rsidR="00735147" w:rsidRPr="00E37347" w:rsidRDefault="00735147" w:rsidP="00735147">
            <w:pPr>
              <w:spacing w:after="200"/>
              <w:outlineLvl w:val="6"/>
              <w:rPr>
                <w:rFonts w:cs="Arial"/>
                <w:iCs/>
                <w:sz w:val="20"/>
                <w:szCs w:val="20"/>
              </w:rPr>
            </w:pPr>
            <w:r w:rsidRPr="00E37347">
              <w:rPr>
                <w:rFonts w:cs="Arial"/>
                <w:sz w:val="20"/>
                <w:szCs w:val="20"/>
              </w:rPr>
              <w:t>800629</w:t>
            </w:r>
          </w:p>
        </w:tc>
        <w:tc>
          <w:tcPr>
            <w:tcW w:w="3472" w:type="dxa"/>
            <w:shd w:val="clear" w:color="auto" w:fill="auto"/>
          </w:tcPr>
          <w:p w14:paraId="64A62552" w14:textId="77777777" w:rsidR="00735147" w:rsidRPr="00E37347" w:rsidRDefault="00735147" w:rsidP="00735147">
            <w:pPr>
              <w:spacing w:after="200"/>
              <w:outlineLvl w:val="6"/>
              <w:rPr>
                <w:rFonts w:cs="Arial"/>
                <w:iCs/>
                <w:sz w:val="20"/>
                <w:szCs w:val="20"/>
              </w:rPr>
            </w:pPr>
            <w:r w:rsidRPr="00E37347">
              <w:rPr>
                <w:rFonts w:cs="Arial"/>
                <w:iCs/>
                <w:sz w:val="20"/>
                <w:szCs w:val="20"/>
              </w:rPr>
              <w:t>3 April 2017 - 4 June 2017</w:t>
            </w:r>
          </w:p>
        </w:tc>
      </w:tr>
    </w:tbl>
    <w:p w14:paraId="79763392" w14:textId="77777777" w:rsidR="00735147" w:rsidRPr="00E37347" w:rsidRDefault="00735147" w:rsidP="00735147">
      <w:pPr>
        <w:spacing w:after="200"/>
        <w:outlineLvl w:val="6"/>
        <w:rPr>
          <w:rFonts w:cs="Arial"/>
          <w:iCs/>
          <w:sz w:val="20"/>
          <w:szCs w:val="20"/>
        </w:rPr>
      </w:pPr>
    </w:p>
    <w:p w14:paraId="46A56219" w14:textId="77777777" w:rsidR="00735147" w:rsidRPr="00AD1F6F" w:rsidRDefault="00735147" w:rsidP="00735147">
      <w:pPr>
        <w:outlineLvl w:val="6"/>
        <w:rPr>
          <w:rFonts w:eastAsia="Times New Roman"/>
          <w:iCs/>
          <w:sz w:val="20"/>
        </w:rPr>
      </w:pPr>
      <w:r w:rsidRPr="00E37347">
        <w:rPr>
          <w:rFonts w:eastAsia="Times New Roman" w:cs="Arial"/>
          <w:iCs/>
          <w:sz w:val="20"/>
          <w:szCs w:val="20"/>
        </w:rPr>
        <w:t>If you sign up to one of these plans</w:t>
      </w:r>
      <w:r w:rsidRPr="00E37347">
        <w:rPr>
          <w:rFonts w:cs="Arial"/>
          <w:iCs/>
          <w:sz w:val="20"/>
          <w:szCs w:val="20"/>
        </w:rPr>
        <w:t xml:space="preserve"> </w:t>
      </w:r>
      <w:r w:rsidRPr="00E37347">
        <w:rPr>
          <w:rFonts w:eastAsia="Times New Roman" w:cs="Arial"/>
          <w:iCs/>
          <w:sz w:val="20"/>
          <w:szCs w:val="20"/>
        </w:rPr>
        <w:t>you will receive a bonus 5GB data per month for 24 months. 5GB bonus data will remain on your service for a maximum period of 24 months.  Bonus data will be forfeited if you re-contract, change to an ineligible plan or cancel your plan. Bonus data may take up to 72 hours from activation to be applied.</w:t>
      </w:r>
      <w:r w:rsidRPr="00902620">
        <w:rPr>
          <w:rFonts w:eastAsia="Times New Roman"/>
          <w:iCs/>
          <w:sz w:val="20"/>
        </w:rPr>
        <w:t xml:space="preserve"> </w:t>
      </w:r>
    </w:p>
    <w:p w14:paraId="51B12EE0" w14:textId="77777777" w:rsidR="00735147" w:rsidRDefault="00735147" w:rsidP="00735147">
      <w:pPr>
        <w:rPr>
          <w:sz w:val="20"/>
          <w:szCs w:val="20"/>
        </w:rPr>
      </w:pPr>
    </w:p>
    <w:p w14:paraId="15602065" w14:textId="77777777" w:rsidR="00735147" w:rsidRDefault="00735147" w:rsidP="00735147">
      <w:pPr>
        <w:rPr>
          <w:sz w:val="20"/>
          <w:szCs w:val="20"/>
        </w:rPr>
      </w:pPr>
    </w:p>
    <w:p w14:paraId="23C76E14" w14:textId="77777777" w:rsidR="00735147" w:rsidRPr="00F271B8" w:rsidRDefault="00735147" w:rsidP="00735147">
      <w:pPr>
        <w:pStyle w:val="Heading4"/>
        <w:rPr>
          <w:lang w:val="en-AU"/>
        </w:rPr>
      </w:pPr>
      <w:bookmarkStart w:id="1575" w:name="_Toc489971222"/>
      <w:bookmarkStart w:id="1576" w:name="_Toc62644689"/>
      <w:r>
        <w:rPr>
          <w:lang w:val="en-AU"/>
        </w:rPr>
        <w:t xml:space="preserve">$90/$105 </w:t>
      </w:r>
      <w:r w:rsidRPr="00F271B8">
        <w:rPr>
          <w:lang w:val="en-AU"/>
        </w:rPr>
        <w:t>My Plan Business – (</w:t>
      </w:r>
      <w:r>
        <w:rPr>
          <w:lang w:val="en-AU"/>
        </w:rPr>
        <w:t>Bonus Data Promotion</w:t>
      </w:r>
      <w:r w:rsidRPr="00F271B8">
        <w:rPr>
          <w:lang w:val="en-AU"/>
        </w:rPr>
        <w:t>)</w:t>
      </w:r>
      <w:bookmarkEnd w:id="1575"/>
      <w:bookmarkEnd w:id="1576"/>
    </w:p>
    <w:p w14:paraId="34D6AF43" w14:textId="77777777" w:rsidR="00735147" w:rsidRPr="00F271B8" w:rsidRDefault="00735147" w:rsidP="00735147">
      <w:pPr>
        <w:pStyle w:val="BodyText"/>
        <w:ind w:left="720"/>
        <w:rPr>
          <w:lang w:val="en-AU"/>
        </w:rPr>
      </w:pPr>
      <w:r w:rsidRPr="00F271B8">
        <w:rPr>
          <w:lang w:val="en-AU"/>
        </w:rPr>
        <w:t>This section relates to the following plans</w:t>
      </w:r>
      <w:r>
        <w:rPr>
          <w:lang w:val="en-AU"/>
        </w:rPr>
        <w:t xml:space="preserve">. </w:t>
      </w:r>
      <w:r w:rsidRPr="00F271B8">
        <w:rPr>
          <w:i/>
          <w:lang w:val="en-AU"/>
        </w:rPr>
        <w:t>You</w:t>
      </w:r>
      <w:r w:rsidRPr="00F271B8">
        <w:rPr>
          <w:lang w:val="en-AU"/>
        </w:rPr>
        <w:t xml:space="preserve"> can find </w:t>
      </w:r>
      <w:r w:rsidRPr="00F271B8">
        <w:rPr>
          <w:i/>
          <w:lang w:val="en-AU"/>
        </w:rPr>
        <w:t>your</w:t>
      </w:r>
      <w:r w:rsidRPr="00F271B8">
        <w:rPr>
          <w:lang w:val="en-AU"/>
        </w:rPr>
        <w:t xml:space="preserve"> Plan ID on </w:t>
      </w:r>
      <w:r w:rsidRPr="00F271B8">
        <w:rPr>
          <w:i/>
          <w:lang w:val="en-AU"/>
        </w:rPr>
        <w:t>your</w:t>
      </w:r>
      <w:r w:rsidRPr="00F271B8">
        <w:rPr>
          <w:lang w:val="en-AU"/>
        </w:rPr>
        <w:t xml:space="preserve"> bill under the Mobile Number Summary section: </w:t>
      </w:r>
    </w:p>
    <w:tbl>
      <w:tblPr>
        <w:tblW w:w="95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0"/>
        <w:gridCol w:w="3180"/>
        <w:gridCol w:w="3180"/>
      </w:tblGrid>
      <w:tr w:rsidR="00735147" w:rsidRPr="00F271B8" w14:paraId="28E1B4EB" w14:textId="77777777" w:rsidTr="00735147">
        <w:tc>
          <w:tcPr>
            <w:tcW w:w="3180" w:type="dxa"/>
            <w:shd w:val="clear" w:color="auto" w:fill="auto"/>
          </w:tcPr>
          <w:p w14:paraId="2B0E6772" w14:textId="77777777" w:rsidR="00735147" w:rsidRPr="00F271B8" w:rsidRDefault="00735147" w:rsidP="00735147">
            <w:pPr>
              <w:pStyle w:val="BodyText"/>
              <w:spacing w:before="100" w:after="100"/>
              <w:jc w:val="center"/>
              <w:rPr>
                <w:b/>
                <w:lang w:val="en-AU"/>
              </w:rPr>
            </w:pPr>
            <w:r w:rsidRPr="00F271B8">
              <w:rPr>
                <w:b/>
                <w:lang w:val="en-AU"/>
              </w:rPr>
              <w:t>Plan</w:t>
            </w:r>
          </w:p>
        </w:tc>
        <w:tc>
          <w:tcPr>
            <w:tcW w:w="3180" w:type="dxa"/>
            <w:shd w:val="clear" w:color="auto" w:fill="auto"/>
          </w:tcPr>
          <w:p w14:paraId="62A34C8A" w14:textId="77777777" w:rsidR="00735147" w:rsidRPr="00F271B8" w:rsidRDefault="00735147" w:rsidP="00735147">
            <w:pPr>
              <w:pStyle w:val="BodyText"/>
              <w:spacing w:before="100" w:after="100"/>
              <w:jc w:val="center"/>
              <w:rPr>
                <w:b/>
                <w:lang w:val="en-AU"/>
              </w:rPr>
            </w:pPr>
            <w:r w:rsidRPr="00F271B8">
              <w:rPr>
                <w:b/>
                <w:lang w:val="en-AU"/>
              </w:rPr>
              <w:t>Plan ID</w:t>
            </w:r>
          </w:p>
        </w:tc>
        <w:tc>
          <w:tcPr>
            <w:tcW w:w="3180" w:type="dxa"/>
            <w:shd w:val="clear" w:color="auto" w:fill="auto"/>
          </w:tcPr>
          <w:p w14:paraId="2DBC38F4" w14:textId="77777777" w:rsidR="00735147" w:rsidRPr="00F271B8" w:rsidRDefault="00735147" w:rsidP="00735147">
            <w:pPr>
              <w:pStyle w:val="BodyText"/>
              <w:spacing w:before="100" w:after="100"/>
              <w:jc w:val="center"/>
              <w:rPr>
                <w:b/>
                <w:lang w:val="en-AU"/>
              </w:rPr>
            </w:pPr>
            <w:r w:rsidRPr="00F271B8">
              <w:rPr>
                <w:b/>
                <w:lang w:val="en-AU"/>
              </w:rPr>
              <w:t>Available</w:t>
            </w:r>
          </w:p>
        </w:tc>
      </w:tr>
      <w:tr w:rsidR="00735147" w:rsidRPr="00F271B8" w14:paraId="3B0B4C54" w14:textId="77777777" w:rsidTr="00735147">
        <w:tc>
          <w:tcPr>
            <w:tcW w:w="3180" w:type="dxa"/>
            <w:shd w:val="clear" w:color="auto" w:fill="auto"/>
          </w:tcPr>
          <w:p w14:paraId="75E671C3" w14:textId="77777777" w:rsidR="00735147" w:rsidRPr="00E83150" w:rsidRDefault="00735147" w:rsidP="00735147">
            <w:pPr>
              <w:pStyle w:val="BodyText"/>
              <w:spacing w:before="100" w:after="100"/>
              <w:jc w:val="center"/>
              <w:rPr>
                <w:szCs w:val="20"/>
                <w:lang w:val="en-AU"/>
              </w:rPr>
            </w:pPr>
            <w:r w:rsidRPr="00E83150">
              <w:rPr>
                <w:rFonts w:eastAsia="Calibri" w:cs="Arial"/>
                <w:szCs w:val="20"/>
                <w:lang w:val="en-AU"/>
              </w:rPr>
              <w:t>$90 My Plan Business</w:t>
            </w:r>
          </w:p>
        </w:tc>
        <w:tc>
          <w:tcPr>
            <w:tcW w:w="3180" w:type="dxa"/>
            <w:shd w:val="clear" w:color="auto" w:fill="auto"/>
            <w:vAlign w:val="center"/>
          </w:tcPr>
          <w:p w14:paraId="24A7303D" w14:textId="77777777" w:rsidR="00735147" w:rsidRPr="009E5E41" w:rsidRDefault="00735147" w:rsidP="00735147">
            <w:pPr>
              <w:pStyle w:val="BodyText"/>
              <w:spacing w:before="100" w:after="100"/>
              <w:jc w:val="center"/>
              <w:rPr>
                <w:szCs w:val="20"/>
                <w:lang w:val="en-AU"/>
              </w:rPr>
            </w:pPr>
            <w:r w:rsidRPr="00E83150">
              <w:rPr>
                <w:rFonts w:eastAsia="Calibri" w:cs="Arial"/>
                <w:szCs w:val="20"/>
              </w:rPr>
              <w:t>800569</w:t>
            </w:r>
            <w:r>
              <w:rPr>
                <w:rFonts w:eastAsia="Calibri" w:cs="Arial"/>
                <w:szCs w:val="20"/>
              </w:rPr>
              <w:t>/10644684</w:t>
            </w:r>
          </w:p>
        </w:tc>
        <w:tc>
          <w:tcPr>
            <w:tcW w:w="3180" w:type="dxa"/>
            <w:shd w:val="clear" w:color="auto" w:fill="auto"/>
          </w:tcPr>
          <w:p w14:paraId="3CF26B4D" w14:textId="77777777" w:rsidR="00735147" w:rsidRPr="009E5E41" w:rsidRDefault="00735147" w:rsidP="00735147">
            <w:pPr>
              <w:pStyle w:val="BodyText"/>
              <w:spacing w:before="100" w:after="100"/>
              <w:jc w:val="center"/>
              <w:rPr>
                <w:szCs w:val="20"/>
                <w:lang w:val="en-AU"/>
              </w:rPr>
            </w:pPr>
            <w:r w:rsidRPr="00D90F10">
              <w:t>28 April – 4 June 2017</w:t>
            </w:r>
          </w:p>
        </w:tc>
      </w:tr>
      <w:tr w:rsidR="00735147" w:rsidRPr="00F271B8" w14:paraId="6832625F" w14:textId="77777777" w:rsidTr="00735147">
        <w:tc>
          <w:tcPr>
            <w:tcW w:w="3180" w:type="dxa"/>
            <w:shd w:val="clear" w:color="auto" w:fill="auto"/>
          </w:tcPr>
          <w:p w14:paraId="3B7C06D0" w14:textId="77777777" w:rsidR="00735147" w:rsidRPr="00E83150" w:rsidRDefault="00735147" w:rsidP="00735147">
            <w:pPr>
              <w:pStyle w:val="BodyText"/>
              <w:spacing w:before="100" w:after="100"/>
              <w:jc w:val="center"/>
              <w:rPr>
                <w:rFonts w:eastAsia="Calibri" w:cs="Arial"/>
                <w:szCs w:val="20"/>
                <w:lang w:val="en-AU"/>
              </w:rPr>
            </w:pPr>
            <w:r>
              <w:rPr>
                <w:rFonts w:eastAsia="Calibri" w:cs="Arial"/>
                <w:szCs w:val="20"/>
                <w:lang w:val="en-AU"/>
              </w:rPr>
              <w:t>$1</w:t>
            </w:r>
            <w:r w:rsidRPr="00E83150">
              <w:rPr>
                <w:rFonts w:eastAsia="Calibri" w:cs="Arial"/>
                <w:szCs w:val="20"/>
                <w:lang w:val="en-AU"/>
              </w:rPr>
              <w:t>0</w:t>
            </w:r>
            <w:r>
              <w:rPr>
                <w:rFonts w:eastAsia="Calibri" w:cs="Arial"/>
                <w:szCs w:val="20"/>
                <w:lang w:val="en-AU"/>
              </w:rPr>
              <w:t>5</w:t>
            </w:r>
            <w:r w:rsidRPr="00E83150">
              <w:rPr>
                <w:rFonts w:eastAsia="Calibri" w:cs="Arial"/>
                <w:szCs w:val="20"/>
                <w:lang w:val="en-AU"/>
              </w:rPr>
              <w:t xml:space="preserve"> My Plan Business</w:t>
            </w:r>
          </w:p>
        </w:tc>
        <w:tc>
          <w:tcPr>
            <w:tcW w:w="3180" w:type="dxa"/>
            <w:shd w:val="clear" w:color="auto" w:fill="auto"/>
            <w:vAlign w:val="center"/>
          </w:tcPr>
          <w:p w14:paraId="201E1A4E" w14:textId="77777777" w:rsidR="00735147" w:rsidRPr="00E83150" w:rsidRDefault="00735147" w:rsidP="00735147">
            <w:pPr>
              <w:pStyle w:val="BodyText"/>
              <w:spacing w:before="100" w:after="100"/>
              <w:jc w:val="center"/>
              <w:rPr>
                <w:rFonts w:eastAsia="Calibri" w:cs="Arial"/>
                <w:szCs w:val="20"/>
              </w:rPr>
            </w:pPr>
            <w:r>
              <w:rPr>
                <w:rFonts w:eastAsia="Calibri" w:cs="Arial"/>
                <w:szCs w:val="20"/>
              </w:rPr>
              <w:t>800687/10644734</w:t>
            </w:r>
          </w:p>
        </w:tc>
        <w:tc>
          <w:tcPr>
            <w:tcW w:w="3180" w:type="dxa"/>
            <w:shd w:val="clear" w:color="auto" w:fill="auto"/>
          </w:tcPr>
          <w:p w14:paraId="3DE3D36A" w14:textId="77777777" w:rsidR="00735147" w:rsidRPr="009E5E41" w:rsidRDefault="00735147" w:rsidP="00735147">
            <w:pPr>
              <w:pStyle w:val="BodyText"/>
              <w:spacing w:before="100" w:after="100"/>
              <w:jc w:val="center"/>
              <w:rPr>
                <w:rFonts w:eastAsia="Calibri" w:cs="Arial"/>
                <w:szCs w:val="20"/>
              </w:rPr>
            </w:pPr>
            <w:r w:rsidRPr="00D90F10">
              <w:t>28 April – 4 June 2017</w:t>
            </w:r>
          </w:p>
        </w:tc>
      </w:tr>
    </w:tbl>
    <w:p w14:paraId="6FF4C0AF" w14:textId="77777777" w:rsidR="00735147" w:rsidRPr="00F271B8" w:rsidRDefault="00735147" w:rsidP="00735147">
      <w:pPr>
        <w:pStyle w:val="Heading6"/>
        <w:spacing w:before="240"/>
        <w:ind w:left="0" w:firstLine="0"/>
        <w:rPr>
          <w:lang w:val="en-AU"/>
        </w:rPr>
      </w:pPr>
      <w:bookmarkStart w:id="1577" w:name="_Toc489971223"/>
      <w:r w:rsidRPr="00F271B8">
        <w:rPr>
          <w:lang w:val="en-AU"/>
        </w:rPr>
        <w:t>Eligibility</w:t>
      </w:r>
      <w:bookmarkEnd w:id="1577"/>
    </w:p>
    <w:p w14:paraId="1B90E22D" w14:textId="77777777" w:rsidR="00735147" w:rsidRPr="00F271B8" w:rsidRDefault="00735147" w:rsidP="00735147">
      <w:pPr>
        <w:pStyle w:val="BodyText"/>
        <w:ind w:left="720"/>
      </w:pPr>
      <w:r w:rsidRPr="00EB0AA6">
        <w:t>This $90</w:t>
      </w:r>
      <w:r>
        <w:t>/$105</w:t>
      </w:r>
      <w:r w:rsidRPr="00EB0AA6">
        <w:t xml:space="preserve"> My Plan Business plan is a promotional plan that includ</w:t>
      </w:r>
      <w:r>
        <w:t>es 8GB plus 3</w:t>
      </w:r>
      <w:r w:rsidRPr="00EB0AA6">
        <w:t>GB</w:t>
      </w:r>
      <w:r>
        <w:t>/15GB plus 5GB of bonus data.  These plans are</w:t>
      </w:r>
      <w:r w:rsidRPr="00EB0AA6">
        <w:t xml:space="preserve"> only available to new and re-contracting services. Optus Service Providers’ customers are not eligible to apply.</w:t>
      </w:r>
    </w:p>
    <w:p w14:paraId="2041A1B4" w14:textId="77777777" w:rsidR="00735147" w:rsidRPr="00F271B8" w:rsidRDefault="00735147" w:rsidP="00735147">
      <w:pPr>
        <w:pStyle w:val="BodyText"/>
        <w:ind w:left="720"/>
        <w:rPr>
          <w:lang w:val="en-AU"/>
        </w:rPr>
      </w:pPr>
      <w:r w:rsidRPr="00F271B8">
        <w:rPr>
          <w:lang w:val="en-AU"/>
        </w:rPr>
        <w:t xml:space="preserve">These </w:t>
      </w:r>
      <w:r w:rsidRPr="00F271B8">
        <w:rPr>
          <w:i/>
          <w:lang w:val="en-AU"/>
        </w:rPr>
        <w:t>plans</w:t>
      </w:r>
      <w:r w:rsidRPr="00F271B8">
        <w:rPr>
          <w:lang w:val="en-AU"/>
        </w:rPr>
        <w:t xml:space="preserve"> aren</w:t>
      </w:r>
      <w:r>
        <w:rPr>
          <w:lang w:val="en-AU"/>
        </w:rPr>
        <w:t>'</w:t>
      </w:r>
      <w:r w:rsidRPr="00F271B8">
        <w:rPr>
          <w:lang w:val="en-AU"/>
        </w:rPr>
        <w:t>t compatible for data use with BlackBerry handsets on operating systems of 7.1 or earlier.</w:t>
      </w:r>
    </w:p>
    <w:p w14:paraId="10E54990" w14:textId="77777777" w:rsidR="00735147" w:rsidRPr="00F271B8" w:rsidRDefault="00735147" w:rsidP="00735147">
      <w:pPr>
        <w:pStyle w:val="Heading6"/>
        <w:ind w:left="0" w:firstLine="0"/>
        <w:rPr>
          <w:lang w:val="en-AU"/>
        </w:rPr>
      </w:pPr>
      <w:bookmarkStart w:id="1578" w:name="_Toc489971224"/>
      <w:r w:rsidRPr="00F271B8">
        <w:rPr>
          <w:lang w:val="en-AU"/>
        </w:rPr>
        <w:t>Minimum Term</w:t>
      </w:r>
      <w:bookmarkEnd w:id="1578"/>
    </w:p>
    <w:p w14:paraId="4743E49E" w14:textId="77777777" w:rsidR="00735147" w:rsidRPr="00F271B8" w:rsidRDefault="00735147" w:rsidP="00735147">
      <w:pPr>
        <w:pStyle w:val="BodyText"/>
        <w:ind w:left="720"/>
        <w:rPr>
          <w:lang w:val="en-AU"/>
        </w:rPr>
      </w:pPr>
      <w:r w:rsidRPr="00F271B8">
        <w:rPr>
          <w:lang w:val="en-AU"/>
        </w:rPr>
        <w:t xml:space="preserve">This plan has a </w:t>
      </w:r>
      <w:r w:rsidRPr="00F271B8">
        <w:rPr>
          <w:i/>
          <w:lang w:val="en-AU"/>
        </w:rPr>
        <w:t>fixed length</w:t>
      </w:r>
      <w:r w:rsidRPr="00F271B8">
        <w:rPr>
          <w:lang w:val="en-AU"/>
        </w:rPr>
        <w:t xml:space="preserve"> </w:t>
      </w:r>
      <w:r w:rsidRPr="00F271B8">
        <w:rPr>
          <w:i/>
          <w:lang w:val="en-AU"/>
        </w:rPr>
        <w:t>agreement</w:t>
      </w:r>
      <w:r w:rsidRPr="00F271B8">
        <w:rPr>
          <w:lang w:val="en-AU"/>
        </w:rPr>
        <w:t xml:space="preserve"> with a 24 month </w:t>
      </w:r>
      <w:r w:rsidRPr="00F271B8">
        <w:rPr>
          <w:i/>
          <w:lang w:val="en-AU"/>
        </w:rPr>
        <w:t>minimum term</w:t>
      </w:r>
      <w:r w:rsidRPr="00F271B8">
        <w:rPr>
          <w:lang w:val="en-AU"/>
        </w:rPr>
        <w:t>.</w:t>
      </w:r>
    </w:p>
    <w:p w14:paraId="12A649EF" w14:textId="77777777" w:rsidR="00735147" w:rsidRPr="00F271B8" w:rsidRDefault="00735147" w:rsidP="00735147">
      <w:pPr>
        <w:pStyle w:val="Heading6"/>
        <w:ind w:left="0" w:firstLine="0"/>
        <w:rPr>
          <w:lang w:val="en-AU"/>
        </w:rPr>
      </w:pPr>
      <w:bookmarkStart w:id="1579" w:name="_Toc489971225"/>
      <w:r w:rsidRPr="00F271B8">
        <w:rPr>
          <w:lang w:val="en-AU"/>
        </w:rPr>
        <w:t>What you have to pay us</w:t>
      </w:r>
      <w:bookmarkEnd w:id="1579"/>
    </w:p>
    <w:p w14:paraId="106F02B6" w14:textId="77777777" w:rsidR="00735147" w:rsidRPr="00F271B8" w:rsidRDefault="00735147" w:rsidP="00735147">
      <w:pPr>
        <w:pStyle w:val="Heading7"/>
        <w:rPr>
          <w:szCs w:val="20"/>
          <w:lang w:val="en-AU"/>
        </w:rPr>
      </w:pPr>
      <w:r w:rsidRPr="00F271B8">
        <w:rPr>
          <w:i/>
          <w:szCs w:val="20"/>
          <w:lang w:val="en-AU"/>
        </w:rPr>
        <w:t>You</w:t>
      </w:r>
      <w:r w:rsidRPr="00F271B8">
        <w:rPr>
          <w:szCs w:val="20"/>
          <w:lang w:val="en-AU"/>
        </w:rPr>
        <w:t xml:space="preserve"> must pay </w:t>
      </w:r>
      <w:r w:rsidRPr="00F271B8">
        <w:rPr>
          <w:i/>
          <w:szCs w:val="20"/>
          <w:lang w:val="en-AU"/>
        </w:rPr>
        <w:t>us</w:t>
      </w:r>
      <w:r w:rsidRPr="00F271B8">
        <w:rPr>
          <w:szCs w:val="20"/>
          <w:lang w:val="en-AU"/>
        </w:rPr>
        <w:t xml:space="preserve"> for use of the </w:t>
      </w:r>
      <w:r w:rsidRPr="00F271B8">
        <w:rPr>
          <w:i/>
          <w:szCs w:val="20"/>
          <w:lang w:val="en-AU"/>
        </w:rPr>
        <w:t>service</w:t>
      </w:r>
      <w:r w:rsidRPr="00F271B8">
        <w:rPr>
          <w:szCs w:val="20"/>
          <w:lang w:val="en-AU"/>
        </w:rPr>
        <w:t xml:space="preserve"> at the rates set out in Section 1 of this </w:t>
      </w:r>
      <w:r w:rsidRPr="00F271B8">
        <w:rPr>
          <w:i/>
          <w:szCs w:val="20"/>
          <w:lang w:val="en-AU"/>
        </w:rPr>
        <w:t>standard pricing table</w:t>
      </w:r>
      <w:r w:rsidRPr="00F271B8">
        <w:rPr>
          <w:szCs w:val="20"/>
          <w:lang w:val="en-AU"/>
        </w:rPr>
        <w:t xml:space="preserve"> and for value added service features at the rates set out in </w:t>
      </w:r>
      <w:hyperlink r:id="rId726" w:history="1">
        <w:r w:rsidRPr="00F271B8">
          <w:rPr>
            <w:rStyle w:val="Hyperlink"/>
            <w:i/>
            <w:szCs w:val="20"/>
            <w:lang w:val="en-AU"/>
          </w:rPr>
          <w:t>Appendix Y Value Added Service Features</w:t>
        </w:r>
      </w:hyperlink>
      <w:r>
        <w:rPr>
          <w:szCs w:val="20"/>
          <w:lang w:val="en-AU"/>
        </w:rPr>
        <w:t xml:space="preserve">. </w:t>
      </w:r>
    </w:p>
    <w:p w14:paraId="0DC7AC07" w14:textId="77777777" w:rsidR="00735147" w:rsidRPr="00F271B8" w:rsidRDefault="00735147" w:rsidP="00735147">
      <w:pPr>
        <w:pStyle w:val="Heading7"/>
        <w:rPr>
          <w:lang w:val="en-AU"/>
        </w:rPr>
      </w:pPr>
      <w:r w:rsidRPr="00F271B8">
        <w:rPr>
          <w:lang w:val="en-AU"/>
        </w:rPr>
        <w:t>If there is a flagfall for a particular call type, the charge for these calls is the flagfall amount plus the relevant rate for the call multiplied by the duration of the call.</w:t>
      </w:r>
    </w:p>
    <w:p w14:paraId="401F4CF4" w14:textId="77777777" w:rsidR="00735147" w:rsidRPr="00F271B8" w:rsidRDefault="00735147" w:rsidP="00735147">
      <w:pPr>
        <w:pStyle w:val="Heading7"/>
        <w:rPr>
          <w:lang w:val="en-AU"/>
        </w:rPr>
      </w:pPr>
      <w:r w:rsidRPr="00F271B8">
        <w:rPr>
          <w:lang w:val="en-AU"/>
        </w:rPr>
        <w:t xml:space="preserve">Minimum Monthly Charge </w:t>
      </w:r>
    </w:p>
    <w:p w14:paraId="0BD80044" w14:textId="77777777" w:rsidR="00735147" w:rsidRPr="00F271B8" w:rsidRDefault="00735147" w:rsidP="00735147">
      <w:pPr>
        <w:pStyle w:val="Heading8"/>
        <w:rPr>
          <w:lang w:val="en-AU"/>
        </w:rPr>
      </w:pPr>
      <w:r>
        <w:rPr>
          <w:lang w:val="en-AU"/>
        </w:rPr>
        <w:t>Each My</w:t>
      </w:r>
      <w:r w:rsidRPr="00F271B8">
        <w:rPr>
          <w:lang w:val="en-AU"/>
        </w:rPr>
        <w:t xml:space="preserve"> Plan Business </w:t>
      </w:r>
      <w:r>
        <w:rPr>
          <w:lang w:val="en-AU"/>
        </w:rPr>
        <w:t xml:space="preserve">plan </w:t>
      </w:r>
      <w:r w:rsidRPr="00F271B8">
        <w:rPr>
          <w:lang w:val="en-AU"/>
        </w:rPr>
        <w:t xml:space="preserve">has a Minimum Monthly Charge amount that </w:t>
      </w:r>
      <w:r w:rsidRPr="00F271B8">
        <w:rPr>
          <w:i/>
          <w:lang w:val="en-AU"/>
        </w:rPr>
        <w:t>you</w:t>
      </w:r>
      <w:r w:rsidRPr="00F271B8">
        <w:rPr>
          <w:lang w:val="en-AU"/>
        </w:rPr>
        <w:t xml:space="preserve"> must pay </w:t>
      </w:r>
      <w:r w:rsidRPr="00F271B8">
        <w:rPr>
          <w:i/>
          <w:lang w:val="en-AU"/>
        </w:rPr>
        <w:t>us</w:t>
      </w:r>
      <w:r w:rsidRPr="00F271B8">
        <w:rPr>
          <w:lang w:val="en-AU"/>
        </w:rPr>
        <w:t xml:space="preserve"> each month as set out in Table 1 below</w:t>
      </w:r>
      <w:r>
        <w:rPr>
          <w:lang w:val="en-AU"/>
        </w:rPr>
        <w:t xml:space="preserve">. </w:t>
      </w:r>
    </w:p>
    <w:p w14:paraId="788ED916" w14:textId="77777777" w:rsidR="00735147" w:rsidRPr="00F271B8" w:rsidRDefault="00735147" w:rsidP="00735147">
      <w:pPr>
        <w:pStyle w:val="Heading8"/>
        <w:rPr>
          <w:szCs w:val="20"/>
          <w:lang w:val="en-AU"/>
        </w:rPr>
      </w:pPr>
      <w:r>
        <w:rPr>
          <w:i/>
          <w:szCs w:val="20"/>
          <w:lang w:val="en-AU"/>
        </w:rPr>
        <w:t>y</w:t>
      </w:r>
      <w:r w:rsidRPr="00F271B8">
        <w:rPr>
          <w:i/>
          <w:szCs w:val="20"/>
          <w:lang w:val="en-AU"/>
        </w:rPr>
        <w:t>ou</w:t>
      </w:r>
      <w:r w:rsidRPr="00F271B8">
        <w:rPr>
          <w:szCs w:val="20"/>
          <w:lang w:val="en-AU"/>
        </w:rPr>
        <w:t xml:space="preserve"> may purchase a mobile phone (or </w:t>
      </w:r>
      <w:r>
        <w:rPr>
          <w:szCs w:val="20"/>
          <w:lang w:val="en-AU"/>
        </w:rPr>
        <w:t>'</w:t>
      </w:r>
      <w:r w:rsidRPr="00F271B8">
        <w:rPr>
          <w:szCs w:val="20"/>
          <w:lang w:val="en-AU"/>
        </w:rPr>
        <w:t>handset</w:t>
      </w:r>
      <w:r>
        <w:rPr>
          <w:szCs w:val="20"/>
          <w:lang w:val="en-AU"/>
        </w:rPr>
        <w:t>'</w:t>
      </w:r>
      <w:r w:rsidRPr="00F271B8">
        <w:rPr>
          <w:szCs w:val="20"/>
          <w:lang w:val="en-AU"/>
        </w:rPr>
        <w:t xml:space="preserve">) with a 24 month </w:t>
      </w:r>
      <w:r w:rsidRPr="00F271B8">
        <w:rPr>
          <w:i/>
          <w:szCs w:val="20"/>
          <w:lang w:val="en-AU"/>
        </w:rPr>
        <w:t>equipment term</w:t>
      </w:r>
      <w:r w:rsidRPr="00F271B8">
        <w:rPr>
          <w:szCs w:val="20"/>
          <w:lang w:val="en-AU"/>
        </w:rPr>
        <w:t xml:space="preserve"> under a </w:t>
      </w:r>
      <w:r w:rsidRPr="00F271B8">
        <w:rPr>
          <w:i/>
          <w:szCs w:val="20"/>
          <w:lang w:val="en-AU"/>
        </w:rPr>
        <w:t>mobile equipment payment plan</w:t>
      </w:r>
      <w:r w:rsidRPr="00F271B8">
        <w:rPr>
          <w:szCs w:val="20"/>
          <w:lang w:val="en-AU"/>
        </w:rPr>
        <w:t xml:space="preserve"> (set out in </w:t>
      </w:r>
      <w:hyperlink r:id="rId727" w:history="1">
        <w:r w:rsidRPr="00F271B8">
          <w:rPr>
            <w:rStyle w:val="Hyperlink"/>
            <w:i/>
            <w:szCs w:val="20"/>
            <w:lang w:val="en-AU"/>
          </w:rPr>
          <w:t>Appendix D</w:t>
        </w:r>
      </w:hyperlink>
      <w:r w:rsidRPr="00F271B8">
        <w:rPr>
          <w:szCs w:val="20"/>
          <w:lang w:val="en-AU"/>
        </w:rPr>
        <w:t xml:space="preserve">) on a 24 month </w:t>
      </w:r>
      <w:r w:rsidRPr="00F271B8">
        <w:rPr>
          <w:i/>
          <w:szCs w:val="20"/>
          <w:lang w:val="en-AU"/>
        </w:rPr>
        <w:t>fixed-length agreement</w:t>
      </w:r>
      <w:r>
        <w:rPr>
          <w:szCs w:val="20"/>
          <w:lang w:val="en-AU"/>
        </w:rPr>
        <w:t xml:space="preserve">. </w:t>
      </w:r>
    </w:p>
    <w:p w14:paraId="1B2B1D87" w14:textId="77777777" w:rsidR="00735147" w:rsidRPr="00F271B8" w:rsidRDefault="00735147" w:rsidP="00735147">
      <w:pPr>
        <w:pStyle w:val="Heading6"/>
        <w:ind w:left="0" w:firstLine="0"/>
        <w:rPr>
          <w:lang w:val="en-AU"/>
        </w:rPr>
      </w:pPr>
      <w:bookmarkStart w:id="1580" w:name="_Toc489971226"/>
      <w:r w:rsidRPr="00F271B8">
        <w:rPr>
          <w:lang w:val="en-AU"/>
        </w:rPr>
        <w:t>How My Plan Busines</w:t>
      </w:r>
      <w:r>
        <w:rPr>
          <w:lang w:val="en-AU"/>
        </w:rPr>
        <w:t>s</w:t>
      </w:r>
      <w:r w:rsidRPr="00F271B8">
        <w:rPr>
          <w:lang w:val="en-AU"/>
        </w:rPr>
        <w:t xml:space="preserve"> works</w:t>
      </w:r>
      <w:bookmarkEnd w:id="1580"/>
    </w:p>
    <w:p w14:paraId="60187352" w14:textId="77777777" w:rsidR="00735147" w:rsidRPr="00F271B8" w:rsidRDefault="00735147" w:rsidP="00735147">
      <w:pPr>
        <w:pStyle w:val="Heading7"/>
        <w:rPr>
          <w:lang w:val="en-AU"/>
        </w:rPr>
      </w:pPr>
      <w:r w:rsidRPr="00F271B8">
        <w:rPr>
          <w:lang w:val="en-AU"/>
        </w:rPr>
        <w:t>The</w:t>
      </w:r>
      <w:r>
        <w:rPr>
          <w:lang w:val="en-AU"/>
        </w:rPr>
        <w:t xml:space="preserve"> $90/$105</w:t>
      </w:r>
      <w:r w:rsidRPr="00F271B8">
        <w:rPr>
          <w:lang w:val="en-AU"/>
        </w:rPr>
        <w:t xml:space="preserve"> My Plan Business plan has </w:t>
      </w:r>
      <w:r>
        <w:rPr>
          <w:lang w:val="en-AU"/>
        </w:rPr>
        <w:t>unlimited</w:t>
      </w:r>
      <w:r w:rsidRPr="00F271B8">
        <w:rPr>
          <w:lang w:val="en-AU"/>
        </w:rPr>
        <w:t xml:space="preserve"> minutes to use on standard national calls to landlines and mobiles, 13/1300 nu</w:t>
      </w:r>
      <w:r>
        <w:rPr>
          <w:lang w:val="en-AU"/>
        </w:rPr>
        <w:t xml:space="preserve">mbers and voicemail retrievals </w:t>
      </w:r>
      <w:r w:rsidRPr="00F271B8">
        <w:rPr>
          <w:lang w:val="en-AU"/>
        </w:rPr>
        <w:t>and Included Data (for mobile internet use) to share with other services on a My Plan Plus, My Plan Plus SIM Only, My Plan Essentials, My Plan Business (including Tech Fund), My Plan Business SIM, My Plan Business Essentials, My Mobile Broadband Plus, Mobile Broadband Business or Shared Data Plan on the same account</w:t>
      </w:r>
      <w:r>
        <w:rPr>
          <w:lang w:val="en-AU"/>
        </w:rPr>
        <w:t xml:space="preserve">. </w:t>
      </w:r>
    </w:p>
    <w:p w14:paraId="250D023C" w14:textId="77777777" w:rsidR="00735147" w:rsidRPr="00F271B8" w:rsidRDefault="00735147" w:rsidP="00735147">
      <w:pPr>
        <w:pStyle w:val="Heading7"/>
        <w:rPr>
          <w:lang w:val="en-AU"/>
        </w:rPr>
      </w:pPr>
      <w:r w:rsidRPr="00F271B8">
        <w:rPr>
          <w:lang w:val="en-AU"/>
        </w:rPr>
        <w:t>This plan also includes unlimited standard national SMS/MMS and unlimited standard International SMS/MMS to selected countries</w:t>
      </w:r>
      <w:r>
        <w:rPr>
          <w:lang w:val="en-AU"/>
        </w:rPr>
        <w:t xml:space="preserve">. </w:t>
      </w:r>
      <w:r>
        <w:rPr>
          <w:rFonts w:cs="Arial"/>
        </w:rPr>
        <w:t>This plan also has</w:t>
      </w:r>
      <w:r w:rsidRPr="00304BEC">
        <w:rPr>
          <w:rFonts w:cs="Arial"/>
        </w:rPr>
        <w:t xml:space="preserve"> an amount of included international minutes to use on standard international calls to selected countries.</w:t>
      </w:r>
    </w:p>
    <w:p w14:paraId="7F1B6B6B" w14:textId="77777777" w:rsidR="00735147" w:rsidRPr="009E5E41" w:rsidRDefault="00735147" w:rsidP="00735147">
      <w:pPr>
        <w:pStyle w:val="Heading7"/>
      </w:pPr>
      <w:r w:rsidRPr="00F271B8">
        <w:rPr>
          <w:lang w:val="en-AU"/>
        </w:rPr>
        <w:lastRenderedPageBreak/>
        <w:t>Data usage is calculated in one kilobyte increments</w:t>
      </w:r>
      <w:r>
        <w:rPr>
          <w:lang w:val="en-AU"/>
        </w:rPr>
        <w:t xml:space="preserve">. </w:t>
      </w:r>
      <w:r w:rsidRPr="009E5E41">
        <w:t>International minutes are b</w:t>
      </w:r>
      <w:r>
        <w:t>illed in one minute increments.</w:t>
      </w:r>
    </w:p>
    <w:p w14:paraId="59F4EDD7" w14:textId="77777777" w:rsidR="00735147" w:rsidRPr="00F271B8" w:rsidRDefault="00735147" w:rsidP="00735147">
      <w:pPr>
        <w:pStyle w:val="Heading7"/>
        <w:rPr>
          <w:lang w:val="en-AU"/>
        </w:rPr>
      </w:pPr>
      <w:r w:rsidRPr="00F271B8">
        <w:rPr>
          <w:lang w:val="en-AU"/>
        </w:rPr>
        <w:t>If you exceed your included shareable data you</w:t>
      </w:r>
      <w:r>
        <w:rPr>
          <w:lang w:val="en-AU"/>
        </w:rPr>
        <w:t>'</w:t>
      </w:r>
      <w:r w:rsidRPr="00F271B8">
        <w:rPr>
          <w:lang w:val="en-AU"/>
        </w:rPr>
        <w:t>ll automatically be charged $10 for each additional 1GB of data (</w:t>
      </w:r>
      <w:r>
        <w:rPr>
          <w:lang w:val="en-AU"/>
        </w:rPr>
        <w:t>"</w:t>
      </w:r>
      <w:r w:rsidRPr="00F271B8">
        <w:rPr>
          <w:b/>
          <w:lang w:val="en-AU"/>
        </w:rPr>
        <w:t>Additional Data</w:t>
      </w:r>
      <w:r>
        <w:rPr>
          <w:lang w:val="en-AU"/>
        </w:rPr>
        <w:t>"</w:t>
      </w:r>
      <w:r w:rsidRPr="00F271B8">
        <w:rPr>
          <w:lang w:val="en-AU"/>
        </w:rPr>
        <w:t>) that you use (or part thereof) up to 150GB of extra data per account each month</w:t>
      </w:r>
      <w:r>
        <w:rPr>
          <w:lang w:val="en-AU"/>
        </w:rPr>
        <w:t xml:space="preserve">. </w:t>
      </w:r>
      <w:r w:rsidRPr="00F271B8">
        <w:rPr>
          <w:lang w:val="en-AU"/>
        </w:rPr>
        <w:t>Your service/s may then be restricted or we may continue to charge you at these rates.</w:t>
      </w:r>
    </w:p>
    <w:p w14:paraId="2455489E" w14:textId="77777777" w:rsidR="00735147" w:rsidRPr="009E5E41" w:rsidRDefault="00735147" w:rsidP="00735147">
      <w:pPr>
        <w:pStyle w:val="Heading7"/>
        <w:rPr>
          <w:lang w:val="en-AU"/>
        </w:rPr>
      </w:pPr>
      <w:r w:rsidRPr="009E5E41">
        <w:rPr>
          <w:lang w:val="en-AU"/>
        </w:rPr>
        <w:t xml:space="preserve">Any unused portion of </w:t>
      </w:r>
      <w:r w:rsidRPr="009E5E41">
        <w:rPr>
          <w:i/>
          <w:lang w:val="en-AU"/>
        </w:rPr>
        <w:t>your</w:t>
      </w:r>
      <w:r w:rsidRPr="009E5E41">
        <w:rPr>
          <w:lang w:val="en-AU"/>
        </w:rPr>
        <w:t xml:space="preserve"> </w:t>
      </w:r>
      <w:r w:rsidRPr="009E5E41">
        <w:rPr>
          <w:i/>
          <w:lang w:val="en-AU"/>
        </w:rPr>
        <w:t>plan's</w:t>
      </w:r>
      <w:r w:rsidRPr="009E5E41">
        <w:rPr>
          <w:lang w:val="en-AU"/>
        </w:rPr>
        <w:t xml:space="preserve"> Included or Additional Minutes or Included or Additional Data expires at the end of each month and does not roll over into the next month.</w:t>
      </w:r>
      <w:r w:rsidRPr="009E5E41">
        <w:t xml:space="preserve"> </w:t>
      </w:r>
    </w:p>
    <w:p w14:paraId="76CFA45F" w14:textId="77777777" w:rsidR="00735147" w:rsidRPr="009E5E41" w:rsidRDefault="00735147" w:rsidP="00735147">
      <w:pPr>
        <w:pStyle w:val="Heading7"/>
        <w:rPr>
          <w:lang w:val="en-AU"/>
        </w:rPr>
      </w:pPr>
      <w:r w:rsidRPr="009E5E41">
        <w:rPr>
          <w:lang w:val="en-AU"/>
        </w:rPr>
        <w:t>You must pay us for use of any services that are not included in your plan’s inclusions, examples of which are set out in Table 2 below.</w:t>
      </w:r>
    </w:p>
    <w:p w14:paraId="16E1BB96" w14:textId="77777777" w:rsidR="00735147" w:rsidRPr="00F271B8" w:rsidRDefault="00735147" w:rsidP="00735147">
      <w:pPr>
        <w:pStyle w:val="Heading6"/>
        <w:ind w:left="0" w:firstLine="0"/>
        <w:rPr>
          <w:lang w:val="en-AU"/>
        </w:rPr>
      </w:pPr>
      <w:bookmarkStart w:id="1581" w:name="_Toc489971227"/>
      <w:r>
        <w:rPr>
          <w:lang w:val="en-AU"/>
        </w:rPr>
        <w:t>Plan Changes</w:t>
      </w:r>
      <w:bookmarkEnd w:id="1581"/>
      <w:r>
        <w:rPr>
          <w:lang w:val="en-AU"/>
        </w:rPr>
        <w:t xml:space="preserve"> </w:t>
      </w:r>
    </w:p>
    <w:p w14:paraId="6CE632B2" w14:textId="77777777" w:rsidR="00735147" w:rsidRPr="00931860" w:rsidRDefault="00735147" w:rsidP="00735147">
      <w:pPr>
        <w:pStyle w:val="BodyText"/>
        <w:ind w:left="720"/>
        <w:rPr>
          <w:szCs w:val="20"/>
          <w:u w:val="single"/>
        </w:rPr>
      </w:pPr>
      <w:r w:rsidRPr="00931860">
        <w:rPr>
          <w:szCs w:val="20"/>
        </w:rPr>
        <w:t>You cannot change your plan during the minimum term to a plan with the same or lower monthly access fee. If you change your plan during the minimum term a fee may apply and any handset repayments will remain the same.</w:t>
      </w:r>
    </w:p>
    <w:p w14:paraId="5633C243" w14:textId="77777777" w:rsidR="00735147" w:rsidRPr="00931860" w:rsidRDefault="00735147" w:rsidP="00735147">
      <w:pPr>
        <w:pStyle w:val="Heading6"/>
        <w:rPr>
          <w:lang w:val="en-AU"/>
        </w:rPr>
      </w:pPr>
      <w:bookmarkStart w:id="1582" w:name="_Toc489971228"/>
      <w:r w:rsidRPr="00931860">
        <w:rPr>
          <w:lang w:val="en-AU"/>
        </w:rPr>
        <w:t>New Phone Trade Up</w:t>
      </w:r>
      <w:bookmarkEnd w:id="1582"/>
    </w:p>
    <w:p w14:paraId="1AB057E3" w14:textId="77777777" w:rsidR="00735147" w:rsidRPr="0048326D" w:rsidRDefault="00735147" w:rsidP="00735147">
      <w:pPr>
        <w:ind w:left="709"/>
        <w:rPr>
          <w:sz w:val="20"/>
          <w:szCs w:val="20"/>
        </w:rPr>
      </w:pPr>
      <w:r w:rsidRPr="0048326D">
        <w:rPr>
          <w:sz w:val="20"/>
          <w:szCs w:val="20"/>
        </w:rPr>
        <w:t>The plans referred to in this section include the option of New Phone Trade Up, which can be exercised in two ways:</w:t>
      </w:r>
    </w:p>
    <w:p w14:paraId="7A28673E" w14:textId="77777777" w:rsidR="00735147" w:rsidRPr="0048326D" w:rsidRDefault="00735147" w:rsidP="00735147">
      <w:pPr>
        <w:numPr>
          <w:ilvl w:val="2"/>
          <w:numId w:val="73"/>
        </w:numPr>
        <w:tabs>
          <w:tab w:val="clear" w:pos="850"/>
          <w:tab w:val="num" w:pos="1418"/>
        </w:tabs>
        <w:spacing w:before="120" w:after="120"/>
        <w:ind w:left="1418" w:hanging="709"/>
        <w:rPr>
          <w:rFonts w:eastAsia="Times New Roman" w:cs="Arial"/>
          <w:sz w:val="20"/>
          <w:szCs w:val="20"/>
          <w:lang w:val="en-AU"/>
        </w:rPr>
      </w:pPr>
      <w:r w:rsidRPr="0048326D">
        <w:rPr>
          <w:rFonts w:eastAsia="Times New Roman" w:cs="Arial"/>
          <w:sz w:val="20"/>
          <w:szCs w:val="20"/>
          <w:lang w:val="en-AU"/>
        </w:rPr>
        <w:t>New Phone Trade Up for $99</w:t>
      </w:r>
    </w:p>
    <w:p w14:paraId="7B0DB62C" w14:textId="77777777" w:rsidR="00735147" w:rsidRPr="0048326D" w:rsidRDefault="00735147" w:rsidP="00735147">
      <w:pPr>
        <w:numPr>
          <w:ilvl w:val="7"/>
          <w:numId w:val="1"/>
        </w:numPr>
        <w:spacing w:after="200"/>
        <w:outlineLvl w:val="7"/>
        <w:rPr>
          <w:rFonts w:eastAsia="Times New Roman"/>
          <w:iCs/>
          <w:sz w:val="20"/>
          <w:szCs w:val="20"/>
        </w:rPr>
      </w:pPr>
      <w:r w:rsidRPr="0048326D">
        <w:rPr>
          <w:rFonts w:eastAsia="Times New Roman"/>
          <w:iCs/>
          <w:sz w:val="20"/>
          <w:szCs w:val="20"/>
        </w:rPr>
        <w:t>After 12 months on one of these plans, you can pay a one off fee of $99, return your original mobile phone to a Yes Optus store in good working order, purchase a new mobile phone on a new 24 month plan; and sign documentation that will enable ownership of your original mobile phone to be transferred to a second hand dealer nominated by Optus.</w:t>
      </w:r>
    </w:p>
    <w:p w14:paraId="5812B18A" w14:textId="77777777" w:rsidR="00735147" w:rsidRPr="0048326D" w:rsidRDefault="00735147" w:rsidP="00735147">
      <w:pPr>
        <w:numPr>
          <w:ilvl w:val="7"/>
          <w:numId w:val="1"/>
        </w:numPr>
        <w:spacing w:after="200"/>
        <w:outlineLvl w:val="7"/>
        <w:rPr>
          <w:rFonts w:eastAsia="Times New Roman"/>
          <w:iCs/>
          <w:sz w:val="20"/>
          <w:szCs w:val="20"/>
        </w:rPr>
      </w:pPr>
      <w:r w:rsidRPr="0048326D">
        <w:rPr>
          <w:rFonts w:eastAsia="Times New Roman"/>
          <w:iCs/>
          <w:sz w:val="20"/>
          <w:szCs w:val="20"/>
        </w:rPr>
        <w:t>A mobile phone is considered to be in good working order when</w:t>
      </w:r>
      <w:r>
        <w:rPr>
          <w:rFonts w:eastAsia="Times New Roman"/>
          <w:iCs/>
          <w:sz w:val="20"/>
          <w:szCs w:val="20"/>
        </w:rPr>
        <w:t xml:space="preserve"> it</w:t>
      </w:r>
      <w:r w:rsidRPr="0048326D">
        <w:rPr>
          <w:rFonts w:eastAsia="Times New Roman"/>
          <w:iCs/>
          <w:sz w:val="20"/>
          <w:szCs w:val="20"/>
        </w:rPr>
        <w:t xml:space="preserve"> :</w:t>
      </w:r>
    </w:p>
    <w:p w14:paraId="6031E933" w14:textId="77777777" w:rsidR="00735147" w:rsidRPr="005F01C4" w:rsidRDefault="00735147" w:rsidP="00735147">
      <w:pPr>
        <w:numPr>
          <w:ilvl w:val="0"/>
          <w:numId w:val="74"/>
        </w:numPr>
        <w:shd w:val="clear" w:color="auto" w:fill="FFFFFF"/>
        <w:spacing w:line="450" w:lineRule="atLeast"/>
        <w:rPr>
          <w:rFonts w:eastAsia="Times New Roman" w:cs="Arial"/>
          <w:sz w:val="20"/>
          <w:szCs w:val="20"/>
        </w:rPr>
      </w:pPr>
      <w:r w:rsidRPr="005F01C4">
        <w:rPr>
          <w:rFonts w:eastAsia="Times New Roman" w:cs="Arial"/>
          <w:sz w:val="20"/>
          <w:szCs w:val="20"/>
        </w:rPr>
        <w:t>can power on and off,</w:t>
      </w:r>
    </w:p>
    <w:p w14:paraId="75CC4335" w14:textId="77777777" w:rsidR="00735147" w:rsidRPr="005F01C4" w:rsidRDefault="00735147" w:rsidP="00735147">
      <w:pPr>
        <w:numPr>
          <w:ilvl w:val="0"/>
          <w:numId w:val="74"/>
        </w:numPr>
        <w:shd w:val="clear" w:color="auto" w:fill="FFFFFF"/>
        <w:spacing w:line="450" w:lineRule="atLeast"/>
        <w:rPr>
          <w:rFonts w:eastAsia="Times New Roman" w:cs="Arial"/>
          <w:sz w:val="20"/>
          <w:szCs w:val="20"/>
        </w:rPr>
      </w:pPr>
      <w:r w:rsidRPr="005F01C4">
        <w:rPr>
          <w:rFonts w:eastAsia="Times New Roman" w:cs="Arial"/>
          <w:sz w:val="20"/>
          <w:szCs w:val="20"/>
        </w:rPr>
        <w:t>has a fully functional touchscreen and battery,</w:t>
      </w:r>
    </w:p>
    <w:p w14:paraId="383B47DC" w14:textId="77777777" w:rsidR="00735147" w:rsidRPr="005F01C4" w:rsidRDefault="00735147" w:rsidP="00735147">
      <w:pPr>
        <w:numPr>
          <w:ilvl w:val="0"/>
          <w:numId w:val="74"/>
        </w:numPr>
        <w:shd w:val="clear" w:color="auto" w:fill="FFFFFF"/>
        <w:spacing w:line="450" w:lineRule="atLeast"/>
        <w:rPr>
          <w:rFonts w:eastAsia="Times New Roman" w:cs="Arial"/>
          <w:sz w:val="20"/>
          <w:szCs w:val="20"/>
        </w:rPr>
      </w:pPr>
      <w:r w:rsidRPr="005F01C4">
        <w:rPr>
          <w:rFonts w:eastAsia="Times New Roman" w:cs="Arial"/>
          <w:sz w:val="20"/>
          <w:szCs w:val="20"/>
        </w:rPr>
        <w:t>is not physically damaged (e.g. does not have liquid damage, cracked, discoloured or bleeding screen (LCD) or casing, does not have any missing buttons or damage to other components such as charging ports or SIM tray),</w:t>
      </w:r>
    </w:p>
    <w:p w14:paraId="55408349" w14:textId="77777777" w:rsidR="00735147" w:rsidRPr="005F01C4" w:rsidRDefault="00735147" w:rsidP="00735147">
      <w:pPr>
        <w:numPr>
          <w:ilvl w:val="0"/>
          <w:numId w:val="74"/>
        </w:numPr>
        <w:shd w:val="clear" w:color="auto" w:fill="FFFFFF"/>
        <w:spacing w:line="450" w:lineRule="atLeast"/>
        <w:rPr>
          <w:rFonts w:eastAsia="Times New Roman" w:cs="Arial"/>
          <w:sz w:val="20"/>
          <w:szCs w:val="20"/>
        </w:rPr>
      </w:pPr>
      <w:r w:rsidRPr="005F01C4">
        <w:rPr>
          <w:rFonts w:eastAsia="Times New Roman" w:cs="Arial"/>
          <w:sz w:val="20"/>
          <w:szCs w:val="20"/>
        </w:rPr>
        <w:t xml:space="preserve">has no missing or customised parts, or parts which are non-original or not otherwise genuine parts used for repair under a manufacturer’s warranty or under the </w:t>
      </w:r>
      <w:r w:rsidRPr="002B53C4">
        <w:rPr>
          <w:rFonts w:eastAsia="Times New Roman" w:cs="Arial"/>
          <w:i/>
          <w:sz w:val="20"/>
          <w:szCs w:val="20"/>
        </w:rPr>
        <w:t>Australian Consumer Law</w:t>
      </w:r>
      <w:r w:rsidRPr="005F01C4">
        <w:rPr>
          <w:rFonts w:eastAsia="Times New Roman" w:cs="Arial"/>
          <w:sz w:val="20"/>
          <w:szCs w:val="20"/>
        </w:rPr>
        <w:t xml:space="preserve">, </w:t>
      </w:r>
    </w:p>
    <w:p w14:paraId="26F9627C" w14:textId="77777777" w:rsidR="00735147" w:rsidRDefault="00735147" w:rsidP="00735147">
      <w:pPr>
        <w:numPr>
          <w:ilvl w:val="0"/>
          <w:numId w:val="74"/>
        </w:numPr>
        <w:shd w:val="clear" w:color="auto" w:fill="FFFFFF"/>
        <w:spacing w:line="450" w:lineRule="atLeast"/>
        <w:rPr>
          <w:rFonts w:eastAsia="Times New Roman" w:cs="Arial"/>
          <w:color w:val="191919"/>
          <w:sz w:val="20"/>
          <w:szCs w:val="20"/>
        </w:rPr>
      </w:pPr>
      <w:r>
        <w:rPr>
          <w:rFonts w:eastAsia="Times New Roman" w:cs="Arial"/>
          <w:color w:val="191919"/>
          <w:sz w:val="20"/>
          <w:szCs w:val="20"/>
        </w:rPr>
        <w:t xml:space="preserve">is not cracked (including the touchscreen) and does not have any severe scratches (normal wear and tear such as light marks and scratches are okay), </w:t>
      </w:r>
    </w:p>
    <w:p w14:paraId="4843F627" w14:textId="77777777" w:rsidR="00735147" w:rsidRDefault="00735147" w:rsidP="00735147">
      <w:pPr>
        <w:numPr>
          <w:ilvl w:val="0"/>
          <w:numId w:val="74"/>
        </w:numPr>
        <w:shd w:val="clear" w:color="auto" w:fill="FFFFFF"/>
        <w:spacing w:line="450" w:lineRule="atLeast"/>
        <w:rPr>
          <w:rFonts w:eastAsia="Times New Roman" w:cs="Arial"/>
          <w:color w:val="191919"/>
          <w:sz w:val="20"/>
          <w:szCs w:val="20"/>
        </w:rPr>
      </w:pPr>
      <w:r>
        <w:rPr>
          <w:rFonts w:eastAsia="Times New Roman" w:cs="Arial"/>
          <w:color w:val="191919"/>
          <w:sz w:val="20"/>
          <w:szCs w:val="20"/>
        </w:rPr>
        <w:t>has any </w:t>
      </w:r>
      <w:hyperlink r:id="rId728" w:anchor="datawiping" w:history="1">
        <w:r>
          <w:rPr>
            <w:rStyle w:val="Hyperlink"/>
            <w:rFonts w:eastAsia="Times New Roman" w:cs="Arial"/>
            <w:color w:val="006280"/>
            <w:szCs w:val="20"/>
          </w:rPr>
          <w:t>locking features</w:t>
        </w:r>
      </w:hyperlink>
      <w:r>
        <w:rPr>
          <w:rFonts w:eastAsia="Times New Roman" w:cs="Arial"/>
          <w:color w:val="191919"/>
          <w:sz w:val="20"/>
          <w:szCs w:val="20"/>
        </w:rPr>
        <w:t xml:space="preserve"> disabled (for example, find my iPhone on iOS devices); and</w:t>
      </w:r>
    </w:p>
    <w:p w14:paraId="72471E77" w14:textId="77777777" w:rsidR="00735147" w:rsidRDefault="00735147" w:rsidP="00735147">
      <w:pPr>
        <w:numPr>
          <w:ilvl w:val="0"/>
          <w:numId w:val="74"/>
        </w:numPr>
        <w:shd w:val="clear" w:color="auto" w:fill="FFFFFF"/>
        <w:spacing w:line="450" w:lineRule="atLeast"/>
        <w:rPr>
          <w:rFonts w:eastAsia="Times New Roman" w:cs="Arial"/>
          <w:color w:val="191919"/>
          <w:sz w:val="20"/>
          <w:szCs w:val="20"/>
        </w:rPr>
      </w:pPr>
      <w:r>
        <w:rPr>
          <w:rFonts w:eastAsia="Times New Roman" w:cs="Arial"/>
          <w:color w:val="191919"/>
          <w:sz w:val="20"/>
          <w:szCs w:val="20"/>
        </w:rPr>
        <w:t>is not IMEI blocked.</w:t>
      </w:r>
    </w:p>
    <w:p w14:paraId="2D68B571" w14:textId="77777777" w:rsidR="00735147" w:rsidRPr="00117FA5" w:rsidRDefault="00735147" w:rsidP="00735147">
      <w:pPr>
        <w:pStyle w:val="Heading9"/>
        <w:numPr>
          <w:ilvl w:val="0"/>
          <w:numId w:val="0"/>
        </w:numPr>
        <w:ind w:left="2520"/>
      </w:pPr>
    </w:p>
    <w:p w14:paraId="25056D6B" w14:textId="77777777" w:rsidR="00735147" w:rsidRPr="0048326D" w:rsidRDefault="00735147" w:rsidP="00735147">
      <w:pPr>
        <w:numPr>
          <w:ilvl w:val="7"/>
          <w:numId w:val="1"/>
        </w:numPr>
        <w:spacing w:after="200"/>
        <w:outlineLvl w:val="7"/>
        <w:rPr>
          <w:rFonts w:eastAsia="Times New Roman"/>
          <w:iCs/>
          <w:sz w:val="20"/>
          <w:szCs w:val="20"/>
        </w:rPr>
      </w:pPr>
      <w:r w:rsidRPr="002B53C4">
        <w:rPr>
          <w:rFonts w:eastAsia="Times New Roman"/>
          <w:iCs/>
          <w:sz w:val="20"/>
          <w:szCs w:val="20"/>
        </w:rPr>
        <w:t>.</w:t>
      </w:r>
      <w:r w:rsidRPr="0048326D">
        <w:rPr>
          <w:rFonts w:eastAsia="Times New Roman"/>
          <w:iCs/>
          <w:sz w:val="20"/>
          <w:szCs w:val="20"/>
        </w:rPr>
        <w:t xml:space="preserve">The mobile phone you return must be the mobile phone you purchased when you took up one of the plans referred to in this section. </w:t>
      </w:r>
    </w:p>
    <w:p w14:paraId="5C4372A4" w14:textId="77777777" w:rsidR="00735147" w:rsidRPr="0048326D" w:rsidRDefault="00735147" w:rsidP="00735147">
      <w:pPr>
        <w:numPr>
          <w:ilvl w:val="7"/>
          <w:numId w:val="1"/>
        </w:numPr>
        <w:spacing w:after="200"/>
        <w:outlineLvl w:val="7"/>
        <w:rPr>
          <w:rFonts w:eastAsia="Times New Roman"/>
          <w:iCs/>
          <w:sz w:val="20"/>
          <w:szCs w:val="20"/>
        </w:rPr>
      </w:pPr>
      <w:r w:rsidRPr="0048326D">
        <w:rPr>
          <w:rFonts w:eastAsia="Times New Roman"/>
          <w:iCs/>
          <w:sz w:val="20"/>
          <w:szCs w:val="20"/>
        </w:rPr>
        <w:lastRenderedPageBreak/>
        <w:t xml:space="preserve">When you seek to exercise this option and meet the relevant conditions, Optus agrees to waive any remaining mobile phone repayment charges on the phone you are returning. </w:t>
      </w:r>
    </w:p>
    <w:p w14:paraId="2291F671" w14:textId="77777777" w:rsidR="00735147" w:rsidRPr="0048326D" w:rsidRDefault="00735147" w:rsidP="00735147">
      <w:pPr>
        <w:numPr>
          <w:ilvl w:val="7"/>
          <w:numId w:val="1"/>
        </w:numPr>
        <w:spacing w:after="200"/>
        <w:outlineLvl w:val="7"/>
        <w:rPr>
          <w:rFonts w:eastAsia="Times New Roman"/>
          <w:iCs/>
          <w:sz w:val="20"/>
          <w:szCs w:val="20"/>
        </w:rPr>
      </w:pPr>
      <w:r w:rsidRPr="0048326D">
        <w:rPr>
          <w:rFonts w:eastAsia="Times New Roman"/>
          <w:iCs/>
          <w:sz w:val="20"/>
          <w:szCs w:val="20"/>
        </w:rPr>
        <w:t xml:space="preserve">By exercising this option, you acknowledge that the second hand device vendor will pay Optus a fee on your behalf for the mobile phone you return in part consideration of Optus waiving your remaining mobile phone repayments on the phone you are returning.  </w:t>
      </w:r>
    </w:p>
    <w:p w14:paraId="54A80000" w14:textId="77777777" w:rsidR="00735147" w:rsidRPr="0048326D" w:rsidRDefault="00735147" w:rsidP="00735147">
      <w:pPr>
        <w:numPr>
          <w:ilvl w:val="2"/>
          <w:numId w:val="73"/>
        </w:numPr>
        <w:spacing w:before="120" w:after="120"/>
        <w:ind w:left="1560" w:hanging="851"/>
        <w:rPr>
          <w:rFonts w:eastAsia="Times New Roman" w:cs="Arial"/>
          <w:sz w:val="20"/>
          <w:szCs w:val="20"/>
          <w:lang w:val="en-AU"/>
        </w:rPr>
      </w:pPr>
      <w:r w:rsidRPr="0048326D">
        <w:rPr>
          <w:rFonts w:eastAsia="Times New Roman" w:cs="Arial"/>
          <w:sz w:val="20"/>
          <w:szCs w:val="20"/>
          <w:lang w:val="en-AU"/>
        </w:rPr>
        <w:t>Keep existing mobile phone</w:t>
      </w:r>
    </w:p>
    <w:p w14:paraId="4C14ED9F" w14:textId="77777777" w:rsidR="00735147" w:rsidRPr="0048326D" w:rsidRDefault="00735147" w:rsidP="00735147">
      <w:pPr>
        <w:spacing w:before="120" w:after="120"/>
        <w:ind w:left="2127"/>
        <w:rPr>
          <w:b/>
          <w:sz w:val="20"/>
          <w:szCs w:val="20"/>
        </w:rPr>
      </w:pPr>
      <w:r w:rsidRPr="0048326D">
        <w:rPr>
          <w:sz w:val="20"/>
          <w:szCs w:val="20"/>
        </w:rPr>
        <w:t xml:space="preserve">Alternatively and instead of paying $99, if you wish to keep your original mobile handset, you can simply pay out the full remaining cost of your mobile handset, including any monthly </w:t>
      </w:r>
      <w:r>
        <w:rPr>
          <w:sz w:val="20"/>
          <w:szCs w:val="20"/>
        </w:rPr>
        <w:t xml:space="preserve">device </w:t>
      </w:r>
      <w:r w:rsidRPr="0048326D">
        <w:rPr>
          <w:sz w:val="20"/>
          <w:szCs w:val="20"/>
        </w:rPr>
        <w:t>handset credit that Optus was going to cover and purchase a new mobile phone on a new 24 month plan.</w:t>
      </w:r>
    </w:p>
    <w:p w14:paraId="59ECBCA2" w14:textId="77777777" w:rsidR="00735147" w:rsidRDefault="00735147" w:rsidP="00735147"/>
    <w:p w14:paraId="6A0D84D1" w14:textId="77777777" w:rsidR="00735147" w:rsidRDefault="00735147" w:rsidP="00735147"/>
    <w:p w14:paraId="23AD2A55" w14:textId="77777777" w:rsidR="00735147" w:rsidRPr="0048326D" w:rsidRDefault="00735147" w:rsidP="00735147"/>
    <w:p w14:paraId="453DC1A4" w14:textId="77777777" w:rsidR="00735147" w:rsidRPr="00F271B8" w:rsidRDefault="00735147" w:rsidP="00735147">
      <w:pPr>
        <w:pStyle w:val="Heading6"/>
        <w:ind w:left="0" w:firstLine="0"/>
        <w:rPr>
          <w:lang w:val="en-AU"/>
        </w:rPr>
      </w:pPr>
      <w:bookmarkStart w:id="1583" w:name="_Toc489971229"/>
      <w:r w:rsidRPr="00F271B8">
        <w:rPr>
          <w:lang w:val="en-AU"/>
        </w:rPr>
        <w:t>Data Sharing</w:t>
      </w:r>
      <w:bookmarkEnd w:id="1583"/>
    </w:p>
    <w:p w14:paraId="6D3A8458" w14:textId="77777777" w:rsidR="00735147" w:rsidRPr="00F271B8" w:rsidRDefault="00735147" w:rsidP="00735147">
      <w:pPr>
        <w:pStyle w:val="Heading7"/>
        <w:rPr>
          <w:lang w:val="en-AU"/>
        </w:rPr>
      </w:pPr>
      <w:r w:rsidRPr="00F271B8">
        <w:rPr>
          <w:lang w:val="en-AU"/>
        </w:rPr>
        <w:t>If you have more than one My Plan Plus, My Plan Plus SIM Only, My Plan Essentials, My Plan Business (including Tech Fund), My Plan Business SIM, My Plan Business Essentials, My Mobile Broadband Plus or Mobile Broadband Business on the same billing account, the included data will combine into one data pool, which will be shared by all eligible services on that account</w:t>
      </w:r>
      <w:r>
        <w:rPr>
          <w:lang w:val="en-AU"/>
        </w:rPr>
        <w:t xml:space="preserve">. </w:t>
      </w:r>
    </w:p>
    <w:p w14:paraId="78F42704" w14:textId="77777777" w:rsidR="00735147" w:rsidRPr="00F271B8" w:rsidRDefault="00735147" w:rsidP="00735147">
      <w:pPr>
        <w:pStyle w:val="Heading7"/>
        <w:rPr>
          <w:lang w:val="en-AU"/>
        </w:rPr>
      </w:pPr>
      <w:r w:rsidRPr="00F271B8">
        <w:rPr>
          <w:i/>
          <w:lang w:val="en-AU"/>
        </w:rPr>
        <w:t>You</w:t>
      </w:r>
      <w:r w:rsidRPr="00F271B8">
        <w:rPr>
          <w:lang w:val="en-AU"/>
        </w:rPr>
        <w:t xml:space="preserve"> can also share the Included Data in </w:t>
      </w:r>
      <w:r w:rsidRPr="00F271B8">
        <w:rPr>
          <w:i/>
          <w:lang w:val="en-AU"/>
        </w:rPr>
        <w:t>your</w:t>
      </w:r>
      <w:r w:rsidRPr="00F271B8">
        <w:rPr>
          <w:lang w:val="en-AU"/>
        </w:rPr>
        <w:t xml:space="preserve"> My Plan Plus plan with up to five (5) SIM-ready mobile broadband devices (e.g</w:t>
      </w:r>
      <w:r>
        <w:rPr>
          <w:lang w:val="en-AU"/>
        </w:rPr>
        <w:t xml:space="preserve">. </w:t>
      </w:r>
      <w:r w:rsidRPr="00F271B8">
        <w:rPr>
          <w:lang w:val="en-AU"/>
        </w:rPr>
        <w:t>tablets, USB modems and laptops)</w:t>
      </w:r>
      <w:r>
        <w:rPr>
          <w:lang w:val="en-AU"/>
        </w:rPr>
        <w:t xml:space="preserve">. </w:t>
      </w:r>
      <w:r w:rsidRPr="00F271B8">
        <w:rPr>
          <w:i/>
          <w:lang w:val="en-AU"/>
        </w:rPr>
        <w:t>You</w:t>
      </w:r>
      <w:r w:rsidRPr="00F271B8">
        <w:rPr>
          <w:lang w:val="en-AU"/>
        </w:rPr>
        <w:t xml:space="preserve"> must connect these mobile broadband devices to Shared Data Plans which have a $5 set up fee each and no ongoing monthly charges</w:t>
      </w:r>
      <w:r>
        <w:rPr>
          <w:lang w:val="en-AU"/>
        </w:rPr>
        <w:t xml:space="preserve">. </w:t>
      </w:r>
    </w:p>
    <w:p w14:paraId="4989B8D1" w14:textId="77777777" w:rsidR="00735147" w:rsidRPr="00F271B8" w:rsidRDefault="00735147" w:rsidP="00735147">
      <w:pPr>
        <w:pStyle w:val="Heading7"/>
        <w:rPr>
          <w:lang w:val="en-AU"/>
        </w:rPr>
      </w:pPr>
      <w:r w:rsidRPr="00F271B8">
        <w:rPr>
          <w:lang w:val="en-AU"/>
        </w:rPr>
        <w:t>Data sharing is only available within Australia.</w:t>
      </w:r>
    </w:p>
    <w:p w14:paraId="43840736" w14:textId="77777777" w:rsidR="00735147" w:rsidRPr="00500C24" w:rsidRDefault="00735147" w:rsidP="00735147">
      <w:pPr>
        <w:pStyle w:val="Heading6"/>
        <w:ind w:left="0" w:firstLine="0"/>
        <w:rPr>
          <w:lang w:val="en-AU"/>
        </w:rPr>
      </w:pPr>
      <w:bookmarkStart w:id="1584" w:name="_Toc489971230"/>
      <w:r w:rsidRPr="00500C24">
        <w:rPr>
          <w:lang w:val="en-AU"/>
        </w:rPr>
        <w:t>International Minutes</w:t>
      </w:r>
      <w:bookmarkEnd w:id="1584"/>
    </w:p>
    <w:p w14:paraId="3B1581ED" w14:textId="77777777" w:rsidR="00735147" w:rsidRPr="00500C24" w:rsidRDefault="00735147" w:rsidP="00735147">
      <w:pPr>
        <w:ind w:left="709"/>
        <w:rPr>
          <w:rFonts w:cs="Arial"/>
          <w:sz w:val="20"/>
          <w:szCs w:val="20"/>
        </w:rPr>
      </w:pPr>
      <w:r w:rsidRPr="00500C24">
        <w:rPr>
          <w:rFonts w:cs="Arial"/>
          <w:sz w:val="20"/>
          <w:szCs w:val="20"/>
        </w:rPr>
        <w:t>The $90</w:t>
      </w:r>
      <w:r>
        <w:rPr>
          <w:rFonts w:cs="Arial"/>
          <w:sz w:val="20"/>
          <w:szCs w:val="20"/>
        </w:rPr>
        <w:t>/$105</w:t>
      </w:r>
      <w:r w:rsidRPr="00500C24">
        <w:rPr>
          <w:rFonts w:cs="Arial"/>
          <w:sz w:val="20"/>
          <w:szCs w:val="20"/>
        </w:rPr>
        <w:t xml:space="preserve"> My Plan Business includes unlimited international minutes for standard calls to mobiles and fixed lines in selected countries. </w:t>
      </w:r>
      <w:r w:rsidRPr="006F4431">
        <w:rPr>
          <w:rFonts w:cs="Arial"/>
          <w:sz w:val="20"/>
          <w:szCs w:val="20"/>
        </w:rPr>
        <w:t xml:space="preserve">From 5 February 2017 the following countries will also be included: Canada, Hong Kong, South Korea and Thailand. </w:t>
      </w:r>
      <w:r w:rsidRPr="00500C24">
        <w:rPr>
          <w:rFonts w:cs="Arial"/>
          <w:sz w:val="20"/>
          <w:szCs w:val="20"/>
        </w:rPr>
        <w:t>For a list of selected countries see Table 3 below.</w:t>
      </w:r>
    </w:p>
    <w:p w14:paraId="43263CBC" w14:textId="77777777" w:rsidR="00735147" w:rsidRPr="00500C24" w:rsidRDefault="00735147" w:rsidP="00735147">
      <w:pPr>
        <w:ind w:left="709"/>
        <w:rPr>
          <w:rFonts w:cs="Arial"/>
          <w:sz w:val="20"/>
          <w:szCs w:val="20"/>
        </w:rPr>
      </w:pPr>
    </w:p>
    <w:p w14:paraId="2CF4D7C2" w14:textId="77777777" w:rsidR="00735147" w:rsidRPr="00902620" w:rsidRDefault="00735147" w:rsidP="00735147">
      <w:pPr>
        <w:spacing w:after="240"/>
        <w:ind w:left="709"/>
        <w:rPr>
          <w:rFonts w:cs="Arial"/>
          <w:sz w:val="20"/>
          <w:szCs w:val="20"/>
        </w:rPr>
      </w:pPr>
      <w:r w:rsidRPr="00500C24">
        <w:rPr>
          <w:rFonts w:cs="Arial"/>
          <w:sz w:val="20"/>
          <w:szCs w:val="20"/>
        </w:rPr>
        <w:t>Calls to non-selected countries are charged at standard ‘</w:t>
      </w:r>
      <w:r>
        <w:rPr>
          <w:rFonts w:cs="Arial"/>
          <w:sz w:val="20"/>
          <w:szCs w:val="20"/>
        </w:rPr>
        <w:t xml:space="preserve">yes’ international call rates. </w:t>
      </w:r>
    </w:p>
    <w:p w14:paraId="4805F0B0" w14:textId="77777777" w:rsidR="00735147" w:rsidRPr="00F271B8" w:rsidRDefault="00735147" w:rsidP="00735147">
      <w:pPr>
        <w:pStyle w:val="Heading6"/>
        <w:ind w:left="0" w:firstLine="0"/>
        <w:rPr>
          <w:lang w:val="en-AU"/>
        </w:rPr>
      </w:pPr>
      <w:bookmarkStart w:id="1585" w:name="_Toc489971231"/>
      <w:r w:rsidRPr="00F271B8">
        <w:rPr>
          <w:lang w:val="en-AU"/>
        </w:rPr>
        <w:t>Unlimited standard national SMS and MMS</w:t>
      </w:r>
      <w:bookmarkEnd w:id="1585"/>
    </w:p>
    <w:p w14:paraId="26EF6728" w14:textId="77777777" w:rsidR="00735147" w:rsidRPr="00F271B8" w:rsidRDefault="00735147" w:rsidP="00735147">
      <w:pPr>
        <w:pStyle w:val="BodyText"/>
        <w:ind w:left="720"/>
        <w:rPr>
          <w:szCs w:val="20"/>
          <w:u w:val="single"/>
        </w:rPr>
      </w:pPr>
      <w:r w:rsidRPr="00F271B8">
        <w:rPr>
          <w:i/>
          <w:szCs w:val="20"/>
        </w:rPr>
        <w:t>You</w:t>
      </w:r>
      <w:r w:rsidRPr="00F271B8">
        <w:rPr>
          <w:szCs w:val="20"/>
        </w:rPr>
        <w:t xml:space="preserve"> may send unlimited standard SMS and MMS to Australian mobiles from within Australia</w:t>
      </w:r>
      <w:r>
        <w:rPr>
          <w:szCs w:val="20"/>
        </w:rPr>
        <w:t xml:space="preserve">. </w:t>
      </w:r>
      <w:hyperlink r:id="rId729" w:history="1">
        <w:r w:rsidRPr="00F271B8">
          <w:rPr>
            <w:rStyle w:val="Hyperlink"/>
            <w:i/>
            <w:szCs w:val="20"/>
          </w:rPr>
          <w:t>Fair Go Policy</w:t>
        </w:r>
      </w:hyperlink>
      <w:r w:rsidRPr="00F271B8">
        <w:rPr>
          <w:szCs w:val="20"/>
        </w:rPr>
        <w:t xml:space="preserve"> applies</w:t>
      </w:r>
      <w:r>
        <w:rPr>
          <w:szCs w:val="20"/>
        </w:rPr>
        <w:t xml:space="preserve">. </w:t>
      </w:r>
      <w:r w:rsidRPr="00F271B8">
        <w:rPr>
          <w:szCs w:val="20"/>
        </w:rPr>
        <w:t xml:space="preserve">For further details refer to </w:t>
      </w:r>
      <w:hyperlink r:id="rId730" w:history="1">
        <w:r w:rsidRPr="00F271B8">
          <w:rPr>
            <w:rStyle w:val="Hyperlink"/>
            <w:i/>
            <w:szCs w:val="20"/>
          </w:rPr>
          <w:t>Appendix S</w:t>
        </w:r>
        <w:r w:rsidRPr="00FE65F4">
          <w:rPr>
            <w:rStyle w:val="Hyperlink"/>
            <w:i/>
            <w:szCs w:val="20"/>
          </w:rPr>
          <w:t>.</w:t>
        </w:r>
      </w:hyperlink>
    </w:p>
    <w:p w14:paraId="49552D7E" w14:textId="77777777" w:rsidR="00735147" w:rsidRPr="00F271B8" w:rsidRDefault="00735147" w:rsidP="00735147">
      <w:pPr>
        <w:pStyle w:val="Heading6"/>
        <w:ind w:left="0" w:firstLine="0"/>
        <w:rPr>
          <w:lang w:val="en-AU"/>
        </w:rPr>
      </w:pPr>
      <w:bookmarkStart w:id="1586" w:name="_Toc489971232"/>
      <w:r w:rsidRPr="00F271B8">
        <w:rPr>
          <w:lang w:val="en-AU"/>
        </w:rPr>
        <w:t>Unlimited standard international SMS and MMS</w:t>
      </w:r>
      <w:bookmarkEnd w:id="1586"/>
    </w:p>
    <w:p w14:paraId="63BF0AF2" w14:textId="77777777" w:rsidR="00735147" w:rsidRDefault="00735147" w:rsidP="00735147">
      <w:pPr>
        <w:pStyle w:val="BodyText"/>
        <w:ind w:left="720"/>
        <w:rPr>
          <w:i/>
          <w:szCs w:val="20"/>
        </w:rPr>
      </w:pPr>
      <w:r w:rsidRPr="00F271B8">
        <w:rPr>
          <w:i/>
          <w:szCs w:val="20"/>
        </w:rPr>
        <w:t>You</w:t>
      </w:r>
      <w:r w:rsidRPr="00F271B8">
        <w:rPr>
          <w:szCs w:val="20"/>
        </w:rPr>
        <w:t xml:space="preserve"> may send unlimited standard SMS and MMS to selected countries from within Australia</w:t>
      </w:r>
      <w:r>
        <w:rPr>
          <w:szCs w:val="20"/>
        </w:rPr>
        <w:t xml:space="preserve">. </w:t>
      </w:r>
      <w:r w:rsidRPr="00F271B8">
        <w:rPr>
          <w:szCs w:val="20"/>
        </w:rPr>
        <w:t>For a list of selected countries see Table 3 below</w:t>
      </w:r>
      <w:r>
        <w:rPr>
          <w:szCs w:val="20"/>
        </w:rPr>
        <w:t xml:space="preserve">. </w:t>
      </w:r>
      <w:hyperlink r:id="rId731" w:history="1">
        <w:r w:rsidRPr="00F271B8">
          <w:rPr>
            <w:rStyle w:val="Hyperlink"/>
            <w:i/>
            <w:szCs w:val="20"/>
          </w:rPr>
          <w:t>Fair Go Policy</w:t>
        </w:r>
      </w:hyperlink>
      <w:r w:rsidRPr="00F271B8">
        <w:rPr>
          <w:i/>
          <w:szCs w:val="20"/>
        </w:rPr>
        <w:t xml:space="preserve"> </w:t>
      </w:r>
      <w:r w:rsidRPr="00F271B8">
        <w:rPr>
          <w:szCs w:val="20"/>
        </w:rPr>
        <w:t>applies</w:t>
      </w:r>
      <w:r>
        <w:rPr>
          <w:szCs w:val="20"/>
        </w:rPr>
        <w:t xml:space="preserve">. </w:t>
      </w:r>
      <w:r w:rsidRPr="00F271B8">
        <w:rPr>
          <w:szCs w:val="20"/>
        </w:rPr>
        <w:t xml:space="preserve">For further details refer to </w:t>
      </w:r>
      <w:hyperlink r:id="rId732" w:history="1">
        <w:r w:rsidRPr="00F271B8">
          <w:rPr>
            <w:rStyle w:val="Hyperlink"/>
            <w:i/>
            <w:szCs w:val="20"/>
          </w:rPr>
          <w:t>Appendix S</w:t>
        </w:r>
        <w:r w:rsidRPr="00FE65F4">
          <w:rPr>
            <w:rStyle w:val="Hyperlink"/>
            <w:i/>
            <w:szCs w:val="20"/>
          </w:rPr>
          <w:t>.</w:t>
        </w:r>
      </w:hyperlink>
    </w:p>
    <w:p w14:paraId="3313CD64" w14:textId="77777777" w:rsidR="00735147" w:rsidRPr="00D60F4C" w:rsidRDefault="00735147" w:rsidP="00735147">
      <w:pPr>
        <w:pStyle w:val="Heading6"/>
        <w:ind w:left="0" w:firstLine="0"/>
        <w:rPr>
          <w:lang w:val="en-AU"/>
        </w:rPr>
      </w:pPr>
      <w:bookmarkStart w:id="1587" w:name="_Toc489971233"/>
      <w:r w:rsidRPr="00D60F4C">
        <w:rPr>
          <w:lang w:val="en-AU"/>
        </w:rPr>
        <w:t xml:space="preserve">Optus </w:t>
      </w:r>
      <w:r w:rsidRPr="00D60F4C">
        <w:t>Travel</w:t>
      </w:r>
      <w:r w:rsidRPr="00D60F4C">
        <w:rPr>
          <w:vertAlign w:val="superscript"/>
        </w:rPr>
        <w:t>TM</w:t>
      </w:r>
      <w:r w:rsidRPr="00D60F4C">
        <w:rPr>
          <w:lang w:val="en-AU"/>
        </w:rPr>
        <w:t xml:space="preserve"> Pack</w:t>
      </w:r>
      <w:bookmarkEnd w:id="1587"/>
    </w:p>
    <w:p w14:paraId="19BB4940" w14:textId="77777777" w:rsidR="00735147" w:rsidRPr="00D60F4C" w:rsidRDefault="00735147" w:rsidP="00735147">
      <w:pPr>
        <w:ind w:left="709"/>
        <w:rPr>
          <w:rFonts w:cs="Arial"/>
          <w:snapToGrid w:val="0"/>
          <w:sz w:val="20"/>
          <w:szCs w:val="20"/>
        </w:rPr>
      </w:pPr>
      <w:r w:rsidRPr="00D60F4C">
        <w:rPr>
          <w:rFonts w:cs="Arial"/>
          <w:snapToGrid w:val="0"/>
          <w:sz w:val="20"/>
          <w:szCs w:val="20"/>
        </w:rPr>
        <w:t>The $90 My Plan Business plans can take up the Optus Travel</w:t>
      </w:r>
      <w:r w:rsidRPr="00D60F4C">
        <w:rPr>
          <w:rFonts w:cs="Arial"/>
          <w:snapToGrid w:val="0"/>
          <w:sz w:val="20"/>
          <w:szCs w:val="20"/>
          <w:vertAlign w:val="superscript"/>
        </w:rPr>
        <w:t>TM</w:t>
      </w:r>
      <w:r w:rsidRPr="00D60F4C">
        <w:rPr>
          <w:rFonts w:cs="Arial"/>
          <w:snapToGrid w:val="0"/>
          <w:sz w:val="20"/>
          <w:szCs w:val="20"/>
        </w:rPr>
        <w:t xml:space="preserve"> Pack for $5 per day. </w:t>
      </w:r>
      <w:r w:rsidRPr="00D60F4C">
        <w:rPr>
          <w:rFonts w:cs="Arial"/>
          <w:i/>
          <w:snapToGrid w:val="0"/>
          <w:sz w:val="20"/>
          <w:szCs w:val="20"/>
        </w:rPr>
        <w:t>You</w:t>
      </w:r>
      <w:r w:rsidRPr="00D60F4C">
        <w:rPr>
          <w:rFonts w:cs="Arial"/>
          <w:snapToGrid w:val="0"/>
          <w:sz w:val="20"/>
          <w:szCs w:val="20"/>
        </w:rPr>
        <w:t xml:space="preserve"> need to ensure you purchase and activate any Optus Travel</w:t>
      </w:r>
      <w:r w:rsidRPr="00D60F4C">
        <w:rPr>
          <w:rFonts w:cs="Arial"/>
          <w:snapToGrid w:val="0"/>
          <w:sz w:val="20"/>
          <w:szCs w:val="20"/>
          <w:vertAlign w:val="superscript"/>
        </w:rPr>
        <w:t>TM</w:t>
      </w:r>
      <w:r w:rsidRPr="00D60F4C">
        <w:rPr>
          <w:rFonts w:cs="Arial"/>
          <w:snapToGrid w:val="0"/>
          <w:sz w:val="20"/>
          <w:szCs w:val="20"/>
        </w:rPr>
        <w:t xml:space="preserve"> Pack by contacting Optus prior to use. Optus Travel</w:t>
      </w:r>
      <w:r w:rsidRPr="00D60F4C">
        <w:rPr>
          <w:rFonts w:cs="Arial"/>
          <w:snapToGrid w:val="0"/>
          <w:sz w:val="20"/>
          <w:szCs w:val="20"/>
          <w:vertAlign w:val="superscript"/>
        </w:rPr>
        <w:t>TM</w:t>
      </w:r>
      <w:r w:rsidRPr="00D60F4C">
        <w:rPr>
          <w:rFonts w:cs="Arial"/>
          <w:snapToGrid w:val="0"/>
          <w:sz w:val="20"/>
          <w:szCs w:val="20"/>
        </w:rPr>
        <w:t xml:space="preserve"> Pack gives you unlimited standard national and international voice, SMS (MMS is excluded) plus 50MB of data to use in Zone 1 countries per day. For list of countries see optus.com.au/biztravel.</w:t>
      </w:r>
    </w:p>
    <w:p w14:paraId="40F5E083" w14:textId="77777777" w:rsidR="00735147" w:rsidRPr="00D60F4C" w:rsidRDefault="00735147" w:rsidP="00735147">
      <w:pPr>
        <w:ind w:left="709"/>
        <w:rPr>
          <w:rFonts w:cs="Arial"/>
          <w:snapToGrid w:val="0"/>
          <w:sz w:val="20"/>
          <w:szCs w:val="20"/>
        </w:rPr>
      </w:pPr>
    </w:p>
    <w:p w14:paraId="33B2C746" w14:textId="77777777" w:rsidR="00735147" w:rsidRPr="00D60F4C" w:rsidRDefault="00735147" w:rsidP="00735147">
      <w:pPr>
        <w:tabs>
          <w:tab w:val="left" w:pos="567"/>
          <w:tab w:val="left" w:pos="709"/>
          <w:tab w:val="left" w:pos="1701"/>
        </w:tabs>
        <w:ind w:left="709"/>
        <w:rPr>
          <w:rFonts w:cs="Arial"/>
          <w:snapToGrid w:val="0"/>
          <w:sz w:val="20"/>
          <w:szCs w:val="20"/>
          <w:lang w:val="en-AU"/>
        </w:rPr>
      </w:pPr>
      <w:r w:rsidRPr="00D60F4C">
        <w:rPr>
          <w:rFonts w:cs="Arial"/>
          <w:i/>
          <w:snapToGrid w:val="0"/>
          <w:sz w:val="20"/>
          <w:szCs w:val="20"/>
          <w:lang w:val="en-AU"/>
        </w:rPr>
        <w:t>You</w:t>
      </w:r>
      <w:r w:rsidRPr="00D60F4C">
        <w:rPr>
          <w:rFonts w:cs="Arial"/>
          <w:snapToGrid w:val="0"/>
          <w:sz w:val="20"/>
          <w:szCs w:val="20"/>
          <w:lang w:val="en-AU"/>
        </w:rPr>
        <w:t xml:space="preserve"> can activate the Optus Travel</w:t>
      </w:r>
      <w:r w:rsidRPr="00D60F4C">
        <w:rPr>
          <w:rFonts w:cs="Arial"/>
          <w:snapToGrid w:val="0"/>
          <w:sz w:val="20"/>
          <w:szCs w:val="20"/>
          <w:vertAlign w:val="superscript"/>
          <w:lang w:val="en-AU"/>
        </w:rPr>
        <w:t>TM</w:t>
      </w:r>
      <w:r w:rsidRPr="00D60F4C">
        <w:rPr>
          <w:rFonts w:cs="Arial"/>
          <w:snapToGrid w:val="0"/>
          <w:sz w:val="20"/>
          <w:szCs w:val="20"/>
          <w:lang w:val="en-AU"/>
        </w:rPr>
        <w:t xml:space="preserve"> Pack on a day to day basis or multiple days at once. If you activate multiple consecutive days, the data allowance will accumulate, for example </w:t>
      </w:r>
      <w:r w:rsidRPr="00D60F4C">
        <w:rPr>
          <w:rFonts w:cs="Arial"/>
          <w:bCs/>
          <w:snapToGrid w:val="0"/>
          <w:sz w:val="20"/>
          <w:szCs w:val="20"/>
          <w:lang w:val="en-AU"/>
        </w:rPr>
        <w:t>activate 5 consecutive days and use 250MB any time over the 5 day period. If you exceed the data limit, standard data roaming charges will apply. Any data provided as part of Optus Travel™ Pack is not shareable and will not form part of any Data Pool. Any unused days of Optus Travel™ Pack are forfeited and cannot be rolled over to the next billing month.</w:t>
      </w:r>
    </w:p>
    <w:p w14:paraId="6C939F6B" w14:textId="77777777" w:rsidR="00735147" w:rsidRDefault="00735147" w:rsidP="00735147">
      <w:pPr>
        <w:tabs>
          <w:tab w:val="left" w:pos="567"/>
          <w:tab w:val="left" w:pos="709"/>
          <w:tab w:val="left" w:pos="1701"/>
        </w:tabs>
        <w:spacing w:before="120" w:after="120"/>
        <w:ind w:left="709"/>
        <w:rPr>
          <w:rFonts w:cs="Arial"/>
          <w:bCs/>
          <w:snapToGrid w:val="0"/>
          <w:sz w:val="20"/>
          <w:szCs w:val="20"/>
          <w:lang w:val="en-AU"/>
        </w:rPr>
      </w:pPr>
      <w:r w:rsidRPr="00D60F4C">
        <w:rPr>
          <w:rFonts w:cs="Arial"/>
          <w:snapToGrid w:val="0"/>
          <w:sz w:val="20"/>
          <w:szCs w:val="20"/>
          <w:lang w:val="en-AU"/>
        </w:rPr>
        <w:lastRenderedPageBreak/>
        <w:t>I</w:t>
      </w:r>
      <w:r w:rsidRPr="00D60F4C">
        <w:rPr>
          <w:rFonts w:cs="Arial"/>
          <w:bCs/>
          <w:snapToGrid w:val="0"/>
          <w:sz w:val="20"/>
          <w:szCs w:val="20"/>
          <w:lang w:val="en-AU"/>
        </w:rPr>
        <w:t>f you are not in a Zone 1 country you will be charged at standard roaming rates for that country.</w:t>
      </w:r>
    </w:p>
    <w:p w14:paraId="7657C7A6" w14:textId="77777777" w:rsidR="00735147" w:rsidRDefault="00735147" w:rsidP="00735147">
      <w:pPr>
        <w:pStyle w:val="Heading6"/>
        <w:ind w:left="0" w:firstLine="0"/>
        <w:rPr>
          <w:snapToGrid w:val="0"/>
        </w:rPr>
      </w:pPr>
      <w:bookmarkStart w:id="1588" w:name="_Toc489971234"/>
      <w:r>
        <w:rPr>
          <w:snapToGrid w:val="0"/>
        </w:rPr>
        <w:t>International Roaming</w:t>
      </w:r>
      <w:bookmarkEnd w:id="1588"/>
    </w:p>
    <w:p w14:paraId="20932E35" w14:textId="77777777" w:rsidR="00735147" w:rsidRDefault="00735147" w:rsidP="00735147">
      <w:pPr>
        <w:pStyle w:val="BodyText"/>
        <w:ind w:left="720"/>
        <w:rPr>
          <w:rFonts w:cs="Arial"/>
          <w:snapToGrid w:val="0"/>
          <w:szCs w:val="20"/>
        </w:rPr>
      </w:pPr>
      <w:r>
        <w:rPr>
          <w:rFonts w:cs="Arial"/>
          <w:snapToGrid w:val="0"/>
          <w:szCs w:val="20"/>
        </w:rPr>
        <w:t>The $105</w:t>
      </w:r>
      <w:r w:rsidRPr="0093347D">
        <w:rPr>
          <w:rFonts w:cs="Arial"/>
          <w:snapToGrid w:val="0"/>
          <w:szCs w:val="20"/>
        </w:rPr>
        <w:t xml:space="preserve"> </w:t>
      </w:r>
      <w:r>
        <w:rPr>
          <w:rFonts w:cs="Arial"/>
          <w:snapToGrid w:val="0"/>
          <w:szCs w:val="20"/>
        </w:rPr>
        <w:t>My Plan Business</w:t>
      </w:r>
      <w:r w:rsidRPr="0093347D">
        <w:rPr>
          <w:rFonts w:cs="Arial"/>
          <w:snapToGrid w:val="0"/>
          <w:szCs w:val="20"/>
        </w:rPr>
        <w:t xml:space="preserve"> plan has </w:t>
      </w:r>
      <w:r>
        <w:rPr>
          <w:rFonts w:cs="Arial"/>
          <w:snapToGrid w:val="0"/>
          <w:szCs w:val="20"/>
        </w:rPr>
        <w:t>International Roaming</w:t>
      </w:r>
      <w:r w:rsidRPr="0093347D">
        <w:rPr>
          <w:rFonts w:cs="Arial"/>
          <w:snapToGrid w:val="0"/>
          <w:szCs w:val="20"/>
        </w:rPr>
        <w:t xml:space="preserve"> for use within each billing month. </w:t>
      </w:r>
      <w:r w:rsidRPr="0093347D">
        <w:rPr>
          <w:rFonts w:cs="Arial"/>
          <w:i/>
          <w:snapToGrid w:val="0"/>
          <w:szCs w:val="20"/>
        </w:rPr>
        <w:t>You</w:t>
      </w:r>
      <w:r w:rsidRPr="0093347D">
        <w:rPr>
          <w:rFonts w:cs="Arial"/>
          <w:snapToGrid w:val="0"/>
          <w:szCs w:val="20"/>
        </w:rPr>
        <w:t xml:space="preserve"> need to ensure your </w:t>
      </w:r>
      <w:r>
        <w:rPr>
          <w:rFonts w:cs="Arial"/>
          <w:snapToGrid w:val="0"/>
          <w:szCs w:val="20"/>
        </w:rPr>
        <w:t>International Roaming</w:t>
      </w:r>
      <w:r w:rsidRPr="0093347D">
        <w:rPr>
          <w:rFonts w:cs="Arial"/>
          <w:snapToGrid w:val="0"/>
          <w:szCs w:val="20"/>
        </w:rPr>
        <w:t xml:space="preserve"> is active by contacting </w:t>
      </w:r>
      <w:r w:rsidRPr="004C768F">
        <w:rPr>
          <w:rFonts w:cs="Arial"/>
          <w:i/>
          <w:snapToGrid w:val="0"/>
          <w:szCs w:val="20"/>
        </w:rPr>
        <w:t>Optus</w:t>
      </w:r>
      <w:r w:rsidRPr="0093347D">
        <w:rPr>
          <w:rFonts w:cs="Arial"/>
          <w:snapToGrid w:val="0"/>
          <w:szCs w:val="20"/>
        </w:rPr>
        <w:t xml:space="preserve"> prior to use. </w:t>
      </w:r>
      <w:r>
        <w:rPr>
          <w:rFonts w:cs="Arial"/>
          <w:snapToGrid w:val="0"/>
          <w:szCs w:val="20"/>
        </w:rPr>
        <w:t>Your International Roaming inclusions</w:t>
      </w:r>
      <w:r w:rsidRPr="0093347D">
        <w:rPr>
          <w:rFonts w:cs="Arial"/>
          <w:snapToGrid w:val="0"/>
          <w:szCs w:val="20"/>
        </w:rPr>
        <w:t xml:space="preserve"> gives </w:t>
      </w:r>
      <w:r w:rsidRPr="004C768F">
        <w:rPr>
          <w:rFonts w:cs="Arial"/>
          <w:i/>
          <w:snapToGrid w:val="0"/>
          <w:szCs w:val="20"/>
        </w:rPr>
        <w:t>you</w:t>
      </w:r>
      <w:r w:rsidRPr="0093347D">
        <w:rPr>
          <w:rFonts w:cs="Arial"/>
          <w:snapToGrid w:val="0"/>
          <w:szCs w:val="20"/>
        </w:rPr>
        <w:t xml:space="preserve"> unlimited standard national and international voice, SMS (MMS is excluded) plus </w:t>
      </w:r>
      <w:r>
        <w:rPr>
          <w:rFonts w:cs="Arial"/>
          <w:snapToGrid w:val="0"/>
          <w:szCs w:val="20"/>
        </w:rPr>
        <w:t>a certain amount</w:t>
      </w:r>
      <w:r w:rsidRPr="0093347D">
        <w:rPr>
          <w:rFonts w:cs="Arial"/>
          <w:snapToGrid w:val="0"/>
          <w:szCs w:val="20"/>
        </w:rPr>
        <w:t xml:space="preserve"> of data to use in Zone 1 countries.</w:t>
      </w:r>
      <w:r>
        <w:rPr>
          <w:rFonts w:cs="Arial"/>
          <w:snapToGrid w:val="0"/>
          <w:szCs w:val="20"/>
        </w:rPr>
        <w:t xml:space="preserve"> </w:t>
      </w:r>
      <w:r w:rsidRPr="00022EAD">
        <w:rPr>
          <w:rFonts w:cs="Arial"/>
          <w:snapToGrid w:val="0"/>
          <w:szCs w:val="20"/>
        </w:rPr>
        <w:t>If you are not in a Zone 1 country you will be charged at standard roaming rates for that country. For list of countries see optus.com.au/travel</w:t>
      </w:r>
    </w:p>
    <w:p w14:paraId="49606751" w14:textId="77777777" w:rsidR="00735147" w:rsidRDefault="00735147" w:rsidP="00735147">
      <w:pPr>
        <w:pStyle w:val="BodyText"/>
        <w:ind w:left="720"/>
        <w:rPr>
          <w:snapToGrid w:val="0"/>
        </w:rPr>
      </w:pPr>
      <w:r w:rsidRPr="00022EAD">
        <w:rPr>
          <w:snapToGrid w:val="0"/>
        </w:rPr>
        <w:t xml:space="preserve">If </w:t>
      </w:r>
      <w:r w:rsidRPr="00022EAD">
        <w:rPr>
          <w:i/>
          <w:snapToGrid w:val="0"/>
        </w:rPr>
        <w:t>you</w:t>
      </w:r>
      <w:r w:rsidRPr="00022EAD">
        <w:rPr>
          <w:snapToGrid w:val="0"/>
        </w:rPr>
        <w:t xml:space="preserve"> exceed the data limit</w:t>
      </w:r>
      <w:r>
        <w:rPr>
          <w:snapToGrid w:val="0"/>
        </w:rPr>
        <w:t xml:space="preserve">, standard data roaming charges </w:t>
      </w:r>
      <w:r w:rsidRPr="00022EAD">
        <w:rPr>
          <w:snapToGrid w:val="0"/>
        </w:rPr>
        <w:t xml:space="preserve">will apply. Any data provided is </w:t>
      </w:r>
      <w:r>
        <w:rPr>
          <w:snapToGrid w:val="0"/>
        </w:rPr>
        <w:t xml:space="preserve">not shareable and will not form </w:t>
      </w:r>
      <w:r w:rsidRPr="00022EAD">
        <w:rPr>
          <w:snapToGrid w:val="0"/>
        </w:rPr>
        <w:t>part of any Data Pool. Any un</w:t>
      </w:r>
      <w:r>
        <w:rPr>
          <w:snapToGrid w:val="0"/>
        </w:rPr>
        <w:t xml:space="preserve">used data will be forfeited and </w:t>
      </w:r>
      <w:r w:rsidRPr="00022EAD">
        <w:rPr>
          <w:snapToGrid w:val="0"/>
        </w:rPr>
        <w:t>cannot be rolled over to the next billing month.</w:t>
      </w:r>
      <w:r>
        <w:rPr>
          <w:rFonts w:cs="Arial"/>
          <w:bCs/>
          <w:snapToGrid w:val="0"/>
          <w:szCs w:val="20"/>
          <w:lang w:val="en-AU"/>
        </w:rPr>
        <w:br/>
      </w:r>
    </w:p>
    <w:p w14:paraId="126873E2" w14:textId="77777777" w:rsidR="00735147" w:rsidRPr="00AF1778" w:rsidRDefault="00735147" w:rsidP="00735147">
      <w:pPr>
        <w:pStyle w:val="BodyText"/>
        <w:ind w:left="720"/>
        <w:rPr>
          <w:snapToGrid w:val="0"/>
        </w:rPr>
      </w:pPr>
    </w:p>
    <w:p w14:paraId="4C325654" w14:textId="77777777" w:rsidR="00735147" w:rsidRPr="00F271B8" w:rsidRDefault="00735147" w:rsidP="00735147">
      <w:pPr>
        <w:pStyle w:val="Heading6"/>
        <w:ind w:left="0" w:firstLine="0"/>
        <w:rPr>
          <w:lang w:val="en-AU"/>
        </w:rPr>
      </w:pPr>
      <w:bookmarkStart w:id="1589" w:name="_Toc489971235"/>
      <w:r w:rsidRPr="00F271B8">
        <w:rPr>
          <w:lang w:val="en-AU"/>
        </w:rPr>
        <w:t>Additional benefit – Handset Credit</w:t>
      </w:r>
      <w:bookmarkEnd w:id="1589"/>
    </w:p>
    <w:p w14:paraId="4226BB51" w14:textId="77777777" w:rsidR="00735147" w:rsidRPr="00F271B8" w:rsidRDefault="00735147" w:rsidP="00735147">
      <w:pPr>
        <w:pStyle w:val="Heading7"/>
        <w:rPr>
          <w:lang w:val="en-AU"/>
        </w:rPr>
      </w:pPr>
      <w:r w:rsidRPr="00F271B8">
        <w:rPr>
          <w:i/>
          <w:lang w:val="en-AU"/>
        </w:rPr>
        <w:t xml:space="preserve">When you </w:t>
      </w:r>
      <w:r w:rsidRPr="00F271B8">
        <w:rPr>
          <w:lang w:val="en-AU"/>
        </w:rPr>
        <w:t>connect to a My Plan Plus which has a monthly phone credit (</w:t>
      </w:r>
      <w:r>
        <w:rPr>
          <w:lang w:val="en-AU"/>
        </w:rPr>
        <w:t>'</w:t>
      </w:r>
      <w:r w:rsidRPr="00F271B8">
        <w:rPr>
          <w:b/>
          <w:lang w:val="en-AU"/>
        </w:rPr>
        <w:t>Handset Credit</w:t>
      </w:r>
      <w:r>
        <w:rPr>
          <w:lang w:val="en-AU"/>
        </w:rPr>
        <w:t>'</w:t>
      </w:r>
      <w:r w:rsidRPr="00F271B8">
        <w:rPr>
          <w:lang w:val="en-AU"/>
        </w:rPr>
        <w:t xml:space="preserve">) each month for </w:t>
      </w:r>
      <w:r w:rsidRPr="00F271B8">
        <w:rPr>
          <w:i/>
          <w:lang w:val="en-AU"/>
        </w:rPr>
        <w:t>your minimum term</w:t>
      </w:r>
      <w:r w:rsidRPr="00F271B8">
        <w:rPr>
          <w:lang w:val="en-AU"/>
        </w:rPr>
        <w:t xml:space="preserve">, this will reduce the monthly repayment costs of the handset </w:t>
      </w:r>
      <w:r w:rsidRPr="00F271B8">
        <w:rPr>
          <w:i/>
          <w:lang w:val="en-AU"/>
        </w:rPr>
        <w:t xml:space="preserve">you </w:t>
      </w:r>
      <w:r w:rsidRPr="00F271B8">
        <w:rPr>
          <w:lang w:val="en-AU"/>
        </w:rPr>
        <w:t xml:space="preserve">have chosen with </w:t>
      </w:r>
      <w:r w:rsidRPr="00F271B8">
        <w:rPr>
          <w:i/>
          <w:lang w:val="en-AU"/>
        </w:rPr>
        <w:t>your pricing plan</w:t>
      </w:r>
      <w:r>
        <w:rPr>
          <w:lang w:val="en-AU"/>
        </w:rPr>
        <w:t xml:space="preserve">. </w:t>
      </w:r>
    </w:p>
    <w:p w14:paraId="62ECF45B" w14:textId="77777777" w:rsidR="00735147" w:rsidRPr="00D60F4C" w:rsidRDefault="00735147" w:rsidP="00735147">
      <w:pPr>
        <w:pStyle w:val="Heading7"/>
        <w:rPr>
          <w:lang w:val="en-AU"/>
        </w:rPr>
      </w:pPr>
      <w:r w:rsidRPr="00F271B8">
        <w:rPr>
          <w:lang w:val="en-AU"/>
        </w:rPr>
        <w:t xml:space="preserve">If </w:t>
      </w:r>
      <w:r w:rsidRPr="00F271B8">
        <w:rPr>
          <w:i/>
          <w:lang w:val="en-AU"/>
        </w:rPr>
        <w:t>you</w:t>
      </w:r>
      <w:r w:rsidRPr="00F271B8">
        <w:rPr>
          <w:lang w:val="en-AU"/>
        </w:rPr>
        <w:t xml:space="preserve"> </w:t>
      </w:r>
      <w:r w:rsidRPr="00F271B8">
        <w:rPr>
          <w:i/>
          <w:lang w:val="en-AU"/>
        </w:rPr>
        <w:t>cancel your pricing plan</w:t>
      </w:r>
      <w:r w:rsidRPr="00F271B8">
        <w:rPr>
          <w:lang w:val="en-AU"/>
        </w:rPr>
        <w:t xml:space="preserve"> or the </w:t>
      </w:r>
      <w:r w:rsidRPr="00F271B8">
        <w:rPr>
          <w:i/>
          <w:lang w:val="en-AU"/>
        </w:rPr>
        <w:t xml:space="preserve">mobile equipment payment plan </w:t>
      </w:r>
      <w:r w:rsidRPr="00F271B8">
        <w:rPr>
          <w:lang w:val="en-AU"/>
        </w:rPr>
        <w:t xml:space="preserve">during </w:t>
      </w:r>
      <w:r w:rsidRPr="00F271B8">
        <w:rPr>
          <w:i/>
          <w:lang w:val="en-AU"/>
        </w:rPr>
        <w:t>your minimum term</w:t>
      </w:r>
      <w:r w:rsidRPr="00F271B8">
        <w:rPr>
          <w:lang w:val="en-AU"/>
        </w:rPr>
        <w:t xml:space="preserve">, </w:t>
      </w:r>
      <w:r w:rsidRPr="00F271B8">
        <w:rPr>
          <w:i/>
          <w:lang w:val="en-AU"/>
        </w:rPr>
        <w:t>you</w:t>
      </w:r>
      <w:r w:rsidRPr="00F271B8">
        <w:rPr>
          <w:lang w:val="en-AU"/>
        </w:rPr>
        <w:t xml:space="preserve"> will no longer be entitled to these Handset Credits and </w:t>
      </w:r>
      <w:r w:rsidRPr="00F271B8">
        <w:rPr>
          <w:i/>
          <w:lang w:val="en-AU"/>
        </w:rPr>
        <w:t>you</w:t>
      </w:r>
      <w:r w:rsidRPr="00F271B8">
        <w:rPr>
          <w:lang w:val="en-AU"/>
        </w:rPr>
        <w:t xml:space="preserve"> must pay the remaining handset repayments in full in addition to any </w:t>
      </w:r>
      <w:r w:rsidRPr="00F271B8">
        <w:rPr>
          <w:i/>
          <w:lang w:val="en-AU"/>
        </w:rPr>
        <w:t>cancellation fee</w:t>
      </w:r>
      <w:r w:rsidRPr="00F271B8">
        <w:rPr>
          <w:lang w:val="en-AU"/>
        </w:rPr>
        <w:t>.</w:t>
      </w:r>
      <w:r w:rsidRPr="00D60F4C">
        <w:t xml:space="preserve"> </w:t>
      </w:r>
    </w:p>
    <w:p w14:paraId="37673069" w14:textId="77777777" w:rsidR="00735147" w:rsidRPr="00D60F4C" w:rsidRDefault="00735147" w:rsidP="00735147">
      <w:pPr>
        <w:pStyle w:val="Heading7"/>
        <w:rPr>
          <w:lang w:val="en-AU"/>
        </w:rPr>
      </w:pPr>
      <w:r w:rsidRPr="00D60F4C">
        <w:rPr>
          <w:lang w:val="en-AU"/>
        </w:rPr>
        <w:t xml:space="preserve">If you elect to keep your mobile phone when exercising New Phone Trade Up you will no longer be entitled to the Handset Credit and you will be required to pay the remaining handset repayments in full.  </w:t>
      </w:r>
    </w:p>
    <w:p w14:paraId="0CB8EE76" w14:textId="77777777" w:rsidR="00735147" w:rsidRDefault="00735147" w:rsidP="00735147">
      <w:pPr>
        <w:pStyle w:val="BodyText"/>
        <w:rPr>
          <w:b/>
          <w:lang w:val="en-AU"/>
        </w:rPr>
      </w:pPr>
      <w:r w:rsidRPr="00F271B8">
        <w:rPr>
          <w:b/>
          <w:lang w:val="en-AU"/>
        </w:rPr>
        <w:t>Table 1 –Plan Inclusions and Charges</w:t>
      </w:r>
    </w:p>
    <w:tbl>
      <w:tblPr>
        <w:tblW w:w="494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8"/>
        <w:gridCol w:w="2417"/>
        <w:gridCol w:w="2417"/>
      </w:tblGrid>
      <w:tr w:rsidR="00735147" w:rsidRPr="008A000E" w14:paraId="31026B92" w14:textId="77777777" w:rsidTr="00735147">
        <w:tc>
          <w:tcPr>
            <w:tcW w:w="2600" w:type="pct"/>
            <w:shd w:val="clear" w:color="auto" w:fill="auto"/>
          </w:tcPr>
          <w:p w14:paraId="2DA0CED4" w14:textId="77777777" w:rsidR="00735147" w:rsidRPr="008A000E" w:rsidRDefault="00735147" w:rsidP="00735147">
            <w:pPr>
              <w:rPr>
                <w:rFonts w:eastAsia="Calibri"/>
                <w:sz w:val="20"/>
                <w:szCs w:val="20"/>
              </w:rPr>
            </w:pPr>
          </w:p>
        </w:tc>
        <w:tc>
          <w:tcPr>
            <w:tcW w:w="1200" w:type="pct"/>
            <w:shd w:val="clear" w:color="auto" w:fill="auto"/>
            <w:vAlign w:val="center"/>
          </w:tcPr>
          <w:p w14:paraId="0D2B6A12" w14:textId="77777777" w:rsidR="00735147" w:rsidRPr="008A000E" w:rsidRDefault="00735147" w:rsidP="00735147">
            <w:pPr>
              <w:spacing w:before="120" w:line="276" w:lineRule="auto"/>
              <w:jc w:val="center"/>
              <w:rPr>
                <w:rFonts w:eastAsia="Calibri"/>
                <w:b/>
                <w:sz w:val="20"/>
                <w:szCs w:val="20"/>
              </w:rPr>
            </w:pPr>
            <w:r w:rsidRPr="008A000E">
              <w:rPr>
                <w:rFonts w:eastAsia="Calibri"/>
                <w:b/>
                <w:sz w:val="20"/>
                <w:szCs w:val="20"/>
              </w:rPr>
              <w:t>$</w:t>
            </w:r>
            <w:r>
              <w:rPr>
                <w:rFonts w:eastAsia="Calibri"/>
                <w:b/>
                <w:sz w:val="20"/>
                <w:szCs w:val="20"/>
              </w:rPr>
              <w:t>90 My Plan Business</w:t>
            </w:r>
          </w:p>
        </w:tc>
        <w:tc>
          <w:tcPr>
            <w:tcW w:w="1200" w:type="pct"/>
            <w:vAlign w:val="center"/>
          </w:tcPr>
          <w:p w14:paraId="5590D9DA" w14:textId="77777777" w:rsidR="00735147" w:rsidRPr="008A000E" w:rsidRDefault="00735147" w:rsidP="00735147">
            <w:pPr>
              <w:spacing w:before="120" w:line="276" w:lineRule="auto"/>
              <w:jc w:val="center"/>
              <w:rPr>
                <w:rFonts w:eastAsia="Calibri"/>
                <w:b/>
                <w:sz w:val="20"/>
                <w:szCs w:val="20"/>
              </w:rPr>
            </w:pPr>
            <w:r w:rsidRPr="008A000E">
              <w:rPr>
                <w:rFonts w:eastAsia="Calibri"/>
                <w:b/>
                <w:sz w:val="20"/>
                <w:szCs w:val="20"/>
              </w:rPr>
              <w:t>$</w:t>
            </w:r>
            <w:r>
              <w:rPr>
                <w:rFonts w:eastAsia="Calibri"/>
                <w:b/>
                <w:sz w:val="20"/>
                <w:szCs w:val="20"/>
              </w:rPr>
              <w:t>105 My Plan Business</w:t>
            </w:r>
          </w:p>
        </w:tc>
      </w:tr>
      <w:tr w:rsidR="00735147" w:rsidRPr="008A000E" w14:paraId="421E4B64" w14:textId="77777777" w:rsidTr="00735147">
        <w:tc>
          <w:tcPr>
            <w:tcW w:w="2600" w:type="pct"/>
            <w:shd w:val="clear" w:color="auto" w:fill="auto"/>
          </w:tcPr>
          <w:p w14:paraId="44E57EAE" w14:textId="77777777" w:rsidR="00735147" w:rsidRPr="008A000E" w:rsidRDefault="00735147" w:rsidP="00735147">
            <w:pPr>
              <w:spacing w:before="120" w:after="120" w:line="276" w:lineRule="auto"/>
              <w:rPr>
                <w:rFonts w:eastAsia="Calibri"/>
                <w:sz w:val="20"/>
                <w:szCs w:val="20"/>
              </w:rPr>
            </w:pPr>
            <w:r w:rsidRPr="008A000E">
              <w:rPr>
                <w:rFonts w:eastAsia="Calibri"/>
                <w:b/>
                <w:bCs/>
                <w:sz w:val="20"/>
                <w:szCs w:val="20"/>
                <w:lang w:eastAsia="en-AU"/>
              </w:rPr>
              <w:t>Minimum Monthly charge</w:t>
            </w:r>
          </w:p>
        </w:tc>
        <w:tc>
          <w:tcPr>
            <w:tcW w:w="1200" w:type="pct"/>
            <w:shd w:val="clear" w:color="auto" w:fill="auto"/>
            <w:vAlign w:val="center"/>
          </w:tcPr>
          <w:p w14:paraId="3339AD5B" w14:textId="77777777" w:rsidR="00735147" w:rsidRPr="008A000E" w:rsidRDefault="00735147" w:rsidP="00735147">
            <w:pPr>
              <w:spacing w:before="240"/>
              <w:jc w:val="center"/>
              <w:rPr>
                <w:rFonts w:eastAsia="Calibri"/>
                <w:sz w:val="20"/>
                <w:szCs w:val="20"/>
              </w:rPr>
            </w:pPr>
            <w:r w:rsidRPr="008A000E">
              <w:rPr>
                <w:rFonts w:eastAsia="Calibri"/>
                <w:sz w:val="20"/>
                <w:szCs w:val="20"/>
              </w:rPr>
              <w:t>$</w:t>
            </w:r>
            <w:r>
              <w:rPr>
                <w:rFonts w:eastAsia="Calibri"/>
                <w:sz w:val="20"/>
                <w:szCs w:val="20"/>
              </w:rPr>
              <w:t>90</w:t>
            </w:r>
          </w:p>
        </w:tc>
        <w:tc>
          <w:tcPr>
            <w:tcW w:w="1200" w:type="pct"/>
            <w:vAlign w:val="center"/>
          </w:tcPr>
          <w:p w14:paraId="46BC5539" w14:textId="77777777" w:rsidR="00735147" w:rsidRPr="008A000E" w:rsidRDefault="00735147" w:rsidP="00735147">
            <w:pPr>
              <w:spacing w:before="240"/>
              <w:jc w:val="center"/>
              <w:rPr>
                <w:rFonts w:eastAsia="Calibri"/>
                <w:sz w:val="20"/>
                <w:szCs w:val="20"/>
              </w:rPr>
            </w:pPr>
            <w:r w:rsidRPr="008A000E">
              <w:rPr>
                <w:rFonts w:eastAsia="Calibri"/>
                <w:sz w:val="20"/>
                <w:szCs w:val="20"/>
              </w:rPr>
              <w:t>$</w:t>
            </w:r>
            <w:r>
              <w:rPr>
                <w:rFonts w:eastAsia="Calibri"/>
                <w:sz w:val="20"/>
                <w:szCs w:val="20"/>
              </w:rPr>
              <w:t>105</w:t>
            </w:r>
          </w:p>
        </w:tc>
      </w:tr>
      <w:tr w:rsidR="00735147" w:rsidRPr="008A000E" w14:paraId="658808C6" w14:textId="77777777" w:rsidTr="00735147">
        <w:tc>
          <w:tcPr>
            <w:tcW w:w="2600" w:type="pct"/>
            <w:shd w:val="clear" w:color="auto" w:fill="auto"/>
          </w:tcPr>
          <w:p w14:paraId="1F3F1372" w14:textId="77777777" w:rsidR="00735147" w:rsidRPr="008A000E" w:rsidRDefault="00735147" w:rsidP="00735147">
            <w:pPr>
              <w:spacing w:before="240" w:after="200" w:line="276" w:lineRule="auto"/>
              <w:rPr>
                <w:rFonts w:eastAsia="Calibri"/>
                <w:sz w:val="20"/>
                <w:szCs w:val="20"/>
              </w:rPr>
            </w:pPr>
            <w:r w:rsidRPr="008A000E">
              <w:rPr>
                <w:rFonts w:eastAsia="Calibri"/>
                <w:b/>
                <w:bCs/>
                <w:sz w:val="20"/>
                <w:szCs w:val="20"/>
                <w:lang w:eastAsia="en-AU"/>
              </w:rPr>
              <w:t>Included Data</w:t>
            </w:r>
          </w:p>
        </w:tc>
        <w:tc>
          <w:tcPr>
            <w:tcW w:w="1200" w:type="pct"/>
            <w:shd w:val="clear" w:color="auto" w:fill="auto"/>
            <w:vAlign w:val="center"/>
          </w:tcPr>
          <w:p w14:paraId="51D9C744" w14:textId="77777777" w:rsidR="00735147" w:rsidRPr="008A000E" w:rsidRDefault="00735147" w:rsidP="00735147">
            <w:pPr>
              <w:spacing w:before="240"/>
              <w:jc w:val="center"/>
              <w:rPr>
                <w:rFonts w:eastAsia="Calibri"/>
                <w:sz w:val="20"/>
                <w:szCs w:val="20"/>
              </w:rPr>
            </w:pPr>
            <w:r>
              <w:rPr>
                <w:rFonts w:eastAsia="Calibri"/>
                <w:sz w:val="20"/>
                <w:szCs w:val="20"/>
              </w:rPr>
              <w:t>11</w:t>
            </w:r>
            <w:r w:rsidRPr="008A000E">
              <w:rPr>
                <w:rFonts w:eastAsia="Calibri"/>
                <w:sz w:val="20"/>
                <w:szCs w:val="20"/>
              </w:rPr>
              <w:t>GB</w:t>
            </w:r>
            <w:r>
              <w:rPr>
                <w:rFonts w:eastAsia="Calibri"/>
                <w:sz w:val="20"/>
                <w:szCs w:val="20"/>
              </w:rPr>
              <w:t xml:space="preserve"> </w:t>
            </w:r>
            <w:r>
              <w:rPr>
                <w:rFonts w:eastAsia="Calibri"/>
                <w:sz w:val="20"/>
                <w:szCs w:val="20"/>
              </w:rPr>
              <w:br/>
              <w:t>(includes 3GB bonus data)</w:t>
            </w:r>
          </w:p>
        </w:tc>
        <w:tc>
          <w:tcPr>
            <w:tcW w:w="1200" w:type="pct"/>
            <w:vAlign w:val="center"/>
          </w:tcPr>
          <w:p w14:paraId="2ABE6727" w14:textId="77777777" w:rsidR="00735147" w:rsidRPr="008A000E" w:rsidRDefault="00735147" w:rsidP="00735147">
            <w:pPr>
              <w:spacing w:before="240"/>
              <w:jc w:val="center"/>
              <w:rPr>
                <w:rFonts w:eastAsia="Calibri"/>
                <w:sz w:val="20"/>
                <w:szCs w:val="20"/>
              </w:rPr>
            </w:pPr>
            <w:r>
              <w:rPr>
                <w:rFonts w:eastAsia="Calibri"/>
                <w:sz w:val="20"/>
                <w:szCs w:val="20"/>
              </w:rPr>
              <w:t>20</w:t>
            </w:r>
            <w:r w:rsidRPr="008A000E">
              <w:rPr>
                <w:rFonts w:eastAsia="Calibri"/>
                <w:sz w:val="20"/>
                <w:szCs w:val="20"/>
              </w:rPr>
              <w:t>GB</w:t>
            </w:r>
            <w:r>
              <w:rPr>
                <w:rFonts w:eastAsia="Calibri"/>
                <w:sz w:val="20"/>
                <w:szCs w:val="20"/>
              </w:rPr>
              <w:br/>
              <w:t>(includes 5GB bonus data)</w:t>
            </w:r>
          </w:p>
        </w:tc>
      </w:tr>
      <w:tr w:rsidR="00735147" w:rsidRPr="008A000E" w14:paraId="1BBCA5DB" w14:textId="77777777" w:rsidTr="00735147">
        <w:tc>
          <w:tcPr>
            <w:tcW w:w="2600" w:type="pct"/>
            <w:shd w:val="clear" w:color="auto" w:fill="auto"/>
          </w:tcPr>
          <w:p w14:paraId="2EC58A51" w14:textId="77777777" w:rsidR="00735147" w:rsidRPr="008A000E" w:rsidRDefault="00735147" w:rsidP="00735147">
            <w:pPr>
              <w:spacing w:before="240" w:after="200" w:line="276" w:lineRule="auto"/>
              <w:rPr>
                <w:rFonts w:eastAsia="Calibri"/>
                <w:b/>
                <w:bCs/>
                <w:sz w:val="20"/>
                <w:szCs w:val="20"/>
                <w:lang w:eastAsia="en-AU"/>
              </w:rPr>
            </w:pPr>
            <w:r w:rsidRPr="008A000E">
              <w:rPr>
                <w:rFonts w:eastAsia="Calibri"/>
                <w:b/>
                <w:bCs/>
                <w:sz w:val="20"/>
                <w:szCs w:val="20"/>
                <w:lang w:eastAsia="en-AU"/>
              </w:rPr>
              <w:t>Additional Data</w:t>
            </w:r>
          </w:p>
        </w:tc>
        <w:tc>
          <w:tcPr>
            <w:tcW w:w="1200" w:type="pct"/>
            <w:shd w:val="clear" w:color="auto" w:fill="auto"/>
            <w:vAlign w:val="center"/>
          </w:tcPr>
          <w:p w14:paraId="6B581EF6" w14:textId="77777777" w:rsidR="00735147" w:rsidRPr="008A000E" w:rsidRDefault="00735147" w:rsidP="00735147">
            <w:pPr>
              <w:spacing w:before="240"/>
              <w:jc w:val="center"/>
              <w:rPr>
                <w:rFonts w:eastAsia="Calibri"/>
                <w:sz w:val="20"/>
                <w:szCs w:val="20"/>
              </w:rPr>
            </w:pPr>
            <w:r w:rsidRPr="008A000E">
              <w:rPr>
                <w:sz w:val="20"/>
                <w:szCs w:val="20"/>
              </w:rPr>
              <w:t>Additional data $10 per 1GB or part thereof</w:t>
            </w:r>
          </w:p>
        </w:tc>
        <w:tc>
          <w:tcPr>
            <w:tcW w:w="1200" w:type="pct"/>
            <w:vAlign w:val="center"/>
          </w:tcPr>
          <w:p w14:paraId="2EA8C5E5" w14:textId="77777777" w:rsidR="00735147" w:rsidRPr="008A000E" w:rsidRDefault="00735147" w:rsidP="00735147">
            <w:pPr>
              <w:spacing w:before="240"/>
              <w:jc w:val="center"/>
              <w:rPr>
                <w:rFonts w:eastAsia="Calibri"/>
                <w:sz w:val="20"/>
                <w:szCs w:val="20"/>
              </w:rPr>
            </w:pPr>
            <w:r w:rsidRPr="008A000E">
              <w:rPr>
                <w:sz w:val="20"/>
                <w:szCs w:val="20"/>
              </w:rPr>
              <w:t>Additional data $10 per 1GB or part thereof</w:t>
            </w:r>
          </w:p>
        </w:tc>
      </w:tr>
      <w:tr w:rsidR="00735147" w:rsidRPr="008A000E" w14:paraId="445E8C1B" w14:textId="77777777" w:rsidTr="00735147">
        <w:tc>
          <w:tcPr>
            <w:tcW w:w="2600" w:type="pct"/>
            <w:shd w:val="clear" w:color="auto" w:fill="auto"/>
          </w:tcPr>
          <w:p w14:paraId="2F3376DC" w14:textId="77777777" w:rsidR="00735147" w:rsidRPr="008A000E" w:rsidRDefault="00735147" w:rsidP="00735147">
            <w:pPr>
              <w:spacing w:before="120"/>
              <w:rPr>
                <w:rFonts w:eastAsia="Calibri"/>
                <w:b/>
                <w:bCs/>
                <w:sz w:val="20"/>
                <w:szCs w:val="20"/>
                <w:lang w:eastAsia="en-AU"/>
              </w:rPr>
            </w:pPr>
            <w:r w:rsidRPr="008A000E">
              <w:rPr>
                <w:rFonts w:eastAsia="Calibri"/>
                <w:b/>
                <w:bCs/>
                <w:sz w:val="20"/>
                <w:szCs w:val="20"/>
                <w:lang w:eastAsia="en-AU"/>
              </w:rPr>
              <w:t xml:space="preserve">Included Minutes </w:t>
            </w:r>
          </w:p>
          <w:p w14:paraId="6463A784" w14:textId="77777777" w:rsidR="00735147" w:rsidRPr="008A000E" w:rsidRDefault="00735147" w:rsidP="00735147">
            <w:pPr>
              <w:spacing w:after="120"/>
              <w:rPr>
                <w:rFonts w:eastAsia="Calibri"/>
                <w:b/>
                <w:bCs/>
                <w:sz w:val="20"/>
                <w:szCs w:val="20"/>
                <w:lang w:eastAsia="en-AU"/>
              </w:rPr>
            </w:pPr>
            <w:r w:rsidRPr="008A000E">
              <w:rPr>
                <w:rFonts w:eastAsia="Calibri"/>
                <w:bCs/>
                <w:sz w:val="20"/>
                <w:szCs w:val="20"/>
                <w:lang w:eastAsia="en-AU"/>
              </w:rPr>
              <w:t>for standard national calls to landlines and mobiles, 1300 numbers and voicemail, within Australia</w:t>
            </w:r>
          </w:p>
        </w:tc>
        <w:tc>
          <w:tcPr>
            <w:tcW w:w="1200" w:type="pct"/>
            <w:shd w:val="clear" w:color="auto" w:fill="auto"/>
            <w:vAlign w:val="center"/>
          </w:tcPr>
          <w:p w14:paraId="5E1E6BBC" w14:textId="77777777" w:rsidR="00735147" w:rsidRPr="008A000E" w:rsidRDefault="00735147" w:rsidP="00735147">
            <w:pPr>
              <w:spacing w:before="240"/>
              <w:jc w:val="center"/>
              <w:rPr>
                <w:rFonts w:eastAsia="Calibri"/>
                <w:sz w:val="20"/>
                <w:szCs w:val="20"/>
              </w:rPr>
            </w:pPr>
            <w:r w:rsidRPr="008A000E">
              <w:rPr>
                <w:rFonts w:eastAsia="Calibri"/>
                <w:sz w:val="20"/>
                <w:szCs w:val="20"/>
              </w:rPr>
              <w:t>Unlimited</w:t>
            </w:r>
          </w:p>
        </w:tc>
        <w:tc>
          <w:tcPr>
            <w:tcW w:w="1200" w:type="pct"/>
            <w:vAlign w:val="center"/>
          </w:tcPr>
          <w:p w14:paraId="50180401" w14:textId="77777777" w:rsidR="00735147" w:rsidRPr="008A000E" w:rsidRDefault="00735147" w:rsidP="00735147">
            <w:pPr>
              <w:spacing w:before="240"/>
              <w:jc w:val="center"/>
              <w:rPr>
                <w:rFonts w:eastAsia="Calibri"/>
                <w:sz w:val="20"/>
                <w:szCs w:val="20"/>
              </w:rPr>
            </w:pPr>
            <w:r w:rsidRPr="008A000E">
              <w:rPr>
                <w:rFonts w:eastAsia="Calibri"/>
                <w:sz w:val="20"/>
                <w:szCs w:val="20"/>
              </w:rPr>
              <w:t>Unlimited</w:t>
            </w:r>
          </w:p>
        </w:tc>
      </w:tr>
      <w:tr w:rsidR="00735147" w:rsidRPr="008A000E" w14:paraId="6CE9184C" w14:textId="77777777" w:rsidTr="00735147">
        <w:tc>
          <w:tcPr>
            <w:tcW w:w="2600" w:type="pct"/>
            <w:shd w:val="clear" w:color="auto" w:fill="auto"/>
          </w:tcPr>
          <w:p w14:paraId="7A31B74E" w14:textId="77777777" w:rsidR="00735147" w:rsidRPr="008A000E" w:rsidRDefault="00735147" w:rsidP="00735147">
            <w:pPr>
              <w:autoSpaceDE w:val="0"/>
              <w:autoSpaceDN w:val="0"/>
              <w:adjustRightInd w:val="0"/>
              <w:spacing w:before="120"/>
              <w:rPr>
                <w:b/>
                <w:bCs/>
                <w:sz w:val="20"/>
                <w:szCs w:val="20"/>
                <w:lang w:eastAsia="en-AU"/>
              </w:rPr>
            </w:pPr>
            <w:r w:rsidRPr="008A000E">
              <w:rPr>
                <w:b/>
                <w:bCs/>
                <w:sz w:val="20"/>
                <w:szCs w:val="20"/>
                <w:lang w:eastAsia="en-AU"/>
              </w:rPr>
              <w:t>Included International Minutes</w:t>
            </w:r>
          </w:p>
          <w:p w14:paraId="605220D2" w14:textId="77777777" w:rsidR="00735147" w:rsidRPr="008A000E" w:rsidRDefault="00735147" w:rsidP="00735147">
            <w:pPr>
              <w:autoSpaceDE w:val="0"/>
              <w:autoSpaceDN w:val="0"/>
              <w:adjustRightInd w:val="0"/>
              <w:spacing w:after="120"/>
              <w:rPr>
                <w:rFonts w:eastAsia="Calibri"/>
                <w:b/>
                <w:bCs/>
                <w:sz w:val="20"/>
                <w:szCs w:val="20"/>
                <w:lang w:eastAsia="en-AU"/>
              </w:rPr>
            </w:pPr>
            <w:r w:rsidRPr="008A000E">
              <w:rPr>
                <w:sz w:val="20"/>
                <w:szCs w:val="20"/>
                <w:lang w:eastAsia="en-AU"/>
              </w:rPr>
              <w:t xml:space="preserve">Standard international calls to landlines and mobiles to selected countries </w:t>
            </w:r>
          </w:p>
        </w:tc>
        <w:tc>
          <w:tcPr>
            <w:tcW w:w="1200" w:type="pct"/>
            <w:shd w:val="clear" w:color="auto" w:fill="auto"/>
          </w:tcPr>
          <w:p w14:paraId="49C2114C" w14:textId="77777777" w:rsidR="00735147" w:rsidRPr="008A000E" w:rsidRDefault="00735147" w:rsidP="00735147">
            <w:pPr>
              <w:spacing w:before="600"/>
              <w:jc w:val="center"/>
              <w:rPr>
                <w:rFonts w:eastAsia="Calibri"/>
                <w:sz w:val="20"/>
                <w:szCs w:val="20"/>
              </w:rPr>
            </w:pPr>
            <w:r w:rsidRPr="00DD4128">
              <w:rPr>
                <w:rFonts w:eastAsia="Calibri"/>
                <w:sz w:val="20"/>
                <w:szCs w:val="20"/>
              </w:rPr>
              <w:t>Unlimited</w:t>
            </w:r>
          </w:p>
        </w:tc>
        <w:tc>
          <w:tcPr>
            <w:tcW w:w="1200" w:type="pct"/>
          </w:tcPr>
          <w:p w14:paraId="351E77DD" w14:textId="77777777" w:rsidR="00735147" w:rsidRPr="008A000E" w:rsidRDefault="00735147" w:rsidP="00735147">
            <w:pPr>
              <w:spacing w:before="600"/>
              <w:jc w:val="center"/>
              <w:rPr>
                <w:rFonts w:eastAsia="Calibri"/>
                <w:sz w:val="20"/>
                <w:szCs w:val="20"/>
              </w:rPr>
            </w:pPr>
            <w:r w:rsidRPr="00DD4128">
              <w:rPr>
                <w:rFonts w:eastAsia="Calibri"/>
                <w:sz w:val="20"/>
                <w:szCs w:val="20"/>
              </w:rPr>
              <w:t>Unlimited</w:t>
            </w:r>
          </w:p>
        </w:tc>
      </w:tr>
      <w:tr w:rsidR="00735147" w:rsidRPr="008A000E" w14:paraId="0D5BBDBA" w14:textId="77777777" w:rsidTr="00735147">
        <w:tc>
          <w:tcPr>
            <w:tcW w:w="2600" w:type="pct"/>
            <w:shd w:val="clear" w:color="auto" w:fill="auto"/>
          </w:tcPr>
          <w:p w14:paraId="45561298" w14:textId="77777777" w:rsidR="00735147" w:rsidRPr="008A000E" w:rsidRDefault="00735147" w:rsidP="00735147">
            <w:pPr>
              <w:spacing w:before="240" w:after="200" w:line="276" w:lineRule="auto"/>
              <w:rPr>
                <w:rFonts w:eastAsia="Calibri"/>
                <w:sz w:val="20"/>
                <w:szCs w:val="20"/>
              </w:rPr>
            </w:pPr>
            <w:r w:rsidRPr="008A000E">
              <w:rPr>
                <w:rFonts w:eastAsia="Calibri"/>
                <w:b/>
                <w:bCs/>
                <w:sz w:val="20"/>
                <w:szCs w:val="20"/>
                <w:lang w:eastAsia="en-AU"/>
              </w:rPr>
              <w:t xml:space="preserve">Standard national SMS </w:t>
            </w:r>
            <w:r w:rsidRPr="008A000E">
              <w:rPr>
                <w:rFonts w:eastAsia="Calibri"/>
                <w:sz w:val="20"/>
                <w:szCs w:val="20"/>
                <w:lang w:eastAsia="en-AU"/>
              </w:rPr>
              <w:t>(per SMS of up to 160 standard characters)</w:t>
            </w:r>
          </w:p>
        </w:tc>
        <w:tc>
          <w:tcPr>
            <w:tcW w:w="1200" w:type="pct"/>
            <w:shd w:val="clear" w:color="auto" w:fill="auto"/>
            <w:vAlign w:val="center"/>
          </w:tcPr>
          <w:p w14:paraId="12143C25" w14:textId="77777777" w:rsidR="00735147" w:rsidRPr="008A000E" w:rsidRDefault="00735147" w:rsidP="00735147">
            <w:pPr>
              <w:spacing w:before="240"/>
              <w:jc w:val="center"/>
              <w:rPr>
                <w:rFonts w:eastAsia="Calibri"/>
                <w:sz w:val="20"/>
                <w:szCs w:val="20"/>
              </w:rPr>
            </w:pPr>
            <w:r w:rsidRPr="008A000E">
              <w:rPr>
                <w:rFonts w:eastAsia="Calibri"/>
                <w:sz w:val="20"/>
                <w:szCs w:val="20"/>
              </w:rPr>
              <w:t>Unlimited</w:t>
            </w:r>
          </w:p>
        </w:tc>
        <w:tc>
          <w:tcPr>
            <w:tcW w:w="1200" w:type="pct"/>
            <w:vAlign w:val="center"/>
          </w:tcPr>
          <w:p w14:paraId="2D5412A3" w14:textId="77777777" w:rsidR="00735147" w:rsidRPr="008A000E" w:rsidRDefault="00735147" w:rsidP="00735147">
            <w:pPr>
              <w:spacing w:before="240"/>
              <w:jc w:val="center"/>
              <w:rPr>
                <w:rFonts w:eastAsia="Calibri"/>
                <w:sz w:val="20"/>
                <w:szCs w:val="20"/>
              </w:rPr>
            </w:pPr>
            <w:r w:rsidRPr="008A000E">
              <w:rPr>
                <w:rFonts w:eastAsia="Calibri"/>
                <w:sz w:val="20"/>
                <w:szCs w:val="20"/>
              </w:rPr>
              <w:t>Unlimited</w:t>
            </w:r>
          </w:p>
        </w:tc>
      </w:tr>
      <w:tr w:rsidR="00735147" w:rsidRPr="008A000E" w14:paraId="440D8FED" w14:textId="77777777" w:rsidTr="00735147">
        <w:tc>
          <w:tcPr>
            <w:tcW w:w="2600" w:type="pct"/>
            <w:shd w:val="clear" w:color="auto" w:fill="auto"/>
          </w:tcPr>
          <w:p w14:paraId="138A3920" w14:textId="77777777" w:rsidR="00735147" w:rsidRPr="008A000E" w:rsidRDefault="00735147" w:rsidP="00735147">
            <w:pPr>
              <w:spacing w:before="120" w:after="200" w:line="276" w:lineRule="auto"/>
              <w:rPr>
                <w:rFonts w:eastAsia="Calibri"/>
                <w:b/>
                <w:bCs/>
                <w:sz w:val="20"/>
                <w:szCs w:val="20"/>
                <w:lang w:eastAsia="en-AU"/>
              </w:rPr>
            </w:pPr>
            <w:r w:rsidRPr="008A000E">
              <w:rPr>
                <w:rFonts w:eastAsia="Calibri"/>
                <w:b/>
                <w:bCs/>
                <w:sz w:val="20"/>
                <w:szCs w:val="20"/>
                <w:lang w:eastAsia="en-AU"/>
              </w:rPr>
              <w:t xml:space="preserve">Standard national MMS </w:t>
            </w:r>
            <w:r w:rsidRPr="008A000E">
              <w:rPr>
                <w:rFonts w:eastAsia="Calibri"/>
                <w:sz w:val="20"/>
                <w:szCs w:val="20"/>
                <w:lang w:eastAsia="en-AU"/>
              </w:rPr>
              <w:t>(per message)</w:t>
            </w:r>
          </w:p>
        </w:tc>
        <w:tc>
          <w:tcPr>
            <w:tcW w:w="1200" w:type="pct"/>
            <w:shd w:val="clear" w:color="auto" w:fill="auto"/>
            <w:vAlign w:val="center"/>
          </w:tcPr>
          <w:p w14:paraId="38BE4F13" w14:textId="77777777" w:rsidR="00735147" w:rsidRPr="008A000E" w:rsidRDefault="00735147" w:rsidP="00735147">
            <w:pPr>
              <w:spacing w:before="120"/>
              <w:jc w:val="center"/>
              <w:rPr>
                <w:rFonts w:eastAsia="Calibri"/>
                <w:sz w:val="20"/>
                <w:szCs w:val="20"/>
              </w:rPr>
            </w:pPr>
            <w:r w:rsidRPr="008A000E">
              <w:rPr>
                <w:rFonts w:eastAsia="Calibri"/>
                <w:sz w:val="20"/>
                <w:szCs w:val="20"/>
              </w:rPr>
              <w:t>Unlimited</w:t>
            </w:r>
          </w:p>
        </w:tc>
        <w:tc>
          <w:tcPr>
            <w:tcW w:w="1200" w:type="pct"/>
            <w:vAlign w:val="center"/>
          </w:tcPr>
          <w:p w14:paraId="77EC6C8F" w14:textId="77777777" w:rsidR="00735147" w:rsidRPr="008A000E" w:rsidRDefault="00735147" w:rsidP="00735147">
            <w:pPr>
              <w:spacing w:before="120"/>
              <w:jc w:val="center"/>
              <w:rPr>
                <w:rFonts w:eastAsia="Calibri"/>
                <w:sz w:val="20"/>
                <w:szCs w:val="20"/>
              </w:rPr>
            </w:pPr>
            <w:r w:rsidRPr="008A000E">
              <w:rPr>
                <w:rFonts w:eastAsia="Calibri"/>
                <w:sz w:val="20"/>
                <w:szCs w:val="20"/>
              </w:rPr>
              <w:t>Unlimited</w:t>
            </w:r>
          </w:p>
        </w:tc>
      </w:tr>
      <w:tr w:rsidR="00735147" w:rsidRPr="008A000E" w14:paraId="22B7C698" w14:textId="77777777" w:rsidTr="00735147">
        <w:tc>
          <w:tcPr>
            <w:tcW w:w="2600" w:type="pct"/>
            <w:shd w:val="clear" w:color="auto" w:fill="auto"/>
          </w:tcPr>
          <w:p w14:paraId="5757592D" w14:textId="77777777" w:rsidR="00735147" w:rsidRPr="008A000E" w:rsidDel="00064B49" w:rsidRDefault="00735147" w:rsidP="00735147">
            <w:pPr>
              <w:spacing w:before="120" w:after="120" w:line="276" w:lineRule="auto"/>
              <w:rPr>
                <w:rFonts w:eastAsia="Calibri"/>
                <w:b/>
                <w:bCs/>
                <w:sz w:val="20"/>
                <w:szCs w:val="20"/>
                <w:lang w:eastAsia="en-AU"/>
              </w:rPr>
            </w:pPr>
            <w:r w:rsidRPr="008A000E">
              <w:rPr>
                <w:rFonts w:eastAsia="Calibri"/>
                <w:b/>
                <w:bCs/>
                <w:sz w:val="20"/>
                <w:szCs w:val="20"/>
                <w:lang w:eastAsia="en-AU"/>
              </w:rPr>
              <w:lastRenderedPageBreak/>
              <w:t xml:space="preserve">Standard international SMS </w:t>
            </w:r>
            <w:r w:rsidRPr="008A000E">
              <w:rPr>
                <w:rFonts w:eastAsia="Calibri"/>
                <w:sz w:val="20"/>
                <w:szCs w:val="20"/>
                <w:lang w:eastAsia="en-AU"/>
              </w:rPr>
              <w:t>(per SMS of up to 160 standard characters to selected countries)</w:t>
            </w:r>
          </w:p>
        </w:tc>
        <w:tc>
          <w:tcPr>
            <w:tcW w:w="1200" w:type="pct"/>
            <w:shd w:val="clear" w:color="auto" w:fill="auto"/>
            <w:vAlign w:val="center"/>
          </w:tcPr>
          <w:p w14:paraId="4D050AA2" w14:textId="77777777" w:rsidR="00735147" w:rsidRPr="008A000E" w:rsidDel="00064B49" w:rsidRDefault="00735147" w:rsidP="00735147">
            <w:pPr>
              <w:spacing w:before="240"/>
              <w:jc w:val="center"/>
              <w:rPr>
                <w:rFonts w:eastAsia="Calibri"/>
                <w:sz w:val="20"/>
                <w:szCs w:val="20"/>
              </w:rPr>
            </w:pPr>
            <w:r w:rsidRPr="008A000E">
              <w:rPr>
                <w:rFonts w:eastAsia="Calibri"/>
                <w:sz w:val="20"/>
                <w:szCs w:val="20"/>
              </w:rPr>
              <w:t>Unlimited</w:t>
            </w:r>
          </w:p>
        </w:tc>
        <w:tc>
          <w:tcPr>
            <w:tcW w:w="1200" w:type="pct"/>
            <w:vAlign w:val="center"/>
          </w:tcPr>
          <w:p w14:paraId="5575C949" w14:textId="77777777" w:rsidR="00735147" w:rsidRPr="008A000E" w:rsidDel="00064B49" w:rsidRDefault="00735147" w:rsidP="00735147">
            <w:pPr>
              <w:spacing w:before="240"/>
              <w:jc w:val="center"/>
              <w:rPr>
                <w:rFonts w:eastAsia="Calibri"/>
                <w:sz w:val="20"/>
                <w:szCs w:val="20"/>
              </w:rPr>
            </w:pPr>
            <w:r w:rsidRPr="008A000E">
              <w:rPr>
                <w:rFonts w:eastAsia="Calibri"/>
                <w:sz w:val="20"/>
                <w:szCs w:val="20"/>
              </w:rPr>
              <w:t>Unlimited</w:t>
            </w:r>
          </w:p>
        </w:tc>
      </w:tr>
      <w:tr w:rsidR="00735147" w:rsidRPr="008A000E" w14:paraId="1ED02EA3" w14:textId="77777777" w:rsidTr="00735147">
        <w:tc>
          <w:tcPr>
            <w:tcW w:w="2600" w:type="pct"/>
            <w:shd w:val="clear" w:color="auto" w:fill="auto"/>
          </w:tcPr>
          <w:p w14:paraId="7F4A7D39" w14:textId="77777777" w:rsidR="00735147" w:rsidRPr="008A000E" w:rsidRDefault="00735147" w:rsidP="00735147">
            <w:pPr>
              <w:spacing w:before="120" w:after="200" w:line="276" w:lineRule="auto"/>
              <w:rPr>
                <w:rFonts w:eastAsia="Calibri"/>
                <w:b/>
                <w:bCs/>
                <w:sz w:val="20"/>
                <w:szCs w:val="20"/>
                <w:lang w:eastAsia="en-AU"/>
              </w:rPr>
            </w:pPr>
            <w:r w:rsidRPr="008A000E">
              <w:rPr>
                <w:rFonts w:eastAsia="Calibri"/>
                <w:b/>
                <w:bCs/>
                <w:sz w:val="20"/>
                <w:szCs w:val="20"/>
                <w:lang w:eastAsia="en-AU"/>
              </w:rPr>
              <w:t xml:space="preserve">Standard international MMS </w:t>
            </w:r>
            <w:r w:rsidRPr="008A000E">
              <w:rPr>
                <w:rFonts w:eastAsia="Calibri"/>
                <w:sz w:val="20"/>
                <w:szCs w:val="20"/>
                <w:lang w:eastAsia="en-AU"/>
              </w:rPr>
              <w:t>(per message to selected countries)</w:t>
            </w:r>
          </w:p>
        </w:tc>
        <w:tc>
          <w:tcPr>
            <w:tcW w:w="1200" w:type="pct"/>
            <w:shd w:val="clear" w:color="auto" w:fill="auto"/>
            <w:vAlign w:val="center"/>
          </w:tcPr>
          <w:p w14:paraId="67B2E2E6" w14:textId="77777777" w:rsidR="00735147" w:rsidRPr="008A000E" w:rsidRDefault="00735147" w:rsidP="00735147">
            <w:pPr>
              <w:jc w:val="center"/>
              <w:rPr>
                <w:rFonts w:eastAsia="Calibri"/>
                <w:sz w:val="20"/>
                <w:szCs w:val="20"/>
              </w:rPr>
            </w:pPr>
            <w:r w:rsidRPr="008A000E">
              <w:rPr>
                <w:rFonts w:eastAsia="Calibri"/>
                <w:sz w:val="20"/>
                <w:szCs w:val="20"/>
              </w:rPr>
              <w:t>Unlimited</w:t>
            </w:r>
          </w:p>
        </w:tc>
        <w:tc>
          <w:tcPr>
            <w:tcW w:w="1200" w:type="pct"/>
            <w:vAlign w:val="center"/>
          </w:tcPr>
          <w:p w14:paraId="54B780AC" w14:textId="77777777" w:rsidR="00735147" w:rsidRPr="008A000E" w:rsidRDefault="00735147" w:rsidP="00735147">
            <w:pPr>
              <w:jc w:val="center"/>
              <w:rPr>
                <w:rFonts w:eastAsia="Calibri"/>
                <w:sz w:val="20"/>
                <w:szCs w:val="20"/>
              </w:rPr>
            </w:pPr>
            <w:r w:rsidRPr="008A000E">
              <w:rPr>
                <w:rFonts w:eastAsia="Calibri"/>
                <w:sz w:val="20"/>
                <w:szCs w:val="20"/>
              </w:rPr>
              <w:t>Unlimited</w:t>
            </w:r>
          </w:p>
        </w:tc>
      </w:tr>
      <w:tr w:rsidR="00735147" w:rsidRPr="008A000E" w14:paraId="7320C6EF" w14:textId="77777777" w:rsidTr="00735147">
        <w:tc>
          <w:tcPr>
            <w:tcW w:w="2600" w:type="pct"/>
            <w:shd w:val="clear" w:color="auto" w:fill="auto"/>
          </w:tcPr>
          <w:p w14:paraId="3399E920" w14:textId="77777777" w:rsidR="00735147" w:rsidRPr="00390B52" w:rsidRDefault="00735147" w:rsidP="00735147">
            <w:pPr>
              <w:spacing w:before="120" w:after="200" w:line="276" w:lineRule="auto"/>
              <w:rPr>
                <w:rFonts w:eastAsia="Calibri"/>
                <w:b/>
                <w:bCs/>
                <w:sz w:val="20"/>
                <w:szCs w:val="20"/>
                <w:lang w:eastAsia="en-AU"/>
              </w:rPr>
            </w:pPr>
            <w:r w:rsidRPr="00390B52">
              <w:rPr>
                <w:b/>
                <w:sz w:val="20"/>
                <w:szCs w:val="20"/>
              </w:rPr>
              <w:t xml:space="preserve">Standard </w:t>
            </w:r>
            <w:r>
              <w:rPr>
                <w:b/>
                <w:sz w:val="20"/>
                <w:szCs w:val="20"/>
              </w:rPr>
              <w:t xml:space="preserve">Roaming </w:t>
            </w:r>
            <w:r w:rsidRPr="00390B52">
              <w:rPr>
                <w:b/>
                <w:sz w:val="20"/>
                <w:szCs w:val="20"/>
              </w:rPr>
              <w:t>national and international talk &amp;SMS</w:t>
            </w:r>
            <w:r>
              <w:rPr>
                <w:b/>
                <w:sz w:val="20"/>
                <w:szCs w:val="20"/>
              </w:rPr>
              <w:t xml:space="preserve"> </w:t>
            </w:r>
            <w:r w:rsidRPr="00390B52">
              <w:rPr>
                <w:sz w:val="20"/>
                <w:szCs w:val="20"/>
              </w:rPr>
              <w:t>(excluding MMS)</w:t>
            </w:r>
            <w:r>
              <w:rPr>
                <w:sz w:val="20"/>
                <w:szCs w:val="20"/>
              </w:rPr>
              <w:br/>
            </w:r>
            <w:r w:rsidRPr="00390B52">
              <w:rPr>
                <w:rFonts w:cs="Arial"/>
                <w:bCs/>
                <w:snapToGrid w:val="0"/>
                <w:sz w:val="20"/>
                <w:szCs w:val="20"/>
              </w:rPr>
              <w:t>(Zone 1 countries)</w:t>
            </w:r>
          </w:p>
        </w:tc>
        <w:tc>
          <w:tcPr>
            <w:tcW w:w="1200" w:type="pct"/>
            <w:shd w:val="clear" w:color="auto" w:fill="auto"/>
            <w:vAlign w:val="center"/>
          </w:tcPr>
          <w:p w14:paraId="32913629" w14:textId="77777777" w:rsidR="00735147" w:rsidRPr="008A000E" w:rsidRDefault="00735147" w:rsidP="00735147">
            <w:pPr>
              <w:jc w:val="center"/>
              <w:rPr>
                <w:rFonts w:eastAsia="Calibri"/>
                <w:sz w:val="20"/>
                <w:szCs w:val="20"/>
              </w:rPr>
            </w:pPr>
            <w:r>
              <w:rPr>
                <w:rFonts w:eastAsia="Calibri"/>
                <w:sz w:val="20"/>
                <w:szCs w:val="20"/>
              </w:rPr>
              <w:t>N/A</w:t>
            </w:r>
          </w:p>
        </w:tc>
        <w:tc>
          <w:tcPr>
            <w:tcW w:w="1200" w:type="pct"/>
            <w:vAlign w:val="center"/>
          </w:tcPr>
          <w:p w14:paraId="07D78BF4" w14:textId="77777777" w:rsidR="00735147" w:rsidRPr="008A000E" w:rsidRDefault="00735147" w:rsidP="00735147">
            <w:pPr>
              <w:jc w:val="center"/>
              <w:rPr>
                <w:rFonts w:eastAsia="Calibri"/>
                <w:sz w:val="20"/>
                <w:szCs w:val="20"/>
              </w:rPr>
            </w:pPr>
            <w:r w:rsidRPr="008A000E">
              <w:rPr>
                <w:rFonts w:eastAsia="Calibri"/>
                <w:sz w:val="20"/>
                <w:szCs w:val="20"/>
              </w:rPr>
              <w:t>Unlimited</w:t>
            </w:r>
          </w:p>
        </w:tc>
      </w:tr>
      <w:tr w:rsidR="00735147" w:rsidRPr="008A000E" w14:paraId="2E0A4436" w14:textId="77777777" w:rsidTr="00735147">
        <w:tc>
          <w:tcPr>
            <w:tcW w:w="2600" w:type="pct"/>
            <w:shd w:val="clear" w:color="auto" w:fill="auto"/>
          </w:tcPr>
          <w:p w14:paraId="4B7CC0F9" w14:textId="77777777" w:rsidR="00735147" w:rsidRPr="00A174EB" w:rsidRDefault="00735147" w:rsidP="00735147">
            <w:pPr>
              <w:spacing w:after="200" w:line="276" w:lineRule="auto"/>
              <w:rPr>
                <w:rFonts w:cs="Arial"/>
                <w:b/>
                <w:bCs/>
                <w:snapToGrid w:val="0"/>
                <w:sz w:val="20"/>
                <w:szCs w:val="20"/>
              </w:rPr>
            </w:pPr>
            <w:r w:rsidRPr="00A174EB">
              <w:rPr>
                <w:rFonts w:cs="Arial"/>
                <w:b/>
                <w:bCs/>
                <w:snapToGrid w:val="0"/>
                <w:sz w:val="20"/>
                <w:szCs w:val="20"/>
              </w:rPr>
              <w:t>International Roaming Data</w:t>
            </w:r>
          </w:p>
          <w:p w14:paraId="0C03FDEE" w14:textId="77777777" w:rsidR="00735147" w:rsidRPr="00390B52" w:rsidRDefault="00735147" w:rsidP="00735147">
            <w:pPr>
              <w:spacing w:before="120" w:after="200" w:line="276" w:lineRule="auto"/>
              <w:rPr>
                <w:rFonts w:eastAsia="Calibri"/>
                <w:b/>
                <w:bCs/>
                <w:sz w:val="20"/>
                <w:szCs w:val="20"/>
                <w:lang w:eastAsia="en-AU"/>
              </w:rPr>
            </w:pPr>
            <w:r w:rsidRPr="00390B52">
              <w:rPr>
                <w:rFonts w:cs="Arial"/>
                <w:bCs/>
                <w:snapToGrid w:val="0"/>
                <w:sz w:val="20"/>
                <w:szCs w:val="20"/>
              </w:rPr>
              <w:t>(Zone 1 countries)</w:t>
            </w:r>
          </w:p>
        </w:tc>
        <w:tc>
          <w:tcPr>
            <w:tcW w:w="1200" w:type="pct"/>
            <w:shd w:val="clear" w:color="auto" w:fill="auto"/>
            <w:vAlign w:val="center"/>
          </w:tcPr>
          <w:p w14:paraId="10315567" w14:textId="77777777" w:rsidR="00735147" w:rsidRPr="008A000E" w:rsidRDefault="00735147" w:rsidP="00735147">
            <w:pPr>
              <w:jc w:val="center"/>
              <w:rPr>
                <w:rFonts w:eastAsia="Calibri"/>
                <w:sz w:val="20"/>
                <w:szCs w:val="20"/>
              </w:rPr>
            </w:pPr>
            <w:r>
              <w:rPr>
                <w:rFonts w:eastAsia="Calibri"/>
                <w:sz w:val="20"/>
                <w:szCs w:val="20"/>
              </w:rPr>
              <w:t>N/A</w:t>
            </w:r>
          </w:p>
        </w:tc>
        <w:tc>
          <w:tcPr>
            <w:tcW w:w="1200" w:type="pct"/>
            <w:vAlign w:val="center"/>
          </w:tcPr>
          <w:p w14:paraId="4FA5FDE6" w14:textId="77777777" w:rsidR="00735147" w:rsidRPr="008A000E" w:rsidRDefault="00735147" w:rsidP="00735147">
            <w:pPr>
              <w:jc w:val="center"/>
              <w:rPr>
                <w:rFonts w:eastAsia="Calibri"/>
                <w:sz w:val="20"/>
                <w:szCs w:val="20"/>
              </w:rPr>
            </w:pPr>
            <w:r>
              <w:rPr>
                <w:rFonts w:eastAsia="Calibri"/>
                <w:sz w:val="20"/>
                <w:szCs w:val="20"/>
              </w:rPr>
              <w:t>1GB</w:t>
            </w:r>
          </w:p>
        </w:tc>
      </w:tr>
      <w:tr w:rsidR="00735147" w:rsidRPr="008A000E" w14:paraId="2F9AD37F" w14:textId="77777777" w:rsidTr="00735147">
        <w:tc>
          <w:tcPr>
            <w:tcW w:w="2600" w:type="pct"/>
            <w:shd w:val="clear" w:color="auto" w:fill="auto"/>
          </w:tcPr>
          <w:p w14:paraId="5AE7956C" w14:textId="77777777" w:rsidR="00735147" w:rsidRPr="008A000E" w:rsidRDefault="00735147" w:rsidP="00735147">
            <w:pPr>
              <w:spacing w:before="120" w:after="120"/>
              <w:rPr>
                <w:rFonts w:eastAsia="Calibri"/>
                <w:b/>
                <w:bCs/>
                <w:sz w:val="20"/>
                <w:szCs w:val="20"/>
                <w:lang w:eastAsia="en-AU"/>
              </w:rPr>
            </w:pPr>
            <w:r w:rsidRPr="008A000E">
              <w:rPr>
                <w:rFonts w:eastAsia="Calibri"/>
                <w:b/>
                <w:bCs/>
                <w:sz w:val="20"/>
                <w:szCs w:val="20"/>
                <w:lang w:eastAsia="en-AU"/>
              </w:rPr>
              <w:t xml:space="preserve">Minimum total cost over 24 months </w:t>
            </w:r>
          </w:p>
        </w:tc>
        <w:tc>
          <w:tcPr>
            <w:tcW w:w="1200" w:type="pct"/>
            <w:shd w:val="clear" w:color="auto" w:fill="auto"/>
            <w:vAlign w:val="center"/>
          </w:tcPr>
          <w:p w14:paraId="015C26DB" w14:textId="77777777" w:rsidR="00735147" w:rsidRPr="008A000E" w:rsidRDefault="00735147" w:rsidP="00735147">
            <w:pPr>
              <w:jc w:val="center"/>
              <w:rPr>
                <w:rFonts w:eastAsia="Calibri"/>
                <w:sz w:val="20"/>
                <w:szCs w:val="20"/>
              </w:rPr>
            </w:pPr>
            <w:r w:rsidRPr="008A000E">
              <w:rPr>
                <w:rFonts w:eastAsia="Calibri"/>
                <w:sz w:val="20"/>
                <w:szCs w:val="20"/>
              </w:rPr>
              <w:t>$</w:t>
            </w:r>
            <w:r>
              <w:rPr>
                <w:rFonts w:eastAsia="Calibri"/>
                <w:sz w:val="20"/>
                <w:szCs w:val="20"/>
              </w:rPr>
              <w:t>2160</w:t>
            </w:r>
          </w:p>
        </w:tc>
        <w:tc>
          <w:tcPr>
            <w:tcW w:w="1200" w:type="pct"/>
            <w:vAlign w:val="center"/>
          </w:tcPr>
          <w:p w14:paraId="474B5223" w14:textId="77777777" w:rsidR="00735147" w:rsidRPr="008A000E" w:rsidRDefault="00735147" w:rsidP="00735147">
            <w:pPr>
              <w:jc w:val="center"/>
              <w:rPr>
                <w:rFonts w:eastAsia="Calibri"/>
                <w:sz w:val="20"/>
                <w:szCs w:val="20"/>
              </w:rPr>
            </w:pPr>
            <w:r w:rsidRPr="008A000E">
              <w:rPr>
                <w:rFonts w:eastAsia="Calibri"/>
                <w:sz w:val="20"/>
                <w:szCs w:val="20"/>
              </w:rPr>
              <w:t>$</w:t>
            </w:r>
            <w:r>
              <w:rPr>
                <w:rFonts w:eastAsia="Calibri"/>
                <w:sz w:val="20"/>
                <w:szCs w:val="20"/>
              </w:rPr>
              <w:t>2520</w:t>
            </w:r>
          </w:p>
        </w:tc>
      </w:tr>
    </w:tbl>
    <w:p w14:paraId="61B078B7" w14:textId="77777777" w:rsidR="00735147" w:rsidRPr="00F271B8" w:rsidRDefault="00735147" w:rsidP="00735147">
      <w:pPr>
        <w:pStyle w:val="BodyText"/>
        <w:rPr>
          <w:b/>
          <w:lang w:val="en-AU"/>
        </w:rPr>
      </w:pPr>
    </w:p>
    <w:p w14:paraId="4A13EC8E" w14:textId="77777777" w:rsidR="00735147" w:rsidRPr="00F271B8" w:rsidRDefault="00735147" w:rsidP="00735147">
      <w:pPr>
        <w:pStyle w:val="BodyText"/>
        <w:keepNext/>
        <w:spacing w:before="240" w:after="120"/>
        <w:ind w:left="142" w:hanging="142"/>
        <w:rPr>
          <w:b/>
        </w:rPr>
      </w:pPr>
      <w:r w:rsidRPr="00F271B8">
        <w:rPr>
          <w:b/>
        </w:rPr>
        <w:t>Table 2 – Other usage types and charges</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70"/>
        <w:gridCol w:w="5153"/>
      </w:tblGrid>
      <w:tr w:rsidR="00735147" w:rsidRPr="00F271B8" w14:paraId="567A29CD" w14:textId="77777777" w:rsidTr="00735147">
        <w:trPr>
          <w:tblHeader/>
        </w:trPr>
        <w:tc>
          <w:tcPr>
            <w:tcW w:w="4770" w:type="dxa"/>
            <w:shd w:val="clear" w:color="auto" w:fill="auto"/>
          </w:tcPr>
          <w:p w14:paraId="7966E8E3" w14:textId="77777777" w:rsidR="00735147" w:rsidRPr="003626D2" w:rsidRDefault="00735147" w:rsidP="00735147">
            <w:pPr>
              <w:pStyle w:val="BodyText"/>
              <w:keepNext/>
              <w:spacing w:before="100" w:after="100"/>
              <w:jc w:val="center"/>
              <w:rPr>
                <w:b/>
              </w:rPr>
            </w:pPr>
            <w:r w:rsidRPr="003626D2">
              <w:rPr>
                <w:b/>
              </w:rPr>
              <w:t>Usage type</w:t>
            </w:r>
          </w:p>
        </w:tc>
        <w:tc>
          <w:tcPr>
            <w:tcW w:w="5153" w:type="dxa"/>
            <w:shd w:val="clear" w:color="auto" w:fill="auto"/>
            <w:vAlign w:val="center"/>
          </w:tcPr>
          <w:p w14:paraId="7C013C7B" w14:textId="77777777" w:rsidR="00735147" w:rsidRPr="003626D2" w:rsidRDefault="00735147" w:rsidP="00735147">
            <w:pPr>
              <w:pStyle w:val="BodyText"/>
              <w:keepNext/>
              <w:spacing w:before="100" w:after="100"/>
              <w:jc w:val="center"/>
              <w:rPr>
                <w:b/>
              </w:rPr>
            </w:pPr>
            <w:r w:rsidRPr="003626D2">
              <w:rPr>
                <w:b/>
              </w:rPr>
              <w:t>Charge</w:t>
            </w:r>
          </w:p>
        </w:tc>
      </w:tr>
      <w:tr w:rsidR="00735147" w:rsidRPr="00F271B8" w14:paraId="2FF9B5B2" w14:textId="77777777" w:rsidTr="00735147">
        <w:tc>
          <w:tcPr>
            <w:tcW w:w="4770" w:type="dxa"/>
            <w:shd w:val="clear" w:color="auto" w:fill="auto"/>
          </w:tcPr>
          <w:p w14:paraId="27A285B3" w14:textId="77777777" w:rsidR="00735147" w:rsidRPr="00F271B8" w:rsidRDefault="00735147" w:rsidP="00735147">
            <w:pPr>
              <w:pStyle w:val="BodyText"/>
              <w:spacing w:before="100" w:after="100"/>
              <w:rPr>
                <w:b/>
              </w:rPr>
            </w:pPr>
            <w:r w:rsidRPr="00F271B8">
              <w:rPr>
                <w:b/>
                <w:bCs/>
              </w:rPr>
              <w:t xml:space="preserve">National video calls </w:t>
            </w:r>
            <w:r w:rsidRPr="00F271B8">
              <w:rPr>
                <w:b/>
              </w:rPr>
              <w:t>(per minute)</w:t>
            </w:r>
          </w:p>
        </w:tc>
        <w:tc>
          <w:tcPr>
            <w:tcW w:w="5153" w:type="dxa"/>
            <w:shd w:val="clear" w:color="auto" w:fill="auto"/>
            <w:vAlign w:val="center"/>
          </w:tcPr>
          <w:p w14:paraId="20EFF0E8" w14:textId="77777777" w:rsidR="00735147" w:rsidRPr="00F271B8" w:rsidRDefault="00735147" w:rsidP="00735147">
            <w:pPr>
              <w:pStyle w:val="BodyText"/>
              <w:spacing w:before="100" w:after="100"/>
              <w:jc w:val="center"/>
            </w:pPr>
            <w:r w:rsidRPr="00F271B8">
              <w:t>$1.00 per min + 40c flagfall</w:t>
            </w:r>
          </w:p>
        </w:tc>
      </w:tr>
      <w:tr w:rsidR="00735147" w:rsidRPr="00F271B8" w14:paraId="1375581B" w14:textId="77777777" w:rsidTr="00735147">
        <w:tc>
          <w:tcPr>
            <w:tcW w:w="4770" w:type="dxa"/>
            <w:shd w:val="clear" w:color="auto" w:fill="auto"/>
          </w:tcPr>
          <w:p w14:paraId="19BC3719" w14:textId="77777777" w:rsidR="00735147" w:rsidRPr="00F271B8" w:rsidRDefault="00735147" w:rsidP="00735147">
            <w:pPr>
              <w:pStyle w:val="BodyText"/>
              <w:spacing w:before="100" w:after="100"/>
              <w:rPr>
                <w:b/>
              </w:rPr>
            </w:pPr>
            <w:r w:rsidRPr="00F271B8">
              <w:rPr>
                <w:b/>
                <w:bCs/>
              </w:rPr>
              <w:t xml:space="preserve">VoiceMail Deposits </w:t>
            </w:r>
          </w:p>
        </w:tc>
        <w:tc>
          <w:tcPr>
            <w:tcW w:w="5153" w:type="dxa"/>
            <w:shd w:val="clear" w:color="auto" w:fill="auto"/>
          </w:tcPr>
          <w:p w14:paraId="649A6DDB" w14:textId="77777777" w:rsidR="00735147" w:rsidRPr="00F271B8" w:rsidRDefault="00735147" w:rsidP="00735147">
            <w:pPr>
              <w:pStyle w:val="BodyText"/>
              <w:spacing w:before="100" w:after="100"/>
              <w:jc w:val="center"/>
            </w:pPr>
            <w:r w:rsidRPr="00F271B8">
              <w:t>$0 per minute</w:t>
            </w:r>
          </w:p>
        </w:tc>
      </w:tr>
      <w:tr w:rsidR="00735147" w:rsidRPr="00F271B8" w14:paraId="605FA6EB" w14:textId="77777777" w:rsidTr="00735147">
        <w:tc>
          <w:tcPr>
            <w:tcW w:w="4770" w:type="dxa"/>
            <w:shd w:val="clear" w:color="auto" w:fill="auto"/>
          </w:tcPr>
          <w:p w14:paraId="17C1CCB7" w14:textId="77777777" w:rsidR="00735147" w:rsidRPr="00F271B8" w:rsidRDefault="00735147" w:rsidP="00735147">
            <w:pPr>
              <w:pStyle w:val="BodyText"/>
              <w:spacing w:before="100" w:after="100"/>
              <w:rPr>
                <w:b/>
              </w:rPr>
            </w:pPr>
            <w:r w:rsidRPr="00F271B8">
              <w:rPr>
                <w:b/>
                <w:bCs/>
              </w:rPr>
              <w:t>Voicemail Diversions</w:t>
            </w:r>
          </w:p>
        </w:tc>
        <w:tc>
          <w:tcPr>
            <w:tcW w:w="5153" w:type="dxa"/>
            <w:shd w:val="clear" w:color="auto" w:fill="auto"/>
          </w:tcPr>
          <w:p w14:paraId="00D75835" w14:textId="77777777" w:rsidR="00735147" w:rsidRPr="00F271B8" w:rsidRDefault="00735147" w:rsidP="00735147">
            <w:pPr>
              <w:pStyle w:val="BodyText"/>
              <w:spacing w:before="100" w:after="100"/>
              <w:jc w:val="center"/>
            </w:pPr>
            <w:r w:rsidRPr="00F271B8">
              <w:t>$0 per minute</w:t>
            </w:r>
          </w:p>
        </w:tc>
      </w:tr>
      <w:tr w:rsidR="00735147" w:rsidRPr="00F271B8" w14:paraId="1EE0CB0B" w14:textId="77777777" w:rsidTr="00735147">
        <w:tc>
          <w:tcPr>
            <w:tcW w:w="4770" w:type="dxa"/>
            <w:shd w:val="clear" w:color="auto" w:fill="auto"/>
          </w:tcPr>
          <w:p w14:paraId="50937205" w14:textId="77777777" w:rsidR="00735147" w:rsidRPr="00F271B8" w:rsidRDefault="00735147" w:rsidP="00735147">
            <w:pPr>
              <w:pStyle w:val="BodyText"/>
              <w:spacing w:before="100" w:after="100"/>
              <w:rPr>
                <w:b/>
                <w:bCs/>
              </w:rPr>
            </w:pPr>
            <w:r w:rsidRPr="00F271B8">
              <w:rPr>
                <w:b/>
                <w:bCs/>
              </w:rPr>
              <w:t>National Diversions</w:t>
            </w:r>
          </w:p>
        </w:tc>
        <w:tc>
          <w:tcPr>
            <w:tcW w:w="5153" w:type="dxa"/>
            <w:shd w:val="clear" w:color="auto" w:fill="auto"/>
          </w:tcPr>
          <w:p w14:paraId="4389F74B" w14:textId="77777777" w:rsidR="00735147" w:rsidRPr="00F271B8" w:rsidRDefault="00735147" w:rsidP="00735147">
            <w:pPr>
              <w:pStyle w:val="BodyText"/>
              <w:spacing w:before="100" w:after="100"/>
              <w:jc w:val="center"/>
            </w:pPr>
            <w:r w:rsidRPr="00F271B8">
              <w:t>$0 per minute</w:t>
            </w:r>
          </w:p>
        </w:tc>
      </w:tr>
      <w:tr w:rsidR="00735147" w:rsidRPr="00F271B8" w14:paraId="0ECF12F9" w14:textId="77777777" w:rsidTr="00735147">
        <w:tc>
          <w:tcPr>
            <w:tcW w:w="4770" w:type="dxa"/>
            <w:shd w:val="clear" w:color="auto" w:fill="auto"/>
          </w:tcPr>
          <w:p w14:paraId="30DA33D2" w14:textId="77777777" w:rsidR="00735147" w:rsidRPr="00F271B8" w:rsidRDefault="00735147" w:rsidP="00735147">
            <w:pPr>
              <w:pStyle w:val="BodyText"/>
              <w:spacing w:before="100" w:after="100"/>
              <w:rPr>
                <w:b/>
                <w:bCs/>
              </w:rPr>
            </w:pPr>
            <w:r w:rsidRPr="00F271B8">
              <w:rPr>
                <w:b/>
                <w:bCs/>
              </w:rPr>
              <w:t xml:space="preserve">International Diversions </w:t>
            </w:r>
          </w:p>
        </w:tc>
        <w:tc>
          <w:tcPr>
            <w:tcW w:w="5153" w:type="dxa"/>
            <w:shd w:val="clear" w:color="auto" w:fill="auto"/>
          </w:tcPr>
          <w:p w14:paraId="3E02DC6D" w14:textId="77777777" w:rsidR="00735147" w:rsidRPr="00F271B8" w:rsidRDefault="00735147" w:rsidP="00735147">
            <w:pPr>
              <w:pStyle w:val="BodyText"/>
              <w:spacing w:before="100" w:after="100"/>
              <w:jc w:val="center"/>
            </w:pPr>
            <w:r>
              <w:t>'</w:t>
            </w:r>
            <w:r w:rsidRPr="00F271B8">
              <w:t>yes</w:t>
            </w:r>
            <w:r>
              <w:t>'</w:t>
            </w:r>
            <w:r w:rsidRPr="00F271B8">
              <w:t xml:space="preserve"> international rates</w:t>
            </w:r>
            <w:r w:rsidRPr="00F271B8">
              <w:br/>
              <w:t>See optus.com.au/international</w:t>
            </w:r>
          </w:p>
        </w:tc>
      </w:tr>
      <w:tr w:rsidR="00735147" w:rsidRPr="00F271B8" w14:paraId="5648DDE0" w14:textId="77777777" w:rsidTr="00735147">
        <w:tc>
          <w:tcPr>
            <w:tcW w:w="4770" w:type="dxa"/>
            <w:shd w:val="clear" w:color="auto" w:fill="auto"/>
          </w:tcPr>
          <w:p w14:paraId="391797F9" w14:textId="77777777" w:rsidR="00735147" w:rsidRPr="00F271B8" w:rsidRDefault="00735147" w:rsidP="00735147">
            <w:pPr>
              <w:pStyle w:val="BodyText"/>
              <w:spacing w:before="100" w:after="100"/>
              <w:rPr>
                <w:b/>
                <w:bCs/>
              </w:rPr>
            </w:pPr>
            <w:r w:rsidRPr="00F271B8">
              <w:rPr>
                <w:b/>
                <w:bCs/>
              </w:rPr>
              <w:t xml:space="preserve">1800 numbers </w:t>
            </w:r>
          </w:p>
        </w:tc>
        <w:tc>
          <w:tcPr>
            <w:tcW w:w="5153" w:type="dxa"/>
            <w:shd w:val="clear" w:color="auto" w:fill="auto"/>
            <w:vAlign w:val="center"/>
          </w:tcPr>
          <w:p w14:paraId="592E0A2A" w14:textId="77777777" w:rsidR="00735147" w:rsidRPr="00F271B8" w:rsidRDefault="00735147" w:rsidP="00735147">
            <w:pPr>
              <w:pStyle w:val="BodyText"/>
              <w:spacing w:before="100" w:after="100"/>
              <w:jc w:val="center"/>
            </w:pPr>
            <w:r w:rsidRPr="00F271B8">
              <w:t>$0 per minute</w:t>
            </w:r>
          </w:p>
        </w:tc>
      </w:tr>
      <w:tr w:rsidR="00735147" w:rsidRPr="00F271B8" w14:paraId="115EE4BC" w14:textId="77777777" w:rsidTr="00735147">
        <w:tc>
          <w:tcPr>
            <w:tcW w:w="4770" w:type="dxa"/>
            <w:shd w:val="clear" w:color="auto" w:fill="auto"/>
          </w:tcPr>
          <w:p w14:paraId="4474B470" w14:textId="77777777" w:rsidR="00735147" w:rsidRPr="00F271B8" w:rsidRDefault="00735147" w:rsidP="00735147">
            <w:pPr>
              <w:pStyle w:val="BodyText"/>
              <w:spacing w:before="100" w:after="100"/>
              <w:rPr>
                <w:b/>
                <w:bCs/>
              </w:rPr>
            </w:pPr>
            <w:r w:rsidRPr="00F271B8">
              <w:rPr>
                <w:b/>
                <w:bCs/>
              </w:rPr>
              <w:t xml:space="preserve">Directory Assistance 1223 </w:t>
            </w:r>
          </w:p>
        </w:tc>
        <w:tc>
          <w:tcPr>
            <w:tcW w:w="5153" w:type="dxa"/>
            <w:shd w:val="clear" w:color="auto" w:fill="auto"/>
            <w:vAlign w:val="center"/>
          </w:tcPr>
          <w:p w14:paraId="4C3B1344" w14:textId="77777777" w:rsidR="00735147" w:rsidRPr="00F271B8" w:rsidRDefault="00735147" w:rsidP="00735147">
            <w:pPr>
              <w:pStyle w:val="BodyText"/>
              <w:spacing w:before="100" w:after="100"/>
              <w:jc w:val="center"/>
            </w:pPr>
            <w:r w:rsidRPr="00F271B8">
              <w:t>50c per call</w:t>
            </w:r>
          </w:p>
        </w:tc>
      </w:tr>
      <w:tr w:rsidR="00735147" w:rsidRPr="00F271B8" w14:paraId="3F53F8A5" w14:textId="77777777" w:rsidTr="00735147">
        <w:tc>
          <w:tcPr>
            <w:tcW w:w="4770" w:type="dxa"/>
            <w:shd w:val="clear" w:color="auto" w:fill="auto"/>
          </w:tcPr>
          <w:p w14:paraId="0079A949" w14:textId="77777777" w:rsidR="00735147" w:rsidRPr="00F271B8" w:rsidRDefault="00735147" w:rsidP="00735147">
            <w:pPr>
              <w:pStyle w:val="BodyText"/>
              <w:spacing w:before="100" w:after="100"/>
              <w:rPr>
                <w:b/>
                <w:bCs/>
              </w:rPr>
            </w:pPr>
            <w:r w:rsidRPr="00F271B8">
              <w:rPr>
                <w:b/>
                <w:bCs/>
              </w:rPr>
              <w:t>124 Yes</w:t>
            </w:r>
          </w:p>
        </w:tc>
        <w:tc>
          <w:tcPr>
            <w:tcW w:w="5153" w:type="dxa"/>
            <w:shd w:val="clear" w:color="auto" w:fill="auto"/>
            <w:vAlign w:val="center"/>
          </w:tcPr>
          <w:p w14:paraId="566016B5" w14:textId="77777777" w:rsidR="00735147" w:rsidRPr="00F271B8" w:rsidRDefault="00735147" w:rsidP="00735147">
            <w:pPr>
              <w:pStyle w:val="BodyText"/>
              <w:spacing w:before="100" w:after="100"/>
              <w:jc w:val="center"/>
            </w:pPr>
            <w:r w:rsidRPr="00F271B8">
              <w:t>90c per minute +$1.75c flagfall</w:t>
            </w:r>
          </w:p>
        </w:tc>
      </w:tr>
      <w:tr w:rsidR="00735147" w:rsidRPr="00F271B8" w14:paraId="70E74FFA" w14:textId="77777777" w:rsidTr="00735147">
        <w:tc>
          <w:tcPr>
            <w:tcW w:w="4770" w:type="dxa"/>
            <w:shd w:val="clear" w:color="auto" w:fill="auto"/>
          </w:tcPr>
          <w:p w14:paraId="13769D8C" w14:textId="77777777" w:rsidR="00735147" w:rsidRPr="00F271B8" w:rsidRDefault="00735147" w:rsidP="00735147">
            <w:pPr>
              <w:pStyle w:val="BodyText"/>
              <w:spacing w:before="100" w:after="100"/>
              <w:rPr>
                <w:b/>
                <w:bCs/>
              </w:rPr>
            </w:pPr>
            <w:r w:rsidRPr="00F271B8">
              <w:rPr>
                <w:b/>
                <w:bCs/>
              </w:rPr>
              <w:t>International voice calls (outside the plan</w:t>
            </w:r>
            <w:r>
              <w:rPr>
                <w:b/>
                <w:bCs/>
              </w:rPr>
              <w:t>'</w:t>
            </w:r>
            <w:r w:rsidRPr="00F271B8">
              <w:rPr>
                <w:b/>
                <w:bCs/>
              </w:rPr>
              <w:t xml:space="preserve">s included international minutes and to excluded countries) </w:t>
            </w:r>
          </w:p>
        </w:tc>
        <w:tc>
          <w:tcPr>
            <w:tcW w:w="5153" w:type="dxa"/>
            <w:shd w:val="clear" w:color="auto" w:fill="auto"/>
            <w:vAlign w:val="center"/>
          </w:tcPr>
          <w:p w14:paraId="4886C1E6" w14:textId="77777777" w:rsidR="00735147" w:rsidRPr="00F271B8" w:rsidRDefault="00735147" w:rsidP="00735147">
            <w:pPr>
              <w:pStyle w:val="BodyText"/>
              <w:spacing w:before="100" w:after="100"/>
              <w:jc w:val="center"/>
            </w:pPr>
            <w:r>
              <w:t>'</w:t>
            </w:r>
            <w:r w:rsidRPr="00F271B8">
              <w:t>yes</w:t>
            </w:r>
            <w:r>
              <w:t>'</w:t>
            </w:r>
            <w:r w:rsidRPr="00F271B8">
              <w:t xml:space="preserve"> international rates</w:t>
            </w:r>
          </w:p>
          <w:p w14:paraId="74C97DAD" w14:textId="77777777" w:rsidR="00735147" w:rsidRPr="00F271B8" w:rsidRDefault="00735147" w:rsidP="00735147">
            <w:pPr>
              <w:pStyle w:val="BodyText"/>
              <w:spacing w:before="100" w:after="100"/>
              <w:jc w:val="center"/>
            </w:pPr>
            <w:r w:rsidRPr="00F271B8">
              <w:t>See optus.com.au/international</w:t>
            </w:r>
          </w:p>
        </w:tc>
      </w:tr>
      <w:tr w:rsidR="00735147" w:rsidRPr="00F271B8" w14:paraId="200D6529" w14:textId="77777777" w:rsidTr="00735147">
        <w:tc>
          <w:tcPr>
            <w:tcW w:w="4770" w:type="dxa"/>
            <w:shd w:val="clear" w:color="auto" w:fill="auto"/>
          </w:tcPr>
          <w:p w14:paraId="74F42D04" w14:textId="77777777" w:rsidR="00735147" w:rsidRPr="00F271B8" w:rsidRDefault="00735147" w:rsidP="00735147">
            <w:pPr>
              <w:pStyle w:val="BodyText"/>
              <w:spacing w:before="100" w:after="100"/>
              <w:rPr>
                <w:b/>
                <w:bCs/>
              </w:rPr>
            </w:pPr>
            <w:r w:rsidRPr="00F271B8">
              <w:rPr>
                <w:b/>
                <w:bCs/>
              </w:rPr>
              <w:t xml:space="preserve">International SMS (to excluded countries) </w:t>
            </w:r>
          </w:p>
        </w:tc>
        <w:tc>
          <w:tcPr>
            <w:tcW w:w="5153" w:type="dxa"/>
            <w:shd w:val="clear" w:color="auto" w:fill="auto"/>
            <w:vAlign w:val="center"/>
          </w:tcPr>
          <w:p w14:paraId="566FF4C1" w14:textId="77777777" w:rsidR="00735147" w:rsidRPr="00F271B8" w:rsidRDefault="00735147" w:rsidP="00735147">
            <w:pPr>
              <w:pStyle w:val="BodyText"/>
              <w:spacing w:before="100" w:after="100"/>
              <w:jc w:val="center"/>
            </w:pPr>
            <w:r w:rsidRPr="00F271B8">
              <w:t>50c per SMS up to 160 standard characters</w:t>
            </w:r>
          </w:p>
        </w:tc>
      </w:tr>
      <w:tr w:rsidR="00735147" w:rsidRPr="00F271B8" w14:paraId="623EE063" w14:textId="77777777" w:rsidTr="00735147">
        <w:tc>
          <w:tcPr>
            <w:tcW w:w="4770" w:type="dxa"/>
            <w:shd w:val="clear" w:color="auto" w:fill="auto"/>
          </w:tcPr>
          <w:p w14:paraId="3CEE8F97" w14:textId="77777777" w:rsidR="00735147" w:rsidRPr="00F271B8" w:rsidRDefault="00735147" w:rsidP="00735147">
            <w:pPr>
              <w:pStyle w:val="BodyText"/>
              <w:spacing w:before="100" w:after="100"/>
              <w:rPr>
                <w:b/>
                <w:bCs/>
              </w:rPr>
            </w:pPr>
            <w:r w:rsidRPr="00F271B8">
              <w:rPr>
                <w:b/>
                <w:bCs/>
              </w:rPr>
              <w:t>International MMS (to excluded countries)</w:t>
            </w:r>
          </w:p>
        </w:tc>
        <w:tc>
          <w:tcPr>
            <w:tcW w:w="5153" w:type="dxa"/>
            <w:shd w:val="clear" w:color="auto" w:fill="auto"/>
            <w:vAlign w:val="center"/>
          </w:tcPr>
          <w:p w14:paraId="27076874" w14:textId="77777777" w:rsidR="00735147" w:rsidRPr="00F271B8" w:rsidRDefault="00735147" w:rsidP="00735147">
            <w:pPr>
              <w:pStyle w:val="BodyText"/>
              <w:spacing w:before="100" w:after="100"/>
              <w:jc w:val="center"/>
            </w:pPr>
            <w:r w:rsidRPr="00F271B8">
              <w:t>75c per MMS</w:t>
            </w:r>
          </w:p>
        </w:tc>
      </w:tr>
      <w:tr w:rsidR="00735147" w:rsidRPr="00F271B8" w14:paraId="69CC9730" w14:textId="77777777" w:rsidTr="00735147">
        <w:tc>
          <w:tcPr>
            <w:tcW w:w="4770" w:type="dxa"/>
            <w:shd w:val="clear" w:color="auto" w:fill="auto"/>
          </w:tcPr>
          <w:p w14:paraId="2133234A" w14:textId="77777777" w:rsidR="00735147" w:rsidRPr="00F271B8" w:rsidRDefault="00735147" w:rsidP="00735147">
            <w:pPr>
              <w:pStyle w:val="BodyText"/>
              <w:spacing w:before="100" w:after="100"/>
              <w:rPr>
                <w:b/>
                <w:bCs/>
              </w:rPr>
            </w:pPr>
            <w:r w:rsidRPr="00F271B8">
              <w:rPr>
                <w:b/>
                <w:bCs/>
              </w:rPr>
              <w:t xml:space="preserve">International video calling </w:t>
            </w:r>
          </w:p>
        </w:tc>
        <w:tc>
          <w:tcPr>
            <w:tcW w:w="5153" w:type="dxa"/>
            <w:shd w:val="clear" w:color="auto" w:fill="auto"/>
            <w:vAlign w:val="center"/>
          </w:tcPr>
          <w:p w14:paraId="41DD81E2" w14:textId="77777777" w:rsidR="00735147" w:rsidRPr="00F271B8" w:rsidRDefault="00735147" w:rsidP="00735147">
            <w:pPr>
              <w:pStyle w:val="BodyText"/>
              <w:spacing w:before="100" w:after="100"/>
              <w:jc w:val="center"/>
            </w:pPr>
            <w:r w:rsidRPr="00F271B8">
              <w:t>$1.50 per minute +35c flagfall</w:t>
            </w:r>
          </w:p>
        </w:tc>
      </w:tr>
      <w:tr w:rsidR="00735147" w:rsidRPr="00F271B8" w14:paraId="2D1CD264" w14:textId="77777777" w:rsidTr="00735147">
        <w:tc>
          <w:tcPr>
            <w:tcW w:w="4770" w:type="dxa"/>
            <w:shd w:val="clear" w:color="auto" w:fill="auto"/>
          </w:tcPr>
          <w:p w14:paraId="68D0EF57" w14:textId="77777777" w:rsidR="00735147" w:rsidRPr="00F271B8" w:rsidRDefault="00735147" w:rsidP="00735147">
            <w:pPr>
              <w:pStyle w:val="BodyText"/>
              <w:spacing w:before="100" w:after="100"/>
              <w:rPr>
                <w:b/>
                <w:bCs/>
              </w:rPr>
            </w:pPr>
            <w:r w:rsidRPr="00F271B8">
              <w:rPr>
                <w:b/>
                <w:bCs/>
              </w:rPr>
              <w:t xml:space="preserve">International roaming </w:t>
            </w:r>
          </w:p>
        </w:tc>
        <w:tc>
          <w:tcPr>
            <w:tcW w:w="5153" w:type="dxa"/>
            <w:shd w:val="clear" w:color="auto" w:fill="auto"/>
            <w:vAlign w:val="center"/>
          </w:tcPr>
          <w:p w14:paraId="327AD3D1" w14:textId="77777777" w:rsidR="00735147" w:rsidRPr="00F271B8" w:rsidRDefault="00735147" w:rsidP="00735147">
            <w:pPr>
              <w:pStyle w:val="BodyText"/>
              <w:spacing w:before="100" w:after="100"/>
              <w:jc w:val="center"/>
            </w:pPr>
            <w:r w:rsidRPr="00F271B8">
              <w:t>See optus.com.au/roaming</w:t>
            </w:r>
          </w:p>
        </w:tc>
      </w:tr>
    </w:tbl>
    <w:p w14:paraId="45C01B86" w14:textId="77777777" w:rsidR="00735147" w:rsidRPr="00F271B8" w:rsidRDefault="00735147" w:rsidP="00735147">
      <w:pPr>
        <w:pStyle w:val="BodyText"/>
        <w:spacing w:before="240" w:after="120"/>
        <w:rPr>
          <w:b/>
        </w:rPr>
      </w:pPr>
      <w:r>
        <w:rPr>
          <w:b/>
        </w:rPr>
        <w:t>Table 3</w:t>
      </w:r>
      <w:r w:rsidRPr="00F271B8">
        <w:rPr>
          <w:b/>
        </w:rPr>
        <w:t xml:space="preserve"> – International Countries</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5"/>
        <w:gridCol w:w="2385"/>
        <w:gridCol w:w="2385"/>
        <w:gridCol w:w="2385"/>
      </w:tblGrid>
      <w:tr w:rsidR="00735147" w:rsidRPr="00F271B8" w14:paraId="35958681" w14:textId="77777777" w:rsidTr="00735147">
        <w:tc>
          <w:tcPr>
            <w:tcW w:w="2385" w:type="dxa"/>
            <w:shd w:val="clear" w:color="auto" w:fill="auto"/>
          </w:tcPr>
          <w:p w14:paraId="75ECAB4F" w14:textId="77777777" w:rsidR="00735147" w:rsidRPr="00F271B8" w:rsidRDefault="00735147" w:rsidP="00735147">
            <w:pPr>
              <w:pStyle w:val="BodyText"/>
              <w:spacing w:before="100" w:after="100"/>
              <w:rPr>
                <w:b/>
              </w:rPr>
            </w:pPr>
            <w:r w:rsidRPr="00304BEC">
              <w:rPr>
                <w:rFonts w:eastAsia="Calibri" w:cs="Arial"/>
              </w:rPr>
              <w:t>China</w:t>
            </w:r>
          </w:p>
        </w:tc>
        <w:tc>
          <w:tcPr>
            <w:tcW w:w="2385" w:type="dxa"/>
            <w:shd w:val="clear" w:color="auto" w:fill="auto"/>
          </w:tcPr>
          <w:p w14:paraId="1374E86B" w14:textId="77777777" w:rsidR="00735147" w:rsidRPr="00F271B8" w:rsidRDefault="00735147" w:rsidP="00735147">
            <w:pPr>
              <w:pStyle w:val="BodyText"/>
              <w:spacing w:before="100" w:after="100"/>
              <w:rPr>
                <w:b/>
              </w:rPr>
            </w:pPr>
            <w:r w:rsidRPr="00304BEC">
              <w:rPr>
                <w:rFonts w:eastAsia="Calibri" w:cs="Arial"/>
              </w:rPr>
              <w:t>Indonesia</w:t>
            </w:r>
          </w:p>
        </w:tc>
        <w:tc>
          <w:tcPr>
            <w:tcW w:w="2385" w:type="dxa"/>
            <w:shd w:val="clear" w:color="auto" w:fill="auto"/>
          </w:tcPr>
          <w:p w14:paraId="070507F2" w14:textId="77777777" w:rsidR="00735147" w:rsidRPr="00F271B8" w:rsidRDefault="00735147" w:rsidP="00735147">
            <w:pPr>
              <w:pStyle w:val="BodyText"/>
              <w:spacing w:before="100" w:after="100"/>
              <w:rPr>
                <w:b/>
              </w:rPr>
            </w:pPr>
            <w:r w:rsidRPr="00304BEC">
              <w:rPr>
                <w:rFonts w:eastAsia="Calibri" w:cs="Arial"/>
              </w:rPr>
              <w:t>India</w:t>
            </w:r>
          </w:p>
        </w:tc>
        <w:tc>
          <w:tcPr>
            <w:tcW w:w="2385" w:type="dxa"/>
            <w:shd w:val="clear" w:color="auto" w:fill="auto"/>
          </w:tcPr>
          <w:p w14:paraId="670E95CB" w14:textId="77777777" w:rsidR="00735147" w:rsidRPr="00F271B8" w:rsidRDefault="00735147" w:rsidP="00735147">
            <w:pPr>
              <w:pStyle w:val="BodyText"/>
              <w:spacing w:before="100" w:after="100"/>
              <w:rPr>
                <w:b/>
              </w:rPr>
            </w:pPr>
            <w:r w:rsidRPr="00304BEC">
              <w:rPr>
                <w:rFonts w:eastAsia="Calibri" w:cs="Arial"/>
              </w:rPr>
              <w:t>Malaysia</w:t>
            </w:r>
          </w:p>
        </w:tc>
      </w:tr>
      <w:tr w:rsidR="00735147" w:rsidRPr="00F271B8" w14:paraId="7A216C03" w14:textId="77777777" w:rsidTr="00735147">
        <w:tc>
          <w:tcPr>
            <w:tcW w:w="2385" w:type="dxa"/>
            <w:shd w:val="clear" w:color="auto" w:fill="auto"/>
          </w:tcPr>
          <w:p w14:paraId="4455E312" w14:textId="77777777" w:rsidR="00735147" w:rsidRPr="00F271B8" w:rsidRDefault="00735147" w:rsidP="00735147">
            <w:pPr>
              <w:pStyle w:val="BodyText"/>
              <w:spacing w:before="100" w:after="100"/>
              <w:rPr>
                <w:b/>
              </w:rPr>
            </w:pPr>
            <w:r w:rsidRPr="00304BEC">
              <w:rPr>
                <w:rFonts w:eastAsia="Calibri" w:cs="Arial"/>
              </w:rPr>
              <w:t>New Zealand</w:t>
            </w:r>
          </w:p>
        </w:tc>
        <w:tc>
          <w:tcPr>
            <w:tcW w:w="2385" w:type="dxa"/>
            <w:shd w:val="clear" w:color="auto" w:fill="auto"/>
          </w:tcPr>
          <w:p w14:paraId="2DF50C12" w14:textId="77777777" w:rsidR="00735147" w:rsidRPr="00F271B8" w:rsidRDefault="00735147" w:rsidP="00735147">
            <w:pPr>
              <w:pStyle w:val="BodyText"/>
              <w:spacing w:before="100" w:after="100"/>
              <w:rPr>
                <w:b/>
              </w:rPr>
            </w:pPr>
            <w:r w:rsidRPr="00304BEC">
              <w:rPr>
                <w:rFonts w:eastAsia="Calibri" w:cs="Arial"/>
              </w:rPr>
              <w:t>Singapore</w:t>
            </w:r>
          </w:p>
        </w:tc>
        <w:tc>
          <w:tcPr>
            <w:tcW w:w="2385" w:type="dxa"/>
            <w:shd w:val="clear" w:color="auto" w:fill="auto"/>
          </w:tcPr>
          <w:p w14:paraId="2CDCE2E9" w14:textId="77777777" w:rsidR="00735147" w:rsidRPr="00F271B8" w:rsidRDefault="00735147" w:rsidP="00735147">
            <w:pPr>
              <w:pStyle w:val="BodyText"/>
              <w:spacing w:before="100" w:after="100"/>
              <w:rPr>
                <w:b/>
              </w:rPr>
            </w:pPr>
            <w:r w:rsidRPr="00304BEC">
              <w:rPr>
                <w:rFonts w:eastAsia="Calibri" w:cs="Arial"/>
              </w:rPr>
              <w:t>South Africa</w:t>
            </w:r>
          </w:p>
        </w:tc>
        <w:tc>
          <w:tcPr>
            <w:tcW w:w="2385" w:type="dxa"/>
            <w:shd w:val="clear" w:color="auto" w:fill="auto"/>
          </w:tcPr>
          <w:p w14:paraId="30F9CC5A" w14:textId="77777777" w:rsidR="00735147" w:rsidRPr="00F271B8" w:rsidRDefault="00735147" w:rsidP="00735147">
            <w:pPr>
              <w:pStyle w:val="BodyText"/>
              <w:spacing w:before="100" w:after="100"/>
              <w:rPr>
                <w:b/>
              </w:rPr>
            </w:pPr>
            <w:r w:rsidRPr="00304BEC">
              <w:rPr>
                <w:rFonts w:eastAsia="Calibri" w:cs="Arial"/>
              </w:rPr>
              <w:t>UK</w:t>
            </w:r>
          </w:p>
        </w:tc>
      </w:tr>
      <w:tr w:rsidR="00735147" w:rsidRPr="00F271B8" w14:paraId="775F9711" w14:textId="77777777" w:rsidTr="00735147">
        <w:tc>
          <w:tcPr>
            <w:tcW w:w="2385" w:type="dxa"/>
            <w:shd w:val="clear" w:color="auto" w:fill="auto"/>
          </w:tcPr>
          <w:p w14:paraId="6F39AEB1" w14:textId="77777777" w:rsidR="00735147" w:rsidRPr="00F271B8" w:rsidRDefault="00735147" w:rsidP="00735147">
            <w:pPr>
              <w:pStyle w:val="BodyText"/>
              <w:spacing w:before="100" w:after="100"/>
              <w:rPr>
                <w:b/>
              </w:rPr>
            </w:pPr>
            <w:r w:rsidRPr="00304BEC">
              <w:rPr>
                <w:rFonts w:eastAsia="Calibri" w:cs="Arial"/>
              </w:rPr>
              <w:t xml:space="preserve">USA </w:t>
            </w:r>
          </w:p>
        </w:tc>
        <w:tc>
          <w:tcPr>
            <w:tcW w:w="2385" w:type="dxa"/>
            <w:shd w:val="clear" w:color="auto" w:fill="auto"/>
          </w:tcPr>
          <w:p w14:paraId="12EFA308" w14:textId="77777777" w:rsidR="00735147" w:rsidRPr="00F271B8" w:rsidRDefault="00735147" w:rsidP="00735147">
            <w:pPr>
              <w:pStyle w:val="BodyText"/>
              <w:spacing w:before="100" w:after="100"/>
              <w:rPr>
                <w:b/>
              </w:rPr>
            </w:pPr>
            <w:r w:rsidRPr="00304BEC">
              <w:rPr>
                <w:rFonts w:eastAsia="Calibri" w:cs="Arial"/>
              </w:rPr>
              <w:t>Vietnam</w:t>
            </w:r>
          </w:p>
        </w:tc>
        <w:tc>
          <w:tcPr>
            <w:tcW w:w="2385" w:type="dxa"/>
            <w:shd w:val="clear" w:color="auto" w:fill="auto"/>
          </w:tcPr>
          <w:p w14:paraId="0E4E1E96" w14:textId="77777777" w:rsidR="00735147" w:rsidRPr="003F3929" w:rsidRDefault="00735147" w:rsidP="00735147">
            <w:pPr>
              <w:pStyle w:val="BodyText"/>
              <w:spacing w:before="100" w:after="100"/>
              <w:rPr>
                <w:rFonts w:cs="Arial"/>
                <w:b/>
              </w:rPr>
            </w:pPr>
            <w:r w:rsidRPr="003F3929">
              <w:rPr>
                <w:rFonts w:cs="Arial"/>
                <w:color w:val="000000"/>
                <w:lang w:val="en-AU" w:eastAsia="en-AU"/>
              </w:rPr>
              <w:t>Canada</w:t>
            </w:r>
          </w:p>
        </w:tc>
        <w:tc>
          <w:tcPr>
            <w:tcW w:w="2385" w:type="dxa"/>
            <w:shd w:val="clear" w:color="auto" w:fill="auto"/>
          </w:tcPr>
          <w:p w14:paraId="65F80834" w14:textId="77777777" w:rsidR="00735147" w:rsidRPr="003F3929" w:rsidRDefault="00735147" w:rsidP="00735147">
            <w:pPr>
              <w:pStyle w:val="BodyText"/>
              <w:spacing w:before="100" w:after="100"/>
              <w:rPr>
                <w:rFonts w:cs="Arial"/>
                <w:b/>
              </w:rPr>
            </w:pPr>
            <w:r w:rsidRPr="003F3929">
              <w:rPr>
                <w:rFonts w:cs="Arial"/>
                <w:color w:val="000000"/>
                <w:lang w:val="en-AU" w:eastAsia="en-AU"/>
              </w:rPr>
              <w:t>Hong Kong</w:t>
            </w:r>
          </w:p>
        </w:tc>
      </w:tr>
      <w:tr w:rsidR="00735147" w:rsidRPr="00F271B8" w14:paraId="3564A337" w14:textId="77777777" w:rsidTr="00735147">
        <w:tc>
          <w:tcPr>
            <w:tcW w:w="2385" w:type="dxa"/>
            <w:shd w:val="clear" w:color="auto" w:fill="auto"/>
          </w:tcPr>
          <w:p w14:paraId="293361C3" w14:textId="77777777" w:rsidR="00735147" w:rsidRPr="003F3929" w:rsidRDefault="00735147" w:rsidP="00735147">
            <w:pPr>
              <w:pStyle w:val="BodyText"/>
              <w:spacing w:before="100" w:after="100"/>
              <w:rPr>
                <w:rFonts w:eastAsia="Calibri" w:cs="Arial"/>
              </w:rPr>
            </w:pPr>
            <w:r w:rsidRPr="003F3929">
              <w:rPr>
                <w:rFonts w:cs="Arial"/>
                <w:color w:val="000000"/>
                <w:lang w:val="en-AU" w:eastAsia="en-AU"/>
              </w:rPr>
              <w:lastRenderedPageBreak/>
              <w:t xml:space="preserve">South Korea </w:t>
            </w:r>
          </w:p>
        </w:tc>
        <w:tc>
          <w:tcPr>
            <w:tcW w:w="2385" w:type="dxa"/>
            <w:shd w:val="clear" w:color="auto" w:fill="auto"/>
          </w:tcPr>
          <w:p w14:paraId="333A2F9C" w14:textId="77777777" w:rsidR="00735147" w:rsidRPr="003F3929" w:rsidRDefault="00735147" w:rsidP="00735147">
            <w:pPr>
              <w:pStyle w:val="BodyText"/>
              <w:spacing w:before="100" w:after="100"/>
              <w:rPr>
                <w:rFonts w:eastAsia="Calibri" w:cs="Arial"/>
              </w:rPr>
            </w:pPr>
            <w:r w:rsidRPr="003F3929">
              <w:rPr>
                <w:rFonts w:cs="Arial"/>
                <w:color w:val="000000"/>
                <w:lang w:val="en-AU" w:eastAsia="en-AU"/>
              </w:rPr>
              <w:t>Thailand</w:t>
            </w:r>
          </w:p>
        </w:tc>
        <w:tc>
          <w:tcPr>
            <w:tcW w:w="2385" w:type="dxa"/>
            <w:shd w:val="clear" w:color="auto" w:fill="auto"/>
          </w:tcPr>
          <w:p w14:paraId="5A414F3C" w14:textId="77777777" w:rsidR="00735147" w:rsidRDefault="00735147" w:rsidP="00735147">
            <w:pPr>
              <w:pStyle w:val="BodyText"/>
              <w:spacing w:before="100" w:after="100"/>
              <w:rPr>
                <w:rFonts w:ascii="Segoe UI" w:hAnsi="Segoe UI" w:cs="Segoe UI"/>
                <w:color w:val="000000"/>
                <w:lang w:val="en-AU" w:eastAsia="en-AU"/>
              </w:rPr>
            </w:pPr>
          </w:p>
        </w:tc>
        <w:tc>
          <w:tcPr>
            <w:tcW w:w="2385" w:type="dxa"/>
            <w:shd w:val="clear" w:color="auto" w:fill="auto"/>
          </w:tcPr>
          <w:p w14:paraId="1689894A" w14:textId="77777777" w:rsidR="00735147" w:rsidRDefault="00735147" w:rsidP="00735147">
            <w:pPr>
              <w:pStyle w:val="BodyText"/>
              <w:spacing w:before="100" w:after="100"/>
              <w:rPr>
                <w:rFonts w:ascii="Segoe UI" w:hAnsi="Segoe UI" w:cs="Segoe UI"/>
                <w:color w:val="000000"/>
                <w:lang w:val="en-AU" w:eastAsia="en-AU"/>
              </w:rPr>
            </w:pPr>
          </w:p>
        </w:tc>
      </w:tr>
    </w:tbl>
    <w:p w14:paraId="70D64BD2" w14:textId="77777777" w:rsidR="00735147" w:rsidRPr="00F271B8" w:rsidRDefault="00735147" w:rsidP="00735147">
      <w:pPr>
        <w:pStyle w:val="Heading6"/>
        <w:spacing w:before="240"/>
        <w:ind w:left="0" w:firstLine="0"/>
        <w:rPr>
          <w:lang w:val="en-AU"/>
        </w:rPr>
      </w:pPr>
      <w:bookmarkStart w:id="1590" w:name="_Toc489971236"/>
      <w:r w:rsidRPr="00F271B8">
        <w:rPr>
          <w:lang w:val="en-AU"/>
        </w:rPr>
        <w:t>My Account</w:t>
      </w:r>
      <w:bookmarkEnd w:id="1590"/>
    </w:p>
    <w:p w14:paraId="6827A522" w14:textId="77777777" w:rsidR="00735147" w:rsidRPr="00F271B8" w:rsidRDefault="00735147" w:rsidP="00735147">
      <w:pPr>
        <w:pStyle w:val="BodyText"/>
        <w:ind w:left="720"/>
        <w:rPr>
          <w:lang w:val="en-AU"/>
        </w:rPr>
      </w:pPr>
      <w:r w:rsidRPr="00F271B8">
        <w:rPr>
          <w:lang w:val="en-AU"/>
        </w:rPr>
        <w:t xml:space="preserve">Services that share data may have a service login to My Account which will display all of the service numbers contributing to or using the shared data pool on </w:t>
      </w:r>
      <w:r w:rsidRPr="00F271B8">
        <w:rPr>
          <w:i/>
          <w:lang w:val="en-AU"/>
        </w:rPr>
        <w:t xml:space="preserve">your </w:t>
      </w:r>
      <w:r w:rsidRPr="00F271B8">
        <w:rPr>
          <w:lang w:val="en-AU"/>
        </w:rPr>
        <w:t>account and the amount of data each service has used</w:t>
      </w:r>
      <w:r>
        <w:rPr>
          <w:lang w:val="en-AU"/>
        </w:rPr>
        <w:t xml:space="preserve">. </w:t>
      </w:r>
      <w:r w:rsidRPr="00F271B8">
        <w:rPr>
          <w:lang w:val="en-AU"/>
        </w:rPr>
        <w:t xml:space="preserve">If </w:t>
      </w:r>
      <w:r w:rsidRPr="00F271B8">
        <w:rPr>
          <w:i/>
          <w:lang w:val="en-AU"/>
        </w:rPr>
        <w:t>you</w:t>
      </w:r>
      <w:r w:rsidRPr="00F271B8">
        <w:rPr>
          <w:lang w:val="en-AU"/>
        </w:rPr>
        <w:t xml:space="preserve"> have more than 6 services on </w:t>
      </w:r>
      <w:r w:rsidRPr="00F271B8">
        <w:rPr>
          <w:i/>
          <w:lang w:val="en-AU"/>
        </w:rPr>
        <w:t>your</w:t>
      </w:r>
      <w:r w:rsidRPr="00F271B8">
        <w:rPr>
          <w:lang w:val="en-AU"/>
        </w:rPr>
        <w:t xml:space="preserve"> account, My Account may not be suitable for viewing usage and managing </w:t>
      </w:r>
      <w:r w:rsidRPr="00F271B8">
        <w:rPr>
          <w:i/>
          <w:lang w:val="en-AU"/>
        </w:rPr>
        <w:t xml:space="preserve">your </w:t>
      </w:r>
      <w:r w:rsidRPr="00F271B8">
        <w:rPr>
          <w:lang w:val="en-AU"/>
        </w:rPr>
        <w:t>usage alerts.</w:t>
      </w:r>
    </w:p>
    <w:p w14:paraId="53F6EE47" w14:textId="77777777" w:rsidR="00735147" w:rsidRPr="00F271B8" w:rsidRDefault="00735147" w:rsidP="00735147">
      <w:pPr>
        <w:pStyle w:val="Heading6"/>
        <w:ind w:left="0" w:firstLine="0"/>
        <w:rPr>
          <w:lang w:val="en-AU"/>
        </w:rPr>
      </w:pPr>
      <w:bookmarkStart w:id="1591" w:name="_Toc489971237"/>
      <w:r w:rsidRPr="00F271B8">
        <w:rPr>
          <w:lang w:val="en-AU"/>
        </w:rPr>
        <w:t xml:space="preserve">What happens if the </w:t>
      </w:r>
      <w:r w:rsidRPr="00F271B8">
        <w:rPr>
          <w:i/>
          <w:lang w:val="en-AU"/>
        </w:rPr>
        <w:t xml:space="preserve">service </w:t>
      </w:r>
      <w:r w:rsidRPr="00F271B8">
        <w:rPr>
          <w:lang w:val="en-AU"/>
        </w:rPr>
        <w:t>is</w:t>
      </w:r>
      <w:r w:rsidRPr="00F271B8">
        <w:rPr>
          <w:i/>
          <w:lang w:val="en-AU"/>
        </w:rPr>
        <w:t xml:space="preserve"> cancelled </w:t>
      </w:r>
      <w:r w:rsidRPr="00F271B8">
        <w:rPr>
          <w:lang w:val="en-AU"/>
        </w:rPr>
        <w:t>early?</w:t>
      </w:r>
      <w:bookmarkEnd w:id="1591"/>
      <w:r w:rsidRPr="00F271B8">
        <w:rPr>
          <w:lang w:val="en-AU"/>
        </w:rPr>
        <w:t xml:space="preserve"> </w:t>
      </w:r>
    </w:p>
    <w:p w14:paraId="43200D55" w14:textId="77777777" w:rsidR="00735147" w:rsidRPr="005545B6" w:rsidRDefault="00735147" w:rsidP="00735147">
      <w:pPr>
        <w:ind w:left="709"/>
        <w:rPr>
          <w:sz w:val="20"/>
          <w:szCs w:val="20"/>
        </w:rPr>
      </w:pPr>
      <w:r w:rsidRPr="0057204B">
        <w:rPr>
          <w:rFonts w:cs="Arial"/>
          <w:sz w:val="20"/>
          <w:szCs w:val="20"/>
        </w:rPr>
        <w:t>If your service is cancelled before the end of your minimum term, there are no plan cancellation fees. You will simply need to pay out the sum of unpaid equipment charges owing on your mobile phone under the mobile equipment payment plan (if any).  Note any handset credit you were entitled to will be forfeited</w:t>
      </w:r>
      <w:r>
        <w:rPr>
          <w:rFonts w:cs="Arial"/>
          <w:sz w:val="20"/>
          <w:szCs w:val="20"/>
        </w:rPr>
        <w:t>.</w:t>
      </w:r>
    </w:p>
    <w:p w14:paraId="3FAC532A" w14:textId="77777777" w:rsidR="00735147" w:rsidRPr="00AD1F6F" w:rsidRDefault="00735147" w:rsidP="00735147">
      <w:pPr>
        <w:outlineLvl w:val="6"/>
        <w:rPr>
          <w:rFonts w:eastAsia="Times New Roman"/>
          <w:iCs/>
          <w:sz w:val="20"/>
        </w:rPr>
      </w:pPr>
      <w:r>
        <w:rPr>
          <w:rFonts w:eastAsia="Times New Roman"/>
          <w:iCs/>
          <w:sz w:val="20"/>
        </w:rPr>
        <w:t xml:space="preserve">  </w:t>
      </w:r>
    </w:p>
    <w:p w14:paraId="50FF5191" w14:textId="77777777" w:rsidR="00735147" w:rsidRDefault="00735147" w:rsidP="00735147">
      <w:pPr>
        <w:pStyle w:val="BodyText"/>
        <w:rPr>
          <w:rFonts w:eastAsia="Times New Roman" w:cs="Arial"/>
          <w:szCs w:val="20"/>
          <w:lang w:val="en-AU"/>
        </w:rPr>
      </w:pPr>
    </w:p>
    <w:p w14:paraId="6DE90350" w14:textId="77777777" w:rsidR="00735147" w:rsidRPr="00F271B8" w:rsidRDefault="00735147" w:rsidP="00735147">
      <w:pPr>
        <w:pStyle w:val="Heading4"/>
        <w:rPr>
          <w:lang w:val="en-AU"/>
        </w:rPr>
      </w:pPr>
      <w:bookmarkStart w:id="1592" w:name="_Toc486601087"/>
      <w:bookmarkStart w:id="1593" w:name="_Toc489971267"/>
      <w:bookmarkStart w:id="1594" w:name="_Toc62644690"/>
      <w:r>
        <w:rPr>
          <w:lang w:val="en-AU"/>
        </w:rPr>
        <w:t xml:space="preserve">$75 </w:t>
      </w:r>
      <w:r w:rsidRPr="00F271B8">
        <w:rPr>
          <w:lang w:val="en-AU"/>
        </w:rPr>
        <w:t xml:space="preserve">My Plan Business </w:t>
      </w:r>
      <w:r>
        <w:rPr>
          <w:lang w:val="en-AU"/>
        </w:rPr>
        <w:t>/ Business Plan</w:t>
      </w:r>
      <w:bookmarkEnd w:id="1592"/>
      <w:bookmarkEnd w:id="1593"/>
      <w:bookmarkEnd w:id="1594"/>
    </w:p>
    <w:p w14:paraId="1F30F386" w14:textId="77777777" w:rsidR="00735147" w:rsidRPr="00641F25" w:rsidRDefault="00735147" w:rsidP="00735147">
      <w:pPr>
        <w:pStyle w:val="BodyText"/>
        <w:ind w:left="720"/>
        <w:rPr>
          <w:rFonts w:cs="Arial"/>
          <w:szCs w:val="20"/>
          <w:lang w:val="en-AU"/>
        </w:rPr>
      </w:pPr>
      <w:r w:rsidRPr="00641F25">
        <w:rPr>
          <w:rFonts w:cs="Arial"/>
          <w:szCs w:val="20"/>
          <w:lang w:val="en-AU"/>
        </w:rPr>
        <w:t xml:space="preserve">This section relates to the following plans. </w:t>
      </w:r>
      <w:r w:rsidRPr="00641F25">
        <w:rPr>
          <w:rFonts w:cs="Arial"/>
          <w:i/>
          <w:szCs w:val="20"/>
          <w:lang w:val="en-AU"/>
        </w:rPr>
        <w:t>You</w:t>
      </w:r>
      <w:r w:rsidRPr="00641F25">
        <w:rPr>
          <w:rFonts w:cs="Arial"/>
          <w:szCs w:val="20"/>
          <w:lang w:val="en-AU"/>
        </w:rPr>
        <w:t xml:space="preserve"> can find </w:t>
      </w:r>
      <w:r w:rsidRPr="00641F25">
        <w:rPr>
          <w:rFonts w:cs="Arial"/>
          <w:i/>
          <w:szCs w:val="20"/>
          <w:lang w:val="en-AU"/>
        </w:rPr>
        <w:t>your</w:t>
      </w:r>
      <w:r w:rsidRPr="00641F25">
        <w:rPr>
          <w:rFonts w:cs="Arial"/>
          <w:szCs w:val="20"/>
          <w:lang w:val="en-AU"/>
        </w:rPr>
        <w:t xml:space="preserve"> Plan ID on </w:t>
      </w:r>
      <w:r w:rsidRPr="00641F25">
        <w:rPr>
          <w:rFonts w:cs="Arial"/>
          <w:i/>
          <w:szCs w:val="20"/>
          <w:lang w:val="en-AU"/>
        </w:rPr>
        <w:t>your</w:t>
      </w:r>
      <w:r w:rsidRPr="00641F25">
        <w:rPr>
          <w:rFonts w:cs="Arial"/>
          <w:szCs w:val="20"/>
          <w:lang w:val="en-AU"/>
        </w:rPr>
        <w:t xml:space="preserve"> bill under the Mobile Number Summary section: </w:t>
      </w:r>
    </w:p>
    <w:tbl>
      <w:tblPr>
        <w:tblW w:w="95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0"/>
        <w:gridCol w:w="3180"/>
        <w:gridCol w:w="3180"/>
      </w:tblGrid>
      <w:tr w:rsidR="00735147" w:rsidRPr="00641F25" w14:paraId="1716325F" w14:textId="77777777" w:rsidTr="00735147">
        <w:tc>
          <w:tcPr>
            <w:tcW w:w="3180" w:type="dxa"/>
            <w:shd w:val="clear" w:color="auto" w:fill="auto"/>
          </w:tcPr>
          <w:p w14:paraId="33FB1F0B" w14:textId="77777777" w:rsidR="00735147" w:rsidRPr="00641F25" w:rsidRDefault="00735147" w:rsidP="00735147">
            <w:pPr>
              <w:pStyle w:val="BodyText"/>
              <w:spacing w:before="100" w:after="100"/>
              <w:jc w:val="center"/>
              <w:rPr>
                <w:rFonts w:cs="Arial"/>
                <w:b/>
                <w:szCs w:val="20"/>
                <w:lang w:val="en-AU"/>
              </w:rPr>
            </w:pPr>
            <w:r w:rsidRPr="00641F25">
              <w:rPr>
                <w:rFonts w:cs="Arial"/>
                <w:b/>
                <w:szCs w:val="20"/>
                <w:lang w:val="en-AU"/>
              </w:rPr>
              <w:t>Plan</w:t>
            </w:r>
          </w:p>
        </w:tc>
        <w:tc>
          <w:tcPr>
            <w:tcW w:w="3180" w:type="dxa"/>
            <w:shd w:val="clear" w:color="auto" w:fill="auto"/>
          </w:tcPr>
          <w:p w14:paraId="43E2A7C9" w14:textId="77777777" w:rsidR="00735147" w:rsidRPr="00641F25" w:rsidRDefault="00735147" w:rsidP="00735147">
            <w:pPr>
              <w:pStyle w:val="BodyText"/>
              <w:spacing w:before="100" w:after="100"/>
              <w:jc w:val="center"/>
              <w:rPr>
                <w:rFonts w:cs="Arial"/>
                <w:b/>
                <w:szCs w:val="20"/>
                <w:lang w:val="en-AU"/>
              </w:rPr>
            </w:pPr>
            <w:r w:rsidRPr="00641F25">
              <w:rPr>
                <w:rFonts w:cs="Arial"/>
                <w:b/>
                <w:szCs w:val="20"/>
                <w:lang w:val="en-AU"/>
              </w:rPr>
              <w:t>Plan ID</w:t>
            </w:r>
          </w:p>
        </w:tc>
        <w:tc>
          <w:tcPr>
            <w:tcW w:w="3180" w:type="dxa"/>
            <w:shd w:val="clear" w:color="auto" w:fill="auto"/>
          </w:tcPr>
          <w:p w14:paraId="694BAC19" w14:textId="77777777" w:rsidR="00735147" w:rsidRPr="00641F25" w:rsidRDefault="00735147" w:rsidP="00735147">
            <w:pPr>
              <w:pStyle w:val="BodyText"/>
              <w:spacing w:before="100" w:after="100"/>
              <w:jc w:val="center"/>
              <w:rPr>
                <w:rFonts w:cs="Arial"/>
                <w:b/>
                <w:szCs w:val="20"/>
                <w:lang w:val="en-AU"/>
              </w:rPr>
            </w:pPr>
            <w:r w:rsidRPr="00641F25">
              <w:rPr>
                <w:rFonts w:cs="Arial"/>
                <w:b/>
                <w:szCs w:val="20"/>
                <w:lang w:val="en-AU"/>
              </w:rPr>
              <w:t>Available</w:t>
            </w:r>
          </w:p>
        </w:tc>
      </w:tr>
      <w:tr w:rsidR="00735147" w:rsidRPr="00641F25" w14:paraId="3C30F763" w14:textId="77777777" w:rsidTr="00735147">
        <w:tc>
          <w:tcPr>
            <w:tcW w:w="3180" w:type="dxa"/>
            <w:shd w:val="clear" w:color="auto" w:fill="auto"/>
          </w:tcPr>
          <w:p w14:paraId="49972095" w14:textId="77777777" w:rsidR="00735147" w:rsidRPr="00641F25" w:rsidRDefault="00735147" w:rsidP="00735147">
            <w:pPr>
              <w:pStyle w:val="BodyText"/>
              <w:spacing w:before="100" w:after="100"/>
              <w:jc w:val="center"/>
              <w:rPr>
                <w:rFonts w:cs="Arial"/>
                <w:szCs w:val="20"/>
                <w:lang w:val="en-AU"/>
              </w:rPr>
            </w:pPr>
            <w:r w:rsidRPr="00641F25">
              <w:rPr>
                <w:rFonts w:eastAsia="Calibri" w:cs="Arial"/>
                <w:szCs w:val="20"/>
                <w:lang w:val="en-AU"/>
              </w:rPr>
              <w:t>$75 My Plan Business</w:t>
            </w:r>
          </w:p>
        </w:tc>
        <w:tc>
          <w:tcPr>
            <w:tcW w:w="3180" w:type="dxa"/>
            <w:shd w:val="clear" w:color="auto" w:fill="auto"/>
            <w:vAlign w:val="center"/>
          </w:tcPr>
          <w:p w14:paraId="45C9C534" w14:textId="77777777" w:rsidR="00735147" w:rsidRPr="00641F25" w:rsidRDefault="00735147" w:rsidP="00735147">
            <w:pPr>
              <w:pStyle w:val="BodyText"/>
              <w:spacing w:before="100" w:after="100"/>
              <w:jc w:val="center"/>
              <w:rPr>
                <w:rFonts w:cs="Arial"/>
                <w:szCs w:val="20"/>
                <w:lang w:val="en-AU"/>
              </w:rPr>
            </w:pPr>
            <w:r w:rsidRPr="00641F25">
              <w:rPr>
                <w:rFonts w:cs="Arial"/>
                <w:szCs w:val="20"/>
                <w:lang w:val="en-AU"/>
              </w:rPr>
              <w:t>800716/10566985</w:t>
            </w:r>
          </w:p>
        </w:tc>
        <w:tc>
          <w:tcPr>
            <w:tcW w:w="3180" w:type="dxa"/>
            <w:shd w:val="clear" w:color="auto" w:fill="auto"/>
          </w:tcPr>
          <w:p w14:paraId="689F23E5" w14:textId="77777777" w:rsidR="00735147" w:rsidRPr="00641F25" w:rsidRDefault="00735147" w:rsidP="00735147">
            <w:pPr>
              <w:pStyle w:val="BodyText"/>
              <w:spacing w:before="100" w:after="100"/>
              <w:jc w:val="center"/>
              <w:rPr>
                <w:rFonts w:cs="Arial"/>
                <w:szCs w:val="20"/>
                <w:lang w:val="en-AU"/>
              </w:rPr>
            </w:pPr>
            <w:r w:rsidRPr="00641F25">
              <w:rPr>
                <w:rFonts w:cs="Arial"/>
                <w:szCs w:val="20"/>
              </w:rPr>
              <w:t>3 July – 31 August 2017</w:t>
            </w:r>
          </w:p>
        </w:tc>
      </w:tr>
      <w:tr w:rsidR="00735147" w:rsidRPr="00641F25" w14:paraId="553DD364" w14:textId="77777777" w:rsidTr="00735147">
        <w:tc>
          <w:tcPr>
            <w:tcW w:w="3180" w:type="dxa"/>
            <w:shd w:val="clear" w:color="auto" w:fill="auto"/>
          </w:tcPr>
          <w:p w14:paraId="3D8F59B8" w14:textId="77777777" w:rsidR="00735147" w:rsidRPr="00641F25" w:rsidRDefault="00735147" w:rsidP="00735147">
            <w:pPr>
              <w:pStyle w:val="BodyText"/>
              <w:spacing w:before="100" w:after="100"/>
              <w:jc w:val="center"/>
              <w:rPr>
                <w:rFonts w:eastAsia="Calibri" w:cs="Arial"/>
                <w:szCs w:val="20"/>
                <w:lang w:val="en-AU"/>
              </w:rPr>
            </w:pPr>
            <w:r w:rsidRPr="00641F25">
              <w:rPr>
                <w:rFonts w:eastAsia="Calibri" w:cs="Arial"/>
                <w:szCs w:val="20"/>
                <w:lang w:val="en-AU"/>
              </w:rPr>
              <w:t>$75 Business Plan</w:t>
            </w:r>
          </w:p>
        </w:tc>
        <w:tc>
          <w:tcPr>
            <w:tcW w:w="3180" w:type="dxa"/>
            <w:shd w:val="clear" w:color="auto" w:fill="auto"/>
            <w:vAlign w:val="center"/>
          </w:tcPr>
          <w:p w14:paraId="3F71CFFF" w14:textId="77777777" w:rsidR="00735147" w:rsidRPr="00641F25" w:rsidRDefault="00735147" w:rsidP="00735147">
            <w:pPr>
              <w:pStyle w:val="BodyText"/>
              <w:spacing w:before="100" w:after="100"/>
              <w:jc w:val="center"/>
              <w:rPr>
                <w:rFonts w:eastAsia="Calibri" w:cs="Arial"/>
                <w:szCs w:val="20"/>
              </w:rPr>
            </w:pPr>
            <w:r w:rsidRPr="00641F25">
              <w:rPr>
                <w:rFonts w:eastAsia="Calibri" w:cs="Arial"/>
                <w:szCs w:val="20"/>
              </w:rPr>
              <w:t>800717/10566995</w:t>
            </w:r>
          </w:p>
        </w:tc>
        <w:tc>
          <w:tcPr>
            <w:tcW w:w="3180" w:type="dxa"/>
            <w:shd w:val="clear" w:color="auto" w:fill="auto"/>
          </w:tcPr>
          <w:p w14:paraId="0C452F8C" w14:textId="77777777" w:rsidR="00735147" w:rsidRPr="00641F25" w:rsidRDefault="00735147" w:rsidP="00735147">
            <w:pPr>
              <w:pStyle w:val="BodyText"/>
              <w:spacing w:before="100" w:after="100"/>
              <w:jc w:val="center"/>
              <w:rPr>
                <w:rFonts w:eastAsia="Calibri" w:cs="Arial"/>
                <w:szCs w:val="20"/>
              </w:rPr>
            </w:pPr>
            <w:r w:rsidRPr="00641F25">
              <w:rPr>
                <w:rFonts w:cs="Arial"/>
                <w:szCs w:val="20"/>
              </w:rPr>
              <w:t>3 July – 31 August 2017</w:t>
            </w:r>
          </w:p>
        </w:tc>
      </w:tr>
    </w:tbl>
    <w:p w14:paraId="3FE392BF" w14:textId="77777777" w:rsidR="00735147" w:rsidRPr="00641F25" w:rsidRDefault="00735147" w:rsidP="00735147">
      <w:pPr>
        <w:pStyle w:val="Heading6"/>
        <w:spacing w:before="240"/>
        <w:ind w:left="0" w:firstLine="0"/>
        <w:rPr>
          <w:rFonts w:cs="Arial"/>
          <w:szCs w:val="20"/>
          <w:lang w:val="en-AU"/>
        </w:rPr>
      </w:pPr>
      <w:bookmarkStart w:id="1595" w:name="_Toc486601088"/>
      <w:bookmarkStart w:id="1596" w:name="_Toc489971268"/>
      <w:r w:rsidRPr="00641F25">
        <w:rPr>
          <w:rFonts w:cs="Arial"/>
          <w:szCs w:val="20"/>
          <w:lang w:val="en-AU"/>
        </w:rPr>
        <w:t>Eligibility</w:t>
      </w:r>
      <w:bookmarkEnd w:id="1595"/>
      <w:bookmarkEnd w:id="1596"/>
    </w:p>
    <w:p w14:paraId="1881870D" w14:textId="77777777" w:rsidR="00735147" w:rsidRPr="00641F25" w:rsidRDefault="00735147" w:rsidP="00735147">
      <w:pPr>
        <w:pStyle w:val="BodyText"/>
        <w:ind w:left="720"/>
        <w:rPr>
          <w:rFonts w:cs="Arial"/>
          <w:szCs w:val="20"/>
        </w:rPr>
      </w:pPr>
      <w:r w:rsidRPr="00641F25">
        <w:rPr>
          <w:rFonts w:cs="Arial"/>
          <w:szCs w:val="20"/>
        </w:rPr>
        <w:t>These plans are only available to new and re-contracting services with a Samsung Galaxy S8 or S8+. Optus Service Providers’ customers are not eligible to apply.</w:t>
      </w:r>
    </w:p>
    <w:p w14:paraId="3C26B326" w14:textId="77777777" w:rsidR="00735147" w:rsidRPr="00641F25" w:rsidRDefault="00735147" w:rsidP="00735147">
      <w:pPr>
        <w:pStyle w:val="BodyText"/>
        <w:ind w:left="720"/>
        <w:rPr>
          <w:rFonts w:cs="Arial"/>
          <w:szCs w:val="20"/>
          <w:lang w:val="en-AU"/>
        </w:rPr>
      </w:pPr>
      <w:r w:rsidRPr="00641F25">
        <w:rPr>
          <w:rFonts w:cs="Arial"/>
          <w:szCs w:val="20"/>
          <w:lang w:val="en-AU"/>
        </w:rPr>
        <w:t xml:space="preserve">These </w:t>
      </w:r>
      <w:r w:rsidRPr="00641F25">
        <w:rPr>
          <w:rFonts w:cs="Arial"/>
          <w:i/>
          <w:szCs w:val="20"/>
          <w:lang w:val="en-AU"/>
        </w:rPr>
        <w:t>plans</w:t>
      </w:r>
      <w:r w:rsidRPr="00641F25">
        <w:rPr>
          <w:rFonts w:cs="Arial"/>
          <w:szCs w:val="20"/>
          <w:lang w:val="en-AU"/>
        </w:rPr>
        <w:t xml:space="preserve"> aren't compatible for data use with BlackBerry handsets on operating systems of 7.1 or earlier.</w:t>
      </w:r>
    </w:p>
    <w:p w14:paraId="33B37FD6" w14:textId="77777777" w:rsidR="00735147" w:rsidRPr="00641F25" w:rsidRDefault="00735147" w:rsidP="00735147">
      <w:pPr>
        <w:pStyle w:val="Heading6"/>
        <w:ind w:left="0" w:firstLine="0"/>
        <w:rPr>
          <w:rFonts w:cs="Arial"/>
          <w:szCs w:val="20"/>
          <w:lang w:val="en-AU"/>
        </w:rPr>
      </w:pPr>
      <w:bookmarkStart w:id="1597" w:name="_Toc486601089"/>
      <w:bookmarkStart w:id="1598" w:name="_Toc489971269"/>
      <w:r w:rsidRPr="00641F25">
        <w:rPr>
          <w:rFonts w:cs="Arial"/>
          <w:szCs w:val="20"/>
          <w:lang w:val="en-AU"/>
        </w:rPr>
        <w:t>Minimum Term</w:t>
      </w:r>
      <w:bookmarkEnd w:id="1597"/>
      <w:bookmarkEnd w:id="1598"/>
    </w:p>
    <w:p w14:paraId="083C1614" w14:textId="77777777" w:rsidR="00735147" w:rsidRPr="00641F25" w:rsidRDefault="00735147" w:rsidP="00735147">
      <w:pPr>
        <w:pStyle w:val="BodyText"/>
        <w:ind w:left="720"/>
        <w:rPr>
          <w:rFonts w:cs="Arial"/>
          <w:szCs w:val="20"/>
          <w:lang w:val="en-AU"/>
        </w:rPr>
      </w:pPr>
      <w:r w:rsidRPr="00641F25">
        <w:rPr>
          <w:rFonts w:cs="Arial"/>
          <w:szCs w:val="20"/>
          <w:lang w:val="en-AU"/>
        </w:rPr>
        <w:t xml:space="preserve">This plan has a </w:t>
      </w:r>
      <w:r w:rsidRPr="00641F25">
        <w:rPr>
          <w:rFonts w:cs="Arial"/>
          <w:i/>
          <w:szCs w:val="20"/>
          <w:lang w:val="en-AU"/>
        </w:rPr>
        <w:t>fixed length</w:t>
      </w:r>
      <w:r w:rsidRPr="00641F25">
        <w:rPr>
          <w:rFonts w:cs="Arial"/>
          <w:szCs w:val="20"/>
          <w:lang w:val="en-AU"/>
        </w:rPr>
        <w:t xml:space="preserve"> </w:t>
      </w:r>
      <w:r w:rsidRPr="00641F25">
        <w:rPr>
          <w:rFonts w:cs="Arial"/>
          <w:i/>
          <w:szCs w:val="20"/>
          <w:lang w:val="en-AU"/>
        </w:rPr>
        <w:t>agreement</w:t>
      </w:r>
      <w:r w:rsidRPr="00641F25">
        <w:rPr>
          <w:rFonts w:cs="Arial"/>
          <w:szCs w:val="20"/>
          <w:lang w:val="en-AU"/>
        </w:rPr>
        <w:t xml:space="preserve"> with a 24 month </w:t>
      </w:r>
      <w:r w:rsidRPr="00641F25">
        <w:rPr>
          <w:rFonts w:cs="Arial"/>
          <w:i/>
          <w:szCs w:val="20"/>
          <w:lang w:val="en-AU"/>
        </w:rPr>
        <w:t>minimum term</w:t>
      </w:r>
      <w:r w:rsidRPr="00641F25">
        <w:rPr>
          <w:rFonts w:cs="Arial"/>
          <w:szCs w:val="20"/>
          <w:lang w:val="en-AU"/>
        </w:rPr>
        <w:t>.</w:t>
      </w:r>
    </w:p>
    <w:p w14:paraId="0427AEDF" w14:textId="77777777" w:rsidR="00735147" w:rsidRPr="00641F25" w:rsidRDefault="00735147" w:rsidP="00735147">
      <w:pPr>
        <w:pStyle w:val="Heading6"/>
        <w:ind w:left="0" w:firstLine="0"/>
        <w:rPr>
          <w:rFonts w:cs="Arial"/>
          <w:szCs w:val="20"/>
          <w:lang w:val="en-AU"/>
        </w:rPr>
      </w:pPr>
      <w:bookmarkStart w:id="1599" w:name="_Toc486601090"/>
      <w:bookmarkStart w:id="1600" w:name="_Toc489971270"/>
      <w:r w:rsidRPr="00641F25">
        <w:rPr>
          <w:rFonts w:cs="Arial"/>
          <w:szCs w:val="20"/>
          <w:lang w:val="en-AU"/>
        </w:rPr>
        <w:t>What you have to pay us</w:t>
      </w:r>
      <w:bookmarkEnd w:id="1599"/>
      <w:bookmarkEnd w:id="1600"/>
    </w:p>
    <w:p w14:paraId="016C5DEF" w14:textId="77777777" w:rsidR="00735147" w:rsidRPr="00641F25" w:rsidRDefault="00735147" w:rsidP="00735147">
      <w:pPr>
        <w:pStyle w:val="Heading7"/>
        <w:rPr>
          <w:rFonts w:cs="Arial"/>
          <w:szCs w:val="20"/>
          <w:lang w:val="en-AU"/>
        </w:rPr>
      </w:pPr>
      <w:r w:rsidRPr="00641F25">
        <w:rPr>
          <w:rFonts w:cs="Arial"/>
          <w:i/>
          <w:szCs w:val="20"/>
          <w:lang w:val="en-AU"/>
        </w:rPr>
        <w:t>You</w:t>
      </w:r>
      <w:r w:rsidRPr="00641F25">
        <w:rPr>
          <w:rFonts w:cs="Arial"/>
          <w:szCs w:val="20"/>
          <w:lang w:val="en-AU"/>
        </w:rPr>
        <w:t xml:space="preserve"> must pay </w:t>
      </w:r>
      <w:r w:rsidRPr="00641F25">
        <w:rPr>
          <w:rFonts w:cs="Arial"/>
          <w:i/>
          <w:szCs w:val="20"/>
          <w:lang w:val="en-AU"/>
        </w:rPr>
        <w:t>us</w:t>
      </w:r>
      <w:r w:rsidRPr="00641F25">
        <w:rPr>
          <w:rFonts w:cs="Arial"/>
          <w:szCs w:val="20"/>
          <w:lang w:val="en-AU"/>
        </w:rPr>
        <w:t xml:space="preserve"> for use of the </w:t>
      </w:r>
      <w:r w:rsidRPr="00641F25">
        <w:rPr>
          <w:rFonts w:cs="Arial"/>
          <w:i/>
          <w:szCs w:val="20"/>
          <w:lang w:val="en-AU"/>
        </w:rPr>
        <w:t>service</w:t>
      </w:r>
      <w:r w:rsidRPr="00641F25">
        <w:rPr>
          <w:rFonts w:cs="Arial"/>
          <w:szCs w:val="20"/>
          <w:lang w:val="en-AU"/>
        </w:rPr>
        <w:t xml:space="preserve"> at the rates set out in Section 1 of this </w:t>
      </w:r>
      <w:r w:rsidRPr="00641F25">
        <w:rPr>
          <w:rFonts w:cs="Arial"/>
          <w:i/>
          <w:szCs w:val="20"/>
          <w:lang w:val="en-AU"/>
        </w:rPr>
        <w:t>standard pricing table</w:t>
      </w:r>
      <w:r w:rsidRPr="00641F25">
        <w:rPr>
          <w:rFonts w:cs="Arial"/>
          <w:szCs w:val="20"/>
          <w:lang w:val="en-AU"/>
        </w:rPr>
        <w:t xml:space="preserve"> and for value added service features at the rates set out in </w:t>
      </w:r>
      <w:hyperlink r:id="rId733" w:history="1">
        <w:r w:rsidRPr="00641F25">
          <w:rPr>
            <w:rStyle w:val="Hyperlink"/>
            <w:rFonts w:cs="Arial"/>
            <w:i/>
            <w:szCs w:val="20"/>
            <w:lang w:val="en-AU"/>
          </w:rPr>
          <w:t>Appendix Y Value Added Service Features</w:t>
        </w:r>
      </w:hyperlink>
      <w:r w:rsidRPr="00641F25">
        <w:rPr>
          <w:rFonts w:cs="Arial"/>
          <w:szCs w:val="20"/>
          <w:lang w:val="en-AU"/>
        </w:rPr>
        <w:t xml:space="preserve">. </w:t>
      </w:r>
    </w:p>
    <w:p w14:paraId="355C40CA" w14:textId="77777777" w:rsidR="00735147" w:rsidRPr="00641F25" w:rsidRDefault="00735147" w:rsidP="00735147">
      <w:pPr>
        <w:pStyle w:val="Heading7"/>
        <w:rPr>
          <w:rFonts w:cs="Arial"/>
          <w:szCs w:val="20"/>
          <w:lang w:val="en-AU"/>
        </w:rPr>
      </w:pPr>
      <w:r w:rsidRPr="00641F25">
        <w:rPr>
          <w:rFonts w:cs="Arial"/>
          <w:szCs w:val="20"/>
          <w:lang w:val="en-AU"/>
        </w:rPr>
        <w:t>If there is a flagfall for a particular call type, the charge for these calls is the flagfall amount plus the relevant rate for the call multiplied by the duration of the call.</w:t>
      </w:r>
    </w:p>
    <w:p w14:paraId="2F2E4A3F" w14:textId="77777777" w:rsidR="00735147" w:rsidRPr="00641F25" w:rsidRDefault="00735147" w:rsidP="00735147">
      <w:pPr>
        <w:pStyle w:val="Heading7"/>
        <w:rPr>
          <w:rFonts w:cs="Arial"/>
          <w:szCs w:val="20"/>
          <w:lang w:val="en-AU"/>
        </w:rPr>
      </w:pPr>
      <w:r w:rsidRPr="00641F25">
        <w:rPr>
          <w:rFonts w:cs="Arial"/>
          <w:szCs w:val="20"/>
          <w:lang w:val="en-AU"/>
        </w:rPr>
        <w:t xml:space="preserve">Minimum Monthly Charge </w:t>
      </w:r>
    </w:p>
    <w:p w14:paraId="1DE30F18" w14:textId="77777777" w:rsidR="00735147" w:rsidRPr="00641F25" w:rsidRDefault="00735147" w:rsidP="00735147">
      <w:pPr>
        <w:pStyle w:val="Heading8"/>
        <w:rPr>
          <w:rFonts w:cs="Arial"/>
          <w:szCs w:val="20"/>
          <w:lang w:val="en-AU"/>
        </w:rPr>
      </w:pPr>
      <w:r w:rsidRPr="00641F25">
        <w:rPr>
          <w:rFonts w:cs="Arial"/>
          <w:szCs w:val="20"/>
          <w:lang w:val="en-AU"/>
        </w:rPr>
        <w:t xml:space="preserve">Each plan has a Minimum Monthly Charge amount that </w:t>
      </w:r>
      <w:r w:rsidRPr="00641F25">
        <w:rPr>
          <w:rFonts w:cs="Arial"/>
          <w:i/>
          <w:szCs w:val="20"/>
          <w:lang w:val="en-AU"/>
        </w:rPr>
        <w:t>you</w:t>
      </w:r>
      <w:r w:rsidRPr="00641F25">
        <w:rPr>
          <w:rFonts w:cs="Arial"/>
          <w:szCs w:val="20"/>
          <w:lang w:val="en-AU"/>
        </w:rPr>
        <w:t xml:space="preserve"> must pay </w:t>
      </w:r>
      <w:r w:rsidRPr="00641F25">
        <w:rPr>
          <w:rFonts w:cs="Arial"/>
          <w:i/>
          <w:szCs w:val="20"/>
          <w:lang w:val="en-AU"/>
        </w:rPr>
        <w:t>us</w:t>
      </w:r>
      <w:r w:rsidRPr="00641F25">
        <w:rPr>
          <w:rFonts w:cs="Arial"/>
          <w:szCs w:val="20"/>
          <w:lang w:val="en-AU"/>
        </w:rPr>
        <w:t xml:space="preserve"> each month as set out in Table 1 below. </w:t>
      </w:r>
    </w:p>
    <w:p w14:paraId="2AC6D064" w14:textId="77777777" w:rsidR="00735147" w:rsidRPr="00641F25" w:rsidRDefault="00735147" w:rsidP="00735147">
      <w:pPr>
        <w:pStyle w:val="Heading8"/>
        <w:rPr>
          <w:rFonts w:cs="Arial"/>
          <w:szCs w:val="20"/>
          <w:lang w:val="en-AU"/>
        </w:rPr>
      </w:pPr>
      <w:r w:rsidRPr="00641F25">
        <w:rPr>
          <w:rFonts w:cs="Arial"/>
          <w:i/>
          <w:szCs w:val="20"/>
          <w:lang w:val="en-AU"/>
        </w:rPr>
        <w:t>You</w:t>
      </w:r>
      <w:r w:rsidRPr="00641F25">
        <w:rPr>
          <w:rFonts w:cs="Arial"/>
          <w:szCs w:val="20"/>
          <w:lang w:val="en-AU"/>
        </w:rPr>
        <w:t xml:space="preserve"> must purchase a Samsung Galaxy S8 or S8+ mobile phone (or 'handset') with a 24 month </w:t>
      </w:r>
      <w:r w:rsidRPr="00641F25">
        <w:rPr>
          <w:rFonts w:cs="Arial"/>
          <w:i/>
          <w:szCs w:val="20"/>
          <w:lang w:val="en-AU"/>
        </w:rPr>
        <w:t>equipment term</w:t>
      </w:r>
      <w:r w:rsidRPr="00641F25">
        <w:rPr>
          <w:rFonts w:cs="Arial"/>
          <w:szCs w:val="20"/>
          <w:lang w:val="en-AU"/>
        </w:rPr>
        <w:t xml:space="preserve"> under a </w:t>
      </w:r>
      <w:r w:rsidRPr="00641F25">
        <w:rPr>
          <w:rFonts w:cs="Arial"/>
          <w:i/>
          <w:szCs w:val="20"/>
          <w:lang w:val="en-AU"/>
        </w:rPr>
        <w:t>mobile equipment payment plan</w:t>
      </w:r>
      <w:r w:rsidRPr="00641F25">
        <w:rPr>
          <w:rFonts w:cs="Arial"/>
          <w:szCs w:val="20"/>
          <w:lang w:val="en-AU"/>
        </w:rPr>
        <w:t xml:space="preserve"> (set out in </w:t>
      </w:r>
      <w:hyperlink r:id="rId734" w:history="1">
        <w:r w:rsidRPr="00641F25">
          <w:rPr>
            <w:rStyle w:val="Hyperlink"/>
            <w:rFonts w:cs="Arial"/>
            <w:i/>
            <w:szCs w:val="20"/>
            <w:lang w:val="en-AU"/>
          </w:rPr>
          <w:t>Appendix D</w:t>
        </w:r>
      </w:hyperlink>
      <w:r w:rsidRPr="00641F25">
        <w:rPr>
          <w:rFonts w:cs="Arial"/>
          <w:szCs w:val="20"/>
          <w:lang w:val="en-AU"/>
        </w:rPr>
        <w:t xml:space="preserve">) on a 24 month </w:t>
      </w:r>
      <w:r w:rsidRPr="00641F25">
        <w:rPr>
          <w:rFonts w:cs="Arial"/>
          <w:i/>
          <w:szCs w:val="20"/>
          <w:lang w:val="en-AU"/>
        </w:rPr>
        <w:t>fixed-length agreement</w:t>
      </w:r>
      <w:r w:rsidRPr="00641F25">
        <w:rPr>
          <w:rFonts w:cs="Arial"/>
          <w:szCs w:val="20"/>
          <w:lang w:val="en-AU"/>
        </w:rPr>
        <w:t xml:space="preserve">. </w:t>
      </w:r>
    </w:p>
    <w:p w14:paraId="28356528" w14:textId="77777777" w:rsidR="00735147" w:rsidRPr="00641F25" w:rsidRDefault="00735147" w:rsidP="00735147">
      <w:pPr>
        <w:pStyle w:val="Heading6"/>
        <w:ind w:left="0" w:firstLine="0"/>
        <w:rPr>
          <w:rFonts w:cs="Arial"/>
          <w:szCs w:val="20"/>
          <w:lang w:val="en-AU"/>
        </w:rPr>
      </w:pPr>
      <w:bookmarkStart w:id="1601" w:name="_Toc486601091"/>
      <w:bookmarkStart w:id="1602" w:name="_Toc489971271"/>
      <w:r w:rsidRPr="00641F25">
        <w:rPr>
          <w:rFonts w:cs="Arial"/>
          <w:szCs w:val="20"/>
          <w:lang w:val="en-AU"/>
        </w:rPr>
        <w:t>How these plans work</w:t>
      </w:r>
      <w:bookmarkEnd w:id="1601"/>
      <w:bookmarkEnd w:id="1602"/>
    </w:p>
    <w:p w14:paraId="2376830A" w14:textId="77777777" w:rsidR="00735147" w:rsidRPr="00641F25" w:rsidRDefault="00735147" w:rsidP="00735147">
      <w:pPr>
        <w:pStyle w:val="Heading7"/>
        <w:rPr>
          <w:rFonts w:cs="Arial"/>
          <w:szCs w:val="20"/>
          <w:lang w:val="en-AU"/>
        </w:rPr>
      </w:pPr>
      <w:r w:rsidRPr="00641F25">
        <w:rPr>
          <w:rFonts w:cs="Arial"/>
          <w:szCs w:val="20"/>
          <w:lang w:val="en-AU"/>
        </w:rPr>
        <w:lastRenderedPageBreak/>
        <w:t xml:space="preserve">These plans has unlimited minutes to use on standard national calls to landlines and mobiles, </w:t>
      </w:r>
      <w:r w:rsidRPr="00641F25">
        <w:rPr>
          <w:rFonts w:cs="Arial"/>
          <w:szCs w:val="20"/>
        </w:rPr>
        <w:t>13/1300 numbers and voicemail retrievals and Included Data (for mobile internet use) to share with other services on a My Plan Plus</w:t>
      </w:r>
      <w:r w:rsidRPr="00641F25">
        <w:rPr>
          <w:rFonts w:cs="Arial"/>
          <w:color w:val="000000"/>
          <w:szCs w:val="20"/>
          <w:lang w:eastAsia="en-AU"/>
        </w:rPr>
        <w:t xml:space="preserve">, </w:t>
      </w:r>
      <w:r w:rsidRPr="00641F25">
        <w:rPr>
          <w:rFonts w:cs="Arial"/>
          <w:szCs w:val="20"/>
          <w:lang w:eastAsia="en-AU"/>
        </w:rPr>
        <w:t>My Plan Plus SIM Only, My Plan Plus 12M SIM Only, My Plan Business (including Tech Fund), My Plan Business SIM, My Plan Business 12M SIM, Business Plan, My Plan Flex, My Plan Business Flex, Business Lease, My Mobile Broadband</w:t>
      </w:r>
      <w:r w:rsidRPr="00641F25">
        <w:rPr>
          <w:rFonts w:cs="Arial"/>
          <w:color w:val="000000"/>
          <w:szCs w:val="20"/>
          <w:lang w:eastAsia="en-AU"/>
        </w:rPr>
        <w:t xml:space="preserve"> Plus, Mobile Broadband Business</w:t>
      </w:r>
      <w:r w:rsidRPr="00641F25">
        <w:rPr>
          <w:rFonts w:cs="Arial"/>
          <w:szCs w:val="20"/>
        </w:rPr>
        <w:t xml:space="preserve"> or Shared Data Plan on the same account.</w:t>
      </w:r>
    </w:p>
    <w:p w14:paraId="148DEE1D" w14:textId="77777777" w:rsidR="00735147" w:rsidRPr="00641F25" w:rsidRDefault="00735147" w:rsidP="00735147">
      <w:pPr>
        <w:pStyle w:val="Heading7"/>
        <w:rPr>
          <w:rFonts w:cs="Arial"/>
          <w:szCs w:val="20"/>
          <w:lang w:val="en-AU"/>
        </w:rPr>
      </w:pPr>
      <w:r w:rsidRPr="00641F25">
        <w:rPr>
          <w:rFonts w:cs="Arial"/>
          <w:szCs w:val="20"/>
          <w:lang w:val="en-AU"/>
        </w:rPr>
        <w:t xml:space="preserve">These plans also include unlimited standard national SMS/MMS and unlimited standard International SMS/MMS to selected countries. </w:t>
      </w:r>
      <w:r w:rsidRPr="00641F25">
        <w:rPr>
          <w:rFonts w:cs="Arial"/>
          <w:szCs w:val="20"/>
        </w:rPr>
        <w:t>This plan also has an amount of included international minutes to use on standard international calls to selected countries.</w:t>
      </w:r>
    </w:p>
    <w:p w14:paraId="23F497B4" w14:textId="77777777" w:rsidR="00735147" w:rsidRPr="00641F25" w:rsidRDefault="00735147" w:rsidP="00735147">
      <w:pPr>
        <w:pStyle w:val="Heading7"/>
        <w:rPr>
          <w:rFonts w:cs="Arial"/>
          <w:szCs w:val="20"/>
        </w:rPr>
      </w:pPr>
      <w:r w:rsidRPr="00641F25">
        <w:rPr>
          <w:rFonts w:cs="Arial"/>
          <w:szCs w:val="20"/>
          <w:lang w:val="en-AU"/>
        </w:rPr>
        <w:t xml:space="preserve">Data usage is calculated in one kilobyte increments. </w:t>
      </w:r>
      <w:r w:rsidRPr="00641F25">
        <w:rPr>
          <w:rFonts w:cs="Arial"/>
          <w:szCs w:val="20"/>
        </w:rPr>
        <w:t>International minutes are billed in one minute increments.</w:t>
      </w:r>
    </w:p>
    <w:p w14:paraId="796CA952" w14:textId="77777777" w:rsidR="00735147" w:rsidRPr="00641F25" w:rsidRDefault="00735147" w:rsidP="00735147">
      <w:pPr>
        <w:pStyle w:val="Heading7"/>
        <w:rPr>
          <w:rFonts w:cs="Arial"/>
          <w:szCs w:val="20"/>
          <w:lang w:val="en-AU"/>
        </w:rPr>
      </w:pPr>
      <w:r w:rsidRPr="00641F25">
        <w:rPr>
          <w:rFonts w:cs="Arial"/>
          <w:szCs w:val="20"/>
          <w:lang w:val="en-AU"/>
        </w:rPr>
        <w:t>If you exceed your included shareable data you'll automatically be charged $10 for each additional 1GB of data ("</w:t>
      </w:r>
      <w:r w:rsidRPr="00641F25">
        <w:rPr>
          <w:rFonts w:cs="Arial"/>
          <w:b/>
          <w:szCs w:val="20"/>
          <w:lang w:val="en-AU"/>
        </w:rPr>
        <w:t>Additional Data</w:t>
      </w:r>
      <w:r w:rsidRPr="00641F25">
        <w:rPr>
          <w:rFonts w:cs="Arial"/>
          <w:szCs w:val="20"/>
          <w:lang w:val="en-AU"/>
        </w:rPr>
        <w:t>") that you use (or part thereof) up to 150GB of extra data per account each month. Your service/s may then be restricted or we may continue to charge you at these rates.</w:t>
      </w:r>
    </w:p>
    <w:p w14:paraId="58A89793" w14:textId="77777777" w:rsidR="00735147" w:rsidRPr="00641F25" w:rsidRDefault="00735147" w:rsidP="00735147">
      <w:pPr>
        <w:pStyle w:val="Heading7"/>
        <w:rPr>
          <w:rFonts w:cs="Arial"/>
          <w:szCs w:val="20"/>
          <w:lang w:val="en-AU"/>
        </w:rPr>
      </w:pPr>
      <w:r w:rsidRPr="00641F25">
        <w:rPr>
          <w:rFonts w:cs="Arial"/>
          <w:szCs w:val="20"/>
          <w:lang w:val="en-AU"/>
        </w:rPr>
        <w:t xml:space="preserve">Any unused portion of </w:t>
      </w:r>
      <w:r w:rsidRPr="00641F25">
        <w:rPr>
          <w:rFonts w:cs="Arial"/>
          <w:i/>
          <w:szCs w:val="20"/>
          <w:lang w:val="en-AU"/>
        </w:rPr>
        <w:t>your</w:t>
      </w:r>
      <w:r w:rsidRPr="00641F25">
        <w:rPr>
          <w:rFonts w:cs="Arial"/>
          <w:szCs w:val="20"/>
          <w:lang w:val="en-AU"/>
        </w:rPr>
        <w:t xml:space="preserve"> </w:t>
      </w:r>
      <w:r w:rsidRPr="00641F25">
        <w:rPr>
          <w:rFonts w:cs="Arial"/>
          <w:i/>
          <w:szCs w:val="20"/>
          <w:lang w:val="en-AU"/>
        </w:rPr>
        <w:t>plan's</w:t>
      </w:r>
      <w:r w:rsidRPr="00641F25">
        <w:rPr>
          <w:rFonts w:cs="Arial"/>
          <w:szCs w:val="20"/>
          <w:lang w:val="en-AU"/>
        </w:rPr>
        <w:t xml:space="preserve"> Included or Additional Minutes or Included or Additional Data expires at the end of each month and does not roll over into the next month.</w:t>
      </w:r>
      <w:r w:rsidRPr="00641F25">
        <w:rPr>
          <w:rFonts w:cs="Arial"/>
          <w:szCs w:val="20"/>
        </w:rPr>
        <w:t xml:space="preserve"> </w:t>
      </w:r>
    </w:p>
    <w:p w14:paraId="56CBD079" w14:textId="77777777" w:rsidR="00735147" w:rsidRPr="00641F25" w:rsidRDefault="00735147" w:rsidP="00735147">
      <w:pPr>
        <w:pStyle w:val="Heading7"/>
        <w:rPr>
          <w:rFonts w:cs="Arial"/>
          <w:szCs w:val="20"/>
          <w:lang w:val="en-AU"/>
        </w:rPr>
      </w:pPr>
      <w:r w:rsidRPr="00641F25">
        <w:rPr>
          <w:rFonts w:cs="Arial"/>
          <w:szCs w:val="20"/>
          <w:lang w:val="en-AU"/>
        </w:rPr>
        <w:t>You must pay us for use of any services that are not included in your plan’s inclusions, examples of which are set out in Table 2 below.</w:t>
      </w:r>
    </w:p>
    <w:p w14:paraId="64098547" w14:textId="77777777" w:rsidR="00735147" w:rsidRPr="00641F25" w:rsidRDefault="00735147" w:rsidP="00735147">
      <w:pPr>
        <w:pStyle w:val="Heading6"/>
        <w:ind w:left="0" w:firstLine="0"/>
        <w:rPr>
          <w:rFonts w:cs="Arial"/>
          <w:szCs w:val="20"/>
          <w:lang w:val="en-AU"/>
        </w:rPr>
      </w:pPr>
      <w:bookmarkStart w:id="1603" w:name="_Toc486601092"/>
      <w:bookmarkStart w:id="1604" w:name="_Toc489971272"/>
      <w:r w:rsidRPr="00641F25">
        <w:rPr>
          <w:rFonts w:cs="Arial"/>
          <w:szCs w:val="20"/>
          <w:lang w:val="en-AU"/>
        </w:rPr>
        <w:t>Plan Changes</w:t>
      </w:r>
      <w:bookmarkEnd w:id="1603"/>
      <w:bookmarkEnd w:id="1604"/>
      <w:r w:rsidRPr="00641F25">
        <w:rPr>
          <w:rFonts w:cs="Arial"/>
          <w:szCs w:val="20"/>
          <w:lang w:val="en-AU"/>
        </w:rPr>
        <w:t xml:space="preserve"> </w:t>
      </w:r>
    </w:p>
    <w:p w14:paraId="5C4ACE08" w14:textId="77777777" w:rsidR="00735147" w:rsidRPr="00641F25" w:rsidRDefault="00735147" w:rsidP="00735147">
      <w:pPr>
        <w:pStyle w:val="BodyText"/>
        <w:ind w:left="720"/>
        <w:rPr>
          <w:rFonts w:cs="Arial"/>
          <w:szCs w:val="20"/>
          <w:u w:val="single"/>
        </w:rPr>
      </w:pPr>
      <w:r w:rsidRPr="00641F25">
        <w:rPr>
          <w:rFonts w:cs="Arial"/>
          <w:szCs w:val="20"/>
        </w:rPr>
        <w:t>You cannot change your plan during the minimum term to a plan with the same or lower monthly access fee. If you change your plan during the minimum term a fee may apply and any handset repayments will remain the same.</w:t>
      </w:r>
    </w:p>
    <w:p w14:paraId="3CCEEF8F" w14:textId="77777777" w:rsidR="00735147" w:rsidRPr="00641F25" w:rsidRDefault="00735147" w:rsidP="00735147">
      <w:pPr>
        <w:pStyle w:val="Heading6"/>
        <w:rPr>
          <w:rFonts w:cs="Arial"/>
          <w:szCs w:val="20"/>
          <w:lang w:val="en-AU"/>
        </w:rPr>
      </w:pPr>
      <w:bookmarkStart w:id="1605" w:name="_Toc486601093"/>
      <w:bookmarkStart w:id="1606" w:name="_Toc489971273"/>
      <w:r w:rsidRPr="00641F25">
        <w:rPr>
          <w:rFonts w:cs="Arial"/>
          <w:szCs w:val="20"/>
          <w:lang w:val="en-AU"/>
        </w:rPr>
        <w:t>New Phone Trade Up</w:t>
      </w:r>
      <w:bookmarkEnd w:id="1605"/>
      <w:bookmarkEnd w:id="1606"/>
    </w:p>
    <w:p w14:paraId="69C914F1" w14:textId="77777777" w:rsidR="00735147" w:rsidRPr="00641F25" w:rsidRDefault="00735147" w:rsidP="00735147">
      <w:pPr>
        <w:ind w:left="709"/>
        <w:rPr>
          <w:rFonts w:cs="Arial"/>
          <w:sz w:val="20"/>
          <w:szCs w:val="20"/>
        </w:rPr>
      </w:pPr>
      <w:r w:rsidRPr="00641F25">
        <w:rPr>
          <w:rFonts w:cs="Arial"/>
          <w:sz w:val="20"/>
          <w:szCs w:val="20"/>
        </w:rPr>
        <w:t>The plans referred to in this section include the option of New Phone Trade Up, which can be exercised in two ways:</w:t>
      </w:r>
    </w:p>
    <w:p w14:paraId="62355324" w14:textId="77777777" w:rsidR="00735147" w:rsidRPr="00641F25" w:rsidRDefault="00735147" w:rsidP="00735147">
      <w:pPr>
        <w:pStyle w:val="Heading7"/>
        <w:rPr>
          <w:rFonts w:cs="Arial"/>
          <w:szCs w:val="20"/>
          <w:lang w:val="en-AU"/>
        </w:rPr>
      </w:pPr>
      <w:r w:rsidRPr="00641F25">
        <w:rPr>
          <w:rFonts w:cs="Arial"/>
          <w:szCs w:val="20"/>
          <w:lang w:val="en-AU"/>
        </w:rPr>
        <w:t>New Phone Trade Up for $99</w:t>
      </w:r>
    </w:p>
    <w:p w14:paraId="32C37401" w14:textId="77777777" w:rsidR="00735147" w:rsidRPr="00641F25" w:rsidRDefault="00735147" w:rsidP="00735147">
      <w:pPr>
        <w:numPr>
          <w:ilvl w:val="7"/>
          <w:numId w:val="1"/>
        </w:numPr>
        <w:spacing w:after="200"/>
        <w:outlineLvl w:val="7"/>
        <w:rPr>
          <w:rFonts w:eastAsia="Times New Roman" w:cs="Arial"/>
          <w:iCs/>
          <w:sz w:val="20"/>
          <w:szCs w:val="20"/>
        </w:rPr>
      </w:pPr>
      <w:r w:rsidRPr="00641F25">
        <w:rPr>
          <w:rFonts w:eastAsia="Times New Roman" w:cs="Arial"/>
          <w:iCs/>
          <w:sz w:val="20"/>
          <w:szCs w:val="20"/>
        </w:rPr>
        <w:t>After 12 months on one of these plans, you can pay a one off fee of $99, return your original mobile phone to a Yes Optus store in good working order, purchase a new mobile phone on a new 24 month plan; and sign documentation that will enable ownership of your original mobile phone to be transferred to a second hand dealer nominated by Optus.</w:t>
      </w:r>
    </w:p>
    <w:p w14:paraId="0F4621BC" w14:textId="77777777" w:rsidR="00735147" w:rsidRPr="00641F25" w:rsidRDefault="00735147" w:rsidP="00735147">
      <w:pPr>
        <w:numPr>
          <w:ilvl w:val="7"/>
          <w:numId w:val="1"/>
        </w:numPr>
        <w:spacing w:after="200"/>
        <w:outlineLvl w:val="7"/>
        <w:rPr>
          <w:rFonts w:eastAsia="Times New Roman" w:cs="Arial"/>
          <w:iCs/>
          <w:sz w:val="20"/>
          <w:szCs w:val="20"/>
        </w:rPr>
      </w:pPr>
      <w:r w:rsidRPr="00641F25">
        <w:rPr>
          <w:rFonts w:eastAsia="Times New Roman" w:cs="Arial"/>
          <w:iCs/>
          <w:sz w:val="20"/>
          <w:szCs w:val="20"/>
        </w:rPr>
        <w:t>A mobile phone is considered to be in good working order when it :</w:t>
      </w:r>
    </w:p>
    <w:p w14:paraId="1088D4D5" w14:textId="77777777" w:rsidR="00735147" w:rsidRPr="00641F25" w:rsidRDefault="00735147" w:rsidP="00735147">
      <w:pPr>
        <w:numPr>
          <w:ilvl w:val="0"/>
          <w:numId w:val="75"/>
        </w:numPr>
        <w:shd w:val="clear" w:color="auto" w:fill="FFFFFF"/>
        <w:spacing w:line="450" w:lineRule="atLeast"/>
        <w:rPr>
          <w:rFonts w:eastAsia="Times New Roman" w:cs="Arial"/>
          <w:sz w:val="20"/>
          <w:szCs w:val="20"/>
        </w:rPr>
      </w:pPr>
      <w:r w:rsidRPr="00641F25">
        <w:rPr>
          <w:rFonts w:eastAsia="Times New Roman" w:cs="Arial"/>
          <w:sz w:val="20"/>
          <w:szCs w:val="20"/>
        </w:rPr>
        <w:t>can power on and off,</w:t>
      </w:r>
    </w:p>
    <w:p w14:paraId="6C59B74F" w14:textId="77777777" w:rsidR="00735147" w:rsidRPr="00641F25" w:rsidRDefault="00735147" w:rsidP="00735147">
      <w:pPr>
        <w:numPr>
          <w:ilvl w:val="0"/>
          <w:numId w:val="75"/>
        </w:numPr>
        <w:shd w:val="clear" w:color="auto" w:fill="FFFFFF"/>
        <w:spacing w:line="450" w:lineRule="atLeast"/>
        <w:rPr>
          <w:rFonts w:eastAsia="Times New Roman" w:cs="Arial"/>
          <w:sz w:val="20"/>
          <w:szCs w:val="20"/>
        </w:rPr>
      </w:pPr>
      <w:r w:rsidRPr="00641F25">
        <w:rPr>
          <w:rFonts w:eastAsia="Times New Roman" w:cs="Arial"/>
          <w:sz w:val="20"/>
          <w:szCs w:val="20"/>
        </w:rPr>
        <w:t>has a fully functional touchscreen and battery,</w:t>
      </w:r>
    </w:p>
    <w:p w14:paraId="48DA39ED" w14:textId="77777777" w:rsidR="00735147" w:rsidRPr="00641F25" w:rsidRDefault="00735147" w:rsidP="00735147">
      <w:pPr>
        <w:numPr>
          <w:ilvl w:val="0"/>
          <w:numId w:val="75"/>
        </w:numPr>
        <w:shd w:val="clear" w:color="auto" w:fill="FFFFFF"/>
        <w:spacing w:line="450" w:lineRule="atLeast"/>
        <w:rPr>
          <w:rFonts w:eastAsia="Times New Roman" w:cs="Arial"/>
          <w:sz w:val="20"/>
          <w:szCs w:val="20"/>
        </w:rPr>
      </w:pPr>
      <w:r w:rsidRPr="00641F25">
        <w:rPr>
          <w:rFonts w:eastAsia="Times New Roman" w:cs="Arial"/>
          <w:sz w:val="20"/>
          <w:szCs w:val="20"/>
        </w:rPr>
        <w:t>is not physically damaged (e.g. does not have liquid damage, cracked, discoloured or bleeding screen (LCD) or casing, does not have any missing buttons or damage to other components such as charging ports or SIM tray),</w:t>
      </w:r>
    </w:p>
    <w:p w14:paraId="76ED060C" w14:textId="77777777" w:rsidR="00735147" w:rsidRPr="00641F25" w:rsidRDefault="00735147" w:rsidP="00735147">
      <w:pPr>
        <w:numPr>
          <w:ilvl w:val="0"/>
          <w:numId w:val="75"/>
        </w:numPr>
        <w:shd w:val="clear" w:color="auto" w:fill="FFFFFF"/>
        <w:spacing w:line="450" w:lineRule="atLeast"/>
        <w:rPr>
          <w:rFonts w:eastAsia="Times New Roman" w:cs="Arial"/>
          <w:sz w:val="20"/>
          <w:szCs w:val="20"/>
        </w:rPr>
      </w:pPr>
      <w:r w:rsidRPr="00641F25">
        <w:rPr>
          <w:rFonts w:eastAsia="Times New Roman" w:cs="Arial"/>
          <w:sz w:val="20"/>
          <w:szCs w:val="20"/>
        </w:rPr>
        <w:t xml:space="preserve">has no missing or customised parts, or parts which are non-original or not otherwise genuine parts used for repair under a manufacturer’s warranty or under the </w:t>
      </w:r>
      <w:r w:rsidRPr="00641F25">
        <w:rPr>
          <w:rFonts w:eastAsia="Times New Roman" w:cs="Arial"/>
          <w:i/>
          <w:sz w:val="20"/>
          <w:szCs w:val="20"/>
        </w:rPr>
        <w:t>Australian Consumer Law</w:t>
      </w:r>
      <w:r w:rsidRPr="00641F25">
        <w:rPr>
          <w:rFonts w:eastAsia="Times New Roman" w:cs="Arial"/>
          <w:sz w:val="20"/>
          <w:szCs w:val="20"/>
        </w:rPr>
        <w:t xml:space="preserve">, </w:t>
      </w:r>
    </w:p>
    <w:p w14:paraId="7E0DE91A" w14:textId="77777777" w:rsidR="00735147" w:rsidRPr="00641F25" w:rsidRDefault="00735147" w:rsidP="00735147">
      <w:pPr>
        <w:numPr>
          <w:ilvl w:val="0"/>
          <w:numId w:val="75"/>
        </w:numPr>
        <w:shd w:val="clear" w:color="auto" w:fill="FFFFFF"/>
        <w:spacing w:line="450" w:lineRule="atLeast"/>
        <w:rPr>
          <w:rFonts w:eastAsia="Times New Roman" w:cs="Arial"/>
          <w:color w:val="191919"/>
          <w:sz w:val="20"/>
          <w:szCs w:val="20"/>
        </w:rPr>
      </w:pPr>
      <w:r w:rsidRPr="00641F25">
        <w:rPr>
          <w:rFonts w:eastAsia="Times New Roman" w:cs="Arial"/>
          <w:color w:val="191919"/>
          <w:sz w:val="20"/>
          <w:szCs w:val="20"/>
        </w:rPr>
        <w:lastRenderedPageBreak/>
        <w:t xml:space="preserve">is not cracked (including the touchscreen) and does not have any severe scratches (normal wear and tear such as light marks and scratches are okay), </w:t>
      </w:r>
    </w:p>
    <w:p w14:paraId="76B47644" w14:textId="77777777" w:rsidR="00735147" w:rsidRPr="00641F25" w:rsidRDefault="00735147" w:rsidP="00735147">
      <w:pPr>
        <w:numPr>
          <w:ilvl w:val="0"/>
          <w:numId w:val="75"/>
        </w:numPr>
        <w:shd w:val="clear" w:color="auto" w:fill="FFFFFF"/>
        <w:spacing w:line="450" w:lineRule="atLeast"/>
        <w:rPr>
          <w:rFonts w:eastAsia="Times New Roman" w:cs="Arial"/>
          <w:color w:val="191919"/>
          <w:sz w:val="20"/>
          <w:szCs w:val="20"/>
        </w:rPr>
      </w:pPr>
      <w:r w:rsidRPr="00641F25">
        <w:rPr>
          <w:rFonts w:eastAsia="Times New Roman" w:cs="Arial"/>
          <w:color w:val="191919"/>
          <w:sz w:val="20"/>
          <w:szCs w:val="20"/>
        </w:rPr>
        <w:t>has any </w:t>
      </w:r>
      <w:hyperlink r:id="rId735" w:anchor="datawiping" w:history="1">
        <w:r w:rsidRPr="00641F25">
          <w:rPr>
            <w:rStyle w:val="Hyperlink"/>
            <w:rFonts w:eastAsia="Times New Roman" w:cs="Arial"/>
            <w:color w:val="006280"/>
            <w:szCs w:val="20"/>
          </w:rPr>
          <w:t>locking features</w:t>
        </w:r>
      </w:hyperlink>
      <w:r w:rsidRPr="00641F25">
        <w:rPr>
          <w:rFonts w:eastAsia="Times New Roman" w:cs="Arial"/>
          <w:color w:val="191919"/>
          <w:sz w:val="20"/>
          <w:szCs w:val="20"/>
        </w:rPr>
        <w:t xml:space="preserve"> disabled (for example, find my iPhone on iOS devices); and</w:t>
      </w:r>
    </w:p>
    <w:p w14:paraId="0429F73B" w14:textId="77777777" w:rsidR="00735147" w:rsidRPr="00641F25" w:rsidRDefault="00735147" w:rsidP="00735147">
      <w:pPr>
        <w:numPr>
          <w:ilvl w:val="0"/>
          <w:numId w:val="75"/>
        </w:numPr>
        <w:shd w:val="clear" w:color="auto" w:fill="FFFFFF"/>
        <w:spacing w:line="450" w:lineRule="atLeast"/>
        <w:rPr>
          <w:rFonts w:eastAsia="Times New Roman" w:cs="Arial"/>
          <w:color w:val="191919"/>
          <w:sz w:val="20"/>
          <w:szCs w:val="20"/>
        </w:rPr>
      </w:pPr>
      <w:r w:rsidRPr="00641F25">
        <w:rPr>
          <w:rFonts w:eastAsia="Times New Roman" w:cs="Arial"/>
          <w:color w:val="191919"/>
          <w:sz w:val="20"/>
          <w:szCs w:val="20"/>
        </w:rPr>
        <w:t>is not IMEI blocked.</w:t>
      </w:r>
    </w:p>
    <w:p w14:paraId="58FE54E5" w14:textId="77777777" w:rsidR="00735147" w:rsidRPr="00641F25" w:rsidRDefault="00735147" w:rsidP="00735147">
      <w:pPr>
        <w:pStyle w:val="Heading9"/>
        <w:numPr>
          <w:ilvl w:val="0"/>
          <w:numId w:val="0"/>
        </w:numPr>
        <w:ind w:left="2520"/>
        <w:rPr>
          <w:rFonts w:cs="Arial"/>
          <w:szCs w:val="20"/>
        </w:rPr>
      </w:pPr>
    </w:p>
    <w:p w14:paraId="300BB374" w14:textId="77777777" w:rsidR="00735147" w:rsidRPr="00641F25" w:rsidRDefault="00735147" w:rsidP="00735147">
      <w:pPr>
        <w:numPr>
          <w:ilvl w:val="7"/>
          <w:numId w:val="1"/>
        </w:numPr>
        <w:spacing w:after="200"/>
        <w:outlineLvl w:val="7"/>
        <w:rPr>
          <w:rFonts w:eastAsia="Times New Roman" w:cs="Arial"/>
          <w:iCs/>
          <w:sz w:val="20"/>
          <w:szCs w:val="20"/>
        </w:rPr>
      </w:pPr>
      <w:r w:rsidRPr="00641F25">
        <w:rPr>
          <w:rFonts w:eastAsia="Times New Roman" w:cs="Arial"/>
          <w:iCs/>
          <w:sz w:val="20"/>
          <w:szCs w:val="20"/>
        </w:rPr>
        <w:t xml:space="preserve">.The mobile phone you return must be the mobile phone you purchased when you took up one of the plans referred to in this section. </w:t>
      </w:r>
    </w:p>
    <w:p w14:paraId="4BF02FF3" w14:textId="77777777" w:rsidR="00735147" w:rsidRPr="00641F25" w:rsidRDefault="00735147" w:rsidP="00735147">
      <w:pPr>
        <w:numPr>
          <w:ilvl w:val="7"/>
          <w:numId w:val="1"/>
        </w:numPr>
        <w:spacing w:after="200"/>
        <w:outlineLvl w:val="7"/>
        <w:rPr>
          <w:rFonts w:eastAsia="Times New Roman" w:cs="Arial"/>
          <w:iCs/>
          <w:sz w:val="20"/>
          <w:szCs w:val="20"/>
        </w:rPr>
      </w:pPr>
      <w:r w:rsidRPr="00641F25">
        <w:rPr>
          <w:rFonts w:eastAsia="Times New Roman" w:cs="Arial"/>
          <w:iCs/>
          <w:sz w:val="20"/>
          <w:szCs w:val="20"/>
        </w:rPr>
        <w:t xml:space="preserve">When you seek to exercise this option and meet the relevant conditions, Optus agrees to waive any remaining mobile phone repayment charges on the phone you are returning. </w:t>
      </w:r>
    </w:p>
    <w:p w14:paraId="586C49B4" w14:textId="77777777" w:rsidR="00735147" w:rsidRPr="00641F25" w:rsidRDefault="00735147" w:rsidP="00735147">
      <w:pPr>
        <w:numPr>
          <w:ilvl w:val="7"/>
          <w:numId w:val="1"/>
        </w:numPr>
        <w:spacing w:after="200"/>
        <w:outlineLvl w:val="7"/>
        <w:rPr>
          <w:rFonts w:eastAsia="Times New Roman" w:cs="Arial"/>
          <w:iCs/>
          <w:sz w:val="20"/>
          <w:szCs w:val="20"/>
        </w:rPr>
      </w:pPr>
      <w:r w:rsidRPr="00641F25">
        <w:rPr>
          <w:rFonts w:eastAsia="Times New Roman" w:cs="Arial"/>
          <w:iCs/>
          <w:sz w:val="20"/>
          <w:szCs w:val="20"/>
        </w:rPr>
        <w:t xml:space="preserve">By exercising this option, you acknowledge that the second hand device vendor will pay Optus a fee on your behalf for the mobile phone you return in part consideration of Optus waiving your remaining mobile phone repayments on the phone you are returning.  </w:t>
      </w:r>
    </w:p>
    <w:p w14:paraId="4D5462B8" w14:textId="77777777" w:rsidR="00735147" w:rsidRPr="00641F25" w:rsidRDefault="00735147" w:rsidP="00735147">
      <w:pPr>
        <w:pStyle w:val="Heading7"/>
        <w:rPr>
          <w:rFonts w:cs="Arial"/>
          <w:szCs w:val="20"/>
          <w:lang w:val="en-AU"/>
        </w:rPr>
      </w:pPr>
      <w:r w:rsidRPr="00641F25">
        <w:rPr>
          <w:rFonts w:cs="Arial"/>
          <w:szCs w:val="20"/>
          <w:lang w:val="en-AU"/>
        </w:rPr>
        <w:t>Keep existing mobile phone</w:t>
      </w:r>
    </w:p>
    <w:p w14:paraId="395C0F00" w14:textId="77777777" w:rsidR="00735147" w:rsidRPr="00641F25" w:rsidRDefault="00735147" w:rsidP="00735147">
      <w:pPr>
        <w:spacing w:before="120" w:after="120"/>
        <w:ind w:left="2127"/>
        <w:rPr>
          <w:rFonts w:cs="Arial"/>
          <w:b/>
          <w:sz w:val="20"/>
          <w:szCs w:val="20"/>
        </w:rPr>
      </w:pPr>
      <w:r w:rsidRPr="00641F25">
        <w:rPr>
          <w:rFonts w:cs="Arial"/>
          <w:sz w:val="20"/>
          <w:szCs w:val="20"/>
        </w:rPr>
        <w:t>Alternatively and instead of paying $99, if you wish to keep your original mobile handset, you can simply pay out the full remaining cost of your mobile handset, including any monthly device handset credit that Optus was going to cover and purchase a new mobile phone on a new 24 month plan.</w:t>
      </w:r>
    </w:p>
    <w:p w14:paraId="1BB84AE5" w14:textId="77777777" w:rsidR="00735147" w:rsidRPr="00641F25" w:rsidRDefault="00735147" w:rsidP="00735147">
      <w:pPr>
        <w:rPr>
          <w:rFonts w:cs="Arial"/>
          <w:sz w:val="20"/>
          <w:szCs w:val="20"/>
        </w:rPr>
      </w:pPr>
    </w:p>
    <w:p w14:paraId="081DE925" w14:textId="77777777" w:rsidR="00735147" w:rsidRPr="00641F25" w:rsidRDefault="00735147" w:rsidP="00735147">
      <w:pPr>
        <w:pStyle w:val="Heading6"/>
        <w:ind w:left="0" w:firstLine="0"/>
        <w:rPr>
          <w:rFonts w:cs="Arial"/>
          <w:szCs w:val="20"/>
          <w:lang w:val="en-AU"/>
        </w:rPr>
      </w:pPr>
      <w:bookmarkStart w:id="1607" w:name="_Toc486601094"/>
      <w:bookmarkStart w:id="1608" w:name="_Toc489971274"/>
      <w:r w:rsidRPr="00641F25">
        <w:rPr>
          <w:rFonts w:cs="Arial"/>
          <w:szCs w:val="20"/>
          <w:lang w:val="en-AU"/>
        </w:rPr>
        <w:t>Data Sharing</w:t>
      </w:r>
      <w:bookmarkEnd w:id="1607"/>
      <w:bookmarkEnd w:id="1608"/>
    </w:p>
    <w:p w14:paraId="7E85DB86" w14:textId="77777777" w:rsidR="00735147" w:rsidRPr="00641F25" w:rsidRDefault="00735147" w:rsidP="00735147">
      <w:pPr>
        <w:pStyle w:val="Heading7"/>
        <w:rPr>
          <w:rFonts w:cs="Arial"/>
          <w:szCs w:val="20"/>
          <w:lang w:val="en-AU"/>
        </w:rPr>
      </w:pPr>
      <w:r w:rsidRPr="00641F25">
        <w:rPr>
          <w:rFonts w:cs="Arial"/>
          <w:szCs w:val="20"/>
          <w:lang w:val="en-AU"/>
        </w:rPr>
        <w:t xml:space="preserve">If you have more than one My Plan Plus, My Plan Plus SIM Only, My Plan Essentials, My Plan Business (including Tech Fund), My Plan Business SIM, My Plan Business Essentials, </w:t>
      </w:r>
      <w:r w:rsidRPr="00641F25">
        <w:rPr>
          <w:rFonts w:cs="Arial"/>
          <w:szCs w:val="20"/>
          <w:lang w:eastAsia="en-AU"/>
        </w:rPr>
        <w:t xml:space="preserve">Business Plan, My Plan Flex, My Plan Business Flex, Business Lease, </w:t>
      </w:r>
      <w:r w:rsidRPr="00641F25">
        <w:rPr>
          <w:rFonts w:cs="Arial"/>
          <w:szCs w:val="20"/>
          <w:lang w:val="en-AU"/>
        </w:rPr>
        <w:t xml:space="preserve">My Mobile Broadband Plus or Mobile Broadband Business on the same billing account, the included data will combine into one data pool, which will be shared by all eligible services on that account. </w:t>
      </w:r>
    </w:p>
    <w:p w14:paraId="70438E86" w14:textId="77777777" w:rsidR="00735147" w:rsidRPr="00641F25" w:rsidRDefault="00735147" w:rsidP="00735147">
      <w:pPr>
        <w:pStyle w:val="Heading7"/>
        <w:rPr>
          <w:rFonts w:cs="Arial"/>
          <w:snapToGrid w:val="0"/>
          <w:szCs w:val="20"/>
        </w:rPr>
      </w:pPr>
      <w:r w:rsidRPr="00641F25">
        <w:rPr>
          <w:rFonts w:cs="Arial"/>
          <w:snapToGrid w:val="0"/>
          <w:szCs w:val="20"/>
        </w:rPr>
        <w:t xml:space="preserve">If </w:t>
      </w:r>
      <w:r w:rsidRPr="00641F25">
        <w:rPr>
          <w:rFonts w:cs="Arial"/>
          <w:i/>
          <w:snapToGrid w:val="0"/>
          <w:szCs w:val="20"/>
        </w:rPr>
        <w:t>you</w:t>
      </w:r>
      <w:r w:rsidRPr="00641F25">
        <w:rPr>
          <w:rFonts w:cs="Arial"/>
          <w:snapToGrid w:val="0"/>
          <w:szCs w:val="20"/>
        </w:rPr>
        <w:t xml:space="preserve"> do not want </w:t>
      </w:r>
      <w:r w:rsidRPr="00641F25">
        <w:rPr>
          <w:rFonts w:cs="Arial"/>
          <w:i/>
          <w:snapToGrid w:val="0"/>
          <w:szCs w:val="20"/>
        </w:rPr>
        <w:t>your</w:t>
      </w:r>
      <w:r w:rsidRPr="00641F25">
        <w:rPr>
          <w:rFonts w:cs="Arial"/>
          <w:snapToGrid w:val="0"/>
          <w:szCs w:val="20"/>
        </w:rPr>
        <w:t xml:space="preserve"> data, they need to be on separate billing accounts.</w:t>
      </w:r>
    </w:p>
    <w:p w14:paraId="6ABFABC7" w14:textId="77777777" w:rsidR="00735147" w:rsidRPr="00641F25" w:rsidRDefault="00735147" w:rsidP="00735147">
      <w:pPr>
        <w:pStyle w:val="Heading7"/>
        <w:rPr>
          <w:rFonts w:cs="Arial"/>
          <w:szCs w:val="20"/>
          <w:lang w:val="en-AU"/>
        </w:rPr>
      </w:pPr>
      <w:r w:rsidRPr="00641F25">
        <w:rPr>
          <w:rFonts w:cs="Arial"/>
          <w:szCs w:val="20"/>
          <w:lang w:val="en-AU"/>
        </w:rPr>
        <w:t>Data sharing is only available within Australia.</w:t>
      </w:r>
    </w:p>
    <w:p w14:paraId="562DF04C" w14:textId="77777777" w:rsidR="00735147" w:rsidRPr="00641F25" w:rsidRDefault="00735147" w:rsidP="00735147">
      <w:pPr>
        <w:pStyle w:val="Heading6"/>
        <w:ind w:left="0" w:firstLine="0"/>
        <w:rPr>
          <w:rFonts w:cs="Arial"/>
          <w:szCs w:val="20"/>
          <w:lang w:val="en-AU"/>
        </w:rPr>
      </w:pPr>
      <w:bookmarkStart w:id="1609" w:name="_Toc486601095"/>
      <w:bookmarkStart w:id="1610" w:name="_Toc489971275"/>
      <w:r w:rsidRPr="00641F25">
        <w:rPr>
          <w:rFonts w:cs="Arial"/>
          <w:szCs w:val="20"/>
          <w:lang w:val="en-AU"/>
        </w:rPr>
        <w:t>International Minutes</w:t>
      </w:r>
      <w:bookmarkEnd w:id="1609"/>
      <w:bookmarkEnd w:id="1610"/>
    </w:p>
    <w:p w14:paraId="3B6868E1" w14:textId="77777777" w:rsidR="00735147" w:rsidRPr="00641F25" w:rsidRDefault="00735147" w:rsidP="00735147">
      <w:pPr>
        <w:ind w:left="709"/>
        <w:rPr>
          <w:rFonts w:cs="Arial"/>
          <w:sz w:val="20"/>
          <w:szCs w:val="20"/>
        </w:rPr>
      </w:pPr>
      <w:r w:rsidRPr="00641F25">
        <w:rPr>
          <w:rFonts w:cs="Arial"/>
          <w:sz w:val="20"/>
          <w:szCs w:val="20"/>
        </w:rPr>
        <w:t>These plans include unlimited international minutes for standard calls to mobiles and fixed lines in selected countries. From 5 February 2017 the following countries will also be included: Canada, Hong Kong, South Korea and Thailand. For a list of selected countries see Table 3 below.</w:t>
      </w:r>
    </w:p>
    <w:p w14:paraId="2F8C4E57" w14:textId="77777777" w:rsidR="00735147" w:rsidRPr="00641F25" w:rsidRDefault="00735147" w:rsidP="00735147">
      <w:pPr>
        <w:ind w:left="709"/>
        <w:rPr>
          <w:rFonts w:cs="Arial"/>
          <w:sz w:val="20"/>
          <w:szCs w:val="20"/>
        </w:rPr>
      </w:pPr>
    </w:p>
    <w:p w14:paraId="34A627D6" w14:textId="77777777" w:rsidR="00735147" w:rsidRPr="00641F25" w:rsidRDefault="00735147" w:rsidP="00735147">
      <w:pPr>
        <w:spacing w:after="240"/>
        <w:ind w:left="709"/>
        <w:rPr>
          <w:rFonts w:cs="Arial"/>
          <w:sz w:val="20"/>
          <w:szCs w:val="20"/>
        </w:rPr>
      </w:pPr>
      <w:r w:rsidRPr="00641F25">
        <w:rPr>
          <w:rFonts w:cs="Arial"/>
          <w:sz w:val="20"/>
          <w:szCs w:val="20"/>
        </w:rPr>
        <w:t xml:space="preserve">Calls to non-selected countries are charged at standard ‘yes’ international call rates. </w:t>
      </w:r>
    </w:p>
    <w:p w14:paraId="65531A7A" w14:textId="77777777" w:rsidR="00735147" w:rsidRPr="00641F25" w:rsidRDefault="00735147" w:rsidP="00735147">
      <w:pPr>
        <w:pStyle w:val="Heading6"/>
        <w:ind w:left="0" w:firstLine="0"/>
        <w:rPr>
          <w:rFonts w:cs="Arial"/>
          <w:szCs w:val="20"/>
          <w:lang w:val="en-AU"/>
        </w:rPr>
      </w:pPr>
      <w:bookmarkStart w:id="1611" w:name="_Toc486601096"/>
      <w:bookmarkStart w:id="1612" w:name="_Toc489971276"/>
      <w:r w:rsidRPr="00641F25">
        <w:rPr>
          <w:rFonts w:cs="Arial"/>
          <w:szCs w:val="20"/>
          <w:lang w:val="en-AU"/>
        </w:rPr>
        <w:t>Unlimited standard national SMS and MMS</w:t>
      </w:r>
      <w:bookmarkEnd w:id="1611"/>
      <w:bookmarkEnd w:id="1612"/>
    </w:p>
    <w:p w14:paraId="402B9D13" w14:textId="77777777" w:rsidR="00735147" w:rsidRPr="00641F25" w:rsidRDefault="00735147" w:rsidP="00735147">
      <w:pPr>
        <w:pStyle w:val="BodyText"/>
        <w:ind w:left="720"/>
        <w:rPr>
          <w:rFonts w:cs="Arial"/>
          <w:szCs w:val="20"/>
          <w:u w:val="single"/>
        </w:rPr>
      </w:pPr>
      <w:r w:rsidRPr="00641F25">
        <w:rPr>
          <w:rFonts w:cs="Arial"/>
          <w:i/>
          <w:szCs w:val="20"/>
        </w:rPr>
        <w:t>You</w:t>
      </w:r>
      <w:r w:rsidRPr="00641F25">
        <w:rPr>
          <w:rFonts w:cs="Arial"/>
          <w:szCs w:val="20"/>
        </w:rPr>
        <w:t xml:space="preserve"> may send unlimited standard SMS and MMS to Australian mobiles from within Australia. </w:t>
      </w:r>
      <w:hyperlink r:id="rId736" w:history="1">
        <w:r w:rsidRPr="00641F25">
          <w:rPr>
            <w:rStyle w:val="Hyperlink"/>
            <w:rFonts w:cs="Arial"/>
            <w:i/>
            <w:szCs w:val="20"/>
          </w:rPr>
          <w:t>Fair Go Policy</w:t>
        </w:r>
      </w:hyperlink>
      <w:r w:rsidRPr="00641F25">
        <w:rPr>
          <w:rFonts w:cs="Arial"/>
          <w:szCs w:val="20"/>
        </w:rPr>
        <w:t xml:space="preserve"> applies. For further details refer to </w:t>
      </w:r>
      <w:hyperlink r:id="rId737" w:history="1">
        <w:r w:rsidRPr="00641F25">
          <w:rPr>
            <w:rStyle w:val="Hyperlink"/>
            <w:rFonts w:cs="Arial"/>
            <w:i/>
            <w:szCs w:val="20"/>
          </w:rPr>
          <w:t>Appendix S.</w:t>
        </w:r>
      </w:hyperlink>
    </w:p>
    <w:p w14:paraId="6435CB2D" w14:textId="77777777" w:rsidR="00735147" w:rsidRPr="00641F25" w:rsidRDefault="00735147" w:rsidP="00735147">
      <w:pPr>
        <w:pStyle w:val="Heading6"/>
        <w:ind w:left="0" w:firstLine="0"/>
        <w:rPr>
          <w:rFonts w:cs="Arial"/>
          <w:szCs w:val="20"/>
          <w:lang w:val="en-AU"/>
        </w:rPr>
      </w:pPr>
      <w:bookmarkStart w:id="1613" w:name="_Toc486601097"/>
      <w:bookmarkStart w:id="1614" w:name="_Toc489971277"/>
      <w:r w:rsidRPr="00641F25">
        <w:rPr>
          <w:rFonts w:cs="Arial"/>
          <w:szCs w:val="20"/>
          <w:lang w:val="en-AU"/>
        </w:rPr>
        <w:t>Unlimited standard international SMS and MMS</w:t>
      </w:r>
      <w:bookmarkEnd w:id="1613"/>
      <w:bookmarkEnd w:id="1614"/>
    </w:p>
    <w:p w14:paraId="7EC05F0D" w14:textId="77777777" w:rsidR="00735147" w:rsidRPr="00641F25" w:rsidRDefault="00735147" w:rsidP="00735147">
      <w:pPr>
        <w:pStyle w:val="BodyText"/>
        <w:ind w:left="720"/>
        <w:rPr>
          <w:rFonts w:cs="Arial"/>
          <w:i/>
          <w:szCs w:val="20"/>
        </w:rPr>
      </w:pPr>
      <w:r w:rsidRPr="00641F25">
        <w:rPr>
          <w:rFonts w:cs="Arial"/>
          <w:i/>
          <w:szCs w:val="20"/>
        </w:rPr>
        <w:t>You</w:t>
      </w:r>
      <w:r w:rsidRPr="00641F25">
        <w:rPr>
          <w:rFonts w:cs="Arial"/>
          <w:szCs w:val="20"/>
        </w:rPr>
        <w:t xml:space="preserve"> may send unlimited standard SMS and MMS to selected countries from within Australia. For a list of selected countries see Table 3 below. </w:t>
      </w:r>
      <w:hyperlink r:id="rId738" w:history="1">
        <w:r w:rsidRPr="00641F25">
          <w:rPr>
            <w:rStyle w:val="Hyperlink"/>
            <w:rFonts w:cs="Arial"/>
            <w:i/>
            <w:szCs w:val="20"/>
          </w:rPr>
          <w:t>Fair Go Policy</w:t>
        </w:r>
      </w:hyperlink>
      <w:r w:rsidRPr="00641F25">
        <w:rPr>
          <w:rFonts w:cs="Arial"/>
          <w:i/>
          <w:szCs w:val="20"/>
        </w:rPr>
        <w:t xml:space="preserve"> </w:t>
      </w:r>
      <w:r w:rsidRPr="00641F25">
        <w:rPr>
          <w:rFonts w:cs="Arial"/>
          <w:szCs w:val="20"/>
        </w:rPr>
        <w:t xml:space="preserve">applies. For further details refer to </w:t>
      </w:r>
      <w:hyperlink r:id="rId739" w:history="1">
        <w:r w:rsidRPr="00641F25">
          <w:rPr>
            <w:rStyle w:val="Hyperlink"/>
            <w:rFonts w:cs="Arial"/>
            <w:i/>
            <w:szCs w:val="20"/>
          </w:rPr>
          <w:t>Appendix S.</w:t>
        </w:r>
      </w:hyperlink>
    </w:p>
    <w:p w14:paraId="350B7088" w14:textId="77777777" w:rsidR="00735147" w:rsidRPr="00641F25" w:rsidRDefault="00735147" w:rsidP="00735147">
      <w:pPr>
        <w:pStyle w:val="Heading6"/>
        <w:ind w:left="0" w:firstLine="0"/>
        <w:rPr>
          <w:rFonts w:cs="Arial"/>
          <w:szCs w:val="20"/>
          <w:lang w:val="en-AU"/>
        </w:rPr>
      </w:pPr>
      <w:bookmarkStart w:id="1615" w:name="_Toc486601098"/>
      <w:bookmarkStart w:id="1616" w:name="_Toc489971278"/>
      <w:r w:rsidRPr="00641F25">
        <w:rPr>
          <w:rFonts w:cs="Arial"/>
          <w:szCs w:val="20"/>
          <w:lang w:val="en-AU"/>
        </w:rPr>
        <w:t xml:space="preserve">Optus </w:t>
      </w:r>
      <w:r w:rsidRPr="00641F25">
        <w:rPr>
          <w:rFonts w:cs="Arial"/>
          <w:szCs w:val="20"/>
        </w:rPr>
        <w:t>Travel</w:t>
      </w:r>
      <w:r w:rsidRPr="00641F25">
        <w:rPr>
          <w:rFonts w:cs="Arial"/>
          <w:szCs w:val="20"/>
          <w:vertAlign w:val="superscript"/>
        </w:rPr>
        <w:t>TM</w:t>
      </w:r>
      <w:r w:rsidRPr="00641F25">
        <w:rPr>
          <w:rFonts w:cs="Arial"/>
          <w:szCs w:val="20"/>
          <w:lang w:val="en-AU"/>
        </w:rPr>
        <w:t xml:space="preserve"> Pack</w:t>
      </w:r>
      <w:bookmarkEnd w:id="1615"/>
      <w:bookmarkEnd w:id="1616"/>
    </w:p>
    <w:p w14:paraId="12E8E029" w14:textId="77777777" w:rsidR="00735147" w:rsidRPr="00641F25" w:rsidRDefault="00735147" w:rsidP="00735147">
      <w:pPr>
        <w:ind w:left="709"/>
        <w:rPr>
          <w:rFonts w:cs="Arial"/>
          <w:snapToGrid w:val="0"/>
          <w:sz w:val="20"/>
          <w:szCs w:val="20"/>
        </w:rPr>
      </w:pPr>
      <w:r w:rsidRPr="00641F25">
        <w:rPr>
          <w:rFonts w:cs="Arial"/>
          <w:snapToGrid w:val="0"/>
          <w:sz w:val="20"/>
          <w:szCs w:val="20"/>
        </w:rPr>
        <w:t>These plans can take up the Optus Travel</w:t>
      </w:r>
      <w:r w:rsidRPr="00641F25">
        <w:rPr>
          <w:rFonts w:cs="Arial"/>
          <w:snapToGrid w:val="0"/>
          <w:sz w:val="20"/>
          <w:szCs w:val="20"/>
          <w:vertAlign w:val="superscript"/>
        </w:rPr>
        <w:t>TM</w:t>
      </w:r>
      <w:r w:rsidRPr="00641F25">
        <w:rPr>
          <w:rFonts w:cs="Arial"/>
          <w:snapToGrid w:val="0"/>
          <w:sz w:val="20"/>
          <w:szCs w:val="20"/>
        </w:rPr>
        <w:t xml:space="preserve"> Pack for $5 per day. </w:t>
      </w:r>
      <w:r w:rsidRPr="00641F25">
        <w:rPr>
          <w:rFonts w:cs="Arial"/>
          <w:i/>
          <w:snapToGrid w:val="0"/>
          <w:sz w:val="20"/>
          <w:szCs w:val="20"/>
        </w:rPr>
        <w:t>You</w:t>
      </w:r>
      <w:r w:rsidRPr="00641F25">
        <w:rPr>
          <w:rFonts w:cs="Arial"/>
          <w:snapToGrid w:val="0"/>
          <w:sz w:val="20"/>
          <w:szCs w:val="20"/>
        </w:rPr>
        <w:t xml:space="preserve"> need to ensure you purchase and activate any Optus Travel</w:t>
      </w:r>
      <w:r w:rsidRPr="00641F25">
        <w:rPr>
          <w:rFonts w:cs="Arial"/>
          <w:snapToGrid w:val="0"/>
          <w:sz w:val="20"/>
          <w:szCs w:val="20"/>
          <w:vertAlign w:val="superscript"/>
        </w:rPr>
        <w:t>TM</w:t>
      </w:r>
      <w:r w:rsidRPr="00641F25">
        <w:rPr>
          <w:rFonts w:cs="Arial"/>
          <w:snapToGrid w:val="0"/>
          <w:sz w:val="20"/>
          <w:szCs w:val="20"/>
        </w:rPr>
        <w:t xml:space="preserve"> Pack by contacting Optus prior to use. Optus Travel</w:t>
      </w:r>
      <w:r w:rsidRPr="00641F25">
        <w:rPr>
          <w:rFonts w:cs="Arial"/>
          <w:snapToGrid w:val="0"/>
          <w:sz w:val="20"/>
          <w:szCs w:val="20"/>
          <w:vertAlign w:val="superscript"/>
        </w:rPr>
        <w:t>TM</w:t>
      </w:r>
      <w:r w:rsidRPr="00641F25">
        <w:rPr>
          <w:rFonts w:cs="Arial"/>
          <w:snapToGrid w:val="0"/>
          <w:sz w:val="20"/>
          <w:szCs w:val="20"/>
        </w:rPr>
        <w:t xml:space="preserve"> Pack gives you </w:t>
      </w:r>
      <w:r w:rsidRPr="00641F25">
        <w:rPr>
          <w:rFonts w:cs="Arial"/>
          <w:snapToGrid w:val="0"/>
          <w:sz w:val="20"/>
          <w:szCs w:val="20"/>
        </w:rPr>
        <w:lastRenderedPageBreak/>
        <w:t>unlimited standard national and international voice, SMS (MMS is excluded) plus 50MB of data to use in Zone 1 countries per day. For list of countries see optus.com.au/biztravel.</w:t>
      </w:r>
    </w:p>
    <w:p w14:paraId="0AEC34B4" w14:textId="77777777" w:rsidR="00735147" w:rsidRPr="00641F25" w:rsidRDefault="00735147" w:rsidP="00735147">
      <w:pPr>
        <w:ind w:left="709"/>
        <w:rPr>
          <w:rFonts w:cs="Arial"/>
          <w:snapToGrid w:val="0"/>
          <w:sz w:val="20"/>
          <w:szCs w:val="20"/>
        </w:rPr>
      </w:pPr>
    </w:p>
    <w:p w14:paraId="22AE8C86" w14:textId="77777777" w:rsidR="00735147" w:rsidRPr="00641F25" w:rsidRDefault="00735147" w:rsidP="00735147">
      <w:pPr>
        <w:tabs>
          <w:tab w:val="left" w:pos="567"/>
          <w:tab w:val="left" w:pos="709"/>
          <w:tab w:val="left" w:pos="1701"/>
        </w:tabs>
        <w:ind w:left="709"/>
        <w:rPr>
          <w:rFonts w:cs="Arial"/>
          <w:snapToGrid w:val="0"/>
          <w:sz w:val="20"/>
          <w:szCs w:val="20"/>
          <w:lang w:val="en-AU"/>
        </w:rPr>
      </w:pPr>
      <w:r w:rsidRPr="00641F25">
        <w:rPr>
          <w:rFonts w:cs="Arial"/>
          <w:i/>
          <w:snapToGrid w:val="0"/>
          <w:sz w:val="20"/>
          <w:szCs w:val="20"/>
          <w:lang w:val="en-AU"/>
        </w:rPr>
        <w:t>You</w:t>
      </w:r>
      <w:r w:rsidRPr="00641F25">
        <w:rPr>
          <w:rFonts w:cs="Arial"/>
          <w:snapToGrid w:val="0"/>
          <w:sz w:val="20"/>
          <w:szCs w:val="20"/>
          <w:lang w:val="en-AU"/>
        </w:rPr>
        <w:t xml:space="preserve"> can activate the Optus Travel</w:t>
      </w:r>
      <w:r w:rsidRPr="00641F25">
        <w:rPr>
          <w:rFonts w:cs="Arial"/>
          <w:snapToGrid w:val="0"/>
          <w:sz w:val="20"/>
          <w:szCs w:val="20"/>
          <w:vertAlign w:val="superscript"/>
          <w:lang w:val="en-AU"/>
        </w:rPr>
        <w:t>TM</w:t>
      </w:r>
      <w:r w:rsidRPr="00641F25">
        <w:rPr>
          <w:rFonts w:cs="Arial"/>
          <w:snapToGrid w:val="0"/>
          <w:sz w:val="20"/>
          <w:szCs w:val="20"/>
          <w:lang w:val="en-AU"/>
        </w:rPr>
        <w:t xml:space="preserve"> Pack on a day to day basis or multiple days at once. If you activate multiple consecutive days, the data allowance will accumulate, for example </w:t>
      </w:r>
      <w:r w:rsidRPr="00641F25">
        <w:rPr>
          <w:rFonts w:cs="Arial"/>
          <w:bCs/>
          <w:snapToGrid w:val="0"/>
          <w:sz w:val="20"/>
          <w:szCs w:val="20"/>
          <w:lang w:val="en-AU"/>
        </w:rPr>
        <w:t>activate 5 consecutive days and use 250MB any time over the 5 day period. If you exceed the data limit, standard data roaming charges will apply. Any data provided as part of Optus Travel™ Pack is not shareable and will not form part of any Data Pool. Any unused days of Optus Travel™ Pack are forfeited and cannot be rolled over to the next billing month.</w:t>
      </w:r>
    </w:p>
    <w:p w14:paraId="1D51ADD3" w14:textId="77777777" w:rsidR="00735147" w:rsidRPr="00641F25" w:rsidRDefault="00735147" w:rsidP="00735147">
      <w:pPr>
        <w:tabs>
          <w:tab w:val="left" w:pos="567"/>
          <w:tab w:val="left" w:pos="709"/>
          <w:tab w:val="left" w:pos="1701"/>
        </w:tabs>
        <w:spacing w:before="120" w:after="120"/>
        <w:ind w:left="709"/>
        <w:rPr>
          <w:rFonts w:cs="Arial"/>
          <w:bCs/>
          <w:snapToGrid w:val="0"/>
          <w:sz w:val="20"/>
          <w:szCs w:val="20"/>
          <w:lang w:val="en-AU"/>
        </w:rPr>
      </w:pPr>
      <w:r w:rsidRPr="00641F25">
        <w:rPr>
          <w:rFonts w:cs="Arial"/>
          <w:snapToGrid w:val="0"/>
          <w:sz w:val="20"/>
          <w:szCs w:val="20"/>
          <w:lang w:val="en-AU"/>
        </w:rPr>
        <w:t>I</w:t>
      </w:r>
      <w:r w:rsidRPr="00641F25">
        <w:rPr>
          <w:rFonts w:cs="Arial"/>
          <w:bCs/>
          <w:snapToGrid w:val="0"/>
          <w:sz w:val="20"/>
          <w:szCs w:val="20"/>
          <w:lang w:val="en-AU"/>
        </w:rPr>
        <w:t>f you are not in a Zone 1 country you will be charged at standard roaming rates for that country.</w:t>
      </w:r>
      <w:r w:rsidRPr="00641F25">
        <w:rPr>
          <w:rFonts w:cs="Arial"/>
          <w:bCs/>
          <w:snapToGrid w:val="0"/>
          <w:sz w:val="20"/>
          <w:szCs w:val="20"/>
          <w:lang w:val="en-AU"/>
        </w:rPr>
        <w:br/>
      </w:r>
    </w:p>
    <w:p w14:paraId="61863385" w14:textId="77777777" w:rsidR="00735147" w:rsidRPr="00641F25" w:rsidRDefault="00735147" w:rsidP="00735147">
      <w:pPr>
        <w:pStyle w:val="Heading6"/>
        <w:ind w:left="0" w:firstLine="0"/>
        <w:rPr>
          <w:rFonts w:cs="Arial"/>
          <w:szCs w:val="20"/>
          <w:lang w:val="en-AU"/>
        </w:rPr>
      </w:pPr>
      <w:bookmarkStart w:id="1617" w:name="_Toc486601099"/>
      <w:bookmarkStart w:id="1618" w:name="_Toc489971279"/>
      <w:r w:rsidRPr="00641F25">
        <w:rPr>
          <w:rFonts w:cs="Arial"/>
          <w:szCs w:val="20"/>
          <w:lang w:val="en-AU"/>
        </w:rPr>
        <w:t>Additional benefit – Handset Credit</w:t>
      </w:r>
      <w:bookmarkEnd w:id="1617"/>
      <w:bookmarkEnd w:id="1618"/>
    </w:p>
    <w:p w14:paraId="7473542C" w14:textId="77777777" w:rsidR="00735147" w:rsidRPr="00641F25" w:rsidRDefault="00735147" w:rsidP="00735147">
      <w:pPr>
        <w:pStyle w:val="Heading7"/>
        <w:rPr>
          <w:rFonts w:cs="Arial"/>
          <w:szCs w:val="20"/>
          <w:lang w:val="en-AU"/>
        </w:rPr>
      </w:pPr>
      <w:r w:rsidRPr="00641F25">
        <w:rPr>
          <w:rFonts w:cs="Arial"/>
          <w:i/>
          <w:szCs w:val="20"/>
          <w:lang w:val="en-AU"/>
        </w:rPr>
        <w:t xml:space="preserve">When you </w:t>
      </w:r>
      <w:r w:rsidRPr="00641F25">
        <w:rPr>
          <w:rFonts w:cs="Arial"/>
          <w:szCs w:val="20"/>
          <w:lang w:val="en-AU"/>
        </w:rPr>
        <w:t>connect to a My Plan Plus which has a monthly phone credit ('</w:t>
      </w:r>
      <w:r w:rsidRPr="00641F25">
        <w:rPr>
          <w:rFonts w:cs="Arial"/>
          <w:b/>
          <w:szCs w:val="20"/>
          <w:lang w:val="en-AU"/>
        </w:rPr>
        <w:t>Handset Credit</w:t>
      </w:r>
      <w:r w:rsidRPr="00641F25">
        <w:rPr>
          <w:rFonts w:cs="Arial"/>
          <w:szCs w:val="20"/>
          <w:lang w:val="en-AU"/>
        </w:rPr>
        <w:t xml:space="preserve">') each month for </w:t>
      </w:r>
      <w:r w:rsidRPr="00641F25">
        <w:rPr>
          <w:rFonts w:cs="Arial"/>
          <w:i/>
          <w:szCs w:val="20"/>
          <w:lang w:val="en-AU"/>
        </w:rPr>
        <w:t>your minimum term</w:t>
      </w:r>
      <w:r w:rsidRPr="00641F25">
        <w:rPr>
          <w:rFonts w:cs="Arial"/>
          <w:szCs w:val="20"/>
          <w:lang w:val="en-AU"/>
        </w:rPr>
        <w:t xml:space="preserve">, this will reduce the monthly repayment costs of the handset </w:t>
      </w:r>
      <w:r w:rsidRPr="00641F25">
        <w:rPr>
          <w:rFonts w:cs="Arial"/>
          <w:i/>
          <w:szCs w:val="20"/>
          <w:lang w:val="en-AU"/>
        </w:rPr>
        <w:t xml:space="preserve">you </w:t>
      </w:r>
      <w:r w:rsidRPr="00641F25">
        <w:rPr>
          <w:rFonts w:cs="Arial"/>
          <w:szCs w:val="20"/>
          <w:lang w:val="en-AU"/>
        </w:rPr>
        <w:t xml:space="preserve">have chosen with </w:t>
      </w:r>
      <w:r w:rsidRPr="00641F25">
        <w:rPr>
          <w:rFonts w:cs="Arial"/>
          <w:i/>
          <w:szCs w:val="20"/>
          <w:lang w:val="en-AU"/>
        </w:rPr>
        <w:t>your pricing plan</w:t>
      </w:r>
      <w:r w:rsidRPr="00641F25">
        <w:rPr>
          <w:rFonts w:cs="Arial"/>
          <w:szCs w:val="20"/>
          <w:lang w:val="en-AU"/>
        </w:rPr>
        <w:t xml:space="preserve">. </w:t>
      </w:r>
    </w:p>
    <w:p w14:paraId="07711A8B" w14:textId="77777777" w:rsidR="00735147" w:rsidRPr="00641F25" w:rsidRDefault="00735147" w:rsidP="00735147">
      <w:pPr>
        <w:pStyle w:val="Heading7"/>
        <w:rPr>
          <w:rFonts w:cs="Arial"/>
          <w:szCs w:val="20"/>
          <w:lang w:val="en-AU"/>
        </w:rPr>
      </w:pPr>
      <w:r w:rsidRPr="00641F25">
        <w:rPr>
          <w:rFonts w:cs="Arial"/>
          <w:szCs w:val="20"/>
          <w:lang w:val="en-AU"/>
        </w:rPr>
        <w:t xml:space="preserve">If </w:t>
      </w:r>
      <w:r w:rsidRPr="00641F25">
        <w:rPr>
          <w:rFonts w:cs="Arial"/>
          <w:i/>
          <w:szCs w:val="20"/>
          <w:lang w:val="en-AU"/>
        </w:rPr>
        <w:t>you</w:t>
      </w:r>
      <w:r w:rsidRPr="00641F25">
        <w:rPr>
          <w:rFonts w:cs="Arial"/>
          <w:szCs w:val="20"/>
          <w:lang w:val="en-AU"/>
        </w:rPr>
        <w:t xml:space="preserve"> </w:t>
      </w:r>
      <w:r w:rsidRPr="00641F25">
        <w:rPr>
          <w:rFonts w:cs="Arial"/>
          <w:i/>
          <w:szCs w:val="20"/>
          <w:lang w:val="en-AU"/>
        </w:rPr>
        <w:t>cancel your pricing plan</w:t>
      </w:r>
      <w:r w:rsidRPr="00641F25">
        <w:rPr>
          <w:rFonts w:cs="Arial"/>
          <w:szCs w:val="20"/>
          <w:lang w:val="en-AU"/>
        </w:rPr>
        <w:t xml:space="preserve"> or the </w:t>
      </w:r>
      <w:r w:rsidRPr="00641F25">
        <w:rPr>
          <w:rFonts w:cs="Arial"/>
          <w:i/>
          <w:szCs w:val="20"/>
          <w:lang w:val="en-AU"/>
        </w:rPr>
        <w:t xml:space="preserve">mobile equipment payment plan </w:t>
      </w:r>
      <w:r w:rsidRPr="00641F25">
        <w:rPr>
          <w:rFonts w:cs="Arial"/>
          <w:szCs w:val="20"/>
          <w:lang w:val="en-AU"/>
        </w:rPr>
        <w:t xml:space="preserve">during </w:t>
      </w:r>
      <w:r w:rsidRPr="00641F25">
        <w:rPr>
          <w:rFonts w:cs="Arial"/>
          <w:i/>
          <w:szCs w:val="20"/>
          <w:lang w:val="en-AU"/>
        </w:rPr>
        <w:t>your minimum term</w:t>
      </w:r>
      <w:r w:rsidRPr="00641F25">
        <w:rPr>
          <w:rFonts w:cs="Arial"/>
          <w:szCs w:val="20"/>
          <w:lang w:val="en-AU"/>
        </w:rPr>
        <w:t xml:space="preserve">, </w:t>
      </w:r>
      <w:r w:rsidRPr="00641F25">
        <w:rPr>
          <w:rFonts w:cs="Arial"/>
          <w:i/>
          <w:szCs w:val="20"/>
          <w:lang w:val="en-AU"/>
        </w:rPr>
        <w:t>you</w:t>
      </w:r>
      <w:r w:rsidRPr="00641F25">
        <w:rPr>
          <w:rFonts w:cs="Arial"/>
          <w:szCs w:val="20"/>
          <w:lang w:val="en-AU"/>
        </w:rPr>
        <w:t xml:space="preserve"> will no longer be entitled to these Handset Credits and </w:t>
      </w:r>
      <w:r w:rsidRPr="00641F25">
        <w:rPr>
          <w:rFonts w:cs="Arial"/>
          <w:i/>
          <w:szCs w:val="20"/>
          <w:lang w:val="en-AU"/>
        </w:rPr>
        <w:t>you</w:t>
      </w:r>
      <w:r w:rsidRPr="00641F25">
        <w:rPr>
          <w:rFonts w:cs="Arial"/>
          <w:szCs w:val="20"/>
          <w:lang w:val="en-AU"/>
        </w:rPr>
        <w:t xml:space="preserve"> must pay the remaining handset repayments in full in addition to any </w:t>
      </w:r>
      <w:r w:rsidRPr="00641F25">
        <w:rPr>
          <w:rFonts w:cs="Arial"/>
          <w:i/>
          <w:szCs w:val="20"/>
          <w:lang w:val="en-AU"/>
        </w:rPr>
        <w:t>cancellation fee</w:t>
      </w:r>
      <w:r w:rsidRPr="00641F25">
        <w:rPr>
          <w:rFonts w:cs="Arial"/>
          <w:szCs w:val="20"/>
          <w:lang w:val="en-AU"/>
        </w:rPr>
        <w:t>.</w:t>
      </w:r>
      <w:r w:rsidRPr="00641F25">
        <w:rPr>
          <w:rFonts w:cs="Arial"/>
          <w:szCs w:val="20"/>
        </w:rPr>
        <w:t xml:space="preserve"> </w:t>
      </w:r>
    </w:p>
    <w:p w14:paraId="1913F208" w14:textId="77777777" w:rsidR="00735147" w:rsidRPr="00641F25" w:rsidRDefault="00735147" w:rsidP="00735147">
      <w:pPr>
        <w:pStyle w:val="Heading7"/>
        <w:rPr>
          <w:rFonts w:cs="Arial"/>
          <w:szCs w:val="20"/>
          <w:lang w:val="en-AU"/>
        </w:rPr>
      </w:pPr>
      <w:r w:rsidRPr="00641F25">
        <w:rPr>
          <w:rFonts w:cs="Arial"/>
          <w:szCs w:val="20"/>
          <w:lang w:val="en-AU"/>
        </w:rPr>
        <w:t xml:space="preserve">If you elect to keep your mobile phone when exercising New Phone Trade Up you will no longer be entitled to the Handset Credit and you will be required to pay the remaining handset repayments in full.  </w:t>
      </w:r>
    </w:p>
    <w:p w14:paraId="2D38E4D7" w14:textId="77777777" w:rsidR="00735147" w:rsidRPr="00641F25" w:rsidRDefault="00735147" w:rsidP="00735147">
      <w:pPr>
        <w:pStyle w:val="BodyText"/>
        <w:rPr>
          <w:rFonts w:cs="Arial"/>
          <w:b/>
          <w:szCs w:val="20"/>
          <w:lang w:val="en-AU"/>
        </w:rPr>
      </w:pPr>
      <w:r w:rsidRPr="00641F25">
        <w:rPr>
          <w:rFonts w:cs="Arial"/>
          <w:b/>
          <w:szCs w:val="20"/>
          <w:lang w:val="en-AU"/>
        </w:rPr>
        <w:t>Table 1 –Plan Inclusions and Charges</w:t>
      </w:r>
    </w:p>
    <w:tbl>
      <w:tblPr>
        <w:tblW w:w="494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8"/>
        <w:gridCol w:w="2417"/>
        <w:gridCol w:w="2417"/>
      </w:tblGrid>
      <w:tr w:rsidR="00735147" w:rsidRPr="00641F25" w14:paraId="6659482E" w14:textId="77777777" w:rsidTr="00735147">
        <w:tc>
          <w:tcPr>
            <w:tcW w:w="2600" w:type="pct"/>
            <w:shd w:val="clear" w:color="auto" w:fill="auto"/>
          </w:tcPr>
          <w:p w14:paraId="7AAFCDF7" w14:textId="77777777" w:rsidR="00735147" w:rsidRPr="00641F25" w:rsidRDefault="00735147" w:rsidP="00735147">
            <w:pPr>
              <w:rPr>
                <w:rFonts w:eastAsia="Calibri" w:cs="Arial"/>
                <w:sz w:val="20"/>
                <w:szCs w:val="20"/>
              </w:rPr>
            </w:pPr>
          </w:p>
        </w:tc>
        <w:tc>
          <w:tcPr>
            <w:tcW w:w="1200" w:type="pct"/>
            <w:shd w:val="clear" w:color="auto" w:fill="auto"/>
            <w:vAlign w:val="center"/>
          </w:tcPr>
          <w:p w14:paraId="457D6FF8" w14:textId="77777777" w:rsidR="00735147" w:rsidRPr="00641F25" w:rsidRDefault="00735147" w:rsidP="00735147">
            <w:pPr>
              <w:spacing w:before="120" w:line="276" w:lineRule="auto"/>
              <w:jc w:val="center"/>
              <w:rPr>
                <w:rFonts w:eastAsia="Calibri" w:cs="Arial"/>
                <w:b/>
                <w:sz w:val="20"/>
                <w:szCs w:val="20"/>
              </w:rPr>
            </w:pPr>
            <w:r w:rsidRPr="00641F25">
              <w:rPr>
                <w:rFonts w:eastAsia="Calibri" w:cs="Arial"/>
                <w:b/>
                <w:sz w:val="20"/>
                <w:szCs w:val="20"/>
              </w:rPr>
              <w:t>$75 My Plan Business</w:t>
            </w:r>
          </w:p>
        </w:tc>
        <w:tc>
          <w:tcPr>
            <w:tcW w:w="1200" w:type="pct"/>
            <w:vAlign w:val="center"/>
          </w:tcPr>
          <w:p w14:paraId="783D6504" w14:textId="77777777" w:rsidR="00735147" w:rsidRPr="00641F25" w:rsidRDefault="00735147" w:rsidP="00735147">
            <w:pPr>
              <w:spacing w:before="120" w:line="276" w:lineRule="auto"/>
              <w:jc w:val="center"/>
              <w:rPr>
                <w:rFonts w:eastAsia="Calibri" w:cs="Arial"/>
                <w:b/>
                <w:sz w:val="20"/>
                <w:szCs w:val="20"/>
              </w:rPr>
            </w:pPr>
            <w:r w:rsidRPr="00641F25">
              <w:rPr>
                <w:rFonts w:eastAsia="Calibri" w:cs="Arial"/>
                <w:b/>
                <w:sz w:val="20"/>
                <w:szCs w:val="20"/>
              </w:rPr>
              <w:t>$75 Business Plan</w:t>
            </w:r>
          </w:p>
        </w:tc>
      </w:tr>
      <w:tr w:rsidR="00735147" w:rsidRPr="00641F25" w14:paraId="3120B715" w14:textId="77777777" w:rsidTr="00735147">
        <w:tc>
          <w:tcPr>
            <w:tcW w:w="2600" w:type="pct"/>
            <w:shd w:val="clear" w:color="auto" w:fill="auto"/>
          </w:tcPr>
          <w:p w14:paraId="0A330520" w14:textId="77777777" w:rsidR="00735147" w:rsidRPr="00641F25" w:rsidRDefault="00735147" w:rsidP="00735147">
            <w:pPr>
              <w:spacing w:before="120" w:after="120" w:line="276" w:lineRule="auto"/>
              <w:rPr>
                <w:rFonts w:eastAsia="Calibri" w:cs="Arial"/>
                <w:sz w:val="20"/>
                <w:szCs w:val="20"/>
              </w:rPr>
            </w:pPr>
            <w:r w:rsidRPr="00641F25">
              <w:rPr>
                <w:rFonts w:eastAsia="Calibri" w:cs="Arial"/>
                <w:b/>
                <w:bCs/>
                <w:sz w:val="20"/>
                <w:szCs w:val="20"/>
                <w:lang w:eastAsia="en-AU"/>
              </w:rPr>
              <w:t>Minimum Monthly charge</w:t>
            </w:r>
          </w:p>
        </w:tc>
        <w:tc>
          <w:tcPr>
            <w:tcW w:w="1200" w:type="pct"/>
            <w:shd w:val="clear" w:color="auto" w:fill="auto"/>
            <w:vAlign w:val="center"/>
          </w:tcPr>
          <w:p w14:paraId="62584C21" w14:textId="77777777" w:rsidR="00735147" w:rsidRPr="00641F25" w:rsidRDefault="00735147" w:rsidP="00735147">
            <w:pPr>
              <w:spacing w:before="240"/>
              <w:jc w:val="center"/>
              <w:rPr>
                <w:rFonts w:eastAsia="Calibri" w:cs="Arial"/>
                <w:sz w:val="20"/>
                <w:szCs w:val="20"/>
              </w:rPr>
            </w:pPr>
            <w:r w:rsidRPr="00641F25">
              <w:rPr>
                <w:rFonts w:eastAsia="Calibri" w:cs="Arial"/>
                <w:sz w:val="20"/>
                <w:szCs w:val="20"/>
              </w:rPr>
              <w:t>$75</w:t>
            </w:r>
          </w:p>
        </w:tc>
        <w:tc>
          <w:tcPr>
            <w:tcW w:w="1200" w:type="pct"/>
            <w:vAlign w:val="center"/>
          </w:tcPr>
          <w:p w14:paraId="706D6DF8" w14:textId="77777777" w:rsidR="00735147" w:rsidRPr="00641F25" w:rsidRDefault="00735147" w:rsidP="00735147">
            <w:pPr>
              <w:spacing w:before="240"/>
              <w:jc w:val="center"/>
              <w:rPr>
                <w:rFonts w:eastAsia="Calibri" w:cs="Arial"/>
                <w:sz w:val="20"/>
                <w:szCs w:val="20"/>
              </w:rPr>
            </w:pPr>
            <w:r w:rsidRPr="00641F25">
              <w:rPr>
                <w:rFonts w:eastAsia="Calibri" w:cs="Arial"/>
                <w:sz w:val="20"/>
                <w:szCs w:val="20"/>
              </w:rPr>
              <w:t>$75</w:t>
            </w:r>
          </w:p>
        </w:tc>
      </w:tr>
      <w:tr w:rsidR="00735147" w:rsidRPr="00641F25" w14:paraId="61BE3299" w14:textId="77777777" w:rsidTr="00735147">
        <w:tc>
          <w:tcPr>
            <w:tcW w:w="2600" w:type="pct"/>
            <w:shd w:val="clear" w:color="auto" w:fill="auto"/>
          </w:tcPr>
          <w:p w14:paraId="4F1C815C" w14:textId="77777777" w:rsidR="00735147" w:rsidRPr="00641F25" w:rsidRDefault="00735147" w:rsidP="00735147">
            <w:pPr>
              <w:spacing w:before="240" w:after="200" w:line="276" w:lineRule="auto"/>
              <w:rPr>
                <w:rFonts w:eastAsia="Calibri" w:cs="Arial"/>
                <w:sz w:val="20"/>
                <w:szCs w:val="20"/>
              </w:rPr>
            </w:pPr>
            <w:r w:rsidRPr="00641F25">
              <w:rPr>
                <w:rFonts w:eastAsia="Calibri" w:cs="Arial"/>
                <w:b/>
                <w:bCs/>
                <w:sz w:val="20"/>
                <w:szCs w:val="20"/>
                <w:lang w:eastAsia="en-AU"/>
              </w:rPr>
              <w:t>Included Data</w:t>
            </w:r>
          </w:p>
        </w:tc>
        <w:tc>
          <w:tcPr>
            <w:tcW w:w="1200" w:type="pct"/>
            <w:shd w:val="clear" w:color="auto" w:fill="auto"/>
            <w:vAlign w:val="center"/>
          </w:tcPr>
          <w:p w14:paraId="139B935F" w14:textId="77777777" w:rsidR="00735147" w:rsidRPr="00641F25" w:rsidRDefault="00735147" w:rsidP="00735147">
            <w:pPr>
              <w:spacing w:before="240"/>
              <w:jc w:val="center"/>
              <w:rPr>
                <w:rFonts w:eastAsia="Calibri" w:cs="Arial"/>
                <w:sz w:val="20"/>
                <w:szCs w:val="20"/>
              </w:rPr>
            </w:pPr>
            <w:r w:rsidRPr="00641F25">
              <w:rPr>
                <w:rFonts w:eastAsia="Calibri" w:cs="Arial"/>
                <w:sz w:val="20"/>
                <w:szCs w:val="20"/>
              </w:rPr>
              <w:t>7GB</w:t>
            </w:r>
          </w:p>
        </w:tc>
        <w:tc>
          <w:tcPr>
            <w:tcW w:w="1200" w:type="pct"/>
            <w:vAlign w:val="center"/>
          </w:tcPr>
          <w:p w14:paraId="52715B08" w14:textId="77777777" w:rsidR="00735147" w:rsidRPr="00641F25" w:rsidRDefault="00735147" w:rsidP="00735147">
            <w:pPr>
              <w:spacing w:before="240"/>
              <w:jc w:val="center"/>
              <w:rPr>
                <w:rFonts w:eastAsia="Calibri" w:cs="Arial"/>
                <w:sz w:val="20"/>
                <w:szCs w:val="20"/>
              </w:rPr>
            </w:pPr>
            <w:r w:rsidRPr="00641F25">
              <w:rPr>
                <w:rFonts w:eastAsia="Calibri" w:cs="Arial"/>
                <w:sz w:val="20"/>
                <w:szCs w:val="20"/>
              </w:rPr>
              <w:t>7GB</w:t>
            </w:r>
          </w:p>
        </w:tc>
      </w:tr>
      <w:tr w:rsidR="00735147" w:rsidRPr="00641F25" w14:paraId="04E98C2E" w14:textId="77777777" w:rsidTr="00735147">
        <w:tc>
          <w:tcPr>
            <w:tcW w:w="2600" w:type="pct"/>
            <w:shd w:val="clear" w:color="auto" w:fill="auto"/>
          </w:tcPr>
          <w:p w14:paraId="58A7F89D" w14:textId="77777777" w:rsidR="00735147" w:rsidRPr="00641F25" w:rsidRDefault="00735147" w:rsidP="00735147">
            <w:pPr>
              <w:spacing w:before="240" w:after="200" w:line="276" w:lineRule="auto"/>
              <w:rPr>
                <w:rFonts w:eastAsia="Calibri" w:cs="Arial"/>
                <w:b/>
                <w:bCs/>
                <w:sz w:val="20"/>
                <w:szCs w:val="20"/>
                <w:lang w:eastAsia="en-AU"/>
              </w:rPr>
            </w:pPr>
            <w:r w:rsidRPr="00641F25">
              <w:rPr>
                <w:rFonts w:eastAsia="Calibri" w:cs="Arial"/>
                <w:b/>
                <w:bCs/>
                <w:sz w:val="20"/>
                <w:szCs w:val="20"/>
                <w:lang w:eastAsia="en-AU"/>
              </w:rPr>
              <w:t>Additional Data</w:t>
            </w:r>
          </w:p>
        </w:tc>
        <w:tc>
          <w:tcPr>
            <w:tcW w:w="2400" w:type="pct"/>
            <w:gridSpan w:val="2"/>
            <w:shd w:val="clear" w:color="auto" w:fill="auto"/>
            <w:vAlign w:val="center"/>
          </w:tcPr>
          <w:p w14:paraId="3EF9817E" w14:textId="77777777" w:rsidR="00735147" w:rsidRPr="00641F25" w:rsidRDefault="00735147" w:rsidP="00735147">
            <w:pPr>
              <w:spacing w:before="240"/>
              <w:jc w:val="center"/>
              <w:rPr>
                <w:rFonts w:eastAsia="Calibri" w:cs="Arial"/>
                <w:sz w:val="20"/>
                <w:szCs w:val="20"/>
              </w:rPr>
            </w:pPr>
            <w:r w:rsidRPr="00641F25">
              <w:rPr>
                <w:rFonts w:cs="Arial"/>
                <w:sz w:val="20"/>
                <w:szCs w:val="20"/>
              </w:rPr>
              <w:t>Additional data $10 per 1GB or part thereof</w:t>
            </w:r>
          </w:p>
        </w:tc>
      </w:tr>
      <w:tr w:rsidR="00735147" w:rsidRPr="00641F25" w14:paraId="6D456A9E" w14:textId="77777777" w:rsidTr="00735147">
        <w:tc>
          <w:tcPr>
            <w:tcW w:w="2600" w:type="pct"/>
            <w:shd w:val="clear" w:color="auto" w:fill="auto"/>
          </w:tcPr>
          <w:p w14:paraId="0EB3662E" w14:textId="77777777" w:rsidR="00735147" w:rsidRPr="00641F25" w:rsidRDefault="00735147" w:rsidP="00735147">
            <w:pPr>
              <w:spacing w:before="120"/>
              <w:rPr>
                <w:rFonts w:eastAsia="Calibri" w:cs="Arial"/>
                <w:b/>
                <w:bCs/>
                <w:sz w:val="20"/>
                <w:szCs w:val="20"/>
                <w:lang w:eastAsia="en-AU"/>
              </w:rPr>
            </w:pPr>
            <w:r w:rsidRPr="00641F25">
              <w:rPr>
                <w:rFonts w:eastAsia="Calibri" w:cs="Arial"/>
                <w:b/>
                <w:bCs/>
                <w:sz w:val="20"/>
                <w:szCs w:val="20"/>
                <w:lang w:eastAsia="en-AU"/>
              </w:rPr>
              <w:t xml:space="preserve">Included Minutes </w:t>
            </w:r>
          </w:p>
          <w:p w14:paraId="13639F4C" w14:textId="77777777" w:rsidR="00735147" w:rsidRPr="00641F25" w:rsidRDefault="00735147" w:rsidP="00735147">
            <w:pPr>
              <w:spacing w:after="120"/>
              <w:rPr>
                <w:rFonts w:eastAsia="Calibri" w:cs="Arial"/>
                <w:b/>
                <w:bCs/>
                <w:sz w:val="20"/>
                <w:szCs w:val="20"/>
                <w:lang w:eastAsia="en-AU"/>
              </w:rPr>
            </w:pPr>
            <w:r w:rsidRPr="00641F25">
              <w:rPr>
                <w:rFonts w:eastAsia="Calibri" w:cs="Arial"/>
                <w:bCs/>
                <w:sz w:val="20"/>
                <w:szCs w:val="20"/>
                <w:lang w:eastAsia="en-AU"/>
              </w:rPr>
              <w:t>for standard national calls to landlines and mobiles, 1300 numbers and voicemail, within Australia</w:t>
            </w:r>
          </w:p>
        </w:tc>
        <w:tc>
          <w:tcPr>
            <w:tcW w:w="2400" w:type="pct"/>
            <w:gridSpan w:val="2"/>
            <w:shd w:val="clear" w:color="auto" w:fill="auto"/>
            <w:vAlign w:val="center"/>
          </w:tcPr>
          <w:p w14:paraId="6FE2DD01" w14:textId="77777777" w:rsidR="00735147" w:rsidRPr="00641F25" w:rsidRDefault="00735147" w:rsidP="00735147">
            <w:pPr>
              <w:spacing w:before="240"/>
              <w:jc w:val="center"/>
              <w:rPr>
                <w:rFonts w:eastAsia="Calibri" w:cs="Arial"/>
                <w:sz w:val="20"/>
                <w:szCs w:val="20"/>
              </w:rPr>
            </w:pPr>
            <w:r w:rsidRPr="00641F25">
              <w:rPr>
                <w:rFonts w:eastAsia="Calibri" w:cs="Arial"/>
                <w:sz w:val="20"/>
                <w:szCs w:val="20"/>
              </w:rPr>
              <w:t>Unlimited</w:t>
            </w:r>
          </w:p>
        </w:tc>
      </w:tr>
      <w:tr w:rsidR="00735147" w:rsidRPr="00641F25" w14:paraId="54A2EED1" w14:textId="77777777" w:rsidTr="00735147">
        <w:tc>
          <w:tcPr>
            <w:tcW w:w="2600" w:type="pct"/>
            <w:shd w:val="clear" w:color="auto" w:fill="auto"/>
          </w:tcPr>
          <w:p w14:paraId="1B1827F6" w14:textId="77777777" w:rsidR="00735147" w:rsidRPr="00641F25" w:rsidRDefault="00735147" w:rsidP="00735147">
            <w:pPr>
              <w:autoSpaceDE w:val="0"/>
              <w:autoSpaceDN w:val="0"/>
              <w:adjustRightInd w:val="0"/>
              <w:spacing w:before="120"/>
              <w:rPr>
                <w:rFonts w:cs="Arial"/>
                <w:b/>
                <w:bCs/>
                <w:sz w:val="20"/>
                <w:szCs w:val="20"/>
                <w:lang w:eastAsia="en-AU"/>
              </w:rPr>
            </w:pPr>
            <w:r w:rsidRPr="00641F25">
              <w:rPr>
                <w:rFonts w:cs="Arial"/>
                <w:b/>
                <w:bCs/>
                <w:sz w:val="20"/>
                <w:szCs w:val="20"/>
                <w:lang w:eastAsia="en-AU"/>
              </w:rPr>
              <w:t>Included International Minutes</w:t>
            </w:r>
          </w:p>
          <w:p w14:paraId="08C1C5E3" w14:textId="77777777" w:rsidR="00735147" w:rsidRPr="00641F25" w:rsidRDefault="00735147" w:rsidP="00735147">
            <w:pPr>
              <w:autoSpaceDE w:val="0"/>
              <w:autoSpaceDN w:val="0"/>
              <w:adjustRightInd w:val="0"/>
              <w:spacing w:after="120"/>
              <w:rPr>
                <w:rFonts w:eastAsia="Calibri" w:cs="Arial"/>
                <w:b/>
                <w:bCs/>
                <w:sz w:val="20"/>
                <w:szCs w:val="20"/>
                <w:lang w:eastAsia="en-AU"/>
              </w:rPr>
            </w:pPr>
            <w:r w:rsidRPr="00641F25">
              <w:rPr>
                <w:rFonts w:cs="Arial"/>
                <w:sz w:val="20"/>
                <w:szCs w:val="20"/>
                <w:lang w:eastAsia="en-AU"/>
              </w:rPr>
              <w:t xml:space="preserve">Standard international calls to landlines and mobiles to selected countries </w:t>
            </w:r>
          </w:p>
        </w:tc>
        <w:tc>
          <w:tcPr>
            <w:tcW w:w="2400" w:type="pct"/>
            <w:gridSpan w:val="2"/>
            <w:shd w:val="clear" w:color="auto" w:fill="auto"/>
          </w:tcPr>
          <w:p w14:paraId="0CD14DD0" w14:textId="77777777" w:rsidR="00735147" w:rsidRPr="00641F25" w:rsidRDefault="00735147" w:rsidP="00735147">
            <w:pPr>
              <w:spacing w:before="600"/>
              <w:jc w:val="center"/>
              <w:rPr>
                <w:rFonts w:eastAsia="Calibri" w:cs="Arial"/>
                <w:sz w:val="20"/>
                <w:szCs w:val="20"/>
              </w:rPr>
            </w:pPr>
            <w:r w:rsidRPr="00641F25">
              <w:rPr>
                <w:rFonts w:eastAsia="Calibri" w:cs="Arial"/>
                <w:sz w:val="20"/>
                <w:szCs w:val="20"/>
              </w:rPr>
              <w:t>Unlimited</w:t>
            </w:r>
          </w:p>
        </w:tc>
      </w:tr>
      <w:tr w:rsidR="00735147" w:rsidRPr="00641F25" w14:paraId="29008170" w14:textId="77777777" w:rsidTr="00735147">
        <w:tc>
          <w:tcPr>
            <w:tcW w:w="2600" w:type="pct"/>
            <w:shd w:val="clear" w:color="auto" w:fill="auto"/>
          </w:tcPr>
          <w:p w14:paraId="09B0A1FE" w14:textId="77777777" w:rsidR="00735147" w:rsidRPr="00641F25" w:rsidRDefault="00735147" w:rsidP="00735147">
            <w:pPr>
              <w:spacing w:before="240" w:after="200" w:line="276" w:lineRule="auto"/>
              <w:rPr>
                <w:rFonts w:eastAsia="Calibri" w:cs="Arial"/>
                <w:sz w:val="20"/>
                <w:szCs w:val="20"/>
              </w:rPr>
            </w:pPr>
            <w:r w:rsidRPr="00641F25">
              <w:rPr>
                <w:rFonts w:eastAsia="Calibri" w:cs="Arial"/>
                <w:b/>
                <w:bCs/>
                <w:sz w:val="20"/>
                <w:szCs w:val="20"/>
                <w:lang w:eastAsia="en-AU"/>
              </w:rPr>
              <w:t xml:space="preserve">Standard national SMS </w:t>
            </w:r>
            <w:r w:rsidRPr="00641F25">
              <w:rPr>
                <w:rFonts w:eastAsia="Calibri" w:cs="Arial"/>
                <w:sz w:val="20"/>
                <w:szCs w:val="20"/>
                <w:lang w:eastAsia="en-AU"/>
              </w:rPr>
              <w:t>(per SMS of up to 160 standard characters)</w:t>
            </w:r>
          </w:p>
        </w:tc>
        <w:tc>
          <w:tcPr>
            <w:tcW w:w="2400" w:type="pct"/>
            <w:gridSpan w:val="2"/>
            <w:shd w:val="clear" w:color="auto" w:fill="auto"/>
            <w:vAlign w:val="center"/>
          </w:tcPr>
          <w:p w14:paraId="58434D7C" w14:textId="77777777" w:rsidR="00735147" w:rsidRPr="00641F25" w:rsidRDefault="00735147" w:rsidP="00735147">
            <w:pPr>
              <w:spacing w:before="240"/>
              <w:jc w:val="center"/>
              <w:rPr>
                <w:rFonts w:eastAsia="Calibri" w:cs="Arial"/>
                <w:sz w:val="20"/>
                <w:szCs w:val="20"/>
              </w:rPr>
            </w:pPr>
            <w:r w:rsidRPr="00641F25">
              <w:rPr>
                <w:rFonts w:eastAsia="Calibri" w:cs="Arial"/>
                <w:sz w:val="20"/>
                <w:szCs w:val="20"/>
              </w:rPr>
              <w:t>Unlimited</w:t>
            </w:r>
          </w:p>
        </w:tc>
      </w:tr>
      <w:tr w:rsidR="00735147" w:rsidRPr="00641F25" w14:paraId="1D18702E" w14:textId="77777777" w:rsidTr="00735147">
        <w:tc>
          <w:tcPr>
            <w:tcW w:w="2600" w:type="pct"/>
            <w:shd w:val="clear" w:color="auto" w:fill="auto"/>
          </w:tcPr>
          <w:p w14:paraId="1372750A" w14:textId="77777777" w:rsidR="00735147" w:rsidRPr="00641F25" w:rsidRDefault="00735147" w:rsidP="00735147">
            <w:pPr>
              <w:spacing w:before="120" w:after="200" w:line="276" w:lineRule="auto"/>
              <w:rPr>
                <w:rFonts w:eastAsia="Calibri" w:cs="Arial"/>
                <w:b/>
                <w:bCs/>
                <w:sz w:val="20"/>
                <w:szCs w:val="20"/>
                <w:lang w:eastAsia="en-AU"/>
              </w:rPr>
            </w:pPr>
            <w:r w:rsidRPr="00641F25">
              <w:rPr>
                <w:rFonts w:eastAsia="Calibri" w:cs="Arial"/>
                <w:b/>
                <w:bCs/>
                <w:sz w:val="20"/>
                <w:szCs w:val="20"/>
                <w:lang w:eastAsia="en-AU"/>
              </w:rPr>
              <w:t xml:space="preserve">Standard national MMS </w:t>
            </w:r>
            <w:r w:rsidRPr="00641F25">
              <w:rPr>
                <w:rFonts w:eastAsia="Calibri" w:cs="Arial"/>
                <w:sz w:val="20"/>
                <w:szCs w:val="20"/>
                <w:lang w:eastAsia="en-AU"/>
              </w:rPr>
              <w:t>(per message)</w:t>
            </w:r>
          </w:p>
        </w:tc>
        <w:tc>
          <w:tcPr>
            <w:tcW w:w="2400" w:type="pct"/>
            <w:gridSpan w:val="2"/>
            <w:shd w:val="clear" w:color="auto" w:fill="auto"/>
            <w:vAlign w:val="center"/>
          </w:tcPr>
          <w:p w14:paraId="2900C1D2" w14:textId="77777777" w:rsidR="00735147" w:rsidRPr="00641F25" w:rsidRDefault="00735147" w:rsidP="00735147">
            <w:pPr>
              <w:spacing w:before="120"/>
              <w:jc w:val="center"/>
              <w:rPr>
                <w:rFonts w:eastAsia="Calibri" w:cs="Arial"/>
                <w:sz w:val="20"/>
                <w:szCs w:val="20"/>
              </w:rPr>
            </w:pPr>
            <w:r w:rsidRPr="00641F25">
              <w:rPr>
                <w:rFonts w:eastAsia="Calibri" w:cs="Arial"/>
                <w:sz w:val="20"/>
                <w:szCs w:val="20"/>
              </w:rPr>
              <w:t>Unlimited</w:t>
            </w:r>
          </w:p>
        </w:tc>
      </w:tr>
      <w:tr w:rsidR="00735147" w:rsidRPr="00641F25" w14:paraId="50D89215" w14:textId="77777777" w:rsidTr="00735147">
        <w:tc>
          <w:tcPr>
            <w:tcW w:w="2600" w:type="pct"/>
            <w:shd w:val="clear" w:color="auto" w:fill="auto"/>
          </w:tcPr>
          <w:p w14:paraId="4D9454D9" w14:textId="77777777" w:rsidR="00735147" w:rsidRPr="00641F25" w:rsidDel="00064B49" w:rsidRDefault="00735147" w:rsidP="00735147">
            <w:pPr>
              <w:spacing w:before="120" w:after="120" w:line="276" w:lineRule="auto"/>
              <w:rPr>
                <w:rFonts w:eastAsia="Calibri" w:cs="Arial"/>
                <w:b/>
                <w:bCs/>
                <w:sz w:val="20"/>
                <w:szCs w:val="20"/>
                <w:lang w:eastAsia="en-AU"/>
              </w:rPr>
            </w:pPr>
            <w:r w:rsidRPr="00641F25">
              <w:rPr>
                <w:rFonts w:eastAsia="Calibri" w:cs="Arial"/>
                <w:b/>
                <w:bCs/>
                <w:sz w:val="20"/>
                <w:szCs w:val="20"/>
                <w:lang w:eastAsia="en-AU"/>
              </w:rPr>
              <w:t xml:space="preserve">Standard international SMS </w:t>
            </w:r>
            <w:r w:rsidRPr="00641F25">
              <w:rPr>
                <w:rFonts w:eastAsia="Calibri" w:cs="Arial"/>
                <w:sz w:val="20"/>
                <w:szCs w:val="20"/>
                <w:lang w:eastAsia="en-AU"/>
              </w:rPr>
              <w:t>(per SMS of up to 160 standard characters to selected countries)</w:t>
            </w:r>
          </w:p>
        </w:tc>
        <w:tc>
          <w:tcPr>
            <w:tcW w:w="2400" w:type="pct"/>
            <w:gridSpan w:val="2"/>
            <w:shd w:val="clear" w:color="auto" w:fill="auto"/>
            <w:vAlign w:val="center"/>
          </w:tcPr>
          <w:p w14:paraId="4E87F541" w14:textId="77777777" w:rsidR="00735147" w:rsidRPr="00641F25" w:rsidDel="00064B49" w:rsidRDefault="00735147" w:rsidP="00735147">
            <w:pPr>
              <w:spacing w:before="240"/>
              <w:jc w:val="center"/>
              <w:rPr>
                <w:rFonts w:eastAsia="Calibri" w:cs="Arial"/>
                <w:sz w:val="20"/>
                <w:szCs w:val="20"/>
              </w:rPr>
            </w:pPr>
            <w:r w:rsidRPr="00641F25">
              <w:rPr>
                <w:rFonts w:eastAsia="Calibri" w:cs="Arial"/>
                <w:sz w:val="20"/>
                <w:szCs w:val="20"/>
              </w:rPr>
              <w:t>Unlimited</w:t>
            </w:r>
          </w:p>
        </w:tc>
      </w:tr>
      <w:tr w:rsidR="00735147" w:rsidRPr="00641F25" w14:paraId="20C834A2" w14:textId="77777777" w:rsidTr="00735147">
        <w:tc>
          <w:tcPr>
            <w:tcW w:w="2600" w:type="pct"/>
            <w:shd w:val="clear" w:color="auto" w:fill="auto"/>
          </w:tcPr>
          <w:p w14:paraId="1F6916CF" w14:textId="77777777" w:rsidR="00735147" w:rsidRPr="00641F25" w:rsidRDefault="00735147" w:rsidP="00735147">
            <w:pPr>
              <w:spacing w:before="120" w:after="200" w:line="276" w:lineRule="auto"/>
              <w:rPr>
                <w:rFonts w:eastAsia="Calibri" w:cs="Arial"/>
                <w:b/>
                <w:bCs/>
                <w:sz w:val="20"/>
                <w:szCs w:val="20"/>
                <w:lang w:eastAsia="en-AU"/>
              </w:rPr>
            </w:pPr>
            <w:r w:rsidRPr="00641F25">
              <w:rPr>
                <w:rFonts w:eastAsia="Calibri" w:cs="Arial"/>
                <w:b/>
                <w:bCs/>
                <w:sz w:val="20"/>
                <w:szCs w:val="20"/>
                <w:lang w:eastAsia="en-AU"/>
              </w:rPr>
              <w:t xml:space="preserve">Standard international MMS </w:t>
            </w:r>
            <w:r w:rsidRPr="00641F25">
              <w:rPr>
                <w:rFonts w:eastAsia="Calibri" w:cs="Arial"/>
                <w:sz w:val="20"/>
                <w:szCs w:val="20"/>
                <w:lang w:eastAsia="en-AU"/>
              </w:rPr>
              <w:t>(per message to selected countries)</w:t>
            </w:r>
          </w:p>
        </w:tc>
        <w:tc>
          <w:tcPr>
            <w:tcW w:w="2400" w:type="pct"/>
            <w:gridSpan w:val="2"/>
            <w:shd w:val="clear" w:color="auto" w:fill="auto"/>
            <w:vAlign w:val="center"/>
          </w:tcPr>
          <w:p w14:paraId="1D9CBB3F" w14:textId="77777777" w:rsidR="00735147" w:rsidRPr="00641F25" w:rsidRDefault="00735147" w:rsidP="00735147">
            <w:pPr>
              <w:jc w:val="center"/>
              <w:rPr>
                <w:rFonts w:eastAsia="Calibri" w:cs="Arial"/>
                <w:sz w:val="20"/>
                <w:szCs w:val="20"/>
              </w:rPr>
            </w:pPr>
            <w:r w:rsidRPr="00641F25">
              <w:rPr>
                <w:rFonts w:eastAsia="Calibri" w:cs="Arial"/>
                <w:sz w:val="20"/>
                <w:szCs w:val="20"/>
              </w:rPr>
              <w:t>Unlimited</w:t>
            </w:r>
          </w:p>
        </w:tc>
      </w:tr>
      <w:tr w:rsidR="00735147" w:rsidRPr="00641F25" w14:paraId="53385E72" w14:textId="77777777" w:rsidTr="00735147">
        <w:tc>
          <w:tcPr>
            <w:tcW w:w="2600" w:type="pct"/>
            <w:shd w:val="clear" w:color="auto" w:fill="auto"/>
          </w:tcPr>
          <w:p w14:paraId="3B97EF09" w14:textId="77777777" w:rsidR="00735147" w:rsidRPr="00641F25" w:rsidRDefault="00735147" w:rsidP="00735147">
            <w:pPr>
              <w:spacing w:before="120" w:after="120"/>
              <w:rPr>
                <w:rFonts w:eastAsia="Calibri" w:cs="Arial"/>
                <w:b/>
                <w:bCs/>
                <w:sz w:val="20"/>
                <w:szCs w:val="20"/>
                <w:lang w:eastAsia="en-AU"/>
              </w:rPr>
            </w:pPr>
            <w:r w:rsidRPr="00641F25">
              <w:rPr>
                <w:rFonts w:eastAsia="Calibri" w:cs="Arial"/>
                <w:b/>
                <w:bCs/>
                <w:sz w:val="20"/>
                <w:szCs w:val="20"/>
                <w:lang w:eastAsia="en-AU"/>
              </w:rPr>
              <w:lastRenderedPageBreak/>
              <w:t xml:space="preserve">Minimum total cost over 24 months </w:t>
            </w:r>
          </w:p>
        </w:tc>
        <w:tc>
          <w:tcPr>
            <w:tcW w:w="2400" w:type="pct"/>
            <w:gridSpan w:val="2"/>
            <w:shd w:val="clear" w:color="auto" w:fill="auto"/>
            <w:vAlign w:val="center"/>
          </w:tcPr>
          <w:p w14:paraId="4EBA1159" w14:textId="77777777" w:rsidR="00735147" w:rsidRPr="00641F25" w:rsidRDefault="00735147" w:rsidP="00735147">
            <w:pPr>
              <w:jc w:val="center"/>
              <w:rPr>
                <w:rFonts w:eastAsia="Calibri" w:cs="Arial"/>
                <w:sz w:val="20"/>
                <w:szCs w:val="20"/>
              </w:rPr>
            </w:pPr>
            <w:r w:rsidRPr="00641F25">
              <w:rPr>
                <w:rFonts w:eastAsia="Calibri" w:cs="Arial"/>
                <w:sz w:val="20"/>
                <w:szCs w:val="20"/>
              </w:rPr>
              <w:t>$1800</w:t>
            </w:r>
          </w:p>
        </w:tc>
      </w:tr>
    </w:tbl>
    <w:p w14:paraId="348C1075" w14:textId="77777777" w:rsidR="00735147" w:rsidRPr="00641F25" w:rsidRDefault="00735147" w:rsidP="00735147">
      <w:pPr>
        <w:pStyle w:val="BodyText"/>
        <w:rPr>
          <w:rFonts w:cs="Arial"/>
          <w:b/>
          <w:szCs w:val="20"/>
          <w:lang w:val="en-AU"/>
        </w:rPr>
      </w:pPr>
    </w:p>
    <w:p w14:paraId="7C60388F" w14:textId="77777777" w:rsidR="00735147" w:rsidRPr="00641F25" w:rsidRDefault="00735147" w:rsidP="00735147">
      <w:pPr>
        <w:pStyle w:val="BodyText"/>
        <w:keepNext/>
        <w:spacing w:before="240" w:after="120"/>
        <w:ind w:left="142" w:hanging="142"/>
        <w:rPr>
          <w:rFonts w:cs="Arial"/>
          <w:b/>
          <w:szCs w:val="20"/>
        </w:rPr>
      </w:pPr>
      <w:r w:rsidRPr="00641F25">
        <w:rPr>
          <w:rFonts w:cs="Arial"/>
          <w:b/>
          <w:szCs w:val="20"/>
        </w:rPr>
        <w:t>Table 2 – Other usage types and charges</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70"/>
        <w:gridCol w:w="5153"/>
      </w:tblGrid>
      <w:tr w:rsidR="00735147" w:rsidRPr="00641F25" w14:paraId="1BABD806" w14:textId="77777777" w:rsidTr="00735147">
        <w:trPr>
          <w:tblHeader/>
        </w:trPr>
        <w:tc>
          <w:tcPr>
            <w:tcW w:w="4770" w:type="dxa"/>
            <w:shd w:val="clear" w:color="auto" w:fill="auto"/>
          </w:tcPr>
          <w:p w14:paraId="1266C0E9" w14:textId="77777777" w:rsidR="00735147" w:rsidRPr="00641F25" w:rsidRDefault="00735147" w:rsidP="00735147">
            <w:pPr>
              <w:pStyle w:val="BodyText"/>
              <w:keepNext/>
              <w:spacing w:before="100" w:after="100"/>
              <w:jc w:val="center"/>
              <w:rPr>
                <w:rFonts w:cs="Arial"/>
                <w:b/>
                <w:szCs w:val="20"/>
              </w:rPr>
            </w:pPr>
            <w:r w:rsidRPr="00641F25">
              <w:rPr>
                <w:rFonts w:cs="Arial"/>
                <w:b/>
                <w:szCs w:val="20"/>
              </w:rPr>
              <w:t>Usage type</w:t>
            </w:r>
          </w:p>
        </w:tc>
        <w:tc>
          <w:tcPr>
            <w:tcW w:w="5153" w:type="dxa"/>
            <w:shd w:val="clear" w:color="auto" w:fill="auto"/>
            <w:vAlign w:val="center"/>
          </w:tcPr>
          <w:p w14:paraId="0B0360F9" w14:textId="77777777" w:rsidR="00735147" w:rsidRPr="00641F25" w:rsidRDefault="00735147" w:rsidP="00735147">
            <w:pPr>
              <w:pStyle w:val="BodyText"/>
              <w:keepNext/>
              <w:spacing w:before="100" w:after="100"/>
              <w:jc w:val="center"/>
              <w:rPr>
                <w:rFonts w:cs="Arial"/>
                <w:b/>
                <w:szCs w:val="20"/>
              </w:rPr>
            </w:pPr>
            <w:r w:rsidRPr="00641F25">
              <w:rPr>
                <w:rFonts w:cs="Arial"/>
                <w:b/>
                <w:szCs w:val="20"/>
              </w:rPr>
              <w:t>Charge</w:t>
            </w:r>
          </w:p>
        </w:tc>
      </w:tr>
      <w:tr w:rsidR="00735147" w:rsidRPr="00641F25" w14:paraId="30329708" w14:textId="77777777" w:rsidTr="00735147">
        <w:tc>
          <w:tcPr>
            <w:tcW w:w="4770" w:type="dxa"/>
            <w:shd w:val="clear" w:color="auto" w:fill="auto"/>
          </w:tcPr>
          <w:p w14:paraId="2A8B0E0F" w14:textId="77777777" w:rsidR="00735147" w:rsidRPr="00641F25" w:rsidRDefault="00735147" w:rsidP="00735147">
            <w:pPr>
              <w:pStyle w:val="BodyText"/>
              <w:spacing w:before="100" w:after="100"/>
              <w:rPr>
                <w:rFonts w:cs="Arial"/>
                <w:b/>
                <w:szCs w:val="20"/>
              </w:rPr>
            </w:pPr>
            <w:r w:rsidRPr="00641F25">
              <w:rPr>
                <w:rFonts w:cs="Arial"/>
                <w:b/>
                <w:bCs/>
                <w:szCs w:val="20"/>
              </w:rPr>
              <w:t xml:space="preserve">National video calls </w:t>
            </w:r>
            <w:r w:rsidRPr="00641F25">
              <w:rPr>
                <w:rFonts w:cs="Arial"/>
                <w:b/>
                <w:szCs w:val="20"/>
              </w:rPr>
              <w:t>(per minute)</w:t>
            </w:r>
          </w:p>
        </w:tc>
        <w:tc>
          <w:tcPr>
            <w:tcW w:w="5153" w:type="dxa"/>
            <w:shd w:val="clear" w:color="auto" w:fill="auto"/>
            <w:vAlign w:val="center"/>
          </w:tcPr>
          <w:p w14:paraId="33A731E9" w14:textId="77777777" w:rsidR="00735147" w:rsidRPr="00641F25" w:rsidRDefault="00735147" w:rsidP="00735147">
            <w:pPr>
              <w:pStyle w:val="BodyText"/>
              <w:spacing w:before="100" w:after="100"/>
              <w:jc w:val="center"/>
              <w:rPr>
                <w:rFonts w:cs="Arial"/>
                <w:szCs w:val="20"/>
              </w:rPr>
            </w:pPr>
            <w:r w:rsidRPr="00641F25">
              <w:rPr>
                <w:rFonts w:cs="Arial"/>
                <w:szCs w:val="20"/>
              </w:rPr>
              <w:t>$1.00 per min + 40c flagfall</w:t>
            </w:r>
          </w:p>
        </w:tc>
      </w:tr>
      <w:tr w:rsidR="00735147" w:rsidRPr="00641F25" w14:paraId="76162206" w14:textId="77777777" w:rsidTr="00735147">
        <w:tc>
          <w:tcPr>
            <w:tcW w:w="4770" w:type="dxa"/>
            <w:shd w:val="clear" w:color="auto" w:fill="auto"/>
          </w:tcPr>
          <w:p w14:paraId="1FD8CA27" w14:textId="77777777" w:rsidR="00735147" w:rsidRPr="00641F25" w:rsidRDefault="00735147" w:rsidP="00735147">
            <w:pPr>
              <w:pStyle w:val="BodyText"/>
              <w:spacing w:before="100" w:after="100"/>
              <w:rPr>
                <w:rFonts w:cs="Arial"/>
                <w:b/>
                <w:szCs w:val="20"/>
              </w:rPr>
            </w:pPr>
            <w:r w:rsidRPr="00641F25">
              <w:rPr>
                <w:rFonts w:cs="Arial"/>
                <w:b/>
                <w:bCs/>
                <w:szCs w:val="20"/>
              </w:rPr>
              <w:t xml:space="preserve">VoiceMail Deposits </w:t>
            </w:r>
          </w:p>
        </w:tc>
        <w:tc>
          <w:tcPr>
            <w:tcW w:w="5153" w:type="dxa"/>
            <w:shd w:val="clear" w:color="auto" w:fill="auto"/>
          </w:tcPr>
          <w:p w14:paraId="5ACFEF24" w14:textId="77777777" w:rsidR="00735147" w:rsidRPr="00641F25" w:rsidRDefault="00735147" w:rsidP="00735147">
            <w:pPr>
              <w:pStyle w:val="BodyText"/>
              <w:spacing w:before="100" w:after="100"/>
              <w:jc w:val="center"/>
              <w:rPr>
                <w:rFonts w:cs="Arial"/>
                <w:szCs w:val="20"/>
              </w:rPr>
            </w:pPr>
            <w:r w:rsidRPr="00641F25">
              <w:rPr>
                <w:rFonts w:cs="Arial"/>
                <w:szCs w:val="20"/>
              </w:rPr>
              <w:t>$0 per minute</w:t>
            </w:r>
          </w:p>
        </w:tc>
      </w:tr>
      <w:tr w:rsidR="00735147" w:rsidRPr="00641F25" w14:paraId="706668A7" w14:textId="77777777" w:rsidTr="00735147">
        <w:tc>
          <w:tcPr>
            <w:tcW w:w="4770" w:type="dxa"/>
            <w:shd w:val="clear" w:color="auto" w:fill="auto"/>
          </w:tcPr>
          <w:p w14:paraId="4A243A3D" w14:textId="77777777" w:rsidR="00735147" w:rsidRPr="00641F25" w:rsidRDefault="00735147" w:rsidP="00735147">
            <w:pPr>
              <w:pStyle w:val="BodyText"/>
              <w:spacing w:before="100" w:after="100"/>
              <w:rPr>
                <w:rFonts w:cs="Arial"/>
                <w:b/>
                <w:szCs w:val="20"/>
              </w:rPr>
            </w:pPr>
            <w:r w:rsidRPr="00641F25">
              <w:rPr>
                <w:rFonts w:cs="Arial"/>
                <w:b/>
                <w:bCs/>
                <w:szCs w:val="20"/>
              </w:rPr>
              <w:t>Voicemail Diversions</w:t>
            </w:r>
          </w:p>
        </w:tc>
        <w:tc>
          <w:tcPr>
            <w:tcW w:w="5153" w:type="dxa"/>
            <w:shd w:val="clear" w:color="auto" w:fill="auto"/>
          </w:tcPr>
          <w:p w14:paraId="6ADB0BF3" w14:textId="77777777" w:rsidR="00735147" w:rsidRPr="00641F25" w:rsidRDefault="00735147" w:rsidP="00735147">
            <w:pPr>
              <w:pStyle w:val="BodyText"/>
              <w:spacing w:before="100" w:after="100"/>
              <w:jc w:val="center"/>
              <w:rPr>
                <w:rFonts w:cs="Arial"/>
                <w:szCs w:val="20"/>
              </w:rPr>
            </w:pPr>
            <w:r w:rsidRPr="00641F25">
              <w:rPr>
                <w:rFonts w:cs="Arial"/>
                <w:szCs w:val="20"/>
              </w:rPr>
              <w:t>$0 per minute</w:t>
            </w:r>
          </w:p>
        </w:tc>
      </w:tr>
      <w:tr w:rsidR="00735147" w:rsidRPr="00641F25" w14:paraId="1AB1D0A5" w14:textId="77777777" w:rsidTr="00735147">
        <w:tc>
          <w:tcPr>
            <w:tcW w:w="4770" w:type="dxa"/>
            <w:shd w:val="clear" w:color="auto" w:fill="auto"/>
          </w:tcPr>
          <w:p w14:paraId="23C9C6C8" w14:textId="77777777" w:rsidR="00735147" w:rsidRPr="00641F25" w:rsidRDefault="00735147" w:rsidP="00735147">
            <w:pPr>
              <w:pStyle w:val="BodyText"/>
              <w:spacing w:before="100" w:after="100"/>
              <w:rPr>
                <w:rFonts w:cs="Arial"/>
                <w:b/>
                <w:bCs/>
                <w:szCs w:val="20"/>
              </w:rPr>
            </w:pPr>
            <w:r w:rsidRPr="00641F25">
              <w:rPr>
                <w:rFonts w:cs="Arial"/>
                <w:b/>
                <w:bCs/>
                <w:szCs w:val="20"/>
              </w:rPr>
              <w:t>National Diversions</w:t>
            </w:r>
          </w:p>
        </w:tc>
        <w:tc>
          <w:tcPr>
            <w:tcW w:w="5153" w:type="dxa"/>
            <w:shd w:val="clear" w:color="auto" w:fill="auto"/>
          </w:tcPr>
          <w:p w14:paraId="0EDBA0BB" w14:textId="77777777" w:rsidR="00735147" w:rsidRPr="00641F25" w:rsidRDefault="00735147" w:rsidP="00735147">
            <w:pPr>
              <w:pStyle w:val="BodyText"/>
              <w:spacing w:before="100" w:after="100"/>
              <w:jc w:val="center"/>
              <w:rPr>
                <w:rFonts w:cs="Arial"/>
                <w:szCs w:val="20"/>
              </w:rPr>
            </w:pPr>
            <w:r w:rsidRPr="00641F25">
              <w:rPr>
                <w:rFonts w:cs="Arial"/>
                <w:szCs w:val="20"/>
              </w:rPr>
              <w:t>$0 per minute</w:t>
            </w:r>
          </w:p>
        </w:tc>
      </w:tr>
      <w:tr w:rsidR="00735147" w:rsidRPr="00641F25" w14:paraId="692ADAED" w14:textId="77777777" w:rsidTr="00735147">
        <w:tc>
          <w:tcPr>
            <w:tcW w:w="4770" w:type="dxa"/>
            <w:shd w:val="clear" w:color="auto" w:fill="auto"/>
          </w:tcPr>
          <w:p w14:paraId="329E11F3" w14:textId="77777777" w:rsidR="00735147" w:rsidRPr="00641F25" w:rsidRDefault="00735147" w:rsidP="00735147">
            <w:pPr>
              <w:pStyle w:val="BodyText"/>
              <w:spacing w:before="100" w:after="100"/>
              <w:rPr>
                <w:rFonts w:cs="Arial"/>
                <w:b/>
                <w:bCs/>
                <w:szCs w:val="20"/>
              </w:rPr>
            </w:pPr>
            <w:r w:rsidRPr="00641F25">
              <w:rPr>
                <w:rFonts w:cs="Arial"/>
                <w:b/>
                <w:bCs/>
                <w:szCs w:val="20"/>
              </w:rPr>
              <w:t xml:space="preserve">International Diversions </w:t>
            </w:r>
          </w:p>
        </w:tc>
        <w:tc>
          <w:tcPr>
            <w:tcW w:w="5153" w:type="dxa"/>
            <w:shd w:val="clear" w:color="auto" w:fill="auto"/>
          </w:tcPr>
          <w:p w14:paraId="7523601B" w14:textId="77777777" w:rsidR="00735147" w:rsidRPr="00641F25" w:rsidRDefault="00735147" w:rsidP="00735147">
            <w:pPr>
              <w:pStyle w:val="BodyText"/>
              <w:spacing w:before="100" w:after="100"/>
              <w:jc w:val="center"/>
              <w:rPr>
                <w:rFonts w:cs="Arial"/>
                <w:szCs w:val="20"/>
              </w:rPr>
            </w:pPr>
            <w:r w:rsidRPr="00641F25">
              <w:rPr>
                <w:rFonts w:cs="Arial"/>
                <w:szCs w:val="20"/>
              </w:rPr>
              <w:t>'yes' international rates</w:t>
            </w:r>
            <w:r w:rsidRPr="00641F25">
              <w:rPr>
                <w:rFonts w:cs="Arial"/>
                <w:szCs w:val="20"/>
              </w:rPr>
              <w:br/>
              <w:t>See optus.com.au/international</w:t>
            </w:r>
          </w:p>
        </w:tc>
      </w:tr>
      <w:tr w:rsidR="00735147" w:rsidRPr="00641F25" w14:paraId="152E2B52" w14:textId="77777777" w:rsidTr="00735147">
        <w:tc>
          <w:tcPr>
            <w:tcW w:w="4770" w:type="dxa"/>
            <w:shd w:val="clear" w:color="auto" w:fill="auto"/>
          </w:tcPr>
          <w:p w14:paraId="2C1D9E53" w14:textId="77777777" w:rsidR="00735147" w:rsidRPr="00641F25" w:rsidRDefault="00735147" w:rsidP="00735147">
            <w:pPr>
              <w:pStyle w:val="BodyText"/>
              <w:spacing w:before="100" w:after="100"/>
              <w:rPr>
                <w:rFonts w:cs="Arial"/>
                <w:b/>
                <w:bCs/>
                <w:szCs w:val="20"/>
              </w:rPr>
            </w:pPr>
            <w:r w:rsidRPr="00641F25">
              <w:rPr>
                <w:rFonts w:cs="Arial"/>
                <w:b/>
                <w:bCs/>
                <w:szCs w:val="20"/>
              </w:rPr>
              <w:t xml:space="preserve">1800 numbers </w:t>
            </w:r>
          </w:p>
        </w:tc>
        <w:tc>
          <w:tcPr>
            <w:tcW w:w="5153" w:type="dxa"/>
            <w:shd w:val="clear" w:color="auto" w:fill="auto"/>
            <w:vAlign w:val="center"/>
          </w:tcPr>
          <w:p w14:paraId="074FA308" w14:textId="77777777" w:rsidR="00735147" w:rsidRPr="00641F25" w:rsidRDefault="00735147" w:rsidP="00735147">
            <w:pPr>
              <w:pStyle w:val="BodyText"/>
              <w:spacing w:before="100" w:after="100"/>
              <w:jc w:val="center"/>
              <w:rPr>
                <w:rFonts w:cs="Arial"/>
                <w:szCs w:val="20"/>
              </w:rPr>
            </w:pPr>
            <w:r w:rsidRPr="00641F25">
              <w:rPr>
                <w:rFonts w:cs="Arial"/>
                <w:szCs w:val="20"/>
              </w:rPr>
              <w:t>$0 per minute</w:t>
            </w:r>
          </w:p>
        </w:tc>
      </w:tr>
      <w:tr w:rsidR="00735147" w:rsidRPr="00641F25" w14:paraId="7C40A43A" w14:textId="77777777" w:rsidTr="00735147">
        <w:tc>
          <w:tcPr>
            <w:tcW w:w="4770" w:type="dxa"/>
            <w:shd w:val="clear" w:color="auto" w:fill="auto"/>
          </w:tcPr>
          <w:p w14:paraId="2740B238" w14:textId="77777777" w:rsidR="00735147" w:rsidRPr="00641F25" w:rsidRDefault="00735147" w:rsidP="00735147">
            <w:pPr>
              <w:pStyle w:val="BodyText"/>
              <w:spacing w:before="100" w:after="100"/>
              <w:rPr>
                <w:rFonts w:cs="Arial"/>
                <w:b/>
                <w:bCs/>
                <w:szCs w:val="20"/>
              </w:rPr>
            </w:pPr>
            <w:r w:rsidRPr="00641F25">
              <w:rPr>
                <w:rFonts w:cs="Arial"/>
                <w:b/>
                <w:bCs/>
                <w:szCs w:val="20"/>
              </w:rPr>
              <w:t xml:space="preserve">Directory Assistance 1223 </w:t>
            </w:r>
          </w:p>
        </w:tc>
        <w:tc>
          <w:tcPr>
            <w:tcW w:w="5153" w:type="dxa"/>
            <w:shd w:val="clear" w:color="auto" w:fill="auto"/>
            <w:vAlign w:val="center"/>
          </w:tcPr>
          <w:p w14:paraId="7801E87B" w14:textId="77777777" w:rsidR="00735147" w:rsidRPr="00641F25" w:rsidRDefault="00735147" w:rsidP="00735147">
            <w:pPr>
              <w:pStyle w:val="BodyText"/>
              <w:spacing w:before="100" w:after="100"/>
              <w:jc w:val="center"/>
              <w:rPr>
                <w:rFonts w:cs="Arial"/>
                <w:szCs w:val="20"/>
              </w:rPr>
            </w:pPr>
            <w:r w:rsidRPr="00641F25">
              <w:rPr>
                <w:rFonts w:cs="Arial"/>
                <w:szCs w:val="20"/>
              </w:rPr>
              <w:t>50c per call</w:t>
            </w:r>
          </w:p>
        </w:tc>
      </w:tr>
      <w:tr w:rsidR="00735147" w:rsidRPr="00641F25" w14:paraId="5AC0D732" w14:textId="77777777" w:rsidTr="00735147">
        <w:tc>
          <w:tcPr>
            <w:tcW w:w="4770" w:type="dxa"/>
            <w:shd w:val="clear" w:color="auto" w:fill="auto"/>
          </w:tcPr>
          <w:p w14:paraId="56E9347D" w14:textId="77777777" w:rsidR="00735147" w:rsidRPr="00641F25" w:rsidRDefault="00735147" w:rsidP="00735147">
            <w:pPr>
              <w:pStyle w:val="BodyText"/>
              <w:spacing w:before="100" w:after="100"/>
              <w:rPr>
                <w:rFonts w:cs="Arial"/>
                <w:b/>
                <w:bCs/>
                <w:szCs w:val="20"/>
              </w:rPr>
            </w:pPr>
            <w:r w:rsidRPr="00641F25">
              <w:rPr>
                <w:rFonts w:cs="Arial"/>
                <w:b/>
                <w:bCs/>
                <w:szCs w:val="20"/>
              </w:rPr>
              <w:t>124 Yes</w:t>
            </w:r>
          </w:p>
        </w:tc>
        <w:tc>
          <w:tcPr>
            <w:tcW w:w="5153" w:type="dxa"/>
            <w:shd w:val="clear" w:color="auto" w:fill="auto"/>
            <w:vAlign w:val="center"/>
          </w:tcPr>
          <w:p w14:paraId="4B8F7D25" w14:textId="77777777" w:rsidR="00735147" w:rsidRPr="00641F25" w:rsidRDefault="00735147" w:rsidP="00735147">
            <w:pPr>
              <w:pStyle w:val="BodyText"/>
              <w:spacing w:before="100" w:after="100"/>
              <w:jc w:val="center"/>
              <w:rPr>
                <w:rFonts w:cs="Arial"/>
                <w:szCs w:val="20"/>
              </w:rPr>
            </w:pPr>
            <w:r w:rsidRPr="00641F25">
              <w:rPr>
                <w:rFonts w:cs="Arial"/>
                <w:szCs w:val="20"/>
              </w:rPr>
              <w:t>90c per minute +$1.75c flagfall</w:t>
            </w:r>
          </w:p>
        </w:tc>
      </w:tr>
      <w:tr w:rsidR="00735147" w:rsidRPr="00641F25" w14:paraId="0C7FCC65" w14:textId="77777777" w:rsidTr="00735147">
        <w:tc>
          <w:tcPr>
            <w:tcW w:w="4770" w:type="dxa"/>
            <w:shd w:val="clear" w:color="auto" w:fill="auto"/>
          </w:tcPr>
          <w:p w14:paraId="330C8270" w14:textId="77777777" w:rsidR="00735147" w:rsidRPr="00641F25" w:rsidRDefault="00735147" w:rsidP="00735147">
            <w:pPr>
              <w:pStyle w:val="BodyText"/>
              <w:spacing w:before="100" w:after="100"/>
              <w:rPr>
                <w:rFonts w:cs="Arial"/>
                <w:b/>
                <w:bCs/>
                <w:szCs w:val="20"/>
              </w:rPr>
            </w:pPr>
            <w:r w:rsidRPr="00641F25">
              <w:rPr>
                <w:rFonts w:cs="Arial"/>
                <w:b/>
                <w:bCs/>
                <w:szCs w:val="20"/>
              </w:rPr>
              <w:t xml:space="preserve">International voice calls (outside the plan's included international minutes and to excluded countries) </w:t>
            </w:r>
          </w:p>
        </w:tc>
        <w:tc>
          <w:tcPr>
            <w:tcW w:w="5153" w:type="dxa"/>
            <w:shd w:val="clear" w:color="auto" w:fill="auto"/>
            <w:vAlign w:val="center"/>
          </w:tcPr>
          <w:p w14:paraId="01F4E466" w14:textId="77777777" w:rsidR="00735147" w:rsidRPr="00641F25" w:rsidRDefault="00735147" w:rsidP="00735147">
            <w:pPr>
              <w:pStyle w:val="BodyText"/>
              <w:spacing w:before="100" w:after="100"/>
              <w:jc w:val="center"/>
              <w:rPr>
                <w:rFonts w:cs="Arial"/>
                <w:szCs w:val="20"/>
              </w:rPr>
            </w:pPr>
            <w:r w:rsidRPr="00641F25">
              <w:rPr>
                <w:rFonts w:cs="Arial"/>
                <w:szCs w:val="20"/>
              </w:rPr>
              <w:t>'yes' international rates</w:t>
            </w:r>
          </w:p>
          <w:p w14:paraId="2AEACB23" w14:textId="77777777" w:rsidR="00735147" w:rsidRPr="00641F25" w:rsidRDefault="00735147" w:rsidP="00735147">
            <w:pPr>
              <w:pStyle w:val="BodyText"/>
              <w:spacing w:before="100" w:after="100"/>
              <w:jc w:val="center"/>
              <w:rPr>
                <w:rFonts w:cs="Arial"/>
                <w:szCs w:val="20"/>
              </w:rPr>
            </w:pPr>
            <w:r w:rsidRPr="00641F25">
              <w:rPr>
                <w:rFonts w:cs="Arial"/>
                <w:szCs w:val="20"/>
              </w:rPr>
              <w:t>See optus.com.au/international</w:t>
            </w:r>
          </w:p>
        </w:tc>
      </w:tr>
      <w:tr w:rsidR="00735147" w:rsidRPr="00641F25" w14:paraId="1A23AF99" w14:textId="77777777" w:rsidTr="00735147">
        <w:tc>
          <w:tcPr>
            <w:tcW w:w="4770" w:type="dxa"/>
            <w:shd w:val="clear" w:color="auto" w:fill="auto"/>
          </w:tcPr>
          <w:p w14:paraId="1DD0FE88" w14:textId="77777777" w:rsidR="00735147" w:rsidRPr="00641F25" w:rsidRDefault="00735147" w:rsidP="00735147">
            <w:pPr>
              <w:pStyle w:val="BodyText"/>
              <w:spacing w:before="100" w:after="100"/>
              <w:rPr>
                <w:rFonts w:cs="Arial"/>
                <w:b/>
                <w:bCs/>
                <w:szCs w:val="20"/>
              </w:rPr>
            </w:pPr>
            <w:r w:rsidRPr="00641F25">
              <w:rPr>
                <w:rFonts w:cs="Arial"/>
                <w:b/>
                <w:bCs/>
                <w:szCs w:val="20"/>
              </w:rPr>
              <w:t xml:space="preserve">International SMS (to excluded countries) </w:t>
            </w:r>
          </w:p>
        </w:tc>
        <w:tc>
          <w:tcPr>
            <w:tcW w:w="5153" w:type="dxa"/>
            <w:shd w:val="clear" w:color="auto" w:fill="auto"/>
            <w:vAlign w:val="center"/>
          </w:tcPr>
          <w:p w14:paraId="75C177F4" w14:textId="77777777" w:rsidR="00735147" w:rsidRPr="00641F25" w:rsidRDefault="00735147" w:rsidP="00735147">
            <w:pPr>
              <w:pStyle w:val="BodyText"/>
              <w:spacing w:before="100" w:after="100"/>
              <w:jc w:val="center"/>
              <w:rPr>
                <w:rFonts w:cs="Arial"/>
                <w:szCs w:val="20"/>
              </w:rPr>
            </w:pPr>
            <w:r w:rsidRPr="00641F25">
              <w:rPr>
                <w:rFonts w:cs="Arial"/>
                <w:szCs w:val="20"/>
              </w:rPr>
              <w:t>50c per SMS up to 160 standard characters</w:t>
            </w:r>
          </w:p>
        </w:tc>
      </w:tr>
      <w:tr w:rsidR="00735147" w:rsidRPr="00641F25" w14:paraId="7453AE28" w14:textId="77777777" w:rsidTr="00735147">
        <w:tc>
          <w:tcPr>
            <w:tcW w:w="4770" w:type="dxa"/>
            <w:shd w:val="clear" w:color="auto" w:fill="auto"/>
          </w:tcPr>
          <w:p w14:paraId="6614400B" w14:textId="77777777" w:rsidR="00735147" w:rsidRPr="00641F25" w:rsidRDefault="00735147" w:rsidP="00735147">
            <w:pPr>
              <w:pStyle w:val="BodyText"/>
              <w:spacing w:before="100" w:after="100"/>
              <w:rPr>
                <w:rFonts w:cs="Arial"/>
                <w:b/>
                <w:bCs/>
                <w:szCs w:val="20"/>
              </w:rPr>
            </w:pPr>
            <w:r w:rsidRPr="00641F25">
              <w:rPr>
                <w:rFonts w:cs="Arial"/>
                <w:b/>
                <w:bCs/>
                <w:szCs w:val="20"/>
              </w:rPr>
              <w:t>International MMS (to excluded countries)</w:t>
            </w:r>
          </w:p>
        </w:tc>
        <w:tc>
          <w:tcPr>
            <w:tcW w:w="5153" w:type="dxa"/>
            <w:shd w:val="clear" w:color="auto" w:fill="auto"/>
            <w:vAlign w:val="center"/>
          </w:tcPr>
          <w:p w14:paraId="31E9E06E" w14:textId="77777777" w:rsidR="00735147" w:rsidRPr="00641F25" w:rsidRDefault="00735147" w:rsidP="00735147">
            <w:pPr>
              <w:pStyle w:val="BodyText"/>
              <w:spacing w:before="100" w:after="100"/>
              <w:jc w:val="center"/>
              <w:rPr>
                <w:rFonts w:cs="Arial"/>
                <w:szCs w:val="20"/>
              </w:rPr>
            </w:pPr>
            <w:r w:rsidRPr="00641F25">
              <w:rPr>
                <w:rFonts w:cs="Arial"/>
                <w:szCs w:val="20"/>
              </w:rPr>
              <w:t>75c per MMS</w:t>
            </w:r>
          </w:p>
        </w:tc>
      </w:tr>
      <w:tr w:rsidR="00735147" w:rsidRPr="00641F25" w14:paraId="2566FBEC" w14:textId="77777777" w:rsidTr="00735147">
        <w:tc>
          <w:tcPr>
            <w:tcW w:w="4770" w:type="dxa"/>
            <w:shd w:val="clear" w:color="auto" w:fill="auto"/>
          </w:tcPr>
          <w:p w14:paraId="494D1856" w14:textId="77777777" w:rsidR="00735147" w:rsidRPr="00641F25" w:rsidRDefault="00735147" w:rsidP="00735147">
            <w:pPr>
              <w:pStyle w:val="BodyText"/>
              <w:spacing w:before="100" w:after="100"/>
              <w:rPr>
                <w:rFonts w:cs="Arial"/>
                <w:b/>
                <w:bCs/>
                <w:szCs w:val="20"/>
              </w:rPr>
            </w:pPr>
            <w:r w:rsidRPr="00641F25">
              <w:rPr>
                <w:rFonts w:cs="Arial"/>
                <w:b/>
                <w:bCs/>
                <w:szCs w:val="20"/>
              </w:rPr>
              <w:t xml:space="preserve">International video calling </w:t>
            </w:r>
          </w:p>
        </w:tc>
        <w:tc>
          <w:tcPr>
            <w:tcW w:w="5153" w:type="dxa"/>
            <w:shd w:val="clear" w:color="auto" w:fill="auto"/>
            <w:vAlign w:val="center"/>
          </w:tcPr>
          <w:p w14:paraId="2DAB72FC" w14:textId="77777777" w:rsidR="00735147" w:rsidRPr="00641F25" w:rsidRDefault="00735147" w:rsidP="00735147">
            <w:pPr>
              <w:pStyle w:val="BodyText"/>
              <w:spacing w:before="100" w:after="100"/>
              <w:jc w:val="center"/>
              <w:rPr>
                <w:rFonts w:cs="Arial"/>
                <w:szCs w:val="20"/>
              </w:rPr>
            </w:pPr>
            <w:r w:rsidRPr="00641F25">
              <w:rPr>
                <w:rFonts w:cs="Arial"/>
                <w:szCs w:val="20"/>
              </w:rPr>
              <w:t>$1.50 per minute +35c flagfall</w:t>
            </w:r>
          </w:p>
        </w:tc>
      </w:tr>
      <w:tr w:rsidR="00735147" w:rsidRPr="00641F25" w14:paraId="50F2C982" w14:textId="77777777" w:rsidTr="00735147">
        <w:tc>
          <w:tcPr>
            <w:tcW w:w="4770" w:type="dxa"/>
            <w:shd w:val="clear" w:color="auto" w:fill="auto"/>
          </w:tcPr>
          <w:p w14:paraId="7ADB666C" w14:textId="77777777" w:rsidR="00735147" w:rsidRPr="00641F25" w:rsidRDefault="00735147" w:rsidP="00735147">
            <w:pPr>
              <w:pStyle w:val="BodyText"/>
              <w:spacing w:before="100" w:after="100"/>
              <w:rPr>
                <w:rFonts w:cs="Arial"/>
                <w:b/>
                <w:bCs/>
                <w:szCs w:val="20"/>
              </w:rPr>
            </w:pPr>
            <w:r w:rsidRPr="00641F25">
              <w:rPr>
                <w:rFonts w:cs="Arial"/>
                <w:b/>
                <w:bCs/>
                <w:szCs w:val="20"/>
              </w:rPr>
              <w:t xml:space="preserve">International roaming </w:t>
            </w:r>
          </w:p>
        </w:tc>
        <w:tc>
          <w:tcPr>
            <w:tcW w:w="5153" w:type="dxa"/>
            <w:shd w:val="clear" w:color="auto" w:fill="auto"/>
            <w:vAlign w:val="center"/>
          </w:tcPr>
          <w:p w14:paraId="4DF52755" w14:textId="77777777" w:rsidR="00735147" w:rsidRPr="00641F25" w:rsidRDefault="00735147" w:rsidP="00735147">
            <w:pPr>
              <w:pStyle w:val="BodyText"/>
              <w:spacing w:before="100" w:after="100"/>
              <w:jc w:val="center"/>
              <w:rPr>
                <w:rFonts w:cs="Arial"/>
                <w:szCs w:val="20"/>
              </w:rPr>
            </w:pPr>
            <w:r w:rsidRPr="00641F25">
              <w:rPr>
                <w:rFonts w:cs="Arial"/>
                <w:szCs w:val="20"/>
              </w:rPr>
              <w:t>See optus.com.au/roaming</w:t>
            </w:r>
          </w:p>
        </w:tc>
      </w:tr>
    </w:tbl>
    <w:p w14:paraId="0D297412" w14:textId="77777777" w:rsidR="00735147" w:rsidRPr="00641F25" w:rsidRDefault="00735147" w:rsidP="00735147">
      <w:pPr>
        <w:pStyle w:val="BodyText"/>
        <w:spacing w:before="240" w:after="120"/>
        <w:rPr>
          <w:rFonts w:cs="Arial"/>
          <w:b/>
          <w:szCs w:val="20"/>
        </w:rPr>
      </w:pPr>
      <w:r w:rsidRPr="00641F25">
        <w:rPr>
          <w:rFonts w:cs="Arial"/>
          <w:b/>
          <w:szCs w:val="20"/>
        </w:rPr>
        <w:t>Table 3 – International Countries</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5"/>
        <w:gridCol w:w="2385"/>
        <w:gridCol w:w="2385"/>
        <w:gridCol w:w="2385"/>
      </w:tblGrid>
      <w:tr w:rsidR="00735147" w:rsidRPr="00641F25" w14:paraId="15F38348" w14:textId="77777777" w:rsidTr="00735147">
        <w:tc>
          <w:tcPr>
            <w:tcW w:w="2385" w:type="dxa"/>
            <w:shd w:val="clear" w:color="auto" w:fill="auto"/>
          </w:tcPr>
          <w:p w14:paraId="0A5682FA" w14:textId="77777777" w:rsidR="00735147" w:rsidRPr="00641F25" w:rsidRDefault="00735147" w:rsidP="00735147">
            <w:pPr>
              <w:pStyle w:val="BodyText"/>
              <w:spacing w:before="100" w:after="100"/>
              <w:rPr>
                <w:rFonts w:cs="Arial"/>
                <w:b/>
                <w:szCs w:val="20"/>
              </w:rPr>
            </w:pPr>
            <w:r w:rsidRPr="00641F25">
              <w:rPr>
                <w:rFonts w:eastAsia="Calibri" w:cs="Arial"/>
                <w:szCs w:val="20"/>
              </w:rPr>
              <w:t>China</w:t>
            </w:r>
          </w:p>
        </w:tc>
        <w:tc>
          <w:tcPr>
            <w:tcW w:w="2385" w:type="dxa"/>
            <w:shd w:val="clear" w:color="auto" w:fill="auto"/>
          </w:tcPr>
          <w:p w14:paraId="33EB5948" w14:textId="77777777" w:rsidR="00735147" w:rsidRPr="00641F25" w:rsidRDefault="00735147" w:rsidP="00735147">
            <w:pPr>
              <w:pStyle w:val="BodyText"/>
              <w:spacing w:before="100" w:after="100"/>
              <w:rPr>
                <w:rFonts w:cs="Arial"/>
                <w:b/>
                <w:szCs w:val="20"/>
              </w:rPr>
            </w:pPr>
            <w:r w:rsidRPr="00641F25">
              <w:rPr>
                <w:rFonts w:eastAsia="Calibri" w:cs="Arial"/>
                <w:szCs w:val="20"/>
              </w:rPr>
              <w:t>Indonesia</w:t>
            </w:r>
          </w:p>
        </w:tc>
        <w:tc>
          <w:tcPr>
            <w:tcW w:w="2385" w:type="dxa"/>
            <w:shd w:val="clear" w:color="auto" w:fill="auto"/>
          </w:tcPr>
          <w:p w14:paraId="66CCFC4A" w14:textId="77777777" w:rsidR="00735147" w:rsidRPr="00641F25" w:rsidRDefault="00735147" w:rsidP="00735147">
            <w:pPr>
              <w:pStyle w:val="BodyText"/>
              <w:spacing w:before="100" w:after="100"/>
              <w:rPr>
                <w:rFonts w:cs="Arial"/>
                <w:b/>
                <w:szCs w:val="20"/>
              </w:rPr>
            </w:pPr>
            <w:r w:rsidRPr="00641F25">
              <w:rPr>
                <w:rFonts w:eastAsia="Calibri" w:cs="Arial"/>
                <w:szCs w:val="20"/>
              </w:rPr>
              <w:t>India</w:t>
            </w:r>
          </w:p>
        </w:tc>
        <w:tc>
          <w:tcPr>
            <w:tcW w:w="2385" w:type="dxa"/>
            <w:shd w:val="clear" w:color="auto" w:fill="auto"/>
          </w:tcPr>
          <w:p w14:paraId="60F79A9E" w14:textId="77777777" w:rsidR="00735147" w:rsidRPr="00641F25" w:rsidRDefault="00735147" w:rsidP="00735147">
            <w:pPr>
              <w:pStyle w:val="BodyText"/>
              <w:spacing w:before="100" w:after="100"/>
              <w:rPr>
                <w:rFonts w:cs="Arial"/>
                <w:b/>
                <w:szCs w:val="20"/>
              </w:rPr>
            </w:pPr>
            <w:r w:rsidRPr="00641F25">
              <w:rPr>
                <w:rFonts w:eastAsia="Calibri" w:cs="Arial"/>
                <w:szCs w:val="20"/>
              </w:rPr>
              <w:t>Malaysia</w:t>
            </w:r>
          </w:p>
        </w:tc>
      </w:tr>
      <w:tr w:rsidR="00735147" w:rsidRPr="00641F25" w14:paraId="46C90404" w14:textId="77777777" w:rsidTr="00735147">
        <w:tc>
          <w:tcPr>
            <w:tcW w:w="2385" w:type="dxa"/>
            <w:shd w:val="clear" w:color="auto" w:fill="auto"/>
          </w:tcPr>
          <w:p w14:paraId="3A001981" w14:textId="77777777" w:rsidR="00735147" w:rsidRPr="00641F25" w:rsidRDefault="00735147" w:rsidP="00735147">
            <w:pPr>
              <w:pStyle w:val="BodyText"/>
              <w:spacing w:before="100" w:after="100"/>
              <w:rPr>
                <w:rFonts w:cs="Arial"/>
                <w:b/>
                <w:szCs w:val="20"/>
              </w:rPr>
            </w:pPr>
            <w:r w:rsidRPr="00641F25">
              <w:rPr>
                <w:rFonts w:eastAsia="Calibri" w:cs="Arial"/>
                <w:szCs w:val="20"/>
              </w:rPr>
              <w:t>New Zealand</w:t>
            </w:r>
          </w:p>
        </w:tc>
        <w:tc>
          <w:tcPr>
            <w:tcW w:w="2385" w:type="dxa"/>
            <w:shd w:val="clear" w:color="auto" w:fill="auto"/>
          </w:tcPr>
          <w:p w14:paraId="30DF341E" w14:textId="77777777" w:rsidR="00735147" w:rsidRPr="00641F25" w:rsidRDefault="00735147" w:rsidP="00735147">
            <w:pPr>
              <w:pStyle w:val="BodyText"/>
              <w:spacing w:before="100" w:after="100"/>
              <w:rPr>
                <w:rFonts w:cs="Arial"/>
                <w:b/>
                <w:szCs w:val="20"/>
              </w:rPr>
            </w:pPr>
            <w:r w:rsidRPr="00641F25">
              <w:rPr>
                <w:rFonts w:eastAsia="Calibri" w:cs="Arial"/>
                <w:szCs w:val="20"/>
              </w:rPr>
              <w:t>Singapore</w:t>
            </w:r>
          </w:p>
        </w:tc>
        <w:tc>
          <w:tcPr>
            <w:tcW w:w="2385" w:type="dxa"/>
            <w:shd w:val="clear" w:color="auto" w:fill="auto"/>
          </w:tcPr>
          <w:p w14:paraId="7DDF3CF5" w14:textId="77777777" w:rsidR="00735147" w:rsidRPr="00641F25" w:rsidRDefault="00735147" w:rsidP="00735147">
            <w:pPr>
              <w:pStyle w:val="BodyText"/>
              <w:spacing w:before="100" w:after="100"/>
              <w:rPr>
                <w:rFonts w:cs="Arial"/>
                <w:b/>
                <w:szCs w:val="20"/>
              </w:rPr>
            </w:pPr>
            <w:r w:rsidRPr="00641F25">
              <w:rPr>
                <w:rFonts w:eastAsia="Calibri" w:cs="Arial"/>
                <w:szCs w:val="20"/>
              </w:rPr>
              <w:t>South Africa</w:t>
            </w:r>
          </w:p>
        </w:tc>
        <w:tc>
          <w:tcPr>
            <w:tcW w:w="2385" w:type="dxa"/>
            <w:shd w:val="clear" w:color="auto" w:fill="auto"/>
          </w:tcPr>
          <w:p w14:paraId="78328FF1" w14:textId="77777777" w:rsidR="00735147" w:rsidRPr="00641F25" w:rsidRDefault="00735147" w:rsidP="00735147">
            <w:pPr>
              <w:pStyle w:val="BodyText"/>
              <w:spacing w:before="100" w:after="100"/>
              <w:rPr>
                <w:rFonts w:cs="Arial"/>
                <w:b/>
                <w:szCs w:val="20"/>
              </w:rPr>
            </w:pPr>
            <w:r w:rsidRPr="00641F25">
              <w:rPr>
                <w:rFonts w:eastAsia="Calibri" w:cs="Arial"/>
                <w:szCs w:val="20"/>
              </w:rPr>
              <w:t>UK</w:t>
            </w:r>
          </w:p>
        </w:tc>
      </w:tr>
      <w:tr w:rsidR="00735147" w:rsidRPr="00641F25" w14:paraId="64B49CF4" w14:textId="77777777" w:rsidTr="00735147">
        <w:tc>
          <w:tcPr>
            <w:tcW w:w="2385" w:type="dxa"/>
            <w:shd w:val="clear" w:color="auto" w:fill="auto"/>
          </w:tcPr>
          <w:p w14:paraId="28ABE3D9" w14:textId="77777777" w:rsidR="00735147" w:rsidRPr="00641F25" w:rsidRDefault="00735147" w:rsidP="00735147">
            <w:pPr>
              <w:pStyle w:val="BodyText"/>
              <w:spacing w:before="100" w:after="100"/>
              <w:rPr>
                <w:rFonts w:cs="Arial"/>
                <w:b/>
                <w:szCs w:val="20"/>
              </w:rPr>
            </w:pPr>
            <w:r w:rsidRPr="00641F25">
              <w:rPr>
                <w:rFonts w:eastAsia="Calibri" w:cs="Arial"/>
                <w:szCs w:val="20"/>
              </w:rPr>
              <w:t xml:space="preserve">USA </w:t>
            </w:r>
          </w:p>
        </w:tc>
        <w:tc>
          <w:tcPr>
            <w:tcW w:w="2385" w:type="dxa"/>
            <w:shd w:val="clear" w:color="auto" w:fill="auto"/>
          </w:tcPr>
          <w:p w14:paraId="6550BFDD" w14:textId="77777777" w:rsidR="00735147" w:rsidRPr="00641F25" w:rsidRDefault="00735147" w:rsidP="00735147">
            <w:pPr>
              <w:pStyle w:val="BodyText"/>
              <w:spacing w:before="100" w:after="100"/>
              <w:rPr>
                <w:rFonts w:cs="Arial"/>
                <w:b/>
                <w:szCs w:val="20"/>
              </w:rPr>
            </w:pPr>
            <w:r w:rsidRPr="00641F25">
              <w:rPr>
                <w:rFonts w:eastAsia="Calibri" w:cs="Arial"/>
                <w:szCs w:val="20"/>
              </w:rPr>
              <w:t>Vietnam</w:t>
            </w:r>
          </w:p>
        </w:tc>
        <w:tc>
          <w:tcPr>
            <w:tcW w:w="2385" w:type="dxa"/>
            <w:shd w:val="clear" w:color="auto" w:fill="auto"/>
          </w:tcPr>
          <w:p w14:paraId="65DD7ECA" w14:textId="77777777" w:rsidR="00735147" w:rsidRPr="00641F25" w:rsidRDefault="00735147" w:rsidP="00735147">
            <w:pPr>
              <w:pStyle w:val="BodyText"/>
              <w:spacing w:before="100" w:after="100"/>
              <w:rPr>
                <w:rFonts w:cs="Arial"/>
                <w:b/>
                <w:szCs w:val="20"/>
              </w:rPr>
            </w:pPr>
            <w:r w:rsidRPr="00641F25">
              <w:rPr>
                <w:rFonts w:cs="Arial"/>
                <w:color w:val="000000"/>
                <w:szCs w:val="20"/>
                <w:lang w:val="en-AU" w:eastAsia="en-AU"/>
              </w:rPr>
              <w:t>Canada</w:t>
            </w:r>
          </w:p>
        </w:tc>
        <w:tc>
          <w:tcPr>
            <w:tcW w:w="2385" w:type="dxa"/>
            <w:shd w:val="clear" w:color="auto" w:fill="auto"/>
          </w:tcPr>
          <w:p w14:paraId="7D55EEBC" w14:textId="77777777" w:rsidR="00735147" w:rsidRPr="00641F25" w:rsidRDefault="00735147" w:rsidP="00735147">
            <w:pPr>
              <w:pStyle w:val="BodyText"/>
              <w:spacing w:before="100" w:after="100"/>
              <w:rPr>
                <w:rFonts w:cs="Arial"/>
                <w:b/>
                <w:szCs w:val="20"/>
              </w:rPr>
            </w:pPr>
            <w:r w:rsidRPr="00641F25">
              <w:rPr>
                <w:rFonts w:cs="Arial"/>
                <w:color w:val="000000"/>
                <w:szCs w:val="20"/>
                <w:lang w:val="en-AU" w:eastAsia="en-AU"/>
              </w:rPr>
              <w:t>Hong Kong</w:t>
            </w:r>
          </w:p>
        </w:tc>
      </w:tr>
      <w:tr w:rsidR="00735147" w:rsidRPr="00641F25" w14:paraId="4BFDE5CC" w14:textId="77777777" w:rsidTr="00735147">
        <w:tc>
          <w:tcPr>
            <w:tcW w:w="2385" w:type="dxa"/>
            <w:shd w:val="clear" w:color="auto" w:fill="auto"/>
          </w:tcPr>
          <w:p w14:paraId="7FF623D0" w14:textId="77777777" w:rsidR="00735147" w:rsidRPr="00641F25" w:rsidRDefault="00735147" w:rsidP="00735147">
            <w:pPr>
              <w:pStyle w:val="BodyText"/>
              <w:spacing w:before="100" w:after="100"/>
              <w:rPr>
                <w:rFonts w:eastAsia="Calibri" w:cs="Arial"/>
                <w:szCs w:val="20"/>
              </w:rPr>
            </w:pPr>
            <w:r w:rsidRPr="00641F25">
              <w:rPr>
                <w:rFonts w:cs="Arial"/>
                <w:color w:val="000000"/>
                <w:szCs w:val="20"/>
                <w:lang w:val="en-AU" w:eastAsia="en-AU"/>
              </w:rPr>
              <w:t xml:space="preserve">South Korea </w:t>
            </w:r>
          </w:p>
        </w:tc>
        <w:tc>
          <w:tcPr>
            <w:tcW w:w="2385" w:type="dxa"/>
            <w:shd w:val="clear" w:color="auto" w:fill="auto"/>
          </w:tcPr>
          <w:p w14:paraId="20C8E756" w14:textId="77777777" w:rsidR="00735147" w:rsidRPr="00641F25" w:rsidRDefault="00735147" w:rsidP="00735147">
            <w:pPr>
              <w:pStyle w:val="BodyText"/>
              <w:spacing w:before="100" w:after="100"/>
              <w:rPr>
                <w:rFonts w:eastAsia="Calibri" w:cs="Arial"/>
                <w:szCs w:val="20"/>
              </w:rPr>
            </w:pPr>
            <w:r w:rsidRPr="00641F25">
              <w:rPr>
                <w:rFonts w:cs="Arial"/>
                <w:color w:val="000000"/>
                <w:szCs w:val="20"/>
                <w:lang w:val="en-AU" w:eastAsia="en-AU"/>
              </w:rPr>
              <w:t>Thailand</w:t>
            </w:r>
          </w:p>
        </w:tc>
        <w:tc>
          <w:tcPr>
            <w:tcW w:w="2385" w:type="dxa"/>
            <w:shd w:val="clear" w:color="auto" w:fill="auto"/>
          </w:tcPr>
          <w:p w14:paraId="565FA2FC" w14:textId="77777777" w:rsidR="00735147" w:rsidRPr="00641F25" w:rsidRDefault="00735147" w:rsidP="00735147">
            <w:pPr>
              <w:pStyle w:val="BodyText"/>
              <w:spacing w:before="100" w:after="100"/>
              <w:rPr>
                <w:rFonts w:cs="Arial"/>
                <w:color w:val="000000"/>
                <w:szCs w:val="20"/>
                <w:lang w:val="en-AU" w:eastAsia="en-AU"/>
              </w:rPr>
            </w:pPr>
          </w:p>
        </w:tc>
        <w:tc>
          <w:tcPr>
            <w:tcW w:w="2385" w:type="dxa"/>
            <w:shd w:val="clear" w:color="auto" w:fill="auto"/>
          </w:tcPr>
          <w:p w14:paraId="2DFC8819" w14:textId="77777777" w:rsidR="00735147" w:rsidRPr="00641F25" w:rsidRDefault="00735147" w:rsidP="00735147">
            <w:pPr>
              <w:pStyle w:val="BodyText"/>
              <w:spacing w:before="100" w:after="100"/>
              <w:rPr>
                <w:rFonts w:cs="Arial"/>
                <w:color w:val="000000"/>
                <w:szCs w:val="20"/>
                <w:lang w:val="en-AU" w:eastAsia="en-AU"/>
              </w:rPr>
            </w:pPr>
          </w:p>
        </w:tc>
      </w:tr>
    </w:tbl>
    <w:p w14:paraId="66659E38" w14:textId="77777777" w:rsidR="00735147" w:rsidRPr="00641F25" w:rsidRDefault="00735147" w:rsidP="00735147">
      <w:pPr>
        <w:pStyle w:val="Heading6"/>
        <w:spacing w:before="240"/>
        <w:ind w:left="0" w:firstLine="0"/>
        <w:rPr>
          <w:rFonts w:cs="Arial"/>
          <w:szCs w:val="20"/>
          <w:lang w:val="en-AU"/>
        </w:rPr>
      </w:pPr>
      <w:bookmarkStart w:id="1619" w:name="_Toc486601100"/>
      <w:bookmarkStart w:id="1620" w:name="_Toc489971280"/>
      <w:r w:rsidRPr="00641F25">
        <w:rPr>
          <w:rFonts w:cs="Arial"/>
          <w:szCs w:val="20"/>
          <w:lang w:val="en-AU"/>
        </w:rPr>
        <w:t>My Account</w:t>
      </w:r>
      <w:bookmarkEnd w:id="1619"/>
      <w:bookmarkEnd w:id="1620"/>
    </w:p>
    <w:p w14:paraId="6373C5C0" w14:textId="77777777" w:rsidR="00735147" w:rsidRPr="00641F25" w:rsidRDefault="00735147" w:rsidP="00735147">
      <w:pPr>
        <w:pStyle w:val="BodyText"/>
        <w:ind w:left="720"/>
        <w:rPr>
          <w:rFonts w:cs="Arial"/>
          <w:szCs w:val="20"/>
          <w:lang w:val="en-AU"/>
        </w:rPr>
      </w:pPr>
      <w:r w:rsidRPr="00641F25">
        <w:rPr>
          <w:rFonts w:cs="Arial"/>
          <w:szCs w:val="20"/>
          <w:lang w:val="en-AU"/>
        </w:rPr>
        <w:t xml:space="preserve">Services that share data may have a service login to My Account which will display all of the service numbers contributing to or using the shared data pool on </w:t>
      </w:r>
      <w:r w:rsidRPr="00641F25">
        <w:rPr>
          <w:rFonts w:cs="Arial"/>
          <w:i/>
          <w:szCs w:val="20"/>
          <w:lang w:val="en-AU"/>
        </w:rPr>
        <w:t xml:space="preserve">your </w:t>
      </w:r>
      <w:r w:rsidRPr="00641F25">
        <w:rPr>
          <w:rFonts w:cs="Arial"/>
          <w:szCs w:val="20"/>
          <w:lang w:val="en-AU"/>
        </w:rPr>
        <w:t xml:space="preserve">account and the amount of data each service has used. If </w:t>
      </w:r>
      <w:r w:rsidRPr="00641F25">
        <w:rPr>
          <w:rFonts w:cs="Arial"/>
          <w:i/>
          <w:szCs w:val="20"/>
          <w:lang w:val="en-AU"/>
        </w:rPr>
        <w:t>you</w:t>
      </w:r>
      <w:r w:rsidRPr="00641F25">
        <w:rPr>
          <w:rFonts w:cs="Arial"/>
          <w:szCs w:val="20"/>
          <w:lang w:val="en-AU"/>
        </w:rPr>
        <w:t xml:space="preserve"> have more than 6 services on </w:t>
      </w:r>
      <w:r w:rsidRPr="00641F25">
        <w:rPr>
          <w:rFonts w:cs="Arial"/>
          <w:i/>
          <w:szCs w:val="20"/>
          <w:lang w:val="en-AU"/>
        </w:rPr>
        <w:t>your</w:t>
      </w:r>
      <w:r w:rsidRPr="00641F25">
        <w:rPr>
          <w:rFonts w:cs="Arial"/>
          <w:szCs w:val="20"/>
          <w:lang w:val="en-AU"/>
        </w:rPr>
        <w:t xml:space="preserve"> account, My Account may not be suitable for viewing usage and managing </w:t>
      </w:r>
      <w:r w:rsidRPr="00641F25">
        <w:rPr>
          <w:rFonts w:cs="Arial"/>
          <w:i/>
          <w:szCs w:val="20"/>
          <w:lang w:val="en-AU"/>
        </w:rPr>
        <w:t xml:space="preserve">your </w:t>
      </w:r>
      <w:r w:rsidRPr="00641F25">
        <w:rPr>
          <w:rFonts w:cs="Arial"/>
          <w:szCs w:val="20"/>
          <w:lang w:val="en-AU"/>
        </w:rPr>
        <w:t>usage alerts.</w:t>
      </w:r>
    </w:p>
    <w:p w14:paraId="6B7636CE" w14:textId="77777777" w:rsidR="00735147" w:rsidRPr="00641F25" w:rsidRDefault="00735147" w:rsidP="00735147">
      <w:pPr>
        <w:pStyle w:val="Heading6"/>
        <w:ind w:left="0" w:firstLine="0"/>
        <w:rPr>
          <w:rFonts w:cs="Arial"/>
          <w:szCs w:val="20"/>
          <w:lang w:val="en-AU"/>
        </w:rPr>
      </w:pPr>
      <w:bookmarkStart w:id="1621" w:name="_Toc486601101"/>
      <w:bookmarkStart w:id="1622" w:name="_Toc489971281"/>
      <w:r w:rsidRPr="00641F25">
        <w:rPr>
          <w:rFonts w:cs="Arial"/>
          <w:szCs w:val="20"/>
          <w:lang w:val="en-AU"/>
        </w:rPr>
        <w:t xml:space="preserve">What happens if the </w:t>
      </w:r>
      <w:r w:rsidRPr="00641F25">
        <w:rPr>
          <w:rFonts w:cs="Arial"/>
          <w:i/>
          <w:szCs w:val="20"/>
          <w:lang w:val="en-AU"/>
        </w:rPr>
        <w:t xml:space="preserve">service </w:t>
      </w:r>
      <w:r w:rsidRPr="00641F25">
        <w:rPr>
          <w:rFonts w:cs="Arial"/>
          <w:szCs w:val="20"/>
          <w:lang w:val="en-AU"/>
        </w:rPr>
        <w:t>is</w:t>
      </w:r>
      <w:r w:rsidRPr="00641F25">
        <w:rPr>
          <w:rFonts w:cs="Arial"/>
          <w:i/>
          <w:szCs w:val="20"/>
          <w:lang w:val="en-AU"/>
        </w:rPr>
        <w:t xml:space="preserve"> cancelled </w:t>
      </w:r>
      <w:r w:rsidRPr="00641F25">
        <w:rPr>
          <w:rFonts w:cs="Arial"/>
          <w:szCs w:val="20"/>
          <w:lang w:val="en-AU"/>
        </w:rPr>
        <w:t>early?</w:t>
      </w:r>
      <w:bookmarkEnd w:id="1621"/>
      <w:bookmarkEnd w:id="1622"/>
      <w:r w:rsidRPr="00641F25">
        <w:rPr>
          <w:rFonts w:cs="Arial"/>
          <w:szCs w:val="20"/>
          <w:lang w:val="en-AU"/>
        </w:rPr>
        <w:t xml:space="preserve"> </w:t>
      </w:r>
    </w:p>
    <w:p w14:paraId="312177CB" w14:textId="77777777" w:rsidR="00735147" w:rsidRPr="00641F25" w:rsidRDefault="00735147" w:rsidP="00735147">
      <w:pPr>
        <w:ind w:left="709"/>
        <w:rPr>
          <w:rFonts w:cs="Arial"/>
          <w:sz w:val="20"/>
          <w:szCs w:val="20"/>
        </w:rPr>
      </w:pPr>
      <w:r w:rsidRPr="00641F25">
        <w:rPr>
          <w:rFonts w:cs="Arial"/>
          <w:sz w:val="20"/>
          <w:szCs w:val="20"/>
        </w:rPr>
        <w:t>If your service is cancelled before the end of your minimum term, there are no plan cancellation fees. You will simply need to pay out the sum of unpaid equipment charges owing on your mobile phone under the mobile equipment payment plan (if any).  Note any handset credit you were entitled to will be forfeited.</w:t>
      </w:r>
    </w:p>
    <w:p w14:paraId="6BFD836E" w14:textId="77777777" w:rsidR="00735147" w:rsidRDefault="00735147" w:rsidP="00735147">
      <w:pPr>
        <w:rPr>
          <w:sz w:val="20"/>
          <w:szCs w:val="20"/>
        </w:rPr>
      </w:pPr>
    </w:p>
    <w:p w14:paraId="77A8073F" w14:textId="77777777" w:rsidR="00735147" w:rsidRDefault="00735147" w:rsidP="00735147">
      <w:pPr>
        <w:rPr>
          <w:sz w:val="20"/>
          <w:szCs w:val="20"/>
        </w:rPr>
      </w:pPr>
    </w:p>
    <w:p w14:paraId="042AF87F" w14:textId="77777777" w:rsidR="00735147" w:rsidRPr="009C02DF" w:rsidRDefault="00735147" w:rsidP="00735147">
      <w:pPr>
        <w:pStyle w:val="Heading4"/>
      </w:pPr>
      <w:bookmarkStart w:id="1623" w:name="_Toc481150252"/>
      <w:bookmarkStart w:id="1624" w:name="_Toc481157058"/>
      <w:bookmarkStart w:id="1625" w:name="_Toc489971282"/>
      <w:bookmarkStart w:id="1626" w:name="_Toc62644691"/>
      <w:r>
        <w:lastRenderedPageBreak/>
        <w:t>$75 My Plan Business Flex</w:t>
      </w:r>
      <w:bookmarkEnd w:id="1623"/>
      <w:bookmarkEnd w:id="1624"/>
      <w:r>
        <w:t>/Business Lease</w:t>
      </w:r>
      <w:bookmarkEnd w:id="1625"/>
      <w:bookmarkEnd w:id="1626"/>
      <w:r>
        <w:t xml:space="preserve"> </w:t>
      </w:r>
    </w:p>
    <w:p w14:paraId="7F8BD64E" w14:textId="77777777" w:rsidR="00735147" w:rsidRPr="00641F25" w:rsidRDefault="00735147" w:rsidP="00735147">
      <w:pPr>
        <w:pStyle w:val="BodyText"/>
        <w:rPr>
          <w:rFonts w:cs="Arial"/>
          <w:szCs w:val="20"/>
        </w:rPr>
      </w:pPr>
      <w:r w:rsidRPr="00641F25">
        <w:rPr>
          <w:rFonts w:cs="Arial"/>
          <w:szCs w:val="20"/>
        </w:rPr>
        <w:t xml:space="preserve">This section relates to the following plans. </w:t>
      </w:r>
      <w:r w:rsidRPr="00641F25">
        <w:rPr>
          <w:rFonts w:cs="Arial"/>
          <w:i/>
          <w:szCs w:val="20"/>
        </w:rPr>
        <w:t>You</w:t>
      </w:r>
      <w:r w:rsidRPr="00641F25">
        <w:rPr>
          <w:rFonts w:cs="Arial"/>
          <w:szCs w:val="20"/>
        </w:rPr>
        <w:t xml:space="preserve"> can find </w:t>
      </w:r>
      <w:r w:rsidRPr="00641F25">
        <w:rPr>
          <w:rFonts w:cs="Arial"/>
          <w:i/>
          <w:szCs w:val="20"/>
        </w:rPr>
        <w:t>your</w:t>
      </w:r>
      <w:r w:rsidRPr="00641F25">
        <w:rPr>
          <w:rFonts w:cs="Arial"/>
          <w:szCs w:val="20"/>
        </w:rPr>
        <w:t xml:space="preserve"> Plan ID listed on </w:t>
      </w:r>
      <w:r w:rsidRPr="00641F25">
        <w:rPr>
          <w:rFonts w:cs="Arial"/>
          <w:i/>
          <w:szCs w:val="20"/>
        </w:rPr>
        <w:t>your</w:t>
      </w:r>
      <w:r w:rsidRPr="00641F25">
        <w:rPr>
          <w:rFonts w:cs="Arial"/>
          <w:szCs w:val="20"/>
        </w:rPr>
        <w:t xml:space="preserve"> monthly bill: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8"/>
        <w:gridCol w:w="2849"/>
        <w:gridCol w:w="2849"/>
      </w:tblGrid>
      <w:tr w:rsidR="00735147" w:rsidRPr="00641F25" w14:paraId="48EB59F0" w14:textId="77777777" w:rsidTr="00735147">
        <w:trPr>
          <w:trHeight w:val="54"/>
        </w:trPr>
        <w:tc>
          <w:tcPr>
            <w:tcW w:w="2848" w:type="dxa"/>
            <w:shd w:val="clear" w:color="auto" w:fill="auto"/>
            <w:vAlign w:val="center"/>
          </w:tcPr>
          <w:p w14:paraId="32A97B0D" w14:textId="77777777" w:rsidR="00735147" w:rsidRPr="00641F25" w:rsidRDefault="00735147" w:rsidP="00735147">
            <w:pPr>
              <w:pStyle w:val="BodyText"/>
              <w:spacing w:before="100" w:after="100"/>
              <w:jc w:val="center"/>
              <w:rPr>
                <w:rFonts w:cs="Arial"/>
                <w:b/>
                <w:szCs w:val="20"/>
              </w:rPr>
            </w:pPr>
            <w:r w:rsidRPr="00641F25">
              <w:rPr>
                <w:rFonts w:cs="Arial"/>
                <w:b/>
                <w:szCs w:val="20"/>
              </w:rPr>
              <w:t>Plan</w:t>
            </w:r>
          </w:p>
        </w:tc>
        <w:tc>
          <w:tcPr>
            <w:tcW w:w="2849" w:type="dxa"/>
            <w:shd w:val="clear" w:color="auto" w:fill="auto"/>
            <w:vAlign w:val="center"/>
          </w:tcPr>
          <w:p w14:paraId="2AE2805C" w14:textId="77777777" w:rsidR="00735147" w:rsidRPr="00641F25" w:rsidRDefault="00735147" w:rsidP="00735147">
            <w:pPr>
              <w:pStyle w:val="BodyText"/>
              <w:spacing w:before="100" w:after="100"/>
              <w:jc w:val="center"/>
              <w:rPr>
                <w:rFonts w:cs="Arial"/>
                <w:b/>
                <w:szCs w:val="20"/>
              </w:rPr>
            </w:pPr>
            <w:r w:rsidRPr="00641F25">
              <w:rPr>
                <w:rFonts w:cs="Arial"/>
                <w:b/>
                <w:szCs w:val="20"/>
              </w:rPr>
              <w:t>Plan ID</w:t>
            </w:r>
          </w:p>
        </w:tc>
        <w:tc>
          <w:tcPr>
            <w:tcW w:w="2849" w:type="dxa"/>
            <w:shd w:val="clear" w:color="auto" w:fill="auto"/>
            <w:vAlign w:val="center"/>
          </w:tcPr>
          <w:p w14:paraId="4E630CB5" w14:textId="77777777" w:rsidR="00735147" w:rsidRPr="00641F25" w:rsidRDefault="00735147" w:rsidP="00735147">
            <w:pPr>
              <w:pStyle w:val="BodyText"/>
              <w:spacing w:before="100" w:after="100"/>
              <w:jc w:val="center"/>
              <w:rPr>
                <w:rFonts w:cs="Arial"/>
                <w:b/>
                <w:szCs w:val="20"/>
              </w:rPr>
            </w:pPr>
            <w:r w:rsidRPr="00641F25">
              <w:rPr>
                <w:rFonts w:cs="Arial"/>
                <w:b/>
                <w:szCs w:val="20"/>
              </w:rPr>
              <w:t>Available</w:t>
            </w:r>
          </w:p>
        </w:tc>
      </w:tr>
      <w:tr w:rsidR="00735147" w:rsidRPr="00641F25" w14:paraId="17562332" w14:textId="77777777" w:rsidTr="00735147">
        <w:trPr>
          <w:trHeight w:val="54"/>
        </w:trPr>
        <w:tc>
          <w:tcPr>
            <w:tcW w:w="2848" w:type="dxa"/>
            <w:shd w:val="clear" w:color="auto" w:fill="auto"/>
            <w:vAlign w:val="center"/>
          </w:tcPr>
          <w:p w14:paraId="07E63265" w14:textId="77777777" w:rsidR="00735147" w:rsidRPr="00641F25" w:rsidRDefault="00735147" w:rsidP="00735147">
            <w:pPr>
              <w:pStyle w:val="BodyText"/>
              <w:spacing w:before="100" w:after="100"/>
              <w:rPr>
                <w:rFonts w:cs="Arial"/>
                <w:szCs w:val="20"/>
              </w:rPr>
            </w:pPr>
            <w:r w:rsidRPr="00641F25">
              <w:rPr>
                <w:rFonts w:cs="Arial"/>
                <w:color w:val="000000"/>
                <w:szCs w:val="20"/>
                <w:lang w:eastAsia="en-AU"/>
              </w:rPr>
              <w:t>$75 My Plan Business Flex</w:t>
            </w:r>
          </w:p>
        </w:tc>
        <w:tc>
          <w:tcPr>
            <w:tcW w:w="2849" w:type="dxa"/>
            <w:shd w:val="clear" w:color="auto" w:fill="auto"/>
            <w:vAlign w:val="center"/>
          </w:tcPr>
          <w:p w14:paraId="2527F6E1" w14:textId="77777777" w:rsidR="00735147" w:rsidRPr="00641F25" w:rsidRDefault="00735147" w:rsidP="00735147">
            <w:pPr>
              <w:pStyle w:val="BodyText"/>
              <w:spacing w:before="100" w:after="100"/>
              <w:jc w:val="center"/>
              <w:rPr>
                <w:rFonts w:cs="Arial"/>
                <w:szCs w:val="20"/>
              </w:rPr>
            </w:pPr>
            <w:r w:rsidRPr="00641F25">
              <w:rPr>
                <w:rFonts w:cs="Arial"/>
                <w:color w:val="000000"/>
                <w:szCs w:val="20"/>
                <w:lang w:eastAsia="en-AU"/>
              </w:rPr>
              <w:t>800719/10567005</w:t>
            </w:r>
          </w:p>
        </w:tc>
        <w:tc>
          <w:tcPr>
            <w:tcW w:w="2849" w:type="dxa"/>
            <w:shd w:val="clear" w:color="auto" w:fill="auto"/>
          </w:tcPr>
          <w:p w14:paraId="0936D355" w14:textId="77777777" w:rsidR="00735147" w:rsidRPr="00641F25" w:rsidRDefault="00735147" w:rsidP="00735147">
            <w:pPr>
              <w:pStyle w:val="BodyText"/>
              <w:spacing w:before="100" w:after="100"/>
              <w:jc w:val="center"/>
              <w:rPr>
                <w:rFonts w:cs="Arial"/>
                <w:szCs w:val="20"/>
              </w:rPr>
            </w:pPr>
            <w:r w:rsidRPr="00641F25">
              <w:rPr>
                <w:rFonts w:cs="Arial"/>
                <w:szCs w:val="20"/>
              </w:rPr>
              <w:t>3 July – 31 August 2017</w:t>
            </w:r>
          </w:p>
        </w:tc>
      </w:tr>
      <w:tr w:rsidR="00735147" w:rsidRPr="00641F25" w14:paraId="0927E972" w14:textId="77777777" w:rsidTr="00735147">
        <w:trPr>
          <w:trHeight w:val="54"/>
        </w:trPr>
        <w:tc>
          <w:tcPr>
            <w:tcW w:w="2848" w:type="dxa"/>
            <w:shd w:val="clear" w:color="auto" w:fill="auto"/>
            <w:vAlign w:val="center"/>
          </w:tcPr>
          <w:p w14:paraId="5E90FB4C" w14:textId="77777777" w:rsidR="00735147" w:rsidRPr="00641F25" w:rsidRDefault="00735147" w:rsidP="00735147">
            <w:pPr>
              <w:pStyle w:val="BodyText"/>
              <w:spacing w:before="100" w:after="100"/>
              <w:rPr>
                <w:rFonts w:cs="Arial"/>
                <w:szCs w:val="20"/>
              </w:rPr>
            </w:pPr>
            <w:r w:rsidRPr="00641F25">
              <w:rPr>
                <w:rFonts w:cs="Arial"/>
                <w:color w:val="000000"/>
                <w:szCs w:val="20"/>
                <w:lang w:eastAsia="en-AU"/>
              </w:rPr>
              <w:t>$75 Business Lease</w:t>
            </w:r>
          </w:p>
        </w:tc>
        <w:tc>
          <w:tcPr>
            <w:tcW w:w="2849" w:type="dxa"/>
            <w:shd w:val="clear" w:color="auto" w:fill="auto"/>
          </w:tcPr>
          <w:p w14:paraId="7B056D0B" w14:textId="77777777" w:rsidR="00735147" w:rsidRPr="00641F25" w:rsidRDefault="00735147" w:rsidP="00735147">
            <w:pPr>
              <w:pStyle w:val="BodyText"/>
              <w:spacing w:before="100" w:after="100"/>
              <w:jc w:val="center"/>
              <w:rPr>
                <w:rFonts w:cs="Arial"/>
                <w:szCs w:val="20"/>
              </w:rPr>
            </w:pPr>
            <w:r w:rsidRPr="00641F25">
              <w:rPr>
                <w:rFonts w:cs="Arial"/>
                <w:color w:val="000000"/>
                <w:szCs w:val="20"/>
                <w:lang w:eastAsia="en-AU"/>
              </w:rPr>
              <w:t>800720/10567015</w:t>
            </w:r>
          </w:p>
        </w:tc>
        <w:tc>
          <w:tcPr>
            <w:tcW w:w="2849" w:type="dxa"/>
            <w:shd w:val="clear" w:color="auto" w:fill="auto"/>
          </w:tcPr>
          <w:p w14:paraId="1A35486B" w14:textId="77777777" w:rsidR="00735147" w:rsidRPr="00641F25" w:rsidRDefault="00735147" w:rsidP="00735147">
            <w:pPr>
              <w:pStyle w:val="BodyText"/>
              <w:spacing w:before="100" w:after="100"/>
              <w:jc w:val="center"/>
              <w:rPr>
                <w:rFonts w:cs="Arial"/>
                <w:szCs w:val="20"/>
              </w:rPr>
            </w:pPr>
            <w:r w:rsidRPr="00641F25">
              <w:rPr>
                <w:rFonts w:cs="Arial"/>
                <w:szCs w:val="20"/>
              </w:rPr>
              <w:t>3 July – 31 August 2017</w:t>
            </w:r>
          </w:p>
        </w:tc>
      </w:tr>
    </w:tbl>
    <w:p w14:paraId="5B337335" w14:textId="77777777" w:rsidR="00735147" w:rsidRPr="00641F25" w:rsidRDefault="00735147" w:rsidP="00735147">
      <w:pPr>
        <w:rPr>
          <w:rFonts w:cs="Arial"/>
          <w:sz w:val="20"/>
          <w:szCs w:val="20"/>
        </w:rPr>
      </w:pPr>
    </w:p>
    <w:p w14:paraId="5FD7AC51" w14:textId="77777777" w:rsidR="00735147" w:rsidRPr="00641F25" w:rsidRDefault="00735147" w:rsidP="00735147">
      <w:pPr>
        <w:pStyle w:val="Heading6"/>
        <w:ind w:left="0" w:firstLine="0"/>
        <w:rPr>
          <w:rFonts w:cs="Arial"/>
          <w:szCs w:val="20"/>
        </w:rPr>
      </w:pPr>
      <w:bookmarkStart w:id="1627" w:name="_Toc481150253"/>
      <w:bookmarkStart w:id="1628" w:name="_Toc481157059"/>
      <w:bookmarkStart w:id="1629" w:name="_Toc489971283"/>
      <w:r w:rsidRPr="00641F25">
        <w:rPr>
          <w:rFonts w:cs="Arial"/>
          <w:szCs w:val="20"/>
        </w:rPr>
        <w:t>Eligibi</w:t>
      </w:r>
      <w:r w:rsidRPr="00641F25">
        <w:rPr>
          <w:rStyle w:val="Heading3Char"/>
          <w:rFonts w:cs="Arial"/>
          <w:szCs w:val="20"/>
        </w:rPr>
        <w:t>l</w:t>
      </w:r>
      <w:r w:rsidRPr="00641F25">
        <w:rPr>
          <w:rFonts w:cs="Arial"/>
          <w:szCs w:val="20"/>
        </w:rPr>
        <w:t>ity</w:t>
      </w:r>
      <w:bookmarkEnd w:id="1627"/>
      <w:bookmarkEnd w:id="1628"/>
      <w:bookmarkEnd w:id="1629"/>
    </w:p>
    <w:p w14:paraId="6FFA8720" w14:textId="77777777" w:rsidR="00735147" w:rsidRPr="00641F25" w:rsidRDefault="00735147" w:rsidP="00735147">
      <w:pPr>
        <w:pStyle w:val="BodyText"/>
        <w:ind w:left="709"/>
        <w:rPr>
          <w:rFonts w:cs="Arial"/>
          <w:szCs w:val="20"/>
        </w:rPr>
      </w:pPr>
      <w:r w:rsidRPr="00641F25">
        <w:rPr>
          <w:rFonts w:cs="Arial"/>
          <w:szCs w:val="20"/>
        </w:rPr>
        <w:t xml:space="preserve">These plans are available to mobile customers connecting to the </w:t>
      </w:r>
      <w:r w:rsidRPr="00641F25">
        <w:rPr>
          <w:rFonts w:cs="Arial"/>
          <w:i/>
          <w:szCs w:val="20"/>
        </w:rPr>
        <w:t xml:space="preserve">service </w:t>
      </w:r>
      <w:r w:rsidRPr="00641F25">
        <w:rPr>
          <w:rFonts w:cs="Arial"/>
          <w:szCs w:val="20"/>
        </w:rPr>
        <w:t>who pass Optus' credit assessment and who have entered into a</w:t>
      </w:r>
      <w:r w:rsidRPr="00641F25">
        <w:rPr>
          <w:rFonts w:cs="Arial"/>
          <w:i/>
          <w:szCs w:val="20"/>
        </w:rPr>
        <w:t xml:space="preserve"> mobile equipment lease plan</w:t>
      </w:r>
      <w:r w:rsidRPr="00641F25">
        <w:rPr>
          <w:rFonts w:cs="Arial"/>
          <w:szCs w:val="20"/>
        </w:rPr>
        <w:t xml:space="preserve"> (Appendix DDD) with </w:t>
      </w:r>
      <w:r w:rsidRPr="00641F25">
        <w:rPr>
          <w:rFonts w:cs="Arial"/>
          <w:i/>
          <w:szCs w:val="20"/>
        </w:rPr>
        <w:t>us</w:t>
      </w:r>
      <w:r w:rsidRPr="00641F25">
        <w:rPr>
          <w:rFonts w:cs="Arial"/>
          <w:szCs w:val="20"/>
        </w:rPr>
        <w:t xml:space="preserve"> for a Samsung Galaxy S8 or S8+ and wish to connect the leased </w:t>
      </w:r>
      <w:r w:rsidRPr="00641F25">
        <w:rPr>
          <w:rFonts w:cs="Arial"/>
          <w:i/>
          <w:szCs w:val="20"/>
        </w:rPr>
        <w:t>mobile device to our network.</w:t>
      </w:r>
    </w:p>
    <w:p w14:paraId="791EBF72" w14:textId="77777777" w:rsidR="00735147" w:rsidRPr="00641F25" w:rsidRDefault="00735147" w:rsidP="00735147">
      <w:pPr>
        <w:pStyle w:val="Heading6"/>
        <w:tabs>
          <w:tab w:val="clear" w:pos="720"/>
        </w:tabs>
        <w:ind w:left="0" w:firstLine="0"/>
        <w:rPr>
          <w:rFonts w:cs="Arial"/>
          <w:szCs w:val="20"/>
        </w:rPr>
      </w:pPr>
      <w:bookmarkStart w:id="1630" w:name="_Toc481150254"/>
      <w:bookmarkStart w:id="1631" w:name="_Toc481157060"/>
      <w:bookmarkStart w:id="1632" w:name="_Toc489971284"/>
      <w:r w:rsidRPr="00641F25">
        <w:rPr>
          <w:rFonts w:cs="Arial"/>
          <w:snapToGrid w:val="0"/>
          <w:szCs w:val="20"/>
        </w:rPr>
        <w:t>Minimum Term</w:t>
      </w:r>
      <w:bookmarkEnd w:id="1630"/>
      <w:bookmarkEnd w:id="1631"/>
      <w:bookmarkEnd w:id="1632"/>
    </w:p>
    <w:p w14:paraId="2BA37D1D" w14:textId="77777777" w:rsidR="00735147" w:rsidRPr="00641F25" w:rsidRDefault="00735147" w:rsidP="00735147">
      <w:pPr>
        <w:pStyle w:val="BodyText"/>
        <w:ind w:left="709"/>
        <w:rPr>
          <w:rFonts w:cs="Arial"/>
          <w:szCs w:val="20"/>
        </w:rPr>
      </w:pPr>
      <w:r w:rsidRPr="00641F25">
        <w:rPr>
          <w:rFonts w:cs="Arial"/>
          <w:szCs w:val="20"/>
        </w:rPr>
        <w:t xml:space="preserve">These </w:t>
      </w:r>
      <w:r w:rsidRPr="00641F25">
        <w:rPr>
          <w:rFonts w:cs="Arial"/>
          <w:i/>
          <w:szCs w:val="20"/>
        </w:rPr>
        <w:t>plans</w:t>
      </w:r>
      <w:r w:rsidRPr="00641F25">
        <w:rPr>
          <w:rFonts w:cs="Arial"/>
          <w:szCs w:val="20"/>
        </w:rPr>
        <w:t xml:space="preserve"> have</w:t>
      </w:r>
      <w:r w:rsidRPr="00641F25">
        <w:rPr>
          <w:rFonts w:cs="Arial"/>
          <w:i/>
          <w:szCs w:val="20"/>
        </w:rPr>
        <w:t xml:space="preserve"> </w:t>
      </w:r>
      <w:r w:rsidRPr="00641F25">
        <w:rPr>
          <w:rFonts w:cs="Arial"/>
          <w:szCs w:val="20"/>
        </w:rPr>
        <w:t xml:space="preserve">a </w:t>
      </w:r>
      <w:r w:rsidRPr="00641F25">
        <w:rPr>
          <w:rFonts w:cs="Arial"/>
          <w:i/>
          <w:szCs w:val="20"/>
        </w:rPr>
        <w:t>fixed length agreement</w:t>
      </w:r>
      <w:r w:rsidRPr="00641F25">
        <w:rPr>
          <w:rFonts w:cs="Arial"/>
          <w:szCs w:val="20"/>
        </w:rPr>
        <w:t xml:space="preserve"> with a 24 month </w:t>
      </w:r>
      <w:r w:rsidRPr="00641F25">
        <w:rPr>
          <w:rFonts w:cs="Arial"/>
          <w:i/>
          <w:szCs w:val="20"/>
        </w:rPr>
        <w:t>minimum term.</w:t>
      </w:r>
    </w:p>
    <w:p w14:paraId="3A038F63" w14:textId="77777777" w:rsidR="00735147" w:rsidRPr="00641F25" w:rsidRDefault="00735147" w:rsidP="00735147">
      <w:pPr>
        <w:pStyle w:val="Heading6"/>
        <w:tabs>
          <w:tab w:val="clear" w:pos="720"/>
        </w:tabs>
        <w:ind w:left="0" w:firstLine="0"/>
        <w:rPr>
          <w:rFonts w:cs="Arial"/>
          <w:b/>
          <w:szCs w:val="20"/>
        </w:rPr>
      </w:pPr>
      <w:bookmarkStart w:id="1633" w:name="_Toc481150255"/>
      <w:bookmarkStart w:id="1634" w:name="_Toc481157061"/>
      <w:bookmarkStart w:id="1635" w:name="_Toc489971285"/>
      <w:r w:rsidRPr="00641F25">
        <w:rPr>
          <w:rFonts w:cs="Arial"/>
          <w:szCs w:val="20"/>
        </w:rPr>
        <w:t xml:space="preserve">What </w:t>
      </w:r>
      <w:r w:rsidRPr="00641F25">
        <w:rPr>
          <w:rFonts w:cs="Arial"/>
          <w:i/>
          <w:szCs w:val="20"/>
        </w:rPr>
        <w:t>you</w:t>
      </w:r>
      <w:r w:rsidRPr="00641F25">
        <w:rPr>
          <w:rFonts w:cs="Arial"/>
          <w:szCs w:val="20"/>
        </w:rPr>
        <w:t xml:space="preserve"> have to pay </w:t>
      </w:r>
      <w:r w:rsidRPr="00641F25">
        <w:rPr>
          <w:rFonts w:cs="Arial"/>
          <w:i/>
          <w:szCs w:val="20"/>
        </w:rPr>
        <w:t>us</w:t>
      </w:r>
      <w:bookmarkEnd w:id="1633"/>
      <w:bookmarkEnd w:id="1634"/>
      <w:bookmarkEnd w:id="1635"/>
    </w:p>
    <w:p w14:paraId="35A0983D" w14:textId="77777777" w:rsidR="00735147" w:rsidRPr="00641F25" w:rsidRDefault="00735147" w:rsidP="00735147">
      <w:pPr>
        <w:pStyle w:val="Heading7"/>
        <w:rPr>
          <w:rFonts w:cs="Arial"/>
          <w:szCs w:val="20"/>
        </w:rPr>
      </w:pPr>
      <w:r w:rsidRPr="00641F25">
        <w:rPr>
          <w:rFonts w:cs="Arial"/>
          <w:i/>
          <w:szCs w:val="20"/>
        </w:rPr>
        <w:t>You</w:t>
      </w:r>
      <w:r w:rsidRPr="00641F25">
        <w:rPr>
          <w:rFonts w:cs="Arial"/>
          <w:szCs w:val="20"/>
        </w:rPr>
        <w:t xml:space="preserve"> must pay </w:t>
      </w:r>
      <w:r w:rsidRPr="00641F25">
        <w:rPr>
          <w:rFonts w:cs="Arial"/>
          <w:i/>
          <w:szCs w:val="20"/>
        </w:rPr>
        <w:t>us</w:t>
      </w:r>
      <w:r w:rsidRPr="00641F25">
        <w:rPr>
          <w:rFonts w:cs="Arial"/>
          <w:szCs w:val="20"/>
        </w:rPr>
        <w:t xml:space="preserve"> for use of the </w:t>
      </w:r>
      <w:r w:rsidRPr="00641F25">
        <w:rPr>
          <w:rFonts w:cs="Arial"/>
          <w:i/>
          <w:szCs w:val="20"/>
        </w:rPr>
        <w:t>service</w:t>
      </w:r>
      <w:r w:rsidRPr="00641F25">
        <w:rPr>
          <w:rFonts w:cs="Arial"/>
          <w:szCs w:val="20"/>
        </w:rPr>
        <w:t xml:space="preserve"> at the rates set out in Section 1 of this </w:t>
      </w:r>
      <w:r w:rsidRPr="00641F25">
        <w:rPr>
          <w:rFonts w:cs="Arial"/>
          <w:i/>
          <w:szCs w:val="20"/>
        </w:rPr>
        <w:t>standard pricing table</w:t>
      </w:r>
      <w:r w:rsidRPr="00641F25">
        <w:rPr>
          <w:rFonts w:cs="Arial"/>
          <w:szCs w:val="20"/>
        </w:rPr>
        <w:t xml:space="preserve"> and for value added service features at the rates set out in </w:t>
      </w:r>
      <w:hyperlink r:id="rId740" w:history="1">
        <w:r w:rsidRPr="00641F25">
          <w:rPr>
            <w:rStyle w:val="Hyperlink"/>
            <w:rFonts w:cs="Arial"/>
            <w:i/>
            <w:szCs w:val="20"/>
          </w:rPr>
          <w:t>Appendix Y Value Added Service Features</w:t>
        </w:r>
        <w:r w:rsidRPr="00641F25">
          <w:rPr>
            <w:rStyle w:val="Hyperlink"/>
            <w:rFonts w:cs="Arial"/>
            <w:szCs w:val="20"/>
          </w:rPr>
          <w:t>.</w:t>
        </w:r>
      </w:hyperlink>
      <w:r w:rsidRPr="00641F25">
        <w:rPr>
          <w:rFonts w:cs="Arial"/>
          <w:i/>
          <w:szCs w:val="20"/>
        </w:rPr>
        <w:t xml:space="preserve">       </w:t>
      </w:r>
    </w:p>
    <w:p w14:paraId="6CFD3CBE" w14:textId="77777777" w:rsidR="00735147" w:rsidRPr="00641F25" w:rsidRDefault="00735147" w:rsidP="00735147">
      <w:pPr>
        <w:pStyle w:val="Heading7"/>
        <w:rPr>
          <w:rFonts w:cs="Arial"/>
          <w:szCs w:val="20"/>
        </w:rPr>
      </w:pPr>
      <w:r w:rsidRPr="00641F25">
        <w:rPr>
          <w:rFonts w:cs="Arial"/>
          <w:szCs w:val="20"/>
        </w:rPr>
        <w:t>If there is a flagfall for a particular call type, the charge for these calls is the flagfall amount plus the relevant rate for the call multiplied by the duration of the call.</w:t>
      </w:r>
    </w:p>
    <w:p w14:paraId="4A102408" w14:textId="77777777" w:rsidR="00735147" w:rsidRPr="00641F25" w:rsidRDefault="00735147" w:rsidP="00735147">
      <w:pPr>
        <w:pStyle w:val="Heading7"/>
        <w:rPr>
          <w:rFonts w:cs="Arial"/>
          <w:b/>
          <w:szCs w:val="20"/>
        </w:rPr>
      </w:pPr>
      <w:r w:rsidRPr="00641F25">
        <w:rPr>
          <w:rFonts w:cs="Arial"/>
          <w:b/>
          <w:szCs w:val="20"/>
        </w:rPr>
        <w:t xml:space="preserve">Minimum Monthly Charge </w:t>
      </w:r>
    </w:p>
    <w:p w14:paraId="68432D08" w14:textId="77777777" w:rsidR="00735147" w:rsidRPr="00641F25" w:rsidRDefault="00735147" w:rsidP="00735147">
      <w:pPr>
        <w:pStyle w:val="Heading8"/>
        <w:rPr>
          <w:rFonts w:cs="Arial"/>
          <w:szCs w:val="20"/>
        </w:rPr>
      </w:pPr>
      <w:r w:rsidRPr="00641F25">
        <w:rPr>
          <w:rFonts w:cs="Arial"/>
          <w:szCs w:val="20"/>
        </w:rPr>
        <w:t xml:space="preserve">Each plan has a Minimum Monthly Charge amount that </w:t>
      </w:r>
      <w:r w:rsidRPr="00641F25">
        <w:rPr>
          <w:rFonts w:cs="Arial"/>
          <w:i/>
          <w:szCs w:val="20"/>
        </w:rPr>
        <w:t>you</w:t>
      </w:r>
      <w:r w:rsidRPr="00641F25">
        <w:rPr>
          <w:rFonts w:cs="Arial"/>
          <w:szCs w:val="20"/>
        </w:rPr>
        <w:t xml:space="preserve"> must pay </w:t>
      </w:r>
      <w:r w:rsidRPr="00641F25">
        <w:rPr>
          <w:rFonts w:cs="Arial"/>
          <w:i/>
          <w:szCs w:val="20"/>
        </w:rPr>
        <w:t>us</w:t>
      </w:r>
      <w:r w:rsidRPr="00641F25">
        <w:rPr>
          <w:rFonts w:cs="Arial"/>
          <w:szCs w:val="20"/>
        </w:rPr>
        <w:t xml:space="preserve"> each month as set out in Table 1 below</w:t>
      </w:r>
    </w:p>
    <w:p w14:paraId="74237BD9" w14:textId="77777777" w:rsidR="00735147" w:rsidRPr="00641F25" w:rsidRDefault="00735147" w:rsidP="00735147">
      <w:pPr>
        <w:pStyle w:val="Heading8"/>
        <w:rPr>
          <w:rFonts w:cs="Arial"/>
          <w:szCs w:val="20"/>
        </w:rPr>
      </w:pPr>
      <w:r w:rsidRPr="00641F25">
        <w:rPr>
          <w:rFonts w:cs="Arial"/>
          <w:i/>
          <w:szCs w:val="20"/>
        </w:rPr>
        <w:t xml:space="preserve">You must </w:t>
      </w:r>
      <w:r w:rsidRPr="00641F25">
        <w:rPr>
          <w:rFonts w:cs="Arial"/>
          <w:szCs w:val="20"/>
        </w:rPr>
        <w:t xml:space="preserve">lease a Samsung Galaxy S8 or S8+ </w:t>
      </w:r>
      <w:r w:rsidRPr="00641F25">
        <w:rPr>
          <w:rFonts w:cs="Arial"/>
          <w:i/>
          <w:szCs w:val="20"/>
        </w:rPr>
        <w:t>mobile phone</w:t>
      </w:r>
      <w:r w:rsidRPr="00641F25">
        <w:rPr>
          <w:rFonts w:cs="Arial"/>
          <w:szCs w:val="20"/>
        </w:rPr>
        <w:t xml:space="preserve"> for the </w:t>
      </w:r>
      <w:r w:rsidRPr="00641F25">
        <w:rPr>
          <w:rFonts w:cs="Arial"/>
          <w:i/>
          <w:szCs w:val="20"/>
        </w:rPr>
        <w:t>minimum term</w:t>
      </w:r>
      <w:r w:rsidRPr="00641F25">
        <w:rPr>
          <w:rFonts w:cs="Arial"/>
          <w:szCs w:val="20"/>
        </w:rPr>
        <w:t xml:space="preserve"> under a </w:t>
      </w:r>
      <w:r w:rsidRPr="00641F25">
        <w:rPr>
          <w:rFonts w:cs="Arial"/>
          <w:i/>
          <w:szCs w:val="20"/>
        </w:rPr>
        <w:t>mobile equipment lease plan</w:t>
      </w:r>
      <w:r w:rsidRPr="00641F25">
        <w:rPr>
          <w:rFonts w:cs="Arial"/>
          <w:szCs w:val="20"/>
        </w:rPr>
        <w:t xml:space="preserve"> (set out in </w:t>
      </w:r>
      <w:r w:rsidRPr="00641F25">
        <w:rPr>
          <w:rFonts w:cs="Arial"/>
          <w:i/>
          <w:szCs w:val="20"/>
        </w:rPr>
        <w:t>Appendix DDD</w:t>
      </w:r>
      <w:r w:rsidRPr="00641F25">
        <w:rPr>
          <w:rFonts w:cs="Arial"/>
          <w:szCs w:val="20"/>
        </w:rPr>
        <w:t xml:space="preserve">) on a 24 month </w:t>
      </w:r>
      <w:r w:rsidRPr="00641F25">
        <w:rPr>
          <w:rFonts w:cs="Arial"/>
          <w:i/>
          <w:szCs w:val="20"/>
        </w:rPr>
        <w:t>fixed-length agreement</w:t>
      </w:r>
      <w:r w:rsidRPr="00641F25">
        <w:rPr>
          <w:rFonts w:cs="Arial"/>
          <w:szCs w:val="20"/>
        </w:rPr>
        <w:t xml:space="preserve"> then you must pay any monthly </w:t>
      </w:r>
      <w:r w:rsidRPr="00641F25">
        <w:rPr>
          <w:rFonts w:cs="Arial"/>
          <w:i/>
          <w:szCs w:val="20"/>
        </w:rPr>
        <w:t>mobile device</w:t>
      </w:r>
      <w:r w:rsidRPr="00641F25">
        <w:rPr>
          <w:rFonts w:cs="Arial"/>
          <w:szCs w:val="20"/>
        </w:rPr>
        <w:t xml:space="preserve"> charges</w:t>
      </w:r>
    </w:p>
    <w:p w14:paraId="10531BE9" w14:textId="77777777" w:rsidR="00735147" w:rsidRPr="00641F25" w:rsidRDefault="00735147" w:rsidP="00735147">
      <w:pPr>
        <w:pStyle w:val="Heading6"/>
        <w:tabs>
          <w:tab w:val="clear" w:pos="720"/>
        </w:tabs>
        <w:ind w:left="0" w:firstLine="0"/>
        <w:rPr>
          <w:rFonts w:cs="Arial"/>
          <w:snapToGrid w:val="0"/>
          <w:szCs w:val="20"/>
        </w:rPr>
      </w:pPr>
      <w:bookmarkStart w:id="1636" w:name="_Toc481150256"/>
      <w:bookmarkStart w:id="1637" w:name="_Toc481157062"/>
      <w:bookmarkStart w:id="1638" w:name="_Toc489971286"/>
      <w:r w:rsidRPr="00641F25">
        <w:rPr>
          <w:rFonts w:cs="Arial"/>
          <w:snapToGrid w:val="0"/>
          <w:szCs w:val="20"/>
        </w:rPr>
        <w:t>How these plans work</w:t>
      </w:r>
      <w:bookmarkEnd w:id="1636"/>
      <w:bookmarkEnd w:id="1637"/>
      <w:bookmarkEnd w:id="1638"/>
      <w:r w:rsidRPr="00641F25">
        <w:rPr>
          <w:rFonts w:cs="Arial"/>
          <w:snapToGrid w:val="0"/>
          <w:szCs w:val="20"/>
        </w:rPr>
        <w:t xml:space="preserve"> </w:t>
      </w:r>
    </w:p>
    <w:p w14:paraId="5F6278A8" w14:textId="77777777" w:rsidR="00735147" w:rsidRPr="00641F25" w:rsidRDefault="00735147" w:rsidP="00735147">
      <w:pPr>
        <w:pStyle w:val="Heading7"/>
        <w:rPr>
          <w:rFonts w:cs="Arial"/>
          <w:szCs w:val="20"/>
        </w:rPr>
      </w:pPr>
      <w:r w:rsidRPr="00641F25">
        <w:rPr>
          <w:rFonts w:cs="Arial"/>
          <w:szCs w:val="20"/>
        </w:rPr>
        <w:t>Each plan has unlimited minutes to use on standard national calls to landlines and mobiles, 13/1300 numbers and voicemail retrievals and Included Data (for mobile internet use) to share with other services on a My Plan Plus</w:t>
      </w:r>
      <w:r w:rsidRPr="00641F25">
        <w:rPr>
          <w:rFonts w:cs="Arial"/>
          <w:color w:val="000000"/>
          <w:szCs w:val="20"/>
          <w:lang w:eastAsia="en-AU"/>
        </w:rPr>
        <w:t xml:space="preserve">, </w:t>
      </w:r>
      <w:r w:rsidRPr="00641F25">
        <w:rPr>
          <w:rFonts w:cs="Arial"/>
          <w:szCs w:val="20"/>
          <w:lang w:eastAsia="en-AU"/>
        </w:rPr>
        <w:t>My Plan Plus SIM Only, My Plan Plus 12M SIM Only, My Plan Business (including Tech Fund), My Plan Business SIM, My Plan Business 12M SIM, Business Plan, My Plan Flex, My Plan Business Flex, Business Lease, My Mobile Broadband</w:t>
      </w:r>
      <w:r w:rsidRPr="00641F25">
        <w:rPr>
          <w:rFonts w:cs="Arial"/>
          <w:color w:val="000000"/>
          <w:szCs w:val="20"/>
          <w:lang w:eastAsia="en-AU"/>
        </w:rPr>
        <w:t xml:space="preserve"> Plus, Mobile Broadband Business</w:t>
      </w:r>
      <w:r w:rsidRPr="00641F25">
        <w:rPr>
          <w:rFonts w:cs="Arial"/>
          <w:szCs w:val="20"/>
        </w:rPr>
        <w:t xml:space="preserve"> or Shared Data Plan on the same account.</w:t>
      </w:r>
    </w:p>
    <w:p w14:paraId="5FBBBC04" w14:textId="77777777" w:rsidR="00735147" w:rsidRPr="00641F25" w:rsidRDefault="00735147" w:rsidP="00735147">
      <w:pPr>
        <w:pStyle w:val="Heading7"/>
        <w:rPr>
          <w:rFonts w:cs="Arial"/>
          <w:szCs w:val="20"/>
        </w:rPr>
      </w:pPr>
      <w:r w:rsidRPr="00641F25">
        <w:rPr>
          <w:rFonts w:cs="Arial"/>
          <w:szCs w:val="20"/>
        </w:rPr>
        <w:t xml:space="preserve">These plans also include unlimited standard national SMS/MMS and unlimited standard International SMS/MMS to selected countries. These plans also have an amount of included international minutes to use on standard international calls to selected countries. </w:t>
      </w:r>
    </w:p>
    <w:p w14:paraId="4028D060" w14:textId="77777777" w:rsidR="00735147" w:rsidRPr="00641F25" w:rsidRDefault="00735147" w:rsidP="00735147">
      <w:pPr>
        <w:pStyle w:val="Heading7"/>
        <w:rPr>
          <w:rFonts w:cs="Arial"/>
          <w:szCs w:val="20"/>
        </w:rPr>
      </w:pPr>
      <w:r w:rsidRPr="00641F25">
        <w:rPr>
          <w:rFonts w:cs="Arial"/>
          <w:szCs w:val="20"/>
        </w:rPr>
        <w:t xml:space="preserve">Data usage is calculated in one kilobyte increments. International minutes are billed in one minute increments. </w:t>
      </w:r>
    </w:p>
    <w:p w14:paraId="78CED46E" w14:textId="77777777" w:rsidR="00735147" w:rsidRPr="00641F25" w:rsidRDefault="00735147" w:rsidP="00735147">
      <w:pPr>
        <w:pStyle w:val="Heading7"/>
        <w:rPr>
          <w:rFonts w:cs="Arial"/>
          <w:szCs w:val="20"/>
        </w:rPr>
      </w:pPr>
      <w:r w:rsidRPr="00641F25">
        <w:rPr>
          <w:rFonts w:cs="Arial"/>
          <w:szCs w:val="20"/>
        </w:rPr>
        <w:t xml:space="preserve">If </w:t>
      </w:r>
      <w:r w:rsidRPr="00641F25">
        <w:rPr>
          <w:rFonts w:cs="Arial"/>
          <w:i/>
          <w:szCs w:val="20"/>
        </w:rPr>
        <w:t>you</w:t>
      </w:r>
      <w:r w:rsidRPr="00641F25">
        <w:rPr>
          <w:rFonts w:cs="Arial"/>
          <w:szCs w:val="20"/>
        </w:rPr>
        <w:t xml:space="preserve"> exceed </w:t>
      </w:r>
      <w:r w:rsidRPr="00641F25">
        <w:rPr>
          <w:rFonts w:cs="Arial"/>
          <w:i/>
          <w:szCs w:val="20"/>
        </w:rPr>
        <w:t>your</w:t>
      </w:r>
      <w:r w:rsidRPr="00641F25">
        <w:rPr>
          <w:rFonts w:cs="Arial"/>
          <w:szCs w:val="20"/>
        </w:rPr>
        <w:t xml:space="preserve"> included shareable data </w:t>
      </w:r>
      <w:r w:rsidRPr="00641F25">
        <w:rPr>
          <w:rFonts w:cs="Arial"/>
          <w:i/>
          <w:szCs w:val="20"/>
        </w:rPr>
        <w:t>you'll</w:t>
      </w:r>
      <w:r w:rsidRPr="00641F25">
        <w:rPr>
          <w:rFonts w:cs="Arial"/>
          <w:szCs w:val="20"/>
        </w:rPr>
        <w:t xml:space="preserve"> automatically be charged $10 for each additional 1GB of data ("</w:t>
      </w:r>
      <w:r w:rsidRPr="00641F25">
        <w:rPr>
          <w:rFonts w:cs="Arial"/>
          <w:b/>
          <w:szCs w:val="20"/>
        </w:rPr>
        <w:t>Additional Data</w:t>
      </w:r>
      <w:r w:rsidRPr="00641F25">
        <w:rPr>
          <w:rFonts w:cs="Arial"/>
          <w:szCs w:val="20"/>
        </w:rPr>
        <w:t xml:space="preserve">") up to 150GB of extra data per account each month. </w:t>
      </w:r>
      <w:r w:rsidRPr="00641F25">
        <w:rPr>
          <w:rFonts w:cs="Arial"/>
          <w:i/>
          <w:szCs w:val="20"/>
        </w:rPr>
        <w:t>Your</w:t>
      </w:r>
      <w:r w:rsidRPr="00641F25">
        <w:rPr>
          <w:rFonts w:cs="Arial"/>
          <w:szCs w:val="20"/>
        </w:rPr>
        <w:t xml:space="preserve"> service/s may then be restricted or we may continue to charge </w:t>
      </w:r>
      <w:r w:rsidRPr="00641F25">
        <w:rPr>
          <w:rFonts w:cs="Arial"/>
          <w:i/>
          <w:szCs w:val="20"/>
        </w:rPr>
        <w:t>you</w:t>
      </w:r>
      <w:r w:rsidRPr="00641F25">
        <w:rPr>
          <w:rFonts w:cs="Arial"/>
          <w:szCs w:val="20"/>
        </w:rPr>
        <w:t xml:space="preserve"> at these rates.</w:t>
      </w:r>
    </w:p>
    <w:p w14:paraId="31B86CD5" w14:textId="77777777" w:rsidR="00735147" w:rsidRPr="00641F25" w:rsidRDefault="00735147" w:rsidP="00735147">
      <w:pPr>
        <w:pStyle w:val="Heading7"/>
        <w:rPr>
          <w:rFonts w:cs="Arial"/>
          <w:szCs w:val="20"/>
        </w:rPr>
      </w:pPr>
      <w:r w:rsidRPr="00641F25">
        <w:rPr>
          <w:rFonts w:cs="Arial"/>
          <w:szCs w:val="20"/>
        </w:rPr>
        <w:t xml:space="preserve">Any unused portion of </w:t>
      </w:r>
      <w:r w:rsidRPr="00641F25">
        <w:rPr>
          <w:rFonts w:cs="Arial"/>
          <w:i/>
          <w:szCs w:val="20"/>
        </w:rPr>
        <w:t>your</w:t>
      </w:r>
      <w:r w:rsidRPr="00641F25">
        <w:rPr>
          <w:rFonts w:cs="Arial"/>
          <w:szCs w:val="20"/>
        </w:rPr>
        <w:t xml:space="preserve"> </w:t>
      </w:r>
      <w:r w:rsidRPr="00641F25">
        <w:rPr>
          <w:rFonts w:cs="Arial"/>
          <w:i/>
          <w:szCs w:val="20"/>
        </w:rPr>
        <w:t>plan's</w:t>
      </w:r>
      <w:r w:rsidRPr="00641F25">
        <w:rPr>
          <w:rFonts w:cs="Arial"/>
          <w:szCs w:val="20"/>
        </w:rPr>
        <w:t xml:space="preserve"> Included or Additional Data expires at the end of each month and does not roll over into the next month.</w:t>
      </w:r>
    </w:p>
    <w:p w14:paraId="0B33FE60" w14:textId="77777777" w:rsidR="00735147" w:rsidRPr="00641F25" w:rsidRDefault="00735147" w:rsidP="00735147">
      <w:pPr>
        <w:pStyle w:val="Heading7"/>
        <w:rPr>
          <w:rFonts w:cs="Arial"/>
          <w:szCs w:val="20"/>
        </w:rPr>
      </w:pPr>
      <w:r w:rsidRPr="00641F25">
        <w:rPr>
          <w:rFonts w:cs="Arial"/>
          <w:i/>
          <w:szCs w:val="20"/>
        </w:rPr>
        <w:lastRenderedPageBreak/>
        <w:t>You</w:t>
      </w:r>
      <w:r w:rsidRPr="00641F25">
        <w:rPr>
          <w:rFonts w:cs="Arial"/>
          <w:szCs w:val="20"/>
        </w:rPr>
        <w:t xml:space="preserve"> must pay </w:t>
      </w:r>
      <w:r w:rsidRPr="00641F25">
        <w:rPr>
          <w:rFonts w:cs="Arial"/>
          <w:i/>
          <w:szCs w:val="20"/>
        </w:rPr>
        <w:t>us</w:t>
      </w:r>
      <w:r w:rsidRPr="00641F25">
        <w:rPr>
          <w:rFonts w:cs="Arial"/>
          <w:szCs w:val="20"/>
        </w:rPr>
        <w:t xml:space="preserve"> for use of any services that are not included in </w:t>
      </w:r>
      <w:r w:rsidRPr="00641F25">
        <w:rPr>
          <w:rFonts w:cs="Arial"/>
          <w:i/>
          <w:szCs w:val="20"/>
        </w:rPr>
        <w:t>your</w:t>
      </w:r>
      <w:r w:rsidRPr="00641F25">
        <w:rPr>
          <w:rFonts w:cs="Arial"/>
          <w:szCs w:val="20"/>
        </w:rPr>
        <w:t xml:space="preserve"> </w:t>
      </w:r>
      <w:r w:rsidRPr="00641F25">
        <w:rPr>
          <w:rFonts w:cs="Arial"/>
          <w:i/>
          <w:szCs w:val="20"/>
        </w:rPr>
        <w:t>pricing plan's</w:t>
      </w:r>
      <w:r w:rsidRPr="00641F25">
        <w:rPr>
          <w:rFonts w:cs="Arial"/>
          <w:szCs w:val="20"/>
        </w:rPr>
        <w:t xml:space="preserve"> inclusions, examples of which are set out in Table 2 below.</w:t>
      </w:r>
    </w:p>
    <w:p w14:paraId="64B257EE" w14:textId="77777777" w:rsidR="00735147" w:rsidRPr="00641F25" w:rsidRDefault="00735147" w:rsidP="00735147">
      <w:pPr>
        <w:pStyle w:val="Heading6"/>
        <w:tabs>
          <w:tab w:val="clear" w:pos="720"/>
        </w:tabs>
        <w:ind w:left="0" w:firstLine="0"/>
        <w:rPr>
          <w:rFonts w:cs="Arial"/>
          <w:snapToGrid w:val="0"/>
          <w:szCs w:val="20"/>
        </w:rPr>
      </w:pPr>
      <w:bookmarkStart w:id="1639" w:name="_Toc481150257"/>
      <w:bookmarkStart w:id="1640" w:name="_Toc481157063"/>
      <w:bookmarkStart w:id="1641" w:name="_Toc489971287"/>
      <w:r w:rsidRPr="00641F25">
        <w:rPr>
          <w:rFonts w:cs="Arial"/>
          <w:snapToGrid w:val="0"/>
          <w:szCs w:val="20"/>
        </w:rPr>
        <w:t>Plan Changes</w:t>
      </w:r>
      <w:bookmarkEnd w:id="1639"/>
      <w:bookmarkEnd w:id="1640"/>
      <w:bookmarkEnd w:id="1641"/>
    </w:p>
    <w:p w14:paraId="28E42200" w14:textId="77777777" w:rsidR="00735147" w:rsidRPr="00641F25" w:rsidRDefault="00735147" w:rsidP="00735147">
      <w:pPr>
        <w:ind w:left="709"/>
        <w:rPr>
          <w:rFonts w:cs="Arial"/>
          <w:sz w:val="20"/>
          <w:szCs w:val="20"/>
        </w:rPr>
      </w:pPr>
      <w:r w:rsidRPr="00641F25">
        <w:rPr>
          <w:rFonts w:cs="Arial"/>
          <w:sz w:val="20"/>
          <w:szCs w:val="20"/>
        </w:rPr>
        <w:t xml:space="preserve">Any </w:t>
      </w:r>
      <w:r w:rsidRPr="00641F25">
        <w:rPr>
          <w:rFonts w:cs="Arial"/>
          <w:i/>
          <w:sz w:val="20"/>
          <w:szCs w:val="20"/>
        </w:rPr>
        <w:t xml:space="preserve">pricing plan </w:t>
      </w:r>
      <w:r w:rsidRPr="00641F25">
        <w:rPr>
          <w:rFonts w:cs="Arial"/>
          <w:sz w:val="20"/>
          <w:szCs w:val="20"/>
        </w:rPr>
        <w:t xml:space="preserve">changes can only be made within the </w:t>
      </w:r>
      <w:r w:rsidRPr="00641F25">
        <w:rPr>
          <w:rFonts w:cs="Arial"/>
          <w:i/>
          <w:sz w:val="20"/>
          <w:szCs w:val="20"/>
        </w:rPr>
        <w:t>pricing plans</w:t>
      </w:r>
      <w:r w:rsidRPr="00641F25">
        <w:rPr>
          <w:rFonts w:cs="Arial"/>
          <w:sz w:val="20"/>
          <w:szCs w:val="20"/>
        </w:rPr>
        <w:t xml:space="preserve">. </w:t>
      </w:r>
      <w:r w:rsidRPr="00641F25">
        <w:rPr>
          <w:rFonts w:cs="Arial"/>
          <w:i/>
          <w:sz w:val="20"/>
          <w:szCs w:val="20"/>
        </w:rPr>
        <w:t>You</w:t>
      </w:r>
      <w:r w:rsidRPr="00641F25">
        <w:rPr>
          <w:rFonts w:cs="Arial"/>
          <w:sz w:val="20"/>
          <w:szCs w:val="20"/>
        </w:rPr>
        <w:t xml:space="preserve"> can change </w:t>
      </w:r>
      <w:r w:rsidRPr="00641F25">
        <w:rPr>
          <w:rFonts w:cs="Arial"/>
          <w:i/>
          <w:sz w:val="20"/>
          <w:szCs w:val="20"/>
        </w:rPr>
        <w:t>your</w:t>
      </w:r>
      <w:r w:rsidRPr="00641F25">
        <w:rPr>
          <w:rFonts w:cs="Arial"/>
          <w:sz w:val="20"/>
          <w:szCs w:val="20"/>
        </w:rPr>
        <w:t xml:space="preserve"> </w:t>
      </w:r>
      <w:r w:rsidRPr="00641F25">
        <w:rPr>
          <w:rFonts w:cs="Arial"/>
          <w:i/>
          <w:sz w:val="20"/>
          <w:szCs w:val="20"/>
        </w:rPr>
        <w:t>pricing</w:t>
      </w:r>
      <w:r w:rsidRPr="00641F25">
        <w:rPr>
          <w:rFonts w:cs="Arial"/>
          <w:sz w:val="20"/>
          <w:szCs w:val="20"/>
        </w:rPr>
        <w:t xml:space="preserve"> </w:t>
      </w:r>
      <w:r w:rsidRPr="00641F25">
        <w:rPr>
          <w:rFonts w:cs="Arial"/>
          <w:i/>
          <w:sz w:val="20"/>
          <w:szCs w:val="20"/>
        </w:rPr>
        <w:t>plan</w:t>
      </w:r>
      <w:r w:rsidRPr="00641F25">
        <w:rPr>
          <w:rFonts w:cs="Arial"/>
          <w:sz w:val="20"/>
          <w:szCs w:val="20"/>
        </w:rPr>
        <w:t xml:space="preserve"> during the </w:t>
      </w:r>
      <w:r w:rsidRPr="00641F25">
        <w:rPr>
          <w:rFonts w:cs="Arial"/>
          <w:i/>
          <w:sz w:val="20"/>
          <w:szCs w:val="20"/>
        </w:rPr>
        <w:t>minimum term</w:t>
      </w:r>
      <w:r w:rsidRPr="00641F25">
        <w:rPr>
          <w:rFonts w:cs="Arial"/>
          <w:sz w:val="20"/>
          <w:szCs w:val="20"/>
        </w:rPr>
        <w:t xml:space="preserve"> provided </w:t>
      </w:r>
      <w:r w:rsidRPr="00641F25">
        <w:rPr>
          <w:rFonts w:cs="Arial"/>
          <w:i/>
          <w:sz w:val="20"/>
          <w:szCs w:val="20"/>
        </w:rPr>
        <w:t>you</w:t>
      </w:r>
      <w:r w:rsidRPr="00641F25">
        <w:rPr>
          <w:rFonts w:cs="Arial"/>
          <w:sz w:val="20"/>
          <w:szCs w:val="20"/>
        </w:rPr>
        <w:t xml:space="preserve"> move to a plan with a higher monthly access fee. </w:t>
      </w:r>
      <w:r w:rsidRPr="00641F25">
        <w:rPr>
          <w:rFonts w:cs="Arial"/>
          <w:i/>
          <w:sz w:val="20"/>
          <w:szCs w:val="20"/>
        </w:rPr>
        <w:t>You</w:t>
      </w:r>
      <w:r w:rsidRPr="00641F25">
        <w:rPr>
          <w:rFonts w:cs="Arial"/>
          <w:sz w:val="20"/>
          <w:szCs w:val="20"/>
        </w:rPr>
        <w:t xml:space="preserve"> cannot change </w:t>
      </w:r>
      <w:r w:rsidRPr="00641F25">
        <w:rPr>
          <w:rFonts w:cs="Arial"/>
          <w:i/>
          <w:sz w:val="20"/>
          <w:szCs w:val="20"/>
        </w:rPr>
        <w:t>your</w:t>
      </w:r>
      <w:r w:rsidRPr="00641F25">
        <w:rPr>
          <w:rFonts w:cs="Arial"/>
          <w:sz w:val="20"/>
          <w:szCs w:val="20"/>
        </w:rPr>
        <w:t xml:space="preserve"> </w:t>
      </w:r>
      <w:r w:rsidRPr="00641F25">
        <w:rPr>
          <w:rFonts w:cs="Arial"/>
          <w:i/>
          <w:sz w:val="20"/>
          <w:szCs w:val="20"/>
        </w:rPr>
        <w:t>pricing</w:t>
      </w:r>
      <w:r w:rsidRPr="00641F25">
        <w:rPr>
          <w:rFonts w:cs="Arial"/>
          <w:sz w:val="20"/>
          <w:szCs w:val="20"/>
        </w:rPr>
        <w:t xml:space="preserve"> </w:t>
      </w:r>
      <w:r w:rsidRPr="00641F25">
        <w:rPr>
          <w:rFonts w:cs="Arial"/>
          <w:i/>
          <w:sz w:val="20"/>
          <w:szCs w:val="20"/>
        </w:rPr>
        <w:t>plan</w:t>
      </w:r>
      <w:r w:rsidRPr="00641F25">
        <w:rPr>
          <w:rFonts w:cs="Arial"/>
          <w:sz w:val="20"/>
          <w:szCs w:val="20"/>
        </w:rPr>
        <w:t xml:space="preserve"> during the </w:t>
      </w:r>
      <w:r w:rsidRPr="00641F25">
        <w:rPr>
          <w:rFonts w:cs="Arial"/>
          <w:i/>
          <w:sz w:val="20"/>
          <w:szCs w:val="20"/>
        </w:rPr>
        <w:t>minimum term</w:t>
      </w:r>
      <w:r w:rsidRPr="00641F25">
        <w:rPr>
          <w:rFonts w:cs="Arial"/>
          <w:sz w:val="20"/>
          <w:szCs w:val="20"/>
        </w:rPr>
        <w:t xml:space="preserve"> to a </w:t>
      </w:r>
      <w:r w:rsidRPr="00641F25">
        <w:rPr>
          <w:rFonts w:cs="Arial"/>
          <w:i/>
          <w:sz w:val="20"/>
          <w:szCs w:val="20"/>
        </w:rPr>
        <w:t>pricing</w:t>
      </w:r>
      <w:r w:rsidRPr="00641F25">
        <w:rPr>
          <w:rFonts w:cs="Arial"/>
          <w:sz w:val="20"/>
          <w:szCs w:val="20"/>
        </w:rPr>
        <w:t xml:space="preserve"> </w:t>
      </w:r>
      <w:r w:rsidRPr="00641F25">
        <w:rPr>
          <w:rFonts w:cs="Arial"/>
          <w:i/>
          <w:sz w:val="20"/>
          <w:szCs w:val="20"/>
        </w:rPr>
        <w:t>plan</w:t>
      </w:r>
      <w:r w:rsidRPr="00641F25">
        <w:rPr>
          <w:rFonts w:cs="Arial"/>
          <w:sz w:val="20"/>
          <w:szCs w:val="20"/>
        </w:rPr>
        <w:t xml:space="preserve"> with the same or lower monthly access fee. If </w:t>
      </w:r>
      <w:r w:rsidRPr="00641F25">
        <w:rPr>
          <w:rFonts w:cs="Arial"/>
          <w:i/>
          <w:sz w:val="20"/>
          <w:szCs w:val="20"/>
        </w:rPr>
        <w:t>you</w:t>
      </w:r>
      <w:r w:rsidRPr="00641F25">
        <w:rPr>
          <w:rFonts w:cs="Arial"/>
          <w:sz w:val="20"/>
          <w:szCs w:val="20"/>
        </w:rPr>
        <w:t xml:space="preserve"> change </w:t>
      </w:r>
      <w:r w:rsidRPr="00641F25">
        <w:rPr>
          <w:rFonts w:cs="Arial"/>
          <w:i/>
          <w:sz w:val="20"/>
          <w:szCs w:val="20"/>
        </w:rPr>
        <w:t>your</w:t>
      </w:r>
      <w:r w:rsidRPr="00641F25">
        <w:rPr>
          <w:rFonts w:cs="Arial"/>
          <w:sz w:val="20"/>
          <w:szCs w:val="20"/>
        </w:rPr>
        <w:t xml:space="preserve"> </w:t>
      </w:r>
      <w:r w:rsidRPr="00641F25">
        <w:rPr>
          <w:rFonts w:cs="Arial"/>
          <w:i/>
          <w:sz w:val="20"/>
          <w:szCs w:val="20"/>
        </w:rPr>
        <w:t>pricing</w:t>
      </w:r>
      <w:r w:rsidRPr="00641F25">
        <w:rPr>
          <w:rFonts w:cs="Arial"/>
          <w:sz w:val="20"/>
          <w:szCs w:val="20"/>
        </w:rPr>
        <w:t xml:space="preserve"> </w:t>
      </w:r>
      <w:r w:rsidRPr="00641F25">
        <w:rPr>
          <w:rFonts w:cs="Arial"/>
          <w:i/>
          <w:sz w:val="20"/>
          <w:szCs w:val="20"/>
        </w:rPr>
        <w:t>plan</w:t>
      </w:r>
      <w:r w:rsidRPr="00641F25">
        <w:rPr>
          <w:rFonts w:cs="Arial"/>
          <w:sz w:val="20"/>
          <w:szCs w:val="20"/>
        </w:rPr>
        <w:t xml:space="preserve"> during the </w:t>
      </w:r>
      <w:r w:rsidRPr="00641F25">
        <w:rPr>
          <w:rFonts w:cs="Arial"/>
          <w:i/>
          <w:sz w:val="20"/>
          <w:szCs w:val="20"/>
        </w:rPr>
        <w:t>minimum term</w:t>
      </w:r>
      <w:r w:rsidRPr="00641F25">
        <w:rPr>
          <w:rFonts w:cs="Arial"/>
          <w:sz w:val="20"/>
          <w:szCs w:val="20"/>
        </w:rPr>
        <w:t xml:space="preserve"> a fee may apply and any monthly </w:t>
      </w:r>
      <w:r w:rsidRPr="00641F25">
        <w:rPr>
          <w:rFonts w:cs="Arial"/>
          <w:i/>
          <w:sz w:val="20"/>
          <w:szCs w:val="20"/>
        </w:rPr>
        <w:t xml:space="preserve">mobile device charges </w:t>
      </w:r>
      <w:r w:rsidRPr="00641F25">
        <w:rPr>
          <w:rFonts w:cs="Arial"/>
          <w:sz w:val="20"/>
          <w:szCs w:val="20"/>
        </w:rPr>
        <w:t xml:space="preserve">payable by </w:t>
      </w:r>
      <w:r w:rsidRPr="00641F25">
        <w:rPr>
          <w:rFonts w:cs="Arial"/>
          <w:i/>
          <w:sz w:val="20"/>
          <w:szCs w:val="20"/>
        </w:rPr>
        <w:t>you</w:t>
      </w:r>
      <w:r w:rsidRPr="00641F25">
        <w:rPr>
          <w:rFonts w:cs="Arial"/>
          <w:sz w:val="20"/>
          <w:szCs w:val="20"/>
        </w:rPr>
        <w:t xml:space="preserve"> under </w:t>
      </w:r>
      <w:r w:rsidRPr="00641F25">
        <w:rPr>
          <w:rFonts w:cs="Arial"/>
          <w:i/>
          <w:sz w:val="20"/>
          <w:szCs w:val="20"/>
        </w:rPr>
        <w:t>your mobile equipment lease plan</w:t>
      </w:r>
      <w:r w:rsidRPr="00641F25">
        <w:rPr>
          <w:rFonts w:cs="Arial"/>
          <w:sz w:val="20"/>
          <w:szCs w:val="20"/>
        </w:rPr>
        <w:t xml:space="preserve"> will remain the same.</w:t>
      </w:r>
    </w:p>
    <w:p w14:paraId="52F919FD" w14:textId="77777777" w:rsidR="00735147" w:rsidRPr="00641F25" w:rsidRDefault="00735147" w:rsidP="00735147">
      <w:pPr>
        <w:rPr>
          <w:rFonts w:cs="Arial"/>
          <w:sz w:val="20"/>
          <w:szCs w:val="20"/>
        </w:rPr>
      </w:pPr>
    </w:p>
    <w:p w14:paraId="3966DD65" w14:textId="77777777" w:rsidR="00735147" w:rsidRPr="00641F25" w:rsidRDefault="00735147" w:rsidP="00735147">
      <w:pPr>
        <w:pStyle w:val="Heading6"/>
        <w:tabs>
          <w:tab w:val="clear" w:pos="720"/>
        </w:tabs>
        <w:ind w:left="0" w:firstLine="0"/>
        <w:rPr>
          <w:rFonts w:cs="Arial"/>
          <w:snapToGrid w:val="0"/>
          <w:szCs w:val="20"/>
        </w:rPr>
      </w:pPr>
      <w:bookmarkStart w:id="1642" w:name="_Toc481157064"/>
      <w:bookmarkStart w:id="1643" w:name="_Toc489971288"/>
      <w:r w:rsidRPr="00641F25">
        <w:rPr>
          <w:rFonts w:cs="Arial"/>
          <w:snapToGrid w:val="0"/>
          <w:szCs w:val="20"/>
        </w:rPr>
        <w:t>Flex Upgrade</w:t>
      </w:r>
      <w:bookmarkEnd w:id="1642"/>
      <w:bookmarkEnd w:id="1643"/>
    </w:p>
    <w:p w14:paraId="3A484768" w14:textId="77777777" w:rsidR="00735147" w:rsidRPr="00641F25" w:rsidRDefault="00735147" w:rsidP="00735147">
      <w:pPr>
        <w:rPr>
          <w:rFonts w:cs="Arial"/>
          <w:sz w:val="20"/>
          <w:szCs w:val="20"/>
        </w:rPr>
      </w:pPr>
      <w:r w:rsidRPr="00641F25">
        <w:rPr>
          <w:rFonts w:cs="Arial"/>
          <w:sz w:val="20"/>
          <w:szCs w:val="20"/>
        </w:rPr>
        <w:t>The plans referred to in this section include the option of Flex Upgrade, which can be exercised after 12 months:</w:t>
      </w:r>
    </w:p>
    <w:p w14:paraId="01E820D9" w14:textId="77777777" w:rsidR="00735147" w:rsidRPr="00641F25" w:rsidRDefault="00735147" w:rsidP="00735147">
      <w:pPr>
        <w:rPr>
          <w:rFonts w:cs="Arial"/>
          <w:sz w:val="20"/>
          <w:szCs w:val="20"/>
        </w:rPr>
      </w:pPr>
    </w:p>
    <w:p w14:paraId="4140E3EC" w14:textId="77777777" w:rsidR="00735147" w:rsidRPr="00641F25" w:rsidRDefault="00735147" w:rsidP="00735147">
      <w:pPr>
        <w:pStyle w:val="Heading7"/>
        <w:rPr>
          <w:rFonts w:cs="Arial"/>
          <w:i/>
          <w:szCs w:val="20"/>
        </w:rPr>
      </w:pPr>
      <w:r w:rsidRPr="00641F25">
        <w:rPr>
          <w:rFonts w:cs="Arial"/>
          <w:snapToGrid w:val="0"/>
          <w:szCs w:val="20"/>
        </w:rPr>
        <w:t xml:space="preserve">Flex Upgrade </w:t>
      </w:r>
      <w:r w:rsidRPr="00641F25">
        <w:rPr>
          <w:rFonts w:cs="Arial"/>
          <w:i/>
          <w:szCs w:val="20"/>
        </w:rPr>
        <w:t>for $99</w:t>
      </w:r>
    </w:p>
    <w:p w14:paraId="7174AC53" w14:textId="77777777" w:rsidR="00735147" w:rsidRPr="00641F25" w:rsidRDefault="00735147" w:rsidP="00735147">
      <w:pPr>
        <w:pStyle w:val="Heading8"/>
        <w:rPr>
          <w:rFonts w:cs="Arial"/>
          <w:szCs w:val="20"/>
        </w:rPr>
      </w:pPr>
      <w:r w:rsidRPr="00641F25">
        <w:rPr>
          <w:rFonts w:cs="Arial"/>
          <w:szCs w:val="20"/>
        </w:rPr>
        <w:t>After 12 months on this plan, you can:</w:t>
      </w:r>
    </w:p>
    <w:p w14:paraId="2403E9F5" w14:textId="77777777" w:rsidR="00735147" w:rsidRPr="00641F25" w:rsidRDefault="00735147" w:rsidP="00735147">
      <w:pPr>
        <w:pStyle w:val="Heading9"/>
        <w:rPr>
          <w:rFonts w:cs="Arial"/>
          <w:szCs w:val="20"/>
        </w:rPr>
      </w:pPr>
      <w:r w:rsidRPr="00641F25">
        <w:rPr>
          <w:rFonts w:cs="Arial"/>
          <w:szCs w:val="20"/>
        </w:rPr>
        <w:t xml:space="preserve">Pay a one off upgrade fee of $99, </w:t>
      </w:r>
    </w:p>
    <w:p w14:paraId="453334F2" w14:textId="77777777" w:rsidR="00735147" w:rsidRPr="00641F25" w:rsidRDefault="00735147" w:rsidP="00735147">
      <w:pPr>
        <w:pStyle w:val="Heading9"/>
        <w:rPr>
          <w:rFonts w:cs="Arial"/>
          <w:szCs w:val="20"/>
        </w:rPr>
      </w:pPr>
      <w:r w:rsidRPr="00641F25">
        <w:rPr>
          <w:rFonts w:cs="Arial"/>
          <w:szCs w:val="20"/>
        </w:rPr>
        <w:t xml:space="preserve">Either return </w:t>
      </w:r>
      <w:r w:rsidRPr="00641F25">
        <w:rPr>
          <w:rFonts w:cs="Arial"/>
          <w:i/>
          <w:szCs w:val="20"/>
        </w:rPr>
        <w:t>your</w:t>
      </w:r>
      <w:r w:rsidRPr="00641F25">
        <w:rPr>
          <w:rFonts w:cs="Arial"/>
          <w:szCs w:val="20"/>
        </w:rPr>
        <w:t xml:space="preserve"> original </w:t>
      </w:r>
      <w:r w:rsidRPr="00641F25">
        <w:rPr>
          <w:rFonts w:cs="Arial"/>
          <w:i/>
          <w:szCs w:val="20"/>
        </w:rPr>
        <w:t>mobile device</w:t>
      </w:r>
      <w:r w:rsidRPr="00641F25">
        <w:rPr>
          <w:rFonts w:cs="Arial"/>
          <w:szCs w:val="20"/>
        </w:rPr>
        <w:t xml:space="preserve"> to a Yes Optus store in good working order, or if the device is not in good working order, agree to pay the relevant </w:t>
      </w:r>
      <w:r w:rsidRPr="00641F25">
        <w:rPr>
          <w:rFonts w:cs="Arial"/>
          <w:i/>
          <w:szCs w:val="20"/>
        </w:rPr>
        <w:t>damage fee</w:t>
      </w:r>
      <w:r w:rsidRPr="00641F25">
        <w:rPr>
          <w:rFonts w:cs="Arial"/>
          <w:szCs w:val="20"/>
        </w:rPr>
        <w:t xml:space="preserve">.  In that case, </w:t>
      </w:r>
      <w:r w:rsidRPr="00641F25">
        <w:rPr>
          <w:rFonts w:cs="Arial"/>
          <w:i/>
          <w:szCs w:val="20"/>
        </w:rPr>
        <w:t xml:space="preserve">we </w:t>
      </w:r>
      <w:r w:rsidRPr="00641F25">
        <w:rPr>
          <w:rFonts w:cs="Arial"/>
          <w:szCs w:val="20"/>
        </w:rPr>
        <w:t>will waive the $99 upgrade fee.</w:t>
      </w:r>
    </w:p>
    <w:p w14:paraId="5882F2B1" w14:textId="77777777" w:rsidR="00735147" w:rsidRPr="00641F25" w:rsidRDefault="00735147" w:rsidP="00735147">
      <w:pPr>
        <w:pStyle w:val="Heading9"/>
        <w:rPr>
          <w:rFonts w:cs="Arial"/>
          <w:szCs w:val="20"/>
        </w:rPr>
      </w:pPr>
      <w:r w:rsidRPr="00641F25">
        <w:rPr>
          <w:rFonts w:cs="Arial"/>
          <w:szCs w:val="20"/>
        </w:rPr>
        <w:t xml:space="preserve">Purchase or lease a new  </w:t>
      </w:r>
      <w:r w:rsidRPr="00641F25">
        <w:rPr>
          <w:rFonts w:cs="Arial"/>
          <w:i/>
          <w:szCs w:val="20"/>
        </w:rPr>
        <w:t>mobile device</w:t>
      </w:r>
      <w:r w:rsidRPr="00641F25">
        <w:rPr>
          <w:rFonts w:cs="Arial"/>
          <w:szCs w:val="20"/>
        </w:rPr>
        <w:t xml:space="preserve"> on a new 24 month plan, and ensure that the original device is returned within 14 days of entering into the new 24 month plan; and </w:t>
      </w:r>
    </w:p>
    <w:p w14:paraId="32A554C8" w14:textId="77777777" w:rsidR="00735147" w:rsidRPr="00641F25" w:rsidRDefault="00735147" w:rsidP="00735147">
      <w:pPr>
        <w:pStyle w:val="Heading9"/>
        <w:rPr>
          <w:rFonts w:cs="Arial"/>
          <w:szCs w:val="20"/>
        </w:rPr>
      </w:pPr>
      <w:r w:rsidRPr="00641F25">
        <w:rPr>
          <w:rFonts w:cs="Arial"/>
          <w:szCs w:val="20"/>
        </w:rPr>
        <w:t xml:space="preserve">Sign documentation that will enable ownership of </w:t>
      </w:r>
      <w:r w:rsidRPr="00641F25">
        <w:rPr>
          <w:rFonts w:cs="Arial"/>
          <w:i/>
          <w:szCs w:val="20"/>
        </w:rPr>
        <w:t>your</w:t>
      </w:r>
      <w:r w:rsidRPr="00641F25">
        <w:rPr>
          <w:rFonts w:cs="Arial"/>
          <w:szCs w:val="20"/>
        </w:rPr>
        <w:t xml:space="preserve"> original </w:t>
      </w:r>
      <w:r w:rsidRPr="00641F25">
        <w:rPr>
          <w:rFonts w:cs="Arial"/>
          <w:i/>
          <w:szCs w:val="20"/>
        </w:rPr>
        <w:t>mobile device</w:t>
      </w:r>
      <w:r w:rsidRPr="00641F25">
        <w:rPr>
          <w:rFonts w:cs="Arial"/>
          <w:szCs w:val="20"/>
        </w:rPr>
        <w:t xml:space="preserve"> to be transferred to a third party nominated by </w:t>
      </w:r>
      <w:r w:rsidRPr="00641F25">
        <w:rPr>
          <w:rFonts w:cs="Arial"/>
          <w:i/>
          <w:szCs w:val="20"/>
        </w:rPr>
        <w:t>us</w:t>
      </w:r>
      <w:r w:rsidRPr="00641F25">
        <w:rPr>
          <w:rFonts w:cs="Arial"/>
          <w:szCs w:val="20"/>
        </w:rPr>
        <w:t>.</w:t>
      </w:r>
    </w:p>
    <w:p w14:paraId="0BB24664" w14:textId="77777777" w:rsidR="00735147" w:rsidRPr="00641F25" w:rsidRDefault="00735147" w:rsidP="00735147">
      <w:pPr>
        <w:pStyle w:val="Heading8"/>
        <w:rPr>
          <w:rFonts w:cs="Arial"/>
          <w:szCs w:val="20"/>
        </w:rPr>
      </w:pPr>
      <w:r w:rsidRPr="00641F25">
        <w:rPr>
          <w:rFonts w:cs="Arial"/>
          <w:szCs w:val="20"/>
        </w:rPr>
        <w:t xml:space="preserve">When a device is considered to be in </w:t>
      </w:r>
      <w:r w:rsidRPr="00641F25">
        <w:rPr>
          <w:rFonts w:cs="Arial"/>
          <w:i/>
          <w:szCs w:val="20"/>
        </w:rPr>
        <w:t xml:space="preserve">good working order </w:t>
      </w:r>
      <w:r w:rsidRPr="00641F25">
        <w:rPr>
          <w:rFonts w:cs="Arial"/>
          <w:szCs w:val="20"/>
        </w:rPr>
        <w:t>when:</w:t>
      </w:r>
    </w:p>
    <w:p w14:paraId="5143139D" w14:textId="77777777" w:rsidR="00735147" w:rsidRPr="00641F25" w:rsidRDefault="00735147" w:rsidP="00735147">
      <w:pPr>
        <w:pStyle w:val="Heading9"/>
        <w:rPr>
          <w:rFonts w:cs="Arial"/>
          <w:color w:val="191919"/>
          <w:szCs w:val="20"/>
        </w:rPr>
      </w:pPr>
      <w:r w:rsidRPr="00641F25">
        <w:rPr>
          <w:rFonts w:cs="Arial"/>
          <w:color w:val="191919"/>
          <w:szCs w:val="20"/>
        </w:rPr>
        <w:t>Can power on and off</w:t>
      </w:r>
    </w:p>
    <w:p w14:paraId="15544B19" w14:textId="77777777" w:rsidR="00735147" w:rsidRPr="00641F25" w:rsidRDefault="00735147" w:rsidP="00735147">
      <w:pPr>
        <w:pStyle w:val="Heading9"/>
        <w:rPr>
          <w:rFonts w:cs="Arial"/>
          <w:color w:val="191919"/>
          <w:szCs w:val="20"/>
        </w:rPr>
      </w:pPr>
      <w:r w:rsidRPr="00641F25">
        <w:rPr>
          <w:rFonts w:cs="Arial"/>
          <w:szCs w:val="20"/>
        </w:rPr>
        <w:t>Has a fully functional touchscreen and battery,</w:t>
      </w:r>
    </w:p>
    <w:p w14:paraId="5DD1C87C" w14:textId="77777777" w:rsidR="00735147" w:rsidRPr="00641F25" w:rsidRDefault="00735147" w:rsidP="00735147">
      <w:pPr>
        <w:pStyle w:val="Heading9"/>
        <w:rPr>
          <w:rFonts w:cs="Arial"/>
          <w:color w:val="191919"/>
          <w:szCs w:val="20"/>
        </w:rPr>
      </w:pPr>
      <w:r w:rsidRPr="00641F25">
        <w:rPr>
          <w:rFonts w:cs="Arial"/>
          <w:color w:val="191919"/>
          <w:szCs w:val="20"/>
        </w:rPr>
        <w:t xml:space="preserve">Is not physically damaged (e.g. does not have liquid damage, </w:t>
      </w:r>
      <w:r w:rsidRPr="00641F25">
        <w:rPr>
          <w:rFonts w:cs="Arial"/>
          <w:szCs w:val="20"/>
        </w:rPr>
        <w:t xml:space="preserve">cracked, discoloured or bleeding </w:t>
      </w:r>
      <w:r w:rsidRPr="00641F25">
        <w:rPr>
          <w:rFonts w:cs="Arial"/>
          <w:color w:val="191919"/>
          <w:szCs w:val="20"/>
        </w:rPr>
        <w:t>screen (LCD) or casing, does not have any missing buttons or damage to other components such as charging ports or SIM tray),</w:t>
      </w:r>
    </w:p>
    <w:p w14:paraId="5405250C" w14:textId="77777777" w:rsidR="00735147" w:rsidRPr="00641F25" w:rsidRDefault="00735147" w:rsidP="00735147">
      <w:pPr>
        <w:pStyle w:val="Heading9"/>
        <w:rPr>
          <w:rFonts w:cs="Arial"/>
          <w:szCs w:val="20"/>
        </w:rPr>
      </w:pPr>
      <w:r w:rsidRPr="00641F25">
        <w:rPr>
          <w:rFonts w:cs="Arial"/>
          <w:szCs w:val="20"/>
        </w:rPr>
        <w:t xml:space="preserve">Has no missing or customised parts, or parts which are non-original or not otherwise genuine parts used for repair under a manufacturer’s warranty or under the Australian Consumer Law, </w:t>
      </w:r>
    </w:p>
    <w:p w14:paraId="646B1BB1" w14:textId="77777777" w:rsidR="00735147" w:rsidRPr="00641F25" w:rsidRDefault="00735147" w:rsidP="00735147">
      <w:pPr>
        <w:pStyle w:val="Heading9"/>
        <w:rPr>
          <w:rFonts w:cs="Arial"/>
          <w:color w:val="191919"/>
          <w:szCs w:val="20"/>
        </w:rPr>
      </w:pPr>
      <w:r w:rsidRPr="00641F25">
        <w:rPr>
          <w:rFonts w:cs="Arial"/>
          <w:color w:val="191919"/>
          <w:szCs w:val="20"/>
        </w:rPr>
        <w:t>Is not cracked (including the touchscreen) and does not have any severe scratches (normal wear and tear such as light marks and scratches are okay), and</w:t>
      </w:r>
    </w:p>
    <w:p w14:paraId="7C124970" w14:textId="77777777" w:rsidR="00735147" w:rsidRPr="00641F25" w:rsidRDefault="00735147" w:rsidP="00735147">
      <w:pPr>
        <w:pStyle w:val="Heading9"/>
        <w:rPr>
          <w:rFonts w:cs="Arial"/>
          <w:color w:val="191919"/>
          <w:szCs w:val="20"/>
        </w:rPr>
      </w:pPr>
      <w:r w:rsidRPr="00641F25">
        <w:rPr>
          <w:rFonts w:cs="Arial"/>
          <w:color w:val="191919"/>
          <w:szCs w:val="20"/>
        </w:rPr>
        <w:t>Has any </w:t>
      </w:r>
      <w:hyperlink r:id="rId741" w:anchor="datawiping" w:history="1">
        <w:r w:rsidRPr="00641F25">
          <w:rPr>
            <w:rStyle w:val="Hyperlink"/>
            <w:rFonts w:cs="Arial"/>
            <w:color w:val="006280"/>
            <w:szCs w:val="20"/>
          </w:rPr>
          <w:t>locking features</w:t>
        </w:r>
      </w:hyperlink>
      <w:r w:rsidRPr="00641F25">
        <w:rPr>
          <w:rFonts w:cs="Arial"/>
          <w:color w:val="191919"/>
          <w:szCs w:val="20"/>
        </w:rPr>
        <w:t> disabled (for example, find my iPhone on iOS devices).</w:t>
      </w:r>
    </w:p>
    <w:p w14:paraId="64983C5B" w14:textId="77777777" w:rsidR="00735147" w:rsidRPr="00641F25" w:rsidRDefault="00735147" w:rsidP="00735147">
      <w:pPr>
        <w:pStyle w:val="Heading9"/>
        <w:rPr>
          <w:rFonts w:cs="Arial"/>
          <w:color w:val="191919"/>
          <w:szCs w:val="20"/>
        </w:rPr>
      </w:pPr>
      <w:r w:rsidRPr="00641F25">
        <w:rPr>
          <w:rFonts w:cs="Arial"/>
          <w:color w:val="191919"/>
          <w:szCs w:val="20"/>
        </w:rPr>
        <w:t>Is not IMEI blocked; and</w:t>
      </w:r>
    </w:p>
    <w:p w14:paraId="3F5053D6" w14:textId="77777777" w:rsidR="00735147" w:rsidRPr="00641F25" w:rsidRDefault="00735147" w:rsidP="00735147">
      <w:pPr>
        <w:pStyle w:val="Heading9"/>
        <w:rPr>
          <w:rFonts w:cs="Arial"/>
          <w:color w:val="1F497D"/>
          <w:szCs w:val="20"/>
        </w:rPr>
      </w:pPr>
      <w:r w:rsidRPr="00641F25">
        <w:rPr>
          <w:rFonts w:cs="Arial"/>
          <w:color w:val="191919"/>
          <w:szCs w:val="20"/>
        </w:rPr>
        <w:t>Is the mobile phone you purchased or leased from us under the mobile equipment payment plan or mobile equipment lease plan</w:t>
      </w:r>
    </w:p>
    <w:p w14:paraId="07AD1E59" w14:textId="77777777" w:rsidR="00735147" w:rsidRPr="00641F25" w:rsidRDefault="00735147" w:rsidP="00735147">
      <w:pPr>
        <w:pStyle w:val="Heading8"/>
        <w:numPr>
          <w:ilvl w:val="0"/>
          <w:numId w:val="0"/>
        </w:numPr>
        <w:ind w:left="2160" w:hanging="720"/>
        <w:rPr>
          <w:rFonts w:cs="Arial"/>
          <w:szCs w:val="20"/>
        </w:rPr>
      </w:pPr>
      <w:r w:rsidRPr="00641F25" w:rsidDel="00B07463">
        <w:rPr>
          <w:rFonts w:cs="Arial"/>
          <w:szCs w:val="20"/>
        </w:rPr>
        <w:t xml:space="preserve"> </w:t>
      </w:r>
    </w:p>
    <w:p w14:paraId="1771FB80" w14:textId="77777777" w:rsidR="00735147" w:rsidRPr="00641F25" w:rsidRDefault="00735147" w:rsidP="00735147">
      <w:pPr>
        <w:pStyle w:val="Heading8"/>
        <w:rPr>
          <w:rFonts w:cs="Arial"/>
          <w:szCs w:val="20"/>
        </w:rPr>
      </w:pPr>
      <w:r w:rsidRPr="00641F25">
        <w:rPr>
          <w:rFonts w:cs="Arial"/>
          <w:szCs w:val="20"/>
        </w:rPr>
        <w:t xml:space="preserve">When </w:t>
      </w:r>
      <w:r w:rsidRPr="00641F25">
        <w:rPr>
          <w:rFonts w:cs="Arial"/>
          <w:i/>
          <w:szCs w:val="20"/>
        </w:rPr>
        <w:t>you</w:t>
      </w:r>
      <w:r w:rsidRPr="00641F25">
        <w:rPr>
          <w:rFonts w:cs="Arial"/>
          <w:szCs w:val="20"/>
        </w:rPr>
        <w:t xml:space="preserve"> seek to exercise this option and meet the relevant conditions, </w:t>
      </w:r>
      <w:r w:rsidRPr="00641F25">
        <w:rPr>
          <w:rFonts w:cs="Arial"/>
          <w:i/>
          <w:szCs w:val="20"/>
        </w:rPr>
        <w:t>we</w:t>
      </w:r>
      <w:r w:rsidRPr="00641F25">
        <w:rPr>
          <w:rFonts w:cs="Arial"/>
          <w:szCs w:val="20"/>
        </w:rPr>
        <w:t xml:space="preserve"> agree to waive any remaining monthly mobile </w:t>
      </w:r>
      <w:r w:rsidRPr="00641F25">
        <w:rPr>
          <w:rFonts w:cs="Arial"/>
          <w:i/>
          <w:szCs w:val="20"/>
        </w:rPr>
        <w:t>device charges</w:t>
      </w:r>
      <w:r w:rsidRPr="00641F25">
        <w:rPr>
          <w:rFonts w:cs="Arial"/>
          <w:szCs w:val="20"/>
        </w:rPr>
        <w:t xml:space="preserve"> and lease plan cancellation fees that would otherwise apply to the </w:t>
      </w:r>
      <w:r w:rsidRPr="00641F25">
        <w:rPr>
          <w:rFonts w:cs="Arial"/>
          <w:i/>
          <w:szCs w:val="20"/>
        </w:rPr>
        <w:t>mobile</w:t>
      </w:r>
      <w:r w:rsidRPr="00641F25">
        <w:rPr>
          <w:rFonts w:cs="Arial"/>
          <w:szCs w:val="20"/>
        </w:rPr>
        <w:t xml:space="preserve"> </w:t>
      </w:r>
      <w:r w:rsidRPr="00641F25">
        <w:rPr>
          <w:rFonts w:cs="Arial"/>
          <w:i/>
          <w:szCs w:val="20"/>
        </w:rPr>
        <w:t>device</w:t>
      </w:r>
      <w:r w:rsidRPr="00641F25">
        <w:rPr>
          <w:rFonts w:cs="Arial"/>
          <w:szCs w:val="20"/>
        </w:rPr>
        <w:t xml:space="preserve"> </w:t>
      </w:r>
      <w:r w:rsidRPr="00641F25">
        <w:rPr>
          <w:rFonts w:cs="Arial"/>
          <w:i/>
          <w:szCs w:val="20"/>
        </w:rPr>
        <w:t>you</w:t>
      </w:r>
      <w:r w:rsidRPr="00641F25">
        <w:rPr>
          <w:rFonts w:cs="Arial"/>
          <w:szCs w:val="20"/>
        </w:rPr>
        <w:t xml:space="preserve"> are returning. </w:t>
      </w:r>
    </w:p>
    <w:p w14:paraId="0ACA15B3" w14:textId="77777777" w:rsidR="00735147" w:rsidRPr="00641F25" w:rsidRDefault="00735147" w:rsidP="00735147">
      <w:pPr>
        <w:pStyle w:val="Heading8"/>
        <w:rPr>
          <w:rFonts w:cs="Arial"/>
          <w:szCs w:val="20"/>
        </w:rPr>
      </w:pPr>
      <w:r w:rsidRPr="00641F25">
        <w:rPr>
          <w:rFonts w:cs="Arial"/>
          <w:szCs w:val="20"/>
        </w:rPr>
        <w:t xml:space="preserve">By exercising this option, </w:t>
      </w:r>
      <w:r w:rsidRPr="00641F25">
        <w:rPr>
          <w:rFonts w:cs="Arial"/>
          <w:i/>
          <w:szCs w:val="20"/>
        </w:rPr>
        <w:t>you</w:t>
      </w:r>
      <w:r w:rsidRPr="00641F25">
        <w:rPr>
          <w:rFonts w:cs="Arial"/>
          <w:szCs w:val="20"/>
        </w:rPr>
        <w:t xml:space="preserve"> acknowledge that:</w:t>
      </w:r>
    </w:p>
    <w:p w14:paraId="05AF3059" w14:textId="77777777" w:rsidR="00735147" w:rsidRPr="00641F25" w:rsidRDefault="00735147" w:rsidP="00735147">
      <w:pPr>
        <w:pStyle w:val="Heading9"/>
        <w:rPr>
          <w:rFonts w:cs="Arial"/>
          <w:szCs w:val="20"/>
        </w:rPr>
      </w:pPr>
      <w:r w:rsidRPr="00641F25">
        <w:rPr>
          <w:rFonts w:cs="Arial"/>
          <w:szCs w:val="20"/>
        </w:rPr>
        <w:lastRenderedPageBreak/>
        <w:t xml:space="preserve">the second hand device vendor will pay </w:t>
      </w:r>
      <w:r w:rsidRPr="00641F25">
        <w:rPr>
          <w:rFonts w:cs="Arial"/>
          <w:i/>
          <w:szCs w:val="20"/>
        </w:rPr>
        <w:t>you</w:t>
      </w:r>
      <w:r w:rsidRPr="00641F25">
        <w:rPr>
          <w:rFonts w:cs="Arial"/>
          <w:szCs w:val="20"/>
        </w:rPr>
        <w:t xml:space="preserve"> a fee for the </w:t>
      </w:r>
      <w:r w:rsidRPr="00641F25">
        <w:rPr>
          <w:rFonts w:cs="Arial"/>
          <w:i/>
          <w:szCs w:val="20"/>
        </w:rPr>
        <w:t>mobile device</w:t>
      </w:r>
      <w:r w:rsidRPr="00641F25">
        <w:rPr>
          <w:rFonts w:cs="Arial"/>
          <w:szCs w:val="20"/>
        </w:rPr>
        <w:t xml:space="preserve"> </w:t>
      </w:r>
      <w:r w:rsidRPr="00641F25">
        <w:rPr>
          <w:rFonts w:cs="Arial"/>
          <w:i/>
          <w:szCs w:val="20"/>
        </w:rPr>
        <w:t>you</w:t>
      </w:r>
      <w:r w:rsidRPr="00641F25">
        <w:rPr>
          <w:rFonts w:cs="Arial"/>
          <w:szCs w:val="20"/>
        </w:rPr>
        <w:t xml:space="preserve"> return in part consideration for </w:t>
      </w:r>
      <w:r w:rsidRPr="00641F25">
        <w:rPr>
          <w:rFonts w:cs="Arial"/>
          <w:i/>
          <w:szCs w:val="20"/>
        </w:rPr>
        <w:t>us</w:t>
      </w:r>
      <w:r w:rsidRPr="00641F25">
        <w:rPr>
          <w:rFonts w:cs="Arial"/>
          <w:szCs w:val="20"/>
        </w:rPr>
        <w:t xml:space="preserve"> waiving </w:t>
      </w:r>
      <w:r w:rsidRPr="00641F25">
        <w:rPr>
          <w:rFonts w:cs="Arial"/>
          <w:i/>
          <w:szCs w:val="20"/>
        </w:rPr>
        <w:t>your</w:t>
      </w:r>
      <w:r w:rsidRPr="00641F25">
        <w:rPr>
          <w:rFonts w:cs="Arial"/>
          <w:szCs w:val="20"/>
        </w:rPr>
        <w:t xml:space="preserve"> remaining lease repayments on the </w:t>
      </w:r>
      <w:r w:rsidRPr="00641F25">
        <w:rPr>
          <w:rFonts w:cs="Arial"/>
          <w:i/>
          <w:szCs w:val="20"/>
        </w:rPr>
        <w:t>mobile device</w:t>
      </w:r>
      <w:r w:rsidRPr="00641F25">
        <w:rPr>
          <w:rFonts w:cs="Arial"/>
          <w:szCs w:val="20"/>
        </w:rPr>
        <w:t xml:space="preserve"> </w:t>
      </w:r>
      <w:r w:rsidRPr="00641F25">
        <w:rPr>
          <w:rFonts w:cs="Arial"/>
          <w:i/>
          <w:szCs w:val="20"/>
        </w:rPr>
        <w:t>you</w:t>
      </w:r>
      <w:r w:rsidRPr="00641F25">
        <w:rPr>
          <w:rFonts w:cs="Arial"/>
          <w:szCs w:val="20"/>
        </w:rPr>
        <w:t xml:space="preserve"> are returning, and </w:t>
      </w:r>
    </w:p>
    <w:p w14:paraId="2CDE8247" w14:textId="77777777" w:rsidR="00735147" w:rsidRPr="00641F25" w:rsidRDefault="00735147" w:rsidP="00735147">
      <w:pPr>
        <w:pStyle w:val="Heading9"/>
        <w:rPr>
          <w:rFonts w:cs="Arial"/>
          <w:szCs w:val="20"/>
        </w:rPr>
      </w:pPr>
      <w:r w:rsidRPr="00641F25">
        <w:rPr>
          <w:rFonts w:cs="Arial"/>
          <w:szCs w:val="20"/>
        </w:rPr>
        <w:t>If you do not return the mobile device to us during the return period, we will charge you a non-return fee which is equivalent to the mobile device's fair market value (advised to you at the time)</w:t>
      </w:r>
    </w:p>
    <w:p w14:paraId="6F389D41" w14:textId="77777777" w:rsidR="00735147" w:rsidRPr="00641F25" w:rsidRDefault="00735147" w:rsidP="00735147">
      <w:pPr>
        <w:pStyle w:val="Heading9"/>
        <w:rPr>
          <w:rFonts w:cs="Arial"/>
          <w:szCs w:val="20"/>
        </w:rPr>
      </w:pPr>
      <w:r w:rsidRPr="00641F25">
        <w:rPr>
          <w:rFonts w:cs="Arial"/>
          <w:szCs w:val="20"/>
        </w:rPr>
        <w:t>Devices on Raincheck may not be available for Flex Upgrade.</w:t>
      </w:r>
    </w:p>
    <w:p w14:paraId="69F5C10B" w14:textId="77777777" w:rsidR="00735147" w:rsidRPr="00641F25" w:rsidRDefault="00735147" w:rsidP="00735147">
      <w:pPr>
        <w:pStyle w:val="Heading8"/>
        <w:rPr>
          <w:rFonts w:cs="Arial"/>
          <w:szCs w:val="20"/>
        </w:rPr>
      </w:pPr>
      <w:r w:rsidRPr="00641F25">
        <w:rPr>
          <w:rFonts w:cs="Arial"/>
          <w:szCs w:val="20"/>
        </w:rPr>
        <w:t>Keep existing mobile device</w:t>
      </w:r>
    </w:p>
    <w:p w14:paraId="13FBBBB5" w14:textId="77777777" w:rsidR="00735147" w:rsidRPr="00641F25" w:rsidRDefault="00735147" w:rsidP="00735147">
      <w:pPr>
        <w:spacing w:before="120"/>
        <w:ind w:left="2126"/>
        <w:rPr>
          <w:rFonts w:cs="Arial"/>
          <w:b/>
          <w:sz w:val="20"/>
          <w:szCs w:val="20"/>
        </w:rPr>
      </w:pPr>
      <w:r w:rsidRPr="00641F25">
        <w:rPr>
          <w:rFonts w:cs="Arial"/>
          <w:sz w:val="20"/>
          <w:szCs w:val="20"/>
        </w:rPr>
        <w:t xml:space="preserve">Alternatively and instead of paying $99, if </w:t>
      </w:r>
      <w:r w:rsidRPr="00641F25">
        <w:rPr>
          <w:rFonts w:cs="Arial"/>
          <w:i/>
          <w:sz w:val="20"/>
          <w:szCs w:val="20"/>
        </w:rPr>
        <w:t>you</w:t>
      </w:r>
      <w:r w:rsidRPr="00641F25">
        <w:rPr>
          <w:rFonts w:cs="Arial"/>
          <w:sz w:val="20"/>
          <w:szCs w:val="20"/>
        </w:rPr>
        <w:t xml:space="preserve"> wish to keep your original </w:t>
      </w:r>
      <w:r w:rsidRPr="00641F25">
        <w:rPr>
          <w:rFonts w:cs="Arial"/>
          <w:i/>
          <w:sz w:val="20"/>
          <w:szCs w:val="20"/>
        </w:rPr>
        <w:t>mobile device</w:t>
      </w:r>
      <w:r w:rsidRPr="00641F25">
        <w:rPr>
          <w:rFonts w:cs="Arial"/>
          <w:sz w:val="20"/>
          <w:szCs w:val="20"/>
        </w:rPr>
        <w:t xml:space="preserve">, </w:t>
      </w:r>
      <w:r w:rsidRPr="00641F25">
        <w:rPr>
          <w:rFonts w:cs="Arial"/>
          <w:i/>
          <w:sz w:val="20"/>
          <w:szCs w:val="20"/>
        </w:rPr>
        <w:t>you</w:t>
      </w:r>
      <w:r w:rsidRPr="00641F25">
        <w:rPr>
          <w:rFonts w:cs="Arial"/>
          <w:sz w:val="20"/>
          <w:szCs w:val="20"/>
        </w:rPr>
        <w:t xml:space="preserve"> can simply pay out the full remaining cost of </w:t>
      </w:r>
      <w:r w:rsidRPr="00641F25">
        <w:rPr>
          <w:rFonts w:cs="Arial"/>
          <w:i/>
          <w:sz w:val="20"/>
          <w:szCs w:val="20"/>
        </w:rPr>
        <w:t>your</w:t>
      </w:r>
      <w:r w:rsidRPr="00641F25">
        <w:rPr>
          <w:rFonts w:cs="Arial"/>
          <w:sz w:val="20"/>
          <w:szCs w:val="20"/>
        </w:rPr>
        <w:t xml:space="preserve"> </w:t>
      </w:r>
      <w:r w:rsidRPr="00641F25">
        <w:rPr>
          <w:rFonts w:cs="Arial"/>
          <w:i/>
          <w:sz w:val="20"/>
          <w:szCs w:val="20"/>
        </w:rPr>
        <w:t>mobile device</w:t>
      </w:r>
      <w:r w:rsidRPr="00641F25">
        <w:rPr>
          <w:rFonts w:cs="Arial"/>
          <w:sz w:val="20"/>
          <w:szCs w:val="20"/>
        </w:rPr>
        <w:t xml:space="preserve">, including any monthly device credit that </w:t>
      </w:r>
      <w:r w:rsidRPr="00641F25">
        <w:rPr>
          <w:rFonts w:cs="Arial"/>
          <w:i/>
          <w:sz w:val="20"/>
          <w:szCs w:val="20"/>
        </w:rPr>
        <w:t>we</w:t>
      </w:r>
      <w:r w:rsidRPr="00641F25">
        <w:rPr>
          <w:rFonts w:cs="Arial"/>
          <w:sz w:val="20"/>
          <w:szCs w:val="20"/>
        </w:rPr>
        <w:t xml:space="preserve"> were going to cover, and purchase or lease a new </w:t>
      </w:r>
      <w:r w:rsidRPr="00641F25">
        <w:rPr>
          <w:rFonts w:cs="Arial"/>
          <w:i/>
          <w:sz w:val="20"/>
          <w:szCs w:val="20"/>
        </w:rPr>
        <w:t>mobile device</w:t>
      </w:r>
      <w:r w:rsidRPr="00641F25">
        <w:rPr>
          <w:rFonts w:cs="Arial"/>
          <w:sz w:val="20"/>
          <w:szCs w:val="20"/>
        </w:rPr>
        <w:t xml:space="preserve"> on a new 24 month plan.</w:t>
      </w:r>
    </w:p>
    <w:p w14:paraId="3B5CDA22" w14:textId="77777777" w:rsidR="00735147" w:rsidRDefault="00735147" w:rsidP="00735147">
      <w:pPr>
        <w:ind w:left="2160"/>
        <w:rPr>
          <w:rFonts w:cs="Arial"/>
          <w:sz w:val="20"/>
          <w:szCs w:val="20"/>
        </w:rPr>
      </w:pPr>
    </w:p>
    <w:p w14:paraId="742919D9" w14:textId="77777777" w:rsidR="00735147" w:rsidRDefault="00735147" w:rsidP="00735147">
      <w:pPr>
        <w:ind w:left="2160"/>
        <w:rPr>
          <w:rFonts w:cs="Arial"/>
          <w:sz w:val="20"/>
          <w:szCs w:val="20"/>
        </w:rPr>
      </w:pPr>
    </w:p>
    <w:p w14:paraId="67D18F51" w14:textId="77777777" w:rsidR="00735147" w:rsidRDefault="00735147" w:rsidP="00735147">
      <w:pPr>
        <w:ind w:left="2160"/>
        <w:rPr>
          <w:rFonts w:cs="Arial"/>
          <w:sz w:val="20"/>
          <w:szCs w:val="20"/>
        </w:rPr>
      </w:pPr>
    </w:p>
    <w:p w14:paraId="6D740F6F" w14:textId="77777777" w:rsidR="00735147" w:rsidRPr="00641F25" w:rsidRDefault="00735147" w:rsidP="00735147">
      <w:pPr>
        <w:ind w:left="2160"/>
        <w:rPr>
          <w:rFonts w:cs="Arial"/>
          <w:sz w:val="20"/>
          <w:szCs w:val="20"/>
        </w:rPr>
      </w:pPr>
    </w:p>
    <w:p w14:paraId="1880FC94" w14:textId="77777777" w:rsidR="00735147" w:rsidRPr="00641F25" w:rsidRDefault="00735147" w:rsidP="00735147">
      <w:pPr>
        <w:pStyle w:val="Heading6"/>
        <w:tabs>
          <w:tab w:val="clear" w:pos="720"/>
        </w:tabs>
        <w:ind w:left="0" w:firstLine="0"/>
        <w:rPr>
          <w:rFonts w:cs="Arial"/>
          <w:snapToGrid w:val="0"/>
          <w:szCs w:val="20"/>
        </w:rPr>
      </w:pPr>
      <w:bookmarkStart w:id="1644" w:name="_Toc481150260"/>
      <w:bookmarkStart w:id="1645" w:name="_Toc481157065"/>
      <w:bookmarkStart w:id="1646" w:name="_Toc489971289"/>
      <w:r w:rsidRPr="00641F25">
        <w:rPr>
          <w:rFonts w:cs="Arial"/>
          <w:snapToGrid w:val="0"/>
          <w:szCs w:val="20"/>
        </w:rPr>
        <w:t>Data Sharing</w:t>
      </w:r>
      <w:bookmarkEnd w:id="1644"/>
      <w:bookmarkEnd w:id="1645"/>
      <w:bookmarkEnd w:id="1646"/>
    </w:p>
    <w:p w14:paraId="276678EF" w14:textId="77777777" w:rsidR="00735147" w:rsidRPr="00641F25" w:rsidRDefault="00735147" w:rsidP="00735147">
      <w:pPr>
        <w:pStyle w:val="Heading7"/>
        <w:rPr>
          <w:rFonts w:cs="Arial"/>
          <w:snapToGrid w:val="0"/>
          <w:szCs w:val="20"/>
        </w:rPr>
      </w:pPr>
      <w:r w:rsidRPr="00641F25">
        <w:rPr>
          <w:rFonts w:cs="Arial"/>
          <w:szCs w:val="20"/>
          <w:lang w:eastAsia="en-AU"/>
        </w:rPr>
        <w:t xml:space="preserve">If </w:t>
      </w:r>
      <w:r w:rsidRPr="00641F25">
        <w:rPr>
          <w:rFonts w:cs="Arial"/>
          <w:i/>
          <w:szCs w:val="20"/>
          <w:lang w:eastAsia="en-AU"/>
        </w:rPr>
        <w:t xml:space="preserve">you </w:t>
      </w:r>
      <w:r w:rsidRPr="00641F25">
        <w:rPr>
          <w:rFonts w:cs="Arial"/>
          <w:szCs w:val="20"/>
          <w:lang w:eastAsia="en-AU"/>
        </w:rPr>
        <w:t xml:space="preserve">have more than one </w:t>
      </w:r>
      <w:r w:rsidRPr="00641F25">
        <w:rPr>
          <w:rFonts w:cs="Arial"/>
          <w:szCs w:val="20"/>
        </w:rPr>
        <w:t>My Plan Plus</w:t>
      </w:r>
      <w:r w:rsidRPr="00641F25">
        <w:rPr>
          <w:rFonts w:cs="Arial"/>
          <w:color w:val="000000"/>
          <w:szCs w:val="20"/>
          <w:lang w:eastAsia="en-AU"/>
        </w:rPr>
        <w:t xml:space="preserve">, </w:t>
      </w:r>
      <w:r w:rsidRPr="00641F25">
        <w:rPr>
          <w:rFonts w:cs="Arial"/>
          <w:szCs w:val="20"/>
          <w:lang w:eastAsia="en-AU"/>
        </w:rPr>
        <w:t>My Plan Plus SIM Only, My Plan Plus 12M SIM Only, My Plan Business (including Tech Fund), My Plan Business SIM, My Plan Business 12M SIM, Business Plan, My Plan Flex, My Plan Business Flex, Business Lease, My Mobile Broadband</w:t>
      </w:r>
      <w:r w:rsidRPr="00641F25">
        <w:rPr>
          <w:rFonts w:cs="Arial"/>
          <w:color w:val="000000"/>
          <w:szCs w:val="20"/>
          <w:lang w:eastAsia="en-AU"/>
        </w:rPr>
        <w:t xml:space="preserve"> Plus, Mobile Broadband Business</w:t>
      </w:r>
      <w:r w:rsidRPr="00641F25">
        <w:rPr>
          <w:rFonts w:cs="Arial"/>
          <w:szCs w:val="20"/>
        </w:rPr>
        <w:t xml:space="preserve"> or Shared Data Plan </w:t>
      </w:r>
      <w:r w:rsidRPr="00641F25">
        <w:rPr>
          <w:rFonts w:cs="Arial"/>
          <w:szCs w:val="20"/>
          <w:lang w:eastAsia="en-AU"/>
        </w:rPr>
        <w:t>on the same billing account, the included data will combine into one data pool, which will be shared by all eligible services on that account.</w:t>
      </w:r>
    </w:p>
    <w:p w14:paraId="213A2106" w14:textId="77777777" w:rsidR="00735147" w:rsidRPr="00641F25" w:rsidRDefault="00735147" w:rsidP="00735147">
      <w:pPr>
        <w:pStyle w:val="Heading7"/>
        <w:rPr>
          <w:rFonts w:cs="Arial"/>
          <w:snapToGrid w:val="0"/>
          <w:szCs w:val="20"/>
        </w:rPr>
      </w:pPr>
      <w:r w:rsidRPr="00641F25">
        <w:rPr>
          <w:rFonts w:cs="Arial"/>
          <w:snapToGrid w:val="0"/>
          <w:szCs w:val="20"/>
        </w:rPr>
        <w:t xml:space="preserve">If </w:t>
      </w:r>
      <w:r w:rsidRPr="00641F25">
        <w:rPr>
          <w:rFonts w:cs="Arial"/>
          <w:i/>
          <w:snapToGrid w:val="0"/>
          <w:szCs w:val="20"/>
        </w:rPr>
        <w:t>you</w:t>
      </w:r>
      <w:r w:rsidRPr="00641F25">
        <w:rPr>
          <w:rFonts w:cs="Arial"/>
          <w:snapToGrid w:val="0"/>
          <w:szCs w:val="20"/>
        </w:rPr>
        <w:t xml:space="preserve"> do not want </w:t>
      </w:r>
      <w:r w:rsidRPr="00641F25">
        <w:rPr>
          <w:rFonts w:cs="Arial"/>
          <w:i/>
          <w:snapToGrid w:val="0"/>
          <w:szCs w:val="20"/>
        </w:rPr>
        <w:t>your</w:t>
      </w:r>
      <w:r w:rsidRPr="00641F25">
        <w:rPr>
          <w:rFonts w:cs="Arial"/>
          <w:snapToGrid w:val="0"/>
          <w:szCs w:val="20"/>
        </w:rPr>
        <w:t xml:space="preserve"> services to share data, they need to be on separate billing accounts.</w:t>
      </w:r>
    </w:p>
    <w:p w14:paraId="4E119F7F" w14:textId="77777777" w:rsidR="00735147" w:rsidRPr="00641F25" w:rsidRDefault="00735147" w:rsidP="00735147">
      <w:pPr>
        <w:pStyle w:val="Heading7"/>
        <w:rPr>
          <w:rFonts w:cs="Arial"/>
          <w:snapToGrid w:val="0"/>
          <w:szCs w:val="20"/>
        </w:rPr>
      </w:pPr>
      <w:r w:rsidRPr="00641F25">
        <w:rPr>
          <w:rFonts w:cs="Arial"/>
          <w:snapToGrid w:val="0"/>
          <w:szCs w:val="20"/>
        </w:rPr>
        <w:t>Data sharing is only available within Australia.</w:t>
      </w:r>
    </w:p>
    <w:p w14:paraId="1520AD72" w14:textId="77777777" w:rsidR="00735147" w:rsidRPr="00641F25" w:rsidRDefault="00735147" w:rsidP="00735147">
      <w:pPr>
        <w:pStyle w:val="Heading6"/>
        <w:ind w:left="0" w:firstLine="0"/>
        <w:rPr>
          <w:rFonts w:cs="Arial"/>
          <w:snapToGrid w:val="0"/>
          <w:szCs w:val="20"/>
        </w:rPr>
      </w:pPr>
      <w:bookmarkStart w:id="1647" w:name="_Toc481150261"/>
      <w:bookmarkStart w:id="1648" w:name="_Toc481157066"/>
      <w:bookmarkStart w:id="1649" w:name="_Toc489971290"/>
      <w:r w:rsidRPr="00641F25">
        <w:rPr>
          <w:rFonts w:cs="Arial"/>
          <w:snapToGrid w:val="0"/>
          <w:szCs w:val="20"/>
        </w:rPr>
        <w:t>International Minutes</w:t>
      </w:r>
      <w:bookmarkEnd w:id="1647"/>
      <w:bookmarkEnd w:id="1648"/>
      <w:bookmarkEnd w:id="1649"/>
    </w:p>
    <w:p w14:paraId="21AAADE1" w14:textId="77777777" w:rsidR="00735147" w:rsidRPr="00641F25" w:rsidRDefault="00735147" w:rsidP="00735147">
      <w:pPr>
        <w:pStyle w:val="BodyText"/>
        <w:ind w:left="720"/>
        <w:rPr>
          <w:rFonts w:cs="Arial"/>
          <w:szCs w:val="20"/>
        </w:rPr>
      </w:pPr>
      <w:r w:rsidRPr="00641F25">
        <w:rPr>
          <w:rFonts w:cs="Arial"/>
          <w:szCs w:val="20"/>
        </w:rPr>
        <w:t>These plans include unlimited international minutes for standard calls to mobiles and fixed lines to selected countries. For a list of selected countries see Table 3 below.</w:t>
      </w:r>
    </w:p>
    <w:p w14:paraId="2BDD64CF" w14:textId="77777777" w:rsidR="00735147" w:rsidRPr="00641F25" w:rsidRDefault="00735147" w:rsidP="00735147">
      <w:pPr>
        <w:pStyle w:val="BodyText"/>
        <w:ind w:left="720"/>
        <w:rPr>
          <w:rFonts w:cs="Arial"/>
          <w:szCs w:val="20"/>
        </w:rPr>
      </w:pPr>
      <w:r w:rsidRPr="00641F25">
        <w:rPr>
          <w:rFonts w:cs="Arial"/>
          <w:szCs w:val="20"/>
        </w:rPr>
        <w:t xml:space="preserve">Standard 'yes' international call charges apply for calls to excluded countries. </w:t>
      </w:r>
    </w:p>
    <w:p w14:paraId="67712B65" w14:textId="77777777" w:rsidR="00735147" w:rsidRPr="00641F25" w:rsidRDefault="00735147" w:rsidP="00735147">
      <w:pPr>
        <w:pStyle w:val="Heading6"/>
        <w:ind w:left="0" w:firstLine="0"/>
        <w:rPr>
          <w:rFonts w:cs="Arial"/>
          <w:snapToGrid w:val="0"/>
          <w:szCs w:val="20"/>
        </w:rPr>
      </w:pPr>
      <w:bookmarkStart w:id="1650" w:name="_Toc481150262"/>
      <w:bookmarkStart w:id="1651" w:name="_Toc481157067"/>
      <w:bookmarkStart w:id="1652" w:name="_Toc489971291"/>
      <w:r w:rsidRPr="00641F25">
        <w:rPr>
          <w:rFonts w:cs="Arial"/>
          <w:snapToGrid w:val="0"/>
          <w:szCs w:val="20"/>
        </w:rPr>
        <w:t>Unlimited standard national SMS and MMS</w:t>
      </w:r>
      <w:bookmarkEnd w:id="1650"/>
      <w:bookmarkEnd w:id="1651"/>
      <w:bookmarkEnd w:id="1652"/>
    </w:p>
    <w:p w14:paraId="7B9AA57E" w14:textId="77777777" w:rsidR="00735147" w:rsidRPr="00641F25" w:rsidRDefault="00735147" w:rsidP="00735147">
      <w:pPr>
        <w:pStyle w:val="BodyText"/>
        <w:ind w:left="720"/>
        <w:rPr>
          <w:rFonts w:cs="Arial"/>
          <w:szCs w:val="20"/>
        </w:rPr>
      </w:pPr>
      <w:r w:rsidRPr="00641F25">
        <w:rPr>
          <w:rFonts w:cs="Arial"/>
          <w:i/>
          <w:szCs w:val="20"/>
        </w:rPr>
        <w:t>You</w:t>
      </w:r>
      <w:r w:rsidRPr="00641F25">
        <w:rPr>
          <w:rFonts w:cs="Arial"/>
          <w:szCs w:val="20"/>
        </w:rPr>
        <w:t xml:space="preserve"> may send unlimited standard SMS and MMS to Australian mobiles from within Australia.</w:t>
      </w:r>
    </w:p>
    <w:p w14:paraId="76CBD0E0" w14:textId="77777777" w:rsidR="00735147" w:rsidRPr="00641F25" w:rsidRDefault="00735147" w:rsidP="00735147">
      <w:pPr>
        <w:pStyle w:val="BodyText"/>
        <w:ind w:left="720"/>
        <w:rPr>
          <w:rFonts w:cs="Arial"/>
          <w:szCs w:val="20"/>
        </w:rPr>
      </w:pPr>
      <w:r w:rsidRPr="00641F25">
        <w:rPr>
          <w:rFonts w:cs="Arial"/>
          <w:szCs w:val="20"/>
        </w:rPr>
        <w:t xml:space="preserve">Unlimited standard national SMS and MMS are only available for personal use and are not to be used for a commercial or non-ordinary purpose as set out in the </w:t>
      </w:r>
      <w:hyperlink r:id="rId742" w:history="1">
        <w:r w:rsidRPr="00641F25">
          <w:rPr>
            <w:rStyle w:val="Hyperlink"/>
            <w:rFonts w:cs="Arial"/>
            <w:i/>
            <w:szCs w:val="20"/>
          </w:rPr>
          <w:t>Fair Go Policy</w:t>
        </w:r>
        <w:r w:rsidRPr="00641F25">
          <w:rPr>
            <w:rStyle w:val="Hyperlink"/>
            <w:rFonts w:cs="Arial"/>
            <w:szCs w:val="20"/>
          </w:rPr>
          <w:t>.</w:t>
        </w:r>
      </w:hyperlink>
      <w:r w:rsidRPr="00641F25">
        <w:rPr>
          <w:rFonts w:cs="Arial"/>
          <w:szCs w:val="20"/>
        </w:rPr>
        <w:t xml:space="preserve"> For further details refer to </w:t>
      </w:r>
      <w:hyperlink r:id="rId743" w:history="1">
        <w:r w:rsidRPr="00641F25">
          <w:rPr>
            <w:rStyle w:val="Hyperlink"/>
            <w:rFonts w:cs="Arial"/>
            <w:i/>
            <w:szCs w:val="20"/>
          </w:rPr>
          <w:t>Appendix S</w:t>
        </w:r>
        <w:r w:rsidRPr="00641F25">
          <w:rPr>
            <w:rStyle w:val="Hyperlink"/>
            <w:rFonts w:cs="Arial"/>
            <w:szCs w:val="20"/>
          </w:rPr>
          <w:t>.</w:t>
        </w:r>
      </w:hyperlink>
    </w:p>
    <w:p w14:paraId="04191631" w14:textId="77777777" w:rsidR="00735147" w:rsidRPr="00641F25" w:rsidRDefault="00735147" w:rsidP="00735147">
      <w:pPr>
        <w:pStyle w:val="Heading6"/>
        <w:ind w:left="0" w:firstLine="0"/>
        <w:rPr>
          <w:rFonts w:cs="Arial"/>
          <w:snapToGrid w:val="0"/>
          <w:szCs w:val="20"/>
        </w:rPr>
      </w:pPr>
      <w:bookmarkStart w:id="1653" w:name="_Toc481150263"/>
      <w:bookmarkStart w:id="1654" w:name="_Toc481157068"/>
      <w:bookmarkStart w:id="1655" w:name="_Toc489971292"/>
      <w:r w:rsidRPr="00641F25">
        <w:rPr>
          <w:rFonts w:cs="Arial"/>
          <w:snapToGrid w:val="0"/>
          <w:szCs w:val="20"/>
        </w:rPr>
        <w:t>Unlimited standard international SMS and MMS</w:t>
      </w:r>
      <w:bookmarkEnd w:id="1653"/>
      <w:bookmarkEnd w:id="1654"/>
      <w:bookmarkEnd w:id="1655"/>
    </w:p>
    <w:p w14:paraId="5175102B" w14:textId="77777777" w:rsidR="00735147" w:rsidRPr="00641F25" w:rsidRDefault="00735147" w:rsidP="00735147">
      <w:pPr>
        <w:pStyle w:val="BodyText"/>
        <w:ind w:left="720"/>
        <w:rPr>
          <w:rFonts w:cs="Arial"/>
          <w:szCs w:val="20"/>
        </w:rPr>
      </w:pPr>
      <w:r w:rsidRPr="00641F25">
        <w:rPr>
          <w:rFonts w:cs="Arial"/>
          <w:i/>
          <w:szCs w:val="20"/>
        </w:rPr>
        <w:t>You</w:t>
      </w:r>
      <w:r w:rsidRPr="00641F25">
        <w:rPr>
          <w:rFonts w:cs="Arial"/>
          <w:szCs w:val="20"/>
        </w:rPr>
        <w:t xml:space="preserve"> may send unlimited standard SMS and MMS to selected countries. For a list of selected countries see Table 3 below.</w:t>
      </w:r>
    </w:p>
    <w:p w14:paraId="12FA2E92" w14:textId="77777777" w:rsidR="00735147" w:rsidRPr="00641F25" w:rsidRDefault="00735147" w:rsidP="00735147">
      <w:pPr>
        <w:pStyle w:val="BodyText"/>
        <w:spacing w:after="0"/>
        <w:ind w:left="720"/>
        <w:rPr>
          <w:rFonts w:cs="Arial"/>
          <w:szCs w:val="20"/>
        </w:rPr>
      </w:pPr>
      <w:r w:rsidRPr="00641F25">
        <w:rPr>
          <w:rFonts w:cs="Arial"/>
          <w:szCs w:val="20"/>
        </w:rPr>
        <w:t xml:space="preserve">Unlimited standard SMS and MMS are only available for personal use and are not to be used for a commercial or non-ordinary purpose as set out in the </w:t>
      </w:r>
      <w:hyperlink r:id="rId744" w:history="1">
        <w:r w:rsidRPr="00641F25">
          <w:rPr>
            <w:rStyle w:val="Hyperlink"/>
            <w:rFonts w:cs="Arial"/>
            <w:i/>
            <w:szCs w:val="20"/>
          </w:rPr>
          <w:t>Fair Go Policy</w:t>
        </w:r>
        <w:r w:rsidRPr="00641F25">
          <w:rPr>
            <w:rStyle w:val="Hyperlink"/>
            <w:rFonts w:cs="Arial"/>
            <w:szCs w:val="20"/>
          </w:rPr>
          <w:t>.</w:t>
        </w:r>
      </w:hyperlink>
      <w:r w:rsidRPr="00641F25">
        <w:rPr>
          <w:rFonts w:cs="Arial"/>
          <w:szCs w:val="20"/>
        </w:rPr>
        <w:t xml:space="preserve"> For further details refer to </w:t>
      </w:r>
      <w:hyperlink r:id="rId745" w:history="1">
        <w:r w:rsidRPr="00641F25">
          <w:rPr>
            <w:rStyle w:val="Hyperlink"/>
            <w:rFonts w:cs="Arial"/>
            <w:i/>
            <w:szCs w:val="20"/>
          </w:rPr>
          <w:t>Appendix S.</w:t>
        </w:r>
      </w:hyperlink>
    </w:p>
    <w:p w14:paraId="22D94E90" w14:textId="77777777" w:rsidR="00735147" w:rsidRPr="00641F25" w:rsidRDefault="00735147" w:rsidP="00735147">
      <w:pPr>
        <w:ind w:left="720"/>
        <w:rPr>
          <w:rFonts w:cs="Arial"/>
          <w:sz w:val="20"/>
          <w:szCs w:val="20"/>
        </w:rPr>
      </w:pPr>
    </w:p>
    <w:p w14:paraId="05A7B4A5" w14:textId="77777777" w:rsidR="00735147" w:rsidRPr="00641F25" w:rsidRDefault="00735147" w:rsidP="00735147">
      <w:pPr>
        <w:pStyle w:val="Heading6"/>
        <w:ind w:left="0" w:firstLine="0"/>
        <w:rPr>
          <w:rFonts w:cs="Arial"/>
          <w:snapToGrid w:val="0"/>
          <w:szCs w:val="20"/>
        </w:rPr>
      </w:pPr>
      <w:bookmarkStart w:id="1656" w:name="_Toc481150265"/>
      <w:bookmarkStart w:id="1657" w:name="_Toc481157070"/>
      <w:bookmarkStart w:id="1658" w:name="_Toc489971293"/>
      <w:r w:rsidRPr="00641F25">
        <w:rPr>
          <w:rFonts w:cs="Arial"/>
          <w:snapToGrid w:val="0"/>
          <w:szCs w:val="20"/>
        </w:rPr>
        <w:t>Additional benefit – Device Credit</w:t>
      </w:r>
      <w:bookmarkEnd w:id="1656"/>
      <w:bookmarkEnd w:id="1657"/>
      <w:bookmarkEnd w:id="1658"/>
      <w:r w:rsidRPr="00641F25">
        <w:rPr>
          <w:rFonts w:cs="Arial"/>
          <w:snapToGrid w:val="0"/>
          <w:szCs w:val="20"/>
        </w:rPr>
        <w:t xml:space="preserve">  </w:t>
      </w:r>
    </w:p>
    <w:p w14:paraId="0DC9D89D" w14:textId="77777777" w:rsidR="00735147" w:rsidRPr="00641F25" w:rsidRDefault="00735147" w:rsidP="00735147">
      <w:pPr>
        <w:pStyle w:val="Heading7"/>
        <w:rPr>
          <w:rFonts w:cs="Arial"/>
          <w:szCs w:val="20"/>
        </w:rPr>
      </w:pPr>
      <w:r w:rsidRPr="00641F25">
        <w:rPr>
          <w:rFonts w:cs="Arial"/>
          <w:szCs w:val="20"/>
        </w:rPr>
        <w:t>When</w:t>
      </w:r>
      <w:r w:rsidRPr="00641F25">
        <w:rPr>
          <w:rFonts w:cs="Arial"/>
          <w:i/>
          <w:szCs w:val="20"/>
        </w:rPr>
        <w:t xml:space="preserve"> you </w:t>
      </w:r>
      <w:r w:rsidRPr="00641F25">
        <w:rPr>
          <w:rFonts w:cs="Arial"/>
          <w:szCs w:val="20"/>
        </w:rPr>
        <w:t xml:space="preserve">connect to a </w:t>
      </w:r>
      <w:r w:rsidRPr="00641F25">
        <w:rPr>
          <w:rFonts w:cs="Arial"/>
          <w:color w:val="000000"/>
          <w:szCs w:val="20"/>
          <w:lang w:eastAsia="en-AU"/>
        </w:rPr>
        <w:t>My Plan Business Flex</w:t>
      </w:r>
      <w:r w:rsidRPr="00641F25">
        <w:rPr>
          <w:rFonts w:cs="Arial"/>
          <w:szCs w:val="20"/>
        </w:rPr>
        <w:t xml:space="preserve"> plan which has a monthly device credit ('</w:t>
      </w:r>
      <w:r w:rsidRPr="00641F25">
        <w:rPr>
          <w:rFonts w:cs="Arial"/>
          <w:b/>
          <w:szCs w:val="20"/>
        </w:rPr>
        <w:t>Device Credit</w:t>
      </w:r>
      <w:r w:rsidRPr="00641F25">
        <w:rPr>
          <w:rFonts w:cs="Arial"/>
          <w:szCs w:val="20"/>
        </w:rPr>
        <w:t xml:space="preserve">') each month for </w:t>
      </w:r>
      <w:r w:rsidRPr="00641F25">
        <w:rPr>
          <w:rFonts w:cs="Arial"/>
          <w:i/>
          <w:szCs w:val="20"/>
        </w:rPr>
        <w:t>your minimum term</w:t>
      </w:r>
      <w:r w:rsidRPr="00641F25">
        <w:rPr>
          <w:rFonts w:cs="Arial"/>
          <w:szCs w:val="20"/>
        </w:rPr>
        <w:t xml:space="preserve">, this will reduce the monthly </w:t>
      </w:r>
      <w:r w:rsidRPr="00641F25">
        <w:rPr>
          <w:rFonts w:cs="Arial"/>
          <w:i/>
          <w:szCs w:val="20"/>
        </w:rPr>
        <w:t>mobile device lease charges</w:t>
      </w:r>
      <w:r w:rsidRPr="00641F25">
        <w:rPr>
          <w:rFonts w:cs="Arial"/>
          <w:szCs w:val="20"/>
        </w:rPr>
        <w:t xml:space="preserve"> of the </w:t>
      </w:r>
      <w:r w:rsidRPr="00641F25">
        <w:rPr>
          <w:rFonts w:cs="Arial"/>
          <w:i/>
          <w:szCs w:val="20"/>
        </w:rPr>
        <w:t>mobile device</w:t>
      </w:r>
      <w:r w:rsidRPr="00641F25">
        <w:rPr>
          <w:rFonts w:cs="Arial"/>
          <w:szCs w:val="20"/>
        </w:rPr>
        <w:t xml:space="preserve"> </w:t>
      </w:r>
      <w:r w:rsidRPr="00641F25">
        <w:rPr>
          <w:rFonts w:cs="Arial"/>
          <w:i/>
          <w:szCs w:val="20"/>
        </w:rPr>
        <w:t xml:space="preserve">you </w:t>
      </w:r>
      <w:r w:rsidRPr="00641F25">
        <w:rPr>
          <w:rFonts w:cs="Arial"/>
          <w:szCs w:val="20"/>
        </w:rPr>
        <w:t xml:space="preserve">have chosen to lease with </w:t>
      </w:r>
      <w:r w:rsidRPr="00641F25">
        <w:rPr>
          <w:rFonts w:cs="Arial"/>
          <w:i/>
          <w:szCs w:val="20"/>
        </w:rPr>
        <w:t>your pricing plan</w:t>
      </w:r>
      <w:r w:rsidRPr="00641F25">
        <w:rPr>
          <w:rFonts w:cs="Arial"/>
          <w:szCs w:val="20"/>
        </w:rPr>
        <w:t xml:space="preserve">. </w:t>
      </w:r>
    </w:p>
    <w:p w14:paraId="1387BB21" w14:textId="77777777" w:rsidR="00735147" w:rsidRPr="00641F25" w:rsidRDefault="00735147" w:rsidP="00735147">
      <w:pPr>
        <w:pStyle w:val="Heading7"/>
        <w:rPr>
          <w:rFonts w:cs="Arial"/>
          <w:szCs w:val="20"/>
        </w:rPr>
      </w:pPr>
      <w:r w:rsidRPr="00641F25">
        <w:rPr>
          <w:rFonts w:cs="Arial"/>
          <w:szCs w:val="20"/>
        </w:rPr>
        <w:lastRenderedPageBreak/>
        <w:t xml:space="preserve">If </w:t>
      </w:r>
      <w:r w:rsidRPr="00641F25">
        <w:rPr>
          <w:rFonts w:cs="Arial"/>
          <w:i/>
          <w:szCs w:val="20"/>
        </w:rPr>
        <w:t>you</w:t>
      </w:r>
      <w:r w:rsidRPr="00641F25">
        <w:rPr>
          <w:rFonts w:cs="Arial"/>
          <w:szCs w:val="20"/>
        </w:rPr>
        <w:t xml:space="preserve"> </w:t>
      </w:r>
      <w:r w:rsidRPr="00641F25">
        <w:rPr>
          <w:rFonts w:cs="Arial"/>
          <w:i/>
          <w:szCs w:val="20"/>
        </w:rPr>
        <w:t>cancel your pricing plan</w:t>
      </w:r>
      <w:r w:rsidRPr="00641F25">
        <w:rPr>
          <w:rFonts w:cs="Arial"/>
          <w:szCs w:val="20"/>
        </w:rPr>
        <w:t xml:space="preserve"> and the </w:t>
      </w:r>
      <w:r w:rsidRPr="00641F25">
        <w:rPr>
          <w:rFonts w:cs="Arial"/>
          <w:i/>
          <w:szCs w:val="20"/>
        </w:rPr>
        <w:t xml:space="preserve">mobile equipment payment plan </w:t>
      </w:r>
      <w:r w:rsidRPr="00641F25">
        <w:rPr>
          <w:rFonts w:cs="Arial"/>
          <w:szCs w:val="20"/>
        </w:rPr>
        <w:t xml:space="preserve">during </w:t>
      </w:r>
      <w:r w:rsidRPr="00641F25">
        <w:rPr>
          <w:rFonts w:cs="Arial"/>
          <w:i/>
          <w:szCs w:val="20"/>
        </w:rPr>
        <w:t>your minimum term</w:t>
      </w:r>
      <w:r w:rsidRPr="00641F25">
        <w:rPr>
          <w:rFonts w:cs="Arial"/>
          <w:szCs w:val="20"/>
        </w:rPr>
        <w:t xml:space="preserve">, </w:t>
      </w:r>
      <w:r w:rsidRPr="00641F25">
        <w:rPr>
          <w:rFonts w:cs="Arial"/>
          <w:i/>
          <w:szCs w:val="20"/>
        </w:rPr>
        <w:t>you</w:t>
      </w:r>
      <w:r w:rsidRPr="00641F25">
        <w:rPr>
          <w:rFonts w:cs="Arial"/>
          <w:szCs w:val="20"/>
        </w:rPr>
        <w:t xml:space="preserve"> will no longer be entitled to these </w:t>
      </w:r>
      <w:r w:rsidRPr="00641F25">
        <w:rPr>
          <w:rFonts w:cs="Arial"/>
          <w:i/>
          <w:szCs w:val="20"/>
        </w:rPr>
        <w:t>Mobile device</w:t>
      </w:r>
      <w:r w:rsidRPr="00641F25">
        <w:rPr>
          <w:rFonts w:cs="Arial"/>
          <w:szCs w:val="20"/>
        </w:rPr>
        <w:t xml:space="preserve"> Credits and </w:t>
      </w:r>
      <w:r w:rsidRPr="00641F25">
        <w:rPr>
          <w:rFonts w:cs="Arial"/>
          <w:i/>
          <w:szCs w:val="20"/>
        </w:rPr>
        <w:t>you</w:t>
      </w:r>
      <w:r w:rsidRPr="00641F25">
        <w:rPr>
          <w:rFonts w:cs="Arial"/>
          <w:szCs w:val="20"/>
        </w:rPr>
        <w:t xml:space="preserve"> may be required to pay the remaining monthly </w:t>
      </w:r>
      <w:r w:rsidRPr="00641F25">
        <w:rPr>
          <w:rFonts w:cs="Arial"/>
          <w:i/>
          <w:szCs w:val="20"/>
        </w:rPr>
        <w:t xml:space="preserve">mobile device charges </w:t>
      </w:r>
      <w:r w:rsidRPr="00641F25">
        <w:rPr>
          <w:rFonts w:cs="Arial"/>
          <w:szCs w:val="20"/>
        </w:rPr>
        <w:t>in full in addition to other applicable fees and charges</w:t>
      </w:r>
      <w:r w:rsidRPr="00641F25">
        <w:rPr>
          <w:rFonts w:cs="Arial"/>
          <w:i/>
          <w:szCs w:val="20"/>
        </w:rPr>
        <w:t xml:space="preserve"> (</w:t>
      </w:r>
      <w:r w:rsidRPr="00641F25">
        <w:rPr>
          <w:rFonts w:cs="Arial"/>
          <w:szCs w:val="20"/>
        </w:rPr>
        <w:t>see</w:t>
      </w:r>
      <w:r w:rsidRPr="00641F25">
        <w:rPr>
          <w:rFonts w:cs="Arial"/>
          <w:i/>
          <w:szCs w:val="20"/>
        </w:rPr>
        <w:t xml:space="preserve"> Appendix DDD)</w:t>
      </w:r>
    </w:p>
    <w:p w14:paraId="5922AE63" w14:textId="77777777" w:rsidR="00735147" w:rsidRPr="00641F25" w:rsidRDefault="00735147" w:rsidP="00735147">
      <w:pPr>
        <w:rPr>
          <w:rFonts w:cs="Arial"/>
          <w:sz w:val="20"/>
          <w:szCs w:val="20"/>
        </w:rPr>
      </w:pPr>
    </w:p>
    <w:p w14:paraId="2288FE28" w14:textId="77777777" w:rsidR="00735147" w:rsidRPr="00641F25" w:rsidRDefault="00735147" w:rsidP="00735147">
      <w:pPr>
        <w:pStyle w:val="BodyText"/>
        <w:ind w:left="426" w:hanging="426"/>
        <w:rPr>
          <w:rFonts w:cs="Arial"/>
          <w:b/>
          <w:szCs w:val="20"/>
        </w:rPr>
      </w:pPr>
      <w:r w:rsidRPr="00641F25">
        <w:rPr>
          <w:rFonts w:cs="Arial"/>
          <w:b/>
          <w:szCs w:val="20"/>
        </w:rPr>
        <w:t>Table 1 –Plan Inclusions and Charges</w:t>
      </w: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9"/>
        <w:gridCol w:w="2774"/>
        <w:gridCol w:w="2459"/>
      </w:tblGrid>
      <w:tr w:rsidR="00735147" w:rsidRPr="00641F25" w14:paraId="4184F89E" w14:textId="77777777" w:rsidTr="00735147">
        <w:tc>
          <w:tcPr>
            <w:tcW w:w="4644" w:type="dxa"/>
            <w:shd w:val="clear" w:color="auto" w:fill="auto"/>
            <w:vAlign w:val="center"/>
          </w:tcPr>
          <w:p w14:paraId="7C8B1779" w14:textId="77777777" w:rsidR="00735147" w:rsidRPr="00641F25" w:rsidRDefault="00735147" w:rsidP="00735147">
            <w:pPr>
              <w:pStyle w:val="BodyText"/>
              <w:jc w:val="center"/>
              <w:rPr>
                <w:rFonts w:cs="Arial"/>
                <w:b/>
                <w:szCs w:val="20"/>
              </w:rPr>
            </w:pPr>
          </w:p>
        </w:tc>
        <w:tc>
          <w:tcPr>
            <w:tcW w:w="2835" w:type="dxa"/>
            <w:shd w:val="clear" w:color="auto" w:fill="auto"/>
            <w:vAlign w:val="center"/>
          </w:tcPr>
          <w:p w14:paraId="7F108014" w14:textId="77777777" w:rsidR="00735147" w:rsidRPr="00641F25" w:rsidRDefault="00735147" w:rsidP="00735147">
            <w:pPr>
              <w:pStyle w:val="BodyText"/>
              <w:jc w:val="center"/>
              <w:rPr>
                <w:rFonts w:cs="Arial"/>
                <w:b/>
                <w:szCs w:val="20"/>
              </w:rPr>
            </w:pPr>
            <w:r w:rsidRPr="00641F25">
              <w:rPr>
                <w:rFonts w:cs="Arial"/>
                <w:b/>
                <w:szCs w:val="20"/>
              </w:rPr>
              <w:t xml:space="preserve">$75 </w:t>
            </w:r>
            <w:r w:rsidRPr="00641F25">
              <w:rPr>
                <w:rFonts w:cs="Arial"/>
                <w:b/>
                <w:color w:val="000000"/>
                <w:szCs w:val="20"/>
                <w:lang w:eastAsia="en-AU"/>
              </w:rPr>
              <w:t>My Plan Business Flex</w:t>
            </w:r>
          </w:p>
        </w:tc>
        <w:tc>
          <w:tcPr>
            <w:tcW w:w="2509" w:type="dxa"/>
            <w:shd w:val="clear" w:color="auto" w:fill="auto"/>
            <w:vAlign w:val="center"/>
          </w:tcPr>
          <w:p w14:paraId="370E7AAC" w14:textId="77777777" w:rsidR="00735147" w:rsidRPr="00641F25" w:rsidRDefault="00735147" w:rsidP="00735147">
            <w:pPr>
              <w:pStyle w:val="BodyText"/>
              <w:jc w:val="center"/>
              <w:rPr>
                <w:rFonts w:cs="Arial"/>
                <w:b/>
                <w:szCs w:val="20"/>
              </w:rPr>
            </w:pPr>
            <w:r w:rsidRPr="00641F25">
              <w:rPr>
                <w:rFonts w:eastAsia="Calibri" w:cs="Arial"/>
                <w:b/>
                <w:szCs w:val="20"/>
              </w:rPr>
              <w:t>$75 Business Lease</w:t>
            </w:r>
          </w:p>
        </w:tc>
      </w:tr>
      <w:tr w:rsidR="00735147" w:rsidRPr="00641F25" w14:paraId="04043476" w14:textId="77777777" w:rsidTr="00735147">
        <w:tc>
          <w:tcPr>
            <w:tcW w:w="4644" w:type="dxa"/>
            <w:shd w:val="clear" w:color="auto" w:fill="auto"/>
            <w:vAlign w:val="center"/>
          </w:tcPr>
          <w:p w14:paraId="2542A0F6" w14:textId="77777777" w:rsidR="00735147" w:rsidRPr="00641F25" w:rsidRDefault="00735147" w:rsidP="00735147">
            <w:pPr>
              <w:pStyle w:val="BodyText"/>
              <w:jc w:val="center"/>
              <w:rPr>
                <w:rFonts w:cs="Arial"/>
                <w:b/>
                <w:szCs w:val="20"/>
              </w:rPr>
            </w:pPr>
            <w:r w:rsidRPr="00641F25">
              <w:rPr>
                <w:rFonts w:eastAsia="Calibri" w:cs="Arial"/>
                <w:b/>
                <w:bCs/>
                <w:szCs w:val="20"/>
                <w:lang w:eastAsia="en-AU"/>
              </w:rPr>
              <w:t>Minimum Monthly charge</w:t>
            </w:r>
          </w:p>
        </w:tc>
        <w:tc>
          <w:tcPr>
            <w:tcW w:w="2835" w:type="dxa"/>
            <w:shd w:val="clear" w:color="auto" w:fill="auto"/>
            <w:vAlign w:val="center"/>
          </w:tcPr>
          <w:p w14:paraId="0825D5DC" w14:textId="77777777" w:rsidR="00735147" w:rsidRPr="00641F25" w:rsidRDefault="00735147" w:rsidP="00735147">
            <w:pPr>
              <w:pStyle w:val="BodyText"/>
              <w:jc w:val="center"/>
              <w:rPr>
                <w:rFonts w:cs="Arial"/>
                <w:b/>
                <w:szCs w:val="20"/>
              </w:rPr>
            </w:pPr>
            <w:r w:rsidRPr="00641F25">
              <w:rPr>
                <w:rFonts w:eastAsia="Calibri" w:cs="Arial"/>
                <w:szCs w:val="20"/>
              </w:rPr>
              <w:t>$75</w:t>
            </w:r>
          </w:p>
        </w:tc>
        <w:tc>
          <w:tcPr>
            <w:tcW w:w="2509" w:type="dxa"/>
            <w:shd w:val="clear" w:color="auto" w:fill="auto"/>
            <w:vAlign w:val="center"/>
          </w:tcPr>
          <w:p w14:paraId="2E8A2041" w14:textId="77777777" w:rsidR="00735147" w:rsidRPr="00641F25" w:rsidRDefault="00735147" w:rsidP="00735147">
            <w:pPr>
              <w:pStyle w:val="BodyText"/>
              <w:jc w:val="center"/>
              <w:rPr>
                <w:rFonts w:eastAsia="Calibri" w:cs="Arial"/>
                <w:szCs w:val="20"/>
              </w:rPr>
            </w:pPr>
            <w:r w:rsidRPr="00641F25">
              <w:rPr>
                <w:rFonts w:eastAsia="Calibri" w:cs="Arial"/>
                <w:szCs w:val="20"/>
              </w:rPr>
              <w:t>$75</w:t>
            </w:r>
          </w:p>
        </w:tc>
      </w:tr>
      <w:tr w:rsidR="00735147" w:rsidRPr="00641F25" w14:paraId="197399A5" w14:textId="77777777" w:rsidTr="00735147">
        <w:tc>
          <w:tcPr>
            <w:tcW w:w="4644" w:type="dxa"/>
            <w:shd w:val="clear" w:color="auto" w:fill="auto"/>
            <w:vAlign w:val="center"/>
          </w:tcPr>
          <w:p w14:paraId="305D33FD" w14:textId="77777777" w:rsidR="00735147" w:rsidRPr="00641F25" w:rsidRDefault="00735147" w:rsidP="00735147">
            <w:pPr>
              <w:pStyle w:val="BodyText"/>
              <w:jc w:val="center"/>
              <w:rPr>
                <w:rFonts w:cs="Arial"/>
                <w:b/>
                <w:szCs w:val="20"/>
              </w:rPr>
            </w:pPr>
            <w:r w:rsidRPr="00641F25">
              <w:rPr>
                <w:rFonts w:eastAsia="Calibri" w:cs="Arial"/>
                <w:b/>
                <w:bCs/>
                <w:szCs w:val="20"/>
                <w:lang w:eastAsia="en-AU"/>
              </w:rPr>
              <w:t>Minimum total cost over 24 months</w:t>
            </w:r>
          </w:p>
        </w:tc>
        <w:tc>
          <w:tcPr>
            <w:tcW w:w="2835" w:type="dxa"/>
            <w:shd w:val="clear" w:color="auto" w:fill="auto"/>
            <w:vAlign w:val="center"/>
          </w:tcPr>
          <w:p w14:paraId="02A02F54" w14:textId="77777777" w:rsidR="00735147" w:rsidRPr="00641F25" w:rsidRDefault="00735147" w:rsidP="00735147">
            <w:pPr>
              <w:pStyle w:val="BodyText"/>
              <w:jc w:val="center"/>
              <w:rPr>
                <w:rFonts w:cs="Arial"/>
                <w:szCs w:val="20"/>
              </w:rPr>
            </w:pPr>
            <w:r w:rsidRPr="00641F25">
              <w:rPr>
                <w:rFonts w:cs="Arial"/>
                <w:szCs w:val="20"/>
              </w:rPr>
              <w:t>$1800</w:t>
            </w:r>
          </w:p>
        </w:tc>
        <w:tc>
          <w:tcPr>
            <w:tcW w:w="2509" w:type="dxa"/>
            <w:shd w:val="clear" w:color="auto" w:fill="auto"/>
            <w:vAlign w:val="center"/>
          </w:tcPr>
          <w:p w14:paraId="564468C1" w14:textId="77777777" w:rsidR="00735147" w:rsidRPr="00641F25" w:rsidRDefault="00735147" w:rsidP="00735147">
            <w:pPr>
              <w:pStyle w:val="BodyText"/>
              <w:jc w:val="center"/>
              <w:rPr>
                <w:rFonts w:cs="Arial"/>
                <w:szCs w:val="20"/>
              </w:rPr>
            </w:pPr>
            <w:r w:rsidRPr="00641F25">
              <w:rPr>
                <w:rFonts w:cs="Arial"/>
                <w:szCs w:val="20"/>
              </w:rPr>
              <w:t>$1800</w:t>
            </w:r>
          </w:p>
        </w:tc>
      </w:tr>
      <w:tr w:rsidR="00735147" w:rsidRPr="00641F25" w14:paraId="7CCFE1B4" w14:textId="77777777" w:rsidTr="00735147">
        <w:tc>
          <w:tcPr>
            <w:tcW w:w="4644" w:type="dxa"/>
            <w:shd w:val="clear" w:color="auto" w:fill="auto"/>
            <w:vAlign w:val="center"/>
          </w:tcPr>
          <w:p w14:paraId="02DA1E25" w14:textId="77777777" w:rsidR="00735147" w:rsidRPr="00641F25" w:rsidRDefault="00735147" w:rsidP="00735147">
            <w:pPr>
              <w:pStyle w:val="BodyText"/>
              <w:jc w:val="center"/>
              <w:rPr>
                <w:rFonts w:cs="Arial"/>
                <w:b/>
                <w:szCs w:val="20"/>
              </w:rPr>
            </w:pPr>
            <w:r w:rsidRPr="00641F25">
              <w:rPr>
                <w:rFonts w:eastAsia="Calibri" w:cs="Arial"/>
                <w:b/>
                <w:bCs/>
                <w:szCs w:val="20"/>
                <w:lang w:eastAsia="en-AU"/>
              </w:rPr>
              <w:t>Included Data</w:t>
            </w:r>
          </w:p>
        </w:tc>
        <w:tc>
          <w:tcPr>
            <w:tcW w:w="2835" w:type="dxa"/>
            <w:shd w:val="clear" w:color="auto" w:fill="auto"/>
            <w:vAlign w:val="center"/>
          </w:tcPr>
          <w:p w14:paraId="04C324B2" w14:textId="77777777" w:rsidR="00735147" w:rsidRPr="00641F25" w:rsidRDefault="00735147" w:rsidP="00735147">
            <w:pPr>
              <w:pStyle w:val="BodyText"/>
              <w:jc w:val="center"/>
              <w:rPr>
                <w:rFonts w:cs="Arial"/>
                <w:b/>
                <w:szCs w:val="20"/>
              </w:rPr>
            </w:pPr>
            <w:r w:rsidRPr="00641F25">
              <w:rPr>
                <w:rFonts w:cs="Arial"/>
                <w:b/>
                <w:szCs w:val="20"/>
              </w:rPr>
              <w:t>11GB</w:t>
            </w:r>
          </w:p>
        </w:tc>
        <w:tc>
          <w:tcPr>
            <w:tcW w:w="2509" w:type="dxa"/>
            <w:shd w:val="clear" w:color="auto" w:fill="auto"/>
            <w:vAlign w:val="center"/>
          </w:tcPr>
          <w:p w14:paraId="4D637D6F" w14:textId="77777777" w:rsidR="00735147" w:rsidRPr="00641F25" w:rsidRDefault="00735147" w:rsidP="00735147">
            <w:pPr>
              <w:pStyle w:val="BodyText"/>
              <w:jc w:val="center"/>
              <w:rPr>
                <w:rFonts w:cs="Arial"/>
                <w:b/>
                <w:szCs w:val="20"/>
              </w:rPr>
            </w:pPr>
            <w:r w:rsidRPr="00641F25">
              <w:rPr>
                <w:rFonts w:cs="Arial"/>
                <w:b/>
                <w:szCs w:val="20"/>
              </w:rPr>
              <w:t>11GB</w:t>
            </w:r>
          </w:p>
        </w:tc>
      </w:tr>
      <w:tr w:rsidR="00735147" w:rsidRPr="00641F25" w14:paraId="79692A5B" w14:textId="77777777" w:rsidTr="00735147">
        <w:tc>
          <w:tcPr>
            <w:tcW w:w="4644" w:type="dxa"/>
            <w:shd w:val="clear" w:color="auto" w:fill="auto"/>
            <w:vAlign w:val="center"/>
          </w:tcPr>
          <w:p w14:paraId="4E12B7DE" w14:textId="77777777" w:rsidR="00735147" w:rsidRPr="00641F25" w:rsidRDefault="00735147" w:rsidP="00735147">
            <w:pPr>
              <w:pStyle w:val="BodyText"/>
              <w:jc w:val="center"/>
              <w:rPr>
                <w:rFonts w:cs="Arial"/>
                <w:b/>
                <w:szCs w:val="20"/>
              </w:rPr>
            </w:pPr>
            <w:r w:rsidRPr="00641F25">
              <w:rPr>
                <w:rFonts w:eastAsia="Calibri" w:cs="Arial"/>
                <w:b/>
                <w:bCs/>
                <w:szCs w:val="20"/>
                <w:lang w:eastAsia="en-AU"/>
              </w:rPr>
              <w:t>Additional Data</w:t>
            </w:r>
          </w:p>
        </w:tc>
        <w:tc>
          <w:tcPr>
            <w:tcW w:w="5344" w:type="dxa"/>
            <w:gridSpan w:val="2"/>
            <w:shd w:val="clear" w:color="auto" w:fill="auto"/>
            <w:vAlign w:val="center"/>
          </w:tcPr>
          <w:p w14:paraId="3F2494B1" w14:textId="77777777" w:rsidR="00735147" w:rsidRPr="00641F25" w:rsidRDefault="00735147" w:rsidP="00735147">
            <w:pPr>
              <w:pStyle w:val="BodyText"/>
              <w:jc w:val="center"/>
              <w:rPr>
                <w:rFonts w:cs="Arial"/>
                <w:b/>
                <w:szCs w:val="20"/>
              </w:rPr>
            </w:pPr>
            <w:r w:rsidRPr="00641F25">
              <w:rPr>
                <w:rFonts w:cs="Arial"/>
                <w:szCs w:val="20"/>
              </w:rPr>
              <w:t>Additional data $10 per 1GB</w:t>
            </w:r>
          </w:p>
        </w:tc>
      </w:tr>
      <w:tr w:rsidR="00735147" w:rsidRPr="00641F25" w14:paraId="64E3F100" w14:textId="77777777" w:rsidTr="00735147">
        <w:tc>
          <w:tcPr>
            <w:tcW w:w="4644" w:type="dxa"/>
            <w:shd w:val="clear" w:color="auto" w:fill="auto"/>
            <w:vAlign w:val="center"/>
          </w:tcPr>
          <w:p w14:paraId="528AE004" w14:textId="77777777" w:rsidR="00735147" w:rsidRPr="00641F25" w:rsidRDefault="00735147" w:rsidP="00735147">
            <w:pPr>
              <w:pStyle w:val="BodyText"/>
              <w:jc w:val="center"/>
              <w:rPr>
                <w:rFonts w:cs="Arial"/>
                <w:b/>
                <w:szCs w:val="20"/>
              </w:rPr>
            </w:pPr>
            <w:r w:rsidRPr="00641F25">
              <w:rPr>
                <w:rFonts w:cs="Arial"/>
                <w:b/>
                <w:szCs w:val="20"/>
              </w:rPr>
              <w:t xml:space="preserve">Included Minutes </w:t>
            </w:r>
            <w:r w:rsidRPr="00641F25">
              <w:rPr>
                <w:rFonts w:cs="Arial"/>
                <w:b/>
                <w:szCs w:val="20"/>
              </w:rPr>
              <w:br/>
            </w:r>
            <w:r w:rsidRPr="00641F25">
              <w:rPr>
                <w:rFonts w:cs="Arial"/>
                <w:szCs w:val="20"/>
              </w:rPr>
              <w:t>for standard national calls to landlines and mobiles, 1300 numbers and voicemail, within Australia</w:t>
            </w:r>
          </w:p>
        </w:tc>
        <w:tc>
          <w:tcPr>
            <w:tcW w:w="5344" w:type="dxa"/>
            <w:gridSpan w:val="2"/>
            <w:shd w:val="clear" w:color="auto" w:fill="auto"/>
            <w:vAlign w:val="center"/>
          </w:tcPr>
          <w:p w14:paraId="34C0D624" w14:textId="77777777" w:rsidR="00735147" w:rsidRPr="00641F25" w:rsidRDefault="00735147" w:rsidP="00735147">
            <w:pPr>
              <w:pStyle w:val="BodyText"/>
              <w:jc w:val="center"/>
              <w:rPr>
                <w:rFonts w:cs="Arial"/>
                <w:szCs w:val="20"/>
              </w:rPr>
            </w:pPr>
            <w:r w:rsidRPr="00641F25">
              <w:rPr>
                <w:rFonts w:cs="Arial"/>
                <w:szCs w:val="20"/>
              </w:rPr>
              <w:t>Unlimited</w:t>
            </w:r>
          </w:p>
        </w:tc>
      </w:tr>
      <w:tr w:rsidR="00735147" w:rsidRPr="00641F25" w14:paraId="5983F3F3" w14:textId="77777777" w:rsidTr="00735147">
        <w:tc>
          <w:tcPr>
            <w:tcW w:w="4644" w:type="dxa"/>
            <w:shd w:val="clear" w:color="auto" w:fill="auto"/>
            <w:vAlign w:val="center"/>
          </w:tcPr>
          <w:p w14:paraId="17A1899C" w14:textId="77777777" w:rsidR="00735147" w:rsidRPr="00641F25" w:rsidRDefault="00735147" w:rsidP="00735147">
            <w:pPr>
              <w:pStyle w:val="BodyText"/>
              <w:jc w:val="center"/>
              <w:rPr>
                <w:rFonts w:cs="Arial"/>
                <w:b/>
                <w:szCs w:val="20"/>
              </w:rPr>
            </w:pPr>
            <w:r w:rsidRPr="00641F25">
              <w:rPr>
                <w:rFonts w:cs="Arial"/>
                <w:b/>
                <w:szCs w:val="20"/>
              </w:rPr>
              <w:t>Included International Minutes</w:t>
            </w:r>
            <w:r w:rsidRPr="00641F25">
              <w:rPr>
                <w:rFonts w:cs="Arial"/>
                <w:b/>
                <w:szCs w:val="20"/>
              </w:rPr>
              <w:br/>
            </w:r>
            <w:r w:rsidRPr="00641F25">
              <w:rPr>
                <w:rFonts w:cs="Arial"/>
                <w:szCs w:val="20"/>
              </w:rPr>
              <w:t>Standard international calls to landlines and mobiles to selected countries</w:t>
            </w:r>
          </w:p>
        </w:tc>
        <w:tc>
          <w:tcPr>
            <w:tcW w:w="5344" w:type="dxa"/>
            <w:gridSpan w:val="2"/>
            <w:shd w:val="clear" w:color="auto" w:fill="auto"/>
            <w:vAlign w:val="center"/>
          </w:tcPr>
          <w:p w14:paraId="2B28DBC6" w14:textId="77777777" w:rsidR="00735147" w:rsidRPr="00641F25" w:rsidRDefault="00735147" w:rsidP="00735147">
            <w:pPr>
              <w:pStyle w:val="BodyText"/>
              <w:jc w:val="center"/>
              <w:rPr>
                <w:rFonts w:cs="Arial"/>
                <w:b/>
                <w:szCs w:val="20"/>
              </w:rPr>
            </w:pPr>
            <w:r w:rsidRPr="00641F25">
              <w:rPr>
                <w:rFonts w:cs="Arial"/>
                <w:szCs w:val="20"/>
              </w:rPr>
              <w:t>Unlimited</w:t>
            </w:r>
          </w:p>
        </w:tc>
      </w:tr>
      <w:tr w:rsidR="00735147" w:rsidRPr="00641F25" w14:paraId="7BC952A2" w14:textId="77777777" w:rsidTr="00735147">
        <w:tc>
          <w:tcPr>
            <w:tcW w:w="4644" w:type="dxa"/>
            <w:shd w:val="clear" w:color="auto" w:fill="auto"/>
            <w:vAlign w:val="center"/>
          </w:tcPr>
          <w:p w14:paraId="363293E2" w14:textId="77777777" w:rsidR="00735147" w:rsidRPr="00641F25" w:rsidRDefault="00735147" w:rsidP="00735147">
            <w:pPr>
              <w:pStyle w:val="BodyText"/>
              <w:jc w:val="center"/>
              <w:rPr>
                <w:rFonts w:cs="Arial"/>
                <w:b/>
                <w:szCs w:val="20"/>
              </w:rPr>
            </w:pPr>
            <w:r w:rsidRPr="00641F25">
              <w:rPr>
                <w:rFonts w:cs="Arial"/>
                <w:b/>
                <w:szCs w:val="20"/>
              </w:rPr>
              <w:t>Standard national SMS</w:t>
            </w:r>
            <w:r w:rsidRPr="00641F25">
              <w:rPr>
                <w:rFonts w:cs="Arial"/>
                <w:szCs w:val="20"/>
              </w:rPr>
              <w:t xml:space="preserve"> </w:t>
            </w:r>
            <w:r w:rsidRPr="00641F25">
              <w:rPr>
                <w:rFonts w:cs="Arial"/>
                <w:szCs w:val="20"/>
              </w:rPr>
              <w:br/>
              <w:t>(per SMS of up to 160 standard characters)</w:t>
            </w:r>
          </w:p>
        </w:tc>
        <w:tc>
          <w:tcPr>
            <w:tcW w:w="5344" w:type="dxa"/>
            <w:gridSpan w:val="2"/>
            <w:shd w:val="clear" w:color="auto" w:fill="auto"/>
            <w:vAlign w:val="center"/>
          </w:tcPr>
          <w:p w14:paraId="4D602070" w14:textId="77777777" w:rsidR="00735147" w:rsidRPr="00641F25" w:rsidRDefault="00735147" w:rsidP="00735147">
            <w:pPr>
              <w:pStyle w:val="BodyText"/>
              <w:jc w:val="center"/>
              <w:rPr>
                <w:rFonts w:cs="Arial"/>
                <w:b/>
                <w:szCs w:val="20"/>
              </w:rPr>
            </w:pPr>
            <w:r w:rsidRPr="00641F25">
              <w:rPr>
                <w:rFonts w:cs="Arial"/>
                <w:szCs w:val="20"/>
              </w:rPr>
              <w:t>Unlimited</w:t>
            </w:r>
          </w:p>
        </w:tc>
      </w:tr>
      <w:tr w:rsidR="00735147" w:rsidRPr="00641F25" w14:paraId="6B743BC6" w14:textId="77777777" w:rsidTr="00735147">
        <w:tc>
          <w:tcPr>
            <w:tcW w:w="4644" w:type="dxa"/>
            <w:shd w:val="clear" w:color="auto" w:fill="auto"/>
            <w:vAlign w:val="center"/>
          </w:tcPr>
          <w:p w14:paraId="75740AE8" w14:textId="77777777" w:rsidR="00735147" w:rsidRPr="00641F25" w:rsidRDefault="00735147" w:rsidP="00735147">
            <w:pPr>
              <w:pStyle w:val="BodyText"/>
              <w:jc w:val="center"/>
              <w:rPr>
                <w:rFonts w:cs="Arial"/>
                <w:b/>
                <w:szCs w:val="20"/>
              </w:rPr>
            </w:pPr>
            <w:r w:rsidRPr="00641F25">
              <w:rPr>
                <w:rFonts w:cs="Arial"/>
                <w:b/>
                <w:szCs w:val="20"/>
              </w:rPr>
              <w:t xml:space="preserve">Standard national MMS </w:t>
            </w:r>
            <w:r w:rsidRPr="00641F25">
              <w:rPr>
                <w:rFonts w:cs="Arial"/>
                <w:szCs w:val="20"/>
              </w:rPr>
              <w:t>(per message)</w:t>
            </w:r>
          </w:p>
        </w:tc>
        <w:tc>
          <w:tcPr>
            <w:tcW w:w="5344" w:type="dxa"/>
            <w:gridSpan w:val="2"/>
            <w:shd w:val="clear" w:color="auto" w:fill="auto"/>
            <w:vAlign w:val="center"/>
          </w:tcPr>
          <w:p w14:paraId="7FD3626F" w14:textId="77777777" w:rsidR="00735147" w:rsidRPr="00641F25" w:rsidRDefault="00735147" w:rsidP="00735147">
            <w:pPr>
              <w:pStyle w:val="BodyText"/>
              <w:jc w:val="center"/>
              <w:rPr>
                <w:rFonts w:cs="Arial"/>
                <w:b/>
                <w:szCs w:val="20"/>
              </w:rPr>
            </w:pPr>
            <w:r w:rsidRPr="00641F25">
              <w:rPr>
                <w:rFonts w:cs="Arial"/>
                <w:szCs w:val="20"/>
              </w:rPr>
              <w:t>Unlimited</w:t>
            </w:r>
          </w:p>
        </w:tc>
      </w:tr>
      <w:tr w:rsidR="00735147" w:rsidRPr="00641F25" w14:paraId="434F09F8" w14:textId="77777777" w:rsidTr="00735147">
        <w:tc>
          <w:tcPr>
            <w:tcW w:w="4644" w:type="dxa"/>
            <w:shd w:val="clear" w:color="auto" w:fill="auto"/>
            <w:vAlign w:val="center"/>
          </w:tcPr>
          <w:p w14:paraId="65261A15" w14:textId="77777777" w:rsidR="00735147" w:rsidRPr="00641F25" w:rsidRDefault="00735147" w:rsidP="00735147">
            <w:pPr>
              <w:pStyle w:val="BodyText"/>
              <w:jc w:val="center"/>
              <w:rPr>
                <w:rFonts w:cs="Arial"/>
                <w:b/>
                <w:szCs w:val="20"/>
              </w:rPr>
            </w:pPr>
            <w:r w:rsidRPr="00641F25">
              <w:rPr>
                <w:rFonts w:eastAsia="Calibri" w:cs="Arial"/>
                <w:b/>
                <w:bCs/>
                <w:szCs w:val="20"/>
                <w:lang w:eastAsia="en-AU"/>
              </w:rPr>
              <w:t xml:space="preserve">Standard international SMS </w:t>
            </w:r>
            <w:r w:rsidRPr="00641F25">
              <w:rPr>
                <w:rFonts w:eastAsia="Calibri" w:cs="Arial"/>
                <w:b/>
                <w:bCs/>
                <w:szCs w:val="20"/>
                <w:lang w:eastAsia="en-AU"/>
              </w:rPr>
              <w:br/>
            </w:r>
            <w:r w:rsidRPr="00641F25">
              <w:rPr>
                <w:rFonts w:eastAsia="Calibri" w:cs="Arial"/>
                <w:szCs w:val="20"/>
                <w:lang w:eastAsia="en-AU"/>
              </w:rPr>
              <w:t>(per SMS of up to 160 standard characters to selected countries)</w:t>
            </w:r>
          </w:p>
        </w:tc>
        <w:tc>
          <w:tcPr>
            <w:tcW w:w="5344" w:type="dxa"/>
            <w:gridSpan w:val="2"/>
            <w:shd w:val="clear" w:color="auto" w:fill="auto"/>
            <w:vAlign w:val="center"/>
          </w:tcPr>
          <w:p w14:paraId="01C37AEA" w14:textId="77777777" w:rsidR="00735147" w:rsidRPr="00641F25" w:rsidRDefault="00735147" w:rsidP="00735147">
            <w:pPr>
              <w:pStyle w:val="BodyText"/>
              <w:jc w:val="center"/>
              <w:rPr>
                <w:rFonts w:cs="Arial"/>
                <w:b/>
                <w:szCs w:val="20"/>
              </w:rPr>
            </w:pPr>
            <w:r w:rsidRPr="00641F25">
              <w:rPr>
                <w:rFonts w:cs="Arial"/>
                <w:szCs w:val="20"/>
              </w:rPr>
              <w:t>Unlimited</w:t>
            </w:r>
          </w:p>
        </w:tc>
      </w:tr>
      <w:tr w:rsidR="00735147" w:rsidRPr="00641F25" w14:paraId="2527B275" w14:textId="77777777" w:rsidTr="00735147">
        <w:tc>
          <w:tcPr>
            <w:tcW w:w="4644" w:type="dxa"/>
            <w:shd w:val="clear" w:color="auto" w:fill="auto"/>
            <w:vAlign w:val="center"/>
          </w:tcPr>
          <w:p w14:paraId="4A3E5A51" w14:textId="77777777" w:rsidR="00735147" w:rsidRPr="00641F25" w:rsidRDefault="00735147" w:rsidP="00735147">
            <w:pPr>
              <w:pStyle w:val="BodyText"/>
              <w:jc w:val="center"/>
              <w:rPr>
                <w:rFonts w:cs="Arial"/>
                <w:b/>
                <w:szCs w:val="20"/>
              </w:rPr>
            </w:pPr>
            <w:r w:rsidRPr="00641F25">
              <w:rPr>
                <w:rFonts w:eastAsia="Calibri" w:cs="Arial"/>
                <w:b/>
                <w:bCs/>
                <w:szCs w:val="20"/>
                <w:lang w:eastAsia="en-AU"/>
              </w:rPr>
              <w:t xml:space="preserve">Standard international MMS </w:t>
            </w:r>
            <w:r w:rsidRPr="00641F25">
              <w:rPr>
                <w:rFonts w:eastAsia="Calibri" w:cs="Arial"/>
                <w:b/>
                <w:bCs/>
                <w:szCs w:val="20"/>
                <w:lang w:eastAsia="en-AU"/>
              </w:rPr>
              <w:br/>
            </w:r>
            <w:r w:rsidRPr="00641F25">
              <w:rPr>
                <w:rFonts w:eastAsia="Calibri" w:cs="Arial"/>
                <w:szCs w:val="20"/>
                <w:lang w:eastAsia="en-AU"/>
              </w:rPr>
              <w:t>(per message to selected countries)</w:t>
            </w:r>
          </w:p>
        </w:tc>
        <w:tc>
          <w:tcPr>
            <w:tcW w:w="5344" w:type="dxa"/>
            <w:gridSpan w:val="2"/>
            <w:shd w:val="clear" w:color="auto" w:fill="auto"/>
            <w:vAlign w:val="center"/>
          </w:tcPr>
          <w:p w14:paraId="551BC37F" w14:textId="77777777" w:rsidR="00735147" w:rsidRPr="00641F25" w:rsidRDefault="00735147" w:rsidP="00735147">
            <w:pPr>
              <w:pStyle w:val="BodyText"/>
              <w:jc w:val="center"/>
              <w:rPr>
                <w:rFonts w:cs="Arial"/>
                <w:b/>
                <w:szCs w:val="20"/>
              </w:rPr>
            </w:pPr>
            <w:r w:rsidRPr="00641F25">
              <w:rPr>
                <w:rFonts w:cs="Arial"/>
                <w:szCs w:val="20"/>
              </w:rPr>
              <w:t>Unlimited</w:t>
            </w:r>
          </w:p>
        </w:tc>
      </w:tr>
    </w:tbl>
    <w:p w14:paraId="7EF60BBD" w14:textId="77777777" w:rsidR="00735147" w:rsidRPr="00641F25" w:rsidRDefault="00735147" w:rsidP="00735147">
      <w:pPr>
        <w:pStyle w:val="BodyText"/>
        <w:rPr>
          <w:rFonts w:cs="Arial"/>
          <w:szCs w:val="20"/>
        </w:rPr>
      </w:pPr>
    </w:p>
    <w:p w14:paraId="402D5EAD" w14:textId="77777777" w:rsidR="00735147" w:rsidRPr="00641F25" w:rsidRDefault="00735147" w:rsidP="00735147">
      <w:pPr>
        <w:pStyle w:val="BodyText"/>
        <w:rPr>
          <w:rFonts w:cs="Arial"/>
          <w:b/>
          <w:szCs w:val="20"/>
        </w:rPr>
      </w:pPr>
      <w:r w:rsidRPr="00641F25">
        <w:rPr>
          <w:rFonts w:cs="Arial"/>
          <w:b/>
          <w:szCs w:val="20"/>
        </w:rPr>
        <w:t>Table 2 – Other usage types and charges</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735147" w:rsidRPr="00641F25" w14:paraId="64B1E35E" w14:textId="77777777" w:rsidTr="00735147">
        <w:trPr>
          <w:trHeight w:val="288"/>
        </w:trPr>
        <w:tc>
          <w:tcPr>
            <w:tcW w:w="5868" w:type="dxa"/>
            <w:shd w:val="clear" w:color="auto" w:fill="auto"/>
            <w:vAlign w:val="center"/>
          </w:tcPr>
          <w:p w14:paraId="2795E6FE" w14:textId="77777777" w:rsidR="00735147" w:rsidRPr="00641F25" w:rsidRDefault="00735147" w:rsidP="00735147">
            <w:pPr>
              <w:pStyle w:val="BodyText"/>
              <w:spacing w:before="100" w:after="100"/>
              <w:rPr>
                <w:rFonts w:cs="Arial"/>
                <w:b/>
                <w:szCs w:val="20"/>
              </w:rPr>
            </w:pPr>
            <w:r w:rsidRPr="00641F25">
              <w:rPr>
                <w:rFonts w:cs="Arial"/>
                <w:b/>
                <w:szCs w:val="20"/>
              </w:rPr>
              <w:t>Usage type</w:t>
            </w:r>
          </w:p>
        </w:tc>
        <w:tc>
          <w:tcPr>
            <w:tcW w:w="4546" w:type="dxa"/>
            <w:shd w:val="clear" w:color="auto" w:fill="auto"/>
            <w:vAlign w:val="center"/>
          </w:tcPr>
          <w:p w14:paraId="3CCB7770" w14:textId="77777777" w:rsidR="00735147" w:rsidRPr="00641F25" w:rsidRDefault="00735147" w:rsidP="00735147">
            <w:pPr>
              <w:pStyle w:val="BodyText"/>
              <w:spacing w:before="100" w:after="100"/>
              <w:jc w:val="center"/>
              <w:rPr>
                <w:rFonts w:cs="Arial"/>
                <w:b/>
                <w:szCs w:val="20"/>
              </w:rPr>
            </w:pPr>
            <w:r w:rsidRPr="00641F25">
              <w:rPr>
                <w:rFonts w:cs="Arial"/>
                <w:b/>
                <w:szCs w:val="20"/>
              </w:rPr>
              <w:t xml:space="preserve">Charge </w:t>
            </w:r>
          </w:p>
        </w:tc>
      </w:tr>
      <w:tr w:rsidR="00735147" w:rsidRPr="00641F25" w14:paraId="2E3D770E" w14:textId="77777777" w:rsidTr="00735147">
        <w:trPr>
          <w:trHeight w:val="288"/>
        </w:trPr>
        <w:tc>
          <w:tcPr>
            <w:tcW w:w="5868" w:type="dxa"/>
            <w:shd w:val="clear" w:color="auto" w:fill="auto"/>
            <w:vAlign w:val="center"/>
          </w:tcPr>
          <w:p w14:paraId="176C8BA1" w14:textId="77777777" w:rsidR="00735147" w:rsidRPr="00641F25" w:rsidRDefault="00735147" w:rsidP="00735147">
            <w:pPr>
              <w:pStyle w:val="BodyText"/>
              <w:spacing w:before="100" w:after="100"/>
              <w:rPr>
                <w:rFonts w:cs="Arial"/>
                <w:szCs w:val="20"/>
              </w:rPr>
            </w:pPr>
            <w:r w:rsidRPr="00641F25">
              <w:rPr>
                <w:rFonts w:cs="Arial"/>
                <w:b/>
                <w:bCs/>
                <w:szCs w:val="20"/>
                <w:lang w:eastAsia="en-AU"/>
              </w:rPr>
              <w:t>National video calls</w:t>
            </w:r>
            <w:r w:rsidRPr="00641F25">
              <w:rPr>
                <w:rFonts w:cs="Arial"/>
                <w:bCs/>
                <w:szCs w:val="20"/>
                <w:lang w:eastAsia="en-AU"/>
              </w:rPr>
              <w:t xml:space="preserve"> </w:t>
            </w:r>
            <w:r w:rsidRPr="00641F25">
              <w:rPr>
                <w:rFonts w:cs="Arial"/>
                <w:szCs w:val="20"/>
                <w:lang w:eastAsia="en-AU"/>
              </w:rPr>
              <w:t>(per minute)</w:t>
            </w:r>
          </w:p>
        </w:tc>
        <w:tc>
          <w:tcPr>
            <w:tcW w:w="4546" w:type="dxa"/>
            <w:shd w:val="clear" w:color="auto" w:fill="auto"/>
            <w:vAlign w:val="center"/>
          </w:tcPr>
          <w:p w14:paraId="3A356A58" w14:textId="77777777" w:rsidR="00735147" w:rsidRPr="00641F25" w:rsidRDefault="00735147" w:rsidP="00735147">
            <w:pPr>
              <w:pStyle w:val="BodyText"/>
              <w:spacing w:before="100" w:after="100"/>
              <w:jc w:val="center"/>
              <w:rPr>
                <w:rFonts w:cs="Arial"/>
                <w:szCs w:val="20"/>
              </w:rPr>
            </w:pPr>
            <w:r w:rsidRPr="00641F25">
              <w:rPr>
                <w:rFonts w:cs="Arial"/>
                <w:szCs w:val="20"/>
              </w:rPr>
              <w:t>$1.00 per min + 40c flagfall</w:t>
            </w:r>
          </w:p>
        </w:tc>
      </w:tr>
      <w:tr w:rsidR="00735147" w:rsidRPr="00641F25" w14:paraId="30A4E67A" w14:textId="77777777" w:rsidTr="00735147">
        <w:trPr>
          <w:trHeight w:val="288"/>
        </w:trPr>
        <w:tc>
          <w:tcPr>
            <w:tcW w:w="5868" w:type="dxa"/>
            <w:shd w:val="clear" w:color="auto" w:fill="auto"/>
            <w:vAlign w:val="center"/>
          </w:tcPr>
          <w:p w14:paraId="070D19B3" w14:textId="77777777" w:rsidR="00735147" w:rsidRPr="00641F25" w:rsidRDefault="00735147" w:rsidP="00735147">
            <w:pPr>
              <w:pStyle w:val="BodyText"/>
              <w:spacing w:before="100" w:after="100"/>
              <w:rPr>
                <w:rFonts w:cs="Arial"/>
                <w:b/>
                <w:bCs/>
                <w:szCs w:val="20"/>
                <w:lang w:eastAsia="en-AU"/>
              </w:rPr>
            </w:pPr>
            <w:r w:rsidRPr="00641F25">
              <w:rPr>
                <w:rFonts w:cs="Arial"/>
                <w:b/>
                <w:bCs/>
                <w:szCs w:val="20"/>
                <w:lang w:eastAsia="en-AU"/>
              </w:rPr>
              <w:t>National Diversions</w:t>
            </w:r>
          </w:p>
        </w:tc>
        <w:tc>
          <w:tcPr>
            <w:tcW w:w="4546" w:type="dxa"/>
            <w:shd w:val="clear" w:color="auto" w:fill="auto"/>
            <w:vAlign w:val="center"/>
          </w:tcPr>
          <w:p w14:paraId="1C9F91B1" w14:textId="77777777" w:rsidR="00735147" w:rsidRPr="00641F25" w:rsidRDefault="00735147" w:rsidP="00735147">
            <w:pPr>
              <w:pStyle w:val="BodyText"/>
              <w:spacing w:before="100" w:after="100"/>
              <w:jc w:val="center"/>
              <w:rPr>
                <w:rFonts w:cs="Arial"/>
                <w:szCs w:val="20"/>
              </w:rPr>
            </w:pPr>
            <w:r w:rsidRPr="00641F25">
              <w:rPr>
                <w:rFonts w:cs="Arial"/>
                <w:szCs w:val="20"/>
              </w:rPr>
              <w:t>$0 per minute</w:t>
            </w:r>
          </w:p>
        </w:tc>
      </w:tr>
      <w:tr w:rsidR="00735147" w:rsidRPr="00641F25" w14:paraId="1A84F4AE" w14:textId="77777777" w:rsidTr="00735147">
        <w:trPr>
          <w:trHeight w:val="288"/>
        </w:trPr>
        <w:tc>
          <w:tcPr>
            <w:tcW w:w="5868" w:type="dxa"/>
            <w:shd w:val="clear" w:color="auto" w:fill="auto"/>
            <w:vAlign w:val="center"/>
          </w:tcPr>
          <w:p w14:paraId="412AB27B" w14:textId="77777777" w:rsidR="00735147" w:rsidRPr="00641F25" w:rsidRDefault="00735147" w:rsidP="00735147">
            <w:pPr>
              <w:pStyle w:val="BodyText"/>
              <w:spacing w:before="100" w:after="100"/>
              <w:rPr>
                <w:rFonts w:cs="Arial"/>
                <w:b/>
                <w:bCs/>
                <w:szCs w:val="20"/>
                <w:lang w:eastAsia="en-AU"/>
              </w:rPr>
            </w:pPr>
            <w:r w:rsidRPr="00641F25">
              <w:rPr>
                <w:rFonts w:cs="Arial"/>
                <w:b/>
                <w:bCs/>
                <w:szCs w:val="20"/>
                <w:lang w:eastAsia="en-AU"/>
              </w:rPr>
              <w:t xml:space="preserve">International Diversions </w:t>
            </w:r>
          </w:p>
        </w:tc>
        <w:tc>
          <w:tcPr>
            <w:tcW w:w="4546" w:type="dxa"/>
            <w:shd w:val="clear" w:color="auto" w:fill="auto"/>
            <w:vAlign w:val="center"/>
          </w:tcPr>
          <w:p w14:paraId="1E0E028F" w14:textId="77777777" w:rsidR="00735147" w:rsidRPr="00641F25" w:rsidRDefault="00735147" w:rsidP="00735147">
            <w:pPr>
              <w:pStyle w:val="BodyText"/>
              <w:spacing w:before="100" w:after="100"/>
              <w:jc w:val="center"/>
              <w:rPr>
                <w:rFonts w:cs="Arial"/>
                <w:szCs w:val="20"/>
              </w:rPr>
            </w:pPr>
            <w:r w:rsidRPr="00641F25">
              <w:rPr>
                <w:rFonts w:cs="Arial"/>
                <w:szCs w:val="20"/>
              </w:rPr>
              <w:t>'yes' international rates</w:t>
            </w:r>
            <w:r w:rsidRPr="00641F25">
              <w:rPr>
                <w:rFonts w:cs="Arial"/>
                <w:szCs w:val="20"/>
              </w:rPr>
              <w:br/>
              <w:t>See optus.com.au/international</w:t>
            </w:r>
          </w:p>
        </w:tc>
      </w:tr>
      <w:tr w:rsidR="00735147" w:rsidRPr="00641F25" w14:paraId="747F4135" w14:textId="77777777" w:rsidTr="00735147">
        <w:trPr>
          <w:trHeight w:val="288"/>
        </w:trPr>
        <w:tc>
          <w:tcPr>
            <w:tcW w:w="5868" w:type="dxa"/>
            <w:shd w:val="clear" w:color="auto" w:fill="auto"/>
            <w:vAlign w:val="center"/>
          </w:tcPr>
          <w:p w14:paraId="79AB6AAF" w14:textId="77777777" w:rsidR="00735147" w:rsidRPr="00641F25" w:rsidRDefault="00735147" w:rsidP="00735147">
            <w:pPr>
              <w:pStyle w:val="BodyText"/>
              <w:spacing w:before="100" w:after="100"/>
              <w:rPr>
                <w:rFonts w:cs="Arial"/>
                <w:b/>
                <w:bCs/>
                <w:szCs w:val="20"/>
                <w:lang w:eastAsia="en-AU"/>
              </w:rPr>
            </w:pPr>
            <w:r w:rsidRPr="00641F25">
              <w:rPr>
                <w:rFonts w:cs="Arial"/>
                <w:b/>
                <w:bCs/>
                <w:szCs w:val="20"/>
                <w:lang w:eastAsia="en-AU"/>
              </w:rPr>
              <w:t xml:space="preserve">1800 numbers </w:t>
            </w:r>
          </w:p>
        </w:tc>
        <w:tc>
          <w:tcPr>
            <w:tcW w:w="4546" w:type="dxa"/>
            <w:shd w:val="clear" w:color="auto" w:fill="auto"/>
            <w:vAlign w:val="center"/>
          </w:tcPr>
          <w:p w14:paraId="4028B39C" w14:textId="77777777" w:rsidR="00735147" w:rsidRPr="00641F25" w:rsidRDefault="00735147" w:rsidP="00735147">
            <w:pPr>
              <w:pStyle w:val="BodyText"/>
              <w:spacing w:before="100" w:after="100"/>
              <w:jc w:val="center"/>
              <w:rPr>
                <w:rFonts w:cs="Arial"/>
                <w:szCs w:val="20"/>
              </w:rPr>
            </w:pPr>
            <w:r w:rsidRPr="00641F25">
              <w:rPr>
                <w:rFonts w:cs="Arial"/>
                <w:szCs w:val="20"/>
              </w:rPr>
              <w:t>$0 per minute</w:t>
            </w:r>
          </w:p>
        </w:tc>
      </w:tr>
      <w:tr w:rsidR="00735147" w:rsidRPr="00641F25" w14:paraId="1DA55A17" w14:textId="77777777" w:rsidTr="00735147">
        <w:trPr>
          <w:trHeight w:val="288"/>
        </w:trPr>
        <w:tc>
          <w:tcPr>
            <w:tcW w:w="5868" w:type="dxa"/>
            <w:shd w:val="clear" w:color="auto" w:fill="auto"/>
            <w:vAlign w:val="center"/>
          </w:tcPr>
          <w:p w14:paraId="50F590C7" w14:textId="77777777" w:rsidR="00735147" w:rsidRPr="00641F25" w:rsidRDefault="00735147" w:rsidP="00735147">
            <w:pPr>
              <w:pStyle w:val="BodyText"/>
              <w:spacing w:before="100" w:after="100"/>
              <w:rPr>
                <w:rFonts w:cs="Arial"/>
                <w:b/>
                <w:bCs/>
                <w:szCs w:val="20"/>
                <w:lang w:eastAsia="en-AU"/>
              </w:rPr>
            </w:pPr>
            <w:r w:rsidRPr="00641F25">
              <w:rPr>
                <w:rFonts w:cs="Arial"/>
                <w:b/>
                <w:bCs/>
                <w:szCs w:val="20"/>
                <w:lang w:eastAsia="en-AU"/>
              </w:rPr>
              <w:t xml:space="preserve">Directory Assistance 1223 </w:t>
            </w:r>
          </w:p>
        </w:tc>
        <w:tc>
          <w:tcPr>
            <w:tcW w:w="4546" w:type="dxa"/>
            <w:shd w:val="clear" w:color="auto" w:fill="auto"/>
            <w:vAlign w:val="center"/>
          </w:tcPr>
          <w:p w14:paraId="77C00C50" w14:textId="77777777" w:rsidR="00735147" w:rsidRPr="00641F25" w:rsidRDefault="00735147" w:rsidP="00735147">
            <w:pPr>
              <w:pStyle w:val="BodyText"/>
              <w:spacing w:before="100" w:after="100"/>
              <w:jc w:val="center"/>
              <w:rPr>
                <w:rFonts w:cs="Arial"/>
                <w:szCs w:val="20"/>
              </w:rPr>
            </w:pPr>
            <w:r w:rsidRPr="00641F25">
              <w:rPr>
                <w:rFonts w:cs="Arial"/>
                <w:szCs w:val="20"/>
              </w:rPr>
              <w:t>50c per call</w:t>
            </w:r>
          </w:p>
        </w:tc>
      </w:tr>
      <w:tr w:rsidR="00735147" w:rsidRPr="00641F25" w14:paraId="5C056017" w14:textId="77777777" w:rsidTr="00735147">
        <w:trPr>
          <w:trHeight w:val="288"/>
        </w:trPr>
        <w:tc>
          <w:tcPr>
            <w:tcW w:w="5868" w:type="dxa"/>
            <w:shd w:val="clear" w:color="auto" w:fill="auto"/>
            <w:vAlign w:val="center"/>
          </w:tcPr>
          <w:p w14:paraId="6B7DF61A" w14:textId="77777777" w:rsidR="00735147" w:rsidRPr="00641F25" w:rsidRDefault="00735147" w:rsidP="00735147">
            <w:pPr>
              <w:pStyle w:val="BodyText"/>
              <w:spacing w:before="100" w:after="100"/>
              <w:rPr>
                <w:rFonts w:cs="Arial"/>
                <w:b/>
                <w:bCs/>
                <w:szCs w:val="20"/>
                <w:lang w:eastAsia="en-AU"/>
              </w:rPr>
            </w:pPr>
            <w:r w:rsidRPr="00641F25">
              <w:rPr>
                <w:rFonts w:cs="Arial"/>
                <w:b/>
                <w:bCs/>
                <w:szCs w:val="20"/>
                <w:lang w:eastAsia="en-AU"/>
              </w:rPr>
              <w:t>124 Yes</w:t>
            </w:r>
          </w:p>
        </w:tc>
        <w:tc>
          <w:tcPr>
            <w:tcW w:w="4546" w:type="dxa"/>
            <w:shd w:val="clear" w:color="auto" w:fill="auto"/>
            <w:vAlign w:val="center"/>
          </w:tcPr>
          <w:p w14:paraId="5A5723CD" w14:textId="77777777" w:rsidR="00735147" w:rsidRPr="00641F25" w:rsidRDefault="00735147" w:rsidP="00735147">
            <w:pPr>
              <w:pStyle w:val="BodyText"/>
              <w:spacing w:before="100" w:after="100"/>
              <w:jc w:val="center"/>
              <w:rPr>
                <w:rFonts w:cs="Arial"/>
                <w:szCs w:val="20"/>
              </w:rPr>
            </w:pPr>
            <w:r w:rsidRPr="00641F25">
              <w:rPr>
                <w:rFonts w:cs="Arial"/>
                <w:szCs w:val="20"/>
              </w:rPr>
              <w:t>90c per minute +$1.75c flagfall</w:t>
            </w:r>
          </w:p>
        </w:tc>
      </w:tr>
      <w:tr w:rsidR="00735147" w:rsidRPr="00641F25" w14:paraId="12241930" w14:textId="77777777" w:rsidTr="00735147">
        <w:trPr>
          <w:trHeight w:val="288"/>
        </w:trPr>
        <w:tc>
          <w:tcPr>
            <w:tcW w:w="5868" w:type="dxa"/>
            <w:shd w:val="clear" w:color="auto" w:fill="auto"/>
            <w:vAlign w:val="center"/>
          </w:tcPr>
          <w:p w14:paraId="55442C6B" w14:textId="77777777" w:rsidR="00735147" w:rsidRPr="00641F25" w:rsidRDefault="00735147" w:rsidP="00735147">
            <w:pPr>
              <w:pStyle w:val="BodyText"/>
              <w:spacing w:before="100" w:after="100"/>
              <w:rPr>
                <w:rFonts w:cs="Arial"/>
                <w:b/>
                <w:bCs/>
                <w:szCs w:val="20"/>
                <w:lang w:eastAsia="en-AU"/>
              </w:rPr>
            </w:pPr>
            <w:r w:rsidRPr="00641F25">
              <w:rPr>
                <w:rFonts w:cs="Arial"/>
                <w:b/>
                <w:bCs/>
                <w:szCs w:val="20"/>
                <w:lang w:eastAsia="en-AU"/>
              </w:rPr>
              <w:t xml:space="preserve">International voice calls (outside the plan's included international minutes and to excluded countries) </w:t>
            </w:r>
          </w:p>
        </w:tc>
        <w:tc>
          <w:tcPr>
            <w:tcW w:w="4546" w:type="dxa"/>
            <w:shd w:val="clear" w:color="auto" w:fill="auto"/>
            <w:vAlign w:val="center"/>
          </w:tcPr>
          <w:p w14:paraId="3368EB73" w14:textId="77777777" w:rsidR="00735147" w:rsidRPr="00641F25" w:rsidRDefault="00735147" w:rsidP="00735147">
            <w:pPr>
              <w:pStyle w:val="BodyText"/>
              <w:spacing w:before="100" w:after="100"/>
              <w:jc w:val="center"/>
              <w:rPr>
                <w:rFonts w:cs="Arial"/>
                <w:szCs w:val="20"/>
              </w:rPr>
            </w:pPr>
            <w:r w:rsidRPr="00641F25">
              <w:rPr>
                <w:rFonts w:cs="Arial"/>
                <w:szCs w:val="20"/>
              </w:rPr>
              <w:t>'yes' international rates</w:t>
            </w:r>
          </w:p>
          <w:p w14:paraId="5B1D67CD" w14:textId="77777777" w:rsidR="00735147" w:rsidRPr="00641F25" w:rsidRDefault="00735147" w:rsidP="00735147">
            <w:pPr>
              <w:pStyle w:val="BodyText"/>
              <w:spacing w:before="100" w:after="100"/>
              <w:jc w:val="center"/>
              <w:rPr>
                <w:rFonts w:cs="Arial"/>
                <w:szCs w:val="20"/>
              </w:rPr>
            </w:pPr>
            <w:r w:rsidRPr="00641F25">
              <w:rPr>
                <w:rFonts w:cs="Arial"/>
                <w:szCs w:val="20"/>
              </w:rPr>
              <w:t>See optus.com.au/international</w:t>
            </w:r>
          </w:p>
        </w:tc>
      </w:tr>
      <w:tr w:rsidR="00735147" w:rsidRPr="00641F25" w14:paraId="229C3998" w14:textId="77777777" w:rsidTr="00735147">
        <w:trPr>
          <w:trHeight w:val="288"/>
        </w:trPr>
        <w:tc>
          <w:tcPr>
            <w:tcW w:w="5868" w:type="dxa"/>
            <w:shd w:val="clear" w:color="auto" w:fill="auto"/>
            <w:vAlign w:val="center"/>
          </w:tcPr>
          <w:p w14:paraId="0DE707A1" w14:textId="77777777" w:rsidR="00735147" w:rsidRPr="00641F25" w:rsidRDefault="00735147" w:rsidP="00735147">
            <w:pPr>
              <w:pStyle w:val="BodyText"/>
              <w:spacing w:before="100" w:after="100"/>
              <w:rPr>
                <w:rFonts w:cs="Arial"/>
                <w:b/>
                <w:bCs/>
                <w:szCs w:val="20"/>
                <w:lang w:eastAsia="en-AU"/>
              </w:rPr>
            </w:pPr>
            <w:r w:rsidRPr="00641F25">
              <w:rPr>
                <w:rFonts w:cs="Arial"/>
                <w:b/>
                <w:bCs/>
                <w:szCs w:val="20"/>
                <w:lang w:eastAsia="en-AU"/>
              </w:rPr>
              <w:lastRenderedPageBreak/>
              <w:t xml:space="preserve">International SMS (to excluded countries) </w:t>
            </w:r>
          </w:p>
        </w:tc>
        <w:tc>
          <w:tcPr>
            <w:tcW w:w="4546" w:type="dxa"/>
            <w:shd w:val="clear" w:color="auto" w:fill="auto"/>
            <w:vAlign w:val="center"/>
          </w:tcPr>
          <w:p w14:paraId="731C6003" w14:textId="77777777" w:rsidR="00735147" w:rsidRPr="00641F25" w:rsidRDefault="00735147" w:rsidP="00735147">
            <w:pPr>
              <w:pStyle w:val="BodyText"/>
              <w:spacing w:before="100" w:after="100"/>
              <w:jc w:val="center"/>
              <w:rPr>
                <w:rFonts w:cs="Arial"/>
                <w:szCs w:val="20"/>
              </w:rPr>
            </w:pPr>
            <w:r w:rsidRPr="00641F25">
              <w:rPr>
                <w:rFonts w:cs="Arial"/>
                <w:szCs w:val="20"/>
              </w:rPr>
              <w:t>50c per SMS up to 160 standard characters</w:t>
            </w:r>
          </w:p>
        </w:tc>
      </w:tr>
      <w:tr w:rsidR="00735147" w:rsidRPr="00641F25" w14:paraId="63DEFE84" w14:textId="77777777" w:rsidTr="00735147">
        <w:trPr>
          <w:trHeight w:val="288"/>
        </w:trPr>
        <w:tc>
          <w:tcPr>
            <w:tcW w:w="5868" w:type="dxa"/>
            <w:shd w:val="clear" w:color="auto" w:fill="auto"/>
            <w:vAlign w:val="center"/>
          </w:tcPr>
          <w:p w14:paraId="5E5A4246" w14:textId="77777777" w:rsidR="00735147" w:rsidRPr="00641F25" w:rsidRDefault="00735147" w:rsidP="00735147">
            <w:pPr>
              <w:pStyle w:val="BodyText"/>
              <w:spacing w:before="100" w:after="100"/>
              <w:rPr>
                <w:rFonts w:cs="Arial"/>
                <w:b/>
                <w:bCs/>
                <w:szCs w:val="20"/>
                <w:lang w:eastAsia="en-AU"/>
              </w:rPr>
            </w:pPr>
            <w:r w:rsidRPr="00641F25">
              <w:rPr>
                <w:rFonts w:cs="Arial"/>
                <w:b/>
                <w:bCs/>
                <w:szCs w:val="20"/>
                <w:lang w:eastAsia="en-AU"/>
              </w:rPr>
              <w:t>International MMS (to excluded countries)</w:t>
            </w:r>
          </w:p>
        </w:tc>
        <w:tc>
          <w:tcPr>
            <w:tcW w:w="4546" w:type="dxa"/>
            <w:shd w:val="clear" w:color="auto" w:fill="auto"/>
            <w:vAlign w:val="center"/>
          </w:tcPr>
          <w:p w14:paraId="47AD7143" w14:textId="77777777" w:rsidR="00735147" w:rsidRPr="00641F25" w:rsidRDefault="00735147" w:rsidP="00735147">
            <w:pPr>
              <w:pStyle w:val="BodyText"/>
              <w:spacing w:before="100" w:after="100"/>
              <w:jc w:val="center"/>
              <w:rPr>
                <w:rFonts w:cs="Arial"/>
                <w:szCs w:val="20"/>
              </w:rPr>
            </w:pPr>
            <w:r w:rsidRPr="00641F25">
              <w:rPr>
                <w:rFonts w:cs="Arial"/>
                <w:szCs w:val="20"/>
              </w:rPr>
              <w:t>75c per MMS</w:t>
            </w:r>
          </w:p>
        </w:tc>
      </w:tr>
      <w:tr w:rsidR="00735147" w:rsidRPr="00641F25" w14:paraId="31EDA5AB" w14:textId="77777777" w:rsidTr="00735147">
        <w:trPr>
          <w:trHeight w:val="288"/>
        </w:trPr>
        <w:tc>
          <w:tcPr>
            <w:tcW w:w="5868" w:type="dxa"/>
            <w:shd w:val="clear" w:color="auto" w:fill="auto"/>
            <w:vAlign w:val="center"/>
          </w:tcPr>
          <w:p w14:paraId="7CD6EC5C" w14:textId="77777777" w:rsidR="00735147" w:rsidRPr="00641F25" w:rsidRDefault="00735147" w:rsidP="00735147">
            <w:pPr>
              <w:pStyle w:val="BodyText"/>
              <w:spacing w:before="100" w:after="100"/>
              <w:rPr>
                <w:rFonts w:cs="Arial"/>
                <w:b/>
                <w:bCs/>
                <w:szCs w:val="20"/>
                <w:lang w:eastAsia="en-AU"/>
              </w:rPr>
            </w:pPr>
            <w:r w:rsidRPr="00641F25">
              <w:rPr>
                <w:rFonts w:cs="Arial"/>
                <w:b/>
                <w:bCs/>
                <w:szCs w:val="20"/>
                <w:lang w:eastAsia="en-AU"/>
              </w:rPr>
              <w:t xml:space="preserve">International video calling </w:t>
            </w:r>
          </w:p>
        </w:tc>
        <w:tc>
          <w:tcPr>
            <w:tcW w:w="4546" w:type="dxa"/>
            <w:shd w:val="clear" w:color="auto" w:fill="auto"/>
            <w:vAlign w:val="center"/>
          </w:tcPr>
          <w:p w14:paraId="5C368087" w14:textId="77777777" w:rsidR="00735147" w:rsidRPr="00641F25" w:rsidRDefault="00735147" w:rsidP="00735147">
            <w:pPr>
              <w:pStyle w:val="BodyText"/>
              <w:spacing w:before="100" w:after="100"/>
              <w:jc w:val="center"/>
              <w:rPr>
                <w:rFonts w:cs="Arial"/>
                <w:szCs w:val="20"/>
              </w:rPr>
            </w:pPr>
            <w:r w:rsidRPr="00641F25">
              <w:rPr>
                <w:rFonts w:cs="Arial"/>
                <w:szCs w:val="20"/>
              </w:rPr>
              <w:t>$1.50 per minute +35c flagfall</w:t>
            </w:r>
          </w:p>
        </w:tc>
      </w:tr>
      <w:tr w:rsidR="00735147" w:rsidRPr="00641F25" w14:paraId="1D2DE170" w14:textId="77777777" w:rsidTr="00735147">
        <w:trPr>
          <w:trHeight w:val="288"/>
        </w:trPr>
        <w:tc>
          <w:tcPr>
            <w:tcW w:w="5868" w:type="dxa"/>
            <w:shd w:val="clear" w:color="auto" w:fill="auto"/>
            <w:vAlign w:val="center"/>
          </w:tcPr>
          <w:p w14:paraId="04F956CF" w14:textId="77777777" w:rsidR="00735147" w:rsidRPr="00641F25" w:rsidRDefault="00735147" w:rsidP="00735147">
            <w:pPr>
              <w:pStyle w:val="BodyText"/>
              <w:spacing w:before="100" w:after="100"/>
              <w:rPr>
                <w:rFonts w:cs="Arial"/>
                <w:b/>
                <w:bCs/>
                <w:szCs w:val="20"/>
                <w:lang w:eastAsia="en-AU"/>
              </w:rPr>
            </w:pPr>
            <w:r w:rsidRPr="00641F25">
              <w:rPr>
                <w:rFonts w:cs="Arial"/>
                <w:b/>
                <w:bCs/>
                <w:szCs w:val="20"/>
                <w:lang w:eastAsia="en-AU"/>
              </w:rPr>
              <w:t>International roaming</w:t>
            </w:r>
          </w:p>
        </w:tc>
        <w:tc>
          <w:tcPr>
            <w:tcW w:w="4546" w:type="dxa"/>
            <w:shd w:val="clear" w:color="auto" w:fill="auto"/>
            <w:vAlign w:val="center"/>
          </w:tcPr>
          <w:p w14:paraId="6C83F3D3" w14:textId="77777777" w:rsidR="00735147" w:rsidRPr="00641F25" w:rsidRDefault="00735147" w:rsidP="00735147">
            <w:pPr>
              <w:pStyle w:val="BodyText"/>
              <w:spacing w:before="100" w:after="100"/>
              <w:jc w:val="center"/>
              <w:rPr>
                <w:rFonts w:cs="Arial"/>
                <w:szCs w:val="20"/>
              </w:rPr>
            </w:pPr>
            <w:r w:rsidRPr="00641F25">
              <w:rPr>
                <w:rFonts w:cs="Arial"/>
                <w:szCs w:val="20"/>
              </w:rPr>
              <w:t>See optus.com.au/roaming</w:t>
            </w:r>
          </w:p>
        </w:tc>
      </w:tr>
    </w:tbl>
    <w:p w14:paraId="042E3BDD" w14:textId="77777777" w:rsidR="00735147" w:rsidRPr="009E0138" w:rsidRDefault="00735147" w:rsidP="00735147">
      <w:pPr>
        <w:pStyle w:val="BodyText"/>
      </w:pPr>
    </w:p>
    <w:p w14:paraId="7CBB4D45" w14:textId="77777777" w:rsidR="00735147" w:rsidRDefault="00735147" w:rsidP="00735147">
      <w:pPr>
        <w:pStyle w:val="BodyText"/>
        <w:rPr>
          <w:b/>
        </w:rPr>
      </w:pPr>
      <w:r w:rsidRPr="00DA2AA3">
        <w:rPr>
          <w:b/>
        </w:rPr>
        <w:t>Table 3 – International Countries</w:t>
      </w:r>
      <w:r>
        <w:rPr>
          <w:b/>
        </w:rPr>
        <w:t xml:space="preserve">  </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5"/>
        <w:gridCol w:w="2205"/>
        <w:gridCol w:w="2205"/>
        <w:gridCol w:w="2205"/>
      </w:tblGrid>
      <w:tr w:rsidR="00735147" w:rsidRPr="00B7364B" w14:paraId="1FD2131D" w14:textId="77777777" w:rsidTr="00735147">
        <w:tc>
          <w:tcPr>
            <w:tcW w:w="2205" w:type="dxa"/>
            <w:shd w:val="clear" w:color="auto" w:fill="auto"/>
          </w:tcPr>
          <w:p w14:paraId="389054EA" w14:textId="77777777" w:rsidR="00735147" w:rsidRPr="00B7364B" w:rsidRDefault="00735147" w:rsidP="00735147">
            <w:pPr>
              <w:spacing w:before="100" w:after="100"/>
              <w:rPr>
                <w:sz w:val="20"/>
              </w:rPr>
            </w:pPr>
            <w:r w:rsidRPr="00B7364B">
              <w:rPr>
                <w:sz w:val="20"/>
              </w:rPr>
              <w:t>Canada</w:t>
            </w:r>
          </w:p>
        </w:tc>
        <w:tc>
          <w:tcPr>
            <w:tcW w:w="2205" w:type="dxa"/>
            <w:shd w:val="clear" w:color="auto" w:fill="auto"/>
          </w:tcPr>
          <w:p w14:paraId="141670CC" w14:textId="77777777" w:rsidR="00735147" w:rsidRPr="00B7364B" w:rsidRDefault="00735147" w:rsidP="00735147">
            <w:pPr>
              <w:spacing w:before="100" w:after="100"/>
              <w:rPr>
                <w:sz w:val="20"/>
              </w:rPr>
            </w:pPr>
            <w:r w:rsidRPr="00B7364B">
              <w:rPr>
                <w:sz w:val="20"/>
              </w:rPr>
              <w:t>China</w:t>
            </w:r>
          </w:p>
        </w:tc>
        <w:tc>
          <w:tcPr>
            <w:tcW w:w="2205" w:type="dxa"/>
            <w:shd w:val="clear" w:color="auto" w:fill="auto"/>
          </w:tcPr>
          <w:p w14:paraId="3BF20924" w14:textId="77777777" w:rsidR="00735147" w:rsidRPr="00B7364B" w:rsidRDefault="00735147" w:rsidP="00735147">
            <w:pPr>
              <w:spacing w:before="100" w:after="100"/>
              <w:rPr>
                <w:sz w:val="20"/>
              </w:rPr>
            </w:pPr>
            <w:r w:rsidRPr="00B7364B">
              <w:rPr>
                <w:sz w:val="20"/>
              </w:rPr>
              <w:t>Hong Kong</w:t>
            </w:r>
          </w:p>
        </w:tc>
        <w:tc>
          <w:tcPr>
            <w:tcW w:w="2205" w:type="dxa"/>
            <w:shd w:val="clear" w:color="auto" w:fill="auto"/>
          </w:tcPr>
          <w:p w14:paraId="4F558B69" w14:textId="77777777" w:rsidR="00735147" w:rsidRPr="00B7364B" w:rsidRDefault="00735147" w:rsidP="00735147">
            <w:pPr>
              <w:spacing w:before="100" w:after="100"/>
              <w:rPr>
                <w:sz w:val="20"/>
              </w:rPr>
            </w:pPr>
            <w:r w:rsidRPr="00B7364B">
              <w:rPr>
                <w:sz w:val="20"/>
              </w:rPr>
              <w:t>India</w:t>
            </w:r>
          </w:p>
        </w:tc>
      </w:tr>
      <w:tr w:rsidR="00735147" w:rsidRPr="00B7364B" w14:paraId="478DE9A4" w14:textId="77777777" w:rsidTr="00735147">
        <w:tc>
          <w:tcPr>
            <w:tcW w:w="2205" w:type="dxa"/>
            <w:shd w:val="clear" w:color="auto" w:fill="auto"/>
          </w:tcPr>
          <w:p w14:paraId="5933FC73" w14:textId="77777777" w:rsidR="00735147" w:rsidRPr="00B7364B" w:rsidRDefault="00735147" w:rsidP="00735147">
            <w:pPr>
              <w:spacing w:before="100" w:after="100"/>
              <w:rPr>
                <w:b/>
                <w:sz w:val="20"/>
              </w:rPr>
            </w:pPr>
            <w:r w:rsidRPr="00B7364B">
              <w:rPr>
                <w:sz w:val="20"/>
              </w:rPr>
              <w:t>Indonesia</w:t>
            </w:r>
          </w:p>
        </w:tc>
        <w:tc>
          <w:tcPr>
            <w:tcW w:w="2205" w:type="dxa"/>
            <w:shd w:val="clear" w:color="auto" w:fill="auto"/>
          </w:tcPr>
          <w:p w14:paraId="3A68BB78" w14:textId="77777777" w:rsidR="00735147" w:rsidRPr="00B7364B" w:rsidRDefault="00735147" w:rsidP="00735147">
            <w:pPr>
              <w:spacing w:before="100" w:after="100"/>
              <w:rPr>
                <w:b/>
                <w:sz w:val="20"/>
              </w:rPr>
            </w:pPr>
            <w:r w:rsidRPr="00B7364B">
              <w:rPr>
                <w:sz w:val="20"/>
              </w:rPr>
              <w:t>Malaysia</w:t>
            </w:r>
          </w:p>
        </w:tc>
        <w:tc>
          <w:tcPr>
            <w:tcW w:w="2205" w:type="dxa"/>
            <w:shd w:val="clear" w:color="auto" w:fill="auto"/>
          </w:tcPr>
          <w:p w14:paraId="5EECAF74" w14:textId="77777777" w:rsidR="00735147" w:rsidRPr="00B7364B" w:rsidRDefault="00735147" w:rsidP="00735147">
            <w:pPr>
              <w:spacing w:before="100" w:after="100"/>
              <w:rPr>
                <w:b/>
                <w:sz w:val="20"/>
              </w:rPr>
            </w:pPr>
            <w:r w:rsidRPr="00B7364B">
              <w:rPr>
                <w:sz w:val="20"/>
              </w:rPr>
              <w:t>New Zealand</w:t>
            </w:r>
          </w:p>
        </w:tc>
        <w:tc>
          <w:tcPr>
            <w:tcW w:w="2205" w:type="dxa"/>
            <w:shd w:val="clear" w:color="auto" w:fill="auto"/>
          </w:tcPr>
          <w:p w14:paraId="3913CC35" w14:textId="77777777" w:rsidR="00735147" w:rsidRPr="00B7364B" w:rsidRDefault="00735147" w:rsidP="00735147">
            <w:pPr>
              <w:spacing w:before="100" w:after="100"/>
              <w:rPr>
                <w:b/>
                <w:sz w:val="20"/>
              </w:rPr>
            </w:pPr>
            <w:r w:rsidRPr="00B7364B">
              <w:rPr>
                <w:sz w:val="20"/>
              </w:rPr>
              <w:t>Singapore</w:t>
            </w:r>
          </w:p>
        </w:tc>
      </w:tr>
      <w:tr w:rsidR="00735147" w:rsidRPr="00B7364B" w14:paraId="1955690C" w14:textId="77777777" w:rsidTr="00735147">
        <w:tc>
          <w:tcPr>
            <w:tcW w:w="2205" w:type="dxa"/>
            <w:shd w:val="clear" w:color="auto" w:fill="auto"/>
          </w:tcPr>
          <w:p w14:paraId="2A4910FF" w14:textId="77777777" w:rsidR="00735147" w:rsidRPr="00B7364B" w:rsidRDefault="00735147" w:rsidP="00735147">
            <w:pPr>
              <w:spacing w:before="100" w:after="100"/>
              <w:rPr>
                <w:b/>
                <w:sz w:val="20"/>
              </w:rPr>
            </w:pPr>
            <w:r w:rsidRPr="00B7364B">
              <w:rPr>
                <w:sz w:val="20"/>
              </w:rPr>
              <w:t>South Africa</w:t>
            </w:r>
          </w:p>
        </w:tc>
        <w:tc>
          <w:tcPr>
            <w:tcW w:w="2205" w:type="dxa"/>
            <w:shd w:val="clear" w:color="auto" w:fill="auto"/>
          </w:tcPr>
          <w:p w14:paraId="501DC700" w14:textId="77777777" w:rsidR="00735147" w:rsidRPr="00B7364B" w:rsidRDefault="00735147" w:rsidP="00735147">
            <w:pPr>
              <w:spacing w:before="100" w:after="100"/>
              <w:rPr>
                <w:b/>
                <w:sz w:val="20"/>
              </w:rPr>
            </w:pPr>
            <w:r w:rsidRPr="00B7364B">
              <w:rPr>
                <w:sz w:val="20"/>
              </w:rPr>
              <w:t>South Korea</w:t>
            </w:r>
          </w:p>
        </w:tc>
        <w:tc>
          <w:tcPr>
            <w:tcW w:w="2205" w:type="dxa"/>
            <w:shd w:val="clear" w:color="auto" w:fill="auto"/>
          </w:tcPr>
          <w:p w14:paraId="216825F7" w14:textId="77777777" w:rsidR="00735147" w:rsidRPr="00B7364B" w:rsidRDefault="00735147" w:rsidP="00735147">
            <w:pPr>
              <w:spacing w:before="100" w:after="100"/>
              <w:rPr>
                <w:b/>
                <w:sz w:val="20"/>
              </w:rPr>
            </w:pPr>
            <w:r w:rsidRPr="00B7364B">
              <w:rPr>
                <w:sz w:val="20"/>
              </w:rPr>
              <w:t>Thailand</w:t>
            </w:r>
          </w:p>
        </w:tc>
        <w:tc>
          <w:tcPr>
            <w:tcW w:w="2205" w:type="dxa"/>
            <w:shd w:val="clear" w:color="auto" w:fill="auto"/>
          </w:tcPr>
          <w:p w14:paraId="33853BD7" w14:textId="77777777" w:rsidR="00735147" w:rsidRPr="00B7364B" w:rsidRDefault="00735147" w:rsidP="00735147">
            <w:pPr>
              <w:spacing w:before="100" w:after="100"/>
              <w:rPr>
                <w:b/>
                <w:sz w:val="20"/>
              </w:rPr>
            </w:pPr>
            <w:r w:rsidRPr="00B7364B">
              <w:rPr>
                <w:sz w:val="20"/>
              </w:rPr>
              <w:t>United Kingdom</w:t>
            </w:r>
          </w:p>
        </w:tc>
      </w:tr>
      <w:tr w:rsidR="00735147" w:rsidRPr="00B7364B" w14:paraId="57D181AB" w14:textId="77777777" w:rsidTr="00735147">
        <w:tc>
          <w:tcPr>
            <w:tcW w:w="2205" w:type="dxa"/>
            <w:shd w:val="clear" w:color="auto" w:fill="auto"/>
          </w:tcPr>
          <w:p w14:paraId="7CAB9ED6" w14:textId="77777777" w:rsidR="00735147" w:rsidRPr="00B7364B" w:rsidRDefault="00735147" w:rsidP="00735147">
            <w:pPr>
              <w:spacing w:before="100" w:after="100"/>
              <w:rPr>
                <w:b/>
                <w:sz w:val="20"/>
              </w:rPr>
            </w:pPr>
            <w:r w:rsidRPr="00B7364B">
              <w:rPr>
                <w:sz w:val="20"/>
              </w:rPr>
              <w:t>USA</w:t>
            </w:r>
          </w:p>
        </w:tc>
        <w:tc>
          <w:tcPr>
            <w:tcW w:w="2205" w:type="dxa"/>
            <w:shd w:val="clear" w:color="auto" w:fill="auto"/>
          </w:tcPr>
          <w:p w14:paraId="5EF981C2" w14:textId="77777777" w:rsidR="00735147" w:rsidRPr="00B7364B" w:rsidRDefault="00735147" w:rsidP="00735147">
            <w:pPr>
              <w:spacing w:before="100" w:after="100"/>
              <w:rPr>
                <w:b/>
                <w:sz w:val="20"/>
              </w:rPr>
            </w:pPr>
            <w:r w:rsidRPr="00B7364B">
              <w:rPr>
                <w:sz w:val="20"/>
              </w:rPr>
              <w:t>Vietnam</w:t>
            </w:r>
          </w:p>
        </w:tc>
        <w:tc>
          <w:tcPr>
            <w:tcW w:w="2205" w:type="dxa"/>
            <w:shd w:val="clear" w:color="auto" w:fill="auto"/>
          </w:tcPr>
          <w:p w14:paraId="24F3DFCC" w14:textId="77777777" w:rsidR="00735147" w:rsidRPr="00B7364B" w:rsidRDefault="00735147" w:rsidP="00735147">
            <w:pPr>
              <w:spacing w:before="100" w:after="100"/>
              <w:rPr>
                <w:b/>
                <w:sz w:val="20"/>
              </w:rPr>
            </w:pPr>
          </w:p>
        </w:tc>
        <w:tc>
          <w:tcPr>
            <w:tcW w:w="2205" w:type="dxa"/>
            <w:shd w:val="clear" w:color="auto" w:fill="auto"/>
          </w:tcPr>
          <w:p w14:paraId="3ADD534D" w14:textId="77777777" w:rsidR="00735147" w:rsidRPr="00B7364B" w:rsidRDefault="00735147" w:rsidP="00735147">
            <w:pPr>
              <w:spacing w:before="100" w:after="100"/>
              <w:rPr>
                <w:b/>
                <w:sz w:val="20"/>
              </w:rPr>
            </w:pPr>
          </w:p>
        </w:tc>
      </w:tr>
    </w:tbl>
    <w:p w14:paraId="1B686F04" w14:textId="77777777" w:rsidR="00735147" w:rsidRPr="00DA2AA3" w:rsidRDefault="00735147" w:rsidP="00735147">
      <w:pPr>
        <w:pStyle w:val="BodyText"/>
      </w:pPr>
    </w:p>
    <w:p w14:paraId="1077A387" w14:textId="77777777" w:rsidR="00735147" w:rsidRDefault="00735147" w:rsidP="00735147">
      <w:pPr>
        <w:pStyle w:val="Heading6"/>
        <w:keepNext/>
        <w:ind w:left="0" w:firstLine="0"/>
      </w:pPr>
      <w:bookmarkStart w:id="1659" w:name="_Toc481150266"/>
      <w:bookmarkStart w:id="1660" w:name="_Toc481157071"/>
      <w:bookmarkStart w:id="1661" w:name="_Toc489971294"/>
      <w:r>
        <w:t>My Account</w:t>
      </w:r>
      <w:bookmarkEnd w:id="1659"/>
      <w:bookmarkEnd w:id="1660"/>
      <w:bookmarkEnd w:id="1661"/>
    </w:p>
    <w:p w14:paraId="58C938ED" w14:textId="77777777" w:rsidR="00735147" w:rsidRDefault="00735147" w:rsidP="00735147">
      <w:pPr>
        <w:pStyle w:val="BodyText"/>
        <w:ind w:left="72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service has used. If </w:t>
      </w:r>
      <w:r>
        <w:rPr>
          <w:i/>
        </w:rPr>
        <w:t>you</w:t>
      </w:r>
      <w:r>
        <w:t xml:space="preserve"> have more than 6 services on </w:t>
      </w:r>
      <w:r>
        <w:rPr>
          <w:i/>
        </w:rPr>
        <w:t>your</w:t>
      </w:r>
      <w:r>
        <w:t xml:space="preserve"> account, My Account may not be suitable for viewing usage and managing </w:t>
      </w:r>
      <w:r>
        <w:rPr>
          <w:i/>
        </w:rPr>
        <w:t xml:space="preserve">your </w:t>
      </w:r>
      <w:r>
        <w:t>usage alerts.</w:t>
      </w:r>
      <w:r>
        <w:br/>
      </w:r>
    </w:p>
    <w:p w14:paraId="3A99AF7E" w14:textId="77777777" w:rsidR="00735147" w:rsidRDefault="00735147" w:rsidP="00735147">
      <w:pPr>
        <w:pStyle w:val="Heading6"/>
        <w:keepNext/>
        <w:ind w:left="0" w:firstLine="0"/>
      </w:pPr>
      <w:bookmarkStart w:id="1662" w:name="_Toc481157072"/>
      <w:bookmarkStart w:id="1663" w:name="_Toc489971295"/>
      <w:r>
        <w:t xml:space="preserve">What happens if the </w:t>
      </w:r>
      <w:r w:rsidRPr="00C40D36">
        <w:rPr>
          <w:i/>
        </w:rPr>
        <w:t>service</w:t>
      </w:r>
      <w:r>
        <w:t xml:space="preserve"> is cancelled early?</w:t>
      </w:r>
      <w:bookmarkEnd w:id="1662"/>
      <w:bookmarkEnd w:id="1663"/>
      <w:r>
        <w:t xml:space="preserve"> </w:t>
      </w:r>
    </w:p>
    <w:p w14:paraId="34EE54FB" w14:textId="77777777" w:rsidR="00735147" w:rsidRDefault="00735147" w:rsidP="00735147">
      <w:pPr>
        <w:pStyle w:val="BodyText"/>
        <w:ind w:left="720"/>
      </w:pPr>
      <w:r>
        <w:t>If you cancel your pricing plan during your minimum term, including if you port your mobile service away from Optus or we end it early because you have breached the terms, then:</w:t>
      </w:r>
    </w:p>
    <w:p w14:paraId="363F03B7" w14:textId="77777777" w:rsidR="00735147" w:rsidRDefault="00735147" w:rsidP="00735147">
      <w:pPr>
        <w:pStyle w:val="Heading7"/>
      </w:pPr>
      <w:r w:rsidRPr="00F81858">
        <w:rPr>
          <w:i/>
        </w:rPr>
        <w:t>you</w:t>
      </w:r>
      <w:r>
        <w:t xml:space="preserve"> will need to pay a cancellation fee prorated monthly for your remaining term in accordance with Table 4 below, plus if the cancellation occurs:</w:t>
      </w:r>
    </w:p>
    <w:p w14:paraId="2A7E57DA" w14:textId="77777777" w:rsidR="00735147" w:rsidRDefault="00735147" w:rsidP="00735147">
      <w:pPr>
        <w:pStyle w:val="Heading8"/>
      </w:pPr>
      <w:r>
        <w:t>Within the first 18 months of your 24 month minimum term, you will also have to pay out the monthly mobile device charges (increased by handset credits lost as a result of the early cancellation) for the remainder of the contract term and you will own the phone;</w:t>
      </w:r>
    </w:p>
    <w:p w14:paraId="4BFD0DE7" w14:textId="77777777" w:rsidR="00735147" w:rsidRDefault="00735147" w:rsidP="00735147">
      <w:pPr>
        <w:pStyle w:val="Heading8"/>
      </w:pPr>
      <w:r>
        <w:t>In the last 6 months of your 24 month minimum term, you can:</w:t>
      </w:r>
    </w:p>
    <w:p w14:paraId="460B2A3D" w14:textId="77777777" w:rsidR="00735147" w:rsidRDefault="00735147" w:rsidP="00735147">
      <w:pPr>
        <w:pStyle w:val="Heading9"/>
      </w:pPr>
      <w:r>
        <w:t>Choose to keep the phone and you will be charged the fair market value of the phone (which we will advise at that time) or</w:t>
      </w:r>
    </w:p>
    <w:p w14:paraId="35603F67" w14:textId="77777777" w:rsidR="00735147" w:rsidRDefault="00735147" w:rsidP="00735147">
      <w:pPr>
        <w:pStyle w:val="Heading9"/>
      </w:pPr>
      <w:r>
        <w:t>Return the phone to us and if it is undamaged we will charge you a $99 early return fee and</w:t>
      </w:r>
    </w:p>
    <w:p w14:paraId="486D12B5" w14:textId="77777777" w:rsidR="00735147" w:rsidRDefault="00735147" w:rsidP="00735147">
      <w:pPr>
        <w:pStyle w:val="Heading7"/>
      </w:pPr>
      <w:r w:rsidRPr="00F81858">
        <w:rPr>
          <w:i/>
        </w:rPr>
        <w:t>You</w:t>
      </w:r>
      <w:r>
        <w:t xml:space="preserve"> will need to pay any applicable charges and fees under </w:t>
      </w:r>
      <w:r w:rsidRPr="00F81858">
        <w:rPr>
          <w:i/>
        </w:rPr>
        <w:t>your</w:t>
      </w:r>
      <w:r>
        <w:t xml:space="preserve"> </w:t>
      </w:r>
      <w:r w:rsidRPr="00F81858">
        <w:rPr>
          <w:i/>
        </w:rPr>
        <w:t>mobile equipment lease plan</w:t>
      </w:r>
      <w:r w:rsidRPr="00F81858">
        <w:t xml:space="preserve"> (</w:t>
      </w:r>
      <w:r w:rsidRPr="004C768F">
        <w:t>see</w:t>
      </w:r>
      <w:r w:rsidRPr="00F81858">
        <w:t xml:space="preserve"> Appendix DDD</w:t>
      </w:r>
      <w:r>
        <w:t>).</w:t>
      </w:r>
    </w:p>
    <w:p w14:paraId="1B737DC0" w14:textId="77777777" w:rsidR="00735147" w:rsidRPr="00641F25" w:rsidRDefault="00735147" w:rsidP="00735147">
      <w:pPr>
        <w:rPr>
          <w:b/>
        </w:rPr>
      </w:pPr>
      <w:r w:rsidRPr="00641F25">
        <w:rPr>
          <w:rFonts w:eastAsia="Times New Roman"/>
          <w:b/>
          <w:sz w:val="20"/>
        </w:rPr>
        <w:t>Table 4 – Cancellation Fees</w:t>
      </w:r>
    </w:p>
    <w:p w14:paraId="38ABF9FB" w14:textId="77777777" w:rsidR="00735147" w:rsidRPr="00723CB9" w:rsidRDefault="00735147" w:rsidP="00735147"/>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4"/>
        <w:gridCol w:w="2835"/>
        <w:gridCol w:w="3261"/>
      </w:tblGrid>
      <w:tr w:rsidR="00735147" w:rsidRPr="00A174EB" w14:paraId="16180606" w14:textId="77777777" w:rsidTr="00735147">
        <w:tc>
          <w:tcPr>
            <w:tcW w:w="3084" w:type="dxa"/>
            <w:shd w:val="clear" w:color="auto" w:fill="auto"/>
            <w:vAlign w:val="center"/>
          </w:tcPr>
          <w:p w14:paraId="38A1D3BF" w14:textId="77777777" w:rsidR="00735147" w:rsidRPr="00A174EB" w:rsidRDefault="00735147" w:rsidP="00735147">
            <w:pPr>
              <w:pStyle w:val="BodyText"/>
              <w:jc w:val="center"/>
              <w:rPr>
                <w:b/>
              </w:rPr>
            </w:pPr>
          </w:p>
        </w:tc>
        <w:tc>
          <w:tcPr>
            <w:tcW w:w="2835" w:type="dxa"/>
            <w:shd w:val="clear" w:color="auto" w:fill="auto"/>
            <w:vAlign w:val="center"/>
          </w:tcPr>
          <w:p w14:paraId="33451DC1" w14:textId="77777777" w:rsidR="00735147" w:rsidRPr="00A174EB" w:rsidRDefault="00735147" w:rsidP="00735147">
            <w:pPr>
              <w:pStyle w:val="BodyText"/>
              <w:jc w:val="center"/>
              <w:rPr>
                <w:b/>
              </w:rPr>
            </w:pPr>
            <w:r>
              <w:rPr>
                <w:b/>
              </w:rPr>
              <w:t>$75</w:t>
            </w:r>
            <w:r w:rsidRPr="00A174EB">
              <w:rPr>
                <w:b/>
              </w:rPr>
              <w:t xml:space="preserve"> </w:t>
            </w:r>
            <w:r w:rsidRPr="0015209F">
              <w:rPr>
                <w:b/>
                <w:color w:val="000000"/>
                <w:lang w:eastAsia="en-AU"/>
              </w:rPr>
              <w:t>My Plan Business Flex</w:t>
            </w:r>
          </w:p>
        </w:tc>
        <w:tc>
          <w:tcPr>
            <w:tcW w:w="3261" w:type="dxa"/>
            <w:shd w:val="clear" w:color="auto" w:fill="auto"/>
            <w:vAlign w:val="center"/>
          </w:tcPr>
          <w:p w14:paraId="7D934702" w14:textId="77777777" w:rsidR="00735147" w:rsidRPr="00A174EB" w:rsidRDefault="00735147" w:rsidP="00735147">
            <w:pPr>
              <w:pStyle w:val="BodyText"/>
              <w:jc w:val="center"/>
              <w:rPr>
                <w:b/>
              </w:rPr>
            </w:pPr>
            <w:r>
              <w:rPr>
                <w:rFonts w:eastAsia="Calibri"/>
                <w:b/>
                <w:szCs w:val="20"/>
              </w:rPr>
              <w:t>$75</w:t>
            </w:r>
            <w:r w:rsidRPr="00A174EB">
              <w:rPr>
                <w:rFonts w:eastAsia="Calibri"/>
                <w:b/>
                <w:szCs w:val="20"/>
              </w:rPr>
              <w:t xml:space="preserve"> </w:t>
            </w:r>
            <w:r>
              <w:rPr>
                <w:rFonts w:eastAsia="Calibri"/>
                <w:b/>
                <w:szCs w:val="20"/>
              </w:rPr>
              <w:t xml:space="preserve">Business </w:t>
            </w:r>
            <w:r w:rsidRPr="00664538">
              <w:rPr>
                <w:rFonts w:eastAsia="Calibri"/>
                <w:b/>
                <w:szCs w:val="20"/>
              </w:rPr>
              <w:t>Lease</w:t>
            </w:r>
          </w:p>
        </w:tc>
      </w:tr>
      <w:tr w:rsidR="00735147" w:rsidRPr="00A174EB" w14:paraId="703788CF" w14:textId="77777777" w:rsidTr="00735147">
        <w:tc>
          <w:tcPr>
            <w:tcW w:w="3084" w:type="dxa"/>
            <w:shd w:val="clear" w:color="auto" w:fill="auto"/>
            <w:vAlign w:val="center"/>
          </w:tcPr>
          <w:p w14:paraId="32ABD60B" w14:textId="77777777" w:rsidR="00735147" w:rsidRPr="00A174EB" w:rsidRDefault="00735147" w:rsidP="00735147">
            <w:pPr>
              <w:pStyle w:val="BodyText"/>
              <w:spacing w:before="100" w:after="100"/>
              <w:jc w:val="center"/>
              <w:rPr>
                <w:b/>
              </w:rPr>
            </w:pPr>
            <w:r w:rsidRPr="00A174EB">
              <w:rPr>
                <w:b/>
                <w:bCs/>
                <w:lang w:eastAsia="en-AU"/>
              </w:rPr>
              <w:t>Cancellation Fee</w:t>
            </w:r>
          </w:p>
        </w:tc>
        <w:tc>
          <w:tcPr>
            <w:tcW w:w="2835" w:type="dxa"/>
            <w:shd w:val="clear" w:color="auto" w:fill="auto"/>
            <w:vAlign w:val="center"/>
          </w:tcPr>
          <w:p w14:paraId="053F30E0" w14:textId="77777777" w:rsidR="00735147" w:rsidRPr="00A174EB" w:rsidRDefault="00735147" w:rsidP="00735147">
            <w:pPr>
              <w:pStyle w:val="BodyText"/>
              <w:jc w:val="center"/>
              <w:rPr>
                <w:b/>
              </w:rPr>
            </w:pPr>
            <w:r>
              <w:rPr>
                <w:rFonts w:eastAsia="Calibri"/>
                <w:szCs w:val="20"/>
              </w:rPr>
              <w:t>$37.50</w:t>
            </w:r>
            <w:r w:rsidRPr="00A174EB">
              <w:rPr>
                <w:rFonts w:eastAsia="Calibri"/>
                <w:szCs w:val="20"/>
              </w:rPr>
              <w:t xml:space="preserve"> </w:t>
            </w:r>
            <w:r w:rsidRPr="00A174EB">
              <w:rPr>
                <w:szCs w:val="20"/>
              </w:rPr>
              <w:t>x months remaining</w:t>
            </w:r>
          </w:p>
        </w:tc>
        <w:tc>
          <w:tcPr>
            <w:tcW w:w="3261" w:type="dxa"/>
            <w:shd w:val="clear" w:color="auto" w:fill="auto"/>
            <w:vAlign w:val="center"/>
          </w:tcPr>
          <w:p w14:paraId="6442C2C9" w14:textId="77777777" w:rsidR="00735147" w:rsidRPr="00A174EB" w:rsidRDefault="00735147" w:rsidP="00735147">
            <w:pPr>
              <w:pStyle w:val="BodyText"/>
              <w:jc w:val="center"/>
              <w:rPr>
                <w:b/>
              </w:rPr>
            </w:pPr>
            <w:r>
              <w:rPr>
                <w:rFonts w:eastAsia="Calibri"/>
                <w:szCs w:val="20"/>
              </w:rPr>
              <w:t>$37.50</w:t>
            </w:r>
            <w:r w:rsidRPr="00A174EB">
              <w:rPr>
                <w:rFonts w:eastAsia="Calibri"/>
                <w:szCs w:val="20"/>
              </w:rPr>
              <w:t xml:space="preserve"> </w:t>
            </w:r>
            <w:r w:rsidRPr="00A174EB">
              <w:rPr>
                <w:szCs w:val="20"/>
              </w:rPr>
              <w:t>x months remaining</w:t>
            </w:r>
          </w:p>
        </w:tc>
      </w:tr>
      <w:tr w:rsidR="00735147" w:rsidRPr="00A174EB" w14:paraId="7AAC814F" w14:textId="77777777" w:rsidTr="00735147">
        <w:tc>
          <w:tcPr>
            <w:tcW w:w="3084" w:type="dxa"/>
            <w:shd w:val="clear" w:color="auto" w:fill="auto"/>
            <w:vAlign w:val="center"/>
          </w:tcPr>
          <w:p w14:paraId="1D886DB4" w14:textId="77777777" w:rsidR="00735147" w:rsidRPr="00A174EB" w:rsidRDefault="00735147" w:rsidP="00735147">
            <w:pPr>
              <w:pStyle w:val="BodyText"/>
              <w:spacing w:before="100" w:after="100"/>
              <w:jc w:val="center"/>
              <w:rPr>
                <w:b/>
                <w:bCs/>
                <w:lang w:eastAsia="en-AU"/>
              </w:rPr>
            </w:pPr>
            <w:r w:rsidRPr="00A174EB">
              <w:rPr>
                <w:b/>
                <w:bCs/>
                <w:lang w:eastAsia="en-AU"/>
              </w:rPr>
              <w:t>Maximum Cancellation Fee</w:t>
            </w:r>
          </w:p>
        </w:tc>
        <w:tc>
          <w:tcPr>
            <w:tcW w:w="2835" w:type="dxa"/>
            <w:shd w:val="clear" w:color="auto" w:fill="auto"/>
            <w:vAlign w:val="center"/>
          </w:tcPr>
          <w:p w14:paraId="15E559A6" w14:textId="77777777" w:rsidR="00735147" w:rsidRPr="00A174EB" w:rsidRDefault="00735147" w:rsidP="00735147">
            <w:pPr>
              <w:pStyle w:val="BodyText"/>
              <w:jc w:val="center"/>
              <w:rPr>
                <w:rFonts w:eastAsia="Calibri"/>
                <w:szCs w:val="20"/>
              </w:rPr>
            </w:pPr>
            <w:r>
              <w:rPr>
                <w:rFonts w:eastAsia="Calibri"/>
                <w:szCs w:val="20"/>
              </w:rPr>
              <w:t>$900</w:t>
            </w:r>
          </w:p>
        </w:tc>
        <w:tc>
          <w:tcPr>
            <w:tcW w:w="3261" w:type="dxa"/>
            <w:shd w:val="clear" w:color="auto" w:fill="auto"/>
            <w:vAlign w:val="center"/>
          </w:tcPr>
          <w:p w14:paraId="1AAD052E" w14:textId="77777777" w:rsidR="00735147" w:rsidRPr="00A174EB" w:rsidRDefault="00735147" w:rsidP="00735147">
            <w:pPr>
              <w:pStyle w:val="BodyText"/>
              <w:jc w:val="center"/>
              <w:rPr>
                <w:rFonts w:eastAsia="Calibri"/>
                <w:szCs w:val="20"/>
              </w:rPr>
            </w:pPr>
            <w:r>
              <w:rPr>
                <w:rFonts w:eastAsia="Calibri"/>
                <w:szCs w:val="20"/>
              </w:rPr>
              <w:t>$900</w:t>
            </w:r>
          </w:p>
        </w:tc>
      </w:tr>
    </w:tbl>
    <w:p w14:paraId="46E9BE77" w14:textId="77777777" w:rsidR="00735147" w:rsidRDefault="00735147" w:rsidP="00735147">
      <w:pPr>
        <w:rPr>
          <w:sz w:val="20"/>
          <w:szCs w:val="20"/>
        </w:rPr>
      </w:pPr>
    </w:p>
    <w:p w14:paraId="103CC45C" w14:textId="77777777" w:rsidR="00920231" w:rsidRPr="00E46EDA" w:rsidRDefault="00920231" w:rsidP="00920231">
      <w:pPr>
        <w:pStyle w:val="Heading4"/>
        <w:rPr>
          <w:lang w:val="en-AU"/>
        </w:rPr>
      </w:pPr>
      <w:bookmarkStart w:id="1664" w:name="_Toc485729064"/>
      <w:bookmarkStart w:id="1665" w:name="_Toc62644692"/>
      <w:r w:rsidRPr="00E46EDA">
        <w:rPr>
          <w:lang w:val="en-AU"/>
        </w:rPr>
        <w:lastRenderedPageBreak/>
        <w:t>My Plan Business</w:t>
      </w:r>
      <w:bookmarkEnd w:id="1664"/>
      <w:bookmarkEnd w:id="1665"/>
      <w:r w:rsidRPr="00E46EDA">
        <w:rPr>
          <w:lang w:val="en-AU"/>
        </w:rPr>
        <w:t xml:space="preserve"> </w:t>
      </w:r>
    </w:p>
    <w:p w14:paraId="0645AAD5" w14:textId="77777777" w:rsidR="00920231" w:rsidRDefault="00920231" w:rsidP="00920231">
      <w:pPr>
        <w:pStyle w:val="BodyText"/>
        <w:keepNext/>
      </w:pPr>
      <w:r w:rsidRPr="00E46EDA">
        <w:t xml:space="preserve">This section relates to the following plans. </w:t>
      </w:r>
      <w:r w:rsidRPr="00E46EDA">
        <w:rPr>
          <w:i/>
        </w:rPr>
        <w:t>You</w:t>
      </w:r>
      <w:r w:rsidRPr="00E46EDA">
        <w:t xml:space="preserve"> can find </w:t>
      </w:r>
      <w:r w:rsidRPr="00E46EDA">
        <w:rPr>
          <w:i/>
        </w:rPr>
        <w:t>your</w:t>
      </w:r>
      <w:r w:rsidRPr="00E46EDA">
        <w:t xml:space="preserve"> Plan ID on </w:t>
      </w:r>
      <w:r w:rsidRPr="00E46EDA">
        <w:rPr>
          <w:i/>
        </w:rPr>
        <w:t>your</w:t>
      </w:r>
      <w:r w:rsidRPr="00E46EDA">
        <w:t xml:space="preserve"> bill under the Mobile Number Summary section:</w:t>
      </w:r>
    </w:p>
    <w:tbl>
      <w:tblPr>
        <w:tblW w:w="9384"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2437"/>
        <w:gridCol w:w="3969"/>
      </w:tblGrid>
      <w:tr w:rsidR="00920231" w:rsidRPr="00A166C1" w14:paraId="50421F95" w14:textId="77777777" w:rsidTr="00920231">
        <w:tc>
          <w:tcPr>
            <w:tcW w:w="2978" w:type="dxa"/>
            <w:shd w:val="clear" w:color="auto" w:fill="auto"/>
          </w:tcPr>
          <w:p w14:paraId="39B763B4" w14:textId="77777777" w:rsidR="00920231" w:rsidRPr="00773636" w:rsidRDefault="00920231" w:rsidP="00920231">
            <w:pPr>
              <w:pStyle w:val="BodyText"/>
              <w:spacing w:before="100" w:after="100"/>
              <w:jc w:val="center"/>
              <w:rPr>
                <w:b/>
              </w:rPr>
            </w:pPr>
            <w:r w:rsidRPr="00773636">
              <w:rPr>
                <w:b/>
              </w:rPr>
              <w:t>Plan</w:t>
            </w:r>
          </w:p>
        </w:tc>
        <w:tc>
          <w:tcPr>
            <w:tcW w:w="2437" w:type="dxa"/>
            <w:shd w:val="clear" w:color="auto" w:fill="auto"/>
          </w:tcPr>
          <w:p w14:paraId="4B78BE51" w14:textId="77777777" w:rsidR="00920231" w:rsidRPr="00773636" w:rsidRDefault="00920231" w:rsidP="00920231">
            <w:pPr>
              <w:pStyle w:val="BodyText"/>
              <w:spacing w:before="100" w:after="100"/>
              <w:jc w:val="center"/>
              <w:rPr>
                <w:b/>
              </w:rPr>
            </w:pPr>
            <w:r w:rsidRPr="00773636">
              <w:rPr>
                <w:b/>
              </w:rPr>
              <w:t>Plan ID</w:t>
            </w:r>
          </w:p>
        </w:tc>
        <w:tc>
          <w:tcPr>
            <w:tcW w:w="3969" w:type="dxa"/>
            <w:shd w:val="clear" w:color="auto" w:fill="auto"/>
          </w:tcPr>
          <w:p w14:paraId="7229FFAA" w14:textId="77777777" w:rsidR="00920231" w:rsidRPr="00773636" w:rsidRDefault="00920231" w:rsidP="00920231">
            <w:pPr>
              <w:pStyle w:val="BodyText"/>
              <w:spacing w:before="100" w:after="100"/>
              <w:jc w:val="center"/>
              <w:rPr>
                <w:b/>
              </w:rPr>
            </w:pPr>
            <w:r w:rsidRPr="00773636">
              <w:rPr>
                <w:b/>
              </w:rPr>
              <w:t>Available</w:t>
            </w:r>
          </w:p>
        </w:tc>
      </w:tr>
      <w:tr w:rsidR="00920231" w:rsidRPr="00A166C1" w14:paraId="584AFFDA" w14:textId="77777777" w:rsidTr="00920231">
        <w:tc>
          <w:tcPr>
            <w:tcW w:w="2978" w:type="dxa"/>
            <w:shd w:val="clear" w:color="auto" w:fill="auto"/>
          </w:tcPr>
          <w:p w14:paraId="13C276AA" w14:textId="77777777" w:rsidR="00920231" w:rsidRPr="00773636" w:rsidRDefault="00920231" w:rsidP="00920231">
            <w:pPr>
              <w:pStyle w:val="BodyText"/>
              <w:spacing w:before="100" w:after="100"/>
              <w:jc w:val="center"/>
            </w:pPr>
            <w:r w:rsidRPr="00773636">
              <w:t>$45 My Plan Business</w:t>
            </w:r>
          </w:p>
        </w:tc>
        <w:tc>
          <w:tcPr>
            <w:tcW w:w="2437" w:type="dxa"/>
            <w:shd w:val="clear" w:color="auto" w:fill="auto"/>
            <w:vAlign w:val="center"/>
          </w:tcPr>
          <w:p w14:paraId="264F21F0" w14:textId="77777777" w:rsidR="00920231" w:rsidRPr="00773636" w:rsidRDefault="00920231" w:rsidP="00920231">
            <w:pPr>
              <w:pStyle w:val="BodyText"/>
              <w:spacing w:before="100" w:after="100"/>
              <w:jc w:val="center"/>
            </w:pPr>
            <w:r>
              <w:t>800554</w:t>
            </w:r>
          </w:p>
        </w:tc>
        <w:tc>
          <w:tcPr>
            <w:tcW w:w="3969" w:type="dxa"/>
            <w:shd w:val="clear" w:color="auto" w:fill="auto"/>
          </w:tcPr>
          <w:p w14:paraId="44D5C748" w14:textId="77777777" w:rsidR="00920231" w:rsidRPr="00773636" w:rsidRDefault="00920231" w:rsidP="00920231">
            <w:pPr>
              <w:pStyle w:val="BodyText"/>
              <w:spacing w:before="100" w:after="100"/>
              <w:jc w:val="center"/>
            </w:pPr>
            <w:r w:rsidRPr="00CF3812">
              <w:rPr>
                <w:rFonts w:eastAsia="Calibri"/>
              </w:rPr>
              <w:t>5 September 2016</w:t>
            </w:r>
            <w:r>
              <w:rPr>
                <w:rFonts w:eastAsia="Calibri"/>
              </w:rPr>
              <w:t xml:space="preserve"> – 22 October 2017</w:t>
            </w:r>
          </w:p>
        </w:tc>
      </w:tr>
      <w:tr w:rsidR="00920231" w:rsidRPr="00A166C1" w14:paraId="76674FE7" w14:textId="77777777" w:rsidTr="00920231">
        <w:tc>
          <w:tcPr>
            <w:tcW w:w="2978" w:type="dxa"/>
            <w:shd w:val="clear" w:color="auto" w:fill="auto"/>
          </w:tcPr>
          <w:p w14:paraId="50464136" w14:textId="77777777" w:rsidR="00920231" w:rsidRPr="00773636" w:rsidRDefault="00920231" w:rsidP="00920231">
            <w:pPr>
              <w:pStyle w:val="BodyText"/>
              <w:spacing w:before="100" w:after="100"/>
              <w:jc w:val="center"/>
            </w:pPr>
            <w:r w:rsidRPr="00773636">
              <w:t>$70 My Plan Business</w:t>
            </w:r>
          </w:p>
        </w:tc>
        <w:tc>
          <w:tcPr>
            <w:tcW w:w="2437" w:type="dxa"/>
            <w:shd w:val="clear" w:color="auto" w:fill="auto"/>
            <w:vAlign w:val="center"/>
          </w:tcPr>
          <w:p w14:paraId="3240877D" w14:textId="77777777" w:rsidR="00920231" w:rsidRPr="00773636" w:rsidRDefault="00920231" w:rsidP="00920231">
            <w:pPr>
              <w:pStyle w:val="BodyText"/>
              <w:spacing w:before="100" w:after="100"/>
              <w:jc w:val="center"/>
            </w:pPr>
            <w:r>
              <w:t>800555</w:t>
            </w:r>
          </w:p>
        </w:tc>
        <w:tc>
          <w:tcPr>
            <w:tcW w:w="3969" w:type="dxa"/>
            <w:shd w:val="clear" w:color="auto" w:fill="auto"/>
          </w:tcPr>
          <w:p w14:paraId="709A9C33" w14:textId="77777777" w:rsidR="00920231" w:rsidRPr="00773636" w:rsidRDefault="00920231" w:rsidP="00920231">
            <w:pPr>
              <w:pStyle w:val="BodyText"/>
              <w:spacing w:before="100" w:after="100"/>
              <w:jc w:val="center"/>
            </w:pPr>
            <w:r w:rsidRPr="003C0FF1">
              <w:rPr>
                <w:rFonts w:eastAsia="Calibri"/>
              </w:rPr>
              <w:t>5 September 2016</w:t>
            </w:r>
            <w:r>
              <w:rPr>
                <w:rFonts w:eastAsia="Calibri"/>
              </w:rPr>
              <w:t xml:space="preserve"> – 22 October 2017</w:t>
            </w:r>
          </w:p>
        </w:tc>
      </w:tr>
      <w:tr w:rsidR="00920231" w:rsidRPr="00A166C1" w14:paraId="7E687D11" w14:textId="77777777" w:rsidTr="00920231">
        <w:tc>
          <w:tcPr>
            <w:tcW w:w="2978" w:type="dxa"/>
            <w:shd w:val="clear" w:color="auto" w:fill="auto"/>
          </w:tcPr>
          <w:p w14:paraId="74714906" w14:textId="77777777" w:rsidR="00920231" w:rsidRPr="00773636" w:rsidRDefault="00920231" w:rsidP="00920231">
            <w:pPr>
              <w:pStyle w:val="BodyText"/>
              <w:spacing w:before="100" w:after="100"/>
              <w:jc w:val="center"/>
            </w:pPr>
            <w:r w:rsidRPr="00773636">
              <w:t>$90 My Plan Business</w:t>
            </w:r>
          </w:p>
        </w:tc>
        <w:tc>
          <w:tcPr>
            <w:tcW w:w="2437" w:type="dxa"/>
            <w:shd w:val="clear" w:color="auto" w:fill="auto"/>
            <w:vAlign w:val="center"/>
          </w:tcPr>
          <w:p w14:paraId="390B71FA" w14:textId="77777777" w:rsidR="00920231" w:rsidRPr="00773636" w:rsidRDefault="00920231" w:rsidP="00920231">
            <w:pPr>
              <w:pStyle w:val="BodyText"/>
              <w:spacing w:before="100" w:after="100"/>
              <w:jc w:val="center"/>
            </w:pPr>
            <w:r>
              <w:t>800556</w:t>
            </w:r>
          </w:p>
        </w:tc>
        <w:tc>
          <w:tcPr>
            <w:tcW w:w="3969" w:type="dxa"/>
            <w:shd w:val="clear" w:color="auto" w:fill="auto"/>
          </w:tcPr>
          <w:p w14:paraId="072054F9" w14:textId="77777777" w:rsidR="00920231" w:rsidRPr="00773636" w:rsidRDefault="00920231" w:rsidP="00920231">
            <w:pPr>
              <w:pStyle w:val="BodyText"/>
              <w:spacing w:before="100" w:after="100"/>
              <w:jc w:val="center"/>
            </w:pPr>
            <w:r w:rsidRPr="003C0FF1">
              <w:rPr>
                <w:rFonts w:eastAsia="Calibri"/>
              </w:rPr>
              <w:t>5 September 2016</w:t>
            </w:r>
            <w:r>
              <w:rPr>
                <w:rFonts w:eastAsia="Calibri"/>
              </w:rPr>
              <w:t xml:space="preserve"> – 22 October 2017</w:t>
            </w:r>
          </w:p>
        </w:tc>
      </w:tr>
      <w:tr w:rsidR="00920231" w:rsidRPr="00A166C1" w14:paraId="6CE8DF34" w14:textId="77777777" w:rsidTr="00920231">
        <w:tc>
          <w:tcPr>
            <w:tcW w:w="2978" w:type="dxa"/>
            <w:shd w:val="clear" w:color="auto" w:fill="auto"/>
          </w:tcPr>
          <w:p w14:paraId="0992E041" w14:textId="77777777" w:rsidR="00920231" w:rsidRPr="00773636" w:rsidRDefault="00920231" w:rsidP="00920231">
            <w:pPr>
              <w:pStyle w:val="BodyText"/>
              <w:spacing w:before="100" w:after="100"/>
              <w:jc w:val="center"/>
            </w:pPr>
            <w:r w:rsidRPr="00773636">
              <w:t>$105 My Plan Business</w:t>
            </w:r>
          </w:p>
        </w:tc>
        <w:tc>
          <w:tcPr>
            <w:tcW w:w="2437" w:type="dxa"/>
            <w:shd w:val="clear" w:color="auto" w:fill="auto"/>
          </w:tcPr>
          <w:p w14:paraId="62B1C074" w14:textId="77777777" w:rsidR="00920231" w:rsidRPr="00773636" w:rsidRDefault="00920231" w:rsidP="00920231">
            <w:pPr>
              <w:pStyle w:val="BodyText"/>
              <w:spacing w:before="100" w:after="100"/>
              <w:jc w:val="center"/>
            </w:pPr>
            <w:r>
              <w:t>800557, 9792981</w:t>
            </w:r>
          </w:p>
        </w:tc>
        <w:tc>
          <w:tcPr>
            <w:tcW w:w="3969" w:type="dxa"/>
            <w:shd w:val="clear" w:color="auto" w:fill="auto"/>
          </w:tcPr>
          <w:p w14:paraId="58310DBD" w14:textId="77777777" w:rsidR="00920231" w:rsidRPr="00773636" w:rsidRDefault="00920231" w:rsidP="00920231">
            <w:pPr>
              <w:pStyle w:val="BodyText"/>
              <w:spacing w:before="100" w:after="100"/>
              <w:jc w:val="center"/>
            </w:pPr>
            <w:r w:rsidRPr="003C0FF1">
              <w:rPr>
                <w:rFonts w:eastAsia="Calibri"/>
              </w:rPr>
              <w:t>5 September 2016</w:t>
            </w:r>
            <w:r>
              <w:rPr>
                <w:rFonts w:eastAsia="Calibri"/>
              </w:rPr>
              <w:t xml:space="preserve"> – 22 October 2017</w:t>
            </w:r>
          </w:p>
        </w:tc>
      </w:tr>
      <w:tr w:rsidR="00920231" w:rsidRPr="00A166C1" w14:paraId="5E9454FB" w14:textId="77777777" w:rsidTr="00920231">
        <w:tc>
          <w:tcPr>
            <w:tcW w:w="2978" w:type="dxa"/>
            <w:shd w:val="clear" w:color="auto" w:fill="auto"/>
          </w:tcPr>
          <w:p w14:paraId="3CC7BC09" w14:textId="77777777" w:rsidR="00920231" w:rsidRPr="00773636" w:rsidRDefault="00920231" w:rsidP="00920231">
            <w:pPr>
              <w:pStyle w:val="BodyText"/>
              <w:spacing w:before="100" w:after="100"/>
              <w:jc w:val="center"/>
            </w:pPr>
            <w:r>
              <w:t>$125</w:t>
            </w:r>
            <w:r w:rsidRPr="00773636">
              <w:t xml:space="preserve"> My Plan Business</w:t>
            </w:r>
          </w:p>
        </w:tc>
        <w:tc>
          <w:tcPr>
            <w:tcW w:w="2437" w:type="dxa"/>
            <w:shd w:val="clear" w:color="auto" w:fill="auto"/>
          </w:tcPr>
          <w:p w14:paraId="55857FB5" w14:textId="77777777" w:rsidR="00920231" w:rsidRPr="00773636" w:rsidDel="002E191F" w:rsidRDefault="00920231" w:rsidP="00920231">
            <w:pPr>
              <w:pStyle w:val="BodyText"/>
              <w:spacing w:before="100" w:after="100"/>
              <w:jc w:val="center"/>
            </w:pPr>
            <w:r>
              <w:t>800558, 10267907</w:t>
            </w:r>
          </w:p>
        </w:tc>
        <w:tc>
          <w:tcPr>
            <w:tcW w:w="3969" w:type="dxa"/>
            <w:shd w:val="clear" w:color="auto" w:fill="auto"/>
          </w:tcPr>
          <w:p w14:paraId="7D8125CE" w14:textId="77777777" w:rsidR="00920231" w:rsidRPr="00773636" w:rsidRDefault="00920231" w:rsidP="00920231">
            <w:pPr>
              <w:pStyle w:val="BodyText"/>
              <w:spacing w:before="100" w:after="100"/>
              <w:jc w:val="center"/>
            </w:pPr>
            <w:r w:rsidRPr="003C0FF1">
              <w:rPr>
                <w:rFonts w:eastAsia="Calibri"/>
              </w:rPr>
              <w:t>5 September 2016</w:t>
            </w:r>
            <w:r>
              <w:rPr>
                <w:rFonts w:eastAsia="Calibri"/>
              </w:rPr>
              <w:t xml:space="preserve"> – 22 October 2017</w:t>
            </w:r>
          </w:p>
        </w:tc>
      </w:tr>
    </w:tbl>
    <w:p w14:paraId="7B8D18D7" w14:textId="77777777" w:rsidR="00920231" w:rsidRDefault="00920231" w:rsidP="00920231">
      <w:pPr>
        <w:pStyle w:val="BodyText"/>
      </w:pPr>
    </w:p>
    <w:p w14:paraId="6EFEF361" w14:textId="77777777" w:rsidR="00920231" w:rsidRPr="00773636" w:rsidRDefault="00920231" w:rsidP="00920231">
      <w:pPr>
        <w:pStyle w:val="Heading6"/>
        <w:ind w:left="0" w:firstLine="0"/>
        <w:rPr>
          <w:lang w:val="en-AU"/>
        </w:rPr>
      </w:pPr>
      <w:bookmarkStart w:id="1666" w:name="_Toc485729065"/>
      <w:r w:rsidRPr="00773636">
        <w:rPr>
          <w:lang w:val="en-AU"/>
        </w:rPr>
        <w:t>Eligibility</w:t>
      </w:r>
      <w:bookmarkEnd w:id="1666"/>
      <w:r w:rsidRPr="00773636">
        <w:rPr>
          <w:lang w:val="en-AU"/>
        </w:rPr>
        <w:t xml:space="preserve"> </w:t>
      </w:r>
    </w:p>
    <w:p w14:paraId="45CBB312" w14:textId="77777777" w:rsidR="00920231" w:rsidRPr="00773636" w:rsidRDefault="00920231" w:rsidP="00920231">
      <w:pPr>
        <w:pStyle w:val="BodyText"/>
        <w:ind w:left="720"/>
      </w:pPr>
      <w:r w:rsidRPr="00773636">
        <w:t>The My Plan Business plans are available to new and existing mobile customers connecting to the service who</w:t>
      </w:r>
      <w:r>
        <w:t xml:space="preserve"> pass Optus' credit assessment.</w:t>
      </w:r>
    </w:p>
    <w:p w14:paraId="32A1837F" w14:textId="77777777" w:rsidR="00920231" w:rsidRPr="00773636" w:rsidRDefault="00920231" w:rsidP="00920231">
      <w:pPr>
        <w:pStyle w:val="BodyText"/>
        <w:ind w:left="720"/>
      </w:pPr>
      <w:r w:rsidRPr="00773636">
        <w:t>Optus Service Providers</w:t>
      </w:r>
      <w:r>
        <w:t>'</w:t>
      </w:r>
      <w:r w:rsidRPr="00773636">
        <w:t xml:space="preserve"> customers are not eligible to apply.</w:t>
      </w:r>
    </w:p>
    <w:p w14:paraId="793E5D53" w14:textId="77777777" w:rsidR="00920231" w:rsidRDefault="00920231" w:rsidP="00920231">
      <w:pPr>
        <w:pStyle w:val="BodyText"/>
        <w:ind w:left="720"/>
        <w:rPr>
          <w:b/>
          <w:lang w:val="en-AU"/>
        </w:rPr>
      </w:pPr>
      <w:r w:rsidRPr="00773636">
        <w:t>These plans aren</w:t>
      </w:r>
      <w:r>
        <w:t>'</w:t>
      </w:r>
      <w:r w:rsidRPr="00773636">
        <w:t>t compatible for data use with BlackBerry handsets on operating systems of 7.1 or earlier.</w:t>
      </w:r>
    </w:p>
    <w:p w14:paraId="688F3036" w14:textId="77777777" w:rsidR="00920231" w:rsidRPr="00CD3F2D" w:rsidRDefault="00920231" w:rsidP="00920231">
      <w:pPr>
        <w:pStyle w:val="Heading6"/>
        <w:rPr>
          <w:lang w:val="en-AU"/>
        </w:rPr>
      </w:pPr>
      <w:bookmarkStart w:id="1667" w:name="_Toc485729066"/>
      <w:r w:rsidRPr="00CD3F2D">
        <w:rPr>
          <w:lang w:val="en-AU"/>
        </w:rPr>
        <w:t>Minimum Term</w:t>
      </w:r>
      <w:bookmarkEnd w:id="1667"/>
    </w:p>
    <w:p w14:paraId="58397995" w14:textId="77777777" w:rsidR="00920231" w:rsidRPr="00773636" w:rsidRDefault="00920231" w:rsidP="00920231">
      <w:pPr>
        <w:pStyle w:val="BodyText"/>
        <w:ind w:firstLine="720"/>
        <w:rPr>
          <w:lang w:val="en-AU"/>
        </w:rPr>
      </w:pPr>
      <w:r w:rsidRPr="00773636">
        <w:rPr>
          <w:lang w:val="en-AU"/>
        </w:rPr>
        <w:t xml:space="preserve">These </w:t>
      </w:r>
      <w:r w:rsidRPr="00773636">
        <w:rPr>
          <w:i/>
          <w:lang w:val="en-AU"/>
        </w:rPr>
        <w:t>plans</w:t>
      </w:r>
      <w:r w:rsidRPr="00773636">
        <w:rPr>
          <w:lang w:val="en-AU"/>
        </w:rPr>
        <w:t xml:space="preserve"> have</w:t>
      </w:r>
      <w:r w:rsidRPr="00773636">
        <w:rPr>
          <w:i/>
          <w:lang w:val="en-AU"/>
        </w:rPr>
        <w:t xml:space="preserve"> </w:t>
      </w:r>
      <w:r w:rsidRPr="00773636">
        <w:rPr>
          <w:lang w:val="en-AU"/>
        </w:rPr>
        <w:t xml:space="preserve">a </w:t>
      </w:r>
      <w:r w:rsidRPr="00773636">
        <w:rPr>
          <w:i/>
          <w:lang w:val="en-AU"/>
        </w:rPr>
        <w:t>fixed length agreement</w:t>
      </w:r>
      <w:r w:rsidRPr="00773636">
        <w:rPr>
          <w:lang w:val="en-AU"/>
        </w:rPr>
        <w:t xml:space="preserve"> with a 24 month </w:t>
      </w:r>
      <w:r w:rsidRPr="00773636">
        <w:rPr>
          <w:i/>
          <w:lang w:val="en-AU"/>
        </w:rPr>
        <w:t>minimum term.</w:t>
      </w:r>
    </w:p>
    <w:p w14:paraId="2FFA2D89" w14:textId="77777777" w:rsidR="00920231" w:rsidRPr="00CD3F2D" w:rsidRDefault="00920231" w:rsidP="00920231">
      <w:pPr>
        <w:pStyle w:val="Heading6"/>
        <w:rPr>
          <w:lang w:val="en-AU"/>
        </w:rPr>
      </w:pPr>
      <w:bookmarkStart w:id="1668" w:name="_Toc485729067"/>
      <w:r w:rsidRPr="00CD3F2D">
        <w:rPr>
          <w:lang w:val="en-AU"/>
        </w:rPr>
        <w:t>What you have to pay us</w:t>
      </w:r>
      <w:bookmarkEnd w:id="1668"/>
    </w:p>
    <w:p w14:paraId="2BB1A388" w14:textId="77777777" w:rsidR="00920231" w:rsidRPr="00773636" w:rsidRDefault="00920231" w:rsidP="00920231">
      <w:pPr>
        <w:pStyle w:val="Heading7"/>
        <w:rPr>
          <w:lang w:val="en-AU"/>
        </w:rPr>
      </w:pPr>
      <w:r w:rsidRPr="00773636">
        <w:rPr>
          <w:i/>
          <w:lang w:val="en-AU"/>
        </w:rPr>
        <w:t>You</w:t>
      </w:r>
      <w:r w:rsidRPr="00773636">
        <w:rPr>
          <w:lang w:val="en-AU"/>
        </w:rPr>
        <w:t xml:space="preserve"> must pay </w:t>
      </w:r>
      <w:r w:rsidRPr="00773636">
        <w:rPr>
          <w:i/>
          <w:lang w:val="en-AU"/>
        </w:rPr>
        <w:t>us</w:t>
      </w:r>
      <w:r w:rsidRPr="00773636">
        <w:rPr>
          <w:lang w:val="en-AU"/>
        </w:rPr>
        <w:t xml:space="preserve"> for use of the </w:t>
      </w:r>
      <w:r w:rsidRPr="00773636">
        <w:rPr>
          <w:i/>
          <w:lang w:val="en-AU"/>
        </w:rPr>
        <w:t>service</w:t>
      </w:r>
      <w:r w:rsidRPr="00773636">
        <w:rPr>
          <w:lang w:val="en-AU"/>
        </w:rPr>
        <w:t xml:space="preserve"> at the rates set out in Section 1 of this </w:t>
      </w:r>
      <w:r w:rsidRPr="00773636">
        <w:rPr>
          <w:i/>
          <w:lang w:val="en-AU"/>
        </w:rPr>
        <w:t>standard pricing table</w:t>
      </w:r>
      <w:r w:rsidRPr="00773636">
        <w:rPr>
          <w:lang w:val="en-AU"/>
        </w:rPr>
        <w:t xml:space="preserve"> and for value added service features at the rates set out in </w:t>
      </w:r>
      <w:r w:rsidRPr="005C5A87">
        <w:rPr>
          <w:i/>
          <w:lang w:val="en-AU"/>
        </w:rPr>
        <w:t>Appendix Y Value Added Service Features</w:t>
      </w:r>
      <w:r>
        <w:rPr>
          <w:lang w:val="en-AU"/>
        </w:rPr>
        <w:t>.</w:t>
      </w:r>
    </w:p>
    <w:p w14:paraId="58DB6C2D" w14:textId="77777777" w:rsidR="00920231" w:rsidRPr="00773636" w:rsidRDefault="00920231" w:rsidP="00920231">
      <w:pPr>
        <w:pStyle w:val="Heading7"/>
        <w:rPr>
          <w:lang w:val="en-AU"/>
        </w:rPr>
      </w:pPr>
      <w:r w:rsidRPr="00773636">
        <w:rPr>
          <w:lang w:val="en-AU"/>
        </w:rPr>
        <w:t>If there is a flagfall for a particular call type, the charge for these calls is the flagfall amount plus the relevant rate for the call multiplied by the duration of the call.</w:t>
      </w:r>
    </w:p>
    <w:p w14:paraId="74D1D708" w14:textId="77777777" w:rsidR="00920231" w:rsidRPr="00654DCB" w:rsidRDefault="00920231" w:rsidP="00920231">
      <w:pPr>
        <w:pStyle w:val="Heading7"/>
        <w:rPr>
          <w:b/>
          <w:lang w:val="en-AU"/>
        </w:rPr>
      </w:pPr>
      <w:r w:rsidRPr="00654DCB">
        <w:rPr>
          <w:b/>
          <w:lang w:val="en-AU"/>
        </w:rPr>
        <w:t>Minimum Monthly Charge</w:t>
      </w:r>
    </w:p>
    <w:p w14:paraId="31334232" w14:textId="77777777" w:rsidR="00920231" w:rsidRPr="00773636" w:rsidRDefault="00920231" w:rsidP="00920231">
      <w:pPr>
        <w:pStyle w:val="Heading8"/>
        <w:rPr>
          <w:lang w:val="en-AU"/>
        </w:rPr>
      </w:pPr>
      <w:r w:rsidRPr="00773636">
        <w:rPr>
          <w:lang w:val="en-AU"/>
        </w:rPr>
        <w:t xml:space="preserve">Each My Plan Business plan has a Minimum Monthly Charge amount that </w:t>
      </w:r>
      <w:r w:rsidRPr="00773636">
        <w:rPr>
          <w:i/>
          <w:lang w:val="en-AU"/>
        </w:rPr>
        <w:t>you</w:t>
      </w:r>
      <w:r w:rsidRPr="00773636">
        <w:rPr>
          <w:lang w:val="en-AU"/>
        </w:rPr>
        <w:t xml:space="preserve"> must pay </w:t>
      </w:r>
      <w:r w:rsidRPr="00773636">
        <w:rPr>
          <w:i/>
          <w:lang w:val="en-AU"/>
        </w:rPr>
        <w:t>us</w:t>
      </w:r>
      <w:r w:rsidRPr="00773636">
        <w:rPr>
          <w:lang w:val="en-AU"/>
        </w:rPr>
        <w:t xml:space="preserve"> each month as set out in Table 1 below.</w:t>
      </w:r>
    </w:p>
    <w:p w14:paraId="167F4E69" w14:textId="77777777" w:rsidR="00920231" w:rsidRDefault="00920231" w:rsidP="00920231">
      <w:pPr>
        <w:pStyle w:val="Heading8"/>
      </w:pPr>
      <w:r w:rsidRPr="00773636">
        <w:rPr>
          <w:i/>
        </w:rPr>
        <w:t>You</w:t>
      </w:r>
      <w:r w:rsidRPr="00773636">
        <w:t xml:space="preserve"> may purchase a mobile phone (or </w:t>
      </w:r>
      <w:r>
        <w:t>'</w:t>
      </w:r>
      <w:r w:rsidRPr="00773636">
        <w:t>handset</w:t>
      </w:r>
      <w:r>
        <w:t>'</w:t>
      </w:r>
      <w:r w:rsidRPr="00773636">
        <w:t xml:space="preserve">) with a 24 month </w:t>
      </w:r>
      <w:r w:rsidRPr="00773636">
        <w:rPr>
          <w:i/>
        </w:rPr>
        <w:t>equipment term</w:t>
      </w:r>
      <w:r w:rsidRPr="00773636">
        <w:t xml:space="preserve"> under a </w:t>
      </w:r>
      <w:r w:rsidRPr="00773636">
        <w:rPr>
          <w:i/>
        </w:rPr>
        <w:t>mobile equipment payment plan</w:t>
      </w:r>
      <w:r w:rsidRPr="00773636">
        <w:t xml:space="preserve"> (set out in </w:t>
      </w:r>
      <w:hyperlink r:id="rId746" w:history="1">
        <w:r w:rsidRPr="00203773">
          <w:rPr>
            <w:rStyle w:val="Hyperlink"/>
            <w:i/>
          </w:rPr>
          <w:t>Appendix D</w:t>
        </w:r>
      </w:hyperlink>
      <w:r w:rsidRPr="00773636">
        <w:t xml:space="preserve">) on a 24 month </w:t>
      </w:r>
      <w:r w:rsidRPr="00773636">
        <w:rPr>
          <w:i/>
        </w:rPr>
        <w:t>fixed-length agreement</w:t>
      </w:r>
      <w:r w:rsidRPr="00773636">
        <w:t>.</w:t>
      </w:r>
    </w:p>
    <w:p w14:paraId="2CEFC83F" w14:textId="77777777" w:rsidR="00920231" w:rsidRPr="00CD3F2D" w:rsidRDefault="00920231" w:rsidP="00920231">
      <w:pPr>
        <w:pStyle w:val="Heading6"/>
        <w:rPr>
          <w:lang w:val="en-AU"/>
        </w:rPr>
      </w:pPr>
      <w:bookmarkStart w:id="1669" w:name="_Toc485729068"/>
      <w:r w:rsidRPr="00CD3F2D">
        <w:rPr>
          <w:lang w:val="en-AU"/>
        </w:rPr>
        <w:t>How My Plan Business works</w:t>
      </w:r>
      <w:bookmarkEnd w:id="1669"/>
    </w:p>
    <w:p w14:paraId="05E1D1E9" w14:textId="77777777" w:rsidR="00920231" w:rsidRPr="00DF6ED0" w:rsidRDefault="00920231" w:rsidP="00920231">
      <w:pPr>
        <w:pStyle w:val="Heading7"/>
        <w:rPr>
          <w:lang w:val="en-AU"/>
        </w:rPr>
      </w:pPr>
      <w:r w:rsidRPr="00DF6ED0">
        <w:rPr>
          <w:lang w:val="en-AU"/>
        </w:rPr>
        <w:t>Each My Plan Business has unlimited minutes to use on standard national calls to landlines and mobiles, 13/1300 numbers and voicemail retrievals and an amount of Included Data (for mobile internet use) to share with other services on a My Plan Plus, My Plan Plus SIM Only, My Plan Business (including Tech Fund), My Plan Business SIM, My Mobile Broadband Plus, Mobile Broadband Business or Shared Data Plan on the same account.</w:t>
      </w:r>
    </w:p>
    <w:p w14:paraId="433E93E3" w14:textId="77777777" w:rsidR="00920231" w:rsidRPr="00DF6ED0" w:rsidRDefault="00920231" w:rsidP="00920231">
      <w:pPr>
        <w:pStyle w:val="Heading7"/>
        <w:rPr>
          <w:lang w:val="en-AU"/>
        </w:rPr>
      </w:pPr>
      <w:r w:rsidRPr="00DF6ED0">
        <w:rPr>
          <w:lang w:val="en-AU"/>
        </w:rPr>
        <w:t>These plans also include unlimited standard national SMS/MMS and unlimited standard International SMS/MMS to selected countries. The</w:t>
      </w:r>
      <w:r>
        <w:rPr>
          <w:lang w:val="en-AU"/>
        </w:rPr>
        <w:t xml:space="preserve"> $70/$90/$105/$125</w:t>
      </w:r>
      <w:r w:rsidRPr="00DF6ED0">
        <w:rPr>
          <w:lang w:val="en-AU"/>
        </w:rPr>
        <w:t xml:space="preserve"> plans also</w:t>
      </w:r>
      <w:r>
        <w:rPr>
          <w:lang w:val="en-AU"/>
        </w:rPr>
        <w:t xml:space="preserve"> have</w:t>
      </w:r>
      <w:r w:rsidRPr="00DF6ED0">
        <w:rPr>
          <w:lang w:val="en-AU"/>
        </w:rPr>
        <w:t xml:space="preserve"> international minutes to use on standard internation</w:t>
      </w:r>
      <w:r>
        <w:rPr>
          <w:lang w:val="en-AU"/>
        </w:rPr>
        <w:t>al calls to selected countries.</w:t>
      </w:r>
    </w:p>
    <w:p w14:paraId="52BC46CD" w14:textId="77777777" w:rsidR="00920231" w:rsidRPr="00DF6ED0" w:rsidRDefault="00920231" w:rsidP="00920231">
      <w:pPr>
        <w:pStyle w:val="Heading7"/>
        <w:rPr>
          <w:lang w:val="en-AU"/>
        </w:rPr>
      </w:pPr>
      <w:r w:rsidRPr="00DF6ED0">
        <w:rPr>
          <w:lang w:val="en-AU"/>
        </w:rPr>
        <w:lastRenderedPageBreak/>
        <w:t>Data usage is calculated in one kilobyte increments. International minutes are billed in one minute increments.</w:t>
      </w:r>
    </w:p>
    <w:p w14:paraId="1BF5106C" w14:textId="77777777" w:rsidR="00920231" w:rsidRPr="00DF6ED0" w:rsidRDefault="00920231" w:rsidP="00920231">
      <w:pPr>
        <w:pStyle w:val="Heading7"/>
        <w:rPr>
          <w:lang w:val="en-AU"/>
        </w:rPr>
      </w:pPr>
      <w:r w:rsidRPr="00DF6ED0">
        <w:rPr>
          <w:lang w:val="en-AU"/>
        </w:rPr>
        <w:t xml:space="preserve">If </w:t>
      </w:r>
      <w:r w:rsidRPr="00DF6ED0">
        <w:rPr>
          <w:i/>
          <w:lang w:val="en-AU"/>
        </w:rPr>
        <w:t xml:space="preserve">you </w:t>
      </w:r>
      <w:r w:rsidRPr="00DF6ED0">
        <w:rPr>
          <w:lang w:val="en-AU"/>
        </w:rPr>
        <w:t>exceed your included shareable data you</w:t>
      </w:r>
      <w:r>
        <w:rPr>
          <w:lang w:val="en-AU"/>
        </w:rPr>
        <w:t>'</w:t>
      </w:r>
      <w:r w:rsidRPr="00DF6ED0">
        <w:rPr>
          <w:lang w:val="en-AU"/>
        </w:rPr>
        <w:t>ll automatically be charged $10 for each additional 1GB of data (</w:t>
      </w:r>
      <w:r>
        <w:rPr>
          <w:lang w:val="en-AU"/>
        </w:rPr>
        <w:t>"</w:t>
      </w:r>
      <w:r w:rsidRPr="00DF6ED0">
        <w:rPr>
          <w:b/>
          <w:lang w:val="en-AU"/>
        </w:rPr>
        <w:t>Additional Data</w:t>
      </w:r>
      <w:r>
        <w:rPr>
          <w:lang w:val="en-AU"/>
        </w:rPr>
        <w:t>"</w:t>
      </w:r>
      <w:r w:rsidRPr="00DF6ED0">
        <w:rPr>
          <w:lang w:val="en-AU"/>
        </w:rPr>
        <w:t>) up to 150GB of extra data per account each month. Your service/s may then be restricted or we may continue to charge you at these rates.</w:t>
      </w:r>
    </w:p>
    <w:p w14:paraId="2383D2EE" w14:textId="77777777" w:rsidR="00920231" w:rsidRPr="00DF6ED0" w:rsidRDefault="00920231" w:rsidP="00920231">
      <w:pPr>
        <w:pStyle w:val="Heading7"/>
        <w:rPr>
          <w:lang w:val="en-AU"/>
        </w:rPr>
      </w:pPr>
      <w:r w:rsidRPr="00DF6ED0">
        <w:rPr>
          <w:lang w:val="en-AU"/>
        </w:rPr>
        <w:t xml:space="preserve">Any unused portion of </w:t>
      </w:r>
      <w:r w:rsidRPr="00DF6ED0">
        <w:rPr>
          <w:i/>
          <w:lang w:val="en-AU"/>
        </w:rPr>
        <w:t>your</w:t>
      </w:r>
      <w:r w:rsidRPr="00DF6ED0">
        <w:rPr>
          <w:lang w:val="en-AU"/>
        </w:rPr>
        <w:t xml:space="preserve"> </w:t>
      </w:r>
      <w:r w:rsidRPr="00DF6ED0">
        <w:rPr>
          <w:i/>
          <w:lang w:val="en-AU"/>
        </w:rPr>
        <w:t>plan</w:t>
      </w:r>
      <w:r>
        <w:rPr>
          <w:i/>
          <w:lang w:val="en-AU"/>
        </w:rPr>
        <w:t>'</w:t>
      </w:r>
      <w:r w:rsidRPr="00DF6ED0">
        <w:rPr>
          <w:i/>
          <w:lang w:val="en-AU"/>
        </w:rPr>
        <w:t>s</w:t>
      </w:r>
      <w:r w:rsidRPr="00DF6ED0">
        <w:rPr>
          <w:lang w:val="en-AU"/>
        </w:rPr>
        <w:t xml:space="preserve"> Included or Additional Data or International Minutes expires at the end of each month and does not</w:t>
      </w:r>
      <w:r>
        <w:rPr>
          <w:lang w:val="en-AU"/>
        </w:rPr>
        <w:t xml:space="preserve"> roll over into the next month.</w:t>
      </w:r>
    </w:p>
    <w:p w14:paraId="133FCA2F" w14:textId="77777777" w:rsidR="00920231" w:rsidRPr="00654DCB" w:rsidRDefault="00920231" w:rsidP="00920231">
      <w:pPr>
        <w:pStyle w:val="Heading7"/>
        <w:rPr>
          <w:lang w:val="en-AU"/>
        </w:rPr>
      </w:pPr>
      <w:r w:rsidRPr="00654DCB">
        <w:rPr>
          <w:i/>
          <w:lang w:val="en-AU"/>
        </w:rPr>
        <w:t>You</w:t>
      </w:r>
      <w:r w:rsidRPr="00654DCB">
        <w:rPr>
          <w:lang w:val="en-AU"/>
        </w:rPr>
        <w:t xml:space="preserve"> must pay </w:t>
      </w:r>
      <w:r w:rsidRPr="00654DCB">
        <w:rPr>
          <w:i/>
          <w:lang w:val="en-AU"/>
        </w:rPr>
        <w:t>us</w:t>
      </w:r>
      <w:r w:rsidRPr="00654DCB">
        <w:rPr>
          <w:lang w:val="en-AU"/>
        </w:rPr>
        <w:t xml:space="preserve"> for use of any services that are not included in </w:t>
      </w:r>
      <w:r w:rsidRPr="00654DCB">
        <w:rPr>
          <w:i/>
          <w:lang w:val="en-AU"/>
        </w:rPr>
        <w:t>your</w:t>
      </w:r>
      <w:r w:rsidRPr="00654DCB">
        <w:rPr>
          <w:lang w:val="en-AU"/>
        </w:rPr>
        <w:t xml:space="preserve"> plan's inclusions, examples of which are set out in Table 2 below.</w:t>
      </w:r>
    </w:p>
    <w:p w14:paraId="113C18C3" w14:textId="77777777" w:rsidR="00920231" w:rsidRPr="00CD3F2D" w:rsidRDefault="00920231" w:rsidP="00920231">
      <w:pPr>
        <w:pStyle w:val="Heading6"/>
        <w:rPr>
          <w:lang w:val="en-AU"/>
        </w:rPr>
      </w:pPr>
      <w:bookmarkStart w:id="1670" w:name="_Toc485729069"/>
      <w:r w:rsidRPr="00CD3F2D">
        <w:rPr>
          <w:lang w:val="en-AU"/>
        </w:rPr>
        <w:t>Plan Changes</w:t>
      </w:r>
      <w:bookmarkEnd w:id="1670"/>
    </w:p>
    <w:p w14:paraId="498EA058" w14:textId="77777777" w:rsidR="00920231" w:rsidRPr="00DF6ED0" w:rsidRDefault="00920231" w:rsidP="00920231">
      <w:pPr>
        <w:pStyle w:val="BodyText"/>
        <w:ind w:left="720"/>
      </w:pPr>
      <w:r w:rsidRPr="00DF6ED0">
        <w:t>You can change your plan during the minimum tern term provided you move to a plan with a higher monthly access fee. You cannot change your plan during the minimum term to a plan with the same or lower monthly access fee. If you change your plan during the minimum term a fee may apply and any handset repayments will remain the same.</w:t>
      </w:r>
    </w:p>
    <w:p w14:paraId="7FAA2FF3" w14:textId="77777777" w:rsidR="00920231" w:rsidRPr="00CD3F2D" w:rsidRDefault="00920231" w:rsidP="00920231">
      <w:pPr>
        <w:pStyle w:val="Heading6"/>
        <w:rPr>
          <w:lang w:val="en-AU"/>
        </w:rPr>
      </w:pPr>
      <w:bookmarkStart w:id="1671" w:name="_Toc485729070"/>
      <w:r w:rsidRPr="00CD3F2D">
        <w:rPr>
          <w:lang w:val="en-AU"/>
        </w:rPr>
        <w:t>New Phone Trade Up</w:t>
      </w:r>
      <w:bookmarkEnd w:id="1671"/>
    </w:p>
    <w:p w14:paraId="3EFE7144" w14:textId="77777777" w:rsidR="00920231" w:rsidRPr="00DF6ED0" w:rsidRDefault="00920231" w:rsidP="00920231">
      <w:pPr>
        <w:pStyle w:val="BodyText"/>
        <w:ind w:left="720"/>
      </w:pPr>
      <w:r w:rsidRPr="00DF6ED0">
        <w:t>The plans referred to in this section include the option of New Phone Trade Up, which can be exercised in two ways:</w:t>
      </w:r>
    </w:p>
    <w:p w14:paraId="424C1E70" w14:textId="77777777" w:rsidR="00920231" w:rsidRPr="00DF6ED0" w:rsidRDefault="00920231" w:rsidP="00920231">
      <w:pPr>
        <w:pStyle w:val="Heading7"/>
        <w:rPr>
          <w:lang w:val="en-AU"/>
        </w:rPr>
      </w:pPr>
      <w:r w:rsidRPr="00DF6ED0">
        <w:rPr>
          <w:lang w:val="en-AU"/>
        </w:rPr>
        <w:t>New Phone Trade Up for $99</w:t>
      </w:r>
    </w:p>
    <w:p w14:paraId="7D387544" w14:textId="77777777" w:rsidR="00920231" w:rsidRPr="00DF6ED0" w:rsidRDefault="00920231" w:rsidP="00920231">
      <w:pPr>
        <w:pStyle w:val="Heading8"/>
        <w:rPr>
          <w:lang w:val="en-AU"/>
        </w:rPr>
      </w:pPr>
      <w:r w:rsidRPr="00DF6ED0">
        <w:rPr>
          <w:lang w:val="en-AU"/>
        </w:rPr>
        <w:t>After 12 months on one of these plans, you can pay a one fee of $99, return your original mobile phone to a Yes Optus store in good working order, purchase a new mobile phone on a new 24 month plan and sign documentation that will enable ownership of your original mobile phone to be transferred to a second hand dealer nominated by Optus.</w:t>
      </w:r>
    </w:p>
    <w:p w14:paraId="79F7B5F3" w14:textId="77777777" w:rsidR="00920231" w:rsidRDefault="00920231" w:rsidP="00920231">
      <w:pPr>
        <w:pStyle w:val="Heading8"/>
      </w:pPr>
      <w:r w:rsidRPr="00DF6ED0">
        <w:t>A mobile phone is considered to be in good working order when:</w:t>
      </w:r>
    </w:p>
    <w:p w14:paraId="2F0C1C0C" w14:textId="77777777" w:rsidR="00920231" w:rsidRPr="00DF6ED0" w:rsidRDefault="00920231" w:rsidP="00920231">
      <w:pPr>
        <w:pStyle w:val="Heading9"/>
        <w:rPr>
          <w:lang w:val="en-AU"/>
        </w:rPr>
      </w:pPr>
      <w:r w:rsidRPr="00DF6ED0">
        <w:rPr>
          <w:lang w:val="en-AU"/>
        </w:rPr>
        <w:t xml:space="preserve">It can power on and off, </w:t>
      </w:r>
    </w:p>
    <w:p w14:paraId="7E9CBA11" w14:textId="77777777" w:rsidR="00920231" w:rsidRPr="00DF6ED0" w:rsidRDefault="00920231" w:rsidP="00920231">
      <w:pPr>
        <w:pStyle w:val="Heading9"/>
        <w:rPr>
          <w:lang w:val="en-AU"/>
        </w:rPr>
      </w:pPr>
      <w:r w:rsidRPr="00DF6ED0">
        <w:rPr>
          <w:lang w:val="en-AU"/>
        </w:rPr>
        <w:t xml:space="preserve">It has a touchscreen that is fully functional and has no imperfections such as lines or marks, </w:t>
      </w:r>
    </w:p>
    <w:p w14:paraId="5D9B29D7" w14:textId="77777777" w:rsidR="00920231" w:rsidRPr="00DF6ED0" w:rsidRDefault="00920231" w:rsidP="00920231">
      <w:pPr>
        <w:pStyle w:val="Heading9"/>
        <w:rPr>
          <w:lang w:val="en-AU"/>
        </w:rPr>
      </w:pPr>
      <w:r w:rsidRPr="00DF6ED0">
        <w:rPr>
          <w:lang w:val="en-AU"/>
        </w:rPr>
        <w:t xml:space="preserve">It does not have any missing buttons or damage to other components such as charging ports, SIM tray, </w:t>
      </w:r>
    </w:p>
    <w:p w14:paraId="24A10D20" w14:textId="77777777" w:rsidR="00920231" w:rsidRPr="00DF6ED0" w:rsidRDefault="00920231" w:rsidP="00920231">
      <w:pPr>
        <w:pStyle w:val="Heading9"/>
        <w:rPr>
          <w:lang w:val="en-AU"/>
        </w:rPr>
      </w:pPr>
      <w:r w:rsidRPr="00DF6ED0">
        <w:rPr>
          <w:lang w:val="en-AU"/>
        </w:rPr>
        <w:t xml:space="preserve">The mobile phone (including the touchscreen) is not cracked and does not have any severe scratches (normal wear and tear such as light marks and scratches are okay); and </w:t>
      </w:r>
    </w:p>
    <w:p w14:paraId="51814D4E" w14:textId="77777777" w:rsidR="00920231" w:rsidRPr="00DF6ED0" w:rsidRDefault="00920231" w:rsidP="00920231">
      <w:pPr>
        <w:pStyle w:val="Heading9"/>
        <w:rPr>
          <w:lang w:val="en-AU"/>
        </w:rPr>
      </w:pPr>
      <w:r w:rsidRPr="00DF6ED0">
        <w:rPr>
          <w:lang w:val="en-AU"/>
        </w:rPr>
        <w:t>Any locking features are disabled.</w:t>
      </w:r>
      <w:r>
        <w:rPr>
          <w:lang w:val="en-AU"/>
        </w:rPr>
        <w:t xml:space="preserve"> </w:t>
      </w:r>
    </w:p>
    <w:p w14:paraId="687F8A84" w14:textId="77777777" w:rsidR="00920231" w:rsidRPr="00DF6ED0" w:rsidRDefault="00920231" w:rsidP="00920231">
      <w:pPr>
        <w:pStyle w:val="Heading8"/>
        <w:rPr>
          <w:lang w:val="en-AU"/>
        </w:rPr>
      </w:pPr>
      <w:r w:rsidRPr="00DF6ED0">
        <w:rPr>
          <w:lang w:val="en-AU"/>
        </w:rPr>
        <w:t xml:space="preserve">The mobile phone you return in accordance with section 3.6(a) must be the mobile phone you purchased when you took up one of the plans referred to in this section. </w:t>
      </w:r>
    </w:p>
    <w:p w14:paraId="7FF1DA58" w14:textId="77777777" w:rsidR="00920231" w:rsidRPr="00DF6ED0" w:rsidRDefault="00920231" w:rsidP="00920231">
      <w:pPr>
        <w:pStyle w:val="Heading8"/>
        <w:rPr>
          <w:lang w:val="en-AU"/>
        </w:rPr>
      </w:pPr>
      <w:r w:rsidRPr="00DF6ED0">
        <w:rPr>
          <w:lang w:val="en-AU"/>
        </w:rPr>
        <w:t xml:space="preserve">When you seek to exercise this option and meet the relevant conditions, Optus agrees to waive any remaining mobile phone repayment charges on the mobile phone you are returning. </w:t>
      </w:r>
    </w:p>
    <w:p w14:paraId="7C524D7D" w14:textId="77777777" w:rsidR="00920231" w:rsidRPr="00DF6ED0" w:rsidRDefault="00920231" w:rsidP="00920231">
      <w:pPr>
        <w:pStyle w:val="Heading8"/>
        <w:rPr>
          <w:lang w:val="en-AU"/>
        </w:rPr>
      </w:pPr>
      <w:r w:rsidRPr="00DF6ED0">
        <w:rPr>
          <w:lang w:val="en-AU"/>
        </w:rPr>
        <w:t>By exercising this option, you acknowledge that the second hand device vendor will pay Optus a fee on your behalf for the mobile phone you return in part consideration of Optus waiving your remaining mobile phone repayments on the phone you are returning.</w:t>
      </w:r>
      <w:r>
        <w:rPr>
          <w:lang w:val="en-AU"/>
        </w:rPr>
        <w:t xml:space="preserve"> </w:t>
      </w:r>
    </w:p>
    <w:p w14:paraId="7C73A76C" w14:textId="77777777" w:rsidR="00920231" w:rsidRPr="00DF6ED0" w:rsidRDefault="00920231" w:rsidP="00920231">
      <w:pPr>
        <w:pStyle w:val="Heading7"/>
        <w:rPr>
          <w:lang w:val="en-AU"/>
        </w:rPr>
      </w:pPr>
      <w:r w:rsidRPr="00DF6ED0">
        <w:rPr>
          <w:lang w:val="en-AU"/>
        </w:rPr>
        <w:t>Keep existing mobile phone</w:t>
      </w:r>
    </w:p>
    <w:p w14:paraId="7BEAD38A" w14:textId="77777777" w:rsidR="00920231" w:rsidRPr="00DF6ED0" w:rsidRDefault="00920231" w:rsidP="00920231">
      <w:pPr>
        <w:pStyle w:val="Heading8"/>
        <w:rPr>
          <w:lang w:val="en-AU"/>
        </w:rPr>
      </w:pPr>
      <w:r w:rsidRPr="00DF6ED0">
        <w:rPr>
          <w:lang w:val="en-AU"/>
        </w:rPr>
        <w:t xml:space="preserve">Alternatively and instead of paying $99, if you wish to keep your original mobile handset, you can simply pay out the full remaining cost of your mobile handset, including any </w:t>
      </w:r>
      <w:r w:rsidRPr="00DF6ED0">
        <w:rPr>
          <w:lang w:val="en-AU"/>
        </w:rPr>
        <w:lastRenderedPageBreak/>
        <w:t>monthly handset credit that Optus was going to cover and purchase a new mobile phone on a new 24 month plan.</w:t>
      </w:r>
    </w:p>
    <w:p w14:paraId="7AC25854" w14:textId="77777777" w:rsidR="00920231" w:rsidRPr="00DF6ED0" w:rsidRDefault="00920231" w:rsidP="00920231">
      <w:pPr>
        <w:pStyle w:val="Heading6"/>
        <w:ind w:left="0" w:firstLine="0"/>
        <w:rPr>
          <w:lang w:val="en-AU"/>
        </w:rPr>
      </w:pPr>
      <w:bookmarkStart w:id="1672" w:name="_Toc485729071"/>
      <w:r w:rsidRPr="00DF6ED0">
        <w:rPr>
          <w:lang w:val="en-AU"/>
        </w:rPr>
        <w:t>Data Sharing</w:t>
      </w:r>
      <w:bookmarkEnd w:id="1672"/>
    </w:p>
    <w:p w14:paraId="0CC390D2" w14:textId="77777777" w:rsidR="00920231" w:rsidRPr="00DF6ED0" w:rsidRDefault="00920231" w:rsidP="00920231">
      <w:pPr>
        <w:pStyle w:val="Heading7"/>
        <w:rPr>
          <w:lang w:val="en-AU"/>
        </w:rPr>
      </w:pPr>
      <w:r w:rsidRPr="00DF6ED0">
        <w:rPr>
          <w:lang w:val="en-AU"/>
        </w:rPr>
        <w:t xml:space="preserve">If </w:t>
      </w:r>
      <w:r w:rsidRPr="00DF6ED0">
        <w:rPr>
          <w:i/>
          <w:lang w:val="en-AU"/>
        </w:rPr>
        <w:t xml:space="preserve">you </w:t>
      </w:r>
      <w:r w:rsidRPr="00DF6ED0">
        <w:rPr>
          <w:lang w:val="en-AU"/>
        </w:rPr>
        <w:t>have more than one My Plan Plus, My Plan Plus SIM Only, My Plan Business (including Tech Fund), My Plan Business SIM, My Mobile Broadband Plus or Mobile Broadband Business on the same billing account, the included data will combine into one data pool, which will be shared by all eligible services on that account.</w:t>
      </w:r>
    </w:p>
    <w:p w14:paraId="459776F8" w14:textId="77777777" w:rsidR="00920231" w:rsidRPr="00DF6ED0" w:rsidRDefault="00920231" w:rsidP="00920231">
      <w:pPr>
        <w:pStyle w:val="Heading7"/>
        <w:rPr>
          <w:lang w:val="en-AU"/>
        </w:rPr>
      </w:pPr>
      <w:r w:rsidRPr="00DF6ED0">
        <w:rPr>
          <w:lang w:val="en-AU"/>
        </w:rPr>
        <w:t xml:space="preserve">If </w:t>
      </w:r>
      <w:r w:rsidRPr="00DF6ED0">
        <w:rPr>
          <w:i/>
          <w:lang w:val="en-AU"/>
        </w:rPr>
        <w:t>you</w:t>
      </w:r>
      <w:r w:rsidRPr="00DF6ED0">
        <w:rPr>
          <w:lang w:val="en-AU"/>
        </w:rPr>
        <w:t xml:space="preserve"> do not want </w:t>
      </w:r>
      <w:r w:rsidRPr="00DF6ED0">
        <w:rPr>
          <w:i/>
          <w:lang w:val="en-AU"/>
        </w:rPr>
        <w:t>your</w:t>
      </w:r>
      <w:r w:rsidRPr="00DF6ED0">
        <w:rPr>
          <w:lang w:val="en-AU"/>
        </w:rPr>
        <w:t xml:space="preserve"> services on any My Plan Plus, My Plan Plus SIM Only, My Plan Business (including Tech Fund), My Plan Business SIM, My Mobile Broadband Plus or Mobile Broadband Business plans to share data, they need to be on separate billing accounts. .</w:t>
      </w:r>
    </w:p>
    <w:p w14:paraId="5EBBE826" w14:textId="77777777" w:rsidR="00920231" w:rsidRDefault="00920231" w:rsidP="00920231">
      <w:pPr>
        <w:pStyle w:val="Heading7"/>
      </w:pPr>
      <w:r w:rsidRPr="00DF6ED0">
        <w:t>Data sharing is only available within Australia.</w:t>
      </w:r>
    </w:p>
    <w:p w14:paraId="69C5F4C3" w14:textId="77777777" w:rsidR="00920231" w:rsidRPr="00CD3F2D" w:rsidRDefault="00920231" w:rsidP="00920231">
      <w:pPr>
        <w:pStyle w:val="Heading6"/>
        <w:ind w:left="0" w:firstLine="0"/>
        <w:rPr>
          <w:lang w:val="en-AU"/>
        </w:rPr>
      </w:pPr>
      <w:bookmarkStart w:id="1673" w:name="_Toc414345860"/>
      <w:bookmarkStart w:id="1674" w:name="_Toc414347454"/>
      <w:bookmarkStart w:id="1675" w:name="_Toc485729072"/>
      <w:r w:rsidRPr="00CD3F2D">
        <w:rPr>
          <w:lang w:val="en-AU"/>
        </w:rPr>
        <w:t>International Minutes</w:t>
      </w:r>
      <w:bookmarkEnd w:id="1673"/>
      <w:bookmarkEnd w:id="1674"/>
      <w:bookmarkEnd w:id="1675"/>
    </w:p>
    <w:p w14:paraId="6A4BB973" w14:textId="77777777" w:rsidR="00920231" w:rsidRPr="00B753E8" w:rsidRDefault="00920231" w:rsidP="00920231">
      <w:pPr>
        <w:pStyle w:val="BodyText"/>
        <w:ind w:left="720"/>
        <w:rPr>
          <w:rFonts w:cs="Arial"/>
        </w:rPr>
      </w:pPr>
      <w:r w:rsidRPr="000F7410">
        <w:t>The $70/$90/$105/$12</w:t>
      </w:r>
      <w:r>
        <w:t>5</w:t>
      </w:r>
      <w:r w:rsidRPr="000F7410">
        <w:t xml:space="preserve"> My Plan Business includes unlimited international minutes for standard calls to mobiles and fixed lines in selected countries. For a list of selected countries see Table 3 below</w:t>
      </w:r>
      <w:r w:rsidRPr="008924E0">
        <w:rPr>
          <w:rFonts w:cs="Arial"/>
        </w:rPr>
        <w:t>.</w:t>
      </w:r>
      <w:r w:rsidRPr="00B753E8">
        <w:rPr>
          <w:rFonts w:cs="Arial"/>
          <w:color w:val="000000"/>
          <w:lang w:val="en-AU" w:eastAsia="en-AU"/>
        </w:rPr>
        <w:t xml:space="preserve"> From 5 February 2017 the following countries will also be included: Canada, Hong Kong, South Korea and Thailand.</w:t>
      </w:r>
    </w:p>
    <w:p w14:paraId="76165E18" w14:textId="77777777" w:rsidR="00920231" w:rsidRPr="000F7410" w:rsidRDefault="00920231" w:rsidP="00920231">
      <w:pPr>
        <w:pStyle w:val="BodyText"/>
        <w:ind w:left="720"/>
      </w:pPr>
      <w:r>
        <w:t>C</w:t>
      </w:r>
      <w:r w:rsidRPr="000F7410">
        <w:t>alls to</w:t>
      </w:r>
      <w:r>
        <w:t xml:space="preserve"> no-</w:t>
      </w:r>
      <w:r w:rsidRPr="000F7410">
        <w:t xml:space="preserve"> selected countries are </w:t>
      </w:r>
      <w:r>
        <w:t>charged at</w:t>
      </w:r>
      <w:r w:rsidRPr="000F7410">
        <w:t xml:space="preserve"> standard </w:t>
      </w:r>
      <w:r>
        <w:t>'</w:t>
      </w:r>
      <w:r w:rsidRPr="000F7410">
        <w:t>yes</w:t>
      </w:r>
      <w:r>
        <w:t>'</w:t>
      </w:r>
      <w:r w:rsidRPr="000F7410">
        <w:t xml:space="preserve"> in</w:t>
      </w:r>
      <w:r>
        <w:t>ternational call rates.</w:t>
      </w:r>
    </w:p>
    <w:p w14:paraId="5324BF72" w14:textId="77777777" w:rsidR="00920231" w:rsidRPr="00CD3F2D" w:rsidRDefault="00920231" w:rsidP="00920231">
      <w:pPr>
        <w:pStyle w:val="Heading6"/>
        <w:ind w:left="0" w:firstLine="0"/>
        <w:rPr>
          <w:lang w:val="en-AU"/>
        </w:rPr>
      </w:pPr>
      <w:bookmarkStart w:id="1676" w:name="_Toc485729073"/>
      <w:r w:rsidRPr="00CD3F2D">
        <w:rPr>
          <w:lang w:val="en-AU"/>
        </w:rPr>
        <w:t>Unlimited standard national SMS and MMS</w:t>
      </w:r>
      <w:bookmarkEnd w:id="1676"/>
    </w:p>
    <w:p w14:paraId="43D154A7" w14:textId="77777777" w:rsidR="00920231" w:rsidRPr="000F7410" w:rsidRDefault="00920231" w:rsidP="00920231">
      <w:pPr>
        <w:pStyle w:val="BodyText"/>
        <w:ind w:firstLine="720"/>
      </w:pPr>
      <w:r w:rsidRPr="000F7410">
        <w:rPr>
          <w:i/>
        </w:rPr>
        <w:t>You</w:t>
      </w:r>
      <w:r w:rsidRPr="000F7410">
        <w:t xml:space="preserve"> may send unlimited standard SMS and MMS to Australian mobiles from within Australia.</w:t>
      </w:r>
    </w:p>
    <w:p w14:paraId="50A95525" w14:textId="77777777" w:rsidR="00920231" w:rsidRPr="000F7410" w:rsidRDefault="00920231" w:rsidP="00920231">
      <w:pPr>
        <w:pStyle w:val="BodyText"/>
        <w:ind w:left="720"/>
        <w:rPr>
          <w:i/>
          <w:u w:val="single"/>
        </w:rPr>
      </w:pPr>
      <w:r w:rsidRPr="000F7410">
        <w:t xml:space="preserve">Unlimited standard national SMS and MMS are only available for personal and ordinary business use and are not to be used for a commercial or non-ordinary purpose as set out in the </w:t>
      </w:r>
      <w:hyperlink r:id="rId747" w:history="1">
        <w:r w:rsidRPr="000F7410">
          <w:rPr>
            <w:rStyle w:val="Hyperlink"/>
            <w:i/>
          </w:rPr>
          <w:t>Fair Go Policy</w:t>
        </w:r>
      </w:hyperlink>
      <w:r w:rsidRPr="000F7410">
        <w:t xml:space="preserve">. For further details refer to </w:t>
      </w:r>
      <w:hyperlink r:id="rId748" w:history="1">
        <w:r w:rsidRPr="007A3F09">
          <w:rPr>
            <w:rStyle w:val="Hyperlink"/>
            <w:i/>
          </w:rPr>
          <w:t>Appendix S</w:t>
        </w:r>
        <w:r w:rsidRPr="00092720">
          <w:rPr>
            <w:rStyle w:val="Hyperlink"/>
            <w:i/>
          </w:rPr>
          <w:t>.</w:t>
        </w:r>
      </w:hyperlink>
    </w:p>
    <w:p w14:paraId="0B345B6A" w14:textId="77777777" w:rsidR="00920231" w:rsidRPr="00CD3F2D" w:rsidRDefault="00920231" w:rsidP="00920231">
      <w:pPr>
        <w:pStyle w:val="Heading6"/>
        <w:ind w:left="0" w:firstLine="0"/>
        <w:rPr>
          <w:lang w:val="en-AU"/>
        </w:rPr>
      </w:pPr>
      <w:bookmarkStart w:id="1677" w:name="_Toc485729074"/>
      <w:r w:rsidRPr="00CD3F2D">
        <w:rPr>
          <w:lang w:val="en-AU"/>
        </w:rPr>
        <w:t>Unlimited standard international SMS and MMS</w:t>
      </w:r>
      <w:bookmarkEnd w:id="1677"/>
    </w:p>
    <w:p w14:paraId="72A3A55B" w14:textId="77777777" w:rsidR="00920231" w:rsidRPr="000F7410" w:rsidRDefault="00920231" w:rsidP="00920231">
      <w:pPr>
        <w:pStyle w:val="BodyText"/>
        <w:ind w:firstLine="720"/>
      </w:pPr>
      <w:r w:rsidRPr="000F7410">
        <w:rPr>
          <w:i/>
        </w:rPr>
        <w:t>You</w:t>
      </w:r>
      <w:r w:rsidRPr="000F7410">
        <w:t xml:space="preserve"> may send unlimited standard SMS and MMS to selected countries as set out in Table 3 below.</w:t>
      </w:r>
    </w:p>
    <w:p w14:paraId="0B0B8893" w14:textId="77777777" w:rsidR="00920231" w:rsidRDefault="00920231" w:rsidP="00920231">
      <w:pPr>
        <w:pStyle w:val="BodyText"/>
        <w:ind w:left="720"/>
      </w:pPr>
      <w:r w:rsidRPr="000F7410">
        <w:t xml:space="preserve">Unlimited standard SMS and MMS are only available for personal and ordinary business use and are not to be used for a commercial or non-ordinary purpose as set out in the Fair Go Policy. For further details refer to </w:t>
      </w:r>
      <w:hyperlink r:id="rId749" w:history="1">
        <w:r w:rsidRPr="007A3F09">
          <w:rPr>
            <w:rStyle w:val="Hyperlink"/>
            <w:i/>
          </w:rPr>
          <w:t>Appendix S</w:t>
        </w:r>
      </w:hyperlink>
      <w:r>
        <w:t>.</w:t>
      </w:r>
    </w:p>
    <w:p w14:paraId="54833443" w14:textId="77777777" w:rsidR="00920231" w:rsidRPr="00CD3F2D" w:rsidRDefault="00920231" w:rsidP="00920231">
      <w:pPr>
        <w:pStyle w:val="Heading6"/>
        <w:ind w:left="0" w:firstLine="0"/>
        <w:rPr>
          <w:lang w:val="en-AU"/>
        </w:rPr>
      </w:pPr>
      <w:bookmarkStart w:id="1678" w:name="_Toc485729075"/>
      <w:r>
        <w:rPr>
          <w:lang w:val="en-AU"/>
        </w:rPr>
        <w:t>International Roaming</w:t>
      </w:r>
      <w:bookmarkEnd w:id="1678"/>
      <w:r>
        <w:rPr>
          <w:lang w:val="en-AU"/>
        </w:rPr>
        <w:t xml:space="preserve"> </w:t>
      </w:r>
    </w:p>
    <w:p w14:paraId="4878C568" w14:textId="77777777" w:rsidR="00920231" w:rsidRPr="000F7410" w:rsidRDefault="00920231" w:rsidP="00920231">
      <w:pPr>
        <w:pStyle w:val="BodyText"/>
        <w:ind w:left="720"/>
      </w:pPr>
      <w:r>
        <w:rPr>
          <w:rFonts w:cs="Arial"/>
          <w:lang w:val="en-AU" w:eastAsia="en-AU"/>
        </w:rPr>
        <w:t>The $105 and $125 My Plan Business plans will receive unlimited standard national and international voice, SMS (MMS is excluded) plus 1GB/1.5GB of data (respectively) to use in Zone 1 countries within each billing month. If you are not in a Zone 1 country you will be charged at standard roaming rates for that country.</w:t>
      </w:r>
      <w:r>
        <w:rPr>
          <w:rFonts w:cs="Arial"/>
          <w:lang w:val="en-AU" w:eastAsia="en-AU"/>
        </w:rPr>
        <w:br/>
      </w:r>
      <w:r>
        <w:rPr>
          <w:rFonts w:cs="Arial"/>
          <w:lang w:val="en-AU" w:eastAsia="en-AU"/>
        </w:rPr>
        <w:br/>
        <w:t>If you exceed the data limit, standard data roaming charges will apply. Any data provided is not shareable and will not form part of any Data Pool. Any unused data will be forfeited and cannot be rolled over to the next billing month. For list of countries see optus.com.au/biztravel</w:t>
      </w:r>
    </w:p>
    <w:p w14:paraId="5C3A032B" w14:textId="77777777" w:rsidR="00920231" w:rsidRPr="00CD3F2D" w:rsidRDefault="00920231" w:rsidP="00920231">
      <w:pPr>
        <w:pStyle w:val="Heading6"/>
        <w:ind w:left="0" w:firstLine="0"/>
        <w:rPr>
          <w:lang w:val="en-AU"/>
        </w:rPr>
      </w:pPr>
      <w:bookmarkStart w:id="1679" w:name="_Toc485729076"/>
      <w:r w:rsidRPr="00CD3F2D">
        <w:rPr>
          <w:lang w:val="en-AU"/>
        </w:rPr>
        <w:t>Optus Travel</w:t>
      </w:r>
      <w:r w:rsidRPr="00CD3F2D">
        <w:rPr>
          <w:vertAlign w:val="superscript"/>
          <w:lang w:val="en-AU"/>
        </w:rPr>
        <w:t xml:space="preserve">TM </w:t>
      </w:r>
      <w:r w:rsidRPr="00CD3F2D">
        <w:rPr>
          <w:lang w:val="en-AU"/>
        </w:rPr>
        <w:t>Pack</w:t>
      </w:r>
      <w:bookmarkEnd w:id="1679"/>
      <w:r w:rsidRPr="00CD3F2D">
        <w:rPr>
          <w:lang w:val="en-AU"/>
        </w:rPr>
        <w:t xml:space="preserve"> </w:t>
      </w:r>
    </w:p>
    <w:p w14:paraId="3898610A" w14:textId="77777777" w:rsidR="00920231" w:rsidRPr="000F7410" w:rsidRDefault="00920231" w:rsidP="00920231">
      <w:pPr>
        <w:pStyle w:val="BodyText"/>
        <w:ind w:left="720"/>
      </w:pPr>
      <w:r w:rsidRPr="000F7410">
        <w:t xml:space="preserve">The </w:t>
      </w:r>
      <w:r>
        <w:t>$45/$70/$90 My Plan Business plans can take up the Optus</w:t>
      </w:r>
      <w:r w:rsidRPr="00FF65ED">
        <w:t xml:space="preserve"> </w:t>
      </w:r>
      <w:r w:rsidRPr="000F7410">
        <w:t>Travel</w:t>
      </w:r>
      <w:r w:rsidRPr="000F7410">
        <w:rPr>
          <w:vertAlign w:val="superscript"/>
        </w:rPr>
        <w:t>TM</w:t>
      </w:r>
      <w:r w:rsidRPr="000F7410">
        <w:rPr>
          <w:i/>
        </w:rPr>
        <w:t xml:space="preserve"> </w:t>
      </w:r>
      <w:r w:rsidRPr="00FF65ED">
        <w:t xml:space="preserve">Pack </w:t>
      </w:r>
      <w:r>
        <w:t>for $5 per day.</w:t>
      </w:r>
      <w:r w:rsidRPr="000F7410">
        <w:rPr>
          <w:i/>
        </w:rPr>
        <w:t>You</w:t>
      </w:r>
      <w:r w:rsidRPr="000F7410">
        <w:t xml:space="preserve"> need to ensure your Optus Travel</w:t>
      </w:r>
      <w:r w:rsidRPr="000F7410">
        <w:rPr>
          <w:vertAlign w:val="superscript"/>
        </w:rPr>
        <w:t>TM</w:t>
      </w:r>
      <w:r w:rsidRPr="000F7410">
        <w:t xml:space="preserve"> Pack is active by contacting Optus prior to use. Optus Travel</w:t>
      </w:r>
      <w:r w:rsidRPr="000F7410">
        <w:rPr>
          <w:vertAlign w:val="superscript"/>
        </w:rPr>
        <w:t>TM</w:t>
      </w:r>
      <w:r w:rsidRPr="000F7410">
        <w:t xml:space="preserve"> Pack gives you unlimited standard national and international voice, SMS (MMS is excluded) plus 50MB of data to use in Zone 1 countries per day. For list of countries see optus.com.au/</w:t>
      </w:r>
      <w:r>
        <w:t>biz</w:t>
      </w:r>
      <w:r w:rsidRPr="000F7410">
        <w:t>travel</w:t>
      </w:r>
      <w:r>
        <w:t>.</w:t>
      </w:r>
    </w:p>
    <w:p w14:paraId="48CF7CFF" w14:textId="77777777" w:rsidR="00920231" w:rsidRPr="000F7410" w:rsidRDefault="00920231" w:rsidP="00920231">
      <w:pPr>
        <w:pStyle w:val="BodyText"/>
        <w:ind w:left="720"/>
        <w:rPr>
          <w:lang w:val="en-AU"/>
        </w:rPr>
      </w:pPr>
      <w:r w:rsidRPr="000F7410">
        <w:rPr>
          <w:i/>
          <w:lang w:val="en-AU"/>
        </w:rPr>
        <w:t>You</w:t>
      </w:r>
      <w:r w:rsidRPr="000F7410">
        <w:rPr>
          <w:lang w:val="en-AU"/>
        </w:rPr>
        <w:t xml:space="preserve"> can activate the Optus Travel</w:t>
      </w:r>
      <w:r w:rsidRPr="000F7410">
        <w:rPr>
          <w:vertAlign w:val="superscript"/>
          <w:lang w:val="en-AU"/>
        </w:rPr>
        <w:t>TM</w:t>
      </w:r>
      <w:r w:rsidRPr="000F7410">
        <w:rPr>
          <w:lang w:val="en-AU"/>
        </w:rPr>
        <w:t xml:space="preserve"> Pack on a day to day basis or multiple days at once. If you activate multiple consecutive days, the data allowance will accumulate, for example </w:t>
      </w:r>
      <w:r w:rsidRPr="000F7410">
        <w:rPr>
          <w:bCs/>
          <w:lang w:val="en-AU"/>
        </w:rPr>
        <w:t xml:space="preserve">activate 5 consecutive days and use 250MB any time over the 5 day period. If you exceed the data limit, standard data roaming charges will apply. Any data provided as part of Optus Travel™ Pack is not shareable and will not form part </w:t>
      </w:r>
      <w:r w:rsidRPr="000F7410">
        <w:rPr>
          <w:bCs/>
          <w:lang w:val="en-AU"/>
        </w:rPr>
        <w:lastRenderedPageBreak/>
        <w:t>of any Data Pool. Any unused days of Optus Travel™ Pack are forfeited and cannot be rolled over to the next billing month.</w:t>
      </w:r>
    </w:p>
    <w:p w14:paraId="5AFB1D99" w14:textId="77777777" w:rsidR="00920231" w:rsidRDefault="00920231" w:rsidP="00920231">
      <w:pPr>
        <w:pStyle w:val="BodyText"/>
        <w:ind w:firstLine="720"/>
      </w:pPr>
      <w:r w:rsidRPr="000F7410">
        <w:t>I</w:t>
      </w:r>
      <w:r w:rsidRPr="000F7410">
        <w:rPr>
          <w:bCs/>
        </w:rPr>
        <w:t>f you are not in a Zone 1 country you will be charged at standard roaming rates for that country.</w:t>
      </w:r>
    </w:p>
    <w:p w14:paraId="6EAB640D" w14:textId="77777777" w:rsidR="00920231" w:rsidRDefault="00920231" w:rsidP="00920231">
      <w:pPr>
        <w:pStyle w:val="BodyText"/>
        <w:ind w:firstLine="720"/>
      </w:pPr>
    </w:p>
    <w:p w14:paraId="402A2F06" w14:textId="77777777" w:rsidR="00920231" w:rsidRPr="00CD3F2D" w:rsidRDefault="00920231" w:rsidP="00920231">
      <w:pPr>
        <w:pStyle w:val="Heading6"/>
        <w:keepNext/>
        <w:ind w:left="0" w:firstLine="0"/>
        <w:rPr>
          <w:lang w:val="en-AU"/>
        </w:rPr>
      </w:pPr>
      <w:bookmarkStart w:id="1680" w:name="_Toc485729077"/>
      <w:r w:rsidRPr="00CD3F2D">
        <w:rPr>
          <w:bCs w:val="0"/>
          <w:lang w:val="en-AU"/>
        </w:rPr>
        <w:t>Additional</w:t>
      </w:r>
      <w:r w:rsidRPr="00CD3F2D">
        <w:rPr>
          <w:lang w:val="en-AU"/>
        </w:rPr>
        <w:t xml:space="preserve"> benefit – Handset Credit</w:t>
      </w:r>
      <w:bookmarkEnd w:id="1680"/>
    </w:p>
    <w:p w14:paraId="2D5ACD07" w14:textId="77777777" w:rsidR="00920231" w:rsidRPr="00EB0C07" w:rsidRDefault="00920231" w:rsidP="00920231">
      <w:pPr>
        <w:pStyle w:val="Heading7"/>
        <w:rPr>
          <w:lang w:val="en-AU"/>
        </w:rPr>
      </w:pPr>
      <w:r w:rsidRPr="00EB0C07">
        <w:rPr>
          <w:i/>
          <w:lang w:val="en-AU"/>
        </w:rPr>
        <w:t xml:space="preserve">When you </w:t>
      </w:r>
      <w:r w:rsidRPr="00EB0C07">
        <w:rPr>
          <w:lang w:val="en-AU"/>
        </w:rPr>
        <w:t>connect to a My Plan Business which has a monthly phone credit (</w:t>
      </w:r>
      <w:r>
        <w:rPr>
          <w:lang w:val="en-AU"/>
        </w:rPr>
        <w:t>'</w:t>
      </w:r>
      <w:r w:rsidRPr="00EB0C07">
        <w:rPr>
          <w:b/>
          <w:lang w:val="en-AU"/>
        </w:rPr>
        <w:t>Handset Credit</w:t>
      </w:r>
      <w:r>
        <w:rPr>
          <w:lang w:val="en-AU"/>
        </w:rPr>
        <w:t>'</w:t>
      </w:r>
      <w:r w:rsidRPr="00EB0C07">
        <w:rPr>
          <w:lang w:val="en-AU"/>
        </w:rPr>
        <w:t xml:space="preserve">) each month for </w:t>
      </w:r>
      <w:r w:rsidRPr="00EB0C07">
        <w:rPr>
          <w:i/>
          <w:lang w:val="en-AU"/>
        </w:rPr>
        <w:t>your minimum term</w:t>
      </w:r>
      <w:r w:rsidRPr="00EB0C07">
        <w:rPr>
          <w:lang w:val="en-AU"/>
        </w:rPr>
        <w:t xml:space="preserve">, this will reduce the monthly repayment costs of the handset </w:t>
      </w:r>
      <w:r w:rsidRPr="00EB0C07">
        <w:rPr>
          <w:i/>
          <w:lang w:val="en-AU"/>
        </w:rPr>
        <w:t xml:space="preserve">you </w:t>
      </w:r>
      <w:r w:rsidRPr="00EB0C07">
        <w:rPr>
          <w:lang w:val="en-AU"/>
        </w:rPr>
        <w:t xml:space="preserve">have chosen with </w:t>
      </w:r>
      <w:r w:rsidRPr="00EB0C07">
        <w:rPr>
          <w:i/>
          <w:lang w:val="en-AU"/>
        </w:rPr>
        <w:t>your pricing plan</w:t>
      </w:r>
      <w:r w:rsidRPr="00EB0C07">
        <w:rPr>
          <w:lang w:val="en-AU"/>
        </w:rPr>
        <w:t xml:space="preserve">. </w:t>
      </w:r>
    </w:p>
    <w:p w14:paraId="0F7842D6" w14:textId="77777777" w:rsidR="00920231" w:rsidRPr="00EB0C07" w:rsidRDefault="00920231" w:rsidP="00920231">
      <w:pPr>
        <w:pStyle w:val="Heading7"/>
        <w:rPr>
          <w:i/>
          <w:lang w:val="en-AU"/>
        </w:rPr>
      </w:pPr>
      <w:r w:rsidRPr="00EB0C07">
        <w:rPr>
          <w:lang w:val="en-AU"/>
        </w:rPr>
        <w:t xml:space="preserve">If </w:t>
      </w:r>
      <w:r w:rsidRPr="00EB0C07">
        <w:rPr>
          <w:i/>
          <w:lang w:val="en-AU"/>
        </w:rPr>
        <w:t>you</w:t>
      </w:r>
      <w:r w:rsidRPr="00EB0C07">
        <w:rPr>
          <w:lang w:val="en-AU"/>
        </w:rPr>
        <w:t xml:space="preserve"> </w:t>
      </w:r>
      <w:r w:rsidRPr="00EB0C07">
        <w:rPr>
          <w:i/>
          <w:lang w:val="en-AU"/>
        </w:rPr>
        <w:t>cancel your pricing plan</w:t>
      </w:r>
      <w:r w:rsidRPr="00EB0C07">
        <w:rPr>
          <w:lang w:val="en-AU"/>
        </w:rPr>
        <w:t xml:space="preserve"> or the </w:t>
      </w:r>
      <w:r w:rsidRPr="00EB0C07">
        <w:rPr>
          <w:i/>
          <w:lang w:val="en-AU"/>
        </w:rPr>
        <w:t xml:space="preserve">mobile equipment payment plan </w:t>
      </w:r>
      <w:r w:rsidRPr="00EB0C07">
        <w:rPr>
          <w:lang w:val="en-AU"/>
        </w:rPr>
        <w:t xml:space="preserve">during </w:t>
      </w:r>
      <w:r w:rsidRPr="00EB0C07">
        <w:rPr>
          <w:i/>
          <w:lang w:val="en-AU"/>
        </w:rPr>
        <w:t>your minimum term</w:t>
      </w:r>
      <w:r w:rsidRPr="00EB0C07">
        <w:rPr>
          <w:lang w:val="en-AU"/>
        </w:rPr>
        <w:t xml:space="preserve">, </w:t>
      </w:r>
      <w:r w:rsidRPr="00EB0C07">
        <w:rPr>
          <w:i/>
          <w:lang w:val="en-AU"/>
        </w:rPr>
        <w:t>you</w:t>
      </w:r>
      <w:r w:rsidRPr="00EB0C07">
        <w:rPr>
          <w:lang w:val="en-AU"/>
        </w:rPr>
        <w:t xml:space="preserve"> will no longer be entitled to these Handset Credits and </w:t>
      </w:r>
      <w:r w:rsidRPr="00EB0C07">
        <w:rPr>
          <w:i/>
          <w:lang w:val="en-AU"/>
        </w:rPr>
        <w:t>you</w:t>
      </w:r>
      <w:r w:rsidRPr="00EB0C07">
        <w:rPr>
          <w:lang w:val="en-AU"/>
        </w:rPr>
        <w:t xml:space="preserve"> must pay the remaining handset repayments in full in addition to any </w:t>
      </w:r>
      <w:r w:rsidRPr="00EB0C07">
        <w:rPr>
          <w:i/>
          <w:lang w:val="en-AU"/>
        </w:rPr>
        <w:t xml:space="preserve">cancellation fee. </w:t>
      </w:r>
    </w:p>
    <w:p w14:paraId="13A8D58D" w14:textId="77777777" w:rsidR="00920231" w:rsidRDefault="00920231" w:rsidP="00920231">
      <w:pPr>
        <w:pStyle w:val="Heading7"/>
      </w:pPr>
      <w:r w:rsidRPr="00EB0C07">
        <w:t>If you elect to keep your mobile phone when exercising New Phone Trade Up you will no longer be entitled to the Handset Credit and you will be required to pay the remaining handset repayments in full.</w:t>
      </w:r>
    </w:p>
    <w:p w14:paraId="4F15327A" w14:textId="77777777" w:rsidR="00920231" w:rsidRPr="00EB0C07" w:rsidRDefault="00920231" w:rsidP="00920231">
      <w:pPr>
        <w:pStyle w:val="BodyText"/>
        <w:jc w:val="both"/>
        <w:rPr>
          <w:b/>
        </w:rPr>
      </w:pPr>
      <w:r w:rsidRPr="00EB0C07">
        <w:rPr>
          <w:b/>
        </w:rPr>
        <w:t>Table 1 –</w:t>
      </w:r>
      <w:r>
        <w:rPr>
          <w:b/>
        </w:rPr>
        <w:t xml:space="preserve"> </w:t>
      </w:r>
      <w:r w:rsidRPr="00EB0C07">
        <w:rPr>
          <w:b/>
        </w:rPr>
        <w:t>Plan Inclusions and Charges</w:t>
      </w:r>
    </w:p>
    <w:tbl>
      <w:tblPr>
        <w:tblW w:w="492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9"/>
        <w:gridCol w:w="1110"/>
        <w:gridCol w:w="1112"/>
        <w:gridCol w:w="1112"/>
        <w:gridCol w:w="2062"/>
        <w:gridCol w:w="2062"/>
      </w:tblGrid>
      <w:tr w:rsidR="00920231" w14:paraId="58625501" w14:textId="77777777" w:rsidTr="00920231">
        <w:trPr>
          <w:trHeight w:val="408"/>
          <w:tblHeader/>
        </w:trPr>
        <w:tc>
          <w:tcPr>
            <w:tcW w:w="1443" w:type="pct"/>
            <w:shd w:val="clear" w:color="auto" w:fill="auto"/>
          </w:tcPr>
          <w:p w14:paraId="7B3E4B42" w14:textId="77777777" w:rsidR="00920231" w:rsidRPr="00A166C1" w:rsidRDefault="00920231" w:rsidP="00920231">
            <w:pPr>
              <w:pStyle w:val="BodyText"/>
              <w:spacing w:before="100" w:after="100"/>
              <w:jc w:val="center"/>
            </w:pPr>
          </w:p>
        </w:tc>
        <w:tc>
          <w:tcPr>
            <w:tcW w:w="711" w:type="pct"/>
          </w:tcPr>
          <w:p w14:paraId="1FDA141F" w14:textId="77777777" w:rsidR="00920231" w:rsidRPr="00A166C1" w:rsidRDefault="00920231" w:rsidP="00920231">
            <w:pPr>
              <w:pStyle w:val="BodyText"/>
              <w:spacing w:before="100" w:after="100"/>
              <w:jc w:val="center"/>
              <w:rPr>
                <w:b/>
              </w:rPr>
            </w:pPr>
            <w:r w:rsidRPr="00A166C1">
              <w:rPr>
                <w:b/>
              </w:rPr>
              <w:t>$</w:t>
            </w:r>
            <w:r>
              <w:rPr>
                <w:b/>
              </w:rPr>
              <w:t>45</w:t>
            </w:r>
            <w:r w:rsidRPr="00A166C1">
              <w:rPr>
                <w:b/>
              </w:rPr>
              <w:t xml:space="preserve"> My Plan </w:t>
            </w:r>
            <w:r>
              <w:rPr>
                <w:b/>
              </w:rPr>
              <w:t>Business</w:t>
            </w:r>
          </w:p>
        </w:tc>
        <w:tc>
          <w:tcPr>
            <w:tcW w:w="712" w:type="pct"/>
            <w:shd w:val="clear" w:color="auto" w:fill="auto"/>
          </w:tcPr>
          <w:p w14:paraId="0C42A788" w14:textId="77777777" w:rsidR="00920231" w:rsidRPr="00A166C1" w:rsidRDefault="00920231" w:rsidP="00920231">
            <w:pPr>
              <w:pStyle w:val="BodyText"/>
              <w:spacing w:before="100" w:after="100"/>
              <w:jc w:val="center"/>
              <w:rPr>
                <w:b/>
              </w:rPr>
            </w:pPr>
            <w:r w:rsidRPr="00A166C1">
              <w:rPr>
                <w:b/>
              </w:rPr>
              <w:t>$</w:t>
            </w:r>
            <w:r>
              <w:rPr>
                <w:b/>
              </w:rPr>
              <w:t>7</w:t>
            </w:r>
            <w:r w:rsidRPr="00A166C1">
              <w:rPr>
                <w:b/>
              </w:rPr>
              <w:t xml:space="preserve">0 My Plan </w:t>
            </w:r>
            <w:r>
              <w:rPr>
                <w:b/>
              </w:rPr>
              <w:t>Business</w:t>
            </w:r>
          </w:p>
        </w:tc>
        <w:tc>
          <w:tcPr>
            <w:tcW w:w="712" w:type="pct"/>
            <w:shd w:val="clear" w:color="auto" w:fill="auto"/>
          </w:tcPr>
          <w:p w14:paraId="7421BDB5" w14:textId="77777777" w:rsidR="00920231" w:rsidRPr="00A166C1" w:rsidRDefault="00920231" w:rsidP="00920231">
            <w:pPr>
              <w:pStyle w:val="BodyText"/>
              <w:spacing w:before="100" w:after="100"/>
              <w:jc w:val="center"/>
              <w:rPr>
                <w:b/>
              </w:rPr>
            </w:pPr>
            <w:r w:rsidRPr="00A166C1">
              <w:rPr>
                <w:b/>
              </w:rPr>
              <w:t>$</w:t>
            </w:r>
            <w:r>
              <w:rPr>
                <w:b/>
              </w:rPr>
              <w:t>9</w:t>
            </w:r>
            <w:r w:rsidRPr="00A166C1">
              <w:rPr>
                <w:b/>
              </w:rPr>
              <w:t xml:space="preserve">0 My Plan </w:t>
            </w:r>
            <w:r>
              <w:rPr>
                <w:b/>
              </w:rPr>
              <w:t>Business</w:t>
            </w:r>
          </w:p>
        </w:tc>
        <w:tc>
          <w:tcPr>
            <w:tcW w:w="712" w:type="pct"/>
          </w:tcPr>
          <w:p w14:paraId="4D77B686" w14:textId="77777777" w:rsidR="00920231" w:rsidRPr="00A166C1" w:rsidRDefault="00920231" w:rsidP="00920231">
            <w:pPr>
              <w:pStyle w:val="BodyText"/>
              <w:spacing w:before="100" w:after="100"/>
              <w:jc w:val="center"/>
              <w:rPr>
                <w:b/>
              </w:rPr>
            </w:pPr>
            <w:r>
              <w:rPr>
                <w:b/>
              </w:rPr>
              <w:t>$105 My Plan Business</w:t>
            </w:r>
          </w:p>
        </w:tc>
        <w:tc>
          <w:tcPr>
            <w:tcW w:w="710" w:type="pct"/>
          </w:tcPr>
          <w:p w14:paraId="04A21092" w14:textId="77777777" w:rsidR="00920231" w:rsidRDefault="00920231" w:rsidP="00920231">
            <w:pPr>
              <w:pStyle w:val="BodyText"/>
              <w:spacing w:before="100" w:after="100"/>
              <w:jc w:val="center"/>
              <w:rPr>
                <w:b/>
              </w:rPr>
            </w:pPr>
            <w:r>
              <w:rPr>
                <w:b/>
              </w:rPr>
              <w:t>$125 My Plan Business</w:t>
            </w:r>
          </w:p>
        </w:tc>
      </w:tr>
      <w:tr w:rsidR="00920231" w:rsidRPr="008229AA" w14:paraId="2B5A5527" w14:textId="77777777" w:rsidTr="00920231">
        <w:trPr>
          <w:trHeight w:val="53"/>
        </w:trPr>
        <w:tc>
          <w:tcPr>
            <w:tcW w:w="1443" w:type="pct"/>
            <w:shd w:val="clear" w:color="auto" w:fill="auto"/>
          </w:tcPr>
          <w:p w14:paraId="4F63E865" w14:textId="77777777" w:rsidR="00920231" w:rsidRPr="00A166C1" w:rsidRDefault="00920231" w:rsidP="00920231">
            <w:pPr>
              <w:pStyle w:val="BodyText"/>
              <w:spacing w:before="100" w:after="100"/>
            </w:pPr>
            <w:r w:rsidRPr="00A166C1">
              <w:rPr>
                <w:b/>
                <w:bCs/>
                <w:lang w:eastAsia="en-AU"/>
              </w:rPr>
              <w:t>Minimum Monthly charge</w:t>
            </w:r>
          </w:p>
        </w:tc>
        <w:tc>
          <w:tcPr>
            <w:tcW w:w="711" w:type="pct"/>
            <w:vAlign w:val="center"/>
          </w:tcPr>
          <w:p w14:paraId="46D74D26" w14:textId="77777777" w:rsidR="00920231" w:rsidRPr="00A166C1" w:rsidRDefault="00920231" w:rsidP="00920231">
            <w:pPr>
              <w:pStyle w:val="BodyText"/>
              <w:spacing w:before="100" w:after="100"/>
              <w:jc w:val="center"/>
            </w:pPr>
            <w:r w:rsidRPr="00A166C1">
              <w:t>$4</w:t>
            </w:r>
            <w:r>
              <w:t>5</w:t>
            </w:r>
          </w:p>
        </w:tc>
        <w:tc>
          <w:tcPr>
            <w:tcW w:w="712" w:type="pct"/>
            <w:shd w:val="clear" w:color="auto" w:fill="auto"/>
            <w:vAlign w:val="center"/>
          </w:tcPr>
          <w:p w14:paraId="4CB77835" w14:textId="77777777" w:rsidR="00920231" w:rsidRPr="00A166C1" w:rsidRDefault="00920231" w:rsidP="00920231">
            <w:pPr>
              <w:pStyle w:val="BodyText"/>
              <w:spacing w:before="100" w:after="100"/>
              <w:jc w:val="center"/>
            </w:pPr>
            <w:r w:rsidRPr="00A166C1">
              <w:t>$</w:t>
            </w:r>
            <w:r>
              <w:t>7</w:t>
            </w:r>
            <w:r w:rsidRPr="00A166C1">
              <w:t>0</w:t>
            </w:r>
          </w:p>
        </w:tc>
        <w:tc>
          <w:tcPr>
            <w:tcW w:w="712" w:type="pct"/>
            <w:shd w:val="clear" w:color="auto" w:fill="auto"/>
            <w:vAlign w:val="center"/>
          </w:tcPr>
          <w:p w14:paraId="358B5515" w14:textId="77777777" w:rsidR="00920231" w:rsidRPr="00A166C1" w:rsidRDefault="00920231" w:rsidP="00920231">
            <w:pPr>
              <w:pStyle w:val="BodyText"/>
              <w:spacing w:before="100" w:after="100"/>
              <w:jc w:val="center"/>
            </w:pPr>
            <w:r w:rsidRPr="00A166C1">
              <w:t>$</w:t>
            </w:r>
            <w:r>
              <w:t>9</w:t>
            </w:r>
            <w:r w:rsidRPr="00A166C1">
              <w:t>0</w:t>
            </w:r>
          </w:p>
        </w:tc>
        <w:tc>
          <w:tcPr>
            <w:tcW w:w="712" w:type="pct"/>
            <w:vAlign w:val="center"/>
          </w:tcPr>
          <w:p w14:paraId="3D4BD993" w14:textId="77777777" w:rsidR="00920231" w:rsidRPr="00A166C1" w:rsidRDefault="00920231" w:rsidP="00920231">
            <w:pPr>
              <w:pStyle w:val="BodyText"/>
              <w:spacing w:before="100" w:after="100"/>
              <w:jc w:val="center"/>
            </w:pPr>
            <w:r w:rsidRPr="008229AA">
              <w:t>$10</w:t>
            </w:r>
            <w:r>
              <w:t>5</w:t>
            </w:r>
          </w:p>
        </w:tc>
        <w:tc>
          <w:tcPr>
            <w:tcW w:w="710" w:type="pct"/>
          </w:tcPr>
          <w:p w14:paraId="21E6B92A" w14:textId="77777777" w:rsidR="00920231" w:rsidRPr="008229AA" w:rsidRDefault="00920231" w:rsidP="00920231">
            <w:pPr>
              <w:pStyle w:val="BodyText"/>
              <w:spacing w:before="100" w:after="100"/>
              <w:jc w:val="center"/>
            </w:pPr>
            <w:r>
              <w:t>$125</w:t>
            </w:r>
          </w:p>
        </w:tc>
      </w:tr>
      <w:tr w:rsidR="00920231" w:rsidRPr="008229AA" w14:paraId="7D9CB387" w14:textId="77777777" w:rsidTr="00920231">
        <w:tc>
          <w:tcPr>
            <w:tcW w:w="1443" w:type="pct"/>
            <w:shd w:val="clear" w:color="auto" w:fill="auto"/>
          </w:tcPr>
          <w:p w14:paraId="43818B4A" w14:textId="77777777" w:rsidR="00920231" w:rsidRPr="00A166C1" w:rsidRDefault="00920231" w:rsidP="00920231">
            <w:pPr>
              <w:pStyle w:val="BodyText"/>
              <w:spacing w:before="100" w:after="100"/>
            </w:pPr>
            <w:r w:rsidRPr="00A166C1">
              <w:rPr>
                <w:b/>
                <w:bCs/>
                <w:lang w:eastAsia="en-AU"/>
              </w:rPr>
              <w:t>Included Data</w:t>
            </w:r>
          </w:p>
        </w:tc>
        <w:tc>
          <w:tcPr>
            <w:tcW w:w="711" w:type="pct"/>
            <w:vAlign w:val="center"/>
          </w:tcPr>
          <w:p w14:paraId="5BC972B8" w14:textId="77777777" w:rsidR="00920231" w:rsidRPr="00A166C1" w:rsidRDefault="00920231" w:rsidP="00920231">
            <w:pPr>
              <w:pStyle w:val="BodyText"/>
              <w:spacing w:before="100" w:after="100"/>
              <w:jc w:val="center"/>
            </w:pPr>
            <w:r>
              <w:t>1.5GB</w:t>
            </w:r>
          </w:p>
        </w:tc>
        <w:tc>
          <w:tcPr>
            <w:tcW w:w="712" w:type="pct"/>
            <w:shd w:val="clear" w:color="auto" w:fill="auto"/>
            <w:vAlign w:val="center"/>
          </w:tcPr>
          <w:p w14:paraId="5A42D8B4" w14:textId="77777777" w:rsidR="00920231" w:rsidRPr="00A166C1" w:rsidRDefault="00920231" w:rsidP="00920231">
            <w:pPr>
              <w:pStyle w:val="BodyText"/>
              <w:spacing w:before="100" w:after="100"/>
              <w:jc w:val="center"/>
            </w:pPr>
            <w:r>
              <w:t>4.5</w:t>
            </w:r>
            <w:r w:rsidRPr="00A166C1">
              <w:t>GB</w:t>
            </w:r>
          </w:p>
        </w:tc>
        <w:tc>
          <w:tcPr>
            <w:tcW w:w="712" w:type="pct"/>
            <w:shd w:val="clear" w:color="auto" w:fill="auto"/>
            <w:vAlign w:val="center"/>
          </w:tcPr>
          <w:p w14:paraId="518065C1" w14:textId="77777777" w:rsidR="00920231" w:rsidRPr="00A166C1" w:rsidRDefault="00920231" w:rsidP="00920231">
            <w:pPr>
              <w:pStyle w:val="BodyText"/>
              <w:spacing w:before="100" w:after="100"/>
              <w:jc w:val="center"/>
            </w:pPr>
            <w:r>
              <w:t>8</w:t>
            </w:r>
            <w:r w:rsidRPr="00A166C1">
              <w:t>GB</w:t>
            </w:r>
          </w:p>
        </w:tc>
        <w:tc>
          <w:tcPr>
            <w:tcW w:w="712" w:type="pct"/>
            <w:vAlign w:val="center"/>
          </w:tcPr>
          <w:p w14:paraId="45CC7A53" w14:textId="77777777" w:rsidR="00920231" w:rsidRPr="00A166C1" w:rsidRDefault="00920231" w:rsidP="00920231">
            <w:pPr>
              <w:pStyle w:val="BodyText"/>
              <w:spacing w:before="100" w:after="100"/>
              <w:jc w:val="center"/>
            </w:pPr>
            <w:r w:rsidRPr="008229AA">
              <w:t>1</w:t>
            </w:r>
            <w:r>
              <w:t>5</w:t>
            </w:r>
            <w:r w:rsidRPr="008229AA">
              <w:t>GB</w:t>
            </w:r>
          </w:p>
        </w:tc>
        <w:tc>
          <w:tcPr>
            <w:tcW w:w="710" w:type="pct"/>
          </w:tcPr>
          <w:p w14:paraId="507D9A7E" w14:textId="77777777" w:rsidR="00920231" w:rsidRPr="008229AA" w:rsidRDefault="00920231" w:rsidP="00920231">
            <w:pPr>
              <w:pStyle w:val="BodyText"/>
              <w:spacing w:before="100" w:after="100"/>
              <w:jc w:val="center"/>
            </w:pPr>
            <w:r>
              <w:t>20GB</w:t>
            </w:r>
          </w:p>
        </w:tc>
      </w:tr>
      <w:tr w:rsidR="00920231" w:rsidRPr="009556D0" w14:paraId="2AD5E7A2" w14:textId="77777777" w:rsidTr="00920231">
        <w:tc>
          <w:tcPr>
            <w:tcW w:w="1443" w:type="pct"/>
            <w:shd w:val="clear" w:color="auto" w:fill="auto"/>
          </w:tcPr>
          <w:p w14:paraId="7FA0477D" w14:textId="77777777" w:rsidR="00920231" w:rsidRPr="00A166C1" w:rsidRDefault="00920231" w:rsidP="00920231">
            <w:pPr>
              <w:pStyle w:val="BodyText"/>
              <w:spacing w:before="100" w:after="100"/>
              <w:rPr>
                <w:b/>
                <w:bCs/>
                <w:lang w:eastAsia="en-AU"/>
              </w:rPr>
            </w:pPr>
            <w:r>
              <w:rPr>
                <w:b/>
                <w:bCs/>
                <w:lang w:eastAsia="en-AU"/>
              </w:rPr>
              <w:t>Additional Data</w:t>
            </w:r>
          </w:p>
        </w:tc>
        <w:tc>
          <w:tcPr>
            <w:tcW w:w="3557" w:type="pct"/>
            <w:gridSpan w:val="5"/>
            <w:vAlign w:val="center"/>
          </w:tcPr>
          <w:p w14:paraId="42E37395" w14:textId="77777777" w:rsidR="00920231" w:rsidRPr="009556D0" w:rsidRDefault="00920231" w:rsidP="00920231">
            <w:pPr>
              <w:pStyle w:val="BodyText"/>
              <w:spacing w:before="100" w:after="100"/>
              <w:jc w:val="center"/>
            </w:pPr>
            <w:r w:rsidRPr="009556D0">
              <w:t>Additional d</w:t>
            </w:r>
            <w:r>
              <w:t>ata $10 per 1GB</w:t>
            </w:r>
          </w:p>
        </w:tc>
      </w:tr>
      <w:tr w:rsidR="00920231" w:rsidRPr="008229AA" w14:paraId="5D97F92D" w14:textId="77777777" w:rsidTr="00920231">
        <w:tc>
          <w:tcPr>
            <w:tcW w:w="1443" w:type="pct"/>
            <w:shd w:val="clear" w:color="auto" w:fill="auto"/>
          </w:tcPr>
          <w:p w14:paraId="6B23F6C9" w14:textId="77777777" w:rsidR="00920231" w:rsidRPr="00A166C1" w:rsidRDefault="00920231" w:rsidP="00920231">
            <w:pPr>
              <w:pStyle w:val="BodyText"/>
              <w:spacing w:before="100" w:after="100"/>
              <w:rPr>
                <w:b/>
                <w:bCs/>
                <w:lang w:eastAsia="en-AU"/>
              </w:rPr>
            </w:pPr>
            <w:r w:rsidRPr="00A166C1">
              <w:rPr>
                <w:b/>
                <w:bCs/>
                <w:lang w:eastAsia="en-AU"/>
              </w:rPr>
              <w:t>Included Minutes</w:t>
            </w:r>
          </w:p>
          <w:p w14:paraId="5DBF5B0E" w14:textId="77777777" w:rsidR="00920231" w:rsidRPr="00A166C1" w:rsidRDefault="00920231" w:rsidP="00920231">
            <w:pPr>
              <w:pStyle w:val="BodyText"/>
              <w:spacing w:before="100" w:after="100"/>
            </w:pPr>
            <w:r w:rsidRPr="00A166C1">
              <w:rPr>
                <w:sz w:val="17"/>
                <w:szCs w:val="17"/>
                <w:lang w:eastAsia="en-AU"/>
              </w:rPr>
              <w:t>for standard national calls to landlines and mobiles, 1300 numbers and voicemail, within Australia</w:t>
            </w:r>
          </w:p>
        </w:tc>
        <w:tc>
          <w:tcPr>
            <w:tcW w:w="711" w:type="pct"/>
            <w:vAlign w:val="center"/>
          </w:tcPr>
          <w:p w14:paraId="1115006E" w14:textId="77777777" w:rsidR="00920231" w:rsidRPr="00A166C1" w:rsidRDefault="00920231" w:rsidP="00920231">
            <w:pPr>
              <w:pStyle w:val="BodyText"/>
              <w:spacing w:before="100" w:after="100"/>
              <w:jc w:val="center"/>
            </w:pPr>
            <w:r w:rsidRPr="00A166C1">
              <w:t>Unlimited</w:t>
            </w:r>
          </w:p>
        </w:tc>
        <w:tc>
          <w:tcPr>
            <w:tcW w:w="712" w:type="pct"/>
            <w:shd w:val="clear" w:color="auto" w:fill="auto"/>
            <w:vAlign w:val="center"/>
          </w:tcPr>
          <w:p w14:paraId="6DBE355B" w14:textId="77777777" w:rsidR="00920231" w:rsidRPr="00A166C1" w:rsidRDefault="00920231" w:rsidP="00920231">
            <w:pPr>
              <w:pStyle w:val="BodyText"/>
              <w:spacing w:before="100" w:after="100"/>
              <w:jc w:val="center"/>
            </w:pPr>
            <w:r w:rsidRPr="00A166C1">
              <w:t>Unlimited</w:t>
            </w:r>
          </w:p>
        </w:tc>
        <w:tc>
          <w:tcPr>
            <w:tcW w:w="712" w:type="pct"/>
            <w:shd w:val="clear" w:color="auto" w:fill="auto"/>
            <w:vAlign w:val="center"/>
          </w:tcPr>
          <w:p w14:paraId="3511C325" w14:textId="77777777" w:rsidR="00920231" w:rsidRPr="00A166C1" w:rsidRDefault="00920231" w:rsidP="00920231">
            <w:pPr>
              <w:pStyle w:val="BodyText"/>
              <w:spacing w:before="100" w:after="100"/>
              <w:jc w:val="center"/>
            </w:pPr>
            <w:r w:rsidRPr="00A166C1">
              <w:t>Unlimited</w:t>
            </w:r>
          </w:p>
        </w:tc>
        <w:tc>
          <w:tcPr>
            <w:tcW w:w="712" w:type="pct"/>
            <w:vAlign w:val="center"/>
          </w:tcPr>
          <w:p w14:paraId="05782941" w14:textId="77777777" w:rsidR="00920231" w:rsidRPr="00A166C1" w:rsidRDefault="00920231" w:rsidP="00920231">
            <w:pPr>
              <w:pStyle w:val="BodyText"/>
              <w:spacing w:before="100" w:after="100"/>
              <w:jc w:val="center"/>
            </w:pPr>
            <w:r w:rsidRPr="008229AA">
              <w:t>Unlimited</w:t>
            </w:r>
          </w:p>
        </w:tc>
        <w:tc>
          <w:tcPr>
            <w:tcW w:w="710" w:type="pct"/>
            <w:vAlign w:val="center"/>
          </w:tcPr>
          <w:p w14:paraId="6DD348AD" w14:textId="77777777" w:rsidR="00920231" w:rsidRPr="008229AA" w:rsidRDefault="00920231" w:rsidP="00920231">
            <w:pPr>
              <w:pStyle w:val="BodyText"/>
              <w:spacing w:before="100" w:after="100"/>
              <w:jc w:val="center"/>
            </w:pPr>
            <w:r w:rsidRPr="008229AA">
              <w:t>Unlimited</w:t>
            </w:r>
          </w:p>
        </w:tc>
      </w:tr>
      <w:tr w:rsidR="00920231" w:rsidRPr="008229AA" w14:paraId="5350239F" w14:textId="77777777" w:rsidTr="00920231">
        <w:tc>
          <w:tcPr>
            <w:tcW w:w="1443" w:type="pct"/>
            <w:shd w:val="clear" w:color="auto" w:fill="auto"/>
          </w:tcPr>
          <w:p w14:paraId="2A3F1595" w14:textId="77777777" w:rsidR="00920231" w:rsidRPr="00A166C1" w:rsidRDefault="00920231" w:rsidP="00920231">
            <w:pPr>
              <w:pStyle w:val="BodyText"/>
              <w:spacing w:before="100" w:after="100"/>
              <w:rPr>
                <w:b/>
                <w:bCs/>
                <w:lang w:eastAsia="en-AU"/>
              </w:rPr>
            </w:pPr>
            <w:r w:rsidRPr="00A166C1">
              <w:rPr>
                <w:b/>
                <w:bCs/>
                <w:lang w:eastAsia="en-AU"/>
              </w:rPr>
              <w:t>Included International Minutes</w:t>
            </w:r>
          </w:p>
          <w:p w14:paraId="512BADA0" w14:textId="77777777" w:rsidR="00920231" w:rsidRPr="00A166C1" w:rsidRDefault="00920231" w:rsidP="00920231">
            <w:pPr>
              <w:pStyle w:val="BodyText"/>
              <w:spacing w:before="100" w:after="100"/>
              <w:rPr>
                <w:b/>
                <w:bCs/>
                <w:lang w:eastAsia="en-AU"/>
              </w:rPr>
            </w:pPr>
            <w:r w:rsidRPr="00A166C1">
              <w:rPr>
                <w:sz w:val="17"/>
                <w:szCs w:val="17"/>
                <w:lang w:eastAsia="en-AU"/>
              </w:rPr>
              <w:t>Standard international calls to landlines and mobiles</w:t>
            </w:r>
            <w:r>
              <w:rPr>
                <w:sz w:val="17"/>
                <w:szCs w:val="17"/>
                <w:lang w:eastAsia="en-AU"/>
              </w:rPr>
              <w:t xml:space="preserve"> </w:t>
            </w:r>
            <w:r w:rsidRPr="00A166C1">
              <w:rPr>
                <w:sz w:val="17"/>
                <w:szCs w:val="17"/>
                <w:lang w:eastAsia="en-AU"/>
              </w:rPr>
              <w:t>to selected countries</w:t>
            </w:r>
          </w:p>
        </w:tc>
        <w:tc>
          <w:tcPr>
            <w:tcW w:w="711" w:type="pct"/>
            <w:vAlign w:val="center"/>
          </w:tcPr>
          <w:p w14:paraId="13B0AB52" w14:textId="77777777" w:rsidR="00920231" w:rsidRPr="00A166C1" w:rsidRDefault="00920231" w:rsidP="00920231">
            <w:pPr>
              <w:pStyle w:val="BodyText"/>
              <w:spacing w:before="100" w:after="100"/>
              <w:jc w:val="center"/>
            </w:pPr>
            <w:r>
              <w:rPr>
                <w:bCs/>
                <w:lang w:eastAsia="en-AU"/>
              </w:rPr>
              <w:t xml:space="preserve">Not included </w:t>
            </w:r>
          </w:p>
        </w:tc>
        <w:tc>
          <w:tcPr>
            <w:tcW w:w="712" w:type="pct"/>
            <w:shd w:val="clear" w:color="auto" w:fill="auto"/>
            <w:vAlign w:val="center"/>
          </w:tcPr>
          <w:p w14:paraId="7BA9143F" w14:textId="77777777" w:rsidR="00920231" w:rsidRPr="005A6F97" w:rsidRDefault="00920231" w:rsidP="00920231">
            <w:pPr>
              <w:pStyle w:val="BodyText"/>
              <w:spacing w:before="100" w:after="100"/>
              <w:jc w:val="center"/>
            </w:pPr>
            <w:r w:rsidRPr="00930A65">
              <w:t>Unlimited</w:t>
            </w:r>
          </w:p>
        </w:tc>
        <w:tc>
          <w:tcPr>
            <w:tcW w:w="712" w:type="pct"/>
            <w:shd w:val="clear" w:color="auto" w:fill="auto"/>
            <w:vAlign w:val="center"/>
          </w:tcPr>
          <w:p w14:paraId="207A9C37" w14:textId="77777777" w:rsidR="00920231" w:rsidRPr="005A6F97" w:rsidRDefault="00920231" w:rsidP="00920231">
            <w:pPr>
              <w:pStyle w:val="BodyText"/>
              <w:spacing w:before="100" w:after="100"/>
              <w:jc w:val="center"/>
            </w:pPr>
            <w:r w:rsidRPr="00930A65">
              <w:t>Unlimited</w:t>
            </w:r>
          </w:p>
        </w:tc>
        <w:tc>
          <w:tcPr>
            <w:tcW w:w="712" w:type="pct"/>
            <w:vAlign w:val="center"/>
          </w:tcPr>
          <w:p w14:paraId="1AC7B00B" w14:textId="77777777" w:rsidR="00920231" w:rsidRPr="005A6F97" w:rsidRDefault="00920231" w:rsidP="00920231">
            <w:pPr>
              <w:pStyle w:val="BodyText"/>
              <w:spacing w:before="100" w:after="100"/>
              <w:jc w:val="center"/>
              <w:rPr>
                <w:bCs/>
                <w:lang w:eastAsia="en-AU"/>
              </w:rPr>
            </w:pPr>
            <w:r w:rsidRPr="00930A65">
              <w:t>Unlimited</w:t>
            </w:r>
          </w:p>
        </w:tc>
        <w:tc>
          <w:tcPr>
            <w:tcW w:w="710" w:type="pct"/>
            <w:vAlign w:val="center"/>
          </w:tcPr>
          <w:p w14:paraId="79B9431A" w14:textId="77777777" w:rsidR="00920231" w:rsidRPr="008229AA" w:rsidRDefault="00920231" w:rsidP="00920231">
            <w:pPr>
              <w:pStyle w:val="BodyText"/>
              <w:spacing w:before="100" w:after="100"/>
              <w:jc w:val="center"/>
              <w:rPr>
                <w:bCs/>
              </w:rPr>
            </w:pPr>
            <w:r w:rsidRPr="00930A65">
              <w:t>Unlimited</w:t>
            </w:r>
          </w:p>
        </w:tc>
      </w:tr>
      <w:tr w:rsidR="00920231" w:rsidRPr="008229AA" w14:paraId="67DD84DC" w14:textId="77777777" w:rsidTr="00920231">
        <w:tc>
          <w:tcPr>
            <w:tcW w:w="1443" w:type="pct"/>
            <w:shd w:val="clear" w:color="auto" w:fill="auto"/>
          </w:tcPr>
          <w:p w14:paraId="4473693F" w14:textId="77777777" w:rsidR="00920231" w:rsidRPr="00A166C1" w:rsidRDefault="00920231" w:rsidP="00920231">
            <w:pPr>
              <w:pStyle w:val="BodyText"/>
              <w:spacing w:before="100" w:after="100"/>
            </w:pPr>
            <w:r w:rsidRPr="00A166C1">
              <w:rPr>
                <w:b/>
                <w:bCs/>
                <w:lang w:eastAsia="en-AU"/>
              </w:rPr>
              <w:t xml:space="preserve">Standard national SMS </w:t>
            </w:r>
            <w:r w:rsidRPr="00A166C1">
              <w:rPr>
                <w:lang w:eastAsia="en-AU"/>
              </w:rPr>
              <w:t>(per SMS of up to 160 standard characters)</w:t>
            </w:r>
          </w:p>
        </w:tc>
        <w:tc>
          <w:tcPr>
            <w:tcW w:w="711" w:type="pct"/>
            <w:vAlign w:val="center"/>
          </w:tcPr>
          <w:p w14:paraId="1A99719A" w14:textId="77777777" w:rsidR="00920231" w:rsidRPr="00A166C1" w:rsidRDefault="00920231" w:rsidP="00920231">
            <w:pPr>
              <w:pStyle w:val="BodyText"/>
              <w:spacing w:before="100" w:after="100"/>
              <w:jc w:val="center"/>
            </w:pPr>
            <w:r w:rsidRPr="00A166C1">
              <w:t>Unlimited</w:t>
            </w:r>
          </w:p>
        </w:tc>
        <w:tc>
          <w:tcPr>
            <w:tcW w:w="712" w:type="pct"/>
            <w:shd w:val="clear" w:color="auto" w:fill="auto"/>
            <w:vAlign w:val="center"/>
          </w:tcPr>
          <w:p w14:paraId="0BA7E103" w14:textId="77777777" w:rsidR="00920231" w:rsidRPr="00A166C1" w:rsidRDefault="00920231" w:rsidP="00920231">
            <w:pPr>
              <w:pStyle w:val="BodyText"/>
              <w:spacing w:before="100" w:after="100"/>
              <w:jc w:val="center"/>
            </w:pPr>
            <w:r w:rsidRPr="00A166C1">
              <w:t>Unlimited</w:t>
            </w:r>
          </w:p>
        </w:tc>
        <w:tc>
          <w:tcPr>
            <w:tcW w:w="712" w:type="pct"/>
            <w:shd w:val="clear" w:color="auto" w:fill="auto"/>
            <w:vAlign w:val="center"/>
          </w:tcPr>
          <w:p w14:paraId="426FEF2E" w14:textId="77777777" w:rsidR="00920231" w:rsidRPr="00A166C1" w:rsidRDefault="00920231" w:rsidP="00920231">
            <w:pPr>
              <w:pStyle w:val="BodyText"/>
              <w:spacing w:before="100" w:after="100"/>
              <w:jc w:val="center"/>
            </w:pPr>
            <w:r w:rsidRPr="00A166C1">
              <w:t>Unlimited</w:t>
            </w:r>
          </w:p>
        </w:tc>
        <w:tc>
          <w:tcPr>
            <w:tcW w:w="712" w:type="pct"/>
            <w:vAlign w:val="center"/>
          </w:tcPr>
          <w:p w14:paraId="5B378F4D" w14:textId="77777777" w:rsidR="00920231" w:rsidRPr="00A166C1" w:rsidRDefault="00920231" w:rsidP="00920231">
            <w:pPr>
              <w:pStyle w:val="BodyText"/>
              <w:spacing w:before="100" w:after="100"/>
              <w:jc w:val="center"/>
            </w:pPr>
            <w:r w:rsidRPr="008229AA">
              <w:t>Unlimited</w:t>
            </w:r>
          </w:p>
        </w:tc>
        <w:tc>
          <w:tcPr>
            <w:tcW w:w="710" w:type="pct"/>
            <w:vAlign w:val="center"/>
          </w:tcPr>
          <w:p w14:paraId="7D8163C5" w14:textId="77777777" w:rsidR="00920231" w:rsidRPr="008229AA" w:rsidRDefault="00920231" w:rsidP="00920231">
            <w:pPr>
              <w:pStyle w:val="BodyText"/>
              <w:spacing w:before="100" w:after="100"/>
              <w:jc w:val="center"/>
            </w:pPr>
            <w:r w:rsidRPr="00930A65">
              <w:t>Unlimited</w:t>
            </w:r>
          </w:p>
        </w:tc>
      </w:tr>
      <w:tr w:rsidR="00920231" w:rsidRPr="008229AA" w14:paraId="4DCDE86A" w14:textId="77777777" w:rsidTr="00920231">
        <w:tc>
          <w:tcPr>
            <w:tcW w:w="1443" w:type="pct"/>
            <w:shd w:val="clear" w:color="auto" w:fill="auto"/>
          </w:tcPr>
          <w:p w14:paraId="383ED559" w14:textId="77777777" w:rsidR="00920231" w:rsidRPr="00A166C1" w:rsidRDefault="00920231" w:rsidP="00920231">
            <w:pPr>
              <w:pStyle w:val="BodyText"/>
              <w:spacing w:before="100" w:after="100"/>
              <w:rPr>
                <w:b/>
                <w:bCs/>
                <w:lang w:eastAsia="en-AU"/>
              </w:rPr>
            </w:pPr>
            <w:r w:rsidRPr="00A166C1">
              <w:rPr>
                <w:b/>
                <w:bCs/>
                <w:lang w:eastAsia="en-AU"/>
              </w:rPr>
              <w:t xml:space="preserve">Standard national MMS </w:t>
            </w:r>
            <w:r w:rsidRPr="00A166C1">
              <w:rPr>
                <w:lang w:eastAsia="en-AU"/>
              </w:rPr>
              <w:t>(per message)</w:t>
            </w:r>
          </w:p>
        </w:tc>
        <w:tc>
          <w:tcPr>
            <w:tcW w:w="711" w:type="pct"/>
            <w:vAlign w:val="center"/>
          </w:tcPr>
          <w:p w14:paraId="5D8B809C" w14:textId="77777777" w:rsidR="00920231" w:rsidRPr="00A166C1" w:rsidRDefault="00920231" w:rsidP="00920231">
            <w:pPr>
              <w:pStyle w:val="BodyText"/>
              <w:spacing w:before="100" w:after="100"/>
              <w:jc w:val="center"/>
            </w:pPr>
            <w:r w:rsidRPr="00A166C1">
              <w:t>Unlimited</w:t>
            </w:r>
          </w:p>
        </w:tc>
        <w:tc>
          <w:tcPr>
            <w:tcW w:w="712" w:type="pct"/>
            <w:shd w:val="clear" w:color="auto" w:fill="auto"/>
            <w:vAlign w:val="center"/>
          </w:tcPr>
          <w:p w14:paraId="4BD1D33D" w14:textId="77777777" w:rsidR="00920231" w:rsidRPr="00A166C1" w:rsidRDefault="00920231" w:rsidP="00920231">
            <w:pPr>
              <w:pStyle w:val="BodyText"/>
              <w:spacing w:before="100" w:after="100"/>
              <w:jc w:val="center"/>
            </w:pPr>
            <w:r w:rsidRPr="00A166C1">
              <w:t>Unlimited</w:t>
            </w:r>
          </w:p>
        </w:tc>
        <w:tc>
          <w:tcPr>
            <w:tcW w:w="712" w:type="pct"/>
            <w:shd w:val="clear" w:color="auto" w:fill="auto"/>
            <w:vAlign w:val="center"/>
          </w:tcPr>
          <w:p w14:paraId="4BA19A95" w14:textId="77777777" w:rsidR="00920231" w:rsidRPr="00A166C1" w:rsidRDefault="00920231" w:rsidP="00920231">
            <w:pPr>
              <w:pStyle w:val="BodyText"/>
              <w:spacing w:before="100" w:after="100"/>
              <w:jc w:val="center"/>
            </w:pPr>
            <w:r w:rsidRPr="00A166C1">
              <w:t>Unlimited</w:t>
            </w:r>
          </w:p>
        </w:tc>
        <w:tc>
          <w:tcPr>
            <w:tcW w:w="712" w:type="pct"/>
          </w:tcPr>
          <w:p w14:paraId="11B434A7" w14:textId="77777777" w:rsidR="00920231" w:rsidRPr="00A166C1" w:rsidRDefault="00920231" w:rsidP="00920231">
            <w:pPr>
              <w:pStyle w:val="BodyText"/>
              <w:spacing w:before="100" w:after="100"/>
              <w:jc w:val="center"/>
            </w:pPr>
            <w:r w:rsidRPr="008229AA">
              <w:t>Unlimited</w:t>
            </w:r>
          </w:p>
        </w:tc>
        <w:tc>
          <w:tcPr>
            <w:tcW w:w="710" w:type="pct"/>
          </w:tcPr>
          <w:p w14:paraId="49549B12" w14:textId="77777777" w:rsidR="00920231" w:rsidRPr="008229AA" w:rsidRDefault="00920231" w:rsidP="00920231">
            <w:pPr>
              <w:pStyle w:val="BodyText"/>
              <w:spacing w:before="100" w:after="100"/>
              <w:jc w:val="center"/>
            </w:pPr>
            <w:r w:rsidRPr="00930A65">
              <w:t>Unlimited</w:t>
            </w:r>
          </w:p>
        </w:tc>
      </w:tr>
      <w:tr w:rsidR="00920231" w:rsidRPr="008229AA" w14:paraId="0A9ACBA2" w14:textId="77777777" w:rsidTr="00920231">
        <w:tc>
          <w:tcPr>
            <w:tcW w:w="1443" w:type="pct"/>
            <w:shd w:val="clear" w:color="auto" w:fill="auto"/>
          </w:tcPr>
          <w:p w14:paraId="6F5A1368" w14:textId="77777777" w:rsidR="00920231" w:rsidRPr="00A166C1" w:rsidDel="00064B49" w:rsidRDefault="00920231" w:rsidP="00920231">
            <w:pPr>
              <w:pStyle w:val="BodyText"/>
              <w:spacing w:before="100" w:after="100"/>
              <w:rPr>
                <w:b/>
                <w:bCs/>
                <w:lang w:eastAsia="en-AU"/>
              </w:rPr>
            </w:pPr>
            <w:r w:rsidRPr="00A166C1">
              <w:rPr>
                <w:b/>
                <w:bCs/>
                <w:lang w:eastAsia="en-AU"/>
              </w:rPr>
              <w:t xml:space="preserve">Standard international SMS </w:t>
            </w:r>
            <w:r w:rsidRPr="00A166C1">
              <w:rPr>
                <w:lang w:eastAsia="en-AU"/>
              </w:rPr>
              <w:t>(per SMS of up to 160 standard characters to selected countries)</w:t>
            </w:r>
          </w:p>
        </w:tc>
        <w:tc>
          <w:tcPr>
            <w:tcW w:w="711" w:type="pct"/>
            <w:vAlign w:val="center"/>
          </w:tcPr>
          <w:p w14:paraId="6DA76202" w14:textId="77777777" w:rsidR="00920231" w:rsidRPr="00A166C1" w:rsidRDefault="00920231" w:rsidP="00920231">
            <w:pPr>
              <w:pStyle w:val="BodyText"/>
              <w:spacing w:before="100" w:after="100"/>
              <w:jc w:val="center"/>
            </w:pPr>
            <w:r w:rsidRPr="00A166C1">
              <w:t>Unlimited</w:t>
            </w:r>
          </w:p>
        </w:tc>
        <w:tc>
          <w:tcPr>
            <w:tcW w:w="712" w:type="pct"/>
            <w:shd w:val="clear" w:color="auto" w:fill="auto"/>
            <w:vAlign w:val="center"/>
          </w:tcPr>
          <w:p w14:paraId="4967CFDA" w14:textId="77777777" w:rsidR="00920231" w:rsidRPr="00A166C1" w:rsidDel="00064B49" w:rsidRDefault="00920231" w:rsidP="00920231">
            <w:pPr>
              <w:pStyle w:val="BodyText"/>
              <w:spacing w:before="100" w:after="100"/>
              <w:jc w:val="center"/>
            </w:pPr>
            <w:r w:rsidRPr="00A166C1">
              <w:t>Unlimited</w:t>
            </w:r>
          </w:p>
        </w:tc>
        <w:tc>
          <w:tcPr>
            <w:tcW w:w="712" w:type="pct"/>
            <w:shd w:val="clear" w:color="auto" w:fill="auto"/>
            <w:vAlign w:val="center"/>
          </w:tcPr>
          <w:p w14:paraId="2E9DB20B" w14:textId="77777777" w:rsidR="00920231" w:rsidRPr="00A166C1" w:rsidDel="00064B49" w:rsidRDefault="00920231" w:rsidP="00920231">
            <w:pPr>
              <w:pStyle w:val="BodyText"/>
              <w:spacing w:before="100" w:after="100"/>
              <w:jc w:val="center"/>
            </w:pPr>
            <w:r w:rsidRPr="00A166C1">
              <w:t>Unlimited</w:t>
            </w:r>
          </w:p>
        </w:tc>
        <w:tc>
          <w:tcPr>
            <w:tcW w:w="712" w:type="pct"/>
            <w:vAlign w:val="center"/>
          </w:tcPr>
          <w:p w14:paraId="72C40D49" w14:textId="77777777" w:rsidR="00920231" w:rsidRPr="00A166C1" w:rsidRDefault="00920231" w:rsidP="00920231">
            <w:pPr>
              <w:pStyle w:val="BodyText"/>
              <w:spacing w:before="100" w:after="100"/>
              <w:jc w:val="center"/>
            </w:pPr>
            <w:r w:rsidRPr="008229AA">
              <w:t>Unlimited</w:t>
            </w:r>
          </w:p>
        </w:tc>
        <w:tc>
          <w:tcPr>
            <w:tcW w:w="710" w:type="pct"/>
            <w:vAlign w:val="center"/>
          </w:tcPr>
          <w:p w14:paraId="663E99AF" w14:textId="77777777" w:rsidR="00920231" w:rsidRPr="008229AA" w:rsidRDefault="00920231" w:rsidP="00920231">
            <w:pPr>
              <w:pStyle w:val="BodyText"/>
              <w:spacing w:before="100" w:after="100"/>
              <w:jc w:val="center"/>
            </w:pPr>
            <w:r w:rsidRPr="00930A65">
              <w:t>Unlimited</w:t>
            </w:r>
          </w:p>
        </w:tc>
      </w:tr>
      <w:tr w:rsidR="00920231" w:rsidRPr="008229AA" w14:paraId="77010553" w14:textId="77777777" w:rsidTr="00920231">
        <w:tc>
          <w:tcPr>
            <w:tcW w:w="1443" w:type="pct"/>
            <w:shd w:val="clear" w:color="auto" w:fill="auto"/>
          </w:tcPr>
          <w:p w14:paraId="6F82BF65" w14:textId="77777777" w:rsidR="00920231" w:rsidRPr="00A166C1" w:rsidRDefault="00920231" w:rsidP="00920231">
            <w:pPr>
              <w:pStyle w:val="BodyText"/>
              <w:spacing w:before="100" w:after="100"/>
              <w:rPr>
                <w:b/>
                <w:bCs/>
                <w:lang w:eastAsia="en-AU"/>
              </w:rPr>
            </w:pPr>
            <w:r w:rsidRPr="00A166C1">
              <w:rPr>
                <w:b/>
                <w:bCs/>
                <w:lang w:eastAsia="en-AU"/>
              </w:rPr>
              <w:t xml:space="preserve">Standard international MMS </w:t>
            </w:r>
            <w:r w:rsidRPr="00A166C1">
              <w:rPr>
                <w:lang w:eastAsia="en-AU"/>
              </w:rPr>
              <w:t>(per message to selected countries)</w:t>
            </w:r>
          </w:p>
        </w:tc>
        <w:tc>
          <w:tcPr>
            <w:tcW w:w="711" w:type="pct"/>
            <w:vAlign w:val="center"/>
          </w:tcPr>
          <w:p w14:paraId="05F572B7" w14:textId="77777777" w:rsidR="00920231" w:rsidRPr="00A166C1" w:rsidRDefault="00920231" w:rsidP="00920231">
            <w:pPr>
              <w:pStyle w:val="BodyText"/>
              <w:spacing w:before="100" w:after="100"/>
              <w:jc w:val="center"/>
            </w:pPr>
            <w:r w:rsidRPr="00A166C1">
              <w:t>Unlimited</w:t>
            </w:r>
          </w:p>
        </w:tc>
        <w:tc>
          <w:tcPr>
            <w:tcW w:w="712" w:type="pct"/>
            <w:shd w:val="clear" w:color="auto" w:fill="auto"/>
            <w:vAlign w:val="center"/>
          </w:tcPr>
          <w:p w14:paraId="343E950C" w14:textId="77777777" w:rsidR="00920231" w:rsidRPr="00A166C1" w:rsidRDefault="00920231" w:rsidP="00920231">
            <w:pPr>
              <w:pStyle w:val="BodyText"/>
              <w:spacing w:before="100" w:after="100"/>
              <w:jc w:val="center"/>
            </w:pPr>
            <w:r w:rsidRPr="00A166C1">
              <w:t>Unlimited</w:t>
            </w:r>
          </w:p>
        </w:tc>
        <w:tc>
          <w:tcPr>
            <w:tcW w:w="712" w:type="pct"/>
            <w:shd w:val="clear" w:color="auto" w:fill="auto"/>
            <w:vAlign w:val="center"/>
          </w:tcPr>
          <w:p w14:paraId="5FE8BA89" w14:textId="77777777" w:rsidR="00920231" w:rsidRPr="00A166C1" w:rsidRDefault="00920231" w:rsidP="00920231">
            <w:pPr>
              <w:pStyle w:val="BodyText"/>
              <w:spacing w:before="100" w:after="100"/>
              <w:jc w:val="center"/>
            </w:pPr>
            <w:r w:rsidRPr="00A166C1">
              <w:t>Unlimited</w:t>
            </w:r>
          </w:p>
        </w:tc>
        <w:tc>
          <w:tcPr>
            <w:tcW w:w="712" w:type="pct"/>
            <w:vAlign w:val="center"/>
          </w:tcPr>
          <w:p w14:paraId="7E48F70D" w14:textId="77777777" w:rsidR="00920231" w:rsidRPr="00A166C1" w:rsidRDefault="00920231" w:rsidP="00920231">
            <w:pPr>
              <w:pStyle w:val="BodyText"/>
              <w:spacing w:before="100" w:after="100"/>
              <w:jc w:val="center"/>
            </w:pPr>
            <w:r w:rsidRPr="008229AA">
              <w:t>Unlimited</w:t>
            </w:r>
          </w:p>
        </w:tc>
        <w:tc>
          <w:tcPr>
            <w:tcW w:w="710" w:type="pct"/>
            <w:vAlign w:val="center"/>
          </w:tcPr>
          <w:p w14:paraId="503AB365" w14:textId="77777777" w:rsidR="00920231" w:rsidRPr="008229AA" w:rsidRDefault="00920231" w:rsidP="00920231">
            <w:pPr>
              <w:pStyle w:val="BodyText"/>
              <w:spacing w:before="100" w:after="100"/>
              <w:jc w:val="center"/>
            </w:pPr>
            <w:r w:rsidRPr="00930A65">
              <w:t>Unlimited</w:t>
            </w:r>
          </w:p>
        </w:tc>
      </w:tr>
      <w:tr w:rsidR="00920231" w:rsidRPr="008229AA" w14:paraId="1A0202E7" w14:textId="77777777" w:rsidTr="00920231">
        <w:tc>
          <w:tcPr>
            <w:tcW w:w="1443" w:type="pct"/>
            <w:shd w:val="clear" w:color="auto" w:fill="auto"/>
          </w:tcPr>
          <w:p w14:paraId="7D3646F9" w14:textId="77777777" w:rsidR="00920231" w:rsidRPr="00A166C1" w:rsidRDefault="00920231" w:rsidP="00920231">
            <w:pPr>
              <w:pStyle w:val="BodyText"/>
              <w:spacing w:before="100" w:after="100"/>
              <w:rPr>
                <w:b/>
                <w:bCs/>
                <w:lang w:eastAsia="en-AU"/>
              </w:rPr>
            </w:pPr>
            <w:r w:rsidRPr="00CF3812">
              <w:rPr>
                <w:rFonts w:eastAsia="Calibri"/>
                <w:b/>
                <w:bCs/>
                <w:lang w:eastAsia="en-AU"/>
              </w:rPr>
              <w:lastRenderedPageBreak/>
              <w:t xml:space="preserve">International Roaming </w:t>
            </w:r>
            <w:r w:rsidRPr="00CF3812">
              <w:rPr>
                <w:rFonts w:eastAsia="Calibri"/>
                <w:b/>
                <w:bCs/>
                <w:lang w:eastAsia="en-AU"/>
              </w:rPr>
              <w:br/>
            </w:r>
            <w:r w:rsidRPr="00CF3812">
              <w:rPr>
                <w:b/>
                <w:bCs/>
                <w:snapToGrid w:val="0"/>
              </w:rPr>
              <w:t>(Zone 1 countries)</w:t>
            </w:r>
          </w:p>
        </w:tc>
        <w:tc>
          <w:tcPr>
            <w:tcW w:w="711" w:type="pct"/>
            <w:vAlign w:val="center"/>
          </w:tcPr>
          <w:p w14:paraId="264DA82F" w14:textId="77777777" w:rsidR="00920231" w:rsidRPr="00A166C1" w:rsidRDefault="00920231" w:rsidP="00920231">
            <w:pPr>
              <w:pStyle w:val="BodyText"/>
              <w:spacing w:before="100" w:after="100"/>
              <w:jc w:val="center"/>
            </w:pPr>
            <w:r w:rsidRPr="00CF3812">
              <w:rPr>
                <w:rFonts w:eastAsia="Calibri"/>
              </w:rPr>
              <w:t>Not included</w:t>
            </w:r>
          </w:p>
        </w:tc>
        <w:tc>
          <w:tcPr>
            <w:tcW w:w="712" w:type="pct"/>
            <w:shd w:val="clear" w:color="auto" w:fill="auto"/>
            <w:vAlign w:val="center"/>
          </w:tcPr>
          <w:p w14:paraId="0C39D1F1" w14:textId="77777777" w:rsidR="00920231" w:rsidRPr="00A166C1" w:rsidRDefault="00920231" w:rsidP="00920231">
            <w:pPr>
              <w:pStyle w:val="BodyText"/>
              <w:spacing w:before="100" w:after="100"/>
              <w:jc w:val="center"/>
            </w:pPr>
            <w:r w:rsidRPr="00CF3812">
              <w:rPr>
                <w:rFonts w:eastAsia="Calibri"/>
              </w:rPr>
              <w:t>Not included</w:t>
            </w:r>
          </w:p>
        </w:tc>
        <w:tc>
          <w:tcPr>
            <w:tcW w:w="712" w:type="pct"/>
            <w:shd w:val="clear" w:color="auto" w:fill="auto"/>
            <w:vAlign w:val="center"/>
          </w:tcPr>
          <w:p w14:paraId="2137CD3D" w14:textId="77777777" w:rsidR="00920231" w:rsidRPr="00A166C1" w:rsidRDefault="00920231" w:rsidP="00920231">
            <w:pPr>
              <w:pStyle w:val="BodyText"/>
              <w:spacing w:before="100" w:after="100"/>
              <w:jc w:val="center"/>
            </w:pPr>
            <w:r w:rsidRPr="00CF3812">
              <w:rPr>
                <w:rFonts w:eastAsia="Calibri"/>
              </w:rPr>
              <w:t>Not included</w:t>
            </w:r>
          </w:p>
        </w:tc>
        <w:tc>
          <w:tcPr>
            <w:tcW w:w="712" w:type="pct"/>
            <w:vAlign w:val="center"/>
          </w:tcPr>
          <w:p w14:paraId="74C969F5" w14:textId="77777777" w:rsidR="00920231" w:rsidRPr="008229AA" w:rsidRDefault="00920231" w:rsidP="00920231">
            <w:pPr>
              <w:pStyle w:val="BodyText"/>
              <w:spacing w:before="100" w:after="100"/>
              <w:jc w:val="center"/>
            </w:pPr>
            <w:r w:rsidRPr="00CF3812">
              <w:rPr>
                <w:lang w:val="en-AU" w:eastAsia="en-AU"/>
              </w:rPr>
              <w:t>Unlimited standard national/international talk, SMS &amp; 1GB data</w:t>
            </w:r>
          </w:p>
        </w:tc>
        <w:tc>
          <w:tcPr>
            <w:tcW w:w="710" w:type="pct"/>
          </w:tcPr>
          <w:p w14:paraId="6DF2E32C" w14:textId="77777777" w:rsidR="00920231" w:rsidRPr="00930A65" w:rsidRDefault="00920231" w:rsidP="00920231">
            <w:pPr>
              <w:pStyle w:val="BodyText"/>
              <w:spacing w:before="100" w:after="100"/>
              <w:jc w:val="center"/>
            </w:pPr>
            <w:r w:rsidRPr="00CF3812">
              <w:rPr>
                <w:lang w:val="en-AU" w:eastAsia="en-AU"/>
              </w:rPr>
              <w:t>Unlimited standard national/international talk, SMS &amp; 1.5GB data</w:t>
            </w:r>
          </w:p>
        </w:tc>
      </w:tr>
      <w:tr w:rsidR="00920231" w:rsidRPr="00930A65" w14:paraId="4BD814FB" w14:textId="77777777" w:rsidTr="00920231">
        <w:trPr>
          <w:trHeight w:val="53"/>
        </w:trPr>
        <w:tc>
          <w:tcPr>
            <w:tcW w:w="1443" w:type="pct"/>
            <w:shd w:val="clear" w:color="auto" w:fill="auto"/>
          </w:tcPr>
          <w:p w14:paraId="5A360B64" w14:textId="77777777" w:rsidR="00920231" w:rsidRPr="00A166C1" w:rsidRDefault="00920231" w:rsidP="00920231">
            <w:pPr>
              <w:pStyle w:val="BodyText"/>
              <w:spacing w:before="100" w:after="100"/>
              <w:rPr>
                <w:b/>
                <w:bCs/>
                <w:lang w:eastAsia="en-AU"/>
              </w:rPr>
            </w:pPr>
            <w:r w:rsidRPr="004E1139">
              <w:rPr>
                <w:b/>
                <w:bCs/>
                <w:snapToGrid w:val="0"/>
              </w:rPr>
              <w:t>Optus Travel™ Pack</w:t>
            </w:r>
            <w:r>
              <w:rPr>
                <w:b/>
                <w:bCs/>
                <w:snapToGrid w:val="0"/>
              </w:rPr>
              <w:t xml:space="preserve"> </w:t>
            </w:r>
            <w:r w:rsidRPr="00CF3812">
              <w:rPr>
                <w:b/>
                <w:bCs/>
                <w:snapToGrid w:val="0"/>
              </w:rPr>
              <w:t>(Zone 1 countries)</w:t>
            </w:r>
          </w:p>
        </w:tc>
        <w:tc>
          <w:tcPr>
            <w:tcW w:w="711" w:type="pct"/>
            <w:vAlign w:val="center"/>
          </w:tcPr>
          <w:p w14:paraId="665FF35C" w14:textId="77777777" w:rsidR="00920231" w:rsidRPr="00EB0C07" w:rsidRDefault="00920231" w:rsidP="00920231">
            <w:pPr>
              <w:pStyle w:val="BodyText"/>
              <w:spacing w:before="100" w:after="100"/>
              <w:jc w:val="center"/>
              <w:rPr>
                <w:lang w:val="en-AU"/>
              </w:rPr>
            </w:pPr>
            <w:r w:rsidRPr="00E150C9">
              <w:rPr>
                <w:lang w:val="en-AU"/>
              </w:rPr>
              <w:t>Get $5 Optus Travel™ Pack - normally $10</w:t>
            </w:r>
          </w:p>
        </w:tc>
        <w:tc>
          <w:tcPr>
            <w:tcW w:w="712" w:type="pct"/>
            <w:shd w:val="clear" w:color="auto" w:fill="auto"/>
          </w:tcPr>
          <w:p w14:paraId="0A08102E" w14:textId="77777777" w:rsidR="00920231" w:rsidRPr="00EB0C07" w:rsidRDefault="00920231" w:rsidP="00920231">
            <w:pPr>
              <w:pStyle w:val="BodyText"/>
              <w:spacing w:before="100" w:after="100"/>
              <w:jc w:val="center"/>
              <w:rPr>
                <w:lang w:val="en-AU"/>
              </w:rPr>
            </w:pPr>
            <w:r w:rsidRPr="00E150C9">
              <w:rPr>
                <w:lang w:val="en-AU"/>
              </w:rPr>
              <w:t>Get $5 Optus Travel™ Pack - normally $10</w:t>
            </w:r>
          </w:p>
        </w:tc>
        <w:tc>
          <w:tcPr>
            <w:tcW w:w="712" w:type="pct"/>
            <w:shd w:val="clear" w:color="auto" w:fill="auto"/>
          </w:tcPr>
          <w:p w14:paraId="72615C92" w14:textId="77777777" w:rsidR="00920231" w:rsidRPr="00EB0C07" w:rsidRDefault="00920231" w:rsidP="00920231">
            <w:pPr>
              <w:pStyle w:val="BodyText"/>
              <w:spacing w:before="100" w:after="100"/>
              <w:jc w:val="center"/>
              <w:rPr>
                <w:lang w:val="en-AU"/>
              </w:rPr>
            </w:pPr>
            <w:r w:rsidRPr="00E150C9">
              <w:rPr>
                <w:lang w:val="en-AU"/>
              </w:rPr>
              <w:t>Get $5 Optus Travel™ Pack - normally $10</w:t>
            </w:r>
          </w:p>
        </w:tc>
        <w:tc>
          <w:tcPr>
            <w:tcW w:w="712" w:type="pct"/>
            <w:vAlign w:val="center"/>
          </w:tcPr>
          <w:p w14:paraId="1C293F28" w14:textId="77777777" w:rsidR="00920231" w:rsidRPr="008229AA" w:rsidRDefault="00920231" w:rsidP="00920231">
            <w:pPr>
              <w:pStyle w:val="BodyText"/>
              <w:spacing w:before="100" w:after="100"/>
              <w:jc w:val="center"/>
            </w:pPr>
            <w:r>
              <w:t>Not included</w:t>
            </w:r>
          </w:p>
        </w:tc>
        <w:tc>
          <w:tcPr>
            <w:tcW w:w="710" w:type="pct"/>
            <w:vAlign w:val="center"/>
          </w:tcPr>
          <w:p w14:paraId="7568AD95" w14:textId="77777777" w:rsidR="00920231" w:rsidRPr="00930A65" w:rsidRDefault="00920231" w:rsidP="00920231">
            <w:pPr>
              <w:pStyle w:val="BodyText"/>
              <w:spacing w:before="100" w:after="100"/>
              <w:jc w:val="center"/>
            </w:pPr>
            <w:r>
              <w:t>Not included</w:t>
            </w:r>
          </w:p>
        </w:tc>
      </w:tr>
      <w:tr w:rsidR="00920231" w:rsidRPr="008229AA" w14:paraId="3EB868E2" w14:textId="77777777" w:rsidTr="00920231">
        <w:tc>
          <w:tcPr>
            <w:tcW w:w="1443" w:type="pct"/>
            <w:shd w:val="clear" w:color="auto" w:fill="auto"/>
          </w:tcPr>
          <w:p w14:paraId="3BA9B1BB" w14:textId="77777777" w:rsidR="00920231" w:rsidRPr="00A166C1" w:rsidRDefault="00920231" w:rsidP="00920231">
            <w:pPr>
              <w:pStyle w:val="BodyText"/>
              <w:spacing w:before="100" w:after="100"/>
              <w:rPr>
                <w:b/>
                <w:bCs/>
                <w:lang w:eastAsia="en-AU"/>
              </w:rPr>
            </w:pPr>
            <w:r w:rsidRPr="00A166C1">
              <w:rPr>
                <w:b/>
                <w:bCs/>
                <w:lang w:eastAsia="en-AU"/>
              </w:rPr>
              <w:t>Minimum total cost over 24 months</w:t>
            </w:r>
          </w:p>
        </w:tc>
        <w:tc>
          <w:tcPr>
            <w:tcW w:w="711" w:type="pct"/>
            <w:vAlign w:val="center"/>
          </w:tcPr>
          <w:p w14:paraId="781436E3" w14:textId="77777777" w:rsidR="00920231" w:rsidRPr="00A166C1" w:rsidRDefault="00920231" w:rsidP="00920231">
            <w:pPr>
              <w:pStyle w:val="BodyText"/>
              <w:spacing w:before="100" w:after="100"/>
              <w:jc w:val="center"/>
            </w:pPr>
            <w:r w:rsidRPr="00A166C1">
              <w:t>$</w:t>
            </w:r>
            <w:r>
              <w:t>1080</w:t>
            </w:r>
          </w:p>
        </w:tc>
        <w:tc>
          <w:tcPr>
            <w:tcW w:w="712" w:type="pct"/>
            <w:shd w:val="clear" w:color="auto" w:fill="auto"/>
            <w:vAlign w:val="center"/>
          </w:tcPr>
          <w:p w14:paraId="3A8A8825" w14:textId="77777777" w:rsidR="00920231" w:rsidRPr="00A166C1" w:rsidRDefault="00920231" w:rsidP="00920231">
            <w:pPr>
              <w:pStyle w:val="BodyText"/>
              <w:spacing w:before="100" w:after="100"/>
              <w:jc w:val="center"/>
            </w:pPr>
            <w:r w:rsidRPr="00A166C1">
              <w:t>$</w:t>
            </w:r>
            <w:r>
              <w:t>1680</w:t>
            </w:r>
          </w:p>
        </w:tc>
        <w:tc>
          <w:tcPr>
            <w:tcW w:w="712" w:type="pct"/>
            <w:shd w:val="clear" w:color="auto" w:fill="auto"/>
            <w:vAlign w:val="center"/>
          </w:tcPr>
          <w:p w14:paraId="6F95B9A6" w14:textId="77777777" w:rsidR="00920231" w:rsidRPr="00A166C1" w:rsidRDefault="00920231" w:rsidP="00920231">
            <w:pPr>
              <w:pStyle w:val="BodyText"/>
              <w:spacing w:before="100" w:after="100"/>
              <w:jc w:val="center"/>
            </w:pPr>
            <w:r w:rsidRPr="00A166C1">
              <w:t>$</w:t>
            </w:r>
            <w:r>
              <w:t>2160</w:t>
            </w:r>
          </w:p>
        </w:tc>
        <w:tc>
          <w:tcPr>
            <w:tcW w:w="712" w:type="pct"/>
            <w:vAlign w:val="center"/>
          </w:tcPr>
          <w:p w14:paraId="5DFFF6B6" w14:textId="77777777" w:rsidR="00920231" w:rsidRPr="00A166C1" w:rsidRDefault="00920231" w:rsidP="00920231">
            <w:pPr>
              <w:pStyle w:val="BodyText"/>
              <w:spacing w:before="100" w:after="100"/>
              <w:jc w:val="center"/>
            </w:pPr>
            <w:r w:rsidRPr="008229AA">
              <w:t>$</w:t>
            </w:r>
            <w:r>
              <w:t>2520</w:t>
            </w:r>
          </w:p>
        </w:tc>
        <w:tc>
          <w:tcPr>
            <w:tcW w:w="710" w:type="pct"/>
            <w:vAlign w:val="center"/>
          </w:tcPr>
          <w:p w14:paraId="3FA8830D" w14:textId="77777777" w:rsidR="00920231" w:rsidRPr="008229AA" w:rsidRDefault="00920231" w:rsidP="00920231">
            <w:pPr>
              <w:pStyle w:val="BodyText"/>
              <w:spacing w:before="100" w:after="100"/>
              <w:jc w:val="center"/>
            </w:pPr>
            <w:r>
              <w:t>$3000</w:t>
            </w:r>
          </w:p>
        </w:tc>
      </w:tr>
    </w:tbl>
    <w:p w14:paraId="439C73CD" w14:textId="77777777" w:rsidR="00920231" w:rsidRDefault="00920231" w:rsidP="00920231">
      <w:pPr>
        <w:pStyle w:val="BodyText"/>
      </w:pPr>
    </w:p>
    <w:p w14:paraId="6413672C" w14:textId="77777777" w:rsidR="00920231" w:rsidRPr="00EB0C07" w:rsidRDefault="00920231" w:rsidP="00920231">
      <w:pPr>
        <w:pStyle w:val="BodyText"/>
        <w:ind w:left="720"/>
        <w:rPr>
          <w:b/>
        </w:rPr>
      </w:pPr>
      <w:r w:rsidRPr="00EB0C07">
        <w:rPr>
          <w:b/>
        </w:rPr>
        <w:t>Table 2 – Other usage types and charges</w:t>
      </w:r>
    </w:p>
    <w:tbl>
      <w:tblPr>
        <w:tblW w:w="91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0"/>
        <w:gridCol w:w="4590"/>
      </w:tblGrid>
      <w:tr w:rsidR="00920231" w:rsidRPr="00EB0C07" w14:paraId="276A6FAD" w14:textId="77777777" w:rsidTr="00920231">
        <w:trPr>
          <w:tblHeader/>
        </w:trPr>
        <w:tc>
          <w:tcPr>
            <w:tcW w:w="4590" w:type="dxa"/>
            <w:shd w:val="clear" w:color="auto" w:fill="auto"/>
          </w:tcPr>
          <w:p w14:paraId="5769EBCF" w14:textId="77777777" w:rsidR="00920231" w:rsidRPr="00EC63A9" w:rsidRDefault="00920231" w:rsidP="00920231">
            <w:pPr>
              <w:pStyle w:val="BodyText"/>
              <w:spacing w:before="100" w:after="100"/>
              <w:jc w:val="center"/>
              <w:rPr>
                <w:b/>
              </w:rPr>
            </w:pPr>
            <w:r w:rsidRPr="00EC63A9">
              <w:rPr>
                <w:b/>
              </w:rPr>
              <w:t>Usage type</w:t>
            </w:r>
          </w:p>
        </w:tc>
        <w:tc>
          <w:tcPr>
            <w:tcW w:w="4590" w:type="dxa"/>
            <w:shd w:val="clear" w:color="auto" w:fill="auto"/>
            <w:vAlign w:val="center"/>
          </w:tcPr>
          <w:p w14:paraId="15884276" w14:textId="77777777" w:rsidR="00920231" w:rsidRPr="00EC63A9" w:rsidRDefault="00920231" w:rsidP="00920231">
            <w:pPr>
              <w:pStyle w:val="BodyText"/>
              <w:spacing w:before="100" w:after="100"/>
              <w:jc w:val="center"/>
              <w:rPr>
                <w:b/>
              </w:rPr>
            </w:pPr>
            <w:r w:rsidRPr="00EC63A9">
              <w:rPr>
                <w:b/>
              </w:rPr>
              <w:t>Charge</w:t>
            </w:r>
          </w:p>
        </w:tc>
      </w:tr>
      <w:tr w:rsidR="00920231" w:rsidRPr="00EB0C07" w14:paraId="42D69DA2" w14:textId="77777777" w:rsidTr="00920231">
        <w:tc>
          <w:tcPr>
            <w:tcW w:w="4590" w:type="dxa"/>
            <w:shd w:val="clear" w:color="auto" w:fill="auto"/>
          </w:tcPr>
          <w:p w14:paraId="394B0C46" w14:textId="77777777" w:rsidR="00920231" w:rsidRPr="00EC63A9" w:rsidRDefault="00920231" w:rsidP="00920231">
            <w:pPr>
              <w:pStyle w:val="BodyText"/>
              <w:spacing w:before="100" w:after="100"/>
              <w:rPr>
                <w:b/>
              </w:rPr>
            </w:pPr>
            <w:r w:rsidRPr="00EC63A9">
              <w:rPr>
                <w:b/>
              </w:rPr>
              <w:t>National video calls (per minute)</w:t>
            </w:r>
          </w:p>
        </w:tc>
        <w:tc>
          <w:tcPr>
            <w:tcW w:w="4590" w:type="dxa"/>
            <w:shd w:val="clear" w:color="auto" w:fill="auto"/>
            <w:vAlign w:val="center"/>
          </w:tcPr>
          <w:p w14:paraId="0F22BDC3" w14:textId="77777777" w:rsidR="00920231" w:rsidRPr="00EB0C07" w:rsidRDefault="00920231" w:rsidP="00920231">
            <w:pPr>
              <w:pStyle w:val="BodyText"/>
              <w:spacing w:before="100" w:after="100"/>
              <w:jc w:val="center"/>
            </w:pPr>
            <w:r w:rsidRPr="00EB0C07">
              <w:t>$1.00 per min + 40c flagfall</w:t>
            </w:r>
          </w:p>
        </w:tc>
      </w:tr>
      <w:tr w:rsidR="00920231" w:rsidRPr="00EB0C07" w14:paraId="14DF34B1" w14:textId="77777777" w:rsidTr="00920231">
        <w:tc>
          <w:tcPr>
            <w:tcW w:w="4590" w:type="dxa"/>
            <w:shd w:val="clear" w:color="auto" w:fill="auto"/>
          </w:tcPr>
          <w:p w14:paraId="3E6A27BE" w14:textId="77777777" w:rsidR="00920231" w:rsidRPr="00EC63A9" w:rsidRDefault="00920231" w:rsidP="00920231">
            <w:pPr>
              <w:pStyle w:val="BodyText"/>
              <w:spacing w:before="100" w:after="100"/>
              <w:rPr>
                <w:b/>
              </w:rPr>
            </w:pPr>
            <w:r w:rsidRPr="00EC63A9">
              <w:rPr>
                <w:b/>
              </w:rPr>
              <w:t>National Diversions</w:t>
            </w:r>
          </w:p>
        </w:tc>
        <w:tc>
          <w:tcPr>
            <w:tcW w:w="4590" w:type="dxa"/>
            <w:shd w:val="clear" w:color="auto" w:fill="auto"/>
          </w:tcPr>
          <w:p w14:paraId="09838057" w14:textId="77777777" w:rsidR="00920231" w:rsidRPr="00EB0C07" w:rsidRDefault="00920231" w:rsidP="00920231">
            <w:pPr>
              <w:pStyle w:val="BodyText"/>
              <w:spacing w:before="100" w:after="100"/>
              <w:jc w:val="center"/>
            </w:pPr>
            <w:r w:rsidRPr="00EB0C07">
              <w:t>$0 per minute</w:t>
            </w:r>
          </w:p>
        </w:tc>
      </w:tr>
      <w:tr w:rsidR="00920231" w:rsidRPr="00EB0C07" w14:paraId="092DBE4E" w14:textId="77777777" w:rsidTr="00920231">
        <w:trPr>
          <w:trHeight w:val="53"/>
        </w:trPr>
        <w:tc>
          <w:tcPr>
            <w:tcW w:w="4590" w:type="dxa"/>
            <w:shd w:val="clear" w:color="auto" w:fill="auto"/>
          </w:tcPr>
          <w:p w14:paraId="51F52EC9" w14:textId="77777777" w:rsidR="00920231" w:rsidRPr="00EC63A9" w:rsidRDefault="00920231" w:rsidP="00920231">
            <w:pPr>
              <w:pStyle w:val="BodyText"/>
              <w:spacing w:before="100" w:after="100"/>
              <w:rPr>
                <w:b/>
              </w:rPr>
            </w:pPr>
            <w:r w:rsidRPr="00EC63A9">
              <w:rPr>
                <w:b/>
              </w:rPr>
              <w:t xml:space="preserve">International Diversions </w:t>
            </w:r>
          </w:p>
        </w:tc>
        <w:tc>
          <w:tcPr>
            <w:tcW w:w="4590" w:type="dxa"/>
            <w:shd w:val="clear" w:color="auto" w:fill="auto"/>
          </w:tcPr>
          <w:p w14:paraId="4610AF9C" w14:textId="77777777" w:rsidR="00920231" w:rsidRPr="00EB0C07" w:rsidRDefault="00920231" w:rsidP="00920231">
            <w:pPr>
              <w:pStyle w:val="BodyText"/>
              <w:spacing w:before="100" w:after="100"/>
              <w:jc w:val="center"/>
            </w:pPr>
            <w:r>
              <w:t>'</w:t>
            </w:r>
            <w:r w:rsidRPr="00EB0C07">
              <w:t>yes</w:t>
            </w:r>
            <w:r>
              <w:t>'</w:t>
            </w:r>
            <w:r w:rsidRPr="00EB0C07">
              <w:t xml:space="preserve"> international rates</w:t>
            </w:r>
            <w:r w:rsidRPr="00EB0C07">
              <w:br/>
              <w:t>See optus.com.au/international</w:t>
            </w:r>
          </w:p>
        </w:tc>
      </w:tr>
      <w:tr w:rsidR="00920231" w:rsidRPr="00EB0C07" w14:paraId="3615FE00" w14:textId="77777777" w:rsidTr="00920231">
        <w:tc>
          <w:tcPr>
            <w:tcW w:w="4590" w:type="dxa"/>
            <w:shd w:val="clear" w:color="auto" w:fill="auto"/>
          </w:tcPr>
          <w:p w14:paraId="3AEA6684" w14:textId="77777777" w:rsidR="00920231" w:rsidRPr="00EC63A9" w:rsidRDefault="00920231" w:rsidP="00920231">
            <w:pPr>
              <w:pStyle w:val="BodyText"/>
              <w:spacing w:before="100" w:after="100"/>
              <w:rPr>
                <w:b/>
              </w:rPr>
            </w:pPr>
            <w:r w:rsidRPr="00EC63A9">
              <w:rPr>
                <w:b/>
              </w:rPr>
              <w:t xml:space="preserve">1800 numbers </w:t>
            </w:r>
          </w:p>
        </w:tc>
        <w:tc>
          <w:tcPr>
            <w:tcW w:w="4590" w:type="dxa"/>
            <w:shd w:val="clear" w:color="auto" w:fill="auto"/>
            <w:vAlign w:val="center"/>
          </w:tcPr>
          <w:p w14:paraId="4D6BA7ED" w14:textId="77777777" w:rsidR="00920231" w:rsidRPr="00EB0C07" w:rsidRDefault="00920231" w:rsidP="00920231">
            <w:pPr>
              <w:pStyle w:val="BodyText"/>
              <w:spacing w:before="100" w:after="100"/>
              <w:jc w:val="center"/>
            </w:pPr>
            <w:r w:rsidRPr="00EB0C07">
              <w:t>$0 per minute</w:t>
            </w:r>
          </w:p>
        </w:tc>
      </w:tr>
      <w:tr w:rsidR="00920231" w:rsidRPr="00EB0C07" w14:paraId="57E12AAF" w14:textId="77777777" w:rsidTr="00920231">
        <w:tc>
          <w:tcPr>
            <w:tcW w:w="4590" w:type="dxa"/>
            <w:shd w:val="clear" w:color="auto" w:fill="auto"/>
          </w:tcPr>
          <w:p w14:paraId="04BE03BF" w14:textId="77777777" w:rsidR="00920231" w:rsidRPr="00EC63A9" w:rsidRDefault="00920231" w:rsidP="00920231">
            <w:pPr>
              <w:pStyle w:val="BodyText"/>
              <w:spacing w:before="100" w:after="100"/>
              <w:rPr>
                <w:b/>
              </w:rPr>
            </w:pPr>
            <w:r w:rsidRPr="00EC63A9">
              <w:rPr>
                <w:b/>
              </w:rPr>
              <w:t xml:space="preserve">Directory Assistance 1223 </w:t>
            </w:r>
          </w:p>
        </w:tc>
        <w:tc>
          <w:tcPr>
            <w:tcW w:w="4590" w:type="dxa"/>
            <w:shd w:val="clear" w:color="auto" w:fill="auto"/>
            <w:vAlign w:val="center"/>
          </w:tcPr>
          <w:p w14:paraId="08A25D47" w14:textId="77777777" w:rsidR="00920231" w:rsidRPr="00EB0C07" w:rsidRDefault="00920231" w:rsidP="00920231">
            <w:pPr>
              <w:pStyle w:val="BodyText"/>
              <w:spacing w:before="100" w:after="100"/>
              <w:jc w:val="center"/>
            </w:pPr>
            <w:r w:rsidRPr="00EB0C07">
              <w:t>50c per call</w:t>
            </w:r>
          </w:p>
        </w:tc>
      </w:tr>
      <w:tr w:rsidR="00920231" w:rsidRPr="00EB0C07" w14:paraId="0E175123" w14:textId="77777777" w:rsidTr="00920231">
        <w:trPr>
          <w:trHeight w:val="53"/>
        </w:trPr>
        <w:tc>
          <w:tcPr>
            <w:tcW w:w="4590" w:type="dxa"/>
            <w:shd w:val="clear" w:color="auto" w:fill="auto"/>
          </w:tcPr>
          <w:p w14:paraId="742F56C2" w14:textId="77777777" w:rsidR="00920231" w:rsidRPr="00EC63A9" w:rsidRDefault="00920231" w:rsidP="00920231">
            <w:pPr>
              <w:pStyle w:val="BodyText"/>
              <w:spacing w:before="100" w:after="100"/>
              <w:rPr>
                <w:b/>
              </w:rPr>
            </w:pPr>
            <w:r w:rsidRPr="00EC63A9">
              <w:rPr>
                <w:b/>
              </w:rPr>
              <w:t>124 Yes</w:t>
            </w:r>
          </w:p>
        </w:tc>
        <w:tc>
          <w:tcPr>
            <w:tcW w:w="4590" w:type="dxa"/>
            <w:shd w:val="clear" w:color="auto" w:fill="auto"/>
            <w:vAlign w:val="center"/>
          </w:tcPr>
          <w:p w14:paraId="572052DA" w14:textId="77777777" w:rsidR="00920231" w:rsidRPr="00EB0C07" w:rsidRDefault="00920231" w:rsidP="00920231">
            <w:pPr>
              <w:pStyle w:val="BodyText"/>
              <w:spacing w:before="100" w:after="100"/>
              <w:jc w:val="center"/>
            </w:pPr>
            <w:r w:rsidRPr="00EB0C07">
              <w:t>90c per minute +$1.75c flagfall</w:t>
            </w:r>
          </w:p>
        </w:tc>
      </w:tr>
      <w:tr w:rsidR="00920231" w:rsidRPr="00EB0C07" w14:paraId="3F249474" w14:textId="77777777" w:rsidTr="00920231">
        <w:tc>
          <w:tcPr>
            <w:tcW w:w="4590" w:type="dxa"/>
            <w:shd w:val="clear" w:color="auto" w:fill="auto"/>
          </w:tcPr>
          <w:p w14:paraId="2F905A52" w14:textId="77777777" w:rsidR="00920231" w:rsidRPr="00EC63A9" w:rsidRDefault="00920231" w:rsidP="00920231">
            <w:pPr>
              <w:pStyle w:val="BodyText"/>
              <w:spacing w:before="100" w:after="100"/>
              <w:rPr>
                <w:b/>
              </w:rPr>
            </w:pPr>
            <w:r w:rsidRPr="00EC63A9">
              <w:rPr>
                <w:b/>
              </w:rPr>
              <w:t>International voice calls (outside the plan</w:t>
            </w:r>
            <w:r>
              <w:rPr>
                <w:b/>
              </w:rPr>
              <w:t>'</w:t>
            </w:r>
            <w:r w:rsidRPr="00EC63A9">
              <w:rPr>
                <w:b/>
              </w:rPr>
              <w:t xml:space="preserve">s included international minutes and to excluded countries) </w:t>
            </w:r>
          </w:p>
        </w:tc>
        <w:tc>
          <w:tcPr>
            <w:tcW w:w="4590" w:type="dxa"/>
            <w:shd w:val="clear" w:color="auto" w:fill="auto"/>
            <w:vAlign w:val="center"/>
          </w:tcPr>
          <w:p w14:paraId="4FE5D4E1" w14:textId="77777777" w:rsidR="00920231" w:rsidRPr="00EB0C07" w:rsidRDefault="00920231" w:rsidP="00920231">
            <w:pPr>
              <w:pStyle w:val="BodyText"/>
              <w:spacing w:before="100" w:after="100"/>
              <w:jc w:val="center"/>
            </w:pPr>
            <w:r>
              <w:t>'</w:t>
            </w:r>
            <w:r w:rsidRPr="00EB0C07">
              <w:t>yes</w:t>
            </w:r>
            <w:r>
              <w:t>'</w:t>
            </w:r>
            <w:r w:rsidRPr="00EB0C07">
              <w:t xml:space="preserve"> international rates</w:t>
            </w:r>
            <w:r w:rsidRPr="00EB0C07">
              <w:br/>
              <w:t>See optus.com.au/international</w:t>
            </w:r>
          </w:p>
        </w:tc>
      </w:tr>
      <w:tr w:rsidR="00920231" w:rsidRPr="00EB0C07" w14:paraId="2E43149A" w14:textId="77777777" w:rsidTr="00920231">
        <w:tc>
          <w:tcPr>
            <w:tcW w:w="4590" w:type="dxa"/>
            <w:shd w:val="clear" w:color="auto" w:fill="auto"/>
          </w:tcPr>
          <w:p w14:paraId="79600260" w14:textId="77777777" w:rsidR="00920231" w:rsidRPr="00EC63A9" w:rsidRDefault="00920231" w:rsidP="00920231">
            <w:pPr>
              <w:pStyle w:val="BodyText"/>
              <w:spacing w:before="100" w:after="100"/>
              <w:rPr>
                <w:b/>
              </w:rPr>
            </w:pPr>
            <w:r w:rsidRPr="00EC63A9">
              <w:rPr>
                <w:b/>
              </w:rPr>
              <w:t xml:space="preserve">International SMS (to excluded countries) </w:t>
            </w:r>
          </w:p>
        </w:tc>
        <w:tc>
          <w:tcPr>
            <w:tcW w:w="4590" w:type="dxa"/>
            <w:shd w:val="clear" w:color="auto" w:fill="auto"/>
            <w:vAlign w:val="center"/>
          </w:tcPr>
          <w:p w14:paraId="73480DB7" w14:textId="77777777" w:rsidR="00920231" w:rsidRPr="00EB0C07" w:rsidRDefault="00920231" w:rsidP="00920231">
            <w:pPr>
              <w:pStyle w:val="BodyText"/>
              <w:spacing w:before="100" w:after="100"/>
              <w:jc w:val="center"/>
            </w:pPr>
            <w:r w:rsidRPr="00EB0C07">
              <w:t>50c per SMS up to 160 standard characters</w:t>
            </w:r>
          </w:p>
        </w:tc>
      </w:tr>
      <w:tr w:rsidR="00920231" w:rsidRPr="00EB0C07" w14:paraId="7479ABAD" w14:textId="77777777" w:rsidTr="00920231">
        <w:tc>
          <w:tcPr>
            <w:tcW w:w="4590" w:type="dxa"/>
            <w:shd w:val="clear" w:color="auto" w:fill="auto"/>
          </w:tcPr>
          <w:p w14:paraId="5E7A19CE" w14:textId="77777777" w:rsidR="00920231" w:rsidRPr="00EC63A9" w:rsidRDefault="00920231" w:rsidP="00920231">
            <w:pPr>
              <w:pStyle w:val="BodyText"/>
              <w:spacing w:before="100" w:after="100"/>
              <w:rPr>
                <w:b/>
              </w:rPr>
            </w:pPr>
            <w:r w:rsidRPr="00EC63A9">
              <w:rPr>
                <w:b/>
              </w:rPr>
              <w:t>International MMS (to excluded countries)</w:t>
            </w:r>
          </w:p>
        </w:tc>
        <w:tc>
          <w:tcPr>
            <w:tcW w:w="4590" w:type="dxa"/>
            <w:shd w:val="clear" w:color="auto" w:fill="auto"/>
            <w:vAlign w:val="center"/>
          </w:tcPr>
          <w:p w14:paraId="0D3CE714" w14:textId="77777777" w:rsidR="00920231" w:rsidRPr="00EB0C07" w:rsidRDefault="00920231" w:rsidP="00920231">
            <w:pPr>
              <w:pStyle w:val="BodyText"/>
              <w:spacing w:before="100" w:after="100"/>
              <w:jc w:val="center"/>
            </w:pPr>
            <w:r w:rsidRPr="00EB0C07">
              <w:t xml:space="preserve">75c per MMS </w:t>
            </w:r>
          </w:p>
        </w:tc>
      </w:tr>
      <w:tr w:rsidR="00920231" w:rsidRPr="00EB0C07" w14:paraId="70D60619" w14:textId="77777777" w:rsidTr="00920231">
        <w:tc>
          <w:tcPr>
            <w:tcW w:w="4590" w:type="dxa"/>
            <w:shd w:val="clear" w:color="auto" w:fill="auto"/>
          </w:tcPr>
          <w:p w14:paraId="7ABBFBA3" w14:textId="77777777" w:rsidR="00920231" w:rsidRPr="00EC63A9" w:rsidRDefault="00920231" w:rsidP="00920231">
            <w:pPr>
              <w:pStyle w:val="BodyText"/>
              <w:spacing w:before="100" w:after="100"/>
              <w:rPr>
                <w:b/>
              </w:rPr>
            </w:pPr>
            <w:r w:rsidRPr="00EC63A9">
              <w:rPr>
                <w:b/>
              </w:rPr>
              <w:t xml:space="preserve">International video calling </w:t>
            </w:r>
          </w:p>
        </w:tc>
        <w:tc>
          <w:tcPr>
            <w:tcW w:w="4590" w:type="dxa"/>
            <w:shd w:val="clear" w:color="auto" w:fill="auto"/>
            <w:vAlign w:val="center"/>
          </w:tcPr>
          <w:p w14:paraId="18B19CB8" w14:textId="77777777" w:rsidR="00920231" w:rsidRPr="00EB0C07" w:rsidRDefault="00920231" w:rsidP="00920231">
            <w:pPr>
              <w:pStyle w:val="BodyText"/>
              <w:spacing w:before="100" w:after="100"/>
              <w:jc w:val="center"/>
            </w:pPr>
            <w:r w:rsidRPr="00EB0C07">
              <w:t>$1.50 per minute +35c flagfall</w:t>
            </w:r>
          </w:p>
        </w:tc>
      </w:tr>
      <w:tr w:rsidR="00920231" w:rsidRPr="00EB0C07" w14:paraId="27F97C7A" w14:textId="77777777" w:rsidTr="00920231">
        <w:tc>
          <w:tcPr>
            <w:tcW w:w="4590" w:type="dxa"/>
            <w:shd w:val="clear" w:color="auto" w:fill="auto"/>
          </w:tcPr>
          <w:p w14:paraId="5DB4E351" w14:textId="77777777" w:rsidR="00920231" w:rsidRPr="00EC63A9" w:rsidRDefault="00920231" w:rsidP="00920231">
            <w:pPr>
              <w:pStyle w:val="BodyText"/>
              <w:spacing w:before="100" w:after="100"/>
              <w:rPr>
                <w:b/>
              </w:rPr>
            </w:pPr>
            <w:r w:rsidRPr="00EC63A9">
              <w:rPr>
                <w:b/>
              </w:rPr>
              <w:t xml:space="preserve">International roaming </w:t>
            </w:r>
          </w:p>
        </w:tc>
        <w:tc>
          <w:tcPr>
            <w:tcW w:w="4590" w:type="dxa"/>
            <w:shd w:val="clear" w:color="auto" w:fill="auto"/>
            <w:vAlign w:val="center"/>
          </w:tcPr>
          <w:p w14:paraId="7F818C8A" w14:textId="77777777" w:rsidR="00920231" w:rsidRPr="00EB0C07" w:rsidRDefault="00920231" w:rsidP="00920231">
            <w:pPr>
              <w:pStyle w:val="BodyText"/>
              <w:spacing w:before="100" w:after="100"/>
              <w:jc w:val="center"/>
            </w:pPr>
            <w:r w:rsidRPr="00EB0C07">
              <w:t>See optus.com.au/roaming</w:t>
            </w:r>
          </w:p>
        </w:tc>
      </w:tr>
    </w:tbl>
    <w:p w14:paraId="29290EFE" w14:textId="77777777" w:rsidR="00920231" w:rsidRDefault="00920231" w:rsidP="00920231">
      <w:pPr>
        <w:pStyle w:val="BodyText"/>
      </w:pPr>
    </w:p>
    <w:p w14:paraId="2730E25E" w14:textId="77777777" w:rsidR="00920231" w:rsidRDefault="00920231" w:rsidP="00920231">
      <w:pPr>
        <w:pStyle w:val="BodyText"/>
        <w:keepNext/>
        <w:ind w:left="720"/>
        <w:rPr>
          <w:b/>
        </w:rPr>
      </w:pPr>
      <w:r w:rsidRPr="00EC63A9">
        <w:rPr>
          <w:b/>
        </w:rPr>
        <w:t>Table 3 – International Countries</w:t>
      </w:r>
    </w:p>
    <w:tbl>
      <w:tblPr>
        <w:tblW w:w="91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5"/>
        <w:gridCol w:w="2295"/>
        <w:gridCol w:w="2295"/>
        <w:gridCol w:w="2295"/>
      </w:tblGrid>
      <w:tr w:rsidR="00920231" w:rsidRPr="00A166C1" w14:paraId="4BF179DE" w14:textId="77777777" w:rsidTr="00920231">
        <w:tc>
          <w:tcPr>
            <w:tcW w:w="2295" w:type="dxa"/>
            <w:shd w:val="clear" w:color="auto" w:fill="auto"/>
          </w:tcPr>
          <w:p w14:paraId="1968FD8D" w14:textId="77777777" w:rsidR="00920231" w:rsidRPr="00A166C1" w:rsidRDefault="00920231" w:rsidP="00920231">
            <w:pPr>
              <w:pStyle w:val="BodyText"/>
              <w:keepNext/>
              <w:spacing w:before="100" w:after="100"/>
              <w:rPr>
                <w:b/>
              </w:rPr>
            </w:pPr>
            <w:r w:rsidRPr="00A166C1">
              <w:rPr>
                <w:rFonts w:eastAsia="Calibri"/>
              </w:rPr>
              <w:t>China</w:t>
            </w:r>
          </w:p>
        </w:tc>
        <w:tc>
          <w:tcPr>
            <w:tcW w:w="2295" w:type="dxa"/>
            <w:shd w:val="clear" w:color="auto" w:fill="auto"/>
          </w:tcPr>
          <w:p w14:paraId="6BD3D60C" w14:textId="77777777" w:rsidR="00920231" w:rsidRPr="00A166C1" w:rsidRDefault="00920231" w:rsidP="00920231">
            <w:pPr>
              <w:pStyle w:val="BodyText"/>
              <w:keepNext/>
              <w:spacing w:before="100" w:after="100"/>
              <w:rPr>
                <w:b/>
              </w:rPr>
            </w:pPr>
            <w:r w:rsidRPr="00A166C1">
              <w:rPr>
                <w:rFonts w:eastAsia="Calibri"/>
              </w:rPr>
              <w:t>Indonesia</w:t>
            </w:r>
          </w:p>
        </w:tc>
        <w:tc>
          <w:tcPr>
            <w:tcW w:w="2295" w:type="dxa"/>
            <w:shd w:val="clear" w:color="auto" w:fill="auto"/>
          </w:tcPr>
          <w:p w14:paraId="38C783AB" w14:textId="77777777" w:rsidR="00920231" w:rsidRPr="00A166C1" w:rsidRDefault="00920231" w:rsidP="00920231">
            <w:pPr>
              <w:pStyle w:val="BodyText"/>
              <w:keepNext/>
              <w:spacing w:before="100" w:after="100"/>
              <w:rPr>
                <w:b/>
              </w:rPr>
            </w:pPr>
            <w:r>
              <w:rPr>
                <w:rFonts w:eastAsia="Calibri"/>
              </w:rPr>
              <w:t>India</w:t>
            </w:r>
          </w:p>
        </w:tc>
        <w:tc>
          <w:tcPr>
            <w:tcW w:w="2295" w:type="dxa"/>
            <w:shd w:val="clear" w:color="auto" w:fill="auto"/>
          </w:tcPr>
          <w:p w14:paraId="591313F5" w14:textId="77777777" w:rsidR="00920231" w:rsidRPr="00A166C1" w:rsidRDefault="00920231" w:rsidP="00920231">
            <w:pPr>
              <w:pStyle w:val="BodyText"/>
              <w:keepNext/>
              <w:spacing w:before="100" w:after="100"/>
              <w:rPr>
                <w:b/>
              </w:rPr>
            </w:pPr>
            <w:r>
              <w:rPr>
                <w:rFonts w:eastAsia="Calibri"/>
              </w:rPr>
              <w:t>Malaysia</w:t>
            </w:r>
          </w:p>
        </w:tc>
      </w:tr>
      <w:tr w:rsidR="00920231" w:rsidRPr="00A166C1" w14:paraId="6F867651" w14:textId="77777777" w:rsidTr="00920231">
        <w:tc>
          <w:tcPr>
            <w:tcW w:w="2295" w:type="dxa"/>
            <w:shd w:val="clear" w:color="auto" w:fill="auto"/>
          </w:tcPr>
          <w:p w14:paraId="09DD07A7" w14:textId="77777777" w:rsidR="00920231" w:rsidRPr="00A166C1" w:rsidRDefault="00920231" w:rsidP="00920231">
            <w:pPr>
              <w:pStyle w:val="BodyText"/>
              <w:keepNext/>
              <w:spacing w:before="100" w:after="100"/>
              <w:rPr>
                <w:rFonts w:eastAsia="Calibri"/>
              </w:rPr>
            </w:pPr>
            <w:r>
              <w:rPr>
                <w:rFonts w:eastAsia="Calibri"/>
              </w:rPr>
              <w:t xml:space="preserve">New Zealand </w:t>
            </w:r>
          </w:p>
        </w:tc>
        <w:tc>
          <w:tcPr>
            <w:tcW w:w="2295" w:type="dxa"/>
            <w:shd w:val="clear" w:color="auto" w:fill="auto"/>
          </w:tcPr>
          <w:p w14:paraId="7F7B4883" w14:textId="77777777" w:rsidR="00920231" w:rsidRPr="00A166C1" w:rsidRDefault="00920231" w:rsidP="00920231">
            <w:pPr>
              <w:pStyle w:val="BodyText"/>
              <w:keepNext/>
              <w:spacing w:before="100" w:after="100"/>
              <w:rPr>
                <w:rFonts w:eastAsia="Calibri"/>
              </w:rPr>
            </w:pPr>
            <w:r>
              <w:rPr>
                <w:rFonts w:eastAsia="Calibri"/>
              </w:rPr>
              <w:t>Singapore</w:t>
            </w:r>
          </w:p>
        </w:tc>
        <w:tc>
          <w:tcPr>
            <w:tcW w:w="2295" w:type="dxa"/>
            <w:shd w:val="clear" w:color="auto" w:fill="auto"/>
          </w:tcPr>
          <w:p w14:paraId="3799C84B" w14:textId="77777777" w:rsidR="00920231" w:rsidRDefault="00920231" w:rsidP="00920231">
            <w:pPr>
              <w:pStyle w:val="BodyText"/>
              <w:keepNext/>
              <w:spacing w:before="100" w:after="100"/>
              <w:rPr>
                <w:rFonts w:eastAsia="Calibri"/>
              </w:rPr>
            </w:pPr>
            <w:r>
              <w:rPr>
                <w:rFonts w:eastAsia="Calibri"/>
              </w:rPr>
              <w:t>South Africa</w:t>
            </w:r>
          </w:p>
        </w:tc>
        <w:tc>
          <w:tcPr>
            <w:tcW w:w="2295" w:type="dxa"/>
            <w:shd w:val="clear" w:color="auto" w:fill="auto"/>
          </w:tcPr>
          <w:p w14:paraId="21A5C515" w14:textId="77777777" w:rsidR="00920231" w:rsidRDefault="00920231" w:rsidP="00920231">
            <w:pPr>
              <w:pStyle w:val="BodyText"/>
              <w:keepNext/>
              <w:spacing w:before="100" w:after="100"/>
              <w:rPr>
                <w:rFonts w:eastAsia="Calibri"/>
              </w:rPr>
            </w:pPr>
            <w:r>
              <w:rPr>
                <w:rFonts w:eastAsia="Calibri"/>
              </w:rPr>
              <w:t>UK</w:t>
            </w:r>
          </w:p>
        </w:tc>
      </w:tr>
      <w:tr w:rsidR="00920231" w:rsidRPr="00A166C1" w14:paraId="687AEDF4" w14:textId="77777777" w:rsidTr="00920231">
        <w:tc>
          <w:tcPr>
            <w:tcW w:w="2295" w:type="dxa"/>
            <w:shd w:val="clear" w:color="auto" w:fill="auto"/>
          </w:tcPr>
          <w:p w14:paraId="1475EA67" w14:textId="77777777" w:rsidR="00920231" w:rsidRPr="00A166C1" w:rsidRDefault="00920231" w:rsidP="00920231">
            <w:pPr>
              <w:pStyle w:val="BodyText"/>
              <w:spacing w:before="100" w:after="100"/>
              <w:rPr>
                <w:b/>
              </w:rPr>
            </w:pPr>
            <w:r w:rsidRPr="00A166C1">
              <w:rPr>
                <w:rFonts w:eastAsia="Calibri"/>
              </w:rPr>
              <w:t xml:space="preserve">USA </w:t>
            </w:r>
          </w:p>
        </w:tc>
        <w:tc>
          <w:tcPr>
            <w:tcW w:w="2295" w:type="dxa"/>
            <w:shd w:val="clear" w:color="auto" w:fill="auto"/>
          </w:tcPr>
          <w:p w14:paraId="0AAE3754" w14:textId="77777777" w:rsidR="00920231" w:rsidRPr="00A166C1" w:rsidRDefault="00920231" w:rsidP="00920231">
            <w:pPr>
              <w:pStyle w:val="BodyText"/>
              <w:spacing w:before="100" w:after="100"/>
              <w:rPr>
                <w:b/>
              </w:rPr>
            </w:pPr>
            <w:r w:rsidRPr="00A166C1">
              <w:rPr>
                <w:rFonts w:eastAsia="Calibri"/>
              </w:rPr>
              <w:t>Vietnam</w:t>
            </w:r>
          </w:p>
        </w:tc>
        <w:tc>
          <w:tcPr>
            <w:tcW w:w="2295" w:type="dxa"/>
            <w:shd w:val="clear" w:color="auto" w:fill="auto"/>
          </w:tcPr>
          <w:p w14:paraId="588D570C" w14:textId="77777777" w:rsidR="00920231" w:rsidRPr="00B753E8" w:rsidRDefault="00920231" w:rsidP="00920231">
            <w:pPr>
              <w:pStyle w:val="BodyText"/>
              <w:spacing w:before="100" w:after="100"/>
            </w:pPr>
            <w:r w:rsidRPr="00B753E8">
              <w:t>Canada</w:t>
            </w:r>
          </w:p>
        </w:tc>
        <w:tc>
          <w:tcPr>
            <w:tcW w:w="2295" w:type="dxa"/>
            <w:shd w:val="clear" w:color="auto" w:fill="auto"/>
          </w:tcPr>
          <w:p w14:paraId="415156C7" w14:textId="77777777" w:rsidR="00920231" w:rsidRPr="00B753E8" w:rsidRDefault="00920231" w:rsidP="00920231">
            <w:pPr>
              <w:pStyle w:val="BodyText"/>
              <w:spacing w:before="100" w:after="100"/>
            </w:pPr>
            <w:r w:rsidRPr="00B753E8">
              <w:t>Hong Kong</w:t>
            </w:r>
          </w:p>
        </w:tc>
      </w:tr>
      <w:tr w:rsidR="00920231" w:rsidRPr="00A166C1" w14:paraId="0C95E295" w14:textId="77777777" w:rsidTr="00920231">
        <w:tc>
          <w:tcPr>
            <w:tcW w:w="2295" w:type="dxa"/>
            <w:shd w:val="clear" w:color="auto" w:fill="auto"/>
          </w:tcPr>
          <w:p w14:paraId="4F07856D" w14:textId="77777777" w:rsidR="00920231" w:rsidRPr="00A166C1" w:rsidRDefault="00920231" w:rsidP="00920231">
            <w:pPr>
              <w:pStyle w:val="BodyText"/>
              <w:spacing w:before="100" w:after="100"/>
              <w:rPr>
                <w:rFonts w:eastAsia="Calibri"/>
              </w:rPr>
            </w:pPr>
            <w:r>
              <w:rPr>
                <w:rFonts w:eastAsia="Calibri"/>
              </w:rPr>
              <w:t>South Korea</w:t>
            </w:r>
          </w:p>
        </w:tc>
        <w:tc>
          <w:tcPr>
            <w:tcW w:w="2295" w:type="dxa"/>
            <w:shd w:val="clear" w:color="auto" w:fill="auto"/>
          </w:tcPr>
          <w:p w14:paraId="6E9693FE" w14:textId="77777777" w:rsidR="00920231" w:rsidRPr="00A166C1" w:rsidRDefault="00920231" w:rsidP="00920231">
            <w:pPr>
              <w:pStyle w:val="BodyText"/>
              <w:spacing w:before="100" w:after="100"/>
              <w:rPr>
                <w:rFonts w:eastAsia="Calibri"/>
              </w:rPr>
            </w:pPr>
            <w:r>
              <w:rPr>
                <w:rFonts w:eastAsia="Calibri"/>
              </w:rPr>
              <w:t>Thailand</w:t>
            </w:r>
          </w:p>
        </w:tc>
        <w:tc>
          <w:tcPr>
            <w:tcW w:w="2295" w:type="dxa"/>
            <w:shd w:val="clear" w:color="auto" w:fill="auto"/>
          </w:tcPr>
          <w:p w14:paraId="21B8589C" w14:textId="77777777" w:rsidR="00920231" w:rsidRPr="00B753E8" w:rsidRDefault="00920231" w:rsidP="00920231">
            <w:pPr>
              <w:pStyle w:val="BodyText"/>
              <w:spacing w:before="100" w:after="100"/>
            </w:pPr>
          </w:p>
        </w:tc>
        <w:tc>
          <w:tcPr>
            <w:tcW w:w="2295" w:type="dxa"/>
            <w:shd w:val="clear" w:color="auto" w:fill="auto"/>
          </w:tcPr>
          <w:p w14:paraId="382C0A5A" w14:textId="77777777" w:rsidR="00920231" w:rsidRPr="00B753E8" w:rsidRDefault="00920231" w:rsidP="00920231">
            <w:pPr>
              <w:pStyle w:val="BodyText"/>
              <w:spacing w:before="100" w:after="100"/>
            </w:pPr>
          </w:p>
        </w:tc>
      </w:tr>
    </w:tbl>
    <w:p w14:paraId="6D223755" w14:textId="77777777" w:rsidR="00920231" w:rsidRDefault="00920231" w:rsidP="00920231">
      <w:pPr>
        <w:pStyle w:val="BodyText"/>
        <w:rPr>
          <w:b/>
        </w:rPr>
      </w:pPr>
    </w:p>
    <w:p w14:paraId="54B1A37A" w14:textId="77777777" w:rsidR="00920231" w:rsidRPr="00EC63A9" w:rsidRDefault="00920231" w:rsidP="00920231">
      <w:pPr>
        <w:pStyle w:val="Heading6"/>
        <w:ind w:left="0" w:firstLine="0"/>
        <w:rPr>
          <w:lang w:val="en-AU"/>
        </w:rPr>
      </w:pPr>
      <w:bookmarkStart w:id="1681" w:name="_Toc485729078"/>
      <w:r w:rsidRPr="00EC63A9">
        <w:rPr>
          <w:lang w:val="en-AU"/>
        </w:rPr>
        <w:lastRenderedPageBreak/>
        <w:t>My Account</w:t>
      </w:r>
      <w:bookmarkEnd w:id="1681"/>
    </w:p>
    <w:p w14:paraId="3DD952DE" w14:textId="77777777" w:rsidR="00920231" w:rsidRPr="00EC63A9" w:rsidRDefault="00920231" w:rsidP="00920231">
      <w:pPr>
        <w:pStyle w:val="BodyText"/>
        <w:ind w:left="720"/>
        <w:rPr>
          <w:lang w:val="en-AU"/>
        </w:rPr>
      </w:pPr>
      <w:r w:rsidRPr="00EC63A9">
        <w:rPr>
          <w:lang w:val="en-AU"/>
        </w:rPr>
        <w:t xml:space="preserve">Services that share data may have a service login to My Account which will display all of the service numbers contributing to or using the shared data pool on </w:t>
      </w:r>
      <w:r w:rsidRPr="00EC63A9">
        <w:rPr>
          <w:i/>
          <w:lang w:val="en-AU"/>
        </w:rPr>
        <w:t xml:space="preserve">your </w:t>
      </w:r>
      <w:r w:rsidRPr="00EC63A9">
        <w:rPr>
          <w:lang w:val="en-AU"/>
        </w:rPr>
        <w:t xml:space="preserve">account and the amount of data each service has used. If </w:t>
      </w:r>
      <w:r w:rsidRPr="00EC63A9">
        <w:rPr>
          <w:i/>
          <w:lang w:val="en-AU"/>
        </w:rPr>
        <w:t>you</w:t>
      </w:r>
      <w:r w:rsidRPr="00EC63A9">
        <w:rPr>
          <w:lang w:val="en-AU"/>
        </w:rPr>
        <w:t xml:space="preserve"> have more than 6 services on </w:t>
      </w:r>
      <w:r w:rsidRPr="00EC63A9">
        <w:rPr>
          <w:i/>
          <w:lang w:val="en-AU"/>
        </w:rPr>
        <w:t>your</w:t>
      </w:r>
      <w:r w:rsidRPr="00EC63A9">
        <w:rPr>
          <w:lang w:val="en-AU"/>
        </w:rPr>
        <w:t xml:space="preserve"> account, My Account may not be suitable for viewing usage and managing </w:t>
      </w:r>
      <w:r w:rsidRPr="00EC63A9">
        <w:rPr>
          <w:i/>
          <w:lang w:val="en-AU"/>
        </w:rPr>
        <w:t xml:space="preserve">your </w:t>
      </w:r>
      <w:r w:rsidRPr="00EC63A9">
        <w:rPr>
          <w:lang w:val="en-AU"/>
        </w:rPr>
        <w:t>usage alerts.</w:t>
      </w:r>
    </w:p>
    <w:p w14:paraId="554CD66E" w14:textId="77777777" w:rsidR="00920231" w:rsidRPr="00EC63A9" w:rsidRDefault="00920231" w:rsidP="00920231">
      <w:pPr>
        <w:pStyle w:val="Heading6"/>
        <w:ind w:left="0" w:firstLine="0"/>
        <w:rPr>
          <w:lang w:val="en-AU"/>
        </w:rPr>
      </w:pPr>
      <w:bookmarkStart w:id="1682" w:name="_Toc485729079"/>
      <w:r w:rsidRPr="00EC63A9">
        <w:rPr>
          <w:lang w:val="en-AU"/>
        </w:rPr>
        <w:t xml:space="preserve">What happens if the </w:t>
      </w:r>
      <w:r w:rsidRPr="00EC63A9">
        <w:rPr>
          <w:i/>
          <w:lang w:val="en-AU"/>
        </w:rPr>
        <w:t xml:space="preserve">service </w:t>
      </w:r>
      <w:r w:rsidRPr="00EC63A9">
        <w:rPr>
          <w:lang w:val="en-AU"/>
        </w:rPr>
        <w:t>is</w:t>
      </w:r>
      <w:r w:rsidRPr="00EC63A9">
        <w:rPr>
          <w:i/>
          <w:lang w:val="en-AU"/>
        </w:rPr>
        <w:t xml:space="preserve"> cancelled </w:t>
      </w:r>
      <w:r w:rsidRPr="00EC63A9">
        <w:rPr>
          <w:lang w:val="en-AU"/>
        </w:rPr>
        <w:t>early?</w:t>
      </w:r>
      <w:bookmarkEnd w:id="1682"/>
      <w:r w:rsidRPr="00EC63A9">
        <w:rPr>
          <w:lang w:val="en-AU"/>
        </w:rPr>
        <w:t xml:space="preserve"> </w:t>
      </w:r>
    </w:p>
    <w:p w14:paraId="7FCB143F" w14:textId="77777777" w:rsidR="00920231" w:rsidRDefault="00920231" w:rsidP="00920231">
      <w:pPr>
        <w:pStyle w:val="BodyText"/>
      </w:pPr>
      <w:r w:rsidRPr="00EC63A9">
        <w:t>If your service is cancelled before the end of your minimum term, there are no plan cancellation fees. You will simply need to pay out the sum of unpaid equipment charges owing on your mobile phone under the mobile equipment payment plan (if any).</w:t>
      </w:r>
      <w:r>
        <w:t xml:space="preserve"> </w:t>
      </w:r>
      <w:r w:rsidRPr="00EC63A9">
        <w:t>Note any handset credit you were entitled to will be forfeited (see clause</w:t>
      </w:r>
      <w:r>
        <w:t> 151.13</w:t>
      </w:r>
      <w:r w:rsidRPr="00EC63A9">
        <w:t xml:space="preserve"> above).</w:t>
      </w:r>
    </w:p>
    <w:p w14:paraId="2CD4B05F" w14:textId="77777777" w:rsidR="00920231" w:rsidRDefault="00920231" w:rsidP="00920231">
      <w:pPr>
        <w:pStyle w:val="BodyText"/>
      </w:pPr>
    </w:p>
    <w:p w14:paraId="767EED2C" w14:textId="77777777" w:rsidR="00920231" w:rsidRPr="0034768D" w:rsidRDefault="00920231" w:rsidP="00920231">
      <w:pPr>
        <w:pStyle w:val="Heading4"/>
        <w:rPr>
          <w:lang w:val="en-AU"/>
        </w:rPr>
      </w:pPr>
      <w:bookmarkStart w:id="1683" w:name="_Toc455149933"/>
      <w:bookmarkStart w:id="1684" w:name="_Toc431283560"/>
      <w:bookmarkStart w:id="1685" w:name="_Toc438646343"/>
      <w:bookmarkStart w:id="1686" w:name="_Toc485729106"/>
      <w:bookmarkStart w:id="1687" w:name="_Toc62644693"/>
      <w:r w:rsidRPr="0034768D">
        <w:rPr>
          <w:lang w:val="en-AU"/>
        </w:rPr>
        <w:t xml:space="preserve">My Plan </w:t>
      </w:r>
      <w:r>
        <w:rPr>
          <w:lang w:val="en-AU"/>
        </w:rPr>
        <w:t>B</w:t>
      </w:r>
      <w:r w:rsidRPr="0034768D">
        <w:rPr>
          <w:lang w:val="en-AU"/>
        </w:rPr>
        <w:t>usiness SIM – 12 Months</w:t>
      </w:r>
      <w:bookmarkEnd w:id="1683"/>
      <w:r w:rsidRPr="0034768D">
        <w:rPr>
          <w:lang w:val="en-AU"/>
        </w:rPr>
        <w:t xml:space="preserve"> </w:t>
      </w:r>
      <w:bookmarkEnd w:id="1684"/>
      <w:bookmarkEnd w:id="1685"/>
      <w:r>
        <w:rPr>
          <w:lang w:val="en-AU"/>
        </w:rPr>
        <w:t>(April 2016)</w:t>
      </w:r>
      <w:bookmarkEnd w:id="1686"/>
      <w:bookmarkEnd w:id="1687"/>
    </w:p>
    <w:p w14:paraId="7E5DA7D1" w14:textId="77777777" w:rsidR="00920231" w:rsidRDefault="00920231" w:rsidP="00920231">
      <w:pPr>
        <w:pStyle w:val="BodyText"/>
        <w:keepNext/>
        <w:ind w:left="720"/>
      </w:pPr>
      <w:r w:rsidRPr="0034768D">
        <w:t xml:space="preserve">This section relates to the following plan(s). </w:t>
      </w:r>
      <w:r w:rsidRPr="0034768D">
        <w:rPr>
          <w:i/>
        </w:rPr>
        <w:t>You</w:t>
      </w:r>
      <w:r w:rsidRPr="0034768D">
        <w:t xml:space="preserve"> can find </w:t>
      </w:r>
      <w:r w:rsidRPr="0034768D">
        <w:rPr>
          <w:i/>
        </w:rPr>
        <w:t>your</w:t>
      </w:r>
      <w:r w:rsidRPr="0034768D">
        <w:t xml:space="preserve"> Plan ID on </w:t>
      </w:r>
      <w:r w:rsidRPr="0034768D">
        <w:rPr>
          <w:i/>
        </w:rPr>
        <w:t>your</w:t>
      </w:r>
      <w:r w:rsidRPr="0034768D">
        <w:t xml:space="preserve"> bill under the Mobile Number Summary section:</w:t>
      </w:r>
    </w:p>
    <w:tbl>
      <w:tblPr>
        <w:tblW w:w="95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0"/>
        <w:gridCol w:w="3180"/>
        <w:gridCol w:w="3180"/>
      </w:tblGrid>
      <w:tr w:rsidR="00920231" w:rsidRPr="00B35BA7" w14:paraId="7372280E" w14:textId="77777777" w:rsidTr="00920231">
        <w:trPr>
          <w:trHeight w:val="85"/>
        </w:trPr>
        <w:tc>
          <w:tcPr>
            <w:tcW w:w="3180" w:type="dxa"/>
            <w:shd w:val="clear" w:color="auto" w:fill="auto"/>
          </w:tcPr>
          <w:p w14:paraId="69FC006C" w14:textId="77777777" w:rsidR="00920231" w:rsidRPr="0034768D" w:rsidRDefault="00920231" w:rsidP="00920231">
            <w:pPr>
              <w:pStyle w:val="BodyText"/>
              <w:spacing w:before="100" w:after="100"/>
              <w:jc w:val="center"/>
              <w:rPr>
                <w:b/>
              </w:rPr>
            </w:pPr>
            <w:r w:rsidRPr="0034768D">
              <w:rPr>
                <w:b/>
              </w:rPr>
              <w:t>Plan</w:t>
            </w:r>
          </w:p>
        </w:tc>
        <w:tc>
          <w:tcPr>
            <w:tcW w:w="3180" w:type="dxa"/>
            <w:shd w:val="clear" w:color="auto" w:fill="auto"/>
          </w:tcPr>
          <w:p w14:paraId="03A9270C" w14:textId="77777777" w:rsidR="00920231" w:rsidRPr="0034768D" w:rsidRDefault="00920231" w:rsidP="00920231">
            <w:pPr>
              <w:pStyle w:val="BodyText"/>
              <w:spacing w:before="100" w:after="100"/>
              <w:jc w:val="center"/>
              <w:rPr>
                <w:b/>
              </w:rPr>
            </w:pPr>
            <w:r w:rsidRPr="0034768D">
              <w:rPr>
                <w:b/>
              </w:rPr>
              <w:t>Plan ID</w:t>
            </w:r>
          </w:p>
        </w:tc>
        <w:tc>
          <w:tcPr>
            <w:tcW w:w="3180" w:type="dxa"/>
            <w:shd w:val="clear" w:color="auto" w:fill="auto"/>
          </w:tcPr>
          <w:p w14:paraId="0B4BBBD9" w14:textId="77777777" w:rsidR="00920231" w:rsidRPr="0034768D" w:rsidRDefault="00920231" w:rsidP="00920231">
            <w:pPr>
              <w:pStyle w:val="BodyText"/>
              <w:spacing w:before="100" w:after="100"/>
              <w:jc w:val="center"/>
              <w:rPr>
                <w:b/>
              </w:rPr>
            </w:pPr>
            <w:r w:rsidRPr="0034768D">
              <w:rPr>
                <w:b/>
              </w:rPr>
              <w:t>Available</w:t>
            </w:r>
          </w:p>
        </w:tc>
      </w:tr>
      <w:tr w:rsidR="00920231" w:rsidRPr="00635102" w14:paraId="0A0278D5" w14:textId="77777777" w:rsidTr="00920231">
        <w:tc>
          <w:tcPr>
            <w:tcW w:w="3180" w:type="dxa"/>
            <w:shd w:val="clear" w:color="auto" w:fill="auto"/>
          </w:tcPr>
          <w:p w14:paraId="7D779213" w14:textId="77777777" w:rsidR="00920231" w:rsidRPr="00B35BA7" w:rsidRDefault="00920231" w:rsidP="00920231">
            <w:pPr>
              <w:pStyle w:val="BodyText"/>
              <w:spacing w:before="100" w:after="100"/>
              <w:jc w:val="center"/>
            </w:pPr>
            <w:r>
              <w:t>$3</w:t>
            </w:r>
            <w:r w:rsidRPr="003949C4">
              <w:t>0 My Plan Business 12M SIM</w:t>
            </w:r>
          </w:p>
        </w:tc>
        <w:tc>
          <w:tcPr>
            <w:tcW w:w="3180" w:type="dxa"/>
            <w:shd w:val="clear" w:color="auto" w:fill="auto"/>
          </w:tcPr>
          <w:p w14:paraId="6F2BDFCE" w14:textId="77777777" w:rsidR="00920231" w:rsidRPr="00635102" w:rsidRDefault="00920231" w:rsidP="00920231">
            <w:pPr>
              <w:pStyle w:val="BodyText"/>
              <w:spacing w:before="100" w:after="100"/>
              <w:jc w:val="center"/>
            </w:pPr>
            <w:r>
              <w:t>800429, 9167651</w:t>
            </w:r>
          </w:p>
        </w:tc>
        <w:tc>
          <w:tcPr>
            <w:tcW w:w="3180" w:type="dxa"/>
            <w:shd w:val="clear" w:color="auto" w:fill="auto"/>
          </w:tcPr>
          <w:p w14:paraId="0135DA40" w14:textId="77777777" w:rsidR="00920231" w:rsidRPr="00635102" w:rsidRDefault="00920231" w:rsidP="00920231">
            <w:pPr>
              <w:pStyle w:val="BodyText"/>
              <w:spacing w:before="100" w:after="100"/>
              <w:jc w:val="center"/>
            </w:pPr>
            <w:r w:rsidRPr="00635102">
              <w:t>4 April 2016</w:t>
            </w:r>
            <w:r>
              <w:t xml:space="preserve"> </w:t>
            </w:r>
            <w:r>
              <w:rPr>
                <w:rFonts w:eastAsia="Calibri"/>
              </w:rPr>
              <w:t>– 22 October 2017</w:t>
            </w:r>
          </w:p>
        </w:tc>
      </w:tr>
      <w:tr w:rsidR="00920231" w:rsidRPr="00635102" w14:paraId="7757B78A" w14:textId="77777777" w:rsidTr="00920231">
        <w:tc>
          <w:tcPr>
            <w:tcW w:w="3180" w:type="dxa"/>
            <w:shd w:val="clear" w:color="auto" w:fill="auto"/>
          </w:tcPr>
          <w:p w14:paraId="1BE243F9" w14:textId="77777777" w:rsidR="00920231" w:rsidRPr="003949C4" w:rsidRDefault="00920231" w:rsidP="00920231">
            <w:pPr>
              <w:pStyle w:val="BodyText"/>
              <w:spacing w:before="100" w:after="100"/>
              <w:jc w:val="center"/>
            </w:pPr>
            <w:r>
              <w:t>$5</w:t>
            </w:r>
            <w:r w:rsidRPr="003949C4">
              <w:t>0 My Plan Business 12M SIM</w:t>
            </w:r>
          </w:p>
        </w:tc>
        <w:tc>
          <w:tcPr>
            <w:tcW w:w="3180" w:type="dxa"/>
            <w:shd w:val="clear" w:color="auto" w:fill="auto"/>
            <w:vAlign w:val="center"/>
          </w:tcPr>
          <w:p w14:paraId="52565619" w14:textId="77777777" w:rsidR="00920231" w:rsidRPr="003949C4" w:rsidRDefault="00920231" w:rsidP="00920231">
            <w:pPr>
              <w:pStyle w:val="BodyText"/>
              <w:spacing w:before="100" w:after="100"/>
              <w:jc w:val="center"/>
              <w:rPr>
                <w:color w:val="000000"/>
                <w:lang w:eastAsia="en-AU"/>
              </w:rPr>
            </w:pPr>
            <w:r>
              <w:rPr>
                <w:color w:val="000000"/>
                <w:lang w:eastAsia="en-AU"/>
              </w:rPr>
              <w:t>800431, 9167671</w:t>
            </w:r>
          </w:p>
        </w:tc>
        <w:tc>
          <w:tcPr>
            <w:tcW w:w="3180" w:type="dxa"/>
            <w:shd w:val="clear" w:color="auto" w:fill="auto"/>
          </w:tcPr>
          <w:p w14:paraId="5531ECD6" w14:textId="77777777" w:rsidR="00920231" w:rsidRPr="00635102" w:rsidRDefault="00920231" w:rsidP="00920231">
            <w:pPr>
              <w:pStyle w:val="BodyText"/>
              <w:spacing w:before="100" w:after="100"/>
              <w:jc w:val="center"/>
            </w:pPr>
            <w:r w:rsidRPr="00635102">
              <w:t>4 April 2016</w:t>
            </w:r>
            <w:r>
              <w:t xml:space="preserve"> </w:t>
            </w:r>
            <w:r>
              <w:rPr>
                <w:rFonts w:eastAsia="Calibri"/>
              </w:rPr>
              <w:t>– 22 October 2017</w:t>
            </w:r>
          </w:p>
        </w:tc>
      </w:tr>
    </w:tbl>
    <w:p w14:paraId="7B291540" w14:textId="77777777" w:rsidR="00920231" w:rsidRDefault="00920231" w:rsidP="00920231">
      <w:pPr>
        <w:pStyle w:val="BodyText"/>
      </w:pPr>
    </w:p>
    <w:p w14:paraId="72213CA5" w14:textId="77777777" w:rsidR="00920231" w:rsidRPr="0034768D" w:rsidRDefault="00920231" w:rsidP="00920231">
      <w:pPr>
        <w:pStyle w:val="Heading6"/>
        <w:ind w:left="0" w:firstLine="0"/>
        <w:rPr>
          <w:lang w:val="en-AU"/>
        </w:rPr>
      </w:pPr>
      <w:bookmarkStart w:id="1688" w:name="_Toc431283561"/>
      <w:bookmarkStart w:id="1689" w:name="_Toc438646344"/>
      <w:bookmarkStart w:id="1690" w:name="_Toc455149934"/>
      <w:bookmarkStart w:id="1691" w:name="_Toc485729107"/>
      <w:r w:rsidRPr="0034768D">
        <w:rPr>
          <w:lang w:val="en-AU"/>
        </w:rPr>
        <w:t>Eligibility</w:t>
      </w:r>
      <w:bookmarkEnd w:id="1688"/>
      <w:bookmarkEnd w:id="1689"/>
      <w:bookmarkEnd w:id="1690"/>
      <w:bookmarkEnd w:id="1691"/>
    </w:p>
    <w:p w14:paraId="002084A6" w14:textId="77777777" w:rsidR="00920231" w:rsidRPr="0034768D" w:rsidRDefault="00920231" w:rsidP="00920231">
      <w:pPr>
        <w:pStyle w:val="BodyText"/>
        <w:ind w:left="720"/>
        <w:rPr>
          <w:lang w:val="en-AU"/>
        </w:rPr>
      </w:pPr>
      <w:r w:rsidRPr="0034768D">
        <w:rPr>
          <w:lang w:val="en-AU"/>
        </w:rPr>
        <w:t>The My Plan Business 12M SIM plans are only available to mobile customers who pass Optus</w:t>
      </w:r>
      <w:r>
        <w:rPr>
          <w:lang w:val="en-AU"/>
        </w:rPr>
        <w:t>'</w:t>
      </w:r>
      <w:r w:rsidRPr="0034768D">
        <w:rPr>
          <w:lang w:val="en-AU"/>
        </w:rPr>
        <w:t xml:space="preserve"> credit assessment. </w:t>
      </w:r>
    </w:p>
    <w:p w14:paraId="7A8D8DC5" w14:textId="77777777" w:rsidR="00920231" w:rsidRPr="0034768D" w:rsidRDefault="00920231" w:rsidP="00920231">
      <w:pPr>
        <w:pStyle w:val="BodyText"/>
        <w:ind w:left="720"/>
        <w:rPr>
          <w:lang w:val="en-AU"/>
        </w:rPr>
      </w:pPr>
      <w:r w:rsidRPr="0034768D">
        <w:rPr>
          <w:lang w:val="en-AU"/>
        </w:rPr>
        <w:t>Optus Service Providers</w:t>
      </w:r>
      <w:r>
        <w:rPr>
          <w:lang w:val="en-AU"/>
        </w:rPr>
        <w:t>'</w:t>
      </w:r>
      <w:r w:rsidRPr="0034768D">
        <w:rPr>
          <w:lang w:val="en-AU"/>
        </w:rPr>
        <w:t xml:space="preserve"> customers are not eligible to apply.</w:t>
      </w:r>
    </w:p>
    <w:p w14:paraId="2384CAFC" w14:textId="77777777" w:rsidR="00920231" w:rsidRDefault="00920231" w:rsidP="00920231">
      <w:pPr>
        <w:pStyle w:val="BodyText"/>
        <w:ind w:left="720"/>
        <w:rPr>
          <w:b/>
          <w:lang w:val="en-AU"/>
        </w:rPr>
      </w:pPr>
      <w:r w:rsidRPr="0034768D">
        <w:rPr>
          <w:lang w:val="en-AU"/>
        </w:rPr>
        <w:t xml:space="preserve">These </w:t>
      </w:r>
      <w:r w:rsidRPr="0034768D">
        <w:rPr>
          <w:i/>
          <w:lang w:val="en-AU"/>
        </w:rPr>
        <w:t>plans</w:t>
      </w:r>
      <w:r w:rsidRPr="0034768D">
        <w:rPr>
          <w:lang w:val="en-AU"/>
        </w:rPr>
        <w:t xml:space="preserve"> aren</w:t>
      </w:r>
      <w:r>
        <w:rPr>
          <w:lang w:val="en-AU"/>
        </w:rPr>
        <w:t>'</w:t>
      </w:r>
      <w:r w:rsidRPr="0034768D">
        <w:rPr>
          <w:lang w:val="en-AU"/>
        </w:rPr>
        <w:t>t compatible for data use with BlackBerry handsets on operating systems of 7.1 or earlier.</w:t>
      </w:r>
      <w:bookmarkStart w:id="1692" w:name="_Toc438646345"/>
      <w:bookmarkStart w:id="1693" w:name="_Toc455149935"/>
    </w:p>
    <w:p w14:paraId="386BF68C" w14:textId="77777777" w:rsidR="00920231" w:rsidRPr="0034768D" w:rsidRDefault="00920231" w:rsidP="00920231">
      <w:pPr>
        <w:pStyle w:val="Heading6"/>
        <w:ind w:left="0" w:firstLine="0"/>
        <w:rPr>
          <w:lang w:val="en-AU"/>
        </w:rPr>
      </w:pPr>
      <w:bookmarkStart w:id="1694" w:name="_Toc485729108"/>
      <w:r w:rsidRPr="0034768D">
        <w:rPr>
          <w:lang w:val="en-AU"/>
        </w:rPr>
        <w:t>Minimum Term</w:t>
      </w:r>
      <w:bookmarkEnd w:id="1692"/>
      <w:bookmarkEnd w:id="1693"/>
      <w:bookmarkEnd w:id="1694"/>
    </w:p>
    <w:p w14:paraId="20DE19E6" w14:textId="77777777" w:rsidR="00920231" w:rsidRPr="0034768D" w:rsidRDefault="00920231" w:rsidP="00920231">
      <w:pPr>
        <w:pStyle w:val="BodyText"/>
        <w:ind w:firstLine="720"/>
        <w:rPr>
          <w:lang w:val="en-AU"/>
        </w:rPr>
      </w:pPr>
      <w:r w:rsidRPr="0034768D">
        <w:rPr>
          <w:lang w:val="en-AU"/>
        </w:rPr>
        <w:t xml:space="preserve">These </w:t>
      </w:r>
      <w:r w:rsidRPr="0034768D">
        <w:rPr>
          <w:i/>
          <w:lang w:val="en-AU"/>
        </w:rPr>
        <w:t>plans</w:t>
      </w:r>
      <w:r w:rsidRPr="0034768D">
        <w:rPr>
          <w:lang w:val="en-AU"/>
        </w:rPr>
        <w:t xml:space="preserve"> have</w:t>
      </w:r>
      <w:r w:rsidRPr="0034768D">
        <w:rPr>
          <w:i/>
          <w:lang w:val="en-AU"/>
        </w:rPr>
        <w:t xml:space="preserve"> </w:t>
      </w:r>
      <w:r w:rsidRPr="0034768D">
        <w:rPr>
          <w:lang w:val="en-AU"/>
        </w:rPr>
        <w:t xml:space="preserve">a </w:t>
      </w:r>
      <w:r w:rsidRPr="0034768D">
        <w:rPr>
          <w:i/>
          <w:lang w:val="en-AU"/>
        </w:rPr>
        <w:t>fixed length agreement</w:t>
      </w:r>
      <w:r w:rsidRPr="0034768D">
        <w:rPr>
          <w:lang w:val="en-AU"/>
        </w:rPr>
        <w:t xml:space="preserve"> with a 12 month </w:t>
      </w:r>
      <w:r w:rsidRPr="0034768D">
        <w:rPr>
          <w:i/>
          <w:lang w:val="en-AU"/>
        </w:rPr>
        <w:t>minimum term.</w:t>
      </w:r>
    </w:p>
    <w:p w14:paraId="03945983" w14:textId="77777777" w:rsidR="00920231" w:rsidRPr="0034768D" w:rsidRDefault="00920231" w:rsidP="00920231">
      <w:pPr>
        <w:pStyle w:val="Heading6"/>
        <w:ind w:left="0" w:firstLine="0"/>
        <w:rPr>
          <w:lang w:val="en-AU"/>
        </w:rPr>
      </w:pPr>
      <w:bookmarkStart w:id="1695" w:name="_Toc438646346"/>
      <w:bookmarkStart w:id="1696" w:name="_Toc455149936"/>
      <w:bookmarkStart w:id="1697" w:name="_Toc485729109"/>
      <w:r w:rsidRPr="0034768D">
        <w:rPr>
          <w:lang w:val="en-AU"/>
        </w:rPr>
        <w:t xml:space="preserve">What </w:t>
      </w:r>
      <w:r w:rsidRPr="0034768D">
        <w:rPr>
          <w:i/>
          <w:lang w:val="en-AU"/>
        </w:rPr>
        <w:t>you</w:t>
      </w:r>
      <w:r w:rsidRPr="0034768D">
        <w:rPr>
          <w:lang w:val="en-AU"/>
        </w:rPr>
        <w:t xml:space="preserve"> have to pay </w:t>
      </w:r>
      <w:r w:rsidRPr="0034768D">
        <w:rPr>
          <w:i/>
          <w:lang w:val="en-AU"/>
        </w:rPr>
        <w:t>us</w:t>
      </w:r>
      <w:bookmarkEnd w:id="1695"/>
      <w:bookmarkEnd w:id="1696"/>
      <w:bookmarkEnd w:id="1697"/>
    </w:p>
    <w:p w14:paraId="6D3A989B" w14:textId="77777777" w:rsidR="00920231" w:rsidRPr="0034768D" w:rsidRDefault="00920231" w:rsidP="00920231">
      <w:pPr>
        <w:pStyle w:val="Heading7"/>
        <w:rPr>
          <w:lang w:val="en-AU"/>
        </w:rPr>
      </w:pPr>
      <w:r w:rsidRPr="0034768D">
        <w:rPr>
          <w:i/>
          <w:lang w:val="en-AU"/>
        </w:rPr>
        <w:t>You</w:t>
      </w:r>
      <w:r w:rsidRPr="0034768D">
        <w:rPr>
          <w:lang w:val="en-AU"/>
        </w:rPr>
        <w:t xml:space="preserve"> must pay </w:t>
      </w:r>
      <w:r w:rsidRPr="0034768D">
        <w:rPr>
          <w:i/>
          <w:lang w:val="en-AU"/>
        </w:rPr>
        <w:t>us</w:t>
      </w:r>
      <w:r w:rsidRPr="0034768D">
        <w:rPr>
          <w:lang w:val="en-AU"/>
        </w:rPr>
        <w:t xml:space="preserve"> for use of the </w:t>
      </w:r>
      <w:r w:rsidRPr="0034768D">
        <w:rPr>
          <w:i/>
          <w:lang w:val="en-AU"/>
        </w:rPr>
        <w:t>service</w:t>
      </w:r>
      <w:r w:rsidRPr="0034768D">
        <w:rPr>
          <w:lang w:val="en-AU"/>
        </w:rPr>
        <w:t xml:space="preserve"> at the rates set out in Section 1 of this </w:t>
      </w:r>
      <w:r w:rsidRPr="0034768D">
        <w:rPr>
          <w:i/>
          <w:lang w:val="en-AU"/>
        </w:rPr>
        <w:t>standard pricing table</w:t>
      </w:r>
      <w:r w:rsidRPr="0034768D">
        <w:rPr>
          <w:lang w:val="en-AU"/>
        </w:rPr>
        <w:t xml:space="preserve"> and for value added service features at the rates set out in </w:t>
      </w:r>
      <w:hyperlink r:id="rId750" w:history="1">
        <w:r w:rsidRPr="009F4866">
          <w:rPr>
            <w:rStyle w:val="Hyperlink"/>
            <w:i/>
            <w:lang w:val="en-AU"/>
          </w:rPr>
          <w:t>Appendix Y Value Added Service Features</w:t>
        </w:r>
        <w:r>
          <w:rPr>
            <w:rStyle w:val="Hyperlink"/>
            <w:lang w:val="en-AU"/>
          </w:rPr>
          <w:t>.</w:t>
        </w:r>
      </w:hyperlink>
    </w:p>
    <w:p w14:paraId="7BFD5DFA" w14:textId="77777777" w:rsidR="00920231" w:rsidRPr="0034768D" w:rsidRDefault="00920231" w:rsidP="00920231">
      <w:pPr>
        <w:pStyle w:val="Heading7"/>
        <w:rPr>
          <w:lang w:val="en-AU"/>
        </w:rPr>
      </w:pPr>
      <w:r w:rsidRPr="0034768D">
        <w:rPr>
          <w:lang w:val="en-AU"/>
        </w:rPr>
        <w:t>If there is a flagfall for a particular call type, the charge for these calls is the flagfall amount plus the relevant rate for the call multiplied by the duration of the call.</w:t>
      </w:r>
    </w:p>
    <w:p w14:paraId="420B40C6" w14:textId="77777777" w:rsidR="00920231" w:rsidRPr="00063708" w:rsidRDefault="00920231" w:rsidP="00920231">
      <w:pPr>
        <w:pStyle w:val="Heading7"/>
        <w:rPr>
          <w:b/>
          <w:lang w:val="en-AU"/>
        </w:rPr>
      </w:pPr>
      <w:r w:rsidRPr="00063708">
        <w:rPr>
          <w:b/>
          <w:lang w:val="en-AU"/>
        </w:rPr>
        <w:t>Minimum Monthly Charge</w:t>
      </w:r>
    </w:p>
    <w:p w14:paraId="44C0B6A2" w14:textId="77777777" w:rsidR="00920231" w:rsidRPr="0034768D" w:rsidRDefault="00920231" w:rsidP="00920231">
      <w:pPr>
        <w:pStyle w:val="Heading8"/>
        <w:rPr>
          <w:lang w:val="en-AU"/>
        </w:rPr>
      </w:pPr>
      <w:r w:rsidRPr="0034768D">
        <w:rPr>
          <w:lang w:val="en-AU"/>
        </w:rPr>
        <w:t xml:space="preserve">My Plan Business 12M SIM plans have a Minimum Monthly Charge amount that </w:t>
      </w:r>
      <w:r w:rsidRPr="0034768D">
        <w:rPr>
          <w:i/>
          <w:lang w:val="en-AU"/>
        </w:rPr>
        <w:t>you</w:t>
      </w:r>
      <w:r w:rsidRPr="0034768D">
        <w:rPr>
          <w:lang w:val="en-AU"/>
        </w:rPr>
        <w:t xml:space="preserve"> must pay </w:t>
      </w:r>
      <w:r w:rsidRPr="0034768D">
        <w:rPr>
          <w:i/>
          <w:lang w:val="en-AU"/>
        </w:rPr>
        <w:t>us</w:t>
      </w:r>
      <w:r w:rsidRPr="0034768D">
        <w:rPr>
          <w:lang w:val="en-AU"/>
        </w:rPr>
        <w:t xml:space="preserve"> each month as set out in Table 1 below.</w:t>
      </w:r>
      <w:r>
        <w:rPr>
          <w:lang w:val="en-AU"/>
        </w:rPr>
        <w:t xml:space="preserve"> </w:t>
      </w:r>
    </w:p>
    <w:p w14:paraId="302B425D" w14:textId="77777777" w:rsidR="00920231" w:rsidRPr="00100902" w:rsidRDefault="00920231" w:rsidP="00920231">
      <w:pPr>
        <w:pStyle w:val="Heading8"/>
        <w:rPr>
          <w:lang w:val="en-AU"/>
        </w:rPr>
      </w:pPr>
      <w:r w:rsidRPr="0034768D">
        <w:rPr>
          <w:i/>
          <w:lang w:val="en-AU"/>
        </w:rPr>
        <w:t>You</w:t>
      </w:r>
      <w:r w:rsidRPr="0034768D">
        <w:rPr>
          <w:lang w:val="en-AU"/>
        </w:rPr>
        <w:t xml:space="preserve"> may purchase a mobile phone (or </w:t>
      </w:r>
      <w:r>
        <w:rPr>
          <w:lang w:val="en-AU"/>
        </w:rPr>
        <w:t>'</w:t>
      </w:r>
      <w:r w:rsidRPr="0034768D">
        <w:rPr>
          <w:lang w:val="en-AU"/>
        </w:rPr>
        <w:t>handset</w:t>
      </w:r>
      <w:r>
        <w:rPr>
          <w:lang w:val="en-AU"/>
        </w:rPr>
        <w:t>'</w:t>
      </w:r>
      <w:r w:rsidRPr="0034768D">
        <w:rPr>
          <w:lang w:val="en-AU"/>
        </w:rPr>
        <w:t xml:space="preserve">) with a 1 month or 12 month </w:t>
      </w:r>
      <w:r w:rsidRPr="0034768D">
        <w:rPr>
          <w:i/>
          <w:lang w:val="en-AU"/>
        </w:rPr>
        <w:t>equipment term</w:t>
      </w:r>
      <w:r w:rsidRPr="0034768D">
        <w:rPr>
          <w:lang w:val="en-AU"/>
        </w:rPr>
        <w:t xml:space="preserve"> under a </w:t>
      </w:r>
      <w:r w:rsidRPr="0034768D">
        <w:rPr>
          <w:i/>
          <w:lang w:val="en-AU"/>
        </w:rPr>
        <w:t>mobile equipment payment plan</w:t>
      </w:r>
      <w:r w:rsidRPr="0034768D">
        <w:rPr>
          <w:lang w:val="en-AU"/>
        </w:rPr>
        <w:t xml:space="preserve"> (set out in </w:t>
      </w:r>
      <w:hyperlink r:id="rId751" w:history="1">
        <w:r w:rsidRPr="009F4866">
          <w:rPr>
            <w:rStyle w:val="Hyperlink"/>
            <w:i/>
            <w:lang w:val="en-AU"/>
          </w:rPr>
          <w:t>Appendix D</w:t>
        </w:r>
      </w:hyperlink>
      <w:r w:rsidRPr="0034768D">
        <w:rPr>
          <w:lang w:val="en-AU"/>
        </w:rPr>
        <w:t>).</w:t>
      </w:r>
    </w:p>
    <w:p w14:paraId="069DB7A4" w14:textId="77777777" w:rsidR="00920231" w:rsidRPr="0034768D" w:rsidRDefault="00920231" w:rsidP="00920231">
      <w:pPr>
        <w:pStyle w:val="Heading6"/>
        <w:ind w:left="0" w:firstLine="0"/>
        <w:rPr>
          <w:lang w:val="en-AU"/>
        </w:rPr>
      </w:pPr>
      <w:bookmarkStart w:id="1698" w:name="_Toc438646347"/>
      <w:bookmarkStart w:id="1699" w:name="_Toc455149937"/>
      <w:bookmarkStart w:id="1700" w:name="_Toc485729110"/>
      <w:r w:rsidRPr="0034768D">
        <w:rPr>
          <w:lang w:val="en-AU"/>
        </w:rPr>
        <w:t>How My Plan Business SIM works</w:t>
      </w:r>
      <w:bookmarkEnd w:id="1698"/>
      <w:bookmarkEnd w:id="1699"/>
      <w:bookmarkEnd w:id="1700"/>
    </w:p>
    <w:p w14:paraId="6B9AB77D" w14:textId="77777777" w:rsidR="00920231" w:rsidRPr="0034768D" w:rsidRDefault="00920231" w:rsidP="00920231">
      <w:pPr>
        <w:pStyle w:val="Heading7"/>
        <w:rPr>
          <w:lang w:val="en-AU"/>
        </w:rPr>
      </w:pPr>
      <w:r w:rsidRPr="0034768D">
        <w:rPr>
          <w:lang w:val="en-AU"/>
        </w:rPr>
        <w:lastRenderedPageBreak/>
        <w:t xml:space="preserve">The My Plan Business 12M SIM plans referred to in this section have unlimited minutes to use on standard national calls to landlines and mobiles, 13/1300 numbers and voicemail retrievals and Included Data (for mobile internet use) to share with other services on a My Plan Plus, My Plan Plus SIM Only, My Plan Plus 12M SIM Only, My Plan Business (including Tech Fund), My Plan Business SIM, My Plan Business 12Month SIM, My Mobile Broadband Plus, Mobile Broadband Business or Shared Data Plan on the same account. </w:t>
      </w:r>
    </w:p>
    <w:p w14:paraId="297E16FF" w14:textId="77777777" w:rsidR="00920231" w:rsidRPr="0034768D" w:rsidRDefault="00920231" w:rsidP="00920231">
      <w:pPr>
        <w:pStyle w:val="Heading7"/>
        <w:rPr>
          <w:lang w:val="en-AU"/>
        </w:rPr>
      </w:pPr>
      <w:r w:rsidRPr="0034768D">
        <w:rPr>
          <w:lang w:val="en-AU"/>
        </w:rPr>
        <w:t>These plans also include unlimited standard national SMS/MMS and unlimited standard International SMS/MMS to selected countries. The</w:t>
      </w:r>
      <w:r>
        <w:rPr>
          <w:lang w:val="en-AU"/>
        </w:rPr>
        <w:t xml:space="preserve"> </w:t>
      </w:r>
      <w:r w:rsidRPr="0034768D">
        <w:rPr>
          <w:lang w:val="en-AU"/>
        </w:rPr>
        <w:t>$50 plan also ha</w:t>
      </w:r>
      <w:r>
        <w:rPr>
          <w:lang w:val="en-AU"/>
        </w:rPr>
        <w:t>s</w:t>
      </w:r>
      <w:r w:rsidRPr="0034768D">
        <w:rPr>
          <w:lang w:val="en-AU"/>
        </w:rPr>
        <w:t xml:space="preserve"> an amount of included international minutes to use on standard international calls to selected countries. </w:t>
      </w:r>
    </w:p>
    <w:p w14:paraId="6544ED5B" w14:textId="77777777" w:rsidR="00920231" w:rsidRPr="0034768D" w:rsidRDefault="00920231" w:rsidP="00920231">
      <w:pPr>
        <w:pStyle w:val="Heading7"/>
        <w:rPr>
          <w:lang w:val="en-AU"/>
        </w:rPr>
      </w:pPr>
      <w:r w:rsidRPr="0034768D">
        <w:rPr>
          <w:lang w:val="en-AU"/>
        </w:rPr>
        <w:t>Data usage is calculated in one kilobyte increments. International minutes are billed in one minute increments.</w:t>
      </w:r>
    </w:p>
    <w:p w14:paraId="2052A928" w14:textId="77777777" w:rsidR="00920231" w:rsidRPr="0034768D" w:rsidRDefault="00920231" w:rsidP="00920231">
      <w:pPr>
        <w:pStyle w:val="Heading7"/>
        <w:rPr>
          <w:lang w:val="en-AU"/>
        </w:rPr>
      </w:pPr>
      <w:r w:rsidRPr="0034768D">
        <w:rPr>
          <w:lang w:val="en-AU"/>
        </w:rPr>
        <w:t xml:space="preserve">If </w:t>
      </w:r>
      <w:r w:rsidRPr="0034768D">
        <w:rPr>
          <w:i/>
          <w:lang w:val="en-AU"/>
        </w:rPr>
        <w:t>you</w:t>
      </w:r>
      <w:r w:rsidRPr="0034768D">
        <w:rPr>
          <w:lang w:val="en-AU"/>
        </w:rPr>
        <w:t xml:space="preserve"> exceed your included shareable data </w:t>
      </w:r>
      <w:r w:rsidRPr="0034768D">
        <w:rPr>
          <w:i/>
          <w:lang w:val="en-AU"/>
        </w:rPr>
        <w:t xml:space="preserve">you </w:t>
      </w:r>
      <w:r w:rsidRPr="0034768D">
        <w:rPr>
          <w:lang w:val="en-AU"/>
        </w:rPr>
        <w:t>will automatically be charged $10 for each additional 1GB of data (</w:t>
      </w:r>
      <w:r>
        <w:rPr>
          <w:lang w:val="en-AU"/>
        </w:rPr>
        <w:t>"</w:t>
      </w:r>
      <w:r w:rsidRPr="0034768D">
        <w:rPr>
          <w:b/>
          <w:lang w:val="en-AU"/>
        </w:rPr>
        <w:t>Additional Data</w:t>
      </w:r>
      <w:r>
        <w:rPr>
          <w:lang w:val="en-AU"/>
        </w:rPr>
        <w:t>"</w:t>
      </w:r>
      <w:r w:rsidRPr="0034768D">
        <w:rPr>
          <w:lang w:val="en-AU"/>
        </w:rPr>
        <w:t xml:space="preserve">) that </w:t>
      </w:r>
      <w:r w:rsidRPr="0034768D">
        <w:rPr>
          <w:i/>
          <w:lang w:val="en-AU"/>
        </w:rPr>
        <w:t>you</w:t>
      </w:r>
      <w:r w:rsidRPr="0034768D">
        <w:rPr>
          <w:lang w:val="en-AU"/>
        </w:rPr>
        <w:t xml:space="preserve"> use (or part thereof) up to 150GB of extra data per account each month. </w:t>
      </w:r>
      <w:r w:rsidRPr="0034768D">
        <w:rPr>
          <w:i/>
          <w:lang w:val="en-AU"/>
        </w:rPr>
        <w:t>Your</w:t>
      </w:r>
      <w:r w:rsidRPr="0034768D">
        <w:rPr>
          <w:lang w:val="en-AU"/>
        </w:rPr>
        <w:t xml:space="preserve"> </w:t>
      </w:r>
      <w:r w:rsidRPr="0034768D">
        <w:rPr>
          <w:i/>
          <w:lang w:val="en-AU"/>
        </w:rPr>
        <w:t>service/s</w:t>
      </w:r>
      <w:r w:rsidRPr="0034768D">
        <w:rPr>
          <w:lang w:val="en-AU"/>
        </w:rPr>
        <w:t xml:space="preserve"> may then be restricted or </w:t>
      </w:r>
      <w:r w:rsidRPr="0034768D">
        <w:rPr>
          <w:i/>
          <w:lang w:val="en-AU"/>
        </w:rPr>
        <w:t>we</w:t>
      </w:r>
      <w:r w:rsidRPr="0034768D">
        <w:rPr>
          <w:lang w:val="en-AU"/>
        </w:rPr>
        <w:t xml:space="preserve"> may continue to charge </w:t>
      </w:r>
      <w:r w:rsidRPr="0034768D">
        <w:rPr>
          <w:i/>
          <w:lang w:val="en-AU"/>
        </w:rPr>
        <w:t>you</w:t>
      </w:r>
      <w:r w:rsidRPr="0034768D">
        <w:rPr>
          <w:lang w:val="en-AU"/>
        </w:rPr>
        <w:t xml:space="preserve"> at these rates.</w:t>
      </w:r>
    </w:p>
    <w:p w14:paraId="1E3028FE" w14:textId="77777777" w:rsidR="00920231" w:rsidRPr="0034768D" w:rsidRDefault="00920231" w:rsidP="00920231">
      <w:pPr>
        <w:pStyle w:val="Heading7"/>
        <w:rPr>
          <w:lang w:val="en-AU"/>
        </w:rPr>
      </w:pPr>
      <w:r w:rsidRPr="0034768D">
        <w:rPr>
          <w:lang w:val="en-AU"/>
        </w:rPr>
        <w:t xml:space="preserve">Any unused portion of </w:t>
      </w:r>
      <w:r w:rsidRPr="0034768D">
        <w:rPr>
          <w:i/>
          <w:lang w:val="en-AU"/>
        </w:rPr>
        <w:t>your</w:t>
      </w:r>
      <w:r w:rsidRPr="0034768D">
        <w:rPr>
          <w:lang w:val="en-AU"/>
        </w:rPr>
        <w:t xml:space="preserve"> </w:t>
      </w:r>
      <w:r w:rsidRPr="0034768D">
        <w:rPr>
          <w:i/>
          <w:lang w:val="en-AU"/>
        </w:rPr>
        <w:t>plan</w:t>
      </w:r>
      <w:r>
        <w:rPr>
          <w:i/>
          <w:lang w:val="en-AU"/>
        </w:rPr>
        <w:t>'</w:t>
      </w:r>
      <w:r w:rsidRPr="0034768D">
        <w:rPr>
          <w:i/>
          <w:lang w:val="en-AU"/>
        </w:rPr>
        <w:t>s</w:t>
      </w:r>
      <w:r w:rsidRPr="0034768D">
        <w:rPr>
          <w:lang w:val="en-AU"/>
        </w:rPr>
        <w:t xml:space="preserve"> Included or Additional Data expires at the end of each month and does not roll over into the next month.</w:t>
      </w:r>
    </w:p>
    <w:p w14:paraId="38A15A5C" w14:textId="77777777" w:rsidR="00920231" w:rsidRPr="00654DCB" w:rsidRDefault="00920231" w:rsidP="00920231">
      <w:pPr>
        <w:pStyle w:val="Heading7"/>
        <w:rPr>
          <w:lang w:val="en-AU"/>
        </w:rPr>
      </w:pPr>
      <w:r w:rsidRPr="00654DCB">
        <w:rPr>
          <w:i/>
          <w:lang w:val="en-AU"/>
        </w:rPr>
        <w:t>You</w:t>
      </w:r>
      <w:r w:rsidRPr="00654DCB">
        <w:rPr>
          <w:lang w:val="en-AU"/>
        </w:rPr>
        <w:t xml:space="preserve"> must pay </w:t>
      </w:r>
      <w:r w:rsidRPr="00654DCB">
        <w:rPr>
          <w:i/>
          <w:lang w:val="en-AU"/>
        </w:rPr>
        <w:t>us</w:t>
      </w:r>
      <w:r w:rsidRPr="00654DCB">
        <w:rPr>
          <w:lang w:val="en-AU"/>
        </w:rPr>
        <w:t xml:space="preserve"> for use of any services that are not included in </w:t>
      </w:r>
      <w:r w:rsidRPr="00654DCB">
        <w:rPr>
          <w:i/>
          <w:lang w:val="en-AU"/>
        </w:rPr>
        <w:t>your</w:t>
      </w:r>
      <w:r w:rsidRPr="00654DCB">
        <w:rPr>
          <w:lang w:val="en-AU"/>
        </w:rPr>
        <w:t xml:space="preserve"> plan's inclusions, examples of which are set out in Table 2 below.</w:t>
      </w:r>
    </w:p>
    <w:p w14:paraId="21145D35" w14:textId="77777777" w:rsidR="00920231" w:rsidRPr="0034768D" w:rsidRDefault="00920231" w:rsidP="00920231">
      <w:pPr>
        <w:pStyle w:val="Heading6"/>
        <w:ind w:left="0" w:firstLine="0"/>
        <w:rPr>
          <w:lang w:val="en-AU"/>
        </w:rPr>
      </w:pPr>
      <w:bookmarkStart w:id="1701" w:name="_Toc438646348"/>
      <w:bookmarkStart w:id="1702" w:name="_Toc455149938"/>
      <w:bookmarkStart w:id="1703" w:name="_Toc485729111"/>
      <w:r w:rsidRPr="0034768D">
        <w:rPr>
          <w:lang w:val="en-AU"/>
        </w:rPr>
        <w:t>Data Sharing</w:t>
      </w:r>
      <w:bookmarkEnd w:id="1701"/>
      <w:bookmarkEnd w:id="1702"/>
      <w:bookmarkEnd w:id="1703"/>
    </w:p>
    <w:p w14:paraId="25486F4E" w14:textId="77777777" w:rsidR="00920231" w:rsidRPr="0034768D" w:rsidRDefault="00920231" w:rsidP="00920231">
      <w:pPr>
        <w:pStyle w:val="Heading7"/>
        <w:rPr>
          <w:lang w:val="en-AU"/>
        </w:rPr>
      </w:pPr>
      <w:r w:rsidRPr="0034768D">
        <w:rPr>
          <w:lang w:val="en-AU"/>
        </w:rPr>
        <w:t xml:space="preserve">If </w:t>
      </w:r>
      <w:r w:rsidRPr="0034768D">
        <w:rPr>
          <w:i/>
          <w:lang w:val="en-AU"/>
        </w:rPr>
        <w:t>you</w:t>
      </w:r>
      <w:r w:rsidRPr="0034768D">
        <w:rPr>
          <w:lang w:val="en-AU"/>
        </w:rPr>
        <w:t xml:space="preserve"> have more than one My Plan Plus, My Plan Plus SIM Only, My Plan Plus 12M SIM Only, My Plan Business (including Tech Fund), My Plan Business SIM, My Plan Business 12M SIM, My Mobile Broadband Plus or Mobile Broadband Business on the same billing account, the included data will combine into one data pool, which will be shared by all eligible services on that account.</w:t>
      </w:r>
      <w:r>
        <w:rPr>
          <w:lang w:val="en-AU"/>
        </w:rPr>
        <w:t xml:space="preserve"> </w:t>
      </w:r>
    </w:p>
    <w:p w14:paraId="66E2CDE3" w14:textId="77777777" w:rsidR="00920231" w:rsidRPr="0034768D" w:rsidRDefault="00920231" w:rsidP="00920231">
      <w:pPr>
        <w:pStyle w:val="Heading7"/>
        <w:rPr>
          <w:lang w:val="en-AU"/>
        </w:rPr>
      </w:pPr>
      <w:r w:rsidRPr="0034768D">
        <w:rPr>
          <w:lang w:val="en-AU"/>
        </w:rPr>
        <w:t xml:space="preserve">If </w:t>
      </w:r>
      <w:r w:rsidRPr="0034768D">
        <w:rPr>
          <w:i/>
          <w:lang w:val="en-AU"/>
        </w:rPr>
        <w:t>you</w:t>
      </w:r>
      <w:r w:rsidRPr="0034768D">
        <w:rPr>
          <w:lang w:val="en-AU"/>
        </w:rPr>
        <w:t xml:space="preserve"> do not want </w:t>
      </w:r>
      <w:r w:rsidRPr="0034768D">
        <w:rPr>
          <w:i/>
          <w:lang w:val="en-AU"/>
        </w:rPr>
        <w:t>your</w:t>
      </w:r>
      <w:r w:rsidRPr="0034768D">
        <w:rPr>
          <w:lang w:val="en-AU"/>
        </w:rPr>
        <w:t xml:space="preserve"> services on any My Plan Plus, My Plan Plus SIM Only, My Plan Plus 12M SIM Only, My Plan Business (including Tech Fund), My Plan Business SIM, My Plan Business 12M SIM, My Mobile Broadband Plus or Mobile Broadband Business plans to share data, they need to be on separate billing accounts. </w:t>
      </w:r>
    </w:p>
    <w:p w14:paraId="26017367" w14:textId="77777777" w:rsidR="00920231" w:rsidRPr="0034768D" w:rsidRDefault="00920231" w:rsidP="00920231">
      <w:pPr>
        <w:pStyle w:val="Heading7"/>
        <w:rPr>
          <w:lang w:val="en-AU"/>
        </w:rPr>
      </w:pPr>
      <w:r w:rsidRPr="0034768D">
        <w:rPr>
          <w:lang w:val="en-AU"/>
        </w:rPr>
        <w:t>Data sharing is only available within Australia.</w:t>
      </w:r>
    </w:p>
    <w:p w14:paraId="20B50C83" w14:textId="77777777" w:rsidR="00920231" w:rsidRPr="0034768D" w:rsidRDefault="00920231" w:rsidP="00920231">
      <w:pPr>
        <w:pStyle w:val="Heading6"/>
        <w:ind w:left="0" w:firstLine="0"/>
        <w:rPr>
          <w:lang w:val="en-AU"/>
        </w:rPr>
      </w:pPr>
      <w:bookmarkStart w:id="1704" w:name="_Toc438646349"/>
      <w:bookmarkStart w:id="1705" w:name="_Toc455149939"/>
      <w:bookmarkStart w:id="1706" w:name="_Toc485729112"/>
      <w:r w:rsidRPr="0034768D">
        <w:rPr>
          <w:lang w:val="en-AU"/>
        </w:rPr>
        <w:t>International Minutes</w:t>
      </w:r>
      <w:bookmarkEnd w:id="1704"/>
      <w:bookmarkEnd w:id="1705"/>
      <w:bookmarkEnd w:id="1706"/>
    </w:p>
    <w:p w14:paraId="5CADCC1D" w14:textId="77777777" w:rsidR="00920231" w:rsidRPr="0034768D" w:rsidRDefault="00920231" w:rsidP="00920231">
      <w:pPr>
        <w:pStyle w:val="BodyText"/>
        <w:ind w:left="720"/>
      </w:pPr>
      <w:r w:rsidRPr="0034768D">
        <w:t>The $50 My Plan Business 12M SIM plan includes 500 international minutes</w:t>
      </w:r>
      <w:r>
        <w:t xml:space="preserve"> </w:t>
      </w:r>
      <w:r w:rsidRPr="0034768D">
        <w:t>for standard calls to mobiles and fixed lines to selected countries from within Australia. For a list of selected countries see Table 3 below.</w:t>
      </w:r>
    </w:p>
    <w:p w14:paraId="127C5C2A" w14:textId="77777777" w:rsidR="00920231" w:rsidRPr="0034768D" w:rsidRDefault="00920231" w:rsidP="00920231">
      <w:pPr>
        <w:pStyle w:val="BodyText"/>
        <w:ind w:left="720"/>
      </w:pPr>
      <w:r w:rsidRPr="0034768D">
        <w:t xml:space="preserve">Calls are charged per minute. When included international minutes for calls to selected countries are used up, standard </w:t>
      </w:r>
      <w:r>
        <w:t>'</w:t>
      </w:r>
      <w:r w:rsidRPr="0034768D">
        <w:t>yes</w:t>
      </w:r>
      <w:r>
        <w:t>'</w:t>
      </w:r>
      <w:r w:rsidRPr="0034768D">
        <w:t xml:space="preserve"> international call charges apply. </w:t>
      </w:r>
    </w:p>
    <w:p w14:paraId="47E872C0" w14:textId="77777777" w:rsidR="00920231" w:rsidRPr="0034768D" w:rsidRDefault="00920231" w:rsidP="00920231">
      <w:pPr>
        <w:pStyle w:val="Heading6"/>
        <w:ind w:left="0" w:firstLine="0"/>
        <w:rPr>
          <w:lang w:val="en-AU"/>
        </w:rPr>
      </w:pPr>
      <w:bookmarkStart w:id="1707" w:name="_Toc438646350"/>
      <w:bookmarkStart w:id="1708" w:name="_Toc455149940"/>
      <w:bookmarkStart w:id="1709" w:name="_Toc485729113"/>
      <w:r w:rsidRPr="0034768D">
        <w:rPr>
          <w:lang w:val="en-AU"/>
        </w:rPr>
        <w:t>Unlimited standard national SMS and MMS</w:t>
      </w:r>
      <w:bookmarkEnd w:id="1707"/>
      <w:bookmarkEnd w:id="1708"/>
      <w:bookmarkEnd w:id="1709"/>
    </w:p>
    <w:p w14:paraId="3B871222" w14:textId="77777777" w:rsidR="00920231" w:rsidRPr="0034768D" w:rsidRDefault="00920231" w:rsidP="00920231">
      <w:pPr>
        <w:pStyle w:val="BodyText"/>
        <w:ind w:left="720"/>
      </w:pPr>
      <w:r w:rsidRPr="0034768D">
        <w:rPr>
          <w:i/>
        </w:rPr>
        <w:t>You</w:t>
      </w:r>
      <w:r w:rsidRPr="0034768D">
        <w:t xml:space="preserve"> may send unlimited standard SMS and MMS to Australian mobiles from within Australia.</w:t>
      </w:r>
    </w:p>
    <w:p w14:paraId="47CF68C9" w14:textId="77777777" w:rsidR="00920231" w:rsidRPr="0034768D" w:rsidRDefault="00920231" w:rsidP="00920231">
      <w:pPr>
        <w:pStyle w:val="BodyText"/>
        <w:ind w:left="720"/>
        <w:rPr>
          <w:i/>
          <w:u w:val="single"/>
        </w:rPr>
      </w:pPr>
      <w:r w:rsidRPr="0034768D">
        <w:t xml:space="preserve">Unlimited standard national SMS and MMS are only available for personal use and are not to be used for a commercial or non-ordinary purpose as set out in the </w:t>
      </w:r>
      <w:hyperlink r:id="rId752" w:history="1">
        <w:r w:rsidRPr="0034768D">
          <w:rPr>
            <w:rStyle w:val="Hyperlink"/>
            <w:i/>
          </w:rPr>
          <w:t>Fair Go Policy</w:t>
        </w:r>
      </w:hyperlink>
      <w:r w:rsidRPr="0034768D">
        <w:t xml:space="preserve">. For further details refer to </w:t>
      </w:r>
      <w:hyperlink r:id="rId753" w:history="1">
        <w:r w:rsidRPr="0088404F">
          <w:rPr>
            <w:rStyle w:val="Hyperlink"/>
            <w:i/>
          </w:rPr>
          <w:t>Appendix S</w:t>
        </w:r>
      </w:hyperlink>
      <w:r w:rsidRPr="00092720">
        <w:rPr>
          <w:i/>
        </w:rPr>
        <w:t>.</w:t>
      </w:r>
    </w:p>
    <w:p w14:paraId="7AF3B6F7" w14:textId="77777777" w:rsidR="00920231" w:rsidRPr="0034768D" w:rsidRDefault="00920231" w:rsidP="00920231">
      <w:pPr>
        <w:pStyle w:val="Heading6"/>
        <w:ind w:left="0" w:firstLine="0"/>
        <w:rPr>
          <w:lang w:val="en-AU"/>
        </w:rPr>
      </w:pPr>
      <w:bookmarkStart w:id="1710" w:name="_Toc438646351"/>
      <w:bookmarkStart w:id="1711" w:name="_Toc455149941"/>
      <w:bookmarkStart w:id="1712" w:name="_Toc485729114"/>
      <w:r w:rsidRPr="0034768D">
        <w:rPr>
          <w:lang w:val="en-AU"/>
        </w:rPr>
        <w:t>Unlimited standard international SMS and MMS</w:t>
      </w:r>
      <w:bookmarkEnd w:id="1710"/>
      <w:bookmarkEnd w:id="1711"/>
      <w:bookmarkEnd w:id="1712"/>
    </w:p>
    <w:p w14:paraId="72BF1AA9" w14:textId="77777777" w:rsidR="00920231" w:rsidRPr="0034768D" w:rsidRDefault="00920231" w:rsidP="00920231">
      <w:pPr>
        <w:pStyle w:val="BodyText"/>
        <w:ind w:left="720"/>
      </w:pPr>
      <w:r w:rsidRPr="0034768D">
        <w:rPr>
          <w:i/>
        </w:rPr>
        <w:t>You</w:t>
      </w:r>
      <w:r w:rsidRPr="0034768D">
        <w:t xml:space="preserve"> may send unlimited standard SMS and MMS to selected countries from within Australia. For a list of selected countries see Table 3 below.</w:t>
      </w:r>
    </w:p>
    <w:p w14:paraId="286ECC31" w14:textId="77777777" w:rsidR="00920231" w:rsidRDefault="00920231" w:rsidP="00920231">
      <w:pPr>
        <w:pStyle w:val="BodyText"/>
        <w:ind w:left="720"/>
      </w:pPr>
      <w:r w:rsidRPr="0034768D">
        <w:lastRenderedPageBreak/>
        <w:t xml:space="preserve">Unlimited standard SMS and MMS are only available for personal use and are not to be used for a commercial or non-ordinary purpose as set out in the Fair Go Policy. For further details refer to </w:t>
      </w:r>
      <w:hyperlink r:id="rId754" w:history="1">
        <w:r w:rsidRPr="0088404F">
          <w:rPr>
            <w:rStyle w:val="Hyperlink"/>
            <w:i/>
          </w:rPr>
          <w:t>Appendix S</w:t>
        </w:r>
      </w:hyperlink>
      <w:r w:rsidRPr="00092720">
        <w:rPr>
          <w:i/>
        </w:rPr>
        <w:t>.</w:t>
      </w:r>
    </w:p>
    <w:p w14:paraId="3D9C44F3" w14:textId="77777777" w:rsidR="00920231" w:rsidRDefault="00920231" w:rsidP="00920231">
      <w:pPr>
        <w:pStyle w:val="BodyText"/>
        <w:ind w:left="720"/>
      </w:pPr>
      <w:r w:rsidRPr="00230CF2">
        <w:rPr>
          <w:b/>
        </w:rPr>
        <w:t>Table 1 –</w:t>
      </w:r>
      <w:r>
        <w:rPr>
          <w:b/>
        </w:rPr>
        <w:t xml:space="preserve"> </w:t>
      </w:r>
      <w:r w:rsidRPr="00230CF2">
        <w:rPr>
          <w:b/>
        </w:rPr>
        <w:t>Plan Inclusions and Charges</w:t>
      </w:r>
    </w:p>
    <w:tbl>
      <w:tblPr>
        <w:tblW w:w="3942"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1"/>
        <w:gridCol w:w="2504"/>
        <w:gridCol w:w="2357"/>
      </w:tblGrid>
      <w:tr w:rsidR="00920231" w:rsidRPr="00821F91" w14:paraId="35CB16C9" w14:textId="77777777" w:rsidTr="00920231">
        <w:trPr>
          <w:trHeight w:val="192"/>
        </w:trPr>
        <w:tc>
          <w:tcPr>
            <w:tcW w:w="1974" w:type="pct"/>
            <w:shd w:val="clear" w:color="auto" w:fill="auto"/>
          </w:tcPr>
          <w:p w14:paraId="2F0DED41" w14:textId="77777777" w:rsidR="00920231" w:rsidRPr="00B35BA7" w:rsidRDefault="00920231" w:rsidP="00920231">
            <w:pPr>
              <w:pStyle w:val="BodyText"/>
              <w:spacing w:before="100" w:after="100"/>
            </w:pPr>
          </w:p>
        </w:tc>
        <w:tc>
          <w:tcPr>
            <w:tcW w:w="1559" w:type="pct"/>
          </w:tcPr>
          <w:p w14:paraId="44539B53" w14:textId="77777777" w:rsidR="00920231" w:rsidRPr="00821F91" w:rsidRDefault="00920231" w:rsidP="00920231">
            <w:pPr>
              <w:pStyle w:val="BodyText"/>
              <w:spacing w:before="100" w:after="100"/>
              <w:jc w:val="center"/>
              <w:rPr>
                <w:b/>
              </w:rPr>
            </w:pPr>
            <w:r>
              <w:rPr>
                <w:b/>
              </w:rPr>
              <w:t>$3</w:t>
            </w:r>
            <w:r w:rsidRPr="00821F91">
              <w:rPr>
                <w:b/>
              </w:rPr>
              <w:t>0 My Plan Business 12M SIM</w:t>
            </w:r>
          </w:p>
        </w:tc>
        <w:tc>
          <w:tcPr>
            <w:tcW w:w="1467" w:type="pct"/>
          </w:tcPr>
          <w:p w14:paraId="567A8848" w14:textId="77777777" w:rsidR="00920231" w:rsidRPr="00821F91" w:rsidRDefault="00920231" w:rsidP="00920231">
            <w:pPr>
              <w:pStyle w:val="BodyText"/>
              <w:spacing w:before="100" w:after="100"/>
              <w:jc w:val="center"/>
              <w:rPr>
                <w:b/>
              </w:rPr>
            </w:pPr>
            <w:r>
              <w:rPr>
                <w:b/>
              </w:rPr>
              <w:t>$5</w:t>
            </w:r>
            <w:r w:rsidRPr="00821F91">
              <w:rPr>
                <w:b/>
              </w:rPr>
              <w:t>0 My Plan Business 12M SIM</w:t>
            </w:r>
          </w:p>
        </w:tc>
      </w:tr>
      <w:tr w:rsidR="00920231" w:rsidRPr="00821F91" w14:paraId="5EC5D804" w14:textId="77777777" w:rsidTr="00920231">
        <w:tc>
          <w:tcPr>
            <w:tcW w:w="1974" w:type="pct"/>
            <w:shd w:val="clear" w:color="auto" w:fill="auto"/>
          </w:tcPr>
          <w:p w14:paraId="4B35F4AF" w14:textId="77777777" w:rsidR="00920231" w:rsidRPr="00B35BA7" w:rsidRDefault="00920231" w:rsidP="00920231">
            <w:pPr>
              <w:pStyle w:val="BodyText"/>
              <w:spacing w:before="100" w:after="100"/>
            </w:pPr>
            <w:r w:rsidRPr="00B35BA7">
              <w:rPr>
                <w:b/>
                <w:bCs/>
                <w:lang w:eastAsia="en-AU"/>
              </w:rPr>
              <w:t>Minimum Monthly charge</w:t>
            </w:r>
          </w:p>
        </w:tc>
        <w:tc>
          <w:tcPr>
            <w:tcW w:w="1559" w:type="pct"/>
            <w:vAlign w:val="center"/>
          </w:tcPr>
          <w:p w14:paraId="6FF8CB57" w14:textId="77777777" w:rsidR="00920231" w:rsidRPr="00821F91" w:rsidRDefault="00920231" w:rsidP="00920231">
            <w:pPr>
              <w:pStyle w:val="BodyText"/>
              <w:spacing w:before="100" w:after="100"/>
              <w:jc w:val="center"/>
            </w:pPr>
            <w:r>
              <w:t>$30</w:t>
            </w:r>
          </w:p>
        </w:tc>
        <w:tc>
          <w:tcPr>
            <w:tcW w:w="1467" w:type="pct"/>
            <w:vAlign w:val="center"/>
          </w:tcPr>
          <w:p w14:paraId="369DCCC8" w14:textId="77777777" w:rsidR="00920231" w:rsidRPr="00821F91" w:rsidRDefault="00920231" w:rsidP="00920231">
            <w:pPr>
              <w:pStyle w:val="BodyText"/>
              <w:spacing w:before="100" w:after="100"/>
              <w:jc w:val="center"/>
            </w:pPr>
            <w:r>
              <w:t>$50</w:t>
            </w:r>
          </w:p>
        </w:tc>
      </w:tr>
      <w:tr w:rsidR="00920231" w:rsidRPr="00821F91" w14:paraId="55C4BAAF" w14:textId="77777777" w:rsidTr="00920231">
        <w:tc>
          <w:tcPr>
            <w:tcW w:w="1974" w:type="pct"/>
            <w:shd w:val="clear" w:color="auto" w:fill="auto"/>
            <w:vAlign w:val="center"/>
          </w:tcPr>
          <w:p w14:paraId="66FCF69B" w14:textId="77777777" w:rsidR="00920231" w:rsidRPr="00B35BA7" w:rsidRDefault="00920231" w:rsidP="00920231">
            <w:pPr>
              <w:pStyle w:val="BodyText"/>
              <w:spacing w:before="100" w:after="100"/>
            </w:pPr>
            <w:r w:rsidRPr="00B35BA7">
              <w:rPr>
                <w:b/>
                <w:bCs/>
                <w:lang w:eastAsia="en-AU"/>
              </w:rPr>
              <w:t>Included Data</w:t>
            </w:r>
          </w:p>
        </w:tc>
        <w:tc>
          <w:tcPr>
            <w:tcW w:w="1559" w:type="pct"/>
            <w:vAlign w:val="center"/>
          </w:tcPr>
          <w:p w14:paraId="118D7A65" w14:textId="77777777" w:rsidR="00920231" w:rsidRPr="00821F91" w:rsidRDefault="00920231" w:rsidP="00920231">
            <w:pPr>
              <w:pStyle w:val="BodyText"/>
              <w:spacing w:before="100" w:after="100"/>
              <w:jc w:val="center"/>
            </w:pPr>
            <w:r>
              <w:t>1.5GB</w:t>
            </w:r>
          </w:p>
        </w:tc>
        <w:tc>
          <w:tcPr>
            <w:tcW w:w="1467" w:type="pct"/>
            <w:vAlign w:val="center"/>
          </w:tcPr>
          <w:p w14:paraId="7B9D1F3F" w14:textId="77777777" w:rsidR="00920231" w:rsidRPr="00821F91" w:rsidRDefault="00920231" w:rsidP="00920231">
            <w:pPr>
              <w:pStyle w:val="BodyText"/>
              <w:spacing w:before="100" w:after="100"/>
              <w:jc w:val="center"/>
            </w:pPr>
            <w:r>
              <w:t>9GB</w:t>
            </w:r>
          </w:p>
        </w:tc>
      </w:tr>
      <w:tr w:rsidR="00920231" w:rsidRPr="00821F91" w14:paraId="432DB3EF" w14:textId="77777777" w:rsidTr="00920231">
        <w:tc>
          <w:tcPr>
            <w:tcW w:w="1974" w:type="pct"/>
            <w:shd w:val="clear" w:color="auto" w:fill="auto"/>
            <w:vAlign w:val="center"/>
          </w:tcPr>
          <w:p w14:paraId="773A9CB8" w14:textId="77777777" w:rsidR="00920231" w:rsidRPr="00B35BA7" w:rsidRDefault="00920231" w:rsidP="00920231">
            <w:pPr>
              <w:pStyle w:val="BodyText"/>
              <w:spacing w:before="100" w:after="100"/>
              <w:rPr>
                <w:b/>
                <w:bCs/>
                <w:lang w:eastAsia="en-AU"/>
              </w:rPr>
            </w:pPr>
            <w:r>
              <w:rPr>
                <w:b/>
                <w:bCs/>
                <w:lang w:eastAsia="en-AU"/>
              </w:rPr>
              <w:t xml:space="preserve">Additional </w:t>
            </w:r>
            <w:r w:rsidRPr="00B35BA7">
              <w:rPr>
                <w:b/>
                <w:bCs/>
                <w:lang w:eastAsia="en-AU"/>
              </w:rPr>
              <w:t>Data</w:t>
            </w:r>
          </w:p>
        </w:tc>
        <w:tc>
          <w:tcPr>
            <w:tcW w:w="3026" w:type="pct"/>
            <w:gridSpan w:val="2"/>
            <w:vAlign w:val="center"/>
          </w:tcPr>
          <w:p w14:paraId="1E9B342F" w14:textId="77777777" w:rsidR="00920231" w:rsidRDefault="00920231" w:rsidP="00920231">
            <w:pPr>
              <w:pStyle w:val="BodyText"/>
              <w:spacing w:before="100" w:after="100"/>
              <w:jc w:val="center"/>
            </w:pPr>
            <w:r w:rsidRPr="000D70A9">
              <w:t>Additional data $10 per 1GB</w:t>
            </w:r>
          </w:p>
        </w:tc>
      </w:tr>
      <w:tr w:rsidR="00920231" w:rsidRPr="00821F91" w14:paraId="777D9FD5" w14:textId="77777777" w:rsidTr="00920231">
        <w:trPr>
          <w:trHeight w:val="53"/>
        </w:trPr>
        <w:tc>
          <w:tcPr>
            <w:tcW w:w="1974" w:type="pct"/>
            <w:shd w:val="clear" w:color="auto" w:fill="auto"/>
          </w:tcPr>
          <w:p w14:paraId="4B5CAEE4" w14:textId="77777777" w:rsidR="00920231" w:rsidRPr="00B35BA7" w:rsidRDefault="00920231" w:rsidP="00920231">
            <w:pPr>
              <w:pStyle w:val="BodyText"/>
              <w:spacing w:before="100" w:after="100"/>
              <w:rPr>
                <w:b/>
                <w:bCs/>
                <w:lang w:eastAsia="en-AU"/>
              </w:rPr>
            </w:pPr>
            <w:r w:rsidRPr="00B35BA7">
              <w:rPr>
                <w:b/>
                <w:bCs/>
                <w:lang w:eastAsia="en-AU"/>
              </w:rPr>
              <w:t xml:space="preserve">Included Minutes </w:t>
            </w:r>
          </w:p>
          <w:p w14:paraId="3DAE3D37" w14:textId="77777777" w:rsidR="00920231" w:rsidRPr="00B35BA7" w:rsidRDefault="00920231" w:rsidP="00920231">
            <w:pPr>
              <w:pStyle w:val="BodyText"/>
              <w:spacing w:before="100" w:after="100"/>
              <w:rPr>
                <w:b/>
                <w:bCs/>
                <w:lang w:eastAsia="en-AU"/>
              </w:rPr>
            </w:pPr>
            <w:r w:rsidRPr="00B35BA7">
              <w:rPr>
                <w:bCs/>
                <w:lang w:eastAsia="en-AU"/>
              </w:rPr>
              <w:t>for standard national calls to landlines and mobiles, 1300 numbers and voicemail, within Australia</w:t>
            </w:r>
          </w:p>
        </w:tc>
        <w:tc>
          <w:tcPr>
            <w:tcW w:w="1559" w:type="pct"/>
            <w:vAlign w:val="center"/>
          </w:tcPr>
          <w:p w14:paraId="606F3F65" w14:textId="77777777" w:rsidR="00920231" w:rsidRPr="00821F91" w:rsidRDefault="00920231" w:rsidP="00920231">
            <w:pPr>
              <w:pStyle w:val="BodyText"/>
              <w:spacing w:before="100" w:after="100"/>
              <w:jc w:val="center"/>
            </w:pPr>
            <w:r w:rsidRPr="00821F91">
              <w:t>Unlimited</w:t>
            </w:r>
          </w:p>
        </w:tc>
        <w:tc>
          <w:tcPr>
            <w:tcW w:w="1467" w:type="pct"/>
            <w:vAlign w:val="center"/>
          </w:tcPr>
          <w:p w14:paraId="26DFEC6C" w14:textId="77777777" w:rsidR="00920231" w:rsidRPr="00821F91" w:rsidRDefault="00920231" w:rsidP="00920231">
            <w:pPr>
              <w:pStyle w:val="BodyText"/>
              <w:spacing w:before="100" w:after="100"/>
              <w:jc w:val="center"/>
            </w:pPr>
            <w:r w:rsidRPr="00821F91">
              <w:t>Unlimited</w:t>
            </w:r>
          </w:p>
        </w:tc>
      </w:tr>
      <w:tr w:rsidR="00920231" w:rsidRPr="00821F91" w14:paraId="1433C74D" w14:textId="77777777" w:rsidTr="00920231">
        <w:tc>
          <w:tcPr>
            <w:tcW w:w="1974" w:type="pct"/>
            <w:shd w:val="clear" w:color="auto" w:fill="auto"/>
          </w:tcPr>
          <w:p w14:paraId="29699BDA" w14:textId="77777777" w:rsidR="00920231" w:rsidRPr="00B35BA7" w:rsidRDefault="00920231" w:rsidP="00920231">
            <w:pPr>
              <w:pStyle w:val="BodyText"/>
              <w:spacing w:before="100" w:after="100"/>
              <w:rPr>
                <w:b/>
                <w:bCs/>
                <w:lang w:eastAsia="en-AU"/>
              </w:rPr>
            </w:pPr>
            <w:r w:rsidRPr="00B35BA7">
              <w:rPr>
                <w:b/>
                <w:bCs/>
                <w:lang w:eastAsia="en-AU"/>
              </w:rPr>
              <w:t>Included International Minutes</w:t>
            </w:r>
          </w:p>
          <w:p w14:paraId="538CBC35" w14:textId="77777777" w:rsidR="00920231" w:rsidRPr="00B35BA7" w:rsidRDefault="00920231" w:rsidP="00920231">
            <w:pPr>
              <w:pStyle w:val="BodyText"/>
              <w:spacing w:before="100" w:after="100"/>
              <w:rPr>
                <w:b/>
                <w:bCs/>
                <w:lang w:eastAsia="en-AU"/>
              </w:rPr>
            </w:pPr>
            <w:r w:rsidRPr="00B35BA7">
              <w:rPr>
                <w:lang w:eastAsia="en-AU"/>
              </w:rPr>
              <w:t>Standard international calls to landlines and mobiles</w:t>
            </w:r>
            <w:r>
              <w:rPr>
                <w:lang w:eastAsia="en-AU"/>
              </w:rPr>
              <w:t xml:space="preserve"> </w:t>
            </w:r>
            <w:r w:rsidRPr="00B35BA7">
              <w:rPr>
                <w:lang w:eastAsia="en-AU"/>
              </w:rPr>
              <w:t xml:space="preserve">to selected countries </w:t>
            </w:r>
          </w:p>
        </w:tc>
        <w:tc>
          <w:tcPr>
            <w:tcW w:w="1559" w:type="pct"/>
            <w:vAlign w:val="center"/>
          </w:tcPr>
          <w:p w14:paraId="591D1811" w14:textId="77777777" w:rsidR="00920231" w:rsidRPr="00821F91" w:rsidRDefault="00920231" w:rsidP="00920231">
            <w:pPr>
              <w:pStyle w:val="BodyText"/>
              <w:spacing w:before="100" w:after="100"/>
              <w:jc w:val="center"/>
              <w:rPr>
                <w:bCs/>
              </w:rPr>
            </w:pPr>
            <w:r>
              <w:rPr>
                <w:bCs/>
              </w:rPr>
              <w:t>Not included</w:t>
            </w:r>
          </w:p>
        </w:tc>
        <w:tc>
          <w:tcPr>
            <w:tcW w:w="1467" w:type="pct"/>
            <w:vAlign w:val="center"/>
          </w:tcPr>
          <w:p w14:paraId="4C3123B5" w14:textId="77777777" w:rsidR="00920231" w:rsidRPr="00821F91" w:rsidRDefault="00920231" w:rsidP="00920231">
            <w:pPr>
              <w:pStyle w:val="BodyText"/>
              <w:spacing w:before="100" w:after="100"/>
              <w:jc w:val="center"/>
              <w:rPr>
                <w:bCs/>
              </w:rPr>
            </w:pPr>
            <w:r>
              <w:rPr>
                <w:bCs/>
              </w:rPr>
              <w:t>Up to 500 mins</w:t>
            </w:r>
          </w:p>
        </w:tc>
      </w:tr>
      <w:tr w:rsidR="00920231" w:rsidRPr="00821F91" w14:paraId="61F38B98" w14:textId="77777777" w:rsidTr="00920231">
        <w:tc>
          <w:tcPr>
            <w:tcW w:w="1974" w:type="pct"/>
            <w:shd w:val="clear" w:color="auto" w:fill="auto"/>
          </w:tcPr>
          <w:p w14:paraId="217181B5" w14:textId="77777777" w:rsidR="00920231" w:rsidRPr="00B35BA7" w:rsidRDefault="00920231" w:rsidP="00920231">
            <w:pPr>
              <w:pStyle w:val="BodyText"/>
              <w:spacing w:before="100" w:after="100"/>
            </w:pPr>
            <w:r w:rsidRPr="00B35BA7">
              <w:rPr>
                <w:b/>
                <w:bCs/>
                <w:lang w:eastAsia="en-AU"/>
              </w:rPr>
              <w:t xml:space="preserve">Standard national SMS </w:t>
            </w:r>
            <w:r w:rsidRPr="00B35BA7">
              <w:rPr>
                <w:lang w:eastAsia="en-AU"/>
              </w:rPr>
              <w:t>(per SMS of up to 160 standard characters)</w:t>
            </w:r>
          </w:p>
        </w:tc>
        <w:tc>
          <w:tcPr>
            <w:tcW w:w="1559" w:type="pct"/>
            <w:vAlign w:val="center"/>
          </w:tcPr>
          <w:p w14:paraId="1A89C117" w14:textId="77777777" w:rsidR="00920231" w:rsidRPr="00821F91" w:rsidRDefault="00920231" w:rsidP="00920231">
            <w:pPr>
              <w:pStyle w:val="BodyText"/>
              <w:spacing w:before="100" w:after="100"/>
              <w:jc w:val="center"/>
            </w:pPr>
            <w:r w:rsidRPr="004E271E">
              <w:t>Unlimited</w:t>
            </w:r>
          </w:p>
        </w:tc>
        <w:tc>
          <w:tcPr>
            <w:tcW w:w="1467" w:type="pct"/>
            <w:vAlign w:val="center"/>
          </w:tcPr>
          <w:p w14:paraId="31C15C02" w14:textId="77777777" w:rsidR="00920231" w:rsidRPr="00821F91" w:rsidRDefault="00920231" w:rsidP="00920231">
            <w:pPr>
              <w:pStyle w:val="BodyText"/>
              <w:spacing w:before="100" w:after="100"/>
              <w:jc w:val="center"/>
            </w:pPr>
            <w:r w:rsidRPr="00BE355D">
              <w:t>Unlimited</w:t>
            </w:r>
          </w:p>
        </w:tc>
      </w:tr>
      <w:tr w:rsidR="00920231" w:rsidRPr="00821F91" w14:paraId="625910C2" w14:textId="77777777" w:rsidTr="00920231">
        <w:tc>
          <w:tcPr>
            <w:tcW w:w="1974" w:type="pct"/>
            <w:shd w:val="clear" w:color="auto" w:fill="auto"/>
          </w:tcPr>
          <w:p w14:paraId="573F4260" w14:textId="77777777" w:rsidR="00920231" w:rsidRPr="00B35BA7" w:rsidRDefault="00920231" w:rsidP="00920231">
            <w:pPr>
              <w:pStyle w:val="BodyText"/>
              <w:spacing w:before="100" w:after="100"/>
              <w:rPr>
                <w:b/>
                <w:bCs/>
                <w:lang w:eastAsia="en-AU"/>
              </w:rPr>
            </w:pPr>
            <w:r w:rsidRPr="00B35BA7">
              <w:rPr>
                <w:b/>
                <w:bCs/>
                <w:lang w:eastAsia="en-AU"/>
              </w:rPr>
              <w:t xml:space="preserve">Standard national MMS </w:t>
            </w:r>
            <w:r w:rsidRPr="00B35BA7">
              <w:rPr>
                <w:lang w:eastAsia="en-AU"/>
              </w:rPr>
              <w:t>(per message)</w:t>
            </w:r>
          </w:p>
        </w:tc>
        <w:tc>
          <w:tcPr>
            <w:tcW w:w="1559" w:type="pct"/>
            <w:vAlign w:val="center"/>
          </w:tcPr>
          <w:p w14:paraId="30E235E4" w14:textId="77777777" w:rsidR="00920231" w:rsidRPr="00821F91" w:rsidRDefault="00920231" w:rsidP="00920231">
            <w:pPr>
              <w:pStyle w:val="BodyText"/>
              <w:spacing w:before="100" w:after="100"/>
              <w:jc w:val="center"/>
            </w:pPr>
            <w:r w:rsidRPr="004E271E">
              <w:t>Unlimited</w:t>
            </w:r>
          </w:p>
        </w:tc>
        <w:tc>
          <w:tcPr>
            <w:tcW w:w="1467" w:type="pct"/>
            <w:vAlign w:val="center"/>
          </w:tcPr>
          <w:p w14:paraId="713A3D92" w14:textId="77777777" w:rsidR="00920231" w:rsidRPr="00821F91" w:rsidRDefault="00920231" w:rsidP="00920231">
            <w:pPr>
              <w:pStyle w:val="BodyText"/>
              <w:spacing w:before="100" w:after="100"/>
              <w:jc w:val="center"/>
            </w:pPr>
            <w:r w:rsidRPr="00BE355D">
              <w:t>Unlimited</w:t>
            </w:r>
          </w:p>
        </w:tc>
      </w:tr>
      <w:tr w:rsidR="00920231" w:rsidRPr="00821F91" w14:paraId="3C266ED3" w14:textId="77777777" w:rsidTr="00920231">
        <w:tc>
          <w:tcPr>
            <w:tcW w:w="1974" w:type="pct"/>
            <w:shd w:val="clear" w:color="auto" w:fill="auto"/>
          </w:tcPr>
          <w:p w14:paraId="0DE4D319" w14:textId="77777777" w:rsidR="00920231" w:rsidRPr="00B35BA7" w:rsidDel="00064B49" w:rsidRDefault="00920231" w:rsidP="00920231">
            <w:pPr>
              <w:pStyle w:val="BodyText"/>
              <w:spacing w:before="100" w:after="100"/>
              <w:rPr>
                <w:b/>
                <w:bCs/>
                <w:lang w:eastAsia="en-AU"/>
              </w:rPr>
            </w:pPr>
            <w:r w:rsidRPr="00B35BA7">
              <w:rPr>
                <w:b/>
                <w:bCs/>
                <w:lang w:eastAsia="en-AU"/>
              </w:rPr>
              <w:t xml:space="preserve">Standard international SMS </w:t>
            </w:r>
            <w:r w:rsidRPr="00B35BA7">
              <w:rPr>
                <w:lang w:eastAsia="en-AU"/>
              </w:rPr>
              <w:t>(per SMS of up to 160 standard characters to selected countries)</w:t>
            </w:r>
          </w:p>
        </w:tc>
        <w:tc>
          <w:tcPr>
            <w:tcW w:w="1559" w:type="pct"/>
            <w:vAlign w:val="center"/>
          </w:tcPr>
          <w:p w14:paraId="1E8319C9" w14:textId="77777777" w:rsidR="00920231" w:rsidRPr="00821F91" w:rsidRDefault="00920231" w:rsidP="00920231">
            <w:pPr>
              <w:pStyle w:val="BodyText"/>
              <w:spacing w:before="100" w:after="100"/>
              <w:jc w:val="center"/>
            </w:pPr>
            <w:r w:rsidRPr="004E271E">
              <w:t>Unlimited</w:t>
            </w:r>
          </w:p>
        </w:tc>
        <w:tc>
          <w:tcPr>
            <w:tcW w:w="1467" w:type="pct"/>
            <w:vAlign w:val="center"/>
          </w:tcPr>
          <w:p w14:paraId="2680F43C" w14:textId="77777777" w:rsidR="00920231" w:rsidRPr="00821F91" w:rsidRDefault="00920231" w:rsidP="00920231">
            <w:pPr>
              <w:pStyle w:val="BodyText"/>
              <w:spacing w:before="100" w:after="100"/>
              <w:jc w:val="center"/>
            </w:pPr>
            <w:r w:rsidRPr="00BE355D">
              <w:t>Unlimited</w:t>
            </w:r>
          </w:p>
        </w:tc>
      </w:tr>
      <w:tr w:rsidR="00920231" w:rsidRPr="00821F91" w14:paraId="57EDF7AC" w14:textId="77777777" w:rsidTr="00920231">
        <w:tc>
          <w:tcPr>
            <w:tcW w:w="1974" w:type="pct"/>
            <w:shd w:val="clear" w:color="auto" w:fill="auto"/>
          </w:tcPr>
          <w:p w14:paraId="29766401" w14:textId="77777777" w:rsidR="00920231" w:rsidRPr="00B35BA7" w:rsidRDefault="00920231" w:rsidP="00920231">
            <w:pPr>
              <w:pStyle w:val="BodyText"/>
              <w:spacing w:before="100" w:after="100"/>
              <w:rPr>
                <w:b/>
                <w:bCs/>
                <w:lang w:eastAsia="en-AU"/>
              </w:rPr>
            </w:pPr>
            <w:r w:rsidRPr="00B35BA7">
              <w:rPr>
                <w:b/>
                <w:bCs/>
                <w:lang w:eastAsia="en-AU"/>
              </w:rPr>
              <w:t xml:space="preserve">Standard international MMS </w:t>
            </w:r>
            <w:r w:rsidRPr="00B35BA7">
              <w:rPr>
                <w:lang w:eastAsia="en-AU"/>
              </w:rPr>
              <w:t>(per message to selected countries)</w:t>
            </w:r>
          </w:p>
        </w:tc>
        <w:tc>
          <w:tcPr>
            <w:tcW w:w="1559" w:type="pct"/>
            <w:vAlign w:val="center"/>
          </w:tcPr>
          <w:p w14:paraId="3DE73B8D" w14:textId="77777777" w:rsidR="00920231" w:rsidRPr="00821F91" w:rsidRDefault="00920231" w:rsidP="00920231">
            <w:pPr>
              <w:pStyle w:val="BodyText"/>
              <w:spacing w:before="100" w:after="100"/>
              <w:jc w:val="center"/>
            </w:pPr>
            <w:r w:rsidRPr="004E271E">
              <w:t>Unlimited</w:t>
            </w:r>
          </w:p>
        </w:tc>
        <w:tc>
          <w:tcPr>
            <w:tcW w:w="1467" w:type="pct"/>
            <w:vAlign w:val="center"/>
          </w:tcPr>
          <w:p w14:paraId="6AE46B1C" w14:textId="77777777" w:rsidR="00920231" w:rsidRPr="00821F91" w:rsidRDefault="00920231" w:rsidP="00920231">
            <w:pPr>
              <w:pStyle w:val="BodyText"/>
              <w:spacing w:before="100" w:after="100"/>
              <w:jc w:val="center"/>
            </w:pPr>
            <w:r w:rsidRPr="00BE355D">
              <w:t>Unlimited</w:t>
            </w:r>
          </w:p>
        </w:tc>
      </w:tr>
      <w:tr w:rsidR="00920231" w:rsidRPr="00821F91" w14:paraId="2D2D8E82" w14:textId="77777777" w:rsidTr="00920231">
        <w:tc>
          <w:tcPr>
            <w:tcW w:w="1974" w:type="pct"/>
            <w:shd w:val="clear" w:color="auto" w:fill="auto"/>
          </w:tcPr>
          <w:p w14:paraId="5F436DE7" w14:textId="77777777" w:rsidR="00920231" w:rsidRPr="00B35BA7" w:rsidRDefault="00920231" w:rsidP="00920231">
            <w:pPr>
              <w:pStyle w:val="BodyText"/>
              <w:spacing w:before="100" w:after="100"/>
              <w:rPr>
                <w:b/>
                <w:bCs/>
                <w:lang w:eastAsia="en-AU"/>
              </w:rPr>
            </w:pPr>
            <w:r w:rsidRPr="00B35BA7">
              <w:rPr>
                <w:b/>
                <w:bCs/>
                <w:lang w:eastAsia="en-AU"/>
              </w:rPr>
              <w:t xml:space="preserve">Minimum total cost over 12 months </w:t>
            </w:r>
          </w:p>
        </w:tc>
        <w:tc>
          <w:tcPr>
            <w:tcW w:w="1559" w:type="pct"/>
            <w:vAlign w:val="center"/>
          </w:tcPr>
          <w:p w14:paraId="38DC30C1" w14:textId="77777777" w:rsidR="00920231" w:rsidRPr="00821F91" w:rsidRDefault="00920231" w:rsidP="00920231">
            <w:pPr>
              <w:pStyle w:val="BodyText"/>
              <w:spacing w:before="100" w:after="100"/>
              <w:jc w:val="center"/>
            </w:pPr>
            <w:r>
              <w:t>$360</w:t>
            </w:r>
          </w:p>
        </w:tc>
        <w:tc>
          <w:tcPr>
            <w:tcW w:w="1467" w:type="pct"/>
            <w:vAlign w:val="center"/>
          </w:tcPr>
          <w:p w14:paraId="72471CEC" w14:textId="77777777" w:rsidR="00920231" w:rsidRPr="00821F91" w:rsidRDefault="00920231" w:rsidP="00920231">
            <w:pPr>
              <w:pStyle w:val="BodyText"/>
              <w:spacing w:before="100" w:after="100"/>
              <w:jc w:val="center"/>
            </w:pPr>
            <w:r>
              <w:t>$600</w:t>
            </w:r>
          </w:p>
        </w:tc>
      </w:tr>
    </w:tbl>
    <w:p w14:paraId="47C0E5F8" w14:textId="77777777" w:rsidR="00920231" w:rsidRPr="00230CF2" w:rsidRDefault="00920231" w:rsidP="00920231">
      <w:pPr>
        <w:pStyle w:val="BodyText"/>
        <w:spacing w:before="240"/>
        <w:ind w:left="720"/>
        <w:rPr>
          <w:b/>
        </w:rPr>
      </w:pPr>
      <w:r w:rsidRPr="00230CF2">
        <w:rPr>
          <w:b/>
        </w:rPr>
        <w:t>Table 2 – Other usage types and charges</w:t>
      </w:r>
    </w:p>
    <w:tbl>
      <w:tblPr>
        <w:tblW w:w="927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35"/>
        <w:gridCol w:w="4635"/>
      </w:tblGrid>
      <w:tr w:rsidR="00920231" w:rsidRPr="00B35BA7" w14:paraId="1F54CD25" w14:textId="77777777" w:rsidTr="00920231">
        <w:trPr>
          <w:tblHeader/>
        </w:trPr>
        <w:tc>
          <w:tcPr>
            <w:tcW w:w="4635" w:type="dxa"/>
            <w:shd w:val="clear" w:color="auto" w:fill="auto"/>
          </w:tcPr>
          <w:p w14:paraId="4E4345A4" w14:textId="77777777" w:rsidR="00920231" w:rsidRPr="00386EB7" w:rsidRDefault="00920231" w:rsidP="00920231">
            <w:pPr>
              <w:pStyle w:val="BodyText"/>
              <w:spacing w:before="100" w:after="100"/>
              <w:jc w:val="center"/>
              <w:rPr>
                <w:b/>
              </w:rPr>
            </w:pPr>
            <w:r w:rsidRPr="00386EB7">
              <w:rPr>
                <w:b/>
              </w:rPr>
              <w:t>Usage type</w:t>
            </w:r>
          </w:p>
        </w:tc>
        <w:tc>
          <w:tcPr>
            <w:tcW w:w="4635" w:type="dxa"/>
            <w:shd w:val="clear" w:color="auto" w:fill="auto"/>
            <w:vAlign w:val="center"/>
          </w:tcPr>
          <w:p w14:paraId="05D389A9" w14:textId="77777777" w:rsidR="00920231" w:rsidRPr="00386EB7" w:rsidRDefault="00920231" w:rsidP="00920231">
            <w:pPr>
              <w:pStyle w:val="BodyText"/>
              <w:spacing w:before="100" w:after="100"/>
              <w:jc w:val="center"/>
              <w:rPr>
                <w:b/>
              </w:rPr>
            </w:pPr>
            <w:r w:rsidRPr="00386EB7">
              <w:rPr>
                <w:b/>
              </w:rPr>
              <w:t>Charge</w:t>
            </w:r>
          </w:p>
        </w:tc>
      </w:tr>
      <w:tr w:rsidR="00920231" w:rsidRPr="00B35BA7" w14:paraId="66F9C267" w14:textId="77777777" w:rsidTr="00920231">
        <w:tc>
          <w:tcPr>
            <w:tcW w:w="4635" w:type="dxa"/>
            <w:shd w:val="clear" w:color="auto" w:fill="auto"/>
          </w:tcPr>
          <w:p w14:paraId="134ED97D" w14:textId="77777777" w:rsidR="00920231" w:rsidRPr="00386EB7" w:rsidRDefault="00920231" w:rsidP="00920231">
            <w:pPr>
              <w:pStyle w:val="BodyText"/>
              <w:spacing w:before="100" w:after="100"/>
              <w:rPr>
                <w:b/>
              </w:rPr>
            </w:pPr>
            <w:r w:rsidRPr="00386EB7">
              <w:rPr>
                <w:b/>
                <w:bCs/>
                <w:lang w:eastAsia="en-AU"/>
              </w:rPr>
              <w:t xml:space="preserve">National video calls </w:t>
            </w:r>
            <w:r w:rsidRPr="00386EB7">
              <w:rPr>
                <w:b/>
                <w:lang w:eastAsia="en-AU"/>
              </w:rPr>
              <w:t>(per minute)</w:t>
            </w:r>
          </w:p>
        </w:tc>
        <w:tc>
          <w:tcPr>
            <w:tcW w:w="4635" w:type="dxa"/>
            <w:shd w:val="clear" w:color="auto" w:fill="auto"/>
            <w:vAlign w:val="center"/>
          </w:tcPr>
          <w:p w14:paraId="52FA4A1B" w14:textId="77777777" w:rsidR="00920231" w:rsidRPr="00B35BA7" w:rsidRDefault="00920231" w:rsidP="00920231">
            <w:pPr>
              <w:pStyle w:val="BodyText"/>
              <w:spacing w:before="100" w:after="100"/>
              <w:jc w:val="center"/>
            </w:pPr>
            <w:r w:rsidRPr="00B35BA7">
              <w:t>$1.00 per min + 40c flagfall</w:t>
            </w:r>
          </w:p>
        </w:tc>
      </w:tr>
      <w:tr w:rsidR="00920231" w:rsidRPr="00B35BA7" w14:paraId="6BFBE3A5" w14:textId="77777777" w:rsidTr="00920231">
        <w:tc>
          <w:tcPr>
            <w:tcW w:w="4635" w:type="dxa"/>
            <w:shd w:val="clear" w:color="auto" w:fill="auto"/>
          </w:tcPr>
          <w:p w14:paraId="16A3C608" w14:textId="77777777" w:rsidR="00920231" w:rsidRPr="00386EB7" w:rsidRDefault="00920231" w:rsidP="00920231">
            <w:pPr>
              <w:pStyle w:val="BodyText"/>
              <w:spacing w:before="100" w:after="100"/>
              <w:rPr>
                <w:b/>
              </w:rPr>
            </w:pPr>
            <w:r w:rsidRPr="00386EB7">
              <w:rPr>
                <w:b/>
                <w:bCs/>
                <w:lang w:eastAsia="en-AU"/>
              </w:rPr>
              <w:t xml:space="preserve">VoiceMail Deposits </w:t>
            </w:r>
          </w:p>
        </w:tc>
        <w:tc>
          <w:tcPr>
            <w:tcW w:w="4635" w:type="dxa"/>
            <w:shd w:val="clear" w:color="auto" w:fill="auto"/>
          </w:tcPr>
          <w:p w14:paraId="23F0E7DE" w14:textId="77777777" w:rsidR="00920231" w:rsidRPr="00B35BA7" w:rsidRDefault="00920231" w:rsidP="00920231">
            <w:pPr>
              <w:pStyle w:val="BodyText"/>
              <w:spacing w:before="100" w:after="100"/>
              <w:jc w:val="center"/>
              <w:rPr>
                <w:lang w:eastAsia="en-AU"/>
              </w:rPr>
            </w:pPr>
            <w:r w:rsidRPr="00B35BA7">
              <w:t>$0 per minute</w:t>
            </w:r>
          </w:p>
        </w:tc>
      </w:tr>
      <w:tr w:rsidR="00920231" w:rsidRPr="00B35BA7" w14:paraId="0602BC85" w14:textId="77777777" w:rsidTr="00920231">
        <w:tc>
          <w:tcPr>
            <w:tcW w:w="4635" w:type="dxa"/>
            <w:shd w:val="clear" w:color="auto" w:fill="auto"/>
          </w:tcPr>
          <w:p w14:paraId="39593364" w14:textId="77777777" w:rsidR="00920231" w:rsidRPr="00386EB7" w:rsidRDefault="00920231" w:rsidP="00920231">
            <w:pPr>
              <w:pStyle w:val="BodyText"/>
              <w:spacing w:before="100" w:after="100"/>
              <w:rPr>
                <w:b/>
              </w:rPr>
            </w:pPr>
            <w:r w:rsidRPr="00386EB7">
              <w:rPr>
                <w:b/>
                <w:bCs/>
                <w:lang w:eastAsia="en-AU"/>
              </w:rPr>
              <w:t>Voicemail Diversions</w:t>
            </w:r>
          </w:p>
        </w:tc>
        <w:tc>
          <w:tcPr>
            <w:tcW w:w="4635" w:type="dxa"/>
            <w:shd w:val="clear" w:color="auto" w:fill="auto"/>
          </w:tcPr>
          <w:p w14:paraId="2E15664F" w14:textId="77777777" w:rsidR="00920231" w:rsidRPr="00B35BA7" w:rsidRDefault="00920231" w:rsidP="00920231">
            <w:pPr>
              <w:pStyle w:val="BodyText"/>
              <w:spacing w:before="100" w:after="100"/>
              <w:jc w:val="center"/>
            </w:pPr>
            <w:r w:rsidRPr="00B35BA7">
              <w:t>$0 per minute</w:t>
            </w:r>
          </w:p>
        </w:tc>
      </w:tr>
      <w:tr w:rsidR="00920231" w:rsidRPr="00B35BA7" w14:paraId="43C84ED2" w14:textId="77777777" w:rsidTr="00920231">
        <w:tc>
          <w:tcPr>
            <w:tcW w:w="4635" w:type="dxa"/>
            <w:shd w:val="clear" w:color="auto" w:fill="auto"/>
          </w:tcPr>
          <w:p w14:paraId="3206E94C" w14:textId="77777777" w:rsidR="00920231" w:rsidRPr="00386EB7" w:rsidRDefault="00920231" w:rsidP="00920231">
            <w:pPr>
              <w:pStyle w:val="BodyText"/>
              <w:spacing w:before="100" w:after="100"/>
              <w:rPr>
                <w:b/>
                <w:bCs/>
                <w:lang w:eastAsia="en-AU"/>
              </w:rPr>
            </w:pPr>
            <w:r w:rsidRPr="00386EB7">
              <w:rPr>
                <w:b/>
                <w:bCs/>
                <w:lang w:eastAsia="en-AU"/>
              </w:rPr>
              <w:t>National Diversions</w:t>
            </w:r>
          </w:p>
        </w:tc>
        <w:tc>
          <w:tcPr>
            <w:tcW w:w="4635" w:type="dxa"/>
            <w:shd w:val="clear" w:color="auto" w:fill="auto"/>
          </w:tcPr>
          <w:p w14:paraId="4E30DE2D" w14:textId="77777777" w:rsidR="00920231" w:rsidRPr="00B35BA7" w:rsidRDefault="00920231" w:rsidP="00920231">
            <w:pPr>
              <w:pStyle w:val="BodyText"/>
              <w:spacing w:before="100" w:after="100"/>
              <w:jc w:val="center"/>
            </w:pPr>
            <w:r w:rsidRPr="00B35BA7">
              <w:t>$0 per minute</w:t>
            </w:r>
          </w:p>
        </w:tc>
      </w:tr>
      <w:tr w:rsidR="00920231" w:rsidRPr="00B35BA7" w14:paraId="77697FA0" w14:textId="77777777" w:rsidTr="00920231">
        <w:trPr>
          <w:trHeight w:val="183"/>
        </w:trPr>
        <w:tc>
          <w:tcPr>
            <w:tcW w:w="4635" w:type="dxa"/>
            <w:shd w:val="clear" w:color="auto" w:fill="auto"/>
          </w:tcPr>
          <w:p w14:paraId="7684AC65" w14:textId="77777777" w:rsidR="00920231" w:rsidRPr="00386EB7" w:rsidRDefault="00920231" w:rsidP="00920231">
            <w:pPr>
              <w:pStyle w:val="BodyText"/>
              <w:spacing w:before="100" w:after="100"/>
              <w:rPr>
                <w:b/>
                <w:bCs/>
                <w:lang w:eastAsia="en-AU"/>
              </w:rPr>
            </w:pPr>
            <w:r w:rsidRPr="00386EB7">
              <w:rPr>
                <w:b/>
                <w:bCs/>
                <w:lang w:eastAsia="en-AU"/>
              </w:rPr>
              <w:t xml:space="preserve">International Diversions </w:t>
            </w:r>
          </w:p>
        </w:tc>
        <w:tc>
          <w:tcPr>
            <w:tcW w:w="4635" w:type="dxa"/>
            <w:shd w:val="clear" w:color="auto" w:fill="auto"/>
          </w:tcPr>
          <w:p w14:paraId="5AD6A44A" w14:textId="77777777" w:rsidR="00920231" w:rsidRPr="00B35BA7" w:rsidRDefault="00920231" w:rsidP="00920231">
            <w:pPr>
              <w:pStyle w:val="BodyText"/>
              <w:spacing w:before="100" w:after="100"/>
              <w:jc w:val="center"/>
            </w:pPr>
            <w:r>
              <w:t>'</w:t>
            </w:r>
            <w:r w:rsidRPr="00B35BA7">
              <w:t>yes</w:t>
            </w:r>
            <w:r>
              <w:t>'</w:t>
            </w:r>
            <w:r w:rsidRPr="00B35BA7">
              <w:t xml:space="preserve"> international rates</w:t>
            </w:r>
            <w:r w:rsidRPr="00B35BA7">
              <w:br/>
              <w:t>See optus.com.au/international</w:t>
            </w:r>
          </w:p>
        </w:tc>
      </w:tr>
      <w:tr w:rsidR="00920231" w:rsidRPr="00B35BA7" w14:paraId="4B28CD2B" w14:textId="77777777" w:rsidTr="00920231">
        <w:tc>
          <w:tcPr>
            <w:tcW w:w="4635" w:type="dxa"/>
            <w:shd w:val="clear" w:color="auto" w:fill="auto"/>
          </w:tcPr>
          <w:p w14:paraId="255207AD" w14:textId="77777777" w:rsidR="00920231" w:rsidRPr="00386EB7" w:rsidRDefault="00920231" w:rsidP="00920231">
            <w:pPr>
              <w:pStyle w:val="BodyText"/>
              <w:spacing w:before="100" w:after="100"/>
              <w:rPr>
                <w:b/>
                <w:bCs/>
                <w:lang w:eastAsia="en-AU"/>
              </w:rPr>
            </w:pPr>
            <w:r w:rsidRPr="00386EB7">
              <w:rPr>
                <w:b/>
                <w:bCs/>
                <w:lang w:eastAsia="en-AU"/>
              </w:rPr>
              <w:t xml:space="preserve">1800 numbers </w:t>
            </w:r>
          </w:p>
        </w:tc>
        <w:tc>
          <w:tcPr>
            <w:tcW w:w="4635" w:type="dxa"/>
            <w:shd w:val="clear" w:color="auto" w:fill="auto"/>
            <w:vAlign w:val="center"/>
          </w:tcPr>
          <w:p w14:paraId="56FD36B6" w14:textId="77777777" w:rsidR="00920231" w:rsidRPr="00B35BA7" w:rsidRDefault="00920231" w:rsidP="00920231">
            <w:pPr>
              <w:pStyle w:val="BodyText"/>
              <w:spacing w:before="100" w:after="100"/>
              <w:jc w:val="center"/>
            </w:pPr>
            <w:r w:rsidRPr="00B35BA7">
              <w:t>$0 per minute</w:t>
            </w:r>
          </w:p>
        </w:tc>
      </w:tr>
      <w:tr w:rsidR="00920231" w:rsidRPr="00B35BA7" w14:paraId="4CD2F28C" w14:textId="77777777" w:rsidTr="00920231">
        <w:tc>
          <w:tcPr>
            <w:tcW w:w="4635" w:type="dxa"/>
            <w:shd w:val="clear" w:color="auto" w:fill="auto"/>
          </w:tcPr>
          <w:p w14:paraId="7753B76B" w14:textId="77777777" w:rsidR="00920231" w:rsidRPr="00386EB7" w:rsidRDefault="00920231" w:rsidP="00920231">
            <w:pPr>
              <w:pStyle w:val="BodyText"/>
              <w:spacing w:before="100" w:after="100"/>
              <w:rPr>
                <w:b/>
                <w:bCs/>
                <w:lang w:eastAsia="en-AU"/>
              </w:rPr>
            </w:pPr>
            <w:r w:rsidRPr="00386EB7">
              <w:rPr>
                <w:b/>
                <w:bCs/>
                <w:lang w:eastAsia="en-AU"/>
              </w:rPr>
              <w:lastRenderedPageBreak/>
              <w:t xml:space="preserve">Directory Assistance 1223 </w:t>
            </w:r>
          </w:p>
        </w:tc>
        <w:tc>
          <w:tcPr>
            <w:tcW w:w="4635" w:type="dxa"/>
            <w:shd w:val="clear" w:color="auto" w:fill="auto"/>
            <w:vAlign w:val="center"/>
          </w:tcPr>
          <w:p w14:paraId="61B08B0A" w14:textId="77777777" w:rsidR="00920231" w:rsidRPr="00B35BA7" w:rsidRDefault="00920231" w:rsidP="00920231">
            <w:pPr>
              <w:pStyle w:val="BodyText"/>
              <w:spacing w:before="100" w:after="100"/>
              <w:jc w:val="center"/>
            </w:pPr>
            <w:r w:rsidRPr="00B35BA7">
              <w:t>50c per call</w:t>
            </w:r>
          </w:p>
        </w:tc>
      </w:tr>
      <w:tr w:rsidR="00920231" w:rsidRPr="00B35BA7" w14:paraId="22E20487" w14:textId="77777777" w:rsidTr="00920231">
        <w:tc>
          <w:tcPr>
            <w:tcW w:w="4635" w:type="dxa"/>
            <w:shd w:val="clear" w:color="auto" w:fill="auto"/>
          </w:tcPr>
          <w:p w14:paraId="53AFBE9F" w14:textId="77777777" w:rsidR="00920231" w:rsidRPr="00386EB7" w:rsidRDefault="00920231" w:rsidP="00920231">
            <w:pPr>
              <w:pStyle w:val="BodyText"/>
              <w:spacing w:before="100" w:after="100"/>
              <w:rPr>
                <w:b/>
                <w:bCs/>
                <w:lang w:eastAsia="en-AU"/>
              </w:rPr>
            </w:pPr>
            <w:r w:rsidRPr="00386EB7">
              <w:rPr>
                <w:b/>
                <w:bCs/>
                <w:lang w:eastAsia="en-AU"/>
              </w:rPr>
              <w:t>124 Yes</w:t>
            </w:r>
          </w:p>
        </w:tc>
        <w:tc>
          <w:tcPr>
            <w:tcW w:w="4635" w:type="dxa"/>
            <w:shd w:val="clear" w:color="auto" w:fill="auto"/>
            <w:vAlign w:val="center"/>
          </w:tcPr>
          <w:p w14:paraId="1830CAD5" w14:textId="77777777" w:rsidR="00920231" w:rsidRPr="00B35BA7" w:rsidRDefault="00920231" w:rsidP="00920231">
            <w:pPr>
              <w:pStyle w:val="BodyText"/>
              <w:spacing w:before="100" w:after="100"/>
              <w:jc w:val="center"/>
            </w:pPr>
            <w:r w:rsidRPr="00B35BA7">
              <w:t>90c per minute +$1.75c flagfall</w:t>
            </w:r>
          </w:p>
        </w:tc>
      </w:tr>
      <w:tr w:rsidR="00920231" w:rsidRPr="00B35BA7" w14:paraId="5ED85792" w14:textId="77777777" w:rsidTr="00920231">
        <w:trPr>
          <w:trHeight w:val="174"/>
        </w:trPr>
        <w:tc>
          <w:tcPr>
            <w:tcW w:w="4635" w:type="dxa"/>
            <w:shd w:val="clear" w:color="auto" w:fill="auto"/>
          </w:tcPr>
          <w:p w14:paraId="53D47CE5" w14:textId="77777777" w:rsidR="00920231" w:rsidRPr="00386EB7" w:rsidRDefault="00920231" w:rsidP="00920231">
            <w:pPr>
              <w:pStyle w:val="BodyText"/>
              <w:spacing w:before="100" w:after="100"/>
              <w:rPr>
                <w:b/>
                <w:bCs/>
                <w:lang w:eastAsia="en-AU"/>
              </w:rPr>
            </w:pPr>
            <w:r w:rsidRPr="00386EB7">
              <w:rPr>
                <w:b/>
                <w:bCs/>
                <w:lang w:eastAsia="en-AU"/>
              </w:rPr>
              <w:t>International voice calls (outside the plan</w:t>
            </w:r>
            <w:r>
              <w:rPr>
                <w:b/>
                <w:bCs/>
                <w:lang w:eastAsia="en-AU"/>
              </w:rPr>
              <w:t>'</w:t>
            </w:r>
            <w:r w:rsidRPr="00386EB7">
              <w:rPr>
                <w:b/>
                <w:bCs/>
                <w:lang w:eastAsia="en-AU"/>
              </w:rPr>
              <w:t xml:space="preserve">s included international minutes and to excluded countries) </w:t>
            </w:r>
          </w:p>
        </w:tc>
        <w:tc>
          <w:tcPr>
            <w:tcW w:w="4635" w:type="dxa"/>
            <w:shd w:val="clear" w:color="auto" w:fill="auto"/>
            <w:vAlign w:val="center"/>
          </w:tcPr>
          <w:p w14:paraId="19C82C78" w14:textId="77777777" w:rsidR="00920231" w:rsidRPr="00B35BA7" w:rsidRDefault="00920231" w:rsidP="00920231">
            <w:pPr>
              <w:pStyle w:val="BodyText"/>
              <w:spacing w:before="100" w:after="100"/>
              <w:jc w:val="center"/>
            </w:pPr>
            <w:r>
              <w:t>'</w:t>
            </w:r>
            <w:r w:rsidRPr="00B35BA7">
              <w:t>yes</w:t>
            </w:r>
            <w:r>
              <w:t>'</w:t>
            </w:r>
            <w:r w:rsidRPr="00B35BA7">
              <w:t xml:space="preserve"> international rates</w:t>
            </w:r>
          </w:p>
          <w:p w14:paraId="2F5EB1D0" w14:textId="77777777" w:rsidR="00920231" w:rsidRPr="00B35BA7" w:rsidRDefault="00920231" w:rsidP="00920231">
            <w:pPr>
              <w:pStyle w:val="BodyText"/>
              <w:spacing w:before="100" w:after="100"/>
              <w:jc w:val="center"/>
            </w:pPr>
            <w:r w:rsidRPr="00B35BA7">
              <w:t>See optus.com.au/international</w:t>
            </w:r>
          </w:p>
        </w:tc>
      </w:tr>
      <w:tr w:rsidR="00920231" w:rsidRPr="00B35BA7" w14:paraId="533DED9A" w14:textId="77777777" w:rsidTr="00920231">
        <w:tc>
          <w:tcPr>
            <w:tcW w:w="4635" w:type="dxa"/>
            <w:shd w:val="clear" w:color="auto" w:fill="auto"/>
          </w:tcPr>
          <w:p w14:paraId="2CA4622B" w14:textId="77777777" w:rsidR="00920231" w:rsidRPr="00386EB7" w:rsidRDefault="00920231" w:rsidP="00920231">
            <w:pPr>
              <w:pStyle w:val="BodyText"/>
              <w:spacing w:before="100" w:after="100"/>
              <w:rPr>
                <w:b/>
                <w:bCs/>
                <w:lang w:eastAsia="en-AU"/>
              </w:rPr>
            </w:pPr>
            <w:r w:rsidRPr="00386EB7">
              <w:rPr>
                <w:b/>
                <w:bCs/>
                <w:lang w:eastAsia="en-AU"/>
              </w:rPr>
              <w:t xml:space="preserve">International SMS (to excluded countries) </w:t>
            </w:r>
          </w:p>
        </w:tc>
        <w:tc>
          <w:tcPr>
            <w:tcW w:w="4635" w:type="dxa"/>
            <w:shd w:val="clear" w:color="auto" w:fill="auto"/>
            <w:vAlign w:val="center"/>
          </w:tcPr>
          <w:p w14:paraId="3956D534" w14:textId="77777777" w:rsidR="00920231" w:rsidRPr="00B35BA7" w:rsidRDefault="00920231" w:rsidP="00920231">
            <w:pPr>
              <w:pStyle w:val="BodyText"/>
              <w:spacing w:before="100" w:after="100"/>
              <w:jc w:val="center"/>
            </w:pPr>
            <w:r w:rsidRPr="00B35BA7">
              <w:t>50c per SMS up to 160 standard characters</w:t>
            </w:r>
          </w:p>
        </w:tc>
      </w:tr>
      <w:tr w:rsidR="00920231" w:rsidRPr="00B35BA7" w14:paraId="42018EF6" w14:textId="77777777" w:rsidTr="00920231">
        <w:tc>
          <w:tcPr>
            <w:tcW w:w="4635" w:type="dxa"/>
            <w:shd w:val="clear" w:color="auto" w:fill="auto"/>
          </w:tcPr>
          <w:p w14:paraId="09D11241" w14:textId="77777777" w:rsidR="00920231" w:rsidRPr="00386EB7" w:rsidRDefault="00920231" w:rsidP="00920231">
            <w:pPr>
              <w:pStyle w:val="BodyText"/>
              <w:spacing w:before="100" w:after="100"/>
              <w:rPr>
                <w:b/>
                <w:bCs/>
                <w:lang w:eastAsia="en-AU"/>
              </w:rPr>
            </w:pPr>
            <w:r w:rsidRPr="00386EB7">
              <w:rPr>
                <w:b/>
                <w:bCs/>
                <w:lang w:eastAsia="en-AU"/>
              </w:rPr>
              <w:t>International MMS (to excluded countries)</w:t>
            </w:r>
          </w:p>
        </w:tc>
        <w:tc>
          <w:tcPr>
            <w:tcW w:w="4635" w:type="dxa"/>
            <w:shd w:val="clear" w:color="auto" w:fill="auto"/>
            <w:vAlign w:val="center"/>
          </w:tcPr>
          <w:p w14:paraId="34B5EAE8" w14:textId="77777777" w:rsidR="00920231" w:rsidRPr="00B35BA7" w:rsidRDefault="00920231" w:rsidP="00920231">
            <w:pPr>
              <w:pStyle w:val="BodyText"/>
              <w:spacing w:before="100" w:after="100"/>
              <w:jc w:val="center"/>
            </w:pPr>
            <w:r w:rsidRPr="00B35BA7">
              <w:t>75c per MMS</w:t>
            </w:r>
          </w:p>
        </w:tc>
      </w:tr>
      <w:tr w:rsidR="00920231" w:rsidRPr="00B35BA7" w14:paraId="5F96D5C5" w14:textId="77777777" w:rsidTr="00920231">
        <w:tc>
          <w:tcPr>
            <w:tcW w:w="4635" w:type="dxa"/>
            <w:shd w:val="clear" w:color="auto" w:fill="auto"/>
          </w:tcPr>
          <w:p w14:paraId="50D6548C" w14:textId="77777777" w:rsidR="00920231" w:rsidRPr="00386EB7" w:rsidRDefault="00920231" w:rsidP="00920231">
            <w:pPr>
              <w:pStyle w:val="BodyText"/>
              <w:spacing w:before="100" w:after="100"/>
              <w:rPr>
                <w:b/>
                <w:bCs/>
                <w:lang w:eastAsia="en-AU"/>
              </w:rPr>
            </w:pPr>
            <w:r w:rsidRPr="00386EB7">
              <w:rPr>
                <w:b/>
                <w:bCs/>
                <w:lang w:eastAsia="en-AU"/>
              </w:rPr>
              <w:t xml:space="preserve">International video calling </w:t>
            </w:r>
          </w:p>
        </w:tc>
        <w:tc>
          <w:tcPr>
            <w:tcW w:w="4635" w:type="dxa"/>
            <w:shd w:val="clear" w:color="auto" w:fill="auto"/>
            <w:vAlign w:val="center"/>
          </w:tcPr>
          <w:p w14:paraId="49766F40" w14:textId="77777777" w:rsidR="00920231" w:rsidRPr="00B35BA7" w:rsidRDefault="00920231" w:rsidP="00920231">
            <w:pPr>
              <w:pStyle w:val="BodyText"/>
              <w:spacing w:before="100" w:after="100"/>
              <w:jc w:val="center"/>
            </w:pPr>
            <w:r w:rsidRPr="00B35BA7">
              <w:t>$1.50 per minute +35c flagfall</w:t>
            </w:r>
          </w:p>
        </w:tc>
      </w:tr>
      <w:tr w:rsidR="00920231" w:rsidRPr="00B35BA7" w14:paraId="3A9FF7E7" w14:textId="77777777" w:rsidTr="00920231">
        <w:tc>
          <w:tcPr>
            <w:tcW w:w="4635" w:type="dxa"/>
            <w:shd w:val="clear" w:color="auto" w:fill="auto"/>
          </w:tcPr>
          <w:p w14:paraId="3893D982" w14:textId="77777777" w:rsidR="00920231" w:rsidRPr="00386EB7" w:rsidRDefault="00920231" w:rsidP="00920231">
            <w:pPr>
              <w:pStyle w:val="BodyText"/>
              <w:spacing w:before="100" w:after="100"/>
              <w:rPr>
                <w:b/>
                <w:bCs/>
                <w:lang w:eastAsia="en-AU"/>
              </w:rPr>
            </w:pPr>
            <w:r w:rsidRPr="00386EB7">
              <w:rPr>
                <w:b/>
                <w:bCs/>
                <w:lang w:eastAsia="en-AU"/>
              </w:rPr>
              <w:t xml:space="preserve">International roaming </w:t>
            </w:r>
          </w:p>
        </w:tc>
        <w:tc>
          <w:tcPr>
            <w:tcW w:w="4635" w:type="dxa"/>
            <w:shd w:val="clear" w:color="auto" w:fill="auto"/>
            <w:vAlign w:val="center"/>
          </w:tcPr>
          <w:p w14:paraId="1B0C1C22" w14:textId="77777777" w:rsidR="00920231" w:rsidRPr="00B35BA7" w:rsidRDefault="00920231" w:rsidP="00920231">
            <w:pPr>
              <w:pStyle w:val="BodyText"/>
              <w:spacing w:before="100" w:after="100"/>
              <w:jc w:val="center"/>
            </w:pPr>
            <w:r w:rsidRPr="00B35BA7">
              <w:t>See optus.com.au/roaming</w:t>
            </w:r>
          </w:p>
        </w:tc>
      </w:tr>
    </w:tbl>
    <w:p w14:paraId="25F6318F" w14:textId="77777777" w:rsidR="00920231" w:rsidRDefault="00920231" w:rsidP="00920231">
      <w:pPr>
        <w:pStyle w:val="BodyText"/>
        <w:spacing w:before="240"/>
        <w:ind w:left="720"/>
        <w:rPr>
          <w:b/>
        </w:rPr>
      </w:pPr>
      <w:r w:rsidRPr="00386EB7">
        <w:rPr>
          <w:b/>
        </w:rPr>
        <w:t>Table 3 – International Countries</w:t>
      </w:r>
    </w:p>
    <w:tbl>
      <w:tblPr>
        <w:tblW w:w="927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7"/>
        <w:gridCol w:w="2318"/>
        <w:gridCol w:w="2317"/>
        <w:gridCol w:w="2318"/>
      </w:tblGrid>
      <w:tr w:rsidR="00920231" w:rsidRPr="00B35BA7" w14:paraId="794DA5FE" w14:textId="77777777" w:rsidTr="00920231">
        <w:tc>
          <w:tcPr>
            <w:tcW w:w="2317" w:type="dxa"/>
            <w:shd w:val="clear" w:color="auto" w:fill="auto"/>
          </w:tcPr>
          <w:p w14:paraId="70D81037" w14:textId="77777777" w:rsidR="00920231" w:rsidRPr="00B35BA7" w:rsidRDefault="00920231" w:rsidP="00920231">
            <w:pPr>
              <w:pStyle w:val="BodyText"/>
              <w:spacing w:before="100" w:after="100"/>
              <w:rPr>
                <w:b/>
              </w:rPr>
            </w:pPr>
            <w:r w:rsidRPr="00B35BA7">
              <w:t>Austria</w:t>
            </w:r>
          </w:p>
        </w:tc>
        <w:tc>
          <w:tcPr>
            <w:tcW w:w="2318" w:type="dxa"/>
            <w:shd w:val="clear" w:color="auto" w:fill="auto"/>
          </w:tcPr>
          <w:p w14:paraId="2BF302F2" w14:textId="77777777" w:rsidR="00920231" w:rsidRPr="00B35BA7" w:rsidRDefault="00920231" w:rsidP="00920231">
            <w:pPr>
              <w:pStyle w:val="BodyText"/>
              <w:spacing w:before="100" w:after="100"/>
              <w:rPr>
                <w:b/>
              </w:rPr>
            </w:pPr>
            <w:r w:rsidRPr="00B35BA7">
              <w:t>Bangladesh</w:t>
            </w:r>
          </w:p>
        </w:tc>
        <w:tc>
          <w:tcPr>
            <w:tcW w:w="2317" w:type="dxa"/>
            <w:shd w:val="clear" w:color="auto" w:fill="auto"/>
          </w:tcPr>
          <w:p w14:paraId="24C4C639" w14:textId="77777777" w:rsidR="00920231" w:rsidRPr="00B35BA7" w:rsidRDefault="00920231" w:rsidP="00920231">
            <w:pPr>
              <w:pStyle w:val="BodyText"/>
              <w:spacing w:before="100" w:after="100"/>
              <w:rPr>
                <w:b/>
              </w:rPr>
            </w:pPr>
            <w:r w:rsidRPr="00B35BA7">
              <w:t>Cambodia</w:t>
            </w:r>
          </w:p>
        </w:tc>
        <w:tc>
          <w:tcPr>
            <w:tcW w:w="2318" w:type="dxa"/>
            <w:shd w:val="clear" w:color="auto" w:fill="auto"/>
          </w:tcPr>
          <w:p w14:paraId="2BF5370D" w14:textId="77777777" w:rsidR="00920231" w:rsidRPr="00B35BA7" w:rsidRDefault="00920231" w:rsidP="00920231">
            <w:pPr>
              <w:pStyle w:val="BodyText"/>
              <w:spacing w:before="100" w:after="100"/>
              <w:rPr>
                <w:b/>
              </w:rPr>
            </w:pPr>
            <w:r w:rsidRPr="00B35BA7">
              <w:t>Canada</w:t>
            </w:r>
          </w:p>
        </w:tc>
      </w:tr>
      <w:tr w:rsidR="00920231" w:rsidRPr="00B35BA7" w14:paraId="506EFFB6" w14:textId="77777777" w:rsidTr="00920231">
        <w:tc>
          <w:tcPr>
            <w:tcW w:w="2317" w:type="dxa"/>
            <w:shd w:val="clear" w:color="auto" w:fill="auto"/>
          </w:tcPr>
          <w:p w14:paraId="32E5EAEC" w14:textId="77777777" w:rsidR="00920231" w:rsidRPr="00B35BA7" w:rsidRDefault="00920231" w:rsidP="00920231">
            <w:pPr>
              <w:pStyle w:val="BodyText"/>
              <w:spacing w:before="100" w:after="100"/>
              <w:rPr>
                <w:b/>
              </w:rPr>
            </w:pPr>
            <w:r w:rsidRPr="00B35BA7">
              <w:t xml:space="preserve">Chile </w:t>
            </w:r>
          </w:p>
        </w:tc>
        <w:tc>
          <w:tcPr>
            <w:tcW w:w="2318" w:type="dxa"/>
            <w:shd w:val="clear" w:color="auto" w:fill="auto"/>
          </w:tcPr>
          <w:p w14:paraId="39723E12" w14:textId="77777777" w:rsidR="00920231" w:rsidRPr="00B35BA7" w:rsidRDefault="00920231" w:rsidP="00920231">
            <w:pPr>
              <w:pStyle w:val="BodyText"/>
              <w:spacing w:before="100" w:after="100"/>
              <w:rPr>
                <w:b/>
              </w:rPr>
            </w:pPr>
            <w:r w:rsidRPr="00B35BA7">
              <w:t xml:space="preserve">China </w:t>
            </w:r>
          </w:p>
        </w:tc>
        <w:tc>
          <w:tcPr>
            <w:tcW w:w="2317" w:type="dxa"/>
            <w:shd w:val="clear" w:color="auto" w:fill="auto"/>
          </w:tcPr>
          <w:p w14:paraId="6EC40650" w14:textId="77777777" w:rsidR="00920231" w:rsidRPr="00B35BA7" w:rsidRDefault="00920231" w:rsidP="00920231">
            <w:pPr>
              <w:pStyle w:val="BodyText"/>
              <w:spacing w:before="100" w:after="100"/>
              <w:rPr>
                <w:b/>
              </w:rPr>
            </w:pPr>
            <w:r w:rsidRPr="00B35BA7">
              <w:t xml:space="preserve">Croatia </w:t>
            </w:r>
          </w:p>
        </w:tc>
        <w:tc>
          <w:tcPr>
            <w:tcW w:w="2318" w:type="dxa"/>
            <w:shd w:val="clear" w:color="auto" w:fill="auto"/>
          </w:tcPr>
          <w:p w14:paraId="713319BB" w14:textId="77777777" w:rsidR="00920231" w:rsidRPr="00B35BA7" w:rsidRDefault="00920231" w:rsidP="00920231">
            <w:pPr>
              <w:pStyle w:val="BodyText"/>
              <w:spacing w:before="100" w:after="100"/>
              <w:rPr>
                <w:b/>
              </w:rPr>
            </w:pPr>
            <w:r w:rsidRPr="00B35BA7">
              <w:t>France</w:t>
            </w:r>
          </w:p>
        </w:tc>
      </w:tr>
      <w:tr w:rsidR="00920231" w:rsidRPr="00B35BA7" w14:paraId="455CF82B" w14:textId="77777777" w:rsidTr="00920231">
        <w:tc>
          <w:tcPr>
            <w:tcW w:w="2317" w:type="dxa"/>
            <w:shd w:val="clear" w:color="auto" w:fill="auto"/>
          </w:tcPr>
          <w:p w14:paraId="4D54CECB" w14:textId="77777777" w:rsidR="00920231" w:rsidRPr="00B35BA7" w:rsidRDefault="00920231" w:rsidP="00920231">
            <w:pPr>
              <w:pStyle w:val="BodyText"/>
              <w:spacing w:before="100" w:after="100"/>
              <w:rPr>
                <w:b/>
              </w:rPr>
            </w:pPr>
            <w:r w:rsidRPr="00B35BA7">
              <w:t>Germany</w:t>
            </w:r>
          </w:p>
        </w:tc>
        <w:tc>
          <w:tcPr>
            <w:tcW w:w="2318" w:type="dxa"/>
            <w:shd w:val="clear" w:color="auto" w:fill="auto"/>
          </w:tcPr>
          <w:p w14:paraId="498E2E3E" w14:textId="77777777" w:rsidR="00920231" w:rsidRPr="00B35BA7" w:rsidRDefault="00920231" w:rsidP="00920231">
            <w:pPr>
              <w:pStyle w:val="BodyText"/>
              <w:spacing w:before="100" w:after="100"/>
              <w:rPr>
                <w:b/>
              </w:rPr>
            </w:pPr>
            <w:r w:rsidRPr="00B35BA7">
              <w:t>Greece</w:t>
            </w:r>
          </w:p>
        </w:tc>
        <w:tc>
          <w:tcPr>
            <w:tcW w:w="2317" w:type="dxa"/>
            <w:shd w:val="clear" w:color="auto" w:fill="auto"/>
          </w:tcPr>
          <w:p w14:paraId="6E90DAF6" w14:textId="77777777" w:rsidR="00920231" w:rsidRPr="00B35BA7" w:rsidRDefault="00920231" w:rsidP="00920231">
            <w:pPr>
              <w:pStyle w:val="BodyText"/>
              <w:spacing w:before="100" w:after="100"/>
              <w:rPr>
                <w:b/>
              </w:rPr>
            </w:pPr>
            <w:r w:rsidRPr="00B35BA7">
              <w:t>Hong Kong,</w:t>
            </w:r>
          </w:p>
        </w:tc>
        <w:tc>
          <w:tcPr>
            <w:tcW w:w="2318" w:type="dxa"/>
            <w:shd w:val="clear" w:color="auto" w:fill="auto"/>
          </w:tcPr>
          <w:p w14:paraId="462CF26C" w14:textId="77777777" w:rsidR="00920231" w:rsidRPr="00B35BA7" w:rsidRDefault="00920231" w:rsidP="00920231">
            <w:pPr>
              <w:pStyle w:val="BodyText"/>
              <w:spacing w:before="100" w:after="100"/>
              <w:rPr>
                <w:b/>
              </w:rPr>
            </w:pPr>
            <w:r w:rsidRPr="00B35BA7">
              <w:t>Hungary</w:t>
            </w:r>
          </w:p>
        </w:tc>
      </w:tr>
      <w:tr w:rsidR="00920231" w:rsidRPr="00B35BA7" w14:paraId="1BFEB74F" w14:textId="77777777" w:rsidTr="00920231">
        <w:tc>
          <w:tcPr>
            <w:tcW w:w="2317" w:type="dxa"/>
            <w:shd w:val="clear" w:color="auto" w:fill="auto"/>
          </w:tcPr>
          <w:p w14:paraId="1AA968C8" w14:textId="77777777" w:rsidR="00920231" w:rsidRPr="00B35BA7" w:rsidRDefault="00920231" w:rsidP="00920231">
            <w:pPr>
              <w:pStyle w:val="BodyText"/>
              <w:spacing w:before="100" w:after="100"/>
              <w:rPr>
                <w:b/>
              </w:rPr>
            </w:pPr>
            <w:r w:rsidRPr="00B35BA7">
              <w:t>Indonesia</w:t>
            </w:r>
          </w:p>
        </w:tc>
        <w:tc>
          <w:tcPr>
            <w:tcW w:w="2318" w:type="dxa"/>
            <w:shd w:val="clear" w:color="auto" w:fill="auto"/>
          </w:tcPr>
          <w:p w14:paraId="70258E5B" w14:textId="77777777" w:rsidR="00920231" w:rsidRPr="00B35BA7" w:rsidRDefault="00920231" w:rsidP="00920231">
            <w:pPr>
              <w:pStyle w:val="BodyText"/>
              <w:spacing w:before="100" w:after="100"/>
              <w:rPr>
                <w:b/>
              </w:rPr>
            </w:pPr>
            <w:r w:rsidRPr="00B35BA7">
              <w:t>India</w:t>
            </w:r>
          </w:p>
        </w:tc>
        <w:tc>
          <w:tcPr>
            <w:tcW w:w="2317" w:type="dxa"/>
            <w:shd w:val="clear" w:color="auto" w:fill="auto"/>
          </w:tcPr>
          <w:p w14:paraId="6BD320C2" w14:textId="77777777" w:rsidR="00920231" w:rsidRPr="00B35BA7" w:rsidRDefault="00920231" w:rsidP="00920231">
            <w:pPr>
              <w:pStyle w:val="BodyText"/>
              <w:spacing w:before="100" w:after="100"/>
              <w:rPr>
                <w:b/>
              </w:rPr>
            </w:pPr>
            <w:r w:rsidRPr="00B35BA7">
              <w:t>Ireland</w:t>
            </w:r>
          </w:p>
        </w:tc>
        <w:tc>
          <w:tcPr>
            <w:tcW w:w="2318" w:type="dxa"/>
            <w:shd w:val="clear" w:color="auto" w:fill="auto"/>
          </w:tcPr>
          <w:p w14:paraId="1D9C9B4E" w14:textId="77777777" w:rsidR="00920231" w:rsidRPr="00B35BA7" w:rsidRDefault="00920231" w:rsidP="00920231">
            <w:pPr>
              <w:pStyle w:val="BodyText"/>
              <w:spacing w:before="100" w:after="100"/>
              <w:rPr>
                <w:b/>
              </w:rPr>
            </w:pPr>
            <w:r w:rsidRPr="00B35BA7">
              <w:t>Italy</w:t>
            </w:r>
          </w:p>
        </w:tc>
      </w:tr>
      <w:tr w:rsidR="00920231" w:rsidRPr="00B35BA7" w14:paraId="24CFEDF5" w14:textId="77777777" w:rsidTr="00920231">
        <w:tc>
          <w:tcPr>
            <w:tcW w:w="2317" w:type="dxa"/>
            <w:shd w:val="clear" w:color="auto" w:fill="auto"/>
          </w:tcPr>
          <w:p w14:paraId="15CB1F7A" w14:textId="77777777" w:rsidR="00920231" w:rsidRPr="00B35BA7" w:rsidRDefault="00920231" w:rsidP="00920231">
            <w:pPr>
              <w:pStyle w:val="BodyText"/>
              <w:spacing w:before="100" w:after="100"/>
              <w:rPr>
                <w:b/>
              </w:rPr>
            </w:pPr>
            <w:r w:rsidRPr="00B35BA7">
              <w:t xml:space="preserve">Japan </w:t>
            </w:r>
          </w:p>
        </w:tc>
        <w:tc>
          <w:tcPr>
            <w:tcW w:w="2318" w:type="dxa"/>
            <w:shd w:val="clear" w:color="auto" w:fill="auto"/>
          </w:tcPr>
          <w:p w14:paraId="2C8353A1" w14:textId="77777777" w:rsidR="00920231" w:rsidRPr="00B35BA7" w:rsidRDefault="00920231" w:rsidP="00920231">
            <w:pPr>
              <w:pStyle w:val="BodyText"/>
              <w:spacing w:before="100" w:after="100"/>
              <w:rPr>
                <w:b/>
              </w:rPr>
            </w:pPr>
            <w:r w:rsidRPr="00B35BA7">
              <w:t>Malaysia,</w:t>
            </w:r>
          </w:p>
        </w:tc>
        <w:tc>
          <w:tcPr>
            <w:tcW w:w="2317" w:type="dxa"/>
            <w:shd w:val="clear" w:color="auto" w:fill="auto"/>
          </w:tcPr>
          <w:p w14:paraId="452C05D4" w14:textId="77777777" w:rsidR="00920231" w:rsidRPr="00B35BA7" w:rsidRDefault="00920231" w:rsidP="00920231">
            <w:pPr>
              <w:pStyle w:val="BodyText"/>
              <w:spacing w:before="100" w:after="100"/>
              <w:rPr>
                <w:b/>
              </w:rPr>
            </w:pPr>
            <w:r w:rsidRPr="00B35BA7">
              <w:t>Netherlands</w:t>
            </w:r>
          </w:p>
        </w:tc>
        <w:tc>
          <w:tcPr>
            <w:tcW w:w="2318" w:type="dxa"/>
            <w:shd w:val="clear" w:color="auto" w:fill="auto"/>
          </w:tcPr>
          <w:p w14:paraId="44E874A6" w14:textId="77777777" w:rsidR="00920231" w:rsidRPr="00B35BA7" w:rsidRDefault="00920231" w:rsidP="00920231">
            <w:pPr>
              <w:pStyle w:val="BodyText"/>
              <w:spacing w:before="100" w:after="100"/>
              <w:rPr>
                <w:b/>
              </w:rPr>
            </w:pPr>
            <w:r w:rsidRPr="00B35BA7">
              <w:t>New Zealand</w:t>
            </w:r>
          </w:p>
        </w:tc>
      </w:tr>
      <w:tr w:rsidR="00920231" w:rsidRPr="00B35BA7" w14:paraId="275EEE85" w14:textId="77777777" w:rsidTr="00920231">
        <w:tc>
          <w:tcPr>
            <w:tcW w:w="2317" w:type="dxa"/>
            <w:shd w:val="clear" w:color="auto" w:fill="auto"/>
          </w:tcPr>
          <w:p w14:paraId="57E887D3" w14:textId="77777777" w:rsidR="00920231" w:rsidRPr="00B35BA7" w:rsidRDefault="00920231" w:rsidP="00920231">
            <w:pPr>
              <w:pStyle w:val="BodyText"/>
              <w:spacing w:before="100" w:after="100"/>
              <w:rPr>
                <w:b/>
              </w:rPr>
            </w:pPr>
            <w:r w:rsidRPr="00B35BA7">
              <w:t xml:space="preserve">Pakistan </w:t>
            </w:r>
          </w:p>
        </w:tc>
        <w:tc>
          <w:tcPr>
            <w:tcW w:w="2318" w:type="dxa"/>
            <w:shd w:val="clear" w:color="auto" w:fill="auto"/>
          </w:tcPr>
          <w:p w14:paraId="0EAF8FDC" w14:textId="77777777" w:rsidR="00920231" w:rsidRPr="00B35BA7" w:rsidRDefault="00920231" w:rsidP="00920231">
            <w:pPr>
              <w:pStyle w:val="BodyText"/>
              <w:spacing w:before="100" w:after="100"/>
              <w:rPr>
                <w:b/>
              </w:rPr>
            </w:pPr>
            <w:r w:rsidRPr="00B35BA7">
              <w:t>Philippines</w:t>
            </w:r>
          </w:p>
        </w:tc>
        <w:tc>
          <w:tcPr>
            <w:tcW w:w="2317" w:type="dxa"/>
            <w:shd w:val="clear" w:color="auto" w:fill="auto"/>
          </w:tcPr>
          <w:p w14:paraId="002E951C" w14:textId="77777777" w:rsidR="00920231" w:rsidRPr="00B35BA7" w:rsidRDefault="00920231" w:rsidP="00920231">
            <w:pPr>
              <w:pStyle w:val="BodyText"/>
              <w:spacing w:before="100" w:after="100"/>
              <w:rPr>
                <w:b/>
              </w:rPr>
            </w:pPr>
            <w:r w:rsidRPr="00B35BA7">
              <w:t xml:space="preserve">Poland </w:t>
            </w:r>
          </w:p>
        </w:tc>
        <w:tc>
          <w:tcPr>
            <w:tcW w:w="2318" w:type="dxa"/>
            <w:shd w:val="clear" w:color="auto" w:fill="auto"/>
          </w:tcPr>
          <w:p w14:paraId="161B10C4" w14:textId="77777777" w:rsidR="00920231" w:rsidRPr="00B35BA7" w:rsidRDefault="00920231" w:rsidP="00920231">
            <w:pPr>
              <w:pStyle w:val="BodyText"/>
              <w:spacing w:before="100" w:after="100"/>
              <w:rPr>
                <w:b/>
              </w:rPr>
            </w:pPr>
            <w:r w:rsidRPr="00B35BA7">
              <w:t>Singapore</w:t>
            </w:r>
          </w:p>
        </w:tc>
      </w:tr>
      <w:tr w:rsidR="00920231" w:rsidRPr="00B35BA7" w14:paraId="45D9485D" w14:textId="77777777" w:rsidTr="00920231">
        <w:tc>
          <w:tcPr>
            <w:tcW w:w="2317" w:type="dxa"/>
            <w:shd w:val="clear" w:color="auto" w:fill="auto"/>
          </w:tcPr>
          <w:p w14:paraId="7FF138D0" w14:textId="77777777" w:rsidR="00920231" w:rsidRPr="00B35BA7" w:rsidRDefault="00920231" w:rsidP="00920231">
            <w:pPr>
              <w:pStyle w:val="BodyText"/>
              <w:spacing w:before="100" w:after="100"/>
              <w:rPr>
                <w:b/>
              </w:rPr>
            </w:pPr>
            <w:r w:rsidRPr="00B35BA7">
              <w:t xml:space="preserve">South Africa </w:t>
            </w:r>
          </w:p>
        </w:tc>
        <w:tc>
          <w:tcPr>
            <w:tcW w:w="2318" w:type="dxa"/>
            <w:shd w:val="clear" w:color="auto" w:fill="auto"/>
          </w:tcPr>
          <w:p w14:paraId="641D876F" w14:textId="77777777" w:rsidR="00920231" w:rsidRPr="00B35BA7" w:rsidRDefault="00920231" w:rsidP="00920231">
            <w:pPr>
              <w:pStyle w:val="BodyText"/>
              <w:spacing w:before="100" w:after="100"/>
              <w:rPr>
                <w:b/>
              </w:rPr>
            </w:pPr>
            <w:r w:rsidRPr="00B35BA7">
              <w:t>South Korea</w:t>
            </w:r>
          </w:p>
        </w:tc>
        <w:tc>
          <w:tcPr>
            <w:tcW w:w="2317" w:type="dxa"/>
            <w:shd w:val="clear" w:color="auto" w:fill="auto"/>
          </w:tcPr>
          <w:p w14:paraId="5BE1A189" w14:textId="77777777" w:rsidR="00920231" w:rsidRPr="00B35BA7" w:rsidRDefault="00920231" w:rsidP="00920231">
            <w:pPr>
              <w:pStyle w:val="BodyText"/>
              <w:spacing w:before="100" w:after="100"/>
              <w:rPr>
                <w:b/>
              </w:rPr>
            </w:pPr>
            <w:r w:rsidRPr="00B35BA7">
              <w:t xml:space="preserve">Taiwan </w:t>
            </w:r>
          </w:p>
        </w:tc>
        <w:tc>
          <w:tcPr>
            <w:tcW w:w="2318" w:type="dxa"/>
            <w:shd w:val="clear" w:color="auto" w:fill="auto"/>
          </w:tcPr>
          <w:p w14:paraId="79FEFA67" w14:textId="77777777" w:rsidR="00920231" w:rsidRPr="00B35BA7" w:rsidRDefault="00920231" w:rsidP="00920231">
            <w:pPr>
              <w:pStyle w:val="BodyText"/>
              <w:spacing w:before="100" w:after="100"/>
              <w:rPr>
                <w:b/>
              </w:rPr>
            </w:pPr>
            <w:r w:rsidRPr="00B35BA7">
              <w:t>Thailand</w:t>
            </w:r>
          </w:p>
        </w:tc>
      </w:tr>
      <w:tr w:rsidR="00920231" w:rsidRPr="00B35BA7" w14:paraId="0754D628" w14:textId="77777777" w:rsidTr="00920231">
        <w:tc>
          <w:tcPr>
            <w:tcW w:w="2317" w:type="dxa"/>
            <w:shd w:val="clear" w:color="auto" w:fill="auto"/>
          </w:tcPr>
          <w:p w14:paraId="3BB9F6DF" w14:textId="77777777" w:rsidR="00920231" w:rsidRPr="00B35BA7" w:rsidRDefault="00920231" w:rsidP="00920231">
            <w:pPr>
              <w:pStyle w:val="BodyText"/>
              <w:spacing w:before="100" w:after="100"/>
              <w:rPr>
                <w:b/>
              </w:rPr>
            </w:pPr>
            <w:r w:rsidRPr="00B35BA7">
              <w:t>Turkey</w:t>
            </w:r>
          </w:p>
        </w:tc>
        <w:tc>
          <w:tcPr>
            <w:tcW w:w="2318" w:type="dxa"/>
            <w:shd w:val="clear" w:color="auto" w:fill="auto"/>
          </w:tcPr>
          <w:p w14:paraId="68408FBE" w14:textId="77777777" w:rsidR="00920231" w:rsidRPr="00B35BA7" w:rsidRDefault="00920231" w:rsidP="00920231">
            <w:pPr>
              <w:pStyle w:val="BodyText"/>
              <w:spacing w:before="100" w:after="100"/>
              <w:rPr>
                <w:b/>
              </w:rPr>
            </w:pPr>
            <w:r w:rsidRPr="00B35BA7">
              <w:t>United Kingdom</w:t>
            </w:r>
          </w:p>
        </w:tc>
        <w:tc>
          <w:tcPr>
            <w:tcW w:w="2317" w:type="dxa"/>
            <w:shd w:val="clear" w:color="auto" w:fill="auto"/>
          </w:tcPr>
          <w:p w14:paraId="0FD757D9" w14:textId="77777777" w:rsidR="00920231" w:rsidRPr="00B35BA7" w:rsidRDefault="00920231" w:rsidP="00920231">
            <w:pPr>
              <w:pStyle w:val="BodyText"/>
              <w:spacing w:before="100" w:after="100"/>
              <w:rPr>
                <w:b/>
              </w:rPr>
            </w:pPr>
            <w:r w:rsidRPr="00B35BA7">
              <w:t xml:space="preserve">USA </w:t>
            </w:r>
          </w:p>
        </w:tc>
        <w:tc>
          <w:tcPr>
            <w:tcW w:w="2318" w:type="dxa"/>
            <w:shd w:val="clear" w:color="auto" w:fill="auto"/>
          </w:tcPr>
          <w:p w14:paraId="5351E1EB" w14:textId="77777777" w:rsidR="00920231" w:rsidRPr="00B35BA7" w:rsidRDefault="00920231" w:rsidP="00920231">
            <w:pPr>
              <w:pStyle w:val="BodyText"/>
              <w:spacing w:before="100" w:after="100"/>
              <w:rPr>
                <w:b/>
              </w:rPr>
            </w:pPr>
            <w:r w:rsidRPr="00B35BA7">
              <w:t>Vietnam</w:t>
            </w:r>
          </w:p>
        </w:tc>
      </w:tr>
    </w:tbl>
    <w:p w14:paraId="5CA87194" w14:textId="77777777" w:rsidR="00920231" w:rsidRDefault="00920231" w:rsidP="00920231">
      <w:pPr>
        <w:pStyle w:val="BodyText"/>
      </w:pPr>
    </w:p>
    <w:p w14:paraId="451A2BAF" w14:textId="77777777" w:rsidR="00920231" w:rsidRPr="00386EB7" w:rsidRDefault="00920231" w:rsidP="00920231">
      <w:pPr>
        <w:pStyle w:val="Heading6"/>
        <w:ind w:left="0" w:firstLine="0"/>
        <w:rPr>
          <w:lang w:val="en-AU"/>
        </w:rPr>
      </w:pPr>
      <w:bookmarkStart w:id="1713" w:name="_Toc438646352"/>
      <w:bookmarkStart w:id="1714" w:name="_Toc455149942"/>
      <w:bookmarkStart w:id="1715" w:name="_Toc485729115"/>
      <w:r w:rsidRPr="00386EB7">
        <w:rPr>
          <w:lang w:val="en-AU"/>
        </w:rPr>
        <w:t>My Account</w:t>
      </w:r>
      <w:bookmarkEnd w:id="1713"/>
      <w:bookmarkEnd w:id="1714"/>
      <w:bookmarkEnd w:id="1715"/>
    </w:p>
    <w:p w14:paraId="180AA827" w14:textId="77777777" w:rsidR="00920231" w:rsidRPr="00386EB7" w:rsidRDefault="00920231" w:rsidP="00920231">
      <w:pPr>
        <w:pStyle w:val="BodyText"/>
        <w:ind w:left="720"/>
        <w:rPr>
          <w:lang w:val="en-AU"/>
        </w:rPr>
      </w:pPr>
      <w:r w:rsidRPr="00386EB7">
        <w:rPr>
          <w:lang w:val="en-AU"/>
        </w:rPr>
        <w:t xml:space="preserve">Services that share data may have a service login to My Account which will display all of the service numbers contributing to or using the shared data pool on </w:t>
      </w:r>
      <w:r w:rsidRPr="00386EB7">
        <w:rPr>
          <w:i/>
          <w:lang w:val="en-AU"/>
        </w:rPr>
        <w:t xml:space="preserve">your </w:t>
      </w:r>
      <w:r w:rsidRPr="00386EB7">
        <w:rPr>
          <w:lang w:val="en-AU"/>
        </w:rPr>
        <w:t xml:space="preserve">account and the amount of data each service has used. If </w:t>
      </w:r>
      <w:r w:rsidRPr="00386EB7">
        <w:rPr>
          <w:i/>
          <w:lang w:val="en-AU"/>
        </w:rPr>
        <w:t>you</w:t>
      </w:r>
      <w:r w:rsidRPr="00386EB7">
        <w:rPr>
          <w:lang w:val="en-AU"/>
        </w:rPr>
        <w:t xml:space="preserve"> have more than 6 services on </w:t>
      </w:r>
      <w:r w:rsidRPr="00386EB7">
        <w:rPr>
          <w:i/>
          <w:lang w:val="en-AU"/>
        </w:rPr>
        <w:t>your</w:t>
      </w:r>
      <w:r w:rsidRPr="00386EB7">
        <w:rPr>
          <w:lang w:val="en-AU"/>
        </w:rPr>
        <w:t xml:space="preserve"> account, My Account may not be suitable for viewing usage and managing </w:t>
      </w:r>
      <w:r w:rsidRPr="00386EB7">
        <w:rPr>
          <w:i/>
          <w:lang w:val="en-AU"/>
        </w:rPr>
        <w:t xml:space="preserve">your </w:t>
      </w:r>
      <w:r w:rsidRPr="00386EB7">
        <w:rPr>
          <w:lang w:val="en-AU"/>
        </w:rPr>
        <w:t>usage alerts.</w:t>
      </w:r>
    </w:p>
    <w:p w14:paraId="6BE18FE5" w14:textId="77777777" w:rsidR="00920231" w:rsidRPr="00386EB7" w:rsidRDefault="00920231" w:rsidP="00920231">
      <w:pPr>
        <w:pStyle w:val="Heading6"/>
        <w:ind w:left="0" w:firstLine="0"/>
        <w:rPr>
          <w:lang w:val="en-AU"/>
        </w:rPr>
      </w:pPr>
      <w:bookmarkStart w:id="1716" w:name="_Toc438646353"/>
      <w:bookmarkStart w:id="1717" w:name="_Toc455149943"/>
      <w:bookmarkStart w:id="1718" w:name="_Toc485729116"/>
      <w:r w:rsidRPr="00386EB7">
        <w:rPr>
          <w:lang w:val="en-AU"/>
        </w:rPr>
        <w:t xml:space="preserve">What happens if the </w:t>
      </w:r>
      <w:r w:rsidRPr="00386EB7">
        <w:rPr>
          <w:i/>
          <w:lang w:val="en-AU"/>
        </w:rPr>
        <w:t xml:space="preserve">service </w:t>
      </w:r>
      <w:r w:rsidRPr="00386EB7">
        <w:rPr>
          <w:lang w:val="en-AU"/>
        </w:rPr>
        <w:t>is</w:t>
      </w:r>
      <w:r w:rsidRPr="00386EB7">
        <w:rPr>
          <w:i/>
          <w:lang w:val="en-AU"/>
        </w:rPr>
        <w:t xml:space="preserve"> cancelled </w:t>
      </w:r>
      <w:r w:rsidRPr="00386EB7">
        <w:rPr>
          <w:lang w:val="en-AU"/>
        </w:rPr>
        <w:t>early?</w:t>
      </w:r>
      <w:bookmarkEnd w:id="1716"/>
      <w:bookmarkEnd w:id="1717"/>
      <w:bookmarkEnd w:id="1718"/>
      <w:r w:rsidRPr="00386EB7">
        <w:rPr>
          <w:lang w:val="en-AU"/>
        </w:rPr>
        <w:t xml:space="preserve"> </w:t>
      </w:r>
    </w:p>
    <w:p w14:paraId="475A3914" w14:textId="77777777" w:rsidR="00920231" w:rsidRPr="00386EB7" w:rsidRDefault="00920231" w:rsidP="00920231">
      <w:pPr>
        <w:pStyle w:val="Heading7"/>
        <w:rPr>
          <w:lang w:val="en-AU"/>
        </w:rPr>
      </w:pPr>
      <w:r w:rsidRPr="00386EB7">
        <w:rPr>
          <w:lang w:val="en-AU"/>
        </w:rPr>
        <w:t>If the</w:t>
      </w:r>
      <w:r w:rsidRPr="00386EB7">
        <w:rPr>
          <w:i/>
          <w:lang w:val="en-AU"/>
        </w:rPr>
        <w:t xml:space="preserve"> service</w:t>
      </w:r>
      <w:r w:rsidRPr="00386EB7">
        <w:rPr>
          <w:lang w:val="en-AU"/>
        </w:rPr>
        <w:t xml:space="preserve"> is</w:t>
      </w:r>
      <w:r w:rsidRPr="00386EB7">
        <w:rPr>
          <w:i/>
          <w:lang w:val="en-AU"/>
        </w:rPr>
        <w:t xml:space="preserve"> cancelled </w:t>
      </w:r>
      <w:r w:rsidRPr="00386EB7">
        <w:rPr>
          <w:lang w:val="en-AU"/>
        </w:rPr>
        <w:t xml:space="preserve">before the end of </w:t>
      </w:r>
      <w:r w:rsidRPr="00386EB7">
        <w:rPr>
          <w:i/>
          <w:lang w:val="en-AU"/>
        </w:rPr>
        <w:t xml:space="preserve">your minimum term, you </w:t>
      </w:r>
      <w:r w:rsidRPr="00386EB7">
        <w:rPr>
          <w:lang w:val="en-AU"/>
        </w:rPr>
        <w:t xml:space="preserve">will be required to pay </w:t>
      </w:r>
      <w:r w:rsidRPr="00386EB7">
        <w:rPr>
          <w:i/>
          <w:lang w:val="en-AU"/>
        </w:rPr>
        <w:t>us</w:t>
      </w:r>
      <w:r w:rsidRPr="00386EB7">
        <w:rPr>
          <w:lang w:val="en-AU"/>
        </w:rPr>
        <w:t>:</w:t>
      </w:r>
    </w:p>
    <w:p w14:paraId="6B4C9BE4" w14:textId="77777777" w:rsidR="00920231" w:rsidRPr="00386EB7" w:rsidRDefault="00920231" w:rsidP="00920231">
      <w:pPr>
        <w:pStyle w:val="Heading8"/>
        <w:rPr>
          <w:lang w:val="en-AU"/>
        </w:rPr>
      </w:pPr>
      <w:r w:rsidRPr="00386EB7">
        <w:rPr>
          <w:lang w:val="en-AU"/>
        </w:rPr>
        <w:t xml:space="preserve">any usage charges incurred up to, and including, the </w:t>
      </w:r>
      <w:r w:rsidRPr="00386EB7">
        <w:rPr>
          <w:i/>
          <w:lang w:val="en-AU"/>
        </w:rPr>
        <w:t xml:space="preserve">cancellation date; </w:t>
      </w:r>
      <w:r w:rsidRPr="00386EB7">
        <w:rPr>
          <w:lang w:val="en-AU"/>
        </w:rPr>
        <w:t>plus</w:t>
      </w:r>
    </w:p>
    <w:p w14:paraId="75055BAE" w14:textId="77777777" w:rsidR="00920231" w:rsidRPr="00386EB7" w:rsidRDefault="00920231" w:rsidP="00920231">
      <w:pPr>
        <w:pStyle w:val="Heading8"/>
        <w:rPr>
          <w:lang w:val="en-AU"/>
        </w:rPr>
      </w:pPr>
      <w:r w:rsidRPr="00386EB7">
        <w:rPr>
          <w:lang w:val="en-AU"/>
        </w:rPr>
        <w:t xml:space="preserve">the </w:t>
      </w:r>
      <w:r w:rsidRPr="00386EB7">
        <w:rPr>
          <w:i/>
          <w:lang w:val="en-AU"/>
        </w:rPr>
        <w:t>cancellation fees</w:t>
      </w:r>
      <w:r w:rsidRPr="00386EB7">
        <w:rPr>
          <w:lang w:val="en-AU"/>
        </w:rPr>
        <w:t xml:space="preserve"> set out in paragraph </w:t>
      </w:r>
      <w:r>
        <w:rPr>
          <w:lang w:val="en-AU"/>
        </w:rPr>
        <w:fldChar w:fldCharType="begin"/>
      </w:r>
      <w:r>
        <w:rPr>
          <w:lang w:val="en-AU"/>
        </w:rPr>
        <w:instrText xml:space="preserve"> REF _Ref458718103 \n \h </w:instrText>
      </w:r>
      <w:r>
        <w:rPr>
          <w:lang w:val="en-AU"/>
        </w:rPr>
      </w:r>
      <w:r>
        <w:rPr>
          <w:lang w:val="en-AU"/>
        </w:rPr>
        <w:fldChar w:fldCharType="separate"/>
      </w:r>
      <w:r w:rsidR="0004083A">
        <w:rPr>
          <w:lang w:val="en-AU"/>
        </w:rPr>
        <w:t>(b)</w:t>
      </w:r>
      <w:r>
        <w:rPr>
          <w:lang w:val="en-AU"/>
        </w:rPr>
        <w:fldChar w:fldCharType="end"/>
      </w:r>
      <w:r w:rsidRPr="00386EB7">
        <w:rPr>
          <w:lang w:val="en-AU"/>
        </w:rPr>
        <w:t xml:space="preserve"> below (unless under </w:t>
      </w:r>
      <w:r w:rsidRPr="001A4873">
        <w:rPr>
          <w:lang w:val="en-AU"/>
        </w:rPr>
        <w:t>clause 2A</w:t>
      </w:r>
      <w:r w:rsidRPr="00386EB7">
        <w:rPr>
          <w:lang w:val="en-AU"/>
        </w:rPr>
        <w:t xml:space="preserve"> of the </w:t>
      </w:r>
      <w:r w:rsidRPr="00386EB7">
        <w:rPr>
          <w:i/>
          <w:lang w:val="en-AU"/>
        </w:rPr>
        <w:t>consumer terms</w:t>
      </w:r>
      <w:r w:rsidRPr="00386EB7">
        <w:rPr>
          <w:lang w:val="en-AU"/>
        </w:rPr>
        <w:t xml:space="preserve">, </w:t>
      </w:r>
      <w:r w:rsidRPr="00386EB7">
        <w:rPr>
          <w:i/>
          <w:lang w:val="en-AU"/>
        </w:rPr>
        <w:t>you</w:t>
      </w:r>
      <w:r w:rsidRPr="00386EB7">
        <w:rPr>
          <w:lang w:val="en-AU"/>
        </w:rPr>
        <w:t xml:space="preserve"> are entitled to </w:t>
      </w:r>
      <w:r w:rsidRPr="00386EB7">
        <w:rPr>
          <w:i/>
          <w:lang w:val="en-AU"/>
        </w:rPr>
        <w:t>cancel the service</w:t>
      </w:r>
      <w:r w:rsidRPr="00386EB7">
        <w:rPr>
          <w:lang w:val="en-AU"/>
        </w:rPr>
        <w:t xml:space="preserve"> without incurring a </w:t>
      </w:r>
      <w:r w:rsidRPr="00386EB7">
        <w:rPr>
          <w:i/>
          <w:lang w:val="en-AU"/>
        </w:rPr>
        <w:t>cancellation fee</w:t>
      </w:r>
      <w:r w:rsidRPr="00386EB7">
        <w:rPr>
          <w:lang w:val="en-AU"/>
        </w:rPr>
        <w:t>); plus</w:t>
      </w:r>
    </w:p>
    <w:p w14:paraId="699B2B1A" w14:textId="77777777" w:rsidR="00920231" w:rsidRPr="00386EB7" w:rsidRDefault="00920231" w:rsidP="00920231">
      <w:pPr>
        <w:pStyle w:val="Heading8"/>
        <w:rPr>
          <w:lang w:val="en-AU"/>
        </w:rPr>
      </w:pPr>
      <w:r w:rsidRPr="00386EB7">
        <w:rPr>
          <w:lang w:val="en-AU"/>
        </w:rPr>
        <w:t xml:space="preserve">the sum of unpaid </w:t>
      </w:r>
      <w:r w:rsidRPr="00386EB7">
        <w:rPr>
          <w:i/>
          <w:lang w:val="en-AU"/>
        </w:rPr>
        <w:t xml:space="preserve">equipment charges </w:t>
      </w:r>
      <w:r w:rsidRPr="00386EB7">
        <w:rPr>
          <w:lang w:val="en-AU"/>
        </w:rPr>
        <w:t xml:space="preserve">owing on </w:t>
      </w:r>
      <w:r w:rsidRPr="00386EB7">
        <w:rPr>
          <w:i/>
          <w:lang w:val="en-AU"/>
        </w:rPr>
        <w:t xml:space="preserve">your mobile phone </w:t>
      </w:r>
      <w:r w:rsidRPr="00386EB7">
        <w:rPr>
          <w:lang w:val="en-AU"/>
        </w:rPr>
        <w:t xml:space="preserve">under the </w:t>
      </w:r>
      <w:r w:rsidRPr="00386EB7">
        <w:rPr>
          <w:i/>
          <w:lang w:val="en-AU"/>
        </w:rPr>
        <w:t xml:space="preserve">mobile equipment payment plan </w:t>
      </w:r>
      <w:r w:rsidRPr="00386EB7">
        <w:rPr>
          <w:lang w:val="en-AU"/>
        </w:rPr>
        <w:t xml:space="preserve">(if any). </w:t>
      </w:r>
    </w:p>
    <w:p w14:paraId="00D17F42" w14:textId="77777777" w:rsidR="00920231" w:rsidRDefault="00920231" w:rsidP="00920231">
      <w:pPr>
        <w:pStyle w:val="Heading7"/>
      </w:pPr>
      <w:bookmarkStart w:id="1719" w:name="_Ref458718103"/>
      <w:r w:rsidRPr="00386EB7">
        <w:t xml:space="preserve">The </w:t>
      </w:r>
      <w:r w:rsidRPr="00386EB7">
        <w:rPr>
          <w:i/>
        </w:rPr>
        <w:t>cancellation fee</w:t>
      </w:r>
      <w:r w:rsidRPr="00386EB7">
        <w:t xml:space="preserve"> is calculated as the following amounts, multiplied by the months remaining on </w:t>
      </w:r>
      <w:r w:rsidRPr="00386EB7">
        <w:rPr>
          <w:i/>
        </w:rPr>
        <w:t>your minimum term</w:t>
      </w:r>
      <w:r w:rsidRPr="00386EB7">
        <w:t>:</w:t>
      </w:r>
      <w:bookmarkEnd w:id="1719"/>
    </w:p>
    <w:tbl>
      <w:tblPr>
        <w:tblW w:w="736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0"/>
        <w:gridCol w:w="2559"/>
        <w:gridCol w:w="2551"/>
      </w:tblGrid>
      <w:tr w:rsidR="00920231" w14:paraId="33FCF8F0" w14:textId="77777777" w:rsidTr="00920231">
        <w:trPr>
          <w:trHeight w:val="668"/>
        </w:trPr>
        <w:tc>
          <w:tcPr>
            <w:tcW w:w="2250" w:type="dxa"/>
            <w:shd w:val="clear" w:color="auto" w:fill="auto"/>
            <w:vAlign w:val="center"/>
          </w:tcPr>
          <w:p w14:paraId="000BAF4B" w14:textId="77777777" w:rsidR="00920231" w:rsidRPr="00386EB7" w:rsidRDefault="00920231" w:rsidP="00920231">
            <w:pPr>
              <w:pStyle w:val="BodyText"/>
              <w:spacing w:before="100" w:after="100"/>
              <w:jc w:val="center"/>
              <w:rPr>
                <w:b/>
              </w:rPr>
            </w:pPr>
          </w:p>
        </w:tc>
        <w:tc>
          <w:tcPr>
            <w:tcW w:w="2559" w:type="dxa"/>
            <w:vAlign w:val="center"/>
          </w:tcPr>
          <w:p w14:paraId="5B507915" w14:textId="77777777" w:rsidR="00920231" w:rsidRPr="00386EB7" w:rsidRDefault="00920231" w:rsidP="00920231">
            <w:pPr>
              <w:pStyle w:val="BodyText"/>
              <w:spacing w:before="100" w:after="100"/>
              <w:jc w:val="center"/>
              <w:rPr>
                <w:b/>
              </w:rPr>
            </w:pPr>
            <w:r w:rsidRPr="00386EB7">
              <w:rPr>
                <w:b/>
              </w:rPr>
              <w:t>$30 My Plan Business 12M SIM</w:t>
            </w:r>
          </w:p>
        </w:tc>
        <w:tc>
          <w:tcPr>
            <w:tcW w:w="2551" w:type="dxa"/>
            <w:vAlign w:val="center"/>
          </w:tcPr>
          <w:p w14:paraId="3941FFBE" w14:textId="77777777" w:rsidR="00920231" w:rsidRPr="00386EB7" w:rsidRDefault="00920231" w:rsidP="00920231">
            <w:pPr>
              <w:pStyle w:val="BodyText"/>
              <w:spacing w:before="100" w:after="100"/>
              <w:jc w:val="center"/>
              <w:rPr>
                <w:b/>
              </w:rPr>
            </w:pPr>
            <w:r w:rsidRPr="00386EB7">
              <w:rPr>
                <w:b/>
              </w:rPr>
              <w:t>$50 My Plan Business 12M SIM</w:t>
            </w:r>
          </w:p>
        </w:tc>
      </w:tr>
      <w:tr w:rsidR="00920231" w14:paraId="4AA77141" w14:textId="77777777" w:rsidTr="00920231">
        <w:trPr>
          <w:trHeight w:val="53"/>
        </w:trPr>
        <w:tc>
          <w:tcPr>
            <w:tcW w:w="2250" w:type="dxa"/>
            <w:shd w:val="clear" w:color="auto" w:fill="auto"/>
            <w:vAlign w:val="center"/>
          </w:tcPr>
          <w:p w14:paraId="0AE6CBA8" w14:textId="77777777" w:rsidR="00920231" w:rsidRPr="00386EB7" w:rsidRDefault="00920231" w:rsidP="00920231">
            <w:pPr>
              <w:pStyle w:val="BodyText"/>
              <w:spacing w:before="100" w:after="100"/>
              <w:jc w:val="center"/>
              <w:rPr>
                <w:b/>
              </w:rPr>
            </w:pPr>
            <w:r w:rsidRPr="00386EB7">
              <w:rPr>
                <w:b/>
                <w:bCs/>
                <w:lang w:eastAsia="en-AU"/>
              </w:rPr>
              <w:t>Cancellation Fee</w:t>
            </w:r>
          </w:p>
        </w:tc>
        <w:tc>
          <w:tcPr>
            <w:tcW w:w="2559" w:type="dxa"/>
            <w:vAlign w:val="center"/>
          </w:tcPr>
          <w:p w14:paraId="531FB5E9" w14:textId="77777777" w:rsidR="00920231" w:rsidRDefault="00920231" w:rsidP="00920231">
            <w:pPr>
              <w:pStyle w:val="BodyText"/>
              <w:spacing w:before="100" w:after="100"/>
              <w:jc w:val="center"/>
            </w:pPr>
            <w:r>
              <w:t>$9 x Months remaining</w:t>
            </w:r>
          </w:p>
        </w:tc>
        <w:tc>
          <w:tcPr>
            <w:tcW w:w="2551" w:type="dxa"/>
            <w:vAlign w:val="center"/>
          </w:tcPr>
          <w:p w14:paraId="0292893C" w14:textId="77777777" w:rsidR="00920231" w:rsidRDefault="00920231" w:rsidP="00920231">
            <w:pPr>
              <w:pStyle w:val="BodyText"/>
              <w:spacing w:before="100" w:after="100"/>
              <w:jc w:val="center"/>
            </w:pPr>
            <w:r>
              <w:t>$15 x Months remaining</w:t>
            </w:r>
          </w:p>
        </w:tc>
      </w:tr>
      <w:tr w:rsidR="00920231" w14:paraId="71BAA68E" w14:textId="77777777" w:rsidTr="00920231">
        <w:trPr>
          <w:trHeight w:val="53"/>
        </w:trPr>
        <w:tc>
          <w:tcPr>
            <w:tcW w:w="2250" w:type="dxa"/>
            <w:shd w:val="clear" w:color="auto" w:fill="auto"/>
            <w:vAlign w:val="center"/>
          </w:tcPr>
          <w:p w14:paraId="14B095C6" w14:textId="77777777" w:rsidR="00920231" w:rsidRPr="00386EB7" w:rsidRDefault="00920231" w:rsidP="00920231">
            <w:pPr>
              <w:pStyle w:val="BodyText"/>
              <w:spacing w:before="100" w:after="100"/>
              <w:jc w:val="center"/>
              <w:rPr>
                <w:b/>
                <w:bCs/>
                <w:lang w:eastAsia="en-AU"/>
              </w:rPr>
            </w:pPr>
            <w:r w:rsidRPr="00386EB7">
              <w:rPr>
                <w:b/>
                <w:bCs/>
                <w:lang w:eastAsia="en-AU"/>
              </w:rPr>
              <w:t>Maximum Cancellation Fee</w:t>
            </w:r>
          </w:p>
        </w:tc>
        <w:tc>
          <w:tcPr>
            <w:tcW w:w="2559" w:type="dxa"/>
            <w:vAlign w:val="center"/>
          </w:tcPr>
          <w:p w14:paraId="556E782A" w14:textId="77777777" w:rsidR="00920231" w:rsidRDefault="00920231" w:rsidP="00920231">
            <w:pPr>
              <w:pStyle w:val="BodyText"/>
              <w:spacing w:before="100" w:after="100"/>
              <w:jc w:val="center"/>
            </w:pPr>
            <w:r>
              <w:t>$108</w:t>
            </w:r>
          </w:p>
        </w:tc>
        <w:tc>
          <w:tcPr>
            <w:tcW w:w="2551" w:type="dxa"/>
            <w:vAlign w:val="center"/>
          </w:tcPr>
          <w:p w14:paraId="0A04B5AF" w14:textId="77777777" w:rsidR="00920231" w:rsidRDefault="00920231" w:rsidP="00920231">
            <w:pPr>
              <w:pStyle w:val="BodyText"/>
              <w:spacing w:before="100" w:after="100"/>
              <w:jc w:val="center"/>
            </w:pPr>
            <w:r>
              <w:t>$180</w:t>
            </w:r>
          </w:p>
        </w:tc>
      </w:tr>
    </w:tbl>
    <w:p w14:paraId="20948754" w14:textId="77777777" w:rsidR="00920231" w:rsidRDefault="00920231" w:rsidP="00920231">
      <w:pPr>
        <w:pStyle w:val="BodyText"/>
      </w:pPr>
    </w:p>
    <w:p w14:paraId="7D187129" w14:textId="77777777" w:rsidR="00920231" w:rsidRPr="00386EB7" w:rsidRDefault="00920231" w:rsidP="00920231">
      <w:pPr>
        <w:pStyle w:val="Heading7"/>
        <w:rPr>
          <w:lang w:val="en-AU"/>
        </w:rPr>
      </w:pPr>
      <w:r w:rsidRPr="00386EB7">
        <w:rPr>
          <w:lang w:val="en-AU"/>
        </w:rPr>
        <w:t xml:space="preserve">If </w:t>
      </w:r>
      <w:r w:rsidRPr="00386EB7">
        <w:rPr>
          <w:i/>
          <w:lang w:val="en-AU"/>
        </w:rPr>
        <w:t>your</w:t>
      </w:r>
      <w:r w:rsidRPr="00386EB7">
        <w:rPr>
          <w:lang w:val="en-AU"/>
        </w:rPr>
        <w:t xml:space="preserve"> My Plan Business 12M SIM is </w:t>
      </w:r>
      <w:r w:rsidRPr="00386EB7">
        <w:rPr>
          <w:i/>
          <w:lang w:val="en-AU"/>
        </w:rPr>
        <w:t>cancelled</w:t>
      </w:r>
      <w:r w:rsidRPr="00386EB7">
        <w:rPr>
          <w:lang w:val="en-AU"/>
        </w:rPr>
        <w:t xml:space="preserve">, </w:t>
      </w:r>
      <w:r w:rsidRPr="00386EB7">
        <w:rPr>
          <w:i/>
          <w:lang w:val="en-AU"/>
        </w:rPr>
        <w:t>your</w:t>
      </w:r>
      <w:r w:rsidRPr="00386EB7">
        <w:rPr>
          <w:lang w:val="en-AU"/>
        </w:rPr>
        <w:t xml:space="preserve"> Shared Data Plan(s) may also be </w:t>
      </w:r>
      <w:r w:rsidRPr="00386EB7">
        <w:rPr>
          <w:i/>
          <w:lang w:val="en-AU"/>
        </w:rPr>
        <w:t>cancelled</w:t>
      </w:r>
      <w:r w:rsidRPr="00386EB7">
        <w:rPr>
          <w:lang w:val="en-AU"/>
        </w:rPr>
        <w:t xml:space="preserve">. There are no </w:t>
      </w:r>
      <w:r w:rsidRPr="00386EB7">
        <w:rPr>
          <w:i/>
          <w:lang w:val="en-AU"/>
        </w:rPr>
        <w:t>cancellation fees</w:t>
      </w:r>
      <w:r w:rsidRPr="00386EB7">
        <w:rPr>
          <w:lang w:val="en-AU"/>
        </w:rPr>
        <w:t xml:space="preserve"> for the Shared Data Plan, however if </w:t>
      </w:r>
      <w:r w:rsidRPr="00386EB7">
        <w:rPr>
          <w:i/>
          <w:lang w:val="en-AU"/>
        </w:rPr>
        <w:t>you</w:t>
      </w:r>
      <w:r w:rsidRPr="00386EB7">
        <w:rPr>
          <w:lang w:val="en-AU"/>
        </w:rPr>
        <w:t xml:space="preserve"> purchased a </w:t>
      </w:r>
      <w:r w:rsidRPr="00386EB7">
        <w:rPr>
          <w:i/>
          <w:lang w:val="en-AU"/>
        </w:rPr>
        <w:t>device</w:t>
      </w:r>
      <w:r w:rsidRPr="00386EB7">
        <w:rPr>
          <w:lang w:val="en-AU"/>
        </w:rPr>
        <w:t xml:space="preserve"> </w:t>
      </w:r>
      <w:r w:rsidRPr="00386EB7">
        <w:rPr>
          <w:i/>
          <w:lang w:val="en-AU"/>
        </w:rPr>
        <w:t>you</w:t>
      </w:r>
      <w:r w:rsidRPr="00386EB7">
        <w:rPr>
          <w:lang w:val="en-AU"/>
        </w:rPr>
        <w:t xml:space="preserve"> need to pay the sum of any remaining </w:t>
      </w:r>
      <w:r w:rsidRPr="00386EB7">
        <w:rPr>
          <w:i/>
          <w:lang w:val="en-AU"/>
        </w:rPr>
        <w:t xml:space="preserve">equipment charges </w:t>
      </w:r>
      <w:r w:rsidRPr="00386EB7">
        <w:rPr>
          <w:lang w:val="en-AU"/>
        </w:rPr>
        <w:t xml:space="preserve">owing on </w:t>
      </w:r>
      <w:r w:rsidRPr="00386EB7">
        <w:rPr>
          <w:i/>
          <w:lang w:val="en-AU"/>
        </w:rPr>
        <w:t xml:space="preserve">your device </w:t>
      </w:r>
      <w:r w:rsidRPr="00386EB7">
        <w:rPr>
          <w:lang w:val="en-AU"/>
        </w:rPr>
        <w:t xml:space="preserve">under the </w:t>
      </w:r>
      <w:r w:rsidRPr="00386EB7">
        <w:rPr>
          <w:i/>
          <w:lang w:val="en-AU"/>
        </w:rPr>
        <w:t xml:space="preserve">mobile equipment payment plan </w:t>
      </w:r>
      <w:r w:rsidRPr="00386EB7">
        <w:rPr>
          <w:lang w:val="en-AU"/>
        </w:rPr>
        <w:t xml:space="preserve">(see </w:t>
      </w:r>
      <w:hyperlink r:id="rId755" w:history="1">
        <w:r w:rsidRPr="009F4866">
          <w:rPr>
            <w:rStyle w:val="Hyperlink"/>
            <w:i/>
            <w:lang w:val="en-AU"/>
          </w:rPr>
          <w:t>Appendix D</w:t>
        </w:r>
      </w:hyperlink>
      <w:r w:rsidRPr="00386EB7">
        <w:rPr>
          <w:lang w:val="en-AU"/>
        </w:rPr>
        <w:t>).</w:t>
      </w:r>
    </w:p>
    <w:p w14:paraId="2DBA3552" w14:textId="77777777" w:rsidR="00920231" w:rsidRDefault="00920231" w:rsidP="00920231">
      <w:pPr>
        <w:pStyle w:val="Heading7"/>
      </w:pPr>
      <w:r w:rsidRPr="00386EB7">
        <w:t xml:space="preserve">If </w:t>
      </w:r>
      <w:r w:rsidRPr="00386EB7">
        <w:rPr>
          <w:i/>
        </w:rPr>
        <w:t xml:space="preserve">your </w:t>
      </w:r>
      <w:r w:rsidRPr="00386EB7">
        <w:t xml:space="preserve">Shared Data Plan is not </w:t>
      </w:r>
      <w:r w:rsidRPr="00386EB7">
        <w:rPr>
          <w:i/>
        </w:rPr>
        <w:t>cancelled</w:t>
      </w:r>
      <w:r w:rsidRPr="00386EB7">
        <w:t xml:space="preserve">, </w:t>
      </w:r>
      <w:r w:rsidRPr="00386EB7">
        <w:rPr>
          <w:i/>
        </w:rPr>
        <w:t>you</w:t>
      </w:r>
      <w:r w:rsidRPr="00386EB7">
        <w:t xml:space="preserve"> will be charged $10 per 1GB within Australia, up to 150GB (per account) in a billing month. </w:t>
      </w:r>
      <w:r w:rsidRPr="00386EB7">
        <w:rPr>
          <w:i/>
        </w:rPr>
        <w:t>Your service/s</w:t>
      </w:r>
      <w:r w:rsidRPr="00386EB7">
        <w:t xml:space="preserve"> may then be restricted or </w:t>
      </w:r>
      <w:r w:rsidRPr="00386EB7">
        <w:rPr>
          <w:i/>
        </w:rPr>
        <w:t>we</w:t>
      </w:r>
      <w:r w:rsidRPr="00386EB7">
        <w:t xml:space="preserve"> may continue to charge </w:t>
      </w:r>
      <w:r w:rsidRPr="00386EB7">
        <w:rPr>
          <w:i/>
        </w:rPr>
        <w:t>you</w:t>
      </w:r>
      <w:r w:rsidRPr="00386EB7">
        <w:t xml:space="preserve"> at these rates.</w:t>
      </w:r>
      <w:r>
        <w:br/>
      </w:r>
    </w:p>
    <w:p w14:paraId="5B9C5557" w14:textId="77777777" w:rsidR="00920231" w:rsidRPr="0034768D" w:rsidRDefault="00920231" w:rsidP="00920231">
      <w:pPr>
        <w:pStyle w:val="Heading4"/>
        <w:rPr>
          <w:lang w:val="en-AU"/>
        </w:rPr>
      </w:pPr>
      <w:bookmarkStart w:id="1720" w:name="_Toc485729117"/>
      <w:bookmarkStart w:id="1721" w:name="_Toc62644694"/>
      <w:r w:rsidRPr="0034768D">
        <w:rPr>
          <w:lang w:val="en-AU"/>
        </w:rPr>
        <w:t xml:space="preserve">My Plan </w:t>
      </w:r>
      <w:r>
        <w:rPr>
          <w:lang w:val="en-AU"/>
        </w:rPr>
        <w:t>B</w:t>
      </w:r>
      <w:r w:rsidRPr="0034768D">
        <w:rPr>
          <w:lang w:val="en-AU"/>
        </w:rPr>
        <w:t xml:space="preserve">usiness SIM – 12 Months </w:t>
      </w:r>
      <w:r>
        <w:rPr>
          <w:lang w:val="en-AU"/>
        </w:rPr>
        <w:t>(August 2016)</w:t>
      </w:r>
      <w:bookmarkEnd w:id="1720"/>
      <w:bookmarkEnd w:id="1721"/>
    </w:p>
    <w:p w14:paraId="1782E08C" w14:textId="77777777" w:rsidR="00920231" w:rsidRDefault="00920231" w:rsidP="00920231">
      <w:pPr>
        <w:pStyle w:val="BodyText"/>
        <w:keepNext/>
        <w:ind w:left="720"/>
      </w:pPr>
      <w:r w:rsidRPr="0034768D">
        <w:t xml:space="preserve">This section relates to the following plan(s). </w:t>
      </w:r>
      <w:r w:rsidRPr="0034768D">
        <w:rPr>
          <w:i/>
        </w:rPr>
        <w:t>You</w:t>
      </w:r>
      <w:r w:rsidRPr="0034768D">
        <w:t xml:space="preserve"> can find </w:t>
      </w:r>
      <w:r w:rsidRPr="0034768D">
        <w:rPr>
          <w:i/>
        </w:rPr>
        <w:t>your</w:t>
      </w:r>
      <w:r w:rsidRPr="0034768D">
        <w:t xml:space="preserve"> Plan ID on </w:t>
      </w:r>
      <w:r w:rsidRPr="0034768D">
        <w:rPr>
          <w:i/>
        </w:rPr>
        <w:t>your</w:t>
      </w:r>
      <w:r w:rsidRPr="0034768D">
        <w:t xml:space="preserve"> bill under the Mobile Number Summary section:</w:t>
      </w:r>
    </w:p>
    <w:tbl>
      <w:tblPr>
        <w:tblW w:w="95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0"/>
        <w:gridCol w:w="2650"/>
        <w:gridCol w:w="3710"/>
      </w:tblGrid>
      <w:tr w:rsidR="00920231" w:rsidRPr="00B35BA7" w14:paraId="1BFC0925" w14:textId="77777777" w:rsidTr="00920231">
        <w:trPr>
          <w:trHeight w:val="85"/>
        </w:trPr>
        <w:tc>
          <w:tcPr>
            <w:tcW w:w="3180" w:type="dxa"/>
            <w:shd w:val="clear" w:color="auto" w:fill="auto"/>
          </w:tcPr>
          <w:p w14:paraId="12ED0A97" w14:textId="77777777" w:rsidR="00920231" w:rsidRPr="0034768D" w:rsidRDefault="00920231" w:rsidP="00920231">
            <w:pPr>
              <w:pStyle w:val="BodyText"/>
              <w:spacing w:before="100" w:after="100"/>
              <w:jc w:val="center"/>
              <w:rPr>
                <w:b/>
              </w:rPr>
            </w:pPr>
            <w:r w:rsidRPr="0034768D">
              <w:rPr>
                <w:b/>
              </w:rPr>
              <w:t>Plan</w:t>
            </w:r>
          </w:p>
        </w:tc>
        <w:tc>
          <w:tcPr>
            <w:tcW w:w="2650" w:type="dxa"/>
            <w:shd w:val="clear" w:color="auto" w:fill="auto"/>
          </w:tcPr>
          <w:p w14:paraId="2ABC1162" w14:textId="77777777" w:rsidR="00920231" w:rsidRPr="0034768D" w:rsidRDefault="00920231" w:rsidP="00920231">
            <w:pPr>
              <w:pStyle w:val="BodyText"/>
              <w:spacing w:before="100" w:after="100"/>
              <w:jc w:val="center"/>
              <w:rPr>
                <w:b/>
              </w:rPr>
            </w:pPr>
            <w:r w:rsidRPr="0034768D">
              <w:rPr>
                <w:b/>
              </w:rPr>
              <w:t>Plan ID</w:t>
            </w:r>
          </w:p>
        </w:tc>
        <w:tc>
          <w:tcPr>
            <w:tcW w:w="3710" w:type="dxa"/>
            <w:shd w:val="clear" w:color="auto" w:fill="auto"/>
          </w:tcPr>
          <w:p w14:paraId="0BF39DDE" w14:textId="77777777" w:rsidR="00920231" w:rsidRPr="0034768D" w:rsidRDefault="00920231" w:rsidP="00920231">
            <w:pPr>
              <w:pStyle w:val="BodyText"/>
              <w:spacing w:before="100" w:after="100"/>
              <w:jc w:val="center"/>
              <w:rPr>
                <w:b/>
              </w:rPr>
            </w:pPr>
            <w:r w:rsidRPr="0034768D">
              <w:rPr>
                <w:b/>
              </w:rPr>
              <w:t>Available</w:t>
            </w:r>
          </w:p>
        </w:tc>
      </w:tr>
      <w:tr w:rsidR="00920231" w:rsidRPr="00635102" w14:paraId="56BF1E4E" w14:textId="77777777" w:rsidTr="00920231">
        <w:tc>
          <w:tcPr>
            <w:tcW w:w="3180" w:type="dxa"/>
            <w:shd w:val="clear" w:color="auto" w:fill="auto"/>
          </w:tcPr>
          <w:p w14:paraId="2EF78C76" w14:textId="77777777" w:rsidR="00920231" w:rsidRPr="00B35BA7" w:rsidRDefault="00920231" w:rsidP="00920231">
            <w:pPr>
              <w:pStyle w:val="BodyText"/>
              <w:spacing w:before="100" w:after="100"/>
              <w:jc w:val="center"/>
            </w:pPr>
            <w:r>
              <w:t>$4</w:t>
            </w:r>
            <w:r w:rsidRPr="003949C4">
              <w:t>0 My Plan Business 12M SIM</w:t>
            </w:r>
          </w:p>
        </w:tc>
        <w:tc>
          <w:tcPr>
            <w:tcW w:w="2650" w:type="dxa"/>
            <w:shd w:val="clear" w:color="auto" w:fill="auto"/>
          </w:tcPr>
          <w:p w14:paraId="69D4514C" w14:textId="77777777" w:rsidR="00920231" w:rsidRPr="00635102" w:rsidRDefault="00920231" w:rsidP="00920231">
            <w:pPr>
              <w:pStyle w:val="BodyText"/>
              <w:spacing w:before="100" w:after="100"/>
              <w:jc w:val="center"/>
            </w:pPr>
            <w:r>
              <w:t>800535, 9954352</w:t>
            </w:r>
          </w:p>
        </w:tc>
        <w:tc>
          <w:tcPr>
            <w:tcW w:w="3710" w:type="dxa"/>
            <w:shd w:val="clear" w:color="auto" w:fill="auto"/>
          </w:tcPr>
          <w:p w14:paraId="113FC6ED" w14:textId="77777777" w:rsidR="00920231" w:rsidRPr="00635102" w:rsidRDefault="00920231" w:rsidP="00920231">
            <w:pPr>
              <w:pStyle w:val="BodyText"/>
              <w:spacing w:before="100" w:after="100"/>
              <w:jc w:val="center"/>
            </w:pPr>
            <w:r>
              <w:t xml:space="preserve">1 August 2016 </w:t>
            </w:r>
            <w:r>
              <w:rPr>
                <w:rFonts w:eastAsia="Calibri"/>
              </w:rPr>
              <w:t>– 22 October 2017</w:t>
            </w:r>
          </w:p>
        </w:tc>
      </w:tr>
    </w:tbl>
    <w:p w14:paraId="7CFA769E" w14:textId="77777777" w:rsidR="00920231" w:rsidRDefault="00920231" w:rsidP="00920231">
      <w:pPr>
        <w:pStyle w:val="BodyText"/>
      </w:pPr>
    </w:p>
    <w:p w14:paraId="2FA574E6" w14:textId="77777777" w:rsidR="00920231" w:rsidRPr="0034768D" w:rsidRDefault="00920231" w:rsidP="00920231">
      <w:pPr>
        <w:pStyle w:val="Heading6"/>
        <w:ind w:left="0" w:firstLine="0"/>
        <w:rPr>
          <w:lang w:val="en-AU"/>
        </w:rPr>
      </w:pPr>
      <w:bookmarkStart w:id="1722" w:name="_Toc485729118"/>
      <w:r w:rsidRPr="0034768D">
        <w:rPr>
          <w:lang w:val="en-AU"/>
        </w:rPr>
        <w:t>Eligibility</w:t>
      </w:r>
      <w:bookmarkEnd w:id="1722"/>
    </w:p>
    <w:p w14:paraId="79826BCD" w14:textId="77777777" w:rsidR="00920231" w:rsidRPr="0034768D" w:rsidRDefault="00920231" w:rsidP="00920231">
      <w:pPr>
        <w:pStyle w:val="BodyText"/>
        <w:ind w:left="720"/>
        <w:rPr>
          <w:lang w:val="en-AU"/>
        </w:rPr>
      </w:pPr>
      <w:r w:rsidRPr="0034768D">
        <w:rPr>
          <w:lang w:val="en-AU"/>
        </w:rPr>
        <w:t xml:space="preserve">The </w:t>
      </w:r>
      <w:r>
        <w:rPr>
          <w:lang w:val="en-AU"/>
        </w:rPr>
        <w:t>$40 My Plan Business 12M SIM plan is</w:t>
      </w:r>
      <w:r w:rsidRPr="0034768D">
        <w:rPr>
          <w:lang w:val="en-AU"/>
        </w:rPr>
        <w:t xml:space="preserve"> only available to mobile customers who pass Optus</w:t>
      </w:r>
      <w:r>
        <w:rPr>
          <w:lang w:val="en-AU"/>
        </w:rPr>
        <w:t>'</w:t>
      </w:r>
      <w:r w:rsidRPr="0034768D">
        <w:rPr>
          <w:lang w:val="en-AU"/>
        </w:rPr>
        <w:t xml:space="preserve"> credit assessment. </w:t>
      </w:r>
    </w:p>
    <w:p w14:paraId="1B6E85EB" w14:textId="77777777" w:rsidR="00920231" w:rsidRPr="0034768D" w:rsidRDefault="00920231" w:rsidP="00920231">
      <w:pPr>
        <w:pStyle w:val="BodyText"/>
        <w:ind w:left="720"/>
        <w:rPr>
          <w:lang w:val="en-AU"/>
        </w:rPr>
      </w:pPr>
      <w:r w:rsidRPr="0034768D">
        <w:rPr>
          <w:lang w:val="en-AU"/>
        </w:rPr>
        <w:t>Optus Service Providers</w:t>
      </w:r>
      <w:r>
        <w:rPr>
          <w:lang w:val="en-AU"/>
        </w:rPr>
        <w:t>'</w:t>
      </w:r>
      <w:r w:rsidRPr="0034768D">
        <w:rPr>
          <w:lang w:val="en-AU"/>
        </w:rPr>
        <w:t xml:space="preserve"> customers are not eligible to apply.</w:t>
      </w:r>
    </w:p>
    <w:p w14:paraId="7A145851" w14:textId="77777777" w:rsidR="00920231" w:rsidRDefault="00920231" w:rsidP="00920231">
      <w:pPr>
        <w:pStyle w:val="BodyText"/>
        <w:ind w:left="720"/>
        <w:rPr>
          <w:b/>
          <w:lang w:val="en-AU"/>
        </w:rPr>
      </w:pPr>
      <w:r w:rsidRPr="0034768D">
        <w:rPr>
          <w:lang w:val="en-AU"/>
        </w:rPr>
        <w:t xml:space="preserve">These </w:t>
      </w:r>
      <w:r w:rsidRPr="0034768D">
        <w:rPr>
          <w:i/>
          <w:lang w:val="en-AU"/>
        </w:rPr>
        <w:t>plans</w:t>
      </w:r>
      <w:r w:rsidRPr="0034768D">
        <w:rPr>
          <w:lang w:val="en-AU"/>
        </w:rPr>
        <w:t xml:space="preserve"> aren</w:t>
      </w:r>
      <w:r>
        <w:rPr>
          <w:lang w:val="en-AU"/>
        </w:rPr>
        <w:t>'</w:t>
      </w:r>
      <w:r w:rsidRPr="0034768D">
        <w:rPr>
          <w:lang w:val="en-AU"/>
        </w:rPr>
        <w:t>t compatible for data use with BlackBerry handsets on operating systems of 7.1 or earlier.</w:t>
      </w:r>
    </w:p>
    <w:p w14:paraId="798D145B" w14:textId="77777777" w:rsidR="00920231" w:rsidRPr="0034768D" w:rsidRDefault="00920231" w:rsidP="00920231">
      <w:pPr>
        <w:pStyle w:val="Heading6"/>
        <w:ind w:left="0" w:firstLine="0"/>
        <w:rPr>
          <w:lang w:val="en-AU"/>
        </w:rPr>
      </w:pPr>
      <w:bookmarkStart w:id="1723" w:name="_Toc485729119"/>
      <w:r w:rsidRPr="0034768D">
        <w:rPr>
          <w:lang w:val="en-AU"/>
        </w:rPr>
        <w:t>Minimum Term</w:t>
      </w:r>
      <w:bookmarkEnd w:id="1723"/>
    </w:p>
    <w:p w14:paraId="3452EDDB" w14:textId="77777777" w:rsidR="00920231" w:rsidRPr="0034768D" w:rsidRDefault="00920231" w:rsidP="00920231">
      <w:pPr>
        <w:pStyle w:val="BodyText"/>
        <w:ind w:firstLine="720"/>
        <w:rPr>
          <w:lang w:val="en-AU"/>
        </w:rPr>
      </w:pPr>
      <w:r w:rsidRPr="0034768D">
        <w:rPr>
          <w:lang w:val="en-AU"/>
        </w:rPr>
        <w:t xml:space="preserve">These </w:t>
      </w:r>
      <w:r w:rsidRPr="0034768D">
        <w:rPr>
          <w:i/>
          <w:lang w:val="en-AU"/>
        </w:rPr>
        <w:t>plans</w:t>
      </w:r>
      <w:r w:rsidRPr="0034768D">
        <w:rPr>
          <w:lang w:val="en-AU"/>
        </w:rPr>
        <w:t xml:space="preserve"> have</w:t>
      </w:r>
      <w:r w:rsidRPr="0034768D">
        <w:rPr>
          <w:i/>
          <w:lang w:val="en-AU"/>
        </w:rPr>
        <w:t xml:space="preserve"> </w:t>
      </w:r>
      <w:r w:rsidRPr="0034768D">
        <w:rPr>
          <w:lang w:val="en-AU"/>
        </w:rPr>
        <w:t xml:space="preserve">a </w:t>
      </w:r>
      <w:r w:rsidRPr="0034768D">
        <w:rPr>
          <w:i/>
          <w:lang w:val="en-AU"/>
        </w:rPr>
        <w:t>fixed length agreement</w:t>
      </w:r>
      <w:r w:rsidRPr="0034768D">
        <w:rPr>
          <w:lang w:val="en-AU"/>
        </w:rPr>
        <w:t xml:space="preserve"> with a 12 month </w:t>
      </w:r>
      <w:r w:rsidRPr="0034768D">
        <w:rPr>
          <w:i/>
          <w:lang w:val="en-AU"/>
        </w:rPr>
        <w:t>minimum term.</w:t>
      </w:r>
    </w:p>
    <w:p w14:paraId="6C7BBBB4" w14:textId="77777777" w:rsidR="00920231" w:rsidRPr="0034768D" w:rsidRDefault="00920231" w:rsidP="00920231">
      <w:pPr>
        <w:pStyle w:val="Heading6"/>
        <w:ind w:left="0" w:firstLine="0"/>
        <w:rPr>
          <w:lang w:val="en-AU"/>
        </w:rPr>
      </w:pPr>
      <w:bookmarkStart w:id="1724" w:name="_Toc485729120"/>
      <w:r w:rsidRPr="0034768D">
        <w:rPr>
          <w:lang w:val="en-AU"/>
        </w:rPr>
        <w:t xml:space="preserve">What </w:t>
      </w:r>
      <w:r w:rsidRPr="0034768D">
        <w:rPr>
          <w:i/>
          <w:lang w:val="en-AU"/>
        </w:rPr>
        <w:t>you</w:t>
      </w:r>
      <w:r w:rsidRPr="0034768D">
        <w:rPr>
          <w:lang w:val="en-AU"/>
        </w:rPr>
        <w:t xml:space="preserve"> have to pay </w:t>
      </w:r>
      <w:r w:rsidRPr="0034768D">
        <w:rPr>
          <w:i/>
          <w:lang w:val="en-AU"/>
        </w:rPr>
        <w:t>us</w:t>
      </w:r>
      <w:bookmarkEnd w:id="1724"/>
    </w:p>
    <w:p w14:paraId="61DCDDBA" w14:textId="77777777" w:rsidR="00920231" w:rsidRPr="0034768D" w:rsidRDefault="00920231" w:rsidP="00920231">
      <w:pPr>
        <w:pStyle w:val="Heading7"/>
        <w:rPr>
          <w:lang w:val="en-AU"/>
        </w:rPr>
      </w:pPr>
      <w:r w:rsidRPr="0034768D">
        <w:rPr>
          <w:i/>
          <w:lang w:val="en-AU"/>
        </w:rPr>
        <w:t>You</w:t>
      </w:r>
      <w:r w:rsidRPr="0034768D">
        <w:rPr>
          <w:lang w:val="en-AU"/>
        </w:rPr>
        <w:t xml:space="preserve"> must pay </w:t>
      </w:r>
      <w:r w:rsidRPr="0034768D">
        <w:rPr>
          <w:i/>
          <w:lang w:val="en-AU"/>
        </w:rPr>
        <w:t>us</w:t>
      </w:r>
      <w:r w:rsidRPr="0034768D">
        <w:rPr>
          <w:lang w:val="en-AU"/>
        </w:rPr>
        <w:t xml:space="preserve"> for use of the </w:t>
      </w:r>
      <w:r w:rsidRPr="0034768D">
        <w:rPr>
          <w:i/>
          <w:lang w:val="en-AU"/>
        </w:rPr>
        <w:t>service</w:t>
      </w:r>
      <w:r w:rsidRPr="0034768D">
        <w:rPr>
          <w:lang w:val="en-AU"/>
        </w:rPr>
        <w:t xml:space="preserve"> at the rates set out in Section 1 of this </w:t>
      </w:r>
      <w:r w:rsidRPr="0034768D">
        <w:rPr>
          <w:i/>
          <w:lang w:val="en-AU"/>
        </w:rPr>
        <w:t>standard pricing table</w:t>
      </w:r>
      <w:r w:rsidRPr="0034768D">
        <w:rPr>
          <w:lang w:val="en-AU"/>
        </w:rPr>
        <w:t xml:space="preserve"> and for value added service features at the rates set out in </w:t>
      </w:r>
      <w:hyperlink r:id="rId756" w:history="1">
        <w:r w:rsidRPr="009F4866">
          <w:rPr>
            <w:rStyle w:val="Hyperlink"/>
            <w:i/>
            <w:lang w:val="en-AU"/>
          </w:rPr>
          <w:t>Appendix Y Value Added Service Features</w:t>
        </w:r>
        <w:r>
          <w:rPr>
            <w:rStyle w:val="Hyperlink"/>
            <w:lang w:val="en-AU"/>
          </w:rPr>
          <w:t>.</w:t>
        </w:r>
      </w:hyperlink>
    </w:p>
    <w:p w14:paraId="713313CA" w14:textId="77777777" w:rsidR="00920231" w:rsidRPr="0034768D" w:rsidRDefault="00920231" w:rsidP="00920231">
      <w:pPr>
        <w:pStyle w:val="Heading7"/>
        <w:rPr>
          <w:lang w:val="en-AU"/>
        </w:rPr>
      </w:pPr>
      <w:r w:rsidRPr="0034768D">
        <w:rPr>
          <w:lang w:val="en-AU"/>
        </w:rPr>
        <w:t>If there is a flagfall for a particular call type, the charge for these calls is the flagfall amount plus the relevant rate for the call multiplied by the duration of the call.</w:t>
      </w:r>
    </w:p>
    <w:p w14:paraId="4F8B29D0" w14:textId="77777777" w:rsidR="00920231" w:rsidRPr="00063708" w:rsidRDefault="00920231" w:rsidP="00920231">
      <w:pPr>
        <w:pStyle w:val="Heading7"/>
        <w:rPr>
          <w:b/>
          <w:lang w:val="en-AU"/>
        </w:rPr>
      </w:pPr>
      <w:r w:rsidRPr="00063708">
        <w:rPr>
          <w:b/>
          <w:lang w:val="en-AU"/>
        </w:rPr>
        <w:t>Minimum Monthly Charge</w:t>
      </w:r>
    </w:p>
    <w:p w14:paraId="28CFED1A" w14:textId="77777777" w:rsidR="00920231" w:rsidRPr="0034768D" w:rsidRDefault="00920231" w:rsidP="00920231">
      <w:pPr>
        <w:pStyle w:val="Heading8"/>
        <w:rPr>
          <w:lang w:val="en-AU"/>
        </w:rPr>
      </w:pPr>
      <w:r>
        <w:rPr>
          <w:lang w:val="en-AU"/>
        </w:rPr>
        <w:t xml:space="preserve">$40 </w:t>
      </w:r>
      <w:r w:rsidRPr="0034768D">
        <w:rPr>
          <w:lang w:val="en-AU"/>
        </w:rPr>
        <w:t xml:space="preserve">My Plan Business 12M SIM plans have a Minimum Monthly Charge amount that </w:t>
      </w:r>
      <w:r w:rsidRPr="0034768D">
        <w:rPr>
          <w:i/>
          <w:lang w:val="en-AU"/>
        </w:rPr>
        <w:t>you</w:t>
      </w:r>
      <w:r w:rsidRPr="0034768D">
        <w:rPr>
          <w:lang w:val="en-AU"/>
        </w:rPr>
        <w:t xml:space="preserve"> must pay </w:t>
      </w:r>
      <w:r w:rsidRPr="0034768D">
        <w:rPr>
          <w:i/>
          <w:lang w:val="en-AU"/>
        </w:rPr>
        <w:t>us</w:t>
      </w:r>
      <w:r w:rsidRPr="0034768D">
        <w:rPr>
          <w:lang w:val="en-AU"/>
        </w:rPr>
        <w:t xml:space="preserve"> each month as set out in Table 1 below.</w:t>
      </w:r>
      <w:r>
        <w:rPr>
          <w:lang w:val="en-AU"/>
        </w:rPr>
        <w:t xml:space="preserve"> </w:t>
      </w:r>
    </w:p>
    <w:p w14:paraId="4BC7BE6F" w14:textId="77777777" w:rsidR="00920231" w:rsidRPr="00100902" w:rsidRDefault="00920231" w:rsidP="00920231">
      <w:pPr>
        <w:pStyle w:val="Heading8"/>
        <w:rPr>
          <w:lang w:val="en-AU"/>
        </w:rPr>
      </w:pPr>
      <w:r w:rsidRPr="0034768D">
        <w:rPr>
          <w:i/>
          <w:lang w:val="en-AU"/>
        </w:rPr>
        <w:t>You</w:t>
      </w:r>
      <w:r w:rsidRPr="0034768D">
        <w:rPr>
          <w:lang w:val="en-AU"/>
        </w:rPr>
        <w:t xml:space="preserve"> may purchase a mobile phone (or </w:t>
      </w:r>
      <w:r>
        <w:rPr>
          <w:lang w:val="en-AU"/>
        </w:rPr>
        <w:t>'</w:t>
      </w:r>
      <w:r w:rsidRPr="0034768D">
        <w:rPr>
          <w:lang w:val="en-AU"/>
        </w:rPr>
        <w:t>handset</w:t>
      </w:r>
      <w:r>
        <w:rPr>
          <w:lang w:val="en-AU"/>
        </w:rPr>
        <w:t>'</w:t>
      </w:r>
      <w:r w:rsidRPr="0034768D">
        <w:rPr>
          <w:lang w:val="en-AU"/>
        </w:rPr>
        <w:t xml:space="preserve">) with a 1 month or 12 month </w:t>
      </w:r>
      <w:r w:rsidRPr="0034768D">
        <w:rPr>
          <w:i/>
          <w:lang w:val="en-AU"/>
        </w:rPr>
        <w:t>equipment term</w:t>
      </w:r>
      <w:r w:rsidRPr="0034768D">
        <w:rPr>
          <w:lang w:val="en-AU"/>
        </w:rPr>
        <w:t xml:space="preserve"> under a </w:t>
      </w:r>
      <w:r w:rsidRPr="0034768D">
        <w:rPr>
          <w:i/>
          <w:lang w:val="en-AU"/>
        </w:rPr>
        <w:t>mobile equipment payment plan</w:t>
      </w:r>
      <w:r w:rsidRPr="0034768D">
        <w:rPr>
          <w:lang w:val="en-AU"/>
        </w:rPr>
        <w:t xml:space="preserve"> (set out in </w:t>
      </w:r>
      <w:hyperlink r:id="rId757" w:history="1">
        <w:r w:rsidRPr="009F4866">
          <w:rPr>
            <w:rStyle w:val="Hyperlink"/>
            <w:i/>
            <w:lang w:val="en-AU"/>
          </w:rPr>
          <w:t>Appendix D</w:t>
        </w:r>
      </w:hyperlink>
      <w:r w:rsidRPr="0034768D">
        <w:rPr>
          <w:lang w:val="en-AU"/>
        </w:rPr>
        <w:t>).</w:t>
      </w:r>
    </w:p>
    <w:p w14:paraId="48E186CF" w14:textId="77777777" w:rsidR="00920231" w:rsidRPr="0034768D" w:rsidRDefault="00920231" w:rsidP="00920231">
      <w:pPr>
        <w:pStyle w:val="Heading6"/>
        <w:ind w:left="0" w:firstLine="0"/>
        <w:rPr>
          <w:lang w:val="en-AU"/>
        </w:rPr>
      </w:pPr>
      <w:bookmarkStart w:id="1725" w:name="_Toc485729121"/>
      <w:r w:rsidRPr="0034768D">
        <w:rPr>
          <w:lang w:val="en-AU"/>
        </w:rPr>
        <w:t>How My Plan Business SIM works</w:t>
      </w:r>
      <w:bookmarkEnd w:id="1725"/>
    </w:p>
    <w:p w14:paraId="0EFD8EEA" w14:textId="77777777" w:rsidR="00920231" w:rsidRPr="0034768D" w:rsidRDefault="00920231" w:rsidP="00920231">
      <w:pPr>
        <w:pStyle w:val="Heading7"/>
        <w:rPr>
          <w:lang w:val="en-AU"/>
        </w:rPr>
      </w:pPr>
      <w:r w:rsidRPr="0034768D">
        <w:rPr>
          <w:lang w:val="en-AU"/>
        </w:rPr>
        <w:lastRenderedPageBreak/>
        <w:t xml:space="preserve">The </w:t>
      </w:r>
      <w:r>
        <w:rPr>
          <w:lang w:val="en-AU"/>
        </w:rPr>
        <w:t xml:space="preserve">$40 </w:t>
      </w:r>
      <w:r w:rsidRPr="0034768D">
        <w:rPr>
          <w:lang w:val="en-AU"/>
        </w:rPr>
        <w:t xml:space="preserve">My Plan Business 12M SIM plans referred to in this section have unlimited minutes to use on standard national calls to landlines and mobiles, 13/1300 numbers and voicemail retrievals and Included Data (for mobile internet use) to share with other services on a My Plan Plus, My Plan Plus SIM Only, My Plan Plus 12M SIM Only, My Plan Business (including Tech Fund), My Plan Business SIM, My Plan Business 12Month SIM, My Mobile Broadband Plus, Mobile Broadband Business or Shared Data Plan on the same account. </w:t>
      </w:r>
    </w:p>
    <w:p w14:paraId="30606713" w14:textId="77777777" w:rsidR="00920231" w:rsidRPr="0034768D" w:rsidRDefault="00920231" w:rsidP="00920231">
      <w:pPr>
        <w:pStyle w:val="Heading7"/>
        <w:rPr>
          <w:lang w:val="en-AU"/>
        </w:rPr>
      </w:pPr>
      <w:r w:rsidRPr="0034768D">
        <w:rPr>
          <w:lang w:val="en-AU"/>
        </w:rPr>
        <w:t>These plans also include unlimited standard national SMS/MMS and unlimited standard International SMS/MMS to selected countries. The</w:t>
      </w:r>
      <w:r>
        <w:rPr>
          <w:lang w:val="en-AU"/>
        </w:rPr>
        <w:t xml:space="preserve"> </w:t>
      </w:r>
      <w:r w:rsidRPr="0034768D">
        <w:rPr>
          <w:lang w:val="en-AU"/>
        </w:rPr>
        <w:t>$</w:t>
      </w:r>
      <w:r>
        <w:rPr>
          <w:lang w:val="en-AU"/>
        </w:rPr>
        <w:t>40</w:t>
      </w:r>
      <w:r w:rsidRPr="0034768D">
        <w:rPr>
          <w:lang w:val="en-AU"/>
        </w:rPr>
        <w:t xml:space="preserve"> plan also ha</w:t>
      </w:r>
      <w:r>
        <w:rPr>
          <w:lang w:val="en-AU"/>
        </w:rPr>
        <w:t>s</w:t>
      </w:r>
      <w:r w:rsidRPr="0034768D">
        <w:rPr>
          <w:lang w:val="en-AU"/>
        </w:rPr>
        <w:t xml:space="preserve"> an amount of included international minutes to use on standard international calls to selected countries. </w:t>
      </w:r>
    </w:p>
    <w:p w14:paraId="7D5F02FD" w14:textId="77777777" w:rsidR="00920231" w:rsidRPr="0034768D" w:rsidRDefault="00920231" w:rsidP="00920231">
      <w:pPr>
        <w:pStyle w:val="Heading7"/>
        <w:rPr>
          <w:lang w:val="en-AU"/>
        </w:rPr>
      </w:pPr>
      <w:r w:rsidRPr="0034768D">
        <w:rPr>
          <w:lang w:val="en-AU"/>
        </w:rPr>
        <w:t>Data usage is calculated in one kilobyte increments. International minutes are billed in one minute increments.</w:t>
      </w:r>
    </w:p>
    <w:p w14:paraId="4102A1DD" w14:textId="77777777" w:rsidR="00920231" w:rsidRPr="0034768D" w:rsidRDefault="00920231" w:rsidP="00920231">
      <w:pPr>
        <w:pStyle w:val="Heading7"/>
        <w:rPr>
          <w:lang w:val="en-AU"/>
        </w:rPr>
      </w:pPr>
      <w:r w:rsidRPr="0034768D">
        <w:rPr>
          <w:lang w:val="en-AU"/>
        </w:rPr>
        <w:t xml:space="preserve">If </w:t>
      </w:r>
      <w:r w:rsidRPr="0034768D">
        <w:rPr>
          <w:i/>
          <w:lang w:val="en-AU"/>
        </w:rPr>
        <w:t>you</w:t>
      </w:r>
      <w:r w:rsidRPr="0034768D">
        <w:rPr>
          <w:lang w:val="en-AU"/>
        </w:rPr>
        <w:t xml:space="preserve"> exceed your included shareable data </w:t>
      </w:r>
      <w:r w:rsidRPr="0034768D">
        <w:rPr>
          <w:i/>
          <w:lang w:val="en-AU"/>
        </w:rPr>
        <w:t xml:space="preserve">you </w:t>
      </w:r>
      <w:r w:rsidRPr="0034768D">
        <w:rPr>
          <w:lang w:val="en-AU"/>
        </w:rPr>
        <w:t>will automatically be charged $10 for each additional 1GB of data (</w:t>
      </w:r>
      <w:r>
        <w:rPr>
          <w:lang w:val="en-AU"/>
        </w:rPr>
        <w:t>"</w:t>
      </w:r>
      <w:r w:rsidRPr="0034768D">
        <w:rPr>
          <w:b/>
          <w:lang w:val="en-AU"/>
        </w:rPr>
        <w:t>Additional Data</w:t>
      </w:r>
      <w:r>
        <w:rPr>
          <w:lang w:val="en-AU"/>
        </w:rPr>
        <w:t>"</w:t>
      </w:r>
      <w:r w:rsidRPr="0034768D">
        <w:rPr>
          <w:lang w:val="en-AU"/>
        </w:rPr>
        <w:t xml:space="preserve">) that </w:t>
      </w:r>
      <w:r w:rsidRPr="0034768D">
        <w:rPr>
          <w:i/>
          <w:lang w:val="en-AU"/>
        </w:rPr>
        <w:t>you</w:t>
      </w:r>
      <w:r w:rsidRPr="0034768D">
        <w:rPr>
          <w:lang w:val="en-AU"/>
        </w:rPr>
        <w:t xml:space="preserve"> use (or part thereof) up to 150GB of extra data per account each month. </w:t>
      </w:r>
      <w:r w:rsidRPr="0034768D">
        <w:rPr>
          <w:i/>
          <w:lang w:val="en-AU"/>
        </w:rPr>
        <w:t>Your</w:t>
      </w:r>
      <w:r w:rsidRPr="0034768D">
        <w:rPr>
          <w:lang w:val="en-AU"/>
        </w:rPr>
        <w:t xml:space="preserve"> </w:t>
      </w:r>
      <w:r w:rsidRPr="0034768D">
        <w:rPr>
          <w:i/>
          <w:lang w:val="en-AU"/>
        </w:rPr>
        <w:t>service/s</w:t>
      </w:r>
      <w:r w:rsidRPr="0034768D">
        <w:rPr>
          <w:lang w:val="en-AU"/>
        </w:rPr>
        <w:t xml:space="preserve"> may then be restricted or </w:t>
      </w:r>
      <w:r w:rsidRPr="0034768D">
        <w:rPr>
          <w:i/>
          <w:lang w:val="en-AU"/>
        </w:rPr>
        <w:t>we</w:t>
      </w:r>
      <w:r w:rsidRPr="0034768D">
        <w:rPr>
          <w:lang w:val="en-AU"/>
        </w:rPr>
        <w:t xml:space="preserve"> may continue to charge </w:t>
      </w:r>
      <w:r w:rsidRPr="0034768D">
        <w:rPr>
          <w:i/>
          <w:lang w:val="en-AU"/>
        </w:rPr>
        <w:t>you</w:t>
      </w:r>
      <w:r w:rsidRPr="0034768D">
        <w:rPr>
          <w:lang w:val="en-AU"/>
        </w:rPr>
        <w:t xml:space="preserve"> at these rates.</w:t>
      </w:r>
    </w:p>
    <w:p w14:paraId="1D08822A" w14:textId="77777777" w:rsidR="00920231" w:rsidRPr="0034768D" w:rsidRDefault="00920231" w:rsidP="00920231">
      <w:pPr>
        <w:pStyle w:val="Heading7"/>
        <w:rPr>
          <w:lang w:val="en-AU"/>
        </w:rPr>
      </w:pPr>
      <w:r w:rsidRPr="0034768D">
        <w:rPr>
          <w:lang w:val="en-AU"/>
        </w:rPr>
        <w:t xml:space="preserve">Any unused portion of </w:t>
      </w:r>
      <w:r w:rsidRPr="0034768D">
        <w:rPr>
          <w:i/>
          <w:lang w:val="en-AU"/>
        </w:rPr>
        <w:t>your</w:t>
      </w:r>
      <w:r w:rsidRPr="0034768D">
        <w:rPr>
          <w:lang w:val="en-AU"/>
        </w:rPr>
        <w:t xml:space="preserve"> </w:t>
      </w:r>
      <w:r w:rsidRPr="0034768D">
        <w:rPr>
          <w:i/>
          <w:lang w:val="en-AU"/>
        </w:rPr>
        <w:t>plan</w:t>
      </w:r>
      <w:r>
        <w:rPr>
          <w:i/>
          <w:lang w:val="en-AU"/>
        </w:rPr>
        <w:t>'</w:t>
      </w:r>
      <w:r w:rsidRPr="0034768D">
        <w:rPr>
          <w:i/>
          <w:lang w:val="en-AU"/>
        </w:rPr>
        <w:t>s</w:t>
      </w:r>
      <w:r w:rsidRPr="0034768D">
        <w:rPr>
          <w:lang w:val="en-AU"/>
        </w:rPr>
        <w:t xml:space="preserve"> Included or Additional Data expires at the end of each month and does not roll over into the next month.</w:t>
      </w:r>
    </w:p>
    <w:p w14:paraId="6A7647CB" w14:textId="77777777" w:rsidR="00920231" w:rsidRPr="00654DCB" w:rsidRDefault="00920231" w:rsidP="00920231">
      <w:pPr>
        <w:pStyle w:val="Heading7"/>
        <w:rPr>
          <w:lang w:val="en-AU"/>
        </w:rPr>
      </w:pPr>
      <w:r w:rsidRPr="00654DCB">
        <w:rPr>
          <w:i/>
          <w:lang w:val="en-AU"/>
        </w:rPr>
        <w:t>You</w:t>
      </w:r>
      <w:r w:rsidRPr="00654DCB">
        <w:rPr>
          <w:lang w:val="en-AU"/>
        </w:rPr>
        <w:t xml:space="preserve"> must pay </w:t>
      </w:r>
      <w:r w:rsidRPr="00654DCB">
        <w:rPr>
          <w:i/>
          <w:lang w:val="en-AU"/>
        </w:rPr>
        <w:t>us</w:t>
      </w:r>
      <w:r w:rsidRPr="00654DCB">
        <w:rPr>
          <w:lang w:val="en-AU"/>
        </w:rPr>
        <w:t xml:space="preserve"> for use of any services that are not included in </w:t>
      </w:r>
      <w:r w:rsidRPr="00654DCB">
        <w:rPr>
          <w:i/>
          <w:lang w:val="en-AU"/>
        </w:rPr>
        <w:t>your</w:t>
      </w:r>
      <w:r w:rsidRPr="00654DCB">
        <w:rPr>
          <w:lang w:val="en-AU"/>
        </w:rPr>
        <w:t xml:space="preserve"> plan's inclusions, examples of which are set out in Table 2 below.</w:t>
      </w:r>
    </w:p>
    <w:p w14:paraId="56AD1BF9" w14:textId="77777777" w:rsidR="00920231" w:rsidRPr="0034768D" w:rsidRDefault="00920231" w:rsidP="00920231">
      <w:pPr>
        <w:pStyle w:val="Heading6"/>
        <w:ind w:left="0" w:firstLine="0"/>
        <w:rPr>
          <w:lang w:val="en-AU"/>
        </w:rPr>
      </w:pPr>
      <w:bookmarkStart w:id="1726" w:name="_Toc485729122"/>
      <w:r w:rsidRPr="0034768D">
        <w:rPr>
          <w:lang w:val="en-AU"/>
        </w:rPr>
        <w:t>Data Sharing</w:t>
      </w:r>
      <w:bookmarkEnd w:id="1726"/>
    </w:p>
    <w:p w14:paraId="4A170882" w14:textId="77777777" w:rsidR="00920231" w:rsidRPr="0034768D" w:rsidRDefault="00920231" w:rsidP="00920231">
      <w:pPr>
        <w:pStyle w:val="Heading7"/>
        <w:rPr>
          <w:lang w:val="en-AU"/>
        </w:rPr>
      </w:pPr>
      <w:r w:rsidRPr="0034768D">
        <w:rPr>
          <w:lang w:val="en-AU"/>
        </w:rPr>
        <w:t xml:space="preserve">If </w:t>
      </w:r>
      <w:r w:rsidRPr="0034768D">
        <w:rPr>
          <w:i/>
          <w:lang w:val="en-AU"/>
        </w:rPr>
        <w:t>you</w:t>
      </w:r>
      <w:r w:rsidRPr="0034768D">
        <w:rPr>
          <w:lang w:val="en-AU"/>
        </w:rPr>
        <w:t xml:space="preserve"> have more than one My Plan Plus, My Plan Plus SIM Only, My Plan Plus 12M SIM Only, My Plan Business (including Tech Fund), My Plan Business SIM, My Plan Business 12M SIM, My Mobile Broadband Plus or Mobile Broadband Business on the same billing account, the included data will combine into one data pool, which will be shared by all eligible services on that account.</w:t>
      </w:r>
      <w:r>
        <w:rPr>
          <w:lang w:val="en-AU"/>
        </w:rPr>
        <w:t xml:space="preserve"> </w:t>
      </w:r>
    </w:p>
    <w:p w14:paraId="70AE3007" w14:textId="77777777" w:rsidR="00920231" w:rsidRPr="0034768D" w:rsidRDefault="00920231" w:rsidP="00920231">
      <w:pPr>
        <w:pStyle w:val="Heading7"/>
        <w:rPr>
          <w:lang w:val="en-AU"/>
        </w:rPr>
      </w:pPr>
      <w:r w:rsidRPr="0034768D">
        <w:rPr>
          <w:lang w:val="en-AU"/>
        </w:rPr>
        <w:t xml:space="preserve">If </w:t>
      </w:r>
      <w:r w:rsidRPr="0034768D">
        <w:rPr>
          <w:i/>
          <w:lang w:val="en-AU"/>
        </w:rPr>
        <w:t>you</w:t>
      </w:r>
      <w:r w:rsidRPr="0034768D">
        <w:rPr>
          <w:lang w:val="en-AU"/>
        </w:rPr>
        <w:t xml:space="preserve"> do not want </w:t>
      </w:r>
      <w:r w:rsidRPr="0034768D">
        <w:rPr>
          <w:i/>
          <w:lang w:val="en-AU"/>
        </w:rPr>
        <w:t>your</w:t>
      </w:r>
      <w:r w:rsidRPr="0034768D">
        <w:rPr>
          <w:lang w:val="en-AU"/>
        </w:rPr>
        <w:t xml:space="preserve"> services on any My Plan Plus, My Plan Plus SIM Only, My Plan Plus 12M SIM Only, My Plan Business (including Tech Fund), My Plan Business SIM, My Plan Business 12M SIM, My Mobile Broadband Plus or Mobile Broadband Business plans to share data, they need to be on separate billing accounts. </w:t>
      </w:r>
    </w:p>
    <w:p w14:paraId="65755D59" w14:textId="77777777" w:rsidR="00920231" w:rsidRPr="0034768D" w:rsidRDefault="00920231" w:rsidP="00920231">
      <w:pPr>
        <w:pStyle w:val="Heading7"/>
        <w:rPr>
          <w:lang w:val="en-AU"/>
        </w:rPr>
      </w:pPr>
      <w:r w:rsidRPr="0034768D">
        <w:rPr>
          <w:lang w:val="en-AU"/>
        </w:rPr>
        <w:t>Data sharing is only available within Australia.</w:t>
      </w:r>
    </w:p>
    <w:p w14:paraId="628B133F" w14:textId="77777777" w:rsidR="00920231" w:rsidRPr="0034768D" w:rsidRDefault="00920231" w:rsidP="00920231">
      <w:pPr>
        <w:pStyle w:val="Heading6"/>
        <w:ind w:left="0" w:firstLine="0"/>
        <w:rPr>
          <w:lang w:val="en-AU"/>
        </w:rPr>
      </w:pPr>
      <w:bookmarkStart w:id="1727" w:name="_Toc485729123"/>
      <w:r w:rsidRPr="0034768D">
        <w:rPr>
          <w:lang w:val="en-AU"/>
        </w:rPr>
        <w:t>International Minutes</w:t>
      </w:r>
      <w:bookmarkEnd w:id="1727"/>
    </w:p>
    <w:p w14:paraId="0C6E31A7" w14:textId="77777777" w:rsidR="00920231" w:rsidRPr="0034768D" w:rsidRDefault="00920231" w:rsidP="00920231">
      <w:pPr>
        <w:pStyle w:val="BodyText"/>
        <w:ind w:left="720"/>
      </w:pPr>
      <w:r w:rsidRPr="0034768D">
        <w:t xml:space="preserve">The </w:t>
      </w:r>
      <w:r>
        <w:t>$4</w:t>
      </w:r>
      <w:r w:rsidRPr="0034768D">
        <w:t xml:space="preserve">0 My Plan Business 12M SIM plan includes </w:t>
      </w:r>
      <w:r>
        <w:t>3</w:t>
      </w:r>
      <w:r w:rsidRPr="0034768D">
        <w:t>00 international minutes</w:t>
      </w:r>
      <w:r>
        <w:t xml:space="preserve"> </w:t>
      </w:r>
      <w:r w:rsidRPr="0034768D">
        <w:t>for standard calls to mobiles and fixed lines to selected countries from within Australia. For a list of selected countries see Table 3 below.</w:t>
      </w:r>
    </w:p>
    <w:p w14:paraId="7A739E5E" w14:textId="77777777" w:rsidR="00920231" w:rsidRPr="0034768D" w:rsidRDefault="00920231" w:rsidP="00920231">
      <w:pPr>
        <w:pStyle w:val="BodyText"/>
        <w:ind w:left="720"/>
      </w:pPr>
      <w:r w:rsidRPr="0034768D">
        <w:t xml:space="preserve">Calls are charged per minute. When included international minutes for calls to selected countries are used up, standard </w:t>
      </w:r>
      <w:r>
        <w:t>'</w:t>
      </w:r>
      <w:r w:rsidRPr="0034768D">
        <w:t>yes</w:t>
      </w:r>
      <w:r>
        <w:t>'</w:t>
      </w:r>
      <w:r w:rsidRPr="0034768D">
        <w:t xml:space="preserve"> international call charges apply. </w:t>
      </w:r>
    </w:p>
    <w:p w14:paraId="408F8006" w14:textId="77777777" w:rsidR="00920231" w:rsidRPr="0034768D" w:rsidRDefault="00920231" w:rsidP="00920231">
      <w:pPr>
        <w:pStyle w:val="Heading6"/>
        <w:ind w:left="0" w:firstLine="0"/>
        <w:rPr>
          <w:lang w:val="en-AU"/>
        </w:rPr>
      </w:pPr>
      <w:bookmarkStart w:id="1728" w:name="_Toc485729124"/>
      <w:r w:rsidRPr="0034768D">
        <w:rPr>
          <w:lang w:val="en-AU"/>
        </w:rPr>
        <w:t>Unlimited standard national SMS and MMS</w:t>
      </w:r>
      <w:bookmarkEnd w:id="1728"/>
    </w:p>
    <w:p w14:paraId="5C2F3407" w14:textId="77777777" w:rsidR="00920231" w:rsidRPr="0034768D" w:rsidRDefault="00920231" w:rsidP="00920231">
      <w:pPr>
        <w:pStyle w:val="BodyText"/>
        <w:ind w:left="720"/>
      </w:pPr>
      <w:r w:rsidRPr="0034768D">
        <w:rPr>
          <w:i/>
        </w:rPr>
        <w:t>You</w:t>
      </w:r>
      <w:r w:rsidRPr="0034768D">
        <w:t xml:space="preserve"> may send unlimited standard SMS and MMS to Australian mobiles from within Australia.</w:t>
      </w:r>
    </w:p>
    <w:p w14:paraId="19EBE62F" w14:textId="77777777" w:rsidR="00920231" w:rsidRPr="0034768D" w:rsidRDefault="00920231" w:rsidP="00920231">
      <w:pPr>
        <w:pStyle w:val="BodyText"/>
        <w:ind w:left="720"/>
        <w:rPr>
          <w:i/>
          <w:u w:val="single"/>
        </w:rPr>
      </w:pPr>
      <w:r w:rsidRPr="0034768D">
        <w:t xml:space="preserve">Unlimited standard national SMS and MMS are only available for personal use and are not to be used for a commercial or non-ordinary purpose as set out in the </w:t>
      </w:r>
      <w:hyperlink r:id="rId758" w:history="1">
        <w:r w:rsidRPr="0034768D">
          <w:rPr>
            <w:rStyle w:val="Hyperlink"/>
            <w:i/>
          </w:rPr>
          <w:t>Fair Go Policy</w:t>
        </w:r>
      </w:hyperlink>
      <w:r w:rsidRPr="0034768D">
        <w:t xml:space="preserve">. For further details refer to </w:t>
      </w:r>
      <w:hyperlink r:id="rId759" w:history="1">
        <w:r w:rsidRPr="0088404F">
          <w:rPr>
            <w:rStyle w:val="Hyperlink"/>
            <w:i/>
          </w:rPr>
          <w:t>Appendix S</w:t>
        </w:r>
      </w:hyperlink>
      <w:r w:rsidRPr="00092720">
        <w:rPr>
          <w:i/>
        </w:rPr>
        <w:t>.</w:t>
      </w:r>
    </w:p>
    <w:p w14:paraId="09EA534C" w14:textId="77777777" w:rsidR="00920231" w:rsidRPr="0034768D" w:rsidRDefault="00920231" w:rsidP="00920231">
      <w:pPr>
        <w:pStyle w:val="Heading6"/>
        <w:ind w:left="0" w:firstLine="0"/>
        <w:rPr>
          <w:lang w:val="en-AU"/>
        </w:rPr>
      </w:pPr>
      <w:bookmarkStart w:id="1729" w:name="_Toc485729125"/>
      <w:r w:rsidRPr="0034768D">
        <w:rPr>
          <w:lang w:val="en-AU"/>
        </w:rPr>
        <w:t>Unlimited standard international SMS and MMS</w:t>
      </w:r>
      <w:bookmarkEnd w:id="1729"/>
    </w:p>
    <w:p w14:paraId="7D8A4340" w14:textId="77777777" w:rsidR="00920231" w:rsidRPr="0034768D" w:rsidRDefault="00920231" w:rsidP="00920231">
      <w:pPr>
        <w:pStyle w:val="BodyText"/>
        <w:ind w:left="720"/>
      </w:pPr>
      <w:r w:rsidRPr="0034768D">
        <w:rPr>
          <w:i/>
        </w:rPr>
        <w:t>You</w:t>
      </w:r>
      <w:r w:rsidRPr="0034768D">
        <w:t xml:space="preserve"> may send unlimited standard SMS and MMS to selected countries from within Australia. For a list of selected countries see Table 3 below.</w:t>
      </w:r>
    </w:p>
    <w:p w14:paraId="3C42FABE" w14:textId="77777777" w:rsidR="00920231" w:rsidRDefault="00920231" w:rsidP="00920231">
      <w:pPr>
        <w:pStyle w:val="BodyText"/>
        <w:ind w:left="720"/>
      </w:pPr>
      <w:r w:rsidRPr="0034768D">
        <w:lastRenderedPageBreak/>
        <w:t xml:space="preserve">Unlimited standard SMS and MMS are only available for personal use and are not to be used for a commercial or non-ordinary purpose as set out in the Fair Go Policy. For further details refer to </w:t>
      </w:r>
      <w:hyperlink r:id="rId760" w:history="1">
        <w:r w:rsidRPr="0088404F">
          <w:rPr>
            <w:rStyle w:val="Hyperlink"/>
            <w:i/>
          </w:rPr>
          <w:t>Appendix S</w:t>
        </w:r>
      </w:hyperlink>
      <w:r w:rsidRPr="00092720">
        <w:rPr>
          <w:i/>
        </w:rPr>
        <w:t>.</w:t>
      </w:r>
    </w:p>
    <w:p w14:paraId="709A14AD" w14:textId="77777777" w:rsidR="00920231" w:rsidRDefault="00920231" w:rsidP="00920231">
      <w:pPr>
        <w:pStyle w:val="BodyText"/>
        <w:ind w:left="720"/>
      </w:pPr>
      <w:r w:rsidRPr="00230CF2">
        <w:rPr>
          <w:b/>
        </w:rPr>
        <w:t>Table 1 –</w:t>
      </w:r>
      <w:r>
        <w:rPr>
          <w:b/>
        </w:rPr>
        <w:t xml:space="preserve"> </w:t>
      </w:r>
      <w:r w:rsidRPr="00230CF2">
        <w:rPr>
          <w:b/>
        </w:rPr>
        <w:t>Plan Inclusions and Charges</w:t>
      </w:r>
    </w:p>
    <w:tbl>
      <w:tblPr>
        <w:tblW w:w="3602"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2"/>
        <w:gridCol w:w="4167"/>
      </w:tblGrid>
      <w:tr w:rsidR="00920231" w:rsidRPr="00821F91" w14:paraId="6BC5AFDC" w14:textId="77777777" w:rsidTr="00920231">
        <w:trPr>
          <w:trHeight w:val="192"/>
        </w:trPr>
        <w:tc>
          <w:tcPr>
            <w:tcW w:w="2161" w:type="pct"/>
            <w:shd w:val="clear" w:color="auto" w:fill="auto"/>
          </w:tcPr>
          <w:p w14:paraId="62181FE4" w14:textId="77777777" w:rsidR="00920231" w:rsidRPr="00B35BA7" w:rsidRDefault="00920231" w:rsidP="00920231">
            <w:pPr>
              <w:pStyle w:val="BodyText"/>
              <w:spacing w:before="100" w:after="100"/>
            </w:pPr>
          </w:p>
        </w:tc>
        <w:tc>
          <w:tcPr>
            <w:tcW w:w="2839" w:type="pct"/>
          </w:tcPr>
          <w:p w14:paraId="528C4F29" w14:textId="77777777" w:rsidR="00920231" w:rsidRPr="00821F91" w:rsidRDefault="00920231" w:rsidP="00920231">
            <w:pPr>
              <w:pStyle w:val="BodyText"/>
              <w:spacing w:before="100" w:after="100"/>
              <w:jc w:val="center"/>
              <w:rPr>
                <w:b/>
              </w:rPr>
            </w:pPr>
            <w:r>
              <w:rPr>
                <w:b/>
              </w:rPr>
              <w:t>$4</w:t>
            </w:r>
            <w:r w:rsidRPr="00821F91">
              <w:rPr>
                <w:b/>
              </w:rPr>
              <w:t>0 My Plan Business 12M SIM</w:t>
            </w:r>
          </w:p>
        </w:tc>
      </w:tr>
      <w:tr w:rsidR="00920231" w:rsidRPr="00821F91" w14:paraId="5F679F12" w14:textId="77777777" w:rsidTr="00920231">
        <w:tc>
          <w:tcPr>
            <w:tcW w:w="2161" w:type="pct"/>
            <w:shd w:val="clear" w:color="auto" w:fill="auto"/>
          </w:tcPr>
          <w:p w14:paraId="19F86E34" w14:textId="77777777" w:rsidR="00920231" w:rsidRPr="00B35BA7" w:rsidRDefault="00920231" w:rsidP="00920231">
            <w:pPr>
              <w:pStyle w:val="BodyText"/>
              <w:spacing w:before="100" w:after="100"/>
            </w:pPr>
            <w:r w:rsidRPr="00B35BA7">
              <w:rPr>
                <w:b/>
                <w:bCs/>
                <w:lang w:eastAsia="en-AU"/>
              </w:rPr>
              <w:t>Minimum Monthly charge</w:t>
            </w:r>
          </w:p>
        </w:tc>
        <w:tc>
          <w:tcPr>
            <w:tcW w:w="2839" w:type="pct"/>
            <w:vAlign w:val="center"/>
          </w:tcPr>
          <w:p w14:paraId="6AA88E4A" w14:textId="77777777" w:rsidR="00920231" w:rsidRPr="00821F91" w:rsidRDefault="00920231" w:rsidP="00920231">
            <w:pPr>
              <w:pStyle w:val="BodyText"/>
              <w:spacing w:before="100" w:after="100"/>
              <w:jc w:val="center"/>
            </w:pPr>
            <w:r>
              <w:t>$40</w:t>
            </w:r>
          </w:p>
        </w:tc>
      </w:tr>
      <w:tr w:rsidR="00920231" w:rsidRPr="00821F91" w14:paraId="7AD0371C" w14:textId="77777777" w:rsidTr="00920231">
        <w:tc>
          <w:tcPr>
            <w:tcW w:w="2161" w:type="pct"/>
            <w:shd w:val="clear" w:color="auto" w:fill="auto"/>
            <w:vAlign w:val="center"/>
          </w:tcPr>
          <w:p w14:paraId="254E6EDA" w14:textId="77777777" w:rsidR="00920231" w:rsidRPr="00B35BA7" w:rsidRDefault="00920231" w:rsidP="00920231">
            <w:pPr>
              <w:pStyle w:val="BodyText"/>
              <w:spacing w:before="100" w:after="100"/>
            </w:pPr>
            <w:r w:rsidRPr="00B35BA7">
              <w:rPr>
                <w:b/>
                <w:bCs/>
                <w:lang w:eastAsia="en-AU"/>
              </w:rPr>
              <w:t>Included Data</w:t>
            </w:r>
          </w:p>
        </w:tc>
        <w:tc>
          <w:tcPr>
            <w:tcW w:w="2839" w:type="pct"/>
            <w:vAlign w:val="center"/>
          </w:tcPr>
          <w:p w14:paraId="4CFF5798" w14:textId="77777777" w:rsidR="00920231" w:rsidRPr="00821F91" w:rsidRDefault="00920231" w:rsidP="00920231">
            <w:pPr>
              <w:pStyle w:val="BodyText"/>
              <w:spacing w:before="100" w:after="100"/>
              <w:jc w:val="center"/>
            </w:pPr>
            <w:r>
              <w:t>8GB</w:t>
            </w:r>
          </w:p>
        </w:tc>
      </w:tr>
      <w:tr w:rsidR="00920231" w:rsidRPr="00821F91" w14:paraId="45DA7283" w14:textId="77777777" w:rsidTr="00920231">
        <w:tc>
          <w:tcPr>
            <w:tcW w:w="2161" w:type="pct"/>
            <w:shd w:val="clear" w:color="auto" w:fill="auto"/>
            <w:vAlign w:val="center"/>
          </w:tcPr>
          <w:p w14:paraId="20DF25A9" w14:textId="77777777" w:rsidR="00920231" w:rsidRPr="00B35BA7" w:rsidRDefault="00920231" w:rsidP="00920231">
            <w:pPr>
              <w:pStyle w:val="BodyText"/>
              <w:spacing w:before="100" w:after="100"/>
              <w:rPr>
                <w:b/>
                <w:bCs/>
                <w:lang w:eastAsia="en-AU"/>
              </w:rPr>
            </w:pPr>
            <w:r>
              <w:rPr>
                <w:b/>
                <w:bCs/>
                <w:lang w:eastAsia="en-AU"/>
              </w:rPr>
              <w:t xml:space="preserve">Additional </w:t>
            </w:r>
            <w:r w:rsidRPr="00B35BA7">
              <w:rPr>
                <w:b/>
                <w:bCs/>
                <w:lang w:eastAsia="en-AU"/>
              </w:rPr>
              <w:t>Data</w:t>
            </w:r>
          </w:p>
        </w:tc>
        <w:tc>
          <w:tcPr>
            <w:tcW w:w="2839" w:type="pct"/>
            <w:vAlign w:val="center"/>
          </w:tcPr>
          <w:p w14:paraId="2BB47ADE" w14:textId="77777777" w:rsidR="00920231" w:rsidRDefault="00920231" w:rsidP="00920231">
            <w:pPr>
              <w:pStyle w:val="BodyText"/>
              <w:spacing w:before="100" w:after="100"/>
              <w:jc w:val="center"/>
            </w:pPr>
            <w:r w:rsidRPr="000D70A9">
              <w:t>Additional data $10 per 1GB</w:t>
            </w:r>
          </w:p>
        </w:tc>
      </w:tr>
      <w:tr w:rsidR="00920231" w:rsidRPr="00821F91" w14:paraId="440326C9" w14:textId="77777777" w:rsidTr="00920231">
        <w:trPr>
          <w:trHeight w:val="53"/>
        </w:trPr>
        <w:tc>
          <w:tcPr>
            <w:tcW w:w="2161" w:type="pct"/>
            <w:shd w:val="clear" w:color="auto" w:fill="auto"/>
          </w:tcPr>
          <w:p w14:paraId="6867D997" w14:textId="77777777" w:rsidR="00920231" w:rsidRPr="00B35BA7" w:rsidRDefault="00920231" w:rsidP="00920231">
            <w:pPr>
              <w:pStyle w:val="BodyText"/>
              <w:spacing w:before="100" w:after="100"/>
              <w:rPr>
                <w:b/>
                <w:bCs/>
                <w:lang w:eastAsia="en-AU"/>
              </w:rPr>
            </w:pPr>
            <w:r w:rsidRPr="00B35BA7">
              <w:rPr>
                <w:b/>
                <w:bCs/>
                <w:lang w:eastAsia="en-AU"/>
              </w:rPr>
              <w:t xml:space="preserve">Included Minutes </w:t>
            </w:r>
          </w:p>
          <w:p w14:paraId="73135310" w14:textId="77777777" w:rsidR="00920231" w:rsidRPr="00B35BA7" w:rsidRDefault="00920231" w:rsidP="00920231">
            <w:pPr>
              <w:pStyle w:val="BodyText"/>
              <w:spacing w:before="100" w:after="100"/>
              <w:rPr>
                <w:b/>
                <w:bCs/>
                <w:lang w:eastAsia="en-AU"/>
              </w:rPr>
            </w:pPr>
            <w:r w:rsidRPr="00B35BA7">
              <w:rPr>
                <w:bCs/>
                <w:lang w:eastAsia="en-AU"/>
              </w:rPr>
              <w:t>for standard national calls to landlines and mobiles, 1300 numbers and voicemail, within Australia</w:t>
            </w:r>
          </w:p>
        </w:tc>
        <w:tc>
          <w:tcPr>
            <w:tcW w:w="2839" w:type="pct"/>
            <w:vAlign w:val="center"/>
          </w:tcPr>
          <w:p w14:paraId="47668B84" w14:textId="77777777" w:rsidR="00920231" w:rsidRPr="00821F91" w:rsidRDefault="00920231" w:rsidP="00920231">
            <w:pPr>
              <w:pStyle w:val="BodyText"/>
              <w:spacing w:before="100" w:after="100"/>
              <w:jc w:val="center"/>
            </w:pPr>
            <w:r w:rsidRPr="00821F91">
              <w:t>Unlimited</w:t>
            </w:r>
          </w:p>
        </w:tc>
      </w:tr>
      <w:tr w:rsidR="00920231" w:rsidRPr="00821F91" w14:paraId="02370EF4" w14:textId="77777777" w:rsidTr="00920231">
        <w:tc>
          <w:tcPr>
            <w:tcW w:w="2161" w:type="pct"/>
            <w:shd w:val="clear" w:color="auto" w:fill="auto"/>
          </w:tcPr>
          <w:p w14:paraId="47F3D312" w14:textId="77777777" w:rsidR="00920231" w:rsidRPr="00B35BA7" w:rsidRDefault="00920231" w:rsidP="00920231">
            <w:pPr>
              <w:pStyle w:val="BodyText"/>
              <w:spacing w:before="100" w:after="100"/>
              <w:rPr>
                <w:b/>
                <w:bCs/>
                <w:lang w:eastAsia="en-AU"/>
              </w:rPr>
            </w:pPr>
            <w:r w:rsidRPr="00B35BA7">
              <w:rPr>
                <w:b/>
                <w:bCs/>
                <w:lang w:eastAsia="en-AU"/>
              </w:rPr>
              <w:t>Included International Minutes</w:t>
            </w:r>
          </w:p>
          <w:p w14:paraId="6FF54283" w14:textId="77777777" w:rsidR="00920231" w:rsidRPr="00B35BA7" w:rsidRDefault="00920231" w:rsidP="00920231">
            <w:pPr>
              <w:pStyle w:val="BodyText"/>
              <w:spacing w:before="100" w:after="100"/>
              <w:rPr>
                <w:b/>
                <w:bCs/>
                <w:lang w:eastAsia="en-AU"/>
              </w:rPr>
            </w:pPr>
            <w:r w:rsidRPr="00B35BA7">
              <w:rPr>
                <w:lang w:eastAsia="en-AU"/>
              </w:rPr>
              <w:t>Standard international calls to landlines and mobiles</w:t>
            </w:r>
            <w:r>
              <w:rPr>
                <w:lang w:eastAsia="en-AU"/>
              </w:rPr>
              <w:t xml:space="preserve"> </w:t>
            </w:r>
            <w:r w:rsidRPr="00B35BA7">
              <w:rPr>
                <w:lang w:eastAsia="en-AU"/>
              </w:rPr>
              <w:t xml:space="preserve">to selected countries </w:t>
            </w:r>
          </w:p>
        </w:tc>
        <w:tc>
          <w:tcPr>
            <w:tcW w:w="2839" w:type="pct"/>
            <w:vAlign w:val="center"/>
          </w:tcPr>
          <w:p w14:paraId="2F0587CA" w14:textId="77777777" w:rsidR="00920231" w:rsidRPr="00821F91" w:rsidRDefault="00920231" w:rsidP="00920231">
            <w:pPr>
              <w:pStyle w:val="BodyText"/>
              <w:spacing w:before="100" w:after="100"/>
              <w:jc w:val="center"/>
              <w:rPr>
                <w:bCs/>
              </w:rPr>
            </w:pPr>
            <w:r>
              <w:rPr>
                <w:bCs/>
              </w:rPr>
              <w:t>Up to 300 mins</w:t>
            </w:r>
          </w:p>
        </w:tc>
      </w:tr>
      <w:tr w:rsidR="00920231" w:rsidRPr="00821F91" w14:paraId="42B6A3E9" w14:textId="77777777" w:rsidTr="00920231">
        <w:tc>
          <w:tcPr>
            <w:tcW w:w="2161" w:type="pct"/>
            <w:shd w:val="clear" w:color="auto" w:fill="auto"/>
          </w:tcPr>
          <w:p w14:paraId="15454D75" w14:textId="77777777" w:rsidR="00920231" w:rsidRPr="00B35BA7" w:rsidRDefault="00920231" w:rsidP="00920231">
            <w:pPr>
              <w:pStyle w:val="BodyText"/>
              <w:spacing w:before="100" w:after="100"/>
            </w:pPr>
            <w:r w:rsidRPr="00B35BA7">
              <w:rPr>
                <w:b/>
                <w:bCs/>
                <w:lang w:eastAsia="en-AU"/>
              </w:rPr>
              <w:t xml:space="preserve">Standard national SMS </w:t>
            </w:r>
            <w:r w:rsidRPr="00B35BA7">
              <w:rPr>
                <w:lang w:eastAsia="en-AU"/>
              </w:rPr>
              <w:t>(per SMS of up to 160 standard characters)</w:t>
            </w:r>
          </w:p>
        </w:tc>
        <w:tc>
          <w:tcPr>
            <w:tcW w:w="2839" w:type="pct"/>
            <w:vAlign w:val="center"/>
          </w:tcPr>
          <w:p w14:paraId="1EB9386E" w14:textId="77777777" w:rsidR="00920231" w:rsidRPr="00821F91" w:rsidRDefault="00920231" w:rsidP="00920231">
            <w:pPr>
              <w:pStyle w:val="BodyText"/>
              <w:spacing w:before="100" w:after="100"/>
              <w:jc w:val="center"/>
            </w:pPr>
            <w:r w:rsidRPr="004E271E">
              <w:t>Unlimited</w:t>
            </w:r>
          </w:p>
        </w:tc>
      </w:tr>
      <w:tr w:rsidR="00920231" w:rsidRPr="00821F91" w14:paraId="04246DEB" w14:textId="77777777" w:rsidTr="00920231">
        <w:tc>
          <w:tcPr>
            <w:tcW w:w="2161" w:type="pct"/>
            <w:shd w:val="clear" w:color="auto" w:fill="auto"/>
          </w:tcPr>
          <w:p w14:paraId="73BAF436" w14:textId="77777777" w:rsidR="00920231" w:rsidRPr="00B35BA7" w:rsidRDefault="00920231" w:rsidP="00920231">
            <w:pPr>
              <w:pStyle w:val="BodyText"/>
              <w:spacing w:before="100" w:after="100"/>
              <w:rPr>
                <w:b/>
                <w:bCs/>
                <w:lang w:eastAsia="en-AU"/>
              </w:rPr>
            </w:pPr>
            <w:r w:rsidRPr="00B35BA7">
              <w:rPr>
                <w:b/>
                <w:bCs/>
                <w:lang w:eastAsia="en-AU"/>
              </w:rPr>
              <w:t xml:space="preserve">Standard national MMS </w:t>
            </w:r>
            <w:r w:rsidRPr="00B35BA7">
              <w:rPr>
                <w:lang w:eastAsia="en-AU"/>
              </w:rPr>
              <w:t>(per message)</w:t>
            </w:r>
          </w:p>
        </w:tc>
        <w:tc>
          <w:tcPr>
            <w:tcW w:w="2839" w:type="pct"/>
            <w:vAlign w:val="center"/>
          </w:tcPr>
          <w:p w14:paraId="6637C243" w14:textId="77777777" w:rsidR="00920231" w:rsidRPr="00821F91" w:rsidRDefault="00920231" w:rsidP="00920231">
            <w:pPr>
              <w:pStyle w:val="BodyText"/>
              <w:spacing w:before="100" w:after="100"/>
              <w:jc w:val="center"/>
            </w:pPr>
            <w:r w:rsidRPr="004E271E">
              <w:t>Unlimited</w:t>
            </w:r>
          </w:p>
        </w:tc>
      </w:tr>
      <w:tr w:rsidR="00920231" w:rsidRPr="00821F91" w14:paraId="50FACD14" w14:textId="77777777" w:rsidTr="00920231">
        <w:tc>
          <w:tcPr>
            <w:tcW w:w="2161" w:type="pct"/>
            <w:shd w:val="clear" w:color="auto" w:fill="auto"/>
          </w:tcPr>
          <w:p w14:paraId="0499813A" w14:textId="77777777" w:rsidR="00920231" w:rsidRPr="00B35BA7" w:rsidDel="00064B49" w:rsidRDefault="00920231" w:rsidP="00920231">
            <w:pPr>
              <w:pStyle w:val="BodyText"/>
              <w:spacing w:before="100" w:after="100"/>
              <w:rPr>
                <w:b/>
                <w:bCs/>
                <w:lang w:eastAsia="en-AU"/>
              </w:rPr>
            </w:pPr>
            <w:r w:rsidRPr="00B35BA7">
              <w:rPr>
                <w:b/>
                <w:bCs/>
                <w:lang w:eastAsia="en-AU"/>
              </w:rPr>
              <w:t xml:space="preserve">Standard international SMS </w:t>
            </w:r>
            <w:r w:rsidRPr="00B35BA7">
              <w:rPr>
                <w:lang w:eastAsia="en-AU"/>
              </w:rPr>
              <w:t>(per SMS of up to 160 standard characters to selected countries)</w:t>
            </w:r>
          </w:p>
        </w:tc>
        <w:tc>
          <w:tcPr>
            <w:tcW w:w="2839" w:type="pct"/>
            <w:vAlign w:val="center"/>
          </w:tcPr>
          <w:p w14:paraId="0FFF5209" w14:textId="77777777" w:rsidR="00920231" w:rsidRPr="00821F91" w:rsidRDefault="00920231" w:rsidP="00920231">
            <w:pPr>
              <w:pStyle w:val="BodyText"/>
              <w:spacing w:before="100" w:after="100"/>
              <w:jc w:val="center"/>
            </w:pPr>
            <w:r w:rsidRPr="004E271E">
              <w:t>Unlimited</w:t>
            </w:r>
          </w:p>
        </w:tc>
      </w:tr>
      <w:tr w:rsidR="00920231" w:rsidRPr="00821F91" w14:paraId="2CD13B2D" w14:textId="77777777" w:rsidTr="00920231">
        <w:tc>
          <w:tcPr>
            <w:tcW w:w="2161" w:type="pct"/>
            <w:shd w:val="clear" w:color="auto" w:fill="auto"/>
          </w:tcPr>
          <w:p w14:paraId="409A5FBE" w14:textId="77777777" w:rsidR="00920231" w:rsidRPr="00B35BA7" w:rsidRDefault="00920231" w:rsidP="00920231">
            <w:pPr>
              <w:pStyle w:val="BodyText"/>
              <w:spacing w:before="100" w:after="100"/>
              <w:rPr>
                <w:b/>
                <w:bCs/>
                <w:lang w:eastAsia="en-AU"/>
              </w:rPr>
            </w:pPr>
            <w:r w:rsidRPr="00B35BA7">
              <w:rPr>
                <w:b/>
                <w:bCs/>
                <w:lang w:eastAsia="en-AU"/>
              </w:rPr>
              <w:t xml:space="preserve">Standard international MMS </w:t>
            </w:r>
            <w:r w:rsidRPr="00B35BA7">
              <w:rPr>
                <w:lang w:eastAsia="en-AU"/>
              </w:rPr>
              <w:t>(per message to selected countries)</w:t>
            </w:r>
          </w:p>
        </w:tc>
        <w:tc>
          <w:tcPr>
            <w:tcW w:w="2839" w:type="pct"/>
            <w:vAlign w:val="center"/>
          </w:tcPr>
          <w:p w14:paraId="7D57CFF1" w14:textId="77777777" w:rsidR="00920231" w:rsidRPr="00821F91" w:rsidRDefault="00920231" w:rsidP="00920231">
            <w:pPr>
              <w:pStyle w:val="BodyText"/>
              <w:spacing w:before="100" w:after="100"/>
              <w:jc w:val="center"/>
            </w:pPr>
            <w:r w:rsidRPr="004E271E">
              <w:t>Unlimited</w:t>
            </w:r>
          </w:p>
        </w:tc>
      </w:tr>
      <w:tr w:rsidR="00920231" w:rsidRPr="00821F91" w14:paraId="10D9C704" w14:textId="77777777" w:rsidTr="00920231">
        <w:tc>
          <w:tcPr>
            <w:tcW w:w="2161" w:type="pct"/>
            <w:shd w:val="clear" w:color="auto" w:fill="auto"/>
          </w:tcPr>
          <w:p w14:paraId="71D7F31A" w14:textId="77777777" w:rsidR="00920231" w:rsidRPr="00B35BA7" w:rsidRDefault="00920231" w:rsidP="00920231">
            <w:pPr>
              <w:pStyle w:val="BodyText"/>
              <w:spacing w:before="100" w:after="100"/>
              <w:rPr>
                <w:b/>
                <w:bCs/>
                <w:lang w:eastAsia="en-AU"/>
              </w:rPr>
            </w:pPr>
            <w:r w:rsidRPr="00B35BA7">
              <w:rPr>
                <w:b/>
                <w:bCs/>
                <w:lang w:eastAsia="en-AU"/>
              </w:rPr>
              <w:t xml:space="preserve">Minimum total cost over 12 months </w:t>
            </w:r>
          </w:p>
        </w:tc>
        <w:tc>
          <w:tcPr>
            <w:tcW w:w="2839" w:type="pct"/>
            <w:vAlign w:val="center"/>
          </w:tcPr>
          <w:p w14:paraId="049630C6" w14:textId="77777777" w:rsidR="00920231" w:rsidRPr="00821F91" w:rsidRDefault="00920231" w:rsidP="00920231">
            <w:pPr>
              <w:pStyle w:val="BodyText"/>
              <w:spacing w:before="100" w:after="100"/>
              <w:jc w:val="center"/>
            </w:pPr>
            <w:r>
              <w:t>$480</w:t>
            </w:r>
          </w:p>
        </w:tc>
      </w:tr>
    </w:tbl>
    <w:p w14:paraId="0DB4A8F1" w14:textId="77777777" w:rsidR="00920231" w:rsidRPr="00230CF2" w:rsidRDefault="00920231" w:rsidP="00920231">
      <w:pPr>
        <w:pStyle w:val="BodyText"/>
        <w:spacing w:before="240"/>
        <w:ind w:left="720"/>
        <w:rPr>
          <w:b/>
        </w:rPr>
      </w:pPr>
      <w:r w:rsidRPr="00230CF2">
        <w:rPr>
          <w:b/>
        </w:rPr>
        <w:t>Table 2 – Other usage types and charges</w:t>
      </w:r>
    </w:p>
    <w:tbl>
      <w:tblPr>
        <w:tblW w:w="927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35"/>
        <w:gridCol w:w="4635"/>
      </w:tblGrid>
      <w:tr w:rsidR="00920231" w:rsidRPr="00B35BA7" w14:paraId="7F3B4146" w14:textId="77777777" w:rsidTr="00920231">
        <w:trPr>
          <w:tblHeader/>
        </w:trPr>
        <w:tc>
          <w:tcPr>
            <w:tcW w:w="4635" w:type="dxa"/>
            <w:shd w:val="clear" w:color="auto" w:fill="auto"/>
          </w:tcPr>
          <w:p w14:paraId="66C1D9C6" w14:textId="77777777" w:rsidR="00920231" w:rsidRPr="00386EB7" w:rsidRDefault="00920231" w:rsidP="00920231">
            <w:pPr>
              <w:pStyle w:val="BodyText"/>
              <w:spacing w:before="100" w:after="100"/>
              <w:jc w:val="center"/>
              <w:rPr>
                <w:b/>
              </w:rPr>
            </w:pPr>
            <w:r w:rsidRPr="00386EB7">
              <w:rPr>
                <w:b/>
              </w:rPr>
              <w:t>Usage type</w:t>
            </w:r>
          </w:p>
        </w:tc>
        <w:tc>
          <w:tcPr>
            <w:tcW w:w="4635" w:type="dxa"/>
            <w:shd w:val="clear" w:color="auto" w:fill="auto"/>
            <w:vAlign w:val="center"/>
          </w:tcPr>
          <w:p w14:paraId="35CC71EC" w14:textId="77777777" w:rsidR="00920231" w:rsidRPr="00386EB7" w:rsidRDefault="00920231" w:rsidP="00920231">
            <w:pPr>
              <w:pStyle w:val="BodyText"/>
              <w:spacing w:before="100" w:after="100"/>
              <w:jc w:val="center"/>
              <w:rPr>
                <w:b/>
              </w:rPr>
            </w:pPr>
            <w:r w:rsidRPr="00386EB7">
              <w:rPr>
                <w:b/>
              </w:rPr>
              <w:t>Charge</w:t>
            </w:r>
          </w:p>
        </w:tc>
      </w:tr>
      <w:tr w:rsidR="00920231" w:rsidRPr="00B35BA7" w14:paraId="77F9614A" w14:textId="77777777" w:rsidTr="00920231">
        <w:tc>
          <w:tcPr>
            <w:tcW w:w="4635" w:type="dxa"/>
            <w:shd w:val="clear" w:color="auto" w:fill="auto"/>
          </w:tcPr>
          <w:p w14:paraId="1F4412C4" w14:textId="77777777" w:rsidR="00920231" w:rsidRPr="00386EB7" w:rsidRDefault="00920231" w:rsidP="00920231">
            <w:pPr>
              <w:pStyle w:val="BodyText"/>
              <w:spacing w:before="100" w:after="100"/>
              <w:rPr>
                <w:b/>
              </w:rPr>
            </w:pPr>
            <w:r w:rsidRPr="00386EB7">
              <w:rPr>
                <w:b/>
                <w:bCs/>
                <w:lang w:eastAsia="en-AU"/>
              </w:rPr>
              <w:t xml:space="preserve">National video calls </w:t>
            </w:r>
            <w:r w:rsidRPr="00386EB7">
              <w:rPr>
                <w:b/>
                <w:lang w:eastAsia="en-AU"/>
              </w:rPr>
              <w:t>(per minute)</w:t>
            </w:r>
          </w:p>
        </w:tc>
        <w:tc>
          <w:tcPr>
            <w:tcW w:w="4635" w:type="dxa"/>
            <w:shd w:val="clear" w:color="auto" w:fill="auto"/>
            <w:vAlign w:val="center"/>
          </w:tcPr>
          <w:p w14:paraId="1190B841" w14:textId="77777777" w:rsidR="00920231" w:rsidRPr="00B35BA7" w:rsidRDefault="00920231" w:rsidP="00920231">
            <w:pPr>
              <w:pStyle w:val="BodyText"/>
              <w:spacing w:before="100" w:after="100"/>
              <w:jc w:val="center"/>
            </w:pPr>
            <w:r w:rsidRPr="00B35BA7">
              <w:t>$1.00 per min + 40c flagfall</w:t>
            </w:r>
          </w:p>
        </w:tc>
      </w:tr>
      <w:tr w:rsidR="00920231" w:rsidRPr="00B35BA7" w14:paraId="6A66B269" w14:textId="77777777" w:rsidTr="00920231">
        <w:tc>
          <w:tcPr>
            <w:tcW w:w="4635" w:type="dxa"/>
            <w:shd w:val="clear" w:color="auto" w:fill="auto"/>
          </w:tcPr>
          <w:p w14:paraId="35163F42" w14:textId="77777777" w:rsidR="00920231" w:rsidRPr="00386EB7" w:rsidRDefault="00920231" w:rsidP="00920231">
            <w:pPr>
              <w:pStyle w:val="BodyText"/>
              <w:spacing w:before="100" w:after="100"/>
              <w:rPr>
                <w:b/>
              </w:rPr>
            </w:pPr>
            <w:r w:rsidRPr="00386EB7">
              <w:rPr>
                <w:b/>
                <w:bCs/>
                <w:lang w:eastAsia="en-AU"/>
              </w:rPr>
              <w:t xml:space="preserve">VoiceMail Deposits </w:t>
            </w:r>
          </w:p>
        </w:tc>
        <w:tc>
          <w:tcPr>
            <w:tcW w:w="4635" w:type="dxa"/>
            <w:shd w:val="clear" w:color="auto" w:fill="auto"/>
          </w:tcPr>
          <w:p w14:paraId="318585B1" w14:textId="77777777" w:rsidR="00920231" w:rsidRPr="00B35BA7" w:rsidRDefault="00920231" w:rsidP="00920231">
            <w:pPr>
              <w:pStyle w:val="BodyText"/>
              <w:spacing w:before="100" w:after="100"/>
              <w:jc w:val="center"/>
              <w:rPr>
                <w:lang w:eastAsia="en-AU"/>
              </w:rPr>
            </w:pPr>
            <w:r w:rsidRPr="00B35BA7">
              <w:t>$0 per minute</w:t>
            </w:r>
          </w:p>
        </w:tc>
      </w:tr>
      <w:tr w:rsidR="00920231" w:rsidRPr="00B35BA7" w14:paraId="0D5024C1" w14:textId="77777777" w:rsidTr="00920231">
        <w:tc>
          <w:tcPr>
            <w:tcW w:w="4635" w:type="dxa"/>
            <w:shd w:val="clear" w:color="auto" w:fill="auto"/>
          </w:tcPr>
          <w:p w14:paraId="00D7618E" w14:textId="77777777" w:rsidR="00920231" w:rsidRPr="00386EB7" w:rsidRDefault="00920231" w:rsidP="00920231">
            <w:pPr>
              <w:pStyle w:val="BodyText"/>
              <w:spacing w:before="100" w:after="100"/>
              <w:rPr>
                <w:b/>
              </w:rPr>
            </w:pPr>
            <w:r w:rsidRPr="00386EB7">
              <w:rPr>
                <w:b/>
                <w:bCs/>
                <w:lang w:eastAsia="en-AU"/>
              </w:rPr>
              <w:t>Voicemail Diversions</w:t>
            </w:r>
          </w:p>
        </w:tc>
        <w:tc>
          <w:tcPr>
            <w:tcW w:w="4635" w:type="dxa"/>
            <w:shd w:val="clear" w:color="auto" w:fill="auto"/>
          </w:tcPr>
          <w:p w14:paraId="61C63E47" w14:textId="77777777" w:rsidR="00920231" w:rsidRPr="00B35BA7" w:rsidRDefault="00920231" w:rsidP="00920231">
            <w:pPr>
              <w:pStyle w:val="BodyText"/>
              <w:spacing w:before="100" w:after="100"/>
              <w:jc w:val="center"/>
            </w:pPr>
            <w:r w:rsidRPr="00B35BA7">
              <w:t>$0 per minute</w:t>
            </w:r>
          </w:p>
        </w:tc>
      </w:tr>
      <w:tr w:rsidR="00920231" w:rsidRPr="00B35BA7" w14:paraId="4BF1A0A8" w14:textId="77777777" w:rsidTr="00920231">
        <w:tc>
          <w:tcPr>
            <w:tcW w:w="4635" w:type="dxa"/>
            <w:shd w:val="clear" w:color="auto" w:fill="auto"/>
          </w:tcPr>
          <w:p w14:paraId="569EC1D3" w14:textId="77777777" w:rsidR="00920231" w:rsidRPr="00386EB7" w:rsidRDefault="00920231" w:rsidP="00920231">
            <w:pPr>
              <w:pStyle w:val="BodyText"/>
              <w:spacing w:before="100" w:after="100"/>
              <w:rPr>
                <w:b/>
                <w:bCs/>
                <w:lang w:eastAsia="en-AU"/>
              </w:rPr>
            </w:pPr>
            <w:r w:rsidRPr="00386EB7">
              <w:rPr>
                <w:b/>
                <w:bCs/>
                <w:lang w:eastAsia="en-AU"/>
              </w:rPr>
              <w:t>National Diversions</w:t>
            </w:r>
          </w:p>
        </w:tc>
        <w:tc>
          <w:tcPr>
            <w:tcW w:w="4635" w:type="dxa"/>
            <w:shd w:val="clear" w:color="auto" w:fill="auto"/>
          </w:tcPr>
          <w:p w14:paraId="237EA0F5" w14:textId="77777777" w:rsidR="00920231" w:rsidRPr="00B35BA7" w:rsidRDefault="00920231" w:rsidP="00920231">
            <w:pPr>
              <w:pStyle w:val="BodyText"/>
              <w:spacing w:before="100" w:after="100"/>
              <w:jc w:val="center"/>
            </w:pPr>
            <w:r w:rsidRPr="00B35BA7">
              <w:t>$0 per minute</w:t>
            </w:r>
          </w:p>
        </w:tc>
      </w:tr>
      <w:tr w:rsidR="00920231" w:rsidRPr="00B35BA7" w14:paraId="3DB2C406" w14:textId="77777777" w:rsidTr="00920231">
        <w:trPr>
          <w:trHeight w:val="183"/>
        </w:trPr>
        <w:tc>
          <w:tcPr>
            <w:tcW w:w="4635" w:type="dxa"/>
            <w:shd w:val="clear" w:color="auto" w:fill="auto"/>
          </w:tcPr>
          <w:p w14:paraId="0FAD3C14" w14:textId="77777777" w:rsidR="00920231" w:rsidRPr="00386EB7" w:rsidRDefault="00920231" w:rsidP="00920231">
            <w:pPr>
              <w:pStyle w:val="BodyText"/>
              <w:spacing w:before="100" w:after="100"/>
              <w:rPr>
                <w:b/>
                <w:bCs/>
                <w:lang w:eastAsia="en-AU"/>
              </w:rPr>
            </w:pPr>
            <w:r w:rsidRPr="00386EB7">
              <w:rPr>
                <w:b/>
                <w:bCs/>
                <w:lang w:eastAsia="en-AU"/>
              </w:rPr>
              <w:t xml:space="preserve">International Diversions </w:t>
            </w:r>
          </w:p>
        </w:tc>
        <w:tc>
          <w:tcPr>
            <w:tcW w:w="4635" w:type="dxa"/>
            <w:shd w:val="clear" w:color="auto" w:fill="auto"/>
          </w:tcPr>
          <w:p w14:paraId="03E68617" w14:textId="77777777" w:rsidR="00920231" w:rsidRPr="00B35BA7" w:rsidRDefault="00920231" w:rsidP="00920231">
            <w:pPr>
              <w:pStyle w:val="BodyText"/>
              <w:spacing w:before="100" w:after="100"/>
              <w:jc w:val="center"/>
            </w:pPr>
            <w:r>
              <w:t>'</w:t>
            </w:r>
            <w:r w:rsidRPr="00B35BA7">
              <w:t>yes</w:t>
            </w:r>
            <w:r>
              <w:t>'</w:t>
            </w:r>
            <w:r w:rsidRPr="00B35BA7">
              <w:t xml:space="preserve"> international rates</w:t>
            </w:r>
            <w:r w:rsidRPr="00B35BA7">
              <w:br/>
              <w:t>See optus.com.au/international</w:t>
            </w:r>
          </w:p>
        </w:tc>
      </w:tr>
      <w:tr w:rsidR="00920231" w:rsidRPr="00B35BA7" w14:paraId="1CD2ABFB" w14:textId="77777777" w:rsidTr="00920231">
        <w:tc>
          <w:tcPr>
            <w:tcW w:w="4635" w:type="dxa"/>
            <w:shd w:val="clear" w:color="auto" w:fill="auto"/>
          </w:tcPr>
          <w:p w14:paraId="0E16DF58" w14:textId="77777777" w:rsidR="00920231" w:rsidRPr="00386EB7" w:rsidRDefault="00920231" w:rsidP="00920231">
            <w:pPr>
              <w:pStyle w:val="BodyText"/>
              <w:spacing w:before="100" w:after="100"/>
              <w:rPr>
                <w:b/>
                <w:bCs/>
                <w:lang w:eastAsia="en-AU"/>
              </w:rPr>
            </w:pPr>
            <w:r w:rsidRPr="00386EB7">
              <w:rPr>
                <w:b/>
                <w:bCs/>
                <w:lang w:eastAsia="en-AU"/>
              </w:rPr>
              <w:t xml:space="preserve">1800 numbers </w:t>
            </w:r>
          </w:p>
        </w:tc>
        <w:tc>
          <w:tcPr>
            <w:tcW w:w="4635" w:type="dxa"/>
            <w:shd w:val="clear" w:color="auto" w:fill="auto"/>
            <w:vAlign w:val="center"/>
          </w:tcPr>
          <w:p w14:paraId="1E82D92F" w14:textId="77777777" w:rsidR="00920231" w:rsidRPr="00B35BA7" w:rsidRDefault="00920231" w:rsidP="00920231">
            <w:pPr>
              <w:pStyle w:val="BodyText"/>
              <w:spacing w:before="100" w:after="100"/>
              <w:jc w:val="center"/>
            </w:pPr>
            <w:r w:rsidRPr="00B35BA7">
              <w:t>$0 per minute</w:t>
            </w:r>
          </w:p>
        </w:tc>
      </w:tr>
      <w:tr w:rsidR="00920231" w:rsidRPr="00B35BA7" w14:paraId="55F56774" w14:textId="77777777" w:rsidTr="00920231">
        <w:tc>
          <w:tcPr>
            <w:tcW w:w="4635" w:type="dxa"/>
            <w:shd w:val="clear" w:color="auto" w:fill="auto"/>
          </w:tcPr>
          <w:p w14:paraId="591C6FBC" w14:textId="77777777" w:rsidR="00920231" w:rsidRPr="00386EB7" w:rsidRDefault="00920231" w:rsidP="00920231">
            <w:pPr>
              <w:pStyle w:val="BodyText"/>
              <w:spacing w:before="100" w:after="100"/>
              <w:rPr>
                <w:b/>
                <w:bCs/>
                <w:lang w:eastAsia="en-AU"/>
              </w:rPr>
            </w:pPr>
            <w:r w:rsidRPr="00386EB7">
              <w:rPr>
                <w:b/>
                <w:bCs/>
                <w:lang w:eastAsia="en-AU"/>
              </w:rPr>
              <w:lastRenderedPageBreak/>
              <w:t xml:space="preserve">Directory Assistance 1223 </w:t>
            </w:r>
          </w:p>
        </w:tc>
        <w:tc>
          <w:tcPr>
            <w:tcW w:w="4635" w:type="dxa"/>
            <w:shd w:val="clear" w:color="auto" w:fill="auto"/>
            <w:vAlign w:val="center"/>
          </w:tcPr>
          <w:p w14:paraId="32F757F0" w14:textId="77777777" w:rsidR="00920231" w:rsidRPr="00B35BA7" w:rsidRDefault="00920231" w:rsidP="00920231">
            <w:pPr>
              <w:pStyle w:val="BodyText"/>
              <w:spacing w:before="100" w:after="100"/>
              <w:jc w:val="center"/>
            </w:pPr>
            <w:r w:rsidRPr="00B35BA7">
              <w:t>50c per call</w:t>
            </w:r>
          </w:p>
        </w:tc>
      </w:tr>
      <w:tr w:rsidR="00920231" w:rsidRPr="00B35BA7" w14:paraId="54F3B35E" w14:textId="77777777" w:rsidTr="00920231">
        <w:tc>
          <w:tcPr>
            <w:tcW w:w="4635" w:type="dxa"/>
            <w:shd w:val="clear" w:color="auto" w:fill="auto"/>
          </w:tcPr>
          <w:p w14:paraId="428EC21B" w14:textId="77777777" w:rsidR="00920231" w:rsidRPr="00386EB7" w:rsidRDefault="00920231" w:rsidP="00920231">
            <w:pPr>
              <w:pStyle w:val="BodyText"/>
              <w:spacing w:before="100" w:after="100"/>
              <w:rPr>
                <w:b/>
                <w:bCs/>
                <w:lang w:eastAsia="en-AU"/>
              </w:rPr>
            </w:pPr>
            <w:r w:rsidRPr="00386EB7">
              <w:rPr>
                <w:b/>
                <w:bCs/>
                <w:lang w:eastAsia="en-AU"/>
              </w:rPr>
              <w:t>124 Yes</w:t>
            </w:r>
          </w:p>
        </w:tc>
        <w:tc>
          <w:tcPr>
            <w:tcW w:w="4635" w:type="dxa"/>
            <w:shd w:val="clear" w:color="auto" w:fill="auto"/>
            <w:vAlign w:val="center"/>
          </w:tcPr>
          <w:p w14:paraId="79B94E09" w14:textId="77777777" w:rsidR="00920231" w:rsidRPr="00B35BA7" w:rsidRDefault="00920231" w:rsidP="00920231">
            <w:pPr>
              <w:pStyle w:val="BodyText"/>
              <w:spacing w:before="100" w:after="100"/>
              <w:jc w:val="center"/>
            </w:pPr>
            <w:r w:rsidRPr="00B35BA7">
              <w:t>90c per minute +$1.75c flagfall</w:t>
            </w:r>
          </w:p>
        </w:tc>
      </w:tr>
      <w:tr w:rsidR="00920231" w:rsidRPr="00B35BA7" w14:paraId="66784EDF" w14:textId="77777777" w:rsidTr="00920231">
        <w:trPr>
          <w:trHeight w:val="174"/>
        </w:trPr>
        <w:tc>
          <w:tcPr>
            <w:tcW w:w="4635" w:type="dxa"/>
            <w:shd w:val="clear" w:color="auto" w:fill="auto"/>
          </w:tcPr>
          <w:p w14:paraId="2434FFFB" w14:textId="77777777" w:rsidR="00920231" w:rsidRPr="00386EB7" w:rsidRDefault="00920231" w:rsidP="00920231">
            <w:pPr>
              <w:pStyle w:val="BodyText"/>
              <w:spacing w:before="100" w:after="100"/>
              <w:rPr>
                <w:b/>
                <w:bCs/>
                <w:lang w:eastAsia="en-AU"/>
              </w:rPr>
            </w:pPr>
            <w:r w:rsidRPr="00386EB7">
              <w:rPr>
                <w:b/>
                <w:bCs/>
                <w:lang w:eastAsia="en-AU"/>
              </w:rPr>
              <w:t>International voice calls (outside the plan</w:t>
            </w:r>
            <w:r>
              <w:rPr>
                <w:b/>
                <w:bCs/>
                <w:lang w:eastAsia="en-AU"/>
              </w:rPr>
              <w:t>'</w:t>
            </w:r>
            <w:r w:rsidRPr="00386EB7">
              <w:rPr>
                <w:b/>
                <w:bCs/>
                <w:lang w:eastAsia="en-AU"/>
              </w:rPr>
              <w:t xml:space="preserve">s included international minutes and to excluded countries) </w:t>
            </w:r>
          </w:p>
        </w:tc>
        <w:tc>
          <w:tcPr>
            <w:tcW w:w="4635" w:type="dxa"/>
            <w:shd w:val="clear" w:color="auto" w:fill="auto"/>
            <w:vAlign w:val="center"/>
          </w:tcPr>
          <w:p w14:paraId="204D0A11" w14:textId="77777777" w:rsidR="00920231" w:rsidRPr="00B35BA7" w:rsidRDefault="00920231" w:rsidP="00920231">
            <w:pPr>
              <w:pStyle w:val="BodyText"/>
              <w:spacing w:before="100" w:after="100"/>
              <w:jc w:val="center"/>
            </w:pPr>
            <w:r>
              <w:t>'</w:t>
            </w:r>
            <w:r w:rsidRPr="00B35BA7">
              <w:t>yes</w:t>
            </w:r>
            <w:r>
              <w:t>'</w:t>
            </w:r>
            <w:r w:rsidRPr="00B35BA7">
              <w:t xml:space="preserve"> international rates</w:t>
            </w:r>
          </w:p>
          <w:p w14:paraId="4687E566" w14:textId="77777777" w:rsidR="00920231" w:rsidRPr="00B35BA7" w:rsidRDefault="00920231" w:rsidP="00920231">
            <w:pPr>
              <w:pStyle w:val="BodyText"/>
              <w:spacing w:before="100" w:after="100"/>
              <w:jc w:val="center"/>
            </w:pPr>
            <w:r w:rsidRPr="00B35BA7">
              <w:t>See optus.com.au/international</w:t>
            </w:r>
          </w:p>
        </w:tc>
      </w:tr>
      <w:tr w:rsidR="00920231" w:rsidRPr="00B35BA7" w14:paraId="5CD7C97C" w14:textId="77777777" w:rsidTr="00920231">
        <w:tc>
          <w:tcPr>
            <w:tcW w:w="4635" w:type="dxa"/>
            <w:shd w:val="clear" w:color="auto" w:fill="auto"/>
          </w:tcPr>
          <w:p w14:paraId="3076B288" w14:textId="77777777" w:rsidR="00920231" w:rsidRPr="00386EB7" w:rsidRDefault="00920231" w:rsidP="00920231">
            <w:pPr>
              <w:pStyle w:val="BodyText"/>
              <w:spacing w:before="100" w:after="100"/>
              <w:rPr>
                <w:b/>
                <w:bCs/>
                <w:lang w:eastAsia="en-AU"/>
              </w:rPr>
            </w:pPr>
            <w:r w:rsidRPr="00386EB7">
              <w:rPr>
                <w:b/>
                <w:bCs/>
                <w:lang w:eastAsia="en-AU"/>
              </w:rPr>
              <w:t xml:space="preserve">International SMS (to excluded countries) </w:t>
            </w:r>
          </w:p>
        </w:tc>
        <w:tc>
          <w:tcPr>
            <w:tcW w:w="4635" w:type="dxa"/>
            <w:shd w:val="clear" w:color="auto" w:fill="auto"/>
            <w:vAlign w:val="center"/>
          </w:tcPr>
          <w:p w14:paraId="54ABC600" w14:textId="77777777" w:rsidR="00920231" w:rsidRPr="00B35BA7" w:rsidRDefault="00920231" w:rsidP="00920231">
            <w:pPr>
              <w:pStyle w:val="BodyText"/>
              <w:spacing w:before="100" w:after="100"/>
              <w:jc w:val="center"/>
            </w:pPr>
            <w:r w:rsidRPr="00B35BA7">
              <w:t>50c per SMS up to 160 standard characters</w:t>
            </w:r>
          </w:p>
        </w:tc>
      </w:tr>
      <w:tr w:rsidR="00920231" w:rsidRPr="00B35BA7" w14:paraId="4D47FF42" w14:textId="77777777" w:rsidTr="00920231">
        <w:tc>
          <w:tcPr>
            <w:tcW w:w="4635" w:type="dxa"/>
            <w:shd w:val="clear" w:color="auto" w:fill="auto"/>
          </w:tcPr>
          <w:p w14:paraId="5D5991EE" w14:textId="77777777" w:rsidR="00920231" w:rsidRPr="00386EB7" w:rsidRDefault="00920231" w:rsidP="00920231">
            <w:pPr>
              <w:pStyle w:val="BodyText"/>
              <w:spacing w:before="100" w:after="100"/>
              <w:rPr>
                <w:b/>
                <w:bCs/>
                <w:lang w:eastAsia="en-AU"/>
              </w:rPr>
            </w:pPr>
            <w:r w:rsidRPr="00386EB7">
              <w:rPr>
                <w:b/>
                <w:bCs/>
                <w:lang w:eastAsia="en-AU"/>
              </w:rPr>
              <w:t>International MMS (to excluded countries)</w:t>
            </w:r>
          </w:p>
        </w:tc>
        <w:tc>
          <w:tcPr>
            <w:tcW w:w="4635" w:type="dxa"/>
            <w:shd w:val="clear" w:color="auto" w:fill="auto"/>
            <w:vAlign w:val="center"/>
          </w:tcPr>
          <w:p w14:paraId="50404947" w14:textId="77777777" w:rsidR="00920231" w:rsidRPr="00B35BA7" w:rsidRDefault="00920231" w:rsidP="00920231">
            <w:pPr>
              <w:pStyle w:val="BodyText"/>
              <w:spacing w:before="100" w:after="100"/>
              <w:jc w:val="center"/>
            </w:pPr>
            <w:r w:rsidRPr="00B35BA7">
              <w:t>75c per MMS</w:t>
            </w:r>
          </w:p>
        </w:tc>
      </w:tr>
      <w:tr w:rsidR="00920231" w:rsidRPr="00B35BA7" w14:paraId="49BFBFA4" w14:textId="77777777" w:rsidTr="00920231">
        <w:tc>
          <w:tcPr>
            <w:tcW w:w="4635" w:type="dxa"/>
            <w:shd w:val="clear" w:color="auto" w:fill="auto"/>
          </w:tcPr>
          <w:p w14:paraId="5E187857" w14:textId="77777777" w:rsidR="00920231" w:rsidRPr="00386EB7" w:rsidRDefault="00920231" w:rsidP="00920231">
            <w:pPr>
              <w:pStyle w:val="BodyText"/>
              <w:spacing w:before="100" w:after="100"/>
              <w:rPr>
                <w:b/>
                <w:bCs/>
                <w:lang w:eastAsia="en-AU"/>
              </w:rPr>
            </w:pPr>
            <w:r w:rsidRPr="00386EB7">
              <w:rPr>
                <w:b/>
                <w:bCs/>
                <w:lang w:eastAsia="en-AU"/>
              </w:rPr>
              <w:t xml:space="preserve">International video calling </w:t>
            </w:r>
          </w:p>
        </w:tc>
        <w:tc>
          <w:tcPr>
            <w:tcW w:w="4635" w:type="dxa"/>
            <w:shd w:val="clear" w:color="auto" w:fill="auto"/>
            <w:vAlign w:val="center"/>
          </w:tcPr>
          <w:p w14:paraId="6BCD9AFD" w14:textId="77777777" w:rsidR="00920231" w:rsidRPr="00B35BA7" w:rsidRDefault="00920231" w:rsidP="00920231">
            <w:pPr>
              <w:pStyle w:val="BodyText"/>
              <w:spacing w:before="100" w:after="100"/>
              <w:jc w:val="center"/>
            </w:pPr>
            <w:r w:rsidRPr="00B35BA7">
              <w:t>$1.50 per minute +35c flagfall</w:t>
            </w:r>
          </w:p>
        </w:tc>
      </w:tr>
      <w:tr w:rsidR="00920231" w:rsidRPr="00B35BA7" w14:paraId="7BC98D01" w14:textId="77777777" w:rsidTr="00920231">
        <w:tc>
          <w:tcPr>
            <w:tcW w:w="4635" w:type="dxa"/>
            <w:shd w:val="clear" w:color="auto" w:fill="auto"/>
          </w:tcPr>
          <w:p w14:paraId="5C27C76D" w14:textId="77777777" w:rsidR="00920231" w:rsidRPr="00386EB7" w:rsidRDefault="00920231" w:rsidP="00920231">
            <w:pPr>
              <w:pStyle w:val="BodyText"/>
              <w:spacing w:before="100" w:after="100"/>
              <w:rPr>
                <w:b/>
                <w:bCs/>
                <w:lang w:eastAsia="en-AU"/>
              </w:rPr>
            </w:pPr>
            <w:r w:rsidRPr="00386EB7">
              <w:rPr>
                <w:b/>
                <w:bCs/>
                <w:lang w:eastAsia="en-AU"/>
              </w:rPr>
              <w:t xml:space="preserve">International roaming </w:t>
            </w:r>
          </w:p>
        </w:tc>
        <w:tc>
          <w:tcPr>
            <w:tcW w:w="4635" w:type="dxa"/>
            <w:shd w:val="clear" w:color="auto" w:fill="auto"/>
            <w:vAlign w:val="center"/>
          </w:tcPr>
          <w:p w14:paraId="7D1A7A0F" w14:textId="77777777" w:rsidR="00920231" w:rsidRPr="00B35BA7" w:rsidRDefault="00920231" w:rsidP="00920231">
            <w:pPr>
              <w:pStyle w:val="BodyText"/>
              <w:spacing w:before="100" w:after="100"/>
              <w:jc w:val="center"/>
            </w:pPr>
            <w:r w:rsidRPr="00B35BA7">
              <w:t>See optus.com.au/roaming</w:t>
            </w:r>
          </w:p>
        </w:tc>
      </w:tr>
    </w:tbl>
    <w:p w14:paraId="7E334D6E" w14:textId="77777777" w:rsidR="00920231" w:rsidRDefault="00920231" w:rsidP="00920231">
      <w:pPr>
        <w:pStyle w:val="BodyText"/>
        <w:spacing w:before="240"/>
        <w:ind w:left="720"/>
        <w:rPr>
          <w:b/>
        </w:rPr>
      </w:pPr>
      <w:r w:rsidRPr="00386EB7">
        <w:rPr>
          <w:b/>
        </w:rPr>
        <w:t>Table 3 – International Countries</w:t>
      </w:r>
    </w:p>
    <w:tbl>
      <w:tblPr>
        <w:tblW w:w="927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7"/>
        <w:gridCol w:w="2318"/>
        <w:gridCol w:w="2317"/>
        <w:gridCol w:w="2318"/>
      </w:tblGrid>
      <w:tr w:rsidR="00920231" w:rsidRPr="00B35BA7" w14:paraId="4BE9D275" w14:textId="77777777" w:rsidTr="00920231">
        <w:tc>
          <w:tcPr>
            <w:tcW w:w="2317" w:type="dxa"/>
            <w:shd w:val="clear" w:color="auto" w:fill="auto"/>
          </w:tcPr>
          <w:p w14:paraId="112E6EB9" w14:textId="77777777" w:rsidR="00920231" w:rsidRPr="00B35BA7" w:rsidRDefault="00920231" w:rsidP="00920231">
            <w:pPr>
              <w:pStyle w:val="BodyText"/>
              <w:spacing w:before="100" w:after="100"/>
              <w:rPr>
                <w:b/>
              </w:rPr>
            </w:pPr>
            <w:r w:rsidRPr="00B35BA7">
              <w:t>Austria</w:t>
            </w:r>
          </w:p>
        </w:tc>
        <w:tc>
          <w:tcPr>
            <w:tcW w:w="2318" w:type="dxa"/>
            <w:shd w:val="clear" w:color="auto" w:fill="auto"/>
          </w:tcPr>
          <w:p w14:paraId="3D5A6921" w14:textId="77777777" w:rsidR="00920231" w:rsidRPr="00B35BA7" w:rsidRDefault="00920231" w:rsidP="00920231">
            <w:pPr>
              <w:pStyle w:val="BodyText"/>
              <w:spacing w:before="100" w:after="100"/>
              <w:rPr>
                <w:b/>
              </w:rPr>
            </w:pPr>
            <w:r w:rsidRPr="00B35BA7">
              <w:t>Bangladesh</w:t>
            </w:r>
          </w:p>
        </w:tc>
        <w:tc>
          <w:tcPr>
            <w:tcW w:w="2317" w:type="dxa"/>
            <w:shd w:val="clear" w:color="auto" w:fill="auto"/>
          </w:tcPr>
          <w:p w14:paraId="507FDA20" w14:textId="77777777" w:rsidR="00920231" w:rsidRPr="00B35BA7" w:rsidRDefault="00920231" w:rsidP="00920231">
            <w:pPr>
              <w:pStyle w:val="BodyText"/>
              <w:spacing w:before="100" w:after="100"/>
              <w:rPr>
                <w:b/>
              </w:rPr>
            </w:pPr>
            <w:r w:rsidRPr="00B35BA7">
              <w:t>Cambodia</w:t>
            </w:r>
          </w:p>
        </w:tc>
        <w:tc>
          <w:tcPr>
            <w:tcW w:w="2318" w:type="dxa"/>
            <w:shd w:val="clear" w:color="auto" w:fill="auto"/>
          </w:tcPr>
          <w:p w14:paraId="53DFCDDF" w14:textId="77777777" w:rsidR="00920231" w:rsidRPr="00B35BA7" w:rsidRDefault="00920231" w:rsidP="00920231">
            <w:pPr>
              <w:pStyle w:val="BodyText"/>
              <w:spacing w:before="100" w:after="100"/>
              <w:rPr>
                <w:b/>
              </w:rPr>
            </w:pPr>
            <w:r w:rsidRPr="00B35BA7">
              <w:t>Canada</w:t>
            </w:r>
          </w:p>
        </w:tc>
      </w:tr>
      <w:tr w:rsidR="00920231" w:rsidRPr="00B35BA7" w14:paraId="7632AF18" w14:textId="77777777" w:rsidTr="00920231">
        <w:tc>
          <w:tcPr>
            <w:tcW w:w="2317" w:type="dxa"/>
            <w:shd w:val="clear" w:color="auto" w:fill="auto"/>
          </w:tcPr>
          <w:p w14:paraId="643BA24D" w14:textId="77777777" w:rsidR="00920231" w:rsidRPr="00B35BA7" w:rsidRDefault="00920231" w:rsidP="00920231">
            <w:pPr>
              <w:pStyle w:val="BodyText"/>
              <w:spacing w:before="100" w:after="100"/>
              <w:rPr>
                <w:b/>
              </w:rPr>
            </w:pPr>
            <w:r w:rsidRPr="00B35BA7">
              <w:t xml:space="preserve">Chile </w:t>
            </w:r>
          </w:p>
        </w:tc>
        <w:tc>
          <w:tcPr>
            <w:tcW w:w="2318" w:type="dxa"/>
            <w:shd w:val="clear" w:color="auto" w:fill="auto"/>
          </w:tcPr>
          <w:p w14:paraId="5ECE4EF8" w14:textId="77777777" w:rsidR="00920231" w:rsidRPr="00B35BA7" w:rsidRDefault="00920231" w:rsidP="00920231">
            <w:pPr>
              <w:pStyle w:val="BodyText"/>
              <w:spacing w:before="100" w:after="100"/>
              <w:rPr>
                <w:b/>
              </w:rPr>
            </w:pPr>
            <w:r w:rsidRPr="00B35BA7">
              <w:t xml:space="preserve">China </w:t>
            </w:r>
          </w:p>
        </w:tc>
        <w:tc>
          <w:tcPr>
            <w:tcW w:w="2317" w:type="dxa"/>
            <w:shd w:val="clear" w:color="auto" w:fill="auto"/>
          </w:tcPr>
          <w:p w14:paraId="2BB8689F" w14:textId="77777777" w:rsidR="00920231" w:rsidRPr="00B35BA7" w:rsidRDefault="00920231" w:rsidP="00920231">
            <w:pPr>
              <w:pStyle w:val="BodyText"/>
              <w:spacing w:before="100" w:after="100"/>
              <w:rPr>
                <w:b/>
              </w:rPr>
            </w:pPr>
            <w:r w:rsidRPr="00B35BA7">
              <w:t xml:space="preserve">Croatia </w:t>
            </w:r>
          </w:p>
        </w:tc>
        <w:tc>
          <w:tcPr>
            <w:tcW w:w="2318" w:type="dxa"/>
            <w:shd w:val="clear" w:color="auto" w:fill="auto"/>
          </w:tcPr>
          <w:p w14:paraId="5C925E26" w14:textId="77777777" w:rsidR="00920231" w:rsidRPr="00B35BA7" w:rsidRDefault="00920231" w:rsidP="00920231">
            <w:pPr>
              <w:pStyle w:val="BodyText"/>
              <w:spacing w:before="100" w:after="100"/>
              <w:rPr>
                <w:b/>
              </w:rPr>
            </w:pPr>
            <w:r w:rsidRPr="00B35BA7">
              <w:t>France</w:t>
            </w:r>
          </w:p>
        </w:tc>
      </w:tr>
      <w:tr w:rsidR="00920231" w:rsidRPr="00B35BA7" w14:paraId="0A50B405" w14:textId="77777777" w:rsidTr="00920231">
        <w:tc>
          <w:tcPr>
            <w:tcW w:w="2317" w:type="dxa"/>
            <w:shd w:val="clear" w:color="auto" w:fill="auto"/>
          </w:tcPr>
          <w:p w14:paraId="11741D03" w14:textId="77777777" w:rsidR="00920231" w:rsidRPr="00B35BA7" w:rsidRDefault="00920231" w:rsidP="00920231">
            <w:pPr>
              <w:pStyle w:val="BodyText"/>
              <w:spacing w:before="100" w:after="100"/>
              <w:rPr>
                <w:b/>
              </w:rPr>
            </w:pPr>
            <w:r w:rsidRPr="00B35BA7">
              <w:t>Germany</w:t>
            </w:r>
          </w:p>
        </w:tc>
        <w:tc>
          <w:tcPr>
            <w:tcW w:w="2318" w:type="dxa"/>
            <w:shd w:val="clear" w:color="auto" w:fill="auto"/>
          </w:tcPr>
          <w:p w14:paraId="2E89C825" w14:textId="77777777" w:rsidR="00920231" w:rsidRPr="00B35BA7" w:rsidRDefault="00920231" w:rsidP="00920231">
            <w:pPr>
              <w:pStyle w:val="BodyText"/>
              <w:spacing w:before="100" w:after="100"/>
              <w:rPr>
                <w:b/>
              </w:rPr>
            </w:pPr>
            <w:r w:rsidRPr="00B35BA7">
              <w:t>Greece</w:t>
            </w:r>
          </w:p>
        </w:tc>
        <w:tc>
          <w:tcPr>
            <w:tcW w:w="2317" w:type="dxa"/>
            <w:shd w:val="clear" w:color="auto" w:fill="auto"/>
          </w:tcPr>
          <w:p w14:paraId="76CFF4ED" w14:textId="77777777" w:rsidR="00920231" w:rsidRPr="00B35BA7" w:rsidRDefault="00920231" w:rsidP="00920231">
            <w:pPr>
              <w:pStyle w:val="BodyText"/>
              <w:spacing w:before="100" w:after="100"/>
              <w:rPr>
                <w:b/>
              </w:rPr>
            </w:pPr>
            <w:r w:rsidRPr="00B35BA7">
              <w:t>Hong Kong,</w:t>
            </w:r>
          </w:p>
        </w:tc>
        <w:tc>
          <w:tcPr>
            <w:tcW w:w="2318" w:type="dxa"/>
            <w:shd w:val="clear" w:color="auto" w:fill="auto"/>
          </w:tcPr>
          <w:p w14:paraId="22F41EDC" w14:textId="77777777" w:rsidR="00920231" w:rsidRPr="00B35BA7" w:rsidRDefault="00920231" w:rsidP="00920231">
            <w:pPr>
              <w:pStyle w:val="BodyText"/>
              <w:spacing w:before="100" w:after="100"/>
              <w:rPr>
                <w:b/>
              </w:rPr>
            </w:pPr>
            <w:r w:rsidRPr="00B35BA7">
              <w:t>Hungary</w:t>
            </w:r>
          </w:p>
        </w:tc>
      </w:tr>
      <w:tr w:rsidR="00920231" w:rsidRPr="00B35BA7" w14:paraId="769A3735" w14:textId="77777777" w:rsidTr="00920231">
        <w:tc>
          <w:tcPr>
            <w:tcW w:w="2317" w:type="dxa"/>
            <w:shd w:val="clear" w:color="auto" w:fill="auto"/>
          </w:tcPr>
          <w:p w14:paraId="5516CBFA" w14:textId="77777777" w:rsidR="00920231" w:rsidRPr="00B35BA7" w:rsidRDefault="00920231" w:rsidP="00920231">
            <w:pPr>
              <w:pStyle w:val="BodyText"/>
              <w:spacing w:before="100" w:after="100"/>
              <w:rPr>
                <w:b/>
              </w:rPr>
            </w:pPr>
            <w:r w:rsidRPr="00B35BA7">
              <w:t>Indonesia</w:t>
            </w:r>
          </w:p>
        </w:tc>
        <w:tc>
          <w:tcPr>
            <w:tcW w:w="2318" w:type="dxa"/>
            <w:shd w:val="clear" w:color="auto" w:fill="auto"/>
          </w:tcPr>
          <w:p w14:paraId="669C1D72" w14:textId="77777777" w:rsidR="00920231" w:rsidRPr="00B35BA7" w:rsidRDefault="00920231" w:rsidP="00920231">
            <w:pPr>
              <w:pStyle w:val="BodyText"/>
              <w:spacing w:before="100" w:after="100"/>
              <w:rPr>
                <w:b/>
              </w:rPr>
            </w:pPr>
            <w:r w:rsidRPr="00B35BA7">
              <w:t>India</w:t>
            </w:r>
          </w:p>
        </w:tc>
        <w:tc>
          <w:tcPr>
            <w:tcW w:w="2317" w:type="dxa"/>
            <w:shd w:val="clear" w:color="auto" w:fill="auto"/>
          </w:tcPr>
          <w:p w14:paraId="0E228046" w14:textId="77777777" w:rsidR="00920231" w:rsidRPr="00B35BA7" w:rsidRDefault="00920231" w:rsidP="00920231">
            <w:pPr>
              <w:pStyle w:val="BodyText"/>
              <w:spacing w:before="100" w:after="100"/>
              <w:rPr>
                <w:b/>
              </w:rPr>
            </w:pPr>
            <w:r w:rsidRPr="00B35BA7">
              <w:t>Ireland</w:t>
            </w:r>
          </w:p>
        </w:tc>
        <w:tc>
          <w:tcPr>
            <w:tcW w:w="2318" w:type="dxa"/>
            <w:shd w:val="clear" w:color="auto" w:fill="auto"/>
          </w:tcPr>
          <w:p w14:paraId="5C9FB972" w14:textId="77777777" w:rsidR="00920231" w:rsidRPr="00B35BA7" w:rsidRDefault="00920231" w:rsidP="00920231">
            <w:pPr>
              <w:pStyle w:val="BodyText"/>
              <w:spacing w:before="100" w:after="100"/>
              <w:rPr>
                <w:b/>
              </w:rPr>
            </w:pPr>
            <w:r w:rsidRPr="00B35BA7">
              <w:t>Italy</w:t>
            </w:r>
          </w:p>
        </w:tc>
      </w:tr>
      <w:tr w:rsidR="00920231" w:rsidRPr="00B35BA7" w14:paraId="1239B0B7" w14:textId="77777777" w:rsidTr="00920231">
        <w:tc>
          <w:tcPr>
            <w:tcW w:w="2317" w:type="dxa"/>
            <w:shd w:val="clear" w:color="auto" w:fill="auto"/>
          </w:tcPr>
          <w:p w14:paraId="1544E292" w14:textId="77777777" w:rsidR="00920231" w:rsidRPr="00B35BA7" w:rsidRDefault="00920231" w:rsidP="00920231">
            <w:pPr>
              <w:pStyle w:val="BodyText"/>
              <w:spacing w:before="100" w:after="100"/>
              <w:rPr>
                <w:b/>
              </w:rPr>
            </w:pPr>
            <w:r w:rsidRPr="00B35BA7">
              <w:t xml:space="preserve">Japan </w:t>
            </w:r>
          </w:p>
        </w:tc>
        <w:tc>
          <w:tcPr>
            <w:tcW w:w="2318" w:type="dxa"/>
            <w:shd w:val="clear" w:color="auto" w:fill="auto"/>
          </w:tcPr>
          <w:p w14:paraId="0EB4A753" w14:textId="77777777" w:rsidR="00920231" w:rsidRPr="00B35BA7" w:rsidRDefault="00920231" w:rsidP="00920231">
            <w:pPr>
              <w:pStyle w:val="BodyText"/>
              <w:spacing w:before="100" w:after="100"/>
              <w:rPr>
                <w:b/>
              </w:rPr>
            </w:pPr>
            <w:r w:rsidRPr="00B35BA7">
              <w:t>Malaysia,</w:t>
            </w:r>
          </w:p>
        </w:tc>
        <w:tc>
          <w:tcPr>
            <w:tcW w:w="2317" w:type="dxa"/>
            <w:shd w:val="clear" w:color="auto" w:fill="auto"/>
          </w:tcPr>
          <w:p w14:paraId="4383DC0A" w14:textId="77777777" w:rsidR="00920231" w:rsidRPr="00B35BA7" w:rsidRDefault="00920231" w:rsidP="00920231">
            <w:pPr>
              <w:pStyle w:val="BodyText"/>
              <w:spacing w:before="100" w:after="100"/>
              <w:rPr>
                <w:b/>
              </w:rPr>
            </w:pPr>
            <w:r w:rsidRPr="00B35BA7">
              <w:t>Netherlands</w:t>
            </w:r>
          </w:p>
        </w:tc>
        <w:tc>
          <w:tcPr>
            <w:tcW w:w="2318" w:type="dxa"/>
            <w:shd w:val="clear" w:color="auto" w:fill="auto"/>
          </w:tcPr>
          <w:p w14:paraId="349D5103" w14:textId="77777777" w:rsidR="00920231" w:rsidRPr="00B35BA7" w:rsidRDefault="00920231" w:rsidP="00920231">
            <w:pPr>
              <w:pStyle w:val="BodyText"/>
              <w:spacing w:before="100" w:after="100"/>
              <w:rPr>
                <w:b/>
              </w:rPr>
            </w:pPr>
            <w:r w:rsidRPr="00B35BA7">
              <w:t>New Zealand</w:t>
            </w:r>
          </w:p>
        </w:tc>
      </w:tr>
      <w:tr w:rsidR="00920231" w:rsidRPr="00B35BA7" w14:paraId="25F9B8DA" w14:textId="77777777" w:rsidTr="00920231">
        <w:tc>
          <w:tcPr>
            <w:tcW w:w="2317" w:type="dxa"/>
            <w:shd w:val="clear" w:color="auto" w:fill="auto"/>
          </w:tcPr>
          <w:p w14:paraId="4A3D210A" w14:textId="77777777" w:rsidR="00920231" w:rsidRPr="00B35BA7" w:rsidRDefault="00920231" w:rsidP="00920231">
            <w:pPr>
              <w:pStyle w:val="BodyText"/>
              <w:spacing w:before="100" w:after="100"/>
              <w:rPr>
                <w:b/>
              </w:rPr>
            </w:pPr>
            <w:r w:rsidRPr="00B35BA7">
              <w:t xml:space="preserve">Pakistan </w:t>
            </w:r>
          </w:p>
        </w:tc>
        <w:tc>
          <w:tcPr>
            <w:tcW w:w="2318" w:type="dxa"/>
            <w:shd w:val="clear" w:color="auto" w:fill="auto"/>
          </w:tcPr>
          <w:p w14:paraId="26295E31" w14:textId="77777777" w:rsidR="00920231" w:rsidRPr="00B35BA7" w:rsidRDefault="00920231" w:rsidP="00920231">
            <w:pPr>
              <w:pStyle w:val="BodyText"/>
              <w:spacing w:before="100" w:after="100"/>
              <w:rPr>
                <w:b/>
              </w:rPr>
            </w:pPr>
            <w:r w:rsidRPr="00B35BA7">
              <w:t>Philippines</w:t>
            </w:r>
          </w:p>
        </w:tc>
        <w:tc>
          <w:tcPr>
            <w:tcW w:w="2317" w:type="dxa"/>
            <w:shd w:val="clear" w:color="auto" w:fill="auto"/>
          </w:tcPr>
          <w:p w14:paraId="1C0F4450" w14:textId="77777777" w:rsidR="00920231" w:rsidRPr="00B35BA7" w:rsidRDefault="00920231" w:rsidP="00920231">
            <w:pPr>
              <w:pStyle w:val="BodyText"/>
              <w:spacing w:before="100" w:after="100"/>
              <w:rPr>
                <w:b/>
              </w:rPr>
            </w:pPr>
            <w:r w:rsidRPr="00B35BA7">
              <w:t xml:space="preserve">Poland </w:t>
            </w:r>
          </w:p>
        </w:tc>
        <w:tc>
          <w:tcPr>
            <w:tcW w:w="2318" w:type="dxa"/>
            <w:shd w:val="clear" w:color="auto" w:fill="auto"/>
          </w:tcPr>
          <w:p w14:paraId="10BC619F" w14:textId="77777777" w:rsidR="00920231" w:rsidRPr="00B35BA7" w:rsidRDefault="00920231" w:rsidP="00920231">
            <w:pPr>
              <w:pStyle w:val="BodyText"/>
              <w:spacing w:before="100" w:after="100"/>
              <w:rPr>
                <w:b/>
              </w:rPr>
            </w:pPr>
            <w:r w:rsidRPr="00B35BA7">
              <w:t>Singapore</w:t>
            </w:r>
          </w:p>
        </w:tc>
      </w:tr>
      <w:tr w:rsidR="00920231" w:rsidRPr="00B35BA7" w14:paraId="41B81D97" w14:textId="77777777" w:rsidTr="00920231">
        <w:tc>
          <w:tcPr>
            <w:tcW w:w="2317" w:type="dxa"/>
            <w:shd w:val="clear" w:color="auto" w:fill="auto"/>
          </w:tcPr>
          <w:p w14:paraId="78353D7D" w14:textId="77777777" w:rsidR="00920231" w:rsidRPr="00B35BA7" w:rsidRDefault="00920231" w:rsidP="00920231">
            <w:pPr>
              <w:pStyle w:val="BodyText"/>
              <w:spacing w:before="100" w:after="100"/>
              <w:rPr>
                <w:b/>
              </w:rPr>
            </w:pPr>
            <w:r w:rsidRPr="00B35BA7">
              <w:t xml:space="preserve">South Africa </w:t>
            </w:r>
          </w:p>
        </w:tc>
        <w:tc>
          <w:tcPr>
            <w:tcW w:w="2318" w:type="dxa"/>
            <w:shd w:val="clear" w:color="auto" w:fill="auto"/>
          </w:tcPr>
          <w:p w14:paraId="2D84CA64" w14:textId="77777777" w:rsidR="00920231" w:rsidRPr="00B35BA7" w:rsidRDefault="00920231" w:rsidP="00920231">
            <w:pPr>
              <w:pStyle w:val="BodyText"/>
              <w:spacing w:before="100" w:after="100"/>
              <w:rPr>
                <w:b/>
              </w:rPr>
            </w:pPr>
            <w:r w:rsidRPr="00B35BA7">
              <w:t>South Korea</w:t>
            </w:r>
          </w:p>
        </w:tc>
        <w:tc>
          <w:tcPr>
            <w:tcW w:w="2317" w:type="dxa"/>
            <w:shd w:val="clear" w:color="auto" w:fill="auto"/>
          </w:tcPr>
          <w:p w14:paraId="5A551A0B" w14:textId="77777777" w:rsidR="00920231" w:rsidRPr="00B35BA7" w:rsidRDefault="00920231" w:rsidP="00920231">
            <w:pPr>
              <w:pStyle w:val="BodyText"/>
              <w:spacing w:before="100" w:after="100"/>
              <w:rPr>
                <w:b/>
              </w:rPr>
            </w:pPr>
            <w:r w:rsidRPr="00B35BA7">
              <w:t xml:space="preserve">Taiwan </w:t>
            </w:r>
          </w:p>
        </w:tc>
        <w:tc>
          <w:tcPr>
            <w:tcW w:w="2318" w:type="dxa"/>
            <w:shd w:val="clear" w:color="auto" w:fill="auto"/>
          </w:tcPr>
          <w:p w14:paraId="0DD50F49" w14:textId="77777777" w:rsidR="00920231" w:rsidRPr="00B35BA7" w:rsidRDefault="00920231" w:rsidP="00920231">
            <w:pPr>
              <w:pStyle w:val="BodyText"/>
              <w:spacing w:before="100" w:after="100"/>
              <w:rPr>
                <w:b/>
              </w:rPr>
            </w:pPr>
            <w:r w:rsidRPr="00B35BA7">
              <w:t>Thailand</w:t>
            </w:r>
          </w:p>
        </w:tc>
      </w:tr>
      <w:tr w:rsidR="00920231" w:rsidRPr="00B35BA7" w14:paraId="292582EC" w14:textId="77777777" w:rsidTr="00920231">
        <w:tc>
          <w:tcPr>
            <w:tcW w:w="2317" w:type="dxa"/>
            <w:shd w:val="clear" w:color="auto" w:fill="auto"/>
          </w:tcPr>
          <w:p w14:paraId="4F53FAED" w14:textId="77777777" w:rsidR="00920231" w:rsidRPr="00B35BA7" w:rsidRDefault="00920231" w:rsidP="00920231">
            <w:pPr>
              <w:pStyle w:val="BodyText"/>
              <w:spacing w:before="100" w:after="100"/>
              <w:rPr>
                <w:b/>
              </w:rPr>
            </w:pPr>
            <w:r w:rsidRPr="00B35BA7">
              <w:t>Turkey</w:t>
            </w:r>
          </w:p>
        </w:tc>
        <w:tc>
          <w:tcPr>
            <w:tcW w:w="2318" w:type="dxa"/>
            <w:shd w:val="clear" w:color="auto" w:fill="auto"/>
          </w:tcPr>
          <w:p w14:paraId="63CE4477" w14:textId="77777777" w:rsidR="00920231" w:rsidRPr="00B35BA7" w:rsidRDefault="00920231" w:rsidP="00920231">
            <w:pPr>
              <w:pStyle w:val="BodyText"/>
              <w:spacing w:before="100" w:after="100"/>
              <w:rPr>
                <w:b/>
              </w:rPr>
            </w:pPr>
            <w:r w:rsidRPr="00B35BA7">
              <w:t>United Kingdom</w:t>
            </w:r>
          </w:p>
        </w:tc>
        <w:tc>
          <w:tcPr>
            <w:tcW w:w="2317" w:type="dxa"/>
            <w:shd w:val="clear" w:color="auto" w:fill="auto"/>
          </w:tcPr>
          <w:p w14:paraId="7B25786C" w14:textId="77777777" w:rsidR="00920231" w:rsidRPr="00B35BA7" w:rsidRDefault="00920231" w:rsidP="00920231">
            <w:pPr>
              <w:pStyle w:val="BodyText"/>
              <w:spacing w:before="100" w:after="100"/>
              <w:rPr>
                <w:b/>
              </w:rPr>
            </w:pPr>
            <w:r w:rsidRPr="00B35BA7">
              <w:t xml:space="preserve">USA </w:t>
            </w:r>
          </w:p>
        </w:tc>
        <w:tc>
          <w:tcPr>
            <w:tcW w:w="2318" w:type="dxa"/>
            <w:shd w:val="clear" w:color="auto" w:fill="auto"/>
          </w:tcPr>
          <w:p w14:paraId="6789B65A" w14:textId="77777777" w:rsidR="00920231" w:rsidRPr="00B35BA7" w:rsidRDefault="00920231" w:rsidP="00920231">
            <w:pPr>
              <w:pStyle w:val="BodyText"/>
              <w:spacing w:before="100" w:after="100"/>
              <w:rPr>
                <w:b/>
              </w:rPr>
            </w:pPr>
            <w:r w:rsidRPr="00B35BA7">
              <w:t>Vietnam</w:t>
            </w:r>
          </w:p>
        </w:tc>
      </w:tr>
    </w:tbl>
    <w:p w14:paraId="1F1C649D" w14:textId="77777777" w:rsidR="00920231" w:rsidRDefault="00920231" w:rsidP="00920231">
      <w:pPr>
        <w:pStyle w:val="BodyText"/>
      </w:pPr>
    </w:p>
    <w:p w14:paraId="1F4C9C73" w14:textId="77777777" w:rsidR="00920231" w:rsidRPr="00386EB7" w:rsidRDefault="00920231" w:rsidP="00920231">
      <w:pPr>
        <w:pStyle w:val="Heading6"/>
        <w:ind w:left="0" w:firstLine="0"/>
        <w:rPr>
          <w:lang w:val="en-AU"/>
        </w:rPr>
      </w:pPr>
      <w:bookmarkStart w:id="1730" w:name="_Toc485729126"/>
      <w:r w:rsidRPr="00386EB7">
        <w:rPr>
          <w:lang w:val="en-AU"/>
        </w:rPr>
        <w:t>My Account</w:t>
      </w:r>
      <w:bookmarkEnd w:id="1730"/>
    </w:p>
    <w:p w14:paraId="591AB135" w14:textId="77777777" w:rsidR="00920231" w:rsidRPr="00386EB7" w:rsidRDefault="00920231" w:rsidP="00920231">
      <w:pPr>
        <w:pStyle w:val="BodyText"/>
        <w:ind w:left="720"/>
        <w:rPr>
          <w:lang w:val="en-AU"/>
        </w:rPr>
      </w:pPr>
      <w:r w:rsidRPr="00386EB7">
        <w:rPr>
          <w:lang w:val="en-AU"/>
        </w:rPr>
        <w:t xml:space="preserve">Services that share data may have a service login to My Account which will display all of the service numbers contributing to or using the shared data pool on </w:t>
      </w:r>
      <w:r w:rsidRPr="00386EB7">
        <w:rPr>
          <w:i/>
          <w:lang w:val="en-AU"/>
        </w:rPr>
        <w:t xml:space="preserve">your </w:t>
      </w:r>
      <w:r w:rsidRPr="00386EB7">
        <w:rPr>
          <w:lang w:val="en-AU"/>
        </w:rPr>
        <w:t xml:space="preserve">account and the amount of data each service has used. If </w:t>
      </w:r>
      <w:r w:rsidRPr="00386EB7">
        <w:rPr>
          <w:i/>
          <w:lang w:val="en-AU"/>
        </w:rPr>
        <w:t>you</w:t>
      </w:r>
      <w:r w:rsidRPr="00386EB7">
        <w:rPr>
          <w:lang w:val="en-AU"/>
        </w:rPr>
        <w:t xml:space="preserve"> have more than 6 services on </w:t>
      </w:r>
      <w:r w:rsidRPr="00386EB7">
        <w:rPr>
          <w:i/>
          <w:lang w:val="en-AU"/>
        </w:rPr>
        <w:t>your</w:t>
      </w:r>
      <w:r w:rsidRPr="00386EB7">
        <w:rPr>
          <w:lang w:val="en-AU"/>
        </w:rPr>
        <w:t xml:space="preserve"> account, My Account may not be suitable for viewing usage and managing </w:t>
      </w:r>
      <w:r w:rsidRPr="00386EB7">
        <w:rPr>
          <w:i/>
          <w:lang w:val="en-AU"/>
        </w:rPr>
        <w:t xml:space="preserve">your </w:t>
      </w:r>
      <w:r w:rsidRPr="00386EB7">
        <w:rPr>
          <w:lang w:val="en-AU"/>
        </w:rPr>
        <w:t>usage alerts.</w:t>
      </w:r>
    </w:p>
    <w:p w14:paraId="700D1864" w14:textId="77777777" w:rsidR="00920231" w:rsidRPr="00386EB7" w:rsidRDefault="00920231" w:rsidP="00920231">
      <w:pPr>
        <w:pStyle w:val="Heading6"/>
        <w:ind w:left="0" w:firstLine="0"/>
        <w:rPr>
          <w:lang w:val="en-AU"/>
        </w:rPr>
      </w:pPr>
      <w:bookmarkStart w:id="1731" w:name="_Toc485729127"/>
      <w:r w:rsidRPr="00386EB7">
        <w:rPr>
          <w:lang w:val="en-AU"/>
        </w:rPr>
        <w:t xml:space="preserve">What happens if the </w:t>
      </w:r>
      <w:r w:rsidRPr="00386EB7">
        <w:rPr>
          <w:i/>
          <w:lang w:val="en-AU"/>
        </w:rPr>
        <w:t xml:space="preserve">service </w:t>
      </w:r>
      <w:r w:rsidRPr="00386EB7">
        <w:rPr>
          <w:lang w:val="en-AU"/>
        </w:rPr>
        <w:t>is</w:t>
      </w:r>
      <w:r w:rsidRPr="00386EB7">
        <w:rPr>
          <w:i/>
          <w:lang w:val="en-AU"/>
        </w:rPr>
        <w:t xml:space="preserve"> cancelled </w:t>
      </w:r>
      <w:r w:rsidRPr="00386EB7">
        <w:rPr>
          <w:lang w:val="en-AU"/>
        </w:rPr>
        <w:t>early?</w:t>
      </w:r>
      <w:bookmarkEnd w:id="1731"/>
      <w:r w:rsidRPr="00386EB7">
        <w:rPr>
          <w:lang w:val="en-AU"/>
        </w:rPr>
        <w:t xml:space="preserve"> </w:t>
      </w:r>
    </w:p>
    <w:p w14:paraId="416DA1E0" w14:textId="77777777" w:rsidR="00920231" w:rsidRPr="00386EB7" w:rsidRDefault="00920231" w:rsidP="00920231">
      <w:pPr>
        <w:pStyle w:val="Heading7"/>
        <w:rPr>
          <w:lang w:val="en-AU"/>
        </w:rPr>
      </w:pPr>
      <w:r w:rsidRPr="00386EB7">
        <w:rPr>
          <w:lang w:val="en-AU"/>
        </w:rPr>
        <w:t>If the</w:t>
      </w:r>
      <w:r w:rsidRPr="00386EB7">
        <w:rPr>
          <w:i/>
          <w:lang w:val="en-AU"/>
        </w:rPr>
        <w:t xml:space="preserve"> service</w:t>
      </w:r>
      <w:r w:rsidRPr="00386EB7">
        <w:rPr>
          <w:lang w:val="en-AU"/>
        </w:rPr>
        <w:t xml:space="preserve"> is</w:t>
      </w:r>
      <w:r w:rsidRPr="00386EB7">
        <w:rPr>
          <w:i/>
          <w:lang w:val="en-AU"/>
        </w:rPr>
        <w:t xml:space="preserve"> cancelled </w:t>
      </w:r>
      <w:r w:rsidRPr="00386EB7">
        <w:rPr>
          <w:lang w:val="en-AU"/>
        </w:rPr>
        <w:t xml:space="preserve">before the end of </w:t>
      </w:r>
      <w:r w:rsidRPr="00386EB7">
        <w:rPr>
          <w:i/>
          <w:lang w:val="en-AU"/>
        </w:rPr>
        <w:t xml:space="preserve">your minimum term, you </w:t>
      </w:r>
      <w:r w:rsidRPr="00386EB7">
        <w:rPr>
          <w:lang w:val="en-AU"/>
        </w:rPr>
        <w:t xml:space="preserve">will be required to pay </w:t>
      </w:r>
      <w:r w:rsidRPr="00386EB7">
        <w:rPr>
          <w:i/>
          <w:lang w:val="en-AU"/>
        </w:rPr>
        <w:t>us</w:t>
      </w:r>
      <w:r w:rsidRPr="00386EB7">
        <w:rPr>
          <w:lang w:val="en-AU"/>
        </w:rPr>
        <w:t>:</w:t>
      </w:r>
    </w:p>
    <w:p w14:paraId="25E7D76F" w14:textId="77777777" w:rsidR="00920231" w:rsidRPr="00386EB7" w:rsidRDefault="00920231" w:rsidP="00920231">
      <w:pPr>
        <w:pStyle w:val="Heading8"/>
        <w:rPr>
          <w:lang w:val="en-AU"/>
        </w:rPr>
      </w:pPr>
      <w:r w:rsidRPr="00386EB7">
        <w:rPr>
          <w:lang w:val="en-AU"/>
        </w:rPr>
        <w:t xml:space="preserve">any usage charges incurred up to, and including, the </w:t>
      </w:r>
      <w:r w:rsidRPr="00386EB7">
        <w:rPr>
          <w:i/>
          <w:lang w:val="en-AU"/>
        </w:rPr>
        <w:t xml:space="preserve">cancellation date; </w:t>
      </w:r>
      <w:r w:rsidRPr="00386EB7">
        <w:rPr>
          <w:lang w:val="en-AU"/>
        </w:rPr>
        <w:t>plus</w:t>
      </w:r>
    </w:p>
    <w:p w14:paraId="4A40749F" w14:textId="77777777" w:rsidR="00920231" w:rsidRPr="00386EB7" w:rsidRDefault="00920231" w:rsidP="00920231">
      <w:pPr>
        <w:pStyle w:val="Heading8"/>
        <w:rPr>
          <w:lang w:val="en-AU"/>
        </w:rPr>
      </w:pPr>
      <w:r w:rsidRPr="00386EB7">
        <w:rPr>
          <w:lang w:val="en-AU"/>
        </w:rPr>
        <w:t xml:space="preserve">the </w:t>
      </w:r>
      <w:r w:rsidRPr="00386EB7">
        <w:rPr>
          <w:i/>
          <w:lang w:val="en-AU"/>
        </w:rPr>
        <w:t>cancellation fees</w:t>
      </w:r>
      <w:r w:rsidRPr="00386EB7">
        <w:rPr>
          <w:lang w:val="en-AU"/>
        </w:rPr>
        <w:t xml:space="preserve"> set out in paragraph </w:t>
      </w:r>
      <w:r>
        <w:rPr>
          <w:lang w:val="en-AU"/>
        </w:rPr>
        <w:fldChar w:fldCharType="begin"/>
      </w:r>
      <w:r>
        <w:rPr>
          <w:lang w:val="en-AU"/>
        </w:rPr>
        <w:instrText xml:space="preserve"> REF _Ref458718103 \n \h </w:instrText>
      </w:r>
      <w:r>
        <w:rPr>
          <w:lang w:val="en-AU"/>
        </w:rPr>
      </w:r>
      <w:r>
        <w:rPr>
          <w:lang w:val="en-AU"/>
        </w:rPr>
        <w:fldChar w:fldCharType="separate"/>
      </w:r>
      <w:r w:rsidR="0004083A">
        <w:rPr>
          <w:lang w:val="en-AU"/>
        </w:rPr>
        <w:t>(b)</w:t>
      </w:r>
      <w:r>
        <w:rPr>
          <w:lang w:val="en-AU"/>
        </w:rPr>
        <w:fldChar w:fldCharType="end"/>
      </w:r>
      <w:r w:rsidRPr="00386EB7">
        <w:rPr>
          <w:lang w:val="en-AU"/>
        </w:rPr>
        <w:t xml:space="preserve"> below (unless under </w:t>
      </w:r>
      <w:r w:rsidRPr="001A4873">
        <w:rPr>
          <w:lang w:val="en-AU"/>
        </w:rPr>
        <w:t>clause 2A</w:t>
      </w:r>
      <w:r w:rsidRPr="00386EB7">
        <w:rPr>
          <w:lang w:val="en-AU"/>
        </w:rPr>
        <w:t xml:space="preserve"> of the </w:t>
      </w:r>
      <w:r w:rsidRPr="00386EB7">
        <w:rPr>
          <w:i/>
          <w:lang w:val="en-AU"/>
        </w:rPr>
        <w:t>consumer terms</w:t>
      </w:r>
      <w:r w:rsidRPr="00386EB7">
        <w:rPr>
          <w:lang w:val="en-AU"/>
        </w:rPr>
        <w:t xml:space="preserve">, </w:t>
      </w:r>
      <w:r w:rsidRPr="00386EB7">
        <w:rPr>
          <w:i/>
          <w:lang w:val="en-AU"/>
        </w:rPr>
        <w:t>you</w:t>
      </w:r>
      <w:r w:rsidRPr="00386EB7">
        <w:rPr>
          <w:lang w:val="en-AU"/>
        </w:rPr>
        <w:t xml:space="preserve"> are entitled to </w:t>
      </w:r>
      <w:r w:rsidRPr="00386EB7">
        <w:rPr>
          <w:i/>
          <w:lang w:val="en-AU"/>
        </w:rPr>
        <w:t>cancel the service</w:t>
      </w:r>
      <w:r w:rsidRPr="00386EB7">
        <w:rPr>
          <w:lang w:val="en-AU"/>
        </w:rPr>
        <w:t xml:space="preserve"> without incurring a </w:t>
      </w:r>
      <w:r w:rsidRPr="00386EB7">
        <w:rPr>
          <w:i/>
          <w:lang w:val="en-AU"/>
        </w:rPr>
        <w:t>cancellation fee</w:t>
      </w:r>
      <w:r w:rsidRPr="00386EB7">
        <w:rPr>
          <w:lang w:val="en-AU"/>
        </w:rPr>
        <w:t>); plus</w:t>
      </w:r>
    </w:p>
    <w:p w14:paraId="25C6D38D" w14:textId="77777777" w:rsidR="00920231" w:rsidRPr="00386EB7" w:rsidRDefault="00920231" w:rsidP="00920231">
      <w:pPr>
        <w:pStyle w:val="Heading8"/>
        <w:rPr>
          <w:lang w:val="en-AU"/>
        </w:rPr>
      </w:pPr>
      <w:r w:rsidRPr="00386EB7">
        <w:rPr>
          <w:lang w:val="en-AU"/>
        </w:rPr>
        <w:t xml:space="preserve">the sum of unpaid </w:t>
      </w:r>
      <w:r w:rsidRPr="00386EB7">
        <w:rPr>
          <w:i/>
          <w:lang w:val="en-AU"/>
        </w:rPr>
        <w:t xml:space="preserve">equipment charges </w:t>
      </w:r>
      <w:r w:rsidRPr="00386EB7">
        <w:rPr>
          <w:lang w:val="en-AU"/>
        </w:rPr>
        <w:t xml:space="preserve">owing on </w:t>
      </w:r>
      <w:r w:rsidRPr="00386EB7">
        <w:rPr>
          <w:i/>
          <w:lang w:val="en-AU"/>
        </w:rPr>
        <w:t xml:space="preserve">your mobile phone </w:t>
      </w:r>
      <w:r w:rsidRPr="00386EB7">
        <w:rPr>
          <w:lang w:val="en-AU"/>
        </w:rPr>
        <w:t xml:space="preserve">under the </w:t>
      </w:r>
      <w:r w:rsidRPr="00386EB7">
        <w:rPr>
          <w:i/>
          <w:lang w:val="en-AU"/>
        </w:rPr>
        <w:t xml:space="preserve">mobile equipment payment plan </w:t>
      </w:r>
      <w:r w:rsidRPr="00386EB7">
        <w:rPr>
          <w:lang w:val="en-AU"/>
        </w:rPr>
        <w:t xml:space="preserve">(if any). </w:t>
      </w:r>
    </w:p>
    <w:p w14:paraId="57AE8F41" w14:textId="77777777" w:rsidR="00920231" w:rsidRDefault="00920231" w:rsidP="00920231">
      <w:pPr>
        <w:pStyle w:val="Heading7"/>
      </w:pPr>
      <w:r w:rsidRPr="00386EB7">
        <w:t xml:space="preserve">The </w:t>
      </w:r>
      <w:r w:rsidRPr="00386EB7">
        <w:rPr>
          <w:i/>
        </w:rPr>
        <w:t>cancellation fee</w:t>
      </w:r>
      <w:r w:rsidRPr="00386EB7">
        <w:t xml:space="preserve"> is calculated as the following amounts, multiplied by the months remaining on </w:t>
      </w:r>
      <w:r w:rsidRPr="00386EB7">
        <w:rPr>
          <w:i/>
        </w:rPr>
        <w:t>your minimum term</w:t>
      </w:r>
      <w:r w:rsidRPr="00386EB7">
        <w:t>:</w:t>
      </w:r>
    </w:p>
    <w:tbl>
      <w:tblPr>
        <w:tblW w:w="5801"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0"/>
        <w:gridCol w:w="3551"/>
      </w:tblGrid>
      <w:tr w:rsidR="00920231" w14:paraId="12904305" w14:textId="77777777" w:rsidTr="00920231">
        <w:trPr>
          <w:trHeight w:val="668"/>
        </w:trPr>
        <w:tc>
          <w:tcPr>
            <w:tcW w:w="2250" w:type="dxa"/>
            <w:shd w:val="clear" w:color="auto" w:fill="auto"/>
            <w:vAlign w:val="center"/>
          </w:tcPr>
          <w:p w14:paraId="5EBA91F2" w14:textId="77777777" w:rsidR="00920231" w:rsidRPr="00386EB7" w:rsidRDefault="00920231" w:rsidP="00920231">
            <w:pPr>
              <w:pStyle w:val="BodyText"/>
              <w:spacing w:before="100" w:after="100"/>
              <w:jc w:val="center"/>
              <w:rPr>
                <w:b/>
              </w:rPr>
            </w:pPr>
          </w:p>
        </w:tc>
        <w:tc>
          <w:tcPr>
            <w:tcW w:w="3551" w:type="dxa"/>
            <w:vAlign w:val="center"/>
          </w:tcPr>
          <w:p w14:paraId="367DC8E1" w14:textId="77777777" w:rsidR="00920231" w:rsidRPr="00386EB7" w:rsidDel="00844E85" w:rsidRDefault="00920231" w:rsidP="00920231">
            <w:pPr>
              <w:pStyle w:val="BodyText"/>
              <w:spacing w:before="100" w:after="100"/>
              <w:jc w:val="center"/>
              <w:rPr>
                <w:b/>
              </w:rPr>
            </w:pPr>
            <w:r w:rsidRPr="00386EB7">
              <w:rPr>
                <w:b/>
              </w:rPr>
              <w:t>$40 My Plan Business 12M SIM</w:t>
            </w:r>
          </w:p>
        </w:tc>
      </w:tr>
      <w:tr w:rsidR="00920231" w14:paraId="6485750A" w14:textId="77777777" w:rsidTr="00920231">
        <w:trPr>
          <w:trHeight w:val="53"/>
        </w:trPr>
        <w:tc>
          <w:tcPr>
            <w:tcW w:w="2250" w:type="dxa"/>
            <w:shd w:val="clear" w:color="auto" w:fill="auto"/>
            <w:vAlign w:val="center"/>
          </w:tcPr>
          <w:p w14:paraId="4367E424" w14:textId="77777777" w:rsidR="00920231" w:rsidRPr="00386EB7" w:rsidRDefault="00920231" w:rsidP="00920231">
            <w:pPr>
              <w:pStyle w:val="BodyText"/>
              <w:spacing w:before="100" w:after="100"/>
              <w:jc w:val="center"/>
              <w:rPr>
                <w:b/>
              </w:rPr>
            </w:pPr>
            <w:r w:rsidRPr="00386EB7">
              <w:rPr>
                <w:b/>
                <w:bCs/>
                <w:lang w:eastAsia="en-AU"/>
              </w:rPr>
              <w:t>Cancellation Fee</w:t>
            </w:r>
          </w:p>
        </w:tc>
        <w:tc>
          <w:tcPr>
            <w:tcW w:w="3551" w:type="dxa"/>
            <w:vAlign w:val="center"/>
          </w:tcPr>
          <w:p w14:paraId="03A8244E" w14:textId="77777777" w:rsidR="00920231" w:rsidRPr="00311B2E" w:rsidDel="00844E85" w:rsidRDefault="00920231" w:rsidP="00920231">
            <w:pPr>
              <w:pStyle w:val="BodyText"/>
              <w:spacing w:before="100" w:after="100"/>
              <w:jc w:val="center"/>
            </w:pPr>
            <w:r>
              <w:t>$12 x Months remaining</w:t>
            </w:r>
          </w:p>
        </w:tc>
      </w:tr>
      <w:tr w:rsidR="00920231" w14:paraId="18CB7B2A" w14:textId="77777777" w:rsidTr="00920231">
        <w:trPr>
          <w:trHeight w:val="53"/>
        </w:trPr>
        <w:tc>
          <w:tcPr>
            <w:tcW w:w="2250" w:type="dxa"/>
            <w:shd w:val="clear" w:color="auto" w:fill="auto"/>
            <w:vAlign w:val="center"/>
          </w:tcPr>
          <w:p w14:paraId="6EE7DD04" w14:textId="77777777" w:rsidR="00920231" w:rsidRPr="00386EB7" w:rsidRDefault="00920231" w:rsidP="00920231">
            <w:pPr>
              <w:pStyle w:val="BodyText"/>
              <w:spacing w:before="100" w:after="100"/>
              <w:jc w:val="center"/>
              <w:rPr>
                <w:b/>
                <w:bCs/>
                <w:lang w:eastAsia="en-AU"/>
              </w:rPr>
            </w:pPr>
            <w:r w:rsidRPr="00386EB7">
              <w:rPr>
                <w:b/>
                <w:bCs/>
                <w:lang w:eastAsia="en-AU"/>
              </w:rPr>
              <w:t>Maximum Cancellation Fee</w:t>
            </w:r>
          </w:p>
        </w:tc>
        <w:tc>
          <w:tcPr>
            <w:tcW w:w="3551" w:type="dxa"/>
            <w:vAlign w:val="center"/>
          </w:tcPr>
          <w:p w14:paraId="5016E13B" w14:textId="77777777" w:rsidR="00920231" w:rsidRPr="00311B2E" w:rsidDel="00844E85" w:rsidRDefault="00920231" w:rsidP="00920231">
            <w:pPr>
              <w:pStyle w:val="BodyText"/>
              <w:spacing w:before="100" w:after="100"/>
              <w:jc w:val="center"/>
            </w:pPr>
            <w:r>
              <w:t>$144</w:t>
            </w:r>
          </w:p>
        </w:tc>
      </w:tr>
    </w:tbl>
    <w:p w14:paraId="5140AEDB" w14:textId="77777777" w:rsidR="00735147" w:rsidRDefault="00735147" w:rsidP="00E441CA">
      <w:pPr>
        <w:pStyle w:val="BodyText"/>
      </w:pPr>
    </w:p>
    <w:p w14:paraId="3980F508" w14:textId="77777777" w:rsidR="00802AD5" w:rsidRDefault="00802AD5" w:rsidP="00E441CA">
      <w:pPr>
        <w:pStyle w:val="BodyText"/>
      </w:pPr>
    </w:p>
    <w:p w14:paraId="2344F5D8" w14:textId="77777777" w:rsidR="00BA172C" w:rsidRPr="00385E54" w:rsidRDefault="00BA172C" w:rsidP="00BA172C">
      <w:pPr>
        <w:pStyle w:val="Heading4"/>
        <w:rPr>
          <w:lang w:val="en-AU"/>
        </w:rPr>
      </w:pPr>
      <w:bookmarkStart w:id="1732" w:name="_Toc418070729"/>
      <w:bookmarkStart w:id="1733" w:name="_Toc455149908"/>
      <w:bookmarkStart w:id="1734" w:name="_Toc509314736"/>
      <w:bookmarkStart w:id="1735" w:name="_Toc62644695"/>
      <w:r w:rsidRPr="00385E54">
        <w:t>My Plan Business S</w:t>
      </w:r>
      <w:bookmarkEnd w:id="1732"/>
      <w:bookmarkEnd w:id="1733"/>
      <w:r>
        <w:t>IM</w:t>
      </w:r>
      <w:bookmarkEnd w:id="1734"/>
      <w:bookmarkEnd w:id="1735"/>
    </w:p>
    <w:p w14:paraId="27983351" w14:textId="77777777" w:rsidR="00BA172C" w:rsidRDefault="00BA172C" w:rsidP="00BA172C">
      <w:pPr>
        <w:pStyle w:val="BodyText"/>
        <w:ind w:left="720"/>
      </w:pPr>
      <w:r w:rsidRPr="00385E54">
        <w:t xml:space="preserve">This section relates to the following plans. </w:t>
      </w:r>
      <w:r w:rsidRPr="00385E54">
        <w:rPr>
          <w:i/>
        </w:rPr>
        <w:t>You</w:t>
      </w:r>
      <w:r w:rsidRPr="00385E54">
        <w:t xml:space="preserve"> can find </w:t>
      </w:r>
      <w:r w:rsidRPr="00385E54">
        <w:rPr>
          <w:i/>
        </w:rPr>
        <w:t>your</w:t>
      </w:r>
      <w:r w:rsidRPr="00385E54">
        <w:t xml:space="preserve"> Plan ID on </w:t>
      </w:r>
      <w:r w:rsidRPr="00385E54">
        <w:rPr>
          <w:i/>
        </w:rPr>
        <w:t>your</w:t>
      </w:r>
      <w:r w:rsidRPr="00385E54">
        <w:t xml:space="preserve"> bill under the Mobile Number Summary section:</w:t>
      </w:r>
    </w:p>
    <w:tbl>
      <w:tblPr>
        <w:tblW w:w="8523"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4"/>
        <w:gridCol w:w="2634"/>
        <w:gridCol w:w="3255"/>
      </w:tblGrid>
      <w:tr w:rsidR="00BA172C" w:rsidRPr="005310F1" w14:paraId="59C693AC" w14:textId="77777777" w:rsidTr="00E85FA3">
        <w:tc>
          <w:tcPr>
            <w:tcW w:w="2634" w:type="dxa"/>
            <w:shd w:val="clear" w:color="auto" w:fill="auto"/>
            <w:vAlign w:val="center"/>
          </w:tcPr>
          <w:p w14:paraId="14F567B8" w14:textId="77777777" w:rsidR="00BA172C" w:rsidRPr="00C05ACE" w:rsidRDefault="00BA172C" w:rsidP="00B95821">
            <w:pPr>
              <w:pStyle w:val="BodyText"/>
              <w:spacing w:before="100" w:after="100"/>
              <w:jc w:val="center"/>
              <w:rPr>
                <w:b/>
              </w:rPr>
            </w:pPr>
            <w:r w:rsidRPr="00C05ACE">
              <w:rPr>
                <w:b/>
              </w:rPr>
              <w:t>Plan</w:t>
            </w:r>
          </w:p>
        </w:tc>
        <w:tc>
          <w:tcPr>
            <w:tcW w:w="2634" w:type="dxa"/>
            <w:shd w:val="clear" w:color="auto" w:fill="auto"/>
            <w:vAlign w:val="center"/>
          </w:tcPr>
          <w:p w14:paraId="2598C7A6" w14:textId="77777777" w:rsidR="00BA172C" w:rsidRPr="00C05ACE" w:rsidRDefault="00BA172C" w:rsidP="00B95821">
            <w:pPr>
              <w:pStyle w:val="BodyText"/>
              <w:spacing w:before="100" w:after="100"/>
              <w:jc w:val="center"/>
              <w:rPr>
                <w:b/>
              </w:rPr>
            </w:pPr>
            <w:r w:rsidRPr="00C05ACE">
              <w:rPr>
                <w:b/>
              </w:rPr>
              <w:t>Plan ID</w:t>
            </w:r>
          </w:p>
        </w:tc>
        <w:tc>
          <w:tcPr>
            <w:tcW w:w="3255" w:type="dxa"/>
            <w:shd w:val="clear" w:color="auto" w:fill="auto"/>
            <w:vAlign w:val="center"/>
          </w:tcPr>
          <w:p w14:paraId="713001EB" w14:textId="77777777" w:rsidR="00BA172C" w:rsidRPr="00C05ACE" w:rsidRDefault="00BA172C" w:rsidP="00B95821">
            <w:pPr>
              <w:pStyle w:val="BodyText"/>
              <w:spacing w:before="100" w:after="100"/>
              <w:jc w:val="center"/>
              <w:rPr>
                <w:b/>
              </w:rPr>
            </w:pPr>
            <w:r w:rsidRPr="00C05ACE">
              <w:rPr>
                <w:b/>
              </w:rPr>
              <w:t>Available</w:t>
            </w:r>
          </w:p>
        </w:tc>
      </w:tr>
      <w:tr w:rsidR="00BA172C" w:rsidRPr="005310F1" w14:paraId="28DCF790" w14:textId="77777777" w:rsidTr="00E85FA3">
        <w:tc>
          <w:tcPr>
            <w:tcW w:w="2634" w:type="dxa"/>
            <w:shd w:val="clear" w:color="auto" w:fill="auto"/>
            <w:vAlign w:val="center"/>
          </w:tcPr>
          <w:p w14:paraId="321C1EB4" w14:textId="77777777" w:rsidR="00BA172C" w:rsidRPr="00C05ACE" w:rsidRDefault="00BA172C" w:rsidP="00B95821">
            <w:pPr>
              <w:pStyle w:val="BodyText"/>
              <w:spacing w:before="100" w:after="100"/>
              <w:jc w:val="center"/>
            </w:pPr>
            <w:r w:rsidRPr="00C05ACE">
              <w:t>$35 My Plan Business SIM</w:t>
            </w:r>
          </w:p>
        </w:tc>
        <w:tc>
          <w:tcPr>
            <w:tcW w:w="2634" w:type="dxa"/>
            <w:shd w:val="clear" w:color="auto" w:fill="auto"/>
            <w:vAlign w:val="center"/>
          </w:tcPr>
          <w:p w14:paraId="7BD2A479" w14:textId="77777777" w:rsidR="00BA172C" w:rsidRPr="00C05ACE" w:rsidRDefault="00BA172C" w:rsidP="00B95821">
            <w:pPr>
              <w:pStyle w:val="BodyText"/>
              <w:spacing w:before="100" w:after="100"/>
              <w:jc w:val="center"/>
            </w:pPr>
            <w:r>
              <w:t>800426, 9167621</w:t>
            </w:r>
          </w:p>
        </w:tc>
        <w:tc>
          <w:tcPr>
            <w:tcW w:w="3255" w:type="dxa"/>
            <w:shd w:val="clear" w:color="auto" w:fill="auto"/>
            <w:vAlign w:val="center"/>
          </w:tcPr>
          <w:p w14:paraId="5AFCA1ED" w14:textId="77777777" w:rsidR="00BA172C" w:rsidRPr="00C05ACE" w:rsidRDefault="00BA172C" w:rsidP="00B95821">
            <w:pPr>
              <w:pStyle w:val="BodyText"/>
              <w:spacing w:before="100" w:after="100"/>
              <w:jc w:val="center"/>
            </w:pPr>
            <w:r w:rsidRPr="00C05ACE">
              <w:t>4 April 2016</w:t>
            </w:r>
            <w:r w:rsidR="00E85FA3">
              <w:t xml:space="preserve"> – 30 </w:t>
            </w:r>
            <w:r w:rsidR="00343D1D">
              <w:t>June</w:t>
            </w:r>
            <w:r w:rsidR="00E85FA3">
              <w:t xml:space="preserve"> 2018</w:t>
            </w:r>
          </w:p>
        </w:tc>
      </w:tr>
      <w:tr w:rsidR="00BA172C" w:rsidRPr="005310F1" w14:paraId="12BAFB98" w14:textId="77777777" w:rsidTr="00E85FA3">
        <w:tc>
          <w:tcPr>
            <w:tcW w:w="2634" w:type="dxa"/>
            <w:shd w:val="clear" w:color="auto" w:fill="auto"/>
            <w:vAlign w:val="center"/>
          </w:tcPr>
          <w:p w14:paraId="40120975" w14:textId="77777777" w:rsidR="00BA172C" w:rsidRPr="00C05ACE" w:rsidRDefault="00BA172C" w:rsidP="00B95821">
            <w:pPr>
              <w:pStyle w:val="BodyText"/>
              <w:spacing w:before="100" w:after="100"/>
              <w:jc w:val="center"/>
            </w:pPr>
            <w:r w:rsidRPr="00C05ACE">
              <w:t>$50 My Plan Business SIM</w:t>
            </w:r>
          </w:p>
        </w:tc>
        <w:tc>
          <w:tcPr>
            <w:tcW w:w="2634" w:type="dxa"/>
            <w:shd w:val="clear" w:color="auto" w:fill="auto"/>
            <w:vAlign w:val="center"/>
          </w:tcPr>
          <w:p w14:paraId="0F01A58C" w14:textId="77777777" w:rsidR="00BA172C" w:rsidRPr="00C05ACE" w:rsidRDefault="00BA172C" w:rsidP="00B95821">
            <w:pPr>
              <w:pStyle w:val="BodyText"/>
              <w:spacing w:before="100" w:after="100"/>
              <w:jc w:val="center"/>
            </w:pPr>
            <w:r>
              <w:t>800427, 9167631</w:t>
            </w:r>
          </w:p>
        </w:tc>
        <w:tc>
          <w:tcPr>
            <w:tcW w:w="3255" w:type="dxa"/>
            <w:shd w:val="clear" w:color="auto" w:fill="auto"/>
            <w:vAlign w:val="center"/>
          </w:tcPr>
          <w:p w14:paraId="4D38AFBE" w14:textId="77777777" w:rsidR="00BA172C" w:rsidRPr="00C05ACE" w:rsidRDefault="00BA172C" w:rsidP="00B95821">
            <w:pPr>
              <w:pStyle w:val="BodyText"/>
              <w:spacing w:before="100" w:after="100"/>
              <w:jc w:val="center"/>
            </w:pPr>
            <w:r w:rsidRPr="00C05ACE">
              <w:t>4 April 2016</w:t>
            </w:r>
            <w:r w:rsidR="00E85FA3">
              <w:t xml:space="preserve"> – </w:t>
            </w:r>
            <w:r w:rsidR="00343D1D">
              <w:t>30 June 2018</w:t>
            </w:r>
          </w:p>
        </w:tc>
      </w:tr>
      <w:tr w:rsidR="00BA172C" w:rsidRPr="005310F1" w14:paraId="01B9DC23" w14:textId="77777777" w:rsidTr="00E85FA3">
        <w:tc>
          <w:tcPr>
            <w:tcW w:w="2634" w:type="dxa"/>
            <w:shd w:val="clear" w:color="auto" w:fill="auto"/>
            <w:vAlign w:val="center"/>
          </w:tcPr>
          <w:p w14:paraId="2A52BB74" w14:textId="77777777" w:rsidR="00BA172C" w:rsidRPr="00C05ACE" w:rsidRDefault="00BA172C" w:rsidP="00B95821">
            <w:pPr>
              <w:pStyle w:val="BodyText"/>
              <w:spacing w:before="100" w:after="100"/>
              <w:jc w:val="center"/>
            </w:pPr>
            <w:r w:rsidRPr="00C05ACE">
              <w:t>$60 My Plan Business SIM</w:t>
            </w:r>
          </w:p>
        </w:tc>
        <w:tc>
          <w:tcPr>
            <w:tcW w:w="2634" w:type="dxa"/>
            <w:shd w:val="clear" w:color="auto" w:fill="auto"/>
            <w:vAlign w:val="center"/>
          </w:tcPr>
          <w:p w14:paraId="42EE24B0" w14:textId="77777777" w:rsidR="00BA172C" w:rsidRPr="00C05ACE" w:rsidRDefault="00BA172C" w:rsidP="00B95821">
            <w:pPr>
              <w:pStyle w:val="BodyText"/>
              <w:spacing w:before="100" w:after="100"/>
              <w:jc w:val="center"/>
            </w:pPr>
            <w:r>
              <w:t>800428, 9167641</w:t>
            </w:r>
          </w:p>
        </w:tc>
        <w:tc>
          <w:tcPr>
            <w:tcW w:w="3255" w:type="dxa"/>
            <w:shd w:val="clear" w:color="auto" w:fill="auto"/>
            <w:vAlign w:val="center"/>
          </w:tcPr>
          <w:p w14:paraId="45023BB8" w14:textId="77777777" w:rsidR="00BA172C" w:rsidRPr="00C05ACE" w:rsidRDefault="00BA172C" w:rsidP="00B95821">
            <w:pPr>
              <w:pStyle w:val="BodyText"/>
              <w:spacing w:before="100" w:after="100"/>
              <w:jc w:val="center"/>
            </w:pPr>
            <w:r w:rsidRPr="00C05ACE">
              <w:t>4 April 2016</w:t>
            </w:r>
            <w:r w:rsidR="00E85FA3">
              <w:t xml:space="preserve"> – </w:t>
            </w:r>
            <w:r w:rsidR="00343D1D">
              <w:t>30 June 2018</w:t>
            </w:r>
          </w:p>
        </w:tc>
      </w:tr>
    </w:tbl>
    <w:p w14:paraId="523ED978" w14:textId="77777777" w:rsidR="00BA172C" w:rsidRDefault="00BA172C" w:rsidP="00BA172C">
      <w:pPr>
        <w:pStyle w:val="BodyText"/>
      </w:pPr>
    </w:p>
    <w:p w14:paraId="5029B79F" w14:textId="77777777" w:rsidR="00BA172C" w:rsidRPr="00385E54" w:rsidRDefault="00BA172C" w:rsidP="00BA172C">
      <w:pPr>
        <w:pStyle w:val="Heading6"/>
        <w:ind w:left="0" w:firstLine="0"/>
        <w:rPr>
          <w:lang w:val="en-AU"/>
        </w:rPr>
      </w:pPr>
      <w:bookmarkStart w:id="1736" w:name="_Toc455149909"/>
      <w:bookmarkStart w:id="1737" w:name="_Toc509314737"/>
      <w:r w:rsidRPr="00385E54">
        <w:rPr>
          <w:lang w:val="en-AU"/>
        </w:rPr>
        <w:t>Eligibility</w:t>
      </w:r>
      <w:bookmarkEnd w:id="1736"/>
      <w:bookmarkEnd w:id="1737"/>
    </w:p>
    <w:p w14:paraId="6B76363C" w14:textId="77777777" w:rsidR="00BA172C" w:rsidRPr="00385E54" w:rsidRDefault="00BA172C" w:rsidP="00BA172C">
      <w:pPr>
        <w:pStyle w:val="BodyText"/>
        <w:ind w:left="720"/>
        <w:rPr>
          <w:lang w:val="en-AU"/>
        </w:rPr>
      </w:pPr>
      <w:r w:rsidRPr="00385E54">
        <w:rPr>
          <w:lang w:val="en-AU"/>
        </w:rPr>
        <w:t xml:space="preserve">The My Plan Business SIM plans are available to new and existing mobile customers connecting to the </w:t>
      </w:r>
      <w:r w:rsidRPr="00385E54">
        <w:rPr>
          <w:i/>
          <w:lang w:val="en-AU"/>
        </w:rPr>
        <w:t xml:space="preserve">service </w:t>
      </w:r>
      <w:r w:rsidRPr="00385E54">
        <w:rPr>
          <w:lang w:val="en-AU"/>
        </w:rPr>
        <w:t>who pass Optus</w:t>
      </w:r>
      <w:r>
        <w:rPr>
          <w:lang w:val="en-AU"/>
        </w:rPr>
        <w:t>'</w:t>
      </w:r>
      <w:r w:rsidRPr="00385E54">
        <w:rPr>
          <w:lang w:val="en-AU"/>
        </w:rPr>
        <w:t xml:space="preserve"> credit assessment. </w:t>
      </w:r>
    </w:p>
    <w:p w14:paraId="310B9615" w14:textId="77777777" w:rsidR="00BA172C" w:rsidRPr="00385E54" w:rsidRDefault="00BA172C" w:rsidP="00BA172C">
      <w:pPr>
        <w:pStyle w:val="BodyText"/>
        <w:ind w:left="720"/>
        <w:rPr>
          <w:lang w:val="en-AU"/>
        </w:rPr>
      </w:pPr>
      <w:r w:rsidRPr="00385E54">
        <w:rPr>
          <w:lang w:val="en-AU"/>
        </w:rPr>
        <w:t>Optus Service Providers</w:t>
      </w:r>
      <w:r>
        <w:rPr>
          <w:lang w:val="en-AU"/>
        </w:rPr>
        <w:t>'</w:t>
      </w:r>
      <w:r w:rsidRPr="00385E54">
        <w:rPr>
          <w:lang w:val="en-AU"/>
        </w:rPr>
        <w:t xml:space="preserve"> customers are not eligible to apply.</w:t>
      </w:r>
    </w:p>
    <w:p w14:paraId="248967E4" w14:textId="77777777" w:rsidR="00BA172C" w:rsidRPr="00385E54" w:rsidRDefault="00BA172C" w:rsidP="00BA172C">
      <w:pPr>
        <w:pStyle w:val="BodyText"/>
        <w:ind w:left="720"/>
        <w:rPr>
          <w:lang w:val="en-AU"/>
        </w:rPr>
      </w:pPr>
      <w:r w:rsidRPr="00385E54">
        <w:rPr>
          <w:lang w:val="en-AU"/>
        </w:rPr>
        <w:t xml:space="preserve">These </w:t>
      </w:r>
      <w:r w:rsidRPr="00385E54">
        <w:rPr>
          <w:i/>
          <w:lang w:val="en-AU"/>
        </w:rPr>
        <w:t>plans</w:t>
      </w:r>
      <w:r w:rsidRPr="00385E54">
        <w:rPr>
          <w:lang w:val="en-AU"/>
        </w:rPr>
        <w:t xml:space="preserve"> aren</w:t>
      </w:r>
      <w:r>
        <w:rPr>
          <w:lang w:val="en-AU"/>
        </w:rPr>
        <w:t>'</w:t>
      </w:r>
      <w:r w:rsidRPr="00385E54">
        <w:rPr>
          <w:lang w:val="en-AU"/>
        </w:rPr>
        <w:t>t compatible for data use with BlackBerry handsets on operating systems of 7.1 or earlier.</w:t>
      </w:r>
    </w:p>
    <w:p w14:paraId="46635B83" w14:textId="77777777" w:rsidR="00BA172C" w:rsidRPr="00CD3F2D" w:rsidRDefault="00BA172C" w:rsidP="00BA172C">
      <w:pPr>
        <w:pStyle w:val="Heading6"/>
        <w:ind w:left="0" w:firstLine="0"/>
        <w:rPr>
          <w:lang w:val="en-AU"/>
        </w:rPr>
      </w:pPr>
      <w:bookmarkStart w:id="1738" w:name="_Toc455149910"/>
      <w:bookmarkStart w:id="1739" w:name="_Toc509314738"/>
      <w:r w:rsidRPr="00CD3F2D">
        <w:rPr>
          <w:lang w:val="en-AU"/>
        </w:rPr>
        <w:t>Minimum Term</w:t>
      </w:r>
      <w:bookmarkEnd w:id="1738"/>
      <w:bookmarkEnd w:id="1739"/>
    </w:p>
    <w:p w14:paraId="6CBA8794" w14:textId="77777777" w:rsidR="00BA172C" w:rsidRPr="00385E54" w:rsidRDefault="00BA172C" w:rsidP="00BA172C">
      <w:pPr>
        <w:pStyle w:val="BodyText"/>
        <w:ind w:firstLine="720"/>
        <w:rPr>
          <w:lang w:val="en-AU"/>
        </w:rPr>
      </w:pPr>
      <w:r w:rsidRPr="00385E54">
        <w:rPr>
          <w:lang w:val="en-AU"/>
        </w:rPr>
        <w:t xml:space="preserve">These plans are month to month plans on a </w:t>
      </w:r>
      <w:r w:rsidRPr="00385E54">
        <w:rPr>
          <w:i/>
          <w:lang w:val="en-AU"/>
        </w:rPr>
        <w:t>non-fixed length agreement.</w:t>
      </w:r>
    </w:p>
    <w:p w14:paraId="4AF0348C" w14:textId="77777777" w:rsidR="00BA172C" w:rsidRPr="00CD3F2D" w:rsidRDefault="00BA172C" w:rsidP="00BA172C">
      <w:pPr>
        <w:pStyle w:val="Heading6"/>
        <w:keepNext/>
        <w:ind w:left="0" w:firstLine="0"/>
        <w:rPr>
          <w:lang w:val="en-AU"/>
        </w:rPr>
      </w:pPr>
      <w:bookmarkStart w:id="1740" w:name="_Toc455149911"/>
      <w:bookmarkStart w:id="1741" w:name="_Toc509314739"/>
      <w:r w:rsidRPr="00CD3F2D">
        <w:rPr>
          <w:lang w:val="en-AU"/>
        </w:rPr>
        <w:t>What you have to pay us</w:t>
      </w:r>
      <w:bookmarkEnd w:id="1740"/>
      <w:bookmarkEnd w:id="1741"/>
    </w:p>
    <w:p w14:paraId="7C1CBB64" w14:textId="77777777" w:rsidR="00BA172C" w:rsidRPr="00385E54" w:rsidRDefault="00BA172C" w:rsidP="00BA172C">
      <w:pPr>
        <w:pStyle w:val="Heading7"/>
        <w:rPr>
          <w:lang w:val="en-AU"/>
        </w:rPr>
      </w:pPr>
      <w:r w:rsidRPr="00385E54">
        <w:rPr>
          <w:i/>
          <w:lang w:val="en-AU"/>
        </w:rPr>
        <w:t>You</w:t>
      </w:r>
      <w:r w:rsidRPr="00385E54">
        <w:rPr>
          <w:lang w:val="en-AU"/>
        </w:rPr>
        <w:t xml:space="preserve"> must pay </w:t>
      </w:r>
      <w:r w:rsidRPr="00385E54">
        <w:rPr>
          <w:i/>
          <w:lang w:val="en-AU"/>
        </w:rPr>
        <w:t>us</w:t>
      </w:r>
      <w:r w:rsidRPr="00385E54">
        <w:rPr>
          <w:lang w:val="en-AU"/>
        </w:rPr>
        <w:t xml:space="preserve"> for use of the </w:t>
      </w:r>
      <w:r w:rsidRPr="00385E54">
        <w:rPr>
          <w:i/>
          <w:lang w:val="en-AU"/>
        </w:rPr>
        <w:t>service</w:t>
      </w:r>
      <w:r w:rsidRPr="00385E54">
        <w:rPr>
          <w:lang w:val="en-AU"/>
        </w:rPr>
        <w:t xml:space="preserve"> at the rates set out in Section 1 of this </w:t>
      </w:r>
      <w:r w:rsidRPr="00385E54">
        <w:rPr>
          <w:i/>
          <w:lang w:val="en-AU"/>
        </w:rPr>
        <w:t>standard pricing table</w:t>
      </w:r>
      <w:r w:rsidRPr="00385E54">
        <w:rPr>
          <w:lang w:val="en-AU"/>
        </w:rPr>
        <w:t xml:space="preserve"> and for value added service features at the rates set out in </w:t>
      </w:r>
      <w:hyperlink r:id="rId761" w:history="1">
        <w:r w:rsidRPr="00FA17BC">
          <w:rPr>
            <w:rStyle w:val="Hyperlink"/>
            <w:i/>
            <w:lang w:val="en-AU"/>
          </w:rPr>
          <w:t>Appendix Y Value Added Service Features</w:t>
        </w:r>
      </w:hyperlink>
      <w:r w:rsidRPr="00FA17BC">
        <w:rPr>
          <w:lang w:val="en-AU"/>
        </w:rPr>
        <w:t>.</w:t>
      </w:r>
    </w:p>
    <w:p w14:paraId="754DF80A" w14:textId="77777777" w:rsidR="00BA172C" w:rsidRPr="00385E54" w:rsidRDefault="00BA172C" w:rsidP="00BA172C">
      <w:pPr>
        <w:pStyle w:val="Heading7"/>
        <w:rPr>
          <w:lang w:val="en-AU"/>
        </w:rPr>
      </w:pPr>
      <w:r w:rsidRPr="00385E54">
        <w:rPr>
          <w:lang w:val="en-AU"/>
        </w:rPr>
        <w:t>If there is a flagfall for a particular call type, the charge for these calls is the flagfall amount plus the relevant rate for the call multiplied by the duration of the call.</w:t>
      </w:r>
    </w:p>
    <w:p w14:paraId="4B319CA1" w14:textId="77777777" w:rsidR="00BA172C" w:rsidRPr="002663BF" w:rsidRDefault="00BA172C" w:rsidP="00BA172C">
      <w:pPr>
        <w:pStyle w:val="Heading7"/>
        <w:rPr>
          <w:b/>
          <w:lang w:val="en-AU"/>
        </w:rPr>
      </w:pPr>
      <w:r w:rsidRPr="002663BF">
        <w:rPr>
          <w:b/>
          <w:lang w:val="en-AU"/>
        </w:rPr>
        <w:t xml:space="preserve">Minimum Monthly Charge </w:t>
      </w:r>
    </w:p>
    <w:p w14:paraId="4952B636" w14:textId="77777777" w:rsidR="00BA172C" w:rsidRPr="00385E54" w:rsidRDefault="00BA172C" w:rsidP="00BA172C">
      <w:pPr>
        <w:pStyle w:val="Heading8"/>
        <w:rPr>
          <w:lang w:val="en-AU"/>
        </w:rPr>
      </w:pPr>
      <w:r w:rsidRPr="00385E54">
        <w:rPr>
          <w:lang w:val="en-AU"/>
        </w:rPr>
        <w:t xml:space="preserve">Each My Plan Business SIM has a Minimum Monthly Charge amount that </w:t>
      </w:r>
      <w:r w:rsidRPr="00385E54">
        <w:rPr>
          <w:i/>
          <w:lang w:val="en-AU"/>
        </w:rPr>
        <w:t>you</w:t>
      </w:r>
      <w:r w:rsidRPr="00385E54">
        <w:rPr>
          <w:lang w:val="en-AU"/>
        </w:rPr>
        <w:t xml:space="preserve"> must pay </w:t>
      </w:r>
      <w:r w:rsidRPr="00385E54">
        <w:rPr>
          <w:i/>
          <w:lang w:val="en-AU"/>
        </w:rPr>
        <w:t>us</w:t>
      </w:r>
      <w:r w:rsidRPr="00385E54">
        <w:rPr>
          <w:lang w:val="en-AU"/>
        </w:rPr>
        <w:t xml:space="preserve"> each mont</w:t>
      </w:r>
      <w:r>
        <w:rPr>
          <w:lang w:val="en-AU"/>
        </w:rPr>
        <w:t>h as set out in Table 1 below.</w:t>
      </w:r>
    </w:p>
    <w:p w14:paraId="05251AC6" w14:textId="77777777" w:rsidR="00BA172C" w:rsidRPr="00385E54" w:rsidRDefault="00BA172C" w:rsidP="00BA172C">
      <w:pPr>
        <w:pStyle w:val="Heading8"/>
        <w:rPr>
          <w:lang w:val="en-AU"/>
        </w:rPr>
      </w:pPr>
      <w:r w:rsidRPr="00385E54">
        <w:rPr>
          <w:i/>
          <w:lang w:val="en-AU"/>
        </w:rPr>
        <w:t>You</w:t>
      </w:r>
      <w:r w:rsidRPr="00385E54">
        <w:rPr>
          <w:lang w:val="en-AU"/>
        </w:rPr>
        <w:t xml:space="preserve"> may purchase a mobile phone (or </w:t>
      </w:r>
      <w:r>
        <w:rPr>
          <w:lang w:val="en-AU"/>
        </w:rPr>
        <w:t>'</w:t>
      </w:r>
      <w:r w:rsidRPr="00385E54">
        <w:rPr>
          <w:lang w:val="en-AU"/>
        </w:rPr>
        <w:t>handset</w:t>
      </w:r>
      <w:r>
        <w:rPr>
          <w:lang w:val="en-AU"/>
        </w:rPr>
        <w:t>'</w:t>
      </w:r>
      <w:r w:rsidRPr="00385E54">
        <w:rPr>
          <w:lang w:val="en-AU"/>
        </w:rPr>
        <w:t xml:space="preserve">) with a 1 month or 24 month </w:t>
      </w:r>
      <w:r w:rsidRPr="00385E54">
        <w:rPr>
          <w:i/>
          <w:lang w:val="en-AU"/>
        </w:rPr>
        <w:t>equipment term</w:t>
      </w:r>
      <w:r w:rsidRPr="00385E54">
        <w:rPr>
          <w:lang w:val="en-AU"/>
        </w:rPr>
        <w:t xml:space="preserve"> under a </w:t>
      </w:r>
      <w:r w:rsidRPr="00385E54">
        <w:rPr>
          <w:i/>
          <w:lang w:val="en-AU"/>
        </w:rPr>
        <w:t>mobile equipment payment plan</w:t>
      </w:r>
      <w:r w:rsidRPr="00385E54">
        <w:rPr>
          <w:lang w:val="en-AU"/>
        </w:rPr>
        <w:t xml:space="preserve"> (set out in </w:t>
      </w:r>
      <w:hyperlink r:id="rId762" w:history="1">
        <w:r w:rsidRPr="0007664B">
          <w:rPr>
            <w:rStyle w:val="Hyperlink"/>
            <w:i/>
            <w:lang w:val="en-AU"/>
          </w:rPr>
          <w:t>Appendix D</w:t>
        </w:r>
      </w:hyperlink>
      <w:r>
        <w:rPr>
          <w:lang w:val="en-AU"/>
        </w:rPr>
        <w:t>).</w:t>
      </w:r>
    </w:p>
    <w:p w14:paraId="7B80D9A5" w14:textId="77777777" w:rsidR="00BA172C" w:rsidRPr="00CD3F2D" w:rsidRDefault="00BA172C" w:rsidP="00BA172C">
      <w:pPr>
        <w:pStyle w:val="Heading6"/>
        <w:ind w:left="0" w:firstLine="0"/>
        <w:rPr>
          <w:lang w:val="en-AU"/>
        </w:rPr>
      </w:pPr>
      <w:bookmarkStart w:id="1742" w:name="_Toc455149912"/>
      <w:bookmarkStart w:id="1743" w:name="_Toc509314740"/>
      <w:r w:rsidRPr="00CD3F2D">
        <w:rPr>
          <w:lang w:val="en-AU"/>
        </w:rPr>
        <w:t>How My Plan Business SIM works</w:t>
      </w:r>
      <w:bookmarkEnd w:id="1742"/>
      <w:bookmarkEnd w:id="1743"/>
    </w:p>
    <w:p w14:paraId="192A863B" w14:textId="77777777" w:rsidR="00BA172C" w:rsidRPr="00385E54" w:rsidRDefault="00BA172C" w:rsidP="00BA172C">
      <w:pPr>
        <w:pStyle w:val="Heading7"/>
        <w:rPr>
          <w:lang w:val="en-AU"/>
        </w:rPr>
      </w:pPr>
      <w:r w:rsidRPr="00385E54">
        <w:rPr>
          <w:lang w:val="en-AU"/>
        </w:rPr>
        <w:t xml:space="preserve">Each My Plan Business SIM has unlimited minutes to use on standard national calls to landlines and mobiles, 13/1300 numbers and voicemail retrievals and an amount of Included Data (for mobile internet use) to share with other services on a My Plan Plus, My Plan Plus SIM Only, My </w:t>
      </w:r>
      <w:r w:rsidRPr="00385E54">
        <w:rPr>
          <w:lang w:val="en-AU"/>
        </w:rPr>
        <w:lastRenderedPageBreak/>
        <w:t xml:space="preserve">Plan Business (including Tech Fund), My Plan Business SIM, My Mobile Broadband Plus, Mobile Broadband Business or Shared Data Plan on the same account. </w:t>
      </w:r>
    </w:p>
    <w:p w14:paraId="0F6C3F82" w14:textId="77777777" w:rsidR="00BA172C" w:rsidRPr="00385E54" w:rsidRDefault="00BA172C" w:rsidP="00BA172C">
      <w:pPr>
        <w:pStyle w:val="Heading7"/>
        <w:rPr>
          <w:lang w:val="en-AU"/>
        </w:rPr>
      </w:pPr>
      <w:r w:rsidRPr="00385E54">
        <w:rPr>
          <w:lang w:val="en-AU"/>
        </w:rPr>
        <w:t>These plans also include unlimited standard national SMS/MMS and unlimited standard International SMS/MMS to selected countries. The $50/$60 plans have an amount of included international minutes to use on standard international calls to selected countries.</w:t>
      </w:r>
    </w:p>
    <w:p w14:paraId="46CD08F0" w14:textId="77777777" w:rsidR="00BA172C" w:rsidRPr="00385E54" w:rsidRDefault="00BA172C" w:rsidP="00BA172C">
      <w:pPr>
        <w:pStyle w:val="Heading7"/>
        <w:rPr>
          <w:lang w:val="en-AU"/>
        </w:rPr>
      </w:pPr>
      <w:r w:rsidRPr="00385E54">
        <w:rPr>
          <w:lang w:val="en-AU"/>
        </w:rPr>
        <w:t>Data usage is calculated in one kilobyte increments. Plans that don</w:t>
      </w:r>
      <w:r>
        <w:rPr>
          <w:lang w:val="en-AU"/>
        </w:rPr>
        <w:t>'</w:t>
      </w:r>
      <w:r w:rsidRPr="00385E54">
        <w:rPr>
          <w:lang w:val="en-AU"/>
        </w:rPr>
        <w:t>t have unlimited minutes calculate usage in one minute increments. International minutes are billed in one minute increments.</w:t>
      </w:r>
    </w:p>
    <w:p w14:paraId="42DCA732" w14:textId="77777777" w:rsidR="00BA172C" w:rsidRPr="00385E54" w:rsidRDefault="00BA172C" w:rsidP="00BA172C">
      <w:pPr>
        <w:pStyle w:val="Heading7"/>
        <w:rPr>
          <w:lang w:val="en-AU"/>
        </w:rPr>
      </w:pPr>
      <w:r w:rsidRPr="00385E54">
        <w:rPr>
          <w:lang w:val="en-AU"/>
        </w:rPr>
        <w:t xml:space="preserve">If </w:t>
      </w:r>
      <w:r w:rsidRPr="00385E54">
        <w:rPr>
          <w:i/>
          <w:lang w:val="en-AU"/>
        </w:rPr>
        <w:t>you</w:t>
      </w:r>
      <w:r w:rsidRPr="00385E54">
        <w:rPr>
          <w:lang w:val="en-AU"/>
        </w:rPr>
        <w:t xml:space="preserve"> exceed your included shareable data you</w:t>
      </w:r>
      <w:r>
        <w:rPr>
          <w:lang w:val="en-AU"/>
        </w:rPr>
        <w:t>'</w:t>
      </w:r>
      <w:r w:rsidRPr="00385E54">
        <w:rPr>
          <w:lang w:val="en-AU"/>
        </w:rPr>
        <w:t>ll automatically be charged $10 for each additional 1GB of data (</w:t>
      </w:r>
      <w:r>
        <w:rPr>
          <w:lang w:val="en-AU"/>
        </w:rPr>
        <w:t>"</w:t>
      </w:r>
      <w:r w:rsidRPr="00385E54">
        <w:rPr>
          <w:lang w:val="en-AU"/>
        </w:rPr>
        <w:t>Additional Data</w:t>
      </w:r>
      <w:r>
        <w:rPr>
          <w:lang w:val="en-AU"/>
        </w:rPr>
        <w:t>"</w:t>
      </w:r>
      <w:r w:rsidRPr="00385E54">
        <w:rPr>
          <w:lang w:val="en-AU"/>
        </w:rPr>
        <w:t>) that you use (or part thereof). You can use up to 150GB of extra data per account each month. Your service/s may then be restricted or we may continue to charge you at these rates.</w:t>
      </w:r>
      <w:r>
        <w:rPr>
          <w:lang w:val="en-AU"/>
        </w:rPr>
        <w:t xml:space="preserve"> </w:t>
      </w:r>
    </w:p>
    <w:p w14:paraId="2606F1FF" w14:textId="77777777" w:rsidR="00BA172C" w:rsidRPr="00385E54" w:rsidRDefault="00BA172C" w:rsidP="00BA172C">
      <w:pPr>
        <w:pStyle w:val="Heading7"/>
        <w:rPr>
          <w:lang w:val="en-AU"/>
        </w:rPr>
      </w:pPr>
      <w:r w:rsidRPr="00385E54">
        <w:rPr>
          <w:lang w:val="en-AU"/>
        </w:rPr>
        <w:t xml:space="preserve">Any unused portion of </w:t>
      </w:r>
      <w:r w:rsidRPr="00385E54">
        <w:rPr>
          <w:i/>
          <w:lang w:val="en-AU"/>
        </w:rPr>
        <w:t>your</w:t>
      </w:r>
      <w:r w:rsidRPr="00385E54">
        <w:rPr>
          <w:lang w:val="en-AU"/>
        </w:rPr>
        <w:t xml:space="preserve"> </w:t>
      </w:r>
      <w:r w:rsidRPr="00385E54">
        <w:rPr>
          <w:i/>
          <w:lang w:val="en-AU"/>
        </w:rPr>
        <w:t>plan</w:t>
      </w:r>
      <w:r>
        <w:rPr>
          <w:i/>
          <w:lang w:val="en-AU"/>
        </w:rPr>
        <w:t>'</w:t>
      </w:r>
      <w:r w:rsidRPr="00385E54">
        <w:rPr>
          <w:i/>
          <w:lang w:val="en-AU"/>
        </w:rPr>
        <w:t>s</w:t>
      </w:r>
      <w:r w:rsidRPr="00385E54">
        <w:rPr>
          <w:lang w:val="en-AU"/>
        </w:rPr>
        <w:t xml:space="preserve"> Included Minutes, Included or Additional Data or International Minutes expires at the end of each month and does not roll over into the next month.</w:t>
      </w:r>
    </w:p>
    <w:p w14:paraId="737E8C64" w14:textId="77777777" w:rsidR="00BA172C" w:rsidRPr="00385E54" w:rsidRDefault="00BA172C" w:rsidP="00BA172C">
      <w:pPr>
        <w:pStyle w:val="Heading7"/>
        <w:rPr>
          <w:b/>
          <w:lang w:val="en-AU"/>
        </w:rPr>
      </w:pPr>
      <w:r w:rsidRPr="00385E54">
        <w:rPr>
          <w:i/>
          <w:lang w:val="en-AU"/>
        </w:rPr>
        <w:t>You</w:t>
      </w:r>
      <w:r w:rsidRPr="00385E54">
        <w:rPr>
          <w:lang w:val="en-AU"/>
        </w:rPr>
        <w:t xml:space="preserve"> must pay </w:t>
      </w:r>
      <w:r w:rsidRPr="00385E54">
        <w:rPr>
          <w:i/>
          <w:lang w:val="en-AU"/>
        </w:rPr>
        <w:t>us</w:t>
      </w:r>
      <w:r w:rsidRPr="00385E54">
        <w:rPr>
          <w:lang w:val="en-AU"/>
        </w:rPr>
        <w:t xml:space="preserve"> for use of any services that are not included in </w:t>
      </w:r>
      <w:r w:rsidRPr="00385E54">
        <w:rPr>
          <w:i/>
          <w:lang w:val="en-AU"/>
        </w:rPr>
        <w:t>your</w:t>
      </w:r>
      <w:r w:rsidRPr="00385E54">
        <w:rPr>
          <w:lang w:val="en-AU"/>
        </w:rPr>
        <w:t xml:space="preserve"> plan</w:t>
      </w:r>
      <w:r>
        <w:rPr>
          <w:lang w:val="en-AU"/>
        </w:rPr>
        <w:t>'</w:t>
      </w:r>
      <w:r w:rsidRPr="00385E54">
        <w:rPr>
          <w:lang w:val="en-AU"/>
        </w:rPr>
        <w:t>s inclusions, examples of which are set out in Table 2 below.</w:t>
      </w:r>
    </w:p>
    <w:p w14:paraId="58DCC07A" w14:textId="77777777" w:rsidR="00BA172C" w:rsidRPr="00CD3F2D" w:rsidRDefault="00BA172C" w:rsidP="00BA172C">
      <w:pPr>
        <w:pStyle w:val="Heading6"/>
        <w:ind w:left="0" w:firstLine="0"/>
        <w:rPr>
          <w:lang w:val="en-AU"/>
        </w:rPr>
      </w:pPr>
      <w:bookmarkStart w:id="1744" w:name="_Toc455149913"/>
      <w:bookmarkStart w:id="1745" w:name="_Toc509314741"/>
      <w:r w:rsidRPr="00CD3F2D">
        <w:rPr>
          <w:lang w:val="en-AU"/>
        </w:rPr>
        <w:t>Data Sharing</w:t>
      </w:r>
      <w:bookmarkEnd w:id="1744"/>
      <w:bookmarkEnd w:id="1745"/>
    </w:p>
    <w:p w14:paraId="27D0F4BE" w14:textId="77777777" w:rsidR="00BA172C" w:rsidRPr="00385E54" w:rsidRDefault="00BA172C" w:rsidP="00BA172C">
      <w:pPr>
        <w:pStyle w:val="Heading7"/>
        <w:rPr>
          <w:lang w:val="en-AU"/>
        </w:rPr>
      </w:pPr>
      <w:r w:rsidRPr="00385E54">
        <w:rPr>
          <w:lang w:val="en-AU"/>
        </w:rPr>
        <w:t>If you have more than one My Plan Plus, My Plan Plus SIM Only, My Plan Business (including Tech Fund), My Plan Business SIM, My Mobile Broadband Plus or Mobile Broadband Business on the same billing account, the included data will combine into one data pool, which will be shared by all eligible services on that account.</w:t>
      </w:r>
    </w:p>
    <w:p w14:paraId="1649F07F" w14:textId="77777777" w:rsidR="00BA172C" w:rsidRPr="00385E54" w:rsidRDefault="00BA172C" w:rsidP="00BA172C">
      <w:pPr>
        <w:pStyle w:val="Heading7"/>
        <w:rPr>
          <w:lang w:val="en-AU"/>
        </w:rPr>
      </w:pPr>
      <w:r w:rsidRPr="00385E54">
        <w:rPr>
          <w:lang w:val="en-AU"/>
        </w:rPr>
        <w:t xml:space="preserve">If </w:t>
      </w:r>
      <w:r w:rsidRPr="00385E54">
        <w:rPr>
          <w:i/>
          <w:lang w:val="en-AU"/>
        </w:rPr>
        <w:t>you</w:t>
      </w:r>
      <w:r w:rsidRPr="00385E54">
        <w:rPr>
          <w:lang w:val="en-AU"/>
        </w:rPr>
        <w:t xml:space="preserve"> do not want </w:t>
      </w:r>
      <w:r w:rsidRPr="00385E54">
        <w:rPr>
          <w:i/>
          <w:lang w:val="en-AU"/>
        </w:rPr>
        <w:t>your</w:t>
      </w:r>
      <w:r w:rsidRPr="00385E54">
        <w:rPr>
          <w:lang w:val="en-AU"/>
        </w:rPr>
        <w:t xml:space="preserve"> services on any My Plan Plus, My Plan Plus SIM Only, My Plan Business (including Tech Fund), My Plan Business SIM, My Mobile Broadband Plus or Mobile Broadband Business plans to share data, they need to be on separate billing accounts. </w:t>
      </w:r>
    </w:p>
    <w:p w14:paraId="2D9BF8F3" w14:textId="77777777" w:rsidR="00BA172C" w:rsidRPr="00385E54" w:rsidRDefault="00BA172C" w:rsidP="00BA172C">
      <w:pPr>
        <w:pStyle w:val="Heading7"/>
        <w:rPr>
          <w:lang w:val="en-AU"/>
        </w:rPr>
      </w:pPr>
      <w:r w:rsidRPr="00385E54">
        <w:rPr>
          <w:lang w:val="en-AU"/>
        </w:rPr>
        <w:t>Data sharing is only available within Australia.</w:t>
      </w:r>
    </w:p>
    <w:p w14:paraId="53AA60B0" w14:textId="77777777" w:rsidR="00BA172C" w:rsidRPr="00CD3F2D" w:rsidRDefault="00BA172C" w:rsidP="00BA172C">
      <w:pPr>
        <w:pStyle w:val="Heading6"/>
        <w:ind w:left="0" w:firstLine="0"/>
        <w:rPr>
          <w:lang w:val="en-AU"/>
        </w:rPr>
      </w:pPr>
      <w:bookmarkStart w:id="1746" w:name="_Toc455149914"/>
      <w:bookmarkStart w:id="1747" w:name="_Toc509314742"/>
      <w:r w:rsidRPr="00CD3F2D">
        <w:rPr>
          <w:lang w:val="en-AU"/>
        </w:rPr>
        <w:t>International Minutes</w:t>
      </w:r>
      <w:bookmarkEnd w:id="1746"/>
      <w:bookmarkEnd w:id="1747"/>
    </w:p>
    <w:p w14:paraId="4A4C14AE" w14:textId="77777777" w:rsidR="00BA172C" w:rsidRPr="00385E54" w:rsidRDefault="00BA172C" w:rsidP="00BA172C">
      <w:pPr>
        <w:pStyle w:val="BodyText"/>
        <w:ind w:left="720"/>
        <w:rPr>
          <w:lang w:val="en-AU"/>
        </w:rPr>
      </w:pPr>
      <w:r w:rsidRPr="00385E54">
        <w:rPr>
          <w:lang w:val="en-AU"/>
        </w:rPr>
        <w:t>The</w:t>
      </w:r>
      <w:r>
        <w:rPr>
          <w:lang w:val="en-AU"/>
        </w:rPr>
        <w:t xml:space="preserve"> </w:t>
      </w:r>
      <w:r w:rsidRPr="00385E54">
        <w:rPr>
          <w:lang w:val="en-AU"/>
        </w:rPr>
        <w:t>$50/$60 My Plan Business SIM includes up to 300/500 international minutes (respectively) for standard calls to mobiles and fixed lines in selected countries. For a list of selected countries see Table 3 below.</w:t>
      </w:r>
    </w:p>
    <w:p w14:paraId="63C241C2" w14:textId="77777777" w:rsidR="00BA172C" w:rsidRPr="00385E54" w:rsidRDefault="00BA172C" w:rsidP="00BA172C">
      <w:pPr>
        <w:pStyle w:val="BodyText"/>
        <w:ind w:left="720"/>
        <w:rPr>
          <w:lang w:val="en-AU"/>
        </w:rPr>
      </w:pPr>
      <w:r w:rsidRPr="00385E54">
        <w:rPr>
          <w:lang w:val="en-AU"/>
        </w:rPr>
        <w:t xml:space="preserve">Calls are charged per minute. When included minutes for calls to selected countries are used up, standard </w:t>
      </w:r>
      <w:r>
        <w:rPr>
          <w:lang w:val="en-AU"/>
        </w:rPr>
        <w:t>'</w:t>
      </w:r>
      <w:r w:rsidRPr="00385E54">
        <w:rPr>
          <w:lang w:val="en-AU"/>
        </w:rPr>
        <w:t>yes</w:t>
      </w:r>
      <w:r>
        <w:rPr>
          <w:lang w:val="en-AU"/>
        </w:rPr>
        <w:t>'</w:t>
      </w:r>
      <w:r w:rsidRPr="00385E54">
        <w:rPr>
          <w:lang w:val="en-AU"/>
        </w:rPr>
        <w:t xml:space="preserve"> international call charges apply. </w:t>
      </w:r>
    </w:p>
    <w:p w14:paraId="2E61948E" w14:textId="77777777" w:rsidR="00BA172C" w:rsidRPr="00385E54" w:rsidRDefault="00BA172C" w:rsidP="00BA172C">
      <w:pPr>
        <w:pStyle w:val="BodyText"/>
        <w:ind w:left="720"/>
        <w:rPr>
          <w:lang w:val="en-AU"/>
        </w:rPr>
      </w:pPr>
      <w:r w:rsidRPr="00385E54">
        <w:rPr>
          <w:lang w:val="en-AU"/>
        </w:rPr>
        <w:t xml:space="preserve">Standard international calls to selected countries are subject to </w:t>
      </w:r>
      <w:hyperlink r:id="rId763" w:history="1">
        <w:r w:rsidRPr="00385E54">
          <w:rPr>
            <w:rStyle w:val="Hyperlink"/>
            <w:i/>
            <w:lang w:val="en-AU"/>
          </w:rPr>
          <w:t>Fair Go Policy</w:t>
        </w:r>
      </w:hyperlink>
      <w:r w:rsidRPr="00385E54">
        <w:rPr>
          <w:lang w:val="en-AU"/>
        </w:rPr>
        <w:t xml:space="preserve">. For further details refer to </w:t>
      </w:r>
      <w:hyperlink r:id="rId764" w:history="1">
        <w:r w:rsidRPr="00365735">
          <w:rPr>
            <w:rStyle w:val="Hyperlink"/>
            <w:i/>
            <w:lang w:val="en-AU"/>
          </w:rPr>
          <w:t>Appendix S</w:t>
        </w:r>
        <w:r w:rsidRPr="00092720">
          <w:rPr>
            <w:rStyle w:val="Hyperlink"/>
            <w:lang w:val="en-AU"/>
          </w:rPr>
          <w:t>.</w:t>
        </w:r>
      </w:hyperlink>
    </w:p>
    <w:p w14:paraId="708CE6B2" w14:textId="77777777" w:rsidR="00BA172C" w:rsidRPr="00CD3F2D" w:rsidRDefault="00BA172C" w:rsidP="00BA172C">
      <w:pPr>
        <w:pStyle w:val="Heading6"/>
        <w:keepNext/>
        <w:ind w:left="0" w:firstLine="0"/>
        <w:rPr>
          <w:lang w:val="en-AU"/>
        </w:rPr>
      </w:pPr>
      <w:bookmarkStart w:id="1748" w:name="_Toc455149915"/>
      <w:bookmarkStart w:id="1749" w:name="_Toc509314743"/>
      <w:r w:rsidRPr="00CD3F2D">
        <w:rPr>
          <w:lang w:val="en-AU"/>
        </w:rPr>
        <w:t>Unlimited standard national SMS and MMS</w:t>
      </w:r>
      <w:bookmarkEnd w:id="1748"/>
      <w:bookmarkEnd w:id="1749"/>
    </w:p>
    <w:p w14:paraId="687B3612" w14:textId="77777777" w:rsidR="00BA172C" w:rsidRPr="00385E54" w:rsidRDefault="00BA172C" w:rsidP="00BA172C">
      <w:pPr>
        <w:pStyle w:val="BodyText"/>
        <w:ind w:left="720"/>
        <w:rPr>
          <w:lang w:val="en-AU"/>
        </w:rPr>
      </w:pPr>
      <w:r w:rsidRPr="00385E54">
        <w:rPr>
          <w:lang w:val="en-AU"/>
        </w:rPr>
        <w:t>You may send standard unlimited SMS and MMS to Australian mobiles from within Australia.</w:t>
      </w:r>
    </w:p>
    <w:p w14:paraId="59D630AC" w14:textId="77777777" w:rsidR="00BA172C" w:rsidRPr="00385E54" w:rsidRDefault="00BA172C" w:rsidP="00BA172C">
      <w:pPr>
        <w:pStyle w:val="BodyText"/>
        <w:ind w:left="720"/>
        <w:rPr>
          <w:i/>
          <w:lang w:val="en-AU"/>
        </w:rPr>
      </w:pPr>
      <w:r w:rsidRPr="00385E54">
        <w:rPr>
          <w:lang w:val="en-AU"/>
        </w:rPr>
        <w:t xml:space="preserve">Unlimited standard national SMS and MMS are only available for personal and ordinary business use and are not to be used for a commercial or non-ordinary purpose as set out in the Fair Go Policy. For further details refer to </w:t>
      </w:r>
      <w:hyperlink r:id="rId765" w:history="1">
        <w:r w:rsidRPr="00365735">
          <w:rPr>
            <w:rStyle w:val="Hyperlink"/>
            <w:i/>
            <w:lang w:val="en-AU"/>
          </w:rPr>
          <w:t>Appendix S</w:t>
        </w:r>
        <w:r w:rsidRPr="00092720">
          <w:rPr>
            <w:rStyle w:val="Hyperlink"/>
            <w:i/>
            <w:lang w:val="en-AU"/>
          </w:rPr>
          <w:t>.</w:t>
        </w:r>
      </w:hyperlink>
    </w:p>
    <w:p w14:paraId="0916120D" w14:textId="77777777" w:rsidR="00BA172C" w:rsidRPr="00CD3F2D" w:rsidRDefault="00BA172C" w:rsidP="00BA172C">
      <w:pPr>
        <w:pStyle w:val="Heading6"/>
        <w:ind w:left="0" w:firstLine="0"/>
        <w:rPr>
          <w:lang w:val="en-AU"/>
        </w:rPr>
      </w:pPr>
      <w:bookmarkStart w:id="1750" w:name="_Toc455149916"/>
      <w:bookmarkStart w:id="1751" w:name="_Toc509314744"/>
      <w:r w:rsidRPr="00CD3F2D">
        <w:rPr>
          <w:lang w:val="en-AU"/>
        </w:rPr>
        <w:t>Unlimited standard international SMS and MMS</w:t>
      </w:r>
      <w:bookmarkEnd w:id="1750"/>
      <w:bookmarkEnd w:id="1751"/>
    </w:p>
    <w:p w14:paraId="2EBF2EDA" w14:textId="77777777" w:rsidR="00BA172C" w:rsidRPr="00385E54" w:rsidRDefault="00BA172C" w:rsidP="00BA172C">
      <w:pPr>
        <w:pStyle w:val="BodyText"/>
        <w:ind w:left="720"/>
        <w:rPr>
          <w:lang w:val="en-AU"/>
        </w:rPr>
      </w:pPr>
      <w:r w:rsidRPr="00385E54">
        <w:rPr>
          <w:lang w:val="en-AU"/>
        </w:rPr>
        <w:t>You may send unlimited standard SMS and MMS to selected countries as set out in Table 3 below.</w:t>
      </w:r>
    </w:p>
    <w:p w14:paraId="77752886" w14:textId="77777777" w:rsidR="00BA172C" w:rsidRDefault="00BA172C" w:rsidP="00BA172C">
      <w:pPr>
        <w:pStyle w:val="BodyText"/>
        <w:ind w:left="720"/>
      </w:pPr>
      <w:r w:rsidRPr="00385E54">
        <w:rPr>
          <w:lang w:val="en-AU"/>
        </w:rPr>
        <w:t xml:space="preserve">Unlimited standard SMS and MMS are only available for personal and ordinary business use and are not to be used for a commercial or non-ordinary purpose as set out in the Fair Go Policy. For further details refer to </w:t>
      </w:r>
      <w:hyperlink r:id="rId766" w:history="1">
        <w:r w:rsidRPr="00365735">
          <w:rPr>
            <w:rStyle w:val="Hyperlink"/>
            <w:i/>
            <w:lang w:val="en-AU"/>
          </w:rPr>
          <w:t>Appendix S</w:t>
        </w:r>
        <w:r w:rsidRPr="00092720">
          <w:rPr>
            <w:rStyle w:val="Hyperlink"/>
            <w:lang w:val="en-AU"/>
          </w:rPr>
          <w:t>.</w:t>
        </w:r>
      </w:hyperlink>
    </w:p>
    <w:p w14:paraId="64A099E2" w14:textId="77777777" w:rsidR="00BA172C" w:rsidRPr="00031BF8" w:rsidRDefault="00BA172C" w:rsidP="00BA172C">
      <w:pPr>
        <w:pStyle w:val="BodyText"/>
        <w:ind w:left="720"/>
        <w:rPr>
          <w:b/>
        </w:rPr>
      </w:pPr>
      <w:r w:rsidRPr="00031BF8">
        <w:rPr>
          <w:b/>
        </w:rPr>
        <w:lastRenderedPageBreak/>
        <w:t>Table 1 –</w:t>
      </w:r>
      <w:r>
        <w:rPr>
          <w:b/>
        </w:rPr>
        <w:t xml:space="preserve"> </w:t>
      </w:r>
      <w:r w:rsidRPr="00031BF8">
        <w:rPr>
          <w:b/>
        </w:rPr>
        <w:t>Plan Inclusions and Charges</w:t>
      </w: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0"/>
        <w:gridCol w:w="1620"/>
        <w:gridCol w:w="1620"/>
        <w:gridCol w:w="1620"/>
      </w:tblGrid>
      <w:tr w:rsidR="00BA172C" w:rsidRPr="005310F1" w14:paraId="35AD7483" w14:textId="77777777" w:rsidTr="00B95821">
        <w:trPr>
          <w:trHeight w:val="219"/>
        </w:trPr>
        <w:tc>
          <w:tcPr>
            <w:tcW w:w="3870" w:type="dxa"/>
            <w:shd w:val="clear" w:color="auto" w:fill="auto"/>
          </w:tcPr>
          <w:p w14:paraId="003C6107" w14:textId="77777777" w:rsidR="00BA172C" w:rsidRPr="00AC0AEA" w:rsidRDefault="00BA172C" w:rsidP="00B95821">
            <w:pPr>
              <w:pStyle w:val="BodyText"/>
              <w:spacing w:before="100" w:after="100"/>
              <w:jc w:val="center"/>
              <w:rPr>
                <w:b/>
              </w:rPr>
            </w:pPr>
          </w:p>
        </w:tc>
        <w:tc>
          <w:tcPr>
            <w:tcW w:w="1620" w:type="dxa"/>
            <w:vAlign w:val="center"/>
          </w:tcPr>
          <w:p w14:paraId="2762E891" w14:textId="77777777" w:rsidR="00BA172C" w:rsidRPr="00AC0AEA" w:rsidRDefault="00BA172C" w:rsidP="00B95821">
            <w:pPr>
              <w:pStyle w:val="BodyText"/>
              <w:spacing w:before="100" w:after="100"/>
              <w:jc w:val="center"/>
              <w:rPr>
                <w:b/>
              </w:rPr>
            </w:pPr>
            <w:r w:rsidRPr="00AC0AEA">
              <w:rPr>
                <w:b/>
              </w:rPr>
              <w:t>$35 My Plan Business SIM</w:t>
            </w:r>
          </w:p>
        </w:tc>
        <w:tc>
          <w:tcPr>
            <w:tcW w:w="1620" w:type="dxa"/>
          </w:tcPr>
          <w:p w14:paraId="1880BDCC" w14:textId="77777777" w:rsidR="00BA172C" w:rsidRPr="00AC0AEA" w:rsidRDefault="00BA172C" w:rsidP="00B95821">
            <w:pPr>
              <w:pStyle w:val="BodyText"/>
              <w:spacing w:before="100" w:after="100"/>
              <w:jc w:val="center"/>
              <w:rPr>
                <w:b/>
              </w:rPr>
            </w:pPr>
            <w:r w:rsidRPr="00AC0AEA">
              <w:rPr>
                <w:b/>
              </w:rPr>
              <w:t>$50 My Plan Business SIM</w:t>
            </w:r>
          </w:p>
        </w:tc>
        <w:tc>
          <w:tcPr>
            <w:tcW w:w="1620" w:type="dxa"/>
          </w:tcPr>
          <w:p w14:paraId="1DFE090A" w14:textId="77777777" w:rsidR="00BA172C" w:rsidRPr="00AC0AEA" w:rsidRDefault="00BA172C" w:rsidP="00B95821">
            <w:pPr>
              <w:pStyle w:val="BodyText"/>
              <w:spacing w:before="100" w:after="100"/>
              <w:jc w:val="center"/>
              <w:rPr>
                <w:b/>
              </w:rPr>
            </w:pPr>
            <w:r w:rsidRPr="00AC0AEA">
              <w:rPr>
                <w:b/>
              </w:rPr>
              <w:t>$60 My Plan Business SIM</w:t>
            </w:r>
          </w:p>
        </w:tc>
      </w:tr>
      <w:tr w:rsidR="00BA172C" w:rsidRPr="005310F1" w14:paraId="1F042B6B" w14:textId="77777777" w:rsidTr="00B95821">
        <w:tc>
          <w:tcPr>
            <w:tcW w:w="3870" w:type="dxa"/>
            <w:shd w:val="clear" w:color="auto" w:fill="auto"/>
          </w:tcPr>
          <w:p w14:paraId="5A5BA20D" w14:textId="77777777" w:rsidR="00BA172C" w:rsidRPr="00AC0AEA" w:rsidRDefault="00BA172C" w:rsidP="00B95821">
            <w:pPr>
              <w:pStyle w:val="BodyText"/>
              <w:spacing w:before="100" w:after="100"/>
              <w:rPr>
                <w:b/>
              </w:rPr>
            </w:pPr>
            <w:r w:rsidRPr="00AC0AEA">
              <w:rPr>
                <w:b/>
              </w:rPr>
              <w:t>Minimum Monthly charge</w:t>
            </w:r>
          </w:p>
        </w:tc>
        <w:tc>
          <w:tcPr>
            <w:tcW w:w="1620" w:type="dxa"/>
            <w:vAlign w:val="center"/>
          </w:tcPr>
          <w:p w14:paraId="0864AC1C" w14:textId="77777777" w:rsidR="00BA172C" w:rsidRPr="00AC0AEA" w:rsidRDefault="00BA172C" w:rsidP="00B95821">
            <w:pPr>
              <w:pStyle w:val="BodyText"/>
              <w:spacing w:before="100" w:after="100"/>
              <w:jc w:val="center"/>
            </w:pPr>
            <w:r w:rsidRPr="00AC0AEA">
              <w:t>$35</w:t>
            </w:r>
          </w:p>
        </w:tc>
        <w:tc>
          <w:tcPr>
            <w:tcW w:w="1620" w:type="dxa"/>
            <w:vAlign w:val="center"/>
          </w:tcPr>
          <w:p w14:paraId="192B6A6B" w14:textId="77777777" w:rsidR="00BA172C" w:rsidRPr="00AC0AEA" w:rsidRDefault="00BA172C" w:rsidP="00B95821">
            <w:pPr>
              <w:pStyle w:val="BodyText"/>
              <w:spacing w:before="100" w:after="100"/>
              <w:jc w:val="center"/>
            </w:pPr>
            <w:r w:rsidRPr="00AC0AEA">
              <w:t>$50</w:t>
            </w:r>
          </w:p>
        </w:tc>
        <w:tc>
          <w:tcPr>
            <w:tcW w:w="1620" w:type="dxa"/>
            <w:vAlign w:val="center"/>
          </w:tcPr>
          <w:p w14:paraId="319E3FD9" w14:textId="77777777" w:rsidR="00BA172C" w:rsidRPr="00AC0AEA" w:rsidRDefault="00BA172C" w:rsidP="00B95821">
            <w:pPr>
              <w:pStyle w:val="BodyText"/>
              <w:spacing w:before="100" w:after="100"/>
              <w:jc w:val="center"/>
            </w:pPr>
            <w:r w:rsidRPr="00AC0AEA">
              <w:t>$60</w:t>
            </w:r>
          </w:p>
        </w:tc>
      </w:tr>
      <w:tr w:rsidR="00BA172C" w:rsidRPr="005310F1" w14:paraId="04CB7208" w14:textId="77777777" w:rsidTr="00B95821">
        <w:tc>
          <w:tcPr>
            <w:tcW w:w="3870" w:type="dxa"/>
            <w:shd w:val="clear" w:color="auto" w:fill="auto"/>
          </w:tcPr>
          <w:p w14:paraId="7E027B90" w14:textId="77777777" w:rsidR="00BA172C" w:rsidRPr="00AC0AEA" w:rsidRDefault="00BA172C" w:rsidP="00B95821">
            <w:pPr>
              <w:pStyle w:val="BodyText"/>
              <w:spacing w:before="100" w:after="100"/>
              <w:rPr>
                <w:b/>
              </w:rPr>
            </w:pPr>
            <w:r w:rsidRPr="00AC0AEA">
              <w:rPr>
                <w:b/>
              </w:rPr>
              <w:t>Included Data</w:t>
            </w:r>
          </w:p>
        </w:tc>
        <w:tc>
          <w:tcPr>
            <w:tcW w:w="1620" w:type="dxa"/>
            <w:vAlign w:val="center"/>
          </w:tcPr>
          <w:p w14:paraId="404B3F65" w14:textId="77777777" w:rsidR="00BA172C" w:rsidRPr="00AC0AEA" w:rsidRDefault="00BA172C" w:rsidP="00B95821">
            <w:pPr>
              <w:pStyle w:val="BodyText"/>
              <w:spacing w:before="100" w:after="100"/>
              <w:jc w:val="center"/>
            </w:pPr>
            <w:r w:rsidRPr="00AC0AEA">
              <w:t>1.5GB</w:t>
            </w:r>
          </w:p>
        </w:tc>
        <w:tc>
          <w:tcPr>
            <w:tcW w:w="1620" w:type="dxa"/>
            <w:vAlign w:val="center"/>
          </w:tcPr>
          <w:p w14:paraId="21CBD7BD" w14:textId="77777777" w:rsidR="00BA172C" w:rsidRPr="00AC0AEA" w:rsidRDefault="00BA172C" w:rsidP="00B95821">
            <w:pPr>
              <w:pStyle w:val="BodyText"/>
              <w:spacing w:before="100" w:after="100"/>
              <w:jc w:val="center"/>
            </w:pPr>
            <w:r w:rsidRPr="00AC0AEA">
              <w:t>6GB</w:t>
            </w:r>
          </w:p>
        </w:tc>
        <w:tc>
          <w:tcPr>
            <w:tcW w:w="1620" w:type="dxa"/>
            <w:vAlign w:val="center"/>
          </w:tcPr>
          <w:p w14:paraId="24204388" w14:textId="77777777" w:rsidR="00BA172C" w:rsidRPr="00AC0AEA" w:rsidRDefault="00BA172C" w:rsidP="00B95821">
            <w:pPr>
              <w:pStyle w:val="BodyText"/>
              <w:spacing w:before="100" w:after="100"/>
              <w:jc w:val="center"/>
            </w:pPr>
            <w:r w:rsidRPr="00AC0AEA">
              <w:t>9GB</w:t>
            </w:r>
          </w:p>
        </w:tc>
      </w:tr>
      <w:tr w:rsidR="00BA172C" w:rsidRPr="005310F1" w14:paraId="7FDA3646" w14:textId="77777777" w:rsidTr="00B95821">
        <w:tc>
          <w:tcPr>
            <w:tcW w:w="3870" w:type="dxa"/>
            <w:shd w:val="clear" w:color="auto" w:fill="auto"/>
          </w:tcPr>
          <w:p w14:paraId="0BE2442C" w14:textId="77777777" w:rsidR="00BA172C" w:rsidRPr="00AC0AEA" w:rsidRDefault="00BA172C" w:rsidP="00B95821">
            <w:pPr>
              <w:pStyle w:val="BodyText"/>
              <w:spacing w:before="100" w:after="100"/>
              <w:rPr>
                <w:b/>
              </w:rPr>
            </w:pPr>
            <w:r w:rsidRPr="00AC0AEA">
              <w:rPr>
                <w:b/>
              </w:rPr>
              <w:t xml:space="preserve">Included Minutes </w:t>
            </w:r>
          </w:p>
          <w:p w14:paraId="025E065C" w14:textId="77777777" w:rsidR="00BA172C" w:rsidRPr="00AC0AEA" w:rsidRDefault="00BA172C" w:rsidP="00B95821">
            <w:pPr>
              <w:pStyle w:val="BodyText"/>
              <w:spacing w:before="100" w:after="100"/>
              <w:rPr>
                <w:b/>
              </w:rPr>
            </w:pPr>
            <w:r w:rsidRPr="00AC0AEA">
              <w:rPr>
                <w:b/>
              </w:rPr>
              <w:t>for standard national calls to landlines and mobiles, 1300 numbers and voicemail, within Australia</w:t>
            </w:r>
          </w:p>
        </w:tc>
        <w:tc>
          <w:tcPr>
            <w:tcW w:w="1620" w:type="dxa"/>
            <w:vAlign w:val="center"/>
          </w:tcPr>
          <w:p w14:paraId="6C2697A4" w14:textId="77777777" w:rsidR="00BA172C" w:rsidRPr="00AC0AEA" w:rsidRDefault="00BA172C" w:rsidP="00B95821">
            <w:pPr>
              <w:pStyle w:val="BodyText"/>
              <w:spacing w:before="100" w:after="100"/>
              <w:jc w:val="center"/>
            </w:pPr>
            <w:r w:rsidRPr="00AC0AEA">
              <w:t>Unlimited</w:t>
            </w:r>
          </w:p>
        </w:tc>
        <w:tc>
          <w:tcPr>
            <w:tcW w:w="1620" w:type="dxa"/>
            <w:vAlign w:val="center"/>
          </w:tcPr>
          <w:p w14:paraId="1F944C78" w14:textId="77777777" w:rsidR="00BA172C" w:rsidRPr="00AC0AEA" w:rsidRDefault="00BA172C" w:rsidP="00B95821">
            <w:pPr>
              <w:pStyle w:val="BodyText"/>
              <w:spacing w:before="100" w:after="100"/>
              <w:jc w:val="center"/>
            </w:pPr>
            <w:r w:rsidRPr="00AC0AEA">
              <w:t>Unlimited</w:t>
            </w:r>
          </w:p>
        </w:tc>
        <w:tc>
          <w:tcPr>
            <w:tcW w:w="1620" w:type="dxa"/>
            <w:vAlign w:val="center"/>
          </w:tcPr>
          <w:p w14:paraId="17465291" w14:textId="77777777" w:rsidR="00BA172C" w:rsidRPr="00AC0AEA" w:rsidRDefault="00BA172C" w:rsidP="00B95821">
            <w:pPr>
              <w:pStyle w:val="BodyText"/>
              <w:spacing w:before="100" w:after="100"/>
              <w:jc w:val="center"/>
            </w:pPr>
            <w:r w:rsidRPr="00AC0AEA">
              <w:t>Unlimited</w:t>
            </w:r>
          </w:p>
        </w:tc>
      </w:tr>
      <w:tr w:rsidR="00BA172C" w:rsidRPr="005310F1" w14:paraId="7B2A08F3" w14:textId="77777777" w:rsidTr="00B95821">
        <w:tc>
          <w:tcPr>
            <w:tcW w:w="3870" w:type="dxa"/>
            <w:shd w:val="clear" w:color="auto" w:fill="auto"/>
          </w:tcPr>
          <w:p w14:paraId="71612512" w14:textId="77777777" w:rsidR="00BA172C" w:rsidRPr="00AC0AEA" w:rsidRDefault="00BA172C" w:rsidP="00B95821">
            <w:pPr>
              <w:pStyle w:val="BodyText"/>
              <w:spacing w:before="100" w:after="100"/>
              <w:rPr>
                <w:b/>
              </w:rPr>
            </w:pPr>
            <w:r w:rsidRPr="00AC0AEA">
              <w:rPr>
                <w:b/>
              </w:rPr>
              <w:t>Included International Minutes</w:t>
            </w:r>
          </w:p>
          <w:p w14:paraId="36D8174E" w14:textId="77777777" w:rsidR="00BA172C" w:rsidRPr="00AC0AEA" w:rsidRDefault="00BA172C" w:rsidP="00B95821">
            <w:pPr>
              <w:pStyle w:val="BodyText"/>
              <w:spacing w:before="100" w:after="100"/>
              <w:rPr>
                <w:b/>
              </w:rPr>
            </w:pPr>
            <w:r w:rsidRPr="00AC0AEA">
              <w:rPr>
                <w:b/>
              </w:rPr>
              <w:t>Standard international calls to landlines and mobiles</w:t>
            </w:r>
          </w:p>
          <w:p w14:paraId="1B02D73E" w14:textId="77777777" w:rsidR="00BA172C" w:rsidRPr="00AC0AEA" w:rsidRDefault="00BA172C" w:rsidP="00B95821">
            <w:pPr>
              <w:pStyle w:val="BodyText"/>
              <w:spacing w:before="100" w:after="100"/>
              <w:rPr>
                <w:b/>
              </w:rPr>
            </w:pPr>
            <w:r w:rsidRPr="00AC0AEA">
              <w:rPr>
                <w:b/>
              </w:rPr>
              <w:t>to selected countries</w:t>
            </w:r>
          </w:p>
        </w:tc>
        <w:tc>
          <w:tcPr>
            <w:tcW w:w="1620" w:type="dxa"/>
            <w:vAlign w:val="center"/>
          </w:tcPr>
          <w:p w14:paraId="57081913" w14:textId="77777777" w:rsidR="00BA172C" w:rsidRPr="00AC0AEA" w:rsidDel="00D73ADA" w:rsidRDefault="00BA172C" w:rsidP="00B95821">
            <w:pPr>
              <w:pStyle w:val="BodyText"/>
              <w:spacing w:before="100" w:after="100"/>
              <w:jc w:val="center"/>
            </w:pPr>
            <w:r w:rsidRPr="00AC0AEA">
              <w:t>Not included</w:t>
            </w:r>
          </w:p>
        </w:tc>
        <w:tc>
          <w:tcPr>
            <w:tcW w:w="1620" w:type="dxa"/>
            <w:vAlign w:val="center"/>
          </w:tcPr>
          <w:p w14:paraId="6CB6C68A" w14:textId="77777777" w:rsidR="00BA172C" w:rsidRPr="00AC0AEA" w:rsidRDefault="00BA172C" w:rsidP="00B95821">
            <w:pPr>
              <w:pStyle w:val="BodyText"/>
              <w:spacing w:before="100" w:after="100"/>
              <w:jc w:val="center"/>
            </w:pPr>
            <w:r w:rsidRPr="00AC0AEA">
              <w:t>Up to 300 mins</w:t>
            </w:r>
          </w:p>
        </w:tc>
        <w:tc>
          <w:tcPr>
            <w:tcW w:w="1620" w:type="dxa"/>
            <w:vAlign w:val="center"/>
          </w:tcPr>
          <w:p w14:paraId="3AEB97C4" w14:textId="77777777" w:rsidR="00BA172C" w:rsidRPr="00AC0AEA" w:rsidRDefault="00BA172C" w:rsidP="00B95821">
            <w:pPr>
              <w:pStyle w:val="BodyText"/>
              <w:spacing w:before="100" w:after="100"/>
              <w:jc w:val="center"/>
            </w:pPr>
            <w:r w:rsidRPr="00AC0AEA">
              <w:t>Up to 500 mins</w:t>
            </w:r>
          </w:p>
        </w:tc>
      </w:tr>
      <w:tr w:rsidR="00BA172C" w:rsidRPr="005310F1" w14:paraId="5FFC8970" w14:textId="77777777" w:rsidTr="00B95821">
        <w:tc>
          <w:tcPr>
            <w:tcW w:w="3870" w:type="dxa"/>
            <w:shd w:val="clear" w:color="auto" w:fill="auto"/>
          </w:tcPr>
          <w:p w14:paraId="16A64ED0" w14:textId="77777777" w:rsidR="00BA172C" w:rsidRPr="00AC0AEA" w:rsidRDefault="00BA172C" w:rsidP="00B95821">
            <w:pPr>
              <w:pStyle w:val="BodyText"/>
              <w:spacing w:before="100" w:after="100"/>
              <w:rPr>
                <w:b/>
              </w:rPr>
            </w:pPr>
            <w:r w:rsidRPr="00AC0AEA">
              <w:rPr>
                <w:b/>
              </w:rPr>
              <w:t>Standard national SMS (per SMS of up to 160 standard characters)</w:t>
            </w:r>
          </w:p>
        </w:tc>
        <w:tc>
          <w:tcPr>
            <w:tcW w:w="1620" w:type="dxa"/>
            <w:vAlign w:val="center"/>
          </w:tcPr>
          <w:p w14:paraId="052A30D9" w14:textId="77777777" w:rsidR="00BA172C" w:rsidRPr="00AC0AEA" w:rsidRDefault="00BA172C" w:rsidP="00B95821">
            <w:pPr>
              <w:pStyle w:val="BodyText"/>
              <w:spacing w:before="100" w:after="100"/>
              <w:jc w:val="center"/>
            </w:pPr>
            <w:r w:rsidRPr="00AC0AEA">
              <w:t>Unlimited</w:t>
            </w:r>
          </w:p>
        </w:tc>
        <w:tc>
          <w:tcPr>
            <w:tcW w:w="1620" w:type="dxa"/>
            <w:vAlign w:val="center"/>
          </w:tcPr>
          <w:p w14:paraId="3EA0998C" w14:textId="77777777" w:rsidR="00BA172C" w:rsidRPr="00AC0AEA" w:rsidRDefault="00BA172C" w:rsidP="00B95821">
            <w:pPr>
              <w:pStyle w:val="BodyText"/>
              <w:spacing w:before="100" w:after="100"/>
              <w:jc w:val="center"/>
            </w:pPr>
            <w:r w:rsidRPr="00AC0AEA">
              <w:t>Unlimited</w:t>
            </w:r>
          </w:p>
        </w:tc>
        <w:tc>
          <w:tcPr>
            <w:tcW w:w="1620" w:type="dxa"/>
            <w:vAlign w:val="center"/>
          </w:tcPr>
          <w:p w14:paraId="322F69D9" w14:textId="77777777" w:rsidR="00BA172C" w:rsidRPr="00AC0AEA" w:rsidRDefault="00BA172C" w:rsidP="00B95821">
            <w:pPr>
              <w:pStyle w:val="BodyText"/>
              <w:spacing w:before="100" w:after="100"/>
              <w:jc w:val="center"/>
            </w:pPr>
            <w:r w:rsidRPr="00AC0AEA">
              <w:t>Unlimited</w:t>
            </w:r>
          </w:p>
        </w:tc>
      </w:tr>
      <w:tr w:rsidR="00BA172C" w:rsidRPr="005310F1" w14:paraId="790B1ED0" w14:textId="77777777" w:rsidTr="00B95821">
        <w:tc>
          <w:tcPr>
            <w:tcW w:w="3870" w:type="dxa"/>
            <w:shd w:val="clear" w:color="auto" w:fill="auto"/>
          </w:tcPr>
          <w:p w14:paraId="76318532" w14:textId="77777777" w:rsidR="00BA172C" w:rsidRPr="00AC0AEA" w:rsidRDefault="00BA172C" w:rsidP="00B95821">
            <w:pPr>
              <w:pStyle w:val="BodyText"/>
              <w:spacing w:before="100" w:after="100"/>
              <w:rPr>
                <w:b/>
              </w:rPr>
            </w:pPr>
            <w:r w:rsidRPr="00AC0AEA">
              <w:rPr>
                <w:b/>
              </w:rPr>
              <w:t>Standard national MMS (per message)</w:t>
            </w:r>
          </w:p>
        </w:tc>
        <w:tc>
          <w:tcPr>
            <w:tcW w:w="1620" w:type="dxa"/>
            <w:vAlign w:val="center"/>
          </w:tcPr>
          <w:p w14:paraId="64CFC480" w14:textId="77777777" w:rsidR="00BA172C" w:rsidRPr="00AC0AEA" w:rsidRDefault="00BA172C" w:rsidP="00B95821">
            <w:pPr>
              <w:pStyle w:val="BodyText"/>
              <w:spacing w:before="100" w:after="100"/>
              <w:jc w:val="center"/>
            </w:pPr>
            <w:r w:rsidRPr="00AC0AEA">
              <w:t>Unlimited</w:t>
            </w:r>
          </w:p>
        </w:tc>
        <w:tc>
          <w:tcPr>
            <w:tcW w:w="1620" w:type="dxa"/>
            <w:vAlign w:val="center"/>
          </w:tcPr>
          <w:p w14:paraId="11B24DBA" w14:textId="77777777" w:rsidR="00BA172C" w:rsidRPr="00AC0AEA" w:rsidRDefault="00BA172C" w:rsidP="00B95821">
            <w:pPr>
              <w:pStyle w:val="BodyText"/>
              <w:spacing w:before="100" w:after="100"/>
              <w:jc w:val="center"/>
            </w:pPr>
            <w:r w:rsidRPr="00AC0AEA">
              <w:t>Unlimited</w:t>
            </w:r>
          </w:p>
        </w:tc>
        <w:tc>
          <w:tcPr>
            <w:tcW w:w="1620" w:type="dxa"/>
            <w:vAlign w:val="center"/>
          </w:tcPr>
          <w:p w14:paraId="005C8947" w14:textId="77777777" w:rsidR="00BA172C" w:rsidRPr="00AC0AEA" w:rsidRDefault="00BA172C" w:rsidP="00B95821">
            <w:pPr>
              <w:pStyle w:val="BodyText"/>
              <w:spacing w:before="100" w:after="100"/>
              <w:jc w:val="center"/>
            </w:pPr>
            <w:r w:rsidRPr="00AC0AEA">
              <w:t>Unlimited</w:t>
            </w:r>
          </w:p>
        </w:tc>
      </w:tr>
      <w:tr w:rsidR="00BA172C" w:rsidRPr="005310F1" w14:paraId="681ED6A2" w14:textId="77777777" w:rsidTr="00B95821">
        <w:tc>
          <w:tcPr>
            <w:tcW w:w="3870" w:type="dxa"/>
            <w:shd w:val="clear" w:color="auto" w:fill="auto"/>
          </w:tcPr>
          <w:p w14:paraId="3AAA1058" w14:textId="77777777" w:rsidR="00BA172C" w:rsidRPr="00AC0AEA" w:rsidRDefault="00BA172C" w:rsidP="00B95821">
            <w:pPr>
              <w:pStyle w:val="BodyText"/>
              <w:spacing w:before="100" w:after="100"/>
              <w:rPr>
                <w:b/>
              </w:rPr>
            </w:pPr>
            <w:r w:rsidRPr="00AC0AEA">
              <w:rPr>
                <w:b/>
              </w:rPr>
              <w:t>Standard international SMS (per SMS of up to 160 standard characters to selected countries)</w:t>
            </w:r>
          </w:p>
        </w:tc>
        <w:tc>
          <w:tcPr>
            <w:tcW w:w="1620" w:type="dxa"/>
            <w:vAlign w:val="center"/>
          </w:tcPr>
          <w:p w14:paraId="2941CEB8" w14:textId="77777777" w:rsidR="00BA172C" w:rsidRPr="00AC0AEA" w:rsidRDefault="00BA172C" w:rsidP="00B95821">
            <w:pPr>
              <w:pStyle w:val="BodyText"/>
              <w:spacing w:before="100" w:after="100"/>
              <w:jc w:val="center"/>
            </w:pPr>
            <w:r w:rsidRPr="00AC0AEA">
              <w:t>Unlimited</w:t>
            </w:r>
          </w:p>
        </w:tc>
        <w:tc>
          <w:tcPr>
            <w:tcW w:w="1620" w:type="dxa"/>
            <w:vAlign w:val="center"/>
          </w:tcPr>
          <w:p w14:paraId="5CA43F03" w14:textId="77777777" w:rsidR="00BA172C" w:rsidRPr="00AC0AEA" w:rsidRDefault="00BA172C" w:rsidP="00B95821">
            <w:pPr>
              <w:pStyle w:val="BodyText"/>
              <w:spacing w:before="100" w:after="100"/>
              <w:jc w:val="center"/>
            </w:pPr>
            <w:r w:rsidRPr="00AC0AEA">
              <w:t>Unlimited</w:t>
            </w:r>
          </w:p>
        </w:tc>
        <w:tc>
          <w:tcPr>
            <w:tcW w:w="1620" w:type="dxa"/>
            <w:vAlign w:val="center"/>
          </w:tcPr>
          <w:p w14:paraId="24122B96" w14:textId="77777777" w:rsidR="00BA172C" w:rsidRPr="00AC0AEA" w:rsidRDefault="00BA172C" w:rsidP="00B95821">
            <w:pPr>
              <w:pStyle w:val="BodyText"/>
              <w:spacing w:before="100" w:after="100"/>
              <w:jc w:val="center"/>
            </w:pPr>
            <w:r w:rsidRPr="00AC0AEA">
              <w:t>Unlimited</w:t>
            </w:r>
          </w:p>
        </w:tc>
      </w:tr>
      <w:tr w:rsidR="00BA172C" w:rsidRPr="005310F1" w14:paraId="27F005D4" w14:textId="77777777" w:rsidTr="00B95821">
        <w:trPr>
          <w:trHeight w:val="53"/>
        </w:trPr>
        <w:tc>
          <w:tcPr>
            <w:tcW w:w="3870" w:type="dxa"/>
            <w:shd w:val="clear" w:color="auto" w:fill="auto"/>
          </w:tcPr>
          <w:p w14:paraId="021CE716" w14:textId="77777777" w:rsidR="00BA172C" w:rsidRPr="00AC0AEA" w:rsidRDefault="00BA172C" w:rsidP="00B95821">
            <w:pPr>
              <w:pStyle w:val="BodyText"/>
              <w:spacing w:before="100" w:after="100"/>
              <w:rPr>
                <w:b/>
              </w:rPr>
            </w:pPr>
            <w:r w:rsidRPr="00AC0AEA">
              <w:rPr>
                <w:b/>
              </w:rPr>
              <w:t>Standard international MMS (per message to selected countries)</w:t>
            </w:r>
          </w:p>
        </w:tc>
        <w:tc>
          <w:tcPr>
            <w:tcW w:w="1620" w:type="dxa"/>
            <w:vAlign w:val="center"/>
          </w:tcPr>
          <w:p w14:paraId="29D9EF7D" w14:textId="77777777" w:rsidR="00BA172C" w:rsidRPr="00AC0AEA" w:rsidRDefault="00BA172C" w:rsidP="00B95821">
            <w:pPr>
              <w:pStyle w:val="BodyText"/>
              <w:spacing w:before="100" w:after="100"/>
              <w:jc w:val="center"/>
            </w:pPr>
            <w:r w:rsidRPr="00AC0AEA">
              <w:t>Unlimited</w:t>
            </w:r>
          </w:p>
        </w:tc>
        <w:tc>
          <w:tcPr>
            <w:tcW w:w="1620" w:type="dxa"/>
            <w:vAlign w:val="center"/>
          </w:tcPr>
          <w:p w14:paraId="28C5669B" w14:textId="77777777" w:rsidR="00BA172C" w:rsidRPr="00AC0AEA" w:rsidRDefault="00BA172C" w:rsidP="00B95821">
            <w:pPr>
              <w:pStyle w:val="BodyText"/>
              <w:spacing w:before="100" w:after="100"/>
              <w:jc w:val="center"/>
            </w:pPr>
            <w:r w:rsidRPr="00AC0AEA">
              <w:t>Unlimited</w:t>
            </w:r>
          </w:p>
        </w:tc>
        <w:tc>
          <w:tcPr>
            <w:tcW w:w="1620" w:type="dxa"/>
            <w:vAlign w:val="center"/>
          </w:tcPr>
          <w:p w14:paraId="37FE0AC5" w14:textId="77777777" w:rsidR="00BA172C" w:rsidRPr="00AC0AEA" w:rsidRDefault="00BA172C" w:rsidP="00B95821">
            <w:pPr>
              <w:pStyle w:val="BodyText"/>
              <w:spacing w:before="100" w:after="100"/>
              <w:jc w:val="center"/>
            </w:pPr>
            <w:r w:rsidRPr="00AC0AEA">
              <w:t>Unlimited</w:t>
            </w:r>
          </w:p>
        </w:tc>
      </w:tr>
    </w:tbl>
    <w:p w14:paraId="3E1C5CD3" w14:textId="77777777" w:rsidR="00BA172C" w:rsidRDefault="00BA172C" w:rsidP="00BA172C">
      <w:pPr>
        <w:pStyle w:val="BodyText"/>
      </w:pPr>
    </w:p>
    <w:p w14:paraId="6121D714" w14:textId="77777777" w:rsidR="00BA172C" w:rsidRDefault="00BA172C" w:rsidP="00BA172C">
      <w:pPr>
        <w:pStyle w:val="BodyText"/>
        <w:keepNext/>
        <w:ind w:left="720"/>
      </w:pPr>
      <w:r w:rsidRPr="008B53CC">
        <w:rPr>
          <w:b/>
        </w:rPr>
        <w:lastRenderedPageBreak/>
        <w:t>Table 2 – Other usage types and charges</w:t>
      </w: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5"/>
        <w:gridCol w:w="4365"/>
      </w:tblGrid>
      <w:tr w:rsidR="00BA172C" w:rsidRPr="00E21F2E" w14:paraId="23D70DC5" w14:textId="77777777" w:rsidTr="00B95821">
        <w:tc>
          <w:tcPr>
            <w:tcW w:w="4365" w:type="dxa"/>
            <w:shd w:val="clear" w:color="auto" w:fill="auto"/>
            <w:vAlign w:val="center"/>
          </w:tcPr>
          <w:p w14:paraId="6A44FE98" w14:textId="77777777" w:rsidR="00BA172C" w:rsidRPr="008B53CC" w:rsidRDefault="00BA172C" w:rsidP="00B95821">
            <w:pPr>
              <w:pStyle w:val="BodyText"/>
              <w:keepNext/>
              <w:spacing w:before="100" w:after="100"/>
              <w:jc w:val="center"/>
              <w:rPr>
                <w:b/>
              </w:rPr>
            </w:pPr>
            <w:r w:rsidRPr="008B53CC">
              <w:rPr>
                <w:b/>
              </w:rPr>
              <w:t>Usage type</w:t>
            </w:r>
          </w:p>
        </w:tc>
        <w:tc>
          <w:tcPr>
            <w:tcW w:w="4365" w:type="dxa"/>
            <w:shd w:val="clear" w:color="auto" w:fill="auto"/>
            <w:vAlign w:val="center"/>
          </w:tcPr>
          <w:p w14:paraId="73E7EF5F" w14:textId="77777777" w:rsidR="00BA172C" w:rsidRPr="008B53CC" w:rsidRDefault="00BA172C" w:rsidP="00B95821">
            <w:pPr>
              <w:pStyle w:val="BodyText"/>
              <w:keepNext/>
              <w:spacing w:before="100" w:after="100"/>
              <w:jc w:val="center"/>
              <w:rPr>
                <w:b/>
              </w:rPr>
            </w:pPr>
            <w:r w:rsidRPr="008B53CC">
              <w:rPr>
                <w:b/>
              </w:rPr>
              <w:t>Charge</w:t>
            </w:r>
          </w:p>
        </w:tc>
      </w:tr>
      <w:tr w:rsidR="00BA172C" w:rsidRPr="00E21F2E" w14:paraId="2E02C6CB" w14:textId="77777777" w:rsidTr="00B95821">
        <w:tc>
          <w:tcPr>
            <w:tcW w:w="4365" w:type="dxa"/>
            <w:shd w:val="clear" w:color="auto" w:fill="auto"/>
          </w:tcPr>
          <w:p w14:paraId="0C37F498" w14:textId="77777777" w:rsidR="00BA172C" w:rsidRPr="008B53CC" w:rsidRDefault="00BA172C" w:rsidP="00B95821">
            <w:pPr>
              <w:pStyle w:val="BodyText"/>
              <w:keepNext/>
              <w:spacing w:before="100" w:after="100"/>
              <w:rPr>
                <w:b/>
              </w:rPr>
            </w:pPr>
            <w:r w:rsidRPr="008B53CC">
              <w:rPr>
                <w:b/>
                <w:bCs/>
              </w:rPr>
              <w:t xml:space="preserve">National video calls </w:t>
            </w:r>
            <w:r w:rsidRPr="008B53CC">
              <w:rPr>
                <w:b/>
              </w:rPr>
              <w:t>(per minute)</w:t>
            </w:r>
          </w:p>
        </w:tc>
        <w:tc>
          <w:tcPr>
            <w:tcW w:w="4365" w:type="dxa"/>
            <w:shd w:val="clear" w:color="auto" w:fill="auto"/>
            <w:vAlign w:val="center"/>
          </w:tcPr>
          <w:p w14:paraId="59AF1D45" w14:textId="77777777" w:rsidR="00BA172C" w:rsidRPr="00E21F2E" w:rsidRDefault="00BA172C" w:rsidP="00B95821">
            <w:pPr>
              <w:pStyle w:val="BodyText"/>
              <w:keepNext/>
              <w:spacing w:before="100" w:after="100"/>
              <w:jc w:val="center"/>
            </w:pPr>
            <w:r w:rsidRPr="00E21F2E">
              <w:t>$1.00 per min + 40c flagfall</w:t>
            </w:r>
          </w:p>
        </w:tc>
      </w:tr>
      <w:tr w:rsidR="00BA172C" w:rsidRPr="00E21F2E" w14:paraId="2EF60002" w14:textId="77777777" w:rsidTr="00B95821">
        <w:tc>
          <w:tcPr>
            <w:tcW w:w="4365" w:type="dxa"/>
            <w:shd w:val="clear" w:color="auto" w:fill="auto"/>
          </w:tcPr>
          <w:p w14:paraId="3B9134B6" w14:textId="77777777" w:rsidR="00BA172C" w:rsidRPr="008B53CC" w:rsidRDefault="00BA172C" w:rsidP="00B95821">
            <w:pPr>
              <w:pStyle w:val="BodyText"/>
              <w:keepNext/>
              <w:spacing w:before="100" w:after="100"/>
              <w:rPr>
                <w:b/>
                <w:bCs/>
              </w:rPr>
            </w:pPr>
            <w:r w:rsidRPr="008B53CC">
              <w:rPr>
                <w:b/>
                <w:bCs/>
              </w:rPr>
              <w:t>National Diversions</w:t>
            </w:r>
          </w:p>
        </w:tc>
        <w:tc>
          <w:tcPr>
            <w:tcW w:w="4365" w:type="dxa"/>
            <w:shd w:val="clear" w:color="auto" w:fill="auto"/>
          </w:tcPr>
          <w:p w14:paraId="4C9FF139" w14:textId="77777777" w:rsidR="00BA172C" w:rsidRPr="00E21F2E" w:rsidRDefault="00BA172C" w:rsidP="00B95821">
            <w:pPr>
              <w:pStyle w:val="BodyText"/>
              <w:keepNext/>
              <w:spacing w:before="100" w:after="100"/>
              <w:jc w:val="center"/>
            </w:pPr>
            <w:r w:rsidRPr="00E21F2E">
              <w:t>$0 per minute</w:t>
            </w:r>
          </w:p>
        </w:tc>
      </w:tr>
      <w:tr w:rsidR="00BA172C" w:rsidRPr="00E21F2E" w14:paraId="089CCA79" w14:textId="77777777" w:rsidTr="00B95821">
        <w:trPr>
          <w:trHeight w:val="120"/>
        </w:trPr>
        <w:tc>
          <w:tcPr>
            <w:tcW w:w="4365" w:type="dxa"/>
            <w:shd w:val="clear" w:color="auto" w:fill="auto"/>
          </w:tcPr>
          <w:p w14:paraId="2E6B2093" w14:textId="77777777" w:rsidR="00BA172C" w:rsidRPr="008B53CC" w:rsidRDefault="00BA172C" w:rsidP="00B95821">
            <w:pPr>
              <w:pStyle w:val="BodyText"/>
              <w:keepNext/>
              <w:spacing w:before="100" w:after="100"/>
              <w:rPr>
                <w:b/>
                <w:bCs/>
              </w:rPr>
            </w:pPr>
            <w:r w:rsidRPr="008B53CC">
              <w:rPr>
                <w:b/>
                <w:bCs/>
              </w:rPr>
              <w:t xml:space="preserve">International Diversions </w:t>
            </w:r>
          </w:p>
        </w:tc>
        <w:tc>
          <w:tcPr>
            <w:tcW w:w="4365" w:type="dxa"/>
            <w:shd w:val="clear" w:color="auto" w:fill="auto"/>
          </w:tcPr>
          <w:p w14:paraId="5ECD64B1" w14:textId="77777777" w:rsidR="00BA172C" w:rsidRPr="00E21F2E" w:rsidRDefault="00BA172C" w:rsidP="00B95821">
            <w:pPr>
              <w:pStyle w:val="BodyText"/>
              <w:keepNext/>
              <w:spacing w:before="100" w:after="100"/>
              <w:jc w:val="center"/>
            </w:pPr>
            <w:r>
              <w:t>'</w:t>
            </w:r>
            <w:r w:rsidRPr="00E21F2E">
              <w:t>yes</w:t>
            </w:r>
            <w:r>
              <w:t>'</w:t>
            </w:r>
            <w:r w:rsidRPr="00E21F2E">
              <w:t xml:space="preserve"> international rates</w:t>
            </w:r>
            <w:r w:rsidRPr="00E21F2E">
              <w:br/>
              <w:t>See optus.com.au/international</w:t>
            </w:r>
          </w:p>
        </w:tc>
      </w:tr>
      <w:tr w:rsidR="00BA172C" w:rsidRPr="00E21F2E" w14:paraId="6E7A3CBA" w14:textId="77777777" w:rsidTr="00B95821">
        <w:tc>
          <w:tcPr>
            <w:tcW w:w="4365" w:type="dxa"/>
            <w:shd w:val="clear" w:color="auto" w:fill="auto"/>
          </w:tcPr>
          <w:p w14:paraId="02103437" w14:textId="77777777" w:rsidR="00BA172C" w:rsidRPr="008B53CC" w:rsidRDefault="00BA172C" w:rsidP="00B95821">
            <w:pPr>
              <w:pStyle w:val="BodyText"/>
              <w:keepNext/>
              <w:spacing w:before="100" w:after="100"/>
              <w:rPr>
                <w:b/>
                <w:bCs/>
              </w:rPr>
            </w:pPr>
            <w:r w:rsidRPr="008B53CC">
              <w:rPr>
                <w:b/>
                <w:bCs/>
              </w:rPr>
              <w:t xml:space="preserve">1800 numbers </w:t>
            </w:r>
          </w:p>
        </w:tc>
        <w:tc>
          <w:tcPr>
            <w:tcW w:w="4365" w:type="dxa"/>
            <w:shd w:val="clear" w:color="auto" w:fill="auto"/>
            <w:vAlign w:val="center"/>
          </w:tcPr>
          <w:p w14:paraId="42AFD48F" w14:textId="77777777" w:rsidR="00BA172C" w:rsidRPr="00E21F2E" w:rsidRDefault="00BA172C" w:rsidP="00B95821">
            <w:pPr>
              <w:pStyle w:val="BodyText"/>
              <w:keepNext/>
              <w:spacing w:before="100" w:after="100"/>
              <w:jc w:val="center"/>
            </w:pPr>
            <w:r w:rsidRPr="00E21F2E">
              <w:t>$0 per minute</w:t>
            </w:r>
          </w:p>
        </w:tc>
      </w:tr>
      <w:tr w:rsidR="00BA172C" w:rsidRPr="00E21F2E" w14:paraId="20CA8A3A" w14:textId="77777777" w:rsidTr="00B95821">
        <w:tc>
          <w:tcPr>
            <w:tcW w:w="4365" w:type="dxa"/>
            <w:shd w:val="clear" w:color="auto" w:fill="auto"/>
          </w:tcPr>
          <w:p w14:paraId="6278A70D" w14:textId="77777777" w:rsidR="00BA172C" w:rsidRPr="008B53CC" w:rsidRDefault="00BA172C" w:rsidP="00B95821">
            <w:pPr>
              <w:pStyle w:val="BodyText"/>
              <w:keepNext/>
              <w:spacing w:before="100" w:after="100"/>
              <w:rPr>
                <w:b/>
                <w:bCs/>
              </w:rPr>
            </w:pPr>
            <w:r w:rsidRPr="008B53CC">
              <w:rPr>
                <w:b/>
                <w:bCs/>
              </w:rPr>
              <w:t xml:space="preserve">Directory Assistance 1223 </w:t>
            </w:r>
          </w:p>
        </w:tc>
        <w:tc>
          <w:tcPr>
            <w:tcW w:w="4365" w:type="dxa"/>
            <w:shd w:val="clear" w:color="auto" w:fill="auto"/>
            <w:vAlign w:val="center"/>
          </w:tcPr>
          <w:p w14:paraId="49AD84C0" w14:textId="77777777" w:rsidR="00BA172C" w:rsidRPr="00E21F2E" w:rsidRDefault="00BA172C" w:rsidP="00B95821">
            <w:pPr>
              <w:pStyle w:val="BodyText"/>
              <w:keepNext/>
              <w:spacing w:before="100" w:after="100"/>
              <w:jc w:val="center"/>
            </w:pPr>
            <w:r w:rsidRPr="00E21F2E">
              <w:t>50c per call</w:t>
            </w:r>
          </w:p>
        </w:tc>
      </w:tr>
      <w:tr w:rsidR="00BA172C" w:rsidRPr="00E21F2E" w14:paraId="5AA1EC34" w14:textId="77777777" w:rsidTr="00B95821">
        <w:tc>
          <w:tcPr>
            <w:tcW w:w="4365" w:type="dxa"/>
            <w:shd w:val="clear" w:color="auto" w:fill="auto"/>
          </w:tcPr>
          <w:p w14:paraId="152589B2" w14:textId="77777777" w:rsidR="00BA172C" w:rsidRPr="008B53CC" w:rsidRDefault="00BA172C" w:rsidP="00B95821">
            <w:pPr>
              <w:pStyle w:val="BodyText"/>
              <w:keepNext/>
              <w:spacing w:before="100" w:after="100"/>
              <w:rPr>
                <w:b/>
                <w:bCs/>
              </w:rPr>
            </w:pPr>
            <w:r w:rsidRPr="008B53CC">
              <w:rPr>
                <w:b/>
                <w:bCs/>
              </w:rPr>
              <w:t>124 Yes</w:t>
            </w:r>
          </w:p>
        </w:tc>
        <w:tc>
          <w:tcPr>
            <w:tcW w:w="4365" w:type="dxa"/>
            <w:shd w:val="clear" w:color="auto" w:fill="auto"/>
            <w:vAlign w:val="center"/>
          </w:tcPr>
          <w:p w14:paraId="5C203519" w14:textId="77777777" w:rsidR="00BA172C" w:rsidRPr="00E21F2E" w:rsidRDefault="00BA172C" w:rsidP="00B95821">
            <w:pPr>
              <w:pStyle w:val="BodyText"/>
              <w:keepNext/>
              <w:spacing w:before="100" w:after="100"/>
              <w:jc w:val="center"/>
            </w:pPr>
            <w:r w:rsidRPr="00E21F2E">
              <w:t>90c per minute +$1.75c flagfall</w:t>
            </w:r>
          </w:p>
        </w:tc>
      </w:tr>
      <w:tr w:rsidR="00BA172C" w:rsidRPr="00E21F2E" w14:paraId="5FD74EAF" w14:textId="77777777" w:rsidTr="00B95821">
        <w:trPr>
          <w:trHeight w:val="53"/>
        </w:trPr>
        <w:tc>
          <w:tcPr>
            <w:tcW w:w="4365" w:type="dxa"/>
            <w:shd w:val="clear" w:color="auto" w:fill="auto"/>
          </w:tcPr>
          <w:p w14:paraId="10EF64DB" w14:textId="77777777" w:rsidR="00BA172C" w:rsidRPr="008B53CC" w:rsidRDefault="00BA172C" w:rsidP="00B95821">
            <w:pPr>
              <w:pStyle w:val="BodyText"/>
              <w:keepNext/>
              <w:spacing w:before="100" w:after="100"/>
              <w:rPr>
                <w:b/>
                <w:bCs/>
              </w:rPr>
            </w:pPr>
            <w:r w:rsidRPr="008B53CC">
              <w:rPr>
                <w:b/>
                <w:bCs/>
              </w:rPr>
              <w:t>International voice calls (outside the plan</w:t>
            </w:r>
            <w:r>
              <w:rPr>
                <w:b/>
                <w:bCs/>
              </w:rPr>
              <w:t>'</w:t>
            </w:r>
            <w:r w:rsidRPr="008B53CC">
              <w:rPr>
                <w:b/>
                <w:bCs/>
              </w:rPr>
              <w:t xml:space="preserve">s included international minutes and to excluded countries) </w:t>
            </w:r>
          </w:p>
        </w:tc>
        <w:tc>
          <w:tcPr>
            <w:tcW w:w="4365" w:type="dxa"/>
            <w:shd w:val="clear" w:color="auto" w:fill="auto"/>
            <w:vAlign w:val="center"/>
          </w:tcPr>
          <w:p w14:paraId="4AFCD07E" w14:textId="77777777" w:rsidR="00BA172C" w:rsidRPr="00E21F2E" w:rsidRDefault="00BA172C" w:rsidP="00B95821">
            <w:pPr>
              <w:pStyle w:val="BodyText"/>
              <w:keepNext/>
              <w:spacing w:before="100" w:after="100"/>
              <w:jc w:val="center"/>
            </w:pPr>
            <w:r>
              <w:t>'</w:t>
            </w:r>
            <w:r w:rsidRPr="00E21F2E">
              <w:t>yes</w:t>
            </w:r>
            <w:r>
              <w:t>'</w:t>
            </w:r>
            <w:r w:rsidRPr="00E21F2E">
              <w:t xml:space="preserve"> international rates</w:t>
            </w:r>
            <w:r w:rsidRPr="00E21F2E">
              <w:br/>
              <w:t>See optus.com.au/international</w:t>
            </w:r>
          </w:p>
        </w:tc>
      </w:tr>
      <w:tr w:rsidR="00BA172C" w:rsidRPr="00E21F2E" w14:paraId="1E1435FB" w14:textId="77777777" w:rsidTr="00B95821">
        <w:tc>
          <w:tcPr>
            <w:tcW w:w="4365" w:type="dxa"/>
            <w:shd w:val="clear" w:color="auto" w:fill="auto"/>
          </w:tcPr>
          <w:p w14:paraId="61F27267" w14:textId="77777777" w:rsidR="00BA172C" w:rsidRPr="008B53CC" w:rsidRDefault="00BA172C" w:rsidP="00B95821">
            <w:pPr>
              <w:pStyle w:val="BodyText"/>
              <w:keepNext/>
              <w:spacing w:before="100" w:after="100"/>
              <w:rPr>
                <w:b/>
                <w:bCs/>
              </w:rPr>
            </w:pPr>
            <w:r w:rsidRPr="008B53CC">
              <w:rPr>
                <w:b/>
                <w:bCs/>
              </w:rPr>
              <w:t xml:space="preserve">International SMS (to excluded countries) </w:t>
            </w:r>
          </w:p>
        </w:tc>
        <w:tc>
          <w:tcPr>
            <w:tcW w:w="4365" w:type="dxa"/>
            <w:shd w:val="clear" w:color="auto" w:fill="auto"/>
            <w:vAlign w:val="center"/>
          </w:tcPr>
          <w:p w14:paraId="2D1BC9A9" w14:textId="77777777" w:rsidR="00BA172C" w:rsidRPr="00E21F2E" w:rsidRDefault="00BA172C" w:rsidP="00B95821">
            <w:pPr>
              <w:pStyle w:val="BodyText"/>
              <w:keepNext/>
              <w:spacing w:before="100" w:after="100"/>
              <w:jc w:val="center"/>
            </w:pPr>
            <w:r w:rsidRPr="00E21F2E">
              <w:t>50c per SMS up to 160 standard characters</w:t>
            </w:r>
          </w:p>
        </w:tc>
      </w:tr>
      <w:tr w:rsidR="00BA172C" w:rsidRPr="00E21F2E" w14:paraId="102CC0EA" w14:textId="77777777" w:rsidTr="00B95821">
        <w:tc>
          <w:tcPr>
            <w:tcW w:w="4365" w:type="dxa"/>
            <w:shd w:val="clear" w:color="auto" w:fill="auto"/>
          </w:tcPr>
          <w:p w14:paraId="0867B302" w14:textId="77777777" w:rsidR="00BA172C" w:rsidRPr="008B53CC" w:rsidRDefault="00BA172C" w:rsidP="00B95821">
            <w:pPr>
              <w:pStyle w:val="BodyText"/>
              <w:keepNext/>
              <w:spacing w:before="100" w:after="100"/>
              <w:rPr>
                <w:b/>
                <w:bCs/>
              </w:rPr>
            </w:pPr>
            <w:r w:rsidRPr="008B53CC">
              <w:rPr>
                <w:b/>
                <w:bCs/>
              </w:rPr>
              <w:t>International MMS (to excluded countries)</w:t>
            </w:r>
          </w:p>
        </w:tc>
        <w:tc>
          <w:tcPr>
            <w:tcW w:w="4365" w:type="dxa"/>
            <w:shd w:val="clear" w:color="auto" w:fill="auto"/>
            <w:vAlign w:val="center"/>
          </w:tcPr>
          <w:p w14:paraId="0D4AF885" w14:textId="77777777" w:rsidR="00BA172C" w:rsidRPr="00E21F2E" w:rsidRDefault="00BA172C" w:rsidP="00B95821">
            <w:pPr>
              <w:pStyle w:val="BodyText"/>
              <w:keepNext/>
              <w:spacing w:before="100" w:after="100"/>
              <w:jc w:val="center"/>
            </w:pPr>
            <w:r w:rsidRPr="00E21F2E">
              <w:t>75c per MMS</w:t>
            </w:r>
          </w:p>
        </w:tc>
      </w:tr>
      <w:tr w:rsidR="00BA172C" w:rsidRPr="00E21F2E" w14:paraId="77D637D3" w14:textId="77777777" w:rsidTr="00B95821">
        <w:tc>
          <w:tcPr>
            <w:tcW w:w="4365" w:type="dxa"/>
            <w:shd w:val="clear" w:color="auto" w:fill="auto"/>
          </w:tcPr>
          <w:p w14:paraId="1FF18622" w14:textId="77777777" w:rsidR="00BA172C" w:rsidRPr="008B53CC" w:rsidRDefault="00BA172C" w:rsidP="00B95821">
            <w:pPr>
              <w:pStyle w:val="BodyText"/>
              <w:keepNext/>
              <w:spacing w:before="100" w:after="100"/>
              <w:rPr>
                <w:b/>
                <w:bCs/>
              </w:rPr>
            </w:pPr>
            <w:r w:rsidRPr="008B53CC">
              <w:rPr>
                <w:b/>
                <w:bCs/>
              </w:rPr>
              <w:t xml:space="preserve">International video calling </w:t>
            </w:r>
          </w:p>
        </w:tc>
        <w:tc>
          <w:tcPr>
            <w:tcW w:w="4365" w:type="dxa"/>
            <w:shd w:val="clear" w:color="auto" w:fill="auto"/>
            <w:vAlign w:val="center"/>
          </w:tcPr>
          <w:p w14:paraId="0FB397E0" w14:textId="77777777" w:rsidR="00BA172C" w:rsidRPr="00E21F2E" w:rsidRDefault="00BA172C" w:rsidP="00B95821">
            <w:pPr>
              <w:pStyle w:val="BodyText"/>
              <w:keepNext/>
              <w:spacing w:before="100" w:after="100"/>
              <w:jc w:val="center"/>
            </w:pPr>
            <w:r w:rsidRPr="00E21F2E">
              <w:t>$1.50 per minute +35c flagfall</w:t>
            </w:r>
          </w:p>
        </w:tc>
      </w:tr>
      <w:tr w:rsidR="00BA172C" w:rsidRPr="00E21F2E" w14:paraId="0E562B90" w14:textId="77777777" w:rsidTr="00B95821">
        <w:tc>
          <w:tcPr>
            <w:tcW w:w="4365" w:type="dxa"/>
            <w:shd w:val="clear" w:color="auto" w:fill="auto"/>
          </w:tcPr>
          <w:p w14:paraId="7028967B" w14:textId="77777777" w:rsidR="00BA172C" w:rsidRPr="008B53CC" w:rsidRDefault="00BA172C" w:rsidP="00B95821">
            <w:pPr>
              <w:pStyle w:val="BodyText"/>
              <w:keepNext/>
              <w:spacing w:before="100" w:after="100"/>
              <w:rPr>
                <w:b/>
                <w:bCs/>
              </w:rPr>
            </w:pPr>
            <w:r w:rsidRPr="008B53CC">
              <w:rPr>
                <w:b/>
                <w:bCs/>
              </w:rPr>
              <w:t xml:space="preserve">International roaming </w:t>
            </w:r>
          </w:p>
        </w:tc>
        <w:tc>
          <w:tcPr>
            <w:tcW w:w="4365" w:type="dxa"/>
            <w:shd w:val="clear" w:color="auto" w:fill="auto"/>
            <w:vAlign w:val="center"/>
          </w:tcPr>
          <w:p w14:paraId="6021DE33" w14:textId="77777777" w:rsidR="00BA172C" w:rsidRPr="00E21F2E" w:rsidRDefault="00BA172C" w:rsidP="00B95821">
            <w:pPr>
              <w:pStyle w:val="BodyText"/>
              <w:keepNext/>
              <w:spacing w:before="100" w:after="100"/>
              <w:jc w:val="center"/>
            </w:pPr>
            <w:r w:rsidRPr="00E21F2E">
              <w:t>See optus.com.au/roaming</w:t>
            </w:r>
          </w:p>
        </w:tc>
      </w:tr>
    </w:tbl>
    <w:p w14:paraId="1AD1EF68" w14:textId="77777777" w:rsidR="00BA172C" w:rsidRDefault="00BA172C" w:rsidP="00BA172C">
      <w:pPr>
        <w:pStyle w:val="BodyText"/>
      </w:pPr>
    </w:p>
    <w:p w14:paraId="02DA3630" w14:textId="77777777" w:rsidR="00BA172C" w:rsidRPr="008B53CC" w:rsidRDefault="00BA172C" w:rsidP="00BA172C">
      <w:pPr>
        <w:pStyle w:val="BodyText"/>
        <w:jc w:val="center"/>
        <w:rPr>
          <w:b/>
        </w:rPr>
      </w:pPr>
      <w:r w:rsidRPr="008B53CC">
        <w:rPr>
          <w:b/>
        </w:rPr>
        <w:t>Table 3 – International Countries</w:t>
      </w: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2"/>
        <w:gridCol w:w="2183"/>
        <w:gridCol w:w="2182"/>
        <w:gridCol w:w="2183"/>
      </w:tblGrid>
      <w:tr w:rsidR="00BA172C" w:rsidRPr="00E21F2E" w14:paraId="2FC332F1" w14:textId="77777777" w:rsidTr="00B95821">
        <w:tc>
          <w:tcPr>
            <w:tcW w:w="2182" w:type="dxa"/>
            <w:shd w:val="clear" w:color="auto" w:fill="auto"/>
          </w:tcPr>
          <w:p w14:paraId="085D74E8" w14:textId="77777777" w:rsidR="00BA172C" w:rsidRPr="00E21F2E" w:rsidRDefault="00BA172C" w:rsidP="00B95821">
            <w:pPr>
              <w:pStyle w:val="BodyText"/>
              <w:spacing w:before="100" w:after="100"/>
              <w:rPr>
                <w:b/>
              </w:rPr>
            </w:pPr>
            <w:r w:rsidRPr="00E21F2E">
              <w:t>Austria</w:t>
            </w:r>
          </w:p>
        </w:tc>
        <w:tc>
          <w:tcPr>
            <w:tcW w:w="2183" w:type="dxa"/>
            <w:shd w:val="clear" w:color="auto" w:fill="auto"/>
          </w:tcPr>
          <w:p w14:paraId="045A94DF" w14:textId="77777777" w:rsidR="00BA172C" w:rsidRPr="00E21F2E" w:rsidRDefault="00BA172C" w:rsidP="00B95821">
            <w:pPr>
              <w:pStyle w:val="BodyText"/>
              <w:spacing w:before="100" w:after="100"/>
              <w:rPr>
                <w:b/>
              </w:rPr>
            </w:pPr>
            <w:r w:rsidRPr="00E21F2E">
              <w:t>Bangladesh</w:t>
            </w:r>
          </w:p>
        </w:tc>
        <w:tc>
          <w:tcPr>
            <w:tcW w:w="2182" w:type="dxa"/>
            <w:shd w:val="clear" w:color="auto" w:fill="auto"/>
          </w:tcPr>
          <w:p w14:paraId="220DD60B" w14:textId="77777777" w:rsidR="00BA172C" w:rsidRPr="00E21F2E" w:rsidRDefault="00BA172C" w:rsidP="00B95821">
            <w:pPr>
              <w:pStyle w:val="BodyText"/>
              <w:spacing w:before="100" w:after="100"/>
              <w:rPr>
                <w:b/>
              </w:rPr>
            </w:pPr>
            <w:r w:rsidRPr="00E21F2E">
              <w:t>Cambodia</w:t>
            </w:r>
          </w:p>
        </w:tc>
        <w:tc>
          <w:tcPr>
            <w:tcW w:w="2183" w:type="dxa"/>
            <w:shd w:val="clear" w:color="auto" w:fill="auto"/>
          </w:tcPr>
          <w:p w14:paraId="07D92092" w14:textId="77777777" w:rsidR="00BA172C" w:rsidRPr="00E21F2E" w:rsidRDefault="00BA172C" w:rsidP="00B95821">
            <w:pPr>
              <w:pStyle w:val="BodyText"/>
              <w:spacing w:before="100" w:after="100"/>
              <w:rPr>
                <w:b/>
              </w:rPr>
            </w:pPr>
            <w:r w:rsidRPr="00E21F2E">
              <w:t>Canada</w:t>
            </w:r>
          </w:p>
        </w:tc>
      </w:tr>
      <w:tr w:rsidR="00BA172C" w:rsidRPr="00E21F2E" w14:paraId="34F90653" w14:textId="77777777" w:rsidTr="00B95821">
        <w:tc>
          <w:tcPr>
            <w:tcW w:w="2182" w:type="dxa"/>
            <w:shd w:val="clear" w:color="auto" w:fill="auto"/>
          </w:tcPr>
          <w:p w14:paraId="6E862057" w14:textId="77777777" w:rsidR="00BA172C" w:rsidRPr="00E21F2E" w:rsidRDefault="00BA172C" w:rsidP="00B95821">
            <w:pPr>
              <w:pStyle w:val="BodyText"/>
              <w:spacing w:before="100" w:after="100"/>
              <w:rPr>
                <w:b/>
              </w:rPr>
            </w:pPr>
            <w:r w:rsidRPr="00E21F2E">
              <w:t xml:space="preserve">Chile </w:t>
            </w:r>
          </w:p>
        </w:tc>
        <w:tc>
          <w:tcPr>
            <w:tcW w:w="2183" w:type="dxa"/>
            <w:shd w:val="clear" w:color="auto" w:fill="auto"/>
          </w:tcPr>
          <w:p w14:paraId="2A938CD0" w14:textId="77777777" w:rsidR="00BA172C" w:rsidRPr="00E21F2E" w:rsidRDefault="00BA172C" w:rsidP="00B95821">
            <w:pPr>
              <w:pStyle w:val="BodyText"/>
              <w:spacing w:before="100" w:after="100"/>
              <w:rPr>
                <w:b/>
              </w:rPr>
            </w:pPr>
            <w:r w:rsidRPr="00E21F2E">
              <w:t xml:space="preserve">China </w:t>
            </w:r>
          </w:p>
        </w:tc>
        <w:tc>
          <w:tcPr>
            <w:tcW w:w="2182" w:type="dxa"/>
            <w:shd w:val="clear" w:color="auto" w:fill="auto"/>
          </w:tcPr>
          <w:p w14:paraId="798DCDEB" w14:textId="77777777" w:rsidR="00BA172C" w:rsidRPr="00E21F2E" w:rsidRDefault="00BA172C" w:rsidP="00B95821">
            <w:pPr>
              <w:pStyle w:val="BodyText"/>
              <w:spacing w:before="100" w:after="100"/>
              <w:rPr>
                <w:b/>
              </w:rPr>
            </w:pPr>
            <w:r w:rsidRPr="00E21F2E">
              <w:t xml:space="preserve">Croatia </w:t>
            </w:r>
          </w:p>
        </w:tc>
        <w:tc>
          <w:tcPr>
            <w:tcW w:w="2183" w:type="dxa"/>
            <w:shd w:val="clear" w:color="auto" w:fill="auto"/>
          </w:tcPr>
          <w:p w14:paraId="50219FB7" w14:textId="77777777" w:rsidR="00BA172C" w:rsidRPr="00E21F2E" w:rsidRDefault="00BA172C" w:rsidP="00B95821">
            <w:pPr>
              <w:pStyle w:val="BodyText"/>
              <w:spacing w:before="100" w:after="100"/>
              <w:rPr>
                <w:b/>
              </w:rPr>
            </w:pPr>
            <w:r w:rsidRPr="00E21F2E">
              <w:t>France</w:t>
            </w:r>
          </w:p>
        </w:tc>
      </w:tr>
      <w:tr w:rsidR="00BA172C" w:rsidRPr="00E21F2E" w14:paraId="228359BD" w14:textId="77777777" w:rsidTr="00B95821">
        <w:tc>
          <w:tcPr>
            <w:tcW w:w="2182" w:type="dxa"/>
            <w:shd w:val="clear" w:color="auto" w:fill="auto"/>
          </w:tcPr>
          <w:p w14:paraId="507465A2" w14:textId="77777777" w:rsidR="00BA172C" w:rsidRPr="00E21F2E" w:rsidRDefault="00BA172C" w:rsidP="00B95821">
            <w:pPr>
              <w:pStyle w:val="BodyText"/>
              <w:spacing w:before="100" w:after="100"/>
              <w:rPr>
                <w:b/>
              </w:rPr>
            </w:pPr>
            <w:r w:rsidRPr="00E21F2E">
              <w:t>Germany</w:t>
            </w:r>
          </w:p>
        </w:tc>
        <w:tc>
          <w:tcPr>
            <w:tcW w:w="2183" w:type="dxa"/>
            <w:shd w:val="clear" w:color="auto" w:fill="auto"/>
          </w:tcPr>
          <w:p w14:paraId="1C6BDCA2" w14:textId="77777777" w:rsidR="00BA172C" w:rsidRPr="00E21F2E" w:rsidRDefault="00BA172C" w:rsidP="00B95821">
            <w:pPr>
              <w:pStyle w:val="BodyText"/>
              <w:spacing w:before="100" w:after="100"/>
              <w:rPr>
                <w:b/>
              </w:rPr>
            </w:pPr>
            <w:r w:rsidRPr="00E21F2E">
              <w:t>Greece</w:t>
            </w:r>
          </w:p>
        </w:tc>
        <w:tc>
          <w:tcPr>
            <w:tcW w:w="2182" w:type="dxa"/>
            <w:shd w:val="clear" w:color="auto" w:fill="auto"/>
          </w:tcPr>
          <w:p w14:paraId="70FBF217" w14:textId="77777777" w:rsidR="00BA172C" w:rsidRPr="00E21F2E" w:rsidRDefault="00BA172C" w:rsidP="00B95821">
            <w:pPr>
              <w:pStyle w:val="BodyText"/>
              <w:spacing w:before="100" w:after="100"/>
              <w:rPr>
                <w:b/>
              </w:rPr>
            </w:pPr>
            <w:r w:rsidRPr="00E21F2E">
              <w:t>Hong Kong</w:t>
            </w:r>
          </w:p>
        </w:tc>
        <w:tc>
          <w:tcPr>
            <w:tcW w:w="2183" w:type="dxa"/>
            <w:shd w:val="clear" w:color="auto" w:fill="auto"/>
          </w:tcPr>
          <w:p w14:paraId="0C8341E3" w14:textId="77777777" w:rsidR="00BA172C" w:rsidRPr="00E21F2E" w:rsidRDefault="00BA172C" w:rsidP="00B95821">
            <w:pPr>
              <w:pStyle w:val="BodyText"/>
              <w:spacing w:before="100" w:after="100"/>
              <w:rPr>
                <w:b/>
              </w:rPr>
            </w:pPr>
            <w:r w:rsidRPr="00E21F2E">
              <w:t>Hungary</w:t>
            </w:r>
          </w:p>
        </w:tc>
      </w:tr>
      <w:tr w:rsidR="00BA172C" w:rsidRPr="00E21F2E" w14:paraId="49B14E21" w14:textId="77777777" w:rsidTr="00B95821">
        <w:tc>
          <w:tcPr>
            <w:tcW w:w="2182" w:type="dxa"/>
            <w:shd w:val="clear" w:color="auto" w:fill="auto"/>
          </w:tcPr>
          <w:p w14:paraId="24166AF3" w14:textId="77777777" w:rsidR="00BA172C" w:rsidRPr="00E21F2E" w:rsidRDefault="00BA172C" w:rsidP="00B95821">
            <w:pPr>
              <w:pStyle w:val="BodyText"/>
              <w:spacing w:before="100" w:after="100"/>
              <w:rPr>
                <w:b/>
              </w:rPr>
            </w:pPr>
            <w:r w:rsidRPr="00E21F2E">
              <w:t>Indonesia</w:t>
            </w:r>
          </w:p>
        </w:tc>
        <w:tc>
          <w:tcPr>
            <w:tcW w:w="2183" w:type="dxa"/>
            <w:shd w:val="clear" w:color="auto" w:fill="auto"/>
          </w:tcPr>
          <w:p w14:paraId="0B11A41A" w14:textId="77777777" w:rsidR="00BA172C" w:rsidRPr="00E21F2E" w:rsidRDefault="00BA172C" w:rsidP="00B95821">
            <w:pPr>
              <w:pStyle w:val="BodyText"/>
              <w:spacing w:before="100" w:after="100"/>
              <w:rPr>
                <w:b/>
              </w:rPr>
            </w:pPr>
            <w:r w:rsidRPr="00E21F2E">
              <w:t>India</w:t>
            </w:r>
          </w:p>
        </w:tc>
        <w:tc>
          <w:tcPr>
            <w:tcW w:w="2182" w:type="dxa"/>
            <w:shd w:val="clear" w:color="auto" w:fill="auto"/>
          </w:tcPr>
          <w:p w14:paraId="3ED13949" w14:textId="77777777" w:rsidR="00BA172C" w:rsidRPr="00E21F2E" w:rsidRDefault="00BA172C" w:rsidP="00B95821">
            <w:pPr>
              <w:pStyle w:val="BodyText"/>
              <w:spacing w:before="100" w:after="100"/>
              <w:rPr>
                <w:b/>
              </w:rPr>
            </w:pPr>
            <w:r w:rsidRPr="00E21F2E">
              <w:t>Ireland</w:t>
            </w:r>
          </w:p>
        </w:tc>
        <w:tc>
          <w:tcPr>
            <w:tcW w:w="2183" w:type="dxa"/>
            <w:shd w:val="clear" w:color="auto" w:fill="auto"/>
          </w:tcPr>
          <w:p w14:paraId="7B8F7610" w14:textId="77777777" w:rsidR="00BA172C" w:rsidRPr="00E21F2E" w:rsidRDefault="00BA172C" w:rsidP="00B95821">
            <w:pPr>
              <w:pStyle w:val="BodyText"/>
              <w:spacing w:before="100" w:after="100"/>
              <w:rPr>
                <w:b/>
              </w:rPr>
            </w:pPr>
            <w:r w:rsidRPr="00E21F2E">
              <w:t>Italy</w:t>
            </w:r>
          </w:p>
        </w:tc>
      </w:tr>
      <w:tr w:rsidR="00BA172C" w:rsidRPr="00E21F2E" w14:paraId="3E51D3D1" w14:textId="77777777" w:rsidTr="00B95821">
        <w:tc>
          <w:tcPr>
            <w:tcW w:w="2182" w:type="dxa"/>
            <w:shd w:val="clear" w:color="auto" w:fill="auto"/>
          </w:tcPr>
          <w:p w14:paraId="320F2DD1" w14:textId="77777777" w:rsidR="00BA172C" w:rsidRPr="00E21F2E" w:rsidRDefault="00BA172C" w:rsidP="00B95821">
            <w:pPr>
              <w:pStyle w:val="BodyText"/>
              <w:spacing w:before="100" w:after="100"/>
              <w:rPr>
                <w:b/>
              </w:rPr>
            </w:pPr>
            <w:r w:rsidRPr="00E21F2E">
              <w:t xml:space="preserve">Japan </w:t>
            </w:r>
          </w:p>
        </w:tc>
        <w:tc>
          <w:tcPr>
            <w:tcW w:w="2183" w:type="dxa"/>
            <w:shd w:val="clear" w:color="auto" w:fill="auto"/>
          </w:tcPr>
          <w:p w14:paraId="0B5D7F00" w14:textId="77777777" w:rsidR="00BA172C" w:rsidRPr="00E21F2E" w:rsidRDefault="00BA172C" w:rsidP="00B95821">
            <w:pPr>
              <w:pStyle w:val="BodyText"/>
              <w:spacing w:before="100" w:after="100"/>
              <w:rPr>
                <w:b/>
              </w:rPr>
            </w:pPr>
            <w:r w:rsidRPr="00E21F2E">
              <w:t>Malaysia</w:t>
            </w:r>
          </w:p>
        </w:tc>
        <w:tc>
          <w:tcPr>
            <w:tcW w:w="2182" w:type="dxa"/>
            <w:shd w:val="clear" w:color="auto" w:fill="auto"/>
          </w:tcPr>
          <w:p w14:paraId="1CDDCED6" w14:textId="77777777" w:rsidR="00BA172C" w:rsidRPr="00E21F2E" w:rsidRDefault="00BA172C" w:rsidP="00B95821">
            <w:pPr>
              <w:pStyle w:val="BodyText"/>
              <w:spacing w:before="100" w:after="100"/>
              <w:rPr>
                <w:b/>
              </w:rPr>
            </w:pPr>
            <w:r w:rsidRPr="00E21F2E">
              <w:t>Netherlands</w:t>
            </w:r>
          </w:p>
        </w:tc>
        <w:tc>
          <w:tcPr>
            <w:tcW w:w="2183" w:type="dxa"/>
            <w:shd w:val="clear" w:color="auto" w:fill="auto"/>
          </w:tcPr>
          <w:p w14:paraId="0454A530" w14:textId="77777777" w:rsidR="00BA172C" w:rsidRPr="00E21F2E" w:rsidRDefault="00BA172C" w:rsidP="00B95821">
            <w:pPr>
              <w:pStyle w:val="BodyText"/>
              <w:spacing w:before="100" w:after="100"/>
              <w:rPr>
                <w:b/>
              </w:rPr>
            </w:pPr>
            <w:r w:rsidRPr="00E21F2E">
              <w:t>New Zealand</w:t>
            </w:r>
          </w:p>
        </w:tc>
      </w:tr>
      <w:tr w:rsidR="00BA172C" w:rsidRPr="00E21F2E" w14:paraId="0C138543" w14:textId="77777777" w:rsidTr="00B95821">
        <w:tc>
          <w:tcPr>
            <w:tcW w:w="2182" w:type="dxa"/>
            <w:shd w:val="clear" w:color="auto" w:fill="auto"/>
          </w:tcPr>
          <w:p w14:paraId="6437C74D" w14:textId="77777777" w:rsidR="00BA172C" w:rsidRPr="00E21F2E" w:rsidRDefault="00BA172C" w:rsidP="00B95821">
            <w:pPr>
              <w:pStyle w:val="BodyText"/>
              <w:spacing w:before="100" w:after="100"/>
              <w:rPr>
                <w:b/>
              </w:rPr>
            </w:pPr>
            <w:r w:rsidRPr="00E21F2E">
              <w:t xml:space="preserve">Pakistan </w:t>
            </w:r>
          </w:p>
        </w:tc>
        <w:tc>
          <w:tcPr>
            <w:tcW w:w="2183" w:type="dxa"/>
            <w:shd w:val="clear" w:color="auto" w:fill="auto"/>
          </w:tcPr>
          <w:p w14:paraId="4AE5AEA9" w14:textId="77777777" w:rsidR="00BA172C" w:rsidRPr="00E21F2E" w:rsidRDefault="00BA172C" w:rsidP="00B95821">
            <w:pPr>
              <w:pStyle w:val="BodyText"/>
              <w:spacing w:before="100" w:after="100"/>
              <w:rPr>
                <w:b/>
              </w:rPr>
            </w:pPr>
            <w:r w:rsidRPr="00E21F2E">
              <w:t>Philippines</w:t>
            </w:r>
          </w:p>
        </w:tc>
        <w:tc>
          <w:tcPr>
            <w:tcW w:w="2182" w:type="dxa"/>
            <w:shd w:val="clear" w:color="auto" w:fill="auto"/>
          </w:tcPr>
          <w:p w14:paraId="686A737E" w14:textId="77777777" w:rsidR="00BA172C" w:rsidRPr="00E21F2E" w:rsidRDefault="00BA172C" w:rsidP="00B95821">
            <w:pPr>
              <w:pStyle w:val="BodyText"/>
              <w:spacing w:before="100" w:after="100"/>
              <w:rPr>
                <w:b/>
              </w:rPr>
            </w:pPr>
            <w:r w:rsidRPr="00E21F2E">
              <w:t xml:space="preserve">Poland </w:t>
            </w:r>
          </w:p>
        </w:tc>
        <w:tc>
          <w:tcPr>
            <w:tcW w:w="2183" w:type="dxa"/>
            <w:shd w:val="clear" w:color="auto" w:fill="auto"/>
          </w:tcPr>
          <w:p w14:paraId="56DD8A67" w14:textId="77777777" w:rsidR="00BA172C" w:rsidRPr="00E21F2E" w:rsidRDefault="00BA172C" w:rsidP="00B95821">
            <w:pPr>
              <w:pStyle w:val="BodyText"/>
              <w:spacing w:before="100" w:after="100"/>
              <w:rPr>
                <w:b/>
              </w:rPr>
            </w:pPr>
            <w:r w:rsidRPr="00E21F2E">
              <w:t>Singapore</w:t>
            </w:r>
          </w:p>
        </w:tc>
      </w:tr>
      <w:tr w:rsidR="00BA172C" w:rsidRPr="00E21F2E" w14:paraId="19964984" w14:textId="77777777" w:rsidTr="00B95821">
        <w:tc>
          <w:tcPr>
            <w:tcW w:w="2182" w:type="dxa"/>
            <w:shd w:val="clear" w:color="auto" w:fill="auto"/>
          </w:tcPr>
          <w:p w14:paraId="63EC07C5" w14:textId="77777777" w:rsidR="00BA172C" w:rsidRPr="00E21F2E" w:rsidRDefault="00BA172C" w:rsidP="00B95821">
            <w:pPr>
              <w:pStyle w:val="BodyText"/>
              <w:spacing w:before="100" w:after="100"/>
              <w:rPr>
                <w:b/>
              </w:rPr>
            </w:pPr>
            <w:r w:rsidRPr="00E21F2E">
              <w:t xml:space="preserve">South Africa </w:t>
            </w:r>
          </w:p>
        </w:tc>
        <w:tc>
          <w:tcPr>
            <w:tcW w:w="2183" w:type="dxa"/>
            <w:shd w:val="clear" w:color="auto" w:fill="auto"/>
          </w:tcPr>
          <w:p w14:paraId="70F305C0" w14:textId="77777777" w:rsidR="00BA172C" w:rsidRPr="00E21F2E" w:rsidRDefault="00BA172C" w:rsidP="00B95821">
            <w:pPr>
              <w:pStyle w:val="BodyText"/>
              <w:spacing w:before="100" w:after="100"/>
              <w:rPr>
                <w:b/>
              </w:rPr>
            </w:pPr>
            <w:r w:rsidRPr="00E21F2E">
              <w:t>South Korea</w:t>
            </w:r>
          </w:p>
        </w:tc>
        <w:tc>
          <w:tcPr>
            <w:tcW w:w="2182" w:type="dxa"/>
            <w:shd w:val="clear" w:color="auto" w:fill="auto"/>
          </w:tcPr>
          <w:p w14:paraId="36309A40" w14:textId="77777777" w:rsidR="00BA172C" w:rsidRPr="00E21F2E" w:rsidRDefault="00BA172C" w:rsidP="00B95821">
            <w:pPr>
              <w:pStyle w:val="BodyText"/>
              <w:spacing w:before="100" w:after="100"/>
              <w:rPr>
                <w:b/>
              </w:rPr>
            </w:pPr>
            <w:r w:rsidRPr="00E21F2E">
              <w:t xml:space="preserve">Taiwan </w:t>
            </w:r>
          </w:p>
        </w:tc>
        <w:tc>
          <w:tcPr>
            <w:tcW w:w="2183" w:type="dxa"/>
            <w:shd w:val="clear" w:color="auto" w:fill="auto"/>
          </w:tcPr>
          <w:p w14:paraId="019A5AB4" w14:textId="77777777" w:rsidR="00BA172C" w:rsidRPr="00E21F2E" w:rsidRDefault="00BA172C" w:rsidP="00B95821">
            <w:pPr>
              <w:pStyle w:val="BodyText"/>
              <w:spacing w:before="100" w:after="100"/>
              <w:rPr>
                <w:b/>
              </w:rPr>
            </w:pPr>
            <w:r w:rsidRPr="00E21F2E">
              <w:t>Thailand</w:t>
            </w:r>
          </w:p>
        </w:tc>
      </w:tr>
      <w:tr w:rsidR="00BA172C" w:rsidRPr="00E21F2E" w14:paraId="3D67365F" w14:textId="77777777" w:rsidTr="00B95821">
        <w:tc>
          <w:tcPr>
            <w:tcW w:w="2182" w:type="dxa"/>
            <w:shd w:val="clear" w:color="auto" w:fill="auto"/>
          </w:tcPr>
          <w:p w14:paraId="358F012E" w14:textId="77777777" w:rsidR="00BA172C" w:rsidRPr="00E21F2E" w:rsidRDefault="00BA172C" w:rsidP="00B95821">
            <w:pPr>
              <w:pStyle w:val="BodyText"/>
              <w:spacing w:before="100" w:after="100"/>
              <w:rPr>
                <w:b/>
              </w:rPr>
            </w:pPr>
            <w:r w:rsidRPr="00E21F2E">
              <w:t>Turkey</w:t>
            </w:r>
          </w:p>
        </w:tc>
        <w:tc>
          <w:tcPr>
            <w:tcW w:w="2183" w:type="dxa"/>
            <w:shd w:val="clear" w:color="auto" w:fill="auto"/>
          </w:tcPr>
          <w:p w14:paraId="4A2D17D7" w14:textId="77777777" w:rsidR="00BA172C" w:rsidRPr="00E21F2E" w:rsidRDefault="00BA172C" w:rsidP="00B95821">
            <w:pPr>
              <w:pStyle w:val="BodyText"/>
              <w:spacing w:before="100" w:after="100"/>
              <w:rPr>
                <w:b/>
              </w:rPr>
            </w:pPr>
            <w:r w:rsidRPr="00E21F2E">
              <w:t>United Kingdom</w:t>
            </w:r>
          </w:p>
        </w:tc>
        <w:tc>
          <w:tcPr>
            <w:tcW w:w="2182" w:type="dxa"/>
            <w:shd w:val="clear" w:color="auto" w:fill="auto"/>
          </w:tcPr>
          <w:p w14:paraId="3EF87842" w14:textId="77777777" w:rsidR="00BA172C" w:rsidRPr="00E21F2E" w:rsidRDefault="00BA172C" w:rsidP="00B95821">
            <w:pPr>
              <w:pStyle w:val="BodyText"/>
              <w:spacing w:before="100" w:after="100"/>
              <w:rPr>
                <w:b/>
              </w:rPr>
            </w:pPr>
            <w:r w:rsidRPr="00E21F2E">
              <w:t xml:space="preserve">USA </w:t>
            </w:r>
          </w:p>
        </w:tc>
        <w:tc>
          <w:tcPr>
            <w:tcW w:w="2183" w:type="dxa"/>
            <w:shd w:val="clear" w:color="auto" w:fill="auto"/>
          </w:tcPr>
          <w:p w14:paraId="5D2A5E0E" w14:textId="77777777" w:rsidR="00BA172C" w:rsidRPr="00E21F2E" w:rsidRDefault="00BA172C" w:rsidP="00B95821">
            <w:pPr>
              <w:pStyle w:val="BodyText"/>
              <w:spacing w:before="100" w:after="100"/>
              <w:rPr>
                <w:b/>
              </w:rPr>
            </w:pPr>
            <w:r w:rsidRPr="00E21F2E">
              <w:t>Vietnam</w:t>
            </w:r>
          </w:p>
        </w:tc>
      </w:tr>
    </w:tbl>
    <w:p w14:paraId="3B9DBAF2" w14:textId="77777777" w:rsidR="00BA172C" w:rsidRDefault="00BA172C" w:rsidP="00BA172C">
      <w:pPr>
        <w:pStyle w:val="BodyText"/>
      </w:pPr>
    </w:p>
    <w:p w14:paraId="2D19A6FD" w14:textId="77777777" w:rsidR="00BA172C" w:rsidRPr="00CD3F2D" w:rsidRDefault="00BA172C" w:rsidP="00BA172C">
      <w:pPr>
        <w:pStyle w:val="Heading6"/>
        <w:ind w:left="0" w:firstLine="0"/>
        <w:rPr>
          <w:lang w:val="en-AU"/>
        </w:rPr>
      </w:pPr>
      <w:bookmarkStart w:id="1752" w:name="_Toc455149917"/>
      <w:bookmarkStart w:id="1753" w:name="_Toc509314745"/>
      <w:r w:rsidRPr="00CD3F2D">
        <w:rPr>
          <w:lang w:val="en-AU"/>
        </w:rPr>
        <w:t>My Account</w:t>
      </w:r>
      <w:bookmarkEnd w:id="1752"/>
      <w:bookmarkEnd w:id="1753"/>
    </w:p>
    <w:p w14:paraId="4C27FFEA" w14:textId="77777777" w:rsidR="00BA172C" w:rsidRPr="008B53CC" w:rsidRDefault="00BA172C" w:rsidP="00BA172C">
      <w:pPr>
        <w:pStyle w:val="BodyText"/>
        <w:ind w:left="720"/>
        <w:rPr>
          <w:lang w:val="en-AU"/>
        </w:rPr>
      </w:pPr>
      <w:r w:rsidRPr="008B53CC">
        <w:rPr>
          <w:lang w:val="en-AU"/>
        </w:rPr>
        <w:t xml:space="preserve">Services that share data may have a service login to My Account which will display all of the service numbers contributing to or using the shared data pool on </w:t>
      </w:r>
      <w:r w:rsidRPr="008B53CC">
        <w:rPr>
          <w:i/>
          <w:lang w:val="en-AU"/>
        </w:rPr>
        <w:t xml:space="preserve">your </w:t>
      </w:r>
      <w:r w:rsidRPr="008B53CC">
        <w:rPr>
          <w:lang w:val="en-AU"/>
        </w:rPr>
        <w:t xml:space="preserve">account and the amount of data each service has used. If </w:t>
      </w:r>
      <w:r w:rsidRPr="008B53CC">
        <w:rPr>
          <w:i/>
          <w:lang w:val="en-AU"/>
        </w:rPr>
        <w:t>you</w:t>
      </w:r>
      <w:r w:rsidRPr="008B53CC">
        <w:rPr>
          <w:lang w:val="en-AU"/>
        </w:rPr>
        <w:t xml:space="preserve"> have more than 6 services on </w:t>
      </w:r>
      <w:r w:rsidRPr="008B53CC">
        <w:rPr>
          <w:i/>
          <w:lang w:val="en-AU"/>
        </w:rPr>
        <w:t xml:space="preserve">your </w:t>
      </w:r>
      <w:r w:rsidRPr="008B53CC">
        <w:rPr>
          <w:lang w:val="en-AU"/>
        </w:rPr>
        <w:t xml:space="preserve">account, My Account may not be suitable for viewing usage and managing </w:t>
      </w:r>
      <w:r w:rsidRPr="008B53CC">
        <w:rPr>
          <w:i/>
          <w:lang w:val="en-AU"/>
        </w:rPr>
        <w:t xml:space="preserve">your </w:t>
      </w:r>
      <w:r w:rsidRPr="008B53CC">
        <w:rPr>
          <w:lang w:val="en-AU"/>
        </w:rPr>
        <w:t>usage alerts.</w:t>
      </w:r>
    </w:p>
    <w:p w14:paraId="3591A334" w14:textId="77777777" w:rsidR="00BA172C" w:rsidRPr="00CD3F2D" w:rsidRDefault="00BA172C" w:rsidP="00BA172C">
      <w:pPr>
        <w:pStyle w:val="Heading6"/>
        <w:keepNext/>
        <w:ind w:left="0" w:firstLine="0"/>
        <w:rPr>
          <w:lang w:val="en-AU"/>
        </w:rPr>
      </w:pPr>
      <w:bookmarkStart w:id="1754" w:name="_Toc455149918"/>
      <w:bookmarkStart w:id="1755" w:name="_Toc509314746"/>
      <w:r w:rsidRPr="00CD3F2D">
        <w:rPr>
          <w:lang w:val="en-AU"/>
        </w:rPr>
        <w:t xml:space="preserve">What happens if the </w:t>
      </w:r>
      <w:r w:rsidRPr="00CD3F2D">
        <w:rPr>
          <w:i/>
          <w:lang w:val="en-AU"/>
        </w:rPr>
        <w:t xml:space="preserve">service </w:t>
      </w:r>
      <w:r w:rsidRPr="00CD3F2D">
        <w:rPr>
          <w:lang w:val="en-AU"/>
        </w:rPr>
        <w:t>is</w:t>
      </w:r>
      <w:r w:rsidRPr="00CD3F2D">
        <w:rPr>
          <w:i/>
          <w:lang w:val="en-AU"/>
        </w:rPr>
        <w:t xml:space="preserve"> cancelled</w:t>
      </w:r>
      <w:r w:rsidRPr="00CD3F2D">
        <w:rPr>
          <w:lang w:val="en-AU"/>
        </w:rPr>
        <w:t>?</w:t>
      </w:r>
      <w:bookmarkEnd w:id="1754"/>
      <w:bookmarkEnd w:id="1755"/>
      <w:r w:rsidRPr="00CD3F2D">
        <w:rPr>
          <w:lang w:val="en-AU"/>
        </w:rPr>
        <w:t xml:space="preserve"> </w:t>
      </w:r>
    </w:p>
    <w:p w14:paraId="2F2ECAA6" w14:textId="77777777" w:rsidR="00BA172C" w:rsidRPr="008B53CC" w:rsidRDefault="00BA172C" w:rsidP="00BA172C">
      <w:pPr>
        <w:pStyle w:val="Heading7"/>
        <w:rPr>
          <w:lang w:val="en-AU"/>
        </w:rPr>
      </w:pPr>
      <w:r w:rsidRPr="008B53CC">
        <w:rPr>
          <w:lang w:val="en-AU"/>
        </w:rPr>
        <w:t xml:space="preserve">If </w:t>
      </w:r>
      <w:r w:rsidRPr="008B53CC">
        <w:rPr>
          <w:i/>
          <w:lang w:val="en-AU"/>
        </w:rPr>
        <w:t>your</w:t>
      </w:r>
      <w:r w:rsidRPr="008B53CC">
        <w:rPr>
          <w:lang w:val="en-AU"/>
        </w:rPr>
        <w:t xml:space="preserve"> My Plan Business SIM plan is </w:t>
      </w:r>
      <w:r w:rsidRPr="008B53CC">
        <w:rPr>
          <w:i/>
          <w:lang w:val="en-AU"/>
        </w:rPr>
        <w:t>cancelled</w:t>
      </w:r>
      <w:r w:rsidRPr="008B53CC">
        <w:rPr>
          <w:lang w:val="en-AU"/>
        </w:rPr>
        <w:t xml:space="preserve">, </w:t>
      </w:r>
      <w:r w:rsidRPr="008B53CC">
        <w:rPr>
          <w:i/>
          <w:lang w:val="en-AU"/>
        </w:rPr>
        <w:t>your</w:t>
      </w:r>
      <w:r w:rsidRPr="008B53CC">
        <w:rPr>
          <w:lang w:val="en-AU"/>
        </w:rPr>
        <w:t xml:space="preserve"> Shared Data Plan(s) may also be </w:t>
      </w:r>
      <w:r w:rsidRPr="008B53CC">
        <w:rPr>
          <w:i/>
          <w:lang w:val="en-AU"/>
        </w:rPr>
        <w:t>cancelled</w:t>
      </w:r>
      <w:r w:rsidRPr="008B53CC">
        <w:rPr>
          <w:lang w:val="en-AU"/>
        </w:rPr>
        <w:t xml:space="preserve">. There are no </w:t>
      </w:r>
      <w:r w:rsidRPr="008B53CC">
        <w:rPr>
          <w:i/>
          <w:lang w:val="en-AU"/>
        </w:rPr>
        <w:t>cancellation fees</w:t>
      </w:r>
      <w:r w:rsidRPr="008B53CC">
        <w:rPr>
          <w:lang w:val="en-AU"/>
        </w:rPr>
        <w:t xml:space="preserve"> for the Shared Data Plan, however if </w:t>
      </w:r>
      <w:r w:rsidRPr="008B53CC">
        <w:rPr>
          <w:i/>
          <w:lang w:val="en-AU"/>
        </w:rPr>
        <w:t>you</w:t>
      </w:r>
      <w:r w:rsidRPr="008B53CC">
        <w:rPr>
          <w:lang w:val="en-AU"/>
        </w:rPr>
        <w:t xml:space="preserve"> purchased a </w:t>
      </w:r>
      <w:r w:rsidRPr="008B53CC">
        <w:rPr>
          <w:i/>
          <w:lang w:val="en-AU"/>
        </w:rPr>
        <w:t>device</w:t>
      </w:r>
      <w:r w:rsidRPr="008B53CC">
        <w:rPr>
          <w:lang w:val="en-AU"/>
        </w:rPr>
        <w:t xml:space="preserve"> </w:t>
      </w:r>
      <w:r w:rsidRPr="008B53CC">
        <w:rPr>
          <w:i/>
          <w:lang w:val="en-AU"/>
        </w:rPr>
        <w:t>you</w:t>
      </w:r>
      <w:r w:rsidRPr="008B53CC">
        <w:rPr>
          <w:lang w:val="en-AU"/>
        </w:rPr>
        <w:t xml:space="preserve"> </w:t>
      </w:r>
      <w:r w:rsidRPr="008B53CC">
        <w:rPr>
          <w:lang w:val="en-AU"/>
        </w:rPr>
        <w:lastRenderedPageBreak/>
        <w:t xml:space="preserve">need to pay the sum of any remaining </w:t>
      </w:r>
      <w:r w:rsidRPr="008B53CC">
        <w:rPr>
          <w:i/>
          <w:lang w:val="en-AU"/>
        </w:rPr>
        <w:t xml:space="preserve">equipment charges </w:t>
      </w:r>
      <w:r w:rsidRPr="008B53CC">
        <w:rPr>
          <w:lang w:val="en-AU"/>
        </w:rPr>
        <w:t xml:space="preserve">owing on </w:t>
      </w:r>
      <w:r w:rsidRPr="008B53CC">
        <w:rPr>
          <w:i/>
          <w:lang w:val="en-AU"/>
        </w:rPr>
        <w:t xml:space="preserve">your device </w:t>
      </w:r>
      <w:r w:rsidRPr="008B53CC">
        <w:rPr>
          <w:lang w:val="en-AU"/>
        </w:rPr>
        <w:t xml:space="preserve">under the </w:t>
      </w:r>
      <w:r w:rsidRPr="008B53CC">
        <w:rPr>
          <w:i/>
          <w:lang w:val="en-AU"/>
        </w:rPr>
        <w:t xml:space="preserve">mobile equipment payment plan </w:t>
      </w:r>
      <w:r w:rsidRPr="008B53CC">
        <w:rPr>
          <w:lang w:val="en-AU"/>
        </w:rPr>
        <w:t>(see Appendix D).</w:t>
      </w:r>
    </w:p>
    <w:p w14:paraId="31210418" w14:textId="77777777" w:rsidR="00BA172C" w:rsidRDefault="00BA172C" w:rsidP="00BA172C">
      <w:pPr>
        <w:pStyle w:val="Heading7"/>
      </w:pPr>
      <w:r w:rsidRPr="008B53CC">
        <w:t xml:space="preserve">If </w:t>
      </w:r>
      <w:r w:rsidRPr="008B53CC">
        <w:rPr>
          <w:i/>
        </w:rPr>
        <w:t xml:space="preserve">your </w:t>
      </w:r>
      <w:r w:rsidRPr="008B53CC">
        <w:t xml:space="preserve">Shared Data Plan is not </w:t>
      </w:r>
      <w:r w:rsidRPr="008B53CC">
        <w:rPr>
          <w:i/>
        </w:rPr>
        <w:t>cancelled</w:t>
      </w:r>
      <w:r w:rsidRPr="008B53CC">
        <w:t xml:space="preserve">, </w:t>
      </w:r>
      <w:r w:rsidRPr="008B53CC">
        <w:rPr>
          <w:i/>
        </w:rPr>
        <w:t>you</w:t>
      </w:r>
      <w:r w:rsidRPr="008B53CC">
        <w:t xml:space="preserve"> will be charged $10 per 1GB within Australia, up to a maximum of 150GB (per account) in a billing month.</w:t>
      </w:r>
      <w:r w:rsidR="00E85FA3">
        <w:br/>
      </w:r>
      <w:r w:rsidR="00E85FA3">
        <w:br/>
      </w:r>
    </w:p>
    <w:p w14:paraId="5AA6D2A0" w14:textId="77777777" w:rsidR="00BA172C" w:rsidRPr="00FC5779" w:rsidRDefault="00BA172C" w:rsidP="00BA172C">
      <w:pPr>
        <w:pStyle w:val="Heading4"/>
        <w:rPr>
          <w:lang w:val="en-AU"/>
        </w:rPr>
      </w:pPr>
      <w:bookmarkStart w:id="1756" w:name="_Toc509314747"/>
      <w:bookmarkStart w:id="1757" w:name="_Toc62644696"/>
      <w:r w:rsidRPr="00FC5779">
        <w:rPr>
          <w:lang w:val="en-AU"/>
        </w:rPr>
        <w:t>My Plan Business Tech Fund</w:t>
      </w:r>
      <w:bookmarkEnd w:id="1756"/>
      <w:bookmarkEnd w:id="1757"/>
    </w:p>
    <w:p w14:paraId="4CEB3005" w14:textId="77777777" w:rsidR="00BA172C" w:rsidRDefault="00BA172C" w:rsidP="00BA172C">
      <w:pPr>
        <w:pStyle w:val="BodyText"/>
        <w:ind w:left="720"/>
      </w:pPr>
      <w:r w:rsidRPr="00FC5779">
        <w:rPr>
          <w:lang w:val="en-AU"/>
        </w:rPr>
        <w:t xml:space="preserve">This section relates to the following plans. </w:t>
      </w:r>
      <w:r w:rsidRPr="00FC5779">
        <w:rPr>
          <w:i/>
          <w:lang w:val="en-AU"/>
        </w:rPr>
        <w:t>You</w:t>
      </w:r>
      <w:r w:rsidRPr="00FC5779">
        <w:rPr>
          <w:lang w:val="en-AU"/>
        </w:rPr>
        <w:t xml:space="preserve"> can find </w:t>
      </w:r>
      <w:r w:rsidRPr="00FC5779">
        <w:rPr>
          <w:i/>
          <w:lang w:val="en-AU"/>
        </w:rPr>
        <w:t>your</w:t>
      </w:r>
      <w:r w:rsidRPr="00FC5779">
        <w:rPr>
          <w:lang w:val="en-AU"/>
        </w:rPr>
        <w:t xml:space="preserve"> Plan ID on </w:t>
      </w:r>
      <w:r w:rsidRPr="00FC5779">
        <w:rPr>
          <w:i/>
          <w:lang w:val="en-AU"/>
        </w:rPr>
        <w:t>your</w:t>
      </w:r>
      <w:r w:rsidRPr="00FC5779">
        <w:rPr>
          <w:lang w:val="en-AU"/>
        </w:rPr>
        <w:t xml:space="preserve"> bill under the Mobile Number Summary section:</w:t>
      </w:r>
    </w:p>
    <w:tbl>
      <w:tblPr>
        <w:tblW w:w="92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2126"/>
        <w:gridCol w:w="3554"/>
      </w:tblGrid>
      <w:tr w:rsidR="00BA172C" w:rsidRPr="00090AB3" w14:paraId="2526A605" w14:textId="77777777" w:rsidTr="00E85FA3">
        <w:trPr>
          <w:jc w:val="center"/>
        </w:trPr>
        <w:tc>
          <w:tcPr>
            <w:tcW w:w="3539" w:type="dxa"/>
            <w:shd w:val="clear" w:color="auto" w:fill="auto"/>
          </w:tcPr>
          <w:p w14:paraId="759E1F3B" w14:textId="77777777" w:rsidR="00BA172C" w:rsidRPr="00EE0D35" w:rsidRDefault="00BA172C" w:rsidP="00B95821">
            <w:pPr>
              <w:pStyle w:val="BodyText"/>
              <w:spacing w:before="100" w:after="100"/>
              <w:jc w:val="center"/>
              <w:rPr>
                <w:b/>
                <w:lang w:val="en-AU"/>
              </w:rPr>
            </w:pPr>
            <w:r w:rsidRPr="00EE0D35">
              <w:rPr>
                <w:b/>
                <w:lang w:val="en-AU"/>
              </w:rPr>
              <w:t>Plan</w:t>
            </w:r>
          </w:p>
        </w:tc>
        <w:tc>
          <w:tcPr>
            <w:tcW w:w="2126" w:type="dxa"/>
            <w:shd w:val="clear" w:color="auto" w:fill="auto"/>
          </w:tcPr>
          <w:p w14:paraId="4E211E75" w14:textId="77777777" w:rsidR="00BA172C" w:rsidRPr="00EE0D35" w:rsidRDefault="00BA172C" w:rsidP="00B95821">
            <w:pPr>
              <w:pStyle w:val="BodyText"/>
              <w:spacing w:before="100" w:after="100"/>
              <w:jc w:val="center"/>
              <w:rPr>
                <w:b/>
                <w:lang w:val="en-AU"/>
              </w:rPr>
            </w:pPr>
            <w:r w:rsidRPr="00EE0D35">
              <w:rPr>
                <w:b/>
                <w:lang w:val="en-AU"/>
              </w:rPr>
              <w:t>Plan ID</w:t>
            </w:r>
          </w:p>
        </w:tc>
        <w:tc>
          <w:tcPr>
            <w:tcW w:w="3554" w:type="dxa"/>
            <w:shd w:val="clear" w:color="auto" w:fill="auto"/>
          </w:tcPr>
          <w:p w14:paraId="679A4A70" w14:textId="77777777" w:rsidR="00BA172C" w:rsidRPr="00EE0D35" w:rsidRDefault="00BA172C" w:rsidP="00B95821">
            <w:pPr>
              <w:pStyle w:val="BodyText"/>
              <w:spacing w:before="100" w:after="100"/>
              <w:jc w:val="center"/>
              <w:rPr>
                <w:b/>
                <w:lang w:val="en-AU"/>
              </w:rPr>
            </w:pPr>
            <w:r w:rsidRPr="00EE0D35">
              <w:rPr>
                <w:b/>
                <w:lang w:val="en-AU"/>
              </w:rPr>
              <w:t>Available</w:t>
            </w:r>
          </w:p>
        </w:tc>
      </w:tr>
      <w:tr w:rsidR="00BA172C" w:rsidRPr="00090AB3" w14:paraId="0350DFDC" w14:textId="77777777" w:rsidTr="00E85FA3">
        <w:trPr>
          <w:jc w:val="center"/>
        </w:trPr>
        <w:tc>
          <w:tcPr>
            <w:tcW w:w="3539" w:type="dxa"/>
            <w:shd w:val="clear" w:color="auto" w:fill="auto"/>
          </w:tcPr>
          <w:p w14:paraId="56BBE6E8" w14:textId="77777777" w:rsidR="00BA172C" w:rsidRPr="00090AB3" w:rsidRDefault="00BA172C" w:rsidP="00B95821">
            <w:pPr>
              <w:pStyle w:val="BodyText"/>
              <w:spacing w:before="100" w:after="100"/>
              <w:jc w:val="center"/>
              <w:rPr>
                <w:lang w:val="en-AU"/>
              </w:rPr>
            </w:pPr>
            <w:r w:rsidRPr="00090AB3">
              <w:rPr>
                <w:lang w:val="en-AU"/>
              </w:rPr>
              <w:t>$4</w:t>
            </w:r>
            <w:r>
              <w:rPr>
                <w:lang w:val="en-AU"/>
              </w:rPr>
              <w:t>5</w:t>
            </w:r>
            <w:r w:rsidRPr="00090AB3">
              <w:rPr>
                <w:lang w:val="en-AU"/>
              </w:rPr>
              <w:t xml:space="preserve"> My Plan Business Tech Fund</w:t>
            </w:r>
          </w:p>
        </w:tc>
        <w:tc>
          <w:tcPr>
            <w:tcW w:w="2126" w:type="dxa"/>
            <w:shd w:val="clear" w:color="auto" w:fill="auto"/>
            <w:vAlign w:val="center"/>
          </w:tcPr>
          <w:p w14:paraId="01962B00" w14:textId="77777777" w:rsidR="00BA172C" w:rsidRPr="00090AB3" w:rsidRDefault="00BA172C" w:rsidP="00B95821">
            <w:pPr>
              <w:pStyle w:val="BodyText"/>
              <w:spacing w:before="100" w:after="100"/>
              <w:jc w:val="center"/>
            </w:pPr>
            <w:r>
              <w:t>800528. 9954292</w:t>
            </w:r>
          </w:p>
        </w:tc>
        <w:tc>
          <w:tcPr>
            <w:tcW w:w="3554" w:type="dxa"/>
            <w:shd w:val="clear" w:color="auto" w:fill="auto"/>
          </w:tcPr>
          <w:p w14:paraId="78FC54DF" w14:textId="77777777" w:rsidR="00BA172C" w:rsidRPr="00090AB3" w:rsidRDefault="00BA172C" w:rsidP="00B95821">
            <w:pPr>
              <w:pStyle w:val="BodyText"/>
              <w:spacing w:before="100" w:after="100"/>
              <w:jc w:val="center"/>
              <w:rPr>
                <w:lang w:val="en-AU"/>
              </w:rPr>
            </w:pPr>
            <w:r>
              <w:rPr>
                <w:lang w:val="en-AU"/>
              </w:rPr>
              <w:t>5 September 2016</w:t>
            </w:r>
            <w:r w:rsidR="00E85FA3">
              <w:t xml:space="preserve"> – </w:t>
            </w:r>
            <w:r w:rsidR="00343D1D">
              <w:t>30 June 2018</w:t>
            </w:r>
          </w:p>
        </w:tc>
      </w:tr>
      <w:tr w:rsidR="00BA172C" w:rsidRPr="00090AB3" w14:paraId="4094FC7B" w14:textId="77777777" w:rsidTr="00E85FA3">
        <w:trPr>
          <w:jc w:val="center"/>
        </w:trPr>
        <w:tc>
          <w:tcPr>
            <w:tcW w:w="3539" w:type="dxa"/>
            <w:shd w:val="clear" w:color="auto" w:fill="auto"/>
          </w:tcPr>
          <w:p w14:paraId="50A8A8B4" w14:textId="77777777" w:rsidR="00BA172C" w:rsidRPr="00090AB3" w:rsidRDefault="00BA172C" w:rsidP="00B95821">
            <w:pPr>
              <w:pStyle w:val="BodyText"/>
              <w:spacing w:before="100" w:after="100"/>
              <w:jc w:val="center"/>
              <w:rPr>
                <w:lang w:val="en-AU"/>
              </w:rPr>
            </w:pPr>
            <w:r w:rsidRPr="00090AB3">
              <w:rPr>
                <w:lang w:val="en-AU"/>
              </w:rPr>
              <w:t>$</w:t>
            </w:r>
            <w:r>
              <w:rPr>
                <w:lang w:val="en-AU"/>
              </w:rPr>
              <w:t>70</w:t>
            </w:r>
            <w:r w:rsidRPr="00090AB3">
              <w:rPr>
                <w:lang w:val="en-AU"/>
              </w:rPr>
              <w:t xml:space="preserve"> My Plan Business Tech Fund</w:t>
            </w:r>
          </w:p>
        </w:tc>
        <w:tc>
          <w:tcPr>
            <w:tcW w:w="2126" w:type="dxa"/>
            <w:shd w:val="clear" w:color="auto" w:fill="auto"/>
            <w:vAlign w:val="center"/>
          </w:tcPr>
          <w:p w14:paraId="715CDA8E" w14:textId="77777777" w:rsidR="00BA172C" w:rsidRPr="00090AB3" w:rsidRDefault="00BA172C" w:rsidP="00B95821">
            <w:pPr>
              <w:pStyle w:val="BodyText"/>
              <w:spacing w:before="100" w:after="100"/>
              <w:jc w:val="center"/>
            </w:pPr>
            <w:r>
              <w:t>800529, 9954302</w:t>
            </w:r>
          </w:p>
        </w:tc>
        <w:tc>
          <w:tcPr>
            <w:tcW w:w="3554" w:type="dxa"/>
            <w:shd w:val="clear" w:color="auto" w:fill="auto"/>
          </w:tcPr>
          <w:p w14:paraId="12397047" w14:textId="77777777" w:rsidR="00BA172C" w:rsidRPr="00090AB3" w:rsidRDefault="00BA172C" w:rsidP="00B95821">
            <w:pPr>
              <w:pStyle w:val="BodyText"/>
              <w:spacing w:before="100" w:after="100"/>
              <w:jc w:val="center"/>
            </w:pPr>
            <w:r w:rsidRPr="00B93D19">
              <w:rPr>
                <w:lang w:val="en-AU"/>
              </w:rPr>
              <w:t>5 September 2016</w:t>
            </w:r>
            <w:r w:rsidR="00E85FA3">
              <w:t xml:space="preserve"> – </w:t>
            </w:r>
            <w:r w:rsidR="00343D1D">
              <w:t>30 June 2018</w:t>
            </w:r>
          </w:p>
        </w:tc>
      </w:tr>
      <w:tr w:rsidR="00BA172C" w:rsidRPr="00090AB3" w14:paraId="1892DBE6" w14:textId="77777777" w:rsidTr="00E85FA3">
        <w:trPr>
          <w:jc w:val="center"/>
        </w:trPr>
        <w:tc>
          <w:tcPr>
            <w:tcW w:w="3539" w:type="dxa"/>
            <w:shd w:val="clear" w:color="auto" w:fill="auto"/>
          </w:tcPr>
          <w:p w14:paraId="2EA6C65D" w14:textId="77777777" w:rsidR="00BA172C" w:rsidRPr="00090AB3" w:rsidRDefault="00BA172C" w:rsidP="00B95821">
            <w:pPr>
              <w:pStyle w:val="BodyText"/>
              <w:spacing w:before="100" w:after="100"/>
              <w:jc w:val="center"/>
              <w:rPr>
                <w:lang w:val="en-AU"/>
              </w:rPr>
            </w:pPr>
            <w:r w:rsidRPr="00090AB3">
              <w:rPr>
                <w:lang w:val="en-AU"/>
              </w:rPr>
              <w:t>$</w:t>
            </w:r>
            <w:r>
              <w:rPr>
                <w:lang w:val="en-AU"/>
              </w:rPr>
              <w:t>90</w:t>
            </w:r>
            <w:r w:rsidRPr="00090AB3">
              <w:rPr>
                <w:lang w:val="en-AU"/>
              </w:rPr>
              <w:t xml:space="preserve"> My Plan Business Tech Fund</w:t>
            </w:r>
          </w:p>
        </w:tc>
        <w:tc>
          <w:tcPr>
            <w:tcW w:w="2126" w:type="dxa"/>
            <w:shd w:val="clear" w:color="auto" w:fill="auto"/>
            <w:vAlign w:val="center"/>
          </w:tcPr>
          <w:p w14:paraId="4F14A2CB" w14:textId="77777777" w:rsidR="00BA172C" w:rsidRPr="00090AB3" w:rsidRDefault="00BA172C" w:rsidP="00B95821">
            <w:pPr>
              <w:pStyle w:val="BodyText"/>
              <w:spacing w:before="100" w:after="100"/>
              <w:jc w:val="center"/>
            </w:pPr>
            <w:r>
              <w:t>800530, 9954312</w:t>
            </w:r>
          </w:p>
        </w:tc>
        <w:tc>
          <w:tcPr>
            <w:tcW w:w="3554" w:type="dxa"/>
            <w:shd w:val="clear" w:color="auto" w:fill="auto"/>
          </w:tcPr>
          <w:p w14:paraId="65B62ABF" w14:textId="77777777" w:rsidR="00BA172C" w:rsidRPr="00090AB3" w:rsidRDefault="00BA172C" w:rsidP="00B95821">
            <w:pPr>
              <w:pStyle w:val="BodyText"/>
              <w:spacing w:before="100" w:after="100"/>
              <w:jc w:val="center"/>
            </w:pPr>
            <w:r w:rsidRPr="00B93D19">
              <w:rPr>
                <w:lang w:val="en-AU"/>
              </w:rPr>
              <w:t>5 September 2016</w:t>
            </w:r>
            <w:r w:rsidR="00E85FA3">
              <w:t xml:space="preserve"> – </w:t>
            </w:r>
            <w:r w:rsidR="00343D1D">
              <w:t>30 June</w:t>
            </w:r>
            <w:r w:rsidR="00E85FA3">
              <w:t xml:space="preserve"> 2018</w:t>
            </w:r>
          </w:p>
        </w:tc>
      </w:tr>
      <w:tr w:rsidR="00BA172C" w:rsidRPr="00A974C9" w14:paraId="77A24BEE" w14:textId="77777777" w:rsidTr="00E85FA3">
        <w:trPr>
          <w:jc w:val="center"/>
        </w:trPr>
        <w:tc>
          <w:tcPr>
            <w:tcW w:w="3539" w:type="dxa"/>
            <w:shd w:val="clear" w:color="auto" w:fill="auto"/>
          </w:tcPr>
          <w:p w14:paraId="550AB95B" w14:textId="77777777" w:rsidR="00BA172C" w:rsidRPr="00A974C9" w:rsidRDefault="00BA172C" w:rsidP="00B95821">
            <w:pPr>
              <w:pStyle w:val="BodyText"/>
              <w:spacing w:before="100" w:after="100"/>
              <w:jc w:val="center"/>
              <w:rPr>
                <w:lang w:val="en-AU"/>
              </w:rPr>
            </w:pPr>
            <w:r w:rsidRPr="00A974C9">
              <w:t>$10</w:t>
            </w:r>
            <w:r>
              <w:t>5</w:t>
            </w:r>
            <w:r w:rsidRPr="00A974C9">
              <w:t xml:space="preserve"> My Plan Business Tech Fund</w:t>
            </w:r>
          </w:p>
        </w:tc>
        <w:tc>
          <w:tcPr>
            <w:tcW w:w="2126" w:type="dxa"/>
            <w:shd w:val="clear" w:color="auto" w:fill="auto"/>
          </w:tcPr>
          <w:p w14:paraId="1775B7BF" w14:textId="77777777" w:rsidR="00BA172C" w:rsidRPr="00A974C9" w:rsidRDefault="00BA172C" w:rsidP="00B95821">
            <w:pPr>
              <w:pStyle w:val="BodyText"/>
              <w:spacing w:before="100" w:after="100"/>
              <w:jc w:val="center"/>
            </w:pPr>
            <w:r>
              <w:t>800531, 9954322</w:t>
            </w:r>
          </w:p>
        </w:tc>
        <w:tc>
          <w:tcPr>
            <w:tcW w:w="3554" w:type="dxa"/>
            <w:shd w:val="clear" w:color="auto" w:fill="auto"/>
          </w:tcPr>
          <w:p w14:paraId="1A16CC24" w14:textId="77777777" w:rsidR="00BA172C" w:rsidRPr="00A974C9" w:rsidRDefault="00BA172C" w:rsidP="00B95821">
            <w:pPr>
              <w:pStyle w:val="BodyText"/>
              <w:spacing w:before="100" w:after="100"/>
              <w:jc w:val="center"/>
            </w:pPr>
            <w:r w:rsidRPr="00B93D19">
              <w:rPr>
                <w:lang w:val="en-AU"/>
              </w:rPr>
              <w:t>5 September 2016</w:t>
            </w:r>
            <w:r w:rsidR="00E85FA3">
              <w:t xml:space="preserve"> – </w:t>
            </w:r>
            <w:r w:rsidR="00343D1D">
              <w:t>30 June 2018</w:t>
            </w:r>
          </w:p>
        </w:tc>
      </w:tr>
      <w:tr w:rsidR="00BA172C" w:rsidRPr="00F632D6" w14:paraId="2839A78A" w14:textId="77777777" w:rsidTr="00E85FA3">
        <w:trPr>
          <w:trHeight w:val="53"/>
          <w:jc w:val="center"/>
        </w:trPr>
        <w:tc>
          <w:tcPr>
            <w:tcW w:w="3539" w:type="dxa"/>
            <w:shd w:val="clear" w:color="auto" w:fill="auto"/>
          </w:tcPr>
          <w:p w14:paraId="2847D4E9" w14:textId="77777777" w:rsidR="00BA172C" w:rsidRPr="00F632D6" w:rsidRDefault="00BA172C" w:rsidP="00B95821">
            <w:pPr>
              <w:pStyle w:val="BodyText"/>
              <w:spacing w:before="100" w:after="100"/>
              <w:jc w:val="center"/>
            </w:pPr>
            <w:r w:rsidRPr="00F632D6">
              <w:t>$</w:t>
            </w:r>
            <w:r>
              <w:t>130</w:t>
            </w:r>
            <w:r w:rsidRPr="00F632D6">
              <w:t xml:space="preserve"> My Plan Business Tech Fund</w:t>
            </w:r>
          </w:p>
        </w:tc>
        <w:tc>
          <w:tcPr>
            <w:tcW w:w="2126" w:type="dxa"/>
            <w:shd w:val="clear" w:color="auto" w:fill="auto"/>
          </w:tcPr>
          <w:p w14:paraId="66BFB467" w14:textId="77777777" w:rsidR="00BA172C" w:rsidRPr="00F632D6" w:rsidDel="00432A16" w:rsidRDefault="00BA172C" w:rsidP="00B95821">
            <w:pPr>
              <w:pStyle w:val="BodyText"/>
              <w:spacing w:before="100" w:after="100"/>
              <w:jc w:val="center"/>
            </w:pPr>
            <w:r>
              <w:t>800713, 16020665</w:t>
            </w:r>
          </w:p>
        </w:tc>
        <w:tc>
          <w:tcPr>
            <w:tcW w:w="3554" w:type="dxa"/>
            <w:shd w:val="clear" w:color="auto" w:fill="auto"/>
          </w:tcPr>
          <w:p w14:paraId="6378B160" w14:textId="77777777" w:rsidR="00BA172C" w:rsidRPr="00F632D6" w:rsidRDefault="00BA172C" w:rsidP="00B95821">
            <w:pPr>
              <w:pStyle w:val="BodyText"/>
              <w:spacing w:before="100" w:after="100"/>
              <w:jc w:val="center"/>
              <w:rPr>
                <w:lang w:val="en-AU"/>
              </w:rPr>
            </w:pPr>
            <w:r>
              <w:rPr>
                <w:lang w:val="en-AU"/>
              </w:rPr>
              <w:t>5 June 2017</w:t>
            </w:r>
            <w:r w:rsidR="00E85FA3">
              <w:t xml:space="preserve"> – </w:t>
            </w:r>
            <w:r w:rsidR="00343D1D">
              <w:t>30 June 2018</w:t>
            </w:r>
          </w:p>
        </w:tc>
      </w:tr>
    </w:tbl>
    <w:p w14:paraId="46DD0FAE" w14:textId="77777777" w:rsidR="00BA172C" w:rsidRPr="00FC5779" w:rsidRDefault="00BA172C" w:rsidP="00BA172C">
      <w:pPr>
        <w:pStyle w:val="BodyText"/>
        <w:rPr>
          <w:b/>
        </w:rPr>
      </w:pPr>
    </w:p>
    <w:p w14:paraId="29AF690B" w14:textId="77777777" w:rsidR="00BA172C" w:rsidRPr="00CD3F2D" w:rsidRDefault="00BA172C" w:rsidP="00BA172C">
      <w:pPr>
        <w:pStyle w:val="Heading6"/>
        <w:ind w:left="0" w:firstLine="0"/>
        <w:rPr>
          <w:lang w:val="en-AU"/>
        </w:rPr>
      </w:pPr>
      <w:bookmarkStart w:id="1758" w:name="_Toc509314748"/>
      <w:r w:rsidRPr="00CD3F2D">
        <w:rPr>
          <w:lang w:val="en-AU"/>
        </w:rPr>
        <w:t>Eligibility</w:t>
      </w:r>
      <w:bookmarkEnd w:id="1758"/>
    </w:p>
    <w:p w14:paraId="495D94E0" w14:textId="77777777" w:rsidR="00BA172C" w:rsidRPr="00C12929" w:rsidRDefault="00BA172C" w:rsidP="00BA172C">
      <w:pPr>
        <w:pStyle w:val="BodyText"/>
        <w:ind w:left="720"/>
        <w:rPr>
          <w:lang w:val="en-AU"/>
        </w:rPr>
      </w:pPr>
      <w:r w:rsidRPr="00C12929">
        <w:rPr>
          <w:lang w:val="en-AU"/>
        </w:rPr>
        <w:t>The My Plan Business Tech Fund plans are available to new and existing business mobile customers who pass Optus</w:t>
      </w:r>
      <w:r>
        <w:rPr>
          <w:lang w:val="en-AU"/>
        </w:rPr>
        <w:t>'</w:t>
      </w:r>
      <w:r w:rsidRPr="00C12929">
        <w:rPr>
          <w:lang w:val="en-AU"/>
        </w:rPr>
        <w:t xml:space="preserve"> credit assessment. To be eligible for this plan, businesses must provide Optus with a registered ACN, ARBN or ABN and must sign up for a minimum of 6 services to a My Plan Business Tech Fund Plan on a single Optus billing account. </w:t>
      </w:r>
    </w:p>
    <w:p w14:paraId="262532F6" w14:textId="77777777" w:rsidR="00BA172C" w:rsidRPr="00C12929" w:rsidRDefault="00BA172C" w:rsidP="00BA172C">
      <w:pPr>
        <w:pStyle w:val="BodyText"/>
        <w:ind w:left="720"/>
        <w:rPr>
          <w:lang w:val="en-AU"/>
        </w:rPr>
      </w:pPr>
      <w:r w:rsidRPr="00C12929">
        <w:rPr>
          <w:lang w:val="en-AU"/>
        </w:rPr>
        <w:t>Optus Service Providers</w:t>
      </w:r>
      <w:r>
        <w:rPr>
          <w:lang w:val="en-AU"/>
        </w:rPr>
        <w:t>'</w:t>
      </w:r>
      <w:r w:rsidRPr="00C12929">
        <w:rPr>
          <w:lang w:val="en-AU"/>
        </w:rPr>
        <w:t xml:space="preserve"> customers are not eligible to apply.</w:t>
      </w:r>
    </w:p>
    <w:p w14:paraId="7C20DC2F" w14:textId="77777777" w:rsidR="00BA172C" w:rsidRPr="00C12929" w:rsidRDefault="00BA172C" w:rsidP="00BA172C">
      <w:pPr>
        <w:pStyle w:val="BodyText"/>
        <w:ind w:left="720"/>
        <w:rPr>
          <w:lang w:val="en-AU"/>
        </w:rPr>
      </w:pPr>
      <w:r w:rsidRPr="00C12929">
        <w:rPr>
          <w:lang w:val="en-AU"/>
        </w:rPr>
        <w:t xml:space="preserve">These </w:t>
      </w:r>
      <w:r w:rsidRPr="00C12929">
        <w:rPr>
          <w:i/>
          <w:lang w:val="en-AU"/>
        </w:rPr>
        <w:t>plans</w:t>
      </w:r>
      <w:r w:rsidRPr="00C12929">
        <w:rPr>
          <w:lang w:val="en-AU"/>
        </w:rPr>
        <w:t xml:space="preserve"> aren</w:t>
      </w:r>
      <w:r>
        <w:rPr>
          <w:lang w:val="en-AU"/>
        </w:rPr>
        <w:t>'</w:t>
      </w:r>
      <w:r w:rsidRPr="00C12929">
        <w:rPr>
          <w:lang w:val="en-AU"/>
        </w:rPr>
        <w:t>t compatible for data use with BlackBerry handsets on operating systems of 7.1 or earlier.</w:t>
      </w:r>
    </w:p>
    <w:p w14:paraId="13ABE898" w14:textId="77777777" w:rsidR="00BA172C" w:rsidRPr="00CD3F2D" w:rsidRDefault="00BA172C" w:rsidP="00BA172C">
      <w:pPr>
        <w:pStyle w:val="Heading6"/>
        <w:ind w:left="0" w:firstLine="0"/>
        <w:rPr>
          <w:lang w:val="en-AU"/>
        </w:rPr>
      </w:pPr>
      <w:bookmarkStart w:id="1759" w:name="_Toc509314749"/>
      <w:r w:rsidRPr="00CD3F2D">
        <w:rPr>
          <w:lang w:val="en-AU"/>
        </w:rPr>
        <w:t>Minimum Term</w:t>
      </w:r>
      <w:bookmarkEnd w:id="1759"/>
    </w:p>
    <w:p w14:paraId="4506C9E3" w14:textId="77777777" w:rsidR="00BA172C" w:rsidRPr="00C12929" w:rsidRDefault="00BA172C" w:rsidP="00BA172C">
      <w:pPr>
        <w:pStyle w:val="BodyText"/>
        <w:ind w:firstLine="720"/>
        <w:rPr>
          <w:lang w:val="en-AU"/>
        </w:rPr>
      </w:pPr>
      <w:r w:rsidRPr="00C12929">
        <w:rPr>
          <w:lang w:val="en-AU"/>
        </w:rPr>
        <w:t xml:space="preserve">These </w:t>
      </w:r>
      <w:r w:rsidRPr="00C12929">
        <w:rPr>
          <w:i/>
          <w:lang w:val="en-AU"/>
        </w:rPr>
        <w:t>plans</w:t>
      </w:r>
      <w:r w:rsidRPr="00C12929">
        <w:rPr>
          <w:lang w:val="en-AU"/>
        </w:rPr>
        <w:t xml:space="preserve"> have</w:t>
      </w:r>
      <w:r w:rsidRPr="00C12929">
        <w:rPr>
          <w:i/>
          <w:lang w:val="en-AU"/>
        </w:rPr>
        <w:t xml:space="preserve"> </w:t>
      </w:r>
      <w:r w:rsidRPr="00C12929">
        <w:rPr>
          <w:lang w:val="en-AU"/>
        </w:rPr>
        <w:t xml:space="preserve">a </w:t>
      </w:r>
      <w:r w:rsidRPr="00C12929">
        <w:rPr>
          <w:i/>
          <w:lang w:val="en-AU"/>
        </w:rPr>
        <w:t>fixed length agreement</w:t>
      </w:r>
      <w:r w:rsidRPr="00C12929">
        <w:rPr>
          <w:lang w:val="en-AU"/>
        </w:rPr>
        <w:t xml:space="preserve"> with a 24 month </w:t>
      </w:r>
      <w:r w:rsidRPr="00C12929">
        <w:rPr>
          <w:i/>
          <w:lang w:val="en-AU"/>
        </w:rPr>
        <w:t>minimum term.</w:t>
      </w:r>
    </w:p>
    <w:p w14:paraId="307BEBEC" w14:textId="77777777" w:rsidR="00BA172C" w:rsidRPr="00CD3F2D" w:rsidRDefault="00BA172C" w:rsidP="00BA172C">
      <w:pPr>
        <w:pStyle w:val="Heading6"/>
        <w:ind w:left="0" w:firstLine="0"/>
        <w:rPr>
          <w:lang w:val="en-AU"/>
        </w:rPr>
      </w:pPr>
      <w:bookmarkStart w:id="1760" w:name="_Toc509314750"/>
      <w:r w:rsidRPr="00CD3F2D">
        <w:rPr>
          <w:lang w:val="en-AU"/>
        </w:rPr>
        <w:t>What you have to pay us</w:t>
      </w:r>
      <w:bookmarkEnd w:id="1760"/>
    </w:p>
    <w:p w14:paraId="1D168A23" w14:textId="77777777" w:rsidR="00BA172C" w:rsidRPr="00C12929" w:rsidRDefault="00BA172C" w:rsidP="00BA172C">
      <w:pPr>
        <w:pStyle w:val="Heading7"/>
        <w:rPr>
          <w:lang w:val="en-AU"/>
        </w:rPr>
      </w:pPr>
      <w:r w:rsidRPr="00C12929">
        <w:rPr>
          <w:i/>
          <w:lang w:val="en-AU"/>
        </w:rPr>
        <w:t>You</w:t>
      </w:r>
      <w:r w:rsidRPr="00C12929">
        <w:rPr>
          <w:lang w:val="en-AU"/>
        </w:rPr>
        <w:t xml:space="preserve"> must pay </w:t>
      </w:r>
      <w:r w:rsidRPr="00C12929">
        <w:rPr>
          <w:i/>
          <w:lang w:val="en-AU"/>
        </w:rPr>
        <w:t>us</w:t>
      </w:r>
      <w:r w:rsidRPr="00C12929">
        <w:rPr>
          <w:lang w:val="en-AU"/>
        </w:rPr>
        <w:t xml:space="preserve"> for use of the </w:t>
      </w:r>
      <w:r w:rsidRPr="00C12929">
        <w:rPr>
          <w:i/>
          <w:lang w:val="en-AU"/>
        </w:rPr>
        <w:t>service</w:t>
      </w:r>
      <w:r w:rsidRPr="00C12929">
        <w:rPr>
          <w:lang w:val="en-AU"/>
        </w:rPr>
        <w:t xml:space="preserve"> at the rates set out in Section 1 of this </w:t>
      </w:r>
      <w:r w:rsidRPr="00C12929">
        <w:rPr>
          <w:i/>
          <w:lang w:val="en-AU"/>
        </w:rPr>
        <w:t>standard pricing table</w:t>
      </w:r>
      <w:r w:rsidRPr="00C12929">
        <w:rPr>
          <w:lang w:val="en-AU"/>
        </w:rPr>
        <w:t xml:space="preserve"> and for value added service features at the rates set out in </w:t>
      </w:r>
      <w:hyperlink r:id="rId767" w:history="1">
        <w:r w:rsidRPr="00365735">
          <w:rPr>
            <w:rStyle w:val="Hyperlink"/>
            <w:i/>
            <w:lang w:val="en-AU"/>
          </w:rPr>
          <w:t>Appendix Y Value Added Service Features</w:t>
        </w:r>
        <w:r w:rsidRPr="004F0BB5">
          <w:rPr>
            <w:rStyle w:val="Hyperlink"/>
            <w:lang w:val="en-AU"/>
          </w:rPr>
          <w:t>.</w:t>
        </w:r>
      </w:hyperlink>
    </w:p>
    <w:p w14:paraId="04BE2C8C" w14:textId="77777777" w:rsidR="00BA172C" w:rsidRPr="00C12929" w:rsidRDefault="00BA172C" w:rsidP="00BA172C">
      <w:pPr>
        <w:pStyle w:val="Heading7"/>
        <w:rPr>
          <w:lang w:val="en-AU"/>
        </w:rPr>
      </w:pPr>
      <w:r w:rsidRPr="00C12929">
        <w:rPr>
          <w:lang w:val="en-AU"/>
        </w:rPr>
        <w:t>If there is a flagfall for a particular call type, the charge for these calls is the flagfall amount plus the relevant rate for the call multiplied by the duration of the call.</w:t>
      </w:r>
    </w:p>
    <w:p w14:paraId="0EBFA372" w14:textId="77777777" w:rsidR="00BA172C" w:rsidRPr="002663BF" w:rsidRDefault="00BA172C" w:rsidP="00BA172C">
      <w:pPr>
        <w:pStyle w:val="Heading7"/>
        <w:rPr>
          <w:b/>
          <w:lang w:val="en-AU"/>
        </w:rPr>
      </w:pPr>
      <w:r w:rsidRPr="002663BF">
        <w:rPr>
          <w:b/>
          <w:lang w:val="en-AU"/>
        </w:rPr>
        <w:t>Minimum Monthly Charge</w:t>
      </w:r>
    </w:p>
    <w:p w14:paraId="68EE02CF" w14:textId="77777777" w:rsidR="00BA172C" w:rsidRPr="00C12929" w:rsidRDefault="00BA172C" w:rsidP="00BA172C">
      <w:pPr>
        <w:pStyle w:val="Heading8"/>
        <w:rPr>
          <w:lang w:val="en-AU"/>
        </w:rPr>
      </w:pPr>
      <w:r w:rsidRPr="00C12929">
        <w:rPr>
          <w:lang w:val="en-AU"/>
        </w:rPr>
        <w:t xml:space="preserve">Each My Plan Business Tech Fund plan has a Minimum Monthly Charge amount that </w:t>
      </w:r>
      <w:r w:rsidRPr="00C12929">
        <w:rPr>
          <w:i/>
          <w:lang w:val="en-AU"/>
        </w:rPr>
        <w:t>you</w:t>
      </w:r>
      <w:r w:rsidRPr="00C12929">
        <w:rPr>
          <w:lang w:val="en-AU"/>
        </w:rPr>
        <w:t xml:space="preserve"> must pay </w:t>
      </w:r>
      <w:r w:rsidRPr="00C12929">
        <w:rPr>
          <w:i/>
          <w:lang w:val="en-AU"/>
        </w:rPr>
        <w:t>us</w:t>
      </w:r>
      <w:r w:rsidRPr="00C12929">
        <w:rPr>
          <w:lang w:val="en-AU"/>
        </w:rPr>
        <w:t xml:space="preserve"> each month as set out in Table 1 below.</w:t>
      </w:r>
      <w:r>
        <w:rPr>
          <w:lang w:val="en-AU"/>
        </w:rPr>
        <w:t xml:space="preserve"> </w:t>
      </w:r>
    </w:p>
    <w:p w14:paraId="0DEEBA76" w14:textId="77777777" w:rsidR="00BA172C" w:rsidRPr="00CD3F2D" w:rsidRDefault="00BA172C" w:rsidP="00BA172C">
      <w:pPr>
        <w:pStyle w:val="Heading6"/>
        <w:ind w:left="0" w:firstLine="0"/>
        <w:rPr>
          <w:lang w:val="en-AU"/>
        </w:rPr>
      </w:pPr>
      <w:bookmarkStart w:id="1761" w:name="_Toc509314751"/>
      <w:r w:rsidRPr="00CD3F2D">
        <w:rPr>
          <w:lang w:val="en-AU"/>
        </w:rPr>
        <w:t>How My Plan Business Tech Fund works</w:t>
      </w:r>
      <w:bookmarkEnd w:id="1761"/>
    </w:p>
    <w:p w14:paraId="1A73ECA1" w14:textId="77777777" w:rsidR="00BA172C" w:rsidRPr="00C12929" w:rsidRDefault="00BA172C" w:rsidP="00BA172C">
      <w:pPr>
        <w:pStyle w:val="Heading7"/>
        <w:rPr>
          <w:lang w:val="en-AU"/>
        </w:rPr>
      </w:pPr>
      <w:r w:rsidRPr="00C12929">
        <w:rPr>
          <w:lang w:val="en-AU"/>
        </w:rPr>
        <w:t xml:space="preserve">Each My Plan Business Tech Fund has unlimited minutes to use on standard national calls to landlines and mobiles, 13/1300 numbers and voicemail retrievals and an amount of Included Data (for mobile internet use) to share with other services on a My Plan Plus, My Plan Plus SIM Only, </w:t>
      </w:r>
      <w:r w:rsidRPr="00C12929">
        <w:rPr>
          <w:lang w:val="en-AU"/>
        </w:rPr>
        <w:lastRenderedPageBreak/>
        <w:t xml:space="preserve">My Plan Business (including Tech Fund), My Plan Business SIM, My Mobile Broadband Plus, Mobile Broadband Business or Shared Data Plan on the same account. </w:t>
      </w:r>
    </w:p>
    <w:p w14:paraId="6C4992F5" w14:textId="77777777" w:rsidR="00BA172C" w:rsidRPr="00C12929" w:rsidRDefault="00BA172C" w:rsidP="00BA172C">
      <w:pPr>
        <w:pStyle w:val="Heading7"/>
        <w:rPr>
          <w:lang w:val="en-AU"/>
        </w:rPr>
      </w:pPr>
      <w:r w:rsidRPr="00C12929">
        <w:rPr>
          <w:lang w:val="en-AU"/>
        </w:rPr>
        <w:t>These plans also include unlimited standard national SMS/MMS and unlimited standard International SMS/MMS to selected countries. The $</w:t>
      </w:r>
      <w:r>
        <w:rPr>
          <w:lang w:val="en-AU"/>
        </w:rPr>
        <w:t>70</w:t>
      </w:r>
      <w:r w:rsidRPr="00C12929">
        <w:rPr>
          <w:lang w:val="en-AU"/>
        </w:rPr>
        <w:t>/$</w:t>
      </w:r>
      <w:r>
        <w:rPr>
          <w:lang w:val="en-AU"/>
        </w:rPr>
        <w:t>90</w:t>
      </w:r>
      <w:r w:rsidRPr="00C12929">
        <w:rPr>
          <w:lang w:val="en-AU"/>
        </w:rPr>
        <w:t>/$10</w:t>
      </w:r>
      <w:r>
        <w:rPr>
          <w:lang w:val="en-AU"/>
        </w:rPr>
        <w:t>5</w:t>
      </w:r>
      <w:r w:rsidRPr="00C12929">
        <w:rPr>
          <w:lang w:val="en-AU"/>
        </w:rPr>
        <w:t>/$</w:t>
      </w:r>
      <w:r>
        <w:rPr>
          <w:lang w:val="en-AU"/>
        </w:rPr>
        <w:t>130</w:t>
      </w:r>
      <w:r w:rsidRPr="00C12929">
        <w:rPr>
          <w:lang w:val="en-AU"/>
        </w:rPr>
        <w:t xml:space="preserve"> plans have an amount of included international minutes to use on standard international calls to selected countries.</w:t>
      </w:r>
    </w:p>
    <w:p w14:paraId="5D97C33A" w14:textId="77777777" w:rsidR="00BA172C" w:rsidRPr="00C12929" w:rsidRDefault="00BA172C" w:rsidP="00BA172C">
      <w:pPr>
        <w:pStyle w:val="Heading7"/>
        <w:rPr>
          <w:lang w:val="en-AU"/>
        </w:rPr>
      </w:pPr>
      <w:r w:rsidRPr="00C12929">
        <w:rPr>
          <w:lang w:val="en-AU"/>
        </w:rPr>
        <w:t>Data usage is calculated in one kilobyte increments. International minutes are billed in one minute increments</w:t>
      </w:r>
    </w:p>
    <w:p w14:paraId="22297C96" w14:textId="77777777" w:rsidR="00BA172C" w:rsidRPr="00C12929" w:rsidRDefault="00BA172C" w:rsidP="00BA172C">
      <w:pPr>
        <w:pStyle w:val="Heading7"/>
        <w:rPr>
          <w:lang w:val="en-AU"/>
        </w:rPr>
      </w:pPr>
      <w:r w:rsidRPr="00C12929">
        <w:t>If you exceed your included shareable data you</w:t>
      </w:r>
      <w:r>
        <w:t>'</w:t>
      </w:r>
      <w:r w:rsidRPr="00C12929">
        <w:t>ll automatically be charged $10 for each additional 1GB of data (</w:t>
      </w:r>
      <w:r>
        <w:t>"</w:t>
      </w:r>
      <w:r w:rsidRPr="00C12929">
        <w:rPr>
          <w:b/>
        </w:rPr>
        <w:t>Additional Data</w:t>
      </w:r>
      <w:r>
        <w:t>"</w:t>
      </w:r>
      <w:r w:rsidRPr="00C12929">
        <w:t xml:space="preserve">) up to 150GB of extra data per account each month. Your service/s may then be restricted or we may continue to charge you at these rates. </w:t>
      </w:r>
    </w:p>
    <w:p w14:paraId="2C9D4B47" w14:textId="77777777" w:rsidR="00BA172C" w:rsidRPr="00CD3F2D" w:rsidRDefault="00BA172C" w:rsidP="00BA172C">
      <w:pPr>
        <w:pStyle w:val="Heading7"/>
        <w:rPr>
          <w:b/>
          <w:lang w:val="en-AU"/>
        </w:rPr>
      </w:pPr>
      <w:r w:rsidRPr="00C12929">
        <w:rPr>
          <w:lang w:val="en-AU"/>
        </w:rPr>
        <w:t xml:space="preserve">Any unused portion of </w:t>
      </w:r>
      <w:r w:rsidRPr="00C12929">
        <w:rPr>
          <w:i/>
          <w:lang w:val="en-AU"/>
        </w:rPr>
        <w:t>your</w:t>
      </w:r>
      <w:r w:rsidRPr="00C12929">
        <w:rPr>
          <w:lang w:val="en-AU"/>
        </w:rPr>
        <w:t xml:space="preserve"> </w:t>
      </w:r>
      <w:r w:rsidRPr="00C12929">
        <w:rPr>
          <w:i/>
          <w:lang w:val="en-AU"/>
        </w:rPr>
        <w:t>plan</w:t>
      </w:r>
      <w:r>
        <w:rPr>
          <w:i/>
          <w:lang w:val="en-AU"/>
        </w:rPr>
        <w:t>'</w:t>
      </w:r>
      <w:r w:rsidRPr="00C12929">
        <w:rPr>
          <w:i/>
          <w:lang w:val="en-AU"/>
        </w:rPr>
        <w:t>s</w:t>
      </w:r>
      <w:r w:rsidRPr="00C12929">
        <w:rPr>
          <w:lang w:val="en-AU"/>
        </w:rPr>
        <w:t xml:space="preserve"> Included or Additional Data expires at the end of each month and does not roll over into the next month.</w:t>
      </w:r>
    </w:p>
    <w:p w14:paraId="295DB2E5" w14:textId="77777777" w:rsidR="00BA172C" w:rsidRPr="00C12929" w:rsidRDefault="00BA172C" w:rsidP="00BA172C">
      <w:pPr>
        <w:pStyle w:val="Heading7"/>
        <w:rPr>
          <w:b/>
          <w:lang w:val="en-AU"/>
        </w:rPr>
      </w:pPr>
      <w:r w:rsidRPr="00C12929">
        <w:rPr>
          <w:i/>
          <w:lang w:val="en-AU"/>
        </w:rPr>
        <w:t>You</w:t>
      </w:r>
      <w:r w:rsidRPr="00C12929">
        <w:rPr>
          <w:lang w:val="en-AU"/>
        </w:rPr>
        <w:t xml:space="preserve"> must pay </w:t>
      </w:r>
      <w:r w:rsidRPr="00C12929">
        <w:rPr>
          <w:i/>
          <w:lang w:val="en-AU"/>
        </w:rPr>
        <w:t>us</w:t>
      </w:r>
      <w:r w:rsidRPr="00C12929">
        <w:rPr>
          <w:lang w:val="en-AU"/>
        </w:rPr>
        <w:t xml:space="preserve"> for use of any services that are not included in </w:t>
      </w:r>
      <w:r w:rsidRPr="00C12929">
        <w:rPr>
          <w:i/>
          <w:lang w:val="en-AU"/>
        </w:rPr>
        <w:t>your</w:t>
      </w:r>
      <w:r w:rsidRPr="00C12929">
        <w:rPr>
          <w:lang w:val="en-AU"/>
        </w:rPr>
        <w:t xml:space="preserve"> plan</w:t>
      </w:r>
      <w:r>
        <w:rPr>
          <w:lang w:val="en-AU"/>
        </w:rPr>
        <w:t>'</w:t>
      </w:r>
      <w:r w:rsidRPr="00C12929">
        <w:rPr>
          <w:lang w:val="en-AU"/>
        </w:rPr>
        <w:t>s inclusions, examples of which are set out in Table 2 below.</w:t>
      </w:r>
    </w:p>
    <w:p w14:paraId="0AA4B557" w14:textId="77777777" w:rsidR="00BA172C" w:rsidRPr="00CD3F2D" w:rsidRDefault="00BA172C" w:rsidP="00BA172C">
      <w:pPr>
        <w:pStyle w:val="Heading6"/>
        <w:ind w:left="0" w:firstLine="0"/>
        <w:rPr>
          <w:lang w:val="en-AU"/>
        </w:rPr>
      </w:pPr>
      <w:bookmarkStart w:id="1762" w:name="_Toc509314752"/>
      <w:r w:rsidRPr="00CD3F2D">
        <w:rPr>
          <w:lang w:val="en-AU"/>
        </w:rPr>
        <w:t>Plan Changes</w:t>
      </w:r>
      <w:bookmarkEnd w:id="1762"/>
    </w:p>
    <w:p w14:paraId="6BCD7C48" w14:textId="77777777" w:rsidR="00BA172C" w:rsidRPr="00C12929" w:rsidRDefault="00BA172C" w:rsidP="00BA172C">
      <w:pPr>
        <w:pStyle w:val="BodyText"/>
        <w:ind w:left="720"/>
      </w:pPr>
      <w:r w:rsidRPr="00C12929">
        <w:t>You can change your plan during the minimum term provided you move to a plan with a higher monthly access fee. You cannot change your plan during the minimum term to a plan with the same or lower monthly access fee. If you change your plan during the minimum term a fee may apply and any mobile handset credit will remain the same.</w:t>
      </w:r>
    </w:p>
    <w:p w14:paraId="4525C068" w14:textId="77777777" w:rsidR="00BA172C" w:rsidRPr="004C64A0" w:rsidRDefault="00BA172C" w:rsidP="00BA172C">
      <w:pPr>
        <w:pStyle w:val="Heading6"/>
        <w:ind w:left="0" w:firstLine="0"/>
        <w:rPr>
          <w:lang w:val="en-AU"/>
        </w:rPr>
      </w:pPr>
      <w:bookmarkStart w:id="1763" w:name="_Toc509314753"/>
      <w:r w:rsidRPr="004C64A0">
        <w:rPr>
          <w:lang w:val="en-AU"/>
        </w:rPr>
        <w:t>Handset Credit</w:t>
      </w:r>
      <w:bookmarkEnd w:id="1763"/>
    </w:p>
    <w:p w14:paraId="54531F23" w14:textId="77777777" w:rsidR="00BA172C" w:rsidRPr="00C12929" w:rsidRDefault="00BA172C" w:rsidP="00BA172C">
      <w:pPr>
        <w:pStyle w:val="Heading7"/>
        <w:rPr>
          <w:lang w:val="en-AU"/>
        </w:rPr>
      </w:pPr>
      <w:r w:rsidRPr="00C12929">
        <w:rPr>
          <w:lang w:val="en-AU"/>
        </w:rPr>
        <w:t xml:space="preserve">The Handset Credit is a special offer available to customers who are eligible for and connect to a My Plan Business Tech Fund plan, and who do not choose to take a handset upfront. It allows </w:t>
      </w:r>
      <w:r w:rsidRPr="00C12929">
        <w:rPr>
          <w:i/>
          <w:lang w:val="en-AU"/>
        </w:rPr>
        <w:t>you</w:t>
      </w:r>
      <w:r w:rsidRPr="00C12929">
        <w:rPr>
          <w:lang w:val="en-AU"/>
        </w:rPr>
        <w:t xml:space="preserve"> to purchase mobile phones and accessories from Optus at any period throughout </w:t>
      </w:r>
      <w:r w:rsidRPr="00C12929">
        <w:rPr>
          <w:i/>
          <w:lang w:val="en-AU"/>
        </w:rPr>
        <w:t>your</w:t>
      </w:r>
      <w:r w:rsidRPr="00C12929">
        <w:rPr>
          <w:lang w:val="en-AU"/>
        </w:rPr>
        <w:t xml:space="preserve"> contract; it cannot be used for any other purpose other than the purchase of handsets and accessories from </w:t>
      </w:r>
      <w:r w:rsidRPr="00C12929">
        <w:rPr>
          <w:i/>
          <w:lang w:val="en-AU"/>
        </w:rPr>
        <w:t>us</w:t>
      </w:r>
      <w:r w:rsidRPr="00C12929">
        <w:rPr>
          <w:lang w:val="en-AU"/>
        </w:rPr>
        <w:t xml:space="preserve">. </w:t>
      </w:r>
    </w:p>
    <w:p w14:paraId="13DE54E3" w14:textId="77777777" w:rsidR="00BA172C" w:rsidRDefault="00BA172C" w:rsidP="00BA172C">
      <w:pPr>
        <w:pStyle w:val="Heading7"/>
      </w:pPr>
      <w:r w:rsidRPr="00C12929">
        <w:t xml:space="preserve">The amount of credit will be dependent on the plan </w:t>
      </w:r>
      <w:r w:rsidRPr="00C12929">
        <w:rPr>
          <w:i/>
        </w:rPr>
        <w:t>you</w:t>
      </w:r>
      <w:r w:rsidRPr="00C12929">
        <w:t xml:space="preserve"> connect to as per the table below.</w:t>
      </w:r>
    </w:p>
    <w:tbl>
      <w:tblPr>
        <w:tblW w:w="95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1530"/>
        <w:gridCol w:w="1530"/>
        <w:gridCol w:w="1530"/>
        <w:gridCol w:w="1530"/>
        <w:gridCol w:w="1530"/>
      </w:tblGrid>
      <w:tr w:rsidR="00BA172C" w:rsidRPr="00090AB3" w14:paraId="05FB63E7" w14:textId="77777777" w:rsidTr="00B95821">
        <w:tc>
          <w:tcPr>
            <w:tcW w:w="1890" w:type="dxa"/>
            <w:vAlign w:val="center"/>
          </w:tcPr>
          <w:p w14:paraId="536B53C4" w14:textId="77777777" w:rsidR="00BA172C" w:rsidRPr="004C64A0" w:rsidRDefault="00BA172C" w:rsidP="00B95821">
            <w:pPr>
              <w:pStyle w:val="BodyText"/>
              <w:spacing w:before="100" w:after="100"/>
              <w:jc w:val="center"/>
              <w:rPr>
                <w:b/>
              </w:rPr>
            </w:pPr>
            <w:r w:rsidRPr="004C64A0">
              <w:rPr>
                <w:b/>
              </w:rPr>
              <w:t>Plan</w:t>
            </w:r>
          </w:p>
        </w:tc>
        <w:tc>
          <w:tcPr>
            <w:tcW w:w="1530" w:type="dxa"/>
            <w:vAlign w:val="center"/>
          </w:tcPr>
          <w:p w14:paraId="57797519" w14:textId="77777777" w:rsidR="00BA172C" w:rsidRPr="004C64A0" w:rsidRDefault="00BA172C" w:rsidP="00B95821">
            <w:pPr>
              <w:pStyle w:val="BodyText"/>
              <w:spacing w:before="100" w:after="100"/>
              <w:jc w:val="center"/>
              <w:rPr>
                <w:b/>
              </w:rPr>
            </w:pPr>
            <w:r w:rsidRPr="004C64A0">
              <w:rPr>
                <w:b/>
              </w:rPr>
              <w:t>$</w:t>
            </w:r>
            <w:r>
              <w:rPr>
                <w:b/>
              </w:rPr>
              <w:t>45</w:t>
            </w:r>
            <w:r w:rsidRPr="004C64A0">
              <w:rPr>
                <w:b/>
              </w:rPr>
              <w:t xml:space="preserve"> My Plan Business Tech Fund</w:t>
            </w:r>
          </w:p>
        </w:tc>
        <w:tc>
          <w:tcPr>
            <w:tcW w:w="1530" w:type="dxa"/>
            <w:vAlign w:val="center"/>
          </w:tcPr>
          <w:p w14:paraId="698E1353" w14:textId="77777777" w:rsidR="00BA172C" w:rsidRPr="004C64A0" w:rsidRDefault="00BA172C" w:rsidP="00B95821">
            <w:pPr>
              <w:pStyle w:val="BodyText"/>
              <w:spacing w:before="100" w:after="100"/>
              <w:jc w:val="center"/>
              <w:rPr>
                <w:b/>
              </w:rPr>
            </w:pPr>
            <w:r w:rsidRPr="004C64A0">
              <w:rPr>
                <w:b/>
              </w:rPr>
              <w:t>$</w:t>
            </w:r>
            <w:r>
              <w:rPr>
                <w:b/>
              </w:rPr>
              <w:t>70</w:t>
            </w:r>
            <w:r w:rsidRPr="004C64A0">
              <w:rPr>
                <w:b/>
              </w:rPr>
              <w:t xml:space="preserve"> My Plan Business Tech Fund</w:t>
            </w:r>
          </w:p>
        </w:tc>
        <w:tc>
          <w:tcPr>
            <w:tcW w:w="1530" w:type="dxa"/>
            <w:vAlign w:val="center"/>
          </w:tcPr>
          <w:p w14:paraId="0A884FCA" w14:textId="77777777" w:rsidR="00BA172C" w:rsidRPr="004C64A0" w:rsidRDefault="00BA172C" w:rsidP="00B95821">
            <w:pPr>
              <w:pStyle w:val="BodyText"/>
              <w:spacing w:before="100" w:after="100"/>
              <w:jc w:val="center"/>
              <w:rPr>
                <w:b/>
              </w:rPr>
            </w:pPr>
            <w:r w:rsidRPr="004C64A0">
              <w:rPr>
                <w:b/>
              </w:rPr>
              <w:t>$</w:t>
            </w:r>
            <w:r>
              <w:rPr>
                <w:b/>
              </w:rPr>
              <w:t>90</w:t>
            </w:r>
            <w:r w:rsidRPr="004C64A0">
              <w:rPr>
                <w:b/>
              </w:rPr>
              <w:t xml:space="preserve"> My Plan Business Tech Fund</w:t>
            </w:r>
          </w:p>
        </w:tc>
        <w:tc>
          <w:tcPr>
            <w:tcW w:w="1530" w:type="dxa"/>
          </w:tcPr>
          <w:p w14:paraId="2A69BCCB" w14:textId="77777777" w:rsidR="00BA172C" w:rsidRPr="004C64A0" w:rsidRDefault="00BA172C" w:rsidP="00B95821">
            <w:pPr>
              <w:pStyle w:val="BodyText"/>
              <w:spacing w:before="100" w:after="100"/>
              <w:jc w:val="center"/>
              <w:rPr>
                <w:b/>
              </w:rPr>
            </w:pPr>
            <w:r w:rsidRPr="004C64A0">
              <w:rPr>
                <w:b/>
              </w:rPr>
              <w:t>$10</w:t>
            </w:r>
            <w:r>
              <w:rPr>
                <w:b/>
              </w:rPr>
              <w:t>5</w:t>
            </w:r>
            <w:r w:rsidRPr="004C64A0">
              <w:rPr>
                <w:b/>
              </w:rPr>
              <w:t xml:space="preserve"> M Plan Business Tech Fund</w:t>
            </w:r>
          </w:p>
        </w:tc>
        <w:tc>
          <w:tcPr>
            <w:tcW w:w="1530" w:type="dxa"/>
          </w:tcPr>
          <w:p w14:paraId="357C8B5E" w14:textId="77777777" w:rsidR="00BA172C" w:rsidRPr="004C64A0" w:rsidRDefault="00BA172C" w:rsidP="00B95821">
            <w:pPr>
              <w:pStyle w:val="BodyText"/>
              <w:spacing w:before="100" w:after="100"/>
              <w:jc w:val="center"/>
              <w:rPr>
                <w:b/>
              </w:rPr>
            </w:pPr>
            <w:r w:rsidRPr="004C64A0">
              <w:rPr>
                <w:b/>
              </w:rPr>
              <w:t>$</w:t>
            </w:r>
            <w:r>
              <w:rPr>
                <w:b/>
              </w:rPr>
              <w:t>130</w:t>
            </w:r>
            <w:r w:rsidRPr="004C64A0">
              <w:rPr>
                <w:b/>
              </w:rPr>
              <w:t xml:space="preserve"> My Plan Business Tech Fund</w:t>
            </w:r>
          </w:p>
        </w:tc>
      </w:tr>
      <w:tr w:rsidR="00BA172C" w:rsidRPr="00090AB3" w14:paraId="0D462249" w14:textId="77777777" w:rsidTr="00B95821">
        <w:tc>
          <w:tcPr>
            <w:tcW w:w="1890" w:type="dxa"/>
            <w:vAlign w:val="center"/>
          </w:tcPr>
          <w:p w14:paraId="183444BA" w14:textId="77777777" w:rsidR="00BA172C" w:rsidRPr="004C64A0" w:rsidRDefault="00BA172C" w:rsidP="00B95821">
            <w:pPr>
              <w:pStyle w:val="BodyText"/>
              <w:spacing w:before="100" w:after="100"/>
              <w:jc w:val="center"/>
              <w:rPr>
                <w:b/>
              </w:rPr>
            </w:pPr>
            <w:r w:rsidRPr="004C64A0">
              <w:rPr>
                <w:b/>
                <w:bCs/>
                <w:color w:val="000000"/>
              </w:rPr>
              <w:t>Handset Credit</w:t>
            </w:r>
          </w:p>
        </w:tc>
        <w:tc>
          <w:tcPr>
            <w:tcW w:w="1530" w:type="dxa"/>
            <w:vAlign w:val="center"/>
          </w:tcPr>
          <w:p w14:paraId="283D42B4" w14:textId="77777777" w:rsidR="00BA172C" w:rsidRPr="00090AB3" w:rsidRDefault="00BA172C" w:rsidP="00B95821">
            <w:pPr>
              <w:pStyle w:val="BodyText"/>
              <w:spacing w:before="100" w:after="100"/>
              <w:jc w:val="center"/>
              <w:rPr>
                <w:color w:val="000000"/>
              </w:rPr>
            </w:pPr>
            <w:r w:rsidRPr="00090AB3">
              <w:rPr>
                <w:color w:val="000000"/>
              </w:rPr>
              <w:t>$330</w:t>
            </w:r>
          </w:p>
        </w:tc>
        <w:tc>
          <w:tcPr>
            <w:tcW w:w="1530" w:type="dxa"/>
            <w:vAlign w:val="center"/>
          </w:tcPr>
          <w:p w14:paraId="5134B088" w14:textId="77777777" w:rsidR="00BA172C" w:rsidRPr="00090AB3" w:rsidRDefault="00BA172C" w:rsidP="00B95821">
            <w:pPr>
              <w:pStyle w:val="BodyText"/>
              <w:spacing w:before="100" w:after="100"/>
              <w:jc w:val="center"/>
            </w:pPr>
            <w:r w:rsidRPr="00090AB3">
              <w:rPr>
                <w:color w:val="000000"/>
              </w:rPr>
              <w:t>$490</w:t>
            </w:r>
          </w:p>
        </w:tc>
        <w:tc>
          <w:tcPr>
            <w:tcW w:w="1530" w:type="dxa"/>
            <w:vAlign w:val="center"/>
          </w:tcPr>
          <w:p w14:paraId="6D6533A3" w14:textId="77777777" w:rsidR="00BA172C" w:rsidRPr="00090AB3" w:rsidRDefault="00BA172C" w:rsidP="00B95821">
            <w:pPr>
              <w:pStyle w:val="BodyText"/>
              <w:spacing w:before="100" w:after="100"/>
              <w:jc w:val="center"/>
              <w:rPr>
                <w:bCs/>
                <w:caps/>
              </w:rPr>
            </w:pPr>
            <w:r w:rsidRPr="00090AB3">
              <w:rPr>
                <w:bCs/>
                <w:caps/>
                <w:color w:val="000000"/>
              </w:rPr>
              <w:t>$700</w:t>
            </w:r>
          </w:p>
        </w:tc>
        <w:tc>
          <w:tcPr>
            <w:tcW w:w="1530" w:type="dxa"/>
          </w:tcPr>
          <w:p w14:paraId="5E7AD313" w14:textId="77777777" w:rsidR="00BA172C" w:rsidRPr="00090AB3" w:rsidRDefault="00BA172C" w:rsidP="00B95821">
            <w:pPr>
              <w:pStyle w:val="BodyText"/>
              <w:spacing w:before="100" w:after="100"/>
              <w:jc w:val="center"/>
              <w:rPr>
                <w:bCs/>
                <w:caps/>
                <w:color w:val="000000"/>
              </w:rPr>
            </w:pPr>
            <w:r>
              <w:rPr>
                <w:bCs/>
                <w:caps/>
                <w:color w:val="000000"/>
              </w:rPr>
              <w:t>$870</w:t>
            </w:r>
          </w:p>
        </w:tc>
        <w:tc>
          <w:tcPr>
            <w:tcW w:w="1530" w:type="dxa"/>
          </w:tcPr>
          <w:p w14:paraId="2900583F" w14:textId="77777777" w:rsidR="00BA172C" w:rsidRPr="00F632D6" w:rsidRDefault="00BA172C" w:rsidP="00B95821">
            <w:pPr>
              <w:pStyle w:val="BodyText"/>
              <w:spacing w:before="100" w:after="100"/>
              <w:jc w:val="center"/>
              <w:rPr>
                <w:bCs/>
                <w:caps/>
                <w:color w:val="000000"/>
              </w:rPr>
            </w:pPr>
            <w:r w:rsidRPr="00F632D6">
              <w:t>$</w:t>
            </w:r>
            <w:r>
              <w:t>1150</w:t>
            </w:r>
          </w:p>
        </w:tc>
      </w:tr>
    </w:tbl>
    <w:p w14:paraId="569E033D" w14:textId="77777777" w:rsidR="00BA172C" w:rsidRDefault="00BA172C" w:rsidP="00BA172C">
      <w:pPr>
        <w:pStyle w:val="BodyText"/>
      </w:pPr>
    </w:p>
    <w:p w14:paraId="06EF2842" w14:textId="77777777" w:rsidR="00BA172C" w:rsidRPr="004C64A0" w:rsidRDefault="00BA172C" w:rsidP="00BA172C">
      <w:pPr>
        <w:pStyle w:val="Heading7"/>
        <w:rPr>
          <w:lang w:val="en-AU"/>
        </w:rPr>
      </w:pPr>
      <w:r w:rsidRPr="004C64A0">
        <w:rPr>
          <w:i/>
          <w:lang w:val="en-AU"/>
        </w:rPr>
        <w:t>You</w:t>
      </w:r>
      <w:r w:rsidRPr="004C64A0">
        <w:rPr>
          <w:lang w:val="en-AU"/>
        </w:rPr>
        <w:t xml:space="preserve"> may use the Handset Credit deposited into </w:t>
      </w:r>
      <w:r w:rsidRPr="004C64A0">
        <w:rPr>
          <w:i/>
          <w:lang w:val="en-AU"/>
        </w:rPr>
        <w:t>your</w:t>
      </w:r>
      <w:r w:rsidRPr="004C64A0">
        <w:rPr>
          <w:lang w:val="en-AU"/>
        </w:rPr>
        <w:t xml:space="preserve"> account to purchase handsets listed in the Optus e-fulfilment price list as amended by </w:t>
      </w:r>
      <w:r w:rsidRPr="004C64A0">
        <w:rPr>
          <w:i/>
          <w:lang w:val="en-AU"/>
        </w:rPr>
        <w:t>us</w:t>
      </w:r>
      <w:r w:rsidRPr="004C64A0">
        <w:rPr>
          <w:lang w:val="en-AU"/>
        </w:rPr>
        <w:t xml:space="preserve"> from time to time. This list is available to </w:t>
      </w:r>
      <w:r w:rsidRPr="004C64A0">
        <w:rPr>
          <w:i/>
          <w:lang w:val="en-AU"/>
        </w:rPr>
        <w:t>you</w:t>
      </w:r>
      <w:r w:rsidRPr="004C64A0">
        <w:rPr>
          <w:lang w:val="en-AU"/>
        </w:rPr>
        <w:t xml:space="preserve"> upon request.</w:t>
      </w:r>
    </w:p>
    <w:p w14:paraId="1FE83170" w14:textId="77777777" w:rsidR="00BA172C" w:rsidRPr="004C64A0" w:rsidRDefault="00BA172C" w:rsidP="00BA172C">
      <w:pPr>
        <w:pStyle w:val="Heading7"/>
        <w:rPr>
          <w:lang w:val="en-AU"/>
        </w:rPr>
      </w:pPr>
      <w:r w:rsidRPr="004C64A0">
        <w:rPr>
          <w:lang w:val="en-AU"/>
        </w:rPr>
        <w:t xml:space="preserve">If the purchase price for products that </w:t>
      </w:r>
      <w:r w:rsidRPr="004C64A0">
        <w:rPr>
          <w:i/>
          <w:lang w:val="en-AU"/>
        </w:rPr>
        <w:t>you</w:t>
      </w:r>
      <w:r w:rsidRPr="004C64A0">
        <w:rPr>
          <w:lang w:val="en-AU"/>
        </w:rPr>
        <w:t xml:space="preserve"> order is greater than the Handset Credit remaining in </w:t>
      </w:r>
      <w:r w:rsidRPr="004C64A0">
        <w:rPr>
          <w:i/>
          <w:lang w:val="en-AU"/>
        </w:rPr>
        <w:t>your</w:t>
      </w:r>
      <w:r w:rsidRPr="004C64A0">
        <w:rPr>
          <w:lang w:val="en-AU"/>
        </w:rPr>
        <w:t xml:space="preserve"> account, </w:t>
      </w:r>
      <w:r w:rsidRPr="004C64A0">
        <w:rPr>
          <w:i/>
          <w:lang w:val="en-AU"/>
        </w:rPr>
        <w:t>you</w:t>
      </w:r>
      <w:r w:rsidRPr="004C64A0">
        <w:rPr>
          <w:lang w:val="en-AU"/>
        </w:rPr>
        <w:t xml:space="preserve"> must pay any difference for those products by manually topping up </w:t>
      </w:r>
      <w:r w:rsidRPr="004C64A0">
        <w:rPr>
          <w:i/>
          <w:lang w:val="en-AU"/>
        </w:rPr>
        <w:t>your</w:t>
      </w:r>
      <w:r w:rsidRPr="004C64A0">
        <w:rPr>
          <w:lang w:val="en-AU"/>
        </w:rPr>
        <w:t xml:space="preserve"> Handset Credit Fund account with the required funds before purchasing.</w:t>
      </w:r>
    </w:p>
    <w:p w14:paraId="29BD57C7" w14:textId="77777777" w:rsidR="00BA172C" w:rsidRPr="004C64A0" w:rsidRDefault="00BA172C" w:rsidP="00BA172C">
      <w:pPr>
        <w:pStyle w:val="Heading7"/>
        <w:rPr>
          <w:lang w:val="en-AU"/>
        </w:rPr>
      </w:pPr>
      <w:r w:rsidRPr="004C64A0">
        <w:rPr>
          <w:lang w:val="en-AU"/>
        </w:rPr>
        <w:t xml:space="preserve">The value of the Handset Credit is not redeemable for cash and may not be transferred or used for any other purposes (for instance, it may not be used to pay for service charges, minimum monthly call spend or call costs, cannot be used against cancellation fees). </w:t>
      </w:r>
    </w:p>
    <w:p w14:paraId="5FDD28B6" w14:textId="77777777" w:rsidR="00BA172C" w:rsidRPr="004C64A0" w:rsidRDefault="00BA172C" w:rsidP="00BA172C">
      <w:pPr>
        <w:pStyle w:val="Heading7"/>
        <w:rPr>
          <w:lang w:val="en-AU"/>
        </w:rPr>
      </w:pPr>
      <w:r w:rsidRPr="004C64A0">
        <w:rPr>
          <w:lang w:val="en-AU"/>
        </w:rPr>
        <w:t xml:space="preserve">If you cancel a service on an account with multiple Tech Fund services, you will not lose any unused handset credit. Only if </w:t>
      </w:r>
      <w:r w:rsidRPr="004C64A0">
        <w:rPr>
          <w:i/>
          <w:lang w:val="en-AU"/>
        </w:rPr>
        <w:t>your</w:t>
      </w:r>
      <w:r w:rsidRPr="004C64A0">
        <w:rPr>
          <w:lang w:val="en-AU"/>
        </w:rPr>
        <w:t xml:space="preserve"> account is cancelled for any reason then any unused credit will be forfeited.</w:t>
      </w:r>
    </w:p>
    <w:p w14:paraId="426FA988" w14:textId="77777777" w:rsidR="00BA172C" w:rsidRPr="004C64A0" w:rsidRDefault="00BA172C" w:rsidP="00BA172C">
      <w:pPr>
        <w:pStyle w:val="Heading6"/>
        <w:ind w:left="0" w:firstLine="0"/>
        <w:rPr>
          <w:lang w:val="en-AU"/>
        </w:rPr>
      </w:pPr>
      <w:bookmarkStart w:id="1764" w:name="_Toc509314754"/>
      <w:r w:rsidRPr="004C64A0">
        <w:rPr>
          <w:lang w:val="en-AU"/>
        </w:rPr>
        <w:t>Data Sharing</w:t>
      </w:r>
      <w:bookmarkEnd w:id="1764"/>
    </w:p>
    <w:p w14:paraId="50C790F6" w14:textId="77777777" w:rsidR="00BA172C" w:rsidRPr="004C64A0" w:rsidRDefault="00BA172C" w:rsidP="00BA172C">
      <w:pPr>
        <w:pStyle w:val="Heading7"/>
        <w:rPr>
          <w:lang w:val="en-AU"/>
        </w:rPr>
      </w:pPr>
      <w:r w:rsidRPr="004C64A0">
        <w:rPr>
          <w:lang w:val="en-AU"/>
        </w:rPr>
        <w:lastRenderedPageBreak/>
        <w:t>If you have more than one My Plan Plus, My Plan Plus SIM Only, My Plan Business (including Tech Fund), My Plan Business SIM, My Mobile Broadband Plus or Mobile Broadband Business on the same billing account, the included data will combine into one data pool, which will be shared by all eligible services on that account.</w:t>
      </w:r>
    </w:p>
    <w:p w14:paraId="1310FCF2" w14:textId="77777777" w:rsidR="00BA172C" w:rsidRPr="004C64A0" w:rsidRDefault="00BA172C" w:rsidP="00BA172C">
      <w:pPr>
        <w:pStyle w:val="Heading7"/>
        <w:rPr>
          <w:lang w:val="en-AU"/>
        </w:rPr>
      </w:pPr>
      <w:r w:rsidRPr="004C64A0">
        <w:rPr>
          <w:lang w:val="en-AU"/>
        </w:rPr>
        <w:t xml:space="preserve">If </w:t>
      </w:r>
      <w:r w:rsidRPr="004C64A0">
        <w:rPr>
          <w:i/>
          <w:lang w:val="en-AU"/>
        </w:rPr>
        <w:t>you</w:t>
      </w:r>
      <w:r w:rsidRPr="004C64A0">
        <w:rPr>
          <w:lang w:val="en-AU"/>
        </w:rPr>
        <w:t xml:space="preserve"> do not want </w:t>
      </w:r>
      <w:r w:rsidRPr="004C64A0">
        <w:rPr>
          <w:i/>
          <w:lang w:val="en-AU"/>
        </w:rPr>
        <w:t>your</w:t>
      </w:r>
      <w:r w:rsidRPr="004C64A0">
        <w:rPr>
          <w:lang w:val="en-AU"/>
        </w:rPr>
        <w:t xml:space="preserve"> services on any My Plan Plus, My Plan Plus SIM Only, My Plan Business (including Tech Fund), My Plan Business SIM, My Mobile Broadband Plus or Mobile Broadband Business plans to share data, they need to be on separate billing accounts. </w:t>
      </w:r>
    </w:p>
    <w:p w14:paraId="0DC47FA6" w14:textId="77777777" w:rsidR="00BA172C" w:rsidRPr="004C64A0" w:rsidRDefault="00BA172C" w:rsidP="00BA172C">
      <w:pPr>
        <w:pStyle w:val="Heading7"/>
        <w:rPr>
          <w:lang w:val="en-AU"/>
        </w:rPr>
      </w:pPr>
      <w:r w:rsidRPr="004C64A0">
        <w:rPr>
          <w:lang w:val="en-AU"/>
        </w:rPr>
        <w:t>Data sharing is only available within Australia.</w:t>
      </w:r>
    </w:p>
    <w:p w14:paraId="4661AB77" w14:textId="77777777" w:rsidR="00BA172C" w:rsidRPr="004C64A0" w:rsidRDefault="00BA172C" w:rsidP="00BA172C">
      <w:pPr>
        <w:pStyle w:val="Heading6"/>
        <w:ind w:left="0" w:firstLine="0"/>
        <w:rPr>
          <w:lang w:val="en-AU"/>
        </w:rPr>
      </w:pPr>
      <w:bookmarkStart w:id="1765" w:name="_Toc509314755"/>
      <w:r w:rsidRPr="004C64A0">
        <w:rPr>
          <w:lang w:val="en-AU"/>
        </w:rPr>
        <w:t>International Minutes</w:t>
      </w:r>
      <w:bookmarkEnd w:id="1765"/>
    </w:p>
    <w:p w14:paraId="2BFBDBDC" w14:textId="77777777" w:rsidR="00BA172C" w:rsidRPr="004C64A0" w:rsidRDefault="00BA172C" w:rsidP="00BA172C">
      <w:pPr>
        <w:pStyle w:val="BodyText"/>
        <w:ind w:left="720"/>
      </w:pPr>
      <w:r w:rsidRPr="004C64A0">
        <w:t>The $</w:t>
      </w:r>
      <w:r>
        <w:t>70</w:t>
      </w:r>
      <w:r w:rsidRPr="004C64A0">
        <w:t>/$</w:t>
      </w:r>
      <w:r>
        <w:t>90</w:t>
      </w:r>
      <w:r w:rsidRPr="004C64A0">
        <w:t>/$10</w:t>
      </w:r>
      <w:r>
        <w:t>5</w:t>
      </w:r>
      <w:r w:rsidRPr="004C64A0">
        <w:t>/$</w:t>
      </w:r>
      <w:r>
        <w:t>130</w:t>
      </w:r>
      <w:r w:rsidRPr="004C64A0">
        <w:t xml:space="preserve"> My Plan Business Tech Fund</w:t>
      </w:r>
      <w:r>
        <w:t xml:space="preserve"> plans include</w:t>
      </w:r>
      <w:r w:rsidRPr="004C64A0">
        <w:t xml:space="preserve"> unlimited international minutes for standard calls to mobiles and fixed lines in selected countries. For a list of selected countries see Table 3 below.</w:t>
      </w:r>
      <w:r>
        <w:t xml:space="preserve"> </w:t>
      </w:r>
      <w:r w:rsidRPr="00B753E8">
        <w:rPr>
          <w:rFonts w:cs="Arial"/>
          <w:color w:val="000000"/>
          <w:lang w:val="en-AU" w:eastAsia="en-AU"/>
        </w:rPr>
        <w:t>From 5 February 2017 the following countries will also be included: Canada, Hong Kong, South Korea and Thailand.</w:t>
      </w:r>
    </w:p>
    <w:p w14:paraId="782E4269" w14:textId="77777777" w:rsidR="00BA172C" w:rsidRDefault="00BA172C" w:rsidP="00BA172C">
      <w:pPr>
        <w:pStyle w:val="BodyText"/>
        <w:ind w:left="720"/>
      </w:pPr>
      <w:r w:rsidRPr="00CF4A96">
        <w:rPr>
          <w:szCs w:val="20"/>
        </w:rPr>
        <w:t>Calls to non-selected countries are charged at standard ‘yes’ international call rates</w:t>
      </w:r>
    </w:p>
    <w:p w14:paraId="21B6BEE4" w14:textId="77777777" w:rsidR="00BA172C" w:rsidRPr="004C64A0" w:rsidRDefault="00BA172C" w:rsidP="00BA172C">
      <w:pPr>
        <w:pStyle w:val="Heading6"/>
        <w:ind w:left="0" w:firstLine="0"/>
        <w:rPr>
          <w:lang w:val="en-AU"/>
        </w:rPr>
      </w:pPr>
      <w:bookmarkStart w:id="1766" w:name="_Toc509314756"/>
      <w:r w:rsidRPr="004C64A0">
        <w:rPr>
          <w:lang w:val="en-AU"/>
        </w:rPr>
        <w:t>Unlimited standard national SMS and MMS</w:t>
      </w:r>
      <w:bookmarkEnd w:id="1766"/>
    </w:p>
    <w:p w14:paraId="7AC5F755" w14:textId="77777777" w:rsidR="00BA172C" w:rsidRPr="004C64A0" w:rsidRDefault="00BA172C" w:rsidP="00BA172C">
      <w:pPr>
        <w:pStyle w:val="BodyText"/>
        <w:ind w:left="720"/>
      </w:pPr>
      <w:r w:rsidRPr="004C64A0">
        <w:rPr>
          <w:i/>
        </w:rPr>
        <w:t>You</w:t>
      </w:r>
      <w:r w:rsidRPr="004C64A0">
        <w:t xml:space="preserve"> may send unlimited standard SMS and MMS to Australian mobiles from within Australia.</w:t>
      </w:r>
    </w:p>
    <w:p w14:paraId="17AE7529" w14:textId="77777777" w:rsidR="00BA172C" w:rsidRPr="004C64A0" w:rsidRDefault="00BA172C" w:rsidP="00BA172C">
      <w:pPr>
        <w:pStyle w:val="BodyText"/>
        <w:ind w:left="720"/>
        <w:rPr>
          <w:i/>
          <w:u w:val="single"/>
        </w:rPr>
      </w:pPr>
      <w:r w:rsidRPr="004C64A0">
        <w:t xml:space="preserve">Unlimited standard national SMS and MMS are only available for personal and ordinary business use and are not to be used for a commercial or non-ordinary purpose as set out in the </w:t>
      </w:r>
      <w:hyperlink r:id="rId768" w:history="1">
        <w:r w:rsidRPr="004C64A0">
          <w:rPr>
            <w:rStyle w:val="Hyperlink"/>
            <w:i/>
          </w:rPr>
          <w:t>Fair Go Policy</w:t>
        </w:r>
      </w:hyperlink>
      <w:r w:rsidRPr="004C64A0">
        <w:t xml:space="preserve">. For further details refer to </w:t>
      </w:r>
      <w:hyperlink r:id="rId769" w:history="1">
        <w:r w:rsidRPr="00365735">
          <w:rPr>
            <w:rStyle w:val="Hyperlink"/>
            <w:i/>
          </w:rPr>
          <w:t>Appendix S</w:t>
        </w:r>
      </w:hyperlink>
      <w:r w:rsidRPr="00092720">
        <w:t>.</w:t>
      </w:r>
    </w:p>
    <w:p w14:paraId="1AD17459" w14:textId="77777777" w:rsidR="00BA172C" w:rsidRPr="004C64A0" w:rsidRDefault="00BA172C" w:rsidP="00BA172C">
      <w:pPr>
        <w:pStyle w:val="Heading6"/>
        <w:ind w:left="0" w:firstLine="0"/>
        <w:rPr>
          <w:lang w:val="en-AU"/>
        </w:rPr>
      </w:pPr>
      <w:bookmarkStart w:id="1767" w:name="_Toc509314757"/>
      <w:r w:rsidRPr="004C64A0">
        <w:rPr>
          <w:lang w:val="en-AU"/>
        </w:rPr>
        <w:t>Unlimited standard international SMS and MMS</w:t>
      </w:r>
      <w:bookmarkEnd w:id="1767"/>
    </w:p>
    <w:p w14:paraId="706934A0" w14:textId="77777777" w:rsidR="00BA172C" w:rsidRPr="004C64A0" w:rsidRDefault="00BA172C" w:rsidP="00BA172C">
      <w:pPr>
        <w:pStyle w:val="BodyText"/>
        <w:ind w:left="720"/>
      </w:pPr>
      <w:r w:rsidRPr="004C64A0">
        <w:rPr>
          <w:i/>
        </w:rPr>
        <w:t>You</w:t>
      </w:r>
      <w:r w:rsidRPr="004C64A0">
        <w:t xml:space="preserve"> may send unlimited standard SMS and MMS to selected countries as set out in Table 3 below.</w:t>
      </w:r>
    </w:p>
    <w:p w14:paraId="0F14C41B" w14:textId="77777777" w:rsidR="00BA172C" w:rsidRDefault="00BA172C" w:rsidP="00BA172C">
      <w:pPr>
        <w:pStyle w:val="BodyText"/>
        <w:ind w:left="720"/>
        <w:rPr>
          <w:i/>
        </w:rPr>
      </w:pPr>
      <w:r w:rsidRPr="004C64A0">
        <w:t xml:space="preserve">Unlimited standard SMS and MMS are only available for personal and ordinary business use and are not to be used for a commercial or non-ordinary purpose as set out in the </w:t>
      </w:r>
      <w:r w:rsidRPr="00F1117F">
        <w:t>Fair Go P</w:t>
      </w:r>
      <w:r w:rsidRPr="004C64A0">
        <w:t xml:space="preserve">olicy. For further details refer to </w:t>
      </w:r>
      <w:hyperlink r:id="rId770" w:history="1">
        <w:r w:rsidRPr="00092720">
          <w:rPr>
            <w:rStyle w:val="Hyperlink"/>
            <w:i/>
          </w:rPr>
          <w:t>Appendix S</w:t>
        </w:r>
      </w:hyperlink>
      <w:r w:rsidRPr="00092720">
        <w:rPr>
          <w:i/>
        </w:rPr>
        <w:t>.</w:t>
      </w:r>
    </w:p>
    <w:p w14:paraId="2AB3FB87" w14:textId="77777777" w:rsidR="00BA172C" w:rsidRPr="007F5B4A" w:rsidRDefault="00BA172C" w:rsidP="00BA172C">
      <w:pPr>
        <w:pStyle w:val="Heading6"/>
        <w:ind w:left="0" w:firstLine="0"/>
        <w:rPr>
          <w:lang w:val="en-AU"/>
        </w:rPr>
      </w:pPr>
      <w:bookmarkStart w:id="1768" w:name="_Toc509314758"/>
      <w:r w:rsidRPr="007F5B4A">
        <w:rPr>
          <w:lang w:val="en-AU"/>
        </w:rPr>
        <w:t>International Roaming</w:t>
      </w:r>
      <w:bookmarkEnd w:id="1768"/>
      <w:r w:rsidRPr="007F5B4A">
        <w:rPr>
          <w:lang w:val="en-AU"/>
        </w:rPr>
        <w:t xml:space="preserve"> </w:t>
      </w:r>
    </w:p>
    <w:p w14:paraId="55C53AF7" w14:textId="77777777" w:rsidR="00BA172C" w:rsidRPr="008632A1" w:rsidRDefault="00BA172C" w:rsidP="00BA172C">
      <w:pPr>
        <w:pStyle w:val="ListParagraph"/>
        <w:ind w:left="709"/>
        <w:rPr>
          <w:rFonts w:ascii="Arial" w:hAnsi="Arial" w:cs="Arial"/>
        </w:rPr>
      </w:pPr>
      <w:r w:rsidRPr="008632A1">
        <w:rPr>
          <w:rFonts w:ascii="Arial" w:hAnsi="Arial" w:cs="Arial"/>
        </w:rPr>
        <w:t>The $105 and $</w:t>
      </w:r>
      <w:r>
        <w:rPr>
          <w:rFonts w:ascii="Arial" w:hAnsi="Arial" w:cs="Arial"/>
        </w:rPr>
        <w:t>130</w:t>
      </w:r>
      <w:r w:rsidRPr="008632A1">
        <w:rPr>
          <w:rFonts w:ascii="Arial" w:hAnsi="Arial" w:cs="Arial"/>
        </w:rPr>
        <w:t xml:space="preserve"> My Plan Business Tech Fund plans will receive unlimited standard national and international voice, SMS (MMS is excluded) plus 1GB/1.5GB of data (respectively) to use in Zone 1 countries within each billing month. If you are not in a Zone 1 country you will be charged at standard roaming rates for that country.</w:t>
      </w:r>
    </w:p>
    <w:p w14:paraId="0A73F62B" w14:textId="77777777" w:rsidR="00BA172C" w:rsidRPr="00CF4A96" w:rsidRDefault="00BA172C" w:rsidP="00BA172C">
      <w:pPr>
        <w:ind w:left="709"/>
        <w:rPr>
          <w:rFonts w:eastAsia="Times New Roman" w:cs="Arial"/>
          <w:sz w:val="20"/>
          <w:szCs w:val="20"/>
        </w:rPr>
      </w:pPr>
    </w:p>
    <w:p w14:paraId="1DB77A55" w14:textId="77777777" w:rsidR="00BA172C" w:rsidRPr="00CF4A96" w:rsidRDefault="00BA172C" w:rsidP="00BA172C">
      <w:pPr>
        <w:pStyle w:val="BodyText"/>
        <w:ind w:left="720"/>
        <w:rPr>
          <w:rFonts w:cs="Arial"/>
          <w:szCs w:val="20"/>
        </w:rPr>
      </w:pPr>
      <w:r w:rsidRPr="00CF4A96">
        <w:rPr>
          <w:rFonts w:eastAsia="Times New Roman" w:cs="Arial"/>
          <w:szCs w:val="20"/>
        </w:rPr>
        <w:t>If you exceed the data limit, standard data roaming charges will apply. Any data provided is not shareable and will not form part of any Data Pool. Any unused data will be forfeited and cannot be rolled over to the next billing month.</w:t>
      </w:r>
      <w:r w:rsidRPr="00CF4A96">
        <w:rPr>
          <w:rFonts w:eastAsia="Times New Roman" w:cs="Arial"/>
          <w:snapToGrid w:val="0"/>
          <w:szCs w:val="20"/>
        </w:rPr>
        <w:t xml:space="preserve"> For list of countries see optus.com.au/biztravel</w:t>
      </w:r>
    </w:p>
    <w:p w14:paraId="22DCD6E3" w14:textId="77777777" w:rsidR="00BA172C" w:rsidRDefault="00BA172C" w:rsidP="00BA172C">
      <w:pPr>
        <w:pStyle w:val="Heading6"/>
        <w:ind w:left="0" w:firstLine="0"/>
      </w:pPr>
      <w:bookmarkStart w:id="1769" w:name="_Toc509314759"/>
      <w:r>
        <w:t xml:space="preserve">Optus </w:t>
      </w:r>
      <w:r w:rsidRPr="004C64A0">
        <w:rPr>
          <w:lang w:val="en-AU"/>
        </w:rPr>
        <w:t>Travel</w:t>
      </w:r>
      <w:r w:rsidRPr="004C64A0">
        <w:rPr>
          <w:vertAlign w:val="superscript"/>
          <w:lang w:val="en-AU"/>
        </w:rPr>
        <w:t>TM</w:t>
      </w:r>
      <w:r>
        <w:rPr>
          <w:vertAlign w:val="superscript"/>
          <w:lang w:val="en-AU"/>
        </w:rPr>
        <w:t xml:space="preserve"> </w:t>
      </w:r>
      <w:r>
        <w:t>Pack</w:t>
      </w:r>
      <w:bookmarkEnd w:id="1769"/>
      <w:r>
        <w:t xml:space="preserve"> </w:t>
      </w:r>
    </w:p>
    <w:p w14:paraId="0D2C8B4C" w14:textId="77777777" w:rsidR="00BA172C" w:rsidRDefault="00BA172C" w:rsidP="00BA172C">
      <w:pPr>
        <w:pStyle w:val="OptusH3"/>
        <w:tabs>
          <w:tab w:val="clear" w:pos="2127"/>
          <w:tab w:val="left" w:pos="567"/>
        </w:tabs>
        <w:spacing w:before="0" w:after="0"/>
        <w:ind w:left="709" w:firstLine="0"/>
        <w:rPr>
          <w:rFonts w:ascii="Arial" w:hAnsi="Arial" w:cs="Arial"/>
          <w:snapToGrid w:val="0"/>
          <w:sz w:val="20"/>
        </w:rPr>
      </w:pPr>
      <w:r w:rsidRPr="00685C97">
        <w:rPr>
          <w:rFonts w:ascii="Arial" w:hAnsi="Arial" w:cs="Arial"/>
          <w:snapToGrid w:val="0"/>
          <w:sz w:val="20"/>
        </w:rPr>
        <w:t>The $45/$70/$90 My Plan Business Tech Fund plans can take up the Optus Travel</w:t>
      </w:r>
      <w:r w:rsidRPr="00685C97">
        <w:rPr>
          <w:rFonts w:ascii="Arial" w:hAnsi="Arial" w:cs="Arial"/>
          <w:snapToGrid w:val="0"/>
          <w:sz w:val="20"/>
          <w:vertAlign w:val="superscript"/>
        </w:rPr>
        <w:t>TM</w:t>
      </w:r>
      <w:r w:rsidRPr="00685C97">
        <w:rPr>
          <w:rFonts w:ascii="Arial" w:hAnsi="Arial" w:cs="Arial"/>
          <w:snapToGrid w:val="0"/>
          <w:sz w:val="20"/>
        </w:rPr>
        <w:t xml:space="preserve"> Pack for $5 per day. </w:t>
      </w:r>
      <w:r w:rsidRPr="00685C97">
        <w:rPr>
          <w:rFonts w:ascii="Arial" w:hAnsi="Arial" w:cs="Arial"/>
          <w:i/>
          <w:snapToGrid w:val="0"/>
          <w:sz w:val="20"/>
        </w:rPr>
        <w:t>You</w:t>
      </w:r>
      <w:r w:rsidRPr="00685C97">
        <w:rPr>
          <w:rFonts w:ascii="Arial" w:hAnsi="Arial" w:cs="Arial"/>
          <w:snapToGrid w:val="0"/>
          <w:sz w:val="20"/>
        </w:rPr>
        <w:t xml:space="preserve"> need to ensure your Optus Travel</w:t>
      </w:r>
      <w:r w:rsidRPr="00685C97">
        <w:rPr>
          <w:rFonts w:ascii="Arial" w:hAnsi="Arial" w:cs="Arial"/>
          <w:snapToGrid w:val="0"/>
          <w:sz w:val="20"/>
          <w:vertAlign w:val="superscript"/>
        </w:rPr>
        <w:t>TM</w:t>
      </w:r>
      <w:r w:rsidRPr="00685C97">
        <w:rPr>
          <w:rFonts w:ascii="Arial" w:hAnsi="Arial" w:cs="Arial"/>
          <w:snapToGrid w:val="0"/>
          <w:sz w:val="20"/>
        </w:rPr>
        <w:t xml:space="preserve"> Pack is active by contacting Optus prior to use. Optus Travel</w:t>
      </w:r>
      <w:r w:rsidRPr="00685C97">
        <w:rPr>
          <w:rFonts w:ascii="Arial" w:hAnsi="Arial" w:cs="Arial"/>
          <w:snapToGrid w:val="0"/>
          <w:sz w:val="20"/>
          <w:vertAlign w:val="superscript"/>
        </w:rPr>
        <w:t>TM</w:t>
      </w:r>
      <w:r w:rsidRPr="00685C97">
        <w:rPr>
          <w:rFonts w:ascii="Arial" w:hAnsi="Arial" w:cs="Arial"/>
          <w:snapToGrid w:val="0"/>
          <w:sz w:val="20"/>
        </w:rPr>
        <w:t xml:space="preserve"> Pack gives you unlimited standard national and international voice, SMS (MMS is excluded) plus </w:t>
      </w:r>
      <w:r>
        <w:rPr>
          <w:rFonts w:ascii="Arial" w:hAnsi="Arial" w:cs="Arial"/>
          <w:snapToGrid w:val="0"/>
          <w:sz w:val="20"/>
        </w:rPr>
        <w:t>10</w:t>
      </w:r>
      <w:r w:rsidRPr="00685C97">
        <w:rPr>
          <w:rFonts w:ascii="Arial" w:hAnsi="Arial" w:cs="Arial"/>
          <w:snapToGrid w:val="0"/>
          <w:sz w:val="20"/>
        </w:rPr>
        <w:t>0MB of data to use in Zone 1 countries per day. For list of countries see optus.com.au/biztravel</w:t>
      </w:r>
    </w:p>
    <w:p w14:paraId="00E8AB5E" w14:textId="77777777" w:rsidR="00BA172C" w:rsidRPr="00685C97" w:rsidRDefault="00BA172C" w:rsidP="00BA172C">
      <w:pPr>
        <w:pStyle w:val="OptusH3"/>
        <w:tabs>
          <w:tab w:val="clear" w:pos="2127"/>
          <w:tab w:val="left" w:pos="567"/>
        </w:tabs>
        <w:spacing w:before="0" w:after="0"/>
        <w:ind w:left="709" w:firstLine="0"/>
        <w:rPr>
          <w:rFonts w:ascii="Arial" w:hAnsi="Arial" w:cs="Arial"/>
          <w:snapToGrid w:val="0"/>
          <w:sz w:val="20"/>
        </w:rPr>
      </w:pPr>
    </w:p>
    <w:p w14:paraId="7902F6EF" w14:textId="77777777" w:rsidR="00BA172C" w:rsidRPr="00755D11" w:rsidRDefault="00BA172C" w:rsidP="00BA172C">
      <w:pPr>
        <w:pStyle w:val="BodyText"/>
        <w:ind w:left="720"/>
      </w:pPr>
      <w:r w:rsidRPr="00755D11">
        <w:t xml:space="preserve">You can activate the Optus TravelTM Pack on a day to day basis or multiple days at once. If you activate multiple consecutive days, the data allowance will accumulate, for example activate 5 consecutive days and use </w:t>
      </w:r>
      <w:r>
        <w:t>500</w:t>
      </w:r>
      <w:r w:rsidRPr="00755D11">
        <w:t>MB any time over the 5 day period. If you exceed the data limit, standard data roaming charges will apply. Any data provided as part of Optus Travel™ Pack is not shareable and will not form part of any Data Pool. Any unused days of Optus Travel™ Pack are forfeited and cannot be rolled over to the next billing month.</w:t>
      </w:r>
    </w:p>
    <w:p w14:paraId="01C81B1A" w14:textId="77777777" w:rsidR="00BA172C" w:rsidRDefault="00BA172C" w:rsidP="00BA172C">
      <w:pPr>
        <w:pStyle w:val="BodyText"/>
        <w:ind w:left="720"/>
      </w:pPr>
      <w:r w:rsidRPr="004C64A0">
        <w:t>I</w:t>
      </w:r>
      <w:r w:rsidRPr="00755D11">
        <w:t>f you are not in a Zone 1 country you will be charged at standard roaming rates for that country.</w:t>
      </w:r>
    </w:p>
    <w:p w14:paraId="74C45F3A" w14:textId="77777777" w:rsidR="00BA172C" w:rsidRPr="004C64A0" w:rsidRDefault="00BA172C" w:rsidP="00BA172C">
      <w:pPr>
        <w:pStyle w:val="BodyText"/>
        <w:ind w:left="720"/>
        <w:rPr>
          <w:lang w:val="en-AU"/>
        </w:rPr>
      </w:pPr>
      <w:r w:rsidRPr="004C64A0">
        <w:rPr>
          <w:b/>
          <w:lang w:val="en-AU"/>
        </w:rPr>
        <w:lastRenderedPageBreak/>
        <w:t>Table 1 –</w:t>
      </w:r>
      <w:r>
        <w:rPr>
          <w:b/>
          <w:lang w:val="en-AU"/>
        </w:rPr>
        <w:t xml:space="preserve"> </w:t>
      </w:r>
      <w:r w:rsidRPr="004C64A0">
        <w:rPr>
          <w:b/>
          <w:lang w:val="en-AU"/>
        </w:rPr>
        <w:t>Plan Inclusions and Charges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0"/>
        <w:gridCol w:w="1472"/>
        <w:gridCol w:w="1473"/>
        <w:gridCol w:w="1473"/>
        <w:gridCol w:w="1473"/>
        <w:gridCol w:w="1473"/>
      </w:tblGrid>
      <w:tr w:rsidR="00BA172C" w:rsidRPr="00F20B08" w14:paraId="640CABF1" w14:textId="77777777" w:rsidTr="00B95821">
        <w:tc>
          <w:tcPr>
            <w:tcW w:w="2700" w:type="dxa"/>
            <w:shd w:val="clear" w:color="auto" w:fill="auto"/>
          </w:tcPr>
          <w:p w14:paraId="2C862969" w14:textId="77777777" w:rsidR="00BA172C" w:rsidRPr="00F20B08" w:rsidRDefault="00BA172C" w:rsidP="00B95821">
            <w:pPr>
              <w:pStyle w:val="BodyText"/>
              <w:keepNext/>
              <w:spacing w:before="100" w:after="100"/>
            </w:pPr>
          </w:p>
        </w:tc>
        <w:tc>
          <w:tcPr>
            <w:tcW w:w="1472" w:type="dxa"/>
            <w:vAlign w:val="center"/>
          </w:tcPr>
          <w:p w14:paraId="31EF7CEF" w14:textId="77777777" w:rsidR="00BA172C" w:rsidRPr="00F20B08" w:rsidRDefault="00BA172C" w:rsidP="00B95821">
            <w:pPr>
              <w:pStyle w:val="BodyText"/>
              <w:keepNext/>
              <w:spacing w:before="100" w:after="100"/>
              <w:jc w:val="center"/>
              <w:rPr>
                <w:b/>
              </w:rPr>
            </w:pPr>
            <w:r w:rsidRPr="00F20B08">
              <w:rPr>
                <w:b/>
              </w:rPr>
              <w:t>$4</w:t>
            </w:r>
            <w:r>
              <w:rPr>
                <w:b/>
              </w:rPr>
              <w:t>5</w:t>
            </w:r>
            <w:r w:rsidRPr="00F20B08">
              <w:rPr>
                <w:b/>
              </w:rPr>
              <w:t xml:space="preserve"> My Plan Business </w:t>
            </w:r>
            <w:r w:rsidRPr="00F20B08">
              <w:rPr>
                <w:b/>
                <w:snapToGrid w:val="0"/>
              </w:rPr>
              <w:t>Tech Fund</w:t>
            </w:r>
          </w:p>
        </w:tc>
        <w:tc>
          <w:tcPr>
            <w:tcW w:w="1473" w:type="dxa"/>
            <w:shd w:val="clear" w:color="auto" w:fill="auto"/>
            <w:vAlign w:val="center"/>
          </w:tcPr>
          <w:p w14:paraId="4B98A3DB" w14:textId="77777777" w:rsidR="00BA172C" w:rsidRPr="00F20B08" w:rsidRDefault="00BA172C" w:rsidP="00B95821">
            <w:pPr>
              <w:pStyle w:val="BodyText"/>
              <w:keepNext/>
              <w:spacing w:before="100" w:after="100"/>
              <w:jc w:val="center"/>
              <w:rPr>
                <w:b/>
              </w:rPr>
            </w:pPr>
            <w:r w:rsidRPr="00F20B08">
              <w:rPr>
                <w:b/>
              </w:rPr>
              <w:t>$</w:t>
            </w:r>
            <w:r>
              <w:rPr>
                <w:b/>
              </w:rPr>
              <w:t>70</w:t>
            </w:r>
            <w:r w:rsidRPr="00F20B08">
              <w:rPr>
                <w:b/>
              </w:rPr>
              <w:t xml:space="preserve"> My Plan Business</w:t>
            </w:r>
            <w:r w:rsidRPr="00F20B08">
              <w:rPr>
                <w:b/>
                <w:snapToGrid w:val="0"/>
              </w:rPr>
              <w:t xml:space="preserve"> Tech Fund</w:t>
            </w:r>
          </w:p>
        </w:tc>
        <w:tc>
          <w:tcPr>
            <w:tcW w:w="1473" w:type="dxa"/>
            <w:shd w:val="clear" w:color="auto" w:fill="auto"/>
            <w:vAlign w:val="center"/>
          </w:tcPr>
          <w:p w14:paraId="39D2E9E4" w14:textId="77777777" w:rsidR="00BA172C" w:rsidRPr="00F20B08" w:rsidRDefault="00BA172C" w:rsidP="00B95821">
            <w:pPr>
              <w:pStyle w:val="BodyText"/>
              <w:keepNext/>
              <w:spacing w:before="100" w:after="100"/>
              <w:jc w:val="center"/>
              <w:rPr>
                <w:b/>
              </w:rPr>
            </w:pPr>
            <w:r w:rsidRPr="00F20B08">
              <w:rPr>
                <w:b/>
              </w:rPr>
              <w:t>$</w:t>
            </w:r>
            <w:r>
              <w:rPr>
                <w:b/>
              </w:rPr>
              <w:t>90</w:t>
            </w:r>
            <w:r w:rsidRPr="00F20B08">
              <w:rPr>
                <w:b/>
              </w:rPr>
              <w:t xml:space="preserve"> My Plan Business</w:t>
            </w:r>
            <w:r w:rsidRPr="00F20B08">
              <w:rPr>
                <w:b/>
                <w:snapToGrid w:val="0"/>
              </w:rPr>
              <w:t xml:space="preserve"> Tech Fund</w:t>
            </w:r>
          </w:p>
        </w:tc>
        <w:tc>
          <w:tcPr>
            <w:tcW w:w="1473" w:type="dxa"/>
            <w:vAlign w:val="center"/>
          </w:tcPr>
          <w:p w14:paraId="6B63A7CB" w14:textId="77777777" w:rsidR="00BA172C" w:rsidRPr="00F20B08" w:rsidRDefault="00BA172C" w:rsidP="00B95821">
            <w:pPr>
              <w:pStyle w:val="BodyText"/>
              <w:keepNext/>
              <w:spacing w:before="100" w:after="100"/>
              <w:jc w:val="center"/>
              <w:rPr>
                <w:b/>
              </w:rPr>
            </w:pPr>
            <w:r w:rsidRPr="00F20B08">
              <w:rPr>
                <w:b/>
              </w:rPr>
              <w:t>$10</w:t>
            </w:r>
            <w:r>
              <w:rPr>
                <w:b/>
              </w:rPr>
              <w:t>5</w:t>
            </w:r>
            <w:r w:rsidRPr="00F20B08">
              <w:rPr>
                <w:b/>
              </w:rPr>
              <w:t xml:space="preserve"> My Plan Business Tech Fund</w:t>
            </w:r>
          </w:p>
        </w:tc>
        <w:tc>
          <w:tcPr>
            <w:tcW w:w="1473" w:type="dxa"/>
            <w:vAlign w:val="center"/>
          </w:tcPr>
          <w:p w14:paraId="6928FA06" w14:textId="77777777" w:rsidR="00BA172C" w:rsidRPr="00F20B08" w:rsidRDefault="00BA172C" w:rsidP="00B95821">
            <w:pPr>
              <w:pStyle w:val="BodyText"/>
              <w:keepNext/>
              <w:spacing w:before="100" w:after="100"/>
              <w:jc w:val="center"/>
              <w:rPr>
                <w:b/>
              </w:rPr>
            </w:pPr>
            <w:r w:rsidRPr="00F20B08">
              <w:rPr>
                <w:b/>
              </w:rPr>
              <w:t>$</w:t>
            </w:r>
            <w:r>
              <w:rPr>
                <w:b/>
              </w:rPr>
              <w:t>130</w:t>
            </w:r>
            <w:r w:rsidRPr="00F20B08">
              <w:rPr>
                <w:b/>
              </w:rPr>
              <w:t xml:space="preserve"> My Plan Business Tech Fund</w:t>
            </w:r>
          </w:p>
        </w:tc>
      </w:tr>
      <w:tr w:rsidR="00BA172C" w:rsidRPr="00F20B08" w14:paraId="32B76A36" w14:textId="77777777" w:rsidTr="00B95821">
        <w:tc>
          <w:tcPr>
            <w:tcW w:w="2700" w:type="dxa"/>
            <w:shd w:val="clear" w:color="auto" w:fill="auto"/>
          </w:tcPr>
          <w:p w14:paraId="552D2EBE" w14:textId="77777777" w:rsidR="00BA172C" w:rsidRPr="00F20B08" w:rsidRDefault="00BA172C" w:rsidP="00B95821">
            <w:pPr>
              <w:pStyle w:val="BodyText"/>
              <w:keepNext/>
              <w:spacing w:before="100" w:after="100"/>
            </w:pPr>
            <w:r w:rsidRPr="00F20B08">
              <w:rPr>
                <w:b/>
                <w:bCs/>
                <w:lang w:eastAsia="en-AU"/>
              </w:rPr>
              <w:t>Minimum Monthly charge</w:t>
            </w:r>
          </w:p>
        </w:tc>
        <w:tc>
          <w:tcPr>
            <w:tcW w:w="1472" w:type="dxa"/>
            <w:vAlign w:val="center"/>
          </w:tcPr>
          <w:p w14:paraId="416701F8" w14:textId="77777777" w:rsidR="00BA172C" w:rsidRPr="00F20B08" w:rsidRDefault="00BA172C" w:rsidP="00B95821">
            <w:pPr>
              <w:pStyle w:val="BodyText"/>
              <w:keepNext/>
              <w:spacing w:before="100" w:after="100"/>
              <w:jc w:val="center"/>
            </w:pPr>
            <w:r w:rsidRPr="00F20B08">
              <w:t>$4</w:t>
            </w:r>
            <w:r>
              <w:t>5</w:t>
            </w:r>
          </w:p>
        </w:tc>
        <w:tc>
          <w:tcPr>
            <w:tcW w:w="1473" w:type="dxa"/>
            <w:shd w:val="clear" w:color="auto" w:fill="auto"/>
            <w:vAlign w:val="center"/>
          </w:tcPr>
          <w:p w14:paraId="27C363DB" w14:textId="77777777" w:rsidR="00BA172C" w:rsidRPr="00F20B08" w:rsidRDefault="00BA172C" w:rsidP="00B95821">
            <w:pPr>
              <w:pStyle w:val="BodyText"/>
              <w:keepNext/>
              <w:spacing w:before="100" w:after="100"/>
              <w:jc w:val="center"/>
            </w:pPr>
            <w:r w:rsidRPr="00F20B08">
              <w:t>$</w:t>
            </w:r>
            <w:r>
              <w:t>70</w:t>
            </w:r>
          </w:p>
        </w:tc>
        <w:tc>
          <w:tcPr>
            <w:tcW w:w="1473" w:type="dxa"/>
            <w:shd w:val="clear" w:color="auto" w:fill="auto"/>
            <w:vAlign w:val="center"/>
          </w:tcPr>
          <w:p w14:paraId="0DDA9D75" w14:textId="77777777" w:rsidR="00BA172C" w:rsidRPr="00F20B08" w:rsidRDefault="00BA172C" w:rsidP="00B95821">
            <w:pPr>
              <w:pStyle w:val="BodyText"/>
              <w:keepNext/>
              <w:spacing w:before="100" w:after="100"/>
              <w:jc w:val="center"/>
            </w:pPr>
            <w:r w:rsidRPr="00F20B08">
              <w:t>$</w:t>
            </w:r>
            <w:r>
              <w:t>90</w:t>
            </w:r>
          </w:p>
        </w:tc>
        <w:tc>
          <w:tcPr>
            <w:tcW w:w="1473" w:type="dxa"/>
            <w:vAlign w:val="center"/>
          </w:tcPr>
          <w:p w14:paraId="16D73D44" w14:textId="77777777" w:rsidR="00BA172C" w:rsidRPr="00F20B08" w:rsidRDefault="00BA172C" w:rsidP="00B95821">
            <w:pPr>
              <w:pStyle w:val="BodyText"/>
              <w:keepNext/>
              <w:spacing w:before="100" w:after="100"/>
              <w:jc w:val="center"/>
            </w:pPr>
            <w:r w:rsidRPr="00F20B08">
              <w:t>$10</w:t>
            </w:r>
            <w:r>
              <w:t>5</w:t>
            </w:r>
          </w:p>
        </w:tc>
        <w:tc>
          <w:tcPr>
            <w:tcW w:w="1473" w:type="dxa"/>
            <w:vAlign w:val="center"/>
          </w:tcPr>
          <w:p w14:paraId="5A56102D" w14:textId="77777777" w:rsidR="00BA172C" w:rsidRPr="00F20B08" w:rsidRDefault="00BA172C" w:rsidP="00B95821">
            <w:pPr>
              <w:pStyle w:val="BodyText"/>
              <w:keepNext/>
              <w:spacing w:before="100" w:after="100"/>
              <w:jc w:val="center"/>
            </w:pPr>
            <w:r w:rsidRPr="00F20B08">
              <w:t>$</w:t>
            </w:r>
            <w:r>
              <w:t>130</w:t>
            </w:r>
          </w:p>
        </w:tc>
      </w:tr>
      <w:tr w:rsidR="00BA172C" w:rsidRPr="00F20B08" w14:paraId="4EC9C644" w14:textId="77777777" w:rsidTr="00B95821">
        <w:tc>
          <w:tcPr>
            <w:tcW w:w="2700" w:type="dxa"/>
            <w:shd w:val="clear" w:color="auto" w:fill="auto"/>
          </w:tcPr>
          <w:p w14:paraId="4172679E" w14:textId="77777777" w:rsidR="00BA172C" w:rsidRPr="00F20B08" w:rsidRDefault="00BA172C" w:rsidP="00B95821">
            <w:pPr>
              <w:pStyle w:val="BodyText"/>
              <w:keepNext/>
              <w:spacing w:before="100" w:after="100"/>
            </w:pPr>
            <w:r w:rsidRPr="00F20B08">
              <w:rPr>
                <w:b/>
                <w:bCs/>
                <w:lang w:eastAsia="en-AU"/>
              </w:rPr>
              <w:t>Included Data</w:t>
            </w:r>
          </w:p>
        </w:tc>
        <w:tc>
          <w:tcPr>
            <w:tcW w:w="1472" w:type="dxa"/>
            <w:vAlign w:val="center"/>
          </w:tcPr>
          <w:p w14:paraId="5CFDF59C" w14:textId="77777777" w:rsidR="00BA172C" w:rsidRPr="00F20B08" w:rsidRDefault="00BA172C" w:rsidP="00B95821">
            <w:pPr>
              <w:pStyle w:val="BodyText"/>
              <w:keepNext/>
              <w:spacing w:before="100" w:after="100"/>
              <w:jc w:val="center"/>
            </w:pPr>
            <w:r>
              <w:t>1.5GB</w:t>
            </w:r>
          </w:p>
        </w:tc>
        <w:tc>
          <w:tcPr>
            <w:tcW w:w="1473" w:type="dxa"/>
            <w:shd w:val="clear" w:color="auto" w:fill="auto"/>
            <w:vAlign w:val="center"/>
          </w:tcPr>
          <w:p w14:paraId="15C43A04" w14:textId="77777777" w:rsidR="00BA172C" w:rsidRPr="00F20B08" w:rsidRDefault="00BA172C" w:rsidP="00B95821">
            <w:pPr>
              <w:pStyle w:val="BodyText"/>
              <w:keepNext/>
              <w:spacing w:before="100" w:after="100"/>
              <w:jc w:val="center"/>
            </w:pPr>
            <w:r>
              <w:t>4.5</w:t>
            </w:r>
            <w:r w:rsidRPr="00F20B08">
              <w:t>GB</w:t>
            </w:r>
          </w:p>
        </w:tc>
        <w:tc>
          <w:tcPr>
            <w:tcW w:w="1473" w:type="dxa"/>
            <w:shd w:val="clear" w:color="auto" w:fill="auto"/>
            <w:vAlign w:val="center"/>
          </w:tcPr>
          <w:p w14:paraId="23F264DA" w14:textId="77777777" w:rsidR="00BA172C" w:rsidRPr="00F20B08" w:rsidRDefault="00BA172C" w:rsidP="00B95821">
            <w:pPr>
              <w:pStyle w:val="BodyText"/>
              <w:keepNext/>
              <w:spacing w:before="100" w:after="100"/>
              <w:jc w:val="center"/>
            </w:pPr>
            <w:r>
              <w:t>8</w:t>
            </w:r>
            <w:r w:rsidRPr="00F20B08">
              <w:t>GB</w:t>
            </w:r>
          </w:p>
        </w:tc>
        <w:tc>
          <w:tcPr>
            <w:tcW w:w="1473" w:type="dxa"/>
            <w:vAlign w:val="center"/>
          </w:tcPr>
          <w:p w14:paraId="2513B7EB" w14:textId="77777777" w:rsidR="00BA172C" w:rsidRPr="00F20B08" w:rsidRDefault="00BA172C" w:rsidP="00B95821">
            <w:pPr>
              <w:pStyle w:val="BodyText"/>
              <w:keepNext/>
              <w:spacing w:before="100" w:after="100"/>
              <w:jc w:val="center"/>
            </w:pPr>
            <w:r w:rsidRPr="00F20B08">
              <w:t>15GB</w:t>
            </w:r>
          </w:p>
        </w:tc>
        <w:tc>
          <w:tcPr>
            <w:tcW w:w="1473" w:type="dxa"/>
            <w:vAlign w:val="center"/>
          </w:tcPr>
          <w:p w14:paraId="0083791C" w14:textId="77777777" w:rsidR="00BA172C" w:rsidRPr="00F20B08" w:rsidRDefault="00BA172C" w:rsidP="00B95821">
            <w:pPr>
              <w:pStyle w:val="BodyText"/>
              <w:keepNext/>
              <w:spacing w:before="100" w:after="100"/>
              <w:jc w:val="center"/>
            </w:pPr>
            <w:r>
              <w:t>30</w:t>
            </w:r>
            <w:r w:rsidRPr="00F20B08">
              <w:t>GB</w:t>
            </w:r>
          </w:p>
        </w:tc>
      </w:tr>
      <w:tr w:rsidR="00BA172C" w:rsidRPr="00F20B08" w14:paraId="1264C5E8" w14:textId="77777777" w:rsidTr="00B95821">
        <w:tc>
          <w:tcPr>
            <w:tcW w:w="2700" w:type="dxa"/>
            <w:shd w:val="clear" w:color="auto" w:fill="auto"/>
          </w:tcPr>
          <w:p w14:paraId="2DC80728" w14:textId="77777777" w:rsidR="00BA172C" w:rsidRPr="00F20B08" w:rsidRDefault="00BA172C" w:rsidP="00B95821">
            <w:pPr>
              <w:pStyle w:val="BodyText"/>
              <w:keepNext/>
              <w:spacing w:before="100" w:after="100"/>
              <w:rPr>
                <w:b/>
                <w:bCs/>
                <w:lang w:eastAsia="en-AU"/>
              </w:rPr>
            </w:pPr>
            <w:r w:rsidRPr="00F20B08">
              <w:rPr>
                <w:b/>
                <w:bCs/>
                <w:lang w:eastAsia="en-AU"/>
              </w:rPr>
              <w:t>Additional Data</w:t>
            </w:r>
          </w:p>
        </w:tc>
        <w:tc>
          <w:tcPr>
            <w:tcW w:w="7364" w:type="dxa"/>
            <w:gridSpan w:val="5"/>
            <w:vAlign w:val="center"/>
          </w:tcPr>
          <w:p w14:paraId="6DC75069" w14:textId="77777777" w:rsidR="00BA172C" w:rsidRPr="00F20B08" w:rsidRDefault="00BA172C" w:rsidP="00B95821">
            <w:pPr>
              <w:pStyle w:val="BodyText"/>
              <w:keepNext/>
              <w:spacing w:before="100" w:after="100"/>
              <w:jc w:val="center"/>
            </w:pPr>
            <w:r w:rsidRPr="00F20B08">
              <w:t>Additional Data $10 per 1GB</w:t>
            </w:r>
          </w:p>
        </w:tc>
      </w:tr>
      <w:tr w:rsidR="00BA172C" w:rsidRPr="00F20B08" w14:paraId="79A5DAB4" w14:textId="77777777" w:rsidTr="00B95821">
        <w:tc>
          <w:tcPr>
            <w:tcW w:w="2700" w:type="dxa"/>
            <w:shd w:val="clear" w:color="auto" w:fill="auto"/>
          </w:tcPr>
          <w:p w14:paraId="3F090F34" w14:textId="77777777" w:rsidR="00BA172C" w:rsidRPr="00F20B08" w:rsidRDefault="00BA172C" w:rsidP="00B95821">
            <w:pPr>
              <w:pStyle w:val="BodyText"/>
              <w:keepNext/>
              <w:spacing w:before="100" w:after="100"/>
              <w:rPr>
                <w:b/>
                <w:bCs/>
                <w:lang w:eastAsia="en-AU"/>
              </w:rPr>
            </w:pPr>
            <w:r w:rsidRPr="00F20B08">
              <w:rPr>
                <w:b/>
                <w:bCs/>
                <w:lang w:eastAsia="en-AU"/>
              </w:rPr>
              <w:t xml:space="preserve">Included Minutes </w:t>
            </w:r>
          </w:p>
          <w:p w14:paraId="59990106" w14:textId="77777777" w:rsidR="00BA172C" w:rsidRPr="00F20B08" w:rsidRDefault="00BA172C" w:rsidP="00B95821">
            <w:pPr>
              <w:pStyle w:val="BodyText"/>
              <w:keepNext/>
              <w:spacing w:before="100" w:after="100"/>
            </w:pPr>
            <w:r w:rsidRPr="00F20B08">
              <w:rPr>
                <w:lang w:eastAsia="en-AU"/>
              </w:rPr>
              <w:t>for standard national calls to landlines and mobiles, 1300 numbers and voicemail, within Australia</w:t>
            </w:r>
          </w:p>
        </w:tc>
        <w:tc>
          <w:tcPr>
            <w:tcW w:w="1472" w:type="dxa"/>
            <w:vAlign w:val="center"/>
          </w:tcPr>
          <w:p w14:paraId="5DC939CA" w14:textId="77777777" w:rsidR="00BA172C" w:rsidRPr="00F20B08" w:rsidRDefault="00BA172C" w:rsidP="00B95821">
            <w:pPr>
              <w:pStyle w:val="BodyText"/>
              <w:keepNext/>
              <w:spacing w:before="100" w:after="100"/>
              <w:jc w:val="center"/>
            </w:pPr>
            <w:r w:rsidRPr="00F20B08">
              <w:t>Unlimited</w:t>
            </w:r>
          </w:p>
        </w:tc>
        <w:tc>
          <w:tcPr>
            <w:tcW w:w="1473" w:type="dxa"/>
            <w:shd w:val="clear" w:color="auto" w:fill="auto"/>
            <w:vAlign w:val="center"/>
          </w:tcPr>
          <w:p w14:paraId="0BBAE8D5" w14:textId="77777777" w:rsidR="00BA172C" w:rsidRPr="00F20B08" w:rsidRDefault="00BA172C" w:rsidP="00B95821">
            <w:pPr>
              <w:pStyle w:val="BodyText"/>
              <w:keepNext/>
              <w:spacing w:before="100" w:after="100"/>
              <w:jc w:val="center"/>
            </w:pPr>
            <w:r w:rsidRPr="00F20B08">
              <w:t>Unlimited</w:t>
            </w:r>
          </w:p>
        </w:tc>
        <w:tc>
          <w:tcPr>
            <w:tcW w:w="1473" w:type="dxa"/>
            <w:shd w:val="clear" w:color="auto" w:fill="auto"/>
            <w:vAlign w:val="center"/>
          </w:tcPr>
          <w:p w14:paraId="1C82DCD1" w14:textId="77777777" w:rsidR="00BA172C" w:rsidRPr="00F20B08" w:rsidRDefault="00BA172C" w:rsidP="00B95821">
            <w:pPr>
              <w:pStyle w:val="BodyText"/>
              <w:keepNext/>
              <w:spacing w:before="100" w:after="100"/>
              <w:jc w:val="center"/>
            </w:pPr>
            <w:r w:rsidRPr="00F20B08">
              <w:t>Unlimited</w:t>
            </w:r>
          </w:p>
        </w:tc>
        <w:tc>
          <w:tcPr>
            <w:tcW w:w="1473" w:type="dxa"/>
            <w:vAlign w:val="center"/>
          </w:tcPr>
          <w:p w14:paraId="635E028F" w14:textId="77777777" w:rsidR="00BA172C" w:rsidRPr="00F20B08" w:rsidRDefault="00BA172C" w:rsidP="00B95821">
            <w:pPr>
              <w:pStyle w:val="BodyText"/>
              <w:keepNext/>
              <w:spacing w:before="100" w:after="100"/>
              <w:jc w:val="center"/>
            </w:pPr>
            <w:r w:rsidRPr="00F20B08">
              <w:t>Unlimited</w:t>
            </w:r>
          </w:p>
        </w:tc>
        <w:tc>
          <w:tcPr>
            <w:tcW w:w="1473" w:type="dxa"/>
            <w:vAlign w:val="center"/>
          </w:tcPr>
          <w:p w14:paraId="2895107A" w14:textId="77777777" w:rsidR="00BA172C" w:rsidRPr="00F20B08" w:rsidRDefault="00BA172C" w:rsidP="00B95821">
            <w:pPr>
              <w:pStyle w:val="BodyText"/>
              <w:keepNext/>
              <w:spacing w:before="100" w:after="100"/>
              <w:jc w:val="center"/>
            </w:pPr>
            <w:r w:rsidRPr="00F20B08">
              <w:t>Unlimited</w:t>
            </w:r>
          </w:p>
        </w:tc>
      </w:tr>
      <w:tr w:rsidR="00BA172C" w:rsidRPr="00F20B08" w14:paraId="24BA9D54" w14:textId="77777777" w:rsidTr="00B95821">
        <w:tc>
          <w:tcPr>
            <w:tcW w:w="2700" w:type="dxa"/>
            <w:shd w:val="clear" w:color="auto" w:fill="auto"/>
          </w:tcPr>
          <w:p w14:paraId="6AC4290B" w14:textId="77777777" w:rsidR="00BA172C" w:rsidRPr="00F20B08" w:rsidRDefault="00BA172C" w:rsidP="00B95821">
            <w:pPr>
              <w:pStyle w:val="BodyText"/>
              <w:keepNext/>
              <w:spacing w:before="100" w:after="100"/>
              <w:rPr>
                <w:b/>
                <w:bCs/>
                <w:lang w:eastAsia="en-AU"/>
              </w:rPr>
            </w:pPr>
            <w:r w:rsidRPr="00F20B08">
              <w:rPr>
                <w:b/>
                <w:bCs/>
                <w:lang w:eastAsia="en-AU"/>
              </w:rPr>
              <w:t>Included International Minutes</w:t>
            </w:r>
          </w:p>
          <w:p w14:paraId="02677C5E" w14:textId="77777777" w:rsidR="00BA172C" w:rsidRPr="00F20B08" w:rsidRDefault="00BA172C" w:rsidP="00B95821">
            <w:pPr>
              <w:pStyle w:val="BodyText"/>
              <w:keepNext/>
              <w:spacing w:before="100" w:after="100"/>
              <w:rPr>
                <w:lang w:eastAsia="en-AU"/>
              </w:rPr>
            </w:pPr>
            <w:r w:rsidRPr="00F20B08">
              <w:rPr>
                <w:lang w:eastAsia="en-AU"/>
              </w:rPr>
              <w:t>Standard international calls to landlines and mobiles</w:t>
            </w:r>
          </w:p>
          <w:p w14:paraId="571ACEE1" w14:textId="77777777" w:rsidR="00BA172C" w:rsidRPr="00F20B08" w:rsidRDefault="00BA172C" w:rsidP="00B95821">
            <w:pPr>
              <w:pStyle w:val="BodyText"/>
              <w:keepNext/>
              <w:spacing w:before="100" w:after="100"/>
              <w:rPr>
                <w:b/>
                <w:bCs/>
                <w:lang w:eastAsia="en-AU"/>
              </w:rPr>
            </w:pPr>
            <w:r w:rsidRPr="00F20B08">
              <w:rPr>
                <w:lang w:eastAsia="en-AU"/>
              </w:rPr>
              <w:t xml:space="preserve">to selected countries </w:t>
            </w:r>
          </w:p>
        </w:tc>
        <w:tc>
          <w:tcPr>
            <w:tcW w:w="1472" w:type="dxa"/>
            <w:vAlign w:val="center"/>
          </w:tcPr>
          <w:p w14:paraId="3A7F7870" w14:textId="77777777" w:rsidR="00BA172C" w:rsidRPr="00F20B08" w:rsidRDefault="00BA172C" w:rsidP="00B95821">
            <w:pPr>
              <w:pStyle w:val="BodyText"/>
              <w:keepNext/>
              <w:spacing w:before="100" w:after="100"/>
              <w:jc w:val="center"/>
            </w:pPr>
            <w:r w:rsidRPr="00F20B08">
              <w:t>Not included</w:t>
            </w:r>
          </w:p>
        </w:tc>
        <w:tc>
          <w:tcPr>
            <w:tcW w:w="1473" w:type="dxa"/>
            <w:shd w:val="clear" w:color="auto" w:fill="auto"/>
            <w:vAlign w:val="center"/>
          </w:tcPr>
          <w:p w14:paraId="473C4458" w14:textId="77777777" w:rsidR="00BA172C" w:rsidRPr="00F20B08" w:rsidRDefault="00BA172C" w:rsidP="00B95821">
            <w:pPr>
              <w:pStyle w:val="BodyText"/>
              <w:keepNext/>
              <w:spacing w:before="100" w:after="100"/>
              <w:jc w:val="center"/>
            </w:pPr>
            <w:r w:rsidRPr="00F20B08">
              <w:t>Unlimited</w:t>
            </w:r>
          </w:p>
        </w:tc>
        <w:tc>
          <w:tcPr>
            <w:tcW w:w="1473" w:type="dxa"/>
            <w:shd w:val="clear" w:color="auto" w:fill="auto"/>
            <w:vAlign w:val="center"/>
          </w:tcPr>
          <w:p w14:paraId="6E16ADC5" w14:textId="77777777" w:rsidR="00BA172C" w:rsidRPr="00F20B08" w:rsidRDefault="00BA172C" w:rsidP="00B95821">
            <w:pPr>
              <w:pStyle w:val="BodyText"/>
              <w:keepNext/>
              <w:spacing w:before="100" w:after="100"/>
              <w:jc w:val="center"/>
            </w:pPr>
            <w:r w:rsidRPr="00F20B08">
              <w:t>Unlimited</w:t>
            </w:r>
          </w:p>
        </w:tc>
        <w:tc>
          <w:tcPr>
            <w:tcW w:w="1473" w:type="dxa"/>
            <w:vAlign w:val="center"/>
          </w:tcPr>
          <w:p w14:paraId="77155B8B" w14:textId="77777777" w:rsidR="00BA172C" w:rsidRPr="00F20B08" w:rsidRDefault="00BA172C" w:rsidP="00B95821">
            <w:pPr>
              <w:pStyle w:val="BodyText"/>
              <w:keepNext/>
              <w:spacing w:before="100" w:after="100"/>
              <w:jc w:val="center"/>
              <w:rPr>
                <w:bCs/>
                <w:lang w:eastAsia="en-AU"/>
              </w:rPr>
            </w:pPr>
            <w:r w:rsidRPr="00F20B08">
              <w:t>Unlimited</w:t>
            </w:r>
          </w:p>
        </w:tc>
        <w:tc>
          <w:tcPr>
            <w:tcW w:w="1473" w:type="dxa"/>
            <w:vAlign w:val="center"/>
          </w:tcPr>
          <w:p w14:paraId="0965E2CE" w14:textId="77777777" w:rsidR="00BA172C" w:rsidRPr="00F20B08" w:rsidRDefault="00BA172C" w:rsidP="00B95821">
            <w:pPr>
              <w:pStyle w:val="BodyText"/>
              <w:keepNext/>
              <w:spacing w:before="100" w:after="100"/>
              <w:jc w:val="center"/>
              <w:rPr>
                <w:bCs/>
              </w:rPr>
            </w:pPr>
            <w:r w:rsidRPr="00F20B08">
              <w:t>Unlimited</w:t>
            </w:r>
          </w:p>
        </w:tc>
      </w:tr>
      <w:tr w:rsidR="00BA172C" w:rsidRPr="00F20B08" w14:paraId="4C2DE759" w14:textId="77777777" w:rsidTr="00B95821">
        <w:tc>
          <w:tcPr>
            <w:tcW w:w="2700" w:type="dxa"/>
            <w:shd w:val="clear" w:color="auto" w:fill="auto"/>
          </w:tcPr>
          <w:p w14:paraId="2632649A" w14:textId="77777777" w:rsidR="00BA172C" w:rsidRPr="00F20B08" w:rsidRDefault="00BA172C" w:rsidP="00B95821">
            <w:pPr>
              <w:pStyle w:val="BodyText"/>
              <w:keepNext/>
              <w:spacing w:before="100" w:after="100"/>
            </w:pPr>
            <w:r w:rsidRPr="00F20B08">
              <w:rPr>
                <w:b/>
                <w:bCs/>
                <w:lang w:eastAsia="en-AU"/>
              </w:rPr>
              <w:t xml:space="preserve">Standard national SMS </w:t>
            </w:r>
            <w:r w:rsidRPr="00F20B08">
              <w:rPr>
                <w:lang w:eastAsia="en-AU"/>
              </w:rPr>
              <w:t>(per SMS of up to 160 standard characters)</w:t>
            </w:r>
          </w:p>
        </w:tc>
        <w:tc>
          <w:tcPr>
            <w:tcW w:w="1472" w:type="dxa"/>
            <w:vAlign w:val="center"/>
          </w:tcPr>
          <w:p w14:paraId="764A2D8D" w14:textId="77777777" w:rsidR="00BA172C" w:rsidRPr="00F20B08" w:rsidRDefault="00BA172C" w:rsidP="00B95821">
            <w:pPr>
              <w:pStyle w:val="BodyText"/>
              <w:keepNext/>
              <w:spacing w:before="100" w:after="100"/>
              <w:jc w:val="center"/>
            </w:pPr>
            <w:r w:rsidRPr="00F20B08">
              <w:t>Unlimited</w:t>
            </w:r>
          </w:p>
        </w:tc>
        <w:tc>
          <w:tcPr>
            <w:tcW w:w="1473" w:type="dxa"/>
            <w:shd w:val="clear" w:color="auto" w:fill="auto"/>
            <w:vAlign w:val="center"/>
          </w:tcPr>
          <w:p w14:paraId="16C2709D" w14:textId="77777777" w:rsidR="00BA172C" w:rsidRPr="00F20B08" w:rsidRDefault="00BA172C" w:rsidP="00B95821">
            <w:pPr>
              <w:pStyle w:val="BodyText"/>
              <w:keepNext/>
              <w:spacing w:before="100" w:after="100"/>
              <w:jc w:val="center"/>
            </w:pPr>
            <w:r w:rsidRPr="00F20B08">
              <w:t>Unlimited</w:t>
            </w:r>
          </w:p>
        </w:tc>
        <w:tc>
          <w:tcPr>
            <w:tcW w:w="1473" w:type="dxa"/>
            <w:shd w:val="clear" w:color="auto" w:fill="auto"/>
            <w:vAlign w:val="center"/>
          </w:tcPr>
          <w:p w14:paraId="3C66EA36" w14:textId="77777777" w:rsidR="00BA172C" w:rsidRPr="00F20B08" w:rsidRDefault="00BA172C" w:rsidP="00B95821">
            <w:pPr>
              <w:pStyle w:val="BodyText"/>
              <w:keepNext/>
              <w:spacing w:before="100" w:after="100"/>
              <w:jc w:val="center"/>
            </w:pPr>
            <w:r w:rsidRPr="00F20B08">
              <w:t>Unlimited</w:t>
            </w:r>
          </w:p>
        </w:tc>
        <w:tc>
          <w:tcPr>
            <w:tcW w:w="1473" w:type="dxa"/>
            <w:vAlign w:val="center"/>
          </w:tcPr>
          <w:p w14:paraId="5333F5C7" w14:textId="77777777" w:rsidR="00BA172C" w:rsidRPr="00F20B08" w:rsidRDefault="00BA172C" w:rsidP="00B95821">
            <w:pPr>
              <w:pStyle w:val="BodyText"/>
              <w:keepNext/>
              <w:spacing w:before="100" w:after="100"/>
              <w:jc w:val="center"/>
            </w:pPr>
            <w:r w:rsidRPr="00F20B08">
              <w:t>Unlimited</w:t>
            </w:r>
          </w:p>
        </w:tc>
        <w:tc>
          <w:tcPr>
            <w:tcW w:w="1473" w:type="dxa"/>
            <w:vAlign w:val="center"/>
          </w:tcPr>
          <w:p w14:paraId="0B68BD2C" w14:textId="77777777" w:rsidR="00BA172C" w:rsidRPr="00F20B08" w:rsidRDefault="00BA172C" w:rsidP="00B95821">
            <w:pPr>
              <w:pStyle w:val="BodyText"/>
              <w:keepNext/>
              <w:spacing w:before="100" w:after="100"/>
              <w:jc w:val="center"/>
            </w:pPr>
            <w:r w:rsidRPr="00F20B08">
              <w:t>Unlimited</w:t>
            </w:r>
          </w:p>
        </w:tc>
      </w:tr>
      <w:tr w:rsidR="00BA172C" w:rsidRPr="00F20B08" w14:paraId="196E6F8C" w14:textId="77777777" w:rsidTr="00B95821">
        <w:tc>
          <w:tcPr>
            <w:tcW w:w="2700" w:type="dxa"/>
            <w:shd w:val="clear" w:color="auto" w:fill="auto"/>
          </w:tcPr>
          <w:p w14:paraId="18111B2C" w14:textId="77777777" w:rsidR="00BA172C" w:rsidRPr="00F20B08" w:rsidRDefault="00BA172C" w:rsidP="00B95821">
            <w:pPr>
              <w:pStyle w:val="BodyText"/>
              <w:keepNext/>
              <w:spacing w:before="100" w:after="100"/>
              <w:rPr>
                <w:b/>
                <w:bCs/>
                <w:lang w:eastAsia="en-AU"/>
              </w:rPr>
            </w:pPr>
            <w:r w:rsidRPr="00F20B08">
              <w:rPr>
                <w:b/>
                <w:bCs/>
                <w:lang w:eastAsia="en-AU"/>
              </w:rPr>
              <w:t xml:space="preserve">Standard national MMS </w:t>
            </w:r>
            <w:r w:rsidRPr="00F20B08">
              <w:rPr>
                <w:lang w:eastAsia="en-AU"/>
              </w:rPr>
              <w:t>(per message)</w:t>
            </w:r>
          </w:p>
        </w:tc>
        <w:tc>
          <w:tcPr>
            <w:tcW w:w="1472" w:type="dxa"/>
            <w:vAlign w:val="center"/>
          </w:tcPr>
          <w:p w14:paraId="634C38A8" w14:textId="77777777" w:rsidR="00BA172C" w:rsidRPr="00F20B08" w:rsidRDefault="00BA172C" w:rsidP="00B95821">
            <w:pPr>
              <w:pStyle w:val="BodyText"/>
              <w:keepNext/>
              <w:spacing w:before="100" w:after="100"/>
              <w:jc w:val="center"/>
            </w:pPr>
            <w:r w:rsidRPr="00F20B08">
              <w:t>Unlimited</w:t>
            </w:r>
          </w:p>
        </w:tc>
        <w:tc>
          <w:tcPr>
            <w:tcW w:w="1473" w:type="dxa"/>
            <w:shd w:val="clear" w:color="auto" w:fill="auto"/>
            <w:vAlign w:val="center"/>
          </w:tcPr>
          <w:p w14:paraId="7E265E6B" w14:textId="77777777" w:rsidR="00BA172C" w:rsidRPr="00F20B08" w:rsidRDefault="00BA172C" w:rsidP="00B95821">
            <w:pPr>
              <w:pStyle w:val="BodyText"/>
              <w:keepNext/>
              <w:spacing w:before="100" w:after="100"/>
              <w:jc w:val="center"/>
            </w:pPr>
            <w:r w:rsidRPr="00F20B08">
              <w:t>Unlimited</w:t>
            </w:r>
          </w:p>
        </w:tc>
        <w:tc>
          <w:tcPr>
            <w:tcW w:w="1473" w:type="dxa"/>
            <w:shd w:val="clear" w:color="auto" w:fill="auto"/>
            <w:vAlign w:val="center"/>
          </w:tcPr>
          <w:p w14:paraId="21012376" w14:textId="77777777" w:rsidR="00BA172C" w:rsidRPr="00F20B08" w:rsidRDefault="00BA172C" w:rsidP="00B95821">
            <w:pPr>
              <w:pStyle w:val="BodyText"/>
              <w:keepNext/>
              <w:spacing w:before="100" w:after="100"/>
              <w:jc w:val="center"/>
            </w:pPr>
            <w:r w:rsidRPr="00F20B08">
              <w:t>Unlimited</w:t>
            </w:r>
          </w:p>
        </w:tc>
        <w:tc>
          <w:tcPr>
            <w:tcW w:w="1473" w:type="dxa"/>
            <w:vAlign w:val="center"/>
          </w:tcPr>
          <w:p w14:paraId="43BA319F" w14:textId="77777777" w:rsidR="00BA172C" w:rsidRPr="00F20B08" w:rsidRDefault="00BA172C" w:rsidP="00B95821">
            <w:pPr>
              <w:pStyle w:val="BodyText"/>
              <w:keepNext/>
              <w:spacing w:before="100" w:after="100"/>
              <w:jc w:val="center"/>
            </w:pPr>
            <w:r w:rsidRPr="00F20B08">
              <w:t>Unlimited</w:t>
            </w:r>
          </w:p>
        </w:tc>
        <w:tc>
          <w:tcPr>
            <w:tcW w:w="1473" w:type="dxa"/>
            <w:vAlign w:val="center"/>
          </w:tcPr>
          <w:p w14:paraId="590E6CBD" w14:textId="77777777" w:rsidR="00BA172C" w:rsidRPr="00F20B08" w:rsidRDefault="00BA172C" w:rsidP="00B95821">
            <w:pPr>
              <w:pStyle w:val="BodyText"/>
              <w:keepNext/>
              <w:spacing w:before="100" w:after="100"/>
              <w:jc w:val="center"/>
            </w:pPr>
            <w:r w:rsidRPr="00F20B08">
              <w:t>Unlimited</w:t>
            </w:r>
          </w:p>
        </w:tc>
      </w:tr>
      <w:tr w:rsidR="00BA172C" w:rsidRPr="00F20B08" w14:paraId="40462892" w14:textId="77777777" w:rsidTr="00B95821">
        <w:tc>
          <w:tcPr>
            <w:tcW w:w="2700" w:type="dxa"/>
            <w:shd w:val="clear" w:color="auto" w:fill="auto"/>
          </w:tcPr>
          <w:p w14:paraId="3CB9FC04" w14:textId="77777777" w:rsidR="00BA172C" w:rsidRPr="00F20B08" w:rsidDel="00064B49" w:rsidRDefault="00BA172C" w:rsidP="00B95821">
            <w:pPr>
              <w:pStyle w:val="BodyText"/>
              <w:keepNext/>
              <w:spacing w:before="100" w:after="100"/>
              <w:rPr>
                <w:b/>
                <w:bCs/>
                <w:lang w:eastAsia="en-AU"/>
              </w:rPr>
            </w:pPr>
            <w:r w:rsidRPr="00F20B08">
              <w:rPr>
                <w:b/>
                <w:bCs/>
                <w:lang w:eastAsia="en-AU"/>
              </w:rPr>
              <w:t xml:space="preserve">Standard international SMS </w:t>
            </w:r>
            <w:r w:rsidRPr="00F20B08">
              <w:rPr>
                <w:lang w:eastAsia="en-AU"/>
              </w:rPr>
              <w:t>(per SMS of up to 160 standard characters to selected countries)</w:t>
            </w:r>
          </w:p>
        </w:tc>
        <w:tc>
          <w:tcPr>
            <w:tcW w:w="1472" w:type="dxa"/>
            <w:vAlign w:val="center"/>
          </w:tcPr>
          <w:p w14:paraId="4605FB19" w14:textId="77777777" w:rsidR="00BA172C" w:rsidRPr="00F20B08" w:rsidRDefault="00BA172C" w:rsidP="00B95821">
            <w:pPr>
              <w:pStyle w:val="BodyText"/>
              <w:keepNext/>
              <w:spacing w:before="100" w:after="100"/>
              <w:jc w:val="center"/>
            </w:pPr>
            <w:r w:rsidRPr="00F20B08">
              <w:t>Unlimited</w:t>
            </w:r>
          </w:p>
        </w:tc>
        <w:tc>
          <w:tcPr>
            <w:tcW w:w="1473" w:type="dxa"/>
            <w:shd w:val="clear" w:color="auto" w:fill="auto"/>
            <w:vAlign w:val="center"/>
          </w:tcPr>
          <w:p w14:paraId="6E7EB928" w14:textId="77777777" w:rsidR="00BA172C" w:rsidRPr="00F20B08" w:rsidDel="00064B49" w:rsidRDefault="00BA172C" w:rsidP="00B95821">
            <w:pPr>
              <w:pStyle w:val="BodyText"/>
              <w:keepNext/>
              <w:spacing w:before="100" w:after="100"/>
              <w:jc w:val="center"/>
            </w:pPr>
            <w:r w:rsidRPr="00F20B08">
              <w:t>Unlimited</w:t>
            </w:r>
          </w:p>
        </w:tc>
        <w:tc>
          <w:tcPr>
            <w:tcW w:w="1473" w:type="dxa"/>
            <w:shd w:val="clear" w:color="auto" w:fill="auto"/>
            <w:vAlign w:val="center"/>
          </w:tcPr>
          <w:p w14:paraId="0E9233E3" w14:textId="77777777" w:rsidR="00BA172C" w:rsidRPr="00F20B08" w:rsidDel="00064B49" w:rsidRDefault="00BA172C" w:rsidP="00B95821">
            <w:pPr>
              <w:pStyle w:val="BodyText"/>
              <w:keepNext/>
              <w:spacing w:before="100" w:after="100"/>
              <w:jc w:val="center"/>
            </w:pPr>
            <w:r w:rsidRPr="00F20B08">
              <w:t>Unlimited</w:t>
            </w:r>
          </w:p>
        </w:tc>
        <w:tc>
          <w:tcPr>
            <w:tcW w:w="1473" w:type="dxa"/>
            <w:vAlign w:val="center"/>
          </w:tcPr>
          <w:p w14:paraId="19DD44CA" w14:textId="77777777" w:rsidR="00BA172C" w:rsidRPr="00F20B08" w:rsidRDefault="00BA172C" w:rsidP="00B95821">
            <w:pPr>
              <w:pStyle w:val="BodyText"/>
              <w:keepNext/>
              <w:spacing w:before="100" w:after="100"/>
              <w:jc w:val="center"/>
            </w:pPr>
            <w:r w:rsidRPr="00F20B08">
              <w:t>Unlimited</w:t>
            </w:r>
          </w:p>
        </w:tc>
        <w:tc>
          <w:tcPr>
            <w:tcW w:w="1473" w:type="dxa"/>
            <w:vAlign w:val="center"/>
          </w:tcPr>
          <w:p w14:paraId="58A4AB22" w14:textId="77777777" w:rsidR="00BA172C" w:rsidRPr="00F20B08" w:rsidRDefault="00BA172C" w:rsidP="00B95821">
            <w:pPr>
              <w:pStyle w:val="BodyText"/>
              <w:keepNext/>
              <w:spacing w:before="100" w:after="100"/>
              <w:jc w:val="center"/>
            </w:pPr>
            <w:r w:rsidRPr="00F20B08">
              <w:t>Unlimited</w:t>
            </w:r>
          </w:p>
        </w:tc>
      </w:tr>
      <w:tr w:rsidR="00BA172C" w:rsidRPr="00F20B08" w14:paraId="2B98756F" w14:textId="77777777" w:rsidTr="00B95821">
        <w:tc>
          <w:tcPr>
            <w:tcW w:w="2700" w:type="dxa"/>
            <w:shd w:val="clear" w:color="auto" w:fill="auto"/>
          </w:tcPr>
          <w:p w14:paraId="5E8F2E1F" w14:textId="77777777" w:rsidR="00BA172C" w:rsidRPr="00F20B08" w:rsidRDefault="00BA172C" w:rsidP="00B95821">
            <w:pPr>
              <w:pStyle w:val="BodyText"/>
              <w:keepNext/>
              <w:spacing w:before="100" w:after="100"/>
              <w:rPr>
                <w:b/>
                <w:bCs/>
                <w:lang w:eastAsia="en-AU"/>
              </w:rPr>
            </w:pPr>
            <w:r w:rsidRPr="00F20B08">
              <w:rPr>
                <w:b/>
                <w:bCs/>
                <w:lang w:eastAsia="en-AU"/>
              </w:rPr>
              <w:t xml:space="preserve">Standard international MMS </w:t>
            </w:r>
            <w:r w:rsidRPr="00F20B08">
              <w:rPr>
                <w:lang w:eastAsia="en-AU"/>
              </w:rPr>
              <w:t>(per message to selected countries)</w:t>
            </w:r>
          </w:p>
        </w:tc>
        <w:tc>
          <w:tcPr>
            <w:tcW w:w="1472" w:type="dxa"/>
            <w:vAlign w:val="center"/>
          </w:tcPr>
          <w:p w14:paraId="35E9473C" w14:textId="77777777" w:rsidR="00BA172C" w:rsidRPr="00F20B08" w:rsidRDefault="00BA172C" w:rsidP="00B95821">
            <w:pPr>
              <w:pStyle w:val="BodyText"/>
              <w:keepNext/>
              <w:spacing w:before="100" w:after="100"/>
              <w:jc w:val="center"/>
            </w:pPr>
            <w:r w:rsidRPr="00F20B08">
              <w:t>Unlimited</w:t>
            </w:r>
          </w:p>
        </w:tc>
        <w:tc>
          <w:tcPr>
            <w:tcW w:w="1473" w:type="dxa"/>
            <w:shd w:val="clear" w:color="auto" w:fill="auto"/>
            <w:vAlign w:val="center"/>
          </w:tcPr>
          <w:p w14:paraId="515E98D2" w14:textId="77777777" w:rsidR="00BA172C" w:rsidRPr="00F20B08" w:rsidRDefault="00BA172C" w:rsidP="00B95821">
            <w:pPr>
              <w:pStyle w:val="BodyText"/>
              <w:keepNext/>
              <w:spacing w:before="100" w:after="100"/>
              <w:jc w:val="center"/>
            </w:pPr>
            <w:r w:rsidRPr="00F20B08">
              <w:t>Unlimited</w:t>
            </w:r>
          </w:p>
        </w:tc>
        <w:tc>
          <w:tcPr>
            <w:tcW w:w="1473" w:type="dxa"/>
            <w:shd w:val="clear" w:color="auto" w:fill="auto"/>
            <w:vAlign w:val="center"/>
          </w:tcPr>
          <w:p w14:paraId="351989D4" w14:textId="77777777" w:rsidR="00BA172C" w:rsidRPr="00F20B08" w:rsidRDefault="00BA172C" w:rsidP="00B95821">
            <w:pPr>
              <w:pStyle w:val="BodyText"/>
              <w:keepNext/>
              <w:spacing w:before="100" w:after="100"/>
              <w:jc w:val="center"/>
            </w:pPr>
            <w:r w:rsidRPr="00F20B08">
              <w:t>Unlimited</w:t>
            </w:r>
          </w:p>
        </w:tc>
        <w:tc>
          <w:tcPr>
            <w:tcW w:w="1473" w:type="dxa"/>
            <w:vAlign w:val="center"/>
          </w:tcPr>
          <w:p w14:paraId="2FC9662E" w14:textId="77777777" w:rsidR="00BA172C" w:rsidRPr="00F20B08" w:rsidRDefault="00BA172C" w:rsidP="00B95821">
            <w:pPr>
              <w:pStyle w:val="BodyText"/>
              <w:keepNext/>
              <w:spacing w:before="100" w:after="100"/>
              <w:jc w:val="center"/>
            </w:pPr>
            <w:r w:rsidRPr="00F20B08">
              <w:t>Unlimited</w:t>
            </w:r>
          </w:p>
        </w:tc>
        <w:tc>
          <w:tcPr>
            <w:tcW w:w="1473" w:type="dxa"/>
            <w:vAlign w:val="center"/>
          </w:tcPr>
          <w:p w14:paraId="5C61B638" w14:textId="77777777" w:rsidR="00BA172C" w:rsidRPr="00F20B08" w:rsidRDefault="00BA172C" w:rsidP="00B95821">
            <w:pPr>
              <w:pStyle w:val="BodyText"/>
              <w:keepNext/>
              <w:spacing w:before="100" w:after="100"/>
              <w:jc w:val="center"/>
            </w:pPr>
            <w:r w:rsidRPr="00F20B08">
              <w:t>Unlimited</w:t>
            </w:r>
          </w:p>
        </w:tc>
      </w:tr>
      <w:tr w:rsidR="00BA172C" w:rsidRPr="00F20B08" w14:paraId="6004E159" w14:textId="77777777" w:rsidTr="00B95821">
        <w:tc>
          <w:tcPr>
            <w:tcW w:w="2700" w:type="dxa"/>
            <w:shd w:val="clear" w:color="auto" w:fill="auto"/>
          </w:tcPr>
          <w:p w14:paraId="12DDFD2B" w14:textId="77777777" w:rsidR="00BA172C" w:rsidRPr="00F20B08" w:rsidRDefault="00BA172C" w:rsidP="00B95821">
            <w:pPr>
              <w:pStyle w:val="BodyText"/>
              <w:keepNext/>
              <w:spacing w:before="100" w:after="100"/>
              <w:rPr>
                <w:b/>
                <w:bCs/>
                <w:lang w:eastAsia="en-AU"/>
              </w:rPr>
            </w:pPr>
            <w:r w:rsidRPr="00CF3812">
              <w:rPr>
                <w:rFonts w:eastAsia="Calibri"/>
                <w:b/>
                <w:bCs/>
                <w:lang w:eastAsia="en-AU"/>
              </w:rPr>
              <w:t xml:space="preserve">International Roaming </w:t>
            </w:r>
            <w:r w:rsidRPr="00CF3812">
              <w:rPr>
                <w:rFonts w:eastAsia="Calibri"/>
                <w:b/>
                <w:bCs/>
                <w:lang w:eastAsia="en-AU"/>
              </w:rPr>
              <w:br/>
            </w:r>
            <w:r w:rsidRPr="00CF3812">
              <w:rPr>
                <w:b/>
                <w:bCs/>
                <w:snapToGrid w:val="0"/>
              </w:rPr>
              <w:t>(Zone 1 countries)</w:t>
            </w:r>
          </w:p>
        </w:tc>
        <w:tc>
          <w:tcPr>
            <w:tcW w:w="1472" w:type="dxa"/>
            <w:vAlign w:val="center"/>
          </w:tcPr>
          <w:p w14:paraId="694605ED" w14:textId="77777777" w:rsidR="00BA172C" w:rsidRPr="00F20B08" w:rsidRDefault="00BA172C" w:rsidP="00B95821">
            <w:pPr>
              <w:pStyle w:val="BodyText"/>
              <w:keepNext/>
              <w:spacing w:before="100" w:after="100"/>
              <w:jc w:val="center"/>
            </w:pPr>
            <w:r w:rsidRPr="00CF3812">
              <w:rPr>
                <w:rFonts w:eastAsia="Calibri"/>
              </w:rPr>
              <w:t>Not included</w:t>
            </w:r>
          </w:p>
        </w:tc>
        <w:tc>
          <w:tcPr>
            <w:tcW w:w="1473" w:type="dxa"/>
            <w:shd w:val="clear" w:color="auto" w:fill="auto"/>
            <w:vAlign w:val="center"/>
          </w:tcPr>
          <w:p w14:paraId="3E5E54DA" w14:textId="77777777" w:rsidR="00BA172C" w:rsidRPr="00F20B08" w:rsidRDefault="00BA172C" w:rsidP="00B95821">
            <w:pPr>
              <w:pStyle w:val="BodyText"/>
              <w:keepNext/>
              <w:spacing w:before="100" w:after="100"/>
              <w:jc w:val="center"/>
            </w:pPr>
            <w:r w:rsidRPr="00CF3812">
              <w:rPr>
                <w:rFonts w:eastAsia="Calibri"/>
              </w:rPr>
              <w:t>Not included</w:t>
            </w:r>
          </w:p>
        </w:tc>
        <w:tc>
          <w:tcPr>
            <w:tcW w:w="1473" w:type="dxa"/>
            <w:shd w:val="clear" w:color="auto" w:fill="auto"/>
            <w:vAlign w:val="center"/>
          </w:tcPr>
          <w:p w14:paraId="43E9FD6C" w14:textId="77777777" w:rsidR="00BA172C" w:rsidRPr="00F20B08" w:rsidRDefault="00BA172C" w:rsidP="00B95821">
            <w:pPr>
              <w:pStyle w:val="BodyText"/>
              <w:keepNext/>
              <w:spacing w:before="100" w:after="100"/>
              <w:jc w:val="center"/>
            </w:pPr>
            <w:r w:rsidRPr="00CF3812">
              <w:rPr>
                <w:rFonts w:eastAsia="Calibri"/>
              </w:rPr>
              <w:t>Not included</w:t>
            </w:r>
          </w:p>
        </w:tc>
        <w:tc>
          <w:tcPr>
            <w:tcW w:w="1473" w:type="dxa"/>
            <w:vAlign w:val="center"/>
          </w:tcPr>
          <w:p w14:paraId="02ABE3FE" w14:textId="77777777" w:rsidR="00BA172C" w:rsidRPr="00F20B08" w:rsidRDefault="00BA172C" w:rsidP="00B95821">
            <w:pPr>
              <w:pStyle w:val="BodyText"/>
              <w:keepNext/>
              <w:spacing w:before="100" w:after="100"/>
              <w:jc w:val="center"/>
            </w:pPr>
            <w:r w:rsidRPr="00CF3812">
              <w:rPr>
                <w:lang w:val="en-AU" w:eastAsia="en-AU"/>
              </w:rPr>
              <w:t>Unlimited standard national/international talk, SMS &amp; 1GB data</w:t>
            </w:r>
          </w:p>
        </w:tc>
        <w:tc>
          <w:tcPr>
            <w:tcW w:w="1473" w:type="dxa"/>
          </w:tcPr>
          <w:p w14:paraId="17562CE4" w14:textId="77777777" w:rsidR="00BA172C" w:rsidRPr="00F20B08" w:rsidRDefault="00BA172C" w:rsidP="00B95821">
            <w:pPr>
              <w:pStyle w:val="BodyText"/>
              <w:keepNext/>
              <w:spacing w:before="100" w:after="100"/>
              <w:jc w:val="center"/>
            </w:pPr>
            <w:r w:rsidRPr="00CF3812">
              <w:rPr>
                <w:lang w:val="en-AU" w:eastAsia="en-AU"/>
              </w:rPr>
              <w:t>Unlimited standard national/international talk, SMS &amp; 1.5GB data</w:t>
            </w:r>
          </w:p>
        </w:tc>
      </w:tr>
      <w:tr w:rsidR="00BA172C" w:rsidRPr="00F20B08" w14:paraId="1F99C35C" w14:textId="77777777" w:rsidTr="00B95821">
        <w:tc>
          <w:tcPr>
            <w:tcW w:w="2700" w:type="dxa"/>
            <w:shd w:val="clear" w:color="auto" w:fill="auto"/>
          </w:tcPr>
          <w:p w14:paraId="3645FEDB" w14:textId="77777777" w:rsidR="00BA172C" w:rsidRPr="00F414D8" w:rsidRDefault="00BA172C" w:rsidP="00B95821">
            <w:pPr>
              <w:pStyle w:val="BodyText"/>
              <w:keepNext/>
              <w:spacing w:before="100" w:after="100"/>
              <w:rPr>
                <w:b/>
                <w:bCs/>
                <w:szCs w:val="20"/>
                <w:lang w:eastAsia="en-AU"/>
              </w:rPr>
            </w:pPr>
            <w:r w:rsidRPr="00F414D8">
              <w:rPr>
                <w:b/>
                <w:szCs w:val="20"/>
              </w:rPr>
              <w:t>Optus Travel™ Pack</w:t>
            </w:r>
            <w:r>
              <w:rPr>
                <w:b/>
                <w:szCs w:val="20"/>
              </w:rPr>
              <w:t xml:space="preserve"> </w:t>
            </w:r>
            <w:r w:rsidRPr="00CF3812">
              <w:rPr>
                <w:b/>
                <w:bCs/>
                <w:snapToGrid w:val="0"/>
              </w:rPr>
              <w:t>(Zone 1 countries)</w:t>
            </w:r>
          </w:p>
        </w:tc>
        <w:tc>
          <w:tcPr>
            <w:tcW w:w="1472" w:type="dxa"/>
            <w:vAlign w:val="center"/>
          </w:tcPr>
          <w:p w14:paraId="364EE423" w14:textId="77777777" w:rsidR="00BA172C" w:rsidRPr="00F414D8" w:rsidRDefault="00BA172C" w:rsidP="00B95821">
            <w:pPr>
              <w:spacing w:before="120"/>
              <w:rPr>
                <w:rFonts w:eastAsia="Calibri"/>
                <w:sz w:val="20"/>
                <w:szCs w:val="20"/>
                <w:lang w:val="en-AU"/>
              </w:rPr>
            </w:pPr>
            <w:r w:rsidRPr="00F414D8">
              <w:rPr>
                <w:rFonts w:eastAsia="Calibri"/>
                <w:sz w:val="20"/>
                <w:szCs w:val="20"/>
                <w:lang w:val="en-AU"/>
              </w:rPr>
              <w:t>Get $5 Optus Travel™ Pack - normally $10</w:t>
            </w:r>
          </w:p>
          <w:p w14:paraId="0B92DE9F" w14:textId="77777777" w:rsidR="00BA172C" w:rsidRPr="00F414D8" w:rsidRDefault="00BA172C" w:rsidP="00B95821">
            <w:pPr>
              <w:pStyle w:val="BodyText"/>
              <w:keepNext/>
              <w:spacing w:before="100" w:after="100"/>
              <w:jc w:val="center"/>
              <w:rPr>
                <w:szCs w:val="20"/>
              </w:rPr>
            </w:pPr>
          </w:p>
        </w:tc>
        <w:tc>
          <w:tcPr>
            <w:tcW w:w="1473" w:type="dxa"/>
            <w:shd w:val="clear" w:color="auto" w:fill="auto"/>
          </w:tcPr>
          <w:p w14:paraId="1C732D51" w14:textId="77777777" w:rsidR="00BA172C" w:rsidRPr="00F414D8" w:rsidRDefault="00BA172C" w:rsidP="00B95821">
            <w:pPr>
              <w:spacing w:before="120"/>
              <w:rPr>
                <w:rFonts w:eastAsia="Calibri"/>
                <w:sz w:val="20"/>
                <w:szCs w:val="20"/>
                <w:lang w:val="en-AU"/>
              </w:rPr>
            </w:pPr>
            <w:r w:rsidRPr="00F414D8">
              <w:rPr>
                <w:rFonts w:eastAsia="Calibri"/>
                <w:sz w:val="20"/>
                <w:szCs w:val="20"/>
                <w:lang w:val="en-AU"/>
              </w:rPr>
              <w:t>Get $5 Optus Travel™ Pack - normally $10</w:t>
            </w:r>
          </w:p>
          <w:p w14:paraId="099E2EB5" w14:textId="77777777" w:rsidR="00BA172C" w:rsidRPr="00F414D8" w:rsidRDefault="00BA172C" w:rsidP="00B95821">
            <w:pPr>
              <w:pStyle w:val="BodyText"/>
              <w:keepNext/>
              <w:spacing w:before="100" w:after="100"/>
              <w:jc w:val="center"/>
              <w:rPr>
                <w:szCs w:val="20"/>
              </w:rPr>
            </w:pPr>
          </w:p>
        </w:tc>
        <w:tc>
          <w:tcPr>
            <w:tcW w:w="1473" w:type="dxa"/>
            <w:shd w:val="clear" w:color="auto" w:fill="auto"/>
          </w:tcPr>
          <w:p w14:paraId="147284A9" w14:textId="77777777" w:rsidR="00BA172C" w:rsidRPr="00F414D8" w:rsidRDefault="00BA172C" w:rsidP="00B95821">
            <w:pPr>
              <w:spacing w:before="120"/>
              <w:rPr>
                <w:rFonts w:eastAsia="Calibri"/>
                <w:sz w:val="20"/>
                <w:szCs w:val="20"/>
                <w:lang w:val="en-AU"/>
              </w:rPr>
            </w:pPr>
            <w:r w:rsidRPr="00F414D8">
              <w:rPr>
                <w:rFonts w:eastAsia="Calibri"/>
                <w:sz w:val="20"/>
                <w:szCs w:val="20"/>
                <w:lang w:val="en-AU"/>
              </w:rPr>
              <w:t>Get $5 Optus Travel™ Pack - normally $10</w:t>
            </w:r>
          </w:p>
          <w:p w14:paraId="085815FF" w14:textId="77777777" w:rsidR="00BA172C" w:rsidRPr="00F414D8" w:rsidRDefault="00BA172C" w:rsidP="00B95821">
            <w:pPr>
              <w:pStyle w:val="BodyText"/>
              <w:keepNext/>
              <w:spacing w:before="100" w:after="100"/>
              <w:jc w:val="center"/>
              <w:rPr>
                <w:szCs w:val="20"/>
              </w:rPr>
            </w:pPr>
          </w:p>
        </w:tc>
        <w:tc>
          <w:tcPr>
            <w:tcW w:w="1473" w:type="dxa"/>
          </w:tcPr>
          <w:p w14:paraId="36509FDE" w14:textId="77777777" w:rsidR="00BA172C" w:rsidRPr="00F414D8" w:rsidRDefault="00BA172C" w:rsidP="00B95821">
            <w:pPr>
              <w:pStyle w:val="BodyText"/>
              <w:keepNext/>
              <w:spacing w:before="100" w:after="100"/>
              <w:jc w:val="center"/>
              <w:rPr>
                <w:szCs w:val="20"/>
              </w:rPr>
            </w:pPr>
            <w:r w:rsidRPr="00F414D8">
              <w:rPr>
                <w:rFonts w:eastAsia="Calibri"/>
                <w:szCs w:val="20"/>
              </w:rPr>
              <w:t>Not included</w:t>
            </w:r>
          </w:p>
        </w:tc>
        <w:tc>
          <w:tcPr>
            <w:tcW w:w="1473" w:type="dxa"/>
          </w:tcPr>
          <w:p w14:paraId="4E11E562" w14:textId="77777777" w:rsidR="00BA172C" w:rsidRPr="00F414D8" w:rsidRDefault="00BA172C" w:rsidP="00B95821">
            <w:pPr>
              <w:pStyle w:val="BodyText"/>
              <w:keepNext/>
              <w:spacing w:before="100" w:after="100"/>
              <w:jc w:val="center"/>
              <w:rPr>
                <w:szCs w:val="20"/>
              </w:rPr>
            </w:pPr>
            <w:r w:rsidRPr="00F414D8">
              <w:rPr>
                <w:rFonts w:eastAsia="Calibri"/>
                <w:szCs w:val="20"/>
              </w:rPr>
              <w:t>Not included</w:t>
            </w:r>
          </w:p>
        </w:tc>
      </w:tr>
      <w:tr w:rsidR="00BA172C" w:rsidRPr="00F20B08" w14:paraId="17E19966" w14:textId="77777777" w:rsidTr="00B95821">
        <w:tc>
          <w:tcPr>
            <w:tcW w:w="2700" w:type="dxa"/>
            <w:shd w:val="clear" w:color="auto" w:fill="auto"/>
          </w:tcPr>
          <w:p w14:paraId="68E86355" w14:textId="77777777" w:rsidR="00BA172C" w:rsidRPr="00F20B08" w:rsidRDefault="00BA172C" w:rsidP="00B95821">
            <w:pPr>
              <w:pStyle w:val="BodyText"/>
              <w:keepNext/>
              <w:spacing w:before="100" w:after="100"/>
              <w:rPr>
                <w:b/>
                <w:bCs/>
                <w:lang w:eastAsia="en-AU"/>
              </w:rPr>
            </w:pPr>
            <w:r w:rsidRPr="00F20B08">
              <w:rPr>
                <w:b/>
                <w:bCs/>
                <w:lang w:eastAsia="en-AU"/>
              </w:rPr>
              <w:t xml:space="preserve">Minimum total cost over 24 months </w:t>
            </w:r>
          </w:p>
        </w:tc>
        <w:tc>
          <w:tcPr>
            <w:tcW w:w="1472" w:type="dxa"/>
            <w:vAlign w:val="center"/>
          </w:tcPr>
          <w:p w14:paraId="36379596" w14:textId="77777777" w:rsidR="00BA172C" w:rsidRPr="00F20B08" w:rsidRDefault="00BA172C" w:rsidP="00B95821">
            <w:pPr>
              <w:pStyle w:val="BodyText"/>
              <w:keepNext/>
              <w:spacing w:before="100" w:after="100"/>
              <w:jc w:val="center"/>
            </w:pPr>
            <w:r w:rsidRPr="00A166C1">
              <w:rPr>
                <w:rFonts w:eastAsia="Calibri"/>
              </w:rPr>
              <w:t>$</w:t>
            </w:r>
            <w:r>
              <w:rPr>
                <w:rFonts w:eastAsia="Calibri"/>
              </w:rPr>
              <w:t>1080</w:t>
            </w:r>
          </w:p>
        </w:tc>
        <w:tc>
          <w:tcPr>
            <w:tcW w:w="1473" w:type="dxa"/>
            <w:shd w:val="clear" w:color="auto" w:fill="auto"/>
            <w:vAlign w:val="center"/>
          </w:tcPr>
          <w:p w14:paraId="0D726FF1" w14:textId="77777777" w:rsidR="00BA172C" w:rsidRPr="00F20B08" w:rsidRDefault="00BA172C" w:rsidP="00B95821">
            <w:pPr>
              <w:pStyle w:val="BodyText"/>
              <w:keepNext/>
              <w:spacing w:before="100" w:after="100"/>
              <w:jc w:val="center"/>
            </w:pPr>
            <w:r w:rsidRPr="00A166C1">
              <w:rPr>
                <w:rFonts w:eastAsia="Calibri"/>
              </w:rPr>
              <w:t>$</w:t>
            </w:r>
            <w:r>
              <w:rPr>
                <w:rFonts w:eastAsia="Calibri"/>
              </w:rPr>
              <w:t>1680</w:t>
            </w:r>
          </w:p>
        </w:tc>
        <w:tc>
          <w:tcPr>
            <w:tcW w:w="1473" w:type="dxa"/>
            <w:shd w:val="clear" w:color="auto" w:fill="auto"/>
            <w:vAlign w:val="center"/>
          </w:tcPr>
          <w:p w14:paraId="7A3D18DC" w14:textId="77777777" w:rsidR="00BA172C" w:rsidRPr="00F20B08" w:rsidRDefault="00BA172C" w:rsidP="00B95821">
            <w:pPr>
              <w:pStyle w:val="BodyText"/>
              <w:keepNext/>
              <w:spacing w:before="100" w:after="100"/>
              <w:jc w:val="center"/>
            </w:pPr>
            <w:r w:rsidRPr="00A166C1">
              <w:rPr>
                <w:rFonts w:eastAsia="Calibri"/>
              </w:rPr>
              <w:t>$</w:t>
            </w:r>
            <w:r>
              <w:rPr>
                <w:rFonts w:eastAsia="Calibri"/>
              </w:rPr>
              <w:t>2160</w:t>
            </w:r>
          </w:p>
        </w:tc>
        <w:tc>
          <w:tcPr>
            <w:tcW w:w="1473" w:type="dxa"/>
          </w:tcPr>
          <w:p w14:paraId="14EFA57D" w14:textId="77777777" w:rsidR="00BA172C" w:rsidRPr="00F20B08" w:rsidRDefault="00BA172C" w:rsidP="00B95821">
            <w:pPr>
              <w:pStyle w:val="BodyText"/>
              <w:keepNext/>
              <w:spacing w:before="100" w:after="100"/>
              <w:jc w:val="center"/>
            </w:pPr>
            <w:r w:rsidRPr="008229AA">
              <w:rPr>
                <w:rFonts w:eastAsia="Calibri"/>
              </w:rPr>
              <w:t>$</w:t>
            </w:r>
            <w:r>
              <w:rPr>
                <w:rFonts w:eastAsia="Calibri"/>
              </w:rPr>
              <w:t>2520</w:t>
            </w:r>
          </w:p>
        </w:tc>
        <w:tc>
          <w:tcPr>
            <w:tcW w:w="1473" w:type="dxa"/>
          </w:tcPr>
          <w:p w14:paraId="48AC5FBC" w14:textId="77777777" w:rsidR="00BA172C" w:rsidRPr="00F20B08" w:rsidRDefault="00BA172C" w:rsidP="00B95821">
            <w:pPr>
              <w:pStyle w:val="BodyText"/>
              <w:keepNext/>
              <w:spacing w:before="100" w:after="100"/>
              <w:jc w:val="center"/>
            </w:pPr>
            <w:r>
              <w:rPr>
                <w:rFonts w:eastAsia="Calibri"/>
              </w:rPr>
              <w:t>$3,120</w:t>
            </w:r>
          </w:p>
        </w:tc>
      </w:tr>
    </w:tbl>
    <w:p w14:paraId="44C69953" w14:textId="77777777" w:rsidR="00BA172C" w:rsidRDefault="00BA172C" w:rsidP="00BA172C">
      <w:pPr>
        <w:pStyle w:val="BodyText"/>
      </w:pPr>
    </w:p>
    <w:p w14:paraId="11F4D2A2" w14:textId="77777777" w:rsidR="00BA172C" w:rsidRDefault="00BA172C" w:rsidP="00BA172C">
      <w:pPr>
        <w:pStyle w:val="BodyText"/>
        <w:ind w:left="720"/>
        <w:rPr>
          <w:b/>
        </w:rPr>
      </w:pPr>
    </w:p>
    <w:p w14:paraId="78413D48" w14:textId="77777777" w:rsidR="00BA172C" w:rsidRDefault="00BA172C" w:rsidP="00BA172C">
      <w:pPr>
        <w:pStyle w:val="BodyText"/>
        <w:ind w:left="720"/>
        <w:rPr>
          <w:b/>
        </w:rPr>
      </w:pPr>
      <w:r w:rsidRPr="00950DA4">
        <w:rPr>
          <w:b/>
        </w:rPr>
        <w:lastRenderedPageBreak/>
        <w:t>Table 2 – Other usage types and charges</w:t>
      </w:r>
    </w:p>
    <w:tbl>
      <w:tblPr>
        <w:tblW w:w="8811"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05"/>
        <w:gridCol w:w="4406"/>
      </w:tblGrid>
      <w:tr w:rsidR="00BA172C" w:rsidRPr="00090AB3" w14:paraId="380BBE42" w14:textId="77777777" w:rsidTr="00B95821">
        <w:trPr>
          <w:tblHeader/>
        </w:trPr>
        <w:tc>
          <w:tcPr>
            <w:tcW w:w="4405" w:type="dxa"/>
            <w:shd w:val="clear" w:color="auto" w:fill="auto"/>
            <w:vAlign w:val="center"/>
          </w:tcPr>
          <w:p w14:paraId="79D8E857" w14:textId="77777777" w:rsidR="00BA172C" w:rsidRPr="00925C02" w:rsidRDefault="00BA172C" w:rsidP="00B95821">
            <w:pPr>
              <w:pStyle w:val="BodyText"/>
              <w:spacing w:before="100" w:after="100"/>
              <w:jc w:val="center"/>
              <w:rPr>
                <w:b/>
              </w:rPr>
            </w:pPr>
            <w:r w:rsidRPr="00925C02">
              <w:rPr>
                <w:b/>
              </w:rPr>
              <w:t>Usage type</w:t>
            </w:r>
          </w:p>
        </w:tc>
        <w:tc>
          <w:tcPr>
            <w:tcW w:w="4406" w:type="dxa"/>
            <w:shd w:val="clear" w:color="auto" w:fill="auto"/>
            <w:vAlign w:val="center"/>
          </w:tcPr>
          <w:p w14:paraId="1156551C" w14:textId="77777777" w:rsidR="00BA172C" w:rsidRPr="00925C02" w:rsidRDefault="00BA172C" w:rsidP="00B95821">
            <w:pPr>
              <w:pStyle w:val="BodyText"/>
              <w:spacing w:before="100" w:after="100"/>
              <w:jc w:val="center"/>
              <w:rPr>
                <w:b/>
              </w:rPr>
            </w:pPr>
            <w:r w:rsidRPr="00925C02">
              <w:rPr>
                <w:b/>
              </w:rPr>
              <w:t>Charge</w:t>
            </w:r>
          </w:p>
        </w:tc>
      </w:tr>
      <w:tr w:rsidR="00BA172C" w:rsidRPr="00090AB3" w14:paraId="3308B622" w14:textId="77777777" w:rsidTr="00B95821">
        <w:tc>
          <w:tcPr>
            <w:tcW w:w="4405" w:type="dxa"/>
            <w:shd w:val="clear" w:color="auto" w:fill="auto"/>
          </w:tcPr>
          <w:p w14:paraId="358EAE76" w14:textId="77777777" w:rsidR="00BA172C" w:rsidRPr="00950DA4" w:rsidRDefault="00BA172C" w:rsidP="00B95821">
            <w:pPr>
              <w:pStyle w:val="BodyText"/>
              <w:spacing w:before="100" w:after="100"/>
            </w:pPr>
            <w:r w:rsidRPr="00950DA4">
              <w:rPr>
                <w:bCs/>
                <w:lang w:eastAsia="en-AU"/>
              </w:rPr>
              <w:t xml:space="preserve">National video calls </w:t>
            </w:r>
            <w:r w:rsidRPr="00950DA4">
              <w:rPr>
                <w:lang w:eastAsia="en-AU"/>
              </w:rPr>
              <w:t>(per minute)</w:t>
            </w:r>
          </w:p>
        </w:tc>
        <w:tc>
          <w:tcPr>
            <w:tcW w:w="4406" w:type="dxa"/>
            <w:shd w:val="clear" w:color="auto" w:fill="auto"/>
            <w:vAlign w:val="center"/>
          </w:tcPr>
          <w:p w14:paraId="3DC7BF75" w14:textId="77777777" w:rsidR="00BA172C" w:rsidRPr="00090AB3" w:rsidRDefault="00BA172C" w:rsidP="00B95821">
            <w:pPr>
              <w:pStyle w:val="BodyText"/>
              <w:spacing w:before="100" w:after="100"/>
              <w:jc w:val="center"/>
            </w:pPr>
            <w:r w:rsidRPr="00090AB3">
              <w:t>$1.00 per min + 40c flagfall</w:t>
            </w:r>
          </w:p>
        </w:tc>
      </w:tr>
      <w:tr w:rsidR="00BA172C" w:rsidRPr="00090AB3" w14:paraId="598A3D4E" w14:textId="77777777" w:rsidTr="00B95821">
        <w:tc>
          <w:tcPr>
            <w:tcW w:w="4405" w:type="dxa"/>
            <w:shd w:val="clear" w:color="auto" w:fill="auto"/>
          </w:tcPr>
          <w:p w14:paraId="70400CE4" w14:textId="77777777" w:rsidR="00BA172C" w:rsidRPr="00950DA4" w:rsidRDefault="00BA172C" w:rsidP="00B95821">
            <w:pPr>
              <w:pStyle w:val="BodyText"/>
              <w:spacing w:before="100" w:after="100"/>
              <w:rPr>
                <w:bCs/>
                <w:lang w:eastAsia="en-AU"/>
              </w:rPr>
            </w:pPr>
            <w:r w:rsidRPr="00950DA4">
              <w:rPr>
                <w:bCs/>
                <w:lang w:eastAsia="en-AU"/>
              </w:rPr>
              <w:t>National Diversions</w:t>
            </w:r>
          </w:p>
        </w:tc>
        <w:tc>
          <w:tcPr>
            <w:tcW w:w="4406" w:type="dxa"/>
            <w:shd w:val="clear" w:color="auto" w:fill="auto"/>
          </w:tcPr>
          <w:p w14:paraId="643B7F29" w14:textId="77777777" w:rsidR="00BA172C" w:rsidRPr="00090AB3" w:rsidRDefault="00BA172C" w:rsidP="00B95821">
            <w:pPr>
              <w:pStyle w:val="BodyText"/>
              <w:spacing w:before="100" w:after="100"/>
              <w:jc w:val="center"/>
            </w:pPr>
            <w:r w:rsidRPr="00090AB3">
              <w:t>$0 per minute</w:t>
            </w:r>
          </w:p>
        </w:tc>
      </w:tr>
      <w:tr w:rsidR="00BA172C" w:rsidRPr="00090AB3" w14:paraId="5BE20EE4" w14:textId="77777777" w:rsidTr="00B95821">
        <w:tc>
          <w:tcPr>
            <w:tcW w:w="4405" w:type="dxa"/>
            <w:shd w:val="clear" w:color="auto" w:fill="auto"/>
          </w:tcPr>
          <w:p w14:paraId="275ECB61" w14:textId="77777777" w:rsidR="00BA172C" w:rsidRPr="00950DA4" w:rsidRDefault="00BA172C" w:rsidP="00B95821">
            <w:pPr>
              <w:pStyle w:val="BodyText"/>
              <w:spacing w:before="100" w:after="100"/>
              <w:rPr>
                <w:bCs/>
                <w:lang w:eastAsia="en-AU"/>
              </w:rPr>
            </w:pPr>
            <w:r w:rsidRPr="00950DA4">
              <w:rPr>
                <w:bCs/>
                <w:lang w:eastAsia="en-AU"/>
              </w:rPr>
              <w:t xml:space="preserve">International Diversions </w:t>
            </w:r>
          </w:p>
        </w:tc>
        <w:tc>
          <w:tcPr>
            <w:tcW w:w="4406" w:type="dxa"/>
            <w:shd w:val="clear" w:color="auto" w:fill="auto"/>
          </w:tcPr>
          <w:p w14:paraId="7AAD0D3E" w14:textId="77777777" w:rsidR="00BA172C" w:rsidRPr="00090AB3" w:rsidRDefault="00BA172C" w:rsidP="00B95821">
            <w:pPr>
              <w:pStyle w:val="BodyText"/>
              <w:spacing w:before="100" w:after="100"/>
              <w:jc w:val="center"/>
            </w:pPr>
            <w:r>
              <w:t>'</w:t>
            </w:r>
            <w:r w:rsidRPr="00090AB3">
              <w:t>yes</w:t>
            </w:r>
            <w:r>
              <w:t>'</w:t>
            </w:r>
            <w:r w:rsidRPr="00090AB3">
              <w:t xml:space="preserve"> international rates</w:t>
            </w:r>
            <w:r w:rsidRPr="00090AB3">
              <w:br/>
              <w:t>See optus.com.au/international</w:t>
            </w:r>
          </w:p>
        </w:tc>
      </w:tr>
      <w:tr w:rsidR="00BA172C" w:rsidRPr="00090AB3" w14:paraId="6A394C71" w14:textId="77777777" w:rsidTr="00B95821">
        <w:tc>
          <w:tcPr>
            <w:tcW w:w="4405" w:type="dxa"/>
            <w:shd w:val="clear" w:color="auto" w:fill="auto"/>
          </w:tcPr>
          <w:p w14:paraId="0A6214FA" w14:textId="77777777" w:rsidR="00BA172C" w:rsidRPr="00950DA4" w:rsidRDefault="00BA172C" w:rsidP="00B95821">
            <w:pPr>
              <w:pStyle w:val="BodyText"/>
              <w:spacing w:before="100" w:after="100"/>
              <w:rPr>
                <w:bCs/>
                <w:lang w:eastAsia="en-AU"/>
              </w:rPr>
            </w:pPr>
            <w:r w:rsidRPr="00950DA4">
              <w:rPr>
                <w:bCs/>
                <w:lang w:eastAsia="en-AU"/>
              </w:rPr>
              <w:t xml:space="preserve">1800 numbers </w:t>
            </w:r>
          </w:p>
        </w:tc>
        <w:tc>
          <w:tcPr>
            <w:tcW w:w="4406" w:type="dxa"/>
            <w:shd w:val="clear" w:color="auto" w:fill="auto"/>
            <w:vAlign w:val="center"/>
          </w:tcPr>
          <w:p w14:paraId="6FCB6D9E" w14:textId="77777777" w:rsidR="00BA172C" w:rsidRPr="00090AB3" w:rsidRDefault="00BA172C" w:rsidP="00B95821">
            <w:pPr>
              <w:pStyle w:val="BodyText"/>
              <w:spacing w:before="100" w:after="100"/>
              <w:jc w:val="center"/>
            </w:pPr>
            <w:r w:rsidRPr="00090AB3">
              <w:t>$0 per minute</w:t>
            </w:r>
          </w:p>
        </w:tc>
      </w:tr>
      <w:tr w:rsidR="00BA172C" w:rsidRPr="00090AB3" w14:paraId="00E8C652" w14:textId="77777777" w:rsidTr="00B95821">
        <w:tc>
          <w:tcPr>
            <w:tcW w:w="4405" w:type="dxa"/>
            <w:shd w:val="clear" w:color="auto" w:fill="auto"/>
          </w:tcPr>
          <w:p w14:paraId="3336899B" w14:textId="77777777" w:rsidR="00BA172C" w:rsidRPr="00950DA4" w:rsidRDefault="00BA172C" w:rsidP="00B95821">
            <w:pPr>
              <w:pStyle w:val="BodyText"/>
              <w:spacing w:before="100" w:after="100"/>
              <w:rPr>
                <w:bCs/>
                <w:lang w:eastAsia="en-AU"/>
              </w:rPr>
            </w:pPr>
            <w:r w:rsidRPr="00950DA4">
              <w:rPr>
                <w:bCs/>
                <w:lang w:eastAsia="en-AU"/>
              </w:rPr>
              <w:t xml:space="preserve">Directory Assistance 1223 </w:t>
            </w:r>
          </w:p>
        </w:tc>
        <w:tc>
          <w:tcPr>
            <w:tcW w:w="4406" w:type="dxa"/>
            <w:shd w:val="clear" w:color="auto" w:fill="auto"/>
            <w:vAlign w:val="center"/>
          </w:tcPr>
          <w:p w14:paraId="4E49D121" w14:textId="77777777" w:rsidR="00BA172C" w:rsidRPr="00090AB3" w:rsidRDefault="00BA172C" w:rsidP="00B95821">
            <w:pPr>
              <w:pStyle w:val="BodyText"/>
              <w:spacing w:before="100" w:after="100"/>
              <w:jc w:val="center"/>
            </w:pPr>
            <w:r w:rsidRPr="00090AB3">
              <w:t>50c per call</w:t>
            </w:r>
          </w:p>
        </w:tc>
      </w:tr>
      <w:tr w:rsidR="00BA172C" w:rsidRPr="00090AB3" w14:paraId="4382E7DA" w14:textId="77777777" w:rsidTr="00B95821">
        <w:tc>
          <w:tcPr>
            <w:tcW w:w="4405" w:type="dxa"/>
            <w:shd w:val="clear" w:color="auto" w:fill="auto"/>
          </w:tcPr>
          <w:p w14:paraId="7D0CD768" w14:textId="77777777" w:rsidR="00BA172C" w:rsidRPr="00950DA4" w:rsidRDefault="00BA172C" w:rsidP="00B95821">
            <w:pPr>
              <w:pStyle w:val="BodyText"/>
              <w:spacing w:before="100" w:after="100"/>
              <w:rPr>
                <w:bCs/>
                <w:lang w:eastAsia="en-AU"/>
              </w:rPr>
            </w:pPr>
            <w:r w:rsidRPr="00950DA4">
              <w:rPr>
                <w:bCs/>
                <w:lang w:eastAsia="en-AU"/>
              </w:rPr>
              <w:t>124 Yes</w:t>
            </w:r>
          </w:p>
        </w:tc>
        <w:tc>
          <w:tcPr>
            <w:tcW w:w="4406" w:type="dxa"/>
            <w:shd w:val="clear" w:color="auto" w:fill="auto"/>
            <w:vAlign w:val="center"/>
          </w:tcPr>
          <w:p w14:paraId="70B0A3A5" w14:textId="77777777" w:rsidR="00BA172C" w:rsidRPr="00090AB3" w:rsidRDefault="00BA172C" w:rsidP="00B95821">
            <w:pPr>
              <w:pStyle w:val="BodyText"/>
              <w:spacing w:before="100" w:after="100"/>
              <w:jc w:val="center"/>
            </w:pPr>
            <w:r w:rsidRPr="00090AB3">
              <w:t>90c per minute +$1.75c flagfall</w:t>
            </w:r>
          </w:p>
        </w:tc>
      </w:tr>
      <w:tr w:rsidR="00BA172C" w:rsidRPr="00090AB3" w14:paraId="46EF6A12" w14:textId="77777777" w:rsidTr="00B95821">
        <w:tc>
          <w:tcPr>
            <w:tcW w:w="4405" w:type="dxa"/>
            <w:shd w:val="clear" w:color="auto" w:fill="auto"/>
          </w:tcPr>
          <w:p w14:paraId="10057A3A" w14:textId="77777777" w:rsidR="00BA172C" w:rsidRPr="00950DA4" w:rsidRDefault="00BA172C" w:rsidP="00B95821">
            <w:pPr>
              <w:pStyle w:val="BodyText"/>
              <w:spacing w:before="100" w:after="100"/>
              <w:rPr>
                <w:bCs/>
                <w:lang w:eastAsia="en-AU"/>
              </w:rPr>
            </w:pPr>
            <w:r w:rsidRPr="00950DA4">
              <w:rPr>
                <w:bCs/>
                <w:lang w:eastAsia="en-AU"/>
              </w:rPr>
              <w:t>International voice calls (outside the plan</w:t>
            </w:r>
            <w:r>
              <w:rPr>
                <w:bCs/>
                <w:lang w:eastAsia="en-AU"/>
              </w:rPr>
              <w:t>'</w:t>
            </w:r>
            <w:r w:rsidRPr="00950DA4">
              <w:rPr>
                <w:bCs/>
                <w:lang w:eastAsia="en-AU"/>
              </w:rPr>
              <w:t xml:space="preserve">s included international minutes and to excluded countries) </w:t>
            </w:r>
          </w:p>
        </w:tc>
        <w:tc>
          <w:tcPr>
            <w:tcW w:w="4406" w:type="dxa"/>
            <w:shd w:val="clear" w:color="auto" w:fill="auto"/>
            <w:vAlign w:val="center"/>
          </w:tcPr>
          <w:p w14:paraId="3D2EC95B" w14:textId="77777777" w:rsidR="00BA172C" w:rsidRPr="00090AB3" w:rsidRDefault="00BA172C" w:rsidP="00B95821">
            <w:pPr>
              <w:pStyle w:val="BodyText"/>
              <w:spacing w:before="100" w:after="100"/>
              <w:jc w:val="center"/>
            </w:pPr>
            <w:r>
              <w:t>'</w:t>
            </w:r>
            <w:r w:rsidRPr="00090AB3">
              <w:t>yes</w:t>
            </w:r>
            <w:r>
              <w:t>'</w:t>
            </w:r>
            <w:r w:rsidRPr="00090AB3">
              <w:t xml:space="preserve"> international rates</w:t>
            </w:r>
            <w:r w:rsidRPr="00090AB3">
              <w:br/>
              <w:t>See optus.com.au/international</w:t>
            </w:r>
          </w:p>
        </w:tc>
      </w:tr>
      <w:tr w:rsidR="00BA172C" w:rsidRPr="00090AB3" w14:paraId="161CD49E" w14:textId="77777777" w:rsidTr="00B95821">
        <w:tc>
          <w:tcPr>
            <w:tcW w:w="4405" w:type="dxa"/>
            <w:shd w:val="clear" w:color="auto" w:fill="auto"/>
          </w:tcPr>
          <w:p w14:paraId="69C50F5A" w14:textId="77777777" w:rsidR="00BA172C" w:rsidRPr="00950DA4" w:rsidRDefault="00BA172C" w:rsidP="00B95821">
            <w:pPr>
              <w:pStyle w:val="BodyText"/>
              <w:spacing w:before="100" w:after="100"/>
              <w:rPr>
                <w:bCs/>
                <w:lang w:eastAsia="en-AU"/>
              </w:rPr>
            </w:pPr>
            <w:r w:rsidRPr="00950DA4">
              <w:rPr>
                <w:bCs/>
                <w:lang w:eastAsia="en-AU"/>
              </w:rPr>
              <w:t xml:space="preserve">International SMS (to excluded countries) </w:t>
            </w:r>
          </w:p>
        </w:tc>
        <w:tc>
          <w:tcPr>
            <w:tcW w:w="4406" w:type="dxa"/>
            <w:shd w:val="clear" w:color="auto" w:fill="auto"/>
            <w:vAlign w:val="center"/>
          </w:tcPr>
          <w:p w14:paraId="47EACF3B" w14:textId="77777777" w:rsidR="00BA172C" w:rsidRPr="00090AB3" w:rsidRDefault="00BA172C" w:rsidP="00B95821">
            <w:pPr>
              <w:pStyle w:val="BodyText"/>
              <w:spacing w:before="100" w:after="100"/>
              <w:jc w:val="center"/>
            </w:pPr>
            <w:r w:rsidRPr="00090AB3">
              <w:t>50c per SMS up to 160 standard characters</w:t>
            </w:r>
          </w:p>
        </w:tc>
      </w:tr>
      <w:tr w:rsidR="00BA172C" w:rsidRPr="00090AB3" w14:paraId="1378E698" w14:textId="77777777" w:rsidTr="00B95821">
        <w:tc>
          <w:tcPr>
            <w:tcW w:w="4405" w:type="dxa"/>
            <w:shd w:val="clear" w:color="auto" w:fill="auto"/>
          </w:tcPr>
          <w:p w14:paraId="6B155E21" w14:textId="77777777" w:rsidR="00BA172C" w:rsidRPr="00950DA4" w:rsidRDefault="00BA172C" w:rsidP="00B95821">
            <w:pPr>
              <w:pStyle w:val="BodyText"/>
              <w:spacing w:before="100" w:after="100"/>
              <w:rPr>
                <w:bCs/>
                <w:lang w:eastAsia="en-AU"/>
              </w:rPr>
            </w:pPr>
            <w:r w:rsidRPr="00950DA4">
              <w:rPr>
                <w:bCs/>
                <w:lang w:eastAsia="en-AU"/>
              </w:rPr>
              <w:t>International MMS (to excluded countries)</w:t>
            </w:r>
          </w:p>
        </w:tc>
        <w:tc>
          <w:tcPr>
            <w:tcW w:w="4406" w:type="dxa"/>
            <w:shd w:val="clear" w:color="auto" w:fill="auto"/>
            <w:vAlign w:val="center"/>
          </w:tcPr>
          <w:p w14:paraId="2DC902B0" w14:textId="77777777" w:rsidR="00BA172C" w:rsidRPr="00090AB3" w:rsidRDefault="00BA172C" w:rsidP="00B95821">
            <w:pPr>
              <w:pStyle w:val="BodyText"/>
              <w:spacing w:before="100" w:after="100"/>
              <w:jc w:val="center"/>
            </w:pPr>
            <w:r w:rsidRPr="00090AB3">
              <w:t>75c per MMS</w:t>
            </w:r>
          </w:p>
        </w:tc>
      </w:tr>
      <w:tr w:rsidR="00BA172C" w:rsidRPr="00090AB3" w14:paraId="328B52CD" w14:textId="77777777" w:rsidTr="00B95821">
        <w:tc>
          <w:tcPr>
            <w:tcW w:w="4405" w:type="dxa"/>
            <w:shd w:val="clear" w:color="auto" w:fill="auto"/>
          </w:tcPr>
          <w:p w14:paraId="203301BA" w14:textId="77777777" w:rsidR="00BA172C" w:rsidRPr="00950DA4" w:rsidRDefault="00BA172C" w:rsidP="00B95821">
            <w:pPr>
              <w:pStyle w:val="BodyText"/>
              <w:spacing w:before="100" w:after="100"/>
              <w:rPr>
                <w:bCs/>
                <w:lang w:eastAsia="en-AU"/>
              </w:rPr>
            </w:pPr>
            <w:r w:rsidRPr="00950DA4">
              <w:rPr>
                <w:bCs/>
                <w:lang w:eastAsia="en-AU"/>
              </w:rPr>
              <w:t xml:space="preserve">International video calling </w:t>
            </w:r>
          </w:p>
        </w:tc>
        <w:tc>
          <w:tcPr>
            <w:tcW w:w="4406" w:type="dxa"/>
            <w:shd w:val="clear" w:color="auto" w:fill="auto"/>
            <w:vAlign w:val="center"/>
          </w:tcPr>
          <w:p w14:paraId="5FD6125D" w14:textId="77777777" w:rsidR="00BA172C" w:rsidRPr="00090AB3" w:rsidRDefault="00BA172C" w:rsidP="00B95821">
            <w:pPr>
              <w:pStyle w:val="BodyText"/>
              <w:spacing w:before="100" w:after="100"/>
              <w:jc w:val="center"/>
            </w:pPr>
            <w:r w:rsidRPr="00090AB3">
              <w:t>$1.50 per minute +35c flagfall</w:t>
            </w:r>
          </w:p>
        </w:tc>
      </w:tr>
      <w:tr w:rsidR="00BA172C" w:rsidRPr="00090AB3" w14:paraId="74D36B7E" w14:textId="77777777" w:rsidTr="00B95821">
        <w:tc>
          <w:tcPr>
            <w:tcW w:w="4405" w:type="dxa"/>
            <w:shd w:val="clear" w:color="auto" w:fill="auto"/>
          </w:tcPr>
          <w:p w14:paraId="25F45439" w14:textId="77777777" w:rsidR="00BA172C" w:rsidRPr="00950DA4" w:rsidRDefault="00BA172C" w:rsidP="00B95821">
            <w:pPr>
              <w:pStyle w:val="BodyText"/>
              <w:spacing w:before="100" w:after="100"/>
              <w:rPr>
                <w:bCs/>
                <w:lang w:eastAsia="en-AU"/>
              </w:rPr>
            </w:pPr>
            <w:r w:rsidRPr="00950DA4">
              <w:rPr>
                <w:bCs/>
                <w:lang w:eastAsia="en-AU"/>
              </w:rPr>
              <w:t xml:space="preserve">International roaming </w:t>
            </w:r>
          </w:p>
        </w:tc>
        <w:tc>
          <w:tcPr>
            <w:tcW w:w="4406" w:type="dxa"/>
            <w:shd w:val="clear" w:color="auto" w:fill="auto"/>
            <w:vAlign w:val="center"/>
          </w:tcPr>
          <w:p w14:paraId="294FC8B4" w14:textId="77777777" w:rsidR="00BA172C" w:rsidRPr="00090AB3" w:rsidRDefault="00BA172C" w:rsidP="00B95821">
            <w:pPr>
              <w:pStyle w:val="BodyText"/>
              <w:spacing w:before="100" w:after="100"/>
              <w:jc w:val="center"/>
            </w:pPr>
            <w:r w:rsidRPr="00090AB3">
              <w:t>See optus.com.au/roaming</w:t>
            </w:r>
          </w:p>
        </w:tc>
      </w:tr>
    </w:tbl>
    <w:p w14:paraId="6DCFB343" w14:textId="77777777" w:rsidR="00BA172C" w:rsidRDefault="00BA172C" w:rsidP="00BA172C">
      <w:pPr>
        <w:pStyle w:val="BodyText"/>
        <w:rPr>
          <w:b/>
        </w:rPr>
      </w:pPr>
    </w:p>
    <w:p w14:paraId="541D0028" w14:textId="77777777" w:rsidR="00BA172C" w:rsidRDefault="00BA172C" w:rsidP="00BA172C">
      <w:pPr>
        <w:pStyle w:val="BodyText"/>
        <w:ind w:left="720"/>
        <w:rPr>
          <w:b/>
        </w:rPr>
      </w:pPr>
      <w:r w:rsidRPr="00950DA4">
        <w:rPr>
          <w:b/>
        </w:rPr>
        <w:t>Table 3 – International Countries</w:t>
      </w:r>
    </w:p>
    <w:tbl>
      <w:tblPr>
        <w:tblW w:w="882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9"/>
        <w:gridCol w:w="2183"/>
        <w:gridCol w:w="2278"/>
        <w:gridCol w:w="2180"/>
      </w:tblGrid>
      <w:tr w:rsidR="00BA172C" w:rsidRPr="00090AB3" w14:paraId="13224F8C" w14:textId="77777777" w:rsidTr="00B95821">
        <w:tc>
          <w:tcPr>
            <w:tcW w:w="2205" w:type="dxa"/>
            <w:shd w:val="clear" w:color="auto" w:fill="auto"/>
          </w:tcPr>
          <w:p w14:paraId="779BF13E" w14:textId="77777777" w:rsidR="00BA172C" w:rsidRPr="00090AB3" w:rsidRDefault="00BA172C" w:rsidP="00B95821">
            <w:pPr>
              <w:pStyle w:val="BodyText"/>
              <w:spacing w:before="100" w:after="100"/>
              <w:rPr>
                <w:b/>
              </w:rPr>
            </w:pPr>
            <w:r w:rsidRPr="00A166C1">
              <w:rPr>
                <w:rFonts w:eastAsia="Calibri"/>
              </w:rPr>
              <w:t>China</w:t>
            </w:r>
          </w:p>
        </w:tc>
        <w:tc>
          <w:tcPr>
            <w:tcW w:w="2205" w:type="dxa"/>
            <w:shd w:val="clear" w:color="auto" w:fill="auto"/>
          </w:tcPr>
          <w:p w14:paraId="3482DB40" w14:textId="77777777" w:rsidR="00BA172C" w:rsidRPr="00090AB3" w:rsidRDefault="00BA172C" w:rsidP="00B95821">
            <w:pPr>
              <w:pStyle w:val="BodyText"/>
              <w:spacing w:before="100" w:after="100"/>
              <w:rPr>
                <w:b/>
              </w:rPr>
            </w:pPr>
            <w:r w:rsidRPr="00A166C1">
              <w:rPr>
                <w:rFonts w:eastAsia="Calibri"/>
              </w:rPr>
              <w:t>Indonesia</w:t>
            </w:r>
          </w:p>
        </w:tc>
        <w:tc>
          <w:tcPr>
            <w:tcW w:w="2205" w:type="dxa"/>
            <w:shd w:val="clear" w:color="auto" w:fill="auto"/>
          </w:tcPr>
          <w:p w14:paraId="1B21E651" w14:textId="77777777" w:rsidR="00BA172C" w:rsidRPr="00090AB3" w:rsidRDefault="00BA172C" w:rsidP="00B95821">
            <w:pPr>
              <w:pStyle w:val="BodyText"/>
              <w:spacing w:before="100" w:after="100"/>
              <w:rPr>
                <w:b/>
              </w:rPr>
            </w:pPr>
            <w:r>
              <w:rPr>
                <w:rFonts w:eastAsia="Calibri"/>
              </w:rPr>
              <w:t>India</w:t>
            </w:r>
          </w:p>
        </w:tc>
        <w:tc>
          <w:tcPr>
            <w:tcW w:w="2205" w:type="dxa"/>
            <w:shd w:val="clear" w:color="auto" w:fill="auto"/>
          </w:tcPr>
          <w:p w14:paraId="7E8D7083" w14:textId="77777777" w:rsidR="00BA172C" w:rsidRPr="00090AB3" w:rsidRDefault="00BA172C" w:rsidP="00B95821">
            <w:pPr>
              <w:pStyle w:val="BodyText"/>
              <w:spacing w:before="100" w:after="100"/>
              <w:rPr>
                <w:b/>
              </w:rPr>
            </w:pPr>
            <w:r>
              <w:rPr>
                <w:rFonts w:eastAsia="Calibri"/>
              </w:rPr>
              <w:t>Malaysia</w:t>
            </w:r>
          </w:p>
        </w:tc>
      </w:tr>
      <w:tr w:rsidR="00BA172C" w:rsidRPr="00090AB3" w14:paraId="75D1C243" w14:textId="77777777" w:rsidTr="00B95821">
        <w:tc>
          <w:tcPr>
            <w:tcW w:w="2205" w:type="dxa"/>
            <w:shd w:val="clear" w:color="auto" w:fill="auto"/>
          </w:tcPr>
          <w:p w14:paraId="26526E60" w14:textId="77777777" w:rsidR="00BA172C" w:rsidRPr="00090AB3" w:rsidRDefault="00BA172C" w:rsidP="00B95821">
            <w:pPr>
              <w:pStyle w:val="BodyText"/>
              <w:spacing w:before="100" w:after="100"/>
              <w:rPr>
                <w:b/>
              </w:rPr>
            </w:pPr>
            <w:r w:rsidRPr="00A166C1">
              <w:rPr>
                <w:rFonts w:eastAsia="Calibri"/>
              </w:rPr>
              <w:t>New Zealand</w:t>
            </w:r>
          </w:p>
        </w:tc>
        <w:tc>
          <w:tcPr>
            <w:tcW w:w="2205" w:type="dxa"/>
            <w:shd w:val="clear" w:color="auto" w:fill="auto"/>
          </w:tcPr>
          <w:p w14:paraId="43611B69" w14:textId="77777777" w:rsidR="00BA172C" w:rsidRPr="00090AB3" w:rsidRDefault="00BA172C" w:rsidP="00B95821">
            <w:pPr>
              <w:pStyle w:val="BodyText"/>
              <w:spacing w:before="100" w:after="100"/>
              <w:rPr>
                <w:b/>
              </w:rPr>
            </w:pPr>
            <w:r w:rsidRPr="00A166C1">
              <w:rPr>
                <w:rFonts w:eastAsia="Calibri"/>
              </w:rPr>
              <w:t>Singapore</w:t>
            </w:r>
          </w:p>
        </w:tc>
        <w:tc>
          <w:tcPr>
            <w:tcW w:w="2205" w:type="dxa"/>
            <w:shd w:val="clear" w:color="auto" w:fill="auto"/>
          </w:tcPr>
          <w:p w14:paraId="7F65705E" w14:textId="77777777" w:rsidR="00BA172C" w:rsidRPr="00090AB3" w:rsidRDefault="00BA172C" w:rsidP="00B95821">
            <w:pPr>
              <w:pStyle w:val="TOC8"/>
              <w:rPr>
                <w:b/>
              </w:rPr>
            </w:pPr>
            <w:r>
              <w:rPr>
                <w:rFonts w:eastAsia="Calibri"/>
              </w:rPr>
              <w:t>South Africa</w:t>
            </w:r>
          </w:p>
        </w:tc>
        <w:tc>
          <w:tcPr>
            <w:tcW w:w="2205" w:type="dxa"/>
            <w:shd w:val="clear" w:color="auto" w:fill="auto"/>
          </w:tcPr>
          <w:p w14:paraId="7194D58F" w14:textId="77777777" w:rsidR="00BA172C" w:rsidRPr="00090AB3" w:rsidRDefault="00BA172C" w:rsidP="00B95821">
            <w:pPr>
              <w:pStyle w:val="BodyText"/>
              <w:spacing w:before="100" w:after="100"/>
              <w:rPr>
                <w:b/>
              </w:rPr>
            </w:pPr>
            <w:r>
              <w:rPr>
                <w:rFonts w:eastAsia="Calibri"/>
              </w:rPr>
              <w:t>UK</w:t>
            </w:r>
          </w:p>
        </w:tc>
      </w:tr>
      <w:tr w:rsidR="00BA172C" w:rsidRPr="00090AB3" w14:paraId="1D795385" w14:textId="77777777" w:rsidTr="00B95821">
        <w:tc>
          <w:tcPr>
            <w:tcW w:w="2205" w:type="dxa"/>
            <w:shd w:val="clear" w:color="auto" w:fill="auto"/>
          </w:tcPr>
          <w:p w14:paraId="0B16732A" w14:textId="77777777" w:rsidR="00BA172C" w:rsidRPr="00090AB3" w:rsidRDefault="00BA172C" w:rsidP="00B95821">
            <w:pPr>
              <w:pStyle w:val="BodyText"/>
              <w:spacing w:before="100" w:after="100"/>
              <w:rPr>
                <w:b/>
              </w:rPr>
            </w:pPr>
            <w:r w:rsidRPr="00A166C1">
              <w:rPr>
                <w:rFonts w:eastAsia="Calibri"/>
              </w:rPr>
              <w:t xml:space="preserve">USA </w:t>
            </w:r>
          </w:p>
        </w:tc>
        <w:tc>
          <w:tcPr>
            <w:tcW w:w="2205" w:type="dxa"/>
            <w:shd w:val="clear" w:color="auto" w:fill="auto"/>
          </w:tcPr>
          <w:p w14:paraId="774CB83E" w14:textId="77777777" w:rsidR="00BA172C" w:rsidRPr="00090AB3" w:rsidRDefault="00BA172C" w:rsidP="00B95821">
            <w:pPr>
              <w:pStyle w:val="BodyText"/>
              <w:spacing w:before="100" w:after="100"/>
              <w:rPr>
                <w:b/>
              </w:rPr>
            </w:pPr>
            <w:r w:rsidRPr="00A166C1">
              <w:rPr>
                <w:rFonts w:eastAsia="Calibri"/>
              </w:rPr>
              <w:t>Vietnam</w:t>
            </w:r>
          </w:p>
        </w:tc>
        <w:tc>
          <w:tcPr>
            <w:tcW w:w="2205" w:type="dxa"/>
            <w:shd w:val="clear" w:color="auto" w:fill="auto"/>
          </w:tcPr>
          <w:p w14:paraId="5545263F" w14:textId="77777777" w:rsidR="00BA172C" w:rsidRPr="00B753E8" w:rsidRDefault="00BA172C" w:rsidP="00B95821">
            <w:pPr>
              <w:pStyle w:val="BodyText"/>
              <w:spacing w:before="100" w:after="100"/>
            </w:pPr>
            <w:r>
              <w:t>Canada</w:t>
            </w:r>
          </w:p>
        </w:tc>
        <w:tc>
          <w:tcPr>
            <w:tcW w:w="2205" w:type="dxa"/>
            <w:shd w:val="clear" w:color="auto" w:fill="auto"/>
          </w:tcPr>
          <w:p w14:paraId="58D92550" w14:textId="77777777" w:rsidR="00BA172C" w:rsidRPr="00B753E8" w:rsidRDefault="00BA172C" w:rsidP="00B95821">
            <w:pPr>
              <w:pStyle w:val="BodyText"/>
              <w:spacing w:before="100" w:after="100"/>
            </w:pPr>
            <w:r w:rsidRPr="00B753E8">
              <w:t>Hong Kong</w:t>
            </w:r>
          </w:p>
        </w:tc>
      </w:tr>
      <w:tr w:rsidR="00BA172C" w:rsidRPr="00090AB3" w14:paraId="13608C3B" w14:textId="77777777" w:rsidTr="00B95821">
        <w:tc>
          <w:tcPr>
            <w:tcW w:w="2205" w:type="dxa"/>
            <w:shd w:val="clear" w:color="auto" w:fill="auto"/>
          </w:tcPr>
          <w:p w14:paraId="5285C68B" w14:textId="77777777" w:rsidR="00BA172C" w:rsidRPr="00A166C1" w:rsidRDefault="00BA172C" w:rsidP="00B95821">
            <w:pPr>
              <w:pStyle w:val="BodyText"/>
              <w:spacing w:before="100" w:after="100"/>
              <w:rPr>
                <w:rFonts w:eastAsia="Calibri"/>
              </w:rPr>
            </w:pPr>
            <w:r>
              <w:rPr>
                <w:rFonts w:eastAsia="Calibri"/>
              </w:rPr>
              <w:t>South Korea</w:t>
            </w:r>
          </w:p>
        </w:tc>
        <w:tc>
          <w:tcPr>
            <w:tcW w:w="2205" w:type="dxa"/>
            <w:shd w:val="clear" w:color="auto" w:fill="auto"/>
          </w:tcPr>
          <w:p w14:paraId="711EA94C" w14:textId="77777777" w:rsidR="00BA172C" w:rsidRPr="00A166C1" w:rsidRDefault="00BA172C" w:rsidP="00B95821">
            <w:pPr>
              <w:pStyle w:val="BodyText"/>
              <w:spacing w:before="100" w:after="100"/>
              <w:rPr>
                <w:rFonts w:eastAsia="Calibri"/>
              </w:rPr>
            </w:pPr>
            <w:r>
              <w:rPr>
                <w:rFonts w:eastAsia="Calibri"/>
              </w:rPr>
              <w:t>Thailand</w:t>
            </w:r>
          </w:p>
        </w:tc>
        <w:tc>
          <w:tcPr>
            <w:tcW w:w="2205" w:type="dxa"/>
            <w:shd w:val="clear" w:color="auto" w:fill="auto"/>
          </w:tcPr>
          <w:p w14:paraId="4051AA8A" w14:textId="77777777" w:rsidR="00BA172C" w:rsidRDefault="00BA172C" w:rsidP="00B95821">
            <w:pPr>
              <w:pStyle w:val="BodyText"/>
              <w:spacing w:before="100" w:after="100"/>
            </w:pPr>
          </w:p>
        </w:tc>
        <w:tc>
          <w:tcPr>
            <w:tcW w:w="2205" w:type="dxa"/>
            <w:shd w:val="clear" w:color="auto" w:fill="auto"/>
          </w:tcPr>
          <w:p w14:paraId="1808598F" w14:textId="77777777" w:rsidR="00BA172C" w:rsidRPr="00B753E8" w:rsidRDefault="00BA172C" w:rsidP="00B95821">
            <w:pPr>
              <w:pStyle w:val="BodyText"/>
              <w:spacing w:before="100" w:after="100"/>
            </w:pPr>
          </w:p>
        </w:tc>
      </w:tr>
    </w:tbl>
    <w:p w14:paraId="79F07FA2" w14:textId="77777777" w:rsidR="00BA172C" w:rsidRDefault="00BA172C" w:rsidP="00BA172C">
      <w:pPr>
        <w:pStyle w:val="BodyText"/>
      </w:pPr>
    </w:p>
    <w:p w14:paraId="1A5D5FA4" w14:textId="77777777" w:rsidR="00BA172C" w:rsidRPr="00950DA4" w:rsidRDefault="00BA172C" w:rsidP="00BA172C">
      <w:pPr>
        <w:pStyle w:val="Heading6"/>
        <w:ind w:left="0" w:firstLine="0"/>
        <w:rPr>
          <w:lang w:val="en-AU"/>
        </w:rPr>
      </w:pPr>
      <w:bookmarkStart w:id="1770" w:name="_Toc509314760"/>
      <w:r w:rsidRPr="00950DA4">
        <w:rPr>
          <w:lang w:val="en-AU"/>
        </w:rPr>
        <w:t>My Account</w:t>
      </w:r>
      <w:bookmarkEnd w:id="1770"/>
    </w:p>
    <w:p w14:paraId="0B2ADEBD" w14:textId="77777777" w:rsidR="00BA172C" w:rsidRPr="00950DA4" w:rsidRDefault="00BA172C" w:rsidP="00BA172C">
      <w:pPr>
        <w:pStyle w:val="BodyText"/>
        <w:ind w:left="720"/>
        <w:rPr>
          <w:lang w:val="en-AU"/>
        </w:rPr>
      </w:pPr>
      <w:r w:rsidRPr="00950DA4">
        <w:rPr>
          <w:lang w:val="en-AU"/>
        </w:rPr>
        <w:t xml:space="preserve">Services that share data may have a service login to My Account which will display all of the service numbers contributing to or using the shared data pool on </w:t>
      </w:r>
      <w:r w:rsidRPr="00950DA4">
        <w:rPr>
          <w:i/>
          <w:lang w:val="en-AU"/>
        </w:rPr>
        <w:t xml:space="preserve">your </w:t>
      </w:r>
      <w:r w:rsidRPr="00950DA4">
        <w:rPr>
          <w:lang w:val="en-AU"/>
        </w:rPr>
        <w:t xml:space="preserve">account and the amount of data each service has used. If </w:t>
      </w:r>
      <w:r w:rsidRPr="00950DA4">
        <w:rPr>
          <w:i/>
          <w:lang w:val="en-AU"/>
        </w:rPr>
        <w:t>you</w:t>
      </w:r>
      <w:r w:rsidRPr="00950DA4">
        <w:rPr>
          <w:lang w:val="en-AU"/>
        </w:rPr>
        <w:t xml:space="preserve"> have more than 6 services on </w:t>
      </w:r>
      <w:r w:rsidRPr="00950DA4">
        <w:rPr>
          <w:i/>
          <w:lang w:val="en-AU"/>
        </w:rPr>
        <w:t>your</w:t>
      </w:r>
      <w:r w:rsidRPr="00950DA4">
        <w:rPr>
          <w:lang w:val="en-AU"/>
        </w:rPr>
        <w:t xml:space="preserve"> account, My Account may not be suitable for viewing usage and managing </w:t>
      </w:r>
      <w:r w:rsidRPr="00950DA4">
        <w:rPr>
          <w:i/>
          <w:lang w:val="en-AU"/>
        </w:rPr>
        <w:t xml:space="preserve">your </w:t>
      </w:r>
      <w:r w:rsidRPr="00950DA4">
        <w:rPr>
          <w:lang w:val="en-AU"/>
        </w:rPr>
        <w:t>usage alerts.</w:t>
      </w:r>
    </w:p>
    <w:p w14:paraId="06AFA911" w14:textId="77777777" w:rsidR="00BA172C" w:rsidRPr="00950DA4" w:rsidRDefault="00BA172C" w:rsidP="00BA172C">
      <w:pPr>
        <w:pStyle w:val="Heading6"/>
        <w:ind w:left="0" w:firstLine="0"/>
        <w:rPr>
          <w:lang w:val="en-AU"/>
        </w:rPr>
      </w:pPr>
      <w:bookmarkStart w:id="1771" w:name="_Toc509314761"/>
      <w:r w:rsidRPr="00950DA4">
        <w:rPr>
          <w:lang w:val="en-AU"/>
        </w:rPr>
        <w:t xml:space="preserve">What happens if the </w:t>
      </w:r>
      <w:r w:rsidRPr="00950DA4">
        <w:rPr>
          <w:i/>
          <w:lang w:val="en-AU"/>
        </w:rPr>
        <w:t xml:space="preserve">service </w:t>
      </w:r>
      <w:r w:rsidRPr="00950DA4">
        <w:rPr>
          <w:lang w:val="en-AU"/>
        </w:rPr>
        <w:t>is</w:t>
      </w:r>
      <w:r w:rsidRPr="00950DA4">
        <w:rPr>
          <w:i/>
          <w:lang w:val="en-AU"/>
        </w:rPr>
        <w:t xml:space="preserve"> cancelled </w:t>
      </w:r>
      <w:r w:rsidRPr="00950DA4">
        <w:rPr>
          <w:lang w:val="en-AU"/>
        </w:rPr>
        <w:t>early?</w:t>
      </w:r>
      <w:bookmarkEnd w:id="1771"/>
    </w:p>
    <w:p w14:paraId="1BF5B1B1" w14:textId="77777777" w:rsidR="00BA172C" w:rsidRPr="00950DA4" w:rsidRDefault="00BA172C" w:rsidP="00BA172C">
      <w:pPr>
        <w:pStyle w:val="Heading7"/>
        <w:rPr>
          <w:lang w:val="en-AU"/>
        </w:rPr>
      </w:pPr>
      <w:r w:rsidRPr="00950DA4">
        <w:rPr>
          <w:lang w:val="en-AU"/>
        </w:rPr>
        <w:t>If the</w:t>
      </w:r>
      <w:r w:rsidRPr="00950DA4">
        <w:rPr>
          <w:i/>
          <w:lang w:val="en-AU"/>
        </w:rPr>
        <w:t xml:space="preserve"> service</w:t>
      </w:r>
      <w:r w:rsidRPr="00950DA4">
        <w:rPr>
          <w:lang w:val="en-AU"/>
        </w:rPr>
        <w:t xml:space="preserve"> is</w:t>
      </w:r>
      <w:r w:rsidRPr="00950DA4">
        <w:rPr>
          <w:i/>
          <w:lang w:val="en-AU"/>
        </w:rPr>
        <w:t xml:space="preserve"> cancelled </w:t>
      </w:r>
      <w:r w:rsidRPr="00950DA4">
        <w:rPr>
          <w:lang w:val="en-AU"/>
        </w:rPr>
        <w:t xml:space="preserve">before the end of </w:t>
      </w:r>
      <w:r w:rsidRPr="00950DA4">
        <w:rPr>
          <w:i/>
          <w:lang w:val="en-AU"/>
        </w:rPr>
        <w:t xml:space="preserve">your minimum term, you </w:t>
      </w:r>
      <w:r w:rsidRPr="00950DA4">
        <w:rPr>
          <w:lang w:val="en-AU"/>
        </w:rPr>
        <w:t xml:space="preserve">will be required to pay </w:t>
      </w:r>
      <w:r w:rsidRPr="00950DA4">
        <w:rPr>
          <w:i/>
          <w:lang w:val="en-AU"/>
        </w:rPr>
        <w:t>us</w:t>
      </w:r>
      <w:r w:rsidRPr="00950DA4">
        <w:rPr>
          <w:lang w:val="en-AU"/>
        </w:rPr>
        <w:t>:</w:t>
      </w:r>
    </w:p>
    <w:p w14:paraId="3BAE95D6" w14:textId="77777777" w:rsidR="00BA172C" w:rsidRPr="00950DA4" w:rsidRDefault="00BA172C" w:rsidP="00BA172C">
      <w:pPr>
        <w:pStyle w:val="Heading8"/>
        <w:rPr>
          <w:lang w:val="en-AU"/>
        </w:rPr>
      </w:pPr>
      <w:r w:rsidRPr="00950DA4">
        <w:rPr>
          <w:lang w:val="en-AU"/>
        </w:rPr>
        <w:t xml:space="preserve">any usage charges incurred up to, and including, the </w:t>
      </w:r>
      <w:r w:rsidRPr="00950DA4">
        <w:rPr>
          <w:i/>
          <w:lang w:val="en-AU"/>
        </w:rPr>
        <w:t xml:space="preserve">cancellation date; </w:t>
      </w:r>
      <w:r w:rsidRPr="00950DA4">
        <w:rPr>
          <w:lang w:val="en-AU"/>
        </w:rPr>
        <w:t>plus</w:t>
      </w:r>
    </w:p>
    <w:p w14:paraId="33B717F9" w14:textId="77777777" w:rsidR="00BA172C" w:rsidRPr="00950DA4" w:rsidRDefault="00BA172C" w:rsidP="00BA172C">
      <w:pPr>
        <w:pStyle w:val="Heading8"/>
        <w:rPr>
          <w:lang w:val="en-AU"/>
        </w:rPr>
      </w:pPr>
      <w:r w:rsidRPr="00950DA4">
        <w:rPr>
          <w:lang w:val="en-AU"/>
        </w:rPr>
        <w:t xml:space="preserve">the </w:t>
      </w:r>
      <w:r w:rsidRPr="00950DA4">
        <w:rPr>
          <w:i/>
          <w:lang w:val="en-AU"/>
        </w:rPr>
        <w:t>cancellation fees</w:t>
      </w:r>
      <w:r w:rsidRPr="00950DA4">
        <w:rPr>
          <w:lang w:val="en-AU"/>
        </w:rPr>
        <w:t xml:space="preserve"> set out in paragraph (b) below (unless under </w:t>
      </w:r>
      <w:r w:rsidRPr="001A4873">
        <w:rPr>
          <w:lang w:val="en-AU"/>
        </w:rPr>
        <w:t>clause 2A</w:t>
      </w:r>
      <w:r w:rsidRPr="00950DA4">
        <w:rPr>
          <w:lang w:val="en-AU"/>
        </w:rPr>
        <w:t xml:space="preserve"> of the </w:t>
      </w:r>
      <w:r w:rsidRPr="00950DA4">
        <w:rPr>
          <w:i/>
          <w:lang w:val="en-AU"/>
        </w:rPr>
        <w:t>consumer terms</w:t>
      </w:r>
      <w:r w:rsidRPr="00950DA4">
        <w:rPr>
          <w:lang w:val="en-AU"/>
        </w:rPr>
        <w:t xml:space="preserve">, </w:t>
      </w:r>
      <w:r w:rsidRPr="00950DA4">
        <w:rPr>
          <w:i/>
          <w:lang w:val="en-AU"/>
        </w:rPr>
        <w:t>you</w:t>
      </w:r>
      <w:r w:rsidRPr="00950DA4">
        <w:rPr>
          <w:lang w:val="en-AU"/>
        </w:rPr>
        <w:t xml:space="preserve"> are entitled to </w:t>
      </w:r>
      <w:r w:rsidRPr="00950DA4">
        <w:rPr>
          <w:i/>
          <w:lang w:val="en-AU"/>
        </w:rPr>
        <w:t>cancel the service</w:t>
      </w:r>
      <w:r w:rsidRPr="00950DA4">
        <w:rPr>
          <w:lang w:val="en-AU"/>
        </w:rPr>
        <w:t xml:space="preserve"> without incurring a </w:t>
      </w:r>
      <w:r w:rsidRPr="00950DA4">
        <w:rPr>
          <w:i/>
          <w:lang w:val="en-AU"/>
        </w:rPr>
        <w:t>cancellation fee</w:t>
      </w:r>
      <w:r w:rsidRPr="00950DA4">
        <w:rPr>
          <w:lang w:val="en-AU"/>
        </w:rPr>
        <w:t>); plus</w:t>
      </w:r>
    </w:p>
    <w:p w14:paraId="121F6E25" w14:textId="77777777" w:rsidR="00BA172C" w:rsidRPr="00950DA4" w:rsidRDefault="00BA172C" w:rsidP="00BA172C">
      <w:pPr>
        <w:pStyle w:val="Heading7"/>
        <w:rPr>
          <w:lang w:val="en-AU"/>
        </w:rPr>
      </w:pPr>
      <w:r w:rsidRPr="00950DA4">
        <w:rPr>
          <w:lang w:val="en-AU"/>
        </w:rPr>
        <w:t xml:space="preserve">Note, any Handset Credit </w:t>
      </w:r>
      <w:r w:rsidRPr="00950DA4">
        <w:rPr>
          <w:i/>
          <w:lang w:val="en-AU"/>
        </w:rPr>
        <w:t xml:space="preserve">you </w:t>
      </w:r>
      <w:r w:rsidRPr="00950DA4">
        <w:rPr>
          <w:lang w:val="en-AU"/>
        </w:rPr>
        <w:t xml:space="preserve">were entitled to will be forfeited (see 5.5 above) if the account is cancelled. </w:t>
      </w:r>
    </w:p>
    <w:p w14:paraId="5AD14E3E" w14:textId="77777777" w:rsidR="00BA172C" w:rsidRDefault="00BA172C" w:rsidP="00BA172C">
      <w:pPr>
        <w:pStyle w:val="Heading7"/>
      </w:pPr>
      <w:r w:rsidRPr="00950DA4">
        <w:lastRenderedPageBreak/>
        <w:t xml:space="preserve">The </w:t>
      </w:r>
      <w:r w:rsidRPr="00950DA4">
        <w:rPr>
          <w:i/>
        </w:rPr>
        <w:t>cancellation fee</w:t>
      </w:r>
      <w:r w:rsidRPr="00950DA4">
        <w:t xml:space="preserve"> is calculated as the following amounts, multiplied by the months remaining on </w:t>
      </w:r>
      <w:r w:rsidRPr="00950DA4">
        <w:rPr>
          <w:i/>
        </w:rPr>
        <w:t>your minimum term</w:t>
      </w:r>
      <w:r w:rsidRPr="00950DA4">
        <w:t>:</w:t>
      </w:r>
    </w:p>
    <w:tbl>
      <w:tblPr>
        <w:tblpPr w:leftFromText="180" w:rightFromText="180" w:vertAnchor="text" w:horzAnchor="margin" w:tblpY="39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9"/>
        <w:gridCol w:w="1681"/>
        <w:gridCol w:w="1681"/>
        <w:gridCol w:w="1681"/>
        <w:gridCol w:w="1681"/>
        <w:gridCol w:w="1685"/>
      </w:tblGrid>
      <w:tr w:rsidR="00BA172C" w:rsidRPr="00A974C9" w14:paraId="4375676E" w14:textId="77777777" w:rsidTr="00B95821">
        <w:trPr>
          <w:trHeight w:val="289"/>
        </w:trPr>
        <w:tc>
          <w:tcPr>
            <w:tcW w:w="5000" w:type="pct"/>
            <w:gridSpan w:val="6"/>
            <w:shd w:val="clear" w:color="auto" w:fill="auto"/>
            <w:vAlign w:val="center"/>
          </w:tcPr>
          <w:p w14:paraId="2AB38155" w14:textId="77777777" w:rsidR="00BA172C" w:rsidRPr="00950DA4" w:rsidRDefault="00BA172C" w:rsidP="00B95821">
            <w:pPr>
              <w:pStyle w:val="BodyText"/>
              <w:spacing w:before="100" w:after="100"/>
              <w:jc w:val="center"/>
              <w:rPr>
                <w:b/>
                <w:lang w:eastAsia="en-AU"/>
              </w:rPr>
            </w:pPr>
            <w:r w:rsidRPr="00950DA4">
              <w:rPr>
                <w:b/>
                <w:lang w:eastAsia="en-AU"/>
              </w:rPr>
              <w:t xml:space="preserve">My Plan Business </w:t>
            </w:r>
            <w:r w:rsidRPr="00950DA4">
              <w:rPr>
                <w:b/>
                <w:snapToGrid w:val="0"/>
              </w:rPr>
              <w:t>Tech Fund</w:t>
            </w:r>
          </w:p>
        </w:tc>
      </w:tr>
      <w:tr w:rsidR="00BA172C" w:rsidRPr="00A974C9" w14:paraId="5F3DAC1C" w14:textId="77777777" w:rsidTr="00B95821">
        <w:trPr>
          <w:trHeight w:val="182"/>
        </w:trPr>
        <w:tc>
          <w:tcPr>
            <w:tcW w:w="873" w:type="pct"/>
            <w:vAlign w:val="center"/>
          </w:tcPr>
          <w:p w14:paraId="0A0DC0BB" w14:textId="77777777" w:rsidR="00BA172C" w:rsidRPr="0034768D" w:rsidRDefault="00BA172C" w:rsidP="00B95821">
            <w:pPr>
              <w:pStyle w:val="BodyText"/>
              <w:spacing w:before="100" w:after="100"/>
              <w:jc w:val="center"/>
              <w:rPr>
                <w:b/>
              </w:rPr>
            </w:pPr>
            <w:r w:rsidRPr="0034768D">
              <w:rPr>
                <w:b/>
              </w:rPr>
              <w:t>Plan</w:t>
            </w:r>
          </w:p>
        </w:tc>
        <w:tc>
          <w:tcPr>
            <w:tcW w:w="825" w:type="pct"/>
            <w:vAlign w:val="center"/>
          </w:tcPr>
          <w:p w14:paraId="4CA76A46" w14:textId="77777777" w:rsidR="00BA172C" w:rsidRPr="0034768D" w:rsidRDefault="00BA172C" w:rsidP="00B95821">
            <w:pPr>
              <w:pStyle w:val="BodyText"/>
              <w:spacing w:before="100" w:after="100"/>
              <w:jc w:val="center"/>
              <w:rPr>
                <w:b/>
              </w:rPr>
            </w:pPr>
            <w:r w:rsidRPr="0034768D">
              <w:rPr>
                <w:b/>
              </w:rPr>
              <w:t xml:space="preserve">$40 My Plan Business </w:t>
            </w:r>
            <w:r w:rsidRPr="0034768D">
              <w:rPr>
                <w:b/>
                <w:snapToGrid w:val="0"/>
              </w:rPr>
              <w:t>Tech Fund</w:t>
            </w:r>
          </w:p>
        </w:tc>
        <w:tc>
          <w:tcPr>
            <w:tcW w:w="825" w:type="pct"/>
            <w:shd w:val="clear" w:color="auto" w:fill="auto"/>
            <w:vAlign w:val="center"/>
          </w:tcPr>
          <w:p w14:paraId="4DA4DCF1" w14:textId="77777777" w:rsidR="00BA172C" w:rsidRPr="0034768D" w:rsidRDefault="00BA172C" w:rsidP="00B95821">
            <w:pPr>
              <w:pStyle w:val="BodyText"/>
              <w:spacing w:before="100" w:after="100"/>
              <w:jc w:val="center"/>
              <w:rPr>
                <w:b/>
              </w:rPr>
            </w:pPr>
            <w:r w:rsidRPr="0034768D">
              <w:rPr>
                <w:b/>
              </w:rPr>
              <w:t>$65 My Plan Business</w:t>
            </w:r>
            <w:r w:rsidRPr="0034768D">
              <w:rPr>
                <w:b/>
                <w:snapToGrid w:val="0"/>
              </w:rPr>
              <w:t xml:space="preserve"> Tech Fund</w:t>
            </w:r>
          </w:p>
        </w:tc>
        <w:tc>
          <w:tcPr>
            <w:tcW w:w="825" w:type="pct"/>
            <w:shd w:val="clear" w:color="auto" w:fill="auto"/>
            <w:vAlign w:val="center"/>
          </w:tcPr>
          <w:p w14:paraId="48BCD767" w14:textId="77777777" w:rsidR="00BA172C" w:rsidRPr="0034768D" w:rsidRDefault="00BA172C" w:rsidP="00B95821">
            <w:pPr>
              <w:pStyle w:val="BodyText"/>
              <w:spacing w:before="100" w:after="100"/>
              <w:jc w:val="center"/>
              <w:rPr>
                <w:b/>
              </w:rPr>
            </w:pPr>
            <w:r w:rsidRPr="0034768D">
              <w:rPr>
                <w:b/>
              </w:rPr>
              <w:t>$85 My Plan Business</w:t>
            </w:r>
            <w:r w:rsidRPr="0034768D">
              <w:rPr>
                <w:b/>
                <w:snapToGrid w:val="0"/>
              </w:rPr>
              <w:t xml:space="preserve"> Tech Fund</w:t>
            </w:r>
          </w:p>
        </w:tc>
        <w:tc>
          <w:tcPr>
            <w:tcW w:w="825" w:type="pct"/>
            <w:vAlign w:val="center"/>
          </w:tcPr>
          <w:p w14:paraId="0FA059B2" w14:textId="77777777" w:rsidR="00BA172C" w:rsidRPr="0034768D" w:rsidRDefault="00BA172C" w:rsidP="00B95821">
            <w:pPr>
              <w:pStyle w:val="BodyText"/>
              <w:spacing w:before="100" w:after="100"/>
              <w:jc w:val="center"/>
              <w:rPr>
                <w:b/>
              </w:rPr>
            </w:pPr>
            <w:r w:rsidRPr="0034768D">
              <w:rPr>
                <w:b/>
              </w:rPr>
              <w:t>$100 My Plan Business</w:t>
            </w:r>
            <w:r w:rsidRPr="0034768D">
              <w:rPr>
                <w:b/>
                <w:snapToGrid w:val="0"/>
              </w:rPr>
              <w:t xml:space="preserve"> Tech Fund</w:t>
            </w:r>
          </w:p>
        </w:tc>
        <w:tc>
          <w:tcPr>
            <w:tcW w:w="826" w:type="pct"/>
            <w:vAlign w:val="center"/>
          </w:tcPr>
          <w:p w14:paraId="159DBBE3" w14:textId="77777777" w:rsidR="00BA172C" w:rsidRPr="0034768D" w:rsidRDefault="00BA172C" w:rsidP="00B95821">
            <w:pPr>
              <w:pStyle w:val="BodyText"/>
              <w:spacing w:before="100" w:after="100"/>
              <w:jc w:val="center"/>
              <w:rPr>
                <w:b/>
              </w:rPr>
            </w:pPr>
            <w:r w:rsidRPr="0034768D">
              <w:rPr>
                <w:b/>
              </w:rPr>
              <w:t>$</w:t>
            </w:r>
            <w:r>
              <w:rPr>
                <w:b/>
              </w:rPr>
              <w:t>130</w:t>
            </w:r>
            <w:r w:rsidRPr="0034768D">
              <w:rPr>
                <w:b/>
              </w:rPr>
              <w:t xml:space="preserve"> My Plan Business</w:t>
            </w:r>
            <w:r w:rsidRPr="0034768D">
              <w:rPr>
                <w:b/>
                <w:snapToGrid w:val="0"/>
              </w:rPr>
              <w:t xml:space="preserve"> Tech Fund</w:t>
            </w:r>
          </w:p>
        </w:tc>
      </w:tr>
      <w:tr w:rsidR="00BA172C" w:rsidRPr="00A974C9" w14:paraId="7D3CDA04" w14:textId="77777777" w:rsidTr="00B95821">
        <w:trPr>
          <w:trHeight w:val="275"/>
        </w:trPr>
        <w:tc>
          <w:tcPr>
            <w:tcW w:w="873" w:type="pct"/>
            <w:vAlign w:val="center"/>
          </w:tcPr>
          <w:p w14:paraId="5C00944C" w14:textId="77777777" w:rsidR="00BA172C" w:rsidRPr="0034768D" w:rsidRDefault="00BA172C" w:rsidP="00B95821">
            <w:pPr>
              <w:pStyle w:val="BodyText"/>
              <w:spacing w:before="100" w:after="100"/>
              <w:jc w:val="center"/>
              <w:rPr>
                <w:b/>
              </w:rPr>
            </w:pPr>
            <w:r w:rsidRPr="0034768D">
              <w:rPr>
                <w:b/>
                <w:lang w:eastAsia="en-AU"/>
              </w:rPr>
              <w:t>Cancellation Fee</w:t>
            </w:r>
          </w:p>
        </w:tc>
        <w:tc>
          <w:tcPr>
            <w:tcW w:w="825" w:type="pct"/>
            <w:vAlign w:val="center"/>
          </w:tcPr>
          <w:p w14:paraId="1D46178E" w14:textId="77777777" w:rsidR="00BA172C" w:rsidRPr="00A974C9" w:rsidRDefault="00BA172C" w:rsidP="00B95821">
            <w:pPr>
              <w:pStyle w:val="BodyText"/>
              <w:spacing w:before="100" w:after="100"/>
              <w:jc w:val="center"/>
              <w:rPr>
                <w:i/>
              </w:rPr>
            </w:pPr>
            <w:r w:rsidRPr="00A974C9">
              <w:t>$24 x Months remaining</w:t>
            </w:r>
          </w:p>
        </w:tc>
        <w:tc>
          <w:tcPr>
            <w:tcW w:w="825" w:type="pct"/>
            <w:shd w:val="clear" w:color="auto" w:fill="auto"/>
            <w:vAlign w:val="center"/>
          </w:tcPr>
          <w:p w14:paraId="2502644D" w14:textId="77777777" w:rsidR="00BA172C" w:rsidRPr="00A974C9" w:rsidRDefault="00BA172C" w:rsidP="00B95821">
            <w:pPr>
              <w:pStyle w:val="BodyText"/>
              <w:spacing w:before="100" w:after="100"/>
              <w:jc w:val="center"/>
            </w:pPr>
            <w:r w:rsidRPr="00A974C9">
              <w:t>$36 x Months remaining</w:t>
            </w:r>
          </w:p>
        </w:tc>
        <w:tc>
          <w:tcPr>
            <w:tcW w:w="825" w:type="pct"/>
            <w:shd w:val="clear" w:color="auto" w:fill="auto"/>
            <w:vAlign w:val="center"/>
          </w:tcPr>
          <w:p w14:paraId="67CE9CE9" w14:textId="77777777" w:rsidR="00BA172C" w:rsidRPr="00A974C9" w:rsidRDefault="00BA172C" w:rsidP="00B95821">
            <w:pPr>
              <w:pStyle w:val="BodyText"/>
              <w:spacing w:before="100" w:after="100"/>
              <w:jc w:val="center"/>
            </w:pPr>
            <w:r w:rsidRPr="00A974C9">
              <w:t>$48 x Months remaining</w:t>
            </w:r>
          </w:p>
        </w:tc>
        <w:tc>
          <w:tcPr>
            <w:tcW w:w="825" w:type="pct"/>
            <w:vAlign w:val="center"/>
          </w:tcPr>
          <w:p w14:paraId="7C6686A9" w14:textId="77777777" w:rsidR="00BA172C" w:rsidRPr="00A974C9" w:rsidRDefault="00BA172C" w:rsidP="00B95821">
            <w:pPr>
              <w:pStyle w:val="BodyText"/>
              <w:spacing w:before="100" w:after="100"/>
              <w:jc w:val="center"/>
            </w:pPr>
            <w:r w:rsidRPr="00A974C9">
              <w:t>$60 x Months remaining</w:t>
            </w:r>
          </w:p>
        </w:tc>
        <w:tc>
          <w:tcPr>
            <w:tcW w:w="826" w:type="pct"/>
          </w:tcPr>
          <w:p w14:paraId="0448F071" w14:textId="77777777" w:rsidR="00BA172C" w:rsidRPr="00A974C9" w:rsidRDefault="00BA172C" w:rsidP="00B95821">
            <w:pPr>
              <w:pStyle w:val="BodyText"/>
              <w:spacing w:before="100" w:after="100"/>
              <w:jc w:val="center"/>
            </w:pPr>
            <w:r>
              <w:t>$78 x Months remaining</w:t>
            </w:r>
          </w:p>
        </w:tc>
      </w:tr>
      <w:tr w:rsidR="00BA172C" w:rsidRPr="00A974C9" w14:paraId="1897977F" w14:textId="77777777" w:rsidTr="00B95821">
        <w:trPr>
          <w:trHeight w:val="275"/>
        </w:trPr>
        <w:tc>
          <w:tcPr>
            <w:tcW w:w="873" w:type="pct"/>
            <w:vAlign w:val="center"/>
          </w:tcPr>
          <w:p w14:paraId="2284C9C9" w14:textId="77777777" w:rsidR="00BA172C" w:rsidRPr="0034768D" w:rsidRDefault="00BA172C" w:rsidP="00B95821">
            <w:pPr>
              <w:pStyle w:val="BodyText"/>
              <w:spacing w:before="100" w:after="100"/>
              <w:jc w:val="center"/>
              <w:rPr>
                <w:b/>
                <w:lang w:eastAsia="en-AU"/>
              </w:rPr>
            </w:pPr>
            <w:r w:rsidRPr="0034768D">
              <w:rPr>
                <w:b/>
                <w:lang w:eastAsia="en-AU"/>
              </w:rPr>
              <w:t>Maximum Cancellation Fee</w:t>
            </w:r>
          </w:p>
        </w:tc>
        <w:tc>
          <w:tcPr>
            <w:tcW w:w="825" w:type="pct"/>
            <w:vAlign w:val="center"/>
          </w:tcPr>
          <w:p w14:paraId="5B3DE116" w14:textId="77777777" w:rsidR="00BA172C" w:rsidRPr="00A974C9" w:rsidRDefault="00BA172C" w:rsidP="00B95821">
            <w:pPr>
              <w:pStyle w:val="BodyText"/>
              <w:spacing w:before="100" w:after="100"/>
              <w:jc w:val="center"/>
            </w:pPr>
            <w:r w:rsidRPr="00A974C9">
              <w:t>$576</w:t>
            </w:r>
          </w:p>
        </w:tc>
        <w:tc>
          <w:tcPr>
            <w:tcW w:w="825" w:type="pct"/>
            <w:shd w:val="clear" w:color="auto" w:fill="auto"/>
            <w:vAlign w:val="center"/>
          </w:tcPr>
          <w:p w14:paraId="6FF0E441" w14:textId="77777777" w:rsidR="00BA172C" w:rsidRPr="00A974C9" w:rsidRDefault="00BA172C" w:rsidP="00B95821">
            <w:pPr>
              <w:pStyle w:val="BodyText"/>
              <w:spacing w:before="100" w:after="100"/>
              <w:jc w:val="center"/>
            </w:pPr>
            <w:r w:rsidRPr="00A974C9">
              <w:t>$864</w:t>
            </w:r>
          </w:p>
        </w:tc>
        <w:tc>
          <w:tcPr>
            <w:tcW w:w="825" w:type="pct"/>
            <w:shd w:val="clear" w:color="auto" w:fill="auto"/>
            <w:vAlign w:val="center"/>
          </w:tcPr>
          <w:p w14:paraId="07717499" w14:textId="77777777" w:rsidR="00BA172C" w:rsidRPr="00A974C9" w:rsidRDefault="00BA172C" w:rsidP="00B95821">
            <w:pPr>
              <w:pStyle w:val="BodyText"/>
              <w:spacing w:before="100" w:after="100"/>
              <w:jc w:val="center"/>
            </w:pPr>
            <w:r w:rsidRPr="00A974C9">
              <w:t>$1152</w:t>
            </w:r>
          </w:p>
        </w:tc>
        <w:tc>
          <w:tcPr>
            <w:tcW w:w="825" w:type="pct"/>
            <w:vAlign w:val="center"/>
          </w:tcPr>
          <w:p w14:paraId="2692C31D" w14:textId="77777777" w:rsidR="00BA172C" w:rsidRPr="00A974C9" w:rsidRDefault="00BA172C" w:rsidP="00B95821">
            <w:pPr>
              <w:pStyle w:val="BodyText"/>
              <w:spacing w:before="100" w:after="100"/>
              <w:jc w:val="center"/>
            </w:pPr>
            <w:r w:rsidRPr="00A974C9">
              <w:t>$1440</w:t>
            </w:r>
          </w:p>
        </w:tc>
        <w:tc>
          <w:tcPr>
            <w:tcW w:w="826" w:type="pct"/>
            <w:vAlign w:val="center"/>
          </w:tcPr>
          <w:p w14:paraId="6753E57B" w14:textId="77777777" w:rsidR="00BA172C" w:rsidRPr="00A974C9" w:rsidRDefault="00BA172C" w:rsidP="00B95821">
            <w:pPr>
              <w:pStyle w:val="BodyText"/>
              <w:spacing w:before="100" w:after="100"/>
              <w:jc w:val="center"/>
            </w:pPr>
            <w:r>
              <w:t>$1872</w:t>
            </w:r>
          </w:p>
        </w:tc>
      </w:tr>
    </w:tbl>
    <w:p w14:paraId="0A9BA7A0" w14:textId="77777777" w:rsidR="00BA172C" w:rsidRDefault="00BA172C" w:rsidP="00BA172C">
      <w:pPr>
        <w:pStyle w:val="BodyText"/>
      </w:pPr>
    </w:p>
    <w:p w14:paraId="107A595A" w14:textId="77777777" w:rsidR="00BA172C" w:rsidRPr="0034768D" w:rsidRDefault="00BA172C" w:rsidP="00BA172C">
      <w:pPr>
        <w:pStyle w:val="Heading7"/>
        <w:rPr>
          <w:rFonts w:eastAsia="MS Mincho"/>
          <w:lang w:val="en-AU"/>
        </w:rPr>
      </w:pPr>
      <w:r w:rsidRPr="0034768D">
        <w:rPr>
          <w:rFonts w:eastAsia="MS Mincho"/>
          <w:lang w:val="en-AU"/>
        </w:rPr>
        <w:t xml:space="preserve">If </w:t>
      </w:r>
      <w:r w:rsidRPr="0034768D">
        <w:rPr>
          <w:rFonts w:eastAsia="MS Mincho"/>
          <w:i/>
          <w:lang w:val="en-AU"/>
        </w:rPr>
        <w:t>your</w:t>
      </w:r>
      <w:r w:rsidRPr="0034768D">
        <w:rPr>
          <w:rFonts w:eastAsia="MS Mincho"/>
          <w:lang w:val="en-AU"/>
        </w:rPr>
        <w:t xml:space="preserve"> My Plan Business Tech Fund is </w:t>
      </w:r>
      <w:r w:rsidRPr="0034768D">
        <w:rPr>
          <w:rFonts w:eastAsia="MS Mincho"/>
          <w:i/>
          <w:lang w:val="en-AU"/>
        </w:rPr>
        <w:t>cancelled</w:t>
      </w:r>
      <w:r w:rsidRPr="0034768D">
        <w:rPr>
          <w:rFonts w:eastAsia="MS Mincho"/>
          <w:lang w:val="en-AU"/>
        </w:rPr>
        <w:t xml:space="preserve">, </w:t>
      </w:r>
      <w:r w:rsidRPr="0034768D">
        <w:rPr>
          <w:rFonts w:eastAsia="MS Mincho"/>
          <w:i/>
          <w:lang w:val="en-AU"/>
        </w:rPr>
        <w:t>your</w:t>
      </w:r>
      <w:r w:rsidRPr="0034768D">
        <w:rPr>
          <w:rFonts w:eastAsia="MS Mincho"/>
          <w:lang w:val="en-AU"/>
        </w:rPr>
        <w:t xml:space="preserve"> Shared Data Plan(s) may also be </w:t>
      </w:r>
      <w:r w:rsidRPr="0034768D">
        <w:rPr>
          <w:rFonts w:eastAsia="MS Mincho"/>
          <w:i/>
          <w:lang w:val="en-AU"/>
        </w:rPr>
        <w:t>cancelled</w:t>
      </w:r>
      <w:r w:rsidRPr="0034768D">
        <w:rPr>
          <w:rFonts w:eastAsia="MS Mincho"/>
          <w:lang w:val="en-AU"/>
        </w:rPr>
        <w:t xml:space="preserve">. There are no </w:t>
      </w:r>
      <w:r w:rsidRPr="0034768D">
        <w:rPr>
          <w:rFonts w:eastAsia="MS Mincho"/>
          <w:i/>
          <w:lang w:val="en-AU"/>
        </w:rPr>
        <w:t>cancellation fees</w:t>
      </w:r>
      <w:r w:rsidRPr="0034768D">
        <w:rPr>
          <w:rFonts w:eastAsia="MS Mincho"/>
          <w:lang w:val="en-AU"/>
        </w:rPr>
        <w:t xml:space="preserve"> for the Shared Data Plan, however if </w:t>
      </w:r>
      <w:r w:rsidRPr="0034768D">
        <w:rPr>
          <w:rFonts w:eastAsia="MS Mincho"/>
          <w:i/>
          <w:lang w:val="en-AU"/>
        </w:rPr>
        <w:t>you</w:t>
      </w:r>
      <w:r w:rsidRPr="0034768D">
        <w:rPr>
          <w:rFonts w:eastAsia="MS Mincho"/>
          <w:lang w:val="en-AU"/>
        </w:rPr>
        <w:t xml:space="preserve"> purchased a </w:t>
      </w:r>
      <w:r w:rsidRPr="0034768D">
        <w:rPr>
          <w:rFonts w:eastAsia="MS Mincho"/>
          <w:i/>
          <w:lang w:val="en-AU"/>
        </w:rPr>
        <w:t>device</w:t>
      </w:r>
      <w:r w:rsidRPr="0034768D">
        <w:rPr>
          <w:rFonts w:eastAsia="MS Mincho"/>
          <w:lang w:val="en-AU"/>
        </w:rPr>
        <w:t xml:space="preserve"> </w:t>
      </w:r>
      <w:r w:rsidRPr="0034768D">
        <w:rPr>
          <w:rFonts w:eastAsia="MS Mincho"/>
          <w:i/>
          <w:lang w:val="en-AU"/>
        </w:rPr>
        <w:t>you</w:t>
      </w:r>
      <w:r w:rsidRPr="0034768D">
        <w:rPr>
          <w:rFonts w:eastAsia="MS Mincho"/>
          <w:lang w:val="en-AU"/>
        </w:rPr>
        <w:t xml:space="preserve"> need to pay the sum of any remaining </w:t>
      </w:r>
      <w:r w:rsidRPr="0034768D">
        <w:rPr>
          <w:rFonts w:eastAsia="MS Mincho"/>
          <w:i/>
          <w:lang w:val="en-AU"/>
        </w:rPr>
        <w:t xml:space="preserve">equipment charges </w:t>
      </w:r>
      <w:r w:rsidRPr="0034768D">
        <w:rPr>
          <w:rFonts w:eastAsia="MS Mincho"/>
          <w:lang w:val="en-AU"/>
        </w:rPr>
        <w:t xml:space="preserve">owing on </w:t>
      </w:r>
      <w:r w:rsidRPr="0034768D">
        <w:rPr>
          <w:rFonts w:eastAsia="MS Mincho"/>
          <w:i/>
          <w:lang w:val="en-AU"/>
        </w:rPr>
        <w:t xml:space="preserve">your device </w:t>
      </w:r>
      <w:r w:rsidRPr="0034768D">
        <w:rPr>
          <w:rFonts w:eastAsia="MS Mincho"/>
          <w:lang w:val="en-AU"/>
        </w:rPr>
        <w:t xml:space="preserve">under the </w:t>
      </w:r>
      <w:r w:rsidRPr="0034768D">
        <w:rPr>
          <w:rFonts w:eastAsia="MS Mincho"/>
          <w:i/>
          <w:lang w:val="en-AU"/>
        </w:rPr>
        <w:t xml:space="preserve">mobile equipment payment plan </w:t>
      </w:r>
      <w:r w:rsidRPr="0034768D">
        <w:rPr>
          <w:rFonts w:eastAsia="MS Mincho"/>
          <w:lang w:val="en-AU"/>
        </w:rPr>
        <w:t xml:space="preserve">(see </w:t>
      </w:r>
      <w:hyperlink r:id="rId771" w:history="1">
        <w:r w:rsidRPr="0007664B">
          <w:rPr>
            <w:rStyle w:val="Hyperlink"/>
            <w:i/>
            <w:lang w:val="en-AU"/>
          </w:rPr>
          <w:t>Appendix D</w:t>
        </w:r>
      </w:hyperlink>
      <w:r w:rsidRPr="0007664B">
        <w:rPr>
          <w:lang w:val="en-AU"/>
        </w:rPr>
        <w:t>).</w:t>
      </w:r>
    </w:p>
    <w:p w14:paraId="40C29C53" w14:textId="77777777" w:rsidR="00BA172C" w:rsidRDefault="00BA172C" w:rsidP="00BA172C">
      <w:pPr>
        <w:pStyle w:val="Heading7"/>
      </w:pPr>
      <w:r w:rsidRPr="0034768D">
        <w:t xml:space="preserve">If </w:t>
      </w:r>
      <w:r w:rsidRPr="0034768D">
        <w:rPr>
          <w:i/>
        </w:rPr>
        <w:t xml:space="preserve">your </w:t>
      </w:r>
      <w:r w:rsidRPr="0034768D">
        <w:t xml:space="preserve">Shared Data Plan is not </w:t>
      </w:r>
      <w:r w:rsidRPr="0034768D">
        <w:rPr>
          <w:i/>
        </w:rPr>
        <w:t>cancelled</w:t>
      </w:r>
      <w:r w:rsidRPr="0034768D">
        <w:t xml:space="preserve">, </w:t>
      </w:r>
      <w:r w:rsidRPr="0034768D">
        <w:rPr>
          <w:i/>
        </w:rPr>
        <w:t>you</w:t>
      </w:r>
      <w:r w:rsidRPr="0034768D">
        <w:t xml:space="preserve"> will be charged $10 per 1GB within Australia, up to a maximum of 150GB (per account) in a billing month. Your service/s may then be restricted or we may continue to charge you at these rates.</w:t>
      </w:r>
      <w:r w:rsidR="00E85FA3">
        <w:br/>
      </w:r>
      <w:r w:rsidR="00E85FA3">
        <w:br/>
      </w:r>
    </w:p>
    <w:p w14:paraId="04F3F2B3" w14:textId="77777777" w:rsidR="00BA172C" w:rsidRPr="00B7364B" w:rsidRDefault="00BA172C" w:rsidP="00BA172C">
      <w:pPr>
        <w:pStyle w:val="Heading4"/>
      </w:pPr>
      <w:bookmarkStart w:id="1772" w:name="_Toc509314762"/>
      <w:bookmarkStart w:id="1773" w:name="_Toc62644697"/>
      <w:r w:rsidRPr="00B7364B">
        <w:t>Business Plan</w:t>
      </w:r>
      <w:bookmarkEnd w:id="1772"/>
      <w:bookmarkEnd w:id="1773"/>
    </w:p>
    <w:p w14:paraId="1DB268A3" w14:textId="77777777" w:rsidR="00BA172C" w:rsidRPr="00B7364B" w:rsidRDefault="00BA172C" w:rsidP="00BA172C">
      <w:pPr>
        <w:spacing w:after="200"/>
        <w:ind w:left="720"/>
        <w:rPr>
          <w:sz w:val="20"/>
        </w:rPr>
      </w:pPr>
      <w:r w:rsidRPr="00B7364B">
        <w:rPr>
          <w:sz w:val="20"/>
        </w:rPr>
        <w:t xml:space="preserve">This section relates to the following plans. </w:t>
      </w:r>
      <w:r w:rsidRPr="00B7364B">
        <w:rPr>
          <w:i/>
          <w:sz w:val="20"/>
        </w:rPr>
        <w:t>You</w:t>
      </w:r>
      <w:r w:rsidRPr="00B7364B">
        <w:rPr>
          <w:sz w:val="20"/>
        </w:rPr>
        <w:t xml:space="preserve"> can find </w:t>
      </w:r>
      <w:r w:rsidRPr="00B7364B">
        <w:rPr>
          <w:i/>
          <w:sz w:val="20"/>
        </w:rPr>
        <w:t>your</w:t>
      </w:r>
      <w:r w:rsidRPr="00B7364B">
        <w:rPr>
          <w:sz w:val="20"/>
        </w:rPr>
        <w:t xml:space="preserve"> Plan ID on </w:t>
      </w:r>
      <w:r w:rsidRPr="00B7364B">
        <w:rPr>
          <w:i/>
          <w:sz w:val="20"/>
        </w:rPr>
        <w:t>your</w:t>
      </w:r>
      <w:r w:rsidRPr="00B7364B">
        <w:rPr>
          <w:sz w:val="20"/>
        </w:rPr>
        <w:t xml:space="preserve"> bill under the Mobile Number Summary section:</w:t>
      </w:r>
    </w:p>
    <w:tbl>
      <w:tblPr>
        <w:tblW w:w="838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0"/>
        <w:gridCol w:w="1918"/>
        <w:gridCol w:w="3600"/>
      </w:tblGrid>
      <w:tr w:rsidR="00BA172C" w:rsidRPr="00B7364B" w14:paraId="5AEDB945" w14:textId="77777777" w:rsidTr="00B95821">
        <w:tc>
          <w:tcPr>
            <w:tcW w:w="2870" w:type="dxa"/>
            <w:shd w:val="clear" w:color="auto" w:fill="auto"/>
          </w:tcPr>
          <w:p w14:paraId="6065041D" w14:textId="77777777" w:rsidR="00BA172C" w:rsidRPr="00B7364B" w:rsidRDefault="00BA172C" w:rsidP="00B95821">
            <w:pPr>
              <w:spacing w:before="100" w:after="100"/>
              <w:jc w:val="center"/>
              <w:rPr>
                <w:b/>
                <w:sz w:val="20"/>
              </w:rPr>
            </w:pPr>
            <w:r w:rsidRPr="00B7364B">
              <w:rPr>
                <w:b/>
                <w:sz w:val="20"/>
              </w:rPr>
              <w:t>Plan</w:t>
            </w:r>
          </w:p>
        </w:tc>
        <w:tc>
          <w:tcPr>
            <w:tcW w:w="1918" w:type="dxa"/>
            <w:shd w:val="clear" w:color="auto" w:fill="auto"/>
          </w:tcPr>
          <w:p w14:paraId="1E5BB0A4" w14:textId="77777777" w:rsidR="00BA172C" w:rsidRPr="00B7364B" w:rsidRDefault="00BA172C" w:rsidP="00B95821">
            <w:pPr>
              <w:spacing w:before="100" w:after="100"/>
              <w:jc w:val="center"/>
              <w:rPr>
                <w:b/>
                <w:sz w:val="20"/>
              </w:rPr>
            </w:pPr>
            <w:r w:rsidRPr="00B7364B">
              <w:rPr>
                <w:b/>
                <w:sz w:val="20"/>
              </w:rPr>
              <w:t>Plan ID</w:t>
            </w:r>
          </w:p>
        </w:tc>
        <w:tc>
          <w:tcPr>
            <w:tcW w:w="3600" w:type="dxa"/>
            <w:shd w:val="clear" w:color="auto" w:fill="auto"/>
          </w:tcPr>
          <w:p w14:paraId="3E9450D4" w14:textId="77777777" w:rsidR="00BA172C" w:rsidRPr="00B7364B" w:rsidRDefault="00BA172C" w:rsidP="00B95821">
            <w:pPr>
              <w:spacing w:before="100" w:after="100"/>
              <w:jc w:val="center"/>
              <w:rPr>
                <w:b/>
                <w:sz w:val="20"/>
              </w:rPr>
            </w:pPr>
            <w:r w:rsidRPr="00B7364B">
              <w:rPr>
                <w:b/>
                <w:sz w:val="20"/>
              </w:rPr>
              <w:t>Available</w:t>
            </w:r>
          </w:p>
        </w:tc>
      </w:tr>
      <w:tr w:rsidR="00BA172C" w:rsidRPr="00B7364B" w14:paraId="67EF1CC7" w14:textId="77777777" w:rsidTr="00B95821">
        <w:tc>
          <w:tcPr>
            <w:tcW w:w="2870" w:type="dxa"/>
            <w:shd w:val="clear" w:color="auto" w:fill="auto"/>
          </w:tcPr>
          <w:p w14:paraId="6CE96740" w14:textId="77777777" w:rsidR="00BA172C" w:rsidRPr="00B7364B" w:rsidRDefault="00BA172C" w:rsidP="00B95821">
            <w:pPr>
              <w:spacing w:before="100" w:after="100"/>
              <w:jc w:val="center"/>
              <w:rPr>
                <w:sz w:val="20"/>
              </w:rPr>
            </w:pPr>
            <w:r w:rsidRPr="00B7364B">
              <w:rPr>
                <w:sz w:val="20"/>
              </w:rPr>
              <w:t>$45 Business Plan</w:t>
            </w:r>
          </w:p>
        </w:tc>
        <w:tc>
          <w:tcPr>
            <w:tcW w:w="1918" w:type="dxa"/>
            <w:shd w:val="clear" w:color="auto" w:fill="auto"/>
            <w:vAlign w:val="center"/>
          </w:tcPr>
          <w:p w14:paraId="512B04A0" w14:textId="77777777" w:rsidR="00BA172C" w:rsidRPr="00B7364B" w:rsidRDefault="00BA172C" w:rsidP="00B95821">
            <w:pPr>
              <w:spacing w:before="100" w:after="100"/>
              <w:jc w:val="center"/>
              <w:rPr>
                <w:sz w:val="20"/>
              </w:rPr>
            </w:pPr>
            <w:r w:rsidRPr="00B7364B">
              <w:rPr>
                <w:sz w:val="20"/>
              </w:rPr>
              <w:t>800626, 10595024</w:t>
            </w:r>
          </w:p>
        </w:tc>
        <w:tc>
          <w:tcPr>
            <w:tcW w:w="3600" w:type="dxa"/>
            <w:shd w:val="clear" w:color="auto" w:fill="auto"/>
          </w:tcPr>
          <w:p w14:paraId="7A5D4A0F" w14:textId="77777777" w:rsidR="00BA172C" w:rsidRPr="00B7364B" w:rsidRDefault="00BA172C" w:rsidP="00B95821">
            <w:pPr>
              <w:spacing w:before="100" w:after="100"/>
              <w:jc w:val="center"/>
              <w:rPr>
                <w:sz w:val="20"/>
              </w:rPr>
            </w:pPr>
            <w:r w:rsidRPr="00B7364B">
              <w:rPr>
                <w:sz w:val="20"/>
              </w:rPr>
              <w:t>27 Febuary 2017</w:t>
            </w:r>
            <w:r w:rsidR="00E85FA3" w:rsidRPr="00E85FA3">
              <w:rPr>
                <w:sz w:val="20"/>
              </w:rPr>
              <w:t xml:space="preserve"> – 3</w:t>
            </w:r>
            <w:r w:rsidR="00343D1D">
              <w:rPr>
                <w:sz w:val="20"/>
              </w:rPr>
              <w:t>0 June</w:t>
            </w:r>
            <w:r w:rsidR="00E85FA3" w:rsidRPr="00E85FA3">
              <w:rPr>
                <w:sz w:val="20"/>
              </w:rPr>
              <w:t xml:space="preserve"> 2018</w:t>
            </w:r>
          </w:p>
        </w:tc>
      </w:tr>
      <w:tr w:rsidR="00BA172C" w:rsidRPr="00B7364B" w14:paraId="393AEA76" w14:textId="77777777" w:rsidTr="00B95821">
        <w:tc>
          <w:tcPr>
            <w:tcW w:w="2870" w:type="dxa"/>
            <w:shd w:val="clear" w:color="auto" w:fill="auto"/>
          </w:tcPr>
          <w:p w14:paraId="5B2FFDE5" w14:textId="77777777" w:rsidR="00BA172C" w:rsidRPr="00B7364B" w:rsidRDefault="00BA172C" w:rsidP="00B95821">
            <w:pPr>
              <w:spacing w:before="100" w:after="100"/>
              <w:jc w:val="center"/>
              <w:rPr>
                <w:sz w:val="20"/>
              </w:rPr>
            </w:pPr>
            <w:r w:rsidRPr="00B7364B">
              <w:rPr>
                <w:sz w:val="20"/>
              </w:rPr>
              <w:t>$70 Business Plan</w:t>
            </w:r>
          </w:p>
        </w:tc>
        <w:tc>
          <w:tcPr>
            <w:tcW w:w="1918" w:type="dxa"/>
            <w:shd w:val="clear" w:color="auto" w:fill="auto"/>
            <w:vAlign w:val="center"/>
          </w:tcPr>
          <w:p w14:paraId="5B2C20D8" w14:textId="77777777" w:rsidR="00BA172C" w:rsidRPr="00B7364B" w:rsidRDefault="00BA172C" w:rsidP="00B95821">
            <w:pPr>
              <w:spacing w:before="100" w:after="100"/>
              <w:jc w:val="center"/>
              <w:rPr>
                <w:sz w:val="20"/>
              </w:rPr>
            </w:pPr>
            <w:r w:rsidRPr="00B7364B">
              <w:rPr>
                <w:sz w:val="20"/>
              </w:rPr>
              <w:t>800627, 10595134</w:t>
            </w:r>
          </w:p>
        </w:tc>
        <w:tc>
          <w:tcPr>
            <w:tcW w:w="3600" w:type="dxa"/>
            <w:shd w:val="clear" w:color="auto" w:fill="auto"/>
          </w:tcPr>
          <w:p w14:paraId="46F4D277" w14:textId="77777777" w:rsidR="00BA172C" w:rsidRPr="00B7364B" w:rsidRDefault="00BA172C" w:rsidP="00B95821">
            <w:pPr>
              <w:spacing w:before="100" w:after="100"/>
              <w:jc w:val="center"/>
              <w:rPr>
                <w:sz w:val="20"/>
              </w:rPr>
            </w:pPr>
            <w:r w:rsidRPr="00B7364B">
              <w:rPr>
                <w:sz w:val="20"/>
              </w:rPr>
              <w:t>27 Febuary 2017</w:t>
            </w:r>
            <w:r w:rsidR="00E85FA3" w:rsidRPr="00E85FA3">
              <w:rPr>
                <w:sz w:val="20"/>
              </w:rPr>
              <w:t xml:space="preserve"> – 30 </w:t>
            </w:r>
            <w:r w:rsidR="00343D1D">
              <w:rPr>
                <w:sz w:val="20"/>
              </w:rPr>
              <w:t xml:space="preserve">June </w:t>
            </w:r>
            <w:r w:rsidR="00E85FA3" w:rsidRPr="00E85FA3">
              <w:rPr>
                <w:sz w:val="20"/>
              </w:rPr>
              <w:t>2018</w:t>
            </w:r>
          </w:p>
        </w:tc>
      </w:tr>
      <w:tr w:rsidR="00BA172C" w:rsidRPr="00B7364B" w14:paraId="626BD783" w14:textId="77777777" w:rsidTr="00B95821">
        <w:tc>
          <w:tcPr>
            <w:tcW w:w="2870" w:type="dxa"/>
            <w:shd w:val="clear" w:color="auto" w:fill="auto"/>
          </w:tcPr>
          <w:p w14:paraId="2441726E" w14:textId="77777777" w:rsidR="00BA172C" w:rsidRPr="00B7364B" w:rsidRDefault="00BA172C" w:rsidP="00B95821">
            <w:pPr>
              <w:spacing w:before="100" w:after="100"/>
              <w:jc w:val="center"/>
              <w:rPr>
                <w:sz w:val="20"/>
              </w:rPr>
            </w:pPr>
            <w:r w:rsidRPr="00B7364B">
              <w:rPr>
                <w:sz w:val="20"/>
              </w:rPr>
              <w:t>$90 Business Plan</w:t>
            </w:r>
          </w:p>
        </w:tc>
        <w:tc>
          <w:tcPr>
            <w:tcW w:w="1918" w:type="dxa"/>
            <w:shd w:val="clear" w:color="auto" w:fill="auto"/>
            <w:vAlign w:val="center"/>
          </w:tcPr>
          <w:p w14:paraId="7DCFBD53" w14:textId="77777777" w:rsidR="00BA172C" w:rsidRPr="00B7364B" w:rsidRDefault="00BA172C" w:rsidP="00B95821">
            <w:pPr>
              <w:spacing w:before="100" w:after="100"/>
              <w:jc w:val="center"/>
              <w:rPr>
                <w:sz w:val="20"/>
              </w:rPr>
            </w:pPr>
            <w:r w:rsidRPr="00B7364B">
              <w:rPr>
                <w:sz w:val="20"/>
              </w:rPr>
              <w:t>800628, 10595124</w:t>
            </w:r>
          </w:p>
        </w:tc>
        <w:tc>
          <w:tcPr>
            <w:tcW w:w="3600" w:type="dxa"/>
            <w:shd w:val="clear" w:color="auto" w:fill="auto"/>
          </w:tcPr>
          <w:p w14:paraId="259F116A" w14:textId="77777777" w:rsidR="00BA172C" w:rsidRPr="00B7364B" w:rsidRDefault="00BA172C" w:rsidP="00B95821">
            <w:pPr>
              <w:spacing w:before="100" w:after="100"/>
              <w:jc w:val="center"/>
              <w:rPr>
                <w:sz w:val="20"/>
              </w:rPr>
            </w:pPr>
            <w:r w:rsidRPr="00B7364B">
              <w:rPr>
                <w:sz w:val="20"/>
              </w:rPr>
              <w:t>27 Febuary 2017</w:t>
            </w:r>
            <w:r w:rsidR="00E85FA3" w:rsidRPr="00E85FA3">
              <w:rPr>
                <w:sz w:val="20"/>
              </w:rPr>
              <w:t xml:space="preserve"> – 30 </w:t>
            </w:r>
            <w:r w:rsidR="00343D1D">
              <w:rPr>
                <w:sz w:val="20"/>
              </w:rPr>
              <w:t>June</w:t>
            </w:r>
            <w:r w:rsidR="00E85FA3" w:rsidRPr="00E85FA3">
              <w:rPr>
                <w:sz w:val="20"/>
              </w:rPr>
              <w:t xml:space="preserve"> 2018</w:t>
            </w:r>
          </w:p>
        </w:tc>
      </w:tr>
      <w:tr w:rsidR="00BA172C" w:rsidRPr="00B7364B" w14:paraId="6B686589" w14:textId="77777777" w:rsidTr="00B95821">
        <w:tc>
          <w:tcPr>
            <w:tcW w:w="2870" w:type="dxa"/>
            <w:shd w:val="clear" w:color="auto" w:fill="auto"/>
          </w:tcPr>
          <w:p w14:paraId="5E37ABC8" w14:textId="77777777" w:rsidR="00BA172C" w:rsidRPr="00B7364B" w:rsidRDefault="00BA172C" w:rsidP="00B95821">
            <w:pPr>
              <w:spacing w:before="100" w:after="100"/>
              <w:jc w:val="center"/>
              <w:rPr>
                <w:sz w:val="20"/>
              </w:rPr>
            </w:pPr>
            <w:r w:rsidRPr="00B7364B">
              <w:rPr>
                <w:sz w:val="20"/>
              </w:rPr>
              <w:t>$105 Business Plan</w:t>
            </w:r>
          </w:p>
        </w:tc>
        <w:tc>
          <w:tcPr>
            <w:tcW w:w="1918" w:type="dxa"/>
            <w:shd w:val="clear" w:color="auto" w:fill="auto"/>
          </w:tcPr>
          <w:p w14:paraId="18C606C7" w14:textId="77777777" w:rsidR="00BA172C" w:rsidRPr="00B7364B" w:rsidRDefault="00BA172C" w:rsidP="00B95821">
            <w:pPr>
              <w:spacing w:before="100" w:after="100"/>
              <w:jc w:val="center"/>
              <w:rPr>
                <w:sz w:val="20"/>
              </w:rPr>
            </w:pPr>
            <w:r w:rsidRPr="00B7364B">
              <w:rPr>
                <w:sz w:val="20"/>
              </w:rPr>
              <w:t>800629, 10595114</w:t>
            </w:r>
          </w:p>
        </w:tc>
        <w:tc>
          <w:tcPr>
            <w:tcW w:w="3600" w:type="dxa"/>
            <w:shd w:val="clear" w:color="auto" w:fill="auto"/>
          </w:tcPr>
          <w:p w14:paraId="7FFEC214" w14:textId="77777777" w:rsidR="00BA172C" w:rsidRPr="00B7364B" w:rsidRDefault="00BA172C" w:rsidP="00B95821">
            <w:pPr>
              <w:spacing w:before="100" w:after="100"/>
              <w:jc w:val="center"/>
              <w:rPr>
                <w:sz w:val="20"/>
              </w:rPr>
            </w:pPr>
            <w:r w:rsidRPr="00B7364B">
              <w:rPr>
                <w:sz w:val="20"/>
              </w:rPr>
              <w:t>27 Febuary 2017</w:t>
            </w:r>
            <w:r w:rsidR="00E85FA3" w:rsidRPr="00E85FA3">
              <w:rPr>
                <w:sz w:val="20"/>
              </w:rPr>
              <w:t xml:space="preserve"> – 30 </w:t>
            </w:r>
            <w:r w:rsidR="00343D1D">
              <w:rPr>
                <w:sz w:val="20"/>
              </w:rPr>
              <w:t>June</w:t>
            </w:r>
            <w:r w:rsidR="00E85FA3" w:rsidRPr="00E85FA3">
              <w:rPr>
                <w:sz w:val="20"/>
              </w:rPr>
              <w:t xml:space="preserve"> 2018</w:t>
            </w:r>
          </w:p>
        </w:tc>
      </w:tr>
      <w:tr w:rsidR="00BA172C" w:rsidRPr="00B7364B" w14:paraId="12F1B39C" w14:textId="77777777" w:rsidTr="00B95821">
        <w:tc>
          <w:tcPr>
            <w:tcW w:w="2870" w:type="dxa"/>
            <w:shd w:val="clear" w:color="auto" w:fill="auto"/>
          </w:tcPr>
          <w:p w14:paraId="1F0C24BE" w14:textId="77777777" w:rsidR="00BA172C" w:rsidRPr="00B7364B" w:rsidRDefault="00BA172C" w:rsidP="00B95821">
            <w:pPr>
              <w:spacing w:before="100" w:after="100"/>
              <w:jc w:val="center"/>
              <w:rPr>
                <w:sz w:val="20"/>
              </w:rPr>
            </w:pPr>
            <w:r w:rsidRPr="00B7364B">
              <w:rPr>
                <w:sz w:val="20"/>
              </w:rPr>
              <w:t>$</w:t>
            </w:r>
            <w:r>
              <w:rPr>
                <w:sz w:val="20"/>
              </w:rPr>
              <w:t>130</w:t>
            </w:r>
            <w:r w:rsidRPr="00B7364B">
              <w:rPr>
                <w:sz w:val="20"/>
              </w:rPr>
              <w:t xml:space="preserve"> Business Plan</w:t>
            </w:r>
          </w:p>
        </w:tc>
        <w:tc>
          <w:tcPr>
            <w:tcW w:w="1918" w:type="dxa"/>
            <w:shd w:val="clear" w:color="auto" w:fill="auto"/>
          </w:tcPr>
          <w:p w14:paraId="2FEA5D20" w14:textId="77777777" w:rsidR="00BA172C" w:rsidRPr="00B7364B" w:rsidRDefault="00BA172C" w:rsidP="00B95821">
            <w:pPr>
              <w:spacing w:before="100" w:after="100"/>
              <w:jc w:val="center"/>
              <w:rPr>
                <w:sz w:val="20"/>
              </w:rPr>
            </w:pPr>
            <w:r>
              <w:rPr>
                <w:sz w:val="20"/>
              </w:rPr>
              <w:t>800712, 10618355</w:t>
            </w:r>
          </w:p>
        </w:tc>
        <w:tc>
          <w:tcPr>
            <w:tcW w:w="3600" w:type="dxa"/>
            <w:shd w:val="clear" w:color="auto" w:fill="auto"/>
          </w:tcPr>
          <w:p w14:paraId="4D034EC5" w14:textId="77777777" w:rsidR="00BA172C" w:rsidRPr="00B7364B" w:rsidRDefault="00BA172C" w:rsidP="00B95821">
            <w:pPr>
              <w:spacing w:before="100" w:after="100"/>
              <w:jc w:val="center"/>
              <w:rPr>
                <w:sz w:val="20"/>
              </w:rPr>
            </w:pPr>
            <w:r>
              <w:rPr>
                <w:sz w:val="20"/>
              </w:rPr>
              <w:t>5 June 2017</w:t>
            </w:r>
            <w:r w:rsidRPr="00B7364B">
              <w:rPr>
                <w:sz w:val="20"/>
              </w:rPr>
              <w:t xml:space="preserve"> </w:t>
            </w:r>
            <w:r w:rsidR="00E85FA3" w:rsidRPr="00E85FA3">
              <w:rPr>
                <w:sz w:val="20"/>
              </w:rPr>
              <w:t xml:space="preserve">– 30 </w:t>
            </w:r>
            <w:r w:rsidR="00343D1D">
              <w:rPr>
                <w:sz w:val="20"/>
              </w:rPr>
              <w:t>June</w:t>
            </w:r>
            <w:r w:rsidR="00E85FA3" w:rsidRPr="00E85FA3">
              <w:rPr>
                <w:sz w:val="20"/>
              </w:rPr>
              <w:t xml:space="preserve"> 2018</w:t>
            </w:r>
          </w:p>
        </w:tc>
      </w:tr>
    </w:tbl>
    <w:p w14:paraId="5D842B8E" w14:textId="77777777" w:rsidR="00BA172C" w:rsidRPr="00B7364B" w:rsidRDefault="00BA172C" w:rsidP="00BA172C">
      <w:pPr>
        <w:spacing w:after="200"/>
        <w:rPr>
          <w:sz w:val="20"/>
        </w:rPr>
      </w:pPr>
    </w:p>
    <w:p w14:paraId="3287D628" w14:textId="77777777" w:rsidR="00BA172C" w:rsidRPr="00B7364B" w:rsidRDefault="00BA172C" w:rsidP="00BA172C">
      <w:pPr>
        <w:numPr>
          <w:ilvl w:val="5"/>
          <w:numId w:val="1"/>
        </w:numPr>
        <w:spacing w:after="200"/>
        <w:outlineLvl w:val="5"/>
        <w:rPr>
          <w:rFonts w:eastAsia="Times New Roman"/>
          <w:bCs/>
          <w:sz w:val="20"/>
          <w:szCs w:val="22"/>
        </w:rPr>
      </w:pPr>
      <w:r w:rsidRPr="00B7364B">
        <w:rPr>
          <w:rFonts w:eastAsia="Times New Roman"/>
          <w:bCs/>
          <w:sz w:val="20"/>
          <w:szCs w:val="22"/>
        </w:rPr>
        <w:t>Eligibility</w:t>
      </w:r>
    </w:p>
    <w:p w14:paraId="202F81C4" w14:textId="77777777" w:rsidR="00BA172C" w:rsidRPr="00B7364B" w:rsidRDefault="00BA172C" w:rsidP="00BA172C">
      <w:pPr>
        <w:spacing w:after="200"/>
        <w:ind w:left="720"/>
        <w:rPr>
          <w:sz w:val="20"/>
        </w:rPr>
      </w:pPr>
      <w:r w:rsidRPr="00B7364B">
        <w:rPr>
          <w:sz w:val="20"/>
        </w:rPr>
        <w:t xml:space="preserve">The Business Plans are available to new and existing mobile customers connecting to the </w:t>
      </w:r>
      <w:r w:rsidRPr="00B7364B">
        <w:rPr>
          <w:i/>
          <w:sz w:val="20"/>
        </w:rPr>
        <w:t xml:space="preserve">service </w:t>
      </w:r>
      <w:r w:rsidRPr="00B7364B">
        <w:rPr>
          <w:sz w:val="20"/>
        </w:rPr>
        <w:t xml:space="preserve">who pass Optus' credit assessment. </w:t>
      </w:r>
    </w:p>
    <w:p w14:paraId="59920FBF" w14:textId="77777777" w:rsidR="00BA172C" w:rsidRPr="00B7364B" w:rsidRDefault="00BA172C" w:rsidP="00BA172C">
      <w:pPr>
        <w:spacing w:after="200"/>
        <w:ind w:left="720"/>
        <w:rPr>
          <w:sz w:val="20"/>
        </w:rPr>
      </w:pPr>
      <w:r w:rsidRPr="00B7364B">
        <w:rPr>
          <w:sz w:val="20"/>
        </w:rPr>
        <w:t>Optus Service Providers' customers are not eligible to apply</w:t>
      </w:r>
      <w:r w:rsidRPr="00B7364B">
        <w:rPr>
          <w:snapToGrid w:val="0"/>
          <w:sz w:val="20"/>
        </w:rPr>
        <w:t>.</w:t>
      </w:r>
    </w:p>
    <w:p w14:paraId="53730088" w14:textId="77777777" w:rsidR="00BA172C" w:rsidRPr="00B7364B" w:rsidRDefault="00BA172C" w:rsidP="00BA172C">
      <w:pPr>
        <w:spacing w:after="200"/>
        <w:ind w:left="720"/>
        <w:rPr>
          <w:sz w:val="20"/>
        </w:rPr>
      </w:pPr>
      <w:r w:rsidRPr="00B7364B">
        <w:rPr>
          <w:sz w:val="20"/>
        </w:rPr>
        <w:t xml:space="preserve">These </w:t>
      </w:r>
      <w:r w:rsidRPr="00B7364B">
        <w:rPr>
          <w:i/>
          <w:sz w:val="20"/>
        </w:rPr>
        <w:t>plans</w:t>
      </w:r>
      <w:r w:rsidRPr="00B7364B">
        <w:rPr>
          <w:sz w:val="20"/>
        </w:rPr>
        <w:t xml:space="preserve"> aren't compatible for data use with BlackBerry handsets on operating systems of 7.1 or earlier.</w:t>
      </w:r>
    </w:p>
    <w:p w14:paraId="7DE83BB1" w14:textId="77777777" w:rsidR="00BA172C" w:rsidRPr="00B7364B" w:rsidRDefault="00BA172C" w:rsidP="00BA172C">
      <w:pPr>
        <w:numPr>
          <w:ilvl w:val="5"/>
          <w:numId w:val="1"/>
        </w:numPr>
        <w:spacing w:after="200"/>
        <w:outlineLvl w:val="5"/>
        <w:rPr>
          <w:rFonts w:eastAsia="Times New Roman"/>
          <w:bCs/>
          <w:sz w:val="20"/>
          <w:szCs w:val="22"/>
        </w:rPr>
      </w:pPr>
      <w:r w:rsidRPr="00B7364B">
        <w:rPr>
          <w:rFonts w:eastAsia="Times New Roman"/>
          <w:bCs/>
          <w:snapToGrid w:val="0"/>
          <w:sz w:val="20"/>
          <w:szCs w:val="22"/>
        </w:rPr>
        <w:t>Minimum Term</w:t>
      </w:r>
    </w:p>
    <w:p w14:paraId="5146F0C8" w14:textId="77777777" w:rsidR="00BA172C" w:rsidRPr="00B7364B" w:rsidRDefault="00BA172C" w:rsidP="00BA172C">
      <w:pPr>
        <w:spacing w:after="200"/>
        <w:ind w:left="720"/>
        <w:rPr>
          <w:sz w:val="20"/>
        </w:rPr>
      </w:pPr>
      <w:r w:rsidRPr="00B7364B">
        <w:rPr>
          <w:sz w:val="20"/>
        </w:rPr>
        <w:t xml:space="preserve">These </w:t>
      </w:r>
      <w:r w:rsidRPr="00B7364B">
        <w:rPr>
          <w:i/>
          <w:sz w:val="20"/>
        </w:rPr>
        <w:t xml:space="preserve">plans </w:t>
      </w:r>
      <w:r w:rsidRPr="00B7364B">
        <w:rPr>
          <w:sz w:val="20"/>
        </w:rPr>
        <w:t xml:space="preserve">have a </w:t>
      </w:r>
      <w:r w:rsidRPr="00B7364B">
        <w:rPr>
          <w:i/>
          <w:sz w:val="20"/>
        </w:rPr>
        <w:t>fixed length agreement</w:t>
      </w:r>
      <w:r w:rsidRPr="00B7364B">
        <w:rPr>
          <w:sz w:val="20"/>
        </w:rPr>
        <w:t xml:space="preserve"> with a 24 month </w:t>
      </w:r>
      <w:r w:rsidRPr="00B7364B">
        <w:rPr>
          <w:i/>
          <w:sz w:val="20"/>
        </w:rPr>
        <w:t>minimum term</w:t>
      </w:r>
      <w:r w:rsidRPr="00B7364B">
        <w:rPr>
          <w:sz w:val="20"/>
        </w:rPr>
        <w:t>.</w:t>
      </w:r>
    </w:p>
    <w:p w14:paraId="29900FAF" w14:textId="77777777" w:rsidR="00BA172C" w:rsidRPr="00B7364B" w:rsidRDefault="00BA172C" w:rsidP="00BA172C">
      <w:pPr>
        <w:numPr>
          <w:ilvl w:val="5"/>
          <w:numId w:val="1"/>
        </w:numPr>
        <w:spacing w:after="200"/>
        <w:outlineLvl w:val="5"/>
        <w:rPr>
          <w:rFonts w:eastAsia="Times New Roman"/>
          <w:b/>
          <w:bCs/>
          <w:sz w:val="20"/>
          <w:szCs w:val="22"/>
        </w:rPr>
      </w:pPr>
      <w:r w:rsidRPr="00B7364B">
        <w:rPr>
          <w:rFonts w:eastAsia="Times New Roman"/>
          <w:bCs/>
          <w:sz w:val="20"/>
          <w:szCs w:val="22"/>
        </w:rPr>
        <w:t>What you have to pay us</w:t>
      </w:r>
    </w:p>
    <w:p w14:paraId="16B67D0D" w14:textId="77777777" w:rsidR="00BA172C" w:rsidRPr="00B7364B" w:rsidRDefault="00BA172C" w:rsidP="00BA172C">
      <w:pPr>
        <w:numPr>
          <w:ilvl w:val="6"/>
          <w:numId w:val="1"/>
        </w:numPr>
        <w:spacing w:after="200"/>
        <w:ind w:left="1440"/>
        <w:outlineLvl w:val="6"/>
        <w:rPr>
          <w:rFonts w:eastAsia="Times New Roman"/>
          <w:sz w:val="20"/>
        </w:rPr>
      </w:pPr>
      <w:r w:rsidRPr="00B7364B">
        <w:rPr>
          <w:rFonts w:eastAsia="Times New Roman"/>
          <w:i/>
          <w:sz w:val="20"/>
        </w:rPr>
        <w:lastRenderedPageBreak/>
        <w:t xml:space="preserve">You </w:t>
      </w:r>
      <w:r w:rsidRPr="00B7364B">
        <w:rPr>
          <w:rFonts w:eastAsia="Times New Roman"/>
          <w:sz w:val="20"/>
        </w:rPr>
        <w:t xml:space="preserve">must pay </w:t>
      </w:r>
      <w:r w:rsidRPr="00B7364B">
        <w:rPr>
          <w:rFonts w:eastAsia="Times New Roman"/>
          <w:i/>
          <w:sz w:val="20"/>
        </w:rPr>
        <w:t xml:space="preserve">us </w:t>
      </w:r>
      <w:r w:rsidRPr="00B7364B">
        <w:rPr>
          <w:rFonts w:eastAsia="Times New Roman"/>
          <w:sz w:val="20"/>
        </w:rPr>
        <w:t xml:space="preserve">for use of the </w:t>
      </w:r>
      <w:r w:rsidRPr="00B7364B">
        <w:rPr>
          <w:rFonts w:eastAsia="Times New Roman"/>
          <w:i/>
          <w:sz w:val="20"/>
        </w:rPr>
        <w:t xml:space="preserve">service </w:t>
      </w:r>
      <w:r w:rsidRPr="00B7364B">
        <w:rPr>
          <w:rFonts w:eastAsia="Times New Roman"/>
          <w:sz w:val="20"/>
        </w:rPr>
        <w:t xml:space="preserve">at the rates set out in Section 1 of this </w:t>
      </w:r>
      <w:r w:rsidRPr="00B7364B">
        <w:rPr>
          <w:rFonts w:eastAsia="Times New Roman"/>
          <w:i/>
          <w:sz w:val="20"/>
        </w:rPr>
        <w:t>standard pricing table</w:t>
      </w:r>
      <w:r w:rsidRPr="00B7364B">
        <w:rPr>
          <w:rFonts w:eastAsia="Times New Roman"/>
          <w:sz w:val="20"/>
        </w:rPr>
        <w:t xml:space="preserve"> and for value added service features at the rates set out in </w:t>
      </w:r>
      <w:hyperlink r:id="rId772" w:history="1">
        <w:r w:rsidRPr="00B7364B">
          <w:rPr>
            <w:rFonts w:eastAsia="Times New Roman"/>
            <w:i/>
            <w:color w:val="13607C"/>
            <w:sz w:val="18"/>
            <w:u w:val="single"/>
          </w:rPr>
          <w:t>Appendix Y Value Added Service Features</w:t>
        </w:r>
      </w:hyperlink>
      <w:r w:rsidRPr="00B7364B">
        <w:rPr>
          <w:rFonts w:eastAsia="Times New Roman"/>
          <w:sz w:val="20"/>
        </w:rPr>
        <w:t>.</w:t>
      </w:r>
    </w:p>
    <w:p w14:paraId="71E81258" w14:textId="77777777" w:rsidR="00BA172C" w:rsidRPr="00B7364B" w:rsidRDefault="00BA172C" w:rsidP="00BA172C">
      <w:pPr>
        <w:numPr>
          <w:ilvl w:val="6"/>
          <w:numId w:val="1"/>
        </w:numPr>
        <w:spacing w:after="200"/>
        <w:ind w:left="1440"/>
        <w:outlineLvl w:val="6"/>
        <w:rPr>
          <w:rFonts w:eastAsia="Times New Roman"/>
          <w:sz w:val="20"/>
        </w:rPr>
      </w:pPr>
      <w:r w:rsidRPr="00B7364B">
        <w:rPr>
          <w:rFonts w:eastAsia="Times New Roman"/>
          <w:sz w:val="20"/>
        </w:rPr>
        <w:t>If there is a flagfall for a particular call type, the charge for these calls is the flagfall amount plus the relevant rate for the call multiplied by the duration of the call.</w:t>
      </w:r>
    </w:p>
    <w:p w14:paraId="6F14A3C4" w14:textId="77777777" w:rsidR="00BA172C" w:rsidRPr="00B7364B" w:rsidRDefault="00BA172C" w:rsidP="00BA172C">
      <w:pPr>
        <w:numPr>
          <w:ilvl w:val="6"/>
          <w:numId w:val="1"/>
        </w:numPr>
        <w:spacing w:after="200"/>
        <w:ind w:left="1440"/>
        <w:outlineLvl w:val="6"/>
        <w:rPr>
          <w:rFonts w:eastAsia="Times New Roman"/>
          <w:b/>
          <w:sz w:val="20"/>
        </w:rPr>
      </w:pPr>
      <w:r w:rsidRPr="00B7364B">
        <w:rPr>
          <w:rFonts w:eastAsia="Times New Roman"/>
          <w:b/>
          <w:sz w:val="20"/>
        </w:rPr>
        <w:t xml:space="preserve">Minimum Monthly Charge </w:t>
      </w:r>
    </w:p>
    <w:p w14:paraId="05DB8254" w14:textId="77777777" w:rsidR="00BA172C" w:rsidRPr="00B7364B" w:rsidRDefault="00BA172C" w:rsidP="00BA172C">
      <w:pPr>
        <w:numPr>
          <w:ilvl w:val="7"/>
          <w:numId w:val="1"/>
        </w:numPr>
        <w:spacing w:after="200"/>
        <w:outlineLvl w:val="7"/>
        <w:rPr>
          <w:rFonts w:eastAsia="Times New Roman"/>
          <w:iCs/>
          <w:sz w:val="20"/>
        </w:rPr>
      </w:pPr>
      <w:r w:rsidRPr="00B7364B">
        <w:rPr>
          <w:rFonts w:eastAsia="Times New Roman"/>
          <w:iCs/>
          <w:sz w:val="20"/>
        </w:rPr>
        <w:t xml:space="preserve">Each Business Plan has a Minimum Monthly Charge amount that </w:t>
      </w:r>
      <w:r w:rsidRPr="00B7364B">
        <w:rPr>
          <w:rFonts w:eastAsia="Times New Roman"/>
          <w:i/>
          <w:iCs/>
          <w:sz w:val="20"/>
        </w:rPr>
        <w:t>you</w:t>
      </w:r>
      <w:r w:rsidRPr="00B7364B">
        <w:rPr>
          <w:rFonts w:eastAsia="Times New Roman"/>
          <w:iCs/>
          <w:sz w:val="20"/>
        </w:rPr>
        <w:t xml:space="preserve"> must pay </w:t>
      </w:r>
      <w:r w:rsidRPr="00B7364B">
        <w:rPr>
          <w:rFonts w:eastAsia="Times New Roman"/>
          <w:i/>
          <w:iCs/>
          <w:sz w:val="20"/>
        </w:rPr>
        <w:t>us</w:t>
      </w:r>
      <w:r w:rsidRPr="00B7364B">
        <w:rPr>
          <w:rFonts w:eastAsia="Times New Roman"/>
          <w:iCs/>
          <w:sz w:val="20"/>
        </w:rPr>
        <w:t xml:space="preserve"> each month as set out in Table 1 below.</w:t>
      </w:r>
    </w:p>
    <w:p w14:paraId="51238830" w14:textId="77777777" w:rsidR="00BA172C" w:rsidRPr="00B7364B" w:rsidRDefault="00BA172C" w:rsidP="00BA172C">
      <w:pPr>
        <w:numPr>
          <w:ilvl w:val="7"/>
          <w:numId w:val="1"/>
        </w:numPr>
        <w:spacing w:after="200"/>
        <w:outlineLvl w:val="7"/>
        <w:rPr>
          <w:rFonts w:eastAsia="Times New Roman"/>
          <w:iCs/>
          <w:sz w:val="20"/>
        </w:rPr>
      </w:pPr>
      <w:r w:rsidRPr="00B7364B">
        <w:rPr>
          <w:rFonts w:eastAsia="Times New Roman"/>
          <w:i/>
          <w:iCs/>
          <w:sz w:val="20"/>
        </w:rPr>
        <w:t>You</w:t>
      </w:r>
      <w:r w:rsidRPr="00B7364B">
        <w:rPr>
          <w:rFonts w:eastAsia="Times New Roman"/>
          <w:iCs/>
          <w:sz w:val="20"/>
        </w:rPr>
        <w:t xml:space="preserve"> may purchase a mobile phone (or 'handset') with a 24 month </w:t>
      </w:r>
      <w:r w:rsidRPr="00B7364B">
        <w:rPr>
          <w:rFonts w:eastAsia="Times New Roman"/>
          <w:i/>
          <w:iCs/>
          <w:sz w:val="20"/>
        </w:rPr>
        <w:t>equipment term</w:t>
      </w:r>
      <w:r w:rsidRPr="00B7364B">
        <w:rPr>
          <w:rFonts w:eastAsia="Times New Roman"/>
          <w:iCs/>
          <w:sz w:val="20"/>
        </w:rPr>
        <w:t xml:space="preserve"> under a </w:t>
      </w:r>
      <w:r w:rsidRPr="00B7364B">
        <w:rPr>
          <w:rFonts w:eastAsia="Times New Roman"/>
          <w:i/>
          <w:iCs/>
          <w:sz w:val="20"/>
        </w:rPr>
        <w:t>mobile equipment payment plan</w:t>
      </w:r>
      <w:r w:rsidRPr="00B7364B">
        <w:rPr>
          <w:rFonts w:eastAsia="Times New Roman"/>
          <w:iCs/>
          <w:sz w:val="20"/>
        </w:rPr>
        <w:t xml:space="preserve"> (set out in </w:t>
      </w:r>
      <w:hyperlink r:id="rId773" w:history="1">
        <w:r w:rsidRPr="00B7364B">
          <w:rPr>
            <w:rFonts w:eastAsia="Times New Roman"/>
            <w:i/>
            <w:iCs/>
            <w:color w:val="13607C"/>
            <w:sz w:val="18"/>
            <w:u w:val="single"/>
          </w:rPr>
          <w:t>Appendix D</w:t>
        </w:r>
      </w:hyperlink>
      <w:r w:rsidRPr="00B7364B">
        <w:rPr>
          <w:rFonts w:eastAsia="Times New Roman"/>
          <w:iCs/>
          <w:sz w:val="20"/>
        </w:rPr>
        <w:t xml:space="preserve">) on a 24 month </w:t>
      </w:r>
      <w:r w:rsidRPr="00B7364B">
        <w:rPr>
          <w:rFonts w:eastAsia="Times New Roman"/>
          <w:i/>
          <w:iCs/>
          <w:sz w:val="20"/>
        </w:rPr>
        <w:t>fixed-length agreement</w:t>
      </w:r>
      <w:r w:rsidRPr="00B7364B">
        <w:rPr>
          <w:rFonts w:eastAsia="Times New Roman"/>
          <w:iCs/>
          <w:sz w:val="20"/>
        </w:rPr>
        <w:t>.</w:t>
      </w:r>
    </w:p>
    <w:p w14:paraId="5B2C71B4" w14:textId="77777777" w:rsidR="00BA172C" w:rsidRPr="00B7364B" w:rsidRDefault="00BA172C" w:rsidP="00BA172C">
      <w:pPr>
        <w:numPr>
          <w:ilvl w:val="5"/>
          <w:numId w:val="1"/>
        </w:numPr>
        <w:spacing w:after="200"/>
        <w:outlineLvl w:val="5"/>
        <w:rPr>
          <w:rFonts w:eastAsia="Times New Roman"/>
          <w:bCs/>
          <w:snapToGrid w:val="0"/>
          <w:sz w:val="20"/>
          <w:szCs w:val="22"/>
        </w:rPr>
      </w:pPr>
      <w:r w:rsidRPr="00B7364B">
        <w:rPr>
          <w:rFonts w:eastAsia="Times New Roman"/>
          <w:bCs/>
          <w:snapToGrid w:val="0"/>
          <w:sz w:val="20"/>
          <w:szCs w:val="22"/>
        </w:rPr>
        <w:t>How My Plan Business works</w:t>
      </w:r>
    </w:p>
    <w:p w14:paraId="5312DF2E" w14:textId="77777777" w:rsidR="00BA172C" w:rsidRPr="00B7364B" w:rsidRDefault="00BA172C" w:rsidP="00BA172C">
      <w:pPr>
        <w:numPr>
          <w:ilvl w:val="6"/>
          <w:numId w:val="1"/>
        </w:numPr>
        <w:spacing w:after="200"/>
        <w:ind w:left="1440"/>
        <w:outlineLvl w:val="6"/>
        <w:rPr>
          <w:rFonts w:eastAsia="Times New Roman"/>
          <w:sz w:val="20"/>
        </w:rPr>
      </w:pPr>
      <w:r w:rsidRPr="00B7364B">
        <w:rPr>
          <w:rFonts w:eastAsia="Times New Roman"/>
          <w:sz w:val="20"/>
        </w:rPr>
        <w:t>Each Business Plan has unlimited minutes to use on standard national calls to landlines and mobiles, 13/1300 numbers and voicemail retrievals and an amount of Included Data (for mobile internet use) to share with other services on a My Plan Plus</w:t>
      </w:r>
      <w:r w:rsidRPr="00B7364B">
        <w:rPr>
          <w:rFonts w:eastAsia="Times New Roman"/>
          <w:sz w:val="20"/>
          <w:lang w:eastAsia="en-AU"/>
        </w:rPr>
        <w:t xml:space="preserve">, My Plan Plus SIM Only, My Plan Business (including Tech Fund), My Plan Business SIM, My Mobile Broadband Plus, Mobile Broadband Business or Shared Data Plan </w:t>
      </w:r>
      <w:r w:rsidRPr="00B7364B">
        <w:rPr>
          <w:rFonts w:eastAsia="Times New Roman"/>
          <w:sz w:val="20"/>
        </w:rPr>
        <w:t>on the same account.</w:t>
      </w:r>
    </w:p>
    <w:p w14:paraId="1608CAEB" w14:textId="77777777" w:rsidR="00BA172C" w:rsidRPr="00B7364B" w:rsidRDefault="00BA172C" w:rsidP="00BA172C">
      <w:pPr>
        <w:numPr>
          <w:ilvl w:val="6"/>
          <w:numId w:val="1"/>
        </w:numPr>
        <w:spacing w:after="200"/>
        <w:ind w:left="1440"/>
        <w:outlineLvl w:val="6"/>
        <w:rPr>
          <w:rFonts w:eastAsia="Times New Roman"/>
          <w:sz w:val="20"/>
        </w:rPr>
      </w:pPr>
      <w:r w:rsidRPr="00B7364B">
        <w:rPr>
          <w:rFonts w:eastAsia="Times New Roman"/>
          <w:sz w:val="20"/>
        </w:rPr>
        <w:t>These plans also include unlimited standard national SMS/MMS and unlimited standard International SMS/MMS to selected countries. The $45/$70/$90/$105/$</w:t>
      </w:r>
      <w:r>
        <w:rPr>
          <w:rFonts w:eastAsia="Times New Roman"/>
          <w:sz w:val="20"/>
        </w:rPr>
        <w:t>130</w:t>
      </w:r>
      <w:r w:rsidRPr="00B7364B">
        <w:rPr>
          <w:rFonts w:eastAsia="Times New Roman"/>
          <w:sz w:val="20"/>
        </w:rPr>
        <w:t xml:space="preserve"> plans have an amount of included international minutes to use on standard international calls to selected countries.</w:t>
      </w:r>
    </w:p>
    <w:p w14:paraId="6A5D5FBA" w14:textId="77777777" w:rsidR="00BA172C" w:rsidRPr="00B7364B" w:rsidRDefault="00BA172C" w:rsidP="00BA172C">
      <w:pPr>
        <w:numPr>
          <w:ilvl w:val="6"/>
          <w:numId w:val="1"/>
        </w:numPr>
        <w:spacing w:after="200"/>
        <w:ind w:left="1440"/>
        <w:outlineLvl w:val="6"/>
        <w:rPr>
          <w:rFonts w:eastAsia="Times New Roman"/>
          <w:sz w:val="20"/>
        </w:rPr>
      </w:pPr>
      <w:r w:rsidRPr="00B7364B">
        <w:rPr>
          <w:rFonts w:eastAsia="Times New Roman"/>
          <w:sz w:val="20"/>
        </w:rPr>
        <w:t>Data usage is calculated in one kilobyte increments. International minutes are billed in one minute increments.</w:t>
      </w:r>
    </w:p>
    <w:p w14:paraId="1B2E51EB" w14:textId="77777777" w:rsidR="00BA172C" w:rsidRPr="00B7364B" w:rsidRDefault="00BA172C" w:rsidP="00BA172C">
      <w:pPr>
        <w:numPr>
          <w:ilvl w:val="6"/>
          <w:numId w:val="1"/>
        </w:numPr>
        <w:spacing w:after="200"/>
        <w:ind w:left="1440"/>
        <w:outlineLvl w:val="6"/>
        <w:rPr>
          <w:rFonts w:eastAsia="Times New Roman"/>
          <w:sz w:val="20"/>
        </w:rPr>
      </w:pPr>
      <w:r w:rsidRPr="00B7364B">
        <w:rPr>
          <w:rFonts w:eastAsia="Times New Roman"/>
          <w:sz w:val="20"/>
        </w:rPr>
        <w:t xml:space="preserve">If </w:t>
      </w:r>
      <w:r w:rsidRPr="00B7364B">
        <w:rPr>
          <w:rFonts w:eastAsia="Times New Roman"/>
          <w:i/>
          <w:sz w:val="20"/>
        </w:rPr>
        <w:t xml:space="preserve">you </w:t>
      </w:r>
      <w:r w:rsidRPr="00B7364B">
        <w:rPr>
          <w:rFonts w:eastAsia="Times New Roman"/>
          <w:sz w:val="20"/>
        </w:rPr>
        <w:t>exceed your included shareable data you'll automatically be charged $10 for each additional 1GB of data ("</w:t>
      </w:r>
      <w:r w:rsidRPr="00B7364B">
        <w:rPr>
          <w:rFonts w:eastAsia="Times New Roman"/>
          <w:b/>
          <w:sz w:val="20"/>
        </w:rPr>
        <w:t>Additional Data</w:t>
      </w:r>
      <w:r w:rsidRPr="00B7364B">
        <w:rPr>
          <w:rFonts w:eastAsia="Times New Roman"/>
          <w:sz w:val="20"/>
        </w:rPr>
        <w:t>") up to 150GB of extra data per account each month. Your service/s may then be restricted or we may continue to charge you at these rates.</w:t>
      </w:r>
    </w:p>
    <w:p w14:paraId="5B0954B3" w14:textId="77777777" w:rsidR="00BA172C" w:rsidRPr="00B7364B" w:rsidRDefault="00BA172C" w:rsidP="00BA172C">
      <w:pPr>
        <w:numPr>
          <w:ilvl w:val="6"/>
          <w:numId w:val="1"/>
        </w:numPr>
        <w:spacing w:after="200"/>
        <w:ind w:left="1440"/>
        <w:outlineLvl w:val="6"/>
        <w:rPr>
          <w:rFonts w:eastAsia="Times New Roman"/>
          <w:sz w:val="20"/>
        </w:rPr>
      </w:pPr>
      <w:r w:rsidRPr="00B7364B">
        <w:rPr>
          <w:rFonts w:eastAsia="Times New Roman"/>
          <w:sz w:val="20"/>
        </w:rPr>
        <w:t xml:space="preserve">Any unused portion of </w:t>
      </w:r>
      <w:r w:rsidRPr="00B7364B">
        <w:rPr>
          <w:rFonts w:eastAsia="Times New Roman"/>
          <w:i/>
          <w:sz w:val="20"/>
        </w:rPr>
        <w:t>your</w:t>
      </w:r>
      <w:r w:rsidRPr="00B7364B">
        <w:rPr>
          <w:rFonts w:eastAsia="Times New Roman"/>
          <w:sz w:val="20"/>
        </w:rPr>
        <w:t xml:space="preserve"> </w:t>
      </w:r>
      <w:r w:rsidRPr="00B7364B">
        <w:rPr>
          <w:rFonts w:eastAsia="Times New Roman"/>
          <w:i/>
          <w:sz w:val="20"/>
        </w:rPr>
        <w:t>plan's</w:t>
      </w:r>
      <w:r w:rsidRPr="00B7364B">
        <w:rPr>
          <w:rFonts w:eastAsia="Times New Roman"/>
          <w:sz w:val="20"/>
        </w:rPr>
        <w:t xml:space="preserve"> Included or Additional Data or International Minutes expires at the end of each month and does not roll over into the next month. </w:t>
      </w:r>
    </w:p>
    <w:p w14:paraId="100336F0" w14:textId="77777777" w:rsidR="00BA172C" w:rsidRPr="00B7364B" w:rsidRDefault="00BA172C" w:rsidP="00BA172C">
      <w:pPr>
        <w:numPr>
          <w:ilvl w:val="6"/>
          <w:numId w:val="1"/>
        </w:numPr>
        <w:spacing w:after="200"/>
        <w:ind w:left="1440"/>
        <w:outlineLvl w:val="6"/>
        <w:rPr>
          <w:rFonts w:eastAsia="Times New Roman"/>
          <w:b/>
          <w:sz w:val="20"/>
        </w:rPr>
      </w:pPr>
      <w:r w:rsidRPr="00B7364B">
        <w:rPr>
          <w:rFonts w:eastAsia="Times New Roman"/>
          <w:i/>
          <w:sz w:val="20"/>
        </w:rPr>
        <w:t>You</w:t>
      </w:r>
      <w:r w:rsidRPr="00B7364B">
        <w:rPr>
          <w:rFonts w:eastAsia="Times New Roman"/>
          <w:sz w:val="20"/>
        </w:rPr>
        <w:t xml:space="preserve"> must pay </w:t>
      </w:r>
      <w:r w:rsidRPr="00B7364B">
        <w:rPr>
          <w:rFonts w:eastAsia="Times New Roman"/>
          <w:i/>
          <w:sz w:val="20"/>
        </w:rPr>
        <w:t>us</w:t>
      </w:r>
      <w:r w:rsidRPr="00B7364B">
        <w:rPr>
          <w:rFonts w:eastAsia="Times New Roman"/>
          <w:sz w:val="20"/>
        </w:rPr>
        <w:t xml:space="preserve"> for use of any services that are not included in </w:t>
      </w:r>
      <w:r w:rsidRPr="00B7364B">
        <w:rPr>
          <w:rFonts w:eastAsia="Times New Roman"/>
          <w:i/>
          <w:sz w:val="20"/>
        </w:rPr>
        <w:t>your</w:t>
      </w:r>
      <w:r w:rsidRPr="00B7364B">
        <w:rPr>
          <w:rFonts w:eastAsia="Times New Roman"/>
          <w:sz w:val="20"/>
        </w:rPr>
        <w:t xml:space="preserve"> plan's inclusions, examples of which are set out in Table 2 below.</w:t>
      </w:r>
    </w:p>
    <w:p w14:paraId="665F5BD8" w14:textId="77777777" w:rsidR="00BA172C" w:rsidRPr="00B7364B" w:rsidRDefault="00BA172C" w:rsidP="00BA172C">
      <w:pPr>
        <w:numPr>
          <w:ilvl w:val="5"/>
          <w:numId w:val="1"/>
        </w:numPr>
        <w:spacing w:after="200"/>
        <w:outlineLvl w:val="5"/>
        <w:rPr>
          <w:rFonts w:eastAsia="Times New Roman"/>
          <w:bCs/>
          <w:snapToGrid w:val="0"/>
          <w:sz w:val="20"/>
          <w:szCs w:val="22"/>
        </w:rPr>
      </w:pPr>
      <w:r w:rsidRPr="00B7364B">
        <w:rPr>
          <w:rFonts w:eastAsia="Times New Roman"/>
          <w:bCs/>
          <w:snapToGrid w:val="0"/>
          <w:sz w:val="20"/>
          <w:szCs w:val="22"/>
        </w:rPr>
        <w:t>Plan Changes</w:t>
      </w:r>
    </w:p>
    <w:p w14:paraId="73535252" w14:textId="77777777" w:rsidR="00BA172C" w:rsidRPr="00B7364B" w:rsidRDefault="00BA172C" w:rsidP="00BA172C">
      <w:pPr>
        <w:spacing w:after="200"/>
        <w:ind w:left="720"/>
        <w:rPr>
          <w:sz w:val="20"/>
        </w:rPr>
      </w:pPr>
      <w:r w:rsidRPr="00B7364B">
        <w:rPr>
          <w:sz w:val="20"/>
        </w:rPr>
        <w:t>You can change your plan during the minimum tern term provided you move to a plan with a higher monthly access fee. You cannot change your plan during the minimum term to a plan with the same or lower monthly access fee. If you change your plan during the minimum term a fee may apply and any handset repayments will remain the same.</w:t>
      </w:r>
    </w:p>
    <w:p w14:paraId="5E8A005C" w14:textId="77777777" w:rsidR="00BA172C" w:rsidRPr="00B7364B" w:rsidRDefault="00BA172C" w:rsidP="00BA172C">
      <w:pPr>
        <w:numPr>
          <w:ilvl w:val="5"/>
          <w:numId w:val="1"/>
        </w:numPr>
        <w:spacing w:after="200"/>
        <w:outlineLvl w:val="5"/>
        <w:rPr>
          <w:rFonts w:eastAsia="Times New Roman"/>
          <w:bCs/>
          <w:snapToGrid w:val="0"/>
          <w:sz w:val="20"/>
          <w:szCs w:val="22"/>
        </w:rPr>
      </w:pPr>
      <w:r w:rsidRPr="00B7364B">
        <w:rPr>
          <w:rFonts w:eastAsia="Times New Roman"/>
          <w:bCs/>
          <w:snapToGrid w:val="0"/>
          <w:sz w:val="20"/>
          <w:szCs w:val="22"/>
        </w:rPr>
        <w:t>New Phone Trade Up</w:t>
      </w:r>
    </w:p>
    <w:p w14:paraId="6F3CAAE7" w14:textId="77777777" w:rsidR="00BA172C" w:rsidRPr="00B7364B" w:rsidRDefault="00BA172C" w:rsidP="00BA172C">
      <w:pPr>
        <w:spacing w:after="200"/>
        <w:ind w:left="720"/>
        <w:rPr>
          <w:sz w:val="20"/>
        </w:rPr>
      </w:pPr>
      <w:r w:rsidRPr="00B7364B">
        <w:rPr>
          <w:sz w:val="20"/>
        </w:rPr>
        <w:t>The plans referred to in this section include the option of New Phone Trade Up, which can be exercised in two ways:</w:t>
      </w:r>
    </w:p>
    <w:p w14:paraId="057545D3" w14:textId="77777777" w:rsidR="00BA172C" w:rsidRPr="00B7364B" w:rsidRDefault="00BA172C" w:rsidP="00BA172C">
      <w:pPr>
        <w:numPr>
          <w:ilvl w:val="6"/>
          <w:numId w:val="1"/>
        </w:numPr>
        <w:spacing w:after="200"/>
        <w:ind w:left="1440"/>
        <w:outlineLvl w:val="6"/>
        <w:rPr>
          <w:rFonts w:eastAsia="Times New Roman"/>
          <w:sz w:val="20"/>
        </w:rPr>
      </w:pPr>
      <w:r w:rsidRPr="00B7364B">
        <w:rPr>
          <w:rFonts w:eastAsia="Times New Roman"/>
          <w:sz w:val="20"/>
        </w:rPr>
        <w:t>New Phone Trade Up for $99</w:t>
      </w:r>
    </w:p>
    <w:p w14:paraId="7F046453" w14:textId="77777777" w:rsidR="00BA172C" w:rsidRPr="00B7364B" w:rsidRDefault="00BA172C" w:rsidP="00BA172C">
      <w:pPr>
        <w:numPr>
          <w:ilvl w:val="7"/>
          <w:numId w:val="1"/>
        </w:numPr>
        <w:spacing w:after="200"/>
        <w:outlineLvl w:val="7"/>
        <w:rPr>
          <w:rFonts w:eastAsia="Times New Roman"/>
          <w:iCs/>
          <w:sz w:val="20"/>
        </w:rPr>
      </w:pPr>
      <w:r w:rsidRPr="00B7364B">
        <w:rPr>
          <w:rFonts w:eastAsia="Times New Roman"/>
          <w:iCs/>
          <w:sz w:val="20"/>
        </w:rPr>
        <w:t>After 12 months on one of these plans, you can pay a one fee of $99, return your original mobile phone to a Yes Optus store in good working order, purchase a new mobile phone on a new 24 month plan and sign documentation that will enable ownership of your original mobile phone to be transferred to a second hand dealer nominated by Optus.</w:t>
      </w:r>
    </w:p>
    <w:p w14:paraId="6689B897" w14:textId="77777777" w:rsidR="00BA172C" w:rsidRPr="00B7364B" w:rsidRDefault="00BA172C" w:rsidP="00BA172C">
      <w:pPr>
        <w:numPr>
          <w:ilvl w:val="7"/>
          <w:numId w:val="1"/>
        </w:numPr>
        <w:spacing w:after="200"/>
        <w:outlineLvl w:val="7"/>
        <w:rPr>
          <w:rFonts w:eastAsia="Times New Roman"/>
          <w:iCs/>
          <w:sz w:val="20"/>
        </w:rPr>
      </w:pPr>
      <w:r w:rsidRPr="00B7364B">
        <w:rPr>
          <w:rFonts w:eastAsia="Times New Roman"/>
          <w:iCs/>
          <w:sz w:val="20"/>
        </w:rPr>
        <w:t>A mobile phone is considered to be in good working order when :</w:t>
      </w:r>
    </w:p>
    <w:p w14:paraId="4C7B5D2F" w14:textId="77777777" w:rsidR="00BA172C" w:rsidRPr="00B7364B" w:rsidRDefault="00BA172C" w:rsidP="00BA172C">
      <w:pPr>
        <w:numPr>
          <w:ilvl w:val="8"/>
          <w:numId w:val="1"/>
        </w:numPr>
        <w:spacing w:after="200"/>
        <w:outlineLvl w:val="8"/>
        <w:rPr>
          <w:rFonts w:eastAsia="Times New Roman"/>
          <w:sz w:val="20"/>
          <w:szCs w:val="22"/>
        </w:rPr>
      </w:pPr>
      <w:r w:rsidRPr="00B7364B">
        <w:rPr>
          <w:rFonts w:eastAsia="Times New Roman"/>
          <w:sz w:val="20"/>
          <w:szCs w:val="22"/>
        </w:rPr>
        <w:t xml:space="preserve">it can power on and off, </w:t>
      </w:r>
    </w:p>
    <w:p w14:paraId="33B2B63B" w14:textId="77777777" w:rsidR="00BA172C" w:rsidRPr="00B7364B" w:rsidRDefault="00BA172C" w:rsidP="00BA172C">
      <w:pPr>
        <w:numPr>
          <w:ilvl w:val="8"/>
          <w:numId w:val="1"/>
        </w:numPr>
        <w:spacing w:after="200"/>
        <w:outlineLvl w:val="8"/>
        <w:rPr>
          <w:rFonts w:eastAsia="Times New Roman"/>
          <w:sz w:val="20"/>
          <w:szCs w:val="22"/>
        </w:rPr>
      </w:pPr>
      <w:r w:rsidRPr="00B7364B">
        <w:rPr>
          <w:rFonts w:eastAsia="Times New Roman"/>
          <w:sz w:val="20"/>
          <w:szCs w:val="22"/>
        </w:rPr>
        <w:lastRenderedPageBreak/>
        <w:t xml:space="preserve">it has a touchscreen that is fully functional and has no imperfections such as lines or marks, </w:t>
      </w:r>
    </w:p>
    <w:p w14:paraId="6A05CD52" w14:textId="77777777" w:rsidR="00BA172C" w:rsidRPr="00B7364B" w:rsidRDefault="00BA172C" w:rsidP="00BA172C">
      <w:pPr>
        <w:numPr>
          <w:ilvl w:val="8"/>
          <w:numId w:val="1"/>
        </w:numPr>
        <w:spacing w:after="200"/>
        <w:outlineLvl w:val="8"/>
        <w:rPr>
          <w:rFonts w:eastAsia="Times New Roman"/>
          <w:sz w:val="20"/>
          <w:szCs w:val="22"/>
        </w:rPr>
      </w:pPr>
      <w:r w:rsidRPr="00B7364B">
        <w:rPr>
          <w:rFonts w:eastAsia="Times New Roman"/>
          <w:sz w:val="20"/>
          <w:szCs w:val="22"/>
        </w:rPr>
        <w:t xml:space="preserve">it does not have any missing buttons or damage to other components such as charging ports, SIM tray, </w:t>
      </w:r>
    </w:p>
    <w:p w14:paraId="7BA2C576" w14:textId="77777777" w:rsidR="00BA172C" w:rsidRPr="00B7364B" w:rsidRDefault="00BA172C" w:rsidP="00BA172C">
      <w:pPr>
        <w:numPr>
          <w:ilvl w:val="8"/>
          <w:numId w:val="1"/>
        </w:numPr>
        <w:spacing w:after="200"/>
        <w:outlineLvl w:val="8"/>
        <w:rPr>
          <w:rFonts w:eastAsia="Times New Roman"/>
          <w:sz w:val="20"/>
          <w:szCs w:val="22"/>
        </w:rPr>
      </w:pPr>
      <w:r w:rsidRPr="00B7364B">
        <w:rPr>
          <w:rFonts w:eastAsia="Times New Roman"/>
          <w:sz w:val="20"/>
          <w:szCs w:val="22"/>
        </w:rPr>
        <w:t xml:space="preserve">the mobile phone (including the touchscreen) is not cracked and does not have any severe scratches (normal wear and tear such as light marks and scratches are okay); and </w:t>
      </w:r>
    </w:p>
    <w:p w14:paraId="2E7E37AE" w14:textId="77777777" w:rsidR="00BA172C" w:rsidRPr="00B7364B" w:rsidRDefault="00BA172C" w:rsidP="00BA172C">
      <w:pPr>
        <w:numPr>
          <w:ilvl w:val="8"/>
          <w:numId w:val="1"/>
        </w:numPr>
        <w:spacing w:after="200"/>
        <w:outlineLvl w:val="8"/>
        <w:rPr>
          <w:rFonts w:eastAsia="Times New Roman"/>
          <w:sz w:val="20"/>
          <w:szCs w:val="22"/>
        </w:rPr>
      </w:pPr>
      <w:r w:rsidRPr="00B7364B">
        <w:rPr>
          <w:rFonts w:eastAsia="Times New Roman"/>
          <w:sz w:val="20"/>
          <w:szCs w:val="22"/>
        </w:rPr>
        <w:t xml:space="preserve">any locking features are disabled. </w:t>
      </w:r>
    </w:p>
    <w:p w14:paraId="3B2AD2C5" w14:textId="77777777" w:rsidR="00BA172C" w:rsidRPr="00B7364B" w:rsidRDefault="00BA172C" w:rsidP="00BA172C">
      <w:pPr>
        <w:numPr>
          <w:ilvl w:val="7"/>
          <w:numId w:val="1"/>
        </w:numPr>
        <w:spacing w:after="200"/>
        <w:outlineLvl w:val="7"/>
        <w:rPr>
          <w:rFonts w:eastAsia="Times New Roman"/>
          <w:iCs/>
          <w:sz w:val="20"/>
        </w:rPr>
      </w:pPr>
      <w:r w:rsidRPr="00B7364B">
        <w:rPr>
          <w:rFonts w:eastAsia="Times New Roman"/>
          <w:iCs/>
          <w:sz w:val="20"/>
        </w:rPr>
        <w:t>The mobile phone you return in accordance with section 3.7(a) must be the mobile phone you purchased when you took up one of the plans referred to in this section.</w:t>
      </w:r>
    </w:p>
    <w:p w14:paraId="74E4B11F" w14:textId="77777777" w:rsidR="00BA172C" w:rsidRPr="00B7364B" w:rsidRDefault="00BA172C" w:rsidP="00BA172C">
      <w:pPr>
        <w:numPr>
          <w:ilvl w:val="7"/>
          <w:numId w:val="1"/>
        </w:numPr>
        <w:spacing w:after="200"/>
        <w:outlineLvl w:val="7"/>
        <w:rPr>
          <w:rFonts w:eastAsia="Times New Roman"/>
          <w:iCs/>
          <w:sz w:val="20"/>
        </w:rPr>
      </w:pPr>
      <w:r w:rsidRPr="00B7364B">
        <w:rPr>
          <w:rFonts w:eastAsia="Times New Roman"/>
          <w:iCs/>
          <w:sz w:val="20"/>
        </w:rPr>
        <w:t>When you seek to exercise this option and meet the relevant conditions, Optus agrees to waive any remaining mobile phone repayment charges on the mobile phone you are returning.</w:t>
      </w:r>
    </w:p>
    <w:p w14:paraId="046BDF23" w14:textId="77777777" w:rsidR="00BA172C" w:rsidRPr="00B7364B" w:rsidRDefault="00BA172C" w:rsidP="00BA172C">
      <w:pPr>
        <w:numPr>
          <w:ilvl w:val="7"/>
          <w:numId w:val="1"/>
        </w:numPr>
        <w:spacing w:after="200"/>
        <w:outlineLvl w:val="7"/>
        <w:rPr>
          <w:rFonts w:eastAsia="Times New Roman"/>
          <w:iCs/>
          <w:sz w:val="20"/>
        </w:rPr>
      </w:pPr>
      <w:r w:rsidRPr="00B7364B">
        <w:rPr>
          <w:rFonts w:eastAsia="Times New Roman"/>
          <w:iCs/>
          <w:sz w:val="20"/>
        </w:rPr>
        <w:t>By exercising this option, you acknowledge that the second hand device vendor will pay Optus a fee on your behalf for the mobile phone you return in part consideration of Optus waiving your remaining mobile phone repayments on the phone you are returning.</w:t>
      </w:r>
    </w:p>
    <w:p w14:paraId="395BF258" w14:textId="77777777" w:rsidR="00BA172C" w:rsidRPr="00B7364B" w:rsidRDefault="00BA172C" w:rsidP="00BA172C">
      <w:pPr>
        <w:numPr>
          <w:ilvl w:val="6"/>
          <w:numId w:val="1"/>
        </w:numPr>
        <w:spacing w:after="200"/>
        <w:ind w:left="1440"/>
        <w:outlineLvl w:val="6"/>
        <w:rPr>
          <w:rFonts w:eastAsia="Times New Roman"/>
          <w:sz w:val="20"/>
        </w:rPr>
      </w:pPr>
      <w:r w:rsidRPr="00B7364B">
        <w:rPr>
          <w:rFonts w:eastAsia="Times New Roman"/>
          <w:sz w:val="20"/>
        </w:rPr>
        <w:t>Keep existing mobile phone</w:t>
      </w:r>
    </w:p>
    <w:p w14:paraId="176CEF64" w14:textId="77777777" w:rsidR="00BA172C" w:rsidRPr="00B7364B" w:rsidRDefault="00BA172C" w:rsidP="00BA172C">
      <w:pPr>
        <w:spacing w:after="200"/>
        <w:ind w:left="1440"/>
        <w:rPr>
          <w:sz w:val="20"/>
        </w:rPr>
      </w:pPr>
      <w:r w:rsidRPr="00B7364B">
        <w:rPr>
          <w:sz w:val="20"/>
        </w:rPr>
        <w:t>Alternatively and instead of paying $99, if you wish to keep your original mobile handset, you can simply pay out the full remaining cost of your mobile handset, including any monthly handset credit that Optus was going to cover and purchase a new mobile phone on a new 24 month plan.</w:t>
      </w:r>
    </w:p>
    <w:p w14:paraId="49288580" w14:textId="77777777" w:rsidR="00BA172C" w:rsidRPr="00B7364B" w:rsidRDefault="00BA172C" w:rsidP="00BA172C">
      <w:pPr>
        <w:numPr>
          <w:ilvl w:val="5"/>
          <w:numId w:val="1"/>
        </w:numPr>
        <w:spacing w:after="200"/>
        <w:outlineLvl w:val="5"/>
        <w:rPr>
          <w:rFonts w:eastAsia="Times New Roman"/>
          <w:bCs/>
          <w:snapToGrid w:val="0"/>
          <w:sz w:val="20"/>
          <w:szCs w:val="22"/>
        </w:rPr>
      </w:pPr>
      <w:r w:rsidRPr="00B7364B">
        <w:rPr>
          <w:rFonts w:eastAsia="Times New Roman"/>
          <w:bCs/>
          <w:snapToGrid w:val="0"/>
          <w:sz w:val="20"/>
          <w:szCs w:val="22"/>
        </w:rPr>
        <w:t>Data Sharing</w:t>
      </w:r>
    </w:p>
    <w:p w14:paraId="329665DA" w14:textId="77777777" w:rsidR="00BA172C" w:rsidRPr="00B7364B" w:rsidRDefault="00BA172C" w:rsidP="00BA172C">
      <w:pPr>
        <w:numPr>
          <w:ilvl w:val="6"/>
          <w:numId w:val="1"/>
        </w:numPr>
        <w:spacing w:after="200"/>
        <w:ind w:left="1440"/>
        <w:outlineLvl w:val="6"/>
        <w:rPr>
          <w:rFonts w:eastAsia="Times New Roman"/>
          <w:snapToGrid w:val="0"/>
          <w:sz w:val="20"/>
        </w:rPr>
      </w:pPr>
      <w:r w:rsidRPr="00B7364B">
        <w:rPr>
          <w:rFonts w:eastAsia="Times New Roman"/>
          <w:snapToGrid w:val="0"/>
          <w:sz w:val="20"/>
        </w:rPr>
        <w:t xml:space="preserve">If </w:t>
      </w:r>
      <w:r w:rsidRPr="00B7364B">
        <w:rPr>
          <w:rFonts w:eastAsia="Times New Roman"/>
          <w:i/>
          <w:snapToGrid w:val="0"/>
          <w:sz w:val="20"/>
        </w:rPr>
        <w:t xml:space="preserve">you </w:t>
      </w:r>
      <w:r w:rsidRPr="00B7364B">
        <w:rPr>
          <w:rFonts w:eastAsia="Times New Roman"/>
          <w:sz w:val="20"/>
          <w:lang w:eastAsia="en-AU"/>
        </w:rPr>
        <w:t xml:space="preserve">have more than one Business Plan, </w:t>
      </w:r>
      <w:r w:rsidRPr="00B7364B">
        <w:rPr>
          <w:rFonts w:eastAsia="Times New Roman"/>
          <w:sz w:val="20"/>
        </w:rPr>
        <w:t>My Plan Plus</w:t>
      </w:r>
      <w:r w:rsidRPr="00B7364B">
        <w:rPr>
          <w:rFonts w:eastAsia="Times New Roman"/>
          <w:sz w:val="20"/>
          <w:lang w:eastAsia="en-AU"/>
        </w:rPr>
        <w:t>, My Plan Plus SIM Only, My Plan Business (including Tech Fund), My Plan Business SIM, My Mobile Broadband Plus or Mobile Broadband Business on the same billing account, the included data will combine into one data pool, which will be shared by all eligible services on that account.</w:t>
      </w:r>
    </w:p>
    <w:p w14:paraId="4ECE3AAE" w14:textId="77777777" w:rsidR="00BA172C" w:rsidRPr="00B7364B" w:rsidRDefault="00BA172C" w:rsidP="00BA172C">
      <w:pPr>
        <w:numPr>
          <w:ilvl w:val="6"/>
          <w:numId w:val="1"/>
        </w:numPr>
        <w:spacing w:after="200"/>
        <w:ind w:left="1440"/>
        <w:outlineLvl w:val="6"/>
        <w:rPr>
          <w:rFonts w:eastAsia="Times New Roman"/>
          <w:snapToGrid w:val="0"/>
          <w:sz w:val="20"/>
        </w:rPr>
      </w:pPr>
      <w:r w:rsidRPr="00B7364B">
        <w:rPr>
          <w:rFonts w:eastAsia="Times New Roman"/>
          <w:snapToGrid w:val="0"/>
          <w:sz w:val="20"/>
        </w:rPr>
        <w:t xml:space="preserve">If </w:t>
      </w:r>
      <w:r w:rsidRPr="00B7364B">
        <w:rPr>
          <w:rFonts w:eastAsia="Times New Roman"/>
          <w:i/>
          <w:snapToGrid w:val="0"/>
          <w:sz w:val="20"/>
        </w:rPr>
        <w:t>you</w:t>
      </w:r>
      <w:r w:rsidRPr="00B7364B">
        <w:rPr>
          <w:rFonts w:eastAsia="Times New Roman"/>
          <w:snapToGrid w:val="0"/>
          <w:sz w:val="20"/>
        </w:rPr>
        <w:t xml:space="preserve"> do not want </w:t>
      </w:r>
      <w:r w:rsidRPr="00B7364B">
        <w:rPr>
          <w:rFonts w:eastAsia="Times New Roman"/>
          <w:i/>
          <w:snapToGrid w:val="0"/>
          <w:sz w:val="20"/>
        </w:rPr>
        <w:t>your</w:t>
      </w:r>
      <w:r w:rsidRPr="00B7364B">
        <w:rPr>
          <w:rFonts w:eastAsia="Times New Roman"/>
          <w:snapToGrid w:val="0"/>
          <w:sz w:val="20"/>
        </w:rPr>
        <w:t xml:space="preserve"> services on any</w:t>
      </w:r>
      <w:r w:rsidRPr="00B7364B">
        <w:rPr>
          <w:rFonts w:eastAsia="Times New Roman"/>
          <w:sz w:val="20"/>
        </w:rPr>
        <w:t xml:space="preserve"> Business Plan, My Plan Plus</w:t>
      </w:r>
      <w:r w:rsidRPr="00B7364B">
        <w:rPr>
          <w:rFonts w:eastAsia="Times New Roman"/>
          <w:sz w:val="20"/>
          <w:lang w:eastAsia="en-AU"/>
        </w:rPr>
        <w:t>, My Plan Plus SIM Only, My Plan Business (including Tech Fund), My Plan Business SIM, My Mobile Broadband Plus or Mobile Broadband Business plans</w:t>
      </w:r>
      <w:r w:rsidRPr="00B7364B">
        <w:rPr>
          <w:rFonts w:eastAsia="Times New Roman"/>
          <w:snapToGrid w:val="0"/>
          <w:sz w:val="20"/>
        </w:rPr>
        <w:t xml:space="preserve"> to share data, they need to be on separate billing accounts. .</w:t>
      </w:r>
    </w:p>
    <w:p w14:paraId="58AE00EC" w14:textId="77777777" w:rsidR="00BA172C" w:rsidRPr="00B7364B" w:rsidRDefault="00BA172C" w:rsidP="00BA172C">
      <w:pPr>
        <w:numPr>
          <w:ilvl w:val="6"/>
          <w:numId w:val="1"/>
        </w:numPr>
        <w:spacing w:after="200"/>
        <w:ind w:left="1440"/>
        <w:outlineLvl w:val="6"/>
        <w:rPr>
          <w:rFonts w:eastAsia="Times New Roman"/>
          <w:snapToGrid w:val="0"/>
          <w:sz w:val="20"/>
        </w:rPr>
      </w:pPr>
      <w:r w:rsidRPr="00B7364B">
        <w:rPr>
          <w:rFonts w:eastAsia="Times New Roman"/>
          <w:snapToGrid w:val="0"/>
          <w:sz w:val="20"/>
        </w:rPr>
        <w:t>Data sharing is only available within Australia.</w:t>
      </w:r>
    </w:p>
    <w:p w14:paraId="2666442A" w14:textId="77777777" w:rsidR="00BA172C" w:rsidRPr="00B7364B" w:rsidRDefault="00BA172C" w:rsidP="00BA172C">
      <w:pPr>
        <w:numPr>
          <w:ilvl w:val="5"/>
          <w:numId w:val="1"/>
        </w:numPr>
        <w:spacing w:after="200"/>
        <w:outlineLvl w:val="5"/>
        <w:rPr>
          <w:rFonts w:eastAsia="Times New Roman"/>
          <w:bCs/>
          <w:snapToGrid w:val="0"/>
          <w:sz w:val="20"/>
          <w:szCs w:val="22"/>
        </w:rPr>
      </w:pPr>
      <w:r w:rsidRPr="00B7364B">
        <w:rPr>
          <w:rFonts w:eastAsia="Times New Roman"/>
          <w:bCs/>
          <w:snapToGrid w:val="0"/>
          <w:sz w:val="20"/>
          <w:szCs w:val="22"/>
        </w:rPr>
        <w:t>International Minutes</w:t>
      </w:r>
    </w:p>
    <w:p w14:paraId="3C51BE59" w14:textId="77777777" w:rsidR="00BA172C" w:rsidRPr="00801DBA" w:rsidRDefault="00BA172C" w:rsidP="00BA172C">
      <w:pPr>
        <w:spacing w:after="200"/>
        <w:ind w:left="720"/>
        <w:rPr>
          <w:sz w:val="20"/>
          <w:szCs w:val="20"/>
        </w:rPr>
      </w:pPr>
      <w:r w:rsidRPr="00801DBA">
        <w:rPr>
          <w:sz w:val="20"/>
          <w:szCs w:val="20"/>
        </w:rPr>
        <w:t>The $70/$90/$105/$</w:t>
      </w:r>
      <w:r>
        <w:rPr>
          <w:sz w:val="20"/>
          <w:szCs w:val="20"/>
        </w:rPr>
        <w:t>130</w:t>
      </w:r>
      <w:r w:rsidRPr="00801DBA">
        <w:rPr>
          <w:sz w:val="20"/>
          <w:szCs w:val="20"/>
        </w:rPr>
        <w:t xml:space="preserve"> Business </w:t>
      </w:r>
      <w:r>
        <w:rPr>
          <w:sz w:val="20"/>
          <w:szCs w:val="20"/>
        </w:rPr>
        <w:t xml:space="preserve">Plans </w:t>
      </w:r>
      <w:r w:rsidRPr="00801DBA">
        <w:rPr>
          <w:sz w:val="20"/>
          <w:szCs w:val="20"/>
        </w:rPr>
        <w:t>includes unlimited international minutes for standard calls to mobiles and fixed lines in selected countries. For a list of selected countries see Table 3 below.</w:t>
      </w:r>
    </w:p>
    <w:p w14:paraId="270033ED" w14:textId="77777777" w:rsidR="00BA172C" w:rsidRPr="00801DBA" w:rsidRDefault="00BA172C" w:rsidP="00BA172C">
      <w:pPr>
        <w:spacing w:after="200"/>
        <w:ind w:left="720"/>
        <w:rPr>
          <w:sz w:val="20"/>
          <w:szCs w:val="20"/>
        </w:rPr>
      </w:pPr>
      <w:r w:rsidRPr="00801DBA">
        <w:rPr>
          <w:sz w:val="20"/>
          <w:szCs w:val="20"/>
        </w:rPr>
        <w:t xml:space="preserve">Calls are charged per minute. When included minutes for calls to selected countries are used up, standard 'yes' international call charges apply. </w:t>
      </w:r>
    </w:p>
    <w:p w14:paraId="4DD4CB89" w14:textId="77777777" w:rsidR="00BA172C" w:rsidRPr="00801DBA" w:rsidRDefault="00BA172C" w:rsidP="00BA172C">
      <w:pPr>
        <w:numPr>
          <w:ilvl w:val="5"/>
          <w:numId w:val="1"/>
        </w:numPr>
        <w:spacing w:after="200"/>
        <w:outlineLvl w:val="5"/>
        <w:rPr>
          <w:rFonts w:eastAsia="Times New Roman"/>
          <w:bCs/>
          <w:snapToGrid w:val="0"/>
          <w:sz w:val="20"/>
          <w:szCs w:val="20"/>
        </w:rPr>
      </w:pPr>
      <w:r w:rsidRPr="00801DBA">
        <w:rPr>
          <w:rFonts w:eastAsia="Times New Roman"/>
          <w:bCs/>
          <w:snapToGrid w:val="0"/>
          <w:sz w:val="20"/>
          <w:szCs w:val="20"/>
        </w:rPr>
        <w:t>Unlimited standard national SMS and MMS</w:t>
      </w:r>
    </w:p>
    <w:p w14:paraId="779128B3" w14:textId="77777777" w:rsidR="00BA172C" w:rsidRPr="00801DBA" w:rsidRDefault="00BA172C" w:rsidP="00BA172C">
      <w:pPr>
        <w:spacing w:after="200"/>
        <w:ind w:left="720"/>
        <w:rPr>
          <w:sz w:val="20"/>
          <w:szCs w:val="20"/>
        </w:rPr>
      </w:pPr>
      <w:r w:rsidRPr="00801DBA">
        <w:rPr>
          <w:i/>
          <w:sz w:val="20"/>
          <w:szCs w:val="20"/>
        </w:rPr>
        <w:t>You</w:t>
      </w:r>
      <w:r w:rsidRPr="00801DBA">
        <w:rPr>
          <w:sz w:val="20"/>
          <w:szCs w:val="20"/>
        </w:rPr>
        <w:t xml:space="preserve"> may send unlimited standard SMS and MMS to Australian mobiles from within Australia.</w:t>
      </w:r>
    </w:p>
    <w:p w14:paraId="16D34461" w14:textId="77777777" w:rsidR="00BA172C" w:rsidRPr="00801DBA" w:rsidRDefault="00BA172C" w:rsidP="00BA172C">
      <w:pPr>
        <w:spacing w:after="200"/>
        <w:ind w:left="720"/>
        <w:rPr>
          <w:i/>
          <w:color w:val="13607C"/>
          <w:sz w:val="20"/>
          <w:szCs w:val="20"/>
          <w:u w:val="single"/>
        </w:rPr>
      </w:pPr>
      <w:r w:rsidRPr="00801DBA">
        <w:rPr>
          <w:sz w:val="20"/>
          <w:szCs w:val="20"/>
        </w:rPr>
        <w:t xml:space="preserve">Unlimited standard national SMS and MMS are only available for personal and ordinary business use and are not to be used for a commercial or non-ordinary purpose as set out in the </w:t>
      </w:r>
      <w:hyperlink r:id="rId774" w:history="1">
        <w:r w:rsidRPr="00801DBA">
          <w:rPr>
            <w:rFonts w:cs="Arial"/>
            <w:i/>
            <w:color w:val="13607C"/>
            <w:sz w:val="20"/>
            <w:szCs w:val="20"/>
            <w:u w:val="single"/>
          </w:rPr>
          <w:t>Fair Go Policy</w:t>
        </w:r>
      </w:hyperlink>
      <w:r w:rsidRPr="00801DBA">
        <w:rPr>
          <w:sz w:val="20"/>
          <w:szCs w:val="20"/>
        </w:rPr>
        <w:t xml:space="preserve">. For further details refer to </w:t>
      </w:r>
      <w:hyperlink r:id="rId775" w:history="1">
        <w:r w:rsidRPr="00801DBA">
          <w:rPr>
            <w:i/>
            <w:color w:val="13607C"/>
            <w:sz w:val="20"/>
            <w:szCs w:val="20"/>
            <w:u w:val="single"/>
          </w:rPr>
          <w:t>Appendix S</w:t>
        </w:r>
      </w:hyperlink>
      <w:r w:rsidRPr="00801DBA">
        <w:rPr>
          <w:i/>
          <w:sz w:val="20"/>
          <w:szCs w:val="20"/>
        </w:rPr>
        <w:t>.</w:t>
      </w:r>
    </w:p>
    <w:p w14:paraId="41F2FFB3" w14:textId="77777777" w:rsidR="00BA172C" w:rsidRPr="00801DBA" w:rsidRDefault="00BA172C" w:rsidP="00BA172C">
      <w:pPr>
        <w:numPr>
          <w:ilvl w:val="5"/>
          <w:numId w:val="1"/>
        </w:numPr>
        <w:spacing w:after="200"/>
        <w:outlineLvl w:val="5"/>
        <w:rPr>
          <w:rFonts w:eastAsia="Times New Roman"/>
          <w:bCs/>
          <w:snapToGrid w:val="0"/>
          <w:sz w:val="20"/>
          <w:szCs w:val="20"/>
        </w:rPr>
      </w:pPr>
      <w:r w:rsidRPr="00801DBA">
        <w:rPr>
          <w:rFonts w:eastAsia="Times New Roman"/>
          <w:bCs/>
          <w:snapToGrid w:val="0"/>
          <w:sz w:val="20"/>
          <w:szCs w:val="20"/>
        </w:rPr>
        <w:t>Unlimited standard international SMS and MMS</w:t>
      </w:r>
    </w:p>
    <w:p w14:paraId="2248544A" w14:textId="77777777" w:rsidR="00BA172C" w:rsidRPr="00801DBA" w:rsidRDefault="00BA172C" w:rsidP="00BA172C">
      <w:pPr>
        <w:spacing w:after="200"/>
        <w:ind w:left="720"/>
        <w:rPr>
          <w:sz w:val="20"/>
          <w:szCs w:val="20"/>
        </w:rPr>
      </w:pPr>
      <w:r w:rsidRPr="00801DBA">
        <w:rPr>
          <w:i/>
          <w:sz w:val="20"/>
          <w:szCs w:val="20"/>
        </w:rPr>
        <w:t>You</w:t>
      </w:r>
      <w:r w:rsidRPr="00801DBA">
        <w:rPr>
          <w:sz w:val="20"/>
          <w:szCs w:val="20"/>
        </w:rPr>
        <w:t xml:space="preserve"> may send unlimited standard SMS and MMS to selected countries as set out in Table 3 below.</w:t>
      </w:r>
    </w:p>
    <w:p w14:paraId="4BD661B1" w14:textId="77777777" w:rsidR="00BA172C" w:rsidRPr="00B7364B" w:rsidRDefault="00BA172C" w:rsidP="00BA172C">
      <w:pPr>
        <w:spacing w:after="200"/>
        <w:ind w:left="720"/>
        <w:rPr>
          <w:i/>
          <w:sz w:val="20"/>
        </w:rPr>
      </w:pPr>
      <w:r w:rsidRPr="00801DBA">
        <w:rPr>
          <w:sz w:val="20"/>
          <w:szCs w:val="20"/>
        </w:rPr>
        <w:lastRenderedPageBreak/>
        <w:t xml:space="preserve">Unlimited standard SMS and MMS are only available for personal and ordinary business use and are not to be used for a commercial or non-ordinary purpose as set out in the Fair Go Policy. For further details refer to </w:t>
      </w:r>
      <w:hyperlink r:id="rId776" w:history="1">
        <w:r w:rsidRPr="00801DBA">
          <w:rPr>
            <w:i/>
            <w:color w:val="13607C"/>
            <w:sz w:val="20"/>
            <w:szCs w:val="20"/>
            <w:u w:val="single"/>
          </w:rPr>
          <w:t>Appendix S</w:t>
        </w:r>
      </w:hyperlink>
      <w:r w:rsidRPr="00801DBA">
        <w:rPr>
          <w:i/>
          <w:sz w:val="20"/>
          <w:szCs w:val="20"/>
        </w:rPr>
        <w:t>.</w:t>
      </w:r>
    </w:p>
    <w:p w14:paraId="7A6E8FB9" w14:textId="77777777" w:rsidR="00BA172C" w:rsidRPr="007F5B4A" w:rsidRDefault="00BA172C" w:rsidP="00BA172C">
      <w:pPr>
        <w:pStyle w:val="Heading6"/>
        <w:ind w:left="0" w:firstLine="0"/>
        <w:rPr>
          <w:lang w:val="en-AU"/>
        </w:rPr>
      </w:pPr>
      <w:bookmarkStart w:id="1774" w:name="_Toc484513731"/>
      <w:bookmarkStart w:id="1775" w:name="_Toc509314763"/>
      <w:r w:rsidRPr="007F5B4A">
        <w:rPr>
          <w:lang w:val="en-AU"/>
        </w:rPr>
        <w:t>International Roaming</w:t>
      </w:r>
      <w:bookmarkEnd w:id="1774"/>
      <w:bookmarkEnd w:id="1775"/>
      <w:r w:rsidRPr="007F5B4A">
        <w:rPr>
          <w:lang w:val="en-AU"/>
        </w:rPr>
        <w:t xml:space="preserve"> </w:t>
      </w:r>
    </w:p>
    <w:p w14:paraId="7E8CB6E5" w14:textId="77777777" w:rsidR="00BA172C" w:rsidRPr="006A16BA" w:rsidRDefault="00BA172C" w:rsidP="00BA172C">
      <w:pPr>
        <w:pStyle w:val="ListParagraph"/>
        <w:ind w:left="709"/>
        <w:rPr>
          <w:rFonts w:ascii="Arial" w:hAnsi="Arial" w:cs="Arial"/>
        </w:rPr>
      </w:pPr>
      <w:r w:rsidRPr="006A16BA">
        <w:rPr>
          <w:rFonts w:ascii="Arial" w:hAnsi="Arial" w:cs="Arial"/>
        </w:rPr>
        <w:t xml:space="preserve">The $105 and </w:t>
      </w:r>
      <w:r>
        <w:rPr>
          <w:rFonts w:ascii="Arial" w:hAnsi="Arial" w:cs="Arial"/>
        </w:rPr>
        <w:t>$130</w:t>
      </w:r>
      <w:r w:rsidRPr="006A16BA">
        <w:rPr>
          <w:rFonts w:ascii="Arial" w:hAnsi="Arial" w:cs="Arial"/>
        </w:rPr>
        <w:t xml:space="preserve"> Business </w:t>
      </w:r>
      <w:r>
        <w:rPr>
          <w:rFonts w:ascii="Arial" w:hAnsi="Arial" w:cs="Arial"/>
        </w:rPr>
        <w:t>P</w:t>
      </w:r>
      <w:r w:rsidRPr="006A16BA">
        <w:rPr>
          <w:rFonts w:ascii="Arial" w:hAnsi="Arial" w:cs="Arial"/>
        </w:rPr>
        <w:t>lans will receive unlimited standard national and international voice, SMS (MMS is excluded) plus 1GB/1.5GB of data (respectively) to use in Zone 1 countries within each billing month. If you are not in a Zone 1 country you will be charged at standard roaming rates for that country.</w:t>
      </w:r>
    </w:p>
    <w:p w14:paraId="775177C8" w14:textId="77777777" w:rsidR="00BA172C" w:rsidRPr="00CF4A96" w:rsidRDefault="00BA172C" w:rsidP="00BA172C">
      <w:pPr>
        <w:ind w:left="709"/>
        <w:rPr>
          <w:rFonts w:eastAsia="Times New Roman" w:cs="Arial"/>
          <w:sz w:val="20"/>
          <w:szCs w:val="20"/>
        </w:rPr>
      </w:pPr>
    </w:p>
    <w:p w14:paraId="0B6D38F5" w14:textId="77777777" w:rsidR="00BA172C" w:rsidRPr="00EF4B13" w:rsidRDefault="00BA172C" w:rsidP="00BA172C">
      <w:pPr>
        <w:pStyle w:val="BodyText"/>
        <w:ind w:left="709"/>
        <w:rPr>
          <w:rFonts w:cs="Arial"/>
          <w:szCs w:val="20"/>
        </w:rPr>
      </w:pPr>
      <w:r w:rsidRPr="00CF4A96">
        <w:rPr>
          <w:rFonts w:eastAsia="Times New Roman" w:cs="Arial"/>
          <w:szCs w:val="20"/>
        </w:rPr>
        <w:t>If you exceed the data limit, standard data roaming charges will apply. Any data provided is not shareable and will not form part of any Data Pool. Any unused data will be forfeited and cannot be rolled over to the next billing month.</w:t>
      </w:r>
      <w:r w:rsidRPr="00CF4A96">
        <w:rPr>
          <w:rFonts w:eastAsia="Times New Roman" w:cs="Arial"/>
          <w:snapToGrid w:val="0"/>
          <w:szCs w:val="20"/>
        </w:rPr>
        <w:t xml:space="preserve"> For list of countries see optus.com.au/biztravel</w:t>
      </w:r>
    </w:p>
    <w:p w14:paraId="782EC7DF" w14:textId="77777777" w:rsidR="00BA172C" w:rsidRPr="00B7364B" w:rsidRDefault="00BA172C" w:rsidP="00BA172C">
      <w:pPr>
        <w:numPr>
          <w:ilvl w:val="5"/>
          <w:numId w:val="1"/>
        </w:numPr>
        <w:spacing w:after="200"/>
        <w:outlineLvl w:val="5"/>
        <w:rPr>
          <w:rFonts w:eastAsia="Times New Roman" w:cs="Arial"/>
          <w:snapToGrid w:val="0"/>
          <w:sz w:val="20"/>
          <w:szCs w:val="20"/>
          <w:lang w:val="en-AU"/>
        </w:rPr>
      </w:pPr>
      <w:r w:rsidRPr="00B7364B">
        <w:rPr>
          <w:rFonts w:eastAsia="Times New Roman" w:cs="Arial"/>
          <w:snapToGrid w:val="0"/>
          <w:sz w:val="20"/>
          <w:szCs w:val="20"/>
          <w:lang w:val="en-AU"/>
        </w:rPr>
        <w:t>Optus Travel</w:t>
      </w:r>
      <w:r w:rsidRPr="00B7364B">
        <w:rPr>
          <w:rFonts w:eastAsia="Times New Roman" w:cs="Arial"/>
          <w:snapToGrid w:val="0"/>
          <w:sz w:val="20"/>
          <w:szCs w:val="20"/>
          <w:vertAlign w:val="superscript"/>
          <w:lang w:val="en-AU"/>
        </w:rPr>
        <w:t xml:space="preserve">TM </w:t>
      </w:r>
      <w:r w:rsidRPr="00B7364B">
        <w:rPr>
          <w:rFonts w:eastAsia="Times New Roman" w:cs="Arial"/>
          <w:snapToGrid w:val="0"/>
          <w:sz w:val="20"/>
          <w:szCs w:val="20"/>
          <w:lang w:val="en-AU"/>
        </w:rPr>
        <w:t xml:space="preserve">Pack </w:t>
      </w:r>
    </w:p>
    <w:p w14:paraId="35B6B10C" w14:textId="77777777" w:rsidR="00BA172C" w:rsidRPr="00B7364B" w:rsidRDefault="00BA172C" w:rsidP="00BA172C">
      <w:pPr>
        <w:ind w:left="709"/>
        <w:rPr>
          <w:rFonts w:cs="Arial"/>
          <w:snapToGrid w:val="0"/>
          <w:sz w:val="20"/>
          <w:szCs w:val="20"/>
        </w:rPr>
      </w:pPr>
      <w:r w:rsidRPr="00621C68">
        <w:rPr>
          <w:rFonts w:cs="Arial"/>
          <w:i/>
          <w:snapToGrid w:val="0"/>
          <w:sz w:val="20"/>
          <w:szCs w:val="20"/>
        </w:rPr>
        <w:t xml:space="preserve">The $45/$70/$90 Business </w:t>
      </w:r>
      <w:r>
        <w:rPr>
          <w:rFonts w:cs="Arial"/>
          <w:i/>
          <w:snapToGrid w:val="0"/>
          <w:sz w:val="20"/>
          <w:szCs w:val="20"/>
        </w:rPr>
        <w:t>P</w:t>
      </w:r>
      <w:r w:rsidRPr="00621C68">
        <w:rPr>
          <w:rFonts w:cs="Arial"/>
          <w:i/>
          <w:snapToGrid w:val="0"/>
          <w:sz w:val="20"/>
          <w:szCs w:val="20"/>
        </w:rPr>
        <w:t>lans can take up the Optus Travel</w:t>
      </w:r>
      <w:r w:rsidRPr="00621C68">
        <w:rPr>
          <w:rFonts w:cs="Arial"/>
          <w:i/>
          <w:snapToGrid w:val="0"/>
          <w:sz w:val="20"/>
          <w:szCs w:val="20"/>
          <w:vertAlign w:val="superscript"/>
        </w:rPr>
        <w:t>TM</w:t>
      </w:r>
      <w:r w:rsidRPr="00621C68">
        <w:rPr>
          <w:rFonts w:cs="Arial"/>
          <w:snapToGrid w:val="0"/>
          <w:sz w:val="20"/>
          <w:szCs w:val="20"/>
        </w:rPr>
        <w:t xml:space="preserve"> </w:t>
      </w:r>
      <w:r w:rsidRPr="00621C68">
        <w:rPr>
          <w:rFonts w:cs="Arial"/>
          <w:i/>
          <w:snapToGrid w:val="0"/>
          <w:sz w:val="20"/>
          <w:szCs w:val="20"/>
        </w:rPr>
        <w:t>Pack for $5 per day</w:t>
      </w:r>
      <w:r>
        <w:rPr>
          <w:rFonts w:cs="Arial"/>
          <w:i/>
          <w:snapToGrid w:val="0"/>
          <w:sz w:val="20"/>
          <w:szCs w:val="20"/>
        </w:rPr>
        <w:t>.</w:t>
      </w:r>
      <w:r w:rsidRPr="00621C68">
        <w:rPr>
          <w:rFonts w:cs="Arial"/>
          <w:i/>
          <w:snapToGrid w:val="0"/>
          <w:sz w:val="20"/>
          <w:szCs w:val="20"/>
        </w:rPr>
        <w:t xml:space="preserve"> </w:t>
      </w:r>
      <w:r w:rsidRPr="00B7364B">
        <w:rPr>
          <w:rFonts w:cs="Arial"/>
          <w:i/>
          <w:snapToGrid w:val="0"/>
          <w:sz w:val="20"/>
          <w:szCs w:val="20"/>
        </w:rPr>
        <w:t>You</w:t>
      </w:r>
      <w:r w:rsidRPr="00B7364B">
        <w:rPr>
          <w:rFonts w:cs="Arial"/>
          <w:snapToGrid w:val="0"/>
          <w:sz w:val="20"/>
          <w:szCs w:val="20"/>
        </w:rPr>
        <w:t xml:space="preserve"> need to ensure your Optus Travel</w:t>
      </w:r>
      <w:r w:rsidRPr="00B7364B">
        <w:rPr>
          <w:rFonts w:cs="Arial"/>
          <w:snapToGrid w:val="0"/>
          <w:sz w:val="20"/>
          <w:szCs w:val="20"/>
          <w:vertAlign w:val="superscript"/>
        </w:rPr>
        <w:t>TM</w:t>
      </w:r>
      <w:r w:rsidRPr="00B7364B">
        <w:rPr>
          <w:rFonts w:cs="Arial"/>
          <w:snapToGrid w:val="0"/>
          <w:sz w:val="20"/>
          <w:szCs w:val="20"/>
        </w:rPr>
        <w:t xml:space="preserve"> Pack is active by contacting Optus prior to use. Optus Travel</w:t>
      </w:r>
      <w:r w:rsidRPr="00B7364B">
        <w:rPr>
          <w:rFonts w:cs="Arial"/>
          <w:snapToGrid w:val="0"/>
          <w:sz w:val="20"/>
          <w:szCs w:val="20"/>
          <w:vertAlign w:val="superscript"/>
        </w:rPr>
        <w:t>TM</w:t>
      </w:r>
      <w:r w:rsidRPr="00B7364B">
        <w:rPr>
          <w:rFonts w:cs="Arial"/>
          <w:snapToGrid w:val="0"/>
          <w:sz w:val="20"/>
          <w:szCs w:val="20"/>
        </w:rPr>
        <w:t xml:space="preserve"> Pack gives you unlimited standard national and international voice, SMS (MMS is excluded) plus </w:t>
      </w:r>
      <w:r>
        <w:rPr>
          <w:rFonts w:cs="Arial"/>
          <w:snapToGrid w:val="0"/>
          <w:sz w:val="20"/>
          <w:szCs w:val="20"/>
        </w:rPr>
        <w:t>10</w:t>
      </w:r>
      <w:r w:rsidRPr="00B7364B">
        <w:rPr>
          <w:rFonts w:cs="Arial"/>
          <w:snapToGrid w:val="0"/>
          <w:sz w:val="20"/>
          <w:szCs w:val="20"/>
        </w:rPr>
        <w:t>0MB of data to use in Zone 1 countries per day. For list of countries see optus.com.au/travel</w:t>
      </w:r>
      <w:r w:rsidRPr="00B7364B">
        <w:rPr>
          <w:rFonts w:cs="Arial"/>
          <w:snapToGrid w:val="0"/>
          <w:sz w:val="20"/>
          <w:szCs w:val="20"/>
        </w:rPr>
        <w:br/>
      </w:r>
    </w:p>
    <w:p w14:paraId="3CB2D6BA" w14:textId="77777777" w:rsidR="00BA172C" w:rsidRPr="00B7364B" w:rsidRDefault="00BA172C" w:rsidP="00BA172C">
      <w:pPr>
        <w:tabs>
          <w:tab w:val="left" w:pos="567"/>
          <w:tab w:val="left" w:pos="709"/>
          <w:tab w:val="left" w:pos="1701"/>
        </w:tabs>
        <w:ind w:left="709"/>
        <w:rPr>
          <w:rFonts w:cs="Arial"/>
          <w:bCs/>
          <w:snapToGrid w:val="0"/>
          <w:sz w:val="20"/>
          <w:szCs w:val="20"/>
        </w:rPr>
      </w:pPr>
      <w:r w:rsidRPr="00B7364B">
        <w:rPr>
          <w:rFonts w:cs="Arial"/>
          <w:i/>
          <w:snapToGrid w:val="0"/>
          <w:sz w:val="20"/>
          <w:szCs w:val="20"/>
        </w:rPr>
        <w:t>You</w:t>
      </w:r>
      <w:r w:rsidRPr="00B7364B">
        <w:rPr>
          <w:rFonts w:cs="Arial"/>
          <w:snapToGrid w:val="0"/>
          <w:sz w:val="20"/>
          <w:szCs w:val="20"/>
        </w:rPr>
        <w:t xml:space="preserve"> can activate the Optus Travel</w:t>
      </w:r>
      <w:r w:rsidRPr="00B7364B">
        <w:rPr>
          <w:rFonts w:cs="Arial"/>
          <w:snapToGrid w:val="0"/>
          <w:sz w:val="20"/>
          <w:szCs w:val="20"/>
          <w:vertAlign w:val="superscript"/>
        </w:rPr>
        <w:t>TM</w:t>
      </w:r>
      <w:r w:rsidRPr="00B7364B">
        <w:rPr>
          <w:rFonts w:cs="Arial"/>
          <w:snapToGrid w:val="0"/>
          <w:sz w:val="20"/>
          <w:szCs w:val="20"/>
        </w:rPr>
        <w:t xml:space="preserve"> Pack on a day to day basis or multiple days at once. If you activate multiple consecutive days, the data allowance will accumulate, for example </w:t>
      </w:r>
      <w:r w:rsidRPr="00B7364B">
        <w:rPr>
          <w:rFonts w:cs="Arial"/>
          <w:bCs/>
          <w:snapToGrid w:val="0"/>
          <w:sz w:val="20"/>
          <w:szCs w:val="20"/>
        </w:rPr>
        <w:t xml:space="preserve">activate 5 consecutive days and use up to </w:t>
      </w:r>
      <w:r>
        <w:rPr>
          <w:rFonts w:cs="Arial"/>
          <w:bCs/>
          <w:snapToGrid w:val="0"/>
          <w:sz w:val="20"/>
          <w:szCs w:val="20"/>
        </w:rPr>
        <w:t>500</w:t>
      </w:r>
      <w:r w:rsidRPr="00B7364B">
        <w:rPr>
          <w:rFonts w:cs="Arial"/>
          <w:bCs/>
          <w:snapToGrid w:val="0"/>
          <w:sz w:val="20"/>
          <w:szCs w:val="20"/>
        </w:rPr>
        <w:t>MB any time over the 5 day period. If you exceed the data limit, standard data roaming charges will apply. Any data provided as part of Optus Travel™ Pack is not shareable and will not form part of any Data Pool. Any unused days of Optus Travel™ Pack are forfeited and cannot be rolled over to the next billing month.</w:t>
      </w:r>
    </w:p>
    <w:p w14:paraId="33E46E58" w14:textId="77777777" w:rsidR="00BA172C" w:rsidRPr="00B7364B" w:rsidRDefault="00BA172C" w:rsidP="00BA172C">
      <w:pPr>
        <w:tabs>
          <w:tab w:val="left" w:pos="567"/>
          <w:tab w:val="left" w:pos="709"/>
          <w:tab w:val="left" w:pos="1701"/>
        </w:tabs>
        <w:rPr>
          <w:rFonts w:cs="Arial"/>
          <w:snapToGrid w:val="0"/>
          <w:sz w:val="20"/>
          <w:szCs w:val="20"/>
        </w:rPr>
      </w:pPr>
    </w:p>
    <w:p w14:paraId="5D69F877" w14:textId="77777777" w:rsidR="00BA172C" w:rsidRPr="00B7364B" w:rsidRDefault="00BA172C" w:rsidP="00BA172C">
      <w:pPr>
        <w:tabs>
          <w:tab w:val="left" w:pos="567"/>
          <w:tab w:val="left" w:pos="709"/>
          <w:tab w:val="left" w:pos="1701"/>
        </w:tabs>
        <w:spacing w:before="120" w:after="240"/>
        <w:ind w:left="709"/>
        <w:rPr>
          <w:rFonts w:cs="Arial"/>
          <w:snapToGrid w:val="0"/>
          <w:sz w:val="20"/>
          <w:szCs w:val="20"/>
        </w:rPr>
      </w:pPr>
      <w:r w:rsidRPr="00B7364B">
        <w:rPr>
          <w:rFonts w:cs="Arial"/>
          <w:snapToGrid w:val="0"/>
          <w:sz w:val="20"/>
          <w:szCs w:val="20"/>
        </w:rPr>
        <w:t>I</w:t>
      </w:r>
      <w:r w:rsidRPr="00B7364B">
        <w:rPr>
          <w:rFonts w:cs="Arial"/>
          <w:bCs/>
          <w:snapToGrid w:val="0"/>
          <w:sz w:val="20"/>
          <w:szCs w:val="20"/>
        </w:rPr>
        <w:t>f you are not in a selected Zone 1 country you will be charged at standard roaming rates for that country.</w:t>
      </w:r>
    </w:p>
    <w:p w14:paraId="456DC68C" w14:textId="77777777" w:rsidR="00BA172C" w:rsidRPr="00B7364B" w:rsidRDefault="00BA172C" w:rsidP="00BA172C">
      <w:pPr>
        <w:spacing w:after="200"/>
        <w:ind w:left="720"/>
        <w:rPr>
          <w:b/>
          <w:sz w:val="20"/>
        </w:rPr>
      </w:pPr>
      <w:r w:rsidRPr="00B7364B">
        <w:rPr>
          <w:b/>
          <w:sz w:val="20"/>
        </w:rPr>
        <w:t>Table 1 –Plan Inclusions and Charges</w:t>
      </w:r>
    </w:p>
    <w:tbl>
      <w:tblPr>
        <w:tblW w:w="4580"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1"/>
        <w:gridCol w:w="1469"/>
        <w:gridCol w:w="1471"/>
        <w:gridCol w:w="1469"/>
        <w:gridCol w:w="1471"/>
        <w:gridCol w:w="1471"/>
      </w:tblGrid>
      <w:tr w:rsidR="00BA172C" w:rsidRPr="00B7364B" w14:paraId="49F2556C" w14:textId="77777777" w:rsidTr="00B95821">
        <w:trPr>
          <w:tblHeader/>
        </w:trPr>
        <w:tc>
          <w:tcPr>
            <w:tcW w:w="1062" w:type="pct"/>
            <w:shd w:val="clear" w:color="auto" w:fill="auto"/>
          </w:tcPr>
          <w:p w14:paraId="1F66B01E" w14:textId="77777777" w:rsidR="00BA172C" w:rsidRPr="00B7364B" w:rsidRDefault="00BA172C" w:rsidP="00B95821">
            <w:pPr>
              <w:spacing w:before="100" w:after="100"/>
              <w:rPr>
                <w:sz w:val="20"/>
                <w:szCs w:val="20"/>
              </w:rPr>
            </w:pPr>
          </w:p>
        </w:tc>
        <w:tc>
          <w:tcPr>
            <w:tcW w:w="787" w:type="pct"/>
          </w:tcPr>
          <w:p w14:paraId="417F3EC6" w14:textId="77777777" w:rsidR="00BA172C" w:rsidRPr="00B7364B" w:rsidRDefault="00BA172C" w:rsidP="00B95821">
            <w:pPr>
              <w:spacing w:before="100" w:after="100"/>
              <w:jc w:val="center"/>
              <w:rPr>
                <w:b/>
                <w:sz w:val="20"/>
                <w:szCs w:val="20"/>
              </w:rPr>
            </w:pPr>
            <w:r w:rsidRPr="00B7364B">
              <w:rPr>
                <w:b/>
                <w:sz w:val="20"/>
                <w:szCs w:val="20"/>
              </w:rPr>
              <w:t>$45 Business Plan</w:t>
            </w:r>
          </w:p>
        </w:tc>
        <w:tc>
          <w:tcPr>
            <w:tcW w:w="788" w:type="pct"/>
            <w:shd w:val="clear" w:color="auto" w:fill="auto"/>
          </w:tcPr>
          <w:p w14:paraId="4997FD88" w14:textId="77777777" w:rsidR="00BA172C" w:rsidRPr="00B7364B" w:rsidRDefault="00BA172C" w:rsidP="00B95821">
            <w:pPr>
              <w:spacing w:before="100" w:after="100"/>
              <w:jc w:val="center"/>
              <w:rPr>
                <w:b/>
                <w:sz w:val="20"/>
                <w:szCs w:val="20"/>
              </w:rPr>
            </w:pPr>
            <w:r w:rsidRPr="00B7364B">
              <w:rPr>
                <w:b/>
                <w:sz w:val="20"/>
                <w:szCs w:val="20"/>
              </w:rPr>
              <w:t>$70 Business Plan</w:t>
            </w:r>
          </w:p>
        </w:tc>
        <w:tc>
          <w:tcPr>
            <w:tcW w:w="787" w:type="pct"/>
            <w:shd w:val="clear" w:color="auto" w:fill="auto"/>
          </w:tcPr>
          <w:p w14:paraId="66E62ECF" w14:textId="77777777" w:rsidR="00BA172C" w:rsidRPr="00B7364B" w:rsidRDefault="00BA172C" w:rsidP="00B95821">
            <w:pPr>
              <w:spacing w:before="100" w:after="100"/>
              <w:jc w:val="center"/>
              <w:rPr>
                <w:b/>
                <w:sz w:val="20"/>
                <w:szCs w:val="20"/>
              </w:rPr>
            </w:pPr>
            <w:r w:rsidRPr="00B7364B">
              <w:rPr>
                <w:b/>
                <w:sz w:val="20"/>
                <w:szCs w:val="20"/>
              </w:rPr>
              <w:t>$90 Business Plan</w:t>
            </w:r>
          </w:p>
        </w:tc>
        <w:tc>
          <w:tcPr>
            <w:tcW w:w="788" w:type="pct"/>
          </w:tcPr>
          <w:p w14:paraId="279EA453" w14:textId="77777777" w:rsidR="00BA172C" w:rsidRPr="00B7364B" w:rsidRDefault="00BA172C" w:rsidP="00B95821">
            <w:pPr>
              <w:spacing w:before="100" w:after="100"/>
              <w:jc w:val="center"/>
              <w:rPr>
                <w:b/>
                <w:sz w:val="20"/>
                <w:szCs w:val="20"/>
              </w:rPr>
            </w:pPr>
            <w:r w:rsidRPr="00B7364B">
              <w:rPr>
                <w:b/>
                <w:sz w:val="20"/>
                <w:szCs w:val="20"/>
              </w:rPr>
              <w:t>$105 Business Plan</w:t>
            </w:r>
          </w:p>
        </w:tc>
        <w:tc>
          <w:tcPr>
            <w:tcW w:w="788" w:type="pct"/>
          </w:tcPr>
          <w:p w14:paraId="0C12D7ED" w14:textId="77777777" w:rsidR="00BA172C" w:rsidRPr="00B7364B" w:rsidRDefault="00BA172C" w:rsidP="00B95821">
            <w:pPr>
              <w:spacing w:before="100" w:after="100"/>
              <w:jc w:val="center"/>
              <w:rPr>
                <w:b/>
                <w:sz w:val="20"/>
                <w:szCs w:val="20"/>
              </w:rPr>
            </w:pPr>
            <w:r w:rsidRPr="00B7364B">
              <w:rPr>
                <w:b/>
                <w:sz w:val="20"/>
                <w:szCs w:val="20"/>
              </w:rPr>
              <w:t>$1</w:t>
            </w:r>
            <w:r>
              <w:rPr>
                <w:b/>
                <w:sz w:val="20"/>
                <w:szCs w:val="20"/>
              </w:rPr>
              <w:t>30</w:t>
            </w:r>
            <w:r w:rsidRPr="00B7364B">
              <w:rPr>
                <w:b/>
                <w:sz w:val="20"/>
                <w:szCs w:val="20"/>
              </w:rPr>
              <w:t xml:space="preserve"> Business Plan</w:t>
            </w:r>
          </w:p>
        </w:tc>
      </w:tr>
      <w:tr w:rsidR="00BA172C" w:rsidRPr="00B7364B" w14:paraId="31C0D2EA" w14:textId="77777777" w:rsidTr="00B95821">
        <w:tc>
          <w:tcPr>
            <w:tcW w:w="1062" w:type="pct"/>
            <w:shd w:val="clear" w:color="auto" w:fill="auto"/>
          </w:tcPr>
          <w:p w14:paraId="70C3DE28" w14:textId="77777777" w:rsidR="00BA172C" w:rsidRPr="00B7364B" w:rsidRDefault="00BA172C" w:rsidP="00B95821">
            <w:pPr>
              <w:spacing w:before="100" w:after="100"/>
              <w:rPr>
                <w:sz w:val="20"/>
                <w:szCs w:val="20"/>
              </w:rPr>
            </w:pPr>
            <w:r w:rsidRPr="00B7364B">
              <w:rPr>
                <w:b/>
                <w:bCs/>
                <w:sz w:val="20"/>
                <w:szCs w:val="20"/>
              </w:rPr>
              <w:t>Minimum Monthly charge</w:t>
            </w:r>
          </w:p>
        </w:tc>
        <w:tc>
          <w:tcPr>
            <w:tcW w:w="787" w:type="pct"/>
            <w:vAlign w:val="center"/>
          </w:tcPr>
          <w:p w14:paraId="252EA124" w14:textId="77777777" w:rsidR="00BA172C" w:rsidRPr="00B7364B" w:rsidRDefault="00BA172C" w:rsidP="00B95821">
            <w:pPr>
              <w:spacing w:before="100" w:after="100"/>
              <w:jc w:val="center"/>
              <w:rPr>
                <w:sz w:val="20"/>
                <w:szCs w:val="20"/>
              </w:rPr>
            </w:pPr>
            <w:r w:rsidRPr="00B7364B">
              <w:rPr>
                <w:sz w:val="20"/>
                <w:szCs w:val="20"/>
              </w:rPr>
              <w:t>$45</w:t>
            </w:r>
          </w:p>
        </w:tc>
        <w:tc>
          <w:tcPr>
            <w:tcW w:w="788" w:type="pct"/>
            <w:shd w:val="clear" w:color="auto" w:fill="auto"/>
            <w:vAlign w:val="center"/>
          </w:tcPr>
          <w:p w14:paraId="08E89841" w14:textId="77777777" w:rsidR="00BA172C" w:rsidRPr="00B7364B" w:rsidRDefault="00BA172C" w:rsidP="00B95821">
            <w:pPr>
              <w:spacing w:before="100" w:after="100"/>
              <w:jc w:val="center"/>
              <w:rPr>
                <w:sz w:val="20"/>
                <w:szCs w:val="20"/>
              </w:rPr>
            </w:pPr>
            <w:r w:rsidRPr="00B7364B">
              <w:rPr>
                <w:sz w:val="20"/>
                <w:szCs w:val="20"/>
              </w:rPr>
              <w:t>$70</w:t>
            </w:r>
          </w:p>
        </w:tc>
        <w:tc>
          <w:tcPr>
            <w:tcW w:w="787" w:type="pct"/>
            <w:shd w:val="clear" w:color="auto" w:fill="auto"/>
            <w:vAlign w:val="center"/>
          </w:tcPr>
          <w:p w14:paraId="5E25B59A" w14:textId="77777777" w:rsidR="00BA172C" w:rsidRPr="00B7364B" w:rsidRDefault="00BA172C" w:rsidP="00B95821">
            <w:pPr>
              <w:spacing w:before="100" w:after="100"/>
              <w:jc w:val="center"/>
              <w:rPr>
                <w:sz w:val="20"/>
                <w:szCs w:val="20"/>
              </w:rPr>
            </w:pPr>
            <w:r w:rsidRPr="00B7364B">
              <w:rPr>
                <w:sz w:val="20"/>
                <w:szCs w:val="20"/>
              </w:rPr>
              <w:t>$90</w:t>
            </w:r>
          </w:p>
        </w:tc>
        <w:tc>
          <w:tcPr>
            <w:tcW w:w="788" w:type="pct"/>
            <w:vAlign w:val="center"/>
          </w:tcPr>
          <w:p w14:paraId="67B4B36E" w14:textId="77777777" w:rsidR="00BA172C" w:rsidRPr="00B7364B" w:rsidRDefault="00BA172C" w:rsidP="00B95821">
            <w:pPr>
              <w:spacing w:before="100" w:after="100"/>
              <w:jc w:val="center"/>
              <w:rPr>
                <w:sz w:val="20"/>
                <w:szCs w:val="20"/>
              </w:rPr>
            </w:pPr>
            <w:r w:rsidRPr="00B7364B">
              <w:rPr>
                <w:sz w:val="20"/>
                <w:szCs w:val="20"/>
              </w:rPr>
              <w:t>$105</w:t>
            </w:r>
          </w:p>
        </w:tc>
        <w:tc>
          <w:tcPr>
            <w:tcW w:w="788" w:type="pct"/>
            <w:vAlign w:val="center"/>
          </w:tcPr>
          <w:p w14:paraId="1A545EAD" w14:textId="77777777" w:rsidR="00BA172C" w:rsidRPr="00B7364B" w:rsidRDefault="00BA172C" w:rsidP="00B95821">
            <w:pPr>
              <w:spacing w:before="100" w:after="100"/>
              <w:jc w:val="center"/>
              <w:rPr>
                <w:sz w:val="20"/>
                <w:szCs w:val="20"/>
              </w:rPr>
            </w:pPr>
            <w:r w:rsidRPr="00B7364B">
              <w:rPr>
                <w:sz w:val="20"/>
                <w:szCs w:val="20"/>
              </w:rPr>
              <w:t>$1</w:t>
            </w:r>
            <w:r>
              <w:rPr>
                <w:sz w:val="20"/>
                <w:szCs w:val="20"/>
              </w:rPr>
              <w:t>30</w:t>
            </w:r>
          </w:p>
        </w:tc>
      </w:tr>
      <w:tr w:rsidR="00BA172C" w:rsidRPr="00B7364B" w14:paraId="1103F431" w14:textId="77777777" w:rsidTr="00B95821">
        <w:tc>
          <w:tcPr>
            <w:tcW w:w="1062" w:type="pct"/>
            <w:shd w:val="clear" w:color="auto" w:fill="auto"/>
          </w:tcPr>
          <w:p w14:paraId="4D681A19" w14:textId="77777777" w:rsidR="00BA172C" w:rsidRPr="00B7364B" w:rsidRDefault="00BA172C" w:rsidP="00B95821">
            <w:pPr>
              <w:spacing w:before="100" w:after="100"/>
              <w:rPr>
                <w:sz w:val="20"/>
                <w:szCs w:val="20"/>
              </w:rPr>
            </w:pPr>
            <w:r w:rsidRPr="00B7364B">
              <w:rPr>
                <w:b/>
                <w:bCs/>
                <w:sz w:val="20"/>
                <w:szCs w:val="20"/>
              </w:rPr>
              <w:t>Included Data</w:t>
            </w:r>
          </w:p>
        </w:tc>
        <w:tc>
          <w:tcPr>
            <w:tcW w:w="787" w:type="pct"/>
            <w:vAlign w:val="center"/>
          </w:tcPr>
          <w:p w14:paraId="2DBE08AD" w14:textId="77777777" w:rsidR="00BA172C" w:rsidRPr="00B7364B" w:rsidRDefault="00BA172C" w:rsidP="00B95821">
            <w:pPr>
              <w:spacing w:before="100" w:after="100"/>
              <w:jc w:val="center"/>
              <w:rPr>
                <w:sz w:val="20"/>
                <w:szCs w:val="20"/>
              </w:rPr>
            </w:pPr>
            <w:r w:rsidRPr="00B7364B">
              <w:rPr>
                <w:sz w:val="20"/>
                <w:szCs w:val="20"/>
              </w:rPr>
              <w:t>1.5GB</w:t>
            </w:r>
          </w:p>
        </w:tc>
        <w:tc>
          <w:tcPr>
            <w:tcW w:w="788" w:type="pct"/>
            <w:shd w:val="clear" w:color="auto" w:fill="auto"/>
            <w:vAlign w:val="center"/>
          </w:tcPr>
          <w:p w14:paraId="6E5F9549" w14:textId="77777777" w:rsidR="00BA172C" w:rsidRPr="00B7364B" w:rsidRDefault="00BA172C" w:rsidP="00B95821">
            <w:pPr>
              <w:spacing w:before="100" w:after="100"/>
              <w:jc w:val="center"/>
              <w:rPr>
                <w:sz w:val="20"/>
                <w:szCs w:val="20"/>
              </w:rPr>
            </w:pPr>
            <w:r w:rsidRPr="00B7364B">
              <w:rPr>
                <w:sz w:val="20"/>
                <w:szCs w:val="20"/>
              </w:rPr>
              <w:t>4.5GB</w:t>
            </w:r>
          </w:p>
        </w:tc>
        <w:tc>
          <w:tcPr>
            <w:tcW w:w="787" w:type="pct"/>
            <w:shd w:val="clear" w:color="auto" w:fill="auto"/>
            <w:vAlign w:val="center"/>
          </w:tcPr>
          <w:p w14:paraId="63EEF373" w14:textId="77777777" w:rsidR="00BA172C" w:rsidRPr="00B7364B" w:rsidRDefault="00BA172C" w:rsidP="00B95821">
            <w:pPr>
              <w:spacing w:before="100" w:after="100"/>
              <w:jc w:val="center"/>
              <w:rPr>
                <w:sz w:val="20"/>
                <w:szCs w:val="20"/>
              </w:rPr>
            </w:pPr>
            <w:r w:rsidRPr="00B7364B">
              <w:rPr>
                <w:sz w:val="20"/>
                <w:szCs w:val="20"/>
              </w:rPr>
              <w:t>8GB</w:t>
            </w:r>
          </w:p>
        </w:tc>
        <w:tc>
          <w:tcPr>
            <w:tcW w:w="788" w:type="pct"/>
            <w:vAlign w:val="center"/>
          </w:tcPr>
          <w:p w14:paraId="60FE6C33" w14:textId="77777777" w:rsidR="00BA172C" w:rsidRPr="00B7364B" w:rsidRDefault="00BA172C" w:rsidP="00B95821">
            <w:pPr>
              <w:spacing w:before="100" w:after="100"/>
              <w:jc w:val="center"/>
              <w:rPr>
                <w:sz w:val="20"/>
                <w:szCs w:val="20"/>
              </w:rPr>
            </w:pPr>
            <w:r w:rsidRPr="00B7364B">
              <w:rPr>
                <w:sz w:val="20"/>
                <w:szCs w:val="20"/>
              </w:rPr>
              <w:t>15GB</w:t>
            </w:r>
          </w:p>
        </w:tc>
        <w:tc>
          <w:tcPr>
            <w:tcW w:w="788" w:type="pct"/>
            <w:vAlign w:val="center"/>
          </w:tcPr>
          <w:p w14:paraId="1B89D02C" w14:textId="77777777" w:rsidR="00BA172C" w:rsidRPr="00B7364B" w:rsidRDefault="00BA172C" w:rsidP="00B95821">
            <w:pPr>
              <w:spacing w:before="100" w:after="100"/>
              <w:jc w:val="center"/>
              <w:rPr>
                <w:sz w:val="20"/>
                <w:szCs w:val="20"/>
              </w:rPr>
            </w:pPr>
            <w:r>
              <w:rPr>
                <w:sz w:val="20"/>
                <w:szCs w:val="20"/>
              </w:rPr>
              <w:t>3</w:t>
            </w:r>
            <w:r w:rsidRPr="00B7364B">
              <w:rPr>
                <w:sz w:val="20"/>
                <w:szCs w:val="20"/>
              </w:rPr>
              <w:t>0GB</w:t>
            </w:r>
          </w:p>
        </w:tc>
      </w:tr>
      <w:tr w:rsidR="00BA172C" w:rsidRPr="00B7364B" w14:paraId="595617D1" w14:textId="77777777" w:rsidTr="00B95821">
        <w:tc>
          <w:tcPr>
            <w:tcW w:w="1062" w:type="pct"/>
            <w:shd w:val="clear" w:color="auto" w:fill="auto"/>
          </w:tcPr>
          <w:p w14:paraId="5FBBA4DC" w14:textId="77777777" w:rsidR="00BA172C" w:rsidRPr="00B7364B" w:rsidRDefault="00BA172C" w:rsidP="00B95821">
            <w:pPr>
              <w:spacing w:before="100" w:after="100"/>
              <w:rPr>
                <w:b/>
                <w:bCs/>
                <w:sz w:val="20"/>
                <w:szCs w:val="20"/>
              </w:rPr>
            </w:pPr>
            <w:r w:rsidRPr="00B7364B">
              <w:rPr>
                <w:b/>
                <w:bCs/>
                <w:sz w:val="20"/>
                <w:szCs w:val="20"/>
              </w:rPr>
              <w:t>Additional Data</w:t>
            </w:r>
          </w:p>
        </w:tc>
        <w:tc>
          <w:tcPr>
            <w:tcW w:w="3938" w:type="pct"/>
            <w:gridSpan w:val="5"/>
            <w:vAlign w:val="center"/>
          </w:tcPr>
          <w:p w14:paraId="3CB07A71" w14:textId="77777777" w:rsidR="00BA172C" w:rsidRPr="00B7364B" w:rsidRDefault="00BA172C" w:rsidP="00B95821">
            <w:pPr>
              <w:spacing w:before="100" w:after="100"/>
              <w:jc w:val="center"/>
              <w:rPr>
                <w:sz w:val="20"/>
                <w:szCs w:val="20"/>
              </w:rPr>
            </w:pPr>
            <w:r w:rsidRPr="00B7364B">
              <w:rPr>
                <w:sz w:val="20"/>
                <w:szCs w:val="20"/>
              </w:rPr>
              <w:t>Additional data $10 per 1GB</w:t>
            </w:r>
          </w:p>
        </w:tc>
      </w:tr>
      <w:tr w:rsidR="00BA172C" w:rsidRPr="00B7364B" w14:paraId="30CA0C43" w14:textId="77777777" w:rsidTr="00B95821">
        <w:tc>
          <w:tcPr>
            <w:tcW w:w="1062" w:type="pct"/>
            <w:shd w:val="clear" w:color="auto" w:fill="auto"/>
          </w:tcPr>
          <w:p w14:paraId="56DC93CD" w14:textId="77777777" w:rsidR="00BA172C" w:rsidRPr="00B7364B" w:rsidRDefault="00BA172C" w:rsidP="00B95821">
            <w:pPr>
              <w:spacing w:before="100" w:after="100"/>
              <w:rPr>
                <w:sz w:val="20"/>
                <w:szCs w:val="20"/>
              </w:rPr>
            </w:pPr>
            <w:r w:rsidRPr="00B7364B">
              <w:rPr>
                <w:b/>
                <w:bCs/>
                <w:sz w:val="20"/>
                <w:szCs w:val="20"/>
              </w:rPr>
              <w:t xml:space="preserve">Included Minutes </w:t>
            </w:r>
            <w:r w:rsidRPr="00B7364B">
              <w:rPr>
                <w:sz w:val="20"/>
                <w:szCs w:val="20"/>
              </w:rPr>
              <w:t>for standard national calls to landlines and mobiles, 1300 numbers and voicemail, within Australia</w:t>
            </w:r>
          </w:p>
        </w:tc>
        <w:tc>
          <w:tcPr>
            <w:tcW w:w="787" w:type="pct"/>
            <w:vAlign w:val="center"/>
          </w:tcPr>
          <w:p w14:paraId="671F085F" w14:textId="77777777" w:rsidR="00BA172C" w:rsidRPr="00B7364B" w:rsidRDefault="00BA172C" w:rsidP="00B95821">
            <w:pPr>
              <w:spacing w:before="100" w:after="100"/>
              <w:jc w:val="center"/>
              <w:rPr>
                <w:sz w:val="20"/>
                <w:szCs w:val="20"/>
              </w:rPr>
            </w:pPr>
            <w:r w:rsidRPr="00B7364B">
              <w:rPr>
                <w:sz w:val="20"/>
                <w:szCs w:val="20"/>
              </w:rPr>
              <w:t>Unlimited</w:t>
            </w:r>
          </w:p>
        </w:tc>
        <w:tc>
          <w:tcPr>
            <w:tcW w:w="788" w:type="pct"/>
            <w:shd w:val="clear" w:color="auto" w:fill="auto"/>
            <w:vAlign w:val="center"/>
          </w:tcPr>
          <w:p w14:paraId="2C9109BE" w14:textId="77777777" w:rsidR="00BA172C" w:rsidRPr="00B7364B" w:rsidRDefault="00BA172C" w:rsidP="00B95821">
            <w:pPr>
              <w:spacing w:before="100" w:after="100"/>
              <w:jc w:val="center"/>
              <w:rPr>
                <w:sz w:val="20"/>
                <w:szCs w:val="20"/>
              </w:rPr>
            </w:pPr>
            <w:r w:rsidRPr="00B7364B">
              <w:rPr>
                <w:sz w:val="20"/>
                <w:szCs w:val="20"/>
              </w:rPr>
              <w:t>Unlimited</w:t>
            </w:r>
          </w:p>
        </w:tc>
        <w:tc>
          <w:tcPr>
            <w:tcW w:w="787" w:type="pct"/>
            <w:shd w:val="clear" w:color="auto" w:fill="auto"/>
            <w:vAlign w:val="center"/>
          </w:tcPr>
          <w:p w14:paraId="532F80B5" w14:textId="77777777" w:rsidR="00BA172C" w:rsidRPr="00B7364B" w:rsidRDefault="00BA172C" w:rsidP="00B95821">
            <w:pPr>
              <w:spacing w:before="100" w:after="100"/>
              <w:jc w:val="center"/>
              <w:rPr>
                <w:sz w:val="20"/>
                <w:szCs w:val="20"/>
              </w:rPr>
            </w:pPr>
            <w:r w:rsidRPr="00B7364B">
              <w:rPr>
                <w:sz w:val="20"/>
                <w:szCs w:val="20"/>
              </w:rPr>
              <w:t>Unlimited</w:t>
            </w:r>
          </w:p>
        </w:tc>
        <w:tc>
          <w:tcPr>
            <w:tcW w:w="788" w:type="pct"/>
            <w:vAlign w:val="center"/>
          </w:tcPr>
          <w:p w14:paraId="606992EB" w14:textId="77777777" w:rsidR="00BA172C" w:rsidRPr="00B7364B" w:rsidRDefault="00BA172C" w:rsidP="00B95821">
            <w:pPr>
              <w:spacing w:before="100" w:after="100"/>
              <w:jc w:val="center"/>
              <w:rPr>
                <w:sz w:val="20"/>
                <w:szCs w:val="20"/>
              </w:rPr>
            </w:pPr>
            <w:r w:rsidRPr="00B7364B">
              <w:rPr>
                <w:sz w:val="20"/>
                <w:szCs w:val="20"/>
              </w:rPr>
              <w:t>Unlimited</w:t>
            </w:r>
          </w:p>
        </w:tc>
        <w:tc>
          <w:tcPr>
            <w:tcW w:w="788" w:type="pct"/>
            <w:vAlign w:val="center"/>
          </w:tcPr>
          <w:p w14:paraId="4D36222E" w14:textId="77777777" w:rsidR="00BA172C" w:rsidRPr="00B7364B" w:rsidRDefault="00BA172C" w:rsidP="00B95821">
            <w:pPr>
              <w:spacing w:before="100" w:after="100"/>
              <w:jc w:val="center"/>
              <w:rPr>
                <w:sz w:val="20"/>
                <w:szCs w:val="20"/>
              </w:rPr>
            </w:pPr>
            <w:r w:rsidRPr="00B7364B">
              <w:rPr>
                <w:sz w:val="20"/>
                <w:szCs w:val="20"/>
              </w:rPr>
              <w:t>Unlimited</w:t>
            </w:r>
          </w:p>
        </w:tc>
      </w:tr>
      <w:tr w:rsidR="00BA172C" w:rsidRPr="00B7364B" w14:paraId="225CF642" w14:textId="77777777" w:rsidTr="00B95821">
        <w:tc>
          <w:tcPr>
            <w:tcW w:w="1062" w:type="pct"/>
            <w:shd w:val="clear" w:color="auto" w:fill="auto"/>
          </w:tcPr>
          <w:p w14:paraId="5245401A" w14:textId="77777777" w:rsidR="00BA172C" w:rsidRPr="00B7364B" w:rsidRDefault="00BA172C" w:rsidP="00B95821">
            <w:pPr>
              <w:spacing w:before="100" w:after="100"/>
              <w:rPr>
                <w:b/>
                <w:bCs/>
                <w:sz w:val="20"/>
                <w:szCs w:val="20"/>
              </w:rPr>
            </w:pPr>
            <w:r w:rsidRPr="00B7364B">
              <w:rPr>
                <w:b/>
                <w:bCs/>
                <w:sz w:val="20"/>
                <w:szCs w:val="20"/>
              </w:rPr>
              <w:t>Included International Minutes</w:t>
            </w:r>
          </w:p>
          <w:p w14:paraId="45B91683" w14:textId="77777777" w:rsidR="00BA172C" w:rsidRPr="00B7364B" w:rsidRDefault="00BA172C" w:rsidP="00B95821">
            <w:pPr>
              <w:spacing w:before="100" w:after="100"/>
              <w:rPr>
                <w:b/>
                <w:bCs/>
                <w:sz w:val="20"/>
                <w:szCs w:val="20"/>
              </w:rPr>
            </w:pPr>
            <w:r w:rsidRPr="00B7364B">
              <w:rPr>
                <w:sz w:val="20"/>
                <w:szCs w:val="20"/>
              </w:rPr>
              <w:t xml:space="preserve">Standard international calls to landlines and mobiles to selected countries </w:t>
            </w:r>
          </w:p>
        </w:tc>
        <w:tc>
          <w:tcPr>
            <w:tcW w:w="787" w:type="pct"/>
            <w:vAlign w:val="center"/>
          </w:tcPr>
          <w:p w14:paraId="68A17D19" w14:textId="77777777" w:rsidR="00BA172C" w:rsidRPr="00B7364B" w:rsidRDefault="00BA172C" w:rsidP="00B95821">
            <w:pPr>
              <w:spacing w:before="100" w:after="100"/>
              <w:jc w:val="center"/>
              <w:rPr>
                <w:sz w:val="20"/>
                <w:szCs w:val="20"/>
              </w:rPr>
            </w:pPr>
            <w:r w:rsidRPr="00B7364B">
              <w:rPr>
                <w:sz w:val="20"/>
                <w:szCs w:val="20"/>
              </w:rPr>
              <w:t>Not included</w:t>
            </w:r>
          </w:p>
        </w:tc>
        <w:tc>
          <w:tcPr>
            <w:tcW w:w="788" w:type="pct"/>
            <w:shd w:val="clear" w:color="auto" w:fill="auto"/>
            <w:vAlign w:val="center"/>
          </w:tcPr>
          <w:p w14:paraId="16491C4C" w14:textId="77777777" w:rsidR="00BA172C" w:rsidRPr="00B7364B" w:rsidRDefault="00BA172C" w:rsidP="00B95821">
            <w:pPr>
              <w:spacing w:before="100" w:after="100"/>
              <w:jc w:val="center"/>
              <w:rPr>
                <w:sz w:val="20"/>
                <w:szCs w:val="20"/>
              </w:rPr>
            </w:pPr>
            <w:r w:rsidRPr="00B7364B">
              <w:rPr>
                <w:bCs/>
                <w:sz w:val="20"/>
                <w:szCs w:val="20"/>
              </w:rPr>
              <w:t>Unlimited</w:t>
            </w:r>
          </w:p>
        </w:tc>
        <w:tc>
          <w:tcPr>
            <w:tcW w:w="787" w:type="pct"/>
            <w:shd w:val="clear" w:color="auto" w:fill="auto"/>
            <w:vAlign w:val="center"/>
          </w:tcPr>
          <w:p w14:paraId="0DCF5EE3" w14:textId="77777777" w:rsidR="00BA172C" w:rsidRPr="00B7364B" w:rsidRDefault="00BA172C" w:rsidP="00B95821">
            <w:pPr>
              <w:spacing w:before="100" w:after="100"/>
              <w:jc w:val="center"/>
              <w:rPr>
                <w:sz w:val="20"/>
                <w:szCs w:val="20"/>
              </w:rPr>
            </w:pPr>
            <w:r w:rsidRPr="00B7364B">
              <w:rPr>
                <w:bCs/>
                <w:sz w:val="20"/>
                <w:szCs w:val="20"/>
              </w:rPr>
              <w:t>Unlimited</w:t>
            </w:r>
          </w:p>
        </w:tc>
        <w:tc>
          <w:tcPr>
            <w:tcW w:w="788" w:type="pct"/>
            <w:vAlign w:val="center"/>
          </w:tcPr>
          <w:p w14:paraId="6777E4AF" w14:textId="77777777" w:rsidR="00BA172C" w:rsidRPr="00B7364B" w:rsidRDefault="00BA172C" w:rsidP="00B95821">
            <w:pPr>
              <w:spacing w:before="100" w:after="100"/>
              <w:jc w:val="center"/>
              <w:rPr>
                <w:bCs/>
                <w:sz w:val="20"/>
                <w:szCs w:val="20"/>
              </w:rPr>
            </w:pPr>
            <w:r w:rsidRPr="00B7364B">
              <w:rPr>
                <w:bCs/>
                <w:sz w:val="20"/>
                <w:szCs w:val="20"/>
              </w:rPr>
              <w:t>Unlimited</w:t>
            </w:r>
          </w:p>
        </w:tc>
        <w:tc>
          <w:tcPr>
            <w:tcW w:w="788" w:type="pct"/>
            <w:vAlign w:val="center"/>
          </w:tcPr>
          <w:p w14:paraId="7D8CEC94" w14:textId="77777777" w:rsidR="00BA172C" w:rsidRPr="00B7364B" w:rsidRDefault="00BA172C" w:rsidP="00B95821">
            <w:pPr>
              <w:spacing w:before="100" w:after="100"/>
              <w:jc w:val="center"/>
              <w:rPr>
                <w:bCs/>
                <w:sz w:val="20"/>
                <w:szCs w:val="20"/>
              </w:rPr>
            </w:pPr>
            <w:r w:rsidRPr="00B7364B">
              <w:rPr>
                <w:sz w:val="20"/>
                <w:szCs w:val="20"/>
              </w:rPr>
              <w:t>Unlimited</w:t>
            </w:r>
          </w:p>
        </w:tc>
      </w:tr>
      <w:tr w:rsidR="00BA172C" w:rsidRPr="00B7364B" w14:paraId="202EBE7F" w14:textId="77777777" w:rsidTr="00B95821">
        <w:tc>
          <w:tcPr>
            <w:tcW w:w="1062" w:type="pct"/>
            <w:shd w:val="clear" w:color="auto" w:fill="auto"/>
          </w:tcPr>
          <w:p w14:paraId="63600BA1" w14:textId="77777777" w:rsidR="00BA172C" w:rsidRPr="00B7364B" w:rsidRDefault="00BA172C" w:rsidP="00B95821">
            <w:pPr>
              <w:spacing w:before="100" w:after="100"/>
              <w:rPr>
                <w:sz w:val="20"/>
                <w:szCs w:val="20"/>
              </w:rPr>
            </w:pPr>
            <w:r w:rsidRPr="00B7364B">
              <w:rPr>
                <w:b/>
                <w:bCs/>
                <w:sz w:val="20"/>
                <w:szCs w:val="20"/>
              </w:rPr>
              <w:lastRenderedPageBreak/>
              <w:t xml:space="preserve">Standard national SMS </w:t>
            </w:r>
            <w:r w:rsidRPr="00B7364B">
              <w:rPr>
                <w:sz w:val="20"/>
                <w:szCs w:val="20"/>
              </w:rPr>
              <w:t>(per SMS of up to 160 standard characters)</w:t>
            </w:r>
          </w:p>
        </w:tc>
        <w:tc>
          <w:tcPr>
            <w:tcW w:w="787" w:type="pct"/>
            <w:vAlign w:val="center"/>
          </w:tcPr>
          <w:p w14:paraId="76AB0E87" w14:textId="77777777" w:rsidR="00BA172C" w:rsidRPr="00B7364B" w:rsidRDefault="00BA172C" w:rsidP="00B95821">
            <w:pPr>
              <w:spacing w:before="100" w:after="100"/>
              <w:jc w:val="center"/>
              <w:rPr>
                <w:sz w:val="20"/>
                <w:szCs w:val="20"/>
              </w:rPr>
            </w:pPr>
            <w:r w:rsidRPr="00B7364B">
              <w:rPr>
                <w:sz w:val="20"/>
                <w:szCs w:val="20"/>
              </w:rPr>
              <w:t>Unlimited</w:t>
            </w:r>
          </w:p>
        </w:tc>
        <w:tc>
          <w:tcPr>
            <w:tcW w:w="788" w:type="pct"/>
            <w:shd w:val="clear" w:color="auto" w:fill="auto"/>
            <w:vAlign w:val="center"/>
          </w:tcPr>
          <w:p w14:paraId="1B595897" w14:textId="77777777" w:rsidR="00BA172C" w:rsidRPr="00B7364B" w:rsidRDefault="00BA172C" w:rsidP="00B95821">
            <w:pPr>
              <w:spacing w:before="100" w:after="100"/>
              <w:jc w:val="center"/>
              <w:rPr>
                <w:sz w:val="20"/>
                <w:szCs w:val="20"/>
              </w:rPr>
            </w:pPr>
            <w:r w:rsidRPr="00B7364B">
              <w:rPr>
                <w:sz w:val="20"/>
                <w:szCs w:val="20"/>
              </w:rPr>
              <w:t>Unlimited</w:t>
            </w:r>
          </w:p>
        </w:tc>
        <w:tc>
          <w:tcPr>
            <w:tcW w:w="787" w:type="pct"/>
            <w:shd w:val="clear" w:color="auto" w:fill="auto"/>
            <w:vAlign w:val="center"/>
          </w:tcPr>
          <w:p w14:paraId="4DA862F6" w14:textId="77777777" w:rsidR="00BA172C" w:rsidRPr="00B7364B" w:rsidRDefault="00BA172C" w:rsidP="00B95821">
            <w:pPr>
              <w:spacing w:before="100" w:after="100"/>
              <w:jc w:val="center"/>
              <w:rPr>
                <w:sz w:val="20"/>
                <w:szCs w:val="20"/>
              </w:rPr>
            </w:pPr>
            <w:r w:rsidRPr="00B7364B">
              <w:rPr>
                <w:sz w:val="20"/>
                <w:szCs w:val="20"/>
              </w:rPr>
              <w:t>Unlimited</w:t>
            </w:r>
          </w:p>
        </w:tc>
        <w:tc>
          <w:tcPr>
            <w:tcW w:w="788" w:type="pct"/>
            <w:vAlign w:val="center"/>
          </w:tcPr>
          <w:p w14:paraId="4FE9437E" w14:textId="77777777" w:rsidR="00BA172C" w:rsidRPr="00B7364B" w:rsidRDefault="00BA172C" w:rsidP="00B95821">
            <w:pPr>
              <w:spacing w:before="100" w:after="100"/>
              <w:jc w:val="center"/>
              <w:rPr>
                <w:sz w:val="20"/>
                <w:szCs w:val="20"/>
              </w:rPr>
            </w:pPr>
            <w:r w:rsidRPr="00B7364B">
              <w:rPr>
                <w:sz w:val="20"/>
                <w:szCs w:val="20"/>
              </w:rPr>
              <w:t>Unlimited</w:t>
            </w:r>
          </w:p>
        </w:tc>
        <w:tc>
          <w:tcPr>
            <w:tcW w:w="788" w:type="pct"/>
            <w:vAlign w:val="center"/>
          </w:tcPr>
          <w:p w14:paraId="42CF2798" w14:textId="77777777" w:rsidR="00BA172C" w:rsidRPr="00B7364B" w:rsidRDefault="00BA172C" w:rsidP="00B95821">
            <w:pPr>
              <w:spacing w:before="100" w:after="100"/>
              <w:jc w:val="center"/>
              <w:rPr>
                <w:sz w:val="20"/>
                <w:szCs w:val="20"/>
              </w:rPr>
            </w:pPr>
            <w:r w:rsidRPr="00B7364B">
              <w:rPr>
                <w:sz w:val="20"/>
                <w:szCs w:val="20"/>
              </w:rPr>
              <w:t>Unlim1ited</w:t>
            </w:r>
          </w:p>
        </w:tc>
      </w:tr>
      <w:tr w:rsidR="00BA172C" w:rsidRPr="00B7364B" w14:paraId="4B2D286D" w14:textId="77777777" w:rsidTr="00B95821">
        <w:tc>
          <w:tcPr>
            <w:tcW w:w="1062" w:type="pct"/>
            <w:shd w:val="clear" w:color="auto" w:fill="auto"/>
          </w:tcPr>
          <w:p w14:paraId="3C4EE488" w14:textId="77777777" w:rsidR="00BA172C" w:rsidRPr="00B7364B" w:rsidRDefault="00BA172C" w:rsidP="00B95821">
            <w:pPr>
              <w:keepNext/>
              <w:keepLines/>
              <w:spacing w:before="100" w:after="100"/>
              <w:rPr>
                <w:b/>
                <w:bCs/>
                <w:sz w:val="20"/>
                <w:szCs w:val="20"/>
              </w:rPr>
            </w:pPr>
            <w:r w:rsidRPr="00B7364B">
              <w:rPr>
                <w:b/>
                <w:bCs/>
                <w:sz w:val="20"/>
                <w:szCs w:val="20"/>
              </w:rPr>
              <w:t xml:space="preserve">Standard national MMS </w:t>
            </w:r>
            <w:r w:rsidRPr="00B7364B">
              <w:rPr>
                <w:sz w:val="20"/>
                <w:szCs w:val="20"/>
              </w:rPr>
              <w:t>(per message)</w:t>
            </w:r>
          </w:p>
        </w:tc>
        <w:tc>
          <w:tcPr>
            <w:tcW w:w="787" w:type="pct"/>
            <w:vAlign w:val="center"/>
          </w:tcPr>
          <w:p w14:paraId="39A1F971" w14:textId="77777777" w:rsidR="00BA172C" w:rsidRPr="00B7364B" w:rsidRDefault="00BA172C" w:rsidP="00B95821">
            <w:pPr>
              <w:keepNext/>
              <w:keepLines/>
              <w:spacing w:before="100" w:after="100"/>
              <w:jc w:val="center"/>
              <w:rPr>
                <w:sz w:val="20"/>
                <w:szCs w:val="20"/>
              </w:rPr>
            </w:pPr>
            <w:r w:rsidRPr="00B7364B">
              <w:rPr>
                <w:sz w:val="20"/>
                <w:szCs w:val="20"/>
              </w:rPr>
              <w:t>Unlimited</w:t>
            </w:r>
          </w:p>
        </w:tc>
        <w:tc>
          <w:tcPr>
            <w:tcW w:w="788" w:type="pct"/>
            <w:shd w:val="clear" w:color="auto" w:fill="auto"/>
            <w:vAlign w:val="center"/>
          </w:tcPr>
          <w:p w14:paraId="15EB3B32" w14:textId="77777777" w:rsidR="00BA172C" w:rsidRPr="00B7364B" w:rsidRDefault="00BA172C" w:rsidP="00B95821">
            <w:pPr>
              <w:keepNext/>
              <w:keepLines/>
              <w:spacing w:before="100" w:after="100"/>
              <w:jc w:val="center"/>
              <w:rPr>
                <w:sz w:val="20"/>
                <w:szCs w:val="20"/>
              </w:rPr>
            </w:pPr>
            <w:r w:rsidRPr="00B7364B">
              <w:rPr>
                <w:sz w:val="20"/>
                <w:szCs w:val="20"/>
              </w:rPr>
              <w:t>Unlimited</w:t>
            </w:r>
          </w:p>
        </w:tc>
        <w:tc>
          <w:tcPr>
            <w:tcW w:w="787" w:type="pct"/>
            <w:shd w:val="clear" w:color="auto" w:fill="auto"/>
            <w:vAlign w:val="center"/>
          </w:tcPr>
          <w:p w14:paraId="7C4AAA27" w14:textId="77777777" w:rsidR="00BA172C" w:rsidRPr="00B7364B" w:rsidRDefault="00BA172C" w:rsidP="00B95821">
            <w:pPr>
              <w:keepNext/>
              <w:keepLines/>
              <w:spacing w:before="100" w:after="100"/>
              <w:jc w:val="center"/>
              <w:rPr>
                <w:sz w:val="20"/>
                <w:szCs w:val="20"/>
              </w:rPr>
            </w:pPr>
            <w:r w:rsidRPr="00B7364B">
              <w:rPr>
                <w:sz w:val="20"/>
                <w:szCs w:val="20"/>
              </w:rPr>
              <w:t>Unlimited</w:t>
            </w:r>
          </w:p>
        </w:tc>
        <w:tc>
          <w:tcPr>
            <w:tcW w:w="788" w:type="pct"/>
            <w:vAlign w:val="center"/>
          </w:tcPr>
          <w:p w14:paraId="576E94D3" w14:textId="77777777" w:rsidR="00BA172C" w:rsidRPr="00B7364B" w:rsidRDefault="00BA172C" w:rsidP="00B95821">
            <w:pPr>
              <w:keepNext/>
              <w:keepLines/>
              <w:spacing w:before="100" w:after="100"/>
              <w:jc w:val="center"/>
              <w:rPr>
                <w:sz w:val="20"/>
                <w:szCs w:val="20"/>
              </w:rPr>
            </w:pPr>
            <w:r w:rsidRPr="00B7364B">
              <w:rPr>
                <w:sz w:val="20"/>
                <w:szCs w:val="20"/>
              </w:rPr>
              <w:t>Unlimited</w:t>
            </w:r>
          </w:p>
        </w:tc>
        <w:tc>
          <w:tcPr>
            <w:tcW w:w="788" w:type="pct"/>
            <w:vAlign w:val="center"/>
          </w:tcPr>
          <w:p w14:paraId="485049D4" w14:textId="77777777" w:rsidR="00BA172C" w:rsidRPr="00B7364B" w:rsidRDefault="00BA172C" w:rsidP="00B95821">
            <w:pPr>
              <w:keepNext/>
              <w:keepLines/>
              <w:spacing w:before="100" w:after="100"/>
              <w:jc w:val="center"/>
              <w:rPr>
                <w:sz w:val="20"/>
                <w:szCs w:val="20"/>
              </w:rPr>
            </w:pPr>
            <w:r w:rsidRPr="00B7364B">
              <w:rPr>
                <w:sz w:val="20"/>
                <w:szCs w:val="20"/>
              </w:rPr>
              <w:t>Unlimited</w:t>
            </w:r>
          </w:p>
        </w:tc>
      </w:tr>
      <w:tr w:rsidR="00BA172C" w:rsidRPr="00B7364B" w14:paraId="593D37E2" w14:textId="77777777" w:rsidTr="00B95821">
        <w:tc>
          <w:tcPr>
            <w:tcW w:w="1062" w:type="pct"/>
            <w:shd w:val="clear" w:color="auto" w:fill="auto"/>
          </w:tcPr>
          <w:p w14:paraId="1E74B258" w14:textId="77777777" w:rsidR="00BA172C" w:rsidRPr="00B7364B" w:rsidRDefault="00BA172C" w:rsidP="00B95821">
            <w:pPr>
              <w:spacing w:before="100" w:after="100"/>
              <w:rPr>
                <w:b/>
                <w:bCs/>
                <w:sz w:val="20"/>
                <w:szCs w:val="20"/>
              </w:rPr>
            </w:pPr>
            <w:r w:rsidRPr="00B7364B">
              <w:rPr>
                <w:b/>
                <w:bCs/>
                <w:sz w:val="20"/>
                <w:szCs w:val="20"/>
              </w:rPr>
              <w:t xml:space="preserve">Standard international SMS </w:t>
            </w:r>
            <w:r w:rsidRPr="00B7364B">
              <w:rPr>
                <w:sz w:val="20"/>
                <w:szCs w:val="20"/>
              </w:rPr>
              <w:t>(per SMS of up to 160 standard characters to selected countries)</w:t>
            </w:r>
          </w:p>
        </w:tc>
        <w:tc>
          <w:tcPr>
            <w:tcW w:w="787" w:type="pct"/>
            <w:vAlign w:val="center"/>
          </w:tcPr>
          <w:p w14:paraId="7DEA9E26" w14:textId="77777777" w:rsidR="00BA172C" w:rsidRPr="00B7364B" w:rsidRDefault="00BA172C" w:rsidP="00B95821">
            <w:pPr>
              <w:spacing w:before="100" w:after="100"/>
              <w:jc w:val="center"/>
              <w:rPr>
                <w:sz w:val="20"/>
                <w:szCs w:val="20"/>
              </w:rPr>
            </w:pPr>
            <w:r w:rsidRPr="00B7364B">
              <w:rPr>
                <w:sz w:val="20"/>
                <w:szCs w:val="20"/>
              </w:rPr>
              <w:t>Unlimited</w:t>
            </w:r>
          </w:p>
        </w:tc>
        <w:tc>
          <w:tcPr>
            <w:tcW w:w="788" w:type="pct"/>
            <w:shd w:val="clear" w:color="auto" w:fill="auto"/>
            <w:vAlign w:val="center"/>
          </w:tcPr>
          <w:p w14:paraId="2CC2233F" w14:textId="77777777" w:rsidR="00BA172C" w:rsidRPr="00B7364B" w:rsidRDefault="00BA172C" w:rsidP="00B95821">
            <w:pPr>
              <w:spacing w:before="100" w:after="100"/>
              <w:jc w:val="center"/>
              <w:rPr>
                <w:sz w:val="20"/>
                <w:szCs w:val="20"/>
              </w:rPr>
            </w:pPr>
            <w:r w:rsidRPr="00B7364B">
              <w:rPr>
                <w:sz w:val="20"/>
                <w:szCs w:val="20"/>
              </w:rPr>
              <w:t>Unlimited</w:t>
            </w:r>
          </w:p>
        </w:tc>
        <w:tc>
          <w:tcPr>
            <w:tcW w:w="787" w:type="pct"/>
            <w:shd w:val="clear" w:color="auto" w:fill="auto"/>
            <w:vAlign w:val="center"/>
          </w:tcPr>
          <w:p w14:paraId="2ECF0313" w14:textId="77777777" w:rsidR="00BA172C" w:rsidRPr="00B7364B" w:rsidRDefault="00BA172C" w:rsidP="00B95821">
            <w:pPr>
              <w:spacing w:before="100" w:after="100"/>
              <w:jc w:val="center"/>
              <w:rPr>
                <w:sz w:val="20"/>
                <w:szCs w:val="20"/>
              </w:rPr>
            </w:pPr>
            <w:r w:rsidRPr="00B7364B">
              <w:rPr>
                <w:sz w:val="20"/>
                <w:szCs w:val="20"/>
              </w:rPr>
              <w:t>Unlimited</w:t>
            </w:r>
          </w:p>
        </w:tc>
        <w:tc>
          <w:tcPr>
            <w:tcW w:w="788" w:type="pct"/>
            <w:vAlign w:val="center"/>
          </w:tcPr>
          <w:p w14:paraId="56B5CBEA" w14:textId="77777777" w:rsidR="00BA172C" w:rsidRPr="00B7364B" w:rsidRDefault="00BA172C" w:rsidP="00B95821">
            <w:pPr>
              <w:spacing w:before="100" w:after="100"/>
              <w:jc w:val="center"/>
              <w:rPr>
                <w:sz w:val="20"/>
                <w:szCs w:val="20"/>
              </w:rPr>
            </w:pPr>
            <w:r w:rsidRPr="00B7364B">
              <w:rPr>
                <w:sz w:val="20"/>
                <w:szCs w:val="20"/>
              </w:rPr>
              <w:t>Unlimited</w:t>
            </w:r>
          </w:p>
        </w:tc>
        <w:tc>
          <w:tcPr>
            <w:tcW w:w="788" w:type="pct"/>
            <w:vAlign w:val="center"/>
          </w:tcPr>
          <w:p w14:paraId="175CABF3" w14:textId="77777777" w:rsidR="00BA172C" w:rsidRPr="00B7364B" w:rsidRDefault="00BA172C" w:rsidP="00B95821">
            <w:pPr>
              <w:spacing w:before="100" w:after="100"/>
              <w:jc w:val="center"/>
              <w:rPr>
                <w:sz w:val="20"/>
                <w:szCs w:val="20"/>
              </w:rPr>
            </w:pPr>
            <w:r w:rsidRPr="00B7364B">
              <w:rPr>
                <w:sz w:val="20"/>
                <w:szCs w:val="20"/>
              </w:rPr>
              <w:t>Unlimited</w:t>
            </w:r>
          </w:p>
        </w:tc>
      </w:tr>
      <w:tr w:rsidR="00BA172C" w:rsidRPr="00B7364B" w14:paraId="4C3ADBB3" w14:textId="77777777" w:rsidTr="00B95821">
        <w:tc>
          <w:tcPr>
            <w:tcW w:w="1062" w:type="pct"/>
            <w:shd w:val="clear" w:color="auto" w:fill="auto"/>
          </w:tcPr>
          <w:p w14:paraId="1C95B232" w14:textId="77777777" w:rsidR="00BA172C" w:rsidRPr="00B7364B" w:rsidRDefault="00BA172C" w:rsidP="00B95821">
            <w:pPr>
              <w:spacing w:before="100" w:after="100"/>
              <w:rPr>
                <w:b/>
                <w:bCs/>
                <w:sz w:val="20"/>
                <w:szCs w:val="20"/>
              </w:rPr>
            </w:pPr>
            <w:r w:rsidRPr="00B7364B">
              <w:rPr>
                <w:b/>
                <w:bCs/>
                <w:sz w:val="20"/>
                <w:szCs w:val="20"/>
              </w:rPr>
              <w:t xml:space="preserve">Standard international MMS </w:t>
            </w:r>
            <w:r w:rsidRPr="00B7364B">
              <w:rPr>
                <w:sz w:val="20"/>
                <w:szCs w:val="20"/>
              </w:rPr>
              <w:t>(per message to selected countries)</w:t>
            </w:r>
          </w:p>
        </w:tc>
        <w:tc>
          <w:tcPr>
            <w:tcW w:w="787" w:type="pct"/>
            <w:vAlign w:val="center"/>
          </w:tcPr>
          <w:p w14:paraId="35E1DA84" w14:textId="77777777" w:rsidR="00BA172C" w:rsidRPr="00B7364B" w:rsidRDefault="00BA172C" w:rsidP="00B95821">
            <w:pPr>
              <w:spacing w:before="100" w:after="100"/>
              <w:jc w:val="center"/>
              <w:rPr>
                <w:sz w:val="20"/>
                <w:szCs w:val="20"/>
              </w:rPr>
            </w:pPr>
            <w:r w:rsidRPr="00B7364B">
              <w:rPr>
                <w:sz w:val="20"/>
                <w:szCs w:val="20"/>
              </w:rPr>
              <w:t>Unlimited</w:t>
            </w:r>
          </w:p>
        </w:tc>
        <w:tc>
          <w:tcPr>
            <w:tcW w:w="788" w:type="pct"/>
            <w:shd w:val="clear" w:color="auto" w:fill="auto"/>
            <w:vAlign w:val="center"/>
          </w:tcPr>
          <w:p w14:paraId="3488D631" w14:textId="77777777" w:rsidR="00BA172C" w:rsidRPr="00B7364B" w:rsidRDefault="00BA172C" w:rsidP="00B95821">
            <w:pPr>
              <w:spacing w:before="100" w:after="100"/>
              <w:jc w:val="center"/>
              <w:rPr>
                <w:sz w:val="20"/>
                <w:szCs w:val="20"/>
              </w:rPr>
            </w:pPr>
            <w:r w:rsidRPr="00B7364B">
              <w:rPr>
                <w:sz w:val="20"/>
                <w:szCs w:val="20"/>
              </w:rPr>
              <w:t>Unlimited</w:t>
            </w:r>
          </w:p>
        </w:tc>
        <w:tc>
          <w:tcPr>
            <w:tcW w:w="787" w:type="pct"/>
            <w:shd w:val="clear" w:color="auto" w:fill="auto"/>
            <w:vAlign w:val="center"/>
          </w:tcPr>
          <w:p w14:paraId="008DE049" w14:textId="77777777" w:rsidR="00BA172C" w:rsidRPr="00B7364B" w:rsidRDefault="00BA172C" w:rsidP="00B95821">
            <w:pPr>
              <w:spacing w:before="100" w:after="100"/>
              <w:jc w:val="center"/>
              <w:rPr>
                <w:sz w:val="20"/>
                <w:szCs w:val="20"/>
              </w:rPr>
            </w:pPr>
            <w:r w:rsidRPr="00B7364B">
              <w:rPr>
                <w:sz w:val="20"/>
                <w:szCs w:val="20"/>
              </w:rPr>
              <w:t>Unlimited</w:t>
            </w:r>
          </w:p>
        </w:tc>
        <w:tc>
          <w:tcPr>
            <w:tcW w:w="788" w:type="pct"/>
            <w:vAlign w:val="center"/>
          </w:tcPr>
          <w:p w14:paraId="5DE1F2C3" w14:textId="77777777" w:rsidR="00BA172C" w:rsidRPr="00B7364B" w:rsidRDefault="00BA172C" w:rsidP="00B95821">
            <w:pPr>
              <w:spacing w:before="100" w:after="100"/>
              <w:jc w:val="center"/>
              <w:rPr>
                <w:sz w:val="20"/>
                <w:szCs w:val="20"/>
              </w:rPr>
            </w:pPr>
            <w:r w:rsidRPr="00B7364B">
              <w:rPr>
                <w:sz w:val="20"/>
                <w:szCs w:val="20"/>
              </w:rPr>
              <w:t>Unlimited</w:t>
            </w:r>
          </w:p>
        </w:tc>
        <w:tc>
          <w:tcPr>
            <w:tcW w:w="788" w:type="pct"/>
            <w:vAlign w:val="center"/>
          </w:tcPr>
          <w:p w14:paraId="402AFD0E" w14:textId="77777777" w:rsidR="00BA172C" w:rsidRPr="00B7364B" w:rsidRDefault="00BA172C" w:rsidP="00B95821">
            <w:pPr>
              <w:spacing w:before="100" w:after="100"/>
              <w:jc w:val="center"/>
              <w:rPr>
                <w:sz w:val="20"/>
                <w:szCs w:val="20"/>
              </w:rPr>
            </w:pPr>
            <w:r w:rsidRPr="00B7364B">
              <w:rPr>
                <w:sz w:val="20"/>
                <w:szCs w:val="20"/>
              </w:rPr>
              <w:t>Unlimited</w:t>
            </w:r>
          </w:p>
        </w:tc>
      </w:tr>
      <w:tr w:rsidR="00BA172C" w:rsidRPr="00B7364B" w14:paraId="4EF3543A" w14:textId="77777777" w:rsidTr="00B95821">
        <w:tc>
          <w:tcPr>
            <w:tcW w:w="1062" w:type="pct"/>
            <w:shd w:val="clear" w:color="auto" w:fill="auto"/>
          </w:tcPr>
          <w:p w14:paraId="090B4529" w14:textId="77777777" w:rsidR="00BA172C" w:rsidRPr="00B7364B" w:rsidRDefault="00BA172C" w:rsidP="00B95821">
            <w:pPr>
              <w:spacing w:before="100" w:after="100"/>
              <w:rPr>
                <w:b/>
                <w:bCs/>
                <w:sz w:val="20"/>
                <w:szCs w:val="20"/>
              </w:rPr>
            </w:pPr>
            <w:r w:rsidRPr="00B7364B">
              <w:rPr>
                <w:b/>
                <w:bCs/>
                <w:snapToGrid w:val="0"/>
                <w:sz w:val="20"/>
                <w:szCs w:val="20"/>
              </w:rPr>
              <w:t>Optus Travel™ Pack</w:t>
            </w:r>
          </w:p>
        </w:tc>
        <w:tc>
          <w:tcPr>
            <w:tcW w:w="787" w:type="pct"/>
          </w:tcPr>
          <w:p w14:paraId="1068F549" w14:textId="77777777" w:rsidR="00BA172C" w:rsidRPr="00B7364B" w:rsidRDefault="00BA172C" w:rsidP="00B95821">
            <w:pPr>
              <w:spacing w:before="100" w:after="100"/>
              <w:jc w:val="center"/>
              <w:rPr>
                <w:sz w:val="20"/>
                <w:szCs w:val="20"/>
              </w:rPr>
            </w:pPr>
            <w:r w:rsidRPr="00B7364B">
              <w:rPr>
                <w:sz w:val="20"/>
                <w:szCs w:val="20"/>
              </w:rPr>
              <w:t>$5 per Day</w:t>
            </w:r>
          </w:p>
        </w:tc>
        <w:tc>
          <w:tcPr>
            <w:tcW w:w="788" w:type="pct"/>
            <w:shd w:val="clear" w:color="auto" w:fill="auto"/>
          </w:tcPr>
          <w:p w14:paraId="2596BE9F" w14:textId="77777777" w:rsidR="00BA172C" w:rsidRPr="00B7364B" w:rsidRDefault="00BA172C" w:rsidP="00B95821">
            <w:pPr>
              <w:spacing w:before="100" w:after="100"/>
              <w:jc w:val="center"/>
              <w:rPr>
                <w:sz w:val="20"/>
                <w:szCs w:val="20"/>
              </w:rPr>
            </w:pPr>
            <w:r w:rsidRPr="00B7364B">
              <w:rPr>
                <w:sz w:val="20"/>
                <w:szCs w:val="20"/>
              </w:rPr>
              <w:t>$5 per Day</w:t>
            </w:r>
          </w:p>
        </w:tc>
        <w:tc>
          <w:tcPr>
            <w:tcW w:w="787" w:type="pct"/>
            <w:shd w:val="clear" w:color="auto" w:fill="auto"/>
          </w:tcPr>
          <w:p w14:paraId="231BB015" w14:textId="77777777" w:rsidR="00BA172C" w:rsidRPr="00B7364B" w:rsidRDefault="00BA172C" w:rsidP="00B95821">
            <w:pPr>
              <w:spacing w:before="100" w:after="100"/>
              <w:jc w:val="center"/>
              <w:rPr>
                <w:sz w:val="20"/>
                <w:szCs w:val="20"/>
              </w:rPr>
            </w:pPr>
            <w:r w:rsidRPr="00B7364B">
              <w:rPr>
                <w:sz w:val="20"/>
                <w:szCs w:val="20"/>
              </w:rPr>
              <w:t>$5 per Day</w:t>
            </w:r>
          </w:p>
        </w:tc>
        <w:tc>
          <w:tcPr>
            <w:tcW w:w="788" w:type="pct"/>
            <w:vAlign w:val="center"/>
          </w:tcPr>
          <w:p w14:paraId="783ED2B1" w14:textId="77777777" w:rsidR="00BA172C" w:rsidRPr="00B7364B" w:rsidRDefault="00BA172C" w:rsidP="00B95821">
            <w:pPr>
              <w:spacing w:before="100" w:after="100"/>
              <w:jc w:val="center"/>
              <w:rPr>
                <w:sz w:val="20"/>
                <w:szCs w:val="20"/>
              </w:rPr>
            </w:pPr>
            <w:r w:rsidRPr="00B7364B">
              <w:rPr>
                <w:sz w:val="20"/>
                <w:szCs w:val="20"/>
              </w:rPr>
              <w:t>Not applicable</w:t>
            </w:r>
          </w:p>
        </w:tc>
        <w:tc>
          <w:tcPr>
            <w:tcW w:w="788" w:type="pct"/>
            <w:vAlign w:val="center"/>
          </w:tcPr>
          <w:p w14:paraId="1D25D1EE" w14:textId="77777777" w:rsidR="00BA172C" w:rsidRPr="00B7364B" w:rsidRDefault="00BA172C" w:rsidP="00B95821">
            <w:pPr>
              <w:spacing w:before="100" w:after="100"/>
              <w:jc w:val="center"/>
              <w:rPr>
                <w:sz w:val="20"/>
                <w:szCs w:val="20"/>
              </w:rPr>
            </w:pPr>
            <w:r w:rsidRPr="00B7364B">
              <w:rPr>
                <w:sz w:val="20"/>
                <w:szCs w:val="20"/>
              </w:rPr>
              <w:t>Not applicable</w:t>
            </w:r>
          </w:p>
        </w:tc>
      </w:tr>
      <w:tr w:rsidR="00BA172C" w:rsidRPr="00B7364B" w14:paraId="2B9D258F" w14:textId="77777777" w:rsidTr="00B95821">
        <w:tc>
          <w:tcPr>
            <w:tcW w:w="1062" w:type="pct"/>
            <w:shd w:val="clear" w:color="auto" w:fill="auto"/>
          </w:tcPr>
          <w:p w14:paraId="67F31AD2" w14:textId="77777777" w:rsidR="00BA172C" w:rsidRPr="00B7364B" w:rsidRDefault="00BA172C" w:rsidP="00B95821">
            <w:pPr>
              <w:spacing w:before="100" w:after="100"/>
              <w:rPr>
                <w:b/>
                <w:bCs/>
                <w:snapToGrid w:val="0"/>
                <w:sz w:val="20"/>
                <w:szCs w:val="20"/>
              </w:rPr>
            </w:pPr>
            <w:r w:rsidRPr="00B7364B">
              <w:rPr>
                <w:b/>
                <w:bCs/>
                <w:snapToGrid w:val="0"/>
                <w:sz w:val="20"/>
                <w:szCs w:val="20"/>
              </w:rPr>
              <w:t>International Roaming Data for use in Zone 1 Countries</w:t>
            </w:r>
          </w:p>
        </w:tc>
        <w:tc>
          <w:tcPr>
            <w:tcW w:w="787" w:type="pct"/>
            <w:vAlign w:val="center"/>
          </w:tcPr>
          <w:p w14:paraId="7458DDC0" w14:textId="77777777" w:rsidR="00BA172C" w:rsidRPr="00B7364B" w:rsidRDefault="00BA172C" w:rsidP="00B95821">
            <w:pPr>
              <w:spacing w:before="100" w:after="100"/>
              <w:jc w:val="center"/>
              <w:rPr>
                <w:sz w:val="20"/>
                <w:szCs w:val="20"/>
              </w:rPr>
            </w:pPr>
            <w:r w:rsidRPr="00B7364B">
              <w:rPr>
                <w:sz w:val="20"/>
                <w:szCs w:val="20"/>
              </w:rPr>
              <w:t>Not applicable</w:t>
            </w:r>
          </w:p>
        </w:tc>
        <w:tc>
          <w:tcPr>
            <w:tcW w:w="788" w:type="pct"/>
            <w:shd w:val="clear" w:color="auto" w:fill="auto"/>
            <w:vAlign w:val="center"/>
          </w:tcPr>
          <w:p w14:paraId="10400B6F" w14:textId="77777777" w:rsidR="00BA172C" w:rsidRPr="00B7364B" w:rsidRDefault="00BA172C" w:rsidP="00B95821">
            <w:pPr>
              <w:spacing w:before="100" w:after="100"/>
              <w:jc w:val="center"/>
              <w:rPr>
                <w:sz w:val="20"/>
                <w:szCs w:val="20"/>
              </w:rPr>
            </w:pPr>
            <w:r w:rsidRPr="00B7364B">
              <w:rPr>
                <w:sz w:val="20"/>
                <w:szCs w:val="20"/>
              </w:rPr>
              <w:t>Not applicable</w:t>
            </w:r>
          </w:p>
        </w:tc>
        <w:tc>
          <w:tcPr>
            <w:tcW w:w="787" w:type="pct"/>
            <w:shd w:val="clear" w:color="auto" w:fill="auto"/>
            <w:vAlign w:val="center"/>
          </w:tcPr>
          <w:p w14:paraId="04035E65" w14:textId="77777777" w:rsidR="00BA172C" w:rsidRPr="00B7364B" w:rsidRDefault="00BA172C" w:rsidP="00B95821">
            <w:pPr>
              <w:spacing w:before="100" w:after="100"/>
              <w:jc w:val="center"/>
              <w:rPr>
                <w:sz w:val="20"/>
                <w:szCs w:val="20"/>
              </w:rPr>
            </w:pPr>
            <w:r w:rsidRPr="00B7364B">
              <w:rPr>
                <w:sz w:val="20"/>
                <w:szCs w:val="20"/>
              </w:rPr>
              <w:t>Not applicable</w:t>
            </w:r>
          </w:p>
        </w:tc>
        <w:tc>
          <w:tcPr>
            <w:tcW w:w="788" w:type="pct"/>
            <w:vAlign w:val="center"/>
          </w:tcPr>
          <w:p w14:paraId="1048FD98" w14:textId="77777777" w:rsidR="00BA172C" w:rsidRPr="00B7364B" w:rsidRDefault="00BA172C" w:rsidP="00B95821">
            <w:pPr>
              <w:spacing w:before="100" w:after="100"/>
              <w:jc w:val="center"/>
              <w:rPr>
                <w:sz w:val="20"/>
                <w:szCs w:val="20"/>
              </w:rPr>
            </w:pPr>
            <w:r w:rsidRPr="00B7364B">
              <w:rPr>
                <w:sz w:val="20"/>
                <w:szCs w:val="20"/>
              </w:rPr>
              <w:t>1GB</w:t>
            </w:r>
          </w:p>
        </w:tc>
        <w:tc>
          <w:tcPr>
            <w:tcW w:w="788" w:type="pct"/>
            <w:vAlign w:val="center"/>
          </w:tcPr>
          <w:p w14:paraId="5B356CD6" w14:textId="77777777" w:rsidR="00BA172C" w:rsidRPr="00B7364B" w:rsidRDefault="00BA172C" w:rsidP="00B95821">
            <w:pPr>
              <w:spacing w:before="100" w:after="100"/>
              <w:jc w:val="center"/>
              <w:rPr>
                <w:sz w:val="20"/>
                <w:szCs w:val="20"/>
              </w:rPr>
            </w:pPr>
            <w:r w:rsidRPr="00B7364B">
              <w:rPr>
                <w:sz w:val="20"/>
                <w:szCs w:val="20"/>
              </w:rPr>
              <w:t>1.5GB</w:t>
            </w:r>
          </w:p>
        </w:tc>
      </w:tr>
      <w:tr w:rsidR="00BA172C" w:rsidRPr="00B7364B" w14:paraId="29E70A94" w14:textId="77777777" w:rsidTr="00B95821">
        <w:tc>
          <w:tcPr>
            <w:tcW w:w="1062" w:type="pct"/>
            <w:shd w:val="clear" w:color="auto" w:fill="auto"/>
          </w:tcPr>
          <w:p w14:paraId="46B6B44B" w14:textId="77777777" w:rsidR="00BA172C" w:rsidRPr="00B7364B" w:rsidRDefault="00BA172C" w:rsidP="00B95821">
            <w:pPr>
              <w:spacing w:before="100" w:after="100"/>
              <w:rPr>
                <w:b/>
                <w:bCs/>
                <w:sz w:val="20"/>
                <w:szCs w:val="20"/>
              </w:rPr>
            </w:pPr>
            <w:r w:rsidRPr="00B7364B">
              <w:rPr>
                <w:b/>
                <w:bCs/>
                <w:sz w:val="20"/>
                <w:szCs w:val="20"/>
              </w:rPr>
              <w:t xml:space="preserve">Minimum total cost over 24 months </w:t>
            </w:r>
          </w:p>
        </w:tc>
        <w:tc>
          <w:tcPr>
            <w:tcW w:w="787" w:type="pct"/>
            <w:vAlign w:val="center"/>
          </w:tcPr>
          <w:p w14:paraId="6A2F76D0" w14:textId="77777777" w:rsidR="00BA172C" w:rsidRPr="00B7364B" w:rsidRDefault="00BA172C" w:rsidP="00B95821">
            <w:pPr>
              <w:spacing w:before="100" w:after="100"/>
              <w:jc w:val="center"/>
              <w:rPr>
                <w:sz w:val="20"/>
                <w:szCs w:val="20"/>
              </w:rPr>
            </w:pPr>
            <w:r w:rsidRPr="00B7364B">
              <w:rPr>
                <w:sz w:val="20"/>
                <w:szCs w:val="20"/>
              </w:rPr>
              <w:t>$1080</w:t>
            </w:r>
          </w:p>
        </w:tc>
        <w:tc>
          <w:tcPr>
            <w:tcW w:w="788" w:type="pct"/>
            <w:shd w:val="clear" w:color="auto" w:fill="auto"/>
            <w:vAlign w:val="center"/>
          </w:tcPr>
          <w:p w14:paraId="39EDF409" w14:textId="77777777" w:rsidR="00BA172C" w:rsidRPr="00B7364B" w:rsidRDefault="00BA172C" w:rsidP="00B95821">
            <w:pPr>
              <w:spacing w:before="100" w:after="100"/>
              <w:jc w:val="center"/>
              <w:rPr>
                <w:sz w:val="20"/>
                <w:szCs w:val="20"/>
              </w:rPr>
            </w:pPr>
            <w:r w:rsidRPr="00B7364B">
              <w:rPr>
                <w:sz w:val="20"/>
                <w:szCs w:val="20"/>
              </w:rPr>
              <w:t>$1680</w:t>
            </w:r>
          </w:p>
        </w:tc>
        <w:tc>
          <w:tcPr>
            <w:tcW w:w="787" w:type="pct"/>
            <w:shd w:val="clear" w:color="auto" w:fill="auto"/>
            <w:vAlign w:val="center"/>
          </w:tcPr>
          <w:p w14:paraId="78B7DB60" w14:textId="77777777" w:rsidR="00BA172C" w:rsidRPr="00B7364B" w:rsidRDefault="00BA172C" w:rsidP="00B95821">
            <w:pPr>
              <w:spacing w:before="100" w:after="100"/>
              <w:jc w:val="center"/>
              <w:rPr>
                <w:sz w:val="20"/>
                <w:szCs w:val="20"/>
              </w:rPr>
            </w:pPr>
            <w:r w:rsidRPr="00B7364B">
              <w:rPr>
                <w:sz w:val="20"/>
                <w:szCs w:val="20"/>
              </w:rPr>
              <w:t>$2160</w:t>
            </w:r>
          </w:p>
        </w:tc>
        <w:tc>
          <w:tcPr>
            <w:tcW w:w="788" w:type="pct"/>
            <w:vAlign w:val="center"/>
          </w:tcPr>
          <w:p w14:paraId="4067F779" w14:textId="77777777" w:rsidR="00BA172C" w:rsidRPr="00B7364B" w:rsidRDefault="00BA172C" w:rsidP="00B95821">
            <w:pPr>
              <w:spacing w:before="100" w:after="100"/>
              <w:jc w:val="center"/>
              <w:rPr>
                <w:sz w:val="20"/>
                <w:szCs w:val="20"/>
              </w:rPr>
            </w:pPr>
            <w:r w:rsidRPr="00B7364B">
              <w:rPr>
                <w:sz w:val="20"/>
                <w:szCs w:val="20"/>
              </w:rPr>
              <w:t>$2520</w:t>
            </w:r>
          </w:p>
        </w:tc>
        <w:tc>
          <w:tcPr>
            <w:tcW w:w="788" w:type="pct"/>
            <w:vAlign w:val="center"/>
          </w:tcPr>
          <w:p w14:paraId="6F8DB1B3" w14:textId="77777777" w:rsidR="00BA172C" w:rsidRPr="00B7364B" w:rsidRDefault="00BA172C" w:rsidP="00B95821">
            <w:pPr>
              <w:spacing w:before="100" w:after="100"/>
              <w:jc w:val="center"/>
              <w:rPr>
                <w:sz w:val="20"/>
                <w:szCs w:val="20"/>
              </w:rPr>
            </w:pPr>
            <w:r w:rsidRPr="00B7364B">
              <w:rPr>
                <w:sz w:val="20"/>
                <w:szCs w:val="20"/>
              </w:rPr>
              <w:t>$3</w:t>
            </w:r>
            <w:r>
              <w:rPr>
                <w:sz w:val="20"/>
                <w:szCs w:val="20"/>
              </w:rPr>
              <w:t>120</w:t>
            </w:r>
          </w:p>
        </w:tc>
      </w:tr>
    </w:tbl>
    <w:p w14:paraId="1F8D8EA2" w14:textId="77777777" w:rsidR="00BA172C" w:rsidRPr="00B7364B" w:rsidRDefault="00BA172C" w:rsidP="00BA172C">
      <w:pPr>
        <w:spacing w:after="120"/>
        <w:jc w:val="center"/>
        <w:rPr>
          <w:rFonts w:cs="Arial"/>
          <w:b/>
          <w:sz w:val="20"/>
          <w:szCs w:val="20"/>
        </w:rPr>
      </w:pPr>
    </w:p>
    <w:p w14:paraId="14A59F8A" w14:textId="77777777" w:rsidR="00BA172C" w:rsidRPr="00B7364B" w:rsidRDefault="00BA172C" w:rsidP="00BA172C">
      <w:pPr>
        <w:spacing w:after="120"/>
        <w:ind w:left="709"/>
        <w:rPr>
          <w:rFonts w:cs="Arial"/>
          <w:sz w:val="20"/>
          <w:szCs w:val="20"/>
        </w:rPr>
      </w:pPr>
      <w:r w:rsidRPr="00B7364B">
        <w:rPr>
          <w:rFonts w:cs="Arial"/>
          <w:b/>
          <w:sz w:val="20"/>
          <w:szCs w:val="20"/>
        </w:rPr>
        <w:t>Table 2 – Other usage types and charges</w:t>
      </w:r>
    </w:p>
    <w:tbl>
      <w:tblPr>
        <w:tblW w:w="949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5244"/>
      </w:tblGrid>
      <w:tr w:rsidR="00BA172C" w:rsidRPr="00B7364B" w14:paraId="18EA4668" w14:textId="77777777" w:rsidTr="00B95821">
        <w:tc>
          <w:tcPr>
            <w:tcW w:w="4253" w:type="dxa"/>
            <w:shd w:val="clear" w:color="auto" w:fill="auto"/>
          </w:tcPr>
          <w:p w14:paraId="30E63DF0" w14:textId="77777777" w:rsidR="00BA172C" w:rsidRPr="00B7364B" w:rsidRDefault="00BA172C" w:rsidP="00B95821">
            <w:pPr>
              <w:rPr>
                <w:rFonts w:eastAsia="Calibri" w:cs="Arial"/>
                <w:b/>
                <w:sz w:val="20"/>
                <w:szCs w:val="20"/>
              </w:rPr>
            </w:pPr>
            <w:r w:rsidRPr="00B7364B">
              <w:rPr>
                <w:rFonts w:eastAsia="Calibri" w:cs="Arial"/>
                <w:b/>
                <w:sz w:val="20"/>
                <w:szCs w:val="20"/>
              </w:rPr>
              <w:t>Usage type</w:t>
            </w:r>
          </w:p>
        </w:tc>
        <w:tc>
          <w:tcPr>
            <w:tcW w:w="5244" w:type="dxa"/>
            <w:shd w:val="clear" w:color="auto" w:fill="auto"/>
            <w:vAlign w:val="center"/>
          </w:tcPr>
          <w:p w14:paraId="0BE2DAA3" w14:textId="77777777" w:rsidR="00BA172C" w:rsidRPr="00B7364B" w:rsidRDefault="00BA172C" w:rsidP="00B95821">
            <w:pPr>
              <w:jc w:val="center"/>
              <w:rPr>
                <w:rFonts w:eastAsia="Calibri" w:cs="Arial"/>
                <w:b/>
                <w:sz w:val="20"/>
                <w:szCs w:val="20"/>
              </w:rPr>
            </w:pPr>
            <w:r w:rsidRPr="00B7364B">
              <w:rPr>
                <w:rFonts w:eastAsia="Calibri" w:cs="Arial"/>
                <w:b/>
                <w:sz w:val="20"/>
                <w:szCs w:val="20"/>
              </w:rPr>
              <w:t>Charge</w:t>
            </w:r>
          </w:p>
        </w:tc>
      </w:tr>
      <w:tr w:rsidR="00BA172C" w:rsidRPr="00B7364B" w14:paraId="3A5ABFE1" w14:textId="77777777" w:rsidTr="00B95821">
        <w:tc>
          <w:tcPr>
            <w:tcW w:w="4253" w:type="dxa"/>
            <w:shd w:val="clear" w:color="auto" w:fill="auto"/>
          </w:tcPr>
          <w:p w14:paraId="6E9BB72E" w14:textId="77777777" w:rsidR="00BA172C" w:rsidRPr="00B7364B" w:rsidRDefault="00BA172C" w:rsidP="00B95821">
            <w:pPr>
              <w:spacing w:after="200" w:line="276" w:lineRule="auto"/>
              <w:rPr>
                <w:rFonts w:eastAsia="Calibri" w:cs="Arial"/>
                <w:sz w:val="20"/>
                <w:szCs w:val="20"/>
              </w:rPr>
            </w:pPr>
            <w:r w:rsidRPr="00B7364B">
              <w:rPr>
                <w:rFonts w:eastAsia="Calibri" w:cs="Arial"/>
                <w:b/>
                <w:bCs/>
                <w:sz w:val="20"/>
                <w:szCs w:val="20"/>
              </w:rPr>
              <w:t xml:space="preserve">National video calls </w:t>
            </w:r>
            <w:r w:rsidRPr="00B7364B">
              <w:rPr>
                <w:rFonts w:eastAsia="Calibri" w:cs="Arial"/>
                <w:sz w:val="20"/>
                <w:szCs w:val="20"/>
              </w:rPr>
              <w:t>(per minute)</w:t>
            </w:r>
          </w:p>
        </w:tc>
        <w:tc>
          <w:tcPr>
            <w:tcW w:w="5244" w:type="dxa"/>
            <w:shd w:val="clear" w:color="auto" w:fill="auto"/>
            <w:vAlign w:val="center"/>
          </w:tcPr>
          <w:p w14:paraId="66CF50C7" w14:textId="77777777" w:rsidR="00BA172C" w:rsidRPr="00B7364B" w:rsidRDefault="00BA172C" w:rsidP="00B95821">
            <w:pPr>
              <w:jc w:val="center"/>
              <w:rPr>
                <w:rFonts w:eastAsia="Calibri" w:cs="Arial"/>
                <w:sz w:val="20"/>
                <w:szCs w:val="20"/>
              </w:rPr>
            </w:pPr>
            <w:r w:rsidRPr="00B7364B">
              <w:rPr>
                <w:rFonts w:eastAsia="Calibri" w:cs="Arial"/>
                <w:sz w:val="20"/>
                <w:szCs w:val="20"/>
              </w:rPr>
              <w:t>$1.00 per min + 40c flagfall</w:t>
            </w:r>
          </w:p>
        </w:tc>
      </w:tr>
      <w:tr w:rsidR="00BA172C" w:rsidRPr="00B7364B" w14:paraId="29DB2267" w14:textId="77777777" w:rsidTr="00B95821">
        <w:tc>
          <w:tcPr>
            <w:tcW w:w="4253" w:type="dxa"/>
            <w:shd w:val="clear" w:color="auto" w:fill="auto"/>
          </w:tcPr>
          <w:p w14:paraId="467FEF8F" w14:textId="77777777" w:rsidR="00BA172C" w:rsidRPr="00B7364B" w:rsidRDefault="00BA172C" w:rsidP="00B95821">
            <w:pPr>
              <w:spacing w:line="276" w:lineRule="auto"/>
              <w:rPr>
                <w:rFonts w:eastAsia="Calibri" w:cs="Arial"/>
                <w:sz w:val="20"/>
                <w:szCs w:val="20"/>
              </w:rPr>
            </w:pPr>
            <w:r w:rsidRPr="00B7364B">
              <w:rPr>
                <w:rFonts w:eastAsia="Calibri" w:cs="Arial"/>
                <w:b/>
                <w:bCs/>
                <w:sz w:val="20"/>
                <w:szCs w:val="20"/>
              </w:rPr>
              <w:t xml:space="preserve">VoiceMail Deposits </w:t>
            </w:r>
          </w:p>
        </w:tc>
        <w:tc>
          <w:tcPr>
            <w:tcW w:w="5244" w:type="dxa"/>
            <w:shd w:val="clear" w:color="auto" w:fill="auto"/>
          </w:tcPr>
          <w:p w14:paraId="35160C1A" w14:textId="77777777" w:rsidR="00BA172C" w:rsidRPr="00B7364B" w:rsidRDefault="00BA172C" w:rsidP="00B95821">
            <w:pPr>
              <w:jc w:val="center"/>
              <w:rPr>
                <w:rFonts w:eastAsia="Calibri" w:cs="Arial"/>
                <w:sz w:val="20"/>
                <w:szCs w:val="20"/>
              </w:rPr>
            </w:pPr>
            <w:r w:rsidRPr="00B7364B">
              <w:rPr>
                <w:rFonts w:eastAsia="Calibri" w:cs="Arial"/>
                <w:sz w:val="20"/>
                <w:szCs w:val="20"/>
              </w:rPr>
              <w:t>$0 per minute</w:t>
            </w:r>
          </w:p>
        </w:tc>
      </w:tr>
      <w:tr w:rsidR="00BA172C" w:rsidRPr="00B7364B" w14:paraId="77428F49" w14:textId="77777777" w:rsidTr="00B95821">
        <w:tc>
          <w:tcPr>
            <w:tcW w:w="4253" w:type="dxa"/>
            <w:shd w:val="clear" w:color="auto" w:fill="auto"/>
          </w:tcPr>
          <w:p w14:paraId="56C3A4E8" w14:textId="77777777" w:rsidR="00BA172C" w:rsidRPr="00B7364B" w:rsidRDefault="00BA172C" w:rsidP="00B95821">
            <w:pPr>
              <w:rPr>
                <w:rFonts w:eastAsia="Calibri" w:cs="Arial"/>
                <w:sz w:val="20"/>
                <w:szCs w:val="20"/>
              </w:rPr>
            </w:pPr>
            <w:r w:rsidRPr="00B7364B">
              <w:rPr>
                <w:rFonts w:eastAsia="Calibri" w:cs="Arial"/>
                <w:b/>
                <w:bCs/>
                <w:sz w:val="20"/>
                <w:szCs w:val="20"/>
              </w:rPr>
              <w:t>Voicemail Diversions</w:t>
            </w:r>
          </w:p>
        </w:tc>
        <w:tc>
          <w:tcPr>
            <w:tcW w:w="5244" w:type="dxa"/>
            <w:shd w:val="clear" w:color="auto" w:fill="auto"/>
          </w:tcPr>
          <w:p w14:paraId="2A9A29CE" w14:textId="77777777" w:rsidR="00BA172C" w:rsidRPr="00B7364B" w:rsidRDefault="00BA172C" w:rsidP="00B95821">
            <w:pPr>
              <w:jc w:val="center"/>
              <w:rPr>
                <w:rFonts w:eastAsia="Calibri" w:cs="Arial"/>
                <w:sz w:val="20"/>
                <w:szCs w:val="20"/>
              </w:rPr>
            </w:pPr>
            <w:r w:rsidRPr="00B7364B">
              <w:rPr>
                <w:rFonts w:eastAsia="Calibri" w:cs="Arial"/>
                <w:sz w:val="20"/>
                <w:szCs w:val="20"/>
              </w:rPr>
              <w:t>$0 per minute</w:t>
            </w:r>
          </w:p>
        </w:tc>
      </w:tr>
      <w:tr w:rsidR="00BA172C" w:rsidRPr="00B7364B" w14:paraId="4E0A10CA" w14:textId="77777777" w:rsidTr="00B95821">
        <w:tc>
          <w:tcPr>
            <w:tcW w:w="4253" w:type="dxa"/>
            <w:shd w:val="clear" w:color="auto" w:fill="auto"/>
          </w:tcPr>
          <w:p w14:paraId="4F7FE059" w14:textId="77777777" w:rsidR="00BA172C" w:rsidRPr="00B7364B" w:rsidRDefault="00BA172C" w:rsidP="00B95821">
            <w:pPr>
              <w:rPr>
                <w:rFonts w:eastAsia="Calibri" w:cs="Arial"/>
                <w:b/>
                <w:bCs/>
                <w:sz w:val="20"/>
                <w:szCs w:val="20"/>
              </w:rPr>
            </w:pPr>
            <w:r w:rsidRPr="00B7364B">
              <w:rPr>
                <w:rFonts w:eastAsia="Calibri" w:cs="Arial"/>
                <w:b/>
                <w:bCs/>
                <w:sz w:val="20"/>
                <w:szCs w:val="20"/>
              </w:rPr>
              <w:t>National Diversions</w:t>
            </w:r>
          </w:p>
        </w:tc>
        <w:tc>
          <w:tcPr>
            <w:tcW w:w="5244" w:type="dxa"/>
            <w:shd w:val="clear" w:color="auto" w:fill="auto"/>
          </w:tcPr>
          <w:p w14:paraId="77CEA7D8" w14:textId="77777777" w:rsidR="00BA172C" w:rsidRPr="00B7364B" w:rsidRDefault="00BA172C" w:rsidP="00B95821">
            <w:pPr>
              <w:jc w:val="center"/>
              <w:rPr>
                <w:rFonts w:eastAsia="Calibri" w:cs="Arial"/>
                <w:sz w:val="20"/>
                <w:szCs w:val="20"/>
              </w:rPr>
            </w:pPr>
            <w:r w:rsidRPr="00B7364B">
              <w:rPr>
                <w:rFonts w:eastAsia="Calibri" w:cs="Arial"/>
                <w:sz w:val="20"/>
                <w:szCs w:val="20"/>
              </w:rPr>
              <w:t>$0 per minute</w:t>
            </w:r>
          </w:p>
        </w:tc>
      </w:tr>
      <w:tr w:rsidR="00BA172C" w:rsidRPr="00B7364B" w14:paraId="52906327" w14:textId="77777777" w:rsidTr="00B95821">
        <w:tc>
          <w:tcPr>
            <w:tcW w:w="4253" w:type="dxa"/>
            <w:shd w:val="clear" w:color="auto" w:fill="auto"/>
          </w:tcPr>
          <w:p w14:paraId="7332F104" w14:textId="77777777" w:rsidR="00BA172C" w:rsidRPr="00B7364B" w:rsidRDefault="00BA172C" w:rsidP="00B95821">
            <w:pPr>
              <w:rPr>
                <w:rFonts w:eastAsia="Calibri" w:cs="Arial"/>
                <w:b/>
                <w:bCs/>
                <w:sz w:val="20"/>
                <w:szCs w:val="20"/>
              </w:rPr>
            </w:pPr>
            <w:r w:rsidRPr="00B7364B">
              <w:rPr>
                <w:rFonts w:eastAsia="Calibri" w:cs="Arial"/>
                <w:b/>
                <w:bCs/>
                <w:sz w:val="20"/>
                <w:szCs w:val="20"/>
              </w:rPr>
              <w:t xml:space="preserve">International Diversions </w:t>
            </w:r>
          </w:p>
        </w:tc>
        <w:tc>
          <w:tcPr>
            <w:tcW w:w="5244" w:type="dxa"/>
            <w:shd w:val="clear" w:color="auto" w:fill="auto"/>
          </w:tcPr>
          <w:p w14:paraId="04552C47" w14:textId="77777777" w:rsidR="00BA172C" w:rsidRPr="00B7364B" w:rsidRDefault="00BA172C" w:rsidP="00B95821">
            <w:pPr>
              <w:jc w:val="center"/>
              <w:rPr>
                <w:rFonts w:eastAsia="Calibri" w:cs="Arial"/>
                <w:sz w:val="20"/>
                <w:szCs w:val="20"/>
              </w:rPr>
            </w:pPr>
            <w:r w:rsidRPr="00B7364B">
              <w:rPr>
                <w:rFonts w:eastAsia="Calibri" w:cs="Arial"/>
                <w:sz w:val="20"/>
                <w:szCs w:val="20"/>
              </w:rPr>
              <w:t>‘yes’ international rates</w:t>
            </w:r>
            <w:r w:rsidRPr="00B7364B">
              <w:rPr>
                <w:rFonts w:eastAsia="Calibri" w:cs="Arial"/>
                <w:sz w:val="20"/>
                <w:szCs w:val="20"/>
              </w:rPr>
              <w:br/>
              <w:t>See optus.com.au/international</w:t>
            </w:r>
          </w:p>
        </w:tc>
      </w:tr>
      <w:tr w:rsidR="00BA172C" w:rsidRPr="00B7364B" w14:paraId="4D1E2EEF" w14:textId="77777777" w:rsidTr="00B95821">
        <w:tc>
          <w:tcPr>
            <w:tcW w:w="4253" w:type="dxa"/>
            <w:shd w:val="clear" w:color="auto" w:fill="auto"/>
          </w:tcPr>
          <w:p w14:paraId="0838B453" w14:textId="77777777" w:rsidR="00BA172C" w:rsidRPr="00B7364B" w:rsidRDefault="00BA172C" w:rsidP="00B95821">
            <w:pPr>
              <w:rPr>
                <w:rFonts w:eastAsia="Calibri" w:cs="Arial"/>
                <w:b/>
                <w:bCs/>
                <w:sz w:val="20"/>
                <w:szCs w:val="20"/>
              </w:rPr>
            </w:pPr>
            <w:r w:rsidRPr="00B7364B">
              <w:rPr>
                <w:rFonts w:eastAsia="Calibri" w:cs="Arial"/>
                <w:b/>
                <w:bCs/>
                <w:sz w:val="20"/>
                <w:szCs w:val="20"/>
              </w:rPr>
              <w:t xml:space="preserve">1800 numbers </w:t>
            </w:r>
          </w:p>
        </w:tc>
        <w:tc>
          <w:tcPr>
            <w:tcW w:w="5244" w:type="dxa"/>
            <w:shd w:val="clear" w:color="auto" w:fill="auto"/>
            <w:vAlign w:val="center"/>
          </w:tcPr>
          <w:p w14:paraId="026A8FE0" w14:textId="77777777" w:rsidR="00BA172C" w:rsidRPr="00B7364B" w:rsidRDefault="00BA172C" w:rsidP="00B95821">
            <w:pPr>
              <w:jc w:val="center"/>
              <w:rPr>
                <w:rFonts w:eastAsia="Calibri" w:cs="Arial"/>
                <w:sz w:val="20"/>
                <w:szCs w:val="20"/>
              </w:rPr>
            </w:pPr>
            <w:r w:rsidRPr="00B7364B">
              <w:rPr>
                <w:rFonts w:eastAsia="Calibri" w:cs="Arial"/>
                <w:sz w:val="20"/>
                <w:szCs w:val="20"/>
              </w:rPr>
              <w:t>$0 per minute</w:t>
            </w:r>
          </w:p>
        </w:tc>
      </w:tr>
      <w:tr w:rsidR="00BA172C" w:rsidRPr="00B7364B" w14:paraId="2F0DD307" w14:textId="77777777" w:rsidTr="00B95821">
        <w:tc>
          <w:tcPr>
            <w:tcW w:w="4253" w:type="dxa"/>
            <w:shd w:val="clear" w:color="auto" w:fill="auto"/>
          </w:tcPr>
          <w:p w14:paraId="19FB6743" w14:textId="77777777" w:rsidR="00BA172C" w:rsidRPr="00B7364B" w:rsidRDefault="00BA172C" w:rsidP="00B95821">
            <w:pPr>
              <w:rPr>
                <w:rFonts w:eastAsia="Calibri" w:cs="Arial"/>
                <w:b/>
                <w:bCs/>
                <w:sz w:val="20"/>
                <w:szCs w:val="20"/>
              </w:rPr>
            </w:pPr>
            <w:r w:rsidRPr="00B7364B">
              <w:rPr>
                <w:rFonts w:eastAsia="Calibri" w:cs="Arial"/>
                <w:b/>
                <w:bCs/>
                <w:sz w:val="20"/>
                <w:szCs w:val="20"/>
              </w:rPr>
              <w:t xml:space="preserve">Directory Assistance 1223 </w:t>
            </w:r>
          </w:p>
        </w:tc>
        <w:tc>
          <w:tcPr>
            <w:tcW w:w="5244" w:type="dxa"/>
            <w:shd w:val="clear" w:color="auto" w:fill="auto"/>
            <w:vAlign w:val="center"/>
          </w:tcPr>
          <w:p w14:paraId="5CB5370D" w14:textId="77777777" w:rsidR="00BA172C" w:rsidRPr="00B7364B" w:rsidRDefault="00BA172C" w:rsidP="00B95821">
            <w:pPr>
              <w:jc w:val="center"/>
              <w:rPr>
                <w:rFonts w:eastAsia="Calibri" w:cs="Arial"/>
                <w:sz w:val="20"/>
                <w:szCs w:val="20"/>
              </w:rPr>
            </w:pPr>
            <w:r w:rsidRPr="00B7364B">
              <w:rPr>
                <w:rFonts w:eastAsia="Calibri" w:cs="Arial"/>
                <w:sz w:val="20"/>
                <w:szCs w:val="20"/>
              </w:rPr>
              <w:t>50c per call</w:t>
            </w:r>
          </w:p>
        </w:tc>
      </w:tr>
      <w:tr w:rsidR="00BA172C" w:rsidRPr="00B7364B" w14:paraId="39A69070" w14:textId="77777777" w:rsidTr="00B95821">
        <w:tc>
          <w:tcPr>
            <w:tcW w:w="4253" w:type="dxa"/>
            <w:shd w:val="clear" w:color="auto" w:fill="auto"/>
          </w:tcPr>
          <w:p w14:paraId="40657D33" w14:textId="77777777" w:rsidR="00BA172C" w:rsidRPr="00B7364B" w:rsidRDefault="00BA172C" w:rsidP="00B95821">
            <w:pPr>
              <w:rPr>
                <w:rFonts w:eastAsia="Calibri" w:cs="Arial"/>
                <w:b/>
                <w:bCs/>
                <w:sz w:val="20"/>
                <w:szCs w:val="20"/>
              </w:rPr>
            </w:pPr>
            <w:r w:rsidRPr="00B7364B">
              <w:rPr>
                <w:rFonts w:eastAsia="Calibri" w:cs="Arial"/>
                <w:b/>
                <w:bCs/>
                <w:sz w:val="20"/>
                <w:szCs w:val="20"/>
              </w:rPr>
              <w:t>124 Yes</w:t>
            </w:r>
          </w:p>
        </w:tc>
        <w:tc>
          <w:tcPr>
            <w:tcW w:w="5244" w:type="dxa"/>
            <w:shd w:val="clear" w:color="auto" w:fill="auto"/>
            <w:vAlign w:val="center"/>
          </w:tcPr>
          <w:p w14:paraId="1080D636" w14:textId="77777777" w:rsidR="00BA172C" w:rsidRPr="00B7364B" w:rsidRDefault="00BA172C" w:rsidP="00B95821">
            <w:pPr>
              <w:jc w:val="center"/>
              <w:rPr>
                <w:rFonts w:eastAsia="Calibri" w:cs="Arial"/>
                <w:sz w:val="20"/>
                <w:szCs w:val="20"/>
              </w:rPr>
            </w:pPr>
            <w:r w:rsidRPr="00B7364B">
              <w:rPr>
                <w:rFonts w:eastAsia="Calibri" w:cs="Arial"/>
                <w:sz w:val="20"/>
                <w:szCs w:val="20"/>
              </w:rPr>
              <w:t>90c per minute +$1.75c flagfall</w:t>
            </w:r>
          </w:p>
        </w:tc>
      </w:tr>
      <w:tr w:rsidR="00BA172C" w:rsidRPr="00B7364B" w14:paraId="2B055574" w14:textId="77777777" w:rsidTr="00B95821">
        <w:tc>
          <w:tcPr>
            <w:tcW w:w="4253" w:type="dxa"/>
            <w:shd w:val="clear" w:color="auto" w:fill="auto"/>
          </w:tcPr>
          <w:p w14:paraId="45FFE2B7" w14:textId="77777777" w:rsidR="00BA172C" w:rsidRPr="00B7364B" w:rsidRDefault="00BA172C" w:rsidP="00B95821">
            <w:pPr>
              <w:rPr>
                <w:rFonts w:eastAsia="Calibri" w:cs="Arial"/>
                <w:b/>
                <w:bCs/>
                <w:sz w:val="20"/>
                <w:szCs w:val="20"/>
              </w:rPr>
            </w:pPr>
            <w:r w:rsidRPr="00B7364B">
              <w:rPr>
                <w:rFonts w:eastAsia="Calibri" w:cs="Arial"/>
                <w:b/>
                <w:bCs/>
                <w:sz w:val="20"/>
                <w:szCs w:val="20"/>
              </w:rPr>
              <w:t xml:space="preserve">International voice calls (outside the plan’s included international minutes and to excluded countries) </w:t>
            </w:r>
          </w:p>
        </w:tc>
        <w:tc>
          <w:tcPr>
            <w:tcW w:w="5244" w:type="dxa"/>
            <w:shd w:val="clear" w:color="auto" w:fill="auto"/>
            <w:vAlign w:val="center"/>
          </w:tcPr>
          <w:p w14:paraId="04A97202" w14:textId="77777777" w:rsidR="00BA172C" w:rsidRPr="00B7364B" w:rsidRDefault="00BA172C" w:rsidP="00B95821">
            <w:pPr>
              <w:jc w:val="center"/>
              <w:rPr>
                <w:rFonts w:eastAsia="Calibri" w:cs="Arial"/>
                <w:sz w:val="20"/>
                <w:szCs w:val="20"/>
              </w:rPr>
            </w:pPr>
            <w:r w:rsidRPr="00B7364B">
              <w:rPr>
                <w:rFonts w:eastAsia="Calibri" w:cs="Arial"/>
                <w:sz w:val="20"/>
                <w:szCs w:val="20"/>
              </w:rPr>
              <w:t>‘yes’ international rates</w:t>
            </w:r>
          </w:p>
          <w:p w14:paraId="73875CF0" w14:textId="77777777" w:rsidR="00BA172C" w:rsidRPr="00B7364B" w:rsidRDefault="00BA172C" w:rsidP="00B95821">
            <w:pPr>
              <w:jc w:val="center"/>
              <w:rPr>
                <w:rFonts w:eastAsia="Calibri" w:cs="Arial"/>
                <w:sz w:val="20"/>
                <w:szCs w:val="20"/>
              </w:rPr>
            </w:pPr>
            <w:r w:rsidRPr="00B7364B">
              <w:rPr>
                <w:rFonts w:eastAsia="Calibri" w:cs="Arial"/>
                <w:sz w:val="20"/>
                <w:szCs w:val="20"/>
              </w:rPr>
              <w:t>See optus.com.au/international</w:t>
            </w:r>
          </w:p>
        </w:tc>
      </w:tr>
      <w:tr w:rsidR="00BA172C" w:rsidRPr="00B7364B" w14:paraId="072E70BC" w14:textId="77777777" w:rsidTr="00B95821">
        <w:tc>
          <w:tcPr>
            <w:tcW w:w="4253" w:type="dxa"/>
            <w:shd w:val="clear" w:color="auto" w:fill="auto"/>
          </w:tcPr>
          <w:p w14:paraId="06AC1D22" w14:textId="77777777" w:rsidR="00BA172C" w:rsidRPr="00B7364B" w:rsidRDefault="00BA172C" w:rsidP="00B95821">
            <w:pPr>
              <w:rPr>
                <w:rFonts w:eastAsia="Calibri" w:cs="Arial"/>
                <w:b/>
                <w:bCs/>
                <w:sz w:val="20"/>
                <w:szCs w:val="20"/>
              </w:rPr>
            </w:pPr>
            <w:r w:rsidRPr="00B7364B">
              <w:rPr>
                <w:rFonts w:eastAsia="Calibri" w:cs="Arial"/>
                <w:b/>
                <w:bCs/>
                <w:sz w:val="20"/>
                <w:szCs w:val="20"/>
              </w:rPr>
              <w:t xml:space="preserve">International SMS (to excluded countries) </w:t>
            </w:r>
          </w:p>
        </w:tc>
        <w:tc>
          <w:tcPr>
            <w:tcW w:w="5244" w:type="dxa"/>
            <w:shd w:val="clear" w:color="auto" w:fill="auto"/>
            <w:vAlign w:val="center"/>
          </w:tcPr>
          <w:p w14:paraId="13E65A9A" w14:textId="77777777" w:rsidR="00BA172C" w:rsidRPr="00B7364B" w:rsidRDefault="00BA172C" w:rsidP="00B95821">
            <w:pPr>
              <w:jc w:val="center"/>
              <w:rPr>
                <w:rFonts w:eastAsia="Calibri" w:cs="Arial"/>
                <w:sz w:val="20"/>
                <w:szCs w:val="20"/>
              </w:rPr>
            </w:pPr>
            <w:r w:rsidRPr="00B7364B">
              <w:rPr>
                <w:rFonts w:eastAsia="Calibri" w:cs="Arial"/>
                <w:sz w:val="20"/>
                <w:szCs w:val="20"/>
              </w:rPr>
              <w:t>50c per SMS up to 160 standard characters</w:t>
            </w:r>
          </w:p>
        </w:tc>
      </w:tr>
      <w:tr w:rsidR="00BA172C" w:rsidRPr="00B7364B" w14:paraId="6E61A330" w14:textId="77777777" w:rsidTr="00B95821">
        <w:tc>
          <w:tcPr>
            <w:tcW w:w="4253" w:type="dxa"/>
            <w:shd w:val="clear" w:color="auto" w:fill="auto"/>
          </w:tcPr>
          <w:p w14:paraId="1BA784E9" w14:textId="77777777" w:rsidR="00BA172C" w:rsidRPr="00B7364B" w:rsidRDefault="00BA172C" w:rsidP="00B95821">
            <w:pPr>
              <w:rPr>
                <w:rFonts w:eastAsia="Calibri" w:cs="Arial"/>
                <w:b/>
                <w:bCs/>
                <w:sz w:val="20"/>
                <w:szCs w:val="20"/>
              </w:rPr>
            </w:pPr>
            <w:r w:rsidRPr="00B7364B">
              <w:rPr>
                <w:rFonts w:eastAsia="Calibri" w:cs="Arial"/>
                <w:b/>
                <w:bCs/>
                <w:sz w:val="20"/>
                <w:szCs w:val="20"/>
              </w:rPr>
              <w:t>International MMS (to excluded countries)</w:t>
            </w:r>
          </w:p>
        </w:tc>
        <w:tc>
          <w:tcPr>
            <w:tcW w:w="5244" w:type="dxa"/>
            <w:shd w:val="clear" w:color="auto" w:fill="auto"/>
            <w:vAlign w:val="center"/>
          </w:tcPr>
          <w:p w14:paraId="04A2A35C" w14:textId="77777777" w:rsidR="00BA172C" w:rsidRPr="00B7364B" w:rsidRDefault="00BA172C" w:rsidP="00B95821">
            <w:pPr>
              <w:jc w:val="center"/>
              <w:rPr>
                <w:rFonts w:eastAsia="Calibri" w:cs="Arial"/>
                <w:sz w:val="20"/>
                <w:szCs w:val="20"/>
              </w:rPr>
            </w:pPr>
            <w:r w:rsidRPr="00B7364B">
              <w:rPr>
                <w:rFonts w:eastAsia="Calibri" w:cs="Arial"/>
                <w:sz w:val="20"/>
                <w:szCs w:val="20"/>
              </w:rPr>
              <w:t xml:space="preserve">75c per MMS </w:t>
            </w:r>
          </w:p>
        </w:tc>
      </w:tr>
      <w:tr w:rsidR="00BA172C" w:rsidRPr="00B7364B" w14:paraId="01BC71C0" w14:textId="77777777" w:rsidTr="00B95821">
        <w:tc>
          <w:tcPr>
            <w:tcW w:w="4253" w:type="dxa"/>
            <w:shd w:val="clear" w:color="auto" w:fill="auto"/>
          </w:tcPr>
          <w:p w14:paraId="32BE4D11" w14:textId="77777777" w:rsidR="00BA172C" w:rsidRPr="00B7364B" w:rsidRDefault="00BA172C" w:rsidP="00B95821">
            <w:pPr>
              <w:rPr>
                <w:rFonts w:eastAsia="Calibri" w:cs="Arial"/>
                <w:b/>
                <w:bCs/>
                <w:sz w:val="20"/>
                <w:szCs w:val="20"/>
              </w:rPr>
            </w:pPr>
            <w:r w:rsidRPr="00B7364B">
              <w:rPr>
                <w:rFonts w:eastAsia="Calibri" w:cs="Arial"/>
                <w:b/>
                <w:bCs/>
                <w:sz w:val="20"/>
                <w:szCs w:val="20"/>
              </w:rPr>
              <w:t xml:space="preserve">International video calling </w:t>
            </w:r>
          </w:p>
        </w:tc>
        <w:tc>
          <w:tcPr>
            <w:tcW w:w="5244" w:type="dxa"/>
            <w:shd w:val="clear" w:color="auto" w:fill="auto"/>
            <w:vAlign w:val="center"/>
          </w:tcPr>
          <w:p w14:paraId="499F5CEB" w14:textId="77777777" w:rsidR="00BA172C" w:rsidRPr="00B7364B" w:rsidRDefault="00BA172C" w:rsidP="00B95821">
            <w:pPr>
              <w:jc w:val="center"/>
              <w:rPr>
                <w:rFonts w:eastAsia="Calibri" w:cs="Arial"/>
                <w:sz w:val="20"/>
                <w:szCs w:val="20"/>
              </w:rPr>
            </w:pPr>
            <w:r w:rsidRPr="00B7364B">
              <w:rPr>
                <w:rFonts w:eastAsia="Calibri" w:cs="Arial"/>
                <w:sz w:val="20"/>
                <w:szCs w:val="20"/>
              </w:rPr>
              <w:t>$1.50 per minute +35c flagfall</w:t>
            </w:r>
          </w:p>
        </w:tc>
      </w:tr>
      <w:tr w:rsidR="00BA172C" w:rsidRPr="00B7364B" w14:paraId="639405A2" w14:textId="77777777" w:rsidTr="00B95821">
        <w:tc>
          <w:tcPr>
            <w:tcW w:w="4253" w:type="dxa"/>
            <w:shd w:val="clear" w:color="auto" w:fill="auto"/>
          </w:tcPr>
          <w:p w14:paraId="35648614" w14:textId="77777777" w:rsidR="00BA172C" w:rsidRPr="00B7364B" w:rsidRDefault="00BA172C" w:rsidP="00B95821">
            <w:pPr>
              <w:rPr>
                <w:rFonts w:eastAsia="Calibri" w:cs="Arial"/>
                <w:b/>
                <w:bCs/>
                <w:sz w:val="20"/>
                <w:szCs w:val="20"/>
              </w:rPr>
            </w:pPr>
            <w:r w:rsidRPr="00B7364B">
              <w:rPr>
                <w:rFonts w:eastAsia="Calibri" w:cs="Arial"/>
                <w:b/>
                <w:bCs/>
                <w:sz w:val="20"/>
                <w:szCs w:val="20"/>
              </w:rPr>
              <w:t xml:space="preserve">International roaming </w:t>
            </w:r>
          </w:p>
        </w:tc>
        <w:tc>
          <w:tcPr>
            <w:tcW w:w="5244" w:type="dxa"/>
            <w:shd w:val="clear" w:color="auto" w:fill="auto"/>
            <w:vAlign w:val="center"/>
          </w:tcPr>
          <w:p w14:paraId="6C787100" w14:textId="77777777" w:rsidR="00BA172C" w:rsidRPr="00B7364B" w:rsidRDefault="00BA172C" w:rsidP="00B95821">
            <w:pPr>
              <w:jc w:val="center"/>
              <w:rPr>
                <w:rFonts w:eastAsia="Calibri" w:cs="Arial"/>
                <w:sz w:val="20"/>
                <w:szCs w:val="20"/>
              </w:rPr>
            </w:pPr>
            <w:r w:rsidRPr="00B7364B">
              <w:rPr>
                <w:rFonts w:eastAsia="Calibri" w:cs="Arial"/>
                <w:sz w:val="20"/>
                <w:szCs w:val="20"/>
              </w:rPr>
              <w:t>See optus.com.au/roaming</w:t>
            </w:r>
          </w:p>
        </w:tc>
      </w:tr>
    </w:tbl>
    <w:p w14:paraId="40A902C6" w14:textId="77777777" w:rsidR="00BA172C" w:rsidRPr="00B7364B" w:rsidRDefault="00BA172C" w:rsidP="00BA172C">
      <w:pPr>
        <w:spacing w:after="240"/>
        <w:rPr>
          <w:rFonts w:cs="Arial"/>
          <w:b/>
          <w:sz w:val="20"/>
          <w:szCs w:val="20"/>
        </w:rPr>
      </w:pPr>
    </w:p>
    <w:p w14:paraId="2EDC477D" w14:textId="77777777" w:rsidR="00BA172C" w:rsidRPr="00B7364B" w:rsidRDefault="00BA172C" w:rsidP="00BA172C">
      <w:pPr>
        <w:spacing w:after="200"/>
        <w:ind w:left="720"/>
        <w:rPr>
          <w:b/>
          <w:sz w:val="20"/>
        </w:rPr>
      </w:pPr>
      <w:r w:rsidRPr="00B7364B">
        <w:rPr>
          <w:b/>
          <w:sz w:val="20"/>
        </w:rPr>
        <w:lastRenderedPageBreak/>
        <w:t>Table 3 – International Countries</w:t>
      </w:r>
    </w:p>
    <w:tbl>
      <w:tblPr>
        <w:tblW w:w="882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5"/>
        <w:gridCol w:w="2205"/>
        <w:gridCol w:w="2205"/>
        <w:gridCol w:w="2205"/>
      </w:tblGrid>
      <w:tr w:rsidR="00BA172C" w:rsidRPr="00B7364B" w14:paraId="7C2295E5" w14:textId="77777777" w:rsidTr="00B95821">
        <w:tc>
          <w:tcPr>
            <w:tcW w:w="2205" w:type="dxa"/>
            <w:shd w:val="clear" w:color="auto" w:fill="auto"/>
          </w:tcPr>
          <w:p w14:paraId="53AF4CEB" w14:textId="77777777" w:rsidR="00BA172C" w:rsidRPr="00B7364B" w:rsidRDefault="00BA172C" w:rsidP="00B95821">
            <w:pPr>
              <w:spacing w:before="100" w:after="100"/>
              <w:rPr>
                <w:b/>
                <w:sz w:val="20"/>
              </w:rPr>
            </w:pPr>
            <w:r w:rsidRPr="00B7364B">
              <w:rPr>
                <w:sz w:val="20"/>
              </w:rPr>
              <w:t>Canada</w:t>
            </w:r>
          </w:p>
        </w:tc>
        <w:tc>
          <w:tcPr>
            <w:tcW w:w="2205" w:type="dxa"/>
            <w:shd w:val="clear" w:color="auto" w:fill="auto"/>
          </w:tcPr>
          <w:p w14:paraId="0726AA4B" w14:textId="77777777" w:rsidR="00BA172C" w:rsidRPr="00B7364B" w:rsidRDefault="00BA172C" w:rsidP="00B95821">
            <w:pPr>
              <w:spacing w:before="100" w:after="100"/>
              <w:rPr>
                <w:b/>
                <w:sz w:val="20"/>
              </w:rPr>
            </w:pPr>
            <w:r w:rsidRPr="00B7364B">
              <w:rPr>
                <w:sz w:val="20"/>
              </w:rPr>
              <w:t>China</w:t>
            </w:r>
          </w:p>
        </w:tc>
        <w:tc>
          <w:tcPr>
            <w:tcW w:w="2205" w:type="dxa"/>
            <w:shd w:val="clear" w:color="auto" w:fill="auto"/>
          </w:tcPr>
          <w:p w14:paraId="715FA754" w14:textId="77777777" w:rsidR="00BA172C" w:rsidRPr="00B7364B" w:rsidRDefault="00BA172C" w:rsidP="00B95821">
            <w:pPr>
              <w:spacing w:before="100" w:after="100"/>
              <w:rPr>
                <w:b/>
                <w:sz w:val="20"/>
              </w:rPr>
            </w:pPr>
            <w:r w:rsidRPr="00B7364B">
              <w:rPr>
                <w:sz w:val="20"/>
              </w:rPr>
              <w:t>Hong Kong</w:t>
            </w:r>
          </w:p>
        </w:tc>
        <w:tc>
          <w:tcPr>
            <w:tcW w:w="2205" w:type="dxa"/>
            <w:shd w:val="clear" w:color="auto" w:fill="auto"/>
          </w:tcPr>
          <w:p w14:paraId="7DA34888" w14:textId="77777777" w:rsidR="00BA172C" w:rsidRPr="00B7364B" w:rsidRDefault="00BA172C" w:rsidP="00B95821">
            <w:pPr>
              <w:spacing w:before="100" w:after="100"/>
              <w:rPr>
                <w:b/>
                <w:sz w:val="20"/>
              </w:rPr>
            </w:pPr>
            <w:r w:rsidRPr="00B7364B">
              <w:rPr>
                <w:sz w:val="20"/>
              </w:rPr>
              <w:t>India</w:t>
            </w:r>
          </w:p>
        </w:tc>
      </w:tr>
      <w:tr w:rsidR="00BA172C" w:rsidRPr="00B7364B" w14:paraId="35DBEEA8" w14:textId="77777777" w:rsidTr="00B95821">
        <w:tc>
          <w:tcPr>
            <w:tcW w:w="2205" w:type="dxa"/>
            <w:shd w:val="clear" w:color="auto" w:fill="auto"/>
          </w:tcPr>
          <w:p w14:paraId="55DD6235" w14:textId="77777777" w:rsidR="00BA172C" w:rsidRPr="00B7364B" w:rsidRDefault="00BA172C" w:rsidP="00B95821">
            <w:pPr>
              <w:spacing w:before="100" w:after="100"/>
              <w:rPr>
                <w:b/>
                <w:sz w:val="20"/>
              </w:rPr>
            </w:pPr>
            <w:r w:rsidRPr="00B7364B">
              <w:rPr>
                <w:sz w:val="20"/>
              </w:rPr>
              <w:t>Indonesia</w:t>
            </w:r>
          </w:p>
        </w:tc>
        <w:tc>
          <w:tcPr>
            <w:tcW w:w="2205" w:type="dxa"/>
            <w:shd w:val="clear" w:color="auto" w:fill="auto"/>
          </w:tcPr>
          <w:p w14:paraId="290D7A60" w14:textId="77777777" w:rsidR="00BA172C" w:rsidRPr="00B7364B" w:rsidRDefault="00BA172C" w:rsidP="00B95821">
            <w:pPr>
              <w:spacing w:before="100" w:after="100"/>
              <w:rPr>
                <w:b/>
                <w:sz w:val="20"/>
              </w:rPr>
            </w:pPr>
            <w:r w:rsidRPr="00B7364B">
              <w:rPr>
                <w:sz w:val="20"/>
              </w:rPr>
              <w:t>Malaysia</w:t>
            </w:r>
          </w:p>
        </w:tc>
        <w:tc>
          <w:tcPr>
            <w:tcW w:w="2205" w:type="dxa"/>
            <w:shd w:val="clear" w:color="auto" w:fill="auto"/>
          </w:tcPr>
          <w:p w14:paraId="051C76AA" w14:textId="77777777" w:rsidR="00BA172C" w:rsidRPr="00B7364B" w:rsidRDefault="00BA172C" w:rsidP="00B95821">
            <w:pPr>
              <w:spacing w:before="100" w:after="100"/>
              <w:rPr>
                <w:b/>
                <w:sz w:val="20"/>
              </w:rPr>
            </w:pPr>
            <w:r w:rsidRPr="00B7364B">
              <w:rPr>
                <w:sz w:val="20"/>
              </w:rPr>
              <w:t>New Zealand</w:t>
            </w:r>
          </w:p>
        </w:tc>
        <w:tc>
          <w:tcPr>
            <w:tcW w:w="2205" w:type="dxa"/>
            <w:shd w:val="clear" w:color="auto" w:fill="auto"/>
          </w:tcPr>
          <w:p w14:paraId="30011DAB" w14:textId="77777777" w:rsidR="00BA172C" w:rsidRPr="00B7364B" w:rsidRDefault="00BA172C" w:rsidP="00B95821">
            <w:pPr>
              <w:spacing w:before="100" w:after="100"/>
              <w:rPr>
                <w:b/>
                <w:sz w:val="20"/>
              </w:rPr>
            </w:pPr>
            <w:r w:rsidRPr="00B7364B">
              <w:rPr>
                <w:sz w:val="20"/>
              </w:rPr>
              <w:t>Singapore</w:t>
            </w:r>
          </w:p>
        </w:tc>
      </w:tr>
      <w:tr w:rsidR="00BA172C" w:rsidRPr="00B7364B" w14:paraId="212A871B" w14:textId="77777777" w:rsidTr="00B95821">
        <w:tc>
          <w:tcPr>
            <w:tcW w:w="2205" w:type="dxa"/>
            <w:shd w:val="clear" w:color="auto" w:fill="auto"/>
          </w:tcPr>
          <w:p w14:paraId="515F6C16" w14:textId="77777777" w:rsidR="00BA172C" w:rsidRPr="00B7364B" w:rsidRDefault="00BA172C" w:rsidP="00B95821">
            <w:pPr>
              <w:spacing w:before="100" w:after="100"/>
              <w:rPr>
                <w:b/>
                <w:sz w:val="20"/>
              </w:rPr>
            </w:pPr>
            <w:r w:rsidRPr="00B7364B">
              <w:rPr>
                <w:sz w:val="20"/>
              </w:rPr>
              <w:t>South Africa</w:t>
            </w:r>
          </w:p>
        </w:tc>
        <w:tc>
          <w:tcPr>
            <w:tcW w:w="2205" w:type="dxa"/>
            <w:shd w:val="clear" w:color="auto" w:fill="auto"/>
          </w:tcPr>
          <w:p w14:paraId="54C265A7" w14:textId="77777777" w:rsidR="00BA172C" w:rsidRPr="00B7364B" w:rsidRDefault="00BA172C" w:rsidP="00B95821">
            <w:pPr>
              <w:spacing w:before="100" w:after="100"/>
              <w:rPr>
                <w:b/>
                <w:sz w:val="20"/>
              </w:rPr>
            </w:pPr>
            <w:r w:rsidRPr="00B7364B">
              <w:rPr>
                <w:sz w:val="20"/>
              </w:rPr>
              <w:t>South Korea</w:t>
            </w:r>
          </w:p>
        </w:tc>
        <w:tc>
          <w:tcPr>
            <w:tcW w:w="2205" w:type="dxa"/>
            <w:shd w:val="clear" w:color="auto" w:fill="auto"/>
          </w:tcPr>
          <w:p w14:paraId="40C29375" w14:textId="77777777" w:rsidR="00BA172C" w:rsidRPr="00B7364B" w:rsidRDefault="00BA172C" w:rsidP="00B95821">
            <w:pPr>
              <w:spacing w:before="100" w:after="100"/>
              <w:rPr>
                <w:b/>
                <w:sz w:val="20"/>
              </w:rPr>
            </w:pPr>
            <w:r w:rsidRPr="00B7364B">
              <w:rPr>
                <w:sz w:val="20"/>
              </w:rPr>
              <w:t>Thailand</w:t>
            </w:r>
          </w:p>
        </w:tc>
        <w:tc>
          <w:tcPr>
            <w:tcW w:w="2205" w:type="dxa"/>
            <w:shd w:val="clear" w:color="auto" w:fill="auto"/>
          </w:tcPr>
          <w:p w14:paraId="039FB68A" w14:textId="77777777" w:rsidR="00BA172C" w:rsidRPr="00B7364B" w:rsidRDefault="00BA172C" w:rsidP="00B95821">
            <w:pPr>
              <w:spacing w:before="100" w:after="100"/>
              <w:rPr>
                <w:b/>
                <w:sz w:val="20"/>
              </w:rPr>
            </w:pPr>
            <w:r w:rsidRPr="00B7364B">
              <w:rPr>
                <w:sz w:val="20"/>
              </w:rPr>
              <w:t>United Kingdom</w:t>
            </w:r>
          </w:p>
        </w:tc>
      </w:tr>
      <w:tr w:rsidR="00BA172C" w:rsidRPr="00B7364B" w14:paraId="55AB34F6" w14:textId="77777777" w:rsidTr="00B95821">
        <w:tc>
          <w:tcPr>
            <w:tcW w:w="2205" w:type="dxa"/>
            <w:shd w:val="clear" w:color="auto" w:fill="auto"/>
          </w:tcPr>
          <w:p w14:paraId="778DC868" w14:textId="77777777" w:rsidR="00BA172C" w:rsidRPr="00B7364B" w:rsidRDefault="00BA172C" w:rsidP="00B95821">
            <w:pPr>
              <w:spacing w:before="100" w:after="100"/>
              <w:rPr>
                <w:b/>
                <w:sz w:val="20"/>
              </w:rPr>
            </w:pPr>
            <w:r w:rsidRPr="00B7364B">
              <w:rPr>
                <w:sz w:val="20"/>
              </w:rPr>
              <w:t>USA</w:t>
            </w:r>
          </w:p>
        </w:tc>
        <w:tc>
          <w:tcPr>
            <w:tcW w:w="2205" w:type="dxa"/>
            <w:shd w:val="clear" w:color="auto" w:fill="auto"/>
          </w:tcPr>
          <w:p w14:paraId="154E476D" w14:textId="77777777" w:rsidR="00BA172C" w:rsidRPr="00B7364B" w:rsidRDefault="00BA172C" w:rsidP="00B95821">
            <w:pPr>
              <w:spacing w:before="100" w:after="100"/>
              <w:rPr>
                <w:b/>
                <w:sz w:val="20"/>
              </w:rPr>
            </w:pPr>
            <w:r w:rsidRPr="00B7364B">
              <w:rPr>
                <w:sz w:val="20"/>
              </w:rPr>
              <w:t>Vietnam</w:t>
            </w:r>
          </w:p>
        </w:tc>
        <w:tc>
          <w:tcPr>
            <w:tcW w:w="2205" w:type="dxa"/>
            <w:shd w:val="clear" w:color="auto" w:fill="auto"/>
          </w:tcPr>
          <w:p w14:paraId="7716EDFF" w14:textId="77777777" w:rsidR="00BA172C" w:rsidRPr="00B7364B" w:rsidRDefault="00BA172C" w:rsidP="00B95821">
            <w:pPr>
              <w:spacing w:before="100" w:after="100"/>
              <w:rPr>
                <w:b/>
                <w:sz w:val="20"/>
              </w:rPr>
            </w:pPr>
          </w:p>
        </w:tc>
        <w:tc>
          <w:tcPr>
            <w:tcW w:w="2205" w:type="dxa"/>
            <w:shd w:val="clear" w:color="auto" w:fill="auto"/>
          </w:tcPr>
          <w:p w14:paraId="45B541D4" w14:textId="77777777" w:rsidR="00BA172C" w:rsidRPr="00B7364B" w:rsidRDefault="00BA172C" w:rsidP="00B95821">
            <w:pPr>
              <w:spacing w:before="100" w:after="100"/>
              <w:rPr>
                <w:b/>
                <w:sz w:val="20"/>
              </w:rPr>
            </w:pPr>
          </w:p>
        </w:tc>
      </w:tr>
    </w:tbl>
    <w:p w14:paraId="241B9E21" w14:textId="77777777" w:rsidR="00BA172C" w:rsidRDefault="00BA172C" w:rsidP="00BA172C">
      <w:pPr>
        <w:spacing w:after="200"/>
        <w:outlineLvl w:val="5"/>
        <w:rPr>
          <w:rFonts w:eastAsia="Times New Roman" w:cs="Arial"/>
          <w:sz w:val="20"/>
          <w:szCs w:val="20"/>
          <w:lang w:val="en-AU"/>
        </w:rPr>
      </w:pPr>
    </w:p>
    <w:p w14:paraId="528E2CE2" w14:textId="77777777" w:rsidR="00BA172C" w:rsidRPr="00B7364B" w:rsidRDefault="00BA172C" w:rsidP="00BA172C">
      <w:pPr>
        <w:numPr>
          <w:ilvl w:val="5"/>
          <w:numId w:val="1"/>
        </w:numPr>
        <w:spacing w:after="200"/>
        <w:outlineLvl w:val="5"/>
        <w:rPr>
          <w:rFonts w:eastAsia="Times New Roman" w:cs="Arial"/>
          <w:sz w:val="20"/>
          <w:szCs w:val="20"/>
          <w:lang w:val="en-AU"/>
        </w:rPr>
      </w:pPr>
      <w:r w:rsidRPr="00B7364B">
        <w:rPr>
          <w:rFonts w:eastAsia="Times New Roman" w:cs="Arial"/>
          <w:sz w:val="20"/>
          <w:szCs w:val="20"/>
          <w:lang w:val="en-AU"/>
        </w:rPr>
        <w:t>My Account</w:t>
      </w:r>
    </w:p>
    <w:p w14:paraId="335CAC39" w14:textId="77777777" w:rsidR="00BA172C" w:rsidRPr="00B7364B" w:rsidRDefault="00BA172C" w:rsidP="00BA172C">
      <w:pPr>
        <w:numPr>
          <w:ilvl w:val="2"/>
          <w:numId w:val="27"/>
        </w:numPr>
        <w:tabs>
          <w:tab w:val="clear" w:pos="2127"/>
          <w:tab w:val="num" w:pos="1448"/>
          <w:tab w:val="left" w:pos="1701"/>
        </w:tabs>
        <w:spacing w:before="120" w:after="240"/>
        <w:ind w:left="709" w:firstLine="0"/>
        <w:rPr>
          <w:rFonts w:eastAsia="Times New Roman" w:cs="Arial"/>
          <w:sz w:val="20"/>
          <w:szCs w:val="20"/>
          <w:lang w:val="en-AU"/>
        </w:rPr>
      </w:pPr>
      <w:r w:rsidRPr="00B7364B">
        <w:rPr>
          <w:rFonts w:eastAsia="Times New Roman" w:cs="Arial"/>
          <w:sz w:val="20"/>
          <w:szCs w:val="20"/>
          <w:lang w:val="en-AU"/>
        </w:rPr>
        <w:t xml:space="preserve">Services that share data may have a service login to My Account which will display all of the service numbers contributing to or using the shared data pool on </w:t>
      </w:r>
      <w:r w:rsidRPr="00B7364B">
        <w:rPr>
          <w:rFonts w:eastAsia="Times New Roman" w:cs="Arial"/>
          <w:i/>
          <w:sz w:val="20"/>
          <w:szCs w:val="20"/>
          <w:lang w:val="en-AU"/>
        </w:rPr>
        <w:t xml:space="preserve">your </w:t>
      </w:r>
      <w:r w:rsidRPr="00B7364B">
        <w:rPr>
          <w:rFonts w:eastAsia="Times New Roman" w:cs="Arial"/>
          <w:sz w:val="20"/>
          <w:szCs w:val="20"/>
          <w:lang w:val="en-AU"/>
        </w:rPr>
        <w:t xml:space="preserve">account and the amount of data each service has used. If </w:t>
      </w:r>
      <w:r w:rsidRPr="00B7364B">
        <w:rPr>
          <w:rFonts w:eastAsia="Times New Roman" w:cs="Arial"/>
          <w:i/>
          <w:sz w:val="20"/>
          <w:szCs w:val="20"/>
          <w:lang w:val="en-AU"/>
        </w:rPr>
        <w:t>you</w:t>
      </w:r>
      <w:r w:rsidRPr="00B7364B">
        <w:rPr>
          <w:rFonts w:eastAsia="Times New Roman" w:cs="Arial"/>
          <w:sz w:val="20"/>
          <w:szCs w:val="20"/>
          <w:lang w:val="en-AU"/>
        </w:rPr>
        <w:t xml:space="preserve"> have more than 6 services on </w:t>
      </w:r>
      <w:r w:rsidRPr="00B7364B">
        <w:rPr>
          <w:rFonts w:eastAsia="Times New Roman" w:cs="Arial"/>
          <w:i/>
          <w:sz w:val="20"/>
          <w:szCs w:val="20"/>
          <w:lang w:val="en-AU"/>
        </w:rPr>
        <w:t>your</w:t>
      </w:r>
      <w:r w:rsidRPr="00B7364B">
        <w:rPr>
          <w:rFonts w:eastAsia="Times New Roman" w:cs="Arial"/>
          <w:sz w:val="20"/>
          <w:szCs w:val="20"/>
          <w:lang w:val="en-AU"/>
        </w:rPr>
        <w:t xml:space="preserve"> account, My Account may not be suitable for viewing usage and managing </w:t>
      </w:r>
      <w:r w:rsidRPr="00B7364B">
        <w:rPr>
          <w:rFonts w:eastAsia="Times New Roman" w:cs="Arial"/>
          <w:i/>
          <w:sz w:val="20"/>
          <w:szCs w:val="20"/>
          <w:lang w:val="en-AU"/>
        </w:rPr>
        <w:t xml:space="preserve">your </w:t>
      </w:r>
      <w:r w:rsidRPr="00B7364B">
        <w:rPr>
          <w:rFonts w:eastAsia="Times New Roman" w:cs="Arial"/>
          <w:sz w:val="20"/>
          <w:szCs w:val="20"/>
          <w:lang w:val="en-AU"/>
        </w:rPr>
        <w:t>usage alerts.</w:t>
      </w:r>
    </w:p>
    <w:p w14:paraId="0547E38C" w14:textId="77777777" w:rsidR="00BA172C" w:rsidRPr="00B7364B" w:rsidRDefault="00BA172C" w:rsidP="00BA172C">
      <w:pPr>
        <w:pStyle w:val="Heading4"/>
      </w:pPr>
      <w:bookmarkStart w:id="1776" w:name="_Toc479674697"/>
      <w:bookmarkStart w:id="1777" w:name="_Toc509314764"/>
      <w:bookmarkStart w:id="1778" w:name="_Toc62644698"/>
      <w:r w:rsidRPr="00B7364B">
        <w:t>Business SIM</w:t>
      </w:r>
      <w:bookmarkEnd w:id="1776"/>
      <w:bookmarkEnd w:id="1777"/>
      <w:bookmarkEnd w:id="1778"/>
    </w:p>
    <w:p w14:paraId="31F1275C" w14:textId="77777777" w:rsidR="00BA172C" w:rsidRPr="00B7364B" w:rsidRDefault="00BA172C" w:rsidP="00BA172C">
      <w:pPr>
        <w:spacing w:after="200"/>
        <w:ind w:left="720"/>
        <w:rPr>
          <w:sz w:val="20"/>
        </w:rPr>
      </w:pPr>
      <w:r w:rsidRPr="00B7364B">
        <w:rPr>
          <w:sz w:val="20"/>
        </w:rPr>
        <w:t xml:space="preserve">This section relates to the following plans. </w:t>
      </w:r>
      <w:r w:rsidRPr="00B7364B">
        <w:rPr>
          <w:i/>
          <w:sz w:val="20"/>
        </w:rPr>
        <w:t>You</w:t>
      </w:r>
      <w:r w:rsidRPr="00B7364B">
        <w:rPr>
          <w:sz w:val="20"/>
        </w:rPr>
        <w:t xml:space="preserve"> can find </w:t>
      </w:r>
      <w:r w:rsidRPr="00B7364B">
        <w:rPr>
          <w:i/>
          <w:sz w:val="20"/>
        </w:rPr>
        <w:t>your</w:t>
      </w:r>
      <w:r w:rsidRPr="00B7364B">
        <w:rPr>
          <w:sz w:val="20"/>
        </w:rPr>
        <w:t xml:space="preserve"> Plan ID on </w:t>
      </w:r>
      <w:r w:rsidRPr="00B7364B">
        <w:rPr>
          <w:i/>
          <w:sz w:val="20"/>
        </w:rPr>
        <w:t>your</w:t>
      </w:r>
      <w:r w:rsidRPr="00B7364B">
        <w:rPr>
          <w:sz w:val="20"/>
        </w:rPr>
        <w:t xml:space="preserve"> bill under the Mobile Number Summary section:</w:t>
      </w:r>
    </w:p>
    <w:tbl>
      <w:tblPr>
        <w:tblW w:w="838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2070"/>
        <w:gridCol w:w="3330"/>
      </w:tblGrid>
      <w:tr w:rsidR="00BA172C" w:rsidRPr="00B7364B" w14:paraId="04F01AE0" w14:textId="77777777" w:rsidTr="00B95821">
        <w:tc>
          <w:tcPr>
            <w:tcW w:w="2988" w:type="dxa"/>
            <w:shd w:val="clear" w:color="auto" w:fill="auto"/>
            <w:vAlign w:val="center"/>
          </w:tcPr>
          <w:p w14:paraId="0B7FC26D" w14:textId="77777777" w:rsidR="00BA172C" w:rsidRPr="00B7364B" w:rsidRDefault="00BA172C" w:rsidP="00B95821">
            <w:pPr>
              <w:spacing w:before="100" w:after="100"/>
              <w:jc w:val="center"/>
              <w:rPr>
                <w:b/>
                <w:sz w:val="20"/>
              </w:rPr>
            </w:pPr>
            <w:r w:rsidRPr="00B7364B">
              <w:rPr>
                <w:b/>
                <w:sz w:val="20"/>
              </w:rPr>
              <w:t>Plan</w:t>
            </w:r>
          </w:p>
        </w:tc>
        <w:tc>
          <w:tcPr>
            <w:tcW w:w="2070" w:type="dxa"/>
            <w:shd w:val="clear" w:color="auto" w:fill="auto"/>
            <w:vAlign w:val="center"/>
          </w:tcPr>
          <w:p w14:paraId="3F528672" w14:textId="77777777" w:rsidR="00BA172C" w:rsidRPr="00B7364B" w:rsidRDefault="00BA172C" w:rsidP="00B95821">
            <w:pPr>
              <w:spacing w:before="100" w:after="100"/>
              <w:jc w:val="center"/>
              <w:rPr>
                <w:b/>
                <w:sz w:val="20"/>
              </w:rPr>
            </w:pPr>
            <w:r w:rsidRPr="00B7364B">
              <w:rPr>
                <w:b/>
                <w:sz w:val="20"/>
              </w:rPr>
              <w:t>Plan ID</w:t>
            </w:r>
          </w:p>
        </w:tc>
        <w:tc>
          <w:tcPr>
            <w:tcW w:w="3330" w:type="dxa"/>
            <w:shd w:val="clear" w:color="auto" w:fill="auto"/>
            <w:vAlign w:val="center"/>
          </w:tcPr>
          <w:p w14:paraId="5BFC9BC1" w14:textId="77777777" w:rsidR="00BA172C" w:rsidRPr="00B7364B" w:rsidRDefault="00BA172C" w:rsidP="00B95821">
            <w:pPr>
              <w:spacing w:before="100" w:after="100"/>
              <w:jc w:val="center"/>
              <w:rPr>
                <w:b/>
                <w:sz w:val="20"/>
              </w:rPr>
            </w:pPr>
            <w:r w:rsidRPr="00B7364B">
              <w:rPr>
                <w:b/>
                <w:sz w:val="20"/>
              </w:rPr>
              <w:t>Available</w:t>
            </w:r>
          </w:p>
        </w:tc>
      </w:tr>
      <w:tr w:rsidR="00BA172C" w:rsidRPr="00B7364B" w14:paraId="44E60C0D" w14:textId="77777777" w:rsidTr="00B95821">
        <w:tc>
          <w:tcPr>
            <w:tcW w:w="2988" w:type="dxa"/>
            <w:shd w:val="clear" w:color="auto" w:fill="auto"/>
            <w:vAlign w:val="center"/>
          </w:tcPr>
          <w:p w14:paraId="0A43BC19" w14:textId="77777777" w:rsidR="00BA172C" w:rsidRPr="00B7364B" w:rsidRDefault="00BA172C" w:rsidP="00B95821">
            <w:pPr>
              <w:spacing w:before="100" w:after="100"/>
              <w:jc w:val="center"/>
              <w:rPr>
                <w:sz w:val="20"/>
              </w:rPr>
            </w:pPr>
            <w:r w:rsidRPr="00B7364B">
              <w:rPr>
                <w:sz w:val="20"/>
              </w:rPr>
              <w:t>$30 Business SIM</w:t>
            </w:r>
          </w:p>
        </w:tc>
        <w:tc>
          <w:tcPr>
            <w:tcW w:w="2070" w:type="dxa"/>
            <w:shd w:val="clear" w:color="auto" w:fill="auto"/>
            <w:vAlign w:val="center"/>
          </w:tcPr>
          <w:p w14:paraId="6393D1D0" w14:textId="77777777" w:rsidR="00BA172C" w:rsidRPr="00B7364B" w:rsidRDefault="00BA172C" w:rsidP="00B95821">
            <w:pPr>
              <w:spacing w:before="100" w:after="100"/>
              <w:jc w:val="center"/>
              <w:rPr>
                <w:sz w:val="20"/>
              </w:rPr>
            </w:pPr>
            <w:r w:rsidRPr="00B7364B">
              <w:rPr>
                <w:sz w:val="20"/>
              </w:rPr>
              <w:t>800631, 10595094</w:t>
            </w:r>
          </w:p>
        </w:tc>
        <w:tc>
          <w:tcPr>
            <w:tcW w:w="3330" w:type="dxa"/>
            <w:shd w:val="clear" w:color="auto" w:fill="auto"/>
            <w:vAlign w:val="center"/>
          </w:tcPr>
          <w:p w14:paraId="38E50463" w14:textId="77777777" w:rsidR="00BA172C" w:rsidRPr="00B7364B" w:rsidRDefault="00BA172C" w:rsidP="00B95821">
            <w:pPr>
              <w:spacing w:before="100" w:after="100"/>
              <w:jc w:val="center"/>
              <w:rPr>
                <w:sz w:val="20"/>
              </w:rPr>
            </w:pPr>
            <w:r w:rsidRPr="00B7364B">
              <w:rPr>
                <w:sz w:val="20"/>
              </w:rPr>
              <w:t>27 Feb 2017</w:t>
            </w:r>
            <w:r w:rsidR="00E85FA3" w:rsidRPr="00E85FA3">
              <w:rPr>
                <w:sz w:val="20"/>
              </w:rPr>
              <w:t xml:space="preserve"> – 30</w:t>
            </w:r>
            <w:r w:rsidR="00343D1D">
              <w:rPr>
                <w:sz w:val="20"/>
              </w:rPr>
              <w:t xml:space="preserve"> June</w:t>
            </w:r>
            <w:r w:rsidR="00E85FA3" w:rsidRPr="00E85FA3">
              <w:rPr>
                <w:sz w:val="20"/>
              </w:rPr>
              <w:t xml:space="preserve"> 2018</w:t>
            </w:r>
          </w:p>
        </w:tc>
      </w:tr>
      <w:tr w:rsidR="00BA172C" w:rsidRPr="00B7364B" w14:paraId="7434BBE7" w14:textId="77777777" w:rsidTr="00B95821">
        <w:tc>
          <w:tcPr>
            <w:tcW w:w="2988" w:type="dxa"/>
            <w:shd w:val="clear" w:color="auto" w:fill="auto"/>
            <w:vAlign w:val="center"/>
          </w:tcPr>
          <w:p w14:paraId="48693081" w14:textId="77777777" w:rsidR="00BA172C" w:rsidRPr="00B7364B" w:rsidRDefault="00BA172C" w:rsidP="00B95821">
            <w:pPr>
              <w:spacing w:before="100" w:after="100"/>
              <w:jc w:val="center"/>
              <w:rPr>
                <w:sz w:val="20"/>
              </w:rPr>
            </w:pPr>
            <w:r w:rsidRPr="00B7364B">
              <w:rPr>
                <w:sz w:val="20"/>
              </w:rPr>
              <w:t>$40 Business SIM</w:t>
            </w:r>
          </w:p>
        </w:tc>
        <w:tc>
          <w:tcPr>
            <w:tcW w:w="2070" w:type="dxa"/>
            <w:shd w:val="clear" w:color="auto" w:fill="auto"/>
            <w:vAlign w:val="center"/>
          </w:tcPr>
          <w:p w14:paraId="0676A048" w14:textId="77777777" w:rsidR="00BA172C" w:rsidRPr="00B7364B" w:rsidRDefault="00BA172C" w:rsidP="00B95821">
            <w:pPr>
              <w:spacing w:before="100" w:after="100"/>
              <w:jc w:val="center"/>
              <w:rPr>
                <w:sz w:val="20"/>
              </w:rPr>
            </w:pPr>
            <w:r w:rsidRPr="00B7364B">
              <w:rPr>
                <w:sz w:val="20"/>
              </w:rPr>
              <w:t>800632, 10595074</w:t>
            </w:r>
          </w:p>
        </w:tc>
        <w:tc>
          <w:tcPr>
            <w:tcW w:w="3330" w:type="dxa"/>
            <w:shd w:val="clear" w:color="auto" w:fill="auto"/>
          </w:tcPr>
          <w:p w14:paraId="0FEF8E5A" w14:textId="77777777" w:rsidR="00BA172C" w:rsidRPr="00B7364B" w:rsidRDefault="00BA172C" w:rsidP="00B95821">
            <w:pPr>
              <w:spacing w:before="100" w:after="100"/>
              <w:jc w:val="center"/>
              <w:rPr>
                <w:sz w:val="20"/>
              </w:rPr>
            </w:pPr>
            <w:r w:rsidRPr="00B7364B">
              <w:rPr>
                <w:sz w:val="20"/>
              </w:rPr>
              <w:t>27 Feb 2017</w:t>
            </w:r>
            <w:r w:rsidR="00E85FA3" w:rsidRPr="00E85FA3">
              <w:rPr>
                <w:sz w:val="20"/>
              </w:rPr>
              <w:t xml:space="preserve"> – 30</w:t>
            </w:r>
            <w:r w:rsidR="00343D1D">
              <w:rPr>
                <w:sz w:val="20"/>
              </w:rPr>
              <w:t xml:space="preserve"> June</w:t>
            </w:r>
            <w:r w:rsidR="00E85FA3" w:rsidRPr="00E85FA3">
              <w:rPr>
                <w:sz w:val="20"/>
              </w:rPr>
              <w:t xml:space="preserve"> 2018</w:t>
            </w:r>
          </w:p>
        </w:tc>
      </w:tr>
      <w:tr w:rsidR="00BA172C" w:rsidRPr="00B7364B" w14:paraId="18D8F4F6" w14:textId="77777777" w:rsidTr="00B95821">
        <w:tc>
          <w:tcPr>
            <w:tcW w:w="2988" w:type="dxa"/>
            <w:shd w:val="clear" w:color="auto" w:fill="auto"/>
            <w:vAlign w:val="center"/>
          </w:tcPr>
          <w:p w14:paraId="26198960" w14:textId="77777777" w:rsidR="00BA172C" w:rsidRPr="00B7364B" w:rsidRDefault="00BA172C" w:rsidP="00B95821">
            <w:pPr>
              <w:spacing w:before="100" w:after="100"/>
              <w:jc w:val="center"/>
              <w:rPr>
                <w:sz w:val="20"/>
              </w:rPr>
            </w:pPr>
            <w:r w:rsidRPr="00B7364B">
              <w:rPr>
                <w:sz w:val="20"/>
              </w:rPr>
              <w:t>$55 Business SIM</w:t>
            </w:r>
          </w:p>
        </w:tc>
        <w:tc>
          <w:tcPr>
            <w:tcW w:w="2070" w:type="dxa"/>
            <w:shd w:val="clear" w:color="auto" w:fill="auto"/>
            <w:vAlign w:val="center"/>
          </w:tcPr>
          <w:p w14:paraId="3CB7F67A" w14:textId="77777777" w:rsidR="00BA172C" w:rsidRPr="00B7364B" w:rsidRDefault="00BA172C" w:rsidP="00B95821">
            <w:pPr>
              <w:spacing w:before="100" w:after="100"/>
              <w:jc w:val="center"/>
              <w:rPr>
                <w:sz w:val="20"/>
              </w:rPr>
            </w:pPr>
            <w:r w:rsidRPr="00B7364B">
              <w:rPr>
                <w:sz w:val="20"/>
              </w:rPr>
              <w:t>800633, 10595064</w:t>
            </w:r>
          </w:p>
        </w:tc>
        <w:tc>
          <w:tcPr>
            <w:tcW w:w="3330" w:type="dxa"/>
            <w:shd w:val="clear" w:color="auto" w:fill="auto"/>
          </w:tcPr>
          <w:p w14:paraId="78776E8C" w14:textId="77777777" w:rsidR="00BA172C" w:rsidRPr="00B7364B" w:rsidRDefault="00BA172C" w:rsidP="00B95821">
            <w:pPr>
              <w:spacing w:before="100" w:after="100"/>
              <w:jc w:val="center"/>
              <w:rPr>
                <w:sz w:val="20"/>
              </w:rPr>
            </w:pPr>
            <w:r w:rsidRPr="00B7364B">
              <w:rPr>
                <w:sz w:val="20"/>
              </w:rPr>
              <w:t>27 Feb 2017</w:t>
            </w:r>
            <w:r w:rsidR="00E85FA3" w:rsidRPr="00E85FA3">
              <w:rPr>
                <w:sz w:val="20"/>
              </w:rPr>
              <w:t xml:space="preserve"> – 30 </w:t>
            </w:r>
            <w:r w:rsidR="00343D1D">
              <w:rPr>
                <w:sz w:val="20"/>
              </w:rPr>
              <w:t>June</w:t>
            </w:r>
            <w:r w:rsidR="00E85FA3" w:rsidRPr="00E85FA3">
              <w:rPr>
                <w:sz w:val="20"/>
              </w:rPr>
              <w:t xml:space="preserve"> 2018</w:t>
            </w:r>
          </w:p>
        </w:tc>
      </w:tr>
      <w:tr w:rsidR="00BA172C" w:rsidRPr="00B7364B" w14:paraId="38669C27" w14:textId="77777777" w:rsidTr="00B95821">
        <w:tc>
          <w:tcPr>
            <w:tcW w:w="2988" w:type="dxa"/>
            <w:shd w:val="clear" w:color="auto" w:fill="auto"/>
            <w:vAlign w:val="center"/>
          </w:tcPr>
          <w:p w14:paraId="563A3DD5" w14:textId="77777777" w:rsidR="00BA172C" w:rsidRPr="00B7364B" w:rsidRDefault="00BA172C" w:rsidP="00B95821">
            <w:pPr>
              <w:spacing w:before="100" w:after="100"/>
              <w:jc w:val="center"/>
              <w:rPr>
                <w:sz w:val="20"/>
              </w:rPr>
            </w:pPr>
            <w:r w:rsidRPr="00B7364B">
              <w:rPr>
                <w:sz w:val="20"/>
              </w:rPr>
              <w:t>$70 Business SIM</w:t>
            </w:r>
          </w:p>
        </w:tc>
        <w:tc>
          <w:tcPr>
            <w:tcW w:w="2070" w:type="dxa"/>
            <w:shd w:val="clear" w:color="auto" w:fill="auto"/>
            <w:vAlign w:val="center"/>
          </w:tcPr>
          <w:p w14:paraId="136304A0" w14:textId="77777777" w:rsidR="00BA172C" w:rsidRPr="00B7364B" w:rsidRDefault="00BA172C" w:rsidP="00B95821">
            <w:pPr>
              <w:spacing w:before="100" w:after="100"/>
              <w:jc w:val="center"/>
              <w:rPr>
                <w:sz w:val="20"/>
              </w:rPr>
            </w:pPr>
            <w:r w:rsidRPr="00B7364B">
              <w:rPr>
                <w:sz w:val="20"/>
              </w:rPr>
              <w:t>800634, 10595034</w:t>
            </w:r>
          </w:p>
        </w:tc>
        <w:tc>
          <w:tcPr>
            <w:tcW w:w="3330" w:type="dxa"/>
            <w:shd w:val="clear" w:color="auto" w:fill="auto"/>
          </w:tcPr>
          <w:p w14:paraId="58B52559" w14:textId="77777777" w:rsidR="00BA172C" w:rsidRPr="00B7364B" w:rsidRDefault="00BA172C" w:rsidP="00B95821">
            <w:pPr>
              <w:spacing w:before="100" w:after="100"/>
              <w:jc w:val="center"/>
              <w:rPr>
                <w:sz w:val="20"/>
              </w:rPr>
            </w:pPr>
            <w:r w:rsidRPr="00B7364B">
              <w:rPr>
                <w:sz w:val="20"/>
              </w:rPr>
              <w:t>27 Feb 2017</w:t>
            </w:r>
            <w:r w:rsidR="00E85FA3" w:rsidRPr="00E85FA3">
              <w:rPr>
                <w:sz w:val="20"/>
              </w:rPr>
              <w:t xml:space="preserve"> – 30 </w:t>
            </w:r>
            <w:r w:rsidR="00343D1D">
              <w:rPr>
                <w:sz w:val="20"/>
              </w:rPr>
              <w:t>June</w:t>
            </w:r>
            <w:r w:rsidR="00E85FA3" w:rsidRPr="00E85FA3">
              <w:rPr>
                <w:sz w:val="20"/>
              </w:rPr>
              <w:t xml:space="preserve"> 2018</w:t>
            </w:r>
          </w:p>
        </w:tc>
      </w:tr>
    </w:tbl>
    <w:p w14:paraId="53814F52" w14:textId="77777777" w:rsidR="00BA172C" w:rsidRPr="00B7364B" w:rsidRDefault="00BA172C" w:rsidP="00BA172C">
      <w:pPr>
        <w:spacing w:after="200"/>
        <w:rPr>
          <w:sz w:val="20"/>
        </w:rPr>
      </w:pPr>
    </w:p>
    <w:p w14:paraId="22CCDDC0" w14:textId="77777777" w:rsidR="00BA172C" w:rsidRPr="00801DBA" w:rsidRDefault="00BA172C" w:rsidP="00BA172C">
      <w:pPr>
        <w:numPr>
          <w:ilvl w:val="5"/>
          <w:numId w:val="1"/>
        </w:numPr>
        <w:spacing w:after="200"/>
        <w:outlineLvl w:val="5"/>
        <w:rPr>
          <w:rFonts w:eastAsia="Times New Roman"/>
          <w:bCs/>
          <w:sz w:val="20"/>
          <w:szCs w:val="20"/>
        </w:rPr>
      </w:pPr>
      <w:bookmarkStart w:id="1779" w:name="_Toc479674698"/>
      <w:r w:rsidRPr="00801DBA">
        <w:rPr>
          <w:rFonts w:eastAsia="Times New Roman"/>
          <w:bCs/>
          <w:sz w:val="20"/>
          <w:szCs w:val="20"/>
        </w:rPr>
        <w:t>Eligibility</w:t>
      </w:r>
      <w:bookmarkEnd w:id="1779"/>
    </w:p>
    <w:p w14:paraId="2863C3E0" w14:textId="77777777" w:rsidR="00BA172C" w:rsidRPr="00801DBA" w:rsidRDefault="00BA172C" w:rsidP="00BA172C">
      <w:pPr>
        <w:spacing w:after="200"/>
        <w:ind w:left="720"/>
        <w:rPr>
          <w:sz w:val="20"/>
          <w:szCs w:val="20"/>
        </w:rPr>
      </w:pPr>
      <w:r w:rsidRPr="00801DBA">
        <w:rPr>
          <w:sz w:val="20"/>
          <w:szCs w:val="20"/>
        </w:rPr>
        <w:t xml:space="preserve">The Business SIM plans are available to new and existing mobile customers connecting to the </w:t>
      </w:r>
      <w:r w:rsidRPr="00801DBA">
        <w:rPr>
          <w:i/>
          <w:sz w:val="20"/>
          <w:szCs w:val="20"/>
        </w:rPr>
        <w:t xml:space="preserve">service </w:t>
      </w:r>
      <w:r w:rsidRPr="00801DBA">
        <w:rPr>
          <w:sz w:val="20"/>
          <w:szCs w:val="20"/>
        </w:rPr>
        <w:t>who pass Optus' credit assessment.</w:t>
      </w:r>
    </w:p>
    <w:p w14:paraId="165E39E6" w14:textId="77777777" w:rsidR="00BA172C" w:rsidRPr="00801DBA" w:rsidRDefault="00BA172C" w:rsidP="00BA172C">
      <w:pPr>
        <w:spacing w:after="200"/>
        <w:ind w:left="720"/>
        <w:rPr>
          <w:sz w:val="20"/>
          <w:szCs w:val="20"/>
        </w:rPr>
      </w:pPr>
      <w:r w:rsidRPr="00801DBA">
        <w:rPr>
          <w:sz w:val="20"/>
          <w:szCs w:val="20"/>
        </w:rPr>
        <w:t>Optus Service Providers' customers are not eligible to apply</w:t>
      </w:r>
      <w:r w:rsidRPr="00801DBA">
        <w:rPr>
          <w:snapToGrid w:val="0"/>
          <w:sz w:val="20"/>
          <w:szCs w:val="20"/>
        </w:rPr>
        <w:t>.</w:t>
      </w:r>
    </w:p>
    <w:p w14:paraId="37DFF802" w14:textId="77777777" w:rsidR="00BA172C" w:rsidRPr="00801DBA" w:rsidRDefault="00BA172C" w:rsidP="00BA172C">
      <w:pPr>
        <w:spacing w:after="200"/>
        <w:ind w:left="720"/>
        <w:rPr>
          <w:sz w:val="20"/>
          <w:szCs w:val="20"/>
        </w:rPr>
      </w:pPr>
      <w:r w:rsidRPr="00801DBA">
        <w:rPr>
          <w:sz w:val="20"/>
          <w:szCs w:val="20"/>
        </w:rPr>
        <w:t xml:space="preserve">These </w:t>
      </w:r>
      <w:r w:rsidRPr="00801DBA">
        <w:rPr>
          <w:i/>
          <w:sz w:val="20"/>
          <w:szCs w:val="20"/>
        </w:rPr>
        <w:t>plans</w:t>
      </w:r>
      <w:r w:rsidRPr="00801DBA">
        <w:rPr>
          <w:sz w:val="20"/>
          <w:szCs w:val="20"/>
        </w:rPr>
        <w:t xml:space="preserve"> aren't compatible for data use with BlackBerry handsets on operating systems of 7.1 or earlier.</w:t>
      </w:r>
    </w:p>
    <w:p w14:paraId="263A3B32" w14:textId="77777777" w:rsidR="00BA172C" w:rsidRPr="00801DBA" w:rsidRDefault="00BA172C" w:rsidP="00BA172C">
      <w:pPr>
        <w:numPr>
          <w:ilvl w:val="5"/>
          <w:numId w:val="1"/>
        </w:numPr>
        <w:spacing w:after="200"/>
        <w:outlineLvl w:val="5"/>
        <w:rPr>
          <w:rFonts w:eastAsia="Times New Roman"/>
          <w:bCs/>
          <w:sz w:val="20"/>
          <w:szCs w:val="20"/>
        </w:rPr>
      </w:pPr>
      <w:bookmarkStart w:id="1780" w:name="_Toc479674699"/>
      <w:r w:rsidRPr="00801DBA">
        <w:rPr>
          <w:rFonts w:eastAsia="Times New Roman"/>
          <w:bCs/>
          <w:snapToGrid w:val="0"/>
          <w:sz w:val="20"/>
          <w:szCs w:val="20"/>
        </w:rPr>
        <w:t>Minimum Term</w:t>
      </w:r>
      <w:bookmarkEnd w:id="1780"/>
    </w:p>
    <w:p w14:paraId="22FDB82B" w14:textId="77777777" w:rsidR="00BA172C" w:rsidRPr="00801DBA" w:rsidRDefault="00BA172C" w:rsidP="00BA172C">
      <w:pPr>
        <w:spacing w:after="200"/>
        <w:ind w:left="720"/>
        <w:rPr>
          <w:sz w:val="20"/>
          <w:szCs w:val="20"/>
        </w:rPr>
      </w:pPr>
      <w:r w:rsidRPr="00801DBA">
        <w:rPr>
          <w:sz w:val="20"/>
          <w:szCs w:val="20"/>
        </w:rPr>
        <w:t xml:space="preserve">These </w:t>
      </w:r>
      <w:r w:rsidRPr="00801DBA">
        <w:rPr>
          <w:i/>
          <w:sz w:val="20"/>
          <w:szCs w:val="20"/>
        </w:rPr>
        <w:t>plans</w:t>
      </w:r>
      <w:r w:rsidRPr="00801DBA">
        <w:rPr>
          <w:sz w:val="20"/>
          <w:szCs w:val="20"/>
        </w:rPr>
        <w:t xml:space="preserve"> are 12 Month plans on a </w:t>
      </w:r>
      <w:r w:rsidRPr="00801DBA">
        <w:rPr>
          <w:i/>
          <w:sz w:val="20"/>
          <w:szCs w:val="20"/>
        </w:rPr>
        <w:t>fixed length agreement.</w:t>
      </w:r>
    </w:p>
    <w:p w14:paraId="7A8F1CA3" w14:textId="77777777" w:rsidR="00BA172C" w:rsidRPr="00801DBA" w:rsidRDefault="00BA172C" w:rsidP="00BA172C">
      <w:pPr>
        <w:numPr>
          <w:ilvl w:val="5"/>
          <w:numId w:val="1"/>
        </w:numPr>
        <w:spacing w:after="200"/>
        <w:outlineLvl w:val="5"/>
        <w:rPr>
          <w:rFonts w:eastAsia="Times New Roman"/>
          <w:b/>
          <w:bCs/>
          <w:sz w:val="20"/>
          <w:szCs w:val="20"/>
        </w:rPr>
      </w:pPr>
      <w:bookmarkStart w:id="1781" w:name="_Toc479674700"/>
      <w:r w:rsidRPr="00801DBA">
        <w:rPr>
          <w:rFonts w:eastAsia="Times New Roman"/>
          <w:bCs/>
          <w:sz w:val="20"/>
          <w:szCs w:val="20"/>
        </w:rPr>
        <w:t>What you have to pay us</w:t>
      </w:r>
      <w:bookmarkEnd w:id="1781"/>
    </w:p>
    <w:p w14:paraId="5F4AA34E" w14:textId="77777777" w:rsidR="00BA172C" w:rsidRPr="00801DBA" w:rsidRDefault="00BA172C" w:rsidP="00BA172C">
      <w:pPr>
        <w:numPr>
          <w:ilvl w:val="6"/>
          <w:numId w:val="1"/>
        </w:numPr>
        <w:spacing w:after="200"/>
        <w:ind w:left="1440"/>
        <w:outlineLvl w:val="6"/>
        <w:rPr>
          <w:rFonts w:eastAsia="Times New Roman"/>
          <w:sz w:val="20"/>
          <w:szCs w:val="20"/>
        </w:rPr>
      </w:pPr>
      <w:r w:rsidRPr="00801DBA">
        <w:rPr>
          <w:rFonts w:eastAsia="Times New Roman"/>
          <w:i/>
          <w:sz w:val="20"/>
          <w:szCs w:val="20"/>
        </w:rPr>
        <w:t xml:space="preserve">You </w:t>
      </w:r>
      <w:r w:rsidRPr="00801DBA">
        <w:rPr>
          <w:rFonts w:eastAsia="Times New Roman"/>
          <w:sz w:val="20"/>
          <w:szCs w:val="20"/>
        </w:rPr>
        <w:t xml:space="preserve">must pay </w:t>
      </w:r>
      <w:r w:rsidRPr="00801DBA">
        <w:rPr>
          <w:rFonts w:eastAsia="Times New Roman"/>
          <w:i/>
          <w:sz w:val="20"/>
          <w:szCs w:val="20"/>
        </w:rPr>
        <w:t xml:space="preserve">us </w:t>
      </w:r>
      <w:r w:rsidRPr="00801DBA">
        <w:rPr>
          <w:rFonts w:eastAsia="Times New Roman"/>
          <w:sz w:val="20"/>
          <w:szCs w:val="20"/>
        </w:rPr>
        <w:t xml:space="preserve">for use of the </w:t>
      </w:r>
      <w:r w:rsidRPr="00801DBA">
        <w:rPr>
          <w:rFonts w:eastAsia="Times New Roman"/>
          <w:i/>
          <w:sz w:val="20"/>
          <w:szCs w:val="20"/>
        </w:rPr>
        <w:t xml:space="preserve">service </w:t>
      </w:r>
      <w:r w:rsidRPr="00801DBA">
        <w:rPr>
          <w:rFonts w:eastAsia="Times New Roman"/>
          <w:sz w:val="20"/>
          <w:szCs w:val="20"/>
        </w:rPr>
        <w:t xml:space="preserve">at the rates set out in Section 1 of this </w:t>
      </w:r>
      <w:r w:rsidRPr="00801DBA">
        <w:rPr>
          <w:rFonts w:eastAsia="Times New Roman"/>
          <w:i/>
          <w:sz w:val="20"/>
          <w:szCs w:val="20"/>
        </w:rPr>
        <w:t>standard pricing table</w:t>
      </w:r>
      <w:r w:rsidRPr="00801DBA">
        <w:rPr>
          <w:rFonts w:eastAsia="Times New Roman"/>
          <w:sz w:val="20"/>
          <w:szCs w:val="20"/>
        </w:rPr>
        <w:t xml:space="preserve"> and for value added service features at the rates set out in </w:t>
      </w:r>
      <w:hyperlink r:id="rId777" w:history="1">
        <w:r w:rsidRPr="00801DBA">
          <w:rPr>
            <w:rFonts w:eastAsia="Times New Roman"/>
            <w:i/>
            <w:color w:val="13607C"/>
            <w:sz w:val="20"/>
            <w:szCs w:val="20"/>
            <w:u w:val="single"/>
          </w:rPr>
          <w:t>Appendix Y Value Added Service Features</w:t>
        </w:r>
      </w:hyperlink>
      <w:r w:rsidRPr="00801DBA">
        <w:rPr>
          <w:rFonts w:eastAsia="Times New Roman"/>
          <w:sz w:val="20"/>
          <w:szCs w:val="20"/>
        </w:rPr>
        <w:t xml:space="preserve">. </w:t>
      </w:r>
    </w:p>
    <w:p w14:paraId="4D67DE8C" w14:textId="77777777" w:rsidR="00BA172C" w:rsidRPr="00801DBA" w:rsidRDefault="00BA172C" w:rsidP="00BA172C">
      <w:pPr>
        <w:numPr>
          <w:ilvl w:val="6"/>
          <w:numId w:val="1"/>
        </w:numPr>
        <w:spacing w:after="200"/>
        <w:ind w:left="1440"/>
        <w:outlineLvl w:val="6"/>
        <w:rPr>
          <w:rFonts w:eastAsia="Times New Roman"/>
          <w:sz w:val="20"/>
          <w:szCs w:val="20"/>
        </w:rPr>
      </w:pPr>
      <w:r w:rsidRPr="00801DBA">
        <w:rPr>
          <w:rFonts w:eastAsia="Times New Roman"/>
          <w:sz w:val="20"/>
          <w:szCs w:val="20"/>
        </w:rPr>
        <w:t>If there is a flagfall for a particular call type, the charge for these calls is the flagfall amount plus the relevant rate for the call multiplied by the duration of the call.</w:t>
      </w:r>
    </w:p>
    <w:p w14:paraId="24D17A53" w14:textId="77777777" w:rsidR="00BA172C" w:rsidRPr="00801DBA" w:rsidRDefault="00BA172C" w:rsidP="00BA172C">
      <w:pPr>
        <w:numPr>
          <w:ilvl w:val="6"/>
          <w:numId w:val="1"/>
        </w:numPr>
        <w:spacing w:after="200"/>
        <w:ind w:left="1440"/>
        <w:outlineLvl w:val="6"/>
        <w:rPr>
          <w:rFonts w:eastAsia="Times New Roman"/>
          <w:sz w:val="20"/>
          <w:szCs w:val="20"/>
        </w:rPr>
      </w:pPr>
      <w:r w:rsidRPr="00801DBA">
        <w:rPr>
          <w:rFonts w:eastAsia="Times New Roman"/>
          <w:sz w:val="20"/>
          <w:szCs w:val="20"/>
        </w:rPr>
        <w:t xml:space="preserve">Minimum Monthly Charge </w:t>
      </w:r>
    </w:p>
    <w:p w14:paraId="134E9759" w14:textId="77777777" w:rsidR="00BA172C" w:rsidRPr="00801DBA" w:rsidRDefault="00BA172C" w:rsidP="00BA172C">
      <w:pPr>
        <w:numPr>
          <w:ilvl w:val="7"/>
          <w:numId w:val="1"/>
        </w:numPr>
        <w:spacing w:after="200"/>
        <w:outlineLvl w:val="7"/>
        <w:rPr>
          <w:rFonts w:eastAsia="Times New Roman"/>
          <w:iCs/>
          <w:sz w:val="20"/>
          <w:szCs w:val="20"/>
        </w:rPr>
      </w:pPr>
      <w:r w:rsidRPr="00801DBA">
        <w:rPr>
          <w:rFonts w:eastAsia="Times New Roman"/>
          <w:iCs/>
          <w:sz w:val="20"/>
          <w:szCs w:val="20"/>
        </w:rPr>
        <w:t xml:space="preserve">Each Business SIM has a Minimum Monthly Charge amount that </w:t>
      </w:r>
      <w:r w:rsidRPr="00801DBA">
        <w:rPr>
          <w:rFonts w:eastAsia="Times New Roman"/>
          <w:i/>
          <w:iCs/>
          <w:sz w:val="20"/>
          <w:szCs w:val="20"/>
        </w:rPr>
        <w:t>you</w:t>
      </w:r>
      <w:r w:rsidRPr="00801DBA">
        <w:rPr>
          <w:rFonts w:eastAsia="Times New Roman"/>
          <w:iCs/>
          <w:sz w:val="20"/>
          <w:szCs w:val="20"/>
        </w:rPr>
        <w:t xml:space="preserve"> must pay </w:t>
      </w:r>
      <w:r w:rsidRPr="00801DBA">
        <w:rPr>
          <w:rFonts w:eastAsia="Times New Roman"/>
          <w:i/>
          <w:iCs/>
          <w:sz w:val="20"/>
          <w:szCs w:val="20"/>
        </w:rPr>
        <w:t>us</w:t>
      </w:r>
      <w:r w:rsidRPr="00801DBA">
        <w:rPr>
          <w:rFonts w:eastAsia="Times New Roman"/>
          <w:iCs/>
          <w:sz w:val="20"/>
          <w:szCs w:val="20"/>
        </w:rPr>
        <w:t xml:space="preserve"> each month as set out in Table 1 below.</w:t>
      </w:r>
    </w:p>
    <w:p w14:paraId="4910F8F7" w14:textId="77777777" w:rsidR="00BA172C" w:rsidRPr="00801DBA" w:rsidRDefault="00BA172C" w:rsidP="00BA172C">
      <w:pPr>
        <w:numPr>
          <w:ilvl w:val="7"/>
          <w:numId w:val="1"/>
        </w:numPr>
        <w:spacing w:after="200"/>
        <w:outlineLvl w:val="7"/>
        <w:rPr>
          <w:rFonts w:eastAsia="Times New Roman"/>
          <w:iCs/>
          <w:sz w:val="20"/>
          <w:szCs w:val="20"/>
        </w:rPr>
      </w:pPr>
      <w:r w:rsidRPr="00801DBA">
        <w:rPr>
          <w:rFonts w:eastAsia="Times New Roman"/>
          <w:i/>
          <w:iCs/>
          <w:sz w:val="20"/>
          <w:szCs w:val="20"/>
        </w:rPr>
        <w:lastRenderedPageBreak/>
        <w:t>You</w:t>
      </w:r>
      <w:r w:rsidRPr="00801DBA">
        <w:rPr>
          <w:rFonts w:eastAsia="Times New Roman"/>
          <w:iCs/>
          <w:sz w:val="20"/>
          <w:szCs w:val="20"/>
        </w:rPr>
        <w:t xml:space="preserve"> may purchase a mobile phone (or 'handset') with a 1 month, 12 month or 24 month </w:t>
      </w:r>
      <w:r w:rsidRPr="00801DBA">
        <w:rPr>
          <w:rFonts w:eastAsia="Times New Roman"/>
          <w:i/>
          <w:iCs/>
          <w:sz w:val="20"/>
          <w:szCs w:val="20"/>
        </w:rPr>
        <w:t>equipment term</w:t>
      </w:r>
      <w:r w:rsidRPr="00801DBA">
        <w:rPr>
          <w:rFonts w:eastAsia="Times New Roman"/>
          <w:iCs/>
          <w:sz w:val="20"/>
          <w:szCs w:val="20"/>
        </w:rPr>
        <w:t xml:space="preserve"> under a </w:t>
      </w:r>
      <w:r w:rsidRPr="00801DBA">
        <w:rPr>
          <w:rFonts w:eastAsia="Times New Roman"/>
          <w:i/>
          <w:iCs/>
          <w:sz w:val="20"/>
          <w:szCs w:val="20"/>
        </w:rPr>
        <w:t>mobile equipment payment plan</w:t>
      </w:r>
      <w:r w:rsidRPr="00801DBA">
        <w:rPr>
          <w:rFonts w:eastAsia="Times New Roman"/>
          <w:iCs/>
          <w:sz w:val="20"/>
          <w:szCs w:val="20"/>
        </w:rPr>
        <w:t xml:space="preserve"> (set out in </w:t>
      </w:r>
      <w:hyperlink r:id="rId778" w:history="1">
        <w:r w:rsidRPr="00801DBA">
          <w:rPr>
            <w:rFonts w:eastAsia="Times New Roman"/>
            <w:i/>
            <w:iCs/>
            <w:color w:val="13607C"/>
            <w:sz w:val="20"/>
            <w:szCs w:val="20"/>
            <w:u w:val="single"/>
          </w:rPr>
          <w:t>Appendix D</w:t>
        </w:r>
      </w:hyperlink>
      <w:r w:rsidRPr="00801DBA">
        <w:rPr>
          <w:rFonts w:eastAsia="Times New Roman"/>
          <w:iCs/>
          <w:sz w:val="20"/>
          <w:szCs w:val="20"/>
        </w:rPr>
        <w:t>).</w:t>
      </w:r>
    </w:p>
    <w:p w14:paraId="2B2BE816" w14:textId="77777777" w:rsidR="00BA172C" w:rsidRPr="00801DBA" w:rsidRDefault="00BA172C" w:rsidP="00BA172C">
      <w:pPr>
        <w:numPr>
          <w:ilvl w:val="5"/>
          <w:numId w:val="1"/>
        </w:numPr>
        <w:spacing w:after="200"/>
        <w:outlineLvl w:val="5"/>
        <w:rPr>
          <w:rFonts w:eastAsia="Times New Roman"/>
          <w:bCs/>
          <w:snapToGrid w:val="0"/>
          <w:sz w:val="20"/>
          <w:szCs w:val="20"/>
        </w:rPr>
      </w:pPr>
      <w:bookmarkStart w:id="1782" w:name="_Toc479674701"/>
      <w:r w:rsidRPr="00801DBA">
        <w:rPr>
          <w:rFonts w:eastAsia="Times New Roman"/>
          <w:bCs/>
          <w:snapToGrid w:val="0"/>
          <w:sz w:val="20"/>
          <w:szCs w:val="20"/>
        </w:rPr>
        <w:t>How Business SIM works</w:t>
      </w:r>
      <w:bookmarkEnd w:id="1782"/>
    </w:p>
    <w:p w14:paraId="4E734AFD" w14:textId="77777777" w:rsidR="00BA172C" w:rsidRPr="00801DBA" w:rsidRDefault="00BA172C" w:rsidP="00BA172C">
      <w:pPr>
        <w:numPr>
          <w:ilvl w:val="6"/>
          <w:numId w:val="1"/>
        </w:numPr>
        <w:spacing w:after="200"/>
        <w:ind w:left="1440"/>
        <w:outlineLvl w:val="6"/>
        <w:rPr>
          <w:rFonts w:eastAsia="Times New Roman"/>
          <w:sz w:val="20"/>
          <w:szCs w:val="20"/>
        </w:rPr>
      </w:pPr>
      <w:r w:rsidRPr="00801DBA">
        <w:rPr>
          <w:rFonts w:eastAsia="Times New Roman"/>
          <w:sz w:val="20"/>
          <w:szCs w:val="20"/>
        </w:rPr>
        <w:t xml:space="preserve">Each Business SIM has unlimited minutes to use on standard national calls to landlines and mobiles, 13/1300 numbers and voicemail retrievals and an amount of Included Data (for mobile internet use) to share with other services on a My Plan Plus, My Plan Plus SIM Only, My Plan Business (including Tech Fund), My Plan Business SIM, My Mobile Broadband Plus, Mobile Broadband Business or Shared Data Plan on the same account. </w:t>
      </w:r>
    </w:p>
    <w:p w14:paraId="3810B230" w14:textId="77777777" w:rsidR="00BA172C" w:rsidRPr="00801DBA" w:rsidRDefault="00BA172C" w:rsidP="00BA172C">
      <w:pPr>
        <w:numPr>
          <w:ilvl w:val="6"/>
          <w:numId w:val="1"/>
        </w:numPr>
        <w:spacing w:after="200"/>
        <w:ind w:left="1440"/>
        <w:outlineLvl w:val="6"/>
        <w:rPr>
          <w:rFonts w:eastAsia="Times New Roman"/>
          <w:sz w:val="20"/>
          <w:szCs w:val="20"/>
        </w:rPr>
      </w:pPr>
      <w:r w:rsidRPr="00801DBA">
        <w:rPr>
          <w:rFonts w:eastAsia="Times New Roman"/>
          <w:sz w:val="20"/>
          <w:szCs w:val="20"/>
        </w:rPr>
        <w:t>These plans also include unlimited standard national SMS/MMS and unlimited standard International SMS/MMS to selected countries. The $40/$55/$70 plans have an amount of included international minutes to use on standard international calls to selected countries.</w:t>
      </w:r>
    </w:p>
    <w:p w14:paraId="7390B2F3" w14:textId="77777777" w:rsidR="00BA172C" w:rsidRPr="00801DBA" w:rsidRDefault="00BA172C" w:rsidP="00BA172C">
      <w:pPr>
        <w:numPr>
          <w:ilvl w:val="6"/>
          <w:numId w:val="1"/>
        </w:numPr>
        <w:spacing w:after="200"/>
        <w:ind w:left="1440"/>
        <w:outlineLvl w:val="6"/>
        <w:rPr>
          <w:rFonts w:eastAsia="Times New Roman"/>
          <w:sz w:val="20"/>
          <w:szCs w:val="20"/>
        </w:rPr>
      </w:pPr>
      <w:r w:rsidRPr="00801DBA">
        <w:rPr>
          <w:rFonts w:eastAsia="Times New Roman"/>
          <w:sz w:val="20"/>
          <w:szCs w:val="20"/>
        </w:rPr>
        <w:t>Data usage is calculated in one kilobyte increments. Plans that don't have unlimited minutes calculate usage in one minute increments. International minutes are billed in one minute increments.</w:t>
      </w:r>
    </w:p>
    <w:p w14:paraId="112E1A7A" w14:textId="77777777" w:rsidR="00BA172C" w:rsidRPr="00801DBA" w:rsidRDefault="00BA172C" w:rsidP="00BA172C">
      <w:pPr>
        <w:numPr>
          <w:ilvl w:val="6"/>
          <w:numId w:val="1"/>
        </w:numPr>
        <w:spacing w:after="200"/>
        <w:ind w:left="1440"/>
        <w:outlineLvl w:val="6"/>
        <w:rPr>
          <w:rFonts w:eastAsia="Times New Roman"/>
          <w:sz w:val="20"/>
          <w:szCs w:val="20"/>
        </w:rPr>
      </w:pPr>
      <w:r w:rsidRPr="00801DBA">
        <w:rPr>
          <w:rFonts w:eastAsia="Times New Roman"/>
          <w:sz w:val="20"/>
          <w:szCs w:val="20"/>
        </w:rPr>
        <w:t xml:space="preserve">If </w:t>
      </w:r>
      <w:r w:rsidRPr="00801DBA">
        <w:rPr>
          <w:rFonts w:eastAsia="Times New Roman"/>
          <w:i/>
          <w:sz w:val="20"/>
          <w:szCs w:val="20"/>
        </w:rPr>
        <w:t>you</w:t>
      </w:r>
      <w:r w:rsidRPr="00801DBA">
        <w:rPr>
          <w:rFonts w:eastAsia="Times New Roman"/>
          <w:sz w:val="20"/>
          <w:szCs w:val="20"/>
        </w:rPr>
        <w:t xml:space="preserve"> exceed your included shareable data you'll automatically be charged $10 for each additional 1GB of data ("Additional Data") that you use (or part thereof). You can use up to 150GB of extra data per account each month. Your service/s may then be restricted or we may continue to charge you at these rates. </w:t>
      </w:r>
    </w:p>
    <w:p w14:paraId="30BA7A16" w14:textId="77777777" w:rsidR="00BA172C" w:rsidRPr="00801DBA" w:rsidRDefault="00BA172C" w:rsidP="00BA172C">
      <w:pPr>
        <w:numPr>
          <w:ilvl w:val="6"/>
          <w:numId w:val="1"/>
        </w:numPr>
        <w:spacing w:after="200"/>
        <w:ind w:left="1440"/>
        <w:outlineLvl w:val="6"/>
        <w:rPr>
          <w:rFonts w:eastAsia="Times New Roman"/>
          <w:sz w:val="20"/>
          <w:szCs w:val="20"/>
        </w:rPr>
      </w:pPr>
      <w:r w:rsidRPr="00801DBA">
        <w:rPr>
          <w:rFonts w:eastAsia="Times New Roman"/>
          <w:sz w:val="20"/>
          <w:szCs w:val="20"/>
        </w:rPr>
        <w:t xml:space="preserve">Any unused portion of </w:t>
      </w:r>
      <w:r w:rsidRPr="00801DBA">
        <w:rPr>
          <w:rFonts w:eastAsia="Times New Roman"/>
          <w:i/>
          <w:sz w:val="20"/>
          <w:szCs w:val="20"/>
        </w:rPr>
        <w:t>your</w:t>
      </w:r>
      <w:r w:rsidRPr="00801DBA">
        <w:rPr>
          <w:rFonts w:eastAsia="Times New Roman"/>
          <w:sz w:val="20"/>
          <w:szCs w:val="20"/>
        </w:rPr>
        <w:t xml:space="preserve"> </w:t>
      </w:r>
      <w:r w:rsidRPr="00801DBA">
        <w:rPr>
          <w:rFonts w:eastAsia="Times New Roman"/>
          <w:i/>
          <w:sz w:val="20"/>
          <w:szCs w:val="20"/>
        </w:rPr>
        <w:t>plan's</w:t>
      </w:r>
      <w:r w:rsidRPr="00801DBA">
        <w:rPr>
          <w:rFonts w:eastAsia="Times New Roman"/>
          <w:sz w:val="20"/>
          <w:szCs w:val="20"/>
        </w:rPr>
        <w:t xml:space="preserve"> Included Minutes, Included or Additional Data or International Minutes expires at the end of each month and does not roll over into the next month.</w:t>
      </w:r>
    </w:p>
    <w:p w14:paraId="7CEA6792" w14:textId="77777777" w:rsidR="00BA172C" w:rsidRPr="00801DBA" w:rsidRDefault="00BA172C" w:rsidP="00BA172C">
      <w:pPr>
        <w:numPr>
          <w:ilvl w:val="6"/>
          <w:numId w:val="1"/>
        </w:numPr>
        <w:spacing w:after="200"/>
        <w:ind w:left="1440"/>
        <w:outlineLvl w:val="6"/>
        <w:rPr>
          <w:rFonts w:eastAsia="Times New Roman"/>
          <w:b/>
          <w:sz w:val="20"/>
          <w:szCs w:val="20"/>
        </w:rPr>
      </w:pPr>
      <w:r w:rsidRPr="00801DBA">
        <w:rPr>
          <w:rFonts w:eastAsia="Times New Roman"/>
          <w:i/>
          <w:sz w:val="20"/>
          <w:szCs w:val="20"/>
        </w:rPr>
        <w:t>You</w:t>
      </w:r>
      <w:r w:rsidRPr="00801DBA">
        <w:rPr>
          <w:rFonts w:eastAsia="Times New Roman"/>
          <w:sz w:val="20"/>
          <w:szCs w:val="20"/>
        </w:rPr>
        <w:t xml:space="preserve"> must pay </w:t>
      </w:r>
      <w:r w:rsidRPr="00801DBA">
        <w:rPr>
          <w:rFonts w:eastAsia="Times New Roman"/>
          <w:i/>
          <w:sz w:val="20"/>
          <w:szCs w:val="20"/>
        </w:rPr>
        <w:t>us</w:t>
      </w:r>
      <w:r w:rsidRPr="00801DBA">
        <w:rPr>
          <w:rFonts w:eastAsia="Times New Roman"/>
          <w:sz w:val="20"/>
          <w:szCs w:val="20"/>
        </w:rPr>
        <w:t xml:space="preserve"> for use of any services that are not included in </w:t>
      </w:r>
      <w:r w:rsidRPr="00801DBA">
        <w:rPr>
          <w:rFonts w:eastAsia="Times New Roman"/>
          <w:i/>
          <w:sz w:val="20"/>
          <w:szCs w:val="20"/>
        </w:rPr>
        <w:t>your</w:t>
      </w:r>
      <w:r w:rsidRPr="00801DBA">
        <w:rPr>
          <w:rFonts w:eastAsia="Times New Roman"/>
          <w:sz w:val="20"/>
          <w:szCs w:val="20"/>
        </w:rPr>
        <w:t xml:space="preserve"> plan's inclusions, examples of which are set out in Table 2 below.</w:t>
      </w:r>
    </w:p>
    <w:p w14:paraId="4794341D" w14:textId="77777777" w:rsidR="00BA172C" w:rsidRPr="00801DBA" w:rsidRDefault="00BA172C" w:rsidP="00BA172C">
      <w:pPr>
        <w:numPr>
          <w:ilvl w:val="5"/>
          <w:numId w:val="1"/>
        </w:numPr>
        <w:spacing w:after="200"/>
        <w:outlineLvl w:val="5"/>
        <w:rPr>
          <w:rFonts w:eastAsia="Times New Roman"/>
          <w:bCs/>
          <w:snapToGrid w:val="0"/>
          <w:sz w:val="20"/>
          <w:szCs w:val="20"/>
        </w:rPr>
      </w:pPr>
      <w:bookmarkStart w:id="1783" w:name="_Toc479674702"/>
      <w:r w:rsidRPr="00801DBA">
        <w:rPr>
          <w:rFonts w:eastAsia="Times New Roman"/>
          <w:bCs/>
          <w:snapToGrid w:val="0"/>
          <w:sz w:val="20"/>
          <w:szCs w:val="20"/>
        </w:rPr>
        <w:t>Data Sharing</w:t>
      </w:r>
      <w:bookmarkEnd w:id="1783"/>
    </w:p>
    <w:p w14:paraId="1BA021EA" w14:textId="77777777" w:rsidR="00BA172C" w:rsidRPr="00801DBA" w:rsidRDefault="00BA172C" w:rsidP="00BA172C">
      <w:pPr>
        <w:numPr>
          <w:ilvl w:val="6"/>
          <w:numId w:val="1"/>
        </w:numPr>
        <w:spacing w:after="200"/>
        <w:ind w:left="1440"/>
        <w:outlineLvl w:val="6"/>
        <w:rPr>
          <w:rFonts w:eastAsia="Times New Roman"/>
          <w:snapToGrid w:val="0"/>
          <w:sz w:val="20"/>
          <w:szCs w:val="20"/>
        </w:rPr>
      </w:pPr>
      <w:r w:rsidRPr="00801DBA">
        <w:rPr>
          <w:rFonts w:eastAsia="Times New Roman"/>
          <w:snapToGrid w:val="0"/>
          <w:sz w:val="20"/>
          <w:szCs w:val="20"/>
        </w:rPr>
        <w:t>If you have more than one My Plan Plus, My Plan Plus SIM Only, My Plan Business (including Tech Fund), My Plan Business SIM, My Mobile Broadband Plus or Mobile Broadband Business on the same billing account, the included data will combine into one data pool, which will be shared by all eligible services on that account.</w:t>
      </w:r>
    </w:p>
    <w:p w14:paraId="6941DEA1" w14:textId="77777777" w:rsidR="00BA172C" w:rsidRPr="00801DBA" w:rsidRDefault="00BA172C" w:rsidP="00BA172C">
      <w:pPr>
        <w:numPr>
          <w:ilvl w:val="6"/>
          <w:numId w:val="1"/>
        </w:numPr>
        <w:spacing w:after="200"/>
        <w:ind w:left="1440"/>
        <w:outlineLvl w:val="6"/>
        <w:rPr>
          <w:rFonts w:eastAsia="Times New Roman"/>
          <w:snapToGrid w:val="0"/>
          <w:sz w:val="20"/>
          <w:szCs w:val="20"/>
        </w:rPr>
      </w:pPr>
      <w:r w:rsidRPr="00801DBA">
        <w:rPr>
          <w:rFonts w:eastAsia="Times New Roman"/>
          <w:i/>
          <w:snapToGrid w:val="0"/>
          <w:sz w:val="20"/>
          <w:szCs w:val="20"/>
        </w:rPr>
        <w:t>You</w:t>
      </w:r>
      <w:r w:rsidRPr="00801DBA">
        <w:rPr>
          <w:rFonts w:eastAsia="Times New Roman"/>
          <w:snapToGrid w:val="0"/>
          <w:sz w:val="20"/>
          <w:szCs w:val="20"/>
        </w:rPr>
        <w:t xml:space="preserve"> can also share the Included Data in </w:t>
      </w:r>
      <w:r w:rsidRPr="00801DBA">
        <w:rPr>
          <w:rFonts w:eastAsia="Times New Roman"/>
          <w:i/>
          <w:snapToGrid w:val="0"/>
          <w:sz w:val="20"/>
          <w:szCs w:val="20"/>
        </w:rPr>
        <w:t>your</w:t>
      </w:r>
      <w:r w:rsidRPr="00801DBA">
        <w:rPr>
          <w:rFonts w:eastAsia="Times New Roman"/>
          <w:snapToGrid w:val="0"/>
          <w:sz w:val="20"/>
          <w:szCs w:val="20"/>
        </w:rPr>
        <w:t xml:space="preserve"> My Plan Business SIM plan with up to five (5) SIM-ready mobile broadband devices (eg tablets, USB modems and laptops). </w:t>
      </w:r>
      <w:r w:rsidRPr="00801DBA">
        <w:rPr>
          <w:rFonts w:eastAsia="Times New Roman"/>
          <w:i/>
          <w:snapToGrid w:val="0"/>
          <w:sz w:val="20"/>
          <w:szCs w:val="20"/>
        </w:rPr>
        <w:t>You</w:t>
      </w:r>
      <w:r w:rsidRPr="00801DBA">
        <w:rPr>
          <w:rFonts w:eastAsia="Times New Roman"/>
          <w:snapToGrid w:val="0"/>
          <w:sz w:val="20"/>
          <w:szCs w:val="20"/>
        </w:rPr>
        <w:t xml:space="preserve"> must connect these mobile broadband devices to Shared Data Plans which have a $5 set up fee each and no ongoing monthly charges. </w:t>
      </w:r>
    </w:p>
    <w:p w14:paraId="1F06B16A" w14:textId="77777777" w:rsidR="00BA172C" w:rsidRPr="00801DBA" w:rsidRDefault="00BA172C" w:rsidP="00BA172C">
      <w:pPr>
        <w:numPr>
          <w:ilvl w:val="6"/>
          <w:numId w:val="1"/>
        </w:numPr>
        <w:spacing w:after="200"/>
        <w:ind w:left="1440"/>
        <w:outlineLvl w:val="6"/>
        <w:rPr>
          <w:rFonts w:eastAsia="Times New Roman"/>
          <w:snapToGrid w:val="0"/>
          <w:sz w:val="20"/>
          <w:szCs w:val="20"/>
        </w:rPr>
      </w:pPr>
      <w:r w:rsidRPr="00801DBA">
        <w:rPr>
          <w:rFonts w:eastAsia="Times New Roman"/>
          <w:i/>
          <w:snapToGrid w:val="0"/>
          <w:sz w:val="20"/>
          <w:szCs w:val="20"/>
        </w:rPr>
        <w:t>We</w:t>
      </w:r>
      <w:r w:rsidRPr="00801DBA">
        <w:rPr>
          <w:rFonts w:eastAsia="Times New Roman"/>
          <w:snapToGrid w:val="0"/>
          <w:sz w:val="20"/>
          <w:szCs w:val="20"/>
        </w:rPr>
        <w:t xml:space="preserve"> may place a limit on the number of Shared Data Plans </w:t>
      </w:r>
      <w:r w:rsidRPr="00801DBA">
        <w:rPr>
          <w:rFonts w:eastAsia="Times New Roman"/>
          <w:i/>
          <w:snapToGrid w:val="0"/>
          <w:sz w:val="20"/>
          <w:szCs w:val="20"/>
        </w:rPr>
        <w:t>you</w:t>
      </w:r>
      <w:r w:rsidRPr="00801DBA">
        <w:rPr>
          <w:rFonts w:eastAsia="Times New Roman"/>
          <w:snapToGrid w:val="0"/>
          <w:sz w:val="20"/>
          <w:szCs w:val="20"/>
        </w:rPr>
        <w:t xml:space="preserve"> can have, based on </w:t>
      </w:r>
      <w:r w:rsidRPr="00801DBA">
        <w:rPr>
          <w:rFonts w:eastAsia="Times New Roman"/>
          <w:i/>
          <w:snapToGrid w:val="0"/>
          <w:sz w:val="20"/>
          <w:szCs w:val="20"/>
        </w:rPr>
        <w:t>our</w:t>
      </w:r>
      <w:r w:rsidRPr="00801DBA">
        <w:rPr>
          <w:rFonts w:eastAsia="Times New Roman"/>
          <w:snapToGrid w:val="0"/>
          <w:sz w:val="20"/>
          <w:szCs w:val="20"/>
        </w:rPr>
        <w:t xml:space="preserve"> credit criteria.</w:t>
      </w:r>
    </w:p>
    <w:p w14:paraId="5ED0EAB3" w14:textId="77777777" w:rsidR="00BA172C" w:rsidRPr="00801DBA" w:rsidRDefault="00BA172C" w:rsidP="00BA172C">
      <w:pPr>
        <w:numPr>
          <w:ilvl w:val="6"/>
          <w:numId w:val="1"/>
        </w:numPr>
        <w:spacing w:after="200"/>
        <w:ind w:left="1440"/>
        <w:outlineLvl w:val="6"/>
        <w:rPr>
          <w:rFonts w:eastAsia="Times New Roman"/>
          <w:snapToGrid w:val="0"/>
          <w:sz w:val="20"/>
          <w:szCs w:val="20"/>
        </w:rPr>
      </w:pPr>
      <w:r w:rsidRPr="00801DBA">
        <w:rPr>
          <w:rFonts w:eastAsia="Times New Roman"/>
          <w:snapToGrid w:val="0"/>
          <w:sz w:val="20"/>
          <w:szCs w:val="20"/>
        </w:rPr>
        <w:t>Shared Data Plans do not have any Included Data, and cannot be used to make calls.</w:t>
      </w:r>
    </w:p>
    <w:p w14:paraId="0FC8C1E7" w14:textId="77777777" w:rsidR="00BA172C" w:rsidRPr="00801DBA" w:rsidRDefault="00BA172C" w:rsidP="00BA172C">
      <w:pPr>
        <w:numPr>
          <w:ilvl w:val="6"/>
          <w:numId w:val="1"/>
        </w:numPr>
        <w:spacing w:after="200"/>
        <w:ind w:left="1440"/>
        <w:outlineLvl w:val="6"/>
        <w:rPr>
          <w:rFonts w:eastAsia="Times New Roman"/>
          <w:snapToGrid w:val="0"/>
          <w:sz w:val="20"/>
          <w:szCs w:val="20"/>
        </w:rPr>
      </w:pPr>
      <w:r w:rsidRPr="00801DBA">
        <w:rPr>
          <w:rFonts w:eastAsia="Times New Roman"/>
          <w:i/>
          <w:snapToGrid w:val="0"/>
          <w:sz w:val="20"/>
          <w:szCs w:val="20"/>
        </w:rPr>
        <w:t>You</w:t>
      </w:r>
      <w:r w:rsidRPr="00801DBA">
        <w:rPr>
          <w:rFonts w:eastAsia="Times New Roman"/>
          <w:snapToGrid w:val="0"/>
          <w:sz w:val="20"/>
          <w:szCs w:val="20"/>
        </w:rPr>
        <w:t xml:space="preserve"> can purchase one mobile broadband device per Shared Data Plan, and pay for it in full on </w:t>
      </w:r>
      <w:r w:rsidRPr="00801DBA">
        <w:rPr>
          <w:rFonts w:eastAsia="Times New Roman"/>
          <w:i/>
          <w:snapToGrid w:val="0"/>
          <w:sz w:val="20"/>
          <w:szCs w:val="20"/>
        </w:rPr>
        <w:t>your</w:t>
      </w:r>
      <w:r w:rsidRPr="00801DBA">
        <w:rPr>
          <w:rFonts w:eastAsia="Times New Roman"/>
          <w:snapToGrid w:val="0"/>
          <w:sz w:val="20"/>
          <w:szCs w:val="20"/>
        </w:rPr>
        <w:t xml:space="preserve"> first bill, or pay it off over 12 or 24 months on a </w:t>
      </w:r>
      <w:r w:rsidRPr="00801DBA">
        <w:rPr>
          <w:rFonts w:eastAsia="Times New Roman"/>
          <w:i/>
          <w:snapToGrid w:val="0"/>
          <w:sz w:val="20"/>
          <w:szCs w:val="20"/>
        </w:rPr>
        <w:t>Mobile Equipment Payment Plan</w:t>
      </w:r>
      <w:r w:rsidRPr="00801DBA">
        <w:rPr>
          <w:rFonts w:eastAsia="Times New Roman"/>
          <w:snapToGrid w:val="0"/>
          <w:sz w:val="20"/>
          <w:szCs w:val="20"/>
        </w:rPr>
        <w:t xml:space="preserve"> (see </w:t>
      </w:r>
      <w:hyperlink r:id="rId779" w:history="1">
        <w:r w:rsidRPr="00801DBA">
          <w:rPr>
            <w:rFonts w:eastAsia="Times New Roman"/>
            <w:i/>
            <w:color w:val="13607C"/>
            <w:sz w:val="20"/>
            <w:szCs w:val="20"/>
            <w:u w:val="single"/>
          </w:rPr>
          <w:t>Appendix D</w:t>
        </w:r>
      </w:hyperlink>
      <w:r w:rsidRPr="00801DBA">
        <w:rPr>
          <w:rFonts w:eastAsia="Times New Roman"/>
          <w:snapToGrid w:val="0"/>
          <w:sz w:val="20"/>
          <w:szCs w:val="20"/>
        </w:rPr>
        <w:t>).</w:t>
      </w:r>
    </w:p>
    <w:p w14:paraId="23C36B79" w14:textId="77777777" w:rsidR="00BA172C" w:rsidRPr="00801DBA" w:rsidRDefault="00BA172C" w:rsidP="00BA172C">
      <w:pPr>
        <w:numPr>
          <w:ilvl w:val="6"/>
          <w:numId w:val="1"/>
        </w:numPr>
        <w:spacing w:after="200"/>
        <w:ind w:left="1440"/>
        <w:outlineLvl w:val="6"/>
        <w:rPr>
          <w:rFonts w:eastAsia="Times New Roman"/>
          <w:snapToGrid w:val="0"/>
          <w:sz w:val="20"/>
          <w:szCs w:val="20"/>
        </w:rPr>
      </w:pPr>
      <w:r w:rsidRPr="00801DBA">
        <w:rPr>
          <w:rFonts w:eastAsia="Times New Roman"/>
          <w:snapToGrid w:val="0"/>
          <w:sz w:val="20"/>
          <w:szCs w:val="20"/>
        </w:rPr>
        <w:t xml:space="preserve">If </w:t>
      </w:r>
      <w:r w:rsidRPr="00801DBA">
        <w:rPr>
          <w:rFonts w:eastAsia="Times New Roman"/>
          <w:i/>
          <w:snapToGrid w:val="0"/>
          <w:sz w:val="20"/>
          <w:szCs w:val="20"/>
        </w:rPr>
        <w:t>you</w:t>
      </w:r>
      <w:r w:rsidRPr="00801DBA">
        <w:rPr>
          <w:rFonts w:eastAsia="Times New Roman"/>
          <w:snapToGrid w:val="0"/>
          <w:sz w:val="20"/>
          <w:szCs w:val="20"/>
        </w:rPr>
        <w:t xml:space="preserve"> do not want </w:t>
      </w:r>
      <w:r w:rsidRPr="00801DBA">
        <w:rPr>
          <w:rFonts w:eastAsia="Times New Roman"/>
          <w:i/>
          <w:snapToGrid w:val="0"/>
          <w:sz w:val="20"/>
          <w:szCs w:val="20"/>
        </w:rPr>
        <w:t>your</w:t>
      </w:r>
      <w:r w:rsidRPr="00801DBA">
        <w:rPr>
          <w:rFonts w:eastAsia="Times New Roman"/>
          <w:snapToGrid w:val="0"/>
          <w:sz w:val="20"/>
          <w:szCs w:val="20"/>
        </w:rPr>
        <w:t xml:space="preserve"> services on any</w:t>
      </w:r>
      <w:r w:rsidRPr="00801DBA">
        <w:rPr>
          <w:rFonts w:eastAsia="Times New Roman"/>
          <w:sz w:val="20"/>
          <w:szCs w:val="20"/>
        </w:rPr>
        <w:t xml:space="preserve"> My Plan Plus</w:t>
      </w:r>
      <w:r w:rsidRPr="00801DBA">
        <w:rPr>
          <w:rFonts w:eastAsia="Times New Roman"/>
          <w:sz w:val="20"/>
          <w:szCs w:val="20"/>
          <w:lang w:eastAsia="en-AU"/>
        </w:rPr>
        <w:t>, My Plan Plus SIM Only, My Plan Business (including Tech Fund), My Plan Business SIM, My Mobile Broadband Plus or Mobile Broadband Business plans</w:t>
      </w:r>
      <w:r w:rsidRPr="00801DBA">
        <w:rPr>
          <w:rFonts w:eastAsia="Times New Roman"/>
          <w:snapToGrid w:val="0"/>
          <w:sz w:val="20"/>
          <w:szCs w:val="20"/>
        </w:rPr>
        <w:t xml:space="preserve"> to share data, they need to be on separate billing accounts. </w:t>
      </w:r>
    </w:p>
    <w:p w14:paraId="1AFECF69" w14:textId="77777777" w:rsidR="00BA172C" w:rsidRPr="00801DBA" w:rsidRDefault="00BA172C" w:rsidP="00BA172C">
      <w:pPr>
        <w:numPr>
          <w:ilvl w:val="6"/>
          <w:numId w:val="1"/>
        </w:numPr>
        <w:spacing w:after="200"/>
        <w:ind w:left="1440"/>
        <w:outlineLvl w:val="6"/>
        <w:rPr>
          <w:rFonts w:eastAsia="Times New Roman"/>
          <w:snapToGrid w:val="0"/>
          <w:sz w:val="20"/>
          <w:szCs w:val="20"/>
        </w:rPr>
      </w:pPr>
      <w:r w:rsidRPr="00801DBA">
        <w:rPr>
          <w:rFonts w:eastAsia="Times New Roman"/>
          <w:snapToGrid w:val="0"/>
          <w:sz w:val="20"/>
          <w:szCs w:val="20"/>
        </w:rPr>
        <w:t>Data sharing is only available within Australia.</w:t>
      </w:r>
    </w:p>
    <w:p w14:paraId="3C67A970" w14:textId="77777777" w:rsidR="00BA172C" w:rsidRPr="00801DBA" w:rsidRDefault="00BA172C" w:rsidP="00BA172C">
      <w:pPr>
        <w:numPr>
          <w:ilvl w:val="5"/>
          <w:numId w:val="1"/>
        </w:numPr>
        <w:spacing w:after="200"/>
        <w:outlineLvl w:val="5"/>
        <w:rPr>
          <w:rFonts w:eastAsia="Times New Roman"/>
          <w:bCs/>
          <w:snapToGrid w:val="0"/>
          <w:sz w:val="20"/>
          <w:szCs w:val="20"/>
        </w:rPr>
      </w:pPr>
      <w:bookmarkStart w:id="1784" w:name="_Toc479674703"/>
      <w:r w:rsidRPr="00801DBA">
        <w:rPr>
          <w:rFonts w:eastAsia="Times New Roman"/>
          <w:bCs/>
          <w:snapToGrid w:val="0"/>
          <w:sz w:val="20"/>
          <w:szCs w:val="20"/>
        </w:rPr>
        <w:t>International Minutes</w:t>
      </w:r>
      <w:bookmarkEnd w:id="1784"/>
    </w:p>
    <w:p w14:paraId="6FDC13AA" w14:textId="77777777" w:rsidR="00BA172C" w:rsidRPr="00801DBA" w:rsidRDefault="00BA172C" w:rsidP="00BA172C">
      <w:pPr>
        <w:spacing w:after="200"/>
        <w:ind w:left="720"/>
        <w:rPr>
          <w:sz w:val="20"/>
          <w:szCs w:val="20"/>
        </w:rPr>
      </w:pPr>
      <w:r w:rsidRPr="00801DBA">
        <w:rPr>
          <w:sz w:val="20"/>
          <w:szCs w:val="20"/>
        </w:rPr>
        <w:t>The $40/$55/$70 My Plan Business SIM includes up to 300/400/500 international minutes (respectively) for standard calls to mobiles and fixed lines in selected countries. For a list of selected countries see Table 3 below.</w:t>
      </w:r>
    </w:p>
    <w:p w14:paraId="68EB42C3" w14:textId="77777777" w:rsidR="00BA172C" w:rsidRPr="00801DBA" w:rsidRDefault="00BA172C" w:rsidP="00BA172C">
      <w:pPr>
        <w:spacing w:after="200"/>
        <w:ind w:left="720"/>
        <w:rPr>
          <w:sz w:val="20"/>
          <w:szCs w:val="20"/>
        </w:rPr>
      </w:pPr>
      <w:r w:rsidRPr="00801DBA">
        <w:rPr>
          <w:sz w:val="20"/>
          <w:szCs w:val="20"/>
        </w:rPr>
        <w:lastRenderedPageBreak/>
        <w:t>Calls are charged per minute. When included minutes for calls to selected countries are used up, standard 'yes' international call charges apply.</w:t>
      </w:r>
    </w:p>
    <w:p w14:paraId="246D2329" w14:textId="77777777" w:rsidR="00BA172C" w:rsidRPr="00801DBA" w:rsidRDefault="00BA172C" w:rsidP="00BA172C">
      <w:pPr>
        <w:numPr>
          <w:ilvl w:val="5"/>
          <w:numId w:val="1"/>
        </w:numPr>
        <w:spacing w:after="200"/>
        <w:outlineLvl w:val="5"/>
        <w:rPr>
          <w:rFonts w:eastAsia="Times New Roman"/>
          <w:bCs/>
          <w:snapToGrid w:val="0"/>
          <w:sz w:val="20"/>
          <w:szCs w:val="20"/>
        </w:rPr>
      </w:pPr>
      <w:bookmarkStart w:id="1785" w:name="_Toc479674704"/>
      <w:r w:rsidRPr="00801DBA">
        <w:rPr>
          <w:rFonts w:eastAsia="Times New Roman"/>
          <w:bCs/>
          <w:snapToGrid w:val="0"/>
          <w:sz w:val="20"/>
          <w:szCs w:val="20"/>
        </w:rPr>
        <w:t>Unlimited standard national SMS and MMS</w:t>
      </w:r>
      <w:bookmarkEnd w:id="1785"/>
    </w:p>
    <w:p w14:paraId="09EA9A17" w14:textId="77777777" w:rsidR="00BA172C" w:rsidRPr="00801DBA" w:rsidRDefault="00BA172C" w:rsidP="00BA172C">
      <w:pPr>
        <w:spacing w:after="200"/>
        <w:ind w:left="720"/>
        <w:rPr>
          <w:sz w:val="20"/>
          <w:szCs w:val="20"/>
        </w:rPr>
      </w:pPr>
      <w:r w:rsidRPr="00801DBA">
        <w:rPr>
          <w:sz w:val="20"/>
          <w:szCs w:val="20"/>
        </w:rPr>
        <w:t>You may send standard unlimited SMS and MMS to Australian mobiles from within Australia.</w:t>
      </w:r>
    </w:p>
    <w:p w14:paraId="08260EB2" w14:textId="77777777" w:rsidR="00BA172C" w:rsidRPr="00801DBA" w:rsidRDefault="00BA172C" w:rsidP="00BA172C">
      <w:pPr>
        <w:spacing w:after="200"/>
        <w:ind w:left="720"/>
        <w:rPr>
          <w:i/>
          <w:sz w:val="20"/>
          <w:szCs w:val="20"/>
        </w:rPr>
      </w:pPr>
      <w:r w:rsidRPr="00801DBA">
        <w:rPr>
          <w:sz w:val="20"/>
          <w:szCs w:val="20"/>
        </w:rPr>
        <w:t xml:space="preserve">Unlimited standard national SMS and MMS are only available for personal and ordinary business use and are not to be used for a commercial or non-ordinary purpose as set out in the Fair Go Policy. For further details refer to </w:t>
      </w:r>
      <w:hyperlink r:id="rId780" w:history="1">
        <w:r w:rsidRPr="00801DBA">
          <w:rPr>
            <w:i/>
            <w:color w:val="13607C"/>
            <w:sz w:val="20"/>
            <w:szCs w:val="20"/>
            <w:u w:val="single"/>
          </w:rPr>
          <w:t>Appendix S</w:t>
        </w:r>
      </w:hyperlink>
      <w:r w:rsidRPr="00801DBA">
        <w:rPr>
          <w:i/>
          <w:sz w:val="20"/>
          <w:szCs w:val="20"/>
        </w:rPr>
        <w:t>.</w:t>
      </w:r>
    </w:p>
    <w:p w14:paraId="370E67D4" w14:textId="77777777" w:rsidR="00BA172C" w:rsidRPr="00801DBA" w:rsidRDefault="00BA172C" w:rsidP="00BA172C">
      <w:pPr>
        <w:numPr>
          <w:ilvl w:val="5"/>
          <w:numId w:val="1"/>
        </w:numPr>
        <w:spacing w:after="200"/>
        <w:outlineLvl w:val="5"/>
        <w:rPr>
          <w:rFonts w:eastAsia="Times New Roman"/>
          <w:bCs/>
          <w:snapToGrid w:val="0"/>
          <w:sz w:val="20"/>
          <w:szCs w:val="20"/>
        </w:rPr>
      </w:pPr>
      <w:bookmarkStart w:id="1786" w:name="_Toc479674705"/>
      <w:r w:rsidRPr="00801DBA">
        <w:rPr>
          <w:rFonts w:eastAsia="Times New Roman"/>
          <w:bCs/>
          <w:snapToGrid w:val="0"/>
          <w:sz w:val="20"/>
          <w:szCs w:val="20"/>
        </w:rPr>
        <w:t>Unlimited standard international SMS and MMS</w:t>
      </w:r>
      <w:bookmarkEnd w:id="1786"/>
    </w:p>
    <w:p w14:paraId="3EB20D74" w14:textId="77777777" w:rsidR="00BA172C" w:rsidRPr="00801DBA" w:rsidRDefault="00BA172C" w:rsidP="00BA172C">
      <w:pPr>
        <w:spacing w:after="200"/>
        <w:ind w:left="720"/>
        <w:rPr>
          <w:sz w:val="20"/>
          <w:szCs w:val="20"/>
        </w:rPr>
      </w:pPr>
      <w:r w:rsidRPr="00801DBA">
        <w:rPr>
          <w:sz w:val="20"/>
          <w:szCs w:val="20"/>
        </w:rPr>
        <w:t>You may send unlimited standard SMS and MMS to selected countries as set out in Table 3 below.</w:t>
      </w:r>
    </w:p>
    <w:p w14:paraId="4FBAE206" w14:textId="77777777" w:rsidR="00BA172C" w:rsidRPr="00801DBA" w:rsidRDefault="00BA172C" w:rsidP="00BA172C">
      <w:pPr>
        <w:spacing w:after="200"/>
        <w:ind w:left="720"/>
        <w:rPr>
          <w:i/>
          <w:sz w:val="20"/>
          <w:szCs w:val="20"/>
        </w:rPr>
      </w:pPr>
      <w:r w:rsidRPr="00801DBA">
        <w:rPr>
          <w:sz w:val="20"/>
          <w:szCs w:val="20"/>
        </w:rPr>
        <w:t xml:space="preserve">Unlimited standard SMS and MMS are only available for personal and ordinary business use and are not to be used for a commercial or non-ordinary purpose as set out in the Fair Go Policy. For further details refer to </w:t>
      </w:r>
      <w:hyperlink r:id="rId781" w:history="1">
        <w:r w:rsidRPr="00801DBA">
          <w:rPr>
            <w:i/>
            <w:color w:val="13607C"/>
            <w:sz w:val="20"/>
            <w:szCs w:val="20"/>
            <w:u w:val="single"/>
          </w:rPr>
          <w:t>Appendix S</w:t>
        </w:r>
      </w:hyperlink>
      <w:r w:rsidRPr="00801DBA">
        <w:rPr>
          <w:sz w:val="20"/>
          <w:szCs w:val="20"/>
        </w:rPr>
        <w:t>.</w:t>
      </w:r>
    </w:p>
    <w:p w14:paraId="4F7DD393" w14:textId="77777777" w:rsidR="00BA172C" w:rsidRPr="00801DBA" w:rsidRDefault="00BA172C" w:rsidP="00BA172C">
      <w:pPr>
        <w:spacing w:after="200"/>
        <w:ind w:left="720"/>
        <w:rPr>
          <w:b/>
          <w:sz w:val="20"/>
          <w:szCs w:val="20"/>
        </w:rPr>
      </w:pPr>
      <w:r w:rsidRPr="00801DBA">
        <w:rPr>
          <w:b/>
          <w:sz w:val="20"/>
          <w:szCs w:val="20"/>
        </w:rPr>
        <w:t>Table 1 –Plan Inclusions and Charges</w:t>
      </w:r>
    </w:p>
    <w:tbl>
      <w:tblPr>
        <w:tblW w:w="7938"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890"/>
        <w:gridCol w:w="1512"/>
        <w:gridCol w:w="1512"/>
        <w:gridCol w:w="1512"/>
        <w:gridCol w:w="1512"/>
      </w:tblGrid>
      <w:tr w:rsidR="00BA172C" w:rsidRPr="00B7364B" w14:paraId="17E1D574" w14:textId="77777777" w:rsidTr="00B95821">
        <w:trPr>
          <w:trHeight w:val="54"/>
          <w:tblHeader/>
        </w:trPr>
        <w:tc>
          <w:tcPr>
            <w:tcW w:w="1890" w:type="dxa"/>
            <w:shd w:val="clear" w:color="auto" w:fill="auto"/>
          </w:tcPr>
          <w:p w14:paraId="292A8E9D" w14:textId="77777777" w:rsidR="00BA172C" w:rsidRPr="00B7364B" w:rsidRDefault="00BA172C" w:rsidP="00B95821">
            <w:pPr>
              <w:spacing w:before="100" w:after="100"/>
              <w:rPr>
                <w:sz w:val="20"/>
              </w:rPr>
            </w:pPr>
          </w:p>
        </w:tc>
        <w:tc>
          <w:tcPr>
            <w:tcW w:w="1512" w:type="dxa"/>
          </w:tcPr>
          <w:p w14:paraId="60ADD933" w14:textId="77777777" w:rsidR="00BA172C" w:rsidRPr="00B7364B" w:rsidRDefault="00BA172C" w:rsidP="00B95821">
            <w:pPr>
              <w:spacing w:before="100" w:after="100"/>
              <w:jc w:val="center"/>
              <w:rPr>
                <w:b/>
                <w:sz w:val="20"/>
              </w:rPr>
            </w:pPr>
            <w:r w:rsidRPr="00B7364B">
              <w:rPr>
                <w:b/>
                <w:sz w:val="20"/>
              </w:rPr>
              <w:t>$30 Business SIM</w:t>
            </w:r>
          </w:p>
        </w:tc>
        <w:tc>
          <w:tcPr>
            <w:tcW w:w="1512" w:type="dxa"/>
            <w:shd w:val="clear" w:color="auto" w:fill="auto"/>
          </w:tcPr>
          <w:p w14:paraId="08727443" w14:textId="77777777" w:rsidR="00BA172C" w:rsidRPr="00B7364B" w:rsidRDefault="00BA172C" w:rsidP="00B95821">
            <w:pPr>
              <w:spacing w:before="100" w:after="100"/>
              <w:jc w:val="center"/>
              <w:rPr>
                <w:b/>
                <w:sz w:val="20"/>
              </w:rPr>
            </w:pPr>
            <w:r w:rsidRPr="00B7364B">
              <w:rPr>
                <w:b/>
                <w:sz w:val="20"/>
              </w:rPr>
              <w:t>$40 Business SIM</w:t>
            </w:r>
          </w:p>
        </w:tc>
        <w:tc>
          <w:tcPr>
            <w:tcW w:w="1512" w:type="dxa"/>
          </w:tcPr>
          <w:p w14:paraId="29E2F60C" w14:textId="77777777" w:rsidR="00BA172C" w:rsidRPr="00B7364B" w:rsidRDefault="00BA172C" w:rsidP="00B95821">
            <w:pPr>
              <w:spacing w:before="100" w:after="100"/>
              <w:jc w:val="center"/>
              <w:rPr>
                <w:b/>
                <w:sz w:val="20"/>
              </w:rPr>
            </w:pPr>
            <w:r w:rsidRPr="00B7364B">
              <w:rPr>
                <w:b/>
                <w:sz w:val="20"/>
              </w:rPr>
              <w:t>$55 Business SIM</w:t>
            </w:r>
          </w:p>
        </w:tc>
        <w:tc>
          <w:tcPr>
            <w:tcW w:w="1512" w:type="dxa"/>
          </w:tcPr>
          <w:p w14:paraId="0305FDAF" w14:textId="77777777" w:rsidR="00BA172C" w:rsidRPr="00B7364B" w:rsidRDefault="00BA172C" w:rsidP="00B95821">
            <w:pPr>
              <w:spacing w:before="100" w:after="100"/>
              <w:jc w:val="center"/>
              <w:rPr>
                <w:b/>
                <w:sz w:val="20"/>
              </w:rPr>
            </w:pPr>
            <w:r w:rsidRPr="00B7364B">
              <w:rPr>
                <w:b/>
                <w:sz w:val="20"/>
              </w:rPr>
              <w:t>$70 Business SIM</w:t>
            </w:r>
          </w:p>
        </w:tc>
      </w:tr>
      <w:tr w:rsidR="00BA172C" w:rsidRPr="00B7364B" w14:paraId="29C8C490" w14:textId="77777777" w:rsidTr="00B95821">
        <w:tc>
          <w:tcPr>
            <w:tcW w:w="1890" w:type="dxa"/>
            <w:shd w:val="clear" w:color="auto" w:fill="auto"/>
          </w:tcPr>
          <w:p w14:paraId="4DC6836E" w14:textId="77777777" w:rsidR="00BA172C" w:rsidRPr="00B7364B" w:rsidRDefault="00BA172C" w:rsidP="00B95821">
            <w:pPr>
              <w:spacing w:before="100" w:after="100"/>
              <w:rPr>
                <w:sz w:val="20"/>
              </w:rPr>
            </w:pPr>
            <w:r w:rsidRPr="00B7364B">
              <w:rPr>
                <w:b/>
                <w:bCs/>
                <w:sz w:val="20"/>
              </w:rPr>
              <w:t>Minimum Monthly charge</w:t>
            </w:r>
          </w:p>
        </w:tc>
        <w:tc>
          <w:tcPr>
            <w:tcW w:w="1512" w:type="dxa"/>
            <w:vAlign w:val="center"/>
          </w:tcPr>
          <w:p w14:paraId="53ACFDF5" w14:textId="77777777" w:rsidR="00BA172C" w:rsidRPr="00B7364B" w:rsidRDefault="00BA172C" w:rsidP="00B95821">
            <w:pPr>
              <w:spacing w:before="100" w:after="100"/>
              <w:jc w:val="center"/>
              <w:rPr>
                <w:sz w:val="20"/>
              </w:rPr>
            </w:pPr>
            <w:r w:rsidRPr="00B7364B">
              <w:rPr>
                <w:sz w:val="20"/>
              </w:rPr>
              <w:t>$30</w:t>
            </w:r>
          </w:p>
        </w:tc>
        <w:tc>
          <w:tcPr>
            <w:tcW w:w="1512" w:type="dxa"/>
            <w:shd w:val="clear" w:color="auto" w:fill="auto"/>
            <w:vAlign w:val="center"/>
          </w:tcPr>
          <w:p w14:paraId="2E978888" w14:textId="77777777" w:rsidR="00BA172C" w:rsidRPr="00B7364B" w:rsidRDefault="00BA172C" w:rsidP="00B95821">
            <w:pPr>
              <w:spacing w:before="100" w:after="100"/>
              <w:jc w:val="center"/>
              <w:rPr>
                <w:sz w:val="20"/>
              </w:rPr>
            </w:pPr>
            <w:r w:rsidRPr="00B7364B">
              <w:rPr>
                <w:sz w:val="20"/>
              </w:rPr>
              <w:t>$40</w:t>
            </w:r>
          </w:p>
        </w:tc>
        <w:tc>
          <w:tcPr>
            <w:tcW w:w="1512" w:type="dxa"/>
            <w:vAlign w:val="center"/>
          </w:tcPr>
          <w:p w14:paraId="065D8BCC" w14:textId="77777777" w:rsidR="00BA172C" w:rsidRPr="00B7364B" w:rsidRDefault="00BA172C" w:rsidP="00B95821">
            <w:pPr>
              <w:spacing w:before="100" w:after="100"/>
              <w:jc w:val="center"/>
              <w:rPr>
                <w:sz w:val="20"/>
              </w:rPr>
            </w:pPr>
            <w:r w:rsidRPr="00B7364B">
              <w:rPr>
                <w:sz w:val="20"/>
              </w:rPr>
              <w:t>$55</w:t>
            </w:r>
          </w:p>
        </w:tc>
        <w:tc>
          <w:tcPr>
            <w:tcW w:w="1512" w:type="dxa"/>
            <w:vAlign w:val="center"/>
          </w:tcPr>
          <w:p w14:paraId="4DC8C209" w14:textId="77777777" w:rsidR="00BA172C" w:rsidRPr="00B7364B" w:rsidRDefault="00BA172C" w:rsidP="00B95821">
            <w:pPr>
              <w:spacing w:before="100" w:after="100"/>
              <w:jc w:val="center"/>
              <w:rPr>
                <w:sz w:val="20"/>
              </w:rPr>
            </w:pPr>
            <w:r w:rsidRPr="00B7364B">
              <w:rPr>
                <w:sz w:val="20"/>
              </w:rPr>
              <w:t>$70</w:t>
            </w:r>
          </w:p>
        </w:tc>
      </w:tr>
      <w:tr w:rsidR="00BA172C" w:rsidRPr="00B7364B" w14:paraId="08FDA054" w14:textId="77777777" w:rsidTr="00B95821">
        <w:tc>
          <w:tcPr>
            <w:tcW w:w="1890" w:type="dxa"/>
            <w:shd w:val="clear" w:color="auto" w:fill="auto"/>
          </w:tcPr>
          <w:p w14:paraId="1629945E" w14:textId="77777777" w:rsidR="00BA172C" w:rsidRPr="00B7364B" w:rsidRDefault="00BA172C" w:rsidP="00B95821">
            <w:pPr>
              <w:spacing w:before="100" w:after="100"/>
              <w:rPr>
                <w:b/>
                <w:bCs/>
                <w:sz w:val="20"/>
              </w:rPr>
            </w:pPr>
            <w:r w:rsidRPr="00B7364B">
              <w:rPr>
                <w:b/>
                <w:bCs/>
                <w:sz w:val="20"/>
              </w:rPr>
              <w:t>Minimum Total Cost over 12 Months</w:t>
            </w:r>
          </w:p>
        </w:tc>
        <w:tc>
          <w:tcPr>
            <w:tcW w:w="1512" w:type="dxa"/>
            <w:vAlign w:val="center"/>
          </w:tcPr>
          <w:p w14:paraId="542D9BA3" w14:textId="77777777" w:rsidR="00BA172C" w:rsidRPr="00B7364B" w:rsidRDefault="00BA172C" w:rsidP="00B95821">
            <w:pPr>
              <w:spacing w:before="100" w:after="100"/>
              <w:jc w:val="center"/>
              <w:rPr>
                <w:sz w:val="20"/>
              </w:rPr>
            </w:pPr>
            <w:r w:rsidRPr="00B7364B">
              <w:rPr>
                <w:sz w:val="20"/>
              </w:rPr>
              <w:t>$360</w:t>
            </w:r>
          </w:p>
        </w:tc>
        <w:tc>
          <w:tcPr>
            <w:tcW w:w="1512" w:type="dxa"/>
            <w:shd w:val="clear" w:color="auto" w:fill="auto"/>
            <w:vAlign w:val="center"/>
          </w:tcPr>
          <w:p w14:paraId="74B88C9C" w14:textId="77777777" w:rsidR="00BA172C" w:rsidRPr="00B7364B" w:rsidRDefault="00BA172C" w:rsidP="00B95821">
            <w:pPr>
              <w:spacing w:before="100" w:after="100"/>
              <w:jc w:val="center"/>
              <w:rPr>
                <w:sz w:val="20"/>
              </w:rPr>
            </w:pPr>
            <w:r w:rsidRPr="00B7364B">
              <w:rPr>
                <w:sz w:val="20"/>
              </w:rPr>
              <w:t>$480</w:t>
            </w:r>
          </w:p>
        </w:tc>
        <w:tc>
          <w:tcPr>
            <w:tcW w:w="1512" w:type="dxa"/>
            <w:vAlign w:val="center"/>
          </w:tcPr>
          <w:p w14:paraId="66F7390D" w14:textId="77777777" w:rsidR="00BA172C" w:rsidRPr="00B7364B" w:rsidRDefault="00BA172C" w:rsidP="00B95821">
            <w:pPr>
              <w:spacing w:before="100" w:after="100"/>
              <w:jc w:val="center"/>
              <w:rPr>
                <w:sz w:val="20"/>
              </w:rPr>
            </w:pPr>
            <w:r w:rsidRPr="00B7364B">
              <w:rPr>
                <w:sz w:val="20"/>
              </w:rPr>
              <w:t>$660</w:t>
            </w:r>
          </w:p>
        </w:tc>
        <w:tc>
          <w:tcPr>
            <w:tcW w:w="1512" w:type="dxa"/>
            <w:vAlign w:val="center"/>
          </w:tcPr>
          <w:p w14:paraId="355495A5" w14:textId="77777777" w:rsidR="00BA172C" w:rsidRPr="00B7364B" w:rsidRDefault="00BA172C" w:rsidP="00B95821">
            <w:pPr>
              <w:spacing w:before="100" w:after="100"/>
              <w:jc w:val="center"/>
              <w:rPr>
                <w:sz w:val="20"/>
              </w:rPr>
            </w:pPr>
            <w:r w:rsidRPr="00B7364B">
              <w:rPr>
                <w:sz w:val="20"/>
              </w:rPr>
              <w:t>$840</w:t>
            </w:r>
          </w:p>
        </w:tc>
      </w:tr>
      <w:tr w:rsidR="00BA172C" w:rsidRPr="00B7364B" w14:paraId="3A43459C" w14:textId="77777777" w:rsidTr="00B95821">
        <w:trPr>
          <w:trHeight w:val="54"/>
        </w:trPr>
        <w:tc>
          <w:tcPr>
            <w:tcW w:w="1890" w:type="dxa"/>
            <w:shd w:val="clear" w:color="auto" w:fill="auto"/>
          </w:tcPr>
          <w:p w14:paraId="04FC71A3" w14:textId="77777777" w:rsidR="00BA172C" w:rsidRPr="00B7364B" w:rsidRDefault="00BA172C" w:rsidP="00B95821">
            <w:pPr>
              <w:spacing w:before="100" w:after="100"/>
              <w:rPr>
                <w:sz w:val="20"/>
              </w:rPr>
            </w:pPr>
            <w:r w:rsidRPr="00B7364B">
              <w:rPr>
                <w:b/>
                <w:bCs/>
                <w:sz w:val="20"/>
              </w:rPr>
              <w:t>Included Data</w:t>
            </w:r>
          </w:p>
        </w:tc>
        <w:tc>
          <w:tcPr>
            <w:tcW w:w="1512" w:type="dxa"/>
            <w:vAlign w:val="center"/>
          </w:tcPr>
          <w:p w14:paraId="63A039C1" w14:textId="77777777" w:rsidR="00BA172C" w:rsidRPr="00B7364B" w:rsidRDefault="00BA172C" w:rsidP="00B95821">
            <w:pPr>
              <w:spacing w:before="100" w:after="100"/>
              <w:jc w:val="center"/>
              <w:rPr>
                <w:sz w:val="20"/>
              </w:rPr>
            </w:pPr>
            <w:r w:rsidRPr="00B7364B">
              <w:rPr>
                <w:sz w:val="20"/>
              </w:rPr>
              <w:t>1.5GB</w:t>
            </w:r>
          </w:p>
        </w:tc>
        <w:tc>
          <w:tcPr>
            <w:tcW w:w="1512" w:type="dxa"/>
            <w:shd w:val="clear" w:color="auto" w:fill="auto"/>
            <w:vAlign w:val="center"/>
          </w:tcPr>
          <w:p w14:paraId="14D47C27" w14:textId="77777777" w:rsidR="00BA172C" w:rsidRPr="00B7364B" w:rsidRDefault="00BA172C" w:rsidP="00B95821">
            <w:pPr>
              <w:spacing w:before="100" w:after="100"/>
              <w:jc w:val="center"/>
              <w:rPr>
                <w:sz w:val="20"/>
              </w:rPr>
            </w:pPr>
            <w:r w:rsidRPr="00B7364B">
              <w:rPr>
                <w:sz w:val="20"/>
              </w:rPr>
              <w:t>8GB</w:t>
            </w:r>
          </w:p>
        </w:tc>
        <w:tc>
          <w:tcPr>
            <w:tcW w:w="1512" w:type="dxa"/>
            <w:vAlign w:val="center"/>
          </w:tcPr>
          <w:p w14:paraId="36ABB23F" w14:textId="77777777" w:rsidR="00BA172C" w:rsidRPr="00B7364B" w:rsidRDefault="00BA172C" w:rsidP="00B95821">
            <w:pPr>
              <w:spacing w:before="100" w:after="100"/>
              <w:jc w:val="center"/>
              <w:rPr>
                <w:sz w:val="20"/>
              </w:rPr>
            </w:pPr>
            <w:r w:rsidRPr="00B7364B">
              <w:rPr>
                <w:sz w:val="20"/>
              </w:rPr>
              <w:t>12GB</w:t>
            </w:r>
          </w:p>
        </w:tc>
        <w:tc>
          <w:tcPr>
            <w:tcW w:w="1512" w:type="dxa"/>
            <w:vAlign w:val="center"/>
          </w:tcPr>
          <w:p w14:paraId="73E1D8B3" w14:textId="77777777" w:rsidR="00BA172C" w:rsidRPr="00B7364B" w:rsidRDefault="00BA172C" w:rsidP="00B95821">
            <w:pPr>
              <w:spacing w:before="100" w:after="100"/>
              <w:jc w:val="center"/>
              <w:rPr>
                <w:sz w:val="20"/>
              </w:rPr>
            </w:pPr>
            <w:r w:rsidRPr="00B7364B">
              <w:rPr>
                <w:sz w:val="20"/>
              </w:rPr>
              <w:t>20GB</w:t>
            </w:r>
          </w:p>
        </w:tc>
      </w:tr>
      <w:tr w:rsidR="00BA172C" w:rsidRPr="00B7364B" w14:paraId="1418056D" w14:textId="77777777" w:rsidTr="00B95821">
        <w:trPr>
          <w:trHeight w:val="570"/>
        </w:trPr>
        <w:tc>
          <w:tcPr>
            <w:tcW w:w="1890" w:type="dxa"/>
            <w:shd w:val="clear" w:color="auto" w:fill="auto"/>
          </w:tcPr>
          <w:p w14:paraId="41D251CE" w14:textId="77777777" w:rsidR="00BA172C" w:rsidRPr="00B7364B" w:rsidRDefault="00BA172C" w:rsidP="00B95821">
            <w:pPr>
              <w:spacing w:before="100" w:after="100"/>
              <w:rPr>
                <w:b/>
                <w:bCs/>
                <w:sz w:val="20"/>
              </w:rPr>
            </w:pPr>
            <w:r w:rsidRPr="00B7364B">
              <w:rPr>
                <w:b/>
                <w:bCs/>
                <w:sz w:val="20"/>
              </w:rPr>
              <w:t xml:space="preserve">Included Minutes </w:t>
            </w:r>
            <w:r w:rsidRPr="00B7364B">
              <w:rPr>
                <w:bCs/>
                <w:sz w:val="20"/>
              </w:rPr>
              <w:t>for standard national calls to landlines and mobiles, 1300 numbers and voicemail, within Australia</w:t>
            </w:r>
          </w:p>
        </w:tc>
        <w:tc>
          <w:tcPr>
            <w:tcW w:w="1512" w:type="dxa"/>
            <w:vAlign w:val="center"/>
          </w:tcPr>
          <w:p w14:paraId="3C992766" w14:textId="77777777" w:rsidR="00BA172C" w:rsidRPr="00B7364B" w:rsidRDefault="00BA172C" w:rsidP="00B95821">
            <w:pPr>
              <w:spacing w:before="100" w:after="100"/>
              <w:jc w:val="center"/>
              <w:rPr>
                <w:sz w:val="20"/>
              </w:rPr>
            </w:pPr>
            <w:r w:rsidRPr="00B7364B">
              <w:rPr>
                <w:sz w:val="20"/>
              </w:rPr>
              <w:t>Unlimited</w:t>
            </w:r>
          </w:p>
        </w:tc>
        <w:tc>
          <w:tcPr>
            <w:tcW w:w="1512" w:type="dxa"/>
            <w:shd w:val="clear" w:color="auto" w:fill="auto"/>
            <w:vAlign w:val="center"/>
          </w:tcPr>
          <w:p w14:paraId="5A894C8B" w14:textId="77777777" w:rsidR="00BA172C" w:rsidRPr="00B7364B" w:rsidRDefault="00BA172C" w:rsidP="00B95821">
            <w:pPr>
              <w:spacing w:before="100" w:after="100"/>
              <w:jc w:val="center"/>
              <w:rPr>
                <w:sz w:val="20"/>
              </w:rPr>
            </w:pPr>
            <w:r w:rsidRPr="00B7364B">
              <w:rPr>
                <w:sz w:val="20"/>
              </w:rPr>
              <w:t>Unlimited</w:t>
            </w:r>
          </w:p>
        </w:tc>
        <w:tc>
          <w:tcPr>
            <w:tcW w:w="1512" w:type="dxa"/>
            <w:vAlign w:val="center"/>
          </w:tcPr>
          <w:p w14:paraId="604A5E31" w14:textId="77777777" w:rsidR="00BA172C" w:rsidRPr="00B7364B" w:rsidRDefault="00BA172C" w:rsidP="00B95821">
            <w:pPr>
              <w:spacing w:before="100" w:after="100"/>
              <w:jc w:val="center"/>
              <w:rPr>
                <w:sz w:val="20"/>
              </w:rPr>
            </w:pPr>
            <w:r w:rsidRPr="00B7364B">
              <w:rPr>
                <w:sz w:val="20"/>
              </w:rPr>
              <w:t>Unlimited</w:t>
            </w:r>
          </w:p>
        </w:tc>
        <w:tc>
          <w:tcPr>
            <w:tcW w:w="1512" w:type="dxa"/>
            <w:vAlign w:val="center"/>
          </w:tcPr>
          <w:p w14:paraId="200C54A5" w14:textId="77777777" w:rsidR="00BA172C" w:rsidRPr="00B7364B" w:rsidRDefault="00BA172C" w:rsidP="00B95821">
            <w:pPr>
              <w:spacing w:before="100" w:after="100"/>
              <w:jc w:val="center"/>
              <w:rPr>
                <w:sz w:val="20"/>
              </w:rPr>
            </w:pPr>
            <w:r w:rsidRPr="00B7364B">
              <w:rPr>
                <w:sz w:val="20"/>
              </w:rPr>
              <w:t>Unlimited</w:t>
            </w:r>
          </w:p>
        </w:tc>
      </w:tr>
      <w:tr w:rsidR="00BA172C" w:rsidRPr="00B7364B" w14:paraId="43B15716" w14:textId="77777777" w:rsidTr="00B95821">
        <w:trPr>
          <w:trHeight w:val="768"/>
        </w:trPr>
        <w:tc>
          <w:tcPr>
            <w:tcW w:w="1890" w:type="dxa"/>
            <w:shd w:val="clear" w:color="auto" w:fill="auto"/>
          </w:tcPr>
          <w:p w14:paraId="7894E503" w14:textId="77777777" w:rsidR="00BA172C" w:rsidRPr="00B7364B" w:rsidRDefault="00BA172C" w:rsidP="00B95821">
            <w:pPr>
              <w:spacing w:before="100" w:after="100"/>
              <w:rPr>
                <w:b/>
                <w:bCs/>
                <w:sz w:val="20"/>
              </w:rPr>
            </w:pPr>
            <w:r w:rsidRPr="00B7364B">
              <w:rPr>
                <w:b/>
                <w:bCs/>
                <w:sz w:val="20"/>
              </w:rPr>
              <w:t>Included International Minutes</w:t>
            </w:r>
          </w:p>
          <w:p w14:paraId="032289B2" w14:textId="77777777" w:rsidR="00BA172C" w:rsidRPr="00B7364B" w:rsidRDefault="00BA172C" w:rsidP="00B95821">
            <w:pPr>
              <w:spacing w:before="100" w:after="100"/>
              <w:rPr>
                <w:b/>
                <w:bCs/>
                <w:sz w:val="20"/>
              </w:rPr>
            </w:pPr>
            <w:r w:rsidRPr="00B7364B">
              <w:rPr>
                <w:sz w:val="20"/>
              </w:rPr>
              <w:t>Standard international calls to landlines and mobiles to selected countries (charged per minute)</w:t>
            </w:r>
          </w:p>
        </w:tc>
        <w:tc>
          <w:tcPr>
            <w:tcW w:w="1512" w:type="dxa"/>
            <w:vAlign w:val="center"/>
          </w:tcPr>
          <w:p w14:paraId="5F0930D4" w14:textId="77777777" w:rsidR="00BA172C" w:rsidRPr="00B7364B" w:rsidRDefault="00BA172C" w:rsidP="00B95821">
            <w:pPr>
              <w:spacing w:before="100" w:after="100"/>
              <w:jc w:val="center"/>
              <w:rPr>
                <w:sz w:val="20"/>
              </w:rPr>
            </w:pPr>
            <w:r w:rsidRPr="00B7364B">
              <w:rPr>
                <w:sz w:val="20"/>
              </w:rPr>
              <w:t>Not included</w:t>
            </w:r>
          </w:p>
        </w:tc>
        <w:tc>
          <w:tcPr>
            <w:tcW w:w="1512" w:type="dxa"/>
            <w:shd w:val="clear" w:color="auto" w:fill="auto"/>
            <w:vAlign w:val="center"/>
          </w:tcPr>
          <w:p w14:paraId="7EA31393" w14:textId="77777777" w:rsidR="00BA172C" w:rsidRPr="00B7364B" w:rsidRDefault="00BA172C" w:rsidP="00B95821">
            <w:pPr>
              <w:spacing w:before="100" w:after="100"/>
              <w:jc w:val="center"/>
              <w:rPr>
                <w:sz w:val="20"/>
              </w:rPr>
            </w:pPr>
            <w:r w:rsidRPr="00B7364B">
              <w:rPr>
                <w:bCs/>
                <w:sz w:val="20"/>
              </w:rPr>
              <w:t>Up to 300 mins</w:t>
            </w:r>
          </w:p>
        </w:tc>
        <w:tc>
          <w:tcPr>
            <w:tcW w:w="1512" w:type="dxa"/>
            <w:vAlign w:val="center"/>
          </w:tcPr>
          <w:p w14:paraId="5132E816" w14:textId="77777777" w:rsidR="00BA172C" w:rsidRPr="00B7364B" w:rsidRDefault="00BA172C" w:rsidP="00B95821">
            <w:pPr>
              <w:spacing w:before="100" w:after="100"/>
              <w:jc w:val="center"/>
              <w:rPr>
                <w:bCs/>
                <w:sz w:val="20"/>
              </w:rPr>
            </w:pPr>
            <w:r w:rsidRPr="00B7364B">
              <w:rPr>
                <w:bCs/>
                <w:sz w:val="20"/>
              </w:rPr>
              <w:t>Up to 400 mins</w:t>
            </w:r>
          </w:p>
        </w:tc>
        <w:tc>
          <w:tcPr>
            <w:tcW w:w="1512" w:type="dxa"/>
            <w:vAlign w:val="center"/>
          </w:tcPr>
          <w:p w14:paraId="28FE6D3C" w14:textId="77777777" w:rsidR="00BA172C" w:rsidRPr="00B7364B" w:rsidRDefault="00BA172C" w:rsidP="00B95821">
            <w:pPr>
              <w:spacing w:before="100" w:after="100"/>
              <w:jc w:val="center"/>
              <w:rPr>
                <w:bCs/>
                <w:sz w:val="20"/>
              </w:rPr>
            </w:pPr>
            <w:r w:rsidRPr="00B7364B">
              <w:rPr>
                <w:bCs/>
                <w:sz w:val="20"/>
              </w:rPr>
              <w:t>Up to 500 mins</w:t>
            </w:r>
          </w:p>
        </w:tc>
      </w:tr>
      <w:tr w:rsidR="00BA172C" w:rsidRPr="00B7364B" w14:paraId="69B6837E" w14:textId="77777777" w:rsidTr="00B95821">
        <w:tc>
          <w:tcPr>
            <w:tcW w:w="1890" w:type="dxa"/>
            <w:shd w:val="clear" w:color="auto" w:fill="auto"/>
          </w:tcPr>
          <w:p w14:paraId="0566BAFE" w14:textId="77777777" w:rsidR="00BA172C" w:rsidRPr="00B7364B" w:rsidRDefault="00BA172C" w:rsidP="00B95821">
            <w:pPr>
              <w:spacing w:before="100" w:after="100"/>
              <w:rPr>
                <w:sz w:val="20"/>
              </w:rPr>
            </w:pPr>
            <w:r w:rsidRPr="00B7364B">
              <w:rPr>
                <w:b/>
                <w:bCs/>
                <w:sz w:val="20"/>
              </w:rPr>
              <w:t xml:space="preserve">Standard national SMS </w:t>
            </w:r>
            <w:r w:rsidRPr="00B7364B">
              <w:rPr>
                <w:sz w:val="20"/>
              </w:rPr>
              <w:t>(per SMS of up to 160 standard characters)</w:t>
            </w:r>
          </w:p>
        </w:tc>
        <w:tc>
          <w:tcPr>
            <w:tcW w:w="1512" w:type="dxa"/>
            <w:vAlign w:val="center"/>
          </w:tcPr>
          <w:p w14:paraId="51204723" w14:textId="77777777" w:rsidR="00BA172C" w:rsidRPr="00B7364B" w:rsidRDefault="00BA172C" w:rsidP="00B95821">
            <w:pPr>
              <w:spacing w:before="100" w:after="100"/>
              <w:jc w:val="center"/>
              <w:rPr>
                <w:sz w:val="20"/>
              </w:rPr>
            </w:pPr>
            <w:r w:rsidRPr="00B7364B">
              <w:rPr>
                <w:sz w:val="20"/>
              </w:rPr>
              <w:t>Unlimited</w:t>
            </w:r>
          </w:p>
        </w:tc>
        <w:tc>
          <w:tcPr>
            <w:tcW w:w="1512" w:type="dxa"/>
            <w:shd w:val="clear" w:color="auto" w:fill="auto"/>
            <w:vAlign w:val="center"/>
          </w:tcPr>
          <w:p w14:paraId="5E55F1A4" w14:textId="77777777" w:rsidR="00BA172C" w:rsidRPr="00B7364B" w:rsidRDefault="00BA172C" w:rsidP="00B95821">
            <w:pPr>
              <w:spacing w:before="100" w:after="100"/>
              <w:jc w:val="center"/>
              <w:rPr>
                <w:sz w:val="20"/>
              </w:rPr>
            </w:pPr>
            <w:r w:rsidRPr="00B7364B">
              <w:rPr>
                <w:sz w:val="20"/>
              </w:rPr>
              <w:t>Unlimited</w:t>
            </w:r>
          </w:p>
        </w:tc>
        <w:tc>
          <w:tcPr>
            <w:tcW w:w="1512" w:type="dxa"/>
            <w:vAlign w:val="center"/>
          </w:tcPr>
          <w:p w14:paraId="2223F7F2" w14:textId="77777777" w:rsidR="00BA172C" w:rsidRPr="00B7364B" w:rsidRDefault="00BA172C" w:rsidP="00B95821">
            <w:pPr>
              <w:spacing w:before="100" w:after="100"/>
              <w:jc w:val="center"/>
              <w:rPr>
                <w:sz w:val="20"/>
              </w:rPr>
            </w:pPr>
            <w:r w:rsidRPr="00B7364B">
              <w:rPr>
                <w:sz w:val="20"/>
              </w:rPr>
              <w:t>Unlimited</w:t>
            </w:r>
          </w:p>
        </w:tc>
        <w:tc>
          <w:tcPr>
            <w:tcW w:w="1512" w:type="dxa"/>
            <w:vAlign w:val="center"/>
          </w:tcPr>
          <w:p w14:paraId="58EBD0CF" w14:textId="77777777" w:rsidR="00BA172C" w:rsidRPr="00B7364B" w:rsidRDefault="00BA172C" w:rsidP="00B95821">
            <w:pPr>
              <w:spacing w:before="100" w:after="100"/>
              <w:jc w:val="center"/>
              <w:rPr>
                <w:sz w:val="20"/>
              </w:rPr>
            </w:pPr>
            <w:r w:rsidRPr="00B7364B">
              <w:rPr>
                <w:sz w:val="20"/>
              </w:rPr>
              <w:t>Unlimited</w:t>
            </w:r>
          </w:p>
        </w:tc>
      </w:tr>
      <w:tr w:rsidR="00BA172C" w:rsidRPr="00B7364B" w14:paraId="222EEA64" w14:textId="77777777" w:rsidTr="00B95821">
        <w:tc>
          <w:tcPr>
            <w:tcW w:w="1890" w:type="dxa"/>
            <w:shd w:val="clear" w:color="auto" w:fill="auto"/>
          </w:tcPr>
          <w:p w14:paraId="19DF6100" w14:textId="77777777" w:rsidR="00BA172C" w:rsidRPr="00B7364B" w:rsidRDefault="00BA172C" w:rsidP="00B95821">
            <w:pPr>
              <w:spacing w:before="100" w:after="100"/>
              <w:rPr>
                <w:b/>
                <w:bCs/>
                <w:sz w:val="20"/>
              </w:rPr>
            </w:pPr>
            <w:r w:rsidRPr="00B7364B">
              <w:rPr>
                <w:b/>
                <w:bCs/>
                <w:sz w:val="20"/>
              </w:rPr>
              <w:lastRenderedPageBreak/>
              <w:t xml:space="preserve">Standard national MMS </w:t>
            </w:r>
            <w:r w:rsidRPr="00B7364B">
              <w:rPr>
                <w:sz w:val="20"/>
              </w:rPr>
              <w:t>(per message)</w:t>
            </w:r>
          </w:p>
        </w:tc>
        <w:tc>
          <w:tcPr>
            <w:tcW w:w="1512" w:type="dxa"/>
            <w:vAlign w:val="center"/>
          </w:tcPr>
          <w:p w14:paraId="299909E1" w14:textId="77777777" w:rsidR="00BA172C" w:rsidRPr="00B7364B" w:rsidRDefault="00BA172C" w:rsidP="00B95821">
            <w:pPr>
              <w:spacing w:before="100" w:after="100"/>
              <w:jc w:val="center"/>
              <w:rPr>
                <w:sz w:val="20"/>
              </w:rPr>
            </w:pPr>
            <w:r w:rsidRPr="00B7364B">
              <w:rPr>
                <w:sz w:val="20"/>
              </w:rPr>
              <w:t>Unlimited</w:t>
            </w:r>
          </w:p>
        </w:tc>
        <w:tc>
          <w:tcPr>
            <w:tcW w:w="1512" w:type="dxa"/>
            <w:shd w:val="clear" w:color="auto" w:fill="auto"/>
            <w:vAlign w:val="center"/>
          </w:tcPr>
          <w:p w14:paraId="6F1CBE26" w14:textId="77777777" w:rsidR="00BA172C" w:rsidRPr="00B7364B" w:rsidRDefault="00BA172C" w:rsidP="00B95821">
            <w:pPr>
              <w:spacing w:before="100" w:after="100"/>
              <w:jc w:val="center"/>
              <w:rPr>
                <w:sz w:val="20"/>
              </w:rPr>
            </w:pPr>
            <w:r w:rsidRPr="00B7364B">
              <w:rPr>
                <w:sz w:val="20"/>
              </w:rPr>
              <w:t>Unlimited</w:t>
            </w:r>
          </w:p>
        </w:tc>
        <w:tc>
          <w:tcPr>
            <w:tcW w:w="1512" w:type="dxa"/>
            <w:vAlign w:val="center"/>
          </w:tcPr>
          <w:p w14:paraId="3CB7A799" w14:textId="77777777" w:rsidR="00BA172C" w:rsidRPr="00B7364B" w:rsidRDefault="00BA172C" w:rsidP="00B95821">
            <w:pPr>
              <w:spacing w:before="100" w:after="100"/>
              <w:jc w:val="center"/>
              <w:rPr>
                <w:sz w:val="20"/>
              </w:rPr>
            </w:pPr>
            <w:r w:rsidRPr="00B7364B">
              <w:rPr>
                <w:sz w:val="20"/>
              </w:rPr>
              <w:t>Unlimited</w:t>
            </w:r>
          </w:p>
        </w:tc>
        <w:tc>
          <w:tcPr>
            <w:tcW w:w="1512" w:type="dxa"/>
            <w:vAlign w:val="center"/>
          </w:tcPr>
          <w:p w14:paraId="6CA572B8" w14:textId="77777777" w:rsidR="00BA172C" w:rsidRPr="00B7364B" w:rsidRDefault="00BA172C" w:rsidP="00B95821">
            <w:pPr>
              <w:spacing w:before="100" w:after="100"/>
              <w:jc w:val="center"/>
              <w:rPr>
                <w:sz w:val="20"/>
              </w:rPr>
            </w:pPr>
            <w:r w:rsidRPr="00B7364B">
              <w:rPr>
                <w:sz w:val="20"/>
              </w:rPr>
              <w:t>Unlimited</w:t>
            </w:r>
          </w:p>
        </w:tc>
      </w:tr>
      <w:tr w:rsidR="00BA172C" w:rsidRPr="00B7364B" w14:paraId="177B7DEC" w14:textId="77777777" w:rsidTr="00B95821">
        <w:tc>
          <w:tcPr>
            <w:tcW w:w="1890" w:type="dxa"/>
            <w:shd w:val="clear" w:color="auto" w:fill="auto"/>
          </w:tcPr>
          <w:p w14:paraId="7CE2C761" w14:textId="77777777" w:rsidR="00BA172C" w:rsidRPr="00B7364B" w:rsidRDefault="00BA172C" w:rsidP="00B95821">
            <w:pPr>
              <w:spacing w:before="100" w:after="100"/>
              <w:rPr>
                <w:b/>
                <w:bCs/>
                <w:sz w:val="20"/>
              </w:rPr>
            </w:pPr>
            <w:r w:rsidRPr="00B7364B">
              <w:rPr>
                <w:b/>
                <w:bCs/>
                <w:sz w:val="20"/>
              </w:rPr>
              <w:t xml:space="preserve">Standard international SMS </w:t>
            </w:r>
            <w:r w:rsidRPr="00B7364B">
              <w:rPr>
                <w:sz w:val="20"/>
              </w:rPr>
              <w:t>(per SMS of up to 160 standard characters to selected countries)</w:t>
            </w:r>
          </w:p>
        </w:tc>
        <w:tc>
          <w:tcPr>
            <w:tcW w:w="1512" w:type="dxa"/>
            <w:vAlign w:val="center"/>
          </w:tcPr>
          <w:p w14:paraId="2307D844" w14:textId="77777777" w:rsidR="00BA172C" w:rsidRPr="00B7364B" w:rsidRDefault="00BA172C" w:rsidP="00B95821">
            <w:pPr>
              <w:spacing w:before="100" w:after="100"/>
              <w:jc w:val="center"/>
              <w:rPr>
                <w:sz w:val="20"/>
              </w:rPr>
            </w:pPr>
            <w:r w:rsidRPr="00B7364B">
              <w:rPr>
                <w:sz w:val="20"/>
              </w:rPr>
              <w:t>Unlimited</w:t>
            </w:r>
          </w:p>
        </w:tc>
        <w:tc>
          <w:tcPr>
            <w:tcW w:w="1512" w:type="dxa"/>
            <w:shd w:val="clear" w:color="auto" w:fill="auto"/>
            <w:vAlign w:val="center"/>
          </w:tcPr>
          <w:p w14:paraId="7F005E46" w14:textId="77777777" w:rsidR="00BA172C" w:rsidRPr="00B7364B" w:rsidRDefault="00BA172C" w:rsidP="00B95821">
            <w:pPr>
              <w:spacing w:before="100" w:after="100"/>
              <w:jc w:val="center"/>
              <w:rPr>
                <w:sz w:val="20"/>
              </w:rPr>
            </w:pPr>
            <w:r w:rsidRPr="00B7364B">
              <w:rPr>
                <w:sz w:val="20"/>
              </w:rPr>
              <w:t>Unlimited</w:t>
            </w:r>
          </w:p>
        </w:tc>
        <w:tc>
          <w:tcPr>
            <w:tcW w:w="1512" w:type="dxa"/>
            <w:vAlign w:val="center"/>
          </w:tcPr>
          <w:p w14:paraId="4C2D9EC3" w14:textId="77777777" w:rsidR="00BA172C" w:rsidRPr="00B7364B" w:rsidRDefault="00BA172C" w:rsidP="00B95821">
            <w:pPr>
              <w:spacing w:before="100" w:after="100"/>
              <w:jc w:val="center"/>
              <w:rPr>
                <w:sz w:val="20"/>
              </w:rPr>
            </w:pPr>
            <w:r w:rsidRPr="00B7364B">
              <w:rPr>
                <w:sz w:val="20"/>
              </w:rPr>
              <w:t>Unlimited</w:t>
            </w:r>
          </w:p>
        </w:tc>
        <w:tc>
          <w:tcPr>
            <w:tcW w:w="1512" w:type="dxa"/>
            <w:vAlign w:val="center"/>
          </w:tcPr>
          <w:p w14:paraId="0D307815" w14:textId="77777777" w:rsidR="00BA172C" w:rsidRPr="00B7364B" w:rsidRDefault="00BA172C" w:rsidP="00B95821">
            <w:pPr>
              <w:spacing w:before="100" w:after="100"/>
              <w:jc w:val="center"/>
              <w:rPr>
                <w:sz w:val="20"/>
              </w:rPr>
            </w:pPr>
            <w:r w:rsidRPr="00B7364B">
              <w:rPr>
                <w:sz w:val="20"/>
              </w:rPr>
              <w:t>Unlimited</w:t>
            </w:r>
          </w:p>
        </w:tc>
      </w:tr>
      <w:tr w:rsidR="00BA172C" w:rsidRPr="00B7364B" w14:paraId="2EF3A80F" w14:textId="77777777" w:rsidTr="00B95821">
        <w:tc>
          <w:tcPr>
            <w:tcW w:w="1890" w:type="dxa"/>
            <w:shd w:val="clear" w:color="auto" w:fill="auto"/>
          </w:tcPr>
          <w:p w14:paraId="779A745D" w14:textId="77777777" w:rsidR="00BA172C" w:rsidRPr="00B7364B" w:rsidRDefault="00BA172C" w:rsidP="00B95821">
            <w:pPr>
              <w:keepNext/>
              <w:spacing w:before="100" w:after="100"/>
              <w:rPr>
                <w:b/>
                <w:bCs/>
                <w:sz w:val="20"/>
              </w:rPr>
            </w:pPr>
            <w:r w:rsidRPr="00B7364B">
              <w:rPr>
                <w:b/>
                <w:bCs/>
                <w:sz w:val="20"/>
              </w:rPr>
              <w:t xml:space="preserve">Standard international MMS </w:t>
            </w:r>
            <w:r w:rsidRPr="00B7364B">
              <w:rPr>
                <w:sz w:val="20"/>
              </w:rPr>
              <w:t>(per message to selected countries)</w:t>
            </w:r>
          </w:p>
        </w:tc>
        <w:tc>
          <w:tcPr>
            <w:tcW w:w="1512" w:type="dxa"/>
            <w:vAlign w:val="center"/>
          </w:tcPr>
          <w:p w14:paraId="7B6F0560" w14:textId="77777777" w:rsidR="00BA172C" w:rsidRPr="00B7364B" w:rsidRDefault="00BA172C" w:rsidP="00B95821">
            <w:pPr>
              <w:keepNext/>
              <w:spacing w:before="100" w:after="100"/>
              <w:jc w:val="center"/>
              <w:rPr>
                <w:sz w:val="20"/>
              </w:rPr>
            </w:pPr>
            <w:r w:rsidRPr="00B7364B">
              <w:rPr>
                <w:sz w:val="20"/>
              </w:rPr>
              <w:t>Unlimited</w:t>
            </w:r>
          </w:p>
        </w:tc>
        <w:tc>
          <w:tcPr>
            <w:tcW w:w="1512" w:type="dxa"/>
            <w:shd w:val="clear" w:color="auto" w:fill="auto"/>
            <w:vAlign w:val="center"/>
          </w:tcPr>
          <w:p w14:paraId="6D2E1BCC" w14:textId="77777777" w:rsidR="00BA172C" w:rsidRPr="00B7364B" w:rsidRDefault="00BA172C" w:rsidP="00B95821">
            <w:pPr>
              <w:keepNext/>
              <w:spacing w:before="100" w:after="100"/>
              <w:jc w:val="center"/>
              <w:rPr>
                <w:sz w:val="20"/>
              </w:rPr>
            </w:pPr>
            <w:r w:rsidRPr="00B7364B">
              <w:rPr>
                <w:sz w:val="20"/>
              </w:rPr>
              <w:t>Unlimited</w:t>
            </w:r>
          </w:p>
        </w:tc>
        <w:tc>
          <w:tcPr>
            <w:tcW w:w="1512" w:type="dxa"/>
            <w:vAlign w:val="center"/>
          </w:tcPr>
          <w:p w14:paraId="1CED5EEB" w14:textId="77777777" w:rsidR="00BA172C" w:rsidRPr="00B7364B" w:rsidRDefault="00BA172C" w:rsidP="00B95821">
            <w:pPr>
              <w:keepNext/>
              <w:spacing w:before="100" w:after="100"/>
              <w:jc w:val="center"/>
              <w:rPr>
                <w:sz w:val="20"/>
              </w:rPr>
            </w:pPr>
            <w:r w:rsidRPr="00B7364B">
              <w:rPr>
                <w:sz w:val="20"/>
              </w:rPr>
              <w:t>Unlimited</w:t>
            </w:r>
          </w:p>
        </w:tc>
        <w:tc>
          <w:tcPr>
            <w:tcW w:w="1512" w:type="dxa"/>
            <w:vAlign w:val="center"/>
          </w:tcPr>
          <w:p w14:paraId="595F0FF2" w14:textId="77777777" w:rsidR="00BA172C" w:rsidRPr="00B7364B" w:rsidRDefault="00BA172C" w:rsidP="00B95821">
            <w:pPr>
              <w:keepNext/>
              <w:spacing w:before="100" w:after="100"/>
              <w:jc w:val="center"/>
              <w:rPr>
                <w:sz w:val="20"/>
              </w:rPr>
            </w:pPr>
            <w:r w:rsidRPr="00B7364B">
              <w:rPr>
                <w:sz w:val="20"/>
              </w:rPr>
              <w:t>Unlimited</w:t>
            </w:r>
          </w:p>
        </w:tc>
      </w:tr>
      <w:tr w:rsidR="00BA172C" w:rsidRPr="00B7364B" w14:paraId="2DB36B21" w14:textId="77777777" w:rsidTr="00B95821">
        <w:tc>
          <w:tcPr>
            <w:tcW w:w="1890" w:type="dxa"/>
            <w:shd w:val="clear" w:color="auto" w:fill="auto"/>
            <w:vAlign w:val="center"/>
          </w:tcPr>
          <w:p w14:paraId="54830590" w14:textId="77777777" w:rsidR="00BA172C" w:rsidRPr="00B7364B" w:rsidRDefault="00BA172C" w:rsidP="00B95821">
            <w:pPr>
              <w:keepNext/>
              <w:spacing w:before="100" w:after="100"/>
              <w:jc w:val="center"/>
              <w:rPr>
                <w:b/>
                <w:bCs/>
                <w:sz w:val="20"/>
              </w:rPr>
            </w:pPr>
            <w:r w:rsidRPr="00B7364B">
              <w:rPr>
                <w:b/>
                <w:bCs/>
                <w:snapToGrid w:val="0"/>
                <w:sz w:val="20"/>
                <w:szCs w:val="20"/>
              </w:rPr>
              <w:t>Optus Travel™ Pack</w:t>
            </w:r>
          </w:p>
        </w:tc>
        <w:tc>
          <w:tcPr>
            <w:tcW w:w="1512" w:type="dxa"/>
            <w:vAlign w:val="center"/>
          </w:tcPr>
          <w:p w14:paraId="41795568" w14:textId="77777777" w:rsidR="00BA172C" w:rsidRPr="00B7364B" w:rsidRDefault="00BA172C" w:rsidP="00B95821">
            <w:pPr>
              <w:keepNext/>
              <w:spacing w:before="100" w:after="100"/>
              <w:jc w:val="center"/>
              <w:rPr>
                <w:sz w:val="20"/>
              </w:rPr>
            </w:pPr>
            <w:r w:rsidRPr="00B7364B">
              <w:rPr>
                <w:sz w:val="20"/>
                <w:szCs w:val="20"/>
              </w:rPr>
              <w:t>$5 per Day</w:t>
            </w:r>
          </w:p>
        </w:tc>
        <w:tc>
          <w:tcPr>
            <w:tcW w:w="1512" w:type="dxa"/>
            <w:shd w:val="clear" w:color="auto" w:fill="auto"/>
            <w:vAlign w:val="center"/>
          </w:tcPr>
          <w:p w14:paraId="66CE466E" w14:textId="77777777" w:rsidR="00BA172C" w:rsidRPr="00B7364B" w:rsidRDefault="00BA172C" w:rsidP="00B95821">
            <w:pPr>
              <w:keepNext/>
              <w:spacing w:before="100" w:after="100"/>
              <w:jc w:val="center"/>
              <w:rPr>
                <w:sz w:val="20"/>
              </w:rPr>
            </w:pPr>
            <w:r w:rsidRPr="00B7364B">
              <w:rPr>
                <w:sz w:val="20"/>
                <w:szCs w:val="20"/>
              </w:rPr>
              <w:t>$5 per Day</w:t>
            </w:r>
          </w:p>
        </w:tc>
        <w:tc>
          <w:tcPr>
            <w:tcW w:w="1512" w:type="dxa"/>
            <w:vAlign w:val="center"/>
          </w:tcPr>
          <w:p w14:paraId="1270C706" w14:textId="77777777" w:rsidR="00BA172C" w:rsidRPr="00B7364B" w:rsidRDefault="00BA172C" w:rsidP="00B95821">
            <w:pPr>
              <w:keepNext/>
              <w:spacing w:before="100" w:after="100"/>
              <w:jc w:val="center"/>
              <w:rPr>
                <w:sz w:val="20"/>
              </w:rPr>
            </w:pPr>
            <w:r w:rsidRPr="00B7364B">
              <w:rPr>
                <w:sz w:val="20"/>
                <w:szCs w:val="20"/>
              </w:rPr>
              <w:t>$5 per Day</w:t>
            </w:r>
          </w:p>
        </w:tc>
        <w:tc>
          <w:tcPr>
            <w:tcW w:w="1512" w:type="dxa"/>
            <w:vAlign w:val="center"/>
          </w:tcPr>
          <w:p w14:paraId="0B8FFB96" w14:textId="77777777" w:rsidR="00BA172C" w:rsidRPr="00B7364B" w:rsidRDefault="00BA172C" w:rsidP="00B95821">
            <w:pPr>
              <w:keepNext/>
              <w:spacing w:before="100" w:after="100"/>
              <w:jc w:val="center"/>
              <w:rPr>
                <w:sz w:val="20"/>
              </w:rPr>
            </w:pPr>
            <w:r w:rsidRPr="00B7364B">
              <w:rPr>
                <w:sz w:val="20"/>
                <w:szCs w:val="20"/>
              </w:rPr>
              <w:t>$5 per Day</w:t>
            </w:r>
          </w:p>
        </w:tc>
      </w:tr>
    </w:tbl>
    <w:p w14:paraId="5721AF52" w14:textId="77777777" w:rsidR="00BA172C" w:rsidRPr="00B7364B" w:rsidRDefault="00BA172C" w:rsidP="00BA172C">
      <w:pPr>
        <w:spacing w:after="200"/>
        <w:rPr>
          <w:sz w:val="20"/>
        </w:rPr>
      </w:pPr>
    </w:p>
    <w:p w14:paraId="424FD0EE" w14:textId="77777777" w:rsidR="00BA172C" w:rsidRPr="00B7364B" w:rsidRDefault="00BA172C" w:rsidP="00BA172C">
      <w:pPr>
        <w:spacing w:after="200"/>
        <w:ind w:left="720"/>
        <w:rPr>
          <w:b/>
          <w:sz w:val="20"/>
        </w:rPr>
      </w:pPr>
      <w:r w:rsidRPr="00B7364B">
        <w:rPr>
          <w:b/>
          <w:sz w:val="20"/>
        </w:rPr>
        <w:t>Table 2 – Other usage types and charges</w:t>
      </w:r>
    </w:p>
    <w:tbl>
      <w:tblPr>
        <w:tblW w:w="882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0"/>
        <w:gridCol w:w="4410"/>
      </w:tblGrid>
      <w:tr w:rsidR="00BA172C" w:rsidRPr="00B7364B" w14:paraId="00BE8BEB" w14:textId="77777777" w:rsidTr="00B95821">
        <w:tc>
          <w:tcPr>
            <w:tcW w:w="4410" w:type="dxa"/>
            <w:shd w:val="clear" w:color="auto" w:fill="auto"/>
          </w:tcPr>
          <w:p w14:paraId="0B0F02C5" w14:textId="77777777" w:rsidR="00BA172C" w:rsidRPr="00B7364B" w:rsidRDefault="00BA172C" w:rsidP="00B95821">
            <w:pPr>
              <w:spacing w:before="100" w:after="100"/>
              <w:rPr>
                <w:b/>
                <w:sz w:val="20"/>
              </w:rPr>
            </w:pPr>
            <w:r w:rsidRPr="00B7364B">
              <w:rPr>
                <w:b/>
                <w:sz w:val="20"/>
              </w:rPr>
              <w:t>Usage type</w:t>
            </w:r>
          </w:p>
        </w:tc>
        <w:tc>
          <w:tcPr>
            <w:tcW w:w="4410" w:type="dxa"/>
            <w:shd w:val="clear" w:color="auto" w:fill="auto"/>
            <w:vAlign w:val="center"/>
          </w:tcPr>
          <w:p w14:paraId="59E9FDE8" w14:textId="77777777" w:rsidR="00BA172C" w:rsidRPr="00B7364B" w:rsidRDefault="00BA172C" w:rsidP="00B95821">
            <w:pPr>
              <w:spacing w:before="100" w:after="100"/>
              <w:jc w:val="center"/>
              <w:rPr>
                <w:b/>
                <w:sz w:val="20"/>
              </w:rPr>
            </w:pPr>
            <w:r w:rsidRPr="00B7364B">
              <w:rPr>
                <w:b/>
                <w:sz w:val="20"/>
              </w:rPr>
              <w:t>Charge</w:t>
            </w:r>
          </w:p>
        </w:tc>
      </w:tr>
      <w:tr w:rsidR="00BA172C" w:rsidRPr="00B7364B" w14:paraId="59172FAF" w14:textId="77777777" w:rsidTr="00B95821">
        <w:tc>
          <w:tcPr>
            <w:tcW w:w="4410" w:type="dxa"/>
            <w:shd w:val="clear" w:color="auto" w:fill="auto"/>
          </w:tcPr>
          <w:p w14:paraId="290A79A9" w14:textId="77777777" w:rsidR="00BA172C" w:rsidRPr="00B7364B" w:rsidRDefault="00BA172C" w:rsidP="00B95821">
            <w:pPr>
              <w:spacing w:before="100" w:after="100"/>
              <w:rPr>
                <w:b/>
                <w:sz w:val="20"/>
              </w:rPr>
            </w:pPr>
            <w:r w:rsidRPr="00B7364B">
              <w:rPr>
                <w:b/>
                <w:bCs/>
                <w:sz w:val="20"/>
              </w:rPr>
              <w:t>National video calls</w:t>
            </w:r>
            <w:r w:rsidRPr="00B7364B">
              <w:rPr>
                <w:bCs/>
                <w:sz w:val="20"/>
              </w:rPr>
              <w:t xml:space="preserve"> </w:t>
            </w:r>
            <w:r w:rsidRPr="00B7364B">
              <w:rPr>
                <w:sz w:val="20"/>
              </w:rPr>
              <w:t>(per minute)</w:t>
            </w:r>
          </w:p>
        </w:tc>
        <w:tc>
          <w:tcPr>
            <w:tcW w:w="4410" w:type="dxa"/>
            <w:shd w:val="clear" w:color="auto" w:fill="auto"/>
            <w:vAlign w:val="center"/>
          </w:tcPr>
          <w:p w14:paraId="11EA0038" w14:textId="77777777" w:rsidR="00BA172C" w:rsidRPr="00B7364B" w:rsidRDefault="00BA172C" w:rsidP="00B95821">
            <w:pPr>
              <w:spacing w:before="100" w:after="100"/>
              <w:jc w:val="center"/>
              <w:rPr>
                <w:sz w:val="20"/>
              </w:rPr>
            </w:pPr>
            <w:r w:rsidRPr="00B7364B">
              <w:rPr>
                <w:sz w:val="20"/>
              </w:rPr>
              <w:t>$1.00 per min + 40c flagfall</w:t>
            </w:r>
          </w:p>
        </w:tc>
      </w:tr>
      <w:tr w:rsidR="00BA172C" w:rsidRPr="00B7364B" w14:paraId="72C5FB37" w14:textId="77777777" w:rsidTr="00B95821">
        <w:tc>
          <w:tcPr>
            <w:tcW w:w="4410" w:type="dxa"/>
            <w:shd w:val="clear" w:color="auto" w:fill="auto"/>
          </w:tcPr>
          <w:p w14:paraId="698D2BC5" w14:textId="77777777" w:rsidR="00BA172C" w:rsidRPr="00B7364B" w:rsidRDefault="00BA172C" w:rsidP="00B95821">
            <w:pPr>
              <w:spacing w:before="100" w:after="100"/>
              <w:rPr>
                <w:b/>
                <w:bCs/>
                <w:sz w:val="20"/>
              </w:rPr>
            </w:pPr>
            <w:r w:rsidRPr="00B7364B">
              <w:rPr>
                <w:b/>
                <w:bCs/>
                <w:sz w:val="20"/>
              </w:rPr>
              <w:t>National Diversions</w:t>
            </w:r>
          </w:p>
        </w:tc>
        <w:tc>
          <w:tcPr>
            <w:tcW w:w="4410" w:type="dxa"/>
            <w:shd w:val="clear" w:color="auto" w:fill="auto"/>
          </w:tcPr>
          <w:p w14:paraId="67D508F8" w14:textId="77777777" w:rsidR="00BA172C" w:rsidRPr="00B7364B" w:rsidRDefault="00BA172C" w:rsidP="00B95821">
            <w:pPr>
              <w:spacing w:before="100" w:after="100"/>
              <w:jc w:val="center"/>
              <w:rPr>
                <w:sz w:val="20"/>
              </w:rPr>
            </w:pPr>
            <w:r w:rsidRPr="00B7364B">
              <w:rPr>
                <w:sz w:val="20"/>
              </w:rPr>
              <w:t>$0 per minute</w:t>
            </w:r>
          </w:p>
        </w:tc>
      </w:tr>
      <w:tr w:rsidR="00BA172C" w:rsidRPr="00B7364B" w14:paraId="7F30385F" w14:textId="77777777" w:rsidTr="00B95821">
        <w:tc>
          <w:tcPr>
            <w:tcW w:w="4410" w:type="dxa"/>
            <w:shd w:val="clear" w:color="auto" w:fill="auto"/>
          </w:tcPr>
          <w:p w14:paraId="3043671D" w14:textId="77777777" w:rsidR="00BA172C" w:rsidRPr="00B7364B" w:rsidRDefault="00BA172C" w:rsidP="00B95821">
            <w:pPr>
              <w:spacing w:before="100" w:after="100"/>
              <w:rPr>
                <w:b/>
                <w:bCs/>
                <w:sz w:val="20"/>
              </w:rPr>
            </w:pPr>
            <w:r w:rsidRPr="00B7364B">
              <w:rPr>
                <w:b/>
                <w:bCs/>
                <w:sz w:val="20"/>
              </w:rPr>
              <w:t xml:space="preserve">International Diversions </w:t>
            </w:r>
          </w:p>
        </w:tc>
        <w:tc>
          <w:tcPr>
            <w:tcW w:w="4410" w:type="dxa"/>
            <w:shd w:val="clear" w:color="auto" w:fill="auto"/>
          </w:tcPr>
          <w:p w14:paraId="24D7A060" w14:textId="77777777" w:rsidR="00BA172C" w:rsidRPr="00B7364B" w:rsidRDefault="00BA172C" w:rsidP="00B95821">
            <w:pPr>
              <w:spacing w:before="100" w:after="100"/>
              <w:jc w:val="center"/>
              <w:rPr>
                <w:sz w:val="20"/>
              </w:rPr>
            </w:pPr>
            <w:r w:rsidRPr="00B7364B">
              <w:rPr>
                <w:sz w:val="20"/>
              </w:rPr>
              <w:t>'yes' international rates</w:t>
            </w:r>
            <w:r w:rsidRPr="00B7364B">
              <w:rPr>
                <w:sz w:val="20"/>
              </w:rPr>
              <w:br/>
              <w:t>See optus.com.au/international</w:t>
            </w:r>
          </w:p>
        </w:tc>
      </w:tr>
      <w:tr w:rsidR="00BA172C" w:rsidRPr="00B7364B" w14:paraId="59D1F0C7" w14:textId="77777777" w:rsidTr="00B95821">
        <w:tc>
          <w:tcPr>
            <w:tcW w:w="4410" w:type="dxa"/>
            <w:shd w:val="clear" w:color="auto" w:fill="auto"/>
          </w:tcPr>
          <w:p w14:paraId="77EF88DF" w14:textId="77777777" w:rsidR="00BA172C" w:rsidRPr="00B7364B" w:rsidRDefault="00BA172C" w:rsidP="00B95821">
            <w:pPr>
              <w:spacing w:before="100" w:after="100"/>
              <w:rPr>
                <w:b/>
                <w:bCs/>
                <w:sz w:val="20"/>
              </w:rPr>
            </w:pPr>
            <w:r w:rsidRPr="00B7364B">
              <w:rPr>
                <w:b/>
                <w:bCs/>
                <w:sz w:val="20"/>
              </w:rPr>
              <w:t xml:space="preserve">1800 numbers </w:t>
            </w:r>
          </w:p>
        </w:tc>
        <w:tc>
          <w:tcPr>
            <w:tcW w:w="4410" w:type="dxa"/>
            <w:shd w:val="clear" w:color="auto" w:fill="auto"/>
            <w:vAlign w:val="center"/>
          </w:tcPr>
          <w:p w14:paraId="3B62D6A9" w14:textId="77777777" w:rsidR="00BA172C" w:rsidRPr="00B7364B" w:rsidRDefault="00BA172C" w:rsidP="00B95821">
            <w:pPr>
              <w:spacing w:before="100" w:after="100"/>
              <w:jc w:val="center"/>
              <w:rPr>
                <w:sz w:val="20"/>
              </w:rPr>
            </w:pPr>
            <w:r w:rsidRPr="00B7364B">
              <w:rPr>
                <w:sz w:val="20"/>
              </w:rPr>
              <w:t>$0 per minute</w:t>
            </w:r>
          </w:p>
        </w:tc>
      </w:tr>
      <w:tr w:rsidR="00BA172C" w:rsidRPr="00B7364B" w14:paraId="3D90E2C7" w14:textId="77777777" w:rsidTr="00B95821">
        <w:tc>
          <w:tcPr>
            <w:tcW w:w="4410" w:type="dxa"/>
            <w:shd w:val="clear" w:color="auto" w:fill="auto"/>
          </w:tcPr>
          <w:p w14:paraId="660EE4E6" w14:textId="77777777" w:rsidR="00BA172C" w:rsidRPr="00B7364B" w:rsidRDefault="00BA172C" w:rsidP="00B95821">
            <w:pPr>
              <w:spacing w:before="100" w:after="100"/>
              <w:rPr>
                <w:b/>
                <w:bCs/>
                <w:sz w:val="20"/>
              </w:rPr>
            </w:pPr>
            <w:r w:rsidRPr="00B7364B">
              <w:rPr>
                <w:b/>
                <w:bCs/>
                <w:sz w:val="20"/>
              </w:rPr>
              <w:t xml:space="preserve">Directory Assistance 1223 </w:t>
            </w:r>
          </w:p>
        </w:tc>
        <w:tc>
          <w:tcPr>
            <w:tcW w:w="4410" w:type="dxa"/>
            <w:shd w:val="clear" w:color="auto" w:fill="auto"/>
            <w:vAlign w:val="center"/>
          </w:tcPr>
          <w:p w14:paraId="647026E4" w14:textId="77777777" w:rsidR="00BA172C" w:rsidRPr="00B7364B" w:rsidRDefault="00BA172C" w:rsidP="00B95821">
            <w:pPr>
              <w:spacing w:before="100" w:after="100"/>
              <w:jc w:val="center"/>
              <w:rPr>
                <w:sz w:val="20"/>
              </w:rPr>
            </w:pPr>
            <w:r w:rsidRPr="00B7364B">
              <w:rPr>
                <w:sz w:val="20"/>
              </w:rPr>
              <w:t>50c per call</w:t>
            </w:r>
          </w:p>
        </w:tc>
      </w:tr>
      <w:tr w:rsidR="00BA172C" w:rsidRPr="00B7364B" w14:paraId="1A9F4C8A" w14:textId="77777777" w:rsidTr="00B95821">
        <w:trPr>
          <w:trHeight w:val="54"/>
        </w:trPr>
        <w:tc>
          <w:tcPr>
            <w:tcW w:w="4410" w:type="dxa"/>
            <w:shd w:val="clear" w:color="auto" w:fill="auto"/>
          </w:tcPr>
          <w:p w14:paraId="7A58BFFC" w14:textId="77777777" w:rsidR="00BA172C" w:rsidRPr="00B7364B" w:rsidRDefault="00BA172C" w:rsidP="00B95821">
            <w:pPr>
              <w:spacing w:before="100" w:after="100"/>
              <w:rPr>
                <w:b/>
                <w:bCs/>
                <w:sz w:val="20"/>
              </w:rPr>
            </w:pPr>
            <w:r w:rsidRPr="00B7364B">
              <w:rPr>
                <w:b/>
                <w:bCs/>
                <w:sz w:val="20"/>
              </w:rPr>
              <w:t>124 Yes</w:t>
            </w:r>
          </w:p>
        </w:tc>
        <w:tc>
          <w:tcPr>
            <w:tcW w:w="4410" w:type="dxa"/>
            <w:shd w:val="clear" w:color="auto" w:fill="auto"/>
            <w:vAlign w:val="center"/>
          </w:tcPr>
          <w:p w14:paraId="39CA22A1" w14:textId="77777777" w:rsidR="00BA172C" w:rsidRPr="00B7364B" w:rsidRDefault="00BA172C" w:rsidP="00B95821">
            <w:pPr>
              <w:spacing w:before="100" w:after="100"/>
              <w:jc w:val="center"/>
              <w:rPr>
                <w:sz w:val="20"/>
              </w:rPr>
            </w:pPr>
            <w:r w:rsidRPr="00B7364B">
              <w:rPr>
                <w:sz w:val="20"/>
              </w:rPr>
              <w:t>90c per minute +$1.75c flagfall</w:t>
            </w:r>
          </w:p>
        </w:tc>
      </w:tr>
      <w:tr w:rsidR="00BA172C" w:rsidRPr="00B7364B" w14:paraId="6F66EC3A" w14:textId="77777777" w:rsidTr="00B95821">
        <w:tc>
          <w:tcPr>
            <w:tcW w:w="4410" w:type="dxa"/>
            <w:shd w:val="clear" w:color="auto" w:fill="auto"/>
          </w:tcPr>
          <w:p w14:paraId="6C47F9A3" w14:textId="77777777" w:rsidR="00BA172C" w:rsidRPr="00B7364B" w:rsidRDefault="00BA172C" w:rsidP="00B95821">
            <w:pPr>
              <w:spacing w:before="100" w:after="100"/>
              <w:rPr>
                <w:b/>
                <w:bCs/>
                <w:sz w:val="20"/>
              </w:rPr>
            </w:pPr>
            <w:r w:rsidRPr="00B7364B">
              <w:rPr>
                <w:b/>
                <w:bCs/>
                <w:sz w:val="20"/>
              </w:rPr>
              <w:t xml:space="preserve">International voice calls (outside the plan's included international minutes and to excluded countries) </w:t>
            </w:r>
          </w:p>
        </w:tc>
        <w:tc>
          <w:tcPr>
            <w:tcW w:w="4410" w:type="dxa"/>
            <w:shd w:val="clear" w:color="auto" w:fill="auto"/>
            <w:vAlign w:val="center"/>
          </w:tcPr>
          <w:p w14:paraId="2040C233" w14:textId="77777777" w:rsidR="00BA172C" w:rsidRPr="00B7364B" w:rsidRDefault="00BA172C" w:rsidP="00B95821">
            <w:pPr>
              <w:spacing w:before="100" w:after="100"/>
              <w:jc w:val="center"/>
              <w:rPr>
                <w:sz w:val="20"/>
              </w:rPr>
            </w:pPr>
            <w:r w:rsidRPr="00B7364B">
              <w:rPr>
                <w:sz w:val="20"/>
              </w:rPr>
              <w:t>'yes' international rates</w:t>
            </w:r>
            <w:r w:rsidRPr="00B7364B">
              <w:rPr>
                <w:sz w:val="20"/>
              </w:rPr>
              <w:br/>
              <w:t>See optus.com.au/international</w:t>
            </w:r>
          </w:p>
        </w:tc>
      </w:tr>
      <w:tr w:rsidR="00BA172C" w:rsidRPr="00B7364B" w14:paraId="7C68C496" w14:textId="77777777" w:rsidTr="00B95821">
        <w:tc>
          <w:tcPr>
            <w:tcW w:w="4410" w:type="dxa"/>
            <w:shd w:val="clear" w:color="auto" w:fill="auto"/>
          </w:tcPr>
          <w:p w14:paraId="5A8154C5" w14:textId="77777777" w:rsidR="00BA172C" w:rsidRPr="00B7364B" w:rsidRDefault="00BA172C" w:rsidP="00B95821">
            <w:pPr>
              <w:spacing w:before="100" w:after="100"/>
              <w:rPr>
                <w:b/>
                <w:bCs/>
                <w:sz w:val="20"/>
              </w:rPr>
            </w:pPr>
            <w:r w:rsidRPr="00B7364B">
              <w:rPr>
                <w:b/>
                <w:bCs/>
                <w:sz w:val="20"/>
              </w:rPr>
              <w:t xml:space="preserve">International SMS (to excluded countries) </w:t>
            </w:r>
          </w:p>
        </w:tc>
        <w:tc>
          <w:tcPr>
            <w:tcW w:w="4410" w:type="dxa"/>
            <w:shd w:val="clear" w:color="auto" w:fill="auto"/>
            <w:vAlign w:val="center"/>
          </w:tcPr>
          <w:p w14:paraId="2E9DF264" w14:textId="77777777" w:rsidR="00BA172C" w:rsidRPr="00B7364B" w:rsidRDefault="00BA172C" w:rsidP="00B95821">
            <w:pPr>
              <w:spacing w:before="100" w:after="100"/>
              <w:jc w:val="center"/>
              <w:rPr>
                <w:sz w:val="20"/>
              </w:rPr>
            </w:pPr>
            <w:r w:rsidRPr="00B7364B">
              <w:rPr>
                <w:sz w:val="20"/>
              </w:rPr>
              <w:t>50c per SMS up to 160 standard characters</w:t>
            </w:r>
          </w:p>
        </w:tc>
      </w:tr>
      <w:tr w:rsidR="00BA172C" w:rsidRPr="00B7364B" w14:paraId="4464F046" w14:textId="77777777" w:rsidTr="00B95821">
        <w:tc>
          <w:tcPr>
            <w:tcW w:w="4410" w:type="dxa"/>
            <w:shd w:val="clear" w:color="auto" w:fill="auto"/>
          </w:tcPr>
          <w:p w14:paraId="5A4A9BA9" w14:textId="77777777" w:rsidR="00BA172C" w:rsidRPr="00B7364B" w:rsidRDefault="00BA172C" w:rsidP="00B95821">
            <w:pPr>
              <w:spacing w:before="100" w:after="100"/>
              <w:rPr>
                <w:b/>
                <w:bCs/>
                <w:sz w:val="20"/>
              </w:rPr>
            </w:pPr>
            <w:r w:rsidRPr="00B7364B">
              <w:rPr>
                <w:b/>
                <w:bCs/>
                <w:sz w:val="20"/>
              </w:rPr>
              <w:t>International MMS (to excluded countries)</w:t>
            </w:r>
          </w:p>
        </w:tc>
        <w:tc>
          <w:tcPr>
            <w:tcW w:w="4410" w:type="dxa"/>
            <w:shd w:val="clear" w:color="auto" w:fill="auto"/>
            <w:vAlign w:val="center"/>
          </w:tcPr>
          <w:p w14:paraId="7B429542" w14:textId="77777777" w:rsidR="00BA172C" w:rsidRPr="00B7364B" w:rsidRDefault="00BA172C" w:rsidP="00B95821">
            <w:pPr>
              <w:spacing w:before="100" w:after="100"/>
              <w:jc w:val="center"/>
              <w:rPr>
                <w:sz w:val="20"/>
              </w:rPr>
            </w:pPr>
            <w:r w:rsidRPr="00B7364B">
              <w:rPr>
                <w:sz w:val="20"/>
              </w:rPr>
              <w:t>75c per MMS</w:t>
            </w:r>
          </w:p>
        </w:tc>
      </w:tr>
      <w:tr w:rsidR="00BA172C" w:rsidRPr="00B7364B" w14:paraId="6CF0DD13" w14:textId="77777777" w:rsidTr="00B95821">
        <w:tc>
          <w:tcPr>
            <w:tcW w:w="4410" w:type="dxa"/>
            <w:shd w:val="clear" w:color="auto" w:fill="auto"/>
          </w:tcPr>
          <w:p w14:paraId="6F628B76" w14:textId="77777777" w:rsidR="00BA172C" w:rsidRPr="00B7364B" w:rsidRDefault="00BA172C" w:rsidP="00B95821">
            <w:pPr>
              <w:spacing w:before="100" w:after="100"/>
              <w:rPr>
                <w:b/>
                <w:bCs/>
                <w:sz w:val="20"/>
              </w:rPr>
            </w:pPr>
            <w:r w:rsidRPr="00B7364B">
              <w:rPr>
                <w:b/>
                <w:bCs/>
                <w:sz w:val="20"/>
              </w:rPr>
              <w:t xml:space="preserve">International video calling </w:t>
            </w:r>
          </w:p>
        </w:tc>
        <w:tc>
          <w:tcPr>
            <w:tcW w:w="4410" w:type="dxa"/>
            <w:shd w:val="clear" w:color="auto" w:fill="auto"/>
            <w:vAlign w:val="center"/>
          </w:tcPr>
          <w:p w14:paraId="328D2C7F" w14:textId="77777777" w:rsidR="00BA172C" w:rsidRPr="00B7364B" w:rsidRDefault="00BA172C" w:rsidP="00B95821">
            <w:pPr>
              <w:spacing w:before="100" w:after="100"/>
              <w:jc w:val="center"/>
              <w:rPr>
                <w:sz w:val="20"/>
              </w:rPr>
            </w:pPr>
            <w:r w:rsidRPr="00B7364B">
              <w:rPr>
                <w:sz w:val="20"/>
              </w:rPr>
              <w:t>$1.50 per minute +35c flagfall</w:t>
            </w:r>
          </w:p>
        </w:tc>
      </w:tr>
      <w:tr w:rsidR="00BA172C" w:rsidRPr="00B7364B" w14:paraId="29CCDEDE" w14:textId="77777777" w:rsidTr="00B95821">
        <w:tc>
          <w:tcPr>
            <w:tcW w:w="4410" w:type="dxa"/>
            <w:shd w:val="clear" w:color="auto" w:fill="auto"/>
          </w:tcPr>
          <w:p w14:paraId="6F5E130B" w14:textId="77777777" w:rsidR="00BA172C" w:rsidRPr="00B7364B" w:rsidRDefault="00BA172C" w:rsidP="00B95821">
            <w:pPr>
              <w:spacing w:before="100" w:after="100"/>
              <w:rPr>
                <w:b/>
                <w:bCs/>
                <w:sz w:val="20"/>
              </w:rPr>
            </w:pPr>
            <w:r w:rsidRPr="00B7364B">
              <w:rPr>
                <w:b/>
                <w:bCs/>
                <w:sz w:val="20"/>
              </w:rPr>
              <w:t xml:space="preserve">International roaming </w:t>
            </w:r>
          </w:p>
        </w:tc>
        <w:tc>
          <w:tcPr>
            <w:tcW w:w="4410" w:type="dxa"/>
            <w:shd w:val="clear" w:color="auto" w:fill="auto"/>
            <w:vAlign w:val="center"/>
          </w:tcPr>
          <w:p w14:paraId="070D71A1" w14:textId="77777777" w:rsidR="00BA172C" w:rsidRPr="00B7364B" w:rsidRDefault="00BA172C" w:rsidP="00B95821">
            <w:pPr>
              <w:spacing w:before="100" w:after="100"/>
              <w:jc w:val="center"/>
              <w:rPr>
                <w:sz w:val="20"/>
              </w:rPr>
            </w:pPr>
            <w:r w:rsidRPr="00B7364B">
              <w:rPr>
                <w:sz w:val="20"/>
              </w:rPr>
              <w:t>See optus.com.au/roaming</w:t>
            </w:r>
          </w:p>
        </w:tc>
      </w:tr>
    </w:tbl>
    <w:p w14:paraId="338EB906" w14:textId="77777777" w:rsidR="00BA172C" w:rsidRPr="00B7364B" w:rsidRDefault="00BA172C" w:rsidP="00BA172C">
      <w:pPr>
        <w:spacing w:after="200"/>
        <w:rPr>
          <w:sz w:val="20"/>
        </w:rPr>
      </w:pPr>
    </w:p>
    <w:p w14:paraId="055CF4DF" w14:textId="77777777" w:rsidR="00BA172C" w:rsidRPr="00B7364B" w:rsidRDefault="00BA172C" w:rsidP="00BA172C">
      <w:pPr>
        <w:spacing w:after="200"/>
        <w:ind w:left="720"/>
        <w:rPr>
          <w:b/>
          <w:sz w:val="20"/>
        </w:rPr>
      </w:pPr>
      <w:r w:rsidRPr="00B7364B">
        <w:rPr>
          <w:b/>
          <w:sz w:val="20"/>
        </w:rPr>
        <w:t>Table 3 – International Countries</w:t>
      </w:r>
    </w:p>
    <w:tbl>
      <w:tblPr>
        <w:tblW w:w="882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5"/>
        <w:gridCol w:w="2205"/>
        <w:gridCol w:w="2205"/>
        <w:gridCol w:w="2205"/>
      </w:tblGrid>
      <w:tr w:rsidR="00BA172C" w:rsidRPr="00B7364B" w14:paraId="55F3F0D2" w14:textId="77777777" w:rsidTr="00B95821">
        <w:tc>
          <w:tcPr>
            <w:tcW w:w="2205" w:type="dxa"/>
            <w:shd w:val="clear" w:color="auto" w:fill="auto"/>
          </w:tcPr>
          <w:p w14:paraId="5A2AD2BF" w14:textId="77777777" w:rsidR="00BA172C" w:rsidRPr="00B7364B" w:rsidRDefault="00BA172C" w:rsidP="00B95821">
            <w:pPr>
              <w:spacing w:before="100" w:after="100"/>
              <w:rPr>
                <w:b/>
                <w:sz w:val="20"/>
              </w:rPr>
            </w:pPr>
            <w:r w:rsidRPr="00B7364B">
              <w:rPr>
                <w:sz w:val="20"/>
              </w:rPr>
              <w:t>Austria</w:t>
            </w:r>
          </w:p>
        </w:tc>
        <w:tc>
          <w:tcPr>
            <w:tcW w:w="2205" w:type="dxa"/>
            <w:shd w:val="clear" w:color="auto" w:fill="auto"/>
          </w:tcPr>
          <w:p w14:paraId="37E3CB05" w14:textId="77777777" w:rsidR="00BA172C" w:rsidRPr="00B7364B" w:rsidRDefault="00BA172C" w:rsidP="00B95821">
            <w:pPr>
              <w:spacing w:before="100" w:after="100"/>
              <w:rPr>
                <w:b/>
                <w:sz w:val="20"/>
              </w:rPr>
            </w:pPr>
            <w:r w:rsidRPr="00B7364B">
              <w:rPr>
                <w:sz w:val="20"/>
              </w:rPr>
              <w:t>Bangladesh</w:t>
            </w:r>
          </w:p>
        </w:tc>
        <w:tc>
          <w:tcPr>
            <w:tcW w:w="2205" w:type="dxa"/>
            <w:shd w:val="clear" w:color="auto" w:fill="auto"/>
          </w:tcPr>
          <w:p w14:paraId="38F04C4B" w14:textId="77777777" w:rsidR="00BA172C" w:rsidRPr="00B7364B" w:rsidRDefault="00BA172C" w:rsidP="00B95821">
            <w:pPr>
              <w:spacing w:before="100" w:after="100"/>
              <w:rPr>
                <w:b/>
                <w:sz w:val="20"/>
              </w:rPr>
            </w:pPr>
            <w:r w:rsidRPr="00B7364B">
              <w:rPr>
                <w:sz w:val="20"/>
              </w:rPr>
              <w:t>Cambodia</w:t>
            </w:r>
          </w:p>
        </w:tc>
        <w:tc>
          <w:tcPr>
            <w:tcW w:w="2205" w:type="dxa"/>
            <w:shd w:val="clear" w:color="auto" w:fill="auto"/>
          </w:tcPr>
          <w:p w14:paraId="75ABAC0A" w14:textId="77777777" w:rsidR="00BA172C" w:rsidRPr="00B7364B" w:rsidRDefault="00BA172C" w:rsidP="00B95821">
            <w:pPr>
              <w:spacing w:before="100" w:after="100"/>
              <w:rPr>
                <w:b/>
                <w:sz w:val="20"/>
              </w:rPr>
            </w:pPr>
            <w:r w:rsidRPr="00B7364B">
              <w:rPr>
                <w:sz w:val="20"/>
              </w:rPr>
              <w:t>Canada</w:t>
            </w:r>
          </w:p>
        </w:tc>
      </w:tr>
      <w:tr w:rsidR="00BA172C" w:rsidRPr="00B7364B" w14:paraId="0BE8D6E1" w14:textId="77777777" w:rsidTr="00B95821">
        <w:tc>
          <w:tcPr>
            <w:tcW w:w="2205" w:type="dxa"/>
            <w:shd w:val="clear" w:color="auto" w:fill="auto"/>
          </w:tcPr>
          <w:p w14:paraId="0A6A856E" w14:textId="77777777" w:rsidR="00BA172C" w:rsidRPr="00B7364B" w:rsidRDefault="00BA172C" w:rsidP="00B95821">
            <w:pPr>
              <w:spacing w:before="100" w:after="100"/>
              <w:rPr>
                <w:b/>
                <w:sz w:val="20"/>
              </w:rPr>
            </w:pPr>
            <w:r w:rsidRPr="00B7364B">
              <w:rPr>
                <w:sz w:val="20"/>
              </w:rPr>
              <w:lastRenderedPageBreak/>
              <w:t xml:space="preserve">Chile </w:t>
            </w:r>
          </w:p>
        </w:tc>
        <w:tc>
          <w:tcPr>
            <w:tcW w:w="2205" w:type="dxa"/>
            <w:shd w:val="clear" w:color="auto" w:fill="auto"/>
          </w:tcPr>
          <w:p w14:paraId="338D77F9" w14:textId="77777777" w:rsidR="00BA172C" w:rsidRPr="00B7364B" w:rsidRDefault="00BA172C" w:rsidP="00B95821">
            <w:pPr>
              <w:spacing w:before="100" w:after="100"/>
              <w:rPr>
                <w:b/>
                <w:sz w:val="20"/>
              </w:rPr>
            </w:pPr>
            <w:r w:rsidRPr="00B7364B">
              <w:rPr>
                <w:sz w:val="20"/>
              </w:rPr>
              <w:t xml:space="preserve">China </w:t>
            </w:r>
          </w:p>
        </w:tc>
        <w:tc>
          <w:tcPr>
            <w:tcW w:w="2205" w:type="dxa"/>
            <w:shd w:val="clear" w:color="auto" w:fill="auto"/>
          </w:tcPr>
          <w:p w14:paraId="554048F9" w14:textId="77777777" w:rsidR="00BA172C" w:rsidRPr="00B7364B" w:rsidRDefault="00BA172C" w:rsidP="00B95821">
            <w:pPr>
              <w:spacing w:before="100" w:after="100"/>
              <w:rPr>
                <w:b/>
                <w:sz w:val="20"/>
              </w:rPr>
            </w:pPr>
            <w:r w:rsidRPr="00B7364B">
              <w:rPr>
                <w:sz w:val="20"/>
              </w:rPr>
              <w:t xml:space="preserve">Croatia </w:t>
            </w:r>
          </w:p>
        </w:tc>
        <w:tc>
          <w:tcPr>
            <w:tcW w:w="2205" w:type="dxa"/>
            <w:shd w:val="clear" w:color="auto" w:fill="auto"/>
          </w:tcPr>
          <w:p w14:paraId="1E3C572B" w14:textId="77777777" w:rsidR="00BA172C" w:rsidRPr="00B7364B" w:rsidRDefault="00BA172C" w:rsidP="00B95821">
            <w:pPr>
              <w:spacing w:before="100" w:after="100"/>
              <w:rPr>
                <w:b/>
                <w:sz w:val="20"/>
              </w:rPr>
            </w:pPr>
            <w:r w:rsidRPr="00B7364B">
              <w:rPr>
                <w:sz w:val="20"/>
              </w:rPr>
              <w:t>France</w:t>
            </w:r>
          </w:p>
        </w:tc>
      </w:tr>
      <w:tr w:rsidR="00BA172C" w:rsidRPr="00B7364B" w14:paraId="229C059A" w14:textId="77777777" w:rsidTr="00B95821">
        <w:tc>
          <w:tcPr>
            <w:tcW w:w="2205" w:type="dxa"/>
            <w:shd w:val="clear" w:color="auto" w:fill="auto"/>
          </w:tcPr>
          <w:p w14:paraId="7E88296F" w14:textId="77777777" w:rsidR="00BA172C" w:rsidRPr="00B7364B" w:rsidRDefault="00BA172C" w:rsidP="00B95821">
            <w:pPr>
              <w:spacing w:before="100" w:after="100"/>
              <w:rPr>
                <w:b/>
                <w:sz w:val="20"/>
              </w:rPr>
            </w:pPr>
            <w:r w:rsidRPr="00B7364B">
              <w:rPr>
                <w:sz w:val="20"/>
              </w:rPr>
              <w:t>Germany</w:t>
            </w:r>
          </w:p>
        </w:tc>
        <w:tc>
          <w:tcPr>
            <w:tcW w:w="2205" w:type="dxa"/>
            <w:shd w:val="clear" w:color="auto" w:fill="auto"/>
          </w:tcPr>
          <w:p w14:paraId="48AA9444" w14:textId="77777777" w:rsidR="00BA172C" w:rsidRPr="00B7364B" w:rsidRDefault="00BA172C" w:rsidP="00B95821">
            <w:pPr>
              <w:spacing w:before="100" w:after="100"/>
              <w:rPr>
                <w:b/>
                <w:sz w:val="20"/>
              </w:rPr>
            </w:pPr>
            <w:r w:rsidRPr="00B7364B">
              <w:rPr>
                <w:sz w:val="20"/>
              </w:rPr>
              <w:t>Greece</w:t>
            </w:r>
          </w:p>
        </w:tc>
        <w:tc>
          <w:tcPr>
            <w:tcW w:w="2205" w:type="dxa"/>
            <w:shd w:val="clear" w:color="auto" w:fill="auto"/>
          </w:tcPr>
          <w:p w14:paraId="5306C1CE" w14:textId="77777777" w:rsidR="00BA172C" w:rsidRPr="00B7364B" w:rsidRDefault="00BA172C" w:rsidP="00B95821">
            <w:pPr>
              <w:spacing w:before="100" w:after="100"/>
              <w:rPr>
                <w:b/>
                <w:sz w:val="20"/>
              </w:rPr>
            </w:pPr>
            <w:r w:rsidRPr="00B7364B">
              <w:rPr>
                <w:sz w:val="20"/>
              </w:rPr>
              <w:t>Hong Kong</w:t>
            </w:r>
          </w:p>
        </w:tc>
        <w:tc>
          <w:tcPr>
            <w:tcW w:w="2205" w:type="dxa"/>
            <w:shd w:val="clear" w:color="auto" w:fill="auto"/>
          </w:tcPr>
          <w:p w14:paraId="4545D227" w14:textId="77777777" w:rsidR="00BA172C" w:rsidRPr="00B7364B" w:rsidRDefault="00BA172C" w:rsidP="00B95821">
            <w:pPr>
              <w:spacing w:before="100" w:after="100"/>
              <w:rPr>
                <w:b/>
                <w:sz w:val="20"/>
              </w:rPr>
            </w:pPr>
            <w:r w:rsidRPr="00B7364B">
              <w:rPr>
                <w:sz w:val="20"/>
              </w:rPr>
              <w:t>Hungary</w:t>
            </w:r>
          </w:p>
        </w:tc>
      </w:tr>
      <w:tr w:rsidR="00BA172C" w:rsidRPr="00B7364B" w14:paraId="73532EE1" w14:textId="77777777" w:rsidTr="00B95821">
        <w:tc>
          <w:tcPr>
            <w:tcW w:w="2205" w:type="dxa"/>
            <w:shd w:val="clear" w:color="auto" w:fill="auto"/>
          </w:tcPr>
          <w:p w14:paraId="568F99D8" w14:textId="77777777" w:rsidR="00BA172C" w:rsidRPr="00B7364B" w:rsidRDefault="00BA172C" w:rsidP="00B95821">
            <w:pPr>
              <w:spacing w:before="100" w:after="100"/>
              <w:rPr>
                <w:b/>
                <w:sz w:val="20"/>
              </w:rPr>
            </w:pPr>
            <w:r w:rsidRPr="00B7364B">
              <w:rPr>
                <w:sz w:val="20"/>
              </w:rPr>
              <w:t>Indonesia</w:t>
            </w:r>
          </w:p>
        </w:tc>
        <w:tc>
          <w:tcPr>
            <w:tcW w:w="2205" w:type="dxa"/>
            <w:shd w:val="clear" w:color="auto" w:fill="auto"/>
          </w:tcPr>
          <w:p w14:paraId="5E0DD673" w14:textId="77777777" w:rsidR="00BA172C" w:rsidRPr="00B7364B" w:rsidRDefault="00BA172C" w:rsidP="00B95821">
            <w:pPr>
              <w:spacing w:before="100" w:after="100"/>
              <w:rPr>
                <w:b/>
                <w:sz w:val="20"/>
              </w:rPr>
            </w:pPr>
            <w:r w:rsidRPr="00B7364B">
              <w:rPr>
                <w:sz w:val="20"/>
              </w:rPr>
              <w:t>India</w:t>
            </w:r>
          </w:p>
        </w:tc>
        <w:tc>
          <w:tcPr>
            <w:tcW w:w="2205" w:type="dxa"/>
            <w:shd w:val="clear" w:color="auto" w:fill="auto"/>
          </w:tcPr>
          <w:p w14:paraId="53E8D198" w14:textId="77777777" w:rsidR="00BA172C" w:rsidRPr="00B7364B" w:rsidRDefault="00BA172C" w:rsidP="00B95821">
            <w:pPr>
              <w:spacing w:before="100" w:after="100"/>
              <w:rPr>
                <w:b/>
                <w:sz w:val="20"/>
              </w:rPr>
            </w:pPr>
            <w:r w:rsidRPr="00B7364B">
              <w:rPr>
                <w:sz w:val="20"/>
              </w:rPr>
              <w:t>Ireland</w:t>
            </w:r>
          </w:p>
        </w:tc>
        <w:tc>
          <w:tcPr>
            <w:tcW w:w="2205" w:type="dxa"/>
            <w:shd w:val="clear" w:color="auto" w:fill="auto"/>
          </w:tcPr>
          <w:p w14:paraId="25BD8990" w14:textId="77777777" w:rsidR="00BA172C" w:rsidRPr="00B7364B" w:rsidRDefault="00BA172C" w:rsidP="00B95821">
            <w:pPr>
              <w:spacing w:before="100" w:after="100"/>
              <w:rPr>
                <w:b/>
                <w:sz w:val="20"/>
              </w:rPr>
            </w:pPr>
            <w:r w:rsidRPr="00B7364B">
              <w:rPr>
                <w:sz w:val="20"/>
              </w:rPr>
              <w:t>Italy</w:t>
            </w:r>
          </w:p>
        </w:tc>
      </w:tr>
      <w:tr w:rsidR="00BA172C" w:rsidRPr="00B7364B" w14:paraId="4AFC5EA5" w14:textId="77777777" w:rsidTr="00B95821">
        <w:tc>
          <w:tcPr>
            <w:tcW w:w="2205" w:type="dxa"/>
            <w:shd w:val="clear" w:color="auto" w:fill="auto"/>
          </w:tcPr>
          <w:p w14:paraId="593A5836" w14:textId="77777777" w:rsidR="00BA172C" w:rsidRPr="00B7364B" w:rsidRDefault="00BA172C" w:rsidP="00B95821">
            <w:pPr>
              <w:spacing w:before="100" w:after="100"/>
              <w:rPr>
                <w:b/>
                <w:sz w:val="20"/>
              </w:rPr>
            </w:pPr>
            <w:r w:rsidRPr="00B7364B">
              <w:rPr>
                <w:sz w:val="20"/>
              </w:rPr>
              <w:t xml:space="preserve">Japan </w:t>
            </w:r>
          </w:p>
        </w:tc>
        <w:tc>
          <w:tcPr>
            <w:tcW w:w="2205" w:type="dxa"/>
            <w:shd w:val="clear" w:color="auto" w:fill="auto"/>
          </w:tcPr>
          <w:p w14:paraId="2E56EDCE" w14:textId="77777777" w:rsidR="00BA172C" w:rsidRPr="00B7364B" w:rsidRDefault="00BA172C" w:rsidP="00B95821">
            <w:pPr>
              <w:spacing w:before="100" w:after="100"/>
              <w:rPr>
                <w:b/>
                <w:sz w:val="20"/>
              </w:rPr>
            </w:pPr>
            <w:r w:rsidRPr="00B7364B">
              <w:rPr>
                <w:sz w:val="20"/>
              </w:rPr>
              <w:t>Malaysia</w:t>
            </w:r>
          </w:p>
        </w:tc>
        <w:tc>
          <w:tcPr>
            <w:tcW w:w="2205" w:type="dxa"/>
            <w:shd w:val="clear" w:color="auto" w:fill="auto"/>
          </w:tcPr>
          <w:p w14:paraId="57EDB7AC" w14:textId="77777777" w:rsidR="00BA172C" w:rsidRPr="00B7364B" w:rsidRDefault="00BA172C" w:rsidP="00B95821">
            <w:pPr>
              <w:spacing w:before="100" w:after="100"/>
              <w:rPr>
                <w:b/>
                <w:sz w:val="20"/>
              </w:rPr>
            </w:pPr>
            <w:r w:rsidRPr="00B7364B">
              <w:rPr>
                <w:sz w:val="20"/>
              </w:rPr>
              <w:t>Netherlands</w:t>
            </w:r>
          </w:p>
        </w:tc>
        <w:tc>
          <w:tcPr>
            <w:tcW w:w="2205" w:type="dxa"/>
            <w:shd w:val="clear" w:color="auto" w:fill="auto"/>
          </w:tcPr>
          <w:p w14:paraId="55AC3865" w14:textId="77777777" w:rsidR="00BA172C" w:rsidRPr="00B7364B" w:rsidRDefault="00BA172C" w:rsidP="00B95821">
            <w:pPr>
              <w:spacing w:before="100" w:after="100"/>
              <w:rPr>
                <w:b/>
                <w:sz w:val="20"/>
              </w:rPr>
            </w:pPr>
            <w:r w:rsidRPr="00B7364B">
              <w:rPr>
                <w:sz w:val="20"/>
              </w:rPr>
              <w:t>New Zealand</w:t>
            </w:r>
          </w:p>
        </w:tc>
      </w:tr>
      <w:tr w:rsidR="00BA172C" w:rsidRPr="00B7364B" w14:paraId="41675F48" w14:textId="77777777" w:rsidTr="00B95821">
        <w:tc>
          <w:tcPr>
            <w:tcW w:w="2205" w:type="dxa"/>
            <w:shd w:val="clear" w:color="auto" w:fill="auto"/>
          </w:tcPr>
          <w:p w14:paraId="4EC7C59E" w14:textId="77777777" w:rsidR="00BA172C" w:rsidRPr="00B7364B" w:rsidRDefault="00BA172C" w:rsidP="00B95821">
            <w:pPr>
              <w:spacing w:before="100" w:after="100"/>
              <w:rPr>
                <w:b/>
                <w:sz w:val="20"/>
              </w:rPr>
            </w:pPr>
            <w:r w:rsidRPr="00B7364B">
              <w:rPr>
                <w:sz w:val="20"/>
              </w:rPr>
              <w:t xml:space="preserve">Pakistan </w:t>
            </w:r>
          </w:p>
        </w:tc>
        <w:tc>
          <w:tcPr>
            <w:tcW w:w="2205" w:type="dxa"/>
            <w:shd w:val="clear" w:color="auto" w:fill="auto"/>
          </w:tcPr>
          <w:p w14:paraId="60F52AE5" w14:textId="77777777" w:rsidR="00BA172C" w:rsidRPr="00B7364B" w:rsidRDefault="00BA172C" w:rsidP="00B95821">
            <w:pPr>
              <w:spacing w:before="100" w:after="100"/>
              <w:rPr>
                <w:b/>
                <w:sz w:val="20"/>
              </w:rPr>
            </w:pPr>
            <w:r w:rsidRPr="00B7364B">
              <w:rPr>
                <w:sz w:val="20"/>
              </w:rPr>
              <w:t>Philippines</w:t>
            </w:r>
          </w:p>
        </w:tc>
        <w:tc>
          <w:tcPr>
            <w:tcW w:w="2205" w:type="dxa"/>
            <w:shd w:val="clear" w:color="auto" w:fill="auto"/>
          </w:tcPr>
          <w:p w14:paraId="387B6DA1" w14:textId="77777777" w:rsidR="00BA172C" w:rsidRPr="00B7364B" w:rsidRDefault="00BA172C" w:rsidP="00B95821">
            <w:pPr>
              <w:spacing w:before="100" w:after="100"/>
              <w:rPr>
                <w:b/>
                <w:sz w:val="20"/>
              </w:rPr>
            </w:pPr>
            <w:r w:rsidRPr="00B7364B">
              <w:rPr>
                <w:sz w:val="20"/>
              </w:rPr>
              <w:t xml:space="preserve">Poland </w:t>
            </w:r>
          </w:p>
        </w:tc>
        <w:tc>
          <w:tcPr>
            <w:tcW w:w="2205" w:type="dxa"/>
            <w:shd w:val="clear" w:color="auto" w:fill="auto"/>
          </w:tcPr>
          <w:p w14:paraId="72299C8A" w14:textId="77777777" w:rsidR="00BA172C" w:rsidRPr="00B7364B" w:rsidRDefault="00BA172C" w:rsidP="00B95821">
            <w:pPr>
              <w:spacing w:before="100" w:after="100"/>
              <w:rPr>
                <w:b/>
                <w:sz w:val="20"/>
              </w:rPr>
            </w:pPr>
            <w:r w:rsidRPr="00B7364B">
              <w:rPr>
                <w:sz w:val="20"/>
              </w:rPr>
              <w:t>Singapore</w:t>
            </w:r>
          </w:p>
        </w:tc>
      </w:tr>
      <w:tr w:rsidR="00BA172C" w:rsidRPr="00B7364B" w14:paraId="3DD3E39A" w14:textId="77777777" w:rsidTr="00B95821">
        <w:tc>
          <w:tcPr>
            <w:tcW w:w="2205" w:type="dxa"/>
            <w:shd w:val="clear" w:color="auto" w:fill="auto"/>
          </w:tcPr>
          <w:p w14:paraId="35BF1E74" w14:textId="77777777" w:rsidR="00BA172C" w:rsidRPr="00B7364B" w:rsidRDefault="00BA172C" w:rsidP="00B95821">
            <w:pPr>
              <w:spacing w:before="100" w:after="100"/>
              <w:rPr>
                <w:b/>
                <w:sz w:val="20"/>
              </w:rPr>
            </w:pPr>
            <w:r w:rsidRPr="00B7364B">
              <w:rPr>
                <w:sz w:val="20"/>
              </w:rPr>
              <w:t xml:space="preserve">South Africa </w:t>
            </w:r>
          </w:p>
        </w:tc>
        <w:tc>
          <w:tcPr>
            <w:tcW w:w="2205" w:type="dxa"/>
            <w:shd w:val="clear" w:color="auto" w:fill="auto"/>
          </w:tcPr>
          <w:p w14:paraId="0000250E" w14:textId="77777777" w:rsidR="00BA172C" w:rsidRPr="00B7364B" w:rsidRDefault="00BA172C" w:rsidP="00B95821">
            <w:pPr>
              <w:spacing w:before="100" w:after="100"/>
              <w:rPr>
                <w:b/>
                <w:sz w:val="20"/>
              </w:rPr>
            </w:pPr>
            <w:r w:rsidRPr="00B7364B">
              <w:rPr>
                <w:sz w:val="20"/>
              </w:rPr>
              <w:t>South Korea</w:t>
            </w:r>
          </w:p>
        </w:tc>
        <w:tc>
          <w:tcPr>
            <w:tcW w:w="2205" w:type="dxa"/>
            <w:shd w:val="clear" w:color="auto" w:fill="auto"/>
          </w:tcPr>
          <w:p w14:paraId="209A468E" w14:textId="77777777" w:rsidR="00BA172C" w:rsidRPr="00B7364B" w:rsidRDefault="00BA172C" w:rsidP="00B95821">
            <w:pPr>
              <w:spacing w:before="100" w:after="100"/>
              <w:rPr>
                <w:b/>
                <w:sz w:val="20"/>
              </w:rPr>
            </w:pPr>
            <w:r w:rsidRPr="00B7364B">
              <w:rPr>
                <w:sz w:val="20"/>
              </w:rPr>
              <w:t xml:space="preserve">Taiwan </w:t>
            </w:r>
          </w:p>
        </w:tc>
        <w:tc>
          <w:tcPr>
            <w:tcW w:w="2205" w:type="dxa"/>
            <w:shd w:val="clear" w:color="auto" w:fill="auto"/>
          </w:tcPr>
          <w:p w14:paraId="59917F77" w14:textId="77777777" w:rsidR="00BA172C" w:rsidRPr="00B7364B" w:rsidRDefault="00BA172C" w:rsidP="00B95821">
            <w:pPr>
              <w:spacing w:before="100" w:after="100"/>
              <w:rPr>
                <w:b/>
                <w:sz w:val="20"/>
              </w:rPr>
            </w:pPr>
            <w:r w:rsidRPr="00B7364B">
              <w:rPr>
                <w:sz w:val="20"/>
              </w:rPr>
              <w:t>Thailand</w:t>
            </w:r>
          </w:p>
        </w:tc>
      </w:tr>
      <w:tr w:rsidR="00BA172C" w:rsidRPr="00B7364B" w14:paraId="306FCFC7" w14:textId="77777777" w:rsidTr="00B95821">
        <w:tc>
          <w:tcPr>
            <w:tcW w:w="2205" w:type="dxa"/>
            <w:shd w:val="clear" w:color="auto" w:fill="auto"/>
          </w:tcPr>
          <w:p w14:paraId="04CF6FF4" w14:textId="77777777" w:rsidR="00BA172C" w:rsidRPr="00B7364B" w:rsidRDefault="00BA172C" w:rsidP="00B95821">
            <w:pPr>
              <w:spacing w:before="100" w:after="100"/>
              <w:rPr>
                <w:b/>
                <w:sz w:val="20"/>
              </w:rPr>
            </w:pPr>
            <w:r w:rsidRPr="00B7364B">
              <w:rPr>
                <w:sz w:val="20"/>
              </w:rPr>
              <w:t>Turkey</w:t>
            </w:r>
          </w:p>
        </w:tc>
        <w:tc>
          <w:tcPr>
            <w:tcW w:w="2205" w:type="dxa"/>
            <w:shd w:val="clear" w:color="auto" w:fill="auto"/>
          </w:tcPr>
          <w:p w14:paraId="2506916C" w14:textId="77777777" w:rsidR="00BA172C" w:rsidRPr="00B7364B" w:rsidRDefault="00BA172C" w:rsidP="00B95821">
            <w:pPr>
              <w:spacing w:before="100" w:after="100"/>
              <w:rPr>
                <w:b/>
                <w:sz w:val="20"/>
              </w:rPr>
            </w:pPr>
            <w:r w:rsidRPr="00B7364B">
              <w:rPr>
                <w:sz w:val="20"/>
              </w:rPr>
              <w:t>United Kingdom</w:t>
            </w:r>
          </w:p>
        </w:tc>
        <w:tc>
          <w:tcPr>
            <w:tcW w:w="2205" w:type="dxa"/>
            <w:shd w:val="clear" w:color="auto" w:fill="auto"/>
          </w:tcPr>
          <w:p w14:paraId="0805B567" w14:textId="77777777" w:rsidR="00BA172C" w:rsidRPr="00B7364B" w:rsidRDefault="00BA172C" w:rsidP="00B95821">
            <w:pPr>
              <w:spacing w:before="100" w:after="100"/>
              <w:rPr>
                <w:b/>
                <w:sz w:val="20"/>
              </w:rPr>
            </w:pPr>
            <w:r w:rsidRPr="00B7364B">
              <w:rPr>
                <w:sz w:val="20"/>
              </w:rPr>
              <w:t xml:space="preserve">USA </w:t>
            </w:r>
          </w:p>
        </w:tc>
        <w:tc>
          <w:tcPr>
            <w:tcW w:w="2205" w:type="dxa"/>
            <w:shd w:val="clear" w:color="auto" w:fill="auto"/>
          </w:tcPr>
          <w:p w14:paraId="5E0CE9BD" w14:textId="77777777" w:rsidR="00BA172C" w:rsidRPr="00B7364B" w:rsidRDefault="00BA172C" w:rsidP="00B95821">
            <w:pPr>
              <w:spacing w:before="100" w:after="100"/>
              <w:rPr>
                <w:b/>
                <w:sz w:val="20"/>
              </w:rPr>
            </w:pPr>
            <w:r w:rsidRPr="00B7364B">
              <w:rPr>
                <w:sz w:val="20"/>
              </w:rPr>
              <w:t>Vietnam</w:t>
            </w:r>
          </w:p>
        </w:tc>
      </w:tr>
    </w:tbl>
    <w:p w14:paraId="4C82D025" w14:textId="77777777" w:rsidR="00BA172C" w:rsidRPr="00B7364B" w:rsidRDefault="00BA172C" w:rsidP="00BA172C">
      <w:pPr>
        <w:spacing w:after="200"/>
        <w:rPr>
          <w:sz w:val="20"/>
        </w:rPr>
      </w:pPr>
    </w:p>
    <w:p w14:paraId="517806E3" w14:textId="77777777" w:rsidR="00BA172C" w:rsidRPr="00B7364B" w:rsidRDefault="00BA172C" w:rsidP="00BA172C">
      <w:pPr>
        <w:numPr>
          <w:ilvl w:val="5"/>
          <w:numId w:val="1"/>
        </w:numPr>
        <w:spacing w:after="200"/>
        <w:outlineLvl w:val="5"/>
        <w:rPr>
          <w:rFonts w:eastAsia="Times New Roman"/>
          <w:bCs/>
          <w:sz w:val="20"/>
          <w:szCs w:val="22"/>
        </w:rPr>
      </w:pPr>
      <w:bookmarkStart w:id="1787" w:name="_Toc479674706"/>
      <w:r w:rsidRPr="00B7364B">
        <w:rPr>
          <w:rFonts w:eastAsia="Times New Roman"/>
          <w:bCs/>
          <w:sz w:val="20"/>
          <w:szCs w:val="22"/>
        </w:rPr>
        <w:t>My Account</w:t>
      </w:r>
      <w:bookmarkEnd w:id="1787"/>
    </w:p>
    <w:p w14:paraId="04AD1E71" w14:textId="77777777" w:rsidR="00BA172C" w:rsidRPr="00B7364B" w:rsidRDefault="00BA172C" w:rsidP="00BA172C">
      <w:pPr>
        <w:spacing w:after="200"/>
        <w:ind w:left="720"/>
        <w:rPr>
          <w:sz w:val="20"/>
        </w:rPr>
      </w:pPr>
      <w:r w:rsidRPr="00B7364B">
        <w:rPr>
          <w:sz w:val="20"/>
        </w:rPr>
        <w:t xml:space="preserve">Services that share data may have a service login to My Account which will display all of the service numbers contributing to or using the shared data pool on </w:t>
      </w:r>
      <w:r w:rsidRPr="00B7364B">
        <w:rPr>
          <w:i/>
          <w:sz w:val="20"/>
        </w:rPr>
        <w:t xml:space="preserve">your </w:t>
      </w:r>
      <w:r w:rsidRPr="00B7364B">
        <w:rPr>
          <w:sz w:val="20"/>
        </w:rPr>
        <w:t xml:space="preserve">account and the amount of data each service has used. If </w:t>
      </w:r>
      <w:r w:rsidRPr="00B7364B">
        <w:rPr>
          <w:i/>
          <w:sz w:val="20"/>
        </w:rPr>
        <w:t>you</w:t>
      </w:r>
      <w:r w:rsidRPr="00B7364B">
        <w:rPr>
          <w:sz w:val="20"/>
        </w:rPr>
        <w:t xml:space="preserve"> have more than 6 services on </w:t>
      </w:r>
      <w:r w:rsidRPr="00B7364B">
        <w:rPr>
          <w:i/>
          <w:sz w:val="20"/>
        </w:rPr>
        <w:t xml:space="preserve">your </w:t>
      </w:r>
      <w:r w:rsidRPr="00B7364B">
        <w:rPr>
          <w:sz w:val="20"/>
        </w:rPr>
        <w:t xml:space="preserve">account, My Account may not be suitable for viewing usage and managing </w:t>
      </w:r>
      <w:r w:rsidRPr="00B7364B">
        <w:rPr>
          <w:i/>
          <w:sz w:val="20"/>
        </w:rPr>
        <w:t xml:space="preserve">your </w:t>
      </w:r>
      <w:r w:rsidRPr="00B7364B">
        <w:rPr>
          <w:sz w:val="20"/>
        </w:rPr>
        <w:t>usage alerts.</w:t>
      </w:r>
    </w:p>
    <w:p w14:paraId="00757EB7" w14:textId="77777777" w:rsidR="00BA172C" w:rsidRPr="00B7364B" w:rsidRDefault="00BA172C" w:rsidP="00BA172C">
      <w:pPr>
        <w:numPr>
          <w:ilvl w:val="5"/>
          <w:numId w:val="1"/>
        </w:numPr>
        <w:spacing w:after="200"/>
        <w:outlineLvl w:val="5"/>
        <w:rPr>
          <w:rFonts w:eastAsia="Times New Roman" w:cs="Arial"/>
          <w:sz w:val="20"/>
          <w:szCs w:val="20"/>
          <w:lang w:val="en-AU"/>
        </w:rPr>
      </w:pPr>
      <w:r w:rsidRPr="00B7364B">
        <w:rPr>
          <w:rFonts w:eastAsia="Times New Roman" w:cs="Arial"/>
          <w:sz w:val="20"/>
          <w:szCs w:val="20"/>
          <w:lang w:val="en-AU"/>
        </w:rPr>
        <w:t xml:space="preserve">What happens if the </w:t>
      </w:r>
      <w:r w:rsidRPr="00B7364B">
        <w:rPr>
          <w:rFonts w:eastAsia="Times New Roman" w:cs="Arial"/>
          <w:i/>
          <w:sz w:val="20"/>
          <w:szCs w:val="20"/>
          <w:lang w:val="en-AU"/>
        </w:rPr>
        <w:t xml:space="preserve">service </w:t>
      </w:r>
      <w:r w:rsidRPr="00B7364B">
        <w:rPr>
          <w:rFonts w:eastAsia="Times New Roman" w:cs="Arial"/>
          <w:sz w:val="20"/>
          <w:szCs w:val="20"/>
          <w:lang w:val="en-AU"/>
        </w:rPr>
        <w:t>is</w:t>
      </w:r>
      <w:r w:rsidRPr="00B7364B">
        <w:rPr>
          <w:rFonts w:eastAsia="Times New Roman" w:cs="Arial"/>
          <w:i/>
          <w:sz w:val="20"/>
          <w:szCs w:val="20"/>
          <w:lang w:val="en-AU"/>
        </w:rPr>
        <w:t xml:space="preserve"> cancelled </w:t>
      </w:r>
      <w:r w:rsidRPr="00B7364B">
        <w:rPr>
          <w:rFonts w:eastAsia="Times New Roman" w:cs="Arial"/>
          <w:sz w:val="20"/>
          <w:szCs w:val="20"/>
          <w:lang w:val="en-AU"/>
        </w:rPr>
        <w:t xml:space="preserve">early? </w:t>
      </w:r>
    </w:p>
    <w:p w14:paraId="368AE5A8" w14:textId="77777777" w:rsidR="00BA172C" w:rsidRPr="00B7364B" w:rsidRDefault="00BA172C" w:rsidP="00BA172C">
      <w:pPr>
        <w:numPr>
          <w:ilvl w:val="2"/>
          <w:numId w:val="63"/>
        </w:numPr>
        <w:tabs>
          <w:tab w:val="clear" w:pos="1843"/>
          <w:tab w:val="num" w:pos="1276"/>
        </w:tabs>
        <w:spacing w:before="120" w:after="120"/>
        <w:ind w:left="1276" w:hanging="567"/>
        <w:rPr>
          <w:rFonts w:eastAsia="Times New Roman" w:cs="Arial"/>
          <w:sz w:val="20"/>
          <w:szCs w:val="20"/>
          <w:lang w:val="en-AU"/>
        </w:rPr>
      </w:pPr>
      <w:r w:rsidRPr="00B7364B">
        <w:rPr>
          <w:rFonts w:eastAsia="Times New Roman" w:cs="Arial"/>
          <w:sz w:val="20"/>
          <w:szCs w:val="20"/>
          <w:lang w:val="en-AU"/>
        </w:rPr>
        <w:t>If the</w:t>
      </w:r>
      <w:r w:rsidRPr="00B7364B">
        <w:rPr>
          <w:rFonts w:eastAsia="Times New Roman" w:cs="Arial"/>
          <w:i/>
          <w:sz w:val="20"/>
          <w:szCs w:val="20"/>
          <w:lang w:val="en-AU"/>
        </w:rPr>
        <w:t xml:space="preserve"> service</w:t>
      </w:r>
      <w:r w:rsidRPr="00B7364B">
        <w:rPr>
          <w:rFonts w:eastAsia="Times New Roman" w:cs="Arial"/>
          <w:sz w:val="20"/>
          <w:szCs w:val="20"/>
          <w:lang w:val="en-AU"/>
        </w:rPr>
        <w:t xml:space="preserve"> is</w:t>
      </w:r>
      <w:r w:rsidRPr="00B7364B">
        <w:rPr>
          <w:rFonts w:eastAsia="Times New Roman" w:cs="Arial"/>
          <w:i/>
          <w:sz w:val="20"/>
          <w:szCs w:val="20"/>
          <w:lang w:val="en-AU"/>
        </w:rPr>
        <w:t xml:space="preserve"> cancelled </w:t>
      </w:r>
      <w:r w:rsidRPr="00B7364B">
        <w:rPr>
          <w:rFonts w:eastAsia="Times New Roman" w:cs="Arial"/>
          <w:sz w:val="20"/>
          <w:szCs w:val="20"/>
          <w:lang w:val="en-AU"/>
        </w:rPr>
        <w:t xml:space="preserve">before the end of </w:t>
      </w:r>
      <w:r w:rsidRPr="00B7364B">
        <w:rPr>
          <w:rFonts w:eastAsia="Times New Roman" w:cs="Arial"/>
          <w:i/>
          <w:sz w:val="20"/>
          <w:szCs w:val="20"/>
          <w:lang w:val="en-AU"/>
        </w:rPr>
        <w:t xml:space="preserve">your minimum term, you </w:t>
      </w:r>
      <w:r w:rsidRPr="00B7364B">
        <w:rPr>
          <w:rFonts w:eastAsia="Times New Roman" w:cs="Arial"/>
          <w:sz w:val="20"/>
          <w:szCs w:val="20"/>
          <w:lang w:val="en-AU"/>
        </w:rPr>
        <w:t xml:space="preserve">will be required to pay </w:t>
      </w:r>
      <w:r w:rsidRPr="00B7364B">
        <w:rPr>
          <w:rFonts w:eastAsia="Times New Roman" w:cs="Arial"/>
          <w:i/>
          <w:sz w:val="20"/>
          <w:szCs w:val="20"/>
          <w:lang w:val="en-AU"/>
        </w:rPr>
        <w:t>us</w:t>
      </w:r>
      <w:r w:rsidRPr="00B7364B">
        <w:rPr>
          <w:rFonts w:eastAsia="Times New Roman" w:cs="Arial"/>
          <w:sz w:val="20"/>
          <w:szCs w:val="20"/>
          <w:lang w:val="en-AU"/>
        </w:rPr>
        <w:t>:</w:t>
      </w:r>
    </w:p>
    <w:p w14:paraId="09993A33" w14:textId="77777777" w:rsidR="00BA172C" w:rsidRPr="00B7364B" w:rsidRDefault="00BA172C" w:rsidP="00BA172C">
      <w:pPr>
        <w:numPr>
          <w:ilvl w:val="3"/>
          <w:numId w:val="63"/>
        </w:numPr>
        <w:tabs>
          <w:tab w:val="clear" w:pos="2552"/>
          <w:tab w:val="num" w:pos="1843"/>
        </w:tabs>
        <w:spacing w:before="120" w:after="120"/>
        <w:ind w:left="1843" w:hanging="567"/>
        <w:rPr>
          <w:rFonts w:eastAsia="Times New Roman" w:cs="Arial"/>
          <w:sz w:val="20"/>
          <w:szCs w:val="20"/>
          <w:lang w:val="en-AU"/>
        </w:rPr>
      </w:pPr>
      <w:r w:rsidRPr="00B7364B">
        <w:rPr>
          <w:rFonts w:eastAsia="Times New Roman" w:cs="Arial"/>
          <w:sz w:val="20"/>
          <w:szCs w:val="20"/>
          <w:lang w:val="en-AU"/>
        </w:rPr>
        <w:t xml:space="preserve">any usage charges incurred up to, and including, the </w:t>
      </w:r>
      <w:r w:rsidRPr="00B7364B">
        <w:rPr>
          <w:rFonts w:eastAsia="Times New Roman" w:cs="Arial"/>
          <w:i/>
          <w:sz w:val="20"/>
          <w:szCs w:val="20"/>
          <w:lang w:val="en-AU"/>
        </w:rPr>
        <w:t xml:space="preserve">cancellation date; </w:t>
      </w:r>
      <w:r w:rsidRPr="00B7364B">
        <w:rPr>
          <w:rFonts w:eastAsia="Times New Roman" w:cs="Arial"/>
          <w:sz w:val="20"/>
          <w:szCs w:val="20"/>
          <w:lang w:val="en-AU"/>
        </w:rPr>
        <w:t>plus</w:t>
      </w:r>
    </w:p>
    <w:p w14:paraId="565A5F23" w14:textId="77777777" w:rsidR="00BA172C" w:rsidRPr="00B7364B" w:rsidRDefault="00BA172C" w:rsidP="00BA172C">
      <w:pPr>
        <w:numPr>
          <w:ilvl w:val="3"/>
          <w:numId w:val="63"/>
        </w:numPr>
        <w:tabs>
          <w:tab w:val="clear" w:pos="2552"/>
          <w:tab w:val="num" w:pos="1843"/>
        </w:tabs>
        <w:spacing w:before="120" w:after="120"/>
        <w:ind w:left="1843" w:hanging="567"/>
        <w:rPr>
          <w:rFonts w:eastAsia="Times New Roman" w:cs="Arial"/>
          <w:sz w:val="20"/>
          <w:szCs w:val="20"/>
          <w:lang w:val="en-AU"/>
        </w:rPr>
      </w:pPr>
      <w:r w:rsidRPr="00B7364B">
        <w:rPr>
          <w:rFonts w:eastAsia="Times New Roman" w:cs="Arial"/>
          <w:sz w:val="20"/>
          <w:szCs w:val="20"/>
          <w:lang w:val="en-AU"/>
        </w:rPr>
        <w:t xml:space="preserve">the sum of unpaid </w:t>
      </w:r>
      <w:r w:rsidRPr="00B7364B">
        <w:rPr>
          <w:rFonts w:eastAsia="Times New Roman" w:cs="Arial"/>
          <w:i/>
          <w:sz w:val="20"/>
          <w:szCs w:val="20"/>
          <w:lang w:val="en-AU"/>
        </w:rPr>
        <w:t xml:space="preserve">equipment charges </w:t>
      </w:r>
      <w:r w:rsidRPr="00B7364B">
        <w:rPr>
          <w:rFonts w:eastAsia="Times New Roman" w:cs="Arial"/>
          <w:sz w:val="20"/>
          <w:szCs w:val="20"/>
          <w:lang w:val="en-AU"/>
        </w:rPr>
        <w:t xml:space="preserve">owing on </w:t>
      </w:r>
      <w:r w:rsidRPr="00B7364B">
        <w:rPr>
          <w:rFonts w:eastAsia="Times New Roman" w:cs="Arial"/>
          <w:i/>
          <w:sz w:val="20"/>
          <w:szCs w:val="20"/>
          <w:lang w:val="en-AU"/>
        </w:rPr>
        <w:t xml:space="preserve">your mobile phone </w:t>
      </w:r>
      <w:r w:rsidRPr="00B7364B">
        <w:rPr>
          <w:rFonts w:eastAsia="Times New Roman" w:cs="Arial"/>
          <w:sz w:val="20"/>
          <w:szCs w:val="20"/>
          <w:lang w:val="en-AU"/>
        </w:rPr>
        <w:t xml:space="preserve">under the </w:t>
      </w:r>
      <w:r w:rsidRPr="00B7364B">
        <w:rPr>
          <w:rFonts w:eastAsia="Times New Roman" w:cs="Arial"/>
          <w:i/>
          <w:sz w:val="20"/>
          <w:szCs w:val="20"/>
          <w:lang w:val="en-AU"/>
        </w:rPr>
        <w:t xml:space="preserve">mobile equipment payment plan </w:t>
      </w:r>
      <w:r w:rsidRPr="00B7364B">
        <w:rPr>
          <w:rFonts w:eastAsia="Times New Roman" w:cs="Arial"/>
          <w:sz w:val="20"/>
          <w:szCs w:val="20"/>
          <w:lang w:val="en-AU"/>
        </w:rPr>
        <w:t xml:space="preserve">(if any). </w:t>
      </w:r>
    </w:p>
    <w:p w14:paraId="6400ACC9" w14:textId="77777777" w:rsidR="00BA172C" w:rsidRPr="00B7364B" w:rsidRDefault="00BA172C" w:rsidP="00BA172C">
      <w:pPr>
        <w:numPr>
          <w:ilvl w:val="2"/>
          <w:numId w:val="63"/>
        </w:numPr>
        <w:tabs>
          <w:tab w:val="clear" w:pos="1843"/>
          <w:tab w:val="num" w:pos="1276"/>
        </w:tabs>
        <w:spacing w:before="120" w:after="120"/>
        <w:ind w:left="1276" w:hanging="567"/>
        <w:rPr>
          <w:rFonts w:eastAsia="Times New Roman" w:cs="Arial"/>
          <w:sz w:val="20"/>
          <w:szCs w:val="20"/>
          <w:lang w:val="en-AU"/>
        </w:rPr>
      </w:pPr>
      <w:r w:rsidRPr="00B7364B">
        <w:rPr>
          <w:rFonts w:eastAsia="Times New Roman" w:cs="Arial"/>
          <w:sz w:val="20"/>
          <w:szCs w:val="20"/>
          <w:lang w:val="en-AU"/>
        </w:rPr>
        <w:t xml:space="preserve">The </w:t>
      </w:r>
      <w:r w:rsidRPr="00B7364B">
        <w:rPr>
          <w:rFonts w:eastAsia="Times New Roman" w:cs="Arial"/>
          <w:i/>
          <w:sz w:val="20"/>
          <w:szCs w:val="20"/>
          <w:lang w:val="en-AU"/>
        </w:rPr>
        <w:t>cancellation fee</w:t>
      </w:r>
      <w:r w:rsidRPr="00B7364B">
        <w:rPr>
          <w:rFonts w:eastAsia="Times New Roman" w:cs="Arial"/>
          <w:sz w:val="20"/>
          <w:szCs w:val="20"/>
          <w:lang w:val="en-AU"/>
        </w:rPr>
        <w:t xml:space="preserve"> is calculated as the following amounts, multiplied by the months remaining on </w:t>
      </w:r>
      <w:r w:rsidRPr="00B7364B">
        <w:rPr>
          <w:rFonts w:eastAsia="Times New Roman" w:cs="Arial"/>
          <w:i/>
          <w:sz w:val="20"/>
          <w:szCs w:val="20"/>
          <w:lang w:val="en-AU"/>
        </w:rPr>
        <w:t>your minimum term</w:t>
      </w:r>
      <w:r w:rsidRPr="00B7364B">
        <w:rPr>
          <w:rFonts w:eastAsia="Times New Roman" w:cs="Arial"/>
          <w:sz w:val="20"/>
          <w:szCs w:val="20"/>
          <w:lang w:val="en-AU"/>
        </w:rPr>
        <w:t>:</w:t>
      </w:r>
    </w:p>
    <w:p w14:paraId="08F18A84" w14:textId="77777777" w:rsidR="00BA172C" w:rsidRPr="00B7364B" w:rsidRDefault="00BA172C" w:rsidP="00BA172C">
      <w:pPr>
        <w:tabs>
          <w:tab w:val="left" w:pos="1701"/>
        </w:tabs>
        <w:spacing w:before="120" w:after="120"/>
        <w:ind w:left="709"/>
        <w:rPr>
          <w:rFonts w:eastAsia="Times New Roman" w:cs="Arial"/>
          <w:sz w:val="20"/>
          <w:szCs w:val="20"/>
          <w:lang w:val="en-AU"/>
        </w:rPr>
      </w:pPr>
    </w:p>
    <w:tbl>
      <w:tblPr>
        <w:tblW w:w="992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984"/>
        <w:gridCol w:w="1843"/>
        <w:gridCol w:w="1985"/>
        <w:gridCol w:w="2126"/>
      </w:tblGrid>
      <w:tr w:rsidR="00BA172C" w:rsidRPr="00B7364B" w14:paraId="331329D5" w14:textId="77777777" w:rsidTr="00B95821">
        <w:trPr>
          <w:trHeight w:val="668"/>
        </w:trPr>
        <w:tc>
          <w:tcPr>
            <w:tcW w:w="1985" w:type="dxa"/>
            <w:shd w:val="clear" w:color="auto" w:fill="auto"/>
            <w:vAlign w:val="center"/>
          </w:tcPr>
          <w:p w14:paraId="355BA838" w14:textId="77777777" w:rsidR="00BA172C" w:rsidRPr="00B7364B" w:rsidRDefault="00BA172C" w:rsidP="00B95821">
            <w:pPr>
              <w:jc w:val="center"/>
              <w:rPr>
                <w:rFonts w:eastAsia="Calibri" w:cs="Arial"/>
                <w:b/>
                <w:sz w:val="20"/>
                <w:szCs w:val="20"/>
              </w:rPr>
            </w:pPr>
          </w:p>
        </w:tc>
        <w:tc>
          <w:tcPr>
            <w:tcW w:w="1984" w:type="dxa"/>
          </w:tcPr>
          <w:p w14:paraId="18514403" w14:textId="77777777" w:rsidR="00BA172C" w:rsidRPr="00801DBA" w:rsidRDefault="00BA172C" w:rsidP="00B95821">
            <w:pPr>
              <w:jc w:val="center"/>
              <w:rPr>
                <w:rFonts w:cs="Arial"/>
                <w:sz w:val="20"/>
                <w:szCs w:val="20"/>
              </w:rPr>
            </w:pPr>
            <w:r w:rsidRPr="00801DBA">
              <w:t>$30 Business SIM</w:t>
            </w:r>
          </w:p>
        </w:tc>
        <w:tc>
          <w:tcPr>
            <w:tcW w:w="1843" w:type="dxa"/>
          </w:tcPr>
          <w:p w14:paraId="00AAEE80" w14:textId="77777777" w:rsidR="00BA172C" w:rsidRPr="00801DBA" w:rsidRDefault="00BA172C" w:rsidP="00B95821">
            <w:pPr>
              <w:jc w:val="center"/>
              <w:rPr>
                <w:rFonts w:cs="Arial"/>
                <w:sz w:val="20"/>
                <w:szCs w:val="20"/>
              </w:rPr>
            </w:pPr>
            <w:r w:rsidRPr="00801DBA">
              <w:t>$40 Business SIM</w:t>
            </w:r>
          </w:p>
        </w:tc>
        <w:tc>
          <w:tcPr>
            <w:tcW w:w="1985" w:type="dxa"/>
          </w:tcPr>
          <w:p w14:paraId="388C5BF3" w14:textId="77777777" w:rsidR="00BA172C" w:rsidRPr="00801DBA" w:rsidRDefault="00BA172C" w:rsidP="00B95821">
            <w:pPr>
              <w:jc w:val="center"/>
              <w:rPr>
                <w:rFonts w:cs="Arial"/>
                <w:sz w:val="20"/>
                <w:szCs w:val="20"/>
              </w:rPr>
            </w:pPr>
            <w:r w:rsidRPr="00801DBA">
              <w:t>$55 Business SIM</w:t>
            </w:r>
          </w:p>
        </w:tc>
        <w:tc>
          <w:tcPr>
            <w:tcW w:w="2126" w:type="dxa"/>
          </w:tcPr>
          <w:p w14:paraId="7BB03CA3" w14:textId="77777777" w:rsidR="00BA172C" w:rsidRPr="00801DBA" w:rsidRDefault="00BA172C" w:rsidP="00B95821">
            <w:pPr>
              <w:jc w:val="center"/>
              <w:rPr>
                <w:rFonts w:cs="Arial"/>
                <w:sz w:val="20"/>
                <w:szCs w:val="20"/>
              </w:rPr>
            </w:pPr>
            <w:r w:rsidRPr="00801DBA">
              <w:t>$70 Business SIM</w:t>
            </w:r>
          </w:p>
        </w:tc>
      </w:tr>
      <w:tr w:rsidR="00BA172C" w:rsidRPr="00B7364B" w14:paraId="6C20B365" w14:textId="77777777" w:rsidTr="00B95821">
        <w:trPr>
          <w:trHeight w:val="275"/>
        </w:trPr>
        <w:tc>
          <w:tcPr>
            <w:tcW w:w="1985" w:type="dxa"/>
            <w:shd w:val="clear" w:color="auto" w:fill="auto"/>
            <w:vAlign w:val="center"/>
          </w:tcPr>
          <w:p w14:paraId="0138AA86" w14:textId="77777777" w:rsidR="00BA172C" w:rsidRPr="00B7364B" w:rsidRDefault="00BA172C" w:rsidP="00B95821">
            <w:pPr>
              <w:spacing w:after="200" w:line="276" w:lineRule="auto"/>
              <w:jc w:val="center"/>
              <w:rPr>
                <w:rFonts w:eastAsia="Calibri" w:cs="Arial"/>
                <w:sz w:val="20"/>
                <w:szCs w:val="20"/>
              </w:rPr>
            </w:pPr>
            <w:r w:rsidRPr="00B7364B">
              <w:rPr>
                <w:rFonts w:eastAsia="Calibri" w:cs="Arial"/>
                <w:b/>
                <w:bCs/>
                <w:sz w:val="20"/>
                <w:szCs w:val="20"/>
              </w:rPr>
              <w:t>Cancellation Fee</w:t>
            </w:r>
          </w:p>
        </w:tc>
        <w:tc>
          <w:tcPr>
            <w:tcW w:w="1984" w:type="dxa"/>
            <w:vAlign w:val="center"/>
          </w:tcPr>
          <w:p w14:paraId="75F2777F" w14:textId="77777777" w:rsidR="00BA172C" w:rsidRPr="00B7364B" w:rsidRDefault="00BA172C" w:rsidP="00BA172C">
            <w:pPr>
              <w:numPr>
                <w:ilvl w:val="6"/>
                <w:numId w:val="66"/>
              </w:numPr>
              <w:ind w:left="34"/>
              <w:jc w:val="center"/>
              <w:rPr>
                <w:rFonts w:cs="Arial"/>
                <w:sz w:val="20"/>
                <w:szCs w:val="20"/>
              </w:rPr>
            </w:pPr>
            <w:r w:rsidRPr="00B7364B">
              <w:rPr>
                <w:rFonts w:cs="Arial"/>
                <w:sz w:val="20"/>
                <w:szCs w:val="20"/>
              </w:rPr>
              <w:t>$9 x Months remaining</w:t>
            </w:r>
          </w:p>
        </w:tc>
        <w:tc>
          <w:tcPr>
            <w:tcW w:w="1843" w:type="dxa"/>
          </w:tcPr>
          <w:p w14:paraId="71DF3267" w14:textId="77777777" w:rsidR="00BA172C" w:rsidRPr="00B7364B" w:rsidRDefault="00BA172C" w:rsidP="00BA172C">
            <w:pPr>
              <w:numPr>
                <w:ilvl w:val="6"/>
                <w:numId w:val="66"/>
              </w:numPr>
              <w:ind w:left="34"/>
              <w:jc w:val="center"/>
              <w:rPr>
                <w:rFonts w:cs="Arial"/>
                <w:sz w:val="20"/>
                <w:szCs w:val="20"/>
              </w:rPr>
            </w:pPr>
            <w:r w:rsidRPr="00B7364B">
              <w:rPr>
                <w:rFonts w:cs="Arial"/>
                <w:sz w:val="20"/>
                <w:szCs w:val="20"/>
              </w:rPr>
              <w:t>$12 x Months remaining</w:t>
            </w:r>
          </w:p>
        </w:tc>
        <w:tc>
          <w:tcPr>
            <w:tcW w:w="1985" w:type="dxa"/>
          </w:tcPr>
          <w:p w14:paraId="1A9D9B1F" w14:textId="77777777" w:rsidR="00BA172C" w:rsidRPr="00B7364B" w:rsidRDefault="00BA172C" w:rsidP="00BA172C">
            <w:pPr>
              <w:numPr>
                <w:ilvl w:val="6"/>
                <w:numId w:val="66"/>
              </w:numPr>
              <w:ind w:left="34"/>
              <w:jc w:val="center"/>
              <w:rPr>
                <w:rFonts w:cs="Arial"/>
                <w:sz w:val="20"/>
                <w:szCs w:val="20"/>
              </w:rPr>
            </w:pPr>
            <w:r w:rsidRPr="00B7364B">
              <w:rPr>
                <w:rFonts w:cs="Arial"/>
                <w:sz w:val="20"/>
                <w:szCs w:val="20"/>
              </w:rPr>
              <w:t>$16 x Months remaining</w:t>
            </w:r>
          </w:p>
        </w:tc>
        <w:tc>
          <w:tcPr>
            <w:tcW w:w="2126" w:type="dxa"/>
          </w:tcPr>
          <w:p w14:paraId="2B54B7EC" w14:textId="77777777" w:rsidR="00BA172C" w:rsidRPr="00B7364B" w:rsidRDefault="00BA172C" w:rsidP="00BA172C">
            <w:pPr>
              <w:numPr>
                <w:ilvl w:val="6"/>
                <w:numId w:val="66"/>
              </w:numPr>
              <w:ind w:left="34"/>
              <w:jc w:val="center"/>
              <w:rPr>
                <w:rFonts w:cs="Arial"/>
                <w:sz w:val="20"/>
                <w:szCs w:val="20"/>
              </w:rPr>
            </w:pPr>
            <w:r w:rsidRPr="00B7364B">
              <w:rPr>
                <w:rFonts w:cs="Arial"/>
                <w:sz w:val="20"/>
                <w:szCs w:val="20"/>
              </w:rPr>
              <w:t>$21 x Months remaining</w:t>
            </w:r>
          </w:p>
        </w:tc>
      </w:tr>
      <w:tr w:rsidR="00BA172C" w:rsidRPr="00B7364B" w14:paraId="070001AC" w14:textId="77777777" w:rsidTr="00B95821">
        <w:trPr>
          <w:trHeight w:val="530"/>
        </w:trPr>
        <w:tc>
          <w:tcPr>
            <w:tcW w:w="1985" w:type="dxa"/>
            <w:shd w:val="clear" w:color="auto" w:fill="auto"/>
            <w:vAlign w:val="center"/>
          </w:tcPr>
          <w:p w14:paraId="3D8F21A7" w14:textId="77777777" w:rsidR="00BA172C" w:rsidRPr="00B7364B" w:rsidRDefault="00BA172C" w:rsidP="00B95821">
            <w:pPr>
              <w:spacing w:after="200" w:line="276" w:lineRule="auto"/>
              <w:jc w:val="center"/>
              <w:rPr>
                <w:rFonts w:eastAsia="Calibri" w:cs="Arial"/>
                <w:b/>
                <w:bCs/>
                <w:sz w:val="20"/>
                <w:szCs w:val="20"/>
              </w:rPr>
            </w:pPr>
            <w:r w:rsidRPr="00B7364B">
              <w:rPr>
                <w:rFonts w:eastAsia="Calibri" w:cs="Arial"/>
                <w:b/>
                <w:bCs/>
                <w:sz w:val="20"/>
                <w:szCs w:val="20"/>
              </w:rPr>
              <w:t>Maximum Cancellation Fee</w:t>
            </w:r>
          </w:p>
        </w:tc>
        <w:tc>
          <w:tcPr>
            <w:tcW w:w="1984" w:type="dxa"/>
            <w:vAlign w:val="center"/>
          </w:tcPr>
          <w:p w14:paraId="370AD62A" w14:textId="77777777" w:rsidR="00BA172C" w:rsidRPr="00B7364B" w:rsidRDefault="00BA172C" w:rsidP="00B95821">
            <w:pPr>
              <w:ind w:left="34"/>
              <w:jc w:val="center"/>
              <w:rPr>
                <w:rFonts w:eastAsia="Calibri" w:cs="Arial"/>
                <w:sz w:val="20"/>
                <w:szCs w:val="20"/>
              </w:rPr>
            </w:pPr>
            <w:r w:rsidRPr="00B7364B">
              <w:rPr>
                <w:rFonts w:eastAsia="Calibri" w:cs="Arial"/>
                <w:sz w:val="20"/>
                <w:szCs w:val="20"/>
              </w:rPr>
              <w:t>$108</w:t>
            </w:r>
          </w:p>
        </w:tc>
        <w:tc>
          <w:tcPr>
            <w:tcW w:w="1843" w:type="dxa"/>
            <w:vAlign w:val="center"/>
          </w:tcPr>
          <w:p w14:paraId="35C6E293" w14:textId="77777777" w:rsidR="00BA172C" w:rsidRPr="00B7364B" w:rsidRDefault="00BA172C" w:rsidP="00B95821">
            <w:pPr>
              <w:ind w:left="34"/>
              <w:jc w:val="center"/>
              <w:rPr>
                <w:rFonts w:eastAsia="Calibri" w:cs="Arial"/>
                <w:sz w:val="20"/>
                <w:szCs w:val="20"/>
              </w:rPr>
            </w:pPr>
            <w:r w:rsidRPr="00B7364B">
              <w:rPr>
                <w:rFonts w:eastAsia="Calibri" w:cs="Arial"/>
                <w:sz w:val="20"/>
                <w:szCs w:val="20"/>
              </w:rPr>
              <w:t>$144</w:t>
            </w:r>
          </w:p>
        </w:tc>
        <w:tc>
          <w:tcPr>
            <w:tcW w:w="1985" w:type="dxa"/>
            <w:vAlign w:val="center"/>
          </w:tcPr>
          <w:p w14:paraId="29EEE8A9" w14:textId="77777777" w:rsidR="00BA172C" w:rsidRPr="00B7364B" w:rsidRDefault="00BA172C" w:rsidP="00B95821">
            <w:pPr>
              <w:ind w:left="34"/>
              <w:jc w:val="center"/>
              <w:rPr>
                <w:rFonts w:eastAsia="Calibri" w:cs="Arial"/>
                <w:sz w:val="20"/>
                <w:szCs w:val="20"/>
              </w:rPr>
            </w:pPr>
            <w:r w:rsidRPr="00B7364B">
              <w:rPr>
                <w:rFonts w:eastAsia="Calibri" w:cs="Arial"/>
                <w:sz w:val="20"/>
                <w:szCs w:val="20"/>
              </w:rPr>
              <w:t>$192</w:t>
            </w:r>
          </w:p>
        </w:tc>
        <w:tc>
          <w:tcPr>
            <w:tcW w:w="2126" w:type="dxa"/>
            <w:vAlign w:val="center"/>
          </w:tcPr>
          <w:p w14:paraId="4D606B45" w14:textId="77777777" w:rsidR="00BA172C" w:rsidRPr="00B7364B" w:rsidRDefault="00BA172C" w:rsidP="00B95821">
            <w:pPr>
              <w:ind w:left="34"/>
              <w:jc w:val="center"/>
              <w:rPr>
                <w:rFonts w:eastAsia="Calibri" w:cs="Arial"/>
                <w:sz w:val="20"/>
                <w:szCs w:val="20"/>
              </w:rPr>
            </w:pPr>
            <w:r w:rsidRPr="00B7364B">
              <w:rPr>
                <w:rFonts w:eastAsia="Calibri" w:cs="Arial"/>
                <w:sz w:val="20"/>
                <w:szCs w:val="20"/>
              </w:rPr>
              <w:t>$252</w:t>
            </w:r>
          </w:p>
        </w:tc>
      </w:tr>
    </w:tbl>
    <w:p w14:paraId="264CE187" w14:textId="77777777" w:rsidR="00BA172C" w:rsidRPr="00B7364B" w:rsidRDefault="00BA172C" w:rsidP="00BA172C">
      <w:pPr>
        <w:tabs>
          <w:tab w:val="left" w:pos="1701"/>
        </w:tabs>
        <w:spacing w:before="120" w:after="120"/>
        <w:ind w:left="1448"/>
        <w:rPr>
          <w:rFonts w:eastAsia="Times New Roman" w:cs="Arial"/>
          <w:sz w:val="20"/>
          <w:szCs w:val="20"/>
          <w:lang w:val="en-AU"/>
        </w:rPr>
      </w:pPr>
    </w:p>
    <w:p w14:paraId="6E74BACD" w14:textId="77777777" w:rsidR="00BA172C" w:rsidRPr="00801DBA" w:rsidRDefault="00BA172C" w:rsidP="00BA172C">
      <w:pPr>
        <w:numPr>
          <w:ilvl w:val="2"/>
          <w:numId w:val="63"/>
        </w:numPr>
        <w:tabs>
          <w:tab w:val="clear" w:pos="1843"/>
          <w:tab w:val="num" w:pos="1276"/>
        </w:tabs>
        <w:spacing w:before="120" w:after="120"/>
        <w:ind w:left="1276" w:hanging="567"/>
        <w:rPr>
          <w:rFonts w:eastAsia="Times New Roman" w:cs="Arial"/>
          <w:sz w:val="20"/>
          <w:szCs w:val="20"/>
          <w:lang w:val="en-AU"/>
        </w:rPr>
      </w:pPr>
      <w:r w:rsidRPr="00801DBA">
        <w:rPr>
          <w:rFonts w:eastAsia="Times New Roman" w:cs="Arial"/>
          <w:sz w:val="20"/>
          <w:szCs w:val="20"/>
          <w:lang w:val="en-AU"/>
        </w:rPr>
        <w:t xml:space="preserve">If </w:t>
      </w:r>
      <w:r w:rsidRPr="00801DBA">
        <w:rPr>
          <w:rFonts w:eastAsia="Times New Roman" w:cs="Arial"/>
          <w:i/>
          <w:sz w:val="20"/>
          <w:szCs w:val="20"/>
          <w:lang w:val="en-AU"/>
        </w:rPr>
        <w:t>your</w:t>
      </w:r>
      <w:r w:rsidRPr="00801DBA">
        <w:rPr>
          <w:rFonts w:eastAsia="Times New Roman" w:cs="Arial"/>
          <w:sz w:val="20"/>
          <w:szCs w:val="20"/>
          <w:lang w:val="en-AU"/>
        </w:rPr>
        <w:t xml:space="preserve"> Business 12M SIM is </w:t>
      </w:r>
      <w:r w:rsidRPr="00801DBA">
        <w:rPr>
          <w:rFonts w:eastAsia="Times New Roman" w:cs="Arial"/>
          <w:i/>
          <w:sz w:val="20"/>
          <w:szCs w:val="20"/>
          <w:lang w:val="en-AU"/>
        </w:rPr>
        <w:t>cancelled</w:t>
      </w:r>
      <w:r w:rsidRPr="00801DBA">
        <w:rPr>
          <w:rFonts w:eastAsia="Times New Roman" w:cs="Arial"/>
          <w:sz w:val="20"/>
          <w:szCs w:val="20"/>
          <w:lang w:val="en-AU"/>
        </w:rPr>
        <w:t xml:space="preserve">, </w:t>
      </w:r>
      <w:r w:rsidRPr="00801DBA">
        <w:rPr>
          <w:rFonts w:eastAsia="Times New Roman" w:cs="Arial"/>
          <w:i/>
          <w:sz w:val="20"/>
          <w:szCs w:val="20"/>
          <w:lang w:val="en-AU"/>
        </w:rPr>
        <w:t xml:space="preserve">any </w:t>
      </w:r>
      <w:r w:rsidRPr="00801DBA">
        <w:rPr>
          <w:rFonts w:eastAsia="Times New Roman" w:cs="Arial"/>
          <w:sz w:val="20"/>
          <w:szCs w:val="20"/>
          <w:lang w:val="en-AU"/>
        </w:rPr>
        <w:t xml:space="preserve">Shared Data Plan(s) on the account may also be </w:t>
      </w:r>
      <w:r w:rsidRPr="00801DBA">
        <w:rPr>
          <w:rFonts w:eastAsia="Times New Roman" w:cs="Arial"/>
          <w:i/>
          <w:sz w:val="20"/>
          <w:szCs w:val="20"/>
          <w:lang w:val="en-AU"/>
        </w:rPr>
        <w:t>cancelled</w:t>
      </w:r>
      <w:r w:rsidRPr="00801DBA">
        <w:rPr>
          <w:rFonts w:eastAsia="Times New Roman" w:cs="Arial"/>
          <w:sz w:val="20"/>
          <w:szCs w:val="20"/>
          <w:lang w:val="en-AU"/>
        </w:rPr>
        <w:t xml:space="preserve">. There are no </w:t>
      </w:r>
      <w:r w:rsidRPr="00801DBA">
        <w:rPr>
          <w:rFonts w:eastAsia="Times New Roman" w:cs="Arial"/>
          <w:i/>
          <w:sz w:val="20"/>
          <w:szCs w:val="20"/>
          <w:lang w:val="en-AU"/>
        </w:rPr>
        <w:t>cancellation fees</w:t>
      </w:r>
      <w:r w:rsidRPr="00801DBA">
        <w:rPr>
          <w:rFonts w:eastAsia="Times New Roman" w:cs="Arial"/>
          <w:sz w:val="20"/>
          <w:szCs w:val="20"/>
          <w:lang w:val="en-AU"/>
        </w:rPr>
        <w:t xml:space="preserve"> for any Shared Data Plan, however if </w:t>
      </w:r>
      <w:r w:rsidRPr="00801DBA">
        <w:rPr>
          <w:rFonts w:eastAsia="Times New Roman" w:cs="Arial"/>
          <w:i/>
          <w:sz w:val="20"/>
          <w:szCs w:val="20"/>
          <w:lang w:val="en-AU"/>
        </w:rPr>
        <w:t>you</w:t>
      </w:r>
      <w:r w:rsidRPr="00801DBA">
        <w:rPr>
          <w:rFonts w:eastAsia="Times New Roman" w:cs="Arial"/>
          <w:sz w:val="20"/>
          <w:szCs w:val="20"/>
          <w:lang w:val="en-AU"/>
        </w:rPr>
        <w:t xml:space="preserve"> purchased a </w:t>
      </w:r>
      <w:r w:rsidRPr="00801DBA">
        <w:rPr>
          <w:rFonts w:eastAsia="Times New Roman" w:cs="Arial"/>
          <w:i/>
          <w:sz w:val="20"/>
          <w:szCs w:val="20"/>
          <w:lang w:val="en-AU"/>
        </w:rPr>
        <w:t>device</w:t>
      </w:r>
      <w:r w:rsidRPr="00801DBA">
        <w:rPr>
          <w:rFonts w:eastAsia="Times New Roman" w:cs="Arial"/>
          <w:sz w:val="20"/>
          <w:szCs w:val="20"/>
          <w:lang w:val="en-AU"/>
        </w:rPr>
        <w:t xml:space="preserve"> </w:t>
      </w:r>
      <w:r w:rsidRPr="00801DBA">
        <w:rPr>
          <w:rFonts w:eastAsia="Times New Roman" w:cs="Arial"/>
          <w:i/>
          <w:sz w:val="20"/>
          <w:szCs w:val="20"/>
          <w:lang w:val="en-AU"/>
        </w:rPr>
        <w:t>you</w:t>
      </w:r>
      <w:r w:rsidRPr="00801DBA">
        <w:rPr>
          <w:rFonts w:eastAsia="Times New Roman" w:cs="Arial"/>
          <w:sz w:val="20"/>
          <w:szCs w:val="20"/>
          <w:lang w:val="en-AU"/>
        </w:rPr>
        <w:t xml:space="preserve"> need to pay the sum of any remaining </w:t>
      </w:r>
      <w:r w:rsidRPr="00801DBA">
        <w:rPr>
          <w:rFonts w:eastAsia="Times New Roman" w:cs="Arial"/>
          <w:i/>
          <w:sz w:val="20"/>
          <w:szCs w:val="20"/>
          <w:lang w:val="en-AU"/>
        </w:rPr>
        <w:t xml:space="preserve">equipment charges </w:t>
      </w:r>
      <w:r w:rsidRPr="00801DBA">
        <w:rPr>
          <w:rFonts w:eastAsia="Times New Roman" w:cs="Arial"/>
          <w:sz w:val="20"/>
          <w:szCs w:val="20"/>
          <w:lang w:val="en-AU"/>
        </w:rPr>
        <w:t xml:space="preserve">owing on </w:t>
      </w:r>
      <w:r w:rsidRPr="00801DBA">
        <w:rPr>
          <w:rFonts w:eastAsia="Times New Roman" w:cs="Arial"/>
          <w:i/>
          <w:sz w:val="20"/>
          <w:szCs w:val="20"/>
          <w:lang w:val="en-AU"/>
        </w:rPr>
        <w:t xml:space="preserve">your device </w:t>
      </w:r>
      <w:r w:rsidRPr="00801DBA">
        <w:rPr>
          <w:rFonts w:eastAsia="Times New Roman" w:cs="Arial"/>
          <w:sz w:val="20"/>
          <w:szCs w:val="20"/>
          <w:lang w:val="en-AU"/>
        </w:rPr>
        <w:t xml:space="preserve">under the </w:t>
      </w:r>
      <w:r w:rsidRPr="00801DBA">
        <w:rPr>
          <w:rFonts w:eastAsia="Times New Roman" w:cs="Arial"/>
          <w:i/>
          <w:sz w:val="20"/>
          <w:szCs w:val="20"/>
          <w:lang w:val="en-AU"/>
        </w:rPr>
        <w:t xml:space="preserve">mobile equipment payment plan </w:t>
      </w:r>
      <w:r w:rsidRPr="00801DBA">
        <w:rPr>
          <w:rFonts w:eastAsia="Times New Roman" w:cs="Arial"/>
          <w:sz w:val="20"/>
          <w:szCs w:val="20"/>
          <w:lang w:val="en-AU"/>
        </w:rPr>
        <w:t xml:space="preserve">(see </w:t>
      </w:r>
      <w:hyperlink r:id="rId782" w:history="1">
        <w:r w:rsidRPr="00801DBA">
          <w:rPr>
            <w:rFonts w:eastAsia="Times New Roman" w:cs="Arial"/>
            <w:i/>
            <w:color w:val="13607C"/>
            <w:sz w:val="20"/>
            <w:szCs w:val="20"/>
            <w:u w:val="single"/>
            <w:lang w:val="en-AU"/>
          </w:rPr>
          <w:t>Appendix D</w:t>
        </w:r>
        <w:r w:rsidRPr="00801DBA">
          <w:rPr>
            <w:rFonts w:eastAsia="Times New Roman" w:cs="Arial"/>
            <w:color w:val="13607C"/>
            <w:sz w:val="20"/>
            <w:szCs w:val="20"/>
            <w:u w:val="single"/>
            <w:lang w:val="en-AU"/>
          </w:rPr>
          <w:t>).</w:t>
        </w:r>
      </w:hyperlink>
    </w:p>
    <w:p w14:paraId="0F2F449C" w14:textId="77777777" w:rsidR="00BA172C" w:rsidRPr="00801DBA" w:rsidRDefault="00BA172C" w:rsidP="00BA172C">
      <w:pPr>
        <w:numPr>
          <w:ilvl w:val="2"/>
          <w:numId w:val="63"/>
        </w:numPr>
        <w:tabs>
          <w:tab w:val="clear" w:pos="1843"/>
          <w:tab w:val="num" w:pos="1276"/>
        </w:tabs>
        <w:spacing w:before="120" w:after="240"/>
        <w:ind w:left="1276" w:hanging="567"/>
        <w:rPr>
          <w:rFonts w:eastAsia="Times New Roman" w:cs="Arial"/>
          <w:sz w:val="20"/>
          <w:szCs w:val="20"/>
          <w:lang w:val="en-AU"/>
        </w:rPr>
      </w:pPr>
      <w:r w:rsidRPr="00801DBA">
        <w:rPr>
          <w:rFonts w:eastAsia="Times New Roman" w:cs="Arial"/>
          <w:sz w:val="20"/>
          <w:szCs w:val="20"/>
          <w:lang w:val="en-AU"/>
        </w:rPr>
        <w:t xml:space="preserve">If any Shared Data Plan is not </w:t>
      </w:r>
      <w:r w:rsidRPr="00801DBA">
        <w:rPr>
          <w:rFonts w:eastAsia="Times New Roman" w:cs="Arial"/>
          <w:i/>
          <w:sz w:val="20"/>
          <w:szCs w:val="20"/>
          <w:lang w:val="en-AU"/>
        </w:rPr>
        <w:t>cancelled</w:t>
      </w:r>
      <w:r w:rsidRPr="00801DBA">
        <w:rPr>
          <w:rFonts w:eastAsia="Times New Roman" w:cs="Arial"/>
          <w:sz w:val="20"/>
          <w:szCs w:val="20"/>
          <w:lang w:val="en-AU"/>
        </w:rPr>
        <w:t xml:space="preserve">, </w:t>
      </w:r>
      <w:r w:rsidRPr="00801DBA">
        <w:rPr>
          <w:rFonts w:eastAsia="Times New Roman" w:cs="Arial"/>
          <w:i/>
          <w:sz w:val="20"/>
          <w:szCs w:val="20"/>
          <w:lang w:val="en-AU"/>
        </w:rPr>
        <w:t>you</w:t>
      </w:r>
      <w:r w:rsidRPr="00801DBA">
        <w:rPr>
          <w:rFonts w:eastAsia="Times New Roman" w:cs="Arial"/>
          <w:sz w:val="20"/>
          <w:szCs w:val="20"/>
          <w:lang w:val="en-AU"/>
        </w:rPr>
        <w:t xml:space="preserve"> will be charged $10 per 1GB within Australia, up to 150GB (per account) in a billing month. </w:t>
      </w:r>
      <w:r w:rsidRPr="00801DBA">
        <w:rPr>
          <w:rFonts w:eastAsia="Times New Roman" w:cs="Arial"/>
          <w:i/>
          <w:sz w:val="20"/>
          <w:szCs w:val="20"/>
          <w:lang w:val="en-AU"/>
        </w:rPr>
        <w:t>Your</w:t>
      </w:r>
      <w:r w:rsidRPr="00801DBA">
        <w:rPr>
          <w:rFonts w:eastAsia="Times New Roman" w:cs="Arial"/>
          <w:sz w:val="20"/>
          <w:szCs w:val="20"/>
          <w:lang w:val="en-AU"/>
        </w:rPr>
        <w:t xml:space="preserve"> </w:t>
      </w:r>
      <w:r w:rsidRPr="00801DBA">
        <w:rPr>
          <w:rFonts w:eastAsia="Times New Roman" w:cs="Arial"/>
          <w:i/>
          <w:sz w:val="20"/>
          <w:szCs w:val="20"/>
          <w:lang w:val="en-AU"/>
        </w:rPr>
        <w:t>service/s</w:t>
      </w:r>
      <w:r w:rsidRPr="00801DBA">
        <w:rPr>
          <w:rFonts w:eastAsia="Times New Roman" w:cs="Arial"/>
          <w:sz w:val="20"/>
          <w:szCs w:val="20"/>
          <w:lang w:val="en-AU"/>
        </w:rPr>
        <w:t xml:space="preserve"> may then be restricted or </w:t>
      </w:r>
      <w:r w:rsidRPr="00801DBA">
        <w:rPr>
          <w:rFonts w:eastAsia="Times New Roman" w:cs="Arial"/>
          <w:i/>
          <w:sz w:val="20"/>
          <w:szCs w:val="20"/>
          <w:lang w:val="en-AU"/>
        </w:rPr>
        <w:t>we</w:t>
      </w:r>
      <w:r w:rsidRPr="00801DBA">
        <w:rPr>
          <w:rFonts w:eastAsia="Times New Roman" w:cs="Arial"/>
          <w:sz w:val="20"/>
          <w:szCs w:val="20"/>
          <w:lang w:val="en-AU"/>
        </w:rPr>
        <w:t xml:space="preserve"> may continue to charge </w:t>
      </w:r>
      <w:r w:rsidRPr="00801DBA">
        <w:rPr>
          <w:rFonts w:eastAsia="Times New Roman" w:cs="Arial"/>
          <w:i/>
          <w:sz w:val="20"/>
          <w:szCs w:val="20"/>
          <w:lang w:val="en-AU"/>
        </w:rPr>
        <w:t>you</w:t>
      </w:r>
      <w:r w:rsidRPr="00801DBA">
        <w:rPr>
          <w:rFonts w:eastAsia="Times New Roman" w:cs="Arial"/>
          <w:sz w:val="20"/>
          <w:szCs w:val="20"/>
          <w:lang w:val="en-AU"/>
        </w:rPr>
        <w:t xml:space="preserve"> at these rates.</w:t>
      </w:r>
      <w:r w:rsidR="00E85FA3">
        <w:rPr>
          <w:rFonts w:eastAsia="Times New Roman" w:cs="Arial"/>
          <w:sz w:val="20"/>
          <w:szCs w:val="20"/>
          <w:lang w:val="en-AU"/>
        </w:rPr>
        <w:br/>
      </w:r>
      <w:r w:rsidR="00E85FA3">
        <w:rPr>
          <w:rFonts w:eastAsia="Times New Roman" w:cs="Arial"/>
          <w:sz w:val="20"/>
          <w:szCs w:val="20"/>
          <w:lang w:val="en-AU"/>
        </w:rPr>
        <w:br/>
      </w:r>
    </w:p>
    <w:p w14:paraId="2367CB26" w14:textId="77777777" w:rsidR="00BA172C" w:rsidRPr="00B7364B" w:rsidRDefault="00BA172C" w:rsidP="00BA172C">
      <w:pPr>
        <w:pStyle w:val="Heading4"/>
      </w:pPr>
      <w:bookmarkStart w:id="1788" w:name="_Toc479674707"/>
      <w:bookmarkStart w:id="1789" w:name="_Toc509314765"/>
      <w:bookmarkStart w:id="1790" w:name="_Toc62644699"/>
      <w:r w:rsidRPr="00B7364B">
        <w:t>My Plan Business (Online)</w:t>
      </w:r>
      <w:bookmarkEnd w:id="1788"/>
      <w:bookmarkEnd w:id="1789"/>
      <w:bookmarkEnd w:id="1790"/>
    </w:p>
    <w:p w14:paraId="5FE9264D" w14:textId="77777777" w:rsidR="00BA172C" w:rsidRPr="00B7364B" w:rsidRDefault="00BA172C" w:rsidP="00BA172C">
      <w:pPr>
        <w:spacing w:after="200"/>
        <w:ind w:left="720"/>
        <w:rPr>
          <w:sz w:val="20"/>
        </w:rPr>
      </w:pPr>
      <w:r w:rsidRPr="00B7364B">
        <w:rPr>
          <w:sz w:val="20"/>
        </w:rPr>
        <w:t xml:space="preserve">This section relates to the following plans. </w:t>
      </w:r>
      <w:r w:rsidRPr="00B7364B">
        <w:rPr>
          <w:i/>
          <w:sz w:val="20"/>
        </w:rPr>
        <w:t>You</w:t>
      </w:r>
      <w:r w:rsidRPr="00B7364B">
        <w:rPr>
          <w:sz w:val="20"/>
        </w:rPr>
        <w:t xml:space="preserve"> can find </w:t>
      </w:r>
      <w:r w:rsidRPr="00B7364B">
        <w:rPr>
          <w:i/>
          <w:sz w:val="20"/>
        </w:rPr>
        <w:t>your</w:t>
      </w:r>
      <w:r w:rsidRPr="00B7364B">
        <w:rPr>
          <w:sz w:val="20"/>
        </w:rPr>
        <w:t xml:space="preserve"> Plan ID on </w:t>
      </w:r>
      <w:r w:rsidRPr="00B7364B">
        <w:rPr>
          <w:i/>
          <w:sz w:val="20"/>
        </w:rPr>
        <w:t>your</w:t>
      </w:r>
      <w:r w:rsidRPr="00B7364B">
        <w:rPr>
          <w:sz w:val="20"/>
        </w:rPr>
        <w:t xml:space="preserve"> bill under the Mobile Number Summary section:</w:t>
      </w:r>
    </w:p>
    <w:tbl>
      <w:tblPr>
        <w:tblW w:w="905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1"/>
        <w:gridCol w:w="2268"/>
        <w:gridCol w:w="3147"/>
      </w:tblGrid>
      <w:tr w:rsidR="00BA172C" w:rsidRPr="00B7364B" w14:paraId="5B3A9C71" w14:textId="77777777" w:rsidTr="00E85FA3">
        <w:tc>
          <w:tcPr>
            <w:tcW w:w="3641" w:type="dxa"/>
            <w:shd w:val="clear" w:color="auto" w:fill="auto"/>
          </w:tcPr>
          <w:p w14:paraId="0E6F4C57" w14:textId="77777777" w:rsidR="00BA172C" w:rsidRPr="00B7364B" w:rsidRDefault="00BA172C" w:rsidP="00B95821">
            <w:pPr>
              <w:spacing w:before="100" w:after="100"/>
              <w:jc w:val="center"/>
              <w:rPr>
                <w:b/>
                <w:sz w:val="20"/>
              </w:rPr>
            </w:pPr>
            <w:r w:rsidRPr="00B7364B">
              <w:rPr>
                <w:b/>
                <w:sz w:val="20"/>
              </w:rPr>
              <w:lastRenderedPageBreak/>
              <w:t>Plan</w:t>
            </w:r>
          </w:p>
        </w:tc>
        <w:tc>
          <w:tcPr>
            <w:tcW w:w="2268" w:type="dxa"/>
            <w:shd w:val="clear" w:color="auto" w:fill="auto"/>
          </w:tcPr>
          <w:p w14:paraId="5ED05C74" w14:textId="77777777" w:rsidR="00BA172C" w:rsidRPr="00B7364B" w:rsidRDefault="00BA172C" w:rsidP="00B95821">
            <w:pPr>
              <w:spacing w:before="100" w:after="100"/>
              <w:jc w:val="center"/>
              <w:rPr>
                <w:b/>
                <w:sz w:val="20"/>
              </w:rPr>
            </w:pPr>
            <w:r w:rsidRPr="00B7364B">
              <w:rPr>
                <w:b/>
                <w:sz w:val="20"/>
              </w:rPr>
              <w:t>Plan ID</w:t>
            </w:r>
          </w:p>
        </w:tc>
        <w:tc>
          <w:tcPr>
            <w:tcW w:w="3147" w:type="dxa"/>
            <w:shd w:val="clear" w:color="auto" w:fill="auto"/>
          </w:tcPr>
          <w:p w14:paraId="7A77A67A" w14:textId="77777777" w:rsidR="00BA172C" w:rsidRPr="00B7364B" w:rsidRDefault="00BA172C" w:rsidP="00B95821">
            <w:pPr>
              <w:spacing w:before="100" w:after="100"/>
              <w:jc w:val="center"/>
              <w:rPr>
                <w:b/>
                <w:sz w:val="20"/>
              </w:rPr>
            </w:pPr>
            <w:r w:rsidRPr="00B7364B">
              <w:rPr>
                <w:b/>
                <w:sz w:val="20"/>
              </w:rPr>
              <w:t>Available</w:t>
            </w:r>
          </w:p>
        </w:tc>
      </w:tr>
      <w:tr w:rsidR="00BA172C" w:rsidRPr="00B7364B" w14:paraId="63B9F264" w14:textId="77777777" w:rsidTr="00E85FA3">
        <w:tc>
          <w:tcPr>
            <w:tcW w:w="3641" w:type="dxa"/>
            <w:shd w:val="clear" w:color="auto" w:fill="auto"/>
          </w:tcPr>
          <w:p w14:paraId="72907A48" w14:textId="77777777" w:rsidR="00BA172C" w:rsidRPr="00B7364B" w:rsidRDefault="00BA172C" w:rsidP="00B95821">
            <w:pPr>
              <w:spacing w:before="100" w:after="100"/>
              <w:jc w:val="center"/>
              <w:rPr>
                <w:sz w:val="20"/>
              </w:rPr>
            </w:pPr>
            <w:r w:rsidRPr="00B7364B">
              <w:rPr>
                <w:sz w:val="20"/>
              </w:rPr>
              <w:t>$30 My Plan Business (Online)</w:t>
            </w:r>
          </w:p>
        </w:tc>
        <w:tc>
          <w:tcPr>
            <w:tcW w:w="2268" w:type="dxa"/>
            <w:shd w:val="clear" w:color="auto" w:fill="auto"/>
            <w:vAlign w:val="center"/>
          </w:tcPr>
          <w:p w14:paraId="2BB01731" w14:textId="77777777" w:rsidR="00BA172C" w:rsidRPr="00B7364B" w:rsidRDefault="00BA172C" w:rsidP="00B95821">
            <w:pPr>
              <w:spacing w:before="100" w:after="100"/>
              <w:jc w:val="center"/>
              <w:rPr>
                <w:sz w:val="20"/>
              </w:rPr>
            </w:pPr>
            <w:r w:rsidRPr="00B7364B">
              <w:rPr>
                <w:sz w:val="20"/>
              </w:rPr>
              <w:t>800643, 10574404</w:t>
            </w:r>
          </w:p>
        </w:tc>
        <w:tc>
          <w:tcPr>
            <w:tcW w:w="3147" w:type="dxa"/>
            <w:shd w:val="clear" w:color="auto" w:fill="auto"/>
          </w:tcPr>
          <w:p w14:paraId="1D76702B" w14:textId="77777777" w:rsidR="00BA172C" w:rsidRPr="00B7364B" w:rsidRDefault="00BA172C" w:rsidP="00B95821">
            <w:pPr>
              <w:spacing w:before="100" w:after="100"/>
              <w:jc w:val="center"/>
              <w:rPr>
                <w:sz w:val="20"/>
              </w:rPr>
            </w:pPr>
            <w:r w:rsidRPr="00B7364B">
              <w:rPr>
                <w:sz w:val="20"/>
              </w:rPr>
              <w:t>27 Feb 2017</w:t>
            </w:r>
            <w:r w:rsidR="00E85FA3" w:rsidRPr="00E85FA3">
              <w:rPr>
                <w:sz w:val="20"/>
              </w:rPr>
              <w:t xml:space="preserve"> – 30</w:t>
            </w:r>
            <w:r w:rsidR="00343D1D">
              <w:rPr>
                <w:sz w:val="20"/>
              </w:rPr>
              <w:t xml:space="preserve"> June</w:t>
            </w:r>
            <w:r w:rsidR="00E85FA3" w:rsidRPr="00E85FA3">
              <w:rPr>
                <w:sz w:val="20"/>
              </w:rPr>
              <w:t xml:space="preserve"> 2018</w:t>
            </w:r>
          </w:p>
        </w:tc>
      </w:tr>
      <w:tr w:rsidR="00BA172C" w:rsidRPr="00B7364B" w14:paraId="77114862" w14:textId="77777777" w:rsidTr="00E85FA3">
        <w:tc>
          <w:tcPr>
            <w:tcW w:w="3641" w:type="dxa"/>
            <w:shd w:val="clear" w:color="auto" w:fill="auto"/>
          </w:tcPr>
          <w:p w14:paraId="6F94DF2F" w14:textId="77777777" w:rsidR="00BA172C" w:rsidRPr="00B7364B" w:rsidRDefault="00BA172C" w:rsidP="00B95821">
            <w:pPr>
              <w:spacing w:before="100" w:after="100"/>
              <w:jc w:val="center"/>
              <w:rPr>
                <w:sz w:val="20"/>
              </w:rPr>
            </w:pPr>
            <w:r w:rsidRPr="00B7364B">
              <w:rPr>
                <w:sz w:val="20"/>
              </w:rPr>
              <w:t>$40 My Plan Business (Online)</w:t>
            </w:r>
          </w:p>
        </w:tc>
        <w:tc>
          <w:tcPr>
            <w:tcW w:w="2268" w:type="dxa"/>
            <w:shd w:val="clear" w:color="auto" w:fill="auto"/>
            <w:vAlign w:val="center"/>
          </w:tcPr>
          <w:p w14:paraId="3D430DC1" w14:textId="77777777" w:rsidR="00BA172C" w:rsidRPr="00B7364B" w:rsidRDefault="00BA172C" w:rsidP="00B95821">
            <w:pPr>
              <w:spacing w:before="100" w:after="100"/>
              <w:jc w:val="center"/>
              <w:rPr>
                <w:sz w:val="20"/>
              </w:rPr>
            </w:pPr>
            <w:r w:rsidRPr="00B7364B">
              <w:rPr>
                <w:sz w:val="20"/>
              </w:rPr>
              <w:t>800644, 10574417</w:t>
            </w:r>
          </w:p>
        </w:tc>
        <w:tc>
          <w:tcPr>
            <w:tcW w:w="3147" w:type="dxa"/>
            <w:shd w:val="clear" w:color="auto" w:fill="auto"/>
            <w:vAlign w:val="center"/>
          </w:tcPr>
          <w:p w14:paraId="50736C5F" w14:textId="77777777" w:rsidR="00BA172C" w:rsidRPr="00B7364B" w:rsidRDefault="00BA172C" w:rsidP="00B95821">
            <w:pPr>
              <w:spacing w:before="100" w:after="100"/>
              <w:jc w:val="center"/>
              <w:rPr>
                <w:sz w:val="20"/>
              </w:rPr>
            </w:pPr>
            <w:r w:rsidRPr="00B7364B">
              <w:rPr>
                <w:sz w:val="20"/>
              </w:rPr>
              <w:t>27 Feb 2017</w:t>
            </w:r>
            <w:r w:rsidR="00E85FA3" w:rsidRPr="00E85FA3">
              <w:rPr>
                <w:sz w:val="20"/>
              </w:rPr>
              <w:t xml:space="preserve"> – 30 </w:t>
            </w:r>
            <w:r w:rsidR="00343D1D">
              <w:rPr>
                <w:sz w:val="20"/>
              </w:rPr>
              <w:t>June</w:t>
            </w:r>
            <w:r w:rsidR="00E85FA3" w:rsidRPr="00E85FA3">
              <w:rPr>
                <w:sz w:val="20"/>
              </w:rPr>
              <w:t xml:space="preserve"> 2018</w:t>
            </w:r>
          </w:p>
        </w:tc>
      </w:tr>
      <w:tr w:rsidR="00BA172C" w:rsidRPr="00B7364B" w14:paraId="329425DC" w14:textId="77777777" w:rsidTr="00E85FA3">
        <w:tc>
          <w:tcPr>
            <w:tcW w:w="3641" w:type="dxa"/>
            <w:shd w:val="clear" w:color="auto" w:fill="auto"/>
          </w:tcPr>
          <w:p w14:paraId="6D12C991" w14:textId="77777777" w:rsidR="00BA172C" w:rsidRPr="00B7364B" w:rsidRDefault="00BA172C" w:rsidP="00B95821">
            <w:pPr>
              <w:spacing w:before="100" w:after="100"/>
              <w:jc w:val="center"/>
              <w:rPr>
                <w:sz w:val="20"/>
              </w:rPr>
            </w:pPr>
            <w:r w:rsidRPr="00B7364B">
              <w:rPr>
                <w:sz w:val="20"/>
              </w:rPr>
              <w:t>$55 My Plan Business (Online)</w:t>
            </w:r>
          </w:p>
        </w:tc>
        <w:tc>
          <w:tcPr>
            <w:tcW w:w="2268" w:type="dxa"/>
            <w:shd w:val="clear" w:color="auto" w:fill="auto"/>
            <w:vAlign w:val="center"/>
          </w:tcPr>
          <w:p w14:paraId="04CBA429" w14:textId="77777777" w:rsidR="00BA172C" w:rsidRPr="00B7364B" w:rsidRDefault="00BA172C" w:rsidP="00B95821">
            <w:pPr>
              <w:spacing w:before="100" w:after="100"/>
              <w:jc w:val="center"/>
              <w:rPr>
                <w:sz w:val="20"/>
              </w:rPr>
            </w:pPr>
            <w:r w:rsidRPr="00B7364B">
              <w:rPr>
                <w:sz w:val="20"/>
              </w:rPr>
              <w:t>800645, 10574424</w:t>
            </w:r>
          </w:p>
        </w:tc>
        <w:tc>
          <w:tcPr>
            <w:tcW w:w="3147" w:type="dxa"/>
            <w:shd w:val="clear" w:color="auto" w:fill="auto"/>
            <w:vAlign w:val="center"/>
          </w:tcPr>
          <w:p w14:paraId="13655C57" w14:textId="77777777" w:rsidR="00BA172C" w:rsidRPr="00B7364B" w:rsidRDefault="00BA172C" w:rsidP="00B95821">
            <w:pPr>
              <w:spacing w:before="100" w:after="100"/>
              <w:jc w:val="center"/>
              <w:rPr>
                <w:sz w:val="20"/>
              </w:rPr>
            </w:pPr>
            <w:r w:rsidRPr="00B7364B">
              <w:rPr>
                <w:sz w:val="20"/>
              </w:rPr>
              <w:t>27 Feb 2017</w:t>
            </w:r>
            <w:r w:rsidR="00E85FA3" w:rsidRPr="00E85FA3">
              <w:rPr>
                <w:sz w:val="20"/>
              </w:rPr>
              <w:t xml:space="preserve"> – 30</w:t>
            </w:r>
            <w:r w:rsidR="00343D1D">
              <w:rPr>
                <w:sz w:val="20"/>
              </w:rPr>
              <w:t xml:space="preserve"> June</w:t>
            </w:r>
            <w:r w:rsidR="00E85FA3" w:rsidRPr="00E85FA3">
              <w:rPr>
                <w:sz w:val="20"/>
              </w:rPr>
              <w:t xml:space="preserve"> 2018</w:t>
            </w:r>
          </w:p>
        </w:tc>
      </w:tr>
      <w:tr w:rsidR="00BA172C" w:rsidRPr="00B7364B" w14:paraId="0FF2DECC" w14:textId="77777777" w:rsidTr="00E85FA3">
        <w:tc>
          <w:tcPr>
            <w:tcW w:w="3641" w:type="dxa"/>
            <w:shd w:val="clear" w:color="auto" w:fill="auto"/>
          </w:tcPr>
          <w:p w14:paraId="787D41DC" w14:textId="77777777" w:rsidR="00BA172C" w:rsidRPr="00B7364B" w:rsidRDefault="00BA172C" w:rsidP="00B95821">
            <w:pPr>
              <w:spacing w:before="100" w:after="100"/>
              <w:jc w:val="center"/>
              <w:rPr>
                <w:sz w:val="20"/>
              </w:rPr>
            </w:pPr>
            <w:r w:rsidRPr="00B7364B">
              <w:rPr>
                <w:sz w:val="20"/>
              </w:rPr>
              <w:t>$70 My Plan Business (Online)</w:t>
            </w:r>
          </w:p>
        </w:tc>
        <w:tc>
          <w:tcPr>
            <w:tcW w:w="2268" w:type="dxa"/>
            <w:shd w:val="clear" w:color="auto" w:fill="auto"/>
          </w:tcPr>
          <w:p w14:paraId="7854860F" w14:textId="77777777" w:rsidR="00BA172C" w:rsidRPr="00B7364B" w:rsidRDefault="00BA172C" w:rsidP="00B95821">
            <w:pPr>
              <w:spacing w:before="100" w:after="100"/>
              <w:jc w:val="center"/>
              <w:rPr>
                <w:sz w:val="20"/>
              </w:rPr>
            </w:pPr>
            <w:r w:rsidRPr="00B7364B">
              <w:rPr>
                <w:sz w:val="20"/>
              </w:rPr>
              <w:t>800646, 10574434</w:t>
            </w:r>
          </w:p>
        </w:tc>
        <w:tc>
          <w:tcPr>
            <w:tcW w:w="3147" w:type="dxa"/>
            <w:shd w:val="clear" w:color="auto" w:fill="auto"/>
          </w:tcPr>
          <w:p w14:paraId="5DA7F871" w14:textId="77777777" w:rsidR="00BA172C" w:rsidRPr="00B7364B" w:rsidRDefault="00BA172C" w:rsidP="00B95821">
            <w:pPr>
              <w:spacing w:before="100" w:after="100"/>
              <w:jc w:val="center"/>
              <w:rPr>
                <w:sz w:val="20"/>
              </w:rPr>
            </w:pPr>
            <w:r w:rsidRPr="00B7364B">
              <w:rPr>
                <w:sz w:val="20"/>
              </w:rPr>
              <w:t>27 Feb 2017</w:t>
            </w:r>
            <w:r w:rsidR="00E85FA3" w:rsidRPr="00E85FA3">
              <w:rPr>
                <w:sz w:val="20"/>
              </w:rPr>
              <w:t xml:space="preserve"> – 30 </w:t>
            </w:r>
            <w:r w:rsidR="00343D1D">
              <w:rPr>
                <w:sz w:val="20"/>
              </w:rPr>
              <w:t>June</w:t>
            </w:r>
            <w:r w:rsidR="00E85FA3" w:rsidRPr="00E85FA3">
              <w:rPr>
                <w:sz w:val="20"/>
              </w:rPr>
              <w:t xml:space="preserve"> 2018</w:t>
            </w:r>
          </w:p>
        </w:tc>
      </w:tr>
    </w:tbl>
    <w:p w14:paraId="7359E01E" w14:textId="77777777" w:rsidR="00BA172C" w:rsidRPr="00B7364B" w:rsidRDefault="00BA172C" w:rsidP="00BA172C">
      <w:pPr>
        <w:spacing w:after="200"/>
        <w:rPr>
          <w:sz w:val="20"/>
        </w:rPr>
      </w:pPr>
    </w:p>
    <w:p w14:paraId="59F7DEF3" w14:textId="77777777" w:rsidR="00BA172C" w:rsidRPr="00801DBA" w:rsidRDefault="00BA172C" w:rsidP="00BA172C">
      <w:pPr>
        <w:numPr>
          <w:ilvl w:val="5"/>
          <w:numId w:val="1"/>
        </w:numPr>
        <w:spacing w:after="200"/>
        <w:outlineLvl w:val="5"/>
        <w:rPr>
          <w:rFonts w:eastAsia="Times New Roman"/>
          <w:bCs/>
          <w:sz w:val="20"/>
          <w:szCs w:val="20"/>
        </w:rPr>
      </w:pPr>
      <w:bookmarkStart w:id="1791" w:name="_Toc479674708"/>
      <w:r w:rsidRPr="00801DBA">
        <w:rPr>
          <w:rFonts w:eastAsia="Times New Roman"/>
          <w:bCs/>
          <w:sz w:val="20"/>
          <w:szCs w:val="20"/>
        </w:rPr>
        <w:t>Eligibility</w:t>
      </w:r>
      <w:bookmarkEnd w:id="1791"/>
    </w:p>
    <w:p w14:paraId="1530FA74" w14:textId="77777777" w:rsidR="00BA172C" w:rsidRPr="00801DBA" w:rsidRDefault="00BA172C" w:rsidP="00BA172C">
      <w:pPr>
        <w:spacing w:after="200"/>
        <w:ind w:left="720"/>
        <w:rPr>
          <w:sz w:val="20"/>
          <w:szCs w:val="20"/>
        </w:rPr>
      </w:pPr>
      <w:r w:rsidRPr="00801DBA">
        <w:rPr>
          <w:sz w:val="20"/>
          <w:szCs w:val="20"/>
        </w:rPr>
        <w:t xml:space="preserve">The My Plan Business plans are available to new and existing mobile customers connecting to the </w:t>
      </w:r>
      <w:r w:rsidRPr="00801DBA">
        <w:rPr>
          <w:i/>
          <w:sz w:val="20"/>
          <w:szCs w:val="20"/>
        </w:rPr>
        <w:t xml:space="preserve">service </w:t>
      </w:r>
      <w:r w:rsidRPr="00801DBA">
        <w:rPr>
          <w:sz w:val="20"/>
          <w:szCs w:val="20"/>
        </w:rPr>
        <w:t xml:space="preserve">who pass Optus' credit assessment. </w:t>
      </w:r>
    </w:p>
    <w:p w14:paraId="1304F661" w14:textId="77777777" w:rsidR="00BA172C" w:rsidRPr="00801DBA" w:rsidRDefault="00BA172C" w:rsidP="00BA172C">
      <w:pPr>
        <w:spacing w:after="200"/>
        <w:ind w:left="720"/>
        <w:rPr>
          <w:sz w:val="20"/>
          <w:szCs w:val="20"/>
        </w:rPr>
      </w:pPr>
      <w:r w:rsidRPr="00801DBA">
        <w:rPr>
          <w:sz w:val="20"/>
          <w:szCs w:val="20"/>
        </w:rPr>
        <w:t>Optus Service Providers' customers are not eligible to apply</w:t>
      </w:r>
      <w:r w:rsidRPr="00801DBA">
        <w:rPr>
          <w:snapToGrid w:val="0"/>
          <w:sz w:val="20"/>
          <w:szCs w:val="20"/>
        </w:rPr>
        <w:t>.</w:t>
      </w:r>
    </w:p>
    <w:p w14:paraId="406CB098" w14:textId="77777777" w:rsidR="00BA172C" w:rsidRPr="00801DBA" w:rsidRDefault="00BA172C" w:rsidP="00BA172C">
      <w:pPr>
        <w:spacing w:after="200"/>
        <w:ind w:left="720"/>
        <w:rPr>
          <w:sz w:val="20"/>
          <w:szCs w:val="20"/>
        </w:rPr>
      </w:pPr>
      <w:r w:rsidRPr="00801DBA">
        <w:rPr>
          <w:sz w:val="20"/>
          <w:szCs w:val="20"/>
        </w:rPr>
        <w:t xml:space="preserve">These </w:t>
      </w:r>
      <w:r w:rsidRPr="00801DBA">
        <w:rPr>
          <w:i/>
          <w:sz w:val="20"/>
          <w:szCs w:val="20"/>
        </w:rPr>
        <w:t>plans</w:t>
      </w:r>
      <w:r w:rsidRPr="00801DBA">
        <w:rPr>
          <w:sz w:val="20"/>
          <w:szCs w:val="20"/>
        </w:rPr>
        <w:t xml:space="preserve"> aren't compatible for data use with BlackBerry handsets on operating systems of 7.1 or earlier.</w:t>
      </w:r>
    </w:p>
    <w:p w14:paraId="24BF8A64" w14:textId="77777777" w:rsidR="00BA172C" w:rsidRPr="00801DBA" w:rsidRDefault="00BA172C" w:rsidP="00BA172C">
      <w:pPr>
        <w:numPr>
          <w:ilvl w:val="5"/>
          <w:numId w:val="1"/>
        </w:numPr>
        <w:spacing w:after="200"/>
        <w:outlineLvl w:val="5"/>
        <w:rPr>
          <w:rFonts w:eastAsia="Times New Roman"/>
          <w:bCs/>
          <w:sz w:val="20"/>
          <w:szCs w:val="20"/>
        </w:rPr>
      </w:pPr>
      <w:bookmarkStart w:id="1792" w:name="_Toc479674709"/>
      <w:r w:rsidRPr="00801DBA">
        <w:rPr>
          <w:rFonts w:eastAsia="Times New Roman"/>
          <w:bCs/>
          <w:snapToGrid w:val="0"/>
          <w:sz w:val="20"/>
          <w:szCs w:val="20"/>
        </w:rPr>
        <w:t>Minimum Term</w:t>
      </w:r>
      <w:bookmarkEnd w:id="1792"/>
    </w:p>
    <w:p w14:paraId="632CE9A1" w14:textId="77777777" w:rsidR="00BA172C" w:rsidRPr="00801DBA" w:rsidRDefault="00BA172C" w:rsidP="00BA172C">
      <w:pPr>
        <w:spacing w:after="200"/>
        <w:ind w:left="720"/>
        <w:rPr>
          <w:sz w:val="20"/>
          <w:szCs w:val="20"/>
        </w:rPr>
      </w:pPr>
      <w:r w:rsidRPr="00801DBA">
        <w:rPr>
          <w:sz w:val="20"/>
          <w:szCs w:val="20"/>
        </w:rPr>
        <w:t xml:space="preserve">These </w:t>
      </w:r>
      <w:r w:rsidRPr="00801DBA">
        <w:rPr>
          <w:i/>
          <w:sz w:val="20"/>
          <w:szCs w:val="20"/>
        </w:rPr>
        <w:t xml:space="preserve">plans </w:t>
      </w:r>
      <w:r w:rsidRPr="00801DBA">
        <w:rPr>
          <w:sz w:val="20"/>
          <w:szCs w:val="20"/>
        </w:rPr>
        <w:t xml:space="preserve">have a </w:t>
      </w:r>
      <w:r w:rsidRPr="00801DBA">
        <w:rPr>
          <w:i/>
          <w:sz w:val="20"/>
          <w:szCs w:val="20"/>
        </w:rPr>
        <w:t>fixed length agreement</w:t>
      </w:r>
      <w:r w:rsidRPr="00801DBA">
        <w:rPr>
          <w:sz w:val="20"/>
          <w:szCs w:val="20"/>
        </w:rPr>
        <w:t xml:space="preserve"> with a 12 month </w:t>
      </w:r>
      <w:r w:rsidRPr="00801DBA">
        <w:rPr>
          <w:i/>
          <w:sz w:val="20"/>
          <w:szCs w:val="20"/>
        </w:rPr>
        <w:t>minimum term</w:t>
      </w:r>
      <w:r w:rsidRPr="00801DBA">
        <w:rPr>
          <w:sz w:val="20"/>
          <w:szCs w:val="20"/>
        </w:rPr>
        <w:t>.</w:t>
      </w:r>
    </w:p>
    <w:p w14:paraId="4D0BB462" w14:textId="77777777" w:rsidR="00BA172C" w:rsidRPr="00801DBA" w:rsidRDefault="00BA172C" w:rsidP="00BA172C">
      <w:pPr>
        <w:numPr>
          <w:ilvl w:val="5"/>
          <w:numId w:val="1"/>
        </w:numPr>
        <w:spacing w:after="200"/>
        <w:outlineLvl w:val="5"/>
        <w:rPr>
          <w:rFonts w:eastAsia="Times New Roman"/>
          <w:b/>
          <w:bCs/>
          <w:sz w:val="20"/>
          <w:szCs w:val="20"/>
        </w:rPr>
      </w:pPr>
      <w:bookmarkStart w:id="1793" w:name="_Toc479674710"/>
      <w:r w:rsidRPr="00801DBA">
        <w:rPr>
          <w:rFonts w:eastAsia="Times New Roman"/>
          <w:bCs/>
          <w:sz w:val="20"/>
          <w:szCs w:val="20"/>
        </w:rPr>
        <w:t>What you have to pay us</w:t>
      </w:r>
      <w:bookmarkEnd w:id="1793"/>
    </w:p>
    <w:p w14:paraId="5513E6D9" w14:textId="77777777" w:rsidR="00BA172C" w:rsidRPr="00801DBA" w:rsidRDefault="00BA172C" w:rsidP="00BA172C">
      <w:pPr>
        <w:numPr>
          <w:ilvl w:val="6"/>
          <w:numId w:val="1"/>
        </w:numPr>
        <w:spacing w:after="200"/>
        <w:ind w:left="1440"/>
        <w:outlineLvl w:val="6"/>
        <w:rPr>
          <w:rFonts w:eastAsia="Times New Roman"/>
          <w:sz w:val="20"/>
          <w:szCs w:val="20"/>
        </w:rPr>
      </w:pPr>
      <w:r w:rsidRPr="00801DBA">
        <w:rPr>
          <w:rFonts w:eastAsia="Times New Roman"/>
          <w:i/>
          <w:sz w:val="20"/>
          <w:szCs w:val="20"/>
        </w:rPr>
        <w:t xml:space="preserve">You </w:t>
      </w:r>
      <w:r w:rsidRPr="00801DBA">
        <w:rPr>
          <w:rFonts w:eastAsia="Times New Roman"/>
          <w:sz w:val="20"/>
          <w:szCs w:val="20"/>
        </w:rPr>
        <w:t xml:space="preserve">must pay </w:t>
      </w:r>
      <w:r w:rsidRPr="00801DBA">
        <w:rPr>
          <w:rFonts w:eastAsia="Times New Roman"/>
          <w:i/>
          <w:sz w:val="20"/>
          <w:szCs w:val="20"/>
        </w:rPr>
        <w:t xml:space="preserve">us </w:t>
      </w:r>
      <w:r w:rsidRPr="00801DBA">
        <w:rPr>
          <w:rFonts w:eastAsia="Times New Roman"/>
          <w:sz w:val="20"/>
          <w:szCs w:val="20"/>
        </w:rPr>
        <w:t xml:space="preserve">for use of the </w:t>
      </w:r>
      <w:r w:rsidRPr="00801DBA">
        <w:rPr>
          <w:rFonts w:eastAsia="Times New Roman"/>
          <w:i/>
          <w:sz w:val="20"/>
          <w:szCs w:val="20"/>
        </w:rPr>
        <w:t xml:space="preserve">service </w:t>
      </w:r>
      <w:r w:rsidRPr="00801DBA">
        <w:rPr>
          <w:rFonts w:eastAsia="Times New Roman"/>
          <w:sz w:val="20"/>
          <w:szCs w:val="20"/>
        </w:rPr>
        <w:t xml:space="preserve">at the rates set out in Section 1 of this </w:t>
      </w:r>
      <w:r w:rsidRPr="00801DBA">
        <w:rPr>
          <w:rFonts w:eastAsia="Times New Roman"/>
          <w:i/>
          <w:sz w:val="20"/>
          <w:szCs w:val="20"/>
        </w:rPr>
        <w:t>standard pricing table</w:t>
      </w:r>
      <w:r w:rsidRPr="00801DBA">
        <w:rPr>
          <w:rFonts w:eastAsia="Times New Roman"/>
          <w:sz w:val="20"/>
          <w:szCs w:val="20"/>
        </w:rPr>
        <w:t xml:space="preserve"> and for value added service features at the rates set out in </w:t>
      </w:r>
      <w:hyperlink r:id="rId783" w:history="1">
        <w:r w:rsidRPr="00801DBA">
          <w:rPr>
            <w:rFonts w:eastAsia="Times New Roman"/>
            <w:i/>
            <w:color w:val="13607C"/>
            <w:sz w:val="20"/>
            <w:szCs w:val="20"/>
            <w:u w:val="single"/>
          </w:rPr>
          <w:t>Appendix Y Value Added Service Features</w:t>
        </w:r>
      </w:hyperlink>
      <w:r w:rsidRPr="00801DBA">
        <w:rPr>
          <w:rFonts w:eastAsia="Times New Roman"/>
          <w:sz w:val="20"/>
          <w:szCs w:val="20"/>
        </w:rPr>
        <w:t>.</w:t>
      </w:r>
    </w:p>
    <w:p w14:paraId="778BE51A" w14:textId="77777777" w:rsidR="00BA172C" w:rsidRPr="00801DBA" w:rsidRDefault="00BA172C" w:rsidP="00BA172C">
      <w:pPr>
        <w:numPr>
          <w:ilvl w:val="6"/>
          <w:numId w:val="1"/>
        </w:numPr>
        <w:spacing w:after="200"/>
        <w:ind w:left="1440"/>
        <w:outlineLvl w:val="6"/>
        <w:rPr>
          <w:rFonts w:eastAsia="Times New Roman"/>
          <w:sz w:val="20"/>
          <w:szCs w:val="20"/>
        </w:rPr>
      </w:pPr>
      <w:r w:rsidRPr="00801DBA">
        <w:rPr>
          <w:rFonts w:eastAsia="Times New Roman"/>
          <w:sz w:val="20"/>
          <w:szCs w:val="20"/>
        </w:rPr>
        <w:t>If there is a flagfall for a particular call type, the charge for these calls is the flagfall amount plus the relevant rate for the call multiplied by the duration of the call.</w:t>
      </w:r>
    </w:p>
    <w:p w14:paraId="4CE10138" w14:textId="77777777" w:rsidR="00BA172C" w:rsidRPr="00801DBA" w:rsidRDefault="00BA172C" w:rsidP="00BA172C">
      <w:pPr>
        <w:numPr>
          <w:ilvl w:val="6"/>
          <w:numId w:val="1"/>
        </w:numPr>
        <w:spacing w:after="200"/>
        <w:ind w:left="1440"/>
        <w:outlineLvl w:val="6"/>
        <w:rPr>
          <w:rFonts w:eastAsia="Times New Roman"/>
          <w:sz w:val="20"/>
          <w:szCs w:val="20"/>
        </w:rPr>
      </w:pPr>
      <w:r w:rsidRPr="00801DBA">
        <w:rPr>
          <w:rFonts w:eastAsia="Times New Roman"/>
          <w:sz w:val="20"/>
          <w:szCs w:val="20"/>
        </w:rPr>
        <w:t xml:space="preserve">Minimum Monthly Charge </w:t>
      </w:r>
    </w:p>
    <w:p w14:paraId="6EF89509" w14:textId="77777777" w:rsidR="00BA172C" w:rsidRPr="00801DBA" w:rsidRDefault="00BA172C" w:rsidP="00BA172C">
      <w:pPr>
        <w:numPr>
          <w:ilvl w:val="7"/>
          <w:numId w:val="1"/>
        </w:numPr>
        <w:spacing w:after="200"/>
        <w:outlineLvl w:val="7"/>
        <w:rPr>
          <w:rFonts w:eastAsia="Times New Roman"/>
          <w:iCs/>
          <w:sz w:val="20"/>
          <w:szCs w:val="20"/>
        </w:rPr>
      </w:pPr>
      <w:r w:rsidRPr="00801DBA">
        <w:rPr>
          <w:rFonts w:eastAsia="Times New Roman"/>
          <w:iCs/>
          <w:sz w:val="20"/>
          <w:szCs w:val="20"/>
        </w:rPr>
        <w:t xml:space="preserve">Each My Plan Business plan has a Minimum Monthly Charge amount that </w:t>
      </w:r>
      <w:r w:rsidRPr="00801DBA">
        <w:rPr>
          <w:rFonts w:eastAsia="Times New Roman"/>
          <w:i/>
          <w:iCs/>
          <w:sz w:val="20"/>
          <w:szCs w:val="20"/>
        </w:rPr>
        <w:t>you</w:t>
      </w:r>
      <w:r w:rsidRPr="00801DBA">
        <w:rPr>
          <w:rFonts w:eastAsia="Times New Roman"/>
          <w:iCs/>
          <w:sz w:val="20"/>
          <w:szCs w:val="20"/>
        </w:rPr>
        <w:t xml:space="preserve"> must pay </w:t>
      </w:r>
      <w:r w:rsidRPr="00801DBA">
        <w:rPr>
          <w:rFonts w:eastAsia="Times New Roman"/>
          <w:i/>
          <w:iCs/>
          <w:sz w:val="20"/>
          <w:szCs w:val="20"/>
        </w:rPr>
        <w:t>us</w:t>
      </w:r>
      <w:r w:rsidRPr="00801DBA">
        <w:rPr>
          <w:rFonts w:eastAsia="Times New Roman"/>
          <w:iCs/>
          <w:sz w:val="20"/>
          <w:szCs w:val="20"/>
        </w:rPr>
        <w:t xml:space="preserve"> each month as set out in Table 1 below.</w:t>
      </w:r>
    </w:p>
    <w:p w14:paraId="517A765A" w14:textId="77777777" w:rsidR="00BA172C" w:rsidRPr="00801DBA" w:rsidRDefault="00BA172C" w:rsidP="00BA172C">
      <w:pPr>
        <w:numPr>
          <w:ilvl w:val="7"/>
          <w:numId w:val="1"/>
        </w:numPr>
        <w:spacing w:after="200"/>
        <w:outlineLvl w:val="7"/>
        <w:rPr>
          <w:rFonts w:eastAsia="Times New Roman"/>
          <w:iCs/>
          <w:sz w:val="20"/>
          <w:szCs w:val="20"/>
        </w:rPr>
      </w:pPr>
      <w:r w:rsidRPr="00801DBA">
        <w:rPr>
          <w:rFonts w:eastAsia="Times New Roman"/>
          <w:i/>
          <w:iCs/>
          <w:sz w:val="20"/>
          <w:szCs w:val="20"/>
        </w:rPr>
        <w:t>You</w:t>
      </w:r>
      <w:r w:rsidRPr="00801DBA">
        <w:rPr>
          <w:rFonts w:eastAsia="Times New Roman"/>
          <w:iCs/>
          <w:sz w:val="20"/>
          <w:szCs w:val="20"/>
        </w:rPr>
        <w:t xml:space="preserve"> may purchase a mobile phone (or 'handset') with a 1 month, 12 month or 24 month </w:t>
      </w:r>
      <w:r w:rsidRPr="00801DBA">
        <w:rPr>
          <w:rFonts w:eastAsia="Times New Roman"/>
          <w:i/>
          <w:iCs/>
          <w:sz w:val="20"/>
          <w:szCs w:val="20"/>
        </w:rPr>
        <w:t>equipment term</w:t>
      </w:r>
      <w:r w:rsidRPr="00801DBA">
        <w:rPr>
          <w:rFonts w:eastAsia="Times New Roman"/>
          <w:iCs/>
          <w:sz w:val="20"/>
          <w:szCs w:val="20"/>
        </w:rPr>
        <w:t xml:space="preserve"> under a </w:t>
      </w:r>
      <w:r w:rsidRPr="00801DBA">
        <w:rPr>
          <w:rFonts w:eastAsia="Times New Roman"/>
          <w:i/>
          <w:iCs/>
          <w:sz w:val="20"/>
          <w:szCs w:val="20"/>
        </w:rPr>
        <w:t>mobile equipment payment plan</w:t>
      </w:r>
      <w:r w:rsidRPr="00801DBA">
        <w:rPr>
          <w:rFonts w:eastAsia="Times New Roman"/>
          <w:iCs/>
          <w:sz w:val="20"/>
          <w:szCs w:val="20"/>
        </w:rPr>
        <w:t xml:space="preserve"> (set out in </w:t>
      </w:r>
      <w:hyperlink r:id="rId784" w:history="1">
        <w:r w:rsidRPr="00801DBA">
          <w:rPr>
            <w:rFonts w:eastAsia="Times New Roman"/>
            <w:i/>
            <w:iCs/>
            <w:color w:val="13607C"/>
            <w:sz w:val="20"/>
            <w:szCs w:val="20"/>
            <w:u w:val="single"/>
          </w:rPr>
          <w:t>Appendix D</w:t>
        </w:r>
      </w:hyperlink>
      <w:r w:rsidRPr="00801DBA">
        <w:rPr>
          <w:rFonts w:eastAsia="Times New Roman"/>
          <w:iCs/>
          <w:sz w:val="20"/>
          <w:szCs w:val="20"/>
        </w:rPr>
        <w:t>).</w:t>
      </w:r>
    </w:p>
    <w:p w14:paraId="621B2CBD" w14:textId="77777777" w:rsidR="00BA172C" w:rsidRPr="00B7364B" w:rsidRDefault="00BA172C" w:rsidP="00BA172C">
      <w:pPr>
        <w:numPr>
          <w:ilvl w:val="5"/>
          <w:numId w:val="1"/>
        </w:numPr>
        <w:spacing w:after="200"/>
        <w:outlineLvl w:val="5"/>
        <w:rPr>
          <w:rFonts w:eastAsia="Times New Roman"/>
          <w:bCs/>
          <w:snapToGrid w:val="0"/>
          <w:sz w:val="20"/>
          <w:szCs w:val="22"/>
        </w:rPr>
      </w:pPr>
      <w:bookmarkStart w:id="1794" w:name="_Toc479674711"/>
      <w:r w:rsidRPr="00B7364B">
        <w:rPr>
          <w:rFonts w:eastAsia="Times New Roman"/>
          <w:bCs/>
          <w:snapToGrid w:val="0"/>
          <w:sz w:val="20"/>
          <w:szCs w:val="22"/>
        </w:rPr>
        <w:t>How My Plan Business works</w:t>
      </w:r>
      <w:bookmarkEnd w:id="1794"/>
    </w:p>
    <w:p w14:paraId="47904AE4" w14:textId="77777777" w:rsidR="00BA172C" w:rsidRPr="00B7364B" w:rsidRDefault="00BA172C" w:rsidP="00BA172C">
      <w:pPr>
        <w:numPr>
          <w:ilvl w:val="6"/>
          <w:numId w:val="1"/>
        </w:numPr>
        <w:spacing w:after="200"/>
        <w:ind w:left="1440"/>
        <w:outlineLvl w:val="6"/>
        <w:rPr>
          <w:rFonts w:eastAsia="Times New Roman"/>
          <w:sz w:val="20"/>
        </w:rPr>
      </w:pPr>
      <w:r w:rsidRPr="00B7364B">
        <w:rPr>
          <w:rFonts w:eastAsia="Times New Roman"/>
          <w:sz w:val="20"/>
        </w:rPr>
        <w:t>Each My Plan Business has unlimited minutes to use on standard national calls to landlines and mobiles, 13/1300 numbers and voicemail retrievals and an amount of Included Data (for mobile internet use) to share with other services on a My Plan Plus</w:t>
      </w:r>
      <w:r w:rsidRPr="00B7364B">
        <w:rPr>
          <w:rFonts w:eastAsia="Times New Roman"/>
          <w:sz w:val="20"/>
          <w:lang w:eastAsia="en-AU"/>
        </w:rPr>
        <w:t xml:space="preserve">, My Plan Plus SIM Only, My Plan Business (including Tech Fund), My Plan Business SIM, My Mobile Broadband Plus, Mobile Broadband Business or Shared Data Plan </w:t>
      </w:r>
      <w:r w:rsidRPr="00B7364B">
        <w:rPr>
          <w:rFonts w:eastAsia="Times New Roman"/>
          <w:sz w:val="20"/>
        </w:rPr>
        <w:t>on the same account.</w:t>
      </w:r>
    </w:p>
    <w:p w14:paraId="0595ECD1" w14:textId="77777777" w:rsidR="00BA172C" w:rsidRPr="00B7364B" w:rsidRDefault="00BA172C" w:rsidP="00BA172C">
      <w:pPr>
        <w:numPr>
          <w:ilvl w:val="6"/>
          <w:numId w:val="1"/>
        </w:numPr>
        <w:spacing w:after="200"/>
        <w:ind w:left="1440"/>
        <w:outlineLvl w:val="6"/>
        <w:rPr>
          <w:rFonts w:eastAsia="Times New Roman"/>
          <w:sz w:val="20"/>
        </w:rPr>
      </w:pPr>
      <w:r w:rsidRPr="00B7364B">
        <w:rPr>
          <w:rFonts w:eastAsia="Times New Roman"/>
          <w:sz w:val="20"/>
        </w:rPr>
        <w:t>These plans also include unlimited standard national SMS/MMS and unlimited standard International SMS/MMS to selected countries. The $40/$55/$70 My Plan Business plans  include up to  300/400/500 of international minutes respectively to use on standard international calls to selected countries.</w:t>
      </w:r>
    </w:p>
    <w:p w14:paraId="63AAB530" w14:textId="77777777" w:rsidR="00BA172C" w:rsidRPr="00B7364B" w:rsidRDefault="00BA172C" w:rsidP="00BA172C">
      <w:pPr>
        <w:numPr>
          <w:ilvl w:val="6"/>
          <w:numId w:val="1"/>
        </w:numPr>
        <w:spacing w:after="200"/>
        <w:ind w:left="1440"/>
        <w:outlineLvl w:val="6"/>
        <w:rPr>
          <w:rFonts w:eastAsia="Times New Roman"/>
          <w:sz w:val="20"/>
        </w:rPr>
      </w:pPr>
      <w:r w:rsidRPr="00B7364B">
        <w:rPr>
          <w:rFonts w:eastAsia="Times New Roman"/>
          <w:sz w:val="20"/>
        </w:rPr>
        <w:t>Data usage is calculated in one kilobyte increments. International minutes are billed in one minute increments.</w:t>
      </w:r>
    </w:p>
    <w:p w14:paraId="26F5D32C" w14:textId="77777777" w:rsidR="00BA172C" w:rsidRPr="00B7364B" w:rsidRDefault="00BA172C" w:rsidP="00BA172C">
      <w:pPr>
        <w:numPr>
          <w:ilvl w:val="6"/>
          <w:numId w:val="1"/>
        </w:numPr>
        <w:spacing w:after="200"/>
        <w:ind w:left="1440"/>
        <w:outlineLvl w:val="6"/>
        <w:rPr>
          <w:rFonts w:eastAsia="Times New Roman"/>
          <w:sz w:val="20"/>
        </w:rPr>
      </w:pPr>
      <w:r w:rsidRPr="00B7364B">
        <w:rPr>
          <w:rFonts w:eastAsia="Times New Roman"/>
          <w:sz w:val="20"/>
        </w:rPr>
        <w:t xml:space="preserve">If </w:t>
      </w:r>
      <w:r w:rsidRPr="00B7364B">
        <w:rPr>
          <w:rFonts w:eastAsia="Times New Roman"/>
          <w:i/>
          <w:sz w:val="20"/>
        </w:rPr>
        <w:t xml:space="preserve">you </w:t>
      </w:r>
      <w:r w:rsidRPr="00B7364B">
        <w:rPr>
          <w:rFonts w:eastAsia="Times New Roman"/>
          <w:sz w:val="20"/>
        </w:rPr>
        <w:t>exceed your included shareable data you'll automatically be charged $10 for each additional 1GB of data ("</w:t>
      </w:r>
      <w:r w:rsidRPr="00B7364B">
        <w:rPr>
          <w:rFonts w:eastAsia="Times New Roman"/>
          <w:b/>
          <w:sz w:val="20"/>
        </w:rPr>
        <w:t>Additional Data</w:t>
      </w:r>
      <w:r w:rsidRPr="00B7364B">
        <w:rPr>
          <w:rFonts w:eastAsia="Times New Roman"/>
          <w:sz w:val="20"/>
        </w:rPr>
        <w:t>") up to 150GB of extra data per account each month. Your service/s may then be restricted or we may continue to charge you at these rates.</w:t>
      </w:r>
    </w:p>
    <w:p w14:paraId="3FB30591" w14:textId="77777777" w:rsidR="00BA172C" w:rsidRPr="00B7364B" w:rsidRDefault="00BA172C" w:rsidP="00BA172C">
      <w:pPr>
        <w:numPr>
          <w:ilvl w:val="6"/>
          <w:numId w:val="1"/>
        </w:numPr>
        <w:spacing w:after="200"/>
        <w:ind w:left="1440"/>
        <w:outlineLvl w:val="6"/>
        <w:rPr>
          <w:rFonts w:eastAsia="Times New Roman"/>
          <w:sz w:val="20"/>
        </w:rPr>
      </w:pPr>
      <w:r w:rsidRPr="00B7364B">
        <w:rPr>
          <w:rFonts w:eastAsia="Times New Roman"/>
          <w:sz w:val="20"/>
        </w:rPr>
        <w:lastRenderedPageBreak/>
        <w:t xml:space="preserve">Any unused portion of </w:t>
      </w:r>
      <w:r w:rsidRPr="00B7364B">
        <w:rPr>
          <w:rFonts w:eastAsia="Times New Roman"/>
          <w:i/>
          <w:sz w:val="20"/>
        </w:rPr>
        <w:t>your</w:t>
      </w:r>
      <w:r w:rsidRPr="00B7364B">
        <w:rPr>
          <w:rFonts w:eastAsia="Times New Roman"/>
          <w:sz w:val="20"/>
        </w:rPr>
        <w:t xml:space="preserve"> </w:t>
      </w:r>
      <w:r w:rsidRPr="00B7364B">
        <w:rPr>
          <w:rFonts w:eastAsia="Times New Roman"/>
          <w:i/>
          <w:sz w:val="20"/>
        </w:rPr>
        <w:t>plan's</w:t>
      </w:r>
      <w:r w:rsidRPr="00B7364B">
        <w:rPr>
          <w:rFonts w:eastAsia="Times New Roman"/>
          <w:sz w:val="20"/>
        </w:rPr>
        <w:t xml:space="preserve"> Included or Additional Data or International Minutes expires at the end of each month and does not roll over into the next month. </w:t>
      </w:r>
    </w:p>
    <w:p w14:paraId="51E9698F" w14:textId="77777777" w:rsidR="00BA172C" w:rsidRPr="00B7364B" w:rsidRDefault="00BA172C" w:rsidP="00BA172C">
      <w:pPr>
        <w:numPr>
          <w:ilvl w:val="6"/>
          <w:numId w:val="1"/>
        </w:numPr>
        <w:spacing w:after="200"/>
        <w:ind w:left="1440"/>
        <w:outlineLvl w:val="6"/>
        <w:rPr>
          <w:rFonts w:eastAsia="Times New Roman"/>
          <w:b/>
          <w:sz w:val="20"/>
        </w:rPr>
      </w:pPr>
      <w:r w:rsidRPr="00B7364B">
        <w:rPr>
          <w:rFonts w:eastAsia="Times New Roman"/>
          <w:i/>
          <w:sz w:val="20"/>
        </w:rPr>
        <w:t>You</w:t>
      </w:r>
      <w:r w:rsidRPr="00B7364B">
        <w:rPr>
          <w:rFonts w:eastAsia="Times New Roman"/>
          <w:sz w:val="20"/>
        </w:rPr>
        <w:t xml:space="preserve"> must pay </w:t>
      </w:r>
      <w:r w:rsidRPr="00B7364B">
        <w:rPr>
          <w:rFonts w:eastAsia="Times New Roman"/>
          <w:i/>
          <w:sz w:val="20"/>
        </w:rPr>
        <w:t>us</w:t>
      </w:r>
      <w:r w:rsidRPr="00B7364B">
        <w:rPr>
          <w:rFonts w:eastAsia="Times New Roman"/>
          <w:sz w:val="20"/>
        </w:rPr>
        <w:t xml:space="preserve"> for use of any services that are not included in </w:t>
      </w:r>
      <w:r w:rsidRPr="00B7364B">
        <w:rPr>
          <w:rFonts w:eastAsia="Times New Roman"/>
          <w:i/>
          <w:sz w:val="20"/>
        </w:rPr>
        <w:t>your</w:t>
      </w:r>
      <w:r w:rsidRPr="00B7364B">
        <w:rPr>
          <w:rFonts w:eastAsia="Times New Roman"/>
          <w:sz w:val="20"/>
        </w:rPr>
        <w:t xml:space="preserve"> plan's inclusions, examples of which are set out in Table 2 below.</w:t>
      </w:r>
    </w:p>
    <w:p w14:paraId="028383A5" w14:textId="77777777" w:rsidR="00BA172C" w:rsidRPr="00B7364B" w:rsidRDefault="00BA172C" w:rsidP="00BA172C">
      <w:pPr>
        <w:numPr>
          <w:ilvl w:val="5"/>
          <w:numId w:val="1"/>
        </w:numPr>
        <w:spacing w:after="200"/>
        <w:outlineLvl w:val="5"/>
        <w:rPr>
          <w:rFonts w:eastAsia="Times New Roman"/>
          <w:bCs/>
          <w:snapToGrid w:val="0"/>
          <w:sz w:val="20"/>
          <w:szCs w:val="22"/>
        </w:rPr>
      </w:pPr>
      <w:bookmarkStart w:id="1795" w:name="_Toc479674712"/>
      <w:r w:rsidRPr="00B7364B">
        <w:rPr>
          <w:rFonts w:eastAsia="Times New Roman"/>
          <w:bCs/>
          <w:snapToGrid w:val="0"/>
          <w:sz w:val="20"/>
          <w:szCs w:val="22"/>
        </w:rPr>
        <w:t>Plan Changes</w:t>
      </w:r>
      <w:bookmarkEnd w:id="1795"/>
    </w:p>
    <w:p w14:paraId="0A5E0B9D" w14:textId="77777777" w:rsidR="00BA172C" w:rsidRPr="00B7364B" w:rsidRDefault="00BA172C" w:rsidP="00BA172C">
      <w:pPr>
        <w:spacing w:after="200"/>
        <w:ind w:left="720"/>
        <w:rPr>
          <w:sz w:val="20"/>
        </w:rPr>
      </w:pPr>
      <w:r w:rsidRPr="00B7364B">
        <w:rPr>
          <w:sz w:val="20"/>
        </w:rPr>
        <w:t>You can change your plan during the minimum tern term provided you move to a plan with a higher monthly access fee. You cannot change your plan during the minimum term to a plan with the same or lower monthly access fee. If you change your plan during the minimum term a fee may apply and any handset repayments will remain the same.</w:t>
      </w:r>
    </w:p>
    <w:p w14:paraId="54F04221" w14:textId="77777777" w:rsidR="00BA172C" w:rsidRPr="00B7364B" w:rsidRDefault="00BA172C" w:rsidP="00BA172C">
      <w:pPr>
        <w:numPr>
          <w:ilvl w:val="5"/>
          <w:numId w:val="1"/>
        </w:numPr>
        <w:spacing w:after="200"/>
        <w:outlineLvl w:val="5"/>
        <w:rPr>
          <w:rFonts w:eastAsia="Times New Roman"/>
          <w:bCs/>
          <w:snapToGrid w:val="0"/>
          <w:sz w:val="20"/>
          <w:szCs w:val="22"/>
        </w:rPr>
      </w:pPr>
      <w:bookmarkStart w:id="1796" w:name="_Toc479674713"/>
      <w:r w:rsidRPr="00B7364B">
        <w:rPr>
          <w:rFonts w:eastAsia="Times New Roman"/>
          <w:bCs/>
          <w:snapToGrid w:val="0"/>
          <w:sz w:val="20"/>
          <w:szCs w:val="22"/>
        </w:rPr>
        <w:t>New Phone Trade Up</w:t>
      </w:r>
      <w:bookmarkEnd w:id="1796"/>
    </w:p>
    <w:p w14:paraId="2025D063" w14:textId="77777777" w:rsidR="00BA172C" w:rsidRPr="00B7364B" w:rsidRDefault="00BA172C" w:rsidP="00BA172C">
      <w:pPr>
        <w:spacing w:after="200"/>
        <w:ind w:left="720"/>
        <w:rPr>
          <w:sz w:val="20"/>
        </w:rPr>
      </w:pPr>
      <w:r w:rsidRPr="00B7364B">
        <w:rPr>
          <w:sz w:val="20"/>
        </w:rPr>
        <w:t>The plans referred to in this section include the option of New Phone Trade Up, which can be exercised in two ways:</w:t>
      </w:r>
    </w:p>
    <w:p w14:paraId="65B81970" w14:textId="77777777" w:rsidR="00BA172C" w:rsidRPr="00B7364B" w:rsidRDefault="00BA172C" w:rsidP="00BA172C">
      <w:pPr>
        <w:numPr>
          <w:ilvl w:val="6"/>
          <w:numId w:val="1"/>
        </w:numPr>
        <w:spacing w:after="200"/>
        <w:ind w:left="1440"/>
        <w:outlineLvl w:val="6"/>
        <w:rPr>
          <w:rFonts w:eastAsia="Times New Roman"/>
          <w:sz w:val="20"/>
        </w:rPr>
      </w:pPr>
      <w:r w:rsidRPr="00B7364B">
        <w:rPr>
          <w:rFonts w:eastAsia="Times New Roman"/>
          <w:sz w:val="20"/>
        </w:rPr>
        <w:t>New Phone Trade Up for $99</w:t>
      </w:r>
    </w:p>
    <w:p w14:paraId="62B4D5B9" w14:textId="77777777" w:rsidR="00BA172C" w:rsidRPr="00B7364B" w:rsidRDefault="00BA172C" w:rsidP="00BA172C">
      <w:pPr>
        <w:numPr>
          <w:ilvl w:val="7"/>
          <w:numId w:val="1"/>
        </w:numPr>
        <w:spacing w:after="200"/>
        <w:outlineLvl w:val="7"/>
        <w:rPr>
          <w:rFonts w:eastAsia="Times New Roman"/>
          <w:iCs/>
          <w:sz w:val="20"/>
        </w:rPr>
      </w:pPr>
      <w:r w:rsidRPr="00B7364B">
        <w:rPr>
          <w:rFonts w:eastAsia="Times New Roman"/>
          <w:iCs/>
          <w:sz w:val="20"/>
        </w:rPr>
        <w:t>After 12 months on one of these plans, you can pay a one fee of $99, return your original mobile phone to a Yes Optus store in good working order, purchase a new mobile phone on a new 24 month plan and sign documentation that will enable ownership of your original mobile phone to be transferred to a second hand dealer nominated by Optus.</w:t>
      </w:r>
    </w:p>
    <w:p w14:paraId="4E77F399" w14:textId="77777777" w:rsidR="00BA172C" w:rsidRPr="00B7364B" w:rsidRDefault="00BA172C" w:rsidP="00BA172C">
      <w:pPr>
        <w:numPr>
          <w:ilvl w:val="7"/>
          <w:numId w:val="1"/>
        </w:numPr>
        <w:spacing w:after="200"/>
        <w:outlineLvl w:val="7"/>
        <w:rPr>
          <w:rFonts w:eastAsia="Times New Roman"/>
          <w:iCs/>
          <w:sz w:val="20"/>
        </w:rPr>
      </w:pPr>
      <w:r w:rsidRPr="00B7364B">
        <w:rPr>
          <w:rFonts w:eastAsia="Times New Roman"/>
          <w:iCs/>
          <w:sz w:val="20"/>
        </w:rPr>
        <w:t>A mobile phone is considered to be in good working order when :</w:t>
      </w:r>
    </w:p>
    <w:p w14:paraId="6AC902CE" w14:textId="77777777" w:rsidR="00BA172C" w:rsidRPr="00B7364B" w:rsidRDefault="00BA172C" w:rsidP="00BA172C">
      <w:pPr>
        <w:numPr>
          <w:ilvl w:val="8"/>
          <w:numId w:val="1"/>
        </w:numPr>
        <w:spacing w:after="200"/>
        <w:outlineLvl w:val="8"/>
        <w:rPr>
          <w:rFonts w:eastAsia="Times New Roman"/>
          <w:sz w:val="20"/>
          <w:szCs w:val="22"/>
        </w:rPr>
      </w:pPr>
      <w:r w:rsidRPr="00B7364B">
        <w:rPr>
          <w:rFonts w:eastAsia="Times New Roman"/>
          <w:sz w:val="20"/>
          <w:szCs w:val="22"/>
        </w:rPr>
        <w:t xml:space="preserve">it can power on and off, </w:t>
      </w:r>
    </w:p>
    <w:p w14:paraId="3C7D8AF4" w14:textId="77777777" w:rsidR="00BA172C" w:rsidRPr="00B7364B" w:rsidRDefault="00BA172C" w:rsidP="00BA172C">
      <w:pPr>
        <w:numPr>
          <w:ilvl w:val="8"/>
          <w:numId w:val="1"/>
        </w:numPr>
        <w:spacing w:after="200"/>
        <w:outlineLvl w:val="8"/>
        <w:rPr>
          <w:rFonts w:eastAsia="Times New Roman"/>
          <w:sz w:val="20"/>
          <w:szCs w:val="22"/>
        </w:rPr>
      </w:pPr>
      <w:r w:rsidRPr="00B7364B">
        <w:rPr>
          <w:rFonts w:eastAsia="Times New Roman"/>
          <w:sz w:val="20"/>
          <w:szCs w:val="22"/>
        </w:rPr>
        <w:t xml:space="preserve">it has a touchscreen that is fully functional and has no imperfections such as lines or marks, </w:t>
      </w:r>
    </w:p>
    <w:p w14:paraId="37487EB2" w14:textId="77777777" w:rsidR="00BA172C" w:rsidRPr="00B7364B" w:rsidRDefault="00BA172C" w:rsidP="00BA172C">
      <w:pPr>
        <w:numPr>
          <w:ilvl w:val="8"/>
          <w:numId w:val="1"/>
        </w:numPr>
        <w:spacing w:after="200"/>
        <w:outlineLvl w:val="8"/>
        <w:rPr>
          <w:rFonts w:eastAsia="Times New Roman"/>
          <w:sz w:val="20"/>
          <w:szCs w:val="22"/>
        </w:rPr>
      </w:pPr>
      <w:r w:rsidRPr="00B7364B">
        <w:rPr>
          <w:rFonts w:eastAsia="Times New Roman"/>
          <w:sz w:val="20"/>
          <w:szCs w:val="22"/>
        </w:rPr>
        <w:t xml:space="preserve">it does not have any missing buttons or damage to other components such as charging ports, SIM tray, </w:t>
      </w:r>
    </w:p>
    <w:p w14:paraId="73313426" w14:textId="77777777" w:rsidR="00BA172C" w:rsidRPr="00B7364B" w:rsidRDefault="00BA172C" w:rsidP="00BA172C">
      <w:pPr>
        <w:numPr>
          <w:ilvl w:val="8"/>
          <w:numId w:val="1"/>
        </w:numPr>
        <w:spacing w:after="200"/>
        <w:outlineLvl w:val="8"/>
        <w:rPr>
          <w:rFonts w:eastAsia="Times New Roman"/>
          <w:sz w:val="20"/>
          <w:szCs w:val="22"/>
        </w:rPr>
      </w:pPr>
      <w:r w:rsidRPr="00B7364B">
        <w:rPr>
          <w:rFonts w:eastAsia="Times New Roman"/>
          <w:sz w:val="20"/>
          <w:szCs w:val="22"/>
        </w:rPr>
        <w:t xml:space="preserve">the mobile phone (including the touchscreen) is not cracked and does not have any severe scratches (normal wear and tear such as light marks and scratches are okay); and </w:t>
      </w:r>
    </w:p>
    <w:p w14:paraId="41AA8C91" w14:textId="77777777" w:rsidR="00BA172C" w:rsidRPr="00B7364B" w:rsidRDefault="00BA172C" w:rsidP="00BA172C">
      <w:pPr>
        <w:numPr>
          <w:ilvl w:val="8"/>
          <w:numId w:val="1"/>
        </w:numPr>
        <w:spacing w:after="200"/>
        <w:outlineLvl w:val="8"/>
        <w:rPr>
          <w:rFonts w:eastAsia="Times New Roman"/>
          <w:sz w:val="20"/>
          <w:szCs w:val="22"/>
        </w:rPr>
      </w:pPr>
      <w:r w:rsidRPr="00B7364B">
        <w:rPr>
          <w:rFonts w:eastAsia="Times New Roman"/>
          <w:sz w:val="20"/>
          <w:szCs w:val="22"/>
        </w:rPr>
        <w:t xml:space="preserve">any locking features are disabled. </w:t>
      </w:r>
    </w:p>
    <w:p w14:paraId="46DF6CC5" w14:textId="77777777" w:rsidR="00BA172C" w:rsidRPr="00B7364B" w:rsidRDefault="00BA172C" w:rsidP="00BA172C">
      <w:pPr>
        <w:numPr>
          <w:ilvl w:val="7"/>
          <w:numId w:val="1"/>
        </w:numPr>
        <w:spacing w:after="200"/>
        <w:outlineLvl w:val="7"/>
        <w:rPr>
          <w:rFonts w:eastAsia="Times New Roman"/>
          <w:iCs/>
          <w:sz w:val="20"/>
        </w:rPr>
      </w:pPr>
      <w:r w:rsidRPr="00B7364B">
        <w:rPr>
          <w:rFonts w:eastAsia="Times New Roman"/>
          <w:iCs/>
          <w:sz w:val="20"/>
        </w:rPr>
        <w:t>The mobile phone you return in accordance with section 3.7(a) must be the mobile phone you purchased when you took up one of the plans referred to in this section.</w:t>
      </w:r>
    </w:p>
    <w:p w14:paraId="045C9018" w14:textId="77777777" w:rsidR="00BA172C" w:rsidRPr="00B7364B" w:rsidRDefault="00BA172C" w:rsidP="00BA172C">
      <w:pPr>
        <w:numPr>
          <w:ilvl w:val="7"/>
          <w:numId w:val="1"/>
        </w:numPr>
        <w:spacing w:after="200"/>
        <w:outlineLvl w:val="7"/>
        <w:rPr>
          <w:rFonts w:eastAsia="Times New Roman"/>
          <w:iCs/>
          <w:sz w:val="20"/>
        </w:rPr>
      </w:pPr>
      <w:r w:rsidRPr="00B7364B">
        <w:rPr>
          <w:rFonts w:eastAsia="Times New Roman"/>
          <w:iCs/>
          <w:sz w:val="20"/>
        </w:rPr>
        <w:t>When you seek to exercise this option and meet the relevant conditions, Optus agrees to waive any remaining mobile phone repayment charges on the mobile phone you are returning.</w:t>
      </w:r>
    </w:p>
    <w:p w14:paraId="6E10A9FB" w14:textId="77777777" w:rsidR="00BA172C" w:rsidRPr="00B7364B" w:rsidRDefault="00BA172C" w:rsidP="00BA172C">
      <w:pPr>
        <w:numPr>
          <w:ilvl w:val="7"/>
          <w:numId w:val="1"/>
        </w:numPr>
        <w:spacing w:after="200"/>
        <w:outlineLvl w:val="7"/>
        <w:rPr>
          <w:rFonts w:eastAsia="Times New Roman"/>
          <w:iCs/>
          <w:sz w:val="20"/>
        </w:rPr>
      </w:pPr>
      <w:r w:rsidRPr="00B7364B">
        <w:rPr>
          <w:rFonts w:eastAsia="Times New Roman"/>
          <w:iCs/>
          <w:sz w:val="20"/>
        </w:rPr>
        <w:t>By exercising this option, you acknowledge that the second hand device vendor will pay Optus a fee on your behalf for the mobile phone you return in part consideration of Optus waiving your remaining mobile phone repayments on the phone you are returning.</w:t>
      </w:r>
    </w:p>
    <w:p w14:paraId="1055E40B" w14:textId="77777777" w:rsidR="00BA172C" w:rsidRPr="00B7364B" w:rsidRDefault="00BA172C" w:rsidP="00BA172C">
      <w:pPr>
        <w:numPr>
          <w:ilvl w:val="6"/>
          <w:numId w:val="1"/>
        </w:numPr>
        <w:spacing w:after="200"/>
        <w:ind w:left="1440"/>
        <w:outlineLvl w:val="6"/>
        <w:rPr>
          <w:rFonts w:eastAsia="Times New Roman"/>
          <w:sz w:val="20"/>
        </w:rPr>
      </w:pPr>
      <w:r w:rsidRPr="00B7364B">
        <w:rPr>
          <w:rFonts w:eastAsia="Times New Roman"/>
          <w:sz w:val="20"/>
        </w:rPr>
        <w:t>Keep existing mobile phone</w:t>
      </w:r>
    </w:p>
    <w:p w14:paraId="4A1A362A" w14:textId="77777777" w:rsidR="00BA172C" w:rsidRPr="00B7364B" w:rsidRDefault="00BA172C" w:rsidP="00BA172C">
      <w:pPr>
        <w:spacing w:after="200"/>
        <w:ind w:left="1440"/>
        <w:rPr>
          <w:sz w:val="20"/>
        </w:rPr>
      </w:pPr>
      <w:r w:rsidRPr="00B7364B">
        <w:rPr>
          <w:sz w:val="20"/>
        </w:rPr>
        <w:t>Alternatively and instead of paying $99, if you wish to keep your original mobile handset, you can simply pay out the full remaining cost of your mobile handset, including any monthly handset credit that Optus was going to cover and purchase a new mobile phone on a new plan.</w:t>
      </w:r>
    </w:p>
    <w:p w14:paraId="6A9CBDA0" w14:textId="77777777" w:rsidR="00BA172C" w:rsidRPr="00B7364B" w:rsidRDefault="00BA172C" w:rsidP="00BA172C">
      <w:pPr>
        <w:numPr>
          <w:ilvl w:val="5"/>
          <w:numId w:val="1"/>
        </w:numPr>
        <w:spacing w:after="200"/>
        <w:outlineLvl w:val="5"/>
        <w:rPr>
          <w:rFonts w:eastAsia="Times New Roman"/>
          <w:bCs/>
          <w:snapToGrid w:val="0"/>
          <w:sz w:val="20"/>
          <w:szCs w:val="22"/>
        </w:rPr>
      </w:pPr>
      <w:bookmarkStart w:id="1797" w:name="_Toc479674714"/>
      <w:r w:rsidRPr="00B7364B">
        <w:rPr>
          <w:rFonts w:eastAsia="Times New Roman"/>
          <w:bCs/>
          <w:snapToGrid w:val="0"/>
          <w:sz w:val="20"/>
          <w:szCs w:val="22"/>
        </w:rPr>
        <w:t>Data Sharing</w:t>
      </w:r>
      <w:bookmarkEnd w:id="1797"/>
    </w:p>
    <w:p w14:paraId="1A239133" w14:textId="77777777" w:rsidR="00BA172C" w:rsidRPr="00B7364B" w:rsidRDefault="00BA172C" w:rsidP="00BA172C">
      <w:pPr>
        <w:numPr>
          <w:ilvl w:val="6"/>
          <w:numId w:val="1"/>
        </w:numPr>
        <w:spacing w:after="200"/>
        <w:ind w:left="1440"/>
        <w:outlineLvl w:val="6"/>
        <w:rPr>
          <w:rFonts w:eastAsia="Times New Roman"/>
          <w:snapToGrid w:val="0"/>
          <w:sz w:val="20"/>
        </w:rPr>
      </w:pPr>
      <w:r w:rsidRPr="00B7364B">
        <w:rPr>
          <w:rFonts w:eastAsia="Times New Roman"/>
          <w:snapToGrid w:val="0"/>
          <w:sz w:val="20"/>
        </w:rPr>
        <w:t xml:space="preserve">If </w:t>
      </w:r>
      <w:r w:rsidRPr="00B7364B">
        <w:rPr>
          <w:rFonts w:eastAsia="Times New Roman"/>
          <w:i/>
          <w:snapToGrid w:val="0"/>
          <w:sz w:val="20"/>
        </w:rPr>
        <w:t xml:space="preserve">you </w:t>
      </w:r>
      <w:r w:rsidRPr="00B7364B">
        <w:rPr>
          <w:rFonts w:eastAsia="Times New Roman"/>
          <w:sz w:val="20"/>
          <w:lang w:eastAsia="en-AU"/>
        </w:rPr>
        <w:t xml:space="preserve">have more than one </w:t>
      </w:r>
      <w:r w:rsidRPr="00B7364B">
        <w:rPr>
          <w:rFonts w:eastAsia="Times New Roman"/>
          <w:sz w:val="20"/>
        </w:rPr>
        <w:t>My Plan Plus</w:t>
      </w:r>
      <w:r w:rsidRPr="00B7364B">
        <w:rPr>
          <w:rFonts w:eastAsia="Times New Roman"/>
          <w:sz w:val="20"/>
          <w:lang w:eastAsia="en-AU"/>
        </w:rPr>
        <w:t xml:space="preserve">, My Plan Plus SIM Only, My Plan Business (including Tech Fund), My Plan Business SIM, My Mobile Broadband Plus or Mobile Broadband Business on </w:t>
      </w:r>
      <w:r w:rsidRPr="00B7364B">
        <w:rPr>
          <w:rFonts w:eastAsia="Times New Roman"/>
          <w:sz w:val="20"/>
          <w:lang w:eastAsia="en-AU"/>
        </w:rPr>
        <w:lastRenderedPageBreak/>
        <w:t>the same billing account, the included data will combine into one data pool, which will be shared by all eligible services on that account.</w:t>
      </w:r>
    </w:p>
    <w:p w14:paraId="6185FE7C" w14:textId="77777777" w:rsidR="00BA172C" w:rsidRPr="00B7364B" w:rsidRDefault="00BA172C" w:rsidP="00BA172C">
      <w:pPr>
        <w:numPr>
          <w:ilvl w:val="6"/>
          <w:numId w:val="1"/>
        </w:numPr>
        <w:spacing w:after="200"/>
        <w:ind w:left="1440"/>
        <w:outlineLvl w:val="6"/>
        <w:rPr>
          <w:rFonts w:eastAsia="Times New Roman"/>
          <w:snapToGrid w:val="0"/>
          <w:sz w:val="20"/>
        </w:rPr>
      </w:pPr>
      <w:r w:rsidRPr="00B7364B">
        <w:rPr>
          <w:rFonts w:eastAsia="Times New Roman"/>
          <w:snapToGrid w:val="0"/>
          <w:sz w:val="20"/>
        </w:rPr>
        <w:t xml:space="preserve">If </w:t>
      </w:r>
      <w:r w:rsidRPr="00B7364B">
        <w:rPr>
          <w:rFonts w:eastAsia="Times New Roman"/>
          <w:i/>
          <w:snapToGrid w:val="0"/>
          <w:sz w:val="20"/>
        </w:rPr>
        <w:t>you</w:t>
      </w:r>
      <w:r w:rsidRPr="00B7364B">
        <w:rPr>
          <w:rFonts w:eastAsia="Times New Roman"/>
          <w:snapToGrid w:val="0"/>
          <w:sz w:val="20"/>
        </w:rPr>
        <w:t xml:space="preserve"> do not want </w:t>
      </w:r>
      <w:r w:rsidRPr="00B7364B">
        <w:rPr>
          <w:rFonts w:eastAsia="Times New Roman"/>
          <w:i/>
          <w:snapToGrid w:val="0"/>
          <w:sz w:val="20"/>
        </w:rPr>
        <w:t>your</w:t>
      </w:r>
      <w:r w:rsidRPr="00B7364B">
        <w:rPr>
          <w:rFonts w:eastAsia="Times New Roman"/>
          <w:snapToGrid w:val="0"/>
          <w:sz w:val="20"/>
        </w:rPr>
        <w:t xml:space="preserve"> services on any</w:t>
      </w:r>
      <w:r w:rsidRPr="00B7364B">
        <w:rPr>
          <w:rFonts w:eastAsia="Times New Roman"/>
          <w:sz w:val="20"/>
        </w:rPr>
        <w:t xml:space="preserve"> My Plan Plus</w:t>
      </w:r>
      <w:r w:rsidRPr="00B7364B">
        <w:rPr>
          <w:rFonts w:eastAsia="Times New Roman"/>
          <w:sz w:val="20"/>
          <w:lang w:eastAsia="en-AU"/>
        </w:rPr>
        <w:t>, My Plan Plus SIM Only, My Plan Business (including Tech Fund), My Plan Business SIM, My Mobile Broadband Plus or Mobile Broadband Business plans</w:t>
      </w:r>
      <w:r w:rsidRPr="00B7364B">
        <w:rPr>
          <w:rFonts w:eastAsia="Times New Roman"/>
          <w:snapToGrid w:val="0"/>
          <w:sz w:val="20"/>
        </w:rPr>
        <w:t xml:space="preserve"> to share data, they need to be on separate billing accounts. .</w:t>
      </w:r>
    </w:p>
    <w:p w14:paraId="6C80B449" w14:textId="77777777" w:rsidR="00BA172C" w:rsidRPr="00B7364B" w:rsidRDefault="00BA172C" w:rsidP="00BA172C">
      <w:pPr>
        <w:numPr>
          <w:ilvl w:val="6"/>
          <w:numId w:val="1"/>
        </w:numPr>
        <w:spacing w:after="200"/>
        <w:ind w:left="1440"/>
        <w:outlineLvl w:val="6"/>
        <w:rPr>
          <w:rFonts w:eastAsia="Times New Roman"/>
          <w:snapToGrid w:val="0"/>
          <w:sz w:val="20"/>
        </w:rPr>
      </w:pPr>
      <w:r w:rsidRPr="00B7364B">
        <w:rPr>
          <w:rFonts w:eastAsia="Times New Roman"/>
          <w:snapToGrid w:val="0"/>
          <w:sz w:val="20"/>
        </w:rPr>
        <w:t>Data sharing is only available within Australia.</w:t>
      </w:r>
    </w:p>
    <w:p w14:paraId="20913B2C" w14:textId="77777777" w:rsidR="00BA172C" w:rsidRPr="00B7364B" w:rsidRDefault="00BA172C" w:rsidP="00BA172C">
      <w:pPr>
        <w:numPr>
          <w:ilvl w:val="5"/>
          <w:numId w:val="1"/>
        </w:numPr>
        <w:spacing w:after="200"/>
        <w:outlineLvl w:val="5"/>
        <w:rPr>
          <w:rFonts w:eastAsia="Times New Roman"/>
          <w:bCs/>
          <w:snapToGrid w:val="0"/>
          <w:sz w:val="20"/>
          <w:szCs w:val="22"/>
        </w:rPr>
      </w:pPr>
      <w:bookmarkStart w:id="1798" w:name="_Toc479674715"/>
      <w:r w:rsidRPr="00B7364B">
        <w:rPr>
          <w:rFonts w:eastAsia="Times New Roman"/>
          <w:bCs/>
          <w:snapToGrid w:val="0"/>
          <w:sz w:val="20"/>
          <w:szCs w:val="22"/>
        </w:rPr>
        <w:t>International Minutes</w:t>
      </w:r>
      <w:bookmarkEnd w:id="1798"/>
    </w:p>
    <w:p w14:paraId="7E97DB20" w14:textId="77777777" w:rsidR="00BA172C" w:rsidRPr="00B7364B" w:rsidRDefault="00BA172C" w:rsidP="00BA172C">
      <w:pPr>
        <w:spacing w:after="200"/>
        <w:ind w:left="720"/>
        <w:rPr>
          <w:sz w:val="20"/>
        </w:rPr>
      </w:pPr>
      <w:r w:rsidRPr="00B7364B">
        <w:rPr>
          <w:sz w:val="20"/>
        </w:rPr>
        <w:t>The $40/$55/$70 My Plan Business include up to 300/400/500 international minutes (respectively) for standard calls to mobiles and fixed lines in selected countries. For a list of selected countries see Table 3 below.</w:t>
      </w:r>
    </w:p>
    <w:p w14:paraId="22BE5A28" w14:textId="77777777" w:rsidR="00BA172C" w:rsidRPr="00B7364B" w:rsidRDefault="00BA172C" w:rsidP="00BA172C">
      <w:pPr>
        <w:spacing w:after="200"/>
        <w:ind w:left="720"/>
        <w:rPr>
          <w:sz w:val="20"/>
        </w:rPr>
      </w:pPr>
      <w:r w:rsidRPr="00B7364B">
        <w:rPr>
          <w:sz w:val="20"/>
        </w:rPr>
        <w:t xml:space="preserve">Calls are charged per minute. When included minutes for calls to selected countries are used up, standard 'yes' international call charges apply. </w:t>
      </w:r>
    </w:p>
    <w:p w14:paraId="7B9569FF" w14:textId="77777777" w:rsidR="00BA172C" w:rsidRPr="00801DBA" w:rsidRDefault="00BA172C" w:rsidP="00BA172C">
      <w:pPr>
        <w:numPr>
          <w:ilvl w:val="5"/>
          <w:numId w:val="1"/>
        </w:numPr>
        <w:spacing w:after="200"/>
        <w:outlineLvl w:val="5"/>
        <w:rPr>
          <w:rFonts w:eastAsia="Times New Roman"/>
          <w:bCs/>
          <w:snapToGrid w:val="0"/>
          <w:sz w:val="20"/>
          <w:szCs w:val="20"/>
        </w:rPr>
      </w:pPr>
      <w:bookmarkStart w:id="1799" w:name="_Toc479674716"/>
      <w:r w:rsidRPr="00801DBA">
        <w:rPr>
          <w:rFonts w:eastAsia="Times New Roman"/>
          <w:bCs/>
          <w:snapToGrid w:val="0"/>
          <w:sz w:val="20"/>
          <w:szCs w:val="20"/>
        </w:rPr>
        <w:t>Unlimited standard national SMS and MMS</w:t>
      </w:r>
      <w:bookmarkEnd w:id="1799"/>
    </w:p>
    <w:p w14:paraId="2E10680E" w14:textId="77777777" w:rsidR="00BA172C" w:rsidRPr="00801DBA" w:rsidRDefault="00BA172C" w:rsidP="00BA172C">
      <w:pPr>
        <w:spacing w:after="200"/>
        <w:ind w:left="720"/>
        <w:rPr>
          <w:sz w:val="20"/>
          <w:szCs w:val="20"/>
        </w:rPr>
      </w:pPr>
      <w:r w:rsidRPr="00801DBA">
        <w:rPr>
          <w:i/>
          <w:sz w:val="20"/>
          <w:szCs w:val="20"/>
        </w:rPr>
        <w:t>You</w:t>
      </w:r>
      <w:r w:rsidRPr="00801DBA">
        <w:rPr>
          <w:sz w:val="20"/>
          <w:szCs w:val="20"/>
        </w:rPr>
        <w:t xml:space="preserve"> may send unlimited standard SMS and MMS to Australian mobiles from within Australia.</w:t>
      </w:r>
    </w:p>
    <w:p w14:paraId="4674A3D9" w14:textId="77777777" w:rsidR="00BA172C" w:rsidRPr="00801DBA" w:rsidRDefault="00BA172C" w:rsidP="00BA172C">
      <w:pPr>
        <w:spacing w:after="200"/>
        <w:ind w:left="720"/>
        <w:rPr>
          <w:i/>
          <w:color w:val="13607C"/>
          <w:sz w:val="20"/>
          <w:szCs w:val="20"/>
          <w:u w:val="single"/>
        </w:rPr>
      </w:pPr>
      <w:r w:rsidRPr="00801DBA">
        <w:rPr>
          <w:sz w:val="20"/>
          <w:szCs w:val="20"/>
        </w:rPr>
        <w:t xml:space="preserve">Unlimited standard national SMS and MMS are only available for personal and ordinary business use and are not to be used for a commercial or non-ordinary purpose as set out in the </w:t>
      </w:r>
      <w:hyperlink r:id="rId785" w:history="1">
        <w:r w:rsidRPr="00801DBA">
          <w:rPr>
            <w:rFonts w:cs="Arial"/>
            <w:i/>
            <w:color w:val="13607C"/>
            <w:sz w:val="20"/>
            <w:szCs w:val="20"/>
            <w:u w:val="single"/>
          </w:rPr>
          <w:t>Fair Go Policy</w:t>
        </w:r>
      </w:hyperlink>
      <w:r w:rsidRPr="00801DBA">
        <w:rPr>
          <w:sz w:val="20"/>
          <w:szCs w:val="20"/>
        </w:rPr>
        <w:t xml:space="preserve">. For further details refer to </w:t>
      </w:r>
      <w:hyperlink r:id="rId786" w:history="1">
        <w:r w:rsidRPr="00801DBA">
          <w:rPr>
            <w:i/>
            <w:color w:val="13607C"/>
            <w:sz w:val="20"/>
            <w:szCs w:val="20"/>
            <w:u w:val="single"/>
          </w:rPr>
          <w:t>Appendix S</w:t>
        </w:r>
      </w:hyperlink>
      <w:r w:rsidRPr="00801DBA">
        <w:rPr>
          <w:i/>
          <w:sz w:val="20"/>
          <w:szCs w:val="20"/>
        </w:rPr>
        <w:t>.</w:t>
      </w:r>
    </w:p>
    <w:p w14:paraId="03BE8F9B" w14:textId="77777777" w:rsidR="00BA172C" w:rsidRPr="00801DBA" w:rsidRDefault="00BA172C" w:rsidP="00BA172C">
      <w:pPr>
        <w:numPr>
          <w:ilvl w:val="5"/>
          <w:numId w:val="1"/>
        </w:numPr>
        <w:spacing w:after="200"/>
        <w:outlineLvl w:val="5"/>
        <w:rPr>
          <w:rFonts w:eastAsia="Times New Roman"/>
          <w:bCs/>
          <w:snapToGrid w:val="0"/>
          <w:sz w:val="20"/>
          <w:szCs w:val="20"/>
        </w:rPr>
      </w:pPr>
      <w:bookmarkStart w:id="1800" w:name="_Toc479674717"/>
      <w:r w:rsidRPr="00801DBA">
        <w:rPr>
          <w:rFonts w:eastAsia="Times New Roman"/>
          <w:bCs/>
          <w:snapToGrid w:val="0"/>
          <w:sz w:val="20"/>
          <w:szCs w:val="20"/>
        </w:rPr>
        <w:t>Unlimited standard international SMS and MMS</w:t>
      </w:r>
      <w:bookmarkEnd w:id="1800"/>
    </w:p>
    <w:p w14:paraId="4097E3A2" w14:textId="77777777" w:rsidR="00BA172C" w:rsidRPr="00801DBA" w:rsidRDefault="00BA172C" w:rsidP="00BA172C">
      <w:pPr>
        <w:spacing w:after="200"/>
        <w:ind w:left="720"/>
        <w:rPr>
          <w:sz w:val="20"/>
          <w:szCs w:val="20"/>
        </w:rPr>
      </w:pPr>
      <w:r w:rsidRPr="00801DBA">
        <w:rPr>
          <w:i/>
          <w:sz w:val="20"/>
          <w:szCs w:val="20"/>
        </w:rPr>
        <w:t>You</w:t>
      </w:r>
      <w:r w:rsidRPr="00801DBA">
        <w:rPr>
          <w:sz w:val="20"/>
          <w:szCs w:val="20"/>
        </w:rPr>
        <w:t xml:space="preserve"> may send unlimited standard SMS and MMS to selected countries as set out in Table 3 below.</w:t>
      </w:r>
    </w:p>
    <w:p w14:paraId="1E048BC8" w14:textId="77777777" w:rsidR="00BA172C" w:rsidRPr="00801DBA" w:rsidRDefault="00BA172C" w:rsidP="00BA172C">
      <w:pPr>
        <w:spacing w:after="200"/>
        <w:ind w:left="720"/>
        <w:rPr>
          <w:i/>
          <w:sz w:val="20"/>
          <w:szCs w:val="20"/>
        </w:rPr>
      </w:pPr>
      <w:r w:rsidRPr="00801DBA">
        <w:rPr>
          <w:sz w:val="20"/>
          <w:szCs w:val="20"/>
        </w:rPr>
        <w:t xml:space="preserve">Unlimited standard SMS and MMS are only available for personal and ordinary business use and are not to be used for a commercial or non-ordinary purpose as set out in the Fair Go Policy. For further details refer to </w:t>
      </w:r>
      <w:hyperlink r:id="rId787" w:history="1">
        <w:r w:rsidRPr="00801DBA">
          <w:rPr>
            <w:i/>
            <w:color w:val="13607C"/>
            <w:sz w:val="20"/>
            <w:szCs w:val="20"/>
            <w:u w:val="single"/>
          </w:rPr>
          <w:t>Appendix S</w:t>
        </w:r>
      </w:hyperlink>
      <w:r w:rsidRPr="00801DBA">
        <w:rPr>
          <w:i/>
          <w:sz w:val="20"/>
          <w:szCs w:val="20"/>
        </w:rPr>
        <w:t>.</w:t>
      </w:r>
    </w:p>
    <w:p w14:paraId="2F732789" w14:textId="77777777" w:rsidR="00BA172C" w:rsidRPr="00B7364B" w:rsidRDefault="00BA172C" w:rsidP="00BA172C">
      <w:pPr>
        <w:numPr>
          <w:ilvl w:val="5"/>
          <w:numId w:val="1"/>
        </w:numPr>
        <w:spacing w:after="200"/>
        <w:outlineLvl w:val="5"/>
        <w:rPr>
          <w:rFonts w:eastAsia="Times New Roman"/>
          <w:bCs/>
          <w:snapToGrid w:val="0"/>
          <w:sz w:val="20"/>
          <w:szCs w:val="22"/>
        </w:rPr>
      </w:pPr>
      <w:bookmarkStart w:id="1801" w:name="_Toc479674718"/>
      <w:r w:rsidRPr="00B7364B">
        <w:rPr>
          <w:rFonts w:eastAsia="Times New Roman"/>
          <w:bCs/>
          <w:snapToGrid w:val="0"/>
          <w:sz w:val="20"/>
          <w:szCs w:val="22"/>
        </w:rPr>
        <w:t>Optus Travel</w:t>
      </w:r>
      <w:r w:rsidRPr="00B7364B">
        <w:rPr>
          <w:rFonts w:eastAsia="Times New Roman"/>
          <w:bCs/>
          <w:snapToGrid w:val="0"/>
          <w:sz w:val="20"/>
          <w:szCs w:val="22"/>
          <w:vertAlign w:val="superscript"/>
        </w:rPr>
        <w:t xml:space="preserve">TM </w:t>
      </w:r>
      <w:r w:rsidRPr="00B7364B">
        <w:rPr>
          <w:rFonts w:eastAsia="Times New Roman"/>
          <w:bCs/>
          <w:snapToGrid w:val="0"/>
          <w:sz w:val="20"/>
          <w:szCs w:val="22"/>
        </w:rPr>
        <w:t>Pack</w:t>
      </w:r>
      <w:bookmarkEnd w:id="1801"/>
      <w:r w:rsidRPr="00B7364B">
        <w:rPr>
          <w:rFonts w:eastAsia="Times New Roman"/>
          <w:bCs/>
          <w:snapToGrid w:val="0"/>
          <w:sz w:val="20"/>
          <w:szCs w:val="22"/>
        </w:rPr>
        <w:t xml:space="preserve"> </w:t>
      </w:r>
    </w:p>
    <w:p w14:paraId="6FC08F3A" w14:textId="77777777" w:rsidR="00BA172C" w:rsidRPr="00B7364B" w:rsidRDefault="00BA172C" w:rsidP="00BA172C">
      <w:pPr>
        <w:spacing w:after="200"/>
        <w:ind w:left="720"/>
        <w:rPr>
          <w:snapToGrid w:val="0"/>
          <w:sz w:val="20"/>
        </w:rPr>
      </w:pPr>
      <w:r w:rsidRPr="00B7364B">
        <w:rPr>
          <w:i/>
          <w:snapToGrid w:val="0"/>
          <w:sz w:val="20"/>
        </w:rPr>
        <w:t>You</w:t>
      </w:r>
      <w:r w:rsidRPr="00B7364B">
        <w:rPr>
          <w:snapToGrid w:val="0"/>
          <w:sz w:val="20"/>
        </w:rPr>
        <w:t xml:space="preserve"> need to ensure your Optus Travel</w:t>
      </w:r>
      <w:r w:rsidRPr="00B7364B">
        <w:rPr>
          <w:snapToGrid w:val="0"/>
          <w:sz w:val="20"/>
          <w:vertAlign w:val="superscript"/>
        </w:rPr>
        <w:t>TM</w:t>
      </w:r>
      <w:r w:rsidRPr="00B7364B">
        <w:rPr>
          <w:snapToGrid w:val="0"/>
          <w:sz w:val="20"/>
        </w:rPr>
        <w:t xml:space="preserve"> Pack is active by contacting Optus prior to use. Optus Travel</w:t>
      </w:r>
      <w:r w:rsidRPr="00B7364B">
        <w:rPr>
          <w:snapToGrid w:val="0"/>
          <w:sz w:val="20"/>
          <w:vertAlign w:val="superscript"/>
        </w:rPr>
        <w:t>TM</w:t>
      </w:r>
      <w:r w:rsidRPr="00B7364B">
        <w:rPr>
          <w:snapToGrid w:val="0"/>
          <w:sz w:val="20"/>
        </w:rPr>
        <w:t xml:space="preserve"> Pack gives you unlimited standard national and international voice, SMS (MMS is excluded) plus 50MB of data to use in Zone 1 countries per day. For list of countries see optus.com.au/travel</w:t>
      </w:r>
    </w:p>
    <w:p w14:paraId="4943A9D1" w14:textId="77777777" w:rsidR="00BA172C" w:rsidRPr="00B7364B" w:rsidRDefault="00BA172C" w:rsidP="00BA172C">
      <w:pPr>
        <w:spacing w:after="200"/>
        <w:ind w:left="720"/>
        <w:rPr>
          <w:snapToGrid w:val="0"/>
          <w:sz w:val="20"/>
        </w:rPr>
      </w:pPr>
      <w:r w:rsidRPr="00B7364B">
        <w:rPr>
          <w:i/>
          <w:snapToGrid w:val="0"/>
          <w:sz w:val="20"/>
        </w:rPr>
        <w:t>You</w:t>
      </w:r>
      <w:r w:rsidRPr="00B7364B">
        <w:rPr>
          <w:snapToGrid w:val="0"/>
          <w:sz w:val="20"/>
        </w:rPr>
        <w:t xml:space="preserve"> can activate the Optus Travel</w:t>
      </w:r>
      <w:r w:rsidRPr="00B7364B">
        <w:rPr>
          <w:snapToGrid w:val="0"/>
          <w:sz w:val="20"/>
          <w:vertAlign w:val="superscript"/>
        </w:rPr>
        <w:t>TM</w:t>
      </w:r>
      <w:r w:rsidRPr="00B7364B">
        <w:rPr>
          <w:snapToGrid w:val="0"/>
          <w:sz w:val="20"/>
        </w:rPr>
        <w:t xml:space="preserve"> Pack on a day to day basis or multiple days at once. If you activate multiple consecutive days, the data allowance will accumulate, for example </w:t>
      </w:r>
      <w:r w:rsidRPr="00B7364B">
        <w:rPr>
          <w:bCs/>
          <w:snapToGrid w:val="0"/>
          <w:sz w:val="20"/>
        </w:rPr>
        <w:t>activate 5 consecutive days and use 250MB any time over the 5 day period. If you exceed the data limit, standard data roaming charges will apply. Any data provided as part of Optus Travel™ Pack is not shareable and will not form part of any Data Pool. Any unused days of Optus Travel™ Pack are forfeited and cannot be rolled over to the next billing month.</w:t>
      </w:r>
    </w:p>
    <w:p w14:paraId="43D6999B" w14:textId="77777777" w:rsidR="00BA172C" w:rsidRPr="00B7364B" w:rsidRDefault="00BA172C" w:rsidP="00BA172C">
      <w:pPr>
        <w:spacing w:after="200"/>
        <w:ind w:left="720"/>
        <w:rPr>
          <w:snapToGrid w:val="0"/>
          <w:sz w:val="20"/>
        </w:rPr>
      </w:pPr>
      <w:r w:rsidRPr="00B7364B">
        <w:rPr>
          <w:snapToGrid w:val="0"/>
          <w:sz w:val="20"/>
        </w:rPr>
        <w:t>If you are not in a Zone 1 country you will be charged at standard roaming rates for that country.</w:t>
      </w:r>
    </w:p>
    <w:p w14:paraId="1ACFB19E" w14:textId="77777777" w:rsidR="00BA172C" w:rsidRPr="00B7364B" w:rsidRDefault="00BA172C" w:rsidP="00BA172C">
      <w:pPr>
        <w:spacing w:after="200"/>
        <w:ind w:left="720"/>
        <w:rPr>
          <w:b/>
          <w:sz w:val="20"/>
        </w:rPr>
      </w:pPr>
      <w:r w:rsidRPr="00B7364B">
        <w:rPr>
          <w:b/>
          <w:sz w:val="20"/>
        </w:rPr>
        <w:t>Table 1 –Plan Inclusions and Charges</w:t>
      </w:r>
    </w:p>
    <w:tbl>
      <w:tblPr>
        <w:tblW w:w="3874"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2"/>
        <w:gridCol w:w="1468"/>
        <w:gridCol w:w="1470"/>
        <w:gridCol w:w="1468"/>
        <w:gridCol w:w="1471"/>
        <w:gridCol w:w="35"/>
      </w:tblGrid>
      <w:tr w:rsidR="00BA172C" w:rsidRPr="00B7364B" w14:paraId="00703E6A" w14:textId="77777777" w:rsidTr="00B95821">
        <w:trPr>
          <w:gridAfter w:val="1"/>
          <w:wAfter w:w="22" w:type="pct"/>
          <w:tblHeader/>
        </w:trPr>
        <w:tc>
          <w:tcPr>
            <w:tcW w:w="1255" w:type="pct"/>
            <w:shd w:val="clear" w:color="auto" w:fill="auto"/>
          </w:tcPr>
          <w:p w14:paraId="2CDDB9DD" w14:textId="77777777" w:rsidR="00BA172C" w:rsidRPr="00B7364B" w:rsidRDefault="00BA172C" w:rsidP="00B95821">
            <w:pPr>
              <w:spacing w:before="100" w:after="100"/>
              <w:rPr>
                <w:sz w:val="20"/>
                <w:szCs w:val="20"/>
              </w:rPr>
            </w:pPr>
          </w:p>
        </w:tc>
        <w:tc>
          <w:tcPr>
            <w:tcW w:w="930" w:type="pct"/>
          </w:tcPr>
          <w:p w14:paraId="5130275B" w14:textId="77777777" w:rsidR="00BA172C" w:rsidRPr="00B7364B" w:rsidRDefault="00BA172C" w:rsidP="00B95821">
            <w:pPr>
              <w:spacing w:before="100" w:after="100"/>
              <w:jc w:val="center"/>
              <w:rPr>
                <w:b/>
                <w:sz w:val="20"/>
                <w:szCs w:val="20"/>
              </w:rPr>
            </w:pPr>
            <w:r w:rsidRPr="00B7364B">
              <w:rPr>
                <w:b/>
                <w:sz w:val="20"/>
                <w:szCs w:val="20"/>
              </w:rPr>
              <w:t>$30 My Plan Business</w:t>
            </w:r>
          </w:p>
        </w:tc>
        <w:tc>
          <w:tcPr>
            <w:tcW w:w="931" w:type="pct"/>
            <w:shd w:val="clear" w:color="auto" w:fill="auto"/>
          </w:tcPr>
          <w:p w14:paraId="3F62A041" w14:textId="77777777" w:rsidR="00BA172C" w:rsidRPr="00B7364B" w:rsidRDefault="00BA172C" w:rsidP="00B95821">
            <w:pPr>
              <w:spacing w:before="100" w:after="100"/>
              <w:jc w:val="center"/>
              <w:rPr>
                <w:b/>
                <w:sz w:val="20"/>
                <w:szCs w:val="20"/>
              </w:rPr>
            </w:pPr>
            <w:r w:rsidRPr="00B7364B">
              <w:rPr>
                <w:b/>
                <w:sz w:val="20"/>
                <w:szCs w:val="20"/>
              </w:rPr>
              <w:t>$40 My Plan Business</w:t>
            </w:r>
          </w:p>
        </w:tc>
        <w:tc>
          <w:tcPr>
            <w:tcW w:w="930" w:type="pct"/>
            <w:shd w:val="clear" w:color="auto" w:fill="auto"/>
          </w:tcPr>
          <w:p w14:paraId="45AAC16B" w14:textId="77777777" w:rsidR="00BA172C" w:rsidRPr="00B7364B" w:rsidRDefault="00BA172C" w:rsidP="00B95821">
            <w:pPr>
              <w:spacing w:before="100" w:after="100"/>
              <w:jc w:val="center"/>
              <w:rPr>
                <w:b/>
                <w:sz w:val="20"/>
                <w:szCs w:val="20"/>
              </w:rPr>
            </w:pPr>
            <w:r w:rsidRPr="00B7364B">
              <w:rPr>
                <w:b/>
                <w:sz w:val="20"/>
                <w:szCs w:val="20"/>
              </w:rPr>
              <w:t>$55 My Plan Business</w:t>
            </w:r>
          </w:p>
        </w:tc>
        <w:tc>
          <w:tcPr>
            <w:tcW w:w="932" w:type="pct"/>
          </w:tcPr>
          <w:p w14:paraId="42CAFD9D" w14:textId="77777777" w:rsidR="00BA172C" w:rsidRPr="00B7364B" w:rsidRDefault="00BA172C" w:rsidP="00B95821">
            <w:pPr>
              <w:spacing w:before="100" w:after="100"/>
              <w:jc w:val="center"/>
              <w:rPr>
                <w:b/>
                <w:sz w:val="20"/>
                <w:szCs w:val="20"/>
              </w:rPr>
            </w:pPr>
            <w:r w:rsidRPr="00B7364B">
              <w:rPr>
                <w:b/>
                <w:sz w:val="20"/>
                <w:szCs w:val="20"/>
              </w:rPr>
              <w:t>$70 My Plan Business</w:t>
            </w:r>
          </w:p>
        </w:tc>
      </w:tr>
      <w:tr w:rsidR="00BA172C" w:rsidRPr="00B7364B" w14:paraId="40B1A6B7" w14:textId="77777777" w:rsidTr="00B95821">
        <w:trPr>
          <w:gridAfter w:val="1"/>
          <w:wAfter w:w="22" w:type="pct"/>
        </w:trPr>
        <w:tc>
          <w:tcPr>
            <w:tcW w:w="1255" w:type="pct"/>
            <w:shd w:val="clear" w:color="auto" w:fill="auto"/>
          </w:tcPr>
          <w:p w14:paraId="6D171BD5" w14:textId="77777777" w:rsidR="00BA172C" w:rsidRPr="00B7364B" w:rsidRDefault="00BA172C" w:rsidP="00B95821">
            <w:pPr>
              <w:spacing w:before="100" w:after="100"/>
              <w:rPr>
                <w:sz w:val="20"/>
                <w:szCs w:val="20"/>
              </w:rPr>
            </w:pPr>
            <w:r w:rsidRPr="00B7364B">
              <w:rPr>
                <w:b/>
                <w:bCs/>
                <w:sz w:val="20"/>
                <w:szCs w:val="20"/>
              </w:rPr>
              <w:t>Minimum Monthly charge</w:t>
            </w:r>
          </w:p>
        </w:tc>
        <w:tc>
          <w:tcPr>
            <w:tcW w:w="930" w:type="pct"/>
            <w:vAlign w:val="center"/>
          </w:tcPr>
          <w:p w14:paraId="2A93A47B" w14:textId="77777777" w:rsidR="00BA172C" w:rsidRPr="00B7364B" w:rsidRDefault="00BA172C" w:rsidP="00B95821">
            <w:pPr>
              <w:spacing w:before="100" w:after="100"/>
              <w:jc w:val="center"/>
              <w:rPr>
                <w:sz w:val="20"/>
                <w:szCs w:val="20"/>
              </w:rPr>
            </w:pPr>
            <w:r w:rsidRPr="00B7364B">
              <w:rPr>
                <w:sz w:val="20"/>
                <w:szCs w:val="20"/>
              </w:rPr>
              <w:t>$30</w:t>
            </w:r>
          </w:p>
        </w:tc>
        <w:tc>
          <w:tcPr>
            <w:tcW w:w="931" w:type="pct"/>
            <w:shd w:val="clear" w:color="auto" w:fill="auto"/>
            <w:vAlign w:val="center"/>
          </w:tcPr>
          <w:p w14:paraId="7D19C97D" w14:textId="77777777" w:rsidR="00BA172C" w:rsidRPr="00B7364B" w:rsidRDefault="00BA172C" w:rsidP="00B95821">
            <w:pPr>
              <w:spacing w:before="100" w:after="100"/>
              <w:jc w:val="center"/>
              <w:rPr>
                <w:sz w:val="20"/>
                <w:szCs w:val="20"/>
              </w:rPr>
            </w:pPr>
            <w:r w:rsidRPr="00B7364B">
              <w:rPr>
                <w:sz w:val="20"/>
                <w:szCs w:val="20"/>
              </w:rPr>
              <w:t>$40</w:t>
            </w:r>
          </w:p>
        </w:tc>
        <w:tc>
          <w:tcPr>
            <w:tcW w:w="930" w:type="pct"/>
            <w:shd w:val="clear" w:color="auto" w:fill="auto"/>
            <w:vAlign w:val="center"/>
          </w:tcPr>
          <w:p w14:paraId="6153B333" w14:textId="77777777" w:rsidR="00BA172C" w:rsidRPr="00B7364B" w:rsidRDefault="00BA172C" w:rsidP="00B95821">
            <w:pPr>
              <w:spacing w:before="100" w:after="100"/>
              <w:jc w:val="center"/>
              <w:rPr>
                <w:sz w:val="20"/>
                <w:szCs w:val="20"/>
              </w:rPr>
            </w:pPr>
            <w:r w:rsidRPr="00B7364B">
              <w:rPr>
                <w:sz w:val="20"/>
                <w:szCs w:val="20"/>
              </w:rPr>
              <w:t>$55</w:t>
            </w:r>
          </w:p>
        </w:tc>
        <w:tc>
          <w:tcPr>
            <w:tcW w:w="932" w:type="pct"/>
            <w:vAlign w:val="center"/>
          </w:tcPr>
          <w:p w14:paraId="630E8FDB" w14:textId="77777777" w:rsidR="00BA172C" w:rsidRPr="00B7364B" w:rsidRDefault="00BA172C" w:rsidP="00B95821">
            <w:pPr>
              <w:spacing w:before="100" w:after="100"/>
              <w:jc w:val="center"/>
              <w:rPr>
                <w:sz w:val="20"/>
                <w:szCs w:val="20"/>
              </w:rPr>
            </w:pPr>
            <w:r w:rsidRPr="00B7364B">
              <w:rPr>
                <w:sz w:val="20"/>
                <w:szCs w:val="20"/>
              </w:rPr>
              <w:t>$70</w:t>
            </w:r>
          </w:p>
        </w:tc>
      </w:tr>
      <w:tr w:rsidR="00BA172C" w:rsidRPr="00B7364B" w14:paraId="3EDBB15A" w14:textId="77777777" w:rsidTr="00B95821">
        <w:trPr>
          <w:gridAfter w:val="1"/>
          <w:wAfter w:w="22" w:type="pct"/>
        </w:trPr>
        <w:tc>
          <w:tcPr>
            <w:tcW w:w="1255" w:type="pct"/>
            <w:shd w:val="clear" w:color="auto" w:fill="auto"/>
          </w:tcPr>
          <w:p w14:paraId="7A55925E" w14:textId="77777777" w:rsidR="00BA172C" w:rsidRPr="00B7364B" w:rsidRDefault="00BA172C" w:rsidP="00B95821">
            <w:pPr>
              <w:spacing w:before="100" w:after="100"/>
              <w:rPr>
                <w:sz w:val="20"/>
                <w:szCs w:val="20"/>
              </w:rPr>
            </w:pPr>
            <w:r w:rsidRPr="00B7364B">
              <w:rPr>
                <w:b/>
                <w:bCs/>
                <w:sz w:val="20"/>
                <w:szCs w:val="20"/>
              </w:rPr>
              <w:t>Included Data</w:t>
            </w:r>
          </w:p>
        </w:tc>
        <w:tc>
          <w:tcPr>
            <w:tcW w:w="930" w:type="pct"/>
            <w:vAlign w:val="center"/>
          </w:tcPr>
          <w:p w14:paraId="3FDD22D3" w14:textId="77777777" w:rsidR="00BA172C" w:rsidRPr="00B7364B" w:rsidRDefault="00BA172C" w:rsidP="00B95821">
            <w:pPr>
              <w:spacing w:before="100" w:after="100"/>
              <w:jc w:val="center"/>
              <w:rPr>
                <w:sz w:val="20"/>
                <w:szCs w:val="20"/>
              </w:rPr>
            </w:pPr>
            <w:r w:rsidRPr="00B7364B">
              <w:rPr>
                <w:sz w:val="20"/>
                <w:szCs w:val="20"/>
              </w:rPr>
              <w:t>2GB</w:t>
            </w:r>
          </w:p>
        </w:tc>
        <w:tc>
          <w:tcPr>
            <w:tcW w:w="931" w:type="pct"/>
            <w:shd w:val="clear" w:color="auto" w:fill="auto"/>
            <w:vAlign w:val="center"/>
          </w:tcPr>
          <w:p w14:paraId="218DCA1A" w14:textId="77777777" w:rsidR="00BA172C" w:rsidRPr="00B7364B" w:rsidRDefault="00BA172C" w:rsidP="00B95821">
            <w:pPr>
              <w:spacing w:before="100" w:after="100"/>
              <w:jc w:val="center"/>
              <w:rPr>
                <w:sz w:val="20"/>
                <w:szCs w:val="20"/>
              </w:rPr>
            </w:pPr>
            <w:r w:rsidRPr="00B7364B">
              <w:rPr>
                <w:sz w:val="20"/>
                <w:szCs w:val="20"/>
              </w:rPr>
              <w:t>10GB</w:t>
            </w:r>
          </w:p>
        </w:tc>
        <w:tc>
          <w:tcPr>
            <w:tcW w:w="930" w:type="pct"/>
            <w:shd w:val="clear" w:color="auto" w:fill="auto"/>
            <w:vAlign w:val="center"/>
          </w:tcPr>
          <w:p w14:paraId="578F0BEE" w14:textId="77777777" w:rsidR="00BA172C" w:rsidRPr="00B7364B" w:rsidRDefault="00BA172C" w:rsidP="00B95821">
            <w:pPr>
              <w:spacing w:before="100" w:after="100"/>
              <w:jc w:val="center"/>
              <w:rPr>
                <w:sz w:val="20"/>
                <w:szCs w:val="20"/>
              </w:rPr>
            </w:pPr>
            <w:r w:rsidRPr="00B7364B">
              <w:rPr>
                <w:sz w:val="20"/>
                <w:szCs w:val="20"/>
              </w:rPr>
              <w:t>15GB</w:t>
            </w:r>
          </w:p>
        </w:tc>
        <w:tc>
          <w:tcPr>
            <w:tcW w:w="932" w:type="pct"/>
            <w:vAlign w:val="center"/>
          </w:tcPr>
          <w:p w14:paraId="25C9840D" w14:textId="77777777" w:rsidR="00BA172C" w:rsidRPr="00B7364B" w:rsidRDefault="00BA172C" w:rsidP="00B95821">
            <w:pPr>
              <w:spacing w:before="100" w:after="100"/>
              <w:jc w:val="center"/>
              <w:rPr>
                <w:sz w:val="20"/>
                <w:szCs w:val="20"/>
              </w:rPr>
            </w:pPr>
            <w:r w:rsidRPr="00B7364B">
              <w:rPr>
                <w:sz w:val="20"/>
                <w:szCs w:val="20"/>
              </w:rPr>
              <w:t>25GB</w:t>
            </w:r>
          </w:p>
        </w:tc>
      </w:tr>
      <w:tr w:rsidR="00BA172C" w:rsidRPr="00B7364B" w14:paraId="1814E541" w14:textId="77777777" w:rsidTr="00B95821">
        <w:tc>
          <w:tcPr>
            <w:tcW w:w="1255" w:type="pct"/>
            <w:shd w:val="clear" w:color="auto" w:fill="auto"/>
          </w:tcPr>
          <w:p w14:paraId="0D2FA03E" w14:textId="77777777" w:rsidR="00BA172C" w:rsidRPr="00B7364B" w:rsidRDefault="00BA172C" w:rsidP="00B95821">
            <w:pPr>
              <w:spacing w:before="100" w:after="100"/>
              <w:rPr>
                <w:b/>
                <w:bCs/>
                <w:sz w:val="20"/>
                <w:szCs w:val="20"/>
              </w:rPr>
            </w:pPr>
            <w:r w:rsidRPr="00B7364B">
              <w:rPr>
                <w:b/>
                <w:bCs/>
                <w:sz w:val="20"/>
                <w:szCs w:val="20"/>
              </w:rPr>
              <w:t>Additional Data</w:t>
            </w:r>
          </w:p>
        </w:tc>
        <w:tc>
          <w:tcPr>
            <w:tcW w:w="3745" w:type="pct"/>
            <w:gridSpan w:val="5"/>
            <w:vAlign w:val="center"/>
          </w:tcPr>
          <w:p w14:paraId="77231621" w14:textId="77777777" w:rsidR="00BA172C" w:rsidRPr="00B7364B" w:rsidRDefault="00BA172C" w:rsidP="00B95821">
            <w:pPr>
              <w:spacing w:before="100" w:after="100"/>
              <w:jc w:val="center"/>
              <w:rPr>
                <w:sz w:val="20"/>
                <w:szCs w:val="20"/>
              </w:rPr>
            </w:pPr>
            <w:r w:rsidRPr="00B7364B">
              <w:rPr>
                <w:sz w:val="20"/>
                <w:szCs w:val="20"/>
              </w:rPr>
              <w:t>Additional data $10 per 1GB</w:t>
            </w:r>
          </w:p>
        </w:tc>
      </w:tr>
      <w:tr w:rsidR="00BA172C" w:rsidRPr="00B7364B" w14:paraId="63554325" w14:textId="77777777" w:rsidTr="00B95821">
        <w:trPr>
          <w:gridAfter w:val="1"/>
          <w:wAfter w:w="22" w:type="pct"/>
        </w:trPr>
        <w:tc>
          <w:tcPr>
            <w:tcW w:w="1255" w:type="pct"/>
            <w:shd w:val="clear" w:color="auto" w:fill="auto"/>
          </w:tcPr>
          <w:p w14:paraId="74ABAC6D" w14:textId="77777777" w:rsidR="00BA172C" w:rsidRPr="00B7364B" w:rsidRDefault="00BA172C" w:rsidP="00B95821">
            <w:pPr>
              <w:spacing w:before="100" w:after="100"/>
              <w:rPr>
                <w:sz w:val="20"/>
                <w:szCs w:val="20"/>
              </w:rPr>
            </w:pPr>
            <w:r w:rsidRPr="00B7364B">
              <w:rPr>
                <w:b/>
                <w:bCs/>
                <w:sz w:val="20"/>
                <w:szCs w:val="20"/>
              </w:rPr>
              <w:t xml:space="preserve">Included Minutes </w:t>
            </w:r>
            <w:r w:rsidRPr="00B7364B">
              <w:rPr>
                <w:sz w:val="20"/>
                <w:szCs w:val="20"/>
              </w:rPr>
              <w:t xml:space="preserve">for standard </w:t>
            </w:r>
            <w:r w:rsidRPr="00B7364B">
              <w:rPr>
                <w:sz w:val="20"/>
                <w:szCs w:val="20"/>
              </w:rPr>
              <w:lastRenderedPageBreak/>
              <w:t>national calls to landlines and mobiles, 1300 numbers and voicemail, within Australia</w:t>
            </w:r>
          </w:p>
        </w:tc>
        <w:tc>
          <w:tcPr>
            <w:tcW w:w="930" w:type="pct"/>
            <w:vAlign w:val="center"/>
          </w:tcPr>
          <w:p w14:paraId="7902CC2D" w14:textId="77777777" w:rsidR="00BA172C" w:rsidRPr="00B7364B" w:rsidRDefault="00BA172C" w:rsidP="00B95821">
            <w:pPr>
              <w:spacing w:before="100" w:after="100"/>
              <w:jc w:val="center"/>
              <w:rPr>
                <w:sz w:val="20"/>
                <w:szCs w:val="20"/>
              </w:rPr>
            </w:pPr>
            <w:r w:rsidRPr="00B7364B">
              <w:rPr>
                <w:sz w:val="20"/>
                <w:szCs w:val="20"/>
              </w:rPr>
              <w:lastRenderedPageBreak/>
              <w:t>Unlimited</w:t>
            </w:r>
          </w:p>
        </w:tc>
        <w:tc>
          <w:tcPr>
            <w:tcW w:w="931" w:type="pct"/>
            <w:shd w:val="clear" w:color="auto" w:fill="auto"/>
            <w:vAlign w:val="center"/>
          </w:tcPr>
          <w:p w14:paraId="7B5FE0D7" w14:textId="77777777" w:rsidR="00BA172C" w:rsidRPr="00B7364B" w:rsidRDefault="00BA172C" w:rsidP="00B95821">
            <w:pPr>
              <w:spacing w:before="100" w:after="100"/>
              <w:jc w:val="center"/>
              <w:rPr>
                <w:sz w:val="20"/>
                <w:szCs w:val="20"/>
              </w:rPr>
            </w:pPr>
            <w:r w:rsidRPr="00B7364B">
              <w:rPr>
                <w:sz w:val="20"/>
                <w:szCs w:val="20"/>
              </w:rPr>
              <w:t>Unlimited</w:t>
            </w:r>
          </w:p>
        </w:tc>
        <w:tc>
          <w:tcPr>
            <w:tcW w:w="930" w:type="pct"/>
            <w:shd w:val="clear" w:color="auto" w:fill="auto"/>
            <w:vAlign w:val="center"/>
          </w:tcPr>
          <w:p w14:paraId="28419A1C" w14:textId="77777777" w:rsidR="00BA172C" w:rsidRPr="00B7364B" w:rsidRDefault="00BA172C" w:rsidP="00B95821">
            <w:pPr>
              <w:spacing w:before="100" w:after="100"/>
              <w:jc w:val="center"/>
              <w:rPr>
                <w:sz w:val="20"/>
                <w:szCs w:val="20"/>
              </w:rPr>
            </w:pPr>
            <w:r w:rsidRPr="00B7364B">
              <w:rPr>
                <w:sz w:val="20"/>
                <w:szCs w:val="20"/>
              </w:rPr>
              <w:t>Unlimited</w:t>
            </w:r>
          </w:p>
        </w:tc>
        <w:tc>
          <w:tcPr>
            <w:tcW w:w="932" w:type="pct"/>
            <w:vAlign w:val="center"/>
          </w:tcPr>
          <w:p w14:paraId="77C1DD57" w14:textId="77777777" w:rsidR="00BA172C" w:rsidRPr="00B7364B" w:rsidRDefault="00BA172C" w:rsidP="00B95821">
            <w:pPr>
              <w:spacing w:before="100" w:after="100"/>
              <w:jc w:val="center"/>
              <w:rPr>
                <w:sz w:val="20"/>
                <w:szCs w:val="20"/>
              </w:rPr>
            </w:pPr>
            <w:r w:rsidRPr="00B7364B">
              <w:rPr>
                <w:sz w:val="20"/>
                <w:szCs w:val="20"/>
              </w:rPr>
              <w:t>Unlimited</w:t>
            </w:r>
          </w:p>
        </w:tc>
      </w:tr>
      <w:tr w:rsidR="00BA172C" w:rsidRPr="00B7364B" w14:paraId="115B2CC5" w14:textId="77777777" w:rsidTr="00B95821">
        <w:trPr>
          <w:gridAfter w:val="1"/>
          <w:wAfter w:w="22" w:type="pct"/>
        </w:trPr>
        <w:tc>
          <w:tcPr>
            <w:tcW w:w="1255" w:type="pct"/>
            <w:shd w:val="clear" w:color="auto" w:fill="auto"/>
          </w:tcPr>
          <w:p w14:paraId="58FDDC0C" w14:textId="77777777" w:rsidR="00BA172C" w:rsidRPr="00B7364B" w:rsidRDefault="00BA172C" w:rsidP="00B95821">
            <w:pPr>
              <w:spacing w:before="100" w:after="100"/>
              <w:rPr>
                <w:b/>
                <w:bCs/>
                <w:sz w:val="20"/>
                <w:szCs w:val="20"/>
              </w:rPr>
            </w:pPr>
            <w:r w:rsidRPr="00B7364B">
              <w:rPr>
                <w:b/>
                <w:bCs/>
                <w:sz w:val="20"/>
                <w:szCs w:val="20"/>
              </w:rPr>
              <w:t>Included International Minutes</w:t>
            </w:r>
          </w:p>
          <w:p w14:paraId="1DEFB0FF" w14:textId="77777777" w:rsidR="00BA172C" w:rsidRPr="00B7364B" w:rsidRDefault="00BA172C" w:rsidP="00B95821">
            <w:pPr>
              <w:spacing w:before="100" w:after="100"/>
              <w:rPr>
                <w:b/>
                <w:bCs/>
                <w:sz w:val="20"/>
                <w:szCs w:val="20"/>
              </w:rPr>
            </w:pPr>
            <w:r w:rsidRPr="00B7364B">
              <w:rPr>
                <w:sz w:val="20"/>
                <w:szCs w:val="20"/>
              </w:rPr>
              <w:t>Standard international calls to landlines and mobiles to selected countries (charged per minute)</w:t>
            </w:r>
          </w:p>
        </w:tc>
        <w:tc>
          <w:tcPr>
            <w:tcW w:w="930" w:type="pct"/>
            <w:vAlign w:val="center"/>
          </w:tcPr>
          <w:p w14:paraId="0F65EB0D" w14:textId="77777777" w:rsidR="00BA172C" w:rsidRPr="00B7364B" w:rsidRDefault="00BA172C" w:rsidP="00B95821">
            <w:pPr>
              <w:spacing w:before="100" w:after="100"/>
              <w:jc w:val="center"/>
              <w:rPr>
                <w:sz w:val="20"/>
                <w:szCs w:val="20"/>
              </w:rPr>
            </w:pPr>
            <w:r w:rsidRPr="00B7364B">
              <w:rPr>
                <w:sz w:val="20"/>
                <w:szCs w:val="20"/>
              </w:rPr>
              <w:t>Not included</w:t>
            </w:r>
          </w:p>
        </w:tc>
        <w:tc>
          <w:tcPr>
            <w:tcW w:w="931" w:type="pct"/>
            <w:shd w:val="clear" w:color="auto" w:fill="auto"/>
            <w:vAlign w:val="center"/>
          </w:tcPr>
          <w:p w14:paraId="53F6FEFA" w14:textId="77777777" w:rsidR="00BA172C" w:rsidRPr="00B7364B" w:rsidRDefault="00BA172C" w:rsidP="00B95821">
            <w:pPr>
              <w:spacing w:before="100" w:after="100"/>
              <w:jc w:val="center"/>
              <w:rPr>
                <w:sz w:val="20"/>
                <w:szCs w:val="20"/>
              </w:rPr>
            </w:pPr>
            <w:r w:rsidRPr="00B7364B">
              <w:rPr>
                <w:bCs/>
                <w:sz w:val="20"/>
                <w:szCs w:val="20"/>
              </w:rPr>
              <w:t>Up to 300 mins</w:t>
            </w:r>
          </w:p>
        </w:tc>
        <w:tc>
          <w:tcPr>
            <w:tcW w:w="930" w:type="pct"/>
            <w:shd w:val="clear" w:color="auto" w:fill="auto"/>
            <w:vAlign w:val="center"/>
          </w:tcPr>
          <w:p w14:paraId="45A0B1EF" w14:textId="77777777" w:rsidR="00BA172C" w:rsidRPr="00B7364B" w:rsidRDefault="00BA172C" w:rsidP="00B95821">
            <w:pPr>
              <w:spacing w:before="100" w:after="100"/>
              <w:jc w:val="center"/>
              <w:rPr>
                <w:sz w:val="20"/>
                <w:szCs w:val="20"/>
              </w:rPr>
            </w:pPr>
            <w:r w:rsidRPr="00B7364B">
              <w:rPr>
                <w:bCs/>
                <w:sz w:val="20"/>
                <w:szCs w:val="20"/>
              </w:rPr>
              <w:t>Up to 400 mins</w:t>
            </w:r>
          </w:p>
        </w:tc>
        <w:tc>
          <w:tcPr>
            <w:tcW w:w="932" w:type="pct"/>
            <w:vAlign w:val="center"/>
          </w:tcPr>
          <w:p w14:paraId="40D6F3FE" w14:textId="77777777" w:rsidR="00BA172C" w:rsidRPr="00B7364B" w:rsidRDefault="00BA172C" w:rsidP="00B95821">
            <w:pPr>
              <w:spacing w:before="100" w:after="100"/>
              <w:jc w:val="center"/>
              <w:rPr>
                <w:bCs/>
                <w:sz w:val="20"/>
                <w:szCs w:val="20"/>
              </w:rPr>
            </w:pPr>
            <w:r w:rsidRPr="00B7364B">
              <w:rPr>
                <w:bCs/>
                <w:sz w:val="20"/>
                <w:szCs w:val="20"/>
              </w:rPr>
              <w:t>Up to 500 mins</w:t>
            </w:r>
          </w:p>
        </w:tc>
      </w:tr>
      <w:tr w:rsidR="00BA172C" w:rsidRPr="00B7364B" w14:paraId="364C4253" w14:textId="77777777" w:rsidTr="00B95821">
        <w:trPr>
          <w:gridAfter w:val="1"/>
          <w:wAfter w:w="22" w:type="pct"/>
        </w:trPr>
        <w:tc>
          <w:tcPr>
            <w:tcW w:w="1255" w:type="pct"/>
            <w:shd w:val="clear" w:color="auto" w:fill="auto"/>
          </w:tcPr>
          <w:p w14:paraId="71D13EB5" w14:textId="77777777" w:rsidR="00BA172C" w:rsidRPr="00B7364B" w:rsidRDefault="00BA172C" w:rsidP="00B95821">
            <w:pPr>
              <w:spacing w:before="100" w:after="100"/>
              <w:rPr>
                <w:sz w:val="20"/>
                <w:szCs w:val="20"/>
              </w:rPr>
            </w:pPr>
            <w:r w:rsidRPr="00B7364B">
              <w:rPr>
                <w:b/>
                <w:bCs/>
                <w:sz w:val="20"/>
                <w:szCs w:val="20"/>
              </w:rPr>
              <w:t xml:space="preserve">Standard national SMS </w:t>
            </w:r>
            <w:r w:rsidRPr="00B7364B">
              <w:rPr>
                <w:sz w:val="20"/>
                <w:szCs w:val="20"/>
              </w:rPr>
              <w:t>(per SMS of up to 160 standard characters)</w:t>
            </w:r>
          </w:p>
        </w:tc>
        <w:tc>
          <w:tcPr>
            <w:tcW w:w="930" w:type="pct"/>
            <w:vAlign w:val="center"/>
          </w:tcPr>
          <w:p w14:paraId="035F87FD" w14:textId="77777777" w:rsidR="00BA172C" w:rsidRPr="00B7364B" w:rsidRDefault="00BA172C" w:rsidP="00B95821">
            <w:pPr>
              <w:spacing w:before="100" w:after="100"/>
              <w:jc w:val="center"/>
              <w:rPr>
                <w:sz w:val="20"/>
                <w:szCs w:val="20"/>
              </w:rPr>
            </w:pPr>
            <w:r w:rsidRPr="00B7364B">
              <w:rPr>
                <w:sz w:val="20"/>
                <w:szCs w:val="20"/>
              </w:rPr>
              <w:t>Unlimited</w:t>
            </w:r>
          </w:p>
        </w:tc>
        <w:tc>
          <w:tcPr>
            <w:tcW w:w="931" w:type="pct"/>
            <w:shd w:val="clear" w:color="auto" w:fill="auto"/>
            <w:vAlign w:val="center"/>
          </w:tcPr>
          <w:p w14:paraId="02F0AD7C" w14:textId="77777777" w:rsidR="00BA172C" w:rsidRPr="00B7364B" w:rsidRDefault="00BA172C" w:rsidP="00B95821">
            <w:pPr>
              <w:spacing w:before="100" w:after="100"/>
              <w:jc w:val="center"/>
              <w:rPr>
                <w:sz w:val="20"/>
                <w:szCs w:val="20"/>
              </w:rPr>
            </w:pPr>
            <w:r w:rsidRPr="00B7364B">
              <w:rPr>
                <w:sz w:val="20"/>
                <w:szCs w:val="20"/>
              </w:rPr>
              <w:t>Unlimited</w:t>
            </w:r>
          </w:p>
        </w:tc>
        <w:tc>
          <w:tcPr>
            <w:tcW w:w="930" w:type="pct"/>
            <w:shd w:val="clear" w:color="auto" w:fill="auto"/>
            <w:vAlign w:val="center"/>
          </w:tcPr>
          <w:p w14:paraId="663C26D7" w14:textId="77777777" w:rsidR="00BA172C" w:rsidRPr="00B7364B" w:rsidRDefault="00BA172C" w:rsidP="00B95821">
            <w:pPr>
              <w:spacing w:before="100" w:after="100"/>
              <w:jc w:val="center"/>
              <w:rPr>
                <w:sz w:val="20"/>
                <w:szCs w:val="20"/>
              </w:rPr>
            </w:pPr>
            <w:r w:rsidRPr="00B7364B">
              <w:rPr>
                <w:sz w:val="20"/>
                <w:szCs w:val="20"/>
              </w:rPr>
              <w:t>Unlimited</w:t>
            </w:r>
          </w:p>
        </w:tc>
        <w:tc>
          <w:tcPr>
            <w:tcW w:w="932" w:type="pct"/>
            <w:vAlign w:val="center"/>
          </w:tcPr>
          <w:p w14:paraId="2CAAFA2C" w14:textId="77777777" w:rsidR="00BA172C" w:rsidRPr="00B7364B" w:rsidRDefault="00BA172C" w:rsidP="00B95821">
            <w:pPr>
              <w:spacing w:before="100" w:after="100"/>
              <w:jc w:val="center"/>
              <w:rPr>
                <w:sz w:val="20"/>
                <w:szCs w:val="20"/>
              </w:rPr>
            </w:pPr>
            <w:r w:rsidRPr="00B7364B">
              <w:rPr>
                <w:sz w:val="20"/>
                <w:szCs w:val="20"/>
              </w:rPr>
              <w:t>Unlimited</w:t>
            </w:r>
          </w:p>
        </w:tc>
      </w:tr>
      <w:tr w:rsidR="00BA172C" w:rsidRPr="00B7364B" w14:paraId="336114C3" w14:textId="77777777" w:rsidTr="00B95821">
        <w:trPr>
          <w:gridAfter w:val="1"/>
          <w:wAfter w:w="22" w:type="pct"/>
        </w:trPr>
        <w:tc>
          <w:tcPr>
            <w:tcW w:w="1255" w:type="pct"/>
            <w:shd w:val="clear" w:color="auto" w:fill="auto"/>
          </w:tcPr>
          <w:p w14:paraId="269949EA" w14:textId="77777777" w:rsidR="00BA172C" w:rsidRPr="00B7364B" w:rsidRDefault="00BA172C" w:rsidP="00B95821">
            <w:pPr>
              <w:keepNext/>
              <w:keepLines/>
              <w:spacing w:before="100" w:after="100"/>
              <w:rPr>
                <w:b/>
                <w:bCs/>
                <w:sz w:val="20"/>
                <w:szCs w:val="20"/>
              </w:rPr>
            </w:pPr>
            <w:r w:rsidRPr="00B7364B">
              <w:rPr>
                <w:b/>
                <w:bCs/>
                <w:sz w:val="20"/>
                <w:szCs w:val="20"/>
              </w:rPr>
              <w:t xml:space="preserve">Standard national MMS </w:t>
            </w:r>
            <w:r w:rsidRPr="00B7364B">
              <w:rPr>
                <w:sz w:val="20"/>
                <w:szCs w:val="20"/>
              </w:rPr>
              <w:t>(per message)</w:t>
            </w:r>
          </w:p>
        </w:tc>
        <w:tc>
          <w:tcPr>
            <w:tcW w:w="930" w:type="pct"/>
            <w:vAlign w:val="center"/>
          </w:tcPr>
          <w:p w14:paraId="61B54EBA" w14:textId="77777777" w:rsidR="00BA172C" w:rsidRPr="00B7364B" w:rsidRDefault="00BA172C" w:rsidP="00B95821">
            <w:pPr>
              <w:keepNext/>
              <w:keepLines/>
              <w:spacing w:before="100" w:after="100"/>
              <w:jc w:val="center"/>
              <w:rPr>
                <w:sz w:val="20"/>
                <w:szCs w:val="20"/>
              </w:rPr>
            </w:pPr>
            <w:r w:rsidRPr="00B7364B">
              <w:rPr>
                <w:sz w:val="20"/>
                <w:szCs w:val="20"/>
              </w:rPr>
              <w:t>Unlimited</w:t>
            </w:r>
          </w:p>
        </w:tc>
        <w:tc>
          <w:tcPr>
            <w:tcW w:w="931" w:type="pct"/>
            <w:shd w:val="clear" w:color="auto" w:fill="auto"/>
            <w:vAlign w:val="center"/>
          </w:tcPr>
          <w:p w14:paraId="039A22AB" w14:textId="77777777" w:rsidR="00BA172C" w:rsidRPr="00B7364B" w:rsidRDefault="00BA172C" w:rsidP="00B95821">
            <w:pPr>
              <w:keepNext/>
              <w:keepLines/>
              <w:spacing w:before="100" w:after="100"/>
              <w:jc w:val="center"/>
              <w:rPr>
                <w:sz w:val="20"/>
                <w:szCs w:val="20"/>
              </w:rPr>
            </w:pPr>
            <w:r w:rsidRPr="00B7364B">
              <w:rPr>
                <w:sz w:val="20"/>
                <w:szCs w:val="20"/>
              </w:rPr>
              <w:t>Unlimited</w:t>
            </w:r>
          </w:p>
        </w:tc>
        <w:tc>
          <w:tcPr>
            <w:tcW w:w="930" w:type="pct"/>
            <w:shd w:val="clear" w:color="auto" w:fill="auto"/>
            <w:vAlign w:val="center"/>
          </w:tcPr>
          <w:p w14:paraId="4B30BF94" w14:textId="77777777" w:rsidR="00BA172C" w:rsidRPr="00B7364B" w:rsidRDefault="00BA172C" w:rsidP="00B95821">
            <w:pPr>
              <w:keepNext/>
              <w:keepLines/>
              <w:spacing w:before="100" w:after="100"/>
              <w:jc w:val="center"/>
              <w:rPr>
                <w:sz w:val="20"/>
                <w:szCs w:val="20"/>
              </w:rPr>
            </w:pPr>
            <w:r w:rsidRPr="00B7364B">
              <w:rPr>
                <w:sz w:val="20"/>
                <w:szCs w:val="20"/>
              </w:rPr>
              <w:t>Unlimited</w:t>
            </w:r>
          </w:p>
        </w:tc>
        <w:tc>
          <w:tcPr>
            <w:tcW w:w="932" w:type="pct"/>
            <w:vAlign w:val="center"/>
          </w:tcPr>
          <w:p w14:paraId="28327938" w14:textId="77777777" w:rsidR="00BA172C" w:rsidRPr="00B7364B" w:rsidRDefault="00BA172C" w:rsidP="00B95821">
            <w:pPr>
              <w:keepNext/>
              <w:keepLines/>
              <w:spacing w:before="100" w:after="100"/>
              <w:jc w:val="center"/>
              <w:rPr>
                <w:sz w:val="20"/>
                <w:szCs w:val="20"/>
              </w:rPr>
            </w:pPr>
            <w:r w:rsidRPr="00B7364B">
              <w:rPr>
                <w:sz w:val="20"/>
                <w:szCs w:val="20"/>
              </w:rPr>
              <w:t>Unlimited</w:t>
            </w:r>
          </w:p>
        </w:tc>
      </w:tr>
      <w:tr w:rsidR="00BA172C" w:rsidRPr="00B7364B" w14:paraId="026C5900" w14:textId="77777777" w:rsidTr="00B95821">
        <w:trPr>
          <w:gridAfter w:val="1"/>
          <w:wAfter w:w="22" w:type="pct"/>
        </w:trPr>
        <w:tc>
          <w:tcPr>
            <w:tcW w:w="1255" w:type="pct"/>
            <w:shd w:val="clear" w:color="auto" w:fill="auto"/>
          </w:tcPr>
          <w:p w14:paraId="2E665841" w14:textId="77777777" w:rsidR="00BA172C" w:rsidRPr="00B7364B" w:rsidRDefault="00BA172C" w:rsidP="00B95821">
            <w:pPr>
              <w:spacing w:before="100" w:after="100"/>
              <w:rPr>
                <w:b/>
                <w:bCs/>
                <w:sz w:val="20"/>
                <w:szCs w:val="20"/>
              </w:rPr>
            </w:pPr>
            <w:r w:rsidRPr="00B7364B">
              <w:rPr>
                <w:b/>
                <w:bCs/>
                <w:sz w:val="20"/>
                <w:szCs w:val="20"/>
              </w:rPr>
              <w:t xml:space="preserve">Standard international SMS </w:t>
            </w:r>
            <w:r w:rsidRPr="00B7364B">
              <w:rPr>
                <w:sz w:val="20"/>
                <w:szCs w:val="20"/>
              </w:rPr>
              <w:t>(per SMS of up to 160 standard characters to selected countries)</w:t>
            </w:r>
          </w:p>
        </w:tc>
        <w:tc>
          <w:tcPr>
            <w:tcW w:w="930" w:type="pct"/>
            <w:vAlign w:val="center"/>
          </w:tcPr>
          <w:p w14:paraId="2754802B" w14:textId="77777777" w:rsidR="00BA172C" w:rsidRPr="00B7364B" w:rsidRDefault="00BA172C" w:rsidP="00B95821">
            <w:pPr>
              <w:spacing w:before="100" w:after="100"/>
              <w:jc w:val="center"/>
              <w:rPr>
                <w:sz w:val="20"/>
                <w:szCs w:val="20"/>
              </w:rPr>
            </w:pPr>
            <w:r w:rsidRPr="00B7364B">
              <w:rPr>
                <w:sz w:val="20"/>
                <w:szCs w:val="20"/>
              </w:rPr>
              <w:t>Unlimited</w:t>
            </w:r>
          </w:p>
        </w:tc>
        <w:tc>
          <w:tcPr>
            <w:tcW w:w="931" w:type="pct"/>
            <w:shd w:val="clear" w:color="auto" w:fill="auto"/>
            <w:vAlign w:val="center"/>
          </w:tcPr>
          <w:p w14:paraId="6FC5C131" w14:textId="77777777" w:rsidR="00BA172C" w:rsidRPr="00B7364B" w:rsidRDefault="00BA172C" w:rsidP="00B95821">
            <w:pPr>
              <w:spacing w:before="100" w:after="100"/>
              <w:jc w:val="center"/>
              <w:rPr>
                <w:sz w:val="20"/>
                <w:szCs w:val="20"/>
              </w:rPr>
            </w:pPr>
            <w:r w:rsidRPr="00B7364B">
              <w:rPr>
                <w:sz w:val="20"/>
                <w:szCs w:val="20"/>
              </w:rPr>
              <w:t>Unlimited</w:t>
            </w:r>
          </w:p>
        </w:tc>
        <w:tc>
          <w:tcPr>
            <w:tcW w:w="930" w:type="pct"/>
            <w:shd w:val="clear" w:color="auto" w:fill="auto"/>
            <w:vAlign w:val="center"/>
          </w:tcPr>
          <w:p w14:paraId="10917143" w14:textId="77777777" w:rsidR="00BA172C" w:rsidRPr="00B7364B" w:rsidRDefault="00BA172C" w:rsidP="00B95821">
            <w:pPr>
              <w:spacing w:before="100" w:after="100"/>
              <w:jc w:val="center"/>
              <w:rPr>
                <w:sz w:val="20"/>
                <w:szCs w:val="20"/>
              </w:rPr>
            </w:pPr>
            <w:r w:rsidRPr="00B7364B">
              <w:rPr>
                <w:sz w:val="20"/>
                <w:szCs w:val="20"/>
              </w:rPr>
              <w:t>Unlimited</w:t>
            </w:r>
          </w:p>
        </w:tc>
        <w:tc>
          <w:tcPr>
            <w:tcW w:w="932" w:type="pct"/>
            <w:vAlign w:val="center"/>
          </w:tcPr>
          <w:p w14:paraId="36B2BF94" w14:textId="77777777" w:rsidR="00BA172C" w:rsidRPr="00B7364B" w:rsidRDefault="00BA172C" w:rsidP="00B95821">
            <w:pPr>
              <w:spacing w:before="100" w:after="100"/>
              <w:jc w:val="center"/>
              <w:rPr>
                <w:sz w:val="20"/>
                <w:szCs w:val="20"/>
              </w:rPr>
            </w:pPr>
            <w:r w:rsidRPr="00B7364B">
              <w:rPr>
                <w:sz w:val="20"/>
                <w:szCs w:val="20"/>
              </w:rPr>
              <w:t>Unlimited</w:t>
            </w:r>
          </w:p>
        </w:tc>
      </w:tr>
      <w:tr w:rsidR="00BA172C" w:rsidRPr="00B7364B" w14:paraId="5E062B55" w14:textId="77777777" w:rsidTr="00B95821">
        <w:trPr>
          <w:gridAfter w:val="1"/>
          <w:wAfter w:w="22" w:type="pct"/>
        </w:trPr>
        <w:tc>
          <w:tcPr>
            <w:tcW w:w="1255" w:type="pct"/>
            <w:shd w:val="clear" w:color="auto" w:fill="auto"/>
          </w:tcPr>
          <w:p w14:paraId="119F0C60" w14:textId="77777777" w:rsidR="00BA172C" w:rsidRPr="00B7364B" w:rsidRDefault="00BA172C" w:rsidP="00B95821">
            <w:pPr>
              <w:spacing w:before="100" w:after="100"/>
              <w:rPr>
                <w:b/>
                <w:bCs/>
                <w:sz w:val="20"/>
                <w:szCs w:val="20"/>
              </w:rPr>
            </w:pPr>
            <w:r w:rsidRPr="00B7364B">
              <w:rPr>
                <w:b/>
                <w:bCs/>
                <w:sz w:val="20"/>
                <w:szCs w:val="20"/>
              </w:rPr>
              <w:t xml:space="preserve">Standard international MMS </w:t>
            </w:r>
            <w:r w:rsidRPr="00B7364B">
              <w:rPr>
                <w:sz w:val="20"/>
                <w:szCs w:val="20"/>
              </w:rPr>
              <w:t>(per message to selected countries)</w:t>
            </w:r>
          </w:p>
        </w:tc>
        <w:tc>
          <w:tcPr>
            <w:tcW w:w="930" w:type="pct"/>
            <w:vAlign w:val="center"/>
          </w:tcPr>
          <w:p w14:paraId="1DAA7B46" w14:textId="77777777" w:rsidR="00BA172C" w:rsidRPr="00B7364B" w:rsidRDefault="00BA172C" w:rsidP="00B95821">
            <w:pPr>
              <w:spacing w:before="100" w:after="100"/>
              <w:jc w:val="center"/>
              <w:rPr>
                <w:sz w:val="20"/>
                <w:szCs w:val="20"/>
              </w:rPr>
            </w:pPr>
            <w:r w:rsidRPr="00B7364B">
              <w:rPr>
                <w:sz w:val="20"/>
                <w:szCs w:val="20"/>
              </w:rPr>
              <w:t>Unlimited</w:t>
            </w:r>
          </w:p>
        </w:tc>
        <w:tc>
          <w:tcPr>
            <w:tcW w:w="931" w:type="pct"/>
            <w:shd w:val="clear" w:color="auto" w:fill="auto"/>
            <w:vAlign w:val="center"/>
          </w:tcPr>
          <w:p w14:paraId="3047DFFB" w14:textId="77777777" w:rsidR="00BA172C" w:rsidRPr="00B7364B" w:rsidRDefault="00BA172C" w:rsidP="00B95821">
            <w:pPr>
              <w:spacing w:before="100" w:after="100"/>
              <w:jc w:val="center"/>
              <w:rPr>
                <w:sz w:val="20"/>
                <w:szCs w:val="20"/>
              </w:rPr>
            </w:pPr>
            <w:r w:rsidRPr="00B7364B">
              <w:rPr>
                <w:sz w:val="20"/>
                <w:szCs w:val="20"/>
              </w:rPr>
              <w:t>Unlimited</w:t>
            </w:r>
          </w:p>
        </w:tc>
        <w:tc>
          <w:tcPr>
            <w:tcW w:w="930" w:type="pct"/>
            <w:shd w:val="clear" w:color="auto" w:fill="auto"/>
            <w:vAlign w:val="center"/>
          </w:tcPr>
          <w:p w14:paraId="506878D3" w14:textId="77777777" w:rsidR="00BA172C" w:rsidRPr="00B7364B" w:rsidRDefault="00BA172C" w:rsidP="00B95821">
            <w:pPr>
              <w:spacing w:before="100" w:after="100"/>
              <w:jc w:val="center"/>
              <w:rPr>
                <w:sz w:val="20"/>
                <w:szCs w:val="20"/>
              </w:rPr>
            </w:pPr>
            <w:r w:rsidRPr="00B7364B">
              <w:rPr>
                <w:sz w:val="20"/>
                <w:szCs w:val="20"/>
              </w:rPr>
              <w:t>Unlimited</w:t>
            </w:r>
          </w:p>
        </w:tc>
        <w:tc>
          <w:tcPr>
            <w:tcW w:w="932" w:type="pct"/>
            <w:vAlign w:val="center"/>
          </w:tcPr>
          <w:p w14:paraId="52F00BEB" w14:textId="77777777" w:rsidR="00BA172C" w:rsidRPr="00B7364B" w:rsidRDefault="00BA172C" w:rsidP="00B95821">
            <w:pPr>
              <w:spacing w:before="100" w:after="100"/>
              <w:jc w:val="center"/>
              <w:rPr>
                <w:sz w:val="20"/>
                <w:szCs w:val="20"/>
              </w:rPr>
            </w:pPr>
            <w:r w:rsidRPr="00B7364B">
              <w:rPr>
                <w:sz w:val="20"/>
                <w:szCs w:val="20"/>
              </w:rPr>
              <w:t>Unlimited</w:t>
            </w:r>
          </w:p>
        </w:tc>
      </w:tr>
      <w:tr w:rsidR="00BA172C" w:rsidRPr="00B7364B" w14:paraId="46FF154E" w14:textId="77777777" w:rsidTr="00B95821">
        <w:trPr>
          <w:gridAfter w:val="1"/>
          <w:wAfter w:w="22" w:type="pct"/>
        </w:trPr>
        <w:tc>
          <w:tcPr>
            <w:tcW w:w="1255" w:type="pct"/>
            <w:shd w:val="clear" w:color="auto" w:fill="auto"/>
          </w:tcPr>
          <w:p w14:paraId="2DB94A79" w14:textId="77777777" w:rsidR="00BA172C" w:rsidRPr="00B7364B" w:rsidRDefault="00BA172C" w:rsidP="00B95821">
            <w:pPr>
              <w:spacing w:before="100" w:after="100"/>
              <w:rPr>
                <w:b/>
                <w:bCs/>
                <w:sz w:val="20"/>
                <w:szCs w:val="20"/>
              </w:rPr>
            </w:pPr>
            <w:r w:rsidRPr="00B7364B">
              <w:rPr>
                <w:b/>
                <w:bCs/>
                <w:snapToGrid w:val="0"/>
                <w:sz w:val="20"/>
                <w:szCs w:val="20"/>
              </w:rPr>
              <w:t>Optus Travel™ Pack</w:t>
            </w:r>
          </w:p>
        </w:tc>
        <w:tc>
          <w:tcPr>
            <w:tcW w:w="930" w:type="pct"/>
            <w:vAlign w:val="center"/>
          </w:tcPr>
          <w:p w14:paraId="386AE1B1" w14:textId="77777777" w:rsidR="00BA172C" w:rsidRPr="00B7364B" w:rsidRDefault="00BA172C" w:rsidP="00B95821">
            <w:pPr>
              <w:spacing w:before="100" w:after="100"/>
              <w:jc w:val="center"/>
              <w:rPr>
                <w:sz w:val="20"/>
                <w:szCs w:val="20"/>
              </w:rPr>
            </w:pPr>
            <w:r w:rsidRPr="00B7364B">
              <w:rPr>
                <w:sz w:val="20"/>
                <w:szCs w:val="20"/>
              </w:rPr>
              <w:t>$5 per Day</w:t>
            </w:r>
          </w:p>
        </w:tc>
        <w:tc>
          <w:tcPr>
            <w:tcW w:w="931" w:type="pct"/>
            <w:shd w:val="clear" w:color="auto" w:fill="auto"/>
            <w:vAlign w:val="center"/>
          </w:tcPr>
          <w:p w14:paraId="7761260E" w14:textId="77777777" w:rsidR="00BA172C" w:rsidRPr="00B7364B" w:rsidRDefault="00BA172C" w:rsidP="00B95821">
            <w:pPr>
              <w:spacing w:before="100" w:after="100"/>
              <w:jc w:val="center"/>
              <w:rPr>
                <w:sz w:val="20"/>
                <w:szCs w:val="20"/>
              </w:rPr>
            </w:pPr>
            <w:r w:rsidRPr="00B7364B">
              <w:rPr>
                <w:sz w:val="20"/>
                <w:szCs w:val="20"/>
              </w:rPr>
              <w:t>$5 per Day</w:t>
            </w:r>
          </w:p>
        </w:tc>
        <w:tc>
          <w:tcPr>
            <w:tcW w:w="930" w:type="pct"/>
            <w:shd w:val="clear" w:color="auto" w:fill="auto"/>
            <w:vAlign w:val="center"/>
          </w:tcPr>
          <w:p w14:paraId="64FDD05C" w14:textId="77777777" w:rsidR="00BA172C" w:rsidRPr="00B7364B" w:rsidRDefault="00BA172C" w:rsidP="00B95821">
            <w:pPr>
              <w:spacing w:before="100" w:after="100"/>
              <w:jc w:val="center"/>
              <w:rPr>
                <w:sz w:val="20"/>
                <w:szCs w:val="20"/>
              </w:rPr>
            </w:pPr>
            <w:r w:rsidRPr="00B7364B">
              <w:rPr>
                <w:sz w:val="20"/>
                <w:szCs w:val="20"/>
              </w:rPr>
              <w:t>$5 per Day</w:t>
            </w:r>
          </w:p>
        </w:tc>
        <w:tc>
          <w:tcPr>
            <w:tcW w:w="932" w:type="pct"/>
            <w:vAlign w:val="center"/>
          </w:tcPr>
          <w:p w14:paraId="782F3B33" w14:textId="77777777" w:rsidR="00BA172C" w:rsidRPr="00B7364B" w:rsidRDefault="00BA172C" w:rsidP="00B95821">
            <w:pPr>
              <w:spacing w:before="100" w:after="100"/>
              <w:jc w:val="center"/>
              <w:rPr>
                <w:sz w:val="20"/>
                <w:szCs w:val="20"/>
              </w:rPr>
            </w:pPr>
            <w:r w:rsidRPr="00B7364B">
              <w:rPr>
                <w:sz w:val="20"/>
                <w:szCs w:val="20"/>
              </w:rPr>
              <w:t>$5 per Day</w:t>
            </w:r>
          </w:p>
        </w:tc>
      </w:tr>
      <w:tr w:rsidR="00BA172C" w:rsidRPr="00B7364B" w14:paraId="379EA8C0" w14:textId="77777777" w:rsidTr="00B95821">
        <w:trPr>
          <w:gridAfter w:val="1"/>
          <w:wAfter w:w="22" w:type="pct"/>
        </w:trPr>
        <w:tc>
          <w:tcPr>
            <w:tcW w:w="1255" w:type="pct"/>
            <w:shd w:val="clear" w:color="auto" w:fill="auto"/>
          </w:tcPr>
          <w:p w14:paraId="42E11BE4" w14:textId="77777777" w:rsidR="00BA172C" w:rsidRPr="00B7364B" w:rsidRDefault="00BA172C" w:rsidP="00B95821">
            <w:pPr>
              <w:spacing w:before="100" w:after="100"/>
              <w:rPr>
                <w:b/>
                <w:bCs/>
                <w:sz w:val="20"/>
                <w:szCs w:val="20"/>
              </w:rPr>
            </w:pPr>
            <w:r w:rsidRPr="00B7364B">
              <w:rPr>
                <w:b/>
                <w:bCs/>
                <w:sz w:val="20"/>
                <w:szCs w:val="20"/>
              </w:rPr>
              <w:t xml:space="preserve">Minimum total cost over 24 months </w:t>
            </w:r>
          </w:p>
        </w:tc>
        <w:tc>
          <w:tcPr>
            <w:tcW w:w="930" w:type="pct"/>
            <w:vAlign w:val="center"/>
          </w:tcPr>
          <w:p w14:paraId="50F7C967" w14:textId="77777777" w:rsidR="00BA172C" w:rsidRPr="00B7364B" w:rsidRDefault="00BA172C" w:rsidP="00B95821">
            <w:pPr>
              <w:spacing w:before="100" w:after="100"/>
              <w:jc w:val="center"/>
              <w:rPr>
                <w:sz w:val="20"/>
                <w:szCs w:val="20"/>
              </w:rPr>
            </w:pPr>
            <w:r w:rsidRPr="00B7364B">
              <w:rPr>
                <w:sz w:val="20"/>
                <w:szCs w:val="20"/>
              </w:rPr>
              <w:t>$360</w:t>
            </w:r>
          </w:p>
        </w:tc>
        <w:tc>
          <w:tcPr>
            <w:tcW w:w="931" w:type="pct"/>
            <w:shd w:val="clear" w:color="auto" w:fill="auto"/>
            <w:vAlign w:val="center"/>
          </w:tcPr>
          <w:p w14:paraId="4CF64A83" w14:textId="77777777" w:rsidR="00BA172C" w:rsidRPr="00B7364B" w:rsidRDefault="00BA172C" w:rsidP="00B95821">
            <w:pPr>
              <w:spacing w:before="100" w:after="100"/>
              <w:jc w:val="center"/>
              <w:rPr>
                <w:sz w:val="20"/>
                <w:szCs w:val="20"/>
              </w:rPr>
            </w:pPr>
            <w:r w:rsidRPr="00B7364B">
              <w:rPr>
                <w:sz w:val="20"/>
                <w:szCs w:val="20"/>
              </w:rPr>
              <w:t>$480</w:t>
            </w:r>
          </w:p>
        </w:tc>
        <w:tc>
          <w:tcPr>
            <w:tcW w:w="930" w:type="pct"/>
            <w:shd w:val="clear" w:color="auto" w:fill="auto"/>
            <w:vAlign w:val="center"/>
          </w:tcPr>
          <w:p w14:paraId="1F95521E" w14:textId="77777777" w:rsidR="00BA172C" w:rsidRPr="00B7364B" w:rsidRDefault="00BA172C" w:rsidP="00B95821">
            <w:pPr>
              <w:spacing w:before="100" w:after="100"/>
              <w:jc w:val="center"/>
              <w:rPr>
                <w:sz w:val="20"/>
                <w:szCs w:val="20"/>
              </w:rPr>
            </w:pPr>
            <w:r w:rsidRPr="00B7364B">
              <w:rPr>
                <w:sz w:val="20"/>
                <w:szCs w:val="20"/>
              </w:rPr>
              <w:t>$660</w:t>
            </w:r>
          </w:p>
        </w:tc>
        <w:tc>
          <w:tcPr>
            <w:tcW w:w="932" w:type="pct"/>
            <w:vAlign w:val="center"/>
          </w:tcPr>
          <w:p w14:paraId="3E7C0A29" w14:textId="77777777" w:rsidR="00BA172C" w:rsidRPr="00B7364B" w:rsidRDefault="00BA172C" w:rsidP="00B95821">
            <w:pPr>
              <w:spacing w:before="100" w:after="100"/>
              <w:jc w:val="center"/>
              <w:rPr>
                <w:sz w:val="20"/>
                <w:szCs w:val="20"/>
              </w:rPr>
            </w:pPr>
            <w:r w:rsidRPr="00B7364B">
              <w:rPr>
                <w:sz w:val="20"/>
                <w:szCs w:val="20"/>
              </w:rPr>
              <w:t>$840</w:t>
            </w:r>
          </w:p>
        </w:tc>
      </w:tr>
    </w:tbl>
    <w:p w14:paraId="5CBCB021" w14:textId="77777777" w:rsidR="00BA172C" w:rsidRPr="00B7364B" w:rsidRDefault="00BA172C" w:rsidP="00BA172C">
      <w:pPr>
        <w:spacing w:after="200"/>
        <w:outlineLvl w:val="5"/>
        <w:rPr>
          <w:rFonts w:eastAsia="Times New Roman"/>
          <w:bCs/>
          <w:sz w:val="20"/>
          <w:szCs w:val="22"/>
        </w:rPr>
      </w:pPr>
    </w:p>
    <w:p w14:paraId="4DBDCEC9" w14:textId="77777777" w:rsidR="00BA172C" w:rsidRPr="00B7364B" w:rsidRDefault="00BA172C" w:rsidP="00BA172C">
      <w:pPr>
        <w:spacing w:after="200"/>
        <w:ind w:left="720"/>
        <w:rPr>
          <w:b/>
          <w:sz w:val="20"/>
        </w:rPr>
      </w:pPr>
      <w:r w:rsidRPr="00B7364B">
        <w:rPr>
          <w:b/>
          <w:sz w:val="20"/>
        </w:rPr>
        <w:t>Table 3 – International Countries</w:t>
      </w:r>
    </w:p>
    <w:tbl>
      <w:tblPr>
        <w:tblW w:w="882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5"/>
        <w:gridCol w:w="2205"/>
        <w:gridCol w:w="2205"/>
        <w:gridCol w:w="2205"/>
      </w:tblGrid>
      <w:tr w:rsidR="00BA172C" w:rsidRPr="00B7364B" w14:paraId="371AA79A" w14:textId="77777777" w:rsidTr="00B95821">
        <w:tc>
          <w:tcPr>
            <w:tcW w:w="2205" w:type="dxa"/>
            <w:shd w:val="clear" w:color="auto" w:fill="auto"/>
          </w:tcPr>
          <w:p w14:paraId="05B2C4F9" w14:textId="77777777" w:rsidR="00BA172C" w:rsidRPr="00B7364B" w:rsidRDefault="00BA172C" w:rsidP="00B95821">
            <w:pPr>
              <w:spacing w:before="100" w:after="100"/>
              <w:rPr>
                <w:b/>
                <w:sz w:val="20"/>
              </w:rPr>
            </w:pPr>
            <w:r w:rsidRPr="00B7364B">
              <w:rPr>
                <w:sz w:val="20"/>
              </w:rPr>
              <w:t>Austria</w:t>
            </w:r>
          </w:p>
        </w:tc>
        <w:tc>
          <w:tcPr>
            <w:tcW w:w="2205" w:type="dxa"/>
            <w:shd w:val="clear" w:color="auto" w:fill="auto"/>
          </w:tcPr>
          <w:p w14:paraId="363B30AA" w14:textId="77777777" w:rsidR="00BA172C" w:rsidRPr="00B7364B" w:rsidRDefault="00BA172C" w:rsidP="00B95821">
            <w:pPr>
              <w:spacing w:before="100" w:after="100"/>
              <w:rPr>
                <w:b/>
                <w:sz w:val="20"/>
              </w:rPr>
            </w:pPr>
            <w:r w:rsidRPr="00B7364B">
              <w:rPr>
                <w:sz w:val="20"/>
              </w:rPr>
              <w:t>Bangladesh</w:t>
            </w:r>
          </w:p>
        </w:tc>
        <w:tc>
          <w:tcPr>
            <w:tcW w:w="2205" w:type="dxa"/>
            <w:shd w:val="clear" w:color="auto" w:fill="auto"/>
          </w:tcPr>
          <w:p w14:paraId="17C6CA0B" w14:textId="77777777" w:rsidR="00BA172C" w:rsidRPr="00B7364B" w:rsidRDefault="00BA172C" w:rsidP="00B95821">
            <w:pPr>
              <w:spacing w:before="100" w:after="100"/>
              <w:rPr>
                <w:b/>
                <w:sz w:val="20"/>
              </w:rPr>
            </w:pPr>
            <w:r w:rsidRPr="00B7364B">
              <w:rPr>
                <w:sz w:val="20"/>
              </w:rPr>
              <w:t>Cambodia</w:t>
            </w:r>
          </w:p>
        </w:tc>
        <w:tc>
          <w:tcPr>
            <w:tcW w:w="2205" w:type="dxa"/>
            <w:shd w:val="clear" w:color="auto" w:fill="auto"/>
          </w:tcPr>
          <w:p w14:paraId="4041CB22" w14:textId="77777777" w:rsidR="00BA172C" w:rsidRPr="00B7364B" w:rsidRDefault="00BA172C" w:rsidP="00B95821">
            <w:pPr>
              <w:spacing w:before="100" w:after="100"/>
              <w:rPr>
                <w:b/>
                <w:sz w:val="20"/>
              </w:rPr>
            </w:pPr>
            <w:r w:rsidRPr="00B7364B">
              <w:rPr>
                <w:sz w:val="20"/>
              </w:rPr>
              <w:t>Canada</w:t>
            </w:r>
          </w:p>
        </w:tc>
      </w:tr>
      <w:tr w:rsidR="00BA172C" w:rsidRPr="00B7364B" w14:paraId="285E876C" w14:textId="77777777" w:rsidTr="00B95821">
        <w:tc>
          <w:tcPr>
            <w:tcW w:w="2205" w:type="dxa"/>
            <w:shd w:val="clear" w:color="auto" w:fill="auto"/>
          </w:tcPr>
          <w:p w14:paraId="149C8708" w14:textId="77777777" w:rsidR="00BA172C" w:rsidRPr="00B7364B" w:rsidRDefault="00BA172C" w:rsidP="00B95821">
            <w:pPr>
              <w:spacing w:before="100" w:after="100"/>
              <w:rPr>
                <w:b/>
                <w:sz w:val="20"/>
              </w:rPr>
            </w:pPr>
            <w:r w:rsidRPr="00B7364B">
              <w:rPr>
                <w:sz w:val="20"/>
              </w:rPr>
              <w:t xml:space="preserve">Chile </w:t>
            </w:r>
          </w:p>
        </w:tc>
        <w:tc>
          <w:tcPr>
            <w:tcW w:w="2205" w:type="dxa"/>
            <w:shd w:val="clear" w:color="auto" w:fill="auto"/>
          </w:tcPr>
          <w:p w14:paraId="53F4E757" w14:textId="77777777" w:rsidR="00BA172C" w:rsidRPr="00B7364B" w:rsidRDefault="00BA172C" w:rsidP="00B95821">
            <w:pPr>
              <w:spacing w:before="100" w:after="100"/>
              <w:rPr>
                <w:b/>
                <w:sz w:val="20"/>
              </w:rPr>
            </w:pPr>
            <w:r w:rsidRPr="00B7364B">
              <w:rPr>
                <w:sz w:val="20"/>
              </w:rPr>
              <w:t xml:space="preserve">China </w:t>
            </w:r>
          </w:p>
        </w:tc>
        <w:tc>
          <w:tcPr>
            <w:tcW w:w="2205" w:type="dxa"/>
            <w:shd w:val="clear" w:color="auto" w:fill="auto"/>
          </w:tcPr>
          <w:p w14:paraId="755BDF9A" w14:textId="77777777" w:rsidR="00BA172C" w:rsidRPr="00B7364B" w:rsidRDefault="00BA172C" w:rsidP="00B95821">
            <w:pPr>
              <w:spacing w:before="100" w:after="100"/>
              <w:rPr>
                <w:b/>
                <w:sz w:val="20"/>
              </w:rPr>
            </w:pPr>
            <w:r w:rsidRPr="00B7364B">
              <w:rPr>
                <w:sz w:val="20"/>
              </w:rPr>
              <w:t xml:space="preserve">Croatia </w:t>
            </w:r>
          </w:p>
        </w:tc>
        <w:tc>
          <w:tcPr>
            <w:tcW w:w="2205" w:type="dxa"/>
            <w:shd w:val="clear" w:color="auto" w:fill="auto"/>
          </w:tcPr>
          <w:p w14:paraId="609DFF78" w14:textId="77777777" w:rsidR="00BA172C" w:rsidRPr="00B7364B" w:rsidRDefault="00BA172C" w:rsidP="00B95821">
            <w:pPr>
              <w:spacing w:before="100" w:after="100"/>
              <w:rPr>
                <w:b/>
                <w:sz w:val="20"/>
              </w:rPr>
            </w:pPr>
            <w:r w:rsidRPr="00B7364B">
              <w:rPr>
                <w:sz w:val="20"/>
              </w:rPr>
              <w:t>France</w:t>
            </w:r>
          </w:p>
        </w:tc>
      </w:tr>
      <w:tr w:rsidR="00BA172C" w:rsidRPr="00B7364B" w14:paraId="37993D21" w14:textId="77777777" w:rsidTr="00B95821">
        <w:tc>
          <w:tcPr>
            <w:tcW w:w="2205" w:type="dxa"/>
            <w:shd w:val="clear" w:color="auto" w:fill="auto"/>
          </w:tcPr>
          <w:p w14:paraId="4D7DF221" w14:textId="77777777" w:rsidR="00BA172C" w:rsidRPr="00B7364B" w:rsidRDefault="00BA172C" w:rsidP="00B95821">
            <w:pPr>
              <w:spacing w:before="100" w:after="100"/>
              <w:rPr>
                <w:b/>
                <w:sz w:val="20"/>
              </w:rPr>
            </w:pPr>
            <w:r w:rsidRPr="00B7364B">
              <w:rPr>
                <w:sz w:val="20"/>
              </w:rPr>
              <w:t>Germany</w:t>
            </w:r>
          </w:p>
        </w:tc>
        <w:tc>
          <w:tcPr>
            <w:tcW w:w="2205" w:type="dxa"/>
            <w:shd w:val="clear" w:color="auto" w:fill="auto"/>
          </w:tcPr>
          <w:p w14:paraId="73BEC928" w14:textId="77777777" w:rsidR="00BA172C" w:rsidRPr="00B7364B" w:rsidRDefault="00BA172C" w:rsidP="00B95821">
            <w:pPr>
              <w:spacing w:before="100" w:after="100"/>
              <w:rPr>
                <w:b/>
                <w:sz w:val="20"/>
              </w:rPr>
            </w:pPr>
            <w:r w:rsidRPr="00B7364B">
              <w:rPr>
                <w:sz w:val="20"/>
              </w:rPr>
              <w:t>Greece</w:t>
            </w:r>
          </w:p>
        </w:tc>
        <w:tc>
          <w:tcPr>
            <w:tcW w:w="2205" w:type="dxa"/>
            <w:shd w:val="clear" w:color="auto" w:fill="auto"/>
          </w:tcPr>
          <w:p w14:paraId="7937F651" w14:textId="77777777" w:rsidR="00BA172C" w:rsidRPr="00B7364B" w:rsidRDefault="00BA172C" w:rsidP="00B95821">
            <w:pPr>
              <w:spacing w:before="100" w:after="100"/>
              <w:rPr>
                <w:b/>
                <w:sz w:val="20"/>
              </w:rPr>
            </w:pPr>
            <w:r w:rsidRPr="00B7364B">
              <w:rPr>
                <w:sz w:val="20"/>
              </w:rPr>
              <w:t>Hong Kong</w:t>
            </w:r>
          </w:p>
        </w:tc>
        <w:tc>
          <w:tcPr>
            <w:tcW w:w="2205" w:type="dxa"/>
            <w:shd w:val="clear" w:color="auto" w:fill="auto"/>
          </w:tcPr>
          <w:p w14:paraId="72F18C1E" w14:textId="77777777" w:rsidR="00BA172C" w:rsidRPr="00B7364B" w:rsidRDefault="00BA172C" w:rsidP="00B95821">
            <w:pPr>
              <w:spacing w:before="100" w:after="100"/>
              <w:rPr>
                <w:b/>
                <w:sz w:val="20"/>
              </w:rPr>
            </w:pPr>
            <w:r w:rsidRPr="00B7364B">
              <w:rPr>
                <w:sz w:val="20"/>
              </w:rPr>
              <w:t>Hungary</w:t>
            </w:r>
          </w:p>
        </w:tc>
      </w:tr>
      <w:tr w:rsidR="00BA172C" w:rsidRPr="00B7364B" w14:paraId="61C0B0DE" w14:textId="77777777" w:rsidTr="00B95821">
        <w:tc>
          <w:tcPr>
            <w:tcW w:w="2205" w:type="dxa"/>
            <w:shd w:val="clear" w:color="auto" w:fill="auto"/>
          </w:tcPr>
          <w:p w14:paraId="0CCAF9ED" w14:textId="77777777" w:rsidR="00BA172C" w:rsidRPr="00B7364B" w:rsidRDefault="00BA172C" w:rsidP="00B95821">
            <w:pPr>
              <w:spacing w:before="100" w:after="100"/>
              <w:rPr>
                <w:b/>
                <w:sz w:val="20"/>
              </w:rPr>
            </w:pPr>
            <w:r w:rsidRPr="00B7364B">
              <w:rPr>
                <w:sz w:val="20"/>
              </w:rPr>
              <w:t>Indonesia</w:t>
            </w:r>
          </w:p>
        </w:tc>
        <w:tc>
          <w:tcPr>
            <w:tcW w:w="2205" w:type="dxa"/>
            <w:shd w:val="clear" w:color="auto" w:fill="auto"/>
          </w:tcPr>
          <w:p w14:paraId="61E2B1E4" w14:textId="77777777" w:rsidR="00BA172C" w:rsidRPr="00B7364B" w:rsidRDefault="00BA172C" w:rsidP="00B95821">
            <w:pPr>
              <w:spacing w:before="100" w:after="100"/>
              <w:rPr>
                <w:b/>
                <w:sz w:val="20"/>
              </w:rPr>
            </w:pPr>
            <w:r w:rsidRPr="00B7364B">
              <w:rPr>
                <w:sz w:val="20"/>
              </w:rPr>
              <w:t>India</w:t>
            </w:r>
          </w:p>
        </w:tc>
        <w:tc>
          <w:tcPr>
            <w:tcW w:w="2205" w:type="dxa"/>
            <w:shd w:val="clear" w:color="auto" w:fill="auto"/>
          </w:tcPr>
          <w:p w14:paraId="50CF6BE4" w14:textId="77777777" w:rsidR="00BA172C" w:rsidRPr="00B7364B" w:rsidRDefault="00BA172C" w:rsidP="00B95821">
            <w:pPr>
              <w:spacing w:before="100" w:after="100"/>
              <w:rPr>
                <w:b/>
                <w:sz w:val="20"/>
              </w:rPr>
            </w:pPr>
            <w:r w:rsidRPr="00B7364B">
              <w:rPr>
                <w:sz w:val="20"/>
              </w:rPr>
              <w:t>Ireland</w:t>
            </w:r>
          </w:p>
        </w:tc>
        <w:tc>
          <w:tcPr>
            <w:tcW w:w="2205" w:type="dxa"/>
            <w:shd w:val="clear" w:color="auto" w:fill="auto"/>
          </w:tcPr>
          <w:p w14:paraId="406AF187" w14:textId="77777777" w:rsidR="00BA172C" w:rsidRPr="00B7364B" w:rsidRDefault="00BA172C" w:rsidP="00B95821">
            <w:pPr>
              <w:spacing w:before="100" w:after="100"/>
              <w:rPr>
                <w:b/>
                <w:sz w:val="20"/>
              </w:rPr>
            </w:pPr>
            <w:r w:rsidRPr="00B7364B">
              <w:rPr>
                <w:sz w:val="20"/>
              </w:rPr>
              <w:t>Italy</w:t>
            </w:r>
          </w:p>
        </w:tc>
      </w:tr>
      <w:tr w:rsidR="00BA172C" w:rsidRPr="00B7364B" w14:paraId="4D141085" w14:textId="77777777" w:rsidTr="00B95821">
        <w:tc>
          <w:tcPr>
            <w:tcW w:w="2205" w:type="dxa"/>
            <w:shd w:val="clear" w:color="auto" w:fill="auto"/>
          </w:tcPr>
          <w:p w14:paraId="384E12E9" w14:textId="77777777" w:rsidR="00BA172C" w:rsidRPr="00B7364B" w:rsidRDefault="00BA172C" w:rsidP="00B95821">
            <w:pPr>
              <w:spacing w:before="100" w:after="100"/>
              <w:rPr>
                <w:b/>
                <w:sz w:val="20"/>
              </w:rPr>
            </w:pPr>
            <w:r w:rsidRPr="00B7364B">
              <w:rPr>
                <w:sz w:val="20"/>
              </w:rPr>
              <w:t xml:space="preserve">Japan </w:t>
            </w:r>
          </w:p>
        </w:tc>
        <w:tc>
          <w:tcPr>
            <w:tcW w:w="2205" w:type="dxa"/>
            <w:shd w:val="clear" w:color="auto" w:fill="auto"/>
          </w:tcPr>
          <w:p w14:paraId="26383B74" w14:textId="77777777" w:rsidR="00BA172C" w:rsidRPr="00B7364B" w:rsidRDefault="00BA172C" w:rsidP="00B95821">
            <w:pPr>
              <w:spacing w:before="100" w:after="100"/>
              <w:rPr>
                <w:b/>
                <w:sz w:val="20"/>
              </w:rPr>
            </w:pPr>
            <w:r w:rsidRPr="00B7364B">
              <w:rPr>
                <w:sz w:val="20"/>
              </w:rPr>
              <w:t>Malaysia</w:t>
            </w:r>
          </w:p>
        </w:tc>
        <w:tc>
          <w:tcPr>
            <w:tcW w:w="2205" w:type="dxa"/>
            <w:shd w:val="clear" w:color="auto" w:fill="auto"/>
          </w:tcPr>
          <w:p w14:paraId="564D9D91" w14:textId="77777777" w:rsidR="00BA172C" w:rsidRPr="00B7364B" w:rsidRDefault="00BA172C" w:rsidP="00B95821">
            <w:pPr>
              <w:spacing w:before="100" w:after="100"/>
              <w:rPr>
                <w:b/>
                <w:sz w:val="20"/>
              </w:rPr>
            </w:pPr>
            <w:r w:rsidRPr="00B7364B">
              <w:rPr>
                <w:sz w:val="20"/>
              </w:rPr>
              <w:t>Netherlands</w:t>
            </w:r>
          </w:p>
        </w:tc>
        <w:tc>
          <w:tcPr>
            <w:tcW w:w="2205" w:type="dxa"/>
            <w:shd w:val="clear" w:color="auto" w:fill="auto"/>
          </w:tcPr>
          <w:p w14:paraId="7AA2A800" w14:textId="77777777" w:rsidR="00BA172C" w:rsidRPr="00B7364B" w:rsidRDefault="00BA172C" w:rsidP="00B95821">
            <w:pPr>
              <w:spacing w:before="100" w:after="100"/>
              <w:rPr>
                <w:b/>
                <w:sz w:val="20"/>
              </w:rPr>
            </w:pPr>
            <w:r w:rsidRPr="00B7364B">
              <w:rPr>
                <w:sz w:val="20"/>
              </w:rPr>
              <w:t>New Zealand</w:t>
            </w:r>
          </w:p>
        </w:tc>
      </w:tr>
      <w:tr w:rsidR="00BA172C" w:rsidRPr="00B7364B" w14:paraId="27DE6E80" w14:textId="77777777" w:rsidTr="00B95821">
        <w:tc>
          <w:tcPr>
            <w:tcW w:w="2205" w:type="dxa"/>
            <w:shd w:val="clear" w:color="auto" w:fill="auto"/>
          </w:tcPr>
          <w:p w14:paraId="15CA965C" w14:textId="77777777" w:rsidR="00BA172C" w:rsidRPr="00B7364B" w:rsidRDefault="00BA172C" w:rsidP="00B95821">
            <w:pPr>
              <w:spacing w:before="100" w:after="100"/>
              <w:rPr>
                <w:b/>
                <w:sz w:val="20"/>
              </w:rPr>
            </w:pPr>
            <w:r w:rsidRPr="00B7364B">
              <w:rPr>
                <w:sz w:val="20"/>
              </w:rPr>
              <w:lastRenderedPageBreak/>
              <w:t xml:space="preserve">Pakistan </w:t>
            </w:r>
          </w:p>
        </w:tc>
        <w:tc>
          <w:tcPr>
            <w:tcW w:w="2205" w:type="dxa"/>
            <w:shd w:val="clear" w:color="auto" w:fill="auto"/>
          </w:tcPr>
          <w:p w14:paraId="17F70B4F" w14:textId="77777777" w:rsidR="00BA172C" w:rsidRPr="00B7364B" w:rsidRDefault="00BA172C" w:rsidP="00B95821">
            <w:pPr>
              <w:spacing w:before="100" w:after="100"/>
              <w:rPr>
                <w:b/>
                <w:sz w:val="20"/>
              </w:rPr>
            </w:pPr>
            <w:r w:rsidRPr="00B7364B">
              <w:rPr>
                <w:sz w:val="20"/>
              </w:rPr>
              <w:t>Philippines</w:t>
            </w:r>
          </w:p>
        </w:tc>
        <w:tc>
          <w:tcPr>
            <w:tcW w:w="2205" w:type="dxa"/>
            <w:shd w:val="clear" w:color="auto" w:fill="auto"/>
          </w:tcPr>
          <w:p w14:paraId="7B799EE7" w14:textId="77777777" w:rsidR="00BA172C" w:rsidRPr="00B7364B" w:rsidRDefault="00BA172C" w:rsidP="00B95821">
            <w:pPr>
              <w:spacing w:before="100" w:after="100"/>
              <w:rPr>
                <w:b/>
                <w:sz w:val="20"/>
              </w:rPr>
            </w:pPr>
            <w:r w:rsidRPr="00B7364B">
              <w:rPr>
                <w:sz w:val="20"/>
              </w:rPr>
              <w:t xml:space="preserve">Poland </w:t>
            </w:r>
          </w:p>
        </w:tc>
        <w:tc>
          <w:tcPr>
            <w:tcW w:w="2205" w:type="dxa"/>
            <w:shd w:val="clear" w:color="auto" w:fill="auto"/>
          </w:tcPr>
          <w:p w14:paraId="03D1EF85" w14:textId="77777777" w:rsidR="00BA172C" w:rsidRPr="00B7364B" w:rsidRDefault="00BA172C" w:rsidP="00B95821">
            <w:pPr>
              <w:spacing w:before="100" w:after="100"/>
              <w:rPr>
                <w:b/>
                <w:sz w:val="20"/>
              </w:rPr>
            </w:pPr>
            <w:r w:rsidRPr="00B7364B">
              <w:rPr>
                <w:sz w:val="20"/>
              </w:rPr>
              <w:t>Singapore</w:t>
            </w:r>
          </w:p>
        </w:tc>
      </w:tr>
      <w:tr w:rsidR="00BA172C" w:rsidRPr="00B7364B" w14:paraId="4F7F34CC" w14:textId="77777777" w:rsidTr="00B95821">
        <w:tc>
          <w:tcPr>
            <w:tcW w:w="2205" w:type="dxa"/>
            <w:shd w:val="clear" w:color="auto" w:fill="auto"/>
          </w:tcPr>
          <w:p w14:paraId="1B41EC49" w14:textId="77777777" w:rsidR="00BA172C" w:rsidRPr="00B7364B" w:rsidRDefault="00BA172C" w:rsidP="00B95821">
            <w:pPr>
              <w:spacing w:before="100" w:after="100"/>
              <w:rPr>
                <w:b/>
                <w:sz w:val="20"/>
              </w:rPr>
            </w:pPr>
            <w:r w:rsidRPr="00B7364B">
              <w:rPr>
                <w:sz w:val="20"/>
              </w:rPr>
              <w:t xml:space="preserve">South Africa </w:t>
            </w:r>
          </w:p>
        </w:tc>
        <w:tc>
          <w:tcPr>
            <w:tcW w:w="2205" w:type="dxa"/>
            <w:shd w:val="clear" w:color="auto" w:fill="auto"/>
          </w:tcPr>
          <w:p w14:paraId="4B126072" w14:textId="77777777" w:rsidR="00BA172C" w:rsidRPr="00B7364B" w:rsidRDefault="00BA172C" w:rsidP="00B95821">
            <w:pPr>
              <w:spacing w:before="100" w:after="100"/>
              <w:rPr>
                <w:b/>
                <w:sz w:val="20"/>
              </w:rPr>
            </w:pPr>
            <w:r w:rsidRPr="00B7364B">
              <w:rPr>
                <w:sz w:val="20"/>
              </w:rPr>
              <w:t>South Korea</w:t>
            </w:r>
          </w:p>
        </w:tc>
        <w:tc>
          <w:tcPr>
            <w:tcW w:w="2205" w:type="dxa"/>
            <w:shd w:val="clear" w:color="auto" w:fill="auto"/>
          </w:tcPr>
          <w:p w14:paraId="1B0ACA89" w14:textId="77777777" w:rsidR="00BA172C" w:rsidRPr="00B7364B" w:rsidRDefault="00BA172C" w:rsidP="00B95821">
            <w:pPr>
              <w:spacing w:before="100" w:after="100"/>
              <w:rPr>
                <w:b/>
                <w:sz w:val="20"/>
              </w:rPr>
            </w:pPr>
            <w:r w:rsidRPr="00B7364B">
              <w:rPr>
                <w:sz w:val="20"/>
              </w:rPr>
              <w:t xml:space="preserve">Taiwan </w:t>
            </w:r>
          </w:p>
        </w:tc>
        <w:tc>
          <w:tcPr>
            <w:tcW w:w="2205" w:type="dxa"/>
            <w:shd w:val="clear" w:color="auto" w:fill="auto"/>
          </w:tcPr>
          <w:p w14:paraId="0808AA70" w14:textId="77777777" w:rsidR="00BA172C" w:rsidRPr="00B7364B" w:rsidRDefault="00BA172C" w:rsidP="00B95821">
            <w:pPr>
              <w:spacing w:before="100" w:after="100"/>
              <w:rPr>
                <w:b/>
                <w:sz w:val="20"/>
              </w:rPr>
            </w:pPr>
            <w:r w:rsidRPr="00B7364B">
              <w:rPr>
                <w:sz w:val="20"/>
              </w:rPr>
              <w:t>Thailand</w:t>
            </w:r>
          </w:p>
        </w:tc>
      </w:tr>
      <w:tr w:rsidR="00BA172C" w:rsidRPr="00B7364B" w14:paraId="786CAE94" w14:textId="77777777" w:rsidTr="00B95821">
        <w:tc>
          <w:tcPr>
            <w:tcW w:w="2205" w:type="dxa"/>
            <w:shd w:val="clear" w:color="auto" w:fill="auto"/>
          </w:tcPr>
          <w:p w14:paraId="5E195318" w14:textId="77777777" w:rsidR="00BA172C" w:rsidRPr="00B7364B" w:rsidRDefault="00BA172C" w:rsidP="00B95821">
            <w:pPr>
              <w:spacing w:before="100" w:after="100"/>
              <w:rPr>
                <w:b/>
                <w:sz w:val="20"/>
              </w:rPr>
            </w:pPr>
            <w:r w:rsidRPr="00B7364B">
              <w:rPr>
                <w:sz w:val="20"/>
              </w:rPr>
              <w:t>Turkey</w:t>
            </w:r>
          </w:p>
        </w:tc>
        <w:tc>
          <w:tcPr>
            <w:tcW w:w="2205" w:type="dxa"/>
            <w:shd w:val="clear" w:color="auto" w:fill="auto"/>
          </w:tcPr>
          <w:p w14:paraId="0C95A985" w14:textId="77777777" w:rsidR="00BA172C" w:rsidRPr="00B7364B" w:rsidRDefault="00BA172C" w:rsidP="00B95821">
            <w:pPr>
              <w:spacing w:before="100" w:after="100"/>
              <w:rPr>
                <w:b/>
                <w:sz w:val="20"/>
              </w:rPr>
            </w:pPr>
            <w:r w:rsidRPr="00B7364B">
              <w:rPr>
                <w:sz w:val="20"/>
              </w:rPr>
              <w:t>United Kingdom</w:t>
            </w:r>
          </w:p>
        </w:tc>
        <w:tc>
          <w:tcPr>
            <w:tcW w:w="2205" w:type="dxa"/>
            <w:shd w:val="clear" w:color="auto" w:fill="auto"/>
          </w:tcPr>
          <w:p w14:paraId="64951913" w14:textId="77777777" w:rsidR="00BA172C" w:rsidRPr="00B7364B" w:rsidRDefault="00BA172C" w:rsidP="00B95821">
            <w:pPr>
              <w:spacing w:before="100" w:after="100"/>
              <w:rPr>
                <w:b/>
                <w:sz w:val="20"/>
              </w:rPr>
            </w:pPr>
            <w:r w:rsidRPr="00B7364B">
              <w:rPr>
                <w:sz w:val="20"/>
              </w:rPr>
              <w:t xml:space="preserve">USA </w:t>
            </w:r>
          </w:p>
        </w:tc>
        <w:tc>
          <w:tcPr>
            <w:tcW w:w="2205" w:type="dxa"/>
            <w:shd w:val="clear" w:color="auto" w:fill="auto"/>
          </w:tcPr>
          <w:p w14:paraId="46EFCBDD" w14:textId="77777777" w:rsidR="00BA172C" w:rsidRPr="00B7364B" w:rsidRDefault="00BA172C" w:rsidP="00B95821">
            <w:pPr>
              <w:spacing w:before="100" w:after="100"/>
              <w:rPr>
                <w:b/>
                <w:sz w:val="20"/>
              </w:rPr>
            </w:pPr>
            <w:r w:rsidRPr="00B7364B">
              <w:rPr>
                <w:sz w:val="20"/>
              </w:rPr>
              <w:t>Vietnam</w:t>
            </w:r>
          </w:p>
        </w:tc>
      </w:tr>
    </w:tbl>
    <w:p w14:paraId="7C726709" w14:textId="77777777" w:rsidR="00BA172C" w:rsidRPr="00B7364B" w:rsidRDefault="00BA172C" w:rsidP="00BA172C"/>
    <w:p w14:paraId="4BE7CD76" w14:textId="77777777" w:rsidR="00BA172C" w:rsidRPr="00B7364B" w:rsidRDefault="00BA172C" w:rsidP="00BA172C">
      <w:pPr>
        <w:numPr>
          <w:ilvl w:val="5"/>
          <w:numId w:val="1"/>
        </w:numPr>
        <w:spacing w:after="200"/>
        <w:outlineLvl w:val="5"/>
        <w:rPr>
          <w:rFonts w:eastAsia="Times New Roman"/>
          <w:bCs/>
          <w:sz w:val="20"/>
          <w:szCs w:val="22"/>
        </w:rPr>
      </w:pPr>
      <w:bookmarkStart w:id="1802" w:name="_Toc479674719"/>
      <w:r w:rsidRPr="00B7364B">
        <w:rPr>
          <w:rFonts w:eastAsia="Times New Roman"/>
          <w:bCs/>
          <w:sz w:val="20"/>
          <w:szCs w:val="22"/>
        </w:rPr>
        <w:t>My Account</w:t>
      </w:r>
      <w:bookmarkEnd w:id="1802"/>
    </w:p>
    <w:p w14:paraId="16C21830" w14:textId="77777777" w:rsidR="00BA172C" w:rsidRPr="00B7364B" w:rsidRDefault="00BA172C" w:rsidP="00BA172C">
      <w:pPr>
        <w:spacing w:after="200"/>
        <w:ind w:left="720"/>
        <w:rPr>
          <w:sz w:val="20"/>
        </w:rPr>
      </w:pPr>
      <w:r w:rsidRPr="00B7364B">
        <w:rPr>
          <w:sz w:val="20"/>
        </w:rPr>
        <w:t xml:space="preserve">Services that share data may have a service login to My Account which will display all of the service numbers contributing to or using the shared data pool on </w:t>
      </w:r>
      <w:r w:rsidRPr="00B7364B">
        <w:rPr>
          <w:i/>
          <w:sz w:val="20"/>
        </w:rPr>
        <w:t xml:space="preserve">your </w:t>
      </w:r>
      <w:r w:rsidRPr="00B7364B">
        <w:rPr>
          <w:sz w:val="20"/>
        </w:rPr>
        <w:t xml:space="preserve">account and the amount of data each service has used. If </w:t>
      </w:r>
      <w:r w:rsidRPr="00B7364B">
        <w:rPr>
          <w:i/>
          <w:sz w:val="20"/>
        </w:rPr>
        <w:t>you</w:t>
      </w:r>
      <w:r w:rsidRPr="00B7364B">
        <w:rPr>
          <w:sz w:val="20"/>
        </w:rPr>
        <w:t xml:space="preserve"> have more than 6 services on </w:t>
      </w:r>
      <w:r w:rsidRPr="00B7364B">
        <w:rPr>
          <w:i/>
          <w:sz w:val="20"/>
        </w:rPr>
        <w:t xml:space="preserve">your </w:t>
      </w:r>
      <w:r w:rsidRPr="00B7364B">
        <w:rPr>
          <w:sz w:val="20"/>
        </w:rPr>
        <w:t xml:space="preserve">account, My Account may not be suitable for viewing usage and managing </w:t>
      </w:r>
      <w:r w:rsidRPr="00B7364B">
        <w:rPr>
          <w:i/>
          <w:sz w:val="20"/>
        </w:rPr>
        <w:t xml:space="preserve">your </w:t>
      </w:r>
      <w:r w:rsidRPr="00B7364B">
        <w:rPr>
          <w:sz w:val="20"/>
        </w:rPr>
        <w:t>usage alerts.</w:t>
      </w:r>
    </w:p>
    <w:p w14:paraId="2F26A7A1" w14:textId="77777777" w:rsidR="00BA172C" w:rsidRPr="00B7364B" w:rsidRDefault="00BA172C" w:rsidP="00BA172C">
      <w:pPr>
        <w:numPr>
          <w:ilvl w:val="5"/>
          <w:numId w:val="1"/>
        </w:numPr>
        <w:spacing w:after="200"/>
        <w:outlineLvl w:val="5"/>
        <w:rPr>
          <w:rFonts w:eastAsia="Times New Roman" w:cs="Arial"/>
          <w:sz w:val="20"/>
          <w:szCs w:val="20"/>
          <w:lang w:val="en-AU"/>
        </w:rPr>
      </w:pPr>
      <w:r w:rsidRPr="00B7364B">
        <w:rPr>
          <w:rFonts w:eastAsia="Times New Roman" w:cs="Arial"/>
          <w:sz w:val="20"/>
          <w:szCs w:val="20"/>
          <w:lang w:val="en-AU"/>
        </w:rPr>
        <w:t xml:space="preserve">What happens if the </w:t>
      </w:r>
      <w:r w:rsidRPr="00B7364B">
        <w:rPr>
          <w:rFonts w:eastAsia="Times New Roman" w:cs="Arial"/>
          <w:i/>
          <w:sz w:val="20"/>
          <w:szCs w:val="20"/>
          <w:lang w:val="en-AU"/>
        </w:rPr>
        <w:t xml:space="preserve">service </w:t>
      </w:r>
      <w:r w:rsidRPr="00B7364B">
        <w:rPr>
          <w:rFonts w:eastAsia="Times New Roman" w:cs="Arial"/>
          <w:sz w:val="20"/>
          <w:szCs w:val="20"/>
          <w:lang w:val="en-AU"/>
        </w:rPr>
        <w:t>is</w:t>
      </w:r>
      <w:r w:rsidRPr="00B7364B">
        <w:rPr>
          <w:rFonts w:eastAsia="Times New Roman" w:cs="Arial"/>
          <w:i/>
          <w:sz w:val="20"/>
          <w:szCs w:val="20"/>
          <w:lang w:val="en-AU"/>
        </w:rPr>
        <w:t xml:space="preserve"> cancelled </w:t>
      </w:r>
      <w:r w:rsidRPr="00B7364B">
        <w:rPr>
          <w:rFonts w:eastAsia="Times New Roman" w:cs="Arial"/>
          <w:sz w:val="20"/>
          <w:szCs w:val="20"/>
          <w:lang w:val="en-AU"/>
        </w:rPr>
        <w:t xml:space="preserve">early? </w:t>
      </w:r>
    </w:p>
    <w:p w14:paraId="78F99C2F" w14:textId="77777777" w:rsidR="00BA172C" w:rsidRPr="00B7364B" w:rsidRDefault="00BA172C" w:rsidP="00BA172C">
      <w:pPr>
        <w:numPr>
          <w:ilvl w:val="6"/>
          <w:numId w:val="1"/>
        </w:numPr>
        <w:spacing w:after="200"/>
        <w:ind w:left="1440"/>
        <w:outlineLvl w:val="6"/>
        <w:rPr>
          <w:rFonts w:eastAsia="Times New Roman" w:cs="Arial"/>
          <w:sz w:val="20"/>
          <w:szCs w:val="20"/>
          <w:lang w:val="en-AU"/>
        </w:rPr>
      </w:pPr>
      <w:r w:rsidRPr="00B7364B">
        <w:rPr>
          <w:rFonts w:eastAsia="Times New Roman" w:cs="Arial"/>
          <w:sz w:val="20"/>
          <w:szCs w:val="20"/>
          <w:lang w:val="en-AU"/>
        </w:rPr>
        <w:t>If the</w:t>
      </w:r>
      <w:r w:rsidRPr="00B7364B">
        <w:rPr>
          <w:rFonts w:eastAsia="Times New Roman" w:cs="Arial"/>
          <w:i/>
          <w:sz w:val="20"/>
          <w:szCs w:val="20"/>
          <w:lang w:val="en-AU"/>
        </w:rPr>
        <w:t xml:space="preserve"> service</w:t>
      </w:r>
      <w:r w:rsidRPr="00B7364B">
        <w:rPr>
          <w:rFonts w:eastAsia="Times New Roman" w:cs="Arial"/>
          <w:sz w:val="20"/>
          <w:szCs w:val="20"/>
          <w:lang w:val="en-AU"/>
        </w:rPr>
        <w:t xml:space="preserve"> is</w:t>
      </w:r>
      <w:r w:rsidRPr="00B7364B">
        <w:rPr>
          <w:rFonts w:eastAsia="Times New Roman" w:cs="Arial"/>
          <w:i/>
          <w:sz w:val="20"/>
          <w:szCs w:val="20"/>
          <w:lang w:val="en-AU"/>
        </w:rPr>
        <w:t xml:space="preserve"> cancelled </w:t>
      </w:r>
      <w:r w:rsidRPr="00B7364B">
        <w:rPr>
          <w:rFonts w:eastAsia="Times New Roman" w:cs="Arial"/>
          <w:sz w:val="20"/>
          <w:szCs w:val="20"/>
          <w:lang w:val="en-AU"/>
        </w:rPr>
        <w:t xml:space="preserve">before the end of </w:t>
      </w:r>
      <w:r w:rsidRPr="00B7364B">
        <w:rPr>
          <w:rFonts w:eastAsia="Times New Roman" w:cs="Arial"/>
          <w:i/>
          <w:sz w:val="20"/>
          <w:szCs w:val="20"/>
          <w:lang w:val="en-AU"/>
        </w:rPr>
        <w:t xml:space="preserve">your minimum term, you </w:t>
      </w:r>
      <w:r w:rsidRPr="00B7364B">
        <w:rPr>
          <w:rFonts w:eastAsia="Times New Roman" w:cs="Arial"/>
          <w:sz w:val="20"/>
          <w:szCs w:val="20"/>
          <w:lang w:val="en-AU"/>
        </w:rPr>
        <w:t xml:space="preserve">will be required to pay </w:t>
      </w:r>
      <w:r w:rsidRPr="00B7364B">
        <w:rPr>
          <w:rFonts w:eastAsia="Times New Roman" w:cs="Arial"/>
          <w:i/>
          <w:sz w:val="20"/>
          <w:szCs w:val="20"/>
          <w:lang w:val="en-AU"/>
        </w:rPr>
        <w:t>us</w:t>
      </w:r>
      <w:r w:rsidRPr="00B7364B">
        <w:rPr>
          <w:rFonts w:eastAsia="Times New Roman" w:cs="Arial"/>
          <w:sz w:val="20"/>
          <w:szCs w:val="20"/>
          <w:lang w:val="en-AU"/>
        </w:rPr>
        <w:t>:</w:t>
      </w:r>
    </w:p>
    <w:p w14:paraId="1AE9A8F8" w14:textId="77777777" w:rsidR="00BA172C" w:rsidRPr="00B7364B" w:rsidRDefault="00BA172C" w:rsidP="00BA172C">
      <w:pPr>
        <w:numPr>
          <w:ilvl w:val="7"/>
          <w:numId w:val="1"/>
        </w:numPr>
        <w:spacing w:after="200"/>
        <w:outlineLvl w:val="7"/>
        <w:rPr>
          <w:rFonts w:eastAsia="Times New Roman" w:cs="Arial"/>
          <w:sz w:val="20"/>
          <w:szCs w:val="20"/>
          <w:lang w:val="en-AU"/>
        </w:rPr>
      </w:pPr>
      <w:r w:rsidRPr="00B7364B">
        <w:rPr>
          <w:rFonts w:eastAsia="Times New Roman" w:cs="Arial"/>
          <w:sz w:val="20"/>
          <w:szCs w:val="20"/>
          <w:lang w:val="en-AU"/>
        </w:rPr>
        <w:t xml:space="preserve">any usage charges incurred up to, and including, the </w:t>
      </w:r>
      <w:r w:rsidRPr="00B7364B">
        <w:rPr>
          <w:rFonts w:eastAsia="Times New Roman" w:cs="Arial"/>
          <w:i/>
          <w:sz w:val="20"/>
          <w:szCs w:val="20"/>
          <w:lang w:val="en-AU"/>
        </w:rPr>
        <w:t xml:space="preserve">cancellation date; </w:t>
      </w:r>
      <w:r w:rsidRPr="00B7364B">
        <w:rPr>
          <w:rFonts w:eastAsia="Times New Roman" w:cs="Arial"/>
          <w:sz w:val="20"/>
          <w:szCs w:val="20"/>
          <w:lang w:val="en-AU"/>
        </w:rPr>
        <w:t>plus</w:t>
      </w:r>
    </w:p>
    <w:p w14:paraId="1103E92B" w14:textId="77777777" w:rsidR="00BA172C" w:rsidRPr="00B7364B" w:rsidRDefault="00BA172C" w:rsidP="00BA172C">
      <w:pPr>
        <w:numPr>
          <w:ilvl w:val="7"/>
          <w:numId w:val="1"/>
        </w:numPr>
        <w:spacing w:after="200"/>
        <w:outlineLvl w:val="7"/>
        <w:rPr>
          <w:rFonts w:eastAsia="Times New Roman" w:cs="Arial"/>
          <w:sz w:val="20"/>
          <w:szCs w:val="20"/>
          <w:lang w:val="en-AU"/>
        </w:rPr>
      </w:pPr>
      <w:r w:rsidRPr="00B7364B">
        <w:rPr>
          <w:rFonts w:eastAsia="Times New Roman" w:cs="Arial"/>
          <w:sz w:val="20"/>
          <w:szCs w:val="20"/>
          <w:lang w:val="en-AU"/>
        </w:rPr>
        <w:t xml:space="preserve">the sum of unpaid </w:t>
      </w:r>
      <w:r w:rsidRPr="00B7364B">
        <w:rPr>
          <w:rFonts w:eastAsia="Times New Roman" w:cs="Arial"/>
          <w:i/>
          <w:sz w:val="20"/>
          <w:szCs w:val="20"/>
          <w:lang w:val="en-AU"/>
        </w:rPr>
        <w:t xml:space="preserve">equipment charges </w:t>
      </w:r>
      <w:r w:rsidRPr="00B7364B">
        <w:rPr>
          <w:rFonts w:eastAsia="Times New Roman" w:cs="Arial"/>
          <w:sz w:val="20"/>
          <w:szCs w:val="20"/>
          <w:lang w:val="en-AU"/>
        </w:rPr>
        <w:t xml:space="preserve">owing on </w:t>
      </w:r>
      <w:r w:rsidRPr="00B7364B">
        <w:rPr>
          <w:rFonts w:eastAsia="Times New Roman" w:cs="Arial"/>
          <w:i/>
          <w:sz w:val="20"/>
          <w:szCs w:val="20"/>
          <w:lang w:val="en-AU"/>
        </w:rPr>
        <w:t xml:space="preserve">your mobile phone </w:t>
      </w:r>
      <w:r w:rsidRPr="00B7364B">
        <w:rPr>
          <w:rFonts w:eastAsia="Times New Roman" w:cs="Arial"/>
          <w:sz w:val="20"/>
          <w:szCs w:val="20"/>
          <w:lang w:val="en-AU"/>
        </w:rPr>
        <w:t xml:space="preserve">under the </w:t>
      </w:r>
      <w:r w:rsidRPr="00B7364B">
        <w:rPr>
          <w:rFonts w:eastAsia="Times New Roman" w:cs="Arial"/>
          <w:i/>
          <w:sz w:val="20"/>
          <w:szCs w:val="20"/>
          <w:lang w:val="en-AU"/>
        </w:rPr>
        <w:t xml:space="preserve">mobile equipment payment plan </w:t>
      </w:r>
      <w:r w:rsidRPr="00B7364B">
        <w:rPr>
          <w:rFonts w:eastAsia="Times New Roman" w:cs="Arial"/>
          <w:sz w:val="20"/>
          <w:szCs w:val="20"/>
          <w:lang w:val="en-AU"/>
        </w:rPr>
        <w:t xml:space="preserve">(if any). </w:t>
      </w:r>
    </w:p>
    <w:p w14:paraId="5E14DD80" w14:textId="77777777" w:rsidR="00BA172C" w:rsidRPr="00B7364B" w:rsidRDefault="00BA172C" w:rsidP="00BA172C">
      <w:pPr>
        <w:numPr>
          <w:ilvl w:val="6"/>
          <w:numId w:val="1"/>
        </w:numPr>
        <w:spacing w:after="200"/>
        <w:ind w:left="1440"/>
        <w:outlineLvl w:val="6"/>
        <w:rPr>
          <w:rFonts w:eastAsia="Times New Roman" w:cs="Arial"/>
          <w:sz w:val="20"/>
          <w:szCs w:val="20"/>
          <w:lang w:val="en-AU"/>
        </w:rPr>
      </w:pPr>
      <w:r w:rsidRPr="00B7364B">
        <w:rPr>
          <w:rFonts w:eastAsia="Times New Roman" w:cs="Arial"/>
          <w:sz w:val="20"/>
          <w:szCs w:val="20"/>
          <w:lang w:val="en-AU"/>
        </w:rPr>
        <w:t xml:space="preserve">The </w:t>
      </w:r>
      <w:r w:rsidRPr="00B7364B">
        <w:rPr>
          <w:rFonts w:eastAsia="Times New Roman" w:cs="Arial"/>
          <w:i/>
          <w:sz w:val="20"/>
          <w:szCs w:val="20"/>
          <w:lang w:val="en-AU"/>
        </w:rPr>
        <w:t>cancellation fee</w:t>
      </w:r>
      <w:r w:rsidRPr="00B7364B">
        <w:rPr>
          <w:rFonts w:eastAsia="Times New Roman" w:cs="Arial"/>
          <w:sz w:val="20"/>
          <w:szCs w:val="20"/>
          <w:lang w:val="en-AU"/>
        </w:rPr>
        <w:t xml:space="preserve"> is calculated as the following amounts, multiplied by the months remaining on </w:t>
      </w:r>
      <w:r w:rsidRPr="00B7364B">
        <w:rPr>
          <w:rFonts w:eastAsia="Times New Roman" w:cs="Arial"/>
          <w:i/>
          <w:sz w:val="20"/>
          <w:szCs w:val="20"/>
          <w:lang w:val="en-AU"/>
        </w:rPr>
        <w:t>your minimum term</w:t>
      </w:r>
      <w:r w:rsidRPr="00B7364B">
        <w:rPr>
          <w:rFonts w:eastAsia="Times New Roman" w:cs="Arial"/>
          <w:sz w:val="20"/>
          <w:szCs w:val="20"/>
          <w:lang w:val="en-AU"/>
        </w:rPr>
        <w:t>:</w:t>
      </w:r>
    </w:p>
    <w:p w14:paraId="61827142" w14:textId="77777777" w:rsidR="00BA172C" w:rsidRPr="00B7364B" w:rsidRDefault="00BA172C" w:rsidP="00BA172C">
      <w:pPr>
        <w:tabs>
          <w:tab w:val="left" w:pos="1701"/>
        </w:tabs>
        <w:spacing w:before="120" w:after="120"/>
        <w:ind w:left="709"/>
        <w:rPr>
          <w:rFonts w:eastAsia="Times New Roman" w:cs="Arial"/>
          <w:sz w:val="20"/>
          <w:szCs w:val="20"/>
          <w:lang w:val="en-AU"/>
        </w:rPr>
      </w:pPr>
    </w:p>
    <w:tbl>
      <w:tblPr>
        <w:tblW w:w="992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984"/>
        <w:gridCol w:w="1843"/>
        <w:gridCol w:w="1985"/>
        <w:gridCol w:w="2126"/>
      </w:tblGrid>
      <w:tr w:rsidR="00BA172C" w:rsidRPr="00B7364B" w14:paraId="56EB3F52" w14:textId="77777777" w:rsidTr="00B95821">
        <w:trPr>
          <w:trHeight w:val="668"/>
        </w:trPr>
        <w:tc>
          <w:tcPr>
            <w:tcW w:w="1985" w:type="dxa"/>
            <w:shd w:val="clear" w:color="auto" w:fill="auto"/>
            <w:vAlign w:val="center"/>
          </w:tcPr>
          <w:p w14:paraId="643FD12F" w14:textId="77777777" w:rsidR="00BA172C" w:rsidRPr="00B7364B" w:rsidRDefault="00BA172C" w:rsidP="00B95821">
            <w:pPr>
              <w:jc w:val="center"/>
              <w:rPr>
                <w:rFonts w:eastAsia="Calibri" w:cs="Arial"/>
                <w:b/>
                <w:sz w:val="20"/>
                <w:szCs w:val="20"/>
              </w:rPr>
            </w:pPr>
          </w:p>
        </w:tc>
        <w:tc>
          <w:tcPr>
            <w:tcW w:w="1984" w:type="dxa"/>
          </w:tcPr>
          <w:p w14:paraId="7F48DA9A" w14:textId="77777777" w:rsidR="00BA172C" w:rsidRPr="00B7364B" w:rsidRDefault="00BA172C" w:rsidP="00B95821">
            <w:pPr>
              <w:jc w:val="center"/>
              <w:rPr>
                <w:rFonts w:cs="Arial"/>
                <w:b/>
                <w:sz w:val="20"/>
                <w:szCs w:val="20"/>
              </w:rPr>
            </w:pPr>
            <w:r w:rsidRPr="00B7364B">
              <w:rPr>
                <w:b/>
              </w:rPr>
              <w:t>$30 My Plan Business</w:t>
            </w:r>
          </w:p>
        </w:tc>
        <w:tc>
          <w:tcPr>
            <w:tcW w:w="1843" w:type="dxa"/>
          </w:tcPr>
          <w:p w14:paraId="28F740AE" w14:textId="77777777" w:rsidR="00BA172C" w:rsidRPr="00B7364B" w:rsidRDefault="00BA172C" w:rsidP="00B95821">
            <w:pPr>
              <w:jc w:val="center"/>
              <w:rPr>
                <w:rFonts w:cs="Arial"/>
                <w:b/>
                <w:sz w:val="20"/>
                <w:szCs w:val="20"/>
              </w:rPr>
            </w:pPr>
            <w:r w:rsidRPr="00B7364B">
              <w:rPr>
                <w:b/>
              </w:rPr>
              <w:t>$40 My Plan Business</w:t>
            </w:r>
          </w:p>
        </w:tc>
        <w:tc>
          <w:tcPr>
            <w:tcW w:w="1985" w:type="dxa"/>
          </w:tcPr>
          <w:p w14:paraId="30791B12" w14:textId="77777777" w:rsidR="00BA172C" w:rsidRPr="00B7364B" w:rsidRDefault="00BA172C" w:rsidP="00B95821">
            <w:pPr>
              <w:jc w:val="center"/>
              <w:rPr>
                <w:rFonts w:cs="Arial"/>
                <w:b/>
                <w:sz w:val="20"/>
                <w:szCs w:val="20"/>
              </w:rPr>
            </w:pPr>
            <w:r w:rsidRPr="00B7364B">
              <w:rPr>
                <w:b/>
              </w:rPr>
              <w:t>$55 My Plan Business</w:t>
            </w:r>
          </w:p>
        </w:tc>
        <w:tc>
          <w:tcPr>
            <w:tcW w:w="2126" w:type="dxa"/>
          </w:tcPr>
          <w:p w14:paraId="31103C6F" w14:textId="77777777" w:rsidR="00BA172C" w:rsidRPr="00B7364B" w:rsidRDefault="00BA172C" w:rsidP="00B95821">
            <w:pPr>
              <w:jc w:val="center"/>
              <w:rPr>
                <w:rFonts w:cs="Arial"/>
                <w:b/>
                <w:sz w:val="20"/>
                <w:szCs w:val="20"/>
              </w:rPr>
            </w:pPr>
            <w:r w:rsidRPr="00B7364B">
              <w:rPr>
                <w:b/>
              </w:rPr>
              <w:t>$70 My Plan Business</w:t>
            </w:r>
          </w:p>
        </w:tc>
      </w:tr>
      <w:tr w:rsidR="00BA172C" w:rsidRPr="00B7364B" w14:paraId="0DB0A220" w14:textId="77777777" w:rsidTr="00B95821">
        <w:trPr>
          <w:trHeight w:val="275"/>
        </w:trPr>
        <w:tc>
          <w:tcPr>
            <w:tcW w:w="1985" w:type="dxa"/>
            <w:shd w:val="clear" w:color="auto" w:fill="auto"/>
            <w:vAlign w:val="center"/>
          </w:tcPr>
          <w:p w14:paraId="19E91431" w14:textId="77777777" w:rsidR="00BA172C" w:rsidRPr="00B7364B" w:rsidRDefault="00BA172C" w:rsidP="00B95821">
            <w:pPr>
              <w:spacing w:after="200" w:line="276" w:lineRule="auto"/>
              <w:jc w:val="center"/>
              <w:rPr>
                <w:rFonts w:eastAsia="Calibri" w:cs="Arial"/>
                <w:sz w:val="20"/>
                <w:szCs w:val="20"/>
              </w:rPr>
            </w:pPr>
            <w:r w:rsidRPr="00B7364B">
              <w:rPr>
                <w:rFonts w:eastAsia="Calibri" w:cs="Arial"/>
                <w:b/>
                <w:bCs/>
                <w:sz w:val="20"/>
                <w:szCs w:val="20"/>
              </w:rPr>
              <w:t>Cancellation Fee</w:t>
            </w:r>
          </w:p>
        </w:tc>
        <w:tc>
          <w:tcPr>
            <w:tcW w:w="1984" w:type="dxa"/>
            <w:vAlign w:val="center"/>
          </w:tcPr>
          <w:p w14:paraId="1DB868C1" w14:textId="77777777" w:rsidR="00BA172C" w:rsidRPr="00B7364B" w:rsidRDefault="00BA172C" w:rsidP="00BA172C">
            <w:pPr>
              <w:numPr>
                <w:ilvl w:val="6"/>
                <w:numId w:val="66"/>
              </w:numPr>
              <w:ind w:left="34"/>
              <w:jc w:val="center"/>
              <w:rPr>
                <w:rFonts w:cs="Arial"/>
                <w:sz w:val="20"/>
                <w:szCs w:val="20"/>
              </w:rPr>
            </w:pPr>
            <w:r w:rsidRPr="00B7364B">
              <w:rPr>
                <w:rFonts w:cs="Arial"/>
                <w:sz w:val="20"/>
                <w:szCs w:val="20"/>
              </w:rPr>
              <w:t>$9 x Months remaining</w:t>
            </w:r>
          </w:p>
        </w:tc>
        <w:tc>
          <w:tcPr>
            <w:tcW w:w="1843" w:type="dxa"/>
          </w:tcPr>
          <w:p w14:paraId="46977C7E" w14:textId="77777777" w:rsidR="00BA172C" w:rsidRPr="00B7364B" w:rsidRDefault="00BA172C" w:rsidP="00BA172C">
            <w:pPr>
              <w:numPr>
                <w:ilvl w:val="6"/>
                <w:numId w:val="66"/>
              </w:numPr>
              <w:ind w:left="34"/>
              <w:jc w:val="center"/>
              <w:rPr>
                <w:rFonts w:cs="Arial"/>
                <w:sz w:val="20"/>
                <w:szCs w:val="20"/>
              </w:rPr>
            </w:pPr>
            <w:r w:rsidRPr="00B7364B">
              <w:rPr>
                <w:rFonts w:cs="Arial"/>
                <w:sz w:val="20"/>
                <w:szCs w:val="20"/>
              </w:rPr>
              <w:t>$12 x Months remaining</w:t>
            </w:r>
          </w:p>
        </w:tc>
        <w:tc>
          <w:tcPr>
            <w:tcW w:w="1985" w:type="dxa"/>
          </w:tcPr>
          <w:p w14:paraId="3C8FD972" w14:textId="77777777" w:rsidR="00BA172C" w:rsidRPr="00B7364B" w:rsidRDefault="00BA172C" w:rsidP="00BA172C">
            <w:pPr>
              <w:numPr>
                <w:ilvl w:val="6"/>
                <w:numId w:val="66"/>
              </w:numPr>
              <w:ind w:left="34"/>
              <w:jc w:val="center"/>
              <w:rPr>
                <w:rFonts w:cs="Arial"/>
                <w:sz w:val="20"/>
                <w:szCs w:val="20"/>
              </w:rPr>
            </w:pPr>
            <w:r w:rsidRPr="00B7364B">
              <w:rPr>
                <w:rFonts w:cs="Arial"/>
                <w:sz w:val="20"/>
                <w:szCs w:val="20"/>
              </w:rPr>
              <w:t>$16 x Months remaining</w:t>
            </w:r>
          </w:p>
        </w:tc>
        <w:tc>
          <w:tcPr>
            <w:tcW w:w="2126" w:type="dxa"/>
          </w:tcPr>
          <w:p w14:paraId="7595C4ED" w14:textId="77777777" w:rsidR="00BA172C" w:rsidRPr="00B7364B" w:rsidRDefault="00BA172C" w:rsidP="00BA172C">
            <w:pPr>
              <w:numPr>
                <w:ilvl w:val="6"/>
                <w:numId w:val="66"/>
              </w:numPr>
              <w:ind w:left="34"/>
              <w:jc w:val="center"/>
              <w:rPr>
                <w:rFonts w:cs="Arial"/>
                <w:sz w:val="20"/>
                <w:szCs w:val="20"/>
              </w:rPr>
            </w:pPr>
            <w:r w:rsidRPr="00B7364B">
              <w:rPr>
                <w:rFonts w:cs="Arial"/>
                <w:sz w:val="20"/>
                <w:szCs w:val="20"/>
              </w:rPr>
              <w:t>$20 x Months remaining</w:t>
            </w:r>
          </w:p>
        </w:tc>
      </w:tr>
      <w:tr w:rsidR="00BA172C" w:rsidRPr="00B7364B" w14:paraId="2C3CACF4" w14:textId="77777777" w:rsidTr="00B95821">
        <w:trPr>
          <w:trHeight w:val="530"/>
        </w:trPr>
        <w:tc>
          <w:tcPr>
            <w:tcW w:w="1985" w:type="dxa"/>
            <w:shd w:val="clear" w:color="auto" w:fill="auto"/>
            <w:vAlign w:val="center"/>
          </w:tcPr>
          <w:p w14:paraId="4C485A00" w14:textId="77777777" w:rsidR="00BA172C" w:rsidRPr="00B7364B" w:rsidRDefault="00BA172C" w:rsidP="00B95821">
            <w:pPr>
              <w:spacing w:after="200" w:line="276" w:lineRule="auto"/>
              <w:jc w:val="center"/>
              <w:rPr>
                <w:rFonts w:eastAsia="Calibri" w:cs="Arial"/>
                <w:b/>
                <w:bCs/>
                <w:sz w:val="20"/>
                <w:szCs w:val="20"/>
              </w:rPr>
            </w:pPr>
            <w:r w:rsidRPr="00B7364B">
              <w:rPr>
                <w:rFonts w:eastAsia="Calibri" w:cs="Arial"/>
                <w:b/>
                <w:bCs/>
                <w:sz w:val="20"/>
                <w:szCs w:val="20"/>
              </w:rPr>
              <w:t>Maximum Cancellation Fee</w:t>
            </w:r>
          </w:p>
        </w:tc>
        <w:tc>
          <w:tcPr>
            <w:tcW w:w="1984" w:type="dxa"/>
            <w:vAlign w:val="center"/>
          </w:tcPr>
          <w:p w14:paraId="0EB18A92" w14:textId="77777777" w:rsidR="00BA172C" w:rsidRPr="00B7364B" w:rsidRDefault="00BA172C" w:rsidP="00B95821">
            <w:pPr>
              <w:ind w:left="34"/>
              <w:jc w:val="center"/>
              <w:rPr>
                <w:rFonts w:eastAsia="Calibri" w:cs="Arial"/>
                <w:sz w:val="20"/>
                <w:szCs w:val="20"/>
              </w:rPr>
            </w:pPr>
            <w:r w:rsidRPr="00B7364B">
              <w:rPr>
                <w:rFonts w:eastAsia="Calibri" w:cs="Arial"/>
                <w:sz w:val="20"/>
                <w:szCs w:val="20"/>
              </w:rPr>
              <w:t>$108</w:t>
            </w:r>
          </w:p>
        </w:tc>
        <w:tc>
          <w:tcPr>
            <w:tcW w:w="1843" w:type="dxa"/>
            <w:vAlign w:val="center"/>
          </w:tcPr>
          <w:p w14:paraId="4C1DAAFA" w14:textId="77777777" w:rsidR="00BA172C" w:rsidRPr="00B7364B" w:rsidRDefault="00BA172C" w:rsidP="00B95821">
            <w:pPr>
              <w:ind w:left="34"/>
              <w:jc w:val="center"/>
              <w:rPr>
                <w:rFonts w:eastAsia="Calibri" w:cs="Arial"/>
                <w:sz w:val="20"/>
                <w:szCs w:val="20"/>
              </w:rPr>
            </w:pPr>
            <w:r w:rsidRPr="00B7364B">
              <w:rPr>
                <w:rFonts w:eastAsia="Calibri" w:cs="Arial"/>
                <w:sz w:val="20"/>
                <w:szCs w:val="20"/>
              </w:rPr>
              <w:t>$144</w:t>
            </w:r>
          </w:p>
        </w:tc>
        <w:tc>
          <w:tcPr>
            <w:tcW w:w="1985" w:type="dxa"/>
            <w:vAlign w:val="center"/>
          </w:tcPr>
          <w:p w14:paraId="29350B8B" w14:textId="77777777" w:rsidR="00BA172C" w:rsidRPr="00B7364B" w:rsidRDefault="00BA172C" w:rsidP="00B95821">
            <w:pPr>
              <w:ind w:left="34"/>
              <w:jc w:val="center"/>
              <w:rPr>
                <w:rFonts w:eastAsia="Calibri" w:cs="Arial"/>
                <w:sz w:val="20"/>
                <w:szCs w:val="20"/>
              </w:rPr>
            </w:pPr>
            <w:r w:rsidRPr="00B7364B">
              <w:rPr>
                <w:rFonts w:eastAsia="Calibri" w:cs="Arial"/>
                <w:sz w:val="20"/>
                <w:szCs w:val="20"/>
              </w:rPr>
              <w:t>$192</w:t>
            </w:r>
          </w:p>
        </w:tc>
        <w:tc>
          <w:tcPr>
            <w:tcW w:w="2126" w:type="dxa"/>
            <w:vAlign w:val="center"/>
          </w:tcPr>
          <w:p w14:paraId="73089B59" w14:textId="77777777" w:rsidR="00BA172C" w:rsidRPr="00B7364B" w:rsidRDefault="00BA172C" w:rsidP="00B95821">
            <w:pPr>
              <w:ind w:left="34"/>
              <w:jc w:val="center"/>
              <w:rPr>
                <w:rFonts w:eastAsia="Calibri" w:cs="Arial"/>
                <w:sz w:val="20"/>
                <w:szCs w:val="20"/>
              </w:rPr>
            </w:pPr>
            <w:r w:rsidRPr="00B7364B">
              <w:rPr>
                <w:rFonts w:eastAsia="Calibri" w:cs="Arial"/>
                <w:sz w:val="20"/>
                <w:szCs w:val="20"/>
              </w:rPr>
              <w:t>$240</w:t>
            </w:r>
          </w:p>
        </w:tc>
      </w:tr>
    </w:tbl>
    <w:p w14:paraId="2EC3DDCA" w14:textId="77777777" w:rsidR="00BA172C" w:rsidRPr="00B7364B" w:rsidRDefault="00BA172C" w:rsidP="00BA172C">
      <w:pPr>
        <w:tabs>
          <w:tab w:val="left" w:pos="1701"/>
        </w:tabs>
        <w:spacing w:before="120" w:after="120"/>
        <w:ind w:left="1448"/>
        <w:rPr>
          <w:rFonts w:eastAsia="Times New Roman" w:cs="Arial"/>
          <w:sz w:val="20"/>
          <w:szCs w:val="20"/>
          <w:lang w:val="en-AU"/>
        </w:rPr>
      </w:pPr>
    </w:p>
    <w:p w14:paraId="2B205D5C" w14:textId="77777777" w:rsidR="00BA172C" w:rsidRPr="00B7364B" w:rsidRDefault="00BA172C" w:rsidP="00BA172C">
      <w:pPr>
        <w:numPr>
          <w:ilvl w:val="6"/>
          <w:numId w:val="1"/>
        </w:numPr>
        <w:spacing w:after="200"/>
        <w:ind w:left="1440"/>
        <w:outlineLvl w:val="6"/>
        <w:rPr>
          <w:rFonts w:eastAsia="Times New Roman" w:cs="Arial"/>
          <w:sz w:val="20"/>
          <w:szCs w:val="20"/>
          <w:lang w:val="en-AU"/>
        </w:rPr>
      </w:pPr>
      <w:r w:rsidRPr="00B7364B">
        <w:rPr>
          <w:rFonts w:eastAsia="Times New Roman" w:cs="Arial"/>
          <w:sz w:val="20"/>
          <w:szCs w:val="20"/>
          <w:lang w:val="en-AU"/>
        </w:rPr>
        <w:t xml:space="preserve">If </w:t>
      </w:r>
      <w:r w:rsidRPr="00B7364B">
        <w:rPr>
          <w:rFonts w:eastAsia="Times New Roman" w:cs="Arial"/>
          <w:i/>
          <w:sz w:val="20"/>
          <w:szCs w:val="20"/>
          <w:lang w:val="en-AU"/>
        </w:rPr>
        <w:t>your</w:t>
      </w:r>
      <w:r w:rsidRPr="00B7364B">
        <w:rPr>
          <w:rFonts w:eastAsia="Times New Roman" w:cs="Arial"/>
          <w:sz w:val="20"/>
          <w:szCs w:val="20"/>
          <w:lang w:val="en-AU"/>
        </w:rPr>
        <w:t xml:space="preserve"> Business 12M SIM is </w:t>
      </w:r>
      <w:r w:rsidRPr="00B7364B">
        <w:rPr>
          <w:rFonts w:eastAsia="Times New Roman" w:cs="Arial"/>
          <w:i/>
          <w:sz w:val="20"/>
          <w:szCs w:val="20"/>
          <w:lang w:val="en-AU"/>
        </w:rPr>
        <w:t>cancelled</w:t>
      </w:r>
      <w:r w:rsidRPr="00B7364B">
        <w:rPr>
          <w:rFonts w:eastAsia="Times New Roman" w:cs="Arial"/>
          <w:sz w:val="20"/>
          <w:szCs w:val="20"/>
          <w:lang w:val="en-AU"/>
        </w:rPr>
        <w:t xml:space="preserve">, </w:t>
      </w:r>
      <w:r w:rsidRPr="00B7364B">
        <w:rPr>
          <w:rFonts w:eastAsia="Times New Roman" w:cs="Arial"/>
          <w:i/>
          <w:sz w:val="20"/>
          <w:szCs w:val="20"/>
          <w:lang w:val="en-AU"/>
        </w:rPr>
        <w:t xml:space="preserve">any </w:t>
      </w:r>
      <w:r w:rsidRPr="00B7364B">
        <w:rPr>
          <w:rFonts w:eastAsia="Times New Roman" w:cs="Arial"/>
          <w:sz w:val="20"/>
          <w:szCs w:val="20"/>
          <w:lang w:val="en-AU"/>
        </w:rPr>
        <w:t xml:space="preserve">Shared Data Plan(s) on the account may also be </w:t>
      </w:r>
      <w:r w:rsidRPr="00B7364B">
        <w:rPr>
          <w:rFonts w:eastAsia="Times New Roman" w:cs="Arial"/>
          <w:i/>
          <w:sz w:val="20"/>
          <w:szCs w:val="20"/>
          <w:lang w:val="en-AU"/>
        </w:rPr>
        <w:t>cancelled</w:t>
      </w:r>
      <w:r w:rsidRPr="00B7364B">
        <w:rPr>
          <w:rFonts w:eastAsia="Times New Roman" w:cs="Arial"/>
          <w:sz w:val="20"/>
          <w:szCs w:val="20"/>
          <w:lang w:val="en-AU"/>
        </w:rPr>
        <w:t xml:space="preserve">. There are no </w:t>
      </w:r>
      <w:r w:rsidRPr="00B7364B">
        <w:rPr>
          <w:rFonts w:eastAsia="Times New Roman" w:cs="Arial"/>
          <w:i/>
          <w:sz w:val="20"/>
          <w:szCs w:val="20"/>
          <w:lang w:val="en-AU"/>
        </w:rPr>
        <w:t>cancellation fees</w:t>
      </w:r>
      <w:r w:rsidRPr="00B7364B">
        <w:rPr>
          <w:rFonts w:eastAsia="Times New Roman" w:cs="Arial"/>
          <w:sz w:val="20"/>
          <w:szCs w:val="20"/>
          <w:lang w:val="en-AU"/>
        </w:rPr>
        <w:t xml:space="preserve"> for any Shared Data Plan, however if </w:t>
      </w:r>
      <w:r w:rsidRPr="00B7364B">
        <w:rPr>
          <w:rFonts w:eastAsia="Times New Roman" w:cs="Arial"/>
          <w:i/>
          <w:sz w:val="20"/>
          <w:szCs w:val="20"/>
          <w:lang w:val="en-AU"/>
        </w:rPr>
        <w:t>you</w:t>
      </w:r>
      <w:r w:rsidRPr="00B7364B">
        <w:rPr>
          <w:rFonts w:eastAsia="Times New Roman" w:cs="Arial"/>
          <w:sz w:val="20"/>
          <w:szCs w:val="20"/>
          <w:lang w:val="en-AU"/>
        </w:rPr>
        <w:t xml:space="preserve"> purchased a </w:t>
      </w:r>
      <w:r w:rsidRPr="00B7364B">
        <w:rPr>
          <w:rFonts w:eastAsia="Times New Roman" w:cs="Arial"/>
          <w:i/>
          <w:sz w:val="20"/>
          <w:szCs w:val="20"/>
          <w:lang w:val="en-AU"/>
        </w:rPr>
        <w:t>device</w:t>
      </w:r>
      <w:r w:rsidRPr="00B7364B">
        <w:rPr>
          <w:rFonts w:eastAsia="Times New Roman" w:cs="Arial"/>
          <w:sz w:val="20"/>
          <w:szCs w:val="20"/>
          <w:lang w:val="en-AU"/>
        </w:rPr>
        <w:t xml:space="preserve"> </w:t>
      </w:r>
      <w:r w:rsidRPr="00B7364B">
        <w:rPr>
          <w:rFonts w:eastAsia="Times New Roman" w:cs="Arial"/>
          <w:i/>
          <w:sz w:val="20"/>
          <w:szCs w:val="20"/>
          <w:lang w:val="en-AU"/>
        </w:rPr>
        <w:t>you</w:t>
      </w:r>
      <w:r w:rsidRPr="00B7364B">
        <w:rPr>
          <w:rFonts w:eastAsia="Times New Roman" w:cs="Arial"/>
          <w:sz w:val="20"/>
          <w:szCs w:val="20"/>
          <w:lang w:val="en-AU"/>
        </w:rPr>
        <w:t xml:space="preserve"> need to pay the sum of any remaining </w:t>
      </w:r>
      <w:r w:rsidRPr="00B7364B">
        <w:rPr>
          <w:rFonts w:eastAsia="Times New Roman" w:cs="Arial"/>
          <w:i/>
          <w:sz w:val="20"/>
          <w:szCs w:val="20"/>
          <w:lang w:val="en-AU"/>
        </w:rPr>
        <w:t xml:space="preserve">equipment charges </w:t>
      </w:r>
      <w:r w:rsidRPr="00B7364B">
        <w:rPr>
          <w:rFonts w:eastAsia="Times New Roman" w:cs="Arial"/>
          <w:sz w:val="20"/>
          <w:szCs w:val="20"/>
          <w:lang w:val="en-AU"/>
        </w:rPr>
        <w:t xml:space="preserve">owing on </w:t>
      </w:r>
      <w:r w:rsidRPr="00B7364B">
        <w:rPr>
          <w:rFonts w:eastAsia="Times New Roman" w:cs="Arial"/>
          <w:i/>
          <w:sz w:val="20"/>
          <w:szCs w:val="20"/>
          <w:lang w:val="en-AU"/>
        </w:rPr>
        <w:t xml:space="preserve">your device </w:t>
      </w:r>
      <w:r w:rsidRPr="00B7364B">
        <w:rPr>
          <w:rFonts w:eastAsia="Times New Roman" w:cs="Arial"/>
          <w:sz w:val="20"/>
          <w:szCs w:val="20"/>
          <w:lang w:val="en-AU"/>
        </w:rPr>
        <w:t xml:space="preserve">under the </w:t>
      </w:r>
      <w:r w:rsidRPr="00B7364B">
        <w:rPr>
          <w:rFonts w:eastAsia="Times New Roman" w:cs="Arial"/>
          <w:i/>
          <w:sz w:val="20"/>
          <w:szCs w:val="20"/>
          <w:lang w:val="en-AU"/>
        </w:rPr>
        <w:t xml:space="preserve">mobile equipment payment plan </w:t>
      </w:r>
      <w:r w:rsidRPr="00B7364B">
        <w:rPr>
          <w:rFonts w:eastAsia="Times New Roman" w:cs="Arial"/>
          <w:sz w:val="20"/>
          <w:szCs w:val="20"/>
          <w:lang w:val="en-AU"/>
        </w:rPr>
        <w:t xml:space="preserve">(see </w:t>
      </w:r>
      <w:hyperlink r:id="rId788" w:history="1">
        <w:r w:rsidRPr="00B7364B">
          <w:rPr>
            <w:rFonts w:eastAsia="Times New Roman" w:cs="Arial"/>
            <w:i/>
            <w:color w:val="13607C"/>
            <w:sz w:val="18"/>
            <w:szCs w:val="20"/>
            <w:u w:val="single"/>
            <w:lang w:val="en-AU"/>
          </w:rPr>
          <w:t>Appendix D</w:t>
        </w:r>
        <w:r w:rsidRPr="00B7364B">
          <w:rPr>
            <w:rFonts w:eastAsia="Times New Roman" w:cs="Arial"/>
            <w:color w:val="13607C"/>
            <w:sz w:val="18"/>
            <w:szCs w:val="20"/>
            <w:u w:val="single"/>
            <w:lang w:val="en-AU"/>
          </w:rPr>
          <w:t>).</w:t>
        </w:r>
      </w:hyperlink>
    </w:p>
    <w:p w14:paraId="13AA5722" w14:textId="77777777" w:rsidR="00BA172C" w:rsidRPr="00240A68" w:rsidRDefault="00BA172C" w:rsidP="00BA172C">
      <w:pPr>
        <w:spacing w:after="200"/>
        <w:ind w:left="1440"/>
        <w:outlineLvl w:val="6"/>
        <w:rPr>
          <w:rFonts w:eastAsia="Times New Roman" w:cs="Arial"/>
          <w:sz w:val="20"/>
          <w:szCs w:val="20"/>
          <w:lang w:val="en-AU"/>
        </w:rPr>
      </w:pPr>
      <w:r w:rsidRPr="00B7364B">
        <w:rPr>
          <w:rFonts w:eastAsia="Times New Roman" w:cs="Arial"/>
          <w:sz w:val="20"/>
          <w:szCs w:val="20"/>
          <w:lang w:val="en-AU"/>
        </w:rPr>
        <w:t xml:space="preserve">If any Shared Data Plan is not </w:t>
      </w:r>
      <w:r w:rsidRPr="00B7364B">
        <w:rPr>
          <w:rFonts w:eastAsia="Times New Roman" w:cs="Arial"/>
          <w:i/>
          <w:sz w:val="20"/>
          <w:szCs w:val="20"/>
          <w:lang w:val="en-AU"/>
        </w:rPr>
        <w:t>cancelled</w:t>
      </w:r>
      <w:r w:rsidRPr="00B7364B">
        <w:rPr>
          <w:rFonts w:eastAsia="Times New Roman" w:cs="Arial"/>
          <w:sz w:val="20"/>
          <w:szCs w:val="20"/>
          <w:lang w:val="en-AU"/>
        </w:rPr>
        <w:t xml:space="preserve">, </w:t>
      </w:r>
      <w:r w:rsidRPr="00B7364B">
        <w:rPr>
          <w:rFonts w:eastAsia="Times New Roman" w:cs="Arial"/>
          <w:i/>
          <w:sz w:val="20"/>
          <w:szCs w:val="20"/>
          <w:lang w:val="en-AU"/>
        </w:rPr>
        <w:t>you</w:t>
      </w:r>
      <w:r w:rsidRPr="00B7364B">
        <w:rPr>
          <w:rFonts w:eastAsia="Times New Roman" w:cs="Arial"/>
          <w:sz w:val="20"/>
          <w:szCs w:val="20"/>
          <w:lang w:val="en-AU"/>
        </w:rPr>
        <w:t xml:space="preserve"> will be charged $10 per 1GB within Australia, up to 150GB (per account) in a billing month. </w:t>
      </w:r>
      <w:r w:rsidRPr="00B7364B">
        <w:rPr>
          <w:rFonts w:eastAsia="Times New Roman" w:cs="Arial"/>
          <w:i/>
          <w:sz w:val="20"/>
          <w:szCs w:val="20"/>
          <w:lang w:val="en-AU"/>
        </w:rPr>
        <w:t>Your</w:t>
      </w:r>
      <w:r w:rsidRPr="00B7364B">
        <w:rPr>
          <w:rFonts w:eastAsia="Times New Roman" w:cs="Arial"/>
          <w:sz w:val="20"/>
          <w:szCs w:val="20"/>
          <w:lang w:val="en-AU"/>
        </w:rPr>
        <w:t xml:space="preserve"> </w:t>
      </w:r>
      <w:r w:rsidRPr="00B7364B">
        <w:rPr>
          <w:rFonts w:eastAsia="Times New Roman" w:cs="Arial"/>
          <w:i/>
          <w:sz w:val="20"/>
          <w:szCs w:val="20"/>
          <w:lang w:val="en-AU"/>
        </w:rPr>
        <w:t>service/s</w:t>
      </w:r>
      <w:r w:rsidRPr="00B7364B">
        <w:rPr>
          <w:rFonts w:eastAsia="Times New Roman" w:cs="Arial"/>
          <w:sz w:val="20"/>
          <w:szCs w:val="20"/>
          <w:lang w:val="en-AU"/>
        </w:rPr>
        <w:t xml:space="preserve"> may then be restricted or </w:t>
      </w:r>
      <w:r w:rsidRPr="00B7364B">
        <w:rPr>
          <w:rFonts w:eastAsia="Times New Roman" w:cs="Arial"/>
          <w:i/>
          <w:sz w:val="20"/>
          <w:szCs w:val="20"/>
          <w:lang w:val="en-AU"/>
        </w:rPr>
        <w:t>we</w:t>
      </w:r>
      <w:r w:rsidRPr="00B7364B">
        <w:rPr>
          <w:rFonts w:eastAsia="Times New Roman" w:cs="Arial"/>
          <w:sz w:val="20"/>
          <w:szCs w:val="20"/>
          <w:lang w:val="en-AU"/>
        </w:rPr>
        <w:t xml:space="preserve"> may continue to charge </w:t>
      </w:r>
      <w:r w:rsidRPr="00B7364B">
        <w:rPr>
          <w:rFonts w:eastAsia="Times New Roman" w:cs="Arial"/>
          <w:i/>
          <w:sz w:val="20"/>
          <w:szCs w:val="20"/>
          <w:lang w:val="en-AU"/>
        </w:rPr>
        <w:t>you</w:t>
      </w:r>
      <w:r w:rsidRPr="00B7364B">
        <w:rPr>
          <w:rFonts w:eastAsia="Times New Roman" w:cs="Arial"/>
          <w:sz w:val="20"/>
          <w:szCs w:val="20"/>
          <w:lang w:val="en-AU"/>
        </w:rPr>
        <w:t xml:space="preserve"> at these rates.</w:t>
      </w:r>
      <w:r w:rsidR="00E85FA3">
        <w:rPr>
          <w:rFonts w:eastAsia="Times New Roman" w:cs="Arial"/>
          <w:sz w:val="20"/>
          <w:szCs w:val="20"/>
          <w:lang w:val="en-AU"/>
        </w:rPr>
        <w:br/>
      </w:r>
      <w:r w:rsidR="00E85FA3">
        <w:rPr>
          <w:rFonts w:eastAsia="Times New Roman" w:cs="Arial"/>
          <w:sz w:val="20"/>
          <w:szCs w:val="20"/>
          <w:lang w:val="en-AU"/>
        </w:rPr>
        <w:br/>
      </w:r>
    </w:p>
    <w:p w14:paraId="08DD7C7C" w14:textId="77777777" w:rsidR="00BA172C" w:rsidRPr="00B7364B" w:rsidRDefault="00BA172C" w:rsidP="00BA172C">
      <w:pPr>
        <w:pStyle w:val="Heading4"/>
      </w:pPr>
      <w:bookmarkStart w:id="1803" w:name="_Toc479674720"/>
      <w:bookmarkStart w:id="1804" w:name="_Toc509314766"/>
      <w:bookmarkStart w:id="1805" w:name="_Toc62644700"/>
      <w:r w:rsidRPr="00B7364B">
        <w:t>My Plan Business (Standard)</w:t>
      </w:r>
      <w:bookmarkEnd w:id="1803"/>
      <w:bookmarkEnd w:id="1804"/>
      <w:bookmarkEnd w:id="1805"/>
    </w:p>
    <w:p w14:paraId="33FD5F50" w14:textId="77777777" w:rsidR="00BA172C" w:rsidRPr="00B7364B" w:rsidRDefault="00BA172C" w:rsidP="00BA172C">
      <w:pPr>
        <w:spacing w:after="200"/>
        <w:ind w:left="720"/>
        <w:rPr>
          <w:sz w:val="20"/>
        </w:rPr>
      </w:pPr>
      <w:r w:rsidRPr="00B7364B">
        <w:rPr>
          <w:sz w:val="20"/>
        </w:rPr>
        <w:t xml:space="preserve">This section relates to the following plans. </w:t>
      </w:r>
      <w:r w:rsidRPr="00B7364B">
        <w:rPr>
          <w:i/>
          <w:sz w:val="20"/>
        </w:rPr>
        <w:t>You</w:t>
      </w:r>
      <w:r w:rsidRPr="00B7364B">
        <w:rPr>
          <w:sz w:val="20"/>
        </w:rPr>
        <w:t xml:space="preserve"> can find </w:t>
      </w:r>
      <w:r w:rsidRPr="00B7364B">
        <w:rPr>
          <w:i/>
          <w:sz w:val="20"/>
        </w:rPr>
        <w:t>your</w:t>
      </w:r>
      <w:r w:rsidRPr="00B7364B">
        <w:rPr>
          <w:sz w:val="20"/>
        </w:rPr>
        <w:t xml:space="preserve"> Plan ID on </w:t>
      </w:r>
      <w:r w:rsidRPr="00B7364B">
        <w:rPr>
          <w:i/>
          <w:sz w:val="20"/>
        </w:rPr>
        <w:t>your</w:t>
      </w:r>
      <w:r w:rsidRPr="00B7364B">
        <w:rPr>
          <w:sz w:val="20"/>
        </w:rPr>
        <w:t xml:space="preserve"> bill under the Mobile Number Summary section:</w:t>
      </w:r>
    </w:p>
    <w:tbl>
      <w:tblPr>
        <w:tblW w:w="905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1"/>
        <w:gridCol w:w="2268"/>
        <w:gridCol w:w="3147"/>
      </w:tblGrid>
      <w:tr w:rsidR="00BA172C" w:rsidRPr="00B7364B" w14:paraId="1D615F3C" w14:textId="77777777" w:rsidTr="00E85FA3">
        <w:tc>
          <w:tcPr>
            <w:tcW w:w="3641" w:type="dxa"/>
            <w:shd w:val="clear" w:color="auto" w:fill="auto"/>
          </w:tcPr>
          <w:p w14:paraId="1A3E57BB" w14:textId="77777777" w:rsidR="00BA172C" w:rsidRPr="00B7364B" w:rsidRDefault="00BA172C" w:rsidP="00B95821">
            <w:pPr>
              <w:spacing w:before="100" w:after="100"/>
              <w:jc w:val="center"/>
              <w:rPr>
                <w:b/>
                <w:sz w:val="20"/>
              </w:rPr>
            </w:pPr>
            <w:r w:rsidRPr="00B7364B">
              <w:rPr>
                <w:b/>
                <w:sz w:val="20"/>
              </w:rPr>
              <w:t>Plan</w:t>
            </w:r>
          </w:p>
        </w:tc>
        <w:tc>
          <w:tcPr>
            <w:tcW w:w="2268" w:type="dxa"/>
            <w:shd w:val="clear" w:color="auto" w:fill="auto"/>
          </w:tcPr>
          <w:p w14:paraId="64B86857" w14:textId="77777777" w:rsidR="00BA172C" w:rsidRPr="00B7364B" w:rsidRDefault="00BA172C" w:rsidP="00B95821">
            <w:pPr>
              <w:spacing w:before="100" w:after="100"/>
              <w:jc w:val="center"/>
              <w:rPr>
                <w:b/>
                <w:sz w:val="20"/>
              </w:rPr>
            </w:pPr>
            <w:r w:rsidRPr="00B7364B">
              <w:rPr>
                <w:b/>
                <w:sz w:val="20"/>
              </w:rPr>
              <w:t>Plan ID</w:t>
            </w:r>
          </w:p>
        </w:tc>
        <w:tc>
          <w:tcPr>
            <w:tcW w:w="3147" w:type="dxa"/>
            <w:shd w:val="clear" w:color="auto" w:fill="auto"/>
          </w:tcPr>
          <w:p w14:paraId="1187AF6B" w14:textId="77777777" w:rsidR="00BA172C" w:rsidRPr="00B7364B" w:rsidRDefault="00BA172C" w:rsidP="00B95821">
            <w:pPr>
              <w:spacing w:before="100" w:after="100"/>
              <w:jc w:val="center"/>
              <w:rPr>
                <w:b/>
                <w:sz w:val="20"/>
              </w:rPr>
            </w:pPr>
            <w:r w:rsidRPr="00B7364B">
              <w:rPr>
                <w:b/>
                <w:sz w:val="20"/>
              </w:rPr>
              <w:t>Available</w:t>
            </w:r>
          </w:p>
        </w:tc>
      </w:tr>
      <w:tr w:rsidR="00BA172C" w:rsidRPr="00B7364B" w14:paraId="30853F96" w14:textId="77777777" w:rsidTr="00E85FA3">
        <w:tc>
          <w:tcPr>
            <w:tcW w:w="3641" w:type="dxa"/>
            <w:shd w:val="clear" w:color="auto" w:fill="auto"/>
          </w:tcPr>
          <w:p w14:paraId="3B8F3F96" w14:textId="77777777" w:rsidR="00BA172C" w:rsidRPr="00B7364B" w:rsidRDefault="00BA172C" w:rsidP="00B95821">
            <w:pPr>
              <w:spacing w:before="100" w:after="100"/>
              <w:jc w:val="center"/>
              <w:rPr>
                <w:sz w:val="20"/>
              </w:rPr>
            </w:pPr>
            <w:r w:rsidRPr="00B7364B">
              <w:rPr>
                <w:sz w:val="20"/>
              </w:rPr>
              <w:t>$30 My Plan Business (Standard)</w:t>
            </w:r>
          </w:p>
        </w:tc>
        <w:tc>
          <w:tcPr>
            <w:tcW w:w="2268" w:type="dxa"/>
            <w:shd w:val="clear" w:color="auto" w:fill="auto"/>
            <w:vAlign w:val="center"/>
          </w:tcPr>
          <w:p w14:paraId="01873F94" w14:textId="77777777" w:rsidR="00BA172C" w:rsidRPr="00B7364B" w:rsidRDefault="00BA172C" w:rsidP="00B95821">
            <w:pPr>
              <w:spacing w:before="100" w:after="100"/>
              <w:jc w:val="center"/>
              <w:rPr>
                <w:sz w:val="20"/>
              </w:rPr>
            </w:pPr>
            <w:r w:rsidRPr="00B7364B">
              <w:rPr>
                <w:sz w:val="20"/>
              </w:rPr>
              <w:t>800591, 10513377</w:t>
            </w:r>
          </w:p>
        </w:tc>
        <w:tc>
          <w:tcPr>
            <w:tcW w:w="3147" w:type="dxa"/>
            <w:shd w:val="clear" w:color="auto" w:fill="auto"/>
          </w:tcPr>
          <w:p w14:paraId="3C9EBB53" w14:textId="77777777" w:rsidR="00BA172C" w:rsidRPr="00B7364B" w:rsidRDefault="00BA172C" w:rsidP="00B95821">
            <w:pPr>
              <w:spacing w:before="100" w:after="100"/>
              <w:jc w:val="center"/>
              <w:rPr>
                <w:sz w:val="20"/>
              </w:rPr>
            </w:pPr>
            <w:r w:rsidRPr="00B7364B">
              <w:rPr>
                <w:sz w:val="20"/>
              </w:rPr>
              <w:t>27 Feb 2017</w:t>
            </w:r>
            <w:r w:rsidR="00E85FA3" w:rsidRPr="00E85FA3">
              <w:rPr>
                <w:sz w:val="20"/>
              </w:rPr>
              <w:t xml:space="preserve"> – 30 </w:t>
            </w:r>
            <w:r w:rsidR="00343D1D">
              <w:rPr>
                <w:sz w:val="20"/>
              </w:rPr>
              <w:t>June</w:t>
            </w:r>
            <w:r w:rsidR="00E85FA3" w:rsidRPr="00E85FA3">
              <w:rPr>
                <w:sz w:val="20"/>
              </w:rPr>
              <w:t xml:space="preserve"> 2018</w:t>
            </w:r>
          </w:p>
        </w:tc>
      </w:tr>
      <w:tr w:rsidR="00BA172C" w:rsidRPr="00B7364B" w14:paraId="05AC1691" w14:textId="77777777" w:rsidTr="00E85FA3">
        <w:tc>
          <w:tcPr>
            <w:tcW w:w="3641" w:type="dxa"/>
            <w:shd w:val="clear" w:color="auto" w:fill="auto"/>
          </w:tcPr>
          <w:p w14:paraId="02E53A08" w14:textId="77777777" w:rsidR="00BA172C" w:rsidRPr="00B7364B" w:rsidRDefault="00BA172C" w:rsidP="00B95821">
            <w:pPr>
              <w:spacing w:before="100" w:after="100"/>
              <w:jc w:val="center"/>
              <w:rPr>
                <w:sz w:val="20"/>
              </w:rPr>
            </w:pPr>
            <w:r w:rsidRPr="00B7364B">
              <w:rPr>
                <w:sz w:val="20"/>
              </w:rPr>
              <w:t>$40 My Plan Business (Standard)</w:t>
            </w:r>
          </w:p>
        </w:tc>
        <w:tc>
          <w:tcPr>
            <w:tcW w:w="2268" w:type="dxa"/>
            <w:shd w:val="clear" w:color="auto" w:fill="auto"/>
            <w:vAlign w:val="center"/>
          </w:tcPr>
          <w:p w14:paraId="2EF004E5" w14:textId="77777777" w:rsidR="00BA172C" w:rsidRPr="00B7364B" w:rsidRDefault="00BA172C" w:rsidP="00B95821">
            <w:pPr>
              <w:spacing w:before="100" w:after="100"/>
              <w:jc w:val="center"/>
              <w:rPr>
                <w:sz w:val="20"/>
              </w:rPr>
            </w:pPr>
            <w:r w:rsidRPr="00B7364B">
              <w:rPr>
                <w:sz w:val="20"/>
              </w:rPr>
              <w:t>800592, 10513387</w:t>
            </w:r>
          </w:p>
        </w:tc>
        <w:tc>
          <w:tcPr>
            <w:tcW w:w="3147" w:type="dxa"/>
            <w:shd w:val="clear" w:color="auto" w:fill="auto"/>
            <w:vAlign w:val="center"/>
          </w:tcPr>
          <w:p w14:paraId="48F8A3AE" w14:textId="77777777" w:rsidR="00BA172C" w:rsidRPr="00B7364B" w:rsidRDefault="00BA172C" w:rsidP="00B95821">
            <w:pPr>
              <w:spacing w:before="100" w:after="100"/>
              <w:jc w:val="center"/>
              <w:rPr>
                <w:sz w:val="20"/>
              </w:rPr>
            </w:pPr>
            <w:r w:rsidRPr="00B7364B">
              <w:rPr>
                <w:sz w:val="20"/>
              </w:rPr>
              <w:t>27 Feb 2017</w:t>
            </w:r>
            <w:r w:rsidR="00E85FA3" w:rsidRPr="00E85FA3">
              <w:rPr>
                <w:sz w:val="20"/>
              </w:rPr>
              <w:t xml:space="preserve"> – 30 </w:t>
            </w:r>
            <w:r w:rsidR="00343D1D">
              <w:rPr>
                <w:sz w:val="20"/>
              </w:rPr>
              <w:t>June</w:t>
            </w:r>
            <w:r w:rsidR="00E85FA3" w:rsidRPr="00E85FA3">
              <w:rPr>
                <w:sz w:val="20"/>
              </w:rPr>
              <w:t xml:space="preserve"> 2018</w:t>
            </w:r>
          </w:p>
        </w:tc>
      </w:tr>
      <w:tr w:rsidR="00BA172C" w:rsidRPr="00B7364B" w14:paraId="1B6789E5" w14:textId="77777777" w:rsidTr="00E85FA3">
        <w:tc>
          <w:tcPr>
            <w:tcW w:w="3641" w:type="dxa"/>
            <w:shd w:val="clear" w:color="auto" w:fill="auto"/>
          </w:tcPr>
          <w:p w14:paraId="35EA6FAD" w14:textId="77777777" w:rsidR="00BA172C" w:rsidRPr="00B7364B" w:rsidRDefault="00BA172C" w:rsidP="00B95821">
            <w:pPr>
              <w:spacing w:before="100" w:after="100"/>
              <w:jc w:val="center"/>
              <w:rPr>
                <w:sz w:val="20"/>
              </w:rPr>
            </w:pPr>
            <w:r w:rsidRPr="00B7364B">
              <w:rPr>
                <w:sz w:val="20"/>
              </w:rPr>
              <w:t>$55 My Plan Business (Standard)</w:t>
            </w:r>
          </w:p>
        </w:tc>
        <w:tc>
          <w:tcPr>
            <w:tcW w:w="2268" w:type="dxa"/>
            <w:shd w:val="clear" w:color="auto" w:fill="auto"/>
            <w:vAlign w:val="center"/>
          </w:tcPr>
          <w:p w14:paraId="7DCAFFC2" w14:textId="77777777" w:rsidR="00BA172C" w:rsidRPr="00B7364B" w:rsidRDefault="00BA172C" w:rsidP="00B95821">
            <w:pPr>
              <w:spacing w:before="100" w:after="100"/>
              <w:jc w:val="center"/>
              <w:rPr>
                <w:sz w:val="20"/>
              </w:rPr>
            </w:pPr>
            <w:r w:rsidRPr="00B7364B">
              <w:rPr>
                <w:sz w:val="20"/>
              </w:rPr>
              <w:t>800637, 10574344</w:t>
            </w:r>
          </w:p>
        </w:tc>
        <w:tc>
          <w:tcPr>
            <w:tcW w:w="3147" w:type="dxa"/>
            <w:shd w:val="clear" w:color="auto" w:fill="auto"/>
            <w:vAlign w:val="center"/>
          </w:tcPr>
          <w:p w14:paraId="6FC2B35A" w14:textId="77777777" w:rsidR="00BA172C" w:rsidRPr="00B7364B" w:rsidRDefault="00BA172C" w:rsidP="00B95821">
            <w:pPr>
              <w:spacing w:before="100" w:after="100"/>
              <w:jc w:val="center"/>
              <w:rPr>
                <w:sz w:val="20"/>
              </w:rPr>
            </w:pPr>
            <w:r w:rsidRPr="00B7364B">
              <w:rPr>
                <w:sz w:val="20"/>
              </w:rPr>
              <w:t>27 Feb 2017</w:t>
            </w:r>
            <w:r w:rsidR="00E85FA3" w:rsidRPr="00E85FA3">
              <w:rPr>
                <w:sz w:val="20"/>
              </w:rPr>
              <w:t xml:space="preserve"> – 30 </w:t>
            </w:r>
            <w:r w:rsidR="00343D1D">
              <w:rPr>
                <w:sz w:val="20"/>
              </w:rPr>
              <w:t>June</w:t>
            </w:r>
            <w:r w:rsidR="00E85FA3" w:rsidRPr="00E85FA3">
              <w:rPr>
                <w:sz w:val="20"/>
              </w:rPr>
              <w:t xml:space="preserve"> 2018</w:t>
            </w:r>
          </w:p>
        </w:tc>
      </w:tr>
      <w:tr w:rsidR="00BA172C" w:rsidRPr="00B7364B" w14:paraId="3B3DE4F0" w14:textId="77777777" w:rsidTr="00E85FA3">
        <w:tc>
          <w:tcPr>
            <w:tcW w:w="3641" w:type="dxa"/>
            <w:shd w:val="clear" w:color="auto" w:fill="auto"/>
          </w:tcPr>
          <w:p w14:paraId="6E21D5F4" w14:textId="77777777" w:rsidR="00BA172C" w:rsidRPr="00B7364B" w:rsidRDefault="00BA172C" w:rsidP="00B95821">
            <w:pPr>
              <w:spacing w:before="100" w:after="100"/>
              <w:jc w:val="center"/>
              <w:rPr>
                <w:sz w:val="20"/>
              </w:rPr>
            </w:pPr>
            <w:r w:rsidRPr="00B7364B">
              <w:rPr>
                <w:sz w:val="20"/>
              </w:rPr>
              <w:lastRenderedPageBreak/>
              <w:t>$70 My Plan Business (Standard)</w:t>
            </w:r>
          </w:p>
        </w:tc>
        <w:tc>
          <w:tcPr>
            <w:tcW w:w="2268" w:type="dxa"/>
            <w:shd w:val="clear" w:color="auto" w:fill="auto"/>
          </w:tcPr>
          <w:p w14:paraId="2319E196" w14:textId="77777777" w:rsidR="00BA172C" w:rsidRPr="00B7364B" w:rsidRDefault="00BA172C" w:rsidP="00B95821">
            <w:pPr>
              <w:spacing w:before="100" w:after="100"/>
              <w:jc w:val="center"/>
              <w:rPr>
                <w:sz w:val="20"/>
              </w:rPr>
            </w:pPr>
            <w:r w:rsidRPr="00B7364B">
              <w:rPr>
                <w:sz w:val="20"/>
              </w:rPr>
              <w:t>800638, 10574354</w:t>
            </w:r>
          </w:p>
        </w:tc>
        <w:tc>
          <w:tcPr>
            <w:tcW w:w="3147" w:type="dxa"/>
            <w:shd w:val="clear" w:color="auto" w:fill="auto"/>
          </w:tcPr>
          <w:p w14:paraId="32EFF95B" w14:textId="77777777" w:rsidR="00BA172C" w:rsidRPr="00B7364B" w:rsidRDefault="00BA172C" w:rsidP="00B95821">
            <w:pPr>
              <w:spacing w:before="100" w:after="100"/>
              <w:jc w:val="center"/>
              <w:rPr>
                <w:sz w:val="20"/>
              </w:rPr>
            </w:pPr>
            <w:r w:rsidRPr="00B7364B">
              <w:rPr>
                <w:sz w:val="20"/>
              </w:rPr>
              <w:t>27 Feb 2017</w:t>
            </w:r>
            <w:r w:rsidR="00E85FA3" w:rsidRPr="00E85FA3">
              <w:rPr>
                <w:sz w:val="20"/>
              </w:rPr>
              <w:t xml:space="preserve"> – 30 </w:t>
            </w:r>
            <w:r w:rsidR="00343D1D">
              <w:rPr>
                <w:sz w:val="20"/>
              </w:rPr>
              <w:t>June</w:t>
            </w:r>
            <w:r w:rsidR="00E85FA3" w:rsidRPr="00E85FA3">
              <w:rPr>
                <w:sz w:val="20"/>
              </w:rPr>
              <w:t xml:space="preserve"> 2018</w:t>
            </w:r>
          </w:p>
        </w:tc>
      </w:tr>
    </w:tbl>
    <w:p w14:paraId="50848C99" w14:textId="77777777" w:rsidR="00BA172C" w:rsidRPr="00B7364B" w:rsidRDefault="00BA172C" w:rsidP="00BA172C">
      <w:pPr>
        <w:spacing w:after="200"/>
        <w:rPr>
          <w:sz w:val="20"/>
        </w:rPr>
      </w:pPr>
    </w:p>
    <w:p w14:paraId="0812B961" w14:textId="77777777" w:rsidR="00BA172C" w:rsidRPr="00B7364B" w:rsidRDefault="00BA172C" w:rsidP="00BA172C">
      <w:pPr>
        <w:numPr>
          <w:ilvl w:val="5"/>
          <w:numId w:val="1"/>
        </w:numPr>
        <w:spacing w:after="200"/>
        <w:outlineLvl w:val="5"/>
        <w:rPr>
          <w:rFonts w:eastAsia="Times New Roman"/>
          <w:bCs/>
          <w:sz w:val="20"/>
          <w:szCs w:val="22"/>
        </w:rPr>
      </w:pPr>
      <w:bookmarkStart w:id="1806" w:name="_Toc479674721"/>
      <w:r w:rsidRPr="00B7364B">
        <w:rPr>
          <w:rFonts w:eastAsia="Times New Roman"/>
          <w:bCs/>
          <w:sz w:val="20"/>
          <w:szCs w:val="22"/>
        </w:rPr>
        <w:t>Eligibility</w:t>
      </w:r>
      <w:bookmarkEnd w:id="1806"/>
    </w:p>
    <w:p w14:paraId="515E7203" w14:textId="77777777" w:rsidR="00BA172C" w:rsidRPr="00B7364B" w:rsidRDefault="00BA172C" w:rsidP="00BA172C">
      <w:pPr>
        <w:spacing w:after="200"/>
        <w:ind w:left="720"/>
        <w:rPr>
          <w:sz w:val="20"/>
        </w:rPr>
      </w:pPr>
      <w:r w:rsidRPr="00B7364B">
        <w:rPr>
          <w:sz w:val="20"/>
        </w:rPr>
        <w:t xml:space="preserve">The My Plan Business plans are available to new and existing mobile customers connecting to the </w:t>
      </w:r>
      <w:r w:rsidRPr="00B7364B">
        <w:rPr>
          <w:i/>
          <w:sz w:val="20"/>
        </w:rPr>
        <w:t xml:space="preserve">service </w:t>
      </w:r>
      <w:r w:rsidRPr="00B7364B">
        <w:rPr>
          <w:sz w:val="20"/>
        </w:rPr>
        <w:t xml:space="preserve">who pass Optus' credit assessment. </w:t>
      </w:r>
    </w:p>
    <w:p w14:paraId="2F48CAA3" w14:textId="77777777" w:rsidR="00BA172C" w:rsidRPr="00B7364B" w:rsidRDefault="00BA172C" w:rsidP="00BA172C">
      <w:pPr>
        <w:spacing w:after="200"/>
        <w:ind w:left="720"/>
        <w:rPr>
          <w:sz w:val="20"/>
        </w:rPr>
      </w:pPr>
      <w:r w:rsidRPr="00B7364B">
        <w:rPr>
          <w:sz w:val="20"/>
        </w:rPr>
        <w:t>Optus Service Providers' customers are not eligible to apply</w:t>
      </w:r>
      <w:r w:rsidRPr="00B7364B">
        <w:rPr>
          <w:snapToGrid w:val="0"/>
          <w:sz w:val="20"/>
        </w:rPr>
        <w:t>.</w:t>
      </w:r>
    </w:p>
    <w:p w14:paraId="1692981F" w14:textId="77777777" w:rsidR="00BA172C" w:rsidRPr="00B7364B" w:rsidRDefault="00BA172C" w:rsidP="00BA172C">
      <w:pPr>
        <w:spacing w:after="200"/>
        <w:ind w:left="720"/>
        <w:rPr>
          <w:sz w:val="20"/>
        </w:rPr>
      </w:pPr>
      <w:r w:rsidRPr="00B7364B">
        <w:rPr>
          <w:sz w:val="20"/>
        </w:rPr>
        <w:t xml:space="preserve">These </w:t>
      </w:r>
      <w:r w:rsidRPr="00B7364B">
        <w:rPr>
          <w:i/>
          <w:sz w:val="20"/>
        </w:rPr>
        <w:t>plans</w:t>
      </w:r>
      <w:r w:rsidRPr="00B7364B">
        <w:rPr>
          <w:sz w:val="20"/>
        </w:rPr>
        <w:t xml:space="preserve"> aren't compatible for data use with BlackBerry handsets on operating systems of 7.1 or earlier.</w:t>
      </w:r>
    </w:p>
    <w:p w14:paraId="10E2ACFD" w14:textId="77777777" w:rsidR="00BA172C" w:rsidRPr="00B7364B" w:rsidRDefault="00BA172C" w:rsidP="00BA172C">
      <w:pPr>
        <w:numPr>
          <w:ilvl w:val="5"/>
          <w:numId w:val="1"/>
        </w:numPr>
        <w:spacing w:after="200"/>
        <w:outlineLvl w:val="5"/>
        <w:rPr>
          <w:rFonts w:eastAsia="Times New Roman"/>
          <w:bCs/>
          <w:sz w:val="20"/>
          <w:szCs w:val="22"/>
        </w:rPr>
      </w:pPr>
      <w:bookmarkStart w:id="1807" w:name="_Toc479674722"/>
      <w:r w:rsidRPr="00B7364B">
        <w:rPr>
          <w:rFonts w:eastAsia="Times New Roman"/>
          <w:bCs/>
          <w:snapToGrid w:val="0"/>
          <w:sz w:val="20"/>
          <w:szCs w:val="22"/>
        </w:rPr>
        <w:t>Minimum Term</w:t>
      </w:r>
      <w:bookmarkEnd w:id="1807"/>
    </w:p>
    <w:p w14:paraId="63132393" w14:textId="77777777" w:rsidR="00BA172C" w:rsidRPr="00240A68" w:rsidRDefault="00BA172C" w:rsidP="00BA172C">
      <w:pPr>
        <w:spacing w:after="200"/>
        <w:ind w:left="720"/>
        <w:rPr>
          <w:sz w:val="20"/>
          <w:szCs w:val="20"/>
        </w:rPr>
      </w:pPr>
      <w:r w:rsidRPr="00240A68">
        <w:rPr>
          <w:sz w:val="20"/>
          <w:szCs w:val="20"/>
        </w:rPr>
        <w:t xml:space="preserve">These </w:t>
      </w:r>
      <w:r w:rsidRPr="00240A68">
        <w:rPr>
          <w:i/>
          <w:sz w:val="20"/>
          <w:szCs w:val="20"/>
        </w:rPr>
        <w:t xml:space="preserve">plans </w:t>
      </w:r>
      <w:r w:rsidRPr="00240A68">
        <w:rPr>
          <w:sz w:val="20"/>
          <w:szCs w:val="20"/>
        </w:rPr>
        <w:t xml:space="preserve">have a </w:t>
      </w:r>
      <w:r w:rsidRPr="00240A68">
        <w:rPr>
          <w:i/>
          <w:sz w:val="20"/>
          <w:szCs w:val="20"/>
        </w:rPr>
        <w:t>fixed length agreement</w:t>
      </w:r>
      <w:r w:rsidRPr="00240A68">
        <w:rPr>
          <w:sz w:val="20"/>
          <w:szCs w:val="20"/>
        </w:rPr>
        <w:t xml:space="preserve"> with a 12 month </w:t>
      </w:r>
      <w:r w:rsidRPr="00240A68">
        <w:rPr>
          <w:i/>
          <w:sz w:val="20"/>
          <w:szCs w:val="20"/>
        </w:rPr>
        <w:t>minimum term</w:t>
      </w:r>
      <w:r w:rsidRPr="00240A68">
        <w:rPr>
          <w:sz w:val="20"/>
          <w:szCs w:val="20"/>
        </w:rPr>
        <w:t>.</w:t>
      </w:r>
    </w:p>
    <w:p w14:paraId="7048AB0C" w14:textId="77777777" w:rsidR="00BA172C" w:rsidRPr="00240A68" w:rsidRDefault="00BA172C" w:rsidP="00BA172C">
      <w:pPr>
        <w:numPr>
          <w:ilvl w:val="5"/>
          <w:numId w:val="1"/>
        </w:numPr>
        <w:spacing w:after="200"/>
        <w:outlineLvl w:val="5"/>
        <w:rPr>
          <w:rFonts w:eastAsia="Times New Roman"/>
          <w:b/>
          <w:bCs/>
          <w:sz w:val="20"/>
          <w:szCs w:val="20"/>
        </w:rPr>
      </w:pPr>
      <w:bookmarkStart w:id="1808" w:name="_Toc479674723"/>
      <w:r w:rsidRPr="00240A68">
        <w:rPr>
          <w:rFonts w:eastAsia="Times New Roman"/>
          <w:bCs/>
          <w:sz w:val="20"/>
          <w:szCs w:val="20"/>
        </w:rPr>
        <w:t>What you have to pay us</w:t>
      </w:r>
      <w:bookmarkEnd w:id="1808"/>
    </w:p>
    <w:p w14:paraId="2ED6D3BC" w14:textId="77777777" w:rsidR="00BA172C" w:rsidRPr="00240A68" w:rsidRDefault="00BA172C" w:rsidP="00BA172C">
      <w:pPr>
        <w:numPr>
          <w:ilvl w:val="6"/>
          <w:numId w:val="1"/>
        </w:numPr>
        <w:spacing w:after="200"/>
        <w:ind w:left="1440"/>
        <w:outlineLvl w:val="6"/>
        <w:rPr>
          <w:rFonts w:eastAsia="Times New Roman"/>
          <w:sz w:val="20"/>
          <w:szCs w:val="20"/>
        </w:rPr>
      </w:pPr>
      <w:r w:rsidRPr="00240A68">
        <w:rPr>
          <w:rFonts w:eastAsia="Times New Roman"/>
          <w:i/>
          <w:sz w:val="20"/>
          <w:szCs w:val="20"/>
        </w:rPr>
        <w:t xml:space="preserve">You </w:t>
      </w:r>
      <w:r w:rsidRPr="00240A68">
        <w:rPr>
          <w:rFonts w:eastAsia="Times New Roman"/>
          <w:sz w:val="20"/>
          <w:szCs w:val="20"/>
        </w:rPr>
        <w:t xml:space="preserve">must pay </w:t>
      </w:r>
      <w:r w:rsidRPr="00240A68">
        <w:rPr>
          <w:rFonts w:eastAsia="Times New Roman"/>
          <w:i/>
          <w:sz w:val="20"/>
          <w:szCs w:val="20"/>
        </w:rPr>
        <w:t xml:space="preserve">us </w:t>
      </w:r>
      <w:r w:rsidRPr="00240A68">
        <w:rPr>
          <w:rFonts w:eastAsia="Times New Roman"/>
          <w:sz w:val="20"/>
          <w:szCs w:val="20"/>
        </w:rPr>
        <w:t xml:space="preserve">for use of the </w:t>
      </w:r>
      <w:r w:rsidRPr="00240A68">
        <w:rPr>
          <w:rFonts w:eastAsia="Times New Roman"/>
          <w:i/>
          <w:sz w:val="20"/>
          <w:szCs w:val="20"/>
        </w:rPr>
        <w:t xml:space="preserve">service </w:t>
      </w:r>
      <w:r w:rsidRPr="00240A68">
        <w:rPr>
          <w:rFonts w:eastAsia="Times New Roman"/>
          <w:sz w:val="20"/>
          <w:szCs w:val="20"/>
        </w:rPr>
        <w:t xml:space="preserve">at the rates set out in Section 1 of this </w:t>
      </w:r>
      <w:r w:rsidRPr="00240A68">
        <w:rPr>
          <w:rFonts w:eastAsia="Times New Roman"/>
          <w:i/>
          <w:sz w:val="20"/>
          <w:szCs w:val="20"/>
        </w:rPr>
        <w:t>standard pricing table</w:t>
      </w:r>
      <w:r w:rsidRPr="00240A68">
        <w:rPr>
          <w:rFonts w:eastAsia="Times New Roman"/>
          <w:sz w:val="20"/>
          <w:szCs w:val="20"/>
        </w:rPr>
        <w:t xml:space="preserve"> and for value added service features at the rates set out in </w:t>
      </w:r>
      <w:hyperlink r:id="rId789" w:history="1">
        <w:r w:rsidRPr="00240A68">
          <w:rPr>
            <w:rFonts w:eastAsia="Times New Roman"/>
            <w:i/>
            <w:color w:val="13607C"/>
            <w:sz w:val="20"/>
            <w:szCs w:val="20"/>
            <w:u w:val="single"/>
          </w:rPr>
          <w:t>Appendix Y Value Added Service Features</w:t>
        </w:r>
      </w:hyperlink>
      <w:r w:rsidRPr="00240A68">
        <w:rPr>
          <w:rFonts w:eastAsia="Times New Roman"/>
          <w:sz w:val="20"/>
          <w:szCs w:val="20"/>
        </w:rPr>
        <w:t>.</w:t>
      </w:r>
    </w:p>
    <w:p w14:paraId="0285AE30" w14:textId="77777777" w:rsidR="00BA172C" w:rsidRPr="00240A68" w:rsidRDefault="00BA172C" w:rsidP="00BA172C">
      <w:pPr>
        <w:numPr>
          <w:ilvl w:val="6"/>
          <w:numId w:val="1"/>
        </w:numPr>
        <w:spacing w:after="200"/>
        <w:ind w:left="1440"/>
        <w:outlineLvl w:val="6"/>
        <w:rPr>
          <w:rFonts w:eastAsia="Times New Roman"/>
          <w:sz w:val="20"/>
          <w:szCs w:val="20"/>
        </w:rPr>
      </w:pPr>
      <w:r w:rsidRPr="00240A68">
        <w:rPr>
          <w:rFonts w:eastAsia="Times New Roman"/>
          <w:sz w:val="20"/>
          <w:szCs w:val="20"/>
        </w:rPr>
        <w:t>If there is a flagfall for a particular call type, the charge for these calls is the flagfall amount plus the relevant rate for the call multiplied by the duration of the call.</w:t>
      </w:r>
    </w:p>
    <w:p w14:paraId="5D782793" w14:textId="77777777" w:rsidR="00BA172C" w:rsidRPr="00240A68" w:rsidRDefault="00BA172C" w:rsidP="00BA172C">
      <w:pPr>
        <w:numPr>
          <w:ilvl w:val="6"/>
          <w:numId w:val="1"/>
        </w:numPr>
        <w:spacing w:after="200"/>
        <w:ind w:left="1440"/>
        <w:outlineLvl w:val="6"/>
        <w:rPr>
          <w:rFonts w:eastAsia="Times New Roman"/>
          <w:sz w:val="20"/>
          <w:szCs w:val="20"/>
        </w:rPr>
      </w:pPr>
      <w:r w:rsidRPr="00240A68">
        <w:rPr>
          <w:rFonts w:eastAsia="Times New Roman"/>
          <w:sz w:val="20"/>
          <w:szCs w:val="20"/>
        </w:rPr>
        <w:t xml:space="preserve">Minimum Monthly Charge </w:t>
      </w:r>
    </w:p>
    <w:p w14:paraId="65931ED3" w14:textId="77777777" w:rsidR="00BA172C" w:rsidRPr="00240A68" w:rsidRDefault="00BA172C" w:rsidP="00BA172C">
      <w:pPr>
        <w:numPr>
          <w:ilvl w:val="7"/>
          <w:numId w:val="1"/>
        </w:numPr>
        <w:spacing w:after="200"/>
        <w:outlineLvl w:val="7"/>
        <w:rPr>
          <w:rFonts w:eastAsia="Times New Roman"/>
          <w:iCs/>
          <w:sz w:val="20"/>
          <w:szCs w:val="20"/>
        </w:rPr>
      </w:pPr>
      <w:r w:rsidRPr="00240A68">
        <w:rPr>
          <w:rFonts w:eastAsia="Times New Roman"/>
          <w:iCs/>
          <w:sz w:val="20"/>
          <w:szCs w:val="20"/>
        </w:rPr>
        <w:t xml:space="preserve">Each My Plan Business plan has a Minimum Monthly Charge amount that </w:t>
      </w:r>
      <w:r w:rsidRPr="00240A68">
        <w:rPr>
          <w:rFonts w:eastAsia="Times New Roman"/>
          <w:i/>
          <w:iCs/>
          <w:sz w:val="20"/>
          <w:szCs w:val="20"/>
        </w:rPr>
        <w:t>you</w:t>
      </w:r>
      <w:r w:rsidRPr="00240A68">
        <w:rPr>
          <w:rFonts w:eastAsia="Times New Roman"/>
          <w:iCs/>
          <w:sz w:val="20"/>
          <w:szCs w:val="20"/>
        </w:rPr>
        <w:t xml:space="preserve"> must pay </w:t>
      </w:r>
      <w:r w:rsidRPr="00240A68">
        <w:rPr>
          <w:rFonts w:eastAsia="Times New Roman"/>
          <w:i/>
          <w:iCs/>
          <w:sz w:val="20"/>
          <w:szCs w:val="20"/>
        </w:rPr>
        <w:t>us</w:t>
      </w:r>
      <w:r w:rsidRPr="00240A68">
        <w:rPr>
          <w:rFonts w:eastAsia="Times New Roman"/>
          <w:iCs/>
          <w:sz w:val="20"/>
          <w:szCs w:val="20"/>
        </w:rPr>
        <w:t xml:space="preserve"> each month as set out in Table 1 below.</w:t>
      </w:r>
    </w:p>
    <w:p w14:paraId="58126F20" w14:textId="77777777" w:rsidR="00BA172C" w:rsidRPr="00240A68" w:rsidRDefault="00BA172C" w:rsidP="00BA172C">
      <w:pPr>
        <w:numPr>
          <w:ilvl w:val="7"/>
          <w:numId w:val="1"/>
        </w:numPr>
        <w:spacing w:after="200"/>
        <w:outlineLvl w:val="7"/>
        <w:rPr>
          <w:rFonts w:eastAsia="Times New Roman"/>
          <w:iCs/>
          <w:sz w:val="20"/>
          <w:szCs w:val="20"/>
        </w:rPr>
      </w:pPr>
      <w:r w:rsidRPr="00240A68">
        <w:rPr>
          <w:rFonts w:eastAsia="Times New Roman"/>
          <w:i/>
          <w:iCs/>
          <w:sz w:val="20"/>
          <w:szCs w:val="20"/>
        </w:rPr>
        <w:t>You</w:t>
      </w:r>
      <w:r w:rsidRPr="00240A68">
        <w:rPr>
          <w:rFonts w:eastAsia="Times New Roman"/>
          <w:iCs/>
          <w:sz w:val="20"/>
          <w:szCs w:val="20"/>
        </w:rPr>
        <w:t xml:space="preserve"> may purchase a mobile phone (or 'handset') with a 1 month, 12 month or 24 month </w:t>
      </w:r>
      <w:r w:rsidRPr="00240A68">
        <w:rPr>
          <w:rFonts w:eastAsia="Times New Roman"/>
          <w:i/>
          <w:iCs/>
          <w:sz w:val="20"/>
          <w:szCs w:val="20"/>
        </w:rPr>
        <w:t>equipment term</w:t>
      </w:r>
      <w:r w:rsidRPr="00240A68">
        <w:rPr>
          <w:rFonts w:eastAsia="Times New Roman"/>
          <w:iCs/>
          <w:sz w:val="20"/>
          <w:szCs w:val="20"/>
        </w:rPr>
        <w:t xml:space="preserve"> under a </w:t>
      </w:r>
      <w:r w:rsidRPr="00240A68">
        <w:rPr>
          <w:rFonts w:eastAsia="Times New Roman"/>
          <w:i/>
          <w:iCs/>
          <w:sz w:val="20"/>
          <w:szCs w:val="20"/>
        </w:rPr>
        <w:t>mobile equipment payment plan</w:t>
      </w:r>
      <w:r w:rsidRPr="00240A68">
        <w:rPr>
          <w:rFonts w:eastAsia="Times New Roman"/>
          <w:iCs/>
          <w:sz w:val="20"/>
          <w:szCs w:val="20"/>
        </w:rPr>
        <w:t xml:space="preserve"> (set out in </w:t>
      </w:r>
      <w:hyperlink r:id="rId790" w:history="1">
        <w:r w:rsidRPr="00240A68">
          <w:rPr>
            <w:rFonts w:eastAsia="Times New Roman"/>
            <w:i/>
            <w:iCs/>
            <w:color w:val="13607C"/>
            <w:sz w:val="20"/>
            <w:szCs w:val="20"/>
            <w:u w:val="single"/>
          </w:rPr>
          <w:t>Appendix D</w:t>
        </w:r>
      </w:hyperlink>
      <w:r w:rsidRPr="00240A68">
        <w:rPr>
          <w:rFonts w:eastAsia="Times New Roman"/>
          <w:iCs/>
          <w:sz w:val="20"/>
          <w:szCs w:val="20"/>
        </w:rPr>
        <w:t>).</w:t>
      </w:r>
    </w:p>
    <w:p w14:paraId="563DFCBC" w14:textId="77777777" w:rsidR="00BA172C" w:rsidRPr="00240A68" w:rsidRDefault="00BA172C" w:rsidP="00BA172C">
      <w:pPr>
        <w:numPr>
          <w:ilvl w:val="5"/>
          <w:numId w:val="1"/>
        </w:numPr>
        <w:spacing w:after="200"/>
        <w:outlineLvl w:val="5"/>
        <w:rPr>
          <w:rFonts w:eastAsia="Times New Roman"/>
          <w:bCs/>
          <w:snapToGrid w:val="0"/>
          <w:sz w:val="20"/>
          <w:szCs w:val="20"/>
        </w:rPr>
      </w:pPr>
      <w:bookmarkStart w:id="1809" w:name="_Toc479674724"/>
      <w:r w:rsidRPr="00240A68">
        <w:rPr>
          <w:rFonts w:eastAsia="Times New Roman"/>
          <w:bCs/>
          <w:snapToGrid w:val="0"/>
          <w:sz w:val="20"/>
          <w:szCs w:val="20"/>
        </w:rPr>
        <w:t>How My Plan Business works</w:t>
      </w:r>
      <w:bookmarkEnd w:id="1809"/>
    </w:p>
    <w:p w14:paraId="23159788" w14:textId="77777777" w:rsidR="00BA172C" w:rsidRPr="00240A68" w:rsidRDefault="00BA172C" w:rsidP="00BA172C">
      <w:pPr>
        <w:numPr>
          <w:ilvl w:val="6"/>
          <w:numId w:val="1"/>
        </w:numPr>
        <w:spacing w:after="200"/>
        <w:ind w:left="1440"/>
        <w:outlineLvl w:val="6"/>
        <w:rPr>
          <w:rFonts w:eastAsia="Times New Roman"/>
          <w:sz w:val="20"/>
          <w:szCs w:val="20"/>
        </w:rPr>
      </w:pPr>
      <w:r w:rsidRPr="00240A68">
        <w:rPr>
          <w:rFonts w:eastAsia="Times New Roman"/>
          <w:sz w:val="20"/>
          <w:szCs w:val="20"/>
        </w:rPr>
        <w:t>Each My Plan Business has unlimited minutes to use on standard national calls to landlines and mobiles, 13/1300 numbers and voicemail retrievals and an amount of Included Data (for mobile internet use) to share with other services on a My Plan Plus</w:t>
      </w:r>
      <w:r w:rsidRPr="00240A68">
        <w:rPr>
          <w:rFonts w:eastAsia="Times New Roman"/>
          <w:sz w:val="20"/>
          <w:szCs w:val="20"/>
          <w:lang w:eastAsia="en-AU"/>
        </w:rPr>
        <w:t xml:space="preserve">, My Plan Plus SIM Only, My Plan Business (including Tech Fund), My Plan Business SIM, My Mobile Broadband Plus, Mobile Broadband Business or Shared Data Plan </w:t>
      </w:r>
      <w:r w:rsidRPr="00240A68">
        <w:rPr>
          <w:rFonts w:eastAsia="Times New Roman"/>
          <w:sz w:val="20"/>
          <w:szCs w:val="20"/>
        </w:rPr>
        <w:t>on the same account.</w:t>
      </w:r>
    </w:p>
    <w:p w14:paraId="0E631114" w14:textId="77777777" w:rsidR="00BA172C" w:rsidRPr="00240A68" w:rsidRDefault="00BA172C" w:rsidP="00BA172C">
      <w:pPr>
        <w:numPr>
          <w:ilvl w:val="6"/>
          <w:numId w:val="1"/>
        </w:numPr>
        <w:spacing w:after="200"/>
        <w:ind w:left="1440"/>
        <w:outlineLvl w:val="6"/>
        <w:rPr>
          <w:rFonts w:eastAsia="Times New Roman"/>
          <w:sz w:val="20"/>
          <w:szCs w:val="20"/>
        </w:rPr>
      </w:pPr>
      <w:r w:rsidRPr="00240A68">
        <w:rPr>
          <w:rFonts w:eastAsia="Times New Roman"/>
          <w:sz w:val="20"/>
          <w:szCs w:val="20"/>
        </w:rPr>
        <w:t>These plans also include unlimited standard national SMS/MMS and unlimited standard International SMS/MMS to selected countries. The $40/$55/$70 plans have an 300/400/500 of included international minutes to use on standard international calls to selected countries.</w:t>
      </w:r>
    </w:p>
    <w:p w14:paraId="0992E97C" w14:textId="77777777" w:rsidR="00BA172C" w:rsidRPr="00240A68" w:rsidRDefault="00BA172C" w:rsidP="00BA172C">
      <w:pPr>
        <w:numPr>
          <w:ilvl w:val="6"/>
          <w:numId w:val="1"/>
        </w:numPr>
        <w:spacing w:after="200"/>
        <w:ind w:left="1440"/>
        <w:outlineLvl w:val="6"/>
        <w:rPr>
          <w:rFonts w:eastAsia="Times New Roman"/>
          <w:sz w:val="20"/>
          <w:szCs w:val="20"/>
        </w:rPr>
      </w:pPr>
      <w:r w:rsidRPr="00240A68">
        <w:rPr>
          <w:rFonts w:eastAsia="Times New Roman"/>
          <w:sz w:val="20"/>
          <w:szCs w:val="20"/>
        </w:rPr>
        <w:t>Data usage is calculated in one kilobyte increments. International minutes are billed in one minute increments.</w:t>
      </w:r>
    </w:p>
    <w:p w14:paraId="6413FCE2" w14:textId="77777777" w:rsidR="00BA172C" w:rsidRPr="00240A68" w:rsidRDefault="00BA172C" w:rsidP="00BA172C">
      <w:pPr>
        <w:numPr>
          <w:ilvl w:val="6"/>
          <w:numId w:val="1"/>
        </w:numPr>
        <w:spacing w:after="200"/>
        <w:ind w:left="1440"/>
        <w:outlineLvl w:val="6"/>
        <w:rPr>
          <w:rFonts w:eastAsia="Times New Roman"/>
          <w:sz w:val="20"/>
          <w:szCs w:val="20"/>
        </w:rPr>
      </w:pPr>
      <w:r w:rsidRPr="00240A68">
        <w:rPr>
          <w:rFonts w:eastAsia="Times New Roman"/>
          <w:sz w:val="20"/>
          <w:szCs w:val="20"/>
        </w:rPr>
        <w:t xml:space="preserve">If </w:t>
      </w:r>
      <w:r w:rsidRPr="00240A68">
        <w:rPr>
          <w:rFonts w:eastAsia="Times New Roman"/>
          <w:i/>
          <w:sz w:val="20"/>
          <w:szCs w:val="20"/>
        </w:rPr>
        <w:t xml:space="preserve">you </w:t>
      </w:r>
      <w:r w:rsidRPr="00240A68">
        <w:rPr>
          <w:rFonts w:eastAsia="Times New Roman"/>
          <w:sz w:val="20"/>
          <w:szCs w:val="20"/>
        </w:rPr>
        <w:t>exceed your included shareable data you'll automatically be charged $10 for each additional 1GB of data ("</w:t>
      </w:r>
      <w:r w:rsidRPr="00240A68">
        <w:rPr>
          <w:rFonts w:eastAsia="Times New Roman"/>
          <w:b/>
          <w:sz w:val="20"/>
          <w:szCs w:val="20"/>
        </w:rPr>
        <w:t>Additional Data</w:t>
      </w:r>
      <w:r w:rsidRPr="00240A68">
        <w:rPr>
          <w:rFonts w:eastAsia="Times New Roman"/>
          <w:sz w:val="20"/>
          <w:szCs w:val="20"/>
        </w:rPr>
        <w:t>") up to 150GB of extra data per account each month. Your service/s may then be restricted or we may continue to charge you at these rates.</w:t>
      </w:r>
    </w:p>
    <w:p w14:paraId="6DD944D6" w14:textId="77777777" w:rsidR="00BA172C" w:rsidRPr="00240A68" w:rsidRDefault="00BA172C" w:rsidP="00BA172C">
      <w:pPr>
        <w:numPr>
          <w:ilvl w:val="6"/>
          <w:numId w:val="1"/>
        </w:numPr>
        <w:spacing w:after="200"/>
        <w:ind w:left="1440"/>
        <w:outlineLvl w:val="6"/>
        <w:rPr>
          <w:rFonts w:eastAsia="Times New Roman"/>
          <w:sz w:val="20"/>
          <w:szCs w:val="20"/>
        </w:rPr>
      </w:pPr>
      <w:r w:rsidRPr="00240A68">
        <w:rPr>
          <w:rFonts w:eastAsia="Times New Roman"/>
          <w:sz w:val="20"/>
          <w:szCs w:val="20"/>
        </w:rPr>
        <w:t xml:space="preserve">Any unused portion of </w:t>
      </w:r>
      <w:r w:rsidRPr="00240A68">
        <w:rPr>
          <w:rFonts w:eastAsia="Times New Roman"/>
          <w:i/>
          <w:sz w:val="20"/>
          <w:szCs w:val="20"/>
        </w:rPr>
        <w:t>your</w:t>
      </w:r>
      <w:r w:rsidRPr="00240A68">
        <w:rPr>
          <w:rFonts w:eastAsia="Times New Roman"/>
          <w:sz w:val="20"/>
          <w:szCs w:val="20"/>
        </w:rPr>
        <w:t xml:space="preserve"> </w:t>
      </w:r>
      <w:r w:rsidRPr="00240A68">
        <w:rPr>
          <w:rFonts w:eastAsia="Times New Roman"/>
          <w:i/>
          <w:sz w:val="20"/>
          <w:szCs w:val="20"/>
        </w:rPr>
        <w:t>plan's</w:t>
      </w:r>
      <w:r w:rsidRPr="00240A68">
        <w:rPr>
          <w:rFonts w:eastAsia="Times New Roman"/>
          <w:sz w:val="20"/>
          <w:szCs w:val="20"/>
        </w:rPr>
        <w:t xml:space="preserve"> Included or Additional Data or International Minutes expires at the end of each month and does not roll over into the next month. </w:t>
      </w:r>
    </w:p>
    <w:p w14:paraId="4332C4AC" w14:textId="77777777" w:rsidR="00BA172C" w:rsidRPr="00240A68" w:rsidRDefault="00BA172C" w:rsidP="00BA172C">
      <w:pPr>
        <w:numPr>
          <w:ilvl w:val="6"/>
          <w:numId w:val="1"/>
        </w:numPr>
        <w:spacing w:after="200"/>
        <w:ind w:left="1440"/>
        <w:outlineLvl w:val="6"/>
        <w:rPr>
          <w:rFonts w:eastAsia="Times New Roman"/>
          <w:b/>
          <w:sz w:val="20"/>
          <w:szCs w:val="20"/>
        </w:rPr>
      </w:pPr>
      <w:r w:rsidRPr="00240A68">
        <w:rPr>
          <w:rFonts w:eastAsia="Times New Roman"/>
          <w:i/>
          <w:sz w:val="20"/>
          <w:szCs w:val="20"/>
        </w:rPr>
        <w:t>You</w:t>
      </w:r>
      <w:r w:rsidRPr="00240A68">
        <w:rPr>
          <w:rFonts w:eastAsia="Times New Roman"/>
          <w:sz w:val="20"/>
          <w:szCs w:val="20"/>
        </w:rPr>
        <w:t xml:space="preserve"> must pay </w:t>
      </w:r>
      <w:r w:rsidRPr="00240A68">
        <w:rPr>
          <w:rFonts w:eastAsia="Times New Roman"/>
          <w:i/>
          <w:sz w:val="20"/>
          <w:szCs w:val="20"/>
        </w:rPr>
        <w:t>us</w:t>
      </w:r>
      <w:r w:rsidRPr="00240A68">
        <w:rPr>
          <w:rFonts w:eastAsia="Times New Roman"/>
          <w:sz w:val="20"/>
          <w:szCs w:val="20"/>
        </w:rPr>
        <w:t xml:space="preserve"> for use of any services that are not included in </w:t>
      </w:r>
      <w:r w:rsidRPr="00240A68">
        <w:rPr>
          <w:rFonts w:eastAsia="Times New Roman"/>
          <w:i/>
          <w:sz w:val="20"/>
          <w:szCs w:val="20"/>
        </w:rPr>
        <w:t>your</w:t>
      </w:r>
      <w:r w:rsidRPr="00240A68">
        <w:rPr>
          <w:rFonts w:eastAsia="Times New Roman"/>
          <w:sz w:val="20"/>
          <w:szCs w:val="20"/>
        </w:rPr>
        <w:t xml:space="preserve"> plan's inclusions, examples of which are set out in Table 2 below.</w:t>
      </w:r>
    </w:p>
    <w:p w14:paraId="0DAFC8F0" w14:textId="77777777" w:rsidR="00BA172C" w:rsidRPr="00240A68" w:rsidRDefault="00BA172C" w:rsidP="00BA172C">
      <w:pPr>
        <w:numPr>
          <w:ilvl w:val="5"/>
          <w:numId w:val="1"/>
        </w:numPr>
        <w:spacing w:after="200"/>
        <w:outlineLvl w:val="5"/>
        <w:rPr>
          <w:rFonts w:eastAsia="Times New Roman"/>
          <w:bCs/>
          <w:snapToGrid w:val="0"/>
          <w:sz w:val="20"/>
          <w:szCs w:val="20"/>
        </w:rPr>
      </w:pPr>
      <w:bookmarkStart w:id="1810" w:name="_Toc479674725"/>
      <w:r w:rsidRPr="00240A68">
        <w:rPr>
          <w:rFonts w:eastAsia="Times New Roman"/>
          <w:bCs/>
          <w:snapToGrid w:val="0"/>
          <w:sz w:val="20"/>
          <w:szCs w:val="20"/>
        </w:rPr>
        <w:t>Plan Changes</w:t>
      </w:r>
      <w:bookmarkEnd w:id="1810"/>
    </w:p>
    <w:p w14:paraId="2BBC597C" w14:textId="77777777" w:rsidR="00BA172C" w:rsidRPr="00240A68" w:rsidRDefault="00BA172C" w:rsidP="00BA172C">
      <w:pPr>
        <w:spacing w:after="200"/>
        <w:ind w:left="720"/>
        <w:rPr>
          <w:sz w:val="20"/>
          <w:szCs w:val="20"/>
        </w:rPr>
      </w:pPr>
      <w:r w:rsidRPr="00240A68">
        <w:rPr>
          <w:sz w:val="20"/>
          <w:szCs w:val="20"/>
        </w:rPr>
        <w:lastRenderedPageBreak/>
        <w:t>You can change your plan during the minimum tern term provided you move to a plan with a higher monthly access fee. You cannot change your plan during the minimum term to a plan with the same or lower monthly access fee. If you change your plan during the minimum term a fee may apply and any handset repayments will remain the same.</w:t>
      </w:r>
    </w:p>
    <w:p w14:paraId="73C1A9A8" w14:textId="77777777" w:rsidR="00BA172C" w:rsidRPr="00240A68" w:rsidRDefault="00BA172C" w:rsidP="00BA172C">
      <w:pPr>
        <w:numPr>
          <w:ilvl w:val="5"/>
          <w:numId w:val="1"/>
        </w:numPr>
        <w:spacing w:after="200"/>
        <w:outlineLvl w:val="5"/>
        <w:rPr>
          <w:rFonts w:eastAsia="Times New Roman"/>
          <w:bCs/>
          <w:snapToGrid w:val="0"/>
          <w:sz w:val="20"/>
          <w:szCs w:val="20"/>
        </w:rPr>
      </w:pPr>
      <w:bookmarkStart w:id="1811" w:name="_Toc479674726"/>
      <w:r w:rsidRPr="00240A68">
        <w:rPr>
          <w:rFonts w:eastAsia="Times New Roman"/>
          <w:bCs/>
          <w:snapToGrid w:val="0"/>
          <w:sz w:val="20"/>
          <w:szCs w:val="20"/>
        </w:rPr>
        <w:t>New Phone Trade Up</w:t>
      </w:r>
      <w:bookmarkEnd w:id="1811"/>
    </w:p>
    <w:p w14:paraId="67969A66" w14:textId="77777777" w:rsidR="00BA172C" w:rsidRPr="00240A68" w:rsidRDefault="00BA172C" w:rsidP="00BA172C">
      <w:pPr>
        <w:spacing w:after="200"/>
        <w:ind w:left="720"/>
        <w:rPr>
          <w:sz w:val="20"/>
          <w:szCs w:val="20"/>
        </w:rPr>
      </w:pPr>
      <w:r w:rsidRPr="00240A68">
        <w:rPr>
          <w:sz w:val="20"/>
          <w:szCs w:val="20"/>
        </w:rPr>
        <w:t>The plans referred to in this section include the option of New Phone Trade Up, which can be exercised in two ways:</w:t>
      </w:r>
    </w:p>
    <w:p w14:paraId="17AE2B60" w14:textId="77777777" w:rsidR="00BA172C" w:rsidRPr="00240A68" w:rsidRDefault="00BA172C" w:rsidP="00BA172C">
      <w:pPr>
        <w:numPr>
          <w:ilvl w:val="6"/>
          <w:numId w:val="1"/>
        </w:numPr>
        <w:spacing w:after="200"/>
        <w:ind w:left="1440"/>
        <w:outlineLvl w:val="6"/>
        <w:rPr>
          <w:rFonts w:eastAsia="Times New Roman"/>
          <w:sz w:val="20"/>
          <w:szCs w:val="20"/>
        </w:rPr>
      </w:pPr>
      <w:r w:rsidRPr="00240A68">
        <w:rPr>
          <w:rFonts w:eastAsia="Times New Roman"/>
          <w:sz w:val="20"/>
          <w:szCs w:val="20"/>
        </w:rPr>
        <w:t>New Phone Trade Up for $99</w:t>
      </w:r>
    </w:p>
    <w:p w14:paraId="0FC2C012" w14:textId="77777777" w:rsidR="00BA172C" w:rsidRPr="00240A68" w:rsidRDefault="00BA172C" w:rsidP="00BA172C">
      <w:pPr>
        <w:numPr>
          <w:ilvl w:val="7"/>
          <w:numId w:val="1"/>
        </w:numPr>
        <w:spacing w:after="200"/>
        <w:outlineLvl w:val="7"/>
        <w:rPr>
          <w:rFonts w:eastAsia="Times New Roman"/>
          <w:iCs/>
          <w:sz w:val="20"/>
          <w:szCs w:val="20"/>
        </w:rPr>
      </w:pPr>
      <w:r w:rsidRPr="00240A68">
        <w:rPr>
          <w:rFonts w:eastAsia="Times New Roman"/>
          <w:iCs/>
          <w:sz w:val="20"/>
          <w:szCs w:val="20"/>
        </w:rPr>
        <w:t>After 12 months on one of these plans, you can pay a one fee of $99, return your original mobile phone to a Yes Optus store in good working order, purchase a new mobile phone on a new 24 month plan and sign documentation that will enable ownership of your original mobile phone to be transferred to a second hand dealer nominated by Optus.</w:t>
      </w:r>
    </w:p>
    <w:p w14:paraId="3D4F1CE0" w14:textId="77777777" w:rsidR="00BA172C" w:rsidRPr="00240A68" w:rsidRDefault="00BA172C" w:rsidP="00BA172C">
      <w:pPr>
        <w:numPr>
          <w:ilvl w:val="7"/>
          <w:numId w:val="1"/>
        </w:numPr>
        <w:spacing w:after="200"/>
        <w:outlineLvl w:val="7"/>
        <w:rPr>
          <w:rFonts w:eastAsia="Times New Roman"/>
          <w:iCs/>
          <w:sz w:val="20"/>
          <w:szCs w:val="20"/>
        </w:rPr>
      </w:pPr>
      <w:r w:rsidRPr="00240A68">
        <w:rPr>
          <w:rFonts w:eastAsia="Times New Roman"/>
          <w:iCs/>
          <w:sz w:val="20"/>
          <w:szCs w:val="20"/>
        </w:rPr>
        <w:t>A mobile phone is considered to be in good working order when :</w:t>
      </w:r>
    </w:p>
    <w:p w14:paraId="1F1388E8" w14:textId="77777777" w:rsidR="00BA172C" w:rsidRPr="00240A68" w:rsidRDefault="00BA172C" w:rsidP="00BA172C">
      <w:pPr>
        <w:numPr>
          <w:ilvl w:val="8"/>
          <w:numId w:val="1"/>
        </w:numPr>
        <w:spacing w:after="200"/>
        <w:outlineLvl w:val="8"/>
        <w:rPr>
          <w:rFonts w:eastAsia="Times New Roman"/>
          <w:sz w:val="20"/>
          <w:szCs w:val="20"/>
        </w:rPr>
      </w:pPr>
      <w:r w:rsidRPr="00240A68">
        <w:rPr>
          <w:rFonts w:eastAsia="Times New Roman"/>
          <w:sz w:val="20"/>
          <w:szCs w:val="20"/>
        </w:rPr>
        <w:t xml:space="preserve">it can power on and off, </w:t>
      </w:r>
    </w:p>
    <w:p w14:paraId="4B77E35A" w14:textId="77777777" w:rsidR="00BA172C" w:rsidRPr="00240A68" w:rsidRDefault="00BA172C" w:rsidP="00BA172C">
      <w:pPr>
        <w:numPr>
          <w:ilvl w:val="8"/>
          <w:numId w:val="1"/>
        </w:numPr>
        <w:spacing w:after="200"/>
        <w:outlineLvl w:val="8"/>
        <w:rPr>
          <w:rFonts w:eastAsia="Times New Roman"/>
          <w:sz w:val="20"/>
          <w:szCs w:val="20"/>
        </w:rPr>
      </w:pPr>
      <w:r w:rsidRPr="00240A68">
        <w:rPr>
          <w:rFonts w:eastAsia="Times New Roman"/>
          <w:sz w:val="20"/>
          <w:szCs w:val="20"/>
        </w:rPr>
        <w:t xml:space="preserve">it has a touchscreen that is fully functional and has no imperfections such as lines or marks, </w:t>
      </w:r>
    </w:p>
    <w:p w14:paraId="5159E0F1" w14:textId="77777777" w:rsidR="00BA172C" w:rsidRPr="00240A68" w:rsidRDefault="00BA172C" w:rsidP="00BA172C">
      <w:pPr>
        <w:numPr>
          <w:ilvl w:val="8"/>
          <w:numId w:val="1"/>
        </w:numPr>
        <w:spacing w:after="200"/>
        <w:outlineLvl w:val="8"/>
        <w:rPr>
          <w:rFonts w:eastAsia="Times New Roman"/>
          <w:sz w:val="20"/>
          <w:szCs w:val="20"/>
        </w:rPr>
      </w:pPr>
      <w:r w:rsidRPr="00240A68">
        <w:rPr>
          <w:rFonts w:eastAsia="Times New Roman"/>
          <w:sz w:val="20"/>
          <w:szCs w:val="20"/>
        </w:rPr>
        <w:t xml:space="preserve">it does not have any missing buttons or damage to other components such as charging ports, SIM tray, </w:t>
      </w:r>
    </w:p>
    <w:p w14:paraId="001750F3" w14:textId="77777777" w:rsidR="00BA172C" w:rsidRPr="00240A68" w:rsidRDefault="00BA172C" w:rsidP="00BA172C">
      <w:pPr>
        <w:numPr>
          <w:ilvl w:val="8"/>
          <w:numId w:val="1"/>
        </w:numPr>
        <w:spacing w:after="200"/>
        <w:outlineLvl w:val="8"/>
        <w:rPr>
          <w:rFonts w:eastAsia="Times New Roman"/>
          <w:sz w:val="20"/>
          <w:szCs w:val="20"/>
        </w:rPr>
      </w:pPr>
      <w:r w:rsidRPr="00240A68">
        <w:rPr>
          <w:rFonts w:eastAsia="Times New Roman"/>
          <w:sz w:val="20"/>
          <w:szCs w:val="20"/>
        </w:rPr>
        <w:t xml:space="preserve">the mobile phone (including the touchscreen) is not cracked and does not have any severe scratches (normal wear and tear such as light marks and scratches are okay); and </w:t>
      </w:r>
    </w:p>
    <w:p w14:paraId="19893420" w14:textId="77777777" w:rsidR="00BA172C" w:rsidRPr="00240A68" w:rsidRDefault="00BA172C" w:rsidP="00BA172C">
      <w:pPr>
        <w:numPr>
          <w:ilvl w:val="8"/>
          <w:numId w:val="1"/>
        </w:numPr>
        <w:spacing w:after="200"/>
        <w:outlineLvl w:val="8"/>
        <w:rPr>
          <w:rFonts w:eastAsia="Times New Roman"/>
          <w:sz w:val="20"/>
          <w:szCs w:val="20"/>
        </w:rPr>
      </w:pPr>
      <w:r w:rsidRPr="00240A68">
        <w:rPr>
          <w:rFonts w:eastAsia="Times New Roman"/>
          <w:sz w:val="20"/>
          <w:szCs w:val="20"/>
        </w:rPr>
        <w:t xml:space="preserve">any locking features are disabled. </w:t>
      </w:r>
    </w:p>
    <w:p w14:paraId="3FA16BCB" w14:textId="77777777" w:rsidR="00BA172C" w:rsidRPr="00240A68" w:rsidRDefault="00BA172C" w:rsidP="00BA172C">
      <w:pPr>
        <w:numPr>
          <w:ilvl w:val="7"/>
          <w:numId w:val="1"/>
        </w:numPr>
        <w:spacing w:after="200"/>
        <w:outlineLvl w:val="7"/>
        <w:rPr>
          <w:rFonts w:eastAsia="Times New Roman"/>
          <w:iCs/>
          <w:sz w:val="20"/>
          <w:szCs w:val="20"/>
        </w:rPr>
      </w:pPr>
      <w:r w:rsidRPr="00240A68">
        <w:rPr>
          <w:rFonts w:eastAsia="Times New Roman"/>
          <w:iCs/>
          <w:sz w:val="20"/>
          <w:szCs w:val="20"/>
        </w:rPr>
        <w:t>The mobile phone you return in accordance with section 3.7(a) must be the mobile phone you purchased when you took up one of the plans referred to in this section.</w:t>
      </w:r>
    </w:p>
    <w:p w14:paraId="2EB12CC6" w14:textId="77777777" w:rsidR="00BA172C" w:rsidRPr="00240A68" w:rsidRDefault="00BA172C" w:rsidP="00BA172C">
      <w:pPr>
        <w:numPr>
          <w:ilvl w:val="7"/>
          <w:numId w:val="1"/>
        </w:numPr>
        <w:spacing w:after="200"/>
        <w:outlineLvl w:val="7"/>
        <w:rPr>
          <w:rFonts w:eastAsia="Times New Roman"/>
          <w:iCs/>
          <w:sz w:val="20"/>
          <w:szCs w:val="20"/>
        </w:rPr>
      </w:pPr>
      <w:r w:rsidRPr="00240A68">
        <w:rPr>
          <w:rFonts w:eastAsia="Times New Roman"/>
          <w:iCs/>
          <w:sz w:val="20"/>
          <w:szCs w:val="20"/>
        </w:rPr>
        <w:t>When you seek to exercise this option and meet the relevant conditions, Optus agrees to waive any remaining mobile phone repayment charges on the mobile phone you are returning.</w:t>
      </w:r>
    </w:p>
    <w:p w14:paraId="5E0F6A04" w14:textId="77777777" w:rsidR="00BA172C" w:rsidRPr="00240A68" w:rsidRDefault="00BA172C" w:rsidP="00BA172C">
      <w:pPr>
        <w:numPr>
          <w:ilvl w:val="7"/>
          <w:numId w:val="1"/>
        </w:numPr>
        <w:spacing w:after="200"/>
        <w:outlineLvl w:val="7"/>
        <w:rPr>
          <w:rFonts w:eastAsia="Times New Roman"/>
          <w:iCs/>
          <w:sz w:val="20"/>
          <w:szCs w:val="20"/>
        </w:rPr>
      </w:pPr>
      <w:r w:rsidRPr="00240A68">
        <w:rPr>
          <w:rFonts w:eastAsia="Times New Roman"/>
          <w:iCs/>
          <w:sz w:val="20"/>
          <w:szCs w:val="20"/>
        </w:rPr>
        <w:t>By exercising this option, you acknowledge that the second hand device vendor will pay Optus a fee on your behalf for the mobile phone you return in part consideration of Optus waiving your remaining mobile phone repayments on the phone you are returning.</w:t>
      </w:r>
    </w:p>
    <w:p w14:paraId="1062FD3D" w14:textId="77777777" w:rsidR="00BA172C" w:rsidRPr="00240A68" w:rsidRDefault="00BA172C" w:rsidP="00BA172C">
      <w:pPr>
        <w:numPr>
          <w:ilvl w:val="6"/>
          <w:numId w:val="1"/>
        </w:numPr>
        <w:spacing w:after="200"/>
        <w:ind w:left="1440"/>
        <w:outlineLvl w:val="6"/>
        <w:rPr>
          <w:rFonts w:eastAsia="Times New Roman"/>
          <w:sz w:val="20"/>
          <w:szCs w:val="20"/>
        </w:rPr>
      </w:pPr>
      <w:r w:rsidRPr="00240A68">
        <w:rPr>
          <w:rFonts w:eastAsia="Times New Roman"/>
          <w:sz w:val="20"/>
          <w:szCs w:val="20"/>
        </w:rPr>
        <w:t>Keep existing mobile phone</w:t>
      </w:r>
    </w:p>
    <w:p w14:paraId="4099C236" w14:textId="77777777" w:rsidR="00BA172C" w:rsidRPr="00240A68" w:rsidRDefault="00BA172C" w:rsidP="00BA172C">
      <w:pPr>
        <w:spacing w:after="200"/>
        <w:ind w:left="1440"/>
        <w:rPr>
          <w:sz w:val="20"/>
          <w:szCs w:val="20"/>
        </w:rPr>
      </w:pPr>
      <w:r w:rsidRPr="00240A68">
        <w:rPr>
          <w:sz w:val="20"/>
          <w:szCs w:val="20"/>
        </w:rPr>
        <w:t>Alternatively and instead of paying $99, if you wish to keep your original mobile handset, you can simply pay out the full remaining cost of your mobile handset, including any monthly handset credit that Optus was going to cover and purchase a new mobile phone on a new plan.</w:t>
      </w:r>
    </w:p>
    <w:p w14:paraId="65BC5C2B" w14:textId="77777777" w:rsidR="00BA172C" w:rsidRPr="00240A68" w:rsidRDefault="00BA172C" w:rsidP="00BA172C">
      <w:pPr>
        <w:numPr>
          <w:ilvl w:val="5"/>
          <w:numId w:val="1"/>
        </w:numPr>
        <w:spacing w:after="200"/>
        <w:outlineLvl w:val="5"/>
        <w:rPr>
          <w:rFonts w:eastAsia="Times New Roman"/>
          <w:bCs/>
          <w:snapToGrid w:val="0"/>
          <w:sz w:val="20"/>
          <w:szCs w:val="20"/>
        </w:rPr>
      </w:pPr>
      <w:bookmarkStart w:id="1812" w:name="_Toc479674727"/>
      <w:r w:rsidRPr="00240A68">
        <w:rPr>
          <w:rFonts w:eastAsia="Times New Roman"/>
          <w:bCs/>
          <w:snapToGrid w:val="0"/>
          <w:sz w:val="20"/>
          <w:szCs w:val="20"/>
        </w:rPr>
        <w:t>Data Sharing</w:t>
      </w:r>
      <w:bookmarkEnd w:id="1812"/>
    </w:p>
    <w:p w14:paraId="0628D390" w14:textId="77777777" w:rsidR="00BA172C" w:rsidRPr="00240A68" w:rsidRDefault="00BA172C" w:rsidP="00BA172C">
      <w:pPr>
        <w:numPr>
          <w:ilvl w:val="6"/>
          <w:numId w:val="1"/>
        </w:numPr>
        <w:spacing w:after="200"/>
        <w:ind w:left="1440"/>
        <w:outlineLvl w:val="6"/>
        <w:rPr>
          <w:rFonts w:eastAsia="Times New Roman"/>
          <w:snapToGrid w:val="0"/>
          <w:sz w:val="20"/>
          <w:szCs w:val="20"/>
        </w:rPr>
      </w:pPr>
      <w:r w:rsidRPr="00240A68">
        <w:rPr>
          <w:rFonts w:eastAsia="Times New Roman"/>
          <w:snapToGrid w:val="0"/>
          <w:sz w:val="20"/>
          <w:szCs w:val="20"/>
        </w:rPr>
        <w:t xml:space="preserve">If </w:t>
      </w:r>
      <w:r w:rsidRPr="00240A68">
        <w:rPr>
          <w:rFonts w:eastAsia="Times New Roman"/>
          <w:i/>
          <w:snapToGrid w:val="0"/>
          <w:sz w:val="20"/>
          <w:szCs w:val="20"/>
        </w:rPr>
        <w:t xml:space="preserve">you </w:t>
      </w:r>
      <w:r w:rsidRPr="00240A68">
        <w:rPr>
          <w:rFonts w:eastAsia="Times New Roman"/>
          <w:sz w:val="20"/>
          <w:szCs w:val="20"/>
          <w:lang w:eastAsia="en-AU"/>
        </w:rPr>
        <w:t xml:space="preserve">have more than one </w:t>
      </w:r>
      <w:r w:rsidRPr="00240A68">
        <w:rPr>
          <w:rFonts w:eastAsia="Times New Roman"/>
          <w:sz w:val="20"/>
          <w:szCs w:val="20"/>
        </w:rPr>
        <w:t>My Plan Plus</w:t>
      </w:r>
      <w:r w:rsidRPr="00240A68">
        <w:rPr>
          <w:rFonts w:eastAsia="Times New Roman"/>
          <w:sz w:val="20"/>
          <w:szCs w:val="20"/>
          <w:lang w:eastAsia="en-AU"/>
        </w:rPr>
        <w:t>, My Plan Plus SIM Only, My Plan Business (including Tech Fund), My Plan Business SIM, My Mobile Broadband Plus or Mobile Broadband Business on the same billing account, the included data will combine into one data pool, which will be shared by all eligible services on that account.</w:t>
      </w:r>
    </w:p>
    <w:p w14:paraId="6748EB0A" w14:textId="77777777" w:rsidR="00BA172C" w:rsidRPr="00240A68" w:rsidRDefault="00BA172C" w:rsidP="00BA172C">
      <w:pPr>
        <w:numPr>
          <w:ilvl w:val="6"/>
          <w:numId w:val="1"/>
        </w:numPr>
        <w:spacing w:after="200"/>
        <w:ind w:left="1440"/>
        <w:outlineLvl w:val="6"/>
        <w:rPr>
          <w:rFonts w:eastAsia="Times New Roman"/>
          <w:snapToGrid w:val="0"/>
          <w:sz w:val="20"/>
          <w:szCs w:val="20"/>
        </w:rPr>
      </w:pPr>
      <w:r w:rsidRPr="00240A68">
        <w:rPr>
          <w:rFonts w:eastAsia="Times New Roman"/>
          <w:snapToGrid w:val="0"/>
          <w:sz w:val="20"/>
          <w:szCs w:val="20"/>
        </w:rPr>
        <w:t xml:space="preserve">If </w:t>
      </w:r>
      <w:r w:rsidRPr="00240A68">
        <w:rPr>
          <w:rFonts w:eastAsia="Times New Roman"/>
          <w:i/>
          <w:snapToGrid w:val="0"/>
          <w:sz w:val="20"/>
          <w:szCs w:val="20"/>
        </w:rPr>
        <w:t>you</w:t>
      </w:r>
      <w:r w:rsidRPr="00240A68">
        <w:rPr>
          <w:rFonts w:eastAsia="Times New Roman"/>
          <w:snapToGrid w:val="0"/>
          <w:sz w:val="20"/>
          <w:szCs w:val="20"/>
        </w:rPr>
        <w:t xml:space="preserve"> do not want </w:t>
      </w:r>
      <w:r w:rsidRPr="00240A68">
        <w:rPr>
          <w:rFonts w:eastAsia="Times New Roman"/>
          <w:i/>
          <w:snapToGrid w:val="0"/>
          <w:sz w:val="20"/>
          <w:szCs w:val="20"/>
        </w:rPr>
        <w:t>your</w:t>
      </w:r>
      <w:r w:rsidRPr="00240A68">
        <w:rPr>
          <w:rFonts w:eastAsia="Times New Roman"/>
          <w:snapToGrid w:val="0"/>
          <w:sz w:val="20"/>
          <w:szCs w:val="20"/>
        </w:rPr>
        <w:t xml:space="preserve"> services on any</w:t>
      </w:r>
      <w:r w:rsidRPr="00240A68">
        <w:rPr>
          <w:rFonts w:eastAsia="Times New Roman"/>
          <w:sz w:val="20"/>
          <w:szCs w:val="20"/>
        </w:rPr>
        <w:t xml:space="preserve"> My Plan Plus</w:t>
      </w:r>
      <w:r w:rsidRPr="00240A68">
        <w:rPr>
          <w:rFonts w:eastAsia="Times New Roman"/>
          <w:sz w:val="20"/>
          <w:szCs w:val="20"/>
          <w:lang w:eastAsia="en-AU"/>
        </w:rPr>
        <w:t>, My Plan Plus SIM Only, My Plan Business (including Tech Fund), My Plan Business SIM, My Mobile Broadband Plus or Mobile Broadband Business plans</w:t>
      </w:r>
      <w:r w:rsidRPr="00240A68">
        <w:rPr>
          <w:rFonts w:eastAsia="Times New Roman"/>
          <w:snapToGrid w:val="0"/>
          <w:sz w:val="20"/>
          <w:szCs w:val="20"/>
        </w:rPr>
        <w:t xml:space="preserve"> to share data, they need to be on separate billing accounts. .</w:t>
      </w:r>
    </w:p>
    <w:p w14:paraId="736DD385" w14:textId="77777777" w:rsidR="00BA172C" w:rsidRPr="00240A68" w:rsidRDefault="00BA172C" w:rsidP="00BA172C">
      <w:pPr>
        <w:numPr>
          <w:ilvl w:val="6"/>
          <w:numId w:val="1"/>
        </w:numPr>
        <w:spacing w:after="200"/>
        <w:ind w:left="1440"/>
        <w:outlineLvl w:val="6"/>
        <w:rPr>
          <w:rFonts w:eastAsia="Times New Roman"/>
          <w:snapToGrid w:val="0"/>
          <w:sz w:val="20"/>
          <w:szCs w:val="20"/>
        </w:rPr>
      </w:pPr>
      <w:r w:rsidRPr="00240A68">
        <w:rPr>
          <w:rFonts w:eastAsia="Times New Roman"/>
          <w:snapToGrid w:val="0"/>
          <w:sz w:val="20"/>
          <w:szCs w:val="20"/>
        </w:rPr>
        <w:t>Data sharing is only available within Australia.</w:t>
      </w:r>
    </w:p>
    <w:p w14:paraId="57587CF1" w14:textId="77777777" w:rsidR="00BA172C" w:rsidRPr="00240A68" w:rsidRDefault="00BA172C" w:rsidP="00BA172C">
      <w:pPr>
        <w:numPr>
          <w:ilvl w:val="5"/>
          <w:numId w:val="1"/>
        </w:numPr>
        <w:spacing w:after="200"/>
        <w:outlineLvl w:val="5"/>
        <w:rPr>
          <w:rFonts w:eastAsia="Times New Roman"/>
          <w:bCs/>
          <w:snapToGrid w:val="0"/>
          <w:sz w:val="20"/>
          <w:szCs w:val="20"/>
        </w:rPr>
      </w:pPr>
      <w:bookmarkStart w:id="1813" w:name="_Toc479674728"/>
      <w:r w:rsidRPr="00240A68">
        <w:rPr>
          <w:rFonts w:eastAsia="Times New Roman"/>
          <w:bCs/>
          <w:snapToGrid w:val="0"/>
          <w:sz w:val="20"/>
          <w:szCs w:val="20"/>
        </w:rPr>
        <w:lastRenderedPageBreak/>
        <w:t>International Minutes</w:t>
      </w:r>
      <w:bookmarkEnd w:id="1813"/>
    </w:p>
    <w:p w14:paraId="78BE0B7B" w14:textId="77777777" w:rsidR="00BA172C" w:rsidRPr="00240A68" w:rsidRDefault="00BA172C" w:rsidP="00BA172C">
      <w:pPr>
        <w:spacing w:after="200"/>
        <w:ind w:left="720"/>
        <w:rPr>
          <w:sz w:val="20"/>
          <w:szCs w:val="20"/>
        </w:rPr>
      </w:pPr>
      <w:r w:rsidRPr="00240A68">
        <w:rPr>
          <w:sz w:val="20"/>
          <w:szCs w:val="20"/>
        </w:rPr>
        <w:t>The $40/$55/$70 My Plan Business includes up to 300/400/500 international minutes (respectively) for standard calls to mobiles and fixed lines in selected countries. For a list of selected countries see Table 3 below.</w:t>
      </w:r>
    </w:p>
    <w:p w14:paraId="2DCB5709" w14:textId="77777777" w:rsidR="00BA172C" w:rsidRPr="00240A68" w:rsidRDefault="00BA172C" w:rsidP="00BA172C">
      <w:pPr>
        <w:spacing w:after="200"/>
        <w:ind w:left="720"/>
        <w:rPr>
          <w:sz w:val="20"/>
          <w:szCs w:val="20"/>
        </w:rPr>
      </w:pPr>
      <w:r w:rsidRPr="00240A68">
        <w:rPr>
          <w:sz w:val="20"/>
          <w:szCs w:val="20"/>
        </w:rPr>
        <w:t xml:space="preserve">Calls are charged per minute. When included minutes for calls to selected countries are used up, standard 'yes' international call charges apply. </w:t>
      </w:r>
    </w:p>
    <w:p w14:paraId="6CD6B6BB" w14:textId="77777777" w:rsidR="00BA172C" w:rsidRPr="00240A68" w:rsidRDefault="00BA172C" w:rsidP="00BA172C">
      <w:pPr>
        <w:numPr>
          <w:ilvl w:val="5"/>
          <w:numId w:val="1"/>
        </w:numPr>
        <w:spacing w:after="200"/>
        <w:outlineLvl w:val="5"/>
        <w:rPr>
          <w:rFonts w:eastAsia="Times New Roman"/>
          <w:bCs/>
          <w:snapToGrid w:val="0"/>
          <w:sz w:val="20"/>
          <w:szCs w:val="20"/>
        </w:rPr>
      </w:pPr>
      <w:bookmarkStart w:id="1814" w:name="_Toc479674729"/>
      <w:r w:rsidRPr="00240A68">
        <w:rPr>
          <w:rFonts w:eastAsia="Times New Roman"/>
          <w:bCs/>
          <w:snapToGrid w:val="0"/>
          <w:sz w:val="20"/>
          <w:szCs w:val="20"/>
        </w:rPr>
        <w:t>Unlimited standard national SMS and MMS</w:t>
      </w:r>
      <w:bookmarkEnd w:id="1814"/>
    </w:p>
    <w:p w14:paraId="042D0233" w14:textId="77777777" w:rsidR="00BA172C" w:rsidRPr="00240A68" w:rsidRDefault="00BA172C" w:rsidP="00BA172C">
      <w:pPr>
        <w:spacing w:after="200"/>
        <w:ind w:left="720"/>
        <w:rPr>
          <w:sz w:val="20"/>
          <w:szCs w:val="20"/>
        </w:rPr>
      </w:pPr>
      <w:r w:rsidRPr="00240A68">
        <w:rPr>
          <w:i/>
          <w:sz w:val="20"/>
          <w:szCs w:val="20"/>
        </w:rPr>
        <w:t>You</w:t>
      </w:r>
      <w:r w:rsidRPr="00240A68">
        <w:rPr>
          <w:sz w:val="20"/>
          <w:szCs w:val="20"/>
        </w:rPr>
        <w:t xml:space="preserve"> may send unlimited standard SMS and MMS to Australian mobiles from within Australia.</w:t>
      </w:r>
    </w:p>
    <w:p w14:paraId="4DB9FF1F" w14:textId="77777777" w:rsidR="00BA172C" w:rsidRPr="00240A68" w:rsidRDefault="00BA172C" w:rsidP="00BA172C">
      <w:pPr>
        <w:spacing w:after="200"/>
        <w:ind w:left="720"/>
        <w:rPr>
          <w:i/>
          <w:color w:val="13607C"/>
          <w:sz w:val="20"/>
          <w:szCs w:val="20"/>
          <w:u w:val="single"/>
        </w:rPr>
      </w:pPr>
      <w:r w:rsidRPr="00240A68">
        <w:rPr>
          <w:sz w:val="20"/>
          <w:szCs w:val="20"/>
        </w:rPr>
        <w:t xml:space="preserve">Unlimited standard national SMS and MMS are only available for personal and ordinary business use and are not to be used for a commercial or non-ordinary purpose as set out in the </w:t>
      </w:r>
      <w:hyperlink r:id="rId791" w:history="1">
        <w:r w:rsidRPr="00240A68">
          <w:rPr>
            <w:rFonts w:cs="Arial"/>
            <w:i/>
            <w:color w:val="13607C"/>
            <w:sz w:val="20"/>
            <w:szCs w:val="20"/>
            <w:u w:val="single"/>
          </w:rPr>
          <w:t>Fair Go Policy</w:t>
        </w:r>
      </w:hyperlink>
      <w:r w:rsidRPr="00240A68">
        <w:rPr>
          <w:sz w:val="20"/>
          <w:szCs w:val="20"/>
        </w:rPr>
        <w:t xml:space="preserve">. For further details refer to </w:t>
      </w:r>
      <w:hyperlink r:id="rId792" w:history="1">
        <w:r w:rsidRPr="00240A68">
          <w:rPr>
            <w:i/>
            <w:color w:val="13607C"/>
            <w:sz w:val="20"/>
            <w:szCs w:val="20"/>
            <w:u w:val="single"/>
          </w:rPr>
          <w:t>Appendix S</w:t>
        </w:r>
      </w:hyperlink>
      <w:r w:rsidRPr="00240A68">
        <w:rPr>
          <w:i/>
          <w:sz w:val="20"/>
          <w:szCs w:val="20"/>
        </w:rPr>
        <w:t>.</w:t>
      </w:r>
    </w:p>
    <w:p w14:paraId="737D229F" w14:textId="77777777" w:rsidR="00BA172C" w:rsidRPr="00240A68" w:rsidRDefault="00BA172C" w:rsidP="00BA172C">
      <w:pPr>
        <w:numPr>
          <w:ilvl w:val="5"/>
          <w:numId w:val="1"/>
        </w:numPr>
        <w:spacing w:after="200"/>
        <w:outlineLvl w:val="5"/>
        <w:rPr>
          <w:rFonts w:eastAsia="Times New Roman"/>
          <w:bCs/>
          <w:snapToGrid w:val="0"/>
          <w:sz w:val="20"/>
          <w:szCs w:val="20"/>
        </w:rPr>
      </w:pPr>
      <w:bookmarkStart w:id="1815" w:name="_Toc479674730"/>
      <w:r w:rsidRPr="00240A68">
        <w:rPr>
          <w:rFonts w:eastAsia="Times New Roman"/>
          <w:bCs/>
          <w:snapToGrid w:val="0"/>
          <w:sz w:val="20"/>
          <w:szCs w:val="20"/>
        </w:rPr>
        <w:t>Unlimited standard international SMS and MMS</w:t>
      </w:r>
      <w:bookmarkEnd w:id="1815"/>
    </w:p>
    <w:p w14:paraId="22A63037" w14:textId="77777777" w:rsidR="00BA172C" w:rsidRPr="00240A68" w:rsidRDefault="00BA172C" w:rsidP="00BA172C">
      <w:pPr>
        <w:spacing w:after="200"/>
        <w:ind w:left="720"/>
        <w:rPr>
          <w:sz w:val="20"/>
          <w:szCs w:val="20"/>
        </w:rPr>
      </w:pPr>
      <w:r w:rsidRPr="00240A68">
        <w:rPr>
          <w:i/>
          <w:sz w:val="20"/>
          <w:szCs w:val="20"/>
        </w:rPr>
        <w:t>You</w:t>
      </w:r>
      <w:r w:rsidRPr="00240A68">
        <w:rPr>
          <w:sz w:val="20"/>
          <w:szCs w:val="20"/>
        </w:rPr>
        <w:t xml:space="preserve"> may send unlimited standard SMS and MMS to selected countries as set out in Table 3 below.</w:t>
      </w:r>
    </w:p>
    <w:p w14:paraId="5C946A99" w14:textId="77777777" w:rsidR="00BA172C" w:rsidRPr="00240A68" w:rsidRDefault="00BA172C" w:rsidP="00BA172C">
      <w:pPr>
        <w:spacing w:after="200"/>
        <w:ind w:left="720"/>
        <w:rPr>
          <w:i/>
          <w:sz w:val="20"/>
          <w:szCs w:val="20"/>
        </w:rPr>
      </w:pPr>
      <w:r w:rsidRPr="00240A68">
        <w:rPr>
          <w:sz w:val="20"/>
          <w:szCs w:val="20"/>
        </w:rPr>
        <w:t xml:space="preserve">Unlimited standard SMS and MMS are only available for personal and ordinary business use and are not to be used for a commercial or non-ordinary purpose as set out in the Fair Go Policy. For further details refer to </w:t>
      </w:r>
      <w:hyperlink r:id="rId793" w:history="1">
        <w:r w:rsidRPr="00240A68">
          <w:rPr>
            <w:i/>
            <w:color w:val="13607C"/>
            <w:sz w:val="20"/>
            <w:szCs w:val="20"/>
            <w:u w:val="single"/>
          </w:rPr>
          <w:t>Appendix S</w:t>
        </w:r>
      </w:hyperlink>
      <w:r w:rsidRPr="00240A68">
        <w:rPr>
          <w:i/>
          <w:sz w:val="20"/>
          <w:szCs w:val="20"/>
        </w:rPr>
        <w:t>.</w:t>
      </w:r>
    </w:p>
    <w:p w14:paraId="44CA4766" w14:textId="77777777" w:rsidR="00BA172C" w:rsidRPr="00240A68" w:rsidRDefault="00BA172C" w:rsidP="00BA172C">
      <w:pPr>
        <w:numPr>
          <w:ilvl w:val="5"/>
          <w:numId w:val="1"/>
        </w:numPr>
        <w:spacing w:after="200"/>
        <w:outlineLvl w:val="5"/>
        <w:rPr>
          <w:rFonts w:eastAsia="Times New Roman"/>
          <w:bCs/>
          <w:snapToGrid w:val="0"/>
          <w:sz w:val="20"/>
          <w:szCs w:val="20"/>
        </w:rPr>
      </w:pPr>
      <w:bookmarkStart w:id="1816" w:name="_Toc479674731"/>
      <w:r w:rsidRPr="00240A68">
        <w:rPr>
          <w:rFonts w:eastAsia="Times New Roman"/>
          <w:bCs/>
          <w:snapToGrid w:val="0"/>
          <w:sz w:val="20"/>
          <w:szCs w:val="20"/>
        </w:rPr>
        <w:t>Optus Travel</w:t>
      </w:r>
      <w:r w:rsidRPr="00240A68">
        <w:rPr>
          <w:rFonts w:eastAsia="Times New Roman"/>
          <w:bCs/>
          <w:snapToGrid w:val="0"/>
          <w:sz w:val="20"/>
          <w:szCs w:val="20"/>
          <w:vertAlign w:val="superscript"/>
        </w:rPr>
        <w:t xml:space="preserve">TM </w:t>
      </w:r>
      <w:r w:rsidRPr="00240A68">
        <w:rPr>
          <w:rFonts w:eastAsia="Times New Roman"/>
          <w:bCs/>
          <w:snapToGrid w:val="0"/>
          <w:sz w:val="20"/>
          <w:szCs w:val="20"/>
        </w:rPr>
        <w:t>Pack</w:t>
      </w:r>
      <w:bookmarkEnd w:id="1816"/>
      <w:r w:rsidRPr="00240A68">
        <w:rPr>
          <w:rFonts w:eastAsia="Times New Roman"/>
          <w:bCs/>
          <w:snapToGrid w:val="0"/>
          <w:sz w:val="20"/>
          <w:szCs w:val="20"/>
        </w:rPr>
        <w:t xml:space="preserve"> </w:t>
      </w:r>
    </w:p>
    <w:p w14:paraId="1F21E966" w14:textId="77777777" w:rsidR="00BA172C" w:rsidRPr="00240A68" w:rsidRDefault="00BA172C" w:rsidP="00BA172C">
      <w:pPr>
        <w:spacing w:after="200"/>
        <w:ind w:left="720"/>
        <w:rPr>
          <w:snapToGrid w:val="0"/>
          <w:sz w:val="20"/>
          <w:szCs w:val="20"/>
        </w:rPr>
      </w:pPr>
      <w:r w:rsidRPr="00240A68">
        <w:rPr>
          <w:i/>
          <w:snapToGrid w:val="0"/>
          <w:sz w:val="20"/>
          <w:szCs w:val="20"/>
        </w:rPr>
        <w:t>You</w:t>
      </w:r>
      <w:r w:rsidRPr="00240A68">
        <w:rPr>
          <w:snapToGrid w:val="0"/>
          <w:sz w:val="20"/>
          <w:szCs w:val="20"/>
        </w:rPr>
        <w:t xml:space="preserve"> need to ensure your Optus Travel</w:t>
      </w:r>
      <w:r w:rsidRPr="00240A68">
        <w:rPr>
          <w:snapToGrid w:val="0"/>
          <w:sz w:val="20"/>
          <w:szCs w:val="20"/>
          <w:vertAlign w:val="superscript"/>
        </w:rPr>
        <w:t>TM</w:t>
      </w:r>
      <w:r w:rsidRPr="00240A68">
        <w:rPr>
          <w:snapToGrid w:val="0"/>
          <w:sz w:val="20"/>
          <w:szCs w:val="20"/>
        </w:rPr>
        <w:t xml:space="preserve"> Pack is active by contacting Optus prior to use. Optus Travel</w:t>
      </w:r>
      <w:r w:rsidRPr="00240A68">
        <w:rPr>
          <w:snapToGrid w:val="0"/>
          <w:sz w:val="20"/>
          <w:szCs w:val="20"/>
          <w:vertAlign w:val="superscript"/>
        </w:rPr>
        <w:t>TM</w:t>
      </w:r>
      <w:r w:rsidRPr="00240A68">
        <w:rPr>
          <w:snapToGrid w:val="0"/>
          <w:sz w:val="20"/>
          <w:szCs w:val="20"/>
        </w:rPr>
        <w:t xml:space="preserve"> Pack gives you unlimited standard national and international voice, SMS (MMS is excluded) plus 50MB of data to use in Zone 1 countries per day. For list of countries see optus.com.au/travel</w:t>
      </w:r>
    </w:p>
    <w:p w14:paraId="7303C39F" w14:textId="77777777" w:rsidR="00BA172C" w:rsidRPr="00240A68" w:rsidRDefault="00BA172C" w:rsidP="00BA172C">
      <w:pPr>
        <w:spacing w:after="200"/>
        <w:ind w:left="720"/>
        <w:rPr>
          <w:snapToGrid w:val="0"/>
          <w:sz w:val="20"/>
          <w:szCs w:val="20"/>
        </w:rPr>
      </w:pPr>
      <w:r w:rsidRPr="00240A68">
        <w:rPr>
          <w:i/>
          <w:snapToGrid w:val="0"/>
          <w:sz w:val="20"/>
          <w:szCs w:val="20"/>
        </w:rPr>
        <w:t>You</w:t>
      </w:r>
      <w:r w:rsidRPr="00240A68">
        <w:rPr>
          <w:snapToGrid w:val="0"/>
          <w:sz w:val="20"/>
          <w:szCs w:val="20"/>
        </w:rPr>
        <w:t xml:space="preserve"> can activate the Optus Travel</w:t>
      </w:r>
      <w:r w:rsidRPr="00240A68">
        <w:rPr>
          <w:snapToGrid w:val="0"/>
          <w:sz w:val="20"/>
          <w:szCs w:val="20"/>
          <w:vertAlign w:val="superscript"/>
        </w:rPr>
        <w:t>TM</w:t>
      </w:r>
      <w:r w:rsidRPr="00240A68">
        <w:rPr>
          <w:snapToGrid w:val="0"/>
          <w:sz w:val="20"/>
          <w:szCs w:val="20"/>
        </w:rPr>
        <w:t xml:space="preserve"> Pack on a day to day basis or multiple days at once. If you activate multiple consecutive days, the data allowance will accumulate, for example </w:t>
      </w:r>
      <w:r w:rsidRPr="00240A68">
        <w:rPr>
          <w:bCs/>
          <w:snapToGrid w:val="0"/>
          <w:sz w:val="20"/>
          <w:szCs w:val="20"/>
        </w:rPr>
        <w:t>activate 5 consecutive days and use 250MB any time over the 5 day period. If you exceed the data limit, standard data roaming charges will apply. Any data provided as part of Optus Travel™ Pack is not shareable and will not form part of any Data Pool. Any unused days of Optus Travel™ Pack are forfeited and cannot be rolled over to the next billing month.</w:t>
      </w:r>
    </w:p>
    <w:p w14:paraId="7274953B" w14:textId="77777777" w:rsidR="00BA172C" w:rsidRPr="00240A68" w:rsidRDefault="00BA172C" w:rsidP="00BA172C">
      <w:pPr>
        <w:spacing w:after="200"/>
        <w:ind w:left="720"/>
        <w:rPr>
          <w:snapToGrid w:val="0"/>
          <w:sz w:val="20"/>
          <w:szCs w:val="20"/>
        </w:rPr>
      </w:pPr>
      <w:r w:rsidRPr="00240A68">
        <w:rPr>
          <w:snapToGrid w:val="0"/>
          <w:sz w:val="20"/>
          <w:szCs w:val="20"/>
        </w:rPr>
        <w:t>If you are not in a Zone 1 country you will be charged at standard roaming rates for that country.</w:t>
      </w:r>
    </w:p>
    <w:p w14:paraId="7D8DFCFA" w14:textId="77777777" w:rsidR="00BA172C" w:rsidRPr="00B7364B" w:rsidRDefault="00BA172C" w:rsidP="00BA172C">
      <w:pPr>
        <w:spacing w:after="200"/>
        <w:ind w:left="720"/>
        <w:rPr>
          <w:b/>
          <w:sz w:val="20"/>
        </w:rPr>
      </w:pPr>
      <w:r w:rsidRPr="00B7364B">
        <w:rPr>
          <w:b/>
          <w:sz w:val="20"/>
        </w:rPr>
        <w:t>Table 1 –Plan Inclusions and Charges</w:t>
      </w:r>
    </w:p>
    <w:tbl>
      <w:tblPr>
        <w:tblW w:w="3874"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2"/>
        <w:gridCol w:w="1468"/>
        <w:gridCol w:w="1470"/>
        <w:gridCol w:w="1468"/>
        <w:gridCol w:w="1471"/>
        <w:gridCol w:w="35"/>
      </w:tblGrid>
      <w:tr w:rsidR="00BA172C" w:rsidRPr="00B7364B" w14:paraId="0B214346" w14:textId="77777777" w:rsidTr="00B95821">
        <w:trPr>
          <w:gridAfter w:val="1"/>
          <w:wAfter w:w="22" w:type="pct"/>
          <w:tblHeader/>
        </w:trPr>
        <w:tc>
          <w:tcPr>
            <w:tcW w:w="1255" w:type="pct"/>
            <w:shd w:val="clear" w:color="auto" w:fill="auto"/>
          </w:tcPr>
          <w:p w14:paraId="4B2F0F76" w14:textId="77777777" w:rsidR="00BA172C" w:rsidRPr="00B7364B" w:rsidRDefault="00BA172C" w:rsidP="00B95821">
            <w:pPr>
              <w:spacing w:before="100" w:after="100"/>
              <w:rPr>
                <w:sz w:val="20"/>
                <w:szCs w:val="20"/>
              </w:rPr>
            </w:pPr>
          </w:p>
        </w:tc>
        <w:tc>
          <w:tcPr>
            <w:tcW w:w="930" w:type="pct"/>
          </w:tcPr>
          <w:p w14:paraId="6770F975" w14:textId="77777777" w:rsidR="00BA172C" w:rsidRPr="00B7364B" w:rsidRDefault="00BA172C" w:rsidP="00B95821">
            <w:pPr>
              <w:spacing w:before="100" w:after="100"/>
              <w:jc w:val="center"/>
              <w:rPr>
                <w:b/>
                <w:sz w:val="20"/>
                <w:szCs w:val="20"/>
              </w:rPr>
            </w:pPr>
            <w:r w:rsidRPr="00B7364B">
              <w:rPr>
                <w:b/>
                <w:sz w:val="20"/>
                <w:szCs w:val="20"/>
              </w:rPr>
              <w:t>$30 My Plan Business</w:t>
            </w:r>
          </w:p>
        </w:tc>
        <w:tc>
          <w:tcPr>
            <w:tcW w:w="931" w:type="pct"/>
            <w:shd w:val="clear" w:color="auto" w:fill="auto"/>
          </w:tcPr>
          <w:p w14:paraId="741EE44D" w14:textId="77777777" w:rsidR="00BA172C" w:rsidRPr="00B7364B" w:rsidRDefault="00BA172C" w:rsidP="00B95821">
            <w:pPr>
              <w:spacing w:before="100" w:after="100"/>
              <w:jc w:val="center"/>
              <w:rPr>
                <w:b/>
                <w:sz w:val="20"/>
                <w:szCs w:val="20"/>
              </w:rPr>
            </w:pPr>
            <w:r w:rsidRPr="00B7364B">
              <w:rPr>
                <w:b/>
                <w:sz w:val="20"/>
                <w:szCs w:val="20"/>
              </w:rPr>
              <w:t>$40 My Plan Business</w:t>
            </w:r>
          </w:p>
        </w:tc>
        <w:tc>
          <w:tcPr>
            <w:tcW w:w="930" w:type="pct"/>
            <w:shd w:val="clear" w:color="auto" w:fill="auto"/>
          </w:tcPr>
          <w:p w14:paraId="60296644" w14:textId="77777777" w:rsidR="00BA172C" w:rsidRPr="00B7364B" w:rsidRDefault="00BA172C" w:rsidP="00B95821">
            <w:pPr>
              <w:spacing w:before="100" w:after="100"/>
              <w:jc w:val="center"/>
              <w:rPr>
                <w:b/>
                <w:sz w:val="20"/>
                <w:szCs w:val="20"/>
              </w:rPr>
            </w:pPr>
            <w:r w:rsidRPr="00B7364B">
              <w:rPr>
                <w:b/>
                <w:sz w:val="20"/>
                <w:szCs w:val="20"/>
              </w:rPr>
              <w:t>$55 My Plan Business</w:t>
            </w:r>
          </w:p>
        </w:tc>
        <w:tc>
          <w:tcPr>
            <w:tcW w:w="932" w:type="pct"/>
          </w:tcPr>
          <w:p w14:paraId="2F452821" w14:textId="77777777" w:rsidR="00BA172C" w:rsidRPr="00B7364B" w:rsidRDefault="00BA172C" w:rsidP="00B95821">
            <w:pPr>
              <w:spacing w:before="100" w:after="100"/>
              <w:jc w:val="center"/>
              <w:rPr>
                <w:b/>
                <w:sz w:val="20"/>
                <w:szCs w:val="20"/>
              </w:rPr>
            </w:pPr>
            <w:r w:rsidRPr="00B7364B">
              <w:rPr>
                <w:b/>
                <w:sz w:val="20"/>
                <w:szCs w:val="20"/>
              </w:rPr>
              <w:t>$70 My Plan Business</w:t>
            </w:r>
          </w:p>
        </w:tc>
      </w:tr>
      <w:tr w:rsidR="00BA172C" w:rsidRPr="00B7364B" w14:paraId="126A95D1" w14:textId="77777777" w:rsidTr="00B95821">
        <w:trPr>
          <w:gridAfter w:val="1"/>
          <w:wAfter w:w="22" w:type="pct"/>
        </w:trPr>
        <w:tc>
          <w:tcPr>
            <w:tcW w:w="1255" w:type="pct"/>
            <w:shd w:val="clear" w:color="auto" w:fill="auto"/>
          </w:tcPr>
          <w:p w14:paraId="161E7A45" w14:textId="77777777" w:rsidR="00BA172C" w:rsidRPr="00B7364B" w:rsidRDefault="00BA172C" w:rsidP="00B95821">
            <w:pPr>
              <w:spacing w:before="100" w:after="100"/>
              <w:rPr>
                <w:sz w:val="20"/>
                <w:szCs w:val="20"/>
              </w:rPr>
            </w:pPr>
            <w:r w:rsidRPr="00B7364B">
              <w:rPr>
                <w:b/>
                <w:bCs/>
                <w:sz w:val="20"/>
                <w:szCs w:val="20"/>
              </w:rPr>
              <w:t>Minimum Monthly charge</w:t>
            </w:r>
          </w:p>
        </w:tc>
        <w:tc>
          <w:tcPr>
            <w:tcW w:w="930" w:type="pct"/>
            <w:vAlign w:val="center"/>
          </w:tcPr>
          <w:p w14:paraId="2A45787E" w14:textId="77777777" w:rsidR="00BA172C" w:rsidRPr="00B7364B" w:rsidRDefault="00BA172C" w:rsidP="00B95821">
            <w:pPr>
              <w:spacing w:before="100" w:after="100"/>
              <w:jc w:val="center"/>
              <w:rPr>
                <w:sz w:val="20"/>
                <w:szCs w:val="20"/>
              </w:rPr>
            </w:pPr>
            <w:r w:rsidRPr="00B7364B">
              <w:rPr>
                <w:sz w:val="20"/>
                <w:szCs w:val="20"/>
              </w:rPr>
              <w:t>$30</w:t>
            </w:r>
          </w:p>
        </w:tc>
        <w:tc>
          <w:tcPr>
            <w:tcW w:w="931" w:type="pct"/>
            <w:shd w:val="clear" w:color="auto" w:fill="auto"/>
            <w:vAlign w:val="center"/>
          </w:tcPr>
          <w:p w14:paraId="462C41EE" w14:textId="77777777" w:rsidR="00BA172C" w:rsidRPr="00B7364B" w:rsidRDefault="00BA172C" w:rsidP="00B95821">
            <w:pPr>
              <w:spacing w:before="100" w:after="100"/>
              <w:jc w:val="center"/>
              <w:rPr>
                <w:sz w:val="20"/>
                <w:szCs w:val="20"/>
              </w:rPr>
            </w:pPr>
            <w:r w:rsidRPr="00B7364B">
              <w:rPr>
                <w:sz w:val="20"/>
                <w:szCs w:val="20"/>
              </w:rPr>
              <w:t>$40</w:t>
            </w:r>
          </w:p>
        </w:tc>
        <w:tc>
          <w:tcPr>
            <w:tcW w:w="930" w:type="pct"/>
            <w:shd w:val="clear" w:color="auto" w:fill="auto"/>
            <w:vAlign w:val="center"/>
          </w:tcPr>
          <w:p w14:paraId="2AEA1E3B" w14:textId="77777777" w:rsidR="00BA172C" w:rsidRPr="00B7364B" w:rsidRDefault="00BA172C" w:rsidP="00B95821">
            <w:pPr>
              <w:spacing w:before="100" w:after="100"/>
              <w:jc w:val="center"/>
              <w:rPr>
                <w:sz w:val="20"/>
                <w:szCs w:val="20"/>
              </w:rPr>
            </w:pPr>
            <w:r w:rsidRPr="00B7364B">
              <w:rPr>
                <w:sz w:val="20"/>
                <w:szCs w:val="20"/>
              </w:rPr>
              <w:t>$55</w:t>
            </w:r>
          </w:p>
        </w:tc>
        <w:tc>
          <w:tcPr>
            <w:tcW w:w="932" w:type="pct"/>
            <w:vAlign w:val="center"/>
          </w:tcPr>
          <w:p w14:paraId="72967DF2" w14:textId="77777777" w:rsidR="00BA172C" w:rsidRPr="00B7364B" w:rsidRDefault="00BA172C" w:rsidP="00B95821">
            <w:pPr>
              <w:spacing w:before="100" w:after="100"/>
              <w:jc w:val="center"/>
              <w:rPr>
                <w:sz w:val="20"/>
                <w:szCs w:val="20"/>
              </w:rPr>
            </w:pPr>
            <w:r w:rsidRPr="00B7364B">
              <w:rPr>
                <w:sz w:val="20"/>
                <w:szCs w:val="20"/>
              </w:rPr>
              <w:t>$70</w:t>
            </w:r>
          </w:p>
        </w:tc>
      </w:tr>
      <w:tr w:rsidR="00BA172C" w:rsidRPr="00B7364B" w14:paraId="7746E023" w14:textId="77777777" w:rsidTr="00B95821">
        <w:trPr>
          <w:gridAfter w:val="1"/>
          <w:wAfter w:w="22" w:type="pct"/>
        </w:trPr>
        <w:tc>
          <w:tcPr>
            <w:tcW w:w="1255" w:type="pct"/>
            <w:shd w:val="clear" w:color="auto" w:fill="auto"/>
          </w:tcPr>
          <w:p w14:paraId="1E0231CB" w14:textId="77777777" w:rsidR="00BA172C" w:rsidRPr="00B7364B" w:rsidRDefault="00BA172C" w:rsidP="00B95821">
            <w:pPr>
              <w:spacing w:before="100" w:after="100"/>
              <w:rPr>
                <w:sz w:val="20"/>
                <w:szCs w:val="20"/>
              </w:rPr>
            </w:pPr>
            <w:r w:rsidRPr="00B7364B">
              <w:rPr>
                <w:b/>
                <w:bCs/>
                <w:sz w:val="20"/>
                <w:szCs w:val="20"/>
              </w:rPr>
              <w:t>Included Data</w:t>
            </w:r>
          </w:p>
        </w:tc>
        <w:tc>
          <w:tcPr>
            <w:tcW w:w="930" w:type="pct"/>
            <w:vAlign w:val="center"/>
          </w:tcPr>
          <w:p w14:paraId="553CFB6E" w14:textId="77777777" w:rsidR="00BA172C" w:rsidRPr="00B7364B" w:rsidRDefault="00BA172C" w:rsidP="00B95821">
            <w:pPr>
              <w:spacing w:before="100" w:after="100"/>
              <w:jc w:val="center"/>
              <w:rPr>
                <w:sz w:val="20"/>
                <w:szCs w:val="20"/>
              </w:rPr>
            </w:pPr>
            <w:r w:rsidRPr="00B7364B">
              <w:rPr>
                <w:sz w:val="20"/>
                <w:szCs w:val="20"/>
              </w:rPr>
              <w:t>1.5GB</w:t>
            </w:r>
          </w:p>
        </w:tc>
        <w:tc>
          <w:tcPr>
            <w:tcW w:w="931" w:type="pct"/>
            <w:shd w:val="clear" w:color="auto" w:fill="auto"/>
            <w:vAlign w:val="center"/>
          </w:tcPr>
          <w:p w14:paraId="1F869E21" w14:textId="77777777" w:rsidR="00BA172C" w:rsidRPr="00B7364B" w:rsidRDefault="00BA172C" w:rsidP="00B95821">
            <w:pPr>
              <w:spacing w:before="100" w:after="100"/>
              <w:jc w:val="center"/>
              <w:rPr>
                <w:sz w:val="20"/>
                <w:szCs w:val="20"/>
              </w:rPr>
            </w:pPr>
            <w:r w:rsidRPr="00B7364B">
              <w:rPr>
                <w:sz w:val="20"/>
                <w:szCs w:val="20"/>
              </w:rPr>
              <w:t>8GB</w:t>
            </w:r>
          </w:p>
        </w:tc>
        <w:tc>
          <w:tcPr>
            <w:tcW w:w="930" w:type="pct"/>
            <w:shd w:val="clear" w:color="auto" w:fill="auto"/>
            <w:vAlign w:val="center"/>
          </w:tcPr>
          <w:p w14:paraId="0A6D1270" w14:textId="77777777" w:rsidR="00BA172C" w:rsidRPr="00B7364B" w:rsidRDefault="00BA172C" w:rsidP="00B95821">
            <w:pPr>
              <w:spacing w:before="100" w:after="100"/>
              <w:jc w:val="center"/>
              <w:rPr>
                <w:sz w:val="20"/>
                <w:szCs w:val="20"/>
              </w:rPr>
            </w:pPr>
            <w:r w:rsidRPr="00B7364B">
              <w:rPr>
                <w:sz w:val="20"/>
                <w:szCs w:val="20"/>
              </w:rPr>
              <w:t>12GB</w:t>
            </w:r>
          </w:p>
        </w:tc>
        <w:tc>
          <w:tcPr>
            <w:tcW w:w="932" w:type="pct"/>
            <w:vAlign w:val="center"/>
          </w:tcPr>
          <w:p w14:paraId="1568F9E1" w14:textId="77777777" w:rsidR="00BA172C" w:rsidRPr="00B7364B" w:rsidRDefault="00BA172C" w:rsidP="00B95821">
            <w:pPr>
              <w:spacing w:before="100" w:after="100"/>
              <w:jc w:val="center"/>
              <w:rPr>
                <w:sz w:val="20"/>
                <w:szCs w:val="20"/>
              </w:rPr>
            </w:pPr>
            <w:r w:rsidRPr="00B7364B">
              <w:rPr>
                <w:sz w:val="20"/>
                <w:szCs w:val="20"/>
              </w:rPr>
              <w:t>20GB</w:t>
            </w:r>
          </w:p>
        </w:tc>
      </w:tr>
      <w:tr w:rsidR="00BA172C" w:rsidRPr="00B7364B" w14:paraId="67C6246A" w14:textId="77777777" w:rsidTr="00B95821">
        <w:tc>
          <w:tcPr>
            <w:tcW w:w="1255" w:type="pct"/>
            <w:shd w:val="clear" w:color="auto" w:fill="auto"/>
          </w:tcPr>
          <w:p w14:paraId="75118FC7" w14:textId="77777777" w:rsidR="00BA172C" w:rsidRPr="00B7364B" w:rsidRDefault="00BA172C" w:rsidP="00B95821">
            <w:pPr>
              <w:spacing w:before="100" w:after="100"/>
              <w:rPr>
                <w:b/>
                <w:bCs/>
                <w:sz w:val="20"/>
                <w:szCs w:val="20"/>
              </w:rPr>
            </w:pPr>
            <w:r w:rsidRPr="00B7364B">
              <w:rPr>
                <w:b/>
                <w:bCs/>
                <w:sz w:val="20"/>
                <w:szCs w:val="20"/>
              </w:rPr>
              <w:t>Additional Data</w:t>
            </w:r>
          </w:p>
        </w:tc>
        <w:tc>
          <w:tcPr>
            <w:tcW w:w="3745" w:type="pct"/>
            <w:gridSpan w:val="5"/>
            <w:vAlign w:val="center"/>
          </w:tcPr>
          <w:p w14:paraId="3DC5C93E" w14:textId="77777777" w:rsidR="00BA172C" w:rsidRPr="00B7364B" w:rsidRDefault="00BA172C" w:rsidP="00B95821">
            <w:pPr>
              <w:spacing w:before="100" w:after="100"/>
              <w:jc w:val="center"/>
              <w:rPr>
                <w:sz w:val="20"/>
                <w:szCs w:val="20"/>
              </w:rPr>
            </w:pPr>
            <w:r w:rsidRPr="00B7364B">
              <w:rPr>
                <w:sz w:val="20"/>
                <w:szCs w:val="20"/>
              </w:rPr>
              <w:t>Additional data $10 per 1GB</w:t>
            </w:r>
          </w:p>
        </w:tc>
      </w:tr>
      <w:tr w:rsidR="00BA172C" w:rsidRPr="00B7364B" w14:paraId="2DC01823" w14:textId="77777777" w:rsidTr="00B95821">
        <w:trPr>
          <w:gridAfter w:val="1"/>
          <w:wAfter w:w="22" w:type="pct"/>
        </w:trPr>
        <w:tc>
          <w:tcPr>
            <w:tcW w:w="1255" w:type="pct"/>
            <w:shd w:val="clear" w:color="auto" w:fill="auto"/>
          </w:tcPr>
          <w:p w14:paraId="376FEEFE" w14:textId="77777777" w:rsidR="00BA172C" w:rsidRPr="00B7364B" w:rsidRDefault="00BA172C" w:rsidP="00B95821">
            <w:pPr>
              <w:spacing w:before="100" w:after="100"/>
              <w:rPr>
                <w:sz w:val="20"/>
                <w:szCs w:val="20"/>
              </w:rPr>
            </w:pPr>
            <w:r w:rsidRPr="00B7364B">
              <w:rPr>
                <w:b/>
                <w:bCs/>
                <w:sz w:val="20"/>
                <w:szCs w:val="20"/>
              </w:rPr>
              <w:t xml:space="preserve">Included Minutes </w:t>
            </w:r>
            <w:r w:rsidRPr="00B7364B">
              <w:rPr>
                <w:sz w:val="20"/>
                <w:szCs w:val="20"/>
              </w:rPr>
              <w:t>for standard national calls to landlines and mobiles, 1300 numbers and voicemail, within Australia</w:t>
            </w:r>
          </w:p>
        </w:tc>
        <w:tc>
          <w:tcPr>
            <w:tcW w:w="930" w:type="pct"/>
            <w:vAlign w:val="center"/>
          </w:tcPr>
          <w:p w14:paraId="5C30631C" w14:textId="77777777" w:rsidR="00BA172C" w:rsidRPr="00B7364B" w:rsidRDefault="00BA172C" w:rsidP="00B95821">
            <w:pPr>
              <w:spacing w:before="100" w:after="100"/>
              <w:jc w:val="center"/>
              <w:rPr>
                <w:sz w:val="20"/>
                <w:szCs w:val="20"/>
              </w:rPr>
            </w:pPr>
            <w:r w:rsidRPr="00B7364B">
              <w:rPr>
                <w:sz w:val="20"/>
                <w:szCs w:val="20"/>
              </w:rPr>
              <w:t>Unlimited</w:t>
            </w:r>
          </w:p>
        </w:tc>
        <w:tc>
          <w:tcPr>
            <w:tcW w:w="931" w:type="pct"/>
            <w:shd w:val="clear" w:color="auto" w:fill="auto"/>
            <w:vAlign w:val="center"/>
          </w:tcPr>
          <w:p w14:paraId="47570509" w14:textId="77777777" w:rsidR="00BA172C" w:rsidRPr="00B7364B" w:rsidRDefault="00BA172C" w:rsidP="00B95821">
            <w:pPr>
              <w:spacing w:before="100" w:after="100"/>
              <w:jc w:val="center"/>
              <w:rPr>
                <w:sz w:val="20"/>
                <w:szCs w:val="20"/>
              </w:rPr>
            </w:pPr>
            <w:r w:rsidRPr="00B7364B">
              <w:rPr>
                <w:sz w:val="20"/>
                <w:szCs w:val="20"/>
              </w:rPr>
              <w:t>Unlimited</w:t>
            </w:r>
          </w:p>
        </w:tc>
        <w:tc>
          <w:tcPr>
            <w:tcW w:w="930" w:type="pct"/>
            <w:shd w:val="clear" w:color="auto" w:fill="auto"/>
            <w:vAlign w:val="center"/>
          </w:tcPr>
          <w:p w14:paraId="7068F844" w14:textId="77777777" w:rsidR="00BA172C" w:rsidRPr="00B7364B" w:rsidRDefault="00BA172C" w:rsidP="00B95821">
            <w:pPr>
              <w:spacing w:before="100" w:after="100"/>
              <w:jc w:val="center"/>
              <w:rPr>
                <w:sz w:val="20"/>
                <w:szCs w:val="20"/>
              </w:rPr>
            </w:pPr>
            <w:r w:rsidRPr="00B7364B">
              <w:rPr>
                <w:sz w:val="20"/>
                <w:szCs w:val="20"/>
              </w:rPr>
              <w:t>Unlimited</w:t>
            </w:r>
          </w:p>
        </w:tc>
        <w:tc>
          <w:tcPr>
            <w:tcW w:w="932" w:type="pct"/>
            <w:vAlign w:val="center"/>
          </w:tcPr>
          <w:p w14:paraId="06094C48" w14:textId="77777777" w:rsidR="00BA172C" w:rsidRPr="00B7364B" w:rsidRDefault="00BA172C" w:rsidP="00B95821">
            <w:pPr>
              <w:spacing w:before="100" w:after="100"/>
              <w:jc w:val="center"/>
              <w:rPr>
                <w:sz w:val="20"/>
                <w:szCs w:val="20"/>
              </w:rPr>
            </w:pPr>
            <w:r w:rsidRPr="00B7364B">
              <w:rPr>
                <w:sz w:val="20"/>
                <w:szCs w:val="20"/>
              </w:rPr>
              <w:t>Unlimited</w:t>
            </w:r>
          </w:p>
        </w:tc>
      </w:tr>
      <w:tr w:rsidR="00BA172C" w:rsidRPr="00B7364B" w14:paraId="486782F9" w14:textId="77777777" w:rsidTr="00B95821">
        <w:trPr>
          <w:gridAfter w:val="1"/>
          <w:wAfter w:w="22" w:type="pct"/>
        </w:trPr>
        <w:tc>
          <w:tcPr>
            <w:tcW w:w="1255" w:type="pct"/>
            <w:shd w:val="clear" w:color="auto" w:fill="auto"/>
          </w:tcPr>
          <w:p w14:paraId="3D6AB01C" w14:textId="77777777" w:rsidR="00BA172C" w:rsidRPr="00B7364B" w:rsidRDefault="00BA172C" w:rsidP="00B95821">
            <w:pPr>
              <w:spacing w:before="100" w:after="100"/>
              <w:rPr>
                <w:b/>
                <w:bCs/>
                <w:sz w:val="20"/>
                <w:szCs w:val="20"/>
              </w:rPr>
            </w:pPr>
            <w:r w:rsidRPr="00B7364B">
              <w:rPr>
                <w:b/>
                <w:bCs/>
                <w:sz w:val="20"/>
                <w:szCs w:val="20"/>
              </w:rPr>
              <w:lastRenderedPageBreak/>
              <w:t>Included International Minutes</w:t>
            </w:r>
          </w:p>
          <w:p w14:paraId="40F30142" w14:textId="77777777" w:rsidR="00BA172C" w:rsidRPr="00B7364B" w:rsidRDefault="00BA172C" w:rsidP="00B95821">
            <w:pPr>
              <w:spacing w:before="100" w:after="100"/>
              <w:rPr>
                <w:b/>
                <w:bCs/>
                <w:sz w:val="20"/>
                <w:szCs w:val="20"/>
              </w:rPr>
            </w:pPr>
            <w:r w:rsidRPr="00B7364B">
              <w:rPr>
                <w:sz w:val="20"/>
                <w:szCs w:val="20"/>
              </w:rPr>
              <w:t xml:space="preserve">Standard international calls to landlines and mobiles to selected countries </w:t>
            </w:r>
          </w:p>
        </w:tc>
        <w:tc>
          <w:tcPr>
            <w:tcW w:w="930" w:type="pct"/>
            <w:vAlign w:val="center"/>
          </w:tcPr>
          <w:p w14:paraId="458407B5" w14:textId="77777777" w:rsidR="00BA172C" w:rsidRPr="00B7364B" w:rsidRDefault="00BA172C" w:rsidP="00B95821">
            <w:pPr>
              <w:spacing w:before="100" w:after="100"/>
              <w:jc w:val="center"/>
              <w:rPr>
                <w:sz w:val="20"/>
                <w:szCs w:val="20"/>
              </w:rPr>
            </w:pPr>
            <w:r w:rsidRPr="00B7364B">
              <w:rPr>
                <w:sz w:val="20"/>
                <w:szCs w:val="20"/>
              </w:rPr>
              <w:t>Not included</w:t>
            </w:r>
          </w:p>
        </w:tc>
        <w:tc>
          <w:tcPr>
            <w:tcW w:w="931" w:type="pct"/>
            <w:shd w:val="clear" w:color="auto" w:fill="auto"/>
            <w:vAlign w:val="center"/>
          </w:tcPr>
          <w:p w14:paraId="75289693" w14:textId="77777777" w:rsidR="00BA172C" w:rsidRPr="00B7364B" w:rsidRDefault="00BA172C" w:rsidP="00B95821">
            <w:pPr>
              <w:spacing w:before="100" w:after="100"/>
              <w:jc w:val="center"/>
              <w:rPr>
                <w:sz w:val="20"/>
                <w:szCs w:val="20"/>
              </w:rPr>
            </w:pPr>
            <w:r w:rsidRPr="00B7364B">
              <w:rPr>
                <w:bCs/>
                <w:sz w:val="20"/>
                <w:szCs w:val="20"/>
              </w:rPr>
              <w:t>Up to 300 mins</w:t>
            </w:r>
          </w:p>
        </w:tc>
        <w:tc>
          <w:tcPr>
            <w:tcW w:w="930" w:type="pct"/>
            <w:shd w:val="clear" w:color="auto" w:fill="auto"/>
            <w:vAlign w:val="center"/>
          </w:tcPr>
          <w:p w14:paraId="31256DDB" w14:textId="77777777" w:rsidR="00BA172C" w:rsidRPr="00B7364B" w:rsidRDefault="00BA172C" w:rsidP="00B95821">
            <w:pPr>
              <w:spacing w:before="100" w:after="100"/>
              <w:jc w:val="center"/>
              <w:rPr>
                <w:sz w:val="20"/>
                <w:szCs w:val="20"/>
              </w:rPr>
            </w:pPr>
            <w:r w:rsidRPr="00B7364B">
              <w:rPr>
                <w:bCs/>
                <w:sz w:val="20"/>
                <w:szCs w:val="20"/>
              </w:rPr>
              <w:t>Up to 400 mins</w:t>
            </w:r>
          </w:p>
        </w:tc>
        <w:tc>
          <w:tcPr>
            <w:tcW w:w="932" w:type="pct"/>
            <w:vAlign w:val="center"/>
          </w:tcPr>
          <w:p w14:paraId="03F42621" w14:textId="77777777" w:rsidR="00BA172C" w:rsidRPr="00B7364B" w:rsidRDefault="00BA172C" w:rsidP="00B95821">
            <w:pPr>
              <w:spacing w:before="100" w:after="100"/>
              <w:jc w:val="center"/>
              <w:rPr>
                <w:bCs/>
                <w:sz w:val="20"/>
                <w:szCs w:val="20"/>
              </w:rPr>
            </w:pPr>
            <w:r w:rsidRPr="00B7364B">
              <w:rPr>
                <w:bCs/>
                <w:sz w:val="20"/>
                <w:szCs w:val="20"/>
              </w:rPr>
              <w:t>Up to 500 mins</w:t>
            </w:r>
          </w:p>
        </w:tc>
      </w:tr>
      <w:tr w:rsidR="00BA172C" w:rsidRPr="00B7364B" w14:paraId="225E1E95" w14:textId="77777777" w:rsidTr="00B95821">
        <w:trPr>
          <w:gridAfter w:val="1"/>
          <w:wAfter w:w="22" w:type="pct"/>
        </w:trPr>
        <w:tc>
          <w:tcPr>
            <w:tcW w:w="1255" w:type="pct"/>
            <w:shd w:val="clear" w:color="auto" w:fill="auto"/>
          </w:tcPr>
          <w:p w14:paraId="46187322" w14:textId="77777777" w:rsidR="00BA172C" w:rsidRPr="00B7364B" w:rsidRDefault="00BA172C" w:rsidP="00B95821">
            <w:pPr>
              <w:spacing w:before="100" w:after="100"/>
              <w:rPr>
                <w:sz w:val="20"/>
                <w:szCs w:val="20"/>
              </w:rPr>
            </w:pPr>
            <w:r w:rsidRPr="00B7364B">
              <w:rPr>
                <w:b/>
                <w:bCs/>
                <w:sz w:val="20"/>
                <w:szCs w:val="20"/>
              </w:rPr>
              <w:t xml:space="preserve">Standard national SMS </w:t>
            </w:r>
            <w:r w:rsidRPr="00B7364B">
              <w:rPr>
                <w:sz w:val="20"/>
                <w:szCs w:val="20"/>
              </w:rPr>
              <w:t>(per SMS of up to 160 standard characters)</w:t>
            </w:r>
          </w:p>
        </w:tc>
        <w:tc>
          <w:tcPr>
            <w:tcW w:w="930" w:type="pct"/>
            <w:vAlign w:val="center"/>
          </w:tcPr>
          <w:p w14:paraId="3305AFAD" w14:textId="77777777" w:rsidR="00BA172C" w:rsidRPr="00B7364B" w:rsidRDefault="00BA172C" w:rsidP="00B95821">
            <w:pPr>
              <w:spacing w:before="100" w:after="100"/>
              <w:jc w:val="center"/>
              <w:rPr>
                <w:sz w:val="20"/>
                <w:szCs w:val="20"/>
              </w:rPr>
            </w:pPr>
            <w:r w:rsidRPr="00B7364B">
              <w:rPr>
                <w:sz w:val="20"/>
                <w:szCs w:val="20"/>
              </w:rPr>
              <w:t>Unlimited</w:t>
            </w:r>
          </w:p>
        </w:tc>
        <w:tc>
          <w:tcPr>
            <w:tcW w:w="931" w:type="pct"/>
            <w:shd w:val="clear" w:color="auto" w:fill="auto"/>
            <w:vAlign w:val="center"/>
          </w:tcPr>
          <w:p w14:paraId="7C314EE5" w14:textId="77777777" w:rsidR="00BA172C" w:rsidRPr="00B7364B" w:rsidRDefault="00BA172C" w:rsidP="00B95821">
            <w:pPr>
              <w:spacing w:before="100" w:after="100"/>
              <w:jc w:val="center"/>
              <w:rPr>
                <w:sz w:val="20"/>
                <w:szCs w:val="20"/>
              </w:rPr>
            </w:pPr>
            <w:r w:rsidRPr="00B7364B">
              <w:rPr>
                <w:sz w:val="20"/>
                <w:szCs w:val="20"/>
              </w:rPr>
              <w:t>Unlimited</w:t>
            </w:r>
          </w:p>
        </w:tc>
        <w:tc>
          <w:tcPr>
            <w:tcW w:w="930" w:type="pct"/>
            <w:shd w:val="clear" w:color="auto" w:fill="auto"/>
            <w:vAlign w:val="center"/>
          </w:tcPr>
          <w:p w14:paraId="0AAC993C" w14:textId="77777777" w:rsidR="00BA172C" w:rsidRPr="00B7364B" w:rsidRDefault="00BA172C" w:rsidP="00B95821">
            <w:pPr>
              <w:spacing w:before="100" w:after="100"/>
              <w:jc w:val="center"/>
              <w:rPr>
                <w:sz w:val="20"/>
                <w:szCs w:val="20"/>
              </w:rPr>
            </w:pPr>
            <w:r w:rsidRPr="00B7364B">
              <w:rPr>
                <w:sz w:val="20"/>
                <w:szCs w:val="20"/>
              </w:rPr>
              <w:t>Unlimited</w:t>
            </w:r>
          </w:p>
        </w:tc>
        <w:tc>
          <w:tcPr>
            <w:tcW w:w="932" w:type="pct"/>
            <w:vAlign w:val="center"/>
          </w:tcPr>
          <w:p w14:paraId="1A7F57F5" w14:textId="77777777" w:rsidR="00BA172C" w:rsidRPr="00B7364B" w:rsidRDefault="00BA172C" w:rsidP="00B95821">
            <w:pPr>
              <w:spacing w:before="100" w:after="100"/>
              <w:jc w:val="center"/>
              <w:rPr>
                <w:sz w:val="20"/>
                <w:szCs w:val="20"/>
              </w:rPr>
            </w:pPr>
            <w:r w:rsidRPr="00B7364B">
              <w:rPr>
                <w:sz w:val="20"/>
                <w:szCs w:val="20"/>
              </w:rPr>
              <w:t>Unlimited</w:t>
            </w:r>
          </w:p>
        </w:tc>
      </w:tr>
      <w:tr w:rsidR="00BA172C" w:rsidRPr="00B7364B" w14:paraId="5883F500" w14:textId="77777777" w:rsidTr="00B95821">
        <w:trPr>
          <w:gridAfter w:val="1"/>
          <w:wAfter w:w="22" w:type="pct"/>
        </w:trPr>
        <w:tc>
          <w:tcPr>
            <w:tcW w:w="1255" w:type="pct"/>
            <w:shd w:val="clear" w:color="auto" w:fill="auto"/>
          </w:tcPr>
          <w:p w14:paraId="0FC80609" w14:textId="77777777" w:rsidR="00BA172C" w:rsidRPr="00B7364B" w:rsidRDefault="00BA172C" w:rsidP="00B95821">
            <w:pPr>
              <w:keepNext/>
              <w:keepLines/>
              <w:spacing w:before="100" w:after="100"/>
              <w:rPr>
                <w:b/>
                <w:bCs/>
                <w:sz w:val="20"/>
                <w:szCs w:val="20"/>
              </w:rPr>
            </w:pPr>
            <w:r w:rsidRPr="00B7364B">
              <w:rPr>
                <w:b/>
                <w:bCs/>
                <w:sz w:val="20"/>
                <w:szCs w:val="20"/>
              </w:rPr>
              <w:t xml:space="preserve">Standard national MMS </w:t>
            </w:r>
            <w:r w:rsidRPr="00B7364B">
              <w:rPr>
                <w:sz w:val="20"/>
                <w:szCs w:val="20"/>
              </w:rPr>
              <w:t>(per message)</w:t>
            </w:r>
          </w:p>
        </w:tc>
        <w:tc>
          <w:tcPr>
            <w:tcW w:w="930" w:type="pct"/>
            <w:vAlign w:val="center"/>
          </w:tcPr>
          <w:p w14:paraId="079C3AD3" w14:textId="77777777" w:rsidR="00BA172C" w:rsidRPr="00B7364B" w:rsidRDefault="00BA172C" w:rsidP="00B95821">
            <w:pPr>
              <w:keepNext/>
              <w:keepLines/>
              <w:spacing w:before="100" w:after="100"/>
              <w:jc w:val="center"/>
              <w:rPr>
                <w:sz w:val="20"/>
                <w:szCs w:val="20"/>
              </w:rPr>
            </w:pPr>
            <w:r w:rsidRPr="00B7364B">
              <w:rPr>
                <w:sz w:val="20"/>
                <w:szCs w:val="20"/>
              </w:rPr>
              <w:t>Unlimited</w:t>
            </w:r>
          </w:p>
        </w:tc>
        <w:tc>
          <w:tcPr>
            <w:tcW w:w="931" w:type="pct"/>
            <w:shd w:val="clear" w:color="auto" w:fill="auto"/>
            <w:vAlign w:val="center"/>
          </w:tcPr>
          <w:p w14:paraId="0F8962EF" w14:textId="77777777" w:rsidR="00BA172C" w:rsidRPr="00B7364B" w:rsidRDefault="00BA172C" w:rsidP="00B95821">
            <w:pPr>
              <w:keepNext/>
              <w:keepLines/>
              <w:spacing w:before="100" w:after="100"/>
              <w:jc w:val="center"/>
              <w:rPr>
                <w:sz w:val="20"/>
                <w:szCs w:val="20"/>
              </w:rPr>
            </w:pPr>
            <w:r w:rsidRPr="00B7364B">
              <w:rPr>
                <w:sz w:val="20"/>
                <w:szCs w:val="20"/>
              </w:rPr>
              <w:t>Unlimited</w:t>
            </w:r>
          </w:p>
        </w:tc>
        <w:tc>
          <w:tcPr>
            <w:tcW w:w="930" w:type="pct"/>
            <w:shd w:val="clear" w:color="auto" w:fill="auto"/>
            <w:vAlign w:val="center"/>
          </w:tcPr>
          <w:p w14:paraId="24A519BB" w14:textId="77777777" w:rsidR="00BA172C" w:rsidRPr="00B7364B" w:rsidRDefault="00BA172C" w:rsidP="00B95821">
            <w:pPr>
              <w:keepNext/>
              <w:keepLines/>
              <w:spacing w:before="100" w:after="100"/>
              <w:jc w:val="center"/>
              <w:rPr>
                <w:sz w:val="20"/>
                <w:szCs w:val="20"/>
              </w:rPr>
            </w:pPr>
            <w:r w:rsidRPr="00B7364B">
              <w:rPr>
                <w:sz w:val="20"/>
                <w:szCs w:val="20"/>
              </w:rPr>
              <w:t>Unlimited</w:t>
            </w:r>
          </w:p>
        </w:tc>
        <w:tc>
          <w:tcPr>
            <w:tcW w:w="932" w:type="pct"/>
            <w:vAlign w:val="center"/>
          </w:tcPr>
          <w:p w14:paraId="6CD8E988" w14:textId="77777777" w:rsidR="00BA172C" w:rsidRPr="00B7364B" w:rsidRDefault="00BA172C" w:rsidP="00B95821">
            <w:pPr>
              <w:keepNext/>
              <w:keepLines/>
              <w:spacing w:before="100" w:after="100"/>
              <w:jc w:val="center"/>
              <w:rPr>
                <w:sz w:val="20"/>
                <w:szCs w:val="20"/>
              </w:rPr>
            </w:pPr>
            <w:r w:rsidRPr="00B7364B">
              <w:rPr>
                <w:sz w:val="20"/>
                <w:szCs w:val="20"/>
              </w:rPr>
              <w:t>Unlimited</w:t>
            </w:r>
          </w:p>
        </w:tc>
      </w:tr>
      <w:tr w:rsidR="00BA172C" w:rsidRPr="00B7364B" w14:paraId="5916092E" w14:textId="77777777" w:rsidTr="00B95821">
        <w:trPr>
          <w:gridAfter w:val="1"/>
          <w:wAfter w:w="22" w:type="pct"/>
        </w:trPr>
        <w:tc>
          <w:tcPr>
            <w:tcW w:w="1255" w:type="pct"/>
            <w:shd w:val="clear" w:color="auto" w:fill="auto"/>
          </w:tcPr>
          <w:p w14:paraId="595ADEBC" w14:textId="77777777" w:rsidR="00BA172C" w:rsidRPr="00B7364B" w:rsidRDefault="00BA172C" w:rsidP="00B95821">
            <w:pPr>
              <w:spacing w:before="100" w:after="100"/>
              <w:rPr>
                <w:b/>
                <w:bCs/>
                <w:sz w:val="20"/>
                <w:szCs w:val="20"/>
              </w:rPr>
            </w:pPr>
            <w:r w:rsidRPr="00B7364B">
              <w:rPr>
                <w:b/>
                <w:bCs/>
                <w:sz w:val="20"/>
                <w:szCs w:val="20"/>
              </w:rPr>
              <w:t xml:space="preserve">Standard international SMS </w:t>
            </w:r>
            <w:r w:rsidRPr="00B7364B">
              <w:rPr>
                <w:sz w:val="20"/>
                <w:szCs w:val="20"/>
              </w:rPr>
              <w:t>(per SMS of up to 160 standard characters to selected countries)</w:t>
            </w:r>
          </w:p>
        </w:tc>
        <w:tc>
          <w:tcPr>
            <w:tcW w:w="930" w:type="pct"/>
            <w:vAlign w:val="center"/>
          </w:tcPr>
          <w:p w14:paraId="0E1FB50E" w14:textId="77777777" w:rsidR="00BA172C" w:rsidRPr="00B7364B" w:rsidRDefault="00BA172C" w:rsidP="00B95821">
            <w:pPr>
              <w:spacing w:before="100" w:after="100"/>
              <w:jc w:val="center"/>
              <w:rPr>
                <w:sz w:val="20"/>
                <w:szCs w:val="20"/>
              </w:rPr>
            </w:pPr>
            <w:r w:rsidRPr="00B7364B">
              <w:rPr>
                <w:sz w:val="20"/>
                <w:szCs w:val="20"/>
              </w:rPr>
              <w:t>Unlimited</w:t>
            </w:r>
          </w:p>
        </w:tc>
        <w:tc>
          <w:tcPr>
            <w:tcW w:w="931" w:type="pct"/>
            <w:shd w:val="clear" w:color="auto" w:fill="auto"/>
            <w:vAlign w:val="center"/>
          </w:tcPr>
          <w:p w14:paraId="71719CFF" w14:textId="77777777" w:rsidR="00BA172C" w:rsidRPr="00B7364B" w:rsidRDefault="00BA172C" w:rsidP="00B95821">
            <w:pPr>
              <w:spacing w:before="100" w:after="100"/>
              <w:jc w:val="center"/>
              <w:rPr>
                <w:sz w:val="20"/>
                <w:szCs w:val="20"/>
              </w:rPr>
            </w:pPr>
            <w:r w:rsidRPr="00B7364B">
              <w:rPr>
                <w:sz w:val="20"/>
                <w:szCs w:val="20"/>
              </w:rPr>
              <w:t>Unlimited</w:t>
            </w:r>
          </w:p>
        </w:tc>
        <w:tc>
          <w:tcPr>
            <w:tcW w:w="930" w:type="pct"/>
            <w:shd w:val="clear" w:color="auto" w:fill="auto"/>
            <w:vAlign w:val="center"/>
          </w:tcPr>
          <w:p w14:paraId="2EA0C458" w14:textId="77777777" w:rsidR="00BA172C" w:rsidRPr="00B7364B" w:rsidRDefault="00BA172C" w:rsidP="00B95821">
            <w:pPr>
              <w:spacing w:before="100" w:after="100"/>
              <w:jc w:val="center"/>
              <w:rPr>
                <w:sz w:val="20"/>
                <w:szCs w:val="20"/>
              </w:rPr>
            </w:pPr>
            <w:r w:rsidRPr="00B7364B">
              <w:rPr>
                <w:sz w:val="20"/>
                <w:szCs w:val="20"/>
              </w:rPr>
              <w:t>Unlimited</w:t>
            </w:r>
          </w:p>
        </w:tc>
        <w:tc>
          <w:tcPr>
            <w:tcW w:w="932" w:type="pct"/>
            <w:vAlign w:val="center"/>
          </w:tcPr>
          <w:p w14:paraId="68993869" w14:textId="77777777" w:rsidR="00BA172C" w:rsidRPr="00B7364B" w:rsidRDefault="00BA172C" w:rsidP="00B95821">
            <w:pPr>
              <w:spacing w:before="100" w:after="100"/>
              <w:jc w:val="center"/>
              <w:rPr>
                <w:sz w:val="20"/>
                <w:szCs w:val="20"/>
              </w:rPr>
            </w:pPr>
            <w:r w:rsidRPr="00B7364B">
              <w:rPr>
                <w:sz w:val="20"/>
                <w:szCs w:val="20"/>
              </w:rPr>
              <w:t>Unlimited</w:t>
            </w:r>
          </w:p>
        </w:tc>
      </w:tr>
      <w:tr w:rsidR="00BA172C" w:rsidRPr="00B7364B" w14:paraId="2AAC7E00" w14:textId="77777777" w:rsidTr="00B95821">
        <w:trPr>
          <w:gridAfter w:val="1"/>
          <w:wAfter w:w="22" w:type="pct"/>
        </w:trPr>
        <w:tc>
          <w:tcPr>
            <w:tcW w:w="1255" w:type="pct"/>
            <w:shd w:val="clear" w:color="auto" w:fill="auto"/>
          </w:tcPr>
          <w:p w14:paraId="3D6B1F46" w14:textId="77777777" w:rsidR="00BA172C" w:rsidRPr="00B7364B" w:rsidRDefault="00BA172C" w:rsidP="00B95821">
            <w:pPr>
              <w:spacing w:before="100" w:after="100"/>
              <w:rPr>
                <w:b/>
                <w:bCs/>
                <w:sz w:val="20"/>
                <w:szCs w:val="20"/>
              </w:rPr>
            </w:pPr>
            <w:r w:rsidRPr="00B7364B">
              <w:rPr>
                <w:b/>
                <w:bCs/>
                <w:sz w:val="20"/>
                <w:szCs w:val="20"/>
              </w:rPr>
              <w:t xml:space="preserve">Standard international MMS </w:t>
            </w:r>
            <w:r w:rsidRPr="00B7364B">
              <w:rPr>
                <w:sz w:val="20"/>
                <w:szCs w:val="20"/>
              </w:rPr>
              <w:t>(per message to selected countries)</w:t>
            </w:r>
          </w:p>
        </w:tc>
        <w:tc>
          <w:tcPr>
            <w:tcW w:w="930" w:type="pct"/>
            <w:vAlign w:val="center"/>
          </w:tcPr>
          <w:p w14:paraId="519B9A0B" w14:textId="77777777" w:rsidR="00BA172C" w:rsidRPr="00B7364B" w:rsidRDefault="00BA172C" w:rsidP="00B95821">
            <w:pPr>
              <w:spacing w:before="100" w:after="100"/>
              <w:jc w:val="center"/>
              <w:rPr>
                <w:sz w:val="20"/>
                <w:szCs w:val="20"/>
              </w:rPr>
            </w:pPr>
            <w:r w:rsidRPr="00B7364B">
              <w:rPr>
                <w:sz w:val="20"/>
                <w:szCs w:val="20"/>
              </w:rPr>
              <w:t>Unlimited</w:t>
            </w:r>
          </w:p>
        </w:tc>
        <w:tc>
          <w:tcPr>
            <w:tcW w:w="931" w:type="pct"/>
            <w:shd w:val="clear" w:color="auto" w:fill="auto"/>
            <w:vAlign w:val="center"/>
          </w:tcPr>
          <w:p w14:paraId="59717B20" w14:textId="77777777" w:rsidR="00BA172C" w:rsidRPr="00B7364B" w:rsidRDefault="00BA172C" w:rsidP="00B95821">
            <w:pPr>
              <w:spacing w:before="100" w:after="100"/>
              <w:jc w:val="center"/>
              <w:rPr>
                <w:sz w:val="20"/>
                <w:szCs w:val="20"/>
              </w:rPr>
            </w:pPr>
            <w:r w:rsidRPr="00B7364B">
              <w:rPr>
                <w:sz w:val="20"/>
                <w:szCs w:val="20"/>
              </w:rPr>
              <w:t>Unlimited</w:t>
            </w:r>
          </w:p>
        </w:tc>
        <w:tc>
          <w:tcPr>
            <w:tcW w:w="930" w:type="pct"/>
            <w:shd w:val="clear" w:color="auto" w:fill="auto"/>
            <w:vAlign w:val="center"/>
          </w:tcPr>
          <w:p w14:paraId="718D6060" w14:textId="77777777" w:rsidR="00BA172C" w:rsidRPr="00B7364B" w:rsidRDefault="00BA172C" w:rsidP="00B95821">
            <w:pPr>
              <w:spacing w:before="100" w:after="100"/>
              <w:jc w:val="center"/>
              <w:rPr>
                <w:sz w:val="20"/>
                <w:szCs w:val="20"/>
              </w:rPr>
            </w:pPr>
            <w:r w:rsidRPr="00B7364B">
              <w:rPr>
                <w:sz w:val="20"/>
                <w:szCs w:val="20"/>
              </w:rPr>
              <w:t>Unlimited</w:t>
            </w:r>
          </w:p>
        </w:tc>
        <w:tc>
          <w:tcPr>
            <w:tcW w:w="932" w:type="pct"/>
            <w:vAlign w:val="center"/>
          </w:tcPr>
          <w:p w14:paraId="57B73657" w14:textId="77777777" w:rsidR="00BA172C" w:rsidRPr="00B7364B" w:rsidRDefault="00BA172C" w:rsidP="00B95821">
            <w:pPr>
              <w:spacing w:before="100" w:after="100"/>
              <w:jc w:val="center"/>
              <w:rPr>
                <w:sz w:val="20"/>
                <w:szCs w:val="20"/>
              </w:rPr>
            </w:pPr>
            <w:r w:rsidRPr="00B7364B">
              <w:rPr>
                <w:sz w:val="20"/>
                <w:szCs w:val="20"/>
              </w:rPr>
              <w:t>Unlimited</w:t>
            </w:r>
          </w:p>
        </w:tc>
      </w:tr>
      <w:tr w:rsidR="00BA172C" w:rsidRPr="00B7364B" w14:paraId="7A57C545" w14:textId="77777777" w:rsidTr="00B95821">
        <w:trPr>
          <w:gridAfter w:val="1"/>
          <w:wAfter w:w="22" w:type="pct"/>
        </w:trPr>
        <w:tc>
          <w:tcPr>
            <w:tcW w:w="1255" w:type="pct"/>
            <w:shd w:val="clear" w:color="auto" w:fill="auto"/>
          </w:tcPr>
          <w:p w14:paraId="366A8A09" w14:textId="77777777" w:rsidR="00BA172C" w:rsidRPr="00B7364B" w:rsidRDefault="00BA172C" w:rsidP="00B95821">
            <w:pPr>
              <w:spacing w:before="100" w:after="100"/>
              <w:rPr>
                <w:b/>
                <w:bCs/>
                <w:sz w:val="20"/>
                <w:szCs w:val="20"/>
              </w:rPr>
            </w:pPr>
            <w:r w:rsidRPr="00B7364B">
              <w:rPr>
                <w:b/>
                <w:bCs/>
                <w:snapToGrid w:val="0"/>
                <w:sz w:val="20"/>
                <w:szCs w:val="20"/>
              </w:rPr>
              <w:t>Optus Travel™ Pack</w:t>
            </w:r>
          </w:p>
        </w:tc>
        <w:tc>
          <w:tcPr>
            <w:tcW w:w="930" w:type="pct"/>
            <w:vAlign w:val="center"/>
          </w:tcPr>
          <w:p w14:paraId="303E526A" w14:textId="77777777" w:rsidR="00BA172C" w:rsidRPr="00B7364B" w:rsidRDefault="00BA172C" w:rsidP="00B95821">
            <w:pPr>
              <w:spacing w:before="100" w:after="100"/>
              <w:jc w:val="center"/>
              <w:rPr>
                <w:sz w:val="20"/>
                <w:szCs w:val="20"/>
              </w:rPr>
            </w:pPr>
            <w:r w:rsidRPr="00B7364B">
              <w:rPr>
                <w:sz w:val="20"/>
                <w:szCs w:val="20"/>
              </w:rPr>
              <w:t>$5 per Day</w:t>
            </w:r>
          </w:p>
        </w:tc>
        <w:tc>
          <w:tcPr>
            <w:tcW w:w="931" w:type="pct"/>
            <w:shd w:val="clear" w:color="auto" w:fill="auto"/>
            <w:vAlign w:val="center"/>
          </w:tcPr>
          <w:p w14:paraId="61EC697F" w14:textId="77777777" w:rsidR="00BA172C" w:rsidRPr="00B7364B" w:rsidRDefault="00BA172C" w:rsidP="00B95821">
            <w:pPr>
              <w:spacing w:before="100" w:after="100"/>
              <w:jc w:val="center"/>
              <w:rPr>
                <w:sz w:val="20"/>
                <w:szCs w:val="20"/>
              </w:rPr>
            </w:pPr>
            <w:r w:rsidRPr="00B7364B">
              <w:rPr>
                <w:sz w:val="20"/>
                <w:szCs w:val="20"/>
              </w:rPr>
              <w:t>$5 per Day</w:t>
            </w:r>
          </w:p>
        </w:tc>
        <w:tc>
          <w:tcPr>
            <w:tcW w:w="930" w:type="pct"/>
            <w:shd w:val="clear" w:color="auto" w:fill="auto"/>
            <w:vAlign w:val="center"/>
          </w:tcPr>
          <w:p w14:paraId="459827CB" w14:textId="77777777" w:rsidR="00BA172C" w:rsidRPr="00B7364B" w:rsidRDefault="00BA172C" w:rsidP="00B95821">
            <w:pPr>
              <w:spacing w:before="100" w:after="100"/>
              <w:jc w:val="center"/>
              <w:rPr>
                <w:sz w:val="20"/>
                <w:szCs w:val="20"/>
              </w:rPr>
            </w:pPr>
            <w:r w:rsidRPr="00B7364B">
              <w:rPr>
                <w:sz w:val="20"/>
                <w:szCs w:val="20"/>
              </w:rPr>
              <w:t>$5 per Day</w:t>
            </w:r>
          </w:p>
        </w:tc>
        <w:tc>
          <w:tcPr>
            <w:tcW w:w="932" w:type="pct"/>
            <w:vAlign w:val="center"/>
          </w:tcPr>
          <w:p w14:paraId="793B7DD8" w14:textId="77777777" w:rsidR="00BA172C" w:rsidRPr="00B7364B" w:rsidRDefault="00BA172C" w:rsidP="00B95821">
            <w:pPr>
              <w:spacing w:before="100" w:after="100"/>
              <w:jc w:val="center"/>
              <w:rPr>
                <w:sz w:val="20"/>
                <w:szCs w:val="20"/>
              </w:rPr>
            </w:pPr>
            <w:r w:rsidRPr="00B7364B">
              <w:rPr>
                <w:sz w:val="20"/>
                <w:szCs w:val="20"/>
              </w:rPr>
              <w:t>$5 per Day</w:t>
            </w:r>
          </w:p>
        </w:tc>
      </w:tr>
      <w:tr w:rsidR="00BA172C" w:rsidRPr="00B7364B" w14:paraId="296F3D3F" w14:textId="77777777" w:rsidTr="00B95821">
        <w:trPr>
          <w:gridAfter w:val="1"/>
          <w:wAfter w:w="22" w:type="pct"/>
        </w:trPr>
        <w:tc>
          <w:tcPr>
            <w:tcW w:w="1255" w:type="pct"/>
            <w:shd w:val="clear" w:color="auto" w:fill="auto"/>
          </w:tcPr>
          <w:p w14:paraId="1437E75F" w14:textId="77777777" w:rsidR="00BA172C" w:rsidRPr="00B7364B" w:rsidRDefault="00BA172C" w:rsidP="00B95821">
            <w:pPr>
              <w:spacing w:before="100" w:after="100"/>
              <w:rPr>
                <w:b/>
                <w:bCs/>
                <w:sz w:val="20"/>
                <w:szCs w:val="20"/>
              </w:rPr>
            </w:pPr>
            <w:r w:rsidRPr="00B7364B">
              <w:rPr>
                <w:b/>
                <w:bCs/>
                <w:sz w:val="20"/>
                <w:szCs w:val="20"/>
              </w:rPr>
              <w:t xml:space="preserve">Minimum total cost over 24 months </w:t>
            </w:r>
          </w:p>
        </w:tc>
        <w:tc>
          <w:tcPr>
            <w:tcW w:w="930" w:type="pct"/>
            <w:vAlign w:val="center"/>
          </w:tcPr>
          <w:p w14:paraId="3FB3F25E" w14:textId="77777777" w:rsidR="00BA172C" w:rsidRPr="00B7364B" w:rsidRDefault="00BA172C" w:rsidP="00B95821">
            <w:pPr>
              <w:spacing w:before="100" w:after="100"/>
              <w:jc w:val="center"/>
              <w:rPr>
                <w:sz w:val="20"/>
                <w:szCs w:val="20"/>
              </w:rPr>
            </w:pPr>
            <w:r w:rsidRPr="00B7364B">
              <w:rPr>
                <w:sz w:val="20"/>
                <w:szCs w:val="20"/>
              </w:rPr>
              <w:t>$360</w:t>
            </w:r>
          </w:p>
        </w:tc>
        <w:tc>
          <w:tcPr>
            <w:tcW w:w="931" w:type="pct"/>
            <w:shd w:val="clear" w:color="auto" w:fill="auto"/>
            <w:vAlign w:val="center"/>
          </w:tcPr>
          <w:p w14:paraId="7565C53B" w14:textId="77777777" w:rsidR="00BA172C" w:rsidRPr="00B7364B" w:rsidRDefault="00BA172C" w:rsidP="00B95821">
            <w:pPr>
              <w:spacing w:before="100" w:after="100"/>
              <w:jc w:val="center"/>
              <w:rPr>
                <w:sz w:val="20"/>
                <w:szCs w:val="20"/>
              </w:rPr>
            </w:pPr>
            <w:r w:rsidRPr="00B7364B">
              <w:rPr>
                <w:sz w:val="20"/>
                <w:szCs w:val="20"/>
              </w:rPr>
              <w:t>$480</w:t>
            </w:r>
          </w:p>
        </w:tc>
        <w:tc>
          <w:tcPr>
            <w:tcW w:w="930" w:type="pct"/>
            <w:shd w:val="clear" w:color="auto" w:fill="auto"/>
            <w:vAlign w:val="center"/>
          </w:tcPr>
          <w:p w14:paraId="5C4C5467" w14:textId="77777777" w:rsidR="00BA172C" w:rsidRPr="00B7364B" w:rsidRDefault="00BA172C" w:rsidP="00B95821">
            <w:pPr>
              <w:spacing w:before="100" w:after="100"/>
              <w:jc w:val="center"/>
              <w:rPr>
                <w:sz w:val="20"/>
                <w:szCs w:val="20"/>
              </w:rPr>
            </w:pPr>
            <w:r w:rsidRPr="00B7364B">
              <w:rPr>
                <w:sz w:val="20"/>
                <w:szCs w:val="20"/>
              </w:rPr>
              <w:t>$660</w:t>
            </w:r>
          </w:p>
        </w:tc>
        <w:tc>
          <w:tcPr>
            <w:tcW w:w="932" w:type="pct"/>
            <w:vAlign w:val="center"/>
          </w:tcPr>
          <w:p w14:paraId="774EE9E0" w14:textId="77777777" w:rsidR="00BA172C" w:rsidRPr="00B7364B" w:rsidRDefault="00BA172C" w:rsidP="00B95821">
            <w:pPr>
              <w:spacing w:before="100" w:after="100"/>
              <w:jc w:val="center"/>
              <w:rPr>
                <w:sz w:val="20"/>
                <w:szCs w:val="20"/>
              </w:rPr>
            </w:pPr>
            <w:r w:rsidRPr="00B7364B">
              <w:rPr>
                <w:sz w:val="20"/>
                <w:szCs w:val="20"/>
              </w:rPr>
              <w:t>$840</w:t>
            </w:r>
          </w:p>
        </w:tc>
      </w:tr>
    </w:tbl>
    <w:p w14:paraId="2B8D71EE" w14:textId="77777777" w:rsidR="00BA172C" w:rsidRPr="00B7364B" w:rsidRDefault="00BA172C" w:rsidP="00BA172C">
      <w:pPr>
        <w:spacing w:after="200"/>
        <w:outlineLvl w:val="5"/>
        <w:rPr>
          <w:rFonts w:eastAsia="Times New Roman"/>
          <w:bCs/>
          <w:sz w:val="20"/>
          <w:szCs w:val="22"/>
        </w:rPr>
      </w:pPr>
    </w:p>
    <w:p w14:paraId="6C587B58" w14:textId="77777777" w:rsidR="00BA172C" w:rsidRPr="00B7364B" w:rsidRDefault="00BA172C" w:rsidP="00BA172C">
      <w:pPr>
        <w:spacing w:after="200"/>
        <w:ind w:left="720"/>
        <w:rPr>
          <w:b/>
          <w:sz w:val="20"/>
        </w:rPr>
      </w:pPr>
      <w:r w:rsidRPr="00B7364B">
        <w:rPr>
          <w:b/>
          <w:sz w:val="20"/>
        </w:rPr>
        <w:t>Table 3 – International Countries</w:t>
      </w:r>
    </w:p>
    <w:tbl>
      <w:tblPr>
        <w:tblW w:w="882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5"/>
        <w:gridCol w:w="2205"/>
        <w:gridCol w:w="2205"/>
        <w:gridCol w:w="2205"/>
      </w:tblGrid>
      <w:tr w:rsidR="00BA172C" w:rsidRPr="00B7364B" w14:paraId="2BA6C1E8" w14:textId="77777777" w:rsidTr="00B95821">
        <w:tc>
          <w:tcPr>
            <w:tcW w:w="2205" w:type="dxa"/>
            <w:shd w:val="clear" w:color="auto" w:fill="auto"/>
          </w:tcPr>
          <w:p w14:paraId="1980CE8A" w14:textId="77777777" w:rsidR="00BA172C" w:rsidRPr="00B7364B" w:rsidRDefault="00BA172C" w:rsidP="00B95821">
            <w:pPr>
              <w:spacing w:before="100" w:after="100"/>
              <w:rPr>
                <w:b/>
                <w:sz w:val="20"/>
              </w:rPr>
            </w:pPr>
            <w:r w:rsidRPr="00B7364B">
              <w:rPr>
                <w:sz w:val="20"/>
              </w:rPr>
              <w:t>Austria</w:t>
            </w:r>
          </w:p>
        </w:tc>
        <w:tc>
          <w:tcPr>
            <w:tcW w:w="2205" w:type="dxa"/>
            <w:shd w:val="clear" w:color="auto" w:fill="auto"/>
          </w:tcPr>
          <w:p w14:paraId="7D804970" w14:textId="77777777" w:rsidR="00BA172C" w:rsidRPr="00B7364B" w:rsidRDefault="00BA172C" w:rsidP="00B95821">
            <w:pPr>
              <w:spacing w:before="100" w:after="100"/>
              <w:rPr>
                <w:b/>
                <w:sz w:val="20"/>
              </w:rPr>
            </w:pPr>
            <w:r w:rsidRPr="00B7364B">
              <w:rPr>
                <w:sz w:val="20"/>
              </w:rPr>
              <w:t>Bangladesh</w:t>
            </w:r>
          </w:p>
        </w:tc>
        <w:tc>
          <w:tcPr>
            <w:tcW w:w="2205" w:type="dxa"/>
            <w:shd w:val="clear" w:color="auto" w:fill="auto"/>
          </w:tcPr>
          <w:p w14:paraId="3D8E4E91" w14:textId="77777777" w:rsidR="00BA172C" w:rsidRPr="00B7364B" w:rsidRDefault="00BA172C" w:rsidP="00B95821">
            <w:pPr>
              <w:spacing w:before="100" w:after="100"/>
              <w:rPr>
                <w:b/>
                <w:sz w:val="20"/>
              </w:rPr>
            </w:pPr>
            <w:r w:rsidRPr="00B7364B">
              <w:rPr>
                <w:sz w:val="20"/>
              </w:rPr>
              <w:t>Cambodia</w:t>
            </w:r>
          </w:p>
        </w:tc>
        <w:tc>
          <w:tcPr>
            <w:tcW w:w="2205" w:type="dxa"/>
            <w:shd w:val="clear" w:color="auto" w:fill="auto"/>
          </w:tcPr>
          <w:p w14:paraId="1768D457" w14:textId="77777777" w:rsidR="00BA172C" w:rsidRPr="00B7364B" w:rsidRDefault="00BA172C" w:rsidP="00B95821">
            <w:pPr>
              <w:spacing w:before="100" w:after="100"/>
              <w:rPr>
                <w:b/>
                <w:sz w:val="20"/>
              </w:rPr>
            </w:pPr>
            <w:r w:rsidRPr="00B7364B">
              <w:rPr>
                <w:sz w:val="20"/>
              </w:rPr>
              <w:t>Canada</w:t>
            </w:r>
          </w:p>
        </w:tc>
      </w:tr>
      <w:tr w:rsidR="00BA172C" w:rsidRPr="00B7364B" w14:paraId="6A35E149" w14:textId="77777777" w:rsidTr="00B95821">
        <w:tc>
          <w:tcPr>
            <w:tcW w:w="2205" w:type="dxa"/>
            <w:shd w:val="clear" w:color="auto" w:fill="auto"/>
          </w:tcPr>
          <w:p w14:paraId="3769B2E1" w14:textId="77777777" w:rsidR="00BA172C" w:rsidRPr="00B7364B" w:rsidRDefault="00BA172C" w:rsidP="00B95821">
            <w:pPr>
              <w:spacing w:before="100" w:after="100"/>
              <w:rPr>
                <w:b/>
                <w:sz w:val="20"/>
              </w:rPr>
            </w:pPr>
            <w:r w:rsidRPr="00B7364B">
              <w:rPr>
                <w:sz w:val="20"/>
              </w:rPr>
              <w:t xml:space="preserve">Chile </w:t>
            </w:r>
          </w:p>
        </w:tc>
        <w:tc>
          <w:tcPr>
            <w:tcW w:w="2205" w:type="dxa"/>
            <w:shd w:val="clear" w:color="auto" w:fill="auto"/>
          </w:tcPr>
          <w:p w14:paraId="6D003428" w14:textId="77777777" w:rsidR="00BA172C" w:rsidRPr="00B7364B" w:rsidRDefault="00BA172C" w:rsidP="00B95821">
            <w:pPr>
              <w:spacing w:before="100" w:after="100"/>
              <w:rPr>
                <w:b/>
                <w:sz w:val="20"/>
              </w:rPr>
            </w:pPr>
            <w:r w:rsidRPr="00B7364B">
              <w:rPr>
                <w:sz w:val="20"/>
              </w:rPr>
              <w:t xml:space="preserve">China </w:t>
            </w:r>
          </w:p>
        </w:tc>
        <w:tc>
          <w:tcPr>
            <w:tcW w:w="2205" w:type="dxa"/>
            <w:shd w:val="clear" w:color="auto" w:fill="auto"/>
          </w:tcPr>
          <w:p w14:paraId="3BDDDB3E" w14:textId="77777777" w:rsidR="00BA172C" w:rsidRPr="00B7364B" w:rsidRDefault="00BA172C" w:rsidP="00B95821">
            <w:pPr>
              <w:spacing w:before="100" w:after="100"/>
              <w:rPr>
                <w:b/>
                <w:sz w:val="20"/>
              </w:rPr>
            </w:pPr>
            <w:r w:rsidRPr="00B7364B">
              <w:rPr>
                <w:sz w:val="20"/>
              </w:rPr>
              <w:t xml:space="preserve">Croatia </w:t>
            </w:r>
          </w:p>
        </w:tc>
        <w:tc>
          <w:tcPr>
            <w:tcW w:w="2205" w:type="dxa"/>
            <w:shd w:val="clear" w:color="auto" w:fill="auto"/>
          </w:tcPr>
          <w:p w14:paraId="4930A4FA" w14:textId="77777777" w:rsidR="00BA172C" w:rsidRPr="00B7364B" w:rsidRDefault="00BA172C" w:rsidP="00B95821">
            <w:pPr>
              <w:spacing w:before="100" w:after="100"/>
              <w:rPr>
                <w:b/>
                <w:sz w:val="20"/>
              </w:rPr>
            </w:pPr>
            <w:r w:rsidRPr="00B7364B">
              <w:rPr>
                <w:sz w:val="20"/>
              </w:rPr>
              <w:t>France</w:t>
            </w:r>
          </w:p>
        </w:tc>
      </w:tr>
      <w:tr w:rsidR="00BA172C" w:rsidRPr="00B7364B" w14:paraId="5F10FEAC" w14:textId="77777777" w:rsidTr="00B95821">
        <w:tc>
          <w:tcPr>
            <w:tcW w:w="2205" w:type="dxa"/>
            <w:shd w:val="clear" w:color="auto" w:fill="auto"/>
          </w:tcPr>
          <w:p w14:paraId="30109EE3" w14:textId="77777777" w:rsidR="00BA172C" w:rsidRPr="00B7364B" w:rsidRDefault="00BA172C" w:rsidP="00B95821">
            <w:pPr>
              <w:spacing w:before="100" w:after="100"/>
              <w:rPr>
                <w:b/>
                <w:sz w:val="20"/>
              </w:rPr>
            </w:pPr>
            <w:r w:rsidRPr="00B7364B">
              <w:rPr>
                <w:sz w:val="20"/>
              </w:rPr>
              <w:t>Germany</w:t>
            </w:r>
          </w:p>
        </w:tc>
        <w:tc>
          <w:tcPr>
            <w:tcW w:w="2205" w:type="dxa"/>
            <w:shd w:val="clear" w:color="auto" w:fill="auto"/>
          </w:tcPr>
          <w:p w14:paraId="08AC3D7D" w14:textId="77777777" w:rsidR="00BA172C" w:rsidRPr="00B7364B" w:rsidRDefault="00BA172C" w:rsidP="00B95821">
            <w:pPr>
              <w:spacing w:before="100" w:after="100"/>
              <w:rPr>
                <w:b/>
                <w:sz w:val="20"/>
              </w:rPr>
            </w:pPr>
            <w:r w:rsidRPr="00B7364B">
              <w:rPr>
                <w:sz w:val="20"/>
              </w:rPr>
              <w:t>Greece</w:t>
            </w:r>
          </w:p>
        </w:tc>
        <w:tc>
          <w:tcPr>
            <w:tcW w:w="2205" w:type="dxa"/>
            <w:shd w:val="clear" w:color="auto" w:fill="auto"/>
          </w:tcPr>
          <w:p w14:paraId="52BFA1C7" w14:textId="77777777" w:rsidR="00BA172C" w:rsidRPr="00B7364B" w:rsidRDefault="00BA172C" w:rsidP="00B95821">
            <w:pPr>
              <w:spacing w:before="100" w:after="100"/>
              <w:rPr>
                <w:b/>
                <w:sz w:val="20"/>
              </w:rPr>
            </w:pPr>
            <w:r w:rsidRPr="00B7364B">
              <w:rPr>
                <w:sz w:val="20"/>
              </w:rPr>
              <w:t>Hong Kong</w:t>
            </w:r>
          </w:p>
        </w:tc>
        <w:tc>
          <w:tcPr>
            <w:tcW w:w="2205" w:type="dxa"/>
            <w:shd w:val="clear" w:color="auto" w:fill="auto"/>
          </w:tcPr>
          <w:p w14:paraId="1CAE2011" w14:textId="77777777" w:rsidR="00BA172C" w:rsidRPr="00B7364B" w:rsidRDefault="00BA172C" w:rsidP="00B95821">
            <w:pPr>
              <w:spacing w:before="100" w:after="100"/>
              <w:rPr>
                <w:b/>
                <w:sz w:val="20"/>
              </w:rPr>
            </w:pPr>
            <w:r w:rsidRPr="00B7364B">
              <w:rPr>
                <w:sz w:val="20"/>
              </w:rPr>
              <w:t>Hungary</w:t>
            </w:r>
          </w:p>
        </w:tc>
      </w:tr>
      <w:tr w:rsidR="00BA172C" w:rsidRPr="00B7364B" w14:paraId="441BD9E0" w14:textId="77777777" w:rsidTr="00B95821">
        <w:tc>
          <w:tcPr>
            <w:tcW w:w="2205" w:type="dxa"/>
            <w:shd w:val="clear" w:color="auto" w:fill="auto"/>
          </w:tcPr>
          <w:p w14:paraId="2A06E5CD" w14:textId="77777777" w:rsidR="00BA172C" w:rsidRPr="00B7364B" w:rsidRDefault="00BA172C" w:rsidP="00B95821">
            <w:pPr>
              <w:spacing w:before="100" w:after="100"/>
              <w:rPr>
                <w:b/>
                <w:sz w:val="20"/>
              </w:rPr>
            </w:pPr>
            <w:r w:rsidRPr="00B7364B">
              <w:rPr>
                <w:sz w:val="20"/>
              </w:rPr>
              <w:t>Indonesia</w:t>
            </w:r>
          </w:p>
        </w:tc>
        <w:tc>
          <w:tcPr>
            <w:tcW w:w="2205" w:type="dxa"/>
            <w:shd w:val="clear" w:color="auto" w:fill="auto"/>
          </w:tcPr>
          <w:p w14:paraId="65AAB0BA" w14:textId="77777777" w:rsidR="00BA172C" w:rsidRPr="00B7364B" w:rsidRDefault="00BA172C" w:rsidP="00B95821">
            <w:pPr>
              <w:spacing w:before="100" w:after="100"/>
              <w:rPr>
                <w:b/>
                <w:sz w:val="20"/>
              </w:rPr>
            </w:pPr>
            <w:r w:rsidRPr="00B7364B">
              <w:rPr>
                <w:sz w:val="20"/>
              </w:rPr>
              <w:t>India</w:t>
            </w:r>
          </w:p>
        </w:tc>
        <w:tc>
          <w:tcPr>
            <w:tcW w:w="2205" w:type="dxa"/>
            <w:shd w:val="clear" w:color="auto" w:fill="auto"/>
          </w:tcPr>
          <w:p w14:paraId="604AC5CE" w14:textId="77777777" w:rsidR="00BA172C" w:rsidRPr="00B7364B" w:rsidRDefault="00BA172C" w:rsidP="00B95821">
            <w:pPr>
              <w:spacing w:before="100" w:after="100"/>
              <w:rPr>
                <w:b/>
                <w:sz w:val="20"/>
              </w:rPr>
            </w:pPr>
            <w:r w:rsidRPr="00B7364B">
              <w:rPr>
                <w:sz w:val="20"/>
              </w:rPr>
              <w:t>Ireland</w:t>
            </w:r>
          </w:p>
        </w:tc>
        <w:tc>
          <w:tcPr>
            <w:tcW w:w="2205" w:type="dxa"/>
            <w:shd w:val="clear" w:color="auto" w:fill="auto"/>
          </w:tcPr>
          <w:p w14:paraId="2F9361CE" w14:textId="77777777" w:rsidR="00BA172C" w:rsidRPr="00B7364B" w:rsidRDefault="00BA172C" w:rsidP="00B95821">
            <w:pPr>
              <w:spacing w:before="100" w:after="100"/>
              <w:rPr>
                <w:b/>
                <w:sz w:val="20"/>
              </w:rPr>
            </w:pPr>
            <w:r w:rsidRPr="00B7364B">
              <w:rPr>
                <w:sz w:val="20"/>
              </w:rPr>
              <w:t>Italy</w:t>
            </w:r>
          </w:p>
        </w:tc>
      </w:tr>
      <w:tr w:rsidR="00BA172C" w:rsidRPr="00B7364B" w14:paraId="4C994FA8" w14:textId="77777777" w:rsidTr="00B95821">
        <w:tc>
          <w:tcPr>
            <w:tcW w:w="2205" w:type="dxa"/>
            <w:shd w:val="clear" w:color="auto" w:fill="auto"/>
          </w:tcPr>
          <w:p w14:paraId="7B824F7F" w14:textId="77777777" w:rsidR="00BA172C" w:rsidRPr="00B7364B" w:rsidRDefault="00BA172C" w:rsidP="00B95821">
            <w:pPr>
              <w:spacing w:before="100" w:after="100"/>
              <w:rPr>
                <w:b/>
                <w:sz w:val="20"/>
              </w:rPr>
            </w:pPr>
            <w:r w:rsidRPr="00B7364B">
              <w:rPr>
                <w:sz w:val="20"/>
              </w:rPr>
              <w:t xml:space="preserve">Japan </w:t>
            </w:r>
          </w:p>
        </w:tc>
        <w:tc>
          <w:tcPr>
            <w:tcW w:w="2205" w:type="dxa"/>
            <w:shd w:val="clear" w:color="auto" w:fill="auto"/>
          </w:tcPr>
          <w:p w14:paraId="5130B545" w14:textId="77777777" w:rsidR="00BA172C" w:rsidRPr="00B7364B" w:rsidRDefault="00BA172C" w:rsidP="00B95821">
            <w:pPr>
              <w:spacing w:before="100" w:after="100"/>
              <w:rPr>
                <w:b/>
                <w:sz w:val="20"/>
              </w:rPr>
            </w:pPr>
            <w:r w:rsidRPr="00B7364B">
              <w:rPr>
                <w:sz w:val="20"/>
              </w:rPr>
              <w:t>Malaysia</w:t>
            </w:r>
          </w:p>
        </w:tc>
        <w:tc>
          <w:tcPr>
            <w:tcW w:w="2205" w:type="dxa"/>
            <w:shd w:val="clear" w:color="auto" w:fill="auto"/>
          </w:tcPr>
          <w:p w14:paraId="54A6F4E7" w14:textId="77777777" w:rsidR="00BA172C" w:rsidRPr="00B7364B" w:rsidRDefault="00BA172C" w:rsidP="00B95821">
            <w:pPr>
              <w:spacing w:before="100" w:after="100"/>
              <w:rPr>
                <w:b/>
                <w:sz w:val="20"/>
              </w:rPr>
            </w:pPr>
            <w:r w:rsidRPr="00B7364B">
              <w:rPr>
                <w:sz w:val="20"/>
              </w:rPr>
              <w:t>Netherlands</w:t>
            </w:r>
          </w:p>
        </w:tc>
        <w:tc>
          <w:tcPr>
            <w:tcW w:w="2205" w:type="dxa"/>
            <w:shd w:val="clear" w:color="auto" w:fill="auto"/>
          </w:tcPr>
          <w:p w14:paraId="240E1DC8" w14:textId="77777777" w:rsidR="00BA172C" w:rsidRPr="00B7364B" w:rsidRDefault="00BA172C" w:rsidP="00B95821">
            <w:pPr>
              <w:spacing w:before="100" w:after="100"/>
              <w:rPr>
                <w:b/>
                <w:sz w:val="20"/>
              </w:rPr>
            </w:pPr>
            <w:r w:rsidRPr="00B7364B">
              <w:rPr>
                <w:sz w:val="20"/>
              </w:rPr>
              <w:t>New Zealand</w:t>
            </w:r>
          </w:p>
        </w:tc>
      </w:tr>
      <w:tr w:rsidR="00BA172C" w:rsidRPr="00B7364B" w14:paraId="26BBA270" w14:textId="77777777" w:rsidTr="00B95821">
        <w:tc>
          <w:tcPr>
            <w:tcW w:w="2205" w:type="dxa"/>
            <w:shd w:val="clear" w:color="auto" w:fill="auto"/>
          </w:tcPr>
          <w:p w14:paraId="3091BD3E" w14:textId="77777777" w:rsidR="00BA172C" w:rsidRPr="00B7364B" w:rsidRDefault="00BA172C" w:rsidP="00B95821">
            <w:pPr>
              <w:spacing w:before="100" w:after="100"/>
              <w:rPr>
                <w:b/>
                <w:sz w:val="20"/>
              </w:rPr>
            </w:pPr>
            <w:r w:rsidRPr="00B7364B">
              <w:rPr>
                <w:sz w:val="20"/>
              </w:rPr>
              <w:t xml:space="preserve">Pakistan </w:t>
            </w:r>
          </w:p>
        </w:tc>
        <w:tc>
          <w:tcPr>
            <w:tcW w:w="2205" w:type="dxa"/>
            <w:shd w:val="clear" w:color="auto" w:fill="auto"/>
          </w:tcPr>
          <w:p w14:paraId="6215CBDD" w14:textId="77777777" w:rsidR="00BA172C" w:rsidRPr="00B7364B" w:rsidRDefault="00BA172C" w:rsidP="00B95821">
            <w:pPr>
              <w:spacing w:before="100" w:after="100"/>
              <w:rPr>
                <w:b/>
                <w:sz w:val="20"/>
              </w:rPr>
            </w:pPr>
            <w:r w:rsidRPr="00B7364B">
              <w:rPr>
                <w:sz w:val="20"/>
              </w:rPr>
              <w:t>Philippines</w:t>
            </w:r>
          </w:p>
        </w:tc>
        <w:tc>
          <w:tcPr>
            <w:tcW w:w="2205" w:type="dxa"/>
            <w:shd w:val="clear" w:color="auto" w:fill="auto"/>
          </w:tcPr>
          <w:p w14:paraId="793ABD0A" w14:textId="77777777" w:rsidR="00BA172C" w:rsidRPr="00B7364B" w:rsidRDefault="00BA172C" w:rsidP="00B95821">
            <w:pPr>
              <w:spacing w:before="100" w:after="100"/>
              <w:rPr>
                <w:b/>
                <w:sz w:val="20"/>
              </w:rPr>
            </w:pPr>
            <w:r w:rsidRPr="00B7364B">
              <w:rPr>
                <w:sz w:val="20"/>
              </w:rPr>
              <w:t xml:space="preserve">Poland </w:t>
            </w:r>
          </w:p>
        </w:tc>
        <w:tc>
          <w:tcPr>
            <w:tcW w:w="2205" w:type="dxa"/>
            <w:shd w:val="clear" w:color="auto" w:fill="auto"/>
          </w:tcPr>
          <w:p w14:paraId="5D732E14" w14:textId="77777777" w:rsidR="00BA172C" w:rsidRPr="00B7364B" w:rsidRDefault="00BA172C" w:rsidP="00B95821">
            <w:pPr>
              <w:spacing w:before="100" w:after="100"/>
              <w:rPr>
                <w:b/>
                <w:sz w:val="20"/>
              </w:rPr>
            </w:pPr>
            <w:r w:rsidRPr="00B7364B">
              <w:rPr>
                <w:sz w:val="20"/>
              </w:rPr>
              <w:t>Singapore</w:t>
            </w:r>
          </w:p>
        </w:tc>
      </w:tr>
      <w:tr w:rsidR="00BA172C" w:rsidRPr="00B7364B" w14:paraId="0C80B2DE" w14:textId="77777777" w:rsidTr="00B95821">
        <w:tc>
          <w:tcPr>
            <w:tcW w:w="2205" w:type="dxa"/>
            <w:shd w:val="clear" w:color="auto" w:fill="auto"/>
          </w:tcPr>
          <w:p w14:paraId="07536F1E" w14:textId="77777777" w:rsidR="00BA172C" w:rsidRPr="00B7364B" w:rsidRDefault="00BA172C" w:rsidP="00B95821">
            <w:pPr>
              <w:spacing w:before="100" w:after="100"/>
              <w:rPr>
                <w:b/>
                <w:sz w:val="20"/>
              </w:rPr>
            </w:pPr>
            <w:r w:rsidRPr="00B7364B">
              <w:rPr>
                <w:sz w:val="20"/>
              </w:rPr>
              <w:t xml:space="preserve">South Africa </w:t>
            </w:r>
          </w:p>
        </w:tc>
        <w:tc>
          <w:tcPr>
            <w:tcW w:w="2205" w:type="dxa"/>
            <w:shd w:val="clear" w:color="auto" w:fill="auto"/>
          </w:tcPr>
          <w:p w14:paraId="26DA8FDE" w14:textId="77777777" w:rsidR="00BA172C" w:rsidRPr="00B7364B" w:rsidRDefault="00BA172C" w:rsidP="00B95821">
            <w:pPr>
              <w:spacing w:before="100" w:after="100"/>
              <w:rPr>
                <w:b/>
                <w:sz w:val="20"/>
              </w:rPr>
            </w:pPr>
            <w:r w:rsidRPr="00B7364B">
              <w:rPr>
                <w:sz w:val="20"/>
              </w:rPr>
              <w:t>South Korea</w:t>
            </w:r>
          </w:p>
        </w:tc>
        <w:tc>
          <w:tcPr>
            <w:tcW w:w="2205" w:type="dxa"/>
            <w:shd w:val="clear" w:color="auto" w:fill="auto"/>
          </w:tcPr>
          <w:p w14:paraId="29CDF371" w14:textId="77777777" w:rsidR="00BA172C" w:rsidRPr="00B7364B" w:rsidRDefault="00BA172C" w:rsidP="00B95821">
            <w:pPr>
              <w:spacing w:before="100" w:after="100"/>
              <w:rPr>
                <w:b/>
                <w:sz w:val="20"/>
              </w:rPr>
            </w:pPr>
            <w:r w:rsidRPr="00B7364B">
              <w:rPr>
                <w:sz w:val="20"/>
              </w:rPr>
              <w:t xml:space="preserve">Taiwan </w:t>
            </w:r>
          </w:p>
        </w:tc>
        <w:tc>
          <w:tcPr>
            <w:tcW w:w="2205" w:type="dxa"/>
            <w:shd w:val="clear" w:color="auto" w:fill="auto"/>
          </w:tcPr>
          <w:p w14:paraId="5D010DF1" w14:textId="77777777" w:rsidR="00BA172C" w:rsidRPr="00B7364B" w:rsidRDefault="00BA172C" w:rsidP="00B95821">
            <w:pPr>
              <w:spacing w:before="100" w:after="100"/>
              <w:rPr>
                <w:b/>
                <w:sz w:val="20"/>
              </w:rPr>
            </w:pPr>
            <w:r w:rsidRPr="00B7364B">
              <w:rPr>
                <w:sz w:val="20"/>
              </w:rPr>
              <w:t>Thailand</w:t>
            </w:r>
          </w:p>
        </w:tc>
      </w:tr>
      <w:tr w:rsidR="00BA172C" w:rsidRPr="00B7364B" w14:paraId="0F32315F" w14:textId="77777777" w:rsidTr="00B95821">
        <w:tc>
          <w:tcPr>
            <w:tcW w:w="2205" w:type="dxa"/>
            <w:shd w:val="clear" w:color="auto" w:fill="auto"/>
          </w:tcPr>
          <w:p w14:paraId="405A99BC" w14:textId="77777777" w:rsidR="00BA172C" w:rsidRPr="00B7364B" w:rsidRDefault="00BA172C" w:rsidP="00B95821">
            <w:pPr>
              <w:spacing w:before="100" w:after="100"/>
              <w:rPr>
                <w:b/>
                <w:sz w:val="20"/>
              </w:rPr>
            </w:pPr>
            <w:r w:rsidRPr="00B7364B">
              <w:rPr>
                <w:sz w:val="20"/>
              </w:rPr>
              <w:t>Turkey</w:t>
            </w:r>
          </w:p>
        </w:tc>
        <w:tc>
          <w:tcPr>
            <w:tcW w:w="2205" w:type="dxa"/>
            <w:shd w:val="clear" w:color="auto" w:fill="auto"/>
          </w:tcPr>
          <w:p w14:paraId="6EC885C7" w14:textId="77777777" w:rsidR="00BA172C" w:rsidRPr="00B7364B" w:rsidRDefault="00BA172C" w:rsidP="00B95821">
            <w:pPr>
              <w:spacing w:before="100" w:after="100"/>
              <w:rPr>
                <w:b/>
                <w:sz w:val="20"/>
              </w:rPr>
            </w:pPr>
            <w:r w:rsidRPr="00B7364B">
              <w:rPr>
                <w:sz w:val="20"/>
              </w:rPr>
              <w:t>United Kingdom</w:t>
            </w:r>
          </w:p>
        </w:tc>
        <w:tc>
          <w:tcPr>
            <w:tcW w:w="2205" w:type="dxa"/>
            <w:shd w:val="clear" w:color="auto" w:fill="auto"/>
          </w:tcPr>
          <w:p w14:paraId="1DC1243F" w14:textId="77777777" w:rsidR="00BA172C" w:rsidRPr="00B7364B" w:rsidRDefault="00BA172C" w:rsidP="00B95821">
            <w:pPr>
              <w:spacing w:before="100" w:after="100"/>
              <w:rPr>
                <w:b/>
                <w:sz w:val="20"/>
              </w:rPr>
            </w:pPr>
            <w:r w:rsidRPr="00B7364B">
              <w:rPr>
                <w:sz w:val="20"/>
              </w:rPr>
              <w:t xml:space="preserve">USA </w:t>
            </w:r>
          </w:p>
        </w:tc>
        <w:tc>
          <w:tcPr>
            <w:tcW w:w="2205" w:type="dxa"/>
            <w:shd w:val="clear" w:color="auto" w:fill="auto"/>
          </w:tcPr>
          <w:p w14:paraId="15984F98" w14:textId="77777777" w:rsidR="00BA172C" w:rsidRPr="00B7364B" w:rsidRDefault="00BA172C" w:rsidP="00B95821">
            <w:pPr>
              <w:spacing w:before="100" w:after="100"/>
              <w:rPr>
                <w:b/>
                <w:sz w:val="20"/>
              </w:rPr>
            </w:pPr>
            <w:r w:rsidRPr="00B7364B">
              <w:rPr>
                <w:sz w:val="20"/>
              </w:rPr>
              <w:t>Vietnam</w:t>
            </w:r>
          </w:p>
        </w:tc>
      </w:tr>
    </w:tbl>
    <w:p w14:paraId="139CB101" w14:textId="77777777" w:rsidR="00BA172C" w:rsidRPr="00B7364B" w:rsidRDefault="00BA172C" w:rsidP="00BA172C"/>
    <w:p w14:paraId="7D3F1C45" w14:textId="77777777" w:rsidR="00BA172C" w:rsidRPr="00B7364B" w:rsidRDefault="00BA172C" w:rsidP="00BA172C"/>
    <w:p w14:paraId="792C8A02" w14:textId="77777777" w:rsidR="00BA172C" w:rsidRPr="00B7364B" w:rsidRDefault="00BA172C" w:rsidP="00BA172C">
      <w:pPr>
        <w:numPr>
          <w:ilvl w:val="5"/>
          <w:numId w:val="1"/>
        </w:numPr>
        <w:spacing w:after="200"/>
        <w:outlineLvl w:val="5"/>
        <w:rPr>
          <w:rFonts w:eastAsia="Times New Roman"/>
          <w:bCs/>
          <w:sz w:val="20"/>
          <w:szCs w:val="22"/>
        </w:rPr>
      </w:pPr>
      <w:bookmarkStart w:id="1817" w:name="_Toc479674732"/>
      <w:r w:rsidRPr="00B7364B">
        <w:rPr>
          <w:rFonts w:eastAsia="Times New Roman"/>
          <w:bCs/>
          <w:sz w:val="20"/>
          <w:szCs w:val="22"/>
        </w:rPr>
        <w:t>My Account</w:t>
      </w:r>
      <w:bookmarkEnd w:id="1817"/>
    </w:p>
    <w:p w14:paraId="3CB7742D" w14:textId="77777777" w:rsidR="00BA172C" w:rsidRPr="00B7364B" w:rsidRDefault="00BA172C" w:rsidP="00BA172C">
      <w:pPr>
        <w:spacing w:after="200"/>
        <w:ind w:left="720"/>
        <w:rPr>
          <w:sz w:val="20"/>
        </w:rPr>
      </w:pPr>
      <w:r w:rsidRPr="00B7364B">
        <w:rPr>
          <w:sz w:val="20"/>
        </w:rPr>
        <w:t xml:space="preserve">Services that share data may have a service login to My Account which will display all of the service numbers contributing to or using the shared data pool on </w:t>
      </w:r>
      <w:r w:rsidRPr="00B7364B">
        <w:rPr>
          <w:i/>
          <w:sz w:val="20"/>
        </w:rPr>
        <w:t xml:space="preserve">your </w:t>
      </w:r>
      <w:r w:rsidRPr="00B7364B">
        <w:rPr>
          <w:sz w:val="20"/>
        </w:rPr>
        <w:t xml:space="preserve">account and the amount of data each service has used. If </w:t>
      </w:r>
      <w:r w:rsidRPr="00B7364B">
        <w:rPr>
          <w:i/>
          <w:sz w:val="20"/>
        </w:rPr>
        <w:t>you</w:t>
      </w:r>
      <w:r w:rsidRPr="00B7364B">
        <w:rPr>
          <w:sz w:val="20"/>
        </w:rPr>
        <w:t xml:space="preserve"> have more than 6 services on </w:t>
      </w:r>
      <w:r w:rsidRPr="00B7364B">
        <w:rPr>
          <w:i/>
          <w:sz w:val="20"/>
        </w:rPr>
        <w:t xml:space="preserve">your </w:t>
      </w:r>
      <w:r w:rsidRPr="00B7364B">
        <w:rPr>
          <w:sz w:val="20"/>
        </w:rPr>
        <w:t xml:space="preserve">account, My Account may not be suitable for viewing usage and managing </w:t>
      </w:r>
      <w:r w:rsidRPr="00B7364B">
        <w:rPr>
          <w:i/>
          <w:sz w:val="20"/>
        </w:rPr>
        <w:t xml:space="preserve">your </w:t>
      </w:r>
      <w:r w:rsidRPr="00B7364B">
        <w:rPr>
          <w:sz w:val="20"/>
        </w:rPr>
        <w:t>usage alerts.</w:t>
      </w:r>
    </w:p>
    <w:p w14:paraId="64F0A927" w14:textId="77777777" w:rsidR="00BA172C" w:rsidRPr="00B7364B" w:rsidRDefault="00BA172C" w:rsidP="00BA172C">
      <w:pPr>
        <w:numPr>
          <w:ilvl w:val="5"/>
          <w:numId w:val="1"/>
        </w:numPr>
        <w:spacing w:after="200"/>
        <w:outlineLvl w:val="5"/>
        <w:rPr>
          <w:rFonts w:eastAsia="Times New Roman" w:cs="Arial"/>
          <w:sz w:val="20"/>
          <w:szCs w:val="20"/>
          <w:lang w:val="en-AU"/>
        </w:rPr>
      </w:pPr>
      <w:r w:rsidRPr="00B7364B">
        <w:rPr>
          <w:rFonts w:eastAsia="Times New Roman" w:cs="Arial"/>
          <w:sz w:val="20"/>
          <w:szCs w:val="20"/>
          <w:lang w:val="en-AU"/>
        </w:rPr>
        <w:t xml:space="preserve">What happens if the </w:t>
      </w:r>
      <w:r w:rsidRPr="00B7364B">
        <w:rPr>
          <w:rFonts w:eastAsia="Times New Roman" w:cs="Arial"/>
          <w:i/>
          <w:sz w:val="20"/>
          <w:szCs w:val="20"/>
          <w:lang w:val="en-AU"/>
        </w:rPr>
        <w:t xml:space="preserve">service </w:t>
      </w:r>
      <w:r w:rsidRPr="00B7364B">
        <w:rPr>
          <w:rFonts w:eastAsia="Times New Roman" w:cs="Arial"/>
          <w:sz w:val="20"/>
          <w:szCs w:val="20"/>
          <w:lang w:val="en-AU"/>
        </w:rPr>
        <w:t>is</w:t>
      </w:r>
      <w:r w:rsidRPr="00B7364B">
        <w:rPr>
          <w:rFonts w:eastAsia="Times New Roman" w:cs="Arial"/>
          <w:i/>
          <w:sz w:val="20"/>
          <w:szCs w:val="20"/>
          <w:lang w:val="en-AU"/>
        </w:rPr>
        <w:t xml:space="preserve"> cancelled </w:t>
      </w:r>
      <w:r w:rsidRPr="00B7364B">
        <w:rPr>
          <w:rFonts w:eastAsia="Times New Roman" w:cs="Arial"/>
          <w:sz w:val="20"/>
          <w:szCs w:val="20"/>
          <w:lang w:val="en-AU"/>
        </w:rPr>
        <w:t xml:space="preserve">early? </w:t>
      </w:r>
    </w:p>
    <w:p w14:paraId="7F962FF4" w14:textId="77777777" w:rsidR="00BA172C" w:rsidRPr="00B7364B" w:rsidRDefault="00BA172C" w:rsidP="00BA172C">
      <w:pPr>
        <w:numPr>
          <w:ilvl w:val="6"/>
          <w:numId w:val="1"/>
        </w:numPr>
        <w:spacing w:after="200"/>
        <w:ind w:left="1440"/>
        <w:outlineLvl w:val="6"/>
        <w:rPr>
          <w:rFonts w:eastAsia="Times New Roman" w:cs="Arial"/>
          <w:sz w:val="20"/>
          <w:szCs w:val="20"/>
          <w:lang w:val="en-AU"/>
        </w:rPr>
      </w:pPr>
      <w:r w:rsidRPr="00B7364B">
        <w:rPr>
          <w:rFonts w:eastAsia="Times New Roman" w:cs="Arial"/>
          <w:sz w:val="20"/>
          <w:szCs w:val="20"/>
          <w:lang w:val="en-AU"/>
        </w:rPr>
        <w:t>If the</w:t>
      </w:r>
      <w:r w:rsidRPr="00B7364B">
        <w:rPr>
          <w:rFonts w:eastAsia="Times New Roman" w:cs="Arial"/>
          <w:i/>
          <w:sz w:val="20"/>
          <w:szCs w:val="20"/>
          <w:lang w:val="en-AU"/>
        </w:rPr>
        <w:t xml:space="preserve"> service</w:t>
      </w:r>
      <w:r w:rsidRPr="00B7364B">
        <w:rPr>
          <w:rFonts w:eastAsia="Times New Roman" w:cs="Arial"/>
          <w:sz w:val="20"/>
          <w:szCs w:val="20"/>
          <w:lang w:val="en-AU"/>
        </w:rPr>
        <w:t xml:space="preserve"> is</w:t>
      </w:r>
      <w:r w:rsidRPr="00B7364B">
        <w:rPr>
          <w:rFonts w:eastAsia="Times New Roman" w:cs="Arial"/>
          <w:i/>
          <w:sz w:val="20"/>
          <w:szCs w:val="20"/>
          <w:lang w:val="en-AU"/>
        </w:rPr>
        <w:t xml:space="preserve"> cancelled </w:t>
      </w:r>
      <w:r w:rsidRPr="00B7364B">
        <w:rPr>
          <w:rFonts w:eastAsia="Times New Roman" w:cs="Arial"/>
          <w:sz w:val="20"/>
          <w:szCs w:val="20"/>
          <w:lang w:val="en-AU"/>
        </w:rPr>
        <w:t xml:space="preserve">before the end of </w:t>
      </w:r>
      <w:r w:rsidRPr="00B7364B">
        <w:rPr>
          <w:rFonts w:eastAsia="Times New Roman" w:cs="Arial"/>
          <w:i/>
          <w:sz w:val="20"/>
          <w:szCs w:val="20"/>
          <w:lang w:val="en-AU"/>
        </w:rPr>
        <w:t xml:space="preserve">your minimum term, you </w:t>
      </w:r>
      <w:r w:rsidRPr="00B7364B">
        <w:rPr>
          <w:rFonts w:eastAsia="Times New Roman" w:cs="Arial"/>
          <w:sz w:val="20"/>
          <w:szCs w:val="20"/>
          <w:lang w:val="en-AU"/>
        </w:rPr>
        <w:t xml:space="preserve">will be required to pay </w:t>
      </w:r>
      <w:r w:rsidRPr="00B7364B">
        <w:rPr>
          <w:rFonts w:eastAsia="Times New Roman" w:cs="Arial"/>
          <w:i/>
          <w:sz w:val="20"/>
          <w:szCs w:val="20"/>
          <w:lang w:val="en-AU"/>
        </w:rPr>
        <w:t>us</w:t>
      </w:r>
      <w:r w:rsidRPr="00B7364B">
        <w:rPr>
          <w:rFonts w:eastAsia="Times New Roman" w:cs="Arial"/>
          <w:sz w:val="20"/>
          <w:szCs w:val="20"/>
          <w:lang w:val="en-AU"/>
        </w:rPr>
        <w:t>:</w:t>
      </w:r>
    </w:p>
    <w:p w14:paraId="3FBAAE55" w14:textId="77777777" w:rsidR="00BA172C" w:rsidRPr="00B7364B" w:rsidRDefault="00BA172C" w:rsidP="00BA172C">
      <w:pPr>
        <w:numPr>
          <w:ilvl w:val="7"/>
          <w:numId w:val="1"/>
        </w:numPr>
        <w:spacing w:after="200"/>
        <w:outlineLvl w:val="7"/>
        <w:rPr>
          <w:rFonts w:eastAsia="Times New Roman" w:cs="Arial"/>
          <w:sz w:val="20"/>
          <w:szCs w:val="20"/>
          <w:lang w:val="en-AU"/>
        </w:rPr>
      </w:pPr>
      <w:r w:rsidRPr="00B7364B">
        <w:rPr>
          <w:rFonts w:eastAsia="Times New Roman" w:cs="Arial"/>
          <w:sz w:val="20"/>
          <w:szCs w:val="20"/>
          <w:lang w:val="en-AU"/>
        </w:rPr>
        <w:t xml:space="preserve">any usage charges incurred up to, and including, the </w:t>
      </w:r>
      <w:r w:rsidRPr="00B7364B">
        <w:rPr>
          <w:rFonts w:eastAsia="Times New Roman" w:cs="Arial"/>
          <w:i/>
          <w:sz w:val="20"/>
          <w:szCs w:val="20"/>
          <w:lang w:val="en-AU"/>
        </w:rPr>
        <w:t xml:space="preserve">cancellation date; </w:t>
      </w:r>
      <w:r w:rsidRPr="00B7364B">
        <w:rPr>
          <w:rFonts w:eastAsia="Times New Roman" w:cs="Arial"/>
          <w:sz w:val="20"/>
          <w:szCs w:val="20"/>
          <w:lang w:val="en-AU"/>
        </w:rPr>
        <w:t>plus</w:t>
      </w:r>
    </w:p>
    <w:p w14:paraId="77BED51B" w14:textId="77777777" w:rsidR="00BA172C" w:rsidRPr="00B7364B" w:rsidRDefault="00BA172C" w:rsidP="00BA172C">
      <w:pPr>
        <w:numPr>
          <w:ilvl w:val="7"/>
          <w:numId w:val="1"/>
        </w:numPr>
        <w:spacing w:after="200"/>
        <w:outlineLvl w:val="7"/>
        <w:rPr>
          <w:rFonts w:eastAsia="Times New Roman" w:cs="Arial"/>
          <w:sz w:val="20"/>
          <w:szCs w:val="20"/>
          <w:lang w:val="en-AU"/>
        </w:rPr>
      </w:pPr>
      <w:r w:rsidRPr="00B7364B">
        <w:rPr>
          <w:rFonts w:eastAsia="Times New Roman" w:cs="Arial"/>
          <w:sz w:val="20"/>
          <w:szCs w:val="20"/>
          <w:lang w:val="en-AU"/>
        </w:rPr>
        <w:t xml:space="preserve">the sum of unpaid </w:t>
      </w:r>
      <w:r w:rsidRPr="00B7364B">
        <w:rPr>
          <w:rFonts w:eastAsia="Times New Roman" w:cs="Arial"/>
          <w:i/>
          <w:sz w:val="20"/>
          <w:szCs w:val="20"/>
          <w:lang w:val="en-AU"/>
        </w:rPr>
        <w:t xml:space="preserve">equipment charges </w:t>
      </w:r>
      <w:r w:rsidRPr="00B7364B">
        <w:rPr>
          <w:rFonts w:eastAsia="Times New Roman" w:cs="Arial"/>
          <w:sz w:val="20"/>
          <w:szCs w:val="20"/>
          <w:lang w:val="en-AU"/>
        </w:rPr>
        <w:t xml:space="preserve">owing on </w:t>
      </w:r>
      <w:r w:rsidRPr="00B7364B">
        <w:rPr>
          <w:rFonts w:eastAsia="Times New Roman" w:cs="Arial"/>
          <w:i/>
          <w:sz w:val="20"/>
          <w:szCs w:val="20"/>
          <w:lang w:val="en-AU"/>
        </w:rPr>
        <w:t xml:space="preserve">your mobile phone </w:t>
      </w:r>
      <w:r w:rsidRPr="00B7364B">
        <w:rPr>
          <w:rFonts w:eastAsia="Times New Roman" w:cs="Arial"/>
          <w:sz w:val="20"/>
          <w:szCs w:val="20"/>
          <w:lang w:val="en-AU"/>
        </w:rPr>
        <w:t xml:space="preserve">under the </w:t>
      </w:r>
      <w:r w:rsidRPr="00B7364B">
        <w:rPr>
          <w:rFonts w:eastAsia="Times New Roman" w:cs="Arial"/>
          <w:i/>
          <w:sz w:val="20"/>
          <w:szCs w:val="20"/>
          <w:lang w:val="en-AU"/>
        </w:rPr>
        <w:t xml:space="preserve">mobile equipment payment plan </w:t>
      </w:r>
      <w:r w:rsidRPr="00B7364B">
        <w:rPr>
          <w:rFonts w:eastAsia="Times New Roman" w:cs="Arial"/>
          <w:sz w:val="20"/>
          <w:szCs w:val="20"/>
          <w:lang w:val="en-AU"/>
        </w:rPr>
        <w:t xml:space="preserve">(if any). </w:t>
      </w:r>
    </w:p>
    <w:p w14:paraId="6F027207" w14:textId="77777777" w:rsidR="00BA172C" w:rsidRPr="00B7364B" w:rsidRDefault="00BA172C" w:rsidP="00BA172C">
      <w:pPr>
        <w:numPr>
          <w:ilvl w:val="6"/>
          <w:numId w:val="1"/>
        </w:numPr>
        <w:spacing w:after="200"/>
        <w:ind w:left="1440"/>
        <w:outlineLvl w:val="6"/>
        <w:rPr>
          <w:rFonts w:eastAsia="Times New Roman" w:cs="Arial"/>
          <w:sz w:val="20"/>
          <w:szCs w:val="20"/>
          <w:lang w:val="en-AU"/>
        </w:rPr>
      </w:pPr>
      <w:r w:rsidRPr="00B7364B">
        <w:rPr>
          <w:rFonts w:eastAsia="Times New Roman" w:cs="Arial"/>
          <w:sz w:val="20"/>
          <w:szCs w:val="20"/>
          <w:lang w:val="en-AU"/>
        </w:rPr>
        <w:t xml:space="preserve">The </w:t>
      </w:r>
      <w:r w:rsidRPr="00B7364B">
        <w:rPr>
          <w:rFonts w:eastAsia="Times New Roman" w:cs="Arial"/>
          <w:i/>
          <w:sz w:val="20"/>
          <w:szCs w:val="20"/>
          <w:lang w:val="en-AU"/>
        </w:rPr>
        <w:t>cancellation fee</w:t>
      </w:r>
      <w:r w:rsidRPr="00B7364B">
        <w:rPr>
          <w:rFonts w:eastAsia="Times New Roman" w:cs="Arial"/>
          <w:sz w:val="20"/>
          <w:szCs w:val="20"/>
          <w:lang w:val="en-AU"/>
        </w:rPr>
        <w:t xml:space="preserve"> is calculated as the following amounts, multiplied by the months remaining on </w:t>
      </w:r>
      <w:r w:rsidRPr="00B7364B">
        <w:rPr>
          <w:rFonts w:eastAsia="Times New Roman" w:cs="Arial"/>
          <w:i/>
          <w:sz w:val="20"/>
          <w:szCs w:val="20"/>
          <w:lang w:val="en-AU"/>
        </w:rPr>
        <w:t>your minimum term</w:t>
      </w:r>
      <w:r w:rsidRPr="00B7364B">
        <w:rPr>
          <w:rFonts w:eastAsia="Times New Roman" w:cs="Arial"/>
          <w:sz w:val="20"/>
          <w:szCs w:val="20"/>
          <w:lang w:val="en-AU"/>
        </w:rPr>
        <w:t>:</w:t>
      </w:r>
    </w:p>
    <w:p w14:paraId="4BDD753F" w14:textId="77777777" w:rsidR="00BA172C" w:rsidRPr="00B7364B" w:rsidRDefault="00BA172C" w:rsidP="00BA172C">
      <w:pPr>
        <w:tabs>
          <w:tab w:val="left" w:pos="1701"/>
        </w:tabs>
        <w:spacing w:before="120" w:after="120"/>
        <w:ind w:left="709"/>
        <w:rPr>
          <w:rFonts w:eastAsia="Times New Roman" w:cs="Arial"/>
          <w:sz w:val="20"/>
          <w:szCs w:val="20"/>
          <w:lang w:val="en-AU"/>
        </w:rPr>
      </w:pPr>
    </w:p>
    <w:tbl>
      <w:tblPr>
        <w:tblW w:w="992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984"/>
        <w:gridCol w:w="1843"/>
        <w:gridCol w:w="1985"/>
        <w:gridCol w:w="2126"/>
      </w:tblGrid>
      <w:tr w:rsidR="00BA172C" w:rsidRPr="00B7364B" w14:paraId="14F110B8" w14:textId="77777777" w:rsidTr="00B95821">
        <w:trPr>
          <w:trHeight w:val="668"/>
        </w:trPr>
        <w:tc>
          <w:tcPr>
            <w:tcW w:w="1985" w:type="dxa"/>
            <w:shd w:val="clear" w:color="auto" w:fill="auto"/>
            <w:vAlign w:val="center"/>
          </w:tcPr>
          <w:p w14:paraId="09E7D1B9" w14:textId="77777777" w:rsidR="00BA172C" w:rsidRPr="00B7364B" w:rsidRDefault="00BA172C" w:rsidP="00B95821">
            <w:pPr>
              <w:jc w:val="center"/>
              <w:rPr>
                <w:rFonts w:eastAsia="Calibri" w:cs="Arial"/>
                <w:b/>
                <w:sz w:val="20"/>
                <w:szCs w:val="20"/>
              </w:rPr>
            </w:pPr>
          </w:p>
        </w:tc>
        <w:tc>
          <w:tcPr>
            <w:tcW w:w="1984" w:type="dxa"/>
          </w:tcPr>
          <w:p w14:paraId="1D6565E6" w14:textId="77777777" w:rsidR="00BA172C" w:rsidRPr="00B7364B" w:rsidRDefault="00BA172C" w:rsidP="00B95821">
            <w:pPr>
              <w:jc w:val="center"/>
              <w:rPr>
                <w:rFonts w:cs="Arial"/>
                <w:b/>
                <w:sz w:val="20"/>
                <w:szCs w:val="20"/>
              </w:rPr>
            </w:pPr>
            <w:r w:rsidRPr="00B7364B">
              <w:rPr>
                <w:b/>
              </w:rPr>
              <w:t>$30 Business</w:t>
            </w:r>
            <w:r w:rsidRPr="00B7364B">
              <w:rPr>
                <w:b/>
                <w:szCs w:val="20"/>
              </w:rPr>
              <w:t xml:space="preserve"> Plan</w:t>
            </w:r>
          </w:p>
        </w:tc>
        <w:tc>
          <w:tcPr>
            <w:tcW w:w="1843" w:type="dxa"/>
          </w:tcPr>
          <w:p w14:paraId="5602EB2A" w14:textId="77777777" w:rsidR="00BA172C" w:rsidRPr="00B7364B" w:rsidRDefault="00BA172C" w:rsidP="00B95821">
            <w:pPr>
              <w:jc w:val="center"/>
              <w:rPr>
                <w:rFonts w:cs="Arial"/>
                <w:b/>
                <w:sz w:val="20"/>
                <w:szCs w:val="20"/>
              </w:rPr>
            </w:pPr>
            <w:r w:rsidRPr="00B7364B">
              <w:rPr>
                <w:b/>
              </w:rPr>
              <w:t>$40 Business</w:t>
            </w:r>
            <w:r w:rsidRPr="00B7364B">
              <w:rPr>
                <w:b/>
                <w:szCs w:val="20"/>
              </w:rPr>
              <w:t xml:space="preserve"> Plan</w:t>
            </w:r>
          </w:p>
        </w:tc>
        <w:tc>
          <w:tcPr>
            <w:tcW w:w="1985" w:type="dxa"/>
          </w:tcPr>
          <w:p w14:paraId="49049674" w14:textId="77777777" w:rsidR="00BA172C" w:rsidRPr="00B7364B" w:rsidRDefault="00BA172C" w:rsidP="00B95821">
            <w:pPr>
              <w:jc w:val="center"/>
              <w:rPr>
                <w:rFonts w:cs="Arial"/>
                <w:b/>
                <w:sz w:val="20"/>
                <w:szCs w:val="20"/>
              </w:rPr>
            </w:pPr>
            <w:r w:rsidRPr="00B7364B">
              <w:rPr>
                <w:b/>
              </w:rPr>
              <w:t>$55 Business</w:t>
            </w:r>
            <w:r w:rsidRPr="00B7364B">
              <w:rPr>
                <w:b/>
                <w:szCs w:val="20"/>
              </w:rPr>
              <w:t xml:space="preserve"> Plan</w:t>
            </w:r>
          </w:p>
        </w:tc>
        <w:tc>
          <w:tcPr>
            <w:tcW w:w="2126" w:type="dxa"/>
          </w:tcPr>
          <w:p w14:paraId="500CC512" w14:textId="77777777" w:rsidR="00BA172C" w:rsidRPr="00B7364B" w:rsidRDefault="00BA172C" w:rsidP="00B95821">
            <w:pPr>
              <w:jc w:val="center"/>
              <w:rPr>
                <w:rFonts w:cs="Arial"/>
                <w:b/>
                <w:sz w:val="20"/>
                <w:szCs w:val="20"/>
              </w:rPr>
            </w:pPr>
            <w:r w:rsidRPr="00B7364B">
              <w:rPr>
                <w:b/>
              </w:rPr>
              <w:t>$70 Business</w:t>
            </w:r>
            <w:r w:rsidRPr="00B7364B">
              <w:rPr>
                <w:b/>
                <w:szCs w:val="20"/>
              </w:rPr>
              <w:t xml:space="preserve"> Plan</w:t>
            </w:r>
          </w:p>
        </w:tc>
      </w:tr>
      <w:tr w:rsidR="00BA172C" w:rsidRPr="00B7364B" w14:paraId="6DEFDC9D" w14:textId="77777777" w:rsidTr="00B95821">
        <w:trPr>
          <w:trHeight w:val="275"/>
        </w:trPr>
        <w:tc>
          <w:tcPr>
            <w:tcW w:w="1985" w:type="dxa"/>
            <w:shd w:val="clear" w:color="auto" w:fill="auto"/>
            <w:vAlign w:val="center"/>
          </w:tcPr>
          <w:p w14:paraId="7F1B19C3" w14:textId="77777777" w:rsidR="00BA172C" w:rsidRPr="00B7364B" w:rsidRDefault="00BA172C" w:rsidP="00B95821">
            <w:pPr>
              <w:spacing w:after="200" w:line="276" w:lineRule="auto"/>
              <w:jc w:val="center"/>
              <w:rPr>
                <w:rFonts w:eastAsia="Calibri" w:cs="Arial"/>
                <w:sz w:val="20"/>
                <w:szCs w:val="20"/>
              </w:rPr>
            </w:pPr>
            <w:r w:rsidRPr="00B7364B">
              <w:rPr>
                <w:rFonts w:eastAsia="Calibri" w:cs="Arial"/>
                <w:b/>
                <w:bCs/>
                <w:sz w:val="20"/>
                <w:szCs w:val="20"/>
              </w:rPr>
              <w:t>Cancellation Fee</w:t>
            </w:r>
          </w:p>
        </w:tc>
        <w:tc>
          <w:tcPr>
            <w:tcW w:w="1984" w:type="dxa"/>
            <w:vAlign w:val="center"/>
          </w:tcPr>
          <w:p w14:paraId="4DB85383" w14:textId="77777777" w:rsidR="00BA172C" w:rsidRPr="00B7364B" w:rsidRDefault="00BA172C" w:rsidP="00BA172C">
            <w:pPr>
              <w:numPr>
                <w:ilvl w:val="6"/>
                <w:numId w:val="66"/>
              </w:numPr>
              <w:ind w:left="34"/>
              <w:jc w:val="center"/>
              <w:rPr>
                <w:rFonts w:cs="Arial"/>
                <w:sz w:val="20"/>
                <w:szCs w:val="20"/>
              </w:rPr>
            </w:pPr>
            <w:r w:rsidRPr="00B7364B">
              <w:rPr>
                <w:rFonts w:cs="Arial"/>
                <w:sz w:val="20"/>
                <w:szCs w:val="20"/>
              </w:rPr>
              <w:t>$9 x Months remaining</w:t>
            </w:r>
          </w:p>
        </w:tc>
        <w:tc>
          <w:tcPr>
            <w:tcW w:w="1843" w:type="dxa"/>
          </w:tcPr>
          <w:p w14:paraId="3368A43A" w14:textId="77777777" w:rsidR="00BA172C" w:rsidRPr="00B7364B" w:rsidRDefault="00BA172C" w:rsidP="00BA172C">
            <w:pPr>
              <w:numPr>
                <w:ilvl w:val="6"/>
                <w:numId w:val="66"/>
              </w:numPr>
              <w:ind w:left="34"/>
              <w:jc w:val="center"/>
              <w:rPr>
                <w:rFonts w:cs="Arial"/>
                <w:sz w:val="20"/>
                <w:szCs w:val="20"/>
              </w:rPr>
            </w:pPr>
            <w:r w:rsidRPr="00B7364B">
              <w:rPr>
                <w:rFonts w:cs="Arial"/>
                <w:sz w:val="20"/>
                <w:szCs w:val="20"/>
              </w:rPr>
              <w:t>$12 x Months remaining</w:t>
            </w:r>
          </w:p>
        </w:tc>
        <w:tc>
          <w:tcPr>
            <w:tcW w:w="1985" w:type="dxa"/>
          </w:tcPr>
          <w:p w14:paraId="50712487" w14:textId="77777777" w:rsidR="00BA172C" w:rsidRPr="00B7364B" w:rsidRDefault="00BA172C" w:rsidP="00BA172C">
            <w:pPr>
              <w:numPr>
                <w:ilvl w:val="6"/>
                <w:numId w:val="66"/>
              </w:numPr>
              <w:ind w:left="34"/>
              <w:jc w:val="center"/>
              <w:rPr>
                <w:rFonts w:cs="Arial"/>
                <w:sz w:val="20"/>
                <w:szCs w:val="20"/>
              </w:rPr>
            </w:pPr>
            <w:r w:rsidRPr="00B7364B">
              <w:rPr>
                <w:rFonts w:cs="Arial"/>
                <w:sz w:val="20"/>
                <w:szCs w:val="20"/>
              </w:rPr>
              <w:t>$16 x Months remaining</w:t>
            </w:r>
          </w:p>
        </w:tc>
        <w:tc>
          <w:tcPr>
            <w:tcW w:w="2126" w:type="dxa"/>
          </w:tcPr>
          <w:p w14:paraId="1F93389F" w14:textId="77777777" w:rsidR="00BA172C" w:rsidRPr="00B7364B" w:rsidRDefault="00BA172C" w:rsidP="00BA172C">
            <w:pPr>
              <w:numPr>
                <w:ilvl w:val="6"/>
                <w:numId w:val="66"/>
              </w:numPr>
              <w:ind w:left="34"/>
              <w:jc w:val="center"/>
              <w:rPr>
                <w:rFonts w:cs="Arial"/>
                <w:sz w:val="20"/>
                <w:szCs w:val="20"/>
              </w:rPr>
            </w:pPr>
            <w:r w:rsidRPr="00B7364B">
              <w:rPr>
                <w:rFonts w:cs="Arial"/>
                <w:sz w:val="20"/>
                <w:szCs w:val="20"/>
              </w:rPr>
              <w:t>$20 x Months remaining</w:t>
            </w:r>
          </w:p>
        </w:tc>
      </w:tr>
      <w:tr w:rsidR="00BA172C" w:rsidRPr="00B7364B" w14:paraId="73A9CAF2" w14:textId="77777777" w:rsidTr="00B95821">
        <w:trPr>
          <w:trHeight w:val="530"/>
        </w:trPr>
        <w:tc>
          <w:tcPr>
            <w:tcW w:w="1985" w:type="dxa"/>
            <w:shd w:val="clear" w:color="auto" w:fill="auto"/>
            <w:vAlign w:val="center"/>
          </w:tcPr>
          <w:p w14:paraId="25EF5D5C" w14:textId="77777777" w:rsidR="00BA172C" w:rsidRPr="00B7364B" w:rsidRDefault="00BA172C" w:rsidP="00B95821">
            <w:pPr>
              <w:spacing w:after="200" w:line="276" w:lineRule="auto"/>
              <w:jc w:val="center"/>
              <w:rPr>
                <w:rFonts w:eastAsia="Calibri" w:cs="Arial"/>
                <w:b/>
                <w:bCs/>
                <w:sz w:val="20"/>
                <w:szCs w:val="20"/>
              </w:rPr>
            </w:pPr>
            <w:r w:rsidRPr="00B7364B">
              <w:rPr>
                <w:rFonts w:eastAsia="Calibri" w:cs="Arial"/>
                <w:b/>
                <w:bCs/>
                <w:sz w:val="20"/>
                <w:szCs w:val="20"/>
              </w:rPr>
              <w:t>Maximum Cancellation Fee</w:t>
            </w:r>
          </w:p>
        </w:tc>
        <w:tc>
          <w:tcPr>
            <w:tcW w:w="1984" w:type="dxa"/>
            <w:vAlign w:val="center"/>
          </w:tcPr>
          <w:p w14:paraId="6ADD62AB" w14:textId="77777777" w:rsidR="00BA172C" w:rsidRPr="00B7364B" w:rsidRDefault="00BA172C" w:rsidP="00B95821">
            <w:pPr>
              <w:ind w:left="34"/>
              <w:jc w:val="center"/>
              <w:rPr>
                <w:rFonts w:eastAsia="Calibri" w:cs="Arial"/>
                <w:sz w:val="20"/>
                <w:szCs w:val="20"/>
              </w:rPr>
            </w:pPr>
            <w:r w:rsidRPr="00B7364B">
              <w:rPr>
                <w:rFonts w:eastAsia="Calibri" w:cs="Arial"/>
                <w:sz w:val="20"/>
                <w:szCs w:val="20"/>
              </w:rPr>
              <w:t>$108</w:t>
            </w:r>
          </w:p>
        </w:tc>
        <w:tc>
          <w:tcPr>
            <w:tcW w:w="1843" w:type="dxa"/>
            <w:vAlign w:val="center"/>
          </w:tcPr>
          <w:p w14:paraId="4A1F2891" w14:textId="77777777" w:rsidR="00BA172C" w:rsidRPr="00B7364B" w:rsidRDefault="00BA172C" w:rsidP="00B95821">
            <w:pPr>
              <w:ind w:left="34"/>
              <w:jc w:val="center"/>
              <w:rPr>
                <w:rFonts w:eastAsia="Calibri" w:cs="Arial"/>
                <w:sz w:val="20"/>
                <w:szCs w:val="20"/>
              </w:rPr>
            </w:pPr>
            <w:r w:rsidRPr="00B7364B">
              <w:rPr>
                <w:rFonts w:eastAsia="Calibri" w:cs="Arial"/>
                <w:sz w:val="20"/>
                <w:szCs w:val="20"/>
              </w:rPr>
              <w:t>$144</w:t>
            </w:r>
          </w:p>
        </w:tc>
        <w:tc>
          <w:tcPr>
            <w:tcW w:w="1985" w:type="dxa"/>
            <w:vAlign w:val="center"/>
          </w:tcPr>
          <w:p w14:paraId="286412A0" w14:textId="77777777" w:rsidR="00BA172C" w:rsidRPr="00B7364B" w:rsidRDefault="00BA172C" w:rsidP="00B95821">
            <w:pPr>
              <w:ind w:left="34"/>
              <w:jc w:val="center"/>
              <w:rPr>
                <w:rFonts w:eastAsia="Calibri" w:cs="Arial"/>
                <w:sz w:val="20"/>
                <w:szCs w:val="20"/>
              </w:rPr>
            </w:pPr>
            <w:r w:rsidRPr="00B7364B">
              <w:rPr>
                <w:rFonts w:eastAsia="Calibri" w:cs="Arial"/>
                <w:sz w:val="20"/>
                <w:szCs w:val="20"/>
              </w:rPr>
              <w:t>$192</w:t>
            </w:r>
          </w:p>
        </w:tc>
        <w:tc>
          <w:tcPr>
            <w:tcW w:w="2126" w:type="dxa"/>
            <w:vAlign w:val="center"/>
          </w:tcPr>
          <w:p w14:paraId="222B56B3" w14:textId="77777777" w:rsidR="00BA172C" w:rsidRPr="00B7364B" w:rsidRDefault="00BA172C" w:rsidP="00B95821">
            <w:pPr>
              <w:ind w:left="34"/>
              <w:jc w:val="center"/>
              <w:rPr>
                <w:rFonts w:eastAsia="Calibri" w:cs="Arial"/>
                <w:sz w:val="20"/>
                <w:szCs w:val="20"/>
              </w:rPr>
            </w:pPr>
            <w:r w:rsidRPr="00B7364B">
              <w:rPr>
                <w:rFonts w:eastAsia="Calibri" w:cs="Arial"/>
                <w:sz w:val="20"/>
                <w:szCs w:val="20"/>
              </w:rPr>
              <w:t>$240</w:t>
            </w:r>
          </w:p>
        </w:tc>
      </w:tr>
    </w:tbl>
    <w:p w14:paraId="53DB8F6A" w14:textId="77777777" w:rsidR="00BA172C" w:rsidRPr="00B7364B" w:rsidRDefault="00BA172C" w:rsidP="00BA172C">
      <w:pPr>
        <w:tabs>
          <w:tab w:val="left" w:pos="1701"/>
        </w:tabs>
        <w:spacing w:before="120" w:after="120"/>
        <w:ind w:left="1448"/>
        <w:rPr>
          <w:rFonts w:eastAsia="Times New Roman" w:cs="Arial"/>
          <w:sz w:val="20"/>
          <w:szCs w:val="20"/>
          <w:lang w:val="en-AU"/>
        </w:rPr>
      </w:pPr>
    </w:p>
    <w:p w14:paraId="2919A5C2" w14:textId="77777777" w:rsidR="00BA172C" w:rsidRPr="00B7364B" w:rsidRDefault="00BA172C" w:rsidP="00BA172C">
      <w:pPr>
        <w:numPr>
          <w:ilvl w:val="6"/>
          <w:numId w:val="1"/>
        </w:numPr>
        <w:spacing w:after="200"/>
        <w:ind w:left="1440"/>
        <w:outlineLvl w:val="6"/>
        <w:rPr>
          <w:rFonts w:eastAsia="Times New Roman" w:cs="Arial"/>
          <w:sz w:val="20"/>
          <w:szCs w:val="20"/>
          <w:lang w:val="en-AU"/>
        </w:rPr>
      </w:pPr>
      <w:r w:rsidRPr="00B7364B">
        <w:rPr>
          <w:rFonts w:eastAsia="Times New Roman" w:cs="Arial"/>
          <w:sz w:val="20"/>
          <w:szCs w:val="20"/>
          <w:lang w:val="en-AU"/>
        </w:rPr>
        <w:t xml:space="preserve">If </w:t>
      </w:r>
      <w:r w:rsidRPr="00B7364B">
        <w:rPr>
          <w:rFonts w:eastAsia="Times New Roman" w:cs="Arial"/>
          <w:i/>
          <w:sz w:val="20"/>
          <w:szCs w:val="20"/>
          <w:lang w:val="en-AU"/>
        </w:rPr>
        <w:t>your</w:t>
      </w:r>
      <w:r w:rsidRPr="00B7364B">
        <w:rPr>
          <w:rFonts w:eastAsia="Times New Roman" w:cs="Arial"/>
          <w:sz w:val="20"/>
          <w:szCs w:val="20"/>
          <w:lang w:val="en-AU"/>
        </w:rPr>
        <w:t xml:space="preserve"> Business 12M SIM is </w:t>
      </w:r>
      <w:r w:rsidRPr="00B7364B">
        <w:rPr>
          <w:rFonts w:eastAsia="Times New Roman" w:cs="Arial"/>
          <w:i/>
          <w:sz w:val="20"/>
          <w:szCs w:val="20"/>
          <w:lang w:val="en-AU"/>
        </w:rPr>
        <w:t>cancelled</w:t>
      </w:r>
      <w:r w:rsidRPr="00B7364B">
        <w:rPr>
          <w:rFonts w:eastAsia="Times New Roman" w:cs="Arial"/>
          <w:sz w:val="20"/>
          <w:szCs w:val="20"/>
          <w:lang w:val="en-AU"/>
        </w:rPr>
        <w:t xml:space="preserve">, </w:t>
      </w:r>
      <w:r w:rsidRPr="00B7364B">
        <w:rPr>
          <w:rFonts w:eastAsia="Times New Roman" w:cs="Arial"/>
          <w:i/>
          <w:sz w:val="20"/>
          <w:szCs w:val="20"/>
          <w:lang w:val="en-AU"/>
        </w:rPr>
        <w:t xml:space="preserve">any </w:t>
      </w:r>
      <w:r w:rsidRPr="00B7364B">
        <w:rPr>
          <w:rFonts w:eastAsia="Times New Roman" w:cs="Arial"/>
          <w:sz w:val="20"/>
          <w:szCs w:val="20"/>
          <w:lang w:val="en-AU"/>
        </w:rPr>
        <w:t xml:space="preserve">Shared Data Plan(s) on the account may also be </w:t>
      </w:r>
      <w:r w:rsidRPr="00B7364B">
        <w:rPr>
          <w:rFonts w:eastAsia="Times New Roman" w:cs="Arial"/>
          <w:i/>
          <w:sz w:val="20"/>
          <w:szCs w:val="20"/>
          <w:lang w:val="en-AU"/>
        </w:rPr>
        <w:t>cancelled</w:t>
      </w:r>
      <w:r w:rsidRPr="00B7364B">
        <w:rPr>
          <w:rFonts w:eastAsia="Times New Roman" w:cs="Arial"/>
          <w:sz w:val="20"/>
          <w:szCs w:val="20"/>
          <w:lang w:val="en-AU"/>
        </w:rPr>
        <w:t xml:space="preserve">. There are no </w:t>
      </w:r>
      <w:r w:rsidRPr="00B7364B">
        <w:rPr>
          <w:rFonts w:eastAsia="Times New Roman" w:cs="Arial"/>
          <w:i/>
          <w:sz w:val="20"/>
          <w:szCs w:val="20"/>
          <w:lang w:val="en-AU"/>
        </w:rPr>
        <w:t>cancellation fees</w:t>
      </w:r>
      <w:r w:rsidRPr="00B7364B">
        <w:rPr>
          <w:rFonts w:eastAsia="Times New Roman" w:cs="Arial"/>
          <w:sz w:val="20"/>
          <w:szCs w:val="20"/>
          <w:lang w:val="en-AU"/>
        </w:rPr>
        <w:t xml:space="preserve"> for any Shared Data Plan, however if </w:t>
      </w:r>
      <w:r w:rsidRPr="00B7364B">
        <w:rPr>
          <w:rFonts w:eastAsia="Times New Roman" w:cs="Arial"/>
          <w:i/>
          <w:sz w:val="20"/>
          <w:szCs w:val="20"/>
          <w:lang w:val="en-AU"/>
        </w:rPr>
        <w:t>you</w:t>
      </w:r>
      <w:r w:rsidRPr="00B7364B">
        <w:rPr>
          <w:rFonts w:eastAsia="Times New Roman" w:cs="Arial"/>
          <w:sz w:val="20"/>
          <w:szCs w:val="20"/>
          <w:lang w:val="en-AU"/>
        </w:rPr>
        <w:t xml:space="preserve"> purchased a </w:t>
      </w:r>
      <w:r w:rsidRPr="00B7364B">
        <w:rPr>
          <w:rFonts w:eastAsia="Times New Roman" w:cs="Arial"/>
          <w:i/>
          <w:sz w:val="20"/>
          <w:szCs w:val="20"/>
          <w:lang w:val="en-AU"/>
        </w:rPr>
        <w:t>device</w:t>
      </w:r>
      <w:r w:rsidRPr="00B7364B">
        <w:rPr>
          <w:rFonts w:eastAsia="Times New Roman" w:cs="Arial"/>
          <w:sz w:val="20"/>
          <w:szCs w:val="20"/>
          <w:lang w:val="en-AU"/>
        </w:rPr>
        <w:t xml:space="preserve"> </w:t>
      </w:r>
      <w:r w:rsidRPr="00B7364B">
        <w:rPr>
          <w:rFonts w:eastAsia="Times New Roman" w:cs="Arial"/>
          <w:i/>
          <w:sz w:val="20"/>
          <w:szCs w:val="20"/>
          <w:lang w:val="en-AU"/>
        </w:rPr>
        <w:t>you</w:t>
      </w:r>
      <w:r w:rsidRPr="00B7364B">
        <w:rPr>
          <w:rFonts w:eastAsia="Times New Roman" w:cs="Arial"/>
          <w:sz w:val="20"/>
          <w:szCs w:val="20"/>
          <w:lang w:val="en-AU"/>
        </w:rPr>
        <w:t xml:space="preserve"> need to pay the sum of any remaining </w:t>
      </w:r>
      <w:r w:rsidRPr="00B7364B">
        <w:rPr>
          <w:rFonts w:eastAsia="Times New Roman" w:cs="Arial"/>
          <w:i/>
          <w:sz w:val="20"/>
          <w:szCs w:val="20"/>
          <w:lang w:val="en-AU"/>
        </w:rPr>
        <w:t xml:space="preserve">equipment charges </w:t>
      </w:r>
      <w:r w:rsidRPr="00B7364B">
        <w:rPr>
          <w:rFonts w:eastAsia="Times New Roman" w:cs="Arial"/>
          <w:sz w:val="20"/>
          <w:szCs w:val="20"/>
          <w:lang w:val="en-AU"/>
        </w:rPr>
        <w:t xml:space="preserve">owing on </w:t>
      </w:r>
      <w:r w:rsidRPr="00B7364B">
        <w:rPr>
          <w:rFonts w:eastAsia="Times New Roman" w:cs="Arial"/>
          <w:i/>
          <w:sz w:val="20"/>
          <w:szCs w:val="20"/>
          <w:lang w:val="en-AU"/>
        </w:rPr>
        <w:t xml:space="preserve">your device </w:t>
      </w:r>
      <w:r w:rsidRPr="00B7364B">
        <w:rPr>
          <w:rFonts w:eastAsia="Times New Roman" w:cs="Arial"/>
          <w:sz w:val="20"/>
          <w:szCs w:val="20"/>
          <w:lang w:val="en-AU"/>
        </w:rPr>
        <w:t xml:space="preserve">under the </w:t>
      </w:r>
      <w:r w:rsidRPr="00B7364B">
        <w:rPr>
          <w:rFonts w:eastAsia="Times New Roman" w:cs="Arial"/>
          <w:i/>
          <w:sz w:val="20"/>
          <w:szCs w:val="20"/>
          <w:lang w:val="en-AU"/>
        </w:rPr>
        <w:t xml:space="preserve">mobile equipment payment plan </w:t>
      </w:r>
      <w:r w:rsidRPr="00B7364B">
        <w:rPr>
          <w:rFonts w:eastAsia="Times New Roman" w:cs="Arial"/>
          <w:sz w:val="20"/>
          <w:szCs w:val="20"/>
          <w:lang w:val="en-AU"/>
        </w:rPr>
        <w:t xml:space="preserve">(see </w:t>
      </w:r>
      <w:hyperlink r:id="rId794" w:history="1">
        <w:r w:rsidRPr="00B7364B">
          <w:rPr>
            <w:rFonts w:eastAsia="Times New Roman" w:cs="Arial"/>
            <w:i/>
            <w:color w:val="13607C"/>
            <w:sz w:val="18"/>
            <w:szCs w:val="20"/>
            <w:u w:val="single"/>
            <w:lang w:val="en-AU"/>
          </w:rPr>
          <w:t>Appendix D</w:t>
        </w:r>
        <w:r w:rsidRPr="00B7364B">
          <w:rPr>
            <w:rFonts w:eastAsia="Times New Roman" w:cs="Arial"/>
            <w:color w:val="13607C"/>
            <w:sz w:val="18"/>
            <w:szCs w:val="20"/>
            <w:u w:val="single"/>
            <w:lang w:val="en-AU"/>
          </w:rPr>
          <w:t>).</w:t>
        </w:r>
      </w:hyperlink>
    </w:p>
    <w:p w14:paraId="57F8CB8E" w14:textId="77777777" w:rsidR="00BA172C" w:rsidRPr="00B7364B" w:rsidRDefault="00BA172C" w:rsidP="00BA172C">
      <w:pPr>
        <w:numPr>
          <w:ilvl w:val="6"/>
          <w:numId w:val="1"/>
        </w:numPr>
        <w:spacing w:after="200"/>
        <w:ind w:left="1440"/>
        <w:outlineLvl w:val="6"/>
        <w:rPr>
          <w:rFonts w:eastAsia="Times New Roman" w:cs="Arial"/>
          <w:sz w:val="20"/>
          <w:szCs w:val="20"/>
          <w:lang w:val="en-AU"/>
        </w:rPr>
      </w:pPr>
      <w:r w:rsidRPr="00B7364B">
        <w:rPr>
          <w:rFonts w:eastAsia="Times New Roman" w:cs="Arial"/>
          <w:sz w:val="20"/>
          <w:szCs w:val="20"/>
          <w:lang w:val="en-AU"/>
        </w:rPr>
        <w:t xml:space="preserve">If any Shared Data Plan is not </w:t>
      </w:r>
      <w:r w:rsidRPr="00B7364B">
        <w:rPr>
          <w:rFonts w:eastAsia="Times New Roman" w:cs="Arial"/>
          <w:i/>
          <w:sz w:val="20"/>
          <w:szCs w:val="20"/>
          <w:lang w:val="en-AU"/>
        </w:rPr>
        <w:t>cancelled</w:t>
      </w:r>
      <w:r w:rsidRPr="00B7364B">
        <w:rPr>
          <w:rFonts w:eastAsia="Times New Roman" w:cs="Arial"/>
          <w:sz w:val="20"/>
          <w:szCs w:val="20"/>
          <w:lang w:val="en-AU"/>
        </w:rPr>
        <w:t xml:space="preserve">, </w:t>
      </w:r>
      <w:r w:rsidRPr="00B7364B">
        <w:rPr>
          <w:rFonts w:eastAsia="Times New Roman" w:cs="Arial"/>
          <w:i/>
          <w:sz w:val="20"/>
          <w:szCs w:val="20"/>
          <w:lang w:val="en-AU"/>
        </w:rPr>
        <w:t>you</w:t>
      </w:r>
      <w:r w:rsidRPr="00B7364B">
        <w:rPr>
          <w:rFonts w:eastAsia="Times New Roman" w:cs="Arial"/>
          <w:sz w:val="20"/>
          <w:szCs w:val="20"/>
          <w:lang w:val="en-AU"/>
        </w:rPr>
        <w:t xml:space="preserve"> will be charged $10 per 1GB within Australia, up to 150GB (per account) in a billing month. </w:t>
      </w:r>
      <w:r w:rsidRPr="00B7364B">
        <w:rPr>
          <w:rFonts w:eastAsia="Times New Roman" w:cs="Arial"/>
          <w:i/>
          <w:sz w:val="20"/>
          <w:szCs w:val="20"/>
          <w:lang w:val="en-AU"/>
        </w:rPr>
        <w:t>Your</w:t>
      </w:r>
      <w:r w:rsidRPr="00B7364B">
        <w:rPr>
          <w:rFonts w:eastAsia="Times New Roman" w:cs="Arial"/>
          <w:sz w:val="20"/>
          <w:szCs w:val="20"/>
          <w:lang w:val="en-AU"/>
        </w:rPr>
        <w:t xml:space="preserve"> </w:t>
      </w:r>
      <w:r w:rsidRPr="00B7364B">
        <w:rPr>
          <w:rFonts w:eastAsia="Times New Roman" w:cs="Arial"/>
          <w:i/>
          <w:sz w:val="20"/>
          <w:szCs w:val="20"/>
          <w:lang w:val="en-AU"/>
        </w:rPr>
        <w:t>service/s</w:t>
      </w:r>
      <w:r w:rsidRPr="00B7364B">
        <w:rPr>
          <w:rFonts w:eastAsia="Times New Roman" w:cs="Arial"/>
          <w:sz w:val="20"/>
          <w:szCs w:val="20"/>
          <w:lang w:val="en-AU"/>
        </w:rPr>
        <w:t xml:space="preserve"> may then be restricted or </w:t>
      </w:r>
      <w:r w:rsidRPr="00B7364B">
        <w:rPr>
          <w:rFonts w:eastAsia="Times New Roman" w:cs="Arial"/>
          <w:i/>
          <w:sz w:val="20"/>
          <w:szCs w:val="20"/>
          <w:lang w:val="en-AU"/>
        </w:rPr>
        <w:t>we</w:t>
      </w:r>
      <w:r w:rsidRPr="00B7364B">
        <w:rPr>
          <w:rFonts w:eastAsia="Times New Roman" w:cs="Arial"/>
          <w:sz w:val="20"/>
          <w:szCs w:val="20"/>
          <w:lang w:val="en-AU"/>
        </w:rPr>
        <w:t xml:space="preserve"> may continue to charge </w:t>
      </w:r>
      <w:r w:rsidRPr="00B7364B">
        <w:rPr>
          <w:rFonts w:eastAsia="Times New Roman" w:cs="Arial"/>
          <w:i/>
          <w:sz w:val="20"/>
          <w:szCs w:val="20"/>
          <w:lang w:val="en-AU"/>
        </w:rPr>
        <w:t>you</w:t>
      </w:r>
      <w:r w:rsidRPr="00B7364B">
        <w:rPr>
          <w:rFonts w:eastAsia="Times New Roman" w:cs="Arial"/>
          <w:sz w:val="20"/>
          <w:szCs w:val="20"/>
          <w:lang w:val="en-AU"/>
        </w:rPr>
        <w:t xml:space="preserve"> at these rates.</w:t>
      </w:r>
      <w:r w:rsidR="00E85FA3">
        <w:rPr>
          <w:rFonts w:eastAsia="Times New Roman" w:cs="Arial"/>
          <w:sz w:val="20"/>
          <w:szCs w:val="20"/>
          <w:lang w:val="en-AU"/>
        </w:rPr>
        <w:br/>
      </w:r>
    </w:p>
    <w:p w14:paraId="7EA5FCBF" w14:textId="77777777" w:rsidR="00BA172C" w:rsidRPr="00B7364B" w:rsidRDefault="00BA172C" w:rsidP="00BA172C">
      <w:pPr>
        <w:tabs>
          <w:tab w:val="left" w:pos="1701"/>
        </w:tabs>
        <w:spacing w:before="120" w:after="120"/>
        <w:ind w:left="1276"/>
        <w:rPr>
          <w:rFonts w:eastAsia="Times New Roman" w:cs="Arial"/>
          <w:sz w:val="20"/>
          <w:szCs w:val="20"/>
          <w:lang w:val="en-AU"/>
        </w:rPr>
      </w:pPr>
    </w:p>
    <w:p w14:paraId="40DE1662" w14:textId="77777777" w:rsidR="00BA172C" w:rsidRPr="0064594C" w:rsidRDefault="00BA172C" w:rsidP="00BA172C">
      <w:pPr>
        <w:pStyle w:val="Heading4"/>
        <w:rPr>
          <w:rFonts w:cs="Arial"/>
          <w:szCs w:val="32"/>
        </w:rPr>
      </w:pPr>
      <w:bookmarkStart w:id="1818" w:name="_Toc479674733"/>
      <w:bookmarkStart w:id="1819" w:name="_Toc509314767"/>
      <w:bookmarkStart w:id="1820" w:name="_Toc62644701"/>
      <w:r w:rsidRPr="0064594C">
        <w:rPr>
          <w:rFonts w:cs="Arial"/>
          <w:caps/>
          <w:szCs w:val="32"/>
        </w:rPr>
        <w:t>$130 &amp; $160 MY PLAN Business (March 2017)</w:t>
      </w:r>
      <w:bookmarkEnd w:id="1818"/>
      <w:bookmarkEnd w:id="1819"/>
      <w:bookmarkEnd w:id="1820"/>
    </w:p>
    <w:p w14:paraId="230D9621" w14:textId="77777777" w:rsidR="00BA172C" w:rsidRPr="00B7364B" w:rsidRDefault="00BA172C" w:rsidP="00BA172C">
      <w:pPr>
        <w:tabs>
          <w:tab w:val="left" w:pos="1701"/>
        </w:tabs>
        <w:ind w:left="426"/>
        <w:rPr>
          <w:rFonts w:cs="Arial"/>
          <w:sz w:val="20"/>
          <w:szCs w:val="20"/>
        </w:rPr>
      </w:pPr>
      <w:r w:rsidRPr="00B7364B">
        <w:rPr>
          <w:rFonts w:cs="Arial"/>
          <w:sz w:val="20"/>
          <w:szCs w:val="20"/>
        </w:rPr>
        <w:t xml:space="preserve">This section relates to the following plans. </w:t>
      </w:r>
      <w:r w:rsidRPr="00B7364B">
        <w:rPr>
          <w:rFonts w:cs="Arial"/>
          <w:i/>
          <w:sz w:val="20"/>
          <w:szCs w:val="20"/>
        </w:rPr>
        <w:t>You</w:t>
      </w:r>
      <w:r w:rsidRPr="00B7364B">
        <w:rPr>
          <w:rFonts w:cs="Arial"/>
          <w:sz w:val="20"/>
          <w:szCs w:val="20"/>
        </w:rPr>
        <w:t xml:space="preserve"> can find </w:t>
      </w:r>
      <w:r w:rsidRPr="00B7364B">
        <w:rPr>
          <w:rFonts w:cs="Arial"/>
          <w:i/>
          <w:sz w:val="20"/>
          <w:szCs w:val="20"/>
        </w:rPr>
        <w:t>your</w:t>
      </w:r>
      <w:r w:rsidRPr="00B7364B">
        <w:rPr>
          <w:rFonts w:cs="Arial"/>
          <w:sz w:val="20"/>
          <w:szCs w:val="20"/>
        </w:rPr>
        <w:t xml:space="preserve"> Plan ID on </w:t>
      </w:r>
      <w:r w:rsidRPr="00B7364B">
        <w:rPr>
          <w:rFonts w:cs="Arial"/>
          <w:i/>
          <w:sz w:val="20"/>
          <w:szCs w:val="20"/>
        </w:rPr>
        <w:t>your</w:t>
      </w:r>
      <w:r w:rsidRPr="00B7364B">
        <w:rPr>
          <w:rFonts w:cs="Arial"/>
          <w:sz w:val="20"/>
          <w:szCs w:val="20"/>
        </w:rPr>
        <w:t xml:space="preserve"> bill under the Mobile Number Summary section: </w:t>
      </w:r>
    </w:p>
    <w:p w14:paraId="5B453260" w14:textId="77777777" w:rsidR="00BA172C" w:rsidRPr="00B7364B" w:rsidRDefault="00BA172C" w:rsidP="00BA172C">
      <w:pPr>
        <w:tabs>
          <w:tab w:val="left" w:pos="1701"/>
        </w:tabs>
        <w:ind w:left="426"/>
        <w:rPr>
          <w:rFonts w:cs="Arial"/>
          <w:sz w:val="20"/>
          <w:szCs w:val="20"/>
        </w:rPr>
      </w:pPr>
    </w:p>
    <w:tbl>
      <w:tblPr>
        <w:tblW w:w="963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1983"/>
        <w:gridCol w:w="4678"/>
      </w:tblGrid>
      <w:tr w:rsidR="00BA172C" w:rsidRPr="00B7364B" w14:paraId="6E728E47" w14:textId="77777777" w:rsidTr="00B95821">
        <w:tc>
          <w:tcPr>
            <w:tcW w:w="2978" w:type="dxa"/>
            <w:shd w:val="clear" w:color="auto" w:fill="auto"/>
          </w:tcPr>
          <w:p w14:paraId="08AA642C" w14:textId="77777777" w:rsidR="00BA172C" w:rsidRPr="00B7364B" w:rsidRDefault="00BA172C" w:rsidP="00B95821">
            <w:pPr>
              <w:tabs>
                <w:tab w:val="left" w:pos="1701"/>
              </w:tabs>
              <w:jc w:val="center"/>
              <w:rPr>
                <w:rFonts w:eastAsia="Calibri" w:cs="Arial"/>
                <w:b/>
                <w:sz w:val="20"/>
                <w:szCs w:val="20"/>
              </w:rPr>
            </w:pPr>
            <w:r w:rsidRPr="00B7364B">
              <w:rPr>
                <w:rFonts w:eastAsia="Calibri" w:cs="Arial"/>
                <w:b/>
                <w:sz w:val="20"/>
                <w:szCs w:val="20"/>
              </w:rPr>
              <w:t>Plan</w:t>
            </w:r>
          </w:p>
        </w:tc>
        <w:tc>
          <w:tcPr>
            <w:tcW w:w="1983" w:type="dxa"/>
            <w:shd w:val="clear" w:color="auto" w:fill="auto"/>
          </w:tcPr>
          <w:p w14:paraId="0BD1908E" w14:textId="77777777" w:rsidR="00BA172C" w:rsidRPr="00B7364B" w:rsidRDefault="00BA172C" w:rsidP="00B95821">
            <w:pPr>
              <w:tabs>
                <w:tab w:val="left" w:pos="1701"/>
              </w:tabs>
              <w:jc w:val="center"/>
              <w:rPr>
                <w:rFonts w:eastAsia="Calibri" w:cs="Arial"/>
                <w:b/>
                <w:sz w:val="20"/>
                <w:szCs w:val="20"/>
              </w:rPr>
            </w:pPr>
            <w:r w:rsidRPr="00B7364B">
              <w:rPr>
                <w:rFonts w:eastAsia="Calibri" w:cs="Arial"/>
                <w:b/>
                <w:sz w:val="20"/>
                <w:szCs w:val="20"/>
              </w:rPr>
              <w:t>Plan ID</w:t>
            </w:r>
          </w:p>
        </w:tc>
        <w:tc>
          <w:tcPr>
            <w:tcW w:w="4678" w:type="dxa"/>
            <w:shd w:val="clear" w:color="auto" w:fill="auto"/>
          </w:tcPr>
          <w:p w14:paraId="01A33D47" w14:textId="77777777" w:rsidR="00BA172C" w:rsidRPr="00B7364B" w:rsidRDefault="00BA172C" w:rsidP="00B95821">
            <w:pPr>
              <w:tabs>
                <w:tab w:val="left" w:pos="1701"/>
              </w:tabs>
              <w:jc w:val="center"/>
              <w:rPr>
                <w:rFonts w:eastAsia="Calibri" w:cs="Arial"/>
                <w:b/>
                <w:sz w:val="20"/>
                <w:szCs w:val="20"/>
              </w:rPr>
            </w:pPr>
            <w:r w:rsidRPr="00B7364B">
              <w:rPr>
                <w:rFonts w:eastAsia="Calibri" w:cs="Arial"/>
                <w:b/>
                <w:sz w:val="20"/>
                <w:szCs w:val="20"/>
              </w:rPr>
              <w:t>Available</w:t>
            </w:r>
          </w:p>
        </w:tc>
      </w:tr>
      <w:tr w:rsidR="00BA172C" w:rsidRPr="00B7364B" w14:paraId="1CAA3916" w14:textId="77777777" w:rsidTr="00B95821">
        <w:tc>
          <w:tcPr>
            <w:tcW w:w="2978" w:type="dxa"/>
            <w:shd w:val="clear" w:color="auto" w:fill="auto"/>
          </w:tcPr>
          <w:p w14:paraId="3BC9308E" w14:textId="77777777" w:rsidR="00BA172C" w:rsidRPr="00B7364B" w:rsidRDefault="00BA172C" w:rsidP="00B95821">
            <w:pPr>
              <w:tabs>
                <w:tab w:val="left" w:pos="1701"/>
              </w:tabs>
              <w:spacing w:before="120" w:after="120"/>
              <w:jc w:val="center"/>
              <w:rPr>
                <w:rFonts w:eastAsia="Calibri" w:cs="Arial"/>
                <w:sz w:val="20"/>
                <w:szCs w:val="20"/>
              </w:rPr>
            </w:pPr>
            <w:r w:rsidRPr="00B7364B">
              <w:rPr>
                <w:rFonts w:cs="Arial"/>
                <w:sz w:val="20"/>
                <w:szCs w:val="20"/>
              </w:rPr>
              <w:t>$130 My Plan Business</w:t>
            </w:r>
          </w:p>
        </w:tc>
        <w:tc>
          <w:tcPr>
            <w:tcW w:w="1983" w:type="dxa"/>
            <w:shd w:val="clear" w:color="auto" w:fill="auto"/>
          </w:tcPr>
          <w:p w14:paraId="30589938" w14:textId="77777777" w:rsidR="00BA172C" w:rsidRPr="00B7364B" w:rsidRDefault="00BA172C" w:rsidP="00B95821">
            <w:pPr>
              <w:spacing w:before="120" w:after="120"/>
              <w:jc w:val="center"/>
              <w:rPr>
                <w:rFonts w:eastAsia="Calibri" w:cs="Arial"/>
                <w:sz w:val="20"/>
                <w:szCs w:val="20"/>
              </w:rPr>
            </w:pPr>
            <w:r w:rsidRPr="00B7364B">
              <w:rPr>
                <w:rFonts w:cs="Arial"/>
                <w:sz w:val="20"/>
                <w:szCs w:val="20"/>
              </w:rPr>
              <w:t>800656, 10595154</w:t>
            </w:r>
          </w:p>
        </w:tc>
        <w:tc>
          <w:tcPr>
            <w:tcW w:w="4678" w:type="dxa"/>
            <w:shd w:val="clear" w:color="auto" w:fill="auto"/>
          </w:tcPr>
          <w:p w14:paraId="51FAC6D2" w14:textId="77777777" w:rsidR="00BA172C" w:rsidRPr="00B7364B" w:rsidRDefault="00BA172C" w:rsidP="00B95821">
            <w:pPr>
              <w:spacing w:before="120" w:after="120"/>
              <w:jc w:val="center"/>
              <w:rPr>
                <w:rFonts w:eastAsia="Calibri" w:cs="Arial"/>
                <w:sz w:val="20"/>
                <w:szCs w:val="20"/>
              </w:rPr>
            </w:pPr>
            <w:r w:rsidRPr="00B7364B">
              <w:rPr>
                <w:rFonts w:eastAsia="Calibri" w:cs="Arial"/>
                <w:sz w:val="20"/>
                <w:szCs w:val="20"/>
              </w:rPr>
              <w:t>27 March 2017</w:t>
            </w:r>
            <w:r w:rsidR="00E85FA3" w:rsidRPr="00E85FA3">
              <w:rPr>
                <w:sz w:val="20"/>
              </w:rPr>
              <w:t xml:space="preserve"> – 30 </w:t>
            </w:r>
            <w:r w:rsidR="00343D1D">
              <w:rPr>
                <w:sz w:val="20"/>
              </w:rPr>
              <w:t>June</w:t>
            </w:r>
            <w:r w:rsidR="00E85FA3" w:rsidRPr="00E85FA3">
              <w:rPr>
                <w:sz w:val="20"/>
              </w:rPr>
              <w:t xml:space="preserve"> 2018</w:t>
            </w:r>
          </w:p>
        </w:tc>
      </w:tr>
      <w:tr w:rsidR="00BA172C" w:rsidRPr="00B7364B" w14:paraId="44B0DBF4" w14:textId="77777777" w:rsidTr="00B95821">
        <w:tc>
          <w:tcPr>
            <w:tcW w:w="2978" w:type="dxa"/>
            <w:shd w:val="clear" w:color="auto" w:fill="auto"/>
          </w:tcPr>
          <w:p w14:paraId="495CCFD1" w14:textId="77777777" w:rsidR="00BA172C" w:rsidRPr="00B7364B" w:rsidRDefault="00BA172C" w:rsidP="00B95821">
            <w:pPr>
              <w:tabs>
                <w:tab w:val="left" w:pos="1701"/>
              </w:tabs>
              <w:spacing w:before="120" w:after="120"/>
              <w:jc w:val="center"/>
              <w:rPr>
                <w:rFonts w:cs="Arial"/>
                <w:sz w:val="20"/>
                <w:szCs w:val="20"/>
              </w:rPr>
            </w:pPr>
            <w:r w:rsidRPr="00B7364B">
              <w:rPr>
                <w:rFonts w:cs="Arial"/>
                <w:sz w:val="20"/>
                <w:szCs w:val="20"/>
              </w:rPr>
              <w:t xml:space="preserve">$160 MY Plan Business </w:t>
            </w:r>
          </w:p>
        </w:tc>
        <w:tc>
          <w:tcPr>
            <w:tcW w:w="1983" w:type="dxa"/>
            <w:shd w:val="clear" w:color="auto" w:fill="auto"/>
          </w:tcPr>
          <w:p w14:paraId="089D6211" w14:textId="77777777" w:rsidR="00BA172C" w:rsidRPr="00B7364B" w:rsidDel="002E191F" w:rsidRDefault="00BA172C" w:rsidP="00B95821">
            <w:pPr>
              <w:spacing w:before="120" w:after="120"/>
              <w:jc w:val="center"/>
              <w:rPr>
                <w:rFonts w:cs="Arial"/>
                <w:sz w:val="20"/>
                <w:szCs w:val="20"/>
              </w:rPr>
            </w:pPr>
            <w:r w:rsidRPr="00B7364B">
              <w:rPr>
                <w:rFonts w:cs="Arial"/>
                <w:sz w:val="20"/>
                <w:szCs w:val="20"/>
              </w:rPr>
              <w:t>800648, 10595174</w:t>
            </w:r>
          </w:p>
        </w:tc>
        <w:tc>
          <w:tcPr>
            <w:tcW w:w="4678" w:type="dxa"/>
            <w:shd w:val="clear" w:color="auto" w:fill="auto"/>
          </w:tcPr>
          <w:p w14:paraId="18C7D130" w14:textId="77777777" w:rsidR="00BA172C" w:rsidRPr="00B7364B" w:rsidRDefault="00BA172C" w:rsidP="00B95821">
            <w:pPr>
              <w:spacing w:before="120" w:after="120"/>
              <w:jc w:val="center"/>
              <w:rPr>
                <w:rFonts w:eastAsia="Calibri" w:cs="Arial"/>
                <w:sz w:val="20"/>
                <w:szCs w:val="20"/>
              </w:rPr>
            </w:pPr>
            <w:r w:rsidRPr="00B7364B">
              <w:rPr>
                <w:rFonts w:cs="Arial"/>
                <w:sz w:val="20"/>
                <w:szCs w:val="20"/>
              </w:rPr>
              <w:t>27 March 2017</w:t>
            </w:r>
            <w:r w:rsidR="00E85FA3" w:rsidRPr="00E85FA3">
              <w:rPr>
                <w:sz w:val="20"/>
              </w:rPr>
              <w:t xml:space="preserve"> – 30</w:t>
            </w:r>
            <w:r w:rsidR="00E8487A">
              <w:rPr>
                <w:sz w:val="20"/>
              </w:rPr>
              <w:t xml:space="preserve"> June</w:t>
            </w:r>
            <w:r w:rsidR="00E85FA3" w:rsidRPr="00E85FA3">
              <w:rPr>
                <w:sz w:val="20"/>
              </w:rPr>
              <w:t xml:space="preserve"> 2018</w:t>
            </w:r>
          </w:p>
        </w:tc>
      </w:tr>
    </w:tbl>
    <w:p w14:paraId="4FF2FE59" w14:textId="77777777" w:rsidR="00BA172C" w:rsidRPr="0064594C" w:rsidRDefault="00BA172C" w:rsidP="00BA172C">
      <w:pPr>
        <w:keepNext/>
        <w:spacing w:before="120" w:after="120"/>
        <w:rPr>
          <w:rFonts w:eastAsia="Times New Roman"/>
          <w:bCs/>
          <w:sz w:val="20"/>
          <w:szCs w:val="22"/>
        </w:rPr>
      </w:pPr>
    </w:p>
    <w:p w14:paraId="38148CF3" w14:textId="77777777" w:rsidR="00BA172C" w:rsidRPr="00B7364B" w:rsidRDefault="00BA172C" w:rsidP="00BA172C">
      <w:pPr>
        <w:numPr>
          <w:ilvl w:val="5"/>
          <w:numId w:val="1"/>
        </w:numPr>
        <w:tabs>
          <w:tab w:val="num" w:pos="964"/>
        </w:tabs>
        <w:spacing w:after="200"/>
        <w:outlineLvl w:val="5"/>
        <w:rPr>
          <w:rFonts w:eastAsia="Times New Roman" w:cs="Arial"/>
          <w:sz w:val="20"/>
          <w:szCs w:val="20"/>
          <w:lang w:val="en-AU"/>
        </w:rPr>
      </w:pPr>
      <w:r w:rsidRPr="0064594C">
        <w:rPr>
          <w:rFonts w:eastAsia="Times New Roman"/>
          <w:bCs/>
          <w:sz w:val="20"/>
          <w:szCs w:val="22"/>
        </w:rPr>
        <w:t>Eligibility</w:t>
      </w:r>
      <w:r w:rsidRPr="00B7364B">
        <w:rPr>
          <w:rFonts w:eastAsia="Times New Roman" w:cs="Arial"/>
          <w:sz w:val="20"/>
          <w:szCs w:val="20"/>
          <w:lang w:val="en-AU"/>
        </w:rPr>
        <w:t xml:space="preserve"> </w:t>
      </w:r>
    </w:p>
    <w:p w14:paraId="07702058" w14:textId="77777777" w:rsidR="00BA172C" w:rsidRPr="00B7364B" w:rsidRDefault="00BA172C" w:rsidP="00BA172C">
      <w:pPr>
        <w:tabs>
          <w:tab w:val="left" w:pos="1701"/>
        </w:tabs>
        <w:spacing w:before="120" w:after="120"/>
        <w:ind w:left="709"/>
        <w:rPr>
          <w:rFonts w:cs="Arial"/>
          <w:sz w:val="20"/>
          <w:szCs w:val="20"/>
        </w:rPr>
      </w:pPr>
      <w:r w:rsidRPr="00B7364B">
        <w:rPr>
          <w:rFonts w:cs="Arial"/>
          <w:sz w:val="20"/>
          <w:szCs w:val="20"/>
        </w:rPr>
        <w:t xml:space="preserve">The My Plan Business plans are available to new and existing mobile customers connecting to the </w:t>
      </w:r>
      <w:r w:rsidRPr="00B7364B">
        <w:rPr>
          <w:rFonts w:cs="Arial"/>
          <w:i/>
          <w:sz w:val="20"/>
          <w:szCs w:val="20"/>
        </w:rPr>
        <w:t xml:space="preserve">service </w:t>
      </w:r>
      <w:r w:rsidRPr="00B7364B">
        <w:rPr>
          <w:rFonts w:cs="Arial"/>
          <w:sz w:val="20"/>
          <w:szCs w:val="20"/>
        </w:rPr>
        <w:t xml:space="preserve">who pass Optus’ credit assessment. </w:t>
      </w:r>
    </w:p>
    <w:p w14:paraId="7395902E" w14:textId="77777777" w:rsidR="00BA172C" w:rsidRPr="00B7364B" w:rsidRDefault="00BA172C" w:rsidP="00BA172C">
      <w:pPr>
        <w:tabs>
          <w:tab w:val="left" w:pos="1701"/>
        </w:tabs>
        <w:spacing w:before="120" w:after="120"/>
        <w:ind w:left="709"/>
        <w:rPr>
          <w:rFonts w:cs="Arial"/>
          <w:sz w:val="20"/>
          <w:szCs w:val="20"/>
        </w:rPr>
      </w:pPr>
      <w:r w:rsidRPr="00B7364B">
        <w:rPr>
          <w:rFonts w:cs="Arial"/>
          <w:sz w:val="20"/>
          <w:szCs w:val="20"/>
        </w:rPr>
        <w:t>Optus Service Providers’ customers are not eligible to apply</w:t>
      </w:r>
      <w:r w:rsidRPr="00B7364B">
        <w:rPr>
          <w:rFonts w:cs="Arial"/>
          <w:snapToGrid w:val="0"/>
          <w:sz w:val="20"/>
          <w:szCs w:val="20"/>
        </w:rPr>
        <w:t>.</w:t>
      </w:r>
    </w:p>
    <w:p w14:paraId="4BC9281A" w14:textId="77777777" w:rsidR="00BA172C" w:rsidRPr="00B7364B" w:rsidRDefault="00BA172C" w:rsidP="00BA172C">
      <w:pPr>
        <w:tabs>
          <w:tab w:val="left" w:pos="1701"/>
        </w:tabs>
        <w:ind w:left="709"/>
        <w:rPr>
          <w:rFonts w:cs="Arial"/>
          <w:sz w:val="20"/>
          <w:szCs w:val="20"/>
        </w:rPr>
      </w:pPr>
      <w:r w:rsidRPr="00B7364B">
        <w:rPr>
          <w:rFonts w:cs="Arial"/>
          <w:sz w:val="20"/>
          <w:szCs w:val="20"/>
        </w:rPr>
        <w:lastRenderedPageBreak/>
        <w:t xml:space="preserve">These </w:t>
      </w:r>
      <w:r w:rsidRPr="00B7364B">
        <w:rPr>
          <w:rFonts w:cs="Arial"/>
          <w:i/>
          <w:sz w:val="20"/>
          <w:szCs w:val="20"/>
        </w:rPr>
        <w:t>plans</w:t>
      </w:r>
      <w:r w:rsidRPr="00B7364B">
        <w:rPr>
          <w:rFonts w:cs="Arial"/>
          <w:sz w:val="20"/>
          <w:szCs w:val="20"/>
        </w:rPr>
        <w:t xml:space="preserve"> aren’t compatible for data use with BlackBerry handsets on operating systems of 7.1 or earlier.</w:t>
      </w:r>
      <w:r w:rsidRPr="00B7364B">
        <w:rPr>
          <w:rFonts w:cs="Arial"/>
          <w:sz w:val="20"/>
          <w:szCs w:val="20"/>
        </w:rPr>
        <w:br/>
        <w:t xml:space="preserve">          </w:t>
      </w:r>
    </w:p>
    <w:p w14:paraId="7F143CCA" w14:textId="77777777" w:rsidR="00BA172C" w:rsidRPr="00B7364B" w:rsidRDefault="00BA172C" w:rsidP="00BA172C">
      <w:pPr>
        <w:numPr>
          <w:ilvl w:val="5"/>
          <w:numId w:val="1"/>
        </w:numPr>
        <w:spacing w:after="200"/>
        <w:outlineLvl w:val="5"/>
        <w:rPr>
          <w:rFonts w:eastAsia="Times New Roman" w:cs="Arial"/>
          <w:sz w:val="20"/>
          <w:szCs w:val="20"/>
          <w:lang w:val="en-AU"/>
        </w:rPr>
      </w:pPr>
      <w:r w:rsidRPr="00B7364B">
        <w:rPr>
          <w:rFonts w:eastAsia="Times New Roman" w:cs="Arial"/>
          <w:snapToGrid w:val="0"/>
          <w:sz w:val="20"/>
          <w:szCs w:val="20"/>
          <w:lang w:val="en-AU"/>
        </w:rPr>
        <w:t>Minimum Term</w:t>
      </w:r>
    </w:p>
    <w:p w14:paraId="466D1F4C" w14:textId="77777777" w:rsidR="00BA172C" w:rsidRPr="00B7364B" w:rsidRDefault="00BA172C" w:rsidP="00BA172C">
      <w:pPr>
        <w:tabs>
          <w:tab w:val="left" w:pos="1701"/>
        </w:tabs>
        <w:spacing w:before="120" w:after="120"/>
        <w:ind w:left="709"/>
        <w:rPr>
          <w:rFonts w:cs="Arial"/>
          <w:sz w:val="20"/>
          <w:szCs w:val="20"/>
        </w:rPr>
      </w:pPr>
      <w:r w:rsidRPr="00B7364B">
        <w:rPr>
          <w:rFonts w:cs="Arial"/>
          <w:sz w:val="20"/>
          <w:szCs w:val="20"/>
        </w:rPr>
        <w:t xml:space="preserve">These </w:t>
      </w:r>
      <w:r w:rsidRPr="00B7364B">
        <w:rPr>
          <w:rFonts w:cs="Arial"/>
          <w:i/>
          <w:sz w:val="20"/>
          <w:szCs w:val="20"/>
        </w:rPr>
        <w:t>plans</w:t>
      </w:r>
      <w:r w:rsidRPr="00B7364B">
        <w:rPr>
          <w:rFonts w:cs="Arial"/>
          <w:sz w:val="20"/>
          <w:szCs w:val="20"/>
        </w:rPr>
        <w:t xml:space="preserve"> have</w:t>
      </w:r>
      <w:r w:rsidRPr="00B7364B">
        <w:rPr>
          <w:rFonts w:cs="Arial"/>
          <w:i/>
          <w:sz w:val="20"/>
          <w:szCs w:val="20"/>
        </w:rPr>
        <w:t xml:space="preserve"> </w:t>
      </w:r>
      <w:r w:rsidRPr="00B7364B">
        <w:rPr>
          <w:rFonts w:cs="Arial"/>
          <w:sz w:val="20"/>
          <w:szCs w:val="20"/>
        </w:rPr>
        <w:t xml:space="preserve">a </w:t>
      </w:r>
      <w:r w:rsidRPr="00B7364B">
        <w:rPr>
          <w:rFonts w:cs="Arial"/>
          <w:i/>
          <w:sz w:val="20"/>
          <w:szCs w:val="20"/>
        </w:rPr>
        <w:t>fixed length agreement</w:t>
      </w:r>
      <w:r w:rsidRPr="00B7364B">
        <w:rPr>
          <w:rFonts w:cs="Arial"/>
          <w:sz w:val="20"/>
          <w:szCs w:val="20"/>
        </w:rPr>
        <w:t xml:space="preserve"> with a 24 month </w:t>
      </w:r>
      <w:r w:rsidRPr="00B7364B">
        <w:rPr>
          <w:rFonts w:cs="Arial"/>
          <w:i/>
          <w:sz w:val="20"/>
          <w:szCs w:val="20"/>
        </w:rPr>
        <w:t>minimum term.</w:t>
      </w:r>
    </w:p>
    <w:p w14:paraId="635681A5" w14:textId="77777777" w:rsidR="00BA172C" w:rsidRPr="0064594C" w:rsidRDefault="00BA172C" w:rsidP="00BA172C">
      <w:pPr>
        <w:numPr>
          <w:ilvl w:val="5"/>
          <w:numId w:val="1"/>
        </w:numPr>
        <w:spacing w:after="200"/>
        <w:outlineLvl w:val="5"/>
        <w:rPr>
          <w:rFonts w:eastAsia="Times New Roman" w:cs="Arial"/>
          <w:sz w:val="20"/>
          <w:szCs w:val="20"/>
          <w:lang w:val="en-AU"/>
        </w:rPr>
      </w:pPr>
      <w:r w:rsidRPr="0064594C">
        <w:rPr>
          <w:rFonts w:eastAsia="Times New Roman" w:cs="Arial"/>
          <w:sz w:val="20"/>
          <w:szCs w:val="20"/>
          <w:lang w:val="en-AU"/>
        </w:rPr>
        <w:t>What you have to pay us</w:t>
      </w:r>
    </w:p>
    <w:p w14:paraId="08B88B62" w14:textId="77777777" w:rsidR="00BA172C" w:rsidRPr="0064594C" w:rsidRDefault="00BA172C" w:rsidP="00BA172C">
      <w:pPr>
        <w:pStyle w:val="OptusH3"/>
        <w:numPr>
          <w:ilvl w:val="2"/>
          <w:numId w:val="61"/>
        </w:numPr>
        <w:tabs>
          <w:tab w:val="clear" w:pos="2127"/>
          <w:tab w:val="num" w:pos="1448"/>
          <w:tab w:val="left" w:pos="1701"/>
        </w:tabs>
        <w:ind w:left="1448" w:hanging="738"/>
        <w:rPr>
          <w:rFonts w:ascii="Arial" w:hAnsi="Arial" w:cs="Arial"/>
          <w:color w:val="13607C"/>
          <w:sz w:val="20"/>
          <w:u w:val="single"/>
        </w:rPr>
      </w:pPr>
      <w:r w:rsidRPr="0064594C">
        <w:rPr>
          <w:rFonts w:ascii="Arial" w:hAnsi="Arial" w:cs="Arial"/>
          <w:i/>
          <w:sz w:val="20"/>
        </w:rPr>
        <w:t>You</w:t>
      </w:r>
      <w:r w:rsidRPr="0064594C">
        <w:rPr>
          <w:rFonts w:ascii="Arial" w:hAnsi="Arial" w:cs="Arial"/>
          <w:sz w:val="20"/>
        </w:rPr>
        <w:t xml:space="preserve"> must pay </w:t>
      </w:r>
      <w:r w:rsidRPr="0064594C">
        <w:rPr>
          <w:rFonts w:ascii="Arial" w:hAnsi="Arial" w:cs="Arial"/>
          <w:i/>
          <w:sz w:val="20"/>
        </w:rPr>
        <w:t>us</w:t>
      </w:r>
      <w:r w:rsidRPr="0064594C">
        <w:rPr>
          <w:rFonts w:ascii="Arial" w:hAnsi="Arial" w:cs="Arial"/>
          <w:sz w:val="20"/>
        </w:rPr>
        <w:t xml:space="preserve"> for use of the </w:t>
      </w:r>
      <w:r w:rsidRPr="0064594C">
        <w:rPr>
          <w:rFonts w:ascii="Arial" w:hAnsi="Arial" w:cs="Arial"/>
          <w:i/>
          <w:sz w:val="20"/>
        </w:rPr>
        <w:t>service</w:t>
      </w:r>
      <w:r w:rsidRPr="0064594C">
        <w:rPr>
          <w:rFonts w:ascii="Arial" w:hAnsi="Arial" w:cs="Arial"/>
          <w:sz w:val="20"/>
        </w:rPr>
        <w:t xml:space="preserve"> at the rates set out in Section 1 of this </w:t>
      </w:r>
      <w:r w:rsidRPr="0064594C">
        <w:rPr>
          <w:rFonts w:ascii="Arial" w:hAnsi="Arial" w:cs="Arial"/>
          <w:i/>
          <w:sz w:val="20"/>
        </w:rPr>
        <w:t>standard pricing table</w:t>
      </w:r>
      <w:r w:rsidRPr="0064594C">
        <w:rPr>
          <w:rFonts w:ascii="Arial" w:hAnsi="Arial" w:cs="Arial"/>
          <w:sz w:val="20"/>
        </w:rPr>
        <w:t xml:space="preserve"> and for value added service features at the rates set out in </w:t>
      </w:r>
      <w:r w:rsidRPr="0064594C">
        <w:rPr>
          <w:rFonts w:ascii="Arial" w:hAnsi="Arial" w:cs="Arial"/>
          <w:i/>
          <w:color w:val="0000FF"/>
          <w:sz w:val="20"/>
          <w:u w:val="single"/>
        </w:rPr>
        <w:fldChar w:fldCharType="begin"/>
      </w:r>
      <w:r w:rsidRPr="0064594C">
        <w:rPr>
          <w:rFonts w:ascii="Arial" w:hAnsi="Arial" w:cs="Arial"/>
          <w:i/>
          <w:color w:val="0000FF"/>
          <w:sz w:val="20"/>
          <w:u w:val="single"/>
        </w:rPr>
        <w:instrText xml:space="preserve"> HYPERLINK "http://www.optus.com.au/content/dam/optus/appendix/Appendix%20Y/AppY.doc" </w:instrText>
      </w:r>
      <w:r w:rsidRPr="0064594C">
        <w:rPr>
          <w:rFonts w:ascii="Arial" w:hAnsi="Arial" w:cs="Arial"/>
          <w:i/>
          <w:color w:val="0000FF"/>
          <w:sz w:val="20"/>
          <w:u w:val="single"/>
        </w:rPr>
        <w:fldChar w:fldCharType="separate"/>
      </w:r>
      <w:r w:rsidRPr="0064594C">
        <w:rPr>
          <w:rFonts w:ascii="Arial" w:hAnsi="Arial" w:cs="Arial"/>
          <w:i/>
          <w:color w:val="13607C"/>
          <w:sz w:val="20"/>
          <w:u w:val="single"/>
        </w:rPr>
        <w:t>Appendix Y Value Added Service Features</w:t>
      </w:r>
      <w:r w:rsidRPr="0064594C">
        <w:rPr>
          <w:rFonts w:ascii="Arial" w:hAnsi="Arial" w:cs="Arial"/>
          <w:color w:val="13607C"/>
          <w:sz w:val="20"/>
          <w:u w:val="single"/>
        </w:rPr>
        <w:t xml:space="preserve">.  </w:t>
      </w:r>
    </w:p>
    <w:p w14:paraId="2AC7EC6B" w14:textId="77777777" w:rsidR="00BA172C" w:rsidRPr="0064594C" w:rsidRDefault="00BA172C" w:rsidP="00BA172C">
      <w:pPr>
        <w:numPr>
          <w:ilvl w:val="2"/>
          <w:numId w:val="27"/>
        </w:numPr>
        <w:tabs>
          <w:tab w:val="clear" w:pos="2127"/>
          <w:tab w:val="num" w:pos="1448"/>
          <w:tab w:val="left" w:pos="1701"/>
        </w:tabs>
        <w:spacing w:before="120" w:after="120"/>
        <w:ind w:left="1448" w:hanging="738"/>
        <w:rPr>
          <w:rFonts w:cs="Arial"/>
          <w:sz w:val="20"/>
          <w:szCs w:val="20"/>
        </w:rPr>
      </w:pPr>
      <w:r w:rsidRPr="0064594C">
        <w:rPr>
          <w:rFonts w:cs="Arial"/>
          <w:i/>
          <w:color w:val="0000FF"/>
          <w:sz w:val="20"/>
          <w:szCs w:val="20"/>
          <w:u w:val="single"/>
        </w:rPr>
        <w:fldChar w:fldCharType="end"/>
      </w:r>
      <w:r w:rsidRPr="0064594C">
        <w:rPr>
          <w:rFonts w:cs="Arial"/>
          <w:sz w:val="20"/>
          <w:szCs w:val="20"/>
        </w:rPr>
        <w:t>If there is a flagfall for a particular call type, the charge for these calls is the flagfall amount plus the relevant rate for the call multiplied by the duration of the call.</w:t>
      </w:r>
    </w:p>
    <w:p w14:paraId="52C59917" w14:textId="77777777" w:rsidR="00BA172C" w:rsidRPr="0064594C" w:rsidRDefault="00BA172C" w:rsidP="00BA172C">
      <w:pPr>
        <w:numPr>
          <w:ilvl w:val="2"/>
          <w:numId w:val="27"/>
        </w:numPr>
        <w:tabs>
          <w:tab w:val="clear" w:pos="2127"/>
          <w:tab w:val="num" w:pos="1448"/>
          <w:tab w:val="left" w:pos="1701"/>
        </w:tabs>
        <w:spacing w:before="120" w:after="120"/>
        <w:ind w:left="1448" w:hanging="738"/>
        <w:rPr>
          <w:rFonts w:cs="Arial"/>
          <w:b/>
          <w:sz w:val="20"/>
          <w:szCs w:val="20"/>
        </w:rPr>
      </w:pPr>
      <w:r w:rsidRPr="0064594C">
        <w:rPr>
          <w:rFonts w:cs="Arial"/>
          <w:b/>
          <w:sz w:val="20"/>
          <w:szCs w:val="20"/>
        </w:rPr>
        <w:t xml:space="preserve">Minimum Monthly Charge </w:t>
      </w:r>
    </w:p>
    <w:p w14:paraId="018EE77E" w14:textId="77777777" w:rsidR="00BA172C" w:rsidRPr="0064594C" w:rsidRDefault="00BA172C" w:rsidP="00BA172C">
      <w:pPr>
        <w:numPr>
          <w:ilvl w:val="3"/>
          <w:numId w:val="68"/>
        </w:numPr>
        <w:tabs>
          <w:tab w:val="num" w:pos="2127"/>
        </w:tabs>
        <w:spacing w:before="120" w:after="120"/>
        <w:ind w:left="2127" w:hanging="709"/>
        <w:rPr>
          <w:rFonts w:cs="Arial"/>
          <w:sz w:val="20"/>
          <w:szCs w:val="20"/>
        </w:rPr>
      </w:pPr>
      <w:r w:rsidRPr="0064594C">
        <w:rPr>
          <w:rFonts w:cs="Arial"/>
          <w:sz w:val="20"/>
          <w:szCs w:val="20"/>
        </w:rPr>
        <w:t xml:space="preserve">Each My Plan Business plan has a Minimum Monthly Charge amount that </w:t>
      </w:r>
      <w:r w:rsidRPr="0064594C">
        <w:rPr>
          <w:rFonts w:cs="Arial"/>
          <w:i/>
          <w:sz w:val="20"/>
          <w:szCs w:val="20"/>
        </w:rPr>
        <w:t>you</w:t>
      </w:r>
      <w:r w:rsidRPr="0064594C">
        <w:rPr>
          <w:rFonts w:cs="Arial"/>
          <w:sz w:val="20"/>
          <w:szCs w:val="20"/>
        </w:rPr>
        <w:t xml:space="preserve"> must pay </w:t>
      </w:r>
      <w:r w:rsidRPr="0064594C">
        <w:rPr>
          <w:rFonts w:cs="Arial"/>
          <w:i/>
          <w:sz w:val="20"/>
          <w:szCs w:val="20"/>
        </w:rPr>
        <w:t>us</w:t>
      </w:r>
      <w:r w:rsidRPr="0064594C">
        <w:rPr>
          <w:rFonts w:cs="Arial"/>
          <w:sz w:val="20"/>
          <w:szCs w:val="20"/>
        </w:rPr>
        <w:t xml:space="preserve"> each month as set out in Table 1 below.  </w:t>
      </w:r>
    </w:p>
    <w:p w14:paraId="625381F9" w14:textId="77777777" w:rsidR="00BA172C" w:rsidRPr="0064594C" w:rsidRDefault="00BA172C" w:rsidP="00BA172C">
      <w:pPr>
        <w:numPr>
          <w:ilvl w:val="3"/>
          <w:numId w:val="68"/>
        </w:numPr>
        <w:tabs>
          <w:tab w:val="clear" w:pos="2552"/>
          <w:tab w:val="num" w:pos="2127"/>
        </w:tabs>
        <w:spacing w:before="120" w:after="120"/>
        <w:ind w:left="2127" w:hanging="709"/>
        <w:rPr>
          <w:rFonts w:cs="Arial"/>
          <w:sz w:val="20"/>
          <w:szCs w:val="20"/>
        </w:rPr>
      </w:pPr>
      <w:r w:rsidRPr="0064594C">
        <w:rPr>
          <w:rFonts w:cs="Arial"/>
          <w:sz w:val="20"/>
          <w:szCs w:val="20"/>
        </w:rPr>
        <w:tab/>
      </w:r>
      <w:r w:rsidRPr="0064594C">
        <w:rPr>
          <w:rFonts w:cs="Arial"/>
          <w:i/>
          <w:sz w:val="20"/>
          <w:szCs w:val="20"/>
        </w:rPr>
        <w:t>You</w:t>
      </w:r>
      <w:r w:rsidRPr="0064594C">
        <w:rPr>
          <w:rFonts w:cs="Arial"/>
          <w:sz w:val="20"/>
          <w:szCs w:val="20"/>
        </w:rPr>
        <w:t xml:space="preserve"> may purchase a mobile phone (or ‘handset’) with a 24 month </w:t>
      </w:r>
      <w:r w:rsidRPr="0064594C">
        <w:rPr>
          <w:rFonts w:cs="Arial"/>
          <w:i/>
          <w:sz w:val="20"/>
          <w:szCs w:val="20"/>
        </w:rPr>
        <w:t>equipment term</w:t>
      </w:r>
      <w:r w:rsidRPr="0064594C">
        <w:rPr>
          <w:rFonts w:cs="Arial"/>
          <w:sz w:val="20"/>
          <w:szCs w:val="20"/>
        </w:rPr>
        <w:t xml:space="preserve"> under a </w:t>
      </w:r>
      <w:r w:rsidRPr="0064594C">
        <w:rPr>
          <w:rFonts w:cs="Arial"/>
          <w:i/>
          <w:sz w:val="20"/>
          <w:szCs w:val="20"/>
        </w:rPr>
        <w:t>mobile equipment payment plan</w:t>
      </w:r>
      <w:r w:rsidRPr="0064594C">
        <w:rPr>
          <w:rFonts w:cs="Arial"/>
          <w:sz w:val="20"/>
          <w:szCs w:val="20"/>
        </w:rPr>
        <w:t xml:space="preserve"> (set out in </w:t>
      </w:r>
      <w:hyperlink r:id="rId795" w:history="1">
        <w:r w:rsidRPr="0064594C">
          <w:rPr>
            <w:rFonts w:cs="Arial"/>
            <w:i/>
            <w:sz w:val="20"/>
            <w:szCs w:val="20"/>
            <w:u w:val="single"/>
          </w:rPr>
          <w:t>Appendix D</w:t>
        </w:r>
      </w:hyperlink>
      <w:r w:rsidRPr="0064594C">
        <w:rPr>
          <w:rFonts w:cs="Arial"/>
          <w:sz w:val="20"/>
          <w:szCs w:val="20"/>
        </w:rPr>
        <w:t xml:space="preserve">) on a 24 month </w:t>
      </w:r>
      <w:r w:rsidRPr="0064594C">
        <w:rPr>
          <w:rFonts w:cs="Arial"/>
          <w:i/>
          <w:sz w:val="20"/>
          <w:szCs w:val="20"/>
        </w:rPr>
        <w:t>fixed-length agreement</w:t>
      </w:r>
      <w:r w:rsidRPr="0064594C">
        <w:rPr>
          <w:rFonts w:cs="Arial"/>
          <w:sz w:val="20"/>
          <w:szCs w:val="20"/>
        </w:rPr>
        <w:t xml:space="preserve">. </w:t>
      </w:r>
    </w:p>
    <w:p w14:paraId="38AE05F3" w14:textId="77777777" w:rsidR="00BA172C" w:rsidRPr="00B7364B" w:rsidRDefault="00BA172C" w:rsidP="00BA172C">
      <w:pPr>
        <w:numPr>
          <w:ilvl w:val="5"/>
          <w:numId w:val="1"/>
        </w:numPr>
        <w:spacing w:after="200"/>
        <w:outlineLvl w:val="5"/>
        <w:rPr>
          <w:rFonts w:eastAsia="Times New Roman" w:cs="Arial"/>
          <w:snapToGrid w:val="0"/>
          <w:sz w:val="20"/>
          <w:szCs w:val="20"/>
          <w:lang w:val="en-AU"/>
        </w:rPr>
      </w:pPr>
      <w:r w:rsidRPr="00B7364B">
        <w:rPr>
          <w:rFonts w:ascii="Times New Roman" w:eastAsia="Times New Roman" w:hAnsi="Times New Roman" w:cs="Arial"/>
          <w:b/>
          <w:snapToGrid w:val="0"/>
          <w:sz w:val="20"/>
          <w:szCs w:val="20"/>
          <w:lang w:val="en-AU"/>
        </w:rPr>
        <w:t xml:space="preserve"> </w:t>
      </w:r>
      <w:r w:rsidRPr="00B7364B">
        <w:rPr>
          <w:rFonts w:eastAsia="Times New Roman" w:cs="Arial"/>
          <w:snapToGrid w:val="0"/>
          <w:sz w:val="20"/>
          <w:szCs w:val="20"/>
          <w:lang w:val="en-AU"/>
        </w:rPr>
        <w:t>How My Plan Business works</w:t>
      </w:r>
    </w:p>
    <w:p w14:paraId="07270E14" w14:textId="77777777" w:rsidR="00BA172C" w:rsidRPr="0064594C" w:rsidRDefault="00BA172C" w:rsidP="00BA172C">
      <w:pPr>
        <w:pStyle w:val="OptusH3"/>
        <w:numPr>
          <w:ilvl w:val="2"/>
          <w:numId w:val="61"/>
        </w:numPr>
        <w:tabs>
          <w:tab w:val="clear" w:pos="2127"/>
          <w:tab w:val="num" w:pos="1448"/>
          <w:tab w:val="left" w:pos="1701"/>
        </w:tabs>
        <w:ind w:left="1448" w:hanging="738"/>
        <w:rPr>
          <w:rFonts w:ascii="Arial" w:hAnsi="Arial" w:cs="Arial"/>
          <w:sz w:val="20"/>
        </w:rPr>
      </w:pPr>
      <w:r w:rsidRPr="0064594C">
        <w:rPr>
          <w:rFonts w:ascii="Arial" w:hAnsi="Arial" w:cs="Arial"/>
          <w:sz w:val="20"/>
        </w:rPr>
        <w:t>Each My Plan Business has unlimited minutes to use on standard national calls to landlines and mobiles, 13/1300 numbers and voicemail retrievals and an amount of Included Data (for mobile internet use) to share with other services on a My Plan Plus, My Plan Plus SIM Only, My Plan Business (including Tech Fund), My Plan Business SIM, My Mobile Broadband Plus, Mobile Broadband Business or Shared Data Plan on the same account.</w:t>
      </w:r>
    </w:p>
    <w:p w14:paraId="0053BDBB" w14:textId="77777777" w:rsidR="00BA172C" w:rsidRPr="0064594C" w:rsidRDefault="00BA172C" w:rsidP="00BA172C">
      <w:pPr>
        <w:numPr>
          <w:ilvl w:val="2"/>
          <w:numId w:val="27"/>
        </w:numPr>
        <w:tabs>
          <w:tab w:val="clear" w:pos="2127"/>
          <w:tab w:val="num" w:pos="1448"/>
          <w:tab w:val="left" w:pos="1701"/>
        </w:tabs>
        <w:spacing w:before="120" w:after="120"/>
        <w:ind w:left="1448" w:hanging="738"/>
        <w:rPr>
          <w:rFonts w:cs="Arial"/>
          <w:sz w:val="20"/>
          <w:szCs w:val="20"/>
        </w:rPr>
      </w:pPr>
      <w:r w:rsidRPr="0064594C">
        <w:rPr>
          <w:rFonts w:cs="Arial"/>
          <w:sz w:val="20"/>
          <w:szCs w:val="20"/>
        </w:rPr>
        <w:t xml:space="preserve">These plans also include unlimited standard national SMS/MMS and unlimited standard International SMS/MMS to selected countries. These plans also have an amount of included international minutes to use on standard international calls to selected countries. </w:t>
      </w:r>
    </w:p>
    <w:p w14:paraId="27A265B5" w14:textId="77777777" w:rsidR="00BA172C" w:rsidRPr="0064594C" w:rsidRDefault="00BA172C" w:rsidP="00BA172C">
      <w:pPr>
        <w:numPr>
          <w:ilvl w:val="2"/>
          <w:numId w:val="27"/>
        </w:numPr>
        <w:tabs>
          <w:tab w:val="clear" w:pos="2127"/>
          <w:tab w:val="num" w:pos="1448"/>
          <w:tab w:val="left" w:pos="1701"/>
        </w:tabs>
        <w:spacing w:before="120" w:after="120"/>
        <w:ind w:left="1448" w:hanging="738"/>
        <w:rPr>
          <w:rFonts w:cs="Arial"/>
          <w:sz w:val="20"/>
          <w:szCs w:val="20"/>
        </w:rPr>
      </w:pPr>
      <w:r w:rsidRPr="0064594C">
        <w:rPr>
          <w:rFonts w:cs="Arial"/>
          <w:sz w:val="20"/>
          <w:szCs w:val="20"/>
        </w:rPr>
        <w:t>Data usage is calculated in one kilobyte increments. International minutes are billed in one minute increments.</w:t>
      </w:r>
    </w:p>
    <w:p w14:paraId="1C24A221" w14:textId="77777777" w:rsidR="00BA172C" w:rsidRPr="0064594C" w:rsidRDefault="00BA172C" w:rsidP="00BA172C">
      <w:pPr>
        <w:numPr>
          <w:ilvl w:val="2"/>
          <w:numId w:val="27"/>
        </w:numPr>
        <w:tabs>
          <w:tab w:val="clear" w:pos="2127"/>
          <w:tab w:val="num" w:pos="1448"/>
          <w:tab w:val="left" w:pos="1701"/>
        </w:tabs>
        <w:spacing w:before="120" w:after="120"/>
        <w:ind w:left="1448" w:hanging="738"/>
        <w:rPr>
          <w:rFonts w:cs="Arial"/>
          <w:sz w:val="20"/>
          <w:szCs w:val="20"/>
        </w:rPr>
      </w:pPr>
      <w:r w:rsidRPr="0064594C">
        <w:rPr>
          <w:rFonts w:cs="Arial"/>
          <w:sz w:val="20"/>
          <w:szCs w:val="20"/>
        </w:rPr>
        <w:t xml:space="preserve">If </w:t>
      </w:r>
      <w:r w:rsidRPr="0064594C">
        <w:rPr>
          <w:rFonts w:cs="Arial"/>
          <w:i/>
          <w:sz w:val="20"/>
          <w:szCs w:val="20"/>
        </w:rPr>
        <w:t xml:space="preserve">you </w:t>
      </w:r>
      <w:r w:rsidRPr="0064594C">
        <w:rPr>
          <w:rFonts w:cs="Arial"/>
          <w:sz w:val="20"/>
          <w:szCs w:val="20"/>
        </w:rPr>
        <w:t>exceed your included shareable data you’ll automatically be charged $10 for each additional 1GB of data (“</w:t>
      </w:r>
      <w:r w:rsidRPr="0064594C">
        <w:rPr>
          <w:rFonts w:cs="Arial"/>
          <w:b/>
          <w:sz w:val="20"/>
          <w:szCs w:val="20"/>
        </w:rPr>
        <w:t>Additional Data</w:t>
      </w:r>
      <w:r w:rsidRPr="0064594C">
        <w:rPr>
          <w:rFonts w:cs="Arial"/>
          <w:sz w:val="20"/>
          <w:szCs w:val="20"/>
        </w:rPr>
        <w:t>”) up to 150GB of extra data per account each month. Your service/s may then be restricted or we may continue to charge you at these rates.</w:t>
      </w:r>
    </w:p>
    <w:p w14:paraId="446C97E4" w14:textId="77777777" w:rsidR="00BA172C" w:rsidRPr="0064594C" w:rsidRDefault="00BA172C" w:rsidP="00BA172C">
      <w:pPr>
        <w:numPr>
          <w:ilvl w:val="2"/>
          <w:numId w:val="27"/>
        </w:numPr>
        <w:tabs>
          <w:tab w:val="clear" w:pos="2127"/>
          <w:tab w:val="num" w:pos="1448"/>
          <w:tab w:val="left" w:pos="1701"/>
        </w:tabs>
        <w:spacing w:before="120" w:after="120"/>
        <w:ind w:left="1448" w:hanging="738"/>
        <w:rPr>
          <w:rFonts w:cs="Arial"/>
          <w:sz w:val="20"/>
          <w:szCs w:val="20"/>
        </w:rPr>
      </w:pPr>
      <w:r w:rsidRPr="0064594C">
        <w:rPr>
          <w:rFonts w:cs="Arial"/>
          <w:sz w:val="20"/>
          <w:szCs w:val="20"/>
        </w:rPr>
        <w:t xml:space="preserve">Any unused portion of </w:t>
      </w:r>
      <w:r w:rsidRPr="0064594C">
        <w:rPr>
          <w:rFonts w:cs="Arial"/>
          <w:i/>
          <w:sz w:val="20"/>
          <w:szCs w:val="20"/>
        </w:rPr>
        <w:t>your</w:t>
      </w:r>
      <w:r w:rsidRPr="0064594C">
        <w:rPr>
          <w:rFonts w:cs="Arial"/>
          <w:sz w:val="20"/>
          <w:szCs w:val="20"/>
        </w:rPr>
        <w:t xml:space="preserve"> </w:t>
      </w:r>
      <w:r w:rsidRPr="0064594C">
        <w:rPr>
          <w:rFonts w:cs="Arial"/>
          <w:i/>
          <w:sz w:val="20"/>
          <w:szCs w:val="20"/>
        </w:rPr>
        <w:t>plan’s</w:t>
      </w:r>
      <w:r w:rsidRPr="0064594C">
        <w:rPr>
          <w:rFonts w:cs="Arial"/>
          <w:sz w:val="20"/>
          <w:szCs w:val="20"/>
        </w:rPr>
        <w:t xml:space="preserve"> Included or Additional Data or International Minutes expires at the end of each month and does not roll over into the next month. </w:t>
      </w:r>
    </w:p>
    <w:p w14:paraId="150BDFBF" w14:textId="77777777" w:rsidR="00BA172C" w:rsidRPr="0064594C" w:rsidRDefault="00BA172C" w:rsidP="00BA172C">
      <w:pPr>
        <w:numPr>
          <w:ilvl w:val="2"/>
          <w:numId w:val="27"/>
        </w:numPr>
        <w:tabs>
          <w:tab w:val="clear" w:pos="2127"/>
          <w:tab w:val="num" w:pos="1448"/>
          <w:tab w:val="left" w:pos="1701"/>
        </w:tabs>
        <w:spacing w:before="120" w:after="240"/>
        <w:ind w:left="1446" w:hanging="737"/>
        <w:rPr>
          <w:rFonts w:cs="Arial"/>
          <w:b/>
          <w:sz w:val="20"/>
          <w:szCs w:val="20"/>
        </w:rPr>
      </w:pPr>
      <w:r w:rsidRPr="0064594C">
        <w:rPr>
          <w:rFonts w:cs="Arial"/>
          <w:i/>
          <w:sz w:val="20"/>
          <w:szCs w:val="20"/>
        </w:rPr>
        <w:t>You</w:t>
      </w:r>
      <w:r w:rsidRPr="0064594C">
        <w:rPr>
          <w:rFonts w:cs="Arial"/>
          <w:sz w:val="20"/>
          <w:szCs w:val="20"/>
        </w:rPr>
        <w:t xml:space="preserve"> must pay </w:t>
      </w:r>
      <w:r w:rsidRPr="0064594C">
        <w:rPr>
          <w:rFonts w:cs="Arial"/>
          <w:i/>
          <w:sz w:val="20"/>
          <w:szCs w:val="20"/>
        </w:rPr>
        <w:t>us</w:t>
      </w:r>
      <w:r w:rsidRPr="0064594C">
        <w:rPr>
          <w:rFonts w:cs="Arial"/>
          <w:sz w:val="20"/>
          <w:szCs w:val="20"/>
        </w:rPr>
        <w:t xml:space="preserve"> for use of any services that are not included in </w:t>
      </w:r>
      <w:r w:rsidRPr="0064594C">
        <w:rPr>
          <w:rFonts w:cs="Arial"/>
          <w:i/>
          <w:sz w:val="20"/>
          <w:szCs w:val="20"/>
        </w:rPr>
        <w:t>your</w:t>
      </w:r>
      <w:r w:rsidRPr="0064594C">
        <w:rPr>
          <w:rFonts w:cs="Arial"/>
          <w:sz w:val="20"/>
          <w:szCs w:val="20"/>
        </w:rPr>
        <w:t xml:space="preserve"> plan’s inclusions, examples of which are set out in Table 2 below.</w:t>
      </w:r>
    </w:p>
    <w:p w14:paraId="039354AB" w14:textId="77777777" w:rsidR="00BA172C" w:rsidRPr="00240A68" w:rsidRDefault="00BA172C" w:rsidP="00BA172C">
      <w:pPr>
        <w:numPr>
          <w:ilvl w:val="5"/>
          <w:numId w:val="1"/>
        </w:numPr>
        <w:spacing w:after="200"/>
        <w:outlineLvl w:val="5"/>
        <w:rPr>
          <w:rFonts w:eastAsia="Times New Roman" w:cs="Arial"/>
          <w:snapToGrid w:val="0"/>
          <w:sz w:val="20"/>
          <w:szCs w:val="20"/>
          <w:lang w:val="en-AU"/>
        </w:rPr>
      </w:pPr>
      <w:r w:rsidRPr="00240A68">
        <w:rPr>
          <w:rFonts w:eastAsia="Times New Roman" w:cs="Arial"/>
          <w:snapToGrid w:val="0"/>
          <w:sz w:val="20"/>
          <w:szCs w:val="20"/>
          <w:lang w:val="en-AU"/>
        </w:rPr>
        <w:t>Plan Changes</w:t>
      </w:r>
    </w:p>
    <w:p w14:paraId="4623D307" w14:textId="77777777" w:rsidR="00BA172C" w:rsidRPr="00240A68" w:rsidRDefault="00BA172C" w:rsidP="00BA172C">
      <w:pPr>
        <w:ind w:left="709"/>
        <w:rPr>
          <w:rFonts w:cs="Arial"/>
          <w:sz w:val="20"/>
          <w:szCs w:val="20"/>
        </w:rPr>
      </w:pPr>
      <w:r w:rsidRPr="00240A68">
        <w:rPr>
          <w:rFonts w:cs="Arial"/>
          <w:sz w:val="20"/>
          <w:szCs w:val="20"/>
        </w:rPr>
        <w:t>You can change your plan during the minimum tern term provided you move to a plan with a higher monthly access fee. You cannot change your plan during the minimum term to a plan with the same or lower monthly access fee. If you change your plan during the minimum term a fee may apply and any handset repayments will remain the same.</w:t>
      </w:r>
    </w:p>
    <w:p w14:paraId="67638224" w14:textId="77777777" w:rsidR="00BA172C" w:rsidRPr="00240A68" w:rsidRDefault="00BA172C" w:rsidP="00BA172C">
      <w:pPr>
        <w:ind w:left="709"/>
        <w:rPr>
          <w:rFonts w:cs="Arial"/>
          <w:sz w:val="20"/>
          <w:szCs w:val="20"/>
        </w:rPr>
      </w:pPr>
    </w:p>
    <w:p w14:paraId="6F848DAB" w14:textId="77777777" w:rsidR="00BA172C" w:rsidRPr="00240A68" w:rsidRDefault="00BA172C" w:rsidP="00BA172C">
      <w:pPr>
        <w:numPr>
          <w:ilvl w:val="5"/>
          <w:numId w:val="1"/>
        </w:numPr>
        <w:spacing w:after="200"/>
        <w:outlineLvl w:val="5"/>
        <w:rPr>
          <w:rFonts w:eastAsia="Times New Roman" w:cs="Arial"/>
          <w:snapToGrid w:val="0"/>
          <w:sz w:val="20"/>
          <w:szCs w:val="20"/>
          <w:lang w:val="en-AU"/>
        </w:rPr>
      </w:pPr>
      <w:r w:rsidRPr="00240A68">
        <w:rPr>
          <w:rFonts w:eastAsia="Times New Roman" w:cs="Arial"/>
          <w:snapToGrid w:val="0"/>
          <w:sz w:val="20"/>
          <w:szCs w:val="20"/>
          <w:lang w:val="en-AU"/>
        </w:rPr>
        <w:t>New Phone Trade Up</w:t>
      </w:r>
    </w:p>
    <w:p w14:paraId="4B3BDD38" w14:textId="77777777" w:rsidR="00BA172C" w:rsidRPr="00240A68" w:rsidRDefault="00BA172C" w:rsidP="00BA172C">
      <w:pPr>
        <w:ind w:left="709"/>
        <w:rPr>
          <w:rFonts w:cs="Arial"/>
          <w:sz w:val="20"/>
          <w:szCs w:val="20"/>
        </w:rPr>
      </w:pPr>
      <w:r w:rsidRPr="00240A68">
        <w:rPr>
          <w:rFonts w:cs="Arial"/>
          <w:sz w:val="20"/>
          <w:szCs w:val="20"/>
        </w:rPr>
        <w:t>The plans referred to in this section include the option of New Phone Trade Up, which can be exercised in two ways:</w:t>
      </w:r>
    </w:p>
    <w:p w14:paraId="52A2902C" w14:textId="77777777" w:rsidR="00BA172C" w:rsidRPr="00240A68" w:rsidRDefault="00BA172C" w:rsidP="00BA172C">
      <w:pPr>
        <w:numPr>
          <w:ilvl w:val="2"/>
          <w:numId w:val="67"/>
        </w:numPr>
        <w:tabs>
          <w:tab w:val="clear" w:pos="1843"/>
          <w:tab w:val="num" w:pos="1418"/>
        </w:tabs>
        <w:spacing w:before="120" w:after="120"/>
        <w:ind w:left="1418" w:hanging="709"/>
        <w:rPr>
          <w:rFonts w:cs="Arial"/>
          <w:sz w:val="20"/>
          <w:szCs w:val="20"/>
        </w:rPr>
      </w:pPr>
      <w:r w:rsidRPr="00240A68">
        <w:rPr>
          <w:rFonts w:cs="Arial"/>
          <w:sz w:val="20"/>
          <w:szCs w:val="20"/>
        </w:rPr>
        <w:t>New Phone Trade Up for $99</w:t>
      </w:r>
    </w:p>
    <w:p w14:paraId="4181D83A" w14:textId="77777777" w:rsidR="00BA172C" w:rsidRPr="00240A68" w:rsidRDefault="00BA172C" w:rsidP="00BA172C">
      <w:pPr>
        <w:numPr>
          <w:ilvl w:val="0"/>
          <w:numId w:val="69"/>
        </w:numPr>
        <w:spacing w:before="120" w:after="120"/>
        <w:ind w:left="2127" w:hanging="709"/>
        <w:rPr>
          <w:rFonts w:cs="Arial"/>
          <w:sz w:val="20"/>
          <w:szCs w:val="20"/>
        </w:rPr>
      </w:pPr>
      <w:r w:rsidRPr="00240A68">
        <w:rPr>
          <w:rFonts w:cs="Arial"/>
          <w:sz w:val="20"/>
          <w:szCs w:val="20"/>
        </w:rPr>
        <w:t xml:space="preserve">After 12 months on one of these plans, you can pay a one-off fee of $99, return your original mobile phone to an Optus store in good working order, purchase a new mobile </w:t>
      </w:r>
      <w:r w:rsidRPr="00240A68">
        <w:rPr>
          <w:rFonts w:cs="Arial"/>
          <w:sz w:val="20"/>
          <w:szCs w:val="20"/>
        </w:rPr>
        <w:lastRenderedPageBreak/>
        <w:t>phone on a new 24 month plan and sign documentation that will enable ownership of your original mobile phone to be transferred to a second hand dealer nominated by Optus.</w:t>
      </w:r>
    </w:p>
    <w:p w14:paraId="2D5106A8" w14:textId="77777777" w:rsidR="00BA172C" w:rsidRPr="00240A68" w:rsidRDefault="00BA172C" w:rsidP="00BA172C">
      <w:pPr>
        <w:numPr>
          <w:ilvl w:val="0"/>
          <w:numId w:val="69"/>
        </w:numPr>
        <w:spacing w:before="120" w:after="120"/>
        <w:ind w:left="2127" w:hanging="709"/>
        <w:rPr>
          <w:rFonts w:cs="Arial"/>
          <w:sz w:val="20"/>
          <w:szCs w:val="20"/>
        </w:rPr>
      </w:pPr>
      <w:r w:rsidRPr="00240A68">
        <w:rPr>
          <w:rFonts w:cs="Arial"/>
          <w:sz w:val="20"/>
          <w:szCs w:val="20"/>
        </w:rPr>
        <w:t>A mobile phone is considered to be in good working order when:</w:t>
      </w:r>
    </w:p>
    <w:p w14:paraId="18792FDA" w14:textId="77777777" w:rsidR="00BA172C" w:rsidRPr="00240A68" w:rsidRDefault="00BA172C" w:rsidP="00BA172C">
      <w:pPr>
        <w:numPr>
          <w:ilvl w:val="1"/>
          <w:numId w:val="69"/>
        </w:numPr>
        <w:spacing w:before="120" w:after="120"/>
        <w:ind w:left="2880" w:hanging="753"/>
        <w:rPr>
          <w:rFonts w:cs="Arial"/>
          <w:sz w:val="20"/>
          <w:szCs w:val="20"/>
        </w:rPr>
      </w:pPr>
      <w:r w:rsidRPr="00240A68">
        <w:rPr>
          <w:rFonts w:cs="Arial"/>
          <w:sz w:val="20"/>
          <w:szCs w:val="20"/>
        </w:rPr>
        <w:t xml:space="preserve">it can power on and off; </w:t>
      </w:r>
    </w:p>
    <w:p w14:paraId="7C2D8958" w14:textId="77777777" w:rsidR="00BA172C" w:rsidRPr="00240A68" w:rsidRDefault="00BA172C" w:rsidP="00BA172C">
      <w:pPr>
        <w:numPr>
          <w:ilvl w:val="1"/>
          <w:numId w:val="69"/>
        </w:numPr>
        <w:spacing w:before="120" w:after="120"/>
        <w:ind w:left="2880" w:hanging="753"/>
        <w:rPr>
          <w:rFonts w:cs="Arial"/>
          <w:sz w:val="20"/>
          <w:szCs w:val="20"/>
        </w:rPr>
      </w:pPr>
      <w:r w:rsidRPr="00240A68">
        <w:rPr>
          <w:rFonts w:cs="Arial"/>
          <w:sz w:val="20"/>
          <w:szCs w:val="20"/>
        </w:rPr>
        <w:t xml:space="preserve">it has a touchscreen that is fully functional, </w:t>
      </w:r>
    </w:p>
    <w:p w14:paraId="79FAFC49" w14:textId="77777777" w:rsidR="00BA172C" w:rsidRPr="00240A68" w:rsidRDefault="00BA172C" w:rsidP="00BA172C">
      <w:pPr>
        <w:numPr>
          <w:ilvl w:val="1"/>
          <w:numId w:val="69"/>
        </w:numPr>
        <w:spacing w:before="120" w:after="120"/>
        <w:ind w:left="2880" w:hanging="753"/>
        <w:rPr>
          <w:rFonts w:cs="Arial"/>
          <w:sz w:val="20"/>
          <w:szCs w:val="20"/>
        </w:rPr>
      </w:pPr>
      <w:r w:rsidRPr="00240A68">
        <w:rPr>
          <w:rFonts w:cs="Arial"/>
          <w:sz w:val="20"/>
          <w:szCs w:val="20"/>
        </w:rPr>
        <w:t xml:space="preserve">it does not have any missing buttons or damage to other components such as charging ports, SIM tray; </w:t>
      </w:r>
    </w:p>
    <w:p w14:paraId="2CAD7E86" w14:textId="77777777" w:rsidR="00BA172C" w:rsidRPr="00240A68" w:rsidRDefault="00BA172C" w:rsidP="00BA172C">
      <w:pPr>
        <w:numPr>
          <w:ilvl w:val="1"/>
          <w:numId w:val="69"/>
        </w:numPr>
        <w:spacing w:before="120" w:after="120"/>
        <w:ind w:left="2880" w:hanging="753"/>
        <w:rPr>
          <w:rFonts w:cs="Arial"/>
          <w:sz w:val="20"/>
          <w:szCs w:val="20"/>
        </w:rPr>
      </w:pPr>
      <w:r w:rsidRPr="00240A68">
        <w:rPr>
          <w:rFonts w:cs="Arial"/>
          <w:sz w:val="20"/>
          <w:szCs w:val="20"/>
        </w:rPr>
        <w:t xml:space="preserve">the mobile phone, including the touchscreen, is not cracked and does not have any severe scratches (normal wear and tear such as light marks and scratches are okay); and </w:t>
      </w:r>
    </w:p>
    <w:p w14:paraId="16DB93DA" w14:textId="77777777" w:rsidR="00BA172C" w:rsidRPr="00240A68" w:rsidRDefault="00BA172C" w:rsidP="00BA172C">
      <w:pPr>
        <w:numPr>
          <w:ilvl w:val="1"/>
          <w:numId w:val="69"/>
        </w:numPr>
        <w:spacing w:before="120" w:after="120"/>
        <w:ind w:left="2880" w:hanging="753"/>
        <w:rPr>
          <w:rFonts w:cs="Arial"/>
          <w:sz w:val="20"/>
          <w:szCs w:val="20"/>
        </w:rPr>
      </w:pPr>
      <w:r w:rsidRPr="00240A68">
        <w:rPr>
          <w:rFonts w:cs="Arial"/>
          <w:sz w:val="20"/>
          <w:szCs w:val="20"/>
        </w:rPr>
        <w:t xml:space="preserve">any locking features are disabled.  </w:t>
      </w:r>
    </w:p>
    <w:p w14:paraId="00C3DC61" w14:textId="77777777" w:rsidR="00BA172C" w:rsidRPr="00240A68" w:rsidRDefault="00BA172C" w:rsidP="00BA172C">
      <w:pPr>
        <w:numPr>
          <w:ilvl w:val="0"/>
          <w:numId w:val="69"/>
        </w:numPr>
        <w:spacing w:before="120" w:after="120"/>
        <w:ind w:left="2127" w:hanging="709"/>
        <w:rPr>
          <w:rFonts w:cs="Arial"/>
          <w:sz w:val="20"/>
          <w:szCs w:val="20"/>
        </w:rPr>
      </w:pPr>
      <w:r w:rsidRPr="00240A68">
        <w:rPr>
          <w:rFonts w:cs="Arial"/>
          <w:sz w:val="20"/>
          <w:szCs w:val="20"/>
        </w:rPr>
        <w:t xml:space="preserve">The mobile phone you return in accordance with section 3.6(a) must be the mobile phone you purchased when you took up one of the plans referred to in this section. </w:t>
      </w:r>
    </w:p>
    <w:p w14:paraId="74EA21F8" w14:textId="77777777" w:rsidR="00BA172C" w:rsidRPr="00240A68" w:rsidRDefault="00BA172C" w:rsidP="00BA172C">
      <w:pPr>
        <w:numPr>
          <w:ilvl w:val="0"/>
          <w:numId w:val="69"/>
        </w:numPr>
        <w:spacing w:before="120" w:after="120"/>
        <w:ind w:left="2127" w:hanging="709"/>
        <w:rPr>
          <w:rFonts w:cs="Arial"/>
          <w:sz w:val="20"/>
          <w:szCs w:val="20"/>
        </w:rPr>
      </w:pPr>
      <w:r w:rsidRPr="00240A68">
        <w:rPr>
          <w:rFonts w:cs="Arial"/>
          <w:sz w:val="20"/>
          <w:szCs w:val="20"/>
        </w:rPr>
        <w:t xml:space="preserve">When you seek to exercise this option and meet the relevant conditions, Optus agrees to waive any remaining mobile phone repayment charges on the mobile phone you are returning. </w:t>
      </w:r>
    </w:p>
    <w:p w14:paraId="552611CB" w14:textId="77777777" w:rsidR="00BA172C" w:rsidRPr="00240A68" w:rsidRDefault="00BA172C" w:rsidP="00BA172C">
      <w:pPr>
        <w:numPr>
          <w:ilvl w:val="0"/>
          <w:numId w:val="69"/>
        </w:numPr>
        <w:spacing w:before="120" w:after="120"/>
        <w:ind w:left="2127" w:hanging="709"/>
        <w:rPr>
          <w:rFonts w:cs="Arial"/>
          <w:sz w:val="20"/>
          <w:szCs w:val="20"/>
        </w:rPr>
      </w:pPr>
      <w:r w:rsidRPr="00240A68">
        <w:rPr>
          <w:rFonts w:cs="Arial"/>
          <w:sz w:val="20"/>
          <w:szCs w:val="20"/>
        </w:rPr>
        <w:t xml:space="preserve">By exercising this option, you acknowledge that the second hand device vendor will pay Optus a fee on your behalf for the mobile phone you return in part consideration of Optus waiving your remaining mobile phone repayments on the phone you are returning.  </w:t>
      </w:r>
    </w:p>
    <w:p w14:paraId="308570F0" w14:textId="77777777" w:rsidR="00BA172C" w:rsidRPr="00240A68" w:rsidRDefault="00BA172C" w:rsidP="00BA172C">
      <w:pPr>
        <w:numPr>
          <w:ilvl w:val="2"/>
          <w:numId w:val="63"/>
        </w:numPr>
        <w:tabs>
          <w:tab w:val="clear" w:pos="1843"/>
          <w:tab w:val="num" w:pos="850"/>
          <w:tab w:val="num" w:pos="1418"/>
        </w:tabs>
        <w:spacing w:before="120" w:after="120"/>
        <w:ind w:left="850" w:hanging="141"/>
        <w:rPr>
          <w:rFonts w:cs="Arial"/>
          <w:sz w:val="20"/>
          <w:szCs w:val="20"/>
        </w:rPr>
      </w:pPr>
      <w:r w:rsidRPr="00240A68">
        <w:rPr>
          <w:rFonts w:cs="Arial"/>
          <w:sz w:val="20"/>
          <w:szCs w:val="20"/>
        </w:rPr>
        <w:t>Keep existing mobile phone</w:t>
      </w:r>
    </w:p>
    <w:p w14:paraId="0A4A7903" w14:textId="77777777" w:rsidR="00BA172C" w:rsidRPr="00240A68" w:rsidRDefault="00BA172C" w:rsidP="00BA172C">
      <w:pPr>
        <w:numPr>
          <w:ilvl w:val="0"/>
          <w:numId w:val="72"/>
        </w:numPr>
        <w:spacing w:before="120" w:after="120"/>
        <w:ind w:left="2127" w:hanging="709"/>
        <w:rPr>
          <w:rFonts w:cs="Arial"/>
          <w:b/>
          <w:snapToGrid w:val="0"/>
          <w:sz w:val="20"/>
          <w:szCs w:val="20"/>
        </w:rPr>
      </w:pPr>
      <w:r w:rsidRPr="00240A68">
        <w:rPr>
          <w:rFonts w:cs="Arial"/>
          <w:sz w:val="20"/>
          <w:szCs w:val="20"/>
        </w:rPr>
        <w:t>Alternatively and instead of paying $99, if you wish to keep your original mobile handset, you can simply pay out the full remaining cost of your mobile handset, including any monthly handset credit that Optus was going to cover and purchase a new mobile phone on a new 24 month plan.</w:t>
      </w:r>
    </w:p>
    <w:p w14:paraId="6611290D" w14:textId="77777777" w:rsidR="00BA172C" w:rsidRPr="00B7364B" w:rsidRDefault="00BA172C" w:rsidP="00BA172C">
      <w:pPr>
        <w:numPr>
          <w:ilvl w:val="5"/>
          <w:numId w:val="1"/>
        </w:numPr>
        <w:spacing w:after="200"/>
        <w:outlineLvl w:val="5"/>
        <w:rPr>
          <w:rFonts w:eastAsia="Times New Roman" w:cs="Arial"/>
          <w:snapToGrid w:val="0"/>
          <w:sz w:val="20"/>
          <w:szCs w:val="20"/>
          <w:lang w:val="en-AU"/>
        </w:rPr>
      </w:pPr>
      <w:r w:rsidRPr="00B7364B">
        <w:rPr>
          <w:rFonts w:eastAsia="Times New Roman" w:cs="Arial"/>
          <w:snapToGrid w:val="0"/>
          <w:sz w:val="20"/>
          <w:szCs w:val="20"/>
          <w:lang w:val="en-AU"/>
        </w:rPr>
        <w:t>Data Sharing</w:t>
      </w:r>
    </w:p>
    <w:p w14:paraId="3B60C412" w14:textId="77777777" w:rsidR="00BA172C" w:rsidRPr="0064594C" w:rsidRDefault="00BA172C" w:rsidP="00BA172C">
      <w:pPr>
        <w:pStyle w:val="OptusH3"/>
        <w:numPr>
          <w:ilvl w:val="2"/>
          <w:numId w:val="61"/>
        </w:numPr>
        <w:tabs>
          <w:tab w:val="clear" w:pos="2127"/>
          <w:tab w:val="num" w:pos="1448"/>
          <w:tab w:val="left" w:pos="1701"/>
        </w:tabs>
        <w:ind w:left="1448" w:hanging="738"/>
        <w:rPr>
          <w:rFonts w:ascii="Arial" w:hAnsi="Arial" w:cs="Arial"/>
          <w:snapToGrid w:val="0"/>
          <w:sz w:val="20"/>
        </w:rPr>
      </w:pPr>
      <w:r w:rsidRPr="0064594C">
        <w:rPr>
          <w:rFonts w:ascii="Arial" w:hAnsi="Arial" w:cs="Arial"/>
          <w:snapToGrid w:val="0"/>
          <w:sz w:val="20"/>
        </w:rPr>
        <w:t xml:space="preserve">If </w:t>
      </w:r>
      <w:r w:rsidRPr="0064594C">
        <w:rPr>
          <w:rFonts w:ascii="Arial" w:hAnsi="Arial" w:cs="Arial"/>
          <w:i/>
          <w:snapToGrid w:val="0"/>
          <w:sz w:val="20"/>
        </w:rPr>
        <w:t xml:space="preserve">you </w:t>
      </w:r>
      <w:r w:rsidRPr="0064594C">
        <w:rPr>
          <w:rFonts w:ascii="Arial" w:hAnsi="Arial" w:cs="Arial"/>
          <w:sz w:val="20"/>
        </w:rPr>
        <w:t>have more than one My Plan Plus, My Plan Plus SIM Only, My Plan Business (including Tech Fund), My Plan Business SIM, My Mobile Broadband Plus or Mobile Broadband Business on the same billing account, the included data will combine into one data pool, which will be shared by all eligible services on that account.</w:t>
      </w:r>
    </w:p>
    <w:p w14:paraId="0A4EB30B" w14:textId="77777777" w:rsidR="00BA172C" w:rsidRPr="0064594C" w:rsidRDefault="00BA172C" w:rsidP="00BA172C">
      <w:pPr>
        <w:numPr>
          <w:ilvl w:val="2"/>
          <w:numId w:val="27"/>
        </w:numPr>
        <w:tabs>
          <w:tab w:val="clear" w:pos="2127"/>
          <w:tab w:val="num" w:pos="1448"/>
          <w:tab w:val="left" w:pos="1701"/>
        </w:tabs>
        <w:spacing w:before="120" w:after="120"/>
        <w:ind w:left="1448" w:hanging="738"/>
        <w:rPr>
          <w:rFonts w:cs="Arial"/>
          <w:snapToGrid w:val="0"/>
          <w:sz w:val="20"/>
          <w:szCs w:val="20"/>
        </w:rPr>
      </w:pPr>
      <w:r w:rsidRPr="0064594C">
        <w:rPr>
          <w:rFonts w:cs="Arial"/>
          <w:snapToGrid w:val="0"/>
          <w:sz w:val="20"/>
          <w:szCs w:val="20"/>
        </w:rPr>
        <w:t xml:space="preserve">If </w:t>
      </w:r>
      <w:r w:rsidRPr="0064594C">
        <w:rPr>
          <w:rFonts w:cs="Arial"/>
          <w:i/>
          <w:snapToGrid w:val="0"/>
          <w:sz w:val="20"/>
          <w:szCs w:val="20"/>
        </w:rPr>
        <w:t>you</w:t>
      </w:r>
      <w:r w:rsidRPr="0064594C">
        <w:rPr>
          <w:rFonts w:cs="Arial"/>
          <w:snapToGrid w:val="0"/>
          <w:sz w:val="20"/>
          <w:szCs w:val="20"/>
        </w:rPr>
        <w:t xml:space="preserve"> do not want </w:t>
      </w:r>
      <w:r w:rsidRPr="0064594C">
        <w:rPr>
          <w:rFonts w:cs="Arial"/>
          <w:i/>
          <w:snapToGrid w:val="0"/>
          <w:sz w:val="20"/>
          <w:szCs w:val="20"/>
        </w:rPr>
        <w:t>your</w:t>
      </w:r>
      <w:r w:rsidRPr="0064594C">
        <w:rPr>
          <w:rFonts w:cs="Arial"/>
          <w:snapToGrid w:val="0"/>
          <w:sz w:val="20"/>
          <w:szCs w:val="20"/>
        </w:rPr>
        <w:t xml:space="preserve"> services on any</w:t>
      </w:r>
      <w:r w:rsidRPr="0064594C">
        <w:rPr>
          <w:rFonts w:cs="Arial"/>
          <w:sz w:val="20"/>
          <w:szCs w:val="20"/>
        </w:rPr>
        <w:t xml:space="preserve"> My Plan Plus, My Plan Plus SIM Only, My Plan Business (including Tech Fund), My Plan Business SIM, My Mobile Broadband Plus or Mobile Broadband Business plans</w:t>
      </w:r>
      <w:r w:rsidRPr="0064594C">
        <w:rPr>
          <w:rFonts w:cs="Arial"/>
          <w:snapToGrid w:val="0"/>
          <w:sz w:val="20"/>
          <w:szCs w:val="20"/>
        </w:rPr>
        <w:t xml:space="preserve"> to share data, they need to be on separate billing accounts. .</w:t>
      </w:r>
    </w:p>
    <w:p w14:paraId="083771EF" w14:textId="77777777" w:rsidR="00BA172C" w:rsidRDefault="00BA172C" w:rsidP="00BA172C">
      <w:pPr>
        <w:numPr>
          <w:ilvl w:val="2"/>
          <w:numId w:val="27"/>
        </w:numPr>
        <w:tabs>
          <w:tab w:val="clear" w:pos="2127"/>
          <w:tab w:val="num" w:pos="1448"/>
          <w:tab w:val="left" w:pos="1701"/>
        </w:tabs>
        <w:spacing w:before="120" w:after="120"/>
        <w:ind w:left="1448" w:hanging="738"/>
        <w:rPr>
          <w:rFonts w:cs="Arial"/>
          <w:snapToGrid w:val="0"/>
          <w:sz w:val="20"/>
          <w:szCs w:val="20"/>
        </w:rPr>
      </w:pPr>
      <w:r w:rsidRPr="0064594C">
        <w:rPr>
          <w:rFonts w:cs="Arial"/>
          <w:snapToGrid w:val="0"/>
          <w:sz w:val="20"/>
          <w:szCs w:val="20"/>
        </w:rPr>
        <w:t>Data sharing is only available within Australia.</w:t>
      </w:r>
    </w:p>
    <w:p w14:paraId="521A957F" w14:textId="77777777" w:rsidR="00BA172C" w:rsidRPr="0064594C" w:rsidRDefault="00BA172C" w:rsidP="00BA172C">
      <w:pPr>
        <w:tabs>
          <w:tab w:val="left" w:pos="1701"/>
        </w:tabs>
        <w:spacing w:before="120" w:after="120"/>
        <w:ind w:left="1448"/>
        <w:rPr>
          <w:rFonts w:cs="Arial"/>
          <w:snapToGrid w:val="0"/>
          <w:sz w:val="20"/>
          <w:szCs w:val="20"/>
        </w:rPr>
      </w:pPr>
    </w:p>
    <w:p w14:paraId="60E60167" w14:textId="77777777" w:rsidR="00BA172C" w:rsidRPr="00B7364B" w:rsidRDefault="00BA172C" w:rsidP="00BA172C">
      <w:pPr>
        <w:numPr>
          <w:ilvl w:val="5"/>
          <w:numId w:val="1"/>
        </w:numPr>
        <w:spacing w:after="200"/>
        <w:outlineLvl w:val="5"/>
        <w:rPr>
          <w:rFonts w:eastAsia="Times New Roman" w:cs="Arial"/>
          <w:snapToGrid w:val="0"/>
          <w:sz w:val="20"/>
          <w:szCs w:val="20"/>
          <w:lang w:val="en-AU"/>
        </w:rPr>
      </w:pPr>
      <w:r w:rsidRPr="00B7364B">
        <w:rPr>
          <w:rFonts w:eastAsia="Times New Roman" w:cs="Arial"/>
          <w:snapToGrid w:val="0"/>
          <w:sz w:val="20"/>
          <w:szCs w:val="20"/>
          <w:lang w:val="en-AU"/>
        </w:rPr>
        <w:t>Unlimited International Minutes</w:t>
      </w:r>
    </w:p>
    <w:p w14:paraId="72D0A535" w14:textId="77777777" w:rsidR="00BA172C" w:rsidRPr="0064594C" w:rsidRDefault="00BA172C" w:rsidP="00BA172C">
      <w:pPr>
        <w:ind w:left="709"/>
        <w:rPr>
          <w:rFonts w:cs="Arial"/>
          <w:sz w:val="20"/>
          <w:szCs w:val="20"/>
        </w:rPr>
      </w:pPr>
      <w:r w:rsidRPr="0064594C">
        <w:rPr>
          <w:rFonts w:cs="Arial"/>
          <w:i/>
          <w:sz w:val="20"/>
          <w:szCs w:val="20"/>
        </w:rPr>
        <w:t>You</w:t>
      </w:r>
      <w:r w:rsidRPr="0064594C">
        <w:rPr>
          <w:rFonts w:cs="Arial"/>
          <w:sz w:val="20"/>
          <w:szCs w:val="20"/>
        </w:rPr>
        <w:t xml:space="preserve"> may make unlimited standard calls to selected countries as set out in Table 3 below.</w:t>
      </w:r>
    </w:p>
    <w:p w14:paraId="495EC575" w14:textId="77777777" w:rsidR="00BA172C" w:rsidRPr="0064594C" w:rsidRDefault="00BA172C" w:rsidP="00BA172C">
      <w:pPr>
        <w:ind w:left="709"/>
        <w:rPr>
          <w:rFonts w:cs="Arial"/>
          <w:i/>
          <w:sz w:val="20"/>
          <w:szCs w:val="20"/>
        </w:rPr>
      </w:pPr>
      <w:r w:rsidRPr="0064594C">
        <w:rPr>
          <w:rFonts w:cs="Arial"/>
          <w:sz w:val="20"/>
          <w:szCs w:val="20"/>
        </w:rPr>
        <w:t xml:space="preserve">Unlimited standard calls are only available for personal and ordinary business use and are not to be used for a commercial or non-ordinary purpose as set out in the Fair Go Policy. For further details refer to </w:t>
      </w:r>
      <w:hyperlink r:id="rId796" w:history="1">
        <w:r w:rsidRPr="0064594C">
          <w:rPr>
            <w:rFonts w:cs="Arial"/>
            <w:i/>
            <w:color w:val="0000FF"/>
            <w:sz w:val="20"/>
            <w:szCs w:val="20"/>
            <w:u w:val="single"/>
          </w:rPr>
          <w:t>Appendix S.</w:t>
        </w:r>
      </w:hyperlink>
    </w:p>
    <w:p w14:paraId="53CA0639" w14:textId="77777777" w:rsidR="00BA172C" w:rsidRPr="0064594C" w:rsidRDefault="00BA172C" w:rsidP="00BA172C">
      <w:pPr>
        <w:numPr>
          <w:ilvl w:val="5"/>
          <w:numId w:val="1"/>
        </w:numPr>
        <w:spacing w:after="200"/>
        <w:outlineLvl w:val="5"/>
        <w:rPr>
          <w:rFonts w:eastAsia="Times New Roman" w:cs="Arial"/>
          <w:snapToGrid w:val="0"/>
          <w:sz w:val="20"/>
          <w:szCs w:val="20"/>
          <w:lang w:val="en-AU"/>
        </w:rPr>
      </w:pPr>
      <w:r w:rsidRPr="0064594C">
        <w:rPr>
          <w:rFonts w:eastAsia="Times New Roman" w:cs="Arial"/>
          <w:snapToGrid w:val="0"/>
          <w:sz w:val="20"/>
          <w:szCs w:val="20"/>
          <w:lang w:val="en-AU"/>
        </w:rPr>
        <w:t>Unlimited standard national SMS and MMS</w:t>
      </w:r>
    </w:p>
    <w:p w14:paraId="085DA80E" w14:textId="77777777" w:rsidR="00BA172C" w:rsidRPr="0064594C" w:rsidRDefault="00BA172C" w:rsidP="00BA172C">
      <w:pPr>
        <w:ind w:left="709"/>
        <w:rPr>
          <w:rFonts w:cs="Arial"/>
          <w:sz w:val="20"/>
          <w:szCs w:val="20"/>
        </w:rPr>
      </w:pPr>
      <w:r w:rsidRPr="0064594C">
        <w:rPr>
          <w:rFonts w:cs="Arial"/>
          <w:i/>
          <w:sz w:val="20"/>
          <w:szCs w:val="20"/>
        </w:rPr>
        <w:t>You</w:t>
      </w:r>
      <w:r w:rsidRPr="0064594C">
        <w:rPr>
          <w:rFonts w:cs="Arial"/>
          <w:sz w:val="20"/>
          <w:szCs w:val="20"/>
        </w:rPr>
        <w:t xml:space="preserve"> may send unlimited standard SMS and MMS to Australian mobiles from within Australia.</w:t>
      </w:r>
    </w:p>
    <w:p w14:paraId="0C04D16B" w14:textId="77777777" w:rsidR="00BA172C" w:rsidRPr="0064594C" w:rsidRDefault="00BA172C" w:rsidP="00BA172C">
      <w:pPr>
        <w:ind w:left="709"/>
        <w:rPr>
          <w:rFonts w:cs="Arial"/>
          <w:i/>
          <w:sz w:val="20"/>
          <w:szCs w:val="20"/>
          <w:u w:val="single"/>
        </w:rPr>
      </w:pPr>
      <w:r w:rsidRPr="0064594C">
        <w:rPr>
          <w:rFonts w:cs="Arial"/>
          <w:sz w:val="20"/>
          <w:szCs w:val="20"/>
        </w:rPr>
        <w:t xml:space="preserve">Unlimited standard national SMS and MMS are only available for personal and ordinary business use and are not to be used for a commercial or non-ordinary purpose as set out in the </w:t>
      </w:r>
      <w:hyperlink r:id="rId797" w:history="1">
        <w:r w:rsidRPr="0064594C">
          <w:rPr>
            <w:rFonts w:cs="Arial"/>
            <w:i/>
            <w:sz w:val="20"/>
            <w:szCs w:val="20"/>
            <w:u w:val="single"/>
          </w:rPr>
          <w:t>Fair Go Policy</w:t>
        </w:r>
      </w:hyperlink>
      <w:r w:rsidRPr="0064594C">
        <w:rPr>
          <w:rFonts w:cs="Arial"/>
          <w:sz w:val="20"/>
          <w:szCs w:val="20"/>
        </w:rPr>
        <w:t xml:space="preserve">. For further details refer to </w:t>
      </w:r>
      <w:hyperlink r:id="rId798" w:history="1">
        <w:r w:rsidRPr="0064594C">
          <w:rPr>
            <w:rFonts w:cs="Arial"/>
            <w:i/>
            <w:color w:val="0000FF"/>
            <w:sz w:val="20"/>
            <w:szCs w:val="20"/>
            <w:u w:val="single"/>
          </w:rPr>
          <w:t>Appendix S.</w:t>
        </w:r>
      </w:hyperlink>
    </w:p>
    <w:p w14:paraId="2FE2AF6B" w14:textId="77777777" w:rsidR="00BA172C" w:rsidRPr="0064594C" w:rsidRDefault="00BA172C" w:rsidP="00BA172C">
      <w:pPr>
        <w:numPr>
          <w:ilvl w:val="5"/>
          <w:numId w:val="1"/>
        </w:numPr>
        <w:spacing w:after="200"/>
        <w:outlineLvl w:val="5"/>
        <w:rPr>
          <w:rFonts w:eastAsia="Times New Roman" w:cs="Arial"/>
          <w:snapToGrid w:val="0"/>
          <w:sz w:val="20"/>
          <w:szCs w:val="20"/>
          <w:lang w:val="en-AU"/>
        </w:rPr>
      </w:pPr>
      <w:r w:rsidRPr="0064594C">
        <w:rPr>
          <w:rFonts w:eastAsia="Times New Roman" w:cs="Arial"/>
          <w:snapToGrid w:val="0"/>
          <w:sz w:val="20"/>
          <w:szCs w:val="20"/>
          <w:lang w:val="en-AU"/>
        </w:rPr>
        <w:t>Unlimited standard international SMS and MMS</w:t>
      </w:r>
    </w:p>
    <w:p w14:paraId="26706288" w14:textId="77777777" w:rsidR="00BA172C" w:rsidRPr="0064594C" w:rsidRDefault="00BA172C" w:rsidP="00BA172C">
      <w:pPr>
        <w:ind w:left="709"/>
        <w:rPr>
          <w:rFonts w:cs="Arial"/>
          <w:sz w:val="20"/>
          <w:szCs w:val="20"/>
        </w:rPr>
      </w:pPr>
      <w:r w:rsidRPr="0064594C">
        <w:rPr>
          <w:rFonts w:cs="Arial"/>
          <w:i/>
          <w:sz w:val="20"/>
          <w:szCs w:val="20"/>
        </w:rPr>
        <w:t>You</w:t>
      </w:r>
      <w:r w:rsidRPr="0064594C">
        <w:rPr>
          <w:rFonts w:cs="Arial"/>
          <w:sz w:val="20"/>
          <w:szCs w:val="20"/>
        </w:rPr>
        <w:t xml:space="preserve"> may send unlimited standard SMS and MMS to selected countries as set out in Table 3 below.</w:t>
      </w:r>
    </w:p>
    <w:p w14:paraId="4080B9E6" w14:textId="77777777" w:rsidR="00BA172C" w:rsidRPr="0064594C" w:rsidRDefault="00BA172C" w:rsidP="00BA172C">
      <w:pPr>
        <w:ind w:left="709"/>
        <w:rPr>
          <w:rFonts w:cs="Arial"/>
          <w:i/>
          <w:sz w:val="20"/>
          <w:szCs w:val="20"/>
        </w:rPr>
      </w:pPr>
      <w:r w:rsidRPr="0064594C">
        <w:rPr>
          <w:rFonts w:cs="Arial"/>
          <w:sz w:val="20"/>
          <w:szCs w:val="20"/>
        </w:rPr>
        <w:t xml:space="preserve">Unlimited standard SMS and MMS are only available for personal and ordinary business use and are not to be used for a commercial or non-ordinary purpose as set out in the Fair Go Policy. For further details refer to </w:t>
      </w:r>
      <w:hyperlink r:id="rId799" w:history="1">
        <w:r w:rsidRPr="0064594C">
          <w:rPr>
            <w:rFonts w:cs="Arial"/>
            <w:i/>
            <w:color w:val="0000FF"/>
            <w:sz w:val="20"/>
            <w:szCs w:val="20"/>
            <w:u w:val="single"/>
          </w:rPr>
          <w:t>Appendix S.</w:t>
        </w:r>
      </w:hyperlink>
    </w:p>
    <w:p w14:paraId="256872C4" w14:textId="77777777" w:rsidR="00BA172C" w:rsidRPr="0064594C" w:rsidRDefault="00BA172C" w:rsidP="00BA172C">
      <w:pPr>
        <w:numPr>
          <w:ilvl w:val="5"/>
          <w:numId w:val="1"/>
        </w:numPr>
        <w:spacing w:after="200"/>
        <w:outlineLvl w:val="5"/>
        <w:rPr>
          <w:rFonts w:eastAsia="Times New Roman" w:cs="Arial"/>
          <w:snapToGrid w:val="0"/>
          <w:sz w:val="20"/>
          <w:szCs w:val="20"/>
          <w:lang w:val="en-AU"/>
        </w:rPr>
      </w:pPr>
      <w:r w:rsidRPr="0064594C">
        <w:rPr>
          <w:rFonts w:eastAsia="Times New Roman" w:cs="Arial"/>
          <w:snapToGrid w:val="0"/>
          <w:sz w:val="20"/>
          <w:szCs w:val="20"/>
          <w:lang w:val="en-AU"/>
        </w:rPr>
        <w:lastRenderedPageBreak/>
        <w:t>International Roaming Data</w:t>
      </w:r>
    </w:p>
    <w:p w14:paraId="3307843F" w14:textId="77777777" w:rsidR="00BA172C" w:rsidRPr="0064594C" w:rsidRDefault="00BA172C" w:rsidP="00BA172C">
      <w:pPr>
        <w:ind w:left="709"/>
        <w:rPr>
          <w:rFonts w:cs="Arial"/>
          <w:snapToGrid w:val="0"/>
          <w:sz w:val="20"/>
          <w:szCs w:val="20"/>
        </w:rPr>
      </w:pPr>
      <w:r w:rsidRPr="0064594C">
        <w:rPr>
          <w:rFonts w:cs="Arial"/>
          <w:snapToGrid w:val="0"/>
          <w:sz w:val="20"/>
          <w:szCs w:val="20"/>
        </w:rPr>
        <w:t xml:space="preserve">The $130 and $160 My Plan Business Plans have up to 1GB and 1.5GB respectively for use within each billing month in selected Zone 1 countries </w:t>
      </w:r>
      <w:r w:rsidRPr="0064594C">
        <w:rPr>
          <w:rFonts w:cs="Arial"/>
          <w:bCs/>
          <w:snapToGrid w:val="0"/>
          <w:sz w:val="20"/>
          <w:szCs w:val="20"/>
        </w:rPr>
        <w:br/>
      </w:r>
    </w:p>
    <w:p w14:paraId="426943D2" w14:textId="77777777" w:rsidR="00BA172C" w:rsidRPr="00B7364B" w:rsidRDefault="00BA172C" w:rsidP="00BA172C">
      <w:pPr>
        <w:tabs>
          <w:tab w:val="left" w:pos="567"/>
          <w:tab w:val="left" w:pos="709"/>
          <w:tab w:val="left" w:pos="1701"/>
        </w:tabs>
        <w:spacing w:before="120" w:after="240"/>
        <w:rPr>
          <w:rFonts w:cs="Arial"/>
          <w:i/>
          <w:sz w:val="20"/>
          <w:szCs w:val="20"/>
        </w:rPr>
      </w:pPr>
      <w:r w:rsidRPr="00B7364B">
        <w:rPr>
          <w:rFonts w:cs="Arial"/>
          <w:snapToGrid w:val="0"/>
          <w:sz w:val="20"/>
          <w:szCs w:val="20"/>
        </w:rPr>
        <w:t>I</w:t>
      </w:r>
      <w:r w:rsidRPr="00B7364B">
        <w:rPr>
          <w:rFonts w:cs="Arial"/>
          <w:bCs/>
          <w:snapToGrid w:val="0"/>
          <w:sz w:val="20"/>
          <w:szCs w:val="20"/>
        </w:rPr>
        <w:t>f you are not in a selected Zone 1 country you will be charged at standard roaming rates for that country.</w:t>
      </w:r>
    </w:p>
    <w:p w14:paraId="5B5BAE72" w14:textId="77777777" w:rsidR="00BA172C" w:rsidRPr="00B7364B" w:rsidRDefault="00BA172C" w:rsidP="00BA172C">
      <w:pPr>
        <w:tabs>
          <w:tab w:val="left" w:pos="1701"/>
        </w:tabs>
        <w:spacing w:before="120" w:after="120"/>
        <w:rPr>
          <w:rFonts w:cs="Arial"/>
          <w:b/>
          <w:sz w:val="20"/>
          <w:szCs w:val="20"/>
          <w:lang w:val="en-AU"/>
        </w:rPr>
      </w:pPr>
      <w:r w:rsidRPr="00B7364B">
        <w:rPr>
          <w:rFonts w:cs="Arial"/>
          <w:b/>
          <w:sz w:val="20"/>
          <w:szCs w:val="20"/>
        </w:rPr>
        <w:t>Table 1 –Plan Inclusions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8"/>
        <w:gridCol w:w="3348"/>
        <w:gridCol w:w="3492"/>
      </w:tblGrid>
      <w:tr w:rsidR="00BA172C" w:rsidRPr="00B7364B" w14:paraId="3A7164D7" w14:textId="77777777" w:rsidTr="00B95821">
        <w:tc>
          <w:tcPr>
            <w:tcW w:w="1643" w:type="pct"/>
            <w:shd w:val="clear" w:color="auto" w:fill="auto"/>
          </w:tcPr>
          <w:p w14:paraId="67403F7A" w14:textId="77777777" w:rsidR="00BA172C" w:rsidRPr="00B7364B" w:rsidRDefault="00BA172C" w:rsidP="00B95821">
            <w:pPr>
              <w:spacing w:before="240" w:after="240"/>
              <w:rPr>
                <w:rFonts w:eastAsia="Calibri" w:cs="Arial"/>
                <w:sz w:val="20"/>
                <w:szCs w:val="20"/>
              </w:rPr>
            </w:pPr>
          </w:p>
        </w:tc>
        <w:tc>
          <w:tcPr>
            <w:tcW w:w="1643" w:type="pct"/>
          </w:tcPr>
          <w:p w14:paraId="26D01306" w14:textId="77777777" w:rsidR="00BA172C" w:rsidRPr="00B7364B" w:rsidRDefault="00BA172C" w:rsidP="00B95821">
            <w:pPr>
              <w:spacing w:before="240" w:after="240"/>
              <w:jc w:val="center"/>
              <w:rPr>
                <w:rFonts w:eastAsia="Calibri" w:cs="Arial"/>
                <w:b/>
                <w:sz w:val="20"/>
                <w:szCs w:val="20"/>
              </w:rPr>
            </w:pPr>
            <w:r w:rsidRPr="00B7364B">
              <w:rPr>
                <w:rFonts w:eastAsia="Calibri" w:cs="Arial"/>
                <w:b/>
                <w:sz w:val="20"/>
                <w:szCs w:val="20"/>
              </w:rPr>
              <w:t xml:space="preserve">$130 My Plan Business </w:t>
            </w:r>
          </w:p>
        </w:tc>
        <w:tc>
          <w:tcPr>
            <w:tcW w:w="1714" w:type="pct"/>
          </w:tcPr>
          <w:p w14:paraId="17768FA5" w14:textId="77777777" w:rsidR="00BA172C" w:rsidRPr="00B7364B" w:rsidRDefault="00BA172C" w:rsidP="00B95821">
            <w:pPr>
              <w:spacing w:before="240" w:after="240"/>
              <w:jc w:val="center"/>
              <w:rPr>
                <w:rFonts w:eastAsia="Calibri" w:cs="Arial"/>
                <w:b/>
                <w:sz w:val="20"/>
                <w:szCs w:val="20"/>
              </w:rPr>
            </w:pPr>
            <w:r w:rsidRPr="00B7364B">
              <w:rPr>
                <w:rFonts w:eastAsia="Calibri" w:cs="Arial"/>
                <w:b/>
                <w:sz w:val="20"/>
                <w:szCs w:val="20"/>
              </w:rPr>
              <w:t xml:space="preserve">$160 My Plan Business </w:t>
            </w:r>
          </w:p>
        </w:tc>
      </w:tr>
      <w:tr w:rsidR="00BA172C" w:rsidRPr="00B7364B" w14:paraId="46A0B5D3" w14:textId="77777777" w:rsidTr="00B95821">
        <w:tc>
          <w:tcPr>
            <w:tcW w:w="1643" w:type="pct"/>
            <w:shd w:val="clear" w:color="auto" w:fill="auto"/>
          </w:tcPr>
          <w:p w14:paraId="2B3652EA" w14:textId="77777777" w:rsidR="00BA172C" w:rsidRPr="00B7364B" w:rsidRDefault="00BA172C" w:rsidP="00B95821">
            <w:pPr>
              <w:spacing w:after="200" w:line="276" w:lineRule="auto"/>
              <w:rPr>
                <w:rFonts w:eastAsia="Calibri" w:cs="Arial"/>
                <w:sz w:val="20"/>
                <w:szCs w:val="20"/>
              </w:rPr>
            </w:pPr>
            <w:r w:rsidRPr="00B7364B">
              <w:rPr>
                <w:rFonts w:eastAsia="Calibri" w:cs="Arial"/>
                <w:b/>
                <w:bCs/>
                <w:sz w:val="20"/>
                <w:szCs w:val="20"/>
              </w:rPr>
              <w:t>Minimum Monthly charge</w:t>
            </w:r>
          </w:p>
        </w:tc>
        <w:tc>
          <w:tcPr>
            <w:tcW w:w="1643" w:type="pct"/>
            <w:vAlign w:val="center"/>
          </w:tcPr>
          <w:p w14:paraId="5E17A76F" w14:textId="77777777" w:rsidR="00BA172C" w:rsidRPr="00B7364B" w:rsidRDefault="00BA172C" w:rsidP="00B95821">
            <w:pPr>
              <w:jc w:val="center"/>
              <w:rPr>
                <w:rFonts w:eastAsia="Calibri" w:cs="Arial"/>
                <w:sz w:val="20"/>
                <w:szCs w:val="20"/>
              </w:rPr>
            </w:pPr>
            <w:r w:rsidRPr="00B7364B">
              <w:rPr>
                <w:rFonts w:eastAsia="Calibri" w:cs="Arial"/>
                <w:sz w:val="20"/>
                <w:szCs w:val="20"/>
              </w:rPr>
              <w:t>$130</w:t>
            </w:r>
          </w:p>
        </w:tc>
        <w:tc>
          <w:tcPr>
            <w:tcW w:w="1714" w:type="pct"/>
          </w:tcPr>
          <w:p w14:paraId="4C7F31A7" w14:textId="77777777" w:rsidR="00BA172C" w:rsidRPr="00B7364B" w:rsidRDefault="00BA172C" w:rsidP="00B95821">
            <w:pPr>
              <w:spacing w:before="240"/>
              <w:jc w:val="center"/>
              <w:rPr>
                <w:rFonts w:eastAsia="Calibri" w:cs="Arial"/>
                <w:sz w:val="20"/>
                <w:szCs w:val="20"/>
              </w:rPr>
            </w:pPr>
            <w:r w:rsidRPr="00B7364B">
              <w:rPr>
                <w:rFonts w:eastAsia="Calibri" w:cs="Arial"/>
                <w:sz w:val="20"/>
                <w:szCs w:val="20"/>
              </w:rPr>
              <w:t>$160</w:t>
            </w:r>
          </w:p>
        </w:tc>
      </w:tr>
      <w:tr w:rsidR="00BA172C" w:rsidRPr="00B7364B" w14:paraId="704EA5C9" w14:textId="77777777" w:rsidTr="00B95821">
        <w:tc>
          <w:tcPr>
            <w:tcW w:w="1643" w:type="pct"/>
            <w:shd w:val="clear" w:color="auto" w:fill="auto"/>
          </w:tcPr>
          <w:p w14:paraId="1E6C378C" w14:textId="77777777" w:rsidR="00BA172C" w:rsidRPr="00B7364B" w:rsidRDefault="00BA172C" w:rsidP="00B95821">
            <w:pPr>
              <w:spacing w:after="200" w:line="276" w:lineRule="auto"/>
              <w:rPr>
                <w:rFonts w:eastAsia="Calibri" w:cs="Arial"/>
                <w:sz w:val="20"/>
                <w:szCs w:val="20"/>
              </w:rPr>
            </w:pPr>
            <w:r w:rsidRPr="00B7364B">
              <w:rPr>
                <w:rFonts w:eastAsia="Calibri" w:cs="Arial"/>
                <w:b/>
                <w:bCs/>
                <w:sz w:val="20"/>
                <w:szCs w:val="20"/>
              </w:rPr>
              <w:t>Included Data</w:t>
            </w:r>
          </w:p>
        </w:tc>
        <w:tc>
          <w:tcPr>
            <w:tcW w:w="1643" w:type="pct"/>
            <w:vAlign w:val="center"/>
          </w:tcPr>
          <w:p w14:paraId="389BABCF" w14:textId="77777777" w:rsidR="00BA172C" w:rsidRPr="00B7364B" w:rsidRDefault="00BA172C" w:rsidP="00B95821">
            <w:pPr>
              <w:jc w:val="center"/>
              <w:rPr>
                <w:rFonts w:eastAsia="Calibri" w:cs="Arial"/>
                <w:sz w:val="20"/>
                <w:szCs w:val="20"/>
              </w:rPr>
            </w:pPr>
            <w:r w:rsidRPr="00B7364B">
              <w:rPr>
                <w:rFonts w:eastAsia="Calibri" w:cs="Arial"/>
                <w:sz w:val="20"/>
                <w:szCs w:val="20"/>
              </w:rPr>
              <w:t>30GB</w:t>
            </w:r>
          </w:p>
        </w:tc>
        <w:tc>
          <w:tcPr>
            <w:tcW w:w="1714" w:type="pct"/>
          </w:tcPr>
          <w:p w14:paraId="471AF5A5" w14:textId="77777777" w:rsidR="00BA172C" w:rsidRPr="00B7364B" w:rsidRDefault="00BA172C" w:rsidP="00B95821">
            <w:pPr>
              <w:spacing w:before="120"/>
              <w:jc w:val="center"/>
              <w:rPr>
                <w:rFonts w:eastAsia="Calibri" w:cs="Arial"/>
                <w:sz w:val="20"/>
                <w:szCs w:val="20"/>
              </w:rPr>
            </w:pPr>
            <w:r w:rsidRPr="00B7364B">
              <w:rPr>
                <w:rFonts w:eastAsia="Calibri" w:cs="Arial"/>
                <w:sz w:val="20"/>
                <w:szCs w:val="20"/>
              </w:rPr>
              <w:t>100GB</w:t>
            </w:r>
          </w:p>
        </w:tc>
      </w:tr>
      <w:tr w:rsidR="00BA172C" w:rsidRPr="00B7364B" w14:paraId="59786167" w14:textId="77777777" w:rsidTr="00B95821">
        <w:tc>
          <w:tcPr>
            <w:tcW w:w="1643" w:type="pct"/>
            <w:shd w:val="clear" w:color="auto" w:fill="auto"/>
          </w:tcPr>
          <w:p w14:paraId="143B10F9" w14:textId="77777777" w:rsidR="00BA172C" w:rsidRPr="00B7364B" w:rsidRDefault="00BA172C" w:rsidP="00B95821">
            <w:pPr>
              <w:spacing w:before="240" w:after="200" w:line="276" w:lineRule="auto"/>
              <w:rPr>
                <w:rFonts w:eastAsia="Calibri" w:cs="Arial"/>
                <w:b/>
                <w:bCs/>
                <w:sz w:val="20"/>
                <w:szCs w:val="20"/>
              </w:rPr>
            </w:pPr>
            <w:r w:rsidRPr="00B7364B">
              <w:rPr>
                <w:rFonts w:eastAsia="Calibri" w:cs="Arial"/>
                <w:b/>
                <w:bCs/>
                <w:sz w:val="20"/>
                <w:szCs w:val="20"/>
              </w:rPr>
              <w:t>Additional Data</w:t>
            </w:r>
          </w:p>
        </w:tc>
        <w:tc>
          <w:tcPr>
            <w:tcW w:w="3357" w:type="pct"/>
            <w:gridSpan w:val="2"/>
            <w:shd w:val="clear" w:color="auto" w:fill="auto"/>
            <w:vAlign w:val="center"/>
          </w:tcPr>
          <w:p w14:paraId="3906EB29" w14:textId="77777777" w:rsidR="00BA172C" w:rsidRPr="00B7364B" w:rsidRDefault="00BA172C" w:rsidP="00B95821">
            <w:pPr>
              <w:spacing w:before="240" w:after="200" w:line="276" w:lineRule="auto"/>
              <w:jc w:val="center"/>
              <w:rPr>
                <w:rFonts w:eastAsia="Calibri" w:cs="Arial"/>
                <w:b/>
                <w:bCs/>
                <w:sz w:val="20"/>
                <w:szCs w:val="20"/>
              </w:rPr>
            </w:pPr>
            <w:r w:rsidRPr="00B7364B">
              <w:rPr>
                <w:rFonts w:eastAsia="Calibri" w:cs="Arial"/>
                <w:b/>
                <w:bCs/>
                <w:sz w:val="20"/>
                <w:szCs w:val="20"/>
              </w:rPr>
              <w:t>$10 per 1GB</w:t>
            </w:r>
          </w:p>
        </w:tc>
      </w:tr>
      <w:tr w:rsidR="00BA172C" w:rsidRPr="00B7364B" w14:paraId="40886E40" w14:textId="77777777" w:rsidTr="00B95821">
        <w:tc>
          <w:tcPr>
            <w:tcW w:w="1643" w:type="pct"/>
            <w:shd w:val="clear" w:color="auto" w:fill="auto"/>
          </w:tcPr>
          <w:p w14:paraId="7A3DA0A1" w14:textId="77777777" w:rsidR="00BA172C" w:rsidRPr="00B7364B" w:rsidRDefault="00BA172C" w:rsidP="00B95821">
            <w:pPr>
              <w:spacing w:after="200" w:line="276" w:lineRule="auto"/>
              <w:rPr>
                <w:rFonts w:eastAsia="Calibri" w:cs="Arial"/>
                <w:b/>
                <w:bCs/>
                <w:sz w:val="20"/>
                <w:szCs w:val="20"/>
              </w:rPr>
            </w:pPr>
            <w:r w:rsidRPr="00B7364B">
              <w:rPr>
                <w:rFonts w:eastAsia="Calibri" w:cs="Arial"/>
                <w:b/>
                <w:bCs/>
                <w:sz w:val="20"/>
                <w:szCs w:val="20"/>
              </w:rPr>
              <w:t xml:space="preserve">Included Minutes </w:t>
            </w:r>
          </w:p>
          <w:p w14:paraId="29483621" w14:textId="77777777" w:rsidR="00BA172C" w:rsidRPr="00B7364B" w:rsidRDefault="00BA172C" w:rsidP="00B95821">
            <w:pPr>
              <w:spacing w:after="200" w:line="276" w:lineRule="auto"/>
              <w:rPr>
                <w:rFonts w:eastAsia="Calibri" w:cs="Arial"/>
                <w:sz w:val="20"/>
                <w:szCs w:val="20"/>
              </w:rPr>
            </w:pPr>
            <w:r w:rsidRPr="00B7364B">
              <w:rPr>
                <w:rFonts w:cs="Arial"/>
                <w:sz w:val="20"/>
                <w:szCs w:val="20"/>
              </w:rPr>
              <w:t>for standard national calls to landlines and mobiles, 1300 numbers and voicemail, within Australia</w:t>
            </w:r>
          </w:p>
        </w:tc>
        <w:tc>
          <w:tcPr>
            <w:tcW w:w="1643" w:type="pct"/>
            <w:vAlign w:val="center"/>
          </w:tcPr>
          <w:p w14:paraId="52514A5B" w14:textId="77777777" w:rsidR="00BA172C" w:rsidRPr="00B7364B" w:rsidRDefault="00BA172C" w:rsidP="00B95821">
            <w:pPr>
              <w:jc w:val="center"/>
              <w:rPr>
                <w:rFonts w:eastAsia="Calibri" w:cs="Arial"/>
                <w:sz w:val="20"/>
                <w:szCs w:val="20"/>
              </w:rPr>
            </w:pPr>
            <w:r w:rsidRPr="00B7364B">
              <w:rPr>
                <w:rFonts w:eastAsia="Calibri" w:cs="Arial"/>
                <w:sz w:val="20"/>
                <w:szCs w:val="20"/>
              </w:rPr>
              <w:t>Unlimited</w:t>
            </w:r>
          </w:p>
        </w:tc>
        <w:tc>
          <w:tcPr>
            <w:tcW w:w="1714" w:type="pct"/>
          </w:tcPr>
          <w:p w14:paraId="139E7202" w14:textId="77777777" w:rsidR="00BA172C" w:rsidRPr="00B7364B" w:rsidRDefault="00BA172C" w:rsidP="00B95821">
            <w:pPr>
              <w:spacing w:before="600"/>
              <w:jc w:val="center"/>
              <w:rPr>
                <w:rFonts w:eastAsia="Calibri" w:cs="Arial"/>
                <w:sz w:val="20"/>
                <w:szCs w:val="20"/>
              </w:rPr>
            </w:pPr>
            <w:r w:rsidRPr="00B7364B">
              <w:rPr>
                <w:rFonts w:eastAsia="Calibri" w:cs="Arial"/>
                <w:sz w:val="20"/>
                <w:szCs w:val="20"/>
              </w:rPr>
              <w:t>Unlimited</w:t>
            </w:r>
          </w:p>
        </w:tc>
      </w:tr>
      <w:tr w:rsidR="00BA172C" w:rsidRPr="00B7364B" w14:paraId="62D42FAA" w14:textId="77777777" w:rsidTr="00B95821">
        <w:tc>
          <w:tcPr>
            <w:tcW w:w="1643" w:type="pct"/>
            <w:shd w:val="clear" w:color="auto" w:fill="auto"/>
          </w:tcPr>
          <w:p w14:paraId="4CFA5794" w14:textId="77777777" w:rsidR="00BA172C" w:rsidRPr="00B7364B" w:rsidRDefault="00BA172C" w:rsidP="00B95821">
            <w:pPr>
              <w:autoSpaceDE w:val="0"/>
              <w:autoSpaceDN w:val="0"/>
              <w:adjustRightInd w:val="0"/>
              <w:rPr>
                <w:rFonts w:cs="Arial"/>
                <w:b/>
                <w:bCs/>
                <w:sz w:val="20"/>
                <w:szCs w:val="20"/>
              </w:rPr>
            </w:pPr>
            <w:r w:rsidRPr="00B7364B">
              <w:rPr>
                <w:rFonts w:cs="Arial"/>
                <w:b/>
                <w:bCs/>
                <w:sz w:val="20"/>
                <w:szCs w:val="20"/>
              </w:rPr>
              <w:t>Included International Minutes</w:t>
            </w:r>
          </w:p>
          <w:p w14:paraId="3AFEA9CC" w14:textId="77777777" w:rsidR="00BA172C" w:rsidRPr="00B7364B" w:rsidRDefault="00BA172C" w:rsidP="00B95821">
            <w:pPr>
              <w:autoSpaceDE w:val="0"/>
              <w:autoSpaceDN w:val="0"/>
              <w:adjustRightInd w:val="0"/>
              <w:rPr>
                <w:rFonts w:cs="Arial"/>
                <w:sz w:val="20"/>
                <w:szCs w:val="20"/>
              </w:rPr>
            </w:pPr>
            <w:r w:rsidRPr="00B7364B">
              <w:rPr>
                <w:rFonts w:cs="Arial"/>
                <w:sz w:val="20"/>
                <w:szCs w:val="20"/>
              </w:rPr>
              <w:t>Standard international calls to landlines and mobiles</w:t>
            </w:r>
          </w:p>
          <w:p w14:paraId="56C4D990" w14:textId="77777777" w:rsidR="00BA172C" w:rsidRPr="00B7364B" w:rsidRDefault="00BA172C" w:rsidP="00B95821">
            <w:pPr>
              <w:spacing w:after="200" w:line="276" w:lineRule="auto"/>
              <w:rPr>
                <w:rFonts w:eastAsia="Calibri" w:cs="Arial"/>
                <w:b/>
                <w:bCs/>
                <w:sz w:val="20"/>
                <w:szCs w:val="20"/>
              </w:rPr>
            </w:pPr>
            <w:r w:rsidRPr="00B7364B">
              <w:rPr>
                <w:rFonts w:cs="Arial"/>
                <w:sz w:val="20"/>
                <w:szCs w:val="20"/>
              </w:rPr>
              <w:t>to selected countries (charged per min)</w:t>
            </w:r>
          </w:p>
        </w:tc>
        <w:tc>
          <w:tcPr>
            <w:tcW w:w="1643" w:type="pct"/>
            <w:vAlign w:val="center"/>
          </w:tcPr>
          <w:p w14:paraId="58DB5D13" w14:textId="77777777" w:rsidR="00BA172C" w:rsidRPr="00B7364B" w:rsidRDefault="00BA172C" w:rsidP="00B95821">
            <w:pPr>
              <w:jc w:val="center"/>
              <w:rPr>
                <w:rFonts w:cs="Arial"/>
                <w:bCs/>
                <w:sz w:val="20"/>
                <w:szCs w:val="20"/>
              </w:rPr>
            </w:pPr>
            <w:r w:rsidRPr="00B7364B">
              <w:rPr>
                <w:rFonts w:eastAsia="Calibri" w:cs="Arial"/>
                <w:sz w:val="20"/>
                <w:szCs w:val="20"/>
              </w:rPr>
              <w:t>Unlimited</w:t>
            </w:r>
          </w:p>
        </w:tc>
        <w:tc>
          <w:tcPr>
            <w:tcW w:w="1714" w:type="pct"/>
          </w:tcPr>
          <w:p w14:paraId="728E9417" w14:textId="77777777" w:rsidR="00BA172C" w:rsidRPr="00B7364B" w:rsidRDefault="00BA172C" w:rsidP="00B95821">
            <w:pPr>
              <w:spacing w:before="480"/>
              <w:jc w:val="center"/>
              <w:rPr>
                <w:rFonts w:cs="Arial"/>
                <w:bCs/>
                <w:sz w:val="20"/>
                <w:szCs w:val="20"/>
              </w:rPr>
            </w:pPr>
            <w:r w:rsidRPr="00B7364B">
              <w:rPr>
                <w:rFonts w:eastAsia="Calibri" w:cs="Arial"/>
                <w:sz w:val="20"/>
                <w:szCs w:val="20"/>
              </w:rPr>
              <w:t>Unlimited</w:t>
            </w:r>
          </w:p>
        </w:tc>
      </w:tr>
      <w:tr w:rsidR="00BA172C" w:rsidRPr="00B7364B" w14:paraId="54675850" w14:textId="77777777" w:rsidTr="00B95821">
        <w:tc>
          <w:tcPr>
            <w:tcW w:w="1643" w:type="pct"/>
            <w:shd w:val="clear" w:color="auto" w:fill="auto"/>
          </w:tcPr>
          <w:p w14:paraId="01356999" w14:textId="77777777" w:rsidR="00BA172C" w:rsidRPr="00B7364B" w:rsidRDefault="00BA172C" w:rsidP="00B95821">
            <w:pPr>
              <w:spacing w:after="200" w:line="276" w:lineRule="auto"/>
              <w:rPr>
                <w:rFonts w:eastAsia="Calibri" w:cs="Arial"/>
                <w:sz w:val="20"/>
                <w:szCs w:val="20"/>
              </w:rPr>
            </w:pPr>
            <w:r w:rsidRPr="00B7364B">
              <w:rPr>
                <w:rFonts w:eastAsia="Calibri" w:cs="Arial"/>
                <w:b/>
                <w:bCs/>
                <w:sz w:val="20"/>
                <w:szCs w:val="20"/>
              </w:rPr>
              <w:t xml:space="preserve">Standard national SMS </w:t>
            </w:r>
            <w:r w:rsidRPr="00B7364B">
              <w:rPr>
                <w:rFonts w:eastAsia="Calibri" w:cs="Arial"/>
                <w:sz w:val="20"/>
                <w:szCs w:val="20"/>
              </w:rPr>
              <w:t>(per SMS of up to 160 standard characters)</w:t>
            </w:r>
          </w:p>
        </w:tc>
        <w:tc>
          <w:tcPr>
            <w:tcW w:w="1643" w:type="pct"/>
            <w:vAlign w:val="center"/>
          </w:tcPr>
          <w:p w14:paraId="7920C814" w14:textId="77777777" w:rsidR="00BA172C" w:rsidRPr="00B7364B" w:rsidRDefault="00BA172C" w:rsidP="00B95821">
            <w:pPr>
              <w:jc w:val="center"/>
              <w:rPr>
                <w:rFonts w:eastAsia="Calibri" w:cs="Arial"/>
                <w:sz w:val="20"/>
                <w:szCs w:val="20"/>
              </w:rPr>
            </w:pPr>
            <w:r w:rsidRPr="00B7364B">
              <w:rPr>
                <w:rFonts w:eastAsia="Calibri" w:cs="Arial"/>
                <w:sz w:val="20"/>
                <w:szCs w:val="20"/>
              </w:rPr>
              <w:t>Unlimited</w:t>
            </w:r>
          </w:p>
        </w:tc>
        <w:tc>
          <w:tcPr>
            <w:tcW w:w="1714" w:type="pct"/>
            <w:vAlign w:val="center"/>
          </w:tcPr>
          <w:p w14:paraId="79A89BA1" w14:textId="77777777" w:rsidR="00BA172C" w:rsidRPr="00B7364B" w:rsidRDefault="00BA172C" w:rsidP="00B95821">
            <w:pPr>
              <w:spacing w:before="480"/>
              <w:jc w:val="center"/>
              <w:rPr>
                <w:rFonts w:eastAsia="Calibri" w:cs="Arial"/>
                <w:sz w:val="20"/>
                <w:szCs w:val="20"/>
              </w:rPr>
            </w:pPr>
            <w:r w:rsidRPr="00B7364B">
              <w:rPr>
                <w:rFonts w:eastAsia="Calibri" w:cs="Arial"/>
                <w:sz w:val="20"/>
                <w:szCs w:val="20"/>
              </w:rPr>
              <w:t>Unlimlited</w:t>
            </w:r>
          </w:p>
        </w:tc>
      </w:tr>
      <w:tr w:rsidR="00BA172C" w:rsidRPr="00B7364B" w14:paraId="7C9C8A46" w14:textId="77777777" w:rsidTr="00B95821">
        <w:tc>
          <w:tcPr>
            <w:tcW w:w="1643" w:type="pct"/>
            <w:shd w:val="clear" w:color="auto" w:fill="auto"/>
          </w:tcPr>
          <w:p w14:paraId="1BB3D366" w14:textId="77777777" w:rsidR="00BA172C" w:rsidRPr="00B7364B" w:rsidRDefault="00BA172C" w:rsidP="00B95821">
            <w:pPr>
              <w:spacing w:after="200" w:line="276" w:lineRule="auto"/>
              <w:rPr>
                <w:rFonts w:eastAsia="Calibri" w:cs="Arial"/>
                <w:b/>
                <w:bCs/>
                <w:sz w:val="20"/>
                <w:szCs w:val="20"/>
              </w:rPr>
            </w:pPr>
            <w:r w:rsidRPr="00B7364B">
              <w:rPr>
                <w:rFonts w:eastAsia="Calibri" w:cs="Arial"/>
                <w:b/>
                <w:bCs/>
                <w:sz w:val="20"/>
                <w:szCs w:val="20"/>
              </w:rPr>
              <w:t xml:space="preserve">Standard national MMS </w:t>
            </w:r>
            <w:r w:rsidRPr="00B7364B">
              <w:rPr>
                <w:rFonts w:eastAsia="Calibri" w:cs="Arial"/>
                <w:sz w:val="20"/>
                <w:szCs w:val="20"/>
              </w:rPr>
              <w:t>(per message)</w:t>
            </w:r>
          </w:p>
        </w:tc>
        <w:tc>
          <w:tcPr>
            <w:tcW w:w="1643" w:type="pct"/>
          </w:tcPr>
          <w:p w14:paraId="5CC1BDD4" w14:textId="77777777" w:rsidR="00BA172C" w:rsidRPr="00B7364B" w:rsidRDefault="00BA172C" w:rsidP="00B95821">
            <w:pPr>
              <w:spacing w:before="240"/>
              <w:jc w:val="center"/>
              <w:rPr>
                <w:rFonts w:eastAsia="Calibri" w:cs="Arial"/>
                <w:sz w:val="20"/>
                <w:szCs w:val="20"/>
              </w:rPr>
            </w:pPr>
            <w:r w:rsidRPr="00B7364B">
              <w:rPr>
                <w:rFonts w:eastAsia="Calibri" w:cs="Arial"/>
                <w:sz w:val="20"/>
                <w:szCs w:val="20"/>
              </w:rPr>
              <w:t>Unlimited</w:t>
            </w:r>
          </w:p>
        </w:tc>
        <w:tc>
          <w:tcPr>
            <w:tcW w:w="1714" w:type="pct"/>
          </w:tcPr>
          <w:p w14:paraId="0F9C5CB0" w14:textId="77777777" w:rsidR="00BA172C" w:rsidRPr="00B7364B" w:rsidRDefault="00BA172C" w:rsidP="00B95821">
            <w:pPr>
              <w:spacing w:before="240"/>
              <w:jc w:val="center"/>
              <w:rPr>
                <w:rFonts w:eastAsia="Calibri" w:cs="Arial"/>
                <w:sz w:val="20"/>
                <w:szCs w:val="20"/>
              </w:rPr>
            </w:pPr>
            <w:r w:rsidRPr="00B7364B">
              <w:rPr>
                <w:rFonts w:eastAsia="Calibri" w:cs="Arial"/>
                <w:sz w:val="20"/>
                <w:szCs w:val="20"/>
              </w:rPr>
              <w:t>Unlimited</w:t>
            </w:r>
          </w:p>
        </w:tc>
      </w:tr>
      <w:tr w:rsidR="00BA172C" w:rsidRPr="00B7364B" w14:paraId="14FC60A3" w14:textId="77777777" w:rsidTr="00B95821">
        <w:tc>
          <w:tcPr>
            <w:tcW w:w="1643" w:type="pct"/>
            <w:shd w:val="clear" w:color="auto" w:fill="auto"/>
          </w:tcPr>
          <w:p w14:paraId="1C71A46E" w14:textId="77777777" w:rsidR="00BA172C" w:rsidRPr="00B7364B" w:rsidDel="00064B49" w:rsidRDefault="00BA172C" w:rsidP="00B95821">
            <w:pPr>
              <w:spacing w:after="200" w:line="276" w:lineRule="auto"/>
              <w:rPr>
                <w:rFonts w:eastAsia="Calibri" w:cs="Arial"/>
                <w:b/>
                <w:bCs/>
                <w:sz w:val="20"/>
                <w:szCs w:val="20"/>
              </w:rPr>
            </w:pPr>
            <w:r w:rsidRPr="00B7364B">
              <w:rPr>
                <w:rFonts w:eastAsia="Calibri" w:cs="Arial"/>
                <w:b/>
                <w:bCs/>
                <w:sz w:val="20"/>
                <w:szCs w:val="20"/>
              </w:rPr>
              <w:t xml:space="preserve">Standard international SMS </w:t>
            </w:r>
            <w:r w:rsidRPr="00B7364B">
              <w:rPr>
                <w:rFonts w:eastAsia="Calibri" w:cs="Arial"/>
                <w:sz w:val="20"/>
                <w:szCs w:val="20"/>
              </w:rPr>
              <w:t>(per SMS of up to 160 standard characters to selected countries)</w:t>
            </w:r>
          </w:p>
        </w:tc>
        <w:tc>
          <w:tcPr>
            <w:tcW w:w="1643" w:type="pct"/>
            <w:vAlign w:val="center"/>
          </w:tcPr>
          <w:p w14:paraId="4EBDD352" w14:textId="77777777" w:rsidR="00BA172C" w:rsidRPr="00B7364B" w:rsidRDefault="00BA172C" w:rsidP="00B95821">
            <w:pPr>
              <w:jc w:val="center"/>
              <w:rPr>
                <w:rFonts w:eastAsia="Calibri" w:cs="Arial"/>
                <w:sz w:val="20"/>
                <w:szCs w:val="20"/>
              </w:rPr>
            </w:pPr>
            <w:r w:rsidRPr="00B7364B">
              <w:rPr>
                <w:rFonts w:eastAsia="Calibri" w:cs="Arial"/>
                <w:sz w:val="20"/>
                <w:szCs w:val="20"/>
              </w:rPr>
              <w:t>Unlimited</w:t>
            </w:r>
          </w:p>
        </w:tc>
        <w:tc>
          <w:tcPr>
            <w:tcW w:w="1714" w:type="pct"/>
          </w:tcPr>
          <w:p w14:paraId="6360D5F1" w14:textId="77777777" w:rsidR="00BA172C" w:rsidRPr="00B7364B" w:rsidRDefault="00BA172C" w:rsidP="00B95821">
            <w:pPr>
              <w:spacing w:before="480"/>
              <w:jc w:val="center"/>
              <w:rPr>
                <w:rFonts w:eastAsia="Calibri" w:cs="Arial"/>
                <w:sz w:val="20"/>
                <w:szCs w:val="20"/>
              </w:rPr>
            </w:pPr>
            <w:r w:rsidRPr="00B7364B">
              <w:rPr>
                <w:rFonts w:eastAsia="Calibri" w:cs="Arial"/>
                <w:sz w:val="20"/>
                <w:szCs w:val="20"/>
              </w:rPr>
              <w:t>Unlimited</w:t>
            </w:r>
          </w:p>
        </w:tc>
      </w:tr>
      <w:tr w:rsidR="00BA172C" w:rsidRPr="00B7364B" w14:paraId="41853EEE" w14:textId="77777777" w:rsidTr="00B95821">
        <w:tc>
          <w:tcPr>
            <w:tcW w:w="1643" w:type="pct"/>
            <w:shd w:val="clear" w:color="auto" w:fill="auto"/>
          </w:tcPr>
          <w:p w14:paraId="3113F7C6" w14:textId="77777777" w:rsidR="00BA172C" w:rsidRPr="00B7364B" w:rsidRDefault="00BA172C" w:rsidP="00B95821">
            <w:pPr>
              <w:spacing w:after="200" w:line="276" w:lineRule="auto"/>
              <w:rPr>
                <w:rFonts w:eastAsia="Calibri" w:cs="Arial"/>
                <w:b/>
                <w:bCs/>
                <w:sz w:val="20"/>
                <w:szCs w:val="20"/>
              </w:rPr>
            </w:pPr>
            <w:r w:rsidRPr="00B7364B">
              <w:rPr>
                <w:rFonts w:eastAsia="Calibri" w:cs="Arial"/>
                <w:b/>
                <w:bCs/>
                <w:sz w:val="20"/>
                <w:szCs w:val="20"/>
              </w:rPr>
              <w:t xml:space="preserve">Standard international MMS </w:t>
            </w:r>
            <w:r w:rsidRPr="00B7364B">
              <w:rPr>
                <w:rFonts w:eastAsia="Calibri" w:cs="Arial"/>
                <w:sz w:val="20"/>
                <w:szCs w:val="20"/>
              </w:rPr>
              <w:t>(per message to selected countries)</w:t>
            </w:r>
          </w:p>
        </w:tc>
        <w:tc>
          <w:tcPr>
            <w:tcW w:w="1643" w:type="pct"/>
            <w:vAlign w:val="center"/>
          </w:tcPr>
          <w:p w14:paraId="6615475C" w14:textId="77777777" w:rsidR="00BA172C" w:rsidRPr="00B7364B" w:rsidRDefault="00BA172C" w:rsidP="00B95821">
            <w:pPr>
              <w:jc w:val="center"/>
              <w:rPr>
                <w:rFonts w:eastAsia="Calibri" w:cs="Arial"/>
                <w:sz w:val="20"/>
                <w:szCs w:val="20"/>
              </w:rPr>
            </w:pPr>
            <w:r w:rsidRPr="00B7364B">
              <w:rPr>
                <w:rFonts w:eastAsia="Calibri" w:cs="Arial"/>
                <w:sz w:val="20"/>
                <w:szCs w:val="20"/>
              </w:rPr>
              <w:t>Unlimited</w:t>
            </w:r>
          </w:p>
        </w:tc>
        <w:tc>
          <w:tcPr>
            <w:tcW w:w="1714" w:type="pct"/>
          </w:tcPr>
          <w:p w14:paraId="595F8BDB" w14:textId="77777777" w:rsidR="00BA172C" w:rsidRPr="00B7364B" w:rsidRDefault="00BA172C" w:rsidP="00B95821">
            <w:pPr>
              <w:spacing w:before="360"/>
              <w:jc w:val="center"/>
              <w:rPr>
                <w:rFonts w:eastAsia="Calibri" w:cs="Arial"/>
                <w:sz w:val="20"/>
                <w:szCs w:val="20"/>
              </w:rPr>
            </w:pPr>
            <w:r w:rsidRPr="00B7364B">
              <w:rPr>
                <w:rFonts w:eastAsia="Calibri" w:cs="Arial"/>
                <w:sz w:val="20"/>
                <w:szCs w:val="20"/>
              </w:rPr>
              <w:t>Unlimited</w:t>
            </w:r>
          </w:p>
        </w:tc>
      </w:tr>
      <w:tr w:rsidR="00BA172C" w:rsidRPr="00B7364B" w14:paraId="058EB9CE" w14:textId="77777777" w:rsidTr="00B95821">
        <w:tc>
          <w:tcPr>
            <w:tcW w:w="1643" w:type="pct"/>
            <w:shd w:val="clear" w:color="auto" w:fill="auto"/>
          </w:tcPr>
          <w:p w14:paraId="2FCBF94B" w14:textId="77777777" w:rsidR="00BA172C" w:rsidRPr="00B7364B" w:rsidRDefault="00BA172C" w:rsidP="00B95821">
            <w:pPr>
              <w:spacing w:after="200" w:line="276" w:lineRule="auto"/>
              <w:rPr>
                <w:rFonts w:cs="Arial"/>
                <w:b/>
                <w:bCs/>
                <w:snapToGrid w:val="0"/>
                <w:sz w:val="20"/>
                <w:szCs w:val="20"/>
              </w:rPr>
            </w:pPr>
            <w:r w:rsidRPr="00B7364B">
              <w:rPr>
                <w:rFonts w:cs="Arial"/>
                <w:b/>
                <w:bCs/>
                <w:snapToGrid w:val="0"/>
                <w:sz w:val="20"/>
                <w:szCs w:val="20"/>
              </w:rPr>
              <w:t>International Roaming Data</w:t>
            </w:r>
          </w:p>
          <w:p w14:paraId="3F277B00" w14:textId="77777777" w:rsidR="00BA172C" w:rsidRPr="00B7364B" w:rsidRDefault="00BA172C" w:rsidP="00B95821">
            <w:pPr>
              <w:spacing w:after="200" w:line="276" w:lineRule="auto"/>
              <w:rPr>
                <w:rFonts w:eastAsia="Calibri" w:cs="Arial"/>
                <w:b/>
                <w:bCs/>
                <w:sz w:val="20"/>
                <w:szCs w:val="20"/>
              </w:rPr>
            </w:pPr>
            <w:r w:rsidRPr="00B7364B">
              <w:rPr>
                <w:rFonts w:cs="Arial"/>
                <w:b/>
                <w:bCs/>
                <w:snapToGrid w:val="0"/>
                <w:sz w:val="20"/>
                <w:szCs w:val="20"/>
              </w:rPr>
              <w:t xml:space="preserve">(Zone 1 countries) </w:t>
            </w:r>
          </w:p>
        </w:tc>
        <w:tc>
          <w:tcPr>
            <w:tcW w:w="1643" w:type="pct"/>
          </w:tcPr>
          <w:p w14:paraId="68A69726" w14:textId="77777777" w:rsidR="00BA172C" w:rsidRPr="00B7364B" w:rsidRDefault="00BA172C" w:rsidP="00B95821">
            <w:pPr>
              <w:spacing w:before="120"/>
              <w:jc w:val="center"/>
              <w:rPr>
                <w:rFonts w:eastAsia="Calibri" w:cs="Arial"/>
                <w:sz w:val="20"/>
                <w:szCs w:val="20"/>
              </w:rPr>
            </w:pPr>
            <w:r w:rsidRPr="00B7364B">
              <w:rPr>
                <w:rFonts w:eastAsia="Calibri" w:cs="Arial"/>
                <w:sz w:val="20"/>
                <w:szCs w:val="20"/>
              </w:rPr>
              <w:t>1GB</w:t>
            </w:r>
          </w:p>
        </w:tc>
        <w:tc>
          <w:tcPr>
            <w:tcW w:w="1714" w:type="pct"/>
          </w:tcPr>
          <w:p w14:paraId="5A017913" w14:textId="77777777" w:rsidR="00BA172C" w:rsidRPr="00B7364B" w:rsidRDefault="00BA172C" w:rsidP="00B95821">
            <w:pPr>
              <w:spacing w:before="120"/>
              <w:jc w:val="center"/>
              <w:rPr>
                <w:rFonts w:eastAsia="Calibri" w:cs="Arial"/>
                <w:sz w:val="20"/>
                <w:szCs w:val="20"/>
              </w:rPr>
            </w:pPr>
            <w:r w:rsidRPr="00B7364B">
              <w:rPr>
                <w:rFonts w:eastAsia="Calibri" w:cs="Arial"/>
                <w:sz w:val="20"/>
                <w:szCs w:val="20"/>
              </w:rPr>
              <w:t>1.5GB</w:t>
            </w:r>
          </w:p>
        </w:tc>
      </w:tr>
      <w:tr w:rsidR="00BA172C" w:rsidRPr="00B7364B" w14:paraId="737372BD" w14:textId="77777777" w:rsidTr="00B95821">
        <w:tc>
          <w:tcPr>
            <w:tcW w:w="1643" w:type="pct"/>
            <w:shd w:val="clear" w:color="auto" w:fill="auto"/>
          </w:tcPr>
          <w:p w14:paraId="4F7AB687" w14:textId="77777777" w:rsidR="00BA172C" w:rsidRPr="00B7364B" w:rsidRDefault="00BA172C" w:rsidP="00B95821">
            <w:pPr>
              <w:spacing w:after="120"/>
              <w:rPr>
                <w:rFonts w:eastAsia="Calibri" w:cs="Arial"/>
                <w:b/>
                <w:bCs/>
                <w:sz w:val="20"/>
                <w:szCs w:val="20"/>
              </w:rPr>
            </w:pPr>
            <w:r w:rsidRPr="00B7364B">
              <w:rPr>
                <w:rFonts w:eastAsia="Calibri" w:cs="Arial"/>
                <w:b/>
                <w:bCs/>
                <w:sz w:val="20"/>
                <w:szCs w:val="20"/>
              </w:rPr>
              <w:t xml:space="preserve">Minimum total cost over 24 months </w:t>
            </w:r>
          </w:p>
        </w:tc>
        <w:tc>
          <w:tcPr>
            <w:tcW w:w="1643" w:type="pct"/>
          </w:tcPr>
          <w:p w14:paraId="31B936B4" w14:textId="77777777" w:rsidR="00BA172C" w:rsidRPr="00B7364B" w:rsidRDefault="00BA172C" w:rsidP="00B95821">
            <w:pPr>
              <w:spacing w:before="120" w:after="120"/>
              <w:jc w:val="center"/>
              <w:rPr>
                <w:rFonts w:eastAsia="Calibri" w:cs="Arial"/>
                <w:sz w:val="20"/>
                <w:szCs w:val="20"/>
              </w:rPr>
            </w:pPr>
            <w:r w:rsidRPr="00B7364B">
              <w:rPr>
                <w:rFonts w:eastAsia="Calibri" w:cs="Arial"/>
                <w:sz w:val="20"/>
                <w:szCs w:val="20"/>
              </w:rPr>
              <w:t>$3120</w:t>
            </w:r>
          </w:p>
        </w:tc>
        <w:tc>
          <w:tcPr>
            <w:tcW w:w="1714" w:type="pct"/>
          </w:tcPr>
          <w:p w14:paraId="2974732E" w14:textId="77777777" w:rsidR="00BA172C" w:rsidRPr="00B7364B" w:rsidRDefault="00BA172C" w:rsidP="00B95821">
            <w:pPr>
              <w:spacing w:before="120" w:after="120"/>
              <w:jc w:val="center"/>
              <w:rPr>
                <w:rFonts w:eastAsia="Calibri" w:cs="Arial"/>
                <w:sz w:val="20"/>
                <w:szCs w:val="20"/>
              </w:rPr>
            </w:pPr>
            <w:r w:rsidRPr="00B7364B">
              <w:rPr>
                <w:rFonts w:eastAsia="Calibri" w:cs="Arial"/>
                <w:sz w:val="20"/>
                <w:szCs w:val="20"/>
              </w:rPr>
              <w:t>$3840</w:t>
            </w:r>
          </w:p>
        </w:tc>
      </w:tr>
    </w:tbl>
    <w:p w14:paraId="2F05C45B" w14:textId="77777777" w:rsidR="00BA172C" w:rsidRPr="00B7364B" w:rsidRDefault="00BA172C" w:rsidP="00BA172C">
      <w:pPr>
        <w:rPr>
          <w:rFonts w:cs="Arial"/>
          <w:sz w:val="20"/>
          <w:szCs w:val="20"/>
        </w:rPr>
      </w:pPr>
      <w:r w:rsidRPr="00B7364B">
        <w:rPr>
          <w:rFonts w:cs="Arial"/>
          <w:sz w:val="20"/>
          <w:szCs w:val="20"/>
        </w:rPr>
        <w:t xml:space="preserve"> </w:t>
      </w:r>
    </w:p>
    <w:p w14:paraId="0B4AAF1A" w14:textId="77777777" w:rsidR="00BA172C" w:rsidRPr="00B7364B" w:rsidRDefault="00BA172C" w:rsidP="00BA172C">
      <w:pPr>
        <w:spacing w:after="120"/>
        <w:rPr>
          <w:rFonts w:cs="Arial"/>
          <w:sz w:val="20"/>
          <w:szCs w:val="20"/>
        </w:rPr>
      </w:pPr>
      <w:r w:rsidRPr="00B7364B">
        <w:rPr>
          <w:rFonts w:cs="Arial"/>
          <w:b/>
          <w:sz w:val="20"/>
          <w:szCs w:val="20"/>
        </w:rPr>
        <w:t>Table 2 – Other usage types and charges</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5386"/>
      </w:tblGrid>
      <w:tr w:rsidR="00BA172C" w:rsidRPr="00B7364B" w14:paraId="2F40DB3A" w14:textId="77777777" w:rsidTr="00B95821">
        <w:tc>
          <w:tcPr>
            <w:tcW w:w="4253" w:type="dxa"/>
            <w:shd w:val="clear" w:color="auto" w:fill="auto"/>
          </w:tcPr>
          <w:p w14:paraId="4B2C3C54" w14:textId="77777777" w:rsidR="00BA172C" w:rsidRPr="00B7364B" w:rsidRDefault="00BA172C" w:rsidP="00B95821">
            <w:pPr>
              <w:rPr>
                <w:rFonts w:eastAsia="Calibri" w:cs="Arial"/>
                <w:b/>
                <w:sz w:val="20"/>
                <w:szCs w:val="20"/>
              </w:rPr>
            </w:pPr>
            <w:r w:rsidRPr="00B7364B">
              <w:rPr>
                <w:rFonts w:eastAsia="Calibri" w:cs="Arial"/>
                <w:b/>
                <w:sz w:val="20"/>
                <w:szCs w:val="20"/>
              </w:rPr>
              <w:t>Usage type</w:t>
            </w:r>
          </w:p>
        </w:tc>
        <w:tc>
          <w:tcPr>
            <w:tcW w:w="5386" w:type="dxa"/>
            <w:shd w:val="clear" w:color="auto" w:fill="auto"/>
            <w:vAlign w:val="center"/>
          </w:tcPr>
          <w:p w14:paraId="7B135215" w14:textId="77777777" w:rsidR="00BA172C" w:rsidRPr="00B7364B" w:rsidRDefault="00BA172C" w:rsidP="00B95821">
            <w:pPr>
              <w:jc w:val="center"/>
              <w:rPr>
                <w:rFonts w:eastAsia="Calibri" w:cs="Arial"/>
                <w:b/>
                <w:sz w:val="20"/>
                <w:szCs w:val="20"/>
              </w:rPr>
            </w:pPr>
            <w:r w:rsidRPr="00B7364B">
              <w:rPr>
                <w:rFonts w:eastAsia="Calibri" w:cs="Arial"/>
                <w:b/>
                <w:sz w:val="20"/>
                <w:szCs w:val="20"/>
              </w:rPr>
              <w:t>Charge</w:t>
            </w:r>
          </w:p>
        </w:tc>
      </w:tr>
      <w:tr w:rsidR="00BA172C" w:rsidRPr="00B7364B" w14:paraId="1B652B01" w14:textId="77777777" w:rsidTr="00B95821">
        <w:tc>
          <w:tcPr>
            <w:tcW w:w="4253" w:type="dxa"/>
            <w:shd w:val="clear" w:color="auto" w:fill="auto"/>
          </w:tcPr>
          <w:p w14:paraId="6627139D" w14:textId="77777777" w:rsidR="00BA172C" w:rsidRPr="00B7364B" w:rsidRDefault="00BA172C" w:rsidP="00B95821">
            <w:pPr>
              <w:spacing w:after="200" w:line="276" w:lineRule="auto"/>
              <w:rPr>
                <w:rFonts w:eastAsia="Calibri" w:cs="Arial"/>
                <w:sz w:val="20"/>
                <w:szCs w:val="20"/>
              </w:rPr>
            </w:pPr>
            <w:r w:rsidRPr="00B7364B">
              <w:rPr>
                <w:rFonts w:eastAsia="Calibri" w:cs="Arial"/>
                <w:b/>
                <w:bCs/>
                <w:sz w:val="20"/>
                <w:szCs w:val="20"/>
              </w:rPr>
              <w:t xml:space="preserve">National video calls </w:t>
            </w:r>
            <w:r w:rsidRPr="00B7364B">
              <w:rPr>
                <w:rFonts w:eastAsia="Calibri" w:cs="Arial"/>
                <w:sz w:val="20"/>
                <w:szCs w:val="20"/>
              </w:rPr>
              <w:t>(per minute)</w:t>
            </w:r>
          </w:p>
        </w:tc>
        <w:tc>
          <w:tcPr>
            <w:tcW w:w="5386" w:type="dxa"/>
            <w:shd w:val="clear" w:color="auto" w:fill="auto"/>
            <w:vAlign w:val="center"/>
          </w:tcPr>
          <w:p w14:paraId="04285C2F" w14:textId="77777777" w:rsidR="00BA172C" w:rsidRPr="00B7364B" w:rsidRDefault="00BA172C" w:rsidP="00B95821">
            <w:pPr>
              <w:jc w:val="center"/>
              <w:rPr>
                <w:rFonts w:eastAsia="Calibri" w:cs="Arial"/>
                <w:sz w:val="20"/>
                <w:szCs w:val="20"/>
              </w:rPr>
            </w:pPr>
            <w:r w:rsidRPr="00B7364B">
              <w:rPr>
                <w:rFonts w:eastAsia="Calibri" w:cs="Arial"/>
                <w:sz w:val="20"/>
                <w:szCs w:val="20"/>
              </w:rPr>
              <w:t>$1.00 per min + 40c flagfall</w:t>
            </w:r>
          </w:p>
        </w:tc>
      </w:tr>
      <w:tr w:rsidR="00BA172C" w:rsidRPr="00B7364B" w14:paraId="2A661993" w14:textId="77777777" w:rsidTr="00B95821">
        <w:tc>
          <w:tcPr>
            <w:tcW w:w="4253" w:type="dxa"/>
            <w:shd w:val="clear" w:color="auto" w:fill="auto"/>
          </w:tcPr>
          <w:p w14:paraId="132F741F" w14:textId="77777777" w:rsidR="00BA172C" w:rsidRPr="00B7364B" w:rsidRDefault="00BA172C" w:rsidP="00B95821">
            <w:pPr>
              <w:rPr>
                <w:rFonts w:eastAsia="Calibri" w:cs="Arial"/>
                <w:b/>
                <w:bCs/>
                <w:sz w:val="20"/>
                <w:szCs w:val="20"/>
              </w:rPr>
            </w:pPr>
            <w:r w:rsidRPr="00B7364B">
              <w:rPr>
                <w:rFonts w:eastAsia="Calibri" w:cs="Arial"/>
                <w:b/>
                <w:bCs/>
                <w:sz w:val="20"/>
                <w:szCs w:val="20"/>
              </w:rPr>
              <w:t>National Diversions</w:t>
            </w:r>
          </w:p>
        </w:tc>
        <w:tc>
          <w:tcPr>
            <w:tcW w:w="5386" w:type="dxa"/>
            <w:shd w:val="clear" w:color="auto" w:fill="auto"/>
          </w:tcPr>
          <w:p w14:paraId="1E8689ED" w14:textId="77777777" w:rsidR="00BA172C" w:rsidRPr="00B7364B" w:rsidRDefault="00BA172C" w:rsidP="00B95821">
            <w:pPr>
              <w:jc w:val="center"/>
              <w:rPr>
                <w:rFonts w:eastAsia="Calibri" w:cs="Arial"/>
                <w:sz w:val="20"/>
                <w:szCs w:val="20"/>
              </w:rPr>
            </w:pPr>
            <w:r w:rsidRPr="00B7364B">
              <w:rPr>
                <w:rFonts w:eastAsia="Calibri" w:cs="Arial"/>
                <w:sz w:val="20"/>
                <w:szCs w:val="20"/>
              </w:rPr>
              <w:t>$0 per minute</w:t>
            </w:r>
          </w:p>
        </w:tc>
      </w:tr>
      <w:tr w:rsidR="00BA172C" w:rsidRPr="00B7364B" w14:paraId="650440F1" w14:textId="77777777" w:rsidTr="00B95821">
        <w:tc>
          <w:tcPr>
            <w:tcW w:w="4253" w:type="dxa"/>
            <w:shd w:val="clear" w:color="auto" w:fill="auto"/>
          </w:tcPr>
          <w:p w14:paraId="29EFD307" w14:textId="77777777" w:rsidR="00BA172C" w:rsidRPr="00B7364B" w:rsidRDefault="00BA172C" w:rsidP="00B95821">
            <w:pPr>
              <w:rPr>
                <w:rFonts w:eastAsia="Calibri" w:cs="Arial"/>
                <w:b/>
                <w:bCs/>
                <w:sz w:val="20"/>
                <w:szCs w:val="20"/>
              </w:rPr>
            </w:pPr>
            <w:r w:rsidRPr="00B7364B">
              <w:rPr>
                <w:rFonts w:eastAsia="Calibri" w:cs="Arial"/>
                <w:b/>
                <w:bCs/>
                <w:sz w:val="20"/>
                <w:szCs w:val="20"/>
              </w:rPr>
              <w:lastRenderedPageBreak/>
              <w:t xml:space="preserve">International Diversions </w:t>
            </w:r>
          </w:p>
        </w:tc>
        <w:tc>
          <w:tcPr>
            <w:tcW w:w="5386" w:type="dxa"/>
            <w:shd w:val="clear" w:color="auto" w:fill="auto"/>
          </w:tcPr>
          <w:p w14:paraId="707F76FA" w14:textId="77777777" w:rsidR="00BA172C" w:rsidRPr="00B7364B" w:rsidRDefault="00BA172C" w:rsidP="00B95821">
            <w:pPr>
              <w:jc w:val="center"/>
              <w:rPr>
                <w:rFonts w:eastAsia="Calibri" w:cs="Arial"/>
                <w:sz w:val="20"/>
                <w:szCs w:val="20"/>
              </w:rPr>
            </w:pPr>
            <w:r w:rsidRPr="00B7364B">
              <w:rPr>
                <w:rFonts w:eastAsia="Calibri" w:cs="Arial"/>
                <w:sz w:val="20"/>
                <w:szCs w:val="20"/>
              </w:rPr>
              <w:t>‘yes’ international rates</w:t>
            </w:r>
            <w:r w:rsidRPr="00B7364B">
              <w:rPr>
                <w:rFonts w:eastAsia="Calibri" w:cs="Arial"/>
                <w:sz w:val="20"/>
                <w:szCs w:val="20"/>
              </w:rPr>
              <w:br/>
              <w:t>See optus.com.au/international</w:t>
            </w:r>
          </w:p>
        </w:tc>
      </w:tr>
      <w:tr w:rsidR="00BA172C" w:rsidRPr="00B7364B" w14:paraId="0804086C" w14:textId="77777777" w:rsidTr="00B95821">
        <w:tc>
          <w:tcPr>
            <w:tcW w:w="4253" w:type="dxa"/>
            <w:shd w:val="clear" w:color="auto" w:fill="auto"/>
          </w:tcPr>
          <w:p w14:paraId="6F3C3B95" w14:textId="77777777" w:rsidR="00BA172C" w:rsidRPr="00B7364B" w:rsidRDefault="00BA172C" w:rsidP="00B95821">
            <w:pPr>
              <w:rPr>
                <w:rFonts w:eastAsia="Calibri" w:cs="Arial"/>
                <w:b/>
                <w:bCs/>
                <w:sz w:val="20"/>
                <w:szCs w:val="20"/>
              </w:rPr>
            </w:pPr>
            <w:r w:rsidRPr="00B7364B">
              <w:rPr>
                <w:rFonts w:eastAsia="Calibri" w:cs="Arial"/>
                <w:b/>
                <w:bCs/>
                <w:sz w:val="20"/>
                <w:szCs w:val="20"/>
              </w:rPr>
              <w:t xml:space="preserve">1800 numbers </w:t>
            </w:r>
          </w:p>
        </w:tc>
        <w:tc>
          <w:tcPr>
            <w:tcW w:w="5386" w:type="dxa"/>
            <w:shd w:val="clear" w:color="auto" w:fill="auto"/>
            <w:vAlign w:val="center"/>
          </w:tcPr>
          <w:p w14:paraId="74C6C1C1" w14:textId="77777777" w:rsidR="00BA172C" w:rsidRPr="00B7364B" w:rsidRDefault="00BA172C" w:rsidP="00B95821">
            <w:pPr>
              <w:jc w:val="center"/>
              <w:rPr>
                <w:rFonts w:eastAsia="Calibri" w:cs="Arial"/>
                <w:sz w:val="20"/>
                <w:szCs w:val="20"/>
              </w:rPr>
            </w:pPr>
            <w:r w:rsidRPr="00B7364B">
              <w:rPr>
                <w:rFonts w:eastAsia="Calibri" w:cs="Arial"/>
                <w:sz w:val="20"/>
                <w:szCs w:val="20"/>
              </w:rPr>
              <w:t>$0 per minute</w:t>
            </w:r>
          </w:p>
        </w:tc>
      </w:tr>
      <w:tr w:rsidR="00BA172C" w:rsidRPr="00B7364B" w14:paraId="65FE59A3" w14:textId="77777777" w:rsidTr="00B95821">
        <w:tc>
          <w:tcPr>
            <w:tcW w:w="4253" w:type="dxa"/>
            <w:shd w:val="clear" w:color="auto" w:fill="auto"/>
          </w:tcPr>
          <w:p w14:paraId="1DC3BBBA" w14:textId="77777777" w:rsidR="00BA172C" w:rsidRPr="00B7364B" w:rsidRDefault="00BA172C" w:rsidP="00B95821">
            <w:pPr>
              <w:rPr>
                <w:rFonts w:eastAsia="Calibri" w:cs="Arial"/>
                <w:b/>
                <w:bCs/>
                <w:sz w:val="20"/>
                <w:szCs w:val="20"/>
              </w:rPr>
            </w:pPr>
            <w:r w:rsidRPr="00B7364B">
              <w:rPr>
                <w:rFonts w:eastAsia="Calibri" w:cs="Arial"/>
                <w:b/>
                <w:bCs/>
                <w:sz w:val="20"/>
                <w:szCs w:val="20"/>
              </w:rPr>
              <w:t xml:space="preserve">Directory Assistance 1223 </w:t>
            </w:r>
          </w:p>
        </w:tc>
        <w:tc>
          <w:tcPr>
            <w:tcW w:w="5386" w:type="dxa"/>
            <w:shd w:val="clear" w:color="auto" w:fill="auto"/>
            <w:vAlign w:val="center"/>
          </w:tcPr>
          <w:p w14:paraId="790593A7" w14:textId="77777777" w:rsidR="00BA172C" w:rsidRPr="00B7364B" w:rsidRDefault="00BA172C" w:rsidP="00B95821">
            <w:pPr>
              <w:jc w:val="center"/>
              <w:rPr>
                <w:rFonts w:eastAsia="Calibri" w:cs="Arial"/>
                <w:sz w:val="20"/>
                <w:szCs w:val="20"/>
              </w:rPr>
            </w:pPr>
            <w:r w:rsidRPr="00B7364B">
              <w:rPr>
                <w:rFonts w:eastAsia="Calibri" w:cs="Arial"/>
                <w:sz w:val="20"/>
                <w:szCs w:val="20"/>
              </w:rPr>
              <w:t>50c per call</w:t>
            </w:r>
          </w:p>
        </w:tc>
      </w:tr>
      <w:tr w:rsidR="00BA172C" w:rsidRPr="00B7364B" w14:paraId="10926C1A" w14:textId="77777777" w:rsidTr="00B95821">
        <w:tc>
          <w:tcPr>
            <w:tcW w:w="4253" w:type="dxa"/>
            <w:shd w:val="clear" w:color="auto" w:fill="auto"/>
          </w:tcPr>
          <w:p w14:paraId="69C1B8AD" w14:textId="77777777" w:rsidR="00BA172C" w:rsidRPr="00B7364B" w:rsidRDefault="00BA172C" w:rsidP="00B95821">
            <w:pPr>
              <w:rPr>
                <w:rFonts w:eastAsia="Calibri" w:cs="Arial"/>
                <w:b/>
                <w:bCs/>
                <w:sz w:val="20"/>
                <w:szCs w:val="20"/>
              </w:rPr>
            </w:pPr>
            <w:r w:rsidRPr="00B7364B">
              <w:rPr>
                <w:rFonts w:eastAsia="Calibri" w:cs="Arial"/>
                <w:b/>
                <w:bCs/>
                <w:sz w:val="20"/>
                <w:szCs w:val="20"/>
              </w:rPr>
              <w:t>124 Yes</w:t>
            </w:r>
          </w:p>
        </w:tc>
        <w:tc>
          <w:tcPr>
            <w:tcW w:w="5386" w:type="dxa"/>
            <w:shd w:val="clear" w:color="auto" w:fill="auto"/>
            <w:vAlign w:val="center"/>
          </w:tcPr>
          <w:p w14:paraId="47D6A55B" w14:textId="77777777" w:rsidR="00BA172C" w:rsidRPr="00B7364B" w:rsidRDefault="00BA172C" w:rsidP="00B95821">
            <w:pPr>
              <w:jc w:val="center"/>
              <w:rPr>
                <w:rFonts w:eastAsia="Calibri" w:cs="Arial"/>
                <w:sz w:val="20"/>
                <w:szCs w:val="20"/>
              </w:rPr>
            </w:pPr>
            <w:r w:rsidRPr="00B7364B">
              <w:rPr>
                <w:rFonts w:eastAsia="Calibri" w:cs="Arial"/>
                <w:sz w:val="20"/>
                <w:szCs w:val="20"/>
              </w:rPr>
              <w:t>90c per minute +$1.75c flagfall</w:t>
            </w:r>
          </w:p>
        </w:tc>
      </w:tr>
      <w:tr w:rsidR="00BA172C" w:rsidRPr="00B7364B" w14:paraId="1C4F8C3A" w14:textId="77777777" w:rsidTr="00B95821">
        <w:tc>
          <w:tcPr>
            <w:tcW w:w="4253" w:type="dxa"/>
            <w:shd w:val="clear" w:color="auto" w:fill="auto"/>
          </w:tcPr>
          <w:p w14:paraId="5C49E554" w14:textId="77777777" w:rsidR="00BA172C" w:rsidRPr="00B7364B" w:rsidRDefault="00BA172C" w:rsidP="00B95821">
            <w:pPr>
              <w:rPr>
                <w:rFonts w:eastAsia="Calibri" w:cs="Arial"/>
                <w:b/>
                <w:bCs/>
                <w:sz w:val="20"/>
                <w:szCs w:val="20"/>
              </w:rPr>
            </w:pPr>
            <w:r w:rsidRPr="00B7364B">
              <w:rPr>
                <w:rFonts w:eastAsia="Calibri" w:cs="Arial"/>
                <w:b/>
                <w:bCs/>
                <w:sz w:val="20"/>
                <w:szCs w:val="20"/>
              </w:rPr>
              <w:t xml:space="preserve">International voice calls (outside the plan’s included international minutes and to excluded countries) </w:t>
            </w:r>
          </w:p>
        </w:tc>
        <w:tc>
          <w:tcPr>
            <w:tcW w:w="5386" w:type="dxa"/>
            <w:shd w:val="clear" w:color="auto" w:fill="auto"/>
            <w:vAlign w:val="center"/>
          </w:tcPr>
          <w:p w14:paraId="19EFB716" w14:textId="77777777" w:rsidR="00BA172C" w:rsidRPr="00B7364B" w:rsidRDefault="00BA172C" w:rsidP="00B95821">
            <w:pPr>
              <w:jc w:val="center"/>
              <w:rPr>
                <w:rFonts w:eastAsia="Calibri" w:cs="Arial"/>
                <w:sz w:val="20"/>
                <w:szCs w:val="20"/>
              </w:rPr>
            </w:pPr>
            <w:r w:rsidRPr="00B7364B">
              <w:rPr>
                <w:rFonts w:eastAsia="Calibri" w:cs="Arial"/>
                <w:sz w:val="20"/>
                <w:szCs w:val="20"/>
              </w:rPr>
              <w:t>‘yes’ international rates</w:t>
            </w:r>
            <w:r w:rsidRPr="00B7364B">
              <w:rPr>
                <w:rFonts w:eastAsia="Calibri" w:cs="Arial"/>
                <w:sz w:val="20"/>
                <w:szCs w:val="20"/>
              </w:rPr>
              <w:br/>
              <w:t>See optus.com.au/international</w:t>
            </w:r>
          </w:p>
        </w:tc>
      </w:tr>
      <w:tr w:rsidR="00BA172C" w:rsidRPr="00B7364B" w14:paraId="19F6A001" w14:textId="77777777" w:rsidTr="00B95821">
        <w:tc>
          <w:tcPr>
            <w:tcW w:w="4253" w:type="dxa"/>
            <w:shd w:val="clear" w:color="auto" w:fill="auto"/>
          </w:tcPr>
          <w:p w14:paraId="32C3609E" w14:textId="77777777" w:rsidR="00BA172C" w:rsidRPr="00B7364B" w:rsidRDefault="00BA172C" w:rsidP="00B95821">
            <w:pPr>
              <w:rPr>
                <w:rFonts w:eastAsia="Calibri" w:cs="Arial"/>
                <w:b/>
                <w:bCs/>
                <w:sz w:val="20"/>
                <w:szCs w:val="20"/>
              </w:rPr>
            </w:pPr>
            <w:r w:rsidRPr="00B7364B">
              <w:rPr>
                <w:rFonts w:eastAsia="Calibri" w:cs="Arial"/>
                <w:b/>
                <w:bCs/>
                <w:sz w:val="20"/>
                <w:szCs w:val="20"/>
              </w:rPr>
              <w:t xml:space="preserve">International SMS (to excluded countries) </w:t>
            </w:r>
          </w:p>
        </w:tc>
        <w:tc>
          <w:tcPr>
            <w:tcW w:w="5386" w:type="dxa"/>
            <w:shd w:val="clear" w:color="auto" w:fill="auto"/>
            <w:vAlign w:val="center"/>
          </w:tcPr>
          <w:p w14:paraId="0C5E552F" w14:textId="77777777" w:rsidR="00BA172C" w:rsidRPr="00B7364B" w:rsidRDefault="00BA172C" w:rsidP="00B95821">
            <w:pPr>
              <w:jc w:val="center"/>
              <w:rPr>
                <w:rFonts w:eastAsia="Calibri" w:cs="Arial"/>
                <w:sz w:val="20"/>
                <w:szCs w:val="20"/>
              </w:rPr>
            </w:pPr>
            <w:r w:rsidRPr="00B7364B">
              <w:rPr>
                <w:rFonts w:eastAsia="Calibri" w:cs="Arial"/>
                <w:sz w:val="20"/>
                <w:szCs w:val="20"/>
              </w:rPr>
              <w:t>50c per SMS up to 160 standard characters</w:t>
            </w:r>
          </w:p>
        </w:tc>
      </w:tr>
      <w:tr w:rsidR="00BA172C" w:rsidRPr="00B7364B" w14:paraId="35A56292" w14:textId="77777777" w:rsidTr="00B95821">
        <w:tc>
          <w:tcPr>
            <w:tcW w:w="4253" w:type="dxa"/>
            <w:shd w:val="clear" w:color="auto" w:fill="auto"/>
          </w:tcPr>
          <w:p w14:paraId="2564F51F" w14:textId="77777777" w:rsidR="00BA172C" w:rsidRPr="00B7364B" w:rsidRDefault="00BA172C" w:rsidP="00B95821">
            <w:pPr>
              <w:rPr>
                <w:rFonts w:eastAsia="Calibri" w:cs="Arial"/>
                <w:b/>
                <w:bCs/>
                <w:sz w:val="20"/>
                <w:szCs w:val="20"/>
              </w:rPr>
            </w:pPr>
            <w:r w:rsidRPr="00B7364B">
              <w:rPr>
                <w:rFonts w:eastAsia="Calibri" w:cs="Arial"/>
                <w:b/>
                <w:bCs/>
                <w:sz w:val="20"/>
                <w:szCs w:val="20"/>
              </w:rPr>
              <w:t>International MMS (to excluded countries)</w:t>
            </w:r>
          </w:p>
        </w:tc>
        <w:tc>
          <w:tcPr>
            <w:tcW w:w="5386" w:type="dxa"/>
            <w:shd w:val="clear" w:color="auto" w:fill="auto"/>
            <w:vAlign w:val="center"/>
          </w:tcPr>
          <w:p w14:paraId="2D1C66ED" w14:textId="77777777" w:rsidR="00BA172C" w:rsidRPr="00B7364B" w:rsidRDefault="00BA172C" w:rsidP="00B95821">
            <w:pPr>
              <w:jc w:val="center"/>
              <w:rPr>
                <w:rFonts w:eastAsia="Calibri" w:cs="Arial"/>
                <w:sz w:val="20"/>
                <w:szCs w:val="20"/>
              </w:rPr>
            </w:pPr>
            <w:r w:rsidRPr="00B7364B">
              <w:rPr>
                <w:rFonts w:eastAsia="Calibri" w:cs="Arial"/>
                <w:sz w:val="20"/>
                <w:szCs w:val="20"/>
              </w:rPr>
              <w:t xml:space="preserve">75c per MMS </w:t>
            </w:r>
          </w:p>
        </w:tc>
      </w:tr>
      <w:tr w:rsidR="00BA172C" w:rsidRPr="00B7364B" w14:paraId="3948ADF1" w14:textId="77777777" w:rsidTr="00B95821">
        <w:tc>
          <w:tcPr>
            <w:tcW w:w="4253" w:type="dxa"/>
            <w:shd w:val="clear" w:color="auto" w:fill="auto"/>
          </w:tcPr>
          <w:p w14:paraId="24C35807" w14:textId="77777777" w:rsidR="00BA172C" w:rsidRPr="00B7364B" w:rsidRDefault="00BA172C" w:rsidP="00B95821">
            <w:pPr>
              <w:rPr>
                <w:rFonts w:eastAsia="Calibri" w:cs="Arial"/>
                <w:b/>
                <w:bCs/>
                <w:sz w:val="20"/>
                <w:szCs w:val="20"/>
              </w:rPr>
            </w:pPr>
            <w:r w:rsidRPr="00B7364B">
              <w:rPr>
                <w:rFonts w:eastAsia="Calibri" w:cs="Arial"/>
                <w:b/>
                <w:bCs/>
                <w:sz w:val="20"/>
                <w:szCs w:val="20"/>
              </w:rPr>
              <w:t xml:space="preserve">International video calling </w:t>
            </w:r>
          </w:p>
        </w:tc>
        <w:tc>
          <w:tcPr>
            <w:tcW w:w="5386" w:type="dxa"/>
            <w:shd w:val="clear" w:color="auto" w:fill="auto"/>
            <w:vAlign w:val="center"/>
          </w:tcPr>
          <w:p w14:paraId="7514C7FA" w14:textId="77777777" w:rsidR="00BA172C" w:rsidRPr="00B7364B" w:rsidRDefault="00BA172C" w:rsidP="00B95821">
            <w:pPr>
              <w:jc w:val="center"/>
              <w:rPr>
                <w:rFonts w:eastAsia="Calibri" w:cs="Arial"/>
                <w:sz w:val="20"/>
                <w:szCs w:val="20"/>
              </w:rPr>
            </w:pPr>
            <w:r w:rsidRPr="00B7364B">
              <w:rPr>
                <w:rFonts w:eastAsia="Calibri" w:cs="Arial"/>
                <w:sz w:val="20"/>
                <w:szCs w:val="20"/>
              </w:rPr>
              <w:t>$1.50 per minute +35c flagfall</w:t>
            </w:r>
          </w:p>
        </w:tc>
      </w:tr>
      <w:tr w:rsidR="00BA172C" w:rsidRPr="00B7364B" w14:paraId="79822943" w14:textId="77777777" w:rsidTr="00B95821">
        <w:tc>
          <w:tcPr>
            <w:tcW w:w="4253" w:type="dxa"/>
            <w:shd w:val="clear" w:color="auto" w:fill="auto"/>
          </w:tcPr>
          <w:p w14:paraId="3445D496" w14:textId="77777777" w:rsidR="00BA172C" w:rsidRPr="00B7364B" w:rsidRDefault="00BA172C" w:rsidP="00B95821">
            <w:pPr>
              <w:rPr>
                <w:rFonts w:eastAsia="Calibri" w:cs="Arial"/>
                <w:b/>
                <w:bCs/>
                <w:sz w:val="20"/>
                <w:szCs w:val="20"/>
              </w:rPr>
            </w:pPr>
            <w:r w:rsidRPr="00B7364B">
              <w:rPr>
                <w:rFonts w:eastAsia="Calibri" w:cs="Arial"/>
                <w:b/>
                <w:bCs/>
                <w:sz w:val="20"/>
                <w:szCs w:val="20"/>
              </w:rPr>
              <w:t xml:space="preserve">International roaming </w:t>
            </w:r>
          </w:p>
        </w:tc>
        <w:tc>
          <w:tcPr>
            <w:tcW w:w="5386" w:type="dxa"/>
            <w:shd w:val="clear" w:color="auto" w:fill="auto"/>
            <w:vAlign w:val="center"/>
          </w:tcPr>
          <w:p w14:paraId="75F956C1" w14:textId="77777777" w:rsidR="00BA172C" w:rsidRPr="00B7364B" w:rsidRDefault="00BA172C" w:rsidP="00B95821">
            <w:pPr>
              <w:jc w:val="center"/>
              <w:rPr>
                <w:rFonts w:eastAsia="Calibri" w:cs="Arial"/>
                <w:sz w:val="20"/>
                <w:szCs w:val="20"/>
              </w:rPr>
            </w:pPr>
            <w:r w:rsidRPr="00B7364B">
              <w:rPr>
                <w:rFonts w:eastAsia="Calibri" w:cs="Arial"/>
                <w:sz w:val="20"/>
                <w:szCs w:val="20"/>
              </w:rPr>
              <w:t>See optus.com.au/roaming</w:t>
            </w:r>
          </w:p>
        </w:tc>
      </w:tr>
    </w:tbl>
    <w:p w14:paraId="1175F8FC" w14:textId="77777777" w:rsidR="00BA172C" w:rsidRPr="00B7364B" w:rsidRDefault="00BA172C" w:rsidP="00BA172C">
      <w:pPr>
        <w:rPr>
          <w:rFonts w:cs="Arial"/>
          <w:b/>
          <w:sz w:val="20"/>
          <w:szCs w:val="20"/>
        </w:rPr>
      </w:pPr>
    </w:p>
    <w:p w14:paraId="75DDA8F2" w14:textId="77777777" w:rsidR="00BA172C" w:rsidRDefault="00BA172C" w:rsidP="00BA172C">
      <w:pPr>
        <w:spacing w:after="120"/>
        <w:rPr>
          <w:rFonts w:cs="Arial"/>
          <w:b/>
          <w:sz w:val="20"/>
          <w:szCs w:val="20"/>
        </w:rPr>
      </w:pPr>
    </w:p>
    <w:p w14:paraId="53A73E1B" w14:textId="77777777" w:rsidR="00BA172C" w:rsidRPr="00B7364B" w:rsidRDefault="00BA172C" w:rsidP="00BA172C">
      <w:pPr>
        <w:spacing w:after="120"/>
        <w:rPr>
          <w:rFonts w:cs="Arial"/>
          <w:b/>
          <w:sz w:val="20"/>
          <w:szCs w:val="20"/>
        </w:rPr>
      </w:pPr>
      <w:r w:rsidRPr="00B7364B">
        <w:rPr>
          <w:rFonts w:cs="Arial"/>
          <w:b/>
          <w:sz w:val="20"/>
          <w:szCs w:val="20"/>
        </w:rPr>
        <w:t>Table 3 – International Countries</w:t>
      </w:r>
    </w:p>
    <w:tbl>
      <w:tblPr>
        <w:tblW w:w="93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50"/>
        <w:gridCol w:w="2353"/>
        <w:gridCol w:w="2340"/>
      </w:tblGrid>
      <w:tr w:rsidR="00BA172C" w:rsidRPr="00B7364B" w14:paraId="22D49547" w14:textId="77777777" w:rsidTr="00B95821">
        <w:tc>
          <w:tcPr>
            <w:tcW w:w="2337" w:type="dxa"/>
            <w:shd w:val="clear" w:color="auto" w:fill="auto"/>
          </w:tcPr>
          <w:p w14:paraId="520664C1" w14:textId="77777777" w:rsidR="00BA172C" w:rsidRPr="00B7364B" w:rsidRDefault="00BA172C" w:rsidP="00B95821">
            <w:pPr>
              <w:rPr>
                <w:rFonts w:eastAsia="Calibri" w:cs="Arial"/>
                <w:b/>
                <w:sz w:val="20"/>
                <w:szCs w:val="20"/>
              </w:rPr>
            </w:pPr>
            <w:r w:rsidRPr="00B7364B">
              <w:rPr>
                <w:rFonts w:eastAsia="Calibri" w:cs="Arial"/>
                <w:sz w:val="20"/>
                <w:szCs w:val="20"/>
              </w:rPr>
              <w:t>Austria</w:t>
            </w:r>
          </w:p>
        </w:tc>
        <w:tc>
          <w:tcPr>
            <w:tcW w:w="2350" w:type="dxa"/>
            <w:shd w:val="clear" w:color="auto" w:fill="auto"/>
          </w:tcPr>
          <w:p w14:paraId="5A541CE0" w14:textId="77777777" w:rsidR="00BA172C" w:rsidRPr="00B7364B" w:rsidRDefault="00BA172C" w:rsidP="00B95821">
            <w:pPr>
              <w:rPr>
                <w:rFonts w:eastAsia="Calibri" w:cs="Arial"/>
                <w:b/>
                <w:sz w:val="20"/>
                <w:szCs w:val="20"/>
              </w:rPr>
            </w:pPr>
            <w:r w:rsidRPr="00B7364B">
              <w:rPr>
                <w:rFonts w:eastAsia="Calibri" w:cs="Arial"/>
                <w:sz w:val="20"/>
                <w:szCs w:val="20"/>
              </w:rPr>
              <w:t>Bangladesh</w:t>
            </w:r>
          </w:p>
        </w:tc>
        <w:tc>
          <w:tcPr>
            <w:tcW w:w="2353" w:type="dxa"/>
            <w:shd w:val="clear" w:color="auto" w:fill="auto"/>
          </w:tcPr>
          <w:p w14:paraId="67E49244" w14:textId="77777777" w:rsidR="00BA172C" w:rsidRPr="00B7364B" w:rsidRDefault="00BA172C" w:rsidP="00B95821">
            <w:pPr>
              <w:rPr>
                <w:rFonts w:eastAsia="Calibri" w:cs="Arial"/>
                <w:b/>
                <w:sz w:val="20"/>
                <w:szCs w:val="20"/>
              </w:rPr>
            </w:pPr>
            <w:r w:rsidRPr="00B7364B">
              <w:rPr>
                <w:rFonts w:eastAsia="Calibri" w:cs="Arial"/>
                <w:sz w:val="20"/>
                <w:szCs w:val="20"/>
              </w:rPr>
              <w:t>Cambodia</w:t>
            </w:r>
          </w:p>
        </w:tc>
        <w:tc>
          <w:tcPr>
            <w:tcW w:w="2340" w:type="dxa"/>
            <w:shd w:val="clear" w:color="auto" w:fill="auto"/>
          </w:tcPr>
          <w:p w14:paraId="46CC3330" w14:textId="77777777" w:rsidR="00BA172C" w:rsidRPr="00B7364B" w:rsidRDefault="00BA172C" w:rsidP="00B95821">
            <w:pPr>
              <w:rPr>
                <w:rFonts w:eastAsia="Calibri" w:cs="Arial"/>
                <w:b/>
                <w:sz w:val="20"/>
                <w:szCs w:val="20"/>
              </w:rPr>
            </w:pPr>
            <w:r w:rsidRPr="00B7364B">
              <w:rPr>
                <w:rFonts w:eastAsia="Calibri" w:cs="Arial"/>
                <w:sz w:val="20"/>
                <w:szCs w:val="20"/>
              </w:rPr>
              <w:t>Canada</w:t>
            </w:r>
          </w:p>
        </w:tc>
      </w:tr>
      <w:tr w:rsidR="00BA172C" w:rsidRPr="00B7364B" w14:paraId="7ACFF910" w14:textId="77777777" w:rsidTr="00B95821">
        <w:tc>
          <w:tcPr>
            <w:tcW w:w="2337" w:type="dxa"/>
            <w:shd w:val="clear" w:color="auto" w:fill="auto"/>
          </w:tcPr>
          <w:p w14:paraId="506F7A4B" w14:textId="77777777" w:rsidR="00BA172C" w:rsidRPr="00B7364B" w:rsidRDefault="00BA172C" w:rsidP="00B95821">
            <w:pPr>
              <w:rPr>
                <w:rFonts w:eastAsia="Calibri" w:cs="Arial"/>
                <w:b/>
                <w:sz w:val="20"/>
                <w:szCs w:val="20"/>
              </w:rPr>
            </w:pPr>
            <w:r w:rsidRPr="00B7364B">
              <w:rPr>
                <w:rFonts w:eastAsia="Calibri" w:cs="Arial"/>
                <w:sz w:val="20"/>
                <w:szCs w:val="20"/>
              </w:rPr>
              <w:t xml:space="preserve">Chile </w:t>
            </w:r>
          </w:p>
        </w:tc>
        <w:tc>
          <w:tcPr>
            <w:tcW w:w="2350" w:type="dxa"/>
            <w:shd w:val="clear" w:color="auto" w:fill="auto"/>
          </w:tcPr>
          <w:p w14:paraId="5FB35D3F" w14:textId="77777777" w:rsidR="00BA172C" w:rsidRPr="00B7364B" w:rsidRDefault="00BA172C" w:rsidP="00B95821">
            <w:pPr>
              <w:rPr>
                <w:rFonts w:eastAsia="Calibri" w:cs="Arial"/>
                <w:b/>
                <w:sz w:val="20"/>
                <w:szCs w:val="20"/>
              </w:rPr>
            </w:pPr>
            <w:r w:rsidRPr="00B7364B">
              <w:rPr>
                <w:rFonts w:eastAsia="Calibri" w:cs="Arial"/>
                <w:sz w:val="20"/>
                <w:szCs w:val="20"/>
              </w:rPr>
              <w:t xml:space="preserve">China </w:t>
            </w:r>
          </w:p>
        </w:tc>
        <w:tc>
          <w:tcPr>
            <w:tcW w:w="2353" w:type="dxa"/>
            <w:shd w:val="clear" w:color="auto" w:fill="auto"/>
          </w:tcPr>
          <w:p w14:paraId="7F0D1718" w14:textId="77777777" w:rsidR="00BA172C" w:rsidRPr="00B7364B" w:rsidRDefault="00BA172C" w:rsidP="00B95821">
            <w:pPr>
              <w:rPr>
                <w:rFonts w:eastAsia="Calibri" w:cs="Arial"/>
                <w:b/>
                <w:sz w:val="20"/>
                <w:szCs w:val="20"/>
              </w:rPr>
            </w:pPr>
            <w:r w:rsidRPr="00B7364B">
              <w:rPr>
                <w:rFonts w:eastAsia="Calibri" w:cs="Arial"/>
                <w:sz w:val="20"/>
                <w:szCs w:val="20"/>
              </w:rPr>
              <w:t xml:space="preserve">Croatia </w:t>
            </w:r>
          </w:p>
        </w:tc>
        <w:tc>
          <w:tcPr>
            <w:tcW w:w="2340" w:type="dxa"/>
            <w:shd w:val="clear" w:color="auto" w:fill="auto"/>
          </w:tcPr>
          <w:p w14:paraId="343BF26C" w14:textId="77777777" w:rsidR="00BA172C" w:rsidRPr="00B7364B" w:rsidRDefault="00BA172C" w:rsidP="00B95821">
            <w:pPr>
              <w:rPr>
                <w:rFonts w:eastAsia="Calibri" w:cs="Arial"/>
                <w:b/>
                <w:sz w:val="20"/>
                <w:szCs w:val="20"/>
              </w:rPr>
            </w:pPr>
            <w:r w:rsidRPr="00B7364B">
              <w:rPr>
                <w:rFonts w:eastAsia="Calibri" w:cs="Arial"/>
                <w:sz w:val="20"/>
                <w:szCs w:val="20"/>
              </w:rPr>
              <w:t>France</w:t>
            </w:r>
          </w:p>
        </w:tc>
      </w:tr>
      <w:tr w:rsidR="00BA172C" w:rsidRPr="00B7364B" w14:paraId="76DF3A54" w14:textId="77777777" w:rsidTr="00B95821">
        <w:tc>
          <w:tcPr>
            <w:tcW w:w="2337" w:type="dxa"/>
            <w:shd w:val="clear" w:color="auto" w:fill="auto"/>
          </w:tcPr>
          <w:p w14:paraId="1792E73B" w14:textId="77777777" w:rsidR="00BA172C" w:rsidRPr="00B7364B" w:rsidRDefault="00BA172C" w:rsidP="00B95821">
            <w:pPr>
              <w:rPr>
                <w:rFonts w:eastAsia="Calibri" w:cs="Arial"/>
                <w:b/>
                <w:sz w:val="20"/>
                <w:szCs w:val="20"/>
              </w:rPr>
            </w:pPr>
            <w:r w:rsidRPr="00B7364B">
              <w:rPr>
                <w:rFonts w:eastAsia="Calibri" w:cs="Arial"/>
                <w:sz w:val="20"/>
                <w:szCs w:val="20"/>
              </w:rPr>
              <w:t>Germany</w:t>
            </w:r>
          </w:p>
        </w:tc>
        <w:tc>
          <w:tcPr>
            <w:tcW w:w="2350" w:type="dxa"/>
            <w:shd w:val="clear" w:color="auto" w:fill="auto"/>
          </w:tcPr>
          <w:p w14:paraId="79BD8531" w14:textId="77777777" w:rsidR="00BA172C" w:rsidRPr="00B7364B" w:rsidRDefault="00BA172C" w:rsidP="00B95821">
            <w:pPr>
              <w:rPr>
                <w:rFonts w:eastAsia="Calibri" w:cs="Arial"/>
                <w:b/>
                <w:sz w:val="20"/>
                <w:szCs w:val="20"/>
              </w:rPr>
            </w:pPr>
            <w:r w:rsidRPr="00B7364B">
              <w:rPr>
                <w:rFonts w:eastAsia="Calibri" w:cs="Arial"/>
                <w:sz w:val="20"/>
                <w:szCs w:val="20"/>
              </w:rPr>
              <w:t>Greece</w:t>
            </w:r>
          </w:p>
        </w:tc>
        <w:tc>
          <w:tcPr>
            <w:tcW w:w="2353" w:type="dxa"/>
            <w:shd w:val="clear" w:color="auto" w:fill="auto"/>
          </w:tcPr>
          <w:p w14:paraId="76ABA2EE" w14:textId="77777777" w:rsidR="00BA172C" w:rsidRPr="00B7364B" w:rsidRDefault="00BA172C" w:rsidP="00B95821">
            <w:pPr>
              <w:rPr>
                <w:rFonts w:eastAsia="Calibri" w:cs="Arial"/>
                <w:b/>
                <w:sz w:val="20"/>
                <w:szCs w:val="20"/>
              </w:rPr>
            </w:pPr>
            <w:r w:rsidRPr="00B7364B">
              <w:rPr>
                <w:rFonts w:eastAsia="Calibri" w:cs="Arial"/>
                <w:sz w:val="20"/>
                <w:szCs w:val="20"/>
              </w:rPr>
              <w:t>Hong Kong</w:t>
            </w:r>
          </w:p>
        </w:tc>
        <w:tc>
          <w:tcPr>
            <w:tcW w:w="2340" w:type="dxa"/>
            <w:shd w:val="clear" w:color="auto" w:fill="auto"/>
          </w:tcPr>
          <w:p w14:paraId="319687A9" w14:textId="77777777" w:rsidR="00BA172C" w:rsidRPr="00B7364B" w:rsidRDefault="00BA172C" w:rsidP="00B95821">
            <w:pPr>
              <w:rPr>
                <w:rFonts w:eastAsia="Calibri" w:cs="Arial"/>
                <w:b/>
                <w:sz w:val="20"/>
                <w:szCs w:val="20"/>
              </w:rPr>
            </w:pPr>
            <w:r w:rsidRPr="00B7364B">
              <w:rPr>
                <w:rFonts w:eastAsia="Calibri" w:cs="Arial"/>
                <w:sz w:val="20"/>
                <w:szCs w:val="20"/>
              </w:rPr>
              <w:t>Hungary</w:t>
            </w:r>
          </w:p>
        </w:tc>
      </w:tr>
      <w:tr w:rsidR="00BA172C" w:rsidRPr="00B7364B" w14:paraId="2C25703B" w14:textId="77777777" w:rsidTr="00B95821">
        <w:tc>
          <w:tcPr>
            <w:tcW w:w="2337" w:type="dxa"/>
            <w:shd w:val="clear" w:color="auto" w:fill="auto"/>
          </w:tcPr>
          <w:p w14:paraId="6CCDA3D8" w14:textId="77777777" w:rsidR="00BA172C" w:rsidRPr="00B7364B" w:rsidRDefault="00BA172C" w:rsidP="00B95821">
            <w:pPr>
              <w:rPr>
                <w:rFonts w:eastAsia="Calibri" w:cs="Arial"/>
                <w:b/>
                <w:sz w:val="20"/>
                <w:szCs w:val="20"/>
              </w:rPr>
            </w:pPr>
            <w:r w:rsidRPr="00B7364B">
              <w:rPr>
                <w:rFonts w:eastAsia="Calibri" w:cs="Arial"/>
                <w:sz w:val="20"/>
                <w:szCs w:val="20"/>
              </w:rPr>
              <w:t>Indonesia</w:t>
            </w:r>
          </w:p>
        </w:tc>
        <w:tc>
          <w:tcPr>
            <w:tcW w:w="2350" w:type="dxa"/>
            <w:shd w:val="clear" w:color="auto" w:fill="auto"/>
          </w:tcPr>
          <w:p w14:paraId="28139513" w14:textId="77777777" w:rsidR="00BA172C" w:rsidRPr="00B7364B" w:rsidRDefault="00BA172C" w:rsidP="00B95821">
            <w:pPr>
              <w:rPr>
                <w:rFonts w:eastAsia="Calibri" w:cs="Arial"/>
                <w:b/>
                <w:sz w:val="20"/>
                <w:szCs w:val="20"/>
              </w:rPr>
            </w:pPr>
            <w:r w:rsidRPr="00B7364B">
              <w:rPr>
                <w:rFonts w:eastAsia="Calibri" w:cs="Arial"/>
                <w:sz w:val="20"/>
                <w:szCs w:val="20"/>
              </w:rPr>
              <w:t>India</w:t>
            </w:r>
          </w:p>
        </w:tc>
        <w:tc>
          <w:tcPr>
            <w:tcW w:w="2353" w:type="dxa"/>
            <w:shd w:val="clear" w:color="auto" w:fill="auto"/>
          </w:tcPr>
          <w:p w14:paraId="124ABA45" w14:textId="77777777" w:rsidR="00BA172C" w:rsidRPr="00B7364B" w:rsidRDefault="00BA172C" w:rsidP="00B95821">
            <w:pPr>
              <w:rPr>
                <w:rFonts w:eastAsia="Calibri" w:cs="Arial"/>
                <w:b/>
                <w:sz w:val="20"/>
                <w:szCs w:val="20"/>
              </w:rPr>
            </w:pPr>
            <w:r w:rsidRPr="00B7364B">
              <w:rPr>
                <w:rFonts w:eastAsia="Calibri" w:cs="Arial"/>
                <w:sz w:val="20"/>
                <w:szCs w:val="20"/>
              </w:rPr>
              <w:t>Ireland</w:t>
            </w:r>
          </w:p>
        </w:tc>
        <w:tc>
          <w:tcPr>
            <w:tcW w:w="2340" w:type="dxa"/>
            <w:shd w:val="clear" w:color="auto" w:fill="auto"/>
          </w:tcPr>
          <w:p w14:paraId="57D89DAA" w14:textId="77777777" w:rsidR="00BA172C" w:rsidRPr="00B7364B" w:rsidRDefault="00BA172C" w:rsidP="00B95821">
            <w:pPr>
              <w:rPr>
                <w:rFonts w:eastAsia="Calibri" w:cs="Arial"/>
                <w:b/>
                <w:sz w:val="20"/>
                <w:szCs w:val="20"/>
              </w:rPr>
            </w:pPr>
            <w:r w:rsidRPr="00B7364B">
              <w:rPr>
                <w:rFonts w:eastAsia="Calibri" w:cs="Arial"/>
                <w:sz w:val="20"/>
                <w:szCs w:val="20"/>
              </w:rPr>
              <w:t>Italy</w:t>
            </w:r>
          </w:p>
        </w:tc>
      </w:tr>
      <w:tr w:rsidR="00BA172C" w:rsidRPr="00B7364B" w14:paraId="0D998424" w14:textId="77777777" w:rsidTr="00B95821">
        <w:tc>
          <w:tcPr>
            <w:tcW w:w="2337" w:type="dxa"/>
            <w:shd w:val="clear" w:color="auto" w:fill="auto"/>
          </w:tcPr>
          <w:p w14:paraId="334F495F" w14:textId="77777777" w:rsidR="00BA172C" w:rsidRPr="00B7364B" w:rsidRDefault="00BA172C" w:rsidP="00B95821">
            <w:pPr>
              <w:rPr>
                <w:rFonts w:eastAsia="Calibri" w:cs="Arial"/>
                <w:b/>
                <w:sz w:val="20"/>
                <w:szCs w:val="20"/>
              </w:rPr>
            </w:pPr>
            <w:r w:rsidRPr="00B7364B">
              <w:rPr>
                <w:rFonts w:eastAsia="Calibri" w:cs="Arial"/>
                <w:sz w:val="20"/>
                <w:szCs w:val="20"/>
              </w:rPr>
              <w:t xml:space="preserve">Japan </w:t>
            </w:r>
          </w:p>
        </w:tc>
        <w:tc>
          <w:tcPr>
            <w:tcW w:w="2350" w:type="dxa"/>
            <w:shd w:val="clear" w:color="auto" w:fill="auto"/>
          </w:tcPr>
          <w:p w14:paraId="03BE955C" w14:textId="77777777" w:rsidR="00BA172C" w:rsidRPr="00B7364B" w:rsidRDefault="00BA172C" w:rsidP="00B95821">
            <w:pPr>
              <w:rPr>
                <w:rFonts w:eastAsia="Calibri" w:cs="Arial"/>
                <w:b/>
                <w:sz w:val="20"/>
                <w:szCs w:val="20"/>
              </w:rPr>
            </w:pPr>
            <w:r w:rsidRPr="00B7364B">
              <w:rPr>
                <w:rFonts w:eastAsia="Calibri" w:cs="Arial"/>
                <w:sz w:val="20"/>
                <w:szCs w:val="20"/>
              </w:rPr>
              <w:t>Malaysia</w:t>
            </w:r>
          </w:p>
        </w:tc>
        <w:tc>
          <w:tcPr>
            <w:tcW w:w="2353" w:type="dxa"/>
            <w:shd w:val="clear" w:color="auto" w:fill="auto"/>
          </w:tcPr>
          <w:p w14:paraId="4174A7B7" w14:textId="77777777" w:rsidR="00BA172C" w:rsidRPr="00B7364B" w:rsidRDefault="00BA172C" w:rsidP="00B95821">
            <w:pPr>
              <w:rPr>
                <w:rFonts w:eastAsia="Calibri" w:cs="Arial"/>
                <w:b/>
                <w:sz w:val="20"/>
                <w:szCs w:val="20"/>
              </w:rPr>
            </w:pPr>
            <w:r w:rsidRPr="00B7364B">
              <w:rPr>
                <w:rFonts w:eastAsia="Calibri" w:cs="Arial"/>
                <w:sz w:val="20"/>
                <w:szCs w:val="20"/>
              </w:rPr>
              <w:t>Netherlands</w:t>
            </w:r>
          </w:p>
        </w:tc>
        <w:tc>
          <w:tcPr>
            <w:tcW w:w="2340" w:type="dxa"/>
            <w:shd w:val="clear" w:color="auto" w:fill="auto"/>
          </w:tcPr>
          <w:p w14:paraId="3352E149" w14:textId="77777777" w:rsidR="00BA172C" w:rsidRPr="00B7364B" w:rsidRDefault="00BA172C" w:rsidP="00B95821">
            <w:pPr>
              <w:rPr>
                <w:rFonts w:eastAsia="Calibri" w:cs="Arial"/>
                <w:b/>
                <w:sz w:val="20"/>
                <w:szCs w:val="20"/>
              </w:rPr>
            </w:pPr>
            <w:r w:rsidRPr="00B7364B">
              <w:rPr>
                <w:rFonts w:eastAsia="Calibri" w:cs="Arial"/>
                <w:sz w:val="20"/>
                <w:szCs w:val="20"/>
              </w:rPr>
              <w:t>New Zealand</w:t>
            </w:r>
          </w:p>
        </w:tc>
      </w:tr>
      <w:tr w:rsidR="00BA172C" w:rsidRPr="00B7364B" w14:paraId="67409833" w14:textId="77777777" w:rsidTr="00B95821">
        <w:tc>
          <w:tcPr>
            <w:tcW w:w="2337" w:type="dxa"/>
            <w:shd w:val="clear" w:color="auto" w:fill="auto"/>
          </w:tcPr>
          <w:p w14:paraId="556F0BA7" w14:textId="77777777" w:rsidR="00BA172C" w:rsidRPr="00B7364B" w:rsidRDefault="00BA172C" w:rsidP="00B95821">
            <w:pPr>
              <w:rPr>
                <w:rFonts w:eastAsia="Calibri" w:cs="Arial"/>
                <w:b/>
                <w:sz w:val="20"/>
                <w:szCs w:val="20"/>
              </w:rPr>
            </w:pPr>
            <w:r w:rsidRPr="00B7364B">
              <w:rPr>
                <w:rFonts w:eastAsia="Calibri" w:cs="Arial"/>
                <w:sz w:val="20"/>
                <w:szCs w:val="20"/>
              </w:rPr>
              <w:t xml:space="preserve">Pakistan </w:t>
            </w:r>
          </w:p>
        </w:tc>
        <w:tc>
          <w:tcPr>
            <w:tcW w:w="2350" w:type="dxa"/>
            <w:shd w:val="clear" w:color="auto" w:fill="auto"/>
          </w:tcPr>
          <w:p w14:paraId="201EF6D0" w14:textId="77777777" w:rsidR="00BA172C" w:rsidRPr="00B7364B" w:rsidRDefault="00BA172C" w:rsidP="00B95821">
            <w:pPr>
              <w:rPr>
                <w:rFonts w:eastAsia="Calibri" w:cs="Arial"/>
                <w:b/>
                <w:sz w:val="20"/>
                <w:szCs w:val="20"/>
              </w:rPr>
            </w:pPr>
            <w:r w:rsidRPr="00B7364B">
              <w:rPr>
                <w:rFonts w:eastAsia="Calibri" w:cs="Arial"/>
                <w:sz w:val="20"/>
                <w:szCs w:val="20"/>
              </w:rPr>
              <w:t>Philippines</w:t>
            </w:r>
          </w:p>
        </w:tc>
        <w:tc>
          <w:tcPr>
            <w:tcW w:w="2353" w:type="dxa"/>
            <w:shd w:val="clear" w:color="auto" w:fill="auto"/>
          </w:tcPr>
          <w:p w14:paraId="5EEF47AD" w14:textId="77777777" w:rsidR="00BA172C" w:rsidRPr="00B7364B" w:rsidRDefault="00BA172C" w:rsidP="00B95821">
            <w:pPr>
              <w:rPr>
                <w:rFonts w:eastAsia="Calibri" w:cs="Arial"/>
                <w:b/>
                <w:sz w:val="20"/>
                <w:szCs w:val="20"/>
              </w:rPr>
            </w:pPr>
            <w:r w:rsidRPr="00B7364B">
              <w:rPr>
                <w:rFonts w:eastAsia="Calibri" w:cs="Arial"/>
                <w:sz w:val="20"/>
                <w:szCs w:val="20"/>
              </w:rPr>
              <w:t xml:space="preserve">Poland </w:t>
            </w:r>
          </w:p>
        </w:tc>
        <w:tc>
          <w:tcPr>
            <w:tcW w:w="2340" w:type="dxa"/>
            <w:shd w:val="clear" w:color="auto" w:fill="auto"/>
          </w:tcPr>
          <w:p w14:paraId="1C9DA7F1" w14:textId="77777777" w:rsidR="00BA172C" w:rsidRPr="00B7364B" w:rsidRDefault="00BA172C" w:rsidP="00B95821">
            <w:pPr>
              <w:rPr>
                <w:rFonts w:eastAsia="Calibri" w:cs="Arial"/>
                <w:b/>
                <w:sz w:val="20"/>
                <w:szCs w:val="20"/>
              </w:rPr>
            </w:pPr>
            <w:r w:rsidRPr="00B7364B">
              <w:rPr>
                <w:rFonts w:eastAsia="Calibri" w:cs="Arial"/>
                <w:sz w:val="20"/>
                <w:szCs w:val="20"/>
              </w:rPr>
              <w:t>Singapore</w:t>
            </w:r>
          </w:p>
        </w:tc>
      </w:tr>
      <w:tr w:rsidR="00BA172C" w:rsidRPr="00B7364B" w14:paraId="3918304F" w14:textId="77777777" w:rsidTr="00B95821">
        <w:tc>
          <w:tcPr>
            <w:tcW w:w="2337" w:type="dxa"/>
            <w:shd w:val="clear" w:color="auto" w:fill="auto"/>
          </w:tcPr>
          <w:p w14:paraId="341BB997" w14:textId="77777777" w:rsidR="00BA172C" w:rsidRPr="00B7364B" w:rsidRDefault="00BA172C" w:rsidP="00B95821">
            <w:pPr>
              <w:rPr>
                <w:rFonts w:eastAsia="Calibri" w:cs="Arial"/>
                <w:b/>
                <w:sz w:val="20"/>
                <w:szCs w:val="20"/>
              </w:rPr>
            </w:pPr>
            <w:r w:rsidRPr="00B7364B">
              <w:rPr>
                <w:rFonts w:eastAsia="Calibri" w:cs="Arial"/>
                <w:sz w:val="20"/>
                <w:szCs w:val="20"/>
              </w:rPr>
              <w:t xml:space="preserve">South Africa </w:t>
            </w:r>
          </w:p>
        </w:tc>
        <w:tc>
          <w:tcPr>
            <w:tcW w:w="2350" w:type="dxa"/>
            <w:shd w:val="clear" w:color="auto" w:fill="auto"/>
          </w:tcPr>
          <w:p w14:paraId="26ABA043" w14:textId="77777777" w:rsidR="00BA172C" w:rsidRPr="00B7364B" w:rsidRDefault="00BA172C" w:rsidP="00B95821">
            <w:pPr>
              <w:rPr>
                <w:rFonts w:eastAsia="Calibri" w:cs="Arial"/>
                <w:b/>
                <w:sz w:val="20"/>
                <w:szCs w:val="20"/>
              </w:rPr>
            </w:pPr>
            <w:r w:rsidRPr="00B7364B">
              <w:rPr>
                <w:rFonts w:eastAsia="Calibri" w:cs="Arial"/>
                <w:sz w:val="20"/>
                <w:szCs w:val="20"/>
              </w:rPr>
              <w:t>South Korea</w:t>
            </w:r>
          </w:p>
        </w:tc>
        <w:tc>
          <w:tcPr>
            <w:tcW w:w="2353" w:type="dxa"/>
            <w:shd w:val="clear" w:color="auto" w:fill="auto"/>
          </w:tcPr>
          <w:p w14:paraId="212FEBFB" w14:textId="77777777" w:rsidR="00BA172C" w:rsidRPr="00B7364B" w:rsidRDefault="00BA172C" w:rsidP="00B95821">
            <w:pPr>
              <w:rPr>
                <w:rFonts w:eastAsia="Calibri" w:cs="Arial"/>
                <w:b/>
                <w:sz w:val="20"/>
                <w:szCs w:val="20"/>
              </w:rPr>
            </w:pPr>
            <w:r w:rsidRPr="00B7364B">
              <w:rPr>
                <w:rFonts w:eastAsia="Calibri" w:cs="Arial"/>
                <w:sz w:val="20"/>
                <w:szCs w:val="20"/>
              </w:rPr>
              <w:t xml:space="preserve">Taiwan </w:t>
            </w:r>
          </w:p>
        </w:tc>
        <w:tc>
          <w:tcPr>
            <w:tcW w:w="2340" w:type="dxa"/>
            <w:shd w:val="clear" w:color="auto" w:fill="auto"/>
          </w:tcPr>
          <w:p w14:paraId="467CB428" w14:textId="77777777" w:rsidR="00BA172C" w:rsidRPr="00B7364B" w:rsidRDefault="00BA172C" w:rsidP="00B95821">
            <w:pPr>
              <w:rPr>
                <w:rFonts w:eastAsia="Calibri" w:cs="Arial"/>
                <w:b/>
                <w:sz w:val="20"/>
                <w:szCs w:val="20"/>
              </w:rPr>
            </w:pPr>
            <w:r w:rsidRPr="00B7364B">
              <w:rPr>
                <w:rFonts w:eastAsia="Calibri" w:cs="Arial"/>
                <w:sz w:val="20"/>
                <w:szCs w:val="20"/>
              </w:rPr>
              <w:t>Thailand</w:t>
            </w:r>
          </w:p>
        </w:tc>
      </w:tr>
      <w:tr w:rsidR="00BA172C" w:rsidRPr="00B7364B" w14:paraId="24638905" w14:textId="77777777" w:rsidTr="00B95821">
        <w:tc>
          <w:tcPr>
            <w:tcW w:w="2337" w:type="dxa"/>
            <w:shd w:val="clear" w:color="auto" w:fill="auto"/>
          </w:tcPr>
          <w:p w14:paraId="70020F01" w14:textId="77777777" w:rsidR="00BA172C" w:rsidRPr="00B7364B" w:rsidRDefault="00BA172C" w:rsidP="00B95821">
            <w:pPr>
              <w:rPr>
                <w:rFonts w:eastAsia="Calibri" w:cs="Arial"/>
                <w:b/>
                <w:sz w:val="20"/>
                <w:szCs w:val="20"/>
              </w:rPr>
            </w:pPr>
            <w:r w:rsidRPr="00B7364B">
              <w:rPr>
                <w:rFonts w:eastAsia="Calibri" w:cs="Arial"/>
                <w:sz w:val="20"/>
                <w:szCs w:val="20"/>
              </w:rPr>
              <w:t>Turkey</w:t>
            </w:r>
          </w:p>
        </w:tc>
        <w:tc>
          <w:tcPr>
            <w:tcW w:w="2350" w:type="dxa"/>
            <w:shd w:val="clear" w:color="auto" w:fill="auto"/>
          </w:tcPr>
          <w:p w14:paraId="1A067E12" w14:textId="77777777" w:rsidR="00BA172C" w:rsidRPr="00B7364B" w:rsidRDefault="00BA172C" w:rsidP="00B95821">
            <w:pPr>
              <w:rPr>
                <w:rFonts w:eastAsia="Calibri" w:cs="Arial"/>
                <w:b/>
                <w:sz w:val="20"/>
                <w:szCs w:val="20"/>
              </w:rPr>
            </w:pPr>
            <w:r w:rsidRPr="00B7364B">
              <w:rPr>
                <w:rFonts w:eastAsia="Calibri" w:cs="Arial"/>
                <w:sz w:val="20"/>
                <w:szCs w:val="20"/>
              </w:rPr>
              <w:t>United Kingdom</w:t>
            </w:r>
          </w:p>
        </w:tc>
        <w:tc>
          <w:tcPr>
            <w:tcW w:w="2353" w:type="dxa"/>
            <w:shd w:val="clear" w:color="auto" w:fill="auto"/>
          </w:tcPr>
          <w:p w14:paraId="061F30D0" w14:textId="77777777" w:rsidR="00BA172C" w:rsidRPr="00B7364B" w:rsidRDefault="00BA172C" w:rsidP="00B95821">
            <w:pPr>
              <w:rPr>
                <w:rFonts w:eastAsia="Calibri" w:cs="Arial"/>
                <w:b/>
                <w:sz w:val="20"/>
                <w:szCs w:val="20"/>
              </w:rPr>
            </w:pPr>
            <w:r w:rsidRPr="00B7364B">
              <w:rPr>
                <w:rFonts w:eastAsia="Calibri" w:cs="Arial"/>
                <w:sz w:val="20"/>
                <w:szCs w:val="20"/>
              </w:rPr>
              <w:t xml:space="preserve">USA </w:t>
            </w:r>
          </w:p>
        </w:tc>
        <w:tc>
          <w:tcPr>
            <w:tcW w:w="2340" w:type="dxa"/>
            <w:shd w:val="clear" w:color="auto" w:fill="auto"/>
          </w:tcPr>
          <w:p w14:paraId="75A05ED8" w14:textId="77777777" w:rsidR="00BA172C" w:rsidRPr="00B7364B" w:rsidRDefault="00BA172C" w:rsidP="00B95821">
            <w:pPr>
              <w:rPr>
                <w:rFonts w:eastAsia="Calibri" w:cs="Arial"/>
                <w:b/>
                <w:sz w:val="20"/>
                <w:szCs w:val="20"/>
              </w:rPr>
            </w:pPr>
            <w:r w:rsidRPr="00B7364B">
              <w:rPr>
                <w:rFonts w:eastAsia="Calibri" w:cs="Arial"/>
                <w:sz w:val="20"/>
                <w:szCs w:val="20"/>
              </w:rPr>
              <w:t>Vietnam</w:t>
            </w:r>
          </w:p>
        </w:tc>
      </w:tr>
    </w:tbl>
    <w:p w14:paraId="198C44BC" w14:textId="77777777" w:rsidR="00BA172C" w:rsidRPr="00B7364B" w:rsidRDefault="00BA172C" w:rsidP="00BA172C">
      <w:pPr>
        <w:rPr>
          <w:rFonts w:cs="Arial"/>
          <w:b/>
          <w:sz w:val="20"/>
          <w:szCs w:val="20"/>
        </w:rPr>
      </w:pPr>
    </w:p>
    <w:p w14:paraId="35359173" w14:textId="77777777" w:rsidR="00BA172C" w:rsidRPr="00B7364B" w:rsidRDefault="00BA172C" w:rsidP="00BA172C">
      <w:pPr>
        <w:numPr>
          <w:ilvl w:val="5"/>
          <w:numId w:val="1"/>
        </w:numPr>
        <w:spacing w:after="200"/>
        <w:outlineLvl w:val="5"/>
        <w:rPr>
          <w:rFonts w:eastAsia="Times New Roman" w:cs="Arial"/>
          <w:sz w:val="20"/>
          <w:szCs w:val="20"/>
          <w:lang w:val="en-AU"/>
        </w:rPr>
      </w:pPr>
      <w:r w:rsidRPr="00B7364B">
        <w:rPr>
          <w:rFonts w:eastAsia="Times New Roman" w:cs="Arial"/>
          <w:sz w:val="20"/>
          <w:szCs w:val="20"/>
          <w:lang w:val="en-AU"/>
        </w:rPr>
        <w:t>My Account</w:t>
      </w:r>
    </w:p>
    <w:p w14:paraId="6319C89C" w14:textId="77777777" w:rsidR="00BA172C" w:rsidRPr="00B7364B" w:rsidRDefault="00BA172C" w:rsidP="00BA172C">
      <w:pPr>
        <w:tabs>
          <w:tab w:val="left" w:pos="1701"/>
        </w:tabs>
        <w:spacing w:before="120" w:after="240"/>
        <w:ind w:left="709"/>
        <w:rPr>
          <w:rFonts w:cs="Arial"/>
          <w:sz w:val="20"/>
          <w:szCs w:val="20"/>
        </w:rPr>
      </w:pPr>
      <w:r w:rsidRPr="00B7364B">
        <w:rPr>
          <w:rFonts w:cs="Arial"/>
          <w:sz w:val="20"/>
          <w:szCs w:val="20"/>
        </w:rPr>
        <w:t xml:space="preserve">Services that share data may have a service login to My Account which will display all of the service numbers contributing to or using the shared data pool on </w:t>
      </w:r>
      <w:r w:rsidRPr="00B7364B">
        <w:rPr>
          <w:rFonts w:cs="Arial"/>
          <w:i/>
          <w:sz w:val="20"/>
          <w:szCs w:val="20"/>
        </w:rPr>
        <w:t xml:space="preserve">your </w:t>
      </w:r>
      <w:r w:rsidRPr="00B7364B">
        <w:rPr>
          <w:rFonts w:cs="Arial"/>
          <w:sz w:val="20"/>
          <w:szCs w:val="20"/>
        </w:rPr>
        <w:t xml:space="preserve">account and the amount of data each service has used. If </w:t>
      </w:r>
      <w:r w:rsidRPr="00B7364B">
        <w:rPr>
          <w:rFonts w:cs="Arial"/>
          <w:i/>
          <w:sz w:val="20"/>
          <w:szCs w:val="20"/>
        </w:rPr>
        <w:t>you</w:t>
      </w:r>
      <w:r w:rsidRPr="00B7364B">
        <w:rPr>
          <w:rFonts w:cs="Arial"/>
          <w:sz w:val="20"/>
          <w:szCs w:val="20"/>
        </w:rPr>
        <w:t xml:space="preserve"> have more than 6 services on </w:t>
      </w:r>
      <w:r w:rsidRPr="00B7364B">
        <w:rPr>
          <w:rFonts w:cs="Arial"/>
          <w:i/>
          <w:sz w:val="20"/>
          <w:szCs w:val="20"/>
        </w:rPr>
        <w:t>your</w:t>
      </w:r>
      <w:r w:rsidRPr="00B7364B">
        <w:rPr>
          <w:rFonts w:cs="Arial"/>
          <w:sz w:val="20"/>
          <w:szCs w:val="20"/>
        </w:rPr>
        <w:t xml:space="preserve"> account, My Account may not be suitable for viewing usage and managing </w:t>
      </w:r>
      <w:r w:rsidRPr="00B7364B">
        <w:rPr>
          <w:rFonts w:cs="Arial"/>
          <w:i/>
          <w:sz w:val="20"/>
          <w:szCs w:val="20"/>
        </w:rPr>
        <w:t xml:space="preserve">your </w:t>
      </w:r>
      <w:r w:rsidRPr="00B7364B">
        <w:rPr>
          <w:rFonts w:cs="Arial"/>
          <w:sz w:val="20"/>
          <w:szCs w:val="20"/>
        </w:rPr>
        <w:t>usage alerts.</w:t>
      </w:r>
    </w:p>
    <w:p w14:paraId="6F31EEB9" w14:textId="77777777" w:rsidR="00BA172C" w:rsidRPr="00B7364B" w:rsidRDefault="00BA172C" w:rsidP="00BA172C">
      <w:pPr>
        <w:numPr>
          <w:ilvl w:val="5"/>
          <w:numId w:val="1"/>
        </w:numPr>
        <w:spacing w:after="200"/>
        <w:outlineLvl w:val="5"/>
        <w:rPr>
          <w:rFonts w:eastAsia="Times New Roman" w:cs="Arial"/>
          <w:sz w:val="20"/>
          <w:szCs w:val="20"/>
          <w:lang w:val="en-AU"/>
        </w:rPr>
      </w:pPr>
      <w:r w:rsidRPr="00B7364B">
        <w:rPr>
          <w:rFonts w:eastAsia="Times New Roman" w:cs="Arial"/>
          <w:sz w:val="20"/>
          <w:szCs w:val="20"/>
          <w:lang w:val="en-AU"/>
        </w:rPr>
        <w:t xml:space="preserve">What happens if the </w:t>
      </w:r>
      <w:r w:rsidRPr="00B7364B">
        <w:rPr>
          <w:rFonts w:eastAsia="Times New Roman" w:cs="Arial"/>
          <w:i/>
          <w:sz w:val="20"/>
          <w:szCs w:val="20"/>
          <w:lang w:val="en-AU"/>
        </w:rPr>
        <w:t xml:space="preserve">service </w:t>
      </w:r>
      <w:r w:rsidRPr="00B7364B">
        <w:rPr>
          <w:rFonts w:eastAsia="Times New Roman" w:cs="Arial"/>
          <w:sz w:val="20"/>
          <w:szCs w:val="20"/>
          <w:lang w:val="en-AU"/>
        </w:rPr>
        <w:t>is</w:t>
      </w:r>
      <w:r w:rsidRPr="00B7364B">
        <w:rPr>
          <w:rFonts w:eastAsia="Times New Roman" w:cs="Arial"/>
          <w:i/>
          <w:sz w:val="20"/>
          <w:szCs w:val="20"/>
          <w:lang w:val="en-AU"/>
        </w:rPr>
        <w:t xml:space="preserve"> cancelled </w:t>
      </w:r>
      <w:r w:rsidRPr="00B7364B">
        <w:rPr>
          <w:rFonts w:eastAsia="Times New Roman" w:cs="Arial"/>
          <w:sz w:val="20"/>
          <w:szCs w:val="20"/>
          <w:lang w:val="en-AU"/>
        </w:rPr>
        <w:t xml:space="preserve">early? </w:t>
      </w:r>
    </w:p>
    <w:p w14:paraId="69A0182E" w14:textId="77777777" w:rsidR="00BA172C" w:rsidRPr="00B7364B" w:rsidRDefault="00BA172C" w:rsidP="00BA172C">
      <w:pPr>
        <w:spacing w:after="200"/>
        <w:ind w:left="709"/>
        <w:rPr>
          <w:rFonts w:cs="Arial"/>
          <w:sz w:val="20"/>
          <w:szCs w:val="20"/>
        </w:rPr>
      </w:pPr>
      <w:r w:rsidRPr="00B7364B">
        <w:rPr>
          <w:rFonts w:cs="Arial"/>
          <w:sz w:val="20"/>
          <w:szCs w:val="20"/>
        </w:rPr>
        <w:t>If your service is cancelled before the end of your minimum term, there are no plan cancellation fees. You will simply need to pay out the sum of unpaid equipment charges owing on your mobile phone under the mobile equipment payment plan (if any).  Note any handset credit you were entitled to will be forfeited (see clause 3.12 above).</w:t>
      </w:r>
      <w:r w:rsidR="00E85FA3">
        <w:rPr>
          <w:rFonts w:cs="Arial"/>
          <w:sz w:val="20"/>
          <w:szCs w:val="20"/>
        </w:rPr>
        <w:br/>
      </w:r>
      <w:r w:rsidR="00E85FA3">
        <w:rPr>
          <w:rFonts w:cs="Arial"/>
          <w:sz w:val="20"/>
          <w:szCs w:val="20"/>
        </w:rPr>
        <w:br/>
      </w:r>
    </w:p>
    <w:p w14:paraId="3DCC88FC" w14:textId="77777777" w:rsidR="00BA172C" w:rsidRPr="00B7364B" w:rsidRDefault="00BA172C" w:rsidP="00BA172C">
      <w:pPr>
        <w:pStyle w:val="Heading4"/>
      </w:pPr>
      <w:bookmarkStart w:id="1821" w:name="_Toc479674734"/>
      <w:bookmarkStart w:id="1822" w:name="_Toc509314768"/>
      <w:bookmarkStart w:id="1823" w:name="_Toc62644702"/>
      <w:r w:rsidRPr="00B7364B">
        <w:t>$40 My Plan Business (Promo)</w:t>
      </w:r>
      <w:bookmarkEnd w:id="1821"/>
      <w:bookmarkEnd w:id="1822"/>
      <w:bookmarkEnd w:id="1823"/>
    </w:p>
    <w:p w14:paraId="6AAFF114" w14:textId="77777777" w:rsidR="00BA172C" w:rsidRPr="00B7364B" w:rsidRDefault="00BA172C" w:rsidP="00BA172C">
      <w:pPr>
        <w:spacing w:after="200"/>
        <w:ind w:left="720"/>
        <w:rPr>
          <w:sz w:val="20"/>
        </w:rPr>
      </w:pPr>
      <w:r w:rsidRPr="00B7364B">
        <w:rPr>
          <w:sz w:val="20"/>
        </w:rPr>
        <w:t xml:space="preserve">This section relates to the following plans. </w:t>
      </w:r>
      <w:r w:rsidRPr="00B7364B">
        <w:rPr>
          <w:i/>
          <w:sz w:val="20"/>
        </w:rPr>
        <w:t>You</w:t>
      </w:r>
      <w:r w:rsidRPr="00B7364B">
        <w:rPr>
          <w:sz w:val="20"/>
        </w:rPr>
        <w:t xml:space="preserve"> can find </w:t>
      </w:r>
      <w:r w:rsidRPr="00B7364B">
        <w:rPr>
          <w:i/>
          <w:sz w:val="20"/>
        </w:rPr>
        <w:t>your</w:t>
      </w:r>
      <w:r w:rsidRPr="00B7364B">
        <w:rPr>
          <w:sz w:val="20"/>
        </w:rPr>
        <w:t xml:space="preserve"> Plan ID on </w:t>
      </w:r>
      <w:r w:rsidRPr="00B7364B">
        <w:rPr>
          <w:i/>
          <w:sz w:val="20"/>
        </w:rPr>
        <w:t>your</w:t>
      </w:r>
      <w:r w:rsidRPr="00B7364B">
        <w:rPr>
          <w:sz w:val="20"/>
        </w:rPr>
        <w:t xml:space="preserve"> bill under the Mobile Number Summary section:</w:t>
      </w:r>
    </w:p>
    <w:tbl>
      <w:tblPr>
        <w:tblW w:w="8914"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1"/>
        <w:gridCol w:w="2268"/>
        <w:gridCol w:w="3005"/>
      </w:tblGrid>
      <w:tr w:rsidR="00BA172C" w:rsidRPr="00B7364B" w14:paraId="2DD54C44" w14:textId="77777777" w:rsidTr="00E85FA3">
        <w:tc>
          <w:tcPr>
            <w:tcW w:w="3641" w:type="dxa"/>
            <w:shd w:val="clear" w:color="auto" w:fill="auto"/>
          </w:tcPr>
          <w:p w14:paraId="7AC07BAE" w14:textId="77777777" w:rsidR="00BA172C" w:rsidRPr="00B7364B" w:rsidRDefault="00BA172C" w:rsidP="00B95821">
            <w:pPr>
              <w:spacing w:before="100" w:after="100"/>
              <w:jc w:val="center"/>
              <w:rPr>
                <w:b/>
                <w:sz w:val="20"/>
              </w:rPr>
            </w:pPr>
            <w:r w:rsidRPr="00B7364B">
              <w:rPr>
                <w:b/>
                <w:sz w:val="20"/>
              </w:rPr>
              <w:t>Plan</w:t>
            </w:r>
          </w:p>
        </w:tc>
        <w:tc>
          <w:tcPr>
            <w:tcW w:w="2268" w:type="dxa"/>
            <w:shd w:val="clear" w:color="auto" w:fill="auto"/>
          </w:tcPr>
          <w:p w14:paraId="4555C63C" w14:textId="77777777" w:rsidR="00BA172C" w:rsidRPr="00B7364B" w:rsidRDefault="00BA172C" w:rsidP="00B95821">
            <w:pPr>
              <w:spacing w:before="100" w:after="100"/>
              <w:jc w:val="center"/>
              <w:rPr>
                <w:b/>
                <w:sz w:val="20"/>
              </w:rPr>
            </w:pPr>
            <w:r w:rsidRPr="00B7364B">
              <w:rPr>
                <w:b/>
                <w:sz w:val="20"/>
              </w:rPr>
              <w:t>Plan ID</w:t>
            </w:r>
          </w:p>
        </w:tc>
        <w:tc>
          <w:tcPr>
            <w:tcW w:w="3005" w:type="dxa"/>
            <w:shd w:val="clear" w:color="auto" w:fill="auto"/>
          </w:tcPr>
          <w:p w14:paraId="06A2C7BD" w14:textId="77777777" w:rsidR="00BA172C" w:rsidRPr="00B7364B" w:rsidRDefault="00BA172C" w:rsidP="00B95821">
            <w:pPr>
              <w:spacing w:before="100" w:after="100"/>
              <w:jc w:val="center"/>
              <w:rPr>
                <w:b/>
                <w:sz w:val="20"/>
              </w:rPr>
            </w:pPr>
            <w:r w:rsidRPr="00B7364B">
              <w:rPr>
                <w:b/>
                <w:sz w:val="20"/>
              </w:rPr>
              <w:t>Available</w:t>
            </w:r>
          </w:p>
        </w:tc>
      </w:tr>
      <w:tr w:rsidR="00BA172C" w:rsidRPr="00B7364B" w14:paraId="2E29F24A" w14:textId="77777777" w:rsidTr="00E85FA3">
        <w:tc>
          <w:tcPr>
            <w:tcW w:w="3641" w:type="dxa"/>
            <w:shd w:val="clear" w:color="auto" w:fill="auto"/>
          </w:tcPr>
          <w:p w14:paraId="6ADBA5CA" w14:textId="77777777" w:rsidR="00BA172C" w:rsidRPr="00B7364B" w:rsidRDefault="00BA172C" w:rsidP="00B95821">
            <w:pPr>
              <w:spacing w:before="100" w:after="100"/>
              <w:jc w:val="center"/>
              <w:rPr>
                <w:sz w:val="20"/>
              </w:rPr>
            </w:pPr>
            <w:r w:rsidRPr="00B7364B">
              <w:rPr>
                <w:sz w:val="20"/>
              </w:rPr>
              <w:t>$40 My Plan Business (Promo)</w:t>
            </w:r>
          </w:p>
        </w:tc>
        <w:tc>
          <w:tcPr>
            <w:tcW w:w="2268" w:type="dxa"/>
            <w:shd w:val="clear" w:color="auto" w:fill="auto"/>
            <w:vAlign w:val="center"/>
          </w:tcPr>
          <w:p w14:paraId="07743577" w14:textId="77777777" w:rsidR="00BA172C" w:rsidRPr="00B7364B" w:rsidRDefault="00BA172C" w:rsidP="00B95821">
            <w:pPr>
              <w:spacing w:before="100" w:after="100"/>
              <w:jc w:val="center"/>
              <w:rPr>
                <w:sz w:val="20"/>
              </w:rPr>
            </w:pPr>
            <w:r w:rsidRPr="00B7364B">
              <w:rPr>
                <w:sz w:val="20"/>
              </w:rPr>
              <w:t>800597, 800591</w:t>
            </w:r>
          </w:p>
        </w:tc>
        <w:tc>
          <w:tcPr>
            <w:tcW w:w="3005" w:type="dxa"/>
            <w:shd w:val="clear" w:color="auto" w:fill="auto"/>
            <w:vAlign w:val="center"/>
          </w:tcPr>
          <w:p w14:paraId="1033CC1B" w14:textId="77777777" w:rsidR="00BA172C" w:rsidRPr="00B7364B" w:rsidRDefault="00BA172C" w:rsidP="00B95821">
            <w:pPr>
              <w:spacing w:before="100" w:after="100"/>
              <w:jc w:val="center"/>
              <w:rPr>
                <w:sz w:val="20"/>
              </w:rPr>
            </w:pPr>
            <w:r w:rsidRPr="00B7364B">
              <w:rPr>
                <w:sz w:val="20"/>
              </w:rPr>
              <w:t>27 Feb 2017</w:t>
            </w:r>
            <w:r w:rsidR="00E85FA3" w:rsidRPr="00E85FA3">
              <w:rPr>
                <w:sz w:val="20"/>
              </w:rPr>
              <w:t xml:space="preserve"> – 30</w:t>
            </w:r>
            <w:r w:rsidR="00E8487A">
              <w:rPr>
                <w:sz w:val="20"/>
              </w:rPr>
              <w:t xml:space="preserve"> June</w:t>
            </w:r>
            <w:r w:rsidR="00E85FA3" w:rsidRPr="00E85FA3">
              <w:rPr>
                <w:sz w:val="20"/>
              </w:rPr>
              <w:t xml:space="preserve"> 2018</w:t>
            </w:r>
          </w:p>
        </w:tc>
      </w:tr>
    </w:tbl>
    <w:p w14:paraId="1A40C97E" w14:textId="77777777" w:rsidR="00BA172C" w:rsidRPr="00B7364B" w:rsidRDefault="00BA172C" w:rsidP="00BA172C">
      <w:pPr>
        <w:spacing w:after="200"/>
        <w:rPr>
          <w:sz w:val="20"/>
        </w:rPr>
      </w:pPr>
    </w:p>
    <w:p w14:paraId="427E9AA0" w14:textId="77777777" w:rsidR="00BA172C" w:rsidRPr="00B7364B" w:rsidRDefault="00BA172C" w:rsidP="00BA172C">
      <w:pPr>
        <w:numPr>
          <w:ilvl w:val="5"/>
          <w:numId w:val="1"/>
        </w:numPr>
        <w:spacing w:after="200"/>
        <w:outlineLvl w:val="5"/>
        <w:rPr>
          <w:rFonts w:eastAsia="Times New Roman"/>
          <w:bCs/>
          <w:sz w:val="20"/>
          <w:szCs w:val="22"/>
        </w:rPr>
      </w:pPr>
      <w:bookmarkStart w:id="1824" w:name="_Toc479674735"/>
      <w:r w:rsidRPr="00B7364B">
        <w:rPr>
          <w:rFonts w:eastAsia="Times New Roman"/>
          <w:bCs/>
          <w:sz w:val="20"/>
          <w:szCs w:val="22"/>
        </w:rPr>
        <w:t>Eligibility</w:t>
      </w:r>
      <w:bookmarkEnd w:id="1824"/>
    </w:p>
    <w:p w14:paraId="0DFEBA47" w14:textId="77777777" w:rsidR="00BA172C" w:rsidRPr="00B7364B" w:rsidRDefault="00BA172C" w:rsidP="00BA172C">
      <w:pPr>
        <w:spacing w:after="200"/>
        <w:ind w:left="720"/>
        <w:rPr>
          <w:sz w:val="20"/>
        </w:rPr>
      </w:pPr>
      <w:r w:rsidRPr="00B7364B">
        <w:rPr>
          <w:sz w:val="20"/>
        </w:rPr>
        <w:t xml:space="preserve">The My Plan Business plans are available to new and existing mobile customers connecting to the </w:t>
      </w:r>
      <w:r w:rsidRPr="00B7364B">
        <w:rPr>
          <w:i/>
          <w:sz w:val="20"/>
        </w:rPr>
        <w:t xml:space="preserve">service </w:t>
      </w:r>
      <w:r w:rsidRPr="00B7364B">
        <w:rPr>
          <w:sz w:val="20"/>
        </w:rPr>
        <w:t xml:space="preserve">who pass Optus' credit assessment. </w:t>
      </w:r>
    </w:p>
    <w:p w14:paraId="003CFA95" w14:textId="77777777" w:rsidR="00BA172C" w:rsidRPr="00B7364B" w:rsidRDefault="00BA172C" w:rsidP="00BA172C">
      <w:pPr>
        <w:spacing w:after="200"/>
        <w:ind w:left="720"/>
        <w:rPr>
          <w:sz w:val="20"/>
        </w:rPr>
      </w:pPr>
      <w:r w:rsidRPr="00B7364B">
        <w:rPr>
          <w:sz w:val="20"/>
        </w:rPr>
        <w:t>Optus Service Providers' customers are not eligible to apply</w:t>
      </w:r>
      <w:r w:rsidRPr="00B7364B">
        <w:rPr>
          <w:snapToGrid w:val="0"/>
          <w:sz w:val="20"/>
        </w:rPr>
        <w:t>.</w:t>
      </w:r>
    </w:p>
    <w:p w14:paraId="3E65CFDD" w14:textId="77777777" w:rsidR="00BA172C" w:rsidRPr="00B7364B" w:rsidRDefault="00BA172C" w:rsidP="00BA172C">
      <w:pPr>
        <w:spacing w:after="200"/>
        <w:ind w:left="720"/>
        <w:rPr>
          <w:sz w:val="20"/>
        </w:rPr>
      </w:pPr>
      <w:r w:rsidRPr="00B7364B">
        <w:rPr>
          <w:sz w:val="20"/>
        </w:rPr>
        <w:lastRenderedPageBreak/>
        <w:t xml:space="preserve">These </w:t>
      </w:r>
      <w:r w:rsidRPr="00B7364B">
        <w:rPr>
          <w:i/>
          <w:sz w:val="20"/>
        </w:rPr>
        <w:t>plans</w:t>
      </w:r>
      <w:r w:rsidRPr="00B7364B">
        <w:rPr>
          <w:sz w:val="20"/>
        </w:rPr>
        <w:t xml:space="preserve"> aren't compatible for data use with BlackBerry handsets on operating systems of 7.1 or earlier.</w:t>
      </w:r>
    </w:p>
    <w:p w14:paraId="62E431CB" w14:textId="77777777" w:rsidR="00BA172C" w:rsidRPr="00B7364B" w:rsidRDefault="00BA172C" w:rsidP="00BA172C">
      <w:pPr>
        <w:numPr>
          <w:ilvl w:val="5"/>
          <w:numId w:val="1"/>
        </w:numPr>
        <w:spacing w:after="200"/>
        <w:outlineLvl w:val="5"/>
        <w:rPr>
          <w:rFonts w:eastAsia="Times New Roman"/>
          <w:bCs/>
          <w:sz w:val="20"/>
          <w:szCs w:val="22"/>
        </w:rPr>
      </w:pPr>
      <w:bookmarkStart w:id="1825" w:name="_Toc479674736"/>
      <w:r w:rsidRPr="00B7364B">
        <w:rPr>
          <w:rFonts w:eastAsia="Times New Roman"/>
          <w:bCs/>
          <w:snapToGrid w:val="0"/>
          <w:sz w:val="20"/>
          <w:szCs w:val="22"/>
        </w:rPr>
        <w:t>Minimum Term</w:t>
      </w:r>
      <w:bookmarkEnd w:id="1825"/>
    </w:p>
    <w:p w14:paraId="67571F2C" w14:textId="77777777" w:rsidR="00BA172C" w:rsidRPr="0064594C" w:rsidRDefault="00BA172C" w:rsidP="00BA172C">
      <w:pPr>
        <w:spacing w:after="200"/>
        <w:ind w:left="720"/>
        <w:rPr>
          <w:sz w:val="20"/>
          <w:szCs w:val="20"/>
        </w:rPr>
      </w:pPr>
      <w:r w:rsidRPr="0064594C">
        <w:rPr>
          <w:sz w:val="20"/>
          <w:szCs w:val="20"/>
        </w:rPr>
        <w:t xml:space="preserve">These </w:t>
      </w:r>
      <w:r w:rsidRPr="0064594C">
        <w:rPr>
          <w:i/>
          <w:sz w:val="20"/>
          <w:szCs w:val="20"/>
        </w:rPr>
        <w:t xml:space="preserve">plans </w:t>
      </w:r>
      <w:r w:rsidRPr="0064594C">
        <w:rPr>
          <w:sz w:val="20"/>
          <w:szCs w:val="20"/>
        </w:rPr>
        <w:t xml:space="preserve">have a </w:t>
      </w:r>
      <w:r w:rsidRPr="0064594C">
        <w:rPr>
          <w:i/>
          <w:sz w:val="20"/>
          <w:szCs w:val="20"/>
        </w:rPr>
        <w:t>fixed length agreement</w:t>
      </w:r>
      <w:r w:rsidRPr="0064594C">
        <w:rPr>
          <w:sz w:val="20"/>
          <w:szCs w:val="20"/>
        </w:rPr>
        <w:t xml:space="preserve"> with a 12 month </w:t>
      </w:r>
      <w:r w:rsidRPr="0064594C">
        <w:rPr>
          <w:i/>
          <w:sz w:val="20"/>
          <w:szCs w:val="20"/>
        </w:rPr>
        <w:t>minimum term</w:t>
      </w:r>
      <w:r w:rsidRPr="0064594C">
        <w:rPr>
          <w:sz w:val="20"/>
          <w:szCs w:val="20"/>
        </w:rPr>
        <w:t>.</w:t>
      </w:r>
    </w:p>
    <w:p w14:paraId="1453C071" w14:textId="77777777" w:rsidR="00BA172C" w:rsidRPr="0064594C" w:rsidRDefault="00BA172C" w:rsidP="00BA172C">
      <w:pPr>
        <w:numPr>
          <w:ilvl w:val="5"/>
          <w:numId w:val="1"/>
        </w:numPr>
        <w:spacing w:after="200"/>
        <w:outlineLvl w:val="5"/>
        <w:rPr>
          <w:rFonts w:eastAsia="Times New Roman"/>
          <w:b/>
          <w:bCs/>
          <w:sz w:val="20"/>
          <w:szCs w:val="20"/>
        </w:rPr>
      </w:pPr>
      <w:bookmarkStart w:id="1826" w:name="_Toc479674737"/>
      <w:r w:rsidRPr="0064594C">
        <w:rPr>
          <w:rFonts w:eastAsia="Times New Roman"/>
          <w:bCs/>
          <w:sz w:val="20"/>
          <w:szCs w:val="20"/>
        </w:rPr>
        <w:t>What you have to pay us</w:t>
      </w:r>
      <w:bookmarkEnd w:id="1826"/>
    </w:p>
    <w:p w14:paraId="6C0A6047" w14:textId="77777777" w:rsidR="00BA172C" w:rsidRPr="00801DBA" w:rsidRDefault="00BA172C" w:rsidP="00BA172C">
      <w:pPr>
        <w:numPr>
          <w:ilvl w:val="6"/>
          <w:numId w:val="1"/>
        </w:numPr>
        <w:spacing w:after="200"/>
        <w:ind w:left="1440"/>
        <w:outlineLvl w:val="6"/>
        <w:rPr>
          <w:rFonts w:eastAsia="Times New Roman"/>
          <w:sz w:val="20"/>
          <w:szCs w:val="20"/>
        </w:rPr>
      </w:pPr>
      <w:r w:rsidRPr="0064594C">
        <w:rPr>
          <w:rFonts w:eastAsia="Times New Roman"/>
          <w:i/>
          <w:sz w:val="20"/>
          <w:szCs w:val="20"/>
        </w:rPr>
        <w:t xml:space="preserve">You </w:t>
      </w:r>
      <w:r w:rsidRPr="0064594C">
        <w:rPr>
          <w:rFonts w:eastAsia="Times New Roman"/>
          <w:sz w:val="20"/>
          <w:szCs w:val="20"/>
        </w:rPr>
        <w:t xml:space="preserve">must pay </w:t>
      </w:r>
      <w:r w:rsidRPr="0064594C">
        <w:rPr>
          <w:rFonts w:eastAsia="Times New Roman"/>
          <w:i/>
          <w:sz w:val="20"/>
          <w:szCs w:val="20"/>
        </w:rPr>
        <w:t xml:space="preserve">us </w:t>
      </w:r>
      <w:r w:rsidRPr="0064594C">
        <w:rPr>
          <w:rFonts w:eastAsia="Times New Roman"/>
          <w:sz w:val="20"/>
          <w:szCs w:val="20"/>
        </w:rPr>
        <w:t xml:space="preserve">for use of the </w:t>
      </w:r>
      <w:r w:rsidRPr="0064594C">
        <w:rPr>
          <w:rFonts w:eastAsia="Times New Roman"/>
          <w:i/>
          <w:sz w:val="20"/>
          <w:szCs w:val="20"/>
        </w:rPr>
        <w:t xml:space="preserve">service </w:t>
      </w:r>
      <w:r w:rsidRPr="0064594C">
        <w:rPr>
          <w:rFonts w:eastAsia="Times New Roman"/>
          <w:sz w:val="20"/>
          <w:szCs w:val="20"/>
        </w:rPr>
        <w:t xml:space="preserve">at the rates set out in Section 1 of this </w:t>
      </w:r>
      <w:r w:rsidRPr="0064594C">
        <w:rPr>
          <w:rFonts w:eastAsia="Times New Roman"/>
          <w:i/>
          <w:sz w:val="20"/>
          <w:szCs w:val="20"/>
        </w:rPr>
        <w:t>standard pricing table</w:t>
      </w:r>
      <w:r w:rsidRPr="0064594C">
        <w:rPr>
          <w:rFonts w:eastAsia="Times New Roman"/>
          <w:sz w:val="20"/>
          <w:szCs w:val="20"/>
        </w:rPr>
        <w:t xml:space="preserve"> and for value added service features at the rates set out in </w:t>
      </w:r>
      <w:hyperlink r:id="rId800" w:history="1">
        <w:r w:rsidRPr="00801DBA">
          <w:rPr>
            <w:rFonts w:eastAsia="Times New Roman"/>
            <w:i/>
            <w:color w:val="13607C"/>
            <w:sz w:val="20"/>
            <w:szCs w:val="20"/>
            <w:u w:val="single"/>
          </w:rPr>
          <w:t>Appendix Y Value Added Service Features</w:t>
        </w:r>
      </w:hyperlink>
      <w:r w:rsidRPr="00801DBA">
        <w:rPr>
          <w:rFonts w:eastAsia="Times New Roman"/>
          <w:sz w:val="20"/>
          <w:szCs w:val="20"/>
        </w:rPr>
        <w:t>.</w:t>
      </w:r>
    </w:p>
    <w:p w14:paraId="651C6A98" w14:textId="77777777" w:rsidR="00BA172C" w:rsidRPr="00801DBA" w:rsidRDefault="00BA172C" w:rsidP="00BA172C">
      <w:pPr>
        <w:numPr>
          <w:ilvl w:val="6"/>
          <w:numId w:val="1"/>
        </w:numPr>
        <w:spacing w:after="200"/>
        <w:ind w:left="1440"/>
        <w:outlineLvl w:val="6"/>
        <w:rPr>
          <w:rFonts w:eastAsia="Times New Roman"/>
          <w:sz w:val="20"/>
          <w:szCs w:val="20"/>
        </w:rPr>
      </w:pPr>
      <w:r w:rsidRPr="00801DBA">
        <w:rPr>
          <w:rFonts w:eastAsia="Times New Roman"/>
          <w:sz w:val="20"/>
          <w:szCs w:val="20"/>
        </w:rPr>
        <w:t>If there is a flagfall for a particular call type, the charge for these calls is the flagfall amount plus the relevant rate for the call multiplied by the duration of the call.</w:t>
      </w:r>
    </w:p>
    <w:p w14:paraId="0E322B27" w14:textId="77777777" w:rsidR="00BA172C" w:rsidRPr="00801DBA" w:rsidRDefault="00BA172C" w:rsidP="00BA172C">
      <w:pPr>
        <w:numPr>
          <w:ilvl w:val="6"/>
          <w:numId w:val="1"/>
        </w:numPr>
        <w:spacing w:after="200"/>
        <w:ind w:left="1440"/>
        <w:outlineLvl w:val="6"/>
        <w:rPr>
          <w:rFonts w:eastAsia="Times New Roman"/>
          <w:sz w:val="20"/>
          <w:szCs w:val="20"/>
        </w:rPr>
      </w:pPr>
      <w:r w:rsidRPr="00801DBA">
        <w:rPr>
          <w:rFonts w:eastAsia="Times New Roman"/>
          <w:sz w:val="20"/>
          <w:szCs w:val="20"/>
        </w:rPr>
        <w:t xml:space="preserve">Minimum Monthly Charge </w:t>
      </w:r>
    </w:p>
    <w:p w14:paraId="35AE3A28" w14:textId="77777777" w:rsidR="00BA172C" w:rsidRPr="00801DBA" w:rsidRDefault="00BA172C" w:rsidP="00BA172C">
      <w:pPr>
        <w:numPr>
          <w:ilvl w:val="7"/>
          <w:numId w:val="1"/>
        </w:numPr>
        <w:spacing w:after="200"/>
        <w:outlineLvl w:val="7"/>
        <w:rPr>
          <w:rFonts w:eastAsia="Times New Roman"/>
          <w:iCs/>
          <w:sz w:val="20"/>
          <w:szCs w:val="20"/>
        </w:rPr>
      </w:pPr>
      <w:r w:rsidRPr="00801DBA">
        <w:rPr>
          <w:rFonts w:eastAsia="Times New Roman"/>
          <w:iCs/>
          <w:sz w:val="20"/>
          <w:szCs w:val="20"/>
        </w:rPr>
        <w:t xml:space="preserve">Each My Plan Business plan has a Minimum Monthly Charge amount that </w:t>
      </w:r>
      <w:r w:rsidRPr="00801DBA">
        <w:rPr>
          <w:rFonts w:eastAsia="Times New Roman"/>
          <w:i/>
          <w:iCs/>
          <w:sz w:val="20"/>
          <w:szCs w:val="20"/>
        </w:rPr>
        <w:t>you</w:t>
      </w:r>
      <w:r w:rsidRPr="00801DBA">
        <w:rPr>
          <w:rFonts w:eastAsia="Times New Roman"/>
          <w:iCs/>
          <w:sz w:val="20"/>
          <w:szCs w:val="20"/>
        </w:rPr>
        <w:t xml:space="preserve"> must pay </w:t>
      </w:r>
      <w:r w:rsidRPr="00801DBA">
        <w:rPr>
          <w:rFonts w:eastAsia="Times New Roman"/>
          <w:i/>
          <w:iCs/>
          <w:sz w:val="20"/>
          <w:szCs w:val="20"/>
        </w:rPr>
        <w:t>us</w:t>
      </w:r>
      <w:r w:rsidRPr="00801DBA">
        <w:rPr>
          <w:rFonts w:eastAsia="Times New Roman"/>
          <w:iCs/>
          <w:sz w:val="20"/>
          <w:szCs w:val="20"/>
        </w:rPr>
        <w:t xml:space="preserve"> each month as set out in Table 1 below.</w:t>
      </w:r>
    </w:p>
    <w:p w14:paraId="77F9D2D7" w14:textId="77777777" w:rsidR="00BA172C" w:rsidRPr="00801DBA" w:rsidRDefault="00BA172C" w:rsidP="00BA172C">
      <w:pPr>
        <w:numPr>
          <w:ilvl w:val="7"/>
          <w:numId w:val="1"/>
        </w:numPr>
        <w:spacing w:after="200"/>
        <w:outlineLvl w:val="7"/>
        <w:rPr>
          <w:rFonts w:eastAsia="Times New Roman"/>
          <w:iCs/>
          <w:sz w:val="20"/>
          <w:szCs w:val="20"/>
        </w:rPr>
      </w:pPr>
      <w:r w:rsidRPr="00801DBA">
        <w:rPr>
          <w:rFonts w:eastAsia="Times New Roman"/>
          <w:i/>
          <w:iCs/>
          <w:sz w:val="20"/>
          <w:szCs w:val="20"/>
        </w:rPr>
        <w:t>You</w:t>
      </w:r>
      <w:r w:rsidRPr="00801DBA">
        <w:rPr>
          <w:rFonts w:eastAsia="Times New Roman"/>
          <w:iCs/>
          <w:sz w:val="20"/>
          <w:szCs w:val="20"/>
        </w:rPr>
        <w:t xml:space="preserve"> may purchase a mobile phone (or 'handset') with a 1 month, 12 month or 24 month </w:t>
      </w:r>
      <w:r w:rsidRPr="00801DBA">
        <w:rPr>
          <w:rFonts w:eastAsia="Times New Roman"/>
          <w:i/>
          <w:iCs/>
          <w:sz w:val="20"/>
          <w:szCs w:val="20"/>
        </w:rPr>
        <w:t>equipment term</w:t>
      </w:r>
      <w:r w:rsidRPr="00801DBA">
        <w:rPr>
          <w:rFonts w:eastAsia="Times New Roman"/>
          <w:iCs/>
          <w:sz w:val="20"/>
          <w:szCs w:val="20"/>
        </w:rPr>
        <w:t xml:space="preserve"> under a </w:t>
      </w:r>
      <w:r w:rsidRPr="00801DBA">
        <w:rPr>
          <w:rFonts w:eastAsia="Times New Roman"/>
          <w:i/>
          <w:iCs/>
          <w:sz w:val="20"/>
          <w:szCs w:val="20"/>
        </w:rPr>
        <w:t>mobile equipment payment plan</w:t>
      </w:r>
      <w:r w:rsidRPr="00801DBA">
        <w:rPr>
          <w:rFonts w:eastAsia="Times New Roman"/>
          <w:iCs/>
          <w:sz w:val="20"/>
          <w:szCs w:val="20"/>
        </w:rPr>
        <w:t xml:space="preserve"> (set out in </w:t>
      </w:r>
      <w:hyperlink r:id="rId801" w:history="1">
        <w:r w:rsidRPr="00801DBA">
          <w:rPr>
            <w:rFonts w:eastAsia="Times New Roman"/>
            <w:i/>
            <w:iCs/>
            <w:color w:val="13607C"/>
            <w:sz w:val="20"/>
            <w:szCs w:val="20"/>
            <w:u w:val="single"/>
          </w:rPr>
          <w:t>Appendix D</w:t>
        </w:r>
      </w:hyperlink>
      <w:r w:rsidRPr="00801DBA">
        <w:rPr>
          <w:rFonts w:eastAsia="Times New Roman"/>
          <w:iCs/>
          <w:sz w:val="20"/>
          <w:szCs w:val="20"/>
        </w:rPr>
        <w:t>).</w:t>
      </w:r>
    </w:p>
    <w:p w14:paraId="461A78CB" w14:textId="77777777" w:rsidR="00BA172C" w:rsidRPr="00801DBA" w:rsidRDefault="00BA172C" w:rsidP="00BA172C">
      <w:pPr>
        <w:numPr>
          <w:ilvl w:val="5"/>
          <w:numId w:val="1"/>
        </w:numPr>
        <w:spacing w:after="200"/>
        <w:outlineLvl w:val="5"/>
        <w:rPr>
          <w:rFonts w:eastAsia="Times New Roman"/>
          <w:bCs/>
          <w:snapToGrid w:val="0"/>
          <w:sz w:val="20"/>
          <w:szCs w:val="20"/>
        </w:rPr>
      </w:pPr>
      <w:bookmarkStart w:id="1827" w:name="_Toc479674738"/>
      <w:r w:rsidRPr="00801DBA">
        <w:rPr>
          <w:rFonts w:eastAsia="Times New Roman"/>
          <w:bCs/>
          <w:snapToGrid w:val="0"/>
          <w:sz w:val="20"/>
          <w:szCs w:val="20"/>
        </w:rPr>
        <w:t>How My Plan Business works</w:t>
      </w:r>
      <w:bookmarkEnd w:id="1827"/>
    </w:p>
    <w:p w14:paraId="0098D2CD" w14:textId="77777777" w:rsidR="00BA172C" w:rsidRPr="00801DBA" w:rsidRDefault="00BA172C" w:rsidP="00BA172C">
      <w:pPr>
        <w:numPr>
          <w:ilvl w:val="6"/>
          <w:numId w:val="1"/>
        </w:numPr>
        <w:spacing w:after="200"/>
        <w:ind w:left="1440"/>
        <w:outlineLvl w:val="6"/>
        <w:rPr>
          <w:rFonts w:eastAsia="Times New Roman"/>
          <w:sz w:val="20"/>
          <w:szCs w:val="20"/>
        </w:rPr>
      </w:pPr>
      <w:r w:rsidRPr="00801DBA">
        <w:rPr>
          <w:rFonts w:eastAsia="Times New Roman"/>
          <w:sz w:val="20"/>
          <w:szCs w:val="20"/>
        </w:rPr>
        <w:t>Each My Plan Business has unlimited minutes to use on standard national calls to landlines and mobiles, 13/1300 numbers and voicemail retrievals and an amount of Included Data (for mobile internet use) to share with other services on a My Plan Plus</w:t>
      </w:r>
      <w:r w:rsidRPr="00801DBA">
        <w:rPr>
          <w:rFonts w:eastAsia="Times New Roman"/>
          <w:sz w:val="20"/>
          <w:szCs w:val="20"/>
          <w:lang w:eastAsia="en-AU"/>
        </w:rPr>
        <w:t xml:space="preserve">, My Plan Plus SIM Only, My Plan Business (including Tech Fund), My Plan Business SIM, My Mobile Broadband Plus, Mobile Broadband Business or Shared Data Plan </w:t>
      </w:r>
      <w:r w:rsidRPr="00801DBA">
        <w:rPr>
          <w:rFonts w:eastAsia="Times New Roman"/>
          <w:sz w:val="20"/>
          <w:szCs w:val="20"/>
        </w:rPr>
        <w:t>on the same account.</w:t>
      </w:r>
    </w:p>
    <w:p w14:paraId="01DBA7CB" w14:textId="77777777" w:rsidR="00BA172C" w:rsidRPr="00801DBA" w:rsidRDefault="00BA172C" w:rsidP="00BA172C">
      <w:pPr>
        <w:numPr>
          <w:ilvl w:val="6"/>
          <w:numId w:val="1"/>
        </w:numPr>
        <w:spacing w:after="200"/>
        <w:ind w:left="1440"/>
        <w:outlineLvl w:val="6"/>
        <w:rPr>
          <w:rFonts w:eastAsia="Times New Roman"/>
          <w:sz w:val="20"/>
          <w:szCs w:val="20"/>
        </w:rPr>
      </w:pPr>
      <w:r w:rsidRPr="00801DBA">
        <w:rPr>
          <w:rFonts w:eastAsia="Times New Roman"/>
          <w:sz w:val="20"/>
          <w:szCs w:val="20"/>
        </w:rPr>
        <w:t>These plans also include unlimited standard national SMS/MMS and unlimited standard International SMS/MMS to selected countries. The $40 plan have an 300 of included international minutes to use on standard international calls to selected countries.</w:t>
      </w:r>
    </w:p>
    <w:p w14:paraId="62C0B564" w14:textId="77777777" w:rsidR="00BA172C" w:rsidRPr="00801DBA" w:rsidRDefault="00BA172C" w:rsidP="00BA172C">
      <w:pPr>
        <w:numPr>
          <w:ilvl w:val="6"/>
          <w:numId w:val="1"/>
        </w:numPr>
        <w:spacing w:after="200"/>
        <w:ind w:left="1440"/>
        <w:outlineLvl w:val="6"/>
        <w:rPr>
          <w:rFonts w:eastAsia="Times New Roman"/>
          <w:sz w:val="20"/>
          <w:szCs w:val="20"/>
        </w:rPr>
      </w:pPr>
      <w:r w:rsidRPr="00801DBA">
        <w:rPr>
          <w:rFonts w:eastAsia="Times New Roman"/>
          <w:sz w:val="20"/>
          <w:szCs w:val="20"/>
        </w:rPr>
        <w:t>Data usage is calculated in one kilobyte increments. International minutes are billed in one minute increments.</w:t>
      </w:r>
    </w:p>
    <w:p w14:paraId="15FBADD5" w14:textId="77777777" w:rsidR="00BA172C" w:rsidRPr="00801DBA" w:rsidRDefault="00BA172C" w:rsidP="00BA172C">
      <w:pPr>
        <w:numPr>
          <w:ilvl w:val="6"/>
          <w:numId w:val="1"/>
        </w:numPr>
        <w:spacing w:after="200"/>
        <w:ind w:left="1440"/>
        <w:outlineLvl w:val="6"/>
        <w:rPr>
          <w:rFonts w:eastAsia="Times New Roman"/>
          <w:sz w:val="20"/>
          <w:szCs w:val="20"/>
        </w:rPr>
      </w:pPr>
      <w:r w:rsidRPr="00801DBA">
        <w:rPr>
          <w:rFonts w:eastAsia="Times New Roman"/>
          <w:sz w:val="20"/>
          <w:szCs w:val="20"/>
        </w:rPr>
        <w:t xml:space="preserve">If </w:t>
      </w:r>
      <w:r w:rsidRPr="00801DBA">
        <w:rPr>
          <w:rFonts w:eastAsia="Times New Roman"/>
          <w:i/>
          <w:sz w:val="20"/>
          <w:szCs w:val="20"/>
        </w:rPr>
        <w:t xml:space="preserve">you </w:t>
      </w:r>
      <w:r w:rsidRPr="00801DBA">
        <w:rPr>
          <w:rFonts w:eastAsia="Times New Roman"/>
          <w:sz w:val="20"/>
          <w:szCs w:val="20"/>
        </w:rPr>
        <w:t>exceed your included shareable data you'll automatically be charged $10 for each additional 1GB of data ("</w:t>
      </w:r>
      <w:r w:rsidRPr="00801DBA">
        <w:rPr>
          <w:rFonts w:eastAsia="Times New Roman"/>
          <w:b/>
          <w:sz w:val="20"/>
          <w:szCs w:val="20"/>
        </w:rPr>
        <w:t>Additional Data</w:t>
      </w:r>
      <w:r w:rsidRPr="00801DBA">
        <w:rPr>
          <w:rFonts w:eastAsia="Times New Roman"/>
          <w:sz w:val="20"/>
          <w:szCs w:val="20"/>
        </w:rPr>
        <w:t>") up to 150GB of extra data per account each month. Your service/s may then be restricted or we may continue to charge you at these rates.</w:t>
      </w:r>
    </w:p>
    <w:p w14:paraId="73489034" w14:textId="77777777" w:rsidR="00BA172C" w:rsidRPr="00801DBA" w:rsidRDefault="00BA172C" w:rsidP="00BA172C">
      <w:pPr>
        <w:numPr>
          <w:ilvl w:val="6"/>
          <w:numId w:val="1"/>
        </w:numPr>
        <w:spacing w:after="200"/>
        <w:ind w:left="1440"/>
        <w:outlineLvl w:val="6"/>
        <w:rPr>
          <w:rFonts w:eastAsia="Times New Roman"/>
          <w:sz w:val="20"/>
          <w:szCs w:val="20"/>
        </w:rPr>
      </w:pPr>
      <w:r w:rsidRPr="00801DBA">
        <w:rPr>
          <w:rFonts w:eastAsia="Times New Roman"/>
          <w:sz w:val="20"/>
          <w:szCs w:val="20"/>
        </w:rPr>
        <w:t xml:space="preserve">Any unused portion of </w:t>
      </w:r>
      <w:r w:rsidRPr="00801DBA">
        <w:rPr>
          <w:rFonts w:eastAsia="Times New Roman"/>
          <w:i/>
          <w:sz w:val="20"/>
          <w:szCs w:val="20"/>
        </w:rPr>
        <w:t>your</w:t>
      </w:r>
      <w:r w:rsidRPr="00801DBA">
        <w:rPr>
          <w:rFonts w:eastAsia="Times New Roman"/>
          <w:sz w:val="20"/>
          <w:szCs w:val="20"/>
        </w:rPr>
        <w:t xml:space="preserve"> </w:t>
      </w:r>
      <w:r w:rsidRPr="00801DBA">
        <w:rPr>
          <w:rFonts w:eastAsia="Times New Roman"/>
          <w:i/>
          <w:sz w:val="20"/>
          <w:szCs w:val="20"/>
        </w:rPr>
        <w:t>plan's</w:t>
      </w:r>
      <w:r w:rsidRPr="00801DBA">
        <w:rPr>
          <w:rFonts w:eastAsia="Times New Roman"/>
          <w:sz w:val="20"/>
          <w:szCs w:val="20"/>
        </w:rPr>
        <w:t xml:space="preserve"> Included or Additional Data or International Minutes expires at the end of each month and does not roll over into the next month. </w:t>
      </w:r>
    </w:p>
    <w:p w14:paraId="41D11433" w14:textId="77777777" w:rsidR="00BA172C" w:rsidRPr="00801DBA" w:rsidRDefault="00BA172C" w:rsidP="00BA172C">
      <w:pPr>
        <w:numPr>
          <w:ilvl w:val="6"/>
          <w:numId w:val="1"/>
        </w:numPr>
        <w:spacing w:after="200"/>
        <w:ind w:left="1440"/>
        <w:outlineLvl w:val="6"/>
        <w:rPr>
          <w:rFonts w:eastAsia="Times New Roman"/>
          <w:b/>
          <w:sz w:val="20"/>
          <w:szCs w:val="20"/>
        </w:rPr>
      </w:pPr>
      <w:r w:rsidRPr="00801DBA">
        <w:rPr>
          <w:rFonts w:eastAsia="Times New Roman"/>
          <w:i/>
          <w:sz w:val="20"/>
          <w:szCs w:val="20"/>
        </w:rPr>
        <w:t>You</w:t>
      </w:r>
      <w:r w:rsidRPr="00801DBA">
        <w:rPr>
          <w:rFonts w:eastAsia="Times New Roman"/>
          <w:sz w:val="20"/>
          <w:szCs w:val="20"/>
        </w:rPr>
        <w:t xml:space="preserve"> must pay </w:t>
      </w:r>
      <w:r w:rsidRPr="00801DBA">
        <w:rPr>
          <w:rFonts w:eastAsia="Times New Roman"/>
          <w:i/>
          <w:sz w:val="20"/>
          <w:szCs w:val="20"/>
        </w:rPr>
        <w:t>us</w:t>
      </w:r>
      <w:r w:rsidRPr="00801DBA">
        <w:rPr>
          <w:rFonts w:eastAsia="Times New Roman"/>
          <w:sz w:val="20"/>
          <w:szCs w:val="20"/>
        </w:rPr>
        <w:t xml:space="preserve"> for use of any services that are not included in </w:t>
      </w:r>
      <w:r w:rsidRPr="00801DBA">
        <w:rPr>
          <w:rFonts w:eastAsia="Times New Roman"/>
          <w:i/>
          <w:sz w:val="20"/>
          <w:szCs w:val="20"/>
        </w:rPr>
        <w:t>your</w:t>
      </w:r>
      <w:r w:rsidRPr="00801DBA">
        <w:rPr>
          <w:rFonts w:eastAsia="Times New Roman"/>
          <w:sz w:val="20"/>
          <w:szCs w:val="20"/>
        </w:rPr>
        <w:t xml:space="preserve"> plan's inclusions, examples of which are set out in Table 2 below.</w:t>
      </w:r>
    </w:p>
    <w:p w14:paraId="0D00C55E" w14:textId="77777777" w:rsidR="00BA172C" w:rsidRPr="00B7364B" w:rsidRDefault="00BA172C" w:rsidP="00BA172C">
      <w:pPr>
        <w:numPr>
          <w:ilvl w:val="5"/>
          <w:numId w:val="1"/>
        </w:numPr>
        <w:spacing w:after="200"/>
        <w:outlineLvl w:val="5"/>
        <w:rPr>
          <w:rFonts w:eastAsia="Times New Roman"/>
          <w:bCs/>
          <w:snapToGrid w:val="0"/>
          <w:sz w:val="20"/>
          <w:szCs w:val="22"/>
        </w:rPr>
      </w:pPr>
      <w:bookmarkStart w:id="1828" w:name="_Toc479674739"/>
      <w:r w:rsidRPr="00B7364B">
        <w:rPr>
          <w:rFonts w:eastAsia="Times New Roman"/>
          <w:bCs/>
          <w:snapToGrid w:val="0"/>
          <w:sz w:val="20"/>
          <w:szCs w:val="22"/>
        </w:rPr>
        <w:t>Plan Changes</w:t>
      </w:r>
      <w:bookmarkEnd w:id="1828"/>
    </w:p>
    <w:p w14:paraId="71A05CA5" w14:textId="77777777" w:rsidR="00BA172C" w:rsidRPr="00B7364B" w:rsidRDefault="00BA172C" w:rsidP="00BA172C">
      <w:pPr>
        <w:spacing w:after="200"/>
        <w:ind w:left="720"/>
        <w:rPr>
          <w:sz w:val="20"/>
        </w:rPr>
      </w:pPr>
      <w:r w:rsidRPr="00B7364B">
        <w:rPr>
          <w:sz w:val="20"/>
        </w:rPr>
        <w:t>You can change your plan during the minimum tern term provided you move to a plan with a higher monthly access fee. You cannot change your plan during the minimum term to a plan with the same or lower monthly access fee. If you change your plan during the minimum term a fee may apply and any handset repayments will remain the same.</w:t>
      </w:r>
    </w:p>
    <w:p w14:paraId="300F1A4E" w14:textId="77777777" w:rsidR="00BA172C" w:rsidRPr="00B7364B" w:rsidRDefault="00BA172C" w:rsidP="00BA172C">
      <w:pPr>
        <w:numPr>
          <w:ilvl w:val="5"/>
          <w:numId w:val="1"/>
        </w:numPr>
        <w:spacing w:after="200"/>
        <w:outlineLvl w:val="5"/>
        <w:rPr>
          <w:rFonts w:eastAsia="Times New Roman"/>
          <w:bCs/>
          <w:snapToGrid w:val="0"/>
          <w:sz w:val="20"/>
          <w:szCs w:val="22"/>
        </w:rPr>
      </w:pPr>
      <w:bookmarkStart w:id="1829" w:name="_Toc479674740"/>
      <w:r w:rsidRPr="00B7364B">
        <w:rPr>
          <w:rFonts w:eastAsia="Times New Roman"/>
          <w:bCs/>
          <w:snapToGrid w:val="0"/>
          <w:sz w:val="20"/>
          <w:szCs w:val="22"/>
        </w:rPr>
        <w:t>New Phone Trade Up</w:t>
      </w:r>
      <w:bookmarkEnd w:id="1829"/>
    </w:p>
    <w:p w14:paraId="4E70FF9F" w14:textId="77777777" w:rsidR="00BA172C" w:rsidRPr="00B7364B" w:rsidRDefault="00BA172C" w:rsidP="00BA172C">
      <w:pPr>
        <w:spacing w:after="200"/>
        <w:ind w:left="720"/>
        <w:rPr>
          <w:sz w:val="20"/>
        </w:rPr>
      </w:pPr>
      <w:r w:rsidRPr="00B7364B">
        <w:rPr>
          <w:sz w:val="20"/>
        </w:rPr>
        <w:t>The plans referred to in this section include the option of New Phone Trade Up, which can be exercised in two ways:</w:t>
      </w:r>
    </w:p>
    <w:p w14:paraId="600B5612" w14:textId="77777777" w:rsidR="00BA172C" w:rsidRPr="00B7364B" w:rsidRDefault="00BA172C" w:rsidP="00BA172C">
      <w:pPr>
        <w:numPr>
          <w:ilvl w:val="6"/>
          <w:numId w:val="1"/>
        </w:numPr>
        <w:spacing w:after="200"/>
        <w:ind w:left="1440"/>
        <w:outlineLvl w:val="6"/>
        <w:rPr>
          <w:rFonts w:eastAsia="Times New Roman"/>
          <w:sz w:val="20"/>
        </w:rPr>
      </w:pPr>
      <w:r w:rsidRPr="00B7364B">
        <w:rPr>
          <w:rFonts w:eastAsia="Times New Roman"/>
          <w:sz w:val="20"/>
        </w:rPr>
        <w:t>New Phone Trade Up for $99</w:t>
      </w:r>
    </w:p>
    <w:p w14:paraId="2DF1CC2E" w14:textId="77777777" w:rsidR="00BA172C" w:rsidRPr="00B7364B" w:rsidRDefault="00BA172C" w:rsidP="00BA172C">
      <w:pPr>
        <w:numPr>
          <w:ilvl w:val="7"/>
          <w:numId w:val="1"/>
        </w:numPr>
        <w:spacing w:after="200"/>
        <w:outlineLvl w:val="7"/>
        <w:rPr>
          <w:rFonts w:eastAsia="Times New Roman"/>
          <w:iCs/>
          <w:sz w:val="20"/>
        </w:rPr>
      </w:pPr>
      <w:r w:rsidRPr="00B7364B">
        <w:rPr>
          <w:rFonts w:eastAsia="Times New Roman"/>
          <w:iCs/>
          <w:sz w:val="20"/>
        </w:rPr>
        <w:lastRenderedPageBreak/>
        <w:t>After 12 months on one of these plans, you can pay a one fee of $99, return your original mobile phone to a Yes Optus store in good working order, purchase a new mobile phone on a new 24 month plan and sign documentation that will enable ownership of your original mobile phone to be transferred to a second hand dealer nominated by Optus.</w:t>
      </w:r>
    </w:p>
    <w:p w14:paraId="3032B9CF" w14:textId="77777777" w:rsidR="00BA172C" w:rsidRPr="00B7364B" w:rsidRDefault="00BA172C" w:rsidP="00BA172C">
      <w:pPr>
        <w:numPr>
          <w:ilvl w:val="7"/>
          <w:numId w:val="1"/>
        </w:numPr>
        <w:spacing w:after="200"/>
        <w:outlineLvl w:val="7"/>
        <w:rPr>
          <w:rFonts w:eastAsia="Times New Roman"/>
          <w:iCs/>
          <w:sz w:val="20"/>
        </w:rPr>
      </w:pPr>
      <w:r w:rsidRPr="00B7364B">
        <w:rPr>
          <w:rFonts w:eastAsia="Times New Roman"/>
          <w:iCs/>
          <w:sz w:val="20"/>
        </w:rPr>
        <w:t>A mobile phone is considered to be in good working order when :</w:t>
      </w:r>
    </w:p>
    <w:p w14:paraId="250EFD69" w14:textId="77777777" w:rsidR="00BA172C" w:rsidRPr="00B7364B" w:rsidRDefault="00BA172C" w:rsidP="00BA172C">
      <w:pPr>
        <w:numPr>
          <w:ilvl w:val="8"/>
          <w:numId w:val="1"/>
        </w:numPr>
        <w:spacing w:after="200"/>
        <w:outlineLvl w:val="8"/>
        <w:rPr>
          <w:rFonts w:eastAsia="Times New Roman"/>
          <w:sz w:val="20"/>
          <w:szCs w:val="22"/>
        </w:rPr>
      </w:pPr>
      <w:r w:rsidRPr="00B7364B">
        <w:rPr>
          <w:rFonts w:eastAsia="Times New Roman"/>
          <w:sz w:val="20"/>
          <w:szCs w:val="22"/>
        </w:rPr>
        <w:t xml:space="preserve">it can power on and off, </w:t>
      </w:r>
    </w:p>
    <w:p w14:paraId="4B1C7C5C" w14:textId="77777777" w:rsidR="00BA172C" w:rsidRPr="00B7364B" w:rsidRDefault="00BA172C" w:rsidP="00BA172C">
      <w:pPr>
        <w:numPr>
          <w:ilvl w:val="8"/>
          <w:numId w:val="1"/>
        </w:numPr>
        <w:spacing w:after="200"/>
        <w:outlineLvl w:val="8"/>
        <w:rPr>
          <w:rFonts w:eastAsia="Times New Roman"/>
          <w:sz w:val="20"/>
          <w:szCs w:val="22"/>
        </w:rPr>
      </w:pPr>
      <w:r w:rsidRPr="00B7364B">
        <w:rPr>
          <w:rFonts w:eastAsia="Times New Roman"/>
          <w:sz w:val="20"/>
          <w:szCs w:val="22"/>
        </w:rPr>
        <w:t xml:space="preserve">it has a touchscreen that is fully functional and has no imperfections such as lines or marks, </w:t>
      </w:r>
    </w:p>
    <w:p w14:paraId="1EDBBFBF" w14:textId="77777777" w:rsidR="00BA172C" w:rsidRPr="00B7364B" w:rsidRDefault="00BA172C" w:rsidP="00BA172C">
      <w:pPr>
        <w:numPr>
          <w:ilvl w:val="8"/>
          <w:numId w:val="1"/>
        </w:numPr>
        <w:spacing w:after="200"/>
        <w:outlineLvl w:val="8"/>
        <w:rPr>
          <w:rFonts w:eastAsia="Times New Roman"/>
          <w:sz w:val="20"/>
          <w:szCs w:val="22"/>
        </w:rPr>
      </w:pPr>
      <w:r w:rsidRPr="00B7364B">
        <w:rPr>
          <w:rFonts w:eastAsia="Times New Roman"/>
          <w:sz w:val="20"/>
          <w:szCs w:val="22"/>
        </w:rPr>
        <w:t xml:space="preserve">it does not have any missing buttons or damage to other components such as charging ports, SIM tray, </w:t>
      </w:r>
    </w:p>
    <w:p w14:paraId="6F57D28F" w14:textId="77777777" w:rsidR="00BA172C" w:rsidRPr="00B7364B" w:rsidRDefault="00BA172C" w:rsidP="00BA172C">
      <w:pPr>
        <w:numPr>
          <w:ilvl w:val="8"/>
          <w:numId w:val="1"/>
        </w:numPr>
        <w:spacing w:after="200"/>
        <w:outlineLvl w:val="8"/>
        <w:rPr>
          <w:rFonts w:eastAsia="Times New Roman"/>
          <w:sz w:val="20"/>
          <w:szCs w:val="22"/>
        </w:rPr>
      </w:pPr>
      <w:r w:rsidRPr="00B7364B">
        <w:rPr>
          <w:rFonts w:eastAsia="Times New Roman"/>
          <w:sz w:val="20"/>
          <w:szCs w:val="22"/>
        </w:rPr>
        <w:t xml:space="preserve">the mobile phone (including the touchscreen) is not cracked and does not have any severe scratches (normal wear and tear such as light marks and scratches are okay); and </w:t>
      </w:r>
    </w:p>
    <w:p w14:paraId="17359F6E" w14:textId="77777777" w:rsidR="00BA172C" w:rsidRPr="00B7364B" w:rsidRDefault="00BA172C" w:rsidP="00BA172C">
      <w:pPr>
        <w:numPr>
          <w:ilvl w:val="8"/>
          <w:numId w:val="1"/>
        </w:numPr>
        <w:spacing w:after="200"/>
        <w:outlineLvl w:val="8"/>
        <w:rPr>
          <w:rFonts w:eastAsia="Times New Roman"/>
          <w:sz w:val="20"/>
          <w:szCs w:val="22"/>
        </w:rPr>
      </w:pPr>
      <w:r w:rsidRPr="00B7364B">
        <w:rPr>
          <w:rFonts w:eastAsia="Times New Roman"/>
          <w:sz w:val="20"/>
          <w:szCs w:val="22"/>
        </w:rPr>
        <w:t xml:space="preserve">any locking features are disabled. </w:t>
      </w:r>
    </w:p>
    <w:p w14:paraId="7F31EC97" w14:textId="77777777" w:rsidR="00BA172C" w:rsidRPr="00B7364B" w:rsidRDefault="00BA172C" w:rsidP="00BA172C">
      <w:pPr>
        <w:numPr>
          <w:ilvl w:val="7"/>
          <w:numId w:val="1"/>
        </w:numPr>
        <w:spacing w:after="200"/>
        <w:outlineLvl w:val="7"/>
        <w:rPr>
          <w:rFonts w:eastAsia="Times New Roman"/>
          <w:iCs/>
          <w:sz w:val="20"/>
        </w:rPr>
      </w:pPr>
      <w:r w:rsidRPr="00B7364B">
        <w:rPr>
          <w:rFonts w:eastAsia="Times New Roman"/>
          <w:iCs/>
          <w:sz w:val="20"/>
        </w:rPr>
        <w:t>The mobile phone you return in accordance with section 3.7(a) must be the mobile phone you purchased when you took up one of the plans referred to in this section.</w:t>
      </w:r>
    </w:p>
    <w:p w14:paraId="394E4E73" w14:textId="77777777" w:rsidR="00BA172C" w:rsidRPr="00B7364B" w:rsidRDefault="00BA172C" w:rsidP="00BA172C">
      <w:pPr>
        <w:numPr>
          <w:ilvl w:val="7"/>
          <w:numId w:val="1"/>
        </w:numPr>
        <w:spacing w:after="200"/>
        <w:outlineLvl w:val="7"/>
        <w:rPr>
          <w:rFonts w:eastAsia="Times New Roman"/>
          <w:iCs/>
          <w:sz w:val="20"/>
        </w:rPr>
      </w:pPr>
      <w:r w:rsidRPr="00B7364B">
        <w:rPr>
          <w:rFonts w:eastAsia="Times New Roman"/>
          <w:iCs/>
          <w:sz w:val="20"/>
        </w:rPr>
        <w:t>When you seek to exercise this option and meet the relevant conditions, Optus agrees to waive any remaining mobile phone repayment charges on the mobile phone you are returning.</w:t>
      </w:r>
    </w:p>
    <w:p w14:paraId="0C245358" w14:textId="77777777" w:rsidR="00BA172C" w:rsidRPr="00B7364B" w:rsidRDefault="00BA172C" w:rsidP="00BA172C">
      <w:pPr>
        <w:numPr>
          <w:ilvl w:val="7"/>
          <w:numId w:val="1"/>
        </w:numPr>
        <w:spacing w:after="200"/>
        <w:outlineLvl w:val="7"/>
        <w:rPr>
          <w:rFonts w:eastAsia="Times New Roman"/>
          <w:iCs/>
          <w:sz w:val="20"/>
        </w:rPr>
      </w:pPr>
      <w:r w:rsidRPr="00B7364B">
        <w:rPr>
          <w:rFonts w:eastAsia="Times New Roman"/>
          <w:iCs/>
          <w:sz w:val="20"/>
        </w:rPr>
        <w:t>By exercising this option, you acknowledge that the second hand device vendor will pay Optus a fee on your behalf for the mobile phone you return in part consideration of Optus waiving your remaining mobile phone repayments on the phone you are returning.</w:t>
      </w:r>
    </w:p>
    <w:p w14:paraId="689E07F8" w14:textId="77777777" w:rsidR="00BA172C" w:rsidRPr="00B7364B" w:rsidRDefault="00BA172C" w:rsidP="00BA172C">
      <w:pPr>
        <w:numPr>
          <w:ilvl w:val="6"/>
          <w:numId w:val="1"/>
        </w:numPr>
        <w:spacing w:after="200"/>
        <w:ind w:left="1440"/>
        <w:outlineLvl w:val="6"/>
        <w:rPr>
          <w:rFonts w:eastAsia="Times New Roman"/>
          <w:sz w:val="20"/>
        </w:rPr>
      </w:pPr>
      <w:r w:rsidRPr="00B7364B">
        <w:rPr>
          <w:rFonts w:eastAsia="Times New Roman"/>
          <w:sz w:val="20"/>
        </w:rPr>
        <w:t>Keep existing mobile phone</w:t>
      </w:r>
    </w:p>
    <w:p w14:paraId="11A4AD5B" w14:textId="77777777" w:rsidR="00BA172C" w:rsidRPr="00B7364B" w:rsidRDefault="00BA172C" w:rsidP="00BA172C">
      <w:pPr>
        <w:spacing w:after="200"/>
        <w:ind w:left="1440"/>
        <w:rPr>
          <w:sz w:val="20"/>
        </w:rPr>
      </w:pPr>
      <w:r w:rsidRPr="00B7364B">
        <w:rPr>
          <w:sz w:val="20"/>
        </w:rPr>
        <w:t>Alternatively and instead of paying $99, if you wish to keep your original mobile handset, you can simply pay out the full remaining cost of your mobile handset, including any monthly handset credit that Optus was going to cover and purchase a new mobile phone on a new plan.</w:t>
      </w:r>
    </w:p>
    <w:p w14:paraId="759B43FD" w14:textId="77777777" w:rsidR="00BA172C" w:rsidRPr="00B7364B" w:rsidRDefault="00BA172C" w:rsidP="00BA172C">
      <w:pPr>
        <w:numPr>
          <w:ilvl w:val="5"/>
          <w:numId w:val="1"/>
        </w:numPr>
        <w:spacing w:after="200"/>
        <w:outlineLvl w:val="5"/>
        <w:rPr>
          <w:rFonts w:eastAsia="Times New Roman"/>
          <w:bCs/>
          <w:snapToGrid w:val="0"/>
          <w:sz w:val="20"/>
          <w:szCs w:val="22"/>
        </w:rPr>
      </w:pPr>
      <w:bookmarkStart w:id="1830" w:name="_Toc479674741"/>
      <w:r w:rsidRPr="00B7364B">
        <w:rPr>
          <w:rFonts w:eastAsia="Times New Roman"/>
          <w:bCs/>
          <w:snapToGrid w:val="0"/>
          <w:sz w:val="20"/>
          <w:szCs w:val="22"/>
        </w:rPr>
        <w:t>Data Sharing</w:t>
      </w:r>
      <w:bookmarkEnd w:id="1830"/>
    </w:p>
    <w:p w14:paraId="608C2922" w14:textId="77777777" w:rsidR="00BA172C" w:rsidRPr="00B7364B" w:rsidRDefault="00BA172C" w:rsidP="00BA172C">
      <w:pPr>
        <w:numPr>
          <w:ilvl w:val="6"/>
          <w:numId w:val="1"/>
        </w:numPr>
        <w:spacing w:after="200"/>
        <w:ind w:left="1440"/>
        <w:outlineLvl w:val="6"/>
        <w:rPr>
          <w:rFonts w:eastAsia="Times New Roman"/>
          <w:snapToGrid w:val="0"/>
          <w:sz w:val="20"/>
        </w:rPr>
      </w:pPr>
      <w:r w:rsidRPr="00B7364B">
        <w:rPr>
          <w:rFonts w:eastAsia="Times New Roman"/>
          <w:snapToGrid w:val="0"/>
          <w:sz w:val="20"/>
        </w:rPr>
        <w:t xml:space="preserve">If </w:t>
      </w:r>
      <w:r w:rsidRPr="00B7364B">
        <w:rPr>
          <w:rFonts w:eastAsia="Times New Roman"/>
          <w:i/>
          <w:snapToGrid w:val="0"/>
          <w:sz w:val="20"/>
        </w:rPr>
        <w:t xml:space="preserve">you </w:t>
      </w:r>
      <w:r w:rsidRPr="00B7364B">
        <w:rPr>
          <w:rFonts w:eastAsia="Times New Roman"/>
          <w:sz w:val="20"/>
          <w:lang w:eastAsia="en-AU"/>
        </w:rPr>
        <w:t xml:space="preserve">have more than one </w:t>
      </w:r>
      <w:r w:rsidRPr="00B7364B">
        <w:rPr>
          <w:rFonts w:eastAsia="Times New Roman"/>
          <w:sz w:val="20"/>
        </w:rPr>
        <w:t>My Plan Plus</w:t>
      </w:r>
      <w:r w:rsidRPr="00B7364B">
        <w:rPr>
          <w:rFonts w:eastAsia="Times New Roman"/>
          <w:sz w:val="20"/>
          <w:lang w:eastAsia="en-AU"/>
        </w:rPr>
        <w:t>, My Plan Plus SIM Only, My Plan Business (including Tech Fund), My Plan Business SIM, My Mobile Broadband Plus or Mobile Broadband Business on the same billing account, the included data will combine into one data pool, which will be shared by all eligible services on that account.</w:t>
      </w:r>
    </w:p>
    <w:p w14:paraId="7C12F0AA" w14:textId="77777777" w:rsidR="00BA172C" w:rsidRPr="00B7364B" w:rsidRDefault="00BA172C" w:rsidP="00BA172C">
      <w:pPr>
        <w:numPr>
          <w:ilvl w:val="6"/>
          <w:numId w:val="1"/>
        </w:numPr>
        <w:spacing w:after="200"/>
        <w:ind w:left="1440"/>
        <w:outlineLvl w:val="6"/>
        <w:rPr>
          <w:rFonts w:eastAsia="Times New Roman"/>
          <w:snapToGrid w:val="0"/>
          <w:sz w:val="20"/>
        </w:rPr>
      </w:pPr>
      <w:r w:rsidRPr="00B7364B">
        <w:rPr>
          <w:rFonts w:eastAsia="Times New Roman"/>
          <w:snapToGrid w:val="0"/>
          <w:sz w:val="20"/>
        </w:rPr>
        <w:t xml:space="preserve">If </w:t>
      </w:r>
      <w:r w:rsidRPr="00B7364B">
        <w:rPr>
          <w:rFonts w:eastAsia="Times New Roman"/>
          <w:i/>
          <w:snapToGrid w:val="0"/>
          <w:sz w:val="20"/>
        </w:rPr>
        <w:t>you</w:t>
      </w:r>
      <w:r w:rsidRPr="00B7364B">
        <w:rPr>
          <w:rFonts w:eastAsia="Times New Roman"/>
          <w:snapToGrid w:val="0"/>
          <w:sz w:val="20"/>
        </w:rPr>
        <w:t xml:space="preserve"> do not want </w:t>
      </w:r>
      <w:r w:rsidRPr="00B7364B">
        <w:rPr>
          <w:rFonts w:eastAsia="Times New Roman"/>
          <w:i/>
          <w:snapToGrid w:val="0"/>
          <w:sz w:val="20"/>
        </w:rPr>
        <w:t>your</w:t>
      </w:r>
      <w:r w:rsidRPr="00B7364B">
        <w:rPr>
          <w:rFonts w:eastAsia="Times New Roman"/>
          <w:snapToGrid w:val="0"/>
          <w:sz w:val="20"/>
        </w:rPr>
        <w:t xml:space="preserve"> services on any</w:t>
      </w:r>
      <w:r w:rsidRPr="00B7364B">
        <w:rPr>
          <w:rFonts w:eastAsia="Times New Roman"/>
          <w:sz w:val="20"/>
        </w:rPr>
        <w:t xml:space="preserve"> My Plan Plus</w:t>
      </w:r>
      <w:r w:rsidRPr="00B7364B">
        <w:rPr>
          <w:rFonts w:eastAsia="Times New Roman"/>
          <w:sz w:val="20"/>
          <w:lang w:eastAsia="en-AU"/>
        </w:rPr>
        <w:t>, My Plan Plus SIM Only, My Plan Business (including Tech Fund), My Plan Business SIM, My Mobile Broadband Plus or Mobile Broadband Business plans</w:t>
      </w:r>
      <w:r w:rsidRPr="00B7364B">
        <w:rPr>
          <w:rFonts w:eastAsia="Times New Roman"/>
          <w:snapToGrid w:val="0"/>
          <w:sz w:val="20"/>
        </w:rPr>
        <w:t xml:space="preserve"> to share data, they need to be on separate billing accounts. .</w:t>
      </w:r>
    </w:p>
    <w:p w14:paraId="7DA79880" w14:textId="77777777" w:rsidR="00BA172C" w:rsidRPr="00B7364B" w:rsidRDefault="00BA172C" w:rsidP="00BA172C">
      <w:pPr>
        <w:numPr>
          <w:ilvl w:val="6"/>
          <w:numId w:val="1"/>
        </w:numPr>
        <w:spacing w:after="200"/>
        <w:ind w:left="1440"/>
        <w:outlineLvl w:val="6"/>
        <w:rPr>
          <w:rFonts w:eastAsia="Times New Roman"/>
          <w:snapToGrid w:val="0"/>
          <w:sz w:val="20"/>
        </w:rPr>
      </w:pPr>
      <w:r w:rsidRPr="00B7364B">
        <w:rPr>
          <w:rFonts w:eastAsia="Times New Roman"/>
          <w:snapToGrid w:val="0"/>
          <w:sz w:val="20"/>
        </w:rPr>
        <w:t>Data sharing is only available within Australia.</w:t>
      </w:r>
    </w:p>
    <w:p w14:paraId="21925253" w14:textId="77777777" w:rsidR="00BA172C" w:rsidRPr="00801DBA" w:rsidRDefault="00BA172C" w:rsidP="00BA172C">
      <w:pPr>
        <w:numPr>
          <w:ilvl w:val="5"/>
          <w:numId w:val="1"/>
        </w:numPr>
        <w:spacing w:after="200"/>
        <w:outlineLvl w:val="5"/>
        <w:rPr>
          <w:rFonts w:eastAsia="Times New Roman"/>
          <w:bCs/>
          <w:snapToGrid w:val="0"/>
          <w:sz w:val="20"/>
          <w:szCs w:val="20"/>
        </w:rPr>
      </w:pPr>
      <w:bookmarkStart w:id="1831" w:name="_Toc479674742"/>
      <w:r w:rsidRPr="00801DBA">
        <w:rPr>
          <w:rFonts w:eastAsia="Times New Roman"/>
          <w:bCs/>
          <w:snapToGrid w:val="0"/>
          <w:sz w:val="20"/>
          <w:szCs w:val="20"/>
        </w:rPr>
        <w:t>International Minutes</w:t>
      </w:r>
      <w:bookmarkEnd w:id="1831"/>
    </w:p>
    <w:p w14:paraId="056CFC51" w14:textId="77777777" w:rsidR="00BA172C" w:rsidRPr="00801DBA" w:rsidRDefault="00BA172C" w:rsidP="00BA172C">
      <w:pPr>
        <w:spacing w:after="200"/>
        <w:ind w:left="720"/>
        <w:rPr>
          <w:sz w:val="20"/>
          <w:szCs w:val="20"/>
        </w:rPr>
      </w:pPr>
      <w:r w:rsidRPr="00801DBA">
        <w:rPr>
          <w:sz w:val="20"/>
          <w:szCs w:val="20"/>
        </w:rPr>
        <w:t>The $40 My Plan Business includes up to 300 international minutes (respectively) for standard calls to mobiles and fixed lines in selected countries. For a list of selected countries see Table 3 below.</w:t>
      </w:r>
    </w:p>
    <w:p w14:paraId="411871D0" w14:textId="77777777" w:rsidR="00BA172C" w:rsidRPr="00801DBA" w:rsidRDefault="00BA172C" w:rsidP="00BA172C">
      <w:pPr>
        <w:spacing w:after="200"/>
        <w:ind w:left="720"/>
        <w:rPr>
          <w:sz w:val="20"/>
          <w:szCs w:val="20"/>
        </w:rPr>
      </w:pPr>
      <w:r w:rsidRPr="00801DBA">
        <w:rPr>
          <w:sz w:val="20"/>
          <w:szCs w:val="20"/>
        </w:rPr>
        <w:t xml:space="preserve">Calls are charged per minute. When included minutes for calls to selected countries are used up, standard 'yes' international call charges apply. </w:t>
      </w:r>
    </w:p>
    <w:p w14:paraId="61D30FDA" w14:textId="77777777" w:rsidR="00BA172C" w:rsidRPr="00801DBA" w:rsidRDefault="00BA172C" w:rsidP="00BA172C">
      <w:pPr>
        <w:numPr>
          <w:ilvl w:val="5"/>
          <w:numId w:val="1"/>
        </w:numPr>
        <w:spacing w:after="200"/>
        <w:outlineLvl w:val="5"/>
        <w:rPr>
          <w:rFonts w:eastAsia="Times New Roman"/>
          <w:bCs/>
          <w:snapToGrid w:val="0"/>
          <w:sz w:val="20"/>
          <w:szCs w:val="20"/>
        </w:rPr>
      </w:pPr>
      <w:bookmarkStart w:id="1832" w:name="_Toc479674743"/>
      <w:r w:rsidRPr="00801DBA">
        <w:rPr>
          <w:rFonts w:eastAsia="Times New Roman"/>
          <w:bCs/>
          <w:snapToGrid w:val="0"/>
          <w:sz w:val="20"/>
          <w:szCs w:val="20"/>
        </w:rPr>
        <w:t>Unlimited standard national SMS and MMS</w:t>
      </w:r>
      <w:bookmarkEnd w:id="1832"/>
    </w:p>
    <w:p w14:paraId="79140F7C" w14:textId="77777777" w:rsidR="00BA172C" w:rsidRPr="00801DBA" w:rsidRDefault="00BA172C" w:rsidP="00BA172C">
      <w:pPr>
        <w:spacing w:after="200"/>
        <w:ind w:left="720"/>
        <w:rPr>
          <w:sz w:val="20"/>
          <w:szCs w:val="20"/>
        </w:rPr>
      </w:pPr>
      <w:r w:rsidRPr="00801DBA">
        <w:rPr>
          <w:i/>
          <w:sz w:val="20"/>
          <w:szCs w:val="20"/>
        </w:rPr>
        <w:t>You</w:t>
      </w:r>
      <w:r w:rsidRPr="00801DBA">
        <w:rPr>
          <w:sz w:val="20"/>
          <w:szCs w:val="20"/>
        </w:rPr>
        <w:t xml:space="preserve"> may send unlimited standard SMS and MMS to Australian mobiles from within Australia.</w:t>
      </w:r>
    </w:p>
    <w:p w14:paraId="11A2FA77" w14:textId="77777777" w:rsidR="00BA172C" w:rsidRPr="00801DBA" w:rsidRDefault="00BA172C" w:rsidP="00BA172C">
      <w:pPr>
        <w:spacing w:after="200"/>
        <w:ind w:left="720"/>
        <w:rPr>
          <w:i/>
          <w:color w:val="13607C"/>
          <w:sz w:val="20"/>
          <w:szCs w:val="20"/>
          <w:u w:val="single"/>
        </w:rPr>
      </w:pPr>
      <w:r w:rsidRPr="00801DBA">
        <w:rPr>
          <w:sz w:val="20"/>
          <w:szCs w:val="20"/>
        </w:rPr>
        <w:lastRenderedPageBreak/>
        <w:t xml:space="preserve">Unlimited standard national SMS and MMS are only available for personal and ordinary business use and are not to be used for a commercial or non-ordinary purpose as set out in the </w:t>
      </w:r>
      <w:hyperlink r:id="rId802" w:history="1">
        <w:r w:rsidRPr="00801DBA">
          <w:rPr>
            <w:rFonts w:cs="Arial"/>
            <w:i/>
            <w:color w:val="13607C"/>
            <w:sz w:val="20"/>
            <w:szCs w:val="20"/>
            <w:u w:val="single"/>
          </w:rPr>
          <w:t>Fair Go Policy</w:t>
        </w:r>
      </w:hyperlink>
      <w:r w:rsidRPr="00801DBA">
        <w:rPr>
          <w:sz w:val="20"/>
          <w:szCs w:val="20"/>
        </w:rPr>
        <w:t xml:space="preserve">. For further details refer to </w:t>
      </w:r>
      <w:hyperlink r:id="rId803" w:history="1">
        <w:r w:rsidRPr="00801DBA">
          <w:rPr>
            <w:i/>
            <w:color w:val="13607C"/>
            <w:sz w:val="20"/>
            <w:szCs w:val="20"/>
            <w:u w:val="single"/>
          </w:rPr>
          <w:t>Appendix S</w:t>
        </w:r>
      </w:hyperlink>
      <w:r w:rsidRPr="00801DBA">
        <w:rPr>
          <w:i/>
          <w:sz w:val="20"/>
          <w:szCs w:val="20"/>
        </w:rPr>
        <w:t>.</w:t>
      </w:r>
    </w:p>
    <w:p w14:paraId="346F68CB" w14:textId="77777777" w:rsidR="00BA172C" w:rsidRPr="00801DBA" w:rsidRDefault="00BA172C" w:rsidP="00BA172C">
      <w:pPr>
        <w:numPr>
          <w:ilvl w:val="5"/>
          <w:numId w:val="1"/>
        </w:numPr>
        <w:spacing w:after="200"/>
        <w:outlineLvl w:val="5"/>
        <w:rPr>
          <w:rFonts w:eastAsia="Times New Roman"/>
          <w:bCs/>
          <w:snapToGrid w:val="0"/>
          <w:sz w:val="20"/>
          <w:szCs w:val="20"/>
        </w:rPr>
      </w:pPr>
      <w:bookmarkStart w:id="1833" w:name="_Toc479674744"/>
      <w:r w:rsidRPr="00801DBA">
        <w:rPr>
          <w:rFonts w:eastAsia="Times New Roman"/>
          <w:bCs/>
          <w:snapToGrid w:val="0"/>
          <w:sz w:val="20"/>
          <w:szCs w:val="20"/>
        </w:rPr>
        <w:t>Unlimited standard international SMS and MMS</w:t>
      </w:r>
      <w:bookmarkEnd w:id="1833"/>
    </w:p>
    <w:p w14:paraId="31140B1D" w14:textId="77777777" w:rsidR="00BA172C" w:rsidRPr="00801DBA" w:rsidRDefault="00BA172C" w:rsidP="00BA172C">
      <w:pPr>
        <w:spacing w:after="200"/>
        <w:ind w:left="720"/>
        <w:rPr>
          <w:sz w:val="20"/>
          <w:szCs w:val="20"/>
        </w:rPr>
      </w:pPr>
      <w:r w:rsidRPr="00801DBA">
        <w:rPr>
          <w:i/>
          <w:sz w:val="20"/>
          <w:szCs w:val="20"/>
        </w:rPr>
        <w:t>You</w:t>
      </w:r>
      <w:r w:rsidRPr="00801DBA">
        <w:rPr>
          <w:sz w:val="20"/>
          <w:szCs w:val="20"/>
        </w:rPr>
        <w:t xml:space="preserve"> may send unlimited standard SMS and MMS to selected countries as set out in Table 3 below.</w:t>
      </w:r>
    </w:p>
    <w:p w14:paraId="68FB296E" w14:textId="77777777" w:rsidR="00BA172C" w:rsidRPr="00801DBA" w:rsidRDefault="00BA172C" w:rsidP="00BA172C">
      <w:pPr>
        <w:spacing w:after="200"/>
        <w:ind w:left="720"/>
        <w:rPr>
          <w:i/>
          <w:sz w:val="20"/>
          <w:szCs w:val="20"/>
        </w:rPr>
      </w:pPr>
      <w:r w:rsidRPr="00801DBA">
        <w:rPr>
          <w:sz w:val="20"/>
          <w:szCs w:val="20"/>
        </w:rPr>
        <w:t xml:space="preserve">Unlimited standard SMS and MMS are only available for personal and ordinary business use and are not to be used for a commercial or non-ordinary purpose as set out in the Fair Go Policy. For further details refer to </w:t>
      </w:r>
      <w:hyperlink r:id="rId804" w:history="1">
        <w:r w:rsidRPr="00801DBA">
          <w:rPr>
            <w:i/>
            <w:color w:val="13607C"/>
            <w:sz w:val="20"/>
            <w:szCs w:val="20"/>
            <w:u w:val="single"/>
          </w:rPr>
          <w:t>Appendix S</w:t>
        </w:r>
      </w:hyperlink>
      <w:r w:rsidRPr="00801DBA">
        <w:rPr>
          <w:i/>
          <w:sz w:val="20"/>
          <w:szCs w:val="20"/>
        </w:rPr>
        <w:t>.</w:t>
      </w:r>
    </w:p>
    <w:p w14:paraId="06714F42" w14:textId="77777777" w:rsidR="00BA172C" w:rsidRPr="00801DBA" w:rsidRDefault="00BA172C" w:rsidP="00BA172C">
      <w:pPr>
        <w:numPr>
          <w:ilvl w:val="5"/>
          <w:numId w:val="1"/>
        </w:numPr>
        <w:spacing w:after="200"/>
        <w:outlineLvl w:val="5"/>
        <w:rPr>
          <w:rFonts w:eastAsia="Times New Roman"/>
          <w:bCs/>
          <w:snapToGrid w:val="0"/>
          <w:sz w:val="20"/>
          <w:szCs w:val="20"/>
        </w:rPr>
      </w:pPr>
      <w:bookmarkStart w:id="1834" w:name="_Toc479674745"/>
      <w:r w:rsidRPr="00801DBA">
        <w:rPr>
          <w:rFonts w:eastAsia="Times New Roman"/>
          <w:bCs/>
          <w:snapToGrid w:val="0"/>
          <w:sz w:val="20"/>
          <w:szCs w:val="20"/>
        </w:rPr>
        <w:t>Optus Travel</w:t>
      </w:r>
      <w:r w:rsidRPr="00801DBA">
        <w:rPr>
          <w:rFonts w:eastAsia="Times New Roman"/>
          <w:bCs/>
          <w:snapToGrid w:val="0"/>
          <w:sz w:val="20"/>
          <w:szCs w:val="20"/>
          <w:vertAlign w:val="superscript"/>
        </w:rPr>
        <w:t xml:space="preserve">TM </w:t>
      </w:r>
      <w:r w:rsidRPr="00801DBA">
        <w:rPr>
          <w:rFonts w:eastAsia="Times New Roman"/>
          <w:bCs/>
          <w:snapToGrid w:val="0"/>
          <w:sz w:val="20"/>
          <w:szCs w:val="20"/>
        </w:rPr>
        <w:t>Pack</w:t>
      </w:r>
      <w:bookmarkEnd w:id="1834"/>
      <w:r w:rsidRPr="00801DBA">
        <w:rPr>
          <w:rFonts w:eastAsia="Times New Roman"/>
          <w:bCs/>
          <w:snapToGrid w:val="0"/>
          <w:sz w:val="20"/>
          <w:szCs w:val="20"/>
        </w:rPr>
        <w:t xml:space="preserve"> </w:t>
      </w:r>
    </w:p>
    <w:p w14:paraId="43FA58D7" w14:textId="77777777" w:rsidR="00BA172C" w:rsidRPr="00801DBA" w:rsidRDefault="00BA172C" w:rsidP="00BA172C">
      <w:pPr>
        <w:spacing w:after="200"/>
        <w:ind w:left="720"/>
        <w:rPr>
          <w:snapToGrid w:val="0"/>
          <w:sz w:val="20"/>
          <w:szCs w:val="20"/>
        </w:rPr>
      </w:pPr>
      <w:r w:rsidRPr="00801DBA">
        <w:rPr>
          <w:i/>
          <w:snapToGrid w:val="0"/>
          <w:sz w:val="20"/>
          <w:szCs w:val="20"/>
        </w:rPr>
        <w:t>You</w:t>
      </w:r>
      <w:r w:rsidRPr="00801DBA">
        <w:rPr>
          <w:snapToGrid w:val="0"/>
          <w:sz w:val="20"/>
          <w:szCs w:val="20"/>
        </w:rPr>
        <w:t xml:space="preserve"> need to ensure your Optus Travel</w:t>
      </w:r>
      <w:r w:rsidRPr="00801DBA">
        <w:rPr>
          <w:snapToGrid w:val="0"/>
          <w:sz w:val="20"/>
          <w:szCs w:val="20"/>
          <w:vertAlign w:val="superscript"/>
        </w:rPr>
        <w:t>TM</w:t>
      </w:r>
      <w:r w:rsidRPr="00801DBA">
        <w:rPr>
          <w:snapToGrid w:val="0"/>
          <w:sz w:val="20"/>
          <w:szCs w:val="20"/>
        </w:rPr>
        <w:t xml:space="preserve"> Pack is active by contacting Optus prior to use. Optus Travel</w:t>
      </w:r>
      <w:r w:rsidRPr="00801DBA">
        <w:rPr>
          <w:snapToGrid w:val="0"/>
          <w:sz w:val="20"/>
          <w:szCs w:val="20"/>
          <w:vertAlign w:val="superscript"/>
        </w:rPr>
        <w:t>TM</w:t>
      </w:r>
      <w:r w:rsidRPr="00801DBA">
        <w:rPr>
          <w:snapToGrid w:val="0"/>
          <w:sz w:val="20"/>
          <w:szCs w:val="20"/>
        </w:rPr>
        <w:t xml:space="preserve"> Pack gives you unlimited standard national and international voice, SMS (MMS is excluded) plus 50MB of data to use in Zone 1 countries per day. For list of countries see optus.com.au/travel</w:t>
      </w:r>
    </w:p>
    <w:p w14:paraId="762EFCFB" w14:textId="77777777" w:rsidR="00BA172C" w:rsidRPr="00B7364B" w:rsidRDefault="00BA172C" w:rsidP="00BA172C">
      <w:pPr>
        <w:spacing w:after="200"/>
        <w:ind w:left="720"/>
        <w:rPr>
          <w:snapToGrid w:val="0"/>
          <w:sz w:val="20"/>
        </w:rPr>
      </w:pPr>
      <w:r w:rsidRPr="00801DBA">
        <w:rPr>
          <w:i/>
          <w:snapToGrid w:val="0"/>
          <w:sz w:val="20"/>
          <w:szCs w:val="20"/>
        </w:rPr>
        <w:t>You</w:t>
      </w:r>
      <w:r w:rsidRPr="00801DBA">
        <w:rPr>
          <w:snapToGrid w:val="0"/>
          <w:sz w:val="20"/>
          <w:szCs w:val="20"/>
        </w:rPr>
        <w:t xml:space="preserve"> can activate the Optus Travel</w:t>
      </w:r>
      <w:r w:rsidRPr="00801DBA">
        <w:rPr>
          <w:snapToGrid w:val="0"/>
          <w:sz w:val="20"/>
          <w:szCs w:val="20"/>
          <w:vertAlign w:val="superscript"/>
        </w:rPr>
        <w:t>TM</w:t>
      </w:r>
      <w:r w:rsidRPr="00801DBA">
        <w:rPr>
          <w:snapToGrid w:val="0"/>
          <w:sz w:val="20"/>
          <w:szCs w:val="20"/>
        </w:rPr>
        <w:t xml:space="preserve"> Pack on a day to day basis or multiple days at once. If you activate multiple consecutive days, the data allowance will accumulate, for example </w:t>
      </w:r>
      <w:r w:rsidRPr="00801DBA">
        <w:rPr>
          <w:bCs/>
          <w:snapToGrid w:val="0"/>
          <w:sz w:val="20"/>
          <w:szCs w:val="20"/>
        </w:rPr>
        <w:t>activate 5 consecutive days and use 250MB any time over the 5 day period. If you exceed the data limit, standard data roaming</w:t>
      </w:r>
      <w:r w:rsidRPr="00B7364B">
        <w:rPr>
          <w:bCs/>
          <w:snapToGrid w:val="0"/>
          <w:sz w:val="20"/>
        </w:rPr>
        <w:t xml:space="preserve"> charges will apply. Any data provided as part of Optus Travel™ Pack is not shareable and will not form part of any Data Pool. Any unused days of Optus Travel™ Pack are forfeited and cannot be rolled over to the next billing month.</w:t>
      </w:r>
    </w:p>
    <w:p w14:paraId="03AC10F7" w14:textId="77777777" w:rsidR="00BA172C" w:rsidRPr="00B7364B" w:rsidRDefault="00BA172C" w:rsidP="00BA172C">
      <w:pPr>
        <w:spacing w:after="200"/>
        <w:ind w:left="720"/>
        <w:rPr>
          <w:snapToGrid w:val="0"/>
          <w:sz w:val="20"/>
        </w:rPr>
      </w:pPr>
      <w:r w:rsidRPr="00B7364B">
        <w:rPr>
          <w:snapToGrid w:val="0"/>
          <w:sz w:val="20"/>
        </w:rPr>
        <w:t>If you are not in a Zone 1 country you will be charged at standard roaming rates for that country.</w:t>
      </w:r>
    </w:p>
    <w:p w14:paraId="7B1376DE" w14:textId="77777777" w:rsidR="00BA172C" w:rsidRPr="00B7364B" w:rsidRDefault="00BA172C" w:rsidP="00BA172C">
      <w:pPr>
        <w:spacing w:after="200"/>
        <w:ind w:left="720"/>
        <w:rPr>
          <w:b/>
          <w:sz w:val="20"/>
        </w:rPr>
      </w:pPr>
      <w:r w:rsidRPr="00B7364B">
        <w:rPr>
          <w:b/>
          <w:sz w:val="20"/>
        </w:rPr>
        <w:t>Table 1 –Plan Inclusions and Charges</w:t>
      </w:r>
    </w:p>
    <w:tbl>
      <w:tblPr>
        <w:tblW w:w="407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05"/>
        <w:gridCol w:w="3604"/>
      </w:tblGrid>
      <w:tr w:rsidR="00BA172C" w:rsidRPr="00B7364B" w14:paraId="1CE2FB6F" w14:textId="77777777" w:rsidTr="00B95821">
        <w:trPr>
          <w:tblHeader/>
        </w:trPr>
        <w:tc>
          <w:tcPr>
            <w:tcW w:w="2831" w:type="pct"/>
            <w:shd w:val="clear" w:color="auto" w:fill="auto"/>
          </w:tcPr>
          <w:p w14:paraId="34C42A1F" w14:textId="77777777" w:rsidR="00BA172C" w:rsidRPr="00B7364B" w:rsidRDefault="00BA172C" w:rsidP="00B95821">
            <w:pPr>
              <w:spacing w:before="100" w:after="100"/>
              <w:rPr>
                <w:sz w:val="20"/>
                <w:szCs w:val="20"/>
              </w:rPr>
            </w:pPr>
          </w:p>
        </w:tc>
        <w:tc>
          <w:tcPr>
            <w:tcW w:w="2169" w:type="pct"/>
            <w:shd w:val="clear" w:color="auto" w:fill="auto"/>
          </w:tcPr>
          <w:p w14:paraId="6490AA52" w14:textId="77777777" w:rsidR="00BA172C" w:rsidRPr="00B7364B" w:rsidRDefault="00BA172C" w:rsidP="00B95821">
            <w:pPr>
              <w:spacing w:before="100" w:after="100"/>
              <w:jc w:val="center"/>
              <w:rPr>
                <w:b/>
                <w:sz w:val="20"/>
                <w:szCs w:val="20"/>
              </w:rPr>
            </w:pPr>
            <w:r w:rsidRPr="00B7364B">
              <w:rPr>
                <w:b/>
                <w:sz w:val="20"/>
                <w:szCs w:val="20"/>
              </w:rPr>
              <w:t>$40 My Plan Business</w:t>
            </w:r>
          </w:p>
        </w:tc>
      </w:tr>
      <w:tr w:rsidR="00BA172C" w:rsidRPr="00B7364B" w14:paraId="3973AAC0" w14:textId="77777777" w:rsidTr="00B95821">
        <w:tc>
          <w:tcPr>
            <w:tcW w:w="2831" w:type="pct"/>
            <w:shd w:val="clear" w:color="auto" w:fill="auto"/>
          </w:tcPr>
          <w:p w14:paraId="4AD49D87" w14:textId="77777777" w:rsidR="00BA172C" w:rsidRPr="00B7364B" w:rsidRDefault="00BA172C" w:rsidP="00B95821">
            <w:pPr>
              <w:spacing w:before="100" w:after="100"/>
              <w:rPr>
                <w:sz w:val="20"/>
                <w:szCs w:val="20"/>
              </w:rPr>
            </w:pPr>
            <w:r w:rsidRPr="00B7364B">
              <w:rPr>
                <w:b/>
                <w:bCs/>
                <w:sz w:val="20"/>
                <w:szCs w:val="20"/>
              </w:rPr>
              <w:t>Minimum Monthly charge</w:t>
            </w:r>
          </w:p>
        </w:tc>
        <w:tc>
          <w:tcPr>
            <w:tcW w:w="2169" w:type="pct"/>
            <w:shd w:val="clear" w:color="auto" w:fill="auto"/>
            <w:vAlign w:val="center"/>
          </w:tcPr>
          <w:p w14:paraId="59AC1377" w14:textId="77777777" w:rsidR="00BA172C" w:rsidRPr="00B7364B" w:rsidRDefault="00BA172C" w:rsidP="00B95821">
            <w:pPr>
              <w:spacing w:before="100" w:after="100"/>
              <w:jc w:val="center"/>
              <w:rPr>
                <w:sz w:val="20"/>
                <w:szCs w:val="20"/>
              </w:rPr>
            </w:pPr>
            <w:r w:rsidRPr="00B7364B">
              <w:rPr>
                <w:sz w:val="20"/>
                <w:szCs w:val="20"/>
              </w:rPr>
              <w:t>$40</w:t>
            </w:r>
          </w:p>
        </w:tc>
      </w:tr>
      <w:tr w:rsidR="00BA172C" w:rsidRPr="00B7364B" w14:paraId="59C9B1EA" w14:textId="77777777" w:rsidTr="00B95821">
        <w:tc>
          <w:tcPr>
            <w:tcW w:w="2831" w:type="pct"/>
            <w:shd w:val="clear" w:color="auto" w:fill="auto"/>
          </w:tcPr>
          <w:p w14:paraId="256A5E85" w14:textId="77777777" w:rsidR="00BA172C" w:rsidRPr="00B7364B" w:rsidRDefault="00BA172C" w:rsidP="00B95821">
            <w:pPr>
              <w:spacing w:before="100" w:after="100"/>
              <w:rPr>
                <w:sz w:val="20"/>
                <w:szCs w:val="20"/>
              </w:rPr>
            </w:pPr>
            <w:r w:rsidRPr="00B7364B">
              <w:rPr>
                <w:b/>
                <w:bCs/>
                <w:sz w:val="20"/>
                <w:szCs w:val="20"/>
              </w:rPr>
              <w:t>Included Data</w:t>
            </w:r>
          </w:p>
        </w:tc>
        <w:tc>
          <w:tcPr>
            <w:tcW w:w="2169" w:type="pct"/>
            <w:shd w:val="clear" w:color="auto" w:fill="auto"/>
            <w:vAlign w:val="center"/>
          </w:tcPr>
          <w:p w14:paraId="7CB8D4D4" w14:textId="77777777" w:rsidR="00BA172C" w:rsidRPr="00B7364B" w:rsidRDefault="00BA172C" w:rsidP="00B95821">
            <w:pPr>
              <w:spacing w:before="100" w:after="100"/>
              <w:jc w:val="center"/>
              <w:rPr>
                <w:sz w:val="20"/>
                <w:szCs w:val="20"/>
              </w:rPr>
            </w:pPr>
            <w:r w:rsidRPr="00B7364B">
              <w:rPr>
                <w:sz w:val="20"/>
                <w:szCs w:val="20"/>
              </w:rPr>
              <w:t>8GB</w:t>
            </w:r>
          </w:p>
        </w:tc>
      </w:tr>
      <w:tr w:rsidR="00BA172C" w:rsidRPr="00B7364B" w14:paraId="33C47AA2" w14:textId="77777777" w:rsidTr="00B95821">
        <w:tc>
          <w:tcPr>
            <w:tcW w:w="2831" w:type="pct"/>
            <w:shd w:val="clear" w:color="auto" w:fill="auto"/>
          </w:tcPr>
          <w:p w14:paraId="29BB433D" w14:textId="77777777" w:rsidR="00BA172C" w:rsidRPr="00B7364B" w:rsidRDefault="00BA172C" w:rsidP="00B95821">
            <w:pPr>
              <w:spacing w:before="100" w:after="100"/>
              <w:rPr>
                <w:b/>
                <w:bCs/>
                <w:sz w:val="20"/>
                <w:szCs w:val="20"/>
              </w:rPr>
            </w:pPr>
            <w:r w:rsidRPr="00B7364B">
              <w:rPr>
                <w:b/>
                <w:bCs/>
                <w:sz w:val="20"/>
                <w:szCs w:val="20"/>
              </w:rPr>
              <w:t>Additional Data</w:t>
            </w:r>
          </w:p>
        </w:tc>
        <w:tc>
          <w:tcPr>
            <w:tcW w:w="2169" w:type="pct"/>
            <w:shd w:val="clear" w:color="auto" w:fill="auto"/>
            <w:vAlign w:val="center"/>
          </w:tcPr>
          <w:p w14:paraId="100F3DD9" w14:textId="77777777" w:rsidR="00BA172C" w:rsidRPr="00B7364B" w:rsidRDefault="00BA172C" w:rsidP="00B95821">
            <w:pPr>
              <w:spacing w:before="100" w:after="100"/>
              <w:jc w:val="center"/>
              <w:rPr>
                <w:b/>
                <w:bCs/>
                <w:sz w:val="20"/>
                <w:szCs w:val="20"/>
              </w:rPr>
            </w:pPr>
            <w:r w:rsidRPr="00B7364B">
              <w:rPr>
                <w:b/>
                <w:bCs/>
                <w:sz w:val="20"/>
                <w:szCs w:val="20"/>
              </w:rPr>
              <w:t>Additional $10 for 1GB</w:t>
            </w:r>
          </w:p>
        </w:tc>
      </w:tr>
      <w:tr w:rsidR="00BA172C" w:rsidRPr="00B7364B" w14:paraId="07E7BEAF" w14:textId="77777777" w:rsidTr="00B95821">
        <w:tc>
          <w:tcPr>
            <w:tcW w:w="2831" w:type="pct"/>
            <w:shd w:val="clear" w:color="auto" w:fill="auto"/>
          </w:tcPr>
          <w:p w14:paraId="13A179A9" w14:textId="77777777" w:rsidR="00BA172C" w:rsidRPr="00B7364B" w:rsidRDefault="00BA172C" w:rsidP="00B95821">
            <w:pPr>
              <w:spacing w:before="100" w:after="100"/>
              <w:rPr>
                <w:sz w:val="20"/>
                <w:szCs w:val="20"/>
              </w:rPr>
            </w:pPr>
            <w:r w:rsidRPr="00B7364B">
              <w:rPr>
                <w:b/>
                <w:bCs/>
                <w:sz w:val="20"/>
                <w:szCs w:val="20"/>
              </w:rPr>
              <w:t xml:space="preserve">Included Minutes </w:t>
            </w:r>
            <w:r w:rsidRPr="00B7364B">
              <w:rPr>
                <w:sz w:val="20"/>
                <w:szCs w:val="20"/>
              </w:rPr>
              <w:t>for standard national calls to landlines and mobiles, 1300 numbers and voicemail, within Australia</w:t>
            </w:r>
          </w:p>
        </w:tc>
        <w:tc>
          <w:tcPr>
            <w:tcW w:w="2169" w:type="pct"/>
            <w:shd w:val="clear" w:color="auto" w:fill="auto"/>
            <w:vAlign w:val="center"/>
          </w:tcPr>
          <w:p w14:paraId="34C515F2" w14:textId="77777777" w:rsidR="00BA172C" w:rsidRPr="00B7364B" w:rsidRDefault="00BA172C" w:rsidP="00B95821">
            <w:pPr>
              <w:spacing w:before="100" w:after="100"/>
              <w:jc w:val="center"/>
              <w:rPr>
                <w:sz w:val="20"/>
                <w:szCs w:val="20"/>
              </w:rPr>
            </w:pPr>
            <w:r w:rsidRPr="00B7364B">
              <w:rPr>
                <w:sz w:val="20"/>
                <w:szCs w:val="20"/>
              </w:rPr>
              <w:t>Unlimited</w:t>
            </w:r>
          </w:p>
        </w:tc>
      </w:tr>
      <w:tr w:rsidR="00BA172C" w:rsidRPr="00B7364B" w14:paraId="1C45D9E6" w14:textId="77777777" w:rsidTr="00B95821">
        <w:tc>
          <w:tcPr>
            <w:tcW w:w="2831" w:type="pct"/>
            <w:shd w:val="clear" w:color="auto" w:fill="auto"/>
          </w:tcPr>
          <w:p w14:paraId="608AE3EA" w14:textId="77777777" w:rsidR="00BA172C" w:rsidRPr="00B7364B" w:rsidRDefault="00BA172C" w:rsidP="00B95821">
            <w:pPr>
              <w:spacing w:before="100" w:after="100"/>
              <w:rPr>
                <w:b/>
                <w:bCs/>
                <w:sz w:val="20"/>
                <w:szCs w:val="20"/>
              </w:rPr>
            </w:pPr>
            <w:r w:rsidRPr="00B7364B">
              <w:rPr>
                <w:b/>
                <w:bCs/>
                <w:sz w:val="20"/>
                <w:szCs w:val="20"/>
              </w:rPr>
              <w:t>Included International Minutes</w:t>
            </w:r>
          </w:p>
          <w:p w14:paraId="4B566585" w14:textId="77777777" w:rsidR="00BA172C" w:rsidRPr="00B7364B" w:rsidRDefault="00BA172C" w:rsidP="00B95821">
            <w:pPr>
              <w:spacing w:before="100" w:after="100"/>
              <w:rPr>
                <w:b/>
                <w:bCs/>
                <w:sz w:val="20"/>
                <w:szCs w:val="20"/>
              </w:rPr>
            </w:pPr>
            <w:r w:rsidRPr="00B7364B">
              <w:rPr>
                <w:sz w:val="20"/>
                <w:szCs w:val="20"/>
              </w:rPr>
              <w:t xml:space="preserve">Standard international calls to landlines and mobiles to selected countries </w:t>
            </w:r>
          </w:p>
        </w:tc>
        <w:tc>
          <w:tcPr>
            <w:tcW w:w="2169" w:type="pct"/>
            <w:shd w:val="clear" w:color="auto" w:fill="auto"/>
            <w:vAlign w:val="center"/>
          </w:tcPr>
          <w:p w14:paraId="4C816D2B" w14:textId="77777777" w:rsidR="00BA172C" w:rsidRPr="00B7364B" w:rsidRDefault="00BA172C" w:rsidP="00B95821">
            <w:pPr>
              <w:spacing w:before="100" w:after="100"/>
              <w:jc w:val="center"/>
              <w:rPr>
                <w:sz w:val="20"/>
                <w:szCs w:val="20"/>
              </w:rPr>
            </w:pPr>
            <w:r w:rsidRPr="00B7364B">
              <w:rPr>
                <w:bCs/>
                <w:sz w:val="20"/>
                <w:szCs w:val="20"/>
              </w:rPr>
              <w:t>Up to 300 mins</w:t>
            </w:r>
          </w:p>
        </w:tc>
      </w:tr>
      <w:tr w:rsidR="00BA172C" w:rsidRPr="00B7364B" w14:paraId="0240B552" w14:textId="77777777" w:rsidTr="00B95821">
        <w:tc>
          <w:tcPr>
            <w:tcW w:w="2831" w:type="pct"/>
            <w:shd w:val="clear" w:color="auto" w:fill="auto"/>
          </w:tcPr>
          <w:p w14:paraId="3EC506C6" w14:textId="77777777" w:rsidR="00BA172C" w:rsidRPr="00B7364B" w:rsidRDefault="00BA172C" w:rsidP="00B95821">
            <w:pPr>
              <w:spacing w:before="100" w:after="100"/>
              <w:rPr>
                <w:sz w:val="20"/>
                <w:szCs w:val="20"/>
              </w:rPr>
            </w:pPr>
            <w:r w:rsidRPr="00B7364B">
              <w:rPr>
                <w:b/>
                <w:bCs/>
                <w:sz w:val="20"/>
                <w:szCs w:val="20"/>
              </w:rPr>
              <w:t xml:space="preserve">Standard national SMS </w:t>
            </w:r>
            <w:r w:rsidRPr="00B7364B">
              <w:rPr>
                <w:sz w:val="20"/>
                <w:szCs w:val="20"/>
              </w:rPr>
              <w:t>(per SMS of up to 160 standard characters)</w:t>
            </w:r>
          </w:p>
        </w:tc>
        <w:tc>
          <w:tcPr>
            <w:tcW w:w="2169" w:type="pct"/>
            <w:shd w:val="clear" w:color="auto" w:fill="auto"/>
            <w:vAlign w:val="center"/>
          </w:tcPr>
          <w:p w14:paraId="27A1B8F1" w14:textId="77777777" w:rsidR="00BA172C" w:rsidRPr="00B7364B" w:rsidRDefault="00BA172C" w:rsidP="00B95821">
            <w:pPr>
              <w:spacing w:before="100" w:after="100"/>
              <w:jc w:val="center"/>
              <w:rPr>
                <w:sz w:val="20"/>
                <w:szCs w:val="20"/>
              </w:rPr>
            </w:pPr>
            <w:r w:rsidRPr="00B7364B">
              <w:rPr>
                <w:sz w:val="20"/>
                <w:szCs w:val="20"/>
              </w:rPr>
              <w:t>Unlimited</w:t>
            </w:r>
          </w:p>
        </w:tc>
      </w:tr>
      <w:tr w:rsidR="00BA172C" w:rsidRPr="00B7364B" w14:paraId="272678FC" w14:textId="77777777" w:rsidTr="00B95821">
        <w:tc>
          <w:tcPr>
            <w:tcW w:w="2831" w:type="pct"/>
            <w:shd w:val="clear" w:color="auto" w:fill="auto"/>
          </w:tcPr>
          <w:p w14:paraId="0778AE02" w14:textId="77777777" w:rsidR="00BA172C" w:rsidRPr="00B7364B" w:rsidRDefault="00BA172C" w:rsidP="00B95821">
            <w:pPr>
              <w:keepNext/>
              <w:keepLines/>
              <w:spacing w:before="100" w:after="100"/>
              <w:rPr>
                <w:b/>
                <w:bCs/>
                <w:sz w:val="20"/>
                <w:szCs w:val="20"/>
              </w:rPr>
            </w:pPr>
            <w:r w:rsidRPr="00B7364B">
              <w:rPr>
                <w:b/>
                <w:bCs/>
                <w:sz w:val="20"/>
                <w:szCs w:val="20"/>
              </w:rPr>
              <w:t xml:space="preserve">Standard national MMS </w:t>
            </w:r>
            <w:r w:rsidRPr="00B7364B">
              <w:rPr>
                <w:sz w:val="20"/>
                <w:szCs w:val="20"/>
              </w:rPr>
              <w:t>(per message)</w:t>
            </w:r>
          </w:p>
        </w:tc>
        <w:tc>
          <w:tcPr>
            <w:tcW w:w="2169" w:type="pct"/>
            <w:shd w:val="clear" w:color="auto" w:fill="auto"/>
            <w:vAlign w:val="center"/>
          </w:tcPr>
          <w:p w14:paraId="3BB84471" w14:textId="77777777" w:rsidR="00BA172C" w:rsidRPr="00B7364B" w:rsidRDefault="00BA172C" w:rsidP="00B95821">
            <w:pPr>
              <w:keepNext/>
              <w:keepLines/>
              <w:spacing w:before="100" w:after="100"/>
              <w:jc w:val="center"/>
              <w:rPr>
                <w:sz w:val="20"/>
                <w:szCs w:val="20"/>
              </w:rPr>
            </w:pPr>
            <w:r w:rsidRPr="00B7364B">
              <w:rPr>
                <w:sz w:val="20"/>
                <w:szCs w:val="20"/>
              </w:rPr>
              <w:t>Unlimited</w:t>
            </w:r>
          </w:p>
        </w:tc>
      </w:tr>
      <w:tr w:rsidR="00BA172C" w:rsidRPr="00B7364B" w14:paraId="26278FC7" w14:textId="77777777" w:rsidTr="00B95821">
        <w:tc>
          <w:tcPr>
            <w:tcW w:w="2831" w:type="pct"/>
            <w:shd w:val="clear" w:color="auto" w:fill="auto"/>
          </w:tcPr>
          <w:p w14:paraId="09FC3337" w14:textId="77777777" w:rsidR="00BA172C" w:rsidRPr="00B7364B" w:rsidRDefault="00BA172C" w:rsidP="00B95821">
            <w:pPr>
              <w:spacing w:before="100" w:after="100"/>
              <w:rPr>
                <w:b/>
                <w:bCs/>
                <w:sz w:val="20"/>
                <w:szCs w:val="20"/>
              </w:rPr>
            </w:pPr>
            <w:r w:rsidRPr="00B7364B">
              <w:rPr>
                <w:b/>
                <w:bCs/>
                <w:sz w:val="20"/>
                <w:szCs w:val="20"/>
              </w:rPr>
              <w:t xml:space="preserve">Standard international SMS </w:t>
            </w:r>
            <w:r w:rsidRPr="00B7364B">
              <w:rPr>
                <w:sz w:val="20"/>
                <w:szCs w:val="20"/>
              </w:rPr>
              <w:t>(per SMS of up to 160 standard characters to selected countries)</w:t>
            </w:r>
          </w:p>
        </w:tc>
        <w:tc>
          <w:tcPr>
            <w:tcW w:w="2169" w:type="pct"/>
            <w:shd w:val="clear" w:color="auto" w:fill="auto"/>
            <w:vAlign w:val="center"/>
          </w:tcPr>
          <w:p w14:paraId="2B458C64" w14:textId="77777777" w:rsidR="00BA172C" w:rsidRPr="00B7364B" w:rsidRDefault="00BA172C" w:rsidP="00B95821">
            <w:pPr>
              <w:spacing w:before="100" w:after="100"/>
              <w:jc w:val="center"/>
              <w:rPr>
                <w:sz w:val="20"/>
                <w:szCs w:val="20"/>
              </w:rPr>
            </w:pPr>
            <w:r w:rsidRPr="00B7364B">
              <w:rPr>
                <w:sz w:val="20"/>
                <w:szCs w:val="20"/>
              </w:rPr>
              <w:t>Unlimited</w:t>
            </w:r>
          </w:p>
        </w:tc>
      </w:tr>
      <w:tr w:rsidR="00BA172C" w:rsidRPr="00B7364B" w14:paraId="0BC28160" w14:textId="77777777" w:rsidTr="00B95821">
        <w:tc>
          <w:tcPr>
            <w:tcW w:w="2831" w:type="pct"/>
            <w:shd w:val="clear" w:color="auto" w:fill="auto"/>
          </w:tcPr>
          <w:p w14:paraId="56C388A7" w14:textId="77777777" w:rsidR="00BA172C" w:rsidRPr="00B7364B" w:rsidRDefault="00BA172C" w:rsidP="00B95821">
            <w:pPr>
              <w:spacing w:before="100" w:after="100"/>
              <w:rPr>
                <w:b/>
                <w:bCs/>
                <w:sz w:val="20"/>
                <w:szCs w:val="20"/>
              </w:rPr>
            </w:pPr>
            <w:r w:rsidRPr="00B7364B">
              <w:rPr>
                <w:b/>
                <w:bCs/>
                <w:sz w:val="20"/>
                <w:szCs w:val="20"/>
              </w:rPr>
              <w:t xml:space="preserve">Standard international MMS </w:t>
            </w:r>
            <w:r w:rsidRPr="00B7364B">
              <w:rPr>
                <w:sz w:val="20"/>
                <w:szCs w:val="20"/>
              </w:rPr>
              <w:t>(per message to selected countries)</w:t>
            </w:r>
          </w:p>
        </w:tc>
        <w:tc>
          <w:tcPr>
            <w:tcW w:w="2169" w:type="pct"/>
            <w:shd w:val="clear" w:color="auto" w:fill="auto"/>
            <w:vAlign w:val="center"/>
          </w:tcPr>
          <w:p w14:paraId="265E53D3" w14:textId="77777777" w:rsidR="00BA172C" w:rsidRPr="00B7364B" w:rsidRDefault="00BA172C" w:rsidP="00B95821">
            <w:pPr>
              <w:spacing w:before="100" w:after="100"/>
              <w:jc w:val="center"/>
              <w:rPr>
                <w:sz w:val="20"/>
                <w:szCs w:val="20"/>
              </w:rPr>
            </w:pPr>
            <w:r w:rsidRPr="00B7364B">
              <w:rPr>
                <w:sz w:val="20"/>
                <w:szCs w:val="20"/>
              </w:rPr>
              <w:t>Unlimited</w:t>
            </w:r>
          </w:p>
        </w:tc>
      </w:tr>
      <w:tr w:rsidR="00BA172C" w:rsidRPr="00B7364B" w14:paraId="4C98D78C" w14:textId="77777777" w:rsidTr="00B95821">
        <w:tc>
          <w:tcPr>
            <w:tcW w:w="2831" w:type="pct"/>
            <w:shd w:val="clear" w:color="auto" w:fill="auto"/>
          </w:tcPr>
          <w:p w14:paraId="3FE9EA6F" w14:textId="77777777" w:rsidR="00BA172C" w:rsidRPr="00B7364B" w:rsidRDefault="00BA172C" w:rsidP="00B95821">
            <w:pPr>
              <w:spacing w:before="100" w:after="100"/>
              <w:rPr>
                <w:b/>
                <w:bCs/>
                <w:sz w:val="20"/>
                <w:szCs w:val="20"/>
              </w:rPr>
            </w:pPr>
            <w:r w:rsidRPr="00B7364B">
              <w:rPr>
                <w:b/>
                <w:bCs/>
                <w:snapToGrid w:val="0"/>
                <w:sz w:val="20"/>
                <w:szCs w:val="20"/>
              </w:rPr>
              <w:t>Optus Travel™ Pack</w:t>
            </w:r>
          </w:p>
        </w:tc>
        <w:tc>
          <w:tcPr>
            <w:tcW w:w="2169" w:type="pct"/>
            <w:shd w:val="clear" w:color="auto" w:fill="auto"/>
            <w:vAlign w:val="center"/>
          </w:tcPr>
          <w:p w14:paraId="0BD384C3" w14:textId="77777777" w:rsidR="00BA172C" w:rsidRPr="00B7364B" w:rsidRDefault="00BA172C" w:rsidP="00B95821">
            <w:pPr>
              <w:spacing w:before="100" w:after="100"/>
              <w:jc w:val="center"/>
              <w:rPr>
                <w:sz w:val="20"/>
                <w:szCs w:val="20"/>
              </w:rPr>
            </w:pPr>
            <w:r w:rsidRPr="00B7364B">
              <w:rPr>
                <w:sz w:val="20"/>
                <w:szCs w:val="20"/>
              </w:rPr>
              <w:t>$5 per Day</w:t>
            </w:r>
          </w:p>
        </w:tc>
      </w:tr>
      <w:tr w:rsidR="00BA172C" w:rsidRPr="00B7364B" w14:paraId="714B3D75" w14:textId="77777777" w:rsidTr="00B95821">
        <w:tc>
          <w:tcPr>
            <w:tcW w:w="2831" w:type="pct"/>
            <w:shd w:val="clear" w:color="auto" w:fill="auto"/>
          </w:tcPr>
          <w:p w14:paraId="1E92043B" w14:textId="77777777" w:rsidR="00BA172C" w:rsidRPr="00B7364B" w:rsidRDefault="00BA172C" w:rsidP="00B95821">
            <w:pPr>
              <w:spacing w:before="100" w:after="100"/>
              <w:rPr>
                <w:b/>
                <w:bCs/>
                <w:sz w:val="20"/>
                <w:szCs w:val="20"/>
              </w:rPr>
            </w:pPr>
            <w:r w:rsidRPr="00B7364B">
              <w:rPr>
                <w:b/>
                <w:bCs/>
                <w:sz w:val="20"/>
                <w:szCs w:val="20"/>
              </w:rPr>
              <w:t xml:space="preserve">Minimum total cost over 24 months </w:t>
            </w:r>
          </w:p>
        </w:tc>
        <w:tc>
          <w:tcPr>
            <w:tcW w:w="2169" w:type="pct"/>
            <w:shd w:val="clear" w:color="auto" w:fill="auto"/>
            <w:vAlign w:val="center"/>
          </w:tcPr>
          <w:p w14:paraId="62B91443" w14:textId="77777777" w:rsidR="00BA172C" w:rsidRPr="00B7364B" w:rsidRDefault="00BA172C" w:rsidP="00B95821">
            <w:pPr>
              <w:spacing w:before="100" w:after="100"/>
              <w:jc w:val="center"/>
              <w:rPr>
                <w:sz w:val="20"/>
                <w:szCs w:val="20"/>
              </w:rPr>
            </w:pPr>
            <w:r w:rsidRPr="00B7364B">
              <w:rPr>
                <w:sz w:val="20"/>
                <w:szCs w:val="20"/>
              </w:rPr>
              <w:t>$480</w:t>
            </w:r>
          </w:p>
        </w:tc>
      </w:tr>
    </w:tbl>
    <w:p w14:paraId="6E8199A7" w14:textId="77777777" w:rsidR="00BA172C" w:rsidRPr="00B7364B" w:rsidRDefault="00BA172C" w:rsidP="00BA172C">
      <w:pPr>
        <w:spacing w:after="200"/>
        <w:outlineLvl w:val="5"/>
        <w:rPr>
          <w:rFonts w:eastAsia="Times New Roman"/>
          <w:bCs/>
          <w:sz w:val="20"/>
          <w:szCs w:val="22"/>
        </w:rPr>
      </w:pPr>
    </w:p>
    <w:p w14:paraId="7CF08816" w14:textId="77777777" w:rsidR="00BA172C" w:rsidRPr="00B7364B" w:rsidRDefault="00BA172C" w:rsidP="00BA172C">
      <w:pPr>
        <w:spacing w:after="200"/>
        <w:ind w:left="720"/>
        <w:rPr>
          <w:b/>
          <w:sz w:val="20"/>
        </w:rPr>
      </w:pPr>
      <w:r w:rsidRPr="00B7364B">
        <w:rPr>
          <w:b/>
          <w:sz w:val="20"/>
        </w:rPr>
        <w:lastRenderedPageBreak/>
        <w:t>Table 3 – International Countries</w:t>
      </w:r>
    </w:p>
    <w:tbl>
      <w:tblPr>
        <w:tblW w:w="882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5"/>
        <w:gridCol w:w="2205"/>
        <w:gridCol w:w="2205"/>
        <w:gridCol w:w="2205"/>
      </w:tblGrid>
      <w:tr w:rsidR="00BA172C" w:rsidRPr="00B7364B" w14:paraId="2BA3EE78" w14:textId="77777777" w:rsidTr="00B95821">
        <w:tc>
          <w:tcPr>
            <w:tcW w:w="2205" w:type="dxa"/>
            <w:shd w:val="clear" w:color="auto" w:fill="auto"/>
          </w:tcPr>
          <w:p w14:paraId="32A1ADE7" w14:textId="77777777" w:rsidR="00BA172C" w:rsidRPr="00B7364B" w:rsidRDefault="00BA172C" w:rsidP="00B95821">
            <w:pPr>
              <w:spacing w:before="100" w:after="100"/>
              <w:rPr>
                <w:b/>
                <w:sz w:val="20"/>
              </w:rPr>
            </w:pPr>
            <w:r w:rsidRPr="00B7364B">
              <w:rPr>
                <w:sz w:val="20"/>
              </w:rPr>
              <w:t>Austria</w:t>
            </w:r>
          </w:p>
        </w:tc>
        <w:tc>
          <w:tcPr>
            <w:tcW w:w="2205" w:type="dxa"/>
            <w:shd w:val="clear" w:color="auto" w:fill="auto"/>
          </w:tcPr>
          <w:p w14:paraId="7F993EC5" w14:textId="77777777" w:rsidR="00BA172C" w:rsidRPr="00B7364B" w:rsidRDefault="00BA172C" w:rsidP="00B95821">
            <w:pPr>
              <w:spacing w:before="100" w:after="100"/>
              <w:rPr>
                <w:b/>
                <w:sz w:val="20"/>
              </w:rPr>
            </w:pPr>
            <w:r w:rsidRPr="00B7364B">
              <w:rPr>
                <w:sz w:val="20"/>
              </w:rPr>
              <w:t>Bangladesh</w:t>
            </w:r>
          </w:p>
        </w:tc>
        <w:tc>
          <w:tcPr>
            <w:tcW w:w="2205" w:type="dxa"/>
            <w:shd w:val="clear" w:color="auto" w:fill="auto"/>
          </w:tcPr>
          <w:p w14:paraId="350A1330" w14:textId="77777777" w:rsidR="00BA172C" w:rsidRPr="00B7364B" w:rsidRDefault="00BA172C" w:rsidP="00B95821">
            <w:pPr>
              <w:spacing w:before="100" w:after="100"/>
              <w:rPr>
                <w:b/>
                <w:sz w:val="20"/>
              </w:rPr>
            </w:pPr>
            <w:r w:rsidRPr="00B7364B">
              <w:rPr>
                <w:sz w:val="20"/>
              </w:rPr>
              <w:t>Cambodia</w:t>
            </w:r>
          </w:p>
        </w:tc>
        <w:tc>
          <w:tcPr>
            <w:tcW w:w="2205" w:type="dxa"/>
            <w:shd w:val="clear" w:color="auto" w:fill="auto"/>
          </w:tcPr>
          <w:p w14:paraId="5E8EE995" w14:textId="77777777" w:rsidR="00BA172C" w:rsidRPr="00B7364B" w:rsidRDefault="00BA172C" w:rsidP="00B95821">
            <w:pPr>
              <w:spacing w:before="100" w:after="100"/>
              <w:rPr>
                <w:b/>
                <w:sz w:val="20"/>
              </w:rPr>
            </w:pPr>
            <w:r w:rsidRPr="00B7364B">
              <w:rPr>
                <w:sz w:val="20"/>
              </w:rPr>
              <w:t>Canada</w:t>
            </w:r>
          </w:p>
        </w:tc>
      </w:tr>
      <w:tr w:rsidR="00BA172C" w:rsidRPr="00B7364B" w14:paraId="3A1E4F43" w14:textId="77777777" w:rsidTr="00B95821">
        <w:tc>
          <w:tcPr>
            <w:tcW w:w="2205" w:type="dxa"/>
            <w:shd w:val="clear" w:color="auto" w:fill="auto"/>
          </w:tcPr>
          <w:p w14:paraId="4B00364D" w14:textId="77777777" w:rsidR="00BA172C" w:rsidRPr="00B7364B" w:rsidRDefault="00BA172C" w:rsidP="00B95821">
            <w:pPr>
              <w:spacing w:before="100" w:after="100"/>
              <w:rPr>
                <w:b/>
                <w:sz w:val="20"/>
              </w:rPr>
            </w:pPr>
            <w:r w:rsidRPr="00B7364B">
              <w:rPr>
                <w:sz w:val="20"/>
              </w:rPr>
              <w:t xml:space="preserve">Chile </w:t>
            </w:r>
          </w:p>
        </w:tc>
        <w:tc>
          <w:tcPr>
            <w:tcW w:w="2205" w:type="dxa"/>
            <w:shd w:val="clear" w:color="auto" w:fill="auto"/>
          </w:tcPr>
          <w:p w14:paraId="62301777" w14:textId="77777777" w:rsidR="00BA172C" w:rsidRPr="00B7364B" w:rsidRDefault="00BA172C" w:rsidP="00B95821">
            <w:pPr>
              <w:spacing w:before="100" w:after="100"/>
              <w:rPr>
                <w:b/>
                <w:sz w:val="20"/>
              </w:rPr>
            </w:pPr>
            <w:r w:rsidRPr="00B7364B">
              <w:rPr>
                <w:sz w:val="20"/>
              </w:rPr>
              <w:t xml:space="preserve">China </w:t>
            </w:r>
          </w:p>
        </w:tc>
        <w:tc>
          <w:tcPr>
            <w:tcW w:w="2205" w:type="dxa"/>
            <w:shd w:val="clear" w:color="auto" w:fill="auto"/>
          </w:tcPr>
          <w:p w14:paraId="6A0114DB" w14:textId="77777777" w:rsidR="00BA172C" w:rsidRPr="00B7364B" w:rsidRDefault="00BA172C" w:rsidP="00B95821">
            <w:pPr>
              <w:spacing w:before="100" w:after="100"/>
              <w:rPr>
                <w:b/>
                <w:sz w:val="20"/>
              </w:rPr>
            </w:pPr>
            <w:r w:rsidRPr="00B7364B">
              <w:rPr>
                <w:sz w:val="20"/>
              </w:rPr>
              <w:t xml:space="preserve">Croatia </w:t>
            </w:r>
          </w:p>
        </w:tc>
        <w:tc>
          <w:tcPr>
            <w:tcW w:w="2205" w:type="dxa"/>
            <w:shd w:val="clear" w:color="auto" w:fill="auto"/>
          </w:tcPr>
          <w:p w14:paraId="468A1397" w14:textId="77777777" w:rsidR="00BA172C" w:rsidRPr="00B7364B" w:rsidRDefault="00BA172C" w:rsidP="00B95821">
            <w:pPr>
              <w:spacing w:before="100" w:after="100"/>
              <w:rPr>
                <w:b/>
                <w:sz w:val="20"/>
              </w:rPr>
            </w:pPr>
            <w:r w:rsidRPr="00B7364B">
              <w:rPr>
                <w:sz w:val="20"/>
              </w:rPr>
              <w:t>France</w:t>
            </w:r>
          </w:p>
        </w:tc>
      </w:tr>
      <w:tr w:rsidR="00BA172C" w:rsidRPr="00B7364B" w14:paraId="01F2D3D0" w14:textId="77777777" w:rsidTr="00B95821">
        <w:tc>
          <w:tcPr>
            <w:tcW w:w="2205" w:type="dxa"/>
            <w:shd w:val="clear" w:color="auto" w:fill="auto"/>
          </w:tcPr>
          <w:p w14:paraId="37D39B27" w14:textId="77777777" w:rsidR="00BA172C" w:rsidRPr="00B7364B" w:rsidRDefault="00BA172C" w:rsidP="00B95821">
            <w:pPr>
              <w:spacing w:before="100" w:after="100"/>
              <w:rPr>
                <w:b/>
                <w:sz w:val="20"/>
              </w:rPr>
            </w:pPr>
            <w:r w:rsidRPr="00B7364B">
              <w:rPr>
                <w:sz w:val="20"/>
              </w:rPr>
              <w:t>Germany</w:t>
            </w:r>
          </w:p>
        </w:tc>
        <w:tc>
          <w:tcPr>
            <w:tcW w:w="2205" w:type="dxa"/>
            <w:shd w:val="clear" w:color="auto" w:fill="auto"/>
          </w:tcPr>
          <w:p w14:paraId="4BF3EA87" w14:textId="77777777" w:rsidR="00BA172C" w:rsidRPr="00B7364B" w:rsidRDefault="00BA172C" w:rsidP="00B95821">
            <w:pPr>
              <w:spacing w:before="100" w:after="100"/>
              <w:rPr>
                <w:b/>
                <w:sz w:val="20"/>
              </w:rPr>
            </w:pPr>
            <w:r w:rsidRPr="00B7364B">
              <w:rPr>
                <w:sz w:val="20"/>
              </w:rPr>
              <w:t>Greece</w:t>
            </w:r>
          </w:p>
        </w:tc>
        <w:tc>
          <w:tcPr>
            <w:tcW w:w="2205" w:type="dxa"/>
            <w:shd w:val="clear" w:color="auto" w:fill="auto"/>
          </w:tcPr>
          <w:p w14:paraId="67792232" w14:textId="77777777" w:rsidR="00BA172C" w:rsidRPr="00B7364B" w:rsidRDefault="00BA172C" w:rsidP="00B95821">
            <w:pPr>
              <w:spacing w:before="100" w:after="100"/>
              <w:rPr>
                <w:b/>
                <w:sz w:val="20"/>
              </w:rPr>
            </w:pPr>
            <w:r w:rsidRPr="00B7364B">
              <w:rPr>
                <w:sz w:val="20"/>
              </w:rPr>
              <w:t>Hong Kong</w:t>
            </w:r>
          </w:p>
        </w:tc>
        <w:tc>
          <w:tcPr>
            <w:tcW w:w="2205" w:type="dxa"/>
            <w:shd w:val="clear" w:color="auto" w:fill="auto"/>
          </w:tcPr>
          <w:p w14:paraId="2D21BA3F" w14:textId="77777777" w:rsidR="00BA172C" w:rsidRPr="00B7364B" w:rsidRDefault="00BA172C" w:rsidP="00B95821">
            <w:pPr>
              <w:spacing w:before="100" w:after="100"/>
              <w:rPr>
                <w:b/>
                <w:sz w:val="20"/>
              </w:rPr>
            </w:pPr>
            <w:r w:rsidRPr="00B7364B">
              <w:rPr>
                <w:sz w:val="20"/>
              </w:rPr>
              <w:t>Hungary</w:t>
            </w:r>
          </w:p>
        </w:tc>
      </w:tr>
      <w:tr w:rsidR="00BA172C" w:rsidRPr="00B7364B" w14:paraId="5C9EC7C4" w14:textId="77777777" w:rsidTr="00B95821">
        <w:tc>
          <w:tcPr>
            <w:tcW w:w="2205" w:type="dxa"/>
            <w:shd w:val="clear" w:color="auto" w:fill="auto"/>
          </w:tcPr>
          <w:p w14:paraId="5BB48CA1" w14:textId="77777777" w:rsidR="00BA172C" w:rsidRPr="00B7364B" w:rsidRDefault="00BA172C" w:rsidP="00B95821">
            <w:pPr>
              <w:spacing w:before="100" w:after="100"/>
              <w:rPr>
                <w:b/>
                <w:sz w:val="20"/>
              </w:rPr>
            </w:pPr>
            <w:r w:rsidRPr="00B7364B">
              <w:rPr>
                <w:sz w:val="20"/>
              </w:rPr>
              <w:t>Indonesia</w:t>
            </w:r>
          </w:p>
        </w:tc>
        <w:tc>
          <w:tcPr>
            <w:tcW w:w="2205" w:type="dxa"/>
            <w:shd w:val="clear" w:color="auto" w:fill="auto"/>
          </w:tcPr>
          <w:p w14:paraId="3883F3ED" w14:textId="77777777" w:rsidR="00BA172C" w:rsidRPr="00B7364B" w:rsidRDefault="00BA172C" w:rsidP="00B95821">
            <w:pPr>
              <w:spacing w:before="100" w:after="100"/>
              <w:rPr>
                <w:b/>
                <w:sz w:val="20"/>
              </w:rPr>
            </w:pPr>
            <w:r w:rsidRPr="00B7364B">
              <w:rPr>
                <w:sz w:val="20"/>
              </w:rPr>
              <w:t>India</w:t>
            </w:r>
          </w:p>
        </w:tc>
        <w:tc>
          <w:tcPr>
            <w:tcW w:w="2205" w:type="dxa"/>
            <w:shd w:val="clear" w:color="auto" w:fill="auto"/>
          </w:tcPr>
          <w:p w14:paraId="3931AA1C" w14:textId="77777777" w:rsidR="00BA172C" w:rsidRPr="00B7364B" w:rsidRDefault="00BA172C" w:rsidP="00B95821">
            <w:pPr>
              <w:spacing w:before="100" w:after="100"/>
              <w:rPr>
                <w:b/>
                <w:sz w:val="20"/>
              </w:rPr>
            </w:pPr>
            <w:r w:rsidRPr="00B7364B">
              <w:rPr>
                <w:sz w:val="20"/>
              </w:rPr>
              <w:t>Ireland</w:t>
            </w:r>
          </w:p>
        </w:tc>
        <w:tc>
          <w:tcPr>
            <w:tcW w:w="2205" w:type="dxa"/>
            <w:shd w:val="clear" w:color="auto" w:fill="auto"/>
          </w:tcPr>
          <w:p w14:paraId="4157B3F0" w14:textId="77777777" w:rsidR="00BA172C" w:rsidRPr="00B7364B" w:rsidRDefault="00BA172C" w:rsidP="00B95821">
            <w:pPr>
              <w:spacing w:before="100" w:after="100"/>
              <w:rPr>
                <w:b/>
                <w:sz w:val="20"/>
              </w:rPr>
            </w:pPr>
            <w:r w:rsidRPr="00B7364B">
              <w:rPr>
                <w:sz w:val="20"/>
              </w:rPr>
              <w:t>Italy</w:t>
            </w:r>
          </w:p>
        </w:tc>
      </w:tr>
      <w:tr w:rsidR="00BA172C" w:rsidRPr="00B7364B" w14:paraId="002260CB" w14:textId="77777777" w:rsidTr="00B95821">
        <w:tc>
          <w:tcPr>
            <w:tcW w:w="2205" w:type="dxa"/>
            <w:shd w:val="clear" w:color="auto" w:fill="auto"/>
          </w:tcPr>
          <w:p w14:paraId="52629247" w14:textId="77777777" w:rsidR="00BA172C" w:rsidRPr="00B7364B" w:rsidRDefault="00BA172C" w:rsidP="00B95821">
            <w:pPr>
              <w:spacing w:before="100" w:after="100"/>
              <w:rPr>
                <w:b/>
                <w:sz w:val="20"/>
              </w:rPr>
            </w:pPr>
            <w:r w:rsidRPr="00B7364B">
              <w:rPr>
                <w:sz w:val="20"/>
              </w:rPr>
              <w:t xml:space="preserve">Japan </w:t>
            </w:r>
          </w:p>
        </w:tc>
        <w:tc>
          <w:tcPr>
            <w:tcW w:w="2205" w:type="dxa"/>
            <w:shd w:val="clear" w:color="auto" w:fill="auto"/>
          </w:tcPr>
          <w:p w14:paraId="2A929319" w14:textId="77777777" w:rsidR="00BA172C" w:rsidRPr="00B7364B" w:rsidRDefault="00BA172C" w:rsidP="00B95821">
            <w:pPr>
              <w:spacing w:before="100" w:after="100"/>
              <w:rPr>
                <w:b/>
                <w:sz w:val="20"/>
              </w:rPr>
            </w:pPr>
            <w:r w:rsidRPr="00B7364B">
              <w:rPr>
                <w:sz w:val="20"/>
              </w:rPr>
              <w:t>Malaysia</w:t>
            </w:r>
          </w:p>
        </w:tc>
        <w:tc>
          <w:tcPr>
            <w:tcW w:w="2205" w:type="dxa"/>
            <w:shd w:val="clear" w:color="auto" w:fill="auto"/>
          </w:tcPr>
          <w:p w14:paraId="5421EFBC" w14:textId="77777777" w:rsidR="00BA172C" w:rsidRPr="00B7364B" w:rsidRDefault="00BA172C" w:rsidP="00B95821">
            <w:pPr>
              <w:spacing w:before="100" w:after="100"/>
              <w:rPr>
                <w:b/>
                <w:sz w:val="20"/>
              </w:rPr>
            </w:pPr>
            <w:r w:rsidRPr="00B7364B">
              <w:rPr>
                <w:sz w:val="20"/>
              </w:rPr>
              <w:t>Netherlands</w:t>
            </w:r>
          </w:p>
        </w:tc>
        <w:tc>
          <w:tcPr>
            <w:tcW w:w="2205" w:type="dxa"/>
            <w:shd w:val="clear" w:color="auto" w:fill="auto"/>
          </w:tcPr>
          <w:p w14:paraId="34F6EE57" w14:textId="77777777" w:rsidR="00BA172C" w:rsidRPr="00B7364B" w:rsidRDefault="00BA172C" w:rsidP="00B95821">
            <w:pPr>
              <w:spacing w:before="100" w:after="100"/>
              <w:rPr>
                <w:b/>
                <w:sz w:val="20"/>
              </w:rPr>
            </w:pPr>
            <w:r w:rsidRPr="00B7364B">
              <w:rPr>
                <w:sz w:val="20"/>
              </w:rPr>
              <w:t>New Zealand</w:t>
            </w:r>
          </w:p>
        </w:tc>
      </w:tr>
      <w:tr w:rsidR="00BA172C" w:rsidRPr="00B7364B" w14:paraId="604F4320" w14:textId="77777777" w:rsidTr="00B95821">
        <w:tc>
          <w:tcPr>
            <w:tcW w:w="2205" w:type="dxa"/>
            <w:shd w:val="clear" w:color="auto" w:fill="auto"/>
          </w:tcPr>
          <w:p w14:paraId="41E7EF6A" w14:textId="77777777" w:rsidR="00BA172C" w:rsidRPr="00B7364B" w:rsidRDefault="00BA172C" w:rsidP="00B95821">
            <w:pPr>
              <w:spacing w:before="100" w:after="100"/>
              <w:rPr>
                <w:b/>
                <w:sz w:val="20"/>
              </w:rPr>
            </w:pPr>
            <w:r w:rsidRPr="00B7364B">
              <w:rPr>
                <w:sz w:val="20"/>
              </w:rPr>
              <w:t xml:space="preserve">Pakistan </w:t>
            </w:r>
          </w:p>
        </w:tc>
        <w:tc>
          <w:tcPr>
            <w:tcW w:w="2205" w:type="dxa"/>
            <w:shd w:val="clear" w:color="auto" w:fill="auto"/>
          </w:tcPr>
          <w:p w14:paraId="79D87AAA" w14:textId="77777777" w:rsidR="00BA172C" w:rsidRPr="00B7364B" w:rsidRDefault="00BA172C" w:rsidP="00B95821">
            <w:pPr>
              <w:spacing w:before="100" w:after="100"/>
              <w:rPr>
                <w:b/>
                <w:sz w:val="20"/>
              </w:rPr>
            </w:pPr>
            <w:r w:rsidRPr="00B7364B">
              <w:rPr>
                <w:sz w:val="20"/>
              </w:rPr>
              <w:t>Philippines</w:t>
            </w:r>
          </w:p>
        </w:tc>
        <w:tc>
          <w:tcPr>
            <w:tcW w:w="2205" w:type="dxa"/>
            <w:shd w:val="clear" w:color="auto" w:fill="auto"/>
          </w:tcPr>
          <w:p w14:paraId="00E6CD17" w14:textId="77777777" w:rsidR="00BA172C" w:rsidRPr="00B7364B" w:rsidRDefault="00BA172C" w:rsidP="00B95821">
            <w:pPr>
              <w:spacing w:before="100" w:after="100"/>
              <w:rPr>
                <w:b/>
                <w:sz w:val="20"/>
              </w:rPr>
            </w:pPr>
            <w:r w:rsidRPr="00B7364B">
              <w:rPr>
                <w:sz w:val="20"/>
              </w:rPr>
              <w:t xml:space="preserve">Poland </w:t>
            </w:r>
          </w:p>
        </w:tc>
        <w:tc>
          <w:tcPr>
            <w:tcW w:w="2205" w:type="dxa"/>
            <w:shd w:val="clear" w:color="auto" w:fill="auto"/>
          </w:tcPr>
          <w:p w14:paraId="31568C40" w14:textId="77777777" w:rsidR="00BA172C" w:rsidRPr="00B7364B" w:rsidRDefault="00BA172C" w:rsidP="00B95821">
            <w:pPr>
              <w:spacing w:before="100" w:after="100"/>
              <w:rPr>
                <w:b/>
                <w:sz w:val="20"/>
              </w:rPr>
            </w:pPr>
            <w:r w:rsidRPr="00B7364B">
              <w:rPr>
                <w:sz w:val="20"/>
              </w:rPr>
              <w:t>Singapore</w:t>
            </w:r>
          </w:p>
        </w:tc>
      </w:tr>
      <w:tr w:rsidR="00BA172C" w:rsidRPr="00B7364B" w14:paraId="1DFBBFFC" w14:textId="77777777" w:rsidTr="00B95821">
        <w:tc>
          <w:tcPr>
            <w:tcW w:w="2205" w:type="dxa"/>
            <w:shd w:val="clear" w:color="auto" w:fill="auto"/>
          </w:tcPr>
          <w:p w14:paraId="5BCEF9BA" w14:textId="77777777" w:rsidR="00BA172C" w:rsidRPr="00B7364B" w:rsidRDefault="00BA172C" w:rsidP="00B95821">
            <w:pPr>
              <w:spacing w:before="100" w:after="100"/>
              <w:rPr>
                <w:b/>
                <w:sz w:val="20"/>
              </w:rPr>
            </w:pPr>
            <w:r w:rsidRPr="00B7364B">
              <w:rPr>
                <w:sz w:val="20"/>
              </w:rPr>
              <w:t xml:space="preserve">South Africa </w:t>
            </w:r>
          </w:p>
        </w:tc>
        <w:tc>
          <w:tcPr>
            <w:tcW w:w="2205" w:type="dxa"/>
            <w:shd w:val="clear" w:color="auto" w:fill="auto"/>
          </w:tcPr>
          <w:p w14:paraId="2E4F47A9" w14:textId="77777777" w:rsidR="00BA172C" w:rsidRPr="00B7364B" w:rsidRDefault="00BA172C" w:rsidP="00B95821">
            <w:pPr>
              <w:spacing w:before="100" w:after="100"/>
              <w:rPr>
                <w:b/>
                <w:sz w:val="20"/>
              </w:rPr>
            </w:pPr>
            <w:r w:rsidRPr="00B7364B">
              <w:rPr>
                <w:sz w:val="20"/>
              </w:rPr>
              <w:t>South Korea</w:t>
            </w:r>
          </w:p>
        </w:tc>
        <w:tc>
          <w:tcPr>
            <w:tcW w:w="2205" w:type="dxa"/>
            <w:shd w:val="clear" w:color="auto" w:fill="auto"/>
          </w:tcPr>
          <w:p w14:paraId="327CF83C" w14:textId="77777777" w:rsidR="00BA172C" w:rsidRPr="00B7364B" w:rsidRDefault="00BA172C" w:rsidP="00B95821">
            <w:pPr>
              <w:spacing w:before="100" w:after="100"/>
              <w:rPr>
                <w:b/>
                <w:sz w:val="20"/>
              </w:rPr>
            </w:pPr>
            <w:r w:rsidRPr="00B7364B">
              <w:rPr>
                <w:sz w:val="20"/>
              </w:rPr>
              <w:t xml:space="preserve">Taiwan </w:t>
            </w:r>
          </w:p>
        </w:tc>
        <w:tc>
          <w:tcPr>
            <w:tcW w:w="2205" w:type="dxa"/>
            <w:shd w:val="clear" w:color="auto" w:fill="auto"/>
          </w:tcPr>
          <w:p w14:paraId="7F4BE777" w14:textId="77777777" w:rsidR="00BA172C" w:rsidRPr="00B7364B" w:rsidRDefault="00BA172C" w:rsidP="00B95821">
            <w:pPr>
              <w:spacing w:before="100" w:after="100"/>
              <w:rPr>
                <w:b/>
                <w:sz w:val="20"/>
              </w:rPr>
            </w:pPr>
            <w:r w:rsidRPr="00B7364B">
              <w:rPr>
                <w:sz w:val="20"/>
              </w:rPr>
              <w:t>Thailand</w:t>
            </w:r>
          </w:p>
        </w:tc>
      </w:tr>
      <w:tr w:rsidR="00BA172C" w:rsidRPr="00B7364B" w14:paraId="4F6BE5B2" w14:textId="77777777" w:rsidTr="00B95821">
        <w:tc>
          <w:tcPr>
            <w:tcW w:w="2205" w:type="dxa"/>
            <w:shd w:val="clear" w:color="auto" w:fill="auto"/>
          </w:tcPr>
          <w:p w14:paraId="5E00F4D8" w14:textId="77777777" w:rsidR="00BA172C" w:rsidRPr="00B7364B" w:rsidRDefault="00BA172C" w:rsidP="00B95821">
            <w:pPr>
              <w:spacing w:before="100" w:after="100"/>
              <w:rPr>
                <w:b/>
                <w:sz w:val="20"/>
              </w:rPr>
            </w:pPr>
            <w:r w:rsidRPr="00B7364B">
              <w:rPr>
                <w:sz w:val="20"/>
              </w:rPr>
              <w:t>Turkey</w:t>
            </w:r>
          </w:p>
        </w:tc>
        <w:tc>
          <w:tcPr>
            <w:tcW w:w="2205" w:type="dxa"/>
            <w:shd w:val="clear" w:color="auto" w:fill="auto"/>
          </w:tcPr>
          <w:p w14:paraId="65BDFB8D" w14:textId="77777777" w:rsidR="00BA172C" w:rsidRPr="00B7364B" w:rsidRDefault="00BA172C" w:rsidP="00B95821">
            <w:pPr>
              <w:spacing w:before="100" w:after="100"/>
              <w:rPr>
                <w:b/>
                <w:sz w:val="20"/>
              </w:rPr>
            </w:pPr>
            <w:r w:rsidRPr="00B7364B">
              <w:rPr>
                <w:sz w:val="20"/>
              </w:rPr>
              <w:t>United Kingdom</w:t>
            </w:r>
          </w:p>
        </w:tc>
        <w:tc>
          <w:tcPr>
            <w:tcW w:w="2205" w:type="dxa"/>
            <w:shd w:val="clear" w:color="auto" w:fill="auto"/>
          </w:tcPr>
          <w:p w14:paraId="44683E71" w14:textId="77777777" w:rsidR="00BA172C" w:rsidRPr="00B7364B" w:rsidRDefault="00BA172C" w:rsidP="00B95821">
            <w:pPr>
              <w:spacing w:before="100" w:after="100"/>
              <w:rPr>
                <w:b/>
                <w:sz w:val="20"/>
              </w:rPr>
            </w:pPr>
            <w:r w:rsidRPr="00B7364B">
              <w:rPr>
                <w:sz w:val="20"/>
              </w:rPr>
              <w:t xml:space="preserve">USA </w:t>
            </w:r>
          </w:p>
        </w:tc>
        <w:tc>
          <w:tcPr>
            <w:tcW w:w="2205" w:type="dxa"/>
            <w:shd w:val="clear" w:color="auto" w:fill="auto"/>
          </w:tcPr>
          <w:p w14:paraId="6E30564E" w14:textId="77777777" w:rsidR="00BA172C" w:rsidRPr="00B7364B" w:rsidRDefault="00BA172C" w:rsidP="00B95821">
            <w:pPr>
              <w:spacing w:before="100" w:after="100"/>
              <w:rPr>
                <w:b/>
                <w:sz w:val="20"/>
              </w:rPr>
            </w:pPr>
            <w:r w:rsidRPr="00B7364B">
              <w:rPr>
                <w:sz w:val="20"/>
              </w:rPr>
              <w:t>Vietnam</w:t>
            </w:r>
          </w:p>
        </w:tc>
      </w:tr>
    </w:tbl>
    <w:p w14:paraId="7957C523" w14:textId="77777777" w:rsidR="00BA172C" w:rsidRPr="00B7364B" w:rsidRDefault="00BA172C" w:rsidP="00BA172C"/>
    <w:p w14:paraId="3732CA00" w14:textId="77777777" w:rsidR="00BA172C" w:rsidRDefault="00BA172C" w:rsidP="00BA172C"/>
    <w:p w14:paraId="327C2643" w14:textId="77777777" w:rsidR="00BA172C" w:rsidRPr="00B7364B" w:rsidRDefault="00BA172C" w:rsidP="00BA172C"/>
    <w:p w14:paraId="5FD49E06" w14:textId="77777777" w:rsidR="00BA172C" w:rsidRPr="00B7364B" w:rsidRDefault="00BA172C" w:rsidP="00BA172C">
      <w:pPr>
        <w:numPr>
          <w:ilvl w:val="5"/>
          <w:numId w:val="1"/>
        </w:numPr>
        <w:spacing w:after="200"/>
        <w:outlineLvl w:val="5"/>
        <w:rPr>
          <w:rFonts w:eastAsia="Times New Roman"/>
          <w:bCs/>
          <w:sz w:val="20"/>
          <w:szCs w:val="22"/>
        </w:rPr>
      </w:pPr>
      <w:bookmarkStart w:id="1835" w:name="_Toc479674746"/>
      <w:r w:rsidRPr="00B7364B">
        <w:rPr>
          <w:rFonts w:eastAsia="Times New Roman"/>
          <w:bCs/>
          <w:sz w:val="20"/>
          <w:szCs w:val="22"/>
        </w:rPr>
        <w:t>My Account</w:t>
      </w:r>
      <w:bookmarkEnd w:id="1835"/>
    </w:p>
    <w:p w14:paraId="7ABF232B" w14:textId="77777777" w:rsidR="00BA172C" w:rsidRPr="00B7364B" w:rsidRDefault="00BA172C" w:rsidP="00BA172C">
      <w:pPr>
        <w:spacing w:after="200"/>
        <w:ind w:left="720"/>
        <w:rPr>
          <w:sz w:val="20"/>
        </w:rPr>
      </w:pPr>
      <w:r w:rsidRPr="00B7364B">
        <w:rPr>
          <w:sz w:val="20"/>
        </w:rPr>
        <w:t xml:space="preserve">Services that share data may have a service login to My Account which will display all of the service numbers contributing to or using the shared data pool on </w:t>
      </w:r>
      <w:r w:rsidRPr="00B7364B">
        <w:rPr>
          <w:i/>
          <w:sz w:val="20"/>
        </w:rPr>
        <w:t xml:space="preserve">your </w:t>
      </w:r>
      <w:r w:rsidRPr="00B7364B">
        <w:rPr>
          <w:sz w:val="20"/>
        </w:rPr>
        <w:t xml:space="preserve">account and the amount of data each service has used. If </w:t>
      </w:r>
      <w:r w:rsidRPr="00B7364B">
        <w:rPr>
          <w:i/>
          <w:sz w:val="20"/>
        </w:rPr>
        <w:t>you</w:t>
      </w:r>
      <w:r w:rsidRPr="00B7364B">
        <w:rPr>
          <w:sz w:val="20"/>
        </w:rPr>
        <w:t xml:space="preserve"> have more than 6 services on </w:t>
      </w:r>
      <w:r w:rsidRPr="00B7364B">
        <w:rPr>
          <w:i/>
          <w:sz w:val="20"/>
        </w:rPr>
        <w:t xml:space="preserve">your </w:t>
      </w:r>
      <w:r w:rsidRPr="00B7364B">
        <w:rPr>
          <w:sz w:val="20"/>
        </w:rPr>
        <w:t xml:space="preserve">account, My Account may not be suitable for viewing usage and managing </w:t>
      </w:r>
      <w:r w:rsidRPr="00B7364B">
        <w:rPr>
          <w:i/>
          <w:sz w:val="20"/>
        </w:rPr>
        <w:t xml:space="preserve">your </w:t>
      </w:r>
      <w:r w:rsidRPr="00B7364B">
        <w:rPr>
          <w:sz w:val="20"/>
        </w:rPr>
        <w:t>usage alerts.</w:t>
      </w:r>
    </w:p>
    <w:p w14:paraId="11B52468" w14:textId="77777777" w:rsidR="00BA172C" w:rsidRPr="00B7364B" w:rsidRDefault="00BA172C" w:rsidP="00BA172C">
      <w:pPr>
        <w:numPr>
          <w:ilvl w:val="5"/>
          <w:numId w:val="1"/>
        </w:numPr>
        <w:spacing w:after="200"/>
        <w:outlineLvl w:val="5"/>
        <w:rPr>
          <w:rFonts w:eastAsia="Times New Roman" w:cs="Arial"/>
          <w:sz w:val="20"/>
          <w:szCs w:val="20"/>
          <w:lang w:val="en-AU"/>
        </w:rPr>
      </w:pPr>
      <w:r w:rsidRPr="00B7364B">
        <w:rPr>
          <w:rFonts w:eastAsia="Times New Roman" w:cs="Arial"/>
          <w:sz w:val="20"/>
          <w:szCs w:val="20"/>
          <w:lang w:val="en-AU"/>
        </w:rPr>
        <w:t xml:space="preserve">What happens if the </w:t>
      </w:r>
      <w:r w:rsidRPr="00B7364B">
        <w:rPr>
          <w:rFonts w:eastAsia="Times New Roman" w:cs="Arial"/>
          <w:i/>
          <w:sz w:val="20"/>
          <w:szCs w:val="20"/>
          <w:lang w:val="en-AU"/>
        </w:rPr>
        <w:t xml:space="preserve">service </w:t>
      </w:r>
      <w:r w:rsidRPr="00B7364B">
        <w:rPr>
          <w:rFonts w:eastAsia="Times New Roman" w:cs="Arial"/>
          <w:sz w:val="20"/>
          <w:szCs w:val="20"/>
          <w:lang w:val="en-AU"/>
        </w:rPr>
        <w:t>is</w:t>
      </w:r>
      <w:r w:rsidRPr="00B7364B">
        <w:rPr>
          <w:rFonts w:eastAsia="Times New Roman" w:cs="Arial"/>
          <w:i/>
          <w:sz w:val="20"/>
          <w:szCs w:val="20"/>
          <w:lang w:val="en-AU"/>
        </w:rPr>
        <w:t xml:space="preserve"> cancelled </w:t>
      </w:r>
      <w:r w:rsidRPr="00B7364B">
        <w:rPr>
          <w:rFonts w:eastAsia="Times New Roman" w:cs="Arial"/>
          <w:sz w:val="20"/>
          <w:szCs w:val="20"/>
          <w:lang w:val="en-AU"/>
        </w:rPr>
        <w:t xml:space="preserve">early? </w:t>
      </w:r>
    </w:p>
    <w:p w14:paraId="6D425FF4" w14:textId="77777777" w:rsidR="00BA172C" w:rsidRPr="00B7364B" w:rsidRDefault="00BA172C" w:rsidP="00BA172C">
      <w:pPr>
        <w:numPr>
          <w:ilvl w:val="6"/>
          <w:numId w:val="1"/>
        </w:numPr>
        <w:spacing w:after="200"/>
        <w:ind w:left="1440"/>
        <w:outlineLvl w:val="6"/>
        <w:rPr>
          <w:rFonts w:eastAsia="Times New Roman" w:cs="Arial"/>
          <w:sz w:val="20"/>
          <w:szCs w:val="20"/>
          <w:lang w:val="en-AU"/>
        </w:rPr>
      </w:pPr>
      <w:r w:rsidRPr="00B7364B">
        <w:rPr>
          <w:rFonts w:eastAsia="Times New Roman" w:cs="Arial"/>
          <w:sz w:val="20"/>
          <w:szCs w:val="20"/>
          <w:lang w:val="en-AU"/>
        </w:rPr>
        <w:t>If the</w:t>
      </w:r>
      <w:r w:rsidRPr="00B7364B">
        <w:rPr>
          <w:rFonts w:eastAsia="Times New Roman" w:cs="Arial"/>
          <w:i/>
          <w:sz w:val="20"/>
          <w:szCs w:val="20"/>
          <w:lang w:val="en-AU"/>
        </w:rPr>
        <w:t xml:space="preserve"> service</w:t>
      </w:r>
      <w:r w:rsidRPr="00B7364B">
        <w:rPr>
          <w:rFonts w:eastAsia="Times New Roman" w:cs="Arial"/>
          <w:sz w:val="20"/>
          <w:szCs w:val="20"/>
          <w:lang w:val="en-AU"/>
        </w:rPr>
        <w:t xml:space="preserve"> is</w:t>
      </w:r>
      <w:r w:rsidRPr="00B7364B">
        <w:rPr>
          <w:rFonts w:eastAsia="Times New Roman" w:cs="Arial"/>
          <w:i/>
          <w:sz w:val="20"/>
          <w:szCs w:val="20"/>
          <w:lang w:val="en-AU"/>
        </w:rPr>
        <w:t xml:space="preserve"> cancelled </w:t>
      </w:r>
      <w:r w:rsidRPr="00B7364B">
        <w:rPr>
          <w:rFonts w:eastAsia="Times New Roman" w:cs="Arial"/>
          <w:sz w:val="20"/>
          <w:szCs w:val="20"/>
          <w:lang w:val="en-AU"/>
        </w:rPr>
        <w:t xml:space="preserve">before the end of </w:t>
      </w:r>
      <w:r w:rsidRPr="00B7364B">
        <w:rPr>
          <w:rFonts w:eastAsia="Times New Roman" w:cs="Arial"/>
          <w:i/>
          <w:sz w:val="20"/>
          <w:szCs w:val="20"/>
          <w:lang w:val="en-AU"/>
        </w:rPr>
        <w:t xml:space="preserve">your minimum term, you </w:t>
      </w:r>
      <w:r w:rsidRPr="00B7364B">
        <w:rPr>
          <w:rFonts w:eastAsia="Times New Roman" w:cs="Arial"/>
          <w:sz w:val="20"/>
          <w:szCs w:val="20"/>
          <w:lang w:val="en-AU"/>
        </w:rPr>
        <w:t xml:space="preserve">will be required to pay </w:t>
      </w:r>
      <w:r w:rsidRPr="00B7364B">
        <w:rPr>
          <w:rFonts w:eastAsia="Times New Roman" w:cs="Arial"/>
          <w:i/>
          <w:sz w:val="20"/>
          <w:szCs w:val="20"/>
          <w:lang w:val="en-AU"/>
        </w:rPr>
        <w:t>us</w:t>
      </w:r>
      <w:r w:rsidRPr="00B7364B">
        <w:rPr>
          <w:rFonts w:eastAsia="Times New Roman" w:cs="Arial"/>
          <w:sz w:val="20"/>
          <w:szCs w:val="20"/>
          <w:lang w:val="en-AU"/>
        </w:rPr>
        <w:t>:</w:t>
      </w:r>
    </w:p>
    <w:p w14:paraId="2667F9FF" w14:textId="77777777" w:rsidR="00BA172C" w:rsidRPr="00B7364B" w:rsidRDefault="00BA172C" w:rsidP="00BA172C">
      <w:pPr>
        <w:numPr>
          <w:ilvl w:val="7"/>
          <w:numId w:val="1"/>
        </w:numPr>
        <w:spacing w:after="200"/>
        <w:outlineLvl w:val="7"/>
        <w:rPr>
          <w:rFonts w:eastAsia="Times New Roman" w:cs="Arial"/>
          <w:sz w:val="20"/>
          <w:szCs w:val="20"/>
          <w:lang w:val="en-AU"/>
        </w:rPr>
      </w:pPr>
      <w:r w:rsidRPr="00B7364B">
        <w:rPr>
          <w:rFonts w:eastAsia="Times New Roman" w:cs="Arial"/>
          <w:sz w:val="20"/>
          <w:szCs w:val="20"/>
          <w:lang w:val="en-AU"/>
        </w:rPr>
        <w:t xml:space="preserve">any usage charges incurred up to, and including, the </w:t>
      </w:r>
      <w:r w:rsidRPr="00B7364B">
        <w:rPr>
          <w:rFonts w:eastAsia="Times New Roman" w:cs="Arial"/>
          <w:i/>
          <w:sz w:val="20"/>
          <w:szCs w:val="20"/>
          <w:lang w:val="en-AU"/>
        </w:rPr>
        <w:t xml:space="preserve">cancellation date; </w:t>
      </w:r>
      <w:r w:rsidRPr="00B7364B">
        <w:rPr>
          <w:rFonts w:eastAsia="Times New Roman" w:cs="Arial"/>
          <w:sz w:val="20"/>
          <w:szCs w:val="20"/>
          <w:lang w:val="en-AU"/>
        </w:rPr>
        <w:t>plus</w:t>
      </w:r>
    </w:p>
    <w:p w14:paraId="7DEE63E8" w14:textId="77777777" w:rsidR="00BA172C" w:rsidRPr="00B7364B" w:rsidRDefault="00BA172C" w:rsidP="00BA172C">
      <w:pPr>
        <w:numPr>
          <w:ilvl w:val="7"/>
          <w:numId w:val="1"/>
        </w:numPr>
        <w:spacing w:after="200"/>
        <w:outlineLvl w:val="7"/>
        <w:rPr>
          <w:rFonts w:eastAsia="Times New Roman" w:cs="Arial"/>
          <w:sz w:val="20"/>
          <w:szCs w:val="20"/>
          <w:lang w:val="en-AU"/>
        </w:rPr>
      </w:pPr>
      <w:r w:rsidRPr="00B7364B">
        <w:rPr>
          <w:rFonts w:eastAsia="Times New Roman" w:cs="Arial"/>
          <w:sz w:val="20"/>
          <w:szCs w:val="20"/>
          <w:lang w:val="en-AU"/>
        </w:rPr>
        <w:t xml:space="preserve">the sum of unpaid </w:t>
      </w:r>
      <w:r w:rsidRPr="00B7364B">
        <w:rPr>
          <w:rFonts w:eastAsia="Times New Roman" w:cs="Arial"/>
          <w:i/>
          <w:sz w:val="20"/>
          <w:szCs w:val="20"/>
          <w:lang w:val="en-AU"/>
        </w:rPr>
        <w:t xml:space="preserve">equipment charges </w:t>
      </w:r>
      <w:r w:rsidRPr="00B7364B">
        <w:rPr>
          <w:rFonts w:eastAsia="Times New Roman" w:cs="Arial"/>
          <w:sz w:val="20"/>
          <w:szCs w:val="20"/>
          <w:lang w:val="en-AU"/>
        </w:rPr>
        <w:t xml:space="preserve">owing on </w:t>
      </w:r>
      <w:r w:rsidRPr="00B7364B">
        <w:rPr>
          <w:rFonts w:eastAsia="Times New Roman" w:cs="Arial"/>
          <w:i/>
          <w:sz w:val="20"/>
          <w:szCs w:val="20"/>
          <w:lang w:val="en-AU"/>
        </w:rPr>
        <w:t xml:space="preserve">your mobile phone </w:t>
      </w:r>
      <w:r w:rsidRPr="00B7364B">
        <w:rPr>
          <w:rFonts w:eastAsia="Times New Roman" w:cs="Arial"/>
          <w:sz w:val="20"/>
          <w:szCs w:val="20"/>
          <w:lang w:val="en-AU"/>
        </w:rPr>
        <w:t xml:space="preserve">under the </w:t>
      </w:r>
      <w:r w:rsidRPr="00B7364B">
        <w:rPr>
          <w:rFonts w:eastAsia="Times New Roman" w:cs="Arial"/>
          <w:i/>
          <w:sz w:val="20"/>
          <w:szCs w:val="20"/>
          <w:lang w:val="en-AU"/>
        </w:rPr>
        <w:t xml:space="preserve">mobile equipment payment plan </w:t>
      </w:r>
      <w:r w:rsidRPr="00B7364B">
        <w:rPr>
          <w:rFonts w:eastAsia="Times New Roman" w:cs="Arial"/>
          <w:sz w:val="20"/>
          <w:szCs w:val="20"/>
          <w:lang w:val="en-AU"/>
        </w:rPr>
        <w:t xml:space="preserve">(if any). </w:t>
      </w:r>
    </w:p>
    <w:p w14:paraId="3D7BA4EE" w14:textId="77777777" w:rsidR="00BA172C" w:rsidRPr="00801DBA" w:rsidRDefault="00BA172C" w:rsidP="00BA172C">
      <w:pPr>
        <w:numPr>
          <w:ilvl w:val="6"/>
          <w:numId w:val="1"/>
        </w:numPr>
        <w:spacing w:after="200"/>
        <w:ind w:left="1440"/>
        <w:outlineLvl w:val="6"/>
        <w:rPr>
          <w:rFonts w:eastAsia="Times New Roman" w:cs="Arial"/>
          <w:sz w:val="20"/>
          <w:szCs w:val="20"/>
          <w:lang w:val="en-AU"/>
        </w:rPr>
      </w:pPr>
      <w:r w:rsidRPr="00B7364B">
        <w:rPr>
          <w:rFonts w:eastAsia="Times New Roman" w:cs="Arial"/>
          <w:sz w:val="20"/>
          <w:szCs w:val="20"/>
          <w:lang w:val="en-AU"/>
        </w:rPr>
        <w:t xml:space="preserve">The </w:t>
      </w:r>
      <w:r w:rsidRPr="00B7364B">
        <w:rPr>
          <w:rFonts w:eastAsia="Times New Roman" w:cs="Arial"/>
          <w:i/>
          <w:sz w:val="20"/>
          <w:szCs w:val="20"/>
          <w:lang w:val="en-AU"/>
        </w:rPr>
        <w:t>cancellation fee</w:t>
      </w:r>
      <w:r w:rsidRPr="00B7364B">
        <w:rPr>
          <w:rFonts w:eastAsia="Times New Roman" w:cs="Arial"/>
          <w:sz w:val="20"/>
          <w:szCs w:val="20"/>
          <w:lang w:val="en-AU"/>
        </w:rPr>
        <w:t xml:space="preserve"> is calculated as the following amounts, multiplied by the months remaining on </w:t>
      </w:r>
      <w:r w:rsidRPr="00B7364B">
        <w:rPr>
          <w:rFonts w:eastAsia="Times New Roman" w:cs="Arial"/>
          <w:i/>
          <w:sz w:val="20"/>
          <w:szCs w:val="20"/>
          <w:lang w:val="en-AU"/>
        </w:rPr>
        <w:t>your minimum term</w:t>
      </w:r>
      <w:r w:rsidRPr="00B7364B">
        <w:rPr>
          <w:rFonts w:eastAsia="Times New Roman" w:cs="Arial"/>
          <w:sz w:val="20"/>
          <w:szCs w:val="20"/>
          <w:lang w:val="en-AU"/>
        </w:rPr>
        <w:t>:</w:t>
      </w: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5528"/>
      </w:tblGrid>
      <w:tr w:rsidR="00BA172C" w:rsidRPr="00B7364B" w14:paraId="07174BC6" w14:textId="77777777" w:rsidTr="00B95821">
        <w:trPr>
          <w:trHeight w:val="668"/>
        </w:trPr>
        <w:tc>
          <w:tcPr>
            <w:tcW w:w="3119" w:type="dxa"/>
            <w:shd w:val="clear" w:color="auto" w:fill="auto"/>
            <w:vAlign w:val="center"/>
          </w:tcPr>
          <w:p w14:paraId="4B731CCC" w14:textId="77777777" w:rsidR="00BA172C" w:rsidRPr="00B7364B" w:rsidRDefault="00BA172C" w:rsidP="00B95821">
            <w:pPr>
              <w:jc w:val="center"/>
              <w:rPr>
                <w:rFonts w:eastAsia="Calibri" w:cs="Arial"/>
                <w:b/>
                <w:sz w:val="20"/>
                <w:szCs w:val="20"/>
              </w:rPr>
            </w:pPr>
          </w:p>
        </w:tc>
        <w:tc>
          <w:tcPr>
            <w:tcW w:w="5528" w:type="dxa"/>
          </w:tcPr>
          <w:p w14:paraId="1A248BE3" w14:textId="77777777" w:rsidR="00BA172C" w:rsidRPr="00B7364B" w:rsidRDefault="00BA172C" w:rsidP="00B95821">
            <w:pPr>
              <w:jc w:val="center"/>
              <w:rPr>
                <w:rFonts w:cs="Arial"/>
                <w:b/>
                <w:sz w:val="20"/>
                <w:szCs w:val="20"/>
              </w:rPr>
            </w:pPr>
            <w:r w:rsidRPr="00B7364B">
              <w:rPr>
                <w:b/>
              </w:rPr>
              <w:t>$40 My Plan Business</w:t>
            </w:r>
          </w:p>
        </w:tc>
      </w:tr>
      <w:tr w:rsidR="00BA172C" w:rsidRPr="00B7364B" w14:paraId="460FAEAD" w14:textId="77777777" w:rsidTr="00B95821">
        <w:trPr>
          <w:trHeight w:val="275"/>
        </w:trPr>
        <w:tc>
          <w:tcPr>
            <w:tcW w:w="3119" w:type="dxa"/>
            <w:shd w:val="clear" w:color="auto" w:fill="auto"/>
            <w:vAlign w:val="center"/>
          </w:tcPr>
          <w:p w14:paraId="23C2A946" w14:textId="77777777" w:rsidR="00BA172C" w:rsidRPr="00B7364B" w:rsidRDefault="00BA172C" w:rsidP="00B95821">
            <w:pPr>
              <w:spacing w:after="200" w:line="276" w:lineRule="auto"/>
              <w:jc w:val="center"/>
              <w:rPr>
                <w:rFonts w:eastAsia="Calibri" w:cs="Arial"/>
                <w:sz w:val="20"/>
                <w:szCs w:val="20"/>
              </w:rPr>
            </w:pPr>
            <w:r w:rsidRPr="00B7364B">
              <w:rPr>
                <w:rFonts w:eastAsia="Calibri" w:cs="Arial"/>
                <w:b/>
                <w:bCs/>
                <w:sz w:val="20"/>
                <w:szCs w:val="20"/>
              </w:rPr>
              <w:t>Cancellation Fee</w:t>
            </w:r>
          </w:p>
        </w:tc>
        <w:tc>
          <w:tcPr>
            <w:tcW w:w="5528" w:type="dxa"/>
          </w:tcPr>
          <w:p w14:paraId="7DE49AB3" w14:textId="77777777" w:rsidR="00BA172C" w:rsidRPr="00B7364B" w:rsidRDefault="00BA172C" w:rsidP="00BA172C">
            <w:pPr>
              <w:numPr>
                <w:ilvl w:val="6"/>
                <w:numId w:val="66"/>
              </w:numPr>
              <w:ind w:left="34"/>
              <w:jc w:val="center"/>
              <w:rPr>
                <w:rFonts w:cs="Arial"/>
                <w:sz w:val="20"/>
                <w:szCs w:val="20"/>
              </w:rPr>
            </w:pPr>
            <w:r w:rsidRPr="00B7364B">
              <w:rPr>
                <w:rFonts w:cs="Arial"/>
                <w:sz w:val="20"/>
                <w:szCs w:val="20"/>
              </w:rPr>
              <w:t>$12 x Months remaining</w:t>
            </w:r>
          </w:p>
        </w:tc>
      </w:tr>
      <w:tr w:rsidR="00BA172C" w:rsidRPr="00B7364B" w14:paraId="5605B480" w14:textId="77777777" w:rsidTr="00B95821">
        <w:trPr>
          <w:trHeight w:val="530"/>
        </w:trPr>
        <w:tc>
          <w:tcPr>
            <w:tcW w:w="3119" w:type="dxa"/>
            <w:shd w:val="clear" w:color="auto" w:fill="auto"/>
            <w:vAlign w:val="center"/>
          </w:tcPr>
          <w:p w14:paraId="62AD012E" w14:textId="77777777" w:rsidR="00BA172C" w:rsidRPr="00B7364B" w:rsidRDefault="00BA172C" w:rsidP="00B95821">
            <w:pPr>
              <w:spacing w:after="200" w:line="276" w:lineRule="auto"/>
              <w:jc w:val="center"/>
              <w:rPr>
                <w:rFonts w:eastAsia="Calibri" w:cs="Arial"/>
                <w:b/>
                <w:bCs/>
                <w:sz w:val="20"/>
                <w:szCs w:val="20"/>
              </w:rPr>
            </w:pPr>
            <w:r w:rsidRPr="00B7364B">
              <w:rPr>
                <w:rFonts w:eastAsia="Calibri" w:cs="Arial"/>
                <w:b/>
                <w:bCs/>
                <w:sz w:val="20"/>
                <w:szCs w:val="20"/>
              </w:rPr>
              <w:t>Maximum Cancellation Fee</w:t>
            </w:r>
          </w:p>
        </w:tc>
        <w:tc>
          <w:tcPr>
            <w:tcW w:w="5528" w:type="dxa"/>
            <w:vAlign w:val="center"/>
          </w:tcPr>
          <w:p w14:paraId="221335DA" w14:textId="77777777" w:rsidR="00BA172C" w:rsidRPr="00B7364B" w:rsidRDefault="00BA172C" w:rsidP="00B95821">
            <w:pPr>
              <w:ind w:left="34"/>
              <w:jc w:val="center"/>
              <w:rPr>
                <w:rFonts w:eastAsia="Calibri" w:cs="Arial"/>
                <w:sz w:val="20"/>
                <w:szCs w:val="20"/>
              </w:rPr>
            </w:pPr>
            <w:r w:rsidRPr="00B7364B">
              <w:rPr>
                <w:rFonts w:eastAsia="Calibri" w:cs="Arial"/>
                <w:sz w:val="20"/>
                <w:szCs w:val="20"/>
              </w:rPr>
              <w:t>$144</w:t>
            </w:r>
          </w:p>
        </w:tc>
      </w:tr>
    </w:tbl>
    <w:p w14:paraId="33EA7734" w14:textId="77777777" w:rsidR="00BA172C" w:rsidRPr="00B7364B" w:rsidRDefault="00BA172C" w:rsidP="00BA172C">
      <w:pPr>
        <w:tabs>
          <w:tab w:val="left" w:pos="1701"/>
        </w:tabs>
        <w:spacing w:before="120" w:after="120"/>
        <w:ind w:left="1448"/>
        <w:rPr>
          <w:rFonts w:eastAsia="Times New Roman" w:cs="Arial"/>
          <w:sz w:val="20"/>
          <w:szCs w:val="20"/>
          <w:lang w:val="en-AU"/>
        </w:rPr>
      </w:pPr>
    </w:p>
    <w:p w14:paraId="44EBE486" w14:textId="77777777" w:rsidR="00BA172C" w:rsidRPr="00801DBA" w:rsidRDefault="00BA172C" w:rsidP="00BA172C">
      <w:pPr>
        <w:numPr>
          <w:ilvl w:val="2"/>
          <w:numId w:val="63"/>
        </w:numPr>
        <w:tabs>
          <w:tab w:val="clear" w:pos="1843"/>
          <w:tab w:val="num" w:pos="1276"/>
        </w:tabs>
        <w:spacing w:before="120" w:after="120"/>
        <w:ind w:left="1276" w:hanging="567"/>
        <w:rPr>
          <w:rFonts w:eastAsia="Times New Roman" w:cs="Arial"/>
          <w:sz w:val="20"/>
          <w:szCs w:val="20"/>
          <w:lang w:val="en-AU"/>
        </w:rPr>
      </w:pPr>
      <w:r w:rsidRPr="00801DBA">
        <w:rPr>
          <w:rFonts w:eastAsia="Times New Roman" w:cs="Arial"/>
          <w:sz w:val="20"/>
          <w:szCs w:val="20"/>
          <w:lang w:val="en-AU"/>
        </w:rPr>
        <w:t xml:space="preserve">If </w:t>
      </w:r>
      <w:r w:rsidRPr="00801DBA">
        <w:rPr>
          <w:rFonts w:eastAsia="Times New Roman" w:cs="Arial"/>
          <w:i/>
          <w:sz w:val="20"/>
          <w:szCs w:val="20"/>
          <w:lang w:val="en-AU"/>
        </w:rPr>
        <w:t>your</w:t>
      </w:r>
      <w:r w:rsidRPr="00801DBA">
        <w:rPr>
          <w:rFonts w:eastAsia="Times New Roman" w:cs="Arial"/>
          <w:sz w:val="20"/>
          <w:szCs w:val="20"/>
          <w:lang w:val="en-AU"/>
        </w:rPr>
        <w:t xml:space="preserve"> Business 12M SIM is </w:t>
      </w:r>
      <w:r w:rsidRPr="00801DBA">
        <w:rPr>
          <w:rFonts w:eastAsia="Times New Roman" w:cs="Arial"/>
          <w:i/>
          <w:sz w:val="20"/>
          <w:szCs w:val="20"/>
          <w:lang w:val="en-AU"/>
        </w:rPr>
        <w:t>cancelled</w:t>
      </w:r>
      <w:r w:rsidRPr="00801DBA">
        <w:rPr>
          <w:rFonts w:eastAsia="Times New Roman" w:cs="Arial"/>
          <w:sz w:val="20"/>
          <w:szCs w:val="20"/>
          <w:lang w:val="en-AU"/>
        </w:rPr>
        <w:t xml:space="preserve">, </w:t>
      </w:r>
      <w:r w:rsidRPr="00801DBA">
        <w:rPr>
          <w:rFonts w:eastAsia="Times New Roman" w:cs="Arial"/>
          <w:i/>
          <w:sz w:val="20"/>
          <w:szCs w:val="20"/>
          <w:lang w:val="en-AU"/>
        </w:rPr>
        <w:t xml:space="preserve">any </w:t>
      </w:r>
      <w:r w:rsidRPr="00801DBA">
        <w:rPr>
          <w:rFonts w:eastAsia="Times New Roman" w:cs="Arial"/>
          <w:sz w:val="20"/>
          <w:szCs w:val="20"/>
          <w:lang w:val="en-AU"/>
        </w:rPr>
        <w:t xml:space="preserve">Shared Data Plan(s) on the account may also be </w:t>
      </w:r>
      <w:r w:rsidRPr="00801DBA">
        <w:rPr>
          <w:rFonts w:eastAsia="Times New Roman" w:cs="Arial"/>
          <w:i/>
          <w:sz w:val="20"/>
          <w:szCs w:val="20"/>
          <w:lang w:val="en-AU"/>
        </w:rPr>
        <w:t>cancelled</w:t>
      </w:r>
      <w:r w:rsidRPr="00801DBA">
        <w:rPr>
          <w:rFonts w:eastAsia="Times New Roman" w:cs="Arial"/>
          <w:sz w:val="20"/>
          <w:szCs w:val="20"/>
          <w:lang w:val="en-AU"/>
        </w:rPr>
        <w:t xml:space="preserve">. There are no </w:t>
      </w:r>
      <w:r w:rsidRPr="00801DBA">
        <w:rPr>
          <w:rFonts w:eastAsia="Times New Roman" w:cs="Arial"/>
          <w:i/>
          <w:sz w:val="20"/>
          <w:szCs w:val="20"/>
          <w:lang w:val="en-AU"/>
        </w:rPr>
        <w:t>cancellation fees</w:t>
      </w:r>
      <w:r w:rsidRPr="00801DBA">
        <w:rPr>
          <w:rFonts w:eastAsia="Times New Roman" w:cs="Arial"/>
          <w:sz w:val="20"/>
          <w:szCs w:val="20"/>
          <w:lang w:val="en-AU"/>
        </w:rPr>
        <w:t xml:space="preserve"> for any Shared Data Plan, however if </w:t>
      </w:r>
      <w:r w:rsidRPr="00801DBA">
        <w:rPr>
          <w:rFonts w:eastAsia="Times New Roman" w:cs="Arial"/>
          <w:i/>
          <w:sz w:val="20"/>
          <w:szCs w:val="20"/>
          <w:lang w:val="en-AU"/>
        </w:rPr>
        <w:t>you</w:t>
      </w:r>
      <w:r w:rsidRPr="00801DBA">
        <w:rPr>
          <w:rFonts w:eastAsia="Times New Roman" w:cs="Arial"/>
          <w:sz w:val="20"/>
          <w:szCs w:val="20"/>
          <w:lang w:val="en-AU"/>
        </w:rPr>
        <w:t xml:space="preserve"> purchased a </w:t>
      </w:r>
      <w:r w:rsidRPr="00801DBA">
        <w:rPr>
          <w:rFonts w:eastAsia="Times New Roman" w:cs="Arial"/>
          <w:i/>
          <w:sz w:val="20"/>
          <w:szCs w:val="20"/>
          <w:lang w:val="en-AU"/>
        </w:rPr>
        <w:t>device</w:t>
      </w:r>
      <w:r w:rsidRPr="00801DBA">
        <w:rPr>
          <w:rFonts w:eastAsia="Times New Roman" w:cs="Arial"/>
          <w:sz w:val="20"/>
          <w:szCs w:val="20"/>
          <w:lang w:val="en-AU"/>
        </w:rPr>
        <w:t xml:space="preserve"> </w:t>
      </w:r>
      <w:r w:rsidRPr="00801DBA">
        <w:rPr>
          <w:rFonts w:eastAsia="Times New Roman" w:cs="Arial"/>
          <w:i/>
          <w:sz w:val="20"/>
          <w:szCs w:val="20"/>
          <w:lang w:val="en-AU"/>
        </w:rPr>
        <w:t>you</w:t>
      </w:r>
      <w:r w:rsidRPr="00801DBA">
        <w:rPr>
          <w:rFonts w:eastAsia="Times New Roman" w:cs="Arial"/>
          <w:sz w:val="20"/>
          <w:szCs w:val="20"/>
          <w:lang w:val="en-AU"/>
        </w:rPr>
        <w:t xml:space="preserve"> need to pay the sum of any remaining </w:t>
      </w:r>
      <w:r w:rsidRPr="00801DBA">
        <w:rPr>
          <w:rFonts w:eastAsia="Times New Roman" w:cs="Arial"/>
          <w:i/>
          <w:sz w:val="20"/>
          <w:szCs w:val="20"/>
          <w:lang w:val="en-AU"/>
        </w:rPr>
        <w:t xml:space="preserve">equipment charges </w:t>
      </w:r>
      <w:r w:rsidRPr="00801DBA">
        <w:rPr>
          <w:rFonts w:eastAsia="Times New Roman" w:cs="Arial"/>
          <w:sz w:val="20"/>
          <w:szCs w:val="20"/>
          <w:lang w:val="en-AU"/>
        </w:rPr>
        <w:t xml:space="preserve">owing on </w:t>
      </w:r>
      <w:r w:rsidRPr="00801DBA">
        <w:rPr>
          <w:rFonts w:eastAsia="Times New Roman" w:cs="Arial"/>
          <w:i/>
          <w:sz w:val="20"/>
          <w:szCs w:val="20"/>
          <w:lang w:val="en-AU"/>
        </w:rPr>
        <w:t xml:space="preserve">your device </w:t>
      </w:r>
      <w:r w:rsidRPr="00801DBA">
        <w:rPr>
          <w:rFonts w:eastAsia="Times New Roman" w:cs="Arial"/>
          <w:sz w:val="20"/>
          <w:szCs w:val="20"/>
          <w:lang w:val="en-AU"/>
        </w:rPr>
        <w:t xml:space="preserve">under the </w:t>
      </w:r>
      <w:r w:rsidRPr="00801DBA">
        <w:rPr>
          <w:rFonts w:eastAsia="Times New Roman" w:cs="Arial"/>
          <w:i/>
          <w:sz w:val="20"/>
          <w:szCs w:val="20"/>
          <w:lang w:val="en-AU"/>
        </w:rPr>
        <w:t xml:space="preserve">mobile equipment payment plan </w:t>
      </w:r>
      <w:r w:rsidRPr="00801DBA">
        <w:rPr>
          <w:rFonts w:eastAsia="Times New Roman" w:cs="Arial"/>
          <w:sz w:val="20"/>
          <w:szCs w:val="20"/>
          <w:lang w:val="en-AU"/>
        </w:rPr>
        <w:t xml:space="preserve">(see </w:t>
      </w:r>
      <w:hyperlink r:id="rId805" w:history="1">
        <w:r w:rsidRPr="00801DBA">
          <w:rPr>
            <w:rFonts w:eastAsia="Times New Roman" w:cs="Arial"/>
            <w:i/>
            <w:color w:val="13607C"/>
            <w:sz w:val="20"/>
            <w:szCs w:val="20"/>
            <w:u w:val="single"/>
            <w:lang w:val="en-AU"/>
          </w:rPr>
          <w:t>Appendix D</w:t>
        </w:r>
        <w:r w:rsidRPr="00801DBA">
          <w:rPr>
            <w:rFonts w:eastAsia="Times New Roman" w:cs="Arial"/>
            <w:color w:val="13607C"/>
            <w:sz w:val="20"/>
            <w:szCs w:val="20"/>
            <w:u w:val="single"/>
            <w:lang w:val="en-AU"/>
          </w:rPr>
          <w:t>).</w:t>
        </w:r>
      </w:hyperlink>
    </w:p>
    <w:p w14:paraId="28AAD255" w14:textId="77777777" w:rsidR="00BA172C" w:rsidRPr="00801DBA" w:rsidRDefault="00BA172C" w:rsidP="00BA172C">
      <w:pPr>
        <w:numPr>
          <w:ilvl w:val="2"/>
          <w:numId w:val="63"/>
        </w:numPr>
        <w:tabs>
          <w:tab w:val="clear" w:pos="1843"/>
          <w:tab w:val="num" w:pos="1276"/>
        </w:tabs>
        <w:spacing w:before="120" w:after="120"/>
        <w:ind w:left="1276" w:hanging="567"/>
        <w:rPr>
          <w:rFonts w:eastAsia="Times New Roman" w:cs="Arial"/>
          <w:sz w:val="20"/>
          <w:szCs w:val="20"/>
          <w:lang w:val="en-AU"/>
        </w:rPr>
      </w:pPr>
      <w:r w:rsidRPr="00801DBA">
        <w:rPr>
          <w:rFonts w:eastAsia="Times New Roman" w:cs="Arial"/>
          <w:sz w:val="20"/>
          <w:szCs w:val="20"/>
          <w:lang w:val="en-AU"/>
        </w:rPr>
        <w:t xml:space="preserve">If any Shared Data Plan is not </w:t>
      </w:r>
      <w:r w:rsidRPr="00801DBA">
        <w:rPr>
          <w:rFonts w:eastAsia="Times New Roman" w:cs="Arial"/>
          <w:i/>
          <w:sz w:val="20"/>
          <w:szCs w:val="20"/>
          <w:lang w:val="en-AU"/>
        </w:rPr>
        <w:t>cancelled</w:t>
      </w:r>
      <w:r w:rsidRPr="00801DBA">
        <w:rPr>
          <w:rFonts w:eastAsia="Times New Roman" w:cs="Arial"/>
          <w:sz w:val="20"/>
          <w:szCs w:val="20"/>
          <w:lang w:val="en-AU"/>
        </w:rPr>
        <w:t xml:space="preserve">, </w:t>
      </w:r>
      <w:r w:rsidRPr="00801DBA">
        <w:rPr>
          <w:rFonts w:eastAsia="Times New Roman" w:cs="Arial"/>
          <w:i/>
          <w:sz w:val="20"/>
          <w:szCs w:val="20"/>
          <w:lang w:val="en-AU"/>
        </w:rPr>
        <w:t>you</w:t>
      </w:r>
      <w:r w:rsidRPr="00801DBA">
        <w:rPr>
          <w:rFonts w:eastAsia="Times New Roman" w:cs="Arial"/>
          <w:sz w:val="20"/>
          <w:szCs w:val="20"/>
          <w:lang w:val="en-AU"/>
        </w:rPr>
        <w:t xml:space="preserve"> will be charged $10 per 1GB within Australia, up to 150GB (per account) in a billing month. </w:t>
      </w:r>
      <w:r w:rsidRPr="00801DBA">
        <w:rPr>
          <w:rFonts w:eastAsia="Times New Roman" w:cs="Arial"/>
          <w:i/>
          <w:sz w:val="20"/>
          <w:szCs w:val="20"/>
          <w:lang w:val="en-AU"/>
        </w:rPr>
        <w:t>Your</w:t>
      </w:r>
      <w:r w:rsidRPr="00801DBA">
        <w:rPr>
          <w:rFonts w:eastAsia="Times New Roman" w:cs="Arial"/>
          <w:sz w:val="20"/>
          <w:szCs w:val="20"/>
          <w:lang w:val="en-AU"/>
        </w:rPr>
        <w:t xml:space="preserve"> </w:t>
      </w:r>
      <w:r w:rsidRPr="00801DBA">
        <w:rPr>
          <w:rFonts w:eastAsia="Times New Roman" w:cs="Arial"/>
          <w:i/>
          <w:sz w:val="20"/>
          <w:szCs w:val="20"/>
          <w:lang w:val="en-AU"/>
        </w:rPr>
        <w:t>service/s</w:t>
      </w:r>
      <w:r w:rsidRPr="00801DBA">
        <w:rPr>
          <w:rFonts w:eastAsia="Times New Roman" w:cs="Arial"/>
          <w:sz w:val="20"/>
          <w:szCs w:val="20"/>
          <w:lang w:val="en-AU"/>
        </w:rPr>
        <w:t xml:space="preserve"> may then be restricted or </w:t>
      </w:r>
      <w:r w:rsidRPr="00801DBA">
        <w:rPr>
          <w:rFonts w:eastAsia="Times New Roman" w:cs="Arial"/>
          <w:i/>
          <w:sz w:val="20"/>
          <w:szCs w:val="20"/>
          <w:lang w:val="en-AU"/>
        </w:rPr>
        <w:t>we</w:t>
      </w:r>
      <w:r w:rsidRPr="00801DBA">
        <w:rPr>
          <w:rFonts w:eastAsia="Times New Roman" w:cs="Arial"/>
          <w:sz w:val="20"/>
          <w:szCs w:val="20"/>
          <w:lang w:val="en-AU"/>
        </w:rPr>
        <w:t xml:space="preserve"> may continue to charge </w:t>
      </w:r>
      <w:r w:rsidRPr="00801DBA">
        <w:rPr>
          <w:rFonts w:eastAsia="Times New Roman" w:cs="Arial"/>
          <w:i/>
          <w:sz w:val="20"/>
          <w:szCs w:val="20"/>
          <w:lang w:val="en-AU"/>
        </w:rPr>
        <w:t>you</w:t>
      </w:r>
      <w:r w:rsidRPr="00801DBA">
        <w:rPr>
          <w:rFonts w:eastAsia="Times New Roman" w:cs="Arial"/>
          <w:sz w:val="20"/>
          <w:szCs w:val="20"/>
          <w:lang w:val="en-AU"/>
        </w:rPr>
        <w:t xml:space="preserve"> at these rates.</w:t>
      </w:r>
    </w:p>
    <w:p w14:paraId="3C53BEB3" w14:textId="77777777" w:rsidR="00BA172C" w:rsidRPr="00B7364B" w:rsidRDefault="00BA172C" w:rsidP="00BA172C"/>
    <w:p w14:paraId="73C7BF3A" w14:textId="77777777" w:rsidR="00BA172C" w:rsidRPr="00385E54" w:rsidRDefault="00BA172C" w:rsidP="00BA172C">
      <w:pPr>
        <w:pStyle w:val="Heading4"/>
        <w:rPr>
          <w:lang w:val="en-AU"/>
        </w:rPr>
      </w:pPr>
      <w:bookmarkStart w:id="1836" w:name="_Toc509314769"/>
      <w:bookmarkStart w:id="1837" w:name="_Toc62644703"/>
      <w:r w:rsidRPr="00385E54">
        <w:lastRenderedPageBreak/>
        <w:t>Business S</w:t>
      </w:r>
      <w:r>
        <w:t>IM</w:t>
      </w:r>
      <w:bookmarkEnd w:id="1836"/>
      <w:bookmarkEnd w:id="1837"/>
    </w:p>
    <w:p w14:paraId="51000AFB" w14:textId="77777777" w:rsidR="00BA172C" w:rsidRDefault="00BA172C" w:rsidP="00BA172C">
      <w:pPr>
        <w:pStyle w:val="BodyText"/>
        <w:ind w:left="720"/>
      </w:pPr>
      <w:r w:rsidRPr="00385E54">
        <w:t xml:space="preserve">This section relates to the following plans. </w:t>
      </w:r>
      <w:r w:rsidRPr="00385E54">
        <w:rPr>
          <w:i/>
        </w:rPr>
        <w:t>You</w:t>
      </w:r>
      <w:r w:rsidRPr="00385E54">
        <w:t xml:space="preserve"> can find </w:t>
      </w:r>
      <w:r w:rsidRPr="00385E54">
        <w:rPr>
          <w:i/>
        </w:rPr>
        <w:t>your</w:t>
      </w:r>
      <w:r w:rsidRPr="00385E54">
        <w:t xml:space="preserve"> Plan ID on </w:t>
      </w:r>
      <w:r w:rsidRPr="00385E54">
        <w:rPr>
          <w:i/>
        </w:rPr>
        <w:t>your</w:t>
      </w:r>
      <w:r w:rsidRPr="00385E54">
        <w:t xml:space="preserve"> bill under the Mobile Number Summary section:</w:t>
      </w:r>
    </w:p>
    <w:tbl>
      <w:tblPr>
        <w:tblW w:w="8665"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4"/>
        <w:gridCol w:w="2634"/>
        <w:gridCol w:w="3397"/>
      </w:tblGrid>
      <w:tr w:rsidR="00BA172C" w:rsidRPr="005310F1" w14:paraId="52B1044B" w14:textId="77777777" w:rsidTr="00E85FA3">
        <w:tc>
          <w:tcPr>
            <w:tcW w:w="2634" w:type="dxa"/>
            <w:shd w:val="clear" w:color="auto" w:fill="auto"/>
            <w:vAlign w:val="center"/>
          </w:tcPr>
          <w:p w14:paraId="09B22337" w14:textId="77777777" w:rsidR="00BA172C" w:rsidRPr="00C05ACE" w:rsidRDefault="00BA172C" w:rsidP="00B95821">
            <w:pPr>
              <w:pStyle w:val="BodyText"/>
              <w:spacing w:before="100" w:after="100"/>
              <w:jc w:val="center"/>
              <w:rPr>
                <w:b/>
              </w:rPr>
            </w:pPr>
            <w:r w:rsidRPr="00C05ACE">
              <w:rPr>
                <w:b/>
              </w:rPr>
              <w:t>Plan</w:t>
            </w:r>
          </w:p>
        </w:tc>
        <w:tc>
          <w:tcPr>
            <w:tcW w:w="2634" w:type="dxa"/>
            <w:shd w:val="clear" w:color="auto" w:fill="auto"/>
            <w:vAlign w:val="center"/>
          </w:tcPr>
          <w:p w14:paraId="11FDBB44" w14:textId="77777777" w:rsidR="00BA172C" w:rsidRPr="00C05ACE" w:rsidRDefault="00BA172C" w:rsidP="00B95821">
            <w:pPr>
              <w:pStyle w:val="BodyText"/>
              <w:spacing w:before="100" w:after="100"/>
              <w:jc w:val="center"/>
              <w:rPr>
                <w:b/>
              </w:rPr>
            </w:pPr>
            <w:r w:rsidRPr="00C05ACE">
              <w:rPr>
                <w:b/>
              </w:rPr>
              <w:t>Plan ID</w:t>
            </w:r>
          </w:p>
        </w:tc>
        <w:tc>
          <w:tcPr>
            <w:tcW w:w="3397" w:type="dxa"/>
            <w:shd w:val="clear" w:color="auto" w:fill="auto"/>
            <w:vAlign w:val="center"/>
          </w:tcPr>
          <w:p w14:paraId="4E05E1B7" w14:textId="77777777" w:rsidR="00BA172C" w:rsidRPr="00C05ACE" w:rsidRDefault="00BA172C" w:rsidP="00B95821">
            <w:pPr>
              <w:pStyle w:val="BodyText"/>
              <w:spacing w:before="100" w:after="100"/>
              <w:jc w:val="center"/>
              <w:rPr>
                <w:b/>
              </w:rPr>
            </w:pPr>
            <w:r w:rsidRPr="00C05ACE">
              <w:rPr>
                <w:b/>
              </w:rPr>
              <w:t>Available</w:t>
            </w:r>
          </w:p>
        </w:tc>
      </w:tr>
      <w:tr w:rsidR="00BA172C" w:rsidRPr="005310F1" w14:paraId="749EB22E" w14:textId="77777777" w:rsidTr="00E85FA3">
        <w:tc>
          <w:tcPr>
            <w:tcW w:w="2634" w:type="dxa"/>
            <w:shd w:val="clear" w:color="auto" w:fill="auto"/>
            <w:vAlign w:val="center"/>
          </w:tcPr>
          <w:p w14:paraId="6BFE90C7" w14:textId="77777777" w:rsidR="00BA172C" w:rsidRPr="00C05ACE" w:rsidRDefault="00BA172C" w:rsidP="00B95821">
            <w:pPr>
              <w:pStyle w:val="BodyText"/>
              <w:spacing w:before="100" w:after="100"/>
              <w:jc w:val="center"/>
            </w:pPr>
            <w:r>
              <w:t xml:space="preserve">$35 </w:t>
            </w:r>
            <w:r w:rsidRPr="00C05ACE">
              <w:t>Business</w:t>
            </w:r>
            <w:r>
              <w:t xml:space="preserve"> Plan</w:t>
            </w:r>
            <w:r w:rsidRPr="00C05ACE">
              <w:t xml:space="preserve"> SIM</w:t>
            </w:r>
          </w:p>
        </w:tc>
        <w:tc>
          <w:tcPr>
            <w:tcW w:w="2634" w:type="dxa"/>
            <w:shd w:val="clear" w:color="auto" w:fill="auto"/>
            <w:vAlign w:val="center"/>
          </w:tcPr>
          <w:p w14:paraId="200512D6" w14:textId="77777777" w:rsidR="00BA172C" w:rsidRPr="00C05ACE" w:rsidRDefault="00BA172C" w:rsidP="00B95821">
            <w:pPr>
              <w:pStyle w:val="BodyText"/>
              <w:spacing w:before="100" w:after="100"/>
              <w:jc w:val="center"/>
            </w:pPr>
            <w:r>
              <w:t xml:space="preserve">800651, </w:t>
            </w:r>
            <w:r w:rsidRPr="008E7650">
              <w:t>10586525</w:t>
            </w:r>
          </w:p>
        </w:tc>
        <w:tc>
          <w:tcPr>
            <w:tcW w:w="3397" w:type="dxa"/>
            <w:shd w:val="clear" w:color="auto" w:fill="auto"/>
            <w:vAlign w:val="center"/>
          </w:tcPr>
          <w:p w14:paraId="7DB06EFC" w14:textId="77777777" w:rsidR="00BA172C" w:rsidRPr="00C05ACE" w:rsidRDefault="00BA172C" w:rsidP="00B95821">
            <w:pPr>
              <w:pStyle w:val="BodyText"/>
              <w:spacing w:before="100" w:after="100"/>
              <w:jc w:val="center"/>
            </w:pPr>
            <w:r>
              <w:t>8 May 2017</w:t>
            </w:r>
            <w:r w:rsidR="00E85FA3" w:rsidRPr="00E85FA3">
              <w:t xml:space="preserve"> – 30 </w:t>
            </w:r>
            <w:r w:rsidR="002E1B47">
              <w:t xml:space="preserve">June </w:t>
            </w:r>
            <w:r w:rsidR="00E85FA3" w:rsidRPr="00E85FA3">
              <w:t>2018</w:t>
            </w:r>
          </w:p>
        </w:tc>
      </w:tr>
      <w:tr w:rsidR="00BA172C" w:rsidRPr="005310F1" w14:paraId="2210467A" w14:textId="77777777" w:rsidTr="00E85FA3">
        <w:tc>
          <w:tcPr>
            <w:tcW w:w="2634" w:type="dxa"/>
            <w:shd w:val="clear" w:color="auto" w:fill="auto"/>
            <w:vAlign w:val="center"/>
          </w:tcPr>
          <w:p w14:paraId="072679A3" w14:textId="77777777" w:rsidR="00BA172C" w:rsidRPr="00C05ACE" w:rsidRDefault="00BA172C" w:rsidP="00B95821">
            <w:pPr>
              <w:pStyle w:val="BodyText"/>
              <w:spacing w:before="100" w:after="100"/>
              <w:jc w:val="center"/>
            </w:pPr>
            <w:r w:rsidRPr="00C05ACE">
              <w:t xml:space="preserve">$50 Business </w:t>
            </w:r>
            <w:r>
              <w:t>Plan</w:t>
            </w:r>
            <w:r w:rsidRPr="00C05ACE">
              <w:t xml:space="preserve"> SIM</w:t>
            </w:r>
          </w:p>
        </w:tc>
        <w:tc>
          <w:tcPr>
            <w:tcW w:w="2634" w:type="dxa"/>
            <w:shd w:val="clear" w:color="auto" w:fill="auto"/>
            <w:vAlign w:val="center"/>
          </w:tcPr>
          <w:p w14:paraId="6A151D7B" w14:textId="77777777" w:rsidR="00BA172C" w:rsidRPr="00C05ACE" w:rsidRDefault="00BA172C" w:rsidP="00B95821">
            <w:pPr>
              <w:pStyle w:val="BodyText"/>
              <w:spacing w:before="100" w:after="100"/>
              <w:jc w:val="center"/>
            </w:pPr>
            <w:r>
              <w:t xml:space="preserve">800652, </w:t>
            </w:r>
            <w:r w:rsidRPr="008E7650">
              <w:t>10586535</w:t>
            </w:r>
          </w:p>
        </w:tc>
        <w:tc>
          <w:tcPr>
            <w:tcW w:w="3397" w:type="dxa"/>
            <w:shd w:val="clear" w:color="auto" w:fill="auto"/>
          </w:tcPr>
          <w:p w14:paraId="4718EB86" w14:textId="77777777" w:rsidR="00BA172C" w:rsidRPr="00C05ACE" w:rsidRDefault="00BA172C" w:rsidP="00B95821">
            <w:pPr>
              <w:pStyle w:val="BodyText"/>
              <w:spacing w:before="100" w:after="100"/>
              <w:jc w:val="center"/>
            </w:pPr>
            <w:r w:rsidRPr="00BE6D43">
              <w:t>8 May 2017</w:t>
            </w:r>
            <w:r w:rsidR="00E85FA3" w:rsidRPr="00E85FA3">
              <w:t xml:space="preserve"> – 30 </w:t>
            </w:r>
            <w:r w:rsidR="002E1B47">
              <w:t>June</w:t>
            </w:r>
            <w:r w:rsidR="00E85FA3" w:rsidRPr="00E85FA3">
              <w:t xml:space="preserve"> 2018</w:t>
            </w:r>
          </w:p>
        </w:tc>
      </w:tr>
      <w:tr w:rsidR="00BA172C" w:rsidRPr="005310F1" w14:paraId="7AE50697" w14:textId="77777777" w:rsidTr="00E85FA3">
        <w:tc>
          <w:tcPr>
            <w:tcW w:w="2634" w:type="dxa"/>
            <w:shd w:val="clear" w:color="auto" w:fill="auto"/>
            <w:vAlign w:val="center"/>
          </w:tcPr>
          <w:p w14:paraId="656C8525" w14:textId="77777777" w:rsidR="00BA172C" w:rsidRPr="00C05ACE" w:rsidRDefault="00BA172C" w:rsidP="00B95821">
            <w:pPr>
              <w:pStyle w:val="BodyText"/>
              <w:spacing w:before="100" w:after="100"/>
              <w:jc w:val="center"/>
            </w:pPr>
            <w:r w:rsidRPr="00C05ACE">
              <w:t>$60 Business</w:t>
            </w:r>
            <w:r>
              <w:t xml:space="preserve"> Plan</w:t>
            </w:r>
            <w:r w:rsidRPr="00C05ACE">
              <w:t xml:space="preserve"> SIM</w:t>
            </w:r>
          </w:p>
        </w:tc>
        <w:tc>
          <w:tcPr>
            <w:tcW w:w="2634" w:type="dxa"/>
            <w:shd w:val="clear" w:color="auto" w:fill="auto"/>
            <w:vAlign w:val="center"/>
          </w:tcPr>
          <w:p w14:paraId="0F3CB995" w14:textId="77777777" w:rsidR="00BA172C" w:rsidRPr="00C05ACE" w:rsidRDefault="00BA172C" w:rsidP="00B95821">
            <w:pPr>
              <w:pStyle w:val="BodyText"/>
              <w:spacing w:before="100" w:after="100"/>
              <w:jc w:val="center"/>
            </w:pPr>
            <w:r>
              <w:t xml:space="preserve">800653, </w:t>
            </w:r>
            <w:r w:rsidRPr="008E7650">
              <w:t>10586545</w:t>
            </w:r>
          </w:p>
        </w:tc>
        <w:tc>
          <w:tcPr>
            <w:tcW w:w="3397" w:type="dxa"/>
            <w:shd w:val="clear" w:color="auto" w:fill="auto"/>
          </w:tcPr>
          <w:p w14:paraId="27A83424" w14:textId="77777777" w:rsidR="00BA172C" w:rsidRPr="00C05ACE" w:rsidRDefault="00BA172C" w:rsidP="00B95821">
            <w:pPr>
              <w:pStyle w:val="BodyText"/>
              <w:spacing w:before="100" w:after="100"/>
              <w:jc w:val="center"/>
            </w:pPr>
            <w:r w:rsidRPr="00BE6D43">
              <w:t>8 May 2017</w:t>
            </w:r>
            <w:r w:rsidR="00E85FA3" w:rsidRPr="00E85FA3">
              <w:t xml:space="preserve"> – 30 </w:t>
            </w:r>
            <w:r w:rsidR="002E1B47">
              <w:t>June</w:t>
            </w:r>
            <w:r w:rsidR="00E85FA3" w:rsidRPr="00E85FA3">
              <w:t xml:space="preserve"> 2018</w:t>
            </w:r>
          </w:p>
        </w:tc>
      </w:tr>
    </w:tbl>
    <w:p w14:paraId="3F3AD3EE" w14:textId="77777777" w:rsidR="00BA172C" w:rsidRDefault="00BA172C" w:rsidP="00BA172C">
      <w:pPr>
        <w:pStyle w:val="BodyText"/>
      </w:pPr>
    </w:p>
    <w:p w14:paraId="4EE11BB7" w14:textId="77777777" w:rsidR="00BA172C" w:rsidRPr="00385E54" w:rsidRDefault="00BA172C" w:rsidP="00BA172C">
      <w:pPr>
        <w:pStyle w:val="Heading6"/>
        <w:ind w:left="0" w:firstLine="0"/>
        <w:rPr>
          <w:lang w:val="en-AU"/>
        </w:rPr>
      </w:pPr>
      <w:bookmarkStart w:id="1838" w:name="_Toc509314770"/>
      <w:r w:rsidRPr="00385E54">
        <w:rPr>
          <w:lang w:val="en-AU"/>
        </w:rPr>
        <w:t>Eligibility</w:t>
      </w:r>
      <w:bookmarkEnd w:id="1838"/>
    </w:p>
    <w:p w14:paraId="2CF1158C" w14:textId="77777777" w:rsidR="00BA172C" w:rsidRPr="00385E54" w:rsidRDefault="00BA172C" w:rsidP="00BA172C">
      <w:pPr>
        <w:pStyle w:val="BodyText"/>
        <w:ind w:left="720"/>
        <w:rPr>
          <w:lang w:val="en-AU"/>
        </w:rPr>
      </w:pPr>
      <w:r>
        <w:rPr>
          <w:lang w:val="en-AU"/>
        </w:rPr>
        <w:t>The</w:t>
      </w:r>
      <w:r w:rsidRPr="00385E54">
        <w:rPr>
          <w:lang w:val="en-AU"/>
        </w:rPr>
        <w:t xml:space="preserve"> Business </w:t>
      </w:r>
      <w:r>
        <w:rPr>
          <w:lang w:val="en-AU"/>
        </w:rPr>
        <w:t xml:space="preserve">Plan </w:t>
      </w:r>
      <w:r w:rsidRPr="00385E54">
        <w:rPr>
          <w:lang w:val="en-AU"/>
        </w:rPr>
        <w:t xml:space="preserve">SIM plans are available to new and existing mobile customers connecting to the </w:t>
      </w:r>
      <w:r w:rsidRPr="00385E54">
        <w:rPr>
          <w:i/>
          <w:lang w:val="en-AU"/>
        </w:rPr>
        <w:t xml:space="preserve">service </w:t>
      </w:r>
      <w:r w:rsidRPr="00385E54">
        <w:rPr>
          <w:lang w:val="en-AU"/>
        </w:rPr>
        <w:t>who pass Optus</w:t>
      </w:r>
      <w:r>
        <w:rPr>
          <w:lang w:val="en-AU"/>
        </w:rPr>
        <w:t>'</w:t>
      </w:r>
      <w:r w:rsidRPr="00385E54">
        <w:rPr>
          <w:lang w:val="en-AU"/>
        </w:rPr>
        <w:t xml:space="preserve"> credit assessment. </w:t>
      </w:r>
    </w:p>
    <w:p w14:paraId="37D45C13" w14:textId="77777777" w:rsidR="00BA172C" w:rsidRPr="00385E54" w:rsidRDefault="00BA172C" w:rsidP="00BA172C">
      <w:pPr>
        <w:pStyle w:val="BodyText"/>
        <w:ind w:left="720"/>
        <w:rPr>
          <w:lang w:val="en-AU"/>
        </w:rPr>
      </w:pPr>
      <w:r w:rsidRPr="00385E54">
        <w:rPr>
          <w:lang w:val="en-AU"/>
        </w:rPr>
        <w:t>Optus Service Providers</w:t>
      </w:r>
      <w:r>
        <w:rPr>
          <w:lang w:val="en-AU"/>
        </w:rPr>
        <w:t>'</w:t>
      </w:r>
      <w:r w:rsidRPr="00385E54">
        <w:rPr>
          <w:lang w:val="en-AU"/>
        </w:rPr>
        <w:t xml:space="preserve"> customers are not eligible to apply.</w:t>
      </w:r>
    </w:p>
    <w:p w14:paraId="68DD11ED" w14:textId="77777777" w:rsidR="00BA172C" w:rsidRPr="00385E54" w:rsidRDefault="00BA172C" w:rsidP="00BA172C">
      <w:pPr>
        <w:pStyle w:val="BodyText"/>
        <w:ind w:left="720"/>
        <w:rPr>
          <w:lang w:val="en-AU"/>
        </w:rPr>
      </w:pPr>
      <w:r w:rsidRPr="00385E54">
        <w:rPr>
          <w:lang w:val="en-AU"/>
        </w:rPr>
        <w:t xml:space="preserve">These </w:t>
      </w:r>
      <w:r w:rsidRPr="00385E54">
        <w:rPr>
          <w:i/>
          <w:lang w:val="en-AU"/>
        </w:rPr>
        <w:t>plans</w:t>
      </w:r>
      <w:r w:rsidRPr="00385E54">
        <w:rPr>
          <w:lang w:val="en-AU"/>
        </w:rPr>
        <w:t xml:space="preserve"> aren</w:t>
      </w:r>
      <w:r>
        <w:rPr>
          <w:lang w:val="en-AU"/>
        </w:rPr>
        <w:t>'</w:t>
      </w:r>
      <w:r w:rsidRPr="00385E54">
        <w:rPr>
          <w:lang w:val="en-AU"/>
        </w:rPr>
        <w:t>t compatible for data use with BlackBerry handsets on operating systems of 7.1 or earlier.</w:t>
      </w:r>
    </w:p>
    <w:p w14:paraId="0405A6D0" w14:textId="77777777" w:rsidR="00BA172C" w:rsidRPr="00CD3F2D" w:rsidRDefault="00BA172C" w:rsidP="00BA172C">
      <w:pPr>
        <w:pStyle w:val="Heading6"/>
        <w:ind w:left="0" w:firstLine="0"/>
        <w:rPr>
          <w:lang w:val="en-AU"/>
        </w:rPr>
      </w:pPr>
      <w:bookmarkStart w:id="1839" w:name="_Toc509314771"/>
      <w:r w:rsidRPr="00CD3F2D">
        <w:rPr>
          <w:lang w:val="en-AU"/>
        </w:rPr>
        <w:t>Minimum Term</w:t>
      </w:r>
      <w:bookmarkEnd w:id="1839"/>
    </w:p>
    <w:p w14:paraId="67DD3ABF" w14:textId="77777777" w:rsidR="00BA172C" w:rsidRPr="00385E54" w:rsidRDefault="00BA172C" w:rsidP="00BA172C">
      <w:pPr>
        <w:pStyle w:val="BodyText"/>
        <w:ind w:firstLine="720"/>
        <w:rPr>
          <w:lang w:val="en-AU"/>
        </w:rPr>
      </w:pPr>
      <w:r w:rsidRPr="00385E54">
        <w:rPr>
          <w:lang w:val="en-AU"/>
        </w:rPr>
        <w:t xml:space="preserve">These plans are month to month plans on a </w:t>
      </w:r>
      <w:r w:rsidRPr="00385E54">
        <w:rPr>
          <w:i/>
          <w:lang w:val="en-AU"/>
        </w:rPr>
        <w:t>non-fixed length agreement.</w:t>
      </w:r>
    </w:p>
    <w:p w14:paraId="2D23B2A4" w14:textId="77777777" w:rsidR="00BA172C" w:rsidRPr="00CD3F2D" w:rsidRDefault="00BA172C" w:rsidP="00BA172C">
      <w:pPr>
        <w:pStyle w:val="Heading6"/>
        <w:keepNext/>
        <w:ind w:left="0" w:firstLine="0"/>
        <w:rPr>
          <w:lang w:val="en-AU"/>
        </w:rPr>
      </w:pPr>
      <w:bookmarkStart w:id="1840" w:name="_Toc509314772"/>
      <w:r w:rsidRPr="00CD3F2D">
        <w:rPr>
          <w:lang w:val="en-AU"/>
        </w:rPr>
        <w:t>What you have to pay us</w:t>
      </w:r>
      <w:bookmarkEnd w:id="1840"/>
    </w:p>
    <w:p w14:paraId="4D88FDB7" w14:textId="77777777" w:rsidR="00BA172C" w:rsidRPr="00385E54" w:rsidRDefault="00BA172C" w:rsidP="00BA172C">
      <w:pPr>
        <w:pStyle w:val="Heading7"/>
        <w:rPr>
          <w:lang w:val="en-AU"/>
        </w:rPr>
      </w:pPr>
      <w:r w:rsidRPr="00385E54">
        <w:rPr>
          <w:i/>
          <w:lang w:val="en-AU"/>
        </w:rPr>
        <w:t>You</w:t>
      </w:r>
      <w:r w:rsidRPr="00385E54">
        <w:rPr>
          <w:lang w:val="en-AU"/>
        </w:rPr>
        <w:t xml:space="preserve"> must pay </w:t>
      </w:r>
      <w:r w:rsidRPr="00385E54">
        <w:rPr>
          <w:i/>
          <w:lang w:val="en-AU"/>
        </w:rPr>
        <w:t>us</w:t>
      </w:r>
      <w:r w:rsidRPr="00385E54">
        <w:rPr>
          <w:lang w:val="en-AU"/>
        </w:rPr>
        <w:t xml:space="preserve"> for use of the </w:t>
      </w:r>
      <w:r w:rsidRPr="00385E54">
        <w:rPr>
          <w:i/>
          <w:lang w:val="en-AU"/>
        </w:rPr>
        <w:t>service</w:t>
      </w:r>
      <w:r w:rsidRPr="00385E54">
        <w:rPr>
          <w:lang w:val="en-AU"/>
        </w:rPr>
        <w:t xml:space="preserve"> at the rates set out in Section 1 of this </w:t>
      </w:r>
      <w:r w:rsidRPr="00385E54">
        <w:rPr>
          <w:i/>
          <w:lang w:val="en-AU"/>
        </w:rPr>
        <w:t>standard pricing table</w:t>
      </w:r>
      <w:r w:rsidRPr="00385E54">
        <w:rPr>
          <w:lang w:val="en-AU"/>
        </w:rPr>
        <w:t xml:space="preserve"> and for value added service features at the rates set out in </w:t>
      </w:r>
      <w:hyperlink r:id="rId806" w:history="1">
        <w:r w:rsidRPr="00FA17BC">
          <w:rPr>
            <w:rStyle w:val="Hyperlink"/>
            <w:i/>
            <w:lang w:val="en-AU"/>
          </w:rPr>
          <w:t>Appendix Y Value Added Service Features</w:t>
        </w:r>
      </w:hyperlink>
      <w:r w:rsidRPr="00FA17BC">
        <w:rPr>
          <w:lang w:val="en-AU"/>
        </w:rPr>
        <w:t>.</w:t>
      </w:r>
    </w:p>
    <w:p w14:paraId="1B7A41E7" w14:textId="77777777" w:rsidR="00BA172C" w:rsidRPr="00385E54" w:rsidRDefault="00BA172C" w:rsidP="00BA172C">
      <w:pPr>
        <w:pStyle w:val="Heading7"/>
        <w:rPr>
          <w:lang w:val="en-AU"/>
        </w:rPr>
      </w:pPr>
      <w:r w:rsidRPr="00385E54">
        <w:rPr>
          <w:lang w:val="en-AU"/>
        </w:rPr>
        <w:t>If there is a flagfall for a particular call type, the charge for these calls is the flagfall amount plus the relevant rate for the call multiplied by the duration of the call.</w:t>
      </w:r>
    </w:p>
    <w:p w14:paraId="3C3F0E63" w14:textId="77777777" w:rsidR="00BA172C" w:rsidRPr="002663BF" w:rsidRDefault="00BA172C" w:rsidP="00BA172C">
      <w:pPr>
        <w:pStyle w:val="Heading7"/>
        <w:rPr>
          <w:b/>
          <w:lang w:val="en-AU"/>
        </w:rPr>
      </w:pPr>
      <w:r w:rsidRPr="002663BF">
        <w:rPr>
          <w:b/>
          <w:lang w:val="en-AU"/>
        </w:rPr>
        <w:t xml:space="preserve">Minimum Monthly Charge </w:t>
      </w:r>
    </w:p>
    <w:p w14:paraId="5A17D324" w14:textId="77777777" w:rsidR="00BA172C" w:rsidRPr="00385E54" w:rsidRDefault="00BA172C" w:rsidP="00BA172C">
      <w:pPr>
        <w:pStyle w:val="Heading8"/>
        <w:rPr>
          <w:lang w:val="en-AU"/>
        </w:rPr>
      </w:pPr>
      <w:r w:rsidRPr="00385E54">
        <w:rPr>
          <w:lang w:val="en-AU"/>
        </w:rPr>
        <w:t xml:space="preserve">Each Business SIM </w:t>
      </w:r>
      <w:r>
        <w:rPr>
          <w:lang w:val="en-AU"/>
        </w:rPr>
        <w:t xml:space="preserve">Plan </w:t>
      </w:r>
      <w:r w:rsidRPr="00385E54">
        <w:rPr>
          <w:lang w:val="en-AU"/>
        </w:rPr>
        <w:t xml:space="preserve">has a Minimum Monthly Charge amount that </w:t>
      </w:r>
      <w:r w:rsidRPr="00385E54">
        <w:rPr>
          <w:i/>
          <w:lang w:val="en-AU"/>
        </w:rPr>
        <w:t>you</w:t>
      </w:r>
      <w:r w:rsidRPr="00385E54">
        <w:rPr>
          <w:lang w:val="en-AU"/>
        </w:rPr>
        <w:t xml:space="preserve"> must pay </w:t>
      </w:r>
      <w:r w:rsidRPr="00385E54">
        <w:rPr>
          <w:i/>
          <w:lang w:val="en-AU"/>
        </w:rPr>
        <w:t>us</w:t>
      </w:r>
      <w:r w:rsidRPr="00385E54">
        <w:rPr>
          <w:lang w:val="en-AU"/>
        </w:rPr>
        <w:t xml:space="preserve"> each mont</w:t>
      </w:r>
      <w:r>
        <w:rPr>
          <w:lang w:val="en-AU"/>
        </w:rPr>
        <w:t>h as set out in Table 1 below.</w:t>
      </w:r>
    </w:p>
    <w:p w14:paraId="5F0BEA7C" w14:textId="77777777" w:rsidR="00BA172C" w:rsidRPr="00385E54" w:rsidRDefault="00BA172C" w:rsidP="00BA172C">
      <w:pPr>
        <w:pStyle w:val="Heading8"/>
        <w:rPr>
          <w:lang w:val="en-AU"/>
        </w:rPr>
      </w:pPr>
      <w:r w:rsidRPr="00385E54">
        <w:rPr>
          <w:i/>
          <w:lang w:val="en-AU"/>
        </w:rPr>
        <w:t>You</w:t>
      </w:r>
      <w:r w:rsidRPr="00385E54">
        <w:rPr>
          <w:lang w:val="en-AU"/>
        </w:rPr>
        <w:t xml:space="preserve"> may purchase a mobile phone (or </w:t>
      </w:r>
      <w:r>
        <w:rPr>
          <w:lang w:val="en-AU"/>
        </w:rPr>
        <w:t>'</w:t>
      </w:r>
      <w:r w:rsidRPr="00385E54">
        <w:rPr>
          <w:lang w:val="en-AU"/>
        </w:rPr>
        <w:t>handset</w:t>
      </w:r>
      <w:r>
        <w:rPr>
          <w:lang w:val="en-AU"/>
        </w:rPr>
        <w:t>'</w:t>
      </w:r>
      <w:r w:rsidRPr="00385E54">
        <w:rPr>
          <w:lang w:val="en-AU"/>
        </w:rPr>
        <w:t xml:space="preserve">) with a 1 month or 24 month </w:t>
      </w:r>
      <w:r w:rsidRPr="00385E54">
        <w:rPr>
          <w:i/>
          <w:lang w:val="en-AU"/>
        </w:rPr>
        <w:t>equipment term</w:t>
      </w:r>
      <w:r w:rsidRPr="00385E54">
        <w:rPr>
          <w:lang w:val="en-AU"/>
        </w:rPr>
        <w:t xml:space="preserve"> under a </w:t>
      </w:r>
      <w:r w:rsidRPr="00385E54">
        <w:rPr>
          <w:i/>
          <w:lang w:val="en-AU"/>
        </w:rPr>
        <w:t>mobile equipment payment plan</w:t>
      </w:r>
      <w:r w:rsidRPr="00385E54">
        <w:rPr>
          <w:lang w:val="en-AU"/>
        </w:rPr>
        <w:t xml:space="preserve"> (set out in </w:t>
      </w:r>
      <w:hyperlink r:id="rId807" w:history="1">
        <w:r w:rsidRPr="0007664B">
          <w:rPr>
            <w:rStyle w:val="Hyperlink"/>
            <w:i/>
            <w:lang w:val="en-AU"/>
          </w:rPr>
          <w:t>Appendix D</w:t>
        </w:r>
      </w:hyperlink>
      <w:r>
        <w:rPr>
          <w:lang w:val="en-AU"/>
        </w:rPr>
        <w:t>).</w:t>
      </w:r>
    </w:p>
    <w:p w14:paraId="672F9227" w14:textId="77777777" w:rsidR="00BA172C" w:rsidRPr="00CD3F2D" w:rsidRDefault="00BA172C" w:rsidP="00BA172C">
      <w:pPr>
        <w:pStyle w:val="Heading6"/>
        <w:ind w:left="0" w:firstLine="0"/>
        <w:rPr>
          <w:lang w:val="en-AU"/>
        </w:rPr>
      </w:pPr>
      <w:bookmarkStart w:id="1841" w:name="_Toc509314773"/>
      <w:r w:rsidRPr="00CD3F2D">
        <w:rPr>
          <w:lang w:val="en-AU"/>
        </w:rPr>
        <w:t>How My Plan Business SIM works</w:t>
      </w:r>
      <w:bookmarkEnd w:id="1841"/>
    </w:p>
    <w:p w14:paraId="2706CCB8" w14:textId="77777777" w:rsidR="00BA172C" w:rsidRPr="00385E54" w:rsidRDefault="00BA172C" w:rsidP="00BA172C">
      <w:pPr>
        <w:pStyle w:val="Heading7"/>
        <w:rPr>
          <w:lang w:val="en-AU"/>
        </w:rPr>
      </w:pPr>
      <w:r w:rsidRPr="00385E54">
        <w:rPr>
          <w:lang w:val="en-AU"/>
        </w:rPr>
        <w:t xml:space="preserve">Each Business </w:t>
      </w:r>
      <w:r>
        <w:rPr>
          <w:lang w:val="en-AU"/>
        </w:rPr>
        <w:t xml:space="preserve">Plan </w:t>
      </w:r>
      <w:r w:rsidRPr="00385E54">
        <w:rPr>
          <w:lang w:val="en-AU"/>
        </w:rPr>
        <w:t xml:space="preserve">SIM </w:t>
      </w:r>
      <w:r>
        <w:rPr>
          <w:lang w:val="en-AU"/>
        </w:rPr>
        <w:t xml:space="preserve">plan </w:t>
      </w:r>
      <w:r w:rsidRPr="00385E54">
        <w:rPr>
          <w:lang w:val="en-AU"/>
        </w:rPr>
        <w:t xml:space="preserve">has unlimited minutes to use on standard national calls to landlines and mobiles, 13/1300 numbers and voicemail retrievals and an amount of Included Data (for mobile internet use) to share with other services on a My Plan Plus, My Plan Plus SIM Only, My Plan Business (including Tech Fund), My Plan Business SIM, </w:t>
      </w:r>
      <w:r w:rsidRPr="008E7650">
        <w:rPr>
          <w:lang w:val="en-AU"/>
        </w:rPr>
        <w:t>My Plan Flex, My Plan Business Flex, Business Lease</w:t>
      </w:r>
      <w:r>
        <w:rPr>
          <w:lang w:val="en-AU"/>
        </w:rPr>
        <w:t xml:space="preserve">, </w:t>
      </w:r>
      <w:r w:rsidRPr="00385E54">
        <w:rPr>
          <w:lang w:val="en-AU"/>
        </w:rPr>
        <w:t xml:space="preserve">My Mobile Broadband Plus, Mobile Broadband Business or Shared Data Plan on the same account. </w:t>
      </w:r>
    </w:p>
    <w:p w14:paraId="4AE86D8F" w14:textId="77777777" w:rsidR="00BA172C" w:rsidRPr="00385E54" w:rsidRDefault="00BA172C" w:rsidP="00BA172C">
      <w:pPr>
        <w:pStyle w:val="Heading7"/>
        <w:rPr>
          <w:lang w:val="en-AU"/>
        </w:rPr>
      </w:pPr>
      <w:r w:rsidRPr="00385E54">
        <w:rPr>
          <w:lang w:val="en-AU"/>
        </w:rPr>
        <w:t>These plans also include unlimited standard national SMS/MMS and unlimited standard International SMS/MMS to selected countries. The $50/$60 plans have an amount of included international minutes to use on standard international calls to selected countries.</w:t>
      </w:r>
    </w:p>
    <w:p w14:paraId="51BFE210" w14:textId="77777777" w:rsidR="00BA172C" w:rsidRPr="00385E54" w:rsidRDefault="00BA172C" w:rsidP="00BA172C">
      <w:pPr>
        <w:pStyle w:val="Heading7"/>
        <w:rPr>
          <w:lang w:val="en-AU"/>
        </w:rPr>
      </w:pPr>
      <w:r w:rsidRPr="00385E54">
        <w:rPr>
          <w:lang w:val="en-AU"/>
        </w:rPr>
        <w:t>Data usage is calculated in one kilobyte increments. Plans that don</w:t>
      </w:r>
      <w:r>
        <w:rPr>
          <w:lang w:val="en-AU"/>
        </w:rPr>
        <w:t>'</w:t>
      </w:r>
      <w:r w:rsidRPr="00385E54">
        <w:rPr>
          <w:lang w:val="en-AU"/>
        </w:rPr>
        <w:t>t have unlimited minutes calculate usage in one minute increments. International minutes are billed in one minute increments.</w:t>
      </w:r>
    </w:p>
    <w:p w14:paraId="495054DB" w14:textId="77777777" w:rsidR="00BA172C" w:rsidRPr="00385E54" w:rsidRDefault="00BA172C" w:rsidP="00BA172C">
      <w:pPr>
        <w:pStyle w:val="Heading7"/>
        <w:rPr>
          <w:lang w:val="en-AU"/>
        </w:rPr>
      </w:pPr>
      <w:r w:rsidRPr="00385E54">
        <w:rPr>
          <w:lang w:val="en-AU"/>
        </w:rPr>
        <w:lastRenderedPageBreak/>
        <w:t xml:space="preserve">If </w:t>
      </w:r>
      <w:r w:rsidRPr="00385E54">
        <w:rPr>
          <w:i/>
          <w:lang w:val="en-AU"/>
        </w:rPr>
        <w:t>you</w:t>
      </w:r>
      <w:r w:rsidRPr="00385E54">
        <w:rPr>
          <w:lang w:val="en-AU"/>
        </w:rPr>
        <w:t xml:space="preserve"> exceed your included shareable data you</w:t>
      </w:r>
      <w:r>
        <w:rPr>
          <w:lang w:val="en-AU"/>
        </w:rPr>
        <w:t>'</w:t>
      </w:r>
      <w:r w:rsidRPr="00385E54">
        <w:rPr>
          <w:lang w:val="en-AU"/>
        </w:rPr>
        <w:t>ll automatically be charged $10 for each additional 1GB of data (</w:t>
      </w:r>
      <w:r>
        <w:rPr>
          <w:lang w:val="en-AU"/>
        </w:rPr>
        <w:t>"</w:t>
      </w:r>
      <w:r w:rsidRPr="00385E54">
        <w:rPr>
          <w:lang w:val="en-AU"/>
        </w:rPr>
        <w:t>Additional Data</w:t>
      </w:r>
      <w:r>
        <w:rPr>
          <w:lang w:val="en-AU"/>
        </w:rPr>
        <w:t>"</w:t>
      </w:r>
      <w:r w:rsidRPr="00385E54">
        <w:rPr>
          <w:lang w:val="en-AU"/>
        </w:rPr>
        <w:t>) that you use (or part thereof). You can use up to 150GB of extra data per account each month. Your service/s may then be restricted or we may continue to charge you at these rates.</w:t>
      </w:r>
      <w:r>
        <w:rPr>
          <w:lang w:val="en-AU"/>
        </w:rPr>
        <w:t xml:space="preserve"> </w:t>
      </w:r>
    </w:p>
    <w:p w14:paraId="29D4359E" w14:textId="77777777" w:rsidR="00BA172C" w:rsidRPr="00385E54" w:rsidRDefault="00BA172C" w:rsidP="00BA172C">
      <w:pPr>
        <w:pStyle w:val="Heading7"/>
        <w:rPr>
          <w:lang w:val="en-AU"/>
        </w:rPr>
      </w:pPr>
      <w:r w:rsidRPr="00385E54">
        <w:rPr>
          <w:lang w:val="en-AU"/>
        </w:rPr>
        <w:t xml:space="preserve">Any unused portion of </w:t>
      </w:r>
      <w:r w:rsidRPr="00385E54">
        <w:rPr>
          <w:i/>
          <w:lang w:val="en-AU"/>
        </w:rPr>
        <w:t>your</w:t>
      </w:r>
      <w:r w:rsidRPr="00385E54">
        <w:rPr>
          <w:lang w:val="en-AU"/>
        </w:rPr>
        <w:t xml:space="preserve"> </w:t>
      </w:r>
      <w:r w:rsidRPr="00385E54">
        <w:rPr>
          <w:i/>
          <w:lang w:val="en-AU"/>
        </w:rPr>
        <w:t>plan</w:t>
      </w:r>
      <w:r>
        <w:rPr>
          <w:i/>
          <w:lang w:val="en-AU"/>
        </w:rPr>
        <w:t>'</w:t>
      </w:r>
      <w:r w:rsidRPr="00385E54">
        <w:rPr>
          <w:i/>
          <w:lang w:val="en-AU"/>
        </w:rPr>
        <w:t>s</w:t>
      </w:r>
      <w:r w:rsidRPr="00385E54">
        <w:rPr>
          <w:lang w:val="en-AU"/>
        </w:rPr>
        <w:t xml:space="preserve"> Included Minutes, Included or Additional Data or International Minutes expires at the end of each month and does not roll over into the next month.</w:t>
      </w:r>
    </w:p>
    <w:p w14:paraId="4D19C2FE" w14:textId="77777777" w:rsidR="00BA172C" w:rsidRPr="00385E54" w:rsidRDefault="00BA172C" w:rsidP="00BA172C">
      <w:pPr>
        <w:pStyle w:val="Heading7"/>
        <w:rPr>
          <w:b/>
          <w:lang w:val="en-AU"/>
        </w:rPr>
      </w:pPr>
      <w:r w:rsidRPr="00385E54">
        <w:rPr>
          <w:i/>
          <w:lang w:val="en-AU"/>
        </w:rPr>
        <w:t>You</w:t>
      </w:r>
      <w:r w:rsidRPr="00385E54">
        <w:rPr>
          <w:lang w:val="en-AU"/>
        </w:rPr>
        <w:t xml:space="preserve"> must pay </w:t>
      </w:r>
      <w:r w:rsidRPr="00385E54">
        <w:rPr>
          <w:i/>
          <w:lang w:val="en-AU"/>
        </w:rPr>
        <w:t>us</w:t>
      </w:r>
      <w:r w:rsidRPr="00385E54">
        <w:rPr>
          <w:lang w:val="en-AU"/>
        </w:rPr>
        <w:t xml:space="preserve"> for use of any services that are not included in </w:t>
      </w:r>
      <w:r w:rsidRPr="00385E54">
        <w:rPr>
          <w:i/>
          <w:lang w:val="en-AU"/>
        </w:rPr>
        <w:t>your</w:t>
      </w:r>
      <w:r w:rsidRPr="00385E54">
        <w:rPr>
          <w:lang w:val="en-AU"/>
        </w:rPr>
        <w:t xml:space="preserve"> plan</w:t>
      </w:r>
      <w:r>
        <w:rPr>
          <w:lang w:val="en-AU"/>
        </w:rPr>
        <w:t>'</w:t>
      </w:r>
      <w:r w:rsidRPr="00385E54">
        <w:rPr>
          <w:lang w:val="en-AU"/>
        </w:rPr>
        <w:t>s inclusions, examples of which are set out in Table 2 below.</w:t>
      </w:r>
    </w:p>
    <w:p w14:paraId="705A66E2" w14:textId="77777777" w:rsidR="00BA172C" w:rsidRPr="00CD3F2D" w:rsidRDefault="00BA172C" w:rsidP="00BA172C">
      <w:pPr>
        <w:pStyle w:val="Heading6"/>
        <w:ind w:left="0" w:firstLine="0"/>
        <w:rPr>
          <w:lang w:val="en-AU"/>
        </w:rPr>
      </w:pPr>
      <w:bookmarkStart w:id="1842" w:name="_Toc509314774"/>
      <w:r w:rsidRPr="00CD3F2D">
        <w:rPr>
          <w:lang w:val="en-AU"/>
        </w:rPr>
        <w:t>Data Sharing</w:t>
      </w:r>
      <w:bookmarkEnd w:id="1842"/>
    </w:p>
    <w:p w14:paraId="5729D96C" w14:textId="77777777" w:rsidR="00BA172C" w:rsidRPr="00385E54" w:rsidRDefault="00BA172C" w:rsidP="00BA172C">
      <w:pPr>
        <w:pStyle w:val="Heading7"/>
        <w:rPr>
          <w:lang w:val="en-AU"/>
        </w:rPr>
      </w:pPr>
      <w:r w:rsidRPr="00385E54">
        <w:rPr>
          <w:lang w:val="en-AU"/>
        </w:rPr>
        <w:t>If you have more than one My Plan Plus, My Plan Plus SIM Only, My Plan Business (including Tech Fund), My Plan Business SIM,</w:t>
      </w:r>
      <w:r w:rsidRPr="008E7650">
        <w:t xml:space="preserve"> </w:t>
      </w:r>
      <w:r w:rsidRPr="008E7650">
        <w:rPr>
          <w:lang w:val="en-AU"/>
        </w:rPr>
        <w:t>My Plan Flex, My Plan Business Flex, Business Lease</w:t>
      </w:r>
      <w:r>
        <w:rPr>
          <w:lang w:val="en-AU"/>
        </w:rPr>
        <w:t>,</w:t>
      </w:r>
      <w:r w:rsidRPr="00385E54">
        <w:rPr>
          <w:lang w:val="en-AU"/>
        </w:rPr>
        <w:t xml:space="preserve"> My Mobile Broadband Plus or Mobile Broadband Business on the same billing account, the included data will combine into one data pool, which will be shared by all eligible services on that account.</w:t>
      </w:r>
    </w:p>
    <w:p w14:paraId="7B86DEAB" w14:textId="77777777" w:rsidR="00BA172C" w:rsidRPr="00385E54" w:rsidRDefault="00BA172C" w:rsidP="00BA172C">
      <w:pPr>
        <w:pStyle w:val="Heading7"/>
        <w:rPr>
          <w:lang w:val="en-AU"/>
        </w:rPr>
      </w:pPr>
      <w:r w:rsidRPr="00385E54">
        <w:rPr>
          <w:lang w:val="en-AU"/>
        </w:rPr>
        <w:t xml:space="preserve">If </w:t>
      </w:r>
      <w:r w:rsidRPr="00385E54">
        <w:rPr>
          <w:i/>
          <w:lang w:val="en-AU"/>
        </w:rPr>
        <w:t>you</w:t>
      </w:r>
      <w:r w:rsidRPr="00385E54">
        <w:rPr>
          <w:lang w:val="en-AU"/>
        </w:rPr>
        <w:t xml:space="preserve"> do not want </w:t>
      </w:r>
      <w:r w:rsidRPr="00385E54">
        <w:rPr>
          <w:i/>
          <w:lang w:val="en-AU"/>
        </w:rPr>
        <w:t>your</w:t>
      </w:r>
      <w:r w:rsidRPr="00385E54">
        <w:rPr>
          <w:lang w:val="en-AU"/>
        </w:rPr>
        <w:t xml:space="preserve"> services to share data, they need to be on separate billing accounts. </w:t>
      </w:r>
    </w:p>
    <w:p w14:paraId="00194F8B" w14:textId="77777777" w:rsidR="00BA172C" w:rsidRPr="00385E54" w:rsidRDefault="00BA172C" w:rsidP="00BA172C">
      <w:pPr>
        <w:pStyle w:val="Heading7"/>
        <w:rPr>
          <w:lang w:val="en-AU"/>
        </w:rPr>
      </w:pPr>
      <w:r w:rsidRPr="00385E54">
        <w:rPr>
          <w:lang w:val="en-AU"/>
        </w:rPr>
        <w:t>Data sharing is only available within Australia.</w:t>
      </w:r>
    </w:p>
    <w:p w14:paraId="660D4011" w14:textId="77777777" w:rsidR="00BA172C" w:rsidRPr="00CD3F2D" w:rsidRDefault="00BA172C" w:rsidP="00BA172C">
      <w:pPr>
        <w:pStyle w:val="Heading6"/>
        <w:ind w:left="0" w:firstLine="0"/>
        <w:rPr>
          <w:lang w:val="en-AU"/>
        </w:rPr>
      </w:pPr>
      <w:bookmarkStart w:id="1843" w:name="_Toc509314775"/>
      <w:r w:rsidRPr="00CD3F2D">
        <w:rPr>
          <w:lang w:val="en-AU"/>
        </w:rPr>
        <w:t>International Minutes</w:t>
      </w:r>
      <w:bookmarkEnd w:id="1843"/>
    </w:p>
    <w:p w14:paraId="255FAB57" w14:textId="77777777" w:rsidR="00BA172C" w:rsidRPr="00385E54" w:rsidRDefault="00BA172C" w:rsidP="00BA172C">
      <w:pPr>
        <w:pStyle w:val="BodyText"/>
        <w:ind w:left="720"/>
        <w:rPr>
          <w:lang w:val="en-AU"/>
        </w:rPr>
      </w:pPr>
      <w:r w:rsidRPr="00385E54">
        <w:rPr>
          <w:lang w:val="en-AU"/>
        </w:rPr>
        <w:t>The</w:t>
      </w:r>
      <w:r>
        <w:rPr>
          <w:lang w:val="en-AU"/>
        </w:rPr>
        <w:t xml:space="preserve"> </w:t>
      </w:r>
      <w:r w:rsidRPr="00385E54">
        <w:rPr>
          <w:lang w:val="en-AU"/>
        </w:rPr>
        <w:t xml:space="preserve">$50/$60 Business </w:t>
      </w:r>
      <w:r>
        <w:rPr>
          <w:lang w:val="en-AU"/>
        </w:rPr>
        <w:t xml:space="preserve">Plan </w:t>
      </w:r>
      <w:r w:rsidRPr="00385E54">
        <w:rPr>
          <w:lang w:val="en-AU"/>
        </w:rPr>
        <w:t>SIM includes up to 300/500 international minutes (respectively) for standard calls to mobiles and fixed lines in selected countries. For a list of selected countries see Table 3 below.</w:t>
      </w:r>
    </w:p>
    <w:p w14:paraId="623CDD94" w14:textId="77777777" w:rsidR="00BA172C" w:rsidRPr="00385E54" w:rsidRDefault="00BA172C" w:rsidP="00BA172C">
      <w:pPr>
        <w:pStyle w:val="BodyText"/>
        <w:ind w:left="720"/>
        <w:rPr>
          <w:lang w:val="en-AU"/>
        </w:rPr>
      </w:pPr>
      <w:r w:rsidRPr="00385E54">
        <w:rPr>
          <w:lang w:val="en-AU"/>
        </w:rPr>
        <w:t xml:space="preserve">Calls are charged per minute. When included minutes for calls to selected countries are used up, standard </w:t>
      </w:r>
      <w:r>
        <w:rPr>
          <w:lang w:val="en-AU"/>
        </w:rPr>
        <w:t>'</w:t>
      </w:r>
      <w:r w:rsidRPr="00385E54">
        <w:rPr>
          <w:lang w:val="en-AU"/>
        </w:rPr>
        <w:t>yes</w:t>
      </w:r>
      <w:r>
        <w:rPr>
          <w:lang w:val="en-AU"/>
        </w:rPr>
        <w:t>'</w:t>
      </w:r>
      <w:r w:rsidRPr="00385E54">
        <w:rPr>
          <w:lang w:val="en-AU"/>
        </w:rPr>
        <w:t xml:space="preserve"> international call charges apply. </w:t>
      </w:r>
    </w:p>
    <w:p w14:paraId="540D60B7" w14:textId="77777777" w:rsidR="00BA172C" w:rsidRPr="00385E54" w:rsidRDefault="00BA172C" w:rsidP="00BA172C">
      <w:pPr>
        <w:pStyle w:val="BodyText"/>
        <w:ind w:left="720"/>
        <w:rPr>
          <w:lang w:val="en-AU"/>
        </w:rPr>
      </w:pPr>
      <w:r w:rsidRPr="00385E54">
        <w:rPr>
          <w:lang w:val="en-AU"/>
        </w:rPr>
        <w:t xml:space="preserve">Standard international calls to selected countries are subject to </w:t>
      </w:r>
      <w:hyperlink r:id="rId808" w:history="1">
        <w:r w:rsidRPr="00385E54">
          <w:rPr>
            <w:rStyle w:val="Hyperlink"/>
            <w:i/>
            <w:lang w:val="en-AU"/>
          </w:rPr>
          <w:t>Fair Go Policy</w:t>
        </w:r>
      </w:hyperlink>
      <w:r w:rsidRPr="00385E54">
        <w:rPr>
          <w:lang w:val="en-AU"/>
        </w:rPr>
        <w:t xml:space="preserve">. For further details refer to </w:t>
      </w:r>
      <w:hyperlink r:id="rId809" w:history="1">
        <w:r w:rsidRPr="00365735">
          <w:rPr>
            <w:rStyle w:val="Hyperlink"/>
            <w:i/>
            <w:lang w:val="en-AU"/>
          </w:rPr>
          <w:t>Appendix S</w:t>
        </w:r>
        <w:r w:rsidRPr="00092720">
          <w:rPr>
            <w:rStyle w:val="Hyperlink"/>
            <w:lang w:val="en-AU"/>
          </w:rPr>
          <w:t>.</w:t>
        </w:r>
      </w:hyperlink>
    </w:p>
    <w:p w14:paraId="2044202D" w14:textId="77777777" w:rsidR="00BA172C" w:rsidRPr="00CD3F2D" w:rsidRDefault="00BA172C" w:rsidP="00BA172C">
      <w:pPr>
        <w:pStyle w:val="Heading6"/>
        <w:keepNext/>
        <w:ind w:left="0" w:firstLine="0"/>
        <w:rPr>
          <w:lang w:val="en-AU"/>
        </w:rPr>
      </w:pPr>
      <w:bookmarkStart w:id="1844" w:name="_Toc509314776"/>
      <w:r w:rsidRPr="00CD3F2D">
        <w:rPr>
          <w:lang w:val="en-AU"/>
        </w:rPr>
        <w:t>Unlimited standard national SMS and MMS</w:t>
      </w:r>
      <w:bookmarkEnd w:id="1844"/>
    </w:p>
    <w:p w14:paraId="70933410" w14:textId="77777777" w:rsidR="00BA172C" w:rsidRPr="00385E54" w:rsidRDefault="00BA172C" w:rsidP="00BA172C">
      <w:pPr>
        <w:pStyle w:val="BodyText"/>
        <w:ind w:left="720"/>
        <w:rPr>
          <w:lang w:val="en-AU"/>
        </w:rPr>
      </w:pPr>
      <w:r w:rsidRPr="00385E54">
        <w:rPr>
          <w:lang w:val="en-AU"/>
        </w:rPr>
        <w:t>You may send standard unlimited SMS and MMS to Australian mobiles from within Australia.</w:t>
      </w:r>
    </w:p>
    <w:p w14:paraId="5A414239" w14:textId="77777777" w:rsidR="00BA172C" w:rsidRPr="00385E54" w:rsidRDefault="00BA172C" w:rsidP="00BA172C">
      <w:pPr>
        <w:pStyle w:val="BodyText"/>
        <w:ind w:left="720"/>
        <w:rPr>
          <w:i/>
          <w:lang w:val="en-AU"/>
        </w:rPr>
      </w:pPr>
      <w:r w:rsidRPr="00385E54">
        <w:rPr>
          <w:lang w:val="en-AU"/>
        </w:rPr>
        <w:t xml:space="preserve">Unlimited standard national SMS and MMS are only available for personal and ordinary business use and are not to be used for a commercial or non-ordinary purpose as set out in the Fair Go Policy. For further details refer to </w:t>
      </w:r>
      <w:hyperlink r:id="rId810" w:history="1">
        <w:r w:rsidRPr="00365735">
          <w:rPr>
            <w:rStyle w:val="Hyperlink"/>
            <w:i/>
            <w:lang w:val="en-AU"/>
          </w:rPr>
          <w:t>Appendix S</w:t>
        </w:r>
        <w:r w:rsidRPr="00092720">
          <w:rPr>
            <w:rStyle w:val="Hyperlink"/>
            <w:i/>
            <w:lang w:val="en-AU"/>
          </w:rPr>
          <w:t>.</w:t>
        </w:r>
      </w:hyperlink>
    </w:p>
    <w:p w14:paraId="14965AA7" w14:textId="77777777" w:rsidR="00BA172C" w:rsidRPr="00CD3F2D" w:rsidRDefault="00BA172C" w:rsidP="00BA172C">
      <w:pPr>
        <w:pStyle w:val="Heading6"/>
        <w:ind w:left="0" w:firstLine="0"/>
        <w:rPr>
          <w:lang w:val="en-AU"/>
        </w:rPr>
      </w:pPr>
      <w:bookmarkStart w:id="1845" w:name="_Toc509314777"/>
      <w:r w:rsidRPr="00CD3F2D">
        <w:rPr>
          <w:lang w:val="en-AU"/>
        </w:rPr>
        <w:t>Unlimited standard international SMS and MMS</w:t>
      </w:r>
      <w:bookmarkEnd w:id="1845"/>
    </w:p>
    <w:p w14:paraId="67207941" w14:textId="77777777" w:rsidR="00BA172C" w:rsidRPr="00385E54" w:rsidRDefault="00BA172C" w:rsidP="00BA172C">
      <w:pPr>
        <w:pStyle w:val="BodyText"/>
        <w:ind w:left="720"/>
        <w:rPr>
          <w:lang w:val="en-AU"/>
        </w:rPr>
      </w:pPr>
      <w:r w:rsidRPr="00385E54">
        <w:rPr>
          <w:lang w:val="en-AU"/>
        </w:rPr>
        <w:t>You may send unlimited standard SMS and MMS to selected countries as set out in Table 3 below.</w:t>
      </w:r>
    </w:p>
    <w:p w14:paraId="63D8A27B" w14:textId="77777777" w:rsidR="00BA172C" w:rsidRDefault="00BA172C" w:rsidP="00BA172C">
      <w:pPr>
        <w:pStyle w:val="BodyText"/>
        <w:ind w:left="720"/>
      </w:pPr>
      <w:r w:rsidRPr="00385E54">
        <w:rPr>
          <w:lang w:val="en-AU"/>
        </w:rPr>
        <w:t xml:space="preserve">Unlimited standard SMS and MMS are only available for personal and ordinary business use and are not to be used for a commercial or non-ordinary purpose as set out in the Fair Go Policy. For further details refer to </w:t>
      </w:r>
      <w:hyperlink r:id="rId811" w:history="1">
        <w:r w:rsidRPr="00365735">
          <w:rPr>
            <w:rStyle w:val="Hyperlink"/>
            <w:i/>
            <w:lang w:val="en-AU"/>
          </w:rPr>
          <w:t>Appendix S</w:t>
        </w:r>
        <w:r w:rsidRPr="00092720">
          <w:rPr>
            <w:rStyle w:val="Hyperlink"/>
            <w:lang w:val="en-AU"/>
          </w:rPr>
          <w:t>.</w:t>
        </w:r>
      </w:hyperlink>
    </w:p>
    <w:p w14:paraId="08DE29CB" w14:textId="77777777" w:rsidR="00BA172C" w:rsidRPr="00031BF8" w:rsidRDefault="00BA172C" w:rsidP="00BA172C">
      <w:pPr>
        <w:pStyle w:val="BodyText"/>
        <w:ind w:left="720"/>
        <w:rPr>
          <w:b/>
        </w:rPr>
      </w:pPr>
      <w:r w:rsidRPr="00031BF8">
        <w:rPr>
          <w:b/>
        </w:rPr>
        <w:t>Table 1 –</w:t>
      </w:r>
      <w:r>
        <w:rPr>
          <w:b/>
        </w:rPr>
        <w:t xml:space="preserve"> </w:t>
      </w:r>
      <w:r w:rsidRPr="00031BF8">
        <w:rPr>
          <w:b/>
        </w:rPr>
        <w:t>Plan Inclusions and Charges</w:t>
      </w: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0"/>
        <w:gridCol w:w="1620"/>
        <w:gridCol w:w="1620"/>
        <w:gridCol w:w="1620"/>
      </w:tblGrid>
      <w:tr w:rsidR="00BA172C" w:rsidRPr="005310F1" w14:paraId="20328CDB" w14:textId="77777777" w:rsidTr="00B95821">
        <w:trPr>
          <w:trHeight w:val="219"/>
        </w:trPr>
        <w:tc>
          <w:tcPr>
            <w:tcW w:w="3870" w:type="dxa"/>
            <w:shd w:val="clear" w:color="auto" w:fill="auto"/>
          </w:tcPr>
          <w:p w14:paraId="4DF613CE" w14:textId="77777777" w:rsidR="00BA172C" w:rsidRPr="00AC0AEA" w:rsidRDefault="00BA172C" w:rsidP="00B95821">
            <w:pPr>
              <w:pStyle w:val="BodyText"/>
              <w:spacing w:before="100" w:after="100"/>
              <w:jc w:val="center"/>
              <w:rPr>
                <w:b/>
              </w:rPr>
            </w:pPr>
          </w:p>
        </w:tc>
        <w:tc>
          <w:tcPr>
            <w:tcW w:w="1620" w:type="dxa"/>
            <w:vAlign w:val="center"/>
          </w:tcPr>
          <w:p w14:paraId="7462B57A" w14:textId="77777777" w:rsidR="00BA172C" w:rsidRPr="00AC0AEA" w:rsidRDefault="00BA172C" w:rsidP="00B95821">
            <w:pPr>
              <w:pStyle w:val="BodyText"/>
              <w:spacing w:before="100" w:after="100"/>
              <w:jc w:val="center"/>
              <w:rPr>
                <w:b/>
              </w:rPr>
            </w:pPr>
            <w:r w:rsidRPr="00AC0AEA">
              <w:rPr>
                <w:b/>
              </w:rPr>
              <w:t xml:space="preserve">$35 Business </w:t>
            </w:r>
            <w:r>
              <w:rPr>
                <w:b/>
              </w:rPr>
              <w:t xml:space="preserve">Plan </w:t>
            </w:r>
            <w:r w:rsidRPr="00AC0AEA">
              <w:rPr>
                <w:b/>
              </w:rPr>
              <w:t>SIM</w:t>
            </w:r>
          </w:p>
        </w:tc>
        <w:tc>
          <w:tcPr>
            <w:tcW w:w="1620" w:type="dxa"/>
          </w:tcPr>
          <w:p w14:paraId="09D8FBE4" w14:textId="77777777" w:rsidR="00BA172C" w:rsidRPr="00AC0AEA" w:rsidRDefault="00BA172C" w:rsidP="00B95821">
            <w:pPr>
              <w:pStyle w:val="BodyText"/>
              <w:spacing w:before="100" w:after="100"/>
              <w:jc w:val="center"/>
              <w:rPr>
                <w:b/>
              </w:rPr>
            </w:pPr>
            <w:r w:rsidRPr="00AC0AEA">
              <w:rPr>
                <w:b/>
              </w:rPr>
              <w:t>$50 Business</w:t>
            </w:r>
            <w:r>
              <w:rPr>
                <w:b/>
              </w:rPr>
              <w:t xml:space="preserve"> Plan</w:t>
            </w:r>
            <w:r w:rsidRPr="00AC0AEA">
              <w:rPr>
                <w:b/>
              </w:rPr>
              <w:t xml:space="preserve"> SIM</w:t>
            </w:r>
          </w:p>
        </w:tc>
        <w:tc>
          <w:tcPr>
            <w:tcW w:w="1620" w:type="dxa"/>
          </w:tcPr>
          <w:p w14:paraId="644402F6" w14:textId="77777777" w:rsidR="00BA172C" w:rsidRPr="00AC0AEA" w:rsidRDefault="00BA172C" w:rsidP="00B95821">
            <w:pPr>
              <w:pStyle w:val="BodyText"/>
              <w:spacing w:before="100" w:after="100"/>
              <w:jc w:val="center"/>
              <w:rPr>
                <w:b/>
              </w:rPr>
            </w:pPr>
            <w:r w:rsidRPr="00AC0AEA">
              <w:rPr>
                <w:b/>
              </w:rPr>
              <w:t xml:space="preserve">$60 Business </w:t>
            </w:r>
            <w:r>
              <w:rPr>
                <w:b/>
              </w:rPr>
              <w:t xml:space="preserve">Plan </w:t>
            </w:r>
            <w:r w:rsidRPr="00AC0AEA">
              <w:rPr>
                <w:b/>
              </w:rPr>
              <w:t>SIM</w:t>
            </w:r>
          </w:p>
        </w:tc>
      </w:tr>
      <w:tr w:rsidR="00BA172C" w:rsidRPr="005310F1" w14:paraId="799E1F8B" w14:textId="77777777" w:rsidTr="00B95821">
        <w:tc>
          <w:tcPr>
            <w:tcW w:w="3870" w:type="dxa"/>
            <w:shd w:val="clear" w:color="auto" w:fill="auto"/>
          </w:tcPr>
          <w:p w14:paraId="4E528034" w14:textId="77777777" w:rsidR="00BA172C" w:rsidRPr="00AC0AEA" w:rsidRDefault="00BA172C" w:rsidP="00B95821">
            <w:pPr>
              <w:pStyle w:val="BodyText"/>
              <w:spacing w:before="100" w:after="100"/>
              <w:rPr>
                <w:b/>
              </w:rPr>
            </w:pPr>
            <w:r w:rsidRPr="00AC0AEA">
              <w:rPr>
                <w:b/>
              </w:rPr>
              <w:t>Minimum Monthly charge</w:t>
            </w:r>
          </w:p>
        </w:tc>
        <w:tc>
          <w:tcPr>
            <w:tcW w:w="1620" w:type="dxa"/>
            <w:vAlign w:val="center"/>
          </w:tcPr>
          <w:p w14:paraId="4E0D3224" w14:textId="77777777" w:rsidR="00BA172C" w:rsidRPr="00AC0AEA" w:rsidRDefault="00BA172C" w:rsidP="00B95821">
            <w:pPr>
              <w:pStyle w:val="BodyText"/>
              <w:spacing w:before="100" w:after="100"/>
              <w:jc w:val="center"/>
            </w:pPr>
            <w:r w:rsidRPr="00AC0AEA">
              <w:t>$35</w:t>
            </w:r>
          </w:p>
        </w:tc>
        <w:tc>
          <w:tcPr>
            <w:tcW w:w="1620" w:type="dxa"/>
            <w:vAlign w:val="center"/>
          </w:tcPr>
          <w:p w14:paraId="6B497474" w14:textId="77777777" w:rsidR="00BA172C" w:rsidRPr="00AC0AEA" w:rsidRDefault="00BA172C" w:rsidP="00B95821">
            <w:pPr>
              <w:pStyle w:val="BodyText"/>
              <w:spacing w:before="100" w:after="100"/>
              <w:jc w:val="center"/>
            </w:pPr>
            <w:r w:rsidRPr="00AC0AEA">
              <w:t>$50</w:t>
            </w:r>
          </w:p>
        </w:tc>
        <w:tc>
          <w:tcPr>
            <w:tcW w:w="1620" w:type="dxa"/>
            <w:vAlign w:val="center"/>
          </w:tcPr>
          <w:p w14:paraId="7C057D20" w14:textId="77777777" w:rsidR="00BA172C" w:rsidRPr="00AC0AEA" w:rsidRDefault="00BA172C" w:rsidP="00B95821">
            <w:pPr>
              <w:pStyle w:val="BodyText"/>
              <w:spacing w:before="100" w:after="100"/>
              <w:jc w:val="center"/>
            </w:pPr>
            <w:r w:rsidRPr="00AC0AEA">
              <w:t>$60</w:t>
            </w:r>
          </w:p>
        </w:tc>
      </w:tr>
      <w:tr w:rsidR="00BA172C" w:rsidRPr="005310F1" w14:paraId="18317B6A" w14:textId="77777777" w:rsidTr="00B95821">
        <w:tc>
          <w:tcPr>
            <w:tcW w:w="3870" w:type="dxa"/>
            <w:shd w:val="clear" w:color="auto" w:fill="auto"/>
          </w:tcPr>
          <w:p w14:paraId="422D1F7E" w14:textId="77777777" w:rsidR="00BA172C" w:rsidRPr="00AC0AEA" w:rsidRDefault="00BA172C" w:rsidP="00B95821">
            <w:pPr>
              <w:pStyle w:val="BodyText"/>
              <w:spacing w:before="100" w:after="100"/>
              <w:rPr>
                <w:b/>
              </w:rPr>
            </w:pPr>
            <w:r w:rsidRPr="00AC0AEA">
              <w:rPr>
                <w:b/>
              </w:rPr>
              <w:t>Included Data</w:t>
            </w:r>
          </w:p>
        </w:tc>
        <w:tc>
          <w:tcPr>
            <w:tcW w:w="1620" w:type="dxa"/>
            <w:vAlign w:val="center"/>
          </w:tcPr>
          <w:p w14:paraId="581DF253" w14:textId="77777777" w:rsidR="00BA172C" w:rsidRPr="00AC0AEA" w:rsidRDefault="00BA172C" w:rsidP="00B95821">
            <w:pPr>
              <w:pStyle w:val="BodyText"/>
              <w:spacing w:before="100" w:after="100"/>
              <w:jc w:val="center"/>
            </w:pPr>
            <w:r w:rsidRPr="00AC0AEA">
              <w:t>1.5GB</w:t>
            </w:r>
          </w:p>
        </w:tc>
        <w:tc>
          <w:tcPr>
            <w:tcW w:w="1620" w:type="dxa"/>
            <w:vAlign w:val="center"/>
          </w:tcPr>
          <w:p w14:paraId="0FE633EB" w14:textId="77777777" w:rsidR="00BA172C" w:rsidRPr="00AC0AEA" w:rsidRDefault="00BA172C" w:rsidP="00B95821">
            <w:pPr>
              <w:pStyle w:val="BodyText"/>
              <w:spacing w:before="100" w:after="100"/>
              <w:jc w:val="center"/>
            </w:pPr>
            <w:r w:rsidRPr="00AC0AEA">
              <w:t>6GB</w:t>
            </w:r>
          </w:p>
        </w:tc>
        <w:tc>
          <w:tcPr>
            <w:tcW w:w="1620" w:type="dxa"/>
            <w:vAlign w:val="center"/>
          </w:tcPr>
          <w:p w14:paraId="0D628914" w14:textId="77777777" w:rsidR="00BA172C" w:rsidRPr="00AC0AEA" w:rsidRDefault="00BA172C" w:rsidP="00B95821">
            <w:pPr>
              <w:pStyle w:val="BodyText"/>
              <w:spacing w:before="100" w:after="100"/>
              <w:jc w:val="center"/>
            </w:pPr>
            <w:r w:rsidRPr="00AC0AEA">
              <w:t>9GB</w:t>
            </w:r>
          </w:p>
        </w:tc>
      </w:tr>
      <w:tr w:rsidR="00BA172C" w:rsidRPr="005310F1" w14:paraId="13CE3D53" w14:textId="77777777" w:rsidTr="00B95821">
        <w:tc>
          <w:tcPr>
            <w:tcW w:w="3870" w:type="dxa"/>
            <w:shd w:val="clear" w:color="auto" w:fill="auto"/>
          </w:tcPr>
          <w:p w14:paraId="3D585F5C" w14:textId="77777777" w:rsidR="00BA172C" w:rsidRPr="00AC0AEA" w:rsidRDefault="00BA172C" w:rsidP="00B95821">
            <w:pPr>
              <w:pStyle w:val="BodyText"/>
              <w:spacing w:before="100" w:after="100"/>
              <w:rPr>
                <w:b/>
              </w:rPr>
            </w:pPr>
            <w:r w:rsidRPr="00AC0AEA">
              <w:rPr>
                <w:b/>
              </w:rPr>
              <w:t xml:space="preserve">Included Minutes </w:t>
            </w:r>
          </w:p>
          <w:p w14:paraId="024F1BB3" w14:textId="77777777" w:rsidR="00BA172C" w:rsidRPr="00AC0AEA" w:rsidRDefault="00BA172C" w:rsidP="00B95821">
            <w:pPr>
              <w:pStyle w:val="BodyText"/>
              <w:spacing w:before="100" w:after="100"/>
              <w:rPr>
                <w:b/>
              </w:rPr>
            </w:pPr>
            <w:r w:rsidRPr="00AC0AEA">
              <w:rPr>
                <w:b/>
              </w:rPr>
              <w:t>for standard national calls to landlines and mobiles, 1300 numbers and voicemail, within Australia</w:t>
            </w:r>
          </w:p>
        </w:tc>
        <w:tc>
          <w:tcPr>
            <w:tcW w:w="4860" w:type="dxa"/>
            <w:gridSpan w:val="3"/>
            <w:vAlign w:val="center"/>
          </w:tcPr>
          <w:p w14:paraId="2FE65C3F" w14:textId="77777777" w:rsidR="00BA172C" w:rsidRPr="00AC0AEA" w:rsidRDefault="00BA172C" w:rsidP="00B95821">
            <w:pPr>
              <w:pStyle w:val="BodyText"/>
              <w:spacing w:before="100" w:after="100"/>
              <w:jc w:val="center"/>
            </w:pPr>
            <w:r w:rsidRPr="00AC0AEA">
              <w:t>Unlimited</w:t>
            </w:r>
          </w:p>
          <w:p w14:paraId="336DBBE6" w14:textId="77777777" w:rsidR="00BA172C" w:rsidRPr="00AC0AEA" w:rsidRDefault="00BA172C" w:rsidP="00B95821">
            <w:pPr>
              <w:pStyle w:val="BodyText"/>
              <w:spacing w:before="100" w:after="100"/>
              <w:jc w:val="center"/>
            </w:pPr>
          </w:p>
        </w:tc>
      </w:tr>
      <w:tr w:rsidR="00BA172C" w:rsidRPr="005310F1" w14:paraId="79BACEC9" w14:textId="77777777" w:rsidTr="00B95821">
        <w:tc>
          <w:tcPr>
            <w:tcW w:w="3870" w:type="dxa"/>
            <w:shd w:val="clear" w:color="auto" w:fill="auto"/>
          </w:tcPr>
          <w:p w14:paraId="6A1359AA" w14:textId="77777777" w:rsidR="00BA172C" w:rsidRPr="00AC0AEA" w:rsidRDefault="00BA172C" w:rsidP="00B95821">
            <w:pPr>
              <w:pStyle w:val="BodyText"/>
              <w:spacing w:before="100" w:after="100"/>
              <w:rPr>
                <w:b/>
              </w:rPr>
            </w:pPr>
            <w:r w:rsidRPr="00AC0AEA">
              <w:rPr>
                <w:b/>
              </w:rPr>
              <w:lastRenderedPageBreak/>
              <w:t>Included International Minutes</w:t>
            </w:r>
          </w:p>
          <w:p w14:paraId="0363B7A9" w14:textId="77777777" w:rsidR="00BA172C" w:rsidRPr="00AC0AEA" w:rsidRDefault="00BA172C" w:rsidP="00B95821">
            <w:pPr>
              <w:pStyle w:val="BodyText"/>
              <w:spacing w:before="100" w:after="100"/>
              <w:rPr>
                <w:b/>
              </w:rPr>
            </w:pPr>
            <w:r w:rsidRPr="00AC0AEA">
              <w:rPr>
                <w:b/>
              </w:rPr>
              <w:t>Standard international calls to landlines and mobiles</w:t>
            </w:r>
          </w:p>
          <w:p w14:paraId="23898D43" w14:textId="77777777" w:rsidR="00BA172C" w:rsidRPr="00AC0AEA" w:rsidRDefault="00BA172C" w:rsidP="00B95821">
            <w:pPr>
              <w:pStyle w:val="BodyText"/>
              <w:spacing w:before="100" w:after="100"/>
              <w:rPr>
                <w:b/>
              </w:rPr>
            </w:pPr>
            <w:r w:rsidRPr="00AC0AEA">
              <w:rPr>
                <w:b/>
              </w:rPr>
              <w:t>to selected countries</w:t>
            </w:r>
            <w:r>
              <w:rPr>
                <w:b/>
              </w:rPr>
              <w:t xml:space="preserve"> (charged per min)</w:t>
            </w:r>
          </w:p>
        </w:tc>
        <w:tc>
          <w:tcPr>
            <w:tcW w:w="1620" w:type="dxa"/>
            <w:vAlign w:val="center"/>
          </w:tcPr>
          <w:p w14:paraId="6EFD0606" w14:textId="77777777" w:rsidR="00BA172C" w:rsidRPr="00AC0AEA" w:rsidDel="00D73ADA" w:rsidRDefault="00BA172C" w:rsidP="00B95821">
            <w:pPr>
              <w:pStyle w:val="BodyText"/>
              <w:spacing w:before="100" w:after="100"/>
              <w:jc w:val="center"/>
            </w:pPr>
            <w:r w:rsidRPr="00AC0AEA">
              <w:t>Not included</w:t>
            </w:r>
          </w:p>
        </w:tc>
        <w:tc>
          <w:tcPr>
            <w:tcW w:w="1620" w:type="dxa"/>
            <w:vAlign w:val="center"/>
          </w:tcPr>
          <w:p w14:paraId="7BDD0757" w14:textId="77777777" w:rsidR="00BA172C" w:rsidRPr="00AC0AEA" w:rsidRDefault="00BA172C" w:rsidP="00B95821">
            <w:pPr>
              <w:pStyle w:val="BodyText"/>
              <w:spacing w:before="100" w:after="100"/>
              <w:jc w:val="center"/>
            </w:pPr>
            <w:r w:rsidRPr="00AC0AEA">
              <w:t>Up to 300 mins</w:t>
            </w:r>
          </w:p>
        </w:tc>
        <w:tc>
          <w:tcPr>
            <w:tcW w:w="1620" w:type="dxa"/>
            <w:vAlign w:val="center"/>
          </w:tcPr>
          <w:p w14:paraId="696F9BD9" w14:textId="77777777" w:rsidR="00BA172C" w:rsidRPr="00AC0AEA" w:rsidRDefault="00BA172C" w:rsidP="00B95821">
            <w:pPr>
              <w:pStyle w:val="BodyText"/>
              <w:spacing w:before="100" w:after="100"/>
              <w:jc w:val="center"/>
            </w:pPr>
            <w:r w:rsidRPr="00AC0AEA">
              <w:t>Up to 500 mins</w:t>
            </w:r>
          </w:p>
        </w:tc>
      </w:tr>
      <w:tr w:rsidR="00BA172C" w:rsidRPr="005310F1" w14:paraId="75077994" w14:textId="77777777" w:rsidTr="00B95821">
        <w:tc>
          <w:tcPr>
            <w:tcW w:w="3870" w:type="dxa"/>
            <w:shd w:val="clear" w:color="auto" w:fill="auto"/>
          </w:tcPr>
          <w:p w14:paraId="0E9BF7FF" w14:textId="77777777" w:rsidR="00BA172C" w:rsidRPr="00AC0AEA" w:rsidRDefault="00BA172C" w:rsidP="00B95821">
            <w:pPr>
              <w:pStyle w:val="BodyText"/>
              <w:spacing w:before="100" w:after="100"/>
              <w:rPr>
                <w:b/>
              </w:rPr>
            </w:pPr>
            <w:r w:rsidRPr="00AC0AEA">
              <w:rPr>
                <w:b/>
              </w:rPr>
              <w:t>Standard national SMS (per SMS of up to 160 standard characters)</w:t>
            </w:r>
          </w:p>
        </w:tc>
        <w:tc>
          <w:tcPr>
            <w:tcW w:w="4860" w:type="dxa"/>
            <w:gridSpan w:val="3"/>
            <w:vAlign w:val="center"/>
          </w:tcPr>
          <w:p w14:paraId="1085B899" w14:textId="77777777" w:rsidR="00BA172C" w:rsidRPr="00AC0AEA" w:rsidRDefault="00BA172C" w:rsidP="00B95821">
            <w:pPr>
              <w:pStyle w:val="BodyText"/>
              <w:spacing w:before="100" w:after="100"/>
              <w:jc w:val="center"/>
            </w:pPr>
            <w:r w:rsidRPr="00AC0AEA">
              <w:t>Unlimited</w:t>
            </w:r>
          </w:p>
        </w:tc>
      </w:tr>
      <w:tr w:rsidR="00BA172C" w:rsidRPr="005310F1" w14:paraId="085C6230" w14:textId="77777777" w:rsidTr="00B95821">
        <w:tc>
          <w:tcPr>
            <w:tcW w:w="3870" w:type="dxa"/>
            <w:shd w:val="clear" w:color="auto" w:fill="auto"/>
          </w:tcPr>
          <w:p w14:paraId="3AD02537" w14:textId="77777777" w:rsidR="00BA172C" w:rsidRPr="00AC0AEA" w:rsidRDefault="00BA172C" w:rsidP="00B95821">
            <w:pPr>
              <w:pStyle w:val="BodyText"/>
              <w:spacing w:before="100" w:after="100"/>
              <w:rPr>
                <w:b/>
              </w:rPr>
            </w:pPr>
            <w:r w:rsidRPr="00AC0AEA">
              <w:rPr>
                <w:b/>
              </w:rPr>
              <w:t>Standard national MMS (per message)</w:t>
            </w:r>
          </w:p>
        </w:tc>
        <w:tc>
          <w:tcPr>
            <w:tcW w:w="4860" w:type="dxa"/>
            <w:gridSpan w:val="3"/>
            <w:vAlign w:val="center"/>
          </w:tcPr>
          <w:p w14:paraId="5E3091F6" w14:textId="77777777" w:rsidR="00BA172C" w:rsidRPr="00AC0AEA" w:rsidRDefault="00BA172C" w:rsidP="00B95821">
            <w:pPr>
              <w:pStyle w:val="BodyText"/>
              <w:spacing w:before="100" w:after="100"/>
              <w:jc w:val="center"/>
            </w:pPr>
            <w:r w:rsidRPr="00AC0AEA">
              <w:t>Unlimited</w:t>
            </w:r>
          </w:p>
        </w:tc>
      </w:tr>
      <w:tr w:rsidR="00BA172C" w:rsidRPr="005310F1" w14:paraId="68E72329" w14:textId="77777777" w:rsidTr="00B95821">
        <w:tc>
          <w:tcPr>
            <w:tcW w:w="3870" w:type="dxa"/>
            <w:shd w:val="clear" w:color="auto" w:fill="auto"/>
          </w:tcPr>
          <w:p w14:paraId="5B2F7A6B" w14:textId="77777777" w:rsidR="00BA172C" w:rsidRPr="00AC0AEA" w:rsidRDefault="00BA172C" w:rsidP="00B95821">
            <w:pPr>
              <w:pStyle w:val="BodyText"/>
              <w:spacing w:before="100" w:after="100"/>
              <w:rPr>
                <w:b/>
              </w:rPr>
            </w:pPr>
            <w:r w:rsidRPr="00AC0AEA">
              <w:rPr>
                <w:b/>
              </w:rPr>
              <w:t>Standard international SMS (per SMS of up to 160 standard characters to selected countries)</w:t>
            </w:r>
          </w:p>
        </w:tc>
        <w:tc>
          <w:tcPr>
            <w:tcW w:w="4860" w:type="dxa"/>
            <w:gridSpan w:val="3"/>
            <w:vAlign w:val="center"/>
          </w:tcPr>
          <w:p w14:paraId="47783070" w14:textId="77777777" w:rsidR="00BA172C" w:rsidRPr="00AC0AEA" w:rsidRDefault="00BA172C" w:rsidP="00B95821">
            <w:pPr>
              <w:pStyle w:val="BodyText"/>
              <w:spacing w:before="100" w:after="100"/>
              <w:jc w:val="center"/>
            </w:pPr>
            <w:r w:rsidRPr="00AC0AEA">
              <w:t>Unlimited</w:t>
            </w:r>
          </w:p>
        </w:tc>
      </w:tr>
      <w:tr w:rsidR="00BA172C" w:rsidRPr="005310F1" w14:paraId="5E9C9D40" w14:textId="77777777" w:rsidTr="00B95821">
        <w:trPr>
          <w:trHeight w:val="53"/>
        </w:trPr>
        <w:tc>
          <w:tcPr>
            <w:tcW w:w="3870" w:type="dxa"/>
            <w:shd w:val="clear" w:color="auto" w:fill="auto"/>
          </w:tcPr>
          <w:p w14:paraId="063CBA02" w14:textId="77777777" w:rsidR="00BA172C" w:rsidRPr="00AC0AEA" w:rsidRDefault="00BA172C" w:rsidP="00B95821">
            <w:pPr>
              <w:pStyle w:val="BodyText"/>
              <w:spacing w:before="100" w:after="100"/>
              <w:rPr>
                <w:b/>
              </w:rPr>
            </w:pPr>
            <w:r w:rsidRPr="00AC0AEA">
              <w:rPr>
                <w:b/>
              </w:rPr>
              <w:t>Standard international MMS (per message to selected countries)</w:t>
            </w:r>
          </w:p>
        </w:tc>
        <w:tc>
          <w:tcPr>
            <w:tcW w:w="4860" w:type="dxa"/>
            <w:gridSpan w:val="3"/>
            <w:vAlign w:val="center"/>
          </w:tcPr>
          <w:p w14:paraId="62B89798" w14:textId="77777777" w:rsidR="00BA172C" w:rsidRPr="00AC0AEA" w:rsidRDefault="00BA172C" w:rsidP="00B95821">
            <w:pPr>
              <w:pStyle w:val="BodyText"/>
              <w:spacing w:before="100" w:after="100"/>
              <w:jc w:val="center"/>
            </w:pPr>
            <w:r w:rsidRPr="00AC0AEA">
              <w:t>Unlimited</w:t>
            </w:r>
          </w:p>
        </w:tc>
      </w:tr>
    </w:tbl>
    <w:p w14:paraId="394983D5" w14:textId="77777777" w:rsidR="00BA172C" w:rsidRDefault="00BA172C" w:rsidP="00BA172C">
      <w:pPr>
        <w:pStyle w:val="BodyText"/>
      </w:pPr>
    </w:p>
    <w:p w14:paraId="54534537" w14:textId="77777777" w:rsidR="00BA172C" w:rsidRDefault="00BA172C" w:rsidP="00BA172C">
      <w:pPr>
        <w:pStyle w:val="BodyText"/>
        <w:keepNext/>
        <w:ind w:left="720"/>
      </w:pPr>
      <w:r w:rsidRPr="008B53CC">
        <w:rPr>
          <w:b/>
        </w:rPr>
        <w:t>Table 2 – Other usage types and charges</w:t>
      </w: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5"/>
        <w:gridCol w:w="4365"/>
      </w:tblGrid>
      <w:tr w:rsidR="00BA172C" w:rsidRPr="00E21F2E" w14:paraId="497D9A72" w14:textId="77777777" w:rsidTr="00B95821">
        <w:tc>
          <w:tcPr>
            <w:tcW w:w="4365" w:type="dxa"/>
            <w:shd w:val="clear" w:color="auto" w:fill="auto"/>
            <w:vAlign w:val="center"/>
          </w:tcPr>
          <w:p w14:paraId="199329B9" w14:textId="77777777" w:rsidR="00BA172C" w:rsidRPr="008B53CC" w:rsidRDefault="00BA172C" w:rsidP="00B95821">
            <w:pPr>
              <w:pStyle w:val="BodyText"/>
              <w:keepNext/>
              <w:spacing w:before="100" w:after="100"/>
              <w:jc w:val="center"/>
              <w:rPr>
                <w:b/>
              </w:rPr>
            </w:pPr>
            <w:r w:rsidRPr="008B53CC">
              <w:rPr>
                <w:b/>
              </w:rPr>
              <w:t>Usage type</w:t>
            </w:r>
          </w:p>
        </w:tc>
        <w:tc>
          <w:tcPr>
            <w:tcW w:w="4365" w:type="dxa"/>
            <w:shd w:val="clear" w:color="auto" w:fill="auto"/>
            <w:vAlign w:val="center"/>
          </w:tcPr>
          <w:p w14:paraId="3DB45069" w14:textId="77777777" w:rsidR="00BA172C" w:rsidRPr="008B53CC" w:rsidRDefault="00BA172C" w:rsidP="00B95821">
            <w:pPr>
              <w:pStyle w:val="BodyText"/>
              <w:keepNext/>
              <w:spacing w:before="100" w:after="100"/>
              <w:jc w:val="center"/>
              <w:rPr>
                <w:b/>
              </w:rPr>
            </w:pPr>
            <w:r w:rsidRPr="008B53CC">
              <w:rPr>
                <w:b/>
              </w:rPr>
              <w:t>Charge</w:t>
            </w:r>
          </w:p>
        </w:tc>
      </w:tr>
      <w:tr w:rsidR="00BA172C" w:rsidRPr="00E21F2E" w14:paraId="121A1A60" w14:textId="77777777" w:rsidTr="00B95821">
        <w:tc>
          <w:tcPr>
            <w:tcW w:w="4365" w:type="dxa"/>
            <w:shd w:val="clear" w:color="auto" w:fill="auto"/>
          </w:tcPr>
          <w:p w14:paraId="729ADA22" w14:textId="77777777" w:rsidR="00BA172C" w:rsidRPr="008B53CC" w:rsidRDefault="00BA172C" w:rsidP="00B95821">
            <w:pPr>
              <w:pStyle w:val="BodyText"/>
              <w:keepNext/>
              <w:spacing w:before="100" w:after="100"/>
              <w:rPr>
                <w:b/>
              </w:rPr>
            </w:pPr>
            <w:r w:rsidRPr="008B53CC">
              <w:rPr>
                <w:b/>
                <w:bCs/>
              </w:rPr>
              <w:t xml:space="preserve">National video calls </w:t>
            </w:r>
            <w:r w:rsidRPr="008B53CC">
              <w:rPr>
                <w:b/>
              </w:rPr>
              <w:t>(per minute)</w:t>
            </w:r>
          </w:p>
        </w:tc>
        <w:tc>
          <w:tcPr>
            <w:tcW w:w="4365" w:type="dxa"/>
            <w:shd w:val="clear" w:color="auto" w:fill="auto"/>
            <w:vAlign w:val="center"/>
          </w:tcPr>
          <w:p w14:paraId="39AF3892" w14:textId="77777777" w:rsidR="00BA172C" w:rsidRPr="00E21F2E" w:rsidRDefault="00BA172C" w:rsidP="00B95821">
            <w:pPr>
              <w:pStyle w:val="BodyText"/>
              <w:keepNext/>
              <w:spacing w:before="100" w:after="100"/>
              <w:jc w:val="center"/>
            </w:pPr>
            <w:r w:rsidRPr="00E21F2E">
              <w:t>$1.00 per min + 40c flagfall</w:t>
            </w:r>
          </w:p>
        </w:tc>
      </w:tr>
      <w:tr w:rsidR="00BA172C" w:rsidRPr="00E21F2E" w14:paraId="74B1B645" w14:textId="77777777" w:rsidTr="00B95821">
        <w:tc>
          <w:tcPr>
            <w:tcW w:w="4365" w:type="dxa"/>
            <w:shd w:val="clear" w:color="auto" w:fill="auto"/>
          </w:tcPr>
          <w:p w14:paraId="0E72867B" w14:textId="77777777" w:rsidR="00BA172C" w:rsidRPr="008B53CC" w:rsidRDefault="00BA172C" w:rsidP="00B95821">
            <w:pPr>
              <w:pStyle w:val="BodyText"/>
              <w:keepNext/>
              <w:spacing w:before="100" w:after="100"/>
              <w:rPr>
                <w:b/>
                <w:bCs/>
              </w:rPr>
            </w:pPr>
            <w:r w:rsidRPr="008B53CC">
              <w:rPr>
                <w:b/>
                <w:bCs/>
              </w:rPr>
              <w:t>National Diversions</w:t>
            </w:r>
          </w:p>
        </w:tc>
        <w:tc>
          <w:tcPr>
            <w:tcW w:w="4365" w:type="dxa"/>
            <w:shd w:val="clear" w:color="auto" w:fill="auto"/>
          </w:tcPr>
          <w:p w14:paraId="5A9DD999" w14:textId="77777777" w:rsidR="00BA172C" w:rsidRPr="00E21F2E" w:rsidRDefault="00BA172C" w:rsidP="00B95821">
            <w:pPr>
              <w:pStyle w:val="BodyText"/>
              <w:keepNext/>
              <w:spacing w:before="100" w:after="100"/>
              <w:jc w:val="center"/>
            </w:pPr>
            <w:r w:rsidRPr="00E21F2E">
              <w:t>$0 per minute</w:t>
            </w:r>
          </w:p>
        </w:tc>
      </w:tr>
      <w:tr w:rsidR="00BA172C" w:rsidRPr="00E21F2E" w14:paraId="4EB89F89" w14:textId="77777777" w:rsidTr="00B95821">
        <w:trPr>
          <w:trHeight w:val="120"/>
        </w:trPr>
        <w:tc>
          <w:tcPr>
            <w:tcW w:w="4365" w:type="dxa"/>
            <w:shd w:val="clear" w:color="auto" w:fill="auto"/>
          </w:tcPr>
          <w:p w14:paraId="60AA604A" w14:textId="77777777" w:rsidR="00BA172C" w:rsidRPr="008B53CC" w:rsidRDefault="00BA172C" w:rsidP="00B95821">
            <w:pPr>
              <w:pStyle w:val="BodyText"/>
              <w:keepNext/>
              <w:spacing w:before="100" w:after="100"/>
              <w:rPr>
                <w:b/>
                <w:bCs/>
              </w:rPr>
            </w:pPr>
            <w:r w:rsidRPr="008B53CC">
              <w:rPr>
                <w:b/>
                <w:bCs/>
              </w:rPr>
              <w:t xml:space="preserve">International Diversions </w:t>
            </w:r>
          </w:p>
        </w:tc>
        <w:tc>
          <w:tcPr>
            <w:tcW w:w="4365" w:type="dxa"/>
            <w:shd w:val="clear" w:color="auto" w:fill="auto"/>
          </w:tcPr>
          <w:p w14:paraId="033CCE07" w14:textId="77777777" w:rsidR="00BA172C" w:rsidRPr="00E21F2E" w:rsidRDefault="00BA172C" w:rsidP="00B95821">
            <w:pPr>
              <w:pStyle w:val="BodyText"/>
              <w:keepNext/>
              <w:spacing w:before="100" w:after="100"/>
              <w:jc w:val="center"/>
            </w:pPr>
            <w:r>
              <w:t>'</w:t>
            </w:r>
            <w:r w:rsidRPr="00E21F2E">
              <w:t>yes</w:t>
            </w:r>
            <w:r>
              <w:t>'</w:t>
            </w:r>
            <w:r w:rsidRPr="00E21F2E">
              <w:t xml:space="preserve"> international rates</w:t>
            </w:r>
            <w:r w:rsidRPr="00E21F2E">
              <w:br/>
              <w:t>See optus.com.au/international</w:t>
            </w:r>
          </w:p>
        </w:tc>
      </w:tr>
      <w:tr w:rsidR="00BA172C" w:rsidRPr="00E21F2E" w14:paraId="1D6953C0" w14:textId="77777777" w:rsidTr="00B95821">
        <w:tc>
          <w:tcPr>
            <w:tcW w:w="4365" w:type="dxa"/>
            <w:shd w:val="clear" w:color="auto" w:fill="auto"/>
          </w:tcPr>
          <w:p w14:paraId="1BCD1F12" w14:textId="77777777" w:rsidR="00BA172C" w:rsidRPr="008B53CC" w:rsidRDefault="00BA172C" w:rsidP="00B95821">
            <w:pPr>
              <w:pStyle w:val="BodyText"/>
              <w:keepNext/>
              <w:spacing w:before="100" w:after="100"/>
              <w:rPr>
                <w:b/>
                <w:bCs/>
              </w:rPr>
            </w:pPr>
            <w:r w:rsidRPr="008B53CC">
              <w:rPr>
                <w:b/>
                <w:bCs/>
              </w:rPr>
              <w:t xml:space="preserve">1800 numbers </w:t>
            </w:r>
          </w:p>
        </w:tc>
        <w:tc>
          <w:tcPr>
            <w:tcW w:w="4365" w:type="dxa"/>
            <w:shd w:val="clear" w:color="auto" w:fill="auto"/>
            <w:vAlign w:val="center"/>
          </w:tcPr>
          <w:p w14:paraId="272DA6EB" w14:textId="77777777" w:rsidR="00BA172C" w:rsidRPr="00E21F2E" w:rsidRDefault="00BA172C" w:rsidP="00B95821">
            <w:pPr>
              <w:pStyle w:val="BodyText"/>
              <w:keepNext/>
              <w:spacing w:before="100" w:after="100"/>
              <w:jc w:val="center"/>
            </w:pPr>
            <w:r w:rsidRPr="00E21F2E">
              <w:t>$0 per minute</w:t>
            </w:r>
          </w:p>
        </w:tc>
      </w:tr>
      <w:tr w:rsidR="00BA172C" w:rsidRPr="00E21F2E" w14:paraId="448458A2" w14:textId="77777777" w:rsidTr="00B95821">
        <w:tc>
          <w:tcPr>
            <w:tcW w:w="4365" w:type="dxa"/>
            <w:shd w:val="clear" w:color="auto" w:fill="auto"/>
          </w:tcPr>
          <w:p w14:paraId="6CBEA013" w14:textId="77777777" w:rsidR="00BA172C" w:rsidRPr="008B53CC" w:rsidRDefault="00BA172C" w:rsidP="00B95821">
            <w:pPr>
              <w:pStyle w:val="BodyText"/>
              <w:keepNext/>
              <w:spacing w:before="100" w:after="100"/>
              <w:rPr>
                <w:b/>
                <w:bCs/>
              </w:rPr>
            </w:pPr>
            <w:r w:rsidRPr="008B53CC">
              <w:rPr>
                <w:b/>
                <w:bCs/>
              </w:rPr>
              <w:t xml:space="preserve">Directory Assistance 1223 </w:t>
            </w:r>
          </w:p>
        </w:tc>
        <w:tc>
          <w:tcPr>
            <w:tcW w:w="4365" w:type="dxa"/>
            <w:shd w:val="clear" w:color="auto" w:fill="auto"/>
            <w:vAlign w:val="center"/>
          </w:tcPr>
          <w:p w14:paraId="680FE300" w14:textId="77777777" w:rsidR="00BA172C" w:rsidRPr="00E21F2E" w:rsidRDefault="00BA172C" w:rsidP="00B95821">
            <w:pPr>
              <w:pStyle w:val="BodyText"/>
              <w:keepNext/>
              <w:spacing w:before="100" w:after="100"/>
              <w:jc w:val="center"/>
            </w:pPr>
            <w:r w:rsidRPr="00E21F2E">
              <w:t>50c per call</w:t>
            </w:r>
          </w:p>
        </w:tc>
      </w:tr>
      <w:tr w:rsidR="00BA172C" w:rsidRPr="00E21F2E" w14:paraId="18205CE4" w14:textId="77777777" w:rsidTr="00B95821">
        <w:tc>
          <w:tcPr>
            <w:tcW w:w="4365" w:type="dxa"/>
            <w:shd w:val="clear" w:color="auto" w:fill="auto"/>
          </w:tcPr>
          <w:p w14:paraId="24490C54" w14:textId="77777777" w:rsidR="00BA172C" w:rsidRPr="008B53CC" w:rsidRDefault="00BA172C" w:rsidP="00B95821">
            <w:pPr>
              <w:pStyle w:val="BodyText"/>
              <w:keepNext/>
              <w:spacing w:before="100" w:after="100"/>
              <w:rPr>
                <w:b/>
                <w:bCs/>
              </w:rPr>
            </w:pPr>
            <w:r w:rsidRPr="008B53CC">
              <w:rPr>
                <w:b/>
                <w:bCs/>
              </w:rPr>
              <w:t>124 Yes</w:t>
            </w:r>
          </w:p>
        </w:tc>
        <w:tc>
          <w:tcPr>
            <w:tcW w:w="4365" w:type="dxa"/>
            <w:shd w:val="clear" w:color="auto" w:fill="auto"/>
            <w:vAlign w:val="center"/>
          </w:tcPr>
          <w:p w14:paraId="216AC550" w14:textId="77777777" w:rsidR="00BA172C" w:rsidRPr="00E21F2E" w:rsidRDefault="00BA172C" w:rsidP="00B95821">
            <w:pPr>
              <w:pStyle w:val="BodyText"/>
              <w:keepNext/>
              <w:spacing w:before="100" w:after="100"/>
              <w:jc w:val="center"/>
            </w:pPr>
            <w:r w:rsidRPr="00E21F2E">
              <w:t>90c per minute +$1.75c flagfall</w:t>
            </w:r>
          </w:p>
        </w:tc>
      </w:tr>
      <w:tr w:rsidR="00BA172C" w:rsidRPr="00E21F2E" w14:paraId="328EAD4E" w14:textId="77777777" w:rsidTr="00B95821">
        <w:trPr>
          <w:trHeight w:val="53"/>
        </w:trPr>
        <w:tc>
          <w:tcPr>
            <w:tcW w:w="4365" w:type="dxa"/>
            <w:shd w:val="clear" w:color="auto" w:fill="auto"/>
          </w:tcPr>
          <w:p w14:paraId="2C984D9A" w14:textId="77777777" w:rsidR="00BA172C" w:rsidRPr="008B53CC" w:rsidRDefault="00BA172C" w:rsidP="00B95821">
            <w:pPr>
              <w:pStyle w:val="BodyText"/>
              <w:keepNext/>
              <w:spacing w:before="100" w:after="100"/>
              <w:rPr>
                <w:b/>
                <w:bCs/>
              </w:rPr>
            </w:pPr>
            <w:r w:rsidRPr="008B53CC">
              <w:rPr>
                <w:b/>
                <w:bCs/>
              </w:rPr>
              <w:t>International voice calls (outside the plan</w:t>
            </w:r>
            <w:r>
              <w:rPr>
                <w:b/>
                <w:bCs/>
              </w:rPr>
              <w:t>'</w:t>
            </w:r>
            <w:r w:rsidRPr="008B53CC">
              <w:rPr>
                <w:b/>
                <w:bCs/>
              </w:rPr>
              <w:t xml:space="preserve">s included international minutes and to excluded countries) </w:t>
            </w:r>
          </w:p>
        </w:tc>
        <w:tc>
          <w:tcPr>
            <w:tcW w:w="4365" w:type="dxa"/>
            <w:shd w:val="clear" w:color="auto" w:fill="auto"/>
            <w:vAlign w:val="center"/>
          </w:tcPr>
          <w:p w14:paraId="69E5DE51" w14:textId="77777777" w:rsidR="00BA172C" w:rsidRPr="00E21F2E" w:rsidRDefault="00BA172C" w:rsidP="00B95821">
            <w:pPr>
              <w:pStyle w:val="BodyText"/>
              <w:keepNext/>
              <w:spacing w:before="100" w:after="100"/>
              <w:jc w:val="center"/>
            </w:pPr>
            <w:r>
              <w:t>'</w:t>
            </w:r>
            <w:r w:rsidRPr="00E21F2E">
              <w:t>yes</w:t>
            </w:r>
            <w:r>
              <w:t>'</w:t>
            </w:r>
            <w:r w:rsidRPr="00E21F2E">
              <w:t xml:space="preserve"> international rates</w:t>
            </w:r>
            <w:r w:rsidRPr="00E21F2E">
              <w:br/>
              <w:t>See optus.com.au/international</w:t>
            </w:r>
          </w:p>
        </w:tc>
      </w:tr>
      <w:tr w:rsidR="00BA172C" w:rsidRPr="00E21F2E" w14:paraId="3D818719" w14:textId="77777777" w:rsidTr="00B95821">
        <w:tc>
          <w:tcPr>
            <w:tcW w:w="4365" w:type="dxa"/>
            <w:shd w:val="clear" w:color="auto" w:fill="auto"/>
          </w:tcPr>
          <w:p w14:paraId="269B680C" w14:textId="77777777" w:rsidR="00BA172C" w:rsidRPr="008B53CC" w:rsidRDefault="00BA172C" w:rsidP="00B95821">
            <w:pPr>
              <w:pStyle w:val="BodyText"/>
              <w:keepNext/>
              <w:spacing w:before="100" w:after="100"/>
              <w:rPr>
                <w:b/>
                <w:bCs/>
              </w:rPr>
            </w:pPr>
            <w:r w:rsidRPr="008B53CC">
              <w:rPr>
                <w:b/>
                <w:bCs/>
              </w:rPr>
              <w:t xml:space="preserve">International SMS (to excluded countries) </w:t>
            </w:r>
          </w:p>
        </w:tc>
        <w:tc>
          <w:tcPr>
            <w:tcW w:w="4365" w:type="dxa"/>
            <w:shd w:val="clear" w:color="auto" w:fill="auto"/>
            <w:vAlign w:val="center"/>
          </w:tcPr>
          <w:p w14:paraId="32F35E9D" w14:textId="77777777" w:rsidR="00BA172C" w:rsidRPr="00E21F2E" w:rsidRDefault="00BA172C" w:rsidP="00B95821">
            <w:pPr>
              <w:pStyle w:val="BodyText"/>
              <w:keepNext/>
              <w:spacing w:before="100" w:after="100"/>
              <w:jc w:val="center"/>
            </w:pPr>
            <w:r w:rsidRPr="00E21F2E">
              <w:t>50c per SMS up to 160 standard characters</w:t>
            </w:r>
          </w:p>
        </w:tc>
      </w:tr>
      <w:tr w:rsidR="00BA172C" w:rsidRPr="00E21F2E" w14:paraId="6F98CE95" w14:textId="77777777" w:rsidTr="00B95821">
        <w:tc>
          <w:tcPr>
            <w:tcW w:w="4365" w:type="dxa"/>
            <w:shd w:val="clear" w:color="auto" w:fill="auto"/>
          </w:tcPr>
          <w:p w14:paraId="2D28B0A9" w14:textId="77777777" w:rsidR="00BA172C" w:rsidRPr="008B53CC" w:rsidRDefault="00BA172C" w:rsidP="00B95821">
            <w:pPr>
              <w:pStyle w:val="BodyText"/>
              <w:keepNext/>
              <w:spacing w:before="100" w:after="100"/>
              <w:rPr>
                <w:b/>
                <w:bCs/>
              </w:rPr>
            </w:pPr>
            <w:r w:rsidRPr="008B53CC">
              <w:rPr>
                <w:b/>
                <w:bCs/>
              </w:rPr>
              <w:t>International MMS (to excluded countries)</w:t>
            </w:r>
          </w:p>
        </w:tc>
        <w:tc>
          <w:tcPr>
            <w:tcW w:w="4365" w:type="dxa"/>
            <w:shd w:val="clear" w:color="auto" w:fill="auto"/>
            <w:vAlign w:val="center"/>
          </w:tcPr>
          <w:p w14:paraId="0D0E106D" w14:textId="77777777" w:rsidR="00BA172C" w:rsidRPr="00E21F2E" w:rsidRDefault="00BA172C" w:rsidP="00B95821">
            <w:pPr>
              <w:pStyle w:val="BodyText"/>
              <w:keepNext/>
              <w:spacing w:before="100" w:after="100"/>
              <w:jc w:val="center"/>
            </w:pPr>
            <w:r w:rsidRPr="00E21F2E">
              <w:t>75c per MMS</w:t>
            </w:r>
          </w:p>
        </w:tc>
      </w:tr>
      <w:tr w:rsidR="00BA172C" w:rsidRPr="00E21F2E" w14:paraId="6EB33453" w14:textId="77777777" w:rsidTr="00B95821">
        <w:tc>
          <w:tcPr>
            <w:tcW w:w="4365" w:type="dxa"/>
            <w:shd w:val="clear" w:color="auto" w:fill="auto"/>
          </w:tcPr>
          <w:p w14:paraId="543A11AE" w14:textId="77777777" w:rsidR="00BA172C" w:rsidRPr="008B53CC" w:rsidRDefault="00BA172C" w:rsidP="00B95821">
            <w:pPr>
              <w:pStyle w:val="BodyText"/>
              <w:keepNext/>
              <w:spacing w:before="100" w:after="100"/>
              <w:rPr>
                <w:b/>
                <w:bCs/>
              </w:rPr>
            </w:pPr>
            <w:r w:rsidRPr="008B53CC">
              <w:rPr>
                <w:b/>
                <w:bCs/>
              </w:rPr>
              <w:t xml:space="preserve">International video calling </w:t>
            </w:r>
          </w:p>
        </w:tc>
        <w:tc>
          <w:tcPr>
            <w:tcW w:w="4365" w:type="dxa"/>
            <w:shd w:val="clear" w:color="auto" w:fill="auto"/>
            <w:vAlign w:val="center"/>
          </w:tcPr>
          <w:p w14:paraId="52C51B3F" w14:textId="77777777" w:rsidR="00BA172C" w:rsidRPr="00E21F2E" w:rsidRDefault="00BA172C" w:rsidP="00B95821">
            <w:pPr>
              <w:pStyle w:val="BodyText"/>
              <w:keepNext/>
              <w:spacing w:before="100" w:after="100"/>
              <w:jc w:val="center"/>
            </w:pPr>
            <w:r w:rsidRPr="00E21F2E">
              <w:t>$1.50 per minute +35c flagfall</w:t>
            </w:r>
          </w:p>
        </w:tc>
      </w:tr>
      <w:tr w:rsidR="00BA172C" w:rsidRPr="00E21F2E" w14:paraId="6AEA2429" w14:textId="77777777" w:rsidTr="00B95821">
        <w:tc>
          <w:tcPr>
            <w:tcW w:w="4365" w:type="dxa"/>
            <w:shd w:val="clear" w:color="auto" w:fill="auto"/>
          </w:tcPr>
          <w:p w14:paraId="6BEB3854" w14:textId="77777777" w:rsidR="00BA172C" w:rsidRPr="008B53CC" w:rsidRDefault="00BA172C" w:rsidP="00B95821">
            <w:pPr>
              <w:pStyle w:val="BodyText"/>
              <w:keepNext/>
              <w:spacing w:before="100" w:after="100"/>
              <w:rPr>
                <w:b/>
                <w:bCs/>
              </w:rPr>
            </w:pPr>
            <w:r w:rsidRPr="008B53CC">
              <w:rPr>
                <w:b/>
                <w:bCs/>
              </w:rPr>
              <w:t xml:space="preserve">International roaming </w:t>
            </w:r>
          </w:p>
        </w:tc>
        <w:tc>
          <w:tcPr>
            <w:tcW w:w="4365" w:type="dxa"/>
            <w:shd w:val="clear" w:color="auto" w:fill="auto"/>
            <w:vAlign w:val="center"/>
          </w:tcPr>
          <w:p w14:paraId="39DCE92D" w14:textId="77777777" w:rsidR="00BA172C" w:rsidRPr="00E21F2E" w:rsidRDefault="00BA172C" w:rsidP="00B95821">
            <w:pPr>
              <w:pStyle w:val="BodyText"/>
              <w:keepNext/>
              <w:spacing w:before="100" w:after="100"/>
              <w:jc w:val="center"/>
            </w:pPr>
            <w:r w:rsidRPr="00E21F2E">
              <w:t>See optus.com.au/roaming</w:t>
            </w:r>
          </w:p>
        </w:tc>
      </w:tr>
    </w:tbl>
    <w:p w14:paraId="337A174E" w14:textId="77777777" w:rsidR="00BA172C" w:rsidRDefault="00BA172C" w:rsidP="00BA172C">
      <w:pPr>
        <w:pStyle w:val="BodyText"/>
      </w:pPr>
    </w:p>
    <w:p w14:paraId="6DDCE014" w14:textId="77777777" w:rsidR="00BA172C" w:rsidRPr="008B53CC" w:rsidRDefault="00BA172C" w:rsidP="00BA172C">
      <w:pPr>
        <w:pStyle w:val="BodyText"/>
        <w:jc w:val="center"/>
        <w:rPr>
          <w:b/>
        </w:rPr>
      </w:pPr>
      <w:r w:rsidRPr="008B53CC">
        <w:rPr>
          <w:b/>
        </w:rPr>
        <w:t>Table 3 – International Countries</w:t>
      </w: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2"/>
        <w:gridCol w:w="2183"/>
        <w:gridCol w:w="2182"/>
        <w:gridCol w:w="2183"/>
      </w:tblGrid>
      <w:tr w:rsidR="00BA172C" w:rsidRPr="00E21F2E" w14:paraId="482E066F" w14:textId="77777777" w:rsidTr="00B95821">
        <w:tc>
          <w:tcPr>
            <w:tcW w:w="2182" w:type="dxa"/>
            <w:shd w:val="clear" w:color="auto" w:fill="auto"/>
          </w:tcPr>
          <w:p w14:paraId="4D8D49D0" w14:textId="77777777" w:rsidR="00BA172C" w:rsidRPr="00E21F2E" w:rsidRDefault="00BA172C" w:rsidP="00B95821">
            <w:pPr>
              <w:pStyle w:val="BodyText"/>
              <w:spacing w:before="100" w:after="100"/>
              <w:rPr>
                <w:b/>
              </w:rPr>
            </w:pPr>
            <w:r w:rsidRPr="00E21F2E">
              <w:t>Austria</w:t>
            </w:r>
          </w:p>
        </w:tc>
        <w:tc>
          <w:tcPr>
            <w:tcW w:w="2183" w:type="dxa"/>
            <w:shd w:val="clear" w:color="auto" w:fill="auto"/>
          </w:tcPr>
          <w:p w14:paraId="405595CA" w14:textId="77777777" w:rsidR="00BA172C" w:rsidRPr="00E21F2E" w:rsidRDefault="00BA172C" w:rsidP="00B95821">
            <w:pPr>
              <w:pStyle w:val="BodyText"/>
              <w:spacing w:before="100" w:after="100"/>
              <w:rPr>
                <w:b/>
              </w:rPr>
            </w:pPr>
            <w:r w:rsidRPr="00E21F2E">
              <w:t>Bangladesh</w:t>
            </w:r>
          </w:p>
        </w:tc>
        <w:tc>
          <w:tcPr>
            <w:tcW w:w="2182" w:type="dxa"/>
            <w:shd w:val="clear" w:color="auto" w:fill="auto"/>
          </w:tcPr>
          <w:p w14:paraId="2E604F6F" w14:textId="77777777" w:rsidR="00BA172C" w:rsidRPr="00E21F2E" w:rsidRDefault="00BA172C" w:rsidP="00B95821">
            <w:pPr>
              <w:pStyle w:val="BodyText"/>
              <w:spacing w:before="100" w:after="100"/>
              <w:rPr>
                <w:b/>
              </w:rPr>
            </w:pPr>
            <w:r w:rsidRPr="00E21F2E">
              <w:t>Cambodia</w:t>
            </w:r>
          </w:p>
        </w:tc>
        <w:tc>
          <w:tcPr>
            <w:tcW w:w="2183" w:type="dxa"/>
            <w:shd w:val="clear" w:color="auto" w:fill="auto"/>
          </w:tcPr>
          <w:p w14:paraId="3FD42220" w14:textId="77777777" w:rsidR="00BA172C" w:rsidRPr="00E21F2E" w:rsidRDefault="00BA172C" w:rsidP="00B95821">
            <w:pPr>
              <w:pStyle w:val="BodyText"/>
              <w:spacing w:before="100" w:after="100"/>
              <w:rPr>
                <w:b/>
              </w:rPr>
            </w:pPr>
            <w:r w:rsidRPr="00E21F2E">
              <w:t>Canada</w:t>
            </w:r>
          </w:p>
        </w:tc>
      </w:tr>
      <w:tr w:rsidR="00BA172C" w:rsidRPr="00E21F2E" w14:paraId="1E980858" w14:textId="77777777" w:rsidTr="00B95821">
        <w:tc>
          <w:tcPr>
            <w:tcW w:w="2182" w:type="dxa"/>
            <w:shd w:val="clear" w:color="auto" w:fill="auto"/>
          </w:tcPr>
          <w:p w14:paraId="28B99DE0" w14:textId="77777777" w:rsidR="00BA172C" w:rsidRPr="00E21F2E" w:rsidRDefault="00BA172C" w:rsidP="00B95821">
            <w:pPr>
              <w:pStyle w:val="BodyText"/>
              <w:spacing w:before="100" w:after="100"/>
              <w:rPr>
                <w:b/>
              </w:rPr>
            </w:pPr>
            <w:r w:rsidRPr="00E21F2E">
              <w:t xml:space="preserve">Chile </w:t>
            </w:r>
          </w:p>
        </w:tc>
        <w:tc>
          <w:tcPr>
            <w:tcW w:w="2183" w:type="dxa"/>
            <w:shd w:val="clear" w:color="auto" w:fill="auto"/>
          </w:tcPr>
          <w:p w14:paraId="73EA7423" w14:textId="77777777" w:rsidR="00BA172C" w:rsidRPr="00E21F2E" w:rsidRDefault="00BA172C" w:rsidP="00B95821">
            <w:pPr>
              <w:pStyle w:val="BodyText"/>
              <w:spacing w:before="100" w:after="100"/>
              <w:rPr>
                <w:b/>
              </w:rPr>
            </w:pPr>
            <w:r w:rsidRPr="00E21F2E">
              <w:t xml:space="preserve">China </w:t>
            </w:r>
          </w:p>
        </w:tc>
        <w:tc>
          <w:tcPr>
            <w:tcW w:w="2182" w:type="dxa"/>
            <w:shd w:val="clear" w:color="auto" w:fill="auto"/>
          </w:tcPr>
          <w:p w14:paraId="047653C9" w14:textId="77777777" w:rsidR="00BA172C" w:rsidRPr="00E21F2E" w:rsidRDefault="00BA172C" w:rsidP="00B95821">
            <w:pPr>
              <w:pStyle w:val="BodyText"/>
              <w:spacing w:before="100" w:after="100"/>
              <w:rPr>
                <w:b/>
              </w:rPr>
            </w:pPr>
            <w:r w:rsidRPr="00E21F2E">
              <w:t xml:space="preserve">Croatia </w:t>
            </w:r>
          </w:p>
        </w:tc>
        <w:tc>
          <w:tcPr>
            <w:tcW w:w="2183" w:type="dxa"/>
            <w:shd w:val="clear" w:color="auto" w:fill="auto"/>
          </w:tcPr>
          <w:p w14:paraId="4A78FD3E" w14:textId="77777777" w:rsidR="00BA172C" w:rsidRPr="00E21F2E" w:rsidRDefault="00BA172C" w:rsidP="00B95821">
            <w:pPr>
              <w:pStyle w:val="BodyText"/>
              <w:spacing w:before="100" w:after="100"/>
              <w:rPr>
                <w:b/>
              </w:rPr>
            </w:pPr>
            <w:r w:rsidRPr="00E21F2E">
              <w:t>France</w:t>
            </w:r>
          </w:p>
        </w:tc>
      </w:tr>
      <w:tr w:rsidR="00BA172C" w:rsidRPr="00E21F2E" w14:paraId="19631D60" w14:textId="77777777" w:rsidTr="00B95821">
        <w:tc>
          <w:tcPr>
            <w:tcW w:w="2182" w:type="dxa"/>
            <w:shd w:val="clear" w:color="auto" w:fill="auto"/>
          </w:tcPr>
          <w:p w14:paraId="4984E31F" w14:textId="77777777" w:rsidR="00BA172C" w:rsidRPr="00E21F2E" w:rsidRDefault="00BA172C" w:rsidP="00B95821">
            <w:pPr>
              <w:pStyle w:val="BodyText"/>
              <w:spacing w:before="100" w:after="100"/>
              <w:rPr>
                <w:b/>
              </w:rPr>
            </w:pPr>
            <w:r w:rsidRPr="00E21F2E">
              <w:t>Germany</w:t>
            </w:r>
          </w:p>
        </w:tc>
        <w:tc>
          <w:tcPr>
            <w:tcW w:w="2183" w:type="dxa"/>
            <w:shd w:val="clear" w:color="auto" w:fill="auto"/>
          </w:tcPr>
          <w:p w14:paraId="0A09FD39" w14:textId="77777777" w:rsidR="00BA172C" w:rsidRPr="00E21F2E" w:rsidRDefault="00BA172C" w:rsidP="00B95821">
            <w:pPr>
              <w:pStyle w:val="BodyText"/>
              <w:spacing w:before="100" w:after="100"/>
              <w:rPr>
                <w:b/>
              </w:rPr>
            </w:pPr>
            <w:r w:rsidRPr="00E21F2E">
              <w:t>Greece</w:t>
            </w:r>
          </w:p>
        </w:tc>
        <w:tc>
          <w:tcPr>
            <w:tcW w:w="2182" w:type="dxa"/>
            <w:shd w:val="clear" w:color="auto" w:fill="auto"/>
          </w:tcPr>
          <w:p w14:paraId="3C4428D5" w14:textId="77777777" w:rsidR="00BA172C" w:rsidRPr="00E21F2E" w:rsidRDefault="00BA172C" w:rsidP="00B95821">
            <w:pPr>
              <w:pStyle w:val="BodyText"/>
              <w:spacing w:before="100" w:after="100"/>
              <w:rPr>
                <w:b/>
              </w:rPr>
            </w:pPr>
            <w:r w:rsidRPr="00E21F2E">
              <w:t>Hong Kong</w:t>
            </w:r>
          </w:p>
        </w:tc>
        <w:tc>
          <w:tcPr>
            <w:tcW w:w="2183" w:type="dxa"/>
            <w:shd w:val="clear" w:color="auto" w:fill="auto"/>
          </w:tcPr>
          <w:p w14:paraId="1DDF44E7" w14:textId="77777777" w:rsidR="00BA172C" w:rsidRPr="00E21F2E" w:rsidRDefault="00BA172C" w:rsidP="00B95821">
            <w:pPr>
              <w:pStyle w:val="BodyText"/>
              <w:spacing w:before="100" w:after="100"/>
              <w:rPr>
                <w:b/>
              </w:rPr>
            </w:pPr>
            <w:r w:rsidRPr="00E21F2E">
              <w:t>Hungary</w:t>
            </w:r>
          </w:p>
        </w:tc>
      </w:tr>
      <w:tr w:rsidR="00BA172C" w:rsidRPr="00E21F2E" w14:paraId="6577C1A4" w14:textId="77777777" w:rsidTr="00B95821">
        <w:tc>
          <w:tcPr>
            <w:tcW w:w="2182" w:type="dxa"/>
            <w:shd w:val="clear" w:color="auto" w:fill="auto"/>
          </w:tcPr>
          <w:p w14:paraId="0A6A9BFC" w14:textId="77777777" w:rsidR="00BA172C" w:rsidRPr="00E21F2E" w:rsidRDefault="00BA172C" w:rsidP="00B95821">
            <w:pPr>
              <w:pStyle w:val="BodyText"/>
              <w:spacing w:before="100" w:after="100"/>
              <w:rPr>
                <w:b/>
              </w:rPr>
            </w:pPr>
            <w:r w:rsidRPr="00E21F2E">
              <w:t>Indonesia</w:t>
            </w:r>
          </w:p>
        </w:tc>
        <w:tc>
          <w:tcPr>
            <w:tcW w:w="2183" w:type="dxa"/>
            <w:shd w:val="clear" w:color="auto" w:fill="auto"/>
          </w:tcPr>
          <w:p w14:paraId="36EEB730" w14:textId="77777777" w:rsidR="00BA172C" w:rsidRPr="00E21F2E" w:rsidRDefault="00BA172C" w:rsidP="00B95821">
            <w:pPr>
              <w:pStyle w:val="BodyText"/>
              <w:spacing w:before="100" w:after="100"/>
              <w:rPr>
                <w:b/>
              </w:rPr>
            </w:pPr>
            <w:r w:rsidRPr="00E21F2E">
              <w:t>India</w:t>
            </w:r>
          </w:p>
        </w:tc>
        <w:tc>
          <w:tcPr>
            <w:tcW w:w="2182" w:type="dxa"/>
            <w:shd w:val="clear" w:color="auto" w:fill="auto"/>
          </w:tcPr>
          <w:p w14:paraId="7EF67F74" w14:textId="77777777" w:rsidR="00BA172C" w:rsidRPr="00E21F2E" w:rsidRDefault="00BA172C" w:rsidP="00B95821">
            <w:pPr>
              <w:pStyle w:val="BodyText"/>
              <w:spacing w:before="100" w:after="100"/>
              <w:rPr>
                <w:b/>
              </w:rPr>
            </w:pPr>
            <w:r w:rsidRPr="00E21F2E">
              <w:t>Ireland</w:t>
            </w:r>
          </w:p>
        </w:tc>
        <w:tc>
          <w:tcPr>
            <w:tcW w:w="2183" w:type="dxa"/>
            <w:shd w:val="clear" w:color="auto" w:fill="auto"/>
          </w:tcPr>
          <w:p w14:paraId="51848F3C" w14:textId="77777777" w:rsidR="00BA172C" w:rsidRPr="00E21F2E" w:rsidRDefault="00BA172C" w:rsidP="00B95821">
            <w:pPr>
              <w:pStyle w:val="BodyText"/>
              <w:spacing w:before="100" w:after="100"/>
              <w:rPr>
                <w:b/>
              </w:rPr>
            </w:pPr>
            <w:r w:rsidRPr="00E21F2E">
              <w:t>Italy</w:t>
            </w:r>
          </w:p>
        </w:tc>
      </w:tr>
      <w:tr w:rsidR="00BA172C" w:rsidRPr="00E21F2E" w14:paraId="73ECE522" w14:textId="77777777" w:rsidTr="00B95821">
        <w:tc>
          <w:tcPr>
            <w:tcW w:w="2182" w:type="dxa"/>
            <w:shd w:val="clear" w:color="auto" w:fill="auto"/>
          </w:tcPr>
          <w:p w14:paraId="3E4CB068" w14:textId="77777777" w:rsidR="00BA172C" w:rsidRPr="00E21F2E" w:rsidRDefault="00BA172C" w:rsidP="00B95821">
            <w:pPr>
              <w:pStyle w:val="BodyText"/>
              <w:spacing w:before="100" w:after="100"/>
              <w:rPr>
                <w:b/>
              </w:rPr>
            </w:pPr>
            <w:r w:rsidRPr="00E21F2E">
              <w:lastRenderedPageBreak/>
              <w:t xml:space="preserve">Japan </w:t>
            </w:r>
          </w:p>
        </w:tc>
        <w:tc>
          <w:tcPr>
            <w:tcW w:w="2183" w:type="dxa"/>
            <w:shd w:val="clear" w:color="auto" w:fill="auto"/>
          </w:tcPr>
          <w:p w14:paraId="1F185AFA" w14:textId="77777777" w:rsidR="00BA172C" w:rsidRPr="00E21F2E" w:rsidRDefault="00BA172C" w:rsidP="00B95821">
            <w:pPr>
              <w:pStyle w:val="BodyText"/>
              <w:spacing w:before="100" w:after="100"/>
              <w:rPr>
                <w:b/>
              </w:rPr>
            </w:pPr>
            <w:r w:rsidRPr="00E21F2E">
              <w:t>Malaysia</w:t>
            </w:r>
          </w:p>
        </w:tc>
        <w:tc>
          <w:tcPr>
            <w:tcW w:w="2182" w:type="dxa"/>
            <w:shd w:val="clear" w:color="auto" w:fill="auto"/>
          </w:tcPr>
          <w:p w14:paraId="0466F075" w14:textId="77777777" w:rsidR="00BA172C" w:rsidRPr="00E21F2E" w:rsidRDefault="00BA172C" w:rsidP="00B95821">
            <w:pPr>
              <w:pStyle w:val="BodyText"/>
              <w:spacing w:before="100" w:after="100"/>
              <w:rPr>
                <w:b/>
              </w:rPr>
            </w:pPr>
            <w:r w:rsidRPr="00E21F2E">
              <w:t>Netherlands</w:t>
            </w:r>
          </w:p>
        </w:tc>
        <w:tc>
          <w:tcPr>
            <w:tcW w:w="2183" w:type="dxa"/>
            <w:shd w:val="clear" w:color="auto" w:fill="auto"/>
          </w:tcPr>
          <w:p w14:paraId="7C235E7D" w14:textId="77777777" w:rsidR="00BA172C" w:rsidRPr="00E21F2E" w:rsidRDefault="00BA172C" w:rsidP="00B95821">
            <w:pPr>
              <w:pStyle w:val="BodyText"/>
              <w:spacing w:before="100" w:after="100"/>
              <w:rPr>
                <w:b/>
              </w:rPr>
            </w:pPr>
            <w:r w:rsidRPr="00E21F2E">
              <w:t>New Zealand</w:t>
            </w:r>
          </w:p>
        </w:tc>
      </w:tr>
      <w:tr w:rsidR="00BA172C" w:rsidRPr="00E21F2E" w14:paraId="366266F9" w14:textId="77777777" w:rsidTr="00B95821">
        <w:tc>
          <w:tcPr>
            <w:tcW w:w="2182" w:type="dxa"/>
            <w:shd w:val="clear" w:color="auto" w:fill="auto"/>
          </w:tcPr>
          <w:p w14:paraId="621F2FC7" w14:textId="77777777" w:rsidR="00BA172C" w:rsidRPr="00E21F2E" w:rsidRDefault="00BA172C" w:rsidP="00B95821">
            <w:pPr>
              <w:pStyle w:val="BodyText"/>
              <w:spacing w:before="100" w:after="100"/>
              <w:rPr>
                <w:b/>
              </w:rPr>
            </w:pPr>
            <w:r w:rsidRPr="00E21F2E">
              <w:t xml:space="preserve">Pakistan </w:t>
            </w:r>
          </w:p>
        </w:tc>
        <w:tc>
          <w:tcPr>
            <w:tcW w:w="2183" w:type="dxa"/>
            <w:shd w:val="clear" w:color="auto" w:fill="auto"/>
          </w:tcPr>
          <w:p w14:paraId="6178CAD2" w14:textId="77777777" w:rsidR="00BA172C" w:rsidRPr="00E21F2E" w:rsidRDefault="00BA172C" w:rsidP="00B95821">
            <w:pPr>
              <w:pStyle w:val="BodyText"/>
              <w:spacing w:before="100" w:after="100"/>
              <w:rPr>
                <w:b/>
              </w:rPr>
            </w:pPr>
            <w:r w:rsidRPr="00E21F2E">
              <w:t>Philippines</w:t>
            </w:r>
          </w:p>
        </w:tc>
        <w:tc>
          <w:tcPr>
            <w:tcW w:w="2182" w:type="dxa"/>
            <w:shd w:val="clear" w:color="auto" w:fill="auto"/>
          </w:tcPr>
          <w:p w14:paraId="7209B8D9" w14:textId="77777777" w:rsidR="00BA172C" w:rsidRPr="00E21F2E" w:rsidRDefault="00BA172C" w:rsidP="00B95821">
            <w:pPr>
              <w:pStyle w:val="BodyText"/>
              <w:spacing w:before="100" w:after="100"/>
              <w:rPr>
                <w:b/>
              </w:rPr>
            </w:pPr>
            <w:r w:rsidRPr="00E21F2E">
              <w:t xml:space="preserve">Poland </w:t>
            </w:r>
          </w:p>
        </w:tc>
        <w:tc>
          <w:tcPr>
            <w:tcW w:w="2183" w:type="dxa"/>
            <w:shd w:val="clear" w:color="auto" w:fill="auto"/>
          </w:tcPr>
          <w:p w14:paraId="7A053F82" w14:textId="77777777" w:rsidR="00BA172C" w:rsidRPr="00E21F2E" w:rsidRDefault="00BA172C" w:rsidP="00B95821">
            <w:pPr>
              <w:pStyle w:val="BodyText"/>
              <w:spacing w:before="100" w:after="100"/>
              <w:rPr>
                <w:b/>
              </w:rPr>
            </w:pPr>
            <w:r w:rsidRPr="00E21F2E">
              <w:t>Singapore</w:t>
            </w:r>
          </w:p>
        </w:tc>
      </w:tr>
      <w:tr w:rsidR="00BA172C" w:rsidRPr="00E21F2E" w14:paraId="54B4CB8B" w14:textId="77777777" w:rsidTr="00B95821">
        <w:tc>
          <w:tcPr>
            <w:tcW w:w="2182" w:type="dxa"/>
            <w:shd w:val="clear" w:color="auto" w:fill="auto"/>
          </w:tcPr>
          <w:p w14:paraId="781524F6" w14:textId="77777777" w:rsidR="00BA172C" w:rsidRPr="00E21F2E" w:rsidRDefault="00BA172C" w:rsidP="00B95821">
            <w:pPr>
              <w:pStyle w:val="BodyText"/>
              <w:spacing w:before="100" w:after="100"/>
              <w:rPr>
                <w:b/>
              </w:rPr>
            </w:pPr>
            <w:r w:rsidRPr="00E21F2E">
              <w:t xml:space="preserve">South Africa </w:t>
            </w:r>
          </w:p>
        </w:tc>
        <w:tc>
          <w:tcPr>
            <w:tcW w:w="2183" w:type="dxa"/>
            <w:shd w:val="clear" w:color="auto" w:fill="auto"/>
          </w:tcPr>
          <w:p w14:paraId="5E37EEA5" w14:textId="77777777" w:rsidR="00BA172C" w:rsidRPr="00E21F2E" w:rsidRDefault="00BA172C" w:rsidP="00B95821">
            <w:pPr>
              <w:pStyle w:val="BodyText"/>
              <w:spacing w:before="100" w:after="100"/>
              <w:rPr>
                <w:b/>
              </w:rPr>
            </w:pPr>
            <w:r w:rsidRPr="00E21F2E">
              <w:t>South Korea</w:t>
            </w:r>
          </w:p>
        </w:tc>
        <w:tc>
          <w:tcPr>
            <w:tcW w:w="2182" w:type="dxa"/>
            <w:shd w:val="clear" w:color="auto" w:fill="auto"/>
          </w:tcPr>
          <w:p w14:paraId="22CB24C2" w14:textId="77777777" w:rsidR="00BA172C" w:rsidRPr="00E21F2E" w:rsidRDefault="00BA172C" w:rsidP="00B95821">
            <w:pPr>
              <w:pStyle w:val="BodyText"/>
              <w:spacing w:before="100" w:after="100"/>
              <w:rPr>
                <w:b/>
              </w:rPr>
            </w:pPr>
            <w:r w:rsidRPr="00E21F2E">
              <w:t xml:space="preserve">Taiwan </w:t>
            </w:r>
          </w:p>
        </w:tc>
        <w:tc>
          <w:tcPr>
            <w:tcW w:w="2183" w:type="dxa"/>
            <w:shd w:val="clear" w:color="auto" w:fill="auto"/>
          </w:tcPr>
          <w:p w14:paraId="664DE0C5" w14:textId="77777777" w:rsidR="00BA172C" w:rsidRPr="00E21F2E" w:rsidRDefault="00BA172C" w:rsidP="00B95821">
            <w:pPr>
              <w:pStyle w:val="BodyText"/>
              <w:spacing w:before="100" w:after="100"/>
              <w:rPr>
                <w:b/>
              </w:rPr>
            </w:pPr>
            <w:r w:rsidRPr="00E21F2E">
              <w:t>Thailand</w:t>
            </w:r>
          </w:p>
        </w:tc>
      </w:tr>
      <w:tr w:rsidR="00BA172C" w:rsidRPr="00E21F2E" w14:paraId="56A7DF34" w14:textId="77777777" w:rsidTr="00B95821">
        <w:tc>
          <w:tcPr>
            <w:tcW w:w="2182" w:type="dxa"/>
            <w:shd w:val="clear" w:color="auto" w:fill="auto"/>
          </w:tcPr>
          <w:p w14:paraId="36F17581" w14:textId="77777777" w:rsidR="00BA172C" w:rsidRPr="00E21F2E" w:rsidRDefault="00BA172C" w:rsidP="00B95821">
            <w:pPr>
              <w:pStyle w:val="BodyText"/>
              <w:spacing w:before="100" w:after="100"/>
              <w:rPr>
                <w:b/>
              </w:rPr>
            </w:pPr>
            <w:r w:rsidRPr="00E21F2E">
              <w:t>Turkey</w:t>
            </w:r>
          </w:p>
        </w:tc>
        <w:tc>
          <w:tcPr>
            <w:tcW w:w="2183" w:type="dxa"/>
            <w:shd w:val="clear" w:color="auto" w:fill="auto"/>
          </w:tcPr>
          <w:p w14:paraId="68359FD1" w14:textId="77777777" w:rsidR="00BA172C" w:rsidRPr="00E21F2E" w:rsidRDefault="00BA172C" w:rsidP="00B95821">
            <w:pPr>
              <w:pStyle w:val="BodyText"/>
              <w:spacing w:before="100" w:after="100"/>
              <w:rPr>
                <w:b/>
              </w:rPr>
            </w:pPr>
            <w:r w:rsidRPr="00E21F2E">
              <w:t>United Kingdom</w:t>
            </w:r>
          </w:p>
        </w:tc>
        <w:tc>
          <w:tcPr>
            <w:tcW w:w="2182" w:type="dxa"/>
            <w:shd w:val="clear" w:color="auto" w:fill="auto"/>
          </w:tcPr>
          <w:p w14:paraId="6C40F97A" w14:textId="77777777" w:rsidR="00BA172C" w:rsidRPr="00E21F2E" w:rsidRDefault="00BA172C" w:rsidP="00B95821">
            <w:pPr>
              <w:pStyle w:val="BodyText"/>
              <w:spacing w:before="100" w:after="100"/>
              <w:rPr>
                <w:b/>
              </w:rPr>
            </w:pPr>
            <w:r w:rsidRPr="00E21F2E">
              <w:t xml:space="preserve">USA </w:t>
            </w:r>
          </w:p>
        </w:tc>
        <w:tc>
          <w:tcPr>
            <w:tcW w:w="2183" w:type="dxa"/>
            <w:shd w:val="clear" w:color="auto" w:fill="auto"/>
          </w:tcPr>
          <w:p w14:paraId="13AFB462" w14:textId="77777777" w:rsidR="00BA172C" w:rsidRPr="00E21F2E" w:rsidRDefault="00BA172C" w:rsidP="00B95821">
            <w:pPr>
              <w:pStyle w:val="BodyText"/>
              <w:spacing w:before="100" w:after="100"/>
              <w:rPr>
                <w:b/>
              </w:rPr>
            </w:pPr>
            <w:r w:rsidRPr="00E21F2E">
              <w:t>Vietnam</w:t>
            </w:r>
          </w:p>
        </w:tc>
      </w:tr>
    </w:tbl>
    <w:p w14:paraId="012AB24C" w14:textId="77777777" w:rsidR="00BA172C" w:rsidRDefault="00BA172C" w:rsidP="00BA172C">
      <w:pPr>
        <w:pStyle w:val="BodyText"/>
      </w:pPr>
    </w:p>
    <w:p w14:paraId="5E06D05E" w14:textId="77777777" w:rsidR="00BA172C" w:rsidRPr="00CD3F2D" w:rsidRDefault="00BA172C" w:rsidP="00BA172C">
      <w:pPr>
        <w:pStyle w:val="Heading6"/>
        <w:ind w:left="0" w:firstLine="0"/>
        <w:rPr>
          <w:lang w:val="en-AU"/>
        </w:rPr>
      </w:pPr>
      <w:bookmarkStart w:id="1846" w:name="_Toc509314778"/>
      <w:r w:rsidRPr="00CD3F2D">
        <w:rPr>
          <w:lang w:val="en-AU"/>
        </w:rPr>
        <w:t>My Account</w:t>
      </w:r>
      <w:bookmarkEnd w:id="1846"/>
    </w:p>
    <w:p w14:paraId="4674A048" w14:textId="77777777" w:rsidR="00BA172C" w:rsidRPr="008B53CC" w:rsidRDefault="00BA172C" w:rsidP="00BA172C">
      <w:pPr>
        <w:pStyle w:val="BodyText"/>
        <w:ind w:left="720"/>
        <w:rPr>
          <w:lang w:val="en-AU"/>
        </w:rPr>
      </w:pPr>
      <w:r w:rsidRPr="008B53CC">
        <w:rPr>
          <w:lang w:val="en-AU"/>
        </w:rPr>
        <w:t xml:space="preserve">Services that share data may have a service login to My Account which will display all of the service numbers contributing to or using the shared data pool on </w:t>
      </w:r>
      <w:r w:rsidRPr="008B53CC">
        <w:rPr>
          <w:i/>
          <w:lang w:val="en-AU"/>
        </w:rPr>
        <w:t xml:space="preserve">your </w:t>
      </w:r>
      <w:r w:rsidRPr="008B53CC">
        <w:rPr>
          <w:lang w:val="en-AU"/>
        </w:rPr>
        <w:t xml:space="preserve">account and the amount of data each service has used. If </w:t>
      </w:r>
      <w:r w:rsidRPr="008B53CC">
        <w:rPr>
          <w:i/>
          <w:lang w:val="en-AU"/>
        </w:rPr>
        <w:t>you</w:t>
      </w:r>
      <w:r w:rsidRPr="008B53CC">
        <w:rPr>
          <w:lang w:val="en-AU"/>
        </w:rPr>
        <w:t xml:space="preserve"> have more than 6 services on </w:t>
      </w:r>
      <w:r w:rsidRPr="008B53CC">
        <w:rPr>
          <w:i/>
          <w:lang w:val="en-AU"/>
        </w:rPr>
        <w:t xml:space="preserve">your </w:t>
      </w:r>
      <w:r w:rsidRPr="008B53CC">
        <w:rPr>
          <w:lang w:val="en-AU"/>
        </w:rPr>
        <w:t xml:space="preserve">account, My Account may not be suitable for viewing usage and managing </w:t>
      </w:r>
      <w:r w:rsidRPr="008B53CC">
        <w:rPr>
          <w:i/>
          <w:lang w:val="en-AU"/>
        </w:rPr>
        <w:t xml:space="preserve">your </w:t>
      </w:r>
      <w:r w:rsidRPr="008B53CC">
        <w:rPr>
          <w:lang w:val="en-AU"/>
        </w:rPr>
        <w:t>usage alerts.</w:t>
      </w:r>
    </w:p>
    <w:p w14:paraId="0335D250" w14:textId="77777777" w:rsidR="00BA172C" w:rsidRPr="00CD3F2D" w:rsidRDefault="00BA172C" w:rsidP="00BA172C">
      <w:pPr>
        <w:pStyle w:val="Heading6"/>
        <w:keepNext/>
        <w:ind w:left="0" w:firstLine="0"/>
        <w:rPr>
          <w:lang w:val="en-AU"/>
        </w:rPr>
      </w:pPr>
      <w:bookmarkStart w:id="1847" w:name="_Toc509314779"/>
      <w:r w:rsidRPr="00CD3F2D">
        <w:rPr>
          <w:lang w:val="en-AU"/>
        </w:rPr>
        <w:t xml:space="preserve">What happens if the </w:t>
      </w:r>
      <w:r w:rsidRPr="00CD3F2D">
        <w:rPr>
          <w:i/>
          <w:lang w:val="en-AU"/>
        </w:rPr>
        <w:t xml:space="preserve">service </w:t>
      </w:r>
      <w:r w:rsidRPr="00CD3F2D">
        <w:rPr>
          <w:lang w:val="en-AU"/>
        </w:rPr>
        <w:t>is</w:t>
      </w:r>
      <w:r w:rsidRPr="00CD3F2D">
        <w:rPr>
          <w:i/>
          <w:lang w:val="en-AU"/>
        </w:rPr>
        <w:t xml:space="preserve"> cancelled</w:t>
      </w:r>
      <w:r w:rsidRPr="00CD3F2D">
        <w:rPr>
          <w:lang w:val="en-AU"/>
        </w:rPr>
        <w:t>?</w:t>
      </w:r>
      <w:bookmarkEnd w:id="1847"/>
      <w:r w:rsidRPr="00CD3F2D">
        <w:rPr>
          <w:lang w:val="en-AU"/>
        </w:rPr>
        <w:t xml:space="preserve"> </w:t>
      </w:r>
    </w:p>
    <w:p w14:paraId="42D1E69C" w14:textId="77777777" w:rsidR="00BA172C" w:rsidRPr="008B53CC" w:rsidRDefault="00BA172C" w:rsidP="00BA172C">
      <w:pPr>
        <w:pStyle w:val="Heading7"/>
        <w:rPr>
          <w:lang w:val="en-AU"/>
        </w:rPr>
      </w:pPr>
      <w:r w:rsidRPr="008B53CC">
        <w:rPr>
          <w:lang w:val="en-AU"/>
        </w:rPr>
        <w:t xml:space="preserve">If </w:t>
      </w:r>
      <w:r w:rsidRPr="008B53CC">
        <w:rPr>
          <w:i/>
          <w:lang w:val="en-AU"/>
        </w:rPr>
        <w:t>your</w:t>
      </w:r>
      <w:r w:rsidRPr="008B53CC">
        <w:rPr>
          <w:lang w:val="en-AU"/>
        </w:rPr>
        <w:t xml:space="preserve"> </w:t>
      </w:r>
      <w:r>
        <w:rPr>
          <w:lang w:val="en-AU"/>
        </w:rPr>
        <w:t xml:space="preserve">Business Plan </w:t>
      </w:r>
      <w:r w:rsidRPr="008B53CC">
        <w:rPr>
          <w:lang w:val="en-AU"/>
        </w:rPr>
        <w:t xml:space="preserve">SIM plan is </w:t>
      </w:r>
      <w:r w:rsidRPr="008B53CC">
        <w:rPr>
          <w:i/>
          <w:lang w:val="en-AU"/>
        </w:rPr>
        <w:t>cancelled</w:t>
      </w:r>
      <w:r w:rsidRPr="008B53CC">
        <w:rPr>
          <w:lang w:val="en-AU"/>
        </w:rPr>
        <w:t xml:space="preserve">, </w:t>
      </w:r>
      <w:r w:rsidRPr="008B53CC">
        <w:rPr>
          <w:i/>
          <w:lang w:val="en-AU"/>
        </w:rPr>
        <w:t>your</w:t>
      </w:r>
      <w:r w:rsidRPr="008B53CC">
        <w:rPr>
          <w:lang w:val="en-AU"/>
        </w:rPr>
        <w:t xml:space="preserve"> Shared Data Plan(s) may also be </w:t>
      </w:r>
      <w:r w:rsidRPr="008B53CC">
        <w:rPr>
          <w:i/>
          <w:lang w:val="en-AU"/>
        </w:rPr>
        <w:t>cancelled</w:t>
      </w:r>
      <w:r w:rsidRPr="008B53CC">
        <w:rPr>
          <w:lang w:val="en-AU"/>
        </w:rPr>
        <w:t xml:space="preserve">. There are no </w:t>
      </w:r>
      <w:r w:rsidRPr="008B53CC">
        <w:rPr>
          <w:i/>
          <w:lang w:val="en-AU"/>
        </w:rPr>
        <w:t>cancellation fees</w:t>
      </w:r>
      <w:r w:rsidRPr="008B53CC">
        <w:rPr>
          <w:lang w:val="en-AU"/>
        </w:rPr>
        <w:t xml:space="preserve"> for the Shared Data Plan, however if </w:t>
      </w:r>
      <w:r w:rsidRPr="008B53CC">
        <w:rPr>
          <w:i/>
          <w:lang w:val="en-AU"/>
        </w:rPr>
        <w:t>you</w:t>
      </w:r>
      <w:r w:rsidRPr="008B53CC">
        <w:rPr>
          <w:lang w:val="en-AU"/>
        </w:rPr>
        <w:t xml:space="preserve"> purchased a </w:t>
      </w:r>
      <w:r w:rsidRPr="008B53CC">
        <w:rPr>
          <w:i/>
          <w:lang w:val="en-AU"/>
        </w:rPr>
        <w:t>device</w:t>
      </w:r>
      <w:r w:rsidRPr="008B53CC">
        <w:rPr>
          <w:lang w:val="en-AU"/>
        </w:rPr>
        <w:t xml:space="preserve"> </w:t>
      </w:r>
      <w:r w:rsidRPr="008B53CC">
        <w:rPr>
          <w:i/>
          <w:lang w:val="en-AU"/>
        </w:rPr>
        <w:t>you</w:t>
      </w:r>
      <w:r w:rsidRPr="008B53CC">
        <w:rPr>
          <w:lang w:val="en-AU"/>
        </w:rPr>
        <w:t xml:space="preserve"> need to pay the sum of any remaining </w:t>
      </w:r>
      <w:r w:rsidRPr="008B53CC">
        <w:rPr>
          <w:i/>
          <w:lang w:val="en-AU"/>
        </w:rPr>
        <w:t xml:space="preserve">equipment charges </w:t>
      </w:r>
      <w:r w:rsidRPr="008B53CC">
        <w:rPr>
          <w:lang w:val="en-AU"/>
        </w:rPr>
        <w:t xml:space="preserve">owing on </w:t>
      </w:r>
      <w:r w:rsidRPr="008B53CC">
        <w:rPr>
          <w:i/>
          <w:lang w:val="en-AU"/>
        </w:rPr>
        <w:t xml:space="preserve">your device </w:t>
      </w:r>
      <w:r w:rsidRPr="008B53CC">
        <w:rPr>
          <w:lang w:val="en-AU"/>
        </w:rPr>
        <w:t xml:space="preserve">under the </w:t>
      </w:r>
      <w:r w:rsidRPr="008B53CC">
        <w:rPr>
          <w:i/>
          <w:lang w:val="en-AU"/>
        </w:rPr>
        <w:t xml:space="preserve">mobile equipment payment plan </w:t>
      </w:r>
      <w:r w:rsidRPr="008B53CC">
        <w:rPr>
          <w:lang w:val="en-AU"/>
        </w:rPr>
        <w:t>(see Appendix D).</w:t>
      </w:r>
    </w:p>
    <w:p w14:paraId="0988B436" w14:textId="77777777" w:rsidR="00BA172C" w:rsidRDefault="00BA172C" w:rsidP="00BA172C">
      <w:pPr>
        <w:pStyle w:val="Heading7"/>
      </w:pPr>
      <w:r w:rsidRPr="008B53CC">
        <w:t xml:space="preserve">If </w:t>
      </w:r>
      <w:r w:rsidRPr="008B53CC">
        <w:rPr>
          <w:i/>
        </w:rPr>
        <w:t xml:space="preserve">your </w:t>
      </w:r>
      <w:r w:rsidRPr="008B53CC">
        <w:t xml:space="preserve">Shared Data Plan is not </w:t>
      </w:r>
      <w:r w:rsidRPr="008B53CC">
        <w:rPr>
          <w:i/>
        </w:rPr>
        <w:t>cancelled</w:t>
      </w:r>
      <w:r w:rsidRPr="008B53CC">
        <w:t xml:space="preserve">, </w:t>
      </w:r>
      <w:r w:rsidRPr="008B53CC">
        <w:rPr>
          <w:i/>
        </w:rPr>
        <w:t>you</w:t>
      </w:r>
      <w:r w:rsidRPr="008B53CC">
        <w:t xml:space="preserve"> will be charged $10 per 1GB within Australia, up to a maximum of 150GB (per account) in a billing month.</w:t>
      </w:r>
    </w:p>
    <w:p w14:paraId="5C763550" w14:textId="77777777" w:rsidR="00802AD5" w:rsidRDefault="00802AD5" w:rsidP="00E441CA">
      <w:pPr>
        <w:pStyle w:val="BodyText"/>
      </w:pPr>
    </w:p>
    <w:p w14:paraId="3DE812A8" w14:textId="77777777" w:rsidR="00E507D4" w:rsidRDefault="00E507D4" w:rsidP="00E441CA">
      <w:pPr>
        <w:pStyle w:val="BodyText"/>
      </w:pPr>
    </w:p>
    <w:p w14:paraId="0B2093A5" w14:textId="77777777" w:rsidR="00E507D4" w:rsidRPr="00F271B8" w:rsidRDefault="00E507D4" w:rsidP="00E507D4">
      <w:pPr>
        <w:pStyle w:val="Heading4"/>
        <w:rPr>
          <w:lang w:val="en-AU"/>
        </w:rPr>
      </w:pPr>
      <w:bookmarkStart w:id="1848" w:name="_Toc426623225"/>
      <w:bookmarkStart w:id="1849" w:name="_Toc406515322"/>
      <w:bookmarkStart w:id="1850" w:name="_Toc428375207"/>
      <w:bookmarkStart w:id="1851" w:name="_Toc431469278"/>
      <w:bookmarkStart w:id="1852" w:name="_Toc455146820"/>
      <w:bookmarkStart w:id="1853" w:name="_Toc458679998"/>
      <w:bookmarkStart w:id="1854" w:name="_Toc458680540"/>
      <w:bookmarkStart w:id="1855" w:name="_Toc508361917"/>
      <w:bookmarkStart w:id="1856" w:name="_Toc62644704"/>
      <w:r w:rsidRPr="00F271B8">
        <w:rPr>
          <w:lang w:val="en-AU"/>
        </w:rPr>
        <w:t>My Plan Business Essentials</w:t>
      </w:r>
      <w:bookmarkEnd w:id="1848"/>
      <w:r w:rsidRPr="00F271B8">
        <w:rPr>
          <w:lang w:val="en-AU"/>
        </w:rPr>
        <w:t xml:space="preserve"> </w:t>
      </w:r>
      <w:bookmarkEnd w:id="1849"/>
      <w:r w:rsidRPr="00F271B8">
        <w:rPr>
          <w:lang w:val="en-AU"/>
        </w:rPr>
        <w:t>– (Promotional)</w:t>
      </w:r>
      <w:bookmarkEnd w:id="1850"/>
      <w:bookmarkEnd w:id="1851"/>
      <w:bookmarkEnd w:id="1852"/>
      <w:bookmarkEnd w:id="1853"/>
      <w:bookmarkEnd w:id="1854"/>
      <w:bookmarkEnd w:id="1855"/>
      <w:bookmarkEnd w:id="1856"/>
    </w:p>
    <w:p w14:paraId="7BCCE7E5" w14:textId="77777777" w:rsidR="00E507D4" w:rsidRPr="00F271B8" w:rsidRDefault="00E507D4" w:rsidP="00E507D4">
      <w:pPr>
        <w:pStyle w:val="BodyText"/>
        <w:ind w:left="720"/>
        <w:rPr>
          <w:lang w:val="en-AU"/>
        </w:rPr>
      </w:pPr>
      <w:r w:rsidRPr="00F271B8">
        <w:rPr>
          <w:lang w:val="en-AU"/>
        </w:rPr>
        <w:t>This section relates to the following plans</w:t>
      </w:r>
      <w:r>
        <w:rPr>
          <w:lang w:val="en-AU"/>
        </w:rPr>
        <w:t xml:space="preserve">. </w:t>
      </w:r>
      <w:r w:rsidRPr="00F271B8">
        <w:rPr>
          <w:i/>
          <w:lang w:val="en-AU"/>
        </w:rPr>
        <w:t>You</w:t>
      </w:r>
      <w:r w:rsidRPr="00F271B8">
        <w:rPr>
          <w:lang w:val="en-AU"/>
        </w:rPr>
        <w:t xml:space="preserve"> can find </w:t>
      </w:r>
      <w:r w:rsidRPr="00F271B8">
        <w:rPr>
          <w:i/>
          <w:lang w:val="en-AU"/>
        </w:rPr>
        <w:t>your</w:t>
      </w:r>
      <w:r w:rsidRPr="00F271B8">
        <w:rPr>
          <w:lang w:val="en-AU"/>
        </w:rPr>
        <w:t xml:space="preserve"> Plan ID on </w:t>
      </w:r>
      <w:r w:rsidRPr="00F271B8">
        <w:rPr>
          <w:i/>
          <w:lang w:val="en-AU"/>
        </w:rPr>
        <w:t>your</w:t>
      </w:r>
      <w:r w:rsidRPr="00F271B8">
        <w:rPr>
          <w:lang w:val="en-AU"/>
        </w:rPr>
        <w:t xml:space="preserve"> bill under the Mobile Number Summary section: </w:t>
      </w:r>
    </w:p>
    <w:tbl>
      <w:tblPr>
        <w:tblW w:w="95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0"/>
        <w:gridCol w:w="3180"/>
        <w:gridCol w:w="3180"/>
      </w:tblGrid>
      <w:tr w:rsidR="00E507D4" w:rsidRPr="00F271B8" w14:paraId="7ECF36A4" w14:textId="77777777" w:rsidTr="00B95821">
        <w:tc>
          <w:tcPr>
            <w:tcW w:w="3180" w:type="dxa"/>
            <w:shd w:val="clear" w:color="auto" w:fill="auto"/>
          </w:tcPr>
          <w:p w14:paraId="7EE93CEA" w14:textId="77777777" w:rsidR="00E507D4" w:rsidRPr="00F271B8" w:rsidRDefault="00E507D4" w:rsidP="00B95821">
            <w:pPr>
              <w:pStyle w:val="BodyText"/>
              <w:spacing w:before="100" w:after="100"/>
              <w:jc w:val="center"/>
              <w:rPr>
                <w:b/>
                <w:lang w:val="en-AU"/>
              </w:rPr>
            </w:pPr>
            <w:r w:rsidRPr="00F271B8">
              <w:rPr>
                <w:b/>
                <w:lang w:val="en-AU"/>
              </w:rPr>
              <w:t>Plan</w:t>
            </w:r>
          </w:p>
        </w:tc>
        <w:tc>
          <w:tcPr>
            <w:tcW w:w="3180" w:type="dxa"/>
            <w:shd w:val="clear" w:color="auto" w:fill="auto"/>
          </w:tcPr>
          <w:p w14:paraId="54D2DF9B" w14:textId="77777777" w:rsidR="00E507D4" w:rsidRPr="00F271B8" w:rsidRDefault="00E507D4" w:rsidP="00B95821">
            <w:pPr>
              <w:pStyle w:val="BodyText"/>
              <w:spacing w:before="100" w:after="100"/>
              <w:jc w:val="center"/>
              <w:rPr>
                <w:b/>
                <w:lang w:val="en-AU"/>
              </w:rPr>
            </w:pPr>
            <w:r w:rsidRPr="00F271B8">
              <w:rPr>
                <w:b/>
                <w:lang w:val="en-AU"/>
              </w:rPr>
              <w:t>Plan ID</w:t>
            </w:r>
          </w:p>
        </w:tc>
        <w:tc>
          <w:tcPr>
            <w:tcW w:w="3180" w:type="dxa"/>
            <w:shd w:val="clear" w:color="auto" w:fill="auto"/>
          </w:tcPr>
          <w:p w14:paraId="38D92E3A" w14:textId="77777777" w:rsidR="00E507D4" w:rsidRPr="00F271B8" w:rsidRDefault="00E507D4" w:rsidP="00B95821">
            <w:pPr>
              <w:pStyle w:val="BodyText"/>
              <w:spacing w:before="100" w:after="100"/>
              <w:jc w:val="center"/>
              <w:rPr>
                <w:b/>
                <w:lang w:val="en-AU"/>
              </w:rPr>
            </w:pPr>
            <w:r w:rsidRPr="00F271B8">
              <w:rPr>
                <w:b/>
                <w:lang w:val="en-AU"/>
              </w:rPr>
              <w:t>Available</w:t>
            </w:r>
          </w:p>
        </w:tc>
      </w:tr>
      <w:tr w:rsidR="00E507D4" w:rsidRPr="00F271B8" w14:paraId="567C1421" w14:textId="77777777" w:rsidTr="00B95821">
        <w:tc>
          <w:tcPr>
            <w:tcW w:w="3180" w:type="dxa"/>
            <w:shd w:val="clear" w:color="auto" w:fill="auto"/>
            <w:vAlign w:val="center"/>
          </w:tcPr>
          <w:p w14:paraId="6E702E08" w14:textId="77777777" w:rsidR="00E507D4" w:rsidRPr="00F271B8" w:rsidRDefault="00E507D4" w:rsidP="00B95821">
            <w:pPr>
              <w:pStyle w:val="BodyText"/>
              <w:spacing w:before="100" w:after="100"/>
              <w:jc w:val="center"/>
              <w:rPr>
                <w:lang w:val="en-AU"/>
              </w:rPr>
            </w:pPr>
            <w:r w:rsidRPr="00F271B8">
              <w:rPr>
                <w:lang w:val="en-AU"/>
              </w:rPr>
              <w:t>$30 My Plan Business Essentials</w:t>
            </w:r>
          </w:p>
        </w:tc>
        <w:tc>
          <w:tcPr>
            <w:tcW w:w="3180" w:type="dxa"/>
            <w:shd w:val="clear" w:color="auto" w:fill="auto"/>
            <w:vAlign w:val="center"/>
          </w:tcPr>
          <w:p w14:paraId="60A2DDDE" w14:textId="77777777" w:rsidR="00E507D4" w:rsidRPr="00F271B8" w:rsidRDefault="00E507D4" w:rsidP="00B95821">
            <w:pPr>
              <w:pStyle w:val="BodyText"/>
              <w:spacing w:before="100" w:after="100"/>
              <w:jc w:val="center"/>
              <w:rPr>
                <w:lang w:val="en-AU"/>
              </w:rPr>
            </w:pPr>
            <w:r w:rsidRPr="00F271B8">
              <w:rPr>
                <w:lang w:val="en-AU"/>
              </w:rPr>
              <w:t>800304</w:t>
            </w:r>
            <w:r>
              <w:rPr>
                <w:lang w:val="en-AU"/>
              </w:rPr>
              <w:t>, 8894001</w:t>
            </w:r>
          </w:p>
        </w:tc>
        <w:tc>
          <w:tcPr>
            <w:tcW w:w="3180" w:type="dxa"/>
            <w:shd w:val="clear" w:color="auto" w:fill="auto"/>
            <w:vAlign w:val="center"/>
          </w:tcPr>
          <w:p w14:paraId="63267C51" w14:textId="77777777" w:rsidR="00E507D4" w:rsidRPr="00F271B8" w:rsidRDefault="00E507D4" w:rsidP="00B95821">
            <w:pPr>
              <w:pStyle w:val="BodyText"/>
              <w:spacing w:before="100" w:after="100"/>
              <w:jc w:val="center"/>
              <w:rPr>
                <w:lang w:val="en-AU"/>
              </w:rPr>
            </w:pPr>
            <w:r w:rsidRPr="00F271B8">
              <w:rPr>
                <w:lang w:val="en-AU"/>
              </w:rPr>
              <w:t>30 August 2015</w:t>
            </w:r>
            <w:r w:rsidR="00B95821" w:rsidRPr="00E85FA3">
              <w:t xml:space="preserve"> – 30 </w:t>
            </w:r>
            <w:r w:rsidR="00856E4A">
              <w:t>June</w:t>
            </w:r>
            <w:r w:rsidR="00B95821" w:rsidRPr="00E85FA3">
              <w:t xml:space="preserve"> 2018</w:t>
            </w:r>
          </w:p>
        </w:tc>
      </w:tr>
    </w:tbl>
    <w:p w14:paraId="711D149F" w14:textId="77777777" w:rsidR="00E507D4" w:rsidRPr="00F271B8" w:rsidRDefault="00E507D4" w:rsidP="00E507D4">
      <w:pPr>
        <w:pStyle w:val="Heading6"/>
        <w:spacing w:before="240"/>
        <w:ind w:left="0" w:firstLine="0"/>
        <w:rPr>
          <w:lang w:val="en-AU"/>
        </w:rPr>
      </w:pPr>
      <w:bookmarkStart w:id="1857" w:name="_Toc455146821"/>
      <w:bookmarkStart w:id="1858" w:name="_Toc508361918"/>
      <w:r w:rsidRPr="00F271B8">
        <w:rPr>
          <w:lang w:val="en-AU"/>
        </w:rPr>
        <w:t>Eligibility</w:t>
      </w:r>
      <w:bookmarkEnd w:id="1857"/>
      <w:bookmarkEnd w:id="1858"/>
    </w:p>
    <w:p w14:paraId="03AD016A" w14:textId="77777777" w:rsidR="00E507D4" w:rsidRPr="00F271B8" w:rsidRDefault="00E507D4" w:rsidP="00E507D4">
      <w:pPr>
        <w:pStyle w:val="BodyText"/>
        <w:ind w:left="720"/>
      </w:pPr>
      <w:r w:rsidRPr="00F271B8">
        <w:t>The $30 My Plan Business Essentials plan is only available for customers who activate new services or existing customers who recontract onto this plan and</w:t>
      </w:r>
      <w:r w:rsidRPr="00F271B8">
        <w:rPr>
          <w:i/>
        </w:rPr>
        <w:t xml:space="preserve"> </w:t>
      </w:r>
      <w:r w:rsidRPr="00F271B8">
        <w:t>who pass Optus</w:t>
      </w:r>
      <w:r>
        <w:t>'</w:t>
      </w:r>
      <w:r w:rsidRPr="00F271B8">
        <w:t xml:space="preserve"> credit assessment.</w:t>
      </w:r>
    </w:p>
    <w:p w14:paraId="1F1BF77B" w14:textId="77777777" w:rsidR="00E507D4" w:rsidRPr="00F271B8" w:rsidRDefault="00E507D4" w:rsidP="00E507D4">
      <w:pPr>
        <w:pStyle w:val="BodyText"/>
        <w:ind w:left="720"/>
      </w:pPr>
      <w:r w:rsidRPr="00F271B8">
        <w:t>The plan is only available via Retail and Telesales channels</w:t>
      </w:r>
      <w:r>
        <w:t xml:space="preserve">. </w:t>
      </w:r>
    </w:p>
    <w:p w14:paraId="0EF1F776" w14:textId="77777777" w:rsidR="00E507D4" w:rsidRPr="00F271B8" w:rsidRDefault="00E507D4" w:rsidP="00E507D4">
      <w:pPr>
        <w:pStyle w:val="BodyText"/>
        <w:ind w:left="720"/>
        <w:rPr>
          <w:lang w:val="en-AU"/>
        </w:rPr>
      </w:pPr>
      <w:r w:rsidRPr="00F271B8">
        <w:rPr>
          <w:lang w:val="en-AU"/>
        </w:rPr>
        <w:t>Optus Service Providers</w:t>
      </w:r>
      <w:r>
        <w:rPr>
          <w:lang w:val="en-AU"/>
        </w:rPr>
        <w:t>'</w:t>
      </w:r>
      <w:r w:rsidRPr="00F271B8">
        <w:rPr>
          <w:lang w:val="en-AU"/>
        </w:rPr>
        <w:t xml:space="preserve"> customers are not eligible to apply.</w:t>
      </w:r>
    </w:p>
    <w:p w14:paraId="73AF322C" w14:textId="77777777" w:rsidR="00E507D4" w:rsidRPr="00F271B8" w:rsidRDefault="00E507D4" w:rsidP="00E507D4">
      <w:pPr>
        <w:pStyle w:val="BodyText"/>
        <w:ind w:left="720"/>
        <w:rPr>
          <w:lang w:val="en-AU"/>
        </w:rPr>
      </w:pPr>
      <w:r w:rsidRPr="00F271B8">
        <w:rPr>
          <w:lang w:val="en-AU"/>
        </w:rPr>
        <w:t xml:space="preserve">These </w:t>
      </w:r>
      <w:r w:rsidRPr="00F271B8">
        <w:rPr>
          <w:i/>
          <w:lang w:val="en-AU"/>
        </w:rPr>
        <w:t>plans</w:t>
      </w:r>
      <w:r w:rsidRPr="00F271B8">
        <w:rPr>
          <w:lang w:val="en-AU"/>
        </w:rPr>
        <w:t xml:space="preserve"> aren</w:t>
      </w:r>
      <w:r>
        <w:rPr>
          <w:lang w:val="en-AU"/>
        </w:rPr>
        <w:t>'</w:t>
      </w:r>
      <w:r w:rsidRPr="00F271B8">
        <w:rPr>
          <w:lang w:val="en-AU"/>
        </w:rPr>
        <w:t>t compatible for data use with BlackBerry handsets on operating systems of 7.1 or earlier.</w:t>
      </w:r>
    </w:p>
    <w:p w14:paraId="2324A6B1" w14:textId="77777777" w:rsidR="00E507D4" w:rsidRPr="00F271B8" w:rsidRDefault="00E507D4" w:rsidP="00E507D4">
      <w:pPr>
        <w:pStyle w:val="Heading6"/>
        <w:ind w:left="0" w:firstLine="0"/>
        <w:rPr>
          <w:lang w:val="en-AU"/>
        </w:rPr>
      </w:pPr>
      <w:bookmarkStart w:id="1859" w:name="_Toc455146822"/>
      <w:bookmarkStart w:id="1860" w:name="_Toc508361919"/>
      <w:r w:rsidRPr="00F271B8">
        <w:rPr>
          <w:lang w:val="en-AU"/>
        </w:rPr>
        <w:t>Minimum Term</w:t>
      </w:r>
      <w:bookmarkEnd w:id="1859"/>
      <w:bookmarkEnd w:id="1860"/>
    </w:p>
    <w:p w14:paraId="501B8C92" w14:textId="77777777" w:rsidR="00E507D4" w:rsidRPr="00F271B8" w:rsidRDefault="00E507D4" w:rsidP="00E507D4">
      <w:pPr>
        <w:pStyle w:val="BodyText"/>
        <w:ind w:left="720"/>
        <w:rPr>
          <w:lang w:val="en-AU"/>
        </w:rPr>
      </w:pPr>
      <w:r w:rsidRPr="00F271B8">
        <w:rPr>
          <w:lang w:val="en-AU"/>
        </w:rPr>
        <w:t xml:space="preserve">This plan has a </w:t>
      </w:r>
      <w:r w:rsidRPr="00F271B8">
        <w:rPr>
          <w:i/>
          <w:lang w:val="en-AU"/>
        </w:rPr>
        <w:t>fixed length</w:t>
      </w:r>
      <w:r w:rsidRPr="00F271B8">
        <w:rPr>
          <w:lang w:val="en-AU"/>
        </w:rPr>
        <w:t xml:space="preserve"> </w:t>
      </w:r>
      <w:r w:rsidRPr="00F271B8">
        <w:rPr>
          <w:i/>
          <w:lang w:val="en-AU"/>
        </w:rPr>
        <w:t>agreement</w:t>
      </w:r>
      <w:r w:rsidRPr="00F271B8">
        <w:rPr>
          <w:lang w:val="en-AU"/>
        </w:rPr>
        <w:t xml:space="preserve"> with a 24 month </w:t>
      </w:r>
      <w:r w:rsidRPr="00F271B8">
        <w:rPr>
          <w:i/>
          <w:lang w:val="en-AU"/>
        </w:rPr>
        <w:t>minimum term</w:t>
      </w:r>
      <w:r w:rsidRPr="00F271B8">
        <w:rPr>
          <w:lang w:val="en-AU"/>
        </w:rPr>
        <w:t>.</w:t>
      </w:r>
    </w:p>
    <w:p w14:paraId="4BECA6B0" w14:textId="77777777" w:rsidR="00E507D4" w:rsidRPr="00F271B8" w:rsidRDefault="00E507D4" w:rsidP="00E507D4">
      <w:pPr>
        <w:pStyle w:val="Heading6"/>
        <w:ind w:left="0" w:firstLine="0"/>
        <w:rPr>
          <w:lang w:val="en-AU"/>
        </w:rPr>
      </w:pPr>
      <w:bookmarkStart w:id="1861" w:name="_Toc455146823"/>
      <w:bookmarkStart w:id="1862" w:name="_Toc508361920"/>
      <w:r w:rsidRPr="00F271B8">
        <w:rPr>
          <w:lang w:val="en-AU"/>
        </w:rPr>
        <w:t>What you have to pay us</w:t>
      </w:r>
      <w:bookmarkEnd w:id="1861"/>
      <w:bookmarkEnd w:id="1862"/>
    </w:p>
    <w:p w14:paraId="50C38C1F" w14:textId="77777777" w:rsidR="00E507D4" w:rsidRPr="00F271B8" w:rsidRDefault="00E507D4" w:rsidP="00E507D4">
      <w:pPr>
        <w:pStyle w:val="Heading7"/>
        <w:rPr>
          <w:szCs w:val="20"/>
          <w:lang w:val="en-AU"/>
        </w:rPr>
      </w:pPr>
      <w:r w:rsidRPr="00F271B8">
        <w:rPr>
          <w:i/>
          <w:szCs w:val="20"/>
          <w:lang w:val="en-AU"/>
        </w:rPr>
        <w:t>You</w:t>
      </w:r>
      <w:r w:rsidRPr="00F271B8">
        <w:rPr>
          <w:szCs w:val="20"/>
          <w:lang w:val="en-AU"/>
        </w:rPr>
        <w:t xml:space="preserve"> must pay </w:t>
      </w:r>
      <w:r w:rsidRPr="00F271B8">
        <w:rPr>
          <w:i/>
          <w:szCs w:val="20"/>
          <w:lang w:val="en-AU"/>
        </w:rPr>
        <w:t>us</w:t>
      </w:r>
      <w:r w:rsidRPr="00F271B8">
        <w:rPr>
          <w:szCs w:val="20"/>
          <w:lang w:val="en-AU"/>
        </w:rPr>
        <w:t xml:space="preserve"> for use of the </w:t>
      </w:r>
      <w:r w:rsidRPr="00F271B8">
        <w:rPr>
          <w:i/>
          <w:szCs w:val="20"/>
          <w:lang w:val="en-AU"/>
        </w:rPr>
        <w:t>service</w:t>
      </w:r>
      <w:r w:rsidRPr="00F271B8">
        <w:rPr>
          <w:szCs w:val="20"/>
          <w:lang w:val="en-AU"/>
        </w:rPr>
        <w:t xml:space="preserve"> at the rates set out in Section 1 of this </w:t>
      </w:r>
      <w:r w:rsidRPr="00F271B8">
        <w:rPr>
          <w:i/>
          <w:szCs w:val="20"/>
          <w:lang w:val="en-AU"/>
        </w:rPr>
        <w:t>standard pricing table</w:t>
      </w:r>
      <w:r w:rsidRPr="00F271B8">
        <w:rPr>
          <w:szCs w:val="20"/>
          <w:lang w:val="en-AU"/>
        </w:rPr>
        <w:t xml:space="preserve"> and for value added service features at the rates set out in </w:t>
      </w:r>
      <w:hyperlink r:id="rId812" w:history="1">
        <w:r w:rsidRPr="00F271B8">
          <w:rPr>
            <w:rStyle w:val="Hyperlink"/>
            <w:i/>
            <w:szCs w:val="20"/>
            <w:lang w:val="en-AU"/>
          </w:rPr>
          <w:t>Appendix Y Value Added Service Features</w:t>
        </w:r>
      </w:hyperlink>
      <w:r>
        <w:rPr>
          <w:szCs w:val="20"/>
          <w:lang w:val="en-AU"/>
        </w:rPr>
        <w:t xml:space="preserve">. </w:t>
      </w:r>
    </w:p>
    <w:p w14:paraId="78E36776" w14:textId="77777777" w:rsidR="00E507D4" w:rsidRPr="00F271B8" w:rsidRDefault="00E507D4" w:rsidP="00E507D4">
      <w:pPr>
        <w:pStyle w:val="Heading7"/>
        <w:rPr>
          <w:lang w:val="en-AU"/>
        </w:rPr>
      </w:pPr>
      <w:r w:rsidRPr="00F271B8">
        <w:rPr>
          <w:lang w:val="en-AU"/>
        </w:rPr>
        <w:lastRenderedPageBreak/>
        <w:t>If there is a flagfall for a particular call type, the charge for these calls is the flagfall amount plus the relevant rate for the call multiplied by the duration of the call.</w:t>
      </w:r>
    </w:p>
    <w:p w14:paraId="470510C7" w14:textId="77777777" w:rsidR="00E507D4" w:rsidRPr="00F271B8" w:rsidRDefault="00E507D4" w:rsidP="00E507D4">
      <w:pPr>
        <w:pStyle w:val="Heading6"/>
        <w:keepNext/>
        <w:ind w:left="0" w:firstLine="0"/>
        <w:rPr>
          <w:lang w:val="en-AU"/>
        </w:rPr>
      </w:pPr>
      <w:bookmarkStart w:id="1863" w:name="_Toc508361921"/>
      <w:r w:rsidRPr="00F271B8">
        <w:rPr>
          <w:lang w:val="en-AU"/>
        </w:rPr>
        <w:t>Minimum Monthly Charge</w:t>
      </w:r>
      <w:bookmarkEnd w:id="1863"/>
      <w:r w:rsidRPr="00F271B8">
        <w:rPr>
          <w:lang w:val="en-AU"/>
        </w:rPr>
        <w:t xml:space="preserve"> </w:t>
      </w:r>
    </w:p>
    <w:p w14:paraId="28618653" w14:textId="77777777" w:rsidR="00E507D4" w:rsidRPr="00F271B8" w:rsidRDefault="00E507D4" w:rsidP="00E507D4">
      <w:pPr>
        <w:pStyle w:val="Heading7"/>
        <w:rPr>
          <w:lang w:val="en-AU"/>
        </w:rPr>
      </w:pPr>
      <w:r w:rsidRPr="00F271B8">
        <w:rPr>
          <w:lang w:val="en-AU"/>
        </w:rPr>
        <w:t xml:space="preserve">My Plan Business Essentials has a Minimum Monthly Charge amount that </w:t>
      </w:r>
      <w:r w:rsidRPr="00F271B8">
        <w:rPr>
          <w:i/>
          <w:lang w:val="en-AU"/>
        </w:rPr>
        <w:t>you</w:t>
      </w:r>
      <w:r w:rsidRPr="00F271B8">
        <w:rPr>
          <w:lang w:val="en-AU"/>
        </w:rPr>
        <w:t xml:space="preserve"> must pay </w:t>
      </w:r>
      <w:r w:rsidRPr="00F271B8">
        <w:rPr>
          <w:i/>
          <w:lang w:val="en-AU"/>
        </w:rPr>
        <w:t>us</w:t>
      </w:r>
      <w:r w:rsidRPr="00F271B8">
        <w:rPr>
          <w:lang w:val="en-AU"/>
        </w:rPr>
        <w:t xml:space="preserve"> each month as set out in Table 1 below</w:t>
      </w:r>
      <w:r>
        <w:rPr>
          <w:lang w:val="en-AU"/>
        </w:rPr>
        <w:t xml:space="preserve">. </w:t>
      </w:r>
    </w:p>
    <w:p w14:paraId="406AE46F" w14:textId="77777777" w:rsidR="00E507D4" w:rsidRPr="00F271B8" w:rsidRDefault="00E507D4" w:rsidP="00E507D4">
      <w:pPr>
        <w:pStyle w:val="Heading7"/>
        <w:rPr>
          <w:szCs w:val="20"/>
          <w:lang w:val="en-AU"/>
        </w:rPr>
      </w:pPr>
      <w:r w:rsidRPr="00F271B8">
        <w:rPr>
          <w:i/>
          <w:szCs w:val="20"/>
          <w:lang w:val="en-AU"/>
        </w:rPr>
        <w:t>You</w:t>
      </w:r>
      <w:r w:rsidRPr="00F271B8">
        <w:rPr>
          <w:szCs w:val="20"/>
          <w:lang w:val="en-AU"/>
        </w:rPr>
        <w:t xml:space="preserve"> may purchase a mobile phone (or </w:t>
      </w:r>
      <w:r>
        <w:rPr>
          <w:szCs w:val="20"/>
          <w:lang w:val="en-AU"/>
        </w:rPr>
        <w:t>'</w:t>
      </w:r>
      <w:r w:rsidRPr="00F271B8">
        <w:rPr>
          <w:szCs w:val="20"/>
          <w:lang w:val="en-AU"/>
        </w:rPr>
        <w:t>handset</w:t>
      </w:r>
      <w:r>
        <w:rPr>
          <w:szCs w:val="20"/>
          <w:lang w:val="en-AU"/>
        </w:rPr>
        <w:t>'</w:t>
      </w:r>
      <w:r w:rsidRPr="00F271B8">
        <w:rPr>
          <w:szCs w:val="20"/>
          <w:lang w:val="en-AU"/>
        </w:rPr>
        <w:t xml:space="preserve">) with a 24 month </w:t>
      </w:r>
      <w:r w:rsidRPr="00F271B8">
        <w:rPr>
          <w:i/>
          <w:szCs w:val="20"/>
          <w:lang w:val="en-AU"/>
        </w:rPr>
        <w:t>equipment term</w:t>
      </w:r>
      <w:r w:rsidRPr="00F271B8">
        <w:rPr>
          <w:szCs w:val="20"/>
          <w:lang w:val="en-AU"/>
        </w:rPr>
        <w:t xml:space="preserve"> under a </w:t>
      </w:r>
      <w:r w:rsidRPr="00F271B8">
        <w:rPr>
          <w:i/>
          <w:szCs w:val="20"/>
          <w:lang w:val="en-AU"/>
        </w:rPr>
        <w:t>mobile equipment payment plan</w:t>
      </w:r>
      <w:r w:rsidRPr="00F271B8">
        <w:rPr>
          <w:szCs w:val="20"/>
          <w:lang w:val="en-AU"/>
        </w:rPr>
        <w:t xml:space="preserve"> (set out in </w:t>
      </w:r>
      <w:hyperlink r:id="rId813" w:history="1">
        <w:r w:rsidRPr="00F271B8">
          <w:rPr>
            <w:rStyle w:val="Hyperlink"/>
            <w:i/>
            <w:szCs w:val="20"/>
            <w:lang w:val="en-AU"/>
          </w:rPr>
          <w:t>Appendix D</w:t>
        </w:r>
      </w:hyperlink>
      <w:r w:rsidRPr="00F271B8">
        <w:rPr>
          <w:szCs w:val="20"/>
          <w:lang w:val="en-AU"/>
        </w:rPr>
        <w:t xml:space="preserve">) on a 24 month </w:t>
      </w:r>
      <w:r w:rsidRPr="00F271B8">
        <w:rPr>
          <w:i/>
          <w:szCs w:val="20"/>
          <w:lang w:val="en-AU"/>
        </w:rPr>
        <w:t>fixed-length agreement</w:t>
      </w:r>
      <w:r>
        <w:rPr>
          <w:szCs w:val="20"/>
          <w:lang w:val="en-AU"/>
        </w:rPr>
        <w:t xml:space="preserve">. </w:t>
      </w:r>
    </w:p>
    <w:p w14:paraId="5FCA5EB3" w14:textId="77777777" w:rsidR="00E507D4" w:rsidRPr="00F271B8" w:rsidRDefault="00E507D4" w:rsidP="00E507D4">
      <w:pPr>
        <w:pStyle w:val="Heading6"/>
        <w:ind w:left="0" w:firstLine="0"/>
        <w:rPr>
          <w:lang w:val="en-AU"/>
        </w:rPr>
      </w:pPr>
      <w:bookmarkStart w:id="1864" w:name="_Toc455146824"/>
      <w:bookmarkStart w:id="1865" w:name="_Toc508361922"/>
      <w:r w:rsidRPr="00F271B8">
        <w:rPr>
          <w:lang w:val="en-AU"/>
        </w:rPr>
        <w:t>How My Plan Business Essentials works</w:t>
      </w:r>
      <w:bookmarkEnd w:id="1864"/>
      <w:bookmarkEnd w:id="1865"/>
    </w:p>
    <w:p w14:paraId="719FD3D6" w14:textId="77777777" w:rsidR="00E507D4" w:rsidRPr="00F271B8" w:rsidRDefault="00E507D4" w:rsidP="00E507D4">
      <w:pPr>
        <w:pStyle w:val="Heading7"/>
        <w:rPr>
          <w:lang w:val="en-AU"/>
        </w:rPr>
      </w:pPr>
      <w:r w:rsidRPr="00F271B8">
        <w:rPr>
          <w:lang w:val="en-AU"/>
        </w:rPr>
        <w:t>The My Plan Business Essentials plan has 250 minutes to use on standard national calls to landlines and mobiles, 13/1300 numbers and voicemail retrievals (</w:t>
      </w:r>
      <w:r w:rsidRPr="00F271B8">
        <w:rPr>
          <w:b/>
          <w:lang w:val="en-AU"/>
        </w:rPr>
        <w:t>Included Minutes</w:t>
      </w:r>
      <w:r w:rsidRPr="00F271B8">
        <w:rPr>
          <w:lang w:val="en-AU"/>
        </w:rPr>
        <w:t>) and Included Data (for mobile internet use) to share with other services on a My Plan Plus, My Plan Plus SIM Only, My Plan Essentials, My Plan Business (including Tech Fund), My Plan Business SIM, My Plan Business Essentials, My Mobile Broadband Plus, Mobile Broadband Business or Shared Data Plan on the same account</w:t>
      </w:r>
      <w:r>
        <w:rPr>
          <w:lang w:val="en-AU"/>
        </w:rPr>
        <w:t xml:space="preserve">. </w:t>
      </w:r>
    </w:p>
    <w:p w14:paraId="1B8EBEA4" w14:textId="77777777" w:rsidR="00E507D4" w:rsidRPr="00F271B8" w:rsidRDefault="00E507D4" w:rsidP="00E507D4">
      <w:pPr>
        <w:pStyle w:val="Heading7"/>
        <w:rPr>
          <w:lang w:val="en-AU"/>
        </w:rPr>
      </w:pPr>
      <w:r w:rsidRPr="00F271B8">
        <w:rPr>
          <w:lang w:val="en-AU"/>
        </w:rPr>
        <w:t>This plan also includes unlimited standard national SMS/MMS and unlimited standard International SMS/MMS to selected countries</w:t>
      </w:r>
      <w:r>
        <w:rPr>
          <w:lang w:val="en-AU"/>
        </w:rPr>
        <w:t xml:space="preserve">. </w:t>
      </w:r>
    </w:p>
    <w:p w14:paraId="4E3463D5" w14:textId="77777777" w:rsidR="00E507D4" w:rsidRPr="00F271B8" w:rsidRDefault="00E507D4" w:rsidP="00E507D4">
      <w:pPr>
        <w:pStyle w:val="Heading7"/>
        <w:rPr>
          <w:lang w:val="en-AU"/>
        </w:rPr>
      </w:pPr>
      <w:r w:rsidRPr="00F271B8">
        <w:rPr>
          <w:lang w:val="en-AU"/>
        </w:rPr>
        <w:t>Data usage is calculated in one kilobyte increments</w:t>
      </w:r>
      <w:r>
        <w:rPr>
          <w:lang w:val="en-AU"/>
        </w:rPr>
        <w:t xml:space="preserve">. </w:t>
      </w:r>
      <w:r w:rsidRPr="00F271B8">
        <w:rPr>
          <w:lang w:val="en-AU"/>
        </w:rPr>
        <w:t>National calls are billed in one minute increments</w:t>
      </w:r>
      <w:r>
        <w:rPr>
          <w:lang w:val="en-AU"/>
        </w:rPr>
        <w:t xml:space="preserve">. </w:t>
      </w:r>
      <w:r w:rsidRPr="00F271B8">
        <w:rPr>
          <w:lang w:val="en-AU"/>
        </w:rPr>
        <w:t xml:space="preserve">If </w:t>
      </w:r>
      <w:r w:rsidRPr="00F271B8">
        <w:rPr>
          <w:i/>
          <w:lang w:val="en-AU"/>
        </w:rPr>
        <w:t>you</w:t>
      </w:r>
      <w:r w:rsidRPr="00F271B8">
        <w:rPr>
          <w:lang w:val="en-AU"/>
        </w:rPr>
        <w:t xml:space="preserve"> exceed </w:t>
      </w:r>
      <w:r w:rsidRPr="00F271B8">
        <w:rPr>
          <w:i/>
          <w:lang w:val="en-AU"/>
        </w:rPr>
        <w:t>your</w:t>
      </w:r>
      <w:r w:rsidRPr="00F271B8">
        <w:rPr>
          <w:lang w:val="en-AU"/>
        </w:rPr>
        <w:t xml:space="preserve"> </w:t>
      </w:r>
      <w:r w:rsidRPr="00F271B8">
        <w:rPr>
          <w:i/>
          <w:lang w:val="en-AU"/>
        </w:rPr>
        <w:t>plan</w:t>
      </w:r>
      <w:r>
        <w:rPr>
          <w:i/>
          <w:lang w:val="en-AU"/>
        </w:rPr>
        <w:t>'</w:t>
      </w:r>
      <w:r w:rsidRPr="00F271B8">
        <w:rPr>
          <w:i/>
          <w:lang w:val="en-AU"/>
        </w:rPr>
        <w:t>s</w:t>
      </w:r>
      <w:r w:rsidRPr="00F271B8">
        <w:rPr>
          <w:lang w:val="en-AU"/>
        </w:rPr>
        <w:t xml:space="preserve"> Included Minutes, </w:t>
      </w:r>
      <w:r w:rsidRPr="00F271B8">
        <w:rPr>
          <w:i/>
          <w:lang w:val="en-AU"/>
        </w:rPr>
        <w:t>you</w:t>
      </w:r>
      <w:r w:rsidRPr="00F271B8">
        <w:rPr>
          <w:lang w:val="en-AU"/>
        </w:rPr>
        <w:t xml:space="preserve"> will be automatically get more minutes (</w:t>
      </w:r>
      <w:r>
        <w:rPr>
          <w:lang w:val="en-AU"/>
        </w:rPr>
        <w:t>"</w:t>
      </w:r>
      <w:r w:rsidRPr="00F271B8">
        <w:rPr>
          <w:b/>
          <w:lang w:val="en-AU"/>
        </w:rPr>
        <w:t>Additional Minutes</w:t>
      </w:r>
      <w:r>
        <w:rPr>
          <w:lang w:val="en-AU"/>
        </w:rPr>
        <w:t>"</w:t>
      </w:r>
      <w:r w:rsidRPr="00F271B8">
        <w:rPr>
          <w:lang w:val="en-AU"/>
        </w:rPr>
        <w:t>), as set out in Table 3 below.</w:t>
      </w:r>
    </w:p>
    <w:p w14:paraId="4AE6BC71" w14:textId="77777777" w:rsidR="00E507D4" w:rsidRPr="00F271B8" w:rsidRDefault="00E507D4" w:rsidP="00E507D4">
      <w:pPr>
        <w:pStyle w:val="Heading7"/>
        <w:rPr>
          <w:lang w:val="en-AU"/>
        </w:rPr>
      </w:pPr>
      <w:r w:rsidRPr="00F271B8">
        <w:rPr>
          <w:lang w:val="en-AU"/>
        </w:rPr>
        <w:t>If you exceed your included shareable data you</w:t>
      </w:r>
      <w:r>
        <w:rPr>
          <w:lang w:val="en-AU"/>
        </w:rPr>
        <w:t>'</w:t>
      </w:r>
      <w:r w:rsidRPr="00F271B8">
        <w:rPr>
          <w:lang w:val="en-AU"/>
        </w:rPr>
        <w:t>ll automatically be charged $10 for each additional 1GB of data (</w:t>
      </w:r>
      <w:r>
        <w:rPr>
          <w:lang w:val="en-AU"/>
        </w:rPr>
        <w:t>"</w:t>
      </w:r>
      <w:r w:rsidRPr="00F271B8">
        <w:rPr>
          <w:b/>
          <w:lang w:val="en-AU"/>
        </w:rPr>
        <w:t>Additional Data</w:t>
      </w:r>
      <w:r>
        <w:rPr>
          <w:lang w:val="en-AU"/>
        </w:rPr>
        <w:t>"</w:t>
      </w:r>
      <w:r w:rsidRPr="00F271B8">
        <w:rPr>
          <w:lang w:val="en-AU"/>
        </w:rPr>
        <w:t>) that you use (or part thereof) up to 150GB of extra data per account each month</w:t>
      </w:r>
      <w:r>
        <w:rPr>
          <w:lang w:val="en-AU"/>
        </w:rPr>
        <w:t xml:space="preserve">. </w:t>
      </w:r>
      <w:r w:rsidRPr="00F271B8">
        <w:rPr>
          <w:lang w:val="en-AU"/>
        </w:rPr>
        <w:t>Your service/s may then be restricted or we may continue to charge you at these rates.</w:t>
      </w:r>
    </w:p>
    <w:p w14:paraId="10D821A1" w14:textId="77777777" w:rsidR="00E507D4" w:rsidRPr="00F271B8" w:rsidRDefault="00E507D4" w:rsidP="00E507D4">
      <w:pPr>
        <w:pStyle w:val="Heading7"/>
        <w:rPr>
          <w:lang w:val="en-AU"/>
        </w:rPr>
      </w:pPr>
      <w:r w:rsidRPr="00F271B8">
        <w:rPr>
          <w:lang w:val="en-AU"/>
        </w:rPr>
        <w:t xml:space="preserve">Any unused portion of </w:t>
      </w:r>
      <w:r w:rsidRPr="00F271B8">
        <w:rPr>
          <w:i/>
          <w:lang w:val="en-AU"/>
        </w:rPr>
        <w:t>your</w:t>
      </w:r>
      <w:r w:rsidRPr="00F271B8">
        <w:rPr>
          <w:lang w:val="en-AU"/>
        </w:rPr>
        <w:t xml:space="preserve"> </w:t>
      </w:r>
      <w:r w:rsidRPr="00F271B8">
        <w:rPr>
          <w:i/>
          <w:lang w:val="en-AU"/>
        </w:rPr>
        <w:t>plan</w:t>
      </w:r>
      <w:r>
        <w:rPr>
          <w:i/>
          <w:lang w:val="en-AU"/>
        </w:rPr>
        <w:t>'</w:t>
      </w:r>
      <w:r w:rsidRPr="00F271B8">
        <w:rPr>
          <w:i/>
          <w:lang w:val="en-AU"/>
        </w:rPr>
        <w:t>s</w:t>
      </w:r>
      <w:r w:rsidRPr="00F271B8">
        <w:rPr>
          <w:lang w:val="en-AU"/>
        </w:rPr>
        <w:t xml:space="preserve"> Included or Additional Minutes or Included or Additional Data expires at the end of each month and does not roll over into the next month.</w:t>
      </w:r>
    </w:p>
    <w:p w14:paraId="4E8EEA84" w14:textId="77777777" w:rsidR="00E507D4" w:rsidRPr="00F271B8" w:rsidRDefault="00E507D4" w:rsidP="00E507D4">
      <w:pPr>
        <w:pStyle w:val="Heading7"/>
        <w:rPr>
          <w:b/>
          <w:lang w:val="en-AU"/>
        </w:rPr>
      </w:pPr>
      <w:r w:rsidRPr="00F271B8">
        <w:rPr>
          <w:i/>
          <w:lang w:val="en-AU"/>
        </w:rPr>
        <w:t>You</w:t>
      </w:r>
      <w:r w:rsidRPr="00F271B8">
        <w:rPr>
          <w:lang w:val="en-AU"/>
        </w:rPr>
        <w:t xml:space="preserve"> must pay </w:t>
      </w:r>
      <w:r w:rsidRPr="00F271B8">
        <w:rPr>
          <w:i/>
          <w:lang w:val="en-AU"/>
        </w:rPr>
        <w:t>us</w:t>
      </w:r>
      <w:r w:rsidRPr="00F271B8">
        <w:rPr>
          <w:lang w:val="en-AU"/>
        </w:rPr>
        <w:t xml:space="preserve"> for use of any services that are not included in </w:t>
      </w:r>
      <w:r w:rsidRPr="00F271B8">
        <w:rPr>
          <w:i/>
          <w:lang w:val="en-AU"/>
        </w:rPr>
        <w:t>your</w:t>
      </w:r>
      <w:r w:rsidRPr="00F271B8">
        <w:rPr>
          <w:lang w:val="en-AU"/>
        </w:rPr>
        <w:t xml:space="preserve"> plan</w:t>
      </w:r>
      <w:r>
        <w:rPr>
          <w:lang w:val="en-AU"/>
        </w:rPr>
        <w:t>'</w:t>
      </w:r>
      <w:r w:rsidRPr="00F271B8">
        <w:rPr>
          <w:lang w:val="en-AU"/>
        </w:rPr>
        <w:t>s inclusions, examples of which are set out in Table 2 below.</w:t>
      </w:r>
    </w:p>
    <w:p w14:paraId="5BC7994D" w14:textId="77777777" w:rsidR="00E507D4" w:rsidRPr="00F271B8" w:rsidRDefault="00E507D4" w:rsidP="00E507D4">
      <w:pPr>
        <w:pStyle w:val="Heading6"/>
        <w:ind w:left="0" w:firstLine="0"/>
        <w:rPr>
          <w:lang w:val="en-AU"/>
        </w:rPr>
      </w:pPr>
      <w:bookmarkStart w:id="1866" w:name="_Toc455146825"/>
      <w:bookmarkStart w:id="1867" w:name="_Toc508361923"/>
      <w:r w:rsidRPr="00F271B8">
        <w:rPr>
          <w:lang w:val="en-AU"/>
        </w:rPr>
        <w:t>Data Sharing</w:t>
      </w:r>
      <w:bookmarkEnd w:id="1866"/>
      <w:bookmarkEnd w:id="1867"/>
    </w:p>
    <w:p w14:paraId="13510687" w14:textId="77777777" w:rsidR="00E507D4" w:rsidRPr="00F271B8" w:rsidRDefault="00E507D4" w:rsidP="00E507D4">
      <w:pPr>
        <w:pStyle w:val="Heading7"/>
        <w:rPr>
          <w:lang w:val="en-AU"/>
        </w:rPr>
      </w:pPr>
      <w:r w:rsidRPr="00F271B8">
        <w:rPr>
          <w:lang w:val="en-AU"/>
        </w:rPr>
        <w:t>If you have more than one My Plan Plus, My Plan Plus SIM Only, My Plan Essentials, My Plan Business (including Tech Fund), My Plan Business SIM, My Plan Business Essentials, My Mobile Broadband Plus or Mobile Broadband Business on the same billing account, the included data will combine into one data pool, which will be shared by all eligible services on that account</w:t>
      </w:r>
      <w:r>
        <w:rPr>
          <w:lang w:val="en-AU"/>
        </w:rPr>
        <w:t xml:space="preserve">. </w:t>
      </w:r>
    </w:p>
    <w:p w14:paraId="26741D92" w14:textId="77777777" w:rsidR="00E507D4" w:rsidRPr="00F271B8" w:rsidRDefault="00E507D4" w:rsidP="00E507D4">
      <w:pPr>
        <w:pStyle w:val="Heading7"/>
        <w:rPr>
          <w:lang w:val="en-AU"/>
        </w:rPr>
      </w:pPr>
      <w:r w:rsidRPr="00F271B8">
        <w:rPr>
          <w:i/>
          <w:lang w:val="en-AU"/>
        </w:rPr>
        <w:t>You</w:t>
      </w:r>
      <w:r w:rsidRPr="00F271B8">
        <w:rPr>
          <w:lang w:val="en-AU"/>
        </w:rPr>
        <w:t xml:space="preserve"> can also share the Included Data in </w:t>
      </w:r>
      <w:r w:rsidRPr="00F271B8">
        <w:rPr>
          <w:i/>
          <w:lang w:val="en-AU"/>
        </w:rPr>
        <w:t>your</w:t>
      </w:r>
      <w:r w:rsidRPr="00F271B8">
        <w:rPr>
          <w:lang w:val="en-AU"/>
        </w:rPr>
        <w:t xml:space="preserve"> My Plan Plus plan with up to five (5) SIM-ready mobile broadband devices (e.g</w:t>
      </w:r>
      <w:r>
        <w:rPr>
          <w:lang w:val="en-AU"/>
        </w:rPr>
        <w:t xml:space="preserve">. </w:t>
      </w:r>
      <w:r w:rsidRPr="00F271B8">
        <w:rPr>
          <w:lang w:val="en-AU"/>
        </w:rPr>
        <w:t>tablets, USB modems and laptops)</w:t>
      </w:r>
      <w:r>
        <w:rPr>
          <w:lang w:val="en-AU"/>
        </w:rPr>
        <w:t xml:space="preserve">. </w:t>
      </w:r>
      <w:r w:rsidRPr="00F271B8">
        <w:rPr>
          <w:i/>
          <w:lang w:val="en-AU"/>
        </w:rPr>
        <w:t>You</w:t>
      </w:r>
      <w:r w:rsidRPr="00F271B8">
        <w:rPr>
          <w:lang w:val="en-AU"/>
        </w:rPr>
        <w:t xml:space="preserve"> must connect these mobile broadband devices to Shared Data Plans which have a $5 set up fee each and no ongoing monthly charges</w:t>
      </w:r>
      <w:r>
        <w:rPr>
          <w:lang w:val="en-AU"/>
        </w:rPr>
        <w:t xml:space="preserve">. </w:t>
      </w:r>
    </w:p>
    <w:p w14:paraId="4F9F2A2D" w14:textId="77777777" w:rsidR="00E507D4" w:rsidRPr="00F271B8" w:rsidRDefault="00E507D4" w:rsidP="00E507D4">
      <w:pPr>
        <w:pStyle w:val="Heading7"/>
        <w:rPr>
          <w:lang w:val="en-AU"/>
        </w:rPr>
      </w:pPr>
      <w:r w:rsidRPr="00F271B8">
        <w:rPr>
          <w:i/>
          <w:lang w:val="en-AU"/>
        </w:rPr>
        <w:t>We</w:t>
      </w:r>
      <w:r w:rsidRPr="00F271B8">
        <w:rPr>
          <w:lang w:val="en-AU"/>
        </w:rPr>
        <w:t xml:space="preserve"> may place a limit on the number of Shared Data Plans </w:t>
      </w:r>
      <w:r w:rsidRPr="00F271B8">
        <w:rPr>
          <w:i/>
          <w:lang w:val="en-AU"/>
        </w:rPr>
        <w:t>you</w:t>
      </w:r>
      <w:r w:rsidRPr="00F271B8">
        <w:rPr>
          <w:lang w:val="en-AU"/>
        </w:rPr>
        <w:t xml:space="preserve"> can have, based on </w:t>
      </w:r>
      <w:r w:rsidRPr="00F271B8">
        <w:rPr>
          <w:i/>
          <w:lang w:val="en-AU"/>
        </w:rPr>
        <w:t>our</w:t>
      </w:r>
      <w:r w:rsidRPr="00F271B8">
        <w:rPr>
          <w:lang w:val="en-AU"/>
        </w:rPr>
        <w:t xml:space="preserve"> credit criteria.</w:t>
      </w:r>
    </w:p>
    <w:p w14:paraId="2821ECC5" w14:textId="77777777" w:rsidR="00E507D4" w:rsidRPr="00F271B8" w:rsidRDefault="00E507D4" w:rsidP="00E507D4">
      <w:pPr>
        <w:pStyle w:val="Heading7"/>
        <w:rPr>
          <w:lang w:val="en-AU"/>
        </w:rPr>
      </w:pPr>
      <w:r w:rsidRPr="00F271B8">
        <w:rPr>
          <w:lang w:val="en-AU"/>
        </w:rPr>
        <w:t>Shared Data Plans do not have any Included Data, and cannot be used to make calls.</w:t>
      </w:r>
    </w:p>
    <w:p w14:paraId="3885150A" w14:textId="77777777" w:rsidR="00E507D4" w:rsidRPr="00F271B8" w:rsidRDefault="00E507D4" w:rsidP="00E507D4">
      <w:pPr>
        <w:pStyle w:val="Heading7"/>
        <w:rPr>
          <w:lang w:val="en-AU"/>
        </w:rPr>
      </w:pPr>
      <w:r w:rsidRPr="00F271B8">
        <w:rPr>
          <w:i/>
          <w:lang w:val="en-AU"/>
        </w:rPr>
        <w:t>You</w:t>
      </w:r>
      <w:r w:rsidRPr="00F271B8">
        <w:rPr>
          <w:lang w:val="en-AU"/>
        </w:rPr>
        <w:t xml:space="preserve"> can purchase one mobile broadband device per Shared Data Plan, and pay for it in full on </w:t>
      </w:r>
      <w:r w:rsidRPr="00F271B8">
        <w:rPr>
          <w:i/>
          <w:lang w:val="en-AU"/>
        </w:rPr>
        <w:t>your</w:t>
      </w:r>
      <w:r w:rsidRPr="00F271B8">
        <w:rPr>
          <w:lang w:val="en-AU"/>
        </w:rPr>
        <w:t xml:space="preserve"> first bill, or pay it off over 12 or 24 months on a </w:t>
      </w:r>
      <w:r w:rsidRPr="00F271B8">
        <w:rPr>
          <w:i/>
          <w:lang w:val="en-AU"/>
        </w:rPr>
        <w:t>Mobile Equipment Payment Plan</w:t>
      </w:r>
      <w:r w:rsidRPr="00F271B8">
        <w:rPr>
          <w:lang w:val="en-AU"/>
        </w:rPr>
        <w:t xml:space="preserve"> (see Appendix D).</w:t>
      </w:r>
    </w:p>
    <w:p w14:paraId="6484E172" w14:textId="77777777" w:rsidR="00E507D4" w:rsidRPr="00F271B8" w:rsidRDefault="00E507D4" w:rsidP="00E507D4">
      <w:pPr>
        <w:pStyle w:val="Heading7"/>
        <w:rPr>
          <w:lang w:val="en-AU"/>
        </w:rPr>
      </w:pPr>
      <w:r w:rsidRPr="00F271B8">
        <w:rPr>
          <w:lang w:val="en-AU"/>
        </w:rPr>
        <w:t xml:space="preserve">If </w:t>
      </w:r>
      <w:r w:rsidRPr="00F271B8">
        <w:rPr>
          <w:i/>
          <w:lang w:val="en-AU"/>
        </w:rPr>
        <w:t>you</w:t>
      </w:r>
      <w:r w:rsidRPr="00F271B8">
        <w:rPr>
          <w:lang w:val="en-AU"/>
        </w:rPr>
        <w:t xml:space="preserve"> do not want </w:t>
      </w:r>
      <w:r w:rsidRPr="00F271B8">
        <w:rPr>
          <w:i/>
          <w:lang w:val="en-AU"/>
        </w:rPr>
        <w:t>your</w:t>
      </w:r>
      <w:r w:rsidRPr="00F271B8">
        <w:rPr>
          <w:lang w:val="en-AU"/>
        </w:rPr>
        <w:t xml:space="preserve"> services on any My Plan Plus, My Plan Plus SIM Only, My Plan Essentials, My Plan Business (including Tech Fund), My Plan Business SIM, My Plan Business Essentials, My Mobile Broadband Plus or Mobile Broadband Business plans to share data, they need to be on separate billing accounts</w:t>
      </w:r>
      <w:r>
        <w:rPr>
          <w:lang w:val="en-AU"/>
        </w:rPr>
        <w:t xml:space="preserve">. </w:t>
      </w:r>
    </w:p>
    <w:p w14:paraId="58C9B0D3" w14:textId="77777777" w:rsidR="00E507D4" w:rsidRPr="00F271B8" w:rsidRDefault="00E507D4" w:rsidP="00E507D4">
      <w:pPr>
        <w:pStyle w:val="Heading7"/>
        <w:rPr>
          <w:lang w:val="en-AU"/>
        </w:rPr>
      </w:pPr>
      <w:r w:rsidRPr="00F271B8">
        <w:rPr>
          <w:lang w:val="en-AU"/>
        </w:rPr>
        <w:lastRenderedPageBreak/>
        <w:t>Data sharing is only available within Australia.</w:t>
      </w:r>
    </w:p>
    <w:p w14:paraId="4C916365" w14:textId="77777777" w:rsidR="00E507D4" w:rsidRPr="00F271B8" w:rsidRDefault="00E507D4" w:rsidP="00E507D4">
      <w:pPr>
        <w:pStyle w:val="Heading6"/>
        <w:ind w:left="0" w:firstLine="0"/>
        <w:rPr>
          <w:lang w:val="en-AU"/>
        </w:rPr>
      </w:pPr>
      <w:bookmarkStart w:id="1868" w:name="_Toc455146826"/>
      <w:bookmarkStart w:id="1869" w:name="_Toc508361924"/>
      <w:r w:rsidRPr="00F271B8">
        <w:rPr>
          <w:lang w:val="en-AU"/>
        </w:rPr>
        <w:t>Unlimited standard national SMS and MMS</w:t>
      </w:r>
      <w:bookmarkEnd w:id="1868"/>
      <w:bookmarkEnd w:id="1869"/>
    </w:p>
    <w:p w14:paraId="009F043E" w14:textId="77777777" w:rsidR="00E507D4" w:rsidRPr="00F271B8" w:rsidRDefault="00E507D4" w:rsidP="00E507D4">
      <w:pPr>
        <w:pStyle w:val="BodyText"/>
        <w:ind w:left="720"/>
        <w:rPr>
          <w:szCs w:val="20"/>
          <w:u w:val="single"/>
        </w:rPr>
      </w:pPr>
      <w:r w:rsidRPr="00F271B8">
        <w:rPr>
          <w:i/>
          <w:szCs w:val="20"/>
        </w:rPr>
        <w:t>You</w:t>
      </w:r>
      <w:r w:rsidRPr="00F271B8">
        <w:rPr>
          <w:szCs w:val="20"/>
        </w:rPr>
        <w:t xml:space="preserve"> may send unlimited standard SMS and MMS to Australian mobiles from within Australia</w:t>
      </w:r>
      <w:r>
        <w:rPr>
          <w:szCs w:val="20"/>
        </w:rPr>
        <w:t xml:space="preserve">. </w:t>
      </w:r>
      <w:hyperlink r:id="rId814" w:history="1">
        <w:r w:rsidRPr="00F271B8">
          <w:rPr>
            <w:rStyle w:val="Hyperlink"/>
            <w:i/>
            <w:szCs w:val="20"/>
          </w:rPr>
          <w:t>Fair Go Policy</w:t>
        </w:r>
      </w:hyperlink>
      <w:r w:rsidRPr="00F271B8">
        <w:rPr>
          <w:szCs w:val="20"/>
        </w:rPr>
        <w:t xml:space="preserve"> applies</w:t>
      </w:r>
      <w:r>
        <w:rPr>
          <w:szCs w:val="20"/>
        </w:rPr>
        <w:t xml:space="preserve">. </w:t>
      </w:r>
      <w:r w:rsidRPr="00F271B8">
        <w:rPr>
          <w:szCs w:val="20"/>
        </w:rPr>
        <w:t xml:space="preserve">For further details refer to </w:t>
      </w:r>
      <w:hyperlink r:id="rId815" w:history="1">
        <w:r w:rsidRPr="00F271B8">
          <w:rPr>
            <w:rStyle w:val="Hyperlink"/>
            <w:i/>
            <w:szCs w:val="20"/>
          </w:rPr>
          <w:t>Appendix S</w:t>
        </w:r>
        <w:r w:rsidRPr="00FE65F4">
          <w:rPr>
            <w:rStyle w:val="Hyperlink"/>
            <w:i/>
            <w:szCs w:val="20"/>
          </w:rPr>
          <w:t>.</w:t>
        </w:r>
      </w:hyperlink>
    </w:p>
    <w:p w14:paraId="6F727D3C" w14:textId="77777777" w:rsidR="00E507D4" w:rsidRPr="00F271B8" w:rsidRDefault="00E507D4" w:rsidP="00E507D4">
      <w:pPr>
        <w:pStyle w:val="Heading6"/>
        <w:ind w:left="0" w:firstLine="0"/>
        <w:rPr>
          <w:lang w:val="en-AU"/>
        </w:rPr>
      </w:pPr>
      <w:bookmarkStart w:id="1870" w:name="_Toc455146827"/>
      <w:bookmarkStart w:id="1871" w:name="_Toc508361925"/>
      <w:r w:rsidRPr="00F271B8">
        <w:rPr>
          <w:lang w:val="en-AU"/>
        </w:rPr>
        <w:t>Unlimited standard international SMS and MMS</w:t>
      </w:r>
      <w:bookmarkEnd w:id="1870"/>
      <w:bookmarkEnd w:id="1871"/>
    </w:p>
    <w:p w14:paraId="163B6847" w14:textId="77777777" w:rsidR="00E507D4" w:rsidRPr="00F271B8" w:rsidRDefault="00E507D4" w:rsidP="00E507D4">
      <w:pPr>
        <w:pStyle w:val="BodyText"/>
        <w:ind w:left="720"/>
        <w:rPr>
          <w:i/>
          <w:szCs w:val="20"/>
          <w:u w:val="single"/>
        </w:rPr>
      </w:pPr>
      <w:r w:rsidRPr="00F271B8">
        <w:rPr>
          <w:i/>
          <w:szCs w:val="20"/>
        </w:rPr>
        <w:t>You</w:t>
      </w:r>
      <w:r w:rsidRPr="00F271B8">
        <w:rPr>
          <w:szCs w:val="20"/>
        </w:rPr>
        <w:t xml:space="preserve"> may send unlimited standard SMS and MMS to selected countries from within Australia</w:t>
      </w:r>
      <w:r>
        <w:rPr>
          <w:szCs w:val="20"/>
        </w:rPr>
        <w:t xml:space="preserve">. </w:t>
      </w:r>
      <w:r w:rsidRPr="00F271B8">
        <w:rPr>
          <w:szCs w:val="20"/>
        </w:rPr>
        <w:t>For a list of selected countries see Table 3 below</w:t>
      </w:r>
      <w:r>
        <w:rPr>
          <w:szCs w:val="20"/>
        </w:rPr>
        <w:t xml:space="preserve">. </w:t>
      </w:r>
      <w:hyperlink r:id="rId816" w:history="1">
        <w:r w:rsidRPr="00F271B8">
          <w:rPr>
            <w:rStyle w:val="Hyperlink"/>
            <w:i/>
            <w:szCs w:val="20"/>
          </w:rPr>
          <w:t>Fair Go Policy</w:t>
        </w:r>
      </w:hyperlink>
      <w:r w:rsidRPr="00F271B8">
        <w:rPr>
          <w:i/>
          <w:szCs w:val="20"/>
        </w:rPr>
        <w:t xml:space="preserve"> </w:t>
      </w:r>
      <w:r w:rsidRPr="00F271B8">
        <w:rPr>
          <w:szCs w:val="20"/>
        </w:rPr>
        <w:t>applies</w:t>
      </w:r>
      <w:r>
        <w:rPr>
          <w:szCs w:val="20"/>
        </w:rPr>
        <w:t xml:space="preserve">. </w:t>
      </w:r>
      <w:r w:rsidRPr="00F271B8">
        <w:rPr>
          <w:szCs w:val="20"/>
        </w:rPr>
        <w:t xml:space="preserve">For further details refer to </w:t>
      </w:r>
      <w:hyperlink r:id="rId817" w:history="1">
        <w:r w:rsidRPr="00F271B8">
          <w:rPr>
            <w:rStyle w:val="Hyperlink"/>
            <w:i/>
            <w:szCs w:val="20"/>
          </w:rPr>
          <w:t>Appendix S</w:t>
        </w:r>
        <w:r w:rsidRPr="00FE65F4">
          <w:rPr>
            <w:rStyle w:val="Hyperlink"/>
            <w:i/>
            <w:szCs w:val="20"/>
          </w:rPr>
          <w:t>.</w:t>
        </w:r>
      </w:hyperlink>
    </w:p>
    <w:p w14:paraId="001C2604" w14:textId="77777777" w:rsidR="00E507D4" w:rsidRPr="00F271B8" w:rsidRDefault="00E507D4" w:rsidP="00E507D4">
      <w:pPr>
        <w:pStyle w:val="Heading6"/>
        <w:ind w:left="0" w:firstLine="0"/>
        <w:rPr>
          <w:lang w:val="en-AU"/>
        </w:rPr>
      </w:pPr>
      <w:bookmarkStart w:id="1872" w:name="_Toc455146828"/>
      <w:bookmarkStart w:id="1873" w:name="_Toc508361926"/>
      <w:r w:rsidRPr="00F271B8">
        <w:rPr>
          <w:lang w:val="en-AU"/>
        </w:rPr>
        <w:t>Additional benefit – Handset Credit</w:t>
      </w:r>
      <w:bookmarkEnd w:id="1872"/>
      <w:bookmarkEnd w:id="1873"/>
    </w:p>
    <w:p w14:paraId="52EB2019" w14:textId="77777777" w:rsidR="00E507D4" w:rsidRPr="00F271B8" w:rsidRDefault="00E507D4" w:rsidP="00E507D4">
      <w:pPr>
        <w:pStyle w:val="Heading7"/>
        <w:rPr>
          <w:lang w:val="en-AU"/>
        </w:rPr>
      </w:pPr>
      <w:r w:rsidRPr="00F271B8">
        <w:rPr>
          <w:i/>
          <w:lang w:val="en-AU"/>
        </w:rPr>
        <w:t xml:space="preserve">When you </w:t>
      </w:r>
      <w:r w:rsidRPr="00F271B8">
        <w:rPr>
          <w:lang w:val="en-AU"/>
        </w:rPr>
        <w:t>connect to a My Plan Plus which has a monthly phone credit (</w:t>
      </w:r>
      <w:r>
        <w:rPr>
          <w:lang w:val="en-AU"/>
        </w:rPr>
        <w:t>'</w:t>
      </w:r>
      <w:r w:rsidRPr="00F271B8">
        <w:rPr>
          <w:b/>
          <w:lang w:val="en-AU"/>
        </w:rPr>
        <w:t>Handset Credit</w:t>
      </w:r>
      <w:r>
        <w:rPr>
          <w:lang w:val="en-AU"/>
        </w:rPr>
        <w:t>'</w:t>
      </w:r>
      <w:r w:rsidRPr="00F271B8">
        <w:rPr>
          <w:lang w:val="en-AU"/>
        </w:rPr>
        <w:t xml:space="preserve">) each month for </w:t>
      </w:r>
      <w:r w:rsidRPr="00F271B8">
        <w:rPr>
          <w:i/>
          <w:lang w:val="en-AU"/>
        </w:rPr>
        <w:t>your minimum term</w:t>
      </w:r>
      <w:r w:rsidRPr="00F271B8">
        <w:rPr>
          <w:lang w:val="en-AU"/>
        </w:rPr>
        <w:t xml:space="preserve">, this will reduce the monthly repayment costs of the handset </w:t>
      </w:r>
      <w:r w:rsidRPr="00F271B8">
        <w:rPr>
          <w:i/>
          <w:lang w:val="en-AU"/>
        </w:rPr>
        <w:t xml:space="preserve">you </w:t>
      </w:r>
      <w:r w:rsidRPr="00F271B8">
        <w:rPr>
          <w:lang w:val="en-AU"/>
        </w:rPr>
        <w:t xml:space="preserve">have chosen with </w:t>
      </w:r>
      <w:r w:rsidRPr="00F271B8">
        <w:rPr>
          <w:i/>
          <w:lang w:val="en-AU"/>
        </w:rPr>
        <w:t>your pricing plan</w:t>
      </w:r>
      <w:r>
        <w:rPr>
          <w:lang w:val="en-AU"/>
        </w:rPr>
        <w:t xml:space="preserve">. </w:t>
      </w:r>
    </w:p>
    <w:p w14:paraId="213B4537" w14:textId="77777777" w:rsidR="00E507D4" w:rsidRPr="00F271B8" w:rsidRDefault="00E507D4" w:rsidP="00E507D4">
      <w:pPr>
        <w:pStyle w:val="Heading7"/>
        <w:rPr>
          <w:lang w:val="en-AU"/>
        </w:rPr>
      </w:pPr>
      <w:r w:rsidRPr="00F271B8">
        <w:rPr>
          <w:lang w:val="en-AU"/>
        </w:rPr>
        <w:t xml:space="preserve">If </w:t>
      </w:r>
      <w:r w:rsidRPr="00F271B8">
        <w:rPr>
          <w:i/>
          <w:lang w:val="en-AU"/>
        </w:rPr>
        <w:t>you</w:t>
      </w:r>
      <w:r w:rsidRPr="00F271B8">
        <w:rPr>
          <w:lang w:val="en-AU"/>
        </w:rPr>
        <w:t xml:space="preserve"> </w:t>
      </w:r>
      <w:r w:rsidRPr="00F271B8">
        <w:rPr>
          <w:i/>
          <w:lang w:val="en-AU"/>
        </w:rPr>
        <w:t>cancel your pricing plan</w:t>
      </w:r>
      <w:r w:rsidRPr="00F271B8">
        <w:rPr>
          <w:lang w:val="en-AU"/>
        </w:rPr>
        <w:t xml:space="preserve"> or the </w:t>
      </w:r>
      <w:r w:rsidRPr="00F271B8">
        <w:rPr>
          <w:i/>
          <w:lang w:val="en-AU"/>
        </w:rPr>
        <w:t xml:space="preserve">mobile equipment payment plan </w:t>
      </w:r>
      <w:r w:rsidRPr="00F271B8">
        <w:rPr>
          <w:lang w:val="en-AU"/>
        </w:rPr>
        <w:t xml:space="preserve">during </w:t>
      </w:r>
      <w:r w:rsidRPr="00F271B8">
        <w:rPr>
          <w:i/>
          <w:lang w:val="en-AU"/>
        </w:rPr>
        <w:t>your minimum term</w:t>
      </w:r>
      <w:r w:rsidRPr="00F271B8">
        <w:rPr>
          <w:lang w:val="en-AU"/>
        </w:rPr>
        <w:t xml:space="preserve">, </w:t>
      </w:r>
      <w:r w:rsidRPr="00F271B8">
        <w:rPr>
          <w:i/>
          <w:lang w:val="en-AU"/>
        </w:rPr>
        <w:t>you</w:t>
      </w:r>
      <w:r w:rsidRPr="00F271B8">
        <w:rPr>
          <w:lang w:val="en-AU"/>
        </w:rPr>
        <w:t xml:space="preserve"> will no longer be entitled to these Handset Credits and </w:t>
      </w:r>
      <w:r w:rsidRPr="00F271B8">
        <w:rPr>
          <w:i/>
          <w:lang w:val="en-AU"/>
        </w:rPr>
        <w:t>you</w:t>
      </w:r>
      <w:r w:rsidRPr="00F271B8">
        <w:rPr>
          <w:lang w:val="en-AU"/>
        </w:rPr>
        <w:t xml:space="preserve"> must pay the remaining handset repayments in full in addition to any </w:t>
      </w:r>
      <w:r w:rsidRPr="00F271B8">
        <w:rPr>
          <w:i/>
          <w:lang w:val="en-AU"/>
        </w:rPr>
        <w:t>cancellation fee</w:t>
      </w:r>
      <w:r w:rsidRPr="00F271B8">
        <w:rPr>
          <w:lang w:val="en-AU"/>
        </w:rPr>
        <w:t>.</w:t>
      </w:r>
    </w:p>
    <w:p w14:paraId="79DB0094" w14:textId="77777777" w:rsidR="00E507D4" w:rsidRPr="00F271B8" w:rsidRDefault="00E507D4" w:rsidP="00E507D4">
      <w:pPr>
        <w:pStyle w:val="BodyText"/>
        <w:ind w:left="720"/>
        <w:rPr>
          <w:b/>
          <w:lang w:val="en-AU"/>
        </w:rPr>
      </w:pPr>
      <w:r w:rsidRPr="00F271B8">
        <w:rPr>
          <w:b/>
          <w:lang w:val="en-AU"/>
        </w:rPr>
        <w:t>Table 1 –Plan Inclusions and Charges</w:t>
      </w:r>
    </w:p>
    <w:tbl>
      <w:tblPr>
        <w:tblW w:w="4580"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4666"/>
      </w:tblGrid>
      <w:tr w:rsidR="00E507D4" w:rsidRPr="00F271B8" w14:paraId="015DBAB1" w14:textId="77777777" w:rsidTr="00B95821">
        <w:tc>
          <w:tcPr>
            <w:tcW w:w="2500" w:type="pct"/>
            <w:shd w:val="clear" w:color="auto" w:fill="auto"/>
          </w:tcPr>
          <w:p w14:paraId="61B23768" w14:textId="77777777" w:rsidR="00E507D4" w:rsidRPr="00F271B8" w:rsidRDefault="00E507D4" w:rsidP="00B95821">
            <w:pPr>
              <w:pStyle w:val="BodyText"/>
              <w:spacing w:before="100" w:after="100"/>
            </w:pPr>
          </w:p>
        </w:tc>
        <w:tc>
          <w:tcPr>
            <w:tcW w:w="2500" w:type="pct"/>
            <w:shd w:val="clear" w:color="auto" w:fill="auto"/>
            <w:vAlign w:val="center"/>
          </w:tcPr>
          <w:p w14:paraId="0D04848D" w14:textId="77777777" w:rsidR="00E507D4" w:rsidRPr="00F271B8" w:rsidRDefault="00E507D4" w:rsidP="00B95821">
            <w:pPr>
              <w:pStyle w:val="BodyText"/>
              <w:spacing w:before="100" w:after="100"/>
              <w:jc w:val="center"/>
              <w:rPr>
                <w:b/>
              </w:rPr>
            </w:pPr>
            <w:r w:rsidRPr="00F271B8">
              <w:rPr>
                <w:b/>
              </w:rPr>
              <w:t>$30 My Plan Business</w:t>
            </w:r>
            <w:r>
              <w:rPr>
                <w:b/>
              </w:rPr>
              <w:t xml:space="preserve"> </w:t>
            </w:r>
            <w:r w:rsidRPr="00F271B8">
              <w:rPr>
                <w:b/>
              </w:rPr>
              <w:t>Essentials</w:t>
            </w:r>
          </w:p>
        </w:tc>
      </w:tr>
      <w:tr w:rsidR="00E507D4" w:rsidRPr="00F271B8" w14:paraId="089874AE" w14:textId="77777777" w:rsidTr="00B95821">
        <w:tc>
          <w:tcPr>
            <w:tcW w:w="2500" w:type="pct"/>
            <w:shd w:val="clear" w:color="auto" w:fill="auto"/>
          </w:tcPr>
          <w:p w14:paraId="03CFC4E3" w14:textId="77777777" w:rsidR="00E507D4" w:rsidRPr="00F271B8" w:rsidRDefault="00E507D4" w:rsidP="00B95821">
            <w:pPr>
              <w:pStyle w:val="BodyText"/>
              <w:spacing w:before="100" w:after="100"/>
            </w:pPr>
            <w:r w:rsidRPr="00F271B8">
              <w:rPr>
                <w:b/>
                <w:bCs/>
              </w:rPr>
              <w:t>Minimum Monthly charge</w:t>
            </w:r>
          </w:p>
        </w:tc>
        <w:tc>
          <w:tcPr>
            <w:tcW w:w="2500" w:type="pct"/>
            <w:shd w:val="clear" w:color="auto" w:fill="auto"/>
            <w:vAlign w:val="center"/>
          </w:tcPr>
          <w:p w14:paraId="54C0EEDD" w14:textId="77777777" w:rsidR="00E507D4" w:rsidRPr="00F271B8" w:rsidRDefault="00E507D4" w:rsidP="00B95821">
            <w:pPr>
              <w:pStyle w:val="BodyText"/>
              <w:spacing w:before="100" w:after="100"/>
              <w:jc w:val="center"/>
            </w:pPr>
            <w:r w:rsidRPr="00F271B8">
              <w:t>$30</w:t>
            </w:r>
          </w:p>
        </w:tc>
      </w:tr>
      <w:tr w:rsidR="00E507D4" w:rsidRPr="00F271B8" w14:paraId="7667080B" w14:textId="77777777" w:rsidTr="00B95821">
        <w:tc>
          <w:tcPr>
            <w:tcW w:w="2500" w:type="pct"/>
            <w:shd w:val="clear" w:color="auto" w:fill="auto"/>
          </w:tcPr>
          <w:p w14:paraId="5BC0EA03" w14:textId="77777777" w:rsidR="00E507D4" w:rsidRPr="00F271B8" w:rsidRDefault="00E507D4" w:rsidP="00B95821">
            <w:pPr>
              <w:pStyle w:val="BodyText"/>
              <w:spacing w:before="100" w:after="100"/>
            </w:pPr>
            <w:r w:rsidRPr="00F271B8">
              <w:rPr>
                <w:b/>
                <w:bCs/>
              </w:rPr>
              <w:t>Included Data</w:t>
            </w:r>
          </w:p>
        </w:tc>
        <w:tc>
          <w:tcPr>
            <w:tcW w:w="2500" w:type="pct"/>
            <w:shd w:val="clear" w:color="auto" w:fill="auto"/>
            <w:vAlign w:val="center"/>
          </w:tcPr>
          <w:p w14:paraId="12DE54C7" w14:textId="77777777" w:rsidR="00E507D4" w:rsidRPr="00F271B8" w:rsidRDefault="00E507D4" w:rsidP="00B95821">
            <w:pPr>
              <w:pStyle w:val="BodyText"/>
              <w:spacing w:before="100" w:after="100"/>
              <w:jc w:val="center"/>
            </w:pPr>
            <w:r w:rsidRPr="00F271B8">
              <w:t>250MB</w:t>
            </w:r>
          </w:p>
        </w:tc>
      </w:tr>
      <w:tr w:rsidR="00E507D4" w:rsidRPr="00F271B8" w14:paraId="2358FFA8" w14:textId="77777777" w:rsidTr="00B95821">
        <w:tc>
          <w:tcPr>
            <w:tcW w:w="2500" w:type="pct"/>
            <w:shd w:val="clear" w:color="auto" w:fill="auto"/>
            <w:vAlign w:val="center"/>
          </w:tcPr>
          <w:p w14:paraId="69AC7F36" w14:textId="77777777" w:rsidR="00E507D4" w:rsidRPr="00F271B8" w:rsidRDefault="00E507D4" w:rsidP="00B95821">
            <w:pPr>
              <w:pStyle w:val="BodyText"/>
              <w:spacing w:before="100" w:after="100"/>
              <w:rPr>
                <w:b/>
                <w:bCs/>
              </w:rPr>
            </w:pPr>
            <w:r w:rsidRPr="00F271B8">
              <w:rPr>
                <w:b/>
                <w:bCs/>
              </w:rPr>
              <w:t>Cost of 1MB of Data</w:t>
            </w:r>
          </w:p>
        </w:tc>
        <w:tc>
          <w:tcPr>
            <w:tcW w:w="2500" w:type="pct"/>
            <w:shd w:val="clear" w:color="auto" w:fill="auto"/>
            <w:vAlign w:val="center"/>
          </w:tcPr>
          <w:p w14:paraId="19992624" w14:textId="77777777" w:rsidR="00E507D4" w:rsidRPr="00F271B8" w:rsidRDefault="00E507D4" w:rsidP="00B95821">
            <w:pPr>
              <w:pStyle w:val="BodyText"/>
              <w:spacing w:before="100" w:after="100"/>
              <w:jc w:val="center"/>
            </w:pPr>
            <w:r w:rsidRPr="00F271B8">
              <w:t>$0.0391</w:t>
            </w:r>
          </w:p>
        </w:tc>
      </w:tr>
      <w:tr w:rsidR="00E507D4" w:rsidRPr="00F271B8" w14:paraId="7AEFA04C" w14:textId="77777777" w:rsidTr="00B95821">
        <w:tc>
          <w:tcPr>
            <w:tcW w:w="2500" w:type="pct"/>
            <w:shd w:val="clear" w:color="auto" w:fill="auto"/>
            <w:vAlign w:val="center"/>
          </w:tcPr>
          <w:p w14:paraId="28549BEF" w14:textId="77777777" w:rsidR="00E507D4" w:rsidRPr="00F271B8" w:rsidRDefault="00E507D4" w:rsidP="00B95821">
            <w:pPr>
              <w:pStyle w:val="BodyText"/>
              <w:spacing w:before="100" w:after="100"/>
              <w:rPr>
                <w:b/>
                <w:bCs/>
              </w:rPr>
            </w:pPr>
            <w:r w:rsidRPr="00F271B8">
              <w:rPr>
                <w:b/>
                <w:bCs/>
              </w:rPr>
              <w:t>Cost of a 2 minute phone call</w:t>
            </w:r>
          </w:p>
        </w:tc>
        <w:tc>
          <w:tcPr>
            <w:tcW w:w="2500" w:type="pct"/>
            <w:shd w:val="clear" w:color="auto" w:fill="auto"/>
            <w:vAlign w:val="center"/>
          </w:tcPr>
          <w:p w14:paraId="50EEF9BD" w14:textId="77777777" w:rsidR="00E507D4" w:rsidRPr="00F271B8" w:rsidRDefault="00E507D4" w:rsidP="00B95821">
            <w:pPr>
              <w:pStyle w:val="BodyText"/>
              <w:spacing w:before="100" w:after="100"/>
              <w:jc w:val="center"/>
            </w:pPr>
            <w:r w:rsidRPr="00F271B8">
              <w:t>$0.16</w:t>
            </w:r>
          </w:p>
        </w:tc>
      </w:tr>
      <w:tr w:rsidR="00E507D4" w:rsidRPr="00F271B8" w14:paraId="6D02EA68" w14:textId="77777777" w:rsidTr="00B95821">
        <w:trPr>
          <w:trHeight w:val="64"/>
        </w:trPr>
        <w:tc>
          <w:tcPr>
            <w:tcW w:w="2500" w:type="pct"/>
            <w:shd w:val="clear" w:color="auto" w:fill="auto"/>
            <w:vAlign w:val="center"/>
          </w:tcPr>
          <w:p w14:paraId="55E57F3D" w14:textId="77777777" w:rsidR="00E507D4" w:rsidRPr="00F271B8" w:rsidRDefault="00E507D4" w:rsidP="00B95821">
            <w:pPr>
              <w:pStyle w:val="BodyText"/>
              <w:spacing w:before="100" w:after="100"/>
              <w:rPr>
                <w:b/>
                <w:bCs/>
              </w:rPr>
            </w:pPr>
            <w:r w:rsidRPr="00F271B8">
              <w:rPr>
                <w:b/>
                <w:bCs/>
              </w:rPr>
              <w:t>Included Minutes</w:t>
            </w:r>
          </w:p>
          <w:p w14:paraId="604F3C45" w14:textId="77777777" w:rsidR="00E507D4" w:rsidRPr="00F271B8" w:rsidRDefault="00E507D4" w:rsidP="00B95821">
            <w:pPr>
              <w:pStyle w:val="BodyText"/>
              <w:spacing w:before="100" w:after="100"/>
              <w:rPr>
                <w:b/>
                <w:bCs/>
              </w:rPr>
            </w:pPr>
            <w:r w:rsidRPr="00F271B8">
              <w:rPr>
                <w:bCs/>
              </w:rPr>
              <w:t>for standard national calls to landlines and mobiles, 1300 numbers and voicemail, within Australia</w:t>
            </w:r>
          </w:p>
        </w:tc>
        <w:tc>
          <w:tcPr>
            <w:tcW w:w="2500" w:type="pct"/>
            <w:shd w:val="clear" w:color="auto" w:fill="auto"/>
            <w:vAlign w:val="center"/>
          </w:tcPr>
          <w:p w14:paraId="5AC81F99" w14:textId="77777777" w:rsidR="00E507D4" w:rsidRPr="00F271B8" w:rsidRDefault="00E507D4" w:rsidP="00B95821">
            <w:pPr>
              <w:pStyle w:val="BodyText"/>
              <w:spacing w:before="100" w:after="100"/>
              <w:jc w:val="center"/>
            </w:pPr>
            <w:r w:rsidRPr="00F271B8">
              <w:t>Up to</w:t>
            </w:r>
          </w:p>
          <w:p w14:paraId="4A710613" w14:textId="77777777" w:rsidR="00E507D4" w:rsidRPr="00F271B8" w:rsidRDefault="00E507D4" w:rsidP="00B95821">
            <w:pPr>
              <w:pStyle w:val="BodyText"/>
              <w:spacing w:before="100" w:after="100"/>
              <w:jc w:val="center"/>
            </w:pPr>
            <w:r w:rsidRPr="00F271B8">
              <w:t>250 minutes</w:t>
            </w:r>
          </w:p>
        </w:tc>
      </w:tr>
      <w:tr w:rsidR="00E507D4" w:rsidRPr="00F271B8" w14:paraId="04E15958" w14:textId="77777777" w:rsidTr="00B95821">
        <w:trPr>
          <w:trHeight w:val="64"/>
        </w:trPr>
        <w:tc>
          <w:tcPr>
            <w:tcW w:w="2500" w:type="pct"/>
            <w:shd w:val="clear" w:color="auto" w:fill="auto"/>
          </w:tcPr>
          <w:p w14:paraId="23E77A04" w14:textId="77777777" w:rsidR="00E507D4" w:rsidRPr="00F271B8" w:rsidRDefault="00E507D4" w:rsidP="00B95821">
            <w:pPr>
              <w:pStyle w:val="BodyText"/>
              <w:spacing w:before="100" w:after="100"/>
            </w:pPr>
            <w:r w:rsidRPr="00F271B8">
              <w:rPr>
                <w:b/>
                <w:bCs/>
              </w:rPr>
              <w:t xml:space="preserve">Standard national SMS </w:t>
            </w:r>
            <w:r w:rsidRPr="00F271B8">
              <w:t>(per SMS of up to 160 standard characters)</w:t>
            </w:r>
          </w:p>
        </w:tc>
        <w:tc>
          <w:tcPr>
            <w:tcW w:w="2500" w:type="pct"/>
            <w:shd w:val="clear" w:color="auto" w:fill="auto"/>
            <w:vAlign w:val="center"/>
          </w:tcPr>
          <w:p w14:paraId="0240A407" w14:textId="77777777" w:rsidR="00E507D4" w:rsidRPr="00F271B8" w:rsidRDefault="00E507D4" w:rsidP="00B95821">
            <w:pPr>
              <w:pStyle w:val="BodyText"/>
              <w:spacing w:before="100" w:after="100"/>
              <w:jc w:val="center"/>
            </w:pPr>
            <w:r w:rsidRPr="00F271B8">
              <w:t>Unlimited</w:t>
            </w:r>
          </w:p>
        </w:tc>
      </w:tr>
      <w:tr w:rsidR="00E507D4" w:rsidRPr="00F271B8" w14:paraId="61F32261" w14:textId="77777777" w:rsidTr="00B95821">
        <w:tc>
          <w:tcPr>
            <w:tcW w:w="2500" w:type="pct"/>
            <w:shd w:val="clear" w:color="auto" w:fill="auto"/>
          </w:tcPr>
          <w:p w14:paraId="542D2C4F" w14:textId="77777777" w:rsidR="00E507D4" w:rsidRPr="00F271B8" w:rsidRDefault="00E507D4" w:rsidP="00B95821">
            <w:pPr>
              <w:pStyle w:val="BodyText"/>
              <w:spacing w:before="100" w:after="100"/>
              <w:rPr>
                <w:b/>
                <w:bCs/>
              </w:rPr>
            </w:pPr>
            <w:r w:rsidRPr="00F271B8">
              <w:rPr>
                <w:b/>
                <w:bCs/>
              </w:rPr>
              <w:t xml:space="preserve">Standard national MMS </w:t>
            </w:r>
            <w:r w:rsidRPr="00F271B8">
              <w:t>(per message)</w:t>
            </w:r>
          </w:p>
        </w:tc>
        <w:tc>
          <w:tcPr>
            <w:tcW w:w="2500" w:type="pct"/>
            <w:shd w:val="clear" w:color="auto" w:fill="auto"/>
            <w:vAlign w:val="center"/>
          </w:tcPr>
          <w:p w14:paraId="6409AB07" w14:textId="77777777" w:rsidR="00E507D4" w:rsidRPr="00F271B8" w:rsidRDefault="00E507D4" w:rsidP="00B95821">
            <w:pPr>
              <w:pStyle w:val="BodyText"/>
              <w:spacing w:before="100" w:after="100"/>
              <w:jc w:val="center"/>
            </w:pPr>
            <w:r w:rsidRPr="00F271B8">
              <w:t>Unlimited</w:t>
            </w:r>
          </w:p>
        </w:tc>
      </w:tr>
      <w:tr w:rsidR="00E507D4" w:rsidRPr="00F271B8" w14:paraId="204424FD" w14:textId="77777777" w:rsidTr="00B95821">
        <w:tc>
          <w:tcPr>
            <w:tcW w:w="2500" w:type="pct"/>
            <w:shd w:val="clear" w:color="auto" w:fill="auto"/>
          </w:tcPr>
          <w:p w14:paraId="477AC039" w14:textId="77777777" w:rsidR="00E507D4" w:rsidRPr="00F271B8" w:rsidDel="00064B49" w:rsidRDefault="00E507D4" w:rsidP="00B95821">
            <w:pPr>
              <w:pStyle w:val="BodyText"/>
              <w:spacing w:before="100" w:after="100"/>
              <w:rPr>
                <w:b/>
                <w:bCs/>
              </w:rPr>
            </w:pPr>
            <w:r w:rsidRPr="00F271B8">
              <w:rPr>
                <w:b/>
                <w:bCs/>
              </w:rPr>
              <w:t xml:space="preserve">Standard international SMS </w:t>
            </w:r>
            <w:r w:rsidRPr="00F271B8">
              <w:t>(per SMS of up to 160 standard characters to selected countries)</w:t>
            </w:r>
          </w:p>
        </w:tc>
        <w:tc>
          <w:tcPr>
            <w:tcW w:w="2500" w:type="pct"/>
            <w:shd w:val="clear" w:color="auto" w:fill="auto"/>
            <w:vAlign w:val="center"/>
          </w:tcPr>
          <w:p w14:paraId="4B2D3481" w14:textId="77777777" w:rsidR="00E507D4" w:rsidRPr="00F271B8" w:rsidDel="00064B49" w:rsidRDefault="00E507D4" w:rsidP="00B95821">
            <w:pPr>
              <w:pStyle w:val="BodyText"/>
              <w:spacing w:before="100" w:after="100"/>
              <w:jc w:val="center"/>
            </w:pPr>
            <w:r w:rsidRPr="00F271B8">
              <w:t>Unlimited</w:t>
            </w:r>
          </w:p>
        </w:tc>
      </w:tr>
      <w:tr w:rsidR="00E507D4" w:rsidRPr="00F271B8" w14:paraId="2536AAAB" w14:textId="77777777" w:rsidTr="00B95821">
        <w:tc>
          <w:tcPr>
            <w:tcW w:w="2500" w:type="pct"/>
            <w:shd w:val="clear" w:color="auto" w:fill="auto"/>
          </w:tcPr>
          <w:p w14:paraId="714BB581" w14:textId="77777777" w:rsidR="00E507D4" w:rsidRPr="00F271B8" w:rsidRDefault="00E507D4" w:rsidP="00B95821">
            <w:pPr>
              <w:pStyle w:val="BodyText"/>
              <w:spacing w:before="100" w:after="100"/>
              <w:rPr>
                <w:b/>
                <w:bCs/>
              </w:rPr>
            </w:pPr>
            <w:r w:rsidRPr="00F271B8">
              <w:rPr>
                <w:b/>
                <w:bCs/>
              </w:rPr>
              <w:t xml:space="preserve">Standard international MMS </w:t>
            </w:r>
            <w:r w:rsidRPr="00F271B8">
              <w:t>(per message to selected countries)</w:t>
            </w:r>
          </w:p>
        </w:tc>
        <w:tc>
          <w:tcPr>
            <w:tcW w:w="2500" w:type="pct"/>
            <w:shd w:val="clear" w:color="auto" w:fill="auto"/>
            <w:vAlign w:val="center"/>
          </w:tcPr>
          <w:p w14:paraId="007F0D87" w14:textId="77777777" w:rsidR="00E507D4" w:rsidRPr="00F271B8" w:rsidRDefault="00E507D4" w:rsidP="00B95821">
            <w:pPr>
              <w:pStyle w:val="BodyText"/>
              <w:spacing w:before="100" w:after="100"/>
              <w:jc w:val="center"/>
            </w:pPr>
            <w:r w:rsidRPr="00F271B8">
              <w:t>Unlimited</w:t>
            </w:r>
          </w:p>
        </w:tc>
      </w:tr>
      <w:tr w:rsidR="00E507D4" w:rsidRPr="00F271B8" w14:paraId="1DFBCDE7" w14:textId="77777777" w:rsidTr="00B95821">
        <w:tc>
          <w:tcPr>
            <w:tcW w:w="2500" w:type="pct"/>
            <w:shd w:val="clear" w:color="auto" w:fill="auto"/>
          </w:tcPr>
          <w:p w14:paraId="3D3E258F" w14:textId="77777777" w:rsidR="00E507D4" w:rsidRPr="00F271B8" w:rsidRDefault="00E507D4" w:rsidP="00B95821">
            <w:pPr>
              <w:pStyle w:val="BodyText"/>
              <w:spacing w:before="100" w:after="100"/>
              <w:rPr>
                <w:b/>
                <w:bCs/>
              </w:rPr>
            </w:pPr>
            <w:r w:rsidRPr="00F271B8">
              <w:rPr>
                <w:b/>
                <w:bCs/>
              </w:rPr>
              <w:t xml:space="preserve">Minimum total cost over 24 months </w:t>
            </w:r>
          </w:p>
        </w:tc>
        <w:tc>
          <w:tcPr>
            <w:tcW w:w="2500" w:type="pct"/>
            <w:shd w:val="clear" w:color="auto" w:fill="auto"/>
            <w:vAlign w:val="center"/>
          </w:tcPr>
          <w:p w14:paraId="1433B036" w14:textId="77777777" w:rsidR="00E507D4" w:rsidRPr="00F271B8" w:rsidRDefault="00E507D4" w:rsidP="00B95821">
            <w:pPr>
              <w:pStyle w:val="BodyText"/>
              <w:spacing w:before="100" w:after="100"/>
              <w:jc w:val="center"/>
            </w:pPr>
            <w:r w:rsidRPr="00F271B8">
              <w:t>$720</w:t>
            </w:r>
          </w:p>
        </w:tc>
      </w:tr>
    </w:tbl>
    <w:p w14:paraId="6016D8EE" w14:textId="77777777" w:rsidR="00E507D4" w:rsidRPr="00F271B8" w:rsidRDefault="00E507D4" w:rsidP="00E507D4">
      <w:pPr>
        <w:pStyle w:val="BodyText"/>
        <w:keepNext/>
        <w:spacing w:before="240"/>
        <w:ind w:left="720"/>
        <w:rPr>
          <w:b/>
        </w:rPr>
      </w:pPr>
      <w:r w:rsidRPr="00F271B8">
        <w:rPr>
          <w:b/>
        </w:rPr>
        <w:t>Table 2 – Other usage types and charges</w:t>
      </w:r>
    </w:p>
    <w:tbl>
      <w:tblPr>
        <w:tblW w:w="95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70"/>
        <w:gridCol w:w="4770"/>
      </w:tblGrid>
      <w:tr w:rsidR="00E507D4" w:rsidRPr="00F271B8" w14:paraId="11D1DEEA" w14:textId="77777777" w:rsidTr="00B95821">
        <w:trPr>
          <w:tblHeader/>
        </w:trPr>
        <w:tc>
          <w:tcPr>
            <w:tcW w:w="4770" w:type="dxa"/>
            <w:shd w:val="clear" w:color="auto" w:fill="auto"/>
          </w:tcPr>
          <w:p w14:paraId="678CFD46" w14:textId="77777777" w:rsidR="00E507D4" w:rsidRPr="003626D2" w:rsidRDefault="00E507D4" w:rsidP="00B95821">
            <w:pPr>
              <w:pStyle w:val="BodyText"/>
              <w:keepNext/>
              <w:spacing w:before="100" w:after="100"/>
              <w:jc w:val="center"/>
              <w:rPr>
                <w:b/>
              </w:rPr>
            </w:pPr>
            <w:r w:rsidRPr="003626D2">
              <w:rPr>
                <w:b/>
              </w:rPr>
              <w:t>Usage type</w:t>
            </w:r>
          </w:p>
        </w:tc>
        <w:tc>
          <w:tcPr>
            <w:tcW w:w="4770" w:type="dxa"/>
            <w:shd w:val="clear" w:color="auto" w:fill="auto"/>
            <w:vAlign w:val="center"/>
          </w:tcPr>
          <w:p w14:paraId="26DD45F7" w14:textId="77777777" w:rsidR="00E507D4" w:rsidRPr="003626D2" w:rsidRDefault="00E507D4" w:rsidP="00B95821">
            <w:pPr>
              <w:pStyle w:val="BodyText"/>
              <w:keepNext/>
              <w:spacing w:before="100" w:after="100"/>
              <w:jc w:val="center"/>
              <w:rPr>
                <w:b/>
              </w:rPr>
            </w:pPr>
            <w:r w:rsidRPr="003626D2">
              <w:rPr>
                <w:b/>
              </w:rPr>
              <w:t>Charge</w:t>
            </w:r>
          </w:p>
        </w:tc>
      </w:tr>
      <w:tr w:rsidR="00E507D4" w:rsidRPr="00F271B8" w14:paraId="7AB17A12" w14:textId="77777777" w:rsidTr="00B95821">
        <w:tc>
          <w:tcPr>
            <w:tcW w:w="4770" w:type="dxa"/>
            <w:shd w:val="clear" w:color="auto" w:fill="auto"/>
          </w:tcPr>
          <w:p w14:paraId="3B6163BE" w14:textId="77777777" w:rsidR="00E507D4" w:rsidRPr="00F271B8" w:rsidRDefault="00E507D4" w:rsidP="00B95821">
            <w:pPr>
              <w:pStyle w:val="BodyText"/>
              <w:spacing w:before="100" w:after="100"/>
              <w:rPr>
                <w:b/>
              </w:rPr>
            </w:pPr>
            <w:r w:rsidRPr="00F271B8">
              <w:rPr>
                <w:b/>
                <w:bCs/>
              </w:rPr>
              <w:t xml:space="preserve">National video calls </w:t>
            </w:r>
            <w:r w:rsidRPr="00F271B8">
              <w:rPr>
                <w:b/>
              </w:rPr>
              <w:t>(per minute)</w:t>
            </w:r>
          </w:p>
        </w:tc>
        <w:tc>
          <w:tcPr>
            <w:tcW w:w="4770" w:type="dxa"/>
            <w:shd w:val="clear" w:color="auto" w:fill="auto"/>
            <w:vAlign w:val="center"/>
          </w:tcPr>
          <w:p w14:paraId="223C345C" w14:textId="77777777" w:rsidR="00E507D4" w:rsidRPr="00F271B8" w:rsidRDefault="00E507D4" w:rsidP="00B95821">
            <w:pPr>
              <w:pStyle w:val="BodyText"/>
              <w:spacing w:before="100" w:after="100"/>
              <w:jc w:val="center"/>
            </w:pPr>
            <w:r w:rsidRPr="00F271B8">
              <w:t>$1.00 per min + 40c flagfall</w:t>
            </w:r>
          </w:p>
        </w:tc>
      </w:tr>
      <w:tr w:rsidR="00E507D4" w:rsidRPr="00F271B8" w14:paraId="4918D3F7" w14:textId="77777777" w:rsidTr="00B95821">
        <w:tc>
          <w:tcPr>
            <w:tcW w:w="4770" w:type="dxa"/>
            <w:shd w:val="clear" w:color="auto" w:fill="auto"/>
          </w:tcPr>
          <w:p w14:paraId="05A4FDC7" w14:textId="77777777" w:rsidR="00E507D4" w:rsidRPr="00F271B8" w:rsidRDefault="00E507D4" w:rsidP="00B95821">
            <w:pPr>
              <w:pStyle w:val="BodyText"/>
              <w:spacing w:before="100" w:after="100"/>
              <w:rPr>
                <w:b/>
              </w:rPr>
            </w:pPr>
            <w:r w:rsidRPr="00F271B8">
              <w:rPr>
                <w:b/>
                <w:bCs/>
              </w:rPr>
              <w:t xml:space="preserve">VoiceMail Deposits </w:t>
            </w:r>
          </w:p>
        </w:tc>
        <w:tc>
          <w:tcPr>
            <w:tcW w:w="4770" w:type="dxa"/>
            <w:shd w:val="clear" w:color="auto" w:fill="auto"/>
          </w:tcPr>
          <w:p w14:paraId="25A86AE0" w14:textId="77777777" w:rsidR="00E507D4" w:rsidRPr="00F271B8" w:rsidRDefault="00E507D4" w:rsidP="00B95821">
            <w:pPr>
              <w:pStyle w:val="BodyText"/>
              <w:spacing w:before="100" w:after="100"/>
              <w:jc w:val="center"/>
            </w:pPr>
            <w:r w:rsidRPr="00F271B8">
              <w:t>$0 per minute</w:t>
            </w:r>
          </w:p>
        </w:tc>
      </w:tr>
      <w:tr w:rsidR="00E507D4" w:rsidRPr="00F271B8" w14:paraId="7DDC4157" w14:textId="77777777" w:rsidTr="00B95821">
        <w:tc>
          <w:tcPr>
            <w:tcW w:w="4770" w:type="dxa"/>
            <w:shd w:val="clear" w:color="auto" w:fill="auto"/>
          </w:tcPr>
          <w:p w14:paraId="5888743C" w14:textId="77777777" w:rsidR="00E507D4" w:rsidRPr="00F271B8" w:rsidRDefault="00E507D4" w:rsidP="00B95821">
            <w:pPr>
              <w:pStyle w:val="BodyText"/>
              <w:spacing w:before="100" w:after="100"/>
              <w:rPr>
                <w:b/>
              </w:rPr>
            </w:pPr>
            <w:r w:rsidRPr="00F271B8">
              <w:rPr>
                <w:b/>
                <w:bCs/>
              </w:rPr>
              <w:t>Voicemail Diversions</w:t>
            </w:r>
          </w:p>
        </w:tc>
        <w:tc>
          <w:tcPr>
            <w:tcW w:w="4770" w:type="dxa"/>
            <w:shd w:val="clear" w:color="auto" w:fill="auto"/>
          </w:tcPr>
          <w:p w14:paraId="05E002E8" w14:textId="77777777" w:rsidR="00E507D4" w:rsidRPr="00F271B8" w:rsidRDefault="00E507D4" w:rsidP="00B95821">
            <w:pPr>
              <w:pStyle w:val="BodyText"/>
              <w:spacing w:before="100" w:after="100"/>
              <w:jc w:val="center"/>
            </w:pPr>
            <w:r w:rsidRPr="00F271B8">
              <w:t>$0 per minute</w:t>
            </w:r>
          </w:p>
        </w:tc>
      </w:tr>
      <w:tr w:rsidR="00E507D4" w:rsidRPr="00F271B8" w14:paraId="1B46AE4F" w14:textId="77777777" w:rsidTr="00B95821">
        <w:tc>
          <w:tcPr>
            <w:tcW w:w="4770" w:type="dxa"/>
            <w:shd w:val="clear" w:color="auto" w:fill="auto"/>
          </w:tcPr>
          <w:p w14:paraId="05C39641" w14:textId="77777777" w:rsidR="00E507D4" w:rsidRPr="00F271B8" w:rsidRDefault="00E507D4" w:rsidP="00B95821">
            <w:pPr>
              <w:pStyle w:val="BodyText"/>
              <w:spacing w:before="100" w:after="100"/>
              <w:rPr>
                <w:b/>
                <w:bCs/>
              </w:rPr>
            </w:pPr>
            <w:r w:rsidRPr="00F271B8">
              <w:rPr>
                <w:b/>
                <w:bCs/>
              </w:rPr>
              <w:lastRenderedPageBreak/>
              <w:t>National Diversions</w:t>
            </w:r>
          </w:p>
        </w:tc>
        <w:tc>
          <w:tcPr>
            <w:tcW w:w="4770" w:type="dxa"/>
            <w:shd w:val="clear" w:color="auto" w:fill="auto"/>
          </w:tcPr>
          <w:p w14:paraId="3B67E19A" w14:textId="77777777" w:rsidR="00E507D4" w:rsidRPr="00F271B8" w:rsidRDefault="00E507D4" w:rsidP="00B95821">
            <w:pPr>
              <w:pStyle w:val="BodyText"/>
              <w:spacing w:before="100" w:after="100"/>
              <w:jc w:val="center"/>
            </w:pPr>
            <w:r w:rsidRPr="00F271B8">
              <w:t>$0 per minute</w:t>
            </w:r>
          </w:p>
        </w:tc>
      </w:tr>
      <w:tr w:rsidR="00E507D4" w:rsidRPr="00F271B8" w14:paraId="5EA9530E" w14:textId="77777777" w:rsidTr="00B95821">
        <w:tc>
          <w:tcPr>
            <w:tcW w:w="4770" w:type="dxa"/>
            <w:shd w:val="clear" w:color="auto" w:fill="auto"/>
          </w:tcPr>
          <w:p w14:paraId="0199CC9E" w14:textId="77777777" w:rsidR="00E507D4" w:rsidRPr="00F271B8" w:rsidRDefault="00E507D4" w:rsidP="00B95821">
            <w:pPr>
              <w:pStyle w:val="BodyText"/>
              <w:spacing w:before="100" w:after="100"/>
              <w:rPr>
                <w:b/>
                <w:bCs/>
              </w:rPr>
            </w:pPr>
            <w:r w:rsidRPr="00F271B8">
              <w:rPr>
                <w:b/>
                <w:bCs/>
              </w:rPr>
              <w:t xml:space="preserve">International Diversions </w:t>
            </w:r>
          </w:p>
        </w:tc>
        <w:tc>
          <w:tcPr>
            <w:tcW w:w="4770" w:type="dxa"/>
            <w:shd w:val="clear" w:color="auto" w:fill="auto"/>
          </w:tcPr>
          <w:p w14:paraId="044B7A8E" w14:textId="77777777" w:rsidR="00E507D4" w:rsidRPr="00F271B8" w:rsidRDefault="00E507D4" w:rsidP="00B95821">
            <w:pPr>
              <w:pStyle w:val="BodyText"/>
              <w:spacing w:before="100" w:after="100"/>
              <w:jc w:val="center"/>
            </w:pPr>
            <w:r>
              <w:t>'</w:t>
            </w:r>
            <w:r w:rsidRPr="00F271B8">
              <w:t>yes</w:t>
            </w:r>
            <w:r>
              <w:t>'</w:t>
            </w:r>
            <w:r w:rsidRPr="00F271B8">
              <w:t xml:space="preserve"> international rates</w:t>
            </w:r>
            <w:r w:rsidRPr="00F271B8">
              <w:br/>
              <w:t>See optus.com.au/international</w:t>
            </w:r>
          </w:p>
        </w:tc>
      </w:tr>
      <w:tr w:rsidR="00E507D4" w:rsidRPr="00F271B8" w14:paraId="580E4AB1" w14:textId="77777777" w:rsidTr="00B95821">
        <w:tc>
          <w:tcPr>
            <w:tcW w:w="4770" w:type="dxa"/>
            <w:shd w:val="clear" w:color="auto" w:fill="auto"/>
          </w:tcPr>
          <w:p w14:paraId="20E431A3" w14:textId="77777777" w:rsidR="00E507D4" w:rsidRPr="00F271B8" w:rsidRDefault="00E507D4" w:rsidP="00B95821">
            <w:pPr>
              <w:pStyle w:val="BodyText"/>
              <w:spacing w:before="100" w:after="100"/>
              <w:rPr>
                <w:b/>
                <w:bCs/>
              </w:rPr>
            </w:pPr>
            <w:r w:rsidRPr="00F271B8">
              <w:rPr>
                <w:b/>
                <w:bCs/>
              </w:rPr>
              <w:t xml:space="preserve">1800 numbers </w:t>
            </w:r>
          </w:p>
        </w:tc>
        <w:tc>
          <w:tcPr>
            <w:tcW w:w="4770" w:type="dxa"/>
            <w:shd w:val="clear" w:color="auto" w:fill="auto"/>
            <w:vAlign w:val="center"/>
          </w:tcPr>
          <w:p w14:paraId="6D5103DE" w14:textId="77777777" w:rsidR="00E507D4" w:rsidRPr="00F271B8" w:rsidRDefault="00E507D4" w:rsidP="00B95821">
            <w:pPr>
              <w:pStyle w:val="BodyText"/>
              <w:spacing w:before="100" w:after="100"/>
              <w:jc w:val="center"/>
            </w:pPr>
            <w:r w:rsidRPr="00F271B8">
              <w:t>$0 per minute</w:t>
            </w:r>
          </w:p>
        </w:tc>
      </w:tr>
      <w:tr w:rsidR="00E507D4" w:rsidRPr="00F271B8" w14:paraId="1C2E6C35" w14:textId="77777777" w:rsidTr="00B95821">
        <w:tc>
          <w:tcPr>
            <w:tcW w:w="4770" w:type="dxa"/>
            <w:shd w:val="clear" w:color="auto" w:fill="auto"/>
          </w:tcPr>
          <w:p w14:paraId="375449A2" w14:textId="77777777" w:rsidR="00E507D4" w:rsidRPr="00F271B8" w:rsidRDefault="00E507D4" w:rsidP="00B95821">
            <w:pPr>
              <w:pStyle w:val="BodyText"/>
              <w:spacing w:before="100" w:after="100"/>
              <w:rPr>
                <w:b/>
                <w:bCs/>
              </w:rPr>
            </w:pPr>
            <w:r w:rsidRPr="00F271B8">
              <w:rPr>
                <w:b/>
                <w:bCs/>
              </w:rPr>
              <w:t xml:space="preserve">Directory Assistance 1223 </w:t>
            </w:r>
          </w:p>
        </w:tc>
        <w:tc>
          <w:tcPr>
            <w:tcW w:w="4770" w:type="dxa"/>
            <w:shd w:val="clear" w:color="auto" w:fill="auto"/>
            <w:vAlign w:val="center"/>
          </w:tcPr>
          <w:p w14:paraId="3799A3D1" w14:textId="77777777" w:rsidR="00E507D4" w:rsidRPr="00F271B8" w:rsidRDefault="00E507D4" w:rsidP="00B95821">
            <w:pPr>
              <w:pStyle w:val="BodyText"/>
              <w:spacing w:before="100" w:after="100"/>
              <w:jc w:val="center"/>
            </w:pPr>
            <w:r w:rsidRPr="00F271B8">
              <w:t>50c per call</w:t>
            </w:r>
          </w:p>
        </w:tc>
      </w:tr>
      <w:tr w:rsidR="00E507D4" w:rsidRPr="00F271B8" w14:paraId="5759C2FA" w14:textId="77777777" w:rsidTr="00B95821">
        <w:tc>
          <w:tcPr>
            <w:tcW w:w="4770" w:type="dxa"/>
            <w:shd w:val="clear" w:color="auto" w:fill="auto"/>
          </w:tcPr>
          <w:p w14:paraId="3BF9FA95" w14:textId="77777777" w:rsidR="00E507D4" w:rsidRPr="00F271B8" w:rsidRDefault="00E507D4" w:rsidP="00B95821">
            <w:pPr>
              <w:pStyle w:val="BodyText"/>
              <w:spacing w:before="100" w:after="100"/>
              <w:rPr>
                <w:b/>
                <w:bCs/>
              </w:rPr>
            </w:pPr>
            <w:r w:rsidRPr="00F271B8">
              <w:rPr>
                <w:b/>
                <w:bCs/>
              </w:rPr>
              <w:t>124 Yes</w:t>
            </w:r>
          </w:p>
        </w:tc>
        <w:tc>
          <w:tcPr>
            <w:tcW w:w="4770" w:type="dxa"/>
            <w:shd w:val="clear" w:color="auto" w:fill="auto"/>
            <w:vAlign w:val="center"/>
          </w:tcPr>
          <w:p w14:paraId="000EEAFE" w14:textId="77777777" w:rsidR="00E507D4" w:rsidRPr="00F271B8" w:rsidRDefault="00E507D4" w:rsidP="00B95821">
            <w:pPr>
              <w:pStyle w:val="BodyText"/>
              <w:spacing w:before="100" w:after="100"/>
              <w:jc w:val="center"/>
            </w:pPr>
            <w:r w:rsidRPr="00F271B8">
              <w:t>90c per minute +$1.75c flagfall</w:t>
            </w:r>
          </w:p>
        </w:tc>
      </w:tr>
      <w:tr w:rsidR="00E507D4" w:rsidRPr="00F271B8" w14:paraId="17FF27E6" w14:textId="77777777" w:rsidTr="00B95821">
        <w:tc>
          <w:tcPr>
            <w:tcW w:w="4770" w:type="dxa"/>
            <w:shd w:val="clear" w:color="auto" w:fill="auto"/>
          </w:tcPr>
          <w:p w14:paraId="2999CD36" w14:textId="77777777" w:rsidR="00E507D4" w:rsidRPr="00F271B8" w:rsidRDefault="00E507D4" w:rsidP="00B95821">
            <w:pPr>
              <w:pStyle w:val="BodyText"/>
              <w:spacing w:before="100" w:after="100"/>
              <w:rPr>
                <w:b/>
                <w:bCs/>
              </w:rPr>
            </w:pPr>
            <w:r w:rsidRPr="00F271B8">
              <w:rPr>
                <w:b/>
                <w:bCs/>
              </w:rPr>
              <w:t>International voice calls (outside the plan</w:t>
            </w:r>
            <w:r>
              <w:rPr>
                <w:b/>
                <w:bCs/>
              </w:rPr>
              <w:t>'</w:t>
            </w:r>
            <w:r w:rsidRPr="00F271B8">
              <w:rPr>
                <w:b/>
                <w:bCs/>
              </w:rPr>
              <w:t xml:space="preserve">s included international minutes and to excluded countries) </w:t>
            </w:r>
          </w:p>
        </w:tc>
        <w:tc>
          <w:tcPr>
            <w:tcW w:w="4770" w:type="dxa"/>
            <w:shd w:val="clear" w:color="auto" w:fill="auto"/>
            <w:vAlign w:val="center"/>
          </w:tcPr>
          <w:p w14:paraId="0C62504F" w14:textId="77777777" w:rsidR="00E507D4" w:rsidRPr="00F271B8" w:rsidRDefault="00E507D4" w:rsidP="00B95821">
            <w:pPr>
              <w:pStyle w:val="BodyText"/>
              <w:spacing w:before="100" w:after="100"/>
              <w:jc w:val="center"/>
            </w:pPr>
            <w:r>
              <w:t>'</w:t>
            </w:r>
            <w:r w:rsidRPr="00F271B8">
              <w:t>yes</w:t>
            </w:r>
            <w:r>
              <w:t>'</w:t>
            </w:r>
            <w:r w:rsidRPr="00F271B8">
              <w:t xml:space="preserve"> international rates</w:t>
            </w:r>
          </w:p>
          <w:p w14:paraId="32AFA950" w14:textId="77777777" w:rsidR="00E507D4" w:rsidRPr="00F271B8" w:rsidRDefault="00E507D4" w:rsidP="00B95821">
            <w:pPr>
              <w:pStyle w:val="BodyText"/>
              <w:spacing w:before="100" w:after="100"/>
              <w:jc w:val="center"/>
            </w:pPr>
            <w:r w:rsidRPr="00F271B8">
              <w:t>See optus.com.au/international</w:t>
            </w:r>
          </w:p>
        </w:tc>
      </w:tr>
      <w:tr w:rsidR="00E507D4" w:rsidRPr="00F271B8" w14:paraId="77C338F8" w14:textId="77777777" w:rsidTr="00B95821">
        <w:tc>
          <w:tcPr>
            <w:tcW w:w="4770" w:type="dxa"/>
            <w:shd w:val="clear" w:color="auto" w:fill="auto"/>
          </w:tcPr>
          <w:p w14:paraId="32AA611F" w14:textId="77777777" w:rsidR="00E507D4" w:rsidRPr="00F271B8" w:rsidRDefault="00E507D4" w:rsidP="00B95821">
            <w:pPr>
              <w:pStyle w:val="BodyText"/>
              <w:spacing w:before="100" w:after="100"/>
              <w:rPr>
                <w:b/>
                <w:bCs/>
              </w:rPr>
            </w:pPr>
            <w:r w:rsidRPr="00F271B8">
              <w:rPr>
                <w:b/>
                <w:bCs/>
              </w:rPr>
              <w:t xml:space="preserve">International SMS (to excluded countries) </w:t>
            </w:r>
          </w:p>
        </w:tc>
        <w:tc>
          <w:tcPr>
            <w:tcW w:w="4770" w:type="dxa"/>
            <w:shd w:val="clear" w:color="auto" w:fill="auto"/>
            <w:vAlign w:val="center"/>
          </w:tcPr>
          <w:p w14:paraId="4D5CAF70" w14:textId="77777777" w:rsidR="00E507D4" w:rsidRPr="00F271B8" w:rsidRDefault="00E507D4" w:rsidP="00B95821">
            <w:pPr>
              <w:pStyle w:val="BodyText"/>
              <w:spacing w:before="100" w:after="100"/>
              <w:jc w:val="center"/>
            </w:pPr>
            <w:r w:rsidRPr="00F271B8">
              <w:t>50c per SMS up to 160 standard characters</w:t>
            </w:r>
          </w:p>
        </w:tc>
      </w:tr>
      <w:tr w:rsidR="00E507D4" w:rsidRPr="00F271B8" w14:paraId="38CA2891" w14:textId="77777777" w:rsidTr="00B95821">
        <w:tc>
          <w:tcPr>
            <w:tcW w:w="4770" w:type="dxa"/>
            <w:shd w:val="clear" w:color="auto" w:fill="auto"/>
          </w:tcPr>
          <w:p w14:paraId="176D87C5" w14:textId="77777777" w:rsidR="00E507D4" w:rsidRPr="00F271B8" w:rsidRDefault="00E507D4" w:rsidP="00B95821">
            <w:pPr>
              <w:pStyle w:val="BodyText"/>
              <w:spacing w:before="100" w:after="100"/>
              <w:rPr>
                <w:b/>
                <w:bCs/>
              </w:rPr>
            </w:pPr>
            <w:r w:rsidRPr="00F271B8">
              <w:rPr>
                <w:b/>
                <w:bCs/>
              </w:rPr>
              <w:t>International MMS (to excluded countries)</w:t>
            </w:r>
          </w:p>
        </w:tc>
        <w:tc>
          <w:tcPr>
            <w:tcW w:w="4770" w:type="dxa"/>
            <w:shd w:val="clear" w:color="auto" w:fill="auto"/>
            <w:vAlign w:val="center"/>
          </w:tcPr>
          <w:p w14:paraId="5FFE45D7" w14:textId="77777777" w:rsidR="00E507D4" w:rsidRPr="00F271B8" w:rsidRDefault="00E507D4" w:rsidP="00B95821">
            <w:pPr>
              <w:pStyle w:val="BodyText"/>
              <w:spacing w:before="100" w:after="100"/>
              <w:jc w:val="center"/>
            </w:pPr>
            <w:r w:rsidRPr="00F271B8">
              <w:t>75c per MMS</w:t>
            </w:r>
          </w:p>
        </w:tc>
      </w:tr>
      <w:tr w:rsidR="00E507D4" w:rsidRPr="00F271B8" w14:paraId="7A3E7988" w14:textId="77777777" w:rsidTr="00B95821">
        <w:tc>
          <w:tcPr>
            <w:tcW w:w="4770" w:type="dxa"/>
            <w:shd w:val="clear" w:color="auto" w:fill="auto"/>
          </w:tcPr>
          <w:p w14:paraId="3E8305E3" w14:textId="77777777" w:rsidR="00E507D4" w:rsidRPr="00F271B8" w:rsidRDefault="00E507D4" w:rsidP="00B95821">
            <w:pPr>
              <w:pStyle w:val="BodyText"/>
              <w:spacing w:before="100" w:after="100"/>
              <w:rPr>
                <w:b/>
                <w:bCs/>
              </w:rPr>
            </w:pPr>
            <w:r w:rsidRPr="00F271B8">
              <w:rPr>
                <w:b/>
                <w:bCs/>
              </w:rPr>
              <w:t xml:space="preserve">International video calling </w:t>
            </w:r>
          </w:p>
        </w:tc>
        <w:tc>
          <w:tcPr>
            <w:tcW w:w="4770" w:type="dxa"/>
            <w:shd w:val="clear" w:color="auto" w:fill="auto"/>
            <w:vAlign w:val="center"/>
          </w:tcPr>
          <w:p w14:paraId="4385ACAE" w14:textId="77777777" w:rsidR="00E507D4" w:rsidRPr="00F271B8" w:rsidRDefault="00E507D4" w:rsidP="00B95821">
            <w:pPr>
              <w:pStyle w:val="BodyText"/>
              <w:spacing w:before="100" w:after="100"/>
              <w:jc w:val="center"/>
            </w:pPr>
            <w:r w:rsidRPr="00F271B8">
              <w:t>$1.50 per minute +35c flagfall</w:t>
            </w:r>
          </w:p>
        </w:tc>
      </w:tr>
      <w:tr w:rsidR="00E507D4" w:rsidRPr="00F271B8" w14:paraId="02C91D35" w14:textId="77777777" w:rsidTr="00B95821">
        <w:tc>
          <w:tcPr>
            <w:tcW w:w="4770" w:type="dxa"/>
            <w:shd w:val="clear" w:color="auto" w:fill="auto"/>
          </w:tcPr>
          <w:p w14:paraId="49C94CF1" w14:textId="77777777" w:rsidR="00E507D4" w:rsidRPr="00F271B8" w:rsidRDefault="00E507D4" w:rsidP="00B95821">
            <w:pPr>
              <w:pStyle w:val="BodyText"/>
              <w:spacing w:before="100" w:after="100"/>
              <w:rPr>
                <w:b/>
                <w:bCs/>
              </w:rPr>
            </w:pPr>
            <w:r w:rsidRPr="00F271B8">
              <w:rPr>
                <w:b/>
                <w:bCs/>
              </w:rPr>
              <w:t xml:space="preserve">International roaming </w:t>
            </w:r>
          </w:p>
        </w:tc>
        <w:tc>
          <w:tcPr>
            <w:tcW w:w="4770" w:type="dxa"/>
            <w:shd w:val="clear" w:color="auto" w:fill="auto"/>
            <w:vAlign w:val="center"/>
          </w:tcPr>
          <w:p w14:paraId="4A99A12D" w14:textId="77777777" w:rsidR="00E507D4" w:rsidRPr="00F271B8" w:rsidRDefault="00E507D4" w:rsidP="00B95821">
            <w:pPr>
              <w:pStyle w:val="BodyText"/>
              <w:spacing w:before="100" w:after="100"/>
              <w:jc w:val="center"/>
            </w:pPr>
            <w:r w:rsidRPr="00F271B8">
              <w:t>See optus.com.au/roaming</w:t>
            </w:r>
          </w:p>
        </w:tc>
      </w:tr>
    </w:tbl>
    <w:p w14:paraId="78723645" w14:textId="77777777" w:rsidR="00E507D4" w:rsidRPr="00F271B8" w:rsidRDefault="00E507D4" w:rsidP="00E507D4">
      <w:pPr>
        <w:pStyle w:val="BodyText"/>
        <w:keepNext/>
        <w:spacing w:before="240"/>
        <w:ind w:left="720"/>
        <w:jc w:val="both"/>
        <w:rPr>
          <w:b/>
        </w:rPr>
      </w:pPr>
      <w:r w:rsidRPr="00F271B8">
        <w:rPr>
          <w:b/>
        </w:rPr>
        <w:t>Table 3 – Additional Minutes and Charges</w:t>
      </w:r>
    </w:p>
    <w:tbl>
      <w:tblPr>
        <w:tblW w:w="95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0"/>
        <w:gridCol w:w="2385"/>
        <w:gridCol w:w="2385"/>
      </w:tblGrid>
      <w:tr w:rsidR="00E507D4" w:rsidRPr="00F271B8" w14:paraId="54B44789" w14:textId="77777777" w:rsidTr="00B95821">
        <w:trPr>
          <w:cantSplit/>
        </w:trPr>
        <w:tc>
          <w:tcPr>
            <w:tcW w:w="4770" w:type="dxa"/>
            <w:vMerge w:val="restart"/>
            <w:tcBorders>
              <w:top w:val="single" w:sz="4" w:space="0" w:color="auto"/>
              <w:left w:val="single" w:sz="4" w:space="0" w:color="auto"/>
              <w:bottom w:val="single" w:sz="4" w:space="0" w:color="auto"/>
              <w:right w:val="single" w:sz="4" w:space="0" w:color="auto"/>
            </w:tcBorders>
          </w:tcPr>
          <w:p w14:paraId="5098E1DD" w14:textId="77777777" w:rsidR="00E507D4" w:rsidRPr="00F271B8" w:rsidRDefault="00E507D4" w:rsidP="00B95821">
            <w:pPr>
              <w:pStyle w:val="BodyText"/>
              <w:keepNext/>
              <w:spacing w:before="100" w:after="100"/>
            </w:pPr>
          </w:p>
        </w:tc>
        <w:tc>
          <w:tcPr>
            <w:tcW w:w="4770" w:type="dxa"/>
            <w:gridSpan w:val="2"/>
            <w:tcBorders>
              <w:top w:val="single" w:sz="4" w:space="0" w:color="auto"/>
              <w:left w:val="single" w:sz="4" w:space="0" w:color="auto"/>
              <w:bottom w:val="single" w:sz="4" w:space="0" w:color="auto"/>
              <w:right w:val="single" w:sz="4" w:space="0" w:color="auto"/>
            </w:tcBorders>
            <w:hideMark/>
          </w:tcPr>
          <w:p w14:paraId="141DC251" w14:textId="77777777" w:rsidR="00E507D4" w:rsidRPr="00F271B8" w:rsidRDefault="00E507D4" w:rsidP="00B95821">
            <w:pPr>
              <w:pStyle w:val="BodyText"/>
              <w:keepNext/>
              <w:spacing w:before="100" w:after="100"/>
              <w:jc w:val="center"/>
              <w:rPr>
                <w:b/>
              </w:rPr>
            </w:pPr>
            <w:r w:rsidRPr="00F271B8">
              <w:rPr>
                <w:b/>
              </w:rPr>
              <w:t>$30 My Plan Business Essentials</w:t>
            </w:r>
          </w:p>
        </w:tc>
      </w:tr>
      <w:tr w:rsidR="00E507D4" w:rsidRPr="00F271B8" w14:paraId="4FEE233D" w14:textId="77777777" w:rsidTr="00B95821">
        <w:trPr>
          <w:cantSplit/>
        </w:trPr>
        <w:tc>
          <w:tcPr>
            <w:tcW w:w="4770" w:type="dxa"/>
            <w:vMerge/>
            <w:tcBorders>
              <w:top w:val="single" w:sz="4" w:space="0" w:color="auto"/>
              <w:left w:val="single" w:sz="4" w:space="0" w:color="auto"/>
              <w:bottom w:val="single" w:sz="4" w:space="0" w:color="auto"/>
              <w:right w:val="single" w:sz="4" w:space="0" w:color="auto"/>
            </w:tcBorders>
            <w:vAlign w:val="center"/>
            <w:hideMark/>
          </w:tcPr>
          <w:p w14:paraId="23292FC2" w14:textId="77777777" w:rsidR="00E507D4" w:rsidRPr="00F271B8" w:rsidRDefault="00E507D4" w:rsidP="00B95821">
            <w:pPr>
              <w:pStyle w:val="BodyText"/>
              <w:spacing w:before="100" w:after="100"/>
            </w:pPr>
          </w:p>
        </w:tc>
        <w:tc>
          <w:tcPr>
            <w:tcW w:w="2385" w:type="dxa"/>
            <w:tcBorders>
              <w:top w:val="single" w:sz="4" w:space="0" w:color="auto"/>
              <w:left w:val="single" w:sz="4" w:space="0" w:color="auto"/>
              <w:bottom w:val="single" w:sz="4" w:space="0" w:color="auto"/>
              <w:right w:val="single" w:sz="4" w:space="0" w:color="auto"/>
            </w:tcBorders>
            <w:vAlign w:val="center"/>
            <w:hideMark/>
          </w:tcPr>
          <w:p w14:paraId="7E19E8E9" w14:textId="77777777" w:rsidR="00E507D4" w:rsidRPr="00F271B8" w:rsidRDefault="00E507D4" w:rsidP="00B95821">
            <w:pPr>
              <w:pStyle w:val="BodyText"/>
              <w:spacing w:before="100" w:after="100"/>
              <w:jc w:val="center"/>
              <w:rPr>
                <w:b/>
              </w:rPr>
            </w:pPr>
            <w:r w:rsidRPr="00F271B8">
              <w:rPr>
                <w:b/>
              </w:rPr>
              <w:t>Included Minutes</w:t>
            </w:r>
          </w:p>
        </w:tc>
        <w:tc>
          <w:tcPr>
            <w:tcW w:w="2385" w:type="dxa"/>
            <w:tcBorders>
              <w:top w:val="single" w:sz="4" w:space="0" w:color="auto"/>
              <w:left w:val="single" w:sz="4" w:space="0" w:color="auto"/>
              <w:bottom w:val="single" w:sz="4" w:space="0" w:color="auto"/>
              <w:right w:val="single" w:sz="4" w:space="0" w:color="auto"/>
            </w:tcBorders>
            <w:vAlign w:val="center"/>
            <w:hideMark/>
          </w:tcPr>
          <w:p w14:paraId="43091EC4" w14:textId="77777777" w:rsidR="00E507D4" w:rsidRPr="00F271B8" w:rsidRDefault="00E507D4" w:rsidP="00B95821">
            <w:pPr>
              <w:pStyle w:val="BodyText"/>
              <w:spacing w:before="100" w:after="100"/>
              <w:jc w:val="center"/>
              <w:rPr>
                <w:b/>
              </w:rPr>
            </w:pPr>
            <w:r w:rsidRPr="00F271B8">
              <w:rPr>
                <w:b/>
              </w:rPr>
              <w:t>Cost of minutes</w:t>
            </w:r>
          </w:p>
        </w:tc>
      </w:tr>
      <w:tr w:rsidR="00E507D4" w:rsidRPr="00F271B8" w14:paraId="124B1037" w14:textId="77777777" w:rsidTr="00B95821">
        <w:trPr>
          <w:cantSplit/>
        </w:trPr>
        <w:tc>
          <w:tcPr>
            <w:tcW w:w="477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DCAB36C" w14:textId="77777777" w:rsidR="00E507D4" w:rsidRPr="00F271B8" w:rsidRDefault="00E507D4" w:rsidP="00B95821">
            <w:pPr>
              <w:pStyle w:val="BodyText"/>
              <w:spacing w:before="100" w:after="100"/>
              <w:rPr>
                <w:b/>
              </w:rPr>
            </w:pPr>
            <w:r w:rsidRPr="00F271B8">
              <w:rPr>
                <w:b/>
              </w:rPr>
              <w:t>Monthly Included Minutes</w:t>
            </w:r>
          </w:p>
        </w:tc>
        <w:tc>
          <w:tcPr>
            <w:tcW w:w="238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4523563" w14:textId="77777777" w:rsidR="00E507D4" w:rsidRPr="00F271B8" w:rsidRDefault="00E507D4" w:rsidP="00B95821">
            <w:pPr>
              <w:pStyle w:val="BodyText"/>
              <w:spacing w:before="100" w:after="100"/>
              <w:jc w:val="center"/>
            </w:pPr>
            <w:r w:rsidRPr="00F271B8">
              <w:t>Up to 250</w:t>
            </w:r>
          </w:p>
        </w:tc>
        <w:tc>
          <w:tcPr>
            <w:tcW w:w="238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0D6FA3F" w14:textId="77777777" w:rsidR="00E507D4" w:rsidRPr="00F271B8" w:rsidRDefault="00E507D4" w:rsidP="00B95821">
            <w:pPr>
              <w:pStyle w:val="BodyText"/>
              <w:spacing w:before="100" w:after="100"/>
              <w:jc w:val="center"/>
            </w:pPr>
            <w:r w:rsidRPr="00F271B8">
              <w:t>$20</w:t>
            </w:r>
          </w:p>
        </w:tc>
      </w:tr>
      <w:tr w:rsidR="00E507D4" w:rsidRPr="00F271B8" w14:paraId="598919ED" w14:textId="77777777" w:rsidTr="00B95821">
        <w:trPr>
          <w:cantSplit/>
        </w:trPr>
        <w:tc>
          <w:tcPr>
            <w:tcW w:w="4770" w:type="dxa"/>
            <w:tcBorders>
              <w:top w:val="single" w:sz="4" w:space="0" w:color="auto"/>
              <w:left w:val="single" w:sz="4" w:space="0" w:color="auto"/>
              <w:bottom w:val="single" w:sz="4" w:space="0" w:color="auto"/>
              <w:right w:val="single" w:sz="4" w:space="0" w:color="auto"/>
            </w:tcBorders>
            <w:hideMark/>
          </w:tcPr>
          <w:p w14:paraId="64B9D2D6" w14:textId="77777777" w:rsidR="00E507D4" w:rsidRPr="00F271B8" w:rsidRDefault="00E507D4" w:rsidP="00B95821">
            <w:pPr>
              <w:pStyle w:val="BodyText"/>
              <w:spacing w:before="100" w:after="100"/>
              <w:rPr>
                <w:b/>
              </w:rPr>
            </w:pPr>
            <w:r w:rsidRPr="00F271B8">
              <w:rPr>
                <w:b/>
              </w:rPr>
              <w:t>+$10</w:t>
            </w:r>
          </w:p>
        </w:tc>
        <w:tc>
          <w:tcPr>
            <w:tcW w:w="2385" w:type="dxa"/>
            <w:tcBorders>
              <w:top w:val="single" w:sz="4" w:space="0" w:color="auto"/>
              <w:left w:val="single" w:sz="4" w:space="0" w:color="auto"/>
              <w:bottom w:val="single" w:sz="4" w:space="0" w:color="auto"/>
              <w:right w:val="single" w:sz="4" w:space="0" w:color="auto"/>
            </w:tcBorders>
            <w:vAlign w:val="center"/>
            <w:hideMark/>
          </w:tcPr>
          <w:p w14:paraId="47DA592C" w14:textId="77777777" w:rsidR="00E507D4" w:rsidRPr="00F271B8" w:rsidRDefault="00E507D4" w:rsidP="00B95821">
            <w:pPr>
              <w:pStyle w:val="BodyText"/>
              <w:spacing w:before="100" w:after="100"/>
              <w:jc w:val="center"/>
            </w:pPr>
            <w:r w:rsidRPr="00F271B8">
              <w:t>+250</w:t>
            </w:r>
          </w:p>
        </w:tc>
        <w:tc>
          <w:tcPr>
            <w:tcW w:w="2385" w:type="dxa"/>
            <w:tcBorders>
              <w:top w:val="single" w:sz="4" w:space="0" w:color="auto"/>
              <w:left w:val="single" w:sz="4" w:space="0" w:color="auto"/>
              <w:bottom w:val="single" w:sz="4" w:space="0" w:color="auto"/>
              <w:right w:val="single" w:sz="4" w:space="0" w:color="auto"/>
            </w:tcBorders>
            <w:vAlign w:val="center"/>
            <w:hideMark/>
          </w:tcPr>
          <w:p w14:paraId="1E9BC960" w14:textId="77777777" w:rsidR="00E507D4" w:rsidRPr="00F271B8" w:rsidRDefault="00E507D4" w:rsidP="00B95821">
            <w:pPr>
              <w:pStyle w:val="BodyText"/>
              <w:spacing w:before="100" w:after="100"/>
              <w:jc w:val="center"/>
            </w:pPr>
            <w:r w:rsidRPr="00F271B8">
              <w:t>$10</w:t>
            </w:r>
          </w:p>
        </w:tc>
      </w:tr>
      <w:tr w:rsidR="00E507D4" w:rsidRPr="00F271B8" w14:paraId="6D9A9CE7" w14:textId="77777777" w:rsidTr="00B95821">
        <w:trPr>
          <w:cantSplit/>
        </w:trPr>
        <w:tc>
          <w:tcPr>
            <w:tcW w:w="4770" w:type="dxa"/>
            <w:tcBorders>
              <w:top w:val="single" w:sz="4" w:space="0" w:color="auto"/>
              <w:left w:val="single" w:sz="4" w:space="0" w:color="auto"/>
              <w:bottom w:val="single" w:sz="4" w:space="0" w:color="auto"/>
              <w:right w:val="single" w:sz="4" w:space="0" w:color="auto"/>
            </w:tcBorders>
          </w:tcPr>
          <w:p w14:paraId="7BB47FD2" w14:textId="77777777" w:rsidR="00E507D4" w:rsidRPr="00F271B8" w:rsidRDefault="00E507D4" w:rsidP="00B95821">
            <w:pPr>
              <w:pStyle w:val="BodyText"/>
              <w:spacing w:before="100" w:after="100"/>
              <w:rPr>
                <w:b/>
              </w:rPr>
            </w:pPr>
            <w:r w:rsidRPr="00F271B8">
              <w:rPr>
                <w:b/>
              </w:rPr>
              <w:t>+$10</w:t>
            </w:r>
          </w:p>
        </w:tc>
        <w:tc>
          <w:tcPr>
            <w:tcW w:w="2385" w:type="dxa"/>
            <w:tcBorders>
              <w:top w:val="single" w:sz="4" w:space="0" w:color="auto"/>
              <w:left w:val="single" w:sz="4" w:space="0" w:color="auto"/>
              <w:bottom w:val="single" w:sz="4" w:space="0" w:color="auto"/>
              <w:right w:val="single" w:sz="4" w:space="0" w:color="auto"/>
            </w:tcBorders>
            <w:vAlign w:val="center"/>
          </w:tcPr>
          <w:p w14:paraId="56989C9D" w14:textId="77777777" w:rsidR="00E507D4" w:rsidRPr="00F271B8" w:rsidRDefault="00E507D4" w:rsidP="00B95821">
            <w:pPr>
              <w:pStyle w:val="BodyText"/>
              <w:spacing w:before="100" w:after="100"/>
              <w:jc w:val="center"/>
            </w:pPr>
            <w:r w:rsidRPr="00F271B8">
              <w:t>+250</w:t>
            </w:r>
          </w:p>
        </w:tc>
        <w:tc>
          <w:tcPr>
            <w:tcW w:w="2385" w:type="dxa"/>
            <w:tcBorders>
              <w:top w:val="single" w:sz="4" w:space="0" w:color="auto"/>
              <w:left w:val="single" w:sz="4" w:space="0" w:color="auto"/>
              <w:bottom w:val="single" w:sz="4" w:space="0" w:color="auto"/>
              <w:right w:val="single" w:sz="4" w:space="0" w:color="auto"/>
            </w:tcBorders>
            <w:vAlign w:val="center"/>
          </w:tcPr>
          <w:p w14:paraId="37BD20A8" w14:textId="77777777" w:rsidR="00E507D4" w:rsidRPr="00F271B8" w:rsidRDefault="00E507D4" w:rsidP="00B95821">
            <w:pPr>
              <w:pStyle w:val="BodyText"/>
              <w:spacing w:before="100" w:after="100"/>
              <w:jc w:val="center"/>
            </w:pPr>
            <w:r w:rsidRPr="00F271B8">
              <w:t>$10</w:t>
            </w:r>
          </w:p>
        </w:tc>
      </w:tr>
      <w:tr w:rsidR="00E507D4" w:rsidRPr="00F271B8" w14:paraId="04D0C993" w14:textId="77777777" w:rsidTr="00B95821">
        <w:trPr>
          <w:cantSplit/>
        </w:trPr>
        <w:tc>
          <w:tcPr>
            <w:tcW w:w="4770" w:type="dxa"/>
            <w:tcBorders>
              <w:top w:val="single" w:sz="4" w:space="0" w:color="auto"/>
              <w:left w:val="single" w:sz="4" w:space="0" w:color="auto"/>
              <w:bottom w:val="single" w:sz="4" w:space="0" w:color="auto"/>
              <w:right w:val="single" w:sz="4" w:space="0" w:color="auto"/>
            </w:tcBorders>
            <w:hideMark/>
          </w:tcPr>
          <w:p w14:paraId="5F823BE2" w14:textId="77777777" w:rsidR="00E507D4" w:rsidRPr="00F271B8" w:rsidRDefault="00E507D4" w:rsidP="00B95821">
            <w:pPr>
              <w:pStyle w:val="BodyText"/>
              <w:spacing w:before="100" w:after="100"/>
              <w:rPr>
                <w:b/>
              </w:rPr>
            </w:pPr>
            <w:r w:rsidRPr="00F271B8">
              <w:rPr>
                <w:b/>
              </w:rPr>
              <w:t>+$10</w:t>
            </w:r>
          </w:p>
        </w:tc>
        <w:tc>
          <w:tcPr>
            <w:tcW w:w="2385" w:type="dxa"/>
            <w:tcBorders>
              <w:top w:val="single" w:sz="4" w:space="0" w:color="auto"/>
              <w:left w:val="single" w:sz="4" w:space="0" w:color="auto"/>
              <w:bottom w:val="single" w:sz="4" w:space="0" w:color="auto"/>
              <w:right w:val="single" w:sz="4" w:space="0" w:color="auto"/>
            </w:tcBorders>
            <w:vAlign w:val="center"/>
            <w:hideMark/>
          </w:tcPr>
          <w:p w14:paraId="22403195" w14:textId="77777777" w:rsidR="00E507D4" w:rsidRPr="00F271B8" w:rsidRDefault="00E507D4" w:rsidP="00B95821">
            <w:pPr>
              <w:pStyle w:val="BodyText"/>
              <w:spacing w:before="100" w:after="100"/>
              <w:jc w:val="center"/>
            </w:pPr>
            <w:r w:rsidRPr="00F271B8">
              <w:t>Unlimited</w:t>
            </w:r>
          </w:p>
        </w:tc>
        <w:tc>
          <w:tcPr>
            <w:tcW w:w="2385" w:type="dxa"/>
            <w:tcBorders>
              <w:top w:val="single" w:sz="4" w:space="0" w:color="auto"/>
              <w:left w:val="single" w:sz="4" w:space="0" w:color="auto"/>
              <w:bottom w:val="single" w:sz="4" w:space="0" w:color="auto"/>
              <w:right w:val="single" w:sz="4" w:space="0" w:color="auto"/>
            </w:tcBorders>
            <w:vAlign w:val="center"/>
            <w:hideMark/>
          </w:tcPr>
          <w:p w14:paraId="13BAEADD" w14:textId="77777777" w:rsidR="00E507D4" w:rsidRPr="00F271B8" w:rsidRDefault="00E507D4" w:rsidP="00B95821">
            <w:pPr>
              <w:pStyle w:val="BodyText"/>
              <w:spacing w:before="100" w:after="100"/>
              <w:jc w:val="center"/>
            </w:pPr>
            <w:r w:rsidRPr="00F271B8">
              <w:t>$10</w:t>
            </w:r>
          </w:p>
        </w:tc>
      </w:tr>
    </w:tbl>
    <w:p w14:paraId="58D1C319" w14:textId="77777777" w:rsidR="00E507D4" w:rsidRPr="00F271B8" w:rsidRDefault="00E507D4" w:rsidP="00E507D4">
      <w:pPr>
        <w:pStyle w:val="BodyText"/>
        <w:spacing w:before="240"/>
        <w:ind w:left="720"/>
        <w:rPr>
          <w:b/>
        </w:rPr>
      </w:pPr>
      <w:r w:rsidRPr="00F271B8">
        <w:rPr>
          <w:b/>
        </w:rPr>
        <w:t>Table 4 – International Countries</w:t>
      </w:r>
    </w:p>
    <w:tbl>
      <w:tblPr>
        <w:tblW w:w="95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5"/>
        <w:gridCol w:w="2385"/>
        <w:gridCol w:w="2385"/>
        <w:gridCol w:w="2385"/>
      </w:tblGrid>
      <w:tr w:rsidR="00E507D4" w:rsidRPr="00F271B8" w14:paraId="59015012" w14:textId="77777777" w:rsidTr="00B95821">
        <w:tc>
          <w:tcPr>
            <w:tcW w:w="2385" w:type="dxa"/>
            <w:shd w:val="clear" w:color="auto" w:fill="auto"/>
          </w:tcPr>
          <w:p w14:paraId="023686DA" w14:textId="77777777" w:rsidR="00E507D4" w:rsidRPr="00F271B8" w:rsidRDefault="00E507D4" w:rsidP="00B95821">
            <w:pPr>
              <w:pStyle w:val="BodyText"/>
              <w:spacing w:before="100" w:after="100"/>
              <w:rPr>
                <w:b/>
              </w:rPr>
            </w:pPr>
            <w:r w:rsidRPr="00F271B8">
              <w:t>Austria</w:t>
            </w:r>
          </w:p>
        </w:tc>
        <w:tc>
          <w:tcPr>
            <w:tcW w:w="2385" w:type="dxa"/>
            <w:shd w:val="clear" w:color="auto" w:fill="auto"/>
          </w:tcPr>
          <w:p w14:paraId="00E01AD6" w14:textId="77777777" w:rsidR="00E507D4" w:rsidRPr="00F271B8" w:rsidRDefault="00E507D4" w:rsidP="00B95821">
            <w:pPr>
              <w:pStyle w:val="BodyText"/>
              <w:spacing w:before="100" w:after="100"/>
              <w:rPr>
                <w:b/>
              </w:rPr>
            </w:pPr>
            <w:r w:rsidRPr="00F271B8">
              <w:t>Bangladesh</w:t>
            </w:r>
          </w:p>
        </w:tc>
        <w:tc>
          <w:tcPr>
            <w:tcW w:w="2385" w:type="dxa"/>
            <w:shd w:val="clear" w:color="auto" w:fill="auto"/>
          </w:tcPr>
          <w:p w14:paraId="30723BB8" w14:textId="77777777" w:rsidR="00E507D4" w:rsidRPr="00F271B8" w:rsidRDefault="00E507D4" w:rsidP="00B95821">
            <w:pPr>
              <w:pStyle w:val="BodyText"/>
              <w:spacing w:before="100" w:after="100"/>
              <w:rPr>
                <w:b/>
              </w:rPr>
            </w:pPr>
            <w:r w:rsidRPr="00F271B8">
              <w:t>Cambodia</w:t>
            </w:r>
          </w:p>
        </w:tc>
        <w:tc>
          <w:tcPr>
            <w:tcW w:w="2385" w:type="dxa"/>
            <w:shd w:val="clear" w:color="auto" w:fill="auto"/>
          </w:tcPr>
          <w:p w14:paraId="2969C041" w14:textId="77777777" w:rsidR="00E507D4" w:rsidRPr="00F271B8" w:rsidRDefault="00E507D4" w:rsidP="00B95821">
            <w:pPr>
              <w:pStyle w:val="BodyText"/>
              <w:spacing w:before="100" w:after="100"/>
              <w:rPr>
                <w:b/>
              </w:rPr>
            </w:pPr>
            <w:r w:rsidRPr="00F271B8">
              <w:t>Canada</w:t>
            </w:r>
          </w:p>
        </w:tc>
      </w:tr>
      <w:tr w:rsidR="00E507D4" w:rsidRPr="00F271B8" w14:paraId="07AC3503" w14:textId="77777777" w:rsidTr="00B95821">
        <w:tc>
          <w:tcPr>
            <w:tcW w:w="2385" w:type="dxa"/>
            <w:shd w:val="clear" w:color="auto" w:fill="auto"/>
          </w:tcPr>
          <w:p w14:paraId="2269AB8E" w14:textId="77777777" w:rsidR="00E507D4" w:rsidRPr="00F271B8" w:rsidRDefault="00E507D4" w:rsidP="00B95821">
            <w:pPr>
              <w:pStyle w:val="BodyText"/>
              <w:spacing w:before="100" w:after="100"/>
              <w:rPr>
                <w:b/>
              </w:rPr>
            </w:pPr>
            <w:r w:rsidRPr="00F271B8">
              <w:t xml:space="preserve">Chile </w:t>
            </w:r>
          </w:p>
        </w:tc>
        <w:tc>
          <w:tcPr>
            <w:tcW w:w="2385" w:type="dxa"/>
            <w:shd w:val="clear" w:color="auto" w:fill="auto"/>
          </w:tcPr>
          <w:p w14:paraId="4AE71CAF" w14:textId="77777777" w:rsidR="00E507D4" w:rsidRPr="00F271B8" w:rsidRDefault="00E507D4" w:rsidP="00B95821">
            <w:pPr>
              <w:pStyle w:val="BodyText"/>
              <w:spacing w:before="100" w:after="100"/>
              <w:rPr>
                <w:b/>
              </w:rPr>
            </w:pPr>
            <w:r w:rsidRPr="00F271B8">
              <w:t xml:space="preserve">China </w:t>
            </w:r>
          </w:p>
        </w:tc>
        <w:tc>
          <w:tcPr>
            <w:tcW w:w="2385" w:type="dxa"/>
            <w:shd w:val="clear" w:color="auto" w:fill="auto"/>
          </w:tcPr>
          <w:p w14:paraId="1F4444F6" w14:textId="77777777" w:rsidR="00E507D4" w:rsidRPr="00F271B8" w:rsidRDefault="00E507D4" w:rsidP="00B95821">
            <w:pPr>
              <w:pStyle w:val="BodyText"/>
              <w:spacing w:before="100" w:after="100"/>
              <w:rPr>
                <w:b/>
              </w:rPr>
            </w:pPr>
            <w:r w:rsidRPr="00F271B8">
              <w:t xml:space="preserve">Croatia </w:t>
            </w:r>
          </w:p>
        </w:tc>
        <w:tc>
          <w:tcPr>
            <w:tcW w:w="2385" w:type="dxa"/>
            <w:shd w:val="clear" w:color="auto" w:fill="auto"/>
          </w:tcPr>
          <w:p w14:paraId="19164D9D" w14:textId="77777777" w:rsidR="00E507D4" w:rsidRPr="00F271B8" w:rsidRDefault="00E507D4" w:rsidP="00B95821">
            <w:pPr>
              <w:pStyle w:val="BodyText"/>
              <w:spacing w:before="100" w:after="100"/>
              <w:rPr>
                <w:b/>
              </w:rPr>
            </w:pPr>
            <w:r w:rsidRPr="00F271B8">
              <w:t>France</w:t>
            </w:r>
          </w:p>
        </w:tc>
      </w:tr>
      <w:tr w:rsidR="00E507D4" w:rsidRPr="00F271B8" w14:paraId="49E97D4D" w14:textId="77777777" w:rsidTr="00B95821">
        <w:tc>
          <w:tcPr>
            <w:tcW w:w="2385" w:type="dxa"/>
            <w:shd w:val="clear" w:color="auto" w:fill="auto"/>
          </w:tcPr>
          <w:p w14:paraId="747A77AC" w14:textId="77777777" w:rsidR="00E507D4" w:rsidRPr="00F271B8" w:rsidRDefault="00E507D4" w:rsidP="00B95821">
            <w:pPr>
              <w:pStyle w:val="BodyText"/>
              <w:spacing w:before="100" w:after="100"/>
              <w:rPr>
                <w:b/>
              </w:rPr>
            </w:pPr>
            <w:r w:rsidRPr="00F271B8">
              <w:t>Germany</w:t>
            </w:r>
          </w:p>
        </w:tc>
        <w:tc>
          <w:tcPr>
            <w:tcW w:w="2385" w:type="dxa"/>
            <w:shd w:val="clear" w:color="auto" w:fill="auto"/>
          </w:tcPr>
          <w:p w14:paraId="194DFB8C" w14:textId="77777777" w:rsidR="00E507D4" w:rsidRPr="00F271B8" w:rsidRDefault="00E507D4" w:rsidP="00B95821">
            <w:pPr>
              <w:pStyle w:val="BodyText"/>
              <w:spacing w:before="100" w:after="100"/>
              <w:rPr>
                <w:b/>
              </w:rPr>
            </w:pPr>
            <w:r w:rsidRPr="00F271B8">
              <w:t>Greece</w:t>
            </w:r>
          </w:p>
        </w:tc>
        <w:tc>
          <w:tcPr>
            <w:tcW w:w="2385" w:type="dxa"/>
            <w:shd w:val="clear" w:color="auto" w:fill="auto"/>
          </w:tcPr>
          <w:p w14:paraId="5FB7D94A" w14:textId="77777777" w:rsidR="00E507D4" w:rsidRPr="00F271B8" w:rsidRDefault="00E507D4" w:rsidP="00B95821">
            <w:pPr>
              <w:pStyle w:val="BodyText"/>
              <w:spacing w:before="100" w:after="100"/>
              <w:rPr>
                <w:b/>
              </w:rPr>
            </w:pPr>
            <w:r>
              <w:t>Hong Kong</w:t>
            </w:r>
          </w:p>
        </w:tc>
        <w:tc>
          <w:tcPr>
            <w:tcW w:w="2385" w:type="dxa"/>
            <w:shd w:val="clear" w:color="auto" w:fill="auto"/>
          </w:tcPr>
          <w:p w14:paraId="2B17C4E6" w14:textId="77777777" w:rsidR="00E507D4" w:rsidRPr="00F271B8" w:rsidRDefault="00E507D4" w:rsidP="00B95821">
            <w:pPr>
              <w:pStyle w:val="BodyText"/>
              <w:spacing w:before="100" w:after="100"/>
              <w:rPr>
                <w:b/>
              </w:rPr>
            </w:pPr>
            <w:r w:rsidRPr="00F271B8">
              <w:t>Hungary</w:t>
            </w:r>
          </w:p>
        </w:tc>
      </w:tr>
      <w:tr w:rsidR="00E507D4" w:rsidRPr="00F271B8" w14:paraId="0D04659E" w14:textId="77777777" w:rsidTr="00B95821">
        <w:tc>
          <w:tcPr>
            <w:tcW w:w="2385" w:type="dxa"/>
            <w:shd w:val="clear" w:color="auto" w:fill="auto"/>
          </w:tcPr>
          <w:p w14:paraId="1D78D355" w14:textId="77777777" w:rsidR="00E507D4" w:rsidRPr="00F271B8" w:rsidRDefault="00E507D4" w:rsidP="00B95821">
            <w:pPr>
              <w:pStyle w:val="BodyText"/>
              <w:spacing w:before="100" w:after="100"/>
              <w:rPr>
                <w:b/>
              </w:rPr>
            </w:pPr>
            <w:r w:rsidRPr="00F271B8">
              <w:t>Indonesia</w:t>
            </w:r>
          </w:p>
        </w:tc>
        <w:tc>
          <w:tcPr>
            <w:tcW w:w="2385" w:type="dxa"/>
            <w:shd w:val="clear" w:color="auto" w:fill="auto"/>
          </w:tcPr>
          <w:p w14:paraId="3F502DFC" w14:textId="77777777" w:rsidR="00E507D4" w:rsidRPr="00F271B8" w:rsidRDefault="00E507D4" w:rsidP="00B95821">
            <w:pPr>
              <w:pStyle w:val="BodyText"/>
              <w:spacing w:before="100" w:after="100"/>
              <w:rPr>
                <w:b/>
              </w:rPr>
            </w:pPr>
            <w:r w:rsidRPr="00F271B8">
              <w:t>India</w:t>
            </w:r>
          </w:p>
        </w:tc>
        <w:tc>
          <w:tcPr>
            <w:tcW w:w="2385" w:type="dxa"/>
            <w:shd w:val="clear" w:color="auto" w:fill="auto"/>
          </w:tcPr>
          <w:p w14:paraId="0200E8AE" w14:textId="77777777" w:rsidR="00E507D4" w:rsidRPr="00F271B8" w:rsidRDefault="00E507D4" w:rsidP="00B95821">
            <w:pPr>
              <w:pStyle w:val="BodyText"/>
              <w:spacing w:before="100" w:after="100"/>
              <w:rPr>
                <w:b/>
              </w:rPr>
            </w:pPr>
            <w:r w:rsidRPr="00F271B8">
              <w:t>Ireland</w:t>
            </w:r>
          </w:p>
        </w:tc>
        <w:tc>
          <w:tcPr>
            <w:tcW w:w="2385" w:type="dxa"/>
            <w:shd w:val="clear" w:color="auto" w:fill="auto"/>
          </w:tcPr>
          <w:p w14:paraId="77EAFD4D" w14:textId="77777777" w:rsidR="00E507D4" w:rsidRPr="00F271B8" w:rsidRDefault="00E507D4" w:rsidP="00B95821">
            <w:pPr>
              <w:pStyle w:val="BodyText"/>
              <w:spacing w:before="100" w:after="100"/>
              <w:rPr>
                <w:b/>
              </w:rPr>
            </w:pPr>
            <w:r w:rsidRPr="00F271B8">
              <w:t>Italy</w:t>
            </w:r>
          </w:p>
        </w:tc>
      </w:tr>
      <w:tr w:rsidR="00E507D4" w:rsidRPr="00F271B8" w14:paraId="2DDB7167" w14:textId="77777777" w:rsidTr="00B95821">
        <w:tc>
          <w:tcPr>
            <w:tcW w:w="2385" w:type="dxa"/>
            <w:shd w:val="clear" w:color="auto" w:fill="auto"/>
          </w:tcPr>
          <w:p w14:paraId="7CBB2581" w14:textId="77777777" w:rsidR="00E507D4" w:rsidRPr="00F271B8" w:rsidRDefault="00E507D4" w:rsidP="00B95821">
            <w:pPr>
              <w:pStyle w:val="BodyText"/>
              <w:spacing w:before="100" w:after="100"/>
              <w:rPr>
                <w:b/>
              </w:rPr>
            </w:pPr>
            <w:r w:rsidRPr="00F271B8">
              <w:t xml:space="preserve">Japan </w:t>
            </w:r>
          </w:p>
        </w:tc>
        <w:tc>
          <w:tcPr>
            <w:tcW w:w="2385" w:type="dxa"/>
            <w:shd w:val="clear" w:color="auto" w:fill="auto"/>
          </w:tcPr>
          <w:p w14:paraId="329AAE2A" w14:textId="77777777" w:rsidR="00E507D4" w:rsidRPr="00F271B8" w:rsidRDefault="00E507D4" w:rsidP="00B95821">
            <w:pPr>
              <w:pStyle w:val="BodyText"/>
              <w:spacing w:before="100" w:after="100"/>
              <w:rPr>
                <w:b/>
              </w:rPr>
            </w:pPr>
            <w:r w:rsidRPr="00F271B8">
              <w:t>Malaysia,</w:t>
            </w:r>
          </w:p>
        </w:tc>
        <w:tc>
          <w:tcPr>
            <w:tcW w:w="2385" w:type="dxa"/>
            <w:shd w:val="clear" w:color="auto" w:fill="auto"/>
          </w:tcPr>
          <w:p w14:paraId="7318551A" w14:textId="77777777" w:rsidR="00E507D4" w:rsidRPr="00F271B8" w:rsidRDefault="00E507D4" w:rsidP="00B95821">
            <w:pPr>
              <w:pStyle w:val="BodyText"/>
              <w:spacing w:before="100" w:after="100"/>
              <w:rPr>
                <w:b/>
              </w:rPr>
            </w:pPr>
            <w:r w:rsidRPr="00F271B8">
              <w:t>Netherlands</w:t>
            </w:r>
          </w:p>
        </w:tc>
        <w:tc>
          <w:tcPr>
            <w:tcW w:w="2385" w:type="dxa"/>
            <w:shd w:val="clear" w:color="auto" w:fill="auto"/>
          </w:tcPr>
          <w:p w14:paraId="0785AA1B" w14:textId="77777777" w:rsidR="00E507D4" w:rsidRPr="00F271B8" w:rsidRDefault="00E507D4" w:rsidP="00B95821">
            <w:pPr>
              <w:pStyle w:val="BodyText"/>
              <w:spacing w:before="100" w:after="100"/>
              <w:rPr>
                <w:b/>
              </w:rPr>
            </w:pPr>
            <w:r w:rsidRPr="00F271B8">
              <w:t>New Zealand</w:t>
            </w:r>
          </w:p>
        </w:tc>
      </w:tr>
      <w:tr w:rsidR="00E507D4" w:rsidRPr="00F271B8" w14:paraId="7872D97E" w14:textId="77777777" w:rsidTr="00B95821">
        <w:tc>
          <w:tcPr>
            <w:tcW w:w="2385" w:type="dxa"/>
            <w:shd w:val="clear" w:color="auto" w:fill="auto"/>
          </w:tcPr>
          <w:p w14:paraId="569A3A9B" w14:textId="77777777" w:rsidR="00E507D4" w:rsidRPr="00F271B8" w:rsidRDefault="00E507D4" w:rsidP="00B95821">
            <w:pPr>
              <w:pStyle w:val="BodyText"/>
              <w:spacing w:before="100" w:after="100"/>
              <w:rPr>
                <w:b/>
              </w:rPr>
            </w:pPr>
            <w:r w:rsidRPr="00F271B8">
              <w:t xml:space="preserve">Pakistan </w:t>
            </w:r>
          </w:p>
        </w:tc>
        <w:tc>
          <w:tcPr>
            <w:tcW w:w="2385" w:type="dxa"/>
            <w:shd w:val="clear" w:color="auto" w:fill="auto"/>
          </w:tcPr>
          <w:p w14:paraId="75C7435E" w14:textId="77777777" w:rsidR="00E507D4" w:rsidRPr="00F271B8" w:rsidRDefault="00E507D4" w:rsidP="00B95821">
            <w:pPr>
              <w:pStyle w:val="BodyText"/>
              <w:spacing w:before="100" w:after="100"/>
              <w:rPr>
                <w:b/>
              </w:rPr>
            </w:pPr>
            <w:r w:rsidRPr="00F271B8">
              <w:t>Philippines</w:t>
            </w:r>
          </w:p>
        </w:tc>
        <w:tc>
          <w:tcPr>
            <w:tcW w:w="2385" w:type="dxa"/>
            <w:shd w:val="clear" w:color="auto" w:fill="auto"/>
          </w:tcPr>
          <w:p w14:paraId="78705F09" w14:textId="77777777" w:rsidR="00E507D4" w:rsidRPr="00F271B8" w:rsidRDefault="00E507D4" w:rsidP="00B95821">
            <w:pPr>
              <w:pStyle w:val="BodyText"/>
              <w:spacing w:before="100" w:after="100"/>
              <w:rPr>
                <w:b/>
              </w:rPr>
            </w:pPr>
            <w:r w:rsidRPr="00F271B8">
              <w:t xml:space="preserve">Poland </w:t>
            </w:r>
          </w:p>
        </w:tc>
        <w:tc>
          <w:tcPr>
            <w:tcW w:w="2385" w:type="dxa"/>
            <w:shd w:val="clear" w:color="auto" w:fill="auto"/>
          </w:tcPr>
          <w:p w14:paraId="09FAE012" w14:textId="77777777" w:rsidR="00E507D4" w:rsidRPr="00F271B8" w:rsidRDefault="00E507D4" w:rsidP="00B95821">
            <w:pPr>
              <w:pStyle w:val="BodyText"/>
              <w:spacing w:before="100" w:after="100"/>
              <w:rPr>
                <w:b/>
              </w:rPr>
            </w:pPr>
            <w:r w:rsidRPr="00F271B8">
              <w:t>Singapore</w:t>
            </w:r>
          </w:p>
        </w:tc>
      </w:tr>
      <w:tr w:rsidR="00E507D4" w:rsidRPr="00F271B8" w14:paraId="523A8A87" w14:textId="77777777" w:rsidTr="00B95821">
        <w:tc>
          <w:tcPr>
            <w:tcW w:w="2385" w:type="dxa"/>
            <w:shd w:val="clear" w:color="auto" w:fill="auto"/>
          </w:tcPr>
          <w:p w14:paraId="690EB780" w14:textId="77777777" w:rsidR="00E507D4" w:rsidRPr="00F271B8" w:rsidRDefault="00E507D4" w:rsidP="00B95821">
            <w:pPr>
              <w:pStyle w:val="BodyText"/>
              <w:spacing w:before="100" w:after="100"/>
              <w:rPr>
                <w:b/>
              </w:rPr>
            </w:pPr>
            <w:r w:rsidRPr="00F271B8">
              <w:t xml:space="preserve">South Africa </w:t>
            </w:r>
          </w:p>
        </w:tc>
        <w:tc>
          <w:tcPr>
            <w:tcW w:w="2385" w:type="dxa"/>
            <w:shd w:val="clear" w:color="auto" w:fill="auto"/>
          </w:tcPr>
          <w:p w14:paraId="74A285BC" w14:textId="77777777" w:rsidR="00E507D4" w:rsidRPr="00F271B8" w:rsidRDefault="00E507D4" w:rsidP="00B95821">
            <w:pPr>
              <w:pStyle w:val="BodyText"/>
              <w:spacing w:before="100" w:after="100"/>
              <w:rPr>
                <w:b/>
              </w:rPr>
            </w:pPr>
            <w:r w:rsidRPr="00F271B8">
              <w:t>South Korea</w:t>
            </w:r>
          </w:p>
        </w:tc>
        <w:tc>
          <w:tcPr>
            <w:tcW w:w="2385" w:type="dxa"/>
            <w:shd w:val="clear" w:color="auto" w:fill="auto"/>
          </w:tcPr>
          <w:p w14:paraId="19F16E24" w14:textId="77777777" w:rsidR="00E507D4" w:rsidRPr="00F271B8" w:rsidRDefault="00E507D4" w:rsidP="00B95821">
            <w:pPr>
              <w:pStyle w:val="BodyText"/>
              <w:spacing w:before="100" w:after="100"/>
              <w:rPr>
                <w:b/>
              </w:rPr>
            </w:pPr>
            <w:r w:rsidRPr="00F271B8">
              <w:t xml:space="preserve">Taiwan </w:t>
            </w:r>
          </w:p>
        </w:tc>
        <w:tc>
          <w:tcPr>
            <w:tcW w:w="2385" w:type="dxa"/>
            <w:shd w:val="clear" w:color="auto" w:fill="auto"/>
          </w:tcPr>
          <w:p w14:paraId="5E1B23D5" w14:textId="77777777" w:rsidR="00E507D4" w:rsidRPr="00F271B8" w:rsidRDefault="00E507D4" w:rsidP="00B95821">
            <w:pPr>
              <w:pStyle w:val="BodyText"/>
              <w:spacing w:before="100" w:after="100"/>
              <w:rPr>
                <w:b/>
              </w:rPr>
            </w:pPr>
            <w:r w:rsidRPr="00F271B8">
              <w:t>Thailand</w:t>
            </w:r>
          </w:p>
        </w:tc>
      </w:tr>
      <w:tr w:rsidR="00E507D4" w:rsidRPr="00F271B8" w14:paraId="1B15FFFB" w14:textId="77777777" w:rsidTr="00B95821">
        <w:tc>
          <w:tcPr>
            <w:tcW w:w="2385" w:type="dxa"/>
            <w:shd w:val="clear" w:color="auto" w:fill="auto"/>
          </w:tcPr>
          <w:p w14:paraId="2AE14951" w14:textId="77777777" w:rsidR="00E507D4" w:rsidRPr="00F271B8" w:rsidRDefault="00E507D4" w:rsidP="00B95821">
            <w:pPr>
              <w:pStyle w:val="BodyText"/>
              <w:spacing w:before="100" w:after="100"/>
              <w:rPr>
                <w:b/>
              </w:rPr>
            </w:pPr>
            <w:r w:rsidRPr="00F271B8">
              <w:t>Turkey</w:t>
            </w:r>
          </w:p>
        </w:tc>
        <w:tc>
          <w:tcPr>
            <w:tcW w:w="2385" w:type="dxa"/>
            <w:shd w:val="clear" w:color="auto" w:fill="auto"/>
          </w:tcPr>
          <w:p w14:paraId="1FC66DF6" w14:textId="77777777" w:rsidR="00E507D4" w:rsidRPr="00F271B8" w:rsidRDefault="00E507D4" w:rsidP="00B95821">
            <w:pPr>
              <w:pStyle w:val="BodyText"/>
              <w:spacing w:before="100" w:after="100"/>
              <w:rPr>
                <w:b/>
              </w:rPr>
            </w:pPr>
            <w:r w:rsidRPr="00F271B8">
              <w:t>United Kingdom</w:t>
            </w:r>
          </w:p>
        </w:tc>
        <w:tc>
          <w:tcPr>
            <w:tcW w:w="2385" w:type="dxa"/>
            <w:shd w:val="clear" w:color="auto" w:fill="auto"/>
          </w:tcPr>
          <w:p w14:paraId="1A753F6D" w14:textId="77777777" w:rsidR="00E507D4" w:rsidRPr="00F271B8" w:rsidRDefault="00E507D4" w:rsidP="00B95821">
            <w:pPr>
              <w:pStyle w:val="BodyText"/>
              <w:spacing w:before="100" w:after="100"/>
              <w:rPr>
                <w:b/>
              </w:rPr>
            </w:pPr>
            <w:r w:rsidRPr="00F271B8">
              <w:t xml:space="preserve">USA </w:t>
            </w:r>
          </w:p>
        </w:tc>
        <w:tc>
          <w:tcPr>
            <w:tcW w:w="2385" w:type="dxa"/>
            <w:shd w:val="clear" w:color="auto" w:fill="auto"/>
          </w:tcPr>
          <w:p w14:paraId="1F0EEFE6" w14:textId="77777777" w:rsidR="00E507D4" w:rsidRPr="00F271B8" w:rsidRDefault="00E507D4" w:rsidP="00B95821">
            <w:pPr>
              <w:pStyle w:val="BodyText"/>
              <w:spacing w:before="100" w:after="100"/>
              <w:rPr>
                <w:b/>
              </w:rPr>
            </w:pPr>
            <w:r w:rsidRPr="00F271B8">
              <w:t>Vietnam</w:t>
            </w:r>
          </w:p>
        </w:tc>
      </w:tr>
    </w:tbl>
    <w:p w14:paraId="360A0737" w14:textId="77777777" w:rsidR="00E507D4" w:rsidRPr="00F271B8" w:rsidRDefault="00E507D4" w:rsidP="00E507D4">
      <w:pPr>
        <w:pStyle w:val="Heading6"/>
        <w:spacing w:before="240"/>
        <w:ind w:left="0" w:firstLine="0"/>
        <w:rPr>
          <w:lang w:val="en-AU"/>
        </w:rPr>
      </w:pPr>
      <w:bookmarkStart w:id="1874" w:name="_Toc455146829"/>
      <w:bookmarkStart w:id="1875" w:name="_Toc508361927"/>
      <w:r w:rsidRPr="00F271B8">
        <w:rPr>
          <w:lang w:val="en-AU"/>
        </w:rPr>
        <w:t>My Account</w:t>
      </w:r>
      <w:bookmarkEnd w:id="1874"/>
      <w:bookmarkEnd w:id="1875"/>
    </w:p>
    <w:p w14:paraId="39C3AA50" w14:textId="77777777" w:rsidR="00E507D4" w:rsidRPr="00F271B8" w:rsidRDefault="00E507D4" w:rsidP="00E507D4">
      <w:pPr>
        <w:pStyle w:val="BodyText"/>
        <w:ind w:left="720"/>
        <w:rPr>
          <w:lang w:val="en-AU"/>
        </w:rPr>
      </w:pPr>
      <w:r w:rsidRPr="00F271B8">
        <w:rPr>
          <w:lang w:val="en-AU"/>
        </w:rPr>
        <w:lastRenderedPageBreak/>
        <w:t xml:space="preserve">Services that share data may have a service login to My Account which will display all of the service numbers contributing to or using the shared data pool on </w:t>
      </w:r>
      <w:r w:rsidRPr="00F271B8">
        <w:rPr>
          <w:i/>
          <w:lang w:val="en-AU"/>
        </w:rPr>
        <w:t xml:space="preserve">your </w:t>
      </w:r>
      <w:r w:rsidRPr="00F271B8">
        <w:rPr>
          <w:lang w:val="en-AU"/>
        </w:rPr>
        <w:t>account and the amount of data each service has used</w:t>
      </w:r>
      <w:r>
        <w:rPr>
          <w:lang w:val="en-AU"/>
        </w:rPr>
        <w:t xml:space="preserve">. </w:t>
      </w:r>
      <w:r w:rsidRPr="00F271B8">
        <w:rPr>
          <w:lang w:val="en-AU"/>
        </w:rPr>
        <w:t xml:space="preserve">If </w:t>
      </w:r>
      <w:r w:rsidRPr="00F271B8">
        <w:rPr>
          <w:i/>
          <w:lang w:val="en-AU"/>
        </w:rPr>
        <w:t>you</w:t>
      </w:r>
      <w:r w:rsidRPr="00F271B8">
        <w:rPr>
          <w:lang w:val="en-AU"/>
        </w:rPr>
        <w:t xml:space="preserve"> have more than 6 services on </w:t>
      </w:r>
      <w:r w:rsidRPr="00F271B8">
        <w:rPr>
          <w:i/>
          <w:lang w:val="en-AU"/>
        </w:rPr>
        <w:t>your</w:t>
      </w:r>
      <w:r w:rsidRPr="00F271B8">
        <w:rPr>
          <w:lang w:val="en-AU"/>
        </w:rPr>
        <w:t xml:space="preserve"> account, My Account may not be suitable for viewing usage and managing </w:t>
      </w:r>
      <w:r w:rsidRPr="00F271B8">
        <w:rPr>
          <w:i/>
          <w:lang w:val="en-AU"/>
        </w:rPr>
        <w:t xml:space="preserve">your </w:t>
      </w:r>
      <w:r w:rsidRPr="00F271B8">
        <w:rPr>
          <w:lang w:val="en-AU"/>
        </w:rPr>
        <w:t>usage alerts.</w:t>
      </w:r>
    </w:p>
    <w:p w14:paraId="22699708" w14:textId="77777777" w:rsidR="00E507D4" w:rsidRPr="00F271B8" w:rsidRDefault="00E507D4" w:rsidP="00E507D4">
      <w:pPr>
        <w:pStyle w:val="Heading6"/>
        <w:ind w:left="0" w:firstLine="0"/>
        <w:rPr>
          <w:lang w:val="en-AU"/>
        </w:rPr>
      </w:pPr>
      <w:bookmarkStart w:id="1876" w:name="_Toc455146830"/>
      <w:bookmarkStart w:id="1877" w:name="_Toc508361928"/>
      <w:r w:rsidRPr="00F271B8">
        <w:rPr>
          <w:lang w:val="en-AU"/>
        </w:rPr>
        <w:t xml:space="preserve">What happens if the </w:t>
      </w:r>
      <w:r w:rsidRPr="00F271B8">
        <w:rPr>
          <w:i/>
          <w:lang w:val="en-AU"/>
        </w:rPr>
        <w:t xml:space="preserve">service </w:t>
      </w:r>
      <w:r w:rsidRPr="00F271B8">
        <w:rPr>
          <w:lang w:val="en-AU"/>
        </w:rPr>
        <w:t>is</w:t>
      </w:r>
      <w:r w:rsidRPr="00F271B8">
        <w:rPr>
          <w:i/>
          <w:lang w:val="en-AU"/>
        </w:rPr>
        <w:t xml:space="preserve"> cancelled </w:t>
      </w:r>
      <w:r w:rsidRPr="00F271B8">
        <w:rPr>
          <w:lang w:val="en-AU"/>
        </w:rPr>
        <w:t>early?</w:t>
      </w:r>
      <w:bookmarkEnd w:id="1876"/>
      <w:bookmarkEnd w:id="1877"/>
      <w:r w:rsidRPr="00F271B8">
        <w:rPr>
          <w:lang w:val="en-AU"/>
        </w:rPr>
        <w:t xml:space="preserve"> </w:t>
      </w:r>
    </w:p>
    <w:p w14:paraId="47D3CAD3" w14:textId="77777777" w:rsidR="00E507D4" w:rsidRPr="00F271B8" w:rsidRDefault="00E507D4" w:rsidP="00E507D4">
      <w:pPr>
        <w:pStyle w:val="Heading7"/>
        <w:rPr>
          <w:lang w:val="en-AU"/>
        </w:rPr>
      </w:pPr>
      <w:r w:rsidRPr="00F271B8">
        <w:rPr>
          <w:lang w:val="en-AU"/>
        </w:rPr>
        <w:t>If the</w:t>
      </w:r>
      <w:r w:rsidRPr="00F271B8">
        <w:rPr>
          <w:i/>
          <w:lang w:val="en-AU"/>
        </w:rPr>
        <w:t xml:space="preserve"> service</w:t>
      </w:r>
      <w:r w:rsidRPr="00F271B8">
        <w:rPr>
          <w:lang w:val="en-AU"/>
        </w:rPr>
        <w:t xml:space="preserve"> is</w:t>
      </w:r>
      <w:r w:rsidRPr="00F271B8">
        <w:rPr>
          <w:i/>
          <w:lang w:val="en-AU"/>
        </w:rPr>
        <w:t xml:space="preserve"> cancelled </w:t>
      </w:r>
      <w:r w:rsidRPr="00F271B8">
        <w:rPr>
          <w:lang w:val="en-AU"/>
        </w:rPr>
        <w:t xml:space="preserve">before the end of </w:t>
      </w:r>
      <w:r w:rsidRPr="00F271B8">
        <w:rPr>
          <w:i/>
          <w:lang w:val="en-AU"/>
        </w:rPr>
        <w:t xml:space="preserve">your minimum term, you </w:t>
      </w:r>
      <w:r w:rsidRPr="00F271B8">
        <w:rPr>
          <w:lang w:val="en-AU"/>
        </w:rPr>
        <w:t xml:space="preserve">will be required to pay </w:t>
      </w:r>
      <w:r w:rsidRPr="00F271B8">
        <w:rPr>
          <w:i/>
          <w:lang w:val="en-AU"/>
        </w:rPr>
        <w:t>us</w:t>
      </w:r>
      <w:r w:rsidRPr="00F271B8">
        <w:rPr>
          <w:lang w:val="en-AU"/>
        </w:rPr>
        <w:t>:</w:t>
      </w:r>
    </w:p>
    <w:p w14:paraId="2318CDFB" w14:textId="77777777" w:rsidR="00E507D4" w:rsidRPr="00F271B8" w:rsidRDefault="00E507D4" w:rsidP="00E507D4">
      <w:pPr>
        <w:pStyle w:val="Heading8"/>
        <w:rPr>
          <w:lang w:val="en-AU"/>
        </w:rPr>
      </w:pPr>
      <w:r w:rsidRPr="00F271B8">
        <w:rPr>
          <w:lang w:val="en-AU"/>
        </w:rPr>
        <w:t xml:space="preserve">any usage charges incurred up to, and including, the </w:t>
      </w:r>
      <w:r w:rsidRPr="00F271B8">
        <w:rPr>
          <w:i/>
          <w:lang w:val="en-AU"/>
        </w:rPr>
        <w:t xml:space="preserve">cancellation date; </w:t>
      </w:r>
      <w:r w:rsidRPr="00F271B8">
        <w:rPr>
          <w:lang w:val="en-AU"/>
        </w:rPr>
        <w:t>plus</w:t>
      </w:r>
    </w:p>
    <w:p w14:paraId="09A2DB0C" w14:textId="77777777" w:rsidR="00E507D4" w:rsidRPr="00F271B8" w:rsidRDefault="00E507D4" w:rsidP="00E507D4">
      <w:pPr>
        <w:pStyle w:val="Heading8"/>
        <w:rPr>
          <w:lang w:val="en-AU"/>
        </w:rPr>
      </w:pPr>
      <w:r w:rsidRPr="00F271B8">
        <w:rPr>
          <w:lang w:val="en-AU"/>
        </w:rPr>
        <w:t xml:space="preserve">the </w:t>
      </w:r>
      <w:r w:rsidRPr="00F271B8">
        <w:rPr>
          <w:i/>
          <w:lang w:val="en-AU"/>
        </w:rPr>
        <w:t>cancellation fees</w:t>
      </w:r>
      <w:r w:rsidRPr="00F271B8">
        <w:rPr>
          <w:lang w:val="en-AU"/>
        </w:rPr>
        <w:t xml:space="preserve"> set out in paragraph (b) below (unless under clause 2A of the </w:t>
      </w:r>
      <w:r w:rsidRPr="00F271B8">
        <w:rPr>
          <w:i/>
          <w:lang w:val="en-AU"/>
        </w:rPr>
        <w:t>consumer terms</w:t>
      </w:r>
      <w:r w:rsidRPr="00F271B8">
        <w:rPr>
          <w:lang w:val="en-AU"/>
        </w:rPr>
        <w:t xml:space="preserve">, </w:t>
      </w:r>
      <w:r w:rsidRPr="00F271B8">
        <w:rPr>
          <w:i/>
          <w:lang w:val="en-AU"/>
        </w:rPr>
        <w:t>you</w:t>
      </w:r>
      <w:r w:rsidRPr="00F271B8">
        <w:rPr>
          <w:lang w:val="en-AU"/>
        </w:rPr>
        <w:t xml:space="preserve"> are entitled to </w:t>
      </w:r>
      <w:r w:rsidRPr="00F271B8">
        <w:rPr>
          <w:i/>
          <w:lang w:val="en-AU"/>
        </w:rPr>
        <w:t>cancel the service</w:t>
      </w:r>
      <w:r w:rsidRPr="00F271B8">
        <w:rPr>
          <w:lang w:val="en-AU"/>
        </w:rPr>
        <w:t xml:space="preserve"> without incurring a </w:t>
      </w:r>
      <w:r w:rsidRPr="00F271B8">
        <w:rPr>
          <w:i/>
          <w:lang w:val="en-AU"/>
        </w:rPr>
        <w:t>cancellation fee</w:t>
      </w:r>
      <w:r w:rsidRPr="00F271B8">
        <w:rPr>
          <w:lang w:val="en-AU"/>
        </w:rPr>
        <w:t>); plus</w:t>
      </w:r>
    </w:p>
    <w:p w14:paraId="47BA0C10" w14:textId="77777777" w:rsidR="00E507D4" w:rsidRPr="00F271B8" w:rsidRDefault="00E507D4" w:rsidP="00E507D4">
      <w:pPr>
        <w:pStyle w:val="Heading8"/>
        <w:rPr>
          <w:lang w:val="en-AU"/>
        </w:rPr>
      </w:pPr>
      <w:r w:rsidRPr="00F271B8">
        <w:rPr>
          <w:lang w:val="en-AU"/>
        </w:rPr>
        <w:t xml:space="preserve">the sum of unpaid </w:t>
      </w:r>
      <w:r w:rsidRPr="00F271B8">
        <w:rPr>
          <w:i/>
          <w:lang w:val="en-AU"/>
        </w:rPr>
        <w:t xml:space="preserve">equipment charges </w:t>
      </w:r>
      <w:r w:rsidRPr="00F271B8">
        <w:rPr>
          <w:lang w:val="en-AU"/>
        </w:rPr>
        <w:t xml:space="preserve">owing on </w:t>
      </w:r>
      <w:r w:rsidRPr="00F271B8">
        <w:rPr>
          <w:i/>
          <w:lang w:val="en-AU"/>
        </w:rPr>
        <w:t xml:space="preserve">your mobile phone </w:t>
      </w:r>
      <w:r w:rsidRPr="00F271B8">
        <w:rPr>
          <w:lang w:val="en-AU"/>
        </w:rPr>
        <w:t xml:space="preserve">under the </w:t>
      </w:r>
      <w:r w:rsidRPr="00F271B8">
        <w:rPr>
          <w:i/>
          <w:lang w:val="en-AU"/>
        </w:rPr>
        <w:t xml:space="preserve">mobile equipment payment plan </w:t>
      </w:r>
      <w:r w:rsidRPr="00F271B8">
        <w:rPr>
          <w:lang w:val="en-AU"/>
        </w:rPr>
        <w:t>(if any)</w:t>
      </w:r>
      <w:r>
        <w:rPr>
          <w:lang w:val="en-AU"/>
        </w:rPr>
        <w:t xml:space="preserve">. </w:t>
      </w:r>
      <w:r w:rsidRPr="00F271B8">
        <w:rPr>
          <w:lang w:val="en-AU"/>
        </w:rPr>
        <w:t xml:space="preserve">Note, any Handset Credit </w:t>
      </w:r>
      <w:r w:rsidRPr="00F271B8">
        <w:rPr>
          <w:i/>
          <w:lang w:val="en-AU"/>
        </w:rPr>
        <w:t xml:space="preserve">you </w:t>
      </w:r>
      <w:r w:rsidRPr="00F271B8">
        <w:rPr>
          <w:lang w:val="en-AU"/>
        </w:rPr>
        <w:t>were entitled to will be forfeited (see 3.8 above).</w:t>
      </w:r>
    </w:p>
    <w:p w14:paraId="476D9E33" w14:textId="77777777" w:rsidR="00E507D4" w:rsidRPr="00F271B8" w:rsidRDefault="00E507D4" w:rsidP="00E507D4">
      <w:pPr>
        <w:pStyle w:val="Heading7"/>
        <w:rPr>
          <w:lang w:val="en-AU"/>
        </w:rPr>
      </w:pPr>
      <w:r w:rsidRPr="00F271B8">
        <w:rPr>
          <w:lang w:val="en-AU"/>
        </w:rPr>
        <w:t xml:space="preserve">The </w:t>
      </w:r>
      <w:r w:rsidRPr="00F271B8">
        <w:rPr>
          <w:i/>
          <w:lang w:val="en-AU"/>
        </w:rPr>
        <w:t>cancellation fee</w:t>
      </w:r>
      <w:r w:rsidRPr="00F271B8">
        <w:rPr>
          <w:lang w:val="en-AU"/>
        </w:rPr>
        <w:t xml:space="preserve"> is calculated as the following amounts, multiplied by the months remaining on </w:t>
      </w:r>
      <w:r w:rsidRPr="00F271B8">
        <w:rPr>
          <w:i/>
          <w:lang w:val="en-AU"/>
        </w:rPr>
        <w:t>your minimum term</w:t>
      </w:r>
      <w:r w:rsidRPr="00F271B8">
        <w:rPr>
          <w:lang w:val="en-AU"/>
        </w:rPr>
        <w:t>:</w:t>
      </w:r>
    </w:p>
    <w:tbl>
      <w:tblPr>
        <w:tblW w:w="7349"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74"/>
        <w:gridCol w:w="3675"/>
      </w:tblGrid>
      <w:tr w:rsidR="00E507D4" w:rsidRPr="00F271B8" w14:paraId="6BB364C1" w14:textId="77777777" w:rsidTr="00B95821">
        <w:trPr>
          <w:trHeight w:val="530"/>
        </w:trPr>
        <w:tc>
          <w:tcPr>
            <w:tcW w:w="3674" w:type="dxa"/>
            <w:shd w:val="clear" w:color="auto" w:fill="auto"/>
            <w:vAlign w:val="center"/>
          </w:tcPr>
          <w:p w14:paraId="535AE2F1" w14:textId="77777777" w:rsidR="00E507D4" w:rsidRPr="00F271B8" w:rsidRDefault="00E507D4" w:rsidP="00B95821">
            <w:pPr>
              <w:pStyle w:val="BodyText"/>
              <w:spacing w:before="100" w:after="100"/>
            </w:pPr>
          </w:p>
        </w:tc>
        <w:tc>
          <w:tcPr>
            <w:tcW w:w="3675" w:type="dxa"/>
            <w:vAlign w:val="center"/>
          </w:tcPr>
          <w:p w14:paraId="60C11E47" w14:textId="77777777" w:rsidR="00E507D4" w:rsidRPr="00F271B8" w:rsidRDefault="00E507D4" w:rsidP="00B95821">
            <w:pPr>
              <w:pStyle w:val="BodyText"/>
              <w:spacing w:before="100" w:after="100"/>
              <w:jc w:val="center"/>
              <w:rPr>
                <w:b/>
              </w:rPr>
            </w:pPr>
            <w:r w:rsidRPr="00F271B8">
              <w:rPr>
                <w:b/>
              </w:rPr>
              <w:t>$30 My Plan Business Essentials</w:t>
            </w:r>
          </w:p>
        </w:tc>
      </w:tr>
      <w:tr w:rsidR="00E507D4" w:rsidRPr="00F271B8" w14:paraId="7E8650AC" w14:textId="77777777" w:rsidTr="00B95821">
        <w:trPr>
          <w:trHeight w:val="275"/>
        </w:trPr>
        <w:tc>
          <w:tcPr>
            <w:tcW w:w="3674" w:type="dxa"/>
            <w:shd w:val="clear" w:color="auto" w:fill="auto"/>
            <w:vAlign w:val="center"/>
          </w:tcPr>
          <w:p w14:paraId="5C2D2D95" w14:textId="77777777" w:rsidR="00E507D4" w:rsidRPr="00F271B8" w:rsidRDefault="00E507D4" w:rsidP="00B95821">
            <w:pPr>
              <w:pStyle w:val="BodyText"/>
              <w:spacing w:before="100" w:after="100"/>
              <w:rPr>
                <w:b/>
              </w:rPr>
            </w:pPr>
            <w:r w:rsidRPr="00F271B8">
              <w:rPr>
                <w:b/>
                <w:bCs/>
              </w:rPr>
              <w:t xml:space="preserve">Cancellation Fee </w:t>
            </w:r>
          </w:p>
        </w:tc>
        <w:tc>
          <w:tcPr>
            <w:tcW w:w="3675" w:type="dxa"/>
            <w:vAlign w:val="center"/>
          </w:tcPr>
          <w:p w14:paraId="4C3A9581" w14:textId="77777777" w:rsidR="00E507D4" w:rsidRPr="00F271B8" w:rsidRDefault="00E507D4" w:rsidP="00B95821">
            <w:pPr>
              <w:pStyle w:val="BodyText"/>
              <w:spacing w:before="100" w:after="100"/>
              <w:jc w:val="center"/>
            </w:pPr>
            <w:r w:rsidRPr="00F271B8">
              <w:t>$7.92 x Months remaining</w:t>
            </w:r>
          </w:p>
        </w:tc>
      </w:tr>
      <w:tr w:rsidR="00E507D4" w:rsidRPr="00F271B8" w14:paraId="09505CA1" w14:textId="77777777" w:rsidTr="00B95821">
        <w:trPr>
          <w:trHeight w:val="275"/>
        </w:trPr>
        <w:tc>
          <w:tcPr>
            <w:tcW w:w="3674" w:type="dxa"/>
            <w:shd w:val="clear" w:color="auto" w:fill="auto"/>
            <w:vAlign w:val="center"/>
          </w:tcPr>
          <w:p w14:paraId="01D1DC63" w14:textId="77777777" w:rsidR="00E507D4" w:rsidRPr="00F271B8" w:rsidRDefault="00E507D4" w:rsidP="00B95821">
            <w:pPr>
              <w:pStyle w:val="BodyText"/>
              <w:spacing w:before="100" w:after="100"/>
              <w:rPr>
                <w:b/>
                <w:bCs/>
              </w:rPr>
            </w:pPr>
            <w:r w:rsidRPr="00F271B8">
              <w:rPr>
                <w:b/>
                <w:bCs/>
              </w:rPr>
              <w:t>Maximum Cancellation Fee</w:t>
            </w:r>
          </w:p>
        </w:tc>
        <w:tc>
          <w:tcPr>
            <w:tcW w:w="3675" w:type="dxa"/>
            <w:vAlign w:val="center"/>
          </w:tcPr>
          <w:p w14:paraId="6B0065DA" w14:textId="77777777" w:rsidR="00E507D4" w:rsidRPr="00F271B8" w:rsidRDefault="00E507D4" w:rsidP="00B95821">
            <w:pPr>
              <w:pStyle w:val="BodyText"/>
              <w:spacing w:before="100" w:after="100"/>
              <w:jc w:val="center"/>
            </w:pPr>
            <w:r w:rsidRPr="00F271B8">
              <w:t>$190</w:t>
            </w:r>
          </w:p>
        </w:tc>
      </w:tr>
    </w:tbl>
    <w:p w14:paraId="6AFE3D6A" w14:textId="77777777" w:rsidR="00E507D4" w:rsidRPr="00F271B8" w:rsidRDefault="00E507D4" w:rsidP="00E507D4"/>
    <w:p w14:paraId="3686FCCD" w14:textId="77777777" w:rsidR="00E507D4" w:rsidRPr="00F271B8" w:rsidRDefault="00E507D4" w:rsidP="00E507D4">
      <w:pPr>
        <w:pStyle w:val="Heading7"/>
        <w:rPr>
          <w:szCs w:val="20"/>
          <w:lang w:val="en-AU"/>
        </w:rPr>
      </w:pPr>
      <w:r w:rsidRPr="00F271B8">
        <w:rPr>
          <w:szCs w:val="20"/>
          <w:lang w:val="en-AU"/>
        </w:rPr>
        <w:t xml:space="preserve">If </w:t>
      </w:r>
      <w:r w:rsidRPr="00F271B8">
        <w:rPr>
          <w:i/>
          <w:szCs w:val="20"/>
          <w:lang w:val="en-AU"/>
        </w:rPr>
        <w:t>your</w:t>
      </w:r>
      <w:r w:rsidRPr="00F271B8">
        <w:rPr>
          <w:szCs w:val="20"/>
          <w:lang w:val="en-AU"/>
        </w:rPr>
        <w:t xml:space="preserve"> My Plan Business Essentials is </w:t>
      </w:r>
      <w:r w:rsidRPr="00F271B8">
        <w:rPr>
          <w:i/>
          <w:szCs w:val="20"/>
          <w:lang w:val="en-AU"/>
        </w:rPr>
        <w:t>cancelled</w:t>
      </w:r>
      <w:r w:rsidRPr="00F271B8">
        <w:rPr>
          <w:szCs w:val="20"/>
          <w:lang w:val="en-AU"/>
        </w:rPr>
        <w:t xml:space="preserve">, </w:t>
      </w:r>
      <w:r w:rsidRPr="00F271B8">
        <w:rPr>
          <w:i/>
          <w:szCs w:val="20"/>
          <w:lang w:val="en-AU"/>
        </w:rPr>
        <w:t>your</w:t>
      </w:r>
      <w:r w:rsidRPr="00F271B8">
        <w:rPr>
          <w:szCs w:val="20"/>
          <w:lang w:val="en-AU"/>
        </w:rPr>
        <w:t xml:space="preserve"> Shared Data Plan(s) may also be </w:t>
      </w:r>
      <w:r w:rsidRPr="00F271B8">
        <w:rPr>
          <w:i/>
          <w:szCs w:val="20"/>
          <w:lang w:val="en-AU"/>
        </w:rPr>
        <w:t>cancelled</w:t>
      </w:r>
      <w:r>
        <w:rPr>
          <w:szCs w:val="20"/>
          <w:lang w:val="en-AU"/>
        </w:rPr>
        <w:t xml:space="preserve">. </w:t>
      </w:r>
      <w:r w:rsidRPr="00F271B8">
        <w:rPr>
          <w:szCs w:val="20"/>
          <w:lang w:val="en-AU"/>
        </w:rPr>
        <w:t xml:space="preserve">There are no </w:t>
      </w:r>
      <w:r w:rsidRPr="00F271B8">
        <w:rPr>
          <w:i/>
          <w:szCs w:val="20"/>
          <w:lang w:val="en-AU"/>
        </w:rPr>
        <w:t>cancellation fees</w:t>
      </w:r>
      <w:r w:rsidRPr="00F271B8">
        <w:rPr>
          <w:szCs w:val="20"/>
          <w:lang w:val="en-AU"/>
        </w:rPr>
        <w:t xml:space="preserve"> for the Shared Data Plan, however if </w:t>
      </w:r>
      <w:r w:rsidRPr="00F271B8">
        <w:rPr>
          <w:i/>
          <w:szCs w:val="20"/>
          <w:lang w:val="en-AU"/>
        </w:rPr>
        <w:t>you</w:t>
      </w:r>
      <w:r w:rsidRPr="00F271B8">
        <w:rPr>
          <w:szCs w:val="20"/>
          <w:lang w:val="en-AU"/>
        </w:rPr>
        <w:t xml:space="preserve"> purchased a </w:t>
      </w:r>
      <w:r w:rsidRPr="00F271B8">
        <w:rPr>
          <w:i/>
          <w:szCs w:val="20"/>
          <w:lang w:val="en-AU"/>
        </w:rPr>
        <w:t>device</w:t>
      </w:r>
      <w:r w:rsidRPr="00F271B8">
        <w:rPr>
          <w:szCs w:val="20"/>
          <w:lang w:val="en-AU"/>
        </w:rPr>
        <w:t xml:space="preserve"> </w:t>
      </w:r>
      <w:r w:rsidRPr="00F271B8">
        <w:rPr>
          <w:i/>
          <w:szCs w:val="20"/>
          <w:lang w:val="en-AU"/>
        </w:rPr>
        <w:t>you</w:t>
      </w:r>
      <w:r w:rsidRPr="00F271B8">
        <w:rPr>
          <w:szCs w:val="20"/>
          <w:lang w:val="en-AU"/>
        </w:rPr>
        <w:t xml:space="preserve"> need to pay the sum of any remaining </w:t>
      </w:r>
      <w:r w:rsidRPr="00F271B8">
        <w:rPr>
          <w:i/>
          <w:szCs w:val="20"/>
          <w:lang w:val="en-AU"/>
        </w:rPr>
        <w:t xml:space="preserve">equipment charges </w:t>
      </w:r>
      <w:r w:rsidRPr="00F271B8">
        <w:rPr>
          <w:szCs w:val="20"/>
          <w:lang w:val="en-AU"/>
        </w:rPr>
        <w:t xml:space="preserve">owing on </w:t>
      </w:r>
      <w:r w:rsidRPr="00F271B8">
        <w:rPr>
          <w:i/>
          <w:szCs w:val="20"/>
          <w:lang w:val="en-AU"/>
        </w:rPr>
        <w:t xml:space="preserve">your device </w:t>
      </w:r>
      <w:r w:rsidRPr="00F271B8">
        <w:rPr>
          <w:szCs w:val="20"/>
          <w:lang w:val="en-AU"/>
        </w:rPr>
        <w:t xml:space="preserve">under the </w:t>
      </w:r>
      <w:r w:rsidRPr="00F271B8">
        <w:rPr>
          <w:i/>
          <w:szCs w:val="20"/>
          <w:lang w:val="en-AU"/>
        </w:rPr>
        <w:t xml:space="preserve">mobile equipment payment plan </w:t>
      </w:r>
      <w:r w:rsidRPr="00F271B8">
        <w:rPr>
          <w:szCs w:val="20"/>
          <w:lang w:val="en-AU"/>
        </w:rPr>
        <w:t xml:space="preserve">(see </w:t>
      </w:r>
      <w:hyperlink r:id="rId818" w:history="1">
        <w:r w:rsidRPr="00F271B8">
          <w:rPr>
            <w:rStyle w:val="Hyperlink"/>
            <w:i/>
            <w:szCs w:val="20"/>
            <w:lang w:val="en-AU"/>
          </w:rPr>
          <w:t>Appendix D</w:t>
        </w:r>
      </w:hyperlink>
      <w:r w:rsidRPr="00F271B8">
        <w:rPr>
          <w:szCs w:val="20"/>
          <w:lang w:val="en-AU"/>
        </w:rPr>
        <w:t>).</w:t>
      </w:r>
    </w:p>
    <w:p w14:paraId="739D1086" w14:textId="77777777" w:rsidR="00E507D4" w:rsidRPr="00F271B8" w:rsidRDefault="00E507D4" w:rsidP="00E507D4">
      <w:pPr>
        <w:pStyle w:val="BodyText"/>
        <w:ind w:left="720"/>
        <w:rPr>
          <w:lang w:val="en-AU"/>
        </w:rPr>
      </w:pPr>
      <w:r w:rsidRPr="00F271B8">
        <w:rPr>
          <w:lang w:val="en-AU"/>
        </w:rPr>
        <w:t xml:space="preserve">If </w:t>
      </w:r>
      <w:r w:rsidRPr="00F271B8">
        <w:rPr>
          <w:i/>
          <w:lang w:val="en-AU"/>
        </w:rPr>
        <w:t xml:space="preserve">your </w:t>
      </w:r>
      <w:r w:rsidRPr="00F271B8">
        <w:rPr>
          <w:lang w:val="en-AU"/>
        </w:rPr>
        <w:t xml:space="preserve">Shared Data Plan is not </w:t>
      </w:r>
      <w:r w:rsidRPr="00F271B8">
        <w:rPr>
          <w:i/>
          <w:lang w:val="en-AU"/>
        </w:rPr>
        <w:t>cancelled</w:t>
      </w:r>
      <w:r w:rsidRPr="00F271B8">
        <w:rPr>
          <w:lang w:val="en-AU"/>
        </w:rPr>
        <w:t xml:space="preserve">, </w:t>
      </w:r>
      <w:r w:rsidRPr="00F271B8">
        <w:rPr>
          <w:i/>
          <w:lang w:val="en-AU"/>
        </w:rPr>
        <w:t>you</w:t>
      </w:r>
      <w:r w:rsidRPr="00F271B8">
        <w:rPr>
          <w:lang w:val="en-AU"/>
        </w:rPr>
        <w:t xml:space="preserve"> will be charged $10 per 1GB within Australia, up to 150GB (per account) in a billing month</w:t>
      </w:r>
      <w:r>
        <w:rPr>
          <w:lang w:val="en-AU"/>
        </w:rPr>
        <w:t xml:space="preserve">.  </w:t>
      </w:r>
      <w:r w:rsidRPr="00F271B8">
        <w:rPr>
          <w:lang w:val="en-AU"/>
        </w:rPr>
        <w:t>Your service/s may then be restricted or we may continue to charge you at these rates</w:t>
      </w:r>
      <w:r>
        <w:rPr>
          <w:lang w:val="en-AU"/>
        </w:rPr>
        <w:t xml:space="preserve">. </w:t>
      </w:r>
      <w:bookmarkStart w:id="1878" w:name="_Toc108595473"/>
      <w:bookmarkStart w:id="1879" w:name="_Toc108595691"/>
      <w:bookmarkStart w:id="1880" w:name="_Toc110315270"/>
      <w:bookmarkStart w:id="1881" w:name="_Toc115859871"/>
      <w:bookmarkStart w:id="1882" w:name="_Toc108595474"/>
      <w:bookmarkStart w:id="1883" w:name="_Toc108595692"/>
      <w:bookmarkStart w:id="1884" w:name="_Toc110315271"/>
      <w:bookmarkStart w:id="1885" w:name="_Toc115859872"/>
      <w:bookmarkStart w:id="1886" w:name="_Toc108595475"/>
      <w:bookmarkStart w:id="1887" w:name="_Toc108595693"/>
      <w:bookmarkStart w:id="1888" w:name="_Toc110315272"/>
      <w:bookmarkStart w:id="1889" w:name="_Toc115859873"/>
      <w:bookmarkStart w:id="1890" w:name="_Toc108595482"/>
      <w:bookmarkStart w:id="1891" w:name="_Toc108595700"/>
      <w:bookmarkStart w:id="1892" w:name="_Toc110315279"/>
      <w:bookmarkStart w:id="1893" w:name="_Toc115859880"/>
      <w:bookmarkStart w:id="1894" w:name="_Toc108595500"/>
      <w:bookmarkStart w:id="1895" w:name="_Toc108595718"/>
      <w:bookmarkStart w:id="1896" w:name="_Toc110315297"/>
      <w:bookmarkStart w:id="1897" w:name="_Toc115859898"/>
      <w:bookmarkStart w:id="1898" w:name="_Toc108595502"/>
      <w:bookmarkStart w:id="1899" w:name="_Toc108595720"/>
      <w:bookmarkStart w:id="1900" w:name="_Toc110315299"/>
      <w:bookmarkStart w:id="1901" w:name="_Toc115859900"/>
      <w:bookmarkStart w:id="1902" w:name="_Toc141081697"/>
      <w:bookmarkStart w:id="1903" w:name="_Toc156806146"/>
      <w:bookmarkStart w:id="1904" w:name="_Toc266087767"/>
      <w:bookmarkStart w:id="1905" w:name="_Toc266088225"/>
      <w:bookmarkStart w:id="1906" w:name="_Toc266088557"/>
      <w:bookmarkStart w:id="1907" w:name="_Toc266089589"/>
      <w:bookmarkStart w:id="1908" w:name="_Toc266089915"/>
      <w:bookmarkStart w:id="1909" w:name="_Toc266099938"/>
      <w:bookmarkStart w:id="1910" w:name="_Toc266101949"/>
      <w:bookmarkStart w:id="1911" w:name="_Toc266102272"/>
      <w:bookmarkStart w:id="1912" w:name="_Toc266102595"/>
      <w:bookmarkStart w:id="1913" w:name="_Toc266102918"/>
      <w:bookmarkStart w:id="1914" w:name="_Toc266103241"/>
      <w:bookmarkStart w:id="1915" w:name="_Toc266103564"/>
      <w:bookmarkStart w:id="1916" w:name="_Toc266103881"/>
      <w:bookmarkStart w:id="1917" w:name="_Toc266104193"/>
      <w:bookmarkStart w:id="1918" w:name="_Toc266104503"/>
      <w:bookmarkStart w:id="1919" w:name="_Toc266104812"/>
      <w:bookmarkStart w:id="1920" w:name="_Toc266105122"/>
      <w:bookmarkStart w:id="1921" w:name="_Toc266087768"/>
      <w:bookmarkStart w:id="1922" w:name="_Toc266088226"/>
      <w:bookmarkStart w:id="1923" w:name="_Toc266088558"/>
      <w:bookmarkStart w:id="1924" w:name="_Toc266089590"/>
      <w:bookmarkStart w:id="1925" w:name="_Toc266089916"/>
      <w:bookmarkStart w:id="1926" w:name="_Toc266099939"/>
      <w:bookmarkStart w:id="1927" w:name="_Toc266101950"/>
      <w:bookmarkStart w:id="1928" w:name="_Toc266102273"/>
      <w:bookmarkStart w:id="1929" w:name="_Toc266102596"/>
      <w:bookmarkStart w:id="1930" w:name="_Toc266102919"/>
      <w:bookmarkStart w:id="1931" w:name="_Toc266103242"/>
      <w:bookmarkStart w:id="1932" w:name="_Toc266103565"/>
      <w:bookmarkStart w:id="1933" w:name="_Toc266103882"/>
      <w:bookmarkStart w:id="1934" w:name="_Toc266104194"/>
      <w:bookmarkStart w:id="1935" w:name="_Toc266104504"/>
      <w:bookmarkStart w:id="1936" w:name="_Toc266104813"/>
      <w:bookmarkStart w:id="1937" w:name="_Toc266105123"/>
      <w:bookmarkStart w:id="1938" w:name="_Toc266087769"/>
      <w:bookmarkStart w:id="1939" w:name="_Toc266088227"/>
      <w:bookmarkStart w:id="1940" w:name="_Toc266088559"/>
      <w:bookmarkStart w:id="1941" w:name="_Toc266089591"/>
      <w:bookmarkStart w:id="1942" w:name="_Toc266089917"/>
      <w:bookmarkStart w:id="1943" w:name="_Toc266099940"/>
      <w:bookmarkStart w:id="1944" w:name="_Toc266101951"/>
      <w:bookmarkStart w:id="1945" w:name="_Toc266102274"/>
      <w:bookmarkStart w:id="1946" w:name="_Toc266102597"/>
      <w:bookmarkStart w:id="1947" w:name="_Toc266102920"/>
      <w:bookmarkStart w:id="1948" w:name="_Toc266103243"/>
      <w:bookmarkStart w:id="1949" w:name="_Toc266103566"/>
      <w:bookmarkStart w:id="1950" w:name="_Toc266103883"/>
      <w:bookmarkStart w:id="1951" w:name="_Toc266104195"/>
      <w:bookmarkStart w:id="1952" w:name="_Toc266104505"/>
      <w:bookmarkStart w:id="1953" w:name="_Toc266104814"/>
      <w:bookmarkStart w:id="1954" w:name="_Toc266105124"/>
      <w:bookmarkStart w:id="1955" w:name="_Toc266087770"/>
      <w:bookmarkStart w:id="1956" w:name="_Toc266088228"/>
      <w:bookmarkStart w:id="1957" w:name="_Toc266088560"/>
      <w:bookmarkStart w:id="1958" w:name="_Toc266089592"/>
      <w:bookmarkStart w:id="1959" w:name="_Toc266089918"/>
      <w:bookmarkStart w:id="1960" w:name="_Toc266099941"/>
      <w:bookmarkStart w:id="1961" w:name="_Toc266101952"/>
      <w:bookmarkStart w:id="1962" w:name="_Toc266102275"/>
      <w:bookmarkStart w:id="1963" w:name="_Toc266102598"/>
      <w:bookmarkStart w:id="1964" w:name="_Toc266102921"/>
      <w:bookmarkStart w:id="1965" w:name="_Toc266103244"/>
      <w:bookmarkStart w:id="1966" w:name="_Toc266103567"/>
      <w:bookmarkStart w:id="1967" w:name="_Toc266103884"/>
      <w:bookmarkStart w:id="1968" w:name="_Toc266104196"/>
      <w:bookmarkStart w:id="1969" w:name="_Toc266104506"/>
      <w:bookmarkStart w:id="1970" w:name="_Toc266104815"/>
      <w:bookmarkStart w:id="1971" w:name="_Toc266105125"/>
      <w:bookmarkStart w:id="1972" w:name="_Toc266105139"/>
      <w:bookmarkStart w:id="1973" w:name="_Toc266104220"/>
      <w:bookmarkStart w:id="1974" w:name="_Toc266104530"/>
      <w:bookmarkStart w:id="1975" w:name="_Toc266104840"/>
      <w:bookmarkStart w:id="1976" w:name="_Toc266105150"/>
      <w:bookmarkStart w:id="1977" w:name="_Toc266267862"/>
      <w:bookmarkStart w:id="1978" w:name="_Toc266268193"/>
      <w:bookmarkStart w:id="1979" w:name="_Toc266270623"/>
      <w:bookmarkStart w:id="1980" w:name="_Toc266270956"/>
      <w:bookmarkStart w:id="1981" w:name="_Toc266535771"/>
      <w:bookmarkStart w:id="1982" w:name="_Toc266721365"/>
      <w:bookmarkStart w:id="1983" w:name="_Toc266267875"/>
      <w:bookmarkStart w:id="1984" w:name="_Toc266268206"/>
      <w:bookmarkStart w:id="1985" w:name="_Toc266270636"/>
      <w:bookmarkStart w:id="1986" w:name="_Toc266270969"/>
      <w:bookmarkStart w:id="1987" w:name="_Toc266535784"/>
      <w:bookmarkStart w:id="1988" w:name="_Toc266721378"/>
      <w:bookmarkStart w:id="1989" w:name="_Toc266267876"/>
      <w:bookmarkStart w:id="1990" w:name="_Toc266268207"/>
      <w:bookmarkStart w:id="1991" w:name="_Toc266270637"/>
      <w:bookmarkStart w:id="1992" w:name="_Toc266270970"/>
      <w:bookmarkStart w:id="1993" w:name="_Toc266535785"/>
      <w:bookmarkStart w:id="1994" w:name="_Toc266721379"/>
      <w:bookmarkStart w:id="1995" w:name="_Toc266267881"/>
      <w:bookmarkStart w:id="1996" w:name="_Toc266268212"/>
      <w:bookmarkStart w:id="1997" w:name="_Toc266270642"/>
      <w:bookmarkStart w:id="1998" w:name="_Toc266270975"/>
      <w:bookmarkStart w:id="1999" w:name="_Toc266535790"/>
      <w:bookmarkStart w:id="2000" w:name="_Toc266721384"/>
      <w:bookmarkStart w:id="2001" w:name="_Toc266082923"/>
      <w:bookmarkStart w:id="2002" w:name="_Toc266083978"/>
      <w:bookmarkStart w:id="2003" w:name="_Toc266085196"/>
      <w:bookmarkStart w:id="2004" w:name="_Toc266085899"/>
      <w:bookmarkStart w:id="2005" w:name="_Toc266086250"/>
      <w:bookmarkStart w:id="2006" w:name="_Toc266086597"/>
      <w:bookmarkStart w:id="2007" w:name="_Toc266086943"/>
      <w:bookmarkStart w:id="2008" w:name="_Toc266087830"/>
      <w:bookmarkStart w:id="2009" w:name="_Toc266088279"/>
      <w:bookmarkStart w:id="2010" w:name="_Toc266088609"/>
      <w:bookmarkStart w:id="2011" w:name="_Toc266089637"/>
      <w:bookmarkStart w:id="2012" w:name="_Toc266089962"/>
      <w:bookmarkStart w:id="2013" w:name="_Toc266099983"/>
      <w:bookmarkStart w:id="2014" w:name="_Toc266101994"/>
      <w:bookmarkStart w:id="2015" w:name="_Toc266102317"/>
      <w:bookmarkStart w:id="2016" w:name="_Toc266102640"/>
      <w:bookmarkStart w:id="2017" w:name="_Toc266102963"/>
      <w:bookmarkStart w:id="2018" w:name="_Toc266103286"/>
      <w:bookmarkStart w:id="2019" w:name="_Toc266103603"/>
      <w:bookmarkStart w:id="2020" w:name="_Toc266103915"/>
      <w:bookmarkStart w:id="2021" w:name="_Toc266104225"/>
      <w:bookmarkStart w:id="2022" w:name="_Toc266104535"/>
      <w:bookmarkStart w:id="2023" w:name="_Toc266104845"/>
      <w:bookmarkStart w:id="2024" w:name="_Toc266105155"/>
      <w:bookmarkStart w:id="2025" w:name="_Toc306967552"/>
      <w:bookmarkStart w:id="2026" w:name="_Toc306967554"/>
      <w:bookmarkStart w:id="2027" w:name="_Toc306967555"/>
      <w:bookmarkStart w:id="2028" w:name="_Toc306967557"/>
      <w:bookmarkStart w:id="2029" w:name="_Toc306967558"/>
      <w:bookmarkStart w:id="2030" w:name="_Toc306967559"/>
      <w:bookmarkStart w:id="2031" w:name="_Toc306967570"/>
      <w:bookmarkStart w:id="2032" w:name="_Toc306967589"/>
      <w:bookmarkStart w:id="2033" w:name="_Toc314147489"/>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r w:rsidR="00B95821">
        <w:rPr>
          <w:lang w:val="en-AU"/>
        </w:rPr>
        <w:br/>
      </w:r>
      <w:r w:rsidR="00B95821">
        <w:rPr>
          <w:lang w:val="en-AU"/>
        </w:rPr>
        <w:br/>
      </w:r>
    </w:p>
    <w:p w14:paraId="6B8FCC87" w14:textId="77777777" w:rsidR="00E507D4" w:rsidRPr="00F271B8" w:rsidRDefault="00E507D4" w:rsidP="00E507D4">
      <w:pPr>
        <w:pStyle w:val="Heading4"/>
        <w:rPr>
          <w:lang w:val="en-AU"/>
        </w:rPr>
      </w:pPr>
      <w:bookmarkStart w:id="2034" w:name="_Toc452735151"/>
      <w:bookmarkStart w:id="2035" w:name="_Toc453076150"/>
      <w:bookmarkStart w:id="2036" w:name="_Toc455146831"/>
      <w:bookmarkStart w:id="2037" w:name="_Toc458679999"/>
      <w:bookmarkStart w:id="2038" w:name="_Toc458680541"/>
      <w:bookmarkStart w:id="2039" w:name="_Toc508361929"/>
      <w:bookmarkStart w:id="2040" w:name="_Toc62644705"/>
      <w:r w:rsidRPr="00F271B8">
        <w:rPr>
          <w:lang w:val="en-AU"/>
        </w:rPr>
        <w:t>My Plan Business SIM – 12 months</w:t>
      </w:r>
      <w:bookmarkEnd w:id="2034"/>
      <w:bookmarkEnd w:id="2035"/>
      <w:bookmarkEnd w:id="2036"/>
      <w:bookmarkEnd w:id="2037"/>
      <w:bookmarkEnd w:id="2038"/>
      <w:bookmarkEnd w:id="2039"/>
      <w:bookmarkEnd w:id="2040"/>
      <w:r w:rsidRPr="00F271B8">
        <w:rPr>
          <w:lang w:val="en-AU"/>
        </w:rPr>
        <w:t xml:space="preserve"> </w:t>
      </w:r>
    </w:p>
    <w:p w14:paraId="06A64DF5" w14:textId="77777777" w:rsidR="00E507D4" w:rsidRPr="00F271B8" w:rsidRDefault="00E507D4" w:rsidP="00E507D4">
      <w:pPr>
        <w:pStyle w:val="BodyText"/>
        <w:ind w:left="720"/>
        <w:rPr>
          <w:lang w:val="en-AU"/>
        </w:rPr>
      </w:pPr>
      <w:r w:rsidRPr="00F271B8">
        <w:rPr>
          <w:lang w:val="en-AU"/>
        </w:rPr>
        <w:t>This section relates to the following plan(s)</w:t>
      </w:r>
      <w:r>
        <w:rPr>
          <w:lang w:val="en-AU"/>
        </w:rPr>
        <w:t xml:space="preserve">. </w:t>
      </w:r>
      <w:r w:rsidRPr="00F271B8">
        <w:rPr>
          <w:i/>
          <w:lang w:val="en-AU"/>
        </w:rPr>
        <w:t>You</w:t>
      </w:r>
      <w:r w:rsidRPr="00F271B8">
        <w:rPr>
          <w:lang w:val="en-AU"/>
        </w:rPr>
        <w:t xml:space="preserve"> can find </w:t>
      </w:r>
      <w:r w:rsidRPr="00F271B8">
        <w:rPr>
          <w:i/>
          <w:lang w:val="en-AU"/>
        </w:rPr>
        <w:t>your</w:t>
      </w:r>
      <w:r w:rsidRPr="00F271B8">
        <w:rPr>
          <w:lang w:val="en-AU"/>
        </w:rPr>
        <w:t xml:space="preserve"> Plan ID on </w:t>
      </w:r>
      <w:r w:rsidRPr="00F271B8">
        <w:rPr>
          <w:i/>
          <w:lang w:val="en-AU"/>
        </w:rPr>
        <w:t>your</w:t>
      </w:r>
      <w:r w:rsidRPr="00F271B8">
        <w:rPr>
          <w:lang w:val="en-AU"/>
        </w:rPr>
        <w:t xml:space="preserve"> bill under the Mobile Number Summary section: </w:t>
      </w:r>
    </w:p>
    <w:tbl>
      <w:tblPr>
        <w:tblW w:w="95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0"/>
        <w:gridCol w:w="3180"/>
        <w:gridCol w:w="3180"/>
      </w:tblGrid>
      <w:tr w:rsidR="00E507D4" w:rsidRPr="00F271B8" w14:paraId="37FFE094" w14:textId="77777777" w:rsidTr="00B95821">
        <w:trPr>
          <w:trHeight w:val="85"/>
        </w:trPr>
        <w:tc>
          <w:tcPr>
            <w:tcW w:w="3180" w:type="dxa"/>
            <w:shd w:val="clear" w:color="auto" w:fill="auto"/>
          </w:tcPr>
          <w:p w14:paraId="35096DAC" w14:textId="77777777" w:rsidR="00E507D4" w:rsidRPr="00F271B8" w:rsidRDefault="00E507D4" w:rsidP="00B95821">
            <w:pPr>
              <w:pStyle w:val="BodyText"/>
              <w:spacing w:before="100" w:after="100"/>
              <w:jc w:val="center"/>
              <w:rPr>
                <w:b/>
                <w:lang w:val="en-AU"/>
              </w:rPr>
            </w:pPr>
            <w:r w:rsidRPr="00F271B8">
              <w:rPr>
                <w:b/>
                <w:lang w:val="en-AU"/>
              </w:rPr>
              <w:t>Plan</w:t>
            </w:r>
          </w:p>
        </w:tc>
        <w:tc>
          <w:tcPr>
            <w:tcW w:w="3180" w:type="dxa"/>
            <w:shd w:val="clear" w:color="auto" w:fill="auto"/>
          </w:tcPr>
          <w:p w14:paraId="45C125C4" w14:textId="77777777" w:rsidR="00E507D4" w:rsidRPr="00F271B8" w:rsidRDefault="00E507D4" w:rsidP="00B95821">
            <w:pPr>
              <w:pStyle w:val="BodyText"/>
              <w:spacing w:before="100" w:after="100"/>
              <w:jc w:val="center"/>
              <w:rPr>
                <w:b/>
                <w:lang w:val="en-AU"/>
              </w:rPr>
            </w:pPr>
            <w:r w:rsidRPr="00F271B8">
              <w:rPr>
                <w:b/>
                <w:lang w:val="en-AU"/>
              </w:rPr>
              <w:t>Plan ID</w:t>
            </w:r>
          </w:p>
        </w:tc>
        <w:tc>
          <w:tcPr>
            <w:tcW w:w="3180" w:type="dxa"/>
            <w:shd w:val="clear" w:color="auto" w:fill="auto"/>
          </w:tcPr>
          <w:p w14:paraId="1DD2B895" w14:textId="77777777" w:rsidR="00E507D4" w:rsidRPr="00F271B8" w:rsidRDefault="00E507D4" w:rsidP="00B95821">
            <w:pPr>
              <w:pStyle w:val="BodyText"/>
              <w:spacing w:before="100" w:after="100"/>
              <w:jc w:val="center"/>
              <w:rPr>
                <w:b/>
                <w:lang w:val="en-AU"/>
              </w:rPr>
            </w:pPr>
            <w:r w:rsidRPr="00F271B8">
              <w:rPr>
                <w:b/>
                <w:lang w:val="en-AU"/>
              </w:rPr>
              <w:t>Available</w:t>
            </w:r>
          </w:p>
        </w:tc>
      </w:tr>
      <w:tr w:rsidR="00E507D4" w:rsidRPr="00F271B8" w14:paraId="6A41E8C7" w14:textId="77777777" w:rsidTr="00B95821">
        <w:tc>
          <w:tcPr>
            <w:tcW w:w="3180" w:type="dxa"/>
            <w:shd w:val="clear" w:color="auto" w:fill="auto"/>
          </w:tcPr>
          <w:p w14:paraId="6E576D4C" w14:textId="77777777" w:rsidR="00E507D4" w:rsidRPr="00F271B8" w:rsidRDefault="00E507D4" w:rsidP="00B95821">
            <w:pPr>
              <w:pStyle w:val="BodyText"/>
              <w:spacing w:before="100" w:after="100"/>
              <w:jc w:val="center"/>
              <w:rPr>
                <w:lang w:val="en-AU"/>
              </w:rPr>
            </w:pPr>
            <w:r w:rsidRPr="00F271B8">
              <w:rPr>
                <w:lang w:val="en-AU"/>
              </w:rPr>
              <w:t>$40 My Plan Business 12M SIM</w:t>
            </w:r>
          </w:p>
        </w:tc>
        <w:tc>
          <w:tcPr>
            <w:tcW w:w="3180" w:type="dxa"/>
            <w:shd w:val="clear" w:color="auto" w:fill="auto"/>
            <w:vAlign w:val="center"/>
          </w:tcPr>
          <w:p w14:paraId="2B08ED27" w14:textId="77777777" w:rsidR="00E507D4" w:rsidRPr="00F271B8" w:rsidRDefault="00E507D4" w:rsidP="00B95821">
            <w:pPr>
              <w:pStyle w:val="BodyText"/>
              <w:spacing w:before="100" w:after="100"/>
              <w:jc w:val="center"/>
              <w:rPr>
                <w:lang w:val="en-AU"/>
              </w:rPr>
            </w:pPr>
            <w:r w:rsidRPr="00F271B8">
              <w:rPr>
                <w:lang w:val="en-AU"/>
              </w:rPr>
              <w:t>800508</w:t>
            </w:r>
            <w:r>
              <w:rPr>
                <w:lang w:val="en-AU"/>
              </w:rPr>
              <w:t>, 10132581</w:t>
            </w:r>
          </w:p>
        </w:tc>
        <w:tc>
          <w:tcPr>
            <w:tcW w:w="3180" w:type="dxa"/>
            <w:shd w:val="clear" w:color="auto" w:fill="auto"/>
          </w:tcPr>
          <w:p w14:paraId="107EC46B" w14:textId="77777777" w:rsidR="00E507D4" w:rsidRPr="00F271B8" w:rsidRDefault="00E507D4" w:rsidP="00B95821">
            <w:pPr>
              <w:pStyle w:val="BodyText"/>
              <w:spacing w:before="100" w:after="100"/>
              <w:jc w:val="center"/>
              <w:rPr>
                <w:lang w:val="en-AU"/>
              </w:rPr>
            </w:pPr>
            <w:r w:rsidRPr="00F271B8">
              <w:rPr>
                <w:lang w:val="en-AU"/>
              </w:rPr>
              <w:t>20 June 2016</w:t>
            </w:r>
            <w:r w:rsidR="00B95821" w:rsidRPr="00E85FA3">
              <w:t xml:space="preserve"> – 30 </w:t>
            </w:r>
            <w:r w:rsidR="00856E4A">
              <w:t>June</w:t>
            </w:r>
            <w:r w:rsidR="00B95821" w:rsidRPr="00E85FA3">
              <w:t xml:space="preserve"> 2018</w:t>
            </w:r>
          </w:p>
        </w:tc>
      </w:tr>
      <w:tr w:rsidR="00E507D4" w:rsidRPr="00F271B8" w14:paraId="0E114DB9" w14:textId="77777777" w:rsidTr="00B95821">
        <w:tc>
          <w:tcPr>
            <w:tcW w:w="3180" w:type="dxa"/>
            <w:vMerge w:val="restart"/>
            <w:shd w:val="clear" w:color="auto" w:fill="auto"/>
            <w:vAlign w:val="center"/>
          </w:tcPr>
          <w:p w14:paraId="7D8C0510" w14:textId="77777777" w:rsidR="00E507D4" w:rsidRPr="00F271B8" w:rsidRDefault="00E507D4" w:rsidP="00B95821">
            <w:pPr>
              <w:pStyle w:val="BodyText"/>
              <w:spacing w:before="100" w:after="100"/>
              <w:jc w:val="center"/>
              <w:rPr>
                <w:lang w:val="en-AU"/>
              </w:rPr>
            </w:pPr>
            <w:r w:rsidRPr="00E86C66">
              <w:rPr>
                <w:lang w:val="en-AU"/>
              </w:rPr>
              <w:t>$50 My Plan Business 12M SIM</w:t>
            </w:r>
          </w:p>
        </w:tc>
        <w:tc>
          <w:tcPr>
            <w:tcW w:w="3180" w:type="dxa"/>
            <w:vMerge w:val="restart"/>
            <w:shd w:val="clear" w:color="auto" w:fill="auto"/>
            <w:vAlign w:val="center"/>
          </w:tcPr>
          <w:p w14:paraId="7FAB30CB" w14:textId="77777777" w:rsidR="00E507D4" w:rsidRPr="00F271B8" w:rsidRDefault="00E507D4" w:rsidP="00B95821">
            <w:pPr>
              <w:pStyle w:val="BodyText"/>
              <w:spacing w:before="100" w:after="100"/>
              <w:jc w:val="center"/>
              <w:rPr>
                <w:lang w:val="en-AU"/>
              </w:rPr>
            </w:pPr>
            <w:r w:rsidRPr="00E86C66">
              <w:rPr>
                <w:lang w:val="en-AU"/>
              </w:rPr>
              <w:t>800514</w:t>
            </w:r>
            <w:r>
              <w:rPr>
                <w:lang w:val="en-AU"/>
              </w:rPr>
              <w:t>, 9954272</w:t>
            </w:r>
          </w:p>
        </w:tc>
        <w:tc>
          <w:tcPr>
            <w:tcW w:w="3180" w:type="dxa"/>
            <w:shd w:val="clear" w:color="auto" w:fill="auto"/>
          </w:tcPr>
          <w:p w14:paraId="657BD0DB" w14:textId="77777777" w:rsidR="00E507D4" w:rsidRPr="00E86C66" w:rsidRDefault="00E507D4" w:rsidP="00B95821">
            <w:pPr>
              <w:pStyle w:val="OptusH3"/>
              <w:tabs>
                <w:tab w:val="clear" w:pos="2127"/>
              </w:tabs>
              <w:ind w:left="0" w:firstLine="0"/>
              <w:jc w:val="center"/>
              <w:rPr>
                <w:rFonts w:ascii="Arial" w:eastAsia="MS Mincho" w:hAnsi="Arial"/>
                <w:sz w:val="20"/>
                <w:szCs w:val="24"/>
              </w:rPr>
            </w:pPr>
            <w:r w:rsidRPr="00E86C66">
              <w:rPr>
                <w:rFonts w:ascii="Arial" w:eastAsia="MS Mincho" w:hAnsi="Arial"/>
                <w:sz w:val="20"/>
                <w:szCs w:val="24"/>
              </w:rPr>
              <w:t>1 August 2016</w:t>
            </w:r>
            <w:r w:rsidR="00B95821" w:rsidRPr="00E85FA3">
              <w:rPr>
                <w:sz w:val="20"/>
              </w:rPr>
              <w:t xml:space="preserve"> </w:t>
            </w:r>
            <w:r w:rsidR="00B95821" w:rsidRPr="00B95821">
              <w:rPr>
                <w:rFonts w:ascii="Arial" w:eastAsia="MS Mincho" w:hAnsi="Arial"/>
                <w:sz w:val="20"/>
                <w:szCs w:val="24"/>
                <w:lang w:val="en-US"/>
              </w:rPr>
              <w:t xml:space="preserve">– 30 </w:t>
            </w:r>
            <w:r w:rsidR="00856E4A">
              <w:t>June</w:t>
            </w:r>
            <w:r w:rsidR="00B95821" w:rsidRPr="00B95821">
              <w:rPr>
                <w:rFonts w:ascii="Arial" w:eastAsia="MS Mincho" w:hAnsi="Arial"/>
                <w:sz w:val="20"/>
                <w:szCs w:val="24"/>
                <w:lang w:val="en-US"/>
              </w:rPr>
              <w:t xml:space="preserve"> 2018</w:t>
            </w:r>
          </w:p>
          <w:p w14:paraId="5A085E2A" w14:textId="77777777" w:rsidR="00E507D4" w:rsidRPr="00F271B8" w:rsidRDefault="00E507D4" w:rsidP="00B95821">
            <w:pPr>
              <w:pStyle w:val="BodyText"/>
              <w:spacing w:before="100" w:after="100"/>
              <w:jc w:val="center"/>
              <w:rPr>
                <w:lang w:val="en-AU"/>
              </w:rPr>
            </w:pPr>
            <w:r w:rsidRPr="00E86C66">
              <w:rPr>
                <w:lang w:val="en-AU"/>
              </w:rPr>
              <w:t xml:space="preserve">  Selected new customers</w:t>
            </w:r>
          </w:p>
        </w:tc>
      </w:tr>
      <w:tr w:rsidR="00E507D4" w:rsidRPr="00F271B8" w14:paraId="607DFCDF" w14:textId="77777777" w:rsidTr="00B95821">
        <w:tc>
          <w:tcPr>
            <w:tcW w:w="3180" w:type="dxa"/>
            <w:vMerge/>
            <w:shd w:val="clear" w:color="auto" w:fill="auto"/>
          </w:tcPr>
          <w:p w14:paraId="48DF6B3A" w14:textId="77777777" w:rsidR="00E507D4" w:rsidRPr="00F271B8" w:rsidRDefault="00E507D4" w:rsidP="00B95821">
            <w:pPr>
              <w:pStyle w:val="BodyText"/>
              <w:spacing w:before="100" w:after="100"/>
              <w:jc w:val="center"/>
              <w:rPr>
                <w:lang w:val="en-AU"/>
              </w:rPr>
            </w:pPr>
          </w:p>
        </w:tc>
        <w:tc>
          <w:tcPr>
            <w:tcW w:w="3180" w:type="dxa"/>
            <w:vMerge/>
            <w:shd w:val="clear" w:color="auto" w:fill="auto"/>
            <w:vAlign w:val="center"/>
          </w:tcPr>
          <w:p w14:paraId="3E2172AD" w14:textId="77777777" w:rsidR="00E507D4" w:rsidRPr="00F271B8" w:rsidRDefault="00E507D4" w:rsidP="00B95821">
            <w:pPr>
              <w:pStyle w:val="BodyText"/>
              <w:spacing w:before="100" w:after="100"/>
              <w:jc w:val="center"/>
              <w:rPr>
                <w:lang w:val="en-AU"/>
              </w:rPr>
            </w:pPr>
          </w:p>
        </w:tc>
        <w:tc>
          <w:tcPr>
            <w:tcW w:w="3180" w:type="dxa"/>
            <w:shd w:val="clear" w:color="auto" w:fill="auto"/>
          </w:tcPr>
          <w:p w14:paraId="24393230" w14:textId="77777777" w:rsidR="00E507D4" w:rsidRPr="00E86C66" w:rsidRDefault="00E507D4" w:rsidP="00B95821">
            <w:pPr>
              <w:pStyle w:val="OptusH3"/>
              <w:tabs>
                <w:tab w:val="clear" w:pos="2127"/>
                <w:tab w:val="left" w:pos="39"/>
              </w:tabs>
              <w:ind w:left="39" w:firstLine="0"/>
              <w:jc w:val="center"/>
              <w:rPr>
                <w:rFonts w:ascii="Arial" w:eastAsia="MS Mincho" w:hAnsi="Arial"/>
                <w:sz w:val="20"/>
                <w:szCs w:val="24"/>
              </w:rPr>
            </w:pPr>
            <w:r w:rsidRPr="00E86C66">
              <w:rPr>
                <w:rFonts w:ascii="Arial" w:eastAsia="MS Mincho" w:hAnsi="Arial"/>
                <w:sz w:val="20"/>
                <w:szCs w:val="24"/>
              </w:rPr>
              <w:t>5 September 2016 to 30 September 2016</w:t>
            </w:r>
          </w:p>
          <w:p w14:paraId="41471F06" w14:textId="77777777" w:rsidR="00E507D4" w:rsidRPr="00F271B8" w:rsidRDefault="00E507D4" w:rsidP="00B95821">
            <w:pPr>
              <w:pStyle w:val="BodyText"/>
              <w:spacing w:before="100" w:after="100"/>
              <w:jc w:val="center"/>
              <w:rPr>
                <w:lang w:val="en-AU"/>
              </w:rPr>
            </w:pPr>
            <w:r w:rsidRPr="00E86C66">
              <w:rPr>
                <w:lang w:val="en-AU"/>
              </w:rPr>
              <w:t>Online offer for new and recontracting services</w:t>
            </w:r>
          </w:p>
        </w:tc>
      </w:tr>
    </w:tbl>
    <w:p w14:paraId="5C5AF317" w14:textId="77777777" w:rsidR="00E507D4" w:rsidRPr="00F271B8" w:rsidRDefault="00E507D4" w:rsidP="00E507D4">
      <w:pPr>
        <w:pStyle w:val="Heading6"/>
        <w:spacing w:before="240"/>
        <w:ind w:left="0" w:firstLine="0"/>
        <w:rPr>
          <w:lang w:val="en-AU"/>
        </w:rPr>
      </w:pPr>
      <w:bookmarkStart w:id="2041" w:name="_Toc452735152"/>
      <w:bookmarkStart w:id="2042" w:name="_Toc453076151"/>
      <w:bookmarkStart w:id="2043" w:name="_Toc455146832"/>
      <w:bookmarkStart w:id="2044" w:name="_Toc508361930"/>
      <w:r w:rsidRPr="00F271B8">
        <w:rPr>
          <w:lang w:val="en-AU"/>
        </w:rPr>
        <w:t>Eligibility</w:t>
      </w:r>
      <w:bookmarkEnd w:id="2041"/>
      <w:bookmarkEnd w:id="2042"/>
      <w:bookmarkEnd w:id="2043"/>
      <w:bookmarkEnd w:id="2044"/>
    </w:p>
    <w:p w14:paraId="282CB1C4" w14:textId="77777777" w:rsidR="00E507D4" w:rsidRDefault="00E507D4" w:rsidP="00E507D4">
      <w:pPr>
        <w:pStyle w:val="BodyText"/>
        <w:ind w:left="720"/>
        <w:rPr>
          <w:lang w:val="en-AU"/>
        </w:rPr>
      </w:pPr>
      <w:r w:rsidRPr="00F271B8">
        <w:rPr>
          <w:lang w:val="en-AU"/>
        </w:rPr>
        <w:lastRenderedPageBreak/>
        <w:t>The $40 My Plan Business 12M SIM plan is only available to select new and recontracting mobile customers who pass Optus</w:t>
      </w:r>
      <w:r>
        <w:rPr>
          <w:lang w:val="en-AU"/>
        </w:rPr>
        <w:t>'</w:t>
      </w:r>
      <w:r w:rsidRPr="00F271B8">
        <w:rPr>
          <w:lang w:val="en-AU"/>
        </w:rPr>
        <w:t xml:space="preserve"> credit assessment</w:t>
      </w:r>
      <w:r>
        <w:rPr>
          <w:lang w:val="en-AU"/>
        </w:rPr>
        <w:t xml:space="preserve">. </w:t>
      </w:r>
    </w:p>
    <w:p w14:paraId="55AC8212" w14:textId="77777777" w:rsidR="00E507D4" w:rsidRPr="00F271B8" w:rsidRDefault="00E507D4" w:rsidP="00E507D4">
      <w:pPr>
        <w:pStyle w:val="BodyText"/>
        <w:ind w:left="720"/>
        <w:rPr>
          <w:lang w:val="en-AU"/>
        </w:rPr>
      </w:pPr>
      <w:r w:rsidRPr="00E86C66">
        <w:rPr>
          <w:lang w:val="en-AU"/>
        </w:rPr>
        <w:t>The $50 My Plan Business 12M SIM plan is available as a new service to selected mobile customers who pass Optus’ credit assessment. Between 5 September 2016 and 30 September 2016 the $50 My Plan Plus 12M SIM Only plan is also available online to new and recontracting services.</w:t>
      </w:r>
    </w:p>
    <w:p w14:paraId="5606CC85" w14:textId="77777777" w:rsidR="00E507D4" w:rsidRPr="00F271B8" w:rsidRDefault="00E507D4" w:rsidP="00E507D4">
      <w:pPr>
        <w:pStyle w:val="BodyText"/>
        <w:ind w:left="720"/>
        <w:rPr>
          <w:lang w:val="en-AU"/>
        </w:rPr>
      </w:pPr>
      <w:r w:rsidRPr="00F271B8">
        <w:rPr>
          <w:lang w:val="en-AU"/>
        </w:rPr>
        <w:t>Optus Service Providers</w:t>
      </w:r>
      <w:r>
        <w:rPr>
          <w:lang w:val="en-AU"/>
        </w:rPr>
        <w:t>'</w:t>
      </w:r>
      <w:r w:rsidRPr="00F271B8">
        <w:rPr>
          <w:lang w:val="en-AU"/>
        </w:rPr>
        <w:t xml:space="preserve"> customers are not eligible to apply.</w:t>
      </w:r>
    </w:p>
    <w:p w14:paraId="5DE0FE4E" w14:textId="77777777" w:rsidR="00E507D4" w:rsidRPr="00F271B8" w:rsidRDefault="00E507D4" w:rsidP="00E507D4">
      <w:pPr>
        <w:pStyle w:val="BodyText"/>
        <w:ind w:left="720"/>
        <w:rPr>
          <w:lang w:val="en-AU"/>
        </w:rPr>
      </w:pPr>
      <w:r w:rsidRPr="00F271B8">
        <w:rPr>
          <w:lang w:val="en-AU"/>
        </w:rPr>
        <w:t>Th</w:t>
      </w:r>
      <w:r>
        <w:rPr>
          <w:lang w:val="en-AU"/>
        </w:rPr>
        <w:t>ese</w:t>
      </w:r>
      <w:r w:rsidRPr="00F271B8">
        <w:rPr>
          <w:lang w:val="en-AU"/>
        </w:rPr>
        <w:t xml:space="preserve"> </w:t>
      </w:r>
      <w:r w:rsidRPr="00F271B8">
        <w:rPr>
          <w:i/>
          <w:lang w:val="en-AU"/>
        </w:rPr>
        <w:t>plan</w:t>
      </w:r>
      <w:r>
        <w:rPr>
          <w:i/>
          <w:lang w:val="en-AU"/>
        </w:rPr>
        <w:t>s are</w:t>
      </w:r>
      <w:r w:rsidRPr="00F271B8">
        <w:rPr>
          <w:lang w:val="en-AU"/>
        </w:rPr>
        <w:t xml:space="preserve"> not compatible for data use with BlackBerry handsets on operating systems of 7.1 or earlier.</w:t>
      </w:r>
    </w:p>
    <w:p w14:paraId="1B88D712" w14:textId="77777777" w:rsidR="00E507D4" w:rsidRPr="00F271B8" w:rsidRDefault="00E507D4" w:rsidP="00E507D4">
      <w:pPr>
        <w:pStyle w:val="Heading6"/>
        <w:ind w:left="0" w:firstLine="0"/>
        <w:rPr>
          <w:lang w:val="en-AU"/>
        </w:rPr>
      </w:pPr>
      <w:bookmarkStart w:id="2045" w:name="_Toc452735153"/>
      <w:bookmarkStart w:id="2046" w:name="_Toc453076152"/>
      <w:bookmarkStart w:id="2047" w:name="_Toc455146833"/>
      <w:bookmarkStart w:id="2048" w:name="_Toc508361931"/>
      <w:r w:rsidRPr="00F271B8">
        <w:rPr>
          <w:lang w:val="en-AU"/>
        </w:rPr>
        <w:t>Minimum Term</w:t>
      </w:r>
      <w:bookmarkEnd w:id="2045"/>
      <w:bookmarkEnd w:id="2046"/>
      <w:bookmarkEnd w:id="2047"/>
      <w:bookmarkEnd w:id="2048"/>
    </w:p>
    <w:p w14:paraId="6BAF941F" w14:textId="77777777" w:rsidR="00E507D4" w:rsidRPr="00F271B8" w:rsidRDefault="00E507D4" w:rsidP="00E507D4">
      <w:pPr>
        <w:pStyle w:val="BodyText"/>
        <w:ind w:left="720"/>
        <w:rPr>
          <w:lang w:val="en-AU"/>
        </w:rPr>
      </w:pPr>
      <w:r w:rsidRPr="00F271B8">
        <w:rPr>
          <w:lang w:val="en-AU"/>
        </w:rPr>
        <w:t>Th</w:t>
      </w:r>
      <w:r>
        <w:rPr>
          <w:lang w:val="en-AU"/>
        </w:rPr>
        <w:t>ese</w:t>
      </w:r>
      <w:r w:rsidRPr="00F271B8">
        <w:rPr>
          <w:lang w:val="en-AU"/>
        </w:rPr>
        <w:t xml:space="preserve"> </w:t>
      </w:r>
      <w:r w:rsidRPr="00F271B8">
        <w:rPr>
          <w:i/>
          <w:lang w:val="en-AU"/>
        </w:rPr>
        <w:t>plan</w:t>
      </w:r>
      <w:r>
        <w:rPr>
          <w:i/>
          <w:lang w:val="en-AU"/>
        </w:rPr>
        <w:t>s</w:t>
      </w:r>
      <w:r w:rsidRPr="00F271B8">
        <w:rPr>
          <w:lang w:val="en-AU"/>
        </w:rPr>
        <w:t xml:space="preserve"> ha</w:t>
      </w:r>
      <w:r>
        <w:rPr>
          <w:lang w:val="en-AU"/>
        </w:rPr>
        <w:t>ve</w:t>
      </w:r>
      <w:r w:rsidRPr="00F271B8">
        <w:rPr>
          <w:lang w:val="en-AU"/>
        </w:rPr>
        <w:t xml:space="preserve"> a </w:t>
      </w:r>
      <w:r w:rsidRPr="00F271B8">
        <w:rPr>
          <w:i/>
          <w:lang w:val="en-AU"/>
        </w:rPr>
        <w:t>fixed length agreement</w:t>
      </w:r>
      <w:r w:rsidRPr="00F271B8">
        <w:rPr>
          <w:lang w:val="en-AU"/>
        </w:rPr>
        <w:t xml:space="preserve"> with a 12 month </w:t>
      </w:r>
      <w:r w:rsidRPr="00F271B8">
        <w:rPr>
          <w:i/>
          <w:lang w:val="en-AU"/>
        </w:rPr>
        <w:t>minimum term</w:t>
      </w:r>
      <w:r w:rsidRPr="00F271B8">
        <w:rPr>
          <w:lang w:val="en-AU"/>
        </w:rPr>
        <w:t>.</w:t>
      </w:r>
    </w:p>
    <w:p w14:paraId="49D24726" w14:textId="77777777" w:rsidR="00E507D4" w:rsidRPr="00F271B8" w:rsidRDefault="00E507D4" w:rsidP="00E507D4">
      <w:pPr>
        <w:pStyle w:val="Heading6"/>
        <w:keepNext/>
        <w:ind w:left="0" w:firstLine="0"/>
        <w:rPr>
          <w:lang w:val="en-AU"/>
        </w:rPr>
      </w:pPr>
      <w:bookmarkStart w:id="2049" w:name="_Toc452735154"/>
      <w:bookmarkStart w:id="2050" w:name="_Toc453076153"/>
      <w:bookmarkStart w:id="2051" w:name="_Toc455146834"/>
      <w:bookmarkStart w:id="2052" w:name="_Toc508361932"/>
      <w:r w:rsidRPr="00F271B8">
        <w:rPr>
          <w:lang w:val="en-AU"/>
        </w:rPr>
        <w:t xml:space="preserve">What </w:t>
      </w:r>
      <w:r w:rsidRPr="00F271B8">
        <w:rPr>
          <w:i/>
          <w:lang w:val="en-AU"/>
        </w:rPr>
        <w:t>you</w:t>
      </w:r>
      <w:r w:rsidRPr="00F271B8">
        <w:rPr>
          <w:lang w:val="en-AU"/>
        </w:rPr>
        <w:t xml:space="preserve"> have to pay </w:t>
      </w:r>
      <w:r w:rsidRPr="00F271B8">
        <w:rPr>
          <w:i/>
          <w:lang w:val="en-AU"/>
        </w:rPr>
        <w:t>us</w:t>
      </w:r>
      <w:bookmarkEnd w:id="2049"/>
      <w:bookmarkEnd w:id="2050"/>
      <w:bookmarkEnd w:id="2051"/>
      <w:bookmarkEnd w:id="2052"/>
    </w:p>
    <w:p w14:paraId="23004736" w14:textId="77777777" w:rsidR="00E507D4" w:rsidRPr="00F271B8" w:rsidRDefault="00E507D4" w:rsidP="00E507D4">
      <w:pPr>
        <w:pStyle w:val="Heading7"/>
        <w:keepNext/>
        <w:rPr>
          <w:szCs w:val="20"/>
          <w:lang w:val="en-AU"/>
        </w:rPr>
      </w:pPr>
      <w:r w:rsidRPr="00F271B8">
        <w:rPr>
          <w:i/>
          <w:szCs w:val="20"/>
          <w:lang w:val="en-AU"/>
        </w:rPr>
        <w:t>You</w:t>
      </w:r>
      <w:r w:rsidRPr="00F271B8">
        <w:rPr>
          <w:szCs w:val="20"/>
          <w:lang w:val="en-AU"/>
        </w:rPr>
        <w:t xml:space="preserve"> must pay </w:t>
      </w:r>
      <w:r w:rsidRPr="00F271B8">
        <w:rPr>
          <w:i/>
          <w:szCs w:val="20"/>
          <w:lang w:val="en-AU"/>
        </w:rPr>
        <w:t>us</w:t>
      </w:r>
      <w:r w:rsidRPr="00F271B8">
        <w:rPr>
          <w:szCs w:val="20"/>
          <w:lang w:val="en-AU"/>
        </w:rPr>
        <w:t xml:space="preserve"> for use of the </w:t>
      </w:r>
      <w:r w:rsidRPr="00F271B8">
        <w:rPr>
          <w:i/>
          <w:szCs w:val="20"/>
          <w:lang w:val="en-AU"/>
        </w:rPr>
        <w:t>service</w:t>
      </w:r>
      <w:r w:rsidRPr="00F271B8">
        <w:rPr>
          <w:szCs w:val="20"/>
          <w:lang w:val="en-AU"/>
        </w:rPr>
        <w:t xml:space="preserve"> at the rates set out in Section 1 of this </w:t>
      </w:r>
      <w:r w:rsidRPr="00F271B8">
        <w:rPr>
          <w:i/>
          <w:szCs w:val="20"/>
          <w:lang w:val="en-AU"/>
        </w:rPr>
        <w:t>standard pricing table</w:t>
      </w:r>
      <w:r w:rsidRPr="00F271B8">
        <w:rPr>
          <w:szCs w:val="20"/>
          <w:lang w:val="en-AU"/>
        </w:rPr>
        <w:t xml:space="preserve"> and for value added service features at the rates set out in </w:t>
      </w:r>
      <w:hyperlink r:id="rId819" w:history="1">
        <w:r w:rsidRPr="00FD2D8D">
          <w:rPr>
            <w:rStyle w:val="Hyperlink"/>
            <w:i/>
            <w:szCs w:val="20"/>
            <w:lang w:val="en-AU"/>
          </w:rPr>
          <w:t>Appendix Y Value Added Service Features</w:t>
        </w:r>
      </w:hyperlink>
      <w:r>
        <w:rPr>
          <w:szCs w:val="20"/>
          <w:lang w:val="en-AU"/>
        </w:rPr>
        <w:t>.</w:t>
      </w:r>
    </w:p>
    <w:p w14:paraId="5CB8A441" w14:textId="77777777" w:rsidR="00E507D4" w:rsidRPr="00F271B8" w:rsidRDefault="00E507D4" w:rsidP="00E507D4">
      <w:pPr>
        <w:pStyle w:val="Heading7"/>
        <w:rPr>
          <w:lang w:val="en-AU"/>
        </w:rPr>
      </w:pPr>
      <w:r w:rsidRPr="00F271B8">
        <w:rPr>
          <w:lang w:val="en-AU"/>
        </w:rPr>
        <w:t>If there is a flagfall for a particular call type, the charge for these calls is the flagfall amount plus the relevant rate for the call multiplied by the duration of the call.</w:t>
      </w:r>
    </w:p>
    <w:p w14:paraId="32822FF3" w14:textId="77777777" w:rsidR="00E507D4" w:rsidRPr="00F271B8" w:rsidRDefault="00E507D4" w:rsidP="00E507D4">
      <w:pPr>
        <w:pStyle w:val="Heading7"/>
        <w:rPr>
          <w:lang w:val="en-AU"/>
        </w:rPr>
      </w:pPr>
      <w:r w:rsidRPr="00F271B8">
        <w:rPr>
          <w:lang w:val="en-AU"/>
        </w:rPr>
        <w:t xml:space="preserve">Minimum Monthly Charge </w:t>
      </w:r>
    </w:p>
    <w:p w14:paraId="47764B0E" w14:textId="77777777" w:rsidR="00E507D4" w:rsidRPr="00F271B8" w:rsidRDefault="00E507D4" w:rsidP="00E507D4">
      <w:pPr>
        <w:pStyle w:val="Heading8"/>
        <w:rPr>
          <w:lang w:val="en-AU"/>
        </w:rPr>
      </w:pPr>
      <w:r w:rsidRPr="00F271B8">
        <w:rPr>
          <w:lang w:val="en-AU"/>
        </w:rPr>
        <w:t>My $40</w:t>
      </w:r>
      <w:r>
        <w:rPr>
          <w:lang w:val="en-AU"/>
        </w:rPr>
        <w:t>/$50</w:t>
      </w:r>
      <w:r w:rsidRPr="00F271B8">
        <w:rPr>
          <w:lang w:val="en-AU"/>
        </w:rPr>
        <w:t xml:space="preserve"> Plan Business 12M SIM plan ha</w:t>
      </w:r>
      <w:r>
        <w:rPr>
          <w:lang w:val="en-AU"/>
        </w:rPr>
        <w:t>ve</w:t>
      </w:r>
      <w:r w:rsidRPr="00F271B8">
        <w:rPr>
          <w:lang w:val="en-AU"/>
        </w:rPr>
        <w:t xml:space="preserve"> a Minimum Monthly Charge amount that </w:t>
      </w:r>
      <w:r w:rsidRPr="00F271B8">
        <w:rPr>
          <w:i/>
          <w:lang w:val="en-AU"/>
        </w:rPr>
        <w:t>you</w:t>
      </w:r>
      <w:r w:rsidRPr="00F271B8">
        <w:rPr>
          <w:lang w:val="en-AU"/>
        </w:rPr>
        <w:t xml:space="preserve"> must pay </w:t>
      </w:r>
      <w:r w:rsidRPr="00F271B8">
        <w:rPr>
          <w:i/>
          <w:lang w:val="en-AU"/>
        </w:rPr>
        <w:t>us</w:t>
      </w:r>
      <w:r w:rsidRPr="00F271B8">
        <w:rPr>
          <w:lang w:val="en-AU"/>
        </w:rPr>
        <w:t xml:space="preserve"> each month as set out in Table 1 below</w:t>
      </w:r>
      <w:r>
        <w:rPr>
          <w:lang w:val="en-AU"/>
        </w:rPr>
        <w:t xml:space="preserve">. </w:t>
      </w:r>
    </w:p>
    <w:p w14:paraId="202A2065" w14:textId="77777777" w:rsidR="00E507D4" w:rsidRPr="00F271B8" w:rsidRDefault="00E507D4" w:rsidP="00E507D4">
      <w:pPr>
        <w:pStyle w:val="Heading8"/>
        <w:rPr>
          <w:szCs w:val="20"/>
          <w:lang w:val="en-AU"/>
        </w:rPr>
      </w:pPr>
      <w:r w:rsidRPr="00F271B8">
        <w:rPr>
          <w:i/>
          <w:szCs w:val="20"/>
          <w:lang w:val="en-AU"/>
        </w:rPr>
        <w:t>You</w:t>
      </w:r>
      <w:r w:rsidRPr="00F271B8">
        <w:rPr>
          <w:szCs w:val="20"/>
          <w:lang w:val="en-AU"/>
        </w:rPr>
        <w:t xml:space="preserve"> may purchase a mobile phone (or </w:t>
      </w:r>
      <w:r>
        <w:rPr>
          <w:szCs w:val="20"/>
          <w:lang w:val="en-AU"/>
        </w:rPr>
        <w:t>'</w:t>
      </w:r>
      <w:r w:rsidRPr="00F271B8">
        <w:rPr>
          <w:szCs w:val="20"/>
          <w:lang w:val="en-AU"/>
        </w:rPr>
        <w:t>handset</w:t>
      </w:r>
      <w:r>
        <w:rPr>
          <w:szCs w:val="20"/>
          <w:lang w:val="en-AU"/>
        </w:rPr>
        <w:t>'</w:t>
      </w:r>
      <w:r w:rsidRPr="00F271B8">
        <w:rPr>
          <w:szCs w:val="20"/>
          <w:lang w:val="en-AU"/>
        </w:rPr>
        <w:t xml:space="preserve">) with a 12 month or 24 month </w:t>
      </w:r>
      <w:r w:rsidRPr="00F271B8">
        <w:rPr>
          <w:i/>
          <w:szCs w:val="20"/>
          <w:lang w:val="en-AU"/>
        </w:rPr>
        <w:t>equipment term</w:t>
      </w:r>
      <w:r w:rsidRPr="00F271B8">
        <w:rPr>
          <w:szCs w:val="20"/>
          <w:lang w:val="en-AU"/>
        </w:rPr>
        <w:t xml:space="preserve"> under a </w:t>
      </w:r>
      <w:r w:rsidRPr="00F271B8">
        <w:rPr>
          <w:i/>
          <w:szCs w:val="20"/>
          <w:lang w:val="en-AU"/>
        </w:rPr>
        <w:t>mobile equipment payment plan</w:t>
      </w:r>
      <w:r w:rsidRPr="00F271B8">
        <w:rPr>
          <w:szCs w:val="20"/>
          <w:lang w:val="en-AU"/>
        </w:rPr>
        <w:t xml:space="preserve"> (set out in </w:t>
      </w:r>
      <w:hyperlink r:id="rId820" w:history="1">
        <w:r w:rsidRPr="00F271B8">
          <w:rPr>
            <w:rStyle w:val="Hyperlink"/>
            <w:i/>
            <w:szCs w:val="20"/>
            <w:lang w:val="en-AU"/>
          </w:rPr>
          <w:t>Appendix D</w:t>
        </w:r>
      </w:hyperlink>
      <w:r w:rsidRPr="00F271B8">
        <w:rPr>
          <w:szCs w:val="20"/>
          <w:lang w:val="en-AU"/>
        </w:rPr>
        <w:t>).</w:t>
      </w:r>
    </w:p>
    <w:p w14:paraId="0B298109" w14:textId="77777777" w:rsidR="00E507D4" w:rsidRPr="00F271B8" w:rsidRDefault="00E507D4" w:rsidP="00E507D4">
      <w:pPr>
        <w:pStyle w:val="Heading6"/>
        <w:ind w:left="0" w:firstLine="0"/>
        <w:rPr>
          <w:lang w:val="en-AU"/>
        </w:rPr>
      </w:pPr>
      <w:bookmarkStart w:id="2053" w:name="_Toc452735155"/>
      <w:bookmarkStart w:id="2054" w:name="_Toc453076154"/>
      <w:bookmarkStart w:id="2055" w:name="_Toc455146835"/>
      <w:bookmarkStart w:id="2056" w:name="_Toc508361933"/>
      <w:r w:rsidRPr="00F271B8">
        <w:rPr>
          <w:lang w:val="en-AU"/>
        </w:rPr>
        <w:t>How My Plan Business SIM works</w:t>
      </w:r>
      <w:bookmarkEnd w:id="2053"/>
      <w:bookmarkEnd w:id="2054"/>
      <w:bookmarkEnd w:id="2055"/>
      <w:bookmarkEnd w:id="2056"/>
    </w:p>
    <w:p w14:paraId="5247EE8A" w14:textId="77777777" w:rsidR="00E507D4" w:rsidRPr="00F271B8" w:rsidRDefault="00E507D4" w:rsidP="00E507D4">
      <w:pPr>
        <w:pStyle w:val="Heading7"/>
        <w:rPr>
          <w:lang w:val="en-AU"/>
        </w:rPr>
      </w:pPr>
      <w:r w:rsidRPr="00F271B8">
        <w:rPr>
          <w:lang w:val="en-AU"/>
        </w:rPr>
        <w:t>The $40</w:t>
      </w:r>
      <w:r>
        <w:rPr>
          <w:lang w:val="en-AU"/>
        </w:rPr>
        <w:t>/$50</w:t>
      </w:r>
      <w:r w:rsidRPr="00F271B8">
        <w:rPr>
          <w:lang w:val="en-AU"/>
        </w:rPr>
        <w:t xml:space="preserve"> My Plan Business 12M SIM plan</w:t>
      </w:r>
      <w:r>
        <w:rPr>
          <w:lang w:val="en-AU"/>
        </w:rPr>
        <w:t>s</w:t>
      </w:r>
      <w:r w:rsidRPr="00F271B8">
        <w:rPr>
          <w:lang w:val="en-AU"/>
        </w:rPr>
        <w:t xml:space="preserve"> referred to in this section has unlimited minutes to use on standard national calls to landlines and mobiles, 13/1300 numbers and voicemail retrievals and Included Data (for mobile internet use) to share with other services on a My Plan Plus, My Plan Plus SIM Only, My Plan Plus 12M SIM Only, My Plan Business (including Tech Fund), My Plan Business SIM, My Plan Business 12Month SIM, My Mobile Broadband Plus, Mobile Broadband Business or Shared Data Plan on the same account</w:t>
      </w:r>
      <w:r>
        <w:rPr>
          <w:lang w:val="en-AU"/>
        </w:rPr>
        <w:t xml:space="preserve">. </w:t>
      </w:r>
    </w:p>
    <w:p w14:paraId="2C970DC9" w14:textId="77777777" w:rsidR="00E507D4" w:rsidRPr="00F271B8" w:rsidRDefault="00E507D4" w:rsidP="00E507D4">
      <w:pPr>
        <w:pStyle w:val="Heading7"/>
        <w:rPr>
          <w:lang w:val="en-AU"/>
        </w:rPr>
      </w:pPr>
      <w:r w:rsidRPr="00F271B8">
        <w:rPr>
          <w:lang w:val="en-AU"/>
        </w:rPr>
        <w:t>This plan also includes unlimited standard national SMS/MMS and unlimited standard International SMS/MMS to selected countries</w:t>
      </w:r>
      <w:r>
        <w:rPr>
          <w:lang w:val="en-AU"/>
        </w:rPr>
        <w:t xml:space="preserve">. </w:t>
      </w:r>
      <w:r w:rsidRPr="00F271B8">
        <w:rPr>
          <w:lang w:val="en-AU"/>
        </w:rPr>
        <w:t>Th</w:t>
      </w:r>
      <w:r>
        <w:rPr>
          <w:lang w:val="en-AU"/>
        </w:rPr>
        <w:t xml:space="preserve">ese </w:t>
      </w:r>
      <w:r w:rsidRPr="00F271B8">
        <w:rPr>
          <w:lang w:val="en-AU"/>
        </w:rPr>
        <w:t>plan</w:t>
      </w:r>
      <w:r>
        <w:rPr>
          <w:lang w:val="en-AU"/>
        </w:rPr>
        <w:t>s</w:t>
      </w:r>
      <w:r w:rsidRPr="00F271B8">
        <w:rPr>
          <w:lang w:val="en-AU"/>
        </w:rPr>
        <w:t xml:space="preserve"> also has an amount of included international minutes to use on standard international calls to selected countries</w:t>
      </w:r>
      <w:r>
        <w:rPr>
          <w:lang w:val="en-AU"/>
        </w:rPr>
        <w:t xml:space="preserve">. </w:t>
      </w:r>
    </w:p>
    <w:p w14:paraId="39F88FD8" w14:textId="77777777" w:rsidR="00E507D4" w:rsidRPr="00F271B8" w:rsidRDefault="00E507D4" w:rsidP="00E507D4">
      <w:pPr>
        <w:pStyle w:val="Heading7"/>
        <w:rPr>
          <w:lang w:val="en-AU"/>
        </w:rPr>
      </w:pPr>
      <w:r w:rsidRPr="00F271B8">
        <w:rPr>
          <w:lang w:val="en-AU"/>
        </w:rPr>
        <w:t>Data usage is calculated in one kilobyte increments</w:t>
      </w:r>
      <w:r>
        <w:rPr>
          <w:lang w:val="en-AU"/>
        </w:rPr>
        <w:t xml:space="preserve">. </w:t>
      </w:r>
      <w:r w:rsidRPr="00F271B8">
        <w:rPr>
          <w:lang w:val="en-AU"/>
        </w:rPr>
        <w:t>International minutes are billed in one minute increments.</w:t>
      </w:r>
    </w:p>
    <w:p w14:paraId="0FB31150" w14:textId="77777777" w:rsidR="00E507D4" w:rsidRPr="00F271B8" w:rsidRDefault="00E507D4" w:rsidP="00E507D4">
      <w:pPr>
        <w:pStyle w:val="Heading7"/>
        <w:rPr>
          <w:lang w:val="en-AU"/>
        </w:rPr>
      </w:pPr>
      <w:r w:rsidRPr="00F271B8">
        <w:rPr>
          <w:lang w:val="en-AU"/>
        </w:rPr>
        <w:t xml:space="preserve">If </w:t>
      </w:r>
      <w:r w:rsidRPr="00F271B8">
        <w:rPr>
          <w:i/>
          <w:lang w:val="en-AU"/>
        </w:rPr>
        <w:t>you</w:t>
      </w:r>
      <w:r w:rsidRPr="00F271B8">
        <w:rPr>
          <w:lang w:val="en-AU"/>
        </w:rPr>
        <w:t xml:space="preserve"> exceed your included shareable data </w:t>
      </w:r>
      <w:r w:rsidRPr="00F271B8">
        <w:rPr>
          <w:i/>
          <w:lang w:val="en-AU"/>
        </w:rPr>
        <w:t xml:space="preserve">you </w:t>
      </w:r>
      <w:r w:rsidRPr="00F271B8">
        <w:rPr>
          <w:lang w:val="en-AU"/>
        </w:rPr>
        <w:t>will automatically be charged $10 for each additional 1GB of data (</w:t>
      </w:r>
      <w:r>
        <w:rPr>
          <w:lang w:val="en-AU"/>
        </w:rPr>
        <w:t>"</w:t>
      </w:r>
      <w:r w:rsidRPr="00F271B8">
        <w:rPr>
          <w:b/>
          <w:lang w:val="en-AU"/>
        </w:rPr>
        <w:t>Additional Data</w:t>
      </w:r>
      <w:r>
        <w:rPr>
          <w:lang w:val="en-AU"/>
        </w:rPr>
        <w:t>"</w:t>
      </w:r>
      <w:r w:rsidRPr="00F271B8">
        <w:rPr>
          <w:lang w:val="en-AU"/>
        </w:rPr>
        <w:t xml:space="preserve">) that </w:t>
      </w:r>
      <w:r w:rsidRPr="00F271B8">
        <w:rPr>
          <w:i/>
          <w:lang w:val="en-AU"/>
        </w:rPr>
        <w:t>you</w:t>
      </w:r>
      <w:r w:rsidRPr="00F271B8">
        <w:rPr>
          <w:lang w:val="en-AU"/>
        </w:rPr>
        <w:t xml:space="preserve"> use (or part thereof) up to 150GB of extra data per account each month</w:t>
      </w:r>
      <w:r>
        <w:rPr>
          <w:lang w:val="en-AU"/>
        </w:rPr>
        <w:t xml:space="preserve">. </w:t>
      </w:r>
      <w:r w:rsidRPr="00F271B8">
        <w:rPr>
          <w:i/>
          <w:lang w:val="en-AU"/>
        </w:rPr>
        <w:t>Your</w:t>
      </w:r>
      <w:r w:rsidRPr="00F271B8">
        <w:rPr>
          <w:lang w:val="en-AU"/>
        </w:rPr>
        <w:t xml:space="preserve"> </w:t>
      </w:r>
      <w:r w:rsidRPr="00F271B8">
        <w:rPr>
          <w:i/>
          <w:lang w:val="en-AU"/>
        </w:rPr>
        <w:t>service/s</w:t>
      </w:r>
      <w:r w:rsidRPr="00F271B8">
        <w:rPr>
          <w:lang w:val="en-AU"/>
        </w:rPr>
        <w:t xml:space="preserve"> may then be restricted or </w:t>
      </w:r>
      <w:r w:rsidRPr="00F271B8">
        <w:rPr>
          <w:i/>
          <w:lang w:val="en-AU"/>
        </w:rPr>
        <w:t>we</w:t>
      </w:r>
      <w:r w:rsidRPr="00F271B8">
        <w:rPr>
          <w:lang w:val="en-AU"/>
        </w:rPr>
        <w:t xml:space="preserve"> may continue to charge </w:t>
      </w:r>
      <w:r w:rsidRPr="00F271B8">
        <w:rPr>
          <w:i/>
          <w:lang w:val="en-AU"/>
        </w:rPr>
        <w:t>you</w:t>
      </w:r>
      <w:r w:rsidRPr="00F271B8">
        <w:rPr>
          <w:lang w:val="en-AU"/>
        </w:rPr>
        <w:t xml:space="preserve"> at these rates.</w:t>
      </w:r>
    </w:p>
    <w:p w14:paraId="63ABD43F" w14:textId="77777777" w:rsidR="00E507D4" w:rsidRPr="00F271B8" w:rsidRDefault="00E507D4" w:rsidP="00E507D4">
      <w:pPr>
        <w:pStyle w:val="Heading7"/>
        <w:rPr>
          <w:lang w:val="en-AU"/>
        </w:rPr>
      </w:pPr>
      <w:r w:rsidRPr="00F271B8">
        <w:rPr>
          <w:lang w:val="en-AU"/>
        </w:rPr>
        <w:t xml:space="preserve">Any unused portion of </w:t>
      </w:r>
      <w:r w:rsidRPr="00F271B8">
        <w:rPr>
          <w:i/>
          <w:lang w:val="en-AU"/>
        </w:rPr>
        <w:t>your</w:t>
      </w:r>
      <w:r w:rsidRPr="00F271B8">
        <w:rPr>
          <w:lang w:val="en-AU"/>
        </w:rPr>
        <w:t xml:space="preserve"> </w:t>
      </w:r>
      <w:r w:rsidRPr="00F271B8">
        <w:rPr>
          <w:i/>
          <w:lang w:val="en-AU"/>
        </w:rPr>
        <w:t>plan</w:t>
      </w:r>
      <w:r>
        <w:rPr>
          <w:i/>
          <w:lang w:val="en-AU"/>
        </w:rPr>
        <w:t>'</w:t>
      </w:r>
      <w:r w:rsidRPr="00F271B8">
        <w:rPr>
          <w:i/>
          <w:lang w:val="en-AU"/>
        </w:rPr>
        <w:t>s</w:t>
      </w:r>
      <w:r w:rsidRPr="00F271B8">
        <w:rPr>
          <w:lang w:val="en-AU"/>
        </w:rPr>
        <w:t xml:space="preserve"> Included or Additional Data expires at the end of each month and does not roll over into the next month.</w:t>
      </w:r>
    </w:p>
    <w:p w14:paraId="51FA58D7" w14:textId="77777777" w:rsidR="00E507D4" w:rsidRPr="00F271B8" w:rsidRDefault="00E507D4" w:rsidP="00E507D4">
      <w:pPr>
        <w:pStyle w:val="Heading7"/>
        <w:rPr>
          <w:b/>
          <w:lang w:val="en-AU"/>
        </w:rPr>
      </w:pPr>
      <w:r w:rsidRPr="00F271B8">
        <w:rPr>
          <w:i/>
          <w:lang w:val="en-AU"/>
        </w:rPr>
        <w:t>You</w:t>
      </w:r>
      <w:r w:rsidRPr="00F271B8">
        <w:rPr>
          <w:lang w:val="en-AU"/>
        </w:rPr>
        <w:t xml:space="preserve"> must pay </w:t>
      </w:r>
      <w:r w:rsidRPr="00F271B8">
        <w:rPr>
          <w:i/>
          <w:lang w:val="en-AU"/>
        </w:rPr>
        <w:t>us</w:t>
      </w:r>
      <w:r w:rsidRPr="00F271B8">
        <w:rPr>
          <w:lang w:val="en-AU"/>
        </w:rPr>
        <w:t xml:space="preserve"> for use of any services that are not included in </w:t>
      </w:r>
      <w:r w:rsidRPr="00F271B8">
        <w:rPr>
          <w:i/>
          <w:lang w:val="en-AU"/>
        </w:rPr>
        <w:t>your</w:t>
      </w:r>
      <w:r w:rsidRPr="00F271B8">
        <w:rPr>
          <w:lang w:val="en-AU"/>
        </w:rPr>
        <w:t xml:space="preserve"> plan</w:t>
      </w:r>
      <w:r>
        <w:rPr>
          <w:lang w:val="en-AU"/>
        </w:rPr>
        <w:t>'</w:t>
      </w:r>
      <w:r w:rsidRPr="00F271B8">
        <w:rPr>
          <w:lang w:val="en-AU"/>
        </w:rPr>
        <w:t>s inclusions, examples of which are set out in Table 2 below.</w:t>
      </w:r>
    </w:p>
    <w:p w14:paraId="0C2F15C9" w14:textId="77777777" w:rsidR="00E507D4" w:rsidRPr="00F271B8" w:rsidRDefault="00E507D4" w:rsidP="00E507D4">
      <w:pPr>
        <w:pStyle w:val="Heading6"/>
        <w:ind w:left="0" w:firstLine="0"/>
        <w:rPr>
          <w:lang w:val="en-AU"/>
        </w:rPr>
      </w:pPr>
      <w:bookmarkStart w:id="2057" w:name="_Toc452735156"/>
      <w:bookmarkStart w:id="2058" w:name="_Toc453076155"/>
      <w:bookmarkStart w:id="2059" w:name="_Toc455146836"/>
      <w:bookmarkStart w:id="2060" w:name="_Toc508361934"/>
      <w:r w:rsidRPr="00F271B8">
        <w:rPr>
          <w:lang w:val="en-AU"/>
        </w:rPr>
        <w:t>Data Sharing</w:t>
      </w:r>
      <w:bookmarkEnd w:id="2057"/>
      <w:bookmarkEnd w:id="2058"/>
      <w:bookmarkEnd w:id="2059"/>
      <w:bookmarkEnd w:id="2060"/>
    </w:p>
    <w:p w14:paraId="05638628" w14:textId="77777777" w:rsidR="00E507D4" w:rsidRPr="00F271B8" w:rsidRDefault="00E507D4" w:rsidP="00E507D4">
      <w:pPr>
        <w:pStyle w:val="Heading7"/>
        <w:rPr>
          <w:lang w:val="en-AU"/>
        </w:rPr>
      </w:pPr>
      <w:r w:rsidRPr="00F271B8">
        <w:rPr>
          <w:lang w:val="en-AU"/>
        </w:rPr>
        <w:lastRenderedPageBreak/>
        <w:t xml:space="preserve">If </w:t>
      </w:r>
      <w:r w:rsidRPr="00F271B8">
        <w:rPr>
          <w:i/>
          <w:lang w:val="en-AU"/>
        </w:rPr>
        <w:t>you</w:t>
      </w:r>
      <w:r w:rsidRPr="00F271B8">
        <w:rPr>
          <w:lang w:val="en-AU"/>
        </w:rPr>
        <w:t xml:space="preserve"> have more than one My Plan Plus, My Plan Plus SIM Only, My Plan Plus 12M SIM Only, My Plan Business (including Tech Fund), My Plan Business SIM, My Plan Business 12M SIM, My Mobile Broadband Plus or Mobile Broadband Business on the same billing account, the included data will combine into one data pool, which will be shared by all eligible services on that account</w:t>
      </w:r>
      <w:r>
        <w:rPr>
          <w:lang w:val="en-AU"/>
        </w:rPr>
        <w:t xml:space="preserve">. </w:t>
      </w:r>
    </w:p>
    <w:p w14:paraId="561E609B" w14:textId="77777777" w:rsidR="00E507D4" w:rsidRPr="00F271B8" w:rsidRDefault="00E507D4" w:rsidP="00E507D4">
      <w:pPr>
        <w:pStyle w:val="Heading7"/>
        <w:rPr>
          <w:lang w:val="en-AU"/>
        </w:rPr>
      </w:pPr>
      <w:r w:rsidRPr="00F271B8">
        <w:rPr>
          <w:lang w:val="en-AU"/>
        </w:rPr>
        <w:t xml:space="preserve">If </w:t>
      </w:r>
      <w:r w:rsidRPr="00F271B8">
        <w:rPr>
          <w:i/>
          <w:lang w:val="en-AU"/>
        </w:rPr>
        <w:t>you</w:t>
      </w:r>
      <w:r w:rsidRPr="00F271B8">
        <w:rPr>
          <w:lang w:val="en-AU"/>
        </w:rPr>
        <w:t xml:space="preserve"> do not want </w:t>
      </w:r>
      <w:r w:rsidRPr="00F271B8">
        <w:rPr>
          <w:i/>
          <w:lang w:val="en-AU"/>
        </w:rPr>
        <w:t>your</w:t>
      </w:r>
      <w:r w:rsidRPr="00F271B8">
        <w:rPr>
          <w:lang w:val="en-AU"/>
        </w:rPr>
        <w:t xml:space="preserve"> services on any My Plan Plus, My Plan Plus SIM Only, My Plan Plus 12M SIM Only, My Plan Business (including Tech Fund), My Plan Business SIM, My Plan Business 12M SIM, My Mobile Broadband Plus or Mobile Broadband Business plans to share data, they need to be on separate billing accounts</w:t>
      </w:r>
      <w:r>
        <w:rPr>
          <w:lang w:val="en-AU"/>
        </w:rPr>
        <w:t xml:space="preserve">. </w:t>
      </w:r>
    </w:p>
    <w:p w14:paraId="666CFD5D" w14:textId="77777777" w:rsidR="00E507D4" w:rsidRPr="00F271B8" w:rsidRDefault="00E507D4" w:rsidP="00E507D4">
      <w:pPr>
        <w:pStyle w:val="Heading7"/>
        <w:rPr>
          <w:lang w:val="en-AU"/>
        </w:rPr>
      </w:pPr>
      <w:r w:rsidRPr="00F271B8">
        <w:rPr>
          <w:lang w:val="en-AU"/>
        </w:rPr>
        <w:t>Data sharing is only available within Australia.</w:t>
      </w:r>
    </w:p>
    <w:p w14:paraId="7E40B791" w14:textId="77777777" w:rsidR="00E507D4" w:rsidRPr="00F271B8" w:rsidRDefault="00E507D4" w:rsidP="00E507D4">
      <w:pPr>
        <w:pStyle w:val="Heading6"/>
        <w:ind w:left="0" w:firstLine="0"/>
        <w:rPr>
          <w:lang w:val="en-AU"/>
        </w:rPr>
      </w:pPr>
      <w:bookmarkStart w:id="2061" w:name="_Toc452735157"/>
      <w:bookmarkStart w:id="2062" w:name="_Toc453076156"/>
      <w:bookmarkStart w:id="2063" w:name="_Toc455146837"/>
      <w:bookmarkStart w:id="2064" w:name="_Toc508361935"/>
      <w:r w:rsidRPr="00F271B8">
        <w:rPr>
          <w:lang w:val="en-AU"/>
        </w:rPr>
        <w:t>International Minutes</w:t>
      </w:r>
      <w:bookmarkEnd w:id="2061"/>
      <w:bookmarkEnd w:id="2062"/>
      <w:bookmarkEnd w:id="2063"/>
      <w:bookmarkEnd w:id="2064"/>
    </w:p>
    <w:p w14:paraId="13CF2D44" w14:textId="77777777" w:rsidR="00E507D4" w:rsidRPr="00F271B8" w:rsidRDefault="00E507D4" w:rsidP="00E507D4">
      <w:pPr>
        <w:pStyle w:val="BodyText"/>
        <w:ind w:left="720"/>
      </w:pPr>
      <w:r w:rsidRPr="00F271B8">
        <w:t>The $40</w:t>
      </w:r>
      <w:r>
        <w:t>/$50</w:t>
      </w:r>
      <w:r w:rsidRPr="00F271B8">
        <w:t xml:space="preserve"> My Plan Business 12M SIM plan</w:t>
      </w:r>
      <w:r>
        <w:t>s</w:t>
      </w:r>
      <w:r w:rsidRPr="00F271B8">
        <w:t xml:space="preserve"> includes up to 300</w:t>
      </w:r>
      <w:r>
        <w:t>/500</w:t>
      </w:r>
      <w:r w:rsidRPr="00F271B8">
        <w:t xml:space="preserve"> international minutes</w:t>
      </w:r>
      <w:r>
        <w:t xml:space="preserve"> (respectively) </w:t>
      </w:r>
      <w:r w:rsidRPr="00F271B8">
        <w:t>for standard calls to mobiles and fixed lines to selected countries from within Australia</w:t>
      </w:r>
      <w:r>
        <w:t xml:space="preserve">. </w:t>
      </w:r>
      <w:r w:rsidRPr="00F271B8">
        <w:t>For a list of selected countries see Table 3 below.</w:t>
      </w:r>
    </w:p>
    <w:p w14:paraId="0E083949" w14:textId="77777777" w:rsidR="00E507D4" w:rsidRPr="00F271B8" w:rsidRDefault="00E507D4" w:rsidP="00E507D4">
      <w:pPr>
        <w:pStyle w:val="BodyText"/>
        <w:ind w:left="720"/>
      </w:pPr>
      <w:r w:rsidRPr="00F271B8">
        <w:t>Calls are charged per minute</w:t>
      </w:r>
      <w:r>
        <w:t xml:space="preserve">. </w:t>
      </w:r>
      <w:r w:rsidRPr="00F271B8">
        <w:t xml:space="preserve">When included international minutes for calls to selected countries are used up, standard </w:t>
      </w:r>
      <w:r>
        <w:t>'</w:t>
      </w:r>
      <w:r w:rsidRPr="00F271B8">
        <w:t>yes</w:t>
      </w:r>
      <w:r>
        <w:t>'</w:t>
      </w:r>
      <w:r w:rsidRPr="00F271B8">
        <w:t xml:space="preserve"> international call charges apply</w:t>
      </w:r>
      <w:r>
        <w:t xml:space="preserve">. </w:t>
      </w:r>
    </w:p>
    <w:p w14:paraId="6C8A661B" w14:textId="77777777" w:rsidR="00E507D4" w:rsidRPr="00F271B8" w:rsidRDefault="00E507D4" w:rsidP="00E507D4">
      <w:pPr>
        <w:pStyle w:val="Heading6"/>
        <w:ind w:left="0" w:firstLine="0"/>
        <w:rPr>
          <w:lang w:val="en-AU"/>
        </w:rPr>
      </w:pPr>
      <w:bookmarkStart w:id="2065" w:name="_Toc452735158"/>
      <w:bookmarkStart w:id="2066" w:name="_Toc453076157"/>
      <w:bookmarkStart w:id="2067" w:name="_Toc455146838"/>
      <w:bookmarkStart w:id="2068" w:name="_Toc508361936"/>
      <w:r w:rsidRPr="00F271B8">
        <w:rPr>
          <w:lang w:val="en-AU"/>
        </w:rPr>
        <w:t>Unlimited standard national SMS and MMS</w:t>
      </w:r>
      <w:bookmarkEnd w:id="2065"/>
      <w:bookmarkEnd w:id="2066"/>
      <w:bookmarkEnd w:id="2067"/>
      <w:bookmarkEnd w:id="2068"/>
    </w:p>
    <w:p w14:paraId="147C09AE" w14:textId="77777777" w:rsidR="00E507D4" w:rsidRPr="00F271B8" w:rsidRDefault="00E507D4" w:rsidP="00E507D4">
      <w:pPr>
        <w:pStyle w:val="BodyText"/>
        <w:ind w:left="720"/>
      </w:pPr>
      <w:r w:rsidRPr="00F271B8">
        <w:rPr>
          <w:i/>
        </w:rPr>
        <w:t>You</w:t>
      </w:r>
      <w:r w:rsidRPr="00F271B8">
        <w:t xml:space="preserve"> may send unlimited standard SMS and MMS to Australian mobiles from within Australia.</w:t>
      </w:r>
    </w:p>
    <w:p w14:paraId="758C1307" w14:textId="77777777" w:rsidR="00E507D4" w:rsidRPr="00F271B8" w:rsidRDefault="00E507D4" w:rsidP="00E507D4">
      <w:pPr>
        <w:pStyle w:val="BodyText"/>
        <w:ind w:left="720"/>
        <w:rPr>
          <w:i/>
          <w:szCs w:val="20"/>
          <w:u w:val="single"/>
        </w:rPr>
      </w:pPr>
      <w:r w:rsidRPr="00F271B8">
        <w:rPr>
          <w:szCs w:val="20"/>
        </w:rPr>
        <w:t xml:space="preserve">Unlimited standard national SMS and MMS are only available for personal use and are not to be used for a commercial or non-ordinary purpose as set out in the </w:t>
      </w:r>
      <w:hyperlink r:id="rId821" w:history="1">
        <w:r w:rsidRPr="00F271B8">
          <w:rPr>
            <w:rStyle w:val="Hyperlink"/>
            <w:i/>
            <w:szCs w:val="20"/>
          </w:rPr>
          <w:t>Fair Go Policy</w:t>
        </w:r>
      </w:hyperlink>
      <w:r>
        <w:rPr>
          <w:szCs w:val="20"/>
        </w:rPr>
        <w:t xml:space="preserve">. </w:t>
      </w:r>
      <w:r w:rsidRPr="00F271B8">
        <w:rPr>
          <w:szCs w:val="20"/>
        </w:rPr>
        <w:t xml:space="preserve">For further details refer to </w:t>
      </w:r>
      <w:hyperlink r:id="rId822" w:history="1">
        <w:r w:rsidRPr="00F271B8">
          <w:rPr>
            <w:rStyle w:val="Hyperlink"/>
            <w:i/>
            <w:szCs w:val="20"/>
          </w:rPr>
          <w:t>Appendix</w:t>
        </w:r>
        <w:r>
          <w:rPr>
            <w:rStyle w:val="Hyperlink"/>
            <w:i/>
            <w:szCs w:val="20"/>
          </w:rPr>
          <w:t> </w:t>
        </w:r>
        <w:r w:rsidRPr="00F271B8">
          <w:rPr>
            <w:rStyle w:val="Hyperlink"/>
            <w:i/>
            <w:szCs w:val="20"/>
          </w:rPr>
          <w:t>S</w:t>
        </w:r>
      </w:hyperlink>
      <w:r w:rsidRPr="00FE65F4">
        <w:rPr>
          <w:i/>
          <w:szCs w:val="20"/>
        </w:rPr>
        <w:t>.</w:t>
      </w:r>
    </w:p>
    <w:p w14:paraId="19C2E3F0" w14:textId="77777777" w:rsidR="00E507D4" w:rsidRPr="00F271B8" w:rsidRDefault="00E507D4" w:rsidP="00E507D4">
      <w:pPr>
        <w:pStyle w:val="Heading6"/>
        <w:ind w:left="0" w:firstLine="0"/>
        <w:rPr>
          <w:lang w:val="en-AU"/>
        </w:rPr>
      </w:pPr>
      <w:bookmarkStart w:id="2069" w:name="_Toc452735159"/>
      <w:bookmarkStart w:id="2070" w:name="_Toc453076158"/>
      <w:bookmarkStart w:id="2071" w:name="_Toc455146839"/>
      <w:bookmarkStart w:id="2072" w:name="_Toc508361937"/>
      <w:r w:rsidRPr="00F271B8">
        <w:rPr>
          <w:lang w:val="en-AU"/>
        </w:rPr>
        <w:t>Unlimited standard international SMS and MMS</w:t>
      </w:r>
      <w:bookmarkEnd w:id="2069"/>
      <w:bookmarkEnd w:id="2070"/>
      <w:bookmarkEnd w:id="2071"/>
      <w:bookmarkEnd w:id="2072"/>
    </w:p>
    <w:p w14:paraId="64AF3358" w14:textId="77777777" w:rsidR="00E507D4" w:rsidRPr="00F271B8" w:rsidRDefault="00E507D4" w:rsidP="00E507D4">
      <w:pPr>
        <w:pStyle w:val="BodyText"/>
        <w:ind w:left="720"/>
      </w:pPr>
      <w:r w:rsidRPr="00F271B8">
        <w:rPr>
          <w:i/>
        </w:rPr>
        <w:t>You</w:t>
      </w:r>
      <w:r w:rsidRPr="00F271B8">
        <w:t xml:space="preserve"> may send unlimited standard SMS and MMS to selected countries from within Australia</w:t>
      </w:r>
      <w:r>
        <w:t xml:space="preserve">. </w:t>
      </w:r>
      <w:r w:rsidRPr="00F271B8">
        <w:t>For a list of selected countries see Table 3 below.</w:t>
      </w:r>
    </w:p>
    <w:p w14:paraId="3051A9E9" w14:textId="77777777" w:rsidR="00E507D4" w:rsidRPr="00F271B8" w:rsidRDefault="00E507D4" w:rsidP="00E507D4">
      <w:pPr>
        <w:pStyle w:val="BodyText"/>
        <w:ind w:left="720"/>
        <w:rPr>
          <w:szCs w:val="20"/>
          <w:u w:val="single"/>
        </w:rPr>
      </w:pPr>
      <w:r w:rsidRPr="00F271B8">
        <w:rPr>
          <w:szCs w:val="20"/>
        </w:rPr>
        <w:t>Unlimited standard SMS and MMS are only available for personal use and are not to be used for a commercial or non-ordinary purpose as set out in the Fair Go Policy</w:t>
      </w:r>
      <w:r>
        <w:rPr>
          <w:szCs w:val="20"/>
        </w:rPr>
        <w:t xml:space="preserve">. </w:t>
      </w:r>
      <w:r w:rsidRPr="00F271B8">
        <w:rPr>
          <w:szCs w:val="20"/>
        </w:rPr>
        <w:t xml:space="preserve">For further details refer to </w:t>
      </w:r>
      <w:hyperlink r:id="rId823" w:history="1">
        <w:r w:rsidRPr="00F271B8">
          <w:rPr>
            <w:rStyle w:val="Hyperlink"/>
            <w:i/>
            <w:szCs w:val="20"/>
          </w:rPr>
          <w:t>Appendix</w:t>
        </w:r>
        <w:r>
          <w:rPr>
            <w:rStyle w:val="Hyperlink"/>
            <w:i/>
            <w:szCs w:val="20"/>
          </w:rPr>
          <w:t> </w:t>
        </w:r>
        <w:r w:rsidRPr="00F271B8">
          <w:rPr>
            <w:rStyle w:val="Hyperlink"/>
            <w:i/>
            <w:szCs w:val="20"/>
          </w:rPr>
          <w:t>S</w:t>
        </w:r>
      </w:hyperlink>
      <w:r w:rsidRPr="00FE65F4">
        <w:rPr>
          <w:i/>
          <w:szCs w:val="20"/>
        </w:rPr>
        <w:t>.</w:t>
      </w:r>
    </w:p>
    <w:p w14:paraId="47F01B8C" w14:textId="77777777" w:rsidR="00E507D4" w:rsidRPr="00F271B8" w:rsidRDefault="00E507D4" w:rsidP="00E507D4">
      <w:pPr>
        <w:pStyle w:val="BodyText"/>
        <w:ind w:left="720"/>
        <w:rPr>
          <w:b/>
          <w:lang w:val="en-AU"/>
        </w:rPr>
      </w:pPr>
      <w:r w:rsidRPr="00F271B8">
        <w:rPr>
          <w:b/>
          <w:lang w:val="en-AU"/>
        </w:rPr>
        <w:t>Table 1 –Plan Inclusions and Charges</w:t>
      </w:r>
    </w:p>
    <w:tbl>
      <w:tblPr>
        <w:tblW w:w="4602"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5"/>
        <w:gridCol w:w="2817"/>
        <w:gridCol w:w="2815"/>
      </w:tblGrid>
      <w:tr w:rsidR="00E507D4" w:rsidRPr="00F271B8" w14:paraId="38BA964D" w14:textId="77777777" w:rsidTr="00B95821">
        <w:trPr>
          <w:trHeight w:val="64"/>
        </w:trPr>
        <w:tc>
          <w:tcPr>
            <w:tcW w:w="1997" w:type="pct"/>
            <w:shd w:val="clear" w:color="auto" w:fill="auto"/>
          </w:tcPr>
          <w:p w14:paraId="615DA3C6" w14:textId="77777777" w:rsidR="00E507D4" w:rsidRPr="00F271B8" w:rsidRDefault="00E507D4" w:rsidP="00B95821">
            <w:pPr>
              <w:pStyle w:val="BodyText"/>
              <w:spacing w:before="100" w:after="100"/>
              <w:jc w:val="center"/>
            </w:pPr>
          </w:p>
        </w:tc>
        <w:tc>
          <w:tcPr>
            <w:tcW w:w="1502" w:type="pct"/>
          </w:tcPr>
          <w:p w14:paraId="6060BB91" w14:textId="77777777" w:rsidR="00E507D4" w:rsidRPr="003626D2" w:rsidDel="00844E85" w:rsidRDefault="00E507D4" w:rsidP="00B95821">
            <w:pPr>
              <w:pStyle w:val="BodyText"/>
              <w:spacing w:before="100" w:after="100"/>
              <w:jc w:val="center"/>
              <w:rPr>
                <w:b/>
              </w:rPr>
            </w:pPr>
            <w:r w:rsidRPr="003626D2">
              <w:rPr>
                <w:b/>
              </w:rPr>
              <w:t>$40 My Plan Business 12M SIM</w:t>
            </w:r>
          </w:p>
        </w:tc>
        <w:tc>
          <w:tcPr>
            <w:tcW w:w="1501" w:type="pct"/>
          </w:tcPr>
          <w:p w14:paraId="7A08A54E" w14:textId="77777777" w:rsidR="00E507D4" w:rsidRPr="003626D2" w:rsidRDefault="00E507D4" w:rsidP="00B95821">
            <w:pPr>
              <w:pStyle w:val="BodyText"/>
              <w:spacing w:before="100" w:after="100"/>
              <w:jc w:val="center"/>
              <w:rPr>
                <w:b/>
              </w:rPr>
            </w:pPr>
            <w:r>
              <w:rPr>
                <w:b/>
              </w:rPr>
              <w:t>$5</w:t>
            </w:r>
            <w:r w:rsidRPr="003626D2">
              <w:rPr>
                <w:b/>
              </w:rPr>
              <w:t>0 My Plan Business 12M SIM</w:t>
            </w:r>
          </w:p>
        </w:tc>
      </w:tr>
      <w:tr w:rsidR="00E507D4" w:rsidRPr="00F271B8" w14:paraId="0EFED538" w14:textId="77777777" w:rsidTr="00B95821">
        <w:tc>
          <w:tcPr>
            <w:tcW w:w="1997" w:type="pct"/>
            <w:shd w:val="clear" w:color="auto" w:fill="auto"/>
          </w:tcPr>
          <w:p w14:paraId="6924D047" w14:textId="77777777" w:rsidR="00E507D4" w:rsidRPr="00F271B8" w:rsidRDefault="00E507D4" w:rsidP="00B95821">
            <w:pPr>
              <w:pStyle w:val="BodyText"/>
              <w:spacing w:before="100" w:after="100"/>
            </w:pPr>
            <w:r w:rsidRPr="00F271B8">
              <w:rPr>
                <w:b/>
                <w:bCs/>
              </w:rPr>
              <w:t>Minimum Monthly charge</w:t>
            </w:r>
          </w:p>
        </w:tc>
        <w:tc>
          <w:tcPr>
            <w:tcW w:w="1502" w:type="pct"/>
            <w:vAlign w:val="center"/>
          </w:tcPr>
          <w:p w14:paraId="4457187F" w14:textId="77777777" w:rsidR="00E507D4" w:rsidRPr="00F271B8" w:rsidDel="00844E85" w:rsidRDefault="00E507D4" w:rsidP="00B95821">
            <w:pPr>
              <w:pStyle w:val="BodyText"/>
              <w:spacing w:before="100" w:after="100"/>
              <w:jc w:val="center"/>
            </w:pPr>
            <w:r w:rsidRPr="00F271B8">
              <w:t>$40</w:t>
            </w:r>
          </w:p>
        </w:tc>
        <w:tc>
          <w:tcPr>
            <w:tcW w:w="1501" w:type="pct"/>
            <w:vAlign w:val="center"/>
          </w:tcPr>
          <w:p w14:paraId="5C539EC5" w14:textId="77777777" w:rsidR="00E507D4" w:rsidRPr="00F271B8" w:rsidRDefault="00E507D4" w:rsidP="00B95821">
            <w:pPr>
              <w:pStyle w:val="BodyText"/>
              <w:spacing w:before="100" w:after="100"/>
              <w:jc w:val="center"/>
            </w:pPr>
            <w:r>
              <w:t>$5</w:t>
            </w:r>
            <w:r w:rsidRPr="00F271B8">
              <w:t>0</w:t>
            </w:r>
          </w:p>
        </w:tc>
      </w:tr>
      <w:tr w:rsidR="00E507D4" w:rsidRPr="00F271B8" w14:paraId="7751D376" w14:textId="77777777" w:rsidTr="00B95821">
        <w:tc>
          <w:tcPr>
            <w:tcW w:w="1997" w:type="pct"/>
            <w:shd w:val="clear" w:color="auto" w:fill="auto"/>
            <w:vAlign w:val="center"/>
          </w:tcPr>
          <w:p w14:paraId="61467D2A" w14:textId="77777777" w:rsidR="00E507D4" w:rsidRPr="00F271B8" w:rsidRDefault="00E507D4" w:rsidP="00B95821">
            <w:pPr>
              <w:pStyle w:val="BodyText"/>
              <w:spacing w:before="100" w:after="100"/>
            </w:pPr>
            <w:r w:rsidRPr="00F271B8">
              <w:rPr>
                <w:b/>
                <w:bCs/>
              </w:rPr>
              <w:t>Included Data</w:t>
            </w:r>
          </w:p>
        </w:tc>
        <w:tc>
          <w:tcPr>
            <w:tcW w:w="1502" w:type="pct"/>
            <w:vAlign w:val="center"/>
          </w:tcPr>
          <w:p w14:paraId="683C9A75" w14:textId="77777777" w:rsidR="00E507D4" w:rsidRPr="00F271B8" w:rsidDel="00844E85" w:rsidRDefault="00E507D4" w:rsidP="00B95821">
            <w:pPr>
              <w:pStyle w:val="BodyText"/>
              <w:spacing w:before="100" w:after="100"/>
              <w:jc w:val="center"/>
            </w:pPr>
            <w:r w:rsidRPr="00F271B8">
              <w:t>10GB</w:t>
            </w:r>
          </w:p>
        </w:tc>
        <w:tc>
          <w:tcPr>
            <w:tcW w:w="1501" w:type="pct"/>
            <w:vAlign w:val="center"/>
          </w:tcPr>
          <w:p w14:paraId="77FE7169" w14:textId="77777777" w:rsidR="00E507D4" w:rsidRPr="00F271B8" w:rsidRDefault="00E507D4" w:rsidP="00B95821">
            <w:pPr>
              <w:pStyle w:val="BodyText"/>
              <w:spacing w:before="100" w:after="100"/>
              <w:jc w:val="center"/>
            </w:pPr>
            <w:r>
              <w:t>15</w:t>
            </w:r>
            <w:r w:rsidRPr="00F271B8">
              <w:t>GB</w:t>
            </w:r>
          </w:p>
        </w:tc>
      </w:tr>
      <w:tr w:rsidR="00E507D4" w:rsidRPr="00F271B8" w14:paraId="4A3CB15D" w14:textId="77777777" w:rsidTr="00B95821">
        <w:trPr>
          <w:trHeight w:val="64"/>
        </w:trPr>
        <w:tc>
          <w:tcPr>
            <w:tcW w:w="1997" w:type="pct"/>
            <w:shd w:val="clear" w:color="auto" w:fill="auto"/>
            <w:vAlign w:val="center"/>
          </w:tcPr>
          <w:p w14:paraId="192A3BB3" w14:textId="77777777" w:rsidR="00E507D4" w:rsidRPr="00F271B8" w:rsidRDefault="00E507D4" w:rsidP="00B95821">
            <w:pPr>
              <w:pStyle w:val="BodyText"/>
              <w:spacing w:before="100" w:after="100"/>
              <w:rPr>
                <w:b/>
                <w:bCs/>
              </w:rPr>
            </w:pPr>
            <w:r w:rsidRPr="00F271B8">
              <w:rPr>
                <w:b/>
                <w:bCs/>
              </w:rPr>
              <w:t>Additional</w:t>
            </w:r>
            <w:r>
              <w:rPr>
                <w:b/>
                <w:bCs/>
              </w:rPr>
              <w:t xml:space="preserve"> </w:t>
            </w:r>
            <w:r w:rsidRPr="00F271B8">
              <w:rPr>
                <w:b/>
                <w:bCs/>
              </w:rPr>
              <w:t>Data</w:t>
            </w:r>
          </w:p>
        </w:tc>
        <w:tc>
          <w:tcPr>
            <w:tcW w:w="3003" w:type="pct"/>
            <w:gridSpan w:val="2"/>
          </w:tcPr>
          <w:p w14:paraId="0440EFD0" w14:textId="77777777" w:rsidR="00E507D4" w:rsidRPr="00F271B8" w:rsidRDefault="00E507D4" w:rsidP="00B95821">
            <w:pPr>
              <w:pStyle w:val="BodyText"/>
              <w:spacing w:before="100" w:after="100"/>
              <w:jc w:val="center"/>
            </w:pPr>
            <w:r w:rsidRPr="00F271B8">
              <w:t>Additional data $10 per 1GB</w:t>
            </w:r>
          </w:p>
        </w:tc>
      </w:tr>
      <w:tr w:rsidR="00E507D4" w:rsidRPr="00F271B8" w14:paraId="2B7FC61B" w14:textId="77777777" w:rsidTr="00B95821">
        <w:tc>
          <w:tcPr>
            <w:tcW w:w="1997" w:type="pct"/>
            <w:shd w:val="clear" w:color="auto" w:fill="auto"/>
          </w:tcPr>
          <w:p w14:paraId="156D1C79" w14:textId="77777777" w:rsidR="00E507D4" w:rsidRPr="00F271B8" w:rsidRDefault="00E507D4" w:rsidP="00B95821">
            <w:pPr>
              <w:pStyle w:val="BodyText"/>
              <w:spacing w:before="100" w:after="100"/>
              <w:rPr>
                <w:b/>
                <w:bCs/>
              </w:rPr>
            </w:pPr>
            <w:r w:rsidRPr="00F271B8">
              <w:rPr>
                <w:b/>
                <w:bCs/>
              </w:rPr>
              <w:t>Included Minutes</w:t>
            </w:r>
          </w:p>
          <w:p w14:paraId="15E9FFB6" w14:textId="77777777" w:rsidR="00E507D4" w:rsidRPr="00F271B8" w:rsidRDefault="00E507D4" w:rsidP="00B95821">
            <w:pPr>
              <w:pStyle w:val="BodyText"/>
              <w:spacing w:before="100" w:after="100"/>
              <w:rPr>
                <w:b/>
                <w:bCs/>
              </w:rPr>
            </w:pPr>
            <w:r w:rsidRPr="00F271B8">
              <w:rPr>
                <w:bCs/>
              </w:rPr>
              <w:t>for standard national calls to landlines and mobiles, 1300 numbers and voicemail, within Australia</w:t>
            </w:r>
          </w:p>
        </w:tc>
        <w:tc>
          <w:tcPr>
            <w:tcW w:w="1502" w:type="pct"/>
            <w:vAlign w:val="center"/>
          </w:tcPr>
          <w:p w14:paraId="4D03B3F8" w14:textId="77777777" w:rsidR="00E507D4" w:rsidRPr="00F271B8" w:rsidDel="00844E85" w:rsidRDefault="00E507D4" w:rsidP="00B95821">
            <w:pPr>
              <w:pStyle w:val="BodyText"/>
              <w:spacing w:before="100" w:after="100"/>
              <w:jc w:val="center"/>
            </w:pPr>
            <w:r w:rsidRPr="00F271B8">
              <w:t>Unlimited</w:t>
            </w:r>
          </w:p>
        </w:tc>
        <w:tc>
          <w:tcPr>
            <w:tcW w:w="1501" w:type="pct"/>
            <w:vAlign w:val="center"/>
          </w:tcPr>
          <w:p w14:paraId="221C1C8B" w14:textId="77777777" w:rsidR="00E507D4" w:rsidRPr="00F271B8" w:rsidRDefault="00E507D4" w:rsidP="00B95821">
            <w:pPr>
              <w:pStyle w:val="BodyText"/>
              <w:spacing w:before="100" w:after="100"/>
              <w:jc w:val="center"/>
            </w:pPr>
            <w:r w:rsidRPr="00F271B8">
              <w:t>Unlimited</w:t>
            </w:r>
          </w:p>
        </w:tc>
      </w:tr>
      <w:tr w:rsidR="00E507D4" w:rsidRPr="00F271B8" w14:paraId="67A9ADE1" w14:textId="77777777" w:rsidTr="00B95821">
        <w:tc>
          <w:tcPr>
            <w:tcW w:w="1997" w:type="pct"/>
            <w:shd w:val="clear" w:color="auto" w:fill="auto"/>
          </w:tcPr>
          <w:p w14:paraId="5FDFC9D5" w14:textId="77777777" w:rsidR="00E507D4" w:rsidRPr="00F271B8" w:rsidRDefault="00E507D4" w:rsidP="00B95821">
            <w:pPr>
              <w:pStyle w:val="BodyText"/>
              <w:spacing w:before="100" w:after="100"/>
              <w:rPr>
                <w:b/>
                <w:bCs/>
              </w:rPr>
            </w:pPr>
            <w:r w:rsidRPr="00F271B8">
              <w:rPr>
                <w:b/>
                <w:bCs/>
              </w:rPr>
              <w:t>Included International Minutes</w:t>
            </w:r>
          </w:p>
          <w:p w14:paraId="274EC9EC" w14:textId="77777777" w:rsidR="00E507D4" w:rsidRPr="00F271B8" w:rsidRDefault="00E507D4" w:rsidP="00B95821">
            <w:pPr>
              <w:pStyle w:val="BodyText"/>
              <w:spacing w:before="100" w:after="100"/>
              <w:rPr>
                <w:b/>
                <w:bCs/>
              </w:rPr>
            </w:pPr>
            <w:r w:rsidRPr="00F271B8">
              <w:t>Standard international calls to landlines and mobiles</w:t>
            </w:r>
            <w:r>
              <w:t xml:space="preserve"> </w:t>
            </w:r>
            <w:r w:rsidRPr="00F271B8">
              <w:t xml:space="preserve">to selected countries </w:t>
            </w:r>
          </w:p>
        </w:tc>
        <w:tc>
          <w:tcPr>
            <w:tcW w:w="1502" w:type="pct"/>
            <w:vAlign w:val="center"/>
          </w:tcPr>
          <w:p w14:paraId="14A51889" w14:textId="77777777" w:rsidR="00E507D4" w:rsidRPr="00F271B8" w:rsidDel="00844E85" w:rsidRDefault="00E507D4" w:rsidP="00B95821">
            <w:pPr>
              <w:pStyle w:val="BodyText"/>
              <w:spacing w:before="100" w:after="100"/>
              <w:jc w:val="center"/>
              <w:rPr>
                <w:bCs/>
              </w:rPr>
            </w:pPr>
            <w:r w:rsidRPr="00F271B8">
              <w:rPr>
                <w:bCs/>
              </w:rPr>
              <w:t>Up to 300 mins</w:t>
            </w:r>
          </w:p>
        </w:tc>
        <w:tc>
          <w:tcPr>
            <w:tcW w:w="1501" w:type="pct"/>
            <w:vAlign w:val="center"/>
          </w:tcPr>
          <w:p w14:paraId="1CAB0348" w14:textId="77777777" w:rsidR="00E507D4" w:rsidRPr="00F271B8" w:rsidRDefault="00E507D4" w:rsidP="00B95821">
            <w:pPr>
              <w:pStyle w:val="BodyText"/>
              <w:spacing w:before="100" w:after="100"/>
              <w:jc w:val="center"/>
              <w:rPr>
                <w:bCs/>
              </w:rPr>
            </w:pPr>
            <w:r>
              <w:rPr>
                <w:bCs/>
              </w:rPr>
              <w:t>Up to 5</w:t>
            </w:r>
            <w:r w:rsidRPr="00F271B8">
              <w:rPr>
                <w:bCs/>
              </w:rPr>
              <w:t>00 mins</w:t>
            </w:r>
          </w:p>
        </w:tc>
      </w:tr>
      <w:tr w:rsidR="00E507D4" w:rsidRPr="00F271B8" w14:paraId="4B95180C" w14:textId="77777777" w:rsidTr="00B95821">
        <w:tc>
          <w:tcPr>
            <w:tcW w:w="1997" w:type="pct"/>
            <w:shd w:val="clear" w:color="auto" w:fill="auto"/>
          </w:tcPr>
          <w:p w14:paraId="738090F0" w14:textId="77777777" w:rsidR="00E507D4" w:rsidRPr="00F271B8" w:rsidRDefault="00E507D4" w:rsidP="00B95821">
            <w:pPr>
              <w:pStyle w:val="BodyText"/>
              <w:spacing w:before="100" w:after="100"/>
            </w:pPr>
            <w:r w:rsidRPr="00F271B8">
              <w:rPr>
                <w:b/>
                <w:bCs/>
              </w:rPr>
              <w:t xml:space="preserve">Standard national SMS </w:t>
            </w:r>
            <w:r w:rsidRPr="00F271B8">
              <w:t>(per SMS of up to 160 standard characters)</w:t>
            </w:r>
          </w:p>
        </w:tc>
        <w:tc>
          <w:tcPr>
            <w:tcW w:w="1502" w:type="pct"/>
            <w:vAlign w:val="center"/>
          </w:tcPr>
          <w:p w14:paraId="26453F39" w14:textId="77777777" w:rsidR="00E507D4" w:rsidRPr="00F271B8" w:rsidDel="00844E85" w:rsidRDefault="00E507D4" w:rsidP="00B95821">
            <w:pPr>
              <w:pStyle w:val="BodyText"/>
              <w:spacing w:before="100" w:after="100"/>
              <w:jc w:val="center"/>
            </w:pPr>
            <w:r w:rsidRPr="00F271B8">
              <w:t>Unlimited</w:t>
            </w:r>
          </w:p>
        </w:tc>
        <w:tc>
          <w:tcPr>
            <w:tcW w:w="1501" w:type="pct"/>
            <w:vAlign w:val="center"/>
          </w:tcPr>
          <w:p w14:paraId="4997473F" w14:textId="77777777" w:rsidR="00E507D4" w:rsidRPr="00F271B8" w:rsidRDefault="00E507D4" w:rsidP="00B95821">
            <w:pPr>
              <w:pStyle w:val="BodyText"/>
              <w:spacing w:before="100" w:after="100"/>
              <w:jc w:val="center"/>
            </w:pPr>
            <w:r w:rsidRPr="00F271B8">
              <w:t>Unlimited</w:t>
            </w:r>
          </w:p>
        </w:tc>
      </w:tr>
      <w:tr w:rsidR="00E507D4" w:rsidRPr="00F271B8" w14:paraId="2282F611" w14:textId="77777777" w:rsidTr="00B95821">
        <w:tc>
          <w:tcPr>
            <w:tcW w:w="1997" w:type="pct"/>
            <w:shd w:val="clear" w:color="auto" w:fill="auto"/>
          </w:tcPr>
          <w:p w14:paraId="31C86E3C" w14:textId="77777777" w:rsidR="00E507D4" w:rsidRPr="00F271B8" w:rsidRDefault="00E507D4" w:rsidP="00B95821">
            <w:pPr>
              <w:pStyle w:val="BodyText"/>
              <w:spacing w:before="100" w:after="100"/>
              <w:rPr>
                <w:b/>
                <w:bCs/>
              </w:rPr>
            </w:pPr>
            <w:r w:rsidRPr="00F271B8">
              <w:rPr>
                <w:b/>
                <w:bCs/>
              </w:rPr>
              <w:lastRenderedPageBreak/>
              <w:t xml:space="preserve">Standard national MMS </w:t>
            </w:r>
            <w:r w:rsidRPr="00F271B8">
              <w:t>(per message)</w:t>
            </w:r>
          </w:p>
        </w:tc>
        <w:tc>
          <w:tcPr>
            <w:tcW w:w="1502" w:type="pct"/>
            <w:vAlign w:val="center"/>
          </w:tcPr>
          <w:p w14:paraId="7139C085" w14:textId="77777777" w:rsidR="00E507D4" w:rsidRPr="00F271B8" w:rsidDel="00844E85" w:rsidRDefault="00E507D4" w:rsidP="00B95821">
            <w:pPr>
              <w:pStyle w:val="BodyText"/>
              <w:spacing w:before="100" w:after="100"/>
              <w:jc w:val="center"/>
            </w:pPr>
            <w:r w:rsidRPr="00F271B8">
              <w:t>Unlimited</w:t>
            </w:r>
          </w:p>
        </w:tc>
        <w:tc>
          <w:tcPr>
            <w:tcW w:w="1501" w:type="pct"/>
            <w:vAlign w:val="center"/>
          </w:tcPr>
          <w:p w14:paraId="4F9BAE85" w14:textId="77777777" w:rsidR="00E507D4" w:rsidRPr="00F271B8" w:rsidRDefault="00E507D4" w:rsidP="00B95821">
            <w:pPr>
              <w:pStyle w:val="BodyText"/>
              <w:spacing w:before="100" w:after="100"/>
              <w:jc w:val="center"/>
            </w:pPr>
            <w:r w:rsidRPr="00F271B8">
              <w:t>Unlimited</w:t>
            </w:r>
          </w:p>
        </w:tc>
      </w:tr>
      <w:tr w:rsidR="00E507D4" w:rsidRPr="00F271B8" w14:paraId="4EAD0981" w14:textId="77777777" w:rsidTr="00B95821">
        <w:tc>
          <w:tcPr>
            <w:tcW w:w="1997" w:type="pct"/>
            <w:shd w:val="clear" w:color="auto" w:fill="auto"/>
          </w:tcPr>
          <w:p w14:paraId="1526A42C" w14:textId="77777777" w:rsidR="00E507D4" w:rsidRPr="00F271B8" w:rsidDel="00064B49" w:rsidRDefault="00E507D4" w:rsidP="00B95821">
            <w:pPr>
              <w:pStyle w:val="BodyText"/>
              <w:spacing w:before="100" w:after="100"/>
              <w:rPr>
                <w:b/>
                <w:bCs/>
              </w:rPr>
            </w:pPr>
            <w:r w:rsidRPr="00F271B8">
              <w:rPr>
                <w:b/>
                <w:bCs/>
              </w:rPr>
              <w:t xml:space="preserve">Standard international SMS </w:t>
            </w:r>
            <w:r w:rsidRPr="00F271B8">
              <w:t>(per SMS of up to 160 standard characters to selected countries)</w:t>
            </w:r>
          </w:p>
        </w:tc>
        <w:tc>
          <w:tcPr>
            <w:tcW w:w="1502" w:type="pct"/>
            <w:vAlign w:val="center"/>
          </w:tcPr>
          <w:p w14:paraId="0674F618" w14:textId="77777777" w:rsidR="00E507D4" w:rsidRPr="00F271B8" w:rsidDel="00844E85" w:rsidRDefault="00E507D4" w:rsidP="00B95821">
            <w:pPr>
              <w:pStyle w:val="BodyText"/>
              <w:spacing w:before="100" w:after="100"/>
              <w:jc w:val="center"/>
            </w:pPr>
            <w:r w:rsidRPr="00F271B8">
              <w:t>Unlimited</w:t>
            </w:r>
          </w:p>
        </w:tc>
        <w:tc>
          <w:tcPr>
            <w:tcW w:w="1501" w:type="pct"/>
            <w:vAlign w:val="center"/>
          </w:tcPr>
          <w:p w14:paraId="50119C7B" w14:textId="77777777" w:rsidR="00E507D4" w:rsidRPr="00F271B8" w:rsidRDefault="00E507D4" w:rsidP="00B95821">
            <w:pPr>
              <w:pStyle w:val="BodyText"/>
              <w:spacing w:before="100" w:after="100"/>
              <w:jc w:val="center"/>
            </w:pPr>
            <w:r w:rsidRPr="00F271B8">
              <w:t>Unlimited</w:t>
            </w:r>
          </w:p>
        </w:tc>
      </w:tr>
      <w:tr w:rsidR="00E507D4" w:rsidRPr="00F271B8" w14:paraId="1595696B" w14:textId="77777777" w:rsidTr="00B95821">
        <w:tc>
          <w:tcPr>
            <w:tcW w:w="1997" w:type="pct"/>
            <w:shd w:val="clear" w:color="auto" w:fill="auto"/>
          </w:tcPr>
          <w:p w14:paraId="5F526624" w14:textId="77777777" w:rsidR="00E507D4" w:rsidRPr="00F271B8" w:rsidRDefault="00E507D4" w:rsidP="00B95821">
            <w:pPr>
              <w:pStyle w:val="BodyText"/>
              <w:spacing w:before="100" w:after="100"/>
              <w:rPr>
                <w:b/>
                <w:bCs/>
              </w:rPr>
            </w:pPr>
            <w:r w:rsidRPr="00F271B8">
              <w:rPr>
                <w:b/>
                <w:bCs/>
              </w:rPr>
              <w:t xml:space="preserve">Standard international MMS </w:t>
            </w:r>
            <w:r w:rsidRPr="00F271B8">
              <w:t>(per message to selected countries)</w:t>
            </w:r>
          </w:p>
        </w:tc>
        <w:tc>
          <w:tcPr>
            <w:tcW w:w="1502" w:type="pct"/>
            <w:vAlign w:val="center"/>
          </w:tcPr>
          <w:p w14:paraId="77254978" w14:textId="77777777" w:rsidR="00E507D4" w:rsidRPr="00F271B8" w:rsidDel="00844E85" w:rsidRDefault="00E507D4" w:rsidP="00B95821">
            <w:pPr>
              <w:pStyle w:val="BodyText"/>
              <w:spacing w:before="100" w:after="100"/>
              <w:jc w:val="center"/>
            </w:pPr>
            <w:r w:rsidRPr="00F271B8">
              <w:t>Unlimited</w:t>
            </w:r>
          </w:p>
        </w:tc>
        <w:tc>
          <w:tcPr>
            <w:tcW w:w="1501" w:type="pct"/>
            <w:vAlign w:val="center"/>
          </w:tcPr>
          <w:p w14:paraId="6C806AFD" w14:textId="77777777" w:rsidR="00E507D4" w:rsidRPr="00F271B8" w:rsidRDefault="00E507D4" w:rsidP="00B95821">
            <w:pPr>
              <w:pStyle w:val="BodyText"/>
              <w:spacing w:before="100" w:after="100"/>
              <w:jc w:val="center"/>
            </w:pPr>
            <w:r w:rsidRPr="00F271B8">
              <w:t>Unlimited</w:t>
            </w:r>
          </w:p>
        </w:tc>
      </w:tr>
      <w:tr w:rsidR="00E507D4" w:rsidRPr="00F271B8" w14:paraId="3C9F444B" w14:textId="77777777" w:rsidTr="00B95821">
        <w:tc>
          <w:tcPr>
            <w:tcW w:w="1997" w:type="pct"/>
            <w:shd w:val="clear" w:color="auto" w:fill="auto"/>
          </w:tcPr>
          <w:p w14:paraId="1FF9EAF1" w14:textId="77777777" w:rsidR="00E507D4" w:rsidRPr="00F271B8" w:rsidRDefault="00E507D4" w:rsidP="00B95821">
            <w:pPr>
              <w:pStyle w:val="BodyText"/>
              <w:spacing w:before="100" w:after="100"/>
              <w:rPr>
                <w:b/>
                <w:bCs/>
              </w:rPr>
            </w:pPr>
            <w:r w:rsidRPr="00F271B8">
              <w:rPr>
                <w:b/>
                <w:bCs/>
              </w:rPr>
              <w:t xml:space="preserve">Minimum total cost over 12 months </w:t>
            </w:r>
          </w:p>
        </w:tc>
        <w:tc>
          <w:tcPr>
            <w:tcW w:w="1502" w:type="pct"/>
            <w:vAlign w:val="center"/>
          </w:tcPr>
          <w:p w14:paraId="51B6D473" w14:textId="77777777" w:rsidR="00E507D4" w:rsidRPr="00F271B8" w:rsidDel="00844E85" w:rsidRDefault="00E507D4" w:rsidP="00B95821">
            <w:pPr>
              <w:pStyle w:val="BodyText"/>
              <w:spacing w:before="100" w:after="100"/>
              <w:jc w:val="center"/>
            </w:pPr>
            <w:r w:rsidRPr="00F271B8">
              <w:t>$480</w:t>
            </w:r>
          </w:p>
        </w:tc>
        <w:tc>
          <w:tcPr>
            <w:tcW w:w="1501" w:type="pct"/>
            <w:vAlign w:val="center"/>
          </w:tcPr>
          <w:p w14:paraId="6E0122C1" w14:textId="77777777" w:rsidR="00E507D4" w:rsidRPr="00F271B8" w:rsidRDefault="00E507D4" w:rsidP="00B95821">
            <w:pPr>
              <w:pStyle w:val="BodyText"/>
              <w:spacing w:before="100" w:after="100"/>
              <w:jc w:val="center"/>
            </w:pPr>
            <w:r>
              <w:t>$60</w:t>
            </w:r>
            <w:r w:rsidRPr="00F271B8">
              <w:t>0</w:t>
            </w:r>
          </w:p>
        </w:tc>
      </w:tr>
    </w:tbl>
    <w:p w14:paraId="450BC697" w14:textId="77777777" w:rsidR="00E507D4" w:rsidRPr="00F271B8" w:rsidRDefault="00E507D4" w:rsidP="00E507D4">
      <w:pPr>
        <w:pStyle w:val="BodyText"/>
        <w:spacing w:before="240"/>
        <w:ind w:left="720"/>
        <w:rPr>
          <w:b/>
        </w:rPr>
      </w:pPr>
      <w:r w:rsidRPr="00F271B8">
        <w:rPr>
          <w:b/>
        </w:rPr>
        <w:t>Table 2 – Other usage types and charges</w:t>
      </w:r>
    </w:p>
    <w:tbl>
      <w:tblPr>
        <w:tblW w:w="95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70"/>
        <w:gridCol w:w="4770"/>
      </w:tblGrid>
      <w:tr w:rsidR="00E507D4" w:rsidRPr="00F271B8" w14:paraId="0B5096F1" w14:textId="77777777" w:rsidTr="00B95821">
        <w:trPr>
          <w:tblHeader/>
        </w:trPr>
        <w:tc>
          <w:tcPr>
            <w:tcW w:w="4770" w:type="dxa"/>
            <w:shd w:val="clear" w:color="auto" w:fill="auto"/>
          </w:tcPr>
          <w:p w14:paraId="6FCE646C" w14:textId="77777777" w:rsidR="00E507D4" w:rsidRPr="000151F4" w:rsidRDefault="00E507D4" w:rsidP="00B95821">
            <w:pPr>
              <w:pStyle w:val="BodyText"/>
              <w:spacing w:before="100" w:after="100"/>
              <w:jc w:val="center"/>
              <w:rPr>
                <w:b/>
              </w:rPr>
            </w:pPr>
            <w:r w:rsidRPr="000151F4">
              <w:rPr>
                <w:b/>
              </w:rPr>
              <w:t>Usage type</w:t>
            </w:r>
          </w:p>
        </w:tc>
        <w:tc>
          <w:tcPr>
            <w:tcW w:w="4770" w:type="dxa"/>
            <w:shd w:val="clear" w:color="auto" w:fill="auto"/>
            <w:vAlign w:val="center"/>
          </w:tcPr>
          <w:p w14:paraId="5BEF6DB5" w14:textId="77777777" w:rsidR="00E507D4" w:rsidRPr="000151F4" w:rsidRDefault="00E507D4" w:rsidP="00B95821">
            <w:pPr>
              <w:pStyle w:val="BodyText"/>
              <w:spacing w:before="100" w:after="100"/>
              <w:jc w:val="center"/>
              <w:rPr>
                <w:b/>
              </w:rPr>
            </w:pPr>
            <w:r w:rsidRPr="000151F4">
              <w:rPr>
                <w:b/>
              </w:rPr>
              <w:t>Charge</w:t>
            </w:r>
          </w:p>
        </w:tc>
      </w:tr>
      <w:tr w:rsidR="00E507D4" w:rsidRPr="00F271B8" w14:paraId="33D90455" w14:textId="77777777" w:rsidTr="00B95821">
        <w:tc>
          <w:tcPr>
            <w:tcW w:w="4770" w:type="dxa"/>
            <w:shd w:val="clear" w:color="auto" w:fill="auto"/>
          </w:tcPr>
          <w:p w14:paraId="2DBB5B64" w14:textId="77777777" w:rsidR="00E507D4" w:rsidRPr="00F271B8" w:rsidRDefault="00E507D4" w:rsidP="00B95821">
            <w:pPr>
              <w:pStyle w:val="BodyText"/>
              <w:spacing w:before="100" w:after="100"/>
              <w:rPr>
                <w:b/>
              </w:rPr>
            </w:pPr>
            <w:r w:rsidRPr="00F271B8">
              <w:rPr>
                <w:b/>
                <w:bCs/>
              </w:rPr>
              <w:t xml:space="preserve">National video calls </w:t>
            </w:r>
            <w:r w:rsidRPr="00F271B8">
              <w:rPr>
                <w:b/>
              </w:rPr>
              <w:t>(per minute)</w:t>
            </w:r>
          </w:p>
        </w:tc>
        <w:tc>
          <w:tcPr>
            <w:tcW w:w="4770" w:type="dxa"/>
            <w:shd w:val="clear" w:color="auto" w:fill="auto"/>
            <w:vAlign w:val="center"/>
          </w:tcPr>
          <w:p w14:paraId="07ADDBE1" w14:textId="77777777" w:rsidR="00E507D4" w:rsidRPr="00F271B8" w:rsidRDefault="00E507D4" w:rsidP="00B95821">
            <w:pPr>
              <w:pStyle w:val="BodyText"/>
              <w:spacing w:before="100" w:after="100"/>
              <w:jc w:val="center"/>
            </w:pPr>
            <w:r w:rsidRPr="00F271B8">
              <w:t>$1.00 per min + 40c flagfall</w:t>
            </w:r>
          </w:p>
        </w:tc>
      </w:tr>
      <w:tr w:rsidR="00E507D4" w:rsidRPr="00F271B8" w14:paraId="6978620C" w14:textId="77777777" w:rsidTr="00B95821">
        <w:tc>
          <w:tcPr>
            <w:tcW w:w="4770" w:type="dxa"/>
            <w:shd w:val="clear" w:color="auto" w:fill="auto"/>
          </w:tcPr>
          <w:p w14:paraId="2787F032" w14:textId="77777777" w:rsidR="00E507D4" w:rsidRPr="00F271B8" w:rsidRDefault="00E507D4" w:rsidP="00B95821">
            <w:pPr>
              <w:pStyle w:val="BodyText"/>
              <w:spacing w:before="100" w:after="100"/>
              <w:rPr>
                <w:b/>
              </w:rPr>
            </w:pPr>
            <w:r w:rsidRPr="00F271B8">
              <w:rPr>
                <w:b/>
                <w:bCs/>
              </w:rPr>
              <w:t xml:space="preserve">VoiceMail Deposits </w:t>
            </w:r>
          </w:p>
        </w:tc>
        <w:tc>
          <w:tcPr>
            <w:tcW w:w="4770" w:type="dxa"/>
            <w:shd w:val="clear" w:color="auto" w:fill="auto"/>
          </w:tcPr>
          <w:p w14:paraId="2516744D" w14:textId="77777777" w:rsidR="00E507D4" w:rsidRPr="00F271B8" w:rsidRDefault="00E507D4" w:rsidP="00B95821">
            <w:pPr>
              <w:pStyle w:val="BodyText"/>
              <w:spacing w:before="100" w:after="100"/>
              <w:jc w:val="center"/>
            </w:pPr>
            <w:r w:rsidRPr="00F271B8">
              <w:t>$0 per minute</w:t>
            </w:r>
          </w:p>
        </w:tc>
      </w:tr>
      <w:tr w:rsidR="00E507D4" w:rsidRPr="00F271B8" w14:paraId="41D47C78" w14:textId="77777777" w:rsidTr="00B95821">
        <w:tc>
          <w:tcPr>
            <w:tcW w:w="4770" w:type="dxa"/>
            <w:shd w:val="clear" w:color="auto" w:fill="auto"/>
          </w:tcPr>
          <w:p w14:paraId="4A56496A" w14:textId="77777777" w:rsidR="00E507D4" w:rsidRPr="00F271B8" w:rsidRDefault="00E507D4" w:rsidP="00B95821">
            <w:pPr>
              <w:pStyle w:val="BodyText"/>
              <w:spacing w:before="100" w:after="100"/>
              <w:rPr>
                <w:b/>
              </w:rPr>
            </w:pPr>
            <w:r w:rsidRPr="00F271B8">
              <w:rPr>
                <w:b/>
                <w:bCs/>
              </w:rPr>
              <w:t>Voicemail Diversions</w:t>
            </w:r>
          </w:p>
        </w:tc>
        <w:tc>
          <w:tcPr>
            <w:tcW w:w="4770" w:type="dxa"/>
            <w:shd w:val="clear" w:color="auto" w:fill="auto"/>
          </w:tcPr>
          <w:p w14:paraId="6B4B464A" w14:textId="77777777" w:rsidR="00E507D4" w:rsidRPr="00F271B8" w:rsidRDefault="00E507D4" w:rsidP="00B95821">
            <w:pPr>
              <w:pStyle w:val="BodyText"/>
              <w:spacing w:before="100" w:after="100"/>
              <w:jc w:val="center"/>
            </w:pPr>
            <w:r w:rsidRPr="00F271B8">
              <w:t>$0 per minute</w:t>
            </w:r>
          </w:p>
        </w:tc>
      </w:tr>
      <w:tr w:rsidR="00E507D4" w:rsidRPr="00F271B8" w14:paraId="6526FDB6" w14:textId="77777777" w:rsidTr="00B95821">
        <w:tc>
          <w:tcPr>
            <w:tcW w:w="4770" w:type="dxa"/>
            <w:shd w:val="clear" w:color="auto" w:fill="auto"/>
          </w:tcPr>
          <w:p w14:paraId="0FB7DD8A" w14:textId="77777777" w:rsidR="00E507D4" w:rsidRPr="00F271B8" w:rsidRDefault="00E507D4" w:rsidP="00B95821">
            <w:pPr>
              <w:pStyle w:val="BodyText"/>
              <w:spacing w:before="100" w:after="100"/>
              <w:rPr>
                <w:b/>
                <w:bCs/>
              </w:rPr>
            </w:pPr>
            <w:r w:rsidRPr="00F271B8">
              <w:rPr>
                <w:b/>
                <w:bCs/>
              </w:rPr>
              <w:t>National Diversions</w:t>
            </w:r>
          </w:p>
        </w:tc>
        <w:tc>
          <w:tcPr>
            <w:tcW w:w="4770" w:type="dxa"/>
            <w:shd w:val="clear" w:color="auto" w:fill="auto"/>
          </w:tcPr>
          <w:p w14:paraId="1BBAB7B9" w14:textId="77777777" w:rsidR="00E507D4" w:rsidRPr="00F271B8" w:rsidRDefault="00E507D4" w:rsidP="00B95821">
            <w:pPr>
              <w:pStyle w:val="BodyText"/>
              <w:spacing w:before="100" w:after="100"/>
              <w:jc w:val="center"/>
            </w:pPr>
            <w:r w:rsidRPr="00F271B8">
              <w:t>$0 per minute</w:t>
            </w:r>
          </w:p>
        </w:tc>
      </w:tr>
      <w:tr w:rsidR="00E507D4" w:rsidRPr="00F271B8" w14:paraId="27D195A2" w14:textId="77777777" w:rsidTr="00B95821">
        <w:tc>
          <w:tcPr>
            <w:tcW w:w="4770" w:type="dxa"/>
            <w:shd w:val="clear" w:color="auto" w:fill="auto"/>
          </w:tcPr>
          <w:p w14:paraId="23E0103A" w14:textId="77777777" w:rsidR="00E507D4" w:rsidRPr="00F271B8" w:rsidRDefault="00E507D4" w:rsidP="00B95821">
            <w:pPr>
              <w:pStyle w:val="BodyText"/>
              <w:spacing w:before="100" w:after="100"/>
              <w:rPr>
                <w:b/>
                <w:bCs/>
              </w:rPr>
            </w:pPr>
            <w:r w:rsidRPr="00F271B8">
              <w:rPr>
                <w:b/>
                <w:bCs/>
              </w:rPr>
              <w:t xml:space="preserve">International Diversions </w:t>
            </w:r>
          </w:p>
        </w:tc>
        <w:tc>
          <w:tcPr>
            <w:tcW w:w="4770" w:type="dxa"/>
            <w:shd w:val="clear" w:color="auto" w:fill="auto"/>
          </w:tcPr>
          <w:p w14:paraId="65DB4421" w14:textId="77777777" w:rsidR="00E507D4" w:rsidRPr="00F271B8" w:rsidRDefault="00E507D4" w:rsidP="00B95821">
            <w:pPr>
              <w:pStyle w:val="BodyText"/>
              <w:spacing w:before="100" w:after="100"/>
              <w:jc w:val="center"/>
            </w:pPr>
            <w:r>
              <w:t>'</w:t>
            </w:r>
            <w:r w:rsidRPr="00F271B8">
              <w:t>yes</w:t>
            </w:r>
            <w:r>
              <w:t>'</w:t>
            </w:r>
            <w:r w:rsidRPr="00F271B8">
              <w:t xml:space="preserve"> international rates</w:t>
            </w:r>
            <w:r w:rsidRPr="00F271B8">
              <w:br/>
              <w:t>See optus.com.au/international</w:t>
            </w:r>
          </w:p>
        </w:tc>
      </w:tr>
      <w:tr w:rsidR="00E507D4" w:rsidRPr="00F271B8" w14:paraId="549D85BF" w14:textId="77777777" w:rsidTr="00B95821">
        <w:tc>
          <w:tcPr>
            <w:tcW w:w="4770" w:type="dxa"/>
            <w:shd w:val="clear" w:color="auto" w:fill="auto"/>
          </w:tcPr>
          <w:p w14:paraId="2E66340E" w14:textId="77777777" w:rsidR="00E507D4" w:rsidRPr="00F271B8" w:rsidRDefault="00E507D4" w:rsidP="00B95821">
            <w:pPr>
              <w:pStyle w:val="BodyText"/>
              <w:spacing w:before="100" w:after="100"/>
              <w:rPr>
                <w:b/>
                <w:bCs/>
              </w:rPr>
            </w:pPr>
            <w:r w:rsidRPr="00F271B8">
              <w:rPr>
                <w:b/>
                <w:bCs/>
              </w:rPr>
              <w:t xml:space="preserve">1800 numbers </w:t>
            </w:r>
          </w:p>
        </w:tc>
        <w:tc>
          <w:tcPr>
            <w:tcW w:w="4770" w:type="dxa"/>
            <w:shd w:val="clear" w:color="auto" w:fill="auto"/>
            <w:vAlign w:val="center"/>
          </w:tcPr>
          <w:p w14:paraId="21E7CC83" w14:textId="77777777" w:rsidR="00E507D4" w:rsidRPr="00F271B8" w:rsidRDefault="00E507D4" w:rsidP="00B95821">
            <w:pPr>
              <w:pStyle w:val="BodyText"/>
              <w:spacing w:before="100" w:after="100"/>
              <w:jc w:val="center"/>
            </w:pPr>
            <w:r w:rsidRPr="00F271B8">
              <w:t>$0 per minute</w:t>
            </w:r>
          </w:p>
        </w:tc>
      </w:tr>
      <w:tr w:rsidR="00E507D4" w:rsidRPr="00F271B8" w14:paraId="08DF30E6" w14:textId="77777777" w:rsidTr="00B95821">
        <w:tc>
          <w:tcPr>
            <w:tcW w:w="4770" w:type="dxa"/>
            <w:shd w:val="clear" w:color="auto" w:fill="auto"/>
          </w:tcPr>
          <w:p w14:paraId="3A20C728" w14:textId="77777777" w:rsidR="00E507D4" w:rsidRPr="00F271B8" w:rsidRDefault="00E507D4" w:rsidP="00B95821">
            <w:pPr>
              <w:pStyle w:val="BodyText"/>
              <w:spacing w:before="100" w:after="100"/>
              <w:rPr>
                <w:b/>
                <w:bCs/>
              </w:rPr>
            </w:pPr>
            <w:r w:rsidRPr="00F271B8">
              <w:rPr>
                <w:b/>
                <w:bCs/>
              </w:rPr>
              <w:t xml:space="preserve">Directory Assistance 1223 </w:t>
            </w:r>
          </w:p>
        </w:tc>
        <w:tc>
          <w:tcPr>
            <w:tcW w:w="4770" w:type="dxa"/>
            <w:shd w:val="clear" w:color="auto" w:fill="auto"/>
            <w:vAlign w:val="center"/>
          </w:tcPr>
          <w:p w14:paraId="16850A0C" w14:textId="77777777" w:rsidR="00E507D4" w:rsidRPr="00F271B8" w:rsidRDefault="00E507D4" w:rsidP="00B95821">
            <w:pPr>
              <w:pStyle w:val="BodyText"/>
              <w:spacing w:before="100" w:after="100"/>
              <w:jc w:val="center"/>
            </w:pPr>
            <w:r w:rsidRPr="00F271B8">
              <w:t>50c per call</w:t>
            </w:r>
          </w:p>
        </w:tc>
      </w:tr>
      <w:tr w:rsidR="00E507D4" w:rsidRPr="00F271B8" w14:paraId="57450DAF" w14:textId="77777777" w:rsidTr="00B95821">
        <w:tc>
          <w:tcPr>
            <w:tcW w:w="4770" w:type="dxa"/>
            <w:shd w:val="clear" w:color="auto" w:fill="auto"/>
          </w:tcPr>
          <w:p w14:paraId="7563A66B" w14:textId="77777777" w:rsidR="00E507D4" w:rsidRPr="00F271B8" w:rsidRDefault="00E507D4" w:rsidP="00B95821">
            <w:pPr>
              <w:pStyle w:val="BodyText"/>
              <w:spacing w:before="100" w:after="100"/>
              <w:rPr>
                <w:b/>
                <w:bCs/>
              </w:rPr>
            </w:pPr>
            <w:r w:rsidRPr="00F271B8">
              <w:rPr>
                <w:b/>
                <w:bCs/>
              </w:rPr>
              <w:t>124 Yes</w:t>
            </w:r>
          </w:p>
        </w:tc>
        <w:tc>
          <w:tcPr>
            <w:tcW w:w="4770" w:type="dxa"/>
            <w:shd w:val="clear" w:color="auto" w:fill="auto"/>
            <w:vAlign w:val="center"/>
          </w:tcPr>
          <w:p w14:paraId="0AF43FED" w14:textId="77777777" w:rsidR="00E507D4" w:rsidRPr="00F271B8" w:rsidRDefault="00E507D4" w:rsidP="00B95821">
            <w:pPr>
              <w:pStyle w:val="BodyText"/>
              <w:spacing w:before="100" w:after="100"/>
              <w:jc w:val="center"/>
            </w:pPr>
            <w:r w:rsidRPr="00F271B8">
              <w:t>90c per minute +$1.75c flagfall</w:t>
            </w:r>
          </w:p>
        </w:tc>
      </w:tr>
      <w:tr w:rsidR="00E507D4" w:rsidRPr="00F271B8" w14:paraId="1D3F723F" w14:textId="77777777" w:rsidTr="00B95821">
        <w:tc>
          <w:tcPr>
            <w:tcW w:w="4770" w:type="dxa"/>
            <w:shd w:val="clear" w:color="auto" w:fill="auto"/>
          </w:tcPr>
          <w:p w14:paraId="0F2AE152" w14:textId="77777777" w:rsidR="00E507D4" w:rsidRPr="00F271B8" w:rsidRDefault="00E507D4" w:rsidP="00B95821">
            <w:pPr>
              <w:pStyle w:val="BodyText"/>
              <w:spacing w:before="100" w:after="100"/>
              <w:rPr>
                <w:b/>
                <w:bCs/>
              </w:rPr>
            </w:pPr>
            <w:r w:rsidRPr="00F271B8">
              <w:rPr>
                <w:b/>
                <w:bCs/>
              </w:rPr>
              <w:t>International voice calls (outside the plan</w:t>
            </w:r>
            <w:r>
              <w:rPr>
                <w:b/>
                <w:bCs/>
              </w:rPr>
              <w:t>'</w:t>
            </w:r>
            <w:r w:rsidRPr="00F271B8">
              <w:rPr>
                <w:b/>
                <w:bCs/>
              </w:rPr>
              <w:t xml:space="preserve">s included international minutes and to excluded countries) </w:t>
            </w:r>
          </w:p>
        </w:tc>
        <w:tc>
          <w:tcPr>
            <w:tcW w:w="4770" w:type="dxa"/>
            <w:shd w:val="clear" w:color="auto" w:fill="auto"/>
            <w:vAlign w:val="center"/>
          </w:tcPr>
          <w:p w14:paraId="7B12CC18" w14:textId="77777777" w:rsidR="00E507D4" w:rsidRPr="00F271B8" w:rsidRDefault="00E507D4" w:rsidP="00B95821">
            <w:pPr>
              <w:pStyle w:val="BodyText"/>
              <w:spacing w:before="100" w:after="100"/>
              <w:jc w:val="center"/>
            </w:pPr>
            <w:r>
              <w:t>'</w:t>
            </w:r>
            <w:r w:rsidRPr="00F271B8">
              <w:t>yes</w:t>
            </w:r>
            <w:r>
              <w:t>'</w:t>
            </w:r>
            <w:r w:rsidRPr="00F271B8">
              <w:t xml:space="preserve"> international rates</w:t>
            </w:r>
          </w:p>
          <w:p w14:paraId="1B2CB599" w14:textId="77777777" w:rsidR="00E507D4" w:rsidRPr="00F271B8" w:rsidRDefault="00E507D4" w:rsidP="00B95821">
            <w:pPr>
              <w:pStyle w:val="BodyText"/>
              <w:spacing w:before="100" w:after="100"/>
              <w:jc w:val="center"/>
            </w:pPr>
            <w:r w:rsidRPr="00F271B8">
              <w:t>See optus.com.au/international</w:t>
            </w:r>
          </w:p>
        </w:tc>
      </w:tr>
      <w:tr w:rsidR="00E507D4" w:rsidRPr="00F271B8" w14:paraId="3BC689B1" w14:textId="77777777" w:rsidTr="00B95821">
        <w:tc>
          <w:tcPr>
            <w:tcW w:w="4770" w:type="dxa"/>
            <w:shd w:val="clear" w:color="auto" w:fill="auto"/>
          </w:tcPr>
          <w:p w14:paraId="260E8F30" w14:textId="77777777" w:rsidR="00E507D4" w:rsidRPr="00F271B8" w:rsidRDefault="00E507D4" w:rsidP="00B95821">
            <w:pPr>
              <w:pStyle w:val="BodyText"/>
              <w:spacing w:before="100" w:after="100"/>
              <w:rPr>
                <w:b/>
                <w:bCs/>
              </w:rPr>
            </w:pPr>
            <w:r w:rsidRPr="00F271B8">
              <w:rPr>
                <w:b/>
                <w:bCs/>
              </w:rPr>
              <w:t xml:space="preserve">International SMS (to excluded countries) </w:t>
            </w:r>
          </w:p>
        </w:tc>
        <w:tc>
          <w:tcPr>
            <w:tcW w:w="4770" w:type="dxa"/>
            <w:shd w:val="clear" w:color="auto" w:fill="auto"/>
            <w:vAlign w:val="center"/>
          </w:tcPr>
          <w:p w14:paraId="1797F60A" w14:textId="77777777" w:rsidR="00E507D4" w:rsidRPr="00F271B8" w:rsidRDefault="00E507D4" w:rsidP="00B95821">
            <w:pPr>
              <w:pStyle w:val="BodyText"/>
              <w:spacing w:before="100" w:after="100"/>
              <w:jc w:val="center"/>
            </w:pPr>
            <w:r w:rsidRPr="00F271B8">
              <w:t>50c per SMS up to 160 standard characters</w:t>
            </w:r>
          </w:p>
        </w:tc>
      </w:tr>
      <w:tr w:rsidR="00E507D4" w:rsidRPr="00F271B8" w14:paraId="45FCED13" w14:textId="77777777" w:rsidTr="00B95821">
        <w:tc>
          <w:tcPr>
            <w:tcW w:w="4770" w:type="dxa"/>
            <w:shd w:val="clear" w:color="auto" w:fill="auto"/>
          </w:tcPr>
          <w:p w14:paraId="4A9D1DA6" w14:textId="77777777" w:rsidR="00E507D4" w:rsidRPr="00F271B8" w:rsidRDefault="00E507D4" w:rsidP="00B95821">
            <w:pPr>
              <w:pStyle w:val="BodyText"/>
              <w:spacing w:before="100" w:after="100"/>
              <w:rPr>
                <w:b/>
                <w:bCs/>
              </w:rPr>
            </w:pPr>
            <w:r w:rsidRPr="00F271B8">
              <w:rPr>
                <w:b/>
                <w:bCs/>
              </w:rPr>
              <w:t>International MMS (to excluded countries)</w:t>
            </w:r>
          </w:p>
        </w:tc>
        <w:tc>
          <w:tcPr>
            <w:tcW w:w="4770" w:type="dxa"/>
            <w:shd w:val="clear" w:color="auto" w:fill="auto"/>
            <w:vAlign w:val="center"/>
          </w:tcPr>
          <w:p w14:paraId="088734B0" w14:textId="77777777" w:rsidR="00E507D4" w:rsidRPr="00F271B8" w:rsidRDefault="00E507D4" w:rsidP="00B95821">
            <w:pPr>
              <w:pStyle w:val="BodyText"/>
              <w:spacing w:before="100" w:after="100"/>
              <w:jc w:val="center"/>
            </w:pPr>
            <w:r w:rsidRPr="00F271B8">
              <w:t>75c per MMS</w:t>
            </w:r>
          </w:p>
        </w:tc>
      </w:tr>
      <w:tr w:rsidR="00E507D4" w:rsidRPr="00F271B8" w14:paraId="72A3A4B0" w14:textId="77777777" w:rsidTr="00B95821">
        <w:tc>
          <w:tcPr>
            <w:tcW w:w="4770" w:type="dxa"/>
            <w:shd w:val="clear" w:color="auto" w:fill="auto"/>
          </w:tcPr>
          <w:p w14:paraId="131FC108" w14:textId="77777777" w:rsidR="00E507D4" w:rsidRPr="00F271B8" w:rsidRDefault="00E507D4" w:rsidP="00B95821">
            <w:pPr>
              <w:pStyle w:val="BodyText"/>
              <w:spacing w:before="100" w:after="100"/>
              <w:rPr>
                <w:b/>
                <w:bCs/>
              </w:rPr>
            </w:pPr>
            <w:r w:rsidRPr="00F271B8">
              <w:rPr>
                <w:b/>
                <w:bCs/>
              </w:rPr>
              <w:t xml:space="preserve">International video calling </w:t>
            </w:r>
          </w:p>
        </w:tc>
        <w:tc>
          <w:tcPr>
            <w:tcW w:w="4770" w:type="dxa"/>
            <w:shd w:val="clear" w:color="auto" w:fill="auto"/>
            <w:vAlign w:val="center"/>
          </w:tcPr>
          <w:p w14:paraId="443CFC30" w14:textId="77777777" w:rsidR="00E507D4" w:rsidRPr="00F271B8" w:rsidRDefault="00E507D4" w:rsidP="00B95821">
            <w:pPr>
              <w:pStyle w:val="BodyText"/>
              <w:spacing w:before="100" w:after="100"/>
              <w:jc w:val="center"/>
            </w:pPr>
            <w:r w:rsidRPr="00F271B8">
              <w:t>$1.50 per minute +35c flagfall</w:t>
            </w:r>
          </w:p>
        </w:tc>
      </w:tr>
      <w:tr w:rsidR="00E507D4" w:rsidRPr="00F271B8" w14:paraId="33729C27" w14:textId="77777777" w:rsidTr="00B95821">
        <w:tc>
          <w:tcPr>
            <w:tcW w:w="4770" w:type="dxa"/>
            <w:shd w:val="clear" w:color="auto" w:fill="auto"/>
          </w:tcPr>
          <w:p w14:paraId="0AF1D952" w14:textId="77777777" w:rsidR="00E507D4" w:rsidRPr="00F271B8" w:rsidRDefault="00E507D4" w:rsidP="00B95821">
            <w:pPr>
              <w:pStyle w:val="BodyText"/>
              <w:spacing w:before="100" w:after="100"/>
              <w:rPr>
                <w:b/>
                <w:bCs/>
              </w:rPr>
            </w:pPr>
            <w:r w:rsidRPr="00F271B8">
              <w:rPr>
                <w:b/>
                <w:bCs/>
              </w:rPr>
              <w:t xml:space="preserve">International roaming </w:t>
            </w:r>
          </w:p>
        </w:tc>
        <w:tc>
          <w:tcPr>
            <w:tcW w:w="4770" w:type="dxa"/>
            <w:shd w:val="clear" w:color="auto" w:fill="auto"/>
            <w:vAlign w:val="center"/>
          </w:tcPr>
          <w:p w14:paraId="7B2AC91F" w14:textId="77777777" w:rsidR="00E507D4" w:rsidRPr="00F271B8" w:rsidRDefault="00E507D4" w:rsidP="00B95821">
            <w:pPr>
              <w:pStyle w:val="BodyText"/>
              <w:spacing w:before="100" w:after="100"/>
              <w:jc w:val="center"/>
            </w:pPr>
            <w:r w:rsidRPr="00F271B8">
              <w:t>See optus.com.au/roaming</w:t>
            </w:r>
          </w:p>
        </w:tc>
      </w:tr>
    </w:tbl>
    <w:p w14:paraId="4EDD619A" w14:textId="77777777" w:rsidR="00E507D4" w:rsidRPr="00F271B8" w:rsidRDefault="00E507D4" w:rsidP="00E507D4">
      <w:pPr>
        <w:pStyle w:val="BodyText"/>
        <w:keepNext/>
        <w:spacing w:before="240"/>
        <w:ind w:left="709"/>
        <w:rPr>
          <w:b/>
        </w:rPr>
      </w:pPr>
      <w:r w:rsidRPr="00F271B8">
        <w:rPr>
          <w:b/>
        </w:rPr>
        <w:t>Table 3 – International Countries</w:t>
      </w:r>
    </w:p>
    <w:tbl>
      <w:tblPr>
        <w:tblW w:w="95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5"/>
        <w:gridCol w:w="2385"/>
        <w:gridCol w:w="2385"/>
        <w:gridCol w:w="2385"/>
      </w:tblGrid>
      <w:tr w:rsidR="00E507D4" w:rsidRPr="00F271B8" w14:paraId="6BDE005D" w14:textId="77777777" w:rsidTr="00B95821">
        <w:tc>
          <w:tcPr>
            <w:tcW w:w="2385" w:type="dxa"/>
            <w:shd w:val="clear" w:color="auto" w:fill="auto"/>
          </w:tcPr>
          <w:p w14:paraId="1DF63E31" w14:textId="77777777" w:rsidR="00E507D4" w:rsidRPr="00F271B8" w:rsidRDefault="00E507D4" w:rsidP="00B95821">
            <w:pPr>
              <w:pStyle w:val="BodyText"/>
              <w:keepNext/>
              <w:spacing w:before="100" w:after="100"/>
              <w:rPr>
                <w:b/>
              </w:rPr>
            </w:pPr>
            <w:r w:rsidRPr="00F271B8">
              <w:t>Austria</w:t>
            </w:r>
          </w:p>
        </w:tc>
        <w:tc>
          <w:tcPr>
            <w:tcW w:w="2385" w:type="dxa"/>
            <w:shd w:val="clear" w:color="auto" w:fill="auto"/>
          </w:tcPr>
          <w:p w14:paraId="0ABCB133" w14:textId="77777777" w:rsidR="00E507D4" w:rsidRPr="00F271B8" w:rsidRDefault="00E507D4" w:rsidP="00B95821">
            <w:pPr>
              <w:pStyle w:val="BodyText"/>
              <w:keepNext/>
              <w:spacing w:before="100" w:after="100"/>
              <w:rPr>
                <w:b/>
              </w:rPr>
            </w:pPr>
            <w:r w:rsidRPr="00F271B8">
              <w:t>Bangladesh</w:t>
            </w:r>
          </w:p>
        </w:tc>
        <w:tc>
          <w:tcPr>
            <w:tcW w:w="2385" w:type="dxa"/>
            <w:shd w:val="clear" w:color="auto" w:fill="auto"/>
          </w:tcPr>
          <w:p w14:paraId="03E6AB60" w14:textId="77777777" w:rsidR="00E507D4" w:rsidRPr="00F271B8" w:rsidRDefault="00E507D4" w:rsidP="00B95821">
            <w:pPr>
              <w:pStyle w:val="BodyText"/>
              <w:keepNext/>
              <w:spacing w:before="100" w:after="100"/>
              <w:rPr>
                <w:b/>
              </w:rPr>
            </w:pPr>
            <w:r w:rsidRPr="00F271B8">
              <w:t>Cambodia</w:t>
            </w:r>
          </w:p>
        </w:tc>
        <w:tc>
          <w:tcPr>
            <w:tcW w:w="2385" w:type="dxa"/>
            <w:shd w:val="clear" w:color="auto" w:fill="auto"/>
          </w:tcPr>
          <w:p w14:paraId="43493E0B" w14:textId="77777777" w:rsidR="00E507D4" w:rsidRPr="00F271B8" w:rsidRDefault="00E507D4" w:rsidP="00B95821">
            <w:pPr>
              <w:pStyle w:val="BodyText"/>
              <w:keepNext/>
              <w:spacing w:before="100" w:after="100"/>
              <w:rPr>
                <w:b/>
              </w:rPr>
            </w:pPr>
            <w:r w:rsidRPr="00F271B8">
              <w:t>Canada</w:t>
            </w:r>
          </w:p>
        </w:tc>
      </w:tr>
      <w:tr w:rsidR="00E507D4" w:rsidRPr="00F271B8" w14:paraId="71C7C027" w14:textId="77777777" w:rsidTr="00B95821">
        <w:tc>
          <w:tcPr>
            <w:tcW w:w="2385" w:type="dxa"/>
            <w:shd w:val="clear" w:color="auto" w:fill="auto"/>
          </w:tcPr>
          <w:p w14:paraId="3EC0DDDB" w14:textId="77777777" w:rsidR="00E507D4" w:rsidRPr="00F271B8" w:rsidRDefault="00E507D4" w:rsidP="00B95821">
            <w:pPr>
              <w:pStyle w:val="BodyText"/>
              <w:spacing w:before="100" w:after="100"/>
              <w:rPr>
                <w:b/>
              </w:rPr>
            </w:pPr>
            <w:r w:rsidRPr="00F271B8">
              <w:t xml:space="preserve">Chile </w:t>
            </w:r>
          </w:p>
        </w:tc>
        <w:tc>
          <w:tcPr>
            <w:tcW w:w="2385" w:type="dxa"/>
            <w:shd w:val="clear" w:color="auto" w:fill="auto"/>
          </w:tcPr>
          <w:p w14:paraId="080BEDF5" w14:textId="77777777" w:rsidR="00E507D4" w:rsidRPr="00F271B8" w:rsidRDefault="00E507D4" w:rsidP="00B95821">
            <w:pPr>
              <w:pStyle w:val="BodyText"/>
              <w:spacing w:before="100" w:after="100"/>
              <w:rPr>
                <w:b/>
              </w:rPr>
            </w:pPr>
            <w:r w:rsidRPr="00F271B8">
              <w:t xml:space="preserve">China </w:t>
            </w:r>
          </w:p>
        </w:tc>
        <w:tc>
          <w:tcPr>
            <w:tcW w:w="2385" w:type="dxa"/>
            <w:shd w:val="clear" w:color="auto" w:fill="auto"/>
          </w:tcPr>
          <w:p w14:paraId="4CB489D9" w14:textId="77777777" w:rsidR="00E507D4" w:rsidRPr="00F271B8" w:rsidRDefault="00E507D4" w:rsidP="00B95821">
            <w:pPr>
              <w:pStyle w:val="BodyText"/>
              <w:spacing w:before="100" w:after="100"/>
              <w:rPr>
                <w:b/>
              </w:rPr>
            </w:pPr>
            <w:r w:rsidRPr="00F271B8">
              <w:t xml:space="preserve">Croatia </w:t>
            </w:r>
          </w:p>
        </w:tc>
        <w:tc>
          <w:tcPr>
            <w:tcW w:w="2385" w:type="dxa"/>
            <w:shd w:val="clear" w:color="auto" w:fill="auto"/>
          </w:tcPr>
          <w:p w14:paraId="45192C5D" w14:textId="77777777" w:rsidR="00E507D4" w:rsidRPr="00F271B8" w:rsidRDefault="00E507D4" w:rsidP="00B95821">
            <w:pPr>
              <w:pStyle w:val="BodyText"/>
              <w:spacing w:before="100" w:after="100"/>
              <w:rPr>
                <w:b/>
              </w:rPr>
            </w:pPr>
            <w:r w:rsidRPr="00F271B8">
              <w:t>France</w:t>
            </w:r>
          </w:p>
        </w:tc>
      </w:tr>
      <w:tr w:rsidR="00E507D4" w:rsidRPr="00F271B8" w14:paraId="3952A62A" w14:textId="77777777" w:rsidTr="00B95821">
        <w:tc>
          <w:tcPr>
            <w:tcW w:w="2385" w:type="dxa"/>
            <w:shd w:val="clear" w:color="auto" w:fill="auto"/>
          </w:tcPr>
          <w:p w14:paraId="1723863E" w14:textId="77777777" w:rsidR="00E507D4" w:rsidRPr="00F271B8" w:rsidRDefault="00E507D4" w:rsidP="00B95821">
            <w:pPr>
              <w:pStyle w:val="BodyText"/>
              <w:spacing w:before="100" w:after="100"/>
              <w:rPr>
                <w:b/>
              </w:rPr>
            </w:pPr>
            <w:r w:rsidRPr="00F271B8">
              <w:t>Germany</w:t>
            </w:r>
          </w:p>
        </w:tc>
        <w:tc>
          <w:tcPr>
            <w:tcW w:w="2385" w:type="dxa"/>
            <w:shd w:val="clear" w:color="auto" w:fill="auto"/>
          </w:tcPr>
          <w:p w14:paraId="48E1A58E" w14:textId="77777777" w:rsidR="00E507D4" w:rsidRPr="00F271B8" w:rsidRDefault="00E507D4" w:rsidP="00B95821">
            <w:pPr>
              <w:pStyle w:val="BodyText"/>
              <w:spacing w:before="100" w:after="100"/>
              <w:rPr>
                <w:b/>
              </w:rPr>
            </w:pPr>
            <w:r w:rsidRPr="00F271B8">
              <w:t>Greece</w:t>
            </w:r>
          </w:p>
        </w:tc>
        <w:tc>
          <w:tcPr>
            <w:tcW w:w="2385" w:type="dxa"/>
            <w:shd w:val="clear" w:color="auto" w:fill="auto"/>
          </w:tcPr>
          <w:p w14:paraId="139918CC" w14:textId="77777777" w:rsidR="00E507D4" w:rsidRPr="00F271B8" w:rsidRDefault="00E507D4" w:rsidP="00B95821">
            <w:pPr>
              <w:pStyle w:val="BodyText"/>
              <w:spacing w:before="100" w:after="100"/>
              <w:rPr>
                <w:b/>
              </w:rPr>
            </w:pPr>
            <w:r w:rsidRPr="00F271B8">
              <w:t>Hong Kong,</w:t>
            </w:r>
          </w:p>
        </w:tc>
        <w:tc>
          <w:tcPr>
            <w:tcW w:w="2385" w:type="dxa"/>
            <w:shd w:val="clear" w:color="auto" w:fill="auto"/>
          </w:tcPr>
          <w:p w14:paraId="73590646" w14:textId="77777777" w:rsidR="00E507D4" w:rsidRPr="00F271B8" w:rsidRDefault="00E507D4" w:rsidP="00B95821">
            <w:pPr>
              <w:pStyle w:val="BodyText"/>
              <w:spacing w:before="100" w:after="100"/>
              <w:rPr>
                <w:b/>
              </w:rPr>
            </w:pPr>
            <w:r w:rsidRPr="00F271B8">
              <w:t>Hungary</w:t>
            </w:r>
          </w:p>
        </w:tc>
      </w:tr>
      <w:tr w:rsidR="00E507D4" w:rsidRPr="00F271B8" w14:paraId="57246C8C" w14:textId="77777777" w:rsidTr="00B95821">
        <w:tc>
          <w:tcPr>
            <w:tcW w:w="2385" w:type="dxa"/>
            <w:shd w:val="clear" w:color="auto" w:fill="auto"/>
          </w:tcPr>
          <w:p w14:paraId="32BD611D" w14:textId="77777777" w:rsidR="00E507D4" w:rsidRPr="00F271B8" w:rsidRDefault="00E507D4" w:rsidP="00B95821">
            <w:pPr>
              <w:pStyle w:val="BodyText"/>
              <w:spacing w:before="100" w:after="100"/>
              <w:rPr>
                <w:b/>
              </w:rPr>
            </w:pPr>
            <w:r w:rsidRPr="00F271B8">
              <w:t>Indonesia</w:t>
            </w:r>
          </w:p>
        </w:tc>
        <w:tc>
          <w:tcPr>
            <w:tcW w:w="2385" w:type="dxa"/>
            <w:shd w:val="clear" w:color="auto" w:fill="auto"/>
          </w:tcPr>
          <w:p w14:paraId="264376CB" w14:textId="77777777" w:rsidR="00E507D4" w:rsidRPr="00F271B8" w:rsidRDefault="00E507D4" w:rsidP="00B95821">
            <w:pPr>
              <w:pStyle w:val="BodyText"/>
              <w:spacing w:before="100" w:after="100"/>
              <w:rPr>
                <w:b/>
              </w:rPr>
            </w:pPr>
            <w:r w:rsidRPr="00F271B8">
              <w:t>India</w:t>
            </w:r>
          </w:p>
        </w:tc>
        <w:tc>
          <w:tcPr>
            <w:tcW w:w="2385" w:type="dxa"/>
            <w:shd w:val="clear" w:color="auto" w:fill="auto"/>
          </w:tcPr>
          <w:p w14:paraId="05311ABF" w14:textId="77777777" w:rsidR="00E507D4" w:rsidRPr="00F271B8" w:rsidRDefault="00E507D4" w:rsidP="00B95821">
            <w:pPr>
              <w:pStyle w:val="BodyText"/>
              <w:spacing w:before="100" w:after="100"/>
              <w:rPr>
                <w:b/>
              </w:rPr>
            </w:pPr>
            <w:r w:rsidRPr="00F271B8">
              <w:t>Ireland</w:t>
            </w:r>
          </w:p>
        </w:tc>
        <w:tc>
          <w:tcPr>
            <w:tcW w:w="2385" w:type="dxa"/>
            <w:shd w:val="clear" w:color="auto" w:fill="auto"/>
          </w:tcPr>
          <w:p w14:paraId="47DBD26D" w14:textId="77777777" w:rsidR="00E507D4" w:rsidRPr="00F271B8" w:rsidRDefault="00E507D4" w:rsidP="00B95821">
            <w:pPr>
              <w:pStyle w:val="BodyText"/>
              <w:spacing w:before="100" w:after="100"/>
              <w:rPr>
                <w:b/>
              </w:rPr>
            </w:pPr>
            <w:r w:rsidRPr="00F271B8">
              <w:t>Italy</w:t>
            </w:r>
          </w:p>
        </w:tc>
      </w:tr>
      <w:tr w:rsidR="00E507D4" w:rsidRPr="00F271B8" w14:paraId="28B9ADC9" w14:textId="77777777" w:rsidTr="00B95821">
        <w:tc>
          <w:tcPr>
            <w:tcW w:w="2385" w:type="dxa"/>
            <w:shd w:val="clear" w:color="auto" w:fill="auto"/>
          </w:tcPr>
          <w:p w14:paraId="2B65259B" w14:textId="77777777" w:rsidR="00E507D4" w:rsidRPr="00F271B8" w:rsidRDefault="00E507D4" w:rsidP="00B95821">
            <w:pPr>
              <w:pStyle w:val="BodyText"/>
              <w:spacing w:before="100" w:after="100"/>
              <w:rPr>
                <w:b/>
              </w:rPr>
            </w:pPr>
            <w:r w:rsidRPr="00F271B8">
              <w:t xml:space="preserve">Japan </w:t>
            </w:r>
          </w:p>
        </w:tc>
        <w:tc>
          <w:tcPr>
            <w:tcW w:w="2385" w:type="dxa"/>
            <w:shd w:val="clear" w:color="auto" w:fill="auto"/>
          </w:tcPr>
          <w:p w14:paraId="6260709E" w14:textId="77777777" w:rsidR="00E507D4" w:rsidRPr="00F271B8" w:rsidRDefault="00E507D4" w:rsidP="00B95821">
            <w:pPr>
              <w:pStyle w:val="BodyText"/>
              <w:spacing w:before="100" w:after="100"/>
              <w:rPr>
                <w:b/>
              </w:rPr>
            </w:pPr>
            <w:r w:rsidRPr="00F271B8">
              <w:t>Malaysia,</w:t>
            </w:r>
          </w:p>
        </w:tc>
        <w:tc>
          <w:tcPr>
            <w:tcW w:w="2385" w:type="dxa"/>
            <w:shd w:val="clear" w:color="auto" w:fill="auto"/>
          </w:tcPr>
          <w:p w14:paraId="28CD37EA" w14:textId="77777777" w:rsidR="00E507D4" w:rsidRPr="00F271B8" w:rsidRDefault="00E507D4" w:rsidP="00B95821">
            <w:pPr>
              <w:pStyle w:val="BodyText"/>
              <w:spacing w:before="100" w:after="100"/>
              <w:rPr>
                <w:b/>
              </w:rPr>
            </w:pPr>
            <w:r w:rsidRPr="00F271B8">
              <w:t>Netherlands</w:t>
            </w:r>
          </w:p>
        </w:tc>
        <w:tc>
          <w:tcPr>
            <w:tcW w:w="2385" w:type="dxa"/>
            <w:shd w:val="clear" w:color="auto" w:fill="auto"/>
          </w:tcPr>
          <w:p w14:paraId="63E6CFAB" w14:textId="77777777" w:rsidR="00E507D4" w:rsidRPr="00F271B8" w:rsidRDefault="00E507D4" w:rsidP="00B95821">
            <w:pPr>
              <w:pStyle w:val="BodyText"/>
              <w:spacing w:before="100" w:after="100"/>
              <w:rPr>
                <w:b/>
              </w:rPr>
            </w:pPr>
            <w:r w:rsidRPr="00F271B8">
              <w:t>New Zealand</w:t>
            </w:r>
          </w:p>
        </w:tc>
      </w:tr>
      <w:tr w:rsidR="00E507D4" w:rsidRPr="00F271B8" w14:paraId="0DE17CAB" w14:textId="77777777" w:rsidTr="00B95821">
        <w:tc>
          <w:tcPr>
            <w:tcW w:w="2385" w:type="dxa"/>
            <w:shd w:val="clear" w:color="auto" w:fill="auto"/>
          </w:tcPr>
          <w:p w14:paraId="764CC99D" w14:textId="77777777" w:rsidR="00E507D4" w:rsidRPr="00F271B8" w:rsidRDefault="00E507D4" w:rsidP="00B95821">
            <w:pPr>
              <w:pStyle w:val="BodyText"/>
              <w:spacing w:before="100" w:after="100"/>
              <w:rPr>
                <w:b/>
              </w:rPr>
            </w:pPr>
            <w:r w:rsidRPr="00F271B8">
              <w:t xml:space="preserve">Pakistan </w:t>
            </w:r>
          </w:p>
        </w:tc>
        <w:tc>
          <w:tcPr>
            <w:tcW w:w="2385" w:type="dxa"/>
            <w:shd w:val="clear" w:color="auto" w:fill="auto"/>
          </w:tcPr>
          <w:p w14:paraId="7ADF84D1" w14:textId="77777777" w:rsidR="00E507D4" w:rsidRPr="00F271B8" w:rsidRDefault="00E507D4" w:rsidP="00B95821">
            <w:pPr>
              <w:pStyle w:val="BodyText"/>
              <w:spacing w:before="100" w:after="100"/>
              <w:rPr>
                <w:b/>
              </w:rPr>
            </w:pPr>
            <w:r w:rsidRPr="00F271B8">
              <w:t>Philippines</w:t>
            </w:r>
          </w:p>
        </w:tc>
        <w:tc>
          <w:tcPr>
            <w:tcW w:w="2385" w:type="dxa"/>
            <w:shd w:val="clear" w:color="auto" w:fill="auto"/>
          </w:tcPr>
          <w:p w14:paraId="6BF73EA2" w14:textId="77777777" w:rsidR="00E507D4" w:rsidRPr="00F271B8" w:rsidRDefault="00E507D4" w:rsidP="00B95821">
            <w:pPr>
              <w:pStyle w:val="BodyText"/>
              <w:spacing w:before="100" w:after="100"/>
              <w:rPr>
                <w:b/>
              </w:rPr>
            </w:pPr>
            <w:r w:rsidRPr="00F271B8">
              <w:t xml:space="preserve">Poland </w:t>
            </w:r>
          </w:p>
        </w:tc>
        <w:tc>
          <w:tcPr>
            <w:tcW w:w="2385" w:type="dxa"/>
            <w:shd w:val="clear" w:color="auto" w:fill="auto"/>
          </w:tcPr>
          <w:p w14:paraId="072ABEAC" w14:textId="77777777" w:rsidR="00E507D4" w:rsidRPr="00F271B8" w:rsidRDefault="00E507D4" w:rsidP="00B95821">
            <w:pPr>
              <w:pStyle w:val="BodyText"/>
              <w:spacing w:before="100" w:after="100"/>
              <w:rPr>
                <w:b/>
              </w:rPr>
            </w:pPr>
            <w:r w:rsidRPr="00F271B8">
              <w:t>Singapore</w:t>
            </w:r>
          </w:p>
        </w:tc>
      </w:tr>
      <w:tr w:rsidR="00E507D4" w:rsidRPr="00F271B8" w14:paraId="4EB893DD" w14:textId="77777777" w:rsidTr="00B95821">
        <w:tc>
          <w:tcPr>
            <w:tcW w:w="2385" w:type="dxa"/>
            <w:shd w:val="clear" w:color="auto" w:fill="auto"/>
          </w:tcPr>
          <w:p w14:paraId="1E7857BB" w14:textId="77777777" w:rsidR="00E507D4" w:rsidRPr="00F271B8" w:rsidRDefault="00E507D4" w:rsidP="00B95821">
            <w:pPr>
              <w:pStyle w:val="BodyText"/>
              <w:spacing w:before="100" w:after="100"/>
              <w:rPr>
                <w:b/>
              </w:rPr>
            </w:pPr>
            <w:r w:rsidRPr="00F271B8">
              <w:t xml:space="preserve">South Africa </w:t>
            </w:r>
          </w:p>
        </w:tc>
        <w:tc>
          <w:tcPr>
            <w:tcW w:w="2385" w:type="dxa"/>
            <w:shd w:val="clear" w:color="auto" w:fill="auto"/>
          </w:tcPr>
          <w:p w14:paraId="09CA6FD6" w14:textId="77777777" w:rsidR="00E507D4" w:rsidRPr="00F271B8" w:rsidRDefault="00E507D4" w:rsidP="00B95821">
            <w:pPr>
              <w:pStyle w:val="BodyText"/>
              <w:spacing w:before="100" w:after="100"/>
              <w:rPr>
                <w:b/>
              </w:rPr>
            </w:pPr>
            <w:r w:rsidRPr="00F271B8">
              <w:t>South Korea</w:t>
            </w:r>
          </w:p>
        </w:tc>
        <w:tc>
          <w:tcPr>
            <w:tcW w:w="2385" w:type="dxa"/>
            <w:shd w:val="clear" w:color="auto" w:fill="auto"/>
          </w:tcPr>
          <w:p w14:paraId="3631227C" w14:textId="77777777" w:rsidR="00E507D4" w:rsidRPr="00F271B8" w:rsidRDefault="00E507D4" w:rsidP="00B95821">
            <w:pPr>
              <w:pStyle w:val="BodyText"/>
              <w:spacing w:before="100" w:after="100"/>
              <w:rPr>
                <w:b/>
              </w:rPr>
            </w:pPr>
            <w:r w:rsidRPr="00F271B8">
              <w:t xml:space="preserve">Taiwan </w:t>
            </w:r>
          </w:p>
        </w:tc>
        <w:tc>
          <w:tcPr>
            <w:tcW w:w="2385" w:type="dxa"/>
            <w:shd w:val="clear" w:color="auto" w:fill="auto"/>
          </w:tcPr>
          <w:p w14:paraId="1604BC4D" w14:textId="77777777" w:rsidR="00E507D4" w:rsidRPr="00F271B8" w:rsidRDefault="00E507D4" w:rsidP="00B95821">
            <w:pPr>
              <w:pStyle w:val="BodyText"/>
              <w:spacing w:before="100" w:after="100"/>
              <w:rPr>
                <w:b/>
              </w:rPr>
            </w:pPr>
            <w:r w:rsidRPr="00F271B8">
              <w:t>Thailand</w:t>
            </w:r>
          </w:p>
        </w:tc>
      </w:tr>
      <w:tr w:rsidR="00E507D4" w:rsidRPr="00F271B8" w14:paraId="31D3FC77" w14:textId="77777777" w:rsidTr="00B95821">
        <w:tc>
          <w:tcPr>
            <w:tcW w:w="2385" w:type="dxa"/>
            <w:shd w:val="clear" w:color="auto" w:fill="auto"/>
          </w:tcPr>
          <w:p w14:paraId="1A0D607A" w14:textId="77777777" w:rsidR="00E507D4" w:rsidRPr="00F271B8" w:rsidRDefault="00E507D4" w:rsidP="00B95821">
            <w:pPr>
              <w:pStyle w:val="BodyText"/>
              <w:spacing w:before="100" w:after="100"/>
              <w:rPr>
                <w:b/>
              </w:rPr>
            </w:pPr>
            <w:r w:rsidRPr="00F271B8">
              <w:lastRenderedPageBreak/>
              <w:t>Turkey</w:t>
            </w:r>
          </w:p>
        </w:tc>
        <w:tc>
          <w:tcPr>
            <w:tcW w:w="2385" w:type="dxa"/>
            <w:shd w:val="clear" w:color="auto" w:fill="auto"/>
          </w:tcPr>
          <w:p w14:paraId="0E3ADDF9" w14:textId="77777777" w:rsidR="00E507D4" w:rsidRPr="00F271B8" w:rsidRDefault="00E507D4" w:rsidP="00B95821">
            <w:pPr>
              <w:pStyle w:val="BodyText"/>
              <w:spacing w:before="100" w:after="100"/>
              <w:rPr>
                <w:b/>
              </w:rPr>
            </w:pPr>
            <w:r w:rsidRPr="00F271B8">
              <w:t>United Kingdom</w:t>
            </w:r>
          </w:p>
        </w:tc>
        <w:tc>
          <w:tcPr>
            <w:tcW w:w="2385" w:type="dxa"/>
            <w:shd w:val="clear" w:color="auto" w:fill="auto"/>
          </w:tcPr>
          <w:p w14:paraId="03624F09" w14:textId="77777777" w:rsidR="00E507D4" w:rsidRPr="00F271B8" w:rsidRDefault="00E507D4" w:rsidP="00B95821">
            <w:pPr>
              <w:pStyle w:val="BodyText"/>
              <w:spacing w:before="100" w:after="100"/>
              <w:rPr>
                <w:b/>
              </w:rPr>
            </w:pPr>
            <w:r w:rsidRPr="00F271B8">
              <w:t xml:space="preserve">USA </w:t>
            </w:r>
          </w:p>
        </w:tc>
        <w:tc>
          <w:tcPr>
            <w:tcW w:w="2385" w:type="dxa"/>
            <w:shd w:val="clear" w:color="auto" w:fill="auto"/>
          </w:tcPr>
          <w:p w14:paraId="6D7EBADF" w14:textId="77777777" w:rsidR="00E507D4" w:rsidRPr="00F271B8" w:rsidRDefault="00E507D4" w:rsidP="00B95821">
            <w:pPr>
              <w:pStyle w:val="BodyText"/>
              <w:spacing w:before="100" w:after="100"/>
              <w:rPr>
                <w:b/>
              </w:rPr>
            </w:pPr>
            <w:r w:rsidRPr="00F271B8">
              <w:t>Vietnam</w:t>
            </w:r>
          </w:p>
        </w:tc>
      </w:tr>
    </w:tbl>
    <w:p w14:paraId="2C893A06" w14:textId="77777777" w:rsidR="00E507D4" w:rsidRPr="00F271B8" w:rsidRDefault="00E507D4" w:rsidP="00E507D4">
      <w:pPr>
        <w:pStyle w:val="Heading6"/>
        <w:spacing w:before="240"/>
        <w:ind w:left="0" w:firstLine="0"/>
        <w:rPr>
          <w:lang w:val="en-AU"/>
        </w:rPr>
      </w:pPr>
      <w:bookmarkStart w:id="2073" w:name="_Toc452735160"/>
      <w:bookmarkStart w:id="2074" w:name="_Toc453076159"/>
      <w:bookmarkStart w:id="2075" w:name="_Toc455146840"/>
      <w:bookmarkStart w:id="2076" w:name="_Toc508361938"/>
      <w:r w:rsidRPr="00F271B8">
        <w:rPr>
          <w:lang w:val="en-AU"/>
        </w:rPr>
        <w:t>My Account</w:t>
      </w:r>
      <w:bookmarkEnd w:id="2073"/>
      <w:bookmarkEnd w:id="2074"/>
      <w:bookmarkEnd w:id="2075"/>
      <w:bookmarkEnd w:id="2076"/>
    </w:p>
    <w:p w14:paraId="2783B506" w14:textId="77777777" w:rsidR="00E507D4" w:rsidRPr="00F271B8" w:rsidRDefault="00E507D4" w:rsidP="00E507D4">
      <w:pPr>
        <w:pStyle w:val="BodyText"/>
        <w:ind w:left="720"/>
        <w:rPr>
          <w:lang w:val="en-AU"/>
        </w:rPr>
      </w:pPr>
      <w:r w:rsidRPr="00F271B8">
        <w:rPr>
          <w:lang w:val="en-AU"/>
        </w:rPr>
        <w:t xml:space="preserve">Services that share data may have a service login to My Account which will display all of the service numbers contributing to or using the shared data pool on </w:t>
      </w:r>
      <w:r w:rsidRPr="00F271B8">
        <w:rPr>
          <w:i/>
          <w:lang w:val="en-AU"/>
        </w:rPr>
        <w:t xml:space="preserve">your </w:t>
      </w:r>
      <w:r w:rsidRPr="00F271B8">
        <w:rPr>
          <w:lang w:val="en-AU"/>
        </w:rPr>
        <w:t>account and the amount of data each service has used</w:t>
      </w:r>
      <w:r>
        <w:rPr>
          <w:lang w:val="en-AU"/>
        </w:rPr>
        <w:t xml:space="preserve">. </w:t>
      </w:r>
      <w:r w:rsidRPr="00F271B8">
        <w:rPr>
          <w:lang w:val="en-AU"/>
        </w:rPr>
        <w:t xml:space="preserve">If </w:t>
      </w:r>
      <w:r w:rsidRPr="00F271B8">
        <w:rPr>
          <w:i/>
          <w:lang w:val="en-AU"/>
        </w:rPr>
        <w:t>you</w:t>
      </w:r>
      <w:r w:rsidRPr="00F271B8">
        <w:rPr>
          <w:lang w:val="en-AU"/>
        </w:rPr>
        <w:t xml:space="preserve"> have more than 6 services on </w:t>
      </w:r>
      <w:r w:rsidRPr="00F271B8">
        <w:rPr>
          <w:i/>
          <w:lang w:val="en-AU"/>
        </w:rPr>
        <w:t>your</w:t>
      </w:r>
      <w:r w:rsidRPr="00F271B8">
        <w:rPr>
          <w:lang w:val="en-AU"/>
        </w:rPr>
        <w:t xml:space="preserve"> account, My Account may not be suitable for viewing usage and managing </w:t>
      </w:r>
      <w:r w:rsidRPr="00F271B8">
        <w:rPr>
          <w:i/>
          <w:lang w:val="en-AU"/>
        </w:rPr>
        <w:t xml:space="preserve">your </w:t>
      </w:r>
      <w:r w:rsidRPr="00F271B8">
        <w:rPr>
          <w:lang w:val="en-AU"/>
        </w:rPr>
        <w:t>usage alerts.</w:t>
      </w:r>
    </w:p>
    <w:p w14:paraId="02C46D8B" w14:textId="77777777" w:rsidR="00E507D4" w:rsidRPr="00F271B8" w:rsidRDefault="00E507D4" w:rsidP="00E507D4">
      <w:pPr>
        <w:pStyle w:val="Heading6"/>
        <w:ind w:left="0" w:firstLine="0"/>
        <w:rPr>
          <w:lang w:val="en-AU"/>
        </w:rPr>
      </w:pPr>
      <w:bookmarkStart w:id="2077" w:name="_Toc452735161"/>
      <w:bookmarkStart w:id="2078" w:name="_Toc453076160"/>
      <w:bookmarkStart w:id="2079" w:name="_Toc455146841"/>
      <w:bookmarkStart w:id="2080" w:name="_Toc508361939"/>
      <w:r w:rsidRPr="00F271B8">
        <w:rPr>
          <w:lang w:val="en-AU"/>
        </w:rPr>
        <w:t xml:space="preserve">What happens if the </w:t>
      </w:r>
      <w:r w:rsidRPr="00F271B8">
        <w:rPr>
          <w:i/>
          <w:lang w:val="en-AU"/>
        </w:rPr>
        <w:t xml:space="preserve">service </w:t>
      </w:r>
      <w:r w:rsidRPr="00F271B8">
        <w:rPr>
          <w:lang w:val="en-AU"/>
        </w:rPr>
        <w:t>is</w:t>
      </w:r>
      <w:r w:rsidRPr="00F271B8">
        <w:rPr>
          <w:i/>
          <w:lang w:val="en-AU"/>
        </w:rPr>
        <w:t xml:space="preserve"> cancelled </w:t>
      </w:r>
      <w:r w:rsidRPr="00F271B8">
        <w:rPr>
          <w:lang w:val="en-AU"/>
        </w:rPr>
        <w:t>early?</w:t>
      </w:r>
      <w:bookmarkEnd w:id="2077"/>
      <w:bookmarkEnd w:id="2078"/>
      <w:bookmarkEnd w:id="2079"/>
      <w:bookmarkEnd w:id="2080"/>
      <w:r w:rsidRPr="00F271B8">
        <w:rPr>
          <w:lang w:val="en-AU"/>
        </w:rPr>
        <w:t xml:space="preserve"> </w:t>
      </w:r>
    </w:p>
    <w:p w14:paraId="44AB101D" w14:textId="77777777" w:rsidR="00E507D4" w:rsidRPr="00F271B8" w:rsidRDefault="00E507D4" w:rsidP="00E507D4">
      <w:pPr>
        <w:pStyle w:val="Heading7"/>
        <w:rPr>
          <w:lang w:val="en-AU"/>
        </w:rPr>
      </w:pPr>
      <w:r w:rsidRPr="00F271B8">
        <w:rPr>
          <w:lang w:val="en-AU"/>
        </w:rPr>
        <w:t>If the</w:t>
      </w:r>
      <w:r w:rsidRPr="00F271B8">
        <w:rPr>
          <w:i/>
          <w:lang w:val="en-AU"/>
        </w:rPr>
        <w:t xml:space="preserve"> service</w:t>
      </w:r>
      <w:r w:rsidRPr="00F271B8">
        <w:rPr>
          <w:lang w:val="en-AU"/>
        </w:rPr>
        <w:t xml:space="preserve"> is</w:t>
      </w:r>
      <w:r w:rsidRPr="00F271B8">
        <w:rPr>
          <w:i/>
          <w:lang w:val="en-AU"/>
        </w:rPr>
        <w:t xml:space="preserve"> cancelled </w:t>
      </w:r>
      <w:r w:rsidRPr="00F271B8">
        <w:rPr>
          <w:lang w:val="en-AU"/>
        </w:rPr>
        <w:t xml:space="preserve">before the end of </w:t>
      </w:r>
      <w:r w:rsidRPr="00F271B8">
        <w:rPr>
          <w:i/>
          <w:lang w:val="en-AU"/>
        </w:rPr>
        <w:t xml:space="preserve">your minimum term, you </w:t>
      </w:r>
      <w:r w:rsidRPr="00F271B8">
        <w:rPr>
          <w:lang w:val="en-AU"/>
        </w:rPr>
        <w:t xml:space="preserve">will be required to pay </w:t>
      </w:r>
      <w:r w:rsidRPr="00F271B8">
        <w:rPr>
          <w:i/>
          <w:lang w:val="en-AU"/>
        </w:rPr>
        <w:t>us</w:t>
      </w:r>
      <w:r w:rsidRPr="00F271B8">
        <w:rPr>
          <w:lang w:val="en-AU"/>
        </w:rPr>
        <w:t>:</w:t>
      </w:r>
    </w:p>
    <w:p w14:paraId="7195FF3A" w14:textId="77777777" w:rsidR="00E507D4" w:rsidRPr="00F271B8" w:rsidRDefault="00E507D4" w:rsidP="00E507D4">
      <w:pPr>
        <w:pStyle w:val="Heading8"/>
        <w:rPr>
          <w:lang w:val="en-AU"/>
        </w:rPr>
      </w:pPr>
      <w:r w:rsidRPr="00F271B8">
        <w:rPr>
          <w:lang w:val="en-AU"/>
        </w:rPr>
        <w:t xml:space="preserve">any usage charges incurred up to, and including, the </w:t>
      </w:r>
      <w:r w:rsidRPr="00F271B8">
        <w:rPr>
          <w:i/>
          <w:lang w:val="en-AU"/>
        </w:rPr>
        <w:t xml:space="preserve">cancellation date; </w:t>
      </w:r>
      <w:r w:rsidRPr="00F271B8">
        <w:rPr>
          <w:lang w:val="en-AU"/>
        </w:rPr>
        <w:t>plus</w:t>
      </w:r>
    </w:p>
    <w:p w14:paraId="226D4AFC" w14:textId="77777777" w:rsidR="00E507D4" w:rsidRPr="00F271B8" w:rsidRDefault="00E507D4" w:rsidP="00E507D4">
      <w:pPr>
        <w:pStyle w:val="Heading8"/>
        <w:rPr>
          <w:lang w:val="en-AU"/>
        </w:rPr>
      </w:pPr>
      <w:r w:rsidRPr="00F271B8">
        <w:rPr>
          <w:lang w:val="en-AU"/>
        </w:rPr>
        <w:t xml:space="preserve">the </w:t>
      </w:r>
      <w:r w:rsidRPr="00F271B8">
        <w:rPr>
          <w:i/>
          <w:lang w:val="en-AU"/>
        </w:rPr>
        <w:t>cancellation fees</w:t>
      </w:r>
      <w:r w:rsidRPr="00F271B8">
        <w:rPr>
          <w:lang w:val="en-AU"/>
        </w:rPr>
        <w:t xml:space="preserve"> set out in paragraph (b) below (unless under clause 2A of the </w:t>
      </w:r>
      <w:r w:rsidRPr="00F271B8">
        <w:rPr>
          <w:i/>
          <w:lang w:val="en-AU"/>
        </w:rPr>
        <w:t>consumer terms</w:t>
      </w:r>
      <w:r w:rsidRPr="00F271B8">
        <w:rPr>
          <w:lang w:val="en-AU"/>
        </w:rPr>
        <w:t xml:space="preserve">, </w:t>
      </w:r>
      <w:r w:rsidRPr="00F271B8">
        <w:rPr>
          <w:i/>
          <w:lang w:val="en-AU"/>
        </w:rPr>
        <w:t>you</w:t>
      </w:r>
      <w:r w:rsidRPr="00F271B8">
        <w:rPr>
          <w:lang w:val="en-AU"/>
        </w:rPr>
        <w:t xml:space="preserve"> are entitled to </w:t>
      </w:r>
      <w:r w:rsidRPr="00F271B8">
        <w:rPr>
          <w:i/>
          <w:lang w:val="en-AU"/>
        </w:rPr>
        <w:t>cancel the service</w:t>
      </w:r>
      <w:r w:rsidRPr="00F271B8">
        <w:rPr>
          <w:lang w:val="en-AU"/>
        </w:rPr>
        <w:t xml:space="preserve"> without incurring a </w:t>
      </w:r>
      <w:r w:rsidRPr="00F271B8">
        <w:rPr>
          <w:i/>
          <w:lang w:val="en-AU"/>
        </w:rPr>
        <w:t>cancellation fee</w:t>
      </w:r>
      <w:r w:rsidRPr="00F271B8">
        <w:rPr>
          <w:lang w:val="en-AU"/>
        </w:rPr>
        <w:t>); plus</w:t>
      </w:r>
    </w:p>
    <w:p w14:paraId="55E26336" w14:textId="77777777" w:rsidR="00E507D4" w:rsidRPr="00F271B8" w:rsidRDefault="00E507D4" w:rsidP="00E507D4">
      <w:pPr>
        <w:pStyle w:val="Heading8"/>
        <w:rPr>
          <w:lang w:val="en-AU"/>
        </w:rPr>
      </w:pPr>
      <w:r w:rsidRPr="00F271B8">
        <w:rPr>
          <w:lang w:val="en-AU"/>
        </w:rPr>
        <w:t>the sum of unpaid equipment charges owing on your mobile phone under the mobile equipment payment plan (if any)</w:t>
      </w:r>
      <w:r>
        <w:rPr>
          <w:lang w:val="en-AU"/>
        </w:rPr>
        <w:t xml:space="preserve">. </w:t>
      </w:r>
    </w:p>
    <w:p w14:paraId="6904FB43" w14:textId="77777777" w:rsidR="00E507D4" w:rsidRPr="00F271B8" w:rsidRDefault="00E507D4" w:rsidP="00E507D4">
      <w:pPr>
        <w:pStyle w:val="Heading7"/>
        <w:rPr>
          <w:lang w:val="en-AU"/>
        </w:rPr>
      </w:pPr>
      <w:r w:rsidRPr="00F271B8">
        <w:rPr>
          <w:lang w:val="en-AU"/>
        </w:rPr>
        <w:t xml:space="preserve">The </w:t>
      </w:r>
      <w:r w:rsidRPr="00F271B8">
        <w:rPr>
          <w:i/>
          <w:lang w:val="en-AU"/>
        </w:rPr>
        <w:t>cancellation fee</w:t>
      </w:r>
      <w:r w:rsidRPr="00F271B8">
        <w:rPr>
          <w:lang w:val="en-AU"/>
        </w:rPr>
        <w:t xml:space="preserve"> is calculated as the following amounts, multiplied by the months remaining on </w:t>
      </w:r>
      <w:r w:rsidRPr="00F271B8">
        <w:rPr>
          <w:i/>
          <w:lang w:val="en-AU"/>
        </w:rPr>
        <w:t>your minimum term</w:t>
      </w:r>
      <w:r w:rsidRPr="00F271B8">
        <w:rPr>
          <w:lang w:val="en-AU"/>
        </w:rPr>
        <w:t>:</w:t>
      </w:r>
    </w:p>
    <w:tbl>
      <w:tblPr>
        <w:tblW w:w="4005" w:type="pct"/>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1"/>
        <w:gridCol w:w="2497"/>
        <w:gridCol w:w="2773"/>
      </w:tblGrid>
      <w:tr w:rsidR="00E507D4" w:rsidRPr="00F271B8" w14:paraId="17B052D7" w14:textId="77777777" w:rsidTr="00B95821">
        <w:trPr>
          <w:trHeight w:val="183"/>
        </w:trPr>
        <w:tc>
          <w:tcPr>
            <w:tcW w:w="1771" w:type="pct"/>
            <w:shd w:val="clear" w:color="auto" w:fill="auto"/>
            <w:vAlign w:val="center"/>
          </w:tcPr>
          <w:p w14:paraId="7F2821B6" w14:textId="77777777" w:rsidR="00E507D4" w:rsidRPr="00F271B8" w:rsidRDefault="00E507D4" w:rsidP="00B95821">
            <w:pPr>
              <w:pStyle w:val="BodyText"/>
              <w:spacing w:before="100" w:after="100"/>
              <w:rPr>
                <w:b/>
              </w:rPr>
            </w:pPr>
          </w:p>
        </w:tc>
        <w:tc>
          <w:tcPr>
            <w:tcW w:w="1530" w:type="pct"/>
            <w:vAlign w:val="center"/>
          </w:tcPr>
          <w:p w14:paraId="41A2444B" w14:textId="77777777" w:rsidR="00E507D4" w:rsidRPr="00F271B8" w:rsidDel="00844E85" w:rsidRDefault="00E507D4" w:rsidP="00B95821">
            <w:pPr>
              <w:pStyle w:val="BodyText"/>
              <w:spacing w:before="100" w:after="100"/>
              <w:jc w:val="center"/>
              <w:rPr>
                <w:b/>
              </w:rPr>
            </w:pPr>
            <w:r w:rsidRPr="00F271B8">
              <w:rPr>
                <w:b/>
              </w:rPr>
              <w:t>$40 My Plan Business 12M SIM</w:t>
            </w:r>
          </w:p>
        </w:tc>
        <w:tc>
          <w:tcPr>
            <w:tcW w:w="1699" w:type="pct"/>
            <w:vAlign w:val="center"/>
          </w:tcPr>
          <w:p w14:paraId="0922D0C9" w14:textId="77777777" w:rsidR="00E507D4" w:rsidRPr="00F271B8" w:rsidRDefault="00E507D4" w:rsidP="00B95821">
            <w:pPr>
              <w:pStyle w:val="BodyText"/>
              <w:spacing w:before="100" w:after="100"/>
              <w:jc w:val="center"/>
              <w:rPr>
                <w:b/>
              </w:rPr>
            </w:pPr>
            <w:r>
              <w:rPr>
                <w:b/>
              </w:rPr>
              <w:t>$5</w:t>
            </w:r>
            <w:r w:rsidRPr="00F271B8">
              <w:rPr>
                <w:b/>
              </w:rPr>
              <w:t>0 My Plan Business 12M SIM</w:t>
            </w:r>
          </w:p>
        </w:tc>
      </w:tr>
      <w:tr w:rsidR="00E507D4" w:rsidRPr="00F271B8" w14:paraId="7D05FD42" w14:textId="77777777" w:rsidTr="00B95821">
        <w:trPr>
          <w:trHeight w:val="64"/>
        </w:trPr>
        <w:tc>
          <w:tcPr>
            <w:tcW w:w="1771" w:type="pct"/>
            <w:shd w:val="clear" w:color="auto" w:fill="auto"/>
            <w:vAlign w:val="center"/>
          </w:tcPr>
          <w:p w14:paraId="6266AED6" w14:textId="77777777" w:rsidR="00E507D4" w:rsidRPr="00F271B8" w:rsidRDefault="00E507D4" w:rsidP="00B95821">
            <w:pPr>
              <w:pStyle w:val="BodyText"/>
              <w:spacing w:before="100" w:after="100"/>
              <w:rPr>
                <w:b/>
              </w:rPr>
            </w:pPr>
            <w:r w:rsidRPr="00F271B8">
              <w:rPr>
                <w:b/>
                <w:bCs/>
              </w:rPr>
              <w:t xml:space="preserve">Cancellation Fee </w:t>
            </w:r>
          </w:p>
        </w:tc>
        <w:tc>
          <w:tcPr>
            <w:tcW w:w="1530" w:type="pct"/>
            <w:vAlign w:val="center"/>
          </w:tcPr>
          <w:p w14:paraId="184E3271" w14:textId="77777777" w:rsidR="00E507D4" w:rsidRPr="00F271B8" w:rsidDel="00844E85" w:rsidRDefault="00E507D4" w:rsidP="00B95821">
            <w:pPr>
              <w:pStyle w:val="BodyText"/>
              <w:spacing w:before="100" w:after="100"/>
              <w:jc w:val="center"/>
            </w:pPr>
            <w:r w:rsidRPr="00F271B8">
              <w:t>$12 x Months remaining</w:t>
            </w:r>
          </w:p>
        </w:tc>
        <w:tc>
          <w:tcPr>
            <w:tcW w:w="1699" w:type="pct"/>
            <w:vAlign w:val="center"/>
          </w:tcPr>
          <w:p w14:paraId="0AF1E5B5" w14:textId="77777777" w:rsidR="00E507D4" w:rsidRPr="00F271B8" w:rsidRDefault="00E507D4" w:rsidP="00B95821">
            <w:pPr>
              <w:pStyle w:val="BodyText"/>
              <w:spacing w:before="100" w:after="100"/>
              <w:jc w:val="center"/>
            </w:pPr>
            <w:r w:rsidRPr="00F271B8">
              <w:t>$12 x Months remaining</w:t>
            </w:r>
          </w:p>
        </w:tc>
      </w:tr>
      <w:tr w:rsidR="00E507D4" w:rsidRPr="009863B7" w14:paraId="50A9AC70" w14:textId="77777777" w:rsidTr="00B95821">
        <w:trPr>
          <w:trHeight w:val="64"/>
        </w:trPr>
        <w:tc>
          <w:tcPr>
            <w:tcW w:w="1771" w:type="pct"/>
            <w:shd w:val="clear" w:color="auto" w:fill="auto"/>
            <w:vAlign w:val="center"/>
          </w:tcPr>
          <w:p w14:paraId="69D1C921" w14:textId="77777777" w:rsidR="00E507D4" w:rsidRPr="00F271B8" w:rsidRDefault="00E507D4" w:rsidP="00B95821">
            <w:pPr>
              <w:pStyle w:val="BodyText"/>
              <w:spacing w:before="100" w:after="100"/>
              <w:rPr>
                <w:b/>
                <w:bCs/>
              </w:rPr>
            </w:pPr>
            <w:r w:rsidRPr="00F271B8">
              <w:rPr>
                <w:b/>
                <w:bCs/>
              </w:rPr>
              <w:t>Maximum Cancellation Fee</w:t>
            </w:r>
          </w:p>
        </w:tc>
        <w:tc>
          <w:tcPr>
            <w:tcW w:w="1530" w:type="pct"/>
            <w:vAlign w:val="center"/>
          </w:tcPr>
          <w:p w14:paraId="301DF671" w14:textId="77777777" w:rsidR="00E507D4" w:rsidRPr="009863B7" w:rsidDel="00844E85" w:rsidRDefault="00E507D4" w:rsidP="00B95821">
            <w:pPr>
              <w:pStyle w:val="BodyText"/>
              <w:spacing w:before="100" w:after="100"/>
              <w:jc w:val="center"/>
            </w:pPr>
            <w:r w:rsidRPr="00F271B8">
              <w:t>$144</w:t>
            </w:r>
          </w:p>
        </w:tc>
        <w:tc>
          <w:tcPr>
            <w:tcW w:w="1699" w:type="pct"/>
            <w:vAlign w:val="center"/>
          </w:tcPr>
          <w:p w14:paraId="088425C5" w14:textId="77777777" w:rsidR="00E507D4" w:rsidRPr="00F271B8" w:rsidRDefault="00E507D4" w:rsidP="00B95821">
            <w:pPr>
              <w:pStyle w:val="BodyText"/>
              <w:spacing w:before="100" w:after="100"/>
              <w:jc w:val="center"/>
            </w:pPr>
            <w:r>
              <w:t>$180</w:t>
            </w:r>
          </w:p>
        </w:tc>
      </w:tr>
    </w:tbl>
    <w:p w14:paraId="18493588" w14:textId="77777777" w:rsidR="00E507D4" w:rsidRDefault="00B95821" w:rsidP="00E507D4">
      <w:r>
        <w:br/>
      </w:r>
    </w:p>
    <w:p w14:paraId="4B976B03" w14:textId="77777777" w:rsidR="00E507D4" w:rsidRDefault="00E507D4" w:rsidP="00E507D4"/>
    <w:p w14:paraId="0AF12C4F" w14:textId="77777777" w:rsidR="00E507D4" w:rsidRPr="00F271B8" w:rsidRDefault="00E507D4" w:rsidP="00E507D4">
      <w:pPr>
        <w:pStyle w:val="Heading4"/>
        <w:rPr>
          <w:lang w:val="en-AU"/>
        </w:rPr>
      </w:pPr>
      <w:bookmarkStart w:id="2081" w:name="_Toc508361940"/>
      <w:bookmarkStart w:id="2082" w:name="_Toc62644706"/>
      <w:r>
        <w:rPr>
          <w:lang w:val="en-AU"/>
        </w:rPr>
        <w:t xml:space="preserve">$90 </w:t>
      </w:r>
      <w:r w:rsidRPr="00F271B8">
        <w:rPr>
          <w:lang w:val="en-AU"/>
        </w:rPr>
        <w:t>My Plan Business – (</w:t>
      </w:r>
      <w:r>
        <w:rPr>
          <w:lang w:val="en-AU"/>
        </w:rPr>
        <w:t xml:space="preserve">Bonus Data </w:t>
      </w:r>
      <w:r w:rsidRPr="00F271B8">
        <w:rPr>
          <w:lang w:val="en-AU"/>
        </w:rPr>
        <w:t>Promotional)</w:t>
      </w:r>
      <w:bookmarkEnd w:id="2081"/>
      <w:bookmarkEnd w:id="2082"/>
    </w:p>
    <w:p w14:paraId="613D7A7C" w14:textId="77777777" w:rsidR="00E507D4" w:rsidRPr="00F271B8" w:rsidRDefault="00E507D4" w:rsidP="00E507D4">
      <w:pPr>
        <w:pStyle w:val="BodyText"/>
        <w:ind w:left="720"/>
        <w:rPr>
          <w:lang w:val="en-AU"/>
        </w:rPr>
      </w:pPr>
      <w:r w:rsidRPr="00F271B8">
        <w:rPr>
          <w:lang w:val="en-AU"/>
        </w:rPr>
        <w:t>This section relates to the following plans</w:t>
      </w:r>
      <w:r>
        <w:rPr>
          <w:lang w:val="en-AU"/>
        </w:rPr>
        <w:t xml:space="preserve">. </w:t>
      </w:r>
      <w:r w:rsidRPr="00F271B8">
        <w:rPr>
          <w:i/>
          <w:lang w:val="en-AU"/>
        </w:rPr>
        <w:t>You</w:t>
      </w:r>
      <w:r w:rsidRPr="00F271B8">
        <w:rPr>
          <w:lang w:val="en-AU"/>
        </w:rPr>
        <w:t xml:space="preserve"> can find </w:t>
      </w:r>
      <w:r w:rsidRPr="00F271B8">
        <w:rPr>
          <w:i/>
          <w:lang w:val="en-AU"/>
        </w:rPr>
        <w:t>your</w:t>
      </w:r>
      <w:r w:rsidRPr="00F271B8">
        <w:rPr>
          <w:lang w:val="en-AU"/>
        </w:rPr>
        <w:t xml:space="preserve"> Plan ID on </w:t>
      </w:r>
      <w:r w:rsidRPr="00F271B8">
        <w:rPr>
          <w:i/>
          <w:lang w:val="en-AU"/>
        </w:rPr>
        <w:t>your</w:t>
      </w:r>
      <w:r w:rsidRPr="00F271B8">
        <w:rPr>
          <w:lang w:val="en-AU"/>
        </w:rPr>
        <w:t xml:space="preserve"> bill under the Mobile Number Summary section: </w:t>
      </w:r>
    </w:p>
    <w:tbl>
      <w:tblPr>
        <w:tblW w:w="95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0"/>
        <w:gridCol w:w="2508"/>
        <w:gridCol w:w="3852"/>
      </w:tblGrid>
      <w:tr w:rsidR="00E507D4" w:rsidRPr="00F271B8" w14:paraId="4EA7B6DF" w14:textId="77777777" w:rsidTr="00B95821">
        <w:tc>
          <w:tcPr>
            <w:tcW w:w="3180" w:type="dxa"/>
            <w:shd w:val="clear" w:color="auto" w:fill="auto"/>
          </w:tcPr>
          <w:p w14:paraId="0E90D233" w14:textId="77777777" w:rsidR="00E507D4" w:rsidRPr="00F271B8" w:rsidRDefault="00E507D4" w:rsidP="00B95821">
            <w:pPr>
              <w:pStyle w:val="BodyText"/>
              <w:spacing w:before="100" w:after="100"/>
              <w:jc w:val="center"/>
              <w:rPr>
                <w:b/>
                <w:lang w:val="en-AU"/>
              </w:rPr>
            </w:pPr>
            <w:r w:rsidRPr="00F271B8">
              <w:rPr>
                <w:b/>
                <w:lang w:val="en-AU"/>
              </w:rPr>
              <w:t>Plan</w:t>
            </w:r>
          </w:p>
        </w:tc>
        <w:tc>
          <w:tcPr>
            <w:tcW w:w="2508" w:type="dxa"/>
            <w:shd w:val="clear" w:color="auto" w:fill="auto"/>
          </w:tcPr>
          <w:p w14:paraId="64DC9843" w14:textId="77777777" w:rsidR="00E507D4" w:rsidRPr="00F271B8" w:rsidRDefault="00E507D4" w:rsidP="00B95821">
            <w:pPr>
              <w:pStyle w:val="BodyText"/>
              <w:spacing w:before="100" w:after="100"/>
              <w:jc w:val="center"/>
              <w:rPr>
                <w:b/>
                <w:lang w:val="en-AU"/>
              </w:rPr>
            </w:pPr>
            <w:r w:rsidRPr="00F271B8">
              <w:rPr>
                <w:b/>
                <w:lang w:val="en-AU"/>
              </w:rPr>
              <w:t>Plan ID</w:t>
            </w:r>
          </w:p>
        </w:tc>
        <w:tc>
          <w:tcPr>
            <w:tcW w:w="3852" w:type="dxa"/>
            <w:shd w:val="clear" w:color="auto" w:fill="auto"/>
          </w:tcPr>
          <w:p w14:paraId="7DCA22D8" w14:textId="77777777" w:rsidR="00E507D4" w:rsidRPr="00F271B8" w:rsidRDefault="00E507D4" w:rsidP="00B95821">
            <w:pPr>
              <w:pStyle w:val="BodyText"/>
              <w:spacing w:before="100" w:after="100"/>
              <w:jc w:val="center"/>
              <w:rPr>
                <w:b/>
                <w:lang w:val="en-AU"/>
              </w:rPr>
            </w:pPr>
            <w:r w:rsidRPr="00F271B8">
              <w:rPr>
                <w:b/>
                <w:lang w:val="en-AU"/>
              </w:rPr>
              <w:t>Available</w:t>
            </w:r>
          </w:p>
        </w:tc>
      </w:tr>
      <w:tr w:rsidR="00E507D4" w:rsidRPr="00F271B8" w14:paraId="42476677" w14:textId="77777777" w:rsidTr="00B95821">
        <w:tc>
          <w:tcPr>
            <w:tcW w:w="3180" w:type="dxa"/>
            <w:shd w:val="clear" w:color="auto" w:fill="auto"/>
          </w:tcPr>
          <w:p w14:paraId="131F7357" w14:textId="77777777" w:rsidR="00E507D4" w:rsidRPr="00E83150" w:rsidRDefault="00E507D4" w:rsidP="00B95821">
            <w:pPr>
              <w:pStyle w:val="BodyText"/>
              <w:spacing w:before="100" w:after="100"/>
              <w:jc w:val="center"/>
              <w:rPr>
                <w:szCs w:val="20"/>
                <w:lang w:val="en-AU"/>
              </w:rPr>
            </w:pPr>
            <w:r w:rsidRPr="00E83150">
              <w:rPr>
                <w:rFonts w:eastAsia="Calibri" w:cs="Arial"/>
                <w:szCs w:val="20"/>
                <w:lang w:val="en-AU"/>
              </w:rPr>
              <w:t>$90 My Plan Business</w:t>
            </w:r>
          </w:p>
        </w:tc>
        <w:tc>
          <w:tcPr>
            <w:tcW w:w="2508" w:type="dxa"/>
            <w:shd w:val="clear" w:color="auto" w:fill="auto"/>
            <w:vAlign w:val="center"/>
          </w:tcPr>
          <w:p w14:paraId="38987A6B" w14:textId="77777777" w:rsidR="00E507D4" w:rsidRPr="009E5E41" w:rsidRDefault="00E507D4" w:rsidP="00B95821">
            <w:pPr>
              <w:pStyle w:val="BodyText"/>
              <w:spacing w:before="100" w:after="100"/>
              <w:jc w:val="center"/>
              <w:rPr>
                <w:szCs w:val="20"/>
                <w:lang w:val="en-AU"/>
              </w:rPr>
            </w:pPr>
            <w:r w:rsidRPr="00E83150">
              <w:rPr>
                <w:rFonts w:eastAsia="Calibri" w:cs="Arial"/>
                <w:szCs w:val="20"/>
              </w:rPr>
              <w:t>800569</w:t>
            </w:r>
          </w:p>
        </w:tc>
        <w:tc>
          <w:tcPr>
            <w:tcW w:w="3852" w:type="dxa"/>
            <w:shd w:val="clear" w:color="auto" w:fill="auto"/>
            <w:vAlign w:val="center"/>
          </w:tcPr>
          <w:p w14:paraId="4C9D1BFC" w14:textId="77777777" w:rsidR="00E507D4" w:rsidRPr="009E5E41" w:rsidRDefault="00E507D4" w:rsidP="00B95821">
            <w:pPr>
              <w:pStyle w:val="BodyText"/>
              <w:spacing w:before="100" w:after="100"/>
              <w:jc w:val="center"/>
              <w:rPr>
                <w:szCs w:val="20"/>
                <w:lang w:val="en-AU"/>
              </w:rPr>
            </w:pPr>
            <w:r w:rsidRPr="009E5E41">
              <w:rPr>
                <w:rFonts w:eastAsia="Calibri" w:cs="Arial"/>
                <w:szCs w:val="20"/>
              </w:rPr>
              <w:t>16 September 2016</w:t>
            </w:r>
            <w:r w:rsidR="00B95821" w:rsidRPr="00E85FA3">
              <w:t xml:space="preserve"> – 30 </w:t>
            </w:r>
            <w:r w:rsidR="00856E4A">
              <w:t>June</w:t>
            </w:r>
            <w:r w:rsidR="00B95821" w:rsidRPr="00E85FA3">
              <w:t xml:space="preserve"> 2018</w:t>
            </w:r>
          </w:p>
        </w:tc>
      </w:tr>
    </w:tbl>
    <w:p w14:paraId="4832CDDA" w14:textId="77777777" w:rsidR="00E507D4" w:rsidRPr="00F271B8" w:rsidRDefault="00E507D4" w:rsidP="00E507D4">
      <w:pPr>
        <w:pStyle w:val="Heading6"/>
        <w:spacing w:before="240"/>
        <w:ind w:left="0" w:firstLine="0"/>
        <w:rPr>
          <w:lang w:val="en-AU"/>
        </w:rPr>
      </w:pPr>
      <w:bookmarkStart w:id="2083" w:name="_Toc508361941"/>
      <w:r w:rsidRPr="00F271B8">
        <w:rPr>
          <w:lang w:val="en-AU"/>
        </w:rPr>
        <w:t>Eligibility</w:t>
      </w:r>
      <w:bookmarkEnd w:id="2083"/>
    </w:p>
    <w:p w14:paraId="6010103E" w14:textId="77777777" w:rsidR="00E507D4" w:rsidRPr="00F271B8" w:rsidRDefault="00E507D4" w:rsidP="00E507D4">
      <w:pPr>
        <w:pStyle w:val="BodyText"/>
        <w:ind w:left="720"/>
      </w:pPr>
      <w:r w:rsidRPr="00EB0AA6">
        <w:t>This $90 My Plan Business plan is a promotional plan that includes 8GB plus 1GB of bonus data.  This plan is only available to new and re-contracting services. Optus Service Providers’ customers are not eligible to apply.</w:t>
      </w:r>
    </w:p>
    <w:p w14:paraId="634BF183" w14:textId="77777777" w:rsidR="00E507D4" w:rsidRPr="00F271B8" w:rsidRDefault="00E507D4" w:rsidP="00E507D4">
      <w:pPr>
        <w:pStyle w:val="BodyText"/>
        <w:ind w:left="720"/>
        <w:rPr>
          <w:lang w:val="en-AU"/>
        </w:rPr>
      </w:pPr>
      <w:r w:rsidRPr="00F271B8">
        <w:rPr>
          <w:lang w:val="en-AU"/>
        </w:rPr>
        <w:t xml:space="preserve">These </w:t>
      </w:r>
      <w:r w:rsidRPr="00F271B8">
        <w:rPr>
          <w:i/>
          <w:lang w:val="en-AU"/>
        </w:rPr>
        <w:t>plans</w:t>
      </w:r>
      <w:r w:rsidRPr="00F271B8">
        <w:rPr>
          <w:lang w:val="en-AU"/>
        </w:rPr>
        <w:t xml:space="preserve"> aren</w:t>
      </w:r>
      <w:r>
        <w:rPr>
          <w:lang w:val="en-AU"/>
        </w:rPr>
        <w:t>'</w:t>
      </w:r>
      <w:r w:rsidRPr="00F271B8">
        <w:rPr>
          <w:lang w:val="en-AU"/>
        </w:rPr>
        <w:t>t compatible for data use with BlackBerry handsets on operating systems of 7.1 or earlier.</w:t>
      </w:r>
    </w:p>
    <w:p w14:paraId="737D2A5E" w14:textId="77777777" w:rsidR="00E507D4" w:rsidRPr="00F271B8" w:rsidRDefault="00E507D4" w:rsidP="00E507D4">
      <w:pPr>
        <w:pStyle w:val="Heading6"/>
        <w:ind w:left="0" w:firstLine="0"/>
        <w:rPr>
          <w:lang w:val="en-AU"/>
        </w:rPr>
      </w:pPr>
      <w:bookmarkStart w:id="2084" w:name="_Toc508361942"/>
      <w:r w:rsidRPr="00F271B8">
        <w:rPr>
          <w:lang w:val="en-AU"/>
        </w:rPr>
        <w:t>Minimum Term</w:t>
      </w:r>
      <w:bookmarkEnd w:id="2084"/>
    </w:p>
    <w:p w14:paraId="23CF5B0D" w14:textId="77777777" w:rsidR="00E507D4" w:rsidRPr="00F271B8" w:rsidRDefault="00E507D4" w:rsidP="00E507D4">
      <w:pPr>
        <w:pStyle w:val="BodyText"/>
        <w:ind w:left="720"/>
        <w:rPr>
          <w:lang w:val="en-AU"/>
        </w:rPr>
      </w:pPr>
      <w:r w:rsidRPr="00F271B8">
        <w:rPr>
          <w:lang w:val="en-AU"/>
        </w:rPr>
        <w:t xml:space="preserve">This plan has a </w:t>
      </w:r>
      <w:r w:rsidRPr="00F271B8">
        <w:rPr>
          <w:i/>
          <w:lang w:val="en-AU"/>
        </w:rPr>
        <w:t>fixed length</w:t>
      </w:r>
      <w:r w:rsidRPr="00F271B8">
        <w:rPr>
          <w:lang w:val="en-AU"/>
        </w:rPr>
        <w:t xml:space="preserve"> </w:t>
      </w:r>
      <w:r w:rsidRPr="00F271B8">
        <w:rPr>
          <w:i/>
          <w:lang w:val="en-AU"/>
        </w:rPr>
        <w:t>agreement</w:t>
      </w:r>
      <w:r w:rsidRPr="00F271B8">
        <w:rPr>
          <w:lang w:val="en-AU"/>
        </w:rPr>
        <w:t xml:space="preserve"> with a 24 month </w:t>
      </w:r>
      <w:r w:rsidRPr="00F271B8">
        <w:rPr>
          <w:i/>
          <w:lang w:val="en-AU"/>
        </w:rPr>
        <w:t>minimum term</w:t>
      </w:r>
      <w:r w:rsidRPr="00F271B8">
        <w:rPr>
          <w:lang w:val="en-AU"/>
        </w:rPr>
        <w:t>.</w:t>
      </w:r>
    </w:p>
    <w:p w14:paraId="64E4C1C9" w14:textId="77777777" w:rsidR="00E507D4" w:rsidRPr="00F271B8" w:rsidRDefault="00E507D4" w:rsidP="00E507D4">
      <w:pPr>
        <w:pStyle w:val="Heading6"/>
        <w:ind w:left="0" w:firstLine="0"/>
        <w:rPr>
          <w:lang w:val="en-AU"/>
        </w:rPr>
      </w:pPr>
      <w:bookmarkStart w:id="2085" w:name="_Toc508361943"/>
      <w:r w:rsidRPr="00F271B8">
        <w:rPr>
          <w:lang w:val="en-AU"/>
        </w:rPr>
        <w:t>What you have to pay us</w:t>
      </w:r>
      <w:bookmarkEnd w:id="2085"/>
    </w:p>
    <w:p w14:paraId="36EB2179" w14:textId="77777777" w:rsidR="00E507D4" w:rsidRPr="00F271B8" w:rsidRDefault="00E507D4" w:rsidP="00E507D4">
      <w:pPr>
        <w:pStyle w:val="Heading7"/>
        <w:rPr>
          <w:szCs w:val="20"/>
          <w:lang w:val="en-AU"/>
        </w:rPr>
      </w:pPr>
      <w:r w:rsidRPr="00F271B8">
        <w:rPr>
          <w:i/>
          <w:szCs w:val="20"/>
          <w:lang w:val="en-AU"/>
        </w:rPr>
        <w:lastRenderedPageBreak/>
        <w:t>You</w:t>
      </w:r>
      <w:r w:rsidRPr="00F271B8">
        <w:rPr>
          <w:szCs w:val="20"/>
          <w:lang w:val="en-AU"/>
        </w:rPr>
        <w:t xml:space="preserve"> must pay </w:t>
      </w:r>
      <w:r w:rsidRPr="00F271B8">
        <w:rPr>
          <w:i/>
          <w:szCs w:val="20"/>
          <w:lang w:val="en-AU"/>
        </w:rPr>
        <w:t>us</w:t>
      </w:r>
      <w:r w:rsidRPr="00F271B8">
        <w:rPr>
          <w:szCs w:val="20"/>
          <w:lang w:val="en-AU"/>
        </w:rPr>
        <w:t xml:space="preserve"> for use of the </w:t>
      </w:r>
      <w:r w:rsidRPr="00F271B8">
        <w:rPr>
          <w:i/>
          <w:szCs w:val="20"/>
          <w:lang w:val="en-AU"/>
        </w:rPr>
        <w:t>service</w:t>
      </w:r>
      <w:r w:rsidRPr="00F271B8">
        <w:rPr>
          <w:szCs w:val="20"/>
          <w:lang w:val="en-AU"/>
        </w:rPr>
        <w:t xml:space="preserve"> at the rates set out in Section 1 of this </w:t>
      </w:r>
      <w:r w:rsidRPr="00F271B8">
        <w:rPr>
          <w:i/>
          <w:szCs w:val="20"/>
          <w:lang w:val="en-AU"/>
        </w:rPr>
        <w:t>standard pricing table</w:t>
      </w:r>
      <w:r w:rsidRPr="00F271B8">
        <w:rPr>
          <w:szCs w:val="20"/>
          <w:lang w:val="en-AU"/>
        </w:rPr>
        <w:t xml:space="preserve"> and for value added service features at the rates set out in </w:t>
      </w:r>
      <w:hyperlink r:id="rId824" w:history="1">
        <w:r w:rsidRPr="00F271B8">
          <w:rPr>
            <w:rStyle w:val="Hyperlink"/>
            <w:i/>
            <w:szCs w:val="20"/>
            <w:lang w:val="en-AU"/>
          </w:rPr>
          <w:t>Appendix Y Value Added Service Features</w:t>
        </w:r>
      </w:hyperlink>
      <w:r>
        <w:rPr>
          <w:szCs w:val="20"/>
          <w:lang w:val="en-AU"/>
        </w:rPr>
        <w:t xml:space="preserve">. </w:t>
      </w:r>
    </w:p>
    <w:p w14:paraId="756FF68C" w14:textId="77777777" w:rsidR="00E507D4" w:rsidRPr="00F271B8" w:rsidRDefault="00E507D4" w:rsidP="00E507D4">
      <w:pPr>
        <w:pStyle w:val="Heading7"/>
        <w:rPr>
          <w:lang w:val="en-AU"/>
        </w:rPr>
      </w:pPr>
      <w:r w:rsidRPr="00F271B8">
        <w:rPr>
          <w:lang w:val="en-AU"/>
        </w:rPr>
        <w:t>If there is a flagfall for a particular call type, the charge for these calls is the flagfall amount plus the relevant rate for the call multiplied by the duration of the call.</w:t>
      </w:r>
    </w:p>
    <w:p w14:paraId="63523FA9" w14:textId="77777777" w:rsidR="00E507D4" w:rsidRPr="00F271B8" w:rsidRDefault="00E507D4" w:rsidP="00E507D4">
      <w:pPr>
        <w:pStyle w:val="Heading7"/>
        <w:rPr>
          <w:lang w:val="en-AU"/>
        </w:rPr>
      </w:pPr>
      <w:r w:rsidRPr="00F271B8">
        <w:rPr>
          <w:lang w:val="en-AU"/>
        </w:rPr>
        <w:t xml:space="preserve">Minimum Monthly Charge </w:t>
      </w:r>
    </w:p>
    <w:p w14:paraId="65611853" w14:textId="77777777" w:rsidR="00E507D4" w:rsidRPr="00F271B8" w:rsidRDefault="00E507D4" w:rsidP="00E507D4">
      <w:pPr>
        <w:pStyle w:val="Heading8"/>
        <w:rPr>
          <w:lang w:val="en-AU"/>
        </w:rPr>
      </w:pPr>
      <w:r>
        <w:rPr>
          <w:lang w:val="en-AU"/>
        </w:rPr>
        <w:t>Each My</w:t>
      </w:r>
      <w:r w:rsidRPr="00F271B8">
        <w:rPr>
          <w:lang w:val="en-AU"/>
        </w:rPr>
        <w:t xml:space="preserve"> Plan Business </w:t>
      </w:r>
      <w:r>
        <w:rPr>
          <w:lang w:val="en-AU"/>
        </w:rPr>
        <w:t xml:space="preserve">plan </w:t>
      </w:r>
      <w:r w:rsidRPr="00F271B8">
        <w:rPr>
          <w:lang w:val="en-AU"/>
        </w:rPr>
        <w:t xml:space="preserve">has a Minimum Monthly Charge amount that </w:t>
      </w:r>
      <w:r w:rsidRPr="00F271B8">
        <w:rPr>
          <w:i/>
          <w:lang w:val="en-AU"/>
        </w:rPr>
        <w:t>you</w:t>
      </w:r>
      <w:r w:rsidRPr="00F271B8">
        <w:rPr>
          <w:lang w:val="en-AU"/>
        </w:rPr>
        <w:t xml:space="preserve"> must pay </w:t>
      </w:r>
      <w:r w:rsidRPr="00F271B8">
        <w:rPr>
          <w:i/>
          <w:lang w:val="en-AU"/>
        </w:rPr>
        <w:t>us</w:t>
      </w:r>
      <w:r w:rsidRPr="00F271B8">
        <w:rPr>
          <w:lang w:val="en-AU"/>
        </w:rPr>
        <w:t xml:space="preserve"> each month as set out in Table 1 below</w:t>
      </w:r>
      <w:r>
        <w:rPr>
          <w:lang w:val="en-AU"/>
        </w:rPr>
        <w:t xml:space="preserve">. </w:t>
      </w:r>
    </w:p>
    <w:p w14:paraId="58EF1180" w14:textId="77777777" w:rsidR="00E507D4" w:rsidRPr="00F271B8" w:rsidRDefault="00E507D4" w:rsidP="00E507D4">
      <w:pPr>
        <w:pStyle w:val="Heading8"/>
        <w:rPr>
          <w:szCs w:val="20"/>
          <w:lang w:val="en-AU"/>
        </w:rPr>
      </w:pPr>
      <w:r>
        <w:rPr>
          <w:i/>
          <w:szCs w:val="20"/>
          <w:lang w:val="en-AU"/>
        </w:rPr>
        <w:t>y</w:t>
      </w:r>
      <w:r w:rsidRPr="00F271B8">
        <w:rPr>
          <w:i/>
          <w:szCs w:val="20"/>
          <w:lang w:val="en-AU"/>
        </w:rPr>
        <w:t>ou</w:t>
      </w:r>
      <w:r w:rsidRPr="00F271B8">
        <w:rPr>
          <w:szCs w:val="20"/>
          <w:lang w:val="en-AU"/>
        </w:rPr>
        <w:t xml:space="preserve"> may purchase a mobile phone (or </w:t>
      </w:r>
      <w:r>
        <w:rPr>
          <w:szCs w:val="20"/>
          <w:lang w:val="en-AU"/>
        </w:rPr>
        <w:t>'</w:t>
      </w:r>
      <w:r w:rsidRPr="00F271B8">
        <w:rPr>
          <w:szCs w:val="20"/>
          <w:lang w:val="en-AU"/>
        </w:rPr>
        <w:t>handset</w:t>
      </w:r>
      <w:r>
        <w:rPr>
          <w:szCs w:val="20"/>
          <w:lang w:val="en-AU"/>
        </w:rPr>
        <w:t>'</w:t>
      </w:r>
      <w:r w:rsidRPr="00F271B8">
        <w:rPr>
          <w:szCs w:val="20"/>
          <w:lang w:val="en-AU"/>
        </w:rPr>
        <w:t xml:space="preserve">) with a 24 month </w:t>
      </w:r>
      <w:r w:rsidRPr="00F271B8">
        <w:rPr>
          <w:i/>
          <w:szCs w:val="20"/>
          <w:lang w:val="en-AU"/>
        </w:rPr>
        <w:t>equipment term</w:t>
      </w:r>
      <w:r w:rsidRPr="00F271B8">
        <w:rPr>
          <w:szCs w:val="20"/>
          <w:lang w:val="en-AU"/>
        </w:rPr>
        <w:t xml:space="preserve"> under a </w:t>
      </w:r>
      <w:r w:rsidRPr="00F271B8">
        <w:rPr>
          <w:i/>
          <w:szCs w:val="20"/>
          <w:lang w:val="en-AU"/>
        </w:rPr>
        <w:t>mobile equipment payment plan</w:t>
      </w:r>
      <w:r w:rsidRPr="00F271B8">
        <w:rPr>
          <w:szCs w:val="20"/>
          <w:lang w:val="en-AU"/>
        </w:rPr>
        <w:t xml:space="preserve"> (set out in </w:t>
      </w:r>
      <w:hyperlink r:id="rId825" w:history="1">
        <w:r w:rsidRPr="00F271B8">
          <w:rPr>
            <w:rStyle w:val="Hyperlink"/>
            <w:i/>
            <w:szCs w:val="20"/>
            <w:lang w:val="en-AU"/>
          </w:rPr>
          <w:t>Appendix D</w:t>
        </w:r>
      </w:hyperlink>
      <w:r w:rsidRPr="00F271B8">
        <w:rPr>
          <w:szCs w:val="20"/>
          <w:lang w:val="en-AU"/>
        </w:rPr>
        <w:t xml:space="preserve">) on a 24 month </w:t>
      </w:r>
      <w:r w:rsidRPr="00F271B8">
        <w:rPr>
          <w:i/>
          <w:szCs w:val="20"/>
          <w:lang w:val="en-AU"/>
        </w:rPr>
        <w:t>fixed-length agreement</w:t>
      </w:r>
      <w:r>
        <w:rPr>
          <w:szCs w:val="20"/>
          <w:lang w:val="en-AU"/>
        </w:rPr>
        <w:t xml:space="preserve">. </w:t>
      </w:r>
    </w:p>
    <w:p w14:paraId="667F442C" w14:textId="77777777" w:rsidR="00E507D4" w:rsidRPr="00F271B8" w:rsidRDefault="00E507D4" w:rsidP="00E507D4">
      <w:pPr>
        <w:pStyle w:val="Heading6"/>
        <w:ind w:left="0" w:firstLine="0"/>
        <w:rPr>
          <w:lang w:val="en-AU"/>
        </w:rPr>
      </w:pPr>
      <w:bookmarkStart w:id="2086" w:name="_Toc508361944"/>
      <w:r w:rsidRPr="00F271B8">
        <w:rPr>
          <w:lang w:val="en-AU"/>
        </w:rPr>
        <w:t>How My Plan Busines</w:t>
      </w:r>
      <w:r>
        <w:rPr>
          <w:lang w:val="en-AU"/>
        </w:rPr>
        <w:t>s</w:t>
      </w:r>
      <w:r w:rsidRPr="00F271B8">
        <w:rPr>
          <w:lang w:val="en-AU"/>
        </w:rPr>
        <w:t xml:space="preserve"> works</w:t>
      </w:r>
      <w:bookmarkEnd w:id="2086"/>
    </w:p>
    <w:p w14:paraId="3B6742AC" w14:textId="77777777" w:rsidR="00E507D4" w:rsidRPr="00F271B8" w:rsidRDefault="00E507D4" w:rsidP="00E507D4">
      <w:pPr>
        <w:pStyle w:val="Heading7"/>
        <w:rPr>
          <w:lang w:val="en-AU"/>
        </w:rPr>
      </w:pPr>
      <w:r w:rsidRPr="00F271B8">
        <w:rPr>
          <w:lang w:val="en-AU"/>
        </w:rPr>
        <w:t>The</w:t>
      </w:r>
      <w:r>
        <w:rPr>
          <w:lang w:val="en-AU"/>
        </w:rPr>
        <w:t xml:space="preserve"> $90</w:t>
      </w:r>
      <w:r w:rsidRPr="00F271B8">
        <w:rPr>
          <w:lang w:val="en-AU"/>
        </w:rPr>
        <w:t xml:space="preserve"> My Plan Business plan has </w:t>
      </w:r>
      <w:r>
        <w:rPr>
          <w:lang w:val="en-AU"/>
        </w:rPr>
        <w:t>unlimited</w:t>
      </w:r>
      <w:r w:rsidRPr="00F271B8">
        <w:rPr>
          <w:lang w:val="en-AU"/>
        </w:rPr>
        <w:t xml:space="preserve"> minutes to use on standard national calls to landlines and mobiles, 13/1300 nu</w:t>
      </w:r>
      <w:r>
        <w:rPr>
          <w:lang w:val="en-AU"/>
        </w:rPr>
        <w:t xml:space="preserve">mbers and voicemail retrievals </w:t>
      </w:r>
      <w:r w:rsidRPr="00F271B8">
        <w:rPr>
          <w:lang w:val="en-AU"/>
        </w:rPr>
        <w:t>and Included Data (for mobile internet use) to share with other services on a My Plan Plus, My Plan Plus SIM Only, My Plan Essentials, My Plan Business (including Tech Fund), My Plan Business SIM, My Plan Business Essentials, My Mobile Broadband Plus, Mobile Broadband Business or Shared Data Plan on the same account</w:t>
      </w:r>
      <w:r>
        <w:rPr>
          <w:lang w:val="en-AU"/>
        </w:rPr>
        <w:t xml:space="preserve">. </w:t>
      </w:r>
    </w:p>
    <w:p w14:paraId="03758F8A" w14:textId="77777777" w:rsidR="00E507D4" w:rsidRPr="00F271B8" w:rsidRDefault="00E507D4" w:rsidP="00E507D4">
      <w:pPr>
        <w:pStyle w:val="Heading7"/>
        <w:rPr>
          <w:lang w:val="en-AU"/>
        </w:rPr>
      </w:pPr>
      <w:r w:rsidRPr="00F271B8">
        <w:rPr>
          <w:lang w:val="en-AU"/>
        </w:rPr>
        <w:t>This plan also includes unlimited standard national SMS/MMS and unlimited standard International SMS/MMS to selected countries</w:t>
      </w:r>
      <w:r>
        <w:rPr>
          <w:lang w:val="en-AU"/>
        </w:rPr>
        <w:t xml:space="preserve">. </w:t>
      </w:r>
      <w:r>
        <w:rPr>
          <w:rFonts w:cs="Arial"/>
        </w:rPr>
        <w:t>This plan also has</w:t>
      </w:r>
      <w:r w:rsidRPr="00304BEC">
        <w:rPr>
          <w:rFonts w:cs="Arial"/>
        </w:rPr>
        <w:t xml:space="preserve"> an amount of included international minutes to use on standard international calls to selected countries.</w:t>
      </w:r>
    </w:p>
    <w:p w14:paraId="50104672" w14:textId="77777777" w:rsidR="00E507D4" w:rsidRPr="009E5E41" w:rsidRDefault="00E507D4" w:rsidP="00E507D4">
      <w:pPr>
        <w:pStyle w:val="Heading7"/>
      </w:pPr>
      <w:r w:rsidRPr="00F271B8">
        <w:rPr>
          <w:lang w:val="en-AU"/>
        </w:rPr>
        <w:t>Data usage is calculated in one kilobyte increments</w:t>
      </w:r>
      <w:r>
        <w:rPr>
          <w:lang w:val="en-AU"/>
        </w:rPr>
        <w:t xml:space="preserve">. </w:t>
      </w:r>
      <w:r w:rsidRPr="009E5E41">
        <w:t>International minutes are b</w:t>
      </w:r>
      <w:r>
        <w:t>illed in one minute increments.</w:t>
      </w:r>
    </w:p>
    <w:p w14:paraId="1B6B6ECA" w14:textId="77777777" w:rsidR="00E507D4" w:rsidRPr="00F271B8" w:rsidRDefault="00E507D4" w:rsidP="00E507D4">
      <w:pPr>
        <w:pStyle w:val="Heading7"/>
        <w:rPr>
          <w:lang w:val="en-AU"/>
        </w:rPr>
      </w:pPr>
      <w:r w:rsidRPr="00F271B8">
        <w:rPr>
          <w:lang w:val="en-AU"/>
        </w:rPr>
        <w:t>If you exceed your included shareable data you</w:t>
      </w:r>
      <w:r>
        <w:rPr>
          <w:lang w:val="en-AU"/>
        </w:rPr>
        <w:t>'</w:t>
      </w:r>
      <w:r w:rsidRPr="00F271B8">
        <w:rPr>
          <w:lang w:val="en-AU"/>
        </w:rPr>
        <w:t>ll automatically be charged $10 for each additional 1GB of data (</w:t>
      </w:r>
      <w:r>
        <w:rPr>
          <w:lang w:val="en-AU"/>
        </w:rPr>
        <w:t>"</w:t>
      </w:r>
      <w:r w:rsidRPr="00F271B8">
        <w:rPr>
          <w:b/>
          <w:lang w:val="en-AU"/>
        </w:rPr>
        <w:t>Additional Data</w:t>
      </w:r>
      <w:r>
        <w:rPr>
          <w:lang w:val="en-AU"/>
        </w:rPr>
        <w:t>"</w:t>
      </w:r>
      <w:r w:rsidRPr="00F271B8">
        <w:rPr>
          <w:lang w:val="en-AU"/>
        </w:rPr>
        <w:t>) that you use (or part thereof) up to 150GB of extra data per account each month</w:t>
      </w:r>
      <w:r>
        <w:rPr>
          <w:lang w:val="en-AU"/>
        </w:rPr>
        <w:t xml:space="preserve">. </w:t>
      </w:r>
      <w:r w:rsidRPr="00F271B8">
        <w:rPr>
          <w:lang w:val="en-AU"/>
        </w:rPr>
        <w:t>Your service/s may then be restricted or we may continue to charge you at these rates.</w:t>
      </w:r>
    </w:p>
    <w:p w14:paraId="0385FA07" w14:textId="77777777" w:rsidR="00E507D4" w:rsidRPr="009E5E41" w:rsidRDefault="00E507D4" w:rsidP="00E507D4">
      <w:pPr>
        <w:pStyle w:val="Heading7"/>
        <w:rPr>
          <w:lang w:val="en-AU"/>
        </w:rPr>
      </w:pPr>
      <w:r w:rsidRPr="009E5E41">
        <w:rPr>
          <w:lang w:val="en-AU"/>
        </w:rPr>
        <w:t xml:space="preserve">Any unused portion of </w:t>
      </w:r>
      <w:r w:rsidRPr="009E5E41">
        <w:rPr>
          <w:i/>
          <w:lang w:val="en-AU"/>
        </w:rPr>
        <w:t>your</w:t>
      </w:r>
      <w:r w:rsidRPr="009E5E41">
        <w:rPr>
          <w:lang w:val="en-AU"/>
        </w:rPr>
        <w:t xml:space="preserve"> </w:t>
      </w:r>
      <w:r w:rsidRPr="009E5E41">
        <w:rPr>
          <w:i/>
          <w:lang w:val="en-AU"/>
        </w:rPr>
        <w:t>plan's</w:t>
      </w:r>
      <w:r w:rsidRPr="009E5E41">
        <w:rPr>
          <w:lang w:val="en-AU"/>
        </w:rPr>
        <w:t xml:space="preserve"> Included or Additional Minutes or Included or Additional Data expires at the end of each month and does not roll over into the next month.</w:t>
      </w:r>
      <w:r w:rsidRPr="009E5E41">
        <w:t xml:space="preserve"> </w:t>
      </w:r>
    </w:p>
    <w:p w14:paraId="45D58C53" w14:textId="77777777" w:rsidR="00E507D4" w:rsidRPr="009E5E41" w:rsidRDefault="00E507D4" w:rsidP="00E507D4">
      <w:pPr>
        <w:pStyle w:val="Heading7"/>
        <w:rPr>
          <w:lang w:val="en-AU"/>
        </w:rPr>
      </w:pPr>
      <w:r w:rsidRPr="009E5E41">
        <w:rPr>
          <w:lang w:val="en-AU"/>
        </w:rPr>
        <w:t>You must pay us for use of any services that are not included in your plan’s inclusions, examples of which are set out in Table 2 below.</w:t>
      </w:r>
    </w:p>
    <w:p w14:paraId="2C752552" w14:textId="77777777" w:rsidR="00E507D4" w:rsidRPr="00F271B8" w:rsidRDefault="00E507D4" w:rsidP="00E507D4">
      <w:pPr>
        <w:pStyle w:val="Heading6"/>
        <w:ind w:left="0" w:firstLine="0"/>
        <w:rPr>
          <w:lang w:val="en-AU"/>
        </w:rPr>
      </w:pPr>
      <w:bookmarkStart w:id="2087" w:name="_Toc508361945"/>
      <w:r>
        <w:rPr>
          <w:lang w:val="en-AU"/>
        </w:rPr>
        <w:t>Plan Changes</w:t>
      </w:r>
      <w:bookmarkEnd w:id="2087"/>
      <w:r>
        <w:rPr>
          <w:lang w:val="en-AU"/>
        </w:rPr>
        <w:t xml:space="preserve"> </w:t>
      </w:r>
    </w:p>
    <w:p w14:paraId="2525741C" w14:textId="77777777" w:rsidR="00E507D4" w:rsidRPr="00931860" w:rsidRDefault="00E507D4" w:rsidP="00E507D4">
      <w:pPr>
        <w:pStyle w:val="BodyText"/>
        <w:ind w:left="720"/>
        <w:rPr>
          <w:szCs w:val="20"/>
          <w:u w:val="single"/>
        </w:rPr>
      </w:pPr>
      <w:r w:rsidRPr="00931860">
        <w:rPr>
          <w:szCs w:val="20"/>
        </w:rPr>
        <w:t>You cannot change your plan during the minimum term to a plan with the same or lower monthly access fee. If you change your plan during the minimum term a fee may apply and any handset repayments will remain the same.</w:t>
      </w:r>
    </w:p>
    <w:p w14:paraId="28E42E4A" w14:textId="77777777" w:rsidR="00E507D4" w:rsidRPr="00931860" w:rsidRDefault="00E507D4" w:rsidP="00E507D4">
      <w:pPr>
        <w:pStyle w:val="Heading6"/>
        <w:rPr>
          <w:lang w:val="en-AU"/>
        </w:rPr>
      </w:pPr>
      <w:bookmarkStart w:id="2088" w:name="_Toc460853577"/>
      <w:bookmarkStart w:id="2089" w:name="_Toc461706947"/>
      <w:bookmarkStart w:id="2090" w:name="_Toc508361946"/>
      <w:r w:rsidRPr="00931860">
        <w:rPr>
          <w:lang w:val="en-AU"/>
        </w:rPr>
        <w:t>New Phone Trade Up</w:t>
      </w:r>
      <w:bookmarkEnd w:id="2088"/>
      <w:bookmarkEnd w:id="2089"/>
      <w:bookmarkEnd w:id="2090"/>
    </w:p>
    <w:p w14:paraId="54D097BC" w14:textId="77777777" w:rsidR="00E507D4" w:rsidRPr="00931860" w:rsidRDefault="00E507D4" w:rsidP="00E507D4">
      <w:pPr>
        <w:spacing w:after="200"/>
        <w:ind w:left="709"/>
        <w:rPr>
          <w:rFonts w:cs="Arial"/>
          <w:sz w:val="20"/>
          <w:szCs w:val="20"/>
        </w:rPr>
      </w:pPr>
      <w:r w:rsidRPr="00931860">
        <w:rPr>
          <w:rFonts w:cs="Arial"/>
          <w:sz w:val="20"/>
          <w:szCs w:val="20"/>
        </w:rPr>
        <w:t>The plans referred to in this section include the option of New Phone Trade Up, which can be exercised in two ways:</w:t>
      </w:r>
    </w:p>
    <w:p w14:paraId="6159F2BE" w14:textId="77777777" w:rsidR="00E507D4" w:rsidRPr="00931860" w:rsidRDefault="00E507D4" w:rsidP="00E507D4">
      <w:pPr>
        <w:pStyle w:val="Heading7"/>
        <w:rPr>
          <w:rFonts w:cs="Arial"/>
          <w:szCs w:val="20"/>
          <w:lang w:val="en-AU"/>
        </w:rPr>
      </w:pPr>
      <w:r w:rsidRPr="00931860">
        <w:rPr>
          <w:rFonts w:cs="Arial"/>
          <w:szCs w:val="20"/>
          <w:lang w:val="en-AU"/>
        </w:rPr>
        <w:t>New Phone Trade Up for $99</w:t>
      </w:r>
    </w:p>
    <w:p w14:paraId="52C24EFF" w14:textId="77777777" w:rsidR="00E507D4" w:rsidRPr="00931860" w:rsidRDefault="00E507D4" w:rsidP="00652131">
      <w:pPr>
        <w:numPr>
          <w:ilvl w:val="0"/>
          <w:numId w:val="76"/>
        </w:numPr>
        <w:spacing w:before="120" w:after="120"/>
        <w:ind w:left="2127" w:hanging="709"/>
        <w:rPr>
          <w:rFonts w:cs="Arial"/>
          <w:sz w:val="20"/>
          <w:szCs w:val="20"/>
          <w:lang w:val="en-AU"/>
        </w:rPr>
      </w:pPr>
      <w:r w:rsidRPr="00931860">
        <w:rPr>
          <w:rFonts w:cs="Arial"/>
          <w:sz w:val="20"/>
          <w:szCs w:val="20"/>
          <w:lang w:val="en-AU"/>
        </w:rPr>
        <w:t>After 12 months on one of these plans, you can pay a one fee of $99, return your original mobile phone to a Yes Optus store in good working order, purchase a new mobile phone on a new 24 month plan and sign documentation that will enable ownership of your original mobile phone to be transferred to a second hand dealer nominated by Optus.</w:t>
      </w:r>
    </w:p>
    <w:p w14:paraId="035D5CAA" w14:textId="77777777" w:rsidR="00E507D4" w:rsidRPr="00931860" w:rsidRDefault="00E507D4" w:rsidP="00652131">
      <w:pPr>
        <w:numPr>
          <w:ilvl w:val="0"/>
          <w:numId w:val="76"/>
        </w:numPr>
        <w:spacing w:before="120" w:after="120"/>
        <w:ind w:left="2127" w:hanging="709"/>
        <w:rPr>
          <w:rFonts w:cs="Arial"/>
          <w:sz w:val="20"/>
          <w:szCs w:val="20"/>
          <w:lang w:val="en-AU"/>
        </w:rPr>
      </w:pPr>
      <w:r w:rsidRPr="00931860">
        <w:rPr>
          <w:rFonts w:cs="Arial"/>
          <w:sz w:val="20"/>
          <w:szCs w:val="20"/>
          <w:lang w:val="en-AU"/>
        </w:rPr>
        <w:t>A mobile phone is considered to be in good working order when:</w:t>
      </w:r>
    </w:p>
    <w:p w14:paraId="2FB898EF" w14:textId="77777777" w:rsidR="00E507D4" w:rsidRPr="00931860" w:rsidRDefault="00E507D4" w:rsidP="00652131">
      <w:pPr>
        <w:numPr>
          <w:ilvl w:val="1"/>
          <w:numId w:val="76"/>
        </w:numPr>
        <w:spacing w:before="120" w:after="120"/>
        <w:ind w:left="2880" w:hanging="753"/>
        <w:rPr>
          <w:rFonts w:cs="Arial"/>
          <w:sz w:val="20"/>
          <w:szCs w:val="20"/>
          <w:lang w:val="en-AU"/>
        </w:rPr>
      </w:pPr>
      <w:r w:rsidRPr="00931860">
        <w:rPr>
          <w:rFonts w:cs="Arial"/>
          <w:sz w:val="20"/>
          <w:szCs w:val="20"/>
          <w:lang w:val="en-AU"/>
        </w:rPr>
        <w:t xml:space="preserve">it can power on and off, </w:t>
      </w:r>
    </w:p>
    <w:p w14:paraId="57CFE4FC" w14:textId="77777777" w:rsidR="00E507D4" w:rsidRPr="00931860" w:rsidRDefault="00E507D4" w:rsidP="00652131">
      <w:pPr>
        <w:numPr>
          <w:ilvl w:val="1"/>
          <w:numId w:val="76"/>
        </w:numPr>
        <w:spacing w:before="120" w:after="120"/>
        <w:ind w:left="2880" w:hanging="753"/>
        <w:rPr>
          <w:rFonts w:cs="Arial"/>
          <w:sz w:val="20"/>
          <w:szCs w:val="20"/>
          <w:lang w:val="en-AU"/>
        </w:rPr>
      </w:pPr>
      <w:r w:rsidRPr="00931860">
        <w:rPr>
          <w:rFonts w:cs="Arial"/>
          <w:sz w:val="20"/>
          <w:szCs w:val="20"/>
          <w:lang w:val="en-AU"/>
        </w:rPr>
        <w:lastRenderedPageBreak/>
        <w:t xml:space="preserve">it has a touchscreen that is fully functional and has no imperfections such as lines or marks, </w:t>
      </w:r>
    </w:p>
    <w:p w14:paraId="5D90816B" w14:textId="77777777" w:rsidR="00E507D4" w:rsidRPr="00931860" w:rsidRDefault="00E507D4" w:rsidP="00652131">
      <w:pPr>
        <w:numPr>
          <w:ilvl w:val="1"/>
          <w:numId w:val="76"/>
        </w:numPr>
        <w:spacing w:before="120" w:after="120"/>
        <w:ind w:left="2880" w:hanging="753"/>
        <w:rPr>
          <w:rFonts w:cs="Arial"/>
          <w:sz w:val="20"/>
          <w:szCs w:val="20"/>
          <w:lang w:val="en-AU"/>
        </w:rPr>
      </w:pPr>
      <w:r w:rsidRPr="00931860">
        <w:rPr>
          <w:rFonts w:cs="Arial"/>
          <w:sz w:val="20"/>
          <w:szCs w:val="20"/>
          <w:lang w:val="en-AU"/>
        </w:rPr>
        <w:t xml:space="preserve">it does not have any missing buttons or damage to other components such as charging ports, SIM tray, </w:t>
      </w:r>
    </w:p>
    <w:p w14:paraId="0BC1D8F7" w14:textId="77777777" w:rsidR="00E507D4" w:rsidRPr="00931860" w:rsidRDefault="00E507D4" w:rsidP="00652131">
      <w:pPr>
        <w:numPr>
          <w:ilvl w:val="1"/>
          <w:numId w:val="76"/>
        </w:numPr>
        <w:spacing w:before="120" w:after="120"/>
        <w:ind w:left="2880" w:hanging="753"/>
        <w:rPr>
          <w:rFonts w:cs="Arial"/>
          <w:sz w:val="20"/>
          <w:szCs w:val="20"/>
          <w:lang w:val="en-AU"/>
        </w:rPr>
      </w:pPr>
      <w:r w:rsidRPr="00931860">
        <w:rPr>
          <w:rFonts w:cs="Arial"/>
          <w:sz w:val="20"/>
          <w:szCs w:val="20"/>
          <w:lang w:val="en-AU"/>
        </w:rPr>
        <w:t xml:space="preserve">the mobile phone (including the touchscreen) is not cracked and does not have any severe scratches (normal wear and tear such as light marks and scratches are okay); and </w:t>
      </w:r>
    </w:p>
    <w:p w14:paraId="26AD2F35" w14:textId="77777777" w:rsidR="00E507D4" w:rsidRPr="00931860" w:rsidRDefault="00E507D4" w:rsidP="00652131">
      <w:pPr>
        <w:numPr>
          <w:ilvl w:val="1"/>
          <w:numId w:val="76"/>
        </w:numPr>
        <w:spacing w:before="120" w:after="120"/>
        <w:ind w:left="2880" w:hanging="753"/>
        <w:rPr>
          <w:rFonts w:cs="Arial"/>
          <w:sz w:val="20"/>
          <w:szCs w:val="20"/>
          <w:lang w:val="en-AU"/>
        </w:rPr>
      </w:pPr>
      <w:r w:rsidRPr="00931860">
        <w:rPr>
          <w:rFonts w:cs="Arial"/>
          <w:sz w:val="20"/>
          <w:szCs w:val="20"/>
          <w:lang w:val="en-AU"/>
        </w:rPr>
        <w:t xml:space="preserve">any locking features are disabled.  </w:t>
      </w:r>
    </w:p>
    <w:p w14:paraId="5CF8D5ED" w14:textId="77777777" w:rsidR="00E507D4" w:rsidRPr="00931860" w:rsidRDefault="00E507D4" w:rsidP="00652131">
      <w:pPr>
        <w:numPr>
          <w:ilvl w:val="0"/>
          <w:numId w:val="76"/>
        </w:numPr>
        <w:spacing w:before="120" w:after="120"/>
        <w:ind w:left="2127" w:hanging="709"/>
        <w:rPr>
          <w:rFonts w:cs="Arial"/>
          <w:sz w:val="20"/>
          <w:szCs w:val="20"/>
          <w:lang w:val="en-AU"/>
        </w:rPr>
      </w:pPr>
      <w:r w:rsidRPr="00931860">
        <w:rPr>
          <w:rFonts w:cs="Arial"/>
          <w:sz w:val="20"/>
          <w:szCs w:val="20"/>
          <w:lang w:val="en-AU"/>
        </w:rPr>
        <w:t xml:space="preserve">The mobile phone you return in accordance with section 2.6(a) must be the mobile phone you purchased when you took up one of the plans referred to in this section. </w:t>
      </w:r>
    </w:p>
    <w:p w14:paraId="5133BE7D" w14:textId="77777777" w:rsidR="00E507D4" w:rsidRPr="00931860" w:rsidRDefault="00E507D4" w:rsidP="00652131">
      <w:pPr>
        <w:numPr>
          <w:ilvl w:val="0"/>
          <w:numId w:val="76"/>
        </w:numPr>
        <w:spacing w:before="120" w:after="120"/>
        <w:ind w:left="2127" w:hanging="709"/>
        <w:rPr>
          <w:rFonts w:cs="Arial"/>
          <w:sz w:val="20"/>
          <w:szCs w:val="20"/>
          <w:lang w:val="en-AU"/>
        </w:rPr>
      </w:pPr>
      <w:r w:rsidRPr="00931860">
        <w:rPr>
          <w:rFonts w:cs="Arial"/>
          <w:sz w:val="20"/>
          <w:szCs w:val="20"/>
          <w:lang w:val="en-AU"/>
        </w:rPr>
        <w:t xml:space="preserve">When you seek to exercise this option and meet the relevant conditions, Optus agrees to waive any remaining mobile phone repayment charges on the mobile phone you are returning. </w:t>
      </w:r>
    </w:p>
    <w:p w14:paraId="491F8FA3" w14:textId="77777777" w:rsidR="00E507D4" w:rsidRPr="00931860" w:rsidRDefault="00E507D4" w:rsidP="00652131">
      <w:pPr>
        <w:numPr>
          <w:ilvl w:val="0"/>
          <w:numId w:val="76"/>
        </w:numPr>
        <w:spacing w:before="120" w:after="120"/>
        <w:ind w:left="2127" w:hanging="709"/>
        <w:rPr>
          <w:rFonts w:cs="Arial"/>
          <w:sz w:val="20"/>
          <w:szCs w:val="20"/>
          <w:lang w:val="en-AU"/>
        </w:rPr>
      </w:pPr>
      <w:r w:rsidRPr="00931860">
        <w:rPr>
          <w:rFonts w:cs="Arial"/>
          <w:sz w:val="20"/>
          <w:szCs w:val="20"/>
          <w:lang w:val="en-AU"/>
        </w:rPr>
        <w:t xml:space="preserve">By exercising this option, you acknowledge that the second hand device vendor will pay Optus a fee on your behalf for the mobile phone you return in part consideration of Optus waiving your remaining mobile phone repayments on the phone you are returning.  </w:t>
      </w:r>
    </w:p>
    <w:p w14:paraId="5AD62BF7" w14:textId="77777777" w:rsidR="00E507D4" w:rsidRPr="00931860" w:rsidRDefault="00E507D4" w:rsidP="00E507D4">
      <w:pPr>
        <w:numPr>
          <w:ilvl w:val="2"/>
          <w:numId w:val="63"/>
        </w:numPr>
        <w:tabs>
          <w:tab w:val="clear" w:pos="1843"/>
          <w:tab w:val="num" w:pos="1418"/>
        </w:tabs>
        <w:spacing w:before="120" w:after="120"/>
        <w:ind w:left="1418" w:hanging="709"/>
        <w:rPr>
          <w:rFonts w:cs="Arial"/>
          <w:sz w:val="20"/>
          <w:szCs w:val="20"/>
          <w:lang w:val="en-AU"/>
        </w:rPr>
      </w:pPr>
      <w:r w:rsidRPr="00931860">
        <w:rPr>
          <w:rFonts w:cs="Arial"/>
          <w:sz w:val="20"/>
          <w:szCs w:val="20"/>
          <w:lang w:val="en-AU"/>
        </w:rPr>
        <w:t>Keep existing mobile phone</w:t>
      </w:r>
    </w:p>
    <w:p w14:paraId="65619512" w14:textId="77777777" w:rsidR="00E507D4" w:rsidRPr="00931860" w:rsidRDefault="00E507D4" w:rsidP="00652131">
      <w:pPr>
        <w:numPr>
          <w:ilvl w:val="0"/>
          <w:numId w:val="78"/>
        </w:numPr>
        <w:spacing w:before="120" w:after="120"/>
        <w:ind w:left="2127" w:hanging="709"/>
        <w:rPr>
          <w:rFonts w:cs="Arial"/>
          <w:sz w:val="20"/>
          <w:szCs w:val="20"/>
          <w:lang w:val="en-AU"/>
        </w:rPr>
      </w:pPr>
      <w:r w:rsidRPr="00931860">
        <w:rPr>
          <w:rFonts w:cs="Arial"/>
          <w:sz w:val="20"/>
          <w:szCs w:val="20"/>
          <w:lang w:val="en-AU"/>
        </w:rPr>
        <w:t>Alternatively</w:t>
      </w:r>
      <w:r w:rsidR="00856E4A">
        <w:rPr>
          <w:rFonts w:cs="Arial"/>
          <w:sz w:val="20"/>
          <w:szCs w:val="20"/>
          <w:lang w:val="en-AU"/>
        </w:rPr>
        <w:t>,</w:t>
      </w:r>
      <w:r w:rsidRPr="00931860">
        <w:rPr>
          <w:rFonts w:cs="Arial"/>
          <w:sz w:val="20"/>
          <w:szCs w:val="20"/>
          <w:lang w:val="en-AU"/>
        </w:rPr>
        <w:t xml:space="preserve"> and instead of paying $99, if you wish to keep your original mobile handset, you can simply pay out the full remaining cost of your mobile handset, including any monthly handset credit that Optus was going to cover and purchase a new mobile phone on a new 24 month plan.</w:t>
      </w:r>
      <w:r w:rsidRPr="00931860">
        <w:rPr>
          <w:lang w:val="en-AU"/>
        </w:rPr>
        <w:tab/>
      </w:r>
      <w:r w:rsidRPr="00931860">
        <w:rPr>
          <w:lang w:val="en-AU"/>
        </w:rPr>
        <w:tab/>
      </w:r>
    </w:p>
    <w:p w14:paraId="6BA0B46B" w14:textId="77777777" w:rsidR="00E507D4" w:rsidRPr="00F271B8" w:rsidRDefault="00E507D4" w:rsidP="00E507D4">
      <w:pPr>
        <w:pStyle w:val="Heading6"/>
        <w:ind w:left="0" w:firstLine="0"/>
        <w:rPr>
          <w:lang w:val="en-AU"/>
        </w:rPr>
      </w:pPr>
      <w:bookmarkStart w:id="2091" w:name="_Toc508361947"/>
      <w:r w:rsidRPr="00F271B8">
        <w:rPr>
          <w:lang w:val="en-AU"/>
        </w:rPr>
        <w:t>Data Sharing</w:t>
      </w:r>
      <w:bookmarkEnd w:id="2091"/>
    </w:p>
    <w:p w14:paraId="0F3667C2" w14:textId="77777777" w:rsidR="00E507D4" w:rsidRPr="00F271B8" w:rsidRDefault="00E507D4" w:rsidP="00E507D4">
      <w:pPr>
        <w:pStyle w:val="Heading7"/>
        <w:rPr>
          <w:lang w:val="en-AU"/>
        </w:rPr>
      </w:pPr>
      <w:r w:rsidRPr="00F271B8">
        <w:rPr>
          <w:lang w:val="en-AU"/>
        </w:rPr>
        <w:t>If you have more than one My Plan Plus, My Plan Plus SIM Only, My Plan Essentials, My Plan Business (including Tech Fund), My Plan Business SIM, My Plan Business Essentials, My Mobile Broadband Plus or Mobile Broadband Business on the same billing account, the included data will combine into one data pool, which will be shared by all eligible services on that account</w:t>
      </w:r>
      <w:r>
        <w:rPr>
          <w:lang w:val="en-AU"/>
        </w:rPr>
        <w:t xml:space="preserve">. </w:t>
      </w:r>
    </w:p>
    <w:p w14:paraId="35372CC2" w14:textId="77777777" w:rsidR="00E507D4" w:rsidRPr="00F271B8" w:rsidRDefault="00E507D4" w:rsidP="00E507D4">
      <w:pPr>
        <w:pStyle w:val="Heading7"/>
        <w:rPr>
          <w:lang w:val="en-AU"/>
        </w:rPr>
      </w:pPr>
      <w:r w:rsidRPr="00F271B8">
        <w:rPr>
          <w:i/>
          <w:lang w:val="en-AU"/>
        </w:rPr>
        <w:t>You</w:t>
      </w:r>
      <w:r w:rsidRPr="00F271B8">
        <w:rPr>
          <w:lang w:val="en-AU"/>
        </w:rPr>
        <w:t xml:space="preserve"> can also share the Included Data in </w:t>
      </w:r>
      <w:r w:rsidRPr="00F271B8">
        <w:rPr>
          <w:i/>
          <w:lang w:val="en-AU"/>
        </w:rPr>
        <w:t>your</w:t>
      </w:r>
      <w:r w:rsidRPr="00F271B8">
        <w:rPr>
          <w:lang w:val="en-AU"/>
        </w:rPr>
        <w:t xml:space="preserve"> My Plan Plus plan with up to five (5) SIM-ready mobile broadband devices (e.g</w:t>
      </w:r>
      <w:r>
        <w:rPr>
          <w:lang w:val="en-AU"/>
        </w:rPr>
        <w:t xml:space="preserve">. </w:t>
      </w:r>
      <w:r w:rsidRPr="00F271B8">
        <w:rPr>
          <w:lang w:val="en-AU"/>
        </w:rPr>
        <w:t>tablets, USB modems and laptops)</w:t>
      </w:r>
      <w:r>
        <w:rPr>
          <w:lang w:val="en-AU"/>
        </w:rPr>
        <w:t xml:space="preserve">. </w:t>
      </w:r>
      <w:r w:rsidRPr="00F271B8">
        <w:rPr>
          <w:i/>
          <w:lang w:val="en-AU"/>
        </w:rPr>
        <w:t>You</w:t>
      </w:r>
      <w:r w:rsidRPr="00F271B8">
        <w:rPr>
          <w:lang w:val="en-AU"/>
        </w:rPr>
        <w:t xml:space="preserve"> must connect these mobile broadband devices to Shared Data Plans which have a $5 set up fee each and no ongoing monthly charges</w:t>
      </w:r>
      <w:r>
        <w:rPr>
          <w:lang w:val="en-AU"/>
        </w:rPr>
        <w:t xml:space="preserve">. </w:t>
      </w:r>
    </w:p>
    <w:p w14:paraId="20BCD98F" w14:textId="77777777" w:rsidR="00E507D4" w:rsidRPr="00F271B8" w:rsidRDefault="00E507D4" w:rsidP="00E507D4">
      <w:pPr>
        <w:pStyle w:val="Heading7"/>
        <w:rPr>
          <w:lang w:val="en-AU"/>
        </w:rPr>
      </w:pPr>
      <w:r w:rsidRPr="00F271B8">
        <w:rPr>
          <w:lang w:val="en-AU"/>
        </w:rPr>
        <w:t>Data sharing is only available within Australia.</w:t>
      </w:r>
    </w:p>
    <w:p w14:paraId="07F2F694" w14:textId="77777777" w:rsidR="00E507D4" w:rsidRPr="00500C24" w:rsidRDefault="00E507D4" w:rsidP="00E507D4">
      <w:pPr>
        <w:pStyle w:val="Heading6"/>
        <w:ind w:left="0" w:firstLine="0"/>
        <w:rPr>
          <w:lang w:val="en-AU"/>
        </w:rPr>
      </w:pPr>
      <w:bookmarkStart w:id="2092" w:name="_Toc460853579"/>
      <w:bookmarkStart w:id="2093" w:name="_Toc461706949"/>
      <w:bookmarkStart w:id="2094" w:name="_Toc508361948"/>
      <w:r w:rsidRPr="00500C24">
        <w:rPr>
          <w:lang w:val="en-AU"/>
        </w:rPr>
        <w:t>International Minutes</w:t>
      </w:r>
      <w:bookmarkEnd w:id="2092"/>
      <w:bookmarkEnd w:id="2093"/>
      <w:bookmarkEnd w:id="2094"/>
    </w:p>
    <w:p w14:paraId="0EEA4504" w14:textId="77777777" w:rsidR="00E507D4" w:rsidRPr="00500C24" w:rsidRDefault="00E507D4" w:rsidP="00E507D4">
      <w:pPr>
        <w:ind w:left="709"/>
        <w:rPr>
          <w:rFonts w:cs="Arial"/>
          <w:sz w:val="20"/>
          <w:szCs w:val="20"/>
        </w:rPr>
      </w:pPr>
      <w:r w:rsidRPr="00500C24">
        <w:rPr>
          <w:rFonts w:cs="Arial"/>
          <w:sz w:val="20"/>
          <w:szCs w:val="20"/>
        </w:rPr>
        <w:t xml:space="preserve">The $90 My Plan Business includes unlimited international minutes for standard calls to mobiles and fixed lines in selected countries. </w:t>
      </w:r>
      <w:r w:rsidRPr="006F4431">
        <w:rPr>
          <w:rFonts w:cs="Arial"/>
          <w:sz w:val="20"/>
          <w:szCs w:val="20"/>
        </w:rPr>
        <w:t xml:space="preserve">From 5 February 2017 the following countries will also be included: Canada, Hong Kong, South Korea and Thailand. </w:t>
      </w:r>
      <w:r w:rsidRPr="00500C24">
        <w:rPr>
          <w:rFonts w:cs="Arial"/>
          <w:sz w:val="20"/>
          <w:szCs w:val="20"/>
        </w:rPr>
        <w:t>For a list of selected countries see Table 3 below.</w:t>
      </w:r>
    </w:p>
    <w:p w14:paraId="4C66553D" w14:textId="77777777" w:rsidR="00E507D4" w:rsidRPr="00500C24" w:rsidRDefault="00E507D4" w:rsidP="00E507D4">
      <w:pPr>
        <w:ind w:left="709"/>
        <w:rPr>
          <w:rFonts w:cs="Arial"/>
          <w:sz w:val="20"/>
          <w:szCs w:val="20"/>
        </w:rPr>
      </w:pPr>
    </w:p>
    <w:p w14:paraId="0CE0D423" w14:textId="77777777" w:rsidR="00E507D4" w:rsidRPr="00500C24" w:rsidRDefault="00E507D4" w:rsidP="00E507D4">
      <w:pPr>
        <w:ind w:left="709"/>
        <w:rPr>
          <w:rFonts w:cs="Arial"/>
          <w:sz w:val="20"/>
          <w:szCs w:val="20"/>
        </w:rPr>
      </w:pPr>
      <w:r w:rsidRPr="00500C24">
        <w:rPr>
          <w:rFonts w:cs="Arial"/>
          <w:sz w:val="20"/>
          <w:szCs w:val="20"/>
        </w:rPr>
        <w:t xml:space="preserve">Calls to non-selected countries are charged at standard ‘yes’ international call rates. </w:t>
      </w:r>
    </w:p>
    <w:p w14:paraId="2837076D" w14:textId="77777777" w:rsidR="00E507D4" w:rsidRDefault="00E507D4" w:rsidP="00E507D4">
      <w:pPr>
        <w:pStyle w:val="Heading6"/>
        <w:numPr>
          <w:ilvl w:val="0"/>
          <w:numId w:val="0"/>
        </w:numPr>
        <w:rPr>
          <w:lang w:val="en-AU"/>
        </w:rPr>
      </w:pPr>
    </w:p>
    <w:p w14:paraId="6224A9BA" w14:textId="77777777" w:rsidR="00E507D4" w:rsidRPr="00F271B8" w:rsidRDefault="00E507D4" w:rsidP="00E507D4">
      <w:pPr>
        <w:pStyle w:val="Heading6"/>
        <w:ind w:left="0" w:firstLine="0"/>
        <w:rPr>
          <w:lang w:val="en-AU"/>
        </w:rPr>
      </w:pPr>
      <w:bookmarkStart w:id="2095" w:name="_Toc508361949"/>
      <w:r w:rsidRPr="00F271B8">
        <w:rPr>
          <w:lang w:val="en-AU"/>
        </w:rPr>
        <w:t>Unlimited standard national SMS and MMS</w:t>
      </w:r>
      <w:bookmarkEnd w:id="2095"/>
    </w:p>
    <w:p w14:paraId="33902933" w14:textId="77777777" w:rsidR="00E507D4" w:rsidRPr="00F271B8" w:rsidRDefault="00E507D4" w:rsidP="00E507D4">
      <w:pPr>
        <w:pStyle w:val="BodyText"/>
        <w:ind w:left="720"/>
        <w:rPr>
          <w:szCs w:val="20"/>
          <w:u w:val="single"/>
        </w:rPr>
      </w:pPr>
      <w:r w:rsidRPr="00F271B8">
        <w:rPr>
          <w:i/>
          <w:szCs w:val="20"/>
        </w:rPr>
        <w:t>You</w:t>
      </w:r>
      <w:r w:rsidRPr="00F271B8">
        <w:rPr>
          <w:szCs w:val="20"/>
        </w:rPr>
        <w:t xml:space="preserve"> may send unlimited standard SMS and MMS to Australian mobiles from within Australia</w:t>
      </w:r>
      <w:r>
        <w:rPr>
          <w:szCs w:val="20"/>
        </w:rPr>
        <w:t xml:space="preserve">. </w:t>
      </w:r>
      <w:hyperlink r:id="rId826" w:history="1">
        <w:r w:rsidRPr="00F271B8">
          <w:rPr>
            <w:rStyle w:val="Hyperlink"/>
            <w:i/>
            <w:szCs w:val="20"/>
          </w:rPr>
          <w:t>Fair Go Policy</w:t>
        </w:r>
      </w:hyperlink>
      <w:r w:rsidRPr="00F271B8">
        <w:rPr>
          <w:szCs w:val="20"/>
        </w:rPr>
        <w:t xml:space="preserve"> applies</w:t>
      </w:r>
      <w:r>
        <w:rPr>
          <w:szCs w:val="20"/>
        </w:rPr>
        <w:t xml:space="preserve">. </w:t>
      </w:r>
      <w:r w:rsidRPr="00F271B8">
        <w:rPr>
          <w:szCs w:val="20"/>
        </w:rPr>
        <w:t xml:space="preserve">For further details refer to </w:t>
      </w:r>
      <w:hyperlink r:id="rId827" w:history="1">
        <w:r w:rsidRPr="00F271B8">
          <w:rPr>
            <w:rStyle w:val="Hyperlink"/>
            <w:i/>
            <w:szCs w:val="20"/>
          </w:rPr>
          <w:t>Appendix S</w:t>
        </w:r>
        <w:r w:rsidRPr="00FE65F4">
          <w:rPr>
            <w:rStyle w:val="Hyperlink"/>
            <w:i/>
            <w:szCs w:val="20"/>
          </w:rPr>
          <w:t>.</w:t>
        </w:r>
      </w:hyperlink>
    </w:p>
    <w:p w14:paraId="3C896132" w14:textId="77777777" w:rsidR="00E507D4" w:rsidRPr="00F271B8" w:rsidRDefault="00E507D4" w:rsidP="00E507D4">
      <w:pPr>
        <w:pStyle w:val="Heading6"/>
        <w:ind w:left="0" w:firstLine="0"/>
        <w:rPr>
          <w:lang w:val="en-AU"/>
        </w:rPr>
      </w:pPr>
      <w:bookmarkStart w:id="2096" w:name="_Toc508361950"/>
      <w:r w:rsidRPr="00F271B8">
        <w:rPr>
          <w:lang w:val="en-AU"/>
        </w:rPr>
        <w:t>Unlimited standard international SMS and MMS</w:t>
      </w:r>
      <w:bookmarkEnd w:id="2096"/>
    </w:p>
    <w:p w14:paraId="7D628291" w14:textId="77777777" w:rsidR="00E507D4" w:rsidRDefault="00E507D4" w:rsidP="00E507D4">
      <w:pPr>
        <w:pStyle w:val="BodyText"/>
        <w:ind w:left="720"/>
        <w:rPr>
          <w:i/>
          <w:szCs w:val="20"/>
        </w:rPr>
      </w:pPr>
      <w:r w:rsidRPr="00F271B8">
        <w:rPr>
          <w:i/>
          <w:szCs w:val="20"/>
        </w:rPr>
        <w:t>You</w:t>
      </w:r>
      <w:r w:rsidRPr="00F271B8">
        <w:rPr>
          <w:szCs w:val="20"/>
        </w:rPr>
        <w:t xml:space="preserve"> may send unlimited standard SMS and MMS to selected countries from within Australia</w:t>
      </w:r>
      <w:r>
        <w:rPr>
          <w:szCs w:val="20"/>
        </w:rPr>
        <w:t xml:space="preserve">. </w:t>
      </w:r>
      <w:r w:rsidRPr="00F271B8">
        <w:rPr>
          <w:szCs w:val="20"/>
        </w:rPr>
        <w:t>For a list of selected countries see Table 3 below</w:t>
      </w:r>
      <w:r>
        <w:rPr>
          <w:szCs w:val="20"/>
        </w:rPr>
        <w:t xml:space="preserve">. </w:t>
      </w:r>
      <w:hyperlink r:id="rId828" w:history="1">
        <w:r w:rsidRPr="00F271B8">
          <w:rPr>
            <w:rStyle w:val="Hyperlink"/>
            <w:i/>
            <w:szCs w:val="20"/>
          </w:rPr>
          <w:t>Fair Go Policy</w:t>
        </w:r>
      </w:hyperlink>
      <w:r w:rsidRPr="00F271B8">
        <w:rPr>
          <w:i/>
          <w:szCs w:val="20"/>
        </w:rPr>
        <w:t xml:space="preserve"> </w:t>
      </w:r>
      <w:r w:rsidRPr="00F271B8">
        <w:rPr>
          <w:szCs w:val="20"/>
        </w:rPr>
        <w:t>applies</w:t>
      </w:r>
      <w:r>
        <w:rPr>
          <w:szCs w:val="20"/>
        </w:rPr>
        <w:t xml:space="preserve">. </w:t>
      </w:r>
      <w:r w:rsidRPr="00F271B8">
        <w:rPr>
          <w:szCs w:val="20"/>
        </w:rPr>
        <w:t xml:space="preserve">For further details refer to </w:t>
      </w:r>
      <w:hyperlink r:id="rId829" w:history="1">
        <w:r w:rsidRPr="00F271B8">
          <w:rPr>
            <w:rStyle w:val="Hyperlink"/>
            <w:i/>
            <w:szCs w:val="20"/>
          </w:rPr>
          <w:t>Appendix S</w:t>
        </w:r>
        <w:r w:rsidRPr="00FE65F4">
          <w:rPr>
            <w:rStyle w:val="Hyperlink"/>
            <w:i/>
            <w:szCs w:val="20"/>
          </w:rPr>
          <w:t>.</w:t>
        </w:r>
      </w:hyperlink>
    </w:p>
    <w:p w14:paraId="4737F8D9" w14:textId="77777777" w:rsidR="00E507D4" w:rsidRPr="00D60F4C" w:rsidRDefault="00E507D4" w:rsidP="00E507D4">
      <w:pPr>
        <w:pStyle w:val="Heading6"/>
        <w:ind w:left="0" w:firstLine="0"/>
        <w:rPr>
          <w:lang w:val="en-AU"/>
        </w:rPr>
      </w:pPr>
      <w:bookmarkStart w:id="2097" w:name="_Toc460853583"/>
      <w:bookmarkStart w:id="2098" w:name="_Toc461706952"/>
      <w:bookmarkStart w:id="2099" w:name="_Toc508361951"/>
      <w:r w:rsidRPr="00D60F4C">
        <w:rPr>
          <w:lang w:val="en-AU"/>
        </w:rPr>
        <w:t xml:space="preserve">Optus </w:t>
      </w:r>
      <w:r w:rsidRPr="00D60F4C">
        <w:t>Travel</w:t>
      </w:r>
      <w:r w:rsidRPr="00D60F4C">
        <w:rPr>
          <w:vertAlign w:val="superscript"/>
        </w:rPr>
        <w:t>TM</w:t>
      </w:r>
      <w:r w:rsidRPr="00D60F4C">
        <w:rPr>
          <w:lang w:val="en-AU"/>
        </w:rPr>
        <w:t xml:space="preserve"> Pack</w:t>
      </w:r>
      <w:bookmarkEnd w:id="2097"/>
      <w:bookmarkEnd w:id="2098"/>
      <w:bookmarkEnd w:id="2099"/>
    </w:p>
    <w:p w14:paraId="4952868E" w14:textId="77777777" w:rsidR="00E507D4" w:rsidRPr="00D60F4C" w:rsidRDefault="00E507D4" w:rsidP="00E507D4">
      <w:pPr>
        <w:ind w:left="709"/>
        <w:rPr>
          <w:rFonts w:cs="Arial"/>
          <w:snapToGrid w:val="0"/>
          <w:sz w:val="20"/>
          <w:szCs w:val="20"/>
        </w:rPr>
      </w:pPr>
      <w:r w:rsidRPr="00D60F4C">
        <w:rPr>
          <w:rFonts w:cs="Arial"/>
          <w:snapToGrid w:val="0"/>
          <w:sz w:val="20"/>
          <w:szCs w:val="20"/>
        </w:rPr>
        <w:lastRenderedPageBreak/>
        <w:t>The $90 My Plan Business plans can take up the Optus Travel</w:t>
      </w:r>
      <w:r w:rsidRPr="00D60F4C">
        <w:rPr>
          <w:rFonts w:cs="Arial"/>
          <w:snapToGrid w:val="0"/>
          <w:sz w:val="20"/>
          <w:szCs w:val="20"/>
          <w:vertAlign w:val="superscript"/>
        </w:rPr>
        <w:t>TM</w:t>
      </w:r>
      <w:r w:rsidRPr="00D60F4C">
        <w:rPr>
          <w:rFonts w:cs="Arial"/>
          <w:snapToGrid w:val="0"/>
          <w:sz w:val="20"/>
          <w:szCs w:val="20"/>
        </w:rPr>
        <w:t xml:space="preserve"> Pack for $5 per day. </w:t>
      </w:r>
      <w:r w:rsidRPr="00D60F4C">
        <w:rPr>
          <w:rFonts w:cs="Arial"/>
          <w:i/>
          <w:snapToGrid w:val="0"/>
          <w:sz w:val="20"/>
          <w:szCs w:val="20"/>
        </w:rPr>
        <w:t>You</w:t>
      </w:r>
      <w:r w:rsidRPr="00D60F4C">
        <w:rPr>
          <w:rFonts w:cs="Arial"/>
          <w:snapToGrid w:val="0"/>
          <w:sz w:val="20"/>
          <w:szCs w:val="20"/>
        </w:rPr>
        <w:t xml:space="preserve"> need to ensure you purchase and activate any Optus Travel</w:t>
      </w:r>
      <w:r w:rsidRPr="00D60F4C">
        <w:rPr>
          <w:rFonts w:cs="Arial"/>
          <w:snapToGrid w:val="0"/>
          <w:sz w:val="20"/>
          <w:szCs w:val="20"/>
          <w:vertAlign w:val="superscript"/>
        </w:rPr>
        <w:t>TM</w:t>
      </w:r>
      <w:r w:rsidRPr="00D60F4C">
        <w:rPr>
          <w:rFonts w:cs="Arial"/>
          <w:snapToGrid w:val="0"/>
          <w:sz w:val="20"/>
          <w:szCs w:val="20"/>
        </w:rPr>
        <w:t xml:space="preserve"> Pack by contacting Optus prior to use. Optus Travel</w:t>
      </w:r>
      <w:r w:rsidRPr="00D60F4C">
        <w:rPr>
          <w:rFonts w:cs="Arial"/>
          <w:snapToGrid w:val="0"/>
          <w:sz w:val="20"/>
          <w:szCs w:val="20"/>
          <w:vertAlign w:val="superscript"/>
        </w:rPr>
        <w:t>TM</w:t>
      </w:r>
      <w:r w:rsidRPr="00D60F4C">
        <w:rPr>
          <w:rFonts w:cs="Arial"/>
          <w:snapToGrid w:val="0"/>
          <w:sz w:val="20"/>
          <w:szCs w:val="20"/>
        </w:rPr>
        <w:t xml:space="preserve"> Pack gives you unlimited standard national and international voice, SMS (MMS is excluded) plus 50MB of data to use in Zone 1 countries per day. For list of countries see optus.com.au/biztravel.</w:t>
      </w:r>
    </w:p>
    <w:p w14:paraId="7E00DABC" w14:textId="77777777" w:rsidR="00E507D4" w:rsidRPr="00D60F4C" w:rsidRDefault="00E507D4" w:rsidP="00E507D4">
      <w:pPr>
        <w:ind w:left="709"/>
        <w:rPr>
          <w:rFonts w:cs="Arial"/>
          <w:snapToGrid w:val="0"/>
          <w:sz w:val="20"/>
          <w:szCs w:val="20"/>
        </w:rPr>
      </w:pPr>
    </w:p>
    <w:p w14:paraId="01D466BF" w14:textId="77777777" w:rsidR="00E507D4" w:rsidRPr="00D60F4C" w:rsidRDefault="00E507D4" w:rsidP="00E507D4">
      <w:pPr>
        <w:tabs>
          <w:tab w:val="left" w:pos="567"/>
          <w:tab w:val="left" w:pos="709"/>
          <w:tab w:val="left" w:pos="1701"/>
        </w:tabs>
        <w:ind w:left="709"/>
        <w:rPr>
          <w:rFonts w:cs="Arial"/>
          <w:snapToGrid w:val="0"/>
          <w:sz w:val="20"/>
          <w:szCs w:val="20"/>
          <w:lang w:val="en-AU"/>
        </w:rPr>
      </w:pPr>
      <w:r w:rsidRPr="00D60F4C">
        <w:rPr>
          <w:rFonts w:cs="Arial"/>
          <w:i/>
          <w:snapToGrid w:val="0"/>
          <w:sz w:val="20"/>
          <w:szCs w:val="20"/>
          <w:lang w:val="en-AU"/>
        </w:rPr>
        <w:t>You</w:t>
      </w:r>
      <w:r w:rsidRPr="00D60F4C">
        <w:rPr>
          <w:rFonts w:cs="Arial"/>
          <w:snapToGrid w:val="0"/>
          <w:sz w:val="20"/>
          <w:szCs w:val="20"/>
          <w:lang w:val="en-AU"/>
        </w:rPr>
        <w:t xml:space="preserve"> can activate the Optus Travel</w:t>
      </w:r>
      <w:r w:rsidRPr="00D60F4C">
        <w:rPr>
          <w:rFonts w:cs="Arial"/>
          <w:snapToGrid w:val="0"/>
          <w:sz w:val="20"/>
          <w:szCs w:val="20"/>
          <w:vertAlign w:val="superscript"/>
          <w:lang w:val="en-AU"/>
        </w:rPr>
        <w:t>TM</w:t>
      </w:r>
      <w:r w:rsidRPr="00D60F4C">
        <w:rPr>
          <w:rFonts w:cs="Arial"/>
          <w:snapToGrid w:val="0"/>
          <w:sz w:val="20"/>
          <w:szCs w:val="20"/>
          <w:lang w:val="en-AU"/>
        </w:rPr>
        <w:t xml:space="preserve"> Pack on a day to day basis or multiple days at once. If you activate multiple consecutive days, the data allowance will accumulate, for example </w:t>
      </w:r>
      <w:r w:rsidRPr="00D60F4C">
        <w:rPr>
          <w:rFonts w:cs="Arial"/>
          <w:bCs/>
          <w:snapToGrid w:val="0"/>
          <w:sz w:val="20"/>
          <w:szCs w:val="20"/>
          <w:lang w:val="en-AU"/>
        </w:rPr>
        <w:t>activate 5 consecutive days and use 250MB any time over the 5 day period. If you exceed the data limit, standard data roaming charges will apply. Any data provided as part of Optus Travel™ Pack is not shareable and will not form part of any Data Pool. Any unused days of Optus Travel™ Pack are forfeited and cannot be rolled over to the next billing month.</w:t>
      </w:r>
    </w:p>
    <w:p w14:paraId="4C765805" w14:textId="77777777" w:rsidR="00E507D4" w:rsidRPr="00D60F4C" w:rsidRDefault="00E507D4" w:rsidP="00E507D4">
      <w:pPr>
        <w:tabs>
          <w:tab w:val="left" w:pos="567"/>
          <w:tab w:val="left" w:pos="709"/>
          <w:tab w:val="left" w:pos="1701"/>
        </w:tabs>
        <w:spacing w:before="120" w:after="120"/>
        <w:ind w:left="709"/>
        <w:rPr>
          <w:rFonts w:cs="Arial"/>
          <w:snapToGrid w:val="0"/>
          <w:sz w:val="20"/>
          <w:szCs w:val="20"/>
          <w:lang w:val="en-AU"/>
        </w:rPr>
      </w:pPr>
      <w:r w:rsidRPr="00D60F4C">
        <w:rPr>
          <w:rFonts w:cs="Arial"/>
          <w:snapToGrid w:val="0"/>
          <w:sz w:val="20"/>
          <w:szCs w:val="20"/>
          <w:lang w:val="en-AU"/>
        </w:rPr>
        <w:t>I</w:t>
      </w:r>
      <w:r w:rsidRPr="00D60F4C">
        <w:rPr>
          <w:rFonts w:cs="Arial"/>
          <w:bCs/>
          <w:snapToGrid w:val="0"/>
          <w:sz w:val="20"/>
          <w:szCs w:val="20"/>
          <w:lang w:val="en-AU"/>
        </w:rPr>
        <w:t>f you are not in a Zone 1 country you will be charged at standard roaming rates for that country.</w:t>
      </w:r>
      <w:r>
        <w:rPr>
          <w:rFonts w:cs="Arial"/>
          <w:bCs/>
          <w:snapToGrid w:val="0"/>
          <w:sz w:val="20"/>
          <w:szCs w:val="20"/>
          <w:lang w:val="en-AU"/>
        </w:rPr>
        <w:br/>
      </w:r>
    </w:p>
    <w:p w14:paraId="731B9F38" w14:textId="77777777" w:rsidR="00E507D4" w:rsidRPr="00F271B8" w:rsidRDefault="00E507D4" w:rsidP="00E507D4">
      <w:pPr>
        <w:pStyle w:val="Heading6"/>
        <w:ind w:left="0" w:firstLine="0"/>
        <w:rPr>
          <w:lang w:val="en-AU"/>
        </w:rPr>
      </w:pPr>
      <w:bookmarkStart w:id="2100" w:name="_Toc508361952"/>
      <w:r w:rsidRPr="00F271B8">
        <w:rPr>
          <w:lang w:val="en-AU"/>
        </w:rPr>
        <w:t>Additional benefit – Handset Credit</w:t>
      </w:r>
      <w:bookmarkEnd w:id="2100"/>
    </w:p>
    <w:p w14:paraId="05B80B4D" w14:textId="77777777" w:rsidR="00E507D4" w:rsidRPr="00F271B8" w:rsidRDefault="00E507D4" w:rsidP="00E507D4">
      <w:pPr>
        <w:pStyle w:val="Heading7"/>
        <w:rPr>
          <w:lang w:val="en-AU"/>
        </w:rPr>
      </w:pPr>
      <w:r w:rsidRPr="00F271B8">
        <w:rPr>
          <w:i/>
          <w:lang w:val="en-AU"/>
        </w:rPr>
        <w:t xml:space="preserve">When you </w:t>
      </w:r>
      <w:r w:rsidRPr="00F271B8">
        <w:rPr>
          <w:lang w:val="en-AU"/>
        </w:rPr>
        <w:t>connect to a My Plan Plus which has a monthly phone credit (</w:t>
      </w:r>
      <w:r>
        <w:rPr>
          <w:lang w:val="en-AU"/>
        </w:rPr>
        <w:t>'</w:t>
      </w:r>
      <w:r w:rsidRPr="00F271B8">
        <w:rPr>
          <w:b/>
          <w:lang w:val="en-AU"/>
        </w:rPr>
        <w:t>Handset Credit</w:t>
      </w:r>
      <w:r>
        <w:rPr>
          <w:lang w:val="en-AU"/>
        </w:rPr>
        <w:t>'</w:t>
      </w:r>
      <w:r w:rsidRPr="00F271B8">
        <w:rPr>
          <w:lang w:val="en-AU"/>
        </w:rPr>
        <w:t xml:space="preserve">) each month for </w:t>
      </w:r>
      <w:r w:rsidRPr="00F271B8">
        <w:rPr>
          <w:i/>
          <w:lang w:val="en-AU"/>
        </w:rPr>
        <w:t>your minimum term</w:t>
      </w:r>
      <w:r w:rsidRPr="00F271B8">
        <w:rPr>
          <w:lang w:val="en-AU"/>
        </w:rPr>
        <w:t xml:space="preserve">, this will reduce the monthly repayment costs of the handset </w:t>
      </w:r>
      <w:r w:rsidRPr="00F271B8">
        <w:rPr>
          <w:i/>
          <w:lang w:val="en-AU"/>
        </w:rPr>
        <w:t xml:space="preserve">you </w:t>
      </w:r>
      <w:r w:rsidRPr="00F271B8">
        <w:rPr>
          <w:lang w:val="en-AU"/>
        </w:rPr>
        <w:t xml:space="preserve">have chosen with </w:t>
      </w:r>
      <w:r w:rsidRPr="00F271B8">
        <w:rPr>
          <w:i/>
          <w:lang w:val="en-AU"/>
        </w:rPr>
        <w:t>your pricing plan</w:t>
      </w:r>
      <w:r>
        <w:rPr>
          <w:lang w:val="en-AU"/>
        </w:rPr>
        <w:t xml:space="preserve">. </w:t>
      </w:r>
    </w:p>
    <w:p w14:paraId="00964871" w14:textId="77777777" w:rsidR="00E507D4" w:rsidRPr="00D60F4C" w:rsidRDefault="00E507D4" w:rsidP="00E507D4">
      <w:pPr>
        <w:pStyle w:val="Heading7"/>
        <w:rPr>
          <w:lang w:val="en-AU"/>
        </w:rPr>
      </w:pPr>
      <w:r w:rsidRPr="00F271B8">
        <w:rPr>
          <w:lang w:val="en-AU"/>
        </w:rPr>
        <w:t xml:space="preserve">If </w:t>
      </w:r>
      <w:r w:rsidRPr="00F271B8">
        <w:rPr>
          <w:i/>
          <w:lang w:val="en-AU"/>
        </w:rPr>
        <w:t>you</w:t>
      </w:r>
      <w:r w:rsidRPr="00F271B8">
        <w:rPr>
          <w:lang w:val="en-AU"/>
        </w:rPr>
        <w:t xml:space="preserve"> </w:t>
      </w:r>
      <w:r w:rsidRPr="00F271B8">
        <w:rPr>
          <w:i/>
          <w:lang w:val="en-AU"/>
        </w:rPr>
        <w:t>cancel your pricing plan</w:t>
      </w:r>
      <w:r w:rsidRPr="00F271B8">
        <w:rPr>
          <w:lang w:val="en-AU"/>
        </w:rPr>
        <w:t xml:space="preserve"> or the </w:t>
      </w:r>
      <w:r w:rsidRPr="00F271B8">
        <w:rPr>
          <w:i/>
          <w:lang w:val="en-AU"/>
        </w:rPr>
        <w:t xml:space="preserve">mobile equipment payment plan </w:t>
      </w:r>
      <w:r w:rsidRPr="00F271B8">
        <w:rPr>
          <w:lang w:val="en-AU"/>
        </w:rPr>
        <w:t xml:space="preserve">during </w:t>
      </w:r>
      <w:r w:rsidRPr="00F271B8">
        <w:rPr>
          <w:i/>
          <w:lang w:val="en-AU"/>
        </w:rPr>
        <w:t>your minimum term</w:t>
      </w:r>
      <w:r w:rsidRPr="00F271B8">
        <w:rPr>
          <w:lang w:val="en-AU"/>
        </w:rPr>
        <w:t xml:space="preserve">, </w:t>
      </w:r>
      <w:r w:rsidRPr="00F271B8">
        <w:rPr>
          <w:i/>
          <w:lang w:val="en-AU"/>
        </w:rPr>
        <w:t>you</w:t>
      </w:r>
      <w:r w:rsidRPr="00F271B8">
        <w:rPr>
          <w:lang w:val="en-AU"/>
        </w:rPr>
        <w:t xml:space="preserve"> will no longer be entitled to these Handset Credits and </w:t>
      </w:r>
      <w:r w:rsidRPr="00F271B8">
        <w:rPr>
          <w:i/>
          <w:lang w:val="en-AU"/>
        </w:rPr>
        <w:t>you</w:t>
      </w:r>
      <w:r w:rsidRPr="00F271B8">
        <w:rPr>
          <w:lang w:val="en-AU"/>
        </w:rPr>
        <w:t xml:space="preserve"> must pay the remaining handset repayments in full in addition to any </w:t>
      </w:r>
      <w:r w:rsidRPr="00F271B8">
        <w:rPr>
          <w:i/>
          <w:lang w:val="en-AU"/>
        </w:rPr>
        <w:t>cancellation fee</w:t>
      </w:r>
      <w:r w:rsidRPr="00F271B8">
        <w:rPr>
          <w:lang w:val="en-AU"/>
        </w:rPr>
        <w:t>.</w:t>
      </w:r>
      <w:r w:rsidRPr="00D60F4C">
        <w:t xml:space="preserve"> </w:t>
      </w:r>
    </w:p>
    <w:p w14:paraId="2065C4C2" w14:textId="77777777" w:rsidR="00E507D4" w:rsidRPr="00D60F4C" w:rsidRDefault="00E507D4" w:rsidP="00E507D4">
      <w:pPr>
        <w:pStyle w:val="Heading7"/>
        <w:rPr>
          <w:lang w:val="en-AU"/>
        </w:rPr>
      </w:pPr>
      <w:r w:rsidRPr="00D60F4C">
        <w:rPr>
          <w:lang w:val="en-AU"/>
        </w:rPr>
        <w:t xml:space="preserve">If you elect to keep your mobile phone when exercising New Phone Trade Up you will no longer be entitled to the Handset Credit and you will be required to pay the remaining handset repayments in full.  </w:t>
      </w:r>
    </w:p>
    <w:p w14:paraId="7B3A18AC" w14:textId="77777777" w:rsidR="00E507D4" w:rsidRPr="00F271B8" w:rsidRDefault="00E507D4" w:rsidP="00E507D4">
      <w:pPr>
        <w:pStyle w:val="BodyText"/>
        <w:rPr>
          <w:b/>
          <w:lang w:val="en-AU"/>
        </w:rPr>
      </w:pPr>
      <w:r w:rsidRPr="00F271B8">
        <w:rPr>
          <w:b/>
          <w:lang w:val="en-AU"/>
        </w:rPr>
        <w:t>Table 1 –Plan Inclusions and Charges</w:t>
      </w:r>
    </w:p>
    <w:tbl>
      <w:tblPr>
        <w:tblW w:w="47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5"/>
        <w:gridCol w:w="5042"/>
      </w:tblGrid>
      <w:tr w:rsidR="00E507D4" w:rsidRPr="00F271B8" w14:paraId="65241EBA" w14:textId="77777777" w:rsidTr="00B95821">
        <w:tc>
          <w:tcPr>
            <w:tcW w:w="2403" w:type="pct"/>
            <w:shd w:val="clear" w:color="auto" w:fill="auto"/>
          </w:tcPr>
          <w:p w14:paraId="7ED16DC9" w14:textId="77777777" w:rsidR="00E507D4" w:rsidRPr="00F271B8" w:rsidRDefault="00E507D4" w:rsidP="00B95821">
            <w:pPr>
              <w:pStyle w:val="BodyText"/>
              <w:spacing w:before="100" w:after="100"/>
            </w:pPr>
          </w:p>
        </w:tc>
        <w:tc>
          <w:tcPr>
            <w:tcW w:w="2597" w:type="pct"/>
            <w:shd w:val="clear" w:color="auto" w:fill="auto"/>
            <w:vAlign w:val="center"/>
          </w:tcPr>
          <w:p w14:paraId="436DC4CF" w14:textId="77777777" w:rsidR="00E507D4" w:rsidRPr="00F271B8" w:rsidRDefault="00E507D4" w:rsidP="00B95821">
            <w:pPr>
              <w:pStyle w:val="BodyText"/>
              <w:spacing w:before="100" w:after="100"/>
              <w:jc w:val="center"/>
              <w:rPr>
                <w:b/>
              </w:rPr>
            </w:pPr>
            <w:r>
              <w:rPr>
                <w:b/>
              </w:rPr>
              <w:t>$9</w:t>
            </w:r>
            <w:r w:rsidRPr="00F271B8">
              <w:rPr>
                <w:b/>
              </w:rPr>
              <w:t>0 My Plan Business</w:t>
            </w:r>
            <w:r>
              <w:rPr>
                <w:b/>
              </w:rPr>
              <w:t xml:space="preserve"> </w:t>
            </w:r>
          </w:p>
        </w:tc>
      </w:tr>
      <w:tr w:rsidR="00E507D4" w:rsidRPr="00F271B8" w14:paraId="2A804A6E" w14:textId="77777777" w:rsidTr="00B95821">
        <w:tc>
          <w:tcPr>
            <w:tcW w:w="2403" w:type="pct"/>
            <w:shd w:val="clear" w:color="auto" w:fill="auto"/>
          </w:tcPr>
          <w:p w14:paraId="35BBA421" w14:textId="77777777" w:rsidR="00E507D4" w:rsidRPr="00F271B8" w:rsidRDefault="00E507D4" w:rsidP="00B95821">
            <w:pPr>
              <w:pStyle w:val="BodyText"/>
              <w:spacing w:before="100" w:after="100"/>
            </w:pPr>
            <w:r w:rsidRPr="00F271B8">
              <w:rPr>
                <w:b/>
                <w:bCs/>
              </w:rPr>
              <w:t>Minimum Monthly charge</w:t>
            </w:r>
          </w:p>
        </w:tc>
        <w:tc>
          <w:tcPr>
            <w:tcW w:w="2597" w:type="pct"/>
            <w:shd w:val="clear" w:color="auto" w:fill="auto"/>
            <w:vAlign w:val="center"/>
          </w:tcPr>
          <w:p w14:paraId="7A9468AA" w14:textId="77777777" w:rsidR="00E507D4" w:rsidRPr="00F271B8" w:rsidRDefault="00E507D4" w:rsidP="00B95821">
            <w:pPr>
              <w:pStyle w:val="BodyText"/>
              <w:spacing w:before="100" w:after="100"/>
              <w:jc w:val="center"/>
            </w:pPr>
            <w:r>
              <w:t>$9</w:t>
            </w:r>
            <w:r w:rsidRPr="00F271B8">
              <w:t>0</w:t>
            </w:r>
          </w:p>
        </w:tc>
      </w:tr>
      <w:tr w:rsidR="00E507D4" w:rsidRPr="00F271B8" w14:paraId="38A81C51" w14:textId="77777777" w:rsidTr="00B95821">
        <w:tc>
          <w:tcPr>
            <w:tcW w:w="2403" w:type="pct"/>
            <w:shd w:val="clear" w:color="auto" w:fill="auto"/>
          </w:tcPr>
          <w:p w14:paraId="16B41D6E" w14:textId="77777777" w:rsidR="00E507D4" w:rsidRPr="00F271B8" w:rsidRDefault="00E507D4" w:rsidP="00B95821">
            <w:pPr>
              <w:pStyle w:val="BodyText"/>
              <w:spacing w:before="100" w:after="100"/>
            </w:pPr>
            <w:r w:rsidRPr="00F271B8">
              <w:rPr>
                <w:b/>
                <w:bCs/>
              </w:rPr>
              <w:t>Included Data</w:t>
            </w:r>
          </w:p>
        </w:tc>
        <w:tc>
          <w:tcPr>
            <w:tcW w:w="2597" w:type="pct"/>
            <w:shd w:val="clear" w:color="auto" w:fill="auto"/>
            <w:vAlign w:val="center"/>
          </w:tcPr>
          <w:p w14:paraId="16D9B2AC" w14:textId="77777777" w:rsidR="00E507D4" w:rsidRPr="00F271B8" w:rsidRDefault="00E507D4" w:rsidP="00B95821">
            <w:pPr>
              <w:pStyle w:val="BodyText"/>
              <w:spacing w:before="100" w:after="100"/>
              <w:jc w:val="center"/>
            </w:pPr>
            <w:r>
              <w:t>9GB</w:t>
            </w:r>
          </w:p>
        </w:tc>
      </w:tr>
      <w:tr w:rsidR="00E507D4" w:rsidRPr="00F271B8" w14:paraId="28E82AB9" w14:textId="77777777" w:rsidTr="00B95821">
        <w:tc>
          <w:tcPr>
            <w:tcW w:w="2403" w:type="pct"/>
            <w:shd w:val="clear" w:color="auto" w:fill="auto"/>
          </w:tcPr>
          <w:p w14:paraId="2453333B" w14:textId="77777777" w:rsidR="00E507D4" w:rsidRPr="00F271B8" w:rsidRDefault="00E507D4" w:rsidP="00B95821">
            <w:pPr>
              <w:pStyle w:val="BodyText"/>
              <w:spacing w:before="100" w:after="100"/>
              <w:rPr>
                <w:b/>
                <w:bCs/>
              </w:rPr>
            </w:pPr>
            <w:r w:rsidRPr="00304BEC">
              <w:rPr>
                <w:rFonts w:eastAsia="Calibri" w:cs="Arial"/>
                <w:b/>
                <w:bCs/>
                <w:lang w:eastAsia="en-AU"/>
              </w:rPr>
              <w:t>Additional Data</w:t>
            </w:r>
          </w:p>
        </w:tc>
        <w:tc>
          <w:tcPr>
            <w:tcW w:w="2597" w:type="pct"/>
            <w:shd w:val="clear" w:color="auto" w:fill="auto"/>
          </w:tcPr>
          <w:p w14:paraId="26E1362D" w14:textId="77777777" w:rsidR="00E507D4" w:rsidRPr="00F271B8" w:rsidRDefault="00E507D4" w:rsidP="00B95821">
            <w:pPr>
              <w:pStyle w:val="BodyText"/>
              <w:spacing w:before="100" w:after="100"/>
              <w:jc w:val="center"/>
            </w:pPr>
            <w:r w:rsidRPr="00304BEC">
              <w:rPr>
                <w:rFonts w:cs="Arial"/>
              </w:rPr>
              <w:t>Additional data $10 per 1GB</w:t>
            </w:r>
          </w:p>
        </w:tc>
      </w:tr>
      <w:tr w:rsidR="00E507D4" w:rsidRPr="00F271B8" w14:paraId="5B95246D" w14:textId="77777777" w:rsidTr="00B95821">
        <w:trPr>
          <w:trHeight w:val="64"/>
        </w:trPr>
        <w:tc>
          <w:tcPr>
            <w:tcW w:w="2403" w:type="pct"/>
            <w:shd w:val="clear" w:color="auto" w:fill="auto"/>
            <w:vAlign w:val="center"/>
          </w:tcPr>
          <w:p w14:paraId="6DBBD4E5" w14:textId="77777777" w:rsidR="00E507D4" w:rsidRPr="00F271B8" w:rsidRDefault="00E507D4" w:rsidP="00B95821">
            <w:pPr>
              <w:pStyle w:val="BodyText"/>
              <w:spacing w:before="100" w:after="100"/>
              <w:rPr>
                <w:b/>
                <w:bCs/>
              </w:rPr>
            </w:pPr>
            <w:r w:rsidRPr="00F271B8">
              <w:rPr>
                <w:b/>
                <w:bCs/>
              </w:rPr>
              <w:t>Included Minutes</w:t>
            </w:r>
          </w:p>
          <w:p w14:paraId="59E33F4A" w14:textId="77777777" w:rsidR="00E507D4" w:rsidRPr="00F271B8" w:rsidRDefault="00E507D4" w:rsidP="00B95821">
            <w:pPr>
              <w:pStyle w:val="BodyText"/>
              <w:spacing w:before="100" w:after="100"/>
              <w:rPr>
                <w:b/>
                <w:bCs/>
              </w:rPr>
            </w:pPr>
            <w:r w:rsidRPr="00F271B8">
              <w:rPr>
                <w:bCs/>
              </w:rPr>
              <w:t>for standard national calls to landlines and mobiles, 1300 numbers and voicemail, within Australia</w:t>
            </w:r>
          </w:p>
        </w:tc>
        <w:tc>
          <w:tcPr>
            <w:tcW w:w="2597" w:type="pct"/>
            <w:shd w:val="clear" w:color="auto" w:fill="auto"/>
            <w:vAlign w:val="center"/>
          </w:tcPr>
          <w:p w14:paraId="7DFFDB83" w14:textId="77777777" w:rsidR="00E507D4" w:rsidRPr="00F271B8" w:rsidRDefault="00E507D4" w:rsidP="00B95821">
            <w:pPr>
              <w:pStyle w:val="BodyText"/>
              <w:spacing w:before="100" w:after="100"/>
              <w:jc w:val="center"/>
            </w:pPr>
            <w:r>
              <w:t>Unlimited</w:t>
            </w:r>
          </w:p>
        </w:tc>
      </w:tr>
      <w:tr w:rsidR="00E507D4" w:rsidRPr="00F271B8" w14:paraId="25E3E9E4" w14:textId="77777777" w:rsidTr="00B95821">
        <w:trPr>
          <w:trHeight w:val="64"/>
        </w:trPr>
        <w:tc>
          <w:tcPr>
            <w:tcW w:w="2403" w:type="pct"/>
            <w:shd w:val="clear" w:color="auto" w:fill="auto"/>
          </w:tcPr>
          <w:p w14:paraId="03A362E9" w14:textId="77777777" w:rsidR="00E507D4" w:rsidRPr="00F271B8" w:rsidRDefault="00E507D4" w:rsidP="00B95821">
            <w:pPr>
              <w:pStyle w:val="BodyText"/>
              <w:spacing w:before="100" w:after="100"/>
            </w:pPr>
            <w:r w:rsidRPr="00F271B8">
              <w:rPr>
                <w:b/>
                <w:bCs/>
              </w:rPr>
              <w:t xml:space="preserve">Standard national SMS </w:t>
            </w:r>
            <w:r w:rsidRPr="00F271B8">
              <w:t>(per SMS of up to 160 standard characters)</w:t>
            </w:r>
          </w:p>
        </w:tc>
        <w:tc>
          <w:tcPr>
            <w:tcW w:w="2597" w:type="pct"/>
            <w:shd w:val="clear" w:color="auto" w:fill="auto"/>
            <w:vAlign w:val="center"/>
          </w:tcPr>
          <w:p w14:paraId="2E163B0B" w14:textId="77777777" w:rsidR="00E507D4" w:rsidRPr="00F271B8" w:rsidRDefault="00E507D4" w:rsidP="00B95821">
            <w:pPr>
              <w:pStyle w:val="BodyText"/>
              <w:spacing w:before="100" w:after="100"/>
              <w:jc w:val="center"/>
            </w:pPr>
            <w:r w:rsidRPr="00F271B8">
              <w:t>Unlimited</w:t>
            </w:r>
          </w:p>
        </w:tc>
      </w:tr>
      <w:tr w:rsidR="00E507D4" w:rsidRPr="00F271B8" w14:paraId="2EED6866" w14:textId="77777777" w:rsidTr="00B95821">
        <w:tc>
          <w:tcPr>
            <w:tcW w:w="2403" w:type="pct"/>
            <w:shd w:val="clear" w:color="auto" w:fill="auto"/>
          </w:tcPr>
          <w:p w14:paraId="3390A1F3" w14:textId="77777777" w:rsidR="00E507D4" w:rsidRPr="00F271B8" w:rsidRDefault="00E507D4" w:rsidP="00B95821">
            <w:pPr>
              <w:pStyle w:val="BodyText"/>
              <w:spacing w:before="100" w:after="100"/>
              <w:rPr>
                <w:b/>
                <w:bCs/>
              </w:rPr>
            </w:pPr>
            <w:r w:rsidRPr="00F271B8">
              <w:rPr>
                <w:b/>
                <w:bCs/>
              </w:rPr>
              <w:t xml:space="preserve">Standard national MMS </w:t>
            </w:r>
            <w:r w:rsidRPr="00F271B8">
              <w:t>(per message)</w:t>
            </w:r>
          </w:p>
        </w:tc>
        <w:tc>
          <w:tcPr>
            <w:tcW w:w="2597" w:type="pct"/>
            <w:shd w:val="clear" w:color="auto" w:fill="auto"/>
            <w:vAlign w:val="center"/>
          </w:tcPr>
          <w:p w14:paraId="4EA1C41D" w14:textId="77777777" w:rsidR="00E507D4" w:rsidRPr="00F271B8" w:rsidRDefault="00E507D4" w:rsidP="00B95821">
            <w:pPr>
              <w:pStyle w:val="BodyText"/>
              <w:spacing w:before="100" w:after="100"/>
              <w:jc w:val="center"/>
            </w:pPr>
            <w:r w:rsidRPr="00F271B8">
              <w:t>Unlimited</w:t>
            </w:r>
          </w:p>
        </w:tc>
      </w:tr>
      <w:tr w:rsidR="00E507D4" w:rsidRPr="00F271B8" w14:paraId="72F7B0F2" w14:textId="77777777" w:rsidTr="00B95821">
        <w:tc>
          <w:tcPr>
            <w:tcW w:w="2403" w:type="pct"/>
            <w:shd w:val="clear" w:color="auto" w:fill="auto"/>
          </w:tcPr>
          <w:p w14:paraId="64CADF0E" w14:textId="77777777" w:rsidR="00E507D4" w:rsidRPr="00F271B8" w:rsidDel="00064B49" w:rsidRDefault="00E507D4" w:rsidP="00B95821">
            <w:pPr>
              <w:pStyle w:val="BodyText"/>
              <w:spacing w:before="100" w:after="100"/>
              <w:rPr>
                <w:b/>
                <w:bCs/>
              </w:rPr>
            </w:pPr>
            <w:r w:rsidRPr="00F271B8">
              <w:rPr>
                <w:b/>
                <w:bCs/>
              </w:rPr>
              <w:t xml:space="preserve">Standard international SMS </w:t>
            </w:r>
            <w:r w:rsidRPr="00F271B8">
              <w:t>(per SMS of up to 160 standard characters to selected countries)</w:t>
            </w:r>
          </w:p>
        </w:tc>
        <w:tc>
          <w:tcPr>
            <w:tcW w:w="2597" w:type="pct"/>
            <w:shd w:val="clear" w:color="auto" w:fill="auto"/>
            <w:vAlign w:val="center"/>
          </w:tcPr>
          <w:p w14:paraId="55DBF94C" w14:textId="77777777" w:rsidR="00E507D4" w:rsidRPr="00F271B8" w:rsidDel="00064B49" w:rsidRDefault="00E507D4" w:rsidP="00B95821">
            <w:pPr>
              <w:pStyle w:val="BodyText"/>
              <w:spacing w:before="100" w:after="100"/>
              <w:jc w:val="center"/>
            </w:pPr>
            <w:r w:rsidRPr="00F271B8">
              <w:t>Unlimited</w:t>
            </w:r>
          </w:p>
        </w:tc>
      </w:tr>
      <w:tr w:rsidR="00E507D4" w:rsidRPr="00F271B8" w14:paraId="4F460B88" w14:textId="77777777" w:rsidTr="00B95821">
        <w:tc>
          <w:tcPr>
            <w:tcW w:w="2403" w:type="pct"/>
            <w:shd w:val="clear" w:color="auto" w:fill="auto"/>
          </w:tcPr>
          <w:p w14:paraId="234C3A0A" w14:textId="77777777" w:rsidR="00E507D4" w:rsidRPr="00F271B8" w:rsidRDefault="00E507D4" w:rsidP="00B95821">
            <w:pPr>
              <w:pStyle w:val="BodyText"/>
              <w:spacing w:before="100" w:after="100"/>
              <w:rPr>
                <w:b/>
                <w:bCs/>
              </w:rPr>
            </w:pPr>
            <w:r w:rsidRPr="00F271B8">
              <w:rPr>
                <w:b/>
                <w:bCs/>
              </w:rPr>
              <w:t xml:space="preserve">Standard international MMS </w:t>
            </w:r>
            <w:r w:rsidRPr="00F271B8">
              <w:t>(per message to selected countries)</w:t>
            </w:r>
          </w:p>
        </w:tc>
        <w:tc>
          <w:tcPr>
            <w:tcW w:w="2597" w:type="pct"/>
            <w:shd w:val="clear" w:color="auto" w:fill="auto"/>
            <w:vAlign w:val="center"/>
          </w:tcPr>
          <w:p w14:paraId="3E5B4A81" w14:textId="77777777" w:rsidR="00E507D4" w:rsidRPr="00F271B8" w:rsidRDefault="00E507D4" w:rsidP="00B95821">
            <w:pPr>
              <w:pStyle w:val="BodyText"/>
              <w:spacing w:before="100" w:after="100"/>
              <w:jc w:val="center"/>
            </w:pPr>
            <w:r w:rsidRPr="00F271B8">
              <w:t>Unlimited</w:t>
            </w:r>
          </w:p>
        </w:tc>
      </w:tr>
      <w:tr w:rsidR="00E507D4" w:rsidRPr="00F271B8" w14:paraId="10665132" w14:textId="77777777" w:rsidTr="00B95821">
        <w:tc>
          <w:tcPr>
            <w:tcW w:w="2403" w:type="pct"/>
            <w:shd w:val="clear" w:color="auto" w:fill="auto"/>
          </w:tcPr>
          <w:p w14:paraId="4D3543FC" w14:textId="77777777" w:rsidR="00E507D4" w:rsidRDefault="00E507D4" w:rsidP="00B95821">
            <w:pPr>
              <w:pStyle w:val="BodyText"/>
              <w:spacing w:before="100" w:after="100"/>
            </w:pPr>
            <w:r w:rsidRPr="0089521A">
              <w:t xml:space="preserve">International Roaming </w:t>
            </w:r>
          </w:p>
          <w:p w14:paraId="0F7E03C0" w14:textId="77777777" w:rsidR="00E507D4" w:rsidRPr="0057204B" w:rsidRDefault="00E507D4" w:rsidP="00B95821">
            <w:pPr>
              <w:pStyle w:val="BodyText"/>
              <w:spacing w:before="100" w:after="100"/>
              <w:rPr>
                <w:bCs/>
              </w:rPr>
            </w:pPr>
            <w:r w:rsidRPr="0057204B">
              <w:rPr>
                <w:rFonts w:cs="Arial"/>
                <w:bCs/>
                <w:snapToGrid w:val="0"/>
              </w:rPr>
              <w:t>(Zone 1 countries)</w:t>
            </w:r>
          </w:p>
        </w:tc>
        <w:tc>
          <w:tcPr>
            <w:tcW w:w="2597" w:type="pct"/>
            <w:shd w:val="clear" w:color="auto" w:fill="auto"/>
            <w:vAlign w:val="center"/>
          </w:tcPr>
          <w:p w14:paraId="7062911F" w14:textId="77777777" w:rsidR="00E507D4" w:rsidRPr="00F271B8" w:rsidRDefault="00E507D4" w:rsidP="00B95821">
            <w:pPr>
              <w:pStyle w:val="BodyText"/>
              <w:spacing w:before="100" w:after="100"/>
              <w:jc w:val="center"/>
            </w:pPr>
            <w:r w:rsidRPr="00304BEC">
              <w:rPr>
                <w:rFonts w:eastAsia="Calibri" w:cs="Arial"/>
              </w:rPr>
              <w:t>Not included</w:t>
            </w:r>
          </w:p>
        </w:tc>
      </w:tr>
      <w:tr w:rsidR="00E507D4" w:rsidRPr="00F271B8" w14:paraId="492A5042" w14:textId="77777777" w:rsidTr="00B95821">
        <w:tc>
          <w:tcPr>
            <w:tcW w:w="2403" w:type="pct"/>
            <w:shd w:val="clear" w:color="auto" w:fill="auto"/>
          </w:tcPr>
          <w:p w14:paraId="40459340" w14:textId="77777777" w:rsidR="00E507D4" w:rsidRPr="0057204B" w:rsidRDefault="00E507D4" w:rsidP="00B95821">
            <w:pPr>
              <w:pStyle w:val="BodyText"/>
              <w:spacing w:before="100" w:after="100"/>
              <w:rPr>
                <w:bCs/>
              </w:rPr>
            </w:pPr>
            <w:r w:rsidRPr="0057204B">
              <w:rPr>
                <w:rFonts w:cs="Arial"/>
                <w:bCs/>
                <w:snapToGrid w:val="0"/>
              </w:rPr>
              <w:t>Optus Travel™ Pack</w:t>
            </w:r>
            <w:r w:rsidRPr="0057204B">
              <w:rPr>
                <w:rFonts w:cs="Arial"/>
                <w:bCs/>
                <w:snapToGrid w:val="0"/>
              </w:rPr>
              <w:br/>
              <w:t>(Zone 1 countries)</w:t>
            </w:r>
          </w:p>
        </w:tc>
        <w:tc>
          <w:tcPr>
            <w:tcW w:w="2597" w:type="pct"/>
            <w:shd w:val="clear" w:color="auto" w:fill="auto"/>
          </w:tcPr>
          <w:p w14:paraId="482EDEE8" w14:textId="77777777" w:rsidR="00E507D4" w:rsidRPr="0057204B" w:rsidRDefault="00E507D4" w:rsidP="00B95821">
            <w:pPr>
              <w:spacing w:before="120"/>
              <w:rPr>
                <w:sz w:val="20"/>
                <w:szCs w:val="20"/>
              </w:rPr>
            </w:pPr>
            <w:r w:rsidRPr="0057204B">
              <w:rPr>
                <w:sz w:val="20"/>
                <w:szCs w:val="20"/>
              </w:rPr>
              <w:t>Get $5 Optus Travel™ Pack - normally $10</w:t>
            </w:r>
          </w:p>
        </w:tc>
      </w:tr>
      <w:tr w:rsidR="00E507D4" w:rsidRPr="00F271B8" w14:paraId="79108920" w14:textId="77777777" w:rsidTr="00B95821">
        <w:tc>
          <w:tcPr>
            <w:tcW w:w="2403" w:type="pct"/>
            <w:shd w:val="clear" w:color="auto" w:fill="auto"/>
          </w:tcPr>
          <w:p w14:paraId="7755D5FB" w14:textId="77777777" w:rsidR="00E507D4" w:rsidRPr="00F271B8" w:rsidRDefault="00E507D4" w:rsidP="00B95821">
            <w:pPr>
              <w:pStyle w:val="BodyText"/>
              <w:spacing w:before="100" w:after="100"/>
              <w:rPr>
                <w:b/>
                <w:bCs/>
              </w:rPr>
            </w:pPr>
            <w:r w:rsidRPr="00F271B8">
              <w:rPr>
                <w:b/>
                <w:bCs/>
              </w:rPr>
              <w:lastRenderedPageBreak/>
              <w:t xml:space="preserve">Minimum total cost over 24 months </w:t>
            </w:r>
          </w:p>
        </w:tc>
        <w:tc>
          <w:tcPr>
            <w:tcW w:w="2597" w:type="pct"/>
            <w:shd w:val="clear" w:color="auto" w:fill="auto"/>
            <w:vAlign w:val="center"/>
          </w:tcPr>
          <w:p w14:paraId="32FEEE81" w14:textId="77777777" w:rsidR="00E507D4" w:rsidRPr="00F271B8" w:rsidRDefault="00E507D4" w:rsidP="00B95821">
            <w:pPr>
              <w:pStyle w:val="BodyText"/>
              <w:spacing w:before="100" w:after="100"/>
              <w:jc w:val="center"/>
            </w:pPr>
            <w:r>
              <w:t>$2160</w:t>
            </w:r>
          </w:p>
        </w:tc>
      </w:tr>
    </w:tbl>
    <w:p w14:paraId="0A698EA8" w14:textId="77777777" w:rsidR="00E507D4" w:rsidRPr="00F271B8" w:rsidRDefault="00E507D4" w:rsidP="00E507D4">
      <w:pPr>
        <w:pStyle w:val="BodyText"/>
        <w:keepNext/>
        <w:spacing w:before="240" w:after="120"/>
        <w:ind w:left="142" w:hanging="142"/>
        <w:rPr>
          <w:b/>
        </w:rPr>
      </w:pPr>
      <w:r w:rsidRPr="00F271B8">
        <w:rPr>
          <w:b/>
        </w:rPr>
        <w:t>Table 2 – Other usage types and charges</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70"/>
        <w:gridCol w:w="5153"/>
      </w:tblGrid>
      <w:tr w:rsidR="00E507D4" w:rsidRPr="00F271B8" w14:paraId="4F066DA4" w14:textId="77777777" w:rsidTr="00B95821">
        <w:trPr>
          <w:tblHeader/>
        </w:trPr>
        <w:tc>
          <w:tcPr>
            <w:tcW w:w="4770" w:type="dxa"/>
            <w:shd w:val="clear" w:color="auto" w:fill="auto"/>
          </w:tcPr>
          <w:p w14:paraId="0E928A97" w14:textId="77777777" w:rsidR="00E507D4" w:rsidRPr="003626D2" w:rsidRDefault="00E507D4" w:rsidP="00B95821">
            <w:pPr>
              <w:pStyle w:val="BodyText"/>
              <w:keepNext/>
              <w:spacing w:before="100" w:after="100"/>
              <w:jc w:val="center"/>
              <w:rPr>
                <w:b/>
              </w:rPr>
            </w:pPr>
            <w:r w:rsidRPr="003626D2">
              <w:rPr>
                <w:b/>
              </w:rPr>
              <w:t>Usage type</w:t>
            </w:r>
          </w:p>
        </w:tc>
        <w:tc>
          <w:tcPr>
            <w:tcW w:w="5153" w:type="dxa"/>
            <w:shd w:val="clear" w:color="auto" w:fill="auto"/>
            <w:vAlign w:val="center"/>
          </w:tcPr>
          <w:p w14:paraId="26DB883E" w14:textId="77777777" w:rsidR="00E507D4" w:rsidRPr="003626D2" w:rsidRDefault="00E507D4" w:rsidP="00B95821">
            <w:pPr>
              <w:pStyle w:val="BodyText"/>
              <w:keepNext/>
              <w:spacing w:before="100" w:after="100"/>
              <w:jc w:val="center"/>
              <w:rPr>
                <w:b/>
              </w:rPr>
            </w:pPr>
            <w:r w:rsidRPr="003626D2">
              <w:rPr>
                <w:b/>
              </w:rPr>
              <w:t>Charge</w:t>
            </w:r>
          </w:p>
        </w:tc>
      </w:tr>
      <w:tr w:rsidR="00E507D4" w:rsidRPr="00F271B8" w14:paraId="43652E48" w14:textId="77777777" w:rsidTr="00B95821">
        <w:tc>
          <w:tcPr>
            <w:tcW w:w="4770" w:type="dxa"/>
            <w:shd w:val="clear" w:color="auto" w:fill="auto"/>
          </w:tcPr>
          <w:p w14:paraId="44A9127B" w14:textId="77777777" w:rsidR="00E507D4" w:rsidRPr="00F271B8" w:rsidRDefault="00E507D4" w:rsidP="00B95821">
            <w:pPr>
              <w:pStyle w:val="BodyText"/>
              <w:spacing w:before="100" w:after="100"/>
              <w:rPr>
                <w:b/>
              </w:rPr>
            </w:pPr>
            <w:r w:rsidRPr="00F271B8">
              <w:rPr>
                <w:b/>
                <w:bCs/>
              </w:rPr>
              <w:t xml:space="preserve">National video calls </w:t>
            </w:r>
            <w:r w:rsidRPr="00F271B8">
              <w:rPr>
                <w:b/>
              </w:rPr>
              <w:t>(per minute)</w:t>
            </w:r>
          </w:p>
        </w:tc>
        <w:tc>
          <w:tcPr>
            <w:tcW w:w="5153" w:type="dxa"/>
            <w:shd w:val="clear" w:color="auto" w:fill="auto"/>
            <w:vAlign w:val="center"/>
          </w:tcPr>
          <w:p w14:paraId="2536D3B9" w14:textId="77777777" w:rsidR="00E507D4" w:rsidRPr="00F271B8" w:rsidRDefault="00E507D4" w:rsidP="00B95821">
            <w:pPr>
              <w:pStyle w:val="BodyText"/>
              <w:spacing w:before="100" w:after="100"/>
              <w:jc w:val="center"/>
            </w:pPr>
            <w:r w:rsidRPr="00F271B8">
              <w:t>$1.00 per min + 40c flagfall</w:t>
            </w:r>
          </w:p>
        </w:tc>
      </w:tr>
      <w:tr w:rsidR="00E507D4" w:rsidRPr="00F271B8" w14:paraId="1E978E01" w14:textId="77777777" w:rsidTr="00B95821">
        <w:tc>
          <w:tcPr>
            <w:tcW w:w="4770" w:type="dxa"/>
            <w:shd w:val="clear" w:color="auto" w:fill="auto"/>
          </w:tcPr>
          <w:p w14:paraId="1BAD6457" w14:textId="77777777" w:rsidR="00E507D4" w:rsidRPr="00F271B8" w:rsidRDefault="00E507D4" w:rsidP="00B95821">
            <w:pPr>
              <w:pStyle w:val="BodyText"/>
              <w:spacing w:before="100" w:after="100"/>
              <w:rPr>
                <w:b/>
              </w:rPr>
            </w:pPr>
            <w:r w:rsidRPr="00F271B8">
              <w:rPr>
                <w:b/>
                <w:bCs/>
              </w:rPr>
              <w:t xml:space="preserve">VoiceMail Deposits </w:t>
            </w:r>
          </w:p>
        </w:tc>
        <w:tc>
          <w:tcPr>
            <w:tcW w:w="5153" w:type="dxa"/>
            <w:shd w:val="clear" w:color="auto" w:fill="auto"/>
          </w:tcPr>
          <w:p w14:paraId="65EF0B76" w14:textId="77777777" w:rsidR="00E507D4" w:rsidRPr="00F271B8" w:rsidRDefault="00E507D4" w:rsidP="00B95821">
            <w:pPr>
              <w:pStyle w:val="BodyText"/>
              <w:spacing w:before="100" w:after="100"/>
              <w:jc w:val="center"/>
            </w:pPr>
            <w:r w:rsidRPr="00F271B8">
              <w:t>$0 per minute</w:t>
            </w:r>
          </w:p>
        </w:tc>
      </w:tr>
      <w:tr w:rsidR="00E507D4" w:rsidRPr="00F271B8" w14:paraId="3C619B2B" w14:textId="77777777" w:rsidTr="00B95821">
        <w:tc>
          <w:tcPr>
            <w:tcW w:w="4770" w:type="dxa"/>
            <w:shd w:val="clear" w:color="auto" w:fill="auto"/>
          </w:tcPr>
          <w:p w14:paraId="372F7190" w14:textId="77777777" w:rsidR="00E507D4" w:rsidRPr="00F271B8" w:rsidRDefault="00E507D4" w:rsidP="00B95821">
            <w:pPr>
              <w:pStyle w:val="BodyText"/>
              <w:spacing w:before="100" w:after="100"/>
              <w:rPr>
                <w:b/>
              </w:rPr>
            </w:pPr>
            <w:r w:rsidRPr="00F271B8">
              <w:rPr>
                <w:b/>
                <w:bCs/>
              </w:rPr>
              <w:t>Voicemail Diversions</w:t>
            </w:r>
          </w:p>
        </w:tc>
        <w:tc>
          <w:tcPr>
            <w:tcW w:w="5153" w:type="dxa"/>
            <w:shd w:val="clear" w:color="auto" w:fill="auto"/>
          </w:tcPr>
          <w:p w14:paraId="322479CE" w14:textId="77777777" w:rsidR="00E507D4" w:rsidRPr="00F271B8" w:rsidRDefault="00E507D4" w:rsidP="00B95821">
            <w:pPr>
              <w:pStyle w:val="BodyText"/>
              <w:spacing w:before="100" w:after="100"/>
              <w:jc w:val="center"/>
            </w:pPr>
            <w:r w:rsidRPr="00F271B8">
              <w:t>$0 per minute</w:t>
            </w:r>
          </w:p>
        </w:tc>
      </w:tr>
      <w:tr w:rsidR="00E507D4" w:rsidRPr="00F271B8" w14:paraId="66BA65E5" w14:textId="77777777" w:rsidTr="00B95821">
        <w:tc>
          <w:tcPr>
            <w:tcW w:w="4770" w:type="dxa"/>
            <w:shd w:val="clear" w:color="auto" w:fill="auto"/>
          </w:tcPr>
          <w:p w14:paraId="078A9777" w14:textId="77777777" w:rsidR="00E507D4" w:rsidRPr="00F271B8" w:rsidRDefault="00E507D4" w:rsidP="00B95821">
            <w:pPr>
              <w:pStyle w:val="BodyText"/>
              <w:spacing w:before="100" w:after="100"/>
              <w:rPr>
                <w:b/>
                <w:bCs/>
              </w:rPr>
            </w:pPr>
            <w:r w:rsidRPr="00F271B8">
              <w:rPr>
                <w:b/>
                <w:bCs/>
              </w:rPr>
              <w:t>National Diversions</w:t>
            </w:r>
          </w:p>
        </w:tc>
        <w:tc>
          <w:tcPr>
            <w:tcW w:w="5153" w:type="dxa"/>
            <w:shd w:val="clear" w:color="auto" w:fill="auto"/>
          </w:tcPr>
          <w:p w14:paraId="6AE177B6" w14:textId="77777777" w:rsidR="00E507D4" w:rsidRPr="00F271B8" w:rsidRDefault="00E507D4" w:rsidP="00B95821">
            <w:pPr>
              <w:pStyle w:val="BodyText"/>
              <w:spacing w:before="100" w:after="100"/>
              <w:jc w:val="center"/>
            </w:pPr>
            <w:r w:rsidRPr="00F271B8">
              <w:t>$0 per minute</w:t>
            </w:r>
          </w:p>
        </w:tc>
      </w:tr>
      <w:tr w:rsidR="00E507D4" w:rsidRPr="00F271B8" w14:paraId="329B91E2" w14:textId="77777777" w:rsidTr="00B95821">
        <w:tc>
          <w:tcPr>
            <w:tcW w:w="4770" w:type="dxa"/>
            <w:shd w:val="clear" w:color="auto" w:fill="auto"/>
          </w:tcPr>
          <w:p w14:paraId="17E3E7DF" w14:textId="77777777" w:rsidR="00E507D4" w:rsidRPr="00F271B8" w:rsidRDefault="00E507D4" w:rsidP="00B95821">
            <w:pPr>
              <w:pStyle w:val="BodyText"/>
              <w:spacing w:before="100" w:after="100"/>
              <w:rPr>
                <w:b/>
                <w:bCs/>
              </w:rPr>
            </w:pPr>
            <w:r w:rsidRPr="00F271B8">
              <w:rPr>
                <w:b/>
                <w:bCs/>
              </w:rPr>
              <w:t xml:space="preserve">International Diversions </w:t>
            </w:r>
          </w:p>
        </w:tc>
        <w:tc>
          <w:tcPr>
            <w:tcW w:w="5153" w:type="dxa"/>
            <w:shd w:val="clear" w:color="auto" w:fill="auto"/>
          </w:tcPr>
          <w:p w14:paraId="1D431C26" w14:textId="77777777" w:rsidR="00E507D4" w:rsidRPr="00F271B8" w:rsidRDefault="00E507D4" w:rsidP="00B95821">
            <w:pPr>
              <w:pStyle w:val="BodyText"/>
              <w:spacing w:before="100" w:after="100"/>
              <w:jc w:val="center"/>
            </w:pPr>
            <w:r>
              <w:t>'</w:t>
            </w:r>
            <w:r w:rsidRPr="00F271B8">
              <w:t>yes</w:t>
            </w:r>
            <w:r>
              <w:t>'</w:t>
            </w:r>
            <w:r w:rsidRPr="00F271B8">
              <w:t xml:space="preserve"> international rates</w:t>
            </w:r>
            <w:r w:rsidRPr="00F271B8">
              <w:br/>
              <w:t>See optus.com.au/international</w:t>
            </w:r>
          </w:p>
        </w:tc>
      </w:tr>
      <w:tr w:rsidR="00E507D4" w:rsidRPr="00F271B8" w14:paraId="1571D3A2" w14:textId="77777777" w:rsidTr="00B95821">
        <w:tc>
          <w:tcPr>
            <w:tcW w:w="4770" w:type="dxa"/>
            <w:shd w:val="clear" w:color="auto" w:fill="auto"/>
          </w:tcPr>
          <w:p w14:paraId="153847CC" w14:textId="77777777" w:rsidR="00E507D4" w:rsidRPr="00F271B8" w:rsidRDefault="00E507D4" w:rsidP="00B95821">
            <w:pPr>
              <w:pStyle w:val="BodyText"/>
              <w:spacing w:before="100" w:after="100"/>
              <w:rPr>
                <w:b/>
                <w:bCs/>
              </w:rPr>
            </w:pPr>
            <w:r w:rsidRPr="00F271B8">
              <w:rPr>
                <w:b/>
                <w:bCs/>
              </w:rPr>
              <w:t xml:space="preserve">1800 numbers </w:t>
            </w:r>
          </w:p>
        </w:tc>
        <w:tc>
          <w:tcPr>
            <w:tcW w:w="5153" w:type="dxa"/>
            <w:shd w:val="clear" w:color="auto" w:fill="auto"/>
            <w:vAlign w:val="center"/>
          </w:tcPr>
          <w:p w14:paraId="2B271588" w14:textId="77777777" w:rsidR="00E507D4" w:rsidRPr="00F271B8" w:rsidRDefault="00E507D4" w:rsidP="00B95821">
            <w:pPr>
              <w:pStyle w:val="BodyText"/>
              <w:spacing w:before="100" w:after="100"/>
              <w:jc w:val="center"/>
            </w:pPr>
            <w:r w:rsidRPr="00F271B8">
              <w:t>$0 per minute</w:t>
            </w:r>
          </w:p>
        </w:tc>
      </w:tr>
      <w:tr w:rsidR="00E507D4" w:rsidRPr="00F271B8" w14:paraId="361CB983" w14:textId="77777777" w:rsidTr="00B95821">
        <w:tc>
          <w:tcPr>
            <w:tcW w:w="4770" w:type="dxa"/>
            <w:shd w:val="clear" w:color="auto" w:fill="auto"/>
          </w:tcPr>
          <w:p w14:paraId="4AD09D6E" w14:textId="77777777" w:rsidR="00E507D4" w:rsidRPr="00F271B8" w:rsidRDefault="00E507D4" w:rsidP="00B95821">
            <w:pPr>
              <w:pStyle w:val="BodyText"/>
              <w:spacing w:before="100" w:after="100"/>
              <w:rPr>
                <w:b/>
                <w:bCs/>
              </w:rPr>
            </w:pPr>
            <w:r w:rsidRPr="00F271B8">
              <w:rPr>
                <w:b/>
                <w:bCs/>
              </w:rPr>
              <w:t xml:space="preserve">Directory Assistance 1223 </w:t>
            </w:r>
          </w:p>
        </w:tc>
        <w:tc>
          <w:tcPr>
            <w:tcW w:w="5153" w:type="dxa"/>
            <w:shd w:val="clear" w:color="auto" w:fill="auto"/>
            <w:vAlign w:val="center"/>
          </w:tcPr>
          <w:p w14:paraId="40346BEA" w14:textId="77777777" w:rsidR="00E507D4" w:rsidRPr="00F271B8" w:rsidRDefault="00E507D4" w:rsidP="00B95821">
            <w:pPr>
              <w:pStyle w:val="BodyText"/>
              <w:spacing w:before="100" w:after="100"/>
              <w:jc w:val="center"/>
            </w:pPr>
            <w:r w:rsidRPr="00F271B8">
              <w:t>50c per call</w:t>
            </w:r>
          </w:p>
        </w:tc>
      </w:tr>
      <w:tr w:rsidR="00E507D4" w:rsidRPr="00F271B8" w14:paraId="1D4D68A3" w14:textId="77777777" w:rsidTr="00B95821">
        <w:tc>
          <w:tcPr>
            <w:tcW w:w="4770" w:type="dxa"/>
            <w:shd w:val="clear" w:color="auto" w:fill="auto"/>
          </w:tcPr>
          <w:p w14:paraId="0705B7B3" w14:textId="77777777" w:rsidR="00E507D4" w:rsidRPr="00F271B8" w:rsidRDefault="00E507D4" w:rsidP="00B95821">
            <w:pPr>
              <w:pStyle w:val="BodyText"/>
              <w:spacing w:before="100" w:after="100"/>
              <w:rPr>
                <w:b/>
                <w:bCs/>
              </w:rPr>
            </w:pPr>
            <w:r w:rsidRPr="00F271B8">
              <w:rPr>
                <w:b/>
                <w:bCs/>
              </w:rPr>
              <w:t>124 Yes</w:t>
            </w:r>
          </w:p>
        </w:tc>
        <w:tc>
          <w:tcPr>
            <w:tcW w:w="5153" w:type="dxa"/>
            <w:shd w:val="clear" w:color="auto" w:fill="auto"/>
            <w:vAlign w:val="center"/>
          </w:tcPr>
          <w:p w14:paraId="01651118" w14:textId="77777777" w:rsidR="00E507D4" w:rsidRPr="00F271B8" w:rsidRDefault="00E507D4" w:rsidP="00B95821">
            <w:pPr>
              <w:pStyle w:val="BodyText"/>
              <w:spacing w:before="100" w:after="100"/>
              <w:jc w:val="center"/>
            </w:pPr>
            <w:r w:rsidRPr="00F271B8">
              <w:t>90c per minute +$1.75c flagfall</w:t>
            </w:r>
          </w:p>
        </w:tc>
      </w:tr>
      <w:tr w:rsidR="00E507D4" w:rsidRPr="00F271B8" w14:paraId="0DF48041" w14:textId="77777777" w:rsidTr="00B95821">
        <w:tc>
          <w:tcPr>
            <w:tcW w:w="4770" w:type="dxa"/>
            <w:shd w:val="clear" w:color="auto" w:fill="auto"/>
          </w:tcPr>
          <w:p w14:paraId="3DB4016B" w14:textId="77777777" w:rsidR="00E507D4" w:rsidRPr="00F271B8" w:rsidRDefault="00E507D4" w:rsidP="00B95821">
            <w:pPr>
              <w:pStyle w:val="BodyText"/>
              <w:spacing w:before="100" w:after="100"/>
              <w:rPr>
                <w:b/>
                <w:bCs/>
              </w:rPr>
            </w:pPr>
            <w:r w:rsidRPr="00F271B8">
              <w:rPr>
                <w:b/>
                <w:bCs/>
              </w:rPr>
              <w:t>International voice calls (outside the plan</w:t>
            </w:r>
            <w:r>
              <w:rPr>
                <w:b/>
                <w:bCs/>
              </w:rPr>
              <w:t>'</w:t>
            </w:r>
            <w:r w:rsidRPr="00F271B8">
              <w:rPr>
                <w:b/>
                <w:bCs/>
              </w:rPr>
              <w:t xml:space="preserve">s included international minutes and to excluded countries) </w:t>
            </w:r>
          </w:p>
        </w:tc>
        <w:tc>
          <w:tcPr>
            <w:tcW w:w="5153" w:type="dxa"/>
            <w:shd w:val="clear" w:color="auto" w:fill="auto"/>
            <w:vAlign w:val="center"/>
          </w:tcPr>
          <w:p w14:paraId="3DA740CC" w14:textId="77777777" w:rsidR="00E507D4" w:rsidRPr="00F271B8" w:rsidRDefault="00E507D4" w:rsidP="00B95821">
            <w:pPr>
              <w:pStyle w:val="BodyText"/>
              <w:spacing w:before="100" w:after="100"/>
              <w:jc w:val="center"/>
            </w:pPr>
            <w:r>
              <w:t>'</w:t>
            </w:r>
            <w:r w:rsidRPr="00F271B8">
              <w:t>yes</w:t>
            </w:r>
            <w:r>
              <w:t>'</w:t>
            </w:r>
            <w:r w:rsidRPr="00F271B8">
              <w:t xml:space="preserve"> international rates</w:t>
            </w:r>
          </w:p>
          <w:p w14:paraId="546DA8E0" w14:textId="77777777" w:rsidR="00E507D4" w:rsidRPr="00F271B8" w:rsidRDefault="00E507D4" w:rsidP="00B95821">
            <w:pPr>
              <w:pStyle w:val="BodyText"/>
              <w:spacing w:before="100" w:after="100"/>
              <w:jc w:val="center"/>
            </w:pPr>
            <w:r w:rsidRPr="00F271B8">
              <w:t>See optus.com.au/international</w:t>
            </w:r>
          </w:p>
        </w:tc>
      </w:tr>
      <w:tr w:rsidR="00E507D4" w:rsidRPr="00F271B8" w14:paraId="5E29F707" w14:textId="77777777" w:rsidTr="00B95821">
        <w:tc>
          <w:tcPr>
            <w:tcW w:w="4770" w:type="dxa"/>
            <w:shd w:val="clear" w:color="auto" w:fill="auto"/>
          </w:tcPr>
          <w:p w14:paraId="77E90026" w14:textId="77777777" w:rsidR="00E507D4" w:rsidRPr="00F271B8" w:rsidRDefault="00E507D4" w:rsidP="00B95821">
            <w:pPr>
              <w:pStyle w:val="BodyText"/>
              <w:spacing w:before="100" w:after="100"/>
              <w:rPr>
                <w:b/>
                <w:bCs/>
              </w:rPr>
            </w:pPr>
            <w:r w:rsidRPr="00F271B8">
              <w:rPr>
                <w:b/>
                <w:bCs/>
              </w:rPr>
              <w:t xml:space="preserve">International SMS (to excluded countries) </w:t>
            </w:r>
          </w:p>
        </w:tc>
        <w:tc>
          <w:tcPr>
            <w:tcW w:w="5153" w:type="dxa"/>
            <w:shd w:val="clear" w:color="auto" w:fill="auto"/>
            <w:vAlign w:val="center"/>
          </w:tcPr>
          <w:p w14:paraId="40B79708" w14:textId="77777777" w:rsidR="00E507D4" w:rsidRPr="00F271B8" w:rsidRDefault="00E507D4" w:rsidP="00B95821">
            <w:pPr>
              <w:pStyle w:val="BodyText"/>
              <w:spacing w:before="100" w:after="100"/>
              <w:jc w:val="center"/>
            </w:pPr>
            <w:r w:rsidRPr="00F271B8">
              <w:t>50c per SMS up to 160 standard characters</w:t>
            </w:r>
          </w:p>
        </w:tc>
      </w:tr>
      <w:tr w:rsidR="00E507D4" w:rsidRPr="00F271B8" w14:paraId="0148E3B3" w14:textId="77777777" w:rsidTr="00B95821">
        <w:tc>
          <w:tcPr>
            <w:tcW w:w="4770" w:type="dxa"/>
            <w:shd w:val="clear" w:color="auto" w:fill="auto"/>
          </w:tcPr>
          <w:p w14:paraId="0AF6C1AE" w14:textId="77777777" w:rsidR="00E507D4" w:rsidRPr="00F271B8" w:rsidRDefault="00E507D4" w:rsidP="00B95821">
            <w:pPr>
              <w:pStyle w:val="BodyText"/>
              <w:spacing w:before="100" w:after="100"/>
              <w:rPr>
                <w:b/>
                <w:bCs/>
              </w:rPr>
            </w:pPr>
            <w:r w:rsidRPr="00F271B8">
              <w:rPr>
                <w:b/>
                <w:bCs/>
              </w:rPr>
              <w:t>International MMS (to excluded countries)</w:t>
            </w:r>
          </w:p>
        </w:tc>
        <w:tc>
          <w:tcPr>
            <w:tcW w:w="5153" w:type="dxa"/>
            <w:shd w:val="clear" w:color="auto" w:fill="auto"/>
            <w:vAlign w:val="center"/>
          </w:tcPr>
          <w:p w14:paraId="3770E689" w14:textId="77777777" w:rsidR="00E507D4" w:rsidRPr="00F271B8" w:rsidRDefault="00E507D4" w:rsidP="00B95821">
            <w:pPr>
              <w:pStyle w:val="BodyText"/>
              <w:spacing w:before="100" w:after="100"/>
              <w:jc w:val="center"/>
            </w:pPr>
            <w:r w:rsidRPr="00F271B8">
              <w:t>75c per MMS</w:t>
            </w:r>
          </w:p>
        </w:tc>
      </w:tr>
      <w:tr w:rsidR="00E507D4" w:rsidRPr="00F271B8" w14:paraId="18FA04E0" w14:textId="77777777" w:rsidTr="00B95821">
        <w:tc>
          <w:tcPr>
            <w:tcW w:w="4770" w:type="dxa"/>
            <w:shd w:val="clear" w:color="auto" w:fill="auto"/>
          </w:tcPr>
          <w:p w14:paraId="6453F9E8" w14:textId="77777777" w:rsidR="00E507D4" w:rsidRPr="00F271B8" w:rsidRDefault="00E507D4" w:rsidP="00B95821">
            <w:pPr>
              <w:pStyle w:val="BodyText"/>
              <w:spacing w:before="100" w:after="100"/>
              <w:rPr>
                <w:b/>
                <w:bCs/>
              </w:rPr>
            </w:pPr>
            <w:r w:rsidRPr="00F271B8">
              <w:rPr>
                <w:b/>
                <w:bCs/>
              </w:rPr>
              <w:t xml:space="preserve">International video calling </w:t>
            </w:r>
          </w:p>
        </w:tc>
        <w:tc>
          <w:tcPr>
            <w:tcW w:w="5153" w:type="dxa"/>
            <w:shd w:val="clear" w:color="auto" w:fill="auto"/>
            <w:vAlign w:val="center"/>
          </w:tcPr>
          <w:p w14:paraId="04A715BF" w14:textId="77777777" w:rsidR="00E507D4" w:rsidRPr="00F271B8" w:rsidRDefault="00E507D4" w:rsidP="00B95821">
            <w:pPr>
              <w:pStyle w:val="BodyText"/>
              <w:spacing w:before="100" w:after="100"/>
              <w:jc w:val="center"/>
            </w:pPr>
            <w:r w:rsidRPr="00F271B8">
              <w:t>$1.50 per minute +35c flagfall</w:t>
            </w:r>
          </w:p>
        </w:tc>
      </w:tr>
      <w:tr w:rsidR="00E507D4" w:rsidRPr="00F271B8" w14:paraId="6165C4F1" w14:textId="77777777" w:rsidTr="00B95821">
        <w:tc>
          <w:tcPr>
            <w:tcW w:w="4770" w:type="dxa"/>
            <w:shd w:val="clear" w:color="auto" w:fill="auto"/>
          </w:tcPr>
          <w:p w14:paraId="4A99B99A" w14:textId="77777777" w:rsidR="00E507D4" w:rsidRPr="00F271B8" w:rsidRDefault="00E507D4" w:rsidP="00B95821">
            <w:pPr>
              <w:pStyle w:val="BodyText"/>
              <w:spacing w:before="100" w:after="100"/>
              <w:rPr>
                <w:b/>
                <w:bCs/>
              </w:rPr>
            </w:pPr>
            <w:r w:rsidRPr="00F271B8">
              <w:rPr>
                <w:b/>
                <w:bCs/>
              </w:rPr>
              <w:t xml:space="preserve">International roaming </w:t>
            </w:r>
          </w:p>
        </w:tc>
        <w:tc>
          <w:tcPr>
            <w:tcW w:w="5153" w:type="dxa"/>
            <w:shd w:val="clear" w:color="auto" w:fill="auto"/>
            <w:vAlign w:val="center"/>
          </w:tcPr>
          <w:p w14:paraId="06721394" w14:textId="77777777" w:rsidR="00E507D4" w:rsidRPr="00F271B8" w:rsidRDefault="00E507D4" w:rsidP="00B95821">
            <w:pPr>
              <w:pStyle w:val="BodyText"/>
              <w:spacing w:before="100" w:after="100"/>
              <w:jc w:val="center"/>
            </w:pPr>
            <w:r w:rsidRPr="00F271B8">
              <w:t>See optus.com.au/roaming</w:t>
            </w:r>
          </w:p>
        </w:tc>
      </w:tr>
    </w:tbl>
    <w:p w14:paraId="184149E3" w14:textId="77777777" w:rsidR="00E507D4" w:rsidRPr="00F271B8" w:rsidRDefault="00E507D4" w:rsidP="00E507D4">
      <w:pPr>
        <w:pStyle w:val="BodyText"/>
        <w:spacing w:before="240" w:after="120"/>
        <w:rPr>
          <w:b/>
        </w:rPr>
      </w:pPr>
      <w:r>
        <w:rPr>
          <w:b/>
        </w:rPr>
        <w:t>Table 3</w:t>
      </w:r>
      <w:r w:rsidRPr="00F271B8">
        <w:rPr>
          <w:b/>
        </w:rPr>
        <w:t xml:space="preserve"> – International Countries</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5"/>
        <w:gridCol w:w="2385"/>
        <w:gridCol w:w="2385"/>
        <w:gridCol w:w="2385"/>
      </w:tblGrid>
      <w:tr w:rsidR="00E507D4" w:rsidRPr="00F271B8" w14:paraId="2A1AEFA8" w14:textId="77777777" w:rsidTr="00B95821">
        <w:tc>
          <w:tcPr>
            <w:tcW w:w="2385" w:type="dxa"/>
            <w:shd w:val="clear" w:color="auto" w:fill="auto"/>
          </w:tcPr>
          <w:p w14:paraId="1BBC585E" w14:textId="77777777" w:rsidR="00E507D4" w:rsidRPr="00F271B8" w:rsidRDefault="00E507D4" w:rsidP="00B95821">
            <w:pPr>
              <w:pStyle w:val="BodyText"/>
              <w:spacing w:before="100" w:after="100"/>
              <w:rPr>
                <w:b/>
              </w:rPr>
            </w:pPr>
            <w:r w:rsidRPr="00304BEC">
              <w:rPr>
                <w:rFonts w:eastAsia="Calibri" w:cs="Arial"/>
              </w:rPr>
              <w:t>China</w:t>
            </w:r>
          </w:p>
        </w:tc>
        <w:tc>
          <w:tcPr>
            <w:tcW w:w="2385" w:type="dxa"/>
            <w:shd w:val="clear" w:color="auto" w:fill="auto"/>
          </w:tcPr>
          <w:p w14:paraId="2396CBE4" w14:textId="77777777" w:rsidR="00E507D4" w:rsidRPr="00F271B8" w:rsidRDefault="00E507D4" w:rsidP="00B95821">
            <w:pPr>
              <w:pStyle w:val="BodyText"/>
              <w:spacing w:before="100" w:after="100"/>
              <w:rPr>
                <w:b/>
              </w:rPr>
            </w:pPr>
            <w:r w:rsidRPr="00304BEC">
              <w:rPr>
                <w:rFonts w:eastAsia="Calibri" w:cs="Arial"/>
              </w:rPr>
              <w:t>Indonesia</w:t>
            </w:r>
          </w:p>
        </w:tc>
        <w:tc>
          <w:tcPr>
            <w:tcW w:w="2385" w:type="dxa"/>
            <w:shd w:val="clear" w:color="auto" w:fill="auto"/>
          </w:tcPr>
          <w:p w14:paraId="6B18B714" w14:textId="77777777" w:rsidR="00E507D4" w:rsidRPr="00F271B8" w:rsidRDefault="00E507D4" w:rsidP="00B95821">
            <w:pPr>
              <w:pStyle w:val="BodyText"/>
              <w:spacing w:before="100" w:after="100"/>
              <w:rPr>
                <w:b/>
              </w:rPr>
            </w:pPr>
            <w:r w:rsidRPr="00304BEC">
              <w:rPr>
                <w:rFonts w:eastAsia="Calibri" w:cs="Arial"/>
              </w:rPr>
              <w:t>India</w:t>
            </w:r>
          </w:p>
        </w:tc>
        <w:tc>
          <w:tcPr>
            <w:tcW w:w="2385" w:type="dxa"/>
            <w:shd w:val="clear" w:color="auto" w:fill="auto"/>
          </w:tcPr>
          <w:p w14:paraId="2E345E85" w14:textId="77777777" w:rsidR="00E507D4" w:rsidRPr="00F271B8" w:rsidRDefault="00E507D4" w:rsidP="00B95821">
            <w:pPr>
              <w:pStyle w:val="BodyText"/>
              <w:spacing w:before="100" w:after="100"/>
              <w:rPr>
                <w:b/>
              </w:rPr>
            </w:pPr>
            <w:r w:rsidRPr="00304BEC">
              <w:rPr>
                <w:rFonts w:eastAsia="Calibri" w:cs="Arial"/>
              </w:rPr>
              <w:t>Malaysia</w:t>
            </w:r>
          </w:p>
        </w:tc>
      </w:tr>
      <w:tr w:rsidR="00E507D4" w:rsidRPr="00F271B8" w14:paraId="4E5D0A2A" w14:textId="77777777" w:rsidTr="00B95821">
        <w:tc>
          <w:tcPr>
            <w:tcW w:w="2385" w:type="dxa"/>
            <w:shd w:val="clear" w:color="auto" w:fill="auto"/>
          </w:tcPr>
          <w:p w14:paraId="6668C39D" w14:textId="77777777" w:rsidR="00E507D4" w:rsidRPr="00F271B8" w:rsidRDefault="00E507D4" w:rsidP="00B95821">
            <w:pPr>
              <w:pStyle w:val="BodyText"/>
              <w:spacing w:before="100" w:after="100"/>
              <w:rPr>
                <w:b/>
              </w:rPr>
            </w:pPr>
            <w:r w:rsidRPr="00304BEC">
              <w:rPr>
                <w:rFonts w:eastAsia="Calibri" w:cs="Arial"/>
              </w:rPr>
              <w:t>New Zealand</w:t>
            </w:r>
          </w:p>
        </w:tc>
        <w:tc>
          <w:tcPr>
            <w:tcW w:w="2385" w:type="dxa"/>
            <w:shd w:val="clear" w:color="auto" w:fill="auto"/>
          </w:tcPr>
          <w:p w14:paraId="5C255818" w14:textId="77777777" w:rsidR="00E507D4" w:rsidRPr="00F271B8" w:rsidRDefault="00E507D4" w:rsidP="00B95821">
            <w:pPr>
              <w:pStyle w:val="BodyText"/>
              <w:spacing w:before="100" w:after="100"/>
              <w:rPr>
                <w:b/>
              </w:rPr>
            </w:pPr>
            <w:r w:rsidRPr="00304BEC">
              <w:rPr>
                <w:rFonts w:eastAsia="Calibri" w:cs="Arial"/>
              </w:rPr>
              <w:t>Singapore</w:t>
            </w:r>
          </w:p>
        </w:tc>
        <w:tc>
          <w:tcPr>
            <w:tcW w:w="2385" w:type="dxa"/>
            <w:shd w:val="clear" w:color="auto" w:fill="auto"/>
          </w:tcPr>
          <w:p w14:paraId="1FB16670" w14:textId="77777777" w:rsidR="00E507D4" w:rsidRPr="00F271B8" w:rsidRDefault="00E507D4" w:rsidP="00B95821">
            <w:pPr>
              <w:pStyle w:val="BodyText"/>
              <w:spacing w:before="100" w:after="100"/>
              <w:rPr>
                <w:b/>
              </w:rPr>
            </w:pPr>
            <w:r w:rsidRPr="00304BEC">
              <w:rPr>
                <w:rFonts w:eastAsia="Calibri" w:cs="Arial"/>
              </w:rPr>
              <w:t>South Africa</w:t>
            </w:r>
          </w:p>
        </w:tc>
        <w:tc>
          <w:tcPr>
            <w:tcW w:w="2385" w:type="dxa"/>
            <w:shd w:val="clear" w:color="auto" w:fill="auto"/>
          </w:tcPr>
          <w:p w14:paraId="73B3A8BB" w14:textId="77777777" w:rsidR="00E507D4" w:rsidRPr="00F271B8" w:rsidRDefault="00E507D4" w:rsidP="00B95821">
            <w:pPr>
              <w:pStyle w:val="BodyText"/>
              <w:spacing w:before="100" w:after="100"/>
              <w:rPr>
                <w:b/>
              </w:rPr>
            </w:pPr>
            <w:r w:rsidRPr="00304BEC">
              <w:rPr>
                <w:rFonts w:eastAsia="Calibri" w:cs="Arial"/>
              </w:rPr>
              <w:t>UK</w:t>
            </w:r>
          </w:p>
        </w:tc>
      </w:tr>
      <w:tr w:rsidR="00E507D4" w:rsidRPr="00F271B8" w14:paraId="4EC673F9" w14:textId="77777777" w:rsidTr="00B95821">
        <w:tc>
          <w:tcPr>
            <w:tcW w:w="2385" w:type="dxa"/>
            <w:shd w:val="clear" w:color="auto" w:fill="auto"/>
          </w:tcPr>
          <w:p w14:paraId="625BCD64" w14:textId="77777777" w:rsidR="00E507D4" w:rsidRPr="00F271B8" w:rsidRDefault="00E507D4" w:rsidP="00B95821">
            <w:pPr>
              <w:pStyle w:val="BodyText"/>
              <w:spacing w:before="100" w:after="100"/>
              <w:rPr>
                <w:b/>
              </w:rPr>
            </w:pPr>
            <w:r w:rsidRPr="00304BEC">
              <w:rPr>
                <w:rFonts w:eastAsia="Calibri" w:cs="Arial"/>
              </w:rPr>
              <w:t xml:space="preserve">USA </w:t>
            </w:r>
          </w:p>
        </w:tc>
        <w:tc>
          <w:tcPr>
            <w:tcW w:w="2385" w:type="dxa"/>
            <w:shd w:val="clear" w:color="auto" w:fill="auto"/>
          </w:tcPr>
          <w:p w14:paraId="76E350E3" w14:textId="77777777" w:rsidR="00E507D4" w:rsidRPr="00F271B8" w:rsidRDefault="00E507D4" w:rsidP="00B95821">
            <w:pPr>
              <w:pStyle w:val="BodyText"/>
              <w:spacing w:before="100" w:after="100"/>
              <w:rPr>
                <w:b/>
              </w:rPr>
            </w:pPr>
            <w:r w:rsidRPr="00304BEC">
              <w:rPr>
                <w:rFonts w:eastAsia="Calibri" w:cs="Arial"/>
              </w:rPr>
              <w:t>Vietnam</w:t>
            </w:r>
          </w:p>
        </w:tc>
        <w:tc>
          <w:tcPr>
            <w:tcW w:w="2385" w:type="dxa"/>
            <w:shd w:val="clear" w:color="auto" w:fill="auto"/>
          </w:tcPr>
          <w:p w14:paraId="09A31352" w14:textId="77777777" w:rsidR="00E507D4" w:rsidRPr="003F3929" w:rsidRDefault="00E507D4" w:rsidP="00B95821">
            <w:pPr>
              <w:pStyle w:val="BodyText"/>
              <w:spacing w:before="100" w:after="100"/>
              <w:rPr>
                <w:rFonts w:cs="Arial"/>
                <w:b/>
              </w:rPr>
            </w:pPr>
            <w:r w:rsidRPr="003F3929">
              <w:rPr>
                <w:rFonts w:cs="Arial"/>
                <w:color w:val="000000"/>
                <w:lang w:val="en-AU" w:eastAsia="en-AU"/>
              </w:rPr>
              <w:t>Canada</w:t>
            </w:r>
          </w:p>
        </w:tc>
        <w:tc>
          <w:tcPr>
            <w:tcW w:w="2385" w:type="dxa"/>
            <w:shd w:val="clear" w:color="auto" w:fill="auto"/>
          </w:tcPr>
          <w:p w14:paraId="5028F832" w14:textId="77777777" w:rsidR="00E507D4" w:rsidRPr="003F3929" w:rsidRDefault="00E507D4" w:rsidP="00B95821">
            <w:pPr>
              <w:pStyle w:val="BodyText"/>
              <w:spacing w:before="100" w:after="100"/>
              <w:rPr>
                <w:rFonts w:cs="Arial"/>
                <w:b/>
              </w:rPr>
            </w:pPr>
            <w:r w:rsidRPr="003F3929">
              <w:rPr>
                <w:rFonts w:cs="Arial"/>
                <w:color w:val="000000"/>
                <w:lang w:val="en-AU" w:eastAsia="en-AU"/>
              </w:rPr>
              <w:t>Hong Kong</w:t>
            </w:r>
          </w:p>
        </w:tc>
      </w:tr>
      <w:tr w:rsidR="00E507D4" w:rsidRPr="00F271B8" w14:paraId="642C3BF8" w14:textId="77777777" w:rsidTr="00B95821">
        <w:tc>
          <w:tcPr>
            <w:tcW w:w="2385" w:type="dxa"/>
            <w:shd w:val="clear" w:color="auto" w:fill="auto"/>
          </w:tcPr>
          <w:p w14:paraId="2E5C012F" w14:textId="77777777" w:rsidR="00E507D4" w:rsidRPr="003F3929" w:rsidRDefault="00E507D4" w:rsidP="00B95821">
            <w:pPr>
              <w:pStyle w:val="BodyText"/>
              <w:spacing w:before="100" w:after="100"/>
              <w:rPr>
                <w:rFonts w:eastAsia="Calibri" w:cs="Arial"/>
              </w:rPr>
            </w:pPr>
            <w:r w:rsidRPr="003F3929">
              <w:rPr>
                <w:rFonts w:cs="Arial"/>
                <w:color w:val="000000"/>
                <w:lang w:val="en-AU" w:eastAsia="en-AU"/>
              </w:rPr>
              <w:t xml:space="preserve">South Korea </w:t>
            </w:r>
          </w:p>
        </w:tc>
        <w:tc>
          <w:tcPr>
            <w:tcW w:w="2385" w:type="dxa"/>
            <w:shd w:val="clear" w:color="auto" w:fill="auto"/>
          </w:tcPr>
          <w:p w14:paraId="1AA626DE" w14:textId="77777777" w:rsidR="00E507D4" w:rsidRPr="003F3929" w:rsidRDefault="00E507D4" w:rsidP="00B95821">
            <w:pPr>
              <w:pStyle w:val="BodyText"/>
              <w:spacing w:before="100" w:after="100"/>
              <w:rPr>
                <w:rFonts w:eastAsia="Calibri" w:cs="Arial"/>
              </w:rPr>
            </w:pPr>
            <w:r w:rsidRPr="003F3929">
              <w:rPr>
                <w:rFonts w:cs="Arial"/>
                <w:color w:val="000000"/>
                <w:lang w:val="en-AU" w:eastAsia="en-AU"/>
              </w:rPr>
              <w:t>Thailand</w:t>
            </w:r>
          </w:p>
        </w:tc>
        <w:tc>
          <w:tcPr>
            <w:tcW w:w="2385" w:type="dxa"/>
            <w:shd w:val="clear" w:color="auto" w:fill="auto"/>
          </w:tcPr>
          <w:p w14:paraId="732DCE5D" w14:textId="77777777" w:rsidR="00E507D4" w:rsidRDefault="00E507D4" w:rsidP="00B95821">
            <w:pPr>
              <w:pStyle w:val="BodyText"/>
              <w:spacing w:before="100" w:after="100"/>
              <w:rPr>
                <w:rFonts w:ascii="Segoe UI" w:hAnsi="Segoe UI" w:cs="Segoe UI"/>
                <w:color w:val="000000"/>
                <w:lang w:val="en-AU" w:eastAsia="en-AU"/>
              </w:rPr>
            </w:pPr>
          </w:p>
        </w:tc>
        <w:tc>
          <w:tcPr>
            <w:tcW w:w="2385" w:type="dxa"/>
            <w:shd w:val="clear" w:color="auto" w:fill="auto"/>
          </w:tcPr>
          <w:p w14:paraId="3F52BD12" w14:textId="77777777" w:rsidR="00E507D4" w:rsidRDefault="00E507D4" w:rsidP="00B95821">
            <w:pPr>
              <w:pStyle w:val="BodyText"/>
              <w:spacing w:before="100" w:after="100"/>
              <w:rPr>
                <w:rFonts w:ascii="Segoe UI" w:hAnsi="Segoe UI" w:cs="Segoe UI"/>
                <w:color w:val="000000"/>
                <w:lang w:val="en-AU" w:eastAsia="en-AU"/>
              </w:rPr>
            </w:pPr>
          </w:p>
        </w:tc>
      </w:tr>
    </w:tbl>
    <w:p w14:paraId="10059088" w14:textId="77777777" w:rsidR="00E507D4" w:rsidRPr="00F271B8" w:rsidRDefault="00E507D4" w:rsidP="00E507D4">
      <w:pPr>
        <w:pStyle w:val="Heading6"/>
        <w:spacing w:before="240"/>
        <w:ind w:left="0" w:firstLine="0"/>
        <w:rPr>
          <w:lang w:val="en-AU"/>
        </w:rPr>
      </w:pPr>
      <w:bookmarkStart w:id="2101" w:name="_Toc508361953"/>
      <w:r w:rsidRPr="00F271B8">
        <w:rPr>
          <w:lang w:val="en-AU"/>
        </w:rPr>
        <w:t>My Account</w:t>
      </w:r>
      <w:bookmarkEnd w:id="2101"/>
    </w:p>
    <w:p w14:paraId="4086796A" w14:textId="77777777" w:rsidR="00E507D4" w:rsidRPr="00F271B8" w:rsidRDefault="00E507D4" w:rsidP="00E507D4">
      <w:pPr>
        <w:pStyle w:val="BodyText"/>
        <w:ind w:left="720"/>
        <w:rPr>
          <w:lang w:val="en-AU"/>
        </w:rPr>
      </w:pPr>
      <w:r w:rsidRPr="00F271B8">
        <w:rPr>
          <w:lang w:val="en-AU"/>
        </w:rPr>
        <w:t xml:space="preserve">Services that share data may have a service login to My Account which will display all of the service numbers contributing to or using the shared data pool on </w:t>
      </w:r>
      <w:r w:rsidRPr="00F271B8">
        <w:rPr>
          <w:i/>
          <w:lang w:val="en-AU"/>
        </w:rPr>
        <w:t xml:space="preserve">your </w:t>
      </w:r>
      <w:r w:rsidRPr="00F271B8">
        <w:rPr>
          <w:lang w:val="en-AU"/>
        </w:rPr>
        <w:t>account and the amount of data each service has used</w:t>
      </w:r>
      <w:r>
        <w:rPr>
          <w:lang w:val="en-AU"/>
        </w:rPr>
        <w:t xml:space="preserve">. </w:t>
      </w:r>
      <w:r w:rsidRPr="00F271B8">
        <w:rPr>
          <w:lang w:val="en-AU"/>
        </w:rPr>
        <w:t xml:space="preserve">If </w:t>
      </w:r>
      <w:r w:rsidRPr="00F271B8">
        <w:rPr>
          <w:i/>
          <w:lang w:val="en-AU"/>
        </w:rPr>
        <w:t>you</w:t>
      </w:r>
      <w:r w:rsidRPr="00F271B8">
        <w:rPr>
          <w:lang w:val="en-AU"/>
        </w:rPr>
        <w:t xml:space="preserve"> have more than 6 services on </w:t>
      </w:r>
      <w:r w:rsidRPr="00F271B8">
        <w:rPr>
          <w:i/>
          <w:lang w:val="en-AU"/>
        </w:rPr>
        <w:t>your</w:t>
      </w:r>
      <w:r w:rsidRPr="00F271B8">
        <w:rPr>
          <w:lang w:val="en-AU"/>
        </w:rPr>
        <w:t xml:space="preserve"> account, My Account may not be suitable for viewing usage and managing </w:t>
      </w:r>
      <w:r w:rsidRPr="00F271B8">
        <w:rPr>
          <w:i/>
          <w:lang w:val="en-AU"/>
        </w:rPr>
        <w:t xml:space="preserve">your </w:t>
      </w:r>
      <w:r w:rsidRPr="00F271B8">
        <w:rPr>
          <w:lang w:val="en-AU"/>
        </w:rPr>
        <w:t>usage alerts.</w:t>
      </w:r>
    </w:p>
    <w:p w14:paraId="01ECA058" w14:textId="77777777" w:rsidR="00E507D4" w:rsidRPr="00F271B8" w:rsidRDefault="00E507D4" w:rsidP="00E507D4">
      <w:pPr>
        <w:pStyle w:val="Heading6"/>
        <w:ind w:left="0" w:firstLine="0"/>
        <w:rPr>
          <w:lang w:val="en-AU"/>
        </w:rPr>
      </w:pPr>
      <w:bookmarkStart w:id="2102" w:name="_Toc508361954"/>
      <w:r w:rsidRPr="00F271B8">
        <w:rPr>
          <w:lang w:val="en-AU"/>
        </w:rPr>
        <w:t xml:space="preserve">What happens if the </w:t>
      </w:r>
      <w:r w:rsidRPr="00F271B8">
        <w:rPr>
          <w:i/>
          <w:lang w:val="en-AU"/>
        </w:rPr>
        <w:t xml:space="preserve">service </w:t>
      </w:r>
      <w:r w:rsidRPr="00F271B8">
        <w:rPr>
          <w:lang w:val="en-AU"/>
        </w:rPr>
        <w:t>is</w:t>
      </w:r>
      <w:r w:rsidRPr="00F271B8">
        <w:rPr>
          <w:i/>
          <w:lang w:val="en-AU"/>
        </w:rPr>
        <w:t xml:space="preserve"> cancelled </w:t>
      </w:r>
      <w:r w:rsidRPr="00F271B8">
        <w:rPr>
          <w:lang w:val="en-AU"/>
        </w:rPr>
        <w:t>early?</w:t>
      </w:r>
      <w:bookmarkEnd w:id="2102"/>
      <w:r w:rsidRPr="00F271B8">
        <w:rPr>
          <w:lang w:val="en-AU"/>
        </w:rPr>
        <w:t xml:space="preserve"> </w:t>
      </w:r>
    </w:p>
    <w:p w14:paraId="6DCFF25C" w14:textId="77777777" w:rsidR="00E507D4" w:rsidRDefault="00E507D4" w:rsidP="00E507D4">
      <w:pPr>
        <w:ind w:left="720"/>
        <w:rPr>
          <w:rFonts w:cs="Arial"/>
          <w:sz w:val="20"/>
          <w:szCs w:val="20"/>
        </w:rPr>
      </w:pPr>
      <w:r w:rsidRPr="0057204B">
        <w:rPr>
          <w:rFonts w:cs="Arial"/>
          <w:sz w:val="20"/>
          <w:szCs w:val="20"/>
        </w:rPr>
        <w:t>If your service is cancelled before the end of your minimum term, there are no plan cancellation fees. You will simply need to pay out the sum of unpaid equipment charges owing on your mobile phone under the mobile equipment payment plan (if any).  Note any handset credit you were entitled to will be forfeited (see clause 3.12 above).</w:t>
      </w:r>
    </w:p>
    <w:p w14:paraId="5D919B93" w14:textId="77777777" w:rsidR="00E507D4" w:rsidRDefault="00E507D4" w:rsidP="00E507D4">
      <w:pPr>
        <w:ind w:left="720"/>
        <w:rPr>
          <w:lang w:val="en-AU"/>
        </w:rPr>
      </w:pPr>
    </w:p>
    <w:p w14:paraId="360A3364" w14:textId="77777777" w:rsidR="00E507D4" w:rsidRPr="00F271B8" w:rsidRDefault="00E507D4" w:rsidP="00E507D4">
      <w:pPr>
        <w:pStyle w:val="Heading4"/>
        <w:rPr>
          <w:lang w:val="en-AU"/>
        </w:rPr>
      </w:pPr>
      <w:bookmarkStart w:id="2103" w:name="_Toc508361955"/>
      <w:bookmarkStart w:id="2104" w:name="_Toc62644707"/>
      <w:r>
        <w:rPr>
          <w:lang w:val="en-AU"/>
        </w:rPr>
        <w:lastRenderedPageBreak/>
        <w:t xml:space="preserve">$90 </w:t>
      </w:r>
      <w:r w:rsidRPr="00F271B8">
        <w:rPr>
          <w:lang w:val="en-AU"/>
        </w:rPr>
        <w:t>My Plan Business</w:t>
      </w:r>
      <w:r>
        <w:rPr>
          <w:lang w:val="en-AU"/>
        </w:rPr>
        <w:t xml:space="preserve"> Tech Fund</w:t>
      </w:r>
      <w:r w:rsidRPr="00F271B8">
        <w:rPr>
          <w:lang w:val="en-AU"/>
        </w:rPr>
        <w:t xml:space="preserve"> – (</w:t>
      </w:r>
      <w:r>
        <w:rPr>
          <w:lang w:val="en-AU"/>
        </w:rPr>
        <w:t xml:space="preserve">Bonus Data </w:t>
      </w:r>
      <w:r w:rsidRPr="00F271B8">
        <w:rPr>
          <w:lang w:val="en-AU"/>
        </w:rPr>
        <w:t>Promotional)</w:t>
      </w:r>
      <w:bookmarkEnd w:id="2103"/>
      <w:bookmarkEnd w:id="2104"/>
    </w:p>
    <w:p w14:paraId="406246C4" w14:textId="77777777" w:rsidR="00E507D4" w:rsidRPr="00F271B8" w:rsidRDefault="00E507D4" w:rsidP="00E507D4">
      <w:pPr>
        <w:pStyle w:val="BodyText"/>
        <w:ind w:left="720"/>
        <w:rPr>
          <w:lang w:val="en-AU"/>
        </w:rPr>
      </w:pPr>
      <w:r w:rsidRPr="00F271B8">
        <w:rPr>
          <w:lang w:val="en-AU"/>
        </w:rPr>
        <w:t>This section relates to the following plans</w:t>
      </w:r>
      <w:r>
        <w:rPr>
          <w:lang w:val="en-AU"/>
        </w:rPr>
        <w:t xml:space="preserve">. </w:t>
      </w:r>
      <w:r w:rsidRPr="00F271B8">
        <w:rPr>
          <w:i/>
          <w:lang w:val="en-AU"/>
        </w:rPr>
        <w:t>You</w:t>
      </w:r>
      <w:r w:rsidRPr="00F271B8">
        <w:rPr>
          <w:lang w:val="en-AU"/>
        </w:rPr>
        <w:t xml:space="preserve"> can find </w:t>
      </w:r>
      <w:r w:rsidRPr="00F271B8">
        <w:rPr>
          <w:i/>
          <w:lang w:val="en-AU"/>
        </w:rPr>
        <w:t>your</w:t>
      </w:r>
      <w:r w:rsidRPr="00F271B8">
        <w:rPr>
          <w:lang w:val="en-AU"/>
        </w:rPr>
        <w:t xml:space="preserve"> Plan ID on </w:t>
      </w:r>
      <w:r w:rsidRPr="00F271B8">
        <w:rPr>
          <w:i/>
          <w:lang w:val="en-AU"/>
        </w:rPr>
        <w:t>your</w:t>
      </w:r>
      <w:r w:rsidRPr="00F271B8">
        <w:rPr>
          <w:lang w:val="en-AU"/>
        </w:rPr>
        <w:t xml:space="preserve"> bill under the Mobile Number Summary section: </w:t>
      </w:r>
    </w:p>
    <w:tbl>
      <w:tblPr>
        <w:tblW w:w="954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5"/>
        <w:gridCol w:w="2307"/>
        <w:gridCol w:w="3558"/>
      </w:tblGrid>
      <w:tr w:rsidR="00E507D4" w:rsidRPr="00F271B8" w14:paraId="49232079" w14:textId="77777777" w:rsidTr="00B95821">
        <w:tc>
          <w:tcPr>
            <w:tcW w:w="3675" w:type="dxa"/>
            <w:shd w:val="clear" w:color="auto" w:fill="auto"/>
          </w:tcPr>
          <w:p w14:paraId="154192F7" w14:textId="77777777" w:rsidR="00E507D4" w:rsidRPr="00F271B8" w:rsidRDefault="00E507D4" w:rsidP="00B95821">
            <w:pPr>
              <w:pStyle w:val="BodyText"/>
              <w:spacing w:before="100" w:after="100"/>
              <w:jc w:val="center"/>
              <w:rPr>
                <w:b/>
                <w:lang w:val="en-AU"/>
              </w:rPr>
            </w:pPr>
            <w:r w:rsidRPr="00F271B8">
              <w:rPr>
                <w:b/>
                <w:lang w:val="en-AU"/>
              </w:rPr>
              <w:t>Plan</w:t>
            </w:r>
          </w:p>
        </w:tc>
        <w:tc>
          <w:tcPr>
            <w:tcW w:w="2307" w:type="dxa"/>
            <w:shd w:val="clear" w:color="auto" w:fill="auto"/>
          </w:tcPr>
          <w:p w14:paraId="0FAFC555" w14:textId="77777777" w:rsidR="00E507D4" w:rsidRPr="00F271B8" w:rsidRDefault="00E507D4" w:rsidP="00B95821">
            <w:pPr>
              <w:pStyle w:val="BodyText"/>
              <w:spacing w:before="100" w:after="100"/>
              <w:jc w:val="center"/>
              <w:rPr>
                <w:b/>
                <w:lang w:val="en-AU"/>
              </w:rPr>
            </w:pPr>
            <w:r w:rsidRPr="00F271B8">
              <w:rPr>
                <w:b/>
                <w:lang w:val="en-AU"/>
              </w:rPr>
              <w:t>Plan ID</w:t>
            </w:r>
          </w:p>
        </w:tc>
        <w:tc>
          <w:tcPr>
            <w:tcW w:w="3558" w:type="dxa"/>
            <w:shd w:val="clear" w:color="auto" w:fill="auto"/>
          </w:tcPr>
          <w:p w14:paraId="6531F8D0" w14:textId="77777777" w:rsidR="00E507D4" w:rsidRPr="00F271B8" w:rsidRDefault="00E507D4" w:rsidP="00B95821">
            <w:pPr>
              <w:pStyle w:val="BodyText"/>
              <w:spacing w:before="100" w:after="100"/>
              <w:jc w:val="center"/>
              <w:rPr>
                <w:b/>
                <w:lang w:val="en-AU"/>
              </w:rPr>
            </w:pPr>
            <w:r w:rsidRPr="00F271B8">
              <w:rPr>
                <w:b/>
                <w:lang w:val="en-AU"/>
              </w:rPr>
              <w:t>Available</w:t>
            </w:r>
          </w:p>
        </w:tc>
      </w:tr>
      <w:tr w:rsidR="00E507D4" w:rsidRPr="00F271B8" w14:paraId="0EF63EEB" w14:textId="77777777" w:rsidTr="00B95821">
        <w:tc>
          <w:tcPr>
            <w:tcW w:w="3675" w:type="dxa"/>
            <w:shd w:val="clear" w:color="auto" w:fill="auto"/>
          </w:tcPr>
          <w:p w14:paraId="63A1A4C9" w14:textId="77777777" w:rsidR="00E507D4" w:rsidRPr="00E83150" w:rsidRDefault="00E507D4" w:rsidP="00B95821">
            <w:pPr>
              <w:pStyle w:val="BodyText"/>
              <w:spacing w:before="100" w:after="100"/>
              <w:jc w:val="center"/>
              <w:rPr>
                <w:szCs w:val="20"/>
                <w:lang w:val="en-AU"/>
              </w:rPr>
            </w:pPr>
            <w:r w:rsidRPr="00E83150">
              <w:rPr>
                <w:rFonts w:eastAsia="Calibri" w:cs="Arial"/>
                <w:szCs w:val="20"/>
                <w:lang w:val="en-AU"/>
              </w:rPr>
              <w:t>$90 My Plan Business</w:t>
            </w:r>
            <w:r>
              <w:rPr>
                <w:rFonts w:eastAsia="Calibri" w:cs="Arial"/>
                <w:szCs w:val="20"/>
                <w:lang w:val="en-AU"/>
              </w:rPr>
              <w:t xml:space="preserve"> Tech Fund</w:t>
            </w:r>
          </w:p>
        </w:tc>
        <w:tc>
          <w:tcPr>
            <w:tcW w:w="2307" w:type="dxa"/>
            <w:shd w:val="clear" w:color="auto" w:fill="auto"/>
            <w:vAlign w:val="center"/>
          </w:tcPr>
          <w:p w14:paraId="4B3BA343" w14:textId="77777777" w:rsidR="00E507D4" w:rsidRPr="009E5E41" w:rsidRDefault="00E507D4" w:rsidP="00B95821">
            <w:pPr>
              <w:pStyle w:val="BodyText"/>
              <w:spacing w:before="100" w:after="100"/>
              <w:jc w:val="center"/>
              <w:rPr>
                <w:szCs w:val="20"/>
                <w:lang w:val="en-AU"/>
              </w:rPr>
            </w:pPr>
            <w:r>
              <w:rPr>
                <w:rFonts w:eastAsia="Calibri" w:cs="Arial"/>
                <w:szCs w:val="20"/>
              </w:rPr>
              <w:t>800571</w:t>
            </w:r>
          </w:p>
        </w:tc>
        <w:tc>
          <w:tcPr>
            <w:tcW w:w="3558" w:type="dxa"/>
            <w:shd w:val="clear" w:color="auto" w:fill="auto"/>
            <w:vAlign w:val="center"/>
          </w:tcPr>
          <w:p w14:paraId="49F31EED" w14:textId="77777777" w:rsidR="00E507D4" w:rsidRPr="009E5E41" w:rsidRDefault="00E507D4" w:rsidP="00B95821">
            <w:pPr>
              <w:pStyle w:val="BodyText"/>
              <w:spacing w:before="100" w:after="100"/>
              <w:jc w:val="center"/>
              <w:rPr>
                <w:szCs w:val="20"/>
                <w:lang w:val="en-AU"/>
              </w:rPr>
            </w:pPr>
            <w:r w:rsidRPr="009E5E41">
              <w:rPr>
                <w:rFonts w:eastAsia="Calibri" w:cs="Arial"/>
                <w:szCs w:val="20"/>
              </w:rPr>
              <w:t>16 September 2016</w:t>
            </w:r>
            <w:r w:rsidR="00B95821" w:rsidRPr="00E85FA3">
              <w:t xml:space="preserve"> – 30</w:t>
            </w:r>
            <w:r w:rsidR="00856E4A">
              <w:t xml:space="preserve"> June</w:t>
            </w:r>
            <w:r w:rsidR="00B95821" w:rsidRPr="00E85FA3">
              <w:t xml:space="preserve"> 2018</w:t>
            </w:r>
          </w:p>
        </w:tc>
      </w:tr>
    </w:tbl>
    <w:p w14:paraId="17D88887" w14:textId="77777777" w:rsidR="00E507D4" w:rsidRPr="00F271B8" w:rsidRDefault="00E507D4" w:rsidP="00E507D4">
      <w:pPr>
        <w:pStyle w:val="Heading6"/>
        <w:spacing w:before="240"/>
        <w:ind w:left="0" w:firstLine="0"/>
        <w:rPr>
          <w:lang w:val="en-AU"/>
        </w:rPr>
      </w:pPr>
      <w:bookmarkStart w:id="2105" w:name="_Toc508361956"/>
      <w:r w:rsidRPr="00F271B8">
        <w:rPr>
          <w:lang w:val="en-AU"/>
        </w:rPr>
        <w:t>Eligibility</w:t>
      </w:r>
      <w:bookmarkEnd w:id="2105"/>
    </w:p>
    <w:p w14:paraId="68FA5DA2" w14:textId="77777777" w:rsidR="00E507D4" w:rsidRDefault="00E507D4" w:rsidP="00E507D4">
      <w:pPr>
        <w:pStyle w:val="BodyText"/>
        <w:ind w:left="720"/>
      </w:pPr>
      <w:r w:rsidRPr="00EB0AA6">
        <w:t xml:space="preserve">This $90 My Plan Business </w:t>
      </w:r>
      <w:r>
        <w:t xml:space="preserve">Tech Fund </w:t>
      </w:r>
      <w:r w:rsidRPr="00EB0AA6">
        <w:t xml:space="preserve">plan is a promotional plan that includes 8GB plus 1GB of bonus data.  This plan is only available to new and re-contracting services. </w:t>
      </w:r>
    </w:p>
    <w:p w14:paraId="67E711B3" w14:textId="77777777" w:rsidR="00E507D4" w:rsidRDefault="00E507D4" w:rsidP="00E507D4">
      <w:pPr>
        <w:pStyle w:val="BodyText"/>
        <w:ind w:left="720"/>
      </w:pPr>
      <w:r w:rsidRPr="00950D2E">
        <w:t>To be eligible for this plan, businesses must provide Optus with a registered ACN, ARBN or ABN and must sign up for a minimum of 6 services to a My Plan Business Tech Fund Plan on a single Optus billing account.</w:t>
      </w:r>
    </w:p>
    <w:p w14:paraId="269EF7EA" w14:textId="77777777" w:rsidR="00E507D4" w:rsidRPr="00F271B8" w:rsidRDefault="00E507D4" w:rsidP="00E507D4">
      <w:pPr>
        <w:pStyle w:val="BodyText"/>
        <w:ind w:left="720"/>
      </w:pPr>
      <w:r w:rsidRPr="00EB0AA6">
        <w:t>Optus Service Providers’ customers are not eligible to apply.</w:t>
      </w:r>
    </w:p>
    <w:p w14:paraId="3B999776" w14:textId="77777777" w:rsidR="00E507D4" w:rsidRPr="00F271B8" w:rsidRDefault="00E507D4" w:rsidP="00E507D4">
      <w:pPr>
        <w:pStyle w:val="BodyText"/>
        <w:ind w:left="720"/>
        <w:rPr>
          <w:lang w:val="en-AU"/>
        </w:rPr>
      </w:pPr>
      <w:r w:rsidRPr="00F271B8">
        <w:rPr>
          <w:lang w:val="en-AU"/>
        </w:rPr>
        <w:t xml:space="preserve">These </w:t>
      </w:r>
      <w:r w:rsidRPr="00F271B8">
        <w:rPr>
          <w:i/>
          <w:lang w:val="en-AU"/>
        </w:rPr>
        <w:t>plans</w:t>
      </w:r>
      <w:r w:rsidRPr="00F271B8">
        <w:rPr>
          <w:lang w:val="en-AU"/>
        </w:rPr>
        <w:t xml:space="preserve"> aren</w:t>
      </w:r>
      <w:r>
        <w:rPr>
          <w:lang w:val="en-AU"/>
        </w:rPr>
        <w:t>'</w:t>
      </w:r>
      <w:r w:rsidRPr="00F271B8">
        <w:rPr>
          <w:lang w:val="en-AU"/>
        </w:rPr>
        <w:t>t compatible for data use with BlackBerry handsets on operating systems of 7.1 or earlier.</w:t>
      </w:r>
    </w:p>
    <w:p w14:paraId="0E546056" w14:textId="77777777" w:rsidR="00E507D4" w:rsidRPr="00F271B8" w:rsidRDefault="00E507D4" w:rsidP="00E507D4">
      <w:pPr>
        <w:pStyle w:val="Heading6"/>
        <w:ind w:left="0" w:firstLine="0"/>
        <w:rPr>
          <w:lang w:val="en-AU"/>
        </w:rPr>
      </w:pPr>
      <w:bookmarkStart w:id="2106" w:name="_Toc508361957"/>
      <w:r w:rsidRPr="00F271B8">
        <w:rPr>
          <w:lang w:val="en-AU"/>
        </w:rPr>
        <w:t>Minimum Term</w:t>
      </w:r>
      <w:bookmarkEnd w:id="2106"/>
    </w:p>
    <w:p w14:paraId="56008E3F" w14:textId="77777777" w:rsidR="00E507D4" w:rsidRPr="00F271B8" w:rsidRDefault="00E507D4" w:rsidP="00E507D4">
      <w:pPr>
        <w:pStyle w:val="BodyText"/>
        <w:ind w:left="720"/>
        <w:rPr>
          <w:lang w:val="en-AU"/>
        </w:rPr>
      </w:pPr>
      <w:r w:rsidRPr="00F271B8">
        <w:rPr>
          <w:lang w:val="en-AU"/>
        </w:rPr>
        <w:t xml:space="preserve">This plan has a </w:t>
      </w:r>
      <w:r w:rsidRPr="00F271B8">
        <w:rPr>
          <w:i/>
          <w:lang w:val="en-AU"/>
        </w:rPr>
        <w:t>fixed length</w:t>
      </w:r>
      <w:r w:rsidRPr="00F271B8">
        <w:rPr>
          <w:lang w:val="en-AU"/>
        </w:rPr>
        <w:t xml:space="preserve"> </w:t>
      </w:r>
      <w:r w:rsidRPr="00F271B8">
        <w:rPr>
          <w:i/>
          <w:lang w:val="en-AU"/>
        </w:rPr>
        <w:t>agreement</w:t>
      </w:r>
      <w:r w:rsidRPr="00F271B8">
        <w:rPr>
          <w:lang w:val="en-AU"/>
        </w:rPr>
        <w:t xml:space="preserve"> with a 24 month </w:t>
      </w:r>
      <w:r w:rsidRPr="00F271B8">
        <w:rPr>
          <w:i/>
          <w:lang w:val="en-AU"/>
        </w:rPr>
        <w:t>minimum term</w:t>
      </w:r>
      <w:r w:rsidRPr="00F271B8">
        <w:rPr>
          <w:lang w:val="en-AU"/>
        </w:rPr>
        <w:t>.</w:t>
      </w:r>
    </w:p>
    <w:p w14:paraId="6E5DD9E8" w14:textId="77777777" w:rsidR="00E507D4" w:rsidRPr="00F271B8" w:rsidRDefault="00E507D4" w:rsidP="00E507D4">
      <w:pPr>
        <w:pStyle w:val="Heading6"/>
        <w:ind w:left="0" w:firstLine="0"/>
        <w:rPr>
          <w:lang w:val="en-AU"/>
        </w:rPr>
      </w:pPr>
      <w:bookmarkStart w:id="2107" w:name="_Toc508361958"/>
      <w:r w:rsidRPr="00F271B8">
        <w:rPr>
          <w:lang w:val="en-AU"/>
        </w:rPr>
        <w:t>What you have to pay us</w:t>
      </w:r>
      <w:bookmarkEnd w:id="2107"/>
    </w:p>
    <w:p w14:paraId="217D7D03" w14:textId="77777777" w:rsidR="00E507D4" w:rsidRPr="00F271B8" w:rsidRDefault="00E507D4" w:rsidP="00E507D4">
      <w:pPr>
        <w:pStyle w:val="Heading7"/>
        <w:rPr>
          <w:szCs w:val="20"/>
          <w:lang w:val="en-AU"/>
        </w:rPr>
      </w:pPr>
      <w:r w:rsidRPr="00F271B8">
        <w:rPr>
          <w:i/>
          <w:szCs w:val="20"/>
          <w:lang w:val="en-AU"/>
        </w:rPr>
        <w:t>You</w:t>
      </w:r>
      <w:r w:rsidRPr="00F271B8">
        <w:rPr>
          <w:szCs w:val="20"/>
          <w:lang w:val="en-AU"/>
        </w:rPr>
        <w:t xml:space="preserve"> must pay </w:t>
      </w:r>
      <w:r w:rsidRPr="00F271B8">
        <w:rPr>
          <w:i/>
          <w:szCs w:val="20"/>
          <w:lang w:val="en-AU"/>
        </w:rPr>
        <w:t>us</w:t>
      </w:r>
      <w:r w:rsidRPr="00F271B8">
        <w:rPr>
          <w:szCs w:val="20"/>
          <w:lang w:val="en-AU"/>
        </w:rPr>
        <w:t xml:space="preserve"> for use of the </w:t>
      </w:r>
      <w:r w:rsidRPr="00F271B8">
        <w:rPr>
          <w:i/>
          <w:szCs w:val="20"/>
          <w:lang w:val="en-AU"/>
        </w:rPr>
        <w:t>service</w:t>
      </w:r>
      <w:r w:rsidRPr="00F271B8">
        <w:rPr>
          <w:szCs w:val="20"/>
          <w:lang w:val="en-AU"/>
        </w:rPr>
        <w:t xml:space="preserve"> at the rates set out in Section 1 of this </w:t>
      </w:r>
      <w:r w:rsidRPr="00F271B8">
        <w:rPr>
          <w:i/>
          <w:szCs w:val="20"/>
          <w:lang w:val="en-AU"/>
        </w:rPr>
        <w:t>standard pricing table</w:t>
      </w:r>
      <w:r w:rsidRPr="00F271B8">
        <w:rPr>
          <w:szCs w:val="20"/>
          <w:lang w:val="en-AU"/>
        </w:rPr>
        <w:t xml:space="preserve"> and for value added service features at the rates set out in </w:t>
      </w:r>
      <w:hyperlink r:id="rId830" w:history="1">
        <w:r w:rsidRPr="00F271B8">
          <w:rPr>
            <w:rStyle w:val="Hyperlink"/>
            <w:i/>
            <w:szCs w:val="20"/>
            <w:lang w:val="en-AU"/>
          </w:rPr>
          <w:t>Appendix Y Value Added Service Features</w:t>
        </w:r>
      </w:hyperlink>
      <w:r>
        <w:rPr>
          <w:szCs w:val="20"/>
          <w:lang w:val="en-AU"/>
        </w:rPr>
        <w:t xml:space="preserve">. </w:t>
      </w:r>
    </w:p>
    <w:p w14:paraId="6631ACEF" w14:textId="77777777" w:rsidR="00E507D4" w:rsidRPr="00F271B8" w:rsidRDefault="00E507D4" w:rsidP="00E507D4">
      <w:pPr>
        <w:pStyle w:val="Heading7"/>
        <w:rPr>
          <w:lang w:val="en-AU"/>
        </w:rPr>
      </w:pPr>
      <w:r w:rsidRPr="00F271B8">
        <w:rPr>
          <w:lang w:val="en-AU"/>
        </w:rPr>
        <w:t>If there is a flagfall for a particular call type, the charge for these calls is the flagfall amount plus the relevant rate for the call multiplied by the duration of the call.</w:t>
      </w:r>
    </w:p>
    <w:p w14:paraId="1AC44CA8" w14:textId="77777777" w:rsidR="00E507D4" w:rsidRPr="00F271B8" w:rsidRDefault="00E507D4" w:rsidP="00E507D4">
      <w:pPr>
        <w:pStyle w:val="Heading7"/>
        <w:rPr>
          <w:lang w:val="en-AU"/>
        </w:rPr>
      </w:pPr>
      <w:r w:rsidRPr="00F271B8">
        <w:rPr>
          <w:lang w:val="en-AU"/>
        </w:rPr>
        <w:t xml:space="preserve">Minimum Monthly Charge </w:t>
      </w:r>
    </w:p>
    <w:p w14:paraId="77BD77DC" w14:textId="77777777" w:rsidR="00E507D4" w:rsidRPr="00F271B8" w:rsidRDefault="00E507D4" w:rsidP="00E507D4">
      <w:pPr>
        <w:pStyle w:val="Heading8"/>
        <w:rPr>
          <w:lang w:val="en-AU"/>
        </w:rPr>
      </w:pPr>
      <w:r>
        <w:rPr>
          <w:lang w:val="en-AU"/>
        </w:rPr>
        <w:t>Each My</w:t>
      </w:r>
      <w:r w:rsidRPr="00F271B8">
        <w:rPr>
          <w:lang w:val="en-AU"/>
        </w:rPr>
        <w:t xml:space="preserve"> Plan Business </w:t>
      </w:r>
      <w:r>
        <w:rPr>
          <w:lang w:val="en-AU"/>
        </w:rPr>
        <w:t xml:space="preserve">plan </w:t>
      </w:r>
      <w:r w:rsidRPr="00F271B8">
        <w:rPr>
          <w:lang w:val="en-AU"/>
        </w:rPr>
        <w:t xml:space="preserve">has a Minimum Monthly Charge amount that </w:t>
      </w:r>
      <w:r w:rsidRPr="00F271B8">
        <w:rPr>
          <w:i/>
          <w:lang w:val="en-AU"/>
        </w:rPr>
        <w:t>you</w:t>
      </w:r>
      <w:r w:rsidRPr="00F271B8">
        <w:rPr>
          <w:lang w:val="en-AU"/>
        </w:rPr>
        <w:t xml:space="preserve"> must pay </w:t>
      </w:r>
      <w:r w:rsidRPr="00F271B8">
        <w:rPr>
          <w:i/>
          <w:lang w:val="en-AU"/>
        </w:rPr>
        <w:t>us</w:t>
      </w:r>
      <w:r w:rsidRPr="00F271B8">
        <w:rPr>
          <w:lang w:val="en-AU"/>
        </w:rPr>
        <w:t xml:space="preserve"> each month as set out in Table 1 below</w:t>
      </w:r>
      <w:r>
        <w:rPr>
          <w:lang w:val="en-AU"/>
        </w:rPr>
        <w:t xml:space="preserve">. </w:t>
      </w:r>
    </w:p>
    <w:p w14:paraId="3AAC20EB" w14:textId="77777777" w:rsidR="00E507D4" w:rsidRPr="00F271B8" w:rsidRDefault="00E507D4" w:rsidP="00E507D4">
      <w:pPr>
        <w:pStyle w:val="Heading6"/>
        <w:ind w:left="0" w:firstLine="0"/>
        <w:rPr>
          <w:lang w:val="en-AU"/>
        </w:rPr>
      </w:pPr>
      <w:bookmarkStart w:id="2108" w:name="_Toc508361959"/>
      <w:r w:rsidRPr="00F271B8">
        <w:rPr>
          <w:lang w:val="en-AU"/>
        </w:rPr>
        <w:t>How My Plan Busines</w:t>
      </w:r>
      <w:r>
        <w:rPr>
          <w:lang w:val="en-AU"/>
        </w:rPr>
        <w:t>s</w:t>
      </w:r>
      <w:r w:rsidRPr="00F271B8">
        <w:rPr>
          <w:lang w:val="en-AU"/>
        </w:rPr>
        <w:t xml:space="preserve"> </w:t>
      </w:r>
      <w:r>
        <w:rPr>
          <w:lang w:val="en-AU"/>
        </w:rPr>
        <w:t xml:space="preserve">Tech Fund </w:t>
      </w:r>
      <w:r w:rsidRPr="00F271B8">
        <w:rPr>
          <w:lang w:val="en-AU"/>
        </w:rPr>
        <w:t>works</w:t>
      </w:r>
      <w:bookmarkEnd w:id="2108"/>
    </w:p>
    <w:p w14:paraId="7877A3B8" w14:textId="77777777" w:rsidR="00E507D4" w:rsidRPr="00F271B8" w:rsidRDefault="00E507D4" w:rsidP="00E507D4">
      <w:pPr>
        <w:pStyle w:val="Heading7"/>
        <w:rPr>
          <w:lang w:val="en-AU"/>
        </w:rPr>
      </w:pPr>
      <w:r w:rsidRPr="00F271B8">
        <w:rPr>
          <w:lang w:val="en-AU"/>
        </w:rPr>
        <w:t>The</w:t>
      </w:r>
      <w:r>
        <w:rPr>
          <w:lang w:val="en-AU"/>
        </w:rPr>
        <w:t xml:space="preserve"> $90</w:t>
      </w:r>
      <w:r w:rsidRPr="00F271B8">
        <w:rPr>
          <w:lang w:val="en-AU"/>
        </w:rPr>
        <w:t xml:space="preserve"> My Plan Business </w:t>
      </w:r>
      <w:r>
        <w:rPr>
          <w:lang w:val="en-AU"/>
        </w:rPr>
        <w:t xml:space="preserve">Tech Fund </w:t>
      </w:r>
      <w:r w:rsidRPr="00F271B8">
        <w:rPr>
          <w:lang w:val="en-AU"/>
        </w:rPr>
        <w:t xml:space="preserve">plan has </w:t>
      </w:r>
      <w:r>
        <w:rPr>
          <w:lang w:val="en-AU"/>
        </w:rPr>
        <w:t>unlimited</w:t>
      </w:r>
      <w:r w:rsidRPr="00F271B8">
        <w:rPr>
          <w:lang w:val="en-AU"/>
        </w:rPr>
        <w:t xml:space="preserve"> minutes to use on standard national calls to landlines and mobiles, 13/1300 nu</w:t>
      </w:r>
      <w:r>
        <w:rPr>
          <w:lang w:val="en-AU"/>
        </w:rPr>
        <w:t xml:space="preserve">mbers and voicemail retrievals </w:t>
      </w:r>
      <w:r w:rsidRPr="00F271B8">
        <w:rPr>
          <w:lang w:val="en-AU"/>
        </w:rPr>
        <w:t>and Included Data (for mobile internet use) to share with other services on a My Plan Plus, My Plan Plus SIM Only, My Plan Essentials, My Plan Business (including Tech Fund), My Plan Business SIM, My Plan Business Essentials, My Mobile Broadband Plus, Mobile Broadband Business or Shared Data Plan on the same account</w:t>
      </w:r>
      <w:r>
        <w:rPr>
          <w:lang w:val="en-AU"/>
        </w:rPr>
        <w:t xml:space="preserve">. </w:t>
      </w:r>
    </w:p>
    <w:p w14:paraId="20D0CD92" w14:textId="77777777" w:rsidR="00E507D4" w:rsidRPr="00F271B8" w:rsidRDefault="00E507D4" w:rsidP="00E507D4">
      <w:pPr>
        <w:pStyle w:val="Heading7"/>
        <w:rPr>
          <w:lang w:val="en-AU"/>
        </w:rPr>
      </w:pPr>
      <w:r w:rsidRPr="00F271B8">
        <w:rPr>
          <w:lang w:val="en-AU"/>
        </w:rPr>
        <w:t>This plan also includes unlimited standard national SMS/MMS and unlimited standard International SMS/MMS to selected countries</w:t>
      </w:r>
      <w:r>
        <w:rPr>
          <w:lang w:val="en-AU"/>
        </w:rPr>
        <w:t xml:space="preserve">. </w:t>
      </w:r>
      <w:r>
        <w:rPr>
          <w:rFonts w:cs="Arial"/>
        </w:rPr>
        <w:t>This plan also has</w:t>
      </w:r>
      <w:r w:rsidRPr="00304BEC">
        <w:rPr>
          <w:rFonts w:cs="Arial"/>
        </w:rPr>
        <w:t xml:space="preserve"> an amount of included international minutes to use on standard international calls to selected countries.</w:t>
      </w:r>
    </w:p>
    <w:p w14:paraId="056B1A1B" w14:textId="77777777" w:rsidR="00E507D4" w:rsidRPr="009E5E41" w:rsidRDefault="00E507D4" w:rsidP="00E507D4">
      <w:pPr>
        <w:pStyle w:val="Heading7"/>
      </w:pPr>
      <w:r w:rsidRPr="00F271B8">
        <w:rPr>
          <w:lang w:val="en-AU"/>
        </w:rPr>
        <w:t>Data usage is calculated in one kilobyte increments</w:t>
      </w:r>
      <w:r>
        <w:rPr>
          <w:lang w:val="en-AU"/>
        </w:rPr>
        <w:t xml:space="preserve">. </w:t>
      </w:r>
      <w:r w:rsidRPr="009E5E41">
        <w:t>International minutes are b</w:t>
      </w:r>
      <w:r>
        <w:t>illed in one minute increments.</w:t>
      </w:r>
    </w:p>
    <w:p w14:paraId="78D53CE5" w14:textId="77777777" w:rsidR="00E507D4" w:rsidRPr="00F271B8" w:rsidRDefault="00E507D4" w:rsidP="00E507D4">
      <w:pPr>
        <w:pStyle w:val="Heading7"/>
        <w:rPr>
          <w:lang w:val="en-AU"/>
        </w:rPr>
      </w:pPr>
      <w:r w:rsidRPr="00F271B8">
        <w:rPr>
          <w:lang w:val="en-AU"/>
        </w:rPr>
        <w:t>If you exceed your included shareable data you</w:t>
      </w:r>
      <w:r>
        <w:rPr>
          <w:lang w:val="en-AU"/>
        </w:rPr>
        <w:t>'</w:t>
      </w:r>
      <w:r w:rsidRPr="00F271B8">
        <w:rPr>
          <w:lang w:val="en-AU"/>
        </w:rPr>
        <w:t>ll automatically be charged $10 for each additional 1GB of data (</w:t>
      </w:r>
      <w:r>
        <w:rPr>
          <w:lang w:val="en-AU"/>
        </w:rPr>
        <w:t>"</w:t>
      </w:r>
      <w:r w:rsidRPr="00F271B8">
        <w:rPr>
          <w:b/>
          <w:lang w:val="en-AU"/>
        </w:rPr>
        <w:t>Additional Data</w:t>
      </w:r>
      <w:r>
        <w:rPr>
          <w:lang w:val="en-AU"/>
        </w:rPr>
        <w:t>"</w:t>
      </w:r>
      <w:r w:rsidRPr="00F271B8">
        <w:rPr>
          <w:lang w:val="en-AU"/>
        </w:rPr>
        <w:t>) that you use (or part thereof) up to 150GB of extra data per account each month</w:t>
      </w:r>
      <w:r>
        <w:rPr>
          <w:lang w:val="en-AU"/>
        </w:rPr>
        <w:t xml:space="preserve">. </w:t>
      </w:r>
      <w:r w:rsidRPr="00F271B8">
        <w:rPr>
          <w:lang w:val="en-AU"/>
        </w:rPr>
        <w:t>Your service/s may then be restricted or we may continue to charge you at these rates.</w:t>
      </w:r>
    </w:p>
    <w:p w14:paraId="278E1B26" w14:textId="77777777" w:rsidR="00E507D4" w:rsidRPr="009E5E41" w:rsidRDefault="00E507D4" w:rsidP="00E507D4">
      <w:pPr>
        <w:pStyle w:val="Heading7"/>
        <w:rPr>
          <w:lang w:val="en-AU"/>
        </w:rPr>
      </w:pPr>
      <w:r w:rsidRPr="009E5E41">
        <w:rPr>
          <w:lang w:val="en-AU"/>
        </w:rPr>
        <w:lastRenderedPageBreak/>
        <w:t xml:space="preserve">Any unused portion of </w:t>
      </w:r>
      <w:r w:rsidRPr="009E5E41">
        <w:rPr>
          <w:i/>
          <w:lang w:val="en-AU"/>
        </w:rPr>
        <w:t>your</w:t>
      </w:r>
      <w:r w:rsidRPr="009E5E41">
        <w:rPr>
          <w:lang w:val="en-AU"/>
        </w:rPr>
        <w:t xml:space="preserve"> </w:t>
      </w:r>
      <w:r w:rsidRPr="009E5E41">
        <w:rPr>
          <w:i/>
          <w:lang w:val="en-AU"/>
        </w:rPr>
        <w:t>plan's</w:t>
      </w:r>
      <w:r w:rsidRPr="009E5E41">
        <w:rPr>
          <w:lang w:val="en-AU"/>
        </w:rPr>
        <w:t xml:space="preserve"> Included or Additional Minutes or Included or Additional Data expires at the end of each month and does not roll over into the next month.</w:t>
      </w:r>
      <w:r w:rsidRPr="009E5E41">
        <w:t xml:space="preserve"> </w:t>
      </w:r>
    </w:p>
    <w:p w14:paraId="11B44152" w14:textId="77777777" w:rsidR="00E507D4" w:rsidRPr="009E5E41" w:rsidRDefault="00E507D4" w:rsidP="00E507D4">
      <w:pPr>
        <w:pStyle w:val="Heading7"/>
        <w:rPr>
          <w:lang w:val="en-AU"/>
        </w:rPr>
      </w:pPr>
      <w:r w:rsidRPr="009E5E41">
        <w:rPr>
          <w:lang w:val="en-AU"/>
        </w:rPr>
        <w:t>You must pay us for use of any services that are not included in your plan’s inclusions, examples of which are set out in Table 2 below.</w:t>
      </w:r>
    </w:p>
    <w:p w14:paraId="4B3AA953" w14:textId="77777777" w:rsidR="00E507D4" w:rsidRPr="00F271B8" w:rsidRDefault="00E507D4" w:rsidP="00E507D4">
      <w:pPr>
        <w:pStyle w:val="Heading6"/>
        <w:spacing w:after="80"/>
        <w:ind w:left="0" w:firstLine="0"/>
        <w:rPr>
          <w:lang w:val="en-AU"/>
        </w:rPr>
      </w:pPr>
      <w:bookmarkStart w:id="2109" w:name="_Toc508361960"/>
      <w:r>
        <w:rPr>
          <w:lang w:val="en-AU"/>
        </w:rPr>
        <w:t>Plan Changes</w:t>
      </w:r>
      <w:bookmarkEnd w:id="2109"/>
      <w:r>
        <w:rPr>
          <w:lang w:val="en-AU"/>
        </w:rPr>
        <w:t xml:space="preserve"> </w:t>
      </w:r>
    </w:p>
    <w:p w14:paraId="247EBA62" w14:textId="77777777" w:rsidR="00E507D4" w:rsidRPr="00931860" w:rsidRDefault="00E507D4" w:rsidP="00E507D4">
      <w:pPr>
        <w:pStyle w:val="BodyText"/>
        <w:ind w:left="720"/>
        <w:rPr>
          <w:szCs w:val="20"/>
          <w:u w:val="single"/>
        </w:rPr>
      </w:pPr>
      <w:r w:rsidRPr="00931860">
        <w:rPr>
          <w:szCs w:val="20"/>
        </w:rPr>
        <w:t>You cannot change your plan during the minimum term to a plan with the same or lower monthly access fee. If you change your plan during the minimum term a fee may apply and any handset repayments will remain the same.</w:t>
      </w:r>
    </w:p>
    <w:p w14:paraId="2CC1044A" w14:textId="77777777" w:rsidR="00E507D4" w:rsidRPr="005545B6" w:rsidRDefault="00E507D4" w:rsidP="00E507D4">
      <w:pPr>
        <w:pStyle w:val="Heading6"/>
        <w:ind w:left="0" w:firstLine="0"/>
        <w:rPr>
          <w:lang w:val="en-AU"/>
        </w:rPr>
      </w:pPr>
      <w:bookmarkStart w:id="2110" w:name="_Toc460853604"/>
      <w:bookmarkStart w:id="2111" w:name="_Toc461706962"/>
      <w:bookmarkStart w:id="2112" w:name="_Toc508361961"/>
      <w:r w:rsidRPr="005545B6">
        <w:rPr>
          <w:lang w:val="en-AU"/>
        </w:rPr>
        <w:t>Handset Credit</w:t>
      </w:r>
      <w:bookmarkEnd w:id="2110"/>
      <w:bookmarkEnd w:id="2111"/>
      <w:bookmarkEnd w:id="2112"/>
      <w:r w:rsidRPr="005545B6">
        <w:rPr>
          <w:lang w:val="en-AU"/>
        </w:rPr>
        <w:t xml:space="preserve"> </w:t>
      </w:r>
    </w:p>
    <w:p w14:paraId="03CE57B0" w14:textId="77777777" w:rsidR="00E507D4" w:rsidRPr="005545B6" w:rsidRDefault="00E507D4" w:rsidP="00E507D4">
      <w:pPr>
        <w:pStyle w:val="OptusH3"/>
        <w:numPr>
          <w:ilvl w:val="2"/>
          <w:numId w:val="61"/>
        </w:numPr>
        <w:tabs>
          <w:tab w:val="clear" w:pos="2127"/>
          <w:tab w:val="left" w:pos="1418"/>
        </w:tabs>
        <w:ind w:left="1418" w:hanging="709"/>
        <w:rPr>
          <w:rFonts w:ascii="Arial" w:hAnsi="Arial" w:cs="Arial"/>
          <w:sz w:val="20"/>
        </w:rPr>
      </w:pPr>
      <w:r w:rsidRPr="005545B6">
        <w:rPr>
          <w:rFonts w:ascii="Arial" w:hAnsi="Arial" w:cs="Arial"/>
          <w:sz w:val="20"/>
        </w:rPr>
        <w:t xml:space="preserve">The Handset Credit is a special offer available to customers who are eligible for and connect to a My Plan Business Tech Fund plan, and who do not choose to take a handset upfront. It allows </w:t>
      </w:r>
      <w:r w:rsidRPr="005545B6">
        <w:rPr>
          <w:rFonts w:ascii="Arial" w:hAnsi="Arial" w:cs="Arial"/>
          <w:i/>
          <w:sz w:val="20"/>
        </w:rPr>
        <w:t>you</w:t>
      </w:r>
      <w:r w:rsidRPr="005545B6">
        <w:rPr>
          <w:rFonts w:ascii="Arial" w:hAnsi="Arial" w:cs="Arial"/>
          <w:sz w:val="20"/>
        </w:rPr>
        <w:t xml:space="preserve"> to purchase mobile phones and accessories from Optus at any period throughout </w:t>
      </w:r>
      <w:r w:rsidRPr="005545B6">
        <w:rPr>
          <w:rFonts w:ascii="Arial" w:hAnsi="Arial" w:cs="Arial"/>
          <w:i/>
          <w:sz w:val="20"/>
        </w:rPr>
        <w:t>your</w:t>
      </w:r>
      <w:r w:rsidRPr="005545B6">
        <w:rPr>
          <w:rFonts w:ascii="Arial" w:hAnsi="Arial" w:cs="Arial"/>
          <w:sz w:val="20"/>
        </w:rPr>
        <w:t xml:space="preserve"> contract; it cannot be used for any other purpose other than the purchase of handsets and accessories from </w:t>
      </w:r>
      <w:r w:rsidRPr="005545B6">
        <w:rPr>
          <w:rFonts w:ascii="Arial" w:hAnsi="Arial" w:cs="Arial"/>
          <w:i/>
          <w:sz w:val="20"/>
        </w:rPr>
        <w:t>us</w:t>
      </w:r>
      <w:r w:rsidRPr="005545B6">
        <w:rPr>
          <w:rFonts w:ascii="Arial" w:hAnsi="Arial" w:cs="Arial"/>
          <w:sz w:val="20"/>
        </w:rPr>
        <w:t xml:space="preserve">. </w:t>
      </w:r>
    </w:p>
    <w:p w14:paraId="1E06B562" w14:textId="77777777" w:rsidR="00E507D4" w:rsidRPr="005545B6" w:rsidRDefault="00E507D4" w:rsidP="00E507D4">
      <w:pPr>
        <w:numPr>
          <w:ilvl w:val="2"/>
          <w:numId w:val="27"/>
        </w:numPr>
        <w:tabs>
          <w:tab w:val="clear" w:pos="2127"/>
          <w:tab w:val="num" w:pos="1418"/>
          <w:tab w:val="left" w:pos="1701"/>
        </w:tabs>
        <w:ind w:left="1590" w:hanging="881"/>
        <w:rPr>
          <w:rFonts w:cs="Arial"/>
          <w:sz w:val="20"/>
          <w:szCs w:val="20"/>
          <w:lang w:val="en-AU"/>
        </w:rPr>
      </w:pPr>
      <w:r w:rsidRPr="005545B6">
        <w:rPr>
          <w:rFonts w:cs="Arial"/>
          <w:sz w:val="20"/>
          <w:szCs w:val="20"/>
          <w:lang w:val="en-AU"/>
        </w:rPr>
        <w:t xml:space="preserve">The amount of the credit will be as set out in your application form. </w:t>
      </w:r>
    </w:p>
    <w:p w14:paraId="02693E28" w14:textId="77777777" w:rsidR="00E507D4" w:rsidRPr="005545B6" w:rsidRDefault="00E507D4" w:rsidP="00E507D4">
      <w:pPr>
        <w:tabs>
          <w:tab w:val="num" w:pos="1418"/>
        </w:tabs>
        <w:ind w:left="720" w:hanging="881"/>
        <w:rPr>
          <w:rFonts w:cs="Arial"/>
          <w:i/>
          <w:sz w:val="20"/>
          <w:szCs w:val="20"/>
        </w:rPr>
      </w:pPr>
    </w:p>
    <w:p w14:paraId="1A8237EF" w14:textId="77777777" w:rsidR="00E507D4" w:rsidRPr="005545B6" w:rsidRDefault="00E507D4" w:rsidP="00E507D4">
      <w:pPr>
        <w:numPr>
          <w:ilvl w:val="2"/>
          <w:numId w:val="27"/>
        </w:numPr>
        <w:tabs>
          <w:tab w:val="clear" w:pos="2127"/>
          <w:tab w:val="left" w:pos="1418"/>
        </w:tabs>
        <w:ind w:left="1418" w:hanging="739"/>
        <w:rPr>
          <w:rFonts w:cs="Arial"/>
          <w:sz w:val="20"/>
          <w:szCs w:val="20"/>
          <w:lang w:val="en-AU"/>
        </w:rPr>
      </w:pPr>
      <w:r w:rsidRPr="005545B6">
        <w:rPr>
          <w:rFonts w:cs="Arial"/>
          <w:i/>
          <w:sz w:val="20"/>
          <w:szCs w:val="20"/>
          <w:lang w:val="en-AU"/>
        </w:rPr>
        <w:t>You</w:t>
      </w:r>
      <w:r w:rsidRPr="005545B6">
        <w:rPr>
          <w:rFonts w:cs="Arial"/>
          <w:sz w:val="20"/>
          <w:szCs w:val="20"/>
          <w:lang w:val="en-AU"/>
        </w:rPr>
        <w:t xml:space="preserve"> may use the Handset Credit deposited into </w:t>
      </w:r>
      <w:r w:rsidRPr="005545B6">
        <w:rPr>
          <w:rFonts w:cs="Arial"/>
          <w:i/>
          <w:sz w:val="20"/>
          <w:szCs w:val="20"/>
          <w:lang w:val="en-AU"/>
        </w:rPr>
        <w:t>your</w:t>
      </w:r>
      <w:r w:rsidRPr="005545B6">
        <w:rPr>
          <w:rFonts w:cs="Arial"/>
          <w:sz w:val="20"/>
          <w:szCs w:val="20"/>
          <w:lang w:val="en-AU"/>
        </w:rPr>
        <w:t xml:space="preserve"> account to purchase handsets listed in the Optus e-fulfilment price list as amended by </w:t>
      </w:r>
      <w:r w:rsidRPr="005545B6">
        <w:rPr>
          <w:rFonts w:cs="Arial"/>
          <w:i/>
          <w:sz w:val="20"/>
          <w:szCs w:val="20"/>
          <w:lang w:val="en-AU"/>
        </w:rPr>
        <w:t>us</w:t>
      </w:r>
      <w:r w:rsidRPr="005545B6">
        <w:rPr>
          <w:rFonts w:cs="Arial"/>
          <w:sz w:val="20"/>
          <w:szCs w:val="20"/>
          <w:lang w:val="en-AU"/>
        </w:rPr>
        <w:t xml:space="preserve"> from time to time. This list is available to </w:t>
      </w:r>
      <w:r w:rsidRPr="005545B6">
        <w:rPr>
          <w:rFonts w:cs="Arial"/>
          <w:i/>
          <w:sz w:val="20"/>
          <w:szCs w:val="20"/>
          <w:lang w:val="en-AU"/>
        </w:rPr>
        <w:t>you</w:t>
      </w:r>
      <w:r w:rsidRPr="005545B6">
        <w:rPr>
          <w:rFonts w:cs="Arial"/>
          <w:sz w:val="20"/>
          <w:szCs w:val="20"/>
          <w:lang w:val="en-AU"/>
        </w:rPr>
        <w:t xml:space="preserve"> upon request.</w:t>
      </w:r>
    </w:p>
    <w:p w14:paraId="10A89689" w14:textId="77777777" w:rsidR="00E507D4" w:rsidRPr="005545B6" w:rsidRDefault="00E507D4" w:rsidP="00E507D4">
      <w:pPr>
        <w:numPr>
          <w:ilvl w:val="2"/>
          <w:numId w:val="27"/>
        </w:numPr>
        <w:tabs>
          <w:tab w:val="clear" w:pos="2127"/>
          <w:tab w:val="left" w:pos="1418"/>
        </w:tabs>
        <w:spacing w:before="120" w:after="120"/>
        <w:ind w:left="1418" w:hanging="739"/>
        <w:rPr>
          <w:rFonts w:cs="Arial"/>
          <w:sz w:val="20"/>
          <w:szCs w:val="20"/>
          <w:lang w:val="en-AU"/>
        </w:rPr>
      </w:pPr>
      <w:r w:rsidRPr="005545B6">
        <w:rPr>
          <w:rFonts w:cs="Arial"/>
          <w:sz w:val="20"/>
          <w:szCs w:val="20"/>
          <w:lang w:val="en-AU"/>
        </w:rPr>
        <w:t xml:space="preserve">If the purchase price for products that </w:t>
      </w:r>
      <w:r w:rsidRPr="005545B6">
        <w:rPr>
          <w:rFonts w:cs="Arial"/>
          <w:i/>
          <w:sz w:val="20"/>
          <w:szCs w:val="20"/>
          <w:lang w:val="en-AU"/>
        </w:rPr>
        <w:t>you</w:t>
      </w:r>
      <w:r w:rsidRPr="005545B6">
        <w:rPr>
          <w:rFonts w:cs="Arial"/>
          <w:sz w:val="20"/>
          <w:szCs w:val="20"/>
          <w:lang w:val="en-AU"/>
        </w:rPr>
        <w:t xml:space="preserve"> order is greater than the Handset Credit remaining in </w:t>
      </w:r>
      <w:r w:rsidRPr="005545B6">
        <w:rPr>
          <w:rFonts w:cs="Arial"/>
          <w:i/>
          <w:sz w:val="20"/>
          <w:szCs w:val="20"/>
          <w:lang w:val="en-AU"/>
        </w:rPr>
        <w:t>your</w:t>
      </w:r>
      <w:r w:rsidRPr="005545B6">
        <w:rPr>
          <w:rFonts w:cs="Arial"/>
          <w:sz w:val="20"/>
          <w:szCs w:val="20"/>
          <w:lang w:val="en-AU"/>
        </w:rPr>
        <w:t xml:space="preserve"> account, </w:t>
      </w:r>
      <w:r w:rsidRPr="005545B6">
        <w:rPr>
          <w:rFonts w:cs="Arial"/>
          <w:i/>
          <w:sz w:val="20"/>
          <w:szCs w:val="20"/>
          <w:lang w:val="en-AU"/>
        </w:rPr>
        <w:t>you</w:t>
      </w:r>
      <w:r w:rsidRPr="005545B6">
        <w:rPr>
          <w:rFonts w:cs="Arial"/>
          <w:sz w:val="20"/>
          <w:szCs w:val="20"/>
          <w:lang w:val="en-AU"/>
        </w:rPr>
        <w:t xml:space="preserve"> must pay any difference for those products by manually topping up </w:t>
      </w:r>
      <w:r w:rsidRPr="005545B6">
        <w:rPr>
          <w:rFonts w:cs="Arial"/>
          <w:i/>
          <w:sz w:val="20"/>
          <w:szCs w:val="20"/>
          <w:lang w:val="en-AU"/>
        </w:rPr>
        <w:t>your</w:t>
      </w:r>
      <w:r w:rsidRPr="005545B6">
        <w:rPr>
          <w:rFonts w:cs="Arial"/>
          <w:sz w:val="20"/>
          <w:szCs w:val="20"/>
          <w:lang w:val="en-AU"/>
        </w:rPr>
        <w:t xml:space="preserve"> Handset Credit Fund account with the required funds before purchasing.</w:t>
      </w:r>
    </w:p>
    <w:p w14:paraId="2EA3AD8F" w14:textId="77777777" w:rsidR="00E507D4" w:rsidRPr="005545B6" w:rsidRDefault="00E507D4" w:rsidP="00E507D4">
      <w:pPr>
        <w:numPr>
          <w:ilvl w:val="2"/>
          <w:numId w:val="27"/>
        </w:numPr>
        <w:tabs>
          <w:tab w:val="clear" w:pos="2127"/>
          <w:tab w:val="left" w:pos="1418"/>
        </w:tabs>
        <w:spacing w:before="120" w:after="120"/>
        <w:ind w:left="1418" w:hanging="739"/>
        <w:rPr>
          <w:rFonts w:cs="Arial"/>
          <w:sz w:val="20"/>
          <w:szCs w:val="20"/>
          <w:lang w:val="en-AU"/>
        </w:rPr>
      </w:pPr>
      <w:r w:rsidRPr="005545B6">
        <w:rPr>
          <w:rFonts w:cs="Arial"/>
          <w:sz w:val="20"/>
          <w:szCs w:val="20"/>
          <w:lang w:val="en-AU"/>
        </w:rPr>
        <w:t xml:space="preserve">The value of the Handset Credit is not redeemable for cash and may not be transferred or used for any other purposes (for instance, it may not be used to pay for service charges, minimum monthly call spend or call costs, cannot be used against cancellation fees). </w:t>
      </w:r>
    </w:p>
    <w:p w14:paraId="58460BBB" w14:textId="77777777" w:rsidR="00E507D4" w:rsidRPr="005545B6" w:rsidRDefault="00E507D4" w:rsidP="00E507D4">
      <w:pPr>
        <w:numPr>
          <w:ilvl w:val="2"/>
          <w:numId w:val="27"/>
        </w:numPr>
        <w:tabs>
          <w:tab w:val="clear" w:pos="2127"/>
          <w:tab w:val="left" w:pos="1418"/>
        </w:tabs>
        <w:spacing w:before="120" w:after="120"/>
        <w:ind w:left="1418" w:hanging="709"/>
        <w:rPr>
          <w:rFonts w:cs="Arial"/>
          <w:sz w:val="20"/>
          <w:szCs w:val="20"/>
          <w:lang w:val="en-AU"/>
        </w:rPr>
      </w:pPr>
      <w:r w:rsidRPr="005545B6">
        <w:rPr>
          <w:rFonts w:cs="Arial"/>
          <w:sz w:val="20"/>
          <w:szCs w:val="20"/>
          <w:lang w:val="en-AU"/>
        </w:rPr>
        <w:t xml:space="preserve">If you cancel a service on an account with multiple Tech Fund services, you will not lose any unused handset credit. Only if </w:t>
      </w:r>
      <w:r w:rsidRPr="005545B6">
        <w:rPr>
          <w:rFonts w:cs="Arial"/>
          <w:i/>
          <w:sz w:val="20"/>
          <w:szCs w:val="20"/>
          <w:lang w:val="en-AU"/>
        </w:rPr>
        <w:t>your</w:t>
      </w:r>
      <w:r w:rsidRPr="005545B6">
        <w:rPr>
          <w:rFonts w:cs="Arial"/>
          <w:sz w:val="20"/>
          <w:szCs w:val="20"/>
          <w:lang w:val="en-AU"/>
        </w:rPr>
        <w:t xml:space="preserve"> account is cancelled for any reason than any unused credit will be forfeited.</w:t>
      </w:r>
    </w:p>
    <w:p w14:paraId="123CFB66" w14:textId="77777777" w:rsidR="00E507D4" w:rsidRPr="00F271B8" w:rsidRDefault="00E507D4" w:rsidP="00E507D4">
      <w:pPr>
        <w:pStyle w:val="Heading6"/>
        <w:ind w:left="0" w:firstLine="0"/>
        <w:rPr>
          <w:lang w:val="en-AU"/>
        </w:rPr>
      </w:pPr>
      <w:bookmarkStart w:id="2113" w:name="_Toc508361962"/>
      <w:r w:rsidRPr="00F271B8">
        <w:rPr>
          <w:lang w:val="en-AU"/>
        </w:rPr>
        <w:t>Data Sharing</w:t>
      </w:r>
      <w:bookmarkEnd w:id="2113"/>
    </w:p>
    <w:p w14:paraId="48853233" w14:textId="77777777" w:rsidR="00E507D4" w:rsidRPr="00F271B8" w:rsidRDefault="00E507D4" w:rsidP="00E507D4">
      <w:pPr>
        <w:pStyle w:val="Heading7"/>
        <w:rPr>
          <w:lang w:val="en-AU"/>
        </w:rPr>
      </w:pPr>
      <w:r w:rsidRPr="00F271B8">
        <w:rPr>
          <w:lang w:val="en-AU"/>
        </w:rPr>
        <w:t>If you have more than one My Plan Plus, My Plan Plus SIM Only, My Plan Essentials, My Plan Business (including Tech Fund), My Plan Business SIM, My Plan Business Essentials, My Mobile Broadband Plus or Mobile Broadband Business on the same billing account, the included data will combine into one data pool, which will be shared by all eligible services on that account</w:t>
      </w:r>
      <w:r>
        <w:rPr>
          <w:lang w:val="en-AU"/>
        </w:rPr>
        <w:t xml:space="preserve">. </w:t>
      </w:r>
    </w:p>
    <w:p w14:paraId="38E3A692" w14:textId="77777777" w:rsidR="00E507D4" w:rsidRPr="00F271B8" w:rsidRDefault="00E507D4" w:rsidP="00E507D4">
      <w:pPr>
        <w:pStyle w:val="Heading7"/>
        <w:rPr>
          <w:lang w:val="en-AU"/>
        </w:rPr>
      </w:pPr>
      <w:r w:rsidRPr="00F271B8">
        <w:rPr>
          <w:i/>
          <w:lang w:val="en-AU"/>
        </w:rPr>
        <w:t>You</w:t>
      </w:r>
      <w:r w:rsidRPr="00F271B8">
        <w:rPr>
          <w:lang w:val="en-AU"/>
        </w:rPr>
        <w:t xml:space="preserve"> can also share the Included Data in </w:t>
      </w:r>
      <w:r w:rsidRPr="00F271B8">
        <w:rPr>
          <w:i/>
          <w:lang w:val="en-AU"/>
        </w:rPr>
        <w:t>your</w:t>
      </w:r>
      <w:r w:rsidRPr="00F271B8">
        <w:rPr>
          <w:lang w:val="en-AU"/>
        </w:rPr>
        <w:t xml:space="preserve"> My Plan Plus plan with up to five (5) SIM-ready mobile broadband devices (e.g</w:t>
      </w:r>
      <w:r>
        <w:rPr>
          <w:lang w:val="en-AU"/>
        </w:rPr>
        <w:t xml:space="preserve">. </w:t>
      </w:r>
      <w:r w:rsidRPr="00F271B8">
        <w:rPr>
          <w:lang w:val="en-AU"/>
        </w:rPr>
        <w:t>tablets, USB modems and laptops)</w:t>
      </w:r>
      <w:r>
        <w:rPr>
          <w:lang w:val="en-AU"/>
        </w:rPr>
        <w:t xml:space="preserve">. </w:t>
      </w:r>
      <w:r w:rsidRPr="00F271B8">
        <w:rPr>
          <w:i/>
          <w:lang w:val="en-AU"/>
        </w:rPr>
        <w:t>You</w:t>
      </w:r>
      <w:r w:rsidRPr="00F271B8">
        <w:rPr>
          <w:lang w:val="en-AU"/>
        </w:rPr>
        <w:t xml:space="preserve"> must connect these mobile broadband devices to Shared Data Plans which have a $5 set up fee each and no ongoing monthly charges</w:t>
      </w:r>
      <w:r>
        <w:rPr>
          <w:lang w:val="en-AU"/>
        </w:rPr>
        <w:t xml:space="preserve">. </w:t>
      </w:r>
    </w:p>
    <w:p w14:paraId="1079F2ED" w14:textId="77777777" w:rsidR="00E507D4" w:rsidRPr="00F271B8" w:rsidRDefault="00E507D4" w:rsidP="00E507D4">
      <w:pPr>
        <w:pStyle w:val="Heading7"/>
        <w:rPr>
          <w:lang w:val="en-AU"/>
        </w:rPr>
      </w:pPr>
      <w:r w:rsidRPr="00F271B8">
        <w:rPr>
          <w:lang w:val="en-AU"/>
        </w:rPr>
        <w:t>Data sharing is only available within Australia.</w:t>
      </w:r>
    </w:p>
    <w:p w14:paraId="3169374E" w14:textId="77777777" w:rsidR="00E507D4" w:rsidRPr="00500C24" w:rsidRDefault="00E507D4" w:rsidP="00E507D4">
      <w:pPr>
        <w:pStyle w:val="Heading6"/>
        <w:ind w:left="0" w:firstLine="0"/>
        <w:rPr>
          <w:lang w:val="en-AU"/>
        </w:rPr>
      </w:pPr>
      <w:bookmarkStart w:id="2114" w:name="_Toc508361963"/>
      <w:r w:rsidRPr="00500C24">
        <w:rPr>
          <w:lang w:val="en-AU"/>
        </w:rPr>
        <w:t>International Minutes</w:t>
      </w:r>
      <w:bookmarkEnd w:id="2114"/>
    </w:p>
    <w:p w14:paraId="2C7B7092" w14:textId="77777777" w:rsidR="00E507D4" w:rsidRPr="00500C24" w:rsidRDefault="00E507D4" w:rsidP="00E507D4">
      <w:pPr>
        <w:ind w:left="709"/>
        <w:rPr>
          <w:rFonts w:cs="Arial"/>
          <w:sz w:val="20"/>
          <w:szCs w:val="20"/>
        </w:rPr>
      </w:pPr>
      <w:r w:rsidRPr="00500C24">
        <w:rPr>
          <w:rFonts w:cs="Arial"/>
          <w:sz w:val="20"/>
          <w:szCs w:val="20"/>
        </w:rPr>
        <w:t xml:space="preserve">The $90 My Plan Business </w:t>
      </w:r>
      <w:r>
        <w:rPr>
          <w:rFonts w:cs="Arial"/>
          <w:sz w:val="20"/>
          <w:szCs w:val="20"/>
        </w:rPr>
        <w:t xml:space="preserve">Tech Fund </w:t>
      </w:r>
      <w:r w:rsidRPr="00500C24">
        <w:rPr>
          <w:rFonts w:cs="Arial"/>
          <w:sz w:val="20"/>
          <w:szCs w:val="20"/>
        </w:rPr>
        <w:t xml:space="preserve">includes unlimited international minutes for standard calls to mobiles and fixed lines in selected countries. </w:t>
      </w:r>
      <w:r w:rsidRPr="006F4431">
        <w:rPr>
          <w:rFonts w:cs="Arial"/>
          <w:sz w:val="20"/>
          <w:szCs w:val="20"/>
        </w:rPr>
        <w:t xml:space="preserve">From 5 February 2017 the following countries will also be included: Canada, Hong Kong, South Korea and Thailand. </w:t>
      </w:r>
      <w:r w:rsidRPr="00500C24">
        <w:rPr>
          <w:rFonts w:cs="Arial"/>
          <w:sz w:val="20"/>
          <w:szCs w:val="20"/>
        </w:rPr>
        <w:t>For a list of selected countries see Table 3 below.</w:t>
      </w:r>
    </w:p>
    <w:p w14:paraId="169A6496" w14:textId="77777777" w:rsidR="00E507D4" w:rsidRPr="00500C24" w:rsidRDefault="00E507D4" w:rsidP="00E507D4">
      <w:pPr>
        <w:ind w:left="709"/>
        <w:rPr>
          <w:rFonts w:cs="Arial"/>
          <w:sz w:val="20"/>
          <w:szCs w:val="20"/>
        </w:rPr>
      </w:pPr>
    </w:p>
    <w:p w14:paraId="3C119646" w14:textId="77777777" w:rsidR="00E507D4" w:rsidRPr="00500C24" w:rsidRDefault="00E507D4" w:rsidP="00E507D4">
      <w:pPr>
        <w:ind w:left="709"/>
        <w:rPr>
          <w:rFonts w:cs="Arial"/>
          <w:sz w:val="20"/>
          <w:szCs w:val="20"/>
        </w:rPr>
      </w:pPr>
      <w:r w:rsidRPr="00500C24">
        <w:rPr>
          <w:rFonts w:cs="Arial"/>
          <w:sz w:val="20"/>
          <w:szCs w:val="20"/>
        </w:rPr>
        <w:t xml:space="preserve">Calls to non-selected countries are charged at standard ‘yes’ international call rates. </w:t>
      </w:r>
    </w:p>
    <w:p w14:paraId="09BED5B9" w14:textId="77777777" w:rsidR="00E507D4" w:rsidRDefault="00E507D4" w:rsidP="00E507D4">
      <w:pPr>
        <w:pStyle w:val="Heading6"/>
        <w:numPr>
          <w:ilvl w:val="0"/>
          <w:numId w:val="0"/>
        </w:numPr>
        <w:rPr>
          <w:lang w:val="en-AU"/>
        </w:rPr>
      </w:pPr>
    </w:p>
    <w:p w14:paraId="7919C8F6" w14:textId="77777777" w:rsidR="00E507D4" w:rsidRPr="00F271B8" w:rsidRDefault="00E507D4" w:rsidP="00E507D4">
      <w:pPr>
        <w:pStyle w:val="Heading6"/>
        <w:ind w:left="0" w:firstLine="0"/>
        <w:rPr>
          <w:lang w:val="en-AU"/>
        </w:rPr>
      </w:pPr>
      <w:bookmarkStart w:id="2115" w:name="_Toc508361964"/>
      <w:r w:rsidRPr="00F271B8">
        <w:rPr>
          <w:lang w:val="en-AU"/>
        </w:rPr>
        <w:t>Unlimited standard national SMS and MMS</w:t>
      </w:r>
      <w:bookmarkEnd w:id="2115"/>
    </w:p>
    <w:p w14:paraId="6D3F6C64" w14:textId="77777777" w:rsidR="00E507D4" w:rsidRPr="00F271B8" w:rsidRDefault="00E507D4" w:rsidP="00E507D4">
      <w:pPr>
        <w:pStyle w:val="BodyText"/>
        <w:ind w:left="720"/>
        <w:rPr>
          <w:szCs w:val="20"/>
          <w:u w:val="single"/>
        </w:rPr>
      </w:pPr>
      <w:r w:rsidRPr="00F271B8">
        <w:rPr>
          <w:i/>
          <w:szCs w:val="20"/>
        </w:rPr>
        <w:t>You</w:t>
      </w:r>
      <w:r w:rsidRPr="00F271B8">
        <w:rPr>
          <w:szCs w:val="20"/>
        </w:rPr>
        <w:t xml:space="preserve"> may send unlimited standard SMS and MMS to Australian mobiles from within Australia</w:t>
      </w:r>
      <w:r>
        <w:rPr>
          <w:szCs w:val="20"/>
        </w:rPr>
        <w:t xml:space="preserve">. </w:t>
      </w:r>
      <w:hyperlink r:id="rId831" w:history="1">
        <w:r w:rsidRPr="00F271B8">
          <w:rPr>
            <w:rStyle w:val="Hyperlink"/>
            <w:i/>
            <w:szCs w:val="20"/>
          </w:rPr>
          <w:t>Fair Go Policy</w:t>
        </w:r>
      </w:hyperlink>
      <w:r w:rsidRPr="00F271B8">
        <w:rPr>
          <w:szCs w:val="20"/>
        </w:rPr>
        <w:t xml:space="preserve"> applies</w:t>
      </w:r>
      <w:r>
        <w:rPr>
          <w:szCs w:val="20"/>
        </w:rPr>
        <w:t xml:space="preserve">. </w:t>
      </w:r>
      <w:r w:rsidRPr="00F271B8">
        <w:rPr>
          <w:szCs w:val="20"/>
        </w:rPr>
        <w:t xml:space="preserve">For further details refer to </w:t>
      </w:r>
      <w:hyperlink r:id="rId832" w:history="1">
        <w:r w:rsidRPr="00F271B8">
          <w:rPr>
            <w:rStyle w:val="Hyperlink"/>
            <w:i/>
            <w:szCs w:val="20"/>
          </w:rPr>
          <w:t>Appendix S</w:t>
        </w:r>
        <w:r w:rsidRPr="00FE65F4">
          <w:rPr>
            <w:rStyle w:val="Hyperlink"/>
            <w:i/>
            <w:szCs w:val="20"/>
          </w:rPr>
          <w:t>.</w:t>
        </w:r>
      </w:hyperlink>
    </w:p>
    <w:p w14:paraId="352E2F3E" w14:textId="77777777" w:rsidR="00E507D4" w:rsidRPr="00F271B8" w:rsidRDefault="00E507D4" w:rsidP="00E507D4">
      <w:pPr>
        <w:pStyle w:val="Heading6"/>
        <w:ind w:left="0" w:firstLine="0"/>
        <w:rPr>
          <w:lang w:val="en-AU"/>
        </w:rPr>
      </w:pPr>
      <w:bookmarkStart w:id="2116" w:name="_Toc508361965"/>
      <w:r w:rsidRPr="00F271B8">
        <w:rPr>
          <w:lang w:val="en-AU"/>
        </w:rPr>
        <w:lastRenderedPageBreak/>
        <w:t>Unlimited standard international SMS and MMS</w:t>
      </w:r>
      <w:bookmarkEnd w:id="2116"/>
    </w:p>
    <w:p w14:paraId="47D71B30" w14:textId="77777777" w:rsidR="00E507D4" w:rsidRDefault="00E507D4" w:rsidP="00E507D4">
      <w:pPr>
        <w:pStyle w:val="BodyText"/>
        <w:ind w:left="720"/>
        <w:rPr>
          <w:i/>
          <w:szCs w:val="20"/>
        </w:rPr>
      </w:pPr>
      <w:r w:rsidRPr="00F271B8">
        <w:rPr>
          <w:i/>
          <w:szCs w:val="20"/>
        </w:rPr>
        <w:t>You</w:t>
      </w:r>
      <w:r w:rsidRPr="00F271B8">
        <w:rPr>
          <w:szCs w:val="20"/>
        </w:rPr>
        <w:t xml:space="preserve"> may send unlimited standard SMS and MMS to selected countries from within Australia</w:t>
      </w:r>
      <w:r>
        <w:rPr>
          <w:szCs w:val="20"/>
        </w:rPr>
        <w:t xml:space="preserve">. </w:t>
      </w:r>
      <w:r w:rsidRPr="00F271B8">
        <w:rPr>
          <w:szCs w:val="20"/>
        </w:rPr>
        <w:t>For a list of selected countries see Table 3 below</w:t>
      </w:r>
      <w:r>
        <w:rPr>
          <w:szCs w:val="20"/>
        </w:rPr>
        <w:t xml:space="preserve">. </w:t>
      </w:r>
      <w:hyperlink r:id="rId833" w:history="1">
        <w:r w:rsidRPr="00F271B8">
          <w:rPr>
            <w:rStyle w:val="Hyperlink"/>
            <w:i/>
            <w:szCs w:val="20"/>
          </w:rPr>
          <w:t>Fair Go Policy</w:t>
        </w:r>
      </w:hyperlink>
      <w:r w:rsidRPr="00F271B8">
        <w:rPr>
          <w:i/>
          <w:szCs w:val="20"/>
        </w:rPr>
        <w:t xml:space="preserve"> </w:t>
      </w:r>
      <w:r w:rsidRPr="00F271B8">
        <w:rPr>
          <w:szCs w:val="20"/>
        </w:rPr>
        <w:t>applies</w:t>
      </w:r>
      <w:r>
        <w:rPr>
          <w:szCs w:val="20"/>
        </w:rPr>
        <w:t xml:space="preserve">. </w:t>
      </w:r>
      <w:r w:rsidRPr="00F271B8">
        <w:rPr>
          <w:szCs w:val="20"/>
        </w:rPr>
        <w:t xml:space="preserve">For further details refer to </w:t>
      </w:r>
      <w:hyperlink r:id="rId834" w:history="1">
        <w:r w:rsidRPr="00F271B8">
          <w:rPr>
            <w:rStyle w:val="Hyperlink"/>
            <w:i/>
            <w:szCs w:val="20"/>
          </w:rPr>
          <w:t>Appendix S</w:t>
        </w:r>
        <w:r w:rsidRPr="00FE65F4">
          <w:rPr>
            <w:rStyle w:val="Hyperlink"/>
            <w:i/>
            <w:szCs w:val="20"/>
          </w:rPr>
          <w:t>.</w:t>
        </w:r>
      </w:hyperlink>
    </w:p>
    <w:p w14:paraId="223AED16" w14:textId="77777777" w:rsidR="00E507D4" w:rsidRPr="00D60F4C" w:rsidRDefault="00E507D4" w:rsidP="00E507D4">
      <w:pPr>
        <w:pStyle w:val="Heading6"/>
        <w:ind w:left="0" w:firstLine="0"/>
        <w:rPr>
          <w:lang w:val="en-AU"/>
        </w:rPr>
      </w:pPr>
      <w:bookmarkStart w:id="2117" w:name="_Toc508361966"/>
      <w:r w:rsidRPr="00D60F4C">
        <w:rPr>
          <w:lang w:val="en-AU"/>
        </w:rPr>
        <w:t xml:space="preserve">Optus </w:t>
      </w:r>
      <w:r w:rsidRPr="00D60F4C">
        <w:t>Travel</w:t>
      </w:r>
      <w:r w:rsidRPr="00D60F4C">
        <w:rPr>
          <w:vertAlign w:val="superscript"/>
        </w:rPr>
        <w:t>TM</w:t>
      </w:r>
      <w:r w:rsidRPr="00D60F4C">
        <w:rPr>
          <w:lang w:val="en-AU"/>
        </w:rPr>
        <w:t xml:space="preserve"> Pack</w:t>
      </w:r>
      <w:bookmarkEnd w:id="2117"/>
    </w:p>
    <w:p w14:paraId="49A62701" w14:textId="77777777" w:rsidR="00E507D4" w:rsidRPr="00D60F4C" w:rsidRDefault="00E507D4" w:rsidP="00E507D4">
      <w:pPr>
        <w:ind w:left="709"/>
        <w:rPr>
          <w:rFonts w:cs="Arial"/>
          <w:snapToGrid w:val="0"/>
          <w:sz w:val="20"/>
          <w:szCs w:val="20"/>
        </w:rPr>
      </w:pPr>
      <w:r w:rsidRPr="00D60F4C">
        <w:rPr>
          <w:rFonts w:cs="Arial"/>
          <w:snapToGrid w:val="0"/>
          <w:sz w:val="20"/>
          <w:szCs w:val="20"/>
        </w:rPr>
        <w:t>The $90 My Plan Business</w:t>
      </w:r>
      <w:r>
        <w:rPr>
          <w:rFonts w:cs="Arial"/>
          <w:snapToGrid w:val="0"/>
          <w:sz w:val="20"/>
          <w:szCs w:val="20"/>
        </w:rPr>
        <w:t xml:space="preserve"> Tech Fund</w:t>
      </w:r>
      <w:r w:rsidRPr="00D60F4C">
        <w:rPr>
          <w:rFonts w:cs="Arial"/>
          <w:snapToGrid w:val="0"/>
          <w:sz w:val="20"/>
          <w:szCs w:val="20"/>
        </w:rPr>
        <w:t xml:space="preserve"> plans can take up the Optus Travel</w:t>
      </w:r>
      <w:r w:rsidRPr="00D60F4C">
        <w:rPr>
          <w:rFonts w:cs="Arial"/>
          <w:snapToGrid w:val="0"/>
          <w:sz w:val="20"/>
          <w:szCs w:val="20"/>
          <w:vertAlign w:val="superscript"/>
        </w:rPr>
        <w:t>TM</w:t>
      </w:r>
      <w:r w:rsidRPr="00D60F4C">
        <w:rPr>
          <w:rFonts w:cs="Arial"/>
          <w:snapToGrid w:val="0"/>
          <w:sz w:val="20"/>
          <w:szCs w:val="20"/>
        </w:rPr>
        <w:t xml:space="preserve"> Pack for $5 per day. </w:t>
      </w:r>
      <w:r w:rsidRPr="00D60F4C">
        <w:rPr>
          <w:rFonts w:cs="Arial"/>
          <w:i/>
          <w:snapToGrid w:val="0"/>
          <w:sz w:val="20"/>
          <w:szCs w:val="20"/>
        </w:rPr>
        <w:t>You</w:t>
      </w:r>
      <w:r w:rsidRPr="00D60F4C">
        <w:rPr>
          <w:rFonts w:cs="Arial"/>
          <w:snapToGrid w:val="0"/>
          <w:sz w:val="20"/>
          <w:szCs w:val="20"/>
        </w:rPr>
        <w:t xml:space="preserve"> need to ensure you purchase and activate any Optus Travel</w:t>
      </w:r>
      <w:r w:rsidRPr="00D60F4C">
        <w:rPr>
          <w:rFonts w:cs="Arial"/>
          <w:snapToGrid w:val="0"/>
          <w:sz w:val="20"/>
          <w:szCs w:val="20"/>
          <w:vertAlign w:val="superscript"/>
        </w:rPr>
        <w:t>TM</w:t>
      </w:r>
      <w:r w:rsidRPr="00D60F4C">
        <w:rPr>
          <w:rFonts w:cs="Arial"/>
          <w:snapToGrid w:val="0"/>
          <w:sz w:val="20"/>
          <w:szCs w:val="20"/>
        </w:rPr>
        <w:t xml:space="preserve"> Pack by contacting Optus prior to use. Optus Travel</w:t>
      </w:r>
      <w:r w:rsidRPr="00D60F4C">
        <w:rPr>
          <w:rFonts w:cs="Arial"/>
          <w:snapToGrid w:val="0"/>
          <w:sz w:val="20"/>
          <w:szCs w:val="20"/>
          <w:vertAlign w:val="superscript"/>
        </w:rPr>
        <w:t>TM</w:t>
      </w:r>
      <w:r w:rsidRPr="00D60F4C">
        <w:rPr>
          <w:rFonts w:cs="Arial"/>
          <w:snapToGrid w:val="0"/>
          <w:sz w:val="20"/>
          <w:szCs w:val="20"/>
        </w:rPr>
        <w:t xml:space="preserve"> Pack gives you unlimited standard national and international voice, SMS (MMS is excluded) plus 50MB of data to use in Zone 1 countries per day. For list of countries see optus.com.au/biztravel.</w:t>
      </w:r>
    </w:p>
    <w:p w14:paraId="06332C2E" w14:textId="77777777" w:rsidR="00E507D4" w:rsidRPr="00D60F4C" w:rsidRDefault="00E507D4" w:rsidP="00E507D4">
      <w:pPr>
        <w:ind w:left="709"/>
        <w:rPr>
          <w:rFonts w:cs="Arial"/>
          <w:snapToGrid w:val="0"/>
          <w:sz w:val="20"/>
          <w:szCs w:val="20"/>
        </w:rPr>
      </w:pPr>
    </w:p>
    <w:p w14:paraId="743299E1" w14:textId="77777777" w:rsidR="00E507D4" w:rsidRPr="00D60F4C" w:rsidRDefault="00E507D4" w:rsidP="00E507D4">
      <w:pPr>
        <w:tabs>
          <w:tab w:val="left" w:pos="567"/>
          <w:tab w:val="left" w:pos="709"/>
          <w:tab w:val="left" w:pos="1701"/>
        </w:tabs>
        <w:ind w:left="709"/>
        <w:rPr>
          <w:rFonts w:cs="Arial"/>
          <w:snapToGrid w:val="0"/>
          <w:sz w:val="20"/>
          <w:szCs w:val="20"/>
          <w:lang w:val="en-AU"/>
        </w:rPr>
      </w:pPr>
      <w:r w:rsidRPr="00D60F4C">
        <w:rPr>
          <w:rFonts w:cs="Arial"/>
          <w:i/>
          <w:snapToGrid w:val="0"/>
          <w:sz w:val="20"/>
          <w:szCs w:val="20"/>
          <w:lang w:val="en-AU"/>
        </w:rPr>
        <w:t>You</w:t>
      </w:r>
      <w:r w:rsidRPr="00D60F4C">
        <w:rPr>
          <w:rFonts w:cs="Arial"/>
          <w:snapToGrid w:val="0"/>
          <w:sz w:val="20"/>
          <w:szCs w:val="20"/>
          <w:lang w:val="en-AU"/>
        </w:rPr>
        <w:t xml:space="preserve"> can activate the Optus Travel</w:t>
      </w:r>
      <w:r w:rsidRPr="00D60F4C">
        <w:rPr>
          <w:rFonts w:cs="Arial"/>
          <w:snapToGrid w:val="0"/>
          <w:sz w:val="20"/>
          <w:szCs w:val="20"/>
          <w:vertAlign w:val="superscript"/>
          <w:lang w:val="en-AU"/>
        </w:rPr>
        <w:t>TM</w:t>
      </w:r>
      <w:r w:rsidRPr="00D60F4C">
        <w:rPr>
          <w:rFonts w:cs="Arial"/>
          <w:snapToGrid w:val="0"/>
          <w:sz w:val="20"/>
          <w:szCs w:val="20"/>
          <w:lang w:val="en-AU"/>
        </w:rPr>
        <w:t xml:space="preserve"> Pack on a day to day basis or multiple days at once. If you activate multiple consecutive days, the data allowance will accumulate, for example </w:t>
      </w:r>
      <w:r w:rsidRPr="00D60F4C">
        <w:rPr>
          <w:rFonts w:cs="Arial"/>
          <w:bCs/>
          <w:snapToGrid w:val="0"/>
          <w:sz w:val="20"/>
          <w:szCs w:val="20"/>
          <w:lang w:val="en-AU"/>
        </w:rPr>
        <w:t>activate 5 consecutive days and use 250MB any time over the 5 day period. If you exceed the data limit, standard data roaming charges will apply. Any data provided as part of Optus Travel™ Pack is not shareable and will not form part of any Data Pool. Any unused days of Optus Travel™ Pack are forfeited and cannot be rolled over to the next billing month.</w:t>
      </w:r>
    </w:p>
    <w:p w14:paraId="54463D48" w14:textId="77777777" w:rsidR="00E507D4" w:rsidRPr="00D60F4C" w:rsidRDefault="00E507D4" w:rsidP="00E507D4">
      <w:pPr>
        <w:tabs>
          <w:tab w:val="left" w:pos="567"/>
          <w:tab w:val="left" w:pos="709"/>
          <w:tab w:val="left" w:pos="1701"/>
        </w:tabs>
        <w:spacing w:before="120" w:after="120"/>
        <w:ind w:left="709"/>
        <w:rPr>
          <w:rFonts w:cs="Arial"/>
          <w:snapToGrid w:val="0"/>
          <w:sz w:val="20"/>
          <w:szCs w:val="20"/>
          <w:lang w:val="en-AU"/>
        </w:rPr>
      </w:pPr>
      <w:r w:rsidRPr="00D60F4C">
        <w:rPr>
          <w:rFonts w:cs="Arial"/>
          <w:snapToGrid w:val="0"/>
          <w:sz w:val="20"/>
          <w:szCs w:val="20"/>
          <w:lang w:val="en-AU"/>
        </w:rPr>
        <w:t>I</w:t>
      </w:r>
      <w:r w:rsidRPr="00D60F4C">
        <w:rPr>
          <w:rFonts w:cs="Arial"/>
          <w:bCs/>
          <w:snapToGrid w:val="0"/>
          <w:sz w:val="20"/>
          <w:szCs w:val="20"/>
          <w:lang w:val="en-AU"/>
        </w:rPr>
        <w:t>f you are not in a Zone 1 country you will be charged at standard roaming rates for that country.</w:t>
      </w:r>
      <w:r>
        <w:rPr>
          <w:rFonts w:cs="Arial"/>
          <w:bCs/>
          <w:snapToGrid w:val="0"/>
          <w:sz w:val="20"/>
          <w:szCs w:val="20"/>
          <w:lang w:val="en-AU"/>
        </w:rPr>
        <w:br/>
      </w:r>
    </w:p>
    <w:p w14:paraId="25A9C667" w14:textId="77777777" w:rsidR="00E507D4" w:rsidRPr="00F271B8" w:rsidRDefault="00E507D4" w:rsidP="00E507D4">
      <w:pPr>
        <w:pStyle w:val="BodyText"/>
        <w:ind w:left="142" w:hanging="142"/>
        <w:rPr>
          <w:b/>
          <w:lang w:val="en-AU"/>
        </w:rPr>
      </w:pPr>
      <w:r w:rsidRPr="00F271B8">
        <w:rPr>
          <w:b/>
          <w:lang w:val="en-AU"/>
        </w:rPr>
        <w:t>Table 1 –Plan Inclusions and Charges</w:t>
      </w:r>
    </w:p>
    <w:tbl>
      <w:tblPr>
        <w:tblW w:w="46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4903"/>
      </w:tblGrid>
      <w:tr w:rsidR="00E507D4" w:rsidRPr="00F271B8" w14:paraId="0296E2D1" w14:textId="77777777" w:rsidTr="00B95821">
        <w:tc>
          <w:tcPr>
            <w:tcW w:w="2438" w:type="pct"/>
            <w:shd w:val="clear" w:color="auto" w:fill="auto"/>
          </w:tcPr>
          <w:p w14:paraId="7D2D2FB0" w14:textId="77777777" w:rsidR="00E507D4" w:rsidRPr="00F271B8" w:rsidRDefault="00E507D4" w:rsidP="00B95821">
            <w:pPr>
              <w:pStyle w:val="BodyText"/>
              <w:spacing w:before="100" w:after="100"/>
            </w:pPr>
          </w:p>
        </w:tc>
        <w:tc>
          <w:tcPr>
            <w:tcW w:w="2562" w:type="pct"/>
            <w:shd w:val="clear" w:color="auto" w:fill="auto"/>
            <w:vAlign w:val="center"/>
          </w:tcPr>
          <w:p w14:paraId="498B5DB6" w14:textId="77777777" w:rsidR="00E507D4" w:rsidRPr="00F271B8" w:rsidRDefault="00E507D4" w:rsidP="00B95821">
            <w:pPr>
              <w:pStyle w:val="BodyText"/>
              <w:spacing w:before="100" w:after="100"/>
              <w:jc w:val="center"/>
              <w:rPr>
                <w:b/>
              </w:rPr>
            </w:pPr>
            <w:r>
              <w:rPr>
                <w:b/>
              </w:rPr>
              <w:t>$9</w:t>
            </w:r>
            <w:r w:rsidRPr="00F271B8">
              <w:rPr>
                <w:b/>
              </w:rPr>
              <w:t>0 My Plan Business</w:t>
            </w:r>
            <w:r>
              <w:rPr>
                <w:b/>
              </w:rPr>
              <w:t xml:space="preserve"> Tech Fund</w:t>
            </w:r>
          </w:p>
        </w:tc>
      </w:tr>
      <w:tr w:rsidR="00E507D4" w:rsidRPr="00F271B8" w14:paraId="389C96C3" w14:textId="77777777" w:rsidTr="00B95821">
        <w:tc>
          <w:tcPr>
            <w:tcW w:w="2438" w:type="pct"/>
            <w:shd w:val="clear" w:color="auto" w:fill="auto"/>
          </w:tcPr>
          <w:p w14:paraId="71881B47" w14:textId="77777777" w:rsidR="00E507D4" w:rsidRPr="00F271B8" w:rsidRDefault="00E507D4" w:rsidP="00B95821">
            <w:pPr>
              <w:pStyle w:val="BodyText"/>
              <w:spacing w:before="100" w:after="100"/>
            </w:pPr>
            <w:r w:rsidRPr="00F271B8">
              <w:rPr>
                <w:b/>
                <w:bCs/>
              </w:rPr>
              <w:t>Minimum Monthly charge</w:t>
            </w:r>
          </w:p>
        </w:tc>
        <w:tc>
          <w:tcPr>
            <w:tcW w:w="2562" w:type="pct"/>
            <w:shd w:val="clear" w:color="auto" w:fill="auto"/>
            <w:vAlign w:val="center"/>
          </w:tcPr>
          <w:p w14:paraId="0D8B6B35" w14:textId="77777777" w:rsidR="00E507D4" w:rsidRPr="00F271B8" w:rsidRDefault="00E507D4" w:rsidP="00B95821">
            <w:pPr>
              <w:pStyle w:val="BodyText"/>
              <w:spacing w:before="100" w:after="100"/>
              <w:jc w:val="center"/>
            </w:pPr>
            <w:r>
              <w:t>$9</w:t>
            </w:r>
            <w:r w:rsidRPr="00F271B8">
              <w:t>0</w:t>
            </w:r>
          </w:p>
        </w:tc>
      </w:tr>
      <w:tr w:rsidR="00E507D4" w:rsidRPr="00F271B8" w14:paraId="54FE79C1" w14:textId="77777777" w:rsidTr="00B95821">
        <w:tc>
          <w:tcPr>
            <w:tcW w:w="2438" w:type="pct"/>
            <w:shd w:val="clear" w:color="auto" w:fill="auto"/>
          </w:tcPr>
          <w:p w14:paraId="6A508DC1" w14:textId="77777777" w:rsidR="00E507D4" w:rsidRPr="00F271B8" w:rsidRDefault="00E507D4" w:rsidP="00B95821">
            <w:pPr>
              <w:pStyle w:val="BodyText"/>
              <w:spacing w:before="100" w:after="100"/>
            </w:pPr>
            <w:r w:rsidRPr="00F271B8">
              <w:rPr>
                <w:b/>
                <w:bCs/>
              </w:rPr>
              <w:t>Included Data</w:t>
            </w:r>
          </w:p>
        </w:tc>
        <w:tc>
          <w:tcPr>
            <w:tcW w:w="2562" w:type="pct"/>
            <w:shd w:val="clear" w:color="auto" w:fill="auto"/>
            <w:vAlign w:val="center"/>
          </w:tcPr>
          <w:p w14:paraId="2F5B19EE" w14:textId="77777777" w:rsidR="00E507D4" w:rsidRPr="00F271B8" w:rsidRDefault="00E507D4" w:rsidP="00B95821">
            <w:pPr>
              <w:pStyle w:val="BodyText"/>
              <w:spacing w:before="100" w:after="100"/>
              <w:jc w:val="center"/>
            </w:pPr>
            <w:r>
              <w:t>9GB</w:t>
            </w:r>
          </w:p>
        </w:tc>
      </w:tr>
      <w:tr w:rsidR="00E507D4" w:rsidRPr="00F271B8" w14:paraId="70E17CBD" w14:textId="77777777" w:rsidTr="00B95821">
        <w:tc>
          <w:tcPr>
            <w:tcW w:w="2438" w:type="pct"/>
            <w:shd w:val="clear" w:color="auto" w:fill="auto"/>
          </w:tcPr>
          <w:p w14:paraId="4191C717" w14:textId="77777777" w:rsidR="00E507D4" w:rsidRPr="00F271B8" w:rsidRDefault="00E507D4" w:rsidP="00B95821">
            <w:pPr>
              <w:pStyle w:val="BodyText"/>
              <w:spacing w:before="100" w:after="100"/>
              <w:rPr>
                <w:b/>
                <w:bCs/>
              </w:rPr>
            </w:pPr>
            <w:r w:rsidRPr="00304BEC">
              <w:rPr>
                <w:rFonts w:eastAsia="Calibri" w:cs="Arial"/>
                <w:b/>
                <w:bCs/>
                <w:lang w:eastAsia="en-AU"/>
              </w:rPr>
              <w:t>Additional Data</w:t>
            </w:r>
          </w:p>
        </w:tc>
        <w:tc>
          <w:tcPr>
            <w:tcW w:w="2562" w:type="pct"/>
            <w:shd w:val="clear" w:color="auto" w:fill="auto"/>
          </w:tcPr>
          <w:p w14:paraId="108F9F5D" w14:textId="77777777" w:rsidR="00E507D4" w:rsidRPr="00F271B8" w:rsidRDefault="00E507D4" w:rsidP="00B95821">
            <w:pPr>
              <w:pStyle w:val="BodyText"/>
              <w:spacing w:before="100" w:after="100"/>
              <w:jc w:val="center"/>
            </w:pPr>
            <w:r w:rsidRPr="00304BEC">
              <w:rPr>
                <w:rFonts w:cs="Arial"/>
              </w:rPr>
              <w:t>Additional data $10 per 1GB</w:t>
            </w:r>
          </w:p>
        </w:tc>
      </w:tr>
      <w:tr w:rsidR="00E507D4" w:rsidRPr="00F271B8" w14:paraId="4B66F6E0" w14:textId="77777777" w:rsidTr="00B95821">
        <w:trPr>
          <w:trHeight w:val="64"/>
        </w:trPr>
        <w:tc>
          <w:tcPr>
            <w:tcW w:w="2438" w:type="pct"/>
            <w:shd w:val="clear" w:color="auto" w:fill="auto"/>
            <w:vAlign w:val="center"/>
          </w:tcPr>
          <w:p w14:paraId="157B4338" w14:textId="77777777" w:rsidR="00E507D4" w:rsidRPr="00F271B8" w:rsidRDefault="00E507D4" w:rsidP="00B95821">
            <w:pPr>
              <w:pStyle w:val="BodyText"/>
              <w:spacing w:before="100" w:after="100"/>
              <w:rPr>
                <w:b/>
                <w:bCs/>
              </w:rPr>
            </w:pPr>
            <w:r w:rsidRPr="00F271B8">
              <w:rPr>
                <w:b/>
                <w:bCs/>
              </w:rPr>
              <w:t>Included Minutes</w:t>
            </w:r>
          </w:p>
          <w:p w14:paraId="34CE65D4" w14:textId="77777777" w:rsidR="00E507D4" w:rsidRPr="00F271B8" w:rsidRDefault="00E507D4" w:rsidP="00B95821">
            <w:pPr>
              <w:pStyle w:val="BodyText"/>
              <w:spacing w:before="100" w:after="100"/>
              <w:rPr>
                <w:b/>
                <w:bCs/>
              </w:rPr>
            </w:pPr>
            <w:r w:rsidRPr="00F271B8">
              <w:rPr>
                <w:bCs/>
              </w:rPr>
              <w:t>for standard national calls to landlines and mobiles, 1300 numbers and voicemail, within Australia</w:t>
            </w:r>
          </w:p>
        </w:tc>
        <w:tc>
          <w:tcPr>
            <w:tcW w:w="2562" w:type="pct"/>
            <w:shd w:val="clear" w:color="auto" w:fill="auto"/>
            <w:vAlign w:val="center"/>
          </w:tcPr>
          <w:p w14:paraId="6D254F7A" w14:textId="77777777" w:rsidR="00E507D4" w:rsidRPr="00F271B8" w:rsidRDefault="00E507D4" w:rsidP="00B95821">
            <w:pPr>
              <w:pStyle w:val="BodyText"/>
              <w:spacing w:before="100" w:after="100"/>
              <w:jc w:val="center"/>
            </w:pPr>
            <w:r>
              <w:t>Unlimited</w:t>
            </w:r>
          </w:p>
        </w:tc>
      </w:tr>
      <w:tr w:rsidR="00E507D4" w:rsidRPr="00F271B8" w14:paraId="7CEDD288" w14:textId="77777777" w:rsidTr="00B95821">
        <w:trPr>
          <w:trHeight w:val="64"/>
        </w:trPr>
        <w:tc>
          <w:tcPr>
            <w:tcW w:w="2438" w:type="pct"/>
            <w:shd w:val="clear" w:color="auto" w:fill="auto"/>
          </w:tcPr>
          <w:p w14:paraId="4819DD72" w14:textId="77777777" w:rsidR="00E507D4" w:rsidRPr="00F271B8" w:rsidRDefault="00E507D4" w:rsidP="00B95821">
            <w:pPr>
              <w:pStyle w:val="BodyText"/>
              <w:spacing w:before="100" w:after="100"/>
            </w:pPr>
            <w:r w:rsidRPr="00F271B8">
              <w:rPr>
                <w:b/>
                <w:bCs/>
              </w:rPr>
              <w:t xml:space="preserve">Standard national SMS </w:t>
            </w:r>
            <w:r w:rsidRPr="00F271B8">
              <w:t>(per SMS of up to 160 standard characters)</w:t>
            </w:r>
          </w:p>
        </w:tc>
        <w:tc>
          <w:tcPr>
            <w:tcW w:w="2562" w:type="pct"/>
            <w:shd w:val="clear" w:color="auto" w:fill="auto"/>
            <w:vAlign w:val="center"/>
          </w:tcPr>
          <w:p w14:paraId="235131BD" w14:textId="77777777" w:rsidR="00E507D4" w:rsidRPr="00F271B8" w:rsidRDefault="00E507D4" w:rsidP="00B95821">
            <w:pPr>
              <w:pStyle w:val="BodyText"/>
              <w:spacing w:before="100" w:after="100"/>
              <w:jc w:val="center"/>
            </w:pPr>
            <w:r w:rsidRPr="00F271B8">
              <w:t>Unlimited</w:t>
            </w:r>
          </w:p>
        </w:tc>
      </w:tr>
      <w:tr w:rsidR="00E507D4" w:rsidRPr="00F271B8" w14:paraId="2341F168" w14:textId="77777777" w:rsidTr="00B95821">
        <w:tc>
          <w:tcPr>
            <w:tcW w:w="2438" w:type="pct"/>
            <w:shd w:val="clear" w:color="auto" w:fill="auto"/>
          </w:tcPr>
          <w:p w14:paraId="4AB2B86C" w14:textId="77777777" w:rsidR="00E507D4" w:rsidRPr="00F271B8" w:rsidRDefault="00E507D4" w:rsidP="00B95821">
            <w:pPr>
              <w:pStyle w:val="BodyText"/>
              <w:spacing w:before="100" w:after="100"/>
              <w:rPr>
                <w:b/>
                <w:bCs/>
              </w:rPr>
            </w:pPr>
            <w:r w:rsidRPr="00F271B8">
              <w:rPr>
                <w:b/>
                <w:bCs/>
              </w:rPr>
              <w:t xml:space="preserve">Standard national MMS </w:t>
            </w:r>
            <w:r w:rsidRPr="00F271B8">
              <w:t>(per message)</w:t>
            </w:r>
          </w:p>
        </w:tc>
        <w:tc>
          <w:tcPr>
            <w:tcW w:w="2562" w:type="pct"/>
            <w:shd w:val="clear" w:color="auto" w:fill="auto"/>
            <w:vAlign w:val="center"/>
          </w:tcPr>
          <w:p w14:paraId="4559DB61" w14:textId="77777777" w:rsidR="00E507D4" w:rsidRPr="00F271B8" w:rsidRDefault="00E507D4" w:rsidP="00B95821">
            <w:pPr>
              <w:pStyle w:val="BodyText"/>
              <w:spacing w:before="100" w:after="100"/>
              <w:jc w:val="center"/>
            </w:pPr>
            <w:r w:rsidRPr="00F271B8">
              <w:t>Unlimited</w:t>
            </w:r>
          </w:p>
        </w:tc>
      </w:tr>
      <w:tr w:rsidR="00E507D4" w:rsidRPr="00F271B8" w14:paraId="6463C42A" w14:textId="77777777" w:rsidTr="00B95821">
        <w:tc>
          <w:tcPr>
            <w:tcW w:w="2438" w:type="pct"/>
            <w:shd w:val="clear" w:color="auto" w:fill="auto"/>
          </w:tcPr>
          <w:p w14:paraId="33D6DC1A" w14:textId="77777777" w:rsidR="00E507D4" w:rsidRPr="00F271B8" w:rsidDel="00064B49" w:rsidRDefault="00E507D4" w:rsidP="00B95821">
            <w:pPr>
              <w:pStyle w:val="BodyText"/>
              <w:spacing w:before="100" w:after="100"/>
              <w:rPr>
                <w:b/>
                <w:bCs/>
              </w:rPr>
            </w:pPr>
            <w:r w:rsidRPr="00F271B8">
              <w:rPr>
                <w:b/>
                <w:bCs/>
              </w:rPr>
              <w:t xml:space="preserve">Standard international SMS </w:t>
            </w:r>
            <w:r w:rsidRPr="00F271B8">
              <w:t>(per SMS of up to 160 standard characters to selected countries)</w:t>
            </w:r>
          </w:p>
        </w:tc>
        <w:tc>
          <w:tcPr>
            <w:tcW w:w="2562" w:type="pct"/>
            <w:shd w:val="clear" w:color="auto" w:fill="auto"/>
            <w:vAlign w:val="center"/>
          </w:tcPr>
          <w:p w14:paraId="54C6A98F" w14:textId="77777777" w:rsidR="00E507D4" w:rsidRPr="00F271B8" w:rsidDel="00064B49" w:rsidRDefault="00E507D4" w:rsidP="00B95821">
            <w:pPr>
              <w:pStyle w:val="BodyText"/>
              <w:spacing w:before="100" w:after="100"/>
              <w:jc w:val="center"/>
            </w:pPr>
            <w:r w:rsidRPr="00F271B8">
              <w:t>Unlimited</w:t>
            </w:r>
          </w:p>
        </w:tc>
      </w:tr>
      <w:tr w:rsidR="00E507D4" w:rsidRPr="00F271B8" w14:paraId="129D2AD0" w14:textId="77777777" w:rsidTr="00B95821">
        <w:tc>
          <w:tcPr>
            <w:tcW w:w="2438" w:type="pct"/>
            <w:shd w:val="clear" w:color="auto" w:fill="auto"/>
          </w:tcPr>
          <w:p w14:paraId="62696AB4" w14:textId="77777777" w:rsidR="00E507D4" w:rsidRPr="00F271B8" w:rsidRDefault="00E507D4" w:rsidP="00B95821">
            <w:pPr>
              <w:pStyle w:val="BodyText"/>
              <w:spacing w:before="100" w:after="100"/>
              <w:rPr>
                <w:b/>
                <w:bCs/>
              </w:rPr>
            </w:pPr>
            <w:r w:rsidRPr="00F271B8">
              <w:rPr>
                <w:b/>
                <w:bCs/>
              </w:rPr>
              <w:t xml:space="preserve">Standard international MMS </w:t>
            </w:r>
            <w:r w:rsidRPr="00F271B8">
              <w:t>(per message to selected countries)</w:t>
            </w:r>
          </w:p>
        </w:tc>
        <w:tc>
          <w:tcPr>
            <w:tcW w:w="2562" w:type="pct"/>
            <w:shd w:val="clear" w:color="auto" w:fill="auto"/>
            <w:vAlign w:val="center"/>
          </w:tcPr>
          <w:p w14:paraId="012F675E" w14:textId="77777777" w:rsidR="00E507D4" w:rsidRPr="00F271B8" w:rsidRDefault="00E507D4" w:rsidP="00B95821">
            <w:pPr>
              <w:pStyle w:val="BodyText"/>
              <w:spacing w:before="100" w:after="100"/>
              <w:jc w:val="center"/>
            </w:pPr>
            <w:r w:rsidRPr="00F271B8">
              <w:t>Unlimited</w:t>
            </w:r>
          </w:p>
        </w:tc>
      </w:tr>
      <w:tr w:rsidR="00E507D4" w:rsidRPr="00F271B8" w14:paraId="31C2EE51" w14:textId="77777777" w:rsidTr="00B95821">
        <w:tc>
          <w:tcPr>
            <w:tcW w:w="2438" w:type="pct"/>
            <w:shd w:val="clear" w:color="auto" w:fill="auto"/>
          </w:tcPr>
          <w:p w14:paraId="328020BE" w14:textId="77777777" w:rsidR="00E507D4" w:rsidRDefault="00E507D4" w:rsidP="00B95821">
            <w:pPr>
              <w:pStyle w:val="BodyText"/>
              <w:spacing w:before="100" w:after="100"/>
            </w:pPr>
            <w:r w:rsidRPr="0089521A">
              <w:t xml:space="preserve">International Roaming </w:t>
            </w:r>
          </w:p>
          <w:p w14:paraId="7874DA52" w14:textId="77777777" w:rsidR="00E507D4" w:rsidRPr="0057204B" w:rsidRDefault="00E507D4" w:rsidP="00B95821">
            <w:pPr>
              <w:pStyle w:val="BodyText"/>
              <w:spacing w:before="100" w:after="100"/>
              <w:rPr>
                <w:bCs/>
              </w:rPr>
            </w:pPr>
            <w:r w:rsidRPr="0057204B">
              <w:rPr>
                <w:rFonts w:cs="Arial"/>
                <w:bCs/>
                <w:snapToGrid w:val="0"/>
              </w:rPr>
              <w:t>(Zone 1 countries)</w:t>
            </w:r>
          </w:p>
        </w:tc>
        <w:tc>
          <w:tcPr>
            <w:tcW w:w="2562" w:type="pct"/>
            <w:shd w:val="clear" w:color="auto" w:fill="auto"/>
            <w:vAlign w:val="center"/>
          </w:tcPr>
          <w:p w14:paraId="35E87450" w14:textId="77777777" w:rsidR="00E507D4" w:rsidRPr="00F271B8" w:rsidRDefault="00E507D4" w:rsidP="00B95821">
            <w:pPr>
              <w:pStyle w:val="BodyText"/>
              <w:spacing w:before="100" w:after="100"/>
              <w:jc w:val="center"/>
            </w:pPr>
            <w:r w:rsidRPr="00304BEC">
              <w:rPr>
                <w:rFonts w:eastAsia="Calibri" w:cs="Arial"/>
              </w:rPr>
              <w:t>Not included</w:t>
            </w:r>
          </w:p>
        </w:tc>
      </w:tr>
      <w:tr w:rsidR="00E507D4" w:rsidRPr="00F271B8" w14:paraId="1950F80D" w14:textId="77777777" w:rsidTr="00B95821">
        <w:tc>
          <w:tcPr>
            <w:tcW w:w="2438" w:type="pct"/>
            <w:shd w:val="clear" w:color="auto" w:fill="auto"/>
          </w:tcPr>
          <w:p w14:paraId="1E3D5752" w14:textId="77777777" w:rsidR="00E507D4" w:rsidRPr="0057204B" w:rsidRDefault="00E507D4" w:rsidP="00B95821">
            <w:pPr>
              <w:pStyle w:val="BodyText"/>
              <w:spacing w:before="100" w:after="100"/>
              <w:rPr>
                <w:bCs/>
              </w:rPr>
            </w:pPr>
            <w:r w:rsidRPr="0057204B">
              <w:rPr>
                <w:rFonts w:cs="Arial"/>
                <w:bCs/>
                <w:snapToGrid w:val="0"/>
              </w:rPr>
              <w:t>Optus Travel™ Pack</w:t>
            </w:r>
            <w:r w:rsidRPr="0057204B">
              <w:rPr>
                <w:rFonts w:cs="Arial"/>
                <w:bCs/>
                <w:snapToGrid w:val="0"/>
              </w:rPr>
              <w:br/>
              <w:t>(Zone 1 countries)</w:t>
            </w:r>
          </w:p>
        </w:tc>
        <w:tc>
          <w:tcPr>
            <w:tcW w:w="2562" w:type="pct"/>
            <w:shd w:val="clear" w:color="auto" w:fill="auto"/>
          </w:tcPr>
          <w:p w14:paraId="324B999D" w14:textId="77777777" w:rsidR="00E507D4" w:rsidRPr="0057204B" w:rsidRDefault="00E507D4" w:rsidP="00B95821">
            <w:pPr>
              <w:spacing w:before="120"/>
              <w:rPr>
                <w:sz w:val="20"/>
                <w:szCs w:val="20"/>
              </w:rPr>
            </w:pPr>
            <w:r w:rsidRPr="0057204B">
              <w:rPr>
                <w:sz w:val="20"/>
                <w:szCs w:val="20"/>
              </w:rPr>
              <w:t>Get $5 Optus Travel™ Pack - normally $10</w:t>
            </w:r>
          </w:p>
        </w:tc>
      </w:tr>
      <w:tr w:rsidR="00E507D4" w:rsidRPr="00F271B8" w14:paraId="1C1E1EDC" w14:textId="77777777" w:rsidTr="00B95821">
        <w:tc>
          <w:tcPr>
            <w:tcW w:w="2438" w:type="pct"/>
            <w:shd w:val="clear" w:color="auto" w:fill="auto"/>
          </w:tcPr>
          <w:p w14:paraId="5248C04C" w14:textId="77777777" w:rsidR="00E507D4" w:rsidRPr="00F271B8" w:rsidRDefault="00E507D4" w:rsidP="00B95821">
            <w:pPr>
              <w:pStyle w:val="BodyText"/>
              <w:spacing w:before="100" w:after="100"/>
              <w:rPr>
                <w:b/>
                <w:bCs/>
              </w:rPr>
            </w:pPr>
            <w:r w:rsidRPr="00F271B8">
              <w:rPr>
                <w:b/>
                <w:bCs/>
              </w:rPr>
              <w:t xml:space="preserve">Minimum total cost over 24 months </w:t>
            </w:r>
          </w:p>
        </w:tc>
        <w:tc>
          <w:tcPr>
            <w:tcW w:w="2562" w:type="pct"/>
            <w:shd w:val="clear" w:color="auto" w:fill="auto"/>
            <w:vAlign w:val="center"/>
          </w:tcPr>
          <w:p w14:paraId="4C05F894" w14:textId="77777777" w:rsidR="00E507D4" w:rsidRPr="00F271B8" w:rsidRDefault="00E507D4" w:rsidP="00B95821">
            <w:pPr>
              <w:pStyle w:val="BodyText"/>
              <w:spacing w:before="100" w:after="100"/>
              <w:jc w:val="center"/>
            </w:pPr>
            <w:r>
              <w:t>$2160</w:t>
            </w:r>
          </w:p>
        </w:tc>
      </w:tr>
    </w:tbl>
    <w:p w14:paraId="4A929046" w14:textId="77777777" w:rsidR="00E507D4" w:rsidRPr="00F271B8" w:rsidRDefault="00E507D4" w:rsidP="00E507D4">
      <w:pPr>
        <w:pStyle w:val="BodyText"/>
        <w:keepNext/>
        <w:spacing w:before="240"/>
        <w:ind w:left="720" w:hanging="720"/>
        <w:rPr>
          <w:b/>
        </w:rPr>
      </w:pPr>
      <w:r w:rsidRPr="00F271B8">
        <w:rPr>
          <w:b/>
        </w:rPr>
        <w:lastRenderedPageBreak/>
        <w:t>Table 2 – Other usage types and charges</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70"/>
        <w:gridCol w:w="5011"/>
      </w:tblGrid>
      <w:tr w:rsidR="00E507D4" w:rsidRPr="00F271B8" w14:paraId="3A3B0FB4" w14:textId="77777777" w:rsidTr="00B95821">
        <w:trPr>
          <w:tblHeader/>
        </w:trPr>
        <w:tc>
          <w:tcPr>
            <w:tcW w:w="4770" w:type="dxa"/>
            <w:shd w:val="clear" w:color="auto" w:fill="auto"/>
          </w:tcPr>
          <w:p w14:paraId="73B5A9AA" w14:textId="77777777" w:rsidR="00E507D4" w:rsidRPr="003626D2" w:rsidRDefault="00E507D4" w:rsidP="00B95821">
            <w:pPr>
              <w:pStyle w:val="BodyText"/>
              <w:keepNext/>
              <w:spacing w:before="100" w:after="100"/>
              <w:jc w:val="center"/>
              <w:rPr>
                <w:b/>
              </w:rPr>
            </w:pPr>
            <w:r w:rsidRPr="003626D2">
              <w:rPr>
                <w:b/>
              </w:rPr>
              <w:t>Usage type</w:t>
            </w:r>
          </w:p>
        </w:tc>
        <w:tc>
          <w:tcPr>
            <w:tcW w:w="5011" w:type="dxa"/>
            <w:shd w:val="clear" w:color="auto" w:fill="auto"/>
            <w:vAlign w:val="center"/>
          </w:tcPr>
          <w:p w14:paraId="1B3ACF9A" w14:textId="77777777" w:rsidR="00E507D4" w:rsidRPr="003626D2" w:rsidRDefault="00E507D4" w:rsidP="00B95821">
            <w:pPr>
              <w:pStyle w:val="BodyText"/>
              <w:keepNext/>
              <w:spacing w:before="100" w:after="100"/>
              <w:jc w:val="center"/>
              <w:rPr>
                <w:b/>
              </w:rPr>
            </w:pPr>
            <w:r w:rsidRPr="003626D2">
              <w:rPr>
                <w:b/>
              </w:rPr>
              <w:t>Charge</w:t>
            </w:r>
          </w:p>
        </w:tc>
      </w:tr>
      <w:tr w:rsidR="00E507D4" w:rsidRPr="00F271B8" w14:paraId="2CA5794C" w14:textId="77777777" w:rsidTr="00B95821">
        <w:tc>
          <w:tcPr>
            <w:tcW w:w="4770" w:type="dxa"/>
            <w:shd w:val="clear" w:color="auto" w:fill="auto"/>
          </w:tcPr>
          <w:p w14:paraId="06D62E2E" w14:textId="77777777" w:rsidR="00E507D4" w:rsidRPr="00F271B8" w:rsidRDefault="00E507D4" w:rsidP="00B95821">
            <w:pPr>
              <w:pStyle w:val="BodyText"/>
              <w:spacing w:before="100" w:after="100"/>
              <w:rPr>
                <w:b/>
              </w:rPr>
            </w:pPr>
            <w:r w:rsidRPr="00F271B8">
              <w:rPr>
                <w:b/>
                <w:bCs/>
              </w:rPr>
              <w:t xml:space="preserve">National video calls </w:t>
            </w:r>
            <w:r w:rsidRPr="00F271B8">
              <w:rPr>
                <w:b/>
              </w:rPr>
              <w:t>(per minute)</w:t>
            </w:r>
          </w:p>
        </w:tc>
        <w:tc>
          <w:tcPr>
            <w:tcW w:w="5011" w:type="dxa"/>
            <w:shd w:val="clear" w:color="auto" w:fill="auto"/>
            <w:vAlign w:val="center"/>
          </w:tcPr>
          <w:p w14:paraId="61B6609E" w14:textId="77777777" w:rsidR="00E507D4" w:rsidRPr="00F271B8" w:rsidRDefault="00E507D4" w:rsidP="00B95821">
            <w:pPr>
              <w:pStyle w:val="BodyText"/>
              <w:spacing w:before="100" w:after="100"/>
              <w:jc w:val="center"/>
            </w:pPr>
            <w:r w:rsidRPr="00F271B8">
              <w:t>$1.00 per min + 40c flagfall</w:t>
            </w:r>
          </w:p>
        </w:tc>
      </w:tr>
      <w:tr w:rsidR="00E507D4" w:rsidRPr="00F271B8" w14:paraId="7C2E68A8" w14:textId="77777777" w:rsidTr="00B95821">
        <w:tc>
          <w:tcPr>
            <w:tcW w:w="4770" w:type="dxa"/>
            <w:shd w:val="clear" w:color="auto" w:fill="auto"/>
          </w:tcPr>
          <w:p w14:paraId="632B21AA" w14:textId="77777777" w:rsidR="00E507D4" w:rsidRPr="00F271B8" w:rsidRDefault="00E507D4" w:rsidP="00B95821">
            <w:pPr>
              <w:pStyle w:val="BodyText"/>
              <w:spacing w:before="100" w:after="100"/>
              <w:rPr>
                <w:b/>
              </w:rPr>
            </w:pPr>
            <w:r w:rsidRPr="00F271B8">
              <w:rPr>
                <w:b/>
                <w:bCs/>
              </w:rPr>
              <w:t xml:space="preserve">VoiceMail Deposits </w:t>
            </w:r>
          </w:p>
        </w:tc>
        <w:tc>
          <w:tcPr>
            <w:tcW w:w="5011" w:type="dxa"/>
            <w:shd w:val="clear" w:color="auto" w:fill="auto"/>
          </w:tcPr>
          <w:p w14:paraId="08B7546C" w14:textId="77777777" w:rsidR="00E507D4" w:rsidRPr="00F271B8" w:rsidRDefault="00E507D4" w:rsidP="00B95821">
            <w:pPr>
              <w:pStyle w:val="BodyText"/>
              <w:spacing w:before="100" w:after="100"/>
              <w:jc w:val="center"/>
            </w:pPr>
            <w:r w:rsidRPr="00F271B8">
              <w:t>$0 per minute</w:t>
            </w:r>
          </w:p>
        </w:tc>
      </w:tr>
      <w:tr w:rsidR="00E507D4" w:rsidRPr="00F271B8" w14:paraId="0915926E" w14:textId="77777777" w:rsidTr="00B95821">
        <w:tc>
          <w:tcPr>
            <w:tcW w:w="4770" w:type="dxa"/>
            <w:shd w:val="clear" w:color="auto" w:fill="auto"/>
          </w:tcPr>
          <w:p w14:paraId="1B71E26E" w14:textId="77777777" w:rsidR="00E507D4" w:rsidRPr="00F271B8" w:rsidRDefault="00E507D4" w:rsidP="00B95821">
            <w:pPr>
              <w:pStyle w:val="BodyText"/>
              <w:spacing w:before="100" w:after="100"/>
              <w:rPr>
                <w:b/>
              </w:rPr>
            </w:pPr>
            <w:r w:rsidRPr="00F271B8">
              <w:rPr>
                <w:b/>
                <w:bCs/>
              </w:rPr>
              <w:t>Voicemail Diversions</w:t>
            </w:r>
          </w:p>
        </w:tc>
        <w:tc>
          <w:tcPr>
            <w:tcW w:w="5011" w:type="dxa"/>
            <w:shd w:val="clear" w:color="auto" w:fill="auto"/>
          </w:tcPr>
          <w:p w14:paraId="7B0850ED" w14:textId="77777777" w:rsidR="00E507D4" w:rsidRPr="00F271B8" w:rsidRDefault="00E507D4" w:rsidP="00B95821">
            <w:pPr>
              <w:pStyle w:val="BodyText"/>
              <w:spacing w:before="100" w:after="100"/>
              <w:jc w:val="center"/>
            </w:pPr>
            <w:r w:rsidRPr="00F271B8">
              <w:t>$0 per minute</w:t>
            </w:r>
          </w:p>
        </w:tc>
      </w:tr>
      <w:tr w:rsidR="00E507D4" w:rsidRPr="00F271B8" w14:paraId="410547D1" w14:textId="77777777" w:rsidTr="00B95821">
        <w:tc>
          <w:tcPr>
            <w:tcW w:w="4770" w:type="dxa"/>
            <w:shd w:val="clear" w:color="auto" w:fill="auto"/>
          </w:tcPr>
          <w:p w14:paraId="1B9F4308" w14:textId="77777777" w:rsidR="00E507D4" w:rsidRPr="00F271B8" w:rsidRDefault="00E507D4" w:rsidP="00B95821">
            <w:pPr>
              <w:pStyle w:val="BodyText"/>
              <w:spacing w:before="100" w:after="100"/>
              <w:rPr>
                <w:b/>
                <w:bCs/>
              </w:rPr>
            </w:pPr>
            <w:r w:rsidRPr="00F271B8">
              <w:rPr>
                <w:b/>
                <w:bCs/>
              </w:rPr>
              <w:t>National Diversions</w:t>
            </w:r>
          </w:p>
        </w:tc>
        <w:tc>
          <w:tcPr>
            <w:tcW w:w="5011" w:type="dxa"/>
            <w:shd w:val="clear" w:color="auto" w:fill="auto"/>
          </w:tcPr>
          <w:p w14:paraId="47DB3ECE" w14:textId="77777777" w:rsidR="00E507D4" w:rsidRPr="00F271B8" w:rsidRDefault="00E507D4" w:rsidP="00B95821">
            <w:pPr>
              <w:pStyle w:val="BodyText"/>
              <w:spacing w:before="100" w:after="100"/>
              <w:jc w:val="center"/>
            </w:pPr>
            <w:r w:rsidRPr="00F271B8">
              <w:t>$0 per minute</w:t>
            </w:r>
          </w:p>
        </w:tc>
      </w:tr>
      <w:tr w:rsidR="00E507D4" w:rsidRPr="00F271B8" w14:paraId="0B33D5B9" w14:textId="77777777" w:rsidTr="00B95821">
        <w:tc>
          <w:tcPr>
            <w:tcW w:w="4770" w:type="dxa"/>
            <w:shd w:val="clear" w:color="auto" w:fill="auto"/>
          </w:tcPr>
          <w:p w14:paraId="02A0F4BF" w14:textId="77777777" w:rsidR="00E507D4" w:rsidRPr="00F271B8" w:rsidRDefault="00E507D4" w:rsidP="00B95821">
            <w:pPr>
              <w:pStyle w:val="BodyText"/>
              <w:spacing w:before="100" w:after="100"/>
              <w:rPr>
                <w:b/>
                <w:bCs/>
              </w:rPr>
            </w:pPr>
            <w:r w:rsidRPr="00F271B8">
              <w:rPr>
                <w:b/>
                <w:bCs/>
              </w:rPr>
              <w:t xml:space="preserve">International Diversions </w:t>
            </w:r>
          </w:p>
        </w:tc>
        <w:tc>
          <w:tcPr>
            <w:tcW w:w="5011" w:type="dxa"/>
            <w:shd w:val="clear" w:color="auto" w:fill="auto"/>
          </w:tcPr>
          <w:p w14:paraId="73D9F25D" w14:textId="77777777" w:rsidR="00E507D4" w:rsidRPr="00F271B8" w:rsidRDefault="00E507D4" w:rsidP="00B95821">
            <w:pPr>
              <w:pStyle w:val="BodyText"/>
              <w:spacing w:before="100" w:after="100"/>
              <w:jc w:val="center"/>
            </w:pPr>
            <w:r>
              <w:t>'</w:t>
            </w:r>
            <w:r w:rsidRPr="00F271B8">
              <w:t>yes</w:t>
            </w:r>
            <w:r>
              <w:t>'</w:t>
            </w:r>
            <w:r w:rsidRPr="00F271B8">
              <w:t xml:space="preserve"> international rates</w:t>
            </w:r>
            <w:r w:rsidRPr="00F271B8">
              <w:br/>
              <w:t>See optus.com.au/international</w:t>
            </w:r>
          </w:p>
        </w:tc>
      </w:tr>
      <w:tr w:rsidR="00E507D4" w:rsidRPr="00F271B8" w14:paraId="08BEB050" w14:textId="77777777" w:rsidTr="00B95821">
        <w:tc>
          <w:tcPr>
            <w:tcW w:w="4770" w:type="dxa"/>
            <w:shd w:val="clear" w:color="auto" w:fill="auto"/>
          </w:tcPr>
          <w:p w14:paraId="5E9ACF08" w14:textId="77777777" w:rsidR="00E507D4" w:rsidRPr="00F271B8" w:rsidRDefault="00E507D4" w:rsidP="00B95821">
            <w:pPr>
              <w:pStyle w:val="BodyText"/>
              <w:spacing w:before="100" w:after="100"/>
              <w:rPr>
                <w:b/>
                <w:bCs/>
              </w:rPr>
            </w:pPr>
            <w:r w:rsidRPr="00F271B8">
              <w:rPr>
                <w:b/>
                <w:bCs/>
              </w:rPr>
              <w:t xml:space="preserve">1800 numbers </w:t>
            </w:r>
          </w:p>
        </w:tc>
        <w:tc>
          <w:tcPr>
            <w:tcW w:w="5011" w:type="dxa"/>
            <w:shd w:val="clear" w:color="auto" w:fill="auto"/>
            <w:vAlign w:val="center"/>
          </w:tcPr>
          <w:p w14:paraId="740541EA" w14:textId="77777777" w:rsidR="00E507D4" w:rsidRPr="00F271B8" w:rsidRDefault="00E507D4" w:rsidP="00B95821">
            <w:pPr>
              <w:pStyle w:val="BodyText"/>
              <w:spacing w:before="100" w:after="100"/>
              <w:jc w:val="center"/>
            </w:pPr>
            <w:r w:rsidRPr="00F271B8">
              <w:t>$0 per minute</w:t>
            </w:r>
          </w:p>
        </w:tc>
      </w:tr>
      <w:tr w:rsidR="00E507D4" w:rsidRPr="00F271B8" w14:paraId="63220239" w14:textId="77777777" w:rsidTr="00B95821">
        <w:tc>
          <w:tcPr>
            <w:tcW w:w="4770" w:type="dxa"/>
            <w:shd w:val="clear" w:color="auto" w:fill="auto"/>
          </w:tcPr>
          <w:p w14:paraId="167E9BBF" w14:textId="77777777" w:rsidR="00E507D4" w:rsidRPr="00F271B8" w:rsidRDefault="00E507D4" w:rsidP="00B95821">
            <w:pPr>
              <w:pStyle w:val="BodyText"/>
              <w:spacing w:before="100" w:after="100"/>
              <w:rPr>
                <w:b/>
                <w:bCs/>
              </w:rPr>
            </w:pPr>
            <w:r w:rsidRPr="00F271B8">
              <w:rPr>
                <w:b/>
                <w:bCs/>
              </w:rPr>
              <w:t xml:space="preserve">Directory Assistance 1223 </w:t>
            </w:r>
          </w:p>
        </w:tc>
        <w:tc>
          <w:tcPr>
            <w:tcW w:w="5011" w:type="dxa"/>
            <w:shd w:val="clear" w:color="auto" w:fill="auto"/>
            <w:vAlign w:val="center"/>
          </w:tcPr>
          <w:p w14:paraId="1229A816" w14:textId="77777777" w:rsidR="00E507D4" w:rsidRPr="00F271B8" w:rsidRDefault="00E507D4" w:rsidP="00B95821">
            <w:pPr>
              <w:pStyle w:val="BodyText"/>
              <w:spacing w:before="100" w:after="100"/>
              <w:jc w:val="center"/>
            </w:pPr>
            <w:r w:rsidRPr="00F271B8">
              <w:t>50c per call</w:t>
            </w:r>
          </w:p>
        </w:tc>
      </w:tr>
      <w:tr w:rsidR="00E507D4" w:rsidRPr="00F271B8" w14:paraId="3CB732C0" w14:textId="77777777" w:rsidTr="00B95821">
        <w:tc>
          <w:tcPr>
            <w:tcW w:w="4770" w:type="dxa"/>
            <w:shd w:val="clear" w:color="auto" w:fill="auto"/>
          </w:tcPr>
          <w:p w14:paraId="2ABC2152" w14:textId="77777777" w:rsidR="00E507D4" w:rsidRPr="00F271B8" w:rsidRDefault="00E507D4" w:rsidP="00B95821">
            <w:pPr>
              <w:pStyle w:val="BodyText"/>
              <w:spacing w:before="100" w:after="100"/>
              <w:rPr>
                <w:b/>
                <w:bCs/>
              </w:rPr>
            </w:pPr>
            <w:r w:rsidRPr="00F271B8">
              <w:rPr>
                <w:b/>
                <w:bCs/>
              </w:rPr>
              <w:t>124 Yes</w:t>
            </w:r>
          </w:p>
        </w:tc>
        <w:tc>
          <w:tcPr>
            <w:tcW w:w="5011" w:type="dxa"/>
            <w:shd w:val="clear" w:color="auto" w:fill="auto"/>
            <w:vAlign w:val="center"/>
          </w:tcPr>
          <w:p w14:paraId="0E570DC0" w14:textId="77777777" w:rsidR="00E507D4" w:rsidRPr="00F271B8" w:rsidRDefault="00E507D4" w:rsidP="00B95821">
            <w:pPr>
              <w:pStyle w:val="BodyText"/>
              <w:spacing w:before="100" w:after="100"/>
              <w:jc w:val="center"/>
            </w:pPr>
            <w:r w:rsidRPr="00F271B8">
              <w:t>90c per minute +$1.75c flagfall</w:t>
            </w:r>
          </w:p>
        </w:tc>
      </w:tr>
      <w:tr w:rsidR="00E507D4" w:rsidRPr="00F271B8" w14:paraId="69BF89A1" w14:textId="77777777" w:rsidTr="00B95821">
        <w:tc>
          <w:tcPr>
            <w:tcW w:w="4770" w:type="dxa"/>
            <w:shd w:val="clear" w:color="auto" w:fill="auto"/>
          </w:tcPr>
          <w:p w14:paraId="5B22CBD6" w14:textId="77777777" w:rsidR="00E507D4" w:rsidRPr="00F271B8" w:rsidRDefault="00E507D4" w:rsidP="00B95821">
            <w:pPr>
              <w:pStyle w:val="BodyText"/>
              <w:spacing w:before="100" w:after="100"/>
              <w:rPr>
                <w:b/>
                <w:bCs/>
              </w:rPr>
            </w:pPr>
            <w:r w:rsidRPr="00F271B8">
              <w:rPr>
                <w:b/>
                <w:bCs/>
              </w:rPr>
              <w:t>International voice calls (outside the plan</w:t>
            </w:r>
            <w:r>
              <w:rPr>
                <w:b/>
                <w:bCs/>
              </w:rPr>
              <w:t>'</w:t>
            </w:r>
            <w:r w:rsidRPr="00F271B8">
              <w:rPr>
                <w:b/>
                <w:bCs/>
              </w:rPr>
              <w:t xml:space="preserve">s included international minutes and to excluded countries) </w:t>
            </w:r>
          </w:p>
        </w:tc>
        <w:tc>
          <w:tcPr>
            <w:tcW w:w="5011" w:type="dxa"/>
            <w:shd w:val="clear" w:color="auto" w:fill="auto"/>
            <w:vAlign w:val="center"/>
          </w:tcPr>
          <w:p w14:paraId="60F2B3A5" w14:textId="77777777" w:rsidR="00E507D4" w:rsidRPr="00F271B8" w:rsidRDefault="00E507D4" w:rsidP="00B95821">
            <w:pPr>
              <w:pStyle w:val="BodyText"/>
              <w:spacing w:before="100" w:after="100"/>
              <w:jc w:val="center"/>
            </w:pPr>
            <w:r>
              <w:t>'</w:t>
            </w:r>
            <w:r w:rsidRPr="00F271B8">
              <w:t>yes</w:t>
            </w:r>
            <w:r>
              <w:t>'</w:t>
            </w:r>
            <w:r w:rsidRPr="00F271B8">
              <w:t xml:space="preserve"> international rates</w:t>
            </w:r>
          </w:p>
          <w:p w14:paraId="59E2B827" w14:textId="77777777" w:rsidR="00E507D4" w:rsidRPr="00F271B8" w:rsidRDefault="00E507D4" w:rsidP="00B95821">
            <w:pPr>
              <w:pStyle w:val="BodyText"/>
              <w:spacing w:before="100" w:after="100"/>
              <w:jc w:val="center"/>
            </w:pPr>
            <w:r w:rsidRPr="00F271B8">
              <w:t>See optus.com.au/international</w:t>
            </w:r>
          </w:p>
        </w:tc>
      </w:tr>
      <w:tr w:rsidR="00E507D4" w:rsidRPr="00F271B8" w14:paraId="51E4ECA0" w14:textId="77777777" w:rsidTr="00B95821">
        <w:tc>
          <w:tcPr>
            <w:tcW w:w="4770" w:type="dxa"/>
            <w:shd w:val="clear" w:color="auto" w:fill="auto"/>
          </w:tcPr>
          <w:p w14:paraId="740FE10B" w14:textId="77777777" w:rsidR="00E507D4" w:rsidRPr="00F271B8" w:rsidRDefault="00E507D4" w:rsidP="00B95821">
            <w:pPr>
              <w:pStyle w:val="BodyText"/>
              <w:spacing w:before="100" w:after="100"/>
              <w:rPr>
                <w:b/>
                <w:bCs/>
              </w:rPr>
            </w:pPr>
            <w:r w:rsidRPr="00F271B8">
              <w:rPr>
                <w:b/>
                <w:bCs/>
              </w:rPr>
              <w:t xml:space="preserve">International SMS (to excluded countries) </w:t>
            </w:r>
          </w:p>
        </w:tc>
        <w:tc>
          <w:tcPr>
            <w:tcW w:w="5011" w:type="dxa"/>
            <w:shd w:val="clear" w:color="auto" w:fill="auto"/>
            <w:vAlign w:val="center"/>
          </w:tcPr>
          <w:p w14:paraId="203950FE" w14:textId="77777777" w:rsidR="00E507D4" w:rsidRPr="00F271B8" w:rsidRDefault="00E507D4" w:rsidP="00B95821">
            <w:pPr>
              <w:pStyle w:val="BodyText"/>
              <w:spacing w:before="100" w:after="100"/>
              <w:jc w:val="center"/>
            </w:pPr>
            <w:r w:rsidRPr="00F271B8">
              <w:t>50c per SMS up to 160 standard characters</w:t>
            </w:r>
          </w:p>
        </w:tc>
      </w:tr>
      <w:tr w:rsidR="00E507D4" w:rsidRPr="00F271B8" w14:paraId="034B61AC" w14:textId="77777777" w:rsidTr="00B95821">
        <w:tc>
          <w:tcPr>
            <w:tcW w:w="4770" w:type="dxa"/>
            <w:shd w:val="clear" w:color="auto" w:fill="auto"/>
          </w:tcPr>
          <w:p w14:paraId="5656937C" w14:textId="77777777" w:rsidR="00E507D4" w:rsidRPr="00F271B8" w:rsidRDefault="00E507D4" w:rsidP="00B95821">
            <w:pPr>
              <w:pStyle w:val="BodyText"/>
              <w:spacing w:before="100" w:after="100"/>
              <w:rPr>
                <w:b/>
                <w:bCs/>
              </w:rPr>
            </w:pPr>
            <w:r w:rsidRPr="00F271B8">
              <w:rPr>
                <w:b/>
                <w:bCs/>
              </w:rPr>
              <w:t>International MMS (to excluded countries)</w:t>
            </w:r>
          </w:p>
        </w:tc>
        <w:tc>
          <w:tcPr>
            <w:tcW w:w="5011" w:type="dxa"/>
            <w:shd w:val="clear" w:color="auto" w:fill="auto"/>
            <w:vAlign w:val="center"/>
          </w:tcPr>
          <w:p w14:paraId="5264E253" w14:textId="77777777" w:rsidR="00E507D4" w:rsidRPr="00F271B8" w:rsidRDefault="00E507D4" w:rsidP="00B95821">
            <w:pPr>
              <w:pStyle w:val="BodyText"/>
              <w:spacing w:before="100" w:after="100"/>
              <w:jc w:val="center"/>
            </w:pPr>
            <w:r w:rsidRPr="00F271B8">
              <w:t>75c per MMS</w:t>
            </w:r>
          </w:p>
        </w:tc>
      </w:tr>
      <w:tr w:rsidR="00E507D4" w:rsidRPr="00F271B8" w14:paraId="38E1005B" w14:textId="77777777" w:rsidTr="00B95821">
        <w:tc>
          <w:tcPr>
            <w:tcW w:w="4770" w:type="dxa"/>
            <w:shd w:val="clear" w:color="auto" w:fill="auto"/>
          </w:tcPr>
          <w:p w14:paraId="7DEEBCF3" w14:textId="77777777" w:rsidR="00E507D4" w:rsidRPr="00F271B8" w:rsidRDefault="00E507D4" w:rsidP="00B95821">
            <w:pPr>
              <w:pStyle w:val="BodyText"/>
              <w:spacing w:before="100" w:after="100"/>
              <w:rPr>
                <w:b/>
                <w:bCs/>
              </w:rPr>
            </w:pPr>
            <w:r w:rsidRPr="00F271B8">
              <w:rPr>
                <w:b/>
                <w:bCs/>
              </w:rPr>
              <w:t xml:space="preserve">International video calling </w:t>
            </w:r>
          </w:p>
        </w:tc>
        <w:tc>
          <w:tcPr>
            <w:tcW w:w="5011" w:type="dxa"/>
            <w:shd w:val="clear" w:color="auto" w:fill="auto"/>
            <w:vAlign w:val="center"/>
          </w:tcPr>
          <w:p w14:paraId="4AD3C2B2" w14:textId="77777777" w:rsidR="00E507D4" w:rsidRPr="00F271B8" w:rsidRDefault="00E507D4" w:rsidP="00B95821">
            <w:pPr>
              <w:pStyle w:val="BodyText"/>
              <w:spacing w:before="100" w:after="100"/>
              <w:jc w:val="center"/>
            </w:pPr>
            <w:r w:rsidRPr="00F271B8">
              <w:t>$1.50 per minute +35c flagfall</w:t>
            </w:r>
          </w:p>
        </w:tc>
      </w:tr>
      <w:tr w:rsidR="00E507D4" w:rsidRPr="00F271B8" w14:paraId="2AB165B7" w14:textId="77777777" w:rsidTr="00B95821">
        <w:tc>
          <w:tcPr>
            <w:tcW w:w="4770" w:type="dxa"/>
            <w:shd w:val="clear" w:color="auto" w:fill="auto"/>
          </w:tcPr>
          <w:p w14:paraId="2AD766CC" w14:textId="77777777" w:rsidR="00E507D4" w:rsidRPr="00F271B8" w:rsidRDefault="00E507D4" w:rsidP="00B95821">
            <w:pPr>
              <w:pStyle w:val="BodyText"/>
              <w:spacing w:before="100" w:after="100"/>
              <w:rPr>
                <w:b/>
                <w:bCs/>
              </w:rPr>
            </w:pPr>
            <w:r w:rsidRPr="00F271B8">
              <w:rPr>
                <w:b/>
                <w:bCs/>
              </w:rPr>
              <w:t xml:space="preserve">International roaming </w:t>
            </w:r>
          </w:p>
        </w:tc>
        <w:tc>
          <w:tcPr>
            <w:tcW w:w="5011" w:type="dxa"/>
            <w:shd w:val="clear" w:color="auto" w:fill="auto"/>
            <w:vAlign w:val="center"/>
          </w:tcPr>
          <w:p w14:paraId="248F5B61" w14:textId="77777777" w:rsidR="00E507D4" w:rsidRPr="00F271B8" w:rsidRDefault="00E507D4" w:rsidP="00B95821">
            <w:pPr>
              <w:pStyle w:val="BodyText"/>
              <w:spacing w:before="100" w:after="100"/>
              <w:jc w:val="center"/>
            </w:pPr>
            <w:r w:rsidRPr="00F271B8">
              <w:t>See optus.com.au/roaming</w:t>
            </w:r>
          </w:p>
        </w:tc>
      </w:tr>
    </w:tbl>
    <w:p w14:paraId="7297F046" w14:textId="77777777" w:rsidR="00E507D4" w:rsidRPr="00F271B8" w:rsidRDefault="00E507D4" w:rsidP="00E507D4">
      <w:pPr>
        <w:pStyle w:val="BodyText"/>
        <w:spacing w:before="240"/>
        <w:ind w:left="142" w:hanging="142"/>
        <w:rPr>
          <w:b/>
        </w:rPr>
      </w:pPr>
      <w:r>
        <w:rPr>
          <w:b/>
        </w:rPr>
        <w:t>Table 3</w:t>
      </w:r>
      <w:r w:rsidRPr="00F271B8">
        <w:rPr>
          <w:b/>
        </w:rPr>
        <w:t xml:space="preserve"> – International Countries</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5"/>
        <w:gridCol w:w="2385"/>
        <w:gridCol w:w="2385"/>
        <w:gridCol w:w="2385"/>
      </w:tblGrid>
      <w:tr w:rsidR="00E507D4" w:rsidRPr="00F271B8" w14:paraId="63DB92B6" w14:textId="77777777" w:rsidTr="00B95821">
        <w:tc>
          <w:tcPr>
            <w:tcW w:w="2385" w:type="dxa"/>
            <w:shd w:val="clear" w:color="auto" w:fill="auto"/>
          </w:tcPr>
          <w:p w14:paraId="49E9A29E" w14:textId="77777777" w:rsidR="00E507D4" w:rsidRPr="00F271B8" w:rsidRDefault="00E507D4" w:rsidP="00B95821">
            <w:pPr>
              <w:pStyle w:val="BodyText"/>
              <w:spacing w:before="100" w:after="100"/>
              <w:rPr>
                <w:b/>
              </w:rPr>
            </w:pPr>
            <w:r w:rsidRPr="00304BEC">
              <w:rPr>
                <w:rFonts w:eastAsia="Calibri" w:cs="Arial"/>
              </w:rPr>
              <w:t>China</w:t>
            </w:r>
          </w:p>
        </w:tc>
        <w:tc>
          <w:tcPr>
            <w:tcW w:w="2385" w:type="dxa"/>
            <w:shd w:val="clear" w:color="auto" w:fill="auto"/>
          </w:tcPr>
          <w:p w14:paraId="23106489" w14:textId="77777777" w:rsidR="00E507D4" w:rsidRPr="00F271B8" w:rsidRDefault="00E507D4" w:rsidP="00B95821">
            <w:pPr>
              <w:pStyle w:val="BodyText"/>
              <w:spacing w:before="100" w:after="100"/>
              <w:rPr>
                <w:b/>
              </w:rPr>
            </w:pPr>
            <w:r w:rsidRPr="00304BEC">
              <w:rPr>
                <w:rFonts w:eastAsia="Calibri" w:cs="Arial"/>
              </w:rPr>
              <w:t>Indonesia</w:t>
            </w:r>
          </w:p>
        </w:tc>
        <w:tc>
          <w:tcPr>
            <w:tcW w:w="2385" w:type="dxa"/>
            <w:shd w:val="clear" w:color="auto" w:fill="auto"/>
          </w:tcPr>
          <w:p w14:paraId="46EDAD24" w14:textId="77777777" w:rsidR="00E507D4" w:rsidRPr="00F271B8" w:rsidRDefault="00E507D4" w:rsidP="00B95821">
            <w:pPr>
              <w:pStyle w:val="BodyText"/>
              <w:spacing w:before="100" w:after="100"/>
              <w:rPr>
                <w:b/>
              </w:rPr>
            </w:pPr>
            <w:r w:rsidRPr="00304BEC">
              <w:rPr>
                <w:rFonts w:eastAsia="Calibri" w:cs="Arial"/>
              </w:rPr>
              <w:t>India</w:t>
            </w:r>
          </w:p>
        </w:tc>
        <w:tc>
          <w:tcPr>
            <w:tcW w:w="2385" w:type="dxa"/>
            <w:shd w:val="clear" w:color="auto" w:fill="auto"/>
          </w:tcPr>
          <w:p w14:paraId="271821F6" w14:textId="77777777" w:rsidR="00E507D4" w:rsidRPr="00F271B8" w:rsidRDefault="00E507D4" w:rsidP="00B95821">
            <w:pPr>
              <w:pStyle w:val="BodyText"/>
              <w:spacing w:before="100" w:after="100"/>
              <w:rPr>
                <w:b/>
              </w:rPr>
            </w:pPr>
            <w:r w:rsidRPr="00304BEC">
              <w:rPr>
                <w:rFonts w:eastAsia="Calibri" w:cs="Arial"/>
              </w:rPr>
              <w:t>Malaysia</w:t>
            </w:r>
          </w:p>
        </w:tc>
      </w:tr>
      <w:tr w:rsidR="00E507D4" w:rsidRPr="00F271B8" w14:paraId="0B1CB6AD" w14:textId="77777777" w:rsidTr="00B95821">
        <w:tc>
          <w:tcPr>
            <w:tcW w:w="2385" w:type="dxa"/>
            <w:shd w:val="clear" w:color="auto" w:fill="auto"/>
          </w:tcPr>
          <w:p w14:paraId="799840BB" w14:textId="77777777" w:rsidR="00E507D4" w:rsidRPr="00F271B8" w:rsidRDefault="00E507D4" w:rsidP="00B95821">
            <w:pPr>
              <w:pStyle w:val="BodyText"/>
              <w:spacing w:before="100" w:after="100"/>
              <w:rPr>
                <w:b/>
              </w:rPr>
            </w:pPr>
            <w:r w:rsidRPr="00304BEC">
              <w:rPr>
                <w:rFonts w:eastAsia="Calibri" w:cs="Arial"/>
              </w:rPr>
              <w:t>New Zealand</w:t>
            </w:r>
          </w:p>
        </w:tc>
        <w:tc>
          <w:tcPr>
            <w:tcW w:w="2385" w:type="dxa"/>
            <w:shd w:val="clear" w:color="auto" w:fill="auto"/>
          </w:tcPr>
          <w:p w14:paraId="60F8465C" w14:textId="77777777" w:rsidR="00E507D4" w:rsidRPr="00F271B8" w:rsidRDefault="00E507D4" w:rsidP="00B95821">
            <w:pPr>
              <w:pStyle w:val="BodyText"/>
              <w:spacing w:before="100" w:after="100"/>
              <w:rPr>
                <w:b/>
              </w:rPr>
            </w:pPr>
            <w:r w:rsidRPr="00304BEC">
              <w:rPr>
                <w:rFonts w:eastAsia="Calibri" w:cs="Arial"/>
              </w:rPr>
              <w:t>Singapore</w:t>
            </w:r>
          </w:p>
        </w:tc>
        <w:tc>
          <w:tcPr>
            <w:tcW w:w="2385" w:type="dxa"/>
            <w:shd w:val="clear" w:color="auto" w:fill="auto"/>
          </w:tcPr>
          <w:p w14:paraId="2FB01E26" w14:textId="77777777" w:rsidR="00E507D4" w:rsidRPr="00F271B8" w:rsidRDefault="00E507D4" w:rsidP="00B95821">
            <w:pPr>
              <w:pStyle w:val="BodyText"/>
              <w:spacing w:before="100" w:after="100"/>
              <w:rPr>
                <w:b/>
              </w:rPr>
            </w:pPr>
            <w:r w:rsidRPr="00304BEC">
              <w:rPr>
                <w:rFonts w:eastAsia="Calibri" w:cs="Arial"/>
              </w:rPr>
              <w:t>South Africa</w:t>
            </w:r>
          </w:p>
        </w:tc>
        <w:tc>
          <w:tcPr>
            <w:tcW w:w="2385" w:type="dxa"/>
            <w:shd w:val="clear" w:color="auto" w:fill="auto"/>
          </w:tcPr>
          <w:p w14:paraId="128172C5" w14:textId="77777777" w:rsidR="00E507D4" w:rsidRPr="00F271B8" w:rsidRDefault="00E507D4" w:rsidP="00B95821">
            <w:pPr>
              <w:pStyle w:val="BodyText"/>
              <w:spacing w:before="100" w:after="100"/>
              <w:rPr>
                <w:b/>
              </w:rPr>
            </w:pPr>
            <w:r w:rsidRPr="00304BEC">
              <w:rPr>
                <w:rFonts w:eastAsia="Calibri" w:cs="Arial"/>
              </w:rPr>
              <w:t>UK</w:t>
            </w:r>
          </w:p>
        </w:tc>
      </w:tr>
      <w:tr w:rsidR="00E507D4" w:rsidRPr="00F271B8" w14:paraId="63C3336A" w14:textId="77777777" w:rsidTr="00B95821">
        <w:tc>
          <w:tcPr>
            <w:tcW w:w="2385" w:type="dxa"/>
            <w:shd w:val="clear" w:color="auto" w:fill="auto"/>
          </w:tcPr>
          <w:p w14:paraId="6798CCC8" w14:textId="77777777" w:rsidR="00E507D4" w:rsidRPr="00F271B8" w:rsidRDefault="00E507D4" w:rsidP="00B95821">
            <w:pPr>
              <w:pStyle w:val="BodyText"/>
              <w:spacing w:before="100" w:after="100"/>
              <w:rPr>
                <w:b/>
              </w:rPr>
            </w:pPr>
            <w:r w:rsidRPr="00304BEC">
              <w:rPr>
                <w:rFonts w:eastAsia="Calibri" w:cs="Arial"/>
              </w:rPr>
              <w:t xml:space="preserve">USA </w:t>
            </w:r>
          </w:p>
        </w:tc>
        <w:tc>
          <w:tcPr>
            <w:tcW w:w="2385" w:type="dxa"/>
            <w:shd w:val="clear" w:color="auto" w:fill="auto"/>
          </w:tcPr>
          <w:p w14:paraId="6BF50EDD" w14:textId="77777777" w:rsidR="00E507D4" w:rsidRPr="00F271B8" w:rsidRDefault="00E507D4" w:rsidP="00B95821">
            <w:pPr>
              <w:pStyle w:val="BodyText"/>
              <w:spacing w:before="100" w:after="100"/>
              <w:rPr>
                <w:b/>
              </w:rPr>
            </w:pPr>
            <w:r w:rsidRPr="00304BEC">
              <w:rPr>
                <w:rFonts w:eastAsia="Calibri" w:cs="Arial"/>
              </w:rPr>
              <w:t>Vietnam</w:t>
            </w:r>
          </w:p>
        </w:tc>
        <w:tc>
          <w:tcPr>
            <w:tcW w:w="2385" w:type="dxa"/>
            <w:shd w:val="clear" w:color="auto" w:fill="auto"/>
          </w:tcPr>
          <w:p w14:paraId="334817F1" w14:textId="77777777" w:rsidR="00E507D4" w:rsidRPr="003F3929" w:rsidRDefault="00E507D4" w:rsidP="00B95821">
            <w:pPr>
              <w:pStyle w:val="BodyText"/>
              <w:spacing w:before="100" w:after="100"/>
              <w:rPr>
                <w:rFonts w:cs="Arial"/>
                <w:b/>
              </w:rPr>
            </w:pPr>
            <w:r w:rsidRPr="003F3929">
              <w:rPr>
                <w:rFonts w:cs="Arial"/>
                <w:color w:val="000000"/>
                <w:lang w:val="en-AU" w:eastAsia="en-AU"/>
              </w:rPr>
              <w:t>Canada</w:t>
            </w:r>
          </w:p>
        </w:tc>
        <w:tc>
          <w:tcPr>
            <w:tcW w:w="2385" w:type="dxa"/>
            <w:shd w:val="clear" w:color="auto" w:fill="auto"/>
          </w:tcPr>
          <w:p w14:paraId="6FCB4281" w14:textId="77777777" w:rsidR="00E507D4" w:rsidRPr="003F3929" w:rsidRDefault="00E507D4" w:rsidP="00B95821">
            <w:pPr>
              <w:pStyle w:val="BodyText"/>
              <w:spacing w:before="100" w:after="100"/>
              <w:rPr>
                <w:rFonts w:cs="Arial"/>
                <w:b/>
              </w:rPr>
            </w:pPr>
            <w:r w:rsidRPr="003F3929">
              <w:rPr>
                <w:rFonts w:cs="Arial"/>
                <w:color w:val="000000"/>
                <w:lang w:val="en-AU" w:eastAsia="en-AU"/>
              </w:rPr>
              <w:t>Hong Kong</w:t>
            </w:r>
          </w:p>
        </w:tc>
      </w:tr>
      <w:tr w:rsidR="00E507D4" w:rsidRPr="00F271B8" w14:paraId="67A5E201" w14:textId="77777777" w:rsidTr="00B95821">
        <w:tc>
          <w:tcPr>
            <w:tcW w:w="2385" w:type="dxa"/>
            <w:shd w:val="clear" w:color="auto" w:fill="auto"/>
          </w:tcPr>
          <w:p w14:paraId="529860B8" w14:textId="77777777" w:rsidR="00E507D4" w:rsidRPr="003F3929" w:rsidRDefault="00E507D4" w:rsidP="00B95821">
            <w:pPr>
              <w:pStyle w:val="BodyText"/>
              <w:spacing w:before="100" w:after="100"/>
              <w:rPr>
                <w:rFonts w:eastAsia="Calibri" w:cs="Arial"/>
              </w:rPr>
            </w:pPr>
            <w:r w:rsidRPr="003F3929">
              <w:rPr>
                <w:rFonts w:cs="Arial"/>
                <w:color w:val="000000"/>
                <w:lang w:val="en-AU" w:eastAsia="en-AU"/>
              </w:rPr>
              <w:t xml:space="preserve">South Korea </w:t>
            </w:r>
          </w:p>
        </w:tc>
        <w:tc>
          <w:tcPr>
            <w:tcW w:w="2385" w:type="dxa"/>
            <w:shd w:val="clear" w:color="auto" w:fill="auto"/>
          </w:tcPr>
          <w:p w14:paraId="3AC34C4F" w14:textId="77777777" w:rsidR="00E507D4" w:rsidRPr="003F3929" w:rsidRDefault="00E507D4" w:rsidP="00B95821">
            <w:pPr>
              <w:pStyle w:val="BodyText"/>
              <w:spacing w:before="100" w:after="100"/>
              <w:rPr>
                <w:rFonts w:eastAsia="Calibri" w:cs="Arial"/>
              </w:rPr>
            </w:pPr>
            <w:r w:rsidRPr="003F3929">
              <w:rPr>
                <w:rFonts w:cs="Arial"/>
                <w:color w:val="000000"/>
                <w:lang w:val="en-AU" w:eastAsia="en-AU"/>
              </w:rPr>
              <w:t>Thailand</w:t>
            </w:r>
          </w:p>
        </w:tc>
        <w:tc>
          <w:tcPr>
            <w:tcW w:w="2385" w:type="dxa"/>
            <w:shd w:val="clear" w:color="auto" w:fill="auto"/>
          </w:tcPr>
          <w:p w14:paraId="715347E4" w14:textId="77777777" w:rsidR="00E507D4" w:rsidRDefault="00E507D4" w:rsidP="00B95821">
            <w:pPr>
              <w:pStyle w:val="BodyText"/>
              <w:spacing w:before="100" w:after="100"/>
              <w:rPr>
                <w:rFonts w:ascii="Segoe UI" w:hAnsi="Segoe UI" w:cs="Segoe UI"/>
                <w:color w:val="000000"/>
                <w:lang w:val="en-AU" w:eastAsia="en-AU"/>
              </w:rPr>
            </w:pPr>
          </w:p>
        </w:tc>
        <w:tc>
          <w:tcPr>
            <w:tcW w:w="2385" w:type="dxa"/>
            <w:shd w:val="clear" w:color="auto" w:fill="auto"/>
          </w:tcPr>
          <w:p w14:paraId="22F9E3D3" w14:textId="77777777" w:rsidR="00E507D4" w:rsidRDefault="00E507D4" w:rsidP="00B95821">
            <w:pPr>
              <w:pStyle w:val="BodyText"/>
              <w:spacing w:before="100" w:after="100"/>
              <w:rPr>
                <w:rFonts w:ascii="Segoe UI" w:hAnsi="Segoe UI" w:cs="Segoe UI"/>
                <w:color w:val="000000"/>
                <w:lang w:val="en-AU" w:eastAsia="en-AU"/>
              </w:rPr>
            </w:pPr>
          </w:p>
        </w:tc>
      </w:tr>
    </w:tbl>
    <w:p w14:paraId="61DC1DB9" w14:textId="77777777" w:rsidR="00E507D4" w:rsidRPr="00F271B8" w:rsidRDefault="00E507D4" w:rsidP="00E507D4">
      <w:pPr>
        <w:pStyle w:val="Heading6"/>
        <w:spacing w:before="240"/>
        <w:ind w:left="0" w:firstLine="0"/>
        <w:rPr>
          <w:lang w:val="en-AU"/>
        </w:rPr>
      </w:pPr>
      <w:bookmarkStart w:id="2118" w:name="_Toc508361967"/>
      <w:r w:rsidRPr="00F271B8">
        <w:rPr>
          <w:lang w:val="en-AU"/>
        </w:rPr>
        <w:t>My Account</w:t>
      </w:r>
      <w:bookmarkEnd w:id="2118"/>
    </w:p>
    <w:p w14:paraId="546D287C" w14:textId="77777777" w:rsidR="00E507D4" w:rsidRPr="00F271B8" w:rsidRDefault="00E507D4" w:rsidP="00E507D4">
      <w:pPr>
        <w:pStyle w:val="BodyText"/>
        <w:ind w:left="720"/>
        <w:rPr>
          <w:lang w:val="en-AU"/>
        </w:rPr>
      </w:pPr>
      <w:r w:rsidRPr="00F271B8">
        <w:rPr>
          <w:lang w:val="en-AU"/>
        </w:rPr>
        <w:t xml:space="preserve">Services that share data may have a service login to My Account which will display all of the service numbers contributing to or using the shared data pool on </w:t>
      </w:r>
      <w:r w:rsidRPr="00F271B8">
        <w:rPr>
          <w:i/>
          <w:lang w:val="en-AU"/>
        </w:rPr>
        <w:t xml:space="preserve">your </w:t>
      </w:r>
      <w:r w:rsidRPr="00F271B8">
        <w:rPr>
          <w:lang w:val="en-AU"/>
        </w:rPr>
        <w:t>account and the amount of data each service has used</w:t>
      </w:r>
      <w:r>
        <w:rPr>
          <w:lang w:val="en-AU"/>
        </w:rPr>
        <w:t xml:space="preserve">. </w:t>
      </w:r>
      <w:r w:rsidRPr="00F271B8">
        <w:rPr>
          <w:lang w:val="en-AU"/>
        </w:rPr>
        <w:t xml:space="preserve">If </w:t>
      </w:r>
      <w:r w:rsidRPr="00F271B8">
        <w:rPr>
          <w:i/>
          <w:lang w:val="en-AU"/>
        </w:rPr>
        <w:t>you</w:t>
      </w:r>
      <w:r w:rsidRPr="00F271B8">
        <w:rPr>
          <w:lang w:val="en-AU"/>
        </w:rPr>
        <w:t xml:space="preserve"> have more than 6 services on </w:t>
      </w:r>
      <w:r w:rsidRPr="00F271B8">
        <w:rPr>
          <w:i/>
          <w:lang w:val="en-AU"/>
        </w:rPr>
        <w:t>your</w:t>
      </w:r>
      <w:r w:rsidRPr="00F271B8">
        <w:rPr>
          <w:lang w:val="en-AU"/>
        </w:rPr>
        <w:t xml:space="preserve"> account, My Account may not be suitable for viewing usage and managing </w:t>
      </w:r>
      <w:r w:rsidRPr="00F271B8">
        <w:rPr>
          <w:i/>
          <w:lang w:val="en-AU"/>
        </w:rPr>
        <w:t xml:space="preserve">your </w:t>
      </w:r>
      <w:r w:rsidRPr="00F271B8">
        <w:rPr>
          <w:lang w:val="en-AU"/>
        </w:rPr>
        <w:t>usage alerts.</w:t>
      </w:r>
    </w:p>
    <w:p w14:paraId="7AB6F48F" w14:textId="77777777" w:rsidR="00E507D4" w:rsidRPr="00F271B8" w:rsidRDefault="00E507D4" w:rsidP="00E507D4">
      <w:pPr>
        <w:pStyle w:val="Heading6"/>
        <w:ind w:left="0" w:firstLine="0"/>
        <w:rPr>
          <w:lang w:val="en-AU"/>
        </w:rPr>
      </w:pPr>
      <w:bookmarkStart w:id="2119" w:name="_Toc508361968"/>
      <w:r w:rsidRPr="00F271B8">
        <w:rPr>
          <w:lang w:val="en-AU"/>
        </w:rPr>
        <w:t xml:space="preserve">What happens if the </w:t>
      </w:r>
      <w:r w:rsidRPr="00F271B8">
        <w:rPr>
          <w:i/>
          <w:lang w:val="en-AU"/>
        </w:rPr>
        <w:t xml:space="preserve">service </w:t>
      </w:r>
      <w:r w:rsidRPr="00F271B8">
        <w:rPr>
          <w:lang w:val="en-AU"/>
        </w:rPr>
        <w:t>is</w:t>
      </w:r>
      <w:r w:rsidRPr="00F271B8">
        <w:rPr>
          <w:i/>
          <w:lang w:val="en-AU"/>
        </w:rPr>
        <w:t xml:space="preserve"> cancelled </w:t>
      </w:r>
      <w:r w:rsidRPr="00F271B8">
        <w:rPr>
          <w:lang w:val="en-AU"/>
        </w:rPr>
        <w:t>early?</w:t>
      </w:r>
      <w:bookmarkEnd w:id="2119"/>
      <w:r w:rsidRPr="00F271B8">
        <w:rPr>
          <w:lang w:val="en-AU"/>
        </w:rPr>
        <w:t xml:space="preserve"> </w:t>
      </w:r>
    </w:p>
    <w:p w14:paraId="57D11825" w14:textId="77777777" w:rsidR="00E507D4" w:rsidRPr="005545B6" w:rsidRDefault="00E507D4" w:rsidP="00E507D4">
      <w:pPr>
        <w:pStyle w:val="OptusH3"/>
        <w:numPr>
          <w:ilvl w:val="2"/>
          <w:numId w:val="61"/>
        </w:numPr>
        <w:tabs>
          <w:tab w:val="clear" w:pos="2127"/>
          <w:tab w:val="num" w:pos="1448"/>
          <w:tab w:val="left" w:pos="1560"/>
        </w:tabs>
        <w:ind w:left="1448" w:hanging="738"/>
        <w:rPr>
          <w:rFonts w:ascii="Arial" w:hAnsi="Arial" w:cs="Arial"/>
          <w:sz w:val="20"/>
        </w:rPr>
      </w:pPr>
      <w:r w:rsidRPr="005545B6">
        <w:rPr>
          <w:rFonts w:ascii="Arial" w:hAnsi="Arial" w:cs="Arial"/>
          <w:sz w:val="20"/>
        </w:rPr>
        <w:t>If the</w:t>
      </w:r>
      <w:r w:rsidRPr="005545B6">
        <w:rPr>
          <w:rFonts w:ascii="Arial" w:hAnsi="Arial" w:cs="Arial"/>
          <w:i/>
          <w:sz w:val="20"/>
        </w:rPr>
        <w:t xml:space="preserve"> service</w:t>
      </w:r>
      <w:r w:rsidRPr="005545B6">
        <w:rPr>
          <w:rFonts w:ascii="Arial" w:hAnsi="Arial" w:cs="Arial"/>
          <w:sz w:val="20"/>
        </w:rPr>
        <w:t xml:space="preserve"> is</w:t>
      </w:r>
      <w:r w:rsidRPr="005545B6">
        <w:rPr>
          <w:rFonts w:ascii="Arial" w:hAnsi="Arial" w:cs="Arial"/>
          <w:i/>
          <w:sz w:val="20"/>
        </w:rPr>
        <w:t xml:space="preserve"> cancelled </w:t>
      </w:r>
      <w:r w:rsidRPr="005545B6">
        <w:rPr>
          <w:rFonts w:ascii="Arial" w:hAnsi="Arial" w:cs="Arial"/>
          <w:sz w:val="20"/>
        </w:rPr>
        <w:t xml:space="preserve">before the end of </w:t>
      </w:r>
      <w:r w:rsidRPr="005545B6">
        <w:rPr>
          <w:rFonts w:ascii="Arial" w:hAnsi="Arial" w:cs="Arial"/>
          <w:i/>
          <w:sz w:val="20"/>
        </w:rPr>
        <w:t xml:space="preserve">your minimum term, you </w:t>
      </w:r>
      <w:r w:rsidRPr="005545B6">
        <w:rPr>
          <w:rFonts w:ascii="Arial" w:hAnsi="Arial" w:cs="Arial"/>
          <w:sz w:val="20"/>
        </w:rPr>
        <w:t xml:space="preserve">will be required to pay </w:t>
      </w:r>
      <w:r w:rsidRPr="005545B6">
        <w:rPr>
          <w:rFonts w:ascii="Arial" w:hAnsi="Arial" w:cs="Arial"/>
          <w:i/>
          <w:sz w:val="20"/>
        </w:rPr>
        <w:t>us</w:t>
      </w:r>
      <w:r w:rsidRPr="005545B6">
        <w:rPr>
          <w:rFonts w:ascii="Arial" w:hAnsi="Arial" w:cs="Arial"/>
          <w:sz w:val="20"/>
        </w:rPr>
        <w:t>:</w:t>
      </w:r>
    </w:p>
    <w:p w14:paraId="0B982992" w14:textId="77777777" w:rsidR="00E507D4" w:rsidRPr="005545B6" w:rsidRDefault="00E507D4" w:rsidP="00652131">
      <w:pPr>
        <w:numPr>
          <w:ilvl w:val="3"/>
          <w:numId w:val="77"/>
        </w:numPr>
        <w:tabs>
          <w:tab w:val="num" w:pos="2127"/>
        </w:tabs>
        <w:spacing w:before="120" w:after="120"/>
        <w:ind w:left="2127" w:hanging="709"/>
        <w:rPr>
          <w:rFonts w:cs="Arial"/>
          <w:sz w:val="20"/>
          <w:szCs w:val="20"/>
          <w:lang w:val="en-AU"/>
        </w:rPr>
      </w:pPr>
      <w:r w:rsidRPr="005545B6">
        <w:rPr>
          <w:rFonts w:cs="Arial"/>
          <w:sz w:val="20"/>
          <w:szCs w:val="20"/>
          <w:lang w:val="en-AU"/>
        </w:rPr>
        <w:t xml:space="preserve">any usage charges incurred up to, and including, the </w:t>
      </w:r>
      <w:r w:rsidRPr="005545B6">
        <w:rPr>
          <w:rFonts w:cs="Arial"/>
          <w:i/>
          <w:sz w:val="20"/>
          <w:szCs w:val="20"/>
          <w:lang w:val="en-AU"/>
        </w:rPr>
        <w:t xml:space="preserve">cancellation date; </w:t>
      </w:r>
      <w:r w:rsidRPr="005545B6">
        <w:rPr>
          <w:rFonts w:cs="Arial"/>
          <w:sz w:val="20"/>
          <w:szCs w:val="20"/>
          <w:lang w:val="en-AU"/>
        </w:rPr>
        <w:t>plus</w:t>
      </w:r>
    </w:p>
    <w:p w14:paraId="677F8F9E" w14:textId="77777777" w:rsidR="00E507D4" w:rsidRPr="005545B6" w:rsidRDefault="00E507D4" w:rsidP="00652131">
      <w:pPr>
        <w:numPr>
          <w:ilvl w:val="3"/>
          <w:numId w:val="77"/>
        </w:numPr>
        <w:tabs>
          <w:tab w:val="num" w:pos="2127"/>
        </w:tabs>
        <w:spacing w:before="120" w:after="120"/>
        <w:ind w:left="2127" w:hanging="709"/>
        <w:rPr>
          <w:rFonts w:cs="Arial"/>
          <w:sz w:val="20"/>
          <w:szCs w:val="20"/>
          <w:lang w:val="en-AU"/>
        </w:rPr>
      </w:pPr>
      <w:r w:rsidRPr="005545B6">
        <w:rPr>
          <w:rFonts w:cs="Arial"/>
          <w:sz w:val="20"/>
          <w:szCs w:val="20"/>
          <w:lang w:val="en-AU"/>
        </w:rPr>
        <w:t xml:space="preserve">the </w:t>
      </w:r>
      <w:r w:rsidRPr="005545B6">
        <w:rPr>
          <w:rFonts w:cs="Arial"/>
          <w:i/>
          <w:sz w:val="20"/>
          <w:szCs w:val="20"/>
          <w:lang w:val="en-AU"/>
        </w:rPr>
        <w:t>cancellation fees</w:t>
      </w:r>
      <w:r w:rsidRPr="005545B6">
        <w:rPr>
          <w:rFonts w:cs="Arial"/>
          <w:sz w:val="20"/>
          <w:szCs w:val="20"/>
          <w:lang w:val="en-AU"/>
        </w:rPr>
        <w:t xml:space="preserve"> set out in paragraph (b) below (unless under clause 2A of the </w:t>
      </w:r>
      <w:r w:rsidRPr="005545B6">
        <w:rPr>
          <w:rFonts w:cs="Arial"/>
          <w:i/>
          <w:sz w:val="20"/>
          <w:szCs w:val="20"/>
          <w:lang w:val="en-AU"/>
        </w:rPr>
        <w:t>consumer terms</w:t>
      </w:r>
      <w:r w:rsidRPr="005545B6">
        <w:rPr>
          <w:rFonts w:cs="Arial"/>
          <w:sz w:val="20"/>
          <w:szCs w:val="20"/>
          <w:lang w:val="en-AU"/>
        </w:rPr>
        <w:t xml:space="preserve">, </w:t>
      </w:r>
      <w:r w:rsidRPr="005545B6">
        <w:rPr>
          <w:rFonts w:cs="Arial"/>
          <w:i/>
          <w:sz w:val="20"/>
          <w:szCs w:val="20"/>
          <w:lang w:val="en-AU"/>
        </w:rPr>
        <w:t>you</w:t>
      </w:r>
      <w:r w:rsidRPr="005545B6">
        <w:rPr>
          <w:rFonts w:cs="Arial"/>
          <w:sz w:val="20"/>
          <w:szCs w:val="20"/>
          <w:lang w:val="en-AU"/>
        </w:rPr>
        <w:t xml:space="preserve"> are entitled to </w:t>
      </w:r>
      <w:r w:rsidRPr="005545B6">
        <w:rPr>
          <w:rFonts w:cs="Arial"/>
          <w:i/>
          <w:sz w:val="20"/>
          <w:szCs w:val="20"/>
          <w:lang w:val="en-AU"/>
        </w:rPr>
        <w:t>cancel the service</w:t>
      </w:r>
      <w:r w:rsidRPr="005545B6">
        <w:rPr>
          <w:rFonts w:cs="Arial"/>
          <w:sz w:val="20"/>
          <w:szCs w:val="20"/>
          <w:lang w:val="en-AU"/>
        </w:rPr>
        <w:t xml:space="preserve"> without incurring a </w:t>
      </w:r>
      <w:r w:rsidRPr="005545B6">
        <w:rPr>
          <w:rFonts w:cs="Arial"/>
          <w:i/>
          <w:sz w:val="20"/>
          <w:szCs w:val="20"/>
          <w:lang w:val="en-AU"/>
        </w:rPr>
        <w:t>cancellation fee</w:t>
      </w:r>
      <w:r w:rsidRPr="005545B6">
        <w:rPr>
          <w:rFonts w:cs="Arial"/>
          <w:sz w:val="20"/>
          <w:szCs w:val="20"/>
          <w:lang w:val="en-AU"/>
        </w:rPr>
        <w:t>); plus</w:t>
      </w:r>
    </w:p>
    <w:p w14:paraId="23B5887A" w14:textId="77777777" w:rsidR="00E507D4" w:rsidRPr="00B4724E" w:rsidRDefault="00E507D4" w:rsidP="00E507D4">
      <w:pPr>
        <w:pStyle w:val="OptusH3"/>
        <w:numPr>
          <w:ilvl w:val="2"/>
          <w:numId w:val="61"/>
        </w:numPr>
        <w:tabs>
          <w:tab w:val="clear" w:pos="2127"/>
          <w:tab w:val="num" w:pos="1448"/>
          <w:tab w:val="left" w:pos="1560"/>
        </w:tabs>
        <w:ind w:left="1448" w:hanging="738"/>
        <w:rPr>
          <w:rFonts w:ascii="Arial" w:hAnsi="Arial" w:cs="Arial"/>
          <w:sz w:val="20"/>
        </w:rPr>
      </w:pPr>
      <w:r w:rsidRPr="00B4724E">
        <w:rPr>
          <w:rFonts w:ascii="Arial" w:hAnsi="Arial" w:cs="Arial"/>
          <w:sz w:val="20"/>
        </w:rPr>
        <w:t xml:space="preserve">Note, any Handset Credit </w:t>
      </w:r>
      <w:r w:rsidRPr="00B4724E">
        <w:rPr>
          <w:rFonts w:ascii="Arial" w:hAnsi="Arial" w:cs="Arial"/>
          <w:i/>
          <w:sz w:val="20"/>
        </w:rPr>
        <w:t xml:space="preserve">you </w:t>
      </w:r>
      <w:r w:rsidRPr="00B4724E">
        <w:rPr>
          <w:rFonts w:ascii="Arial" w:hAnsi="Arial" w:cs="Arial"/>
          <w:sz w:val="20"/>
        </w:rPr>
        <w:t xml:space="preserve">were entitled to will be forfeited (see 5.5 above) if the account is cancelled. </w:t>
      </w:r>
    </w:p>
    <w:p w14:paraId="06416F44" w14:textId="77777777" w:rsidR="00E507D4" w:rsidRPr="009516BD" w:rsidRDefault="00E507D4" w:rsidP="00E507D4">
      <w:pPr>
        <w:pStyle w:val="OptusH3"/>
        <w:tabs>
          <w:tab w:val="clear" w:pos="2127"/>
          <w:tab w:val="left" w:pos="1560"/>
        </w:tabs>
        <w:spacing w:after="0"/>
        <w:ind w:left="1448" w:firstLine="0"/>
        <w:rPr>
          <w:rFonts w:ascii="Arial" w:hAnsi="Arial" w:cs="Arial"/>
          <w:sz w:val="20"/>
        </w:rPr>
      </w:pPr>
      <w:r w:rsidRPr="00B4724E">
        <w:rPr>
          <w:rFonts w:ascii="Arial" w:hAnsi="Arial" w:cs="Arial"/>
          <w:sz w:val="20"/>
        </w:rPr>
        <w:lastRenderedPageBreak/>
        <w:t xml:space="preserve">The </w:t>
      </w:r>
      <w:r w:rsidRPr="00B4724E">
        <w:rPr>
          <w:rFonts w:ascii="Arial" w:hAnsi="Arial" w:cs="Arial"/>
          <w:i/>
          <w:sz w:val="20"/>
        </w:rPr>
        <w:t>cancellation fee</w:t>
      </w:r>
      <w:r w:rsidRPr="00B4724E">
        <w:rPr>
          <w:rFonts w:ascii="Arial" w:hAnsi="Arial" w:cs="Arial"/>
          <w:sz w:val="20"/>
        </w:rPr>
        <w:t xml:space="preserve"> is calculated as the following amounts, multiplied by the months remaining on </w:t>
      </w:r>
      <w:r w:rsidRPr="00B4724E">
        <w:rPr>
          <w:rFonts w:ascii="Arial" w:hAnsi="Arial" w:cs="Arial"/>
          <w:i/>
          <w:sz w:val="20"/>
        </w:rPr>
        <w:t>your minimum term</w:t>
      </w:r>
      <w:r w:rsidRPr="00B4724E">
        <w:rPr>
          <w:rFonts w:ascii="Arial" w:hAnsi="Arial" w:cs="Arial"/>
          <w:sz w:val="20"/>
        </w:rPr>
        <w:t>:</w:t>
      </w:r>
    </w:p>
    <w:tbl>
      <w:tblPr>
        <w:tblpPr w:leftFromText="180" w:rightFromText="180" w:vertAnchor="text" w:horzAnchor="margin" w:tblpX="358" w:tblpY="393"/>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6379"/>
      </w:tblGrid>
      <w:tr w:rsidR="00E507D4" w:rsidRPr="00C04D29" w14:paraId="552B7D9B" w14:textId="77777777" w:rsidTr="00B95821">
        <w:trPr>
          <w:trHeight w:val="275"/>
        </w:trPr>
        <w:tc>
          <w:tcPr>
            <w:tcW w:w="3261" w:type="dxa"/>
            <w:vAlign w:val="center"/>
          </w:tcPr>
          <w:p w14:paraId="175626FF" w14:textId="77777777" w:rsidR="00E507D4" w:rsidRPr="005545B6" w:rsidRDefault="00E507D4" w:rsidP="00B95821">
            <w:pPr>
              <w:spacing w:before="120" w:after="120" w:line="276" w:lineRule="auto"/>
              <w:jc w:val="center"/>
              <w:rPr>
                <w:rFonts w:eastAsia="Calibri" w:cs="Arial"/>
                <w:sz w:val="20"/>
                <w:szCs w:val="20"/>
              </w:rPr>
            </w:pPr>
            <w:r>
              <w:rPr>
                <w:rFonts w:eastAsia="Calibri" w:cs="Arial"/>
                <w:b/>
                <w:bCs/>
                <w:sz w:val="20"/>
                <w:szCs w:val="20"/>
                <w:lang w:eastAsia="en-AU"/>
              </w:rPr>
              <w:t>Plan</w:t>
            </w:r>
          </w:p>
        </w:tc>
        <w:tc>
          <w:tcPr>
            <w:tcW w:w="6379" w:type="dxa"/>
            <w:shd w:val="clear" w:color="auto" w:fill="auto"/>
            <w:vAlign w:val="center"/>
          </w:tcPr>
          <w:p w14:paraId="5F22CD51" w14:textId="77777777" w:rsidR="00E507D4" w:rsidRPr="005545B6" w:rsidRDefault="00E507D4" w:rsidP="00B95821">
            <w:pPr>
              <w:spacing w:before="120" w:after="120"/>
              <w:jc w:val="center"/>
              <w:rPr>
                <w:rFonts w:eastAsia="Calibri" w:cs="Arial"/>
                <w:sz w:val="20"/>
                <w:szCs w:val="20"/>
              </w:rPr>
            </w:pPr>
            <w:r w:rsidRPr="005545B6">
              <w:rPr>
                <w:rFonts w:cs="Arial"/>
                <w:b/>
                <w:sz w:val="20"/>
                <w:szCs w:val="20"/>
              </w:rPr>
              <w:t>$85 My Plan Business</w:t>
            </w:r>
            <w:r w:rsidRPr="005545B6">
              <w:rPr>
                <w:rFonts w:cs="Arial"/>
                <w:b/>
                <w:snapToGrid w:val="0"/>
                <w:sz w:val="20"/>
                <w:szCs w:val="20"/>
              </w:rPr>
              <w:t xml:space="preserve"> Tech Fund</w:t>
            </w:r>
          </w:p>
        </w:tc>
      </w:tr>
      <w:tr w:rsidR="00E507D4" w:rsidRPr="00C04D29" w14:paraId="61AE5ECC" w14:textId="77777777" w:rsidTr="00B95821">
        <w:trPr>
          <w:trHeight w:val="275"/>
        </w:trPr>
        <w:tc>
          <w:tcPr>
            <w:tcW w:w="3261" w:type="dxa"/>
            <w:vAlign w:val="center"/>
          </w:tcPr>
          <w:p w14:paraId="007E93B5" w14:textId="77777777" w:rsidR="00E507D4" w:rsidRPr="005545B6" w:rsidRDefault="00E507D4" w:rsidP="00B95821">
            <w:pPr>
              <w:spacing w:before="120" w:after="120" w:line="276" w:lineRule="auto"/>
              <w:rPr>
                <w:rFonts w:eastAsia="Calibri" w:cs="Arial"/>
                <w:b/>
                <w:bCs/>
                <w:sz w:val="20"/>
                <w:szCs w:val="20"/>
                <w:lang w:eastAsia="en-AU"/>
              </w:rPr>
            </w:pPr>
            <w:r w:rsidRPr="005545B6">
              <w:rPr>
                <w:rFonts w:eastAsia="Calibri" w:cs="Arial"/>
                <w:b/>
                <w:bCs/>
                <w:sz w:val="20"/>
                <w:szCs w:val="20"/>
                <w:lang w:eastAsia="en-AU"/>
              </w:rPr>
              <w:t xml:space="preserve">Cancellation Fee </w:t>
            </w:r>
          </w:p>
        </w:tc>
        <w:tc>
          <w:tcPr>
            <w:tcW w:w="6379" w:type="dxa"/>
            <w:shd w:val="clear" w:color="auto" w:fill="auto"/>
            <w:vAlign w:val="center"/>
          </w:tcPr>
          <w:p w14:paraId="12F5258D" w14:textId="77777777" w:rsidR="00E507D4" w:rsidRPr="005545B6" w:rsidRDefault="00E507D4" w:rsidP="00B95821">
            <w:pPr>
              <w:spacing w:before="120" w:after="120"/>
              <w:jc w:val="center"/>
              <w:rPr>
                <w:rFonts w:cs="Arial"/>
                <w:sz w:val="20"/>
                <w:szCs w:val="20"/>
              </w:rPr>
            </w:pPr>
            <w:r w:rsidRPr="005545B6">
              <w:rPr>
                <w:rFonts w:cs="Arial"/>
                <w:sz w:val="20"/>
                <w:szCs w:val="20"/>
              </w:rPr>
              <w:t>$48 x Months remaining</w:t>
            </w:r>
          </w:p>
        </w:tc>
      </w:tr>
      <w:tr w:rsidR="00E507D4" w:rsidRPr="009B1D3E" w14:paraId="2BA8522D" w14:textId="77777777" w:rsidTr="00B95821">
        <w:trPr>
          <w:trHeight w:val="275"/>
        </w:trPr>
        <w:tc>
          <w:tcPr>
            <w:tcW w:w="3261" w:type="dxa"/>
            <w:vAlign w:val="center"/>
          </w:tcPr>
          <w:p w14:paraId="7977B5E0" w14:textId="77777777" w:rsidR="00E507D4" w:rsidRPr="009B1D3E" w:rsidRDefault="00E507D4" w:rsidP="00B95821">
            <w:pPr>
              <w:spacing w:before="120" w:after="120" w:line="276" w:lineRule="auto"/>
              <w:rPr>
                <w:rFonts w:eastAsia="Calibri" w:cs="Arial"/>
                <w:b/>
                <w:bCs/>
                <w:sz w:val="20"/>
                <w:szCs w:val="20"/>
                <w:lang w:eastAsia="en-AU"/>
              </w:rPr>
            </w:pPr>
            <w:r w:rsidRPr="009B1D3E">
              <w:rPr>
                <w:rFonts w:eastAsia="Calibri" w:cs="Arial"/>
                <w:b/>
                <w:bCs/>
                <w:sz w:val="20"/>
                <w:szCs w:val="20"/>
                <w:lang w:eastAsia="en-AU"/>
              </w:rPr>
              <w:t>Maximum Cancellation Fee</w:t>
            </w:r>
          </w:p>
        </w:tc>
        <w:tc>
          <w:tcPr>
            <w:tcW w:w="6379" w:type="dxa"/>
            <w:shd w:val="clear" w:color="auto" w:fill="auto"/>
            <w:vAlign w:val="center"/>
          </w:tcPr>
          <w:p w14:paraId="00893AFB" w14:textId="77777777" w:rsidR="00E507D4" w:rsidRPr="009B1D3E" w:rsidRDefault="00E507D4" w:rsidP="00B95821">
            <w:pPr>
              <w:spacing w:before="120" w:after="120"/>
              <w:jc w:val="center"/>
              <w:rPr>
                <w:rFonts w:eastAsia="Calibri" w:cs="Arial"/>
                <w:sz w:val="20"/>
                <w:szCs w:val="20"/>
              </w:rPr>
            </w:pPr>
            <w:r w:rsidRPr="009B1D3E">
              <w:rPr>
                <w:rFonts w:eastAsia="Calibri" w:cs="Arial"/>
                <w:sz w:val="20"/>
                <w:szCs w:val="20"/>
              </w:rPr>
              <w:t>$1152</w:t>
            </w:r>
          </w:p>
        </w:tc>
      </w:tr>
    </w:tbl>
    <w:p w14:paraId="73655B84" w14:textId="77777777" w:rsidR="00E507D4" w:rsidRDefault="00E507D4" w:rsidP="00E507D4">
      <w:pPr>
        <w:rPr>
          <w:sz w:val="20"/>
          <w:szCs w:val="20"/>
        </w:rPr>
      </w:pPr>
    </w:p>
    <w:p w14:paraId="1274D420" w14:textId="77777777" w:rsidR="00E507D4" w:rsidRDefault="00E507D4" w:rsidP="00E507D4">
      <w:pPr>
        <w:rPr>
          <w:sz w:val="20"/>
          <w:szCs w:val="20"/>
        </w:rPr>
      </w:pPr>
    </w:p>
    <w:p w14:paraId="26FA808E" w14:textId="77777777" w:rsidR="00E507D4" w:rsidRPr="009F6343" w:rsidRDefault="00E507D4" w:rsidP="00E507D4">
      <w:pPr>
        <w:pStyle w:val="Heading4"/>
        <w:rPr>
          <w:lang w:val="en-AU"/>
        </w:rPr>
      </w:pPr>
      <w:bookmarkStart w:id="2120" w:name="_Toc462648832"/>
      <w:bookmarkStart w:id="2121" w:name="_Toc464031850"/>
      <w:bookmarkStart w:id="2122" w:name="_Toc508361969"/>
      <w:bookmarkStart w:id="2123" w:name="_Toc62644708"/>
      <w:r w:rsidRPr="009F6343">
        <w:rPr>
          <w:lang w:val="en-AU"/>
        </w:rPr>
        <w:t>My Plan Business Tech Fund</w:t>
      </w:r>
      <w:bookmarkEnd w:id="2120"/>
      <w:bookmarkEnd w:id="2121"/>
      <w:bookmarkEnd w:id="2122"/>
      <w:bookmarkEnd w:id="2123"/>
    </w:p>
    <w:p w14:paraId="73229283" w14:textId="77777777" w:rsidR="00E507D4" w:rsidRPr="009F6343" w:rsidRDefault="00E507D4" w:rsidP="00E507D4">
      <w:pPr>
        <w:spacing w:after="200"/>
        <w:ind w:left="720"/>
        <w:rPr>
          <w:sz w:val="20"/>
        </w:rPr>
      </w:pPr>
      <w:r w:rsidRPr="009F6343">
        <w:rPr>
          <w:sz w:val="20"/>
          <w:lang w:val="en-AU"/>
        </w:rPr>
        <w:t xml:space="preserve">This section relates to the following plans. </w:t>
      </w:r>
      <w:r w:rsidRPr="009F6343">
        <w:rPr>
          <w:i/>
          <w:sz w:val="20"/>
          <w:lang w:val="en-AU"/>
        </w:rPr>
        <w:t>You</w:t>
      </w:r>
      <w:r w:rsidRPr="009F6343">
        <w:rPr>
          <w:sz w:val="20"/>
          <w:lang w:val="en-AU"/>
        </w:rPr>
        <w:t xml:space="preserve"> can find </w:t>
      </w:r>
      <w:r w:rsidRPr="009F6343">
        <w:rPr>
          <w:i/>
          <w:sz w:val="20"/>
          <w:lang w:val="en-AU"/>
        </w:rPr>
        <w:t>your</w:t>
      </w:r>
      <w:r w:rsidRPr="009F6343">
        <w:rPr>
          <w:sz w:val="20"/>
          <w:lang w:val="en-AU"/>
        </w:rPr>
        <w:t xml:space="preserve"> Plan ID on </w:t>
      </w:r>
      <w:r w:rsidRPr="009F6343">
        <w:rPr>
          <w:i/>
          <w:sz w:val="20"/>
          <w:lang w:val="en-AU"/>
        </w:rPr>
        <w:t>your</w:t>
      </w:r>
      <w:r w:rsidRPr="009F6343">
        <w:rPr>
          <w:sz w:val="20"/>
          <w:lang w:val="en-AU"/>
        </w:rPr>
        <w:t xml:space="preserve"> bill under the Mobile Number Summary section:</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2121"/>
        <w:gridCol w:w="3549"/>
      </w:tblGrid>
      <w:tr w:rsidR="00E507D4" w:rsidRPr="009F6343" w14:paraId="71EBF325" w14:textId="77777777" w:rsidTr="00B95821">
        <w:trPr>
          <w:jc w:val="center"/>
        </w:trPr>
        <w:tc>
          <w:tcPr>
            <w:tcW w:w="3964" w:type="dxa"/>
            <w:shd w:val="clear" w:color="auto" w:fill="auto"/>
          </w:tcPr>
          <w:p w14:paraId="105B9E02" w14:textId="77777777" w:rsidR="00E507D4" w:rsidRPr="009F6343" w:rsidRDefault="00E507D4" w:rsidP="00B95821">
            <w:pPr>
              <w:spacing w:before="100" w:after="100"/>
              <w:jc w:val="center"/>
              <w:rPr>
                <w:b/>
                <w:sz w:val="20"/>
                <w:lang w:val="en-AU"/>
              </w:rPr>
            </w:pPr>
            <w:r w:rsidRPr="009F6343">
              <w:rPr>
                <w:b/>
                <w:sz w:val="20"/>
                <w:lang w:val="en-AU"/>
              </w:rPr>
              <w:t>Plan</w:t>
            </w:r>
          </w:p>
        </w:tc>
        <w:tc>
          <w:tcPr>
            <w:tcW w:w="2121" w:type="dxa"/>
            <w:shd w:val="clear" w:color="auto" w:fill="auto"/>
          </w:tcPr>
          <w:p w14:paraId="25C9744A" w14:textId="77777777" w:rsidR="00E507D4" w:rsidRPr="009F6343" w:rsidRDefault="00E507D4" w:rsidP="00B95821">
            <w:pPr>
              <w:spacing w:before="100" w:after="100"/>
              <w:jc w:val="center"/>
              <w:rPr>
                <w:b/>
                <w:sz w:val="20"/>
                <w:lang w:val="en-AU"/>
              </w:rPr>
            </w:pPr>
            <w:r w:rsidRPr="009F6343">
              <w:rPr>
                <w:b/>
                <w:sz w:val="20"/>
                <w:lang w:val="en-AU"/>
              </w:rPr>
              <w:t>Plan ID</w:t>
            </w:r>
          </w:p>
        </w:tc>
        <w:tc>
          <w:tcPr>
            <w:tcW w:w="3549" w:type="dxa"/>
            <w:shd w:val="clear" w:color="auto" w:fill="auto"/>
          </w:tcPr>
          <w:p w14:paraId="3C7F1240" w14:textId="77777777" w:rsidR="00E507D4" w:rsidRPr="009F6343" w:rsidRDefault="00E507D4" w:rsidP="00B95821">
            <w:pPr>
              <w:spacing w:before="100" w:after="100"/>
              <w:jc w:val="center"/>
              <w:rPr>
                <w:b/>
                <w:sz w:val="20"/>
                <w:lang w:val="en-AU"/>
              </w:rPr>
            </w:pPr>
            <w:r w:rsidRPr="009F6343">
              <w:rPr>
                <w:b/>
                <w:sz w:val="20"/>
                <w:lang w:val="en-AU"/>
              </w:rPr>
              <w:t>Available</w:t>
            </w:r>
          </w:p>
        </w:tc>
      </w:tr>
      <w:tr w:rsidR="00E507D4" w:rsidRPr="009F6343" w14:paraId="6BC9605C" w14:textId="77777777" w:rsidTr="00B95821">
        <w:trPr>
          <w:jc w:val="center"/>
        </w:trPr>
        <w:tc>
          <w:tcPr>
            <w:tcW w:w="3964" w:type="dxa"/>
            <w:shd w:val="clear" w:color="auto" w:fill="auto"/>
          </w:tcPr>
          <w:p w14:paraId="03DBC0BD" w14:textId="77777777" w:rsidR="00E507D4" w:rsidRPr="009F6343" w:rsidRDefault="00E507D4" w:rsidP="00B95821">
            <w:pPr>
              <w:spacing w:before="100" w:after="100"/>
              <w:jc w:val="center"/>
              <w:rPr>
                <w:sz w:val="20"/>
                <w:lang w:val="en-AU"/>
              </w:rPr>
            </w:pPr>
            <w:r w:rsidRPr="009F6343">
              <w:rPr>
                <w:sz w:val="20"/>
                <w:lang w:val="en-AU"/>
              </w:rPr>
              <w:t>$30 My Plan Business Tech Fund</w:t>
            </w:r>
          </w:p>
        </w:tc>
        <w:tc>
          <w:tcPr>
            <w:tcW w:w="2121" w:type="dxa"/>
            <w:shd w:val="clear" w:color="auto" w:fill="auto"/>
            <w:vAlign w:val="center"/>
          </w:tcPr>
          <w:p w14:paraId="207DD486" w14:textId="77777777" w:rsidR="00E507D4" w:rsidRPr="009F6343" w:rsidRDefault="00E507D4" w:rsidP="00B95821">
            <w:pPr>
              <w:spacing w:before="100" w:after="100"/>
              <w:jc w:val="center"/>
              <w:rPr>
                <w:sz w:val="20"/>
              </w:rPr>
            </w:pPr>
            <w:r w:rsidRPr="009F6343">
              <w:rPr>
                <w:sz w:val="20"/>
              </w:rPr>
              <w:t>800533</w:t>
            </w:r>
            <w:r>
              <w:rPr>
                <w:sz w:val="20"/>
              </w:rPr>
              <w:t>, 9954342</w:t>
            </w:r>
          </w:p>
        </w:tc>
        <w:tc>
          <w:tcPr>
            <w:tcW w:w="3549" w:type="dxa"/>
            <w:shd w:val="clear" w:color="auto" w:fill="auto"/>
          </w:tcPr>
          <w:p w14:paraId="164EE58F" w14:textId="77777777" w:rsidR="00E507D4" w:rsidRPr="009F6343" w:rsidRDefault="00E507D4" w:rsidP="00B95821">
            <w:pPr>
              <w:spacing w:before="100" w:after="100"/>
              <w:jc w:val="center"/>
              <w:rPr>
                <w:sz w:val="20"/>
                <w:lang w:val="en-AU"/>
              </w:rPr>
            </w:pPr>
            <w:r w:rsidRPr="009F6343">
              <w:rPr>
                <w:sz w:val="20"/>
                <w:lang w:val="en-AU"/>
              </w:rPr>
              <w:t>9 October 2016</w:t>
            </w:r>
            <w:r w:rsidR="00B95821" w:rsidRPr="00E85FA3">
              <w:rPr>
                <w:sz w:val="20"/>
              </w:rPr>
              <w:t xml:space="preserve"> – 30 </w:t>
            </w:r>
            <w:r w:rsidR="00856E4A">
              <w:rPr>
                <w:sz w:val="20"/>
              </w:rPr>
              <w:t>June</w:t>
            </w:r>
            <w:r w:rsidR="00B95821" w:rsidRPr="00E85FA3">
              <w:rPr>
                <w:sz w:val="20"/>
              </w:rPr>
              <w:t xml:space="preserve"> 2018</w:t>
            </w:r>
          </w:p>
        </w:tc>
      </w:tr>
    </w:tbl>
    <w:p w14:paraId="27829937" w14:textId="77777777" w:rsidR="00E507D4" w:rsidRPr="009F6343" w:rsidRDefault="00E507D4" w:rsidP="00E507D4">
      <w:pPr>
        <w:spacing w:after="200"/>
        <w:rPr>
          <w:b/>
          <w:sz w:val="20"/>
        </w:rPr>
      </w:pPr>
    </w:p>
    <w:p w14:paraId="583CAD1E" w14:textId="77777777" w:rsidR="00E507D4" w:rsidRPr="009F6343" w:rsidRDefault="00E507D4" w:rsidP="00E507D4">
      <w:pPr>
        <w:pStyle w:val="Heading6"/>
        <w:spacing w:before="240"/>
        <w:ind w:left="0" w:firstLine="0"/>
        <w:rPr>
          <w:lang w:val="en-AU"/>
        </w:rPr>
      </w:pPr>
      <w:bookmarkStart w:id="2124" w:name="_Toc462648833"/>
      <w:bookmarkStart w:id="2125" w:name="_Toc464031851"/>
      <w:bookmarkStart w:id="2126" w:name="_Toc508361970"/>
      <w:r w:rsidRPr="009F6343">
        <w:rPr>
          <w:lang w:val="en-AU"/>
        </w:rPr>
        <w:t>Eligibility</w:t>
      </w:r>
      <w:bookmarkEnd w:id="2124"/>
      <w:bookmarkEnd w:id="2125"/>
      <w:bookmarkEnd w:id="2126"/>
    </w:p>
    <w:p w14:paraId="2ACA4572" w14:textId="77777777" w:rsidR="00E507D4" w:rsidRPr="009F6343" w:rsidRDefault="00E507D4" w:rsidP="00E507D4">
      <w:pPr>
        <w:spacing w:after="200"/>
        <w:ind w:left="720"/>
        <w:rPr>
          <w:sz w:val="20"/>
          <w:lang w:val="en-AU"/>
        </w:rPr>
      </w:pPr>
      <w:r w:rsidRPr="009F6343">
        <w:rPr>
          <w:sz w:val="20"/>
          <w:lang w:val="en-AU"/>
        </w:rPr>
        <w:t xml:space="preserve">The My Plan Business Tech Fund plans are available to new and existing business mobile customers who pass Optus' credit assessment. To be eligible for this plan, businesses must provide Optus with a registered ACN, ARBN or ABN and must sign up for a minimum of 6 services to a My Plan Business Tech Fund Plan on a single Optus billing account. </w:t>
      </w:r>
    </w:p>
    <w:p w14:paraId="2CD6EF52" w14:textId="77777777" w:rsidR="00E507D4" w:rsidRPr="009F6343" w:rsidRDefault="00E507D4" w:rsidP="00E507D4">
      <w:pPr>
        <w:spacing w:after="200"/>
        <w:ind w:left="720"/>
        <w:rPr>
          <w:sz w:val="20"/>
          <w:lang w:val="en-AU"/>
        </w:rPr>
      </w:pPr>
      <w:r w:rsidRPr="009F6343">
        <w:rPr>
          <w:sz w:val="20"/>
          <w:lang w:val="en-AU"/>
        </w:rPr>
        <w:t>Optus Service Providers' customers are not eligible to apply.</w:t>
      </w:r>
    </w:p>
    <w:p w14:paraId="4CA7EC83" w14:textId="77777777" w:rsidR="00E507D4" w:rsidRPr="009F6343" w:rsidRDefault="00E507D4" w:rsidP="00E507D4">
      <w:pPr>
        <w:spacing w:after="200"/>
        <w:ind w:left="720"/>
        <w:rPr>
          <w:sz w:val="20"/>
          <w:lang w:val="en-AU"/>
        </w:rPr>
      </w:pPr>
      <w:r w:rsidRPr="009F6343">
        <w:rPr>
          <w:sz w:val="20"/>
          <w:lang w:val="en-AU"/>
        </w:rPr>
        <w:t xml:space="preserve">These </w:t>
      </w:r>
      <w:r w:rsidRPr="009F6343">
        <w:rPr>
          <w:i/>
          <w:sz w:val="20"/>
          <w:lang w:val="en-AU"/>
        </w:rPr>
        <w:t>plans</w:t>
      </w:r>
      <w:r w:rsidRPr="009F6343">
        <w:rPr>
          <w:sz w:val="20"/>
          <w:lang w:val="en-AU"/>
        </w:rPr>
        <w:t xml:space="preserve"> aren't compatible for data use with BlackBerry handsets on operating systems of 7.1 or earlier.</w:t>
      </w:r>
    </w:p>
    <w:p w14:paraId="6129419E" w14:textId="77777777" w:rsidR="00E507D4" w:rsidRPr="009F6343" w:rsidRDefault="00E507D4" w:rsidP="00E507D4">
      <w:pPr>
        <w:pStyle w:val="Heading6"/>
        <w:spacing w:before="240"/>
        <w:ind w:left="0" w:firstLine="0"/>
        <w:rPr>
          <w:lang w:val="en-AU"/>
        </w:rPr>
      </w:pPr>
      <w:bookmarkStart w:id="2127" w:name="_Toc462648834"/>
      <w:bookmarkStart w:id="2128" w:name="_Toc464031852"/>
      <w:bookmarkStart w:id="2129" w:name="_Toc508361971"/>
      <w:r w:rsidRPr="009F6343">
        <w:rPr>
          <w:lang w:val="en-AU"/>
        </w:rPr>
        <w:t>Minimum Term</w:t>
      </w:r>
      <w:bookmarkEnd w:id="2127"/>
      <w:bookmarkEnd w:id="2128"/>
      <w:bookmarkEnd w:id="2129"/>
    </w:p>
    <w:p w14:paraId="06C7370C" w14:textId="77777777" w:rsidR="00E507D4" w:rsidRPr="009F6343" w:rsidRDefault="00E507D4" w:rsidP="00E507D4">
      <w:pPr>
        <w:spacing w:after="200"/>
        <w:ind w:firstLine="720"/>
        <w:rPr>
          <w:sz w:val="20"/>
          <w:lang w:val="en-AU"/>
        </w:rPr>
      </w:pPr>
      <w:r w:rsidRPr="009F6343">
        <w:rPr>
          <w:sz w:val="20"/>
          <w:lang w:val="en-AU"/>
        </w:rPr>
        <w:t xml:space="preserve">These </w:t>
      </w:r>
      <w:r w:rsidRPr="009F6343">
        <w:rPr>
          <w:i/>
          <w:sz w:val="20"/>
          <w:lang w:val="en-AU"/>
        </w:rPr>
        <w:t>plans</w:t>
      </w:r>
      <w:r w:rsidRPr="009F6343">
        <w:rPr>
          <w:sz w:val="20"/>
          <w:lang w:val="en-AU"/>
        </w:rPr>
        <w:t xml:space="preserve"> have</w:t>
      </w:r>
      <w:r w:rsidRPr="009F6343">
        <w:rPr>
          <w:i/>
          <w:sz w:val="20"/>
          <w:lang w:val="en-AU"/>
        </w:rPr>
        <w:t xml:space="preserve"> </w:t>
      </w:r>
      <w:r w:rsidRPr="009F6343">
        <w:rPr>
          <w:sz w:val="20"/>
          <w:lang w:val="en-AU"/>
        </w:rPr>
        <w:t xml:space="preserve">a </w:t>
      </w:r>
      <w:r w:rsidRPr="009F6343">
        <w:rPr>
          <w:i/>
          <w:sz w:val="20"/>
          <w:lang w:val="en-AU"/>
        </w:rPr>
        <w:t>fixed length agreement</w:t>
      </w:r>
      <w:r w:rsidRPr="009F6343">
        <w:rPr>
          <w:sz w:val="20"/>
          <w:lang w:val="en-AU"/>
        </w:rPr>
        <w:t xml:space="preserve"> with a 24 month </w:t>
      </w:r>
      <w:r w:rsidRPr="009F6343">
        <w:rPr>
          <w:i/>
          <w:sz w:val="20"/>
          <w:lang w:val="en-AU"/>
        </w:rPr>
        <w:t>minimum term.</w:t>
      </w:r>
    </w:p>
    <w:p w14:paraId="23978960" w14:textId="77777777" w:rsidR="00E507D4" w:rsidRPr="009F6343" w:rsidRDefault="00E507D4" w:rsidP="00E507D4">
      <w:pPr>
        <w:pStyle w:val="Heading6"/>
        <w:spacing w:before="240"/>
        <w:ind w:left="0" w:firstLine="0"/>
        <w:rPr>
          <w:lang w:val="en-AU"/>
        </w:rPr>
      </w:pPr>
      <w:bookmarkStart w:id="2130" w:name="_Toc462648835"/>
      <w:bookmarkStart w:id="2131" w:name="_Toc464031853"/>
      <w:bookmarkStart w:id="2132" w:name="_Toc508361972"/>
      <w:r w:rsidRPr="009F6343">
        <w:rPr>
          <w:lang w:val="en-AU"/>
        </w:rPr>
        <w:t>What you have to pay us</w:t>
      </w:r>
      <w:bookmarkEnd w:id="2130"/>
      <w:bookmarkEnd w:id="2131"/>
      <w:bookmarkEnd w:id="2132"/>
    </w:p>
    <w:p w14:paraId="077DDC54" w14:textId="77777777" w:rsidR="00E507D4" w:rsidRPr="009F6343" w:rsidRDefault="00E507D4" w:rsidP="00E507D4">
      <w:pPr>
        <w:numPr>
          <w:ilvl w:val="6"/>
          <w:numId w:val="1"/>
        </w:numPr>
        <w:spacing w:after="200"/>
        <w:ind w:left="1440"/>
        <w:outlineLvl w:val="6"/>
        <w:rPr>
          <w:rFonts w:eastAsia="Times New Roman"/>
          <w:sz w:val="20"/>
          <w:lang w:val="en-AU"/>
        </w:rPr>
      </w:pPr>
      <w:r w:rsidRPr="009F6343">
        <w:rPr>
          <w:rFonts w:eastAsia="Times New Roman"/>
          <w:i/>
          <w:sz w:val="20"/>
          <w:lang w:val="en-AU"/>
        </w:rPr>
        <w:t>You</w:t>
      </w:r>
      <w:r w:rsidRPr="009F6343">
        <w:rPr>
          <w:rFonts w:eastAsia="Times New Roman"/>
          <w:sz w:val="20"/>
          <w:lang w:val="en-AU"/>
        </w:rPr>
        <w:t xml:space="preserve"> must pay </w:t>
      </w:r>
      <w:r w:rsidRPr="009F6343">
        <w:rPr>
          <w:rFonts w:eastAsia="Times New Roman"/>
          <w:i/>
          <w:sz w:val="20"/>
          <w:lang w:val="en-AU"/>
        </w:rPr>
        <w:t>us</w:t>
      </w:r>
      <w:r w:rsidRPr="009F6343">
        <w:rPr>
          <w:rFonts w:eastAsia="Times New Roman"/>
          <w:sz w:val="20"/>
          <w:lang w:val="en-AU"/>
        </w:rPr>
        <w:t xml:space="preserve"> for use of the </w:t>
      </w:r>
      <w:r w:rsidRPr="009F6343">
        <w:rPr>
          <w:rFonts w:eastAsia="Times New Roman"/>
          <w:i/>
          <w:sz w:val="20"/>
          <w:lang w:val="en-AU"/>
        </w:rPr>
        <w:t>service</w:t>
      </w:r>
      <w:r w:rsidRPr="009F6343">
        <w:rPr>
          <w:rFonts w:eastAsia="Times New Roman"/>
          <w:sz w:val="20"/>
          <w:lang w:val="en-AU"/>
        </w:rPr>
        <w:t xml:space="preserve"> at the rates set out in Section 1 of this </w:t>
      </w:r>
      <w:r w:rsidRPr="009F6343">
        <w:rPr>
          <w:rFonts w:eastAsia="Times New Roman"/>
          <w:i/>
          <w:sz w:val="20"/>
          <w:lang w:val="en-AU"/>
        </w:rPr>
        <w:t>standard pricing table</w:t>
      </w:r>
      <w:r w:rsidRPr="009F6343">
        <w:rPr>
          <w:rFonts w:eastAsia="Times New Roman"/>
          <w:sz w:val="20"/>
          <w:lang w:val="en-AU"/>
        </w:rPr>
        <w:t xml:space="preserve"> and for value added service features at the rates set out in </w:t>
      </w:r>
      <w:hyperlink r:id="rId835" w:history="1">
        <w:r w:rsidRPr="009F6343">
          <w:rPr>
            <w:rFonts w:eastAsia="Times New Roman"/>
            <w:i/>
            <w:color w:val="13607C"/>
            <w:sz w:val="18"/>
            <w:u w:val="single"/>
            <w:lang w:val="en-AU"/>
          </w:rPr>
          <w:t>Appendix Y Value Added Service Features</w:t>
        </w:r>
        <w:r w:rsidRPr="009F6343">
          <w:rPr>
            <w:rFonts w:eastAsia="Times New Roman"/>
            <w:color w:val="13607C"/>
            <w:sz w:val="18"/>
            <w:u w:val="single"/>
            <w:lang w:val="en-AU"/>
          </w:rPr>
          <w:t>.</w:t>
        </w:r>
      </w:hyperlink>
    </w:p>
    <w:p w14:paraId="027A3BB1" w14:textId="77777777" w:rsidR="00E507D4" w:rsidRPr="009F6343" w:rsidRDefault="00E507D4" w:rsidP="00E507D4">
      <w:pPr>
        <w:numPr>
          <w:ilvl w:val="6"/>
          <w:numId w:val="1"/>
        </w:numPr>
        <w:spacing w:after="200"/>
        <w:ind w:left="1440"/>
        <w:outlineLvl w:val="6"/>
        <w:rPr>
          <w:rFonts w:eastAsia="Times New Roman"/>
          <w:sz w:val="20"/>
          <w:lang w:val="en-AU"/>
        </w:rPr>
      </w:pPr>
      <w:r w:rsidRPr="009F6343">
        <w:rPr>
          <w:rFonts w:eastAsia="Times New Roman"/>
          <w:sz w:val="20"/>
          <w:lang w:val="en-AU"/>
        </w:rPr>
        <w:t>If there is a flagfall for a particular call type, the charge for these calls is the flagfall amount plus the relevant rate for the call multiplied by the duration of the call.</w:t>
      </w:r>
    </w:p>
    <w:p w14:paraId="2650991E" w14:textId="77777777" w:rsidR="00E507D4" w:rsidRPr="009F6343" w:rsidRDefault="00E507D4" w:rsidP="00E507D4">
      <w:pPr>
        <w:numPr>
          <w:ilvl w:val="6"/>
          <w:numId w:val="1"/>
        </w:numPr>
        <w:spacing w:after="200"/>
        <w:ind w:left="1440"/>
        <w:outlineLvl w:val="6"/>
        <w:rPr>
          <w:rFonts w:eastAsia="Times New Roman"/>
          <w:b/>
          <w:sz w:val="20"/>
          <w:lang w:val="en-AU"/>
        </w:rPr>
      </w:pPr>
      <w:r w:rsidRPr="009F6343">
        <w:rPr>
          <w:rFonts w:eastAsia="Times New Roman"/>
          <w:b/>
          <w:sz w:val="20"/>
          <w:lang w:val="en-AU"/>
        </w:rPr>
        <w:t>Minimum Monthly Charge</w:t>
      </w:r>
    </w:p>
    <w:p w14:paraId="7D0EE6FE" w14:textId="77777777" w:rsidR="00E507D4" w:rsidRPr="009F6343" w:rsidRDefault="00E507D4" w:rsidP="00E507D4">
      <w:pPr>
        <w:numPr>
          <w:ilvl w:val="7"/>
          <w:numId w:val="1"/>
        </w:numPr>
        <w:spacing w:after="200"/>
        <w:outlineLvl w:val="7"/>
        <w:rPr>
          <w:rFonts w:eastAsia="Times New Roman"/>
          <w:iCs/>
          <w:sz w:val="20"/>
          <w:lang w:val="en-AU"/>
        </w:rPr>
      </w:pPr>
      <w:r w:rsidRPr="009F6343">
        <w:rPr>
          <w:rFonts w:eastAsia="Times New Roman"/>
          <w:iCs/>
          <w:sz w:val="20"/>
          <w:lang w:val="en-AU"/>
        </w:rPr>
        <w:t xml:space="preserve">Each My Plan Business Tech Fund plan has a Minimum Monthly Charge amount that </w:t>
      </w:r>
      <w:r w:rsidRPr="009F6343">
        <w:rPr>
          <w:rFonts w:eastAsia="Times New Roman"/>
          <w:i/>
          <w:iCs/>
          <w:sz w:val="20"/>
          <w:lang w:val="en-AU"/>
        </w:rPr>
        <w:t>you</w:t>
      </w:r>
      <w:r w:rsidRPr="009F6343">
        <w:rPr>
          <w:rFonts w:eastAsia="Times New Roman"/>
          <w:iCs/>
          <w:sz w:val="20"/>
          <w:lang w:val="en-AU"/>
        </w:rPr>
        <w:t xml:space="preserve"> must pay </w:t>
      </w:r>
      <w:r w:rsidRPr="009F6343">
        <w:rPr>
          <w:rFonts w:eastAsia="Times New Roman"/>
          <w:i/>
          <w:iCs/>
          <w:sz w:val="20"/>
          <w:lang w:val="en-AU"/>
        </w:rPr>
        <w:t>us</w:t>
      </w:r>
      <w:r w:rsidRPr="009F6343">
        <w:rPr>
          <w:rFonts w:eastAsia="Times New Roman"/>
          <w:iCs/>
          <w:sz w:val="20"/>
          <w:lang w:val="en-AU"/>
        </w:rPr>
        <w:t xml:space="preserve"> each month as set out in Table 1 below. </w:t>
      </w:r>
    </w:p>
    <w:p w14:paraId="3FC09FFA" w14:textId="77777777" w:rsidR="00E507D4" w:rsidRPr="009F6343" w:rsidRDefault="00E507D4" w:rsidP="00E507D4">
      <w:pPr>
        <w:pStyle w:val="Heading6"/>
        <w:spacing w:before="240"/>
        <w:ind w:left="0" w:firstLine="0"/>
        <w:rPr>
          <w:lang w:val="en-AU"/>
        </w:rPr>
      </w:pPr>
      <w:bookmarkStart w:id="2133" w:name="_Toc462648836"/>
      <w:bookmarkStart w:id="2134" w:name="_Toc464031854"/>
      <w:bookmarkStart w:id="2135" w:name="_Toc508361973"/>
      <w:r w:rsidRPr="009F6343">
        <w:rPr>
          <w:lang w:val="en-AU"/>
        </w:rPr>
        <w:t>How My Plan Business Tech Fund works</w:t>
      </w:r>
      <w:bookmarkEnd w:id="2133"/>
      <w:bookmarkEnd w:id="2134"/>
      <w:bookmarkEnd w:id="2135"/>
    </w:p>
    <w:p w14:paraId="5BC5FD7B" w14:textId="77777777" w:rsidR="00E507D4" w:rsidRPr="009F6343" w:rsidRDefault="00E507D4" w:rsidP="00E507D4">
      <w:pPr>
        <w:numPr>
          <w:ilvl w:val="6"/>
          <w:numId w:val="1"/>
        </w:numPr>
        <w:spacing w:after="200"/>
        <w:ind w:left="1440"/>
        <w:outlineLvl w:val="6"/>
        <w:rPr>
          <w:rFonts w:eastAsia="Times New Roman"/>
          <w:sz w:val="20"/>
          <w:lang w:val="en-AU"/>
        </w:rPr>
      </w:pPr>
      <w:r w:rsidRPr="009F6343">
        <w:rPr>
          <w:rFonts w:eastAsia="Times New Roman"/>
          <w:sz w:val="20"/>
          <w:lang w:val="en-AU"/>
        </w:rPr>
        <w:t xml:space="preserve">Each My Plan Business Tech Fund referred to in this section has unlimited minutes to use on standard national calls to landlines and mobiles, 13/1300 numbers and voicemail retrievals and an amount of Included Data (for mobile internet use) to share with other services on a My Plan Plus, My Plan Plus SIM Only, My Plan Business (including Tech Fund), My Plan Business SIM, My Mobile Broadband Plus, Mobile Broadband Business or Shared Data Plan on the same account. </w:t>
      </w:r>
    </w:p>
    <w:p w14:paraId="559A3259" w14:textId="77777777" w:rsidR="00E507D4" w:rsidRPr="009F6343" w:rsidRDefault="00E507D4" w:rsidP="00E507D4">
      <w:pPr>
        <w:numPr>
          <w:ilvl w:val="6"/>
          <w:numId w:val="1"/>
        </w:numPr>
        <w:spacing w:after="200"/>
        <w:ind w:left="1440"/>
        <w:outlineLvl w:val="6"/>
        <w:rPr>
          <w:rFonts w:eastAsia="Times New Roman"/>
          <w:sz w:val="20"/>
          <w:lang w:val="en-AU"/>
        </w:rPr>
      </w:pPr>
      <w:r w:rsidRPr="009F6343">
        <w:rPr>
          <w:rFonts w:eastAsia="Times New Roman"/>
          <w:sz w:val="20"/>
          <w:lang w:val="en-AU"/>
        </w:rPr>
        <w:lastRenderedPageBreak/>
        <w:t>These plans also include unlimited standard national SMS/MMS and unlimited standard International SMS/MMS to selected countries.</w:t>
      </w:r>
    </w:p>
    <w:p w14:paraId="178A51EF" w14:textId="77777777" w:rsidR="00E507D4" w:rsidRPr="009F6343" w:rsidRDefault="00E507D4" w:rsidP="00E507D4">
      <w:pPr>
        <w:numPr>
          <w:ilvl w:val="6"/>
          <w:numId w:val="1"/>
        </w:numPr>
        <w:spacing w:after="200"/>
        <w:ind w:left="1440"/>
        <w:outlineLvl w:val="6"/>
        <w:rPr>
          <w:rFonts w:eastAsia="Times New Roman"/>
          <w:sz w:val="20"/>
          <w:lang w:val="en-AU"/>
        </w:rPr>
      </w:pPr>
      <w:r w:rsidRPr="009F6343">
        <w:rPr>
          <w:rFonts w:eastAsia="Times New Roman"/>
          <w:sz w:val="20"/>
          <w:lang w:val="en-AU"/>
        </w:rPr>
        <w:t>Data usage is calculated in one kilobyte increments. International minutes are billed in one minute increments</w:t>
      </w:r>
    </w:p>
    <w:p w14:paraId="3075E9E2" w14:textId="77777777" w:rsidR="00E507D4" w:rsidRPr="009F6343" w:rsidRDefault="00E507D4" w:rsidP="00E507D4">
      <w:pPr>
        <w:numPr>
          <w:ilvl w:val="6"/>
          <w:numId w:val="1"/>
        </w:numPr>
        <w:spacing w:after="200"/>
        <w:ind w:left="1440"/>
        <w:outlineLvl w:val="6"/>
        <w:rPr>
          <w:rFonts w:eastAsia="Times New Roman"/>
          <w:sz w:val="20"/>
          <w:lang w:val="en-AU"/>
        </w:rPr>
      </w:pPr>
      <w:r w:rsidRPr="009F6343">
        <w:rPr>
          <w:rFonts w:eastAsia="Times New Roman"/>
          <w:sz w:val="20"/>
        </w:rPr>
        <w:t>If you exceed your included shareable data you'll automatically be charged $10 for each additional 1GB of data ("</w:t>
      </w:r>
      <w:r w:rsidRPr="009F6343">
        <w:rPr>
          <w:rFonts w:eastAsia="Times New Roman"/>
          <w:b/>
          <w:sz w:val="20"/>
        </w:rPr>
        <w:t>Additional Data</w:t>
      </w:r>
      <w:r w:rsidRPr="009F6343">
        <w:rPr>
          <w:rFonts w:eastAsia="Times New Roman"/>
          <w:sz w:val="20"/>
        </w:rPr>
        <w:t xml:space="preserve">") up to 150GB of extra data per account each month. Your service/s may then be restricted or we may continue to charge you at these rates. </w:t>
      </w:r>
    </w:p>
    <w:p w14:paraId="369A5573" w14:textId="77777777" w:rsidR="00E507D4" w:rsidRPr="009F6343" w:rsidRDefault="00E507D4" w:rsidP="00E507D4">
      <w:pPr>
        <w:numPr>
          <w:ilvl w:val="6"/>
          <w:numId w:val="1"/>
        </w:numPr>
        <w:spacing w:after="200"/>
        <w:ind w:left="1440"/>
        <w:outlineLvl w:val="6"/>
        <w:rPr>
          <w:rFonts w:eastAsia="Times New Roman"/>
          <w:b/>
          <w:sz w:val="20"/>
          <w:lang w:val="en-AU"/>
        </w:rPr>
      </w:pPr>
      <w:r w:rsidRPr="009F6343">
        <w:rPr>
          <w:rFonts w:eastAsia="Times New Roman"/>
          <w:sz w:val="20"/>
          <w:lang w:val="en-AU"/>
        </w:rPr>
        <w:t xml:space="preserve">Any unused portion of </w:t>
      </w:r>
      <w:r w:rsidRPr="009F6343">
        <w:rPr>
          <w:rFonts w:eastAsia="Times New Roman"/>
          <w:i/>
          <w:sz w:val="20"/>
          <w:lang w:val="en-AU"/>
        </w:rPr>
        <w:t>your</w:t>
      </w:r>
      <w:r w:rsidRPr="009F6343">
        <w:rPr>
          <w:rFonts w:eastAsia="Times New Roman"/>
          <w:sz w:val="20"/>
          <w:lang w:val="en-AU"/>
        </w:rPr>
        <w:t xml:space="preserve"> </w:t>
      </w:r>
      <w:r w:rsidRPr="009F6343">
        <w:rPr>
          <w:rFonts w:eastAsia="Times New Roman"/>
          <w:i/>
          <w:sz w:val="20"/>
          <w:lang w:val="en-AU"/>
        </w:rPr>
        <w:t>plan's</w:t>
      </w:r>
      <w:r w:rsidRPr="009F6343">
        <w:rPr>
          <w:rFonts w:eastAsia="Times New Roman"/>
          <w:sz w:val="20"/>
          <w:lang w:val="en-AU"/>
        </w:rPr>
        <w:t xml:space="preserve"> Included or Additional Data expires at the end of each month and does not roll over into the next month.</w:t>
      </w:r>
    </w:p>
    <w:p w14:paraId="59CCE827" w14:textId="77777777" w:rsidR="00E507D4" w:rsidRPr="009F6343" w:rsidRDefault="00E507D4" w:rsidP="00E507D4">
      <w:pPr>
        <w:numPr>
          <w:ilvl w:val="6"/>
          <w:numId w:val="1"/>
        </w:numPr>
        <w:spacing w:after="200"/>
        <w:ind w:left="1440"/>
        <w:outlineLvl w:val="6"/>
        <w:rPr>
          <w:rFonts w:eastAsia="Times New Roman"/>
          <w:b/>
          <w:sz w:val="20"/>
          <w:lang w:val="en-AU"/>
        </w:rPr>
      </w:pPr>
      <w:r w:rsidRPr="009F6343">
        <w:rPr>
          <w:rFonts w:eastAsia="Times New Roman"/>
          <w:i/>
          <w:sz w:val="20"/>
          <w:lang w:val="en-AU"/>
        </w:rPr>
        <w:t>You</w:t>
      </w:r>
      <w:r w:rsidRPr="009F6343">
        <w:rPr>
          <w:rFonts w:eastAsia="Times New Roman"/>
          <w:sz w:val="20"/>
          <w:lang w:val="en-AU"/>
        </w:rPr>
        <w:t xml:space="preserve"> must pay </w:t>
      </w:r>
      <w:r w:rsidRPr="009F6343">
        <w:rPr>
          <w:rFonts w:eastAsia="Times New Roman"/>
          <w:i/>
          <w:sz w:val="20"/>
          <w:lang w:val="en-AU"/>
        </w:rPr>
        <w:t>us</w:t>
      </w:r>
      <w:r w:rsidRPr="009F6343">
        <w:rPr>
          <w:rFonts w:eastAsia="Times New Roman"/>
          <w:sz w:val="20"/>
          <w:lang w:val="en-AU"/>
        </w:rPr>
        <w:t xml:space="preserve"> for use of any services that are not included in </w:t>
      </w:r>
      <w:r w:rsidRPr="009F6343">
        <w:rPr>
          <w:rFonts w:eastAsia="Times New Roman"/>
          <w:i/>
          <w:sz w:val="20"/>
          <w:lang w:val="en-AU"/>
        </w:rPr>
        <w:t>your</w:t>
      </w:r>
      <w:r w:rsidRPr="009F6343">
        <w:rPr>
          <w:rFonts w:eastAsia="Times New Roman"/>
          <w:sz w:val="20"/>
          <w:lang w:val="en-AU"/>
        </w:rPr>
        <w:t xml:space="preserve"> plan's inclusions, examples of which are set out in Table 2 below.</w:t>
      </w:r>
    </w:p>
    <w:p w14:paraId="24F31608" w14:textId="77777777" w:rsidR="00E507D4" w:rsidRPr="009F6343" w:rsidRDefault="00E507D4" w:rsidP="00E507D4">
      <w:pPr>
        <w:pStyle w:val="Heading6"/>
        <w:spacing w:before="240"/>
        <w:ind w:left="0" w:firstLine="0"/>
        <w:rPr>
          <w:lang w:val="en-AU"/>
        </w:rPr>
      </w:pPr>
      <w:bookmarkStart w:id="2136" w:name="_Toc462648837"/>
      <w:bookmarkStart w:id="2137" w:name="_Toc464031855"/>
      <w:bookmarkStart w:id="2138" w:name="_Toc508361974"/>
      <w:r w:rsidRPr="009F6343">
        <w:rPr>
          <w:lang w:val="en-AU"/>
        </w:rPr>
        <w:t>Plan Changes</w:t>
      </w:r>
      <w:bookmarkEnd w:id="2136"/>
      <w:bookmarkEnd w:id="2137"/>
      <w:bookmarkEnd w:id="2138"/>
    </w:p>
    <w:p w14:paraId="1CA10008" w14:textId="77777777" w:rsidR="00E507D4" w:rsidRPr="009F6343" w:rsidRDefault="00E507D4" w:rsidP="00E507D4">
      <w:pPr>
        <w:spacing w:after="200"/>
        <w:ind w:left="720"/>
        <w:rPr>
          <w:sz w:val="20"/>
        </w:rPr>
      </w:pPr>
      <w:r w:rsidRPr="009F6343">
        <w:rPr>
          <w:sz w:val="20"/>
        </w:rPr>
        <w:t>You can change your plan during the minimum term provided you move to a plan with a higher monthly access fee. You cannot change your plan during the minimum term to a plan with the same or lower monthly access fee. If you change your plan during the minimum term a fee may apply and any mobile handset credit will remain the same.</w:t>
      </w:r>
    </w:p>
    <w:p w14:paraId="678B058D" w14:textId="77777777" w:rsidR="00E507D4" w:rsidRPr="009F6343" w:rsidRDefault="00E507D4" w:rsidP="00E507D4">
      <w:pPr>
        <w:pStyle w:val="Heading6"/>
        <w:spacing w:before="240"/>
        <w:ind w:left="0" w:firstLine="0"/>
        <w:rPr>
          <w:lang w:val="en-AU"/>
        </w:rPr>
      </w:pPr>
      <w:bookmarkStart w:id="2139" w:name="_Toc462648838"/>
      <w:bookmarkStart w:id="2140" w:name="_Toc464031856"/>
      <w:bookmarkStart w:id="2141" w:name="_Toc508361975"/>
      <w:r w:rsidRPr="009F6343">
        <w:rPr>
          <w:lang w:val="en-AU"/>
        </w:rPr>
        <w:t>Handset Credit</w:t>
      </w:r>
      <w:bookmarkEnd w:id="2139"/>
      <w:bookmarkEnd w:id="2140"/>
      <w:bookmarkEnd w:id="2141"/>
    </w:p>
    <w:p w14:paraId="5B60D979" w14:textId="77777777" w:rsidR="00E507D4" w:rsidRPr="009F6343" w:rsidRDefault="00E507D4" w:rsidP="00E507D4">
      <w:pPr>
        <w:numPr>
          <w:ilvl w:val="6"/>
          <w:numId w:val="1"/>
        </w:numPr>
        <w:spacing w:after="200"/>
        <w:ind w:left="1440"/>
        <w:outlineLvl w:val="6"/>
        <w:rPr>
          <w:rFonts w:eastAsia="Times New Roman"/>
          <w:sz w:val="20"/>
          <w:lang w:val="en-AU"/>
        </w:rPr>
      </w:pPr>
      <w:r w:rsidRPr="009F6343">
        <w:rPr>
          <w:rFonts w:eastAsia="Times New Roman"/>
          <w:sz w:val="20"/>
          <w:lang w:val="en-AU"/>
        </w:rPr>
        <w:t xml:space="preserve">The Handset Credit is a special offer available to customers who are eligible for and connect to a My Plan Business Tech Fund plan, and who do not choose to take a handset upfront. It allows </w:t>
      </w:r>
      <w:r w:rsidRPr="009F6343">
        <w:rPr>
          <w:rFonts w:eastAsia="Times New Roman"/>
          <w:i/>
          <w:sz w:val="20"/>
          <w:lang w:val="en-AU"/>
        </w:rPr>
        <w:t>you</w:t>
      </w:r>
      <w:r w:rsidRPr="009F6343">
        <w:rPr>
          <w:rFonts w:eastAsia="Times New Roman"/>
          <w:sz w:val="20"/>
          <w:lang w:val="en-AU"/>
        </w:rPr>
        <w:t xml:space="preserve"> to purchase mobile phones and accessories from Optus at any period throughout </w:t>
      </w:r>
      <w:r w:rsidRPr="009F6343">
        <w:rPr>
          <w:rFonts w:eastAsia="Times New Roman"/>
          <w:i/>
          <w:sz w:val="20"/>
          <w:lang w:val="en-AU"/>
        </w:rPr>
        <w:t>your</w:t>
      </w:r>
      <w:r w:rsidRPr="009F6343">
        <w:rPr>
          <w:rFonts w:eastAsia="Times New Roman"/>
          <w:sz w:val="20"/>
          <w:lang w:val="en-AU"/>
        </w:rPr>
        <w:t xml:space="preserve"> contract; it cannot be used for any other purpose other than the purchase of handsets and accessories from </w:t>
      </w:r>
      <w:r w:rsidRPr="009F6343">
        <w:rPr>
          <w:rFonts w:eastAsia="Times New Roman"/>
          <w:i/>
          <w:sz w:val="20"/>
          <w:lang w:val="en-AU"/>
        </w:rPr>
        <w:t>us</w:t>
      </w:r>
      <w:r w:rsidRPr="009F6343">
        <w:rPr>
          <w:rFonts w:eastAsia="Times New Roman"/>
          <w:sz w:val="20"/>
          <w:lang w:val="en-AU"/>
        </w:rPr>
        <w:t xml:space="preserve">. </w:t>
      </w:r>
    </w:p>
    <w:p w14:paraId="2D83DC56" w14:textId="77777777" w:rsidR="00E507D4" w:rsidRPr="009F6343" w:rsidRDefault="00E507D4" w:rsidP="00E507D4">
      <w:pPr>
        <w:numPr>
          <w:ilvl w:val="6"/>
          <w:numId w:val="1"/>
        </w:numPr>
        <w:spacing w:after="200"/>
        <w:ind w:left="1440"/>
        <w:outlineLvl w:val="6"/>
        <w:rPr>
          <w:rFonts w:eastAsia="Times New Roman"/>
          <w:sz w:val="20"/>
          <w:lang w:val="en-AU"/>
        </w:rPr>
      </w:pPr>
      <w:r w:rsidRPr="009F6343">
        <w:rPr>
          <w:rFonts w:eastAsia="Times New Roman" w:cs="Arial"/>
          <w:sz w:val="20"/>
          <w:szCs w:val="20"/>
          <w:lang w:val="en-AU"/>
        </w:rPr>
        <w:t>The amount of the credit will be as set out in your application form.</w:t>
      </w:r>
    </w:p>
    <w:p w14:paraId="36A89FDE" w14:textId="77777777" w:rsidR="00E507D4" w:rsidRPr="009F6343" w:rsidRDefault="00E507D4" w:rsidP="00E507D4">
      <w:pPr>
        <w:numPr>
          <w:ilvl w:val="6"/>
          <w:numId w:val="1"/>
        </w:numPr>
        <w:spacing w:after="200"/>
        <w:ind w:left="1440"/>
        <w:outlineLvl w:val="6"/>
        <w:rPr>
          <w:rFonts w:eastAsia="Times New Roman"/>
          <w:sz w:val="20"/>
          <w:lang w:val="en-AU"/>
        </w:rPr>
      </w:pPr>
      <w:r w:rsidRPr="009F6343">
        <w:rPr>
          <w:rFonts w:eastAsia="Times New Roman"/>
          <w:i/>
          <w:sz w:val="20"/>
          <w:lang w:val="en-AU"/>
        </w:rPr>
        <w:t>You</w:t>
      </w:r>
      <w:r w:rsidRPr="009F6343">
        <w:rPr>
          <w:rFonts w:eastAsia="Times New Roman"/>
          <w:sz w:val="20"/>
          <w:lang w:val="en-AU"/>
        </w:rPr>
        <w:t xml:space="preserve"> may use the Handset Credit deposited into </w:t>
      </w:r>
      <w:r w:rsidRPr="009F6343">
        <w:rPr>
          <w:rFonts w:eastAsia="Times New Roman"/>
          <w:i/>
          <w:sz w:val="20"/>
          <w:lang w:val="en-AU"/>
        </w:rPr>
        <w:t>your</w:t>
      </w:r>
      <w:r w:rsidRPr="009F6343">
        <w:rPr>
          <w:rFonts w:eastAsia="Times New Roman"/>
          <w:sz w:val="20"/>
          <w:lang w:val="en-AU"/>
        </w:rPr>
        <w:t xml:space="preserve"> account to purchase handsets listed in the Optus e-fulfilment price list as amended by </w:t>
      </w:r>
      <w:r w:rsidRPr="009F6343">
        <w:rPr>
          <w:rFonts w:eastAsia="Times New Roman"/>
          <w:i/>
          <w:sz w:val="20"/>
          <w:lang w:val="en-AU"/>
        </w:rPr>
        <w:t>us</w:t>
      </w:r>
      <w:r w:rsidRPr="009F6343">
        <w:rPr>
          <w:rFonts w:eastAsia="Times New Roman"/>
          <w:sz w:val="20"/>
          <w:lang w:val="en-AU"/>
        </w:rPr>
        <w:t xml:space="preserve"> from time to time. This list is available to </w:t>
      </w:r>
      <w:r w:rsidRPr="009F6343">
        <w:rPr>
          <w:rFonts w:eastAsia="Times New Roman"/>
          <w:i/>
          <w:sz w:val="20"/>
          <w:lang w:val="en-AU"/>
        </w:rPr>
        <w:t>you</w:t>
      </w:r>
      <w:r w:rsidRPr="009F6343">
        <w:rPr>
          <w:rFonts w:eastAsia="Times New Roman"/>
          <w:sz w:val="20"/>
          <w:lang w:val="en-AU"/>
        </w:rPr>
        <w:t xml:space="preserve"> upon request.</w:t>
      </w:r>
    </w:p>
    <w:p w14:paraId="7E09CC34" w14:textId="77777777" w:rsidR="00E507D4" w:rsidRPr="009F6343" w:rsidRDefault="00E507D4" w:rsidP="00E507D4">
      <w:pPr>
        <w:numPr>
          <w:ilvl w:val="6"/>
          <w:numId w:val="1"/>
        </w:numPr>
        <w:spacing w:after="200"/>
        <w:ind w:left="1440"/>
        <w:outlineLvl w:val="6"/>
        <w:rPr>
          <w:rFonts w:eastAsia="Times New Roman"/>
          <w:sz w:val="20"/>
          <w:lang w:val="en-AU"/>
        </w:rPr>
      </w:pPr>
      <w:r w:rsidRPr="009F6343">
        <w:rPr>
          <w:rFonts w:eastAsia="Times New Roman"/>
          <w:sz w:val="20"/>
          <w:lang w:val="en-AU"/>
        </w:rPr>
        <w:t xml:space="preserve">If the purchase price for products that </w:t>
      </w:r>
      <w:r w:rsidRPr="009F6343">
        <w:rPr>
          <w:rFonts w:eastAsia="Times New Roman"/>
          <w:i/>
          <w:sz w:val="20"/>
          <w:lang w:val="en-AU"/>
        </w:rPr>
        <w:t>you</w:t>
      </w:r>
      <w:r w:rsidRPr="009F6343">
        <w:rPr>
          <w:rFonts w:eastAsia="Times New Roman"/>
          <w:sz w:val="20"/>
          <w:lang w:val="en-AU"/>
        </w:rPr>
        <w:t xml:space="preserve"> order is greater than the Handset Credit remaining in </w:t>
      </w:r>
      <w:r w:rsidRPr="009F6343">
        <w:rPr>
          <w:rFonts w:eastAsia="Times New Roman"/>
          <w:i/>
          <w:sz w:val="20"/>
          <w:lang w:val="en-AU"/>
        </w:rPr>
        <w:t>your</w:t>
      </w:r>
      <w:r w:rsidRPr="009F6343">
        <w:rPr>
          <w:rFonts w:eastAsia="Times New Roman"/>
          <w:sz w:val="20"/>
          <w:lang w:val="en-AU"/>
        </w:rPr>
        <w:t xml:space="preserve"> account, </w:t>
      </w:r>
      <w:r w:rsidRPr="009F6343">
        <w:rPr>
          <w:rFonts w:eastAsia="Times New Roman"/>
          <w:i/>
          <w:sz w:val="20"/>
          <w:lang w:val="en-AU"/>
        </w:rPr>
        <w:t>you</w:t>
      </w:r>
      <w:r w:rsidRPr="009F6343">
        <w:rPr>
          <w:rFonts w:eastAsia="Times New Roman"/>
          <w:sz w:val="20"/>
          <w:lang w:val="en-AU"/>
        </w:rPr>
        <w:t xml:space="preserve"> must pay any difference for those products by manually topping up </w:t>
      </w:r>
      <w:r w:rsidRPr="009F6343">
        <w:rPr>
          <w:rFonts w:eastAsia="Times New Roman"/>
          <w:i/>
          <w:sz w:val="20"/>
          <w:lang w:val="en-AU"/>
        </w:rPr>
        <w:t>your</w:t>
      </w:r>
      <w:r w:rsidRPr="009F6343">
        <w:rPr>
          <w:rFonts w:eastAsia="Times New Roman"/>
          <w:sz w:val="20"/>
          <w:lang w:val="en-AU"/>
        </w:rPr>
        <w:t xml:space="preserve"> Handset Credit Fund account with the required funds before purchasing.</w:t>
      </w:r>
    </w:p>
    <w:p w14:paraId="58EBEECF" w14:textId="77777777" w:rsidR="00E507D4" w:rsidRPr="009F6343" w:rsidRDefault="00E507D4" w:rsidP="00E507D4">
      <w:pPr>
        <w:numPr>
          <w:ilvl w:val="6"/>
          <w:numId w:val="1"/>
        </w:numPr>
        <w:spacing w:after="200"/>
        <w:ind w:left="1440"/>
        <w:outlineLvl w:val="6"/>
        <w:rPr>
          <w:rFonts w:eastAsia="Times New Roman"/>
          <w:sz w:val="20"/>
          <w:lang w:val="en-AU"/>
        </w:rPr>
      </w:pPr>
      <w:r w:rsidRPr="009F6343">
        <w:rPr>
          <w:rFonts w:eastAsia="Times New Roman"/>
          <w:sz w:val="20"/>
          <w:lang w:val="en-AU"/>
        </w:rPr>
        <w:t xml:space="preserve">The value of the Handset Credit is not redeemable for cash and may not be transferred or used for any other purposes (for instance, it may not be used to pay for service charges, minimum monthly call spend or call costs, cannot be used against cancellation fees). </w:t>
      </w:r>
    </w:p>
    <w:p w14:paraId="6E356838" w14:textId="77777777" w:rsidR="00E507D4" w:rsidRPr="009F6343" w:rsidRDefault="00E507D4" w:rsidP="00E507D4">
      <w:pPr>
        <w:numPr>
          <w:ilvl w:val="6"/>
          <w:numId w:val="1"/>
        </w:numPr>
        <w:spacing w:after="200"/>
        <w:ind w:left="1440"/>
        <w:outlineLvl w:val="6"/>
        <w:rPr>
          <w:rFonts w:eastAsia="Times New Roman"/>
          <w:sz w:val="20"/>
          <w:lang w:val="en-AU"/>
        </w:rPr>
      </w:pPr>
      <w:r w:rsidRPr="009F6343">
        <w:rPr>
          <w:rFonts w:eastAsia="Times New Roman"/>
          <w:sz w:val="20"/>
          <w:lang w:val="en-AU"/>
        </w:rPr>
        <w:t xml:space="preserve">If you cancel a service on an account with multiple Tech Fund services, you will not lose any unused handset credit. Only if </w:t>
      </w:r>
      <w:r w:rsidRPr="009F6343">
        <w:rPr>
          <w:rFonts w:eastAsia="Times New Roman"/>
          <w:i/>
          <w:sz w:val="20"/>
          <w:lang w:val="en-AU"/>
        </w:rPr>
        <w:t>your</w:t>
      </w:r>
      <w:r w:rsidRPr="009F6343">
        <w:rPr>
          <w:rFonts w:eastAsia="Times New Roman"/>
          <w:sz w:val="20"/>
          <w:lang w:val="en-AU"/>
        </w:rPr>
        <w:t xml:space="preserve"> account is cancelled for any reason then any unused credit will be forfeited.</w:t>
      </w:r>
    </w:p>
    <w:p w14:paraId="11EC1133" w14:textId="77777777" w:rsidR="00E507D4" w:rsidRPr="009F6343" w:rsidRDefault="00E507D4" w:rsidP="00E507D4">
      <w:pPr>
        <w:pStyle w:val="Heading6"/>
        <w:spacing w:before="240"/>
        <w:ind w:left="0" w:firstLine="0"/>
        <w:rPr>
          <w:lang w:val="en-AU"/>
        </w:rPr>
      </w:pPr>
      <w:bookmarkStart w:id="2142" w:name="_Toc462648839"/>
      <w:bookmarkStart w:id="2143" w:name="_Toc464031857"/>
      <w:bookmarkStart w:id="2144" w:name="_Toc508361976"/>
      <w:r w:rsidRPr="009F6343">
        <w:rPr>
          <w:lang w:val="en-AU"/>
        </w:rPr>
        <w:t>Data Sharing</w:t>
      </w:r>
      <w:bookmarkEnd w:id="2142"/>
      <w:bookmarkEnd w:id="2143"/>
      <w:bookmarkEnd w:id="2144"/>
    </w:p>
    <w:p w14:paraId="285C97E3" w14:textId="77777777" w:rsidR="00E507D4" w:rsidRPr="009F6343" w:rsidRDefault="00E507D4" w:rsidP="00E507D4">
      <w:pPr>
        <w:numPr>
          <w:ilvl w:val="6"/>
          <w:numId w:val="1"/>
        </w:numPr>
        <w:spacing w:after="200"/>
        <w:ind w:left="1440"/>
        <w:outlineLvl w:val="6"/>
        <w:rPr>
          <w:rFonts w:eastAsia="Times New Roman"/>
          <w:sz w:val="20"/>
          <w:lang w:val="en-AU"/>
        </w:rPr>
      </w:pPr>
      <w:r w:rsidRPr="009F6343">
        <w:rPr>
          <w:rFonts w:eastAsia="Times New Roman"/>
          <w:sz w:val="20"/>
          <w:lang w:val="en-AU"/>
        </w:rPr>
        <w:t>If you have more than one My Plan Plus, My Plan Plus SIM Only, My Plan Business (including Tech Fund), My Plan Business SIM, My Mobile Broadband Plus or Mobile Broadband Business on the same billing account, the included data will combine into one data pool, which will be shared by all eligible services on that account.</w:t>
      </w:r>
    </w:p>
    <w:p w14:paraId="033BA873" w14:textId="77777777" w:rsidR="00E507D4" w:rsidRPr="009F6343" w:rsidRDefault="00E507D4" w:rsidP="00E507D4">
      <w:pPr>
        <w:numPr>
          <w:ilvl w:val="6"/>
          <w:numId w:val="1"/>
        </w:numPr>
        <w:spacing w:after="200"/>
        <w:ind w:left="1440"/>
        <w:outlineLvl w:val="6"/>
        <w:rPr>
          <w:rFonts w:eastAsia="Times New Roman"/>
          <w:sz w:val="20"/>
          <w:lang w:val="en-AU"/>
        </w:rPr>
      </w:pPr>
      <w:r w:rsidRPr="009F6343">
        <w:rPr>
          <w:rFonts w:eastAsia="Times New Roman"/>
          <w:sz w:val="20"/>
          <w:lang w:val="en-AU"/>
        </w:rPr>
        <w:t xml:space="preserve">If </w:t>
      </w:r>
      <w:r w:rsidRPr="009F6343">
        <w:rPr>
          <w:rFonts w:eastAsia="Times New Roman"/>
          <w:i/>
          <w:sz w:val="20"/>
          <w:lang w:val="en-AU"/>
        </w:rPr>
        <w:t>you</w:t>
      </w:r>
      <w:r w:rsidRPr="009F6343">
        <w:rPr>
          <w:rFonts w:eastAsia="Times New Roman"/>
          <w:sz w:val="20"/>
          <w:lang w:val="en-AU"/>
        </w:rPr>
        <w:t xml:space="preserve"> do not want </w:t>
      </w:r>
      <w:r w:rsidRPr="009F6343">
        <w:rPr>
          <w:rFonts w:eastAsia="Times New Roman"/>
          <w:i/>
          <w:sz w:val="20"/>
          <w:lang w:val="en-AU"/>
        </w:rPr>
        <w:t>your</w:t>
      </w:r>
      <w:r w:rsidRPr="009F6343">
        <w:rPr>
          <w:rFonts w:eastAsia="Times New Roman"/>
          <w:sz w:val="20"/>
          <w:lang w:val="en-AU"/>
        </w:rPr>
        <w:t xml:space="preserve"> services on any My Plan Plus, My Plan Plus SIM Only, My Plan Business (including Tech Fund), My Plan Business SIM, My Mobile Broadband Plus or Mobile Broadband Business plans to share data, they need to be on separate billing accounts. </w:t>
      </w:r>
    </w:p>
    <w:p w14:paraId="22B9F41C" w14:textId="77777777" w:rsidR="00E507D4" w:rsidRPr="009516BD" w:rsidRDefault="00E507D4" w:rsidP="00E507D4">
      <w:pPr>
        <w:numPr>
          <w:ilvl w:val="6"/>
          <w:numId w:val="1"/>
        </w:numPr>
        <w:spacing w:after="200"/>
        <w:ind w:left="1440"/>
        <w:outlineLvl w:val="6"/>
        <w:rPr>
          <w:lang w:val="en-AU"/>
        </w:rPr>
      </w:pPr>
      <w:r w:rsidRPr="009F6343">
        <w:rPr>
          <w:rFonts w:eastAsia="Times New Roman"/>
          <w:sz w:val="20"/>
          <w:lang w:val="en-AU"/>
        </w:rPr>
        <w:t>Data sharing is only available within Australia.</w:t>
      </w:r>
    </w:p>
    <w:p w14:paraId="52D68FB8" w14:textId="77777777" w:rsidR="00E507D4" w:rsidRPr="009F6343" w:rsidRDefault="00E507D4" w:rsidP="00E507D4">
      <w:pPr>
        <w:pStyle w:val="Heading6"/>
        <w:spacing w:before="240"/>
        <w:ind w:left="0" w:firstLine="0"/>
        <w:rPr>
          <w:lang w:val="en-AU"/>
        </w:rPr>
      </w:pPr>
      <w:bookmarkStart w:id="2145" w:name="_Toc462648840"/>
      <w:bookmarkStart w:id="2146" w:name="_Toc464031858"/>
      <w:bookmarkStart w:id="2147" w:name="_Toc508361977"/>
      <w:r w:rsidRPr="009F6343">
        <w:rPr>
          <w:lang w:val="en-AU"/>
        </w:rPr>
        <w:lastRenderedPageBreak/>
        <w:t>International Minutes</w:t>
      </w:r>
      <w:bookmarkEnd w:id="2145"/>
      <w:bookmarkEnd w:id="2146"/>
      <w:bookmarkEnd w:id="2147"/>
    </w:p>
    <w:p w14:paraId="0C546382" w14:textId="77777777" w:rsidR="00E507D4" w:rsidRPr="009F6343" w:rsidRDefault="00E507D4" w:rsidP="00E507D4">
      <w:pPr>
        <w:spacing w:after="200"/>
        <w:ind w:left="720"/>
        <w:rPr>
          <w:sz w:val="20"/>
        </w:rPr>
      </w:pPr>
      <w:r w:rsidRPr="009F6343">
        <w:rPr>
          <w:sz w:val="20"/>
          <w:szCs w:val="20"/>
        </w:rPr>
        <w:t>Calls to international countries are charged at standard ‘yes’ international call rates.</w:t>
      </w:r>
      <w:r w:rsidRPr="009F6343">
        <w:rPr>
          <w:sz w:val="20"/>
        </w:rPr>
        <w:t xml:space="preserve"> See optus.com.au/Bizinternational</w:t>
      </w:r>
    </w:p>
    <w:p w14:paraId="1C7A27A7" w14:textId="77777777" w:rsidR="00E507D4" w:rsidRPr="009F6343" w:rsidRDefault="00E507D4" w:rsidP="00E507D4">
      <w:pPr>
        <w:pStyle w:val="Heading6"/>
        <w:spacing w:before="240"/>
        <w:ind w:left="0" w:firstLine="0"/>
        <w:rPr>
          <w:lang w:val="en-AU"/>
        </w:rPr>
      </w:pPr>
      <w:bookmarkStart w:id="2148" w:name="_Toc462648841"/>
      <w:bookmarkStart w:id="2149" w:name="_Toc464031859"/>
      <w:bookmarkStart w:id="2150" w:name="_Toc508361978"/>
      <w:r w:rsidRPr="009F6343">
        <w:rPr>
          <w:lang w:val="en-AU"/>
        </w:rPr>
        <w:t>Unlimited standard national SMS and MMS</w:t>
      </w:r>
      <w:bookmarkEnd w:id="2148"/>
      <w:bookmarkEnd w:id="2149"/>
      <w:bookmarkEnd w:id="2150"/>
    </w:p>
    <w:p w14:paraId="154FF8B4" w14:textId="77777777" w:rsidR="00E507D4" w:rsidRPr="009F6343" w:rsidRDefault="00E507D4" w:rsidP="00E507D4">
      <w:pPr>
        <w:spacing w:after="200"/>
        <w:ind w:left="720"/>
        <w:rPr>
          <w:sz w:val="20"/>
        </w:rPr>
      </w:pPr>
      <w:r w:rsidRPr="009F6343">
        <w:rPr>
          <w:i/>
          <w:sz w:val="20"/>
        </w:rPr>
        <w:t>You</w:t>
      </w:r>
      <w:r w:rsidRPr="009F6343">
        <w:rPr>
          <w:sz w:val="20"/>
        </w:rPr>
        <w:t xml:space="preserve"> may send unlimited standard SMS and MMS to Australian mobiles from within Australia.</w:t>
      </w:r>
    </w:p>
    <w:p w14:paraId="3804CC5C" w14:textId="77777777" w:rsidR="00E507D4" w:rsidRPr="009F6343" w:rsidRDefault="00E507D4" w:rsidP="00E507D4">
      <w:pPr>
        <w:spacing w:after="200"/>
        <w:ind w:left="720"/>
        <w:rPr>
          <w:i/>
          <w:sz w:val="20"/>
          <w:u w:val="single"/>
        </w:rPr>
      </w:pPr>
      <w:r w:rsidRPr="009F6343">
        <w:rPr>
          <w:sz w:val="20"/>
        </w:rPr>
        <w:t xml:space="preserve">Unlimited standard national SMS and MMS are only available for personal and ordinary business use and are not to be used for a commercial or non-ordinary purpose as set out in the </w:t>
      </w:r>
      <w:hyperlink r:id="rId836" w:history="1">
        <w:r w:rsidRPr="009F6343">
          <w:rPr>
            <w:i/>
            <w:color w:val="13607C"/>
            <w:sz w:val="18"/>
            <w:u w:val="single"/>
          </w:rPr>
          <w:t>Fair Go Policy</w:t>
        </w:r>
      </w:hyperlink>
      <w:r w:rsidRPr="009F6343">
        <w:rPr>
          <w:sz w:val="20"/>
        </w:rPr>
        <w:t xml:space="preserve">. For further details refer to </w:t>
      </w:r>
      <w:hyperlink r:id="rId837" w:history="1">
        <w:r w:rsidRPr="009F6343">
          <w:rPr>
            <w:i/>
            <w:color w:val="13607C"/>
            <w:sz w:val="18"/>
            <w:u w:val="single"/>
          </w:rPr>
          <w:t>Appendix S</w:t>
        </w:r>
      </w:hyperlink>
      <w:r w:rsidRPr="009F6343">
        <w:rPr>
          <w:sz w:val="20"/>
        </w:rPr>
        <w:t>.</w:t>
      </w:r>
    </w:p>
    <w:p w14:paraId="2B20BD64" w14:textId="77777777" w:rsidR="00E507D4" w:rsidRPr="009F6343" w:rsidRDefault="00E507D4" w:rsidP="00E507D4">
      <w:pPr>
        <w:pStyle w:val="Heading6"/>
        <w:spacing w:before="240"/>
        <w:ind w:left="0" w:firstLine="0"/>
        <w:rPr>
          <w:lang w:val="en-AU"/>
        </w:rPr>
      </w:pPr>
      <w:bookmarkStart w:id="2151" w:name="_Toc462648842"/>
      <w:bookmarkStart w:id="2152" w:name="_Toc464031860"/>
      <w:bookmarkStart w:id="2153" w:name="_Toc508361979"/>
      <w:r w:rsidRPr="009F6343">
        <w:rPr>
          <w:lang w:val="en-AU"/>
        </w:rPr>
        <w:t>Unlimited standard international SMS and MMS</w:t>
      </w:r>
      <w:bookmarkEnd w:id="2151"/>
      <w:bookmarkEnd w:id="2152"/>
      <w:bookmarkEnd w:id="2153"/>
    </w:p>
    <w:p w14:paraId="220E623F" w14:textId="77777777" w:rsidR="00E507D4" w:rsidRPr="009F6343" w:rsidRDefault="00E507D4" w:rsidP="00E507D4">
      <w:pPr>
        <w:spacing w:after="200"/>
        <w:ind w:left="720"/>
        <w:rPr>
          <w:sz w:val="20"/>
        </w:rPr>
      </w:pPr>
      <w:r w:rsidRPr="009F6343">
        <w:rPr>
          <w:i/>
          <w:sz w:val="20"/>
        </w:rPr>
        <w:t>You</w:t>
      </w:r>
      <w:r w:rsidRPr="009F6343">
        <w:rPr>
          <w:sz w:val="20"/>
        </w:rPr>
        <w:t xml:space="preserve"> may send unlimited standard SMS and MMS to selected countries as set out in Table 3 below.</w:t>
      </w:r>
    </w:p>
    <w:p w14:paraId="1CDBD837" w14:textId="77777777" w:rsidR="00E507D4" w:rsidRPr="009F6343" w:rsidRDefault="00E507D4" w:rsidP="00E507D4">
      <w:pPr>
        <w:spacing w:after="200"/>
        <w:ind w:left="720"/>
        <w:rPr>
          <w:i/>
          <w:sz w:val="20"/>
        </w:rPr>
      </w:pPr>
      <w:r w:rsidRPr="009F6343">
        <w:rPr>
          <w:sz w:val="20"/>
        </w:rPr>
        <w:t xml:space="preserve">Unlimited standard SMS and MMS are only available for personal and ordinary business use and are not to be used for a commercial or non-ordinary purpose as set out in the Fair Go Policy. For further details refer to </w:t>
      </w:r>
      <w:hyperlink r:id="rId838" w:history="1">
        <w:r w:rsidRPr="009F6343">
          <w:rPr>
            <w:i/>
            <w:color w:val="13607C"/>
            <w:sz w:val="18"/>
            <w:u w:val="single"/>
          </w:rPr>
          <w:t>Appendix S</w:t>
        </w:r>
      </w:hyperlink>
      <w:r w:rsidRPr="009F6343">
        <w:rPr>
          <w:i/>
          <w:sz w:val="20"/>
        </w:rPr>
        <w:t>.</w:t>
      </w:r>
    </w:p>
    <w:p w14:paraId="39027AD7" w14:textId="77777777" w:rsidR="00E507D4" w:rsidRPr="009F6343" w:rsidRDefault="00E507D4" w:rsidP="00E507D4">
      <w:pPr>
        <w:pStyle w:val="Heading6"/>
        <w:spacing w:before="240"/>
        <w:ind w:left="0" w:firstLine="0"/>
      </w:pPr>
      <w:bookmarkStart w:id="2154" w:name="_Toc462648844"/>
      <w:bookmarkStart w:id="2155" w:name="_Toc464031861"/>
      <w:bookmarkStart w:id="2156" w:name="_Toc508361980"/>
      <w:r w:rsidRPr="009F6343">
        <w:t xml:space="preserve">Optus </w:t>
      </w:r>
      <w:r w:rsidRPr="009F6343">
        <w:rPr>
          <w:lang w:val="en-AU"/>
        </w:rPr>
        <w:t>Travel</w:t>
      </w:r>
      <w:r w:rsidRPr="009F6343">
        <w:rPr>
          <w:vertAlign w:val="superscript"/>
          <w:lang w:val="en-AU"/>
        </w:rPr>
        <w:t xml:space="preserve">TM </w:t>
      </w:r>
      <w:r w:rsidRPr="009F6343">
        <w:t>Pack</w:t>
      </w:r>
      <w:bookmarkEnd w:id="2154"/>
      <w:bookmarkEnd w:id="2155"/>
      <w:bookmarkEnd w:id="2156"/>
      <w:r w:rsidRPr="009F6343">
        <w:t xml:space="preserve"> </w:t>
      </w:r>
    </w:p>
    <w:p w14:paraId="2F2F612C" w14:textId="77777777" w:rsidR="00E507D4" w:rsidRPr="009F6343" w:rsidRDefault="00E507D4" w:rsidP="00E507D4">
      <w:pPr>
        <w:tabs>
          <w:tab w:val="left" w:pos="567"/>
          <w:tab w:val="left" w:pos="1701"/>
        </w:tabs>
        <w:ind w:left="709"/>
        <w:rPr>
          <w:rFonts w:eastAsia="Times New Roman" w:cs="Arial"/>
          <w:snapToGrid w:val="0"/>
          <w:sz w:val="20"/>
          <w:szCs w:val="20"/>
          <w:lang w:val="en-AU"/>
        </w:rPr>
      </w:pPr>
      <w:r w:rsidRPr="009F6343">
        <w:rPr>
          <w:rFonts w:eastAsia="Times New Roman" w:cs="Arial"/>
          <w:snapToGrid w:val="0"/>
          <w:sz w:val="20"/>
          <w:szCs w:val="20"/>
          <w:lang w:val="en-AU"/>
        </w:rPr>
        <w:t>The $30 My Plan Business Tech Fund plan can take up the Optus Travel</w:t>
      </w:r>
      <w:r w:rsidRPr="009F6343">
        <w:rPr>
          <w:rFonts w:eastAsia="Times New Roman" w:cs="Arial"/>
          <w:snapToGrid w:val="0"/>
          <w:sz w:val="20"/>
          <w:szCs w:val="20"/>
          <w:vertAlign w:val="superscript"/>
          <w:lang w:val="en-AU"/>
        </w:rPr>
        <w:t>TM</w:t>
      </w:r>
      <w:r w:rsidRPr="009F6343">
        <w:rPr>
          <w:rFonts w:eastAsia="Times New Roman" w:cs="Arial"/>
          <w:snapToGrid w:val="0"/>
          <w:sz w:val="20"/>
          <w:szCs w:val="20"/>
          <w:lang w:val="en-AU"/>
        </w:rPr>
        <w:t xml:space="preserve"> Pack for $5 per day. </w:t>
      </w:r>
      <w:r w:rsidRPr="009F6343">
        <w:rPr>
          <w:rFonts w:eastAsia="Times New Roman" w:cs="Arial"/>
          <w:i/>
          <w:snapToGrid w:val="0"/>
          <w:sz w:val="20"/>
          <w:szCs w:val="20"/>
          <w:lang w:val="en-AU"/>
        </w:rPr>
        <w:t>You</w:t>
      </w:r>
      <w:r w:rsidRPr="009F6343">
        <w:rPr>
          <w:rFonts w:eastAsia="Times New Roman" w:cs="Arial"/>
          <w:snapToGrid w:val="0"/>
          <w:sz w:val="20"/>
          <w:szCs w:val="20"/>
          <w:lang w:val="en-AU"/>
        </w:rPr>
        <w:t xml:space="preserve"> need to ensure your Optus Travel</w:t>
      </w:r>
      <w:r w:rsidRPr="009F6343">
        <w:rPr>
          <w:rFonts w:eastAsia="Times New Roman" w:cs="Arial"/>
          <w:snapToGrid w:val="0"/>
          <w:sz w:val="20"/>
          <w:szCs w:val="20"/>
          <w:vertAlign w:val="superscript"/>
          <w:lang w:val="en-AU"/>
        </w:rPr>
        <w:t>TM</w:t>
      </w:r>
      <w:r w:rsidRPr="009F6343">
        <w:rPr>
          <w:rFonts w:eastAsia="Times New Roman" w:cs="Arial"/>
          <w:snapToGrid w:val="0"/>
          <w:sz w:val="20"/>
          <w:szCs w:val="20"/>
          <w:lang w:val="en-AU"/>
        </w:rPr>
        <w:t xml:space="preserve"> Pack is active by contacting Optus prior to use. Optus Travel</w:t>
      </w:r>
      <w:r w:rsidRPr="009F6343">
        <w:rPr>
          <w:rFonts w:eastAsia="Times New Roman" w:cs="Arial"/>
          <w:snapToGrid w:val="0"/>
          <w:sz w:val="20"/>
          <w:szCs w:val="20"/>
          <w:vertAlign w:val="superscript"/>
          <w:lang w:val="en-AU"/>
        </w:rPr>
        <w:t>TM</w:t>
      </w:r>
      <w:r w:rsidRPr="009F6343">
        <w:rPr>
          <w:rFonts w:eastAsia="Times New Roman" w:cs="Arial"/>
          <w:snapToGrid w:val="0"/>
          <w:sz w:val="20"/>
          <w:szCs w:val="20"/>
          <w:lang w:val="en-AU"/>
        </w:rPr>
        <w:t xml:space="preserve"> Pack gives you unlimited standard national and international voice, SMS (MMS is excluded) plus 50MB of data to use in Zone 1 countries per day. For list of countries see optus.com.au/biztravel</w:t>
      </w:r>
    </w:p>
    <w:p w14:paraId="47AFB15F" w14:textId="77777777" w:rsidR="00E507D4" w:rsidRPr="009F6343" w:rsidRDefault="00E507D4" w:rsidP="00E507D4">
      <w:pPr>
        <w:tabs>
          <w:tab w:val="left" w:pos="567"/>
          <w:tab w:val="left" w:pos="1701"/>
        </w:tabs>
        <w:ind w:left="709"/>
        <w:rPr>
          <w:rFonts w:eastAsia="Times New Roman" w:cs="Arial"/>
          <w:snapToGrid w:val="0"/>
          <w:sz w:val="20"/>
          <w:szCs w:val="20"/>
          <w:lang w:val="en-AU"/>
        </w:rPr>
      </w:pPr>
    </w:p>
    <w:p w14:paraId="3A3461EE" w14:textId="77777777" w:rsidR="00E507D4" w:rsidRPr="009F6343" w:rsidRDefault="00E507D4" w:rsidP="00E507D4">
      <w:pPr>
        <w:spacing w:after="200"/>
        <w:ind w:left="720"/>
        <w:rPr>
          <w:sz w:val="20"/>
        </w:rPr>
      </w:pPr>
      <w:r w:rsidRPr="009F6343">
        <w:rPr>
          <w:sz w:val="20"/>
        </w:rPr>
        <w:t>You can activate the Optus TravelTM Pack on a day to day basis or multiple days at once. If you activate multiple consecutive days, the data allowance will accumulate, for example activate 5 consecutive days and use 250MB any time over the 5 day period. If you exceed the data limit, standard data roaming charges will apply. Any data provided as part of Optus Travel™ Pack is not shareable and will not form part of any Data Pool. Any unused days of Optus Travel™ Pack are forfeited and cannot be rolled over to the next billing month.</w:t>
      </w:r>
    </w:p>
    <w:p w14:paraId="069DA7D4" w14:textId="77777777" w:rsidR="00E507D4" w:rsidRPr="009F6343" w:rsidRDefault="00E507D4" w:rsidP="00E507D4">
      <w:pPr>
        <w:spacing w:after="200"/>
        <w:ind w:left="720"/>
        <w:rPr>
          <w:sz w:val="20"/>
        </w:rPr>
      </w:pPr>
      <w:r w:rsidRPr="009F6343">
        <w:rPr>
          <w:sz w:val="20"/>
        </w:rPr>
        <w:t>If you are not in a Zone 1 country you will be charged at standard roaming rates for that country.</w:t>
      </w:r>
    </w:p>
    <w:p w14:paraId="693C249D" w14:textId="77777777" w:rsidR="00E507D4" w:rsidRPr="009F6343" w:rsidRDefault="00E507D4" w:rsidP="00E507D4">
      <w:pPr>
        <w:keepNext/>
        <w:spacing w:after="200"/>
        <w:rPr>
          <w:sz w:val="20"/>
          <w:lang w:val="en-AU"/>
        </w:rPr>
      </w:pPr>
      <w:r w:rsidRPr="009F6343">
        <w:rPr>
          <w:b/>
          <w:sz w:val="20"/>
          <w:lang w:val="en-AU"/>
        </w:rPr>
        <w:lastRenderedPageBreak/>
        <w:t>Table 1 – Plan Inclusions and Charges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4536"/>
      </w:tblGrid>
      <w:tr w:rsidR="00E507D4" w:rsidRPr="009F6343" w14:paraId="3A67101A" w14:textId="77777777" w:rsidTr="00B95821">
        <w:tc>
          <w:tcPr>
            <w:tcW w:w="5529" w:type="dxa"/>
            <w:shd w:val="clear" w:color="auto" w:fill="auto"/>
          </w:tcPr>
          <w:p w14:paraId="43558881" w14:textId="77777777" w:rsidR="00E507D4" w:rsidRPr="009F6343" w:rsidRDefault="00E507D4" w:rsidP="00B95821">
            <w:pPr>
              <w:keepNext/>
              <w:spacing w:before="100" w:after="100"/>
              <w:rPr>
                <w:sz w:val="20"/>
              </w:rPr>
            </w:pPr>
          </w:p>
        </w:tc>
        <w:tc>
          <w:tcPr>
            <w:tcW w:w="4536" w:type="dxa"/>
            <w:vAlign w:val="center"/>
          </w:tcPr>
          <w:p w14:paraId="4362A52A" w14:textId="77777777" w:rsidR="00E507D4" w:rsidRPr="009F6343" w:rsidRDefault="00E507D4" w:rsidP="00B95821">
            <w:pPr>
              <w:keepNext/>
              <w:spacing w:before="100" w:after="100"/>
              <w:jc w:val="center"/>
              <w:rPr>
                <w:b/>
                <w:sz w:val="20"/>
              </w:rPr>
            </w:pPr>
            <w:r w:rsidRPr="009F6343">
              <w:rPr>
                <w:b/>
                <w:sz w:val="20"/>
              </w:rPr>
              <w:t xml:space="preserve">$30 My Plan Business </w:t>
            </w:r>
            <w:r w:rsidRPr="009F6343">
              <w:rPr>
                <w:b/>
                <w:snapToGrid w:val="0"/>
                <w:sz w:val="20"/>
              </w:rPr>
              <w:t>Tech Fund</w:t>
            </w:r>
          </w:p>
        </w:tc>
      </w:tr>
      <w:tr w:rsidR="00E507D4" w:rsidRPr="009F6343" w14:paraId="5E3621DE" w14:textId="77777777" w:rsidTr="00B95821">
        <w:tc>
          <w:tcPr>
            <w:tcW w:w="5529" w:type="dxa"/>
            <w:shd w:val="clear" w:color="auto" w:fill="auto"/>
          </w:tcPr>
          <w:p w14:paraId="1EE1991A" w14:textId="77777777" w:rsidR="00E507D4" w:rsidRPr="009F6343" w:rsidRDefault="00E507D4" w:rsidP="00B95821">
            <w:pPr>
              <w:keepNext/>
              <w:spacing w:before="100" w:after="100"/>
              <w:rPr>
                <w:sz w:val="20"/>
              </w:rPr>
            </w:pPr>
            <w:r w:rsidRPr="009F6343">
              <w:rPr>
                <w:b/>
                <w:bCs/>
                <w:sz w:val="20"/>
                <w:lang w:eastAsia="en-AU"/>
              </w:rPr>
              <w:t>Minimum Monthly charge</w:t>
            </w:r>
          </w:p>
        </w:tc>
        <w:tc>
          <w:tcPr>
            <w:tcW w:w="4536" w:type="dxa"/>
            <w:vAlign w:val="center"/>
          </w:tcPr>
          <w:p w14:paraId="4FBB4440" w14:textId="77777777" w:rsidR="00E507D4" w:rsidRPr="009F6343" w:rsidRDefault="00E507D4" w:rsidP="00B95821">
            <w:pPr>
              <w:keepNext/>
              <w:spacing w:before="100" w:after="100"/>
              <w:jc w:val="center"/>
              <w:rPr>
                <w:sz w:val="20"/>
              </w:rPr>
            </w:pPr>
            <w:r w:rsidRPr="009F6343">
              <w:rPr>
                <w:sz w:val="20"/>
              </w:rPr>
              <w:t>$30</w:t>
            </w:r>
          </w:p>
        </w:tc>
      </w:tr>
      <w:tr w:rsidR="00E507D4" w:rsidRPr="009F6343" w14:paraId="12597455" w14:textId="77777777" w:rsidTr="00B95821">
        <w:tc>
          <w:tcPr>
            <w:tcW w:w="5529" w:type="dxa"/>
            <w:shd w:val="clear" w:color="auto" w:fill="auto"/>
          </w:tcPr>
          <w:p w14:paraId="5DBE1A96" w14:textId="77777777" w:rsidR="00E507D4" w:rsidRPr="009F6343" w:rsidRDefault="00E507D4" w:rsidP="00B95821">
            <w:pPr>
              <w:keepNext/>
              <w:spacing w:before="100" w:after="100"/>
              <w:rPr>
                <w:sz w:val="20"/>
              </w:rPr>
            </w:pPr>
            <w:r w:rsidRPr="009F6343">
              <w:rPr>
                <w:b/>
                <w:bCs/>
                <w:sz w:val="20"/>
                <w:lang w:eastAsia="en-AU"/>
              </w:rPr>
              <w:t>Included Data</w:t>
            </w:r>
          </w:p>
        </w:tc>
        <w:tc>
          <w:tcPr>
            <w:tcW w:w="4536" w:type="dxa"/>
            <w:vAlign w:val="center"/>
          </w:tcPr>
          <w:p w14:paraId="610EDDA2" w14:textId="77777777" w:rsidR="00E507D4" w:rsidRPr="009F6343" w:rsidRDefault="00E507D4" w:rsidP="00B95821">
            <w:pPr>
              <w:keepNext/>
              <w:spacing w:before="100" w:after="100"/>
              <w:jc w:val="center"/>
              <w:rPr>
                <w:sz w:val="20"/>
              </w:rPr>
            </w:pPr>
            <w:r w:rsidRPr="009F6343">
              <w:rPr>
                <w:sz w:val="20"/>
              </w:rPr>
              <w:t>200MB</w:t>
            </w:r>
          </w:p>
        </w:tc>
      </w:tr>
      <w:tr w:rsidR="00E507D4" w:rsidRPr="009F6343" w14:paraId="49B610DA" w14:textId="77777777" w:rsidTr="00B95821">
        <w:tc>
          <w:tcPr>
            <w:tcW w:w="5529" w:type="dxa"/>
            <w:shd w:val="clear" w:color="auto" w:fill="auto"/>
          </w:tcPr>
          <w:p w14:paraId="0CD0AA9D" w14:textId="77777777" w:rsidR="00E507D4" w:rsidRPr="009F6343" w:rsidRDefault="00E507D4" w:rsidP="00B95821">
            <w:pPr>
              <w:keepNext/>
              <w:spacing w:before="100" w:after="100"/>
              <w:rPr>
                <w:b/>
                <w:bCs/>
                <w:sz w:val="20"/>
                <w:lang w:eastAsia="en-AU"/>
              </w:rPr>
            </w:pPr>
            <w:r w:rsidRPr="009F6343">
              <w:rPr>
                <w:b/>
                <w:bCs/>
                <w:sz w:val="20"/>
                <w:lang w:eastAsia="en-AU"/>
              </w:rPr>
              <w:t>Additional Data</w:t>
            </w:r>
          </w:p>
        </w:tc>
        <w:tc>
          <w:tcPr>
            <w:tcW w:w="4536" w:type="dxa"/>
            <w:vAlign w:val="center"/>
          </w:tcPr>
          <w:p w14:paraId="3C2DF252" w14:textId="77777777" w:rsidR="00E507D4" w:rsidRPr="009F6343" w:rsidRDefault="00E507D4" w:rsidP="00B95821">
            <w:pPr>
              <w:keepNext/>
              <w:spacing w:before="100" w:after="100"/>
              <w:jc w:val="center"/>
              <w:rPr>
                <w:sz w:val="20"/>
              </w:rPr>
            </w:pPr>
            <w:r w:rsidRPr="009F6343">
              <w:rPr>
                <w:sz w:val="20"/>
              </w:rPr>
              <w:t>Additional Data $10 per 1GB</w:t>
            </w:r>
          </w:p>
        </w:tc>
      </w:tr>
      <w:tr w:rsidR="00E507D4" w:rsidRPr="009F6343" w14:paraId="47156315" w14:textId="77777777" w:rsidTr="00B95821">
        <w:tc>
          <w:tcPr>
            <w:tcW w:w="5529" w:type="dxa"/>
            <w:shd w:val="clear" w:color="auto" w:fill="auto"/>
          </w:tcPr>
          <w:p w14:paraId="68B14599" w14:textId="77777777" w:rsidR="00E507D4" w:rsidRPr="009F6343" w:rsidRDefault="00E507D4" w:rsidP="00B95821">
            <w:pPr>
              <w:keepNext/>
              <w:spacing w:before="100" w:after="100"/>
              <w:rPr>
                <w:b/>
                <w:bCs/>
                <w:sz w:val="20"/>
                <w:lang w:eastAsia="en-AU"/>
              </w:rPr>
            </w:pPr>
            <w:r w:rsidRPr="009F6343">
              <w:rPr>
                <w:b/>
                <w:bCs/>
                <w:sz w:val="20"/>
                <w:lang w:eastAsia="en-AU"/>
              </w:rPr>
              <w:t xml:space="preserve">Included Minutes </w:t>
            </w:r>
          </w:p>
          <w:p w14:paraId="73C7E694" w14:textId="77777777" w:rsidR="00E507D4" w:rsidRPr="009F6343" w:rsidRDefault="00E507D4" w:rsidP="00B95821">
            <w:pPr>
              <w:keepNext/>
              <w:spacing w:before="100" w:after="100"/>
              <w:rPr>
                <w:sz w:val="20"/>
              </w:rPr>
            </w:pPr>
            <w:r w:rsidRPr="009F6343">
              <w:rPr>
                <w:sz w:val="20"/>
                <w:lang w:eastAsia="en-AU"/>
              </w:rPr>
              <w:t>for standard national calls to landlines and mobiles, 1300 numbers and voicemail, within Australia</w:t>
            </w:r>
          </w:p>
        </w:tc>
        <w:tc>
          <w:tcPr>
            <w:tcW w:w="4536" w:type="dxa"/>
            <w:vAlign w:val="center"/>
          </w:tcPr>
          <w:p w14:paraId="56E5C076" w14:textId="77777777" w:rsidR="00E507D4" w:rsidRPr="009F6343" w:rsidRDefault="00E507D4" w:rsidP="00B95821">
            <w:pPr>
              <w:keepNext/>
              <w:spacing w:before="100" w:after="100"/>
              <w:jc w:val="center"/>
              <w:rPr>
                <w:sz w:val="20"/>
              </w:rPr>
            </w:pPr>
            <w:r w:rsidRPr="009F6343">
              <w:rPr>
                <w:sz w:val="20"/>
              </w:rPr>
              <w:t>Unlimited</w:t>
            </w:r>
          </w:p>
        </w:tc>
      </w:tr>
      <w:tr w:rsidR="00E507D4" w:rsidRPr="009F6343" w14:paraId="3A172FA4" w14:textId="77777777" w:rsidTr="00B95821">
        <w:tc>
          <w:tcPr>
            <w:tcW w:w="5529" w:type="dxa"/>
            <w:shd w:val="clear" w:color="auto" w:fill="auto"/>
          </w:tcPr>
          <w:p w14:paraId="1A86EBE8" w14:textId="77777777" w:rsidR="00E507D4" w:rsidRPr="009F6343" w:rsidRDefault="00E507D4" w:rsidP="00B95821">
            <w:pPr>
              <w:keepNext/>
              <w:spacing w:before="100" w:after="100"/>
              <w:rPr>
                <w:b/>
                <w:bCs/>
                <w:sz w:val="20"/>
                <w:lang w:eastAsia="en-AU"/>
              </w:rPr>
            </w:pPr>
            <w:r w:rsidRPr="009F6343">
              <w:rPr>
                <w:b/>
                <w:bCs/>
                <w:sz w:val="20"/>
                <w:lang w:eastAsia="en-AU"/>
              </w:rPr>
              <w:t>Included International Minutes</w:t>
            </w:r>
          </w:p>
          <w:p w14:paraId="4514DD80" w14:textId="77777777" w:rsidR="00E507D4" w:rsidRPr="009F6343" w:rsidRDefault="00E507D4" w:rsidP="00B95821">
            <w:pPr>
              <w:keepNext/>
              <w:spacing w:before="100" w:after="100"/>
              <w:rPr>
                <w:sz w:val="20"/>
                <w:lang w:eastAsia="en-AU"/>
              </w:rPr>
            </w:pPr>
            <w:r w:rsidRPr="009F6343">
              <w:rPr>
                <w:sz w:val="20"/>
                <w:lang w:eastAsia="en-AU"/>
              </w:rPr>
              <w:t>Standard international calls to landlines and mobiles</w:t>
            </w:r>
          </w:p>
          <w:p w14:paraId="4C825682" w14:textId="77777777" w:rsidR="00E507D4" w:rsidRPr="009F6343" w:rsidRDefault="00E507D4" w:rsidP="00B95821">
            <w:pPr>
              <w:keepNext/>
              <w:spacing w:before="100" w:after="100"/>
              <w:rPr>
                <w:b/>
                <w:bCs/>
                <w:sz w:val="20"/>
                <w:lang w:eastAsia="en-AU"/>
              </w:rPr>
            </w:pPr>
            <w:r w:rsidRPr="009F6343">
              <w:rPr>
                <w:sz w:val="20"/>
                <w:lang w:eastAsia="en-AU"/>
              </w:rPr>
              <w:t xml:space="preserve">to selected countries </w:t>
            </w:r>
          </w:p>
        </w:tc>
        <w:tc>
          <w:tcPr>
            <w:tcW w:w="4536" w:type="dxa"/>
            <w:vAlign w:val="center"/>
          </w:tcPr>
          <w:p w14:paraId="3F3D9F5B" w14:textId="77777777" w:rsidR="00E507D4" w:rsidRPr="009F6343" w:rsidRDefault="00E507D4" w:rsidP="00B95821">
            <w:pPr>
              <w:keepNext/>
              <w:spacing w:before="100" w:after="100"/>
              <w:jc w:val="center"/>
              <w:rPr>
                <w:sz w:val="20"/>
              </w:rPr>
            </w:pPr>
            <w:r w:rsidRPr="009F6343">
              <w:rPr>
                <w:sz w:val="20"/>
              </w:rPr>
              <w:t>Not included</w:t>
            </w:r>
          </w:p>
        </w:tc>
      </w:tr>
      <w:tr w:rsidR="00E507D4" w:rsidRPr="009F6343" w14:paraId="496F2F17" w14:textId="77777777" w:rsidTr="00B95821">
        <w:tc>
          <w:tcPr>
            <w:tcW w:w="5529" w:type="dxa"/>
            <w:shd w:val="clear" w:color="auto" w:fill="auto"/>
          </w:tcPr>
          <w:p w14:paraId="268B684B" w14:textId="77777777" w:rsidR="00E507D4" w:rsidRPr="009F6343" w:rsidRDefault="00E507D4" w:rsidP="00B95821">
            <w:pPr>
              <w:keepNext/>
              <w:spacing w:before="100" w:after="100"/>
              <w:rPr>
                <w:sz w:val="20"/>
              </w:rPr>
            </w:pPr>
            <w:r w:rsidRPr="009F6343">
              <w:rPr>
                <w:b/>
                <w:bCs/>
                <w:sz w:val="20"/>
                <w:lang w:eastAsia="en-AU"/>
              </w:rPr>
              <w:t xml:space="preserve">Standard national SMS </w:t>
            </w:r>
            <w:r w:rsidRPr="009F6343">
              <w:rPr>
                <w:sz w:val="20"/>
                <w:lang w:eastAsia="en-AU"/>
              </w:rPr>
              <w:t>(per SMS of up to 160 standard characters)</w:t>
            </w:r>
          </w:p>
        </w:tc>
        <w:tc>
          <w:tcPr>
            <w:tcW w:w="4536" w:type="dxa"/>
            <w:vAlign w:val="center"/>
          </w:tcPr>
          <w:p w14:paraId="4D2CC42F" w14:textId="77777777" w:rsidR="00E507D4" w:rsidRPr="009F6343" w:rsidRDefault="00E507D4" w:rsidP="00B95821">
            <w:pPr>
              <w:keepNext/>
              <w:spacing w:before="100" w:after="100"/>
              <w:jc w:val="center"/>
              <w:rPr>
                <w:sz w:val="20"/>
              </w:rPr>
            </w:pPr>
            <w:r w:rsidRPr="009F6343">
              <w:rPr>
                <w:sz w:val="20"/>
              </w:rPr>
              <w:t>Unlimited</w:t>
            </w:r>
          </w:p>
        </w:tc>
      </w:tr>
      <w:tr w:rsidR="00E507D4" w:rsidRPr="009F6343" w14:paraId="61EA4430" w14:textId="77777777" w:rsidTr="00B95821">
        <w:tc>
          <w:tcPr>
            <w:tcW w:w="5529" w:type="dxa"/>
            <w:shd w:val="clear" w:color="auto" w:fill="auto"/>
          </w:tcPr>
          <w:p w14:paraId="496E7466" w14:textId="77777777" w:rsidR="00E507D4" w:rsidRPr="009F6343" w:rsidRDefault="00E507D4" w:rsidP="00B95821">
            <w:pPr>
              <w:keepNext/>
              <w:spacing w:before="100" w:after="100"/>
              <w:rPr>
                <w:b/>
                <w:bCs/>
                <w:sz w:val="20"/>
                <w:lang w:eastAsia="en-AU"/>
              </w:rPr>
            </w:pPr>
            <w:r w:rsidRPr="009F6343">
              <w:rPr>
                <w:b/>
                <w:bCs/>
                <w:sz w:val="20"/>
                <w:lang w:eastAsia="en-AU"/>
              </w:rPr>
              <w:t xml:space="preserve">Standard national MMS </w:t>
            </w:r>
            <w:r w:rsidRPr="009F6343">
              <w:rPr>
                <w:sz w:val="20"/>
                <w:lang w:eastAsia="en-AU"/>
              </w:rPr>
              <w:t>(per message)</w:t>
            </w:r>
          </w:p>
        </w:tc>
        <w:tc>
          <w:tcPr>
            <w:tcW w:w="4536" w:type="dxa"/>
            <w:vAlign w:val="center"/>
          </w:tcPr>
          <w:p w14:paraId="2D744E3D" w14:textId="77777777" w:rsidR="00E507D4" w:rsidRPr="009F6343" w:rsidRDefault="00E507D4" w:rsidP="00B95821">
            <w:pPr>
              <w:keepNext/>
              <w:spacing w:before="100" w:after="100"/>
              <w:jc w:val="center"/>
              <w:rPr>
                <w:sz w:val="20"/>
              </w:rPr>
            </w:pPr>
            <w:r w:rsidRPr="009F6343">
              <w:rPr>
                <w:sz w:val="20"/>
              </w:rPr>
              <w:t>Unlimited</w:t>
            </w:r>
          </w:p>
        </w:tc>
      </w:tr>
      <w:tr w:rsidR="00E507D4" w:rsidRPr="009F6343" w14:paraId="557AC4F7" w14:textId="77777777" w:rsidTr="00B95821">
        <w:tc>
          <w:tcPr>
            <w:tcW w:w="5529" w:type="dxa"/>
            <w:shd w:val="clear" w:color="auto" w:fill="auto"/>
          </w:tcPr>
          <w:p w14:paraId="7346D0F5" w14:textId="77777777" w:rsidR="00E507D4" w:rsidRPr="009F6343" w:rsidDel="00064B49" w:rsidRDefault="00E507D4" w:rsidP="00B95821">
            <w:pPr>
              <w:keepNext/>
              <w:spacing w:before="100" w:after="100"/>
              <w:rPr>
                <w:b/>
                <w:bCs/>
                <w:sz w:val="20"/>
                <w:lang w:eastAsia="en-AU"/>
              </w:rPr>
            </w:pPr>
            <w:r w:rsidRPr="009F6343">
              <w:rPr>
                <w:b/>
                <w:bCs/>
                <w:sz w:val="20"/>
                <w:lang w:eastAsia="en-AU"/>
              </w:rPr>
              <w:t xml:space="preserve">Standard international SMS </w:t>
            </w:r>
            <w:r w:rsidRPr="009F6343">
              <w:rPr>
                <w:sz w:val="20"/>
                <w:lang w:eastAsia="en-AU"/>
              </w:rPr>
              <w:t>(per SMS of up to 160 standard characters to selected countries)</w:t>
            </w:r>
          </w:p>
        </w:tc>
        <w:tc>
          <w:tcPr>
            <w:tcW w:w="4536" w:type="dxa"/>
            <w:vAlign w:val="center"/>
          </w:tcPr>
          <w:p w14:paraId="7ECB39F1" w14:textId="77777777" w:rsidR="00E507D4" w:rsidRPr="009F6343" w:rsidRDefault="00E507D4" w:rsidP="00B95821">
            <w:pPr>
              <w:keepNext/>
              <w:spacing w:before="100" w:after="100"/>
              <w:jc w:val="center"/>
              <w:rPr>
                <w:sz w:val="20"/>
              </w:rPr>
            </w:pPr>
            <w:r w:rsidRPr="009F6343">
              <w:rPr>
                <w:sz w:val="20"/>
              </w:rPr>
              <w:t>Unlimited</w:t>
            </w:r>
          </w:p>
        </w:tc>
      </w:tr>
      <w:tr w:rsidR="00E507D4" w:rsidRPr="009F6343" w14:paraId="46B9E5F4" w14:textId="77777777" w:rsidTr="00B95821">
        <w:tc>
          <w:tcPr>
            <w:tcW w:w="5529" w:type="dxa"/>
            <w:shd w:val="clear" w:color="auto" w:fill="auto"/>
          </w:tcPr>
          <w:p w14:paraId="61E31FA7" w14:textId="77777777" w:rsidR="00E507D4" w:rsidRPr="009F6343" w:rsidRDefault="00E507D4" w:rsidP="00B95821">
            <w:pPr>
              <w:keepNext/>
              <w:spacing w:before="100" w:after="100"/>
              <w:rPr>
                <w:b/>
                <w:bCs/>
                <w:sz w:val="20"/>
                <w:lang w:eastAsia="en-AU"/>
              </w:rPr>
            </w:pPr>
            <w:r w:rsidRPr="009F6343">
              <w:rPr>
                <w:b/>
                <w:bCs/>
                <w:sz w:val="20"/>
                <w:lang w:eastAsia="en-AU"/>
              </w:rPr>
              <w:t xml:space="preserve">Standard international MMS </w:t>
            </w:r>
            <w:r w:rsidRPr="009F6343">
              <w:rPr>
                <w:sz w:val="20"/>
                <w:lang w:eastAsia="en-AU"/>
              </w:rPr>
              <w:t>(per message to selected countries)</w:t>
            </w:r>
          </w:p>
        </w:tc>
        <w:tc>
          <w:tcPr>
            <w:tcW w:w="4536" w:type="dxa"/>
            <w:vAlign w:val="center"/>
          </w:tcPr>
          <w:p w14:paraId="61424765" w14:textId="77777777" w:rsidR="00E507D4" w:rsidRPr="009F6343" w:rsidRDefault="00E507D4" w:rsidP="00B95821">
            <w:pPr>
              <w:keepNext/>
              <w:spacing w:before="100" w:after="100"/>
              <w:jc w:val="center"/>
              <w:rPr>
                <w:sz w:val="20"/>
              </w:rPr>
            </w:pPr>
            <w:r w:rsidRPr="009F6343">
              <w:rPr>
                <w:sz w:val="20"/>
              </w:rPr>
              <w:t>Unlimited</w:t>
            </w:r>
          </w:p>
        </w:tc>
      </w:tr>
      <w:tr w:rsidR="00E507D4" w:rsidRPr="009F6343" w14:paraId="6BCF9394" w14:textId="77777777" w:rsidTr="00B95821">
        <w:tc>
          <w:tcPr>
            <w:tcW w:w="5529" w:type="dxa"/>
            <w:shd w:val="clear" w:color="auto" w:fill="auto"/>
          </w:tcPr>
          <w:p w14:paraId="64B78992" w14:textId="77777777" w:rsidR="00E507D4" w:rsidRPr="009F6343" w:rsidRDefault="00E507D4" w:rsidP="00B95821">
            <w:pPr>
              <w:keepNext/>
              <w:spacing w:before="100" w:after="100"/>
              <w:rPr>
                <w:b/>
                <w:bCs/>
                <w:sz w:val="20"/>
                <w:lang w:eastAsia="en-AU"/>
              </w:rPr>
            </w:pPr>
            <w:r w:rsidRPr="009F6343">
              <w:rPr>
                <w:rFonts w:eastAsia="Calibri"/>
                <w:b/>
                <w:bCs/>
                <w:sz w:val="20"/>
                <w:lang w:eastAsia="en-AU"/>
              </w:rPr>
              <w:t xml:space="preserve">International Roaming </w:t>
            </w:r>
            <w:r w:rsidRPr="009F6343">
              <w:rPr>
                <w:rFonts w:eastAsia="Calibri"/>
                <w:b/>
                <w:bCs/>
                <w:sz w:val="20"/>
                <w:lang w:eastAsia="en-AU"/>
              </w:rPr>
              <w:br/>
            </w:r>
            <w:r w:rsidRPr="009F6343">
              <w:rPr>
                <w:b/>
                <w:bCs/>
                <w:snapToGrid w:val="0"/>
                <w:sz w:val="20"/>
              </w:rPr>
              <w:t>(Zone 1 countries)</w:t>
            </w:r>
          </w:p>
        </w:tc>
        <w:tc>
          <w:tcPr>
            <w:tcW w:w="4536" w:type="dxa"/>
            <w:vAlign w:val="center"/>
          </w:tcPr>
          <w:p w14:paraId="70258E43" w14:textId="77777777" w:rsidR="00E507D4" w:rsidRPr="009F6343" w:rsidRDefault="00E507D4" w:rsidP="00B95821">
            <w:pPr>
              <w:keepNext/>
              <w:spacing w:before="100" w:after="100"/>
              <w:jc w:val="center"/>
              <w:rPr>
                <w:sz w:val="20"/>
              </w:rPr>
            </w:pPr>
            <w:r w:rsidRPr="009F6343">
              <w:rPr>
                <w:rFonts w:eastAsia="Calibri"/>
                <w:sz w:val="20"/>
              </w:rPr>
              <w:t>Not included</w:t>
            </w:r>
          </w:p>
        </w:tc>
      </w:tr>
      <w:tr w:rsidR="00E507D4" w:rsidRPr="009F6343" w14:paraId="1F3676E4" w14:textId="77777777" w:rsidTr="00B95821">
        <w:tc>
          <w:tcPr>
            <w:tcW w:w="5529" w:type="dxa"/>
            <w:shd w:val="clear" w:color="auto" w:fill="auto"/>
          </w:tcPr>
          <w:p w14:paraId="155D7CB2" w14:textId="77777777" w:rsidR="00E507D4" w:rsidRPr="009F6343" w:rsidRDefault="00E507D4" w:rsidP="00B95821">
            <w:pPr>
              <w:keepNext/>
              <w:spacing w:before="100" w:after="100"/>
              <w:rPr>
                <w:b/>
                <w:bCs/>
                <w:sz w:val="20"/>
                <w:szCs w:val="20"/>
                <w:lang w:eastAsia="en-AU"/>
              </w:rPr>
            </w:pPr>
            <w:r w:rsidRPr="009F6343">
              <w:rPr>
                <w:b/>
                <w:sz w:val="20"/>
                <w:szCs w:val="20"/>
              </w:rPr>
              <w:t xml:space="preserve">Optus Travel™ Pack </w:t>
            </w:r>
            <w:r w:rsidRPr="009F6343">
              <w:rPr>
                <w:b/>
                <w:bCs/>
                <w:snapToGrid w:val="0"/>
                <w:sz w:val="20"/>
              </w:rPr>
              <w:t>(Zone 1 countries)</w:t>
            </w:r>
          </w:p>
        </w:tc>
        <w:tc>
          <w:tcPr>
            <w:tcW w:w="4536" w:type="dxa"/>
            <w:vAlign w:val="center"/>
          </w:tcPr>
          <w:p w14:paraId="3E8569BE" w14:textId="77777777" w:rsidR="00E507D4" w:rsidRPr="009F6343" w:rsidRDefault="00E507D4" w:rsidP="00B95821">
            <w:pPr>
              <w:spacing w:before="120"/>
              <w:rPr>
                <w:szCs w:val="20"/>
              </w:rPr>
            </w:pPr>
            <w:r w:rsidRPr="009F6343">
              <w:rPr>
                <w:rFonts w:eastAsia="Calibri"/>
                <w:sz w:val="20"/>
                <w:szCs w:val="20"/>
                <w:lang w:val="en-AU"/>
              </w:rPr>
              <w:t xml:space="preserve">Get $5 Optus Travel™ Pack - </w:t>
            </w:r>
          </w:p>
        </w:tc>
      </w:tr>
      <w:tr w:rsidR="00E507D4" w:rsidRPr="009F6343" w14:paraId="7C292847" w14:textId="77777777" w:rsidTr="00B95821">
        <w:tc>
          <w:tcPr>
            <w:tcW w:w="5529" w:type="dxa"/>
            <w:shd w:val="clear" w:color="auto" w:fill="auto"/>
          </w:tcPr>
          <w:p w14:paraId="077BCCA4" w14:textId="77777777" w:rsidR="00E507D4" w:rsidRPr="009F6343" w:rsidRDefault="00E507D4" w:rsidP="00B95821">
            <w:pPr>
              <w:keepNext/>
              <w:spacing w:before="100" w:after="100"/>
              <w:rPr>
                <w:b/>
                <w:bCs/>
                <w:sz w:val="20"/>
                <w:lang w:eastAsia="en-AU"/>
              </w:rPr>
            </w:pPr>
            <w:r w:rsidRPr="009F6343">
              <w:rPr>
                <w:b/>
                <w:bCs/>
                <w:sz w:val="20"/>
                <w:lang w:eastAsia="en-AU"/>
              </w:rPr>
              <w:t xml:space="preserve">Minimum total cost over 24 months </w:t>
            </w:r>
          </w:p>
        </w:tc>
        <w:tc>
          <w:tcPr>
            <w:tcW w:w="4536" w:type="dxa"/>
            <w:vAlign w:val="center"/>
          </w:tcPr>
          <w:p w14:paraId="336671D1" w14:textId="77777777" w:rsidR="00E507D4" w:rsidRPr="009F6343" w:rsidRDefault="00E507D4" w:rsidP="00B95821">
            <w:pPr>
              <w:keepNext/>
              <w:spacing w:before="100" w:after="100"/>
              <w:jc w:val="center"/>
              <w:rPr>
                <w:sz w:val="20"/>
              </w:rPr>
            </w:pPr>
            <w:r w:rsidRPr="009F6343">
              <w:rPr>
                <w:rFonts w:eastAsia="Calibri"/>
                <w:sz w:val="20"/>
              </w:rPr>
              <w:t>$720</w:t>
            </w:r>
          </w:p>
        </w:tc>
      </w:tr>
    </w:tbl>
    <w:p w14:paraId="51FB2553" w14:textId="77777777" w:rsidR="00E507D4" w:rsidRPr="009F6343" w:rsidRDefault="00E507D4" w:rsidP="00E507D4">
      <w:pPr>
        <w:spacing w:after="200"/>
        <w:rPr>
          <w:b/>
          <w:sz w:val="20"/>
        </w:rPr>
      </w:pPr>
    </w:p>
    <w:p w14:paraId="2AD3D2F8" w14:textId="77777777" w:rsidR="00E507D4" w:rsidRPr="009F6343" w:rsidRDefault="00E507D4" w:rsidP="00E507D4">
      <w:pPr>
        <w:spacing w:after="200"/>
        <w:rPr>
          <w:b/>
          <w:sz w:val="20"/>
        </w:rPr>
      </w:pPr>
      <w:r w:rsidRPr="009F6343">
        <w:rPr>
          <w:b/>
          <w:sz w:val="20"/>
        </w:rPr>
        <w:t>Table 2 – Other usage types and charges</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05"/>
        <w:gridCol w:w="5660"/>
      </w:tblGrid>
      <w:tr w:rsidR="00E507D4" w:rsidRPr="009F6343" w14:paraId="3D249372" w14:textId="77777777" w:rsidTr="00B95821">
        <w:trPr>
          <w:tblHeader/>
        </w:trPr>
        <w:tc>
          <w:tcPr>
            <w:tcW w:w="4405" w:type="dxa"/>
            <w:shd w:val="clear" w:color="auto" w:fill="auto"/>
            <w:vAlign w:val="center"/>
          </w:tcPr>
          <w:p w14:paraId="1B514A90" w14:textId="77777777" w:rsidR="00E507D4" w:rsidRPr="009F6343" w:rsidRDefault="00E507D4" w:rsidP="00B95821">
            <w:pPr>
              <w:spacing w:before="100" w:after="100"/>
              <w:jc w:val="center"/>
              <w:rPr>
                <w:b/>
                <w:sz w:val="20"/>
              </w:rPr>
            </w:pPr>
            <w:r w:rsidRPr="009F6343">
              <w:rPr>
                <w:b/>
                <w:sz w:val="20"/>
              </w:rPr>
              <w:t>Usage type</w:t>
            </w:r>
          </w:p>
        </w:tc>
        <w:tc>
          <w:tcPr>
            <w:tcW w:w="5660" w:type="dxa"/>
            <w:shd w:val="clear" w:color="auto" w:fill="auto"/>
            <w:vAlign w:val="center"/>
          </w:tcPr>
          <w:p w14:paraId="18A64152" w14:textId="77777777" w:rsidR="00E507D4" w:rsidRPr="009F6343" w:rsidRDefault="00E507D4" w:rsidP="00B95821">
            <w:pPr>
              <w:spacing w:before="100" w:after="100"/>
              <w:jc w:val="center"/>
              <w:rPr>
                <w:b/>
                <w:sz w:val="20"/>
              </w:rPr>
            </w:pPr>
            <w:r w:rsidRPr="009F6343">
              <w:rPr>
                <w:b/>
                <w:sz w:val="20"/>
              </w:rPr>
              <w:t>Charge</w:t>
            </w:r>
          </w:p>
        </w:tc>
      </w:tr>
      <w:tr w:rsidR="00E507D4" w:rsidRPr="009F6343" w14:paraId="4A54DC7A" w14:textId="77777777" w:rsidTr="00B95821">
        <w:tc>
          <w:tcPr>
            <w:tcW w:w="4405" w:type="dxa"/>
            <w:shd w:val="clear" w:color="auto" w:fill="auto"/>
          </w:tcPr>
          <w:p w14:paraId="3F396025" w14:textId="77777777" w:rsidR="00E507D4" w:rsidRPr="009F6343" w:rsidRDefault="00E507D4" w:rsidP="00B95821">
            <w:pPr>
              <w:spacing w:before="100" w:after="100"/>
              <w:rPr>
                <w:sz w:val="20"/>
              </w:rPr>
            </w:pPr>
            <w:r w:rsidRPr="009F6343">
              <w:rPr>
                <w:bCs/>
                <w:sz w:val="20"/>
                <w:lang w:eastAsia="en-AU"/>
              </w:rPr>
              <w:t xml:space="preserve">National video calls </w:t>
            </w:r>
            <w:r w:rsidRPr="009F6343">
              <w:rPr>
                <w:sz w:val="20"/>
                <w:lang w:eastAsia="en-AU"/>
              </w:rPr>
              <w:t>(per minute)</w:t>
            </w:r>
          </w:p>
        </w:tc>
        <w:tc>
          <w:tcPr>
            <w:tcW w:w="5660" w:type="dxa"/>
            <w:shd w:val="clear" w:color="auto" w:fill="auto"/>
            <w:vAlign w:val="center"/>
          </w:tcPr>
          <w:p w14:paraId="172A3C38" w14:textId="77777777" w:rsidR="00E507D4" w:rsidRPr="009F6343" w:rsidRDefault="00E507D4" w:rsidP="00B95821">
            <w:pPr>
              <w:spacing w:before="100" w:after="100"/>
              <w:jc w:val="center"/>
              <w:rPr>
                <w:sz w:val="20"/>
              </w:rPr>
            </w:pPr>
            <w:r w:rsidRPr="009F6343">
              <w:rPr>
                <w:sz w:val="20"/>
              </w:rPr>
              <w:t>$1.50 per min + 35c flagfall</w:t>
            </w:r>
          </w:p>
        </w:tc>
      </w:tr>
      <w:tr w:rsidR="00E507D4" w:rsidRPr="009F6343" w14:paraId="76B10AD4" w14:textId="77777777" w:rsidTr="00B95821">
        <w:tc>
          <w:tcPr>
            <w:tcW w:w="4405" w:type="dxa"/>
            <w:shd w:val="clear" w:color="auto" w:fill="auto"/>
          </w:tcPr>
          <w:p w14:paraId="349B0DA3" w14:textId="77777777" w:rsidR="00E507D4" w:rsidRPr="009F6343" w:rsidRDefault="00E507D4" w:rsidP="00B95821">
            <w:pPr>
              <w:spacing w:before="100" w:after="100"/>
              <w:rPr>
                <w:bCs/>
                <w:sz w:val="20"/>
                <w:lang w:eastAsia="en-AU"/>
              </w:rPr>
            </w:pPr>
            <w:r w:rsidRPr="009F6343">
              <w:rPr>
                <w:bCs/>
                <w:sz w:val="20"/>
                <w:lang w:eastAsia="en-AU"/>
              </w:rPr>
              <w:t>National Diversions</w:t>
            </w:r>
          </w:p>
        </w:tc>
        <w:tc>
          <w:tcPr>
            <w:tcW w:w="5660" w:type="dxa"/>
            <w:shd w:val="clear" w:color="auto" w:fill="auto"/>
          </w:tcPr>
          <w:p w14:paraId="3B66ED79" w14:textId="77777777" w:rsidR="00E507D4" w:rsidRPr="009F6343" w:rsidRDefault="00E507D4" w:rsidP="00B95821">
            <w:pPr>
              <w:spacing w:before="100" w:after="100"/>
              <w:jc w:val="center"/>
              <w:rPr>
                <w:sz w:val="20"/>
              </w:rPr>
            </w:pPr>
            <w:r w:rsidRPr="009F6343">
              <w:rPr>
                <w:sz w:val="20"/>
              </w:rPr>
              <w:t>$0 per minute</w:t>
            </w:r>
          </w:p>
        </w:tc>
      </w:tr>
      <w:tr w:rsidR="00E507D4" w:rsidRPr="009F6343" w14:paraId="7D63387C" w14:textId="77777777" w:rsidTr="00B95821">
        <w:tc>
          <w:tcPr>
            <w:tcW w:w="4405" w:type="dxa"/>
            <w:shd w:val="clear" w:color="auto" w:fill="auto"/>
          </w:tcPr>
          <w:p w14:paraId="00F958FC" w14:textId="77777777" w:rsidR="00E507D4" w:rsidRPr="009F6343" w:rsidRDefault="00E507D4" w:rsidP="00B95821">
            <w:pPr>
              <w:spacing w:before="100" w:after="100"/>
              <w:rPr>
                <w:bCs/>
                <w:sz w:val="20"/>
                <w:lang w:eastAsia="en-AU"/>
              </w:rPr>
            </w:pPr>
            <w:r w:rsidRPr="009F6343">
              <w:rPr>
                <w:bCs/>
                <w:sz w:val="20"/>
                <w:lang w:eastAsia="en-AU"/>
              </w:rPr>
              <w:t xml:space="preserve">International Diversions </w:t>
            </w:r>
          </w:p>
        </w:tc>
        <w:tc>
          <w:tcPr>
            <w:tcW w:w="5660" w:type="dxa"/>
            <w:shd w:val="clear" w:color="auto" w:fill="auto"/>
          </w:tcPr>
          <w:p w14:paraId="78D779A9" w14:textId="77777777" w:rsidR="00E507D4" w:rsidRPr="009F6343" w:rsidRDefault="00E507D4" w:rsidP="00B95821">
            <w:pPr>
              <w:spacing w:before="100" w:after="100"/>
              <w:jc w:val="center"/>
              <w:rPr>
                <w:sz w:val="20"/>
              </w:rPr>
            </w:pPr>
            <w:r w:rsidRPr="009F6343">
              <w:rPr>
                <w:sz w:val="20"/>
              </w:rPr>
              <w:t>'yes' international rates</w:t>
            </w:r>
            <w:r w:rsidRPr="009F6343">
              <w:rPr>
                <w:sz w:val="20"/>
              </w:rPr>
              <w:br/>
              <w:t>See optus.com.au/international</w:t>
            </w:r>
          </w:p>
        </w:tc>
      </w:tr>
      <w:tr w:rsidR="00E507D4" w:rsidRPr="009F6343" w14:paraId="6D376606" w14:textId="77777777" w:rsidTr="00B95821">
        <w:tc>
          <w:tcPr>
            <w:tcW w:w="4405" w:type="dxa"/>
            <w:shd w:val="clear" w:color="auto" w:fill="auto"/>
          </w:tcPr>
          <w:p w14:paraId="627AEE99" w14:textId="77777777" w:rsidR="00E507D4" w:rsidRPr="009F6343" w:rsidRDefault="00E507D4" w:rsidP="00B95821">
            <w:pPr>
              <w:spacing w:before="100" w:after="100"/>
              <w:rPr>
                <w:bCs/>
                <w:sz w:val="20"/>
                <w:lang w:eastAsia="en-AU"/>
              </w:rPr>
            </w:pPr>
            <w:r w:rsidRPr="009F6343">
              <w:rPr>
                <w:bCs/>
                <w:sz w:val="20"/>
                <w:lang w:eastAsia="en-AU"/>
              </w:rPr>
              <w:t xml:space="preserve">1800 numbers </w:t>
            </w:r>
          </w:p>
        </w:tc>
        <w:tc>
          <w:tcPr>
            <w:tcW w:w="5660" w:type="dxa"/>
            <w:shd w:val="clear" w:color="auto" w:fill="auto"/>
            <w:vAlign w:val="center"/>
          </w:tcPr>
          <w:p w14:paraId="21203FAC" w14:textId="77777777" w:rsidR="00E507D4" w:rsidRPr="009F6343" w:rsidRDefault="00E507D4" w:rsidP="00B95821">
            <w:pPr>
              <w:spacing w:before="100" w:after="100"/>
              <w:jc w:val="center"/>
              <w:rPr>
                <w:sz w:val="20"/>
              </w:rPr>
            </w:pPr>
            <w:r w:rsidRPr="009F6343">
              <w:rPr>
                <w:sz w:val="20"/>
              </w:rPr>
              <w:t>$0 per minute</w:t>
            </w:r>
          </w:p>
        </w:tc>
      </w:tr>
      <w:tr w:rsidR="00E507D4" w:rsidRPr="009F6343" w14:paraId="6EB904CF" w14:textId="77777777" w:rsidTr="00B95821">
        <w:tc>
          <w:tcPr>
            <w:tcW w:w="4405" w:type="dxa"/>
            <w:shd w:val="clear" w:color="auto" w:fill="auto"/>
          </w:tcPr>
          <w:p w14:paraId="0151EB65" w14:textId="77777777" w:rsidR="00E507D4" w:rsidRPr="009F6343" w:rsidRDefault="00E507D4" w:rsidP="00B95821">
            <w:pPr>
              <w:spacing w:before="100" w:after="100"/>
              <w:rPr>
                <w:bCs/>
                <w:sz w:val="20"/>
                <w:lang w:eastAsia="en-AU"/>
              </w:rPr>
            </w:pPr>
            <w:r w:rsidRPr="009F6343">
              <w:rPr>
                <w:bCs/>
                <w:sz w:val="20"/>
                <w:lang w:eastAsia="en-AU"/>
              </w:rPr>
              <w:t xml:space="preserve">Directory Assistance 1223 </w:t>
            </w:r>
          </w:p>
        </w:tc>
        <w:tc>
          <w:tcPr>
            <w:tcW w:w="5660" w:type="dxa"/>
            <w:shd w:val="clear" w:color="auto" w:fill="auto"/>
            <w:vAlign w:val="center"/>
          </w:tcPr>
          <w:p w14:paraId="3EC034DE" w14:textId="77777777" w:rsidR="00E507D4" w:rsidRPr="009F6343" w:rsidRDefault="00E507D4" w:rsidP="00B95821">
            <w:pPr>
              <w:spacing w:before="100" w:after="100"/>
              <w:jc w:val="center"/>
              <w:rPr>
                <w:sz w:val="20"/>
              </w:rPr>
            </w:pPr>
            <w:r w:rsidRPr="009F6343">
              <w:rPr>
                <w:sz w:val="20"/>
              </w:rPr>
              <w:t>50c per call</w:t>
            </w:r>
          </w:p>
        </w:tc>
      </w:tr>
      <w:tr w:rsidR="00E507D4" w:rsidRPr="009F6343" w14:paraId="411BAF57" w14:textId="77777777" w:rsidTr="00B95821">
        <w:tc>
          <w:tcPr>
            <w:tcW w:w="4405" w:type="dxa"/>
            <w:shd w:val="clear" w:color="auto" w:fill="auto"/>
          </w:tcPr>
          <w:p w14:paraId="4AFA6E89" w14:textId="77777777" w:rsidR="00E507D4" w:rsidRPr="009F6343" w:rsidRDefault="00E507D4" w:rsidP="00B95821">
            <w:pPr>
              <w:spacing w:before="100" w:after="100"/>
              <w:rPr>
                <w:bCs/>
                <w:sz w:val="20"/>
                <w:lang w:eastAsia="en-AU"/>
              </w:rPr>
            </w:pPr>
            <w:r w:rsidRPr="009F6343">
              <w:rPr>
                <w:bCs/>
                <w:sz w:val="20"/>
                <w:lang w:eastAsia="en-AU"/>
              </w:rPr>
              <w:t>124 Yes</w:t>
            </w:r>
          </w:p>
        </w:tc>
        <w:tc>
          <w:tcPr>
            <w:tcW w:w="5660" w:type="dxa"/>
            <w:shd w:val="clear" w:color="auto" w:fill="auto"/>
            <w:vAlign w:val="center"/>
          </w:tcPr>
          <w:p w14:paraId="046F68FF" w14:textId="77777777" w:rsidR="00E507D4" w:rsidRPr="009F6343" w:rsidRDefault="00E507D4" w:rsidP="00B95821">
            <w:pPr>
              <w:spacing w:before="100" w:after="100"/>
              <w:jc w:val="center"/>
              <w:rPr>
                <w:sz w:val="20"/>
              </w:rPr>
            </w:pPr>
            <w:r w:rsidRPr="009F6343">
              <w:rPr>
                <w:sz w:val="20"/>
              </w:rPr>
              <w:t>90c per minute +$1.75c flagfall</w:t>
            </w:r>
          </w:p>
        </w:tc>
      </w:tr>
      <w:tr w:rsidR="00E507D4" w:rsidRPr="009F6343" w14:paraId="6EBDC6A9" w14:textId="77777777" w:rsidTr="00B95821">
        <w:tc>
          <w:tcPr>
            <w:tcW w:w="4405" w:type="dxa"/>
            <w:shd w:val="clear" w:color="auto" w:fill="auto"/>
          </w:tcPr>
          <w:p w14:paraId="5E2278FE" w14:textId="77777777" w:rsidR="00E507D4" w:rsidRPr="009F6343" w:rsidRDefault="00E507D4" w:rsidP="00B95821">
            <w:pPr>
              <w:spacing w:before="100" w:after="100"/>
              <w:rPr>
                <w:bCs/>
                <w:sz w:val="20"/>
                <w:lang w:eastAsia="en-AU"/>
              </w:rPr>
            </w:pPr>
            <w:r w:rsidRPr="009F6343">
              <w:rPr>
                <w:bCs/>
                <w:sz w:val="20"/>
                <w:lang w:eastAsia="en-AU"/>
              </w:rPr>
              <w:t xml:space="preserve">International voice calls (outside the plan's included international minutes and to excluded countries) </w:t>
            </w:r>
          </w:p>
        </w:tc>
        <w:tc>
          <w:tcPr>
            <w:tcW w:w="5660" w:type="dxa"/>
            <w:shd w:val="clear" w:color="auto" w:fill="auto"/>
            <w:vAlign w:val="center"/>
          </w:tcPr>
          <w:p w14:paraId="6B8880B0" w14:textId="77777777" w:rsidR="00E507D4" w:rsidRPr="009F6343" w:rsidRDefault="00E507D4" w:rsidP="00B95821">
            <w:pPr>
              <w:spacing w:before="100" w:after="100"/>
              <w:jc w:val="center"/>
              <w:rPr>
                <w:sz w:val="20"/>
              </w:rPr>
            </w:pPr>
            <w:r w:rsidRPr="009F6343">
              <w:rPr>
                <w:sz w:val="20"/>
              </w:rPr>
              <w:t>'yes' international rates</w:t>
            </w:r>
            <w:r w:rsidRPr="009F6343">
              <w:rPr>
                <w:sz w:val="20"/>
              </w:rPr>
              <w:br/>
              <w:t>See optus.com.au/international</w:t>
            </w:r>
          </w:p>
        </w:tc>
      </w:tr>
      <w:tr w:rsidR="00E507D4" w:rsidRPr="009F6343" w14:paraId="51998120" w14:textId="77777777" w:rsidTr="00B95821">
        <w:tc>
          <w:tcPr>
            <w:tcW w:w="4405" w:type="dxa"/>
            <w:shd w:val="clear" w:color="auto" w:fill="auto"/>
          </w:tcPr>
          <w:p w14:paraId="017B42CD" w14:textId="77777777" w:rsidR="00E507D4" w:rsidRPr="009F6343" w:rsidRDefault="00E507D4" w:rsidP="00B95821">
            <w:pPr>
              <w:spacing w:before="100" w:after="100"/>
              <w:rPr>
                <w:bCs/>
                <w:sz w:val="20"/>
                <w:lang w:eastAsia="en-AU"/>
              </w:rPr>
            </w:pPr>
            <w:r w:rsidRPr="009F6343">
              <w:rPr>
                <w:bCs/>
                <w:sz w:val="20"/>
                <w:lang w:eastAsia="en-AU"/>
              </w:rPr>
              <w:t xml:space="preserve">International SMS (to excluded countries) </w:t>
            </w:r>
          </w:p>
        </w:tc>
        <w:tc>
          <w:tcPr>
            <w:tcW w:w="5660" w:type="dxa"/>
            <w:shd w:val="clear" w:color="auto" w:fill="auto"/>
            <w:vAlign w:val="center"/>
          </w:tcPr>
          <w:p w14:paraId="70BE5A42" w14:textId="77777777" w:rsidR="00E507D4" w:rsidRPr="009F6343" w:rsidRDefault="00E507D4" w:rsidP="00B95821">
            <w:pPr>
              <w:spacing w:before="100" w:after="100"/>
              <w:jc w:val="center"/>
              <w:rPr>
                <w:sz w:val="20"/>
              </w:rPr>
            </w:pPr>
            <w:r w:rsidRPr="009F6343">
              <w:rPr>
                <w:sz w:val="20"/>
              </w:rPr>
              <w:t>50c per SMS up to 160 standard characters</w:t>
            </w:r>
          </w:p>
        </w:tc>
      </w:tr>
      <w:tr w:rsidR="00E507D4" w:rsidRPr="009F6343" w14:paraId="1302C4B0" w14:textId="77777777" w:rsidTr="00B95821">
        <w:tc>
          <w:tcPr>
            <w:tcW w:w="4405" w:type="dxa"/>
            <w:shd w:val="clear" w:color="auto" w:fill="auto"/>
          </w:tcPr>
          <w:p w14:paraId="08FB8444" w14:textId="77777777" w:rsidR="00E507D4" w:rsidRPr="009F6343" w:rsidRDefault="00E507D4" w:rsidP="00B95821">
            <w:pPr>
              <w:spacing w:before="100" w:after="100"/>
              <w:rPr>
                <w:bCs/>
                <w:sz w:val="20"/>
                <w:lang w:eastAsia="en-AU"/>
              </w:rPr>
            </w:pPr>
            <w:r w:rsidRPr="009F6343">
              <w:rPr>
                <w:bCs/>
                <w:sz w:val="20"/>
                <w:lang w:eastAsia="en-AU"/>
              </w:rPr>
              <w:lastRenderedPageBreak/>
              <w:t>International MMS (to excluded countries)</w:t>
            </w:r>
          </w:p>
        </w:tc>
        <w:tc>
          <w:tcPr>
            <w:tcW w:w="5660" w:type="dxa"/>
            <w:shd w:val="clear" w:color="auto" w:fill="auto"/>
            <w:vAlign w:val="center"/>
          </w:tcPr>
          <w:p w14:paraId="340DDDCD" w14:textId="77777777" w:rsidR="00E507D4" w:rsidRPr="009F6343" w:rsidRDefault="00E507D4" w:rsidP="00B95821">
            <w:pPr>
              <w:spacing w:before="100" w:after="100"/>
              <w:jc w:val="center"/>
              <w:rPr>
                <w:sz w:val="20"/>
              </w:rPr>
            </w:pPr>
            <w:r w:rsidRPr="009F6343">
              <w:rPr>
                <w:sz w:val="20"/>
              </w:rPr>
              <w:t>75c per MMS</w:t>
            </w:r>
          </w:p>
        </w:tc>
      </w:tr>
      <w:tr w:rsidR="00E507D4" w:rsidRPr="009F6343" w14:paraId="0F7B6701" w14:textId="77777777" w:rsidTr="00B95821">
        <w:tc>
          <w:tcPr>
            <w:tcW w:w="4405" w:type="dxa"/>
            <w:shd w:val="clear" w:color="auto" w:fill="auto"/>
          </w:tcPr>
          <w:p w14:paraId="6C4044CA" w14:textId="77777777" w:rsidR="00E507D4" w:rsidRPr="009F6343" w:rsidRDefault="00E507D4" w:rsidP="00B95821">
            <w:pPr>
              <w:spacing w:before="100" w:after="100"/>
              <w:rPr>
                <w:bCs/>
                <w:sz w:val="20"/>
                <w:lang w:eastAsia="en-AU"/>
              </w:rPr>
            </w:pPr>
            <w:r w:rsidRPr="009F6343">
              <w:rPr>
                <w:bCs/>
                <w:sz w:val="20"/>
                <w:lang w:eastAsia="en-AU"/>
              </w:rPr>
              <w:t xml:space="preserve">International video calling </w:t>
            </w:r>
          </w:p>
        </w:tc>
        <w:tc>
          <w:tcPr>
            <w:tcW w:w="5660" w:type="dxa"/>
            <w:shd w:val="clear" w:color="auto" w:fill="auto"/>
            <w:vAlign w:val="center"/>
          </w:tcPr>
          <w:p w14:paraId="789BE3B4" w14:textId="77777777" w:rsidR="00E507D4" w:rsidRPr="009F6343" w:rsidRDefault="00E507D4" w:rsidP="00B95821">
            <w:pPr>
              <w:spacing w:before="100" w:after="100"/>
              <w:jc w:val="center"/>
              <w:rPr>
                <w:sz w:val="20"/>
              </w:rPr>
            </w:pPr>
            <w:r w:rsidRPr="009F6343">
              <w:rPr>
                <w:sz w:val="20"/>
              </w:rPr>
              <w:t>$1.50 per minute +35c flagfall</w:t>
            </w:r>
          </w:p>
        </w:tc>
      </w:tr>
      <w:tr w:rsidR="00E507D4" w:rsidRPr="009F6343" w14:paraId="48F37E81" w14:textId="77777777" w:rsidTr="00B95821">
        <w:tc>
          <w:tcPr>
            <w:tcW w:w="4405" w:type="dxa"/>
            <w:shd w:val="clear" w:color="auto" w:fill="auto"/>
          </w:tcPr>
          <w:p w14:paraId="0C2B5986" w14:textId="77777777" w:rsidR="00E507D4" w:rsidRPr="009F6343" w:rsidRDefault="00E507D4" w:rsidP="00B95821">
            <w:pPr>
              <w:spacing w:before="100" w:after="100"/>
              <w:rPr>
                <w:bCs/>
                <w:sz w:val="20"/>
                <w:lang w:eastAsia="en-AU"/>
              </w:rPr>
            </w:pPr>
            <w:r w:rsidRPr="009F6343">
              <w:rPr>
                <w:bCs/>
                <w:sz w:val="20"/>
                <w:lang w:eastAsia="en-AU"/>
              </w:rPr>
              <w:t xml:space="preserve">International roaming </w:t>
            </w:r>
          </w:p>
        </w:tc>
        <w:tc>
          <w:tcPr>
            <w:tcW w:w="5660" w:type="dxa"/>
            <w:shd w:val="clear" w:color="auto" w:fill="auto"/>
            <w:vAlign w:val="center"/>
          </w:tcPr>
          <w:p w14:paraId="76161A15" w14:textId="77777777" w:rsidR="00E507D4" w:rsidRPr="009F6343" w:rsidRDefault="00E507D4" w:rsidP="00B95821">
            <w:pPr>
              <w:spacing w:before="100" w:after="100"/>
              <w:jc w:val="center"/>
              <w:rPr>
                <w:sz w:val="20"/>
              </w:rPr>
            </w:pPr>
            <w:r w:rsidRPr="009F6343">
              <w:rPr>
                <w:sz w:val="20"/>
              </w:rPr>
              <w:t>See optus.com.au/roaming</w:t>
            </w:r>
          </w:p>
        </w:tc>
      </w:tr>
    </w:tbl>
    <w:p w14:paraId="404903D7" w14:textId="77777777" w:rsidR="00E507D4" w:rsidRPr="009F6343" w:rsidRDefault="00E507D4" w:rsidP="00E507D4">
      <w:pPr>
        <w:spacing w:after="200"/>
        <w:rPr>
          <w:b/>
          <w:sz w:val="20"/>
        </w:rPr>
      </w:pPr>
    </w:p>
    <w:p w14:paraId="4C2514F0" w14:textId="77777777" w:rsidR="00E507D4" w:rsidRPr="009F6343" w:rsidRDefault="00E507D4" w:rsidP="00E507D4">
      <w:pPr>
        <w:spacing w:after="200"/>
        <w:rPr>
          <w:b/>
          <w:sz w:val="20"/>
        </w:rPr>
      </w:pPr>
      <w:r w:rsidRPr="009F6343">
        <w:rPr>
          <w:b/>
          <w:sz w:val="20"/>
        </w:rPr>
        <w:t>Table 3 – International Countries</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8"/>
        <w:gridCol w:w="2140"/>
        <w:gridCol w:w="2419"/>
        <w:gridCol w:w="2133"/>
      </w:tblGrid>
      <w:tr w:rsidR="00E507D4" w:rsidRPr="009F6343" w14:paraId="69A8CD06" w14:textId="77777777" w:rsidTr="00B95821">
        <w:tc>
          <w:tcPr>
            <w:tcW w:w="2128" w:type="dxa"/>
            <w:shd w:val="clear" w:color="auto" w:fill="auto"/>
          </w:tcPr>
          <w:p w14:paraId="45A1201E" w14:textId="77777777" w:rsidR="00E507D4" w:rsidRPr="009F6343" w:rsidRDefault="00E507D4" w:rsidP="00B95821">
            <w:pPr>
              <w:spacing w:before="100" w:after="100"/>
              <w:rPr>
                <w:b/>
                <w:sz w:val="20"/>
              </w:rPr>
            </w:pPr>
            <w:r w:rsidRPr="009F6343">
              <w:rPr>
                <w:rFonts w:eastAsia="Calibri"/>
                <w:sz w:val="20"/>
              </w:rPr>
              <w:t>China</w:t>
            </w:r>
          </w:p>
        </w:tc>
        <w:tc>
          <w:tcPr>
            <w:tcW w:w="2140" w:type="dxa"/>
            <w:shd w:val="clear" w:color="auto" w:fill="auto"/>
          </w:tcPr>
          <w:p w14:paraId="5159EC13" w14:textId="77777777" w:rsidR="00E507D4" w:rsidRPr="009F6343" w:rsidRDefault="00E507D4" w:rsidP="00B95821">
            <w:pPr>
              <w:spacing w:before="100" w:after="100"/>
              <w:rPr>
                <w:b/>
                <w:sz w:val="20"/>
              </w:rPr>
            </w:pPr>
            <w:r w:rsidRPr="009F6343">
              <w:rPr>
                <w:rFonts w:eastAsia="Calibri"/>
                <w:sz w:val="20"/>
              </w:rPr>
              <w:t>Indonesia</w:t>
            </w:r>
          </w:p>
        </w:tc>
        <w:tc>
          <w:tcPr>
            <w:tcW w:w="2419" w:type="dxa"/>
            <w:shd w:val="clear" w:color="auto" w:fill="auto"/>
          </w:tcPr>
          <w:p w14:paraId="01C27231" w14:textId="77777777" w:rsidR="00E507D4" w:rsidRPr="009F6343" w:rsidRDefault="00E507D4" w:rsidP="00B95821">
            <w:pPr>
              <w:spacing w:before="100" w:after="100"/>
              <w:rPr>
                <w:b/>
                <w:sz w:val="20"/>
              </w:rPr>
            </w:pPr>
            <w:r w:rsidRPr="009F6343">
              <w:rPr>
                <w:rFonts w:eastAsia="Calibri"/>
                <w:sz w:val="20"/>
              </w:rPr>
              <w:t>India</w:t>
            </w:r>
          </w:p>
        </w:tc>
        <w:tc>
          <w:tcPr>
            <w:tcW w:w="2133" w:type="dxa"/>
            <w:shd w:val="clear" w:color="auto" w:fill="auto"/>
          </w:tcPr>
          <w:p w14:paraId="1BA37AC0" w14:textId="77777777" w:rsidR="00E507D4" w:rsidRPr="009F6343" w:rsidRDefault="00E507D4" w:rsidP="00B95821">
            <w:pPr>
              <w:spacing w:before="100" w:after="100"/>
              <w:rPr>
                <w:b/>
                <w:sz w:val="20"/>
              </w:rPr>
            </w:pPr>
            <w:r w:rsidRPr="009F6343">
              <w:rPr>
                <w:rFonts w:eastAsia="Calibri"/>
                <w:sz w:val="20"/>
              </w:rPr>
              <w:t>Malaysia</w:t>
            </w:r>
          </w:p>
        </w:tc>
      </w:tr>
      <w:tr w:rsidR="00E507D4" w:rsidRPr="009F6343" w14:paraId="3BC33DBD" w14:textId="77777777" w:rsidTr="00B95821">
        <w:tc>
          <w:tcPr>
            <w:tcW w:w="2128" w:type="dxa"/>
            <w:shd w:val="clear" w:color="auto" w:fill="auto"/>
          </w:tcPr>
          <w:p w14:paraId="0BCE55A5" w14:textId="77777777" w:rsidR="00E507D4" w:rsidRPr="009F6343" w:rsidRDefault="00E507D4" w:rsidP="00B95821">
            <w:pPr>
              <w:spacing w:before="100" w:after="100"/>
              <w:rPr>
                <w:rFonts w:eastAsia="Calibri"/>
                <w:sz w:val="20"/>
              </w:rPr>
            </w:pPr>
            <w:r w:rsidRPr="009F6343">
              <w:rPr>
                <w:rFonts w:eastAsia="Calibri"/>
                <w:sz w:val="20"/>
              </w:rPr>
              <w:t>New Zealand</w:t>
            </w:r>
          </w:p>
        </w:tc>
        <w:tc>
          <w:tcPr>
            <w:tcW w:w="2140" w:type="dxa"/>
            <w:shd w:val="clear" w:color="auto" w:fill="auto"/>
          </w:tcPr>
          <w:p w14:paraId="05B85517" w14:textId="77777777" w:rsidR="00E507D4" w:rsidRPr="009F6343" w:rsidRDefault="00E507D4" w:rsidP="00B95821">
            <w:pPr>
              <w:spacing w:before="100" w:after="100"/>
              <w:rPr>
                <w:rFonts w:eastAsia="Calibri"/>
                <w:sz w:val="20"/>
              </w:rPr>
            </w:pPr>
            <w:r w:rsidRPr="009F6343">
              <w:rPr>
                <w:rFonts w:eastAsia="Calibri"/>
                <w:sz w:val="20"/>
              </w:rPr>
              <w:t>Singapore</w:t>
            </w:r>
          </w:p>
        </w:tc>
        <w:tc>
          <w:tcPr>
            <w:tcW w:w="2419" w:type="dxa"/>
            <w:shd w:val="clear" w:color="auto" w:fill="auto"/>
          </w:tcPr>
          <w:p w14:paraId="0BA50509" w14:textId="77777777" w:rsidR="00E507D4" w:rsidRPr="009F6343" w:rsidRDefault="00E507D4" w:rsidP="00B95821">
            <w:pPr>
              <w:spacing w:before="100" w:after="100"/>
              <w:rPr>
                <w:rFonts w:eastAsia="Calibri"/>
                <w:sz w:val="20"/>
              </w:rPr>
            </w:pPr>
            <w:r>
              <w:rPr>
                <w:rFonts w:eastAsia="Calibri"/>
                <w:sz w:val="20"/>
              </w:rPr>
              <w:t>South Africa</w:t>
            </w:r>
          </w:p>
        </w:tc>
        <w:tc>
          <w:tcPr>
            <w:tcW w:w="2133" w:type="dxa"/>
            <w:shd w:val="clear" w:color="auto" w:fill="auto"/>
          </w:tcPr>
          <w:p w14:paraId="54BEEE27" w14:textId="77777777" w:rsidR="00E507D4" w:rsidRPr="009F6343" w:rsidRDefault="00E507D4" w:rsidP="00B95821">
            <w:pPr>
              <w:spacing w:before="100" w:after="100"/>
              <w:rPr>
                <w:rFonts w:eastAsia="Calibri"/>
                <w:sz w:val="20"/>
              </w:rPr>
            </w:pPr>
            <w:r>
              <w:rPr>
                <w:rFonts w:eastAsia="Calibri"/>
                <w:sz w:val="20"/>
              </w:rPr>
              <w:t>UK</w:t>
            </w:r>
          </w:p>
        </w:tc>
      </w:tr>
      <w:tr w:rsidR="00E507D4" w:rsidRPr="009F6343" w14:paraId="399D41BA" w14:textId="77777777" w:rsidTr="00B95821">
        <w:tc>
          <w:tcPr>
            <w:tcW w:w="2128" w:type="dxa"/>
            <w:shd w:val="clear" w:color="auto" w:fill="auto"/>
          </w:tcPr>
          <w:p w14:paraId="4C2440E5" w14:textId="77777777" w:rsidR="00E507D4" w:rsidRPr="009F6343" w:rsidRDefault="00E507D4" w:rsidP="00B95821">
            <w:pPr>
              <w:spacing w:before="100" w:after="100"/>
              <w:rPr>
                <w:b/>
                <w:sz w:val="20"/>
              </w:rPr>
            </w:pPr>
            <w:r w:rsidRPr="009F6343">
              <w:rPr>
                <w:rFonts w:eastAsia="Calibri"/>
                <w:sz w:val="20"/>
              </w:rPr>
              <w:t xml:space="preserve">USA </w:t>
            </w:r>
          </w:p>
        </w:tc>
        <w:tc>
          <w:tcPr>
            <w:tcW w:w="2140" w:type="dxa"/>
            <w:shd w:val="clear" w:color="auto" w:fill="auto"/>
          </w:tcPr>
          <w:p w14:paraId="25DA64BD" w14:textId="77777777" w:rsidR="00E507D4" w:rsidRPr="009F6343" w:rsidRDefault="00E507D4" w:rsidP="00B95821">
            <w:pPr>
              <w:spacing w:before="100" w:after="100"/>
              <w:rPr>
                <w:b/>
                <w:sz w:val="20"/>
              </w:rPr>
            </w:pPr>
            <w:r w:rsidRPr="009F6343">
              <w:rPr>
                <w:rFonts w:eastAsia="Calibri"/>
                <w:sz w:val="20"/>
              </w:rPr>
              <w:t>Vietnam</w:t>
            </w:r>
          </w:p>
        </w:tc>
        <w:tc>
          <w:tcPr>
            <w:tcW w:w="2419" w:type="dxa"/>
            <w:shd w:val="clear" w:color="auto" w:fill="auto"/>
          </w:tcPr>
          <w:p w14:paraId="46576E71" w14:textId="77777777" w:rsidR="00E507D4" w:rsidRPr="009F6343" w:rsidRDefault="00E507D4" w:rsidP="00B95821">
            <w:pPr>
              <w:spacing w:before="100" w:after="100"/>
              <w:rPr>
                <w:b/>
                <w:sz w:val="20"/>
              </w:rPr>
            </w:pPr>
          </w:p>
        </w:tc>
        <w:tc>
          <w:tcPr>
            <w:tcW w:w="2133" w:type="dxa"/>
            <w:shd w:val="clear" w:color="auto" w:fill="auto"/>
          </w:tcPr>
          <w:p w14:paraId="2334BF57" w14:textId="77777777" w:rsidR="00E507D4" w:rsidRPr="009F6343" w:rsidRDefault="00E507D4" w:rsidP="00B95821">
            <w:pPr>
              <w:spacing w:before="100" w:after="100"/>
              <w:rPr>
                <w:b/>
                <w:sz w:val="20"/>
              </w:rPr>
            </w:pPr>
          </w:p>
        </w:tc>
      </w:tr>
    </w:tbl>
    <w:p w14:paraId="60EF3D3B" w14:textId="77777777" w:rsidR="00E507D4" w:rsidRPr="009F6343" w:rsidRDefault="00E507D4" w:rsidP="00E507D4">
      <w:pPr>
        <w:spacing w:after="200"/>
        <w:rPr>
          <w:sz w:val="20"/>
        </w:rPr>
      </w:pPr>
    </w:p>
    <w:p w14:paraId="550CF745" w14:textId="77777777" w:rsidR="00E507D4" w:rsidRPr="009F6343" w:rsidRDefault="00E507D4" w:rsidP="00E507D4">
      <w:pPr>
        <w:pStyle w:val="Heading6"/>
        <w:spacing w:before="240"/>
        <w:ind w:left="0" w:firstLine="0"/>
        <w:rPr>
          <w:lang w:val="en-AU"/>
        </w:rPr>
      </w:pPr>
      <w:bookmarkStart w:id="2157" w:name="_Toc462648845"/>
      <w:bookmarkStart w:id="2158" w:name="_Toc464031862"/>
      <w:bookmarkStart w:id="2159" w:name="_Toc508361981"/>
      <w:r w:rsidRPr="009F6343">
        <w:rPr>
          <w:lang w:val="en-AU"/>
        </w:rPr>
        <w:t>My Account</w:t>
      </w:r>
      <w:bookmarkEnd w:id="2157"/>
      <w:bookmarkEnd w:id="2158"/>
      <w:bookmarkEnd w:id="2159"/>
    </w:p>
    <w:p w14:paraId="6D76EF0D" w14:textId="77777777" w:rsidR="00E507D4" w:rsidRPr="009F6343" w:rsidRDefault="00E507D4" w:rsidP="00E507D4">
      <w:pPr>
        <w:spacing w:after="200"/>
        <w:ind w:left="720"/>
        <w:rPr>
          <w:sz w:val="20"/>
          <w:lang w:val="en-AU"/>
        </w:rPr>
      </w:pPr>
      <w:r w:rsidRPr="009F6343">
        <w:rPr>
          <w:sz w:val="20"/>
          <w:lang w:val="en-AU"/>
        </w:rPr>
        <w:t xml:space="preserve">Services that share data may have a service login to My Account which will display all of the service numbers contributing to or using the shared data pool on </w:t>
      </w:r>
      <w:r w:rsidRPr="009F6343">
        <w:rPr>
          <w:i/>
          <w:sz w:val="20"/>
          <w:lang w:val="en-AU"/>
        </w:rPr>
        <w:t xml:space="preserve">your </w:t>
      </w:r>
      <w:r w:rsidRPr="009F6343">
        <w:rPr>
          <w:sz w:val="20"/>
          <w:lang w:val="en-AU"/>
        </w:rPr>
        <w:t xml:space="preserve">account and the amount of data each service has used. If </w:t>
      </w:r>
      <w:r w:rsidRPr="009F6343">
        <w:rPr>
          <w:i/>
          <w:sz w:val="20"/>
          <w:lang w:val="en-AU"/>
        </w:rPr>
        <w:t>you</w:t>
      </w:r>
      <w:r w:rsidRPr="009F6343">
        <w:rPr>
          <w:sz w:val="20"/>
          <w:lang w:val="en-AU"/>
        </w:rPr>
        <w:t xml:space="preserve"> have more than 6 services on </w:t>
      </w:r>
      <w:r w:rsidRPr="009F6343">
        <w:rPr>
          <w:i/>
          <w:sz w:val="20"/>
          <w:lang w:val="en-AU"/>
        </w:rPr>
        <w:t>your</w:t>
      </w:r>
      <w:r w:rsidRPr="009F6343">
        <w:rPr>
          <w:sz w:val="20"/>
          <w:lang w:val="en-AU"/>
        </w:rPr>
        <w:t xml:space="preserve"> account, My Account may not be suitable for viewing usage and managing </w:t>
      </w:r>
      <w:r w:rsidRPr="009F6343">
        <w:rPr>
          <w:i/>
          <w:sz w:val="20"/>
          <w:lang w:val="en-AU"/>
        </w:rPr>
        <w:t xml:space="preserve">your </w:t>
      </w:r>
      <w:r w:rsidRPr="009F6343">
        <w:rPr>
          <w:sz w:val="20"/>
          <w:lang w:val="en-AU"/>
        </w:rPr>
        <w:t>usage alerts.</w:t>
      </w:r>
    </w:p>
    <w:p w14:paraId="06BDAF86" w14:textId="77777777" w:rsidR="00E507D4" w:rsidRPr="009F6343" w:rsidRDefault="00E507D4" w:rsidP="00E507D4">
      <w:pPr>
        <w:pStyle w:val="Heading6"/>
        <w:spacing w:before="240"/>
        <w:ind w:left="0" w:firstLine="0"/>
        <w:rPr>
          <w:lang w:val="en-AU"/>
        </w:rPr>
      </w:pPr>
      <w:bookmarkStart w:id="2160" w:name="_Toc462648846"/>
      <w:bookmarkStart w:id="2161" w:name="_Toc464031863"/>
      <w:bookmarkStart w:id="2162" w:name="_Toc508361982"/>
      <w:r w:rsidRPr="009F6343">
        <w:rPr>
          <w:lang w:val="en-AU"/>
        </w:rPr>
        <w:t xml:space="preserve">What happens if the </w:t>
      </w:r>
      <w:r w:rsidRPr="009F6343">
        <w:rPr>
          <w:i/>
          <w:lang w:val="en-AU"/>
        </w:rPr>
        <w:t xml:space="preserve">service </w:t>
      </w:r>
      <w:r w:rsidRPr="009F6343">
        <w:rPr>
          <w:lang w:val="en-AU"/>
        </w:rPr>
        <w:t>is</w:t>
      </w:r>
      <w:r w:rsidRPr="009F6343">
        <w:rPr>
          <w:i/>
          <w:lang w:val="en-AU"/>
        </w:rPr>
        <w:t xml:space="preserve"> cancelled </w:t>
      </w:r>
      <w:r w:rsidRPr="009F6343">
        <w:rPr>
          <w:lang w:val="en-AU"/>
        </w:rPr>
        <w:t>early?</w:t>
      </w:r>
      <w:bookmarkEnd w:id="2160"/>
      <w:bookmarkEnd w:id="2161"/>
      <w:bookmarkEnd w:id="2162"/>
    </w:p>
    <w:p w14:paraId="36036D70" w14:textId="77777777" w:rsidR="00E507D4" w:rsidRPr="009F6343" w:rsidRDefault="00E507D4" w:rsidP="00E507D4">
      <w:pPr>
        <w:numPr>
          <w:ilvl w:val="6"/>
          <w:numId w:val="1"/>
        </w:numPr>
        <w:spacing w:after="200"/>
        <w:ind w:left="1440"/>
        <w:outlineLvl w:val="6"/>
        <w:rPr>
          <w:rFonts w:eastAsia="Times New Roman"/>
          <w:sz w:val="20"/>
          <w:lang w:val="en-AU"/>
        </w:rPr>
      </w:pPr>
      <w:r w:rsidRPr="009F6343">
        <w:rPr>
          <w:rFonts w:eastAsia="Times New Roman"/>
          <w:sz w:val="20"/>
          <w:lang w:val="en-AU"/>
        </w:rPr>
        <w:t>If the</w:t>
      </w:r>
      <w:r w:rsidRPr="009F6343">
        <w:rPr>
          <w:rFonts w:eastAsia="Times New Roman"/>
          <w:i/>
          <w:sz w:val="20"/>
          <w:lang w:val="en-AU"/>
        </w:rPr>
        <w:t xml:space="preserve"> service</w:t>
      </w:r>
      <w:r w:rsidRPr="009F6343">
        <w:rPr>
          <w:rFonts w:eastAsia="Times New Roman"/>
          <w:sz w:val="20"/>
          <w:lang w:val="en-AU"/>
        </w:rPr>
        <w:t xml:space="preserve"> is</w:t>
      </w:r>
      <w:r w:rsidRPr="009F6343">
        <w:rPr>
          <w:rFonts w:eastAsia="Times New Roman"/>
          <w:i/>
          <w:sz w:val="20"/>
          <w:lang w:val="en-AU"/>
        </w:rPr>
        <w:t xml:space="preserve"> cancelled </w:t>
      </w:r>
      <w:r w:rsidRPr="009F6343">
        <w:rPr>
          <w:rFonts w:eastAsia="Times New Roman"/>
          <w:sz w:val="20"/>
          <w:lang w:val="en-AU"/>
        </w:rPr>
        <w:t xml:space="preserve">before the end of </w:t>
      </w:r>
      <w:r w:rsidRPr="009F6343">
        <w:rPr>
          <w:rFonts w:eastAsia="Times New Roman"/>
          <w:i/>
          <w:sz w:val="20"/>
          <w:lang w:val="en-AU"/>
        </w:rPr>
        <w:t xml:space="preserve">your minimum term, you </w:t>
      </w:r>
      <w:r w:rsidRPr="009F6343">
        <w:rPr>
          <w:rFonts w:eastAsia="Times New Roman"/>
          <w:sz w:val="20"/>
          <w:lang w:val="en-AU"/>
        </w:rPr>
        <w:t xml:space="preserve">will be required to pay </w:t>
      </w:r>
      <w:r w:rsidRPr="009F6343">
        <w:rPr>
          <w:rFonts w:eastAsia="Times New Roman"/>
          <w:i/>
          <w:sz w:val="20"/>
          <w:lang w:val="en-AU"/>
        </w:rPr>
        <w:t>us</w:t>
      </w:r>
      <w:r w:rsidRPr="009F6343">
        <w:rPr>
          <w:rFonts w:eastAsia="Times New Roman"/>
          <w:sz w:val="20"/>
          <w:lang w:val="en-AU"/>
        </w:rPr>
        <w:t>:</w:t>
      </w:r>
    </w:p>
    <w:p w14:paraId="3C8A3FA6" w14:textId="77777777" w:rsidR="00E507D4" w:rsidRPr="009F6343" w:rsidRDefault="00E507D4" w:rsidP="00E507D4">
      <w:pPr>
        <w:numPr>
          <w:ilvl w:val="7"/>
          <w:numId w:val="1"/>
        </w:numPr>
        <w:spacing w:after="200"/>
        <w:outlineLvl w:val="7"/>
        <w:rPr>
          <w:rFonts w:eastAsia="Times New Roman"/>
          <w:iCs/>
          <w:sz w:val="20"/>
          <w:lang w:val="en-AU"/>
        </w:rPr>
      </w:pPr>
      <w:r w:rsidRPr="009F6343">
        <w:rPr>
          <w:rFonts w:eastAsia="Times New Roman"/>
          <w:iCs/>
          <w:sz w:val="20"/>
          <w:lang w:val="en-AU"/>
        </w:rPr>
        <w:t xml:space="preserve">any usage charges incurred up to, and including, the </w:t>
      </w:r>
      <w:r w:rsidRPr="009F6343">
        <w:rPr>
          <w:rFonts w:eastAsia="Times New Roman"/>
          <w:i/>
          <w:iCs/>
          <w:sz w:val="20"/>
          <w:lang w:val="en-AU"/>
        </w:rPr>
        <w:t xml:space="preserve">cancellation date; </w:t>
      </w:r>
      <w:r w:rsidRPr="009F6343">
        <w:rPr>
          <w:rFonts w:eastAsia="Times New Roman"/>
          <w:iCs/>
          <w:sz w:val="20"/>
          <w:lang w:val="en-AU"/>
        </w:rPr>
        <w:t>plus</w:t>
      </w:r>
    </w:p>
    <w:p w14:paraId="1EB8949B" w14:textId="77777777" w:rsidR="00E507D4" w:rsidRPr="009F6343" w:rsidRDefault="00E507D4" w:rsidP="00E507D4">
      <w:pPr>
        <w:numPr>
          <w:ilvl w:val="7"/>
          <w:numId w:val="1"/>
        </w:numPr>
        <w:spacing w:after="200"/>
        <w:outlineLvl w:val="7"/>
        <w:rPr>
          <w:rFonts w:eastAsia="Times New Roman"/>
          <w:iCs/>
          <w:sz w:val="20"/>
          <w:lang w:val="en-AU"/>
        </w:rPr>
      </w:pPr>
      <w:r w:rsidRPr="009F6343">
        <w:rPr>
          <w:rFonts w:eastAsia="Times New Roman"/>
          <w:iCs/>
          <w:sz w:val="20"/>
          <w:lang w:val="en-AU"/>
        </w:rPr>
        <w:t xml:space="preserve">the </w:t>
      </w:r>
      <w:r w:rsidRPr="009F6343">
        <w:rPr>
          <w:rFonts w:eastAsia="Times New Roman"/>
          <w:i/>
          <w:iCs/>
          <w:sz w:val="20"/>
          <w:lang w:val="en-AU"/>
        </w:rPr>
        <w:t>cancellation fees</w:t>
      </w:r>
      <w:r w:rsidRPr="009F6343">
        <w:rPr>
          <w:rFonts w:eastAsia="Times New Roman"/>
          <w:iCs/>
          <w:sz w:val="20"/>
          <w:lang w:val="en-AU"/>
        </w:rPr>
        <w:t xml:space="preserve"> set out in paragraph (b) below (unless under clause 2A of the </w:t>
      </w:r>
      <w:r w:rsidRPr="009F6343">
        <w:rPr>
          <w:rFonts w:eastAsia="Times New Roman"/>
          <w:i/>
          <w:iCs/>
          <w:sz w:val="20"/>
          <w:lang w:val="en-AU"/>
        </w:rPr>
        <w:t>consumer terms</w:t>
      </w:r>
      <w:r w:rsidRPr="009F6343">
        <w:rPr>
          <w:rFonts w:eastAsia="Times New Roman"/>
          <w:iCs/>
          <w:sz w:val="20"/>
          <w:lang w:val="en-AU"/>
        </w:rPr>
        <w:t xml:space="preserve">, </w:t>
      </w:r>
      <w:r w:rsidRPr="009F6343">
        <w:rPr>
          <w:rFonts w:eastAsia="Times New Roman"/>
          <w:i/>
          <w:iCs/>
          <w:sz w:val="20"/>
          <w:lang w:val="en-AU"/>
        </w:rPr>
        <w:t>you</w:t>
      </w:r>
      <w:r w:rsidRPr="009F6343">
        <w:rPr>
          <w:rFonts w:eastAsia="Times New Roman"/>
          <w:iCs/>
          <w:sz w:val="20"/>
          <w:lang w:val="en-AU"/>
        </w:rPr>
        <w:t xml:space="preserve"> are entitled to </w:t>
      </w:r>
      <w:r w:rsidRPr="009F6343">
        <w:rPr>
          <w:rFonts w:eastAsia="Times New Roman"/>
          <w:i/>
          <w:iCs/>
          <w:sz w:val="20"/>
          <w:lang w:val="en-AU"/>
        </w:rPr>
        <w:t>cancel the service</w:t>
      </w:r>
      <w:r w:rsidRPr="009F6343">
        <w:rPr>
          <w:rFonts w:eastAsia="Times New Roman"/>
          <w:iCs/>
          <w:sz w:val="20"/>
          <w:lang w:val="en-AU"/>
        </w:rPr>
        <w:t xml:space="preserve"> without incurring a </w:t>
      </w:r>
      <w:r w:rsidRPr="009F6343">
        <w:rPr>
          <w:rFonts w:eastAsia="Times New Roman"/>
          <w:i/>
          <w:iCs/>
          <w:sz w:val="20"/>
          <w:lang w:val="en-AU"/>
        </w:rPr>
        <w:t>cancellation fee</w:t>
      </w:r>
      <w:r w:rsidRPr="009F6343">
        <w:rPr>
          <w:rFonts w:eastAsia="Times New Roman"/>
          <w:iCs/>
          <w:sz w:val="20"/>
          <w:lang w:val="en-AU"/>
        </w:rPr>
        <w:t>); plus</w:t>
      </w:r>
    </w:p>
    <w:p w14:paraId="2A29B4DC" w14:textId="77777777" w:rsidR="00E507D4" w:rsidRPr="009F6343" w:rsidRDefault="00E507D4" w:rsidP="00E507D4">
      <w:pPr>
        <w:numPr>
          <w:ilvl w:val="6"/>
          <w:numId w:val="1"/>
        </w:numPr>
        <w:spacing w:after="200"/>
        <w:ind w:left="1440"/>
        <w:outlineLvl w:val="6"/>
        <w:rPr>
          <w:rFonts w:eastAsia="Times New Roman"/>
          <w:sz w:val="20"/>
          <w:lang w:val="en-AU"/>
        </w:rPr>
      </w:pPr>
      <w:r w:rsidRPr="009F6343">
        <w:rPr>
          <w:rFonts w:eastAsia="Times New Roman"/>
          <w:sz w:val="20"/>
          <w:lang w:val="en-AU"/>
        </w:rPr>
        <w:t xml:space="preserve">Note, any Handset Credit </w:t>
      </w:r>
      <w:r w:rsidRPr="009F6343">
        <w:rPr>
          <w:rFonts w:eastAsia="Times New Roman"/>
          <w:i/>
          <w:sz w:val="20"/>
          <w:lang w:val="en-AU"/>
        </w:rPr>
        <w:t xml:space="preserve">you </w:t>
      </w:r>
      <w:r w:rsidRPr="009F6343">
        <w:rPr>
          <w:rFonts w:eastAsia="Times New Roman"/>
          <w:sz w:val="20"/>
          <w:lang w:val="en-AU"/>
        </w:rPr>
        <w:t xml:space="preserve">were entitled to will be forfeited (see 5.5 above) if the account is cancelled. </w:t>
      </w:r>
    </w:p>
    <w:p w14:paraId="1D0C1864" w14:textId="77777777" w:rsidR="00E507D4" w:rsidRPr="009F6343" w:rsidRDefault="00E507D4" w:rsidP="00E507D4">
      <w:pPr>
        <w:numPr>
          <w:ilvl w:val="6"/>
          <w:numId w:val="1"/>
        </w:numPr>
        <w:ind w:left="1440"/>
        <w:outlineLvl w:val="6"/>
        <w:rPr>
          <w:rFonts w:eastAsia="Times New Roman"/>
          <w:sz w:val="20"/>
        </w:rPr>
      </w:pPr>
      <w:r w:rsidRPr="009F6343">
        <w:rPr>
          <w:rFonts w:eastAsia="Times New Roman"/>
          <w:sz w:val="20"/>
        </w:rPr>
        <w:t xml:space="preserve">The </w:t>
      </w:r>
      <w:r w:rsidRPr="009F6343">
        <w:rPr>
          <w:rFonts w:eastAsia="Times New Roman"/>
          <w:i/>
          <w:sz w:val="20"/>
        </w:rPr>
        <w:t>cancellation fee</w:t>
      </w:r>
      <w:r w:rsidRPr="009F6343">
        <w:rPr>
          <w:rFonts w:eastAsia="Times New Roman"/>
          <w:sz w:val="20"/>
        </w:rPr>
        <w:t xml:space="preserve"> is calculated as the following amounts, multiplied by the months remaining on </w:t>
      </w:r>
      <w:r w:rsidRPr="009F6343">
        <w:rPr>
          <w:rFonts w:eastAsia="Times New Roman"/>
          <w:i/>
          <w:sz w:val="20"/>
        </w:rPr>
        <w:t>your minimum term</w:t>
      </w:r>
      <w:r w:rsidRPr="009F6343">
        <w:rPr>
          <w:rFonts w:eastAsia="Times New Roman"/>
          <w:sz w:val="20"/>
        </w:rPr>
        <w:t>:</w:t>
      </w:r>
    </w:p>
    <w:tbl>
      <w:tblPr>
        <w:tblpPr w:leftFromText="180" w:rightFromText="180" w:vertAnchor="text" w:horzAnchor="margin" w:tblpX="108" w:tblpY="393"/>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7"/>
        <w:gridCol w:w="5963"/>
      </w:tblGrid>
      <w:tr w:rsidR="00E507D4" w:rsidRPr="009F6343" w14:paraId="5848D100" w14:textId="77777777" w:rsidTr="00B95821">
        <w:trPr>
          <w:trHeight w:val="182"/>
        </w:trPr>
        <w:tc>
          <w:tcPr>
            <w:tcW w:w="2045" w:type="pct"/>
            <w:vAlign w:val="center"/>
          </w:tcPr>
          <w:p w14:paraId="74107E34" w14:textId="77777777" w:rsidR="00E507D4" w:rsidRPr="009F6343" w:rsidRDefault="00E507D4" w:rsidP="00B95821">
            <w:pPr>
              <w:spacing w:before="100" w:after="100"/>
              <w:jc w:val="center"/>
              <w:rPr>
                <w:b/>
                <w:sz w:val="20"/>
              </w:rPr>
            </w:pPr>
            <w:r w:rsidRPr="009F6343">
              <w:rPr>
                <w:b/>
                <w:sz w:val="20"/>
              </w:rPr>
              <w:t>Plan</w:t>
            </w:r>
          </w:p>
        </w:tc>
        <w:tc>
          <w:tcPr>
            <w:tcW w:w="2955" w:type="pct"/>
            <w:vAlign w:val="center"/>
          </w:tcPr>
          <w:p w14:paraId="37C694D7" w14:textId="77777777" w:rsidR="00E507D4" w:rsidRPr="009F6343" w:rsidRDefault="00E507D4" w:rsidP="00B95821">
            <w:pPr>
              <w:spacing w:before="100" w:after="100"/>
              <w:jc w:val="center"/>
              <w:rPr>
                <w:b/>
                <w:sz w:val="20"/>
              </w:rPr>
            </w:pPr>
            <w:r w:rsidRPr="009F6343">
              <w:rPr>
                <w:b/>
                <w:sz w:val="20"/>
              </w:rPr>
              <w:t xml:space="preserve">$30 My Plan Business </w:t>
            </w:r>
            <w:r w:rsidRPr="009F6343">
              <w:rPr>
                <w:b/>
                <w:snapToGrid w:val="0"/>
                <w:sz w:val="20"/>
              </w:rPr>
              <w:t>Tech Fund</w:t>
            </w:r>
          </w:p>
        </w:tc>
      </w:tr>
      <w:tr w:rsidR="00E507D4" w:rsidRPr="009F6343" w14:paraId="4B87CC05" w14:textId="77777777" w:rsidTr="00B95821">
        <w:trPr>
          <w:trHeight w:val="275"/>
        </w:trPr>
        <w:tc>
          <w:tcPr>
            <w:tcW w:w="2045" w:type="pct"/>
            <w:vAlign w:val="center"/>
          </w:tcPr>
          <w:p w14:paraId="7C86BF1E" w14:textId="77777777" w:rsidR="00E507D4" w:rsidRPr="009F6343" w:rsidRDefault="00E507D4" w:rsidP="00B95821">
            <w:pPr>
              <w:spacing w:before="100" w:after="100"/>
              <w:jc w:val="center"/>
              <w:rPr>
                <w:b/>
                <w:sz w:val="20"/>
              </w:rPr>
            </w:pPr>
            <w:r w:rsidRPr="009F6343">
              <w:rPr>
                <w:b/>
                <w:sz w:val="20"/>
                <w:lang w:eastAsia="en-AU"/>
              </w:rPr>
              <w:t>Cancellation Fee</w:t>
            </w:r>
          </w:p>
        </w:tc>
        <w:tc>
          <w:tcPr>
            <w:tcW w:w="2955" w:type="pct"/>
            <w:vAlign w:val="center"/>
          </w:tcPr>
          <w:p w14:paraId="585EE519" w14:textId="77777777" w:rsidR="00E507D4" w:rsidRPr="009F6343" w:rsidRDefault="00E507D4" w:rsidP="00B95821">
            <w:pPr>
              <w:spacing w:before="100" w:after="100"/>
              <w:jc w:val="center"/>
              <w:rPr>
                <w:i/>
                <w:sz w:val="20"/>
              </w:rPr>
            </w:pPr>
            <w:r w:rsidRPr="009F6343">
              <w:rPr>
                <w:sz w:val="20"/>
              </w:rPr>
              <w:t>$18.75 x Months remaining</w:t>
            </w:r>
          </w:p>
        </w:tc>
      </w:tr>
      <w:tr w:rsidR="00E507D4" w:rsidRPr="009F6343" w14:paraId="3F7152E3" w14:textId="77777777" w:rsidTr="00B95821">
        <w:trPr>
          <w:trHeight w:val="275"/>
        </w:trPr>
        <w:tc>
          <w:tcPr>
            <w:tcW w:w="2045" w:type="pct"/>
            <w:vAlign w:val="center"/>
          </w:tcPr>
          <w:p w14:paraId="33AAB0C9" w14:textId="77777777" w:rsidR="00E507D4" w:rsidRPr="009F6343" w:rsidRDefault="00E507D4" w:rsidP="00B95821">
            <w:pPr>
              <w:spacing w:before="100" w:after="100"/>
              <w:jc w:val="center"/>
              <w:rPr>
                <w:b/>
                <w:sz w:val="20"/>
                <w:lang w:eastAsia="en-AU"/>
              </w:rPr>
            </w:pPr>
            <w:r w:rsidRPr="009F6343">
              <w:rPr>
                <w:b/>
                <w:sz w:val="20"/>
                <w:lang w:eastAsia="en-AU"/>
              </w:rPr>
              <w:t>Maximum Cancellation Fee</w:t>
            </w:r>
          </w:p>
        </w:tc>
        <w:tc>
          <w:tcPr>
            <w:tcW w:w="2955" w:type="pct"/>
            <w:vAlign w:val="center"/>
          </w:tcPr>
          <w:p w14:paraId="364CE81C" w14:textId="77777777" w:rsidR="00E507D4" w:rsidRPr="009F6343" w:rsidRDefault="00E507D4" w:rsidP="00B95821">
            <w:pPr>
              <w:spacing w:before="100" w:after="100"/>
              <w:jc w:val="center"/>
              <w:rPr>
                <w:sz w:val="20"/>
              </w:rPr>
            </w:pPr>
            <w:r w:rsidRPr="009F6343">
              <w:rPr>
                <w:sz w:val="20"/>
              </w:rPr>
              <w:t>$450</w:t>
            </w:r>
          </w:p>
        </w:tc>
      </w:tr>
    </w:tbl>
    <w:p w14:paraId="7985AAB3" w14:textId="77777777" w:rsidR="00E507D4" w:rsidRDefault="00E507D4" w:rsidP="00E507D4">
      <w:pPr>
        <w:rPr>
          <w:iCs/>
          <w:sz w:val="20"/>
          <w:szCs w:val="20"/>
        </w:rPr>
      </w:pPr>
    </w:p>
    <w:p w14:paraId="17F285DF" w14:textId="77777777" w:rsidR="00E507D4" w:rsidRPr="00AD1F6F" w:rsidRDefault="00E507D4" w:rsidP="00E507D4">
      <w:pPr>
        <w:outlineLvl w:val="6"/>
        <w:rPr>
          <w:rFonts w:eastAsia="Times New Roman"/>
          <w:iCs/>
          <w:sz w:val="20"/>
        </w:rPr>
      </w:pPr>
      <w:r>
        <w:rPr>
          <w:rFonts w:eastAsia="Times New Roman"/>
          <w:iCs/>
          <w:sz w:val="20"/>
        </w:rPr>
        <w:t xml:space="preserve"> </w:t>
      </w:r>
    </w:p>
    <w:p w14:paraId="4E0684C4" w14:textId="77777777" w:rsidR="00E507D4" w:rsidRDefault="00E507D4" w:rsidP="00E507D4">
      <w:pPr>
        <w:rPr>
          <w:sz w:val="20"/>
          <w:szCs w:val="20"/>
        </w:rPr>
      </w:pPr>
    </w:p>
    <w:p w14:paraId="6B203B5A" w14:textId="77777777" w:rsidR="00E507D4" w:rsidRPr="00B7364B" w:rsidRDefault="00E507D4" w:rsidP="00E507D4">
      <w:pPr>
        <w:pStyle w:val="Heading4"/>
      </w:pPr>
      <w:bookmarkStart w:id="2163" w:name="_Toc484513937"/>
      <w:bookmarkStart w:id="2164" w:name="_Toc508361983"/>
      <w:bookmarkStart w:id="2165" w:name="_Toc62644709"/>
      <w:r>
        <w:t xml:space="preserve">$85 / $110 </w:t>
      </w:r>
      <w:r w:rsidRPr="00B7364B">
        <w:t>Business Plan</w:t>
      </w:r>
      <w:bookmarkEnd w:id="2163"/>
      <w:bookmarkEnd w:id="2164"/>
      <w:bookmarkEnd w:id="2165"/>
    </w:p>
    <w:p w14:paraId="4E91D7F7" w14:textId="77777777" w:rsidR="00E507D4" w:rsidRPr="00B7364B" w:rsidRDefault="00E507D4" w:rsidP="00E507D4">
      <w:pPr>
        <w:spacing w:after="200"/>
        <w:ind w:left="720"/>
        <w:rPr>
          <w:sz w:val="20"/>
        </w:rPr>
      </w:pPr>
      <w:r w:rsidRPr="00B7364B">
        <w:rPr>
          <w:sz w:val="20"/>
        </w:rPr>
        <w:t xml:space="preserve">This section relates to the following plans. </w:t>
      </w:r>
      <w:r w:rsidRPr="00B7364B">
        <w:rPr>
          <w:i/>
          <w:sz w:val="20"/>
        </w:rPr>
        <w:t>You</w:t>
      </w:r>
      <w:r w:rsidRPr="00B7364B">
        <w:rPr>
          <w:sz w:val="20"/>
        </w:rPr>
        <w:t xml:space="preserve"> can find </w:t>
      </w:r>
      <w:r w:rsidRPr="00B7364B">
        <w:rPr>
          <w:i/>
          <w:sz w:val="20"/>
        </w:rPr>
        <w:t>your</w:t>
      </w:r>
      <w:r w:rsidRPr="00B7364B">
        <w:rPr>
          <w:sz w:val="20"/>
        </w:rPr>
        <w:t xml:space="preserve"> Plan ID on </w:t>
      </w:r>
      <w:r w:rsidRPr="00B7364B">
        <w:rPr>
          <w:i/>
          <w:sz w:val="20"/>
        </w:rPr>
        <w:t>your</w:t>
      </w:r>
      <w:r w:rsidRPr="00B7364B">
        <w:rPr>
          <w:sz w:val="20"/>
        </w:rPr>
        <w:t xml:space="preserve"> bill under the Mobile Number Summary section:</w:t>
      </w:r>
    </w:p>
    <w:tbl>
      <w:tblPr>
        <w:tblW w:w="838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0"/>
        <w:gridCol w:w="1918"/>
        <w:gridCol w:w="3600"/>
      </w:tblGrid>
      <w:tr w:rsidR="00E507D4" w:rsidRPr="00B7364B" w14:paraId="1B4BF786" w14:textId="77777777" w:rsidTr="00B95821">
        <w:tc>
          <w:tcPr>
            <w:tcW w:w="2870" w:type="dxa"/>
            <w:shd w:val="clear" w:color="auto" w:fill="auto"/>
          </w:tcPr>
          <w:p w14:paraId="4C170AB4" w14:textId="77777777" w:rsidR="00E507D4" w:rsidRPr="00B7364B" w:rsidRDefault="00E507D4" w:rsidP="00B95821">
            <w:pPr>
              <w:spacing w:before="100" w:after="100"/>
              <w:jc w:val="center"/>
              <w:rPr>
                <w:b/>
                <w:sz w:val="20"/>
              </w:rPr>
            </w:pPr>
            <w:r w:rsidRPr="00B7364B">
              <w:rPr>
                <w:b/>
                <w:sz w:val="20"/>
              </w:rPr>
              <w:t>Plan</w:t>
            </w:r>
          </w:p>
        </w:tc>
        <w:tc>
          <w:tcPr>
            <w:tcW w:w="1918" w:type="dxa"/>
            <w:shd w:val="clear" w:color="auto" w:fill="auto"/>
          </w:tcPr>
          <w:p w14:paraId="2B026B6A" w14:textId="77777777" w:rsidR="00E507D4" w:rsidRPr="00B7364B" w:rsidRDefault="00E507D4" w:rsidP="00B95821">
            <w:pPr>
              <w:spacing w:before="100" w:after="100"/>
              <w:jc w:val="center"/>
              <w:rPr>
                <w:b/>
                <w:sz w:val="20"/>
              </w:rPr>
            </w:pPr>
            <w:r w:rsidRPr="00B7364B">
              <w:rPr>
                <w:b/>
                <w:sz w:val="20"/>
              </w:rPr>
              <w:t>Plan ID</w:t>
            </w:r>
          </w:p>
        </w:tc>
        <w:tc>
          <w:tcPr>
            <w:tcW w:w="3600" w:type="dxa"/>
            <w:shd w:val="clear" w:color="auto" w:fill="auto"/>
          </w:tcPr>
          <w:p w14:paraId="16DF9B0D" w14:textId="77777777" w:rsidR="00E507D4" w:rsidRPr="00B7364B" w:rsidRDefault="00E507D4" w:rsidP="00B95821">
            <w:pPr>
              <w:spacing w:before="100" w:after="100"/>
              <w:jc w:val="center"/>
              <w:rPr>
                <w:b/>
                <w:sz w:val="20"/>
              </w:rPr>
            </w:pPr>
            <w:r w:rsidRPr="00B7364B">
              <w:rPr>
                <w:b/>
                <w:sz w:val="20"/>
              </w:rPr>
              <w:t>Available</w:t>
            </w:r>
          </w:p>
        </w:tc>
      </w:tr>
      <w:tr w:rsidR="00E507D4" w:rsidRPr="00B7364B" w14:paraId="4E5916C6" w14:textId="77777777" w:rsidTr="00B95821">
        <w:tc>
          <w:tcPr>
            <w:tcW w:w="2870" w:type="dxa"/>
            <w:shd w:val="clear" w:color="auto" w:fill="auto"/>
          </w:tcPr>
          <w:p w14:paraId="4C639331" w14:textId="77777777" w:rsidR="00E507D4" w:rsidRPr="00B7364B" w:rsidRDefault="00E507D4" w:rsidP="00B95821">
            <w:pPr>
              <w:spacing w:before="100" w:after="100"/>
              <w:jc w:val="center"/>
              <w:rPr>
                <w:sz w:val="20"/>
              </w:rPr>
            </w:pPr>
            <w:r>
              <w:rPr>
                <w:sz w:val="20"/>
              </w:rPr>
              <w:t>$8</w:t>
            </w:r>
            <w:r w:rsidRPr="00B7364B">
              <w:rPr>
                <w:sz w:val="20"/>
              </w:rPr>
              <w:t>5 Business Plan</w:t>
            </w:r>
          </w:p>
        </w:tc>
        <w:tc>
          <w:tcPr>
            <w:tcW w:w="1918" w:type="dxa"/>
            <w:shd w:val="clear" w:color="auto" w:fill="auto"/>
            <w:vAlign w:val="center"/>
          </w:tcPr>
          <w:p w14:paraId="23128B88" w14:textId="77777777" w:rsidR="00E507D4" w:rsidRPr="00B7364B" w:rsidRDefault="00E507D4" w:rsidP="00B95821">
            <w:pPr>
              <w:spacing w:before="100" w:after="100"/>
              <w:jc w:val="center"/>
              <w:rPr>
                <w:sz w:val="20"/>
              </w:rPr>
            </w:pPr>
            <w:r>
              <w:rPr>
                <w:sz w:val="20"/>
              </w:rPr>
              <w:t>800702, 10616235</w:t>
            </w:r>
          </w:p>
        </w:tc>
        <w:tc>
          <w:tcPr>
            <w:tcW w:w="3600" w:type="dxa"/>
            <w:shd w:val="clear" w:color="auto" w:fill="auto"/>
          </w:tcPr>
          <w:p w14:paraId="197F93E2" w14:textId="77777777" w:rsidR="00E507D4" w:rsidRPr="00B7364B" w:rsidRDefault="00E507D4" w:rsidP="00B95821">
            <w:pPr>
              <w:spacing w:before="100" w:after="100"/>
              <w:jc w:val="center"/>
              <w:rPr>
                <w:sz w:val="20"/>
              </w:rPr>
            </w:pPr>
            <w:r>
              <w:rPr>
                <w:sz w:val="20"/>
              </w:rPr>
              <w:t>5 June 2017</w:t>
            </w:r>
            <w:r w:rsidR="00B95821" w:rsidRPr="00E85FA3">
              <w:rPr>
                <w:sz w:val="20"/>
              </w:rPr>
              <w:t xml:space="preserve"> – 30 </w:t>
            </w:r>
            <w:r w:rsidR="00856E4A">
              <w:rPr>
                <w:sz w:val="20"/>
              </w:rPr>
              <w:t>June</w:t>
            </w:r>
            <w:r w:rsidR="00B95821" w:rsidRPr="00E85FA3">
              <w:rPr>
                <w:sz w:val="20"/>
              </w:rPr>
              <w:t xml:space="preserve"> 2018</w:t>
            </w:r>
          </w:p>
        </w:tc>
      </w:tr>
      <w:tr w:rsidR="00E507D4" w:rsidRPr="00B7364B" w14:paraId="0EADD54F" w14:textId="77777777" w:rsidTr="00B95821">
        <w:tc>
          <w:tcPr>
            <w:tcW w:w="2870" w:type="dxa"/>
            <w:shd w:val="clear" w:color="auto" w:fill="auto"/>
          </w:tcPr>
          <w:p w14:paraId="4ACB8352" w14:textId="77777777" w:rsidR="00E507D4" w:rsidRPr="00B7364B" w:rsidRDefault="00E507D4" w:rsidP="00B95821">
            <w:pPr>
              <w:spacing w:before="100" w:after="100"/>
              <w:jc w:val="center"/>
              <w:rPr>
                <w:sz w:val="20"/>
              </w:rPr>
            </w:pPr>
            <w:r>
              <w:rPr>
                <w:sz w:val="20"/>
              </w:rPr>
              <w:lastRenderedPageBreak/>
              <w:t>$11</w:t>
            </w:r>
            <w:r w:rsidRPr="00B7364B">
              <w:rPr>
                <w:sz w:val="20"/>
              </w:rPr>
              <w:t>0 Business Plan</w:t>
            </w:r>
          </w:p>
        </w:tc>
        <w:tc>
          <w:tcPr>
            <w:tcW w:w="1918" w:type="dxa"/>
            <w:shd w:val="clear" w:color="auto" w:fill="auto"/>
            <w:vAlign w:val="center"/>
          </w:tcPr>
          <w:p w14:paraId="7C79AF03" w14:textId="77777777" w:rsidR="00E507D4" w:rsidRPr="00B7364B" w:rsidRDefault="00E507D4" w:rsidP="00B95821">
            <w:pPr>
              <w:spacing w:before="100" w:after="100"/>
              <w:jc w:val="center"/>
              <w:rPr>
                <w:sz w:val="20"/>
              </w:rPr>
            </w:pPr>
            <w:r>
              <w:rPr>
                <w:sz w:val="20"/>
              </w:rPr>
              <w:t>800703, 10616245</w:t>
            </w:r>
          </w:p>
        </w:tc>
        <w:tc>
          <w:tcPr>
            <w:tcW w:w="3600" w:type="dxa"/>
            <w:shd w:val="clear" w:color="auto" w:fill="auto"/>
          </w:tcPr>
          <w:p w14:paraId="633BF834" w14:textId="77777777" w:rsidR="00E507D4" w:rsidRPr="00B7364B" w:rsidRDefault="00E507D4" w:rsidP="00B95821">
            <w:pPr>
              <w:spacing w:before="100" w:after="100"/>
              <w:jc w:val="center"/>
              <w:rPr>
                <w:sz w:val="20"/>
              </w:rPr>
            </w:pPr>
            <w:r>
              <w:rPr>
                <w:sz w:val="20"/>
              </w:rPr>
              <w:t>5 June 2017</w:t>
            </w:r>
            <w:r w:rsidR="00B95821" w:rsidRPr="00E85FA3">
              <w:rPr>
                <w:sz w:val="20"/>
              </w:rPr>
              <w:t xml:space="preserve"> – 30 </w:t>
            </w:r>
            <w:r w:rsidR="00856E4A">
              <w:rPr>
                <w:sz w:val="20"/>
              </w:rPr>
              <w:t>June</w:t>
            </w:r>
            <w:r w:rsidR="00B95821" w:rsidRPr="00E85FA3">
              <w:rPr>
                <w:sz w:val="20"/>
              </w:rPr>
              <w:t xml:space="preserve"> 2018</w:t>
            </w:r>
          </w:p>
        </w:tc>
      </w:tr>
    </w:tbl>
    <w:p w14:paraId="3DDCF930" w14:textId="77777777" w:rsidR="00E507D4" w:rsidRPr="00B7364B" w:rsidRDefault="00E507D4" w:rsidP="00E507D4">
      <w:pPr>
        <w:spacing w:after="200"/>
        <w:rPr>
          <w:sz w:val="20"/>
        </w:rPr>
      </w:pPr>
    </w:p>
    <w:p w14:paraId="615076D5" w14:textId="77777777" w:rsidR="00E507D4" w:rsidRPr="00B7364B" w:rsidRDefault="00E507D4" w:rsidP="00E507D4">
      <w:pPr>
        <w:pStyle w:val="Heading6"/>
        <w:spacing w:before="240"/>
        <w:ind w:left="0" w:firstLine="0"/>
        <w:rPr>
          <w:bCs w:val="0"/>
        </w:rPr>
      </w:pPr>
      <w:bookmarkStart w:id="2166" w:name="_Toc508361984"/>
      <w:r w:rsidRPr="00B7364B">
        <w:rPr>
          <w:bCs w:val="0"/>
        </w:rPr>
        <w:t>Eligibility</w:t>
      </w:r>
      <w:bookmarkEnd w:id="2166"/>
    </w:p>
    <w:p w14:paraId="66EBC5C2" w14:textId="77777777" w:rsidR="00E507D4" w:rsidRPr="00B7364B" w:rsidRDefault="00E507D4" w:rsidP="00E507D4">
      <w:pPr>
        <w:spacing w:after="200"/>
        <w:ind w:left="720"/>
        <w:rPr>
          <w:sz w:val="20"/>
        </w:rPr>
      </w:pPr>
      <w:r w:rsidRPr="00B7364B">
        <w:rPr>
          <w:sz w:val="20"/>
        </w:rPr>
        <w:t xml:space="preserve">The Business Plans are available to new and existing mobile customers connecting to the </w:t>
      </w:r>
      <w:r w:rsidRPr="00B7364B">
        <w:rPr>
          <w:i/>
          <w:sz w:val="20"/>
        </w:rPr>
        <w:t xml:space="preserve">service </w:t>
      </w:r>
      <w:r w:rsidRPr="00B7364B">
        <w:rPr>
          <w:sz w:val="20"/>
        </w:rPr>
        <w:t xml:space="preserve">who pass Optus' credit assessment. </w:t>
      </w:r>
    </w:p>
    <w:p w14:paraId="7E0E9165" w14:textId="77777777" w:rsidR="00E507D4" w:rsidRPr="00B7364B" w:rsidRDefault="00E507D4" w:rsidP="00E507D4">
      <w:pPr>
        <w:spacing w:after="200"/>
        <w:ind w:left="720"/>
        <w:rPr>
          <w:sz w:val="20"/>
        </w:rPr>
      </w:pPr>
      <w:r w:rsidRPr="00B7364B">
        <w:rPr>
          <w:sz w:val="20"/>
        </w:rPr>
        <w:t>Optus Service Providers' customers are not eligible to apply</w:t>
      </w:r>
      <w:r w:rsidRPr="00B7364B">
        <w:rPr>
          <w:snapToGrid w:val="0"/>
          <w:sz w:val="20"/>
        </w:rPr>
        <w:t>.</w:t>
      </w:r>
    </w:p>
    <w:p w14:paraId="0FECBB71" w14:textId="77777777" w:rsidR="00E507D4" w:rsidRDefault="00E507D4" w:rsidP="00E507D4">
      <w:pPr>
        <w:spacing w:after="200"/>
        <w:ind w:left="720"/>
        <w:rPr>
          <w:sz w:val="20"/>
        </w:rPr>
      </w:pPr>
      <w:r w:rsidRPr="00B7364B">
        <w:rPr>
          <w:sz w:val="20"/>
        </w:rPr>
        <w:t xml:space="preserve">These </w:t>
      </w:r>
      <w:r w:rsidRPr="00B7364B">
        <w:rPr>
          <w:i/>
          <w:sz w:val="20"/>
        </w:rPr>
        <w:t>plans</w:t>
      </w:r>
      <w:r w:rsidRPr="00B7364B">
        <w:rPr>
          <w:sz w:val="20"/>
        </w:rPr>
        <w:t xml:space="preserve"> aren't compatible for data use with BlackBerry handsets on operating systems of 7.1 or earlier.</w:t>
      </w:r>
    </w:p>
    <w:p w14:paraId="07DF9953" w14:textId="77777777" w:rsidR="00E507D4" w:rsidRDefault="00E507D4" w:rsidP="00E507D4">
      <w:pPr>
        <w:spacing w:after="200"/>
        <w:ind w:left="720"/>
        <w:rPr>
          <w:sz w:val="20"/>
        </w:rPr>
      </w:pPr>
      <w:r w:rsidRPr="00656EA8">
        <w:rPr>
          <w:sz w:val="20"/>
        </w:rPr>
        <w:t>This is a promotional plan tha</w:t>
      </w:r>
      <w:r>
        <w:rPr>
          <w:sz w:val="20"/>
        </w:rPr>
        <w:t xml:space="preserve">t is only available to selected </w:t>
      </w:r>
      <w:r w:rsidRPr="00656EA8">
        <w:rPr>
          <w:sz w:val="20"/>
        </w:rPr>
        <w:t>customers via Business Chan</w:t>
      </w:r>
      <w:r>
        <w:rPr>
          <w:sz w:val="20"/>
        </w:rPr>
        <w:t xml:space="preserve">nel Partners. Only new services </w:t>
      </w:r>
      <w:r w:rsidRPr="00656EA8">
        <w:rPr>
          <w:sz w:val="20"/>
        </w:rPr>
        <w:t xml:space="preserve">can be activated onto this plan. </w:t>
      </w:r>
    </w:p>
    <w:p w14:paraId="2809AC44" w14:textId="77777777" w:rsidR="00E507D4" w:rsidRDefault="00E507D4" w:rsidP="00E507D4">
      <w:pPr>
        <w:spacing w:after="200"/>
        <w:ind w:left="720"/>
        <w:rPr>
          <w:sz w:val="20"/>
        </w:rPr>
      </w:pPr>
      <w:r w:rsidRPr="00656EA8">
        <w:rPr>
          <w:sz w:val="20"/>
        </w:rPr>
        <w:t>T</w:t>
      </w:r>
      <w:r>
        <w:rPr>
          <w:sz w:val="20"/>
        </w:rPr>
        <w:t xml:space="preserve">o be eligible for this plan you </w:t>
      </w:r>
      <w:r w:rsidRPr="00656EA8">
        <w:rPr>
          <w:sz w:val="20"/>
        </w:rPr>
        <w:t>or your business must provide</w:t>
      </w:r>
      <w:r>
        <w:rPr>
          <w:sz w:val="20"/>
        </w:rPr>
        <w:t xml:space="preserve"> us with a registered ABN, ARBN </w:t>
      </w:r>
      <w:r w:rsidRPr="00656EA8">
        <w:rPr>
          <w:sz w:val="20"/>
        </w:rPr>
        <w:t xml:space="preserve">or ACN. </w:t>
      </w:r>
    </w:p>
    <w:p w14:paraId="16227F80" w14:textId="77777777" w:rsidR="00E507D4" w:rsidRPr="00B7364B" w:rsidRDefault="00E507D4" w:rsidP="00E507D4">
      <w:pPr>
        <w:spacing w:after="200"/>
        <w:ind w:left="720"/>
        <w:rPr>
          <w:sz w:val="20"/>
        </w:rPr>
      </w:pPr>
      <w:r w:rsidRPr="00656EA8">
        <w:rPr>
          <w:sz w:val="20"/>
        </w:rPr>
        <w:t xml:space="preserve">You must also sign </w:t>
      </w:r>
      <w:r>
        <w:rPr>
          <w:sz w:val="20"/>
        </w:rPr>
        <w:t xml:space="preserve">up a minimum of 6 services to a </w:t>
      </w:r>
      <w:r w:rsidRPr="00656EA8">
        <w:rPr>
          <w:sz w:val="20"/>
        </w:rPr>
        <w:t>Business Plan.</w:t>
      </w:r>
    </w:p>
    <w:p w14:paraId="44822053" w14:textId="77777777" w:rsidR="00E507D4" w:rsidRPr="00B7364B" w:rsidRDefault="00E507D4" w:rsidP="00E507D4">
      <w:pPr>
        <w:pStyle w:val="Heading6"/>
        <w:spacing w:before="240"/>
        <w:ind w:left="0" w:firstLine="0"/>
        <w:rPr>
          <w:bCs w:val="0"/>
        </w:rPr>
      </w:pPr>
      <w:bookmarkStart w:id="2167" w:name="_Toc508361985"/>
      <w:r w:rsidRPr="00B7364B">
        <w:rPr>
          <w:bCs w:val="0"/>
          <w:snapToGrid w:val="0"/>
        </w:rPr>
        <w:t>Minimum Term</w:t>
      </w:r>
      <w:bookmarkEnd w:id="2167"/>
    </w:p>
    <w:p w14:paraId="4F1EED4A" w14:textId="77777777" w:rsidR="00E507D4" w:rsidRPr="00B7364B" w:rsidRDefault="00E507D4" w:rsidP="00E507D4">
      <w:pPr>
        <w:spacing w:after="200"/>
        <w:ind w:left="720"/>
        <w:rPr>
          <w:sz w:val="20"/>
        </w:rPr>
      </w:pPr>
      <w:r w:rsidRPr="00B7364B">
        <w:rPr>
          <w:sz w:val="20"/>
        </w:rPr>
        <w:t xml:space="preserve">These </w:t>
      </w:r>
      <w:r w:rsidRPr="00B7364B">
        <w:rPr>
          <w:i/>
          <w:sz w:val="20"/>
        </w:rPr>
        <w:t xml:space="preserve">plans </w:t>
      </w:r>
      <w:r w:rsidRPr="00B7364B">
        <w:rPr>
          <w:sz w:val="20"/>
        </w:rPr>
        <w:t xml:space="preserve">have a </w:t>
      </w:r>
      <w:r w:rsidRPr="00B7364B">
        <w:rPr>
          <w:i/>
          <w:sz w:val="20"/>
        </w:rPr>
        <w:t>fixed length agreement</w:t>
      </w:r>
      <w:r w:rsidRPr="00B7364B">
        <w:rPr>
          <w:sz w:val="20"/>
        </w:rPr>
        <w:t xml:space="preserve"> with a 24 month </w:t>
      </w:r>
      <w:r w:rsidRPr="00B7364B">
        <w:rPr>
          <w:i/>
          <w:sz w:val="20"/>
        </w:rPr>
        <w:t>minimum term</w:t>
      </w:r>
      <w:r w:rsidRPr="00B7364B">
        <w:rPr>
          <w:sz w:val="20"/>
        </w:rPr>
        <w:t>.</w:t>
      </w:r>
    </w:p>
    <w:p w14:paraId="70820141" w14:textId="77777777" w:rsidR="00E507D4" w:rsidRPr="00B7364B" w:rsidRDefault="00E507D4" w:rsidP="00E507D4">
      <w:pPr>
        <w:pStyle w:val="Heading6"/>
        <w:spacing w:before="240"/>
        <w:ind w:left="0" w:firstLine="0"/>
        <w:rPr>
          <w:b/>
          <w:bCs w:val="0"/>
        </w:rPr>
      </w:pPr>
      <w:bookmarkStart w:id="2168" w:name="_Toc508361986"/>
      <w:r w:rsidRPr="00B7364B">
        <w:rPr>
          <w:bCs w:val="0"/>
        </w:rPr>
        <w:t>What you have to pay us</w:t>
      </w:r>
      <w:bookmarkEnd w:id="2168"/>
    </w:p>
    <w:p w14:paraId="4676FE7E" w14:textId="77777777" w:rsidR="00E507D4" w:rsidRPr="00B7364B" w:rsidRDefault="00E507D4" w:rsidP="00E507D4">
      <w:pPr>
        <w:numPr>
          <w:ilvl w:val="6"/>
          <w:numId w:val="1"/>
        </w:numPr>
        <w:spacing w:after="200"/>
        <w:ind w:left="1440"/>
        <w:outlineLvl w:val="6"/>
        <w:rPr>
          <w:rFonts w:eastAsia="Times New Roman"/>
          <w:sz w:val="20"/>
        </w:rPr>
      </w:pPr>
      <w:r w:rsidRPr="00B7364B">
        <w:rPr>
          <w:rFonts w:eastAsia="Times New Roman"/>
          <w:i/>
          <w:sz w:val="20"/>
        </w:rPr>
        <w:t xml:space="preserve">You </w:t>
      </w:r>
      <w:r w:rsidRPr="00B7364B">
        <w:rPr>
          <w:rFonts w:eastAsia="Times New Roman"/>
          <w:sz w:val="20"/>
        </w:rPr>
        <w:t xml:space="preserve">must pay </w:t>
      </w:r>
      <w:r w:rsidRPr="00B7364B">
        <w:rPr>
          <w:rFonts w:eastAsia="Times New Roman"/>
          <w:i/>
          <w:sz w:val="20"/>
        </w:rPr>
        <w:t xml:space="preserve">us </w:t>
      </w:r>
      <w:r w:rsidRPr="00B7364B">
        <w:rPr>
          <w:rFonts w:eastAsia="Times New Roman"/>
          <w:sz w:val="20"/>
        </w:rPr>
        <w:t xml:space="preserve">for use of the </w:t>
      </w:r>
      <w:r w:rsidRPr="00B7364B">
        <w:rPr>
          <w:rFonts w:eastAsia="Times New Roman"/>
          <w:i/>
          <w:sz w:val="20"/>
        </w:rPr>
        <w:t xml:space="preserve">service </w:t>
      </w:r>
      <w:r w:rsidRPr="00B7364B">
        <w:rPr>
          <w:rFonts w:eastAsia="Times New Roman"/>
          <w:sz w:val="20"/>
        </w:rPr>
        <w:t xml:space="preserve">at the rates set out in Section 1 of this </w:t>
      </w:r>
      <w:r w:rsidRPr="00B7364B">
        <w:rPr>
          <w:rFonts w:eastAsia="Times New Roman"/>
          <w:i/>
          <w:sz w:val="20"/>
        </w:rPr>
        <w:t>standard pricing table</w:t>
      </w:r>
      <w:r w:rsidRPr="00B7364B">
        <w:rPr>
          <w:rFonts w:eastAsia="Times New Roman"/>
          <w:sz w:val="20"/>
        </w:rPr>
        <w:t xml:space="preserve"> and for value added service features at the rates set out in </w:t>
      </w:r>
      <w:hyperlink r:id="rId839" w:history="1">
        <w:r w:rsidRPr="00B7364B">
          <w:rPr>
            <w:rFonts w:eastAsia="Times New Roman"/>
            <w:i/>
            <w:color w:val="13607C"/>
            <w:sz w:val="18"/>
            <w:u w:val="single"/>
          </w:rPr>
          <w:t>Appendix Y Value Added Service Features</w:t>
        </w:r>
      </w:hyperlink>
      <w:r w:rsidRPr="00B7364B">
        <w:rPr>
          <w:rFonts w:eastAsia="Times New Roman"/>
          <w:sz w:val="20"/>
        </w:rPr>
        <w:t>.</w:t>
      </w:r>
    </w:p>
    <w:p w14:paraId="5E0E068E" w14:textId="77777777" w:rsidR="00E507D4" w:rsidRPr="00B7364B" w:rsidRDefault="00E507D4" w:rsidP="00E507D4">
      <w:pPr>
        <w:numPr>
          <w:ilvl w:val="6"/>
          <w:numId w:val="1"/>
        </w:numPr>
        <w:spacing w:after="200"/>
        <w:ind w:left="1440"/>
        <w:outlineLvl w:val="6"/>
        <w:rPr>
          <w:rFonts w:eastAsia="Times New Roman"/>
          <w:sz w:val="20"/>
        </w:rPr>
      </w:pPr>
      <w:r w:rsidRPr="00B7364B">
        <w:rPr>
          <w:rFonts w:eastAsia="Times New Roman"/>
          <w:sz w:val="20"/>
        </w:rPr>
        <w:t>If there is a flagfall for a particular call type, the charge for these calls is the flagfall amount plus the relevant rate for the call multiplied by the duration of the call.</w:t>
      </w:r>
    </w:p>
    <w:p w14:paraId="5B1E6D2C" w14:textId="77777777" w:rsidR="00E507D4" w:rsidRPr="00B7364B" w:rsidRDefault="00E507D4" w:rsidP="00E507D4">
      <w:pPr>
        <w:numPr>
          <w:ilvl w:val="6"/>
          <w:numId w:val="1"/>
        </w:numPr>
        <w:spacing w:after="200"/>
        <w:ind w:left="1440"/>
        <w:outlineLvl w:val="6"/>
        <w:rPr>
          <w:rFonts w:eastAsia="Times New Roman"/>
          <w:b/>
          <w:sz w:val="20"/>
        </w:rPr>
      </w:pPr>
      <w:r w:rsidRPr="00B7364B">
        <w:rPr>
          <w:rFonts w:eastAsia="Times New Roman"/>
          <w:b/>
          <w:sz w:val="20"/>
        </w:rPr>
        <w:t xml:space="preserve">Minimum Monthly Charge </w:t>
      </w:r>
    </w:p>
    <w:p w14:paraId="394F06EE" w14:textId="77777777" w:rsidR="00E507D4" w:rsidRPr="00B7364B" w:rsidRDefault="00E507D4" w:rsidP="00E507D4">
      <w:pPr>
        <w:numPr>
          <w:ilvl w:val="7"/>
          <w:numId w:val="1"/>
        </w:numPr>
        <w:spacing w:after="200"/>
        <w:outlineLvl w:val="7"/>
        <w:rPr>
          <w:rFonts w:eastAsia="Times New Roman"/>
          <w:iCs/>
          <w:sz w:val="20"/>
        </w:rPr>
      </w:pPr>
      <w:r w:rsidRPr="00B7364B">
        <w:rPr>
          <w:rFonts w:eastAsia="Times New Roman"/>
          <w:iCs/>
          <w:sz w:val="20"/>
        </w:rPr>
        <w:t xml:space="preserve">Each Business Plan has a Minimum Monthly Charge amount that </w:t>
      </w:r>
      <w:r w:rsidRPr="00B7364B">
        <w:rPr>
          <w:rFonts w:eastAsia="Times New Roman"/>
          <w:i/>
          <w:iCs/>
          <w:sz w:val="20"/>
        </w:rPr>
        <w:t>you</w:t>
      </w:r>
      <w:r w:rsidRPr="00B7364B">
        <w:rPr>
          <w:rFonts w:eastAsia="Times New Roman"/>
          <w:iCs/>
          <w:sz w:val="20"/>
        </w:rPr>
        <w:t xml:space="preserve"> must pay </w:t>
      </w:r>
      <w:r w:rsidRPr="00B7364B">
        <w:rPr>
          <w:rFonts w:eastAsia="Times New Roman"/>
          <w:i/>
          <w:iCs/>
          <w:sz w:val="20"/>
        </w:rPr>
        <w:t>us</w:t>
      </w:r>
      <w:r w:rsidRPr="00B7364B">
        <w:rPr>
          <w:rFonts w:eastAsia="Times New Roman"/>
          <w:iCs/>
          <w:sz w:val="20"/>
        </w:rPr>
        <w:t xml:space="preserve"> each month as set out in Table 1 below.</w:t>
      </w:r>
    </w:p>
    <w:p w14:paraId="27C9990D" w14:textId="77777777" w:rsidR="00E507D4" w:rsidRPr="00B7364B" w:rsidRDefault="00E507D4" w:rsidP="00E507D4">
      <w:pPr>
        <w:numPr>
          <w:ilvl w:val="7"/>
          <w:numId w:val="1"/>
        </w:numPr>
        <w:spacing w:after="200"/>
        <w:outlineLvl w:val="7"/>
        <w:rPr>
          <w:rFonts w:eastAsia="Times New Roman"/>
          <w:iCs/>
          <w:sz w:val="20"/>
        </w:rPr>
      </w:pPr>
      <w:r w:rsidRPr="00B7364B">
        <w:rPr>
          <w:rFonts w:eastAsia="Times New Roman"/>
          <w:i/>
          <w:iCs/>
          <w:sz w:val="20"/>
        </w:rPr>
        <w:t>You</w:t>
      </w:r>
      <w:r w:rsidRPr="00B7364B">
        <w:rPr>
          <w:rFonts w:eastAsia="Times New Roman"/>
          <w:iCs/>
          <w:sz w:val="20"/>
        </w:rPr>
        <w:t xml:space="preserve"> may purchase a mobile phone (or 'handset') with a 24 month </w:t>
      </w:r>
      <w:r w:rsidRPr="00B7364B">
        <w:rPr>
          <w:rFonts w:eastAsia="Times New Roman"/>
          <w:i/>
          <w:iCs/>
          <w:sz w:val="20"/>
        </w:rPr>
        <w:t>equipment term</w:t>
      </w:r>
      <w:r w:rsidRPr="00B7364B">
        <w:rPr>
          <w:rFonts w:eastAsia="Times New Roman"/>
          <w:iCs/>
          <w:sz w:val="20"/>
        </w:rPr>
        <w:t xml:space="preserve"> under a </w:t>
      </w:r>
      <w:r w:rsidRPr="00B7364B">
        <w:rPr>
          <w:rFonts w:eastAsia="Times New Roman"/>
          <w:i/>
          <w:iCs/>
          <w:sz w:val="20"/>
        </w:rPr>
        <w:t>mobile equipment payment plan</w:t>
      </w:r>
      <w:r w:rsidRPr="00B7364B">
        <w:rPr>
          <w:rFonts w:eastAsia="Times New Roman"/>
          <w:iCs/>
          <w:sz w:val="20"/>
        </w:rPr>
        <w:t xml:space="preserve"> (set out in </w:t>
      </w:r>
      <w:hyperlink r:id="rId840" w:history="1">
        <w:r w:rsidRPr="00B7364B">
          <w:rPr>
            <w:rFonts w:eastAsia="Times New Roman"/>
            <w:i/>
            <w:iCs/>
            <w:color w:val="13607C"/>
            <w:sz w:val="18"/>
            <w:u w:val="single"/>
          </w:rPr>
          <w:t>Appendix D</w:t>
        </w:r>
      </w:hyperlink>
      <w:r w:rsidRPr="00B7364B">
        <w:rPr>
          <w:rFonts w:eastAsia="Times New Roman"/>
          <w:iCs/>
          <w:sz w:val="20"/>
        </w:rPr>
        <w:t xml:space="preserve">) on a 24 month </w:t>
      </w:r>
      <w:r w:rsidRPr="00B7364B">
        <w:rPr>
          <w:rFonts w:eastAsia="Times New Roman"/>
          <w:i/>
          <w:iCs/>
          <w:sz w:val="20"/>
        </w:rPr>
        <w:t>fixed-length agreement</w:t>
      </w:r>
      <w:r w:rsidRPr="00B7364B">
        <w:rPr>
          <w:rFonts w:eastAsia="Times New Roman"/>
          <w:iCs/>
          <w:sz w:val="20"/>
        </w:rPr>
        <w:t>.</w:t>
      </w:r>
    </w:p>
    <w:p w14:paraId="7C015139" w14:textId="77777777" w:rsidR="00E507D4" w:rsidRPr="00B7364B" w:rsidRDefault="00E507D4" w:rsidP="00E507D4">
      <w:pPr>
        <w:pStyle w:val="Heading6"/>
        <w:spacing w:before="240"/>
        <w:ind w:left="0" w:firstLine="0"/>
        <w:rPr>
          <w:bCs w:val="0"/>
          <w:snapToGrid w:val="0"/>
        </w:rPr>
      </w:pPr>
      <w:bookmarkStart w:id="2169" w:name="_Toc508361987"/>
      <w:r w:rsidRPr="00B7364B">
        <w:rPr>
          <w:bCs w:val="0"/>
          <w:snapToGrid w:val="0"/>
        </w:rPr>
        <w:t>How My Plan Business works</w:t>
      </w:r>
      <w:bookmarkEnd w:id="2169"/>
    </w:p>
    <w:p w14:paraId="5995FF2D" w14:textId="77777777" w:rsidR="00E507D4" w:rsidRPr="00B7364B" w:rsidRDefault="00E507D4" w:rsidP="00E507D4">
      <w:pPr>
        <w:pStyle w:val="Heading7"/>
      </w:pPr>
      <w:r w:rsidRPr="00B7364B">
        <w:t>Each Business Plan has unlimited minutes to use on standard national calls to landlines and mobiles, 13/1300 numbers and voicemail retrievals and an amount of Included Data (for mobile internet use) to share with other services on a My Plan Plus</w:t>
      </w:r>
      <w:r w:rsidRPr="00B7364B">
        <w:rPr>
          <w:lang w:eastAsia="en-AU"/>
        </w:rPr>
        <w:t xml:space="preserve">, My Plan Plus SIM Only, My Plan Business (including Tech Fund), My Plan Business SIM, </w:t>
      </w:r>
      <w:r w:rsidRPr="00656EA8">
        <w:rPr>
          <w:lang w:eastAsia="en-AU"/>
        </w:rPr>
        <w:t>My Plan Flex, My Plan Business Flex, Business Lease,</w:t>
      </w:r>
      <w:r>
        <w:rPr>
          <w:lang w:eastAsia="en-AU"/>
        </w:rPr>
        <w:t xml:space="preserve"> </w:t>
      </w:r>
      <w:r w:rsidRPr="00B7364B">
        <w:rPr>
          <w:lang w:eastAsia="en-AU"/>
        </w:rPr>
        <w:t xml:space="preserve">My Mobile Broadband Plus, Mobile Broadband Business or Shared Data Plan </w:t>
      </w:r>
      <w:r w:rsidRPr="00B7364B">
        <w:t>on the same account.</w:t>
      </w:r>
    </w:p>
    <w:p w14:paraId="6A6B4AC5" w14:textId="77777777" w:rsidR="00E507D4" w:rsidRPr="00B7364B" w:rsidRDefault="00E507D4" w:rsidP="00E507D4">
      <w:pPr>
        <w:numPr>
          <w:ilvl w:val="6"/>
          <w:numId w:val="1"/>
        </w:numPr>
        <w:spacing w:after="200"/>
        <w:ind w:left="1440"/>
        <w:outlineLvl w:val="6"/>
        <w:rPr>
          <w:rFonts w:eastAsia="Times New Roman"/>
          <w:sz w:val="20"/>
        </w:rPr>
      </w:pPr>
      <w:r w:rsidRPr="00B7364B">
        <w:rPr>
          <w:rFonts w:eastAsia="Times New Roman"/>
          <w:sz w:val="20"/>
        </w:rPr>
        <w:t>These plans also include unlimited standard national SMS/MMS and unlimited standard International SMS/</w:t>
      </w:r>
      <w:r>
        <w:rPr>
          <w:rFonts w:eastAsia="Times New Roman"/>
          <w:sz w:val="20"/>
        </w:rPr>
        <w:t>MMS to selected countries</w:t>
      </w:r>
      <w:r w:rsidRPr="00B7364B">
        <w:rPr>
          <w:rFonts w:eastAsia="Times New Roman"/>
          <w:sz w:val="20"/>
        </w:rPr>
        <w:t>.</w:t>
      </w:r>
    </w:p>
    <w:p w14:paraId="31205736" w14:textId="77777777" w:rsidR="00E507D4" w:rsidRPr="00B7364B" w:rsidRDefault="00E507D4" w:rsidP="00E507D4">
      <w:pPr>
        <w:numPr>
          <w:ilvl w:val="6"/>
          <w:numId w:val="1"/>
        </w:numPr>
        <w:spacing w:after="200"/>
        <w:ind w:left="1440"/>
        <w:outlineLvl w:val="6"/>
        <w:rPr>
          <w:rFonts w:eastAsia="Times New Roman"/>
          <w:sz w:val="20"/>
        </w:rPr>
      </w:pPr>
      <w:r w:rsidRPr="00B7364B">
        <w:rPr>
          <w:rFonts w:eastAsia="Times New Roman"/>
          <w:sz w:val="20"/>
        </w:rPr>
        <w:t xml:space="preserve">Data usage is calculated in one kilobyte increments. </w:t>
      </w:r>
    </w:p>
    <w:p w14:paraId="40BE7ED2" w14:textId="77777777" w:rsidR="00E507D4" w:rsidRPr="00B7364B" w:rsidRDefault="00E507D4" w:rsidP="00E507D4">
      <w:pPr>
        <w:numPr>
          <w:ilvl w:val="6"/>
          <w:numId w:val="1"/>
        </w:numPr>
        <w:spacing w:after="200"/>
        <w:ind w:left="1440"/>
        <w:outlineLvl w:val="6"/>
        <w:rPr>
          <w:rFonts w:eastAsia="Times New Roman"/>
          <w:sz w:val="20"/>
        </w:rPr>
      </w:pPr>
      <w:r w:rsidRPr="00B7364B">
        <w:rPr>
          <w:rFonts w:eastAsia="Times New Roman"/>
          <w:sz w:val="20"/>
        </w:rPr>
        <w:t xml:space="preserve">If </w:t>
      </w:r>
      <w:r w:rsidRPr="00B7364B">
        <w:rPr>
          <w:rFonts w:eastAsia="Times New Roman"/>
          <w:i/>
          <w:sz w:val="20"/>
        </w:rPr>
        <w:t xml:space="preserve">you </w:t>
      </w:r>
      <w:r w:rsidRPr="00B7364B">
        <w:rPr>
          <w:rFonts w:eastAsia="Times New Roman"/>
          <w:sz w:val="20"/>
        </w:rPr>
        <w:t>exceed your included shareable data you'll automatically be charged $10 for each additional 1GB of data ("</w:t>
      </w:r>
      <w:r w:rsidRPr="00B7364B">
        <w:rPr>
          <w:rFonts w:eastAsia="Times New Roman"/>
          <w:b/>
          <w:sz w:val="20"/>
        </w:rPr>
        <w:t>Additional Data</w:t>
      </w:r>
      <w:r w:rsidRPr="00B7364B">
        <w:rPr>
          <w:rFonts w:eastAsia="Times New Roman"/>
          <w:sz w:val="20"/>
        </w:rPr>
        <w:t>") up to 150GB of extra data per account each month. Your service/s may then be restricted or we may continue to charge you at these rates.</w:t>
      </w:r>
    </w:p>
    <w:p w14:paraId="67140DB6" w14:textId="77777777" w:rsidR="00E507D4" w:rsidRPr="00B7364B" w:rsidRDefault="00E507D4" w:rsidP="00E507D4">
      <w:pPr>
        <w:numPr>
          <w:ilvl w:val="6"/>
          <w:numId w:val="1"/>
        </w:numPr>
        <w:spacing w:after="200"/>
        <w:ind w:left="1440"/>
        <w:outlineLvl w:val="6"/>
        <w:rPr>
          <w:rFonts w:eastAsia="Times New Roman"/>
          <w:sz w:val="20"/>
        </w:rPr>
      </w:pPr>
      <w:r w:rsidRPr="00B7364B">
        <w:rPr>
          <w:rFonts w:eastAsia="Times New Roman"/>
          <w:sz w:val="20"/>
        </w:rPr>
        <w:t xml:space="preserve">Any unused portion of </w:t>
      </w:r>
      <w:r w:rsidRPr="00B7364B">
        <w:rPr>
          <w:rFonts w:eastAsia="Times New Roman"/>
          <w:i/>
          <w:sz w:val="20"/>
        </w:rPr>
        <w:t>your</w:t>
      </w:r>
      <w:r w:rsidRPr="00B7364B">
        <w:rPr>
          <w:rFonts w:eastAsia="Times New Roman"/>
          <w:sz w:val="20"/>
        </w:rPr>
        <w:t xml:space="preserve"> </w:t>
      </w:r>
      <w:r w:rsidRPr="00B7364B">
        <w:rPr>
          <w:rFonts w:eastAsia="Times New Roman"/>
          <w:i/>
          <w:sz w:val="20"/>
        </w:rPr>
        <w:t>plan's</w:t>
      </w:r>
      <w:r w:rsidRPr="00B7364B">
        <w:rPr>
          <w:rFonts w:eastAsia="Times New Roman"/>
          <w:sz w:val="20"/>
        </w:rPr>
        <w:t xml:space="preserve"> Included or Additional Data or International Minutes expires at the end of each month and does not roll over into the next month. </w:t>
      </w:r>
    </w:p>
    <w:p w14:paraId="075EEDA4" w14:textId="77777777" w:rsidR="00E507D4" w:rsidRPr="00B7364B" w:rsidRDefault="00E507D4" w:rsidP="00E507D4">
      <w:pPr>
        <w:numPr>
          <w:ilvl w:val="6"/>
          <w:numId w:val="1"/>
        </w:numPr>
        <w:spacing w:after="200"/>
        <w:ind w:left="1440"/>
        <w:outlineLvl w:val="6"/>
        <w:rPr>
          <w:rFonts w:eastAsia="Times New Roman"/>
          <w:b/>
          <w:sz w:val="20"/>
        </w:rPr>
      </w:pPr>
      <w:r w:rsidRPr="00B7364B">
        <w:rPr>
          <w:rFonts w:eastAsia="Times New Roman"/>
          <w:i/>
          <w:sz w:val="20"/>
        </w:rPr>
        <w:lastRenderedPageBreak/>
        <w:t>You</w:t>
      </w:r>
      <w:r w:rsidRPr="00B7364B">
        <w:rPr>
          <w:rFonts w:eastAsia="Times New Roman"/>
          <w:sz w:val="20"/>
        </w:rPr>
        <w:t xml:space="preserve"> must pay </w:t>
      </w:r>
      <w:r w:rsidRPr="00B7364B">
        <w:rPr>
          <w:rFonts w:eastAsia="Times New Roman"/>
          <w:i/>
          <w:sz w:val="20"/>
        </w:rPr>
        <w:t>us</w:t>
      </w:r>
      <w:r w:rsidRPr="00B7364B">
        <w:rPr>
          <w:rFonts w:eastAsia="Times New Roman"/>
          <w:sz w:val="20"/>
        </w:rPr>
        <w:t xml:space="preserve"> for use of any services that are not included in </w:t>
      </w:r>
      <w:r w:rsidRPr="00B7364B">
        <w:rPr>
          <w:rFonts w:eastAsia="Times New Roman"/>
          <w:i/>
          <w:sz w:val="20"/>
        </w:rPr>
        <w:t>your</w:t>
      </w:r>
      <w:r w:rsidRPr="00B7364B">
        <w:rPr>
          <w:rFonts w:eastAsia="Times New Roman"/>
          <w:sz w:val="20"/>
        </w:rPr>
        <w:t xml:space="preserve"> plan's inclusions, examples of which are set out in Table 2 below.</w:t>
      </w:r>
    </w:p>
    <w:p w14:paraId="5FCF5CFB" w14:textId="77777777" w:rsidR="00E507D4" w:rsidRPr="00B7364B" w:rsidRDefault="00E507D4" w:rsidP="00E507D4">
      <w:pPr>
        <w:pStyle w:val="Heading6"/>
        <w:spacing w:before="240"/>
        <w:ind w:left="0" w:firstLine="0"/>
        <w:rPr>
          <w:bCs w:val="0"/>
          <w:snapToGrid w:val="0"/>
        </w:rPr>
      </w:pPr>
      <w:bookmarkStart w:id="2170" w:name="_Toc508361988"/>
      <w:r w:rsidRPr="00B7364B">
        <w:rPr>
          <w:bCs w:val="0"/>
          <w:snapToGrid w:val="0"/>
        </w:rPr>
        <w:t>Plan Changes</w:t>
      </w:r>
      <w:bookmarkEnd w:id="2170"/>
    </w:p>
    <w:p w14:paraId="312EF010" w14:textId="77777777" w:rsidR="00E507D4" w:rsidRPr="00B7364B" w:rsidRDefault="00E507D4" w:rsidP="00E507D4">
      <w:pPr>
        <w:spacing w:after="200"/>
        <w:ind w:left="720"/>
        <w:rPr>
          <w:sz w:val="20"/>
        </w:rPr>
      </w:pPr>
      <w:r w:rsidRPr="00B7364B">
        <w:rPr>
          <w:sz w:val="20"/>
        </w:rPr>
        <w:t>You can change your plan during the minimum tern term provided you move to a plan with a higher monthly access fee. You cannot change your plan during the minimum term to a plan with the same or lower monthly access fee. If you change your plan during the minimum term a fee may apply and any handset repayments will remain the same.</w:t>
      </w:r>
    </w:p>
    <w:p w14:paraId="70BC5859" w14:textId="77777777" w:rsidR="00E507D4" w:rsidRPr="00B7364B" w:rsidRDefault="00E507D4" w:rsidP="00E507D4">
      <w:pPr>
        <w:pStyle w:val="Heading6"/>
        <w:spacing w:before="240"/>
        <w:ind w:left="0" w:firstLine="0"/>
        <w:rPr>
          <w:bCs w:val="0"/>
          <w:snapToGrid w:val="0"/>
        </w:rPr>
      </w:pPr>
      <w:bookmarkStart w:id="2171" w:name="_Toc508361989"/>
      <w:r w:rsidRPr="00B7364B">
        <w:rPr>
          <w:bCs w:val="0"/>
          <w:snapToGrid w:val="0"/>
        </w:rPr>
        <w:t>New Phone Trade Up</w:t>
      </w:r>
      <w:bookmarkEnd w:id="2171"/>
    </w:p>
    <w:p w14:paraId="04963390" w14:textId="77777777" w:rsidR="00E507D4" w:rsidRPr="00B7364B" w:rsidRDefault="00E507D4" w:rsidP="00E507D4">
      <w:pPr>
        <w:spacing w:after="200"/>
        <w:ind w:left="720"/>
        <w:rPr>
          <w:sz w:val="20"/>
        </w:rPr>
      </w:pPr>
      <w:r w:rsidRPr="00B7364B">
        <w:rPr>
          <w:sz w:val="20"/>
        </w:rPr>
        <w:t>The plans referred to in this section include the option of New Phone Trade Up, which can be exercised in two ways:</w:t>
      </w:r>
    </w:p>
    <w:p w14:paraId="1144DE14" w14:textId="77777777" w:rsidR="00E507D4" w:rsidRPr="00B7364B" w:rsidRDefault="00E507D4" w:rsidP="00E507D4">
      <w:pPr>
        <w:numPr>
          <w:ilvl w:val="6"/>
          <w:numId w:val="1"/>
        </w:numPr>
        <w:spacing w:after="200"/>
        <w:ind w:left="1440"/>
        <w:outlineLvl w:val="6"/>
        <w:rPr>
          <w:rFonts w:eastAsia="Times New Roman"/>
          <w:sz w:val="20"/>
        </w:rPr>
      </w:pPr>
      <w:r w:rsidRPr="00B7364B">
        <w:rPr>
          <w:rFonts w:eastAsia="Times New Roman"/>
          <w:sz w:val="20"/>
        </w:rPr>
        <w:t>New Phone Trade Up for $99</w:t>
      </w:r>
    </w:p>
    <w:p w14:paraId="1A0852AD" w14:textId="77777777" w:rsidR="00E507D4" w:rsidRPr="00B7364B" w:rsidRDefault="00E507D4" w:rsidP="00E507D4">
      <w:pPr>
        <w:numPr>
          <w:ilvl w:val="7"/>
          <w:numId w:val="1"/>
        </w:numPr>
        <w:spacing w:after="200"/>
        <w:outlineLvl w:val="7"/>
        <w:rPr>
          <w:rFonts w:eastAsia="Times New Roman"/>
          <w:iCs/>
          <w:sz w:val="20"/>
        </w:rPr>
      </w:pPr>
      <w:r w:rsidRPr="00B7364B">
        <w:rPr>
          <w:rFonts w:eastAsia="Times New Roman"/>
          <w:iCs/>
          <w:sz w:val="20"/>
        </w:rPr>
        <w:t>After 12 months on one of these plans, you can pay a one fee of $99, return your original mobile phone to a Yes Optus store in good working order, purchase a new mobile phone on a new 24 month plan and sign documentation that will enable ownership of your original mobile phone to be transferred to a second hand dealer nominated by Optus.</w:t>
      </w:r>
    </w:p>
    <w:p w14:paraId="4C586D2C" w14:textId="77777777" w:rsidR="00E507D4" w:rsidRPr="00B7364B" w:rsidRDefault="00E507D4" w:rsidP="00E507D4">
      <w:pPr>
        <w:numPr>
          <w:ilvl w:val="7"/>
          <w:numId w:val="1"/>
        </w:numPr>
        <w:spacing w:after="200"/>
        <w:outlineLvl w:val="7"/>
        <w:rPr>
          <w:rFonts w:eastAsia="Times New Roman"/>
          <w:iCs/>
          <w:sz w:val="20"/>
        </w:rPr>
      </w:pPr>
      <w:r w:rsidRPr="00B7364B">
        <w:rPr>
          <w:rFonts w:eastAsia="Times New Roman"/>
          <w:iCs/>
          <w:sz w:val="20"/>
        </w:rPr>
        <w:t>A mobile phone is considered to be in good working order when :</w:t>
      </w:r>
    </w:p>
    <w:p w14:paraId="7760FEE8" w14:textId="77777777" w:rsidR="00E507D4" w:rsidRPr="00B7364B" w:rsidRDefault="00E507D4" w:rsidP="00E507D4">
      <w:pPr>
        <w:numPr>
          <w:ilvl w:val="8"/>
          <w:numId w:val="1"/>
        </w:numPr>
        <w:spacing w:after="200"/>
        <w:outlineLvl w:val="8"/>
        <w:rPr>
          <w:rFonts w:eastAsia="Times New Roman"/>
          <w:sz w:val="20"/>
          <w:szCs w:val="22"/>
        </w:rPr>
      </w:pPr>
      <w:r w:rsidRPr="00B7364B">
        <w:rPr>
          <w:rFonts w:eastAsia="Times New Roman"/>
          <w:sz w:val="20"/>
          <w:szCs w:val="22"/>
        </w:rPr>
        <w:t xml:space="preserve">it can power on and off, </w:t>
      </w:r>
    </w:p>
    <w:p w14:paraId="5F2006E3" w14:textId="77777777" w:rsidR="00E507D4" w:rsidRPr="00B7364B" w:rsidRDefault="00E507D4" w:rsidP="00E507D4">
      <w:pPr>
        <w:numPr>
          <w:ilvl w:val="8"/>
          <w:numId w:val="1"/>
        </w:numPr>
        <w:spacing w:after="200"/>
        <w:outlineLvl w:val="8"/>
        <w:rPr>
          <w:rFonts w:eastAsia="Times New Roman"/>
          <w:sz w:val="20"/>
          <w:szCs w:val="22"/>
        </w:rPr>
      </w:pPr>
      <w:r w:rsidRPr="00B7364B">
        <w:rPr>
          <w:rFonts w:eastAsia="Times New Roman"/>
          <w:sz w:val="20"/>
          <w:szCs w:val="22"/>
        </w:rPr>
        <w:t xml:space="preserve">it has a touchscreen that is fully functional and has no imperfections such as lines or marks, </w:t>
      </w:r>
    </w:p>
    <w:p w14:paraId="6AB50F00" w14:textId="77777777" w:rsidR="00E507D4" w:rsidRPr="00B7364B" w:rsidRDefault="00E507D4" w:rsidP="00E507D4">
      <w:pPr>
        <w:numPr>
          <w:ilvl w:val="8"/>
          <w:numId w:val="1"/>
        </w:numPr>
        <w:spacing w:after="200"/>
        <w:outlineLvl w:val="8"/>
        <w:rPr>
          <w:rFonts w:eastAsia="Times New Roman"/>
          <w:sz w:val="20"/>
          <w:szCs w:val="22"/>
        </w:rPr>
      </w:pPr>
      <w:r w:rsidRPr="00B7364B">
        <w:rPr>
          <w:rFonts w:eastAsia="Times New Roman"/>
          <w:sz w:val="20"/>
          <w:szCs w:val="22"/>
        </w:rPr>
        <w:t xml:space="preserve">it does not have any missing buttons or damage to other components such as charging ports, SIM tray, </w:t>
      </w:r>
    </w:p>
    <w:p w14:paraId="3F0D595A" w14:textId="77777777" w:rsidR="00E507D4" w:rsidRPr="00B7364B" w:rsidRDefault="00E507D4" w:rsidP="00E507D4">
      <w:pPr>
        <w:numPr>
          <w:ilvl w:val="8"/>
          <w:numId w:val="1"/>
        </w:numPr>
        <w:spacing w:after="200"/>
        <w:outlineLvl w:val="8"/>
        <w:rPr>
          <w:rFonts w:eastAsia="Times New Roman"/>
          <w:sz w:val="20"/>
          <w:szCs w:val="22"/>
        </w:rPr>
      </w:pPr>
      <w:r w:rsidRPr="00B7364B">
        <w:rPr>
          <w:rFonts w:eastAsia="Times New Roman"/>
          <w:sz w:val="20"/>
          <w:szCs w:val="22"/>
        </w:rPr>
        <w:t xml:space="preserve">the mobile phone (including the touchscreen) is not cracked and does not have any severe scratches (normal wear and tear such as light marks and scratches are okay); and </w:t>
      </w:r>
    </w:p>
    <w:p w14:paraId="7E29B02D" w14:textId="77777777" w:rsidR="00E507D4" w:rsidRPr="00B7364B" w:rsidRDefault="00E507D4" w:rsidP="00E507D4">
      <w:pPr>
        <w:numPr>
          <w:ilvl w:val="8"/>
          <w:numId w:val="1"/>
        </w:numPr>
        <w:spacing w:after="200"/>
        <w:outlineLvl w:val="8"/>
        <w:rPr>
          <w:rFonts w:eastAsia="Times New Roman"/>
          <w:sz w:val="20"/>
          <w:szCs w:val="22"/>
        </w:rPr>
      </w:pPr>
      <w:r w:rsidRPr="00B7364B">
        <w:rPr>
          <w:rFonts w:eastAsia="Times New Roman"/>
          <w:sz w:val="20"/>
          <w:szCs w:val="22"/>
        </w:rPr>
        <w:t xml:space="preserve">any locking features are disabled. </w:t>
      </w:r>
    </w:p>
    <w:p w14:paraId="2058B06D" w14:textId="77777777" w:rsidR="00E507D4" w:rsidRPr="00B7364B" w:rsidRDefault="00E507D4" w:rsidP="00E507D4">
      <w:pPr>
        <w:numPr>
          <w:ilvl w:val="7"/>
          <w:numId w:val="1"/>
        </w:numPr>
        <w:spacing w:after="200"/>
        <w:outlineLvl w:val="7"/>
        <w:rPr>
          <w:rFonts w:eastAsia="Times New Roman"/>
          <w:iCs/>
          <w:sz w:val="20"/>
        </w:rPr>
      </w:pPr>
      <w:r w:rsidRPr="00B7364B">
        <w:rPr>
          <w:rFonts w:eastAsia="Times New Roman"/>
          <w:iCs/>
          <w:sz w:val="20"/>
        </w:rPr>
        <w:t>The mobile phone you return in accordance with section 3.7(a) must be the mobile phone you purchased when you took up one of the plans referred to in this section.</w:t>
      </w:r>
    </w:p>
    <w:p w14:paraId="057505AA" w14:textId="77777777" w:rsidR="00E507D4" w:rsidRPr="00B7364B" w:rsidRDefault="00E507D4" w:rsidP="00E507D4">
      <w:pPr>
        <w:numPr>
          <w:ilvl w:val="7"/>
          <w:numId w:val="1"/>
        </w:numPr>
        <w:spacing w:after="200"/>
        <w:outlineLvl w:val="7"/>
        <w:rPr>
          <w:rFonts w:eastAsia="Times New Roman"/>
          <w:iCs/>
          <w:sz w:val="20"/>
        </w:rPr>
      </w:pPr>
      <w:r w:rsidRPr="00B7364B">
        <w:rPr>
          <w:rFonts w:eastAsia="Times New Roman"/>
          <w:iCs/>
          <w:sz w:val="20"/>
        </w:rPr>
        <w:t>When you seek to exercise this option and meet the relevant conditions, Optus agrees to waive any remaining mobile phone repayment charges on the mobile phone you are returning.</w:t>
      </w:r>
    </w:p>
    <w:p w14:paraId="756709D8" w14:textId="77777777" w:rsidR="00E507D4" w:rsidRPr="00B7364B" w:rsidRDefault="00E507D4" w:rsidP="00E507D4">
      <w:pPr>
        <w:numPr>
          <w:ilvl w:val="7"/>
          <w:numId w:val="1"/>
        </w:numPr>
        <w:spacing w:after="200"/>
        <w:outlineLvl w:val="7"/>
        <w:rPr>
          <w:rFonts w:eastAsia="Times New Roman"/>
          <w:iCs/>
          <w:sz w:val="20"/>
        </w:rPr>
      </w:pPr>
      <w:r w:rsidRPr="00B7364B">
        <w:rPr>
          <w:rFonts w:eastAsia="Times New Roman"/>
          <w:iCs/>
          <w:sz w:val="20"/>
        </w:rPr>
        <w:t>By exercising this option, you acknowledge that the second hand device vendor will pay Optus a fee on your behalf for the mobile phone you return in part consideration of Optus waiving your remaining mobile phone repayments on the phone you are returning.</w:t>
      </w:r>
    </w:p>
    <w:p w14:paraId="0CF1A16D" w14:textId="77777777" w:rsidR="00E507D4" w:rsidRPr="00B7364B" w:rsidRDefault="00E507D4" w:rsidP="00E507D4">
      <w:pPr>
        <w:numPr>
          <w:ilvl w:val="6"/>
          <w:numId w:val="1"/>
        </w:numPr>
        <w:spacing w:after="200"/>
        <w:ind w:left="1440"/>
        <w:outlineLvl w:val="6"/>
        <w:rPr>
          <w:rFonts w:eastAsia="Times New Roman"/>
          <w:sz w:val="20"/>
        </w:rPr>
      </w:pPr>
      <w:r w:rsidRPr="00B7364B">
        <w:rPr>
          <w:rFonts w:eastAsia="Times New Roman"/>
          <w:sz w:val="20"/>
        </w:rPr>
        <w:t>Keep existing mobile phone</w:t>
      </w:r>
    </w:p>
    <w:p w14:paraId="2CCA931D" w14:textId="77777777" w:rsidR="00E507D4" w:rsidRPr="00B7364B" w:rsidRDefault="00E507D4" w:rsidP="00E507D4">
      <w:pPr>
        <w:spacing w:after="200"/>
        <w:ind w:left="1440"/>
        <w:rPr>
          <w:sz w:val="20"/>
        </w:rPr>
      </w:pPr>
      <w:r w:rsidRPr="00B7364B">
        <w:rPr>
          <w:sz w:val="20"/>
        </w:rPr>
        <w:t>Alternatively and instead of paying $99, if you wish to keep your original mobile handset, you can simply pay out the full remaining cost of your mobile handset, including any monthly handset credit that Optus was going to cover and purchase a new mobile phone on a new 24 month plan.</w:t>
      </w:r>
    </w:p>
    <w:p w14:paraId="727A8212" w14:textId="77777777" w:rsidR="00E507D4" w:rsidRPr="00B7364B" w:rsidRDefault="00E507D4" w:rsidP="00E507D4">
      <w:pPr>
        <w:pStyle w:val="Heading6"/>
        <w:spacing w:before="240"/>
        <w:ind w:left="0" w:firstLine="0"/>
        <w:rPr>
          <w:bCs w:val="0"/>
          <w:snapToGrid w:val="0"/>
        </w:rPr>
      </w:pPr>
      <w:bookmarkStart w:id="2172" w:name="_Toc508361990"/>
      <w:r w:rsidRPr="00B7364B">
        <w:rPr>
          <w:bCs w:val="0"/>
          <w:snapToGrid w:val="0"/>
        </w:rPr>
        <w:t>Data Sharing</w:t>
      </w:r>
      <w:bookmarkEnd w:id="2172"/>
    </w:p>
    <w:p w14:paraId="60DCD1C4" w14:textId="77777777" w:rsidR="00E507D4" w:rsidRPr="00B7364B" w:rsidRDefault="00E507D4" w:rsidP="00E507D4">
      <w:pPr>
        <w:pStyle w:val="Heading7"/>
        <w:rPr>
          <w:snapToGrid w:val="0"/>
        </w:rPr>
      </w:pPr>
      <w:r w:rsidRPr="00B7364B">
        <w:rPr>
          <w:snapToGrid w:val="0"/>
        </w:rPr>
        <w:t xml:space="preserve">If </w:t>
      </w:r>
      <w:r w:rsidRPr="00B7364B">
        <w:rPr>
          <w:i/>
          <w:snapToGrid w:val="0"/>
        </w:rPr>
        <w:t xml:space="preserve">you </w:t>
      </w:r>
      <w:r w:rsidRPr="00B7364B">
        <w:rPr>
          <w:lang w:eastAsia="en-AU"/>
        </w:rPr>
        <w:t xml:space="preserve">have more than one Business Plan, </w:t>
      </w:r>
      <w:r w:rsidRPr="00B7364B">
        <w:t>My Plan Plus</w:t>
      </w:r>
      <w:r w:rsidRPr="00B7364B">
        <w:rPr>
          <w:lang w:eastAsia="en-AU"/>
        </w:rPr>
        <w:t xml:space="preserve">, My Plan Plus SIM Only, My Plan Business (including Tech Fund), My Plan Business SIM, </w:t>
      </w:r>
      <w:r w:rsidRPr="00341FA5">
        <w:rPr>
          <w:lang w:eastAsia="en-AU"/>
        </w:rPr>
        <w:t>My Plan Flex, My Plan Business Flex, Business Lease,</w:t>
      </w:r>
      <w:r>
        <w:rPr>
          <w:lang w:eastAsia="en-AU"/>
        </w:rPr>
        <w:t xml:space="preserve"> </w:t>
      </w:r>
      <w:r w:rsidRPr="00B7364B">
        <w:rPr>
          <w:lang w:eastAsia="en-AU"/>
        </w:rPr>
        <w:t>My Mobile Broadband Plus or Mobile Broadband Business on the same billing account, the included data will combine into one data pool, which will be shared by all eligible services on that account.</w:t>
      </w:r>
    </w:p>
    <w:p w14:paraId="12683555" w14:textId="77777777" w:rsidR="00E507D4" w:rsidRPr="00B7364B" w:rsidRDefault="00E507D4" w:rsidP="00E507D4">
      <w:pPr>
        <w:numPr>
          <w:ilvl w:val="6"/>
          <w:numId w:val="1"/>
        </w:numPr>
        <w:spacing w:after="200"/>
        <w:ind w:left="1440"/>
        <w:outlineLvl w:val="6"/>
        <w:rPr>
          <w:rFonts w:eastAsia="Times New Roman"/>
          <w:snapToGrid w:val="0"/>
          <w:sz w:val="20"/>
        </w:rPr>
      </w:pPr>
      <w:r w:rsidRPr="00B7364B">
        <w:rPr>
          <w:rFonts w:eastAsia="Times New Roman"/>
          <w:snapToGrid w:val="0"/>
          <w:sz w:val="20"/>
        </w:rPr>
        <w:lastRenderedPageBreak/>
        <w:t xml:space="preserve">If </w:t>
      </w:r>
      <w:r w:rsidRPr="00B7364B">
        <w:rPr>
          <w:rFonts w:eastAsia="Times New Roman"/>
          <w:i/>
          <w:snapToGrid w:val="0"/>
          <w:sz w:val="20"/>
        </w:rPr>
        <w:t>you</w:t>
      </w:r>
      <w:r w:rsidRPr="00B7364B">
        <w:rPr>
          <w:rFonts w:eastAsia="Times New Roman"/>
          <w:snapToGrid w:val="0"/>
          <w:sz w:val="20"/>
        </w:rPr>
        <w:t xml:space="preserve"> do not want </w:t>
      </w:r>
      <w:r w:rsidRPr="00B7364B">
        <w:rPr>
          <w:rFonts w:eastAsia="Times New Roman"/>
          <w:i/>
          <w:snapToGrid w:val="0"/>
          <w:sz w:val="20"/>
        </w:rPr>
        <w:t>your</w:t>
      </w:r>
      <w:r w:rsidRPr="00B7364B">
        <w:rPr>
          <w:rFonts w:eastAsia="Times New Roman"/>
          <w:snapToGrid w:val="0"/>
          <w:sz w:val="20"/>
        </w:rPr>
        <w:t xml:space="preserve"> services to share data, they need to be</w:t>
      </w:r>
      <w:r>
        <w:rPr>
          <w:rFonts w:eastAsia="Times New Roman"/>
          <w:snapToGrid w:val="0"/>
          <w:sz w:val="20"/>
        </w:rPr>
        <w:t xml:space="preserve"> on separate billing accounts. </w:t>
      </w:r>
    </w:p>
    <w:p w14:paraId="42D2AB49" w14:textId="77777777" w:rsidR="00E507D4" w:rsidRPr="00B7364B" w:rsidRDefault="00E507D4" w:rsidP="00E507D4">
      <w:pPr>
        <w:numPr>
          <w:ilvl w:val="6"/>
          <w:numId w:val="1"/>
        </w:numPr>
        <w:spacing w:after="200"/>
        <w:ind w:left="1440"/>
        <w:outlineLvl w:val="6"/>
        <w:rPr>
          <w:rFonts w:eastAsia="Times New Roman"/>
          <w:snapToGrid w:val="0"/>
          <w:sz w:val="20"/>
        </w:rPr>
      </w:pPr>
      <w:r w:rsidRPr="00B7364B">
        <w:rPr>
          <w:rFonts w:eastAsia="Times New Roman"/>
          <w:snapToGrid w:val="0"/>
          <w:sz w:val="20"/>
        </w:rPr>
        <w:t>Data sharing is only available within Australia.</w:t>
      </w:r>
    </w:p>
    <w:p w14:paraId="2701EC35" w14:textId="77777777" w:rsidR="00E507D4" w:rsidRPr="00B7364B" w:rsidRDefault="00E507D4" w:rsidP="00E507D4">
      <w:pPr>
        <w:pStyle w:val="Heading6"/>
        <w:spacing w:before="240"/>
        <w:ind w:left="0" w:firstLine="0"/>
        <w:rPr>
          <w:bCs w:val="0"/>
          <w:snapToGrid w:val="0"/>
        </w:rPr>
      </w:pPr>
      <w:bookmarkStart w:id="2173" w:name="_Toc508361991"/>
      <w:r w:rsidRPr="00B7364B">
        <w:rPr>
          <w:bCs w:val="0"/>
          <w:snapToGrid w:val="0"/>
        </w:rPr>
        <w:t>International Minutes</w:t>
      </w:r>
      <w:bookmarkEnd w:id="2173"/>
    </w:p>
    <w:p w14:paraId="0FCF7B2F" w14:textId="77777777" w:rsidR="00E507D4" w:rsidRPr="00801DBA" w:rsidRDefault="00E507D4" w:rsidP="00E507D4">
      <w:pPr>
        <w:spacing w:after="200"/>
        <w:ind w:left="720"/>
        <w:rPr>
          <w:sz w:val="20"/>
          <w:szCs w:val="20"/>
        </w:rPr>
      </w:pPr>
      <w:r w:rsidRPr="00801DBA">
        <w:rPr>
          <w:sz w:val="20"/>
          <w:szCs w:val="20"/>
        </w:rPr>
        <w:t>The Business</w:t>
      </w:r>
      <w:r>
        <w:rPr>
          <w:sz w:val="20"/>
          <w:szCs w:val="20"/>
        </w:rPr>
        <w:t xml:space="preserve"> Plans</w:t>
      </w:r>
      <w:r w:rsidRPr="00801DBA">
        <w:rPr>
          <w:sz w:val="20"/>
          <w:szCs w:val="20"/>
        </w:rPr>
        <w:t xml:space="preserve"> includes unlimited international minutes for standard calls to mobiles and fixed lines in selected countries. For a list of selected countries see Table 3 below.</w:t>
      </w:r>
    </w:p>
    <w:p w14:paraId="25B569F5" w14:textId="77777777" w:rsidR="00E507D4" w:rsidRDefault="00E507D4" w:rsidP="00E507D4">
      <w:pPr>
        <w:pStyle w:val="BodyText"/>
        <w:ind w:left="720"/>
      </w:pPr>
      <w:r w:rsidRPr="00CF4A96">
        <w:rPr>
          <w:szCs w:val="20"/>
        </w:rPr>
        <w:t>Calls to non-selected countries are charged at standard ‘yes’ international call rates</w:t>
      </w:r>
      <w:r>
        <w:rPr>
          <w:szCs w:val="20"/>
        </w:rPr>
        <w:t>.</w:t>
      </w:r>
    </w:p>
    <w:p w14:paraId="3BAE921A" w14:textId="77777777" w:rsidR="00E507D4" w:rsidRPr="00801DBA" w:rsidRDefault="00E507D4" w:rsidP="00E507D4">
      <w:pPr>
        <w:pStyle w:val="Heading6"/>
        <w:spacing w:before="240"/>
        <w:ind w:left="0" w:firstLine="0"/>
        <w:rPr>
          <w:bCs w:val="0"/>
          <w:snapToGrid w:val="0"/>
          <w:szCs w:val="20"/>
        </w:rPr>
      </w:pPr>
      <w:bookmarkStart w:id="2174" w:name="_Toc508361992"/>
      <w:r w:rsidRPr="00801DBA">
        <w:rPr>
          <w:bCs w:val="0"/>
          <w:snapToGrid w:val="0"/>
          <w:szCs w:val="20"/>
        </w:rPr>
        <w:t>Unlimited standard national SMS and MMS</w:t>
      </w:r>
      <w:bookmarkEnd w:id="2174"/>
    </w:p>
    <w:p w14:paraId="3327CED5" w14:textId="77777777" w:rsidR="00E507D4" w:rsidRPr="00801DBA" w:rsidRDefault="00E507D4" w:rsidP="00E507D4">
      <w:pPr>
        <w:spacing w:after="200"/>
        <w:ind w:left="720"/>
        <w:rPr>
          <w:sz w:val="20"/>
          <w:szCs w:val="20"/>
        </w:rPr>
      </w:pPr>
      <w:r w:rsidRPr="00801DBA">
        <w:rPr>
          <w:i/>
          <w:sz w:val="20"/>
          <w:szCs w:val="20"/>
        </w:rPr>
        <w:t>You</w:t>
      </w:r>
      <w:r w:rsidRPr="00801DBA">
        <w:rPr>
          <w:sz w:val="20"/>
          <w:szCs w:val="20"/>
        </w:rPr>
        <w:t xml:space="preserve"> may send unlimited standard SMS and MMS to Australian mobiles from within Australia.</w:t>
      </w:r>
    </w:p>
    <w:p w14:paraId="19367DA0" w14:textId="77777777" w:rsidR="00E507D4" w:rsidRPr="00801DBA" w:rsidRDefault="00E507D4" w:rsidP="00E507D4">
      <w:pPr>
        <w:spacing w:after="200"/>
        <w:ind w:left="720"/>
        <w:rPr>
          <w:i/>
          <w:color w:val="13607C"/>
          <w:sz w:val="20"/>
          <w:szCs w:val="20"/>
          <w:u w:val="single"/>
        </w:rPr>
      </w:pPr>
      <w:r w:rsidRPr="00801DBA">
        <w:rPr>
          <w:sz w:val="20"/>
          <w:szCs w:val="20"/>
        </w:rPr>
        <w:t xml:space="preserve">Unlimited standard national SMS and MMS are only available for personal and ordinary business use and are not to be used for a commercial or non-ordinary purpose as set out in the </w:t>
      </w:r>
      <w:hyperlink r:id="rId841" w:history="1">
        <w:r w:rsidRPr="00801DBA">
          <w:rPr>
            <w:rFonts w:cs="Arial"/>
            <w:i/>
            <w:color w:val="13607C"/>
            <w:sz w:val="20"/>
            <w:szCs w:val="20"/>
            <w:u w:val="single"/>
          </w:rPr>
          <w:t>Fair Go Policy</w:t>
        </w:r>
      </w:hyperlink>
      <w:r w:rsidRPr="00801DBA">
        <w:rPr>
          <w:sz w:val="20"/>
          <w:szCs w:val="20"/>
        </w:rPr>
        <w:t xml:space="preserve">. For further details refer to </w:t>
      </w:r>
      <w:hyperlink r:id="rId842" w:history="1">
        <w:r w:rsidRPr="00801DBA">
          <w:rPr>
            <w:i/>
            <w:color w:val="13607C"/>
            <w:sz w:val="20"/>
            <w:szCs w:val="20"/>
            <w:u w:val="single"/>
          </w:rPr>
          <w:t>Appendix S</w:t>
        </w:r>
      </w:hyperlink>
      <w:r w:rsidRPr="00801DBA">
        <w:rPr>
          <w:i/>
          <w:sz w:val="20"/>
          <w:szCs w:val="20"/>
        </w:rPr>
        <w:t>.</w:t>
      </w:r>
    </w:p>
    <w:p w14:paraId="5A7E1819" w14:textId="77777777" w:rsidR="00E507D4" w:rsidRPr="00801DBA" w:rsidRDefault="00E507D4" w:rsidP="00E507D4">
      <w:pPr>
        <w:pStyle w:val="Heading6"/>
        <w:spacing w:before="240"/>
        <w:ind w:left="0" w:firstLine="0"/>
        <w:rPr>
          <w:bCs w:val="0"/>
          <w:snapToGrid w:val="0"/>
          <w:szCs w:val="20"/>
        </w:rPr>
      </w:pPr>
      <w:bookmarkStart w:id="2175" w:name="_Toc508361993"/>
      <w:r w:rsidRPr="00801DBA">
        <w:rPr>
          <w:bCs w:val="0"/>
          <w:snapToGrid w:val="0"/>
          <w:szCs w:val="20"/>
        </w:rPr>
        <w:t>Unlimited standard international SMS and MMS</w:t>
      </w:r>
      <w:bookmarkEnd w:id="2175"/>
    </w:p>
    <w:p w14:paraId="326F6108" w14:textId="77777777" w:rsidR="00E507D4" w:rsidRDefault="00E507D4" w:rsidP="00E507D4">
      <w:pPr>
        <w:spacing w:after="200"/>
        <w:ind w:left="720"/>
        <w:rPr>
          <w:sz w:val="20"/>
          <w:szCs w:val="20"/>
        </w:rPr>
      </w:pPr>
      <w:r w:rsidRPr="00801DBA">
        <w:rPr>
          <w:i/>
          <w:sz w:val="20"/>
          <w:szCs w:val="20"/>
        </w:rPr>
        <w:t>You</w:t>
      </w:r>
      <w:r w:rsidRPr="00801DBA">
        <w:rPr>
          <w:sz w:val="20"/>
          <w:szCs w:val="20"/>
        </w:rPr>
        <w:t xml:space="preserve"> may send unlimited standard SMS and MMS to selected countries as set out in Table 3 below.</w:t>
      </w:r>
    </w:p>
    <w:p w14:paraId="75EA4399" w14:textId="77777777" w:rsidR="00E507D4" w:rsidRPr="00801DBA" w:rsidRDefault="00E507D4" w:rsidP="00E507D4">
      <w:pPr>
        <w:spacing w:after="200"/>
        <w:ind w:left="720"/>
        <w:rPr>
          <w:sz w:val="20"/>
          <w:szCs w:val="20"/>
        </w:rPr>
      </w:pPr>
      <w:r w:rsidRPr="002256CD">
        <w:rPr>
          <w:sz w:val="20"/>
          <w:szCs w:val="20"/>
        </w:rPr>
        <w:t>Unlimited standard SMS and MMS are only available for personal and ordinary business use and are not to be used for a commercial or non-ordinary purpose as set out in the Fair Go Policy. For further details refer to Appendix S.</w:t>
      </w:r>
    </w:p>
    <w:p w14:paraId="373040AA" w14:textId="77777777" w:rsidR="00E507D4" w:rsidRPr="007F5B4A" w:rsidRDefault="00E507D4" w:rsidP="00E507D4">
      <w:pPr>
        <w:pStyle w:val="Heading6"/>
        <w:spacing w:before="240"/>
        <w:ind w:left="0" w:firstLine="0"/>
        <w:rPr>
          <w:lang w:val="en-AU"/>
        </w:rPr>
      </w:pPr>
      <w:bookmarkStart w:id="2176" w:name="_Toc484513938"/>
      <w:bookmarkStart w:id="2177" w:name="_Toc508361994"/>
      <w:r w:rsidRPr="007F5B4A">
        <w:rPr>
          <w:lang w:val="en-AU"/>
        </w:rPr>
        <w:t>International Roaming</w:t>
      </w:r>
      <w:bookmarkEnd w:id="2176"/>
      <w:bookmarkEnd w:id="2177"/>
      <w:r w:rsidRPr="007F5B4A">
        <w:rPr>
          <w:lang w:val="en-AU"/>
        </w:rPr>
        <w:t xml:space="preserve"> </w:t>
      </w:r>
    </w:p>
    <w:p w14:paraId="512D8BCE" w14:textId="77777777" w:rsidR="00E507D4" w:rsidRPr="006A16BA" w:rsidRDefault="00E507D4" w:rsidP="00E507D4">
      <w:pPr>
        <w:pStyle w:val="ListParagraph"/>
        <w:ind w:left="709"/>
        <w:rPr>
          <w:rFonts w:ascii="Arial" w:hAnsi="Arial" w:cs="Arial"/>
        </w:rPr>
      </w:pPr>
      <w:r>
        <w:rPr>
          <w:rFonts w:ascii="Arial" w:hAnsi="Arial" w:cs="Arial"/>
        </w:rPr>
        <w:t>The $110</w:t>
      </w:r>
      <w:r w:rsidRPr="006A16BA">
        <w:rPr>
          <w:rFonts w:ascii="Arial" w:hAnsi="Arial" w:cs="Arial"/>
        </w:rPr>
        <w:t xml:space="preserve"> Business </w:t>
      </w:r>
      <w:r>
        <w:rPr>
          <w:rFonts w:ascii="Arial" w:hAnsi="Arial" w:cs="Arial"/>
        </w:rPr>
        <w:t>Plan</w:t>
      </w:r>
      <w:r w:rsidRPr="006A16BA">
        <w:rPr>
          <w:rFonts w:ascii="Arial" w:hAnsi="Arial" w:cs="Arial"/>
        </w:rPr>
        <w:t xml:space="preserve"> will receive unlimited standard national and international voice, SM</w:t>
      </w:r>
      <w:r>
        <w:rPr>
          <w:rFonts w:ascii="Arial" w:hAnsi="Arial" w:cs="Arial"/>
        </w:rPr>
        <w:t>S (MMS is excluded) plus 2GB of data</w:t>
      </w:r>
      <w:r w:rsidRPr="006A16BA">
        <w:rPr>
          <w:rFonts w:ascii="Arial" w:hAnsi="Arial" w:cs="Arial"/>
        </w:rPr>
        <w:t xml:space="preserve"> to use in Zone 1 countries within each billing month. If you are not in a Zone 1 country you will be charged at standard roaming rates for that country.</w:t>
      </w:r>
    </w:p>
    <w:p w14:paraId="5B5933B4" w14:textId="77777777" w:rsidR="00E507D4" w:rsidRPr="00CF4A96" w:rsidRDefault="00E507D4" w:rsidP="00E507D4">
      <w:pPr>
        <w:ind w:left="709"/>
        <w:rPr>
          <w:rFonts w:eastAsia="Times New Roman" w:cs="Arial"/>
          <w:sz w:val="20"/>
          <w:szCs w:val="20"/>
        </w:rPr>
      </w:pPr>
    </w:p>
    <w:p w14:paraId="08216061" w14:textId="77777777" w:rsidR="00E507D4" w:rsidRPr="00D227C8" w:rsidRDefault="00E507D4" w:rsidP="00E507D4">
      <w:pPr>
        <w:pStyle w:val="BodyText"/>
        <w:ind w:left="720"/>
        <w:rPr>
          <w:rFonts w:cs="Arial"/>
          <w:szCs w:val="20"/>
        </w:rPr>
      </w:pPr>
      <w:r w:rsidRPr="00CF4A96">
        <w:rPr>
          <w:rFonts w:eastAsia="Times New Roman" w:cs="Arial"/>
          <w:szCs w:val="20"/>
        </w:rPr>
        <w:t>If you exceed the data limit, standard data roaming charges will apply. Any data provided is not shareable and will not form part of any Data Pool. Any unused data will be forfeited and cannot be rolled over to the next billing month.</w:t>
      </w:r>
      <w:r w:rsidRPr="00CF4A96">
        <w:rPr>
          <w:rFonts w:eastAsia="Times New Roman" w:cs="Arial"/>
          <w:snapToGrid w:val="0"/>
          <w:szCs w:val="20"/>
        </w:rPr>
        <w:t xml:space="preserve"> For list of countries see optus.com.au/biztravel</w:t>
      </w:r>
    </w:p>
    <w:p w14:paraId="037B1081" w14:textId="77777777" w:rsidR="00E507D4" w:rsidRPr="00B7364B" w:rsidRDefault="00E507D4" w:rsidP="00E507D4">
      <w:pPr>
        <w:pStyle w:val="Heading6"/>
        <w:spacing w:before="240"/>
        <w:ind w:left="0" w:firstLine="0"/>
        <w:rPr>
          <w:rFonts w:cs="Arial"/>
          <w:snapToGrid w:val="0"/>
          <w:szCs w:val="20"/>
          <w:lang w:val="en-AU"/>
        </w:rPr>
      </w:pPr>
      <w:bookmarkStart w:id="2178" w:name="_Toc508361995"/>
      <w:r w:rsidRPr="00B7364B">
        <w:rPr>
          <w:rFonts w:cs="Arial"/>
          <w:snapToGrid w:val="0"/>
          <w:szCs w:val="20"/>
          <w:lang w:val="en-AU"/>
        </w:rPr>
        <w:t>Optus Travel</w:t>
      </w:r>
      <w:r w:rsidRPr="00B7364B">
        <w:rPr>
          <w:rFonts w:cs="Arial"/>
          <w:snapToGrid w:val="0"/>
          <w:szCs w:val="20"/>
          <w:vertAlign w:val="superscript"/>
          <w:lang w:val="en-AU"/>
        </w:rPr>
        <w:t xml:space="preserve">TM </w:t>
      </w:r>
      <w:r w:rsidRPr="00B7364B">
        <w:rPr>
          <w:rFonts w:cs="Arial"/>
          <w:snapToGrid w:val="0"/>
          <w:szCs w:val="20"/>
          <w:lang w:val="en-AU"/>
        </w:rPr>
        <w:t>Pack</w:t>
      </w:r>
      <w:bookmarkEnd w:id="2178"/>
      <w:r w:rsidRPr="00B7364B">
        <w:rPr>
          <w:rFonts w:cs="Arial"/>
          <w:snapToGrid w:val="0"/>
          <w:szCs w:val="20"/>
          <w:lang w:val="en-AU"/>
        </w:rPr>
        <w:t xml:space="preserve"> </w:t>
      </w:r>
    </w:p>
    <w:p w14:paraId="2334DF3C" w14:textId="77777777" w:rsidR="00E507D4" w:rsidRPr="00B7364B" w:rsidRDefault="00E507D4" w:rsidP="00E507D4">
      <w:pPr>
        <w:ind w:left="709"/>
        <w:rPr>
          <w:rFonts w:cs="Arial"/>
          <w:snapToGrid w:val="0"/>
          <w:sz w:val="20"/>
          <w:szCs w:val="20"/>
        </w:rPr>
      </w:pPr>
      <w:r w:rsidRPr="00F2653C">
        <w:rPr>
          <w:rFonts w:cs="Arial"/>
          <w:i/>
          <w:snapToGrid w:val="0"/>
          <w:sz w:val="20"/>
          <w:szCs w:val="20"/>
        </w:rPr>
        <w:t>The $</w:t>
      </w:r>
      <w:r>
        <w:rPr>
          <w:rFonts w:cs="Arial"/>
          <w:i/>
          <w:snapToGrid w:val="0"/>
          <w:sz w:val="20"/>
          <w:szCs w:val="20"/>
        </w:rPr>
        <w:t>85 Business Plan</w:t>
      </w:r>
      <w:r w:rsidRPr="00F2653C">
        <w:rPr>
          <w:rFonts w:cs="Arial"/>
          <w:i/>
          <w:snapToGrid w:val="0"/>
          <w:sz w:val="20"/>
          <w:szCs w:val="20"/>
        </w:rPr>
        <w:t xml:space="preserve"> can take up the Optus TravelTM Pack for $5 per day</w:t>
      </w:r>
      <w:r>
        <w:rPr>
          <w:rFonts w:cs="Arial"/>
          <w:i/>
          <w:snapToGrid w:val="0"/>
          <w:sz w:val="20"/>
          <w:szCs w:val="20"/>
        </w:rPr>
        <w:t>.</w:t>
      </w:r>
      <w:r w:rsidRPr="00F2653C">
        <w:rPr>
          <w:rFonts w:cs="Arial"/>
          <w:i/>
          <w:snapToGrid w:val="0"/>
          <w:sz w:val="20"/>
          <w:szCs w:val="20"/>
        </w:rPr>
        <w:t xml:space="preserve"> </w:t>
      </w:r>
      <w:r w:rsidRPr="00B7364B">
        <w:rPr>
          <w:rFonts w:cs="Arial"/>
          <w:i/>
          <w:snapToGrid w:val="0"/>
          <w:sz w:val="20"/>
          <w:szCs w:val="20"/>
        </w:rPr>
        <w:t>You</w:t>
      </w:r>
      <w:r w:rsidRPr="00B7364B">
        <w:rPr>
          <w:rFonts w:cs="Arial"/>
          <w:snapToGrid w:val="0"/>
          <w:sz w:val="20"/>
          <w:szCs w:val="20"/>
        </w:rPr>
        <w:t xml:space="preserve"> need to ensure your Optus Travel</w:t>
      </w:r>
      <w:r w:rsidRPr="00B7364B">
        <w:rPr>
          <w:rFonts w:cs="Arial"/>
          <w:snapToGrid w:val="0"/>
          <w:sz w:val="20"/>
          <w:szCs w:val="20"/>
          <w:vertAlign w:val="superscript"/>
        </w:rPr>
        <w:t>TM</w:t>
      </w:r>
      <w:r w:rsidRPr="00B7364B">
        <w:rPr>
          <w:rFonts w:cs="Arial"/>
          <w:snapToGrid w:val="0"/>
          <w:sz w:val="20"/>
          <w:szCs w:val="20"/>
        </w:rPr>
        <w:t xml:space="preserve"> Pack is active by contacting Optus prior to use. Optus Travel</w:t>
      </w:r>
      <w:r w:rsidRPr="00B7364B">
        <w:rPr>
          <w:rFonts w:cs="Arial"/>
          <w:snapToGrid w:val="0"/>
          <w:sz w:val="20"/>
          <w:szCs w:val="20"/>
          <w:vertAlign w:val="superscript"/>
        </w:rPr>
        <w:t>TM</w:t>
      </w:r>
      <w:r w:rsidRPr="00B7364B">
        <w:rPr>
          <w:rFonts w:cs="Arial"/>
          <w:snapToGrid w:val="0"/>
          <w:sz w:val="20"/>
          <w:szCs w:val="20"/>
        </w:rPr>
        <w:t xml:space="preserve"> Pack gives you unlimited standard national and international voice, SMS (MMS is excluded) plu</w:t>
      </w:r>
      <w:r>
        <w:rPr>
          <w:rFonts w:cs="Arial"/>
          <w:snapToGrid w:val="0"/>
          <w:sz w:val="20"/>
          <w:szCs w:val="20"/>
        </w:rPr>
        <w:t>s 10</w:t>
      </w:r>
      <w:r w:rsidRPr="00B7364B">
        <w:rPr>
          <w:rFonts w:cs="Arial"/>
          <w:snapToGrid w:val="0"/>
          <w:sz w:val="20"/>
          <w:szCs w:val="20"/>
        </w:rPr>
        <w:t>0MB of data to use in Zone 1 countries per day. For list of countries see optus.com.au/travel</w:t>
      </w:r>
      <w:r w:rsidRPr="00B7364B">
        <w:rPr>
          <w:rFonts w:cs="Arial"/>
          <w:snapToGrid w:val="0"/>
          <w:sz w:val="20"/>
          <w:szCs w:val="20"/>
        </w:rPr>
        <w:br/>
      </w:r>
    </w:p>
    <w:p w14:paraId="3E64C761" w14:textId="77777777" w:rsidR="00E507D4" w:rsidRDefault="00E507D4" w:rsidP="00E507D4">
      <w:pPr>
        <w:tabs>
          <w:tab w:val="left" w:pos="567"/>
          <w:tab w:val="left" w:pos="709"/>
          <w:tab w:val="left" w:pos="1701"/>
        </w:tabs>
        <w:spacing w:before="120" w:after="240"/>
        <w:ind w:left="709"/>
        <w:rPr>
          <w:rFonts w:cs="Arial"/>
          <w:snapToGrid w:val="0"/>
          <w:sz w:val="20"/>
          <w:szCs w:val="20"/>
        </w:rPr>
      </w:pPr>
      <w:r w:rsidRPr="00B7364B">
        <w:rPr>
          <w:rFonts w:cs="Arial"/>
          <w:i/>
          <w:snapToGrid w:val="0"/>
          <w:sz w:val="20"/>
          <w:szCs w:val="20"/>
        </w:rPr>
        <w:t>You</w:t>
      </w:r>
      <w:r w:rsidRPr="00B7364B">
        <w:rPr>
          <w:rFonts w:cs="Arial"/>
          <w:snapToGrid w:val="0"/>
          <w:sz w:val="20"/>
          <w:szCs w:val="20"/>
        </w:rPr>
        <w:t xml:space="preserve"> can activate the Optus Travel</w:t>
      </w:r>
      <w:r w:rsidRPr="00B7364B">
        <w:rPr>
          <w:rFonts w:cs="Arial"/>
          <w:snapToGrid w:val="0"/>
          <w:sz w:val="20"/>
          <w:szCs w:val="20"/>
          <w:vertAlign w:val="superscript"/>
        </w:rPr>
        <w:t>TM</w:t>
      </w:r>
      <w:r w:rsidRPr="00B7364B">
        <w:rPr>
          <w:rFonts w:cs="Arial"/>
          <w:snapToGrid w:val="0"/>
          <w:sz w:val="20"/>
          <w:szCs w:val="20"/>
        </w:rPr>
        <w:t xml:space="preserve"> Pack on a day to day basis or multiple days at once. If you activate multiple consecutive days, the data allowance will accumulate, for example </w:t>
      </w:r>
      <w:r w:rsidRPr="00B7364B">
        <w:rPr>
          <w:rFonts w:cs="Arial"/>
          <w:bCs/>
          <w:snapToGrid w:val="0"/>
          <w:sz w:val="20"/>
          <w:szCs w:val="20"/>
        </w:rPr>
        <w:t>activate 5 c</w:t>
      </w:r>
      <w:r>
        <w:rPr>
          <w:rFonts w:cs="Arial"/>
          <w:bCs/>
          <w:snapToGrid w:val="0"/>
          <w:sz w:val="20"/>
          <w:szCs w:val="20"/>
        </w:rPr>
        <w:t>onsecutive days and use up to 50</w:t>
      </w:r>
      <w:r w:rsidRPr="00B7364B">
        <w:rPr>
          <w:rFonts w:cs="Arial"/>
          <w:bCs/>
          <w:snapToGrid w:val="0"/>
          <w:sz w:val="20"/>
          <w:szCs w:val="20"/>
        </w:rPr>
        <w:t>0MB any time over the 5 day period. If you exceed the data limit, standard data roaming charges will apply. Any data provided as part of Optus Travel™ Pack is not shareable and will not form part of any Data Pool. Any unused days of Optus Travel™ Pack are forfeited and cannot be rolled over to the next billing month.</w:t>
      </w:r>
    </w:p>
    <w:p w14:paraId="3B41B220" w14:textId="77777777" w:rsidR="00E507D4" w:rsidRPr="00B7364B" w:rsidRDefault="00E507D4" w:rsidP="00E507D4">
      <w:pPr>
        <w:tabs>
          <w:tab w:val="left" w:pos="567"/>
          <w:tab w:val="left" w:pos="709"/>
          <w:tab w:val="left" w:pos="1701"/>
        </w:tabs>
        <w:spacing w:before="120" w:after="240"/>
        <w:ind w:left="709"/>
        <w:rPr>
          <w:rFonts w:cs="Arial"/>
          <w:snapToGrid w:val="0"/>
          <w:sz w:val="20"/>
          <w:szCs w:val="20"/>
        </w:rPr>
      </w:pPr>
      <w:r w:rsidRPr="00B7364B">
        <w:rPr>
          <w:rFonts w:cs="Arial"/>
          <w:snapToGrid w:val="0"/>
          <w:sz w:val="20"/>
          <w:szCs w:val="20"/>
        </w:rPr>
        <w:t>I</w:t>
      </w:r>
      <w:r w:rsidRPr="00B7364B">
        <w:rPr>
          <w:rFonts w:cs="Arial"/>
          <w:bCs/>
          <w:snapToGrid w:val="0"/>
          <w:sz w:val="20"/>
          <w:szCs w:val="20"/>
        </w:rPr>
        <w:t>f you are not in a selected Zone 1 country you will be charged at standard roaming rates for that country.</w:t>
      </w:r>
    </w:p>
    <w:p w14:paraId="625B3FF4" w14:textId="77777777" w:rsidR="00E507D4" w:rsidRPr="00B7364B" w:rsidRDefault="00E507D4" w:rsidP="00E507D4">
      <w:pPr>
        <w:spacing w:after="200"/>
        <w:ind w:left="720"/>
        <w:rPr>
          <w:b/>
          <w:sz w:val="20"/>
        </w:rPr>
      </w:pPr>
      <w:r w:rsidRPr="00B7364B">
        <w:rPr>
          <w:b/>
          <w:sz w:val="20"/>
        </w:rPr>
        <w:t>Table 1 –Plan Inclusions and Charges</w:t>
      </w:r>
    </w:p>
    <w:tbl>
      <w:tblPr>
        <w:tblW w:w="4146"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3"/>
        <w:gridCol w:w="2357"/>
        <w:gridCol w:w="2218"/>
      </w:tblGrid>
      <w:tr w:rsidR="00E507D4" w:rsidRPr="00B7364B" w14:paraId="202AEA8C" w14:textId="77777777" w:rsidTr="00B95821">
        <w:trPr>
          <w:tblHeader/>
        </w:trPr>
        <w:tc>
          <w:tcPr>
            <w:tcW w:w="2292" w:type="pct"/>
            <w:shd w:val="clear" w:color="auto" w:fill="auto"/>
          </w:tcPr>
          <w:p w14:paraId="61B154AC" w14:textId="77777777" w:rsidR="00E507D4" w:rsidRPr="00B7364B" w:rsidRDefault="00E507D4" w:rsidP="00B95821">
            <w:pPr>
              <w:spacing w:before="100" w:after="100"/>
              <w:rPr>
                <w:sz w:val="20"/>
                <w:szCs w:val="20"/>
              </w:rPr>
            </w:pPr>
          </w:p>
        </w:tc>
        <w:tc>
          <w:tcPr>
            <w:tcW w:w="1395" w:type="pct"/>
            <w:shd w:val="clear" w:color="auto" w:fill="auto"/>
          </w:tcPr>
          <w:p w14:paraId="6B0A2CF0" w14:textId="77777777" w:rsidR="00E507D4" w:rsidRPr="00B7364B" w:rsidRDefault="00E507D4" w:rsidP="00B95821">
            <w:pPr>
              <w:spacing w:before="100" w:after="100"/>
              <w:jc w:val="center"/>
              <w:rPr>
                <w:b/>
                <w:sz w:val="20"/>
                <w:szCs w:val="20"/>
              </w:rPr>
            </w:pPr>
            <w:r>
              <w:rPr>
                <w:b/>
                <w:sz w:val="20"/>
                <w:szCs w:val="20"/>
              </w:rPr>
              <w:t>$85</w:t>
            </w:r>
            <w:r w:rsidRPr="00B7364B">
              <w:rPr>
                <w:b/>
                <w:sz w:val="20"/>
                <w:szCs w:val="20"/>
              </w:rPr>
              <w:t xml:space="preserve"> Business Plan</w:t>
            </w:r>
          </w:p>
        </w:tc>
        <w:tc>
          <w:tcPr>
            <w:tcW w:w="1313" w:type="pct"/>
          </w:tcPr>
          <w:p w14:paraId="006AE6F5" w14:textId="77777777" w:rsidR="00E507D4" w:rsidRPr="00B7364B" w:rsidRDefault="00E507D4" w:rsidP="00B95821">
            <w:pPr>
              <w:spacing w:before="100" w:after="100"/>
              <w:jc w:val="center"/>
              <w:rPr>
                <w:b/>
                <w:sz w:val="20"/>
                <w:szCs w:val="20"/>
              </w:rPr>
            </w:pPr>
            <w:r>
              <w:rPr>
                <w:b/>
                <w:sz w:val="20"/>
                <w:szCs w:val="20"/>
              </w:rPr>
              <w:t>$110</w:t>
            </w:r>
            <w:r w:rsidRPr="00B7364B">
              <w:rPr>
                <w:b/>
                <w:sz w:val="20"/>
                <w:szCs w:val="20"/>
              </w:rPr>
              <w:t xml:space="preserve"> Business Plan</w:t>
            </w:r>
          </w:p>
        </w:tc>
      </w:tr>
      <w:tr w:rsidR="00E507D4" w:rsidRPr="00B7364B" w14:paraId="509EABBC" w14:textId="77777777" w:rsidTr="00B95821">
        <w:tc>
          <w:tcPr>
            <w:tcW w:w="2292" w:type="pct"/>
            <w:shd w:val="clear" w:color="auto" w:fill="auto"/>
          </w:tcPr>
          <w:p w14:paraId="2974B06A" w14:textId="77777777" w:rsidR="00E507D4" w:rsidRPr="00B7364B" w:rsidRDefault="00E507D4" w:rsidP="00B95821">
            <w:pPr>
              <w:spacing w:before="100" w:after="100"/>
              <w:rPr>
                <w:sz w:val="20"/>
                <w:szCs w:val="20"/>
              </w:rPr>
            </w:pPr>
            <w:r w:rsidRPr="00B7364B">
              <w:rPr>
                <w:b/>
                <w:bCs/>
                <w:sz w:val="20"/>
                <w:szCs w:val="20"/>
              </w:rPr>
              <w:t>Minimum Monthly charge</w:t>
            </w:r>
          </w:p>
        </w:tc>
        <w:tc>
          <w:tcPr>
            <w:tcW w:w="1395" w:type="pct"/>
            <w:shd w:val="clear" w:color="auto" w:fill="auto"/>
            <w:vAlign w:val="center"/>
          </w:tcPr>
          <w:p w14:paraId="7CA09048" w14:textId="77777777" w:rsidR="00E507D4" w:rsidRPr="00B7364B" w:rsidRDefault="00E507D4" w:rsidP="00B95821">
            <w:pPr>
              <w:spacing w:before="100" w:after="100"/>
              <w:jc w:val="center"/>
              <w:rPr>
                <w:sz w:val="20"/>
                <w:szCs w:val="20"/>
              </w:rPr>
            </w:pPr>
            <w:r>
              <w:rPr>
                <w:sz w:val="20"/>
                <w:szCs w:val="20"/>
              </w:rPr>
              <w:t>$85</w:t>
            </w:r>
          </w:p>
        </w:tc>
        <w:tc>
          <w:tcPr>
            <w:tcW w:w="1313" w:type="pct"/>
            <w:vAlign w:val="center"/>
          </w:tcPr>
          <w:p w14:paraId="36CC2470" w14:textId="77777777" w:rsidR="00E507D4" w:rsidRPr="00B7364B" w:rsidRDefault="00E507D4" w:rsidP="00B95821">
            <w:pPr>
              <w:spacing w:before="100" w:after="100"/>
              <w:jc w:val="center"/>
              <w:rPr>
                <w:sz w:val="20"/>
                <w:szCs w:val="20"/>
              </w:rPr>
            </w:pPr>
            <w:r>
              <w:rPr>
                <w:sz w:val="20"/>
                <w:szCs w:val="20"/>
              </w:rPr>
              <w:t>$110</w:t>
            </w:r>
          </w:p>
        </w:tc>
      </w:tr>
      <w:tr w:rsidR="00E507D4" w:rsidRPr="00B7364B" w14:paraId="4F415EA6" w14:textId="77777777" w:rsidTr="00B95821">
        <w:tc>
          <w:tcPr>
            <w:tcW w:w="2292" w:type="pct"/>
            <w:shd w:val="clear" w:color="auto" w:fill="auto"/>
          </w:tcPr>
          <w:p w14:paraId="722F3D56" w14:textId="77777777" w:rsidR="00E507D4" w:rsidRPr="00B7364B" w:rsidRDefault="00E507D4" w:rsidP="00B95821">
            <w:pPr>
              <w:spacing w:before="100" w:after="100"/>
              <w:rPr>
                <w:sz w:val="20"/>
                <w:szCs w:val="20"/>
              </w:rPr>
            </w:pPr>
            <w:r w:rsidRPr="00B7364B">
              <w:rPr>
                <w:b/>
                <w:bCs/>
                <w:sz w:val="20"/>
                <w:szCs w:val="20"/>
              </w:rPr>
              <w:t>Included Data</w:t>
            </w:r>
          </w:p>
        </w:tc>
        <w:tc>
          <w:tcPr>
            <w:tcW w:w="1395" w:type="pct"/>
            <w:shd w:val="clear" w:color="auto" w:fill="auto"/>
            <w:vAlign w:val="center"/>
          </w:tcPr>
          <w:p w14:paraId="1950F79E" w14:textId="77777777" w:rsidR="00E507D4" w:rsidRPr="00B7364B" w:rsidRDefault="00E507D4" w:rsidP="00B95821">
            <w:pPr>
              <w:spacing w:before="100" w:after="100"/>
              <w:jc w:val="center"/>
              <w:rPr>
                <w:sz w:val="20"/>
                <w:szCs w:val="20"/>
              </w:rPr>
            </w:pPr>
            <w:r>
              <w:rPr>
                <w:sz w:val="20"/>
                <w:szCs w:val="20"/>
              </w:rPr>
              <w:t>50</w:t>
            </w:r>
            <w:r w:rsidRPr="00B7364B">
              <w:rPr>
                <w:sz w:val="20"/>
                <w:szCs w:val="20"/>
              </w:rPr>
              <w:t>GB</w:t>
            </w:r>
          </w:p>
        </w:tc>
        <w:tc>
          <w:tcPr>
            <w:tcW w:w="1313" w:type="pct"/>
            <w:vAlign w:val="center"/>
          </w:tcPr>
          <w:p w14:paraId="5238271D" w14:textId="77777777" w:rsidR="00E507D4" w:rsidRPr="00B7364B" w:rsidRDefault="00E507D4" w:rsidP="00B95821">
            <w:pPr>
              <w:spacing w:before="100" w:after="100"/>
              <w:jc w:val="center"/>
              <w:rPr>
                <w:sz w:val="20"/>
                <w:szCs w:val="20"/>
              </w:rPr>
            </w:pPr>
            <w:r>
              <w:rPr>
                <w:sz w:val="20"/>
                <w:szCs w:val="20"/>
              </w:rPr>
              <w:t>50</w:t>
            </w:r>
            <w:r w:rsidRPr="00B7364B">
              <w:rPr>
                <w:sz w:val="20"/>
                <w:szCs w:val="20"/>
              </w:rPr>
              <w:t>GB</w:t>
            </w:r>
          </w:p>
        </w:tc>
      </w:tr>
      <w:tr w:rsidR="00E507D4" w:rsidRPr="00B7364B" w14:paraId="219861ED" w14:textId="77777777" w:rsidTr="00B95821">
        <w:tc>
          <w:tcPr>
            <w:tcW w:w="2292" w:type="pct"/>
            <w:shd w:val="clear" w:color="auto" w:fill="auto"/>
          </w:tcPr>
          <w:p w14:paraId="19D8DB5A" w14:textId="77777777" w:rsidR="00E507D4" w:rsidRPr="00B7364B" w:rsidRDefault="00E507D4" w:rsidP="00B95821">
            <w:pPr>
              <w:spacing w:before="100" w:after="100"/>
              <w:rPr>
                <w:b/>
                <w:bCs/>
                <w:sz w:val="20"/>
                <w:szCs w:val="20"/>
              </w:rPr>
            </w:pPr>
            <w:r w:rsidRPr="00B7364B">
              <w:rPr>
                <w:b/>
                <w:bCs/>
                <w:sz w:val="20"/>
                <w:szCs w:val="20"/>
              </w:rPr>
              <w:lastRenderedPageBreak/>
              <w:t>Additional Data</w:t>
            </w:r>
          </w:p>
        </w:tc>
        <w:tc>
          <w:tcPr>
            <w:tcW w:w="2708" w:type="pct"/>
            <w:gridSpan w:val="2"/>
            <w:vAlign w:val="center"/>
          </w:tcPr>
          <w:p w14:paraId="2F63C564" w14:textId="77777777" w:rsidR="00E507D4" w:rsidRPr="00B7364B" w:rsidRDefault="00E507D4" w:rsidP="00B95821">
            <w:pPr>
              <w:spacing w:before="100" w:after="100"/>
              <w:jc w:val="center"/>
              <w:rPr>
                <w:sz w:val="20"/>
                <w:szCs w:val="20"/>
              </w:rPr>
            </w:pPr>
            <w:r w:rsidRPr="00B7364B">
              <w:rPr>
                <w:sz w:val="20"/>
                <w:szCs w:val="20"/>
              </w:rPr>
              <w:t>Additional data $10 per 1GB</w:t>
            </w:r>
          </w:p>
        </w:tc>
      </w:tr>
      <w:tr w:rsidR="00E507D4" w:rsidRPr="00B7364B" w14:paraId="122AD1D9" w14:textId="77777777" w:rsidTr="00B95821">
        <w:tc>
          <w:tcPr>
            <w:tcW w:w="2292" w:type="pct"/>
            <w:shd w:val="clear" w:color="auto" w:fill="auto"/>
          </w:tcPr>
          <w:p w14:paraId="6DF17758" w14:textId="77777777" w:rsidR="00E507D4" w:rsidRPr="00B7364B" w:rsidRDefault="00E507D4" w:rsidP="00B95821">
            <w:pPr>
              <w:spacing w:before="100" w:after="100"/>
              <w:rPr>
                <w:sz w:val="20"/>
                <w:szCs w:val="20"/>
              </w:rPr>
            </w:pPr>
            <w:r w:rsidRPr="00B7364B">
              <w:rPr>
                <w:b/>
                <w:bCs/>
                <w:sz w:val="20"/>
                <w:szCs w:val="20"/>
              </w:rPr>
              <w:t xml:space="preserve">Included Minutes </w:t>
            </w:r>
            <w:r w:rsidRPr="00B7364B">
              <w:rPr>
                <w:sz w:val="20"/>
                <w:szCs w:val="20"/>
              </w:rPr>
              <w:t>for standard national calls to landlines and mobiles, 1300 numbers and voicemail, within Australia</w:t>
            </w:r>
          </w:p>
        </w:tc>
        <w:tc>
          <w:tcPr>
            <w:tcW w:w="1395" w:type="pct"/>
            <w:shd w:val="clear" w:color="auto" w:fill="auto"/>
            <w:vAlign w:val="center"/>
          </w:tcPr>
          <w:p w14:paraId="637C584A" w14:textId="77777777" w:rsidR="00E507D4" w:rsidRPr="00B7364B" w:rsidRDefault="00E507D4" w:rsidP="00B95821">
            <w:pPr>
              <w:spacing w:before="100" w:after="100"/>
              <w:jc w:val="center"/>
              <w:rPr>
                <w:sz w:val="20"/>
                <w:szCs w:val="20"/>
              </w:rPr>
            </w:pPr>
            <w:r w:rsidRPr="00B7364B">
              <w:rPr>
                <w:sz w:val="20"/>
                <w:szCs w:val="20"/>
              </w:rPr>
              <w:t>Unlimited</w:t>
            </w:r>
          </w:p>
        </w:tc>
        <w:tc>
          <w:tcPr>
            <w:tcW w:w="1313" w:type="pct"/>
            <w:vAlign w:val="center"/>
          </w:tcPr>
          <w:p w14:paraId="3453E953" w14:textId="77777777" w:rsidR="00E507D4" w:rsidRPr="00B7364B" w:rsidRDefault="00E507D4" w:rsidP="00B95821">
            <w:pPr>
              <w:spacing w:before="100" w:after="100"/>
              <w:jc w:val="center"/>
              <w:rPr>
                <w:sz w:val="20"/>
                <w:szCs w:val="20"/>
              </w:rPr>
            </w:pPr>
            <w:r w:rsidRPr="00B7364B">
              <w:rPr>
                <w:sz w:val="20"/>
                <w:szCs w:val="20"/>
              </w:rPr>
              <w:t>Unlimited</w:t>
            </w:r>
          </w:p>
        </w:tc>
      </w:tr>
      <w:tr w:rsidR="00E507D4" w:rsidRPr="00B7364B" w14:paraId="21DE1F0D" w14:textId="77777777" w:rsidTr="00B95821">
        <w:tc>
          <w:tcPr>
            <w:tcW w:w="2292" w:type="pct"/>
            <w:shd w:val="clear" w:color="auto" w:fill="auto"/>
          </w:tcPr>
          <w:p w14:paraId="0FC12A42" w14:textId="77777777" w:rsidR="00E507D4" w:rsidRPr="00B7364B" w:rsidRDefault="00E507D4" w:rsidP="00B95821">
            <w:pPr>
              <w:spacing w:before="100" w:after="100"/>
              <w:rPr>
                <w:b/>
                <w:bCs/>
                <w:sz w:val="20"/>
                <w:szCs w:val="20"/>
              </w:rPr>
            </w:pPr>
            <w:r w:rsidRPr="00B7364B">
              <w:rPr>
                <w:b/>
                <w:bCs/>
                <w:sz w:val="20"/>
                <w:szCs w:val="20"/>
              </w:rPr>
              <w:t>Included International Minutes</w:t>
            </w:r>
          </w:p>
          <w:p w14:paraId="007ED0D7" w14:textId="77777777" w:rsidR="00E507D4" w:rsidRPr="00B7364B" w:rsidRDefault="00E507D4" w:rsidP="00B95821">
            <w:pPr>
              <w:spacing w:before="100" w:after="100"/>
              <w:rPr>
                <w:b/>
                <w:bCs/>
                <w:sz w:val="20"/>
                <w:szCs w:val="20"/>
              </w:rPr>
            </w:pPr>
            <w:r w:rsidRPr="00B7364B">
              <w:rPr>
                <w:sz w:val="20"/>
                <w:szCs w:val="20"/>
              </w:rPr>
              <w:t xml:space="preserve">Standard international calls to landlines and mobiles to selected countries </w:t>
            </w:r>
          </w:p>
        </w:tc>
        <w:tc>
          <w:tcPr>
            <w:tcW w:w="1395" w:type="pct"/>
            <w:shd w:val="clear" w:color="auto" w:fill="auto"/>
            <w:vAlign w:val="center"/>
          </w:tcPr>
          <w:p w14:paraId="1C1E77B0" w14:textId="77777777" w:rsidR="00E507D4" w:rsidRPr="00B7364B" w:rsidRDefault="00E507D4" w:rsidP="00B95821">
            <w:pPr>
              <w:spacing w:before="100" w:after="100"/>
              <w:jc w:val="center"/>
              <w:rPr>
                <w:sz w:val="20"/>
                <w:szCs w:val="20"/>
              </w:rPr>
            </w:pPr>
            <w:r w:rsidRPr="00B7364B">
              <w:rPr>
                <w:bCs/>
                <w:sz w:val="20"/>
                <w:szCs w:val="20"/>
              </w:rPr>
              <w:t>Unlimited</w:t>
            </w:r>
          </w:p>
        </w:tc>
        <w:tc>
          <w:tcPr>
            <w:tcW w:w="1313" w:type="pct"/>
            <w:vAlign w:val="center"/>
          </w:tcPr>
          <w:p w14:paraId="57E25B87" w14:textId="77777777" w:rsidR="00E507D4" w:rsidRPr="00B7364B" w:rsidRDefault="00E507D4" w:rsidP="00B95821">
            <w:pPr>
              <w:spacing w:before="100" w:after="100"/>
              <w:jc w:val="center"/>
              <w:rPr>
                <w:bCs/>
                <w:sz w:val="20"/>
                <w:szCs w:val="20"/>
              </w:rPr>
            </w:pPr>
            <w:r w:rsidRPr="00B7364B">
              <w:rPr>
                <w:bCs/>
                <w:sz w:val="20"/>
                <w:szCs w:val="20"/>
              </w:rPr>
              <w:t>Unlimited</w:t>
            </w:r>
          </w:p>
        </w:tc>
      </w:tr>
      <w:tr w:rsidR="00E507D4" w:rsidRPr="00B7364B" w14:paraId="5A7F6D01" w14:textId="77777777" w:rsidTr="00B95821">
        <w:tc>
          <w:tcPr>
            <w:tcW w:w="2292" w:type="pct"/>
            <w:shd w:val="clear" w:color="auto" w:fill="auto"/>
          </w:tcPr>
          <w:p w14:paraId="6159FF27" w14:textId="77777777" w:rsidR="00E507D4" w:rsidRPr="00B7364B" w:rsidRDefault="00E507D4" w:rsidP="00B95821">
            <w:pPr>
              <w:spacing w:before="100" w:after="100"/>
              <w:rPr>
                <w:sz w:val="20"/>
                <w:szCs w:val="20"/>
              </w:rPr>
            </w:pPr>
            <w:r w:rsidRPr="00B7364B">
              <w:rPr>
                <w:b/>
                <w:bCs/>
                <w:sz w:val="20"/>
                <w:szCs w:val="20"/>
              </w:rPr>
              <w:t xml:space="preserve">Standard national SMS </w:t>
            </w:r>
            <w:r w:rsidRPr="00B7364B">
              <w:rPr>
                <w:sz w:val="20"/>
                <w:szCs w:val="20"/>
              </w:rPr>
              <w:t>(per SMS of up to 160 standard characters)</w:t>
            </w:r>
          </w:p>
        </w:tc>
        <w:tc>
          <w:tcPr>
            <w:tcW w:w="1395" w:type="pct"/>
            <w:shd w:val="clear" w:color="auto" w:fill="auto"/>
            <w:vAlign w:val="center"/>
          </w:tcPr>
          <w:p w14:paraId="549E554E" w14:textId="77777777" w:rsidR="00E507D4" w:rsidRPr="00B7364B" w:rsidRDefault="00E507D4" w:rsidP="00B95821">
            <w:pPr>
              <w:spacing w:before="100" w:after="100"/>
              <w:jc w:val="center"/>
              <w:rPr>
                <w:sz w:val="20"/>
                <w:szCs w:val="20"/>
              </w:rPr>
            </w:pPr>
            <w:r w:rsidRPr="00B7364B">
              <w:rPr>
                <w:sz w:val="20"/>
                <w:szCs w:val="20"/>
              </w:rPr>
              <w:t>Unlimited</w:t>
            </w:r>
          </w:p>
        </w:tc>
        <w:tc>
          <w:tcPr>
            <w:tcW w:w="1313" w:type="pct"/>
            <w:vAlign w:val="center"/>
          </w:tcPr>
          <w:p w14:paraId="593B7EE1" w14:textId="77777777" w:rsidR="00E507D4" w:rsidRPr="00B7364B" w:rsidRDefault="00E507D4" w:rsidP="00B95821">
            <w:pPr>
              <w:spacing w:before="100" w:after="100"/>
              <w:jc w:val="center"/>
              <w:rPr>
                <w:sz w:val="20"/>
                <w:szCs w:val="20"/>
              </w:rPr>
            </w:pPr>
            <w:r w:rsidRPr="00B7364B">
              <w:rPr>
                <w:sz w:val="20"/>
                <w:szCs w:val="20"/>
              </w:rPr>
              <w:t>Unlimited</w:t>
            </w:r>
          </w:p>
        </w:tc>
      </w:tr>
      <w:tr w:rsidR="00E507D4" w:rsidRPr="00B7364B" w14:paraId="42B7F60F" w14:textId="77777777" w:rsidTr="00B95821">
        <w:tc>
          <w:tcPr>
            <w:tcW w:w="2292" w:type="pct"/>
            <w:shd w:val="clear" w:color="auto" w:fill="auto"/>
          </w:tcPr>
          <w:p w14:paraId="6585B573" w14:textId="77777777" w:rsidR="00E507D4" w:rsidRPr="00B7364B" w:rsidRDefault="00E507D4" w:rsidP="00B95821">
            <w:pPr>
              <w:keepNext/>
              <w:keepLines/>
              <w:spacing w:before="100" w:after="100"/>
              <w:rPr>
                <w:b/>
                <w:bCs/>
                <w:sz w:val="20"/>
                <w:szCs w:val="20"/>
              </w:rPr>
            </w:pPr>
            <w:r w:rsidRPr="00B7364B">
              <w:rPr>
                <w:b/>
                <w:bCs/>
                <w:sz w:val="20"/>
                <w:szCs w:val="20"/>
              </w:rPr>
              <w:t xml:space="preserve">Standard national MMS </w:t>
            </w:r>
            <w:r w:rsidRPr="00B7364B">
              <w:rPr>
                <w:sz w:val="20"/>
                <w:szCs w:val="20"/>
              </w:rPr>
              <w:t>(per message)</w:t>
            </w:r>
          </w:p>
        </w:tc>
        <w:tc>
          <w:tcPr>
            <w:tcW w:w="1395" w:type="pct"/>
            <w:shd w:val="clear" w:color="auto" w:fill="auto"/>
            <w:vAlign w:val="center"/>
          </w:tcPr>
          <w:p w14:paraId="558EE0CE" w14:textId="77777777" w:rsidR="00E507D4" w:rsidRPr="00B7364B" w:rsidRDefault="00E507D4" w:rsidP="00B95821">
            <w:pPr>
              <w:keepNext/>
              <w:keepLines/>
              <w:spacing w:before="100" w:after="100"/>
              <w:jc w:val="center"/>
              <w:rPr>
                <w:sz w:val="20"/>
                <w:szCs w:val="20"/>
              </w:rPr>
            </w:pPr>
            <w:r w:rsidRPr="00B7364B">
              <w:rPr>
                <w:sz w:val="20"/>
                <w:szCs w:val="20"/>
              </w:rPr>
              <w:t>Unlimited</w:t>
            </w:r>
          </w:p>
        </w:tc>
        <w:tc>
          <w:tcPr>
            <w:tcW w:w="1313" w:type="pct"/>
            <w:vAlign w:val="center"/>
          </w:tcPr>
          <w:p w14:paraId="65532B7B" w14:textId="77777777" w:rsidR="00E507D4" w:rsidRPr="00B7364B" w:rsidRDefault="00E507D4" w:rsidP="00B95821">
            <w:pPr>
              <w:keepNext/>
              <w:keepLines/>
              <w:spacing w:before="100" w:after="100"/>
              <w:jc w:val="center"/>
              <w:rPr>
                <w:sz w:val="20"/>
                <w:szCs w:val="20"/>
              </w:rPr>
            </w:pPr>
            <w:r w:rsidRPr="00B7364B">
              <w:rPr>
                <w:sz w:val="20"/>
                <w:szCs w:val="20"/>
              </w:rPr>
              <w:t>Unlimited</w:t>
            </w:r>
          </w:p>
        </w:tc>
      </w:tr>
      <w:tr w:rsidR="00E507D4" w:rsidRPr="00B7364B" w14:paraId="604272AE" w14:textId="77777777" w:rsidTr="00B95821">
        <w:tc>
          <w:tcPr>
            <w:tcW w:w="2292" w:type="pct"/>
            <w:shd w:val="clear" w:color="auto" w:fill="auto"/>
          </w:tcPr>
          <w:p w14:paraId="26677844" w14:textId="77777777" w:rsidR="00E507D4" w:rsidRPr="00B7364B" w:rsidRDefault="00E507D4" w:rsidP="00B95821">
            <w:pPr>
              <w:spacing w:before="100" w:after="100"/>
              <w:rPr>
                <w:b/>
                <w:bCs/>
                <w:sz w:val="20"/>
                <w:szCs w:val="20"/>
              </w:rPr>
            </w:pPr>
            <w:r w:rsidRPr="00B7364B">
              <w:rPr>
                <w:b/>
                <w:bCs/>
                <w:sz w:val="20"/>
                <w:szCs w:val="20"/>
              </w:rPr>
              <w:t xml:space="preserve">Standard international SMS </w:t>
            </w:r>
            <w:r w:rsidRPr="00B7364B">
              <w:rPr>
                <w:sz w:val="20"/>
                <w:szCs w:val="20"/>
              </w:rPr>
              <w:t>(per SMS of up to 160 standard characters to selected countries)</w:t>
            </w:r>
          </w:p>
        </w:tc>
        <w:tc>
          <w:tcPr>
            <w:tcW w:w="1395" w:type="pct"/>
            <w:shd w:val="clear" w:color="auto" w:fill="auto"/>
            <w:vAlign w:val="center"/>
          </w:tcPr>
          <w:p w14:paraId="6A7D81DF" w14:textId="77777777" w:rsidR="00E507D4" w:rsidRPr="00B7364B" w:rsidRDefault="00E507D4" w:rsidP="00B95821">
            <w:pPr>
              <w:spacing w:before="100" w:after="100"/>
              <w:jc w:val="center"/>
              <w:rPr>
                <w:sz w:val="20"/>
                <w:szCs w:val="20"/>
              </w:rPr>
            </w:pPr>
            <w:r w:rsidRPr="00B7364B">
              <w:rPr>
                <w:sz w:val="20"/>
                <w:szCs w:val="20"/>
              </w:rPr>
              <w:t>Unlimited</w:t>
            </w:r>
          </w:p>
        </w:tc>
        <w:tc>
          <w:tcPr>
            <w:tcW w:w="1313" w:type="pct"/>
            <w:vAlign w:val="center"/>
          </w:tcPr>
          <w:p w14:paraId="6BEC388D" w14:textId="77777777" w:rsidR="00E507D4" w:rsidRPr="00B7364B" w:rsidRDefault="00E507D4" w:rsidP="00B95821">
            <w:pPr>
              <w:spacing w:before="100" w:after="100"/>
              <w:jc w:val="center"/>
              <w:rPr>
                <w:sz w:val="20"/>
                <w:szCs w:val="20"/>
              </w:rPr>
            </w:pPr>
            <w:r w:rsidRPr="00B7364B">
              <w:rPr>
                <w:sz w:val="20"/>
                <w:szCs w:val="20"/>
              </w:rPr>
              <w:t>Unlimited</w:t>
            </w:r>
          </w:p>
        </w:tc>
      </w:tr>
      <w:tr w:rsidR="00E507D4" w:rsidRPr="00B7364B" w14:paraId="4054E4C1" w14:textId="77777777" w:rsidTr="00B95821">
        <w:tc>
          <w:tcPr>
            <w:tcW w:w="2292" w:type="pct"/>
            <w:shd w:val="clear" w:color="auto" w:fill="auto"/>
          </w:tcPr>
          <w:p w14:paraId="703667FB" w14:textId="77777777" w:rsidR="00E507D4" w:rsidRPr="00B7364B" w:rsidRDefault="00E507D4" w:rsidP="00B95821">
            <w:pPr>
              <w:spacing w:before="100" w:after="100"/>
              <w:rPr>
                <w:b/>
                <w:bCs/>
                <w:sz w:val="20"/>
                <w:szCs w:val="20"/>
              </w:rPr>
            </w:pPr>
            <w:r w:rsidRPr="00B7364B">
              <w:rPr>
                <w:b/>
                <w:bCs/>
                <w:sz w:val="20"/>
                <w:szCs w:val="20"/>
              </w:rPr>
              <w:t xml:space="preserve">Standard international MMS </w:t>
            </w:r>
            <w:r w:rsidRPr="00B7364B">
              <w:rPr>
                <w:sz w:val="20"/>
                <w:szCs w:val="20"/>
              </w:rPr>
              <w:t>(per message to selected countries)</w:t>
            </w:r>
          </w:p>
        </w:tc>
        <w:tc>
          <w:tcPr>
            <w:tcW w:w="1395" w:type="pct"/>
            <w:shd w:val="clear" w:color="auto" w:fill="auto"/>
            <w:vAlign w:val="center"/>
          </w:tcPr>
          <w:p w14:paraId="7240022A" w14:textId="77777777" w:rsidR="00E507D4" w:rsidRPr="00B7364B" w:rsidRDefault="00E507D4" w:rsidP="00B95821">
            <w:pPr>
              <w:spacing w:before="100" w:after="100"/>
              <w:jc w:val="center"/>
              <w:rPr>
                <w:sz w:val="20"/>
                <w:szCs w:val="20"/>
              </w:rPr>
            </w:pPr>
            <w:r w:rsidRPr="00B7364B">
              <w:rPr>
                <w:sz w:val="20"/>
                <w:szCs w:val="20"/>
              </w:rPr>
              <w:t>Unlimited</w:t>
            </w:r>
          </w:p>
        </w:tc>
        <w:tc>
          <w:tcPr>
            <w:tcW w:w="1313" w:type="pct"/>
            <w:vAlign w:val="center"/>
          </w:tcPr>
          <w:p w14:paraId="1C9FFA60" w14:textId="77777777" w:rsidR="00E507D4" w:rsidRPr="00B7364B" w:rsidRDefault="00E507D4" w:rsidP="00B95821">
            <w:pPr>
              <w:spacing w:before="100" w:after="100"/>
              <w:jc w:val="center"/>
              <w:rPr>
                <w:sz w:val="20"/>
                <w:szCs w:val="20"/>
              </w:rPr>
            </w:pPr>
            <w:r w:rsidRPr="00B7364B">
              <w:rPr>
                <w:sz w:val="20"/>
                <w:szCs w:val="20"/>
              </w:rPr>
              <w:t>Unlimited</w:t>
            </w:r>
          </w:p>
        </w:tc>
      </w:tr>
      <w:tr w:rsidR="00E507D4" w:rsidRPr="00B7364B" w14:paraId="3939D477" w14:textId="77777777" w:rsidTr="00B95821">
        <w:tc>
          <w:tcPr>
            <w:tcW w:w="2292" w:type="pct"/>
            <w:shd w:val="clear" w:color="auto" w:fill="auto"/>
          </w:tcPr>
          <w:p w14:paraId="13D89C94" w14:textId="77777777" w:rsidR="00E507D4" w:rsidRPr="00B7364B" w:rsidRDefault="00E507D4" w:rsidP="00B95821">
            <w:pPr>
              <w:spacing w:before="100" w:after="100"/>
              <w:rPr>
                <w:b/>
                <w:bCs/>
                <w:sz w:val="20"/>
                <w:szCs w:val="20"/>
              </w:rPr>
            </w:pPr>
            <w:r w:rsidRPr="00B7364B">
              <w:rPr>
                <w:b/>
                <w:bCs/>
                <w:snapToGrid w:val="0"/>
                <w:sz w:val="20"/>
                <w:szCs w:val="20"/>
              </w:rPr>
              <w:t>Optus Travel™ Pack</w:t>
            </w:r>
          </w:p>
        </w:tc>
        <w:tc>
          <w:tcPr>
            <w:tcW w:w="1395" w:type="pct"/>
            <w:shd w:val="clear" w:color="auto" w:fill="auto"/>
          </w:tcPr>
          <w:p w14:paraId="77FB92C8" w14:textId="77777777" w:rsidR="00E507D4" w:rsidRPr="00B7364B" w:rsidRDefault="00E507D4" w:rsidP="00B95821">
            <w:pPr>
              <w:spacing w:before="100" w:after="100"/>
              <w:jc w:val="center"/>
              <w:rPr>
                <w:sz w:val="20"/>
                <w:szCs w:val="20"/>
              </w:rPr>
            </w:pPr>
            <w:r w:rsidRPr="00B7364B">
              <w:rPr>
                <w:sz w:val="20"/>
                <w:szCs w:val="20"/>
              </w:rPr>
              <w:t>$5 per Day</w:t>
            </w:r>
          </w:p>
        </w:tc>
        <w:tc>
          <w:tcPr>
            <w:tcW w:w="1313" w:type="pct"/>
            <w:vAlign w:val="center"/>
          </w:tcPr>
          <w:p w14:paraId="093B0BA1" w14:textId="77777777" w:rsidR="00E507D4" w:rsidRPr="00B7364B" w:rsidRDefault="00E507D4" w:rsidP="00B95821">
            <w:pPr>
              <w:spacing w:before="100" w:after="100"/>
              <w:jc w:val="center"/>
              <w:rPr>
                <w:sz w:val="20"/>
                <w:szCs w:val="20"/>
              </w:rPr>
            </w:pPr>
            <w:r w:rsidRPr="00B7364B">
              <w:rPr>
                <w:sz w:val="20"/>
                <w:szCs w:val="20"/>
              </w:rPr>
              <w:t>Not applicable</w:t>
            </w:r>
          </w:p>
        </w:tc>
      </w:tr>
      <w:tr w:rsidR="00E507D4" w:rsidRPr="00B7364B" w14:paraId="235E9E9A" w14:textId="77777777" w:rsidTr="00B95821">
        <w:tc>
          <w:tcPr>
            <w:tcW w:w="2292" w:type="pct"/>
            <w:shd w:val="clear" w:color="auto" w:fill="auto"/>
          </w:tcPr>
          <w:p w14:paraId="7A989CD0" w14:textId="77777777" w:rsidR="00E507D4" w:rsidRPr="00B7364B" w:rsidRDefault="00E507D4" w:rsidP="00B95821">
            <w:pPr>
              <w:spacing w:before="100" w:after="100"/>
              <w:rPr>
                <w:b/>
                <w:bCs/>
                <w:snapToGrid w:val="0"/>
                <w:sz w:val="20"/>
                <w:szCs w:val="20"/>
              </w:rPr>
            </w:pPr>
            <w:r w:rsidRPr="00B7364B">
              <w:rPr>
                <w:b/>
                <w:bCs/>
                <w:snapToGrid w:val="0"/>
                <w:sz w:val="20"/>
                <w:szCs w:val="20"/>
              </w:rPr>
              <w:t>International Roaming Data for use in Zone 1 Countries</w:t>
            </w:r>
          </w:p>
        </w:tc>
        <w:tc>
          <w:tcPr>
            <w:tcW w:w="1395" w:type="pct"/>
            <w:shd w:val="clear" w:color="auto" w:fill="auto"/>
            <w:vAlign w:val="center"/>
          </w:tcPr>
          <w:p w14:paraId="4BC4D19F" w14:textId="77777777" w:rsidR="00E507D4" w:rsidRPr="00B7364B" w:rsidRDefault="00E507D4" w:rsidP="00B95821">
            <w:pPr>
              <w:spacing w:before="100" w:after="100"/>
              <w:jc w:val="center"/>
              <w:rPr>
                <w:sz w:val="20"/>
                <w:szCs w:val="20"/>
              </w:rPr>
            </w:pPr>
            <w:r w:rsidRPr="00B7364B">
              <w:rPr>
                <w:sz w:val="20"/>
                <w:szCs w:val="20"/>
              </w:rPr>
              <w:t>Not applicable</w:t>
            </w:r>
          </w:p>
        </w:tc>
        <w:tc>
          <w:tcPr>
            <w:tcW w:w="1313" w:type="pct"/>
            <w:vAlign w:val="center"/>
          </w:tcPr>
          <w:p w14:paraId="58AA968E" w14:textId="77777777" w:rsidR="00E507D4" w:rsidRPr="00B7364B" w:rsidRDefault="00E507D4" w:rsidP="00B95821">
            <w:pPr>
              <w:spacing w:before="100" w:after="100"/>
              <w:jc w:val="center"/>
              <w:rPr>
                <w:sz w:val="20"/>
                <w:szCs w:val="20"/>
              </w:rPr>
            </w:pPr>
            <w:r w:rsidRPr="00E21181">
              <w:rPr>
                <w:sz w:val="20"/>
                <w:szCs w:val="20"/>
              </w:rPr>
              <w:t>Unlimited standard national/international talk, SMS &amp; 2GB data</w:t>
            </w:r>
          </w:p>
        </w:tc>
      </w:tr>
      <w:tr w:rsidR="00E507D4" w:rsidRPr="00B7364B" w14:paraId="25F5D05F" w14:textId="77777777" w:rsidTr="00B95821">
        <w:tc>
          <w:tcPr>
            <w:tcW w:w="2292" w:type="pct"/>
            <w:shd w:val="clear" w:color="auto" w:fill="auto"/>
          </w:tcPr>
          <w:p w14:paraId="7FF74BB0" w14:textId="77777777" w:rsidR="00E507D4" w:rsidRPr="00B7364B" w:rsidRDefault="00E507D4" w:rsidP="00B95821">
            <w:pPr>
              <w:spacing w:before="100" w:after="100"/>
              <w:rPr>
                <w:b/>
                <w:bCs/>
                <w:sz w:val="20"/>
                <w:szCs w:val="20"/>
              </w:rPr>
            </w:pPr>
            <w:r w:rsidRPr="00B7364B">
              <w:rPr>
                <w:b/>
                <w:bCs/>
                <w:sz w:val="20"/>
                <w:szCs w:val="20"/>
              </w:rPr>
              <w:t xml:space="preserve">Minimum total cost over 24 months </w:t>
            </w:r>
          </w:p>
        </w:tc>
        <w:tc>
          <w:tcPr>
            <w:tcW w:w="1395" w:type="pct"/>
            <w:shd w:val="clear" w:color="auto" w:fill="auto"/>
            <w:vAlign w:val="center"/>
          </w:tcPr>
          <w:p w14:paraId="4D1FA5A8" w14:textId="77777777" w:rsidR="00E507D4" w:rsidRPr="00B7364B" w:rsidRDefault="00E507D4" w:rsidP="00B95821">
            <w:pPr>
              <w:spacing w:before="100" w:after="100"/>
              <w:jc w:val="center"/>
              <w:rPr>
                <w:sz w:val="20"/>
                <w:szCs w:val="20"/>
              </w:rPr>
            </w:pPr>
            <w:r>
              <w:rPr>
                <w:sz w:val="20"/>
                <w:szCs w:val="20"/>
              </w:rPr>
              <w:t>$2040</w:t>
            </w:r>
          </w:p>
        </w:tc>
        <w:tc>
          <w:tcPr>
            <w:tcW w:w="1313" w:type="pct"/>
            <w:vAlign w:val="center"/>
          </w:tcPr>
          <w:p w14:paraId="52230EA6" w14:textId="77777777" w:rsidR="00E507D4" w:rsidRPr="00B7364B" w:rsidRDefault="00E507D4" w:rsidP="00B95821">
            <w:pPr>
              <w:spacing w:before="100" w:after="100"/>
              <w:jc w:val="center"/>
              <w:rPr>
                <w:sz w:val="20"/>
                <w:szCs w:val="20"/>
              </w:rPr>
            </w:pPr>
            <w:r>
              <w:rPr>
                <w:sz w:val="20"/>
                <w:szCs w:val="20"/>
              </w:rPr>
              <w:t>$2640</w:t>
            </w:r>
          </w:p>
        </w:tc>
      </w:tr>
    </w:tbl>
    <w:p w14:paraId="62478CB9" w14:textId="77777777" w:rsidR="00E507D4" w:rsidRPr="00B7364B" w:rsidRDefault="00E507D4" w:rsidP="00E507D4">
      <w:pPr>
        <w:spacing w:after="120"/>
        <w:jc w:val="center"/>
        <w:rPr>
          <w:rFonts w:cs="Arial"/>
          <w:b/>
          <w:sz w:val="20"/>
          <w:szCs w:val="20"/>
        </w:rPr>
      </w:pPr>
    </w:p>
    <w:p w14:paraId="6DEE8898" w14:textId="77777777" w:rsidR="00E507D4" w:rsidRPr="00B7364B" w:rsidRDefault="00E507D4" w:rsidP="00E507D4">
      <w:pPr>
        <w:spacing w:after="120"/>
        <w:ind w:left="709"/>
        <w:rPr>
          <w:rFonts w:cs="Arial"/>
          <w:sz w:val="20"/>
          <w:szCs w:val="20"/>
        </w:rPr>
      </w:pPr>
      <w:r w:rsidRPr="00B7364B">
        <w:rPr>
          <w:rFonts w:cs="Arial"/>
          <w:b/>
          <w:sz w:val="20"/>
          <w:szCs w:val="20"/>
        </w:rPr>
        <w:t>Table 2 – Other usage types and charges</w:t>
      </w:r>
    </w:p>
    <w:tbl>
      <w:tblPr>
        <w:tblW w:w="949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5244"/>
      </w:tblGrid>
      <w:tr w:rsidR="00E507D4" w:rsidRPr="00B7364B" w14:paraId="3E247BED" w14:textId="77777777" w:rsidTr="00B95821">
        <w:tc>
          <w:tcPr>
            <w:tcW w:w="4253" w:type="dxa"/>
            <w:shd w:val="clear" w:color="auto" w:fill="auto"/>
          </w:tcPr>
          <w:p w14:paraId="72FB24EE" w14:textId="77777777" w:rsidR="00E507D4" w:rsidRPr="00B7364B" w:rsidRDefault="00E507D4" w:rsidP="00B95821">
            <w:pPr>
              <w:rPr>
                <w:rFonts w:eastAsia="Calibri" w:cs="Arial"/>
                <w:b/>
                <w:sz w:val="20"/>
                <w:szCs w:val="20"/>
              </w:rPr>
            </w:pPr>
            <w:r w:rsidRPr="00B7364B">
              <w:rPr>
                <w:rFonts w:eastAsia="Calibri" w:cs="Arial"/>
                <w:b/>
                <w:sz w:val="20"/>
                <w:szCs w:val="20"/>
              </w:rPr>
              <w:t>Usage type</w:t>
            </w:r>
          </w:p>
        </w:tc>
        <w:tc>
          <w:tcPr>
            <w:tcW w:w="5244" w:type="dxa"/>
            <w:shd w:val="clear" w:color="auto" w:fill="auto"/>
            <w:vAlign w:val="center"/>
          </w:tcPr>
          <w:p w14:paraId="27C4A617" w14:textId="77777777" w:rsidR="00E507D4" w:rsidRPr="00B7364B" w:rsidRDefault="00E507D4" w:rsidP="00B95821">
            <w:pPr>
              <w:jc w:val="center"/>
              <w:rPr>
                <w:rFonts w:eastAsia="Calibri" w:cs="Arial"/>
                <w:b/>
                <w:sz w:val="20"/>
                <w:szCs w:val="20"/>
              </w:rPr>
            </w:pPr>
            <w:r w:rsidRPr="00B7364B">
              <w:rPr>
                <w:rFonts w:eastAsia="Calibri" w:cs="Arial"/>
                <w:b/>
                <w:sz w:val="20"/>
                <w:szCs w:val="20"/>
              </w:rPr>
              <w:t>Charge</w:t>
            </w:r>
          </w:p>
        </w:tc>
      </w:tr>
      <w:tr w:rsidR="00E507D4" w:rsidRPr="00B7364B" w14:paraId="6022BCA8" w14:textId="77777777" w:rsidTr="00B95821">
        <w:tc>
          <w:tcPr>
            <w:tcW w:w="4253" w:type="dxa"/>
            <w:shd w:val="clear" w:color="auto" w:fill="auto"/>
          </w:tcPr>
          <w:p w14:paraId="18B2F616" w14:textId="77777777" w:rsidR="00E507D4" w:rsidRPr="00B7364B" w:rsidRDefault="00E507D4" w:rsidP="00B95821">
            <w:pPr>
              <w:spacing w:after="200" w:line="276" w:lineRule="auto"/>
              <w:rPr>
                <w:rFonts w:eastAsia="Calibri" w:cs="Arial"/>
                <w:sz w:val="20"/>
                <w:szCs w:val="20"/>
              </w:rPr>
            </w:pPr>
            <w:r w:rsidRPr="00B7364B">
              <w:rPr>
                <w:rFonts w:eastAsia="Calibri" w:cs="Arial"/>
                <w:b/>
                <w:bCs/>
                <w:sz w:val="20"/>
                <w:szCs w:val="20"/>
              </w:rPr>
              <w:t xml:space="preserve">National video calls </w:t>
            </w:r>
            <w:r w:rsidRPr="00B7364B">
              <w:rPr>
                <w:rFonts w:eastAsia="Calibri" w:cs="Arial"/>
                <w:sz w:val="20"/>
                <w:szCs w:val="20"/>
              </w:rPr>
              <w:t>(per minute)</w:t>
            </w:r>
          </w:p>
        </w:tc>
        <w:tc>
          <w:tcPr>
            <w:tcW w:w="5244" w:type="dxa"/>
            <w:shd w:val="clear" w:color="auto" w:fill="auto"/>
            <w:vAlign w:val="center"/>
          </w:tcPr>
          <w:p w14:paraId="24976C4E" w14:textId="77777777" w:rsidR="00E507D4" w:rsidRPr="00B7364B" w:rsidRDefault="00E507D4" w:rsidP="00B95821">
            <w:pPr>
              <w:jc w:val="center"/>
              <w:rPr>
                <w:rFonts w:eastAsia="Calibri" w:cs="Arial"/>
                <w:sz w:val="20"/>
                <w:szCs w:val="20"/>
              </w:rPr>
            </w:pPr>
            <w:r w:rsidRPr="00B7364B">
              <w:rPr>
                <w:rFonts w:eastAsia="Calibri" w:cs="Arial"/>
                <w:sz w:val="20"/>
                <w:szCs w:val="20"/>
              </w:rPr>
              <w:t>$1.00 per min + 40c flagfall</w:t>
            </w:r>
          </w:p>
        </w:tc>
      </w:tr>
      <w:tr w:rsidR="00E507D4" w:rsidRPr="00B7364B" w14:paraId="31E978BB" w14:textId="77777777" w:rsidTr="00B95821">
        <w:tc>
          <w:tcPr>
            <w:tcW w:w="4253" w:type="dxa"/>
            <w:shd w:val="clear" w:color="auto" w:fill="auto"/>
          </w:tcPr>
          <w:p w14:paraId="2FAC6E72" w14:textId="77777777" w:rsidR="00E507D4" w:rsidRPr="00B7364B" w:rsidRDefault="00E507D4" w:rsidP="00B95821">
            <w:pPr>
              <w:spacing w:line="276" w:lineRule="auto"/>
              <w:rPr>
                <w:rFonts w:eastAsia="Calibri" w:cs="Arial"/>
                <w:sz w:val="20"/>
                <w:szCs w:val="20"/>
              </w:rPr>
            </w:pPr>
            <w:r w:rsidRPr="00B7364B">
              <w:rPr>
                <w:rFonts w:eastAsia="Calibri" w:cs="Arial"/>
                <w:b/>
                <w:bCs/>
                <w:sz w:val="20"/>
                <w:szCs w:val="20"/>
              </w:rPr>
              <w:t xml:space="preserve">VoiceMail Deposits </w:t>
            </w:r>
          </w:p>
        </w:tc>
        <w:tc>
          <w:tcPr>
            <w:tcW w:w="5244" w:type="dxa"/>
            <w:shd w:val="clear" w:color="auto" w:fill="auto"/>
          </w:tcPr>
          <w:p w14:paraId="0515D718" w14:textId="77777777" w:rsidR="00E507D4" w:rsidRPr="00B7364B" w:rsidRDefault="00E507D4" w:rsidP="00B95821">
            <w:pPr>
              <w:jc w:val="center"/>
              <w:rPr>
                <w:rFonts w:eastAsia="Calibri" w:cs="Arial"/>
                <w:sz w:val="20"/>
                <w:szCs w:val="20"/>
              </w:rPr>
            </w:pPr>
            <w:r w:rsidRPr="00B7364B">
              <w:rPr>
                <w:rFonts w:eastAsia="Calibri" w:cs="Arial"/>
                <w:sz w:val="20"/>
                <w:szCs w:val="20"/>
              </w:rPr>
              <w:t>$0 per minute</w:t>
            </w:r>
          </w:p>
        </w:tc>
      </w:tr>
      <w:tr w:rsidR="00E507D4" w:rsidRPr="00B7364B" w14:paraId="12529F07" w14:textId="77777777" w:rsidTr="00B95821">
        <w:tc>
          <w:tcPr>
            <w:tcW w:w="4253" w:type="dxa"/>
            <w:shd w:val="clear" w:color="auto" w:fill="auto"/>
          </w:tcPr>
          <w:p w14:paraId="64C95C92" w14:textId="77777777" w:rsidR="00E507D4" w:rsidRPr="00B7364B" w:rsidRDefault="00E507D4" w:rsidP="00B95821">
            <w:pPr>
              <w:rPr>
                <w:rFonts w:eastAsia="Calibri" w:cs="Arial"/>
                <w:sz w:val="20"/>
                <w:szCs w:val="20"/>
              </w:rPr>
            </w:pPr>
            <w:r w:rsidRPr="00B7364B">
              <w:rPr>
                <w:rFonts w:eastAsia="Calibri" w:cs="Arial"/>
                <w:b/>
                <w:bCs/>
                <w:sz w:val="20"/>
                <w:szCs w:val="20"/>
              </w:rPr>
              <w:t>Voicemail Diversions</w:t>
            </w:r>
          </w:p>
        </w:tc>
        <w:tc>
          <w:tcPr>
            <w:tcW w:w="5244" w:type="dxa"/>
            <w:shd w:val="clear" w:color="auto" w:fill="auto"/>
          </w:tcPr>
          <w:p w14:paraId="1BF1478D" w14:textId="77777777" w:rsidR="00E507D4" w:rsidRPr="00B7364B" w:rsidRDefault="00E507D4" w:rsidP="00B95821">
            <w:pPr>
              <w:jc w:val="center"/>
              <w:rPr>
                <w:rFonts w:eastAsia="Calibri" w:cs="Arial"/>
                <w:sz w:val="20"/>
                <w:szCs w:val="20"/>
              </w:rPr>
            </w:pPr>
            <w:r w:rsidRPr="00B7364B">
              <w:rPr>
                <w:rFonts w:eastAsia="Calibri" w:cs="Arial"/>
                <w:sz w:val="20"/>
                <w:szCs w:val="20"/>
              </w:rPr>
              <w:t>$0 per minute</w:t>
            </w:r>
          </w:p>
        </w:tc>
      </w:tr>
      <w:tr w:rsidR="00E507D4" w:rsidRPr="00B7364B" w14:paraId="25686046" w14:textId="77777777" w:rsidTr="00B95821">
        <w:tc>
          <w:tcPr>
            <w:tcW w:w="4253" w:type="dxa"/>
            <w:shd w:val="clear" w:color="auto" w:fill="auto"/>
          </w:tcPr>
          <w:p w14:paraId="06AB88DE" w14:textId="77777777" w:rsidR="00E507D4" w:rsidRPr="00B7364B" w:rsidRDefault="00E507D4" w:rsidP="00B95821">
            <w:pPr>
              <w:rPr>
                <w:rFonts w:eastAsia="Calibri" w:cs="Arial"/>
                <w:b/>
                <w:bCs/>
                <w:sz w:val="20"/>
                <w:szCs w:val="20"/>
              </w:rPr>
            </w:pPr>
            <w:r w:rsidRPr="00B7364B">
              <w:rPr>
                <w:rFonts w:eastAsia="Calibri" w:cs="Arial"/>
                <w:b/>
                <w:bCs/>
                <w:sz w:val="20"/>
                <w:szCs w:val="20"/>
              </w:rPr>
              <w:t>National Diversions</w:t>
            </w:r>
          </w:p>
        </w:tc>
        <w:tc>
          <w:tcPr>
            <w:tcW w:w="5244" w:type="dxa"/>
            <w:shd w:val="clear" w:color="auto" w:fill="auto"/>
          </w:tcPr>
          <w:p w14:paraId="7DAE5E66" w14:textId="77777777" w:rsidR="00E507D4" w:rsidRPr="00B7364B" w:rsidRDefault="00E507D4" w:rsidP="00B95821">
            <w:pPr>
              <w:jc w:val="center"/>
              <w:rPr>
                <w:rFonts w:eastAsia="Calibri" w:cs="Arial"/>
                <w:sz w:val="20"/>
                <w:szCs w:val="20"/>
              </w:rPr>
            </w:pPr>
            <w:r w:rsidRPr="00B7364B">
              <w:rPr>
                <w:rFonts w:eastAsia="Calibri" w:cs="Arial"/>
                <w:sz w:val="20"/>
                <w:szCs w:val="20"/>
              </w:rPr>
              <w:t>$0 per minute</w:t>
            </w:r>
          </w:p>
        </w:tc>
      </w:tr>
      <w:tr w:rsidR="00E507D4" w:rsidRPr="00B7364B" w14:paraId="4E30B93A" w14:textId="77777777" w:rsidTr="00B95821">
        <w:tc>
          <w:tcPr>
            <w:tcW w:w="4253" w:type="dxa"/>
            <w:shd w:val="clear" w:color="auto" w:fill="auto"/>
          </w:tcPr>
          <w:p w14:paraId="30422297" w14:textId="77777777" w:rsidR="00E507D4" w:rsidRPr="00B7364B" w:rsidRDefault="00E507D4" w:rsidP="00B95821">
            <w:pPr>
              <w:rPr>
                <w:rFonts w:eastAsia="Calibri" w:cs="Arial"/>
                <w:b/>
                <w:bCs/>
                <w:sz w:val="20"/>
                <w:szCs w:val="20"/>
              </w:rPr>
            </w:pPr>
            <w:r w:rsidRPr="00B7364B">
              <w:rPr>
                <w:rFonts w:eastAsia="Calibri" w:cs="Arial"/>
                <w:b/>
                <w:bCs/>
                <w:sz w:val="20"/>
                <w:szCs w:val="20"/>
              </w:rPr>
              <w:t xml:space="preserve">International Diversions </w:t>
            </w:r>
          </w:p>
        </w:tc>
        <w:tc>
          <w:tcPr>
            <w:tcW w:w="5244" w:type="dxa"/>
            <w:shd w:val="clear" w:color="auto" w:fill="auto"/>
          </w:tcPr>
          <w:p w14:paraId="7435C76E" w14:textId="77777777" w:rsidR="00E507D4" w:rsidRPr="00B7364B" w:rsidRDefault="00E507D4" w:rsidP="00B95821">
            <w:pPr>
              <w:jc w:val="center"/>
              <w:rPr>
                <w:rFonts w:eastAsia="Calibri" w:cs="Arial"/>
                <w:sz w:val="20"/>
                <w:szCs w:val="20"/>
              </w:rPr>
            </w:pPr>
            <w:r w:rsidRPr="00B7364B">
              <w:rPr>
                <w:rFonts w:eastAsia="Calibri" w:cs="Arial"/>
                <w:sz w:val="20"/>
                <w:szCs w:val="20"/>
              </w:rPr>
              <w:t>‘yes’ international rates</w:t>
            </w:r>
            <w:r w:rsidRPr="00B7364B">
              <w:rPr>
                <w:rFonts w:eastAsia="Calibri" w:cs="Arial"/>
                <w:sz w:val="20"/>
                <w:szCs w:val="20"/>
              </w:rPr>
              <w:br/>
              <w:t>See optus.com.au/international</w:t>
            </w:r>
          </w:p>
        </w:tc>
      </w:tr>
      <w:tr w:rsidR="00E507D4" w:rsidRPr="00B7364B" w14:paraId="212C1399" w14:textId="77777777" w:rsidTr="00B95821">
        <w:tc>
          <w:tcPr>
            <w:tcW w:w="4253" w:type="dxa"/>
            <w:shd w:val="clear" w:color="auto" w:fill="auto"/>
          </w:tcPr>
          <w:p w14:paraId="3E3EC00F" w14:textId="77777777" w:rsidR="00E507D4" w:rsidRPr="00B7364B" w:rsidRDefault="00E507D4" w:rsidP="00B95821">
            <w:pPr>
              <w:rPr>
                <w:rFonts w:eastAsia="Calibri" w:cs="Arial"/>
                <w:b/>
                <w:bCs/>
                <w:sz w:val="20"/>
                <w:szCs w:val="20"/>
              </w:rPr>
            </w:pPr>
            <w:r w:rsidRPr="00B7364B">
              <w:rPr>
                <w:rFonts w:eastAsia="Calibri" w:cs="Arial"/>
                <w:b/>
                <w:bCs/>
                <w:sz w:val="20"/>
                <w:szCs w:val="20"/>
              </w:rPr>
              <w:t xml:space="preserve">1800 numbers </w:t>
            </w:r>
          </w:p>
        </w:tc>
        <w:tc>
          <w:tcPr>
            <w:tcW w:w="5244" w:type="dxa"/>
            <w:shd w:val="clear" w:color="auto" w:fill="auto"/>
            <w:vAlign w:val="center"/>
          </w:tcPr>
          <w:p w14:paraId="085ADF10" w14:textId="77777777" w:rsidR="00E507D4" w:rsidRPr="00B7364B" w:rsidRDefault="00E507D4" w:rsidP="00B95821">
            <w:pPr>
              <w:jc w:val="center"/>
              <w:rPr>
                <w:rFonts w:eastAsia="Calibri" w:cs="Arial"/>
                <w:sz w:val="20"/>
                <w:szCs w:val="20"/>
              </w:rPr>
            </w:pPr>
            <w:r w:rsidRPr="00B7364B">
              <w:rPr>
                <w:rFonts w:eastAsia="Calibri" w:cs="Arial"/>
                <w:sz w:val="20"/>
                <w:szCs w:val="20"/>
              </w:rPr>
              <w:t>$0 per minute</w:t>
            </w:r>
          </w:p>
        </w:tc>
      </w:tr>
      <w:tr w:rsidR="00E507D4" w:rsidRPr="00B7364B" w14:paraId="3C8D4186" w14:textId="77777777" w:rsidTr="00B95821">
        <w:tc>
          <w:tcPr>
            <w:tcW w:w="4253" w:type="dxa"/>
            <w:shd w:val="clear" w:color="auto" w:fill="auto"/>
          </w:tcPr>
          <w:p w14:paraId="32F8A38F" w14:textId="77777777" w:rsidR="00E507D4" w:rsidRPr="00B7364B" w:rsidRDefault="00E507D4" w:rsidP="00B95821">
            <w:pPr>
              <w:rPr>
                <w:rFonts w:eastAsia="Calibri" w:cs="Arial"/>
                <w:b/>
                <w:bCs/>
                <w:sz w:val="20"/>
                <w:szCs w:val="20"/>
              </w:rPr>
            </w:pPr>
            <w:r w:rsidRPr="00B7364B">
              <w:rPr>
                <w:rFonts w:eastAsia="Calibri" w:cs="Arial"/>
                <w:b/>
                <w:bCs/>
                <w:sz w:val="20"/>
                <w:szCs w:val="20"/>
              </w:rPr>
              <w:t xml:space="preserve">Directory Assistance 1223 </w:t>
            </w:r>
          </w:p>
        </w:tc>
        <w:tc>
          <w:tcPr>
            <w:tcW w:w="5244" w:type="dxa"/>
            <w:shd w:val="clear" w:color="auto" w:fill="auto"/>
            <w:vAlign w:val="center"/>
          </w:tcPr>
          <w:p w14:paraId="07A769AA" w14:textId="77777777" w:rsidR="00E507D4" w:rsidRPr="00B7364B" w:rsidRDefault="00E507D4" w:rsidP="00B95821">
            <w:pPr>
              <w:jc w:val="center"/>
              <w:rPr>
                <w:rFonts w:eastAsia="Calibri" w:cs="Arial"/>
                <w:sz w:val="20"/>
                <w:szCs w:val="20"/>
              </w:rPr>
            </w:pPr>
            <w:r w:rsidRPr="00B7364B">
              <w:rPr>
                <w:rFonts w:eastAsia="Calibri" w:cs="Arial"/>
                <w:sz w:val="20"/>
                <w:szCs w:val="20"/>
              </w:rPr>
              <w:t>50c per call</w:t>
            </w:r>
          </w:p>
        </w:tc>
      </w:tr>
      <w:tr w:rsidR="00E507D4" w:rsidRPr="00B7364B" w14:paraId="2528D98F" w14:textId="77777777" w:rsidTr="00B95821">
        <w:tc>
          <w:tcPr>
            <w:tcW w:w="4253" w:type="dxa"/>
            <w:shd w:val="clear" w:color="auto" w:fill="auto"/>
          </w:tcPr>
          <w:p w14:paraId="12179650" w14:textId="77777777" w:rsidR="00E507D4" w:rsidRPr="00B7364B" w:rsidRDefault="00E507D4" w:rsidP="00B95821">
            <w:pPr>
              <w:rPr>
                <w:rFonts w:eastAsia="Calibri" w:cs="Arial"/>
                <w:b/>
                <w:bCs/>
                <w:sz w:val="20"/>
                <w:szCs w:val="20"/>
              </w:rPr>
            </w:pPr>
            <w:r w:rsidRPr="00B7364B">
              <w:rPr>
                <w:rFonts w:eastAsia="Calibri" w:cs="Arial"/>
                <w:b/>
                <w:bCs/>
                <w:sz w:val="20"/>
                <w:szCs w:val="20"/>
              </w:rPr>
              <w:t>124 Yes</w:t>
            </w:r>
          </w:p>
        </w:tc>
        <w:tc>
          <w:tcPr>
            <w:tcW w:w="5244" w:type="dxa"/>
            <w:shd w:val="clear" w:color="auto" w:fill="auto"/>
            <w:vAlign w:val="center"/>
          </w:tcPr>
          <w:p w14:paraId="2DEE2C5E" w14:textId="77777777" w:rsidR="00E507D4" w:rsidRPr="00B7364B" w:rsidRDefault="00E507D4" w:rsidP="00B95821">
            <w:pPr>
              <w:jc w:val="center"/>
              <w:rPr>
                <w:rFonts w:eastAsia="Calibri" w:cs="Arial"/>
                <w:sz w:val="20"/>
                <w:szCs w:val="20"/>
              </w:rPr>
            </w:pPr>
            <w:r w:rsidRPr="00B7364B">
              <w:rPr>
                <w:rFonts w:eastAsia="Calibri" w:cs="Arial"/>
                <w:sz w:val="20"/>
                <w:szCs w:val="20"/>
              </w:rPr>
              <w:t>90c per minute +$1.75c flagfall</w:t>
            </w:r>
          </w:p>
        </w:tc>
      </w:tr>
      <w:tr w:rsidR="00E507D4" w:rsidRPr="00B7364B" w14:paraId="4540CE7A" w14:textId="77777777" w:rsidTr="00B95821">
        <w:tc>
          <w:tcPr>
            <w:tcW w:w="4253" w:type="dxa"/>
            <w:shd w:val="clear" w:color="auto" w:fill="auto"/>
          </w:tcPr>
          <w:p w14:paraId="2B2EFA66" w14:textId="77777777" w:rsidR="00E507D4" w:rsidRPr="00B7364B" w:rsidRDefault="00E507D4" w:rsidP="00B95821">
            <w:pPr>
              <w:rPr>
                <w:rFonts w:eastAsia="Calibri" w:cs="Arial"/>
                <w:b/>
                <w:bCs/>
                <w:sz w:val="20"/>
                <w:szCs w:val="20"/>
              </w:rPr>
            </w:pPr>
            <w:r w:rsidRPr="00B7364B">
              <w:rPr>
                <w:rFonts w:eastAsia="Calibri" w:cs="Arial"/>
                <w:b/>
                <w:bCs/>
                <w:sz w:val="20"/>
                <w:szCs w:val="20"/>
              </w:rPr>
              <w:t xml:space="preserve">International voice calls (outside the plan’s included international minutes and to excluded countries) </w:t>
            </w:r>
          </w:p>
        </w:tc>
        <w:tc>
          <w:tcPr>
            <w:tcW w:w="5244" w:type="dxa"/>
            <w:shd w:val="clear" w:color="auto" w:fill="auto"/>
            <w:vAlign w:val="center"/>
          </w:tcPr>
          <w:p w14:paraId="4448DE6A" w14:textId="77777777" w:rsidR="00E507D4" w:rsidRPr="00B7364B" w:rsidRDefault="00E507D4" w:rsidP="00B95821">
            <w:pPr>
              <w:jc w:val="center"/>
              <w:rPr>
                <w:rFonts w:eastAsia="Calibri" w:cs="Arial"/>
                <w:sz w:val="20"/>
                <w:szCs w:val="20"/>
              </w:rPr>
            </w:pPr>
            <w:r w:rsidRPr="00B7364B">
              <w:rPr>
                <w:rFonts w:eastAsia="Calibri" w:cs="Arial"/>
                <w:sz w:val="20"/>
                <w:szCs w:val="20"/>
              </w:rPr>
              <w:t>‘yes’ international rates</w:t>
            </w:r>
          </w:p>
          <w:p w14:paraId="3A896DA9" w14:textId="77777777" w:rsidR="00E507D4" w:rsidRPr="00B7364B" w:rsidRDefault="00E507D4" w:rsidP="00B95821">
            <w:pPr>
              <w:jc w:val="center"/>
              <w:rPr>
                <w:rFonts w:eastAsia="Calibri" w:cs="Arial"/>
                <w:sz w:val="20"/>
                <w:szCs w:val="20"/>
              </w:rPr>
            </w:pPr>
            <w:r w:rsidRPr="00B7364B">
              <w:rPr>
                <w:rFonts w:eastAsia="Calibri" w:cs="Arial"/>
                <w:sz w:val="20"/>
                <w:szCs w:val="20"/>
              </w:rPr>
              <w:t>See optus.com.au/international</w:t>
            </w:r>
          </w:p>
        </w:tc>
      </w:tr>
      <w:tr w:rsidR="00E507D4" w:rsidRPr="00B7364B" w14:paraId="698E7113" w14:textId="77777777" w:rsidTr="00B95821">
        <w:tc>
          <w:tcPr>
            <w:tcW w:w="4253" w:type="dxa"/>
            <w:shd w:val="clear" w:color="auto" w:fill="auto"/>
          </w:tcPr>
          <w:p w14:paraId="623DEF3E" w14:textId="77777777" w:rsidR="00E507D4" w:rsidRPr="00B7364B" w:rsidRDefault="00E507D4" w:rsidP="00B95821">
            <w:pPr>
              <w:rPr>
                <w:rFonts w:eastAsia="Calibri" w:cs="Arial"/>
                <w:b/>
                <w:bCs/>
                <w:sz w:val="20"/>
                <w:szCs w:val="20"/>
              </w:rPr>
            </w:pPr>
            <w:r w:rsidRPr="00B7364B">
              <w:rPr>
                <w:rFonts w:eastAsia="Calibri" w:cs="Arial"/>
                <w:b/>
                <w:bCs/>
                <w:sz w:val="20"/>
                <w:szCs w:val="20"/>
              </w:rPr>
              <w:t xml:space="preserve">International SMS (to excluded countries) </w:t>
            </w:r>
          </w:p>
        </w:tc>
        <w:tc>
          <w:tcPr>
            <w:tcW w:w="5244" w:type="dxa"/>
            <w:shd w:val="clear" w:color="auto" w:fill="auto"/>
            <w:vAlign w:val="center"/>
          </w:tcPr>
          <w:p w14:paraId="7D0FFDF4" w14:textId="77777777" w:rsidR="00E507D4" w:rsidRPr="00B7364B" w:rsidRDefault="00E507D4" w:rsidP="00B95821">
            <w:pPr>
              <w:jc w:val="center"/>
              <w:rPr>
                <w:rFonts w:eastAsia="Calibri" w:cs="Arial"/>
                <w:sz w:val="20"/>
                <w:szCs w:val="20"/>
              </w:rPr>
            </w:pPr>
            <w:r w:rsidRPr="00B7364B">
              <w:rPr>
                <w:rFonts w:eastAsia="Calibri" w:cs="Arial"/>
                <w:sz w:val="20"/>
                <w:szCs w:val="20"/>
              </w:rPr>
              <w:t>50c per SMS up to 160 standard characters</w:t>
            </w:r>
          </w:p>
        </w:tc>
      </w:tr>
      <w:tr w:rsidR="00E507D4" w:rsidRPr="00B7364B" w14:paraId="1CDA88E1" w14:textId="77777777" w:rsidTr="00B95821">
        <w:tc>
          <w:tcPr>
            <w:tcW w:w="4253" w:type="dxa"/>
            <w:shd w:val="clear" w:color="auto" w:fill="auto"/>
          </w:tcPr>
          <w:p w14:paraId="1894D46D" w14:textId="77777777" w:rsidR="00E507D4" w:rsidRPr="00B7364B" w:rsidRDefault="00E507D4" w:rsidP="00B95821">
            <w:pPr>
              <w:rPr>
                <w:rFonts w:eastAsia="Calibri" w:cs="Arial"/>
                <w:b/>
                <w:bCs/>
                <w:sz w:val="20"/>
                <w:szCs w:val="20"/>
              </w:rPr>
            </w:pPr>
            <w:r w:rsidRPr="00B7364B">
              <w:rPr>
                <w:rFonts w:eastAsia="Calibri" w:cs="Arial"/>
                <w:b/>
                <w:bCs/>
                <w:sz w:val="20"/>
                <w:szCs w:val="20"/>
              </w:rPr>
              <w:t>International MMS (to excluded countries)</w:t>
            </w:r>
          </w:p>
        </w:tc>
        <w:tc>
          <w:tcPr>
            <w:tcW w:w="5244" w:type="dxa"/>
            <w:shd w:val="clear" w:color="auto" w:fill="auto"/>
            <w:vAlign w:val="center"/>
          </w:tcPr>
          <w:p w14:paraId="20A60A01" w14:textId="77777777" w:rsidR="00E507D4" w:rsidRPr="00B7364B" w:rsidRDefault="00E507D4" w:rsidP="00B95821">
            <w:pPr>
              <w:jc w:val="center"/>
              <w:rPr>
                <w:rFonts w:eastAsia="Calibri" w:cs="Arial"/>
                <w:sz w:val="20"/>
                <w:szCs w:val="20"/>
              </w:rPr>
            </w:pPr>
            <w:r w:rsidRPr="00B7364B">
              <w:rPr>
                <w:rFonts w:eastAsia="Calibri" w:cs="Arial"/>
                <w:sz w:val="20"/>
                <w:szCs w:val="20"/>
              </w:rPr>
              <w:t xml:space="preserve">75c per MMS </w:t>
            </w:r>
          </w:p>
        </w:tc>
      </w:tr>
      <w:tr w:rsidR="00E507D4" w:rsidRPr="00B7364B" w14:paraId="7B452214" w14:textId="77777777" w:rsidTr="00B95821">
        <w:tc>
          <w:tcPr>
            <w:tcW w:w="4253" w:type="dxa"/>
            <w:shd w:val="clear" w:color="auto" w:fill="auto"/>
          </w:tcPr>
          <w:p w14:paraId="06C1E247" w14:textId="77777777" w:rsidR="00E507D4" w:rsidRPr="00B7364B" w:rsidRDefault="00E507D4" w:rsidP="00B95821">
            <w:pPr>
              <w:rPr>
                <w:rFonts w:eastAsia="Calibri" w:cs="Arial"/>
                <w:b/>
                <w:bCs/>
                <w:sz w:val="20"/>
                <w:szCs w:val="20"/>
              </w:rPr>
            </w:pPr>
            <w:r w:rsidRPr="00B7364B">
              <w:rPr>
                <w:rFonts w:eastAsia="Calibri" w:cs="Arial"/>
                <w:b/>
                <w:bCs/>
                <w:sz w:val="20"/>
                <w:szCs w:val="20"/>
              </w:rPr>
              <w:t xml:space="preserve">International video calling </w:t>
            </w:r>
          </w:p>
        </w:tc>
        <w:tc>
          <w:tcPr>
            <w:tcW w:w="5244" w:type="dxa"/>
            <w:shd w:val="clear" w:color="auto" w:fill="auto"/>
            <w:vAlign w:val="center"/>
          </w:tcPr>
          <w:p w14:paraId="57127CA8" w14:textId="77777777" w:rsidR="00E507D4" w:rsidRPr="00B7364B" w:rsidRDefault="00E507D4" w:rsidP="00B95821">
            <w:pPr>
              <w:jc w:val="center"/>
              <w:rPr>
                <w:rFonts w:eastAsia="Calibri" w:cs="Arial"/>
                <w:sz w:val="20"/>
                <w:szCs w:val="20"/>
              </w:rPr>
            </w:pPr>
            <w:r w:rsidRPr="00B7364B">
              <w:rPr>
                <w:rFonts w:eastAsia="Calibri" w:cs="Arial"/>
                <w:sz w:val="20"/>
                <w:szCs w:val="20"/>
              </w:rPr>
              <w:t>$1.50 per minute +35c flagfall</w:t>
            </w:r>
          </w:p>
        </w:tc>
      </w:tr>
      <w:tr w:rsidR="00E507D4" w:rsidRPr="00B7364B" w14:paraId="54984AFD" w14:textId="77777777" w:rsidTr="00B95821">
        <w:tc>
          <w:tcPr>
            <w:tcW w:w="4253" w:type="dxa"/>
            <w:shd w:val="clear" w:color="auto" w:fill="auto"/>
          </w:tcPr>
          <w:p w14:paraId="26394C6F" w14:textId="77777777" w:rsidR="00E507D4" w:rsidRPr="00B7364B" w:rsidRDefault="00E507D4" w:rsidP="00B95821">
            <w:pPr>
              <w:rPr>
                <w:rFonts w:eastAsia="Calibri" w:cs="Arial"/>
                <w:b/>
                <w:bCs/>
                <w:sz w:val="20"/>
                <w:szCs w:val="20"/>
              </w:rPr>
            </w:pPr>
            <w:r w:rsidRPr="00B7364B">
              <w:rPr>
                <w:rFonts w:eastAsia="Calibri" w:cs="Arial"/>
                <w:b/>
                <w:bCs/>
                <w:sz w:val="20"/>
                <w:szCs w:val="20"/>
              </w:rPr>
              <w:t xml:space="preserve">International roaming </w:t>
            </w:r>
          </w:p>
        </w:tc>
        <w:tc>
          <w:tcPr>
            <w:tcW w:w="5244" w:type="dxa"/>
            <w:shd w:val="clear" w:color="auto" w:fill="auto"/>
            <w:vAlign w:val="center"/>
          </w:tcPr>
          <w:p w14:paraId="7F35F8D7" w14:textId="77777777" w:rsidR="00E507D4" w:rsidRPr="00B7364B" w:rsidRDefault="00E507D4" w:rsidP="00B95821">
            <w:pPr>
              <w:jc w:val="center"/>
              <w:rPr>
                <w:rFonts w:eastAsia="Calibri" w:cs="Arial"/>
                <w:sz w:val="20"/>
                <w:szCs w:val="20"/>
              </w:rPr>
            </w:pPr>
            <w:r w:rsidRPr="00B7364B">
              <w:rPr>
                <w:rFonts w:eastAsia="Calibri" w:cs="Arial"/>
                <w:sz w:val="20"/>
                <w:szCs w:val="20"/>
              </w:rPr>
              <w:t>See optus.com.au/roaming</w:t>
            </w:r>
          </w:p>
        </w:tc>
      </w:tr>
    </w:tbl>
    <w:p w14:paraId="7181A18D" w14:textId="77777777" w:rsidR="00E507D4" w:rsidRDefault="00E507D4" w:rsidP="00E507D4">
      <w:pPr>
        <w:spacing w:after="200"/>
        <w:rPr>
          <w:b/>
          <w:sz w:val="20"/>
        </w:rPr>
      </w:pPr>
    </w:p>
    <w:p w14:paraId="151F8FAB" w14:textId="77777777" w:rsidR="00E507D4" w:rsidRPr="00B7364B" w:rsidRDefault="00E507D4" w:rsidP="00E507D4">
      <w:pPr>
        <w:spacing w:after="200"/>
        <w:ind w:left="720"/>
        <w:rPr>
          <w:b/>
          <w:sz w:val="20"/>
        </w:rPr>
      </w:pPr>
      <w:r w:rsidRPr="00B7364B">
        <w:rPr>
          <w:b/>
          <w:sz w:val="20"/>
        </w:rPr>
        <w:t>Table 3 – International Countries</w:t>
      </w: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2"/>
        <w:gridCol w:w="2183"/>
        <w:gridCol w:w="2182"/>
        <w:gridCol w:w="2183"/>
      </w:tblGrid>
      <w:tr w:rsidR="00E507D4" w:rsidRPr="00E21F2E" w14:paraId="322CB204" w14:textId="77777777" w:rsidTr="00B95821">
        <w:tc>
          <w:tcPr>
            <w:tcW w:w="2182" w:type="dxa"/>
            <w:shd w:val="clear" w:color="auto" w:fill="auto"/>
          </w:tcPr>
          <w:p w14:paraId="76D746E5" w14:textId="77777777" w:rsidR="00E507D4" w:rsidRPr="00E21F2E" w:rsidRDefault="00E507D4" w:rsidP="00B95821">
            <w:pPr>
              <w:pStyle w:val="BodyText"/>
              <w:spacing w:before="100" w:after="100"/>
              <w:rPr>
                <w:b/>
              </w:rPr>
            </w:pPr>
            <w:r w:rsidRPr="00E21F2E">
              <w:t>Austria</w:t>
            </w:r>
          </w:p>
        </w:tc>
        <w:tc>
          <w:tcPr>
            <w:tcW w:w="2183" w:type="dxa"/>
            <w:shd w:val="clear" w:color="auto" w:fill="auto"/>
          </w:tcPr>
          <w:p w14:paraId="3BC7ACBD" w14:textId="77777777" w:rsidR="00E507D4" w:rsidRPr="00E21F2E" w:rsidRDefault="00E507D4" w:rsidP="00B95821">
            <w:pPr>
              <w:pStyle w:val="BodyText"/>
              <w:spacing w:before="100" w:after="100"/>
              <w:rPr>
                <w:b/>
              </w:rPr>
            </w:pPr>
            <w:r w:rsidRPr="00E21F2E">
              <w:t>Bangladesh</w:t>
            </w:r>
          </w:p>
        </w:tc>
        <w:tc>
          <w:tcPr>
            <w:tcW w:w="2182" w:type="dxa"/>
            <w:shd w:val="clear" w:color="auto" w:fill="auto"/>
          </w:tcPr>
          <w:p w14:paraId="763A97B6" w14:textId="77777777" w:rsidR="00E507D4" w:rsidRPr="00E21F2E" w:rsidRDefault="00E507D4" w:rsidP="00B95821">
            <w:pPr>
              <w:pStyle w:val="BodyText"/>
              <w:spacing w:before="100" w:after="100"/>
              <w:rPr>
                <w:b/>
              </w:rPr>
            </w:pPr>
            <w:r w:rsidRPr="00E21F2E">
              <w:t>Cambodia</w:t>
            </w:r>
          </w:p>
        </w:tc>
        <w:tc>
          <w:tcPr>
            <w:tcW w:w="2183" w:type="dxa"/>
            <w:shd w:val="clear" w:color="auto" w:fill="auto"/>
          </w:tcPr>
          <w:p w14:paraId="40DB2524" w14:textId="77777777" w:rsidR="00E507D4" w:rsidRPr="00E21F2E" w:rsidRDefault="00E507D4" w:rsidP="00B95821">
            <w:pPr>
              <w:pStyle w:val="BodyText"/>
              <w:spacing w:before="100" w:after="100"/>
              <w:rPr>
                <w:b/>
              </w:rPr>
            </w:pPr>
            <w:r w:rsidRPr="00E21F2E">
              <w:t>Canada</w:t>
            </w:r>
          </w:p>
        </w:tc>
      </w:tr>
      <w:tr w:rsidR="00E507D4" w:rsidRPr="00E21F2E" w14:paraId="381B20D6" w14:textId="77777777" w:rsidTr="00B95821">
        <w:tc>
          <w:tcPr>
            <w:tcW w:w="2182" w:type="dxa"/>
            <w:shd w:val="clear" w:color="auto" w:fill="auto"/>
          </w:tcPr>
          <w:p w14:paraId="77B6186B" w14:textId="77777777" w:rsidR="00E507D4" w:rsidRPr="00E21F2E" w:rsidRDefault="00E507D4" w:rsidP="00B95821">
            <w:pPr>
              <w:pStyle w:val="BodyText"/>
              <w:spacing w:before="100" w:after="100"/>
              <w:rPr>
                <w:b/>
              </w:rPr>
            </w:pPr>
            <w:r w:rsidRPr="00E21F2E">
              <w:t xml:space="preserve">Chile </w:t>
            </w:r>
          </w:p>
        </w:tc>
        <w:tc>
          <w:tcPr>
            <w:tcW w:w="2183" w:type="dxa"/>
            <w:shd w:val="clear" w:color="auto" w:fill="auto"/>
          </w:tcPr>
          <w:p w14:paraId="1FD3C054" w14:textId="77777777" w:rsidR="00E507D4" w:rsidRPr="00E21F2E" w:rsidRDefault="00E507D4" w:rsidP="00B95821">
            <w:pPr>
              <w:pStyle w:val="BodyText"/>
              <w:spacing w:before="100" w:after="100"/>
              <w:rPr>
                <w:b/>
              </w:rPr>
            </w:pPr>
            <w:r w:rsidRPr="00E21F2E">
              <w:t xml:space="preserve">China </w:t>
            </w:r>
          </w:p>
        </w:tc>
        <w:tc>
          <w:tcPr>
            <w:tcW w:w="2182" w:type="dxa"/>
            <w:shd w:val="clear" w:color="auto" w:fill="auto"/>
          </w:tcPr>
          <w:p w14:paraId="198608F2" w14:textId="77777777" w:rsidR="00E507D4" w:rsidRPr="00E21F2E" w:rsidRDefault="00E507D4" w:rsidP="00B95821">
            <w:pPr>
              <w:pStyle w:val="BodyText"/>
              <w:spacing w:before="100" w:after="100"/>
              <w:rPr>
                <w:b/>
              </w:rPr>
            </w:pPr>
            <w:r w:rsidRPr="00E21F2E">
              <w:t xml:space="preserve">Croatia </w:t>
            </w:r>
          </w:p>
        </w:tc>
        <w:tc>
          <w:tcPr>
            <w:tcW w:w="2183" w:type="dxa"/>
            <w:shd w:val="clear" w:color="auto" w:fill="auto"/>
          </w:tcPr>
          <w:p w14:paraId="4611E8C1" w14:textId="77777777" w:rsidR="00E507D4" w:rsidRPr="00E21F2E" w:rsidRDefault="00E507D4" w:rsidP="00B95821">
            <w:pPr>
              <w:pStyle w:val="BodyText"/>
              <w:spacing w:before="100" w:after="100"/>
              <w:rPr>
                <w:b/>
              </w:rPr>
            </w:pPr>
            <w:r w:rsidRPr="00E21F2E">
              <w:t>France</w:t>
            </w:r>
          </w:p>
        </w:tc>
      </w:tr>
      <w:tr w:rsidR="00E507D4" w:rsidRPr="00E21F2E" w14:paraId="6128EC51" w14:textId="77777777" w:rsidTr="00B95821">
        <w:tc>
          <w:tcPr>
            <w:tcW w:w="2182" w:type="dxa"/>
            <w:shd w:val="clear" w:color="auto" w:fill="auto"/>
          </w:tcPr>
          <w:p w14:paraId="03C77ABA" w14:textId="77777777" w:rsidR="00E507D4" w:rsidRPr="00E21F2E" w:rsidRDefault="00E507D4" w:rsidP="00B95821">
            <w:pPr>
              <w:pStyle w:val="BodyText"/>
              <w:spacing w:before="100" w:after="100"/>
              <w:rPr>
                <w:b/>
              </w:rPr>
            </w:pPr>
            <w:r w:rsidRPr="00E21F2E">
              <w:lastRenderedPageBreak/>
              <w:t>Germany</w:t>
            </w:r>
          </w:p>
        </w:tc>
        <w:tc>
          <w:tcPr>
            <w:tcW w:w="2183" w:type="dxa"/>
            <w:shd w:val="clear" w:color="auto" w:fill="auto"/>
          </w:tcPr>
          <w:p w14:paraId="16BBE1E7" w14:textId="77777777" w:rsidR="00E507D4" w:rsidRPr="00E21F2E" w:rsidRDefault="00E507D4" w:rsidP="00B95821">
            <w:pPr>
              <w:pStyle w:val="BodyText"/>
              <w:spacing w:before="100" w:after="100"/>
              <w:rPr>
                <w:b/>
              </w:rPr>
            </w:pPr>
            <w:r w:rsidRPr="00E21F2E">
              <w:t>Greece</w:t>
            </w:r>
          </w:p>
        </w:tc>
        <w:tc>
          <w:tcPr>
            <w:tcW w:w="2182" w:type="dxa"/>
            <w:shd w:val="clear" w:color="auto" w:fill="auto"/>
          </w:tcPr>
          <w:p w14:paraId="40D61477" w14:textId="77777777" w:rsidR="00E507D4" w:rsidRPr="00E21F2E" w:rsidRDefault="00E507D4" w:rsidP="00B95821">
            <w:pPr>
              <w:pStyle w:val="BodyText"/>
              <w:spacing w:before="100" w:after="100"/>
              <w:rPr>
                <w:b/>
              </w:rPr>
            </w:pPr>
            <w:r w:rsidRPr="00E21F2E">
              <w:t>Hong Kong</w:t>
            </w:r>
          </w:p>
        </w:tc>
        <w:tc>
          <w:tcPr>
            <w:tcW w:w="2183" w:type="dxa"/>
            <w:shd w:val="clear" w:color="auto" w:fill="auto"/>
          </w:tcPr>
          <w:p w14:paraId="6FDBDFE3" w14:textId="77777777" w:rsidR="00E507D4" w:rsidRPr="00E21F2E" w:rsidRDefault="00E507D4" w:rsidP="00B95821">
            <w:pPr>
              <w:pStyle w:val="BodyText"/>
              <w:spacing w:before="100" w:after="100"/>
              <w:rPr>
                <w:b/>
              </w:rPr>
            </w:pPr>
            <w:r w:rsidRPr="00E21F2E">
              <w:t>Hungary</w:t>
            </w:r>
          </w:p>
        </w:tc>
      </w:tr>
      <w:tr w:rsidR="00E507D4" w:rsidRPr="00E21F2E" w14:paraId="4334BFFB" w14:textId="77777777" w:rsidTr="00B95821">
        <w:tc>
          <w:tcPr>
            <w:tcW w:w="2182" w:type="dxa"/>
            <w:shd w:val="clear" w:color="auto" w:fill="auto"/>
          </w:tcPr>
          <w:p w14:paraId="79FECC25" w14:textId="77777777" w:rsidR="00E507D4" w:rsidRPr="00E21F2E" w:rsidRDefault="00E507D4" w:rsidP="00B95821">
            <w:pPr>
              <w:pStyle w:val="BodyText"/>
              <w:spacing w:before="100" w:after="100"/>
              <w:rPr>
                <w:b/>
              </w:rPr>
            </w:pPr>
            <w:r w:rsidRPr="00E21F2E">
              <w:t>Indonesia</w:t>
            </w:r>
          </w:p>
        </w:tc>
        <w:tc>
          <w:tcPr>
            <w:tcW w:w="2183" w:type="dxa"/>
            <w:shd w:val="clear" w:color="auto" w:fill="auto"/>
          </w:tcPr>
          <w:p w14:paraId="3EEA96C9" w14:textId="77777777" w:rsidR="00E507D4" w:rsidRPr="00E21F2E" w:rsidRDefault="00E507D4" w:rsidP="00B95821">
            <w:pPr>
              <w:pStyle w:val="BodyText"/>
              <w:spacing w:before="100" w:after="100"/>
              <w:rPr>
                <w:b/>
              </w:rPr>
            </w:pPr>
            <w:r w:rsidRPr="00E21F2E">
              <w:t>India</w:t>
            </w:r>
          </w:p>
        </w:tc>
        <w:tc>
          <w:tcPr>
            <w:tcW w:w="2182" w:type="dxa"/>
            <w:shd w:val="clear" w:color="auto" w:fill="auto"/>
          </w:tcPr>
          <w:p w14:paraId="48A773DC" w14:textId="77777777" w:rsidR="00E507D4" w:rsidRPr="00E21F2E" w:rsidRDefault="00E507D4" w:rsidP="00B95821">
            <w:pPr>
              <w:pStyle w:val="BodyText"/>
              <w:spacing w:before="100" w:after="100"/>
              <w:rPr>
                <w:b/>
              </w:rPr>
            </w:pPr>
            <w:r w:rsidRPr="00E21F2E">
              <w:t>Ireland</w:t>
            </w:r>
          </w:p>
        </w:tc>
        <w:tc>
          <w:tcPr>
            <w:tcW w:w="2183" w:type="dxa"/>
            <w:shd w:val="clear" w:color="auto" w:fill="auto"/>
          </w:tcPr>
          <w:p w14:paraId="5B14ACC4" w14:textId="77777777" w:rsidR="00E507D4" w:rsidRPr="00E21F2E" w:rsidRDefault="00E507D4" w:rsidP="00B95821">
            <w:pPr>
              <w:pStyle w:val="BodyText"/>
              <w:spacing w:before="100" w:after="100"/>
              <w:rPr>
                <w:b/>
              </w:rPr>
            </w:pPr>
            <w:r w:rsidRPr="00E21F2E">
              <w:t>Italy</w:t>
            </w:r>
          </w:p>
        </w:tc>
      </w:tr>
      <w:tr w:rsidR="00E507D4" w:rsidRPr="00E21F2E" w14:paraId="6CE7CC9A" w14:textId="77777777" w:rsidTr="00B95821">
        <w:tc>
          <w:tcPr>
            <w:tcW w:w="2182" w:type="dxa"/>
            <w:shd w:val="clear" w:color="auto" w:fill="auto"/>
          </w:tcPr>
          <w:p w14:paraId="59B5E5C9" w14:textId="77777777" w:rsidR="00E507D4" w:rsidRPr="00E21F2E" w:rsidRDefault="00E507D4" w:rsidP="00B95821">
            <w:pPr>
              <w:pStyle w:val="BodyText"/>
              <w:spacing w:before="100" w:after="100"/>
              <w:rPr>
                <w:b/>
              </w:rPr>
            </w:pPr>
            <w:r w:rsidRPr="00E21F2E">
              <w:t xml:space="preserve">Japan </w:t>
            </w:r>
          </w:p>
        </w:tc>
        <w:tc>
          <w:tcPr>
            <w:tcW w:w="2183" w:type="dxa"/>
            <w:shd w:val="clear" w:color="auto" w:fill="auto"/>
          </w:tcPr>
          <w:p w14:paraId="323D358C" w14:textId="77777777" w:rsidR="00E507D4" w:rsidRPr="00E21F2E" w:rsidRDefault="00E507D4" w:rsidP="00B95821">
            <w:pPr>
              <w:pStyle w:val="BodyText"/>
              <w:spacing w:before="100" w:after="100"/>
              <w:rPr>
                <w:b/>
              </w:rPr>
            </w:pPr>
            <w:r w:rsidRPr="00E21F2E">
              <w:t>Malaysia</w:t>
            </w:r>
          </w:p>
        </w:tc>
        <w:tc>
          <w:tcPr>
            <w:tcW w:w="2182" w:type="dxa"/>
            <w:shd w:val="clear" w:color="auto" w:fill="auto"/>
          </w:tcPr>
          <w:p w14:paraId="713C1A6B" w14:textId="77777777" w:rsidR="00E507D4" w:rsidRPr="00E21F2E" w:rsidRDefault="00E507D4" w:rsidP="00B95821">
            <w:pPr>
              <w:pStyle w:val="BodyText"/>
              <w:spacing w:before="100" w:after="100"/>
              <w:rPr>
                <w:b/>
              </w:rPr>
            </w:pPr>
            <w:r w:rsidRPr="00E21F2E">
              <w:t>Netherlands</w:t>
            </w:r>
          </w:p>
        </w:tc>
        <w:tc>
          <w:tcPr>
            <w:tcW w:w="2183" w:type="dxa"/>
            <w:shd w:val="clear" w:color="auto" w:fill="auto"/>
          </w:tcPr>
          <w:p w14:paraId="29CE5D8E" w14:textId="77777777" w:rsidR="00E507D4" w:rsidRPr="00E21F2E" w:rsidRDefault="00E507D4" w:rsidP="00B95821">
            <w:pPr>
              <w:pStyle w:val="BodyText"/>
              <w:spacing w:before="100" w:after="100"/>
              <w:rPr>
                <w:b/>
              </w:rPr>
            </w:pPr>
            <w:r w:rsidRPr="00E21F2E">
              <w:t>New Zealand</w:t>
            </w:r>
          </w:p>
        </w:tc>
      </w:tr>
      <w:tr w:rsidR="00E507D4" w:rsidRPr="00E21F2E" w14:paraId="74520326" w14:textId="77777777" w:rsidTr="00B95821">
        <w:tc>
          <w:tcPr>
            <w:tcW w:w="2182" w:type="dxa"/>
            <w:shd w:val="clear" w:color="auto" w:fill="auto"/>
          </w:tcPr>
          <w:p w14:paraId="13A11CBF" w14:textId="77777777" w:rsidR="00E507D4" w:rsidRPr="00E21F2E" w:rsidRDefault="00E507D4" w:rsidP="00B95821">
            <w:pPr>
              <w:pStyle w:val="BodyText"/>
              <w:spacing w:before="100" w:after="100"/>
              <w:rPr>
                <w:b/>
              </w:rPr>
            </w:pPr>
            <w:r w:rsidRPr="00E21F2E">
              <w:t xml:space="preserve">Pakistan </w:t>
            </w:r>
          </w:p>
        </w:tc>
        <w:tc>
          <w:tcPr>
            <w:tcW w:w="2183" w:type="dxa"/>
            <w:shd w:val="clear" w:color="auto" w:fill="auto"/>
          </w:tcPr>
          <w:p w14:paraId="26D874F9" w14:textId="77777777" w:rsidR="00E507D4" w:rsidRPr="00E21F2E" w:rsidRDefault="00E507D4" w:rsidP="00B95821">
            <w:pPr>
              <w:pStyle w:val="BodyText"/>
              <w:spacing w:before="100" w:after="100"/>
              <w:rPr>
                <w:b/>
              </w:rPr>
            </w:pPr>
            <w:r w:rsidRPr="00E21F2E">
              <w:t>Philippines</w:t>
            </w:r>
          </w:p>
        </w:tc>
        <w:tc>
          <w:tcPr>
            <w:tcW w:w="2182" w:type="dxa"/>
            <w:shd w:val="clear" w:color="auto" w:fill="auto"/>
          </w:tcPr>
          <w:p w14:paraId="590C4707" w14:textId="77777777" w:rsidR="00E507D4" w:rsidRPr="00E21F2E" w:rsidRDefault="00E507D4" w:rsidP="00B95821">
            <w:pPr>
              <w:pStyle w:val="BodyText"/>
              <w:spacing w:before="100" w:after="100"/>
              <w:rPr>
                <w:b/>
              </w:rPr>
            </w:pPr>
            <w:r w:rsidRPr="00E21F2E">
              <w:t xml:space="preserve">Poland </w:t>
            </w:r>
          </w:p>
        </w:tc>
        <w:tc>
          <w:tcPr>
            <w:tcW w:w="2183" w:type="dxa"/>
            <w:shd w:val="clear" w:color="auto" w:fill="auto"/>
          </w:tcPr>
          <w:p w14:paraId="470DB7D3" w14:textId="77777777" w:rsidR="00E507D4" w:rsidRPr="00E21F2E" w:rsidRDefault="00E507D4" w:rsidP="00B95821">
            <w:pPr>
              <w:pStyle w:val="BodyText"/>
              <w:spacing w:before="100" w:after="100"/>
              <w:rPr>
                <w:b/>
              </w:rPr>
            </w:pPr>
            <w:r w:rsidRPr="00E21F2E">
              <w:t>Singapore</w:t>
            </w:r>
          </w:p>
        </w:tc>
      </w:tr>
      <w:tr w:rsidR="00E507D4" w:rsidRPr="00E21F2E" w14:paraId="5877D860" w14:textId="77777777" w:rsidTr="00B95821">
        <w:tc>
          <w:tcPr>
            <w:tcW w:w="2182" w:type="dxa"/>
            <w:shd w:val="clear" w:color="auto" w:fill="auto"/>
          </w:tcPr>
          <w:p w14:paraId="094FBF6B" w14:textId="77777777" w:rsidR="00E507D4" w:rsidRPr="00E21F2E" w:rsidRDefault="00E507D4" w:rsidP="00B95821">
            <w:pPr>
              <w:pStyle w:val="BodyText"/>
              <w:spacing w:before="100" w:after="100"/>
              <w:rPr>
                <w:b/>
              </w:rPr>
            </w:pPr>
            <w:r w:rsidRPr="00E21F2E">
              <w:t xml:space="preserve">South Africa </w:t>
            </w:r>
          </w:p>
        </w:tc>
        <w:tc>
          <w:tcPr>
            <w:tcW w:w="2183" w:type="dxa"/>
            <w:shd w:val="clear" w:color="auto" w:fill="auto"/>
          </w:tcPr>
          <w:p w14:paraId="536F3407" w14:textId="77777777" w:rsidR="00E507D4" w:rsidRPr="00E21F2E" w:rsidRDefault="00E507D4" w:rsidP="00B95821">
            <w:pPr>
              <w:pStyle w:val="BodyText"/>
              <w:spacing w:before="100" w:after="100"/>
              <w:rPr>
                <w:b/>
              </w:rPr>
            </w:pPr>
            <w:r w:rsidRPr="00E21F2E">
              <w:t>South Korea</w:t>
            </w:r>
          </w:p>
        </w:tc>
        <w:tc>
          <w:tcPr>
            <w:tcW w:w="2182" w:type="dxa"/>
            <w:shd w:val="clear" w:color="auto" w:fill="auto"/>
          </w:tcPr>
          <w:p w14:paraId="6C2BC74F" w14:textId="77777777" w:rsidR="00E507D4" w:rsidRPr="00E21F2E" w:rsidRDefault="00E507D4" w:rsidP="00B95821">
            <w:pPr>
              <w:pStyle w:val="BodyText"/>
              <w:spacing w:before="100" w:after="100"/>
              <w:rPr>
                <w:b/>
              </w:rPr>
            </w:pPr>
            <w:r w:rsidRPr="00E21F2E">
              <w:t xml:space="preserve">Taiwan </w:t>
            </w:r>
          </w:p>
        </w:tc>
        <w:tc>
          <w:tcPr>
            <w:tcW w:w="2183" w:type="dxa"/>
            <w:shd w:val="clear" w:color="auto" w:fill="auto"/>
          </w:tcPr>
          <w:p w14:paraId="668A0893" w14:textId="77777777" w:rsidR="00E507D4" w:rsidRPr="00E21F2E" w:rsidRDefault="00E507D4" w:rsidP="00B95821">
            <w:pPr>
              <w:pStyle w:val="BodyText"/>
              <w:spacing w:before="100" w:after="100"/>
              <w:rPr>
                <w:b/>
              </w:rPr>
            </w:pPr>
            <w:r w:rsidRPr="00E21F2E">
              <w:t>Thailand</w:t>
            </w:r>
          </w:p>
        </w:tc>
      </w:tr>
      <w:tr w:rsidR="00E507D4" w:rsidRPr="00E21F2E" w14:paraId="62DF9681" w14:textId="77777777" w:rsidTr="00B95821">
        <w:tc>
          <w:tcPr>
            <w:tcW w:w="2182" w:type="dxa"/>
            <w:shd w:val="clear" w:color="auto" w:fill="auto"/>
          </w:tcPr>
          <w:p w14:paraId="08B4C713" w14:textId="77777777" w:rsidR="00E507D4" w:rsidRPr="00E21F2E" w:rsidRDefault="00E507D4" w:rsidP="00B95821">
            <w:pPr>
              <w:pStyle w:val="BodyText"/>
              <w:spacing w:before="100" w:after="100"/>
              <w:rPr>
                <w:b/>
              </w:rPr>
            </w:pPr>
            <w:r w:rsidRPr="00E21F2E">
              <w:t>Turkey</w:t>
            </w:r>
          </w:p>
        </w:tc>
        <w:tc>
          <w:tcPr>
            <w:tcW w:w="2183" w:type="dxa"/>
            <w:shd w:val="clear" w:color="auto" w:fill="auto"/>
          </w:tcPr>
          <w:p w14:paraId="1A45E278" w14:textId="77777777" w:rsidR="00E507D4" w:rsidRPr="00E21F2E" w:rsidRDefault="00E507D4" w:rsidP="00B95821">
            <w:pPr>
              <w:pStyle w:val="BodyText"/>
              <w:spacing w:before="100" w:after="100"/>
              <w:rPr>
                <w:b/>
              </w:rPr>
            </w:pPr>
            <w:r w:rsidRPr="00E21F2E">
              <w:t>United Kingdom</w:t>
            </w:r>
          </w:p>
        </w:tc>
        <w:tc>
          <w:tcPr>
            <w:tcW w:w="2182" w:type="dxa"/>
            <w:shd w:val="clear" w:color="auto" w:fill="auto"/>
          </w:tcPr>
          <w:p w14:paraId="060DE2C6" w14:textId="77777777" w:rsidR="00E507D4" w:rsidRPr="00E21F2E" w:rsidRDefault="00E507D4" w:rsidP="00B95821">
            <w:pPr>
              <w:pStyle w:val="BodyText"/>
              <w:spacing w:before="100" w:after="100"/>
              <w:rPr>
                <w:b/>
              </w:rPr>
            </w:pPr>
            <w:r w:rsidRPr="00E21F2E">
              <w:t xml:space="preserve">USA </w:t>
            </w:r>
          </w:p>
        </w:tc>
        <w:tc>
          <w:tcPr>
            <w:tcW w:w="2183" w:type="dxa"/>
            <w:shd w:val="clear" w:color="auto" w:fill="auto"/>
          </w:tcPr>
          <w:p w14:paraId="5DC17CDA" w14:textId="77777777" w:rsidR="00E507D4" w:rsidRPr="00E21F2E" w:rsidRDefault="00E507D4" w:rsidP="00B95821">
            <w:pPr>
              <w:pStyle w:val="BodyText"/>
              <w:spacing w:before="100" w:after="100"/>
              <w:rPr>
                <w:b/>
              </w:rPr>
            </w:pPr>
            <w:r w:rsidRPr="00E21F2E">
              <w:t>Vietnam</w:t>
            </w:r>
          </w:p>
        </w:tc>
      </w:tr>
    </w:tbl>
    <w:p w14:paraId="369DAE80" w14:textId="77777777" w:rsidR="00E507D4" w:rsidRDefault="00E507D4" w:rsidP="00E507D4">
      <w:pPr>
        <w:spacing w:after="200"/>
        <w:outlineLvl w:val="5"/>
        <w:rPr>
          <w:rFonts w:eastAsia="Times New Roman" w:cs="Arial"/>
          <w:sz w:val="20"/>
          <w:szCs w:val="20"/>
          <w:lang w:val="en-AU"/>
        </w:rPr>
      </w:pPr>
    </w:p>
    <w:p w14:paraId="5A3C43F5" w14:textId="77777777" w:rsidR="00E507D4" w:rsidRPr="00B7364B" w:rsidRDefault="00E507D4" w:rsidP="00E507D4">
      <w:pPr>
        <w:pStyle w:val="Heading6"/>
        <w:spacing w:before="240"/>
        <w:ind w:left="0" w:firstLine="0"/>
        <w:rPr>
          <w:rFonts w:cs="Arial"/>
          <w:szCs w:val="20"/>
          <w:lang w:val="en-AU"/>
        </w:rPr>
      </w:pPr>
      <w:bookmarkStart w:id="2179" w:name="_Toc508361996"/>
      <w:r w:rsidRPr="00B7364B">
        <w:rPr>
          <w:rFonts w:cs="Arial"/>
          <w:szCs w:val="20"/>
          <w:lang w:val="en-AU"/>
        </w:rPr>
        <w:t>My Account</w:t>
      </w:r>
      <w:bookmarkEnd w:id="2179"/>
    </w:p>
    <w:p w14:paraId="5507F794" w14:textId="77777777" w:rsidR="00E507D4" w:rsidRPr="000334D7" w:rsidRDefault="00E507D4" w:rsidP="00E507D4">
      <w:pPr>
        <w:pStyle w:val="OptusH3"/>
        <w:numPr>
          <w:ilvl w:val="2"/>
          <w:numId w:val="61"/>
        </w:numPr>
        <w:tabs>
          <w:tab w:val="clear" w:pos="2127"/>
          <w:tab w:val="num" w:pos="1448"/>
          <w:tab w:val="left" w:pos="1701"/>
        </w:tabs>
        <w:spacing w:after="240"/>
        <w:ind w:left="1448" w:hanging="738"/>
        <w:rPr>
          <w:sz w:val="20"/>
        </w:rPr>
      </w:pPr>
      <w:r w:rsidRPr="0035397C">
        <w:rPr>
          <w:rFonts w:cs="Arial"/>
          <w:sz w:val="20"/>
        </w:rPr>
        <w:t xml:space="preserve">Services that share data may have a service login to My Account which will display all of the service numbers contributing to or using the shared data pool on </w:t>
      </w:r>
      <w:r w:rsidRPr="0035397C">
        <w:rPr>
          <w:rFonts w:cs="Arial"/>
          <w:i/>
          <w:sz w:val="20"/>
        </w:rPr>
        <w:t xml:space="preserve">your </w:t>
      </w:r>
      <w:r w:rsidRPr="0035397C">
        <w:rPr>
          <w:rFonts w:cs="Arial"/>
          <w:sz w:val="20"/>
        </w:rPr>
        <w:t xml:space="preserve">account and the amount of data each service has used. If </w:t>
      </w:r>
      <w:r w:rsidRPr="0035397C">
        <w:rPr>
          <w:rFonts w:cs="Arial"/>
          <w:i/>
          <w:sz w:val="20"/>
        </w:rPr>
        <w:t>you</w:t>
      </w:r>
      <w:r w:rsidRPr="0035397C">
        <w:rPr>
          <w:rFonts w:cs="Arial"/>
          <w:sz w:val="20"/>
        </w:rPr>
        <w:t xml:space="preserve"> have more than 6 services on </w:t>
      </w:r>
      <w:r w:rsidRPr="0035397C">
        <w:rPr>
          <w:rFonts w:cs="Arial"/>
          <w:i/>
          <w:sz w:val="20"/>
        </w:rPr>
        <w:t>your</w:t>
      </w:r>
      <w:r w:rsidRPr="0035397C">
        <w:rPr>
          <w:rFonts w:cs="Arial"/>
          <w:sz w:val="20"/>
        </w:rPr>
        <w:t xml:space="preserve"> account, My Account may not be suitable for viewing usage and managing </w:t>
      </w:r>
      <w:r w:rsidRPr="0035397C">
        <w:rPr>
          <w:rFonts w:cs="Arial"/>
          <w:i/>
          <w:sz w:val="20"/>
        </w:rPr>
        <w:t xml:space="preserve">your </w:t>
      </w:r>
      <w:r w:rsidRPr="0035397C">
        <w:rPr>
          <w:rFonts w:cs="Arial"/>
          <w:sz w:val="20"/>
        </w:rPr>
        <w:t>usage alerts.</w:t>
      </w:r>
    </w:p>
    <w:p w14:paraId="2DB1BFFC" w14:textId="77777777" w:rsidR="00E507D4" w:rsidRDefault="00E507D4" w:rsidP="00E507D4">
      <w:pPr>
        <w:rPr>
          <w:sz w:val="20"/>
          <w:szCs w:val="20"/>
        </w:rPr>
      </w:pPr>
    </w:p>
    <w:p w14:paraId="171EEA82" w14:textId="77777777" w:rsidR="00E507D4" w:rsidRPr="00FC5779" w:rsidRDefault="00E507D4" w:rsidP="00E507D4">
      <w:pPr>
        <w:pStyle w:val="Heading4"/>
        <w:rPr>
          <w:lang w:val="en-AU"/>
        </w:rPr>
      </w:pPr>
      <w:bookmarkStart w:id="2180" w:name="_Toc484513939"/>
      <w:bookmarkStart w:id="2181" w:name="_Toc508361997"/>
      <w:bookmarkStart w:id="2182" w:name="_Toc62644710"/>
      <w:r>
        <w:rPr>
          <w:lang w:val="en-AU"/>
        </w:rPr>
        <w:t xml:space="preserve">$85 / $110 </w:t>
      </w:r>
      <w:r w:rsidRPr="00FC5779">
        <w:rPr>
          <w:lang w:val="en-AU"/>
        </w:rPr>
        <w:t>My Plan Business Tech Fund</w:t>
      </w:r>
      <w:bookmarkEnd w:id="2180"/>
      <w:bookmarkEnd w:id="2181"/>
      <w:bookmarkEnd w:id="2182"/>
    </w:p>
    <w:p w14:paraId="18174D67" w14:textId="77777777" w:rsidR="00E507D4" w:rsidRDefault="00E507D4" w:rsidP="00E507D4">
      <w:pPr>
        <w:pStyle w:val="BodyText"/>
        <w:ind w:left="720"/>
      </w:pPr>
      <w:r w:rsidRPr="00FC5779">
        <w:rPr>
          <w:lang w:val="en-AU"/>
        </w:rPr>
        <w:t xml:space="preserve">This section relates to the following plans. </w:t>
      </w:r>
      <w:r w:rsidRPr="00FC5779">
        <w:rPr>
          <w:i/>
          <w:lang w:val="en-AU"/>
        </w:rPr>
        <w:t>You</w:t>
      </w:r>
      <w:r w:rsidRPr="00FC5779">
        <w:rPr>
          <w:lang w:val="en-AU"/>
        </w:rPr>
        <w:t xml:space="preserve"> can find </w:t>
      </w:r>
      <w:r w:rsidRPr="00FC5779">
        <w:rPr>
          <w:i/>
          <w:lang w:val="en-AU"/>
        </w:rPr>
        <w:t>your</w:t>
      </w:r>
      <w:r w:rsidRPr="00FC5779">
        <w:rPr>
          <w:lang w:val="en-AU"/>
        </w:rPr>
        <w:t xml:space="preserve"> Plan ID on </w:t>
      </w:r>
      <w:r w:rsidRPr="00FC5779">
        <w:rPr>
          <w:i/>
          <w:lang w:val="en-AU"/>
        </w:rPr>
        <w:t>your</w:t>
      </w:r>
      <w:r w:rsidRPr="00FC5779">
        <w:rPr>
          <w:lang w:val="en-AU"/>
        </w:rPr>
        <w:t xml:space="preserve"> bill under the Mobile Number Summary section:</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2121"/>
        <w:gridCol w:w="3828"/>
      </w:tblGrid>
      <w:tr w:rsidR="00E507D4" w:rsidRPr="00090AB3" w14:paraId="5AFDB3FA" w14:textId="77777777" w:rsidTr="00362A0B">
        <w:trPr>
          <w:jc w:val="center"/>
        </w:trPr>
        <w:tc>
          <w:tcPr>
            <w:tcW w:w="3827" w:type="dxa"/>
            <w:shd w:val="clear" w:color="auto" w:fill="auto"/>
          </w:tcPr>
          <w:p w14:paraId="51012988" w14:textId="77777777" w:rsidR="00E507D4" w:rsidRPr="00EE0D35" w:rsidRDefault="00E507D4" w:rsidP="00B95821">
            <w:pPr>
              <w:pStyle w:val="BodyText"/>
              <w:spacing w:before="100" w:after="100"/>
              <w:jc w:val="center"/>
              <w:rPr>
                <w:b/>
                <w:lang w:val="en-AU"/>
              </w:rPr>
            </w:pPr>
            <w:r w:rsidRPr="00EE0D35">
              <w:rPr>
                <w:b/>
                <w:lang w:val="en-AU"/>
              </w:rPr>
              <w:t>Plan</w:t>
            </w:r>
          </w:p>
        </w:tc>
        <w:tc>
          <w:tcPr>
            <w:tcW w:w="2121" w:type="dxa"/>
            <w:shd w:val="clear" w:color="auto" w:fill="auto"/>
          </w:tcPr>
          <w:p w14:paraId="34A31A54" w14:textId="77777777" w:rsidR="00E507D4" w:rsidRPr="00EE0D35" w:rsidRDefault="00E507D4" w:rsidP="00B95821">
            <w:pPr>
              <w:pStyle w:val="BodyText"/>
              <w:spacing w:before="100" w:after="100"/>
              <w:jc w:val="center"/>
              <w:rPr>
                <w:b/>
                <w:lang w:val="en-AU"/>
              </w:rPr>
            </w:pPr>
            <w:r w:rsidRPr="00EE0D35">
              <w:rPr>
                <w:b/>
                <w:lang w:val="en-AU"/>
              </w:rPr>
              <w:t>Plan ID</w:t>
            </w:r>
          </w:p>
        </w:tc>
        <w:tc>
          <w:tcPr>
            <w:tcW w:w="3828" w:type="dxa"/>
            <w:shd w:val="clear" w:color="auto" w:fill="auto"/>
          </w:tcPr>
          <w:p w14:paraId="7035CCC6" w14:textId="77777777" w:rsidR="00E507D4" w:rsidRPr="00EE0D35" w:rsidRDefault="00E507D4" w:rsidP="00B95821">
            <w:pPr>
              <w:pStyle w:val="BodyText"/>
              <w:spacing w:before="100" w:after="100"/>
              <w:jc w:val="center"/>
              <w:rPr>
                <w:b/>
                <w:lang w:val="en-AU"/>
              </w:rPr>
            </w:pPr>
            <w:r w:rsidRPr="00EE0D35">
              <w:rPr>
                <w:b/>
                <w:lang w:val="en-AU"/>
              </w:rPr>
              <w:t>Available</w:t>
            </w:r>
          </w:p>
        </w:tc>
      </w:tr>
      <w:tr w:rsidR="00E507D4" w:rsidRPr="00A974C9" w14:paraId="59E0B29A" w14:textId="77777777" w:rsidTr="00362A0B">
        <w:trPr>
          <w:jc w:val="center"/>
        </w:trPr>
        <w:tc>
          <w:tcPr>
            <w:tcW w:w="3827" w:type="dxa"/>
            <w:shd w:val="clear" w:color="auto" w:fill="auto"/>
          </w:tcPr>
          <w:p w14:paraId="51EE54F6" w14:textId="77777777" w:rsidR="00E507D4" w:rsidRPr="00A974C9" w:rsidRDefault="00E507D4" w:rsidP="00B95821">
            <w:pPr>
              <w:pStyle w:val="BodyText"/>
              <w:spacing w:before="100" w:after="100"/>
              <w:jc w:val="center"/>
              <w:rPr>
                <w:lang w:val="en-AU"/>
              </w:rPr>
            </w:pPr>
            <w:r>
              <w:t>$85</w:t>
            </w:r>
            <w:r w:rsidRPr="00A974C9">
              <w:t xml:space="preserve"> My Plan Business Tech Fund</w:t>
            </w:r>
          </w:p>
        </w:tc>
        <w:tc>
          <w:tcPr>
            <w:tcW w:w="2121" w:type="dxa"/>
            <w:shd w:val="clear" w:color="auto" w:fill="auto"/>
          </w:tcPr>
          <w:p w14:paraId="3F3E44B9" w14:textId="77777777" w:rsidR="00E507D4" w:rsidRPr="00A974C9" w:rsidRDefault="00E507D4" w:rsidP="00B95821">
            <w:pPr>
              <w:pStyle w:val="BodyText"/>
              <w:spacing w:before="100" w:after="100"/>
              <w:jc w:val="center"/>
            </w:pPr>
            <w:r>
              <w:t>800700, 10616215</w:t>
            </w:r>
          </w:p>
        </w:tc>
        <w:tc>
          <w:tcPr>
            <w:tcW w:w="3828" w:type="dxa"/>
            <w:shd w:val="clear" w:color="auto" w:fill="auto"/>
          </w:tcPr>
          <w:p w14:paraId="52DF4180" w14:textId="77777777" w:rsidR="00E507D4" w:rsidRPr="00A974C9" w:rsidRDefault="00E507D4" w:rsidP="00B95821">
            <w:pPr>
              <w:pStyle w:val="BodyText"/>
              <w:spacing w:before="100" w:after="100"/>
              <w:jc w:val="center"/>
            </w:pPr>
            <w:r>
              <w:rPr>
                <w:lang w:val="en-AU"/>
              </w:rPr>
              <w:t>5 June 2017</w:t>
            </w:r>
            <w:r w:rsidR="00362A0B" w:rsidRPr="00E85FA3">
              <w:t xml:space="preserve"> – 30 </w:t>
            </w:r>
            <w:r w:rsidR="00856E4A">
              <w:t>June</w:t>
            </w:r>
            <w:r w:rsidR="00362A0B" w:rsidRPr="00E85FA3">
              <w:t xml:space="preserve"> 2018</w:t>
            </w:r>
          </w:p>
        </w:tc>
      </w:tr>
      <w:tr w:rsidR="00E507D4" w:rsidRPr="00F632D6" w14:paraId="76D63409" w14:textId="77777777" w:rsidTr="00362A0B">
        <w:trPr>
          <w:trHeight w:val="53"/>
          <w:jc w:val="center"/>
        </w:trPr>
        <w:tc>
          <w:tcPr>
            <w:tcW w:w="3827" w:type="dxa"/>
            <w:shd w:val="clear" w:color="auto" w:fill="auto"/>
          </w:tcPr>
          <w:p w14:paraId="1C309564" w14:textId="77777777" w:rsidR="00E507D4" w:rsidRPr="00F632D6" w:rsidRDefault="00E507D4" w:rsidP="00B95821">
            <w:pPr>
              <w:pStyle w:val="BodyText"/>
              <w:spacing w:before="100" w:after="100"/>
              <w:jc w:val="center"/>
            </w:pPr>
            <w:r>
              <w:t>$110</w:t>
            </w:r>
            <w:r w:rsidRPr="00F632D6">
              <w:t xml:space="preserve"> My Plan Business Tech Fund</w:t>
            </w:r>
          </w:p>
        </w:tc>
        <w:tc>
          <w:tcPr>
            <w:tcW w:w="2121" w:type="dxa"/>
            <w:shd w:val="clear" w:color="auto" w:fill="auto"/>
          </w:tcPr>
          <w:p w14:paraId="0EDFCFD5" w14:textId="77777777" w:rsidR="00E507D4" w:rsidRPr="00F632D6" w:rsidDel="00432A16" w:rsidRDefault="00E507D4" w:rsidP="00B95821">
            <w:pPr>
              <w:pStyle w:val="BodyText"/>
              <w:spacing w:before="100" w:after="100"/>
              <w:jc w:val="center"/>
            </w:pPr>
            <w:r>
              <w:t>800701, 10616225</w:t>
            </w:r>
          </w:p>
        </w:tc>
        <w:tc>
          <w:tcPr>
            <w:tcW w:w="3828" w:type="dxa"/>
            <w:shd w:val="clear" w:color="auto" w:fill="auto"/>
          </w:tcPr>
          <w:p w14:paraId="3B34E231" w14:textId="77777777" w:rsidR="00E507D4" w:rsidRPr="00F632D6" w:rsidRDefault="00E507D4" w:rsidP="00B95821">
            <w:pPr>
              <w:pStyle w:val="BodyText"/>
              <w:spacing w:before="100" w:after="100"/>
              <w:jc w:val="center"/>
              <w:rPr>
                <w:lang w:val="en-AU"/>
              </w:rPr>
            </w:pPr>
            <w:r>
              <w:rPr>
                <w:lang w:val="en-AU"/>
              </w:rPr>
              <w:t>5 June 2017</w:t>
            </w:r>
            <w:r w:rsidR="00362A0B" w:rsidRPr="00E85FA3">
              <w:t xml:space="preserve"> – 30 </w:t>
            </w:r>
            <w:r w:rsidR="00856E4A">
              <w:t>June</w:t>
            </w:r>
            <w:r w:rsidR="00362A0B" w:rsidRPr="00E85FA3">
              <w:t xml:space="preserve"> 2018</w:t>
            </w:r>
          </w:p>
        </w:tc>
      </w:tr>
    </w:tbl>
    <w:p w14:paraId="12972CFE" w14:textId="77777777" w:rsidR="00E507D4" w:rsidRPr="00FC5779" w:rsidRDefault="00E507D4" w:rsidP="00E507D4">
      <w:pPr>
        <w:pStyle w:val="BodyText"/>
        <w:rPr>
          <w:b/>
        </w:rPr>
      </w:pPr>
    </w:p>
    <w:p w14:paraId="4CA5B928" w14:textId="77777777" w:rsidR="00E507D4" w:rsidRPr="00CD3F2D" w:rsidRDefault="00E507D4" w:rsidP="00E507D4">
      <w:pPr>
        <w:pStyle w:val="Heading6"/>
        <w:ind w:left="0" w:firstLine="0"/>
        <w:rPr>
          <w:lang w:val="en-AU"/>
        </w:rPr>
      </w:pPr>
      <w:bookmarkStart w:id="2183" w:name="_Toc484513940"/>
      <w:bookmarkStart w:id="2184" w:name="_Toc508361998"/>
      <w:r w:rsidRPr="00CD3F2D">
        <w:rPr>
          <w:lang w:val="en-AU"/>
        </w:rPr>
        <w:t>Eligibility</w:t>
      </w:r>
      <w:bookmarkEnd w:id="2183"/>
      <w:bookmarkEnd w:id="2184"/>
    </w:p>
    <w:p w14:paraId="0CBD05CE" w14:textId="77777777" w:rsidR="00E507D4" w:rsidRPr="00C12929" w:rsidRDefault="00E507D4" w:rsidP="00E507D4">
      <w:pPr>
        <w:pStyle w:val="BodyText"/>
        <w:ind w:left="720"/>
        <w:rPr>
          <w:lang w:val="en-AU"/>
        </w:rPr>
      </w:pPr>
      <w:r w:rsidRPr="00C12929">
        <w:rPr>
          <w:lang w:val="en-AU"/>
        </w:rPr>
        <w:t>The My Plan Business Tech Fund plans are available to new and existing business mobile customers who pass Optus</w:t>
      </w:r>
      <w:r>
        <w:rPr>
          <w:lang w:val="en-AU"/>
        </w:rPr>
        <w:t>'</w:t>
      </w:r>
      <w:r w:rsidRPr="00C12929">
        <w:rPr>
          <w:lang w:val="en-AU"/>
        </w:rPr>
        <w:t xml:space="preserve"> credit assessment. To be eligible for this plan, businesses must provide Optus with a registered ACN, ARBN or ABN and must sign up for a minimum of 6 services to a My Plan Business Tech Fund Plan on a single Optus billing account. </w:t>
      </w:r>
    </w:p>
    <w:p w14:paraId="4A94743F" w14:textId="77777777" w:rsidR="00E507D4" w:rsidRPr="00C12929" w:rsidRDefault="00E507D4" w:rsidP="00E507D4">
      <w:pPr>
        <w:pStyle w:val="BodyText"/>
        <w:ind w:left="720"/>
        <w:rPr>
          <w:lang w:val="en-AU"/>
        </w:rPr>
      </w:pPr>
      <w:r w:rsidRPr="00C12929">
        <w:rPr>
          <w:lang w:val="en-AU"/>
        </w:rPr>
        <w:t>Optus Service Providers</w:t>
      </w:r>
      <w:r>
        <w:rPr>
          <w:lang w:val="en-AU"/>
        </w:rPr>
        <w:t>'</w:t>
      </w:r>
      <w:r w:rsidRPr="00C12929">
        <w:rPr>
          <w:lang w:val="en-AU"/>
        </w:rPr>
        <w:t xml:space="preserve"> customers are not eligible to apply.</w:t>
      </w:r>
    </w:p>
    <w:p w14:paraId="3C3C6882" w14:textId="77777777" w:rsidR="00E507D4" w:rsidRDefault="00E507D4" w:rsidP="00E507D4">
      <w:pPr>
        <w:pStyle w:val="BodyText"/>
        <w:ind w:left="720"/>
        <w:rPr>
          <w:lang w:val="en-AU"/>
        </w:rPr>
      </w:pPr>
      <w:r w:rsidRPr="00C12929">
        <w:rPr>
          <w:lang w:val="en-AU"/>
        </w:rPr>
        <w:t xml:space="preserve">These </w:t>
      </w:r>
      <w:r w:rsidRPr="00C12929">
        <w:rPr>
          <w:i/>
          <w:lang w:val="en-AU"/>
        </w:rPr>
        <w:t>plans</w:t>
      </w:r>
      <w:r w:rsidRPr="00C12929">
        <w:rPr>
          <w:lang w:val="en-AU"/>
        </w:rPr>
        <w:t xml:space="preserve"> aren</w:t>
      </w:r>
      <w:r>
        <w:rPr>
          <w:lang w:val="en-AU"/>
        </w:rPr>
        <w:t>'</w:t>
      </w:r>
      <w:r w:rsidRPr="00C12929">
        <w:rPr>
          <w:lang w:val="en-AU"/>
        </w:rPr>
        <w:t>t compatible for data use with BlackBerry handsets on operating systems of 7.1 or earlier.</w:t>
      </w:r>
    </w:p>
    <w:p w14:paraId="748211F9" w14:textId="77777777" w:rsidR="00E507D4" w:rsidRDefault="00E507D4" w:rsidP="00E507D4">
      <w:pPr>
        <w:spacing w:after="200"/>
        <w:ind w:left="720"/>
        <w:rPr>
          <w:sz w:val="20"/>
        </w:rPr>
      </w:pPr>
      <w:r w:rsidRPr="00656EA8">
        <w:rPr>
          <w:sz w:val="20"/>
        </w:rPr>
        <w:t>This is a promotional plan tha</w:t>
      </w:r>
      <w:r>
        <w:rPr>
          <w:sz w:val="20"/>
        </w:rPr>
        <w:t xml:space="preserve">t is only available to selected </w:t>
      </w:r>
      <w:r w:rsidRPr="00656EA8">
        <w:rPr>
          <w:sz w:val="20"/>
        </w:rPr>
        <w:t>customers via Business Chan</w:t>
      </w:r>
      <w:r>
        <w:rPr>
          <w:sz w:val="20"/>
        </w:rPr>
        <w:t xml:space="preserve">nel Partners. Only new services </w:t>
      </w:r>
      <w:r w:rsidRPr="00656EA8">
        <w:rPr>
          <w:sz w:val="20"/>
        </w:rPr>
        <w:t xml:space="preserve">can be activated onto this plan. </w:t>
      </w:r>
    </w:p>
    <w:p w14:paraId="3CF879FD" w14:textId="77777777" w:rsidR="00E507D4" w:rsidRDefault="00E507D4" w:rsidP="00E507D4">
      <w:pPr>
        <w:spacing w:after="200"/>
        <w:ind w:left="720"/>
        <w:rPr>
          <w:sz w:val="20"/>
        </w:rPr>
      </w:pPr>
      <w:r w:rsidRPr="00656EA8">
        <w:rPr>
          <w:sz w:val="20"/>
        </w:rPr>
        <w:t>T</w:t>
      </w:r>
      <w:r>
        <w:rPr>
          <w:sz w:val="20"/>
        </w:rPr>
        <w:t xml:space="preserve">o be eligible for this plan you </w:t>
      </w:r>
      <w:r w:rsidRPr="00656EA8">
        <w:rPr>
          <w:sz w:val="20"/>
        </w:rPr>
        <w:t>or your business must provide</w:t>
      </w:r>
      <w:r>
        <w:rPr>
          <w:sz w:val="20"/>
        </w:rPr>
        <w:t xml:space="preserve"> us with a registered ABN, ARBN </w:t>
      </w:r>
      <w:r w:rsidRPr="00656EA8">
        <w:rPr>
          <w:sz w:val="20"/>
        </w:rPr>
        <w:t xml:space="preserve">or ACN. </w:t>
      </w:r>
    </w:p>
    <w:p w14:paraId="236CB48E" w14:textId="77777777" w:rsidR="00E507D4" w:rsidRPr="00E21181" w:rsidRDefault="00E507D4" w:rsidP="00E507D4">
      <w:pPr>
        <w:spacing w:after="200"/>
        <w:ind w:left="720"/>
        <w:rPr>
          <w:sz w:val="20"/>
        </w:rPr>
      </w:pPr>
      <w:r w:rsidRPr="00656EA8">
        <w:rPr>
          <w:sz w:val="20"/>
        </w:rPr>
        <w:t xml:space="preserve">You must also sign </w:t>
      </w:r>
      <w:r>
        <w:rPr>
          <w:sz w:val="20"/>
        </w:rPr>
        <w:t>up a minimum of 6 services to a My Plan Business Tech Fund</w:t>
      </w:r>
      <w:r w:rsidRPr="00656EA8">
        <w:rPr>
          <w:sz w:val="20"/>
        </w:rPr>
        <w:t>.</w:t>
      </w:r>
    </w:p>
    <w:p w14:paraId="1C5776AB" w14:textId="77777777" w:rsidR="00E507D4" w:rsidRPr="00CD3F2D" w:rsidRDefault="00E507D4" w:rsidP="00E507D4">
      <w:pPr>
        <w:pStyle w:val="Heading6"/>
        <w:ind w:left="0" w:firstLine="0"/>
        <w:rPr>
          <w:lang w:val="en-AU"/>
        </w:rPr>
      </w:pPr>
      <w:bookmarkStart w:id="2185" w:name="_Toc484513941"/>
      <w:bookmarkStart w:id="2186" w:name="_Toc508361999"/>
      <w:r w:rsidRPr="00CD3F2D">
        <w:rPr>
          <w:lang w:val="en-AU"/>
        </w:rPr>
        <w:t>Minimum Term</w:t>
      </w:r>
      <w:bookmarkEnd w:id="2185"/>
      <w:bookmarkEnd w:id="2186"/>
    </w:p>
    <w:p w14:paraId="627031BF" w14:textId="77777777" w:rsidR="00E507D4" w:rsidRPr="00C12929" w:rsidRDefault="00E507D4" w:rsidP="00E507D4">
      <w:pPr>
        <w:pStyle w:val="BodyText"/>
        <w:ind w:firstLine="720"/>
        <w:rPr>
          <w:lang w:val="en-AU"/>
        </w:rPr>
      </w:pPr>
      <w:r w:rsidRPr="00C12929">
        <w:rPr>
          <w:lang w:val="en-AU"/>
        </w:rPr>
        <w:t xml:space="preserve">These </w:t>
      </w:r>
      <w:r w:rsidRPr="00C12929">
        <w:rPr>
          <w:i/>
          <w:lang w:val="en-AU"/>
        </w:rPr>
        <w:t>plans</w:t>
      </w:r>
      <w:r w:rsidRPr="00C12929">
        <w:rPr>
          <w:lang w:val="en-AU"/>
        </w:rPr>
        <w:t xml:space="preserve"> have</w:t>
      </w:r>
      <w:r w:rsidRPr="00C12929">
        <w:rPr>
          <w:i/>
          <w:lang w:val="en-AU"/>
        </w:rPr>
        <w:t xml:space="preserve"> </w:t>
      </w:r>
      <w:r w:rsidRPr="00C12929">
        <w:rPr>
          <w:lang w:val="en-AU"/>
        </w:rPr>
        <w:t xml:space="preserve">a </w:t>
      </w:r>
      <w:r w:rsidRPr="00C12929">
        <w:rPr>
          <w:i/>
          <w:lang w:val="en-AU"/>
        </w:rPr>
        <w:t>fixed length agreement</w:t>
      </w:r>
      <w:r w:rsidRPr="00C12929">
        <w:rPr>
          <w:lang w:val="en-AU"/>
        </w:rPr>
        <w:t xml:space="preserve"> with a 24 month </w:t>
      </w:r>
      <w:r w:rsidRPr="00C12929">
        <w:rPr>
          <w:i/>
          <w:lang w:val="en-AU"/>
        </w:rPr>
        <w:t>minimum term.</w:t>
      </w:r>
    </w:p>
    <w:p w14:paraId="05314C00" w14:textId="77777777" w:rsidR="00E507D4" w:rsidRPr="00CD3F2D" w:rsidRDefault="00E507D4" w:rsidP="00E507D4">
      <w:pPr>
        <w:pStyle w:val="Heading6"/>
        <w:ind w:left="0" w:firstLine="0"/>
        <w:rPr>
          <w:lang w:val="en-AU"/>
        </w:rPr>
      </w:pPr>
      <w:bookmarkStart w:id="2187" w:name="_Toc484513942"/>
      <w:bookmarkStart w:id="2188" w:name="_Toc508362000"/>
      <w:r w:rsidRPr="00CD3F2D">
        <w:rPr>
          <w:lang w:val="en-AU"/>
        </w:rPr>
        <w:t>What you have to pay us</w:t>
      </w:r>
      <w:bookmarkEnd w:id="2187"/>
      <w:bookmarkEnd w:id="2188"/>
    </w:p>
    <w:p w14:paraId="4F3D46C9" w14:textId="77777777" w:rsidR="00E507D4" w:rsidRPr="00C12929" w:rsidRDefault="00E507D4" w:rsidP="00E507D4">
      <w:pPr>
        <w:pStyle w:val="Heading7"/>
        <w:rPr>
          <w:lang w:val="en-AU"/>
        </w:rPr>
      </w:pPr>
      <w:r w:rsidRPr="00C12929">
        <w:rPr>
          <w:i/>
          <w:lang w:val="en-AU"/>
        </w:rPr>
        <w:lastRenderedPageBreak/>
        <w:t>You</w:t>
      </w:r>
      <w:r w:rsidRPr="00C12929">
        <w:rPr>
          <w:lang w:val="en-AU"/>
        </w:rPr>
        <w:t xml:space="preserve"> must pay </w:t>
      </w:r>
      <w:r w:rsidRPr="00C12929">
        <w:rPr>
          <w:i/>
          <w:lang w:val="en-AU"/>
        </w:rPr>
        <w:t>us</w:t>
      </w:r>
      <w:r w:rsidRPr="00C12929">
        <w:rPr>
          <w:lang w:val="en-AU"/>
        </w:rPr>
        <w:t xml:space="preserve"> for use of the </w:t>
      </w:r>
      <w:r w:rsidRPr="00C12929">
        <w:rPr>
          <w:i/>
          <w:lang w:val="en-AU"/>
        </w:rPr>
        <w:t>service</w:t>
      </w:r>
      <w:r w:rsidRPr="00C12929">
        <w:rPr>
          <w:lang w:val="en-AU"/>
        </w:rPr>
        <w:t xml:space="preserve"> at the rates set out in Section 1 of this </w:t>
      </w:r>
      <w:r w:rsidRPr="00C12929">
        <w:rPr>
          <w:i/>
          <w:lang w:val="en-AU"/>
        </w:rPr>
        <w:t>standard pricing table</w:t>
      </w:r>
      <w:r w:rsidRPr="00C12929">
        <w:rPr>
          <w:lang w:val="en-AU"/>
        </w:rPr>
        <w:t xml:space="preserve"> and for value added service features at the rates set out in </w:t>
      </w:r>
      <w:hyperlink r:id="rId843" w:history="1">
        <w:r w:rsidRPr="00365735">
          <w:rPr>
            <w:rStyle w:val="Hyperlink"/>
            <w:i/>
            <w:lang w:val="en-AU"/>
          </w:rPr>
          <w:t>Appendix Y Value Added Service Features</w:t>
        </w:r>
        <w:r w:rsidRPr="004F0BB5">
          <w:rPr>
            <w:rStyle w:val="Hyperlink"/>
            <w:lang w:val="en-AU"/>
          </w:rPr>
          <w:t>.</w:t>
        </w:r>
      </w:hyperlink>
    </w:p>
    <w:p w14:paraId="7CD15BFE" w14:textId="77777777" w:rsidR="00E507D4" w:rsidRPr="00C12929" w:rsidRDefault="00E507D4" w:rsidP="00E507D4">
      <w:pPr>
        <w:pStyle w:val="Heading7"/>
        <w:rPr>
          <w:lang w:val="en-AU"/>
        </w:rPr>
      </w:pPr>
      <w:r w:rsidRPr="00C12929">
        <w:rPr>
          <w:lang w:val="en-AU"/>
        </w:rPr>
        <w:t>If there is a flagfall for a particular call type, the charge for these calls is the flagfall amount plus the relevant rate for the call multiplied by the duration of the call.</w:t>
      </w:r>
    </w:p>
    <w:p w14:paraId="06C30A5A" w14:textId="77777777" w:rsidR="00E507D4" w:rsidRPr="002663BF" w:rsidRDefault="00E507D4" w:rsidP="00E507D4">
      <w:pPr>
        <w:pStyle w:val="Heading7"/>
        <w:rPr>
          <w:b/>
          <w:lang w:val="en-AU"/>
        </w:rPr>
      </w:pPr>
      <w:r w:rsidRPr="002663BF">
        <w:rPr>
          <w:b/>
          <w:lang w:val="en-AU"/>
        </w:rPr>
        <w:t>Minimum Monthly Charge</w:t>
      </w:r>
    </w:p>
    <w:p w14:paraId="0370C18A" w14:textId="77777777" w:rsidR="00E507D4" w:rsidRPr="00C12929" w:rsidRDefault="00E507D4" w:rsidP="00E507D4">
      <w:pPr>
        <w:pStyle w:val="Heading8"/>
        <w:rPr>
          <w:lang w:val="en-AU"/>
        </w:rPr>
      </w:pPr>
      <w:r w:rsidRPr="00C12929">
        <w:rPr>
          <w:lang w:val="en-AU"/>
        </w:rPr>
        <w:t xml:space="preserve">Each My Plan Business Tech Fund plan has a Minimum Monthly Charge amount that </w:t>
      </w:r>
      <w:r w:rsidRPr="00C12929">
        <w:rPr>
          <w:i/>
          <w:lang w:val="en-AU"/>
        </w:rPr>
        <w:t>you</w:t>
      </w:r>
      <w:r w:rsidRPr="00C12929">
        <w:rPr>
          <w:lang w:val="en-AU"/>
        </w:rPr>
        <w:t xml:space="preserve"> must pay </w:t>
      </w:r>
      <w:r w:rsidRPr="00C12929">
        <w:rPr>
          <w:i/>
          <w:lang w:val="en-AU"/>
        </w:rPr>
        <w:t>us</w:t>
      </w:r>
      <w:r w:rsidRPr="00C12929">
        <w:rPr>
          <w:lang w:val="en-AU"/>
        </w:rPr>
        <w:t xml:space="preserve"> each month as set out in Table 1 below.</w:t>
      </w:r>
      <w:r>
        <w:rPr>
          <w:lang w:val="en-AU"/>
        </w:rPr>
        <w:t xml:space="preserve"> </w:t>
      </w:r>
    </w:p>
    <w:p w14:paraId="17BD905F" w14:textId="77777777" w:rsidR="00E507D4" w:rsidRPr="00CD3F2D" w:rsidRDefault="00E507D4" w:rsidP="00E507D4">
      <w:pPr>
        <w:pStyle w:val="Heading6"/>
        <w:ind w:left="0" w:firstLine="0"/>
        <w:rPr>
          <w:lang w:val="en-AU"/>
        </w:rPr>
      </w:pPr>
      <w:bookmarkStart w:id="2189" w:name="_Toc484513943"/>
      <w:bookmarkStart w:id="2190" w:name="_Toc508362001"/>
      <w:r w:rsidRPr="00CD3F2D">
        <w:rPr>
          <w:lang w:val="en-AU"/>
        </w:rPr>
        <w:t>How My Plan Business Tech Fund works</w:t>
      </w:r>
      <w:bookmarkEnd w:id="2189"/>
      <w:bookmarkEnd w:id="2190"/>
    </w:p>
    <w:p w14:paraId="5E5839B1" w14:textId="77777777" w:rsidR="00E507D4" w:rsidRPr="00C12929" w:rsidRDefault="00E507D4" w:rsidP="00E507D4">
      <w:pPr>
        <w:pStyle w:val="Heading7"/>
        <w:rPr>
          <w:lang w:val="en-AU"/>
        </w:rPr>
      </w:pPr>
      <w:r w:rsidRPr="00C12929">
        <w:rPr>
          <w:lang w:val="en-AU"/>
        </w:rPr>
        <w:t xml:space="preserve">Each My Plan Business Tech Fund has unlimited minutes to use on standard national calls to landlines and mobiles, 13/1300 numbers and voicemail retrievals and an amount of Included Data (for mobile internet use) to share with other services on a My Plan Plus, My Plan Plus SIM Only, My Plan Business (including Tech Fund), My Plan Business SIM, </w:t>
      </w:r>
      <w:r w:rsidRPr="00656EA8">
        <w:rPr>
          <w:lang w:eastAsia="en-AU"/>
        </w:rPr>
        <w:t>My Plan Flex, My Plan Business Flex, Business Lease</w:t>
      </w:r>
      <w:r>
        <w:rPr>
          <w:lang w:eastAsia="en-AU"/>
        </w:rPr>
        <w:t>,</w:t>
      </w:r>
      <w:r w:rsidRPr="00C12929">
        <w:rPr>
          <w:lang w:val="en-AU"/>
        </w:rPr>
        <w:t xml:space="preserve"> My Mobile Broadband Plus, Mobile Broadband Business or Shared Data Plan on the same account. </w:t>
      </w:r>
    </w:p>
    <w:p w14:paraId="79AA2971" w14:textId="77777777" w:rsidR="00E507D4" w:rsidRPr="00C12929" w:rsidRDefault="00E507D4" w:rsidP="00E507D4">
      <w:pPr>
        <w:pStyle w:val="Heading7"/>
        <w:rPr>
          <w:lang w:val="en-AU"/>
        </w:rPr>
      </w:pPr>
      <w:r w:rsidRPr="00C12929">
        <w:rPr>
          <w:lang w:val="en-AU"/>
        </w:rPr>
        <w:t>These plans also include unlimited standard national SMS/MMS and unlimited standard International SMS/MMS to selected countries</w:t>
      </w:r>
      <w:r>
        <w:rPr>
          <w:lang w:val="en-AU"/>
        </w:rPr>
        <w:t>.</w:t>
      </w:r>
    </w:p>
    <w:p w14:paraId="1004D4B5" w14:textId="77777777" w:rsidR="00E507D4" w:rsidRPr="00C12929" w:rsidRDefault="00E507D4" w:rsidP="00E507D4">
      <w:pPr>
        <w:pStyle w:val="Heading7"/>
        <w:rPr>
          <w:lang w:val="en-AU"/>
        </w:rPr>
      </w:pPr>
      <w:r w:rsidRPr="00C12929">
        <w:rPr>
          <w:lang w:val="en-AU"/>
        </w:rPr>
        <w:t>Data usage is calculated in one kilobyte increments.</w:t>
      </w:r>
    </w:p>
    <w:p w14:paraId="2460D296" w14:textId="77777777" w:rsidR="00E507D4" w:rsidRPr="00C12929" w:rsidRDefault="00E507D4" w:rsidP="00E507D4">
      <w:pPr>
        <w:pStyle w:val="Heading7"/>
        <w:rPr>
          <w:lang w:val="en-AU"/>
        </w:rPr>
      </w:pPr>
      <w:r w:rsidRPr="00C12929">
        <w:t>If you exceed your included shareable data you</w:t>
      </w:r>
      <w:r>
        <w:t>'</w:t>
      </w:r>
      <w:r w:rsidRPr="00C12929">
        <w:t>ll automatically be charged $10 for each additional 1GB of data (</w:t>
      </w:r>
      <w:r>
        <w:t>"</w:t>
      </w:r>
      <w:r w:rsidRPr="00C12929">
        <w:rPr>
          <w:b/>
        </w:rPr>
        <w:t>Additional Data</w:t>
      </w:r>
      <w:r>
        <w:t>"</w:t>
      </w:r>
      <w:r w:rsidRPr="00C12929">
        <w:t xml:space="preserve">) up to 150GB of extra data per account each month. Your service/s may then be restricted or we may continue to charge you at these rates. </w:t>
      </w:r>
    </w:p>
    <w:p w14:paraId="317B8C20" w14:textId="77777777" w:rsidR="00E507D4" w:rsidRPr="00CD3F2D" w:rsidRDefault="00E507D4" w:rsidP="00E507D4">
      <w:pPr>
        <w:pStyle w:val="Heading7"/>
        <w:rPr>
          <w:b/>
          <w:lang w:val="en-AU"/>
        </w:rPr>
      </w:pPr>
      <w:r w:rsidRPr="00C12929">
        <w:rPr>
          <w:lang w:val="en-AU"/>
        </w:rPr>
        <w:t xml:space="preserve">Any unused portion of </w:t>
      </w:r>
      <w:r w:rsidRPr="00C12929">
        <w:rPr>
          <w:i/>
          <w:lang w:val="en-AU"/>
        </w:rPr>
        <w:t>your</w:t>
      </w:r>
      <w:r w:rsidRPr="00C12929">
        <w:rPr>
          <w:lang w:val="en-AU"/>
        </w:rPr>
        <w:t xml:space="preserve"> </w:t>
      </w:r>
      <w:r w:rsidRPr="00C12929">
        <w:rPr>
          <w:i/>
          <w:lang w:val="en-AU"/>
        </w:rPr>
        <w:t>plan</w:t>
      </w:r>
      <w:r>
        <w:rPr>
          <w:i/>
          <w:lang w:val="en-AU"/>
        </w:rPr>
        <w:t>'</w:t>
      </w:r>
      <w:r w:rsidRPr="00C12929">
        <w:rPr>
          <w:i/>
          <w:lang w:val="en-AU"/>
        </w:rPr>
        <w:t>s</w:t>
      </w:r>
      <w:r w:rsidRPr="00C12929">
        <w:rPr>
          <w:lang w:val="en-AU"/>
        </w:rPr>
        <w:t xml:space="preserve"> Included or Additional Data expires at the end of each month and does not roll over into the next month.</w:t>
      </w:r>
    </w:p>
    <w:p w14:paraId="6BBB73F9" w14:textId="77777777" w:rsidR="00E507D4" w:rsidRPr="00C12929" w:rsidRDefault="00E507D4" w:rsidP="00E507D4">
      <w:pPr>
        <w:pStyle w:val="Heading7"/>
        <w:rPr>
          <w:b/>
          <w:lang w:val="en-AU"/>
        </w:rPr>
      </w:pPr>
      <w:r w:rsidRPr="00C12929">
        <w:rPr>
          <w:i/>
          <w:lang w:val="en-AU"/>
        </w:rPr>
        <w:t>You</w:t>
      </w:r>
      <w:r w:rsidRPr="00C12929">
        <w:rPr>
          <w:lang w:val="en-AU"/>
        </w:rPr>
        <w:t xml:space="preserve"> must pay </w:t>
      </w:r>
      <w:r w:rsidRPr="00C12929">
        <w:rPr>
          <w:i/>
          <w:lang w:val="en-AU"/>
        </w:rPr>
        <w:t>us</w:t>
      </w:r>
      <w:r w:rsidRPr="00C12929">
        <w:rPr>
          <w:lang w:val="en-AU"/>
        </w:rPr>
        <w:t xml:space="preserve"> for use of any services that are not included in </w:t>
      </w:r>
      <w:r w:rsidRPr="00C12929">
        <w:rPr>
          <w:i/>
          <w:lang w:val="en-AU"/>
        </w:rPr>
        <w:t>your</w:t>
      </w:r>
      <w:r w:rsidRPr="00C12929">
        <w:rPr>
          <w:lang w:val="en-AU"/>
        </w:rPr>
        <w:t xml:space="preserve"> plan</w:t>
      </w:r>
      <w:r>
        <w:rPr>
          <w:lang w:val="en-AU"/>
        </w:rPr>
        <w:t>'</w:t>
      </w:r>
      <w:r w:rsidRPr="00C12929">
        <w:rPr>
          <w:lang w:val="en-AU"/>
        </w:rPr>
        <w:t>s inclusions, examples of which are set out in Table 2 below.</w:t>
      </w:r>
    </w:p>
    <w:p w14:paraId="115D1B2F" w14:textId="77777777" w:rsidR="00E507D4" w:rsidRPr="00CD3F2D" w:rsidRDefault="00E507D4" w:rsidP="00E507D4">
      <w:pPr>
        <w:pStyle w:val="Heading6"/>
        <w:ind w:left="0" w:firstLine="0"/>
        <w:rPr>
          <w:lang w:val="en-AU"/>
        </w:rPr>
      </w:pPr>
      <w:bookmarkStart w:id="2191" w:name="_Toc484513944"/>
      <w:bookmarkStart w:id="2192" w:name="_Toc508362002"/>
      <w:r w:rsidRPr="00CD3F2D">
        <w:rPr>
          <w:lang w:val="en-AU"/>
        </w:rPr>
        <w:t>Plan Changes</w:t>
      </w:r>
      <w:bookmarkEnd w:id="2191"/>
      <w:bookmarkEnd w:id="2192"/>
    </w:p>
    <w:p w14:paraId="3BE89A23" w14:textId="77777777" w:rsidR="00E507D4" w:rsidRPr="00C12929" w:rsidRDefault="00E507D4" w:rsidP="00E507D4">
      <w:pPr>
        <w:pStyle w:val="BodyText"/>
        <w:ind w:left="720"/>
      </w:pPr>
      <w:r w:rsidRPr="00C12929">
        <w:t>You can change your plan during the minimum term provided you move to a plan with a higher monthly access fee. You cannot change your plan during the minimum term to a plan with the same or lower monthly access fee. If you change your plan during the minimum term a fee may apply and any mobile handset credit will remain the same.</w:t>
      </w:r>
    </w:p>
    <w:p w14:paraId="656E162A" w14:textId="77777777" w:rsidR="00E507D4" w:rsidRPr="004C64A0" w:rsidRDefault="00E507D4" w:rsidP="00E507D4">
      <w:pPr>
        <w:pStyle w:val="Heading6"/>
        <w:ind w:left="0" w:firstLine="0"/>
        <w:rPr>
          <w:lang w:val="en-AU"/>
        </w:rPr>
      </w:pPr>
      <w:bookmarkStart w:id="2193" w:name="_Toc484513945"/>
      <w:bookmarkStart w:id="2194" w:name="_Toc508362003"/>
      <w:r w:rsidRPr="004C64A0">
        <w:rPr>
          <w:lang w:val="en-AU"/>
        </w:rPr>
        <w:t>Handset Credit</w:t>
      </w:r>
      <w:bookmarkEnd w:id="2193"/>
      <w:bookmarkEnd w:id="2194"/>
    </w:p>
    <w:p w14:paraId="4B554736" w14:textId="77777777" w:rsidR="00E507D4" w:rsidRPr="00C12929" w:rsidRDefault="00E507D4" w:rsidP="00E507D4">
      <w:pPr>
        <w:pStyle w:val="Heading7"/>
        <w:rPr>
          <w:lang w:val="en-AU"/>
        </w:rPr>
      </w:pPr>
      <w:r w:rsidRPr="00C12929">
        <w:rPr>
          <w:lang w:val="en-AU"/>
        </w:rPr>
        <w:t xml:space="preserve">The Handset Credit is a special offer available to customers who are eligible for and connect to a My Plan Business Tech Fund plan, and who do not choose to take a handset upfront. It allows </w:t>
      </w:r>
      <w:r w:rsidRPr="00C12929">
        <w:rPr>
          <w:i/>
          <w:lang w:val="en-AU"/>
        </w:rPr>
        <w:t>you</w:t>
      </w:r>
      <w:r w:rsidRPr="00C12929">
        <w:rPr>
          <w:lang w:val="en-AU"/>
        </w:rPr>
        <w:t xml:space="preserve"> to purchase mobile phones and accessories from Optus at any period throughout </w:t>
      </w:r>
      <w:r w:rsidRPr="00C12929">
        <w:rPr>
          <w:i/>
          <w:lang w:val="en-AU"/>
        </w:rPr>
        <w:t>your</w:t>
      </w:r>
      <w:r w:rsidRPr="00C12929">
        <w:rPr>
          <w:lang w:val="en-AU"/>
        </w:rPr>
        <w:t xml:space="preserve"> contract; it cannot be used for any other purpose other than the purchase of handsets and accessories from </w:t>
      </w:r>
      <w:r w:rsidRPr="00C12929">
        <w:rPr>
          <w:i/>
          <w:lang w:val="en-AU"/>
        </w:rPr>
        <w:t>us</w:t>
      </w:r>
      <w:r w:rsidRPr="00C12929">
        <w:rPr>
          <w:lang w:val="en-AU"/>
        </w:rPr>
        <w:t xml:space="preserve">. </w:t>
      </w:r>
    </w:p>
    <w:p w14:paraId="2199C96C" w14:textId="77777777" w:rsidR="00E507D4" w:rsidRDefault="00E507D4" w:rsidP="00E507D4">
      <w:pPr>
        <w:pStyle w:val="Heading7"/>
      </w:pPr>
      <w:r w:rsidRPr="00C12929">
        <w:t xml:space="preserve">The amount of credit will be dependent on the plan </w:t>
      </w:r>
      <w:r w:rsidRPr="00C12929">
        <w:rPr>
          <w:i/>
        </w:rPr>
        <w:t>you</w:t>
      </w:r>
      <w:r w:rsidRPr="00C12929">
        <w:t xml:space="preserve"> connect to as per the table below.</w:t>
      </w:r>
    </w:p>
    <w:tbl>
      <w:tblPr>
        <w:tblW w:w="8919"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3486"/>
        <w:gridCol w:w="3543"/>
      </w:tblGrid>
      <w:tr w:rsidR="00E507D4" w:rsidRPr="00090AB3" w14:paraId="257BC80E" w14:textId="77777777" w:rsidTr="00B95821">
        <w:tc>
          <w:tcPr>
            <w:tcW w:w="1890" w:type="dxa"/>
            <w:vAlign w:val="center"/>
          </w:tcPr>
          <w:p w14:paraId="23D0EFCE" w14:textId="77777777" w:rsidR="00E507D4" w:rsidRPr="004C64A0" w:rsidRDefault="00E507D4" w:rsidP="00B95821">
            <w:pPr>
              <w:pStyle w:val="BodyText"/>
              <w:spacing w:before="100" w:after="100"/>
              <w:jc w:val="center"/>
              <w:rPr>
                <w:b/>
              </w:rPr>
            </w:pPr>
            <w:r w:rsidRPr="004C64A0">
              <w:rPr>
                <w:b/>
              </w:rPr>
              <w:t>Plan</w:t>
            </w:r>
          </w:p>
        </w:tc>
        <w:tc>
          <w:tcPr>
            <w:tcW w:w="3486" w:type="dxa"/>
          </w:tcPr>
          <w:p w14:paraId="218C74D3" w14:textId="77777777" w:rsidR="00E507D4" w:rsidRPr="004C64A0" w:rsidRDefault="00E507D4" w:rsidP="00B95821">
            <w:pPr>
              <w:pStyle w:val="BodyText"/>
              <w:spacing w:before="100" w:after="100"/>
              <w:jc w:val="center"/>
              <w:rPr>
                <w:b/>
              </w:rPr>
            </w:pPr>
            <w:r w:rsidRPr="004C64A0">
              <w:rPr>
                <w:b/>
              </w:rPr>
              <w:t>$</w:t>
            </w:r>
            <w:r>
              <w:rPr>
                <w:b/>
              </w:rPr>
              <w:t>85</w:t>
            </w:r>
            <w:r w:rsidRPr="004C64A0">
              <w:rPr>
                <w:b/>
              </w:rPr>
              <w:t xml:space="preserve"> M Plan Business Tech Fund</w:t>
            </w:r>
          </w:p>
        </w:tc>
        <w:tc>
          <w:tcPr>
            <w:tcW w:w="3543" w:type="dxa"/>
          </w:tcPr>
          <w:p w14:paraId="246A84F7" w14:textId="77777777" w:rsidR="00E507D4" w:rsidRPr="004C64A0" w:rsidRDefault="00E507D4" w:rsidP="00B95821">
            <w:pPr>
              <w:pStyle w:val="BodyText"/>
              <w:spacing w:before="100" w:after="100"/>
              <w:jc w:val="center"/>
              <w:rPr>
                <w:b/>
              </w:rPr>
            </w:pPr>
            <w:r>
              <w:rPr>
                <w:b/>
              </w:rPr>
              <w:t>$110</w:t>
            </w:r>
            <w:r w:rsidRPr="004C64A0">
              <w:rPr>
                <w:b/>
              </w:rPr>
              <w:t xml:space="preserve"> My Plan Business Tech Fund</w:t>
            </w:r>
          </w:p>
        </w:tc>
      </w:tr>
      <w:tr w:rsidR="00E507D4" w:rsidRPr="00090AB3" w14:paraId="6D314D07" w14:textId="77777777" w:rsidTr="00B95821">
        <w:tc>
          <w:tcPr>
            <w:tcW w:w="1890" w:type="dxa"/>
            <w:vAlign w:val="center"/>
          </w:tcPr>
          <w:p w14:paraId="18B69023" w14:textId="77777777" w:rsidR="00E507D4" w:rsidRPr="004C64A0" w:rsidRDefault="00E507D4" w:rsidP="00B95821">
            <w:pPr>
              <w:pStyle w:val="BodyText"/>
              <w:spacing w:before="100" w:after="100"/>
              <w:jc w:val="center"/>
              <w:rPr>
                <w:b/>
              </w:rPr>
            </w:pPr>
            <w:r w:rsidRPr="004C64A0">
              <w:rPr>
                <w:b/>
                <w:bCs/>
                <w:color w:val="000000"/>
              </w:rPr>
              <w:t>Handset Credit</w:t>
            </w:r>
          </w:p>
        </w:tc>
        <w:tc>
          <w:tcPr>
            <w:tcW w:w="3486" w:type="dxa"/>
          </w:tcPr>
          <w:p w14:paraId="2EC45A65" w14:textId="77777777" w:rsidR="00E507D4" w:rsidRPr="00090AB3" w:rsidRDefault="00E507D4" w:rsidP="00B95821">
            <w:pPr>
              <w:pStyle w:val="BodyText"/>
              <w:spacing w:before="100" w:after="100"/>
              <w:jc w:val="center"/>
              <w:rPr>
                <w:bCs/>
                <w:caps/>
                <w:color w:val="000000"/>
              </w:rPr>
            </w:pPr>
            <w:r>
              <w:rPr>
                <w:bCs/>
                <w:caps/>
                <w:color w:val="000000"/>
              </w:rPr>
              <w:t>$770</w:t>
            </w:r>
          </w:p>
        </w:tc>
        <w:tc>
          <w:tcPr>
            <w:tcW w:w="3543" w:type="dxa"/>
          </w:tcPr>
          <w:p w14:paraId="3DCC99B3" w14:textId="77777777" w:rsidR="00E507D4" w:rsidRPr="00F632D6" w:rsidRDefault="00E507D4" w:rsidP="00B95821">
            <w:pPr>
              <w:pStyle w:val="BodyText"/>
              <w:spacing w:before="100" w:after="100"/>
              <w:jc w:val="center"/>
              <w:rPr>
                <w:bCs/>
                <w:caps/>
                <w:color w:val="000000"/>
              </w:rPr>
            </w:pPr>
            <w:r>
              <w:t>$990</w:t>
            </w:r>
          </w:p>
        </w:tc>
      </w:tr>
    </w:tbl>
    <w:p w14:paraId="1765000E" w14:textId="77777777" w:rsidR="00E507D4" w:rsidRDefault="00E507D4" w:rsidP="00E507D4">
      <w:pPr>
        <w:pStyle w:val="BodyText"/>
      </w:pPr>
    </w:p>
    <w:p w14:paraId="18BFCBF7" w14:textId="77777777" w:rsidR="00E507D4" w:rsidRPr="004C64A0" w:rsidRDefault="00E507D4" w:rsidP="00E507D4">
      <w:pPr>
        <w:pStyle w:val="Heading7"/>
        <w:rPr>
          <w:lang w:val="en-AU"/>
        </w:rPr>
      </w:pPr>
      <w:r w:rsidRPr="004C64A0">
        <w:rPr>
          <w:i/>
          <w:lang w:val="en-AU"/>
        </w:rPr>
        <w:t>You</w:t>
      </w:r>
      <w:r w:rsidRPr="004C64A0">
        <w:rPr>
          <w:lang w:val="en-AU"/>
        </w:rPr>
        <w:t xml:space="preserve"> may use the Handset Credit deposited into </w:t>
      </w:r>
      <w:r w:rsidRPr="004C64A0">
        <w:rPr>
          <w:i/>
          <w:lang w:val="en-AU"/>
        </w:rPr>
        <w:t>your</w:t>
      </w:r>
      <w:r w:rsidRPr="004C64A0">
        <w:rPr>
          <w:lang w:val="en-AU"/>
        </w:rPr>
        <w:t xml:space="preserve"> account to purchase handsets listed in the Optus e-fulfilment price list as amended by </w:t>
      </w:r>
      <w:r w:rsidRPr="004C64A0">
        <w:rPr>
          <w:i/>
          <w:lang w:val="en-AU"/>
        </w:rPr>
        <w:t>us</w:t>
      </w:r>
      <w:r w:rsidRPr="004C64A0">
        <w:rPr>
          <w:lang w:val="en-AU"/>
        </w:rPr>
        <w:t xml:space="preserve"> from time to time. This list is available to </w:t>
      </w:r>
      <w:r w:rsidRPr="004C64A0">
        <w:rPr>
          <w:i/>
          <w:lang w:val="en-AU"/>
        </w:rPr>
        <w:t>you</w:t>
      </w:r>
      <w:r w:rsidRPr="004C64A0">
        <w:rPr>
          <w:lang w:val="en-AU"/>
        </w:rPr>
        <w:t xml:space="preserve"> upon request.</w:t>
      </w:r>
    </w:p>
    <w:p w14:paraId="11008306" w14:textId="77777777" w:rsidR="00E507D4" w:rsidRPr="004C64A0" w:rsidRDefault="00E507D4" w:rsidP="00E507D4">
      <w:pPr>
        <w:pStyle w:val="Heading7"/>
        <w:rPr>
          <w:lang w:val="en-AU"/>
        </w:rPr>
      </w:pPr>
      <w:r w:rsidRPr="004C64A0">
        <w:rPr>
          <w:lang w:val="en-AU"/>
        </w:rPr>
        <w:lastRenderedPageBreak/>
        <w:t xml:space="preserve">If the purchase price for products that </w:t>
      </w:r>
      <w:r w:rsidRPr="004C64A0">
        <w:rPr>
          <w:i/>
          <w:lang w:val="en-AU"/>
        </w:rPr>
        <w:t>you</w:t>
      </w:r>
      <w:r w:rsidRPr="004C64A0">
        <w:rPr>
          <w:lang w:val="en-AU"/>
        </w:rPr>
        <w:t xml:space="preserve"> order is greater than the Handset Credit remaining in </w:t>
      </w:r>
      <w:r w:rsidRPr="004C64A0">
        <w:rPr>
          <w:i/>
          <w:lang w:val="en-AU"/>
        </w:rPr>
        <w:t>your</w:t>
      </w:r>
      <w:r w:rsidRPr="004C64A0">
        <w:rPr>
          <w:lang w:val="en-AU"/>
        </w:rPr>
        <w:t xml:space="preserve"> account, </w:t>
      </w:r>
      <w:r w:rsidRPr="004C64A0">
        <w:rPr>
          <w:i/>
          <w:lang w:val="en-AU"/>
        </w:rPr>
        <w:t>you</w:t>
      </w:r>
      <w:r w:rsidRPr="004C64A0">
        <w:rPr>
          <w:lang w:val="en-AU"/>
        </w:rPr>
        <w:t xml:space="preserve"> must pay any difference for those products by manually topping up </w:t>
      </w:r>
      <w:r w:rsidRPr="004C64A0">
        <w:rPr>
          <w:i/>
          <w:lang w:val="en-AU"/>
        </w:rPr>
        <w:t>your</w:t>
      </w:r>
      <w:r w:rsidRPr="004C64A0">
        <w:rPr>
          <w:lang w:val="en-AU"/>
        </w:rPr>
        <w:t xml:space="preserve"> Handset Credit Fund account with the required funds before purchasing.</w:t>
      </w:r>
    </w:p>
    <w:p w14:paraId="5BAF2ACF" w14:textId="77777777" w:rsidR="00E507D4" w:rsidRPr="004C64A0" w:rsidRDefault="00E507D4" w:rsidP="00E507D4">
      <w:pPr>
        <w:pStyle w:val="Heading7"/>
        <w:rPr>
          <w:lang w:val="en-AU"/>
        </w:rPr>
      </w:pPr>
      <w:r w:rsidRPr="004C64A0">
        <w:rPr>
          <w:lang w:val="en-AU"/>
        </w:rPr>
        <w:t xml:space="preserve">The value of the Handset Credit is not redeemable for cash and may not be transferred or used for any other purposes (for instance, it may not be used to pay for service charges, minimum monthly call spend or call costs, cannot be used against cancellation fees). </w:t>
      </w:r>
    </w:p>
    <w:p w14:paraId="6A0A38CA" w14:textId="77777777" w:rsidR="00E507D4" w:rsidRPr="004C64A0" w:rsidRDefault="00E507D4" w:rsidP="00E507D4">
      <w:pPr>
        <w:pStyle w:val="Heading7"/>
        <w:rPr>
          <w:lang w:val="en-AU"/>
        </w:rPr>
      </w:pPr>
      <w:r w:rsidRPr="004C64A0">
        <w:rPr>
          <w:lang w:val="en-AU"/>
        </w:rPr>
        <w:t xml:space="preserve">If you cancel a service on an account with multiple Tech Fund services, you will not lose any unused handset credit. Only if </w:t>
      </w:r>
      <w:r w:rsidRPr="004C64A0">
        <w:rPr>
          <w:i/>
          <w:lang w:val="en-AU"/>
        </w:rPr>
        <w:t>your</w:t>
      </w:r>
      <w:r w:rsidRPr="004C64A0">
        <w:rPr>
          <w:lang w:val="en-AU"/>
        </w:rPr>
        <w:t xml:space="preserve"> account is cancelled for any reason then any unused credit will be forfeited.</w:t>
      </w:r>
    </w:p>
    <w:p w14:paraId="2531854F" w14:textId="77777777" w:rsidR="00E507D4" w:rsidRPr="004C64A0" w:rsidRDefault="00E507D4" w:rsidP="00E507D4">
      <w:pPr>
        <w:pStyle w:val="Heading6"/>
        <w:ind w:left="0" w:firstLine="0"/>
        <w:rPr>
          <w:lang w:val="en-AU"/>
        </w:rPr>
      </w:pPr>
      <w:bookmarkStart w:id="2195" w:name="_Toc484513946"/>
      <w:bookmarkStart w:id="2196" w:name="_Toc508362004"/>
      <w:r w:rsidRPr="004C64A0">
        <w:rPr>
          <w:lang w:val="en-AU"/>
        </w:rPr>
        <w:t>Data Sharing</w:t>
      </w:r>
      <w:bookmarkEnd w:id="2195"/>
      <w:bookmarkEnd w:id="2196"/>
    </w:p>
    <w:p w14:paraId="77D3FF10" w14:textId="77777777" w:rsidR="00E507D4" w:rsidRPr="004C64A0" w:rsidRDefault="00E507D4" w:rsidP="00E507D4">
      <w:pPr>
        <w:pStyle w:val="Heading7"/>
        <w:rPr>
          <w:lang w:val="en-AU"/>
        </w:rPr>
      </w:pPr>
      <w:r w:rsidRPr="004C64A0">
        <w:rPr>
          <w:lang w:val="en-AU"/>
        </w:rPr>
        <w:t xml:space="preserve">If you have more than one My Plan Plus, My Plan Plus SIM Only, My Plan Business (including Tech Fund), My Plan Business SIM, </w:t>
      </w:r>
      <w:r w:rsidRPr="00656EA8">
        <w:rPr>
          <w:lang w:eastAsia="en-AU"/>
        </w:rPr>
        <w:t>My Plan Flex, My Plan Business Flex, Business Lease</w:t>
      </w:r>
      <w:r>
        <w:rPr>
          <w:lang w:eastAsia="en-AU"/>
        </w:rPr>
        <w:t>,</w:t>
      </w:r>
      <w:r w:rsidRPr="004C64A0">
        <w:rPr>
          <w:lang w:val="en-AU"/>
        </w:rPr>
        <w:t xml:space="preserve"> My Mobile Broadband Plus or Mobile Broadband Business on the same billing account, the included data will combine into one data pool, which will be shared by all eligible services on that account.</w:t>
      </w:r>
    </w:p>
    <w:p w14:paraId="1AED0113" w14:textId="77777777" w:rsidR="00E507D4" w:rsidRPr="004C64A0" w:rsidRDefault="00E507D4" w:rsidP="00E507D4">
      <w:pPr>
        <w:pStyle w:val="Heading7"/>
        <w:rPr>
          <w:lang w:val="en-AU"/>
        </w:rPr>
      </w:pPr>
      <w:r w:rsidRPr="004C64A0">
        <w:rPr>
          <w:lang w:val="en-AU"/>
        </w:rPr>
        <w:t xml:space="preserve">If </w:t>
      </w:r>
      <w:r w:rsidRPr="004C64A0">
        <w:rPr>
          <w:i/>
          <w:lang w:val="en-AU"/>
        </w:rPr>
        <w:t>you</w:t>
      </w:r>
      <w:r w:rsidRPr="004C64A0">
        <w:rPr>
          <w:lang w:val="en-AU"/>
        </w:rPr>
        <w:t xml:space="preserve"> do not want </w:t>
      </w:r>
      <w:r w:rsidRPr="004C64A0">
        <w:rPr>
          <w:i/>
          <w:lang w:val="en-AU"/>
        </w:rPr>
        <w:t>your</w:t>
      </w:r>
      <w:r w:rsidRPr="004C64A0">
        <w:rPr>
          <w:lang w:val="en-AU"/>
        </w:rPr>
        <w:t xml:space="preserve"> services to share data, they need to be on separate billing accounts. </w:t>
      </w:r>
    </w:p>
    <w:p w14:paraId="114EFDE9" w14:textId="77777777" w:rsidR="00E507D4" w:rsidRPr="004C64A0" w:rsidRDefault="00E507D4" w:rsidP="00E507D4">
      <w:pPr>
        <w:pStyle w:val="Heading7"/>
        <w:rPr>
          <w:lang w:val="en-AU"/>
        </w:rPr>
      </w:pPr>
      <w:r w:rsidRPr="004C64A0">
        <w:rPr>
          <w:lang w:val="en-AU"/>
        </w:rPr>
        <w:t>Data sharing is only available within Australia.</w:t>
      </w:r>
    </w:p>
    <w:p w14:paraId="1E6F9C7A" w14:textId="77777777" w:rsidR="00E507D4" w:rsidRPr="004C64A0" w:rsidRDefault="00E507D4" w:rsidP="00E507D4">
      <w:pPr>
        <w:pStyle w:val="Heading6"/>
        <w:ind w:left="0" w:firstLine="0"/>
        <w:rPr>
          <w:lang w:val="en-AU"/>
        </w:rPr>
      </w:pPr>
      <w:bookmarkStart w:id="2197" w:name="_Toc484513947"/>
      <w:bookmarkStart w:id="2198" w:name="_Toc508362005"/>
      <w:r w:rsidRPr="004C64A0">
        <w:rPr>
          <w:lang w:val="en-AU"/>
        </w:rPr>
        <w:t>International Minutes</w:t>
      </w:r>
      <w:bookmarkEnd w:id="2197"/>
      <w:bookmarkEnd w:id="2198"/>
    </w:p>
    <w:p w14:paraId="3AD2BD14" w14:textId="77777777" w:rsidR="00E507D4" w:rsidRDefault="00E507D4" w:rsidP="00E507D4">
      <w:pPr>
        <w:pStyle w:val="BodyText"/>
        <w:ind w:left="720"/>
      </w:pPr>
      <w:r>
        <w:t xml:space="preserve">The </w:t>
      </w:r>
      <w:r w:rsidRPr="004C64A0">
        <w:t>My Plan Business Tech Fund</w:t>
      </w:r>
      <w:r>
        <w:t xml:space="preserve"> plans include</w:t>
      </w:r>
      <w:r w:rsidRPr="004C64A0">
        <w:t xml:space="preserve"> unlimited international minutes for standard calls to mobiles and fixed lines in selected countries. For a list of selected countries see Table 3 below.</w:t>
      </w:r>
      <w:r>
        <w:t xml:space="preserve"> </w:t>
      </w:r>
      <w:r w:rsidRPr="00CF4A96">
        <w:rPr>
          <w:szCs w:val="20"/>
        </w:rPr>
        <w:t>Calls to non-selected countries are charged at standard ‘yes’ international call rates</w:t>
      </w:r>
      <w:r>
        <w:rPr>
          <w:szCs w:val="20"/>
        </w:rPr>
        <w:t>.</w:t>
      </w:r>
    </w:p>
    <w:p w14:paraId="41AC6A0E" w14:textId="77777777" w:rsidR="00E507D4" w:rsidRPr="004C64A0" w:rsidRDefault="00E507D4" w:rsidP="00E507D4">
      <w:pPr>
        <w:pStyle w:val="Heading6"/>
        <w:ind w:left="0" w:firstLine="0"/>
        <w:rPr>
          <w:lang w:val="en-AU"/>
        </w:rPr>
      </w:pPr>
      <w:bookmarkStart w:id="2199" w:name="_Toc484513948"/>
      <w:bookmarkStart w:id="2200" w:name="_Toc508362006"/>
      <w:r w:rsidRPr="004C64A0">
        <w:rPr>
          <w:lang w:val="en-AU"/>
        </w:rPr>
        <w:t>Unlimited standard national SMS and MMS</w:t>
      </w:r>
      <w:bookmarkEnd w:id="2199"/>
      <w:bookmarkEnd w:id="2200"/>
    </w:p>
    <w:p w14:paraId="0E6D60FF" w14:textId="77777777" w:rsidR="00E507D4" w:rsidRPr="004C64A0" w:rsidRDefault="00E507D4" w:rsidP="00E507D4">
      <w:pPr>
        <w:pStyle w:val="BodyText"/>
        <w:ind w:left="720"/>
      </w:pPr>
      <w:r w:rsidRPr="004C64A0">
        <w:rPr>
          <w:i/>
        </w:rPr>
        <w:t>You</w:t>
      </w:r>
      <w:r w:rsidRPr="004C64A0">
        <w:t xml:space="preserve"> may send unlimited standard SMS and MMS to Australian mobiles from within Australia.</w:t>
      </w:r>
    </w:p>
    <w:p w14:paraId="152EDC2C" w14:textId="77777777" w:rsidR="00E507D4" w:rsidRPr="004C64A0" w:rsidRDefault="00E507D4" w:rsidP="00E507D4">
      <w:pPr>
        <w:pStyle w:val="BodyText"/>
        <w:ind w:left="720"/>
        <w:rPr>
          <w:i/>
          <w:u w:val="single"/>
        </w:rPr>
      </w:pPr>
      <w:r w:rsidRPr="004C64A0">
        <w:t xml:space="preserve">Unlimited standard national SMS and MMS are only available for personal and ordinary business use and are not to be used for a commercial or non-ordinary purpose as set out in the </w:t>
      </w:r>
      <w:hyperlink r:id="rId844" w:history="1">
        <w:r w:rsidRPr="004C64A0">
          <w:rPr>
            <w:rStyle w:val="Hyperlink"/>
            <w:i/>
          </w:rPr>
          <w:t>Fair Go Policy</w:t>
        </w:r>
      </w:hyperlink>
      <w:r w:rsidRPr="004C64A0">
        <w:t xml:space="preserve">. For further details refer to </w:t>
      </w:r>
      <w:hyperlink r:id="rId845" w:history="1">
        <w:r w:rsidRPr="00365735">
          <w:rPr>
            <w:rStyle w:val="Hyperlink"/>
            <w:i/>
          </w:rPr>
          <w:t>Appendix S</w:t>
        </w:r>
      </w:hyperlink>
      <w:r w:rsidRPr="00092720">
        <w:t>.</w:t>
      </w:r>
    </w:p>
    <w:p w14:paraId="41C14D0A" w14:textId="77777777" w:rsidR="00E507D4" w:rsidRPr="004C64A0" w:rsidRDefault="00E507D4" w:rsidP="00E507D4">
      <w:pPr>
        <w:pStyle w:val="Heading6"/>
        <w:ind w:left="0" w:firstLine="0"/>
        <w:rPr>
          <w:lang w:val="en-AU"/>
        </w:rPr>
      </w:pPr>
      <w:bookmarkStart w:id="2201" w:name="_Toc484513949"/>
      <w:bookmarkStart w:id="2202" w:name="_Toc508362007"/>
      <w:r w:rsidRPr="004C64A0">
        <w:rPr>
          <w:lang w:val="en-AU"/>
        </w:rPr>
        <w:t>Unlimited standard international SMS and MMS</w:t>
      </w:r>
      <w:bookmarkEnd w:id="2201"/>
      <w:bookmarkEnd w:id="2202"/>
    </w:p>
    <w:p w14:paraId="2FB5564B" w14:textId="77777777" w:rsidR="00E507D4" w:rsidRPr="004C64A0" w:rsidRDefault="00E507D4" w:rsidP="00E507D4">
      <w:pPr>
        <w:pStyle w:val="BodyText"/>
        <w:ind w:left="720"/>
      </w:pPr>
      <w:r w:rsidRPr="004C64A0">
        <w:rPr>
          <w:i/>
        </w:rPr>
        <w:t>You</w:t>
      </w:r>
      <w:r w:rsidRPr="004C64A0">
        <w:t xml:space="preserve"> may send unlimited standard SMS and MMS to selected countries as set out in Table 3 below.</w:t>
      </w:r>
    </w:p>
    <w:p w14:paraId="5ABC5708" w14:textId="77777777" w:rsidR="00E507D4" w:rsidRDefault="00E507D4" w:rsidP="00E507D4">
      <w:pPr>
        <w:pStyle w:val="BodyText"/>
        <w:ind w:left="720"/>
        <w:rPr>
          <w:i/>
        </w:rPr>
      </w:pPr>
      <w:r w:rsidRPr="004C64A0">
        <w:t xml:space="preserve">Unlimited standard SMS and MMS are only available for personal and ordinary business use and are not to be used for a commercial or non-ordinary purpose as set out in the </w:t>
      </w:r>
      <w:r w:rsidRPr="00F1117F">
        <w:t>Fair Go P</w:t>
      </w:r>
      <w:r w:rsidRPr="004C64A0">
        <w:t xml:space="preserve">olicy. For further details refer to </w:t>
      </w:r>
      <w:hyperlink r:id="rId846" w:history="1">
        <w:r w:rsidRPr="00092720">
          <w:rPr>
            <w:rStyle w:val="Hyperlink"/>
            <w:i/>
          </w:rPr>
          <w:t>Appendix S</w:t>
        </w:r>
      </w:hyperlink>
      <w:r w:rsidRPr="00092720">
        <w:rPr>
          <w:i/>
        </w:rPr>
        <w:t>.</w:t>
      </w:r>
    </w:p>
    <w:p w14:paraId="0663BB4E" w14:textId="77777777" w:rsidR="00E507D4" w:rsidRPr="007F5B4A" w:rsidRDefault="00E507D4" w:rsidP="00E507D4">
      <w:pPr>
        <w:pStyle w:val="Heading6"/>
        <w:ind w:left="0" w:firstLine="0"/>
        <w:rPr>
          <w:lang w:val="en-AU"/>
        </w:rPr>
      </w:pPr>
      <w:bookmarkStart w:id="2203" w:name="_Toc484513950"/>
      <w:bookmarkStart w:id="2204" w:name="_Toc508362008"/>
      <w:r w:rsidRPr="007F5B4A">
        <w:rPr>
          <w:lang w:val="en-AU"/>
        </w:rPr>
        <w:t>International Roaming</w:t>
      </w:r>
      <w:bookmarkEnd w:id="2203"/>
      <w:bookmarkEnd w:id="2204"/>
      <w:r w:rsidRPr="007F5B4A">
        <w:rPr>
          <w:lang w:val="en-AU"/>
        </w:rPr>
        <w:t xml:space="preserve"> </w:t>
      </w:r>
    </w:p>
    <w:p w14:paraId="3B155A4E" w14:textId="77777777" w:rsidR="00E507D4" w:rsidRPr="006A16BA" w:rsidRDefault="00E507D4" w:rsidP="00E507D4">
      <w:pPr>
        <w:pStyle w:val="ListParagraph"/>
        <w:ind w:left="709"/>
        <w:rPr>
          <w:rFonts w:ascii="Arial" w:hAnsi="Arial" w:cs="Arial"/>
        </w:rPr>
      </w:pPr>
      <w:r>
        <w:rPr>
          <w:rFonts w:ascii="Arial" w:hAnsi="Arial" w:cs="Arial"/>
        </w:rPr>
        <w:t>The $110</w:t>
      </w:r>
      <w:r w:rsidRPr="006A16BA">
        <w:rPr>
          <w:rFonts w:ascii="Arial" w:hAnsi="Arial" w:cs="Arial"/>
        </w:rPr>
        <w:t xml:space="preserve"> My Plan Business Tech Fund plans will receive unlimited standard national and international voice, SMS (MMS is ex</w:t>
      </w:r>
      <w:r>
        <w:rPr>
          <w:rFonts w:ascii="Arial" w:hAnsi="Arial" w:cs="Arial"/>
        </w:rPr>
        <w:t xml:space="preserve">cluded) plus 2GB of data </w:t>
      </w:r>
      <w:r w:rsidRPr="006A16BA">
        <w:rPr>
          <w:rFonts w:ascii="Arial" w:hAnsi="Arial" w:cs="Arial"/>
        </w:rPr>
        <w:t>to use in Zone 1 countries within each billing month. If you are not in a Zone 1 country you will be charged at standard roaming rates for that country.</w:t>
      </w:r>
    </w:p>
    <w:p w14:paraId="3D363A4D" w14:textId="77777777" w:rsidR="00E507D4" w:rsidRPr="00CF4A96" w:rsidRDefault="00E507D4" w:rsidP="00E507D4">
      <w:pPr>
        <w:ind w:left="709"/>
        <w:rPr>
          <w:rFonts w:eastAsia="Times New Roman" w:cs="Arial"/>
          <w:sz w:val="20"/>
          <w:szCs w:val="20"/>
        </w:rPr>
      </w:pPr>
    </w:p>
    <w:p w14:paraId="64677F40" w14:textId="77777777" w:rsidR="00E507D4" w:rsidRPr="00CF4A96" w:rsidRDefault="00E507D4" w:rsidP="00E507D4">
      <w:pPr>
        <w:pStyle w:val="BodyText"/>
        <w:ind w:left="720"/>
        <w:rPr>
          <w:rFonts w:cs="Arial"/>
          <w:szCs w:val="20"/>
        </w:rPr>
      </w:pPr>
      <w:r w:rsidRPr="00CF4A96">
        <w:rPr>
          <w:rFonts w:eastAsia="Times New Roman" w:cs="Arial"/>
          <w:szCs w:val="20"/>
        </w:rPr>
        <w:t>If you exceed the data limit, standard data roaming charges will apply. Any data provided is not shareable and will not form part of any Data Pool. Any unused data will be forfeited and cannot be rolled over to the next billing month.</w:t>
      </w:r>
      <w:r w:rsidRPr="00CF4A96">
        <w:rPr>
          <w:rFonts w:eastAsia="Times New Roman" w:cs="Arial"/>
          <w:snapToGrid w:val="0"/>
          <w:szCs w:val="20"/>
        </w:rPr>
        <w:t xml:space="preserve"> For list of countries see optus.com.au/biztravel</w:t>
      </w:r>
    </w:p>
    <w:p w14:paraId="7189ADF0" w14:textId="77777777" w:rsidR="00E507D4" w:rsidRDefault="00E507D4" w:rsidP="00E507D4">
      <w:pPr>
        <w:pStyle w:val="Heading6"/>
        <w:ind w:left="0" w:firstLine="0"/>
      </w:pPr>
      <w:bookmarkStart w:id="2205" w:name="_Toc483832379"/>
      <w:bookmarkStart w:id="2206" w:name="_Toc484513951"/>
      <w:bookmarkStart w:id="2207" w:name="_Toc508362009"/>
      <w:r>
        <w:t xml:space="preserve">Optus </w:t>
      </w:r>
      <w:r w:rsidRPr="004C64A0">
        <w:rPr>
          <w:lang w:val="en-AU"/>
        </w:rPr>
        <w:t>Travel</w:t>
      </w:r>
      <w:r w:rsidRPr="004C64A0">
        <w:rPr>
          <w:vertAlign w:val="superscript"/>
          <w:lang w:val="en-AU"/>
        </w:rPr>
        <w:t>TM</w:t>
      </w:r>
      <w:r>
        <w:rPr>
          <w:vertAlign w:val="superscript"/>
          <w:lang w:val="en-AU"/>
        </w:rPr>
        <w:t xml:space="preserve"> </w:t>
      </w:r>
      <w:r>
        <w:t>Pack</w:t>
      </w:r>
      <w:bookmarkEnd w:id="2205"/>
      <w:bookmarkEnd w:id="2206"/>
      <w:bookmarkEnd w:id="2207"/>
      <w:r>
        <w:t xml:space="preserve"> </w:t>
      </w:r>
    </w:p>
    <w:p w14:paraId="49E2BB69" w14:textId="77777777" w:rsidR="00E507D4" w:rsidRDefault="00E507D4" w:rsidP="00E507D4">
      <w:pPr>
        <w:pStyle w:val="OptusH3"/>
        <w:tabs>
          <w:tab w:val="clear" w:pos="2127"/>
          <w:tab w:val="left" w:pos="567"/>
        </w:tabs>
        <w:spacing w:before="0" w:after="0"/>
        <w:ind w:left="709" w:firstLine="0"/>
        <w:rPr>
          <w:rFonts w:ascii="Arial" w:hAnsi="Arial" w:cs="Arial"/>
          <w:snapToGrid w:val="0"/>
          <w:sz w:val="20"/>
        </w:rPr>
      </w:pPr>
      <w:r>
        <w:rPr>
          <w:rFonts w:ascii="Arial" w:hAnsi="Arial" w:cs="Arial"/>
          <w:snapToGrid w:val="0"/>
          <w:sz w:val="20"/>
        </w:rPr>
        <w:t>The $85</w:t>
      </w:r>
      <w:r w:rsidRPr="00685C97">
        <w:rPr>
          <w:rFonts w:ascii="Arial" w:hAnsi="Arial" w:cs="Arial"/>
          <w:snapToGrid w:val="0"/>
          <w:sz w:val="20"/>
        </w:rPr>
        <w:t xml:space="preserve"> My Plan Business Tech Fund plans can take up the Optus Travel</w:t>
      </w:r>
      <w:r w:rsidRPr="00685C97">
        <w:rPr>
          <w:rFonts w:ascii="Arial" w:hAnsi="Arial" w:cs="Arial"/>
          <w:snapToGrid w:val="0"/>
          <w:sz w:val="20"/>
          <w:vertAlign w:val="superscript"/>
        </w:rPr>
        <w:t>TM</w:t>
      </w:r>
      <w:r w:rsidRPr="00685C97">
        <w:rPr>
          <w:rFonts w:ascii="Arial" w:hAnsi="Arial" w:cs="Arial"/>
          <w:snapToGrid w:val="0"/>
          <w:sz w:val="20"/>
        </w:rPr>
        <w:t xml:space="preserve"> Pack for $5 per day. </w:t>
      </w:r>
      <w:r w:rsidRPr="00685C97">
        <w:rPr>
          <w:rFonts w:ascii="Arial" w:hAnsi="Arial" w:cs="Arial"/>
          <w:i/>
          <w:snapToGrid w:val="0"/>
          <w:sz w:val="20"/>
        </w:rPr>
        <w:t>You</w:t>
      </w:r>
      <w:r w:rsidRPr="00685C97">
        <w:rPr>
          <w:rFonts w:ascii="Arial" w:hAnsi="Arial" w:cs="Arial"/>
          <w:snapToGrid w:val="0"/>
          <w:sz w:val="20"/>
        </w:rPr>
        <w:t xml:space="preserve"> need to ensure your Optus Travel</w:t>
      </w:r>
      <w:r w:rsidRPr="00685C97">
        <w:rPr>
          <w:rFonts w:ascii="Arial" w:hAnsi="Arial" w:cs="Arial"/>
          <w:snapToGrid w:val="0"/>
          <w:sz w:val="20"/>
          <w:vertAlign w:val="superscript"/>
        </w:rPr>
        <w:t>TM</w:t>
      </w:r>
      <w:r w:rsidRPr="00685C97">
        <w:rPr>
          <w:rFonts w:ascii="Arial" w:hAnsi="Arial" w:cs="Arial"/>
          <w:snapToGrid w:val="0"/>
          <w:sz w:val="20"/>
        </w:rPr>
        <w:t xml:space="preserve"> Pack is active by contacting Optus prior to use. Optus Travel</w:t>
      </w:r>
      <w:r w:rsidRPr="00685C97">
        <w:rPr>
          <w:rFonts w:ascii="Arial" w:hAnsi="Arial" w:cs="Arial"/>
          <w:snapToGrid w:val="0"/>
          <w:sz w:val="20"/>
          <w:vertAlign w:val="superscript"/>
        </w:rPr>
        <w:t>TM</w:t>
      </w:r>
      <w:r w:rsidRPr="00685C97">
        <w:rPr>
          <w:rFonts w:ascii="Arial" w:hAnsi="Arial" w:cs="Arial"/>
          <w:snapToGrid w:val="0"/>
          <w:sz w:val="20"/>
        </w:rPr>
        <w:t xml:space="preserve"> Pack gives you unlimited standard national and international voice, SMS (MMS is excluded) plus </w:t>
      </w:r>
      <w:r>
        <w:rPr>
          <w:rFonts w:ascii="Arial" w:hAnsi="Arial" w:cs="Arial"/>
          <w:snapToGrid w:val="0"/>
          <w:sz w:val="20"/>
        </w:rPr>
        <w:t>100</w:t>
      </w:r>
      <w:r w:rsidRPr="00685C97">
        <w:rPr>
          <w:rFonts w:ascii="Arial" w:hAnsi="Arial" w:cs="Arial"/>
          <w:snapToGrid w:val="0"/>
          <w:sz w:val="20"/>
        </w:rPr>
        <w:t>MB of data to use in Zone 1 countries per day. For list of countries see optus.com.au/biztravel</w:t>
      </w:r>
    </w:p>
    <w:p w14:paraId="1A3C824A" w14:textId="77777777" w:rsidR="00E507D4" w:rsidRPr="00685C97" w:rsidRDefault="00E507D4" w:rsidP="00E507D4">
      <w:pPr>
        <w:pStyle w:val="OptusH3"/>
        <w:tabs>
          <w:tab w:val="clear" w:pos="2127"/>
          <w:tab w:val="left" w:pos="567"/>
        </w:tabs>
        <w:spacing w:before="0" w:after="0"/>
        <w:ind w:left="709" w:firstLine="0"/>
        <w:rPr>
          <w:rFonts w:ascii="Arial" w:hAnsi="Arial" w:cs="Arial"/>
          <w:snapToGrid w:val="0"/>
          <w:sz w:val="20"/>
        </w:rPr>
      </w:pPr>
    </w:p>
    <w:p w14:paraId="1E5F0DE0" w14:textId="77777777" w:rsidR="00E507D4" w:rsidRPr="00755D11" w:rsidRDefault="00E507D4" w:rsidP="00E507D4">
      <w:pPr>
        <w:pStyle w:val="BodyText"/>
        <w:ind w:left="720"/>
      </w:pPr>
      <w:r w:rsidRPr="00755D11">
        <w:lastRenderedPageBreak/>
        <w:t>You can activate the Optus TravelTM Pack on a day to day basis or multiple days at once. If you activate multiple consecutive days, the data allowance will accumulate, for example activate 5 consecutive days and use 5</w:t>
      </w:r>
      <w:r>
        <w:t>0</w:t>
      </w:r>
      <w:r w:rsidRPr="00755D11">
        <w:t>0MB any time over the 5 day period. If you exceed the data limit, standard data roaming charges will apply. Any data provided as part of Optus Travel™ Pack is not shareable and will not form part of any Data Pool. Any unused days of Optus Travel™ Pack are forfeited and cannot be rolled over to the next billing month.</w:t>
      </w:r>
    </w:p>
    <w:p w14:paraId="3FA41EAB" w14:textId="77777777" w:rsidR="00E507D4" w:rsidRDefault="00E507D4" w:rsidP="00E507D4">
      <w:pPr>
        <w:pStyle w:val="BodyText"/>
        <w:ind w:left="720"/>
      </w:pPr>
      <w:r w:rsidRPr="004C64A0">
        <w:t>I</w:t>
      </w:r>
      <w:r w:rsidRPr="00755D11">
        <w:t>f you are not in a Zone 1 country you will be charged at standard roaming rates for that country.</w:t>
      </w:r>
    </w:p>
    <w:p w14:paraId="16396D3A" w14:textId="77777777" w:rsidR="00E507D4" w:rsidRPr="004C64A0" w:rsidRDefault="00E507D4" w:rsidP="00E507D4">
      <w:pPr>
        <w:pStyle w:val="BodyText"/>
        <w:keepNext/>
        <w:rPr>
          <w:lang w:val="en-AU"/>
        </w:rPr>
      </w:pPr>
      <w:r w:rsidRPr="004C64A0">
        <w:rPr>
          <w:b/>
          <w:lang w:val="en-AU"/>
        </w:rPr>
        <w:t>Table 1 –</w:t>
      </w:r>
      <w:r>
        <w:rPr>
          <w:b/>
          <w:lang w:val="en-AU"/>
        </w:rPr>
        <w:t xml:space="preserve"> </w:t>
      </w:r>
      <w:r w:rsidRPr="004C64A0">
        <w:rPr>
          <w:b/>
          <w:lang w:val="en-AU"/>
        </w:rPr>
        <w:t>Plan Inclusions and Charges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261"/>
        <w:gridCol w:w="3402"/>
      </w:tblGrid>
      <w:tr w:rsidR="00E507D4" w:rsidRPr="00F20B08" w14:paraId="79BC88D8" w14:textId="77777777" w:rsidTr="00B95821">
        <w:tc>
          <w:tcPr>
            <w:tcW w:w="3402" w:type="dxa"/>
            <w:shd w:val="clear" w:color="auto" w:fill="auto"/>
          </w:tcPr>
          <w:p w14:paraId="341FFB26" w14:textId="77777777" w:rsidR="00E507D4" w:rsidRPr="00F20B08" w:rsidRDefault="00E507D4" w:rsidP="00B95821">
            <w:pPr>
              <w:pStyle w:val="BodyText"/>
              <w:keepNext/>
              <w:spacing w:before="100" w:after="100"/>
            </w:pPr>
          </w:p>
        </w:tc>
        <w:tc>
          <w:tcPr>
            <w:tcW w:w="3261" w:type="dxa"/>
            <w:shd w:val="clear" w:color="auto" w:fill="auto"/>
            <w:vAlign w:val="center"/>
          </w:tcPr>
          <w:p w14:paraId="49F2B9AB" w14:textId="77777777" w:rsidR="00E507D4" w:rsidRPr="00F20B08" w:rsidRDefault="00E507D4" w:rsidP="00B95821">
            <w:pPr>
              <w:pStyle w:val="BodyText"/>
              <w:keepNext/>
              <w:spacing w:before="100" w:after="100"/>
              <w:jc w:val="center"/>
              <w:rPr>
                <w:b/>
              </w:rPr>
            </w:pPr>
            <w:r w:rsidRPr="00F20B08">
              <w:rPr>
                <w:b/>
              </w:rPr>
              <w:t>$</w:t>
            </w:r>
            <w:r>
              <w:rPr>
                <w:b/>
              </w:rPr>
              <w:t>85</w:t>
            </w:r>
            <w:r w:rsidRPr="00F20B08">
              <w:rPr>
                <w:b/>
              </w:rPr>
              <w:t xml:space="preserve"> My Plan Business</w:t>
            </w:r>
            <w:r w:rsidRPr="00F20B08">
              <w:rPr>
                <w:b/>
                <w:snapToGrid w:val="0"/>
              </w:rPr>
              <w:t xml:space="preserve"> Tech Fund</w:t>
            </w:r>
          </w:p>
        </w:tc>
        <w:tc>
          <w:tcPr>
            <w:tcW w:w="3402" w:type="dxa"/>
            <w:vAlign w:val="center"/>
          </w:tcPr>
          <w:p w14:paraId="7FC9BF4A" w14:textId="77777777" w:rsidR="00E507D4" w:rsidRPr="00F20B08" w:rsidRDefault="00E507D4" w:rsidP="00B95821">
            <w:pPr>
              <w:pStyle w:val="BodyText"/>
              <w:keepNext/>
              <w:spacing w:before="100" w:after="100"/>
              <w:jc w:val="center"/>
              <w:rPr>
                <w:b/>
              </w:rPr>
            </w:pPr>
            <w:r w:rsidRPr="00F20B08">
              <w:rPr>
                <w:b/>
              </w:rPr>
              <w:t>$</w:t>
            </w:r>
            <w:r>
              <w:rPr>
                <w:b/>
              </w:rPr>
              <w:t>110</w:t>
            </w:r>
            <w:r w:rsidRPr="00F20B08">
              <w:rPr>
                <w:b/>
              </w:rPr>
              <w:t xml:space="preserve"> My Plan Business Tech Fund</w:t>
            </w:r>
          </w:p>
        </w:tc>
      </w:tr>
      <w:tr w:rsidR="00E507D4" w:rsidRPr="00F20B08" w14:paraId="3E1EFA64" w14:textId="77777777" w:rsidTr="00B95821">
        <w:tc>
          <w:tcPr>
            <w:tcW w:w="3402" w:type="dxa"/>
            <w:shd w:val="clear" w:color="auto" w:fill="auto"/>
          </w:tcPr>
          <w:p w14:paraId="50DAB630" w14:textId="77777777" w:rsidR="00E507D4" w:rsidRPr="00F20B08" w:rsidRDefault="00E507D4" w:rsidP="00B95821">
            <w:pPr>
              <w:pStyle w:val="BodyText"/>
              <w:keepNext/>
              <w:spacing w:before="100" w:after="100"/>
            </w:pPr>
            <w:r w:rsidRPr="00F20B08">
              <w:rPr>
                <w:b/>
                <w:bCs/>
                <w:lang w:eastAsia="en-AU"/>
              </w:rPr>
              <w:t>Minimum Monthly charge</w:t>
            </w:r>
          </w:p>
        </w:tc>
        <w:tc>
          <w:tcPr>
            <w:tcW w:w="3261" w:type="dxa"/>
            <w:shd w:val="clear" w:color="auto" w:fill="auto"/>
            <w:vAlign w:val="center"/>
          </w:tcPr>
          <w:p w14:paraId="718C22AE" w14:textId="77777777" w:rsidR="00E507D4" w:rsidRPr="00F20B08" w:rsidRDefault="00E507D4" w:rsidP="00B95821">
            <w:pPr>
              <w:pStyle w:val="BodyText"/>
              <w:keepNext/>
              <w:spacing w:before="100" w:after="100"/>
              <w:jc w:val="center"/>
            </w:pPr>
            <w:r w:rsidRPr="00F20B08">
              <w:t>$</w:t>
            </w:r>
            <w:r>
              <w:t>85</w:t>
            </w:r>
          </w:p>
        </w:tc>
        <w:tc>
          <w:tcPr>
            <w:tcW w:w="3402" w:type="dxa"/>
            <w:vAlign w:val="center"/>
          </w:tcPr>
          <w:p w14:paraId="281B65D9" w14:textId="77777777" w:rsidR="00E507D4" w:rsidRPr="00F20B08" w:rsidRDefault="00E507D4" w:rsidP="00B95821">
            <w:pPr>
              <w:pStyle w:val="BodyText"/>
              <w:keepNext/>
              <w:spacing w:before="100" w:after="100"/>
              <w:jc w:val="center"/>
            </w:pPr>
            <w:r w:rsidRPr="00F20B08">
              <w:t>$</w:t>
            </w:r>
            <w:r>
              <w:t>110</w:t>
            </w:r>
          </w:p>
        </w:tc>
      </w:tr>
      <w:tr w:rsidR="00E507D4" w:rsidRPr="00F20B08" w14:paraId="680F6153" w14:textId="77777777" w:rsidTr="00B95821">
        <w:tc>
          <w:tcPr>
            <w:tcW w:w="3402" w:type="dxa"/>
            <w:shd w:val="clear" w:color="auto" w:fill="auto"/>
          </w:tcPr>
          <w:p w14:paraId="4578AFE2" w14:textId="77777777" w:rsidR="00E507D4" w:rsidRPr="00F20B08" w:rsidRDefault="00E507D4" w:rsidP="00B95821">
            <w:pPr>
              <w:pStyle w:val="BodyText"/>
              <w:keepNext/>
              <w:spacing w:before="100" w:after="100"/>
            </w:pPr>
            <w:r w:rsidRPr="00F20B08">
              <w:rPr>
                <w:b/>
                <w:bCs/>
                <w:lang w:eastAsia="en-AU"/>
              </w:rPr>
              <w:t>Included Data</w:t>
            </w:r>
          </w:p>
        </w:tc>
        <w:tc>
          <w:tcPr>
            <w:tcW w:w="3261" w:type="dxa"/>
            <w:shd w:val="clear" w:color="auto" w:fill="auto"/>
            <w:vAlign w:val="center"/>
          </w:tcPr>
          <w:p w14:paraId="42005DF9" w14:textId="77777777" w:rsidR="00E507D4" w:rsidRPr="00F20B08" w:rsidRDefault="00E507D4" w:rsidP="00B95821">
            <w:pPr>
              <w:pStyle w:val="BodyText"/>
              <w:keepNext/>
              <w:spacing w:before="100" w:after="100"/>
              <w:jc w:val="center"/>
            </w:pPr>
            <w:r>
              <w:t>50GB</w:t>
            </w:r>
          </w:p>
        </w:tc>
        <w:tc>
          <w:tcPr>
            <w:tcW w:w="3402" w:type="dxa"/>
            <w:vAlign w:val="center"/>
          </w:tcPr>
          <w:p w14:paraId="2321F060" w14:textId="77777777" w:rsidR="00E507D4" w:rsidRPr="00F20B08" w:rsidRDefault="00E507D4" w:rsidP="00B95821">
            <w:pPr>
              <w:pStyle w:val="BodyText"/>
              <w:keepNext/>
              <w:spacing w:before="100" w:after="100"/>
              <w:jc w:val="center"/>
            </w:pPr>
            <w:r>
              <w:t>50GB</w:t>
            </w:r>
          </w:p>
        </w:tc>
      </w:tr>
      <w:tr w:rsidR="00E507D4" w:rsidRPr="00F20B08" w14:paraId="24EEB45B" w14:textId="77777777" w:rsidTr="00B95821">
        <w:tc>
          <w:tcPr>
            <w:tcW w:w="3402" w:type="dxa"/>
            <w:shd w:val="clear" w:color="auto" w:fill="auto"/>
          </w:tcPr>
          <w:p w14:paraId="31158DD0" w14:textId="77777777" w:rsidR="00E507D4" w:rsidRPr="00F20B08" w:rsidRDefault="00E507D4" w:rsidP="00B95821">
            <w:pPr>
              <w:pStyle w:val="BodyText"/>
              <w:keepNext/>
              <w:spacing w:before="100" w:after="100"/>
              <w:rPr>
                <w:b/>
                <w:bCs/>
                <w:lang w:eastAsia="en-AU"/>
              </w:rPr>
            </w:pPr>
            <w:r w:rsidRPr="00F20B08">
              <w:rPr>
                <w:b/>
                <w:bCs/>
                <w:lang w:eastAsia="en-AU"/>
              </w:rPr>
              <w:t>Additional Data</w:t>
            </w:r>
          </w:p>
        </w:tc>
        <w:tc>
          <w:tcPr>
            <w:tcW w:w="6663" w:type="dxa"/>
            <w:gridSpan w:val="2"/>
            <w:vAlign w:val="center"/>
          </w:tcPr>
          <w:p w14:paraId="22EE242E" w14:textId="77777777" w:rsidR="00E507D4" w:rsidRPr="00F20B08" w:rsidRDefault="00E507D4" w:rsidP="00B95821">
            <w:pPr>
              <w:pStyle w:val="BodyText"/>
              <w:keepNext/>
              <w:spacing w:before="100" w:after="100"/>
              <w:jc w:val="center"/>
            </w:pPr>
            <w:r w:rsidRPr="00F20B08">
              <w:t>Additional Data $10 per 1GB</w:t>
            </w:r>
          </w:p>
        </w:tc>
      </w:tr>
      <w:tr w:rsidR="00E507D4" w:rsidRPr="00F20B08" w14:paraId="3D7BEE07" w14:textId="77777777" w:rsidTr="00B95821">
        <w:tc>
          <w:tcPr>
            <w:tcW w:w="3402" w:type="dxa"/>
            <w:shd w:val="clear" w:color="auto" w:fill="auto"/>
          </w:tcPr>
          <w:p w14:paraId="7489D103" w14:textId="77777777" w:rsidR="00E507D4" w:rsidRPr="00F20B08" w:rsidRDefault="00E507D4" w:rsidP="00B95821">
            <w:pPr>
              <w:pStyle w:val="BodyText"/>
              <w:keepNext/>
              <w:spacing w:before="100" w:after="100"/>
              <w:rPr>
                <w:b/>
                <w:bCs/>
                <w:lang w:eastAsia="en-AU"/>
              </w:rPr>
            </w:pPr>
            <w:r w:rsidRPr="00F20B08">
              <w:rPr>
                <w:b/>
                <w:bCs/>
                <w:lang w:eastAsia="en-AU"/>
              </w:rPr>
              <w:t xml:space="preserve">Included Minutes </w:t>
            </w:r>
          </w:p>
          <w:p w14:paraId="662444A4" w14:textId="77777777" w:rsidR="00E507D4" w:rsidRPr="00F20B08" w:rsidRDefault="00E507D4" w:rsidP="00B95821">
            <w:pPr>
              <w:pStyle w:val="BodyText"/>
              <w:keepNext/>
              <w:spacing w:before="100" w:after="100"/>
            </w:pPr>
            <w:r w:rsidRPr="00F20B08">
              <w:rPr>
                <w:lang w:eastAsia="en-AU"/>
              </w:rPr>
              <w:t>for standard national calls to landlines and mobiles, 1300 numbers and voicemail, within Australia</w:t>
            </w:r>
          </w:p>
        </w:tc>
        <w:tc>
          <w:tcPr>
            <w:tcW w:w="3261" w:type="dxa"/>
            <w:shd w:val="clear" w:color="auto" w:fill="auto"/>
            <w:vAlign w:val="center"/>
          </w:tcPr>
          <w:p w14:paraId="186A3ECB" w14:textId="77777777" w:rsidR="00E507D4" w:rsidRPr="00F20B08" w:rsidRDefault="00E507D4" w:rsidP="00B95821">
            <w:pPr>
              <w:pStyle w:val="BodyText"/>
              <w:keepNext/>
              <w:spacing w:before="100" w:after="100"/>
              <w:jc w:val="center"/>
            </w:pPr>
            <w:r w:rsidRPr="00F20B08">
              <w:t>Unlimited</w:t>
            </w:r>
          </w:p>
        </w:tc>
        <w:tc>
          <w:tcPr>
            <w:tcW w:w="3402" w:type="dxa"/>
            <w:vAlign w:val="center"/>
          </w:tcPr>
          <w:p w14:paraId="3EF7A4D9" w14:textId="77777777" w:rsidR="00E507D4" w:rsidRPr="00F20B08" w:rsidRDefault="00E507D4" w:rsidP="00B95821">
            <w:pPr>
              <w:pStyle w:val="BodyText"/>
              <w:keepNext/>
              <w:spacing w:before="100" w:after="100"/>
              <w:jc w:val="center"/>
            </w:pPr>
            <w:r w:rsidRPr="00F20B08">
              <w:t>Unlimited</w:t>
            </w:r>
          </w:p>
        </w:tc>
      </w:tr>
      <w:tr w:rsidR="00E507D4" w:rsidRPr="00F20B08" w14:paraId="6375BA0A" w14:textId="77777777" w:rsidTr="00B95821">
        <w:tc>
          <w:tcPr>
            <w:tcW w:w="3402" w:type="dxa"/>
            <w:shd w:val="clear" w:color="auto" w:fill="auto"/>
          </w:tcPr>
          <w:p w14:paraId="56674A2C" w14:textId="77777777" w:rsidR="00E507D4" w:rsidRPr="00F20B08" w:rsidRDefault="00E507D4" w:rsidP="00B95821">
            <w:pPr>
              <w:pStyle w:val="BodyText"/>
              <w:keepNext/>
              <w:spacing w:before="100" w:after="100"/>
              <w:rPr>
                <w:b/>
                <w:bCs/>
                <w:lang w:eastAsia="en-AU"/>
              </w:rPr>
            </w:pPr>
            <w:r w:rsidRPr="00F20B08">
              <w:rPr>
                <w:b/>
                <w:bCs/>
                <w:lang w:eastAsia="en-AU"/>
              </w:rPr>
              <w:t>Included International Minutes</w:t>
            </w:r>
          </w:p>
          <w:p w14:paraId="53956CB3" w14:textId="77777777" w:rsidR="00E507D4" w:rsidRPr="00E21181" w:rsidRDefault="00E507D4" w:rsidP="00B95821">
            <w:pPr>
              <w:pStyle w:val="BodyText"/>
              <w:keepNext/>
              <w:spacing w:before="100" w:after="100"/>
              <w:rPr>
                <w:lang w:eastAsia="en-AU"/>
              </w:rPr>
            </w:pPr>
            <w:r w:rsidRPr="00F20B08">
              <w:rPr>
                <w:lang w:eastAsia="en-AU"/>
              </w:rPr>
              <w:t>Standard international</w:t>
            </w:r>
            <w:r>
              <w:rPr>
                <w:lang w:eastAsia="en-AU"/>
              </w:rPr>
              <w:t xml:space="preserve"> calls to landlines and mobiles </w:t>
            </w:r>
            <w:r w:rsidRPr="00F20B08">
              <w:rPr>
                <w:lang w:eastAsia="en-AU"/>
              </w:rPr>
              <w:t xml:space="preserve">to selected countries </w:t>
            </w:r>
          </w:p>
        </w:tc>
        <w:tc>
          <w:tcPr>
            <w:tcW w:w="3261" w:type="dxa"/>
            <w:shd w:val="clear" w:color="auto" w:fill="auto"/>
            <w:vAlign w:val="center"/>
          </w:tcPr>
          <w:p w14:paraId="2677EC64" w14:textId="77777777" w:rsidR="00E507D4" w:rsidRPr="00F20B08" w:rsidRDefault="00E507D4" w:rsidP="00B95821">
            <w:pPr>
              <w:pStyle w:val="BodyText"/>
              <w:keepNext/>
              <w:spacing w:before="100" w:after="100"/>
              <w:jc w:val="center"/>
            </w:pPr>
            <w:r w:rsidRPr="00F20B08">
              <w:t>Unlimited</w:t>
            </w:r>
          </w:p>
        </w:tc>
        <w:tc>
          <w:tcPr>
            <w:tcW w:w="3402" w:type="dxa"/>
            <w:vAlign w:val="center"/>
          </w:tcPr>
          <w:p w14:paraId="61B4783D" w14:textId="77777777" w:rsidR="00E507D4" w:rsidRPr="00F20B08" w:rsidRDefault="00E507D4" w:rsidP="00B95821">
            <w:pPr>
              <w:pStyle w:val="BodyText"/>
              <w:keepNext/>
              <w:spacing w:before="100" w:after="100"/>
              <w:jc w:val="center"/>
              <w:rPr>
                <w:bCs/>
                <w:lang w:eastAsia="en-AU"/>
              </w:rPr>
            </w:pPr>
            <w:r w:rsidRPr="00F20B08">
              <w:t>Unlimited</w:t>
            </w:r>
          </w:p>
        </w:tc>
      </w:tr>
      <w:tr w:rsidR="00E507D4" w:rsidRPr="00F20B08" w14:paraId="56E26D2F" w14:textId="77777777" w:rsidTr="00B95821">
        <w:tc>
          <w:tcPr>
            <w:tcW w:w="3402" w:type="dxa"/>
            <w:shd w:val="clear" w:color="auto" w:fill="auto"/>
          </w:tcPr>
          <w:p w14:paraId="366EF178" w14:textId="77777777" w:rsidR="00E507D4" w:rsidRPr="00F20B08" w:rsidRDefault="00E507D4" w:rsidP="00B95821">
            <w:pPr>
              <w:pStyle w:val="BodyText"/>
              <w:keepNext/>
              <w:spacing w:before="100" w:after="100"/>
            </w:pPr>
            <w:r w:rsidRPr="00F20B08">
              <w:rPr>
                <w:b/>
                <w:bCs/>
                <w:lang w:eastAsia="en-AU"/>
              </w:rPr>
              <w:t xml:space="preserve">Standard national SMS </w:t>
            </w:r>
            <w:r w:rsidRPr="00F20B08">
              <w:rPr>
                <w:lang w:eastAsia="en-AU"/>
              </w:rPr>
              <w:t>(per SMS of up to 160 standard characters)</w:t>
            </w:r>
          </w:p>
        </w:tc>
        <w:tc>
          <w:tcPr>
            <w:tcW w:w="3261" w:type="dxa"/>
            <w:shd w:val="clear" w:color="auto" w:fill="auto"/>
            <w:vAlign w:val="center"/>
          </w:tcPr>
          <w:p w14:paraId="59324848" w14:textId="77777777" w:rsidR="00E507D4" w:rsidRPr="00F20B08" w:rsidRDefault="00E507D4" w:rsidP="00B95821">
            <w:pPr>
              <w:pStyle w:val="BodyText"/>
              <w:keepNext/>
              <w:spacing w:before="100" w:after="100"/>
              <w:jc w:val="center"/>
            </w:pPr>
            <w:r w:rsidRPr="00F20B08">
              <w:t>Unlimited</w:t>
            </w:r>
          </w:p>
        </w:tc>
        <w:tc>
          <w:tcPr>
            <w:tcW w:w="3402" w:type="dxa"/>
            <w:vAlign w:val="center"/>
          </w:tcPr>
          <w:p w14:paraId="790BDB21" w14:textId="77777777" w:rsidR="00E507D4" w:rsidRPr="00F20B08" w:rsidRDefault="00E507D4" w:rsidP="00B95821">
            <w:pPr>
              <w:pStyle w:val="BodyText"/>
              <w:keepNext/>
              <w:spacing w:before="100" w:after="100"/>
              <w:jc w:val="center"/>
            </w:pPr>
            <w:r w:rsidRPr="00F20B08">
              <w:t>Unlimited</w:t>
            </w:r>
          </w:p>
        </w:tc>
      </w:tr>
      <w:tr w:rsidR="00E507D4" w:rsidRPr="00F20B08" w14:paraId="1E19DF2F" w14:textId="77777777" w:rsidTr="00B95821">
        <w:tc>
          <w:tcPr>
            <w:tcW w:w="3402" w:type="dxa"/>
            <w:shd w:val="clear" w:color="auto" w:fill="auto"/>
          </w:tcPr>
          <w:p w14:paraId="47838901" w14:textId="77777777" w:rsidR="00E507D4" w:rsidRPr="00F20B08" w:rsidRDefault="00E507D4" w:rsidP="00B95821">
            <w:pPr>
              <w:pStyle w:val="BodyText"/>
              <w:keepNext/>
              <w:spacing w:before="100" w:after="100"/>
              <w:rPr>
                <w:b/>
                <w:bCs/>
                <w:lang w:eastAsia="en-AU"/>
              </w:rPr>
            </w:pPr>
            <w:r w:rsidRPr="00F20B08">
              <w:rPr>
                <w:b/>
                <w:bCs/>
                <w:lang w:eastAsia="en-AU"/>
              </w:rPr>
              <w:t xml:space="preserve">Standard national MMS </w:t>
            </w:r>
            <w:r w:rsidRPr="00F20B08">
              <w:rPr>
                <w:lang w:eastAsia="en-AU"/>
              </w:rPr>
              <w:t>(per message)</w:t>
            </w:r>
          </w:p>
        </w:tc>
        <w:tc>
          <w:tcPr>
            <w:tcW w:w="3261" w:type="dxa"/>
            <w:shd w:val="clear" w:color="auto" w:fill="auto"/>
            <w:vAlign w:val="center"/>
          </w:tcPr>
          <w:p w14:paraId="1C2BB88B" w14:textId="77777777" w:rsidR="00E507D4" w:rsidRPr="00F20B08" w:rsidRDefault="00E507D4" w:rsidP="00B95821">
            <w:pPr>
              <w:pStyle w:val="BodyText"/>
              <w:keepNext/>
              <w:spacing w:before="100" w:after="100"/>
              <w:jc w:val="center"/>
            </w:pPr>
            <w:r w:rsidRPr="00F20B08">
              <w:t>Unlimited</w:t>
            </w:r>
          </w:p>
        </w:tc>
        <w:tc>
          <w:tcPr>
            <w:tcW w:w="3402" w:type="dxa"/>
            <w:vAlign w:val="center"/>
          </w:tcPr>
          <w:p w14:paraId="5453636B" w14:textId="77777777" w:rsidR="00E507D4" w:rsidRPr="00F20B08" w:rsidRDefault="00E507D4" w:rsidP="00B95821">
            <w:pPr>
              <w:pStyle w:val="BodyText"/>
              <w:keepNext/>
              <w:spacing w:before="100" w:after="100"/>
              <w:jc w:val="center"/>
            </w:pPr>
            <w:r w:rsidRPr="00F20B08">
              <w:t>Unlimited</w:t>
            </w:r>
          </w:p>
        </w:tc>
      </w:tr>
      <w:tr w:rsidR="00E507D4" w:rsidRPr="00F20B08" w14:paraId="1FA4B04C" w14:textId="77777777" w:rsidTr="00B95821">
        <w:tc>
          <w:tcPr>
            <w:tcW w:w="3402" w:type="dxa"/>
            <w:shd w:val="clear" w:color="auto" w:fill="auto"/>
          </w:tcPr>
          <w:p w14:paraId="6193C359" w14:textId="77777777" w:rsidR="00E507D4" w:rsidRPr="00F20B08" w:rsidDel="00064B49" w:rsidRDefault="00E507D4" w:rsidP="00B95821">
            <w:pPr>
              <w:pStyle w:val="BodyText"/>
              <w:keepNext/>
              <w:spacing w:before="100" w:after="100"/>
              <w:rPr>
                <w:b/>
                <w:bCs/>
                <w:lang w:eastAsia="en-AU"/>
              </w:rPr>
            </w:pPr>
            <w:r w:rsidRPr="00F20B08">
              <w:rPr>
                <w:b/>
                <w:bCs/>
                <w:lang w:eastAsia="en-AU"/>
              </w:rPr>
              <w:t xml:space="preserve">Standard international SMS </w:t>
            </w:r>
            <w:r w:rsidRPr="00F20B08">
              <w:rPr>
                <w:lang w:eastAsia="en-AU"/>
              </w:rPr>
              <w:t>(per SMS of up to 160 standard characters to selected countries)</w:t>
            </w:r>
          </w:p>
        </w:tc>
        <w:tc>
          <w:tcPr>
            <w:tcW w:w="3261" w:type="dxa"/>
            <w:shd w:val="clear" w:color="auto" w:fill="auto"/>
            <w:vAlign w:val="center"/>
          </w:tcPr>
          <w:p w14:paraId="7CBA0CCA" w14:textId="77777777" w:rsidR="00E507D4" w:rsidRPr="00F20B08" w:rsidDel="00064B49" w:rsidRDefault="00E507D4" w:rsidP="00B95821">
            <w:pPr>
              <w:pStyle w:val="BodyText"/>
              <w:keepNext/>
              <w:spacing w:before="100" w:after="100"/>
              <w:jc w:val="center"/>
            </w:pPr>
            <w:r w:rsidRPr="00F20B08">
              <w:t>Unlimited</w:t>
            </w:r>
          </w:p>
        </w:tc>
        <w:tc>
          <w:tcPr>
            <w:tcW w:w="3402" w:type="dxa"/>
            <w:vAlign w:val="center"/>
          </w:tcPr>
          <w:p w14:paraId="08898AF6" w14:textId="77777777" w:rsidR="00E507D4" w:rsidRPr="00F20B08" w:rsidRDefault="00E507D4" w:rsidP="00B95821">
            <w:pPr>
              <w:pStyle w:val="BodyText"/>
              <w:keepNext/>
              <w:spacing w:before="100" w:after="100"/>
              <w:jc w:val="center"/>
            </w:pPr>
            <w:r w:rsidRPr="00F20B08">
              <w:t>Unlimited</w:t>
            </w:r>
          </w:p>
        </w:tc>
      </w:tr>
      <w:tr w:rsidR="00E507D4" w:rsidRPr="00F20B08" w14:paraId="5F629E7E" w14:textId="77777777" w:rsidTr="00B95821">
        <w:tc>
          <w:tcPr>
            <w:tcW w:w="3402" w:type="dxa"/>
            <w:shd w:val="clear" w:color="auto" w:fill="auto"/>
          </w:tcPr>
          <w:p w14:paraId="0C0C1E8B" w14:textId="77777777" w:rsidR="00E507D4" w:rsidRPr="00F20B08" w:rsidRDefault="00E507D4" w:rsidP="00B95821">
            <w:pPr>
              <w:pStyle w:val="BodyText"/>
              <w:keepNext/>
              <w:spacing w:before="100" w:after="100"/>
              <w:rPr>
                <w:b/>
                <w:bCs/>
                <w:lang w:eastAsia="en-AU"/>
              </w:rPr>
            </w:pPr>
            <w:r w:rsidRPr="00F20B08">
              <w:rPr>
                <w:b/>
                <w:bCs/>
                <w:lang w:eastAsia="en-AU"/>
              </w:rPr>
              <w:t xml:space="preserve">Standard international MMS </w:t>
            </w:r>
            <w:r w:rsidRPr="00F20B08">
              <w:rPr>
                <w:lang w:eastAsia="en-AU"/>
              </w:rPr>
              <w:t>(per message to selected countries)</w:t>
            </w:r>
          </w:p>
        </w:tc>
        <w:tc>
          <w:tcPr>
            <w:tcW w:w="3261" w:type="dxa"/>
            <w:shd w:val="clear" w:color="auto" w:fill="auto"/>
            <w:vAlign w:val="center"/>
          </w:tcPr>
          <w:p w14:paraId="47FC602F" w14:textId="77777777" w:rsidR="00E507D4" w:rsidRPr="00F20B08" w:rsidRDefault="00E507D4" w:rsidP="00B95821">
            <w:pPr>
              <w:pStyle w:val="BodyText"/>
              <w:keepNext/>
              <w:spacing w:before="100" w:after="100"/>
              <w:jc w:val="center"/>
            </w:pPr>
            <w:r w:rsidRPr="00F20B08">
              <w:t>Unlimited</w:t>
            </w:r>
          </w:p>
        </w:tc>
        <w:tc>
          <w:tcPr>
            <w:tcW w:w="3402" w:type="dxa"/>
            <w:vAlign w:val="center"/>
          </w:tcPr>
          <w:p w14:paraId="3802D2ED" w14:textId="77777777" w:rsidR="00E507D4" w:rsidRPr="00F20B08" w:rsidRDefault="00E507D4" w:rsidP="00B95821">
            <w:pPr>
              <w:pStyle w:val="BodyText"/>
              <w:keepNext/>
              <w:spacing w:before="100" w:after="100"/>
              <w:jc w:val="center"/>
            </w:pPr>
            <w:r w:rsidRPr="00F20B08">
              <w:t>Unlimited</w:t>
            </w:r>
          </w:p>
        </w:tc>
      </w:tr>
      <w:tr w:rsidR="00E507D4" w:rsidRPr="00F20B08" w14:paraId="6446F924" w14:textId="77777777" w:rsidTr="00B95821">
        <w:tc>
          <w:tcPr>
            <w:tcW w:w="3402" w:type="dxa"/>
            <w:shd w:val="clear" w:color="auto" w:fill="auto"/>
          </w:tcPr>
          <w:p w14:paraId="65674427" w14:textId="77777777" w:rsidR="00E507D4" w:rsidRPr="00F20B08" w:rsidRDefault="00E507D4" w:rsidP="00B95821">
            <w:pPr>
              <w:pStyle w:val="BodyText"/>
              <w:keepNext/>
              <w:spacing w:before="100" w:after="100"/>
              <w:rPr>
                <w:b/>
                <w:bCs/>
                <w:lang w:eastAsia="en-AU"/>
              </w:rPr>
            </w:pPr>
            <w:r w:rsidRPr="00CF3812">
              <w:rPr>
                <w:rFonts w:eastAsia="Calibri"/>
                <w:b/>
                <w:bCs/>
                <w:lang w:eastAsia="en-AU"/>
              </w:rPr>
              <w:t xml:space="preserve">International Roaming </w:t>
            </w:r>
            <w:r w:rsidRPr="00CF3812">
              <w:rPr>
                <w:rFonts w:eastAsia="Calibri"/>
                <w:b/>
                <w:bCs/>
                <w:lang w:eastAsia="en-AU"/>
              </w:rPr>
              <w:br/>
            </w:r>
            <w:r w:rsidRPr="00CF3812">
              <w:rPr>
                <w:b/>
                <w:bCs/>
                <w:snapToGrid w:val="0"/>
              </w:rPr>
              <w:t>(Zone 1 countries)</w:t>
            </w:r>
          </w:p>
        </w:tc>
        <w:tc>
          <w:tcPr>
            <w:tcW w:w="3261" w:type="dxa"/>
            <w:shd w:val="clear" w:color="auto" w:fill="auto"/>
            <w:vAlign w:val="center"/>
          </w:tcPr>
          <w:p w14:paraId="45AE7A16" w14:textId="77777777" w:rsidR="00E507D4" w:rsidRPr="00F20B08" w:rsidRDefault="00E507D4" w:rsidP="00B95821">
            <w:pPr>
              <w:pStyle w:val="BodyText"/>
              <w:keepNext/>
              <w:spacing w:before="100" w:after="100"/>
              <w:jc w:val="center"/>
            </w:pPr>
            <w:r w:rsidRPr="00CF3812">
              <w:rPr>
                <w:rFonts w:eastAsia="Calibri"/>
              </w:rPr>
              <w:t>Not included</w:t>
            </w:r>
          </w:p>
        </w:tc>
        <w:tc>
          <w:tcPr>
            <w:tcW w:w="3402" w:type="dxa"/>
            <w:vAlign w:val="center"/>
          </w:tcPr>
          <w:p w14:paraId="518E89BD" w14:textId="77777777" w:rsidR="00E507D4" w:rsidRPr="00F20B08" w:rsidRDefault="00E507D4" w:rsidP="00B95821">
            <w:pPr>
              <w:pStyle w:val="BodyText"/>
              <w:keepNext/>
              <w:spacing w:before="100" w:after="100"/>
              <w:jc w:val="center"/>
            </w:pPr>
            <w:r w:rsidRPr="00CF3812">
              <w:rPr>
                <w:lang w:val="en-AU" w:eastAsia="en-AU"/>
              </w:rPr>
              <w:t>Unlimited standard nati</w:t>
            </w:r>
            <w:r>
              <w:rPr>
                <w:lang w:val="en-AU" w:eastAsia="en-AU"/>
              </w:rPr>
              <w:t>onal/international talk, SMS &amp; 2</w:t>
            </w:r>
            <w:r w:rsidRPr="00CF3812">
              <w:rPr>
                <w:lang w:val="en-AU" w:eastAsia="en-AU"/>
              </w:rPr>
              <w:t>GB data</w:t>
            </w:r>
          </w:p>
        </w:tc>
      </w:tr>
      <w:tr w:rsidR="00E507D4" w:rsidRPr="00F20B08" w14:paraId="4A2230F6" w14:textId="77777777" w:rsidTr="00B95821">
        <w:tc>
          <w:tcPr>
            <w:tcW w:w="3402" w:type="dxa"/>
            <w:shd w:val="clear" w:color="auto" w:fill="auto"/>
          </w:tcPr>
          <w:p w14:paraId="11D0BFFC" w14:textId="77777777" w:rsidR="00E507D4" w:rsidRPr="00F414D8" w:rsidRDefault="00E507D4" w:rsidP="00B95821">
            <w:pPr>
              <w:pStyle w:val="BodyText"/>
              <w:keepNext/>
              <w:spacing w:before="100" w:after="100"/>
              <w:rPr>
                <w:b/>
                <w:bCs/>
                <w:szCs w:val="20"/>
                <w:lang w:eastAsia="en-AU"/>
              </w:rPr>
            </w:pPr>
            <w:r w:rsidRPr="00F414D8">
              <w:rPr>
                <w:b/>
                <w:szCs w:val="20"/>
              </w:rPr>
              <w:t>Optus Travel™ Pack</w:t>
            </w:r>
            <w:r>
              <w:rPr>
                <w:b/>
                <w:szCs w:val="20"/>
              </w:rPr>
              <w:t xml:space="preserve"> </w:t>
            </w:r>
            <w:r w:rsidRPr="00CF3812">
              <w:rPr>
                <w:b/>
                <w:bCs/>
                <w:snapToGrid w:val="0"/>
              </w:rPr>
              <w:t>(Zone 1 countries)</w:t>
            </w:r>
          </w:p>
        </w:tc>
        <w:tc>
          <w:tcPr>
            <w:tcW w:w="3261" w:type="dxa"/>
            <w:shd w:val="clear" w:color="auto" w:fill="auto"/>
          </w:tcPr>
          <w:p w14:paraId="1061DB3A" w14:textId="77777777" w:rsidR="00E507D4" w:rsidRPr="00F414D8" w:rsidRDefault="00E507D4" w:rsidP="00B95821">
            <w:pPr>
              <w:spacing w:before="120"/>
              <w:jc w:val="center"/>
              <w:rPr>
                <w:rFonts w:eastAsia="Calibri"/>
                <w:sz w:val="20"/>
                <w:szCs w:val="20"/>
                <w:lang w:val="en-AU"/>
              </w:rPr>
            </w:pPr>
            <w:r w:rsidRPr="00F414D8">
              <w:rPr>
                <w:rFonts w:eastAsia="Calibri"/>
                <w:sz w:val="20"/>
                <w:szCs w:val="20"/>
                <w:lang w:val="en-AU"/>
              </w:rPr>
              <w:t>Get $5 Optus Travel™ Pack - normally $10</w:t>
            </w:r>
          </w:p>
          <w:p w14:paraId="1523E7C9" w14:textId="77777777" w:rsidR="00E507D4" w:rsidRPr="00F414D8" w:rsidRDefault="00E507D4" w:rsidP="00B95821">
            <w:pPr>
              <w:pStyle w:val="BodyText"/>
              <w:keepNext/>
              <w:spacing w:before="100" w:after="100"/>
              <w:jc w:val="center"/>
              <w:rPr>
                <w:szCs w:val="20"/>
              </w:rPr>
            </w:pPr>
          </w:p>
        </w:tc>
        <w:tc>
          <w:tcPr>
            <w:tcW w:w="3402" w:type="dxa"/>
          </w:tcPr>
          <w:p w14:paraId="1D7FC7D6" w14:textId="77777777" w:rsidR="00E507D4" w:rsidRPr="00F414D8" w:rsidRDefault="00E507D4" w:rsidP="00B95821">
            <w:pPr>
              <w:pStyle w:val="BodyText"/>
              <w:keepNext/>
              <w:spacing w:before="100" w:after="100"/>
              <w:jc w:val="center"/>
              <w:rPr>
                <w:szCs w:val="20"/>
              </w:rPr>
            </w:pPr>
            <w:r w:rsidRPr="00F414D8">
              <w:rPr>
                <w:rFonts w:eastAsia="Calibri"/>
                <w:szCs w:val="20"/>
              </w:rPr>
              <w:t>Not included</w:t>
            </w:r>
          </w:p>
        </w:tc>
      </w:tr>
      <w:tr w:rsidR="00E507D4" w:rsidRPr="00F20B08" w14:paraId="0E39B8AC" w14:textId="77777777" w:rsidTr="00B95821">
        <w:tc>
          <w:tcPr>
            <w:tcW w:w="3402" w:type="dxa"/>
            <w:shd w:val="clear" w:color="auto" w:fill="auto"/>
          </w:tcPr>
          <w:p w14:paraId="1CBD2D81" w14:textId="77777777" w:rsidR="00E507D4" w:rsidRPr="00F20B08" w:rsidRDefault="00E507D4" w:rsidP="00B95821">
            <w:pPr>
              <w:pStyle w:val="BodyText"/>
              <w:keepNext/>
              <w:spacing w:before="100" w:after="100"/>
              <w:rPr>
                <w:b/>
                <w:bCs/>
                <w:lang w:eastAsia="en-AU"/>
              </w:rPr>
            </w:pPr>
            <w:r w:rsidRPr="00F20B08">
              <w:rPr>
                <w:b/>
                <w:bCs/>
                <w:lang w:eastAsia="en-AU"/>
              </w:rPr>
              <w:t xml:space="preserve">Minimum total cost over 24 months </w:t>
            </w:r>
          </w:p>
        </w:tc>
        <w:tc>
          <w:tcPr>
            <w:tcW w:w="3261" w:type="dxa"/>
            <w:shd w:val="clear" w:color="auto" w:fill="auto"/>
            <w:vAlign w:val="center"/>
          </w:tcPr>
          <w:p w14:paraId="20876311" w14:textId="77777777" w:rsidR="00E507D4" w:rsidRPr="00F20B08" w:rsidRDefault="00E507D4" w:rsidP="00B95821">
            <w:pPr>
              <w:pStyle w:val="BodyText"/>
              <w:keepNext/>
              <w:spacing w:before="100" w:after="100"/>
              <w:jc w:val="center"/>
            </w:pPr>
            <w:r>
              <w:rPr>
                <w:rFonts w:eastAsia="Calibri"/>
              </w:rPr>
              <w:t>$2040</w:t>
            </w:r>
          </w:p>
        </w:tc>
        <w:tc>
          <w:tcPr>
            <w:tcW w:w="3402" w:type="dxa"/>
          </w:tcPr>
          <w:p w14:paraId="04F0354F" w14:textId="77777777" w:rsidR="00E507D4" w:rsidRPr="00F20B08" w:rsidRDefault="00E507D4" w:rsidP="00B95821">
            <w:pPr>
              <w:pStyle w:val="BodyText"/>
              <w:keepNext/>
              <w:spacing w:before="100" w:after="100"/>
              <w:jc w:val="center"/>
            </w:pPr>
            <w:r w:rsidRPr="008229AA">
              <w:rPr>
                <w:rFonts w:eastAsia="Calibri"/>
              </w:rPr>
              <w:t>$</w:t>
            </w:r>
            <w:r>
              <w:rPr>
                <w:rFonts w:eastAsia="Calibri"/>
              </w:rPr>
              <w:t>2640</w:t>
            </w:r>
          </w:p>
        </w:tc>
      </w:tr>
    </w:tbl>
    <w:p w14:paraId="576E4EF6" w14:textId="77777777" w:rsidR="00E507D4" w:rsidRDefault="00E507D4" w:rsidP="00E507D4">
      <w:pPr>
        <w:pStyle w:val="BodyText"/>
        <w:rPr>
          <w:b/>
        </w:rPr>
      </w:pPr>
    </w:p>
    <w:p w14:paraId="3DD82136" w14:textId="77777777" w:rsidR="00E507D4" w:rsidRDefault="00E507D4" w:rsidP="00E507D4">
      <w:pPr>
        <w:pStyle w:val="BodyText"/>
        <w:rPr>
          <w:b/>
        </w:rPr>
      </w:pPr>
      <w:r w:rsidRPr="00950DA4">
        <w:rPr>
          <w:b/>
        </w:rPr>
        <w:t>Table 2 – Other usage types and charges</w:t>
      </w:r>
    </w:p>
    <w:tbl>
      <w:tblPr>
        <w:tblW w:w="88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05"/>
        <w:gridCol w:w="4406"/>
      </w:tblGrid>
      <w:tr w:rsidR="00E507D4" w:rsidRPr="00090AB3" w14:paraId="24FD8BC7" w14:textId="77777777" w:rsidTr="00B95821">
        <w:trPr>
          <w:tblHeader/>
        </w:trPr>
        <w:tc>
          <w:tcPr>
            <w:tcW w:w="4405" w:type="dxa"/>
            <w:shd w:val="clear" w:color="auto" w:fill="auto"/>
            <w:vAlign w:val="center"/>
          </w:tcPr>
          <w:p w14:paraId="277EF966" w14:textId="77777777" w:rsidR="00E507D4" w:rsidRPr="00925C02" w:rsidRDefault="00E507D4" w:rsidP="00B95821">
            <w:pPr>
              <w:pStyle w:val="BodyText"/>
              <w:spacing w:before="100" w:after="100"/>
              <w:jc w:val="center"/>
              <w:rPr>
                <w:b/>
              </w:rPr>
            </w:pPr>
            <w:r w:rsidRPr="00925C02">
              <w:rPr>
                <w:b/>
              </w:rPr>
              <w:lastRenderedPageBreak/>
              <w:t>Usage type</w:t>
            </w:r>
          </w:p>
        </w:tc>
        <w:tc>
          <w:tcPr>
            <w:tcW w:w="4406" w:type="dxa"/>
            <w:shd w:val="clear" w:color="auto" w:fill="auto"/>
            <w:vAlign w:val="center"/>
          </w:tcPr>
          <w:p w14:paraId="4D327D4B" w14:textId="77777777" w:rsidR="00E507D4" w:rsidRPr="00925C02" w:rsidRDefault="00E507D4" w:rsidP="00B95821">
            <w:pPr>
              <w:pStyle w:val="BodyText"/>
              <w:spacing w:before="100" w:after="100"/>
              <w:jc w:val="center"/>
              <w:rPr>
                <w:b/>
              </w:rPr>
            </w:pPr>
            <w:r w:rsidRPr="00925C02">
              <w:rPr>
                <w:b/>
              </w:rPr>
              <w:t>Charge</w:t>
            </w:r>
          </w:p>
        </w:tc>
      </w:tr>
      <w:tr w:rsidR="00E507D4" w:rsidRPr="00090AB3" w14:paraId="37D4CBAA" w14:textId="77777777" w:rsidTr="00B95821">
        <w:tc>
          <w:tcPr>
            <w:tcW w:w="4405" w:type="dxa"/>
            <w:shd w:val="clear" w:color="auto" w:fill="auto"/>
          </w:tcPr>
          <w:p w14:paraId="2DE8097E" w14:textId="77777777" w:rsidR="00E507D4" w:rsidRPr="00950DA4" w:rsidRDefault="00E507D4" w:rsidP="00B95821">
            <w:pPr>
              <w:pStyle w:val="BodyText"/>
              <w:spacing w:before="100" w:after="100"/>
            </w:pPr>
            <w:r w:rsidRPr="00950DA4">
              <w:rPr>
                <w:bCs/>
                <w:lang w:eastAsia="en-AU"/>
              </w:rPr>
              <w:t xml:space="preserve">National video calls </w:t>
            </w:r>
            <w:r w:rsidRPr="00950DA4">
              <w:rPr>
                <w:lang w:eastAsia="en-AU"/>
              </w:rPr>
              <w:t>(per minute)</w:t>
            </w:r>
          </w:p>
        </w:tc>
        <w:tc>
          <w:tcPr>
            <w:tcW w:w="4406" w:type="dxa"/>
            <w:shd w:val="clear" w:color="auto" w:fill="auto"/>
            <w:vAlign w:val="center"/>
          </w:tcPr>
          <w:p w14:paraId="39C0E317" w14:textId="77777777" w:rsidR="00E507D4" w:rsidRPr="00090AB3" w:rsidRDefault="00E507D4" w:rsidP="00B95821">
            <w:pPr>
              <w:pStyle w:val="BodyText"/>
              <w:spacing w:before="100" w:after="100"/>
              <w:jc w:val="center"/>
            </w:pPr>
            <w:r w:rsidRPr="00090AB3">
              <w:t>$1.00 per min + 40c flagfall</w:t>
            </w:r>
          </w:p>
        </w:tc>
      </w:tr>
      <w:tr w:rsidR="00E507D4" w:rsidRPr="00090AB3" w14:paraId="54B982A3" w14:textId="77777777" w:rsidTr="00B95821">
        <w:tc>
          <w:tcPr>
            <w:tcW w:w="4405" w:type="dxa"/>
            <w:shd w:val="clear" w:color="auto" w:fill="auto"/>
          </w:tcPr>
          <w:p w14:paraId="7995F838" w14:textId="77777777" w:rsidR="00E507D4" w:rsidRPr="00950DA4" w:rsidRDefault="00E507D4" w:rsidP="00B95821">
            <w:pPr>
              <w:pStyle w:val="BodyText"/>
              <w:spacing w:before="100" w:after="100"/>
              <w:rPr>
                <w:bCs/>
                <w:lang w:eastAsia="en-AU"/>
              </w:rPr>
            </w:pPr>
            <w:r w:rsidRPr="00950DA4">
              <w:rPr>
                <w:bCs/>
                <w:lang w:eastAsia="en-AU"/>
              </w:rPr>
              <w:t>National Diversions</w:t>
            </w:r>
          </w:p>
        </w:tc>
        <w:tc>
          <w:tcPr>
            <w:tcW w:w="4406" w:type="dxa"/>
            <w:shd w:val="clear" w:color="auto" w:fill="auto"/>
          </w:tcPr>
          <w:p w14:paraId="096076C8" w14:textId="77777777" w:rsidR="00E507D4" w:rsidRPr="00090AB3" w:rsidRDefault="00E507D4" w:rsidP="00B95821">
            <w:pPr>
              <w:pStyle w:val="BodyText"/>
              <w:spacing w:before="100" w:after="100"/>
              <w:jc w:val="center"/>
            </w:pPr>
            <w:r w:rsidRPr="00090AB3">
              <w:t>$0 per minute</w:t>
            </w:r>
          </w:p>
        </w:tc>
      </w:tr>
      <w:tr w:rsidR="00E507D4" w:rsidRPr="00090AB3" w14:paraId="19EE2A11" w14:textId="77777777" w:rsidTr="00B95821">
        <w:tc>
          <w:tcPr>
            <w:tcW w:w="4405" w:type="dxa"/>
            <w:shd w:val="clear" w:color="auto" w:fill="auto"/>
          </w:tcPr>
          <w:p w14:paraId="6BD598F4" w14:textId="77777777" w:rsidR="00E507D4" w:rsidRPr="00950DA4" w:rsidRDefault="00E507D4" w:rsidP="00B95821">
            <w:pPr>
              <w:pStyle w:val="BodyText"/>
              <w:spacing w:before="100" w:after="100"/>
              <w:rPr>
                <w:bCs/>
                <w:lang w:eastAsia="en-AU"/>
              </w:rPr>
            </w:pPr>
            <w:r w:rsidRPr="00950DA4">
              <w:rPr>
                <w:bCs/>
                <w:lang w:eastAsia="en-AU"/>
              </w:rPr>
              <w:t xml:space="preserve">International Diversions </w:t>
            </w:r>
          </w:p>
        </w:tc>
        <w:tc>
          <w:tcPr>
            <w:tcW w:w="4406" w:type="dxa"/>
            <w:shd w:val="clear" w:color="auto" w:fill="auto"/>
          </w:tcPr>
          <w:p w14:paraId="7C59BE80" w14:textId="77777777" w:rsidR="00E507D4" w:rsidRPr="00090AB3" w:rsidRDefault="00E507D4" w:rsidP="00B95821">
            <w:pPr>
              <w:pStyle w:val="BodyText"/>
              <w:spacing w:before="100" w:after="100"/>
              <w:jc w:val="center"/>
            </w:pPr>
            <w:r>
              <w:t>'</w:t>
            </w:r>
            <w:r w:rsidRPr="00090AB3">
              <w:t>yes</w:t>
            </w:r>
            <w:r>
              <w:t>'</w:t>
            </w:r>
            <w:r w:rsidRPr="00090AB3">
              <w:t xml:space="preserve"> international rates</w:t>
            </w:r>
            <w:r w:rsidRPr="00090AB3">
              <w:br/>
              <w:t>See optus.com.au/international</w:t>
            </w:r>
          </w:p>
        </w:tc>
      </w:tr>
      <w:tr w:rsidR="00E507D4" w:rsidRPr="00090AB3" w14:paraId="6B4ED036" w14:textId="77777777" w:rsidTr="00B95821">
        <w:tc>
          <w:tcPr>
            <w:tcW w:w="4405" w:type="dxa"/>
            <w:shd w:val="clear" w:color="auto" w:fill="auto"/>
          </w:tcPr>
          <w:p w14:paraId="60D08180" w14:textId="77777777" w:rsidR="00E507D4" w:rsidRPr="00950DA4" w:rsidRDefault="00E507D4" w:rsidP="00B95821">
            <w:pPr>
              <w:pStyle w:val="BodyText"/>
              <w:spacing w:before="100" w:after="100"/>
              <w:rPr>
                <w:bCs/>
                <w:lang w:eastAsia="en-AU"/>
              </w:rPr>
            </w:pPr>
            <w:r w:rsidRPr="00950DA4">
              <w:rPr>
                <w:bCs/>
                <w:lang w:eastAsia="en-AU"/>
              </w:rPr>
              <w:t xml:space="preserve">1800 numbers </w:t>
            </w:r>
          </w:p>
        </w:tc>
        <w:tc>
          <w:tcPr>
            <w:tcW w:w="4406" w:type="dxa"/>
            <w:shd w:val="clear" w:color="auto" w:fill="auto"/>
            <w:vAlign w:val="center"/>
          </w:tcPr>
          <w:p w14:paraId="3A04F599" w14:textId="77777777" w:rsidR="00E507D4" w:rsidRPr="00090AB3" w:rsidRDefault="00E507D4" w:rsidP="00B95821">
            <w:pPr>
              <w:pStyle w:val="BodyText"/>
              <w:spacing w:before="100" w:after="100"/>
              <w:jc w:val="center"/>
            </w:pPr>
            <w:r w:rsidRPr="00090AB3">
              <w:t>$0 per minute</w:t>
            </w:r>
          </w:p>
        </w:tc>
      </w:tr>
      <w:tr w:rsidR="00E507D4" w:rsidRPr="00090AB3" w14:paraId="1355DA8B" w14:textId="77777777" w:rsidTr="00B95821">
        <w:tc>
          <w:tcPr>
            <w:tcW w:w="4405" w:type="dxa"/>
            <w:shd w:val="clear" w:color="auto" w:fill="auto"/>
          </w:tcPr>
          <w:p w14:paraId="49969B75" w14:textId="77777777" w:rsidR="00E507D4" w:rsidRPr="00950DA4" w:rsidRDefault="00E507D4" w:rsidP="00B95821">
            <w:pPr>
              <w:pStyle w:val="BodyText"/>
              <w:spacing w:before="100" w:after="100"/>
              <w:rPr>
                <w:bCs/>
                <w:lang w:eastAsia="en-AU"/>
              </w:rPr>
            </w:pPr>
            <w:r w:rsidRPr="00950DA4">
              <w:rPr>
                <w:bCs/>
                <w:lang w:eastAsia="en-AU"/>
              </w:rPr>
              <w:t xml:space="preserve">Directory Assistance 1223 </w:t>
            </w:r>
          </w:p>
        </w:tc>
        <w:tc>
          <w:tcPr>
            <w:tcW w:w="4406" w:type="dxa"/>
            <w:shd w:val="clear" w:color="auto" w:fill="auto"/>
            <w:vAlign w:val="center"/>
          </w:tcPr>
          <w:p w14:paraId="31D6AA73" w14:textId="77777777" w:rsidR="00E507D4" w:rsidRPr="00090AB3" w:rsidRDefault="00E507D4" w:rsidP="00B95821">
            <w:pPr>
              <w:pStyle w:val="BodyText"/>
              <w:spacing w:before="100" w:after="100"/>
              <w:jc w:val="center"/>
            </w:pPr>
            <w:r w:rsidRPr="00090AB3">
              <w:t>50c per call</w:t>
            </w:r>
          </w:p>
        </w:tc>
      </w:tr>
      <w:tr w:rsidR="00E507D4" w:rsidRPr="00090AB3" w14:paraId="67281998" w14:textId="77777777" w:rsidTr="00B95821">
        <w:tc>
          <w:tcPr>
            <w:tcW w:w="4405" w:type="dxa"/>
            <w:shd w:val="clear" w:color="auto" w:fill="auto"/>
          </w:tcPr>
          <w:p w14:paraId="5FADB506" w14:textId="77777777" w:rsidR="00E507D4" w:rsidRPr="00950DA4" w:rsidRDefault="00E507D4" w:rsidP="00B95821">
            <w:pPr>
              <w:pStyle w:val="BodyText"/>
              <w:spacing w:before="100" w:after="100"/>
              <w:rPr>
                <w:bCs/>
                <w:lang w:eastAsia="en-AU"/>
              </w:rPr>
            </w:pPr>
            <w:r w:rsidRPr="00950DA4">
              <w:rPr>
                <w:bCs/>
                <w:lang w:eastAsia="en-AU"/>
              </w:rPr>
              <w:t>124 Yes</w:t>
            </w:r>
          </w:p>
        </w:tc>
        <w:tc>
          <w:tcPr>
            <w:tcW w:w="4406" w:type="dxa"/>
            <w:shd w:val="clear" w:color="auto" w:fill="auto"/>
            <w:vAlign w:val="center"/>
          </w:tcPr>
          <w:p w14:paraId="26069FAB" w14:textId="77777777" w:rsidR="00E507D4" w:rsidRPr="00090AB3" w:rsidRDefault="00E507D4" w:rsidP="00B95821">
            <w:pPr>
              <w:pStyle w:val="BodyText"/>
              <w:spacing w:before="100" w:after="100"/>
              <w:jc w:val="center"/>
            </w:pPr>
            <w:r w:rsidRPr="00090AB3">
              <w:t>90c per minute +$1.75c flagfall</w:t>
            </w:r>
          </w:p>
        </w:tc>
      </w:tr>
      <w:tr w:rsidR="00E507D4" w:rsidRPr="00090AB3" w14:paraId="7BA4BCB2" w14:textId="77777777" w:rsidTr="00B95821">
        <w:tc>
          <w:tcPr>
            <w:tcW w:w="4405" w:type="dxa"/>
            <w:shd w:val="clear" w:color="auto" w:fill="auto"/>
          </w:tcPr>
          <w:p w14:paraId="086AB816" w14:textId="77777777" w:rsidR="00E507D4" w:rsidRPr="00950DA4" w:rsidRDefault="00E507D4" w:rsidP="00B95821">
            <w:pPr>
              <w:pStyle w:val="BodyText"/>
              <w:spacing w:before="100" w:after="100"/>
              <w:rPr>
                <w:bCs/>
                <w:lang w:eastAsia="en-AU"/>
              </w:rPr>
            </w:pPr>
            <w:r w:rsidRPr="00950DA4">
              <w:rPr>
                <w:bCs/>
                <w:lang w:eastAsia="en-AU"/>
              </w:rPr>
              <w:t>International voice calls (outside the plan</w:t>
            </w:r>
            <w:r>
              <w:rPr>
                <w:bCs/>
                <w:lang w:eastAsia="en-AU"/>
              </w:rPr>
              <w:t>'</w:t>
            </w:r>
            <w:r w:rsidRPr="00950DA4">
              <w:rPr>
                <w:bCs/>
                <w:lang w:eastAsia="en-AU"/>
              </w:rPr>
              <w:t xml:space="preserve">s included international minutes and to excluded countries) </w:t>
            </w:r>
          </w:p>
        </w:tc>
        <w:tc>
          <w:tcPr>
            <w:tcW w:w="4406" w:type="dxa"/>
            <w:shd w:val="clear" w:color="auto" w:fill="auto"/>
            <w:vAlign w:val="center"/>
          </w:tcPr>
          <w:p w14:paraId="0124CBA2" w14:textId="77777777" w:rsidR="00E507D4" w:rsidRPr="00090AB3" w:rsidRDefault="00E507D4" w:rsidP="00B95821">
            <w:pPr>
              <w:pStyle w:val="BodyText"/>
              <w:spacing w:before="100" w:after="100"/>
              <w:jc w:val="center"/>
            </w:pPr>
            <w:r>
              <w:t>'</w:t>
            </w:r>
            <w:r w:rsidRPr="00090AB3">
              <w:t>yes</w:t>
            </w:r>
            <w:r>
              <w:t>'</w:t>
            </w:r>
            <w:r w:rsidRPr="00090AB3">
              <w:t xml:space="preserve"> international rates</w:t>
            </w:r>
            <w:r w:rsidRPr="00090AB3">
              <w:br/>
              <w:t>See optus.com.au/international</w:t>
            </w:r>
          </w:p>
        </w:tc>
      </w:tr>
      <w:tr w:rsidR="00E507D4" w:rsidRPr="00090AB3" w14:paraId="37921F65" w14:textId="77777777" w:rsidTr="00B95821">
        <w:tc>
          <w:tcPr>
            <w:tcW w:w="4405" w:type="dxa"/>
            <w:shd w:val="clear" w:color="auto" w:fill="auto"/>
          </w:tcPr>
          <w:p w14:paraId="79E7F75E" w14:textId="77777777" w:rsidR="00E507D4" w:rsidRPr="00950DA4" w:rsidRDefault="00E507D4" w:rsidP="00B95821">
            <w:pPr>
              <w:pStyle w:val="BodyText"/>
              <w:spacing w:before="100" w:after="100"/>
              <w:rPr>
                <w:bCs/>
                <w:lang w:eastAsia="en-AU"/>
              </w:rPr>
            </w:pPr>
            <w:r w:rsidRPr="00950DA4">
              <w:rPr>
                <w:bCs/>
                <w:lang w:eastAsia="en-AU"/>
              </w:rPr>
              <w:t xml:space="preserve">International SMS (to excluded countries) </w:t>
            </w:r>
          </w:p>
        </w:tc>
        <w:tc>
          <w:tcPr>
            <w:tcW w:w="4406" w:type="dxa"/>
            <w:shd w:val="clear" w:color="auto" w:fill="auto"/>
            <w:vAlign w:val="center"/>
          </w:tcPr>
          <w:p w14:paraId="5309BC85" w14:textId="77777777" w:rsidR="00E507D4" w:rsidRPr="00090AB3" w:rsidRDefault="00E507D4" w:rsidP="00B95821">
            <w:pPr>
              <w:pStyle w:val="BodyText"/>
              <w:spacing w:before="100" w:after="100"/>
              <w:jc w:val="center"/>
            </w:pPr>
            <w:r w:rsidRPr="00090AB3">
              <w:t>50c per SMS up to 160 standard characters</w:t>
            </w:r>
          </w:p>
        </w:tc>
      </w:tr>
      <w:tr w:rsidR="00E507D4" w:rsidRPr="00090AB3" w14:paraId="7775DEDE" w14:textId="77777777" w:rsidTr="00B95821">
        <w:tc>
          <w:tcPr>
            <w:tcW w:w="4405" w:type="dxa"/>
            <w:shd w:val="clear" w:color="auto" w:fill="auto"/>
          </w:tcPr>
          <w:p w14:paraId="7BCB40CD" w14:textId="77777777" w:rsidR="00E507D4" w:rsidRPr="00950DA4" w:rsidRDefault="00E507D4" w:rsidP="00B95821">
            <w:pPr>
              <w:pStyle w:val="BodyText"/>
              <w:spacing w:before="100" w:after="100"/>
              <w:rPr>
                <w:bCs/>
                <w:lang w:eastAsia="en-AU"/>
              </w:rPr>
            </w:pPr>
            <w:r w:rsidRPr="00950DA4">
              <w:rPr>
                <w:bCs/>
                <w:lang w:eastAsia="en-AU"/>
              </w:rPr>
              <w:t>International MMS (to excluded countries)</w:t>
            </w:r>
          </w:p>
        </w:tc>
        <w:tc>
          <w:tcPr>
            <w:tcW w:w="4406" w:type="dxa"/>
            <w:shd w:val="clear" w:color="auto" w:fill="auto"/>
            <w:vAlign w:val="center"/>
          </w:tcPr>
          <w:p w14:paraId="3F81F3E1" w14:textId="77777777" w:rsidR="00E507D4" w:rsidRPr="00090AB3" w:rsidRDefault="00E507D4" w:rsidP="00B95821">
            <w:pPr>
              <w:pStyle w:val="BodyText"/>
              <w:spacing w:before="100" w:after="100"/>
              <w:jc w:val="center"/>
            </w:pPr>
            <w:r w:rsidRPr="00090AB3">
              <w:t>75c per MMS</w:t>
            </w:r>
          </w:p>
        </w:tc>
      </w:tr>
      <w:tr w:rsidR="00E507D4" w:rsidRPr="00090AB3" w14:paraId="43BA2757" w14:textId="77777777" w:rsidTr="00B95821">
        <w:tc>
          <w:tcPr>
            <w:tcW w:w="4405" w:type="dxa"/>
            <w:shd w:val="clear" w:color="auto" w:fill="auto"/>
          </w:tcPr>
          <w:p w14:paraId="7FF3EC92" w14:textId="77777777" w:rsidR="00E507D4" w:rsidRPr="00950DA4" w:rsidRDefault="00E507D4" w:rsidP="00B95821">
            <w:pPr>
              <w:pStyle w:val="BodyText"/>
              <w:spacing w:before="100" w:after="100"/>
              <w:rPr>
                <w:bCs/>
                <w:lang w:eastAsia="en-AU"/>
              </w:rPr>
            </w:pPr>
            <w:r w:rsidRPr="00950DA4">
              <w:rPr>
                <w:bCs/>
                <w:lang w:eastAsia="en-AU"/>
              </w:rPr>
              <w:t xml:space="preserve">International video calling </w:t>
            </w:r>
          </w:p>
        </w:tc>
        <w:tc>
          <w:tcPr>
            <w:tcW w:w="4406" w:type="dxa"/>
            <w:shd w:val="clear" w:color="auto" w:fill="auto"/>
            <w:vAlign w:val="center"/>
          </w:tcPr>
          <w:p w14:paraId="4BC79C0B" w14:textId="77777777" w:rsidR="00E507D4" w:rsidRPr="00090AB3" w:rsidRDefault="00E507D4" w:rsidP="00B95821">
            <w:pPr>
              <w:pStyle w:val="BodyText"/>
              <w:spacing w:before="100" w:after="100"/>
              <w:jc w:val="center"/>
            </w:pPr>
            <w:r w:rsidRPr="00090AB3">
              <w:t>$1.50 per minute +35c flagfall</w:t>
            </w:r>
          </w:p>
        </w:tc>
      </w:tr>
      <w:tr w:rsidR="00E507D4" w:rsidRPr="00090AB3" w14:paraId="7E8E7A9C" w14:textId="77777777" w:rsidTr="00B95821">
        <w:tc>
          <w:tcPr>
            <w:tcW w:w="4405" w:type="dxa"/>
            <w:shd w:val="clear" w:color="auto" w:fill="auto"/>
          </w:tcPr>
          <w:p w14:paraId="57840A2C" w14:textId="77777777" w:rsidR="00E507D4" w:rsidRPr="00950DA4" w:rsidRDefault="00E507D4" w:rsidP="00B95821">
            <w:pPr>
              <w:pStyle w:val="BodyText"/>
              <w:spacing w:before="100" w:after="100"/>
              <w:rPr>
                <w:bCs/>
                <w:lang w:eastAsia="en-AU"/>
              </w:rPr>
            </w:pPr>
            <w:r w:rsidRPr="00950DA4">
              <w:rPr>
                <w:bCs/>
                <w:lang w:eastAsia="en-AU"/>
              </w:rPr>
              <w:t xml:space="preserve">International roaming </w:t>
            </w:r>
          </w:p>
        </w:tc>
        <w:tc>
          <w:tcPr>
            <w:tcW w:w="4406" w:type="dxa"/>
            <w:shd w:val="clear" w:color="auto" w:fill="auto"/>
            <w:vAlign w:val="center"/>
          </w:tcPr>
          <w:p w14:paraId="7F872474" w14:textId="77777777" w:rsidR="00E507D4" w:rsidRPr="00090AB3" w:rsidRDefault="00E507D4" w:rsidP="00B95821">
            <w:pPr>
              <w:pStyle w:val="BodyText"/>
              <w:spacing w:before="100" w:after="100"/>
              <w:jc w:val="center"/>
            </w:pPr>
            <w:r w:rsidRPr="00090AB3">
              <w:t>See optus.com.au/roaming</w:t>
            </w:r>
          </w:p>
        </w:tc>
      </w:tr>
    </w:tbl>
    <w:p w14:paraId="3B02B845" w14:textId="77777777" w:rsidR="00E507D4" w:rsidRDefault="00E507D4" w:rsidP="00E507D4">
      <w:pPr>
        <w:pStyle w:val="BodyText"/>
        <w:rPr>
          <w:b/>
        </w:rPr>
      </w:pPr>
    </w:p>
    <w:p w14:paraId="726403CF" w14:textId="77777777" w:rsidR="00E507D4" w:rsidRDefault="00E507D4" w:rsidP="00E507D4">
      <w:pPr>
        <w:pStyle w:val="BodyText"/>
        <w:rPr>
          <w:b/>
        </w:rPr>
      </w:pPr>
      <w:r w:rsidRPr="00950DA4">
        <w:rPr>
          <w:b/>
        </w:rPr>
        <w:t>Table 3 – International Countries</w:t>
      </w:r>
    </w:p>
    <w:tbl>
      <w:tblPr>
        <w:tblW w:w="87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2"/>
        <w:gridCol w:w="2183"/>
        <w:gridCol w:w="2182"/>
        <w:gridCol w:w="2183"/>
      </w:tblGrid>
      <w:tr w:rsidR="00E507D4" w:rsidRPr="00E21F2E" w14:paraId="7F13E6D9" w14:textId="77777777" w:rsidTr="00B95821">
        <w:tc>
          <w:tcPr>
            <w:tcW w:w="2182" w:type="dxa"/>
            <w:shd w:val="clear" w:color="auto" w:fill="auto"/>
          </w:tcPr>
          <w:p w14:paraId="01F306C0" w14:textId="77777777" w:rsidR="00E507D4" w:rsidRPr="00E21F2E" w:rsidRDefault="00E507D4" w:rsidP="00B95821">
            <w:pPr>
              <w:pStyle w:val="BodyText"/>
              <w:spacing w:before="100" w:after="100"/>
              <w:rPr>
                <w:b/>
              </w:rPr>
            </w:pPr>
            <w:r w:rsidRPr="00E21F2E">
              <w:t>Austria</w:t>
            </w:r>
          </w:p>
        </w:tc>
        <w:tc>
          <w:tcPr>
            <w:tcW w:w="2183" w:type="dxa"/>
            <w:shd w:val="clear" w:color="auto" w:fill="auto"/>
          </w:tcPr>
          <w:p w14:paraId="6356B29D" w14:textId="77777777" w:rsidR="00E507D4" w:rsidRPr="00E21F2E" w:rsidRDefault="00E507D4" w:rsidP="00B95821">
            <w:pPr>
              <w:pStyle w:val="BodyText"/>
              <w:spacing w:before="100" w:after="100"/>
              <w:rPr>
                <w:b/>
              </w:rPr>
            </w:pPr>
            <w:r w:rsidRPr="00E21F2E">
              <w:t>Bangladesh</w:t>
            </w:r>
          </w:p>
        </w:tc>
        <w:tc>
          <w:tcPr>
            <w:tcW w:w="2182" w:type="dxa"/>
            <w:shd w:val="clear" w:color="auto" w:fill="auto"/>
          </w:tcPr>
          <w:p w14:paraId="100F1A17" w14:textId="77777777" w:rsidR="00E507D4" w:rsidRPr="00E21F2E" w:rsidRDefault="00E507D4" w:rsidP="00B95821">
            <w:pPr>
              <w:pStyle w:val="BodyText"/>
              <w:spacing w:before="100" w:after="100"/>
              <w:rPr>
                <w:b/>
              </w:rPr>
            </w:pPr>
            <w:r w:rsidRPr="00E21F2E">
              <w:t>Cambodia</w:t>
            </w:r>
          </w:p>
        </w:tc>
        <w:tc>
          <w:tcPr>
            <w:tcW w:w="2183" w:type="dxa"/>
            <w:shd w:val="clear" w:color="auto" w:fill="auto"/>
          </w:tcPr>
          <w:p w14:paraId="2E68A1CC" w14:textId="77777777" w:rsidR="00E507D4" w:rsidRPr="00E21F2E" w:rsidRDefault="00E507D4" w:rsidP="00B95821">
            <w:pPr>
              <w:pStyle w:val="BodyText"/>
              <w:spacing w:before="100" w:after="100"/>
              <w:rPr>
                <w:b/>
              </w:rPr>
            </w:pPr>
            <w:r w:rsidRPr="00E21F2E">
              <w:t>Canada</w:t>
            </w:r>
          </w:p>
        </w:tc>
      </w:tr>
      <w:tr w:rsidR="00E507D4" w:rsidRPr="00E21F2E" w14:paraId="457060FF" w14:textId="77777777" w:rsidTr="00B95821">
        <w:tc>
          <w:tcPr>
            <w:tcW w:w="2182" w:type="dxa"/>
            <w:shd w:val="clear" w:color="auto" w:fill="auto"/>
          </w:tcPr>
          <w:p w14:paraId="398C0792" w14:textId="77777777" w:rsidR="00E507D4" w:rsidRPr="00E21F2E" w:rsidRDefault="00E507D4" w:rsidP="00B95821">
            <w:pPr>
              <w:pStyle w:val="BodyText"/>
              <w:spacing w:before="100" w:after="100"/>
              <w:rPr>
                <w:b/>
              </w:rPr>
            </w:pPr>
            <w:r w:rsidRPr="00E21F2E">
              <w:t xml:space="preserve">Chile </w:t>
            </w:r>
          </w:p>
        </w:tc>
        <w:tc>
          <w:tcPr>
            <w:tcW w:w="2183" w:type="dxa"/>
            <w:shd w:val="clear" w:color="auto" w:fill="auto"/>
          </w:tcPr>
          <w:p w14:paraId="4C0B45E1" w14:textId="77777777" w:rsidR="00E507D4" w:rsidRPr="00E21F2E" w:rsidRDefault="00E507D4" w:rsidP="00B95821">
            <w:pPr>
              <w:pStyle w:val="BodyText"/>
              <w:spacing w:before="100" w:after="100"/>
              <w:rPr>
                <w:b/>
              </w:rPr>
            </w:pPr>
            <w:r w:rsidRPr="00E21F2E">
              <w:t xml:space="preserve">China </w:t>
            </w:r>
          </w:p>
        </w:tc>
        <w:tc>
          <w:tcPr>
            <w:tcW w:w="2182" w:type="dxa"/>
            <w:shd w:val="clear" w:color="auto" w:fill="auto"/>
          </w:tcPr>
          <w:p w14:paraId="67849A68" w14:textId="77777777" w:rsidR="00E507D4" w:rsidRPr="00E21F2E" w:rsidRDefault="00E507D4" w:rsidP="00B95821">
            <w:pPr>
              <w:pStyle w:val="BodyText"/>
              <w:spacing w:before="100" w:after="100"/>
              <w:rPr>
                <w:b/>
              </w:rPr>
            </w:pPr>
            <w:r w:rsidRPr="00E21F2E">
              <w:t xml:space="preserve">Croatia </w:t>
            </w:r>
          </w:p>
        </w:tc>
        <w:tc>
          <w:tcPr>
            <w:tcW w:w="2183" w:type="dxa"/>
            <w:shd w:val="clear" w:color="auto" w:fill="auto"/>
          </w:tcPr>
          <w:p w14:paraId="65248788" w14:textId="77777777" w:rsidR="00E507D4" w:rsidRPr="00E21F2E" w:rsidRDefault="00E507D4" w:rsidP="00B95821">
            <w:pPr>
              <w:pStyle w:val="BodyText"/>
              <w:spacing w:before="100" w:after="100"/>
              <w:rPr>
                <w:b/>
              </w:rPr>
            </w:pPr>
            <w:r w:rsidRPr="00E21F2E">
              <w:t>France</w:t>
            </w:r>
          </w:p>
        </w:tc>
      </w:tr>
      <w:tr w:rsidR="00E507D4" w:rsidRPr="00E21F2E" w14:paraId="51C30739" w14:textId="77777777" w:rsidTr="00B95821">
        <w:tc>
          <w:tcPr>
            <w:tcW w:w="2182" w:type="dxa"/>
            <w:shd w:val="clear" w:color="auto" w:fill="auto"/>
          </w:tcPr>
          <w:p w14:paraId="0345E265" w14:textId="77777777" w:rsidR="00E507D4" w:rsidRPr="00E21F2E" w:rsidRDefault="00E507D4" w:rsidP="00B95821">
            <w:pPr>
              <w:pStyle w:val="BodyText"/>
              <w:spacing w:before="100" w:after="100"/>
              <w:rPr>
                <w:b/>
              </w:rPr>
            </w:pPr>
            <w:r w:rsidRPr="00E21F2E">
              <w:t>Germany</w:t>
            </w:r>
          </w:p>
        </w:tc>
        <w:tc>
          <w:tcPr>
            <w:tcW w:w="2183" w:type="dxa"/>
            <w:shd w:val="clear" w:color="auto" w:fill="auto"/>
          </w:tcPr>
          <w:p w14:paraId="2B0AE24F" w14:textId="77777777" w:rsidR="00E507D4" w:rsidRPr="00E21F2E" w:rsidRDefault="00E507D4" w:rsidP="00B95821">
            <w:pPr>
              <w:pStyle w:val="BodyText"/>
              <w:spacing w:before="100" w:after="100"/>
              <w:rPr>
                <w:b/>
              </w:rPr>
            </w:pPr>
            <w:r w:rsidRPr="00E21F2E">
              <w:t>Greece</w:t>
            </w:r>
          </w:p>
        </w:tc>
        <w:tc>
          <w:tcPr>
            <w:tcW w:w="2182" w:type="dxa"/>
            <w:shd w:val="clear" w:color="auto" w:fill="auto"/>
          </w:tcPr>
          <w:p w14:paraId="5B98AB38" w14:textId="77777777" w:rsidR="00E507D4" w:rsidRPr="00E21F2E" w:rsidRDefault="00E507D4" w:rsidP="00B95821">
            <w:pPr>
              <w:pStyle w:val="BodyText"/>
              <w:spacing w:before="100" w:after="100"/>
              <w:rPr>
                <w:b/>
              </w:rPr>
            </w:pPr>
            <w:r w:rsidRPr="00E21F2E">
              <w:t>Hong Kong</w:t>
            </w:r>
          </w:p>
        </w:tc>
        <w:tc>
          <w:tcPr>
            <w:tcW w:w="2183" w:type="dxa"/>
            <w:shd w:val="clear" w:color="auto" w:fill="auto"/>
          </w:tcPr>
          <w:p w14:paraId="0AED6EDF" w14:textId="77777777" w:rsidR="00E507D4" w:rsidRPr="00E21F2E" w:rsidRDefault="00E507D4" w:rsidP="00B95821">
            <w:pPr>
              <w:pStyle w:val="BodyText"/>
              <w:spacing w:before="100" w:after="100"/>
              <w:rPr>
                <w:b/>
              </w:rPr>
            </w:pPr>
            <w:r w:rsidRPr="00E21F2E">
              <w:t>Hungary</w:t>
            </w:r>
          </w:p>
        </w:tc>
      </w:tr>
      <w:tr w:rsidR="00E507D4" w:rsidRPr="00E21F2E" w14:paraId="6D437649" w14:textId="77777777" w:rsidTr="00B95821">
        <w:tc>
          <w:tcPr>
            <w:tcW w:w="2182" w:type="dxa"/>
            <w:shd w:val="clear" w:color="auto" w:fill="auto"/>
          </w:tcPr>
          <w:p w14:paraId="41F907F9" w14:textId="77777777" w:rsidR="00E507D4" w:rsidRPr="00E21F2E" w:rsidRDefault="00E507D4" w:rsidP="00B95821">
            <w:pPr>
              <w:pStyle w:val="BodyText"/>
              <w:spacing w:before="100" w:after="100"/>
              <w:rPr>
                <w:b/>
              </w:rPr>
            </w:pPr>
            <w:r w:rsidRPr="00E21F2E">
              <w:t>Indonesia</w:t>
            </w:r>
          </w:p>
        </w:tc>
        <w:tc>
          <w:tcPr>
            <w:tcW w:w="2183" w:type="dxa"/>
            <w:shd w:val="clear" w:color="auto" w:fill="auto"/>
          </w:tcPr>
          <w:p w14:paraId="09B3B560" w14:textId="77777777" w:rsidR="00E507D4" w:rsidRPr="00E21F2E" w:rsidRDefault="00E507D4" w:rsidP="00B95821">
            <w:pPr>
              <w:pStyle w:val="BodyText"/>
              <w:spacing w:before="100" w:after="100"/>
              <w:rPr>
                <w:b/>
              </w:rPr>
            </w:pPr>
            <w:r w:rsidRPr="00E21F2E">
              <w:t>India</w:t>
            </w:r>
          </w:p>
        </w:tc>
        <w:tc>
          <w:tcPr>
            <w:tcW w:w="2182" w:type="dxa"/>
            <w:shd w:val="clear" w:color="auto" w:fill="auto"/>
          </w:tcPr>
          <w:p w14:paraId="4E41D627" w14:textId="77777777" w:rsidR="00E507D4" w:rsidRPr="00E21F2E" w:rsidRDefault="00E507D4" w:rsidP="00B95821">
            <w:pPr>
              <w:pStyle w:val="BodyText"/>
              <w:spacing w:before="100" w:after="100"/>
              <w:rPr>
                <w:b/>
              </w:rPr>
            </w:pPr>
            <w:r w:rsidRPr="00E21F2E">
              <w:t>Ireland</w:t>
            </w:r>
          </w:p>
        </w:tc>
        <w:tc>
          <w:tcPr>
            <w:tcW w:w="2183" w:type="dxa"/>
            <w:shd w:val="clear" w:color="auto" w:fill="auto"/>
          </w:tcPr>
          <w:p w14:paraId="4EC16B70" w14:textId="77777777" w:rsidR="00E507D4" w:rsidRPr="00E21F2E" w:rsidRDefault="00E507D4" w:rsidP="00B95821">
            <w:pPr>
              <w:pStyle w:val="BodyText"/>
              <w:spacing w:before="100" w:after="100"/>
              <w:rPr>
                <w:b/>
              </w:rPr>
            </w:pPr>
            <w:r w:rsidRPr="00E21F2E">
              <w:t>Italy</w:t>
            </w:r>
          </w:p>
        </w:tc>
      </w:tr>
      <w:tr w:rsidR="00E507D4" w:rsidRPr="00E21F2E" w14:paraId="7CD0CF04" w14:textId="77777777" w:rsidTr="00B95821">
        <w:tc>
          <w:tcPr>
            <w:tcW w:w="2182" w:type="dxa"/>
            <w:shd w:val="clear" w:color="auto" w:fill="auto"/>
          </w:tcPr>
          <w:p w14:paraId="501DBD1D" w14:textId="77777777" w:rsidR="00E507D4" w:rsidRPr="00E21F2E" w:rsidRDefault="00E507D4" w:rsidP="00B95821">
            <w:pPr>
              <w:pStyle w:val="BodyText"/>
              <w:spacing w:before="100" w:after="100"/>
              <w:rPr>
                <w:b/>
              </w:rPr>
            </w:pPr>
            <w:r w:rsidRPr="00E21F2E">
              <w:t xml:space="preserve">Japan </w:t>
            </w:r>
          </w:p>
        </w:tc>
        <w:tc>
          <w:tcPr>
            <w:tcW w:w="2183" w:type="dxa"/>
            <w:shd w:val="clear" w:color="auto" w:fill="auto"/>
          </w:tcPr>
          <w:p w14:paraId="1FECDF46" w14:textId="77777777" w:rsidR="00E507D4" w:rsidRPr="00E21F2E" w:rsidRDefault="00E507D4" w:rsidP="00B95821">
            <w:pPr>
              <w:pStyle w:val="BodyText"/>
              <w:spacing w:before="100" w:after="100"/>
              <w:rPr>
                <w:b/>
              </w:rPr>
            </w:pPr>
            <w:r w:rsidRPr="00E21F2E">
              <w:t>Malaysia</w:t>
            </w:r>
          </w:p>
        </w:tc>
        <w:tc>
          <w:tcPr>
            <w:tcW w:w="2182" w:type="dxa"/>
            <w:shd w:val="clear" w:color="auto" w:fill="auto"/>
          </w:tcPr>
          <w:p w14:paraId="5D3E3CD2" w14:textId="77777777" w:rsidR="00E507D4" w:rsidRPr="00E21F2E" w:rsidRDefault="00E507D4" w:rsidP="00B95821">
            <w:pPr>
              <w:pStyle w:val="BodyText"/>
              <w:spacing w:before="100" w:after="100"/>
              <w:rPr>
                <w:b/>
              </w:rPr>
            </w:pPr>
            <w:r w:rsidRPr="00E21F2E">
              <w:t>Netherlands</w:t>
            </w:r>
          </w:p>
        </w:tc>
        <w:tc>
          <w:tcPr>
            <w:tcW w:w="2183" w:type="dxa"/>
            <w:shd w:val="clear" w:color="auto" w:fill="auto"/>
          </w:tcPr>
          <w:p w14:paraId="37B02D90" w14:textId="77777777" w:rsidR="00E507D4" w:rsidRPr="00E21F2E" w:rsidRDefault="00E507D4" w:rsidP="00B95821">
            <w:pPr>
              <w:pStyle w:val="BodyText"/>
              <w:spacing w:before="100" w:after="100"/>
              <w:rPr>
                <w:b/>
              </w:rPr>
            </w:pPr>
            <w:r w:rsidRPr="00E21F2E">
              <w:t>New Zealand</w:t>
            </w:r>
          </w:p>
        </w:tc>
      </w:tr>
      <w:tr w:rsidR="00E507D4" w:rsidRPr="00E21F2E" w14:paraId="23EB2362" w14:textId="77777777" w:rsidTr="00B95821">
        <w:tc>
          <w:tcPr>
            <w:tcW w:w="2182" w:type="dxa"/>
            <w:shd w:val="clear" w:color="auto" w:fill="auto"/>
          </w:tcPr>
          <w:p w14:paraId="71A2C742" w14:textId="77777777" w:rsidR="00E507D4" w:rsidRPr="00E21F2E" w:rsidRDefault="00E507D4" w:rsidP="00B95821">
            <w:pPr>
              <w:pStyle w:val="BodyText"/>
              <w:spacing w:before="100" w:after="100"/>
              <w:rPr>
                <w:b/>
              </w:rPr>
            </w:pPr>
            <w:r w:rsidRPr="00E21F2E">
              <w:t xml:space="preserve">Pakistan </w:t>
            </w:r>
          </w:p>
        </w:tc>
        <w:tc>
          <w:tcPr>
            <w:tcW w:w="2183" w:type="dxa"/>
            <w:shd w:val="clear" w:color="auto" w:fill="auto"/>
          </w:tcPr>
          <w:p w14:paraId="0CC32418" w14:textId="77777777" w:rsidR="00E507D4" w:rsidRPr="00E21F2E" w:rsidRDefault="00E507D4" w:rsidP="00B95821">
            <w:pPr>
              <w:pStyle w:val="BodyText"/>
              <w:spacing w:before="100" w:after="100"/>
              <w:rPr>
                <w:b/>
              </w:rPr>
            </w:pPr>
            <w:r w:rsidRPr="00E21F2E">
              <w:t>Philippines</w:t>
            </w:r>
          </w:p>
        </w:tc>
        <w:tc>
          <w:tcPr>
            <w:tcW w:w="2182" w:type="dxa"/>
            <w:shd w:val="clear" w:color="auto" w:fill="auto"/>
          </w:tcPr>
          <w:p w14:paraId="354C5C99" w14:textId="77777777" w:rsidR="00E507D4" w:rsidRPr="00E21F2E" w:rsidRDefault="00E507D4" w:rsidP="00B95821">
            <w:pPr>
              <w:pStyle w:val="BodyText"/>
              <w:spacing w:before="100" w:after="100"/>
              <w:rPr>
                <w:b/>
              </w:rPr>
            </w:pPr>
            <w:r w:rsidRPr="00E21F2E">
              <w:t xml:space="preserve">Poland </w:t>
            </w:r>
          </w:p>
        </w:tc>
        <w:tc>
          <w:tcPr>
            <w:tcW w:w="2183" w:type="dxa"/>
            <w:shd w:val="clear" w:color="auto" w:fill="auto"/>
          </w:tcPr>
          <w:p w14:paraId="4D89360B" w14:textId="77777777" w:rsidR="00E507D4" w:rsidRPr="00E21F2E" w:rsidRDefault="00E507D4" w:rsidP="00B95821">
            <w:pPr>
              <w:pStyle w:val="BodyText"/>
              <w:spacing w:before="100" w:after="100"/>
              <w:rPr>
                <w:b/>
              </w:rPr>
            </w:pPr>
            <w:r w:rsidRPr="00E21F2E">
              <w:t>Singapore</w:t>
            </w:r>
          </w:p>
        </w:tc>
      </w:tr>
      <w:tr w:rsidR="00E507D4" w:rsidRPr="00E21F2E" w14:paraId="52F8D2F0" w14:textId="77777777" w:rsidTr="00B95821">
        <w:tc>
          <w:tcPr>
            <w:tcW w:w="2182" w:type="dxa"/>
            <w:shd w:val="clear" w:color="auto" w:fill="auto"/>
          </w:tcPr>
          <w:p w14:paraId="0EB922D9" w14:textId="77777777" w:rsidR="00E507D4" w:rsidRPr="00E21F2E" w:rsidRDefault="00E507D4" w:rsidP="00B95821">
            <w:pPr>
              <w:pStyle w:val="BodyText"/>
              <w:spacing w:before="100" w:after="100"/>
              <w:rPr>
                <w:b/>
              </w:rPr>
            </w:pPr>
            <w:r w:rsidRPr="00E21F2E">
              <w:t xml:space="preserve">South Africa </w:t>
            </w:r>
          </w:p>
        </w:tc>
        <w:tc>
          <w:tcPr>
            <w:tcW w:w="2183" w:type="dxa"/>
            <w:shd w:val="clear" w:color="auto" w:fill="auto"/>
          </w:tcPr>
          <w:p w14:paraId="6F7A93CE" w14:textId="77777777" w:rsidR="00E507D4" w:rsidRPr="00E21F2E" w:rsidRDefault="00E507D4" w:rsidP="00B95821">
            <w:pPr>
              <w:pStyle w:val="BodyText"/>
              <w:spacing w:before="100" w:after="100"/>
              <w:rPr>
                <w:b/>
              </w:rPr>
            </w:pPr>
            <w:r w:rsidRPr="00E21F2E">
              <w:t>South Korea</w:t>
            </w:r>
          </w:p>
        </w:tc>
        <w:tc>
          <w:tcPr>
            <w:tcW w:w="2182" w:type="dxa"/>
            <w:shd w:val="clear" w:color="auto" w:fill="auto"/>
          </w:tcPr>
          <w:p w14:paraId="4C852FC9" w14:textId="77777777" w:rsidR="00E507D4" w:rsidRPr="00E21F2E" w:rsidRDefault="00E507D4" w:rsidP="00B95821">
            <w:pPr>
              <w:pStyle w:val="BodyText"/>
              <w:spacing w:before="100" w:after="100"/>
              <w:rPr>
                <w:b/>
              </w:rPr>
            </w:pPr>
            <w:r w:rsidRPr="00E21F2E">
              <w:t xml:space="preserve">Taiwan </w:t>
            </w:r>
          </w:p>
        </w:tc>
        <w:tc>
          <w:tcPr>
            <w:tcW w:w="2183" w:type="dxa"/>
            <w:shd w:val="clear" w:color="auto" w:fill="auto"/>
          </w:tcPr>
          <w:p w14:paraId="2C8705DE" w14:textId="77777777" w:rsidR="00E507D4" w:rsidRPr="00E21F2E" w:rsidRDefault="00E507D4" w:rsidP="00B95821">
            <w:pPr>
              <w:pStyle w:val="BodyText"/>
              <w:spacing w:before="100" w:after="100"/>
              <w:rPr>
                <w:b/>
              </w:rPr>
            </w:pPr>
            <w:r w:rsidRPr="00E21F2E">
              <w:t>Thailand</w:t>
            </w:r>
          </w:p>
        </w:tc>
      </w:tr>
      <w:tr w:rsidR="00E507D4" w:rsidRPr="00E21F2E" w14:paraId="4175E460" w14:textId="77777777" w:rsidTr="00B95821">
        <w:tc>
          <w:tcPr>
            <w:tcW w:w="2182" w:type="dxa"/>
            <w:shd w:val="clear" w:color="auto" w:fill="auto"/>
          </w:tcPr>
          <w:p w14:paraId="2EC1315B" w14:textId="77777777" w:rsidR="00E507D4" w:rsidRPr="00E21F2E" w:rsidRDefault="00E507D4" w:rsidP="00B95821">
            <w:pPr>
              <w:pStyle w:val="BodyText"/>
              <w:spacing w:before="100" w:after="100"/>
              <w:rPr>
                <w:b/>
              </w:rPr>
            </w:pPr>
            <w:r w:rsidRPr="00E21F2E">
              <w:t>Turkey</w:t>
            </w:r>
          </w:p>
        </w:tc>
        <w:tc>
          <w:tcPr>
            <w:tcW w:w="2183" w:type="dxa"/>
            <w:shd w:val="clear" w:color="auto" w:fill="auto"/>
          </w:tcPr>
          <w:p w14:paraId="448F46AD" w14:textId="77777777" w:rsidR="00E507D4" w:rsidRPr="00E21F2E" w:rsidRDefault="00E507D4" w:rsidP="00B95821">
            <w:pPr>
              <w:pStyle w:val="BodyText"/>
              <w:spacing w:before="100" w:after="100"/>
              <w:rPr>
                <w:b/>
              </w:rPr>
            </w:pPr>
            <w:r w:rsidRPr="00E21F2E">
              <w:t>United Kingdom</w:t>
            </w:r>
          </w:p>
        </w:tc>
        <w:tc>
          <w:tcPr>
            <w:tcW w:w="2182" w:type="dxa"/>
            <w:shd w:val="clear" w:color="auto" w:fill="auto"/>
          </w:tcPr>
          <w:p w14:paraId="479733CA" w14:textId="77777777" w:rsidR="00E507D4" w:rsidRPr="00E21F2E" w:rsidRDefault="00E507D4" w:rsidP="00B95821">
            <w:pPr>
              <w:pStyle w:val="BodyText"/>
              <w:spacing w:before="100" w:after="100"/>
              <w:rPr>
                <w:b/>
              </w:rPr>
            </w:pPr>
            <w:r w:rsidRPr="00E21F2E">
              <w:t xml:space="preserve">USA </w:t>
            </w:r>
          </w:p>
        </w:tc>
        <w:tc>
          <w:tcPr>
            <w:tcW w:w="2183" w:type="dxa"/>
            <w:shd w:val="clear" w:color="auto" w:fill="auto"/>
          </w:tcPr>
          <w:p w14:paraId="0EAA972A" w14:textId="77777777" w:rsidR="00E507D4" w:rsidRPr="00E21F2E" w:rsidRDefault="00E507D4" w:rsidP="00B95821">
            <w:pPr>
              <w:pStyle w:val="BodyText"/>
              <w:spacing w:before="100" w:after="100"/>
              <w:rPr>
                <w:b/>
              </w:rPr>
            </w:pPr>
            <w:r w:rsidRPr="00E21F2E">
              <w:t>Vietnam</w:t>
            </w:r>
          </w:p>
        </w:tc>
      </w:tr>
    </w:tbl>
    <w:p w14:paraId="62C7009A" w14:textId="77777777" w:rsidR="00E507D4" w:rsidRDefault="00E507D4" w:rsidP="00E507D4">
      <w:pPr>
        <w:pStyle w:val="BodyText"/>
      </w:pPr>
    </w:p>
    <w:p w14:paraId="076F09F6" w14:textId="77777777" w:rsidR="00E507D4" w:rsidRPr="00950DA4" w:rsidRDefault="00E507D4" w:rsidP="00E507D4">
      <w:pPr>
        <w:pStyle w:val="Heading6"/>
        <w:ind w:left="0" w:firstLine="0"/>
        <w:rPr>
          <w:lang w:val="en-AU"/>
        </w:rPr>
      </w:pPr>
      <w:bookmarkStart w:id="2208" w:name="_Toc484513952"/>
      <w:bookmarkStart w:id="2209" w:name="_Toc508362010"/>
      <w:r w:rsidRPr="00950DA4">
        <w:rPr>
          <w:lang w:val="en-AU"/>
        </w:rPr>
        <w:t>My Account</w:t>
      </w:r>
      <w:bookmarkEnd w:id="2208"/>
      <w:bookmarkEnd w:id="2209"/>
    </w:p>
    <w:p w14:paraId="49DDD911" w14:textId="77777777" w:rsidR="00E507D4" w:rsidRPr="00950DA4" w:rsidRDefault="00E507D4" w:rsidP="00E507D4">
      <w:pPr>
        <w:pStyle w:val="BodyText"/>
        <w:ind w:left="720"/>
        <w:rPr>
          <w:lang w:val="en-AU"/>
        </w:rPr>
      </w:pPr>
      <w:r w:rsidRPr="00950DA4">
        <w:rPr>
          <w:lang w:val="en-AU"/>
        </w:rPr>
        <w:t xml:space="preserve">Services that share data may have a service login to My Account which will display all of the service numbers contributing to or using the shared data pool on </w:t>
      </w:r>
      <w:r w:rsidRPr="00950DA4">
        <w:rPr>
          <w:i/>
          <w:lang w:val="en-AU"/>
        </w:rPr>
        <w:t xml:space="preserve">your </w:t>
      </w:r>
      <w:r w:rsidRPr="00950DA4">
        <w:rPr>
          <w:lang w:val="en-AU"/>
        </w:rPr>
        <w:t xml:space="preserve">account and the amount of data each service has used. If </w:t>
      </w:r>
      <w:r w:rsidRPr="00950DA4">
        <w:rPr>
          <w:i/>
          <w:lang w:val="en-AU"/>
        </w:rPr>
        <w:t>you</w:t>
      </w:r>
      <w:r w:rsidRPr="00950DA4">
        <w:rPr>
          <w:lang w:val="en-AU"/>
        </w:rPr>
        <w:t xml:space="preserve"> have more than 6 services on </w:t>
      </w:r>
      <w:r w:rsidRPr="00950DA4">
        <w:rPr>
          <w:i/>
          <w:lang w:val="en-AU"/>
        </w:rPr>
        <w:t>your</w:t>
      </w:r>
      <w:r w:rsidRPr="00950DA4">
        <w:rPr>
          <w:lang w:val="en-AU"/>
        </w:rPr>
        <w:t xml:space="preserve"> account, My Account may not be suitable for viewing usage and managing </w:t>
      </w:r>
      <w:r w:rsidRPr="00950DA4">
        <w:rPr>
          <w:i/>
          <w:lang w:val="en-AU"/>
        </w:rPr>
        <w:t xml:space="preserve">your </w:t>
      </w:r>
      <w:r w:rsidRPr="00950DA4">
        <w:rPr>
          <w:lang w:val="en-AU"/>
        </w:rPr>
        <w:t>usage alerts.</w:t>
      </w:r>
    </w:p>
    <w:p w14:paraId="5EDD2B94" w14:textId="77777777" w:rsidR="00E507D4" w:rsidRPr="00950DA4" w:rsidRDefault="00E507D4" w:rsidP="00E507D4">
      <w:pPr>
        <w:pStyle w:val="Heading6"/>
        <w:ind w:left="0" w:firstLine="0"/>
        <w:rPr>
          <w:lang w:val="en-AU"/>
        </w:rPr>
      </w:pPr>
      <w:bookmarkStart w:id="2210" w:name="_Toc484513953"/>
      <w:bookmarkStart w:id="2211" w:name="_Toc508362011"/>
      <w:r w:rsidRPr="00950DA4">
        <w:rPr>
          <w:lang w:val="en-AU"/>
        </w:rPr>
        <w:t xml:space="preserve">What happens if the </w:t>
      </w:r>
      <w:r w:rsidRPr="00950DA4">
        <w:rPr>
          <w:i/>
          <w:lang w:val="en-AU"/>
        </w:rPr>
        <w:t xml:space="preserve">service </w:t>
      </w:r>
      <w:r w:rsidRPr="00950DA4">
        <w:rPr>
          <w:lang w:val="en-AU"/>
        </w:rPr>
        <w:t>is</w:t>
      </w:r>
      <w:r w:rsidRPr="00950DA4">
        <w:rPr>
          <w:i/>
          <w:lang w:val="en-AU"/>
        </w:rPr>
        <w:t xml:space="preserve"> cancelled </w:t>
      </w:r>
      <w:r w:rsidRPr="00950DA4">
        <w:rPr>
          <w:lang w:val="en-AU"/>
        </w:rPr>
        <w:t>early?</w:t>
      </w:r>
      <w:bookmarkEnd w:id="2210"/>
      <w:bookmarkEnd w:id="2211"/>
    </w:p>
    <w:p w14:paraId="65DDB4C4" w14:textId="77777777" w:rsidR="00E507D4" w:rsidRPr="00950DA4" w:rsidRDefault="00E507D4" w:rsidP="00E507D4">
      <w:pPr>
        <w:pStyle w:val="Heading7"/>
        <w:rPr>
          <w:lang w:val="en-AU"/>
        </w:rPr>
      </w:pPr>
      <w:r w:rsidRPr="00950DA4">
        <w:rPr>
          <w:lang w:val="en-AU"/>
        </w:rPr>
        <w:t>If the</w:t>
      </w:r>
      <w:r w:rsidRPr="00950DA4">
        <w:rPr>
          <w:i/>
          <w:lang w:val="en-AU"/>
        </w:rPr>
        <w:t xml:space="preserve"> service</w:t>
      </w:r>
      <w:r w:rsidRPr="00950DA4">
        <w:rPr>
          <w:lang w:val="en-AU"/>
        </w:rPr>
        <w:t xml:space="preserve"> is</w:t>
      </w:r>
      <w:r w:rsidRPr="00950DA4">
        <w:rPr>
          <w:i/>
          <w:lang w:val="en-AU"/>
        </w:rPr>
        <w:t xml:space="preserve"> cancelled </w:t>
      </w:r>
      <w:r w:rsidRPr="00950DA4">
        <w:rPr>
          <w:lang w:val="en-AU"/>
        </w:rPr>
        <w:t xml:space="preserve">before the end of </w:t>
      </w:r>
      <w:r w:rsidRPr="00950DA4">
        <w:rPr>
          <w:i/>
          <w:lang w:val="en-AU"/>
        </w:rPr>
        <w:t xml:space="preserve">your minimum term, you </w:t>
      </w:r>
      <w:r w:rsidRPr="00950DA4">
        <w:rPr>
          <w:lang w:val="en-AU"/>
        </w:rPr>
        <w:t xml:space="preserve">will be required to pay </w:t>
      </w:r>
      <w:r w:rsidRPr="00950DA4">
        <w:rPr>
          <w:i/>
          <w:lang w:val="en-AU"/>
        </w:rPr>
        <w:t>us</w:t>
      </w:r>
      <w:r w:rsidRPr="00950DA4">
        <w:rPr>
          <w:lang w:val="en-AU"/>
        </w:rPr>
        <w:t>:</w:t>
      </w:r>
    </w:p>
    <w:p w14:paraId="056CA18B" w14:textId="77777777" w:rsidR="00E507D4" w:rsidRPr="00950DA4" w:rsidRDefault="00E507D4" w:rsidP="00E507D4">
      <w:pPr>
        <w:pStyle w:val="Heading8"/>
        <w:rPr>
          <w:lang w:val="en-AU"/>
        </w:rPr>
      </w:pPr>
      <w:r w:rsidRPr="00950DA4">
        <w:rPr>
          <w:lang w:val="en-AU"/>
        </w:rPr>
        <w:t xml:space="preserve">any usage charges incurred up to, and including, the </w:t>
      </w:r>
      <w:r w:rsidRPr="00950DA4">
        <w:rPr>
          <w:i/>
          <w:lang w:val="en-AU"/>
        </w:rPr>
        <w:t xml:space="preserve">cancellation date; </w:t>
      </w:r>
      <w:r w:rsidRPr="00950DA4">
        <w:rPr>
          <w:lang w:val="en-AU"/>
        </w:rPr>
        <w:t>plus</w:t>
      </w:r>
    </w:p>
    <w:p w14:paraId="337DF8E9" w14:textId="77777777" w:rsidR="00E507D4" w:rsidRPr="00950DA4" w:rsidRDefault="00E507D4" w:rsidP="00E507D4">
      <w:pPr>
        <w:pStyle w:val="Heading8"/>
        <w:rPr>
          <w:lang w:val="en-AU"/>
        </w:rPr>
      </w:pPr>
      <w:r w:rsidRPr="00950DA4">
        <w:rPr>
          <w:lang w:val="en-AU"/>
        </w:rPr>
        <w:lastRenderedPageBreak/>
        <w:t xml:space="preserve">the </w:t>
      </w:r>
      <w:r w:rsidRPr="00950DA4">
        <w:rPr>
          <w:i/>
          <w:lang w:val="en-AU"/>
        </w:rPr>
        <w:t>cancellation fees</w:t>
      </w:r>
      <w:r w:rsidRPr="00950DA4">
        <w:rPr>
          <w:lang w:val="en-AU"/>
        </w:rPr>
        <w:t xml:space="preserve"> set out in paragraph (b) below (unless under </w:t>
      </w:r>
      <w:r w:rsidRPr="001A4873">
        <w:rPr>
          <w:lang w:val="en-AU"/>
        </w:rPr>
        <w:t>clause 2A</w:t>
      </w:r>
      <w:r w:rsidRPr="00950DA4">
        <w:rPr>
          <w:lang w:val="en-AU"/>
        </w:rPr>
        <w:t xml:space="preserve"> of the </w:t>
      </w:r>
      <w:r w:rsidRPr="00950DA4">
        <w:rPr>
          <w:i/>
          <w:lang w:val="en-AU"/>
        </w:rPr>
        <w:t>consumer terms</w:t>
      </w:r>
      <w:r w:rsidRPr="00950DA4">
        <w:rPr>
          <w:lang w:val="en-AU"/>
        </w:rPr>
        <w:t xml:space="preserve">, </w:t>
      </w:r>
      <w:r w:rsidRPr="00950DA4">
        <w:rPr>
          <w:i/>
          <w:lang w:val="en-AU"/>
        </w:rPr>
        <w:t>you</w:t>
      </w:r>
      <w:r w:rsidRPr="00950DA4">
        <w:rPr>
          <w:lang w:val="en-AU"/>
        </w:rPr>
        <w:t xml:space="preserve"> are entitled to </w:t>
      </w:r>
      <w:r w:rsidRPr="00950DA4">
        <w:rPr>
          <w:i/>
          <w:lang w:val="en-AU"/>
        </w:rPr>
        <w:t>cancel the service</w:t>
      </w:r>
      <w:r w:rsidRPr="00950DA4">
        <w:rPr>
          <w:lang w:val="en-AU"/>
        </w:rPr>
        <w:t xml:space="preserve"> without incurring a </w:t>
      </w:r>
      <w:r w:rsidRPr="00950DA4">
        <w:rPr>
          <w:i/>
          <w:lang w:val="en-AU"/>
        </w:rPr>
        <w:t>cancellation fee</w:t>
      </w:r>
      <w:r w:rsidRPr="00950DA4">
        <w:rPr>
          <w:lang w:val="en-AU"/>
        </w:rPr>
        <w:t>); plus</w:t>
      </w:r>
    </w:p>
    <w:p w14:paraId="02C2CAF4" w14:textId="77777777" w:rsidR="00E507D4" w:rsidRPr="00950DA4" w:rsidRDefault="00E507D4" w:rsidP="00E507D4">
      <w:pPr>
        <w:pStyle w:val="Heading7"/>
        <w:rPr>
          <w:lang w:val="en-AU"/>
        </w:rPr>
      </w:pPr>
      <w:r w:rsidRPr="00950DA4">
        <w:rPr>
          <w:lang w:val="en-AU"/>
        </w:rPr>
        <w:t xml:space="preserve">Note, any Handset Credit </w:t>
      </w:r>
      <w:r w:rsidRPr="00950DA4">
        <w:rPr>
          <w:i/>
          <w:lang w:val="en-AU"/>
        </w:rPr>
        <w:t xml:space="preserve">you </w:t>
      </w:r>
      <w:r w:rsidRPr="00950DA4">
        <w:rPr>
          <w:lang w:val="en-AU"/>
        </w:rPr>
        <w:t xml:space="preserve">were entitled to will be forfeited (see 5.5 above) if the account is cancelled. </w:t>
      </w:r>
    </w:p>
    <w:p w14:paraId="05F0B0FC" w14:textId="77777777" w:rsidR="00E507D4" w:rsidRDefault="00E507D4" w:rsidP="00E507D4">
      <w:pPr>
        <w:pStyle w:val="Heading7"/>
      </w:pPr>
      <w:r w:rsidRPr="00950DA4">
        <w:t xml:space="preserve">The </w:t>
      </w:r>
      <w:r w:rsidRPr="00950DA4">
        <w:rPr>
          <w:i/>
        </w:rPr>
        <w:t>cancellation fee</w:t>
      </w:r>
      <w:r w:rsidRPr="00950DA4">
        <w:t xml:space="preserve"> is calculated as the following amounts, multiplied by the months remaining on </w:t>
      </w:r>
      <w:r w:rsidRPr="00950DA4">
        <w:rPr>
          <w:i/>
        </w:rPr>
        <w:t>your minimum term</w:t>
      </w:r>
      <w:r w:rsidRPr="00950DA4">
        <w:t>:</w:t>
      </w:r>
    </w:p>
    <w:tbl>
      <w:tblPr>
        <w:tblpPr w:leftFromText="180" w:rightFromText="180" w:vertAnchor="text" w:horzAnchor="margin" w:tblpX="392" w:tblpY="39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0"/>
        <w:gridCol w:w="3884"/>
        <w:gridCol w:w="3564"/>
      </w:tblGrid>
      <w:tr w:rsidR="00E507D4" w:rsidRPr="00A974C9" w14:paraId="26AF3192" w14:textId="77777777" w:rsidTr="00B95821">
        <w:trPr>
          <w:trHeight w:val="289"/>
        </w:trPr>
        <w:tc>
          <w:tcPr>
            <w:tcW w:w="5000" w:type="pct"/>
            <w:gridSpan w:val="3"/>
            <w:shd w:val="clear" w:color="auto" w:fill="auto"/>
            <w:vAlign w:val="center"/>
          </w:tcPr>
          <w:p w14:paraId="7DC26BD1" w14:textId="77777777" w:rsidR="00E507D4" w:rsidRPr="00950DA4" w:rsidRDefault="00E507D4" w:rsidP="00B95821">
            <w:pPr>
              <w:pStyle w:val="BodyText"/>
              <w:spacing w:before="100" w:after="100"/>
              <w:jc w:val="center"/>
              <w:rPr>
                <w:b/>
                <w:lang w:eastAsia="en-AU"/>
              </w:rPr>
            </w:pPr>
            <w:r w:rsidRPr="00950DA4">
              <w:rPr>
                <w:b/>
                <w:lang w:eastAsia="en-AU"/>
              </w:rPr>
              <w:t xml:space="preserve">My Plan Business </w:t>
            </w:r>
            <w:r w:rsidRPr="00950DA4">
              <w:rPr>
                <w:b/>
                <w:snapToGrid w:val="0"/>
              </w:rPr>
              <w:t>Tech Fund</w:t>
            </w:r>
          </w:p>
        </w:tc>
      </w:tr>
      <w:tr w:rsidR="00E507D4" w:rsidRPr="00A974C9" w14:paraId="57C0550F" w14:textId="77777777" w:rsidTr="00B95821">
        <w:trPr>
          <w:trHeight w:val="182"/>
        </w:trPr>
        <w:tc>
          <w:tcPr>
            <w:tcW w:w="1345" w:type="pct"/>
            <w:vAlign w:val="center"/>
          </w:tcPr>
          <w:p w14:paraId="2A0D73F3" w14:textId="77777777" w:rsidR="00E507D4" w:rsidRPr="0034768D" w:rsidRDefault="00E507D4" w:rsidP="00B95821">
            <w:pPr>
              <w:pStyle w:val="BodyText"/>
              <w:spacing w:before="100" w:after="100"/>
              <w:jc w:val="center"/>
              <w:rPr>
                <w:b/>
              </w:rPr>
            </w:pPr>
            <w:r w:rsidRPr="0034768D">
              <w:rPr>
                <w:b/>
              </w:rPr>
              <w:t>Plan</w:t>
            </w:r>
          </w:p>
        </w:tc>
        <w:tc>
          <w:tcPr>
            <w:tcW w:w="1906" w:type="pct"/>
            <w:shd w:val="clear" w:color="auto" w:fill="auto"/>
            <w:vAlign w:val="center"/>
          </w:tcPr>
          <w:p w14:paraId="6125F6CF" w14:textId="77777777" w:rsidR="00E507D4" w:rsidRPr="0034768D" w:rsidRDefault="00E507D4" w:rsidP="00B95821">
            <w:pPr>
              <w:pStyle w:val="BodyText"/>
              <w:spacing w:before="100" w:after="100"/>
              <w:jc w:val="center"/>
              <w:rPr>
                <w:b/>
              </w:rPr>
            </w:pPr>
            <w:r w:rsidRPr="0034768D">
              <w:rPr>
                <w:b/>
              </w:rPr>
              <w:t>$85 My Plan Business</w:t>
            </w:r>
            <w:r w:rsidRPr="0034768D">
              <w:rPr>
                <w:b/>
                <w:snapToGrid w:val="0"/>
              </w:rPr>
              <w:t xml:space="preserve"> Tech Fund</w:t>
            </w:r>
          </w:p>
        </w:tc>
        <w:tc>
          <w:tcPr>
            <w:tcW w:w="1749" w:type="pct"/>
            <w:vAlign w:val="center"/>
          </w:tcPr>
          <w:p w14:paraId="087A529F" w14:textId="77777777" w:rsidR="00E507D4" w:rsidRPr="0034768D" w:rsidRDefault="00E507D4" w:rsidP="00B95821">
            <w:pPr>
              <w:pStyle w:val="BodyText"/>
              <w:spacing w:before="100" w:after="100"/>
              <w:jc w:val="center"/>
              <w:rPr>
                <w:b/>
              </w:rPr>
            </w:pPr>
            <w:r>
              <w:rPr>
                <w:b/>
              </w:rPr>
              <w:t>$11</w:t>
            </w:r>
            <w:r w:rsidRPr="0034768D">
              <w:rPr>
                <w:b/>
              </w:rPr>
              <w:t>0 My Plan Business</w:t>
            </w:r>
            <w:r w:rsidRPr="0034768D">
              <w:rPr>
                <w:b/>
                <w:snapToGrid w:val="0"/>
              </w:rPr>
              <w:t xml:space="preserve"> Tech Fund</w:t>
            </w:r>
          </w:p>
        </w:tc>
      </w:tr>
      <w:tr w:rsidR="00E507D4" w:rsidRPr="00A974C9" w14:paraId="75311464" w14:textId="77777777" w:rsidTr="00B95821">
        <w:trPr>
          <w:trHeight w:val="275"/>
        </w:trPr>
        <w:tc>
          <w:tcPr>
            <w:tcW w:w="1345" w:type="pct"/>
            <w:vAlign w:val="center"/>
          </w:tcPr>
          <w:p w14:paraId="088BFC3D" w14:textId="77777777" w:rsidR="00E507D4" w:rsidRPr="0034768D" w:rsidRDefault="00E507D4" w:rsidP="00B95821">
            <w:pPr>
              <w:pStyle w:val="BodyText"/>
              <w:spacing w:before="100" w:after="100"/>
              <w:jc w:val="center"/>
              <w:rPr>
                <w:b/>
              </w:rPr>
            </w:pPr>
            <w:r w:rsidRPr="0034768D">
              <w:rPr>
                <w:b/>
                <w:lang w:eastAsia="en-AU"/>
              </w:rPr>
              <w:t>Cancellation Fee</w:t>
            </w:r>
          </w:p>
        </w:tc>
        <w:tc>
          <w:tcPr>
            <w:tcW w:w="1906" w:type="pct"/>
            <w:shd w:val="clear" w:color="auto" w:fill="auto"/>
            <w:vAlign w:val="center"/>
          </w:tcPr>
          <w:p w14:paraId="7D587730" w14:textId="77777777" w:rsidR="00E507D4" w:rsidRPr="00A974C9" w:rsidRDefault="00E507D4" w:rsidP="00B95821">
            <w:pPr>
              <w:pStyle w:val="BodyText"/>
              <w:spacing w:before="100" w:after="100"/>
              <w:jc w:val="center"/>
            </w:pPr>
            <w:r w:rsidRPr="00A974C9">
              <w:t>$48 x Months remaining</w:t>
            </w:r>
          </w:p>
        </w:tc>
        <w:tc>
          <w:tcPr>
            <w:tcW w:w="1749" w:type="pct"/>
            <w:vAlign w:val="center"/>
          </w:tcPr>
          <w:p w14:paraId="45E17422" w14:textId="77777777" w:rsidR="00E507D4" w:rsidRPr="00A974C9" w:rsidRDefault="00E507D4" w:rsidP="00B95821">
            <w:pPr>
              <w:pStyle w:val="BodyText"/>
              <w:spacing w:before="100" w:after="100"/>
              <w:jc w:val="center"/>
            </w:pPr>
            <w:r w:rsidRPr="00A974C9">
              <w:t>$60 x Months remaining</w:t>
            </w:r>
          </w:p>
        </w:tc>
      </w:tr>
      <w:tr w:rsidR="00E507D4" w:rsidRPr="00A974C9" w14:paraId="4170A680" w14:textId="77777777" w:rsidTr="00B95821">
        <w:trPr>
          <w:trHeight w:val="275"/>
        </w:trPr>
        <w:tc>
          <w:tcPr>
            <w:tcW w:w="1345" w:type="pct"/>
            <w:vAlign w:val="center"/>
          </w:tcPr>
          <w:p w14:paraId="76E82A93" w14:textId="77777777" w:rsidR="00E507D4" w:rsidRPr="0034768D" w:rsidRDefault="00E507D4" w:rsidP="00B95821">
            <w:pPr>
              <w:pStyle w:val="BodyText"/>
              <w:spacing w:before="100" w:after="100"/>
              <w:jc w:val="center"/>
              <w:rPr>
                <w:b/>
                <w:lang w:eastAsia="en-AU"/>
              </w:rPr>
            </w:pPr>
            <w:r w:rsidRPr="0034768D">
              <w:rPr>
                <w:b/>
                <w:lang w:eastAsia="en-AU"/>
              </w:rPr>
              <w:t>Maximum Cancellation Fee</w:t>
            </w:r>
          </w:p>
        </w:tc>
        <w:tc>
          <w:tcPr>
            <w:tcW w:w="1906" w:type="pct"/>
            <w:shd w:val="clear" w:color="auto" w:fill="auto"/>
            <w:vAlign w:val="center"/>
          </w:tcPr>
          <w:p w14:paraId="43B6391F" w14:textId="77777777" w:rsidR="00E507D4" w:rsidRPr="00A974C9" w:rsidRDefault="00E507D4" w:rsidP="00B95821">
            <w:pPr>
              <w:pStyle w:val="BodyText"/>
              <w:spacing w:before="100" w:after="100"/>
              <w:jc w:val="center"/>
            </w:pPr>
            <w:r w:rsidRPr="00A974C9">
              <w:t>$1152</w:t>
            </w:r>
          </w:p>
        </w:tc>
        <w:tc>
          <w:tcPr>
            <w:tcW w:w="1749" w:type="pct"/>
            <w:vAlign w:val="center"/>
          </w:tcPr>
          <w:p w14:paraId="40BA2D82" w14:textId="77777777" w:rsidR="00E507D4" w:rsidRPr="00A974C9" w:rsidRDefault="00E507D4" w:rsidP="00B95821">
            <w:pPr>
              <w:pStyle w:val="BodyText"/>
              <w:spacing w:before="100" w:after="100"/>
              <w:jc w:val="center"/>
            </w:pPr>
            <w:r w:rsidRPr="00A974C9">
              <w:t>$1440</w:t>
            </w:r>
          </w:p>
        </w:tc>
      </w:tr>
    </w:tbl>
    <w:p w14:paraId="19B040EA" w14:textId="77777777" w:rsidR="00E507D4" w:rsidRDefault="00E507D4" w:rsidP="00E507D4">
      <w:pPr>
        <w:pStyle w:val="BodyText"/>
      </w:pPr>
    </w:p>
    <w:p w14:paraId="19B6FE44" w14:textId="77777777" w:rsidR="00E507D4" w:rsidRPr="0034768D" w:rsidRDefault="00E507D4" w:rsidP="00E507D4">
      <w:pPr>
        <w:pStyle w:val="Heading7"/>
        <w:rPr>
          <w:rFonts w:eastAsia="MS Mincho"/>
          <w:lang w:val="en-AU"/>
        </w:rPr>
      </w:pPr>
      <w:r w:rsidRPr="0034768D">
        <w:rPr>
          <w:rFonts w:eastAsia="MS Mincho"/>
          <w:lang w:val="en-AU"/>
        </w:rPr>
        <w:t xml:space="preserve">If </w:t>
      </w:r>
      <w:r w:rsidRPr="0034768D">
        <w:rPr>
          <w:rFonts w:eastAsia="MS Mincho"/>
          <w:i/>
          <w:lang w:val="en-AU"/>
        </w:rPr>
        <w:t>your</w:t>
      </w:r>
      <w:r w:rsidRPr="0034768D">
        <w:rPr>
          <w:rFonts w:eastAsia="MS Mincho"/>
          <w:lang w:val="en-AU"/>
        </w:rPr>
        <w:t xml:space="preserve"> My Plan Business Tech Fund is </w:t>
      </w:r>
      <w:r w:rsidRPr="0034768D">
        <w:rPr>
          <w:rFonts w:eastAsia="MS Mincho"/>
          <w:i/>
          <w:lang w:val="en-AU"/>
        </w:rPr>
        <w:t>cancelled</w:t>
      </w:r>
      <w:r w:rsidRPr="0034768D">
        <w:rPr>
          <w:rFonts w:eastAsia="MS Mincho"/>
          <w:lang w:val="en-AU"/>
        </w:rPr>
        <w:t xml:space="preserve">, </w:t>
      </w:r>
      <w:r w:rsidRPr="0034768D">
        <w:rPr>
          <w:rFonts w:eastAsia="MS Mincho"/>
          <w:i/>
          <w:lang w:val="en-AU"/>
        </w:rPr>
        <w:t>your</w:t>
      </w:r>
      <w:r w:rsidRPr="0034768D">
        <w:rPr>
          <w:rFonts w:eastAsia="MS Mincho"/>
          <w:lang w:val="en-AU"/>
        </w:rPr>
        <w:t xml:space="preserve"> Shared Data Plan(s) may also be </w:t>
      </w:r>
      <w:r w:rsidRPr="0034768D">
        <w:rPr>
          <w:rFonts w:eastAsia="MS Mincho"/>
          <w:i/>
          <w:lang w:val="en-AU"/>
        </w:rPr>
        <w:t>cancelled</w:t>
      </w:r>
      <w:r w:rsidRPr="0034768D">
        <w:rPr>
          <w:rFonts w:eastAsia="MS Mincho"/>
          <w:lang w:val="en-AU"/>
        </w:rPr>
        <w:t xml:space="preserve">. There are no </w:t>
      </w:r>
      <w:r w:rsidRPr="0034768D">
        <w:rPr>
          <w:rFonts w:eastAsia="MS Mincho"/>
          <w:i/>
          <w:lang w:val="en-AU"/>
        </w:rPr>
        <w:t>cancellation fees</w:t>
      </w:r>
      <w:r w:rsidRPr="0034768D">
        <w:rPr>
          <w:rFonts w:eastAsia="MS Mincho"/>
          <w:lang w:val="en-AU"/>
        </w:rPr>
        <w:t xml:space="preserve"> for the Shared Data Plan, however if </w:t>
      </w:r>
      <w:r w:rsidRPr="0034768D">
        <w:rPr>
          <w:rFonts w:eastAsia="MS Mincho"/>
          <w:i/>
          <w:lang w:val="en-AU"/>
        </w:rPr>
        <w:t>you</w:t>
      </w:r>
      <w:r w:rsidRPr="0034768D">
        <w:rPr>
          <w:rFonts w:eastAsia="MS Mincho"/>
          <w:lang w:val="en-AU"/>
        </w:rPr>
        <w:t xml:space="preserve"> purchased a </w:t>
      </w:r>
      <w:r w:rsidRPr="0034768D">
        <w:rPr>
          <w:rFonts w:eastAsia="MS Mincho"/>
          <w:i/>
          <w:lang w:val="en-AU"/>
        </w:rPr>
        <w:t>device</w:t>
      </w:r>
      <w:r w:rsidRPr="0034768D">
        <w:rPr>
          <w:rFonts w:eastAsia="MS Mincho"/>
          <w:lang w:val="en-AU"/>
        </w:rPr>
        <w:t xml:space="preserve"> </w:t>
      </w:r>
      <w:r w:rsidRPr="0034768D">
        <w:rPr>
          <w:rFonts w:eastAsia="MS Mincho"/>
          <w:i/>
          <w:lang w:val="en-AU"/>
        </w:rPr>
        <w:t>you</w:t>
      </w:r>
      <w:r w:rsidRPr="0034768D">
        <w:rPr>
          <w:rFonts w:eastAsia="MS Mincho"/>
          <w:lang w:val="en-AU"/>
        </w:rPr>
        <w:t xml:space="preserve"> need to pay the sum of any remaining </w:t>
      </w:r>
      <w:r w:rsidRPr="0034768D">
        <w:rPr>
          <w:rFonts w:eastAsia="MS Mincho"/>
          <w:i/>
          <w:lang w:val="en-AU"/>
        </w:rPr>
        <w:t xml:space="preserve">equipment charges </w:t>
      </w:r>
      <w:r w:rsidRPr="0034768D">
        <w:rPr>
          <w:rFonts w:eastAsia="MS Mincho"/>
          <w:lang w:val="en-AU"/>
        </w:rPr>
        <w:t xml:space="preserve">owing on </w:t>
      </w:r>
      <w:r w:rsidRPr="0034768D">
        <w:rPr>
          <w:rFonts w:eastAsia="MS Mincho"/>
          <w:i/>
          <w:lang w:val="en-AU"/>
        </w:rPr>
        <w:t xml:space="preserve">your device </w:t>
      </w:r>
      <w:r w:rsidRPr="0034768D">
        <w:rPr>
          <w:rFonts w:eastAsia="MS Mincho"/>
          <w:lang w:val="en-AU"/>
        </w:rPr>
        <w:t xml:space="preserve">under the </w:t>
      </w:r>
      <w:r w:rsidRPr="0034768D">
        <w:rPr>
          <w:rFonts w:eastAsia="MS Mincho"/>
          <w:i/>
          <w:lang w:val="en-AU"/>
        </w:rPr>
        <w:t xml:space="preserve">mobile equipment payment plan </w:t>
      </w:r>
      <w:r w:rsidRPr="0034768D">
        <w:rPr>
          <w:rFonts w:eastAsia="MS Mincho"/>
          <w:lang w:val="en-AU"/>
        </w:rPr>
        <w:t xml:space="preserve">(see </w:t>
      </w:r>
      <w:hyperlink r:id="rId847" w:history="1">
        <w:r w:rsidRPr="0007664B">
          <w:rPr>
            <w:rStyle w:val="Hyperlink"/>
            <w:i/>
            <w:lang w:val="en-AU"/>
          </w:rPr>
          <w:t>Appendix D</w:t>
        </w:r>
      </w:hyperlink>
      <w:r w:rsidRPr="0007664B">
        <w:rPr>
          <w:lang w:val="en-AU"/>
        </w:rPr>
        <w:t>).</w:t>
      </w:r>
    </w:p>
    <w:p w14:paraId="1C454575" w14:textId="77777777" w:rsidR="00E507D4" w:rsidRPr="000334D7" w:rsidRDefault="00E507D4" w:rsidP="00E507D4">
      <w:pPr>
        <w:pStyle w:val="Heading7"/>
        <w:spacing w:after="360"/>
        <w:rPr>
          <w:szCs w:val="20"/>
        </w:rPr>
      </w:pPr>
      <w:r w:rsidRPr="0034768D">
        <w:t xml:space="preserve">If </w:t>
      </w:r>
      <w:r w:rsidRPr="0034768D">
        <w:rPr>
          <w:i/>
        </w:rPr>
        <w:t xml:space="preserve">your </w:t>
      </w:r>
      <w:r w:rsidRPr="0034768D">
        <w:t xml:space="preserve">Shared Data Plan is not </w:t>
      </w:r>
      <w:r w:rsidRPr="0034768D">
        <w:rPr>
          <w:i/>
        </w:rPr>
        <w:t>cancelled</w:t>
      </w:r>
      <w:r w:rsidRPr="0034768D">
        <w:t xml:space="preserve">, </w:t>
      </w:r>
      <w:r w:rsidRPr="0034768D">
        <w:rPr>
          <w:i/>
        </w:rPr>
        <w:t>you</w:t>
      </w:r>
      <w:r w:rsidRPr="0034768D">
        <w:t xml:space="preserve"> will be charged $10 per 1GB within Australia, up to a maximum of 150GB (per account) in a billing month. Your service/s may then be restricted or we may continue to charge you at these rates.</w:t>
      </w:r>
    </w:p>
    <w:p w14:paraId="2886494F" w14:textId="77777777" w:rsidR="00E507D4" w:rsidRPr="00F271B8" w:rsidRDefault="00E507D4" w:rsidP="00E507D4">
      <w:pPr>
        <w:pStyle w:val="Heading4"/>
        <w:rPr>
          <w:lang w:val="en-AU"/>
        </w:rPr>
      </w:pPr>
      <w:bookmarkStart w:id="2212" w:name="_Toc508362012"/>
      <w:bookmarkStart w:id="2213" w:name="_Toc62644711"/>
      <w:r w:rsidRPr="00F271B8">
        <w:rPr>
          <w:lang w:val="en-AU"/>
        </w:rPr>
        <w:t xml:space="preserve">Business </w:t>
      </w:r>
      <w:r>
        <w:rPr>
          <w:lang w:val="en-AU"/>
        </w:rPr>
        <w:t xml:space="preserve">Plan 12M </w:t>
      </w:r>
      <w:r w:rsidRPr="00F271B8">
        <w:rPr>
          <w:lang w:val="en-AU"/>
        </w:rPr>
        <w:t>SIM</w:t>
      </w:r>
      <w:bookmarkEnd w:id="2212"/>
      <w:bookmarkEnd w:id="2213"/>
      <w:r w:rsidRPr="00F271B8">
        <w:rPr>
          <w:lang w:val="en-AU"/>
        </w:rPr>
        <w:t xml:space="preserve"> </w:t>
      </w:r>
    </w:p>
    <w:p w14:paraId="42B73131" w14:textId="77777777" w:rsidR="00E507D4" w:rsidRPr="00F271B8" w:rsidRDefault="00E507D4" w:rsidP="00E507D4">
      <w:pPr>
        <w:pStyle w:val="BodyText"/>
        <w:ind w:left="720"/>
        <w:rPr>
          <w:lang w:val="en-AU"/>
        </w:rPr>
      </w:pPr>
      <w:r w:rsidRPr="00F271B8">
        <w:rPr>
          <w:lang w:val="en-AU"/>
        </w:rPr>
        <w:t>This section relates to the following plan(s)</w:t>
      </w:r>
      <w:r>
        <w:rPr>
          <w:lang w:val="en-AU"/>
        </w:rPr>
        <w:t xml:space="preserve">. </w:t>
      </w:r>
      <w:r w:rsidRPr="00F271B8">
        <w:rPr>
          <w:i/>
          <w:lang w:val="en-AU"/>
        </w:rPr>
        <w:t>You</w:t>
      </w:r>
      <w:r w:rsidRPr="00F271B8">
        <w:rPr>
          <w:lang w:val="en-AU"/>
        </w:rPr>
        <w:t xml:space="preserve"> can find </w:t>
      </w:r>
      <w:r w:rsidRPr="00F271B8">
        <w:rPr>
          <w:i/>
          <w:lang w:val="en-AU"/>
        </w:rPr>
        <w:t>your</w:t>
      </w:r>
      <w:r w:rsidRPr="00F271B8">
        <w:rPr>
          <w:lang w:val="en-AU"/>
        </w:rPr>
        <w:t xml:space="preserve"> Plan ID on </w:t>
      </w:r>
      <w:r w:rsidRPr="00F271B8">
        <w:rPr>
          <w:i/>
          <w:lang w:val="en-AU"/>
        </w:rPr>
        <w:t>your</w:t>
      </w:r>
      <w:r w:rsidRPr="00F271B8">
        <w:rPr>
          <w:lang w:val="en-AU"/>
        </w:rPr>
        <w:t xml:space="preserve"> bill under the Mobile Number Summary section: </w:t>
      </w:r>
    </w:p>
    <w:tbl>
      <w:tblPr>
        <w:tblW w:w="95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0"/>
        <w:gridCol w:w="3180"/>
        <w:gridCol w:w="3180"/>
      </w:tblGrid>
      <w:tr w:rsidR="00E507D4" w:rsidRPr="00F271B8" w14:paraId="3440BEF6" w14:textId="77777777" w:rsidTr="00B95821">
        <w:trPr>
          <w:trHeight w:val="85"/>
        </w:trPr>
        <w:tc>
          <w:tcPr>
            <w:tcW w:w="3180" w:type="dxa"/>
            <w:shd w:val="clear" w:color="auto" w:fill="auto"/>
          </w:tcPr>
          <w:p w14:paraId="08E7084F" w14:textId="77777777" w:rsidR="00E507D4" w:rsidRPr="00F271B8" w:rsidRDefault="00E507D4" w:rsidP="00B95821">
            <w:pPr>
              <w:pStyle w:val="BodyText"/>
              <w:spacing w:before="100" w:after="100"/>
              <w:jc w:val="center"/>
              <w:rPr>
                <w:b/>
                <w:lang w:val="en-AU"/>
              </w:rPr>
            </w:pPr>
            <w:r w:rsidRPr="00F271B8">
              <w:rPr>
                <w:b/>
                <w:lang w:val="en-AU"/>
              </w:rPr>
              <w:t>Plan</w:t>
            </w:r>
          </w:p>
        </w:tc>
        <w:tc>
          <w:tcPr>
            <w:tcW w:w="3180" w:type="dxa"/>
            <w:shd w:val="clear" w:color="auto" w:fill="auto"/>
          </w:tcPr>
          <w:p w14:paraId="22367A92" w14:textId="77777777" w:rsidR="00E507D4" w:rsidRPr="00F271B8" w:rsidRDefault="00E507D4" w:rsidP="00B95821">
            <w:pPr>
              <w:pStyle w:val="BodyText"/>
              <w:spacing w:before="100" w:after="100"/>
              <w:jc w:val="center"/>
              <w:rPr>
                <w:b/>
                <w:lang w:val="en-AU"/>
              </w:rPr>
            </w:pPr>
            <w:r w:rsidRPr="00F271B8">
              <w:rPr>
                <w:b/>
                <w:lang w:val="en-AU"/>
              </w:rPr>
              <w:t>Plan ID</w:t>
            </w:r>
          </w:p>
        </w:tc>
        <w:tc>
          <w:tcPr>
            <w:tcW w:w="3180" w:type="dxa"/>
            <w:shd w:val="clear" w:color="auto" w:fill="auto"/>
          </w:tcPr>
          <w:p w14:paraId="1F08EB8A" w14:textId="77777777" w:rsidR="00E507D4" w:rsidRPr="00F271B8" w:rsidRDefault="00E507D4" w:rsidP="00B95821">
            <w:pPr>
              <w:pStyle w:val="BodyText"/>
              <w:spacing w:before="100" w:after="100"/>
              <w:jc w:val="center"/>
              <w:rPr>
                <w:b/>
                <w:lang w:val="en-AU"/>
              </w:rPr>
            </w:pPr>
            <w:r w:rsidRPr="00F271B8">
              <w:rPr>
                <w:b/>
                <w:lang w:val="en-AU"/>
              </w:rPr>
              <w:t>Available</w:t>
            </w:r>
          </w:p>
        </w:tc>
      </w:tr>
      <w:tr w:rsidR="00E507D4" w:rsidRPr="00F271B8" w14:paraId="465DD017" w14:textId="77777777" w:rsidTr="00B95821">
        <w:tc>
          <w:tcPr>
            <w:tcW w:w="3180" w:type="dxa"/>
            <w:shd w:val="clear" w:color="auto" w:fill="auto"/>
          </w:tcPr>
          <w:p w14:paraId="32EAB531" w14:textId="77777777" w:rsidR="00E507D4" w:rsidRPr="00F271B8" w:rsidRDefault="00E507D4" w:rsidP="00B95821">
            <w:pPr>
              <w:pStyle w:val="BodyText"/>
              <w:spacing w:before="100" w:after="100"/>
              <w:jc w:val="center"/>
              <w:rPr>
                <w:lang w:val="en-AU"/>
              </w:rPr>
            </w:pPr>
            <w:r w:rsidRPr="00F271B8">
              <w:rPr>
                <w:lang w:val="en-AU"/>
              </w:rPr>
              <w:t>$40 Business Plan 12M SIM</w:t>
            </w:r>
          </w:p>
        </w:tc>
        <w:tc>
          <w:tcPr>
            <w:tcW w:w="3180" w:type="dxa"/>
            <w:shd w:val="clear" w:color="auto" w:fill="auto"/>
            <w:vAlign w:val="center"/>
          </w:tcPr>
          <w:p w14:paraId="7135D9C3" w14:textId="77777777" w:rsidR="00E507D4" w:rsidRPr="00F271B8" w:rsidRDefault="00E507D4" w:rsidP="00B95821">
            <w:pPr>
              <w:pStyle w:val="BodyText"/>
              <w:spacing w:before="100" w:after="100"/>
              <w:jc w:val="center"/>
              <w:rPr>
                <w:lang w:val="en-AU"/>
              </w:rPr>
            </w:pPr>
            <w:r>
              <w:rPr>
                <w:lang w:val="en-AU"/>
              </w:rPr>
              <w:t>800756/1902811</w:t>
            </w:r>
          </w:p>
        </w:tc>
        <w:tc>
          <w:tcPr>
            <w:tcW w:w="3180" w:type="dxa"/>
            <w:shd w:val="clear" w:color="auto" w:fill="auto"/>
          </w:tcPr>
          <w:p w14:paraId="39EFFA30" w14:textId="77777777" w:rsidR="00E507D4" w:rsidRPr="00F271B8" w:rsidRDefault="00E507D4" w:rsidP="00B95821">
            <w:pPr>
              <w:pStyle w:val="BodyText"/>
              <w:spacing w:before="100" w:after="100"/>
              <w:jc w:val="center"/>
              <w:rPr>
                <w:lang w:val="en-AU"/>
              </w:rPr>
            </w:pPr>
            <w:r>
              <w:rPr>
                <w:lang w:val="en-AU"/>
              </w:rPr>
              <w:t>7 August 2017</w:t>
            </w:r>
            <w:r w:rsidR="00362A0B" w:rsidRPr="00E85FA3">
              <w:t xml:space="preserve"> – 30 </w:t>
            </w:r>
            <w:r w:rsidR="00856E4A">
              <w:t>June</w:t>
            </w:r>
            <w:r w:rsidR="00362A0B" w:rsidRPr="00E85FA3">
              <w:t xml:space="preserve"> 2018</w:t>
            </w:r>
          </w:p>
        </w:tc>
      </w:tr>
      <w:tr w:rsidR="00E507D4" w:rsidRPr="00F271B8" w14:paraId="3CC975B8" w14:textId="77777777" w:rsidTr="00B95821">
        <w:tc>
          <w:tcPr>
            <w:tcW w:w="3180" w:type="dxa"/>
            <w:shd w:val="clear" w:color="auto" w:fill="auto"/>
          </w:tcPr>
          <w:p w14:paraId="1804D53B" w14:textId="77777777" w:rsidR="00E507D4" w:rsidRPr="00F271B8" w:rsidRDefault="00E507D4" w:rsidP="00B95821">
            <w:pPr>
              <w:pStyle w:val="BodyText"/>
              <w:spacing w:before="100" w:after="100"/>
              <w:jc w:val="center"/>
              <w:rPr>
                <w:lang w:val="en-AU"/>
              </w:rPr>
            </w:pPr>
            <w:r>
              <w:rPr>
                <w:lang w:val="en-AU"/>
              </w:rPr>
              <w:t xml:space="preserve">$45 </w:t>
            </w:r>
            <w:r w:rsidRPr="00F271B8">
              <w:rPr>
                <w:lang w:val="en-AU"/>
              </w:rPr>
              <w:t>Business Plan 12M SIM</w:t>
            </w:r>
          </w:p>
        </w:tc>
        <w:tc>
          <w:tcPr>
            <w:tcW w:w="3180" w:type="dxa"/>
            <w:shd w:val="clear" w:color="auto" w:fill="auto"/>
            <w:vAlign w:val="center"/>
          </w:tcPr>
          <w:p w14:paraId="0C74E7DE" w14:textId="77777777" w:rsidR="00E507D4" w:rsidRPr="00F271B8" w:rsidRDefault="00E507D4" w:rsidP="00B95821">
            <w:pPr>
              <w:pStyle w:val="BodyText"/>
              <w:spacing w:before="100" w:after="100"/>
              <w:jc w:val="center"/>
              <w:rPr>
                <w:lang w:val="en-AU"/>
              </w:rPr>
            </w:pPr>
            <w:r>
              <w:rPr>
                <w:lang w:val="en-AU"/>
              </w:rPr>
              <w:t>800757/10902801</w:t>
            </w:r>
          </w:p>
        </w:tc>
        <w:tc>
          <w:tcPr>
            <w:tcW w:w="3180" w:type="dxa"/>
            <w:shd w:val="clear" w:color="auto" w:fill="auto"/>
          </w:tcPr>
          <w:p w14:paraId="7BEFE24C" w14:textId="77777777" w:rsidR="00E507D4" w:rsidRPr="00F271B8" w:rsidRDefault="00E507D4" w:rsidP="00B95821">
            <w:pPr>
              <w:pStyle w:val="BodyText"/>
              <w:spacing w:before="100" w:after="100"/>
              <w:jc w:val="center"/>
              <w:rPr>
                <w:lang w:val="en-AU"/>
              </w:rPr>
            </w:pPr>
            <w:r>
              <w:rPr>
                <w:lang w:val="en-AU"/>
              </w:rPr>
              <w:t>7 August 2017</w:t>
            </w:r>
            <w:r w:rsidR="00362A0B" w:rsidRPr="00E85FA3">
              <w:t xml:space="preserve"> – 30 </w:t>
            </w:r>
            <w:r w:rsidR="00856E4A">
              <w:t>June</w:t>
            </w:r>
            <w:r w:rsidR="00362A0B" w:rsidRPr="00E85FA3">
              <w:t xml:space="preserve"> 2018</w:t>
            </w:r>
          </w:p>
        </w:tc>
      </w:tr>
      <w:tr w:rsidR="00E507D4" w:rsidRPr="00F271B8" w14:paraId="2BE429DD" w14:textId="77777777" w:rsidTr="00B95821">
        <w:tc>
          <w:tcPr>
            <w:tcW w:w="3180" w:type="dxa"/>
            <w:shd w:val="clear" w:color="auto" w:fill="auto"/>
          </w:tcPr>
          <w:p w14:paraId="17B5F447" w14:textId="77777777" w:rsidR="00E507D4" w:rsidRPr="00F271B8" w:rsidRDefault="00E507D4" w:rsidP="00B95821">
            <w:pPr>
              <w:pStyle w:val="BodyText"/>
              <w:spacing w:before="100" w:after="100"/>
              <w:jc w:val="center"/>
              <w:rPr>
                <w:lang w:val="en-AU"/>
              </w:rPr>
            </w:pPr>
            <w:r>
              <w:rPr>
                <w:lang w:val="en-AU"/>
              </w:rPr>
              <w:t xml:space="preserve">$55 </w:t>
            </w:r>
            <w:r w:rsidRPr="00F271B8">
              <w:rPr>
                <w:lang w:val="en-AU"/>
              </w:rPr>
              <w:t>Business Plan 12M SIM</w:t>
            </w:r>
          </w:p>
        </w:tc>
        <w:tc>
          <w:tcPr>
            <w:tcW w:w="3180" w:type="dxa"/>
            <w:shd w:val="clear" w:color="auto" w:fill="auto"/>
            <w:vAlign w:val="center"/>
          </w:tcPr>
          <w:p w14:paraId="3A6918DE" w14:textId="77777777" w:rsidR="00E507D4" w:rsidRPr="00F271B8" w:rsidRDefault="00E507D4" w:rsidP="00B95821">
            <w:pPr>
              <w:pStyle w:val="BodyText"/>
              <w:spacing w:before="100" w:after="100"/>
              <w:jc w:val="center"/>
              <w:rPr>
                <w:lang w:val="en-AU"/>
              </w:rPr>
            </w:pPr>
            <w:r>
              <w:rPr>
                <w:lang w:val="en-AU"/>
              </w:rPr>
              <w:t>800758/10904031</w:t>
            </w:r>
          </w:p>
        </w:tc>
        <w:tc>
          <w:tcPr>
            <w:tcW w:w="3180" w:type="dxa"/>
            <w:shd w:val="clear" w:color="auto" w:fill="auto"/>
          </w:tcPr>
          <w:p w14:paraId="6CEBC4A7" w14:textId="77777777" w:rsidR="00E507D4" w:rsidRPr="00F271B8" w:rsidRDefault="00E507D4" w:rsidP="00B95821">
            <w:pPr>
              <w:pStyle w:val="BodyText"/>
              <w:spacing w:before="100" w:after="100"/>
              <w:jc w:val="center"/>
              <w:rPr>
                <w:lang w:val="en-AU"/>
              </w:rPr>
            </w:pPr>
            <w:r>
              <w:rPr>
                <w:lang w:val="en-AU"/>
              </w:rPr>
              <w:t>7 August 2017</w:t>
            </w:r>
            <w:r w:rsidR="00362A0B" w:rsidRPr="00E85FA3">
              <w:t xml:space="preserve"> – 30 </w:t>
            </w:r>
            <w:r w:rsidR="00856E4A">
              <w:t>June</w:t>
            </w:r>
            <w:r w:rsidR="00362A0B" w:rsidRPr="00E85FA3">
              <w:t xml:space="preserve"> 2018</w:t>
            </w:r>
          </w:p>
        </w:tc>
      </w:tr>
    </w:tbl>
    <w:p w14:paraId="6B26CC0A" w14:textId="77777777" w:rsidR="00E507D4" w:rsidRPr="00F271B8" w:rsidRDefault="00E507D4" w:rsidP="00E507D4">
      <w:pPr>
        <w:pStyle w:val="Heading6"/>
        <w:spacing w:before="240"/>
        <w:ind w:left="0" w:firstLine="0"/>
        <w:rPr>
          <w:lang w:val="en-AU"/>
        </w:rPr>
      </w:pPr>
      <w:bookmarkStart w:id="2214" w:name="_Toc508362013"/>
      <w:r w:rsidRPr="00F271B8">
        <w:rPr>
          <w:lang w:val="en-AU"/>
        </w:rPr>
        <w:t>Eligibility</w:t>
      </w:r>
      <w:bookmarkEnd w:id="2214"/>
    </w:p>
    <w:p w14:paraId="4A6E83C8" w14:textId="77777777" w:rsidR="00E507D4" w:rsidRPr="00C12929" w:rsidRDefault="00E507D4" w:rsidP="00E507D4">
      <w:pPr>
        <w:pStyle w:val="BodyText"/>
        <w:ind w:left="720"/>
        <w:rPr>
          <w:lang w:val="en-AU"/>
        </w:rPr>
      </w:pPr>
      <w:r w:rsidRPr="00C12929">
        <w:rPr>
          <w:lang w:val="en-AU"/>
        </w:rPr>
        <w:t>The</w:t>
      </w:r>
      <w:r>
        <w:rPr>
          <w:lang w:val="en-AU"/>
        </w:rPr>
        <w:t>se</w:t>
      </w:r>
      <w:r w:rsidRPr="00C12929">
        <w:rPr>
          <w:lang w:val="en-AU"/>
        </w:rPr>
        <w:t xml:space="preserve"> plans are available to new and existing business mobile customers who pass Optus</w:t>
      </w:r>
      <w:r>
        <w:rPr>
          <w:lang w:val="en-AU"/>
        </w:rPr>
        <w:t>'</w:t>
      </w:r>
      <w:r w:rsidRPr="00C12929">
        <w:rPr>
          <w:lang w:val="en-AU"/>
        </w:rPr>
        <w:t xml:space="preserve"> credit assessment. To be eligible for this plan, businesses must provide Optus with a registered ACN, ARBN or ABN. </w:t>
      </w:r>
    </w:p>
    <w:p w14:paraId="0CC27C15" w14:textId="77777777" w:rsidR="00E507D4" w:rsidRPr="00F271B8" w:rsidRDefault="00E507D4" w:rsidP="00E507D4">
      <w:pPr>
        <w:pStyle w:val="BodyText"/>
        <w:ind w:left="720"/>
        <w:rPr>
          <w:lang w:val="en-AU"/>
        </w:rPr>
      </w:pPr>
      <w:r w:rsidRPr="00F271B8">
        <w:rPr>
          <w:lang w:val="en-AU"/>
        </w:rPr>
        <w:t>Optus Service Providers</w:t>
      </w:r>
      <w:r>
        <w:rPr>
          <w:lang w:val="en-AU"/>
        </w:rPr>
        <w:t>'</w:t>
      </w:r>
      <w:r w:rsidRPr="00F271B8">
        <w:rPr>
          <w:lang w:val="en-AU"/>
        </w:rPr>
        <w:t xml:space="preserve"> customers are not eligible to apply.</w:t>
      </w:r>
    </w:p>
    <w:p w14:paraId="1C1EDEBD" w14:textId="77777777" w:rsidR="00E507D4" w:rsidRPr="00F271B8" w:rsidRDefault="00E507D4" w:rsidP="00E507D4">
      <w:pPr>
        <w:pStyle w:val="BodyText"/>
        <w:ind w:left="720"/>
        <w:rPr>
          <w:lang w:val="en-AU"/>
        </w:rPr>
      </w:pPr>
      <w:r w:rsidRPr="00F271B8">
        <w:rPr>
          <w:lang w:val="en-AU"/>
        </w:rPr>
        <w:t>Th</w:t>
      </w:r>
      <w:r>
        <w:rPr>
          <w:lang w:val="en-AU"/>
        </w:rPr>
        <w:t>ese</w:t>
      </w:r>
      <w:r w:rsidRPr="00F271B8">
        <w:rPr>
          <w:lang w:val="en-AU"/>
        </w:rPr>
        <w:t xml:space="preserve"> </w:t>
      </w:r>
      <w:r w:rsidRPr="00F271B8">
        <w:rPr>
          <w:i/>
          <w:lang w:val="en-AU"/>
        </w:rPr>
        <w:t>plan</w:t>
      </w:r>
      <w:r>
        <w:rPr>
          <w:i/>
          <w:lang w:val="en-AU"/>
        </w:rPr>
        <w:t>s are</w:t>
      </w:r>
      <w:r w:rsidRPr="00F271B8">
        <w:rPr>
          <w:lang w:val="en-AU"/>
        </w:rPr>
        <w:t xml:space="preserve"> not compatible for data use with BlackBerry handsets on operating systems of 7.1 or earlier.</w:t>
      </w:r>
    </w:p>
    <w:p w14:paraId="6753B979" w14:textId="77777777" w:rsidR="00E507D4" w:rsidRPr="00F271B8" w:rsidRDefault="00E507D4" w:rsidP="00E507D4">
      <w:pPr>
        <w:pStyle w:val="Heading6"/>
        <w:ind w:left="0" w:firstLine="0"/>
        <w:rPr>
          <w:lang w:val="en-AU"/>
        </w:rPr>
      </w:pPr>
      <w:bookmarkStart w:id="2215" w:name="_Toc508362014"/>
      <w:r w:rsidRPr="00F271B8">
        <w:rPr>
          <w:lang w:val="en-AU"/>
        </w:rPr>
        <w:t>Minimum Term</w:t>
      </w:r>
      <w:bookmarkEnd w:id="2215"/>
    </w:p>
    <w:p w14:paraId="11FF355F" w14:textId="77777777" w:rsidR="00E507D4" w:rsidRPr="00F271B8" w:rsidRDefault="00E507D4" w:rsidP="00E507D4">
      <w:pPr>
        <w:pStyle w:val="BodyText"/>
        <w:ind w:left="720"/>
        <w:rPr>
          <w:lang w:val="en-AU"/>
        </w:rPr>
      </w:pPr>
      <w:r w:rsidRPr="00F271B8">
        <w:rPr>
          <w:lang w:val="en-AU"/>
        </w:rPr>
        <w:t>Th</w:t>
      </w:r>
      <w:r>
        <w:rPr>
          <w:lang w:val="en-AU"/>
        </w:rPr>
        <w:t>ese</w:t>
      </w:r>
      <w:r w:rsidRPr="00F271B8">
        <w:rPr>
          <w:lang w:val="en-AU"/>
        </w:rPr>
        <w:t xml:space="preserve"> </w:t>
      </w:r>
      <w:r w:rsidRPr="00F271B8">
        <w:rPr>
          <w:i/>
          <w:lang w:val="en-AU"/>
        </w:rPr>
        <w:t>plan</w:t>
      </w:r>
      <w:r>
        <w:rPr>
          <w:i/>
          <w:lang w:val="en-AU"/>
        </w:rPr>
        <w:t>s</w:t>
      </w:r>
      <w:r w:rsidRPr="00F271B8">
        <w:rPr>
          <w:lang w:val="en-AU"/>
        </w:rPr>
        <w:t xml:space="preserve"> ha</w:t>
      </w:r>
      <w:r>
        <w:rPr>
          <w:lang w:val="en-AU"/>
        </w:rPr>
        <w:t>ve</w:t>
      </w:r>
      <w:r w:rsidRPr="00F271B8">
        <w:rPr>
          <w:lang w:val="en-AU"/>
        </w:rPr>
        <w:t xml:space="preserve"> a </w:t>
      </w:r>
      <w:r w:rsidRPr="00F271B8">
        <w:rPr>
          <w:i/>
          <w:lang w:val="en-AU"/>
        </w:rPr>
        <w:t>fixed length agreement</w:t>
      </w:r>
      <w:r w:rsidRPr="00F271B8">
        <w:rPr>
          <w:lang w:val="en-AU"/>
        </w:rPr>
        <w:t xml:space="preserve"> with a 12 month </w:t>
      </w:r>
      <w:r w:rsidRPr="00F271B8">
        <w:rPr>
          <w:i/>
          <w:lang w:val="en-AU"/>
        </w:rPr>
        <w:t>minimum term</w:t>
      </w:r>
      <w:r w:rsidRPr="00F271B8">
        <w:rPr>
          <w:lang w:val="en-AU"/>
        </w:rPr>
        <w:t>.</w:t>
      </w:r>
    </w:p>
    <w:p w14:paraId="06AF2BE5" w14:textId="77777777" w:rsidR="00E507D4" w:rsidRPr="00F271B8" w:rsidRDefault="00E507D4" w:rsidP="00E507D4">
      <w:pPr>
        <w:pStyle w:val="Heading6"/>
        <w:ind w:left="0" w:firstLine="0"/>
        <w:rPr>
          <w:lang w:val="en-AU"/>
        </w:rPr>
      </w:pPr>
      <w:bookmarkStart w:id="2216" w:name="_Toc508362015"/>
      <w:r w:rsidRPr="00F271B8">
        <w:rPr>
          <w:lang w:val="en-AU"/>
        </w:rPr>
        <w:t xml:space="preserve">What </w:t>
      </w:r>
      <w:r w:rsidRPr="00F271B8">
        <w:rPr>
          <w:i/>
          <w:lang w:val="en-AU"/>
        </w:rPr>
        <w:t>you</w:t>
      </w:r>
      <w:r w:rsidRPr="00F271B8">
        <w:rPr>
          <w:lang w:val="en-AU"/>
        </w:rPr>
        <w:t xml:space="preserve"> have to pay </w:t>
      </w:r>
      <w:r w:rsidRPr="00F271B8">
        <w:rPr>
          <w:i/>
          <w:lang w:val="en-AU"/>
        </w:rPr>
        <w:t>us</w:t>
      </w:r>
      <w:bookmarkEnd w:id="2216"/>
    </w:p>
    <w:p w14:paraId="0933B461" w14:textId="77777777" w:rsidR="00E507D4" w:rsidRPr="00F271B8" w:rsidRDefault="00E507D4" w:rsidP="00E507D4">
      <w:pPr>
        <w:pStyle w:val="Heading7"/>
        <w:keepNext/>
        <w:rPr>
          <w:szCs w:val="20"/>
          <w:lang w:val="en-AU"/>
        </w:rPr>
      </w:pPr>
      <w:r w:rsidRPr="00F271B8">
        <w:rPr>
          <w:i/>
          <w:szCs w:val="20"/>
          <w:lang w:val="en-AU"/>
        </w:rPr>
        <w:lastRenderedPageBreak/>
        <w:t>You</w:t>
      </w:r>
      <w:r w:rsidRPr="00F271B8">
        <w:rPr>
          <w:szCs w:val="20"/>
          <w:lang w:val="en-AU"/>
        </w:rPr>
        <w:t xml:space="preserve"> must pay </w:t>
      </w:r>
      <w:r w:rsidRPr="00F271B8">
        <w:rPr>
          <w:i/>
          <w:szCs w:val="20"/>
          <w:lang w:val="en-AU"/>
        </w:rPr>
        <w:t>us</w:t>
      </w:r>
      <w:r w:rsidRPr="00F271B8">
        <w:rPr>
          <w:szCs w:val="20"/>
          <w:lang w:val="en-AU"/>
        </w:rPr>
        <w:t xml:space="preserve"> for use of the </w:t>
      </w:r>
      <w:r w:rsidRPr="00F271B8">
        <w:rPr>
          <w:i/>
          <w:szCs w:val="20"/>
          <w:lang w:val="en-AU"/>
        </w:rPr>
        <w:t>service</w:t>
      </w:r>
      <w:r w:rsidRPr="00F271B8">
        <w:rPr>
          <w:szCs w:val="20"/>
          <w:lang w:val="en-AU"/>
        </w:rPr>
        <w:t xml:space="preserve"> at the rates set out in Section 1 of this </w:t>
      </w:r>
      <w:r w:rsidRPr="00F271B8">
        <w:rPr>
          <w:i/>
          <w:szCs w:val="20"/>
          <w:lang w:val="en-AU"/>
        </w:rPr>
        <w:t>standard pricing table</w:t>
      </w:r>
      <w:r w:rsidRPr="00F271B8">
        <w:rPr>
          <w:szCs w:val="20"/>
          <w:lang w:val="en-AU"/>
        </w:rPr>
        <w:t xml:space="preserve"> and for value added service features at the rates set out in </w:t>
      </w:r>
      <w:hyperlink r:id="rId848" w:history="1">
        <w:r w:rsidRPr="00FD2D8D">
          <w:rPr>
            <w:rStyle w:val="Hyperlink"/>
            <w:i/>
            <w:szCs w:val="20"/>
            <w:lang w:val="en-AU"/>
          </w:rPr>
          <w:t>Appendix Y Value Added Service Features</w:t>
        </w:r>
      </w:hyperlink>
      <w:r>
        <w:rPr>
          <w:szCs w:val="20"/>
          <w:lang w:val="en-AU"/>
        </w:rPr>
        <w:t>.</w:t>
      </w:r>
    </w:p>
    <w:p w14:paraId="1F9BABF5" w14:textId="77777777" w:rsidR="00E507D4" w:rsidRPr="00F271B8" w:rsidRDefault="00E507D4" w:rsidP="00E507D4">
      <w:pPr>
        <w:pStyle w:val="Heading7"/>
        <w:rPr>
          <w:lang w:val="en-AU"/>
        </w:rPr>
      </w:pPr>
      <w:r w:rsidRPr="00F271B8">
        <w:rPr>
          <w:lang w:val="en-AU"/>
        </w:rPr>
        <w:t>If there is a flagfall for a particular call type, the charge for these calls is the flagfall amount plus the relevant rate for the call multiplied by the duration of the call.</w:t>
      </w:r>
    </w:p>
    <w:p w14:paraId="32208AC1" w14:textId="77777777" w:rsidR="00E507D4" w:rsidRPr="00F271B8" w:rsidRDefault="00E507D4" w:rsidP="00E507D4">
      <w:pPr>
        <w:pStyle w:val="Heading7"/>
        <w:rPr>
          <w:lang w:val="en-AU"/>
        </w:rPr>
      </w:pPr>
      <w:r w:rsidRPr="00F271B8">
        <w:rPr>
          <w:lang w:val="en-AU"/>
        </w:rPr>
        <w:t xml:space="preserve">Minimum Monthly Charge </w:t>
      </w:r>
    </w:p>
    <w:p w14:paraId="2577E329" w14:textId="77777777" w:rsidR="00E507D4" w:rsidRPr="00F271B8" w:rsidRDefault="00E507D4" w:rsidP="00E507D4">
      <w:pPr>
        <w:pStyle w:val="Heading8"/>
        <w:rPr>
          <w:lang w:val="en-AU"/>
        </w:rPr>
      </w:pPr>
      <w:r w:rsidRPr="00F271B8">
        <w:rPr>
          <w:lang w:val="en-AU"/>
        </w:rPr>
        <w:t>Business</w:t>
      </w:r>
      <w:r>
        <w:rPr>
          <w:lang w:val="en-AU"/>
        </w:rPr>
        <w:t xml:space="preserve"> Plan</w:t>
      </w:r>
      <w:r w:rsidRPr="00F271B8">
        <w:rPr>
          <w:lang w:val="en-AU"/>
        </w:rPr>
        <w:t xml:space="preserve"> 12M SIM plan</w:t>
      </w:r>
      <w:r>
        <w:rPr>
          <w:lang w:val="en-AU"/>
        </w:rPr>
        <w:t>s</w:t>
      </w:r>
      <w:r w:rsidRPr="00F271B8">
        <w:rPr>
          <w:lang w:val="en-AU"/>
        </w:rPr>
        <w:t xml:space="preserve"> ha</w:t>
      </w:r>
      <w:r>
        <w:rPr>
          <w:lang w:val="en-AU"/>
        </w:rPr>
        <w:t>ve</w:t>
      </w:r>
      <w:r w:rsidRPr="00F271B8">
        <w:rPr>
          <w:lang w:val="en-AU"/>
        </w:rPr>
        <w:t xml:space="preserve"> a Minimum Monthly Charge amount that </w:t>
      </w:r>
      <w:r w:rsidRPr="00F271B8">
        <w:rPr>
          <w:i/>
          <w:lang w:val="en-AU"/>
        </w:rPr>
        <w:t>you</w:t>
      </w:r>
      <w:r w:rsidRPr="00F271B8">
        <w:rPr>
          <w:lang w:val="en-AU"/>
        </w:rPr>
        <w:t xml:space="preserve"> must pay </w:t>
      </w:r>
      <w:r w:rsidRPr="00F271B8">
        <w:rPr>
          <w:i/>
          <w:lang w:val="en-AU"/>
        </w:rPr>
        <w:t>us</w:t>
      </w:r>
      <w:r w:rsidRPr="00F271B8">
        <w:rPr>
          <w:lang w:val="en-AU"/>
        </w:rPr>
        <w:t xml:space="preserve"> each month as set out in Table 1 below</w:t>
      </w:r>
      <w:r>
        <w:rPr>
          <w:lang w:val="en-AU"/>
        </w:rPr>
        <w:t xml:space="preserve">. </w:t>
      </w:r>
    </w:p>
    <w:p w14:paraId="03525598" w14:textId="77777777" w:rsidR="00E507D4" w:rsidRPr="00F271B8" w:rsidRDefault="00E507D4" w:rsidP="00E507D4">
      <w:pPr>
        <w:pStyle w:val="Heading8"/>
        <w:rPr>
          <w:szCs w:val="20"/>
          <w:lang w:val="en-AU"/>
        </w:rPr>
      </w:pPr>
      <w:r w:rsidRPr="00F271B8">
        <w:rPr>
          <w:i/>
          <w:szCs w:val="20"/>
          <w:lang w:val="en-AU"/>
        </w:rPr>
        <w:t>You</w:t>
      </w:r>
      <w:r w:rsidRPr="00F271B8">
        <w:rPr>
          <w:szCs w:val="20"/>
          <w:lang w:val="en-AU"/>
        </w:rPr>
        <w:t xml:space="preserve"> may purchase a mobile phone (or </w:t>
      </w:r>
      <w:r>
        <w:rPr>
          <w:szCs w:val="20"/>
          <w:lang w:val="en-AU"/>
        </w:rPr>
        <w:t>'</w:t>
      </w:r>
      <w:r w:rsidRPr="00F271B8">
        <w:rPr>
          <w:szCs w:val="20"/>
          <w:lang w:val="en-AU"/>
        </w:rPr>
        <w:t>handset</w:t>
      </w:r>
      <w:r>
        <w:rPr>
          <w:szCs w:val="20"/>
          <w:lang w:val="en-AU"/>
        </w:rPr>
        <w:t>'</w:t>
      </w:r>
      <w:r w:rsidRPr="00F271B8">
        <w:rPr>
          <w:szCs w:val="20"/>
          <w:lang w:val="en-AU"/>
        </w:rPr>
        <w:t xml:space="preserve">) with a 12 month or 24 month </w:t>
      </w:r>
      <w:r w:rsidRPr="00F271B8">
        <w:rPr>
          <w:i/>
          <w:szCs w:val="20"/>
          <w:lang w:val="en-AU"/>
        </w:rPr>
        <w:t>equipment term</w:t>
      </w:r>
      <w:r w:rsidRPr="00F271B8">
        <w:rPr>
          <w:szCs w:val="20"/>
          <w:lang w:val="en-AU"/>
        </w:rPr>
        <w:t xml:space="preserve"> under a </w:t>
      </w:r>
      <w:r w:rsidRPr="00F271B8">
        <w:rPr>
          <w:i/>
          <w:szCs w:val="20"/>
          <w:lang w:val="en-AU"/>
        </w:rPr>
        <w:t>mobile equipment payment plan</w:t>
      </w:r>
      <w:r w:rsidRPr="00F271B8">
        <w:rPr>
          <w:szCs w:val="20"/>
          <w:lang w:val="en-AU"/>
        </w:rPr>
        <w:t xml:space="preserve"> (set out in </w:t>
      </w:r>
      <w:hyperlink r:id="rId849" w:history="1">
        <w:r w:rsidRPr="00F271B8">
          <w:rPr>
            <w:rStyle w:val="Hyperlink"/>
            <w:i/>
            <w:szCs w:val="20"/>
            <w:lang w:val="en-AU"/>
          </w:rPr>
          <w:t>Appendix D</w:t>
        </w:r>
      </w:hyperlink>
      <w:r w:rsidRPr="00F271B8">
        <w:rPr>
          <w:szCs w:val="20"/>
          <w:lang w:val="en-AU"/>
        </w:rPr>
        <w:t>).</w:t>
      </w:r>
    </w:p>
    <w:p w14:paraId="08AA5674" w14:textId="77777777" w:rsidR="00E507D4" w:rsidRPr="00F271B8" w:rsidRDefault="00E507D4" w:rsidP="00E507D4">
      <w:pPr>
        <w:pStyle w:val="Heading6"/>
        <w:ind w:left="0" w:firstLine="0"/>
        <w:rPr>
          <w:lang w:val="en-AU"/>
        </w:rPr>
      </w:pPr>
      <w:bookmarkStart w:id="2217" w:name="_Toc508362016"/>
      <w:r>
        <w:rPr>
          <w:lang w:val="en-AU"/>
        </w:rPr>
        <w:t xml:space="preserve">How </w:t>
      </w:r>
      <w:r w:rsidRPr="00F271B8">
        <w:rPr>
          <w:lang w:val="en-AU"/>
        </w:rPr>
        <w:t>Business</w:t>
      </w:r>
      <w:r>
        <w:rPr>
          <w:lang w:val="en-AU"/>
        </w:rPr>
        <w:t xml:space="preserve"> Plan</w:t>
      </w:r>
      <w:r w:rsidRPr="00F271B8">
        <w:rPr>
          <w:lang w:val="en-AU"/>
        </w:rPr>
        <w:t xml:space="preserve"> </w:t>
      </w:r>
      <w:r>
        <w:rPr>
          <w:lang w:val="en-AU"/>
        </w:rPr>
        <w:t xml:space="preserve">12M </w:t>
      </w:r>
      <w:r w:rsidRPr="00F271B8">
        <w:rPr>
          <w:lang w:val="en-AU"/>
        </w:rPr>
        <w:t>SIM works</w:t>
      </w:r>
      <w:bookmarkEnd w:id="2217"/>
    </w:p>
    <w:p w14:paraId="09C35665" w14:textId="77777777" w:rsidR="00E507D4" w:rsidRPr="00AB716F" w:rsidRDefault="00E507D4" w:rsidP="00E507D4">
      <w:pPr>
        <w:pStyle w:val="Heading7"/>
        <w:rPr>
          <w:rFonts w:cs="Arial"/>
          <w:szCs w:val="20"/>
        </w:rPr>
      </w:pPr>
      <w:r w:rsidRPr="00641F25">
        <w:rPr>
          <w:rFonts w:cs="Arial"/>
          <w:szCs w:val="20"/>
        </w:rPr>
        <w:t>Each plan has unlimited minutes to use on standard national calls to landlines and mobiles, 13/1300 numbers and voicemail retrievals and Included Data (for mobile internet use) to share with other services on a My Plan Plus</w:t>
      </w:r>
      <w:r w:rsidRPr="00641F25">
        <w:rPr>
          <w:rFonts w:cs="Arial"/>
          <w:color w:val="000000"/>
          <w:szCs w:val="20"/>
          <w:lang w:eastAsia="en-AU"/>
        </w:rPr>
        <w:t xml:space="preserve">, </w:t>
      </w:r>
      <w:r w:rsidRPr="00641F25">
        <w:rPr>
          <w:rFonts w:cs="Arial"/>
          <w:szCs w:val="20"/>
          <w:lang w:eastAsia="en-AU"/>
        </w:rPr>
        <w:t>My Plan Plus SIM Only, My Plan Plus 12M SIM Only, My Plan Business (including Tech Fund), My Plan Business SIM, My Plan Business 12M SIM, Business Plan, My Plan Flex, My Plan Business Flex, Business Lease, My Mobile Broadband</w:t>
      </w:r>
      <w:r w:rsidRPr="00641F25">
        <w:rPr>
          <w:rFonts w:cs="Arial"/>
          <w:color w:val="000000"/>
          <w:szCs w:val="20"/>
          <w:lang w:eastAsia="en-AU"/>
        </w:rPr>
        <w:t xml:space="preserve"> Plus, Mobile Broadband Business</w:t>
      </w:r>
      <w:r w:rsidRPr="00641F25">
        <w:rPr>
          <w:rFonts w:cs="Arial"/>
          <w:szCs w:val="20"/>
        </w:rPr>
        <w:t xml:space="preserve"> or Shared Data Plan on the same account.</w:t>
      </w:r>
    </w:p>
    <w:p w14:paraId="25D61848" w14:textId="77777777" w:rsidR="00E507D4" w:rsidRPr="00F271B8" w:rsidRDefault="00E507D4" w:rsidP="00E507D4">
      <w:pPr>
        <w:pStyle w:val="Heading7"/>
        <w:rPr>
          <w:lang w:val="en-AU"/>
        </w:rPr>
      </w:pPr>
      <w:r w:rsidRPr="00F271B8">
        <w:rPr>
          <w:lang w:val="en-AU"/>
        </w:rPr>
        <w:t>This plan also includes unlimited standard national SMS/MMS and unlimited standard International SMS/MMS to selected countries</w:t>
      </w:r>
      <w:r>
        <w:rPr>
          <w:lang w:val="en-AU"/>
        </w:rPr>
        <w:t xml:space="preserve">. </w:t>
      </w:r>
      <w:r w:rsidRPr="00F271B8">
        <w:rPr>
          <w:lang w:val="en-AU"/>
        </w:rPr>
        <w:t>Th</w:t>
      </w:r>
      <w:r>
        <w:rPr>
          <w:lang w:val="en-AU"/>
        </w:rPr>
        <w:t xml:space="preserve">ese </w:t>
      </w:r>
      <w:r w:rsidRPr="00F271B8">
        <w:rPr>
          <w:lang w:val="en-AU"/>
        </w:rPr>
        <w:t>plan</w:t>
      </w:r>
      <w:r>
        <w:rPr>
          <w:lang w:val="en-AU"/>
        </w:rPr>
        <w:t>s</w:t>
      </w:r>
      <w:r w:rsidRPr="00F271B8">
        <w:rPr>
          <w:lang w:val="en-AU"/>
        </w:rPr>
        <w:t xml:space="preserve"> also have an amount of included international minutes to use on standard international calls to selected countries</w:t>
      </w:r>
      <w:r>
        <w:rPr>
          <w:lang w:val="en-AU"/>
        </w:rPr>
        <w:t xml:space="preserve">. </w:t>
      </w:r>
    </w:p>
    <w:p w14:paraId="216E4433" w14:textId="77777777" w:rsidR="00E507D4" w:rsidRPr="00F271B8" w:rsidRDefault="00E507D4" w:rsidP="00E507D4">
      <w:pPr>
        <w:pStyle w:val="Heading7"/>
        <w:rPr>
          <w:lang w:val="en-AU"/>
        </w:rPr>
      </w:pPr>
      <w:r w:rsidRPr="00F271B8">
        <w:rPr>
          <w:lang w:val="en-AU"/>
        </w:rPr>
        <w:t>Data usage is calculated in one kilobyte increments</w:t>
      </w:r>
      <w:r>
        <w:rPr>
          <w:lang w:val="en-AU"/>
        </w:rPr>
        <w:t xml:space="preserve">. </w:t>
      </w:r>
      <w:r w:rsidRPr="00F271B8">
        <w:rPr>
          <w:lang w:val="en-AU"/>
        </w:rPr>
        <w:t>International minutes are billed in one minute increments.</w:t>
      </w:r>
    </w:p>
    <w:p w14:paraId="1E3B1466" w14:textId="77777777" w:rsidR="00E507D4" w:rsidRPr="00F271B8" w:rsidRDefault="00E507D4" w:rsidP="00E507D4">
      <w:pPr>
        <w:pStyle w:val="Heading7"/>
        <w:rPr>
          <w:lang w:val="en-AU"/>
        </w:rPr>
      </w:pPr>
      <w:r w:rsidRPr="00F271B8">
        <w:rPr>
          <w:lang w:val="en-AU"/>
        </w:rPr>
        <w:t xml:space="preserve">If </w:t>
      </w:r>
      <w:r w:rsidRPr="00F271B8">
        <w:rPr>
          <w:i/>
          <w:lang w:val="en-AU"/>
        </w:rPr>
        <w:t>you</w:t>
      </w:r>
      <w:r w:rsidRPr="00F271B8">
        <w:rPr>
          <w:lang w:val="en-AU"/>
        </w:rPr>
        <w:t xml:space="preserve"> exceed your included shareable data </w:t>
      </w:r>
      <w:r w:rsidRPr="00F271B8">
        <w:rPr>
          <w:i/>
          <w:lang w:val="en-AU"/>
        </w:rPr>
        <w:t xml:space="preserve">you </w:t>
      </w:r>
      <w:r w:rsidRPr="00F271B8">
        <w:rPr>
          <w:lang w:val="en-AU"/>
        </w:rPr>
        <w:t>will automatically be charged $10 for each additional 1GB of data (</w:t>
      </w:r>
      <w:r>
        <w:rPr>
          <w:lang w:val="en-AU"/>
        </w:rPr>
        <w:t>"</w:t>
      </w:r>
      <w:r w:rsidRPr="00F271B8">
        <w:rPr>
          <w:b/>
          <w:lang w:val="en-AU"/>
        </w:rPr>
        <w:t>Additional Data</w:t>
      </w:r>
      <w:r>
        <w:rPr>
          <w:lang w:val="en-AU"/>
        </w:rPr>
        <w:t>"</w:t>
      </w:r>
      <w:r w:rsidRPr="00F271B8">
        <w:rPr>
          <w:lang w:val="en-AU"/>
        </w:rPr>
        <w:t xml:space="preserve">) that </w:t>
      </w:r>
      <w:r w:rsidRPr="00F271B8">
        <w:rPr>
          <w:i/>
          <w:lang w:val="en-AU"/>
        </w:rPr>
        <w:t>you</w:t>
      </w:r>
      <w:r w:rsidRPr="00F271B8">
        <w:rPr>
          <w:lang w:val="en-AU"/>
        </w:rPr>
        <w:t xml:space="preserve"> use (or part thereof) up to 150GB of extra data per account each month</w:t>
      </w:r>
      <w:r>
        <w:rPr>
          <w:lang w:val="en-AU"/>
        </w:rPr>
        <w:t xml:space="preserve">. </w:t>
      </w:r>
      <w:r w:rsidRPr="00F271B8">
        <w:rPr>
          <w:i/>
          <w:lang w:val="en-AU"/>
        </w:rPr>
        <w:t>Your</w:t>
      </w:r>
      <w:r w:rsidRPr="00F271B8">
        <w:rPr>
          <w:lang w:val="en-AU"/>
        </w:rPr>
        <w:t xml:space="preserve"> </w:t>
      </w:r>
      <w:r w:rsidRPr="00F271B8">
        <w:rPr>
          <w:i/>
          <w:lang w:val="en-AU"/>
        </w:rPr>
        <w:t>service/s</w:t>
      </w:r>
      <w:r w:rsidRPr="00F271B8">
        <w:rPr>
          <w:lang w:val="en-AU"/>
        </w:rPr>
        <w:t xml:space="preserve"> may then be restricted or </w:t>
      </w:r>
      <w:r w:rsidRPr="00F271B8">
        <w:rPr>
          <w:i/>
          <w:lang w:val="en-AU"/>
        </w:rPr>
        <w:t>we</w:t>
      </w:r>
      <w:r w:rsidRPr="00F271B8">
        <w:rPr>
          <w:lang w:val="en-AU"/>
        </w:rPr>
        <w:t xml:space="preserve"> may continue to charge </w:t>
      </w:r>
      <w:r w:rsidRPr="00F271B8">
        <w:rPr>
          <w:i/>
          <w:lang w:val="en-AU"/>
        </w:rPr>
        <w:t>you</w:t>
      </w:r>
      <w:r w:rsidRPr="00F271B8">
        <w:rPr>
          <w:lang w:val="en-AU"/>
        </w:rPr>
        <w:t xml:space="preserve"> at these rates.</w:t>
      </w:r>
    </w:p>
    <w:p w14:paraId="5B8A458D" w14:textId="77777777" w:rsidR="00E507D4" w:rsidRPr="00F271B8" w:rsidRDefault="00E507D4" w:rsidP="00E507D4">
      <w:pPr>
        <w:pStyle w:val="Heading7"/>
        <w:rPr>
          <w:lang w:val="en-AU"/>
        </w:rPr>
      </w:pPr>
      <w:r w:rsidRPr="00F271B8">
        <w:rPr>
          <w:lang w:val="en-AU"/>
        </w:rPr>
        <w:t xml:space="preserve">Any unused portion of </w:t>
      </w:r>
      <w:r w:rsidRPr="00F271B8">
        <w:rPr>
          <w:i/>
          <w:lang w:val="en-AU"/>
        </w:rPr>
        <w:t>your</w:t>
      </w:r>
      <w:r w:rsidRPr="00F271B8">
        <w:rPr>
          <w:lang w:val="en-AU"/>
        </w:rPr>
        <w:t xml:space="preserve"> </w:t>
      </w:r>
      <w:r w:rsidRPr="00F271B8">
        <w:rPr>
          <w:i/>
          <w:lang w:val="en-AU"/>
        </w:rPr>
        <w:t>plan</w:t>
      </w:r>
      <w:r>
        <w:rPr>
          <w:i/>
          <w:lang w:val="en-AU"/>
        </w:rPr>
        <w:t>'</w:t>
      </w:r>
      <w:r w:rsidRPr="00F271B8">
        <w:rPr>
          <w:i/>
          <w:lang w:val="en-AU"/>
        </w:rPr>
        <w:t>s</w:t>
      </w:r>
      <w:r w:rsidRPr="00F271B8">
        <w:rPr>
          <w:lang w:val="en-AU"/>
        </w:rPr>
        <w:t xml:space="preserve"> Included or Additional Data expires at the end of each month and does not roll over into the next month.</w:t>
      </w:r>
    </w:p>
    <w:p w14:paraId="629B0A69" w14:textId="77777777" w:rsidR="00E507D4" w:rsidRPr="00F271B8" w:rsidRDefault="00E507D4" w:rsidP="00E507D4">
      <w:pPr>
        <w:pStyle w:val="Heading7"/>
        <w:rPr>
          <w:b/>
          <w:lang w:val="en-AU"/>
        </w:rPr>
      </w:pPr>
      <w:r w:rsidRPr="00F271B8">
        <w:rPr>
          <w:i/>
          <w:lang w:val="en-AU"/>
        </w:rPr>
        <w:t>You</w:t>
      </w:r>
      <w:r w:rsidRPr="00F271B8">
        <w:rPr>
          <w:lang w:val="en-AU"/>
        </w:rPr>
        <w:t xml:space="preserve"> must pay </w:t>
      </w:r>
      <w:r w:rsidRPr="00F271B8">
        <w:rPr>
          <w:i/>
          <w:lang w:val="en-AU"/>
        </w:rPr>
        <w:t>us</w:t>
      </w:r>
      <w:r w:rsidRPr="00F271B8">
        <w:rPr>
          <w:lang w:val="en-AU"/>
        </w:rPr>
        <w:t xml:space="preserve"> for use of any services that are not included in </w:t>
      </w:r>
      <w:r w:rsidRPr="00F271B8">
        <w:rPr>
          <w:i/>
          <w:lang w:val="en-AU"/>
        </w:rPr>
        <w:t>your</w:t>
      </w:r>
      <w:r w:rsidRPr="00F271B8">
        <w:rPr>
          <w:lang w:val="en-AU"/>
        </w:rPr>
        <w:t xml:space="preserve"> plan</w:t>
      </w:r>
      <w:r>
        <w:rPr>
          <w:lang w:val="en-AU"/>
        </w:rPr>
        <w:t>'</w:t>
      </w:r>
      <w:r w:rsidRPr="00F271B8">
        <w:rPr>
          <w:lang w:val="en-AU"/>
        </w:rPr>
        <w:t>s inclusions, examples of which are set out in Table 2 below.</w:t>
      </w:r>
    </w:p>
    <w:p w14:paraId="70EB5654" w14:textId="77777777" w:rsidR="00E507D4" w:rsidRPr="00F271B8" w:rsidRDefault="00E507D4" w:rsidP="00E507D4">
      <w:pPr>
        <w:pStyle w:val="Heading6"/>
        <w:ind w:left="0" w:firstLine="0"/>
        <w:rPr>
          <w:lang w:val="en-AU"/>
        </w:rPr>
      </w:pPr>
      <w:bookmarkStart w:id="2218" w:name="_Toc508362017"/>
      <w:r w:rsidRPr="00F271B8">
        <w:rPr>
          <w:lang w:val="en-AU"/>
        </w:rPr>
        <w:t>Data Sharing</w:t>
      </w:r>
      <w:bookmarkEnd w:id="2218"/>
    </w:p>
    <w:p w14:paraId="0F5BBBD8" w14:textId="77777777" w:rsidR="00E507D4" w:rsidRPr="00641F25" w:rsidRDefault="00E507D4" w:rsidP="00E507D4">
      <w:pPr>
        <w:pStyle w:val="Heading7"/>
        <w:rPr>
          <w:rFonts w:cs="Arial"/>
          <w:snapToGrid w:val="0"/>
          <w:szCs w:val="20"/>
        </w:rPr>
      </w:pPr>
      <w:r w:rsidRPr="00641F25">
        <w:rPr>
          <w:rFonts w:cs="Arial"/>
          <w:szCs w:val="20"/>
          <w:lang w:eastAsia="en-AU"/>
        </w:rPr>
        <w:t xml:space="preserve">If </w:t>
      </w:r>
      <w:r w:rsidRPr="00641F25">
        <w:rPr>
          <w:rFonts w:cs="Arial"/>
          <w:i/>
          <w:szCs w:val="20"/>
          <w:lang w:eastAsia="en-AU"/>
        </w:rPr>
        <w:t xml:space="preserve">you </w:t>
      </w:r>
      <w:r w:rsidRPr="00641F25">
        <w:rPr>
          <w:rFonts w:cs="Arial"/>
          <w:szCs w:val="20"/>
          <w:lang w:eastAsia="en-AU"/>
        </w:rPr>
        <w:t xml:space="preserve">have more than one </w:t>
      </w:r>
      <w:r w:rsidRPr="00641F25">
        <w:rPr>
          <w:rFonts w:cs="Arial"/>
          <w:szCs w:val="20"/>
        </w:rPr>
        <w:t>My Plan Plus</w:t>
      </w:r>
      <w:r w:rsidRPr="00641F25">
        <w:rPr>
          <w:rFonts w:cs="Arial"/>
          <w:color w:val="000000"/>
          <w:szCs w:val="20"/>
          <w:lang w:eastAsia="en-AU"/>
        </w:rPr>
        <w:t xml:space="preserve">, </w:t>
      </w:r>
      <w:r w:rsidRPr="00641F25">
        <w:rPr>
          <w:rFonts w:cs="Arial"/>
          <w:szCs w:val="20"/>
          <w:lang w:eastAsia="en-AU"/>
        </w:rPr>
        <w:t>My Plan Plus SIM Only, My Plan Plus 12M SIM Only, My Plan Business (including Tech Fund), My Plan Business SIM, My Plan Business 12M SIM, Business Plan, My Plan Flex, My Plan Business Flex, Business Lease, My Mobile Broadband</w:t>
      </w:r>
      <w:r w:rsidRPr="00641F25">
        <w:rPr>
          <w:rFonts w:cs="Arial"/>
          <w:color w:val="000000"/>
          <w:szCs w:val="20"/>
          <w:lang w:eastAsia="en-AU"/>
        </w:rPr>
        <w:t xml:space="preserve"> Plus, Mobile Broadband Business</w:t>
      </w:r>
      <w:r w:rsidRPr="00641F25">
        <w:rPr>
          <w:rFonts w:cs="Arial"/>
          <w:szCs w:val="20"/>
        </w:rPr>
        <w:t xml:space="preserve"> or Shared Data Plan </w:t>
      </w:r>
      <w:r w:rsidRPr="00641F25">
        <w:rPr>
          <w:rFonts w:cs="Arial"/>
          <w:szCs w:val="20"/>
          <w:lang w:eastAsia="en-AU"/>
        </w:rPr>
        <w:t>on the same billing account, the included data will combine into one data pool, which will be shared by all eligible services on that account.</w:t>
      </w:r>
    </w:p>
    <w:p w14:paraId="4D421387" w14:textId="77777777" w:rsidR="00E507D4" w:rsidRPr="00AB716F" w:rsidRDefault="00E507D4" w:rsidP="00E507D4">
      <w:pPr>
        <w:pStyle w:val="Heading7"/>
        <w:rPr>
          <w:lang w:val="en-AU"/>
        </w:rPr>
      </w:pPr>
      <w:r w:rsidRPr="00641F25">
        <w:rPr>
          <w:rFonts w:cs="Arial"/>
          <w:snapToGrid w:val="0"/>
          <w:szCs w:val="20"/>
        </w:rPr>
        <w:t xml:space="preserve">If </w:t>
      </w:r>
      <w:r w:rsidRPr="00641F25">
        <w:rPr>
          <w:rFonts w:cs="Arial"/>
          <w:i/>
          <w:snapToGrid w:val="0"/>
          <w:szCs w:val="20"/>
        </w:rPr>
        <w:t>you</w:t>
      </w:r>
      <w:r w:rsidRPr="00641F25">
        <w:rPr>
          <w:rFonts w:cs="Arial"/>
          <w:snapToGrid w:val="0"/>
          <w:szCs w:val="20"/>
        </w:rPr>
        <w:t xml:space="preserve"> do not want </w:t>
      </w:r>
      <w:r w:rsidRPr="00641F25">
        <w:rPr>
          <w:rFonts w:cs="Arial"/>
          <w:i/>
          <w:snapToGrid w:val="0"/>
          <w:szCs w:val="20"/>
        </w:rPr>
        <w:t>your</w:t>
      </w:r>
      <w:r w:rsidRPr="00641F25">
        <w:rPr>
          <w:rFonts w:cs="Arial"/>
          <w:snapToGrid w:val="0"/>
          <w:szCs w:val="20"/>
        </w:rPr>
        <w:t xml:space="preserve"> services to share data, they need to be on separate billing accounts</w:t>
      </w:r>
    </w:p>
    <w:p w14:paraId="7AF3F583" w14:textId="77777777" w:rsidR="00E507D4" w:rsidRPr="00F271B8" w:rsidRDefault="00E507D4" w:rsidP="00E507D4">
      <w:pPr>
        <w:pStyle w:val="Heading7"/>
        <w:rPr>
          <w:lang w:val="en-AU"/>
        </w:rPr>
      </w:pPr>
      <w:r w:rsidRPr="00F271B8">
        <w:rPr>
          <w:lang w:val="en-AU"/>
        </w:rPr>
        <w:t>Data sharing is only available within Australia.</w:t>
      </w:r>
    </w:p>
    <w:p w14:paraId="7C1E89C3" w14:textId="77777777" w:rsidR="00E507D4" w:rsidRPr="00F271B8" w:rsidRDefault="00E507D4" w:rsidP="00E507D4">
      <w:pPr>
        <w:pStyle w:val="Heading6"/>
        <w:ind w:left="0" w:firstLine="0"/>
        <w:rPr>
          <w:lang w:val="en-AU"/>
        </w:rPr>
      </w:pPr>
      <w:bookmarkStart w:id="2219" w:name="_Toc508362018"/>
      <w:r w:rsidRPr="00F271B8">
        <w:rPr>
          <w:lang w:val="en-AU"/>
        </w:rPr>
        <w:t>International Minutes</w:t>
      </w:r>
      <w:bookmarkEnd w:id="2219"/>
    </w:p>
    <w:p w14:paraId="3A9802B0" w14:textId="77777777" w:rsidR="00E507D4" w:rsidRPr="00F271B8" w:rsidRDefault="00E507D4" w:rsidP="00E507D4">
      <w:pPr>
        <w:pStyle w:val="BodyText"/>
        <w:ind w:left="720"/>
      </w:pPr>
      <w:r w:rsidRPr="00F271B8">
        <w:t>The $40</w:t>
      </w:r>
      <w:r>
        <w:t>/$45/$55</w:t>
      </w:r>
      <w:r w:rsidRPr="00F271B8">
        <w:t xml:space="preserve"> Business</w:t>
      </w:r>
      <w:r>
        <w:t xml:space="preserve"> Plan</w:t>
      </w:r>
      <w:r w:rsidRPr="00F271B8">
        <w:t xml:space="preserve"> 12M SIM plan</w:t>
      </w:r>
      <w:r>
        <w:t>s</w:t>
      </w:r>
      <w:r w:rsidRPr="00F271B8">
        <w:t xml:space="preserve"> includes up to 300</w:t>
      </w:r>
      <w:r>
        <w:t>/300/500</w:t>
      </w:r>
      <w:r w:rsidRPr="00F271B8">
        <w:t xml:space="preserve"> international minutes</w:t>
      </w:r>
      <w:r>
        <w:t xml:space="preserve"> (respectively) </w:t>
      </w:r>
      <w:r w:rsidRPr="00F271B8">
        <w:t>for standard calls to mobiles and fixed lines to selected countries from within Australia</w:t>
      </w:r>
      <w:r>
        <w:t xml:space="preserve">. </w:t>
      </w:r>
      <w:r w:rsidRPr="00F271B8">
        <w:t>For a list of selected countries see Table 3 below.</w:t>
      </w:r>
    </w:p>
    <w:p w14:paraId="74ABF5B9" w14:textId="77777777" w:rsidR="00E507D4" w:rsidRPr="00F271B8" w:rsidRDefault="00E507D4" w:rsidP="00E507D4">
      <w:pPr>
        <w:pStyle w:val="BodyText"/>
        <w:ind w:left="720"/>
      </w:pPr>
      <w:r w:rsidRPr="00F271B8">
        <w:t>Calls are charged per minute</w:t>
      </w:r>
      <w:r>
        <w:t xml:space="preserve">. </w:t>
      </w:r>
      <w:r w:rsidRPr="00F271B8">
        <w:t xml:space="preserve">When included international minutes for calls to selected countries are used up, standard </w:t>
      </w:r>
      <w:r>
        <w:t>'</w:t>
      </w:r>
      <w:r w:rsidRPr="00F271B8">
        <w:t>yes</w:t>
      </w:r>
      <w:r>
        <w:t>'</w:t>
      </w:r>
      <w:r w:rsidRPr="00F271B8">
        <w:t xml:space="preserve"> international call charges apply</w:t>
      </w:r>
      <w:r>
        <w:t xml:space="preserve">. </w:t>
      </w:r>
    </w:p>
    <w:p w14:paraId="03FEA79B" w14:textId="77777777" w:rsidR="00E507D4" w:rsidRPr="00F271B8" w:rsidRDefault="00E507D4" w:rsidP="00E507D4">
      <w:pPr>
        <w:pStyle w:val="Heading6"/>
        <w:ind w:left="0" w:firstLine="0"/>
        <w:rPr>
          <w:lang w:val="en-AU"/>
        </w:rPr>
      </w:pPr>
      <w:bookmarkStart w:id="2220" w:name="_Toc508362019"/>
      <w:r w:rsidRPr="00F271B8">
        <w:rPr>
          <w:lang w:val="en-AU"/>
        </w:rPr>
        <w:lastRenderedPageBreak/>
        <w:t>Unlimited standard national SMS and MMS</w:t>
      </w:r>
      <w:bookmarkEnd w:id="2220"/>
    </w:p>
    <w:p w14:paraId="5B70A047" w14:textId="77777777" w:rsidR="00E507D4" w:rsidRPr="00F271B8" w:rsidRDefault="00E507D4" w:rsidP="00E507D4">
      <w:pPr>
        <w:pStyle w:val="BodyText"/>
        <w:ind w:left="720"/>
      </w:pPr>
      <w:r w:rsidRPr="00F271B8">
        <w:rPr>
          <w:i/>
        </w:rPr>
        <w:t>You</w:t>
      </w:r>
      <w:r w:rsidRPr="00F271B8">
        <w:t xml:space="preserve"> may send unlimited standard SMS and MMS to Australian mobiles from within Australia.</w:t>
      </w:r>
    </w:p>
    <w:p w14:paraId="0AC19BC3" w14:textId="77777777" w:rsidR="00E507D4" w:rsidRPr="00F271B8" w:rsidRDefault="00E507D4" w:rsidP="00E507D4">
      <w:pPr>
        <w:pStyle w:val="BodyText"/>
        <w:ind w:left="720"/>
        <w:rPr>
          <w:i/>
          <w:szCs w:val="20"/>
          <w:u w:val="single"/>
        </w:rPr>
      </w:pPr>
      <w:r w:rsidRPr="00F271B8">
        <w:rPr>
          <w:szCs w:val="20"/>
        </w:rPr>
        <w:t xml:space="preserve">Unlimited standard national SMS and MMS are only available for personal use and are not to be used for a commercial or non-ordinary purpose as set out in the </w:t>
      </w:r>
      <w:hyperlink r:id="rId850" w:history="1">
        <w:r w:rsidRPr="00F271B8">
          <w:rPr>
            <w:rStyle w:val="Hyperlink"/>
            <w:i/>
            <w:szCs w:val="20"/>
          </w:rPr>
          <w:t>Fair Go Policy</w:t>
        </w:r>
      </w:hyperlink>
      <w:r>
        <w:rPr>
          <w:szCs w:val="20"/>
        </w:rPr>
        <w:t xml:space="preserve">. </w:t>
      </w:r>
      <w:r w:rsidRPr="00F271B8">
        <w:rPr>
          <w:szCs w:val="20"/>
        </w:rPr>
        <w:t xml:space="preserve">For further details refer to </w:t>
      </w:r>
      <w:hyperlink r:id="rId851" w:history="1">
        <w:r w:rsidRPr="00F271B8">
          <w:rPr>
            <w:rStyle w:val="Hyperlink"/>
            <w:i/>
            <w:szCs w:val="20"/>
          </w:rPr>
          <w:t>Appendix</w:t>
        </w:r>
        <w:r>
          <w:rPr>
            <w:rStyle w:val="Hyperlink"/>
            <w:i/>
            <w:szCs w:val="20"/>
          </w:rPr>
          <w:t> </w:t>
        </w:r>
        <w:r w:rsidRPr="00F271B8">
          <w:rPr>
            <w:rStyle w:val="Hyperlink"/>
            <w:i/>
            <w:szCs w:val="20"/>
          </w:rPr>
          <w:t>S</w:t>
        </w:r>
      </w:hyperlink>
      <w:r w:rsidRPr="00FE65F4">
        <w:rPr>
          <w:i/>
          <w:szCs w:val="20"/>
        </w:rPr>
        <w:t>.</w:t>
      </w:r>
    </w:p>
    <w:p w14:paraId="408144C2" w14:textId="77777777" w:rsidR="00E507D4" w:rsidRPr="00F271B8" w:rsidRDefault="00E507D4" w:rsidP="00E507D4">
      <w:pPr>
        <w:pStyle w:val="Heading6"/>
        <w:ind w:left="0" w:firstLine="0"/>
        <w:rPr>
          <w:lang w:val="en-AU"/>
        </w:rPr>
      </w:pPr>
      <w:bookmarkStart w:id="2221" w:name="_Toc508362020"/>
      <w:r w:rsidRPr="00F271B8">
        <w:rPr>
          <w:lang w:val="en-AU"/>
        </w:rPr>
        <w:t>Unlimited standard international SMS and MMS</w:t>
      </w:r>
      <w:bookmarkEnd w:id="2221"/>
    </w:p>
    <w:p w14:paraId="3A3793CE" w14:textId="77777777" w:rsidR="00E507D4" w:rsidRPr="00F271B8" w:rsidRDefault="00E507D4" w:rsidP="00E507D4">
      <w:pPr>
        <w:pStyle w:val="BodyText"/>
        <w:ind w:left="720"/>
      </w:pPr>
      <w:r w:rsidRPr="00F271B8">
        <w:rPr>
          <w:i/>
        </w:rPr>
        <w:t>You</w:t>
      </w:r>
      <w:r w:rsidRPr="00F271B8">
        <w:t xml:space="preserve"> may send unlimited standard SMS and MMS to selected countries from within Australia</w:t>
      </w:r>
      <w:r>
        <w:t xml:space="preserve">. </w:t>
      </w:r>
      <w:r w:rsidRPr="00F271B8">
        <w:t>For a list of selected countries see Table 3 below.</w:t>
      </w:r>
    </w:p>
    <w:p w14:paraId="012E0AB3" w14:textId="77777777" w:rsidR="00E507D4" w:rsidRPr="00F271B8" w:rsidRDefault="00E507D4" w:rsidP="00E507D4">
      <w:pPr>
        <w:pStyle w:val="BodyText"/>
        <w:ind w:left="720"/>
        <w:rPr>
          <w:szCs w:val="20"/>
          <w:u w:val="single"/>
        </w:rPr>
      </w:pPr>
      <w:r w:rsidRPr="00F271B8">
        <w:rPr>
          <w:szCs w:val="20"/>
        </w:rPr>
        <w:t>Unlimited standard SMS and MMS are only available for personal use and are not to be used for a commercial or non-ordinary purpose as set out in the Fair Go Policy</w:t>
      </w:r>
      <w:r>
        <w:rPr>
          <w:szCs w:val="20"/>
        </w:rPr>
        <w:t xml:space="preserve">. </w:t>
      </w:r>
      <w:r w:rsidRPr="00F271B8">
        <w:rPr>
          <w:szCs w:val="20"/>
        </w:rPr>
        <w:t xml:space="preserve">For further details refer to </w:t>
      </w:r>
      <w:hyperlink r:id="rId852" w:history="1">
        <w:r w:rsidRPr="00F271B8">
          <w:rPr>
            <w:rStyle w:val="Hyperlink"/>
            <w:i/>
            <w:szCs w:val="20"/>
          </w:rPr>
          <w:t>Appendix</w:t>
        </w:r>
        <w:r>
          <w:rPr>
            <w:rStyle w:val="Hyperlink"/>
            <w:i/>
            <w:szCs w:val="20"/>
          </w:rPr>
          <w:t> </w:t>
        </w:r>
        <w:r w:rsidRPr="00F271B8">
          <w:rPr>
            <w:rStyle w:val="Hyperlink"/>
            <w:i/>
            <w:szCs w:val="20"/>
          </w:rPr>
          <w:t>S</w:t>
        </w:r>
      </w:hyperlink>
      <w:r w:rsidRPr="00FE65F4">
        <w:rPr>
          <w:i/>
          <w:szCs w:val="20"/>
        </w:rPr>
        <w:t>.</w:t>
      </w:r>
    </w:p>
    <w:p w14:paraId="5E5D25BB" w14:textId="77777777" w:rsidR="00E507D4" w:rsidRPr="00F271B8" w:rsidRDefault="00E507D4" w:rsidP="00E507D4">
      <w:pPr>
        <w:pStyle w:val="BodyText"/>
        <w:ind w:left="720"/>
        <w:rPr>
          <w:b/>
          <w:lang w:val="en-AU"/>
        </w:rPr>
      </w:pPr>
      <w:r w:rsidRPr="00F271B8">
        <w:rPr>
          <w:b/>
          <w:lang w:val="en-AU"/>
        </w:rPr>
        <w:t>Table 1 –Plan Inclusions and Charges</w:t>
      </w:r>
    </w:p>
    <w:tbl>
      <w:tblPr>
        <w:tblW w:w="4215"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7"/>
        <w:gridCol w:w="1664"/>
        <w:gridCol w:w="1803"/>
        <w:gridCol w:w="1664"/>
      </w:tblGrid>
      <w:tr w:rsidR="00E507D4" w:rsidRPr="00F271B8" w14:paraId="6DDB7F87" w14:textId="77777777" w:rsidTr="00B95821">
        <w:trPr>
          <w:trHeight w:val="64"/>
        </w:trPr>
        <w:tc>
          <w:tcPr>
            <w:tcW w:w="2012" w:type="pct"/>
            <w:shd w:val="clear" w:color="auto" w:fill="auto"/>
          </w:tcPr>
          <w:p w14:paraId="367D5352" w14:textId="77777777" w:rsidR="00E507D4" w:rsidRPr="00F271B8" w:rsidRDefault="00E507D4" w:rsidP="00B95821">
            <w:pPr>
              <w:pStyle w:val="BodyText"/>
              <w:spacing w:before="100" w:after="100"/>
              <w:jc w:val="center"/>
            </w:pPr>
          </w:p>
        </w:tc>
        <w:tc>
          <w:tcPr>
            <w:tcW w:w="969" w:type="pct"/>
          </w:tcPr>
          <w:p w14:paraId="00F254AC" w14:textId="77777777" w:rsidR="00E507D4" w:rsidRPr="003626D2" w:rsidDel="00844E85" w:rsidRDefault="00E507D4" w:rsidP="00B95821">
            <w:pPr>
              <w:pStyle w:val="BodyText"/>
              <w:spacing w:before="100" w:after="100"/>
              <w:jc w:val="center"/>
              <w:rPr>
                <w:b/>
              </w:rPr>
            </w:pPr>
            <w:r w:rsidRPr="003626D2">
              <w:rPr>
                <w:b/>
              </w:rPr>
              <w:t xml:space="preserve">$40 Business </w:t>
            </w:r>
            <w:r>
              <w:rPr>
                <w:b/>
              </w:rPr>
              <w:t xml:space="preserve">Plan </w:t>
            </w:r>
            <w:r w:rsidRPr="003626D2">
              <w:rPr>
                <w:b/>
              </w:rPr>
              <w:t>12M SIM</w:t>
            </w:r>
          </w:p>
        </w:tc>
        <w:tc>
          <w:tcPr>
            <w:tcW w:w="1050" w:type="pct"/>
          </w:tcPr>
          <w:p w14:paraId="6BA702D4" w14:textId="77777777" w:rsidR="00E507D4" w:rsidRPr="003626D2" w:rsidRDefault="00E507D4" w:rsidP="00B95821">
            <w:pPr>
              <w:pStyle w:val="BodyText"/>
              <w:spacing w:before="100" w:after="100"/>
              <w:jc w:val="center"/>
              <w:rPr>
                <w:b/>
              </w:rPr>
            </w:pPr>
            <w:r>
              <w:rPr>
                <w:b/>
              </w:rPr>
              <w:t>$45</w:t>
            </w:r>
            <w:r w:rsidRPr="003626D2">
              <w:rPr>
                <w:b/>
              </w:rPr>
              <w:t xml:space="preserve"> Business </w:t>
            </w:r>
            <w:r>
              <w:rPr>
                <w:b/>
              </w:rPr>
              <w:t xml:space="preserve">Plan </w:t>
            </w:r>
            <w:r w:rsidRPr="003626D2">
              <w:rPr>
                <w:b/>
              </w:rPr>
              <w:t>12M SIM</w:t>
            </w:r>
          </w:p>
        </w:tc>
        <w:tc>
          <w:tcPr>
            <w:tcW w:w="969" w:type="pct"/>
          </w:tcPr>
          <w:p w14:paraId="01246FA3" w14:textId="77777777" w:rsidR="00E507D4" w:rsidRDefault="00E507D4" w:rsidP="00B95821">
            <w:pPr>
              <w:pStyle w:val="BodyText"/>
              <w:spacing w:before="100" w:after="100"/>
              <w:jc w:val="center"/>
              <w:rPr>
                <w:b/>
              </w:rPr>
            </w:pPr>
            <w:r>
              <w:rPr>
                <w:b/>
              </w:rPr>
              <w:t>$55</w:t>
            </w:r>
            <w:r w:rsidRPr="003626D2">
              <w:rPr>
                <w:b/>
              </w:rPr>
              <w:t xml:space="preserve"> Business </w:t>
            </w:r>
            <w:r>
              <w:rPr>
                <w:b/>
              </w:rPr>
              <w:t xml:space="preserve">Plan </w:t>
            </w:r>
            <w:r w:rsidRPr="003626D2">
              <w:rPr>
                <w:b/>
              </w:rPr>
              <w:t>12M SIM</w:t>
            </w:r>
          </w:p>
        </w:tc>
      </w:tr>
      <w:tr w:rsidR="00E507D4" w:rsidRPr="00F271B8" w14:paraId="78CF964F" w14:textId="77777777" w:rsidTr="00B95821">
        <w:tc>
          <w:tcPr>
            <w:tcW w:w="2012" w:type="pct"/>
            <w:shd w:val="clear" w:color="auto" w:fill="auto"/>
          </w:tcPr>
          <w:p w14:paraId="18B84A8B" w14:textId="77777777" w:rsidR="00E507D4" w:rsidRPr="00F271B8" w:rsidRDefault="00E507D4" w:rsidP="00B95821">
            <w:pPr>
              <w:pStyle w:val="BodyText"/>
              <w:spacing w:before="100" w:after="100"/>
            </w:pPr>
            <w:r w:rsidRPr="00F271B8">
              <w:rPr>
                <w:b/>
                <w:bCs/>
              </w:rPr>
              <w:t>Minimum Monthly charge</w:t>
            </w:r>
          </w:p>
        </w:tc>
        <w:tc>
          <w:tcPr>
            <w:tcW w:w="969" w:type="pct"/>
            <w:vAlign w:val="center"/>
          </w:tcPr>
          <w:p w14:paraId="7110761C" w14:textId="77777777" w:rsidR="00E507D4" w:rsidRPr="00F271B8" w:rsidDel="00844E85" w:rsidRDefault="00E507D4" w:rsidP="00B95821">
            <w:pPr>
              <w:pStyle w:val="BodyText"/>
              <w:spacing w:before="100" w:after="100"/>
              <w:jc w:val="center"/>
            </w:pPr>
            <w:r w:rsidRPr="00F271B8">
              <w:t>$40</w:t>
            </w:r>
          </w:p>
        </w:tc>
        <w:tc>
          <w:tcPr>
            <w:tcW w:w="1050" w:type="pct"/>
            <w:vAlign w:val="center"/>
          </w:tcPr>
          <w:p w14:paraId="1F8FF22E" w14:textId="77777777" w:rsidR="00E507D4" w:rsidRPr="00F271B8" w:rsidRDefault="00E507D4" w:rsidP="00B95821">
            <w:pPr>
              <w:pStyle w:val="BodyText"/>
              <w:spacing w:before="100" w:after="100"/>
              <w:jc w:val="center"/>
            </w:pPr>
            <w:r>
              <w:t>$45</w:t>
            </w:r>
          </w:p>
        </w:tc>
        <w:tc>
          <w:tcPr>
            <w:tcW w:w="969" w:type="pct"/>
          </w:tcPr>
          <w:p w14:paraId="704A98AA" w14:textId="77777777" w:rsidR="00E507D4" w:rsidRDefault="00E507D4" w:rsidP="00B95821">
            <w:pPr>
              <w:pStyle w:val="BodyText"/>
              <w:spacing w:before="100" w:after="100"/>
              <w:jc w:val="center"/>
            </w:pPr>
            <w:r>
              <w:t>$55</w:t>
            </w:r>
          </w:p>
        </w:tc>
      </w:tr>
      <w:tr w:rsidR="00E507D4" w:rsidRPr="00F271B8" w14:paraId="5CAFEC36" w14:textId="77777777" w:rsidTr="00B95821">
        <w:tc>
          <w:tcPr>
            <w:tcW w:w="2012" w:type="pct"/>
            <w:shd w:val="clear" w:color="auto" w:fill="auto"/>
            <w:vAlign w:val="center"/>
          </w:tcPr>
          <w:p w14:paraId="4EC64BE9" w14:textId="77777777" w:rsidR="00E507D4" w:rsidRPr="00F271B8" w:rsidRDefault="00E507D4" w:rsidP="00B95821">
            <w:pPr>
              <w:pStyle w:val="BodyText"/>
              <w:spacing w:before="100" w:after="100"/>
            </w:pPr>
            <w:r w:rsidRPr="00F271B8">
              <w:rPr>
                <w:b/>
                <w:bCs/>
              </w:rPr>
              <w:t>Included Data</w:t>
            </w:r>
          </w:p>
        </w:tc>
        <w:tc>
          <w:tcPr>
            <w:tcW w:w="969" w:type="pct"/>
            <w:vAlign w:val="center"/>
          </w:tcPr>
          <w:p w14:paraId="285B0330" w14:textId="77777777" w:rsidR="00E507D4" w:rsidRPr="00F271B8" w:rsidDel="00844E85" w:rsidRDefault="00E507D4" w:rsidP="00B95821">
            <w:pPr>
              <w:pStyle w:val="BodyText"/>
              <w:spacing w:before="100" w:after="100"/>
              <w:jc w:val="center"/>
            </w:pPr>
            <w:r>
              <w:t>12</w:t>
            </w:r>
            <w:r w:rsidRPr="00F271B8">
              <w:t>GB</w:t>
            </w:r>
          </w:p>
        </w:tc>
        <w:tc>
          <w:tcPr>
            <w:tcW w:w="1050" w:type="pct"/>
            <w:vAlign w:val="center"/>
          </w:tcPr>
          <w:p w14:paraId="4695FE3C" w14:textId="77777777" w:rsidR="00E507D4" w:rsidRPr="00F271B8" w:rsidRDefault="00E507D4" w:rsidP="00B95821">
            <w:pPr>
              <w:pStyle w:val="BodyText"/>
              <w:spacing w:before="100" w:after="100"/>
              <w:jc w:val="center"/>
            </w:pPr>
            <w:r>
              <w:t>15</w:t>
            </w:r>
            <w:r w:rsidRPr="00F271B8">
              <w:t>GB</w:t>
            </w:r>
          </w:p>
        </w:tc>
        <w:tc>
          <w:tcPr>
            <w:tcW w:w="969" w:type="pct"/>
          </w:tcPr>
          <w:p w14:paraId="03472DAD" w14:textId="77777777" w:rsidR="00E507D4" w:rsidRDefault="00E507D4" w:rsidP="00B95821">
            <w:pPr>
              <w:pStyle w:val="BodyText"/>
              <w:spacing w:before="100" w:after="100"/>
              <w:jc w:val="center"/>
            </w:pPr>
            <w:r>
              <w:t>20GB</w:t>
            </w:r>
          </w:p>
        </w:tc>
      </w:tr>
      <w:tr w:rsidR="00E507D4" w:rsidRPr="00F271B8" w14:paraId="46169709" w14:textId="77777777" w:rsidTr="00B95821">
        <w:trPr>
          <w:trHeight w:val="64"/>
        </w:trPr>
        <w:tc>
          <w:tcPr>
            <w:tcW w:w="2012" w:type="pct"/>
            <w:shd w:val="clear" w:color="auto" w:fill="auto"/>
            <w:vAlign w:val="center"/>
          </w:tcPr>
          <w:p w14:paraId="6405AD75" w14:textId="77777777" w:rsidR="00E507D4" w:rsidRPr="00F271B8" w:rsidRDefault="00E507D4" w:rsidP="00B95821">
            <w:pPr>
              <w:pStyle w:val="BodyText"/>
              <w:spacing w:before="100" w:after="100"/>
              <w:rPr>
                <w:b/>
                <w:bCs/>
              </w:rPr>
            </w:pPr>
            <w:r w:rsidRPr="00F271B8">
              <w:rPr>
                <w:b/>
                <w:bCs/>
              </w:rPr>
              <w:t>Additional</w:t>
            </w:r>
            <w:r>
              <w:rPr>
                <w:b/>
                <w:bCs/>
              </w:rPr>
              <w:t xml:space="preserve"> </w:t>
            </w:r>
            <w:r w:rsidRPr="00F271B8">
              <w:rPr>
                <w:b/>
                <w:bCs/>
              </w:rPr>
              <w:t>Data</w:t>
            </w:r>
          </w:p>
        </w:tc>
        <w:tc>
          <w:tcPr>
            <w:tcW w:w="2988" w:type="pct"/>
            <w:gridSpan w:val="3"/>
          </w:tcPr>
          <w:p w14:paraId="48DC4A2E" w14:textId="77777777" w:rsidR="00E507D4" w:rsidRPr="00F271B8" w:rsidRDefault="00E507D4" w:rsidP="00B95821">
            <w:pPr>
              <w:pStyle w:val="BodyText"/>
              <w:spacing w:before="100" w:after="100"/>
              <w:jc w:val="center"/>
            </w:pPr>
            <w:r w:rsidRPr="00F271B8">
              <w:t>Additional data $10 per 1GB</w:t>
            </w:r>
          </w:p>
        </w:tc>
      </w:tr>
      <w:tr w:rsidR="00E507D4" w:rsidRPr="00F271B8" w14:paraId="39C104B1" w14:textId="77777777" w:rsidTr="00B95821">
        <w:tc>
          <w:tcPr>
            <w:tcW w:w="2012" w:type="pct"/>
            <w:shd w:val="clear" w:color="auto" w:fill="auto"/>
          </w:tcPr>
          <w:p w14:paraId="6BAD0351" w14:textId="77777777" w:rsidR="00E507D4" w:rsidRPr="00F271B8" w:rsidRDefault="00E507D4" w:rsidP="00B95821">
            <w:pPr>
              <w:pStyle w:val="BodyText"/>
              <w:spacing w:before="100" w:after="100"/>
              <w:rPr>
                <w:b/>
                <w:bCs/>
              </w:rPr>
            </w:pPr>
            <w:r w:rsidRPr="00F271B8">
              <w:rPr>
                <w:b/>
                <w:bCs/>
              </w:rPr>
              <w:t>Included Minutes</w:t>
            </w:r>
          </w:p>
          <w:p w14:paraId="67652C77" w14:textId="77777777" w:rsidR="00E507D4" w:rsidRPr="00F271B8" w:rsidRDefault="00E507D4" w:rsidP="00B95821">
            <w:pPr>
              <w:pStyle w:val="BodyText"/>
              <w:spacing w:before="100" w:after="100"/>
              <w:rPr>
                <w:b/>
                <w:bCs/>
              </w:rPr>
            </w:pPr>
            <w:r w:rsidRPr="00F271B8">
              <w:rPr>
                <w:bCs/>
              </w:rPr>
              <w:t>for standard national calls to landlines and mobiles, 1300 numbers and voicemail, within Australia</w:t>
            </w:r>
          </w:p>
        </w:tc>
        <w:tc>
          <w:tcPr>
            <w:tcW w:w="2988" w:type="pct"/>
            <w:gridSpan w:val="3"/>
            <w:vAlign w:val="center"/>
          </w:tcPr>
          <w:p w14:paraId="2F67BCC1" w14:textId="77777777" w:rsidR="00E507D4" w:rsidRPr="00F271B8" w:rsidRDefault="00E507D4" w:rsidP="00B95821">
            <w:pPr>
              <w:pStyle w:val="BodyText"/>
              <w:spacing w:before="100" w:after="100"/>
              <w:jc w:val="center"/>
            </w:pPr>
            <w:r w:rsidRPr="00F271B8">
              <w:t>Unlimited</w:t>
            </w:r>
          </w:p>
        </w:tc>
      </w:tr>
      <w:tr w:rsidR="00E507D4" w:rsidRPr="00F271B8" w14:paraId="537D42E7" w14:textId="77777777" w:rsidTr="00B95821">
        <w:tc>
          <w:tcPr>
            <w:tcW w:w="2012" w:type="pct"/>
            <w:shd w:val="clear" w:color="auto" w:fill="auto"/>
          </w:tcPr>
          <w:p w14:paraId="3CDDC634" w14:textId="77777777" w:rsidR="00E507D4" w:rsidRPr="00F271B8" w:rsidRDefault="00E507D4" w:rsidP="00B95821">
            <w:pPr>
              <w:pStyle w:val="BodyText"/>
              <w:spacing w:before="100" w:after="100"/>
              <w:rPr>
                <w:b/>
                <w:bCs/>
              </w:rPr>
            </w:pPr>
            <w:r w:rsidRPr="00F271B8">
              <w:rPr>
                <w:b/>
                <w:bCs/>
              </w:rPr>
              <w:t>Included International Minutes</w:t>
            </w:r>
          </w:p>
          <w:p w14:paraId="230992CF" w14:textId="77777777" w:rsidR="00E507D4" w:rsidRPr="00F271B8" w:rsidRDefault="00E507D4" w:rsidP="00B95821">
            <w:pPr>
              <w:pStyle w:val="BodyText"/>
              <w:spacing w:before="100" w:after="100"/>
              <w:rPr>
                <w:b/>
                <w:bCs/>
              </w:rPr>
            </w:pPr>
            <w:r w:rsidRPr="00F271B8">
              <w:t>Standard international calls to landlines and mobiles</w:t>
            </w:r>
            <w:r>
              <w:t xml:space="preserve"> </w:t>
            </w:r>
            <w:r w:rsidRPr="00F271B8">
              <w:t xml:space="preserve">to selected countries </w:t>
            </w:r>
          </w:p>
        </w:tc>
        <w:tc>
          <w:tcPr>
            <w:tcW w:w="969" w:type="pct"/>
            <w:vAlign w:val="center"/>
          </w:tcPr>
          <w:p w14:paraId="4151C17A" w14:textId="77777777" w:rsidR="00E507D4" w:rsidRPr="00F271B8" w:rsidDel="00844E85" w:rsidRDefault="00E507D4" w:rsidP="00B95821">
            <w:pPr>
              <w:pStyle w:val="BodyText"/>
              <w:spacing w:before="100" w:after="100"/>
              <w:jc w:val="center"/>
              <w:rPr>
                <w:bCs/>
              </w:rPr>
            </w:pPr>
            <w:r w:rsidRPr="00F271B8">
              <w:rPr>
                <w:bCs/>
              </w:rPr>
              <w:t>Up to 300 mins</w:t>
            </w:r>
          </w:p>
        </w:tc>
        <w:tc>
          <w:tcPr>
            <w:tcW w:w="1050" w:type="pct"/>
            <w:vAlign w:val="center"/>
          </w:tcPr>
          <w:p w14:paraId="78783A96" w14:textId="77777777" w:rsidR="00E507D4" w:rsidRPr="00F271B8" w:rsidRDefault="00E507D4" w:rsidP="00B95821">
            <w:pPr>
              <w:pStyle w:val="BodyText"/>
              <w:spacing w:before="100" w:after="100"/>
              <w:jc w:val="center"/>
              <w:rPr>
                <w:bCs/>
              </w:rPr>
            </w:pPr>
            <w:r w:rsidRPr="00F271B8">
              <w:rPr>
                <w:bCs/>
              </w:rPr>
              <w:t>Up to 300 mins</w:t>
            </w:r>
          </w:p>
        </w:tc>
        <w:tc>
          <w:tcPr>
            <w:tcW w:w="969" w:type="pct"/>
          </w:tcPr>
          <w:p w14:paraId="376C8175" w14:textId="77777777" w:rsidR="00E507D4" w:rsidRDefault="00E507D4" w:rsidP="00B95821">
            <w:pPr>
              <w:pStyle w:val="BodyText"/>
              <w:spacing w:before="100" w:after="100"/>
              <w:jc w:val="center"/>
              <w:rPr>
                <w:bCs/>
              </w:rPr>
            </w:pPr>
          </w:p>
          <w:p w14:paraId="58AF2DCF" w14:textId="77777777" w:rsidR="00E507D4" w:rsidRDefault="00E507D4" w:rsidP="00B95821">
            <w:pPr>
              <w:pStyle w:val="BodyText"/>
              <w:spacing w:before="100" w:after="100"/>
              <w:jc w:val="center"/>
              <w:rPr>
                <w:bCs/>
              </w:rPr>
            </w:pPr>
            <w:r>
              <w:rPr>
                <w:bCs/>
              </w:rPr>
              <w:t>Up to 4</w:t>
            </w:r>
            <w:r w:rsidRPr="00F271B8">
              <w:rPr>
                <w:bCs/>
              </w:rPr>
              <w:t>00 mins</w:t>
            </w:r>
          </w:p>
        </w:tc>
      </w:tr>
      <w:tr w:rsidR="00E507D4" w:rsidRPr="00F271B8" w14:paraId="51DE9132" w14:textId="77777777" w:rsidTr="00B95821">
        <w:tc>
          <w:tcPr>
            <w:tcW w:w="2012" w:type="pct"/>
            <w:shd w:val="clear" w:color="auto" w:fill="auto"/>
          </w:tcPr>
          <w:p w14:paraId="077C768E" w14:textId="77777777" w:rsidR="00E507D4" w:rsidRPr="00F271B8" w:rsidRDefault="00E507D4" w:rsidP="00B95821">
            <w:pPr>
              <w:pStyle w:val="BodyText"/>
              <w:spacing w:before="100" w:after="100"/>
            </w:pPr>
            <w:r w:rsidRPr="00F271B8">
              <w:rPr>
                <w:b/>
                <w:bCs/>
              </w:rPr>
              <w:t xml:space="preserve">Standard national SMS </w:t>
            </w:r>
            <w:r w:rsidRPr="00F271B8">
              <w:t>(per SMS of up to 160 standard characters)</w:t>
            </w:r>
          </w:p>
        </w:tc>
        <w:tc>
          <w:tcPr>
            <w:tcW w:w="2988" w:type="pct"/>
            <w:gridSpan w:val="3"/>
            <w:vAlign w:val="center"/>
          </w:tcPr>
          <w:p w14:paraId="4CDCE8DF" w14:textId="77777777" w:rsidR="00E507D4" w:rsidRPr="00F271B8" w:rsidRDefault="00E507D4" w:rsidP="00B95821">
            <w:pPr>
              <w:pStyle w:val="BodyText"/>
              <w:spacing w:before="100" w:after="100"/>
              <w:jc w:val="center"/>
            </w:pPr>
            <w:r w:rsidRPr="00F271B8">
              <w:t>Unlimited</w:t>
            </w:r>
          </w:p>
        </w:tc>
      </w:tr>
      <w:tr w:rsidR="00E507D4" w:rsidRPr="00F271B8" w14:paraId="5C88779E" w14:textId="77777777" w:rsidTr="00B95821">
        <w:tc>
          <w:tcPr>
            <w:tcW w:w="2012" w:type="pct"/>
            <w:shd w:val="clear" w:color="auto" w:fill="auto"/>
          </w:tcPr>
          <w:p w14:paraId="6275115D" w14:textId="77777777" w:rsidR="00E507D4" w:rsidRPr="00F271B8" w:rsidRDefault="00E507D4" w:rsidP="00B95821">
            <w:pPr>
              <w:pStyle w:val="BodyText"/>
              <w:spacing w:before="100" w:after="100"/>
              <w:rPr>
                <w:b/>
                <w:bCs/>
              </w:rPr>
            </w:pPr>
            <w:r w:rsidRPr="00F271B8">
              <w:rPr>
                <w:b/>
                <w:bCs/>
              </w:rPr>
              <w:t xml:space="preserve">Standard national MMS </w:t>
            </w:r>
            <w:r w:rsidRPr="00F271B8">
              <w:t>(per message)</w:t>
            </w:r>
          </w:p>
        </w:tc>
        <w:tc>
          <w:tcPr>
            <w:tcW w:w="2988" w:type="pct"/>
            <w:gridSpan w:val="3"/>
            <w:vAlign w:val="center"/>
          </w:tcPr>
          <w:p w14:paraId="402813B2" w14:textId="77777777" w:rsidR="00E507D4" w:rsidRPr="00F271B8" w:rsidRDefault="00E507D4" w:rsidP="00B95821">
            <w:pPr>
              <w:pStyle w:val="BodyText"/>
              <w:spacing w:before="100" w:after="100"/>
              <w:jc w:val="center"/>
            </w:pPr>
            <w:r w:rsidRPr="00F271B8">
              <w:t>Unlimited</w:t>
            </w:r>
          </w:p>
        </w:tc>
      </w:tr>
      <w:tr w:rsidR="00E507D4" w:rsidRPr="00F271B8" w14:paraId="44F5727E" w14:textId="77777777" w:rsidTr="00B95821">
        <w:tc>
          <w:tcPr>
            <w:tcW w:w="2012" w:type="pct"/>
            <w:shd w:val="clear" w:color="auto" w:fill="auto"/>
          </w:tcPr>
          <w:p w14:paraId="7A61CE13" w14:textId="77777777" w:rsidR="00E507D4" w:rsidRPr="00F271B8" w:rsidDel="00064B49" w:rsidRDefault="00E507D4" w:rsidP="00B95821">
            <w:pPr>
              <w:pStyle w:val="BodyText"/>
              <w:spacing w:before="100" w:after="100"/>
              <w:rPr>
                <w:b/>
                <w:bCs/>
              </w:rPr>
            </w:pPr>
            <w:r w:rsidRPr="00F271B8">
              <w:rPr>
                <w:b/>
                <w:bCs/>
              </w:rPr>
              <w:t xml:space="preserve">Standard international SMS </w:t>
            </w:r>
            <w:r w:rsidRPr="00F271B8">
              <w:t>(per SMS of up to 160 standard characters to selected countries)</w:t>
            </w:r>
          </w:p>
        </w:tc>
        <w:tc>
          <w:tcPr>
            <w:tcW w:w="2988" w:type="pct"/>
            <w:gridSpan w:val="3"/>
            <w:vAlign w:val="center"/>
          </w:tcPr>
          <w:p w14:paraId="152B9B67" w14:textId="77777777" w:rsidR="00E507D4" w:rsidRPr="00F271B8" w:rsidRDefault="00E507D4" w:rsidP="00B95821">
            <w:pPr>
              <w:pStyle w:val="BodyText"/>
              <w:spacing w:before="100" w:after="100"/>
              <w:jc w:val="center"/>
            </w:pPr>
            <w:r w:rsidRPr="00F271B8">
              <w:t>Unlimited</w:t>
            </w:r>
          </w:p>
        </w:tc>
      </w:tr>
      <w:tr w:rsidR="00E507D4" w:rsidRPr="00F271B8" w14:paraId="2614DEB2" w14:textId="77777777" w:rsidTr="00B95821">
        <w:tc>
          <w:tcPr>
            <w:tcW w:w="2012" w:type="pct"/>
            <w:shd w:val="clear" w:color="auto" w:fill="auto"/>
          </w:tcPr>
          <w:p w14:paraId="17362ED5" w14:textId="77777777" w:rsidR="00E507D4" w:rsidRPr="00F271B8" w:rsidRDefault="00E507D4" w:rsidP="00B95821">
            <w:pPr>
              <w:pStyle w:val="BodyText"/>
              <w:spacing w:before="100" w:after="100"/>
              <w:rPr>
                <w:b/>
                <w:bCs/>
              </w:rPr>
            </w:pPr>
            <w:r w:rsidRPr="00F271B8">
              <w:rPr>
                <w:b/>
                <w:bCs/>
              </w:rPr>
              <w:t xml:space="preserve">Standard international MMS </w:t>
            </w:r>
            <w:r w:rsidRPr="00F271B8">
              <w:t>(per message to selected countries)</w:t>
            </w:r>
          </w:p>
        </w:tc>
        <w:tc>
          <w:tcPr>
            <w:tcW w:w="2988" w:type="pct"/>
            <w:gridSpan w:val="3"/>
            <w:vAlign w:val="center"/>
          </w:tcPr>
          <w:p w14:paraId="14AF59CE" w14:textId="77777777" w:rsidR="00E507D4" w:rsidRPr="00F271B8" w:rsidRDefault="00E507D4" w:rsidP="00B95821">
            <w:pPr>
              <w:pStyle w:val="BodyText"/>
              <w:spacing w:before="100" w:after="100"/>
              <w:jc w:val="center"/>
            </w:pPr>
            <w:r w:rsidRPr="00F271B8">
              <w:t>Unlimited</w:t>
            </w:r>
          </w:p>
        </w:tc>
      </w:tr>
      <w:tr w:rsidR="00E507D4" w:rsidRPr="00F271B8" w14:paraId="7B04CBD3" w14:textId="77777777" w:rsidTr="00B95821">
        <w:tc>
          <w:tcPr>
            <w:tcW w:w="2012" w:type="pct"/>
            <w:shd w:val="clear" w:color="auto" w:fill="auto"/>
          </w:tcPr>
          <w:p w14:paraId="09B0289C" w14:textId="77777777" w:rsidR="00E507D4" w:rsidRPr="00F271B8" w:rsidRDefault="00E507D4" w:rsidP="00B95821">
            <w:pPr>
              <w:pStyle w:val="BodyText"/>
              <w:spacing w:before="100" w:after="100"/>
              <w:rPr>
                <w:b/>
                <w:bCs/>
              </w:rPr>
            </w:pPr>
            <w:r w:rsidRPr="00F271B8">
              <w:rPr>
                <w:b/>
                <w:bCs/>
              </w:rPr>
              <w:t xml:space="preserve">Minimum total cost over 12 months </w:t>
            </w:r>
          </w:p>
        </w:tc>
        <w:tc>
          <w:tcPr>
            <w:tcW w:w="969" w:type="pct"/>
            <w:vAlign w:val="center"/>
          </w:tcPr>
          <w:p w14:paraId="4612A943" w14:textId="77777777" w:rsidR="00E507D4" w:rsidRPr="00F271B8" w:rsidDel="00844E85" w:rsidRDefault="00E507D4" w:rsidP="00B95821">
            <w:pPr>
              <w:pStyle w:val="BodyText"/>
              <w:spacing w:before="100" w:after="100"/>
              <w:jc w:val="center"/>
            </w:pPr>
            <w:r w:rsidRPr="00F271B8">
              <w:t>$480</w:t>
            </w:r>
          </w:p>
        </w:tc>
        <w:tc>
          <w:tcPr>
            <w:tcW w:w="1050" w:type="pct"/>
            <w:vAlign w:val="center"/>
          </w:tcPr>
          <w:p w14:paraId="54F438D8" w14:textId="77777777" w:rsidR="00E507D4" w:rsidRPr="00F271B8" w:rsidRDefault="00E507D4" w:rsidP="00B95821">
            <w:pPr>
              <w:pStyle w:val="BodyText"/>
              <w:spacing w:before="100" w:after="100"/>
              <w:jc w:val="center"/>
            </w:pPr>
            <w:r>
              <w:t>$540</w:t>
            </w:r>
          </w:p>
        </w:tc>
        <w:tc>
          <w:tcPr>
            <w:tcW w:w="969" w:type="pct"/>
          </w:tcPr>
          <w:p w14:paraId="38359794" w14:textId="77777777" w:rsidR="00E507D4" w:rsidRDefault="00E507D4" w:rsidP="00B95821">
            <w:pPr>
              <w:pStyle w:val="BodyText"/>
              <w:spacing w:before="100" w:after="100"/>
              <w:jc w:val="center"/>
            </w:pPr>
            <w:r>
              <w:t>$660</w:t>
            </w:r>
          </w:p>
        </w:tc>
      </w:tr>
    </w:tbl>
    <w:p w14:paraId="020C4D4D" w14:textId="77777777" w:rsidR="00E507D4" w:rsidRPr="00F271B8" w:rsidRDefault="00E507D4" w:rsidP="00E507D4">
      <w:pPr>
        <w:pStyle w:val="BodyText"/>
        <w:spacing w:before="240"/>
        <w:ind w:left="709"/>
        <w:rPr>
          <w:b/>
        </w:rPr>
      </w:pPr>
      <w:r w:rsidRPr="00F271B8">
        <w:rPr>
          <w:b/>
        </w:rPr>
        <w:t>Table 2 – Other usage types and charges</w:t>
      </w:r>
    </w:p>
    <w:tbl>
      <w:tblPr>
        <w:tblW w:w="95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70"/>
        <w:gridCol w:w="4770"/>
      </w:tblGrid>
      <w:tr w:rsidR="00E507D4" w:rsidRPr="00F271B8" w14:paraId="2CEAD6DA" w14:textId="77777777" w:rsidTr="00B95821">
        <w:trPr>
          <w:tblHeader/>
        </w:trPr>
        <w:tc>
          <w:tcPr>
            <w:tcW w:w="4770" w:type="dxa"/>
            <w:shd w:val="clear" w:color="auto" w:fill="auto"/>
          </w:tcPr>
          <w:p w14:paraId="2CFE28F6" w14:textId="77777777" w:rsidR="00E507D4" w:rsidRPr="000151F4" w:rsidRDefault="00E507D4" w:rsidP="00B95821">
            <w:pPr>
              <w:pStyle w:val="BodyText"/>
              <w:spacing w:before="100" w:after="100"/>
              <w:jc w:val="center"/>
              <w:rPr>
                <w:b/>
              </w:rPr>
            </w:pPr>
            <w:r w:rsidRPr="000151F4">
              <w:rPr>
                <w:b/>
              </w:rPr>
              <w:t>Usage type</w:t>
            </w:r>
          </w:p>
        </w:tc>
        <w:tc>
          <w:tcPr>
            <w:tcW w:w="4770" w:type="dxa"/>
            <w:shd w:val="clear" w:color="auto" w:fill="auto"/>
            <w:vAlign w:val="center"/>
          </w:tcPr>
          <w:p w14:paraId="2D7642BB" w14:textId="77777777" w:rsidR="00E507D4" w:rsidRPr="000151F4" w:rsidRDefault="00E507D4" w:rsidP="00B95821">
            <w:pPr>
              <w:pStyle w:val="BodyText"/>
              <w:spacing w:before="100" w:after="100"/>
              <w:jc w:val="center"/>
              <w:rPr>
                <w:b/>
              </w:rPr>
            </w:pPr>
            <w:r w:rsidRPr="000151F4">
              <w:rPr>
                <w:b/>
              </w:rPr>
              <w:t>Charge</w:t>
            </w:r>
          </w:p>
        </w:tc>
      </w:tr>
      <w:tr w:rsidR="00E507D4" w:rsidRPr="00F271B8" w14:paraId="7677F48E" w14:textId="77777777" w:rsidTr="00B95821">
        <w:tc>
          <w:tcPr>
            <w:tcW w:w="4770" w:type="dxa"/>
            <w:shd w:val="clear" w:color="auto" w:fill="auto"/>
          </w:tcPr>
          <w:p w14:paraId="484137A5" w14:textId="77777777" w:rsidR="00E507D4" w:rsidRPr="00F271B8" w:rsidRDefault="00E507D4" w:rsidP="00B95821">
            <w:pPr>
              <w:pStyle w:val="BodyText"/>
              <w:spacing w:before="100" w:after="100"/>
              <w:rPr>
                <w:b/>
              </w:rPr>
            </w:pPr>
            <w:r w:rsidRPr="00F271B8">
              <w:rPr>
                <w:b/>
                <w:bCs/>
              </w:rPr>
              <w:t xml:space="preserve">National video calls </w:t>
            </w:r>
            <w:r w:rsidRPr="00F271B8">
              <w:rPr>
                <w:b/>
              </w:rPr>
              <w:t>(per minute)</w:t>
            </w:r>
          </w:p>
        </w:tc>
        <w:tc>
          <w:tcPr>
            <w:tcW w:w="4770" w:type="dxa"/>
            <w:shd w:val="clear" w:color="auto" w:fill="auto"/>
            <w:vAlign w:val="center"/>
          </w:tcPr>
          <w:p w14:paraId="0900959A" w14:textId="77777777" w:rsidR="00E507D4" w:rsidRPr="00F271B8" w:rsidRDefault="00E507D4" w:rsidP="00B95821">
            <w:pPr>
              <w:pStyle w:val="BodyText"/>
              <w:spacing w:before="100" w:after="100"/>
              <w:jc w:val="center"/>
            </w:pPr>
            <w:r w:rsidRPr="00F271B8">
              <w:t>$1.00 per min + 40c flagfall</w:t>
            </w:r>
          </w:p>
        </w:tc>
      </w:tr>
      <w:tr w:rsidR="00E507D4" w:rsidRPr="00F271B8" w14:paraId="0B67E6A3" w14:textId="77777777" w:rsidTr="00B95821">
        <w:tc>
          <w:tcPr>
            <w:tcW w:w="4770" w:type="dxa"/>
            <w:shd w:val="clear" w:color="auto" w:fill="auto"/>
          </w:tcPr>
          <w:p w14:paraId="72EDF3F4" w14:textId="77777777" w:rsidR="00E507D4" w:rsidRPr="00F271B8" w:rsidRDefault="00E507D4" w:rsidP="00B95821">
            <w:pPr>
              <w:pStyle w:val="BodyText"/>
              <w:spacing w:before="100" w:after="100"/>
              <w:rPr>
                <w:b/>
              </w:rPr>
            </w:pPr>
            <w:r w:rsidRPr="00F271B8">
              <w:rPr>
                <w:b/>
                <w:bCs/>
              </w:rPr>
              <w:lastRenderedPageBreak/>
              <w:t xml:space="preserve">VoiceMail Deposits </w:t>
            </w:r>
          </w:p>
        </w:tc>
        <w:tc>
          <w:tcPr>
            <w:tcW w:w="4770" w:type="dxa"/>
            <w:shd w:val="clear" w:color="auto" w:fill="auto"/>
          </w:tcPr>
          <w:p w14:paraId="2DB4C7F6" w14:textId="77777777" w:rsidR="00E507D4" w:rsidRPr="00F271B8" w:rsidRDefault="00E507D4" w:rsidP="00B95821">
            <w:pPr>
              <w:pStyle w:val="BodyText"/>
              <w:spacing w:before="100" w:after="100"/>
              <w:jc w:val="center"/>
            </w:pPr>
            <w:r w:rsidRPr="00F271B8">
              <w:t>$0 per minute</w:t>
            </w:r>
          </w:p>
        </w:tc>
      </w:tr>
      <w:tr w:rsidR="00E507D4" w:rsidRPr="00F271B8" w14:paraId="60EA6404" w14:textId="77777777" w:rsidTr="00B95821">
        <w:tc>
          <w:tcPr>
            <w:tcW w:w="4770" w:type="dxa"/>
            <w:shd w:val="clear" w:color="auto" w:fill="auto"/>
          </w:tcPr>
          <w:p w14:paraId="2C07AC85" w14:textId="77777777" w:rsidR="00E507D4" w:rsidRPr="00F271B8" w:rsidRDefault="00E507D4" w:rsidP="00B95821">
            <w:pPr>
              <w:pStyle w:val="BodyText"/>
              <w:spacing w:before="100" w:after="100"/>
              <w:rPr>
                <w:b/>
              </w:rPr>
            </w:pPr>
            <w:r w:rsidRPr="00F271B8">
              <w:rPr>
                <w:b/>
                <w:bCs/>
              </w:rPr>
              <w:t>Voicemail Diversions</w:t>
            </w:r>
          </w:p>
        </w:tc>
        <w:tc>
          <w:tcPr>
            <w:tcW w:w="4770" w:type="dxa"/>
            <w:shd w:val="clear" w:color="auto" w:fill="auto"/>
          </w:tcPr>
          <w:p w14:paraId="3D7231B9" w14:textId="77777777" w:rsidR="00E507D4" w:rsidRPr="00F271B8" w:rsidRDefault="00E507D4" w:rsidP="00B95821">
            <w:pPr>
              <w:pStyle w:val="BodyText"/>
              <w:spacing w:before="100" w:after="100"/>
              <w:jc w:val="center"/>
            </w:pPr>
            <w:r w:rsidRPr="00F271B8">
              <w:t>$0 per minute</w:t>
            </w:r>
          </w:p>
        </w:tc>
      </w:tr>
      <w:tr w:rsidR="00E507D4" w:rsidRPr="00F271B8" w14:paraId="3E7B1695" w14:textId="77777777" w:rsidTr="00B95821">
        <w:tc>
          <w:tcPr>
            <w:tcW w:w="4770" w:type="dxa"/>
            <w:shd w:val="clear" w:color="auto" w:fill="auto"/>
          </w:tcPr>
          <w:p w14:paraId="1B0BD72E" w14:textId="77777777" w:rsidR="00E507D4" w:rsidRPr="00F271B8" w:rsidRDefault="00E507D4" w:rsidP="00B95821">
            <w:pPr>
              <w:pStyle w:val="BodyText"/>
              <w:spacing w:before="100" w:after="100"/>
              <w:rPr>
                <w:b/>
                <w:bCs/>
              </w:rPr>
            </w:pPr>
            <w:r w:rsidRPr="00F271B8">
              <w:rPr>
                <w:b/>
                <w:bCs/>
              </w:rPr>
              <w:t>National Diversions</w:t>
            </w:r>
          </w:p>
        </w:tc>
        <w:tc>
          <w:tcPr>
            <w:tcW w:w="4770" w:type="dxa"/>
            <w:shd w:val="clear" w:color="auto" w:fill="auto"/>
          </w:tcPr>
          <w:p w14:paraId="304ABE81" w14:textId="77777777" w:rsidR="00E507D4" w:rsidRPr="00F271B8" w:rsidRDefault="00E507D4" w:rsidP="00B95821">
            <w:pPr>
              <w:pStyle w:val="BodyText"/>
              <w:spacing w:before="100" w:after="100"/>
              <w:jc w:val="center"/>
            </w:pPr>
            <w:r w:rsidRPr="00F271B8">
              <w:t>$0 per minute</w:t>
            </w:r>
          </w:p>
        </w:tc>
      </w:tr>
      <w:tr w:rsidR="00E507D4" w:rsidRPr="00F271B8" w14:paraId="0247F19C" w14:textId="77777777" w:rsidTr="00B95821">
        <w:tc>
          <w:tcPr>
            <w:tcW w:w="4770" w:type="dxa"/>
            <w:shd w:val="clear" w:color="auto" w:fill="auto"/>
          </w:tcPr>
          <w:p w14:paraId="131E230E" w14:textId="77777777" w:rsidR="00E507D4" w:rsidRPr="00F271B8" w:rsidRDefault="00E507D4" w:rsidP="00B95821">
            <w:pPr>
              <w:pStyle w:val="BodyText"/>
              <w:spacing w:before="100" w:after="100"/>
              <w:rPr>
                <w:b/>
                <w:bCs/>
              </w:rPr>
            </w:pPr>
            <w:r w:rsidRPr="00F271B8">
              <w:rPr>
                <w:b/>
                <w:bCs/>
              </w:rPr>
              <w:t xml:space="preserve">International Diversions </w:t>
            </w:r>
          </w:p>
        </w:tc>
        <w:tc>
          <w:tcPr>
            <w:tcW w:w="4770" w:type="dxa"/>
            <w:shd w:val="clear" w:color="auto" w:fill="auto"/>
          </w:tcPr>
          <w:p w14:paraId="06338A29" w14:textId="77777777" w:rsidR="00E507D4" w:rsidRPr="00F271B8" w:rsidRDefault="00E507D4" w:rsidP="00B95821">
            <w:pPr>
              <w:pStyle w:val="BodyText"/>
              <w:spacing w:before="100" w:after="100"/>
              <w:jc w:val="center"/>
            </w:pPr>
            <w:r>
              <w:t>'</w:t>
            </w:r>
            <w:r w:rsidRPr="00F271B8">
              <w:t>yes</w:t>
            </w:r>
            <w:r>
              <w:t>'</w:t>
            </w:r>
            <w:r w:rsidRPr="00F271B8">
              <w:t xml:space="preserve"> international rates</w:t>
            </w:r>
            <w:r w:rsidRPr="00F271B8">
              <w:br/>
              <w:t>See optus.com.au/international</w:t>
            </w:r>
          </w:p>
        </w:tc>
      </w:tr>
      <w:tr w:rsidR="00E507D4" w:rsidRPr="00F271B8" w14:paraId="6B9BC6BC" w14:textId="77777777" w:rsidTr="00B95821">
        <w:tc>
          <w:tcPr>
            <w:tcW w:w="4770" w:type="dxa"/>
            <w:shd w:val="clear" w:color="auto" w:fill="auto"/>
          </w:tcPr>
          <w:p w14:paraId="1D0C8F51" w14:textId="77777777" w:rsidR="00E507D4" w:rsidRPr="00F271B8" w:rsidRDefault="00E507D4" w:rsidP="00B95821">
            <w:pPr>
              <w:pStyle w:val="BodyText"/>
              <w:spacing w:before="100" w:after="100"/>
              <w:rPr>
                <w:b/>
                <w:bCs/>
              </w:rPr>
            </w:pPr>
            <w:r w:rsidRPr="00F271B8">
              <w:rPr>
                <w:b/>
                <w:bCs/>
              </w:rPr>
              <w:t xml:space="preserve">1800 numbers </w:t>
            </w:r>
          </w:p>
        </w:tc>
        <w:tc>
          <w:tcPr>
            <w:tcW w:w="4770" w:type="dxa"/>
            <w:shd w:val="clear" w:color="auto" w:fill="auto"/>
            <w:vAlign w:val="center"/>
          </w:tcPr>
          <w:p w14:paraId="05E2DF43" w14:textId="77777777" w:rsidR="00E507D4" w:rsidRPr="00F271B8" w:rsidRDefault="00E507D4" w:rsidP="00B95821">
            <w:pPr>
              <w:pStyle w:val="BodyText"/>
              <w:spacing w:before="100" w:after="100"/>
              <w:jc w:val="center"/>
            </w:pPr>
            <w:r w:rsidRPr="00F271B8">
              <w:t>$0 per minute</w:t>
            </w:r>
          </w:p>
        </w:tc>
      </w:tr>
      <w:tr w:rsidR="00E507D4" w:rsidRPr="00F271B8" w14:paraId="5BADE792" w14:textId="77777777" w:rsidTr="00B95821">
        <w:tc>
          <w:tcPr>
            <w:tcW w:w="4770" w:type="dxa"/>
            <w:shd w:val="clear" w:color="auto" w:fill="auto"/>
          </w:tcPr>
          <w:p w14:paraId="5223F961" w14:textId="77777777" w:rsidR="00E507D4" w:rsidRPr="00F271B8" w:rsidRDefault="00E507D4" w:rsidP="00B95821">
            <w:pPr>
              <w:pStyle w:val="BodyText"/>
              <w:spacing w:before="100" w:after="100"/>
              <w:rPr>
                <w:b/>
                <w:bCs/>
              </w:rPr>
            </w:pPr>
            <w:r w:rsidRPr="00F271B8">
              <w:rPr>
                <w:b/>
                <w:bCs/>
              </w:rPr>
              <w:t xml:space="preserve">Directory Assistance 1223 </w:t>
            </w:r>
          </w:p>
        </w:tc>
        <w:tc>
          <w:tcPr>
            <w:tcW w:w="4770" w:type="dxa"/>
            <w:shd w:val="clear" w:color="auto" w:fill="auto"/>
            <w:vAlign w:val="center"/>
          </w:tcPr>
          <w:p w14:paraId="4922EB69" w14:textId="77777777" w:rsidR="00E507D4" w:rsidRPr="00F271B8" w:rsidRDefault="00E507D4" w:rsidP="00B95821">
            <w:pPr>
              <w:pStyle w:val="BodyText"/>
              <w:spacing w:before="100" w:after="100"/>
              <w:jc w:val="center"/>
            </w:pPr>
            <w:r w:rsidRPr="00F271B8">
              <w:t>50c per call</w:t>
            </w:r>
          </w:p>
        </w:tc>
      </w:tr>
      <w:tr w:rsidR="00E507D4" w:rsidRPr="00F271B8" w14:paraId="754FD039" w14:textId="77777777" w:rsidTr="00B95821">
        <w:tc>
          <w:tcPr>
            <w:tcW w:w="4770" w:type="dxa"/>
            <w:shd w:val="clear" w:color="auto" w:fill="auto"/>
          </w:tcPr>
          <w:p w14:paraId="3999B05E" w14:textId="77777777" w:rsidR="00E507D4" w:rsidRPr="00F271B8" w:rsidRDefault="00E507D4" w:rsidP="00B95821">
            <w:pPr>
              <w:pStyle w:val="BodyText"/>
              <w:spacing w:before="100" w:after="100"/>
              <w:rPr>
                <w:b/>
                <w:bCs/>
              </w:rPr>
            </w:pPr>
            <w:r w:rsidRPr="00F271B8">
              <w:rPr>
                <w:b/>
                <w:bCs/>
              </w:rPr>
              <w:t>124 Yes</w:t>
            </w:r>
          </w:p>
        </w:tc>
        <w:tc>
          <w:tcPr>
            <w:tcW w:w="4770" w:type="dxa"/>
            <w:shd w:val="clear" w:color="auto" w:fill="auto"/>
            <w:vAlign w:val="center"/>
          </w:tcPr>
          <w:p w14:paraId="580FE84E" w14:textId="77777777" w:rsidR="00E507D4" w:rsidRPr="00F271B8" w:rsidRDefault="00E507D4" w:rsidP="00B95821">
            <w:pPr>
              <w:pStyle w:val="BodyText"/>
              <w:spacing w:before="100" w:after="100"/>
              <w:jc w:val="center"/>
            </w:pPr>
            <w:r w:rsidRPr="00F271B8">
              <w:t>90c per minute +$1.75c flagfall</w:t>
            </w:r>
          </w:p>
        </w:tc>
      </w:tr>
      <w:tr w:rsidR="00E507D4" w:rsidRPr="00F271B8" w14:paraId="6BD920D7" w14:textId="77777777" w:rsidTr="00B95821">
        <w:tc>
          <w:tcPr>
            <w:tcW w:w="4770" w:type="dxa"/>
            <w:shd w:val="clear" w:color="auto" w:fill="auto"/>
          </w:tcPr>
          <w:p w14:paraId="11F41D63" w14:textId="77777777" w:rsidR="00E507D4" w:rsidRPr="00F271B8" w:rsidRDefault="00E507D4" w:rsidP="00B95821">
            <w:pPr>
              <w:pStyle w:val="BodyText"/>
              <w:spacing w:before="100" w:after="100"/>
              <w:rPr>
                <w:b/>
                <w:bCs/>
              </w:rPr>
            </w:pPr>
            <w:r w:rsidRPr="00F271B8">
              <w:rPr>
                <w:b/>
                <w:bCs/>
              </w:rPr>
              <w:t>International voice calls (outside the plan</w:t>
            </w:r>
            <w:r>
              <w:rPr>
                <w:b/>
                <w:bCs/>
              </w:rPr>
              <w:t>'</w:t>
            </w:r>
            <w:r w:rsidRPr="00F271B8">
              <w:rPr>
                <w:b/>
                <w:bCs/>
              </w:rPr>
              <w:t xml:space="preserve">s included international minutes and to excluded countries) </w:t>
            </w:r>
          </w:p>
        </w:tc>
        <w:tc>
          <w:tcPr>
            <w:tcW w:w="4770" w:type="dxa"/>
            <w:shd w:val="clear" w:color="auto" w:fill="auto"/>
            <w:vAlign w:val="center"/>
          </w:tcPr>
          <w:p w14:paraId="5D180A0C" w14:textId="77777777" w:rsidR="00E507D4" w:rsidRPr="00F271B8" w:rsidRDefault="00E507D4" w:rsidP="00B95821">
            <w:pPr>
              <w:pStyle w:val="BodyText"/>
              <w:spacing w:before="100" w:after="100"/>
              <w:jc w:val="center"/>
            </w:pPr>
            <w:r>
              <w:t>'</w:t>
            </w:r>
            <w:r w:rsidRPr="00F271B8">
              <w:t>yes</w:t>
            </w:r>
            <w:r>
              <w:t>'</w:t>
            </w:r>
            <w:r w:rsidRPr="00F271B8">
              <w:t xml:space="preserve"> international rates</w:t>
            </w:r>
          </w:p>
          <w:p w14:paraId="7E465934" w14:textId="77777777" w:rsidR="00E507D4" w:rsidRPr="00F271B8" w:rsidRDefault="00E507D4" w:rsidP="00B95821">
            <w:pPr>
              <w:pStyle w:val="BodyText"/>
              <w:spacing w:before="100" w:after="100"/>
              <w:jc w:val="center"/>
            </w:pPr>
            <w:r w:rsidRPr="00F271B8">
              <w:t>See optus.com.au/international</w:t>
            </w:r>
          </w:p>
        </w:tc>
      </w:tr>
      <w:tr w:rsidR="00E507D4" w:rsidRPr="00F271B8" w14:paraId="358A07DC" w14:textId="77777777" w:rsidTr="00B95821">
        <w:tc>
          <w:tcPr>
            <w:tcW w:w="4770" w:type="dxa"/>
            <w:shd w:val="clear" w:color="auto" w:fill="auto"/>
          </w:tcPr>
          <w:p w14:paraId="03CDC92D" w14:textId="77777777" w:rsidR="00E507D4" w:rsidRPr="00F271B8" w:rsidRDefault="00E507D4" w:rsidP="00B95821">
            <w:pPr>
              <w:pStyle w:val="BodyText"/>
              <w:spacing w:before="100" w:after="100"/>
              <w:rPr>
                <w:b/>
                <w:bCs/>
              </w:rPr>
            </w:pPr>
            <w:r w:rsidRPr="00F271B8">
              <w:rPr>
                <w:b/>
                <w:bCs/>
              </w:rPr>
              <w:t xml:space="preserve">International SMS (to excluded countries) </w:t>
            </w:r>
          </w:p>
        </w:tc>
        <w:tc>
          <w:tcPr>
            <w:tcW w:w="4770" w:type="dxa"/>
            <w:shd w:val="clear" w:color="auto" w:fill="auto"/>
            <w:vAlign w:val="center"/>
          </w:tcPr>
          <w:p w14:paraId="08AB7A93" w14:textId="77777777" w:rsidR="00E507D4" w:rsidRPr="00F271B8" w:rsidRDefault="00E507D4" w:rsidP="00B95821">
            <w:pPr>
              <w:pStyle w:val="BodyText"/>
              <w:spacing w:before="100" w:after="100"/>
              <w:jc w:val="center"/>
            </w:pPr>
            <w:r w:rsidRPr="00F271B8">
              <w:t>50c per SMS up to 160 standard characters</w:t>
            </w:r>
          </w:p>
        </w:tc>
      </w:tr>
      <w:tr w:rsidR="00E507D4" w:rsidRPr="00F271B8" w14:paraId="0869466A" w14:textId="77777777" w:rsidTr="00B95821">
        <w:tc>
          <w:tcPr>
            <w:tcW w:w="4770" w:type="dxa"/>
            <w:shd w:val="clear" w:color="auto" w:fill="auto"/>
          </w:tcPr>
          <w:p w14:paraId="0B5C4E14" w14:textId="77777777" w:rsidR="00E507D4" w:rsidRPr="00F271B8" w:rsidRDefault="00E507D4" w:rsidP="00B95821">
            <w:pPr>
              <w:pStyle w:val="BodyText"/>
              <w:spacing w:before="100" w:after="100"/>
              <w:rPr>
                <w:b/>
                <w:bCs/>
              </w:rPr>
            </w:pPr>
            <w:r w:rsidRPr="00F271B8">
              <w:rPr>
                <w:b/>
                <w:bCs/>
              </w:rPr>
              <w:t>International MMS (to excluded countries)</w:t>
            </w:r>
          </w:p>
        </w:tc>
        <w:tc>
          <w:tcPr>
            <w:tcW w:w="4770" w:type="dxa"/>
            <w:shd w:val="clear" w:color="auto" w:fill="auto"/>
            <w:vAlign w:val="center"/>
          </w:tcPr>
          <w:p w14:paraId="6F2C0FDB" w14:textId="77777777" w:rsidR="00E507D4" w:rsidRPr="00F271B8" w:rsidRDefault="00E507D4" w:rsidP="00B95821">
            <w:pPr>
              <w:pStyle w:val="BodyText"/>
              <w:spacing w:before="100" w:after="100"/>
              <w:jc w:val="center"/>
            </w:pPr>
            <w:r w:rsidRPr="00F271B8">
              <w:t>75c per MMS</w:t>
            </w:r>
          </w:p>
        </w:tc>
      </w:tr>
      <w:tr w:rsidR="00E507D4" w:rsidRPr="00F271B8" w14:paraId="458239C3" w14:textId="77777777" w:rsidTr="00B95821">
        <w:tc>
          <w:tcPr>
            <w:tcW w:w="4770" w:type="dxa"/>
            <w:shd w:val="clear" w:color="auto" w:fill="auto"/>
          </w:tcPr>
          <w:p w14:paraId="49BEFBBE" w14:textId="77777777" w:rsidR="00E507D4" w:rsidRPr="00F271B8" w:rsidRDefault="00E507D4" w:rsidP="00B95821">
            <w:pPr>
              <w:pStyle w:val="BodyText"/>
              <w:spacing w:before="100" w:after="100"/>
              <w:rPr>
                <w:b/>
                <w:bCs/>
              </w:rPr>
            </w:pPr>
            <w:r w:rsidRPr="00F271B8">
              <w:rPr>
                <w:b/>
                <w:bCs/>
              </w:rPr>
              <w:t xml:space="preserve">International video calling </w:t>
            </w:r>
          </w:p>
        </w:tc>
        <w:tc>
          <w:tcPr>
            <w:tcW w:w="4770" w:type="dxa"/>
            <w:shd w:val="clear" w:color="auto" w:fill="auto"/>
            <w:vAlign w:val="center"/>
          </w:tcPr>
          <w:p w14:paraId="3ECC7A72" w14:textId="77777777" w:rsidR="00E507D4" w:rsidRPr="00F271B8" w:rsidRDefault="00E507D4" w:rsidP="00B95821">
            <w:pPr>
              <w:pStyle w:val="BodyText"/>
              <w:spacing w:before="100" w:after="100"/>
              <w:jc w:val="center"/>
            </w:pPr>
            <w:r w:rsidRPr="00F271B8">
              <w:t>$1.50 per minute +35c flagfall</w:t>
            </w:r>
          </w:p>
        </w:tc>
      </w:tr>
      <w:tr w:rsidR="00E507D4" w:rsidRPr="00F271B8" w14:paraId="7F76F597" w14:textId="77777777" w:rsidTr="00B95821">
        <w:tc>
          <w:tcPr>
            <w:tcW w:w="4770" w:type="dxa"/>
            <w:shd w:val="clear" w:color="auto" w:fill="auto"/>
          </w:tcPr>
          <w:p w14:paraId="2FEEB938" w14:textId="77777777" w:rsidR="00E507D4" w:rsidRPr="00F271B8" w:rsidRDefault="00E507D4" w:rsidP="00B95821">
            <w:pPr>
              <w:pStyle w:val="BodyText"/>
              <w:spacing w:before="100" w:after="100"/>
              <w:rPr>
                <w:b/>
                <w:bCs/>
              </w:rPr>
            </w:pPr>
            <w:r w:rsidRPr="00F271B8">
              <w:rPr>
                <w:b/>
                <w:bCs/>
              </w:rPr>
              <w:t xml:space="preserve">International roaming </w:t>
            </w:r>
          </w:p>
        </w:tc>
        <w:tc>
          <w:tcPr>
            <w:tcW w:w="4770" w:type="dxa"/>
            <w:shd w:val="clear" w:color="auto" w:fill="auto"/>
            <w:vAlign w:val="center"/>
          </w:tcPr>
          <w:p w14:paraId="744468D7" w14:textId="77777777" w:rsidR="00E507D4" w:rsidRPr="00F271B8" w:rsidRDefault="00E507D4" w:rsidP="00B95821">
            <w:pPr>
              <w:pStyle w:val="BodyText"/>
              <w:spacing w:before="100" w:after="100"/>
              <w:jc w:val="center"/>
            </w:pPr>
            <w:r w:rsidRPr="00F271B8">
              <w:t>See optus.com.au/roaming</w:t>
            </w:r>
          </w:p>
        </w:tc>
      </w:tr>
    </w:tbl>
    <w:p w14:paraId="11B89ADE" w14:textId="77777777" w:rsidR="00E507D4" w:rsidRPr="00F271B8" w:rsidRDefault="00E507D4" w:rsidP="00E507D4">
      <w:pPr>
        <w:pStyle w:val="BodyText"/>
        <w:keepNext/>
        <w:spacing w:before="240"/>
        <w:ind w:left="709"/>
        <w:rPr>
          <w:b/>
        </w:rPr>
      </w:pPr>
      <w:r w:rsidRPr="00F271B8">
        <w:rPr>
          <w:b/>
        </w:rPr>
        <w:t>Table 3 – International Countries</w:t>
      </w:r>
    </w:p>
    <w:tbl>
      <w:tblPr>
        <w:tblW w:w="95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5"/>
        <w:gridCol w:w="2385"/>
        <w:gridCol w:w="2385"/>
        <w:gridCol w:w="2385"/>
      </w:tblGrid>
      <w:tr w:rsidR="00E507D4" w:rsidRPr="00F271B8" w14:paraId="0E539507" w14:textId="77777777" w:rsidTr="00B95821">
        <w:tc>
          <w:tcPr>
            <w:tcW w:w="2385" w:type="dxa"/>
            <w:shd w:val="clear" w:color="auto" w:fill="auto"/>
          </w:tcPr>
          <w:p w14:paraId="7219F79C" w14:textId="77777777" w:rsidR="00E507D4" w:rsidRPr="00F271B8" w:rsidRDefault="00E507D4" w:rsidP="00B95821">
            <w:pPr>
              <w:pStyle w:val="BodyText"/>
              <w:keepNext/>
              <w:spacing w:before="100" w:after="100"/>
              <w:rPr>
                <w:b/>
              </w:rPr>
            </w:pPr>
            <w:r w:rsidRPr="00F271B8">
              <w:t>Austria</w:t>
            </w:r>
          </w:p>
        </w:tc>
        <w:tc>
          <w:tcPr>
            <w:tcW w:w="2385" w:type="dxa"/>
            <w:shd w:val="clear" w:color="auto" w:fill="auto"/>
          </w:tcPr>
          <w:p w14:paraId="693D0804" w14:textId="77777777" w:rsidR="00E507D4" w:rsidRPr="00F271B8" w:rsidRDefault="00E507D4" w:rsidP="00B95821">
            <w:pPr>
              <w:pStyle w:val="BodyText"/>
              <w:keepNext/>
              <w:spacing w:before="100" w:after="100"/>
              <w:rPr>
                <w:b/>
              </w:rPr>
            </w:pPr>
            <w:r w:rsidRPr="00F271B8">
              <w:t>Bangladesh</w:t>
            </w:r>
          </w:p>
        </w:tc>
        <w:tc>
          <w:tcPr>
            <w:tcW w:w="2385" w:type="dxa"/>
            <w:shd w:val="clear" w:color="auto" w:fill="auto"/>
          </w:tcPr>
          <w:p w14:paraId="65697477" w14:textId="77777777" w:rsidR="00E507D4" w:rsidRPr="00F271B8" w:rsidRDefault="00E507D4" w:rsidP="00B95821">
            <w:pPr>
              <w:pStyle w:val="BodyText"/>
              <w:keepNext/>
              <w:spacing w:before="100" w:after="100"/>
              <w:rPr>
                <w:b/>
              </w:rPr>
            </w:pPr>
            <w:r w:rsidRPr="00F271B8">
              <w:t>Cambodia</w:t>
            </w:r>
          </w:p>
        </w:tc>
        <w:tc>
          <w:tcPr>
            <w:tcW w:w="2385" w:type="dxa"/>
            <w:shd w:val="clear" w:color="auto" w:fill="auto"/>
          </w:tcPr>
          <w:p w14:paraId="19A5F278" w14:textId="77777777" w:rsidR="00E507D4" w:rsidRPr="00F271B8" w:rsidRDefault="00E507D4" w:rsidP="00B95821">
            <w:pPr>
              <w:pStyle w:val="BodyText"/>
              <w:keepNext/>
              <w:spacing w:before="100" w:after="100"/>
              <w:rPr>
                <w:b/>
              </w:rPr>
            </w:pPr>
            <w:r w:rsidRPr="00F271B8">
              <w:t>Canada</w:t>
            </w:r>
          </w:p>
        </w:tc>
      </w:tr>
      <w:tr w:rsidR="00E507D4" w:rsidRPr="00F271B8" w14:paraId="5BD3C5B8" w14:textId="77777777" w:rsidTr="00B95821">
        <w:tc>
          <w:tcPr>
            <w:tcW w:w="2385" w:type="dxa"/>
            <w:shd w:val="clear" w:color="auto" w:fill="auto"/>
          </w:tcPr>
          <w:p w14:paraId="3788E032" w14:textId="77777777" w:rsidR="00E507D4" w:rsidRPr="00F271B8" w:rsidRDefault="00E507D4" w:rsidP="00B95821">
            <w:pPr>
              <w:pStyle w:val="BodyText"/>
              <w:spacing w:before="100" w:after="100"/>
              <w:rPr>
                <w:b/>
              </w:rPr>
            </w:pPr>
            <w:r w:rsidRPr="00F271B8">
              <w:t xml:space="preserve">Chile </w:t>
            </w:r>
          </w:p>
        </w:tc>
        <w:tc>
          <w:tcPr>
            <w:tcW w:w="2385" w:type="dxa"/>
            <w:shd w:val="clear" w:color="auto" w:fill="auto"/>
          </w:tcPr>
          <w:p w14:paraId="190DAFEA" w14:textId="77777777" w:rsidR="00E507D4" w:rsidRPr="00F271B8" w:rsidRDefault="00E507D4" w:rsidP="00B95821">
            <w:pPr>
              <w:pStyle w:val="BodyText"/>
              <w:spacing w:before="100" w:after="100"/>
              <w:rPr>
                <w:b/>
              </w:rPr>
            </w:pPr>
            <w:r w:rsidRPr="00F271B8">
              <w:t xml:space="preserve">China </w:t>
            </w:r>
          </w:p>
        </w:tc>
        <w:tc>
          <w:tcPr>
            <w:tcW w:w="2385" w:type="dxa"/>
            <w:shd w:val="clear" w:color="auto" w:fill="auto"/>
          </w:tcPr>
          <w:p w14:paraId="3D225E01" w14:textId="77777777" w:rsidR="00E507D4" w:rsidRPr="00F271B8" w:rsidRDefault="00E507D4" w:rsidP="00B95821">
            <w:pPr>
              <w:pStyle w:val="BodyText"/>
              <w:spacing w:before="100" w:after="100"/>
              <w:rPr>
                <w:b/>
              </w:rPr>
            </w:pPr>
            <w:r w:rsidRPr="00F271B8">
              <w:t xml:space="preserve">Croatia </w:t>
            </w:r>
          </w:p>
        </w:tc>
        <w:tc>
          <w:tcPr>
            <w:tcW w:w="2385" w:type="dxa"/>
            <w:shd w:val="clear" w:color="auto" w:fill="auto"/>
          </w:tcPr>
          <w:p w14:paraId="6A7D1677" w14:textId="77777777" w:rsidR="00E507D4" w:rsidRPr="00F271B8" w:rsidRDefault="00E507D4" w:rsidP="00B95821">
            <w:pPr>
              <w:pStyle w:val="BodyText"/>
              <w:spacing w:before="100" w:after="100"/>
              <w:rPr>
                <w:b/>
              </w:rPr>
            </w:pPr>
            <w:r w:rsidRPr="00F271B8">
              <w:t>France</w:t>
            </w:r>
          </w:p>
        </w:tc>
      </w:tr>
      <w:tr w:rsidR="00E507D4" w:rsidRPr="00F271B8" w14:paraId="131462E4" w14:textId="77777777" w:rsidTr="00B95821">
        <w:tc>
          <w:tcPr>
            <w:tcW w:w="2385" w:type="dxa"/>
            <w:shd w:val="clear" w:color="auto" w:fill="auto"/>
          </w:tcPr>
          <w:p w14:paraId="665512A9" w14:textId="77777777" w:rsidR="00E507D4" w:rsidRPr="00F271B8" w:rsidRDefault="00E507D4" w:rsidP="00B95821">
            <w:pPr>
              <w:pStyle w:val="BodyText"/>
              <w:spacing w:before="100" w:after="100"/>
              <w:rPr>
                <w:b/>
              </w:rPr>
            </w:pPr>
            <w:r w:rsidRPr="00F271B8">
              <w:t>Germany</w:t>
            </w:r>
          </w:p>
        </w:tc>
        <w:tc>
          <w:tcPr>
            <w:tcW w:w="2385" w:type="dxa"/>
            <w:shd w:val="clear" w:color="auto" w:fill="auto"/>
          </w:tcPr>
          <w:p w14:paraId="68B9D008" w14:textId="77777777" w:rsidR="00E507D4" w:rsidRPr="00F271B8" w:rsidRDefault="00E507D4" w:rsidP="00B95821">
            <w:pPr>
              <w:pStyle w:val="BodyText"/>
              <w:spacing w:before="100" w:after="100"/>
              <w:rPr>
                <w:b/>
              </w:rPr>
            </w:pPr>
            <w:r w:rsidRPr="00F271B8">
              <w:t>Greece</w:t>
            </w:r>
          </w:p>
        </w:tc>
        <w:tc>
          <w:tcPr>
            <w:tcW w:w="2385" w:type="dxa"/>
            <w:shd w:val="clear" w:color="auto" w:fill="auto"/>
          </w:tcPr>
          <w:p w14:paraId="3B6EBFAA" w14:textId="77777777" w:rsidR="00E507D4" w:rsidRPr="00F271B8" w:rsidRDefault="00E507D4" w:rsidP="00B95821">
            <w:pPr>
              <w:pStyle w:val="BodyText"/>
              <w:spacing w:before="100" w:after="100"/>
              <w:rPr>
                <w:b/>
              </w:rPr>
            </w:pPr>
            <w:r w:rsidRPr="00F271B8">
              <w:t>Hong Kong,</w:t>
            </w:r>
          </w:p>
        </w:tc>
        <w:tc>
          <w:tcPr>
            <w:tcW w:w="2385" w:type="dxa"/>
            <w:shd w:val="clear" w:color="auto" w:fill="auto"/>
          </w:tcPr>
          <w:p w14:paraId="22BBA0CB" w14:textId="77777777" w:rsidR="00E507D4" w:rsidRPr="00F271B8" w:rsidRDefault="00E507D4" w:rsidP="00B95821">
            <w:pPr>
              <w:pStyle w:val="BodyText"/>
              <w:spacing w:before="100" w:after="100"/>
              <w:rPr>
                <w:b/>
              </w:rPr>
            </w:pPr>
            <w:r w:rsidRPr="00F271B8">
              <w:t>Hungary</w:t>
            </w:r>
          </w:p>
        </w:tc>
      </w:tr>
      <w:tr w:rsidR="00E507D4" w:rsidRPr="00F271B8" w14:paraId="756AC050" w14:textId="77777777" w:rsidTr="00B95821">
        <w:tc>
          <w:tcPr>
            <w:tcW w:w="2385" w:type="dxa"/>
            <w:shd w:val="clear" w:color="auto" w:fill="auto"/>
          </w:tcPr>
          <w:p w14:paraId="102281D3" w14:textId="77777777" w:rsidR="00E507D4" w:rsidRPr="00F271B8" w:rsidRDefault="00E507D4" w:rsidP="00B95821">
            <w:pPr>
              <w:pStyle w:val="BodyText"/>
              <w:spacing w:before="100" w:after="100"/>
              <w:rPr>
                <w:b/>
              </w:rPr>
            </w:pPr>
            <w:r w:rsidRPr="00F271B8">
              <w:t>Indonesia</w:t>
            </w:r>
          </w:p>
        </w:tc>
        <w:tc>
          <w:tcPr>
            <w:tcW w:w="2385" w:type="dxa"/>
            <w:shd w:val="clear" w:color="auto" w:fill="auto"/>
          </w:tcPr>
          <w:p w14:paraId="16DB2996" w14:textId="77777777" w:rsidR="00E507D4" w:rsidRPr="00F271B8" w:rsidRDefault="00E507D4" w:rsidP="00B95821">
            <w:pPr>
              <w:pStyle w:val="BodyText"/>
              <w:spacing w:before="100" w:after="100"/>
              <w:rPr>
                <w:b/>
              </w:rPr>
            </w:pPr>
            <w:r w:rsidRPr="00F271B8">
              <w:t>India</w:t>
            </w:r>
          </w:p>
        </w:tc>
        <w:tc>
          <w:tcPr>
            <w:tcW w:w="2385" w:type="dxa"/>
            <w:shd w:val="clear" w:color="auto" w:fill="auto"/>
          </w:tcPr>
          <w:p w14:paraId="70D7203A" w14:textId="77777777" w:rsidR="00E507D4" w:rsidRPr="00F271B8" w:rsidRDefault="00E507D4" w:rsidP="00B95821">
            <w:pPr>
              <w:pStyle w:val="BodyText"/>
              <w:spacing w:before="100" w:after="100"/>
              <w:rPr>
                <w:b/>
              </w:rPr>
            </w:pPr>
            <w:r w:rsidRPr="00F271B8">
              <w:t>Ireland</w:t>
            </w:r>
          </w:p>
        </w:tc>
        <w:tc>
          <w:tcPr>
            <w:tcW w:w="2385" w:type="dxa"/>
            <w:shd w:val="clear" w:color="auto" w:fill="auto"/>
          </w:tcPr>
          <w:p w14:paraId="07FC4EE1" w14:textId="77777777" w:rsidR="00E507D4" w:rsidRPr="00F271B8" w:rsidRDefault="00E507D4" w:rsidP="00B95821">
            <w:pPr>
              <w:pStyle w:val="BodyText"/>
              <w:spacing w:before="100" w:after="100"/>
              <w:rPr>
                <w:b/>
              </w:rPr>
            </w:pPr>
            <w:r w:rsidRPr="00F271B8">
              <w:t>Italy</w:t>
            </w:r>
          </w:p>
        </w:tc>
      </w:tr>
      <w:tr w:rsidR="00E507D4" w:rsidRPr="00F271B8" w14:paraId="6344B673" w14:textId="77777777" w:rsidTr="00B95821">
        <w:tc>
          <w:tcPr>
            <w:tcW w:w="2385" w:type="dxa"/>
            <w:shd w:val="clear" w:color="auto" w:fill="auto"/>
          </w:tcPr>
          <w:p w14:paraId="1B60AE35" w14:textId="77777777" w:rsidR="00E507D4" w:rsidRPr="00F271B8" w:rsidRDefault="00E507D4" w:rsidP="00B95821">
            <w:pPr>
              <w:pStyle w:val="BodyText"/>
              <w:spacing w:before="100" w:after="100"/>
              <w:rPr>
                <w:b/>
              </w:rPr>
            </w:pPr>
            <w:r w:rsidRPr="00F271B8">
              <w:t xml:space="preserve">Japan </w:t>
            </w:r>
          </w:p>
        </w:tc>
        <w:tc>
          <w:tcPr>
            <w:tcW w:w="2385" w:type="dxa"/>
            <w:shd w:val="clear" w:color="auto" w:fill="auto"/>
          </w:tcPr>
          <w:p w14:paraId="6707E584" w14:textId="77777777" w:rsidR="00E507D4" w:rsidRPr="00F271B8" w:rsidRDefault="00E507D4" w:rsidP="00B95821">
            <w:pPr>
              <w:pStyle w:val="BodyText"/>
              <w:spacing w:before="100" w:after="100"/>
              <w:rPr>
                <w:b/>
              </w:rPr>
            </w:pPr>
            <w:r w:rsidRPr="00F271B8">
              <w:t>Malaysia,</w:t>
            </w:r>
          </w:p>
        </w:tc>
        <w:tc>
          <w:tcPr>
            <w:tcW w:w="2385" w:type="dxa"/>
            <w:shd w:val="clear" w:color="auto" w:fill="auto"/>
          </w:tcPr>
          <w:p w14:paraId="34FCF6FC" w14:textId="77777777" w:rsidR="00E507D4" w:rsidRPr="00F271B8" w:rsidRDefault="00E507D4" w:rsidP="00B95821">
            <w:pPr>
              <w:pStyle w:val="BodyText"/>
              <w:spacing w:before="100" w:after="100"/>
              <w:rPr>
                <w:b/>
              </w:rPr>
            </w:pPr>
            <w:r w:rsidRPr="00F271B8">
              <w:t>Netherlands</w:t>
            </w:r>
          </w:p>
        </w:tc>
        <w:tc>
          <w:tcPr>
            <w:tcW w:w="2385" w:type="dxa"/>
            <w:shd w:val="clear" w:color="auto" w:fill="auto"/>
          </w:tcPr>
          <w:p w14:paraId="679BE8F4" w14:textId="77777777" w:rsidR="00E507D4" w:rsidRPr="00F271B8" w:rsidRDefault="00E507D4" w:rsidP="00B95821">
            <w:pPr>
              <w:pStyle w:val="BodyText"/>
              <w:spacing w:before="100" w:after="100"/>
              <w:rPr>
                <w:b/>
              </w:rPr>
            </w:pPr>
            <w:r w:rsidRPr="00F271B8">
              <w:t>New Zealand</w:t>
            </w:r>
          </w:p>
        </w:tc>
      </w:tr>
      <w:tr w:rsidR="00E507D4" w:rsidRPr="00F271B8" w14:paraId="3ECD5EEB" w14:textId="77777777" w:rsidTr="00B95821">
        <w:tc>
          <w:tcPr>
            <w:tcW w:w="2385" w:type="dxa"/>
            <w:shd w:val="clear" w:color="auto" w:fill="auto"/>
          </w:tcPr>
          <w:p w14:paraId="5E184380" w14:textId="77777777" w:rsidR="00E507D4" w:rsidRPr="00F271B8" w:rsidRDefault="00E507D4" w:rsidP="00B95821">
            <w:pPr>
              <w:pStyle w:val="BodyText"/>
              <w:spacing w:before="100" w:after="100"/>
              <w:rPr>
                <w:b/>
              </w:rPr>
            </w:pPr>
            <w:r w:rsidRPr="00F271B8">
              <w:t xml:space="preserve">Pakistan </w:t>
            </w:r>
          </w:p>
        </w:tc>
        <w:tc>
          <w:tcPr>
            <w:tcW w:w="2385" w:type="dxa"/>
            <w:shd w:val="clear" w:color="auto" w:fill="auto"/>
          </w:tcPr>
          <w:p w14:paraId="63E26AA7" w14:textId="77777777" w:rsidR="00E507D4" w:rsidRPr="00F271B8" w:rsidRDefault="00E507D4" w:rsidP="00B95821">
            <w:pPr>
              <w:pStyle w:val="BodyText"/>
              <w:spacing w:before="100" w:after="100"/>
              <w:rPr>
                <w:b/>
              </w:rPr>
            </w:pPr>
            <w:r w:rsidRPr="00F271B8">
              <w:t>Philippines</w:t>
            </w:r>
          </w:p>
        </w:tc>
        <w:tc>
          <w:tcPr>
            <w:tcW w:w="2385" w:type="dxa"/>
            <w:shd w:val="clear" w:color="auto" w:fill="auto"/>
          </w:tcPr>
          <w:p w14:paraId="00226AC1" w14:textId="77777777" w:rsidR="00E507D4" w:rsidRPr="00F271B8" w:rsidRDefault="00E507D4" w:rsidP="00B95821">
            <w:pPr>
              <w:pStyle w:val="BodyText"/>
              <w:spacing w:before="100" w:after="100"/>
              <w:rPr>
                <w:b/>
              </w:rPr>
            </w:pPr>
            <w:r w:rsidRPr="00F271B8">
              <w:t xml:space="preserve">Poland </w:t>
            </w:r>
          </w:p>
        </w:tc>
        <w:tc>
          <w:tcPr>
            <w:tcW w:w="2385" w:type="dxa"/>
            <w:shd w:val="clear" w:color="auto" w:fill="auto"/>
          </w:tcPr>
          <w:p w14:paraId="436618AC" w14:textId="77777777" w:rsidR="00E507D4" w:rsidRPr="00F271B8" w:rsidRDefault="00E507D4" w:rsidP="00B95821">
            <w:pPr>
              <w:pStyle w:val="BodyText"/>
              <w:spacing w:before="100" w:after="100"/>
              <w:rPr>
                <w:b/>
              </w:rPr>
            </w:pPr>
            <w:r w:rsidRPr="00F271B8">
              <w:t>Singapore</w:t>
            </w:r>
          </w:p>
        </w:tc>
      </w:tr>
      <w:tr w:rsidR="00E507D4" w:rsidRPr="00F271B8" w14:paraId="45863475" w14:textId="77777777" w:rsidTr="00B95821">
        <w:tc>
          <w:tcPr>
            <w:tcW w:w="2385" w:type="dxa"/>
            <w:shd w:val="clear" w:color="auto" w:fill="auto"/>
          </w:tcPr>
          <w:p w14:paraId="67BF3CD4" w14:textId="77777777" w:rsidR="00E507D4" w:rsidRPr="00F271B8" w:rsidRDefault="00E507D4" w:rsidP="00B95821">
            <w:pPr>
              <w:pStyle w:val="BodyText"/>
              <w:spacing w:before="100" w:after="100"/>
              <w:rPr>
                <w:b/>
              </w:rPr>
            </w:pPr>
            <w:r w:rsidRPr="00F271B8">
              <w:t xml:space="preserve">South Africa </w:t>
            </w:r>
          </w:p>
        </w:tc>
        <w:tc>
          <w:tcPr>
            <w:tcW w:w="2385" w:type="dxa"/>
            <w:shd w:val="clear" w:color="auto" w:fill="auto"/>
          </w:tcPr>
          <w:p w14:paraId="2E8D7A97" w14:textId="77777777" w:rsidR="00E507D4" w:rsidRPr="00F271B8" w:rsidRDefault="00E507D4" w:rsidP="00B95821">
            <w:pPr>
              <w:pStyle w:val="BodyText"/>
              <w:spacing w:before="100" w:after="100"/>
              <w:rPr>
                <w:b/>
              </w:rPr>
            </w:pPr>
            <w:r w:rsidRPr="00F271B8">
              <w:t>South Korea</w:t>
            </w:r>
          </w:p>
        </w:tc>
        <w:tc>
          <w:tcPr>
            <w:tcW w:w="2385" w:type="dxa"/>
            <w:shd w:val="clear" w:color="auto" w:fill="auto"/>
          </w:tcPr>
          <w:p w14:paraId="04A4CA13" w14:textId="77777777" w:rsidR="00E507D4" w:rsidRPr="00F271B8" w:rsidRDefault="00E507D4" w:rsidP="00B95821">
            <w:pPr>
              <w:pStyle w:val="BodyText"/>
              <w:spacing w:before="100" w:after="100"/>
              <w:rPr>
                <w:b/>
              </w:rPr>
            </w:pPr>
            <w:r w:rsidRPr="00F271B8">
              <w:t xml:space="preserve">Taiwan </w:t>
            </w:r>
          </w:p>
        </w:tc>
        <w:tc>
          <w:tcPr>
            <w:tcW w:w="2385" w:type="dxa"/>
            <w:shd w:val="clear" w:color="auto" w:fill="auto"/>
          </w:tcPr>
          <w:p w14:paraId="40E8FEDD" w14:textId="77777777" w:rsidR="00E507D4" w:rsidRPr="00F271B8" w:rsidRDefault="00E507D4" w:rsidP="00B95821">
            <w:pPr>
              <w:pStyle w:val="BodyText"/>
              <w:spacing w:before="100" w:after="100"/>
              <w:rPr>
                <w:b/>
              </w:rPr>
            </w:pPr>
            <w:r w:rsidRPr="00F271B8">
              <w:t>Thailand</w:t>
            </w:r>
          </w:p>
        </w:tc>
      </w:tr>
      <w:tr w:rsidR="00E507D4" w:rsidRPr="00F271B8" w14:paraId="2E7E2192" w14:textId="77777777" w:rsidTr="00B95821">
        <w:tc>
          <w:tcPr>
            <w:tcW w:w="2385" w:type="dxa"/>
            <w:shd w:val="clear" w:color="auto" w:fill="auto"/>
          </w:tcPr>
          <w:p w14:paraId="489753FB" w14:textId="77777777" w:rsidR="00E507D4" w:rsidRPr="00F271B8" w:rsidRDefault="00E507D4" w:rsidP="00B95821">
            <w:pPr>
              <w:pStyle w:val="BodyText"/>
              <w:spacing w:before="100" w:after="100"/>
              <w:rPr>
                <w:b/>
              </w:rPr>
            </w:pPr>
            <w:r w:rsidRPr="00F271B8">
              <w:t>Turkey</w:t>
            </w:r>
          </w:p>
        </w:tc>
        <w:tc>
          <w:tcPr>
            <w:tcW w:w="2385" w:type="dxa"/>
            <w:shd w:val="clear" w:color="auto" w:fill="auto"/>
          </w:tcPr>
          <w:p w14:paraId="707D981A" w14:textId="77777777" w:rsidR="00E507D4" w:rsidRPr="00F271B8" w:rsidRDefault="00E507D4" w:rsidP="00B95821">
            <w:pPr>
              <w:pStyle w:val="BodyText"/>
              <w:spacing w:before="100" w:after="100"/>
              <w:rPr>
                <w:b/>
              </w:rPr>
            </w:pPr>
            <w:r w:rsidRPr="00F271B8">
              <w:t>United Kingdom</w:t>
            </w:r>
          </w:p>
        </w:tc>
        <w:tc>
          <w:tcPr>
            <w:tcW w:w="2385" w:type="dxa"/>
            <w:shd w:val="clear" w:color="auto" w:fill="auto"/>
          </w:tcPr>
          <w:p w14:paraId="1D410812" w14:textId="77777777" w:rsidR="00E507D4" w:rsidRPr="00F271B8" w:rsidRDefault="00E507D4" w:rsidP="00B95821">
            <w:pPr>
              <w:pStyle w:val="BodyText"/>
              <w:spacing w:before="100" w:after="100"/>
              <w:rPr>
                <w:b/>
              </w:rPr>
            </w:pPr>
            <w:r w:rsidRPr="00F271B8">
              <w:t xml:space="preserve">USA </w:t>
            </w:r>
          </w:p>
        </w:tc>
        <w:tc>
          <w:tcPr>
            <w:tcW w:w="2385" w:type="dxa"/>
            <w:shd w:val="clear" w:color="auto" w:fill="auto"/>
          </w:tcPr>
          <w:p w14:paraId="62DF604C" w14:textId="77777777" w:rsidR="00E507D4" w:rsidRPr="00F271B8" w:rsidRDefault="00E507D4" w:rsidP="00B95821">
            <w:pPr>
              <w:pStyle w:val="BodyText"/>
              <w:spacing w:before="100" w:after="100"/>
              <w:rPr>
                <w:b/>
              </w:rPr>
            </w:pPr>
            <w:r w:rsidRPr="00F271B8">
              <w:t>Vietnam</w:t>
            </w:r>
          </w:p>
        </w:tc>
      </w:tr>
    </w:tbl>
    <w:p w14:paraId="37DAAF56" w14:textId="77777777" w:rsidR="00E507D4" w:rsidRPr="00F271B8" w:rsidRDefault="00E507D4" w:rsidP="00E507D4">
      <w:pPr>
        <w:pStyle w:val="Heading6"/>
        <w:spacing w:before="240"/>
        <w:ind w:left="0" w:firstLine="0"/>
        <w:rPr>
          <w:lang w:val="en-AU"/>
        </w:rPr>
      </w:pPr>
      <w:bookmarkStart w:id="2222" w:name="_Toc508362021"/>
      <w:r w:rsidRPr="00F271B8">
        <w:rPr>
          <w:lang w:val="en-AU"/>
        </w:rPr>
        <w:t>My Account</w:t>
      </w:r>
      <w:bookmarkEnd w:id="2222"/>
    </w:p>
    <w:p w14:paraId="5B855327" w14:textId="77777777" w:rsidR="00E507D4" w:rsidRPr="00F271B8" w:rsidRDefault="00E507D4" w:rsidP="00E507D4">
      <w:pPr>
        <w:pStyle w:val="BodyText"/>
        <w:ind w:left="720"/>
        <w:rPr>
          <w:lang w:val="en-AU"/>
        </w:rPr>
      </w:pPr>
      <w:r w:rsidRPr="00F271B8">
        <w:rPr>
          <w:lang w:val="en-AU"/>
        </w:rPr>
        <w:t xml:space="preserve">Services that share data may have a service login to My Account which will display all of the service numbers contributing to or using the shared data pool on </w:t>
      </w:r>
      <w:r w:rsidRPr="00F271B8">
        <w:rPr>
          <w:i/>
          <w:lang w:val="en-AU"/>
        </w:rPr>
        <w:t xml:space="preserve">your </w:t>
      </w:r>
      <w:r w:rsidRPr="00F271B8">
        <w:rPr>
          <w:lang w:val="en-AU"/>
        </w:rPr>
        <w:t>account and the amount of data each service has used</w:t>
      </w:r>
      <w:r>
        <w:rPr>
          <w:lang w:val="en-AU"/>
        </w:rPr>
        <w:t xml:space="preserve">. </w:t>
      </w:r>
      <w:r w:rsidRPr="00F271B8">
        <w:rPr>
          <w:lang w:val="en-AU"/>
        </w:rPr>
        <w:t xml:space="preserve">If </w:t>
      </w:r>
      <w:r w:rsidRPr="00F271B8">
        <w:rPr>
          <w:i/>
          <w:lang w:val="en-AU"/>
        </w:rPr>
        <w:t>you</w:t>
      </w:r>
      <w:r w:rsidRPr="00F271B8">
        <w:rPr>
          <w:lang w:val="en-AU"/>
        </w:rPr>
        <w:t xml:space="preserve"> have more than 6 services on </w:t>
      </w:r>
      <w:r w:rsidRPr="00F271B8">
        <w:rPr>
          <w:i/>
          <w:lang w:val="en-AU"/>
        </w:rPr>
        <w:t>your</w:t>
      </w:r>
      <w:r w:rsidRPr="00F271B8">
        <w:rPr>
          <w:lang w:val="en-AU"/>
        </w:rPr>
        <w:t xml:space="preserve"> account, My Account may not be suitable for viewing usage and managing </w:t>
      </w:r>
      <w:r w:rsidRPr="00F271B8">
        <w:rPr>
          <w:i/>
          <w:lang w:val="en-AU"/>
        </w:rPr>
        <w:t xml:space="preserve">your </w:t>
      </w:r>
      <w:r w:rsidRPr="00F271B8">
        <w:rPr>
          <w:lang w:val="en-AU"/>
        </w:rPr>
        <w:t>usage alerts.</w:t>
      </w:r>
    </w:p>
    <w:p w14:paraId="24D3E200" w14:textId="77777777" w:rsidR="00E507D4" w:rsidRPr="00F271B8" w:rsidRDefault="00E507D4" w:rsidP="00E507D4">
      <w:pPr>
        <w:pStyle w:val="Heading6"/>
        <w:ind w:left="0" w:firstLine="0"/>
        <w:rPr>
          <w:lang w:val="en-AU"/>
        </w:rPr>
      </w:pPr>
      <w:bookmarkStart w:id="2223" w:name="_Toc508362022"/>
      <w:r w:rsidRPr="00F271B8">
        <w:rPr>
          <w:lang w:val="en-AU"/>
        </w:rPr>
        <w:t xml:space="preserve">What happens if the </w:t>
      </w:r>
      <w:r w:rsidRPr="00F271B8">
        <w:rPr>
          <w:i/>
          <w:lang w:val="en-AU"/>
        </w:rPr>
        <w:t xml:space="preserve">service </w:t>
      </w:r>
      <w:r w:rsidRPr="00F271B8">
        <w:rPr>
          <w:lang w:val="en-AU"/>
        </w:rPr>
        <w:t>is</w:t>
      </w:r>
      <w:r w:rsidRPr="00F271B8">
        <w:rPr>
          <w:i/>
          <w:lang w:val="en-AU"/>
        </w:rPr>
        <w:t xml:space="preserve"> cancelled </w:t>
      </w:r>
      <w:r w:rsidRPr="00F271B8">
        <w:rPr>
          <w:lang w:val="en-AU"/>
        </w:rPr>
        <w:t>early?</w:t>
      </w:r>
      <w:bookmarkEnd w:id="2223"/>
      <w:r w:rsidRPr="00F271B8">
        <w:rPr>
          <w:lang w:val="en-AU"/>
        </w:rPr>
        <w:t xml:space="preserve"> </w:t>
      </w:r>
    </w:p>
    <w:p w14:paraId="6F91E3E0" w14:textId="77777777" w:rsidR="00E507D4" w:rsidRPr="00F271B8" w:rsidRDefault="00E507D4" w:rsidP="00E507D4">
      <w:pPr>
        <w:pStyle w:val="Heading7"/>
        <w:rPr>
          <w:lang w:val="en-AU"/>
        </w:rPr>
      </w:pPr>
      <w:r w:rsidRPr="00F271B8">
        <w:rPr>
          <w:lang w:val="en-AU"/>
        </w:rPr>
        <w:t>If the</w:t>
      </w:r>
      <w:r w:rsidRPr="00F271B8">
        <w:rPr>
          <w:i/>
          <w:lang w:val="en-AU"/>
        </w:rPr>
        <w:t xml:space="preserve"> service</w:t>
      </w:r>
      <w:r w:rsidRPr="00F271B8">
        <w:rPr>
          <w:lang w:val="en-AU"/>
        </w:rPr>
        <w:t xml:space="preserve"> is</w:t>
      </w:r>
      <w:r w:rsidRPr="00F271B8">
        <w:rPr>
          <w:i/>
          <w:lang w:val="en-AU"/>
        </w:rPr>
        <w:t xml:space="preserve"> cancelled </w:t>
      </w:r>
      <w:r w:rsidRPr="00F271B8">
        <w:rPr>
          <w:lang w:val="en-AU"/>
        </w:rPr>
        <w:t xml:space="preserve">before the end of </w:t>
      </w:r>
      <w:r w:rsidRPr="00F271B8">
        <w:rPr>
          <w:i/>
          <w:lang w:val="en-AU"/>
        </w:rPr>
        <w:t xml:space="preserve">your minimum term, you </w:t>
      </w:r>
      <w:r w:rsidRPr="00F271B8">
        <w:rPr>
          <w:lang w:val="en-AU"/>
        </w:rPr>
        <w:t xml:space="preserve">will be required to pay </w:t>
      </w:r>
      <w:r w:rsidRPr="00F271B8">
        <w:rPr>
          <w:i/>
          <w:lang w:val="en-AU"/>
        </w:rPr>
        <w:t>us</w:t>
      </w:r>
      <w:r w:rsidRPr="00F271B8">
        <w:rPr>
          <w:lang w:val="en-AU"/>
        </w:rPr>
        <w:t>:</w:t>
      </w:r>
    </w:p>
    <w:p w14:paraId="4AE00C53" w14:textId="77777777" w:rsidR="00E507D4" w:rsidRPr="00F271B8" w:rsidRDefault="00E507D4" w:rsidP="00E507D4">
      <w:pPr>
        <w:pStyle w:val="Heading8"/>
        <w:rPr>
          <w:lang w:val="en-AU"/>
        </w:rPr>
      </w:pPr>
      <w:r w:rsidRPr="00F271B8">
        <w:rPr>
          <w:lang w:val="en-AU"/>
        </w:rPr>
        <w:t xml:space="preserve">any usage charges incurred up to, and including, the </w:t>
      </w:r>
      <w:r w:rsidRPr="00F271B8">
        <w:rPr>
          <w:i/>
          <w:lang w:val="en-AU"/>
        </w:rPr>
        <w:t xml:space="preserve">cancellation date; </w:t>
      </w:r>
      <w:r w:rsidRPr="00F271B8">
        <w:rPr>
          <w:lang w:val="en-AU"/>
        </w:rPr>
        <w:t>plus</w:t>
      </w:r>
    </w:p>
    <w:p w14:paraId="1045A10D" w14:textId="77777777" w:rsidR="00E507D4" w:rsidRPr="00F271B8" w:rsidRDefault="00E507D4" w:rsidP="00E507D4">
      <w:pPr>
        <w:pStyle w:val="Heading8"/>
        <w:rPr>
          <w:lang w:val="en-AU"/>
        </w:rPr>
      </w:pPr>
      <w:r w:rsidRPr="00F271B8">
        <w:rPr>
          <w:lang w:val="en-AU"/>
        </w:rPr>
        <w:lastRenderedPageBreak/>
        <w:t xml:space="preserve">the </w:t>
      </w:r>
      <w:r w:rsidRPr="00F271B8">
        <w:rPr>
          <w:i/>
          <w:lang w:val="en-AU"/>
        </w:rPr>
        <w:t>cancellation fees</w:t>
      </w:r>
      <w:r w:rsidRPr="00F271B8">
        <w:rPr>
          <w:lang w:val="en-AU"/>
        </w:rPr>
        <w:t xml:space="preserve"> set out in paragraph (b) below (unless under clause 2A of the </w:t>
      </w:r>
      <w:r w:rsidRPr="00F271B8">
        <w:rPr>
          <w:i/>
          <w:lang w:val="en-AU"/>
        </w:rPr>
        <w:t>consumer terms</w:t>
      </w:r>
      <w:r w:rsidRPr="00F271B8">
        <w:rPr>
          <w:lang w:val="en-AU"/>
        </w:rPr>
        <w:t xml:space="preserve">, </w:t>
      </w:r>
      <w:r w:rsidRPr="00F271B8">
        <w:rPr>
          <w:i/>
          <w:lang w:val="en-AU"/>
        </w:rPr>
        <w:t>you</w:t>
      </w:r>
      <w:r w:rsidRPr="00F271B8">
        <w:rPr>
          <w:lang w:val="en-AU"/>
        </w:rPr>
        <w:t xml:space="preserve"> are entitled to </w:t>
      </w:r>
      <w:r w:rsidRPr="00F271B8">
        <w:rPr>
          <w:i/>
          <w:lang w:val="en-AU"/>
        </w:rPr>
        <w:t>cancel the service</w:t>
      </w:r>
      <w:r w:rsidRPr="00F271B8">
        <w:rPr>
          <w:lang w:val="en-AU"/>
        </w:rPr>
        <w:t xml:space="preserve"> without incurring a </w:t>
      </w:r>
      <w:r w:rsidRPr="00F271B8">
        <w:rPr>
          <w:i/>
          <w:lang w:val="en-AU"/>
        </w:rPr>
        <w:t>cancellation fee</w:t>
      </w:r>
      <w:r w:rsidRPr="00F271B8">
        <w:rPr>
          <w:lang w:val="en-AU"/>
        </w:rPr>
        <w:t>); plus</w:t>
      </w:r>
    </w:p>
    <w:p w14:paraId="5A401B7B" w14:textId="77777777" w:rsidR="00E507D4" w:rsidRPr="00F271B8" w:rsidRDefault="00E507D4" w:rsidP="00E507D4">
      <w:pPr>
        <w:pStyle w:val="Heading8"/>
        <w:rPr>
          <w:lang w:val="en-AU"/>
        </w:rPr>
      </w:pPr>
      <w:r w:rsidRPr="00F271B8">
        <w:rPr>
          <w:lang w:val="en-AU"/>
        </w:rPr>
        <w:t>the sum of unpaid equipment charges owing on your mobile phone under the mobile equipment payment plan (if any)</w:t>
      </w:r>
      <w:r>
        <w:rPr>
          <w:lang w:val="en-AU"/>
        </w:rPr>
        <w:t xml:space="preserve">. </w:t>
      </w:r>
    </w:p>
    <w:p w14:paraId="686B1A85" w14:textId="77777777" w:rsidR="00E507D4" w:rsidRPr="00F271B8" w:rsidRDefault="00E507D4" w:rsidP="00E507D4">
      <w:pPr>
        <w:pStyle w:val="Heading7"/>
        <w:rPr>
          <w:lang w:val="en-AU"/>
        </w:rPr>
      </w:pPr>
      <w:r w:rsidRPr="00F271B8">
        <w:rPr>
          <w:lang w:val="en-AU"/>
        </w:rPr>
        <w:t xml:space="preserve">The </w:t>
      </w:r>
      <w:r w:rsidRPr="00F271B8">
        <w:rPr>
          <w:i/>
          <w:lang w:val="en-AU"/>
        </w:rPr>
        <w:t>cancellation fee</w:t>
      </w:r>
      <w:r w:rsidRPr="00F271B8">
        <w:rPr>
          <w:lang w:val="en-AU"/>
        </w:rPr>
        <w:t xml:space="preserve"> is calculated as the following amounts, multiplied by the months remaining on </w:t>
      </w:r>
      <w:r w:rsidRPr="00F271B8">
        <w:rPr>
          <w:i/>
          <w:lang w:val="en-AU"/>
        </w:rPr>
        <w:t>your minimum term</w:t>
      </w:r>
      <w:r w:rsidRPr="00F271B8">
        <w:rPr>
          <w:lang w:val="en-AU"/>
        </w:rPr>
        <w:t>:</w:t>
      </w:r>
    </w:p>
    <w:tbl>
      <w:tblPr>
        <w:tblW w:w="4560"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2421"/>
        <w:gridCol w:w="2358"/>
        <w:gridCol w:w="2358"/>
      </w:tblGrid>
      <w:tr w:rsidR="00E507D4" w:rsidRPr="00F271B8" w14:paraId="6F1C0234" w14:textId="77777777" w:rsidTr="00B95821">
        <w:trPr>
          <w:trHeight w:val="183"/>
        </w:trPr>
        <w:tc>
          <w:tcPr>
            <w:tcW w:w="1159" w:type="pct"/>
            <w:shd w:val="clear" w:color="auto" w:fill="auto"/>
            <w:vAlign w:val="center"/>
          </w:tcPr>
          <w:p w14:paraId="6FE53C2D" w14:textId="77777777" w:rsidR="00E507D4" w:rsidRPr="00F271B8" w:rsidRDefault="00E507D4" w:rsidP="00B95821">
            <w:pPr>
              <w:pStyle w:val="BodyText"/>
              <w:spacing w:before="100" w:after="100"/>
              <w:rPr>
                <w:b/>
              </w:rPr>
            </w:pPr>
          </w:p>
        </w:tc>
        <w:tc>
          <w:tcPr>
            <w:tcW w:w="1303" w:type="pct"/>
          </w:tcPr>
          <w:p w14:paraId="48427EB6" w14:textId="77777777" w:rsidR="00E507D4" w:rsidRPr="00F271B8" w:rsidDel="00844E85" w:rsidRDefault="00E507D4" w:rsidP="00B95821">
            <w:pPr>
              <w:pStyle w:val="BodyText"/>
              <w:spacing w:before="100" w:after="100"/>
              <w:jc w:val="center"/>
              <w:rPr>
                <w:b/>
              </w:rPr>
            </w:pPr>
            <w:r w:rsidRPr="003626D2">
              <w:rPr>
                <w:b/>
              </w:rPr>
              <w:t xml:space="preserve">$40 Business </w:t>
            </w:r>
            <w:r>
              <w:rPr>
                <w:b/>
              </w:rPr>
              <w:t xml:space="preserve">Plan </w:t>
            </w:r>
            <w:r w:rsidRPr="003626D2">
              <w:rPr>
                <w:b/>
              </w:rPr>
              <w:t>12M SIM</w:t>
            </w:r>
          </w:p>
        </w:tc>
        <w:tc>
          <w:tcPr>
            <w:tcW w:w="1269" w:type="pct"/>
          </w:tcPr>
          <w:p w14:paraId="3A03E967" w14:textId="77777777" w:rsidR="00E507D4" w:rsidRPr="00F271B8" w:rsidRDefault="00E507D4" w:rsidP="00B95821">
            <w:pPr>
              <w:pStyle w:val="BodyText"/>
              <w:spacing w:before="100" w:after="100"/>
              <w:jc w:val="center"/>
              <w:rPr>
                <w:b/>
              </w:rPr>
            </w:pPr>
            <w:r>
              <w:rPr>
                <w:b/>
              </w:rPr>
              <w:t>$45</w:t>
            </w:r>
            <w:r w:rsidRPr="003626D2">
              <w:rPr>
                <w:b/>
              </w:rPr>
              <w:t xml:space="preserve"> Business </w:t>
            </w:r>
            <w:r>
              <w:rPr>
                <w:b/>
              </w:rPr>
              <w:t xml:space="preserve">Plan </w:t>
            </w:r>
            <w:r w:rsidRPr="003626D2">
              <w:rPr>
                <w:b/>
              </w:rPr>
              <w:t>12M SIM</w:t>
            </w:r>
          </w:p>
        </w:tc>
        <w:tc>
          <w:tcPr>
            <w:tcW w:w="1269" w:type="pct"/>
          </w:tcPr>
          <w:p w14:paraId="431DF3BA" w14:textId="77777777" w:rsidR="00E507D4" w:rsidRDefault="00E507D4" w:rsidP="00B95821">
            <w:pPr>
              <w:pStyle w:val="BodyText"/>
              <w:spacing w:before="100" w:after="100"/>
              <w:jc w:val="center"/>
              <w:rPr>
                <w:b/>
              </w:rPr>
            </w:pPr>
            <w:r>
              <w:rPr>
                <w:b/>
              </w:rPr>
              <w:t>$55</w:t>
            </w:r>
            <w:r w:rsidRPr="003626D2">
              <w:rPr>
                <w:b/>
              </w:rPr>
              <w:t xml:space="preserve"> Business </w:t>
            </w:r>
            <w:r>
              <w:rPr>
                <w:b/>
              </w:rPr>
              <w:t xml:space="preserve">Plan </w:t>
            </w:r>
            <w:r w:rsidRPr="003626D2">
              <w:rPr>
                <w:b/>
              </w:rPr>
              <w:t>12M SIM</w:t>
            </w:r>
          </w:p>
        </w:tc>
      </w:tr>
      <w:tr w:rsidR="00E507D4" w:rsidRPr="00F271B8" w14:paraId="0B281831" w14:textId="77777777" w:rsidTr="00B95821">
        <w:trPr>
          <w:trHeight w:val="64"/>
        </w:trPr>
        <w:tc>
          <w:tcPr>
            <w:tcW w:w="1159" w:type="pct"/>
            <w:shd w:val="clear" w:color="auto" w:fill="auto"/>
            <w:vAlign w:val="center"/>
          </w:tcPr>
          <w:p w14:paraId="208D8AB7" w14:textId="77777777" w:rsidR="00E507D4" w:rsidRPr="00F271B8" w:rsidRDefault="00E507D4" w:rsidP="00B95821">
            <w:pPr>
              <w:pStyle w:val="BodyText"/>
              <w:spacing w:before="100" w:after="100"/>
              <w:rPr>
                <w:b/>
              </w:rPr>
            </w:pPr>
            <w:r w:rsidRPr="00F271B8">
              <w:rPr>
                <w:b/>
                <w:bCs/>
              </w:rPr>
              <w:t xml:space="preserve">Cancellation Fee </w:t>
            </w:r>
          </w:p>
        </w:tc>
        <w:tc>
          <w:tcPr>
            <w:tcW w:w="1303" w:type="pct"/>
            <w:vAlign w:val="center"/>
          </w:tcPr>
          <w:p w14:paraId="710F51D7" w14:textId="77777777" w:rsidR="00E507D4" w:rsidRPr="00F271B8" w:rsidDel="00844E85" w:rsidRDefault="00E507D4" w:rsidP="00B95821">
            <w:pPr>
              <w:pStyle w:val="BodyText"/>
              <w:spacing w:before="100" w:after="100"/>
              <w:jc w:val="center"/>
            </w:pPr>
            <w:r w:rsidRPr="00F271B8">
              <w:t>$12 x Months remaining</w:t>
            </w:r>
          </w:p>
        </w:tc>
        <w:tc>
          <w:tcPr>
            <w:tcW w:w="1269" w:type="pct"/>
            <w:vAlign w:val="center"/>
          </w:tcPr>
          <w:p w14:paraId="73C38A41" w14:textId="77777777" w:rsidR="00E507D4" w:rsidRPr="00F271B8" w:rsidRDefault="00E507D4" w:rsidP="00B95821">
            <w:pPr>
              <w:pStyle w:val="BodyText"/>
              <w:spacing w:before="100" w:after="100"/>
              <w:jc w:val="center"/>
            </w:pPr>
            <w:r w:rsidRPr="00F271B8">
              <w:t>$12 x Months remaining</w:t>
            </w:r>
          </w:p>
        </w:tc>
        <w:tc>
          <w:tcPr>
            <w:tcW w:w="1269" w:type="pct"/>
          </w:tcPr>
          <w:p w14:paraId="2F9BE835" w14:textId="77777777" w:rsidR="00E507D4" w:rsidRPr="00F271B8" w:rsidRDefault="00E507D4" w:rsidP="00B95821">
            <w:pPr>
              <w:pStyle w:val="BodyText"/>
              <w:spacing w:before="100" w:after="100"/>
              <w:jc w:val="center"/>
            </w:pPr>
            <w:r w:rsidRPr="00F271B8">
              <w:t>$12 x Months remaining</w:t>
            </w:r>
          </w:p>
        </w:tc>
      </w:tr>
      <w:tr w:rsidR="00E507D4" w:rsidRPr="009863B7" w14:paraId="6CF507DC" w14:textId="77777777" w:rsidTr="00B95821">
        <w:trPr>
          <w:trHeight w:val="64"/>
        </w:trPr>
        <w:tc>
          <w:tcPr>
            <w:tcW w:w="1159" w:type="pct"/>
            <w:shd w:val="clear" w:color="auto" w:fill="auto"/>
            <w:vAlign w:val="center"/>
          </w:tcPr>
          <w:p w14:paraId="1C34C899" w14:textId="77777777" w:rsidR="00E507D4" w:rsidRPr="00F271B8" w:rsidRDefault="00E507D4" w:rsidP="00B95821">
            <w:pPr>
              <w:pStyle w:val="BodyText"/>
              <w:spacing w:before="100" w:after="100"/>
              <w:rPr>
                <w:b/>
                <w:bCs/>
              </w:rPr>
            </w:pPr>
            <w:r w:rsidRPr="00F271B8">
              <w:rPr>
                <w:b/>
                <w:bCs/>
              </w:rPr>
              <w:t>Maximum Cancellation Fee</w:t>
            </w:r>
          </w:p>
        </w:tc>
        <w:tc>
          <w:tcPr>
            <w:tcW w:w="1303" w:type="pct"/>
            <w:vAlign w:val="center"/>
          </w:tcPr>
          <w:p w14:paraId="30006349" w14:textId="77777777" w:rsidR="00E507D4" w:rsidRPr="009863B7" w:rsidDel="00844E85" w:rsidRDefault="00E507D4" w:rsidP="00B95821">
            <w:pPr>
              <w:pStyle w:val="BodyText"/>
              <w:spacing w:before="100" w:after="100"/>
              <w:jc w:val="center"/>
            </w:pPr>
            <w:r w:rsidRPr="00F271B8">
              <w:t>$144</w:t>
            </w:r>
          </w:p>
        </w:tc>
        <w:tc>
          <w:tcPr>
            <w:tcW w:w="1269" w:type="pct"/>
            <w:vAlign w:val="center"/>
          </w:tcPr>
          <w:p w14:paraId="19EDA8DC" w14:textId="77777777" w:rsidR="00E507D4" w:rsidRPr="00F271B8" w:rsidRDefault="00E507D4" w:rsidP="00B95821">
            <w:pPr>
              <w:pStyle w:val="BodyText"/>
              <w:spacing w:before="100" w:after="100"/>
              <w:jc w:val="center"/>
            </w:pPr>
            <w:r>
              <w:t>$162</w:t>
            </w:r>
          </w:p>
        </w:tc>
        <w:tc>
          <w:tcPr>
            <w:tcW w:w="1269" w:type="pct"/>
          </w:tcPr>
          <w:p w14:paraId="4D73C262" w14:textId="77777777" w:rsidR="00E507D4" w:rsidRDefault="00E507D4" w:rsidP="00B95821">
            <w:pPr>
              <w:pStyle w:val="BodyText"/>
              <w:spacing w:before="100" w:after="100"/>
              <w:jc w:val="center"/>
            </w:pPr>
            <w:r>
              <w:t>$192</w:t>
            </w:r>
          </w:p>
        </w:tc>
      </w:tr>
    </w:tbl>
    <w:p w14:paraId="0F3B7019" w14:textId="77777777" w:rsidR="00E507D4" w:rsidRDefault="00E507D4" w:rsidP="00E507D4">
      <w:pPr>
        <w:rPr>
          <w:sz w:val="20"/>
          <w:szCs w:val="20"/>
        </w:rPr>
      </w:pPr>
    </w:p>
    <w:p w14:paraId="76481538" w14:textId="77777777" w:rsidR="00E507D4" w:rsidRDefault="00E507D4" w:rsidP="00E507D4">
      <w:pPr>
        <w:rPr>
          <w:sz w:val="20"/>
          <w:szCs w:val="20"/>
        </w:rPr>
      </w:pPr>
    </w:p>
    <w:p w14:paraId="4662F0A4" w14:textId="77777777" w:rsidR="00E507D4" w:rsidRPr="00FC5779" w:rsidRDefault="00E507D4" w:rsidP="00E507D4">
      <w:pPr>
        <w:pStyle w:val="Heading4"/>
        <w:rPr>
          <w:lang w:val="en-AU"/>
        </w:rPr>
      </w:pPr>
      <w:bookmarkStart w:id="2224" w:name="_Toc508362023"/>
      <w:bookmarkStart w:id="2225" w:name="_Toc62644712"/>
      <w:r>
        <w:rPr>
          <w:lang w:val="en-AU"/>
        </w:rPr>
        <w:t>$70 Business Plan/Business Lease (Double Data Promo)</w:t>
      </w:r>
      <w:bookmarkEnd w:id="2224"/>
      <w:bookmarkEnd w:id="2225"/>
    </w:p>
    <w:p w14:paraId="5CB6A19D" w14:textId="77777777" w:rsidR="00E507D4" w:rsidRPr="002061C1" w:rsidRDefault="00E507D4" w:rsidP="00E507D4">
      <w:pPr>
        <w:pStyle w:val="BodyText"/>
        <w:ind w:left="720"/>
      </w:pPr>
      <w:r w:rsidRPr="00FC5779">
        <w:rPr>
          <w:lang w:val="en-AU"/>
        </w:rPr>
        <w:t xml:space="preserve">This section relates to the following plans. </w:t>
      </w:r>
      <w:r w:rsidRPr="00FC5779">
        <w:rPr>
          <w:i/>
          <w:lang w:val="en-AU"/>
        </w:rPr>
        <w:t>You</w:t>
      </w:r>
      <w:r w:rsidRPr="00FC5779">
        <w:rPr>
          <w:lang w:val="en-AU"/>
        </w:rPr>
        <w:t xml:space="preserve"> can find </w:t>
      </w:r>
      <w:r w:rsidRPr="00FC5779">
        <w:rPr>
          <w:i/>
          <w:lang w:val="en-AU"/>
        </w:rPr>
        <w:t>your</w:t>
      </w:r>
      <w:r w:rsidRPr="00FC5779">
        <w:rPr>
          <w:lang w:val="en-AU"/>
        </w:rPr>
        <w:t xml:space="preserve"> Plan ID on </w:t>
      </w:r>
      <w:r w:rsidRPr="00FC5779">
        <w:rPr>
          <w:i/>
          <w:lang w:val="en-AU"/>
        </w:rPr>
        <w:t>your</w:t>
      </w:r>
      <w:r w:rsidRPr="00FC5779">
        <w:rPr>
          <w:lang w:val="en-AU"/>
        </w:rPr>
        <w:t xml:space="preserve"> bill under the Mobile Number Summary section:</w:t>
      </w:r>
    </w:p>
    <w:p w14:paraId="6562DC4C" w14:textId="77777777" w:rsidR="00E507D4" w:rsidRPr="005C1A82" w:rsidRDefault="00E507D4" w:rsidP="00E507D4">
      <w:pPr>
        <w:pStyle w:val="BodyText"/>
        <w:ind w:left="709"/>
        <w:rPr>
          <w:rFonts w:cs="Arial"/>
          <w:szCs w:val="20"/>
        </w:rPr>
      </w:pPr>
      <w:r>
        <w:t xml:space="preserve">From 5 September 2017 to </w:t>
      </w:r>
      <w:r w:rsidR="00773E13">
        <w:t>30 June 2018</w:t>
      </w:r>
      <w:r>
        <w:t>,</w:t>
      </w:r>
      <w:r w:rsidRPr="009C02DF">
        <w:t xml:space="preserve"> </w:t>
      </w:r>
      <w:r>
        <w:t xml:space="preserve">the $70 Business Plan </w:t>
      </w:r>
      <w:r>
        <w:rPr>
          <w:rFonts w:eastAsia="Calibri" w:cs="Arial"/>
          <w:szCs w:val="20"/>
          <w:lang w:val="en-AU"/>
        </w:rPr>
        <w:t xml:space="preserve">(Plan ID 800627) and $70 Business Lease (Plan ID </w:t>
      </w:r>
      <w:r w:rsidRPr="00DD1457">
        <w:rPr>
          <w:rFonts w:eastAsia="Calibri" w:cs="Arial"/>
          <w:szCs w:val="20"/>
          <w:lang w:val="en-AU"/>
        </w:rPr>
        <w:t>800678/10624964</w:t>
      </w:r>
      <w:r>
        <w:rPr>
          <w:rFonts w:eastAsia="Calibri" w:cs="Arial"/>
          <w:szCs w:val="20"/>
          <w:lang w:val="en-AU"/>
        </w:rPr>
        <w:t>) will be</w:t>
      </w:r>
      <w:r w:rsidRPr="009C02DF">
        <w:t xml:space="preserve"> available</w:t>
      </w:r>
      <w:r>
        <w:t xml:space="preserve"> with double data for the life of the plan (4.5GB to 9GB).</w:t>
      </w:r>
      <w:r w:rsidRPr="005C1A82">
        <w:rPr>
          <w:rFonts w:cs="Arial"/>
          <w:color w:val="191919"/>
          <w:szCs w:val="20"/>
          <w:lang w:val="en"/>
        </w:rPr>
        <w:t xml:space="preserve"> </w:t>
      </w:r>
    </w:p>
    <w:p w14:paraId="1CAA4EC4" w14:textId="77777777" w:rsidR="00E507D4" w:rsidRPr="002061C1" w:rsidRDefault="00E507D4" w:rsidP="00E507D4">
      <w:pPr>
        <w:pStyle w:val="BodyText"/>
        <w:ind w:left="709"/>
      </w:pPr>
      <w:r>
        <w:t xml:space="preserve">This is a promotional plan available </w:t>
      </w:r>
      <w:r w:rsidRPr="009C02DF">
        <w:t>to new and existing mobile customers</w:t>
      </w:r>
      <w:r>
        <w:t xml:space="preserve"> who connect to a new or re-contracting </w:t>
      </w:r>
      <w:r w:rsidRPr="009C02DF">
        <w:rPr>
          <w:i/>
        </w:rPr>
        <w:t xml:space="preserve">service </w:t>
      </w:r>
      <w:r>
        <w:t xml:space="preserve">that pass Optus' credit assessment </w:t>
      </w:r>
      <w:r w:rsidRPr="00656EA8">
        <w:t>via Business Chan</w:t>
      </w:r>
      <w:r>
        <w:t>nel Partners.</w:t>
      </w:r>
    </w:p>
    <w:p w14:paraId="4C9C720B" w14:textId="77777777" w:rsidR="00E507D4" w:rsidRPr="005C1A82" w:rsidRDefault="00E507D4" w:rsidP="00E507D4">
      <w:pPr>
        <w:pStyle w:val="BodyText"/>
        <w:ind w:left="709"/>
      </w:pPr>
      <w:r w:rsidRPr="00C12929">
        <w:rPr>
          <w:lang w:val="en-AU"/>
        </w:rPr>
        <w:t>To be eligible for this plan, businesses must provide Optus with a registered ACN, ARBN or ABN</w:t>
      </w:r>
      <w:r>
        <w:rPr>
          <w:lang w:val="en-AU"/>
        </w:rPr>
        <w:t>.</w:t>
      </w:r>
    </w:p>
    <w:tbl>
      <w:tblPr>
        <w:tblW w:w="8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3291"/>
        <w:gridCol w:w="2802"/>
      </w:tblGrid>
      <w:tr w:rsidR="00E507D4" w:rsidRPr="00090AB3" w14:paraId="136CEFE1" w14:textId="77777777" w:rsidTr="00B95821">
        <w:trPr>
          <w:jc w:val="center"/>
        </w:trPr>
        <w:tc>
          <w:tcPr>
            <w:tcW w:w="2700" w:type="dxa"/>
            <w:shd w:val="clear" w:color="auto" w:fill="auto"/>
          </w:tcPr>
          <w:p w14:paraId="28CFFCB8" w14:textId="77777777" w:rsidR="00E507D4" w:rsidRPr="00EE0D35" w:rsidRDefault="00E507D4" w:rsidP="00B95821">
            <w:pPr>
              <w:pStyle w:val="BodyText"/>
              <w:spacing w:before="100" w:after="100"/>
              <w:jc w:val="center"/>
              <w:rPr>
                <w:b/>
                <w:lang w:val="en-AU"/>
              </w:rPr>
            </w:pPr>
            <w:r w:rsidRPr="00EE0D35">
              <w:rPr>
                <w:b/>
                <w:lang w:val="en-AU"/>
              </w:rPr>
              <w:t>Plan</w:t>
            </w:r>
          </w:p>
        </w:tc>
        <w:tc>
          <w:tcPr>
            <w:tcW w:w="3291" w:type="dxa"/>
            <w:shd w:val="clear" w:color="auto" w:fill="auto"/>
          </w:tcPr>
          <w:p w14:paraId="4E1EE7D3" w14:textId="77777777" w:rsidR="00E507D4" w:rsidRPr="00EE0D35" w:rsidRDefault="00E507D4" w:rsidP="00B95821">
            <w:pPr>
              <w:pStyle w:val="BodyText"/>
              <w:spacing w:before="100" w:after="100"/>
              <w:jc w:val="center"/>
              <w:rPr>
                <w:b/>
                <w:lang w:val="en-AU"/>
              </w:rPr>
            </w:pPr>
            <w:r>
              <w:rPr>
                <w:b/>
                <w:lang w:val="en-AU"/>
              </w:rPr>
              <w:t xml:space="preserve">Promotional </w:t>
            </w:r>
            <w:r w:rsidRPr="00EE0D35">
              <w:rPr>
                <w:b/>
                <w:lang w:val="en-AU"/>
              </w:rPr>
              <w:t>Plan ID</w:t>
            </w:r>
          </w:p>
        </w:tc>
        <w:tc>
          <w:tcPr>
            <w:tcW w:w="2802" w:type="dxa"/>
            <w:shd w:val="clear" w:color="auto" w:fill="auto"/>
          </w:tcPr>
          <w:p w14:paraId="12B06059" w14:textId="77777777" w:rsidR="00E507D4" w:rsidRPr="00EE0D35" w:rsidRDefault="00E507D4" w:rsidP="00B95821">
            <w:pPr>
              <w:pStyle w:val="BodyText"/>
              <w:spacing w:before="100" w:after="100"/>
              <w:jc w:val="center"/>
              <w:rPr>
                <w:b/>
                <w:lang w:val="en-AU"/>
              </w:rPr>
            </w:pPr>
            <w:r w:rsidRPr="00EE0D35">
              <w:rPr>
                <w:b/>
                <w:lang w:val="en-AU"/>
              </w:rPr>
              <w:t>Available</w:t>
            </w:r>
          </w:p>
        </w:tc>
      </w:tr>
      <w:tr w:rsidR="00E507D4" w:rsidRPr="00A974C9" w14:paraId="70959E94" w14:textId="77777777" w:rsidTr="00B95821">
        <w:trPr>
          <w:jc w:val="center"/>
        </w:trPr>
        <w:tc>
          <w:tcPr>
            <w:tcW w:w="2700" w:type="dxa"/>
            <w:shd w:val="clear" w:color="auto" w:fill="auto"/>
          </w:tcPr>
          <w:p w14:paraId="553B5165" w14:textId="77777777" w:rsidR="00E507D4" w:rsidRPr="00A974C9" w:rsidRDefault="00E507D4" w:rsidP="00B95821">
            <w:pPr>
              <w:pStyle w:val="BodyText"/>
              <w:spacing w:before="100" w:after="100"/>
              <w:jc w:val="center"/>
              <w:rPr>
                <w:lang w:val="en-AU"/>
              </w:rPr>
            </w:pPr>
            <w:r>
              <w:t>$70</w:t>
            </w:r>
            <w:r w:rsidRPr="00A974C9">
              <w:t xml:space="preserve"> Business </w:t>
            </w:r>
            <w:r>
              <w:t>Plan</w:t>
            </w:r>
          </w:p>
        </w:tc>
        <w:tc>
          <w:tcPr>
            <w:tcW w:w="3291" w:type="dxa"/>
            <w:shd w:val="clear" w:color="auto" w:fill="auto"/>
          </w:tcPr>
          <w:p w14:paraId="5FAE748B" w14:textId="77777777" w:rsidR="00E507D4" w:rsidRPr="00A974C9" w:rsidRDefault="00E507D4" w:rsidP="00B95821">
            <w:pPr>
              <w:pStyle w:val="BodyText"/>
              <w:spacing w:before="100" w:after="100"/>
              <w:jc w:val="center"/>
            </w:pPr>
            <w:r w:rsidRPr="00DD1457">
              <w:t>800774/10955649</w:t>
            </w:r>
          </w:p>
        </w:tc>
        <w:tc>
          <w:tcPr>
            <w:tcW w:w="2802" w:type="dxa"/>
            <w:vMerge w:val="restart"/>
            <w:shd w:val="clear" w:color="auto" w:fill="auto"/>
          </w:tcPr>
          <w:p w14:paraId="42B9E511" w14:textId="77777777" w:rsidR="00E507D4" w:rsidRPr="00A974C9" w:rsidRDefault="00E507D4" w:rsidP="00B95821">
            <w:pPr>
              <w:pStyle w:val="BodyText"/>
              <w:spacing w:before="100" w:after="100"/>
              <w:jc w:val="center"/>
            </w:pPr>
            <w:r>
              <w:t xml:space="preserve">5 September 2017 to </w:t>
            </w:r>
            <w:r w:rsidR="00F66ADB">
              <w:t>30 June 2018</w:t>
            </w:r>
          </w:p>
        </w:tc>
      </w:tr>
      <w:tr w:rsidR="00E507D4" w:rsidRPr="00A974C9" w14:paraId="08729747" w14:textId="77777777" w:rsidTr="00B95821">
        <w:trPr>
          <w:jc w:val="center"/>
        </w:trPr>
        <w:tc>
          <w:tcPr>
            <w:tcW w:w="2700" w:type="dxa"/>
            <w:shd w:val="clear" w:color="auto" w:fill="auto"/>
          </w:tcPr>
          <w:p w14:paraId="36F19910" w14:textId="77777777" w:rsidR="00E507D4" w:rsidRDefault="00E507D4" w:rsidP="00B95821">
            <w:pPr>
              <w:pStyle w:val="BodyText"/>
              <w:spacing w:before="100" w:after="100"/>
              <w:jc w:val="center"/>
            </w:pPr>
            <w:r>
              <w:rPr>
                <w:rFonts w:eastAsia="Calibri" w:cs="Arial"/>
                <w:szCs w:val="20"/>
                <w:lang w:val="en-AU"/>
              </w:rPr>
              <w:t>$70</w:t>
            </w:r>
            <w:r w:rsidRPr="00641F25">
              <w:rPr>
                <w:rFonts w:eastAsia="Calibri" w:cs="Arial"/>
                <w:szCs w:val="20"/>
                <w:lang w:val="en-AU"/>
              </w:rPr>
              <w:t xml:space="preserve"> Business </w:t>
            </w:r>
            <w:r>
              <w:rPr>
                <w:rFonts w:eastAsia="Calibri" w:cs="Arial"/>
                <w:szCs w:val="20"/>
                <w:lang w:val="en-AU"/>
              </w:rPr>
              <w:t>Lease</w:t>
            </w:r>
          </w:p>
        </w:tc>
        <w:tc>
          <w:tcPr>
            <w:tcW w:w="3291" w:type="dxa"/>
            <w:shd w:val="clear" w:color="auto" w:fill="auto"/>
            <w:vAlign w:val="center"/>
          </w:tcPr>
          <w:p w14:paraId="6D89DA0B" w14:textId="77777777" w:rsidR="00E507D4" w:rsidRDefault="00E507D4" w:rsidP="00B95821">
            <w:pPr>
              <w:pStyle w:val="BodyText"/>
              <w:spacing w:before="100" w:after="100"/>
              <w:jc w:val="center"/>
            </w:pPr>
            <w:r w:rsidRPr="00DD1457">
              <w:t>800775/10955659</w:t>
            </w:r>
          </w:p>
        </w:tc>
        <w:tc>
          <w:tcPr>
            <w:tcW w:w="2802" w:type="dxa"/>
            <w:vMerge/>
            <w:shd w:val="clear" w:color="auto" w:fill="auto"/>
          </w:tcPr>
          <w:p w14:paraId="5C7ED307" w14:textId="77777777" w:rsidR="00E507D4" w:rsidRDefault="00E507D4" w:rsidP="00B95821">
            <w:pPr>
              <w:pStyle w:val="BodyText"/>
              <w:spacing w:before="100" w:after="100"/>
              <w:jc w:val="center"/>
              <w:rPr>
                <w:lang w:val="en-AU"/>
              </w:rPr>
            </w:pPr>
          </w:p>
        </w:tc>
      </w:tr>
    </w:tbl>
    <w:p w14:paraId="2F222934" w14:textId="77777777" w:rsidR="00E507D4" w:rsidRDefault="00E507D4" w:rsidP="00E507D4"/>
    <w:p w14:paraId="4C938263" w14:textId="77777777" w:rsidR="00E507D4" w:rsidRDefault="007569EB" w:rsidP="00E507D4">
      <w:pPr>
        <w:pStyle w:val="BodyText"/>
        <w:spacing w:after="360"/>
        <w:ind w:left="720"/>
      </w:pPr>
      <w:hyperlink r:id="rId853" w:history="1">
        <w:r w:rsidR="00E507D4" w:rsidRPr="00F271B8">
          <w:rPr>
            <w:rStyle w:val="Hyperlink"/>
            <w:i/>
            <w:szCs w:val="20"/>
          </w:rPr>
          <w:t>Fair Go Policy</w:t>
        </w:r>
      </w:hyperlink>
      <w:r w:rsidR="00E507D4" w:rsidRPr="00F271B8">
        <w:rPr>
          <w:szCs w:val="20"/>
        </w:rPr>
        <w:t xml:space="preserve"> applies</w:t>
      </w:r>
      <w:r w:rsidR="00E507D4">
        <w:rPr>
          <w:szCs w:val="20"/>
        </w:rPr>
        <w:t xml:space="preserve">. </w:t>
      </w:r>
      <w:r w:rsidR="00E507D4" w:rsidRPr="00F271B8">
        <w:rPr>
          <w:szCs w:val="20"/>
        </w:rPr>
        <w:t xml:space="preserve">For further details refer to </w:t>
      </w:r>
      <w:hyperlink r:id="rId854" w:history="1">
        <w:r w:rsidR="00E507D4" w:rsidRPr="00F271B8">
          <w:rPr>
            <w:rStyle w:val="Hyperlink"/>
            <w:i/>
            <w:szCs w:val="20"/>
          </w:rPr>
          <w:t>Appendix S</w:t>
        </w:r>
        <w:r w:rsidR="00E507D4" w:rsidRPr="00FE65F4">
          <w:rPr>
            <w:rStyle w:val="Hyperlink"/>
            <w:i/>
            <w:szCs w:val="20"/>
          </w:rPr>
          <w:t>.</w:t>
        </w:r>
      </w:hyperlink>
    </w:p>
    <w:p w14:paraId="51FDE947" w14:textId="77777777" w:rsidR="00E507D4" w:rsidRPr="00DF324D" w:rsidRDefault="00E507D4" w:rsidP="00E507D4">
      <w:pPr>
        <w:pStyle w:val="Heading4"/>
      </w:pPr>
      <w:bookmarkStart w:id="2226" w:name="_Toc494180650"/>
      <w:bookmarkStart w:id="2227" w:name="_Toc508362024"/>
      <w:bookmarkStart w:id="2228" w:name="_Toc62644713"/>
      <w:r>
        <w:t>$40 My Plan Business</w:t>
      </w:r>
      <w:r w:rsidRPr="002D452E">
        <w:t xml:space="preserve"> </w:t>
      </w:r>
      <w:r>
        <w:t xml:space="preserve">12M SIM - </w:t>
      </w:r>
      <w:r w:rsidRPr="002D452E">
        <w:t>Promotion</w:t>
      </w:r>
      <w:bookmarkEnd w:id="2226"/>
      <w:bookmarkEnd w:id="2227"/>
      <w:bookmarkEnd w:id="2228"/>
      <w:r w:rsidRPr="002D452E">
        <w:t xml:space="preserve"> </w:t>
      </w:r>
    </w:p>
    <w:p w14:paraId="14EB366A" w14:textId="77777777" w:rsidR="00E507D4" w:rsidRPr="003A271B" w:rsidRDefault="00E507D4" w:rsidP="00E507D4">
      <w:pPr>
        <w:pStyle w:val="BodyText"/>
      </w:pPr>
      <w:r w:rsidRPr="00FC5779">
        <w:rPr>
          <w:lang w:val="en-AU"/>
        </w:rPr>
        <w:t xml:space="preserve">This section relates to the following plans. </w:t>
      </w:r>
      <w:r w:rsidRPr="00FC5779">
        <w:rPr>
          <w:i/>
          <w:lang w:val="en-AU"/>
        </w:rPr>
        <w:t>You</w:t>
      </w:r>
      <w:r w:rsidRPr="00FC5779">
        <w:rPr>
          <w:lang w:val="en-AU"/>
        </w:rPr>
        <w:t xml:space="preserve"> can find </w:t>
      </w:r>
      <w:r w:rsidRPr="00FC5779">
        <w:rPr>
          <w:i/>
          <w:lang w:val="en-AU"/>
        </w:rPr>
        <w:t>your</w:t>
      </w:r>
      <w:r w:rsidRPr="00FC5779">
        <w:rPr>
          <w:lang w:val="en-AU"/>
        </w:rPr>
        <w:t xml:space="preserve"> Plan ID on </w:t>
      </w:r>
      <w:r w:rsidRPr="00FC5779">
        <w:rPr>
          <w:i/>
          <w:lang w:val="en-AU"/>
        </w:rPr>
        <w:t>your</w:t>
      </w:r>
      <w:r w:rsidRPr="00FC5779">
        <w:rPr>
          <w:lang w:val="en-AU"/>
        </w:rPr>
        <w:t xml:space="preserve"> bill under the Mobile Number Summary section:</w:t>
      </w:r>
    </w:p>
    <w:p w14:paraId="1E935062" w14:textId="77777777" w:rsidR="00E507D4" w:rsidRPr="005C1A82" w:rsidRDefault="00E507D4" w:rsidP="00E507D4">
      <w:pPr>
        <w:pStyle w:val="BodyText"/>
        <w:rPr>
          <w:rFonts w:cs="Arial"/>
          <w:szCs w:val="20"/>
        </w:rPr>
      </w:pPr>
      <w:r>
        <w:t>From 24 July 2017</w:t>
      </w:r>
      <w:r w:rsidR="00773E13">
        <w:t xml:space="preserve"> to 30 June 2018</w:t>
      </w:r>
      <w:r>
        <w:t>,</w:t>
      </w:r>
      <w:r w:rsidRPr="009C02DF">
        <w:t xml:space="preserve"> </w:t>
      </w:r>
      <w:r>
        <w:t xml:space="preserve">the $40 My Plan Business 12M SIM </w:t>
      </w:r>
      <w:r>
        <w:rPr>
          <w:rFonts w:eastAsia="Calibri" w:cs="Arial"/>
          <w:szCs w:val="20"/>
          <w:lang w:val="en-AU"/>
        </w:rPr>
        <w:t>(non-promotional Plan ID 800592/800644) will be</w:t>
      </w:r>
      <w:r w:rsidRPr="009C02DF">
        <w:t xml:space="preserve"> available</w:t>
      </w:r>
      <w:r>
        <w:t xml:space="preserve"> with bonus data for the life of the plan (15GB total data).</w:t>
      </w:r>
      <w:r w:rsidRPr="005C1A82">
        <w:rPr>
          <w:rFonts w:cs="Arial"/>
          <w:color w:val="191919"/>
          <w:szCs w:val="20"/>
          <w:lang w:val="en"/>
        </w:rPr>
        <w:t xml:space="preserve"> </w:t>
      </w:r>
    </w:p>
    <w:p w14:paraId="147F8B35" w14:textId="77777777" w:rsidR="00E507D4" w:rsidRPr="005C1A82" w:rsidRDefault="00E507D4" w:rsidP="00E507D4">
      <w:pPr>
        <w:pStyle w:val="BodyText"/>
      </w:pPr>
      <w:r>
        <w:t xml:space="preserve">This is a promotional plan available to </w:t>
      </w:r>
      <w:r w:rsidRPr="002D452E">
        <w:rPr>
          <w:iCs/>
        </w:rPr>
        <w:t xml:space="preserve">new and re-contracting </w:t>
      </w:r>
      <w:r>
        <w:rPr>
          <w:iCs/>
        </w:rPr>
        <w:t>services</w:t>
      </w:r>
      <w:r w:rsidRPr="002D452E">
        <w:rPr>
          <w:iCs/>
        </w:rPr>
        <w:t xml:space="preserve"> </w:t>
      </w:r>
      <w:r>
        <w:rPr>
          <w:iCs/>
        </w:rPr>
        <w:t xml:space="preserve">via Online and Telesales channels and new services via Retail channels </w:t>
      </w:r>
      <w:r>
        <w:t>that pass Optus' credit assessment.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481"/>
        <w:gridCol w:w="3756"/>
      </w:tblGrid>
      <w:tr w:rsidR="00E507D4" w:rsidRPr="00090AB3" w14:paraId="468012CA" w14:textId="77777777" w:rsidTr="00B95821">
        <w:tc>
          <w:tcPr>
            <w:tcW w:w="3510" w:type="dxa"/>
            <w:shd w:val="clear" w:color="auto" w:fill="auto"/>
          </w:tcPr>
          <w:p w14:paraId="7C0C2E4B" w14:textId="77777777" w:rsidR="00E507D4" w:rsidRPr="00EE0D35" w:rsidRDefault="00E507D4" w:rsidP="00B95821">
            <w:pPr>
              <w:pStyle w:val="BodyText"/>
              <w:spacing w:before="100" w:after="100"/>
              <w:jc w:val="center"/>
              <w:rPr>
                <w:b/>
                <w:lang w:val="en-AU"/>
              </w:rPr>
            </w:pPr>
            <w:r w:rsidRPr="00EE0D35">
              <w:rPr>
                <w:b/>
                <w:lang w:val="en-AU"/>
              </w:rPr>
              <w:t>Plan</w:t>
            </w:r>
          </w:p>
        </w:tc>
        <w:tc>
          <w:tcPr>
            <w:tcW w:w="2481" w:type="dxa"/>
            <w:shd w:val="clear" w:color="auto" w:fill="auto"/>
          </w:tcPr>
          <w:p w14:paraId="7A58DC5E" w14:textId="77777777" w:rsidR="00E507D4" w:rsidRPr="00EE0D35" w:rsidRDefault="00E507D4" w:rsidP="00B95821">
            <w:pPr>
              <w:pStyle w:val="BodyText"/>
              <w:spacing w:before="100" w:after="100"/>
              <w:jc w:val="center"/>
              <w:rPr>
                <w:b/>
                <w:lang w:val="en-AU"/>
              </w:rPr>
            </w:pPr>
            <w:r>
              <w:rPr>
                <w:b/>
                <w:lang w:val="en-AU"/>
              </w:rPr>
              <w:t xml:space="preserve">Promotional </w:t>
            </w:r>
            <w:r w:rsidRPr="00EE0D35">
              <w:rPr>
                <w:b/>
                <w:lang w:val="en-AU"/>
              </w:rPr>
              <w:t>Plan ID</w:t>
            </w:r>
          </w:p>
        </w:tc>
        <w:tc>
          <w:tcPr>
            <w:tcW w:w="3756" w:type="dxa"/>
            <w:shd w:val="clear" w:color="auto" w:fill="auto"/>
          </w:tcPr>
          <w:p w14:paraId="3E0AFC5B" w14:textId="77777777" w:rsidR="00E507D4" w:rsidRPr="00EE0D35" w:rsidRDefault="00E507D4" w:rsidP="00B95821">
            <w:pPr>
              <w:pStyle w:val="BodyText"/>
              <w:spacing w:before="100" w:after="100"/>
              <w:jc w:val="center"/>
              <w:rPr>
                <w:b/>
                <w:lang w:val="en-AU"/>
              </w:rPr>
            </w:pPr>
            <w:r w:rsidRPr="00EE0D35">
              <w:rPr>
                <w:b/>
                <w:lang w:val="en-AU"/>
              </w:rPr>
              <w:t>Available</w:t>
            </w:r>
          </w:p>
        </w:tc>
      </w:tr>
      <w:tr w:rsidR="00E507D4" w:rsidRPr="00A974C9" w14:paraId="3D1F292E" w14:textId="77777777" w:rsidTr="00B95821">
        <w:tc>
          <w:tcPr>
            <w:tcW w:w="3510" w:type="dxa"/>
            <w:shd w:val="clear" w:color="auto" w:fill="auto"/>
          </w:tcPr>
          <w:p w14:paraId="3A5DA028" w14:textId="77777777" w:rsidR="00E507D4" w:rsidRPr="00A974C9" w:rsidRDefault="00E507D4" w:rsidP="00B95821">
            <w:pPr>
              <w:pStyle w:val="BodyText"/>
              <w:spacing w:before="100" w:after="100"/>
              <w:jc w:val="center"/>
              <w:rPr>
                <w:lang w:val="en-AU"/>
              </w:rPr>
            </w:pPr>
            <w:r w:rsidRPr="003A271B">
              <w:t xml:space="preserve">$40 My Plan </w:t>
            </w:r>
            <w:r>
              <w:t>Business</w:t>
            </w:r>
            <w:r w:rsidRPr="003A271B">
              <w:t xml:space="preserve">12M SIM </w:t>
            </w:r>
          </w:p>
        </w:tc>
        <w:tc>
          <w:tcPr>
            <w:tcW w:w="2481" w:type="dxa"/>
            <w:shd w:val="clear" w:color="auto" w:fill="auto"/>
          </w:tcPr>
          <w:p w14:paraId="34D5F107" w14:textId="77777777" w:rsidR="00E507D4" w:rsidRPr="00A974C9" w:rsidRDefault="00E507D4" w:rsidP="00B95821">
            <w:pPr>
              <w:pStyle w:val="BodyText"/>
              <w:spacing w:before="100" w:after="100"/>
              <w:jc w:val="center"/>
            </w:pPr>
            <w:r w:rsidRPr="00E37DBA">
              <w:t>800740/10731341</w:t>
            </w:r>
          </w:p>
        </w:tc>
        <w:tc>
          <w:tcPr>
            <w:tcW w:w="3756" w:type="dxa"/>
            <w:shd w:val="clear" w:color="auto" w:fill="auto"/>
          </w:tcPr>
          <w:p w14:paraId="0E8C72DC" w14:textId="77777777" w:rsidR="00E507D4" w:rsidRPr="00A974C9" w:rsidRDefault="00E507D4" w:rsidP="00B95821">
            <w:pPr>
              <w:pStyle w:val="BodyText"/>
              <w:spacing w:before="100" w:after="100"/>
              <w:jc w:val="center"/>
            </w:pPr>
            <w:r>
              <w:t>24 July 2017</w:t>
            </w:r>
            <w:r w:rsidR="00362A0B" w:rsidRPr="00E85FA3">
              <w:t xml:space="preserve"> – 30 </w:t>
            </w:r>
            <w:r w:rsidR="00F66ADB">
              <w:t>June</w:t>
            </w:r>
            <w:r w:rsidR="00362A0B" w:rsidRPr="00E85FA3">
              <w:t xml:space="preserve"> 2018</w:t>
            </w:r>
          </w:p>
        </w:tc>
      </w:tr>
    </w:tbl>
    <w:p w14:paraId="6F7B9995" w14:textId="77777777" w:rsidR="00E507D4" w:rsidRDefault="00E507D4" w:rsidP="00E507D4"/>
    <w:p w14:paraId="73BFDB18" w14:textId="77777777" w:rsidR="00E507D4" w:rsidRPr="00F17914" w:rsidRDefault="007569EB" w:rsidP="00E507D4">
      <w:pPr>
        <w:pStyle w:val="BodyText"/>
        <w:spacing w:after="360"/>
        <w:rPr>
          <w:szCs w:val="20"/>
        </w:rPr>
      </w:pPr>
      <w:hyperlink r:id="rId855" w:history="1">
        <w:r w:rsidR="00E507D4" w:rsidRPr="008A01DD">
          <w:rPr>
            <w:rStyle w:val="Hyperlink"/>
            <w:i/>
            <w:szCs w:val="20"/>
          </w:rPr>
          <w:t>Fair Go Policy</w:t>
        </w:r>
      </w:hyperlink>
      <w:r w:rsidR="00E507D4" w:rsidRPr="008A01DD">
        <w:rPr>
          <w:szCs w:val="20"/>
        </w:rPr>
        <w:t xml:space="preserve"> applies. For further details refer to </w:t>
      </w:r>
      <w:hyperlink r:id="rId856" w:history="1">
        <w:r w:rsidR="00E507D4" w:rsidRPr="008A01DD">
          <w:rPr>
            <w:rStyle w:val="Hyperlink"/>
            <w:i/>
            <w:szCs w:val="20"/>
          </w:rPr>
          <w:t>Appendix S.</w:t>
        </w:r>
      </w:hyperlink>
    </w:p>
    <w:p w14:paraId="22450C33" w14:textId="77777777" w:rsidR="00E507D4" w:rsidRPr="00FC5779" w:rsidRDefault="00E507D4" w:rsidP="00E507D4">
      <w:pPr>
        <w:pStyle w:val="Heading4"/>
        <w:rPr>
          <w:lang w:val="en-AU"/>
        </w:rPr>
      </w:pPr>
      <w:bookmarkStart w:id="2229" w:name="_Toc488927382"/>
      <w:bookmarkStart w:id="2230" w:name="_Toc494180651"/>
      <w:bookmarkStart w:id="2231" w:name="_Toc508362025"/>
      <w:bookmarkStart w:id="2232" w:name="_Toc62644714"/>
      <w:r>
        <w:rPr>
          <w:lang w:val="en-AU"/>
        </w:rPr>
        <w:lastRenderedPageBreak/>
        <w:t>$160 Plans ($120 Promo)</w:t>
      </w:r>
      <w:bookmarkEnd w:id="2229"/>
      <w:bookmarkEnd w:id="2230"/>
      <w:bookmarkEnd w:id="2231"/>
      <w:bookmarkEnd w:id="2232"/>
    </w:p>
    <w:p w14:paraId="4DF1CA55" w14:textId="77777777" w:rsidR="00E507D4" w:rsidRPr="00317422" w:rsidRDefault="00E507D4" w:rsidP="00E507D4">
      <w:pPr>
        <w:pStyle w:val="BodyText"/>
      </w:pPr>
      <w:r w:rsidRPr="00FC5779">
        <w:rPr>
          <w:lang w:val="en-AU"/>
        </w:rPr>
        <w:t xml:space="preserve">This section relates to the following plans. </w:t>
      </w:r>
      <w:r w:rsidRPr="00FC5779">
        <w:rPr>
          <w:i/>
          <w:lang w:val="en-AU"/>
        </w:rPr>
        <w:t>You</w:t>
      </w:r>
      <w:r w:rsidRPr="00FC5779">
        <w:rPr>
          <w:lang w:val="en-AU"/>
        </w:rPr>
        <w:t xml:space="preserve"> can find </w:t>
      </w:r>
      <w:r w:rsidRPr="00FC5779">
        <w:rPr>
          <w:i/>
          <w:lang w:val="en-AU"/>
        </w:rPr>
        <w:t>your</w:t>
      </w:r>
      <w:r w:rsidRPr="00FC5779">
        <w:rPr>
          <w:lang w:val="en-AU"/>
        </w:rPr>
        <w:t xml:space="preserve"> Plan ID on </w:t>
      </w:r>
      <w:r w:rsidRPr="00FC5779">
        <w:rPr>
          <w:i/>
          <w:lang w:val="en-AU"/>
        </w:rPr>
        <w:t>your</w:t>
      </w:r>
      <w:r w:rsidRPr="00FC5779">
        <w:rPr>
          <w:lang w:val="en-AU"/>
        </w:rPr>
        <w:t xml:space="preserve"> bill under the Mobile Number Summary section:</w:t>
      </w:r>
    </w:p>
    <w:p w14:paraId="4FEBF57F" w14:textId="77777777" w:rsidR="00E507D4" w:rsidRPr="005C1A82" w:rsidRDefault="00E507D4" w:rsidP="00E507D4">
      <w:pPr>
        <w:pStyle w:val="BodyText"/>
        <w:rPr>
          <w:rFonts w:cs="Arial"/>
          <w:szCs w:val="20"/>
        </w:rPr>
      </w:pPr>
      <w:r>
        <w:t>From 15 September 2017</w:t>
      </w:r>
      <w:r w:rsidR="00773E13">
        <w:t xml:space="preserve"> to 30 June 2018</w:t>
      </w:r>
      <w:r>
        <w:t>,</w:t>
      </w:r>
      <w:r w:rsidRPr="009C02DF">
        <w:t xml:space="preserve"> </w:t>
      </w:r>
      <w:r>
        <w:t xml:space="preserve">$160 My Plan Business </w:t>
      </w:r>
      <w:r>
        <w:rPr>
          <w:rFonts w:eastAsia="Calibri" w:cs="Arial"/>
          <w:szCs w:val="20"/>
          <w:lang w:val="en-AU"/>
        </w:rPr>
        <w:t xml:space="preserve">(non-promotional plan ID </w:t>
      </w:r>
      <w:r w:rsidRPr="005052F2">
        <w:rPr>
          <w:rFonts w:eastAsia="Calibri" w:cs="Arial"/>
          <w:szCs w:val="20"/>
          <w:lang w:val="en-AU"/>
        </w:rPr>
        <w:t>800648, 10595174</w:t>
      </w:r>
      <w:r>
        <w:rPr>
          <w:rFonts w:eastAsia="Calibri" w:cs="Arial"/>
          <w:szCs w:val="20"/>
          <w:lang w:val="en-AU"/>
        </w:rPr>
        <w:t>)</w:t>
      </w:r>
      <w:r>
        <w:t xml:space="preserve"> </w:t>
      </w:r>
      <w:r>
        <w:rPr>
          <w:rFonts w:eastAsia="Calibri" w:cs="Arial"/>
          <w:szCs w:val="20"/>
          <w:lang w:val="en-AU"/>
        </w:rPr>
        <w:t xml:space="preserve">and $160 My Plan Business Flex (non-promotional plan ID </w:t>
      </w:r>
      <w:r w:rsidRPr="005052F2">
        <w:rPr>
          <w:rFonts w:eastAsia="Calibri" w:cs="Arial"/>
          <w:szCs w:val="20"/>
          <w:lang w:val="en-AU"/>
        </w:rPr>
        <w:t>800683/10625014</w:t>
      </w:r>
      <w:r>
        <w:rPr>
          <w:rFonts w:eastAsia="Calibri" w:cs="Arial"/>
          <w:szCs w:val="20"/>
          <w:lang w:val="en-AU"/>
        </w:rPr>
        <w:t>) will be</w:t>
      </w:r>
      <w:r w:rsidRPr="009C02DF">
        <w:t xml:space="preserve"> available</w:t>
      </w:r>
      <w:r>
        <w:t xml:space="preserve"> with a monthly discount of $40 per month for the life of the plan.</w:t>
      </w:r>
      <w:r w:rsidRPr="005C1A82">
        <w:rPr>
          <w:rFonts w:cs="Arial"/>
          <w:color w:val="191919"/>
          <w:szCs w:val="20"/>
          <w:lang w:val="en"/>
        </w:rPr>
        <w:t xml:space="preserve"> </w:t>
      </w:r>
      <w:r>
        <w:rPr>
          <w:rFonts w:cs="Arial"/>
          <w:color w:val="191919"/>
          <w:szCs w:val="20"/>
          <w:lang w:val="en"/>
        </w:rPr>
        <w:t xml:space="preserve">Discount will apply on </w:t>
      </w:r>
      <w:r w:rsidRPr="005C1A82">
        <w:rPr>
          <w:rFonts w:cs="Arial"/>
          <w:color w:val="191919"/>
          <w:szCs w:val="20"/>
          <w:lang w:val="en"/>
        </w:rPr>
        <w:t xml:space="preserve">the monthly access fee until </w:t>
      </w:r>
      <w:r w:rsidRPr="005C1A82">
        <w:rPr>
          <w:rFonts w:cs="Arial"/>
          <w:i/>
          <w:color w:val="191919"/>
          <w:szCs w:val="20"/>
          <w:lang w:val="en"/>
        </w:rPr>
        <w:t>you</w:t>
      </w:r>
      <w:r w:rsidRPr="005C1A82">
        <w:rPr>
          <w:rFonts w:cs="Arial"/>
          <w:color w:val="191919"/>
          <w:szCs w:val="20"/>
          <w:lang w:val="en"/>
        </w:rPr>
        <w:t xml:space="preserve"> recontract, change or cancel your plan</w:t>
      </w:r>
      <w:r>
        <w:rPr>
          <w:rFonts w:cs="Arial"/>
          <w:color w:val="191919"/>
          <w:szCs w:val="20"/>
          <w:lang w:val="en"/>
        </w:rPr>
        <w:t>, whichever is earlier</w:t>
      </w:r>
      <w:r w:rsidRPr="005C1A82">
        <w:rPr>
          <w:rFonts w:cs="Arial"/>
          <w:color w:val="191919"/>
          <w:szCs w:val="20"/>
          <w:lang w:val="en"/>
        </w:rPr>
        <w:t>.</w:t>
      </w:r>
    </w:p>
    <w:p w14:paraId="2A35E214" w14:textId="77777777" w:rsidR="00E507D4" w:rsidRPr="005C1A82" w:rsidRDefault="00E507D4" w:rsidP="00E507D4">
      <w:pPr>
        <w:pStyle w:val="BodyText"/>
      </w:pPr>
      <w:r>
        <w:t xml:space="preserve">This is a promotional plan available </w:t>
      </w:r>
      <w:r w:rsidRPr="009C02DF">
        <w:t>to new and existing mobile customers</w:t>
      </w:r>
      <w:r>
        <w:t xml:space="preserve"> who connect to a new or re-contracting </w:t>
      </w:r>
      <w:r w:rsidRPr="009C02DF">
        <w:rPr>
          <w:i/>
        </w:rPr>
        <w:t xml:space="preserve">service </w:t>
      </w:r>
      <w:r>
        <w:t>that pass Optus' credit assessment.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827"/>
        <w:gridCol w:w="3431"/>
      </w:tblGrid>
      <w:tr w:rsidR="00E507D4" w:rsidRPr="00090AB3" w14:paraId="415DFA3E" w14:textId="77777777" w:rsidTr="00362A0B">
        <w:tc>
          <w:tcPr>
            <w:tcW w:w="3085" w:type="dxa"/>
            <w:shd w:val="clear" w:color="auto" w:fill="auto"/>
          </w:tcPr>
          <w:p w14:paraId="702EE40B" w14:textId="77777777" w:rsidR="00E507D4" w:rsidRPr="00EE0D35" w:rsidRDefault="00E507D4" w:rsidP="00B95821">
            <w:pPr>
              <w:pStyle w:val="BodyText"/>
              <w:spacing w:before="100" w:after="100"/>
              <w:jc w:val="center"/>
              <w:rPr>
                <w:b/>
                <w:lang w:val="en-AU"/>
              </w:rPr>
            </w:pPr>
            <w:r w:rsidRPr="00EE0D35">
              <w:rPr>
                <w:b/>
                <w:lang w:val="en-AU"/>
              </w:rPr>
              <w:t>Plan</w:t>
            </w:r>
          </w:p>
        </w:tc>
        <w:tc>
          <w:tcPr>
            <w:tcW w:w="3827" w:type="dxa"/>
            <w:shd w:val="clear" w:color="auto" w:fill="auto"/>
          </w:tcPr>
          <w:p w14:paraId="51EF5E79" w14:textId="77777777" w:rsidR="00E507D4" w:rsidRPr="00EE0D35" w:rsidRDefault="00E507D4" w:rsidP="00B95821">
            <w:pPr>
              <w:pStyle w:val="BodyText"/>
              <w:spacing w:before="100" w:after="100"/>
              <w:jc w:val="center"/>
              <w:rPr>
                <w:b/>
                <w:lang w:val="en-AU"/>
              </w:rPr>
            </w:pPr>
            <w:r>
              <w:rPr>
                <w:b/>
                <w:lang w:val="en-AU"/>
              </w:rPr>
              <w:t xml:space="preserve">Promotional </w:t>
            </w:r>
            <w:r w:rsidRPr="00EE0D35">
              <w:rPr>
                <w:b/>
                <w:lang w:val="en-AU"/>
              </w:rPr>
              <w:t>Plan ID</w:t>
            </w:r>
          </w:p>
        </w:tc>
        <w:tc>
          <w:tcPr>
            <w:tcW w:w="3431" w:type="dxa"/>
            <w:shd w:val="clear" w:color="auto" w:fill="auto"/>
          </w:tcPr>
          <w:p w14:paraId="6708381F" w14:textId="77777777" w:rsidR="00E507D4" w:rsidRPr="00EE0D35" w:rsidRDefault="00E507D4" w:rsidP="00B95821">
            <w:pPr>
              <w:pStyle w:val="BodyText"/>
              <w:spacing w:before="100" w:after="100"/>
              <w:jc w:val="center"/>
              <w:rPr>
                <w:b/>
                <w:lang w:val="en-AU"/>
              </w:rPr>
            </w:pPr>
            <w:r w:rsidRPr="00EE0D35">
              <w:rPr>
                <w:b/>
                <w:lang w:val="en-AU"/>
              </w:rPr>
              <w:t>Available</w:t>
            </w:r>
          </w:p>
        </w:tc>
      </w:tr>
      <w:tr w:rsidR="00E507D4" w:rsidRPr="00A974C9" w14:paraId="4466F10F" w14:textId="77777777" w:rsidTr="00362A0B">
        <w:tc>
          <w:tcPr>
            <w:tcW w:w="3085" w:type="dxa"/>
            <w:shd w:val="clear" w:color="auto" w:fill="auto"/>
          </w:tcPr>
          <w:p w14:paraId="4D55F576" w14:textId="77777777" w:rsidR="00E507D4" w:rsidRPr="00A974C9" w:rsidRDefault="00E507D4" w:rsidP="00B95821">
            <w:pPr>
              <w:pStyle w:val="BodyText"/>
              <w:spacing w:before="100" w:after="100"/>
              <w:jc w:val="center"/>
              <w:rPr>
                <w:lang w:val="en-AU"/>
              </w:rPr>
            </w:pPr>
            <w:r>
              <w:t>$160 My Plan Business</w:t>
            </w:r>
          </w:p>
        </w:tc>
        <w:tc>
          <w:tcPr>
            <w:tcW w:w="3827" w:type="dxa"/>
            <w:shd w:val="clear" w:color="auto" w:fill="auto"/>
          </w:tcPr>
          <w:p w14:paraId="75B6A102" w14:textId="77777777" w:rsidR="00E507D4" w:rsidRPr="00A974C9" w:rsidRDefault="00E507D4" w:rsidP="00B95821">
            <w:pPr>
              <w:pStyle w:val="BodyText"/>
              <w:spacing w:before="100" w:after="100"/>
              <w:jc w:val="center"/>
            </w:pPr>
            <w:r w:rsidRPr="005052F2">
              <w:t>800777/11174849</w:t>
            </w:r>
          </w:p>
        </w:tc>
        <w:tc>
          <w:tcPr>
            <w:tcW w:w="3431" w:type="dxa"/>
            <w:vMerge w:val="restart"/>
            <w:shd w:val="clear" w:color="auto" w:fill="auto"/>
          </w:tcPr>
          <w:p w14:paraId="7A4BAE34" w14:textId="77777777" w:rsidR="00E507D4" w:rsidRPr="00A974C9" w:rsidRDefault="00E507D4" w:rsidP="00B95821">
            <w:pPr>
              <w:pStyle w:val="BodyText"/>
              <w:spacing w:before="100" w:after="100"/>
              <w:jc w:val="center"/>
            </w:pPr>
            <w:r>
              <w:rPr>
                <w:lang w:val="en-AU"/>
              </w:rPr>
              <w:t>15 September 2017</w:t>
            </w:r>
            <w:r w:rsidR="00362A0B" w:rsidRPr="00E85FA3">
              <w:t xml:space="preserve"> – 30 </w:t>
            </w:r>
            <w:r w:rsidR="00F66ADB">
              <w:t>June</w:t>
            </w:r>
            <w:r w:rsidR="00362A0B" w:rsidRPr="00E85FA3">
              <w:t xml:space="preserve"> 2018</w:t>
            </w:r>
          </w:p>
        </w:tc>
      </w:tr>
      <w:tr w:rsidR="00E507D4" w:rsidRPr="00A974C9" w14:paraId="51B52287" w14:textId="77777777" w:rsidTr="00362A0B">
        <w:tc>
          <w:tcPr>
            <w:tcW w:w="3085" w:type="dxa"/>
            <w:shd w:val="clear" w:color="auto" w:fill="auto"/>
          </w:tcPr>
          <w:p w14:paraId="3C3AA324" w14:textId="77777777" w:rsidR="00E507D4" w:rsidRDefault="00E507D4" w:rsidP="00B95821">
            <w:pPr>
              <w:pStyle w:val="BodyText"/>
              <w:spacing w:before="100" w:after="100"/>
              <w:jc w:val="center"/>
            </w:pPr>
            <w:r>
              <w:rPr>
                <w:rFonts w:eastAsia="Calibri" w:cs="Arial"/>
                <w:szCs w:val="20"/>
                <w:lang w:val="en-AU"/>
              </w:rPr>
              <w:t>$160 My Plan Business Flex</w:t>
            </w:r>
          </w:p>
        </w:tc>
        <w:tc>
          <w:tcPr>
            <w:tcW w:w="3827" w:type="dxa"/>
            <w:shd w:val="clear" w:color="auto" w:fill="auto"/>
            <w:vAlign w:val="center"/>
          </w:tcPr>
          <w:p w14:paraId="30917BFD" w14:textId="77777777" w:rsidR="00E507D4" w:rsidRDefault="00E507D4" w:rsidP="00B95821">
            <w:pPr>
              <w:pStyle w:val="BodyText"/>
              <w:spacing w:before="100" w:after="100"/>
              <w:jc w:val="center"/>
            </w:pPr>
            <w:r w:rsidRPr="005052F2">
              <w:rPr>
                <w:rFonts w:eastAsia="Calibri" w:cs="Arial"/>
                <w:szCs w:val="20"/>
              </w:rPr>
              <w:t>800779/11174979</w:t>
            </w:r>
          </w:p>
        </w:tc>
        <w:tc>
          <w:tcPr>
            <w:tcW w:w="3431" w:type="dxa"/>
            <w:vMerge/>
            <w:shd w:val="clear" w:color="auto" w:fill="auto"/>
          </w:tcPr>
          <w:p w14:paraId="584E5F91" w14:textId="77777777" w:rsidR="00E507D4" w:rsidRDefault="00E507D4" w:rsidP="00B95821">
            <w:pPr>
              <w:pStyle w:val="BodyText"/>
              <w:spacing w:before="100" w:after="100"/>
              <w:jc w:val="center"/>
              <w:rPr>
                <w:lang w:val="en-AU"/>
              </w:rPr>
            </w:pPr>
          </w:p>
        </w:tc>
      </w:tr>
    </w:tbl>
    <w:p w14:paraId="2CFA819E" w14:textId="77777777" w:rsidR="00E507D4" w:rsidRDefault="00E507D4" w:rsidP="00E507D4">
      <w:pPr>
        <w:rPr>
          <w:sz w:val="20"/>
          <w:szCs w:val="20"/>
        </w:rPr>
      </w:pPr>
    </w:p>
    <w:p w14:paraId="214B4572" w14:textId="77777777" w:rsidR="00E507D4" w:rsidRPr="008A01DD" w:rsidRDefault="007569EB" w:rsidP="00E507D4">
      <w:pPr>
        <w:pStyle w:val="BodyText"/>
        <w:rPr>
          <w:szCs w:val="20"/>
        </w:rPr>
      </w:pPr>
      <w:hyperlink r:id="rId857" w:history="1">
        <w:r w:rsidR="00E507D4" w:rsidRPr="008A01DD">
          <w:rPr>
            <w:rStyle w:val="Hyperlink"/>
            <w:i/>
            <w:szCs w:val="20"/>
          </w:rPr>
          <w:t>Fair Go Policy</w:t>
        </w:r>
      </w:hyperlink>
      <w:r w:rsidR="00E507D4" w:rsidRPr="008A01DD">
        <w:rPr>
          <w:szCs w:val="20"/>
        </w:rPr>
        <w:t xml:space="preserve"> applies. For further details refer to </w:t>
      </w:r>
      <w:hyperlink r:id="rId858" w:history="1">
        <w:r w:rsidR="00E507D4" w:rsidRPr="008A01DD">
          <w:rPr>
            <w:rStyle w:val="Hyperlink"/>
            <w:i/>
            <w:szCs w:val="20"/>
          </w:rPr>
          <w:t>Appendix S.</w:t>
        </w:r>
      </w:hyperlink>
    </w:p>
    <w:p w14:paraId="5FB3DEFC" w14:textId="77777777" w:rsidR="00E507D4" w:rsidRDefault="00E507D4" w:rsidP="00E507D4">
      <w:pPr>
        <w:rPr>
          <w:sz w:val="20"/>
          <w:szCs w:val="20"/>
        </w:rPr>
      </w:pPr>
    </w:p>
    <w:p w14:paraId="127E48B5" w14:textId="77777777" w:rsidR="00E507D4" w:rsidRPr="00B7364B" w:rsidRDefault="00E507D4" w:rsidP="00E507D4">
      <w:pPr>
        <w:pStyle w:val="Heading4"/>
      </w:pPr>
      <w:bookmarkStart w:id="2233" w:name="_Toc494180652"/>
      <w:bookmarkStart w:id="2234" w:name="_Toc508362026"/>
      <w:bookmarkStart w:id="2235" w:name="_Toc62644715"/>
      <w:r>
        <w:t xml:space="preserve">$85 </w:t>
      </w:r>
      <w:r w:rsidRPr="00B7364B">
        <w:t>Business Plan</w:t>
      </w:r>
      <w:bookmarkEnd w:id="2233"/>
      <w:bookmarkEnd w:id="2234"/>
      <w:bookmarkEnd w:id="2235"/>
    </w:p>
    <w:p w14:paraId="11B81575" w14:textId="77777777" w:rsidR="00E507D4" w:rsidRPr="00B7364B" w:rsidRDefault="00E507D4" w:rsidP="00E507D4">
      <w:pPr>
        <w:spacing w:after="200"/>
        <w:ind w:left="720"/>
        <w:rPr>
          <w:sz w:val="20"/>
        </w:rPr>
      </w:pPr>
      <w:r w:rsidRPr="00B7364B">
        <w:rPr>
          <w:sz w:val="20"/>
        </w:rPr>
        <w:t xml:space="preserve">This section relates to the following plans. </w:t>
      </w:r>
      <w:r w:rsidRPr="00B7364B">
        <w:rPr>
          <w:i/>
          <w:sz w:val="20"/>
        </w:rPr>
        <w:t>You</w:t>
      </w:r>
      <w:r w:rsidRPr="00B7364B">
        <w:rPr>
          <w:sz w:val="20"/>
        </w:rPr>
        <w:t xml:space="preserve"> can find </w:t>
      </w:r>
      <w:r w:rsidRPr="00B7364B">
        <w:rPr>
          <w:i/>
          <w:sz w:val="20"/>
        </w:rPr>
        <w:t>your</w:t>
      </w:r>
      <w:r w:rsidRPr="00B7364B">
        <w:rPr>
          <w:sz w:val="20"/>
        </w:rPr>
        <w:t xml:space="preserve"> Plan ID on </w:t>
      </w:r>
      <w:r w:rsidRPr="00B7364B">
        <w:rPr>
          <w:i/>
          <w:sz w:val="20"/>
        </w:rPr>
        <w:t>your</w:t>
      </w:r>
      <w:r w:rsidRPr="00B7364B">
        <w:rPr>
          <w:sz w:val="20"/>
        </w:rPr>
        <w:t xml:space="preserve"> bill under the Mobile Number Summary section:</w:t>
      </w:r>
    </w:p>
    <w:tbl>
      <w:tblPr>
        <w:tblW w:w="838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0"/>
        <w:gridCol w:w="1918"/>
        <w:gridCol w:w="3600"/>
      </w:tblGrid>
      <w:tr w:rsidR="00E507D4" w:rsidRPr="00B7364B" w14:paraId="3A639A2A" w14:textId="77777777" w:rsidTr="00B95821">
        <w:tc>
          <w:tcPr>
            <w:tcW w:w="2870" w:type="dxa"/>
            <w:shd w:val="clear" w:color="auto" w:fill="auto"/>
          </w:tcPr>
          <w:p w14:paraId="5E1BEAD7" w14:textId="77777777" w:rsidR="00E507D4" w:rsidRPr="00B7364B" w:rsidRDefault="00E507D4" w:rsidP="00B95821">
            <w:pPr>
              <w:spacing w:before="100" w:after="100"/>
              <w:jc w:val="center"/>
              <w:rPr>
                <w:b/>
                <w:sz w:val="20"/>
              </w:rPr>
            </w:pPr>
            <w:r w:rsidRPr="00B7364B">
              <w:rPr>
                <w:b/>
                <w:sz w:val="20"/>
              </w:rPr>
              <w:t>Plan</w:t>
            </w:r>
          </w:p>
        </w:tc>
        <w:tc>
          <w:tcPr>
            <w:tcW w:w="1918" w:type="dxa"/>
            <w:shd w:val="clear" w:color="auto" w:fill="auto"/>
          </w:tcPr>
          <w:p w14:paraId="700D22ED" w14:textId="77777777" w:rsidR="00E507D4" w:rsidRPr="00B7364B" w:rsidRDefault="00E507D4" w:rsidP="00B95821">
            <w:pPr>
              <w:spacing w:before="100" w:after="100"/>
              <w:jc w:val="center"/>
              <w:rPr>
                <w:b/>
                <w:sz w:val="20"/>
              </w:rPr>
            </w:pPr>
            <w:r w:rsidRPr="00B7364B">
              <w:rPr>
                <w:b/>
                <w:sz w:val="20"/>
              </w:rPr>
              <w:t>Plan ID</w:t>
            </w:r>
          </w:p>
        </w:tc>
        <w:tc>
          <w:tcPr>
            <w:tcW w:w="3600" w:type="dxa"/>
            <w:shd w:val="clear" w:color="auto" w:fill="auto"/>
          </w:tcPr>
          <w:p w14:paraId="4301E2B9" w14:textId="77777777" w:rsidR="00E507D4" w:rsidRPr="00B7364B" w:rsidRDefault="00E507D4" w:rsidP="00B95821">
            <w:pPr>
              <w:spacing w:before="100" w:after="100"/>
              <w:jc w:val="center"/>
              <w:rPr>
                <w:b/>
                <w:sz w:val="20"/>
              </w:rPr>
            </w:pPr>
            <w:r w:rsidRPr="00B7364B">
              <w:rPr>
                <w:b/>
                <w:sz w:val="20"/>
              </w:rPr>
              <w:t>Available</w:t>
            </w:r>
          </w:p>
        </w:tc>
      </w:tr>
      <w:tr w:rsidR="00E507D4" w:rsidRPr="00B7364B" w14:paraId="27806882" w14:textId="77777777" w:rsidTr="00B95821">
        <w:tc>
          <w:tcPr>
            <w:tcW w:w="2870" w:type="dxa"/>
            <w:shd w:val="clear" w:color="auto" w:fill="auto"/>
          </w:tcPr>
          <w:p w14:paraId="1A1E17A0" w14:textId="77777777" w:rsidR="00E507D4" w:rsidRPr="00B7364B" w:rsidRDefault="00E507D4" w:rsidP="00B95821">
            <w:pPr>
              <w:spacing w:before="100" w:after="100"/>
              <w:jc w:val="center"/>
              <w:rPr>
                <w:sz w:val="20"/>
              </w:rPr>
            </w:pPr>
            <w:r>
              <w:rPr>
                <w:sz w:val="20"/>
              </w:rPr>
              <w:t>$8</w:t>
            </w:r>
            <w:r w:rsidRPr="00B7364B">
              <w:rPr>
                <w:sz w:val="20"/>
              </w:rPr>
              <w:t>5 Business Plan</w:t>
            </w:r>
          </w:p>
        </w:tc>
        <w:tc>
          <w:tcPr>
            <w:tcW w:w="1918" w:type="dxa"/>
            <w:shd w:val="clear" w:color="auto" w:fill="auto"/>
            <w:vAlign w:val="center"/>
          </w:tcPr>
          <w:p w14:paraId="0F7D0ADA" w14:textId="77777777" w:rsidR="00E507D4" w:rsidRPr="00B7364B" w:rsidRDefault="00E507D4" w:rsidP="00B95821">
            <w:pPr>
              <w:spacing w:before="100" w:after="100"/>
              <w:jc w:val="center"/>
              <w:rPr>
                <w:sz w:val="20"/>
              </w:rPr>
            </w:pPr>
            <w:r w:rsidRPr="0088231B">
              <w:rPr>
                <w:sz w:val="20"/>
              </w:rPr>
              <w:t>800790/11248389</w:t>
            </w:r>
          </w:p>
        </w:tc>
        <w:tc>
          <w:tcPr>
            <w:tcW w:w="3600" w:type="dxa"/>
            <w:shd w:val="clear" w:color="auto" w:fill="auto"/>
          </w:tcPr>
          <w:p w14:paraId="4B1609BD" w14:textId="77777777" w:rsidR="00E507D4" w:rsidRPr="00B7364B" w:rsidRDefault="00E507D4" w:rsidP="00B95821">
            <w:pPr>
              <w:spacing w:before="100" w:after="100"/>
              <w:jc w:val="center"/>
              <w:rPr>
                <w:sz w:val="20"/>
              </w:rPr>
            </w:pPr>
            <w:r>
              <w:rPr>
                <w:sz w:val="20"/>
              </w:rPr>
              <w:t>22 September 2017</w:t>
            </w:r>
            <w:r w:rsidR="00362A0B" w:rsidRPr="00E85FA3">
              <w:rPr>
                <w:sz w:val="20"/>
              </w:rPr>
              <w:t xml:space="preserve"> – 30 </w:t>
            </w:r>
            <w:r w:rsidR="00F66ADB">
              <w:rPr>
                <w:sz w:val="20"/>
              </w:rPr>
              <w:t>June</w:t>
            </w:r>
            <w:r w:rsidR="00362A0B" w:rsidRPr="00E85FA3">
              <w:rPr>
                <w:sz w:val="20"/>
              </w:rPr>
              <w:t xml:space="preserve"> 2018</w:t>
            </w:r>
          </w:p>
        </w:tc>
      </w:tr>
    </w:tbl>
    <w:p w14:paraId="04361CB2" w14:textId="77777777" w:rsidR="00E507D4" w:rsidRPr="00B7364B" w:rsidRDefault="00E507D4" w:rsidP="00E507D4">
      <w:pPr>
        <w:spacing w:after="200"/>
        <w:rPr>
          <w:sz w:val="20"/>
        </w:rPr>
      </w:pPr>
    </w:p>
    <w:p w14:paraId="2AF7877F" w14:textId="77777777" w:rsidR="00E507D4" w:rsidRPr="00B7364B" w:rsidRDefault="00E507D4" w:rsidP="00E507D4">
      <w:pPr>
        <w:pStyle w:val="Heading6"/>
        <w:spacing w:before="240"/>
        <w:ind w:left="0" w:firstLine="0"/>
        <w:rPr>
          <w:bCs w:val="0"/>
        </w:rPr>
      </w:pPr>
      <w:bookmarkStart w:id="2236" w:name="_Toc494180653"/>
      <w:bookmarkStart w:id="2237" w:name="_Toc508362027"/>
      <w:r w:rsidRPr="00B7364B">
        <w:rPr>
          <w:bCs w:val="0"/>
        </w:rPr>
        <w:t>Eligibility</w:t>
      </w:r>
      <w:bookmarkEnd w:id="2236"/>
      <w:bookmarkEnd w:id="2237"/>
    </w:p>
    <w:p w14:paraId="7515DAC4" w14:textId="77777777" w:rsidR="00E507D4" w:rsidRPr="00B7364B" w:rsidRDefault="00E507D4" w:rsidP="00E507D4">
      <w:pPr>
        <w:spacing w:after="200"/>
        <w:ind w:left="720"/>
        <w:rPr>
          <w:sz w:val="20"/>
        </w:rPr>
      </w:pPr>
      <w:r w:rsidRPr="00B7364B">
        <w:rPr>
          <w:sz w:val="20"/>
        </w:rPr>
        <w:t>The Busine</w:t>
      </w:r>
      <w:r>
        <w:rPr>
          <w:sz w:val="20"/>
        </w:rPr>
        <w:t>ss Plan is</w:t>
      </w:r>
      <w:r w:rsidRPr="00B7364B">
        <w:rPr>
          <w:sz w:val="20"/>
        </w:rPr>
        <w:t xml:space="preserve"> available to new and existing mobile customers connecting to the </w:t>
      </w:r>
      <w:r w:rsidRPr="00B7364B">
        <w:rPr>
          <w:i/>
          <w:sz w:val="20"/>
        </w:rPr>
        <w:t xml:space="preserve">service </w:t>
      </w:r>
      <w:r w:rsidRPr="00B7364B">
        <w:rPr>
          <w:sz w:val="20"/>
        </w:rPr>
        <w:t xml:space="preserve">who pass Optus' credit assessment. </w:t>
      </w:r>
    </w:p>
    <w:p w14:paraId="627683EB" w14:textId="77777777" w:rsidR="00E507D4" w:rsidRPr="00B7364B" w:rsidRDefault="00E507D4" w:rsidP="00E507D4">
      <w:pPr>
        <w:spacing w:after="200"/>
        <w:ind w:left="720"/>
        <w:rPr>
          <w:sz w:val="20"/>
        </w:rPr>
      </w:pPr>
      <w:r w:rsidRPr="00B7364B">
        <w:rPr>
          <w:sz w:val="20"/>
        </w:rPr>
        <w:t>Optus Service Providers' customers are not eligible to apply</w:t>
      </w:r>
      <w:r w:rsidRPr="00B7364B">
        <w:rPr>
          <w:snapToGrid w:val="0"/>
          <w:sz w:val="20"/>
        </w:rPr>
        <w:t>.</w:t>
      </w:r>
    </w:p>
    <w:p w14:paraId="77AFABCE" w14:textId="77777777" w:rsidR="00E507D4" w:rsidRDefault="00E507D4" w:rsidP="00E507D4">
      <w:pPr>
        <w:spacing w:after="200"/>
        <w:ind w:left="720"/>
        <w:rPr>
          <w:sz w:val="20"/>
        </w:rPr>
      </w:pPr>
      <w:r w:rsidRPr="00B7364B">
        <w:rPr>
          <w:sz w:val="20"/>
        </w:rPr>
        <w:t xml:space="preserve">These </w:t>
      </w:r>
      <w:r w:rsidRPr="00B7364B">
        <w:rPr>
          <w:i/>
          <w:sz w:val="20"/>
        </w:rPr>
        <w:t>plans</w:t>
      </w:r>
      <w:r w:rsidRPr="00B7364B">
        <w:rPr>
          <w:sz w:val="20"/>
        </w:rPr>
        <w:t xml:space="preserve"> aren't compatible for data use with BlackBerry handsets on operating systems of 7.1 or earlier.</w:t>
      </w:r>
    </w:p>
    <w:p w14:paraId="295EEB15" w14:textId="77777777" w:rsidR="00E507D4" w:rsidRDefault="00E507D4" w:rsidP="00E507D4">
      <w:pPr>
        <w:spacing w:after="200"/>
        <w:ind w:left="720"/>
        <w:rPr>
          <w:sz w:val="20"/>
        </w:rPr>
      </w:pPr>
      <w:r w:rsidRPr="00656EA8">
        <w:rPr>
          <w:sz w:val="20"/>
        </w:rPr>
        <w:t>This is a promotional plan tha</w:t>
      </w:r>
      <w:r>
        <w:rPr>
          <w:sz w:val="20"/>
        </w:rPr>
        <w:t xml:space="preserve">t is only available to selected </w:t>
      </w:r>
      <w:r w:rsidRPr="00656EA8">
        <w:rPr>
          <w:sz w:val="20"/>
        </w:rPr>
        <w:t>customers via Business Chan</w:t>
      </w:r>
      <w:r>
        <w:rPr>
          <w:sz w:val="20"/>
        </w:rPr>
        <w:t xml:space="preserve">nel Partners. Only available to new and recontracting services </w:t>
      </w:r>
      <w:r w:rsidRPr="00656EA8">
        <w:rPr>
          <w:sz w:val="20"/>
        </w:rPr>
        <w:t xml:space="preserve">can be activated onto this plan. </w:t>
      </w:r>
    </w:p>
    <w:p w14:paraId="396D582D" w14:textId="77777777" w:rsidR="00E507D4" w:rsidRDefault="00E507D4" w:rsidP="00E507D4">
      <w:pPr>
        <w:spacing w:after="200"/>
        <w:ind w:left="720"/>
        <w:rPr>
          <w:sz w:val="20"/>
        </w:rPr>
      </w:pPr>
      <w:r w:rsidRPr="00656EA8">
        <w:rPr>
          <w:sz w:val="20"/>
        </w:rPr>
        <w:t>T</w:t>
      </w:r>
      <w:r>
        <w:rPr>
          <w:sz w:val="20"/>
        </w:rPr>
        <w:t xml:space="preserve">o be eligible for this plan you </w:t>
      </w:r>
      <w:r w:rsidRPr="00656EA8">
        <w:rPr>
          <w:sz w:val="20"/>
        </w:rPr>
        <w:t>or your business must provide</w:t>
      </w:r>
      <w:r>
        <w:rPr>
          <w:sz w:val="20"/>
        </w:rPr>
        <w:t xml:space="preserve"> us with a registered ABN, ARBN </w:t>
      </w:r>
      <w:r w:rsidRPr="00656EA8">
        <w:rPr>
          <w:sz w:val="20"/>
        </w:rPr>
        <w:t xml:space="preserve">or ACN. </w:t>
      </w:r>
    </w:p>
    <w:p w14:paraId="32DC7E21" w14:textId="77777777" w:rsidR="00E507D4" w:rsidRPr="00B7364B" w:rsidRDefault="00E507D4" w:rsidP="00E507D4">
      <w:pPr>
        <w:pStyle w:val="Heading6"/>
        <w:spacing w:before="240"/>
        <w:ind w:left="0" w:firstLine="0"/>
        <w:rPr>
          <w:bCs w:val="0"/>
        </w:rPr>
      </w:pPr>
      <w:bookmarkStart w:id="2238" w:name="_Toc494180654"/>
      <w:bookmarkStart w:id="2239" w:name="_Toc508362028"/>
      <w:r w:rsidRPr="00B7364B">
        <w:rPr>
          <w:bCs w:val="0"/>
          <w:snapToGrid w:val="0"/>
        </w:rPr>
        <w:t>Minimum Term</w:t>
      </w:r>
      <w:bookmarkEnd w:id="2238"/>
      <w:bookmarkEnd w:id="2239"/>
    </w:p>
    <w:p w14:paraId="4FDF9247" w14:textId="77777777" w:rsidR="00E507D4" w:rsidRPr="00B7364B" w:rsidRDefault="00E507D4" w:rsidP="00E507D4">
      <w:pPr>
        <w:spacing w:after="200"/>
        <w:ind w:left="720"/>
        <w:rPr>
          <w:sz w:val="20"/>
        </w:rPr>
      </w:pPr>
      <w:r>
        <w:rPr>
          <w:sz w:val="20"/>
        </w:rPr>
        <w:t>This</w:t>
      </w:r>
      <w:r w:rsidRPr="00B7364B">
        <w:rPr>
          <w:sz w:val="20"/>
        </w:rPr>
        <w:t xml:space="preserve"> </w:t>
      </w:r>
      <w:r>
        <w:rPr>
          <w:i/>
          <w:sz w:val="20"/>
        </w:rPr>
        <w:t>plan</w:t>
      </w:r>
      <w:r w:rsidRPr="00B7364B">
        <w:rPr>
          <w:i/>
          <w:sz w:val="20"/>
        </w:rPr>
        <w:t xml:space="preserve"> </w:t>
      </w:r>
      <w:r>
        <w:rPr>
          <w:sz w:val="20"/>
        </w:rPr>
        <w:t>has</w:t>
      </w:r>
      <w:r w:rsidRPr="00B7364B">
        <w:rPr>
          <w:sz w:val="20"/>
        </w:rPr>
        <w:t xml:space="preserve"> a </w:t>
      </w:r>
      <w:r w:rsidRPr="00B7364B">
        <w:rPr>
          <w:i/>
          <w:sz w:val="20"/>
        </w:rPr>
        <w:t>fixed length agreement</w:t>
      </w:r>
      <w:r w:rsidRPr="00B7364B">
        <w:rPr>
          <w:sz w:val="20"/>
        </w:rPr>
        <w:t xml:space="preserve"> with a 24 month </w:t>
      </w:r>
      <w:r w:rsidRPr="00B7364B">
        <w:rPr>
          <w:i/>
          <w:sz w:val="20"/>
        </w:rPr>
        <w:t>minimum term</w:t>
      </w:r>
      <w:r w:rsidRPr="00B7364B">
        <w:rPr>
          <w:sz w:val="20"/>
        </w:rPr>
        <w:t>.</w:t>
      </w:r>
    </w:p>
    <w:p w14:paraId="4EFB82E9" w14:textId="77777777" w:rsidR="00E507D4" w:rsidRPr="00B7364B" w:rsidRDefault="00E507D4" w:rsidP="00E507D4">
      <w:pPr>
        <w:pStyle w:val="Heading6"/>
        <w:spacing w:before="240"/>
        <w:ind w:left="0" w:firstLine="0"/>
        <w:rPr>
          <w:b/>
          <w:bCs w:val="0"/>
        </w:rPr>
      </w:pPr>
      <w:bookmarkStart w:id="2240" w:name="_Toc494180655"/>
      <w:bookmarkStart w:id="2241" w:name="_Toc508362029"/>
      <w:r w:rsidRPr="00B7364B">
        <w:rPr>
          <w:bCs w:val="0"/>
        </w:rPr>
        <w:t>What you have to pay us</w:t>
      </w:r>
      <w:bookmarkEnd w:id="2240"/>
      <w:bookmarkEnd w:id="2241"/>
    </w:p>
    <w:p w14:paraId="21DA0BAC" w14:textId="77777777" w:rsidR="00E507D4" w:rsidRPr="00B7364B" w:rsidRDefault="00E507D4" w:rsidP="00E507D4">
      <w:pPr>
        <w:numPr>
          <w:ilvl w:val="6"/>
          <w:numId w:val="1"/>
        </w:numPr>
        <w:spacing w:after="200"/>
        <w:ind w:left="1440"/>
        <w:outlineLvl w:val="6"/>
        <w:rPr>
          <w:rFonts w:eastAsia="Times New Roman"/>
          <w:sz w:val="20"/>
        </w:rPr>
      </w:pPr>
      <w:r w:rsidRPr="00B7364B">
        <w:rPr>
          <w:rFonts w:eastAsia="Times New Roman"/>
          <w:i/>
          <w:sz w:val="20"/>
        </w:rPr>
        <w:t xml:space="preserve">You </w:t>
      </w:r>
      <w:r w:rsidRPr="00B7364B">
        <w:rPr>
          <w:rFonts w:eastAsia="Times New Roman"/>
          <w:sz w:val="20"/>
        </w:rPr>
        <w:t xml:space="preserve">must pay </w:t>
      </w:r>
      <w:r w:rsidRPr="00B7364B">
        <w:rPr>
          <w:rFonts w:eastAsia="Times New Roman"/>
          <w:i/>
          <w:sz w:val="20"/>
        </w:rPr>
        <w:t xml:space="preserve">us </w:t>
      </w:r>
      <w:r w:rsidRPr="00B7364B">
        <w:rPr>
          <w:rFonts w:eastAsia="Times New Roman"/>
          <w:sz w:val="20"/>
        </w:rPr>
        <w:t xml:space="preserve">for use of the </w:t>
      </w:r>
      <w:r w:rsidRPr="00B7364B">
        <w:rPr>
          <w:rFonts w:eastAsia="Times New Roman"/>
          <w:i/>
          <w:sz w:val="20"/>
        </w:rPr>
        <w:t xml:space="preserve">service </w:t>
      </w:r>
      <w:r w:rsidRPr="00B7364B">
        <w:rPr>
          <w:rFonts w:eastAsia="Times New Roman"/>
          <w:sz w:val="20"/>
        </w:rPr>
        <w:t xml:space="preserve">at the rates set out in Section 1 of this </w:t>
      </w:r>
      <w:r w:rsidRPr="00B7364B">
        <w:rPr>
          <w:rFonts w:eastAsia="Times New Roman"/>
          <w:i/>
          <w:sz w:val="20"/>
        </w:rPr>
        <w:t>standard pricing table</w:t>
      </w:r>
      <w:r w:rsidRPr="00B7364B">
        <w:rPr>
          <w:rFonts w:eastAsia="Times New Roman"/>
          <w:sz w:val="20"/>
        </w:rPr>
        <w:t xml:space="preserve"> and for value added service features at the rates set out in </w:t>
      </w:r>
      <w:hyperlink r:id="rId859" w:history="1">
        <w:r w:rsidRPr="00B7364B">
          <w:rPr>
            <w:rFonts w:eastAsia="Times New Roman"/>
            <w:i/>
            <w:color w:val="13607C"/>
            <w:sz w:val="18"/>
            <w:u w:val="single"/>
          </w:rPr>
          <w:t>Appendix Y Value Added Service Features</w:t>
        </w:r>
      </w:hyperlink>
      <w:r w:rsidRPr="00B7364B">
        <w:rPr>
          <w:rFonts w:eastAsia="Times New Roman"/>
          <w:sz w:val="20"/>
        </w:rPr>
        <w:t>.</w:t>
      </w:r>
    </w:p>
    <w:p w14:paraId="44FE95F5" w14:textId="77777777" w:rsidR="00E507D4" w:rsidRPr="00B7364B" w:rsidRDefault="00E507D4" w:rsidP="00E507D4">
      <w:pPr>
        <w:numPr>
          <w:ilvl w:val="6"/>
          <w:numId w:val="1"/>
        </w:numPr>
        <w:spacing w:after="200"/>
        <w:ind w:left="1440"/>
        <w:outlineLvl w:val="6"/>
        <w:rPr>
          <w:rFonts w:eastAsia="Times New Roman"/>
          <w:sz w:val="20"/>
        </w:rPr>
      </w:pPr>
      <w:r w:rsidRPr="00B7364B">
        <w:rPr>
          <w:rFonts w:eastAsia="Times New Roman"/>
          <w:sz w:val="20"/>
        </w:rPr>
        <w:t>If there is a flagfall for a particular call type, the charge for these calls is the flagfall amount plus the relevant rate for the call multiplied by the duration of the call.</w:t>
      </w:r>
    </w:p>
    <w:p w14:paraId="75CBB4FD" w14:textId="77777777" w:rsidR="00E507D4" w:rsidRPr="00B7364B" w:rsidRDefault="00E507D4" w:rsidP="00E507D4">
      <w:pPr>
        <w:numPr>
          <w:ilvl w:val="6"/>
          <w:numId w:val="1"/>
        </w:numPr>
        <w:spacing w:after="200"/>
        <w:ind w:left="1440"/>
        <w:outlineLvl w:val="6"/>
        <w:rPr>
          <w:rFonts w:eastAsia="Times New Roman"/>
          <w:b/>
          <w:sz w:val="20"/>
        </w:rPr>
      </w:pPr>
      <w:r w:rsidRPr="00B7364B">
        <w:rPr>
          <w:rFonts w:eastAsia="Times New Roman"/>
          <w:b/>
          <w:sz w:val="20"/>
        </w:rPr>
        <w:lastRenderedPageBreak/>
        <w:t xml:space="preserve">Minimum Monthly Charge </w:t>
      </w:r>
    </w:p>
    <w:p w14:paraId="22EB37B6" w14:textId="77777777" w:rsidR="00E507D4" w:rsidRPr="00B7364B" w:rsidRDefault="00E507D4" w:rsidP="00E507D4">
      <w:pPr>
        <w:numPr>
          <w:ilvl w:val="7"/>
          <w:numId w:val="1"/>
        </w:numPr>
        <w:spacing w:after="200"/>
        <w:outlineLvl w:val="7"/>
        <w:rPr>
          <w:rFonts w:eastAsia="Times New Roman"/>
          <w:iCs/>
          <w:sz w:val="20"/>
        </w:rPr>
      </w:pPr>
      <w:r w:rsidRPr="00B7364B">
        <w:rPr>
          <w:rFonts w:eastAsia="Times New Roman"/>
          <w:iCs/>
          <w:sz w:val="20"/>
        </w:rPr>
        <w:t xml:space="preserve">Each Business Plan has a Minimum Monthly Charge amount that </w:t>
      </w:r>
      <w:r w:rsidRPr="00B7364B">
        <w:rPr>
          <w:rFonts w:eastAsia="Times New Roman"/>
          <w:i/>
          <w:iCs/>
          <w:sz w:val="20"/>
        </w:rPr>
        <w:t>you</w:t>
      </w:r>
      <w:r w:rsidRPr="00B7364B">
        <w:rPr>
          <w:rFonts w:eastAsia="Times New Roman"/>
          <w:iCs/>
          <w:sz w:val="20"/>
        </w:rPr>
        <w:t xml:space="preserve"> must pay </w:t>
      </w:r>
      <w:r w:rsidRPr="00B7364B">
        <w:rPr>
          <w:rFonts w:eastAsia="Times New Roman"/>
          <w:i/>
          <w:iCs/>
          <w:sz w:val="20"/>
        </w:rPr>
        <w:t>us</w:t>
      </w:r>
      <w:r w:rsidRPr="00B7364B">
        <w:rPr>
          <w:rFonts w:eastAsia="Times New Roman"/>
          <w:iCs/>
          <w:sz w:val="20"/>
        </w:rPr>
        <w:t xml:space="preserve"> each month as set out in Table 1 below.</w:t>
      </w:r>
    </w:p>
    <w:p w14:paraId="34C506E0" w14:textId="77777777" w:rsidR="00E507D4" w:rsidRPr="00B7364B" w:rsidRDefault="00E507D4" w:rsidP="00E507D4">
      <w:pPr>
        <w:numPr>
          <w:ilvl w:val="7"/>
          <w:numId w:val="1"/>
        </w:numPr>
        <w:spacing w:after="200"/>
        <w:outlineLvl w:val="7"/>
        <w:rPr>
          <w:rFonts w:eastAsia="Times New Roman"/>
          <w:iCs/>
          <w:sz w:val="20"/>
        </w:rPr>
      </w:pPr>
      <w:r w:rsidRPr="00B7364B">
        <w:rPr>
          <w:rFonts w:eastAsia="Times New Roman"/>
          <w:i/>
          <w:iCs/>
          <w:sz w:val="20"/>
        </w:rPr>
        <w:t>You</w:t>
      </w:r>
      <w:r w:rsidRPr="00B7364B">
        <w:rPr>
          <w:rFonts w:eastAsia="Times New Roman"/>
          <w:iCs/>
          <w:sz w:val="20"/>
        </w:rPr>
        <w:t xml:space="preserve"> may purchase a mobile phone (or 'handset') with a 24 month </w:t>
      </w:r>
      <w:r w:rsidRPr="00B7364B">
        <w:rPr>
          <w:rFonts w:eastAsia="Times New Roman"/>
          <w:i/>
          <w:iCs/>
          <w:sz w:val="20"/>
        </w:rPr>
        <w:t>equipment term</w:t>
      </w:r>
      <w:r w:rsidRPr="00B7364B">
        <w:rPr>
          <w:rFonts w:eastAsia="Times New Roman"/>
          <w:iCs/>
          <w:sz w:val="20"/>
        </w:rPr>
        <w:t xml:space="preserve"> under a </w:t>
      </w:r>
      <w:r w:rsidRPr="00B7364B">
        <w:rPr>
          <w:rFonts w:eastAsia="Times New Roman"/>
          <w:i/>
          <w:iCs/>
          <w:sz w:val="20"/>
        </w:rPr>
        <w:t>mobile equipment payment plan</w:t>
      </w:r>
      <w:r w:rsidRPr="00B7364B">
        <w:rPr>
          <w:rFonts w:eastAsia="Times New Roman"/>
          <w:iCs/>
          <w:sz w:val="20"/>
        </w:rPr>
        <w:t xml:space="preserve"> (set out in </w:t>
      </w:r>
      <w:hyperlink r:id="rId860" w:history="1">
        <w:r w:rsidRPr="00B7364B">
          <w:rPr>
            <w:rFonts w:eastAsia="Times New Roman"/>
            <w:i/>
            <w:iCs/>
            <w:color w:val="13607C"/>
            <w:sz w:val="18"/>
            <w:u w:val="single"/>
          </w:rPr>
          <w:t>Appendix D</w:t>
        </w:r>
      </w:hyperlink>
      <w:r w:rsidRPr="00B7364B">
        <w:rPr>
          <w:rFonts w:eastAsia="Times New Roman"/>
          <w:iCs/>
          <w:sz w:val="20"/>
        </w:rPr>
        <w:t xml:space="preserve">) on a 24 month </w:t>
      </w:r>
      <w:r w:rsidRPr="00B7364B">
        <w:rPr>
          <w:rFonts w:eastAsia="Times New Roman"/>
          <w:i/>
          <w:iCs/>
          <w:sz w:val="20"/>
        </w:rPr>
        <w:t>fixed-length agreement</w:t>
      </w:r>
      <w:r w:rsidRPr="00B7364B">
        <w:rPr>
          <w:rFonts w:eastAsia="Times New Roman"/>
          <w:iCs/>
          <w:sz w:val="20"/>
        </w:rPr>
        <w:t>.</w:t>
      </w:r>
    </w:p>
    <w:p w14:paraId="05A59D57" w14:textId="77777777" w:rsidR="00E507D4" w:rsidRPr="00B7364B" w:rsidRDefault="00E507D4" w:rsidP="00E507D4">
      <w:pPr>
        <w:pStyle w:val="Heading6"/>
        <w:spacing w:before="240"/>
        <w:ind w:left="0" w:firstLine="0"/>
        <w:rPr>
          <w:bCs w:val="0"/>
          <w:snapToGrid w:val="0"/>
        </w:rPr>
      </w:pPr>
      <w:bookmarkStart w:id="2242" w:name="_Toc494180656"/>
      <w:bookmarkStart w:id="2243" w:name="_Toc508362030"/>
      <w:r w:rsidRPr="00B7364B">
        <w:rPr>
          <w:bCs w:val="0"/>
          <w:snapToGrid w:val="0"/>
        </w:rPr>
        <w:t>How My Plan Business works</w:t>
      </w:r>
      <w:bookmarkEnd w:id="2242"/>
      <w:bookmarkEnd w:id="2243"/>
    </w:p>
    <w:p w14:paraId="3D91BD8A" w14:textId="77777777" w:rsidR="00E507D4" w:rsidRPr="00B7364B" w:rsidRDefault="00E507D4" w:rsidP="00E507D4">
      <w:pPr>
        <w:pStyle w:val="Heading7"/>
      </w:pPr>
      <w:r w:rsidRPr="00B7364B">
        <w:t>Each Business Plan has unlimited minutes to use on standard national calls to landlines and mobiles, 13/1300 numbers and voicemail retrievals and an amount of Included Data (for mobile internet use) to share with other services on a My Plan Plus</w:t>
      </w:r>
      <w:r w:rsidRPr="00B7364B">
        <w:rPr>
          <w:lang w:eastAsia="en-AU"/>
        </w:rPr>
        <w:t xml:space="preserve">, My Plan Plus SIM Only, My Plan Business (including Tech Fund), My Plan Business SIM, </w:t>
      </w:r>
      <w:r w:rsidRPr="00656EA8">
        <w:rPr>
          <w:lang w:eastAsia="en-AU"/>
        </w:rPr>
        <w:t>My Plan Flex, My Plan Business Flex, Business Lease,</w:t>
      </w:r>
      <w:r>
        <w:rPr>
          <w:lang w:eastAsia="en-AU"/>
        </w:rPr>
        <w:t xml:space="preserve"> </w:t>
      </w:r>
      <w:r w:rsidRPr="00B7364B">
        <w:rPr>
          <w:lang w:eastAsia="en-AU"/>
        </w:rPr>
        <w:t xml:space="preserve">My Mobile Broadband Plus, Mobile Broadband Business or Shared Data Plan </w:t>
      </w:r>
      <w:r w:rsidRPr="00B7364B">
        <w:t>on the same account.</w:t>
      </w:r>
    </w:p>
    <w:p w14:paraId="1B21340C" w14:textId="77777777" w:rsidR="00E507D4" w:rsidRPr="00B7364B" w:rsidRDefault="00E507D4" w:rsidP="00E507D4">
      <w:pPr>
        <w:numPr>
          <w:ilvl w:val="6"/>
          <w:numId w:val="1"/>
        </w:numPr>
        <w:spacing w:after="200"/>
        <w:ind w:left="1440"/>
        <w:outlineLvl w:val="6"/>
        <w:rPr>
          <w:rFonts w:eastAsia="Times New Roman"/>
          <w:sz w:val="20"/>
        </w:rPr>
      </w:pPr>
      <w:r>
        <w:rPr>
          <w:rFonts w:eastAsia="Times New Roman"/>
          <w:sz w:val="20"/>
        </w:rPr>
        <w:t>This plan</w:t>
      </w:r>
      <w:r w:rsidRPr="00B7364B">
        <w:rPr>
          <w:rFonts w:eastAsia="Times New Roman"/>
          <w:sz w:val="20"/>
        </w:rPr>
        <w:t xml:space="preserve"> also include</w:t>
      </w:r>
      <w:r>
        <w:rPr>
          <w:rFonts w:eastAsia="Times New Roman"/>
          <w:sz w:val="20"/>
        </w:rPr>
        <w:t>s</w:t>
      </w:r>
      <w:r w:rsidRPr="00B7364B">
        <w:rPr>
          <w:rFonts w:eastAsia="Times New Roman"/>
          <w:sz w:val="20"/>
        </w:rPr>
        <w:t xml:space="preserve"> unlimited standard national SMS/MMS and unlimited standard International SMS/</w:t>
      </w:r>
      <w:r>
        <w:rPr>
          <w:rFonts w:eastAsia="Times New Roman"/>
          <w:sz w:val="20"/>
        </w:rPr>
        <w:t>MMS to selected countries</w:t>
      </w:r>
      <w:r w:rsidRPr="00B7364B">
        <w:rPr>
          <w:rFonts w:eastAsia="Times New Roman"/>
          <w:sz w:val="20"/>
        </w:rPr>
        <w:t>.</w:t>
      </w:r>
    </w:p>
    <w:p w14:paraId="63D66CD3" w14:textId="77777777" w:rsidR="00E507D4" w:rsidRPr="00B7364B" w:rsidRDefault="00E507D4" w:rsidP="00E507D4">
      <w:pPr>
        <w:numPr>
          <w:ilvl w:val="6"/>
          <w:numId w:val="1"/>
        </w:numPr>
        <w:spacing w:after="200"/>
        <w:ind w:left="1440"/>
        <w:outlineLvl w:val="6"/>
        <w:rPr>
          <w:rFonts w:eastAsia="Times New Roman"/>
          <w:sz w:val="20"/>
        </w:rPr>
      </w:pPr>
      <w:r w:rsidRPr="00B7364B">
        <w:rPr>
          <w:rFonts w:eastAsia="Times New Roman"/>
          <w:sz w:val="20"/>
        </w:rPr>
        <w:t xml:space="preserve">Data usage is calculated in one kilobyte increments. </w:t>
      </w:r>
    </w:p>
    <w:p w14:paraId="3419CAE5" w14:textId="77777777" w:rsidR="00E507D4" w:rsidRPr="00B7364B" w:rsidRDefault="00E507D4" w:rsidP="00E507D4">
      <w:pPr>
        <w:numPr>
          <w:ilvl w:val="6"/>
          <w:numId w:val="1"/>
        </w:numPr>
        <w:spacing w:after="200"/>
        <w:ind w:left="1440"/>
        <w:outlineLvl w:val="6"/>
        <w:rPr>
          <w:rFonts w:eastAsia="Times New Roman"/>
          <w:sz w:val="20"/>
        </w:rPr>
      </w:pPr>
      <w:r w:rsidRPr="00B7364B">
        <w:rPr>
          <w:rFonts w:eastAsia="Times New Roman"/>
          <w:sz w:val="20"/>
        </w:rPr>
        <w:t xml:space="preserve">If </w:t>
      </w:r>
      <w:r w:rsidRPr="00B7364B">
        <w:rPr>
          <w:rFonts w:eastAsia="Times New Roman"/>
          <w:i/>
          <w:sz w:val="20"/>
        </w:rPr>
        <w:t xml:space="preserve">you </w:t>
      </w:r>
      <w:r w:rsidRPr="00B7364B">
        <w:rPr>
          <w:rFonts w:eastAsia="Times New Roman"/>
          <w:sz w:val="20"/>
        </w:rPr>
        <w:t>exceed your included shareable data you'll automatically be charged $10 for each additional 1GB of data ("</w:t>
      </w:r>
      <w:r w:rsidRPr="00B7364B">
        <w:rPr>
          <w:rFonts w:eastAsia="Times New Roman"/>
          <w:b/>
          <w:sz w:val="20"/>
        </w:rPr>
        <w:t>Additional Data</w:t>
      </w:r>
      <w:r w:rsidRPr="00B7364B">
        <w:rPr>
          <w:rFonts w:eastAsia="Times New Roman"/>
          <w:sz w:val="20"/>
        </w:rPr>
        <w:t>") up to 150GB of extra data per account each month. Your service/s may then be restricted or we may continue to charge you at these rates.</w:t>
      </w:r>
    </w:p>
    <w:p w14:paraId="5C8990C7" w14:textId="77777777" w:rsidR="00E507D4" w:rsidRPr="00B7364B" w:rsidRDefault="00E507D4" w:rsidP="00E507D4">
      <w:pPr>
        <w:numPr>
          <w:ilvl w:val="6"/>
          <w:numId w:val="1"/>
        </w:numPr>
        <w:spacing w:after="200"/>
        <w:ind w:left="1440"/>
        <w:outlineLvl w:val="6"/>
        <w:rPr>
          <w:rFonts w:eastAsia="Times New Roman"/>
          <w:sz w:val="20"/>
        </w:rPr>
      </w:pPr>
      <w:r w:rsidRPr="00B7364B">
        <w:rPr>
          <w:rFonts w:eastAsia="Times New Roman"/>
          <w:sz w:val="20"/>
        </w:rPr>
        <w:t xml:space="preserve">Any unused portion of </w:t>
      </w:r>
      <w:r w:rsidRPr="00B7364B">
        <w:rPr>
          <w:rFonts w:eastAsia="Times New Roman"/>
          <w:i/>
          <w:sz w:val="20"/>
        </w:rPr>
        <w:t>your</w:t>
      </w:r>
      <w:r w:rsidRPr="00B7364B">
        <w:rPr>
          <w:rFonts w:eastAsia="Times New Roman"/>
          <w:sz w:val="20"/>
        </w:rPr>
        <w:t xml:space="preserve"> </w:t>
      </w:r>
      <w:r w:rsidRPr="00B7364B">
        <w:rPr>
          <w:rFonts w:eastAsia="Times New Roman"/>
          <w:i/>
          <w:sz w:val="20"/>
        </w:rPr>
        <w:t>plan's</w:t>
      </w:r>
      <w:r w:rsidRPr="00B7364B">
        <w:rPr>
          <w:rFonts w:eastAsia="Times New Roman"/>
          <w:sz w:val="20"/>
        </w:rPr>
        <w:t xml:space="preserve"> Included or Additional Data or International Minutes expires at the end of each month and does not roll over into the next month. </w:t>
      </w:r>
    </w:p>
    <w:p w14:paraId="2483F71D" w14:textId="77777777" w:rsidR="00E507D4" w:rsidRPr="00B7364B" w:rsidRDefault="00E507D4" w:rsidP="00E507D4">
      <w:pPr>
        <w:numPr>
          <w:ilvl w:val="6"/>
          <w:numId w:val="1"/>
        </w:numPr>
        <w:spacing w:after="200"/>
        <w:ind w:left="1440"/>
        <w:outlineLvl w:val="6"/>
        <w:rPr>
          <w:rFonts w:eastAsia="Times New Roman"/>
          <w:b/>
          <w:sz w:val="20"/>
        </w:rPr>
      </w:pPr>
      <w:r w:rsidRPr="00B7364B">
        <w:rPr>
          <w:rFonts w:eastAsia="Times New Roman"/>
          <w:i/>
          <w:sz w:val="20"/>
        </w:rPr>
        <w:t>You</w:t>
      </w:r>
      <w:r w:rsidRPr="00B7364B">
        <w:rPr>
          <w:rFonts w:eastAsia="Times New Roman"/>
          <w:sz w:val="20"/>
        </w:rPr>
        <w:t xml:space="preserve"> must pay </w:t>
      </w:r>
      <w:r w:rsidRPr="00B7364B">
        <w:rPr>
          <w:rFonts w:eastAsia="Times New Roman"/>
          <w:i/>
          <w:sz w:val="20"/>
        </w:rPr>
        <w:t>us</w:t>
      </w:r>
      <w:r w:rsidRPr="00B7364B">
        <w:rPr>
          <w:rFonts w:eastAsia="Times New Roman"/>
          <w:sz w:val="20"/>
        </w:rPr>
        <w:t xml:space="preserve"> for use of any services that are not included in </w:t>
      </w:r>
      <w:r w:rsidRPr="00B7364B">
        <w:rPr>
          <w:rFonts w:eastAsia="Times New Roman"/>
          <w:i/>
          <w:sz w:val="20"/>
        </w:rPr>
        <w:t>your</w:t>
      </w:r>
      <w:r w:rsidRPr="00B7364B">
        <w:rPr>
          <w:rFonts w:eastAsia="Times New Roman"/>
          <w:sz w:val="20"/>
        </w:rPr>
        <w:t xml:space="preserve"> plan's inclusions, examples of which are set out in Table 2 below.</w:t>
      </w:r>
    </w:p>
    <w:p w14:paraId="75ABDEAF" w14:textId="77777777" w:rsidR="00E507D4" w:rsidRPr="00B7364B" w:rsidRDefault="00E507D4" w:rsidP="00E507D4">
      <w:pPr>
        <w:pStyle w:val="Heading6"/>
        <w:spacing w:before="240"/>
        <w:ind w:left="0" w:firstLine="0"/>
        <w:rPr>
          <w:bCs w:val="0"/>
          <w:snapToGrid w:val="0"/>
        </w:rPr>
      </w:pPr>
      <w:bookmarkStart w:id="2244" w:name="_Toc494180657"/>
      <w:bookmarkStart w:id="2245" w:name="_Toc508362031"/>
      <w:r w:rsidRPr="00B7364B">
        <w:rPr>
          <w:bCs w:val="0"/>
          <w:snapToGrid w:val="0"/>
        </w:rPr>
        <w:t>Plan Changes</w:t>
      </w:r>
      <w:bookmarkEnd w:id="2244"/>
      <w:bookmarkEnd w:id="2245"/>
    </w:p>
    <w:p w14:paraId="5D8AE6E5" w14:textId="77777777" w:rsidR="00E507D4" w:rsidRPr="00B7364B" w:rsidRDefault="00E507D4" w:rsidP="00E507D4">
      <w:pPr>
        <w:spacing w:after="200"/>
        <w:ind w:left="720"/>
        <w:rPr>
          <w:sz w:val="20"/>
        </w:rPr>
      </w:pPr>
      <w:r w:rsidRPr="00B7364B">
        <w:rPr>
          <w:sz w:val="20"/>
        </w:rPr>
        <w:t>You can change your plan during the minimum tern term provided you move to a plan with a higher monthly access fee. You cannot change your plan during the minimum term to a plan with the same or lower monthly access fee. If you change your plan during the minimum term a fee may apply and any handset repayments will remain the same.</w:t>
      </w:r>
    </w:p>
    <w:p w14:paraId="34C8BAD4" w14:textId="77777777" w:rsidR="00E507D4" w:rsidRPr="00B7364B" w:rsidRDefault="00E507D4" w:rsidP="00E507D4">
      <w:pPr>
        <w:pStyle w:val="Heading6"/>
        <w:spacing w:before="240"/>
        <w:ind w:left="0" w:firstLine="0"/>
        <w:rPr>
          <w:bCs w:val="0"/>
          <w:snapToGrid w:val="0"/>
        </w:rPr>
      </w:pPr>
      <w:bookmarkStart w:id="2246" w:name="_Toc494180658"/>
      <w:bookmarkStart w:id="2247" w:name="_Toc508362032"/>
      <w:r w:rsidRPr="00B7364B">
        <w:rPr>
          <w:bCs w:val="0"/>
          <w:snapToGrid w:val="0"/>
        </w:rPr>
        <w:t>New Phone Trade Up</w:t>
      </w:r>
      <w:bookmarkEnd w:id="2246"/>
      <w:bookmarkEnd w:id="2247"/>
    </w:p>
    <w:p w14:paraId="13B4367A" w14:textId="77777777" w:rsidR="00E507D4" w:rsidRPr="00B7364B" w:rsidRDefault="00E507D4" w:rsidP="00E507D4">
      <w:pPr>
        <w:spacing w:after="200"/>
        <w:ind w:left="720"/>
        <w:rPr>
          <w:sz w:val="20"/>
        </w:rPr>
      </w:pPr>
      <w:r w:rsidRPr="00B7364B">
        <w:rPr>
          <w:sz w:val="20"/>
        </w:rPr>
        <w:t>The plans referred to in this section include the option of New Phone Trade Up, which can be exercised in two ways:</w:t>
      </w:r>
    </w:p>
    <w:p w14:paraId="039AA989" w14:textId="77777777" w:rsidR="00E507D4" w:rsidRPr="00B7364B" w:rsidRDefault="00E507D4" w:rsidP="00E507D4">
      <w:pPr>
        <w:numPr>
          <w:ilvl w:val="6"/>
          <w:numId w:val="1"/>
        </w:numPr>
        <w:spacing w:after="200"/>
        <w:ind w:left="1440"/>
        <w:outlineLvl w:val="6"/>
        <w:rPr>
          <w:rFonts w:eastAsia="Times New Roman"/>
          <w:sz w:val="20"/>
        </w:rPr>
      </w:pPr>
      <w:r w:rsidRPr="00B7364B">
        <w:rPr>
          <w:rFonts w:eastAsia="Times New Roman"/>
          <w:sz w:val="20"/>
        </w:rPr>
        <w:t>New Phone Trade Up for $99</w:t>
      </w:r>
    </w:p>
    <w:p w14:paraId="5F669D9F" w14:textId="77777777" w:rsidR="00E507D4" w:rsidRPr="00B7364B" w:rsidRDefault="00E507D4" w:rsidP="00E507D4">
      <w:pPr>
        <w:numPr>
          <w:ilvl w:val="7"/>
          <w:numId w:val="1"/>
        </w:numPr>
        <w:spacing w:after="200"/>
        <w:outlineLvl w:val="7"/>
        <w:rPr>
          <w:rFonts w:eastAsia="Times New Roman"/>
          <w:iCs/>
          <w:sz w:val="20"/>
        </w:rPr>
      </w:pPr>
      <w:r w:rsidRPr="00B7364B">
        <w:rPr>
          <w:rFonts w:eastAsia="Times New Roman"/>
          <w:iCs/>
          <w:sz w:val="20"/>
        </w:rPr>
        <w:t>After 12 months on one of these plans, you can pay a one fee of $99, return your original mobile phone to a Yes Optus store in good working order, purchase a new mobile phone on a new 24-month plan and sign documentation that will enable ownership of your original mobile phone to be transferred to a second hand dealer nominated by Optus.</w:t>
      </w:r>
    </w:p>
    <w:p w14:paraId="7EB9C715" w14:textId="77777777" w:rsidR="00E507D4" w:rsidRPr="00B7364B" w:rsidRDefault="00E507D4" w:rsidP="00E507D4">
      <w:pPr>
        <w:numPr>
          <w:ilvl w:val="7"/>
          <w:numId w:val="1"/>
        </w:numPr>
        <w:spacing w:after="200"/>
        <w:outlineLvl w:val="7"/>
        <w:rPr>
          <w:rFonts w:eastAsia="Times New Roman"/>
          <w:iCs/>
          <w:sz w:val="20"/>
        </w:rPr>
      </w:pPr>
      <w:r w:rsidRPr="00B7364B">
        <w:rPr>
          <w:rFonts w:eastAsia="Times New Roman"/>
          <w:iCs/>
          <w:sz w:val="20"/>
        </w:rPr>
        <w:t>A mobile phone is considered t</w:t>
      </w:r>
      <w:r>
        <w:rPr>
          <w:rFonts w:eastAsia="Times New Roman"/>
          <w:iCs/>
          <w:sz w:val="20"/>
        </w:rPr>
        <w:t>o be in good working order when</w:t>
      </w:r>
      <w:r w:rsidRPr="00B7364B">
        <w:rPr>
          <w:rFonts w:eastAsia="Times New Roman"/>
          <w:iCs/>
          <w:sz w:val="20"/>
        </w:rPr>
        <w:t>:</w:t>
      </w:r>
    </w:p>
    <w:p w14:paraId="3817672B" w14:textId="77777777" w:rsidR="00E507D4" w:rsidRPr="00B7364B" w:rsidRDefault="00E507D4" w:rsidP="00E507D4">
      <w:pPr>
        <w:numPr>
          <w:ilvl w:val="8"/>
          <w:numId w:val="1"/>
        </w:numPr>
        <w:spacing w:after="200"/>
        <w:outlineLvl w:val="8"/>
        <w:rPr>
          <w:rFonts w:eastAsia="Times New Roman"/>
          <w:sz w:val="20"/>
          <w:szCs w:val="22"/>
        </w:rPr>
      </w:pPr>
      <w:r w:rsidRPr="00B7364B">
        <w:rPr>
          <w:rFonts w:eastAsia="Times New Roman"/>
          <w:sz w:val="20"/>
          <w:szCs w:val="22"/>
        </w:rPr>
        <w:t xml:space="preserve">it can power on and off, </w:t>
      </w:r>
    </w:p>
    <w:p w14:paraId="74DD9DE1" w14:textId="77777777" w:rsidR="00E507D4" w:rsidRPr="00B7364B" w:rsidRDefault="00E507D4" w:rsidP="00E507D4">
      <w:pPr>
        <w:numPr>
          <w:ilvl w:val="8"/>
          <w:numId w:val="1"/>
        </w:numPr>
        <w:spacing w:after="200"/>
        <w:outlineLvl w:val="8"/>
        <w:rPr>
          <w:rFonts w:eastAsia="Times New Roman"/>
          <w:sz w:val="20"/>
          <w:szCs w:val="22"/>
        </w:rPr>
      </w:pPr>
      <w:r w:rsidRPr="00B7364B">
        <w:rPr>
          <w:rFonts w:eastAsia="Times New Roman"/>
          <w:sz w:val="20"/>
          <w:szCs w:val="22"/>
        </w:rPr>
        <w:t xml:space="preserve">it has a touchscreen that is fully functional and has no imperfections such as lines or marks, </w:t>
      </w:r>
    </w:p>
    <w:p w14:paraId="74FEC8F4" w14:textId="77777777" w:rsidR="00E507D4" w:rsidRPr="00B7364B" w:rsidRDefault="00E507D4" w:rsidP="00E507D4">
      <w:pPr>
        <w:numPr>
          <w:ilvl w:val="8"/>
          <w:numId w:val="1"/>
        </w:numPr>
        <w:spacing w:after="200"/>
        <w:outlineLvl w:val="8"/>
        <w:rPr>
          <w:rFonts w:eastAsia="Times New Roman"/>
          <w:sz w:val="20"/>
          <w:szCs w:val="22"/>
        </w:rPr>
      </w:pPr>
      <w:r w:rsidRPr="00B7364B">
        <w:rPr>
          <w:rFonts w:eastAsia="Times New Roman"/>
          <w:sz w:val="20"/>
          <w:szCs w:val="22"/>
        </w:rPr>
        <w:t xml:space="preserve">it does not have any missing buttons or damage to other components such as charging ports, SIM tray, </w:t>
      </w:r>
    </w:p>
    <w:p w14:paraId="6D704188" w14:textId="77777777" w:rsidR="00E507D4" w:rsidRPr="00B7364B" w:rsidRDefault="00E507D4" w:rsidP="00E507D4">
      <w:pPr>
        <w:numPr>
          <w:ilvl w:val="8"/>
          <w:numId w:val="1"/>
        </w:numPr>
        <w:spacing w:after="200"/>
        <w:outlineLvl w:val="8"/>
        <w:rPr>
          <w:rFonts w:eastAsia="Times New Roman"/>
          <w:sz w:val="20"/>
          <w:szCs w:val="22"/>
        </w:rPr>
      </w:pPr>
      <w:r w:rsidRPr="00B7364B">
        <w:rPr>
          <w:rFonts w:eastAsia="Times New Roman"/>
          <w:sz w:val="20"/>
          <w:szCs w:val="22"/>
        </w:rPr>
        <w:lastRenderedPageBreak/>
        <w:t xml:space="preserve">the mobile phone (including the touchscreen) is not cracked and does not have any severe scratches (normal wear and tear such as light marks and scratches are okay); and </w:t>
      </w:r>
    </w:p>
    <w:p w14:paraId="068EF938" w14:textId="77777777" w:rsidR="00E507D4" w:rsidRPr="00B7364B" w:rsidRDefault="00E507D4" w:rsidP="00E507D4">
      <w:pPr>
        <w:numPr>
          <w:ilvl w:val="8"/>
          <w:numId w:val="1"/>
        </w:numPr>
        <w:spacing w:after="200"/>
        <w:outlineLvl w:val="8"/>
        <w:rPr>
          <w:rFonts w:eastAsia="Times New Roman"/>
          <w:sz w:val="20"/>
          <w:szCs w:val="22"/>
        </w:rPr>
      </w:pPr>
      <w:r w:rsidRPr="00B7364B">
        <w:rPr>
          <w:rFonts w:eastAsia="Times New Roman"/>
          <w:sz w:val="20"/>
          <w:szCs w:val="22"/>
        </w:rPr>
        <w:t xml:space="preserve">any locking features are disabled. </w:t>
      </w:r>
    </w:p>
    <w:p w14:paraId="35FB81BB" w14:textId="77777777" w:rsidR="00E507D4" w:rsidRPr="00B7364B" w:rsidRDefault="00E507D4" w:rsidP="00E507D4">
      <w:pPr>
        <w:numPr>
          <w:ilvl w:val="7"/>
          <w:numId w:val="1"/>
        </w:numPr>
        <w:spacing w:after="200"/>
        <w:outlineLvl w:val="7"/>
        <w:rPr>
          <w:rFonts w:eastAsia="Times New Roman"/>
          <w:iCs/>
          <w:sz w:val="20"/>
        </w:rPr>
      </w:pPr>
      <w:r w:rsidRPr="00B7364B">
        <w:rPr>
          <w:rFonts w:eastAsia="Times New Roman"/>
          <w:iCs/>
          <w:sz w:val="20"/>
        </w:rPr>
        <w:t>The mobile phone you return in accordance with section 3.7(a) must be the mobile phone you purchased when you took up one of the plans referred to in this section.</w:t>
      </w:r>
    </w:p>
    <w:p w14:paraId="0CACB91B" w14:textId="77777777" w:rsidR="00E507D4" w:rsidRPr="00B7364B" w:rsidRDefault="00E507D4" w:rsidP="00E507D4">
      <w:pPr>
        <w:numPr>
          <w:ilvl w:val="7"/>
          <w:numId w:val="1"/>
        </w:numPr>
        <w:spacing w:after="200"/>
        <w:outlineLvl w:val="7"/>
        <w:rPr>
          <w:rFonts w:eastAsia="Times New Roman"/>
          <w:iCs/>
          <w:sz w:val="20"/>
        </w:rPr>
      </w:pPr>
      <w:r w:rsidRPr="00B7364B">
        <w:rPr>
          <w:rFonts w:eastAsia="Times New Roman"/>
          <w:iCs/>
          <w:sz w:val="20"/>
        </w:rPr>
        <w:t>When you seek to exercise this option and meet the relevant conditions, Optus agrees to waive any remaining mobile phone repayment charges on the mobile phone you are returning.</w:t>
      </w:r>
    </w:p>
    <w:p w14:paraId="5945EFF0" w14:textId="77777777" w:rsidR="00E507D4" w:rsidRPr="00B7364B" w:rsidRDefault="00E507D4" w:rsidP="00E507D4">
      <w:pPr>
        <w:numPr>
          <w:ilvl w:val="7"/>
          <w:numId w:val="1"/>
        </w:numPr>
        <w:spacing w:after="200"/>
        <w:outlineLvl w:val="7"/>
        <w:rPr>
          <w:rFonts w:eastAsia="Times New Roman"/>
          <w:iCs/>
          <w:sz w:val="20"/>
        </w:rPr>
      </w:pPr>
      <w:r w:rsidRPr="00B7364B">
        <w:rPr>
          <w:rFonts w:eastAsia="Times New Roman"/>
          <w:iCs/>
          <w:sz w:val="20"/>
        </w:rPr>
        <w:t>By exercising this option, you acknowledge that the second hand device vendor will pay Optus a fee on your behalf for the mobile phone you return in part consideration of Optus waiving your remaining mobile phone repayments on the phone you are returning.</w:t>
      </w:r>
    </w:p>
    <w:p w14:paraId="6B12ADB1" w14:textId="77777777" w:rsidR="00E507D4" w:rsidRPr="00B7364B" w:rsidRDefault="00E507D4" w:rsidP="00E507D4">
      <w:pPr>
        <w:numPr>
          <w:ilvl w:val="6"/>
          <w:numId w:val="1"/>
        </w:numPr>
        <w:spacing w:after="200"/>
        <w:ind w:left="1440"/>
        <w:outlineLvl w:val="6"/>
        <w:rPr>
          <w:rFonts w:eastAsia="Times New Roman"/>
          <w:sz w:val="20"/>
        </w:rPr>
      </w:pPr>
      <w:r w:rsidRPr="00B7364B">
        <w:rPr>
          <w:rFonts w:eastAsia="Times New Roman"/>
          <w:sz w:val="20"/>
        </w:rPr>
        <w:t>Keep existing mobile phone</w:t>
      </w:r>
    </w:p>
    <w:p w14:paraId="469E4188" w14:textId="77777777" w:rsidR="00E507D4" w:rsidRPr="00B7364B" w:rsidRDefault="00E507D4" w:rsidP="00E507D4">
      <w:pPr>
        <w:spacing w:after="200"/>
        <w:ind w:left="1440"/>
        <w:rPr>
          <w:sz w:val="20"/>
        </w:rPr>
      </w:pPr>
      <w:r w:rsidRPr="00B7364B">
        <w:rPr>
          <w:sz w:val="20"/>
        </w:rPr>
        <w:t>Alternatively and instead of paying $99, if you wish to keep your original mobile handset, you can simply pay out the full remaining cost of your mobile handset, including any monthly handset credit that Optus was going to cover and purchase a new mobile phone on a new 24 month plan.</w:t>
      </w:r>
    </w:p>
    <w:p w14:paraId="4044DD57" w14:textId="77777777" w:rsidR="00E507D4" w:rsidRPr="00B7364B" w:rsidRDefault="00E507D4" w:rsidP="00E507D4">
      <w:pPr>
        <w:pStyle w:val="Heading6"/>
        <w:spacing w:before="240"/>
        <w:ind w:left="0" w:firstLine="0"/>
        <w:rPr>
          <w:bCs w:val="0"/>
          <w:snapToGrid w:val="0"/>
        </w:rPr>
      </w:pPr>
      <w:bookmarkStart w:id="2248" w:name="_Toc494180659"/>
      <w:bookmarkStart w:id="2249" w:name="_Toc508362033"/>
      <w:r w:rsidRPr="00B7364B">
        <w:rPr>
          <w:bCs w:val="0"/>
          <w:snapToGrid w:val="0"/>
        </w:rPr>
        <w:t>Data Sharing</w:t>
      </w:r>
      <w:bookmarkEnd w:id="2248"/>
      <w:bookmarkEnd w:id="2249"/>
    </w:p>
    <w:p w14:paraId="2CEC31C4" w14:textId="77777777" w:rsidR="00E507D4" w:rsidRPr="00B7364B" w:rsidRDefault="00E507D4" w:rsidP="00E507D4">
      <w:pPr>
        <w:pStyle w:val="Heading7"/>
        <w:rPr>
          <w:snapToGrid w:val="0"/>
        </w:rPr>
      </w:pPr>
      <w:r w:rsidRPr="00B7364B">
        <w:rPr>
          <w:snapToGrid w:val="0"/>
        </w:rPr>
        <w:t xml:space="preserve">If </w:t>
      </w:r>
      <w:r w:rsidRPr="00B7364B">
        <w:rPr>
          <w:i/>
          <w:snapToGrid w:val="0"/>
        </w:rPr>
        <w:t xml:space="preserve">you </w:t>
      </w:r>
      <w:r w:rsidRPr="00B7364B">
        <w:rPr>
          <w:lang w:eastAsia="en-AU"/>
        </w:rPr>
        <w:t xml:space="preserve">have more than one Business Plan, </w:t>
      </w:r>
      <w:r w:rsidRPr="00B7364B">
        <w:t>My Plan Plus</w:t>
      </w:r>
      <w:r w:rsidRPr="00B7364B">
        <w:rPr>
          <w:lang w:eastAsia="en-AU"/>
        </w:rPr>
        <w:t xml:space="preserve">, My Plan Plus SIM Only, My Plan Business (including Tech Fund), My Plan Business SIM, </w:t>
      </w:r>
      <w:r w:rsidRPr="00341FA5">
        <w:rPr>
          <w:lang w:eastAsia="en-AU"/>
        </w:rPr>
        <w:t>My Plan Flex, My Plan Business Flex, Business Lease,</w:t>
      </w:r>
      <w:r>
        <w:rPr>
          <w:lang w:eastAsia="en-AU"/>
        </w:rPr>
        <w:t xml:space="preserve"> </w:t>
      </w:r>
      <w:r w:rsidRPr="00B7364B">
        <w:rPr>
          <w:lang w:eastAsia="en-AU"/>
        </w:rPr>
        <w:t>My Mobile Broadband Plus or Mobile Broadband Business on the same billing account, the included data will combine into one data pool, which will be shared by all eligible services on that account.</w:t>
      </w:r>
    </w:p>
    <w:p w14:paraId="7C3DF9E7" w14:textId="77777777" w:rsidR="00E507D4" w:rsidRPr="00B7364B" w:rsidRDefault="00E507D4" w:rsidP="00E507D4">
      <w:pPr>
        <w:numPr>
          <w:ilvl w:val="6"/>
          <w:numId w:val="1"/>
        </w:numPr>
        <w:spacing w:after="200"/>
        <w:ind w:left="1440"/>
        <w:outlineLvl w:val="6"/>
        <w:rPr>
          <w:rFonts w:eastAsia="Times New Roman"/>
          <w:snapToGrid w:val="0"/>
          <w:sz w:val="20"/>
        </w:rPr>
      </w:pPr>
      <w:r w:rsidRPr="00B7364B">
        <w:rPr>
          <w:rFonts w:eastAsia="Times New Roman"/>
          <w:snapToGrid w:val="0"/>
          <w:sz w:val="20"/>
        </w:rPr>
        <w:t xml:space="preserve">If </w:t>
      </w:r>
      <w:r w:rsidRPr="00B7364B">
        <w:rPr>
          <w:rFonts w:eastAsia="Times New Roman"/>
          <w:i/>
          <w:snapToGrid w:val="0"/>
          <w:sz w:val="20"/>
        </w:rPr>
        <w:t>you</w:t>
      </w:r>
      <w:r w:rsidRPr="00B7364B">
        <w:rPr>
          <w:rFonts w:eastAsia="Times New Roman"/>
          <w:snapToGrid w:val="0"/>
          <w:sz w:val="20"/>
        </w:rPr>
        <w:t xml:space="preserve"> do not want </w:t>
      </w:r>
      <w:r w:rsidRPr="00B7364B">
        <w:rPr>
          <w:rFonts w:eastAsia="Times New Roman"/>
          <w:i/>
          <w:snapToGrid w:val="0"/>
          <w:sz w:val="20"/>
        </w:rPr>
        <w:t>your</w:t>
      </w:r>
      <w:r w:rsidRPr="00B7364B">
        <w:rPr>
          <w:rFonts w:eastAsia="Times New Roman"/>
          <w:snapToGrid w:val="0"/>
          <w:sz w:val="20"/>
        </w:rPr>
        <w:t xml:space="preserve"> services to share data, they need to be</w:t>
      </w:r>
      <w:r>
        <w:rPr>
          <w:rFonts w:eastAsia="Times New Roman"/>
          <w:snapToGrid w:val="0"/>
          <w:sz w:val="20"/>
        </w:rPr>
        <w:t xml:space="preserve"> on separate billing accounts. </w:t>
      </w:r>
    </w:p>
    <w:p w14:paraId="70A8FA9E" w14:textId="77777777" w:rsidR="00E507D4" w:rsidRPr="00B7364B" w:rsidRDefault="00E507D4" w:rsidP="00E507D4">
      <w:pPr>
        <w:numPr>
          <w:ilvl w:val="6"/>
          <w:numId w:val="1"/>
        </w:numPr>
        <w:spacing w:after="200"/>
        <w:ind w:left="1440"/>
        <w:outlineLvl w:val="6"/>
        <w:rPr>
          <w:rFonts w:eastAsia="Times New Roman"/>
          <w:snapToGrid w:val="0"/>
          <w:sz w:val="20"/>
        </w:rPr>
      </w:pPr>
      <w:r w:rsidRPr="00B7364B">
        <w:rPr>
          <w:rFonts w:eastAsia="Times New Roman"/>
          <w:snapToGrid w:val="0"/>
          <w:sz w:val="20"/>
        </w:rPr>
        <w:t>Data sharing is only available within Australia.</w:t>
      </w:r>
    </w:p>
    <w:p w14:paraId="1DA3683A" w14:textId="77777777" w:rsidR="00E507D4" w:rsidRPr="00B7364B" w:rsidRDefault="00E507D4" w:rsidP="00E507D4">
      <w:pPr>
        <w:pStyle w:val="Heading6"/>
        <w:spacing w:before="240"/>
        <w:ind w:left="0" w:firstLine="0"/>
        <w:rPr>
          <w:bCs w:val="0"/>
          <w:snapToGrid w:val="0"/>
        </w:rPr>
      </w:pPr>
      <w:bookmarkStart w:id="2250" w:name="_Toc494180660"/>
      <w:bookmarkStart w:id="2251" w:name="_Toc508362034"/>
      <w:r w:rsidRPr="00B7364B">
        <w:rPr>
          <w:bCs w:val="0"/>
          <w:snapToGrid w:val="0"/>
        </w:rPr>
        <w:t>International Minutes</w:t>
      </w:r>
      <w:bookmarkEnd w:id="2250"/>
      <w:bookmarkEnd w:id="2251"/>
    </w:p>
    <w:p w14:paraId="20E2310B" w14:textId="77777777" w:rsidR="00E507D4" w:rsidRPr="00801DBA" w:rsidRDefault="00E507D4" w:rsidP="00E507D4">
      <w:pPr>
        <w:spacing w:after="200"/>
        <w:ind w:left="720"/>
        <w:rPr>
          <w:sz w:val="20"/>
          <w:szCs w:val="20"/>
        </w:rPr>
      </w:pPr>
      <w:r>
        <w:rPr>
          <w:sz w:val="20"/>
          <w:szCs w:val="20"/>
        </w:rPr>
        <w:t>This</w:t>
      </w:r>
      <w:r w:rsidRPr="00801DBA">
        <w:rPr>
          <w:sz w:val="20"/>
          <w:szCs w:val="20"/>
        </w:rPr>
        <w:t xml:space="preserve"> Business</w:t>
      </w:r>
      <w:r>
        <w:rPr>
          <w:sz w:val="20"/>
          <w:szCs w:val="20"/>
        </w:rPr>
        <w:t xml:space="preserve"> Plan</w:t>
      </w:r>
      <w:r w:rsidRPr="00801DBA">
        <w:rPr>
          <w:sz w:val="20"/>
          <w:szCs w:val="20"/>
        </w:rPr>
        <w:t xml:space="preserve"> includes </w:t>
      </w:r>
      <w:r>
        <w:rPr>
          <w:sz w:val="20"/>
          <w:szCs w:val="20"/>
        </w:rPr>
        <w:t>up top 300</w:t>
      </w:r>
      <w:r w:rsidRPr="00801DBA">
        <w:rPr>
          <w:sz w:val="20"/>
          <w:szCs w:val="20"/>
        </w:rPr>
        <w:t xml:space="preserve"> international minutes for standard calls to mobiles and fixed lines in selected countries. For a list of selected countries see Table 3 below.</w:t>
      </w:r>
    </w:p>
    <w:p w14:paraId="208040C6" w14:textId="77777777" w:rsidR="00E507D4" w:rsidRPr="00726D1D" w:rsidRDefault="00E507D4" w:rsidP="00E507D4">
      <w:pPr>
        <w:pStyle w:val="BodyText"/>
        <w:ind w:left="720"/>
        <w:rPr>
          <w:szCs w:val="20"/>
        </w:rPr>
      </w:pPr>
      <w:r w:rsidRPr="00726D1D">
        <w:rPr>
          <w:szCs w:val="20"/>
        </w:rPr>
        <w:t xml:space="preserve">Calls are charged per minute. When included international minutes for calls to selected countries are used up, standard </w:t>
      </w:r>
      <w:r>
        <w:rPr>
          <w:szCs w:val="20"/>
        </w:rPr>
        <w:t>'</w:t>
      </w:r>
      <w:r w:rsidRPr="00726D1D">
        <w:rPr>
          <w:szCs w:val="20"/>
        </w:rPr>
        <w:t>yes</w:t>
      </w:r>
      <w:r>
        <w:rPr>
          <w:szCs w:val="20"/>
        </w:rPr>
        <w:t>'</w:t>
      </w:r>
      <w:r w:rsidRPr="00726D1D">
        <w:rPr>
          <w:szCs w:val="20"/>
        </w:rPr>
        <w:t xml:space="preserve"> international call charges apply.</w:t>
      </w:r>
    </w:p>
    <w:p w14:paraId="7341B43C" w14:textId="77777777" w:rsidR="00E507D4" w:rsidRPr="00801DBA" w:rsidRDefault="00E507D4" w:rsidP="00E507D4">
      <w:pPr>
        <w:pStyle w:val="Heading6"/>
        <w:spacing w:before="240"/>
        <w:ind w:left="0" w:firstLine="0"/>
        <w:rPr>
          <w:bCs w:val="0"/>
          <w:snapToGrid w:val="0"/>
          <w:szCs w:val="20"/>
        </w:rPr>
      </w:pPr>
      <w:bookmarkStart w:id="2252" w:name="_Toc494180661"/>
      <w:bookmarkStart w:id="2253" w:name="_Toc508362035"/>
      <w:r w:rsidRPr="00801DBA">
        <w:rPr>
          <w:bCs w:val="0"/>
          <w:snapToGrid w:val="0"/>
          <w:szCs w:val="20"/>
        </w:rPr>
        <w:t>Unlimited standard national SMS and MMS</w:t>
      </w:r>
      <w:bookmarkEnd w:id="2252"/>
      <w:bookmarkEnd w:id="2253"/>
    </w:p>
    <w:p w14:paraId="3AAC4680" w14:textId="77777777" w:rsidR="00E507D4" w:rsidRPr="00801DBA" w:rsidRDefault="00E507D4" w:rsidP="00E507D4">
      <w:pPr>
        <w:spacing w:after="200"/>
        <w:ind w:left="720"/>
        <w:rPr>
          <w:sz w:val="20"/>
          <w:szCs w:val="20"/>
        </w:rPr>
      </w:pPr>
      <w:r w:rsidRPr="00801DBA">
        <w:rPr>
          <w:i/>
          <w:sz w:val="20"/>
          <w:szCs w:val="20"/>
        </w:rPr>
        <w:t>You</w:t>
      </w:r>
      <w:r w:rsidRPr="00801DBA">
        <w:rPr>
          <w:sz w:val="20"/>
          <w:szCs w:val="20"/>
        </w:rPr>
        <w:t xml:space="preserve"> may send unlimited standard SMS and MMS to Australian mobiles from within Australia.</w:t>
      </w:r>
    </w:p>
    <w:p w14:paraId="7E197B22" w14:textId="77777777" w:rsidR="00E507D4" w:rsidRPr="00801DBA" w:rsidRDefault="00E507D4" w:rsidP="00E507D4">
      <w:pPr>
        <w:spacing w:after="200"/>
        <w:ind w:left="720"/>
        <w:rPr>
          <w:i/>
          <w:color w:val="13607C"/>
          <w:sz w:val="20"/>
          <w:szCs w:val="20"/>
          <w:u w:val="single"/>
        </w:rPr>
      </w:pPr>
      <w:r w:rsidRPr="00801DBA">
        <w:rPr>
          <w:sz w:val="20"/>
          <w:szCs w:val="20"/>
        </w:rPr>
        <w:t xml:space="preserve">Unlimited standard national SMS and MMS are only available for personal and ordinary business use and are not to be used for a commercial or non-ordinary purpose as set out in the </w:t>
      </w:r>
      <w:hyperlink r:id="rId861" w:history="1">
        <w:r w:rsidRPr="00801DBA">
          <w:rPr>
            <w:rFonts w:cs="Arial"/>
            <w:i/>
            <w:color w:val="13607C"/>
            <w:sz w:val="20"/>
            <w:szCs w:val="20"/>
            <w:u w:val="single"/>
          </w:rPr>
          <w:t>Fair Go Policy</w:t>
        </w:r>
      </w:hyperlink>
      <w:r w:rsidRPr="00801DBA">
        <w:rPr>
          <w:sz w:val="20"/>
          <w:szCs w:val="20"/>
        </w:rPr>
        <w:t xml:space="preserve">. For further details refer to </w:t>
      </w:r>
      <w:hyperlink r:id="rId862" w:history="1">
        <w:r w:rsidRPr="00801DBA">
          <w:rPr>
            <w:i/>
            <w:color w:val="13607C"/>
            <w:sz w:val="20"/>
            <w:szCs w:val="20"/>
            <w:u w:val="single"/>
          </w:rPr>
          <w:t>Appendix S</w:t>
        </w:r>
      </w:hyperlink>
      <w:r w:rsidRPr="00801DBA">
        <w:rPr>
          <w:i/>
          <w:sz w:val="20"/>
          <w:szCs w:val="20"/>
        </w:rPr>
        <w:t>.</w:t>
      </w:r>
    </w:p>
    <w:p w14:paraId="3295B100" w14:textId="77777777" w:rsidR="00E507D4" w:rsidRPr="00801DBA" w:rsidRDefault="00E507D4" w:rsidP="00E507D4">
      <w:pPr>
        <w:pStyle w:val="Heading6"/>
        <w:spacing w:before="240"/>
        <w:ind w:left="0" w:firstLine="0"/>
        <w:rPr>
          <w:bCs w:val="0"/>
          <w:snapToGrid w:val="0"/>
          <w:szCs w:val="20"/>
        </w:rPr>
      </w:pPr>
      <w:bookmarkStart w:id="2254" w:name="_Toc494180662"/>
      <w:bookmarkStart w:id="2255" w:name="_Toc508362036"/>
      <w:r w:rsidRPr="00801DBA">
        <w:rPr>
          <w:bCs w:val="0"/>
          <w:snapToGrid w:val="0"/>
          <w:szCs w:val="20"/>
        </w:rPr>
        <w:t>Unlimited standard international SMS and MMS</w:t>
      </w:r>
      <w:bookmarkEnd w:id="2254"/>
      <w:bookmarkEnd w:id="2255"/>
    </w:p>
    <w:p w14:paraId="33B42B56" w14:textId="77777777" w:rsidR="00E507D4" w:rsidRDefault="00E507D4" w:rsidP="00E507D4">
      <w:pPr>
        <w:spacing w:after="200"/>
        <w:ind w:left="720"/>
        <w:rPr>
          <w:sz w:val="20"/>
          <w:szCs w:val="20"/>
        </w:rPr>
      </w:pPr>
      <w:r w:rsidRPr="00801DBA">
        <w:rPr>
          <w:i/>
          <w:sz w:val="20"/>
          <w:szCs w:val="20"/>
        </w:rPr>
        <w:t>You</w:t>
      </w:r>
      <w:r w:rsidRPr="00801DBA">
        <w:rPr>
          <w:sz w:val="20"/>
          <w:szCs w:val="20"/>
        </w:rPr>
        <w:t xml:space="preserve"> may send unlimited standard SMS and MMS to selected countries as set out in Table 3 below.</w:t>
      </w:r>
    </w:p>
    <w:p w14:paraId="21EF5005" w14:textId="77777777" w:rsidR="00E507D4" w:rsidRPr="00801DBA" w:rsidRDefault="00E507D4" w:rsidP="00E507D4">
      <w:pPr>
        <w:spacing w:after="200"/>
        <w:ind w:left="720"/>
        <w:rPr>
          <w:sz w:val="20"/>
          <w:szCs w:val="20"/>
        </w:rPr>
      </w:pPr>
      <w:r w:rsidRPr="002256CD">
        <w:rPr>
          <w:sz w:val="20"/>
          <w:szCs w:val="20"/>
        </w:rPr>
        <w:t>Unlimited standard SMS and MMS are only available for personal and ordinary business use and are not to be used for a commercial or non-ordinary purpose as set out in the Fair Go Policy. For further details refer to Appendix S.</w:t>
      </w:r>
    </w:p>
    <w:p w14:paraId="74DD981F" w14:textId="77777777" w:rsidR="00E507D4" w:rsidRPr="00B7364B" w:rsidRDefault="00E507D4" w:rsidP="00E507D4">
      <w:pPr>
        <w:pStyle w:val="Heading6"/>
        <w:spacing w:before="240"/>
        <w:ind w:left="0" w:firstLine="0"/>
        <w:rPr>
          <w:rFonts w:cs="Arial"/>
          <w:snapToGrid w:val="0"/>
          <w:szCs w:val="20"/>
          <w:lang w:val="en-AU"/>
        </w:rPr>
      </w:pPr>
      <w:bookmarkStart w:id="2256" w:name="_Toc494180663"/>
      <w:bookmarkStart w:id="2257" w:name="_Toc508362037"/>
      <w:r w:rsidRPr="00B7364B">
        <w:rPr>
          <w:rFonts w:cs="Arial"/>
          <w:snapToGrid w:val="0"/>
          <w:szCs w:val="20"/>
          <w:lang w:val="en-AU"/>
        </w:rPr>
        <w:t>Optus Travel</w:t>
      </w:r>
      <w:r w:rsidRPr="00B7364B">
        <w:rPr>
          <w:rFonts w:cs="Arial"/>
          <w:snapToGrid w:val="0"/>
          <w:szCs w:val="20"/>
          <w:vertAlign w:val="superscript"/>
          <w:lang w:val="en-AU"/>
        </w:rPr>
        <w:t xml:space="preserve">TM </w:t>
      </w:r>
      <w:r w:rsidRPr="00B7364B">
        <w:rPr>
          <w:rFonts w:cs="Arial"/>
          <w:snapToGrid w:val="0"/>
          <w:szCs w:val="20"/>
          <w:lang w:val="en-AU"/>
        </w:rPr>
        <w:t>Pack</w:t>
      </w:r>
      <w:bookmarkEnd w:id="2256"/>
      <w:bookmarkEnd w:id="2257"/>
      <w:r w:rsidRPr="00B7364B">
        <w:rPr>
          <w:rFonts w:cs="Arial"/>
          <w:snapToGrid w:val="0"/>
          <w:szCs w:val="20"/>
          <w:lang w:val="en-AU"/>
        </w:rPr>
        <w:t xml:space="preserve"> </w:t>
      </w:r>
    </w:p>
    <w:p w14:paraId="7421C1F6" w14:textId="77777777" w:rsidR="00E507D4" w:rsidRPr="00B7364B" w:rsidRDefault="00E507D4" w:rsidP="00E507D4">
      <w:pPr>
        <w:ind w:left="709"/>
        <w:rPr>
          <w:rFonts w:cs="Arial"/>
          <w:snapToGrid w:val="0"/>
          <w:sz w:val="20"/>
          <w:szCs w:val="20"/>
        </w:rPr>
      </w:pPr>
      <w:r w:rsidRPr="00F2653C">
        <w:rPr>
          <w:rFonts w:cs="Arial"/>
          <w:i/>
          <w:snapToGrid w:val="0"/>
          <w:sz w:val="20"/>
          <w:szCs w:val="20"/>
        </w:rPr>
        <w:lastRenderedPageBreak/>
        <w:t>The $</w:t>
      </w:r>
      <w:r>
        <w:rPr>
          <w:rFonts w:cs="Arial"/>
          <w:i/>
          <w:snapToGrid w:val="0"/>
          <w:sz w:val="20"/>
          <w:szCs w:val="20"/>
        </w:rPr>
        <w:t>85 Business Plan</w:t>
      </w:r>
      <w:r w:rsidRPr="00F2653C">
        <w:rPr>
          <w:rFonts w:cs="Arial"/>
          <w:i/>
          <w:snapToGrid w:val="0"/>
          <w:sz w:val="20"/>
          <w:szCs w:val="20"/>
        </w:rPr>
        <w:t xml:space="preserve"> can take up the Optus TravelTM Pack for $5 per day</w:t>
      </w:r>
      <w:r>
        <w:rPr>
          <w:rFonts w:cs="Arial"/>
          <w:i/>
          <w:snapToGrid w:val="0"/>
          <w:sz w:val="20"/>
          <w:szCs w:val="20"/>
        </w:rPr>
        <w:t>.</w:t>
      </w:r>
      <w:r w:rsidRPr="00F2653C">
        <w:rPr>
          <w:rFonts w:cs="Arial"/>
          <w:i/>
          <w:snapToGrid w:val="0"/>
          <w:sz w:val="20"/>
          <w:szCs w:val="20"/>
        </w:rPr>
        <w:t xml:space="preserve"> </w:t>
      </w:r>
      <w:r w:rsidRPr="00B7364B">
        <w:rPr>
          <w:rFonts w:cs="Arial"/>
          <w:i/>
          <w:snapToGrid w:val="0"/>
          <w:sz w:val="20"/>
          <w:szCs w:val="20"/>
        </w:rPr>
        <w:t>You</w:t>
      </w:r>
      <w:r w:rsidRPr="00B7364B">
        <w:rPr>
          <w:rFonts w:cs="Arial"/>
          <w:snapToGrid w:val="0"/>
          <w:sz w:val="20"/>
          <w:szCs w:val="20"/>
        </w:rPr>
        <w:t xml:space="preserve"> need to ensure your Optus Travel</w:t>
      </w:r>
      <w:r w:rsidRPr="00B7364B">
        <w:rPr>
          <w:rFonts w:cs="Arial"/>
          <w:snapToGrid w:val="0"/>
          <w:sz w:val="20"/>
          <w:szCs w:val="20"/>
          <w:vertAlign w:val="superscript"/>
        </w:rPr>
        <w:t>TM</w:t>
      </w:r>
      <w:r w:rsidRPr="00B7364B">
        <w:rPr>
          <w:rFonts w:cs="Arial"/>
          <w:snapToGrid w:val="0"/>
          <w:sz w:val="20"/>
          <w:szCs w:val="20"/>
        </w:rPr>
        <w:t xml:space="preserve"> Pack is active by contacting Optus prior to use. Optus Travel</w:t>
      </w:r>
      <w:r w:rsidRPr="00B7364B">
        <w:rPr>
          <w:rFonts w:cs="Arial"/>
          <w:snapToGrid w:val="0"/>
          <w:sz w:val="20"/>
          <w:szCs w:val="20"/>
          <w:vertAlign w:val="superscript"/>
        </w:rPr>
        <w:t>TM</w:t>
      </w:r>
      <w:r w:rsidRPr="00B7364B">
        <w:rPr>
          <w:rFonts w:cs="Arial"/>
          <w:snapToGrid w:val="0"/>
          <w:sz w:val="20"/>
          <w:szCs w:val="20"/>
        </w:rPr>
        <w:t xml:space="preserve"> Pack gives you unlimited standard national and international voice, SMS (MMS is excluded) plu</w:t>
      </w:r>
      <w:r>
        <w:rPr>
          <w:rFonts w:cs="Arial"/>
          <w:snapToGrid w:val="0"/>
          <w:sz w:val="20"/>
          <w:szCs w:val="20"/>
        </w:rPr>
        <w:t>s 10</w:t>
      </w:r>
      <w:r w:rsidRPr="00B7364B">
        <w:rPr>
          <w:rFonts w:cs="Arial"/>
          <w:snapToGrid w:val="0"/>
          <w:sz w:val="20"/>
          <w:szCs w:val="20"/>
        </w:rPr>
        <w:t>0MB of data to use in Zone 1 countries per day. For list of countries see optus.com.au/travel</w:t>
      </w:r>
      <w:r w:rsidRPr="00B7364B">
        <w:rPr>
          <w:rFonts w:cs="Arial"/>
          <w:snapToGrid w:val="0"/>
          <w:sz w:val="20"/>
          <w:szCs w:val="20"/>
        </w:rPr>
        <w:br/>
      </w:r>
    </w:p>
    <w:p w14:paraId="4E1AFF5D" w14:textId="77777777" w:rsidR="00E507D4" w:rsidRDefault="00E507D4" w:rsidP="00E507D4">
      <w:pPr>
        <w:tabs>
          <w:tab w:val="left" w:pos="567"/>
          <w:tab w:val="left" w:pos="709"/>
          <w:tab w:val="left" w:pos="1701"/>
        </w:tabs>
        <w:spacing w:before="120" w:after="240"/>
        <w:ind w:left="709"/>
        <w:rPr>
          <w:rFonts w:cs="Arial"/>
          <w:snapToGrid w:val="0"/>
          <w:sz w:val="20"/>
          <w:szCs w:val="20"/>
        </w:rPr>
      </w:pPr>
      <w:r w:rsidRPr="00B7364B">
        <w:rPr>
          <w:rFonts w:cs="Arial"/>
          <w:i/>
          <w:snapToGrid w:val="0"/>
          <w:sz w:val="20"/>
          <w:szCs w:val="20"/>
        </w:rPr>
        <w:t>You</w:t>
      </w:r>
      <w:r w:rsidRPr="00B7364B">
        <w:rPr>
          <w:rFonts w:cs="Arial"/>
          <w:snapToGrid w:val="0"/>
          <w:sz w:val="20"/>
          <w:szCs w:val="20"/>
        </w:rPr>
        <w:t xml:space="preserve"> can activate the Optus Travel</w:t>
      </w:r>
      <w:r w:rsidRPr="00B7364B">
        <w:rPr>
          <w:rFonts w:cs="Arial"/>
          <w:snapToGrid w:val="0"/>
          <w:sz w:val="20"/>
          <w:szCs w:val="20"/>
          <w:vertAlign w:val="superscript"/>
        </w:rPr>
        <w:t>TM</w:t>
      </w:r>
      <w:r w:rsidRPr="00B7364B">
        <w:rPr>
          <w:rFonts w:cs="Arial"/>
          <w:snapToGrid w:val="0"/>
          <w:sz w:val="20"/>
          <w:szCs w:val="20"/>
        </w:rPr>
        <w:t xml:space="preserve"> Pack on a day to day basis or multiple days at once. If you activate multiple consecutive days, the data allowance will accumulate, for example </w:t>
      </w:r>
      <w:r w:rsidRPr="00B7364B">
        <w:rPr>
          <w:rFonts w:cs="Arial"/>
          <w:bCs/>
          <w:snapToGrid w:val="0"/>
          <w:sz w:val="20"/>
          <w:szCs w:val="20"/>
        </w:rPr>
        <w:t>activate 5 c</w:t>
      </w:r>
      <w:r>
        <w:rPr>
          <w:rFonts w:cs="Arial"/>
          <w:bCs/>
          <w:snapToGrid w:val="0"/>
          <w:sz w:val="20"/>
          <w:szCs w:val="20"/>
        </w:rPr>
        <w:t>onsecutive days and use up to 50</w:t>
      </w:r>
      <w:r w:rsidRPr="00B7364B">
        <w:rPr>
          <w:rFonts w:cs="Arial"/>
          <w:bCs/>
          <w:snapToGrid w:val="0"/>
          <w:sz w:val="20"/>
          <w:szCs w:val="20"/>
        </w:rPr>
        <w:t>0MB any time over the 5 day period. If you exceed the data limit, standard data roaming charges will apply. Any data provided as part of Optus Travel™ Pack is not shareable and will not form part of any Data Pool. Any unused days of Optus Travel™ Pack are forfeited and cannot be rolled over to the next billing month.</w:t>
      </w:r>
    </w:p>
    <w:p w14:paraId="7CC37C81" w14:textId="77777777" w:rsidR="00E507D4" w:rsidRPr="00B7364B" w:rsidRDefault="00E507D4" w:rsidP="00E507D4">
      <w:pPr>
        <w:tabs>
          <w:tab w:val="left" w:pos="567"/>
          <w:tab w:val="left" w:pos="709"/>
          <w:tab w:val="left" w:pos="1701"/>
        </w:tabs>
        <w:spacing w:before="120" w:after="240"/>
        <w:ind w:left="709"/>
        <w:rPr>
          <w:rFonts w:cs="Arial"/>
          <w:snapToGrid w:val="0"/>
          <w:sz w:val="20"/>
          <w:szCs w:val="20"/>
        </w:rPr>
      </w:pPr>
      <w:r w:rsidRPr="00B7364B">
        <w:rPr>
          <w:rFonts w:cs="Arial"/>
          <w:snapToGrid w:val="0"/>
          <w:sz w:val="20"/>
          <w:szCs w:val="20"/>
        </w:rPr>
        <w:t>I</w:t>
      </w:r>
      <w:r w:rsidRPr="00B7364B">
        <w:rPr>
          <w:rFonts w:cs="Arial"/>
          <w:bCs/>
          <w:snapToGrid w:val="0"/>
          <w:sz w:val="20"/>
          <w:szCs w:val="20"/>
        </w:rPr>
        <w:t>f you are not in a selected Zone 1 country you will be charged at standard roaming rates for that country.</w:t>
      </w:r>
    </w:p>
    <w:p w14:paraId="728C6C61" w14:textId="77777777" w:rsidR="00E507D4" w:rsidRPr="00B7364B" w:rsidRDefault="00E507D4" w:rsidP="00E507D4">
      <w:pPr>
        <w:spacing w:after="200"/>
        <w:ind w:left="720"/>
        <w:rPr>
          <w:b/>
          <w:sz w:val="20"/>
        </w:rPr>
      </w:pPr>
      <w:r w:rsidRPr="00B7364B">
        <w:rPr>
          <w:b/>
          <w:sz w:val="20"/>
        </w:rPr>
        <w:t>Table 1 –Plan Inclusions and Charges</w:t>
      </w:r>
    </w:p>
    <w:tbl>
      <w:tblPr>
        <w:tblW w:w="4146"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81"/>
        <w:gridCol w:w="3467"/>
      </w:tblGrid>
      <w:tr w:rsidR="00E507D4" w:rsidRPr="00B7364B" w14:paraId="5A566B33" w14:textId="77777777" w:rsidTr="00B95821">
        <w:trPr>
          <w:tblHeader/>
        </w:trPr>
        <w:tc>
          <w:tcPr>
            <w:tcW w:w="2948" w:type="pct"/>
            <w:shd w:val="clear" w:color="auto" w:fill="auto"/>
          </w:tcPr>
          <w:p w14:paraId="1026A779" w14:textId="77777777" w:rsidR="00E507D4" w:rsidRPr="00B7364B" w:rsidRDefault="00E507D4" w:rsidP="00B95821">
            <w:pPr>
              <w:spacing w:before="100" w:after="100"/>
              <w:rPr>
                <w:sz w:val="20"/>
                <w:szCs w:val="20"/>
              </w:rPr>
            </w:pPr>
          </w:p>
        </w:tc>
        <w:tc>
          <w:tcPr>
            <w:tcW w:w="2052" w:type="pct"/>
            <w:shd w:val="clear" w:color="auto" w:fill="auto"/>
          </w:tcPr>
          <w:p w14:paraId="35F38587" w14:textId="77777777" w:rsidR="00E507D4" w:rsidRPr="00B7364B" w:rsidRDefault="00E507D4" w:rsidP="00B95821">
            <w:pPr>
              <w:spacing w:before="100" w:after="100"/>
              <w:jc w:val="center"/>
              <w:rPr>
                <w:b/>
                <w:sz w:val="20"/>
                <w:szCs w:val="20"/>
              </w:rPr>
            </w:pPr>
            <w:r>
              <w:rPr>
                <w:b/>
                <w:sz w:val="20"/>
                <w:szCs w:val="20"/>
              </w:rPr>
              <w:t>$85</w:t>
            </w:r>
            <w:r w:rsidRPr="00B7364B">
              <w:rPr>
                <w:b/>
                <w:sz w:val="20"/>
                <w:szCs w:val="20"/>
              </w:rPr>
              <w:t xml:space="preserve"> Business Plan</w:t>
            </w:r>
          </w:p>
        </w:tc>
      </w:tr>
      <w:tr w:rsidR="00E507D4" w:rsidRPr="00B7364B" w14:paraId="14E6076A" w14:textId="77777777" w:rsidTr="00B95821">
        <w:tc>
          <w:tcPr>
            <w:tcW w:w="2948" w:type="pct"/>
            <w:shd w:val="clear" w:color="auto" w:fill="auto"/>
          </w:tcPr>
          <w:p w14:paraId="405B7797" w14:textId="77777777" w:rsidR="00E507D4" w:rsidRPr="00B7364B" w:rsidRDefault="00E507D4" w:rsidP="00B95821">
            <w:pPr>
              <w:spacing w:before="100" w:after="100"/>
              <w:rPr>
                <w:sz w:val="20"/>
                <w:szCs w:val="20"/>
              </w:rPr>
            </w:pPr>
            <w:r w:rsidRPr="00B7364B">
              <w:rPr>
                <w:b/>
                <w:bCs/>
                <w:sz w:val="20"/>
                <w:szCs w:val="20"/>
              </w:rPr>
              <w:t>Minimum Monthly charge</w:t>
            </w:r>
          </w:p>
        </w:tc>
        <w:tc>
          <w:tcPr>
            <w:tcW w:w="2052" w:type="pct"/>
            <w:shd w:val="clear" w:color="auto" w:fill="auto"/>
            <w:vAlign w:val="center"/>
          </w:tcPr>
          <w:p w14:paraId="1007C38F" w14:textId="77777777" w:rsidR="00E507D4" w:rsidRPr="00B7364B" w:rsidRDefault="00E507D4" w:rsidP="00B95821">
            <w:pPr>
              <w:spacing w:before="100" w:after="100"/>
              <w:jc w:val="center"/>
              <w:rPr>
                <w:sz w:val="20"/>
                <w:szCs w:val="20"/>
              </w:rPr>
            </w:pPr>
            <w:r>
              <w:rPr>
                <w:sz w:val="20"/>
                <w:szCs w:val="20"/>
              </w:rPr>
              <w:t>$85</w:t>
            </w:r>
          </w:p>
        </w:tc>
      </w:tr>
      <w:tr w:rsidR="00E507D4" w:rsidRPr="00B7364B" w14:paraId="5A35E648" w14:textId="77777777" w:rsidTr="00B95821">
        <w:tc>
          <w:tcPr>
            <w:tcW w:w="2948" w:type="pct"/>
            <w:shd w:val="clear" w:color="auto" w:fill="auto"/>
          </w:tcPr>
          <w:p w14:paraId="57B72567" w14:textId="77777777" w:rsidR="00E507D4" w:rsidRPr="00B7364B" w:rsidRDefault="00E507D4" w:rsidP="00B95821">
            <w:pPr>
              <w:spacing w:before="100" w:after="100"/>
              <w:rPr>
                <w:sz w:val="20"/>
                <w:szCs w:val="20"/>
              </w:rPr>
            </w:pPr>
            <w:r w:rsidRPr="00B7364B">
              <w:rPr>
                <w:b/>
                <w:bCs/>
                <w:sz w:val="20"/>
                <w:szCs w:val="20"/>
              </w:rPr>
              <w:t>Included Data</w:t>
            </w:r>
          </w:p>
        </w:tc>
        <w:tc>
          <w:tcPr>
            <w:tcW w:w="2052" w:type="pct"/>
            <w:shd w:val="clear" w:color="auto" w:fill="auto"/>
            <w:vAlign w:val="center"/>
          </w:tcPr>
          <w:p w14:paraId="2822CD97" w14:textId="77777777" w:rsidR="00E507D4" w:rsidRPr="00B7364B" w:rsidRDefault="00E507D4" w:rsidP="00B95821">
            <w:pPr>
              <w:spacing w:before="100" w:after="100"/>
              <w:jc w:val="center"/>
              <w:rPr>
                <w:sz w:val="20"/>
                <w:szCs w:val="20"/>
              </w:rPr>
            </w:pPr>
            <w:r>
              <w:rPr>
                <w:sz w:val="20"/>
                <w:szCs w:val="20"/>
              </w:rPr>
              <w:t>50</w:t>
            </w:r>
            <w:r w:rsidRPr="00B7364B">
              <w:rPr>
                <w:sz w:val="20"/>
                <w:szCs w:val="20"/>
              </w:rPr>
              <w:t>GB</w:t>
            </w:r>
          </w:p>
        </w:tc>
      </w:tr>
      <w:tr w:rsidR="00E507D4" w:rsidRPr="00B7364B" w14:paraId="24F7F9C9" w14:textId="77777777" w:rsidTr="00B95821">
        <w:trPr>
          <w:trHeight w:val="906"/>
        </w:trPr>
        <w:tc>
          <w:tcPr>
            <w:tcW w:w="2948" w:type="pct"/>
            <w:shd w:val="clear" w:color="auto" w:fill="auto"/>
          </w:tcPr>
          <w:p w14:paraId="60D03C7C" w14:textId="77777777" w:rsidR="00E507D4" w:rsidRPr="00B7364B" w:rsidRDefault="00E507D4" w:rsidP="00B95821">
            <w:pPr>
              <w:spacing w:before="100" w:after="100"/>
              <w:rPr>
                <w:b/>
                <w:bCs/>
                <w:sz w:val="20"/>
                <w:szCs w:val="20"/>
              </w:rPr>
            </w:pPr>
            <w:r w:rsidRPr="00B7364B">
              <w:rPr>
                <w:b/>
                <w:bCs/>
                <w:sz w:val="20"/>
                <w:szCs w:val="20"/>
              </w:rPr>
              <w:t>Additional Data</w:t>
            </w:r>
          </w:p>
        </w:tc>
        <w:tc>
          <w:tcPr>
            <w:tcW w:w="2052" w:type="pct"/>
            <w:shd w:val="clear" w:color="auto" w:fill="auto"/>
            <w:vAlign w:val="center"/>
          </w:tcPr>
          <w:p w14:paraId="2FAD4334" w14:textId="77777777" w:rsidR="00E507D4" w:rsidRDefault="00E507D4" w:rsidP="00B95821">
            <w:pPr>
              <w:spacing w:before="100" w:after="100"/>
              <w:jc w:val="center"/>
              <w:rPr>
                <w:sz w:val="20"/>
                <w:szCs w:val="20"/>
              </w:rPr>
            </w:pPr>
            <w:r w:rsidRPr="008F0555">
              <w:rPr>
                <w:sz w:val="20"/>
                <w:szCs w:val="20"/>
              </w:rPr>
              <w:t>Additional data $10 per 1GB</w:t>
            </w:r>
          </w:p>
        </w:tc>
      </w:tr>
      <w:tr w:rsidR="00E507D4" w:rsidRPr="00B7364B" w14:paraId="351018FB" w14:textId="77777777" w:rsidTr="00B95821">
        <w:tc>
          <w:tcPr>
            <w:tcW w:w="2948" w:type="pct"/>
            <w:shd w:val="clear" w:color="auto" w:fill="auto"/>
          </w:tcPr>
          <w:p w14:paraId="583649F7" w14:textId="77777777" w:rsidR="00E507D4" w:rsidRPr="00B7364B" w:rsidRDefault="00E507D4" w:rsidP="00B95821">
            <w:pPr>
              <w:spacing w:before="100" w:after="100"/>
              <w:rPr>
                <w:sz w:val="20"/>
                <w:szCs w:val="20"/>
              </w:rPr>
            </w:pPr>
            <w:r w:rsidRPr="00B7364B">
              <w:rPr>
                <w:b/>
                <w:bCs/>
                <w:sz w:val="20"/>
                <w:szCs w:val="20"/>
              </w:rPr>
              <w:t xml:space="preserve">Included Minutes </w:t>
            </w:r>
            <w:r w:rsidRPr="00B7364B">
              <w:rPr>
                <w:sz w:val="20"/>
                <w:szCs w:val="20"/>
              </w:rPr>
              <w:t>for standard national calls to landlines and mobiles, 1300 numbers and voicemail, within Australia</w:t>
            </w:r>
          </w:p>
        </w:tc>
        <w:tc>
          <w:tcPr>
            <w:tcW w:w="2052" w:type="pct"/>
            <w:shd w:val="clear" w:color="auto" w:fill="auto"/>
            <w:vAlign w:val="center"/>
          </w:tcPr>
          <w:p w14:paraId="35C0808B" w14:textId="77777777" w:rsidR="00E507D4" w:rsidRPr="00B7364B" w:rsidRDefault="00E507D4" w:rsidP="00B95821">
            <w:pPr>
              <w:spacing w:before="100" w:after="100"/>
              <w:jc w:val="center"/>
              <w:rPr>
                <w:sz w:val="20"/>
                <w:szCs w:val="20"/>
              </w:rPr>
            </w:pPr>
            <w:r w:rsidRPr="00B7364B">
              <w:rPr>
                <w:sz w:val="20"/>
                <w:szCs w:val="20"/>
              </w:rPr>
              <w:t>Unlimited</w:t>
            </w:r>
          </w:p>
        </w:tc>
      </w:tr>
      <w:tr w:rsidR="00E507D4" w:rsidRPr="00B7364B" w14:paraId="19DEF8D3" w14:textId="77777777" w:rsidTr="00B95821">
        <w:tc>
          <w:tcPr>
            <w:tcW w:w="2948" w:type="pct"/>
            <w:shd w:val="clear" w:color="auto" w:fill="auto"/>
          </w:tcPr>
          <w:p w14:paraId="459B2FC6" w14:textId="77777777" w:rsidR="00E507D4" w:rsidRPr="00B7364B" w:rsidRDefault="00E507D4" w:rsidP="00B95821">
            <w:pPr>
              <w:spacing w:before="100" w:after="100"/>
              <w:rPr>
                <w:b/>
                <w:bCs/>
                <w:sz w:val="20"/>
                <w:szCs w:val="20"/>
              </w:rPr>
            </w:pPr>
            <w:r w:rsidRPr="00B7364B">
              <w:rPr>
                <w:b/>
                <w:bCs/>
                <w:sz w:val="20"/>
                <w:szCs w:val="20"/>
              </w:rPr>
              <w:t>Included International Minutes</w:t>
            </w:r>
          </w:p>
          <w:p w14:paraId="6D84898E" w14:textId="77777777" w:rsidR="00E507D4" w:rsidRPr="00B7364B" w:rsidRDefault="00E507D4" w:rsidP="00B95821">
            <w:pPr>
              <w:spacing w:before="100" w:after="100"/>
              <w:rPr>
                <w:b/>
                <w:bCs/>
                <w:sz w:val="20"/>
                <w:szCs w:val="20"/>
              </w:rPr>
            </w:pPr>
            <w:r w:rsidRPr="00B7364B">
              <w:rPr>
                <w:sz w:val="20"/>
                <w:szCs w:val="20"/>
              </w:rPr>
              <w:t xml:space="preserve">Standard international calls to landlines and mobiles to selected countries </w:t>
            </w:r>
          </w:p>
        </w:tc>
        <w:tc>
          <w:tcPr>
            <w:tcW w:w="2052" w:type="pct"/>
            <w:shd w:val="clear" w:color="auto" w:fill="auto"/>
            <w:vAlign w:val="center"/>
          </w:tcPr>
          <w:p w14:paraId="109E097F" w14:textId="77777777" w:rsidR="00E507D4" w:rsidRPr="00B7364B" w:rsidRDefault="00E507D4" w:rsidP="00B95821">
            <w:pPr>
              <w:spacing w:before="100" w:after="100"/>
              <w:jc w:val="center"/>
              <w:rPr>
                <w:sz w:val="20"/>
                <w:szCs w:val="20"/>
              </w:rPr>
            </w:pPr>
            <w:r w:rsidRPr="00B7364B">
              <w:rPr>
                <w:bCs/>
                <w:sz w:val="20"/>
                <w:szCs w:val="20"/>
              </w:rPr>
              <w:t>Unlimited</w:t>
            </w:r>
          </w:p>
        </w:tc>
      </w:tr>
      <w:tr w:rsidR="00E507D4" w:rsidRPr="00B7364B" w14:paraId="16695195" w14:textId="77777777" w:rsidTr="00B95821">
        <w:tc>
          <w:tcPr>
            <w:tcW w:w="2948" w:type="pct"/>
            <w:shd w:val="clear" w:color="auto" w:fill="auto"/>
          </w:tcPr>
          <w:p w14:paraId="19FC6629" w14:textId="77777777" w:rsidR="00E507D4" w:rsidRPr="00B7364B" w:rsidRDefault="00E507D4" w:rsidP="00B95821">
            <w:pPr>
              <w:spacing w:before="100" w:after="100"/>
              <w:rPr>
                <w:sz w:val="20"/>
                <w:szCs w:val="20"/>
              </w:rPr>
            </w:pPr>
            <w:r w:rsidRPr="00B7364B">
              <w:rPr>
                <w:b/>
                <w:bCs/>
                <w:sz w:val="20"/>
                <w:szCs w:val="20"/>
              </w:rPr>
              <w:t xml:space="preserve">Standard national SMS </w:t>
            </w:r>
            <w:r w:rsidRPr="00B7364B">
              <w:rPr>
                <w:sz w:val="20"/>
                <w:szCs w:val="20"/>
              </w:rPr>
              <w:t>(per SMS of up to 160 standard characters)</w:t>
            </w:r>
          </w:p>
        </w:tc>
        <w:tc>
          <w:tcPr>
            <w:tcW w:w="2052" w:type="pct"/>
            <w:shd w:val="clear" w:color="auto" w:fill="auto"/>
            <w:vAlign w:val="center"/>
          </w:tcPr>
          <w:p w14:paraId="02E7EC85" w14:textId="77777777" w:rsidR="00E507D4" w:rsidRPr="00B7364B" w:rsidRDefault="00E507D4" w:rsidP="00B95821">
            <w:pPr>
              <w:spacing w:before="100" w:after="100"/>
              <w:jc w:val="center"/>
              <w:rPr>
                <w:sz w:val="20"/>
                <w:szCs w:val="20"/>
              </w:rPr>
            </w:pPr>
            <w:r w:rsidRPr="00B7364B">
              <w:rPr>
                <w:sz w:val="20"/>
                <w:szCs w:val="20"/>
              </w:rPr>
              <w:t>Unlimited</w:t>
            </w:r>
          </w:p>
        </w:tc>
      </w:tr>
      <w:tr w:rsidR="00E507D4" w:rsidRPr="00B7364B" w14:paraId="53AF0FCF" w14:textId="77777777" w:rsidTr="00B95821">
        <w:tc>
          <w:tcPr>
            <w:tcW w:w="2948" w:type="pct"/>
            <w:shd w:val="clear" w:color="auto" w:fill="auto"/>
          </w:tcPr>
          <w:p w14:paraId="616B7B80" w14:textId="77777777" w:rsidR="00E507D4" w:rsidRPr="00B7364B" w:rsidRDefault="00E507D4" w:rsidP="00B95821">
            <w:pPr>
              <w:keepNext/>
              <w:keepLines/>
              <w:spacing w:before="100" w:after="100"/>
              <w:rPr>
                <w:b/>
                <w:bCs/>
                <w:sz w:val="20"/>
                <w:szCs w:val="20"/>
              </w:rPr>
            </w:pPr>
            <w:r w:rsidRPr="00B7364B">
              <w:rPr>
                <w:b/>
                <w:bCs/>
                <w:sz w:val="20"/>
                <w:szCs w:val="20"/>
              </w:rPr>
              <w:t xml:space="preserve">Standard national MMS </w:t>
            </w:r>
            <w:r w:rsidRPr="00B7364B">
              <w:rPr>
                <w:sz w:val="20"/>
                <w:szCs w:val="20"/>
              </w:rPr>
              <w:t>(per message)</w:t>
            </w:r>
          </w:p>
        </w:tc>
        <w:tc>
          <w:tcPr>
            <w:tcW w:w="2052" w:type="pct"/>
            <w:shd w:val="clear" w:color="auto" w:fill="auto"/>
            <w:vAlign w:val="center"/>
          </w:tcPr>
          <w:p w14:paraId="736DBB15" w14:textId="77777777" w:rsidR="00E507D4" w:rsidRPr="00B7364B" w:rsidRDefault="00E507D4" w:rsidP="00B95821">
            <w:pPr>
              <w:keepNext/>
              <w:keepLines/>
              <w:spacing w:before="100" w:after="100"/>
              <w:jc w:val="center"/>
              <w:rPr>
                <w:sz w:val="20"/>
                <w:szCs w:val="20"/>
              </w:rPr>
            </w:pPr>
            <w:r w:rsidRPr="00B7364B">
              <w:rPr>
                <w:sz w:val="20"/>
                <w:szCs w:val="20"/>
              </w:rPr>
              <w:t>Unlimited</w:t>
            </w:r>
          </w:p>
        </w:tc>
      </w:tr>
      <w:tr w:rsidR="00E507D4" w:rsidRPr="00B7364B" w14:paraId="0B750E54" w14:textId="77777777" w:rsidTr="00B95821">
        <w:tc>
          <w:tcPr>
            <w:tcW w:w="2948" w:type="pct"/>
            <w:shd w:val="clear" w:color="auto" w:fill="auto"/>
          </w:tcPr>
          <w:p w14:paraId="7DFE69B6" w14:textId="77777777" w:rsidR="00E507D4" w:rsidRPr="00B7364B" w:rsidRDefault="00E507D4" w:rsidP="00B95821">
            <w:pPr>
              <w:spacing w:before="100" w:after="100"/>
              <w:rPr>
                <w:b/>
                <w:bCs/>
                <w:sz w:val="20"/>
                <w:szCs w:val="20"/>
              </w:rPr>
            </w:pPr>
            <w:r w:rsidRPr="00B7364B">
              <w:rPr>
                <w:b/>
                <w:bCs/>
                <w:sz w:val="20"/>
                <w:szCs w:val="20"/>
              </w:rPr>
              <w:t xml:space="preserve">Standard international SMS </w:t>
            </w:r>
            <w:r w:rsidRPr="00B7364B">
              <w:rPr>
                <w:sz w:val="20"/>
                <w:szCs w:val="20"/>
              </w:rPr>
              <w:t>(per SMS of up to 160 standard characters to selected countries)</w:t>
            </w:r>
          </w:p>
        </w:tc>
        <w:tc>
          <w:tcPr>
            <w:tcW w:w="2052" w:type="pct"/>
            <w:shd w:val="clear" w:color="auto" w:fill="auto"/>
            <w:vAlign w:val="center"/>
          </w:tcPr>
          <w:p w14:paraId="242A7271" w14:textId="77777777" w:rsidR="00E507D4" w:rsidRPr="00B7364B" w:rsidRDefault="00E507D4" w:rsidP="00B95821">
            <w:pPr>
              <w:spacing w:before="100" w:after="100"/>
              <w:jc w:val="center"/>
              <w:rPr>
                <w:sz w:val="20"/>
                <w:szCs w:val="20"/>
              </w:rPr>
            </w:pPr>
            <w:r w:rsidRPr="00B7364B">
              <w:rPr>
                <w:sz w:val="20"/>
                <w:szCs w:val="20"/>
              </w:rPr>
              <w:t>Unlimited</w:t>
            </w:r>
          </w:p>
        </w:tc>
      </w:tr>
      <w:tr w:rsidR="00E507D4" w:rsidRPr="00B7364B" w14:paraId="77AC771A" w14:textId="77777777" w:rsidTr="00B95821">
        <w:tc>
          <w:tcPr>
            <w:tcW w:w="2948" w:type="pct"/>
            <w:shd w:val="clear" w:color="auto" w:fill="auto"/>
          </w:tcPr>
          <w:p w14:paraId="24B3659D" w14:textId="77777777" w:rsidR="00E507D4" w:rsidRPr="00B7364B" w:rsidRDefault="00E507D4" w:rsidP="00B95821">
            <w:pPr>
              <w:spacing w:before="100" w:after="100"/>
              <w:rPr>
                <w:b/>
                <w:bCs/>
                <w:sz w:val="20"/>
                <w:szCs w:val="20"/>
              </w:rPr>
            </w:pPr>
            <w:r w:rsidRPr="00B7364B">
              <w:rPr>
                <w:b/>
                <w:bCs/>
                <w:sz w:val="20"/>
                <w:szCs w:val="20"/>
              </w:rPr>
              <w:t xml:space="preserve">Standard international MMS </w:t>
            </w:r>
            <w:r w:rsidRPr="00B7364B">
              <w:rPr>
                <w:sz w:val="20"/>
                <w:szCs w:val="20"/>
              </w:rPr>
              <w:t>(per message to selected countries)</w:t>
            </w:r>
          </w:p>
        </w:tc>
        <w:tc>
          <w:tcPr>
            <w:tcW w:w="2052" w:type="pct"/>
            <w:shd w:val="clear" w:color="auto" w:fill="auto"/>
            <w:vAlign w:val="center"/>
          </w:tcPr>
          <w:p w14:paraId="114DFB40" w14:textId="77777777" w:rsidR="00E507D4" w:rsidRPr="00B7364B" w:rsidRDefault="00E507D4" w:rsidP="00B95821">
            <w:pPr>
              <w:spacing w:before="100" w:after="100"/>
              <w:jc w:val="center"/>
              <w:rPr>
                <w:sz w:val="20"/>
                <w:szCs w:val="20"/>
              </w:rPr>
            </w:pPr>
            <w:r w:rsidRPr="00B7364B">
              <w:rPr>
                <w:sz w:val="20"/>
                <w:szCs w:val="20"/>
              </w:rPr>
              <w:t>Unlimited</w:t>
            </w:r>
          </w:p>
        </w:tc>
      </w:tr>
      <w:tr w:rsidR="00E507D4" w:rsidRPr="00B7364B" w14:paraId="0486D503" w14:textId="77777777" w:rsidTr="00B95821">
        <w:tc>
          <w:tcPr>
            <w:tcW w:w="2948" w:type="pct"/>
            <w:shd w:val="clear" w:color="auto" w:fill="auto"/>
          </w:tcPr>
          <w:p w14:paraId="2E620AC5" w14:textId="77777777" w:rsidR="00E507D4" w:rsidRPr="00B7364B" w:rsidRDefault="00E507D4" w:rsidP="00B95821">
            <w:pPr>
              <w:spacing w:before="100" w:after="100"/>
              <w:rPr>
                <w:b/>
                <w:bCs/>
                <w:sz w:val="20"/>
                <w:szCs w:val="20"/>
              </w:rPr>
            </w:pPr>
            <w:r w:rsidRPr="00B7364B">
              <w:rPr>
                <w:b/>
                <w:bCs/>
                <w:snapToGrid w:val="0"/>
                <w:sz w:val="20"/>
                <w:szCs w:val="20"/>
              </w:rPr>
              <w:t>Optus Travel™ Pack</w:t>
            </w:r>
          </w:p>
        </w:tc>
        <w:tc>
          <w:tcPr>
            <w:tcW w:w="2052" w:type="pct"/>
            <w:shd w:val="clear" w:color="auto" w:fill="auto"/>
          </w:tcPr>
          <w:p w14:paraId="0243F7D2" w14:textId="77777777" w:rsidR="00E507D4" w:rsidRPr="00B7364B" w:rsidRDefault="00E507D4" w:rsidP="00B95821">
            <w:pPr>
              <w:spacing w:before="100" w:after="100"/>
              <w:jc w:val="center"/>
              <w:rPr>
                <w:sz w:val="20"/>
                <w:szCs w:val="20"/>
              </w:rPr>
            </w:pPr>
            <w:r w:rsidRPr="00B7364B">
              <w:rPr>
                <w:sz w:val="20"/>
                <w:szCs w:val="20"/>
              </w:rPr>
              <w:t>$5 per Day</w:t>
            </w:r>
          </w:p>
        </w:tc>
      </w:tr>
      <w:tr w:rsidR="00E507D4" w:rsidRPr="00B7364B" w14:paraId="2A70B9A9" w14:textId="77777777" w:rsidTr="00B95821">
        <w:tc>
          <w:tcPr>
            <w:tcW w:w="2948" w:type="pct"/>
            <w:shd w:val="clear" w:color="auto" w:fill="auto"/>
          </w:tcPr>
          <w:p w14:paraId="43A67D87" w14:textId="77777777" w:rsidR="00E507D4" w:rsidRPr="00B7364B" w:rsidRDefault="00E507D4" w:rsidP="00B95821">
            <w:pPr>
              <w:spacing w:before="100" w:after="100"/>
              <w:rPr>
                <w:b/>
                <w:bCs/>
                <w:snapToGrid w:val="0"/>
                <w:sz w:val="20"/>
                <w:szCs w:val="20"/>
              </w:rPr>
            </w:pPr>
            <w:r w:rsidRPr="00B7364B">
              <w:rPr>
                <w:b/>
                <w:bCs/>
                <w:snapToGrid w:val="0"/>
                <w:sz w:val="20"/>
                <w:szCs w:val="20"/>
              </w:rPr>
              <w:t>International Roaming Data for use in Zone 1 Countries</w:t>
            </w:r>
          </w:p>
        </w:tc>
        <w:tc>
          <w:tcPr>
            <w:tcW w:w="2052" w:type="pct"/>
            <w:shd w:val="clear" w:color="auto" w:fill="auto"/>
            <w:vAlign w:val="center"/>
          </w:tcPr>
          <w:p w14:paraId="652A7FAB" w14:textId="77777777" w:rsidR="00E507D4" w:rsidRPr="00B7364B" w:rsidRDefault="00E507D4" w:rsidP="00B95821">
            <w:pPr>
              <w:spacing w:before="100" w:after="100"/>
              <w:jc w:val="center"/>
              <w:rPr>
                <w:sz w:val="20"/>
                <w:szCs w:val="20"/>
              </w:rPr>
            </w:pPr>
            <w:r w:rsidRPr="00B7364B">
              <w:rPr>
                <w:sz w:val="20"/>
                <w:szCs w:val="20"/>
              </w:rPr>
              <w:t>Not applicable</w:t>
            </w:r>
          </w:p>
        </w:tc>
      </w:tr>
      <w:tr w:rsidR="00E507D4" w:rsidRPr="00B7364B" w14:paraId="7AEE7A10" w14:textId="77777777" w:rsidTr="00B95821">
        <w:tc>
          <w:tcPr>
            <w:tcW w:w="2948" w:type="pct"/>
            <w:shd w:val="clear" w:color="auto" w:fill="auto"/>
          </w:tcPr>
          <w:p w14:paraId="418F4982" w14:textId="77777777" w:rsidR="00E507D4" w:rsidRPr="00B7364B" w:rsidRDefault="00E507D4" w:rsidP="00B95821">
            <w:pPr>
              <w:spacing w:before="100" w:after="100"/>
              <w:rPr>
                <w:b/>
                <w:bCs/>
                <w:sz w:val="20"/>
                <w:szCs w:val="20"/>
              </w:rPr>
            </w:pPr>
            <w:r w:rsidRPr="00B7364B">
              <w:rPr>
                <w:b/>
                <w:bCs/>
                <w:sz w:val="20"/>
                <w:szCs w:val="20"/>
              </w:rPr>
              <w:t xml:space="preserve">Minimum total cost over 24 months </w:t>
            </w:r>
          </w:p>
        </w:tc>
        <w:tc>
          <w:tcPr>
            <w:tcW w:w="2052" w:type="pct"/>
            <w:shd w:val="clear" w:color="auto" w:fill="auto"/>
            <w:vAlign w:val="center"/>
          </w:tcPr>
          <w:p w14:paraId="3103D426" w14:textId="77777777" w:rsidR="00E507D4" w:rsidRPr="00B7364B" w:rsidRDefault="00E507D4" w:rsidP="00B95821">
            <w:pPr>
              <w:spacing w:before="100" w:after="100"/>
              <w:jc w:val="center"/>
              <w:rPr>
                <w:sz w:val="20"/>
                <w:szCs w:val="20"/>
              </w:rPr>
            </w:pPr>
            <w:r>
              <w:rPr>
                <w:sz w:val="20"/>
                <w:szCs w:val="20"/>
              </w:rPr>
              <w:t>$2040</w:t>
            </w:r>
          </w:p>
        </w:tc>
      </w:tr>
    </w:tbl>
    <w:p w14:paraId="29CDA3DC" w14:textId="77777777" w:rsidR="00E507D4" w:rsidRPr="00B7364B" w:rsidRDefault="00E507D4" w:rsidP="00E507D4">
      <w:pPr>
        <w:spacing w:after="120"/>
        <w:jc w:val="center"/>
        <w:rPr>
          <w:rFonts w:cs="Arial"/>
          <w:b/>
          <w:sz w:val="20"/>
          <w:szCs w:val="20"/>
        </w:rPr>
      </w:pPr>
    </w:p>
    <w:p w14:paraId="51140610" w14:textId="77777777" w:rsidR="00E507D4" w:rsidRPr="00B7364B" w:rsidRDefault="00E507D4" w:rsidP="00E507D4">
      <w:pPr>
        <w:spacing w:after="120"/>
        <w:ind w:left="709"/>
        <w:rPr>
          <w:rFonts w:cs="Arial"/>
          <w:sz w:val="20"/>
          <w:szCs w:val="20"/>
        </w:rPr>
      </w:pPr>
      <w:r w:rsidRPr="00B7364B">
        <w:rPr>
          <w:rFonts w:cs="Arial"/>
          <w:b/>
          <w:sz w:val="20"/>
          <w:szCs w:val="20"/>
        </w:rPr>
        <w:t>Table 2 – Other usage types and charges</w:t>
      </w:r>
    </w:p>
    <w:tbl>
      <w:tblPr>
        <w:tblW w:w="949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5244"/>
      </w:tblGrid>
      <w:tr w:rsidR="00E507D4" w:rsidRPr="00B7364B" w14:paraId="7867781B" w14:textId="77777777" w:rsidTr="00B95821">
        <w:tc>
          <w:tcPr>
            <w:tcW w:w="4253" w:type="dxa"/>
            <w:shd w:val="clear" w:color="auto" w:fill="auto"/>
          </w:tcPr>
          <w:p w14:paraId="0839772C" w14:textId="77777777" w:rsidR="00E507D4" w:rsidRPr="00B7364B" w:rsidRDefault="00E507D4" w:rsidP="00B95821">
            <w:pPr>
              <w:rPr>
                <w:rFonts w:eastAsia="Calibri" w:cs="Arial"/>
                <w:b/>
                <w:sz w:val="20"/>
                <w:szCs w:val="20"/>
              </w:rPr>
            </w:pPr>
            <w:r w:rsidRPr="00B7364B">
              <w:rPr>
                <w:rFonts w:eastAsia="Calibri" w:cs="Arial"/>
                <w:b/>
                <w:sz w:val="20"/>
                <w:szCs w:val="20"/>
              </w:rPr>
              <w:t>Usage type</w:t>
            </w:r>
          </w:p>
        </w:tc>
        <w:tc>
          <w:tcPr>
            <w:tcW w:w="5244" w:type="dxa"/>
            <w:shd w:val="clear" w:color="auto" w:fill="auto"/>
            <w:vAlign w:val="center"/>
          </w:tcPr>
          <w:p w14:paraId="1F9D80EB" w14:textId="77777777" w:rsidR="00E507D4" w:rsidRPr="00B7364B" w:rsidRDefault="00E507D4" w:rsidP="00B95821">
            <w:pPr>
              <w:jc w:val="center"/>
              <w:rPr>
                <w:rFonts w:eastAsia="Calibri" w:cs="Arial"/>
                <w:b/>
                <w:sz w:val="20"/>
                <w:szCs w:val="20"/>
              </w:rPr>
            </w:pPr>
            <w:r w:rsidRPr="00B7364B">
              <w:rPr>
                <w:rFonts w:eastAsia="Calibri" w:cs="Arial"/>
                <w:b/>
                <w:sz w:val="20"/>
                <w:szCs w:val="20"/>
              </w:rPr>
              <w:t>Charge</w:t>
            </w:r>
          </w:p>
        </w:tc>
      </w:tr>
      <w:tr w:rsidR="00E507D4" w:rsidRPr="00B7364B" w14:paraId="004D2D9A" w14:textId="77777777" w:rsidTr="00B95821">
        <w:tc>
          <w:tcPr>
            <w:tcW w:w="4253" w:type="dxa"/>
            <w:shd w:val="clear" w:color="auto" w:fill="auto"/>
          </w:tcPr>
          <w:p w14:paraId="3477A19D" w14:textId="77777777" w:rsidR="00E507D4" w:rsidRPr="00B7364B" w:rsidRDefault="00E507D4" w:rsidP="00B95821">
            <w:pPr>
              <w:spacing w:after="200" w:line="276" w:lineRule="auto"/>
              <w:rPr>
                <w:rFonts w:eastAsia="Calibri" w:cs="Arial"/>
                <w:sz w:val="20"/>
                <w:szCs w:val="20"/>
              </w:rPr>
            </w:pPr>
            <w:r w:rsidRPr="00B7364B">
              <w:rPr>
                <w:rFonts w:eastAsia="Calibri" w:cs="Arial"/>
                <w:b/>
                <w:bCs/>
                <w:sz w:val="20"/>
                <w:szCs w:val="20"/>
              </w:rPr>
              <w:t xml:space="preserve">National video calls </w:t>
            </w:r>
            <w:r w:rsidRPr="00B7364B">
              <w:rPr>
                <w:rFonts w:eastAsia="Calibri" w:cs="Arial"/>
                <w:sz w:val="20"/>
                <w:szCs w:val="20"/>
              </w:rPr>
              <w:t>(per minute)</w:t>
            </w:r>
          </w:p>
        </w:tc>
        <w:tc>
          <w:tcPr>
            <w:tcW w:w="5244" w:type="dxa"/>
            <w:shd w:val="clear" w:color="auto" w:fill="auto"/>
            <w:vAlign w:val="center"/>
          </w:tcPr>
          <w:p w14:paraId="6C7FDCF9" w14:textId="77777777" w:rsidR="00E507D4" w:rsidRPr="00B7364B" w:rsidRDefault="00E507D4" w:rsidP="00B95821">
            <w:pPr>
              <w:jc w:val="center"/>
              <w:rPr>
                <w:rFonts w:eastAsia="Calibri" w:cs="Arial"/>
                <w:sz w:val="20"/>
                <w:szCs w:val="20"/>
              </w:rPr>
            </w:pPr>
            <w:r w:rsidRPr="00B7364B">
              <w:rPr>
                <w:rFonts w:eastAsia="Calibri" w:cs="Arial"/>
                <w:sz w:val="20"/>
                <w:szCs w:val="20"/>
              </w:rPr>
              <w:t>$1.00 per min + 40c flagfall</w:t>
            </w:r>
          </w:p>
        </w:tc>
      </w:tr>
      <w:tr w:rsidR="00E507D4" w:rsidRPr="00B7364B" w14:paraId="60005C50" w14:textId="77777777" w:rsidTr="00B95821">
        <w:tc>
          <w:tcPr>
            <w:tcW w:w="4253" w:type="dxa"/>
            <w:shd w:val="clear" w:color="auto" w:fill="auto"/>
          </w:tcPr>
          <w:p w14:paraId="2BDB2B36" w14:textId="77777777" w:rsidR="00E507D4" w:rsidRPr="00B7364B" w:rsidRDefault="00E507D4" w:rsidP="00B95821">
            <w:pPr>
              <w:spacing w:line="276" w:lineRule="auto"/>
              <w:rPr>
                <w:rFonts w:eastAsia="Calibri" w:cs="Arial"/>
                <w:sz w:val="20"/>
                <w:szCs w:val="20"/>
              </w:rPr>
            </w:pPr>
            <w:r w:rsidRPr="00B7364B">
              <w:rPr>
                <w:rFonts w:eastAsia="Calibri" w:cs="Arial"/>
                <w:b/>
                <w:bCs/>
                <w:sz w:val="20"/>
                <w:szCs w:val="20"/>
              </w:rPr>
              <w:t xml:space="preserve">VoiceMail Deposits </w:t>
            </w:r>
          </w:p>
        </w:tc>
        <w:tc>
          <w:tcPr>
            <w:tcW w:w="5244" w:type="dxa"/>
            <w:shd w:val="clear" w:color="auto" w:fill="auto"/>
          </w:tcPr>
          <w:p w14:paraId="12158E4A" w14:textId="77777777" w:rsidR="00E507D4" w:rsidRPr="00B7364B" w:rsidRDefault="00E507D4" w:rsidP="00B95821">
            <w:pPr>
              <w:jc w:val="center"/>
              <w:rPr>
                <w:rFonts w:eastAsia="Calibri" w:cs="Arial"/>
                <w:sz w:val="20"/>
                <w:szCs w:val="20"/>
              </w:rPr>
            </w:pPr>
            <w:r w:rsidRPr="00B7364B">
              <w:rPr>
                <w:rFonts w:eastAsia="Calibri" w:cs="Arial"/>
                <w:sz w:val="20"/>
                <w:szCs w:val="20"/>
              </w:rPr>
              <w:t>$0 per minute</w:t>
            </w:r>
          </w:p>
        </w:tc>
      </w:tr>
      <w:tr w:rsidR="00E507D4" w:rsidRPr="00B7364B" w14:paraId="0B321274" w14:textId="77777777" w:rsidTr="00B95821">
        <w:tc>
          <w:tcPr>
            <w:tcW w:w="4253" w:type="dxa"/>
            <w:shd w:val="clear" w:color="auto" w:fill="auto"/>
          </w:tcPr>
          <w:p w14:paraId="08E24215" w14:textId="77777777" w:rsidR="00E507D4" w:rsidRPr="00B7364B" w:rsidRDefault="00E507D4" w:rsidP="00B95821">
            <w:pPr>
              <w:rPr>
                <w:rFonts w:eastAsia="Calibri" w:cs="Arial"/>
                <w:sz w:val="20"/>
                <w:szCs w:val="20"/>
              </w:rPr>
            </w:pPr>
            <w:r w:rsidRPr="00B7364B">
              <w:rPr>
                <w:rFonts w:eastAsia="Calibri" w:cs="Arial"/>
                <w:b/>
                <w:bCs/>
                <w:sz w:val="20"/>
                <w:szCs w:val="20"/>
              </w:rPr>
              <w:t>Voicemail Diversions</w:t>
            </w:r>
          </w:p>
        </w:tc>
        <w:tc>
          <w:tcPr>
            <w:tcW w:w="5244" w:type="dxa"/>
            <w:shd w:val="clear" w:color="auto" w:fill="auto"/>
          </w:tcPr>
          <w:p w14:paraId="6B0DCB03" w14:textId="77777777" w:rsidR="00E507D4" w:rsidRPr="00B7364B" w:rsidRDefault="00E507D4" w:rsidP="00B95821">
            <w:pPr>
              <w:jc w:val="center"/>
              <w:rPr>
                <w:rFonts w:eastAsia="Calibri" w:cs="Arial"/>
                <w:sz w:val="20"/>
                <w:szCs w:val="20"/>
              </w:rPr>
            </w:pPr>
            <w:r w:rsidRPr="00B7364B">
              <w:rPr>
                <w:rFonts w:eastAsia="Calibri" w:cs="Arial"/>
                <w:sz w:val="20"/>
                <w:szCs w:val="20"/>
              </w:rPr>
              <w:t>$0 per minute</w:t>
            </w:r>
          </w:p>
        </w:tc>
      </w:tr>
      <w:tr w:rsidR="00E507D4" w:rsidRPr="00B7364B" w14:paraId="201F7CAC" w14:textId="77777777" w:rsidTr="00B95821">
        <w:tc>
          <w:tcPr>
            <w:tcW w:w="4253" w:type="dxa"/>
            <w:shd w:val="clear" w:color="auto" w:fill="auto"/>
          </w:tcPr>
          <w:p w14:paraId="1AFA9009" w14:textId="77777777" w:rsidR="00E507D4" w:rsidRPr="00B7364B" w:rsidRDefault="00E507D4" w:rsidP="00B95821">
            <w:pPr>
              <w:rPr>
                <w:rFonts w:eastAsia="Calibri" w:cs="Arial"/>
                <w:b/>
                <w:bCs/>
                <w:sz w:val="20"/>
                <w:szCs w:val="20"/>
              </w:rPr>
            </w:pPr>
            <w:r w:rsidRPr="00B7364B">
              <w:rPr>
                <w:rFonts w:eastAsia="Calibri" w:cs="Arial"/>
                <w:b/>
                <w:bCs/>
                <w:sz w:val="20"/>
                <w:szCs w:val="20"/>
              </w:rPr>
              <w:lastRenderedPageBreak/>
              <w:t>National Diversions</w:t>
            </w:r>
          </w:p>
        </w:tc>
        <w:tc>
          <w:tcPr>
            <w:tcW w:w="5244" w:type="dxa"/>
            <w:shd w:val="clear" w:color="auto" w:fill="auto"/>
          </w:tcPr>
          <w:p w14:paraId="19745CF9" w14:textId="77777777" w:rsidR="00E507D4" w:rsidRPr="00B7364B" w:rsidRDefault="00E507D4" w:rsidP="00B95821">
            <w:pPr>
              <w:jc w:val="center"/>
              <w:rPr>
                <w:rFonts w:eastAsia="Calibri" w:cs="Arial"/>
                <w:sz w:val="20"/>
                <w:szCs w:val="20"/>
              </w:rPr>
            </w:pPr>
            <w:r w:rsidRPr="00B7364B">
              <w:rPr>
                <w:rFonts w:eastAsia="Calibri" w:cs="Arial"/>
                <w:sz w:val="20"/>
                <w:szCs w:val="20"/>
              </w:rPr>
              <w:t>$0 per minute</w:t>
            </w:r>
          </w:p>
        </w:tc>
      </w:tr>
      <w:tr w:rsidR="00E507D4" w:rsidRPr="00B7364B" w14:paraId="2CE765D1" w14:textId="77777777" w:rsidTr="00B95821">
        <w:tc>
          <w:tcPr>
            <w:tcW w:w="4253" w:type="dxa"/>
            <w:shd w:val="clear" w:color="auto" w:fill="auto"/>
          </w:tcPr>
          <w:p w14:paraId="72FE9F82" w14:textId="77777777" w:rsidR="00E507D4" w:rsidRPr="00B7364B" w:rsidRDefault="00E507D4" w:rsidP="00B95821">
            <w:pPr>
              <w:rPr>
                <w:rFonts w:eastAsia="Calibri" w:cs="Arial"/>
                <w:b/>
                <w:bCs/>
                <w:sz w:val="20"/>
                <w:szCs w:val="20"/>
              </w:rPr>
            </w:pPr>
            <w:r w:rsidRPr="00B7364B">
              <w:rPr>
                <w:rFonts w:eastAsia="Calibri" w:cs="Arial"/>
                <w:b/>
                <w:bCs/>
                <w:sz w:val="20"/>
                <w:szCs w:val="20"/>
              </w:rPr>
              <w:t xml:space="preserve">International Diversions </w:t>
            </w:r>
          </w:p>
        </w:tc>
        <w:tc>
          <w:tcPr>
            <w:tcW w:w="5244" w:type="dxa"/>
            <w:shd w:val="clear" w:color="auto" w:fill="auto"/>
          </w:tcPr>
          <w:p w14:paraId="2D3A33F1" w14:textId="77777777" w:rsidR="00E507D4" w:rsidRPr="00B7364B" w:rsidRDefault="00E507D4" w:rsidP="00B95821">
            <w:pPr>
              <w:jc w:val="center"/>
              <w:rPr>
                <w:rFonts w:eastAsia="Calibri" w:cs="Arial"/>
                <w:sz w:val="20"/>
                <w:szCs w:val="20"/>
              </w:rPr>
            </w:pPr>
            <w:r w:rsidRPr="00B7364B">
              <w:rPr>
                <w:rFonts w:eastAsia="Calibri" w:cs="Arial"/>
                <w:sz w:val="20"/>
                <w:szCs w:val="20"/>
              </w:rPr>
              <w:t>‘yes’ international rates</w:t>
            </w:r>
            <w:r w:rsidRPr="00B7364B">
              <w:rPr>
                <w:rFonts w:eastAsia="Calibri" w:cs="Arial"/>
                <w:sz w:val="20"/>
                <w:szCs w:val="20"/>
              </w:rPr>
              <w:br/>
              <w:t>See optus.com.au/international</w:t>
            </w:r>
          </w:p>
        </w:tc>
      </w:tr>
      <w:tr w:rsidR="00E507D4" w:rsidRPr="00B7364B" w14:paraId="3416110C" w14:textId="77777777" w:rsidTr="00B95821">
        <w:tc>
          <w:tcPr>
            <w:tcW w:w="4253" w:type="dxa"/>
            <w:shd w:val="clear" w:color="auto" w:fill="auto"/>
          </w:tcPr>
          <w:p w14:paraId="4439BE6B" w14:textId="77777777" w:rsidR="00E507D4" w:rsidRPr="00B7364B" w:rsidRDefault="00E507D4" w:rsidP="00B95821">
            <w:pPr>
              <w:rPr>
                <w:rFonts w:eastAsia="Calibri" w:cs="Arial"/>
                <w:b/>
                <w:bCs/>
                <w:sz w:val="20"/>
                <w:szCs w:val="20"/>
              </w:rPr>
            </w:pPr>
            <w:r w:rsidRPr="00B7364B">
              <w:rPr>
                <w:rFonts w:eastAsia="Calibri" w:cs="Arial"/>
                <w:b/>
                <w:bCs/>
                <w:sz w:val="20"/>
                <w:szCs w:val="20"/>
              </w:rPr>
              <w:t xml:space="preserve">1800 numbers </w:t>
            </w:r>
          </w:p>
        </w:tc>
        <w:tc>
          <w:tcPr>
            <w:tcW w:w="5244" w:type="dxa"/>
            <w:shd w:val="clear" w:color="auto" w:fill="auto"/>
            <w:vAlign w:val="center"/>
          </w:tcPr>
          <w:p w14:paraId="764AF140" w14:textId="77777777" w:rsidR="00E507D4" w:rsidRPr="00B7364B" w:rsidRDefault="00E507D4" w:rsidP="00B95821">
            <w:pPr>
              <w:jc w:val="center"/>
              <w:rPr>
                <w:rFonts w:eastAsia="Calibri" w:cs="Arial"/>
                <w:sz w:val="20"/>
                <w:szCs w:val="20"/>
              </w:rPr>
            </w:pPr>
            <w:r w:rsidRPr="00B7364B">
              <w:rPr>
                <w:rFonts w:eastAsia="Calibri" w:cs="Arial"/>
                <w:sz w:val="20"/>
                <w:szCs w:val="20"/>
              </w:rPr>
              <w:t>$0 per minute</w:t>
            </w:r>
          </w:p>
        </w:tc>
      </w:tr>
      <w:tr w:rsidR="00E507D4" w:rsidRPr="00B7364B" w14:paraId="4C7D6D59" w14:textId="77777777" w:rsidTr="00B95821">
        <w:tc>
          <w:tcPr>
            <w:tcW w:w="4253" w:type="dxa"/>
            <w:shd w:val="clear" w:color="auto" w:fill="auto"/>
          </w:tcPr>
          <w:p w14:paraId="4D98C94F" w14:textId="77777777" w:rsidR="00E507D4" w:rsidRPr="00B7364B" w:rsidRDefault="00E507D4" w:rsidP="00B95821">
            <w:pPr>
              <w:rPr>
                <w:rFonts w:eastAsia="Calibri" w:cs="Arial"/>
                <w:b/>
                <w:bCs/>
                <w:sz w:val="20"/>
                <w:szCs w:val="20"/>
              </w:rPr>
            </w:pPr>
            <w:r w:rsidRPr="00B7364B">
              <w:rPr>
                <w:rFonts w:eastAsia="Calibri" w:cs="Arial"/>
                <w:b/>
                <w:bCs/>
                <w:sz w:val="20"/>
                <w:szCs w:val="20"/>
              </w:rPr>
              <w:t xml:space="preserve">Directory Assistance 1223 </w:t>
            </w:r>
          </w:p>
        </w:tc>
        <w:tc>
          <w:tcPr>
            <w:tcW w:w="5244" w:type="dxa"/>
            <w:shd w:val="clear" w:color="auto" w:fill="auto"/>
            <w:vAlign w:val="center"/>
          </w:tcPr>
          <w:p w14:paraId="796FAE44" w14:textId="77777777" w:rsidR="00E507D4" w:rsidRPr="00B7364B" w:rsidRDefault="00E507D4" w:rsidP="00B95821">
            <w:pPr>
              <w:jc w:val="center"/>
              <w:rPr>
                <w:rFonts w:eastAsia="Calibri" w:cs="Arial"/>
                <w:sz w:val="20"/>
                <w:szCs w:val="20"/>
              </w:rPr>
            </w:pPr>
            <w:r w:rsidRPr="00B7364B">
              <w:rPr>
                <w:rFonts w:eastAsia="Calibri" w:cs="Arial"/>
                <w:sz w:val="20"/>
                <w:szCs w:val="20"/>
              </w:rPr>
              <w:t>50c per call</w:t>
            </w:r>
          </w:p>
        </w:tc>
      </w:tr>
      <w:tr w:rsidR="00E507D4" w:rsidRPr="00B7364B" w14:paraId="0826D977" w14:textId="77777777" w:rsidTr="00B95821">
        <w:tc>
          <w:tcPr>
            <w:tcW w:w="4253" w:type="dxa"/>
            <w:shd w:val="clear" w:color="auto" w:fill="auto"/>
          </w:tcPr>
          <w:p w14:paraId="02D8D8E9" w14:textId="77777777" w:rsidR="00E507D4" w:rsidRPr="00B7364B" w:rsidRDefault="00E507D4" w:rsidP="00B95821">
            <w:pPr>
              <w:rPr>
                <w:rFonts w:eastAsia="Calibri" w:cs="Arial"/>
                <w:b/>
                <w:bCs/>
                <w:sz w:val="20"/>
                <w:szCs w:val="20"/>
              </w:rPr>
            </w:pPr>
            <w:r w:rsidRPr="00B7364B">
              <w:rPr>
                <w:rFonts w:eastAsia="Calibri" w:cs="Arial"/>
                <w:b/>
                <w:bCs/>
                <w:sz w:val="20"/>
                <w:szCs w:val="20"/>
              </w:rPr>
              <w:t>124 Yes</w:t>
            </w:r>
          </w:p>
        </w:tc>
        <w:tc>
          <w:tcPr>
            <w:tcW w:w="5244" w:type="dxa"/>
            <w:shd w:val="clear" w:color="auto" w:fill="auto"/>
            <w:vAlign w:val="center"/>
          </w:tcPr>
          <w:p w14:paraId="5406137F" w14:textId="77777777" w:rsidR="00E507D4" w:rsidRPr="00B7364B" w:rsidRDefault="00E507D4" w:rsidP="00B95821">
            <w:pPr>
              <w:jc w:val="center"/>
              <w:rPr>
                <w:rFonts w:eastAsia="Calibri" w:cs="Arial"/>
                <w:sz w:val="20"/>
                <w:szCs w:val="20"/>
              </w:rPr>
            </w:pPr>
            <w:r w:rsidRPr="00B7364B">
              <w:rPr>
                <w:rFonts w:eastAsia="Calibri" w:cs="Arial"/>
                <w:sz w:val="20"/>
                <w:szCs w:val="20"/>
              </w:rPr>
              <w:t>90c per minute +$1.75c flagfall</w:t>
            </w:r>
          </w:p>
        </w:tc>
      </w:tr>
      <w:tr w:rsidR="00E507D4" w:rsidRPr="00B7364B" w14:paraId="15D83C4E" w14:textId="77777777" w:rsidTr="00B95821">
        <w:tc>
          <w:tcPr>
            <w:tcW w:w="4253" w:type="dxa"/>
            <w:shd w:val="clear" w:color="auto" w:fill="auto"/>
          </w:tcPr>
          <w:p w14:paraId="55716B0B" w14:textId="77777777" w:rsidR="00E507D4" w:rsidRPr="00B7364B" w:rsidRDefault="00E507D4" w:rsidP="00B95821">
            <w:pPr>
              <w:rPr>
                <w:rFonts w:eastAsia="Calibri" w:cs="Arial"/>
                <w:b/>
                <w:bCs/>
                <w:sz w:val="20"/>
                <w:szCs w:val="20"/>
              </w:rPr>
            </w:pPr>
            <w:r w:rsidRPr="00B7364B">
              <w:rPr>
                <w:rFonts w:eastAsia="Calibri" w:cs="Arial"/>
                <w:b/>
                <w:bCs/>
                <w:sz w:val="20"/>
                <w:szCs w:val="20"/>
              </w:rPr>
              <w:t xml:space="preserve">International voice calls (outside the plan’s included international minutes and to excluded countries) </w:t>
            </w:r>
          </w:p>
        </w:tc>
        <w:tc>
          <w:tcPr>
            <w:tcW w:w="5244" w:type="dxa"/>
            <w:shd w:val="clear" w:color="auto" w:fill="auto"/>
            <w:vAlign w:val="center"/>
          </w:tcPr>
          <w:p w14:paraId="7B246367" w14:textId="77777777" w:rsidR="00E507D4" w:rsidRPr="00B7364B" w:rsidRDefault="00E507D4" w:rsidP="00B95821">
            <w:pPr>
              <w:jc w:val="center"/>
              <w:rPr>
                <w:rFonts w:eastAsia="Calibri" w:cs="Arial"/>
                <w:sz w:val="20"/>
                <w:szCs w:val="20"/>
              </w:rPr>
            </w:pPr>
            <w:r w:rsidRPr="00B7364B">
              <w:rPr>
                <w:rFonts w:eastAsia="Calibri" w:cs="Arial"/>
                <w:sz w:val="20"/>
                <w:szCs w:val="20"/>
              </w:rPr>
              <w:t>‘yes’ international rates</w:t>
            </w:r>
          </w:p>
          <w:p w14:paraId="3E066187" w14:textId="77777777" w:rsidR="00E507D4" w:rsidRPr="00B7364B" w:rsidRDefault="00E507D4" w:rsidP="00B95821">
            <w:pPr>
              <w:jc w:val="center"/>
              <w:rPr>
                <w:rFonts w:eastAsia="Calibri" w:cs="Arial"/>
                <w:sz w:val="20"/>
                <w:szCs w:val="20"/>
              </w:rPr>
            </w:pPr>
            <w:r w:rsidRPr="00B7364B">
              <w:rPr>
                <w:rFonts w:eastAsia="Calibri" w:cs="Arial"/>
                <w:sz w:val="20"/>
                <w:szCs w:val="20"/>
              </w:rPr>
              <w:t>See optus.com.au/international</w:t>
            </w:r>
          </w:p>
        </w:tc>
      </w:tr>
      <w:tr w:rsidR="00E507D4" w:rsidRPr="00B7364B" w14:paraId="22CB2A9F" w14:textId="77777777" w:rsidTr="00B95821">
        <w:tc>
          <w:tcPr>
            <w:tcW w:w="4253" w:type="dxa"/>
            <w:shd w:val="clear" w:color="auto" w:fill="auto"/>
          </w:tcPr>
          <w:p w14:paraId="238E4205" w14:textId="77777777" w:rsidR="00E507D4" w:rsidRPr="00B7364B" w:rsidRDefault="00E507D4" w:rsidP="00B95821">
            <w:pPr>
              <w:rPr>
                <w:rFonts w:eastAsia="Calibri" w:cs="Arial"/>
                <w:b/>
                <w:bCs/>
                <w:sz w:val="20"/>
                <w:szCs w:val="20"/>
              </w:rPr>
            </w:pPr>
            <w:r w:rsidRPr="00B7364B">
              <w:rPr>
                <w:rFonts w:eastAsia="Calibri" w:cs="Arial"/>
                <w:b/>
                <w:bCs/>
                <w:sz w:val="20"/>
                <w:szCs w:val="20"/>
              </w:rPr>
              <w:t xml:space="preserve">International SMS (to excluded countries) </w:t>
            </w:r>
          </w:p>
        </w:tc>
        <w:tc>
          <w:tcPr>
            <w:tcW w:w="5244" w:type="dxa"/>
            <w:shd w:val="clear" w:color="auto" w:fill="auto"/>
            <w:vAlign w:val="center"/>
          </w:tcPr>
          <w:p w14:paraId="238790CF" w14:textId="77777777" w:rsidR="00E507D4" w:rsidRPr="00B7364B" w:rsidRDefault="00E507D4" w:rsidP="00B95821">
            <w:pPr>
              <w:jc w:val="center"/>
              <w:rPr>
                <w:rFonts w:eastAsia="Calibri" w:cs="Arial"/>
                <w:sz w:val="20"/>
                <w:szCs w:val="20"/>
              </w:rPr>
            </w:pPr>
            <w:r w:rsidRPr="00B7364B">
              <w:rPr>
                <w:rFonts w:eastAsia="Calibri" w:cs="Arial"/>
                <w:sz w:val="20"/>
                <w:szCs w:val="20"/>
              </w:rPr>
              <w:t>50c per SMS up to 160 standard characters</w:t>
            </w:r>
          </w:p>
        </w:tc>
      </w:tr>
      <w:tr w:rsidR="00E507D4" w:rsidRPr="00B7364B" w14:paraId="3B8C7AD5" w14:textId="77777777" w:rsidTr="00B95821">
        <w:tc>
          <w:tcPr>
            <w:tcW w:w="4253" w:type="dxa"/>
            <w:shd w:val="clear" w:color="auto" w:fill="auto"/>
          </w:tcPr>
          <w:p w14:paraId="672ECBEF" w14:textId="77777777" w:rsidR="00E507D4" w:rsidRPr="00B7364B" w:rsidRDefault="00E507D4" w:rsidP="00B95821">
            <w:pPr>
              <w:rPr>
                <w:rFonts w:eastAsia="Calibri" w:cs="Arial"/>
                <w:b/>
                <w:bCs/>
                <w:sz w:val="20"/>
                <w:szCs w:val="20"/>
              </w:rPr>
            </w:pPr>
            <w:r w:rsidRPr="00B7364B">
              <w:rPr>
                <w:rFonts w:eastAsia="Calibri" w:cs="Arial"/>
                <w:b/>
                <w:bCs/>
                <w:sz w:val="20"/>
                <w:szCs w:val="20"/>
              </w:rPr>
              <w:t>International MMS (to excluded countries)</w:t>
            </w:r>
          </w:p>
        </w:tc>
        <w:tc>
          <w:tcPr>
            <w:tcW w:w="5244" w:type="dxa"/>
            <w:shd w:val="clear" w:color="auto" w:fill="auto"/>
            <w:vAlign w:val="center"/>
          </w:tcPr>
          <w:p w14:paraId="0952762E" w14:textId="77777777" w:rsidR="00E507D4" w:rsidRPr="00B7364B" w:rsidRDefault="00E507D4" w:rsidP="00B95821">
            <w:pPr>
              <w:jc w:val="center"/>
              <w:rPr>
                <w:rFonts w:eastAsia="Calibri" w:cs="Arial"/>
                <w:sz w:val="20"/>
                <w:szCs w:val="20"/>
              </w:rPr>
            </w:pPr>
            <w:r w:rsidRPr="00B7364B">
              <w:rPr>
                <w:rFonts w:eastAsia="Calibri" w:cs="Arial"/>
                <w:sz w:val="20"/>
                <w:szCs w:val="20"/>
              </w:rPr>
              <w:t xml:space="preserve">75c per MMS </w:t>
            </w:r>
          </w:p>
        </w:tc>
      </w:tr>
      <w:tr w:rsidR="00E507D4" w:rsidRPr="00B7364B" w14:paraId="324C771C" w14:textId="77777777" w:rsidTr="00B95821">
        <w:tc>
          <w:tcPr>
            <w:tcW w:w="4253" w:type="dxa"/>
            <w:shd w:val="clear" w:color="auto" w:fill="auto"/>
          </w:tcPr>
          <w:p w14:paraId="17511918" w14:textId="77777777" w:rsidR="00E507D4" w:rsidRPr="00B7364B" w:rsidRDefault="00E507D4" w:rsidP="00B95821">
            <w:pPr>
              <w:rPr>
                <w:rFonts w:eastAsia="Calibri" w:cs="Arial"/>
                <w:b/>
                <w:bCs/>
                <w:sz w:val="20"/>
                <w:szCs w:val="20"/>
              </w:rPr>
            </w:pPr>
            <w:r w:rsidRPr="00B7364B">
              <w:rPr>
                <w:rFonts w:eastAsia="Calibri" w:cs="Arial"/>
                <w:b/>
                <w:bCs/>
                <w:sz w:val="20"/>
                <w:szCs w:val="20"/>
              </w:rPr>
              <w:t xml:space="preserve">International video calling </w:t>
            </w:r>
          </w:p>
        </w:tc>
        <w:tc>
          <w:tcPr>
            <w:tcW w:w="5244" w:type="dxa"/>
            <w:shd w:val="clear" w:color="auto" w:fill="auto"/>
            <w:vAlign w:val="center"/>
          </w:tcPr>
          <w:p w14:paraId="1D3C6DC9" w14:textId="77777777" w:rsidR="00E507D4" w:rsidRPr="00B7364B" w:rsidRDefault="00E507D4" w:rsidP="00B95821">
            <w:pPr>
              <w:jc w:val="center"/>
              <w:rPr>
                <w:rFonts w:eastAsia="Calibri" w:cs="Arial"/>
                <w:sz w:val="20"/>
                <w:szCs w:val="20"/>
              </w:rPr>
            </w:pPr>
            <w:r w:rsidRPr="00B7364B">
              <w:rPr>
                <w:rFonts w:eastAsia="Calibri" w:cs="Arial"/>
                <w:sz w:val="20"/>
                <w:szCs w:val="20"/>
              </w:rPr>
              <w:t>$1.50 per minute +35c flagfall</w:t>
            </w:r>
          </w:p>
        </w:tc>
      </w:tr>
      <w:tr w:rsidR="00E507D4" w:rsidRPr="00B7364B" w14:paraId="12881C83" w14:textId="77777777" w:rsidTr="00B95821">
        <w:tc>
          <w:tcPr>
            <w:tcW w:w="4253" w:type="dxa"/>
            <w:shd w:val="clear" w:color="auto" w:fill="auto"/>
          </w:tcPr>
          <w:p w14:paraId="3A8244C4" w14:textId="77777777" w:rsidR="00E507D4" w:rsidRPr="00B7364B" w:rsidRDefault="00E507D4" w:rsidP="00B95821">
            <w:pPr>
              <w:rPr>
                <w:rFonts w:eastAsia="Calibri" w:cs="Arial"/>
                <w:b/>
                <w:bCs/>
                <w:sz w:val="20"/>
                <w:szCs w:val="20"/>
              </w:rPr>
            </w:pPr>
            <w:r w:rsidRPr="00B7364B">
              <w:rPr>
                <w:rFonts w:eastAsia="Calibri" w:cs="Arial"/>
                <w:b/>
                <w:bCs/>
                <w:sz w:val="20"/>
                <w:szCs w:val="20"/>
              </w:rPr>
              <w:t xml:space="preserve">International roaming </w:t>
            </w:r>
          </w:p>
        </w:tc>
        <w:tc>
          <w:tcPr>
            <w:tcW w:w="5244" w:type="dxa"/>
            <w:shd w:val="clear" w:color="auto" w:fill="auto"/>
            <w:vAlign w:val="center"/>
          </w:tcPr>
          <w:p w14:paraId="3294D3A5" w14:textId="77777777" w:rsidR="00E507D4" w:rsidRPr="00B7364B" w:rsidRDefault="00E507D4" w:rsidP="00B95821">
            <w:pPr>
              <w:jc w:val="center"/>
              <w:rPr>
                <w:rFonts w:eastAsia="Calibri" w:cs="Arial"/>
                <w:sz w:val="20"/>
                <w:szCs w:val="20"/>
              </w:rPr>
            </w:pPr>
            <w:r w:rsidRPr="00B7364B">
              <w:rPr>
                <w:rFonts w:eastAsia="Calibri" w:cs="Arial"/>
                <w:sz w:val="20"/>
                <w:szCs w:val="20"/>
              </w:rPr>
              <w:t>See optus.com.au/roaming</w:t>
            </w:r>
          </w:p>
        </w:tc>
      </w:tr>
    </w:tbl>
    <w:p w14:paraId="0ABA9094" w14:textId="77777777" w:rsidR="00E507D4" w:rsidRDefault="00E507D4" w:rsidP="00E507D4">
      <w:pPr>
        <w:spacing w:after="200"/>
        <w:rPr>
          <w:b/>
          <w:sz w:val="20"/>
        </w:rPr>
      </w:pPr>
    </w:p>
    <w:p w14:paraId="32494014" w14:textId="77777777" w:rsidR="00E507D4" w:rsidRPr="00B7364B" w:rsidRDefault="00E507D4" w:rsidP="00E507D4">
      <w:pPr>
        <w:spacing w:after="200"/>
        <w:ind w:left="720"/>
        <w:rPr>
          <w:b/>
          <w:sz w:val="20"/>
        </w:rPr>
      </w:pPr>
      <w:r w:rsidRPr="00B7364B">
        <w:rPr>
          <w:b/>
          <w:sz w:val="20"/>
        </w:rPr>
        <w:t>Table 3 – International Countries</w:t>
      </w: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2"/>
        <w:gridCol w:w="2183"/>
        <w:gridCol w:w="2182"/>
        <w:gridCol w:w="2183"/>
      </w:tblGrid>
      <w:tr w:rsidR="00E507D4" w:rsidRPr="00E21F2E" w14:paraId="6083D2E0" w14:textId="77777777" w:rsidTr="00B95821">
        <w:tc>
          <w:tcPr>
            <w:tcW w:w="2182" w:type="dxa"/>
            <w:shd w:val="clear" w:color="auto" w:fill="auto"/>
          </w:tcPr>
          <w:p w14:paraId="3F2C0F97" w14:textId="77777777" w:rsidR="00E507D4" w:rsidRPr="00E21F2E" w:rsidRDefault="00E507D4" w:rsidP="00B95821">
            <w:pPr>
              <w:pStyle w:val="BodyText"/>
              <w:spacing w:before="100" w:after="100"/>
              <w:rPr>
                <w:b/>
              </w:rPr>
            </w:pPr>
            <w:r w:rsidRPr="00E21F2E">
              <w:t>Austria</w:t>
            </w:r>
          </w:p>
        </w:tc>
        <w:tc>
          <w:tcPr>
            <w:tcW w:w="2183" w:type="dxa"/>
            <w:shd w:val="clear" w:color="auto" w:fill="auto"/>
          </w:tcPr>
          <w:p w14:paraId="185EE2E8" w14:textId="77777777" w:rsidR="00E507D4" w:rsidRPr="00E21F2E" w:rsidRDefault="00E507D4" w:rsidP="00B95821">
            <w:pPr>
              <w:pStyle w:val="BodyText"/>
              <w:spacing w:before="100" w:after="100"/>
              <w:rPr>
                <w:b/>
              </w:rPr>
            </w:pPr>
            <w:r w:rsidRPr="00E21F2E">
              <w:t>Bangladesh</w:t>
            </w:r>
          </w:p>
        </w:tc>
        <w:tc>
          <w:tcPr>
            <w:tcW w:w="2182" w:type="dxa"/>
            <w:shd w:val="clear" w:color="auto" w:fill="auto"/>
          </w:tcPr>
          <w:p w14:paraId="0B33A9F6" w14:textId="77777777" w:rsidR="00E507D4" w:rsidRPr="00E21F2E" w:rsidRDefault="00E507D4" w:rsidP="00B95821">
            <w:pPr>
              <w:pStyle w:val="BodyText"/>
              <w:spacing w:before="100" w:after="100"/>
              <w:rPr>
                <w:b/>
              </w:rPr>
            </w:pPr>
            <w:r w:rsidRPr="00E21F2E">
              <w:t>Cambodia</w:t>
            </w:r>
          </w:p>
        </w:tc>
        <w:tc>
          <w:tcPr>
            <w:tcW w:w="2183" w:type="dxa"/>
            <w:shd w:val="clear" w:color="auto" w:fill="auto"/>
          </w:tcPr>
          <w:p w14:paraId="580C0760" w14:textId="77777777" w:rsidR="00E507D4" w:rsidRPr="00E21F2E" w:rsidRDefault="00E507D4" w:rsidP="00B95821">
            <w:pPr>
              <w:pStyle w:val="BodyText"/>
              <w:spacing w:before="100" w:after="100"/>
              <w:rPr>
                <w:b/>
              </w:rPr>
            </w:pPr>
            <w:r w:rsidRPr="00E21F2E">
              <w:t>Canada</w:t>
            </w:r>
          </w:p>
        </w:tc>
      </w:tr>
      <w:tr w:rsidR="00E507D4" w:rsidRPr="00E21F2E" w14:paraId="56ED2E7B" w14:textId="77777777" w:rsidTr="00B95821">
        <w:tc>
          <w:tcPr>
            <w:tcW w:w="2182" w:type="dxa"/>
            <w:shd w:val="clear" w:color="auto" w:fill="auto"/>
          </w:tcPr>
          <w:p w14:paraId="3C3DD5E2" w14:textId="77777777" w:rsidR="00E507D4" w:rsidRPr="00E21F2E" w:rsidRDefault="00E507D4" w:rsidP="00B95821">
            <w:pPr>
              <w:pStyle w:val="BodyText"/>
              <w:spacing w:before="100" w:after="100"/>
              <w:rPr>
                <w:b/>
              </w:rPr>
            </w:pPr>
            <w:r w:rsidRPr="00E21F2E">
              <w:t xml:space="preserve">Chile </w:t>
            </w:r>
          </w:p>
        </w:tc>
        <w:tc>
          <w:tcPr>
            <w:tcW w:w="2183" w:type="dxa"/>
            <w:shd w:val="clear" w:color="auto" w:fill="auto"/>
          </w:tcPr>
          <w:p w14:paraId="2B431845" w14:textId="77777777" w:rsidR="00E507D4" w:rsidRPr="00E21F2E" w:rsidRDefault="00E507D4" w:rsidP="00B95821">
            <w:pPr>
              <w:pStyle w:val="BodyText"/>
              <w:spacing w:before="100" w:after="100"/>
              <w:rPr>
                <w:b/>
              </w:rPr>
            </w:pPr>
            <w:r w:rsidRPr="00E21F2E">
              <w:t xml:space="preserve">China </w:t>
            </w:r>
          </w:p>
        </w:tc>
        <w:tc>
          <w:tcPr>
            <w:tcW w:w="2182" w:type="dxa"/>
            <w:shd w:val="clear" w:color="auto" w:fill="auto"/>
          </w:tcPr>
          <w:p w14:paraId="4806C863" w14:textId="77777777" w:rsidR="00E507D4" w:rsidRPr="00E21F2E" w:rsidRDefault="00E507D4" w:rsidP="00B95821">
            <w:pPr>
              <w:pStyle w:val="BodyText"/>
              <w:spacing w:before="100" w:after="100"/>
              <w:rPr>
                <w:b/>
              </w:rPr>
            </w:pPr>
            <w:r w:rsidRPr="00E21F2E">
              <w:t xml:space="preserve">Croatia </w:t>
            </w:r>
          </w:p>
        </w:tc>
        <w:tc>
          <w:tcPr>
            <w:tcW w:w="2183" w:type="dxa"/>
            <w:shd w:val="clear" w:color="auto" w:fill="auto"/>
          </w:tcPr>
          <w:p w14:paraId="47425615" w14:textId="77777777" w:rsidR="00E507D4" w:rsidRPr="00E21F2E" w:rsidRDefault="00E507D4" w:rsidP="00B95821">
            <w:pPr>
              <w:pStyle w:val="BodyText"/>
              <w:spacing w:before="100" w:after="100"/>
              <w:rPr>
                <w:b/>
              </w:rPr>
            </w:pPr>
            <w:r w:rsidRPr="00E21F2E">
              <w:t>France</w:t>
            </w:r>
          </w:p>
        </w:tc>
      </w:tr>
      <w:tr w:rsidR="00E507D4" w:rsidRPr="00E21F2E" w14:paraId="3FCDB7D0" w14:textId="77777777" w:rsidTr="00B95821">
        <w:tc>
          <w:tcPr>
            <w:tcW w:w="2182" w:type="dxa"/>
            <w:shd w:val="clear" w:color="auto" w:fill="auto"/>
          </w:tcPr>
          <w:p w14:paraId="641D1021" w14:textId="77777777" w:rsidR="00E507D4" w:rsidRPr="00E21F2E" w:rsidRDefault="00E507D4" w:rsidP="00B95821">
            <w:pPr>
              <w:pStyle w:val="BodyText"/>
              <w:spacing w:before="100" w:after="100"/>
              <w:rPr>
                <w:b/>
              </w:rPr>
            </w:pPr>
            <w:r w:rsidRPr="00E21F2E">
              <w:t>Germany</w:t>
            </w:r>
          </w:p>
        </w:tc>
        <w:tc>
          <w:tcPr>
            <w:tcW w:w="2183" w:type="dxa"/>
            <w:shd w:val="clear" w:color="auto" w:fill="auto"/>
          </w:tcPr>
          <w:p w14:paraId="4A00ADF6" w14:textId="77777777" w:rsidR="00E507D4" w:rsidRPr="00E21F2E" w:rsidRDefault="00E507D4" w:rsidP="00B95821">
            <w:pPr>
              <w:pStyle w:val="BodyText"/>
              <w:spacing w:before="100" w:after="100"/>
              <w:rPr>
                <w:b/>
              </w:rPr>
            </w:pPr>
            <w:r w:rsidRPr="00E21F2E">
              <w:t>Greece</w:t>
            </w:r>
          </w:p>
        </w:tc>
        <w:tc>
          <w:tcPr>
            <w:tcW w:w="2182" w:type="dxa"/>
            <w:shd w:val="clear" w:color="auto" w:fill="auto"/>
          </w:tcPr>
          <w:p w14:paraId="171E8665" w14:textId="77777777" w:rsidR="00E507D4" w:rsidRPr="00E21F2E" w:rsidRDefault="00E507D4" w:rsidP="00B95821">
            <w:pPr>
              <w:pStyle w:val="BodyText"/>
              <w:spacing w:before="100" w:after="100"/>
              <w:rPr>
                <w:b/>
              </w:rPr>
            </w:pPr>
            <w:r w:rsidRPr="00E21F2E">
              <w:t>Hong Kong</w:t>
            </w:r>
          </w:p>
        </w:tc>
        <w:tc>
          <w:tcPr>
            <w:tcW w:w="2183" w:type="dxa"/>
            <w:shd w:val="clear" w:color="auto" w:fill="auto"/>
          </w:tcPr>
          <w:p w14:paraId="091683DF" w14:textId="77777777" w:rsidR="00E507D4" w:rsidRPr="00E21F2E" w:rsidRDefault="00E507D4" w:rsidP="00B95821">
            <w:pPr>
              <w:pStyle w:val="BodyText"/>
              <w:spacing w:before="100" w:after="100"/>
              <w:rPr>
                <w:b/>
              </w:rPr>
            </w:pPr>
            <w:r w:rsidRPr="00E21F2E">
              <w:t>Hungary</w:t>
            </w:r>
          </w:p>
        </w:tc>
      </w:tr>
      <w:tr w:rsidR="00E507D4" w:rsidRPr="00E21F2E" w14:paraId="5C6CEB54" w14:textId="77777777" w:rsidTr="00B95821">
        <w:tc>
          <w:tcPr>
            <w:tcW w:w="2182" w:type="dxa"/>
            <w:shd w:val="clear" w:color="auto" w:fill="auto"/>
          </w:tcPr>
          <w:p w14:paraId="52116A12" w14:textId="77777777" w:rsidR="00E507D4" w:rsidRPr="00E21F2E" w:rsidRDefault="00E507D4" w:rsidP="00B95821">
            <w:pPr>
              <w:pStyle w:val="BodyText"/>
              <w:spacing w:before="100" w:after="100"/>
              <w:rPr>
                <w:b/>
              </w:rPr>
            </w:pPr>
            <w:r w:rsidRPr="00E21F2E">
              <w:t>Indonesia</w:t>
            </w:r>
          </w:p>
        </w:tc>
        <w:tc>
          <w:tcPr>
            <w:tcW w:w="2183" w:type="dxa"/>
            <w:shd w:val="clear" w:color="auto" w:fill="auto"/>
          </w:tcPr>
          <w:p w14:paraId="011F27A2" w14:textId="77777777" w:rsidR="00E507D4" w:rsidRPr="00E21F2E" w:rsidRDefault="00E507D4" w:rsidP="00B95821">
            <w:pPr>
              <w:pStyle w:val="BodyText"/>
              <w:spacing w:before="100" w:after="100"/>
              <w:rPr>
                <w:b/>
              </w:rPr>
            </w:pPr>
            <w:r w:rsidRPr="00E21F2E">
              <w:t>India</w:t>
            </w:r>
          </w:p>
        </w:tc>
        <w:tc>
          <w:tcPr>
            <w:tcW w:w="2182" w:type="dxa"/>
            <w:shd w:val="clear" w:color="auto" w:fill="auto"/>
          </w:tcPr>
          <w:p w14:paraId="23402554" w14:textId="77777777" w:rsidR="00E507D4" w:rsidRPr="00E21F2E" w:rsidRDefault="00E507D4" w:rsidP="00B95821">
            <w:pPr>
              <w:pStyle w:val="BodyText"/>
              <w:spacing w:before="100" w:after="100"/>
              <w:rPr>
                <w:b/>
              </w:rPr>
            </w:pPr>
            <w:r w:rsidRPr="00E21F2E">
              <w:t>Ireland</w:t>
            </w:r>
          </w:p>
        </w:tc>
        <w:tc>
          <w:tcPr>
            <w:tcW w:w="2183" w:type="dxa"/>
            <w:shd w:val="clear" w:color="auto" w:fill="auto"/>
          </w:tcPr>
          <w:p w14:paraId="6EE4D930" w14:textId="77777777" w:rsidR="00E507D4" w:rsidRPr="00E21F2E" w:rsidRDefault="00E507D4" w:rsidP="00B95821">
            <w:pPr>
              <w:pStyle w:val="BodyText"/>
              <w:spacing w:before="100" w:after="100"/>
              <w:rPr>
                <w:b/>
              </w:rPr>
            </w:pPr>
            <w:r w:rsidRPr="00E21F2E">
              <w:t>Italy</w:t>
            </w:r>
          </w:p>
        </w:tc>
      </w:tr>
      <w:tr w:rsidR="00E507D4" w:rsidRPr="00E21F2E" w14:paraId="1AFA8A7E" w14:textId="77777777" w:rsidTr="00B95821">
        <w:tc>
          <w:tcPr>
            <w:tcW w:w="2182" w:type="dxa"/>
            <w:shd w:val="clear" w:color="auto" w:fill="auto"/>
          </w:tcPr>
          <w:p w14:paraId="598CD280" w14:textId="77777777" w:rsidR="00E507D4" w:rsidRPr="00E21F2E" w:rsidRDefault="00E507D4" w:rsidP="00B95821">
            <w:pPr>
              <w:pStyle w:val="BodyText"/>
              <w:spacing w:before="100" w:after="100"/>
              <w:rPr>
                <w:b/>
              </w:rPr>
            </w:pPr>
            <w:r w:rsidRPr="00E21F2E">
              <w:t xml:space="preserve">Japan </w:t>
            </w:r>
          </w:p>
        </w:tc>
        <w:tc>
          <w:tcPr>
            <w:tcW w:w="2183" w:type="dxa"/>
            <w:shd w:val="clear" w:color="auto" w:fill="auto"/>
          </w:tcPr>
          <w:p w14:paraId="0A74624D" w14:textId="77777777" w:rsidR="00E507D4" w:rsidRPr="00E21F2E" w:rsidRDefault="00E507D4" w:rsidP="00B95821">
            <w:pPr>
              <w:pStyle w:val="BodyText"/>
              <w:spacing w:before="100" w:after="100"/>
              <w:rPr>
                <w:b/>
              </w:rPr>
            </w:pPr>
            <w:r w:rsidRPr="00E21F2E">
              <w:t>Malaysia</w:t>
            </w:r>
          </w:p>
        </w:tc>
        <w:tc>
          <w:tcPr>
            <w:tcW w:w="2182" w:type="dxa"/>
            <w:shd w:val="clear" w:color="auto" w:fill="auto"/>
          </w:tcPr>
          <w:p w14:paraId="2DEBE9BB" w14:textId="77777777" w:rsidR="00E507D4" w:rsidRPr="00E21F2E" w:rsidRDefault="00E507D4" w:rsidP="00B95821">
            <w:pPr>
              <w:pStyle w:val="BodyText"/>
              <w:spacing w:before="100" w:after="100"/>
              <w:rPr>
                <w:b/>
              </w:rPr>
            </w:pPr>
            <w:r w:rsidRPr="00E21F2E">
              <w:t>Netherlands</w:t>
            </w:r>
          </w:p>
        </w:tc>
        <w:tc>
          <w:tcPr>
            <w:tcW w:w="2183" w:type="dxa"/>
            <w:shd w:val="clear" w:color="auto" w:fill="auto"/>
          </w:tcPr>
          <w:p w14:paraId="4E7288E5" w14:textId="77777777" w:rsidR="00E507D4" w:rsidRPr="00E21F2E" w:rsidRDefault="00E507D4" w:rsidP="00B95821">
            <w:pPr>
              <w:pStyle w:val="BodyText"/>
              <w:spacing w:before="100" w:after="100"/>
              <w:rPr>
                <w:b/>
              </w:rPr>
            </w:pPr>
            <w:r w:rsidRPr="00E21F2E">
              <w:t>New Zealand</w:t>
            </w:r>
          </w:p>
        </w:tc>
      </w:tr>
      <w:tr w:rsidR="00E507D4" w:rsidRPr="00E21F2E" w14:paraId="15362814" w14:textId="77777777" w:rsidTr="00B95821">
        <w:tc>
          <w:tcPr>
            <w:tcW w:w="2182" w:type="dxa"/>
            <w:shd w:val="clear" w:color="auto" w:fill="auto"/>
          </w:tcPr>
          <w:p w14:paraId="189FBA53" w14:textId="77777777" w:rsidR="00E507D4" w:rsidRPr="00E21F2E" w:rsidRDefault="00E507D4" w:rsidP="00B95821">
            <w:pPr>
              <w:pStyle w:val="BodyText"/>
              <w:spacing w:before="100" w:after="100"/>
              <w:rPr>
                <w:b/>
              </w:rPr>
            </w:pPr>
            <w:r w:rsidRPr="00E21F2E">
              <w:t xml:space="preserve">Pakistan </w:t>
            </w:r>
          </w:p>
        </w:tc>
        <w:tc>
          <w:tcPr>
            <w:tcW w:w="2183" w:type="dxa"/>
            <w:shd w:val="clear" w:color="auto" w:fill="auto"/>
          </w:tcPr>
          <w:p w14:paraId="42BBBE9F" w14:textId="77777777" w:rsidR="00E507D4" w:rsidRPr="00E21F2E" w:rsidRDefault="00E507D4" w:rsidP="00B95821">
            <w:pPr>
              <w:pStyle w:val="BodyText"/>
              <w:spacing w:before="100" w:after="100"/>
              <w:rPr>
                <w:b/>
              </w:rPr>
            </w:pPr>
            <w:r w:rsidRPr="00E21F2E">
              <w:t>Philippines</w:t>
            </w:r>
          </w:p>
        </w:tc>
        <w:tc>
          <w:tcPr>
            <w:tcW w:w="2182" w:type="dxa"/>
            <w:shd w:val="clear" w:color="auto" w:fill="auto"/>
          </w:tcPr>
          <w:p w14:paraId="378CA3A4" w14:textId="77777777" w:rsidR="00E507D4" w:rsidRPr="00E21F2E" w:rsidRDefault="00E507D4" w:rsidP="00B95821">
            <w:pPr>
              <w:pStyle w:val="BodyText"/>
              <w:spacing w:before="100" w:after="100"/>
              <w:rPr>
                <w:b/>
              </w:rPr>
            </w:pPr>
            <w:r w:rsidRPr="00E21F2E">
              <w:t xml:space="preserve">Poland </w:t>
            </w:r>
          </w:p>
        </w:tc>
        <w:tc>
          <w:tcPr>
            <w:tcW w:w="2183" w:type="dxa"/>
            <w:shd w:val="clear" w:color="auto" w:fill="auto"/>
          </w:tcPr>
          <w:p w14:paraId="296EA82A" w14:textId="77777777" w:rsidR="00E507D4" w:rsidRPr="00E21F2E" w:rsidRDefault="00E507D4" w:rsidP="00B95821">
            <w:pPr>
              <w:pStyle w:val="BodyText"/>
              <w:spacing w:before="100" w:after="100"/>
              <w:rPr>
                <w:b/>
              </w:rPr>
            </w:pPr>
            <w:r w:rsidRPr="00E21F2E">
              <w:t>Singapore</w:t>
            </w:r>
          </w:p>
        </w:tc>
      </w:tr>
      <w:tr w:rsidR="00E507D4" w:rsidRPr="00E21F2E" w14:paraId="56DC8E6B" w14:textId="77777777" w:rsidTr="00B95821">
        <w:tc>
          <w:tcPr>
            <w:tcW w:w="2182" w:type="dxa"/>
            <w:shd w:val="clear" w:color="auto" w:fill="auto"/>
          </w:tcPr>
          <w:p w14:paraId="59AC526B" w14:textId="77777777" w:rsidR="00E507D4" w:rsidRPr="00E21F2E" w:rsidRDefault="00E507D4" w:rsidP="00B95821">
            <w:pPr>
              <w:pStyle w:val="BodyText"/>
              <w:spacing w:before="100" w:after="100"/>
              <w:rPr>
                <w:b/>
              </w:rPr>
            </w:pPr>
            <w:r w:rsidRPr="00E21F2E">
              <w:t xml:space="preserve">South Africa </w:t>
            </w:r>
          </w:p>
        </w:tc>
        <w:tc>
          <w:tcPr>
            <w:tcW w:w="2183" w:type="dxa"/>
            <w:shd w:val="clear" w:color="auto" w:fill="auto"/>
          </w:tcPr>
          <w:p w14:paraId="42E2B3D4" w14:textId="77777777" w:rsidR="00E507D4" w:rsidRPr="00E21F2E" w:rsidRDefault="00E507D4" w:rsidP="00B95821">
            <w:pPr>
              <w:pStyle w:val="BodyText"/>
              <w:spacing w:before="100" w:after="100"/>
              <w:rPr>
                <w:b/>
              </w:rPr>
            </w:pPr>
            <w:r w:rsidRPr="00E21F2E">
              <w:t>South Korea</w:t>
            </w:r>
          </w:p>
        </w:tc>
        <w:tc>
          <w:tcPr>
            <w:tcW w:w="2182" w:type="dxa"/>
            <w:shd w:val="clear" w:color="auto" w:fill="auto"/>
          </w:tcPr>
          <w:p w14:paraId="0E19A782" w14:textId="77777777" w:rsidR="00E507D4" w:rsidRPr="00E21F2E" w:rsidRDefault="00E507D4" w:rsidP="00B95821">
            <w:pPr>
              <w:pStyle w:val="BodyText"/>
              <w:spacing w:before="100" w:after="100"/>
              <w:rPr>
                <w:b/>
              </w:rPr>
            </w:pPr>
            <w:r w:rsidRPr="00E21F2E">
              <w:t xml:space="preserve">Taiwan </w:t>
            </w:r>
          </w:p>
        </w:tc>
        <w:tc>
          <w:tcPr>
            <w:tcW w:w="2183" w:type="dxa"/>
            <w:shd w:val="clear" w:color="auto" w:fill="auto"/>
          </w:tcPr>
          <w:p w14:paraId="093BD164" w14:textId="77777777" w:rsidR="00E507D4" w:rsidRPr="00E21F2E" w:rsidRDefault="00E507D4" w:rsidP="00B95821">
            <w:pPr>
              <w:pStyle w:val="BodyText"/>
              <w:spacing w:before="100" w:after="100"/>
              <w:rPr>
                <w:b/>
              </w:rPr>
            </w:pPr>
            <w:r w:rsidRPr="00E21F2E">
              <w:t>Thailand</w:t>
            </w:r>
          </w:p>
        </w:tc>
      </w:tr>
      <w:tr w:rsidR="00E507D4" w:rsidRPr="00E21F2E" w14:paraId="601239AD" w14:textId="77777777" w:rsidTr="00B95821">
        <w:tc>
          <w:tcPr>
            <w:tcW w:w="2182" w:type="dxa"/>
            <w:shd w:val="clear" w:color="auto" w:fill="auto"/>
          </w:tcPr>
          <w:p w14:paraId="66507556" w14:textId="77777777" w:rsidR="00E507D4" w:rsidRPr="00E21F2E" w:rsidRDefault="00E507D4" w:rsidP="00B95821">
            <w:pPr>
              <w:pStyle w:val="BodyText"/>
              <w:spacing w:before="100" w:after="100"/>
              <w:rPr>
                <w:b/>
              </w:rPr>
            </w:pPr>
            <w:r w:rsidRPr="00E21F2E">
              <w:t>Turkey</w:t>
            </w:r>
          </w:p>
        </w:tc>
        <w:tc>
          <w:tcPr>
            <w:tcW w:w="2183" w:type="dxa"/>
            <w:shd w:val="clear" w:color="auto" w:fill="auto"/>
          </w:tcPr>
          <w:p w14:paraId="37B2559C" w14:textId="77777777" w:rsidR="00E507D4" w:rsidRPr="00E21F2E" w:rsidRDefault="00E507D4" w:rsidP="00B95821">
            <w:pPr>
              <w:pStyle w:val="BodyText"/>
              <w:spacing w:before="100" w:after="100"/>
              <w:rPr>
                <w:b/>
              </w:rPr>
            </w:pPr>
            <w:r w:rsidRPr="00E21F2E">
              <w:t>United Kingdom</w:t>
            </w:r>
          </w:p>
        </w:tc>
        <w:tc>
          <w:tcPr>
            <w:tcW w:w="2182" w:type="dxa"/>
            <w:shd w:val="clear" w:color="auto" w:fill="auto"/>
          </w:tcPr>
          <w:p w14:paraId="4F8B14B1" w14:textId="77777777" w:rsidR="00E507D4" w:rsidRPr="00E21F2E" w:rsidRDefault="00E507D4" w:rsidP="00B95821">
            <w:pPr>
              <w:pStyle w:val="BodyText"/>
              <w:spacing w:before="100" w:after="100"/>
              <w:rPr>
                <w:b/>
              </w:rPr>
            </w:pPr>
            <w:r w:rsidRPr="00E21F2E">
              <w:t xml:space="preserve">USA </w:t>
            </w:r>
          </w:p>
        </w:tc>
        <w:tc>
          <w:tcPr>
            <w:tcW w:w="2183" w:type="dxa"/>
            <w:shd w:val="clear" w:color="auto" w:fill="auto"/>
          </w:tcPr>
          <w:p w14:paraId="25A5AE08" w14:textId="77777777" w:rsidR="00E507D4" w:rsidRPr="00E21F2E" w:rsidRDefault="00E507D4" w:rsidP="00B95821">
            <w:pPr>
              <w:pStyle w:val="BodyText"/>
              <w:spacing w:before="100" w:after="100"/>
              <w:rPr>
                <w:b/>
              </w:rPr>
            </w:pPr>
            <w:r w:rsidRPr="00E21F2E">
              <w:t>Vietnam</w:t>
            </w:r>
          </w:p>
        </w:tc>
      </w:tr>
    </w:tbl>
    <w:p w14:paraId="363B9AB5" w14:textId="77777777" w:rsidR="00E507D4" w:rsidRDefault="00E507D4" w:rsidP="00E507D4">
      <w:pPr>
        <w:pStyle w:val="BodyText"/>
        <w:rPr>
          <w:szCs w:val="20"/>
        </w:rPr>
      </w:pPr>
    </w:p>
    <w:p w14:paraId="27AAEB12" w14:textId="77777777" w:rsidR="00E507D4" w:rsidRPr="008A01DD" w:rsidRDefault="007569EB" w:rsidP="00E507D4">
      <w:pPr>
        <w:pStyle w:val="BodyText"/>
        <w:rPr>
          <w:szCs w:val="20"/>
        </w:rPr>
      </w:pPr>
      <w:hyperlink r:id="rId863" w:history="1">
        <w:r w:rsidR="00E507D4" w:rsidRPr="008A01DD">
          <w:rPr>
            <w:rStyle w:val="Hyperlink"/>
            <w:i/>
            <w:szCs w:val="20"/>
          </w:rPr>
          <w:t>Fair Go Policy</w:t>
        </w:r>
      </w:hyperlink>
      <w:r w:rsidR="00E507D4" w:rsidRPr="008A01DD">
        <w:rPr>
          <w:szCs w:val="20"/>
        </w:rPr>
        <w:t xml:space="preserve"> applies. For further details refer to </w:t>
      </w:r>
      <w:hyperlink r:id="rId864" w:history="1">
        <w:r w:rsidR="00E507D4" w:rsidRPr="008A01DD">
          <w:rPr>
            <w:rStyle w:val="Hyperlink"/>
            <w:i/>
            <w:szCs w:val="20"/>
          </w:rPr>
          <w:t>Appendix S.</w:t>
        </w:r>
      </w:hyperlink>
    </w:p>
    <w:p w14:paraId="6308D8CB" w14:textId="77777777" w:rsidR="00E507D4" w:rsidRPr="00B7364B" w:rsidRDefault="00E507D4" w:rsidP="00E507D4">
      <w:pPr>
        <w:pStyle w:val="Heading6"/>
        <w:spacing w:before="240"/>
        <w:ind w:left="0" w:firstLine="0"/>
        <w:rPr>
          <w:rFonts w:cs="Arial"/>
          <w:szCs w:val="20"/>
          <w:lang w:val="en-AU"/>
        </w:rPr>
      </w:pPr>
      <w:bookmarkStart w:id="2258" w:name="_Toc494180664"/>
      <w:bookmarkStart w:id="2259" w:name="_Toc508362038"/>
      <w:r w:rsidRPr="00B7364B">
        <w:rPr>
          <w:rFonts w:cs="Arial"/>
          <w:szCs w:val="20"/>
          <w:lang w:val="en-AU"/>
        </w:rPr>
        <w:t>My Account</w:t>
      </w:r>
      <w:bookmarkEnd w:id="2258"/>
      <w:bookmarkEnd w:id="2259"/>
    </w:p>
    <w:p w14:paraId="6571D9FB" w14:textId="77777777" w:rsidR="00E507D4" w:rsidRPr="008A01DD" w:rsidRDefault="00E507D4" w:rsidP="00362A0B">
      <w:pPr>
        <w:pStyle w:val="OptusH3"/>
        <w:numPr>
          <w:ilvl w:val="0"/>
          <w:numId w:val="79"/>
        </w:numPr>
        <w:tabs>
          <w:tab w:val="left" w:pos="1701"/>
        </w:tabs>
        <w:rPr>
          <w:rFonts w:ascii="Arial" w:hAnsi="Arial" w:cs="Arial"/>
          <w:sz w:val="20"/>
        </w:rPr>
      </w:pPr>
      <w:r w:rsidRPr="008A01DD">
        <w:rPr>
          <w:rFonts w:ascii="Arial" w:hAnsi="Arial" w:cs="Arial"/>
          <w:sz w:val="20"/>
        </w:rPr>
        <w:t xml:space="preserve">Services that share data may have a service login to My Account which will display all of the service numbers contributing to or using the shared data pool on </w:t>
      </w:r>
      <w:r w:rsidRPr="008A01DD">
        <w:rPr>
          <w:rFonts w:ascii="Arial" w:hAnsi="Arial" w:cs="Arial"/>
          <w:i/>
          <w:sz w:val="20"/>
        </w:rPr>
        <w:t xml:space="preserve">your </w:t>
      </w:r>
      <w:r w:rsidRPr="008A01DD">
        <w:rPr>
          <w:rFonts w:ascii="Arial" w:hAnsi="Arial" w:cs="Arial"/>
          <w:sz w:val="20"/>
        </w:rPr>
        <w:t xml:space="preserve">account and the amount of data each service has used. If </w:t>
      </w:r>
      <w:r w:rsidRPr="008A01DD">
        <w:rPr>
          <w:rFonts w:ascii="Arial" w:hAnsi="Arial" w:cs="Arial"/>
          <w:i/>
          <w:sz w:val="20"/>
        </w:rPr>
        <w:t>you</w:t>
      </w:r>
      <w:r w:rsidRPr="008A01DD">
        <w:rPr>
          <w:rFonts w:ascii="Arial" w:hAnsi="Arial" w:cs="Arial"/>
          <w:sz w:val="20"/>
        </w:rPr>
        <w:t xml:space="preserve"> have more than 6 services on </w:t>
      </w:r>
      <w:r w:rsidRPr="008A01DD">
        <w:rPr>
          <w:rFonts w:ascii="Arial" w:hAnsi="Arial" w:cs="Arial"/>
          <w:i/>
          <w:sz w:val="20"/>
        </w:rPr>
        <w:t>your</w:t>
      </w:r>
      <w:r w:rsidRPr="008A01DD">
        <w:rPr>
          <w:rFonts w:ascii="Arial" w:hAnsi="Arial" w:cs="Arial"/>
          <w:sz w:val="20"/>
        </w:rPr>
        <w:t xml:space="preserve"> account, My Account may not be suitable for viewing usage and managing </w:t>
      </w:r>
      <w:r w:rsidRPr="008A01DD">
        <w:rPr>
          <w:rFonts w:ascii="Arial" w:hAnsi="Arial" w:cs="Arial"/>
          <w:i/>
          <w:sz w:val="20"/>
        </w:rPr>
        <w:t xml:space="preserve">your </w:t>
      </w:r>
      <w:r w:rsidRPr="008A01DD">
        <w:rPr>
          <w:rFonts w:ascii="Arial" w:hAnsi="Arial" w:cs="Arial"/>
          <w:sz w:val="20"/>
        </w:rPr>
        <w:t>usage alerts.</w:t>
      </w:r>
    </w:p>
    <w:p w14:paraId="5BC46426" w14:textId="77777777" w:rsidR="00E507D4" w:rsidRDefault="00362A0B" w:rsidP="00E507D4">
      <w:pPr>
        <w:rPr>
          <w:sz w:val="20"/>
          <w:szCs w:val="20"/>
        </w:rPr>
      </w:pPr>
      <w:r>
        <w:rPr>
          <w:sz w:val="20"/>
          <w:szCs w:val="20"/>
        </w:rPr>
        <w:br/>
      </w:r>
    </w:p>
    <w:p w14:paraId="1842EA36" w14:textId="77777777" w:rsidR="00E507D4" w:rsidRDefault="00E507D4" w:rsidP="00E507D4">
      <w:pPr>
        <w:pStyle w:val="Heading4"/>
        <w:rPr>
          <w:lang w:val="en-AU"/>
        </w:rPr>
      </w:pPr>
      <w:bookmarkStart w:id="2260" w:name="_Toc492382554"/>
      <w:bookmarkStart w:id="2261" w:name="_Toc489971296"/>
      <w:bookmarkStart w:id="2262" w:name="_Toc494180665"/>
      <w:bookmarkStart w:id="2263" w:name="_Toc508362039"/>
      <w:bookmarkStart w:id="2264" w:name="_Toc62644716"/>
      <w:r>
        <w:rPr>
          <w:lang w:val="en-AU"/>
        </w:rPr>
        <w:t>$130 Plans ($100 Promo)</w:t>
      </w:r>
      <w:bookmarkEnd w:id="2260"/>
      <w:bookmarkEnd w:id="2261"/>
      <w:bookmarkEnd w:id="2262"/>
      <w:bookmarkEnd w:id="2263"/>
      <w:bookmarkEnd w:id="2264"/>
    </w:p>
    <w:p w14:paraId="5A1FDC61" w14:textId="77777777" w:rsidR="00E507D4" w:rsidRDefault="00E507D4" w:rsidP="00E507D4">
      <w:pPr>
        <w:pStyle w:val="BodyText"/>
        <w:ind w:left="720"/>
      </w:pPr>
      <w:r>
        <w:rPr>
          <w:lang w:val="en-AU"/>
        </w:rPr>
        <w:t xml:space="preserve">This section relates to the following plans. </w:t>
      </w:r>
      <w:r>
        <w:rPr>
          <w:i/>
          <w:lang w:val="en-AU"/>
        </w:rPr>
        <w:t>You</w:t>
      </w:r>
      <w:r>
        <w:rPr>
          <w:lang w:val="en-AU"/>
        </w:rPr>
        <w:t xml:space="preserve"> can find </w:t>
      </w:r>
      <w:r>
        <w:rPr>
          <w:i/>
          <w:lang w:val="en-AU"/>
        </w:rPr>
        <w:t>your</w:t>
      </w:r>
      <w:r>
        <w:rPr>
          <w:lang w:val="en-AU"/>
        </w:rPr>
        <w:t xml:space="preserve"> Plan ID on </w:t>
      </w:r>
      <w:r>
        <w:rPr>
          <w:i/>
          <w:lang w:val="en-AU"/>
        </w:rPr>
        <w:t>your</w:t>
      </w:r>
      <w:r>
        <w:rPr>
          <w:lang w:val="en-AU"/>
        </w:rPr>
        <w:t xml:space="preserve"> bill under the Mobile Number Summary section:</w:t>
      </w:r>
    </w:p>
    <w:p w14:paraId="13564903" w14:textId="77777777" w:rsidR="00E507D4" w:rsidRDefault="00E507D4" w:rsidP="00E507D4">
      <w:pPr>
        <w:pStyle w:val="BodyText"/>
        <w:ind w:left="709"/>
        <w:rPr>
          <w:rFonts w:cs="Arial"/>
          <w:szCs w:val="20"/>
        </w:rPr>
      </w:pPr>
      <w:r>
        <w:t>From 26 July 2017</w:t>
      </w:r>
      <w:r w:rsidR="00773E13">
        <w:t xml:space="preserve"> to 30 June 2018</w:t>
      </w:r>
      <w:r>
        <w:t>, $130 My Plan Business (non-promotional plan ID800656/</w:t>
      </w:r>
      <w:r w:rsidRPr="00203CE5">
        <w:t>10595154</w:t>
      </w:r>
      <w:r>
        <w:t xml:space="preserve">), $130 My Plan Business Flex (non-promotional plan ID </w:t>
      </w:r>
      <w:r w:rsidRPr="00203CE5">
        <w:t>800681/10624994</w:t>
      </w:r>
      <w:r>
        <w:t xml:space="preserve">), $130 My Plan Business Tech Fund </w:t>
      </w:r>
      <w:r>
        <w:rPr>
          <w:rFonts w:eastAsia="Calibri" w:cs="Arial"/>
          <w:szCs w:val="20"/>
          <w:lang w:val="en-AU"/>
        </w:rPr>
        <w:t>(non-promotional plan ID 800713/16020665)</w:t>
      </w:r>
      <w:r>
        <w:t xml:space="preserve">, </w:t>
      </w:r>
      <w:r>
        <w:rPr>
          <w:rFonts w:eastAsia="Calibri" w:cs="Arial"/>
          <w:szCs w:val="20"/>
          <w:lang w:val="en-AU"/>
        </w:rPr>
        <w:t>$130 Business Plan (non-promotional plan ID 800712/10618355) and $130 Business Lease (non-promotional plan ID 800682/10625004) will be</w:t>
      </w:r>
      <w:r>
        <w:t xml:space="preserve"> available with a monthly discount of $30 per month for the life of the plan.</w:t>
      </w:r>
      <w:r>
        <w:rPr>
          <w:rFonts w:cs="Arial"/>
          <w:color w:val="191919"/>
          <w:szCs w:val="20"/>
          <w:lang w:val="en"/>
        </w:rPr>
        <w:t xml:space="preserve"> Discount will apply on the monthly access fee until </w:t>
      </w:r>
      <w:r>
        <w:rPr>
          <w:rFonts w:cs="Arial"/>
          <w:i/>
          <w:color w:val="191919"/>
          <w:szCs w:val="20"/>
          <w:lang w:val="en"/>
        </w:rPr>
        <w:t>you</w:t>
      </w:r>
      <w:r>
        <w:rPr>
          <w:rFonts w:cs="Arial"/>
          <w:color w:val="191919"/>
          <w:szCs w:val="20"/>
          <w:lang w:val="en"/>
        </w:rPr>
        <w:t xml:space="preserve"> recontract, change or cancel your plan, whichever is earlier.</w:t>
      </w:r>
    </w:p>
    <w:p w14:paraId="703BAE69" w14:textId="77777777" w:rsidR="00E507D4" w:rsidRDefault="00E507D4" w:rsidP="00E507D4">
      <w:pPr>
        <w:pStyle w:val="BodyText"/>
        <w:ind w:left="709"/>
      </w:pPr>
      <w:r>
        <w:t xml:space="preserve">This is a promotional plan available to new and existing mobile customers who connect to a new or re-contracting </w:t>
      </w:r>
      <w:r>
        <w:rPr>
          <w:i/>
        </w:rPr>
        <w:t xml:space="preserve">service </w:t>
      </w:r>
      <w:r>
        <w:t>that pass Optus' credit assessment via Business Channel Partners.</w:t>
      </w:r>
    </w:p>
    <w:p w14:paraId="3C9EE66F" w14:textId="77777777" w:rsidR="00E507D4" w:rsidRDefault="00E507D4" w:rsidP="00E507D4">
      <w:pPr>
        <w:pStyle w:val="BodyText"/>
        <w:ind w:left="709"/>
      </w:pPr>
      <w:r>
        <w:rPr>
          <w:lang w:val="en-AU"/>
        </w:rPr>
        <w:t>To be eligible for this plan, businesses must provide Optus with a registered ACN, ARBN or ABN.</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8"/>
        <w:gridCol w:w="2410"/>
        <w:gridCol w:w="2893"/>
      </w:tblGrid>
      <w:tr w:rsidR="00E507D4" w14:paraId="435434B0" w14:textId="77777777" w:rsidTr="00362A0B">
        <w:trPr>
          <w:jc w:val="center"/>
        </w:trPr>
        <w:tc>
          <w:tcPr>
            <w:tcW w:w="4898" w:type="dxa"/>
            <w:tcBorders>
              <w:top w:val="single" w:sz="4" w:space="0" w:color="auto"/>
              <w:left w:val="single" w:sz="4" w:space="0" w:color="auto"/>
              <w:bottom w:val="single" w:sz="4" w:space="0" w:color="auto"/>
              <w:right w:val="single" w:sz="4" w:space="0" w:color="auto"/>
            </w:tcBorders>
            <w:hideMark/>
          </w:tcPr>
          <w:p w14:paraId="36FB0691" w14:textId="77777777" w:rsidR="00E507D4" w:rsidRDefault="00E507D4" w:rsidP="00B95821">
            <w:pPr>
              <w:pStyle w:val="BodyText"/>
              <w:spacing w:before="100" w:after="100"/>
              <w:jc w:val="center"/>
              <w:rPr>
                <w:b/>
                <w:lang w:val="en-AU"/>
              </w:rPr>
            </w:pPr>
            <w:r>
              <w:rPr>
                <w:b/>
                <w:lang w:val="en-AU"/>
              </w:rPr>
              <w:lastRenderedPageBreak/>
              <w:t>Plan</w:t>
            </w:r>
          </w:p>
        </w:tc>
        <w:tc>
          <w:tcPr>
            <w:tcW w:w="2410" w:type="dxa"/>
            <w:tcBorders>
              <w:top w:val="single" w:sz="4" w:space="0" w:color="auto"/>
              <w:left w:val="single" w:sz="4" w:space="0" w:color="auto"/>
              <w:bottom w:val="single" w:sz="4" w:space="0" w:color="auto"/>
              <w:right w:val="single" w:sz="4" w:space="0" w:color="auto"/>
            </w:tcBorders>
            <w:hideMark/>
          </w:tcPr>
          <w:p w14:paraId="5737C523" w14:textId="77777777" w:rsidR="00E507D4" w:rsidRDefault="00E507D4" w:rsidP="00B95821">
            <w:pPr>
              <w:pStyle w:val="BodyText"/>
              <w:spacing w:before="100" w:after="100"/>
              <w:jc w:val="center"/>
              <w:rPr>
                <w:b/>
                <w:lang w:val="en-AU"/>
              </w:rPr>
            </w:pPr>
            <w:r>
              <w:rPr>
                <w:b/>
                <w:lang w:val="en-AU"/>
              </w:rPr>
              <w:t>Promotional Plan ID</w:t>
            </w:r>
          </w:p>
        </w:tc>
        <w:tc>
          <w:tcPr>
            <w:tcW w:w="2893" w:type="dxa"/>
            <w:tcBorders>
              <w:top w:val="single" w:sz="4" w:space="0" w:color="auto"/>
              <w:left w:val="single" w:sz="4" w:space="0" w:color="auto"/>
              <w:bottom w:val="single" w:sz="4" w:space="0" w:color="auto"/>
              <w:right w:val="single" w:sz="4" w:space="0" w:color="auto"/>
            </w:tcBorders>
            <w:hideMark/>
          </w:tcPr>
          <w:p w14:paraId="1192AF1A" w14:textId="77777777" w:rsidR="00E507D4" w:rsidRDefault="00E507D4" w:rsidP="00B95821">
            <w:pPr>
              <w:pStyle w:val="BodyText"/>
              <w:spacing w:before="100" w:after="100"/>
              <w:jc w:val="center"/>
              <w:rPr>
                <w:b/>
                <w:lang w:val="en-AU"/>
              </w:rPr>
            </w:pPr>
            <w:r>
              <w:rPr>
                <w:b/>
                <w:lang w:val="en-AU"/>
              </w:rPr>
              <w:t>Available</w:t>
            </w:r>
          </w:p>
        </w:tc>
      </w:tr>
      <w:tr w:rsidR="00E507D4" w14:paraId="10BA8C8C" w14:textId="77777777" w:rsidTr="00362A0B">
        <w:trPr>
          <w:jc w:val="center"/>
        </w:trPr>
        <w:tc>
          <w:tcPr>
            <w:tcW w:w="4898" w:type="dxa"/>
            <w:tcBorders>
              <w:top w:val="single" w:sz="4" w:space="0" w:color="auto"/>
              <w:left w:val="single" w:sz="4" w:space="0" w:color="auto"/>
              <w:bottom w:val="single" w:sz="4" w:space="0" w:color="auto"/>
              <w:right w:val="single" w:sz="4" w:space="0" w:color="auto"/>
            </w:tcBorders>
          </w:tcPr>
          <w:p w14:paraId="10761F47" w14:textId="77777777" w:rsidR="00E507D4" w:rsidRDefault="00E507D4" w:rsidP="00B95821">
            <w:pPr>
              <w:pStyle w:val="BodyText"/>
              <w:spacing w:before="100" w:after="100"/>
              <w:jc w:val="center"/>
              <w:rPr>
                <w:b/>
                <w:lang w:val="en-AU"/>
              </w:rPr>
            </w:pPr>
            <w:r>
              <w:t>$130 My Plan Business ($100 Promo)</w:t>
            </w:r>
          </w:p>
        </w:tc>
        <w:tc>
          <w:tcPr>
            <w:tcW w:w="2410" w:type="dxa"/>
            <w:tcBorders>
              <w:top w:val="single" w:sz="4" w:space="0" w:color="auto"/>
              <w:left w:val="single" w:sz="4" w:space="0" w:color="auto"/>
              <w:bottom w:val="single" w:sz="4" w:space="0" w:color="auto"/>
              <w:right w:val="single" w:sz="4" w:space="0" w:color="auto"/>
            </w:tcBorders>
          </w:tcPr>
          <w:p w14:paraId="1E9AAA61" w14:textId="77777777" w:rsidR="00E507D4" w:rsidRPr="00203CE5" w:rsidRDefault="00E507D4" w:rsidP="00B95821">
            <w:pPr>
              <w:pStyle w:val="BodyText"/>
              <w:spacing w:before="100" w:after="100"/>
              <w:jc w:val="center"/>
              <w:rPr>
                <w:lang w:val="en-AU"/>
              </w:rPr>
            </w:pPr>
            <w:r w:rsidRPr="00203CE5">
              <w:rPr>
                <w:lang w:val="en-AU"/>
              </w:rPr>
              <w:t>800744/10733831</w:t>
            </w:r>
          </w:p>
        </w:tc>
        <w:tc>
          <w:tcPr>
            <w:tcW w:w="2893" w:type="dxa"/>
            <w:vMerge w:val="restart"/>
            <w:tcBorders>
              <w:top w:val="single" w:sz="4" w:space="0" w:color="auto"/>
              <w:left w:val="single" w:sz="4" w:space="0" w:color="auto"/>
              <w:right w:val="single" w:sz="4" w:space="0" w:color="auto"/>
            </w:tcBorders>
          </w:tcPr>
          <w:p w14:paraId="2E871EEF" w14:textId="77777777" w:rsidR="00E507D4" w:rsidRDefault="00E507D4" w:rsidP="00B95821">
            <w:pPr>
              <w:pStyle w:val="BodyText"/>
              <w:spacing w:before="100" w:after="100"/>
              <w:jc w:val="center"/>
              <w:rPr>
                <w:b/>
                <w:lang w:val="en-AU"/>
              </w:rPr>
            </w:pPr>
            <w:r>
              <w:rPr>
                <w:lang w:val="en-AU"/>
              </w:rPr>
              <w:t>26 July 2017</w:t>
            </w:r>
            <w:r w:rsidR="00362A0B" w:rsidRPr="00E85FA3">
              <w:t xml:space="preserve"> – 30 </w:t>
            </w:r>
            <w:r w:rsidR="00F66ADB">
              <w:t>June</w:t>
            </w:r>
            <w:r w:rsidR="00362A0B" w:rsidRPr="00E85FA3">
              <w:t xml:space="preserve"> 2018</w:t>
            </w:r>
          </w:p>
        </w:tc>
      </w:tr>
      <w:tr w:rsidR="00E507D4" w14:paraId="468A8A31" w14:textId="77777777" w:rsidTr="00362A0B">
        <w:trPr>
          <w:jc w:val="center"/>
        </w:trPr>
        <w:tc>
          <w:tcPr>
            <w:tcW w:w="4898" w:type="dxa"/>
            <w:tcBorders>
              <w:top w:val="single" w:sz="4" w:space="0" w:color="auto"/>
              <w:left w:val="single" w:sz="4" w:space="0" w:color="auto"/>
              <w:bottom w:val="single" w:sz="4" w:space="0" w:color="auto"/>
              <w:right w:val="single" w:sz="4" w:space="0" w:color="auto"/>
            </w:tcBorders>
          </w:tcPr>
          <w:p w14:paraId="5FAE828A" w14:textId="77777777" w:rsidR="00E507D4" w:rsidRDefault="00E507D4" w:rsidP="00B95821">
            <w:pPr>
              <w:pStyle w:val="BodyText"/>
              <w:spacing w:before="100" w:after="100"/>
              <w:jc w:val="center"/>
            </w:pPr>
            <w:r>
              <w:t>$130 My Plan Business Flex ($100 Promo)</w:t>
            </w:r>
          </w:p>
        </w:tc>
        <w:tc>
          <w:tcPr>
            <w:tcW w:w="2410" w:type="dxa"/>
            <w:tcBorders>
              <w:top w:val="single" w:sz="4" w:space="0" w:color="auto"/>
              <w:left w:val="single" w:sz="4" w:space="0" w:color="auto"/>
              <w:bottom w:val="single" w:sz="4" w:space="0" w:color="auto"/>
              <w:right w:val="single" w:sz="4" w:space="0" w:color="auto"/>
            </w:tcBorders>
          </w:tcPr>
          <w:p w14:paraId="44D2E45D" w14:textId="77777777" w:rsidR="00E507D4" w:rsidRPr="00000E23" w:rsidRDefault="00E507D4" w:rsidP="00B95821">
            <w:pPr>
              <w:pStyle w:val="BodyText"/>
              <w:spacing w:before="100" w:after="100"/>
              <w:jc w:val="center"/>
              <w:rPr>
                <w:lang w:val="en-AU"/>
              </w:rPr>
            </w:pPr>
            <w:r w:rsidRPr="00000E23">
              <w:rPr>
                <w:lang w:val="en-AU"/>
              </w:rPr>
              <w:t>800743/10725701</w:t>
            </w:r>
          </w:p>
        </w:tc>
        <w:tc>
          <w:tcPr>
            <w:tcW w:w="2893" w:type="dxa"/>
            <w:vMerge/>
            <w:tcBorders>
              <w:left w:val="single" w:sz="4" w:space="0" w:color="auto"/>
              <w:right w:val="single" w:sz="4" w:space="0" w:color="auto"/>
            </w:tcBorders>
          </w:tcPr>
          <w:p w14:paraId="698FA3C4" w14:textId="77777777" w:rsidR="00E507D4" w:rsidRDefault="00E507D4" w:rsidP="00B95821">
            <w:pPr>
              <w:pStyle w:val="BodyText"/>
              <w:spacing w:before="100" w:after="100"/>
              <w:jc w:val="center"/>
              <w:rPr>
                <w:b/>
                <w:lang w:val="en-AU"/>
              </w:rPr>
            </w:pPr>
          </w:p>
        </w:tc>
      </w:tr>
      <w:tr w:rsidR="00E507D4" w14:paraId="0293D076" w14:textId="77777777" w:rsidTr="00362A0B">
        <w:trPr>
          <w:jc w:val="center"/>
        </w:trPr>
        <w:tc>
          <w:tcPr>
            <w:tcW w:w="4898" w:type="dxa"/>
            <w:tcBorders>
              <w:top w:val="single" w:sz="4" w:space="0" w:color="auto"/>
              <w:left w:val="single" w:sz="4" w:space="0" w:color="auto"/>
              <w:bottom w:val="single" w:sz="4" w:space="0" w:color="auto"/>
              <w:right w:val="single" w:sz="4" w:space="0" w:color="auto"/>
            </w:tcBorders>
            <w:hideMark/>
          </w:tcPr>
          <w:p w14:paraId="4BE45A88" w14:textId="77777777" w:rsidR="00E507D4" w:rsidRDefault="00E507D4" w:rsidP="00B95821">
            <w:pPr>
              <w:pStyle w:val="BodyText"/>
              <w:spacing w:before="100" w:after="100"/>
              <w:jc w:val="center"/>
              <w:rPr>
                <w:lang w:val="en-AU"/>
              </w:rPr>
            </w:pPr>
            <w:r>
              <w:t>$130 My Plan Business Tech Fund ($100 Promo)</w:t>
            </w:r>
          </w:p>
        </w:tc>
        <w:tc>
          <w:tcPr>
            <w:tcW w:w="2410" w:type="dxa"/>
            <w:tcBorders>
              <w:top w:val="single" w:sz="4" w:space="0" w:color="auto"/>
              <w:left w:val="single" w:sz="4" w:space="0" w:color="auto"/>
              <w:bottom w:val="single" w:sz="4" w:space="0" w:color="auto"/>
              <w:right w:val="single" w:sz="4" w:space="0" w:color="auto"/>
            </w:tcBorders>
            <w:hideMark/>
          </w:tcPr>
          <w:p w14:paraId="1272005B" w14:textId="77777777" w:rsidR="00E507D4" w:rsidRDefault="00E507D4" w:rsidP="00B95821">
            <w:pPr>
              <w:pStyle w:val="BodyText"/>
              <w:spacing w:before="100" w:after="100"/>
              <w:jc w:val="center"/>
            </w:pPr>
            <w:r>
              <w:t>800751</w:t>
            </w:r>
          </w:p>
        </w:tc>
        <w:tc>
          <w:tcPr>
            <w:tcW w:w="2893" w:type="dxa"/>
            <w:vMerge/>
            <w:tcBorders>
              <w:left w:val="single" w:sz="4" w:space="0" w:color="auto"/>
              <w:right w:val="single" w:sz="4" w:space="0" w:color="auto"/>
            </w:tcBorders>
            <w:hideMark/>
          </w:tcPr>
          <w:p w14:paraId="3A845A95" w14:textId="77777777" w:rsidR="00E507D4" w:rsidRDefault="00E507D4" w:rsidP="00B95821">
            <w:pPr>
              <w:pStyle w:val="BodyText"/>
              <w:spacing w:before="100" w:after="100"/>
              <w:jc w:val="center"/>
            </w:pPr>
          </w:p>
        </w:tc>
      </w:tr>
      <w:tr w:rsidR="00E507D4" w14:paraId="1C9222F4" w14:textId="77777777" w:rsidTr="00362A0B">
        <w:trPr>
          <w:jc w:val="center"/>
        </w:trPr>
        <w:tc>
          <w:tcPr>
            <w:tcW w:w="4898" w:type="dxa"/>
            <w:tcBorders>
              <w:top w:val="single" w:sz="4" w:space="0" w:color="auto"/>
              <w:left w:val="single" w:sz="4" w:space="0" w:color="auto"/>
              <w:bottom w:val="single" w:sz="4" w:space="0" w:color="auto"/>
              <w:right w:val="single" w:sz="4" w:space="0" w:color="auto"/>
            </w:tcBorders>
          </w:tcPr>
          <w:p w14:paraId="7BB0F988" w14:textId="77777777" w:rsidR="00E507D4" w:rsidRDefault="00E507D4" w:rsidP="00B95821">
            <w:pPr>
              <w:pStyle w:val="BodyText"/>
              <w:spacing w:before="100" w:after="100"/>
              <w:jc w:val="center"/>
            </w:pPr>
            <w:r>
              <w:rPr>
                <w:rFonts w:eastAsia="Calibri" w:cs="Arial"/>
                <w:szCs w:val="20"/>
                <w:lang w:val="en-AU"/>
              </w:rPr>
              <w:t>$130 Business Plan ($100 Promo)</w:t>
            </w:r>
          </w:p>
        </w:tc>
        <w:tc>
          <w:tcPr>
            <w:tcW w:w="2410" w:type="dxa"/>
            <w:tcBorders>
              <w:top w:val="single" w:sz="4" w:space="0" w:color="auto"/>
              <w:left w:val="single" w:sz="4" w:space="0" w:color="auto"/>
              <w:bottom w:val="single" w:sz="4" w:space="0" w:color="auto"/>
              <w:right w:val="single" w:sz="4" w:space="0" w:color="auto"/>
            </w:tcBorders>
            <w:vAlign w:val="center"/>
          </w:tcPr>
          <w:p w14:paraId="4F61DF3A" w14:textId="77777777" w:rsidR="00E507D4" w:rsidRDefault="00E507D4" w:rsidP="00B95821">
            <w:pPr>
              <w:pStyle w:val="BodyText"/>
              <w:spacing w:before="100" w:after="100"/>
              <w:jc w:val="center"/>
            </w:pPr>
            <w:r>
              <w:rPr>
                <w:rFonts w:eastAsia="Calibri" w:cs="Arial"/>
                <w:szCs w:val="20"/>
              </w:rPr>
              <w:t>800749</w:t>
            </w:r>
          </w:p>
        </w:tc>
        <w:tc>
          <w:tcPr>
            <w:tcW w:w="2893" w:type="dxa"/>
            <w:vMerge/>
            <w:tcBorders>
              <w:left w:val="single" w:sz="4" w:space="0" w:color="auto"/>
              <w:right w:val="single" w:sz="4" w:space="0" w:color="auto"/>
            </w:tcBorders>
          </w:tcPr>
          <w:p w14:paraId="78BD988C" w14:textId="77777777" w:rsidR="00E507D4" w:rsidRDefault="00E507D4" w:rsidP="00B95821">
            <w:pPr>
              <w:pStyle w:val="BodyText"/>
              <w:spacing w:before="100" w:after="100"/>
              <w:jc w:val="center"/>
              <w:rPr>
                <w:lang w:val="en-AU"/>
              </w:rPr>
            </w:pPr>
          </w:p>
        </w:tc>
      </w:tr>
      <w:tr w:rsidR="00E507D4" w14:paraId="1F268E6E" w14:textId="77777777" w:rsidTr="00362A0B">
        <w:trPr>
          <w:jc w:val="center"/>
        </w:trPr>
        <w:tc>
          <w:tcPr>
            <w:tcW w:w="4898" w:type="dxa"/>
            <w:tcBorders>
              <w:top w:val="single" w:sz="4" w:space="0" w:color="auto"/>
              <w:left w:val="single" w:sz="4" w:space="0" w:color="auto"/>
              <w:bottom w:val="single" w:sz="4" w:space="0" w:color="auto"/>
              <w:right w:val="single" w:sz="4" w:space="0" w:color="auto"/>
            </w:tcBorders>
          </w:tcPr>
          <w:p w14:paraId="2D53BA4A" w14:textId="77777777" w:rsidR="00E507D4" w:rsidRDefault="00E507D4" w:rsidP="00B95821">
            <w:pPr>
              <w:pStyle w:val="BodyText"/>
              <w:spacing w:before="100" w:after="100"/>
              <w:jc w:val="center"/>
            </w:pPr>
            <w:r>
              <w:rPr>
                <w:rFonts w:eastAsia="Calibri" w:cs="Arial"/>
                <w:szCs w:val="20"/>
                <w:lang w:val="en-AU"/>
              </w:rPr>
              <w:t>$130 Business Lease ($100 Promo)</w:t>
            </w:r>
          </w:p>
        </w:tc>
        <w:tc>
          <w:tcPr>
            <w:tcW w:w="2410" w:type="dxa"/>
            <w:tcBorders>
              <w:top w:val="single" w:sz="4" w:space="0" w:color="auto"/>
              <w:left w:val="single" w:sz="4" w:space="0" w:color="auto"/>
              <w:bottom w:val="single" w:sz="4" w:space="0" w:color="auto"/>
              <w:right w:val="single" w:sz="4" w:space="0" w:color="auto"/>
            </w:tcBorders>
            <w:vAlign w:val="center"/>
          </w:tcPr>
          <w:p w14:paraId="001E85F3" w14:textId="77777777" w:rsidR="00E507D4" w:rsidRDefault="00E507D4" w:rsidP="00B95821">
            <w:pPr>
              <w:pStyle w:val="BodyText"/>
              <w:spacing w:before="100" w:after="100"/>
              <w:jc w:val="center"/>
            </w:pPr>
            <w:r>
              <w:rPr>
                <w:rFonts w:eastAsia="Calibri" w:cs="Arial"/>
                <w:szCs w:val="20"/>
              </w:rPr>
              <w:t>800750</w:t>
            </w:r>
          </w:p>
        </w:tc>
        <w:tc>
          <w:tcPr>
            <w:tcW w:w="2893" w:type="dxa"/>
            <w:vMerge/>
            <w:tcBorders>
              <w:left w:val="single" w:sz="4" w:space="0" w:color="auto"/>
              <w:bottom w:val="single" w:sz="4" w:space="0" w:color="auto"/>
              <w:right w:val="single" w:sz="4" w:space="0" w:color="auto"/>
            </w:tcBorders>
          </w:tcPr>
          <w:p w14:paraId="2E055F52" w14:textId="77777777" w:rsidR="00E507D4" w:rsidRDefault="00E507D4" w:rsidP="00B95821">
            <w:pPr>
              <w:pStyle w:val="BodyText"/>
              <w:spacing w:before="100" w:after="100"/>
              <w:jc w:val="center"/>
              <w:rPr>
                <w:lang w:val="en-AU"/>
              </w:rPr>
            </w:pPr>
          </w:p>
        </w:tc>
      </w:tr>
    </w:tbl>
    <w:p w14:paraId="2532D852" w14:textId="77777777" w:rsidR="00E507D4" w:rsidRDefault="00E507D4" w:rsidP="00E507D4"/>
    <w:p w14:paraId="2AA18AC5" w14:textId="77777777" w:rsidR="00E507D4" w:rsidRDefault="007569EB" w:rsidP="00E507D4">
      <w:pPr>
        <w:pStyle w:val="BodyText"/>
        <w:ind w:left="720"/>
        <w:rPr>
          <w:rStyle w:val="Hyperlink"/>
          <w:i/>
          <w:szCs w:val="20"/>
        </w:rPr>
      </w:pPr>
      <w:hyperlink r:id="rId865" w:history="1">
        <w:r w:rsidR="00E507D4">
          <w:rPr>
            <w:rStyle w:val="Hyperlink"/>
            <w:i/>
            <w:szCs w:val="20"/>
          </w:rPr>
          <w:t>Fair Go Policy</w:t>
        </w:r>
      </w:hyperlink>
      <w:r w:rsidR="00E507D4">
        <w:rPr>
          <w:szCs w:val="20"/>
        </w:rPr>
        <w:t xml:space="preserve"> applies. For further details refer to </w:t>
      </w:r>
      <w:hyperlink r:id="rId866" w:history="1">
        <w:r w:rsidR="00E507D4">
          <w:rPr>
            <w:rStyle w:val="Hyperlink"/>
            <w:i/>
            <w:szCs w:val="20"/>
          </w:rPr>
          <w:t>Appendix S.</w:t>
        </w:r>
      </w:hyperlink>
    </w:p>
    <w:p w14:paraId="12557E43" w14:textId="77777777" w:rsidR="005A69A0" w:rsidRDefault="005A69A0" w:rsidP="00E507D4">
      <w:pPr>
        <w:pStyle w:val="BodyText"/>
        <w:ind w:left="720"/>
      </w:pPr>
    </w:p>
    <w:p w14:paraId="74D989E2" w14:textId="77777777" w:rsidR="005A69A0" w:rsidRPr="00302639" w:rsidRDefault="005A69A0" w:rsidP="005A69A0">
      <w:pPr>
        <w:pStyle w:val="Heading4"/>
      </w:pPr>
      <w:bookmarkStart w:id="2265" w:name="_Toc479322668"/>
      <w:bookmarkStart w:id="2266" w:name="_Toc506192956"/>
      <w:bookmarkStart w:id="2267" w:name="_Toc507422365"/>
      <w:bookmarkStart w:id="2268" w:name="_Toc510692748"/>
      <w:bookmarkStart w:id="2269" w:name="_Toc62644717"/>
      <w:r>
        <w:t>$40 My Plan Plus</w:t>
      </w:r>
      <w:bookmarkEnd w:id="2265"/>
      <w:r>
        <w:t xml:space="preserve"> 24M S</w:t>
      </w:r>
      <w:bookmarkEnd w:id="2266"/>
      <w:bookmarkEnd w:id="2267"/>
      <w:r>
        <w:t>IM Only</w:t>
      </w:r>
      <w:bookmarkEnd w:id="2268"/>
      <w:bookmarkEnd w:id="2269"/>
    </w:p>
    <w:p w14:paraId="588B901F" w14:textId="77777777" w:rsidR="005A69A0" w:rsidRDefault="005A69A0" w:rsidP="005A69A0">
      <w:pPr>
        <w:spacing w:after="200"/>
        <w:rPr>
          <w:sz w:val="20"/>
        </w:rPr>
      </w:pPr>
      <w:r>
        <w:rPr>
          <w:sz w:val="20"/>
        </w:rPr>
        <w:t xml:space="preserve">This section relates to the following plan(s). </w:t>
      </w:r>
      <w:r>
        <w:rPr>
          <w:i/>
          <w:sz w:val="20"/>
        </w:rPr>
        <w:t>You</w:t>
      </w:r>
      <w:r>
        <w:rPr>
          <w:sz w:val="20"/>
        </w:rPr>
        <w:t xml:space="preserve"> can find </w:t>
      </w:r>
      <w:r>
        <w:rPr>
          <w:i/>
          <w:sz w:val="20"/>
        </w:rPr>
        <w:t>your</w:t>
      </w:r>
      <w:r>
        <w:rPr>
          <w:sz w:val="20"/>
        </w:rPr>
        <w:t xml:space="preserve"> Plan ID on </w:t>
      </w:r>
      <w:r>
        <w:rPr>
          <w:i/>
          <w:sz w:val="20"/>
        </w:rPr>
        <w:t>your</w:t>
      </w:r>
      <w:r>
        <w:rPr>
          <w:sz w:val="20"/>
        </w:rPr>
        <w:t xml:space="preserve"> bill under the Mobile Number Summary section:</w:t>
      </w:r>
    </w:p>
    <w:tbl>
      <w:tblPr>
        <w:tblW w:w="49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7"/>
        <w:gridCol w:w="2419"/>
        <w:gridCol w:w="3208"/>
      </w:tblGrid>
      <w:tr w:rsidR="005A69A0" w14:paraId="5C43B4DB" w14:textId="77777777" w:rsidTr="005A69A0">
        <w:trPr>
          <w:trHeight w:val="288"/>
        </w:trPr>
        <w:tc>
          <w:tcPr>
            <w:tcW w:w="3953" w:type="dxa"/>
            <w:tcBorders>
              <w:top w:val="single" w:sz="4" w:space="0" w:color="auto"/>
              <w:left w:val="single" w:sz="4" w:space="0" w:color="auto"/>
              <w:bottom w:val="single" w:sz="4" w:space="0" w:color="auto"/>
              <w:right w:val="single" w:sz="4" w:space="0" w:color="auto"/>
            </w:tcBorders>
            <w:vAlign w:val="center"/>
            <w:hideMark/>
          </w:tcPr>
          <w:p w14:paraId="7D24DA30" w14:textId="77777777" w:rsidR="005A69A0" w:rsidRDefault="005A69A0" w:rsidP="005A69A0">
            <w:pPr>
              <w:spacing w:before="100" w:after="100"/>
              <w:jc w:val="center"/>
              <w:rPr>
                <w:b/>
                <w:sz w:val="20"/>
              </w:rPr>
            </w:pPr>
            <w:r>
              <w:rPr>
                <w:b/>
                <w:sz w:val="20"/>
              </w:rPr>
              <w:t>Plan</w:t>
            </w:r>
          </w:p>
        </w:tc>
        <w:tc>
          <w:tcPr>
            <w:tcW w:w="2194" w:type="dxa"/>
            <w:tcBorders>
              <w:top w:val="single" w:sz="4" w:space="0" w:color="auto"/>
              <w:left w:val="single" w:sz="4" w:space="0" w:color="auto"/>
              <w:bottom w:val="single" w:sz="4" w:space="0" w:color="auto"/>
              <w:right w:val="single" w:sz="4" w:space="0" w:color="auto"/>
            </w:tcBorders>
            <w:vAlign w:val="center"/>
            <w:hideMark/>
          </w:tcPr>
          <w:p w14:paraId="09D356FB" w14:textId="77777777" w:rsidR="005A69A0" w:rsidRDefault="005A69A0" w:rsidP="005A69A0">
            <w:pPr>
              <w:spacing w:before="100" w:after="100"/>
              <w:jc w:val="center"/>
              <w:rPr>
                <w:b/>
                <w:sz w:val="20"/>
              </w:rPr>
            </w:pPr>
            <w:r>
              <w:rPr>
                <w:b/>
                <w:sz w:val="20"/>
              </w:rPr>
              <w:t>Plan ID</w:t>
            </w:r>
          </w:p>
        </w:tc>
        <w:tc>
          <w:tcPr>
            <w:tcW w:w="2910" w:type="dxa"/>
            <w:tcBorders>
              <w:top w:val="single" w:sz="4" w:space="0" w:color="auto"/>
              <w:left w:val="single" w:sz="4" w:space="0" w:color="auto"/>
              <w:bottom w:val="single" w:sz="4" w:space="0" w:color="auto"/>
              <w:right w:val="single" w:sz="4" w:space="0" w:color="auto"/>
            </w:tcBorders>
            <w:vAlign w:val="center"/>
            <w:hideMark/>
          </w:tcPr>
          <w:p w14:paraId="0BBC9242" w14:textId="77777777" w:rsidR="005A69A0" w:rsidRDefault="005A69A0" w:rsidP="005A69A0">
            <w:pPr>
              <w:spacing w:before="100" w:after="100"/>
              <w:jc w:val="center"/>
              <w:rPr>
                <w:b/>
                <w:sz w:val="20"/>
              </w:rPr>
            </w:pPr>
            <w:r>
              <w:rPr>
                <w:b/>
                <w:sz w:val="20"/>
              </w:rPr>
              <w:t>Available</w:t>
            </w:r>
          </w:p>
        </w:tc>
      </w:tr>
      <w:tr w:rsidR="005A69A0" w14:paraId="26BAAF0C" w14:textId="77777777" w:rsidTr="005A69A0">
        <w:trPr>
          <w:trHeight w:val="288"/>
        </w:trPr>
        <w:tc>
          <w:tcPr>
            <w:tcW w:w="3953" w:type="dxa"/>
            <w:tcBorders>
              <w:top w:val="single" w:sz="4" w:space="0" w:color="auto"/>
              <w:left w:val="single" w:sz="4" w:space="0" w:color="auto"/>
              <w:bottom w:val="single" w:sz="4" w:space="0" w:color="auto"/>
              <w:right w:val="single" w:sz="4" w:space="0" w:color="auto"/>
            </w:tcBorders>
            <w:hideMark/>
          </w:tcPr>
          <w:p w14:paraId="2C7E2F52" w14:textId="77777777" w:rsidR="005A69A0" w:rsidRDefault="005A69A0" w:rsidP="005A69A0">
            <w:pPr>
              <w:spacing w:before="100" w:after="100"/>
              <w:jc w:val="center"/>
              <w:rPr>
                <w:rFonts w:eastAsia="Calibri"/>
                <w:sz w:val="20"/>
              </w:rPr>
            </w:pPr>
            <w:r>
              <w:rPr>
                <w:rFonts w:eastAsia="Calibri"/>
                <w:sz w:val="20"/>
              </w:rPr>
              <w:t>$40 My Plan Plus 24M SIM Only</w:t>
            </w:r>
          </w:p>
        </w:tc>
        <w:tc>
          <w:tcPr>
            <w:tcW w:w="2194" w:type="dxa"/>
            <w:tcBorders>
              <w:top w:val="single" w:sz="4" w:space="0" w:color="auto"/>
              <w:left w:val="single" w:sz="4" w:space="0" w:color="auto"/>
              <w:bottom w:val="single" w:sz="4" w:space="0" w:color="auto"/>
              <w:right w:val="single" w:sz="4" w:space="0" w:color="auto"/>
            </w:tcBorders>
            <w:vAlign w:val="center"/>
            <w:hideMark/>
          </w:tcPr>
          <w:p w14:paraId="7FEA16A1" w14:textId="77777777" w:rsidR="005A69A0" w:rsidRDefault="005A69A0" w:rsidP="005A69A0">
            <w:pPr>
              <w:spacing w:before="100" w:after="100"/>
              <w:jc w:val="center"/>
              <w:rPr>
                <w:rFonts w:eastAsia="Calibri"/>
                <w:sz w:val="20"/>
              </w:rPr>
            </w:pPr>
            <w:r>
              <w:rPr>
                <w:rFonts w:eastAsia="Calibri"/>
                <w:sz w:val="20"/>
              </w:rPr>
              <w:t>800881 / 20206959</w:t>
            </w:r>
          </w:p>
        </w:tc>
        <w:tc>
          <w:tcPr>
            <w:tcW w:w="2910" w:type="dxa"/>
            <w:tcBorders>
              <w:top w:val="single" w:sz="4" w:space="0" w:color="auto"/>
              <w:left w:val="single" w:sz="4" w:space="0" w:color="auto"/>
              <w:bottom w:val="single" w:sz="4" w:space="0" w:color="auto"/>
              <w:right w:val="single" w:sz="4" w:space="0" w:color="auto"/>
            </w:tcBorders>
            <w:hideMark/>
          </w:tcPr>
          <w:p w14:paraId="52732762" w14:textId="77777777" w:rsidR="005A69A0" w:rsidRDefault="005A69A0" w:rsidP="005A69A0">
            <w:pPr>
              <w:spacing w:before="100" w:after="100"/>
              <w:jc w:val="center"/>
              <w:rPr>
                <w:rFonts w:eastAsia="Calibri"/>
                <w:sz w:val="20"/>
              </w:rPr>
            </w:pPr>
            <w:r>
              <w:rPr>
                <w:rFonts w:eastAsia="Calibri"/>
                <w:sz w:val="20"/>
              </w:rPr>
              <w:t>12 March 2018</w:t>
            </w:r>
            <w:r w:rsidR="00562F67">
              <w:rPr>
                <w:rFonts w:eastAsia="Calibri"/>
                <w:sz w:val="20"/>
              </w:rPr>
              <w:t xml:space="preserve"> – 5 August 2018</w:t>
            </w:r>
          </w:p>
        </w:tc>
      </w:tr>
    </w:tbl>
    <w:p w14:paraId="62DA2E08" w14:textId="77777777" w:rsidR="005A69A0" w:rsidRDefault="005A69A0" w:rsidP="005A69A0">
      <w:pPr>
        <w:spacing w:after="200"/>
        <w:rPr>
          <w:sz w:val="20"/>
        </w:rPr>
      </w:pPr>
    </w:p>
    <w:p w14:paraId="6724DE77" w14:textId="77777777" w:rsidR="005A69A0" w:rsidRDefault="005A69A0" w:rsidP="005A69A0">
      <w:pPr>
        <w:pStyle w:val="Heading6"/>
        <w:rPr>
          <w:bCs w:val="0"/>
          <w:szCs w:val="20"/>
        </w:rPr>
      </w:pPr>
      <w:bookmarkStart w:id="2270" w:name="_Toc479322669"/>
      <w:bookmarkStart w:id="2271" w:name="_Toc506192957"/>
      <w:bookmarkStart w:id="2272" w:name="_Toc507422366"/>
      <w:bookmarkStart w:id="2273" w:name="_Toc510692749"/>
      <w:r>
        <w:rPr>
          <w:bCs w:val="0"/>
          <w:szCs w:val="20"/>
        </w:rPr>
        <w:t>Eligibility</w:t>
      </w:r>
      <w:bookmarkEnd w:id="2270"/>
      <w:bookmarkEnd w:id="2271"/>
      <w:bookmarkEnd w:id="2272"/>
      <w:bookmarkEnd w:id="2273"/>
    </w:p>
    <w:p w14:paraId="0C777B36" w14:textId="77777777" w:rsidR="005A69A0" w:rsidRDefault="005A69A0" w:rsidP="005A69A0">
      <w:pPr>
        <w:spacing w:after="200"/>
        <w:ind w:left="720"/>
        <w:rPr>
          <w:sz w:val="20"/>
          <w:szCs w:val="20"/>
          <w:lang w:val="en-AU"/>
        </w:rPr>
      </w:pPr>
      <w:r>
        <w:rPr>
          <w:sz w:val="20"/>
          <w:szCs w:val="20"/>
        </w:rPr>
        <w:t xml:space="preserve">This My Plan Plus 24M SIM Only is available to new </w:t>
      </w:r>
      <w:r w:rsidRPr="004E7EDC">
        <w:rPr>
          <w:sz w:val="20"/>
          <w:szCs w:val="20"/>
        </w:rPr>
        <w:t xml:space="preserve">and recontracting </w:t>
      </w:r>
      <w:r>
        <w:rPr>
          <w:sz w:val="20"/>
          <w:szCs w:val="20"/>
        </w:rPr>
        <w:t xml:space="preserve">customers </w:t>
      </w:r>
      <w:r w:rsidRPr="004E7EDC">
        <w:rPr>
          <w:sz w:val="20"/>
          <w:szCs w:val="20"/>
        </w:rPr>
        <w:t xml:space="preserve">only </w:t>
      </w:r>
      <w:r w:rsidRPr="002B2553">
        <w:rPr>
          <w:sz w:val="20"/>
          <w:szCs w:val="20"/>
          <w:lang w:val="en-AU"/>
        </w:rPr>
        <w:t>who pass Optus' credit assessment. To be eligible for this plan, businesses must provide Optus with a registered ACN, ARBN or ABN</w:t>
      </w:r>
      <w:r>
        <w:rPr>
          <w:sz w:val="20"/>
          <w:szCs w:val="20"/>
          <w:lang w:val="en-AU"/>
        </w:rPr>
        <w:t>.</w:t>
      </w:r>
    </w:p>
    <w:p w14:paraId="5EBE8362" w14:textId="77777777" w:rsidR="005A69A0" w:rsidRPr="00C12929" w:rsidRDefault="005A69A0" w:rsidP="005A69A0">
      <w:pPr>
        <w:pStyle w:val="BodyText"/>
        <w:ind w:left="720"/>
        <w:rPr>
          <w:lang w:val="en-AU"/>
        </w:rPr>
      </w:pPr>
      <w:r w:rsidRPr="00C12929">
        <w:rPr>
          <w:lang w:val="en-AU"/>
        </w:rPr>
        <w:t>Optus Service Providers</w:t>
      </w:r>
      <w:r>
        <w:rPr>
          <w:lang w:val="en-AU"/>
        </w:rPr>
        <w:t>'</w:t>
      </w:r>
      <w:r w:rsidRPr="00C12929">
        <w:rPr>
          <w:lang w:val="en-AU"/>
        </w:rPr>
        <w:t xml:space="preserve"> customers are not eligible to apply.</w:t>
      </w:r>
    </w:p>
    <w:p w14:paraId="4DC32C5B" w14:textId="77777777" w:rsidR="005A69A0" w:rsidRPr="00595EB0" w:rsidRDefault="005A69A0" w:rsidP="005A69A0">
      <w:pPr>
        <w:pStyle w:val="BodyText"/>
        <w:ind w:left="720"/>
        <w:rPr>
          <w:lang w:val="en-AU"/>
        </w:rPr>
      </w:pPr>
      <w:r w:rsidRPr="00C12929">
        <w:rPr>
          <w:lang w:val="en-AU"/>
        </w:rPr>
        <w:t xml:space="preserve">These </w:t>
      </w:r>
      <w:r w:rsidRPr="00C12929">
        <w:rPr>
          <w:i/>
          <w:lang w:val="en-AU"/>
        </w:rPr>
        <w:t>plans</w:t>
      </w:r>
      <w:r w:rsidRPr="00C12929">
        <w:rPr>
          <w:lang w:val="en-AU"/>
        </w:rPr>
        <w:t xml:space="preserve"> aren</w:t>
      </w:r>
      <w:r>
        <w:rPr>
          <w:lang w:val="en-AU"/>
        </w:rPr>
        <w:t>'</w:t>
      </w:r>
      <w:r w:rsidRPr="00C12929">
        <w:rPr>
          <w:lang w:val="en-AU"/>
        </w:rPr>
        <w:t>t compatible for data use with BlackBerry handsets on operating systems of 7.1 or earlier.</w:t>
      </w:r>
    </w:p>
    <w:p w14:paraId="53896C29" w14:textId="77777777" w:rsidR="005A69A0" w:rsidRDefault="005A69A0" w:rsidP="005A69A0">
      <w:pPr>
        <w:pStyle w:val="Heading6"/>
        <w:rPr>
          <w:bCs w:val="0"/>
          <w:szCs w:val="20"/>
        </w:rPr>
      </w:pPr>
      <w:bookmarkStart w:id="2274" w:name="_Toc479322670"/>
      <w:bookmarkStart w:id="2275" w:name="_Toc506192958"/>
      <w:bookmarkStart w:id="2276" w:name="_Toc507422367"/>
      <w:bookmarkStart w:id="2277" w:name="_Toc510692750"/>
      <w:r>
        <w:rPr>
          <w:bCs w:val="0"/>
          <w:snapToGrid w:val="0"/>
          <w:szCs w:val="20"/>
        </w:rPr>
        <w:t>Minimum Term</w:t>
      </w:r>
      <w:bookmarkEnd w:id="2274"/>
      <w:bookmarkEnd w:id="2275"/>
      <w:bookmarkEnd w:id="2276"/>
      <w:bookmarkEnd w:id="2277"/>
    </w:p>
    <w:p w14:paraId="5A073736" w14:textId="77777777" w:rsidR="005A69A0" w:rsidRPr="00A207DC" w:rsidRDefault="005A69A0" w:rsidP="005A69A0">
      <w:pPr>
        <w:spacing w:after="200"/>
        <w:ind w:left="720"/>
        <w:rPr>
          <w:i/>
          <w:sz w:val="20"/>
          <w:szCs w:val="20"/>
        </w:rPr>
      </w:pPr>
      <w:r>
        <w:rPr>
          <w:sz w:val="20"/>
          <w:szCs w:val="20"/>
        </w:rPr>
        <w:t xml:space="preserve">This </w:t>
      </w:r>
      <w:r w:rsidRPr="00302639">
        <w:rPr>
          <w:sz w:val="20"/>
          <w:szCs w:val="20"/>
        </w:rPr>
        <w:t>plan</w:t>
      </w:r>
      <w:r>
        <w:rPr>
          <w:sz w:val="20"/>
          <w:szCs w:val="20"/>
        </w:rPr>
        <w:t xml:space="preserve"> is</w:t>
      </w:r>
      <w:r>
        <w:rPr>
          <w:i/>
          <w:sz w:val="20"/>
          <w:szCs w:val="20"/>
        </w:rPr>
        <w:t xml:space="preserve"> </w:t>
      </w:r>
      <w:r w:rsidRPr="00A207DC">
        <w:rPr>
          <w:i/>
          <w:sz w:val="20"/>
          <w:szCs w:val="20"/>
        </w:rPr>
        <w:t>a fixed length agreement with a 2</w:t>
      </w:r>
      <w:r>
        <w:rPr>
          <w:i/>
          <w:sz w:val="20"/>
          <w:szCs w:val="20"/>
        </w:rPr>
        <w:t>4</w:t>
      </w:r>
      <w:r w:rsidRPr="00A207DC">
        <w:rPr>
          <w:i/>
          <w:sz w:val="20"/>
          <w:szCs w:val="20"/>
        </w:rPr>
        <w:t xml:space="preserve"> month minimum term.</w:t>
      </w:r>
    </w:p>
    <w:p w14:paraId="61DDF60C" w14:textId="77777777" w:rsidR="005A69A0" w:rsidRDefault="005A69A0" w:rsidP="005A69A0">
      <w:pPr>
        <w:pStyle w:val="Heading6"/>
        <w:rPr>
          <w:b/>
          <w:bCs w:val="0"/>
          <w:szCs w:val="20"/>
        </w:rPr>
      </w:pPr>
      <w:bookmarkStart w:id="2278" w:name="_Toc479322671"/>
      <w:bookmarkStart w:id="2279" w:name="_Toc506192959"/>
      <w:bookmarkStart w:id="2280" w:name="_Toc507422368"/>
      <w:bookmarkStart w:id="2281" w:name="_Toc510692751"/>
      <w:r>
        <w:rPr>
          <w:bCs w:val="0"/>
          <w:szCs w:val="20"/>
        </w:rPr>
        <w:t xml:space="preserve">What </w:t>
      </w:r>
      <w:r>
        <w:rPr>
          <w:bCs w:val="0"/>
          <w:i/>
          <w:szCs w:val="20"/>
        </w:rPr>
        <w:t>you</w:t>
      </w:r>
      <w:r>
        <w:rPr>
          <w:bCs w:val="0"/>
          <w:szCs w:val="20"/>
        </w:rPr>
        <w:t xml:space="preserve"> have to pay </w:t>
      </w:r>
      <w:r>
        <w:rPr>
          <w:bCs w:val="0"/>
          <w:i/>
          <w:szCs w:val="20"/>
        </w:rPr>
        <w:t>us</w:t>
      </w:r>
      <w:bookmarkEnd w:id="2278"/>
      <w:bookmarkEnd w:id="2279"/>
      <w:bookmarkEnd w:id="2280"/>
      <w:bookmarkEnd w:id="2281"/>
    </w:p>
    <w:p w14:paraId="1B3505A0" w14:textId="77777777" w:rsidR="005A69A0" w:rsidRDefault="005A69A0" w:rsidP="005A69A0">
      <w:pPr>
        <w:pStyle w:val="Heading7"/>
        <w:rPr>
          <w:szCs w:val="20"/>
        </w:rPr>
      </w:pPr>
      <w:r>
        <w:rPr>
          <w:i/>
          <w:szCs w:val="20"/>
        </w:rPr>
        <w:t>You</w:t>
      </w:r>
      <w:r>
        <w:rPr>
          <w:szCs w:val="20"/>
        </w:rPr>
        <w:t xml:space="preserve"> must pay </w:t>
      </w:r>
      <w:r>
        <w:rPr>
          <w:i/>
          <w:szCs w:val="20"/>
        </w:rPr>
        <w:t>us</w:t>
      </w:r>
      <w:r>
        <w:rPr>
          <w:szCs w:val="20"/>
        </w:rPr>
        <w:t xml:space="preserve"> for use of the </w:t>
      </w:r>
      <w:r>
        <w:rPr>
          <w:i/>
          <w:szCs w:val="20"/>
        </w:rPr>
        <w:t>service</w:t>
      </w:r>
      <w:r>
        <w:rPr>
          <w:szCs w:val="20"/>
        </w:rPr>
        <w:t xml:space="preserve"> at the rates set out in Section 1 of this </w:t>
      </w:r>
      <w:r>
        <w:rPr>
          <w:i/>
          <w:szCs w:val="20"/>
        </w:rPr>
        <w:t>standard pricing table</w:t>
      </w:r>
      <w:r>
        <w:rPr>
          <w:szCs w:val="20"/>
        </w:rPr>
        <w:t xml:space="preserve"> and for value added service features at the rates set out in </w:t>
      </w:r>
      <w:hyperlink r:id="rId867" w:history="1">
        <w:r>
          <w:rPr>
            <w:rStyle w:val="Hyperlink"/>
            <w:rFonts w:eastAsia="MS Gothic"/>
            <w:i/>
            <w:szCs w:val="20"/>
          </w:rPr>
          <w:t>Appendix Y Value Added Service Features</w:t>
        </w:r>
        <w:r>
          <w:rPr>
            <w:rStyle w:val="Hyperlink"/>
            <w:rFonts w:eastAsia="MS Gothic"/>
            <w:szCs w:val="20"/>
          </w:rPr>
          <w:t>.</w:t>
        </w:r>
      </w:hyperlink>
    </w:p>
    <w:p w14:paraId="5C2587BE" w14:textId="77777777" w:rsidR="005A69A0" w:rsidRDefault="005A69A0" w:rsidP="005A69A0">
      <w:pPr>
        <w:pStyle w:val="Heading7"/>
        <w:rPr>
          <w:szCs w:val="20"/>
        </w:rPr>
      </w:pPr>
      <w:r>
        <w:rPr>
          <w:szCs w:val="20"/>
        </w:rPr>
        <w:t>If there is a flagfall for a particular call type, the charge for these calls is the flagfall amount plus the relevant rate for the call multiplied by the duration of the call.</w:t>
      </w:r>
    </w:p>
    <w:p w14:paraId="26D55BD7" w14:textId="77777777" w:rsidR="005A69A0" w:rsidRDefault="005A69A0" w:rsidP="005A69A0">
      <w:pPr>
        <w:pStyle w:val="Heading7"/>
        <w:rPr>
          <w:szCs w:val="20"/>
        </w:rPr>
      </w:pPr>
      <w:r>
        <w:rPr>
          <w:szCs w:val="20"/>
        </w:rPr>
        <w:t>Minimum Monthly Charge</w:t>
      </w:r>
    </w:p>
    <w:p w14:paraId="62311C72" w14:textId="77777777" w:rsidR="005A69A0" w:rsidRDefault="005A69A0" w:rsidP="005A69A0">
      <w:pPr>
        <w:pStyle w:val="Heading8"/>
        <w:rPr>
          <w:iCs w:val="0"/>
          <w:szCs w:val="20"/>
        </w:rPr>
      </w:pPr>
      <w:r>
        <w:rPr>
          <w:iCs w:val="0"/>
          <w:szCs w:val="20"/>
        </w:rPr>
        <w:t xml:space="preserve">My Plan Plus 24M SIM Only plan has a Minimum Monthly Charge amount that </w:t>
      </w:r>
      <w:r>
        <w:rPr>
          <w:i/>
          <w:iCs w:val="0"/>
          <w:szCs w:val="20"/>
        </w:rPr>
        <w:t>you</w:t>
      </w:r>
      <w:r>
        <w:rPr>
          <w:iCs w:val="0"/>
          <w:szCs w:val="20"/>
        </w:rPr>
        <w:t xml:space="preserve"> must pay </w:t>
      </w:r>
      <w:r>
        <w:rPr>
          <w:i/>
          <w:iCs w:val="0"/>
          <w:szCs w:val="20"/>
        </w:rPr>
        <w:t>us</w:t>
      </w:r>
      <w:r>
        <w:rPr>
          <w:iCs w:val="0"/>
          <w:szCs w:val="20"/>
        </w:rPr>
        <w:t xml:space="preserve"> each month as set out in Table 1 below. </w:t>
      </w:r>
    </w:p>
    <w:p w14:paraId="111D3D59" w14:textId="77777777" w:rsidR="005A69A0" w:rsidRDefault="005A69A0" w:rsidP="005A69A0">
      <w:pPr>
        <w:pStyle w:val="Heading8"/>
        <w:rPr>
          <w:iCs w:val="0"/>
          <w:szCs w:val="20"/>
        </w:rPr>
      </w:pPr>
      <w:r>
        <w:rPr>
          <w:i/>
          <w:iCs w:val="0"/>
          <w:szCs w:val="20"/>
        </w:rPr>
        <w:t>You</w:t>
      </w:r>
      <w:r>
        <w:rPr>
          <w:iCs w:val="0"/>
          <w:szCs w:val="20"/>
        </w:rPr>
        <w:t xml:space="preserve"> may purchase a mobile phone (or 'handset') with a 1 month or 24 month </w:t>
      </w:r>
      <w:r>
        <w:rPr>
          <w:i/>
          <w:iCs w:val="0"/>
          <w:szCs w:val="20"/>
        </w:rPr>
        <w:t>equipment term</w:t>
      </w:r>
      <w:r>
        <w:rPr>
          <w:iCs w:val="0"/>
          <w:szCs w:val="20"/>
        </w:rPr>
        <w:t xml:space="preserve"> under a </w:t>
      </w:r>
      <w:r>
        <w:rPr>
          <w:i/>
          <w:iCs w:val="0"/>
          <w:szCs w:val="20"/>
        </w:rPr>
        <w:t>mobile equipment payment plan</w:t>
      </w:r>
      <w:r>
        <w:rPr>
          <w:iCs w:val="0"/>
          <w:szCs w:val="20"/>
        </w:rPr>
        <w:t xml:space="preserve"> (set out in</w:t>
      </w:r>
      <w:hyperlink r:id="rId868" w:history="1">
        <w:r>
          <w:rPr>
            <w:rStyle w:val="Hyperlink"/>
            <w:rFonts w:eastAsia="MS Gothic"/>
            <w:iCs w:val="0"/>
            <w:szCs w:val="20"/>
          </w:rPr>
          <w:t xml:space="preserve"> </w:t>
        </w:r>
        <w:r>
          <w:rPr>
            <w:rStyle w:val="Hyperlink"/>
            <w:rFonts w:eastAsia="MS Gothic"/>
            <w:i/>
            <w:iCs w:val="0"/>
            <w:szCs w:val="20"/>
          </w:rPr>
          <w:t>Appendix D</w:t>
        </w:r>
      </w:hyperlink>
      <w:r>
        <w:rPr>
          <w:iCs w:val="0"/>
          <w:szCs w:val="20"/>
        </w:rPr>
        <w:t>).</w:t>
      </w:r>
    </w:p>
    <w:p w14:paraId="29C74372" w14:textId="77777777" w:rsidR="005A69A0" w:rsidRDefault="005A69A0" w:rsidP="005A69A0">
      <w:pPr>
        <w:pStyle w:val="Heading6"/>
        <w:rPr>
          <w:bCs w:val="0"/>
          <w:snapToGrid w:val="0"/>
        </w:rPr>
      </w:pPr>
      <w:bookmarkStart w:id="2282" w:name="_Toc479322672"/>
      <w:bookmarkStart w:id="2283" w:name="_Toc506192960"/>
      <w:bookmarkStart w:id="2284" w:name="_Toc507422369"/>
      <w:bookmarkStart w:id="2285" w:name="_Toc510692752"/>
      <w:r>
        <w:rPr>
          <w:bCs w:val="0"/>
          <w:snapToGrid w:val="0"/>
        </w:rPr>
        <w:t>How My Plan Plus SIM works</w:t>
      </w:r>
      <w:bookmarkEnd w:id="2282"/>
      <w:bookmarkEnd w:id="2283"/>
      <w:bookmarkEnd w:id="2284"/>
      <w:bookmarkEnd w:id="2285"/>
    </w:p>
    <w:p w14:paraId="5C732429" w14:textId="77777777" w:rsidR="005A69A0" w:rsidRDefault="005A69A0" w:rsidP="005A69A0">
      <w:pPr>
        <w:pStyle w:val="Heading7"/>
        <w:rPr>
          <w:szCs w:val="20"/>
        </w:rPr>
      </w:pPr>
      <w:r>
        <w:rPr>
          <w:szCs w:val="20"/>
        </w:rPr>
        <w:lastRenderedPageBreak/>
        <w:t>The My Plan Plus 24M SIM Only plan referred to in this section have unlimited minutes to use on standard national calls to landlines and mobiles, 13/1300 numbers and voicemail retrievals and Included Data (for mobile internet use) to share with other services on a My Plan Plus</w:t>
      </w:r>
      <w:r>
        <w:rPr>
          <w:color w:val="000000"/>
          <w:szCs w:val="20"/>
          <w:lang w:eastAsia="en-AU"/>
        </w:rPr>
        <w:t xml:space="preserve">, </w:t>
      </w:r>
      <w:r>
        <w:rPr>
          <w:szCs w:val="20"/>
          <w:lang w:eastAsia="en-AU"/>
        </w:rPr>
        <w:t>My Plan Plus SIM Only, My Plan Plus 12M SIM Only, Business Plus (including Tech Fund), My Plan Business (including Tech Fund), My Plan Business SIM, My Plan Business 12M SIM, My Mobile Broadband</w:t>
      </w:r>
      <w:r>
        <w:rPr>
          <w:color w:val="000000"/>
          <w:szCs w:val="20"/>
          <w:lang w:eastAsia="en-AU"/>
        </w:rPr>
        <w:t xml:space="preserve"> Plus, Mobile Broadband Business</w:t>
      </w:r>
      <w:r>
        <w:rPr>
          <w:szCs w:val="20"/>
        </w:rPr>
        <w:t xml:space="preserve"> or Shared Data Plan on the same account.</w:t>
      </w:r>
    </w:p>
    <w:p w14:paraId="483F1821" w14:textId="77777777" w:rsidR="005A69A0" w:rsidRDefault="005A69A0" w:rsidP="005A69A0">
      <w:pPr>
        <w:pStyle w:val="Heading7"/>
        <w:rPr>
          <w:szCs w:val="20"/>
        </w:rPr>
      </w:pPr>
      <w:r>
        <w:rPr>
          <w:szCs w:val="20"/>
        </w:rPr>
        <w:t xml:space="preserve">These plans also include unlimited standard national SMS/MMS and unlimited standard International SMS/MMS to selected countries. They also have an amount of included international minutes to use on standard international calls to selected countries. </w:t>
      </w:r>
    </w:p>
    <w:p w14:paraId="378D7EA8" w14:textId="77777777" w:rsidR="005A69A0" w:rsidRDefault="005A69A0" w:rsidP="005A69A0">
      <w:pPr>
        <w:pStyle w:val="Heading7"/>
        <w:rPr>
          <w:szCs w:val="20"/>
        </w:rPr>
      </w:pPr>
      <w:r>
        <w:rPr>
          <w:szCs w:val="20"/>
        </w:rPr>
        <w:t>Data usage is calculated in one kilobyte increments. International minutes are billed in one minute increments.</w:t>
      </w:r>
    </w:p>
    <w:p w14:paraId="4A40D69C" w14:textId="77777777" w:rsidR="005A69A0" w:rsidRDefault="005A69A0" w:rsidP="005A69A0">
      <w:pPr>
        <w:pStyle w:val="Heading7"/>
        <w:rPr>
          <w:szCs w:val="20"/>
        </w:rPr>
      </w:pPr>
      <w:r>
        <w:rPr>
          <w:szCs w:val="20"/>
        </w:rPr>
        <w:t xml:space="preserve">If </w:t>
      </w:r>
      <w:r>
        <w:rPr>
          <w:i/>
          <w:szCs w:val="20"/>
        </w:rPr>
        <w:t>you</w:t>
      </w:r>
      <w:r>
        <w:rPr>
          <w:szCs w:val="20"/>
        </w:rPr>
        <w:t xml:space="preserve"> exceed </w:t>
      </w:r>
      <w:r>
        <w:rPr>
          <w:i/>
          <w:szCs w:val="20"/>
        </w:rPr>
        <w:t>your</w:t>
      </w:r>
      <w:r>
        <w:rPr>
          <w:szCs w:val="20"/>
        </w:rPr>
        <w:t xml:space="preserve"> included shareable data </w:t>
      </w:r>
      <w:r>
        <w:rPr>
          <w:i/>
          <w:szCs w:val="20"/>
        </w:rPr>
        <w:t xml:space="preserve">you </w:t>
      </w:r>
      <w:r>
        <w:rPr>
          <w:szCs w:val="20"/>
        </w:rPr>
        <w:t>will automatically be charged $10 for each additional 1GB of data ("</w:t>
      </w:r>
      <w:r>
        <w:rPr>
          <w:b/>
          <w:szCs w:val="20"/>
        </w:rPr>
        <w:t>Additional Data</w:t>
      </w:r>
      <w:r>
        <w:rPr>
          <w:szCs w:val="20"/>
        </w:rPr>
        <w:t xml:space="preserve">") that </w:t>
      </w:r>
      <w:r>
        <w:rPr>
          <w:i/>
          <w:szCs w:val="20"/>
        </w:rPr>
        <w:t>you</w:t>
      </w:r>
      <w:r>
        <w:rPr>
          <w:szCs w:val="20"/>
        </w:rPr>
        <w:t xml:space="preserve"> use (or part thereof) up to 150GB of extra data per account each month. </w:t>
      </w:r>
      <w:r>
        <w:rPr>
          <w:i/>
          <w:szCs w:val="20"/>
        </w:rPr>
        <w:t>Your</w:t>
      </w:r>
      <w:r>
        <w:rPr>
          <w:szCs w:val="20"/>
        </w:rPr>
        <w:t xml:space="preserve"> </w:t>
      </w:r>
      <w:r>
        <w:rPr>
          <w:i/>
          <w:szCs w:val="20"/>
        </w:rPr>
        <w:t>service/s</w:t>
      </w:r>
      <w:r>
        <w:rPr>
          <w:szCs w:val="20"/>
        </w:rPr>
        <w:t xml:space="preserve"> may then be restricted or </w:t>
      </w:r>
      <w:r>
        <w:rPr>
          <w:i/>
          <w:szCs w:val="20"/>
        </w:rPr>
        <w:t>we</w:t>
      </w:r>
      <w:r>
        <w:rPr>
          <w:szCs w:val="20"/>
        </w:rPr>
        <w:t xml:space="preserve"> may continue to charge </w:t>
      </w:r>
      <w:r>
        <w:rPr>
          <w:i/>
          <w:szCs w:val="20"/>
        </w:rPr>
        <w:t>you</w:t>
      </w:r>
      <w:r>
        <w:rPr>
          <w:szCs w:val="20"/>
        </w:rPr>
        <w:t xml:space="preserve"> at these rates.</w:t>
      </w:r>
    </w:p>
    <w:p w14:paraId="347607DF" w14:textId="77777777" w:rsidR="005A69A0" w:rsidRDefault="005A69A0" w:rsidP="005A69A0">
      <w:pPr>
        <w:pStyle w:val="Heading7"/>
        <w:rPr>
          <w:szCs w:val="20"/>
        </w:rPr>
      </w:pPr>
      <w:r>
        <w:rPr>
          <w:szCs w:val="20"/>
        </w:rPr>
        <w:t xml:space="preserve">Any unused portion of </w:t>
      </w:r>
      <w:r>
        <w:rPr>
          <w:i/>
          <w:szCs w:val="20"/>
        </w:rPr>
        <w:t>your</w:t>
      </w:r>
      <w:r>
        <w:rPr>
          <w:szCs w:val="20"/>
        </w:rPr>
        <w:t xml:space="preserve"> </w:t>
      </w:r>
      <w:r>
        <w:rPr>
          <w:i/>
          <w:szCs w:val="20"/>
        </w:rPr>
        <w:t>plan's</w:t>
      </w:r>
      <w:r>
        <w:rPr>
          <w:szCs w:val="20"/>
        </w:rPr>
        <w:t xml:space="preserve"> Included or Additional Data expires at the end of each month and does not roll over into the next month.</w:t>
      </w:r>
    </w:p>
    <w:p w14:paraId="2F18D0C0" w14:textId="77777777" w:rsidR="005A69A0" w:rsidRDefault="005A69A0" w:rsidP="005A69A0">
      <w:pPr>
        <w:pStyle w:val="Heading7"/>
        <w:rPr>
          <w:szCs w:val="20"/>
        </w:rPr>
      </w:pPr>
      <w:r>
        <w:rPr>
          <w:i/>
          <w:szCs w:val="20"/>
        </w:rPr>
        <w:t>You</w:t>
      </w:r>
      <w:r>
        <w:rPr>
          <w:szCs w:val="20"/>
        </w:rPr>
        <w:t xml:space="preserve"> must pay </w:t>
      </w:r>
      <w:r>
        <w:rPr>
          <w:i/>
          <w:szCs w:val="20"/>
        </w:rPr>
        <w:t>us</w:t>
      </w:r>
      <w:r>
        <w:rPr>
          <w:szCs w:val="20"/>
        </w:rPr>
        <w:t xml:space="preserve"> for use of any services that are not included in </w:t>
      </w:r>
      <w:r>
        <w:rPr>
          <w:i/>
          <w:szCs w:val="20"/>
        </w:rPr>
        <w:t>your</w:t>
      </w:r>
      <w:r>
        <w:rPr>
          <w:szCs w:val="20"/>
        </w:rPr>
        <w:t xml:space="preserve"> plan's inclusions, examples of which are set out in Table 2 below.</w:t>
      </w:r>
    </w:p>
    <w:p w14:paraId="660D2E50" w14:textId="77777777" w:rsidR="005A69A0" w:rsidRDefault="005A69A0" w:rsidP="005A69A0">
      <w:pPr>
        <w:pStyle w:val="Heading6"/>
        <w:ind w:left="709" w:firstLine="0"/>
        <w:rPr>
          <w:snapToGrid w:val="0"/>
        </w:rPr>
      </w:pPr>
      <w:bookmarkStart w:id="2286" w:name="_Toc506192961"/>
      <w:bookmarkStart w:id="2287" w:name="_Toc507422370"/>
      <w:bookmarkStart w:id="2288" w:name="_Toc510692753"/>
      <w:bookmarkStart w:id="2289" w:name="_Toc479322673"/>
      <w:r>
        <w:rPr>
          <w:snapToGrid w:val="0"/>
        </w:rPr>
        <w:t>Plan Changes</w:t>
      </w:r>
      <w:bookmarkEnd w:id="2286"/>
      <w:bookmarkEnd w:id="2287"/>
      <w:bookmarkEnd w:id="2288"/>
    </w:p>
    <w:p w14:paraId="22B6A7BA" w14:textId="77777777" w:rsidR="005A69A0" w:rsidRDefault="005A69A0" w:rsidP="005A69A0">
      <w:pPr>
        <w:spacing w:after="200"/>
        <w:ind w:left="709"/>
        <w:rPr>
          <w:bCs/>
          <w:snapToGrid w:val="0"/>
          <w:sz w:val="20"/>
          <w:szCs w:val="20"/>
        </w:rPr>
      </w:pPr>
      <w:r>
        <w:rPr>
          <w:i/>
          <w:sz w:val="20"/>
          <w:szCs w:val="20"/>
        </w:rPr>
        <w:t>You</w:t>
      </w:r>
      <w:r>
        <w:rPr>
          <w:sz w:val="20"/>
          <w:szCs w:val="20"/>
        </w:rPr>
        <w:t xml:space="preserve"> can change </w:t>
      </w:r>
      <w:r>
        <w:rPr>
          <w:i/>
          <w:sz w:val="20"/>
          <w:szCs w:val="20"/>
        </w:rPr>
        <w:t>your</w:t>
      </w:r>
      <w:r>
        <w:rPr>
          <w:sz w:val="20"/>
          <w:szCs w:val="20"/>
        </w:rPr>
        <w:t xml:space="preserve"> plan during the </w:t>
      </w:r>
      <w:r>
        <w:rPr>
          <w:i/>
          <w:sz w:val="20"/>
          <w:szCs w:val="20"/>
        </w:rPr>
        <w:t>minimum term</w:t>
      </w:r>
      <w:r>
        <w:rPr>
          <w:sz w:val="20"/>
          <w:szCs w:val="20"/>
        </w:rPr>
        <w:t xml:space="preserve"> provided </w:t>
      </w:r>
      <w:r>
        <w:rPr>
          <w:i/>
          <w:sz w:val="20"/>
          <w:szCs w:val="20"/>
        </w:rPr>
        <w:t>you</w:t>
      </w:r>
      <w:r>
        <w:rPr>
          <w:sz w:val="20"/>
          <w:szCs w:val="20"/>
        </w:rPr>
        <w:t xml:space="preserve"> move to a plan with a higher monthly </w:t>
      </w:r>
      <w:r>
        <w:rPr>
          <w:i/>
          <w:sz w:val="20"/>
          <w:szCs w:val="20"/>
        </w:rPr>
        <w:t>access fee</w:t>
      </w:r>
      <w:r>
        <w:rPr>
          <w:sz w:val="20"/>
          <w:szCs w:val="20"/>
        </w:rPr>
        <w:t xml:space="preserve">. </w:t>
      </w:r>
      <w:r>
        <w:rPr>
          <w:i/>
          <w:sz w:val="20"/>
          <w:szCs w:val="20"/>
        </w:rPr>
        <w:t>You</w:t>
      </w:r>
      <w:r>
        <w:rPr>
          <w:sz w:val="20"/>
          <w:szCs w:val="20"/>
        </w:rPr>
        <w:t xml:space="preserve"> cannot change </w:t>
      </w:r>
      <w:r>
        <w:rPr>
          <w:i/>
          <w:sz w:val="20"/>
          <w:szCs w:val="20"/>
        </w:rPr>
        <w:t>your</w:t>
      </w:r>
      <w:r>
        <w:rPr>
          <w:sz w:val="20"/>
          <w:szCs w:val="20"/>
        </w:rPr>
        <w:t xml:space="preserve"> plan during the </w:t>
      </w:r>
      <w:r>
        <w:rPr>
          <w:i/>
          <w:sz w:val="20"/>
          <w:szCs w:val="20"/>
        </w:rPr>
        <w:t>minimum term</w:t>
      </w:r>
      <w:r>
        <w:rPr>
          <w:sz w:val="20"/>
          <w:szCs w:val="20"/>
        </w:rPr>
        <w:t xml:space="preserve"> to a plan with the same or lower monthly </w:t>
      </w:r>
      <w:r>
        <w:rPr>
          <w:i/>
          <w:sz w:val="20"/>
          <w:szCs w:val="20"/>
        </w:rPr>
        <w:t>access fee</w:t>
      </w:r>
      <w:r>
        <w:rPr>
          <w:sz w:val="20"/>
          <w:szCs w:val="20"/>
        </w:rPr>
        <w:t xml:space="preserve">. If </w:t>
      </w:r>
      <w:r>
        <w:rPr>
          <w:i/>
          <w:sz w:val="20"/>
          <w:szCs w:val="20"/>
        </w:rPr>
        <w:t>you</w:t>
      </w:r>
      <w:r>
        <w:rPr>
          <w:sz w:val="20"/>
          <w:szCs w:val="20"/>
        </w:rPr>
        <w:t xml:space="preserve"> change </w:t>
      </w:r>
      <w:r>
        <w:rPr>
          <w:i/>
          <w:sz w:val="20"/>
          <w:szCs w:val="20"/>
        </w:rPr>
        <w:t>your</w:t>
      </w:r>
      <w:r>
        <w:rPr>
          <w:sz w:val="20"/>
          <w:szCs w:val="20"/>
        </w:rPr>
        <w:t xml:space="preserve"> plan during the </w:t>
      </w:r>
      <w:r>
        <w:rPr>
          <w:i/>
          <w:sz w:val="20"/>
          <w:szCs w:val="20"/>
        </w:rPr>
        <w:t>minimum term</w:t>
      </w:r>
      <w:r>
        <w:rPr>
          <w:sz w:val="20"/>
          <w:szCs w:val="20"/>
        </w:rPr>
        <w:t xml:space="preserve"> a fee may apply and if </w:t>
      </w:r>
      <w:r>
        <w:rPr>
          <w:i/>
          <w:sz w:val="20"/>
          <w:szCs w:val="20"/>
        </w:rPr>
        <w:t xml:space="preserve">you </w:t>
      </w:r>
      <w:r>
        <w:rPr>
          <w:sz w:val="20"/>
          <w:szCs w:val="20"/>
        </w:rPr>
        <w:t>are paying off a phone over time, any handset repayments will remain the same</w:t>
      </w:r>
    </w:p>
    <w:p w14:paraId="544D5D4A" w14:textId="77777777" w:rsidR="005A69A0" w:rsidRDefault="005A69A0" w:rsidP="005A69A0">
      <w:pPr>
        <w:pStyle w:val="Heading6"/>
        <w:rPr>
          <w:bCs w:val="0"/>
          <w:snapToGrid w:val="0"/>
          <w:szCs w:val="20"/>
        </w:rPr>
      </w:pPr>
      <w:bookmarkStart w:id="2290" w:name="_Toc506192962"/>
      <w:bookmarkStart w:id="2291" w:name="_Toc507422371"/>
      <w:bookmarkStart w:id="2292" w:name="_Toc510692754"/>
      <w:r>
        <w:rPr>
          <w:bCs w:val="0"/>
          <w:snapToGrid w:val="0"/>
        </w:rPr>
        <w:t>Data S</w:t>
      </w:r>
      <w:r>
        <w:rPr>
          <w:bCs w:val="0"/>
          <w:snapToGrid w:val="0"/>
          <w:szCs w:val="20"/>
        </w:rPr>
        <w:t>haring</w:t>
      </w:r>
      <w:bookmarkEnd w:id="2289"/>
      <w:bookmarkEnd w:id="2290"/>
      <w:bookmarkEnd w:id="2291"/>
      <w:bookmarkEnd w:id="2292"/>
    </w:p>
    <w:p w14:paraId="3700CE1A" w14:textId="77777777" w:rsidR="005A69A0" w:rsidRDefault="005A69A0" w:rsidP="005A69A0">
      <w:pPr>
        <w:pStyle w:val="Heading7"/>
        <w:rPr>
          <w:szCs w:val="20"/>
        </w:rPr>
      </w:pPr>
      <w:r>
        <w:rPr>
          <w:szCs w:val="20"/>
        </w:rPr>
        <w:t xml:space="preserve">If </w:t>
      </w:r>
      <w:r>
        <w:rPr>
          <w:i/>
          <w:szCs w:val="20"/>
        </w:rPr>
        <w:t>you</w:t>
      </w:r>
      <w:r>
        <w:rPr>
          <w:szCs w:val="20"/>
        </w:rPr>
        <w:t xml:space="preserve"> have more than one My Plan Plus, My Plan Plus SIM Only, My Plan Plus 12M SIM Only, Business Plus (including Tech Fund), My Plan Business (including Tech Fund), My Plan Business SIM, My Plan Business 12M SIM, My Mobile Broadband Plus or Mobile Broadband Business on the same billing account, the included data will combine into one data pool, which will be shared by all eligible services on that account.</w:t>
      </w:r>
    </w:p>
    <w:p w14:paraId="34EF9CB4" w14:textId="77777777" w:rsidR="005A69A0" w:rsidRDefault="005A69A0" w:rsidP="005A69A0">
      <w:pPr>
        <w:pStyle w:val="Heading7"/>
        <w:rPr>
          <w:snapToGrid w:val="0"/>
          <w:szCs w:val="20"/>
        </w:rPr>
      </w:pPr>
      <w:r>
        <w:rPr>
          <w:snapToGrid w:val="0"/>
          <w:szCs w:val="20"/>
        </w:rPr>
        <w:t xml:space="preserve">If </w:t>
      </w:r>
      <w:r>
        <w:rPr>
          <w:i/>
          <w:snapToGrid w:val="0"/>
          <w:szCs w:val="20"/>
        </w:rPr>
        <w:t>you</w:t>
      </w:r>
      <w:r>
        <w:rPr>
          <w:snapToGrid w:val="0"/>
          <w:szCs w:val="20"/>
        </w:rPr>
        <w:t xml:space="preserve"> do not want </w:t>
      </w:r>
      <w:r>
        <w:rPr>
          <w:i/>
          <w:snapToGrid w:val="0"/>
          <w:szCs w:val="20"/>
        </w:rPr>
        <w:t>your</w:t>
      </w:r>
      <w:r>
        <w:rPr>
          <w:snapToGrid w:val="0"/>
          <w:szCs w:val="20"/>
        </w:rPr>
        <w:t xml:space="preserve"> services to share data, they need to be on separate billing accounts.</w:t>
      </w:r>
    </w:p>
    <w:p w14:paraId="675B7663" w14:textId="77777777" w:rsidR="005A69A0" w:rsidRDefault="005A69A0" w:rsidP="005A69A0">
      <w:pPr>
        <w:pStyle w:val="Heading7"/>
        <w:rPr>
          <w:snapToGrid w:val="0"/>
          <w:szCs w:val="20"/>
        </w:rPr>
      </w:pPr>
      <w:r>
        <w:rPr>
          <w:snapToGrid w:val="0"/>
          <w:szCs w:val="20"/>
        </w:rPr>
        <w:t>Data sharing is only available within Australia.</w:t>
      </w:r>
    </w:p>
    <w:p w14:paraId="3AD99B5E" w14:textId="77777777" w:rsidR="005A69A0" w:rsidRDefault="005A69A0" w:rsidP="005A69A0">
      <w:pPr>
        <w:pStyle w:val="Heading6"/>
        <w:rPr>
          <w:bCs w:val="0"/>
          <w:snapToGrid w:val="0"/>
        </w:rPr>
      </w:pPr>
      <w:bookmarkStart w:id="2293" w:name="_Toc479322674"/>
      <w:bookmarkStart w:id="2294" w:name="_Toc506192963"/>
      <w:bookmarkStart w:id="2295" w:name="_Toc507422372"/>
      <w:bookmarkStart w:id="2296" w:name="_Toc510692755"/>
      <w:r>
        <w:rPr>
          <w:bCs w:val="0"/>
          <w:snapToGrid w:val="0"/>
        </w:rPr>
        <w:t>International Minutes</w:t>
      </w:r>
      <w:bookmarkEnd w:id="2293"/>
      <w:bookmarkEnd w:id="2294"/>
      <w:bookmarkEnd w:id="2295"/>
      <w:bookmarkEnd w:id="2296"/>
    </w:p>
    <w:p w14:paraId="492A3219" w14:textId="77777777" w:rsidR="005A69A0" w:rsidRDefault="005A69A0" w:rsidP="005A69A0">
      <w:pPr>
        <w:spacing w:after="200"/>
        <w:ind w:left="709"/>
        <w:rPr>
          <w:sz w:val="20"/>
        </w:rPr>
      </w:pPr>
      <w:r>
        <w:rPr>
          <w:sz w:val="20"/>
        </w:rPr>
        <w:t>The $40 My Plan Plus 24M SIM Only plan includes up to 300 international minutes for standard calls to mobiles and fixed lines to selected countries from within Australia. For a list of selected countries see Table 3 below.</w:t>
      </w:r>
    </w:p>
    <w:p w14:paraId="72D0D7D3" w14:textId="77777777" w:rsidR="005A69A0" w:rsidRDefault="005A69A0" w:rsidP="005A69A0">
      <w:pPr>
        <w:spacing w:after="200"/>
        <w:ind w:left="709"/>
        <w:rPr>
          <w:sz w:val="20"/>
        </w:rPr>
      </w:pPr>
      <w:r>
        <w:rPr>
          <w:sz w:val="20"/>
        </w:rPr>
        <w:t>Calls are charged per minute. When included international minutes for calls to selected countries are used up, standard 'yes' international call charges apply.</w:t>
      </w:r>
    </w:p>
    <w:p w14:paraId="50F4A553" w14:textId="77777777" w:rsidR="005A69A0" w:rsidRDefault="005A69A0" w:rsidP="005A69A0">
      <w:pPr>
        <w:pStyle w:val="Heading6"/>
        <w:rPr>
          <w:bCs w:val="0"/>
          <w:snapToGrid w:val="0"/>
        </w:rPr>
      </w:pPr>
      <w:bookmarkStart w:id="2297" w:name="_Toc479322675"/>
      <w:bookmarkStart w:id="2298" w:name="_Toc506192964"/>
      <w:bookmarkStart w:id="2299" w:name="_Toc507422373"/>
      <w:bookmarkStart w:id="2300" w:name="_Toc510692756"/>
      <w:r>
        <w:rPr>
          <w:bCs w:val="0"/>
          <w:snapToGrid w:val="0"/>
        </w:rPr>
        <w:t>Unlimited standard national SMS and MMS</w:t>
      </w:r>
      <w:bookmarkEnd w:id="2297"/>
      <w:bookmarkEnd w:id="2298"/>
      <w:bookmarkEnd w:id="2299"/>
      <w:bookmarkEnd w:id="2300"/>
    </w:p>
    <w:p w14:paraId="54773BBD" w14:textId="77777777" w:rsidR="005A69A0" w:rsidRDefault="005A69A0" w:rsidP="005A69A0">
      <w:pPr>
        <w:spacing w:after="200"/>
        <w:ind w:left="709"/>
        <w:rPr>
          <w:sz w:val="20"/>
          <w:szCs w:val="20"/>
        </w:rPr>
      </w:pPr>
      <w:r>
        <w:rPr>
          <w:i/>
          <w:sz w:val="20"/>
          <w:szCs w:val="20"/>
        </w:rPr>
        <w:t>You</w:t>
      </w:r>
      <w:r>
        <w:rPr>
          <w:sz w:val="20"/>
          <w:szCs w:val="20"/>
        </w:rPr>
        <w:t xml:space="preserve"> may send unlimited standard SMS and MMS to Australian mobiles from within Australia.</w:t>
      </w:r>
    </w:p>
    <w:p w14:paraId="7D3BB2A6" w14:textId="77777777" w:rsidR="005A69A0" w:rsidRDefault="005A69A0" w:rsidP="005A69A0">
      <w:pPr>
        <w:spacing w:after="200"/>
        <w:ind w:left="709"/>
        <w:rPr>
          <w:i/>
          <w:color w:val="13607C"/>
          <w:sz w:val="20"/>
          <w:szCs w:val="20"/>
          <w:u w:val="single"/>
        </w:rPr>
      </w:pPr>
      <w:r>
        <w:rPr>
          <w:sz w:val="20"/>
          <w:szCs w:val="20"/>
        </w:rPr>
        <w:t xml:space="preserve">Unlimited standard national SMS and MMS are only available for personal use and are not to be used for a commercial or non-ordinary purpose as set out in the </w:t>
      </w:r>
      <w:hyperlink r:id="rId869" w:history="1">
        <w:r>
          <w:rPr>
            <w:rStyle w:val="Hyperlink"/>
            <w:i/>
            <w:szCs w:val="20"/>
          </w:rPr>
          <w:t>Fair Go Policy</w:t>
        </w:r>
      </w:hyperlink>
      <w:r>
        <w:rPr>
          <w:sz w:val="20"/>
          <w:szCs w:val="20"/>
        </w:rPr>
        <w:t xml:space="preserve">. For further details refer to </w:t>
      </w:r>
      <w:hyperlink r:id="rId870" w:history="1">
        <w:r>
          <w:rPr>
            <w:rStyle w:val="Hyperlink"/>
            <w:i/>
            <w:szCs w:val="20"/>
          </w:rPr>
          <w:t>Appendix S.</w:t>
        </w:r>
      </w:hyperlink>
    </w:p>
    <w:p w14:paraId="76418735" w14:textId="77777777" w:rsidR="005A69A0" w:rsidRDefault="005A69A0" w:rsidP="005A69A0">
      <w:pPr>
        <w:pStyle w:val="Heading6"/>
        <w:rPr>
          <w:bCs w:val="0"/>
          <w:snapToGrid w:val="0"/>
        </w:rPr>
      </w:pPr>
      <w:bookmarkStart w:id="2301" w:name="_Toc479322676"/>
      <w:bookmarkStart w:id="2302" w:name="_Toc506192965"/>
      <w:bookmarkStart w:id="2303" w:name="_Toc507422374"/>
      <w:bookmarkStart w:id="2304" w:name="_Toc510692757"/>
      <w:r>
        <w:rPr>
          <w:bCs w:val="0"/>
          <w:snapToGrid w:val="0"/>
        </w:rPr>
        <w:t>Unlimited standard international SMS and MMS</w:t>
      </w:r>
      <w:bookmarkEnd w:id="2301"/>
      <w:bookmarkEnd w:id="2302"/>
      <w:bookmarkEnd w:id="2303"/>
      <w:bookmarkEnd w:id="2304"/>
    </w:p>
    <w:p w14:paraId="4AECF4AA" w14:textId="77777777" w:rsidR="005A69A0" w:rsidRDefault="005A69A0" w:rsidP="005A69A0">
      <w:pPr>
        <w:spacing w:after="200"/>
        <w:ind w:left="709"/>
        <w:rPr>
          <w:sz w:val="20"/>
          <w:szCs w:val="20"/>
        </w:rPr>
      </w:pPr>
      <w:r>
        <w:rPr>
          <w:sz w:val="20"/>
        </w:rPr>
        <w:lastRenderedPageBreak/>
        <w:t xml:space="preserve">You may send unlimited standard SMS and MMS to selected countries from within Australia. For a list of </w:t>
      </w:r>
      <w:r>
        <w:rPr>
          <w:sz w:val="20"/>
          <w:szCs w:val="20"/>
        </w:rPr>
        <w:t>selected countries see Table 3 below.</w:t>
      </w:r>
    </w:p>
    <w:p w14:paraId="7F72F3B2" w14:textId="77777777" w:rsidR="005A69A0" w:rsidRDefault="005A69A0" w:rsidP="005A69A0">
      <w:pPr>
        <w:spacing w:after="200"/>
        <w:ind w:left="709"/>
        <w:rPr>
          <w:i/>
          <w:color w:val="13607C"/>
          <w:sz w:val="20"/>
          <w:szCs w:val="20"/>
          <w:u w:val="single"/>
        </w:rPr>
      </w:pPr>
      <w:r>
        <w:rPr>
          <w:sz w:val="20"/>
          <w:szCs w:val="20"/>
        </w:rPr>
        <w:t xml:space="preserve">Unlimited standard SMS and MMS are only available for personal use and are not to be used for a commercial or non-ordinary purpose as set out in the </w:t>
      </w:r>
      <w:hyperlink r:id="rId871" w:history="1">
        <w:r>
          <w:rPr>
            <w:rStyle w:val="Hyperlink"/>
            <w:szCs w:val="20"/>
          </w:rPr>
          <w:t>Fair Go Policy</w:t>
        </w:r>
      </w:hyperlink>
      <w:r>
        <w:rPr>
          <w:sz w:val="20"/>
          <w:szCs w:val="20"/>
        </w:rPr>
        <w:t xml:space="preserve">. For further details refer to </w:t>
      </w:r>
      <w:hyperlink r:id="rId872" w:history="1">
        <w:r>
          <w:rPr>
            <w:rStyle w:val="Hyperlink"/>
            <w:i/>
            <w:szCs w:val="20"/>
          </w:rPr>
          <w:t>Appendix S.</w:t>
        </w:r>
      </w:hyperlink>
    </w:p>
    <w:p w14:paraId="77FC00FA" w14:textId="77777777" w:rsidR="005A69A0" w:rsidRDefault="005A69A0" w:rsidP="005A69A0">
      <w:pPr>
        <w:spacing w:after="200"/>
        <w:rPr>
          <w:b/>
          <w:sz w:val="20"/>
        </w:rPr>
      </w:pPr>
      <w:r>
        <w:rPr>
          <w:b/>
          <w:sz w:val="20"/>
        </w:rPr>
        <w:t>Table 1 –Plan Inclusions and Charges</w:t>
      </w:r>
    </w:p>
    <w:tbl>
      <w:tblPr>
        <w:tblW w:w="47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9"/>
        <w:gridCol w:w="4438"/>
      </w:tblGrid>
      <w:tr w:rsidR="005A69A0" w14:paraId="0A52F613" w14:textId="77777777" w:rsidTr="005A69A0">
        <w:trPr>
          <w:trHeight w:val="54"/>
        </w:trPr>
        <w:tc>
          <w:tcPr>
            <w:tcW w:w="2714" w:type="pct"/>
            <w:tcBorders>
              <w:top w:val="single" w:sz="4" w:space="0" w:color="auto"/>
              <w:left w:val="single" w:sz="4" w:space="0" w:color="auto"/>
              <w:bottom w:val="single" w:sz="4" w:space="0" w:color="auto"/>
              <w:right w:val="single" w:sz="4" w:space="0" w:color="auto"/>
            </w:tcBorders>
          </w:tcPr>
          <w:p w14:paraId="19BE66D7" w14:textId="77777777" w:rsidR="005A69A0" w:rsidRDefault="005A69A0" w:rsidP="005A69A0">
            <w:pPr>
              <w:spacing w:before="100" w:after="100"/>
              <w:rPr>
                <w:sz w:val="20"/>
              </w:rPr>
            </w:pPr>
          </w:p>
        </w:tc>
        <w:tc>
          <w:tcPr>
            <w:tcW w:w="2286" w:type="pct"/>
            <w:tcBorders>
              <w:top w:val="single" w:sz="4" w:space="0" w:color="auto"/>
              <w:left w:val="single" w:sz="4" w:space="0" w:color="auto"/>
              <w:bottom w:val="single" w:sz="4" w:space="0" w:color="auto"/>
              <w:right w:val="single" w:sz="4" w:space="0" w:color="auto"/>
            </w:tcBorders>
            <w:hideMark/>
          </w:tcPr>
          <w:p w14:paraId="387C0EDD" w14:textId="77777777" w:rsidR="005A69A0" w:rsidRDefault="005A69A0" w:rsidP="005A69A0">
            <w:pPr>
              <w:spacing w:before="100" w:after="100"/>
              <w:jc w:val="center"/>
              <w:rPr>
                <w:rFonts w:eastAsia="Calibri"/>
                <w:b/>
                <w:sz w:val="20"/>
              </w:rPr>
            </w:pPr>
            <w:r>
              <w:rPr>
                <w:rFonts w:eastAsia="Calibri"/>
                <w:b/>
                <w:sz w:val="20"/>
              </w:rPr>
              <w:t>$40 My Plan Plus 24M SIM Only</w:t>
            </w:r>
          </w:p>
        </w:tc>
      </w:tr>
      <w:tr w:rsidR="005A69A0" w14:paraId="6E84F122" w14:textId="77777777" w:rsidTr="005A69A0">
        <w:trPr>
          <w:trHeight w:val="54"/>
        </w:trPr>
        <w:tc>
          <w:tcPr>
            <w:tcW w:w="2714" w:type="pct"/>
            <w:tcBorders>
              <w:top w:val="single" w:sz="4" w:space="0" w:color="auto"/>
              <w:left w:val="single" w:sz="4" w:space="0" w:color="auto"/>
              <w:bottom w:val="single" w:sz="4" w:space="0" w:color="auto"/>
              <w:right w:val="single" w:sz="4" w:space="0" w:color="auto"/>
            </w:tcBorders>
            <w:hideMark/>
          </w:tcPr>
          <w:p w14:paraId="2BB6FCD0" w14:textId="77777777" w:rsidR="005A69A0" w:rsidRDefault="005A69A0" w:rsidP="005A69A0">
            <w:pPr>
              <w:spacing w:before="100" w:after="100"/>
              <w:rPr>
                <w:sz w:val="20"/>
              </w:rPr>
            </w:pPr>
            <w:r>
              <w:rPr>
                <w:b/>
                <w:bCs/>
                <w:sz w:val="20"/>
                <w:lang w:eastAsia="en-AU"/>
              </w:rPr>
              <w:t>Minimum Monthly charge</w:t>
            </w:r>
          </w:p>
        </w:tc>
        <w:tc>
          <w:tcPr>
            <w:tcW w:w="2286" w:type="pct"/>
            <w:tcBorders>
              <w:top w:val="single" w:sz="4" w:space="0" w:color="auto"/>
              <w:left w:val="single" w:sz="4" w:space="0" w:color="auto"/>
              <w:bottom w:val="single" w:sz="4" w:space="0" w:color="auto"/>
              <w:right w:val="single" w:sz="4" w:space="0" w:color="auto"/>
            </w:tcBorders>
            <w:vAlign w:val="center"/>
            <w:hideMark/>
          </w:tcPr>
          <w:p w14:paraId="260D7D19" w14:textId="77777777" w:rsidR="005A69A0" w:rsidRDefault="005A69A0" w:rsidP="005A69A0">
            <w:pPr>
              <w:spacing w:before="100" w:after="100"/>
              <w:jc w:val="center"/>
              <w:rPr>
                <w:rFonts w:eastAsia="Calibri"/>
                <w:sz w:val="20"/>
              </w:rPr>
            </w:pPr>
            <w:r>
              <w:rPr>
                <w:rFonts w:eastAsia="Calibri"/>
                <w:sz w:val="20"/>
              </w:rPr>
              <w:t>$40</w:t>
            </w:r>
          </w:p>
        </w:tc>
      </w:tr>
      <w:tr w:rsidR="005A69A0" w14:paraId="2B0A379C" w14:textId="77777777" w:rsidTr="005A69A0">
        <w:trPr>
          <w:trHeight w:val="432"/>
        </w:trPr>
        <w:tc>
          <w:tcPr>
            <w:tcW w:w="2714" w:type="pct"/>
            <w:tcBorders>
              <w:top w:val="single" w:sz="4" w:space="0" w:color="auto"/>
              <w:left w:val="single" w:sz="4" w:space="0" w:color="auto"/>
              <w:bottom w:val="single" w:sz="4" w:space="0" w:color="auto"/>
              <w:right w:val="single" w:sz="4" w:space="0" w:color="auto"/>
            </w:tcBorders>
            <w:hideMark/>
          </w:tcPr>
          <w:p w14:paraId="7D23A95F" w14:textId="77777777" w:rsidR="005A69A0" w:rsidRDefault="005A69A0" w:rsidP="005A69A0">
            <w:pPr>
              <w:spacing w:before="100" w:after="100"/>
              <w:rPr>
                <w:sz w:val="20"/>
              </w:rPr>
            </w:pPr>
            <w:r>
              <w:rPr>
                <w:b/>
                <w:bCs/>
                <w:sz w:val="20"/>
                <w:lang w:eastAsia="en-AU"/>
              </w:rPr>
              <w:t>Included Data</w:t>
            </w:r>
          </w:p>
        </w:tc>
        <w:tc>
          <w:tcPr>
            <w:tcW w:w="2286" w:type="pct"/>
            <w:tcBorders>
              <w:top w:val="single" w:sz="4" w:space="0" w:color="auto"/>
              <w:left w:val="single" w:sz="4" w:space="0" w:color="auto"/>
              <w:bottom w:val="single" w:sz="4" w:space="0" w:color="auto"/>
              <w:right w:val="single" w:sz="4" w:space="0" w:color="auto"/>
            </w:tcBorders>
            <w:hideMark/>
          </w:tcPr>
          <w:p w14:paraId="5C25A3D0" w14:textId="77777777" w:rsidR="005A69A0" w:rsidRDefault="005A69A0" w:rsidP="005A69A0">
            <w:pPr>
              <w:spacing w:before="100" w:after="100"/>
              <w:jc w:val="center"/>
              <w:rPr>
                <w:rFonts w:eastAsia="Calibri"/>
                <w:sz w:val="20"/>
              </w:rPr>
            </w:pPr>
            <w:r>
              <w:rPr>
                <w:rFonts w:eastAsia="Calibri"/>
                <w:sz w:val="20"/>
              </w:rPr>
              <w:t>20GB</w:t>
            </w:r>
          </w:p>
        </w:tc>
      </w:tr>
      <w:tr w:rsidR="005A69A0" w14:paraId="7661D4A2" w14:textId="77777777" w:rsidTr="005A69A0">
        <w:trPr>
          <w:trHeight w:val="432"/>
        </w:trPr>
        <w:tc>
          <w:tcPr>
            <w:tcW w:w="2714" w:type="pct"/>
            <w:tcBorders>
              <w:top w:val="single" w:sz="4" w:space="0" w:color="auto"/>
              <w:left w:val="single" w:sz="4" w:space="0" w:color="auto"/>
              <w:bottom w:val="single" w:sz="4" w:space="0" w:color="auto"/>
              <w:right w:val="single" w:sz="4" w:space="0" w:color="auto"/>
            </w:tcBorders>
            <w:hideMark/>
          </w:tcPr>
          <w:p w14:paraId="4204155E" w14:textId="77777777" w:rsidR="005A69A0" w:rsidRDefault="005A69A0" w:rsidP="005A69A0">
            <w:pPr>
              <w:spacing w:before="100" w:after="100"/>
              <w:rPr>
                <w:b/>
                <w:sz w:val="20"/>
              </w:rPr>
            </w:pPr>
            <w:r>
              <w:rPr>
                <w:b/>
                <w:sz w:val="20"/>
              </w:rPr>
              <w:t>Additional Data</w:t>
            </w:r>
          </w:p>
        </w:tc>
        <w:tc>
          <w:tcPr>
            <w:tcW w:w="2286" w:type="pct"/>
            <w:tcBorders>
              <w:top w:val="single" w:sz="4" w:space="0" w:color="auto"/>
              <w:left w:val="single" w:sz="4" w:space="0" w:color="auto"/>
              <w:bottom w:val="single" w:sz="4" w:space="0" w:color="auto"/>
              <w:right w:val="single" w:sz="4" w:space="0" w:color="auto"/>
            </w:tcBorders>
            <w:vAlign w:val="center"/>
            <w:hideMark/>
          </w:tcPr>
          <w:p w14:paraId="31B48BBE" w14:textId="77777777" w:rsidR="005A69A0" w:rsidRDefault="005A69A0" w:rsidP="005A69A0">
            <w:pPr>
              <w:spacing w:before="100" w:after="100"/>
              <w:jc w:val="center"/>
              <w:rPr>
                <w:bCs/>
                <w:sz w:val="20"/>
                <w:lang w:eastAsia="en-AU"/>
              </w:rPr>
            </w:pPr>
            <w:r>
              <w:rPr>
                <w:bCs/>
                <w:sz w:val="20"/>
                <w:lang w:eastAsia="en-AU"/>
              </w:rPr>
              <w:t>Additional data $10 per 1GB</w:t>
            </w:r>
          </w:p>
        </w:tc>
      </w:tr>
      <w:tr w:rsidR="005A69A0" w14:paraId="613C744A" w14:textId="77777777" w:rsidTr="005A69A0">
        <w:trPr>
          <w:trHeight w:val="54"/>
        </w:trPr>
        <w:tc>
          <w:tcPr>
            <w:tcW w:w="2714" w:type="pct"/>
            <w:tcBorders>
              <w:top w:val="single" w:sz="4" w:space="0" w:color="auto"/>
              <w:left w:val="single" w:sz="4" w:space="0" w:color="auto"/>
              <w:bottom w:val="single" w:sz="4" w:space="0" w:color="auto"/>
              <w:right w:val="single" w:sz="4" w:space="0" w:color="auto"/>
            </w:tcBorders>
            <w:hideMark/>
          </w:tcPr>
          <w:p w14:paraId="2227382D" w14:textId="77777777" w:rsidR="005A69A0" w:rsidRDefault="005A69A0" w:rsidP="005A69A0">
            <w:pPr>
              <w:spacing w:before="100" w:after="100"/>
              <w:rPr>
                <w:b/>
                <w:bCs/>
                <w:sz w:val="20"/>
                <w:lang w:eastAsia="en-AU"/>
              </w:rPr>
            </w:pPr>
            <w:r>
              <w:rPr>
                <w:b/>
                <w:bCs/>
                <w:sz w:val="20"/>
                <w:lang w:eastAsia="en-AU"/>
              </w:rPr>
              <w:t>Included Minutes</w:t>
            </w:r>
            <w:r>
              <w:rPr>
                <w:b/>
                <w:bCs/>
                <w:sz w:val="20"/>
                <w:lang w:eastAsia="en-AU"/>
              </w:rPr>
              <w:br/>
            </w:r>
            <w:r>
              <w:rPr>
                <w:bCs/>
                <w:sz w:val="20"/>
                <w:lang w:eastAsia="en-AU"/>
              </w:rPr>
              <w:t>for standard national calls to landlines and mobiles, 1300 numbers and voicemail, within Australia</w:t>
            </w:r>
          </w:p>
        </w:tc>
        <w:tc>
          <w:tcPr>
            <w:tcW w:w="2286" w:type="pct"/>
            <w:tcBorders>
              <w:top w:val="single" w:sz="4" w:space="0" w:color="auto"/>
              <w:left w:val="single" w:sz="4" w:space="0" w:color="auto"/>
              <w:bottom w:val="single" w:sz="4" w:space="0" w:color="auto"/>
              <w:right w:val="single" w:sz="4" w:space="0" w:color="auto"/>
            </w:tcBorders>
            <w:vAlign w:val="center"/>
            <w:hideMark/>
          </w:tcPr>
          <w:p w14:paraId="55A2CA6C" w14:textId="77777777" w:rsidR="005A69A0" w:rsidRDefault="005A69A0" w:rsidP="005A69A0">
            <w:pPr>
              <w:spacing w:before="100" w:after="100"/>
              <w:jc w:val="center"/>
              <w:rPr>
                <w:rFonts w:eastAsia="Calibri"/>
                <w:sz w:val="20"/>
              </w:rPr>
            </w:pPr>
            <w:r>
              <w:rPr>
                <w:rFonts w:eastAsia="Calibri"/>
                <w:sz w:val="20"/>
              </w:rPr>
              <w:t>Unlimited</w:t>
            </w:r>
          </w:p>
        </w:tc>
      </w:tr>
      <w:tr w:rsidR="005A69A0" w14:paraId="2A55B3EA" w14:textId="77777777" w:rsidTr="005A69A0">
        <w:trPr>
          <w:trHeight w:val="432"/>
        </w:trPr>
        <w:tc>
          <w:tcPr>
            <w:tcW w:w="2714" w:type="pct"/>
            <w:tcBorders>
              <w:top w:val="single" w:sz="4" w:space="0" w:color="auto"/>
              <w:left w:val="single" w:sz="4" w:space="0" w:color="auto"/>
              <w:bottom w:val="single" w:sz="4" w:space="0" w:color="auto"/>
              <w:right w:val="single" w:sz="4" w:space="0" w:color="auto"/>
            </w:tcBorders>
            <w:hideMark/>
          </w:tcPr>
          <w:p w14:paraId="674619AA" w14:textId="77777777" w:rsidR="005A69A0" w:rsidRDefault="005A69A0" w:rsidP="005A69A0">
            <w:pPr>
              <w:spacing w:before="100" w:after="100"/>
              <w:rPr>
                <w:b/>
                <w:bCs/>
                <w:sz w:val="20"/>
                <w:lang w:eastAsia="en-AU"/>
              </w:rPr>
            </w:pPr>
            <w:r>
              <w:rPr>
                <w:b/>
                <w:bCs/>
                <w:sz w:val="20"/>
                <w:lang w:eastAsia="en-AU"/>
              </w:rPr>
              <w:t>Included International Minutes</w:t>
            </w:r>
            <w:r>
              <w:rPr>
                <w:b/>
                <w:bCs/>
                <w:sz w:val="20"/>
                <w:lang w:eastAsia="en-AU"/>
              </w:rPr>
              <w:br/>
            </w:r>
            <w:r>
              <w:rPr>
                <w:sz w:val="20"/>
                <w:lang w:eastAsia="en-AU"/>
              </w:rPr>
              <w:t>Standard international calls to landlines and mobiles to selected countries</w:t>
            </w:r>
          </w:p>
        </w:tc>
        <w:tc>
          <w:tcPr>
            <w:tcW w:w="2286" w:type="pct"/>
            <w:tcBorders>
              <w:top w:val="single" w:sz="4" w:space="0" w:color="auto"/>
              <w:left w:val="single" w:sz="4" w:space="0" w:color="auto"/>
              <w:bottom w:val="single" w:sz="4" w:space="0" w:color="auto"/>
              <w:right w:val="single" w:sz="4" w:space="0" w:color="auto"/>
            </w:tcBorders>
            <w:vAlign w:val="center"/>
            <w:hideMark/>
          </w:tcPr>
          <w:p w14:paraId="07538659" w14:textId="77777777" w:rsidR="005A69A0" w:rsidRDefault="005A69A0" w:rsidP="005A69A0">
            <w:pPr>
              <w:spacing w:before="100" w:after="100"/>
              <w:jc w:val="center"/>
              <w:rPr>
                <w:bCs/>
                <w:sz w:val="20"/>
              </w:rPr>
            </w:pPr>
            <w:r>
              <w:rPr>
                <w:bCs/>
                <w:sz w:val="20"/>
              </w:rPr>
              <w:t>Up to 300 mins</w:t>
            </w:r>
          </w:p>
        </w:tc>
      </w:tr>
      <w:tr w:rsidR="005A69A0" w14:paraId="2990401A" w14:textId="77777777" w:rsidTr="005A69A0">
        <w:trPr>
          <w:trHeight w:val="432"/>
        </w:trPr>
        <w:tc>
          <w:tcPr>
            <w:tcW w:w="2714" w:type="pct"/>
            <w:tcBorders>
              <w:top w:val="single" w:sz="4" w:space="0" w:color="auto"/>
              <w:left w:val="single" w:sz="4" w:space="0" w:color="auto"/>
              <w:bottom w:val="single" w:sz="4" w:space="0" w:color="auto"/>
              <w:right w:val="single" w:sz="4" w:space="0" w:color="auto"/>
            </w:tcBorders>
            <w:hideMark/>
          </w:tcPr>
          <w:p w14:paraId="34E3D899" w14:textId="77777777" w:rsidR="005A69A0" w:rsidRDefault="005A69A0" w:rsidP="005A69A0">
            <w:pPr>
              <w:spacing w:before="100" w:after="100"/>
              <w:rPr>
                <w:sz w:val="20"/>
              </w:rPr>
            </w:pPr>
            <w:r>
              <w:rPr>
                <w:b/>
                <w:bCs/>
                <w:sz w:val="20"/>
                <w:lang w:eastAsia="en-AU"/>
              </w:rPr>
              <w:t xml:space="preserve">Standard national SMS </w:t>
            </w:r>
            <w:r>
              <w:rPr>
                <w:sz w:val="20"/>
                <w:lang w:eastAsia="en-AU"/>
              </w:rPr>
              <w:t>(per SMS of up to 160 standard characters)</w:t>
            </w:r>
          </w:p>
        </w:tc>
        <w:tc>
          <w:tcPr>
            <w:tcW w:w="2286" w:type="pct"/>
            <w:tcBorders>
              <w:top w:val="single" w:sz="4" w:space="0" w:color="auto"/>
              <w:left w:val="single" w:sz="4" w:space="0" w:color="auto"/>
              <w:bottom w:val="single" w:sz="4" w:space="0" w:color="auto"/>
              <w:right w:val="single" w:sz="4" w:space="0" w:color="auto"/>
            </w:tcBorders>
            <w:vAlign w:val="center"/>
            <w:hideMark/>
          </w:tcPr>
          <w:p w14:paraId="23F92F17" w14:textId="77777777" w:rsidR="005A69A0" w:rsidRDefault="005A69A0" w:rsidP="005A69A0">
            <w:pPr>
              <w:spacing w:before="100" w:after="100"/>
              <w:jc w:val="center"/>
              <w:rPr>
                <w:rFonts w:eastAsia="Calibri"/>
                <w:sz w:val="20"/>
              </w:rPr>
            </w:pPr>
            <w:r>
              <w:rPr>
                <w:rFonts w:eastAsia="Calibri"/>
                <w:sz w:val="20"/>
              </w:rPr>
              <w:t>Unlimited</w:t>
            </w:r>
          </w:p>
        </w:tc>
      </w:tr>
      <w:tr w:rsidR="005A69A0" w14:paraId="65DE236D" w14:textId="77777777" w:rsidTr="005A69A0">
        <w:trPr>
          <w:trHeight w:val="432"/>
        </w:trPr>
        <w:tc>
          <w:tcPr>
            <w:tcW w:w="2714" w:type="pct"/>
            <w:tcBorders>
              <w:top w:val="single" w:sz="4" w:space="0" w:color="auto"/>
              <w:left w:val="single" w:sz="4" w:space="0" w:color="auto"/>
              <w:bottom w:val="single" w:sz="4" w:space="0" w:color="auto"/>
              <w:right w:val="single" w:sz="4" w:space="0" w:color="auto"/>
            </w:tcBorders>
            <w:hideMark/>
          </w:tcPr>
          <w:p w14:paraId="1DF7E882" w14:textId="77777777" w:rsidR="005A69A0" w:rsidRDefault="005A69A0" w:rsidP="005A69A0">
            <w:pPr>
              <w:spacing w:before="100" w:after="100"/>
              <w:rPr>
                <w:b/>
                <w:bCs/>
                <w:sz w:val="20"/>
                <w:lang w:eastAsia="en-AU"/>
              </w:rPr>
            </w:pPr>
            <w:r>
              <w:rPr>
                <w:b/>
                <w:bCs/>
                <w:sz w:val="20"/>
                <w:lang w:eastAsia="en-AU"/>
              </w:rPr>
              <w:t xml:space="preserve">Standard national MMS </w:t>
            </w:r>
            <w:r>
              <w:rPr>
                <w:sz w:val="20"/>
                <w:lang w:eastAsia="en-AU"/>
              </w:rPr>
              <w:t>(per message)</w:t>
            </w:r>
          </w:p>
        </w:tc>
        <w:tc>
          <w:tcPr>
            <w:tcW w:w="2286" w:type="pct"/>
            <w:tcBorders>
              <w:top w:val="single" w:sz="4" w:space="0" w:color="auto"/>
              <w:left w:val="single" w:sz="4" w:space="0" w:color="auto"/>
              <w:bottom w:val="single" w:sz="4" w:space="0" w:color="auto"/>
              <w:right w:val="single" w:sz="4" w:space="0" w:color="auto"/>
            </w:tcBorders>
            <w:vAlign w:val="center"/>
            <w:hideMark/>
          </w:tcPr>
          <w:p w14:paraId="4A9F8C82" w14:textId="77777777" w:rsidR="005A69A0" w:rsidRDefault="005A69A0" w:rsidP="005A69A0">
            <w:pPr>
              <w:spacing w:before="100" w:after="100"/>
              <w:jc w:val="center"/>
              <w:rPr>
                <w:rFonts w:eastAsia="Calibri"/>
                <w:sz w:val="20"/>
              </w:rPr>
            </w:pPr>
            <w:r>
              <w:rPr>
                <w:rFonts w:eastAsia="Calibri"/>
                <w:sz w:val="20"/>
              </w:rPr>
              <w:t>Unlimited</w:t>
            </w:r>
          </w:p>
        </w:tc>
      </w:tr>
      <w:tr w:rsidR="005A69A0" w14:paraId="4E9B7407" w14:textId="77777777" w:rsidTr="005A69A0">
        <w:trPr>
          <w:trHeight w:val="432"/>
        </w:trPr>
        <w:tc>
          <w:tcPr>
            <w:tcW w:w="2714" w:type="pct"/>
            <w:tcBorders>
              <w:top w:val="single" w:sz="4" w:space="0" w:color="auto"/>
              <w:left w:val="single" w:sz="4" w:space="0" w:color="auto"/>
              <w:bottom w:val="single" w:sz="4" w:space="0" w:color="auto"/>
              <w:right w:val="single" w:sz="4" w:space="0" w:color="auto"/>
            </w:tcBorders>
            <w:hideMark/>
          </w:tcPr>
          <w:p w14:paraId="16020263" w14:textId="77777777" w:rsidR="005A69A0" w:rsidRDefault="005A69A0" w:rsidP="005A69A0">
            <w:pPr>
              <w:spacing w:before="100" w:after="100"/>
              <w:rPr>
                <w:b/>
                <w:bCs/>
                <w:sz w:val="20"/>
                <w:lang w:eastAsia="en-AU"/>
              </w:rPr>
            </w:pPr>
            <w:r>
              <w:rPr>
                <w:b/>
                <w:bCs/>
                <w:sz w:val="20"/>
                <w:lang w:eastAsia="en-AU"/>
              </w:rPr>
              <w:t xml:space="preserve">Standard international SMS </w:t>
            </w:r>
            <w:r>
              <w:rPr>
                <w:sz w:val="20"/>
                <w:lang w:eastAsia="en-AU"/>
              </w:rPr>
              <w:t>(per SMS of up to 160 standard characters to selected countries)</w:t>
            </w:r>
          </w:p>
        </w:tc>
        <w:tc>
          <w:tcPr>
            <w:tcW w:w="2286" w:type="pct"/>
            <w:tcBorders>
              <w:top w:val="single" w:sz="4" w:space="0" w:color="auto"/>
              <w:left w:val="single" w:sz="4" w:space="0" w:color="auto"/>
              <w:bottom w:val="single" w:sz="4" w:space="0" w:color="auto"/>
              <w:right w:val="single" w:sz="4" w:space="0" w:color="auto"/>
            </w:tcBorders>
            <w:vAlign w:val="center"/>
            <w:hideMark/>
          </w:tcPr>
          <w:p w14:paraId="6622581E" w14:textId="77777777" w:rsidR="005A69A0" w:rsidRDefault="005A69A0" w:rsidP="005A69A0">
            <w:pPr>
              <w:spacing w:before="100" w:after="100"/>
              <w:jc w:val="center"/>
              <w:rPr>
                <w:rFonts w:eastAsia="Calibri"/>
                <w:sz w:val="20"/>
              </w:rPr>
            </w:pPr>
            <w:r>
              <w:rPr>
                <w:rFonts w:eastAsia="Calibri"/>
                <w:sz w:val="20"/>
              </w:rPr>
              <w:t>Unlimited</w:t>
            </w:r>
          </w:p>
        </w:tc>
      </w:tr>
      <w:tr w:rsidR="005A69A0" w14:paraId="2F7806CC" w14:textId="77777777" w:rsidTr="005A69A0">
        <w:trPr>
          <w:trHeight w:val="432"/>
        </w:trPr>
        <w:tc>
          <w:tcPr>
            <w:tcW w:w="2714" w:type="pct"/>
            <w:tcBorders>
              <w:top w:val="single" w:sz="4" w:space="0" w:color="auto"/>
              <w:left w:val="single" w:sz="4" w:space="0" w:color="auto"/>
              <w:bottom w:val="single" w:sz="4" w:space="0" w:color="auto"/>
              <w:right w:val="single" w:sz="4" w:space="0" w:color="auto"/>
            </w:tcBorders>
            <w:hideMark/>
          </w:tcPr>
          <w:p w14:paraId="3CBF176C" w14:textId="77777777" w:rsidR="005A69A0" w:rsidRDefault="005A69A0" w:rsidP="005A69A0">
            <w:pPr>
              <w:spacing w:before="100" w:after="100"/>
              <w:rPr>
                <w:b/>
                <w:bCs/>
                <w:sz w:val="20"/>
                <w:lang w:eastAsia="en-AU"/>
              </w:rPr>
            </w:pPr>
            <w:r>
              <w:rPr>
                <w:b/>
                <w:bCs/>
                <w:sz w:val="20"/>
                <w:lang w:eastAsia="en-AU"/>
              </w:rPr>
              <w:t xml:space="preserve">Standard international MMS </w:t>
            </w:r>
            <w:r>
              <w:rPr>
                <w:sz w:val="20"/>
                <w:lang w:eastAsia="en-AU"/>
              </w:rPr>
              <w:t>(per message to selected countries)</w:t>
            </w:r>
          </w:p>
        </w:tc>
        <w:tc>
          <w:tcPr>
            <w:tcW w:w="2286" w:type="pct"/>
            <w:tcBorders>
              <w:top w:val="single" w:sz="4" w:space="0" w:color="auto"/>
              <w:left w:val="single" w:sz="4" w:space="0" w:color="auto"/>
              <w:bottom w:val="single" w:sz="4" w:space="0" w:color="auto"/>
              <w:right w:val="single" w:sz="4" w:space="0" w:color="auto"/>
            </w:tcBorders>
            <w:vAlign w:val="center"/>
            <w:hideMark/>
          </w:tcPr>
          <w:p w14:paraId="09F24CC6" w14:textId="77777777" w:rsidR="005A69A0" w:rsidRDefault="005A69A0" w:rsidP="005A69A0">
            <w:pPr>
              <w:spacing w:before="100" w:after="100"/>
              <w:jc w:val="center"/>
              <w:rPr>
                <w:rFonts w:eastAsia="Calibri"/>
                <w:sz w:val="20"/>
              </w:rPr>
            </w:pPr>
            <w:r>
              <w:rPr>
                <w:rFonts w:eastAsia="Calibri"/>
                <w:sz w:val="20"/>
              </w:rPr>
              <w:t>Unlimited</w:t>
            </w:r>
          </w:p>
        </w:tc>
      </w:tr>
      <w:tr w:rsidR="005A69A0" w14:paraId="0BF60375" w14:textId="77777777" w:rsidTr="005A69A0">
        <w:trPr>
          <w:trHeight w:val="432"/>
        </w:trPr>
        <w:tc>
          <w:tcPr>
            <w:tcW w:w="2714" w:type="pct"/>
            <w:tcBorders>
              <w:top w:val="single" w:sz="4" w:space="0" w:color="auto"/>
              <w:left w:val="single" w:sz="4" w:space="0" w:color="auto"/>
              <w:bottom w:val="single" w:sz="4" w:space="0" w:color="auto"/>
              <w:right w:val="single" w:sz="4" w:space="0" w:color="auto"/>
            </w:tcBorders>
          </w:tcPr>
          <w:p w14:paraId="2AA982CC" w14:textId="77777777" w:rsidR="005A69A0" w:rsidRPr="00595EB0" w:rsidRDefault="005A69A0" w:rsidP="005A69A0">
            <w:pPr>
              <w:spacing w:before="100" w:after="100"/>
              <w:rPr>
                <w:b/>
                <w:bCs/>
                <w:sz w:val="20"/>
                <w:szCs w:val="20"/>
                <w:lang w:eastAsia="en-AU"/>
              </w:rPr>
            </w:pPr>
            <w:r w:rsidRPr="00595EB0">
              <w:rPr>
                <w:b/>
                <w:sz w:val="20"/>
                <w:szCs w:val="20"/>
              </w:rPr>
              <w:t>Entertainment</w:t>
            </w:r>
            <w:r w:rsidRPr="00595EB0">
              <w:rPr>
                <w:b/>
                <w:sz w:val="20"/>
                <w:szCs w:val="20"/>
              </w:rPr>
              <w:br/>
            </w:r>
            <w:r w:rsidRPr="00595EB0">
              <w:rPr>
                <w:sz w:val="20"/>
                <w:szCs w:val="20"/>
              </w:rPr>
              <w:t>Music</w:t>
            </w:r>
            <w:r w:rsidRPr="00595EB0">
              <w:rPr>
                <w:b/>
                <w:sz w:val="20"/>
                <w:szCs w:val="20"/>
              </w:rPr>
              <w:br/>
            </w:r>
            <w:r w:rsidRPr="00595EB0">
              <w:rPr>
                <w:sz w:val="20"/>
                <w:szCs w:val="20"/>
              </w:rPr>
              <w:t>Mobile TV Streaming</w:t>
            </w:r>
            <w:r w:rsidRPr="00595EB0">
              <w:rPr>
                <w:sz w:val="20"/>
                <w:szCs w:val="20"/>
              </w:rPr>
              <w:br/>
              <w:t>Optus Sport</w:t>
            </w:r>
            <w:r w:rsidRPr="00595EB0">
              <w:rPr>
                <w:sz w:val="20"/>
                <w:szCs w:val="20"/>
              </w:rPr>
              <w:br/>
              <w:t>National Geographic</w:t>
            </w:r>
          </w:p>
        </w:tc>
        <w:tc>
          <w:tcPr>
            <w:tcW w:w="2286" w:type="pct"/>
            <w:tcBorders>
              <w:top w:val="single" w:sz="4" w:space="0" w:color="auto"/>
              <w:left w:val="single" w:sz="4" w:space="0" w:color="auto"/>
              <w:bottom w:val="single" w:sz="4" w:space="0" w:color="auto"/>
              <w:right w:val="single" w:sz="4" w:space="0" w:color="auto"/>
            </w:tcBorders>
            <w:vAlign w:val="center"/>
          </w:tcPr>
          <w:p w14:paraId="440B98E9" w14:textId="77777777" w:rsidR="005A69A0" w:rsidRPr="00595EB0" w:rsidRDefault="005A69A0" w:rsidP="005A69A0">
            <w:pPr>
              <w:spacing w:before="100" w:after="100"/>
              <w:jc w:val="center"/>
              <w:rPr>
                <w:rFonts w:eastAsia="Calibri"/>
                <w:sz w:val="20"/>
                <w:szCs w:val="20"/>
              </w:rPr>
            </w:pPr>
            <w:r w:rsidRPr="00595EB0">
              <w:rPr>
                <w:sz w:val="20"/>
                <w:szCs w:val="20"/>
              </w:rPr>
              <w:t>Unlimited</w:t>
            </w:r>
          </w:p>
        </w:tc>
      </w:tr>
      <w:tr w:rsidR="005A69A0" w14:paraId="5C292D07" w14:textId="77777777" w:rsidTr="005A69A0">
        <w:trPr>
          <w:trHeight w:val="432"/>
        </w:trPr>
        <w:tc>
          <w:tcPr>
            <w:tcW w:w="2714" w:type="pct"/>
            <w:tcBorders>
              <w:top w:val="single" w:sz="4" w:space="0" w:color="auto"/>
              <w:left w:val="single" w:sz="4" w:space="0" w:color="auto"/>
              <w:bottom w:val="single" w:sz="4" w:space="0" w:color="auto"/>
              <w:right w:val="single" w:sz="4" w:space="0" w:color="auto"/>
            </w:tcBorders>
            <w:hideMark/>
          </w:tcPr>
          <w:p w14:paraId="77EF46B0" w14:textId="77777777" w:rsidR="005A69A0" w:rsidRDefault="005A69A0" w:rsidP="005A69A0">
            <w:pPr>
              <w:spacing w:before="100" w:after="100"/>
              <w:rPr>
                <w:b/>
                <w:bCs/>
                <w:sz w:val="20"/>
                <w:lang w:eastAsia="en-AU"/>
              </w:rPr>
            </w:pPr>
            <w:r>
              <w:rPr>
                <w:b/>
                <w:bCs/>
                <w:sz w:val="20"/>
                <w:lang w:eastAsia="en-AU"/>
              </w:rPr>
              <w:t>Minimum total cost over 12 months</w:t>
            </w:r>
          </w:p>
        </w:tc>
        <w:tc>
          <w:tcPr>
            <w:tcW w:w="2286" w:type="pct"/>
            <w:tcBorders>
              <w:top w:val="single" w:sz="4" w:space="0" w:color="auto"/>
              <w:left w:val="single" w:sz="4" w:space="0" w:color="auto"/>
              <w:bottom w:val="single" w:sz="4" w:space="0" w:color="auto"/>
              <w:right w:val="single" w:sz="4" w:space="0" w:color="auto"/>
            </w:tcBorders>
            <w:vAlign w:val="center"/>
            <w:hideMark/>
          </w:tcPr>
          <w:p w14:paraId="3177CE11" w14:textId="77777777" w:rsidR="005A69A0" w:rsidRDefault="005A69A0" w:rsidP="005A69A0">
            <w:pPr>
              <w:spacing w:before="100" w:after="100"/>
              <w:jc w:val="center"/>
              <w:rPr>
                <w:rFonts w:eastAsia="Calibri"/>
                <w:sz w:val="20"/>
              </w:rPr>
            </w:pPr>
            <w:r>
              <w:rPr>
                <w:rFonts w:eastAsia="Calibri"/>
                <w:sz w:val="20"/>
              </w:rPr>
              <w:t>$960</w:t>
            </w:r>
          </w:p>
        </w:tc>
      </w:tr>
    </w:tbl>
    <w:p w14:paraId="32B150FE" w14:textId="77777777" w:rsidR="005A69A0" w:rsidRDefault="005A69A0" w:rsidP="005A69A0">
      <w:pPr>
        <w:spacing w:after="200"/>
        <w:rPr>
          <w:sz w:val="20"/>
        </w:rPr>
      </w:pPr>
    </w:p>
    <w:p w14:paraId="577CE5E1" w14:textId="77777777" w:rsidR="005A69A0" w:rsidRDefault="005A69A0" w:rsidP="005A69A0">
      <w:pPr>
        <w:spacing w:after="200"/>
        <w:rPr>
          <w:b/>
          <w:sz w:val="20"/>
        </w:rPr>
      </w:pPr>
      <w:r>
        <w:rPr>
          <w:b/>
          <w:sz w:val="20"/>
        </w:rPr>
        <w:t>Table 2 – Other usage types and charges</w:t>
      </w:r>
    </w:p>
    <w:tbl>
      <w:tblPr>
        <w:tblW w:w="48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2"/>
        <w:gridCol w:w="4428"/>
      </w:tblGrid>
      <w:tr w:rsidR="005A69A0" w14:paraId="366F2F7F" w14:textId="77777777" w:rsidTr="005A69A0">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6D8BDF1F" w14:textId="77777777" w:rsidR="005A69A0" w:rsidRDefault="005A69A0" w:rsidP="005A69A0">
            <w:pPr>
              <w:spacing w:before="100" w:after="100"/>
              <w:rPr>
                <w:rFonts w:eastAsia="Calibri"/>
                <w:b/>
                <w:sz w:val="20"/>
              </w:rPr>
            </w:pPr>
            <w:r>
              <w:rPr>
                <w:rFonts w:eastAsia="Calibri"/>
                <w:b/>
                <w:sz w:val="20"/>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9FBA82A" w14:textId="77777777" w:rsidR="005A69A0" w:rsidRDefault="005A69A0" w:rsidP="005A69A0">
            <w:pPr>
              <w:spacing w:before="100" w:after="100"/>
              <w:jc w:val="center"/>
              <w:rPr>
                <w:rFonts w:eastAsia="Calibri"/>
                <w:b/>
                <w:sz w:val="20"/>
              </w:rPr>
            </w:pPr>
            <w:r>
              <w:rPr>
                <w:rFonts w:eastAsia="Calibri"/>
                <w:b/>
                <w:sz w:val="20"/>
              </w:rPr>
              <w:t>Charge</w:t>
            </w:r>
          </w:p>
        </w:tc>
      </w:tr>
      <w:tr w:rsidR="005A69A0" w14:paraId="02B9AB95" w14:textId="77777777" w:rsidTr="005A69A0">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627DE59D" w14:textId="77777777" w:rsidR="005A69A0" w:rsidRDefault="005A69A0" w:rsidP="005A69A0">
            <w:pPr>
              <w:spacing w:before="100" w:after="100"/>
              <w:rPr>
                <w:rFonts w:eastAsia="Calibri"/>
                <w:sz w:val="20"/>
              </w:rPr>
            </w:pPr>
            <w:r>
              <w:rPr>
                <w:rFonts w:eastAsia="Calibri"/>
                <w:b/>
                <w:bCs/>
                <w:sz w:val="20"/>
                <w:lang w:eastAsia="en-AU"/>
              </w:rPr>
              <w:t>National video calls</w:t>
            </w:r>
            <w:r>
              <w:rPr>
                <w:rFonts w:eastAsia="Calibri"/>
                <w:bCs/>
                <w:sz w:val="20"/>
                <w:lang w:eastAsia="en-AU"/>
              </w:rPr>
              <w:t xml:space="preserve"> </w:t>
            </w:r>
            <w:r>
              <w:rPr>
                <w:rFonts w:eastAsia="Calibri"/>
                <w:sz w:val="20"/>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2DEA702" w14:textId="77777777" w:rsidR="005A69A0" w:rsidRDefault="005A69A0" w:rsidP="005A69A0">
            <w:pPr>
              <w:spacing w:before="100" w:after="100"/>
              <w:jc w:val="center"/>
              <w:rPr>
                <w:rFonts w:eastAsia="Calibri"/>
                <w:sz w:val="20"/>
              </w:rPr>
            </w:pPr>
            <w:r>
              <w:rPr>
                <w:rFonts w:eastAsia="Calibri"/>
                <w:sz w:val="20"/>
              </w:rPr>
              <w:t>$1.00 per min + 40c flagfall</w:t>
            </w:r>
          </w:p>
        </w:tc>
      </w:tr>
      <w:tr w:rsidR="005A69A0" w14:paraId="0DE7DBA3" w14:textId="77777777" w:rsidTr="005A69A0">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27F81AEB" w14:textId="77777777" w:rsidR="005A69A0" w:rsidRDefault="005A69A0" w:rsidP="005A69A0">
            <w:pPr>
              <w:spacing w:before="100" w:after="100"/>
              <w:rPr>
                <w:rFonts w:eastAsia="Calibri"/>
                <w:b/>
                <w:sz w:val="20"/>
              </w:rPr>
            </w:pPr>
            <w:r>
              <w:rPr>
                <w:rFonts w:eastAsia="Calibri"/>
                <w:b/>
                <w:bCs/>
                <w:sz w:val="20"/>
                <w:lang w:eastAsia="en-AU"/>
              </w:rPr>
              <w:t xml:space="preserve">VoiceMail Deposits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42D6E28" w14:textId="77777777" w:rsidR="005A69A0" w:rsidRDefault="005A69A0" w:rsidP="005A69A0">
            <w:pPr>
              <w:spacing w:before="100" w:after="100"/>
              <w:jc w:val="center"/>
              <w:rPr>
                <w:rFonts w:eastAsia="Calibri"/>
                <w:sz w:val="20"/>
                <w:lang w:eastAsia="en-AU"/>
              </w:rPr>
            </w:pPr>
            <w:r>
              <w:rPr>
                <w:rFonts w:eastAsia="Calibri"/>
                <w:sz w:val="20"/>
              </w:rPr>
              <w:t>$0 per minute</w:t>
            </w:r>
          </w:p>
        </w:tc>
      </w:tr>
      <w:tr w:rsidR="005A69A0" w14:paraId="08FEEF59" w14:textId="77777777" w:rsidTr="005A69A0">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12E1AD4C" w14:textId="77777777" w:rsidR="005A69A0" w:rsidRDefault="005A69A0" w:rsidP="005A69A0">
            <w:pPr>
              <w:spacing w:before="100" w:after="100"/>
              <w:rPr>
                <w:rFonts w:eastAsia="Calibri"/>
                <w:b/>
                <w:sz w:val="20"/>
              </w:rPr>
            </w:pPr>
            <w:r>
              <w:rPr>
                <w:rFonts w:eastAsia="Calibri"/>
                <w:b/>
                <w:bCs/>
                <w:sz w:val="20"/>
                <w:lang w:eastAsia="en-AU"/>
              </w:rPr>
              <w:t>Voicemail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6C1EF1C" w14:textId="77777777" w:rsidR="005A69A0" w:rsidRDefault="005A69A0" w:rsidP="005A69A0">
            <w:pPr>
              <w:spacing w:before="100" w:after="100"/>
              <w:jc w:val="center"/>
              <w:rPr>
                <w:rFonts w:eastAsia="Calibri"/>
                <w:sz w:val="20"/>
              </w:rPr>
            </w:pPr>
            <w:r>
              <w:rPr>
                <w:rFonts w:eastAsia="Calibri"/>
                <w:sz w:val="20"/>
              </w:rPr>
              <w:t>$0 per minute</w:t>
            </w:r>
          </w:p>
        </w:tc>
      </w:tr>
      <w:tr w:rsidR="005A69A0" w14:paraId="521DA4C0" w14:textId="77777777" w:rsidTr="005A69A0">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3730EBA5" w14:textId="77777777" w:rsidR="005A69A0" w:rsidRDefault="005A69A0" w:rsidP="005A69A0">
            <w:pPr>
              <w:spacing w:before="100" w:after="100"/>
              <w:rPr>
                <w:rFonts w:eastAsia="Calibri"/>
                <w:b/>
                <w:bCs/>
                <w:sz w:val="20"/>
                <w:lang w:eastAsia="en-AU"/>
              </w:rPr>
            </w:pPr>
            <w:r>
              <w:rPr>
                <w:rFonts w:eastAsia="Calibri"/>
                <w:b/>
                <w:bCs/>
                <w:sz w:val="20"/>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ACCE943" w14:textId="77777777" w:rsidR="005A69A0" w:rsidRDefault="005A69A0" w:rsidP="005A69A0">
            <w:pPr>
              <w:spacing w:before="100" w:after="100"/>
              <w:jc w:val="center"/>
              <w:rPr>
                <w:rFonts w:eastAsia="Calibri"/>
                <w:sz w:val="20"/>
              </w:rPr>
            </w:pPr>
            <w:r>
              <w:rPr>
                <w:rFonts w:eastAsia="Calibri"/>
                <w:sz w:val="20"/>
              </w:rPr>
              <w:t>$0 per minute</w:t>
            </w:r>
          </w:p>
        </w:tc>
      </w:tr>
      <w:tr w:rsidR="005A69A0" w14:paraId="68D08E01" w14:textId="77777777" w:rsidTr="005A69A0">
        <w:trPr>
          <w:trHeight w:val="54"/>
        </w:trPr>
        <w:tc>
          <w:tcPr>
            <w:tcW w:w="5495" w:type="dxa"/>
            <w:tcBorders>
              <w:top w:val="single" w:sz="4" w:space="0" w:color="auto"/>
              <w:left w:val="single" w:sz="4" w:space="0" w:color="auto"/>
              <w:bottom w:val="single" w:sz="4" w:space="0" w:color="auto"/>
              <w:right w:val="single" w:sz="4" w:space="0" w:color="auto"/>
            </w:tcBorders>
            <w:vAlign w:val="center"/>
            <w:hideMark/>
          </w:tcPr>
          <w:p w14:paraId="56464BDD" w14:textId="77777777" w:rsidR="005A69A0" w:rsidRDefault="005A69A0" w:rsidP="005A69A0">
            <w:pPr>
              <w:spacing w:before="100" w:after="100"/>
              <w:rPr>
                <w:rFonts w:eastAsia="Calibri"/>
                <w:b/>
                <w:bCs/>
                <w:sz w:val="20"/>
                <w:lang w:eastAsia="en-AU"/>
              </w:rPr>
            </w:pPr>
            <w:r>
              <w:rPr>
                <w:rFonts w:eastAsia="Calibri"/>
                <w:b/>
                <w:bCs/>
                <w:sz w:val="20"/>
                <w:lang w:eastAsia="en-AU"/>
              </w:rPr>
              <w:t xml:space="preserve">International Diversions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1D94FA0" w14:textId="77777777" w:rsidR="005A69A0" w:rsidRDefault="005A69A0" w:rsidP="005A69A0">
            <w:pPr>
              <w:spacing w:before="100" w:after="100"/>
              <w:jc w:val="center"/>
              <w:rPr>
                <w:rFonts w:eastAsia="Calibri"/>
                <w:sz w:val="20"/>
              </w:rPr>
            </w:pPr>
            <w:r>
              <w:rPr>
                <w:rFonts w:eastAsia="Calibri"/>
                <w:sz w:val="20"/>
              </w:rPr>
              <w:t>'yes' international rates</w:t>
            </w:r>
            <w:r>
              <w:rPr>
                <w:rFonts w:eastAsia="Calibri"/>
                <w:sz w:val="20"/>
              </w:rPr>
              <w:br/>
              <w:t>See optus.com.au/international</w:t>
            </w:r>
          </w:p>
        </w:tc>
      </w:tr>
      <w:tr w:rsidR="005A69A0" w14:paraId="534B497C" w14:textId="77777777" w:rsidTr="005A69A0">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23E4B73F" w14:textId="77777777" w:rsidR="005A69A0" w:rsidRDefault="005A69A0" w:rsidP="005A69A0">
            <w:pPr>
              <w:spacing w:before="100" w:after="100"/>
              <w:rPr>
                <w:rFonts w:eastAsia="Calibri"/>
                <w:b/>
                <w:bCs/>
                <w:sz w:val="20"/>
                <w:lang w:eastAsia="en-AU"/>
              </w:rPr>
            </w:pPr>
            <w:r>
              <w:rPr>
                <w:rFonts w:eastAsia="Calibri"/>
                <w:b/>
                <w:bCs/>
                <w:sz w:val="20"/>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856C188" w14:textId="77777777" w:rsidR="005A69A0" w:rsidRDefault="005A69A0" w:rsidP="005A69A0">
            <w:pPr>
              <w:spacing w:before="100" w:after="100"/>
              <w:jc w:val="center"/>
              <w:rPr>
                <w:rFonts w:eastAsia="Calibri"/>
                <w:sz w:val="20"/>
              </w:rPr>
            </w:pPr>
            <w:r>
              <w:rPr>
                <w:rFonts w:eastAsia="Calibri"/>
                <w:sz w:val="20"/>
              </w:rPr>
              <w:t>$0 per minute</w:t>
            </w:r>
          </w:p>
        </w:tc>
      </w:tr>
      <w:tr w:rsidR="005A69A0" w14:paraId="79CA74E2" w14:textId="77777777" w:rsidTr="005A69A0">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0A4EF40A" w14:textId="77777777" w:rsidR="005A69A0" w:rsidRDefault="005A69A0" w:rsidP="005A69A0">
            <w:pPr>
              <w:spacing w:before="100" w:after="100"/>
              <w:rPr>
                <w:rFonts w:eastAsia="Calibri"/>
                <w:b/>
                <w:bCs/>
                <w:sz w:val="20"/>
                <w:lang w:eastAsia="en-AU"/>
              </w:rPr>
            </w:pPr>
            <w:r>
              <w:rPr>
                <w:rFonts w:eastAsia="Calibri"/>
                <w:b/>
                <w:bCs/>
                <w:sz w:val="20"/>
                <w:lang w:eastAsia="en-AU"/>
              </w:rPr>
              <w:lastRenderedPageBreak/>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1F4DCE2" w14:textId="77777777" w:rsidR="005A69A0" w:rsidRDefault="005A69A0" w:rsidP="005A69A0">
            <w:pPr>
              <w:spacing w:before="100" w:after="100"/>
              <w:jc w:val="center"/>
              <w:rPr>
                <w:rFonts w:eastAsia="Calibri"/>
                <w:sz w:val="20"/>
              </w:rPr>
            </w:pPr>
            <w:r>
              <w:rPr>
                <w:rFonts w:eastAsia="Calibri"/>
                <w:sz w:val="20"/>
              </w:rPr>
              <w:t>50c per call</w:t>
            </w:r>
          </w:p>
        </w:tc>
      </w:tr>
      <w:tr w:rsidR="005A69A0" w14:paraId="5BAAB7B6" w14:textId="77777777" w:rsidTr="005A69A0">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66F2F770" w14:textId="77777777" w:rsidR="005A69A0" w:rsidRDefault="005A69A0" w:rsidP="005A69A0">
            <w:pPr>
              <w:spacing w:before="100" w:after="100"/>
              <w:rPr>
                <w:rFonts w:eastAsia="Calibri"/>
                <w:b/>
                <w:bCs/>
                <w:sz w:val="20"/>
                <w:lang w:eastAsia="en-AU"/>
              </w:rPr>
            </w:pPr>
            <w:r>
              <w:rPr>
                <w:rFonts w:eastAsia="Calibri"/>
                <w:b/>
                <w:bCs/>
                <w:sz w:val="20"/>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20B6EEA" w14:textId="77777777" w:rsidR="005A69A0" w:rsidRDefault="005A69A0" w:rsidP="005A69A0">
            <w:pPr>
              <w:spacing w:before="100" w:after="100"/>
              <w:jc w:val="center"/>
              <w:rPr>
                <w:rFonts w:eastAsia="Calibri"/>
                <w:sz w:val="20"/>
              </w:rPr>
            </w:pPr>
            <w:r>
              <w:rPr>
                <w:rFonts w:eastAsia="Calibri"/>
                <w:sz w:val="20"/>
              </w:rPr>
              <w:t>90c per minute +$1.75c flagfall</w:t>
            </w:r>
          </w:p>
        </w:tc>
      </w:tr>
      <w:tr w:rsidR="005A69A0" w14:paraId="5FFF515A" w14:textId="77777777" w:rsidTr="005A69A0">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3F569D81" w14:textId="77777777" w:rsidR="005A69A0" w:rsidRDefault="005A69A0" w:rsidP="005A69A0">
            <w:pPr>
              <w:spacing w:before="100" w:after="100"/>
              <w:rPr>
                <w:rFonts w:eastAsia="Calibri"/>
                <w:b/>
                <w:bCs/>
                <w:sz w:val="20"/>
                <w:lang w:eastAsia="en-AU"/>
              </w:rPr>
            </w:pPr>
            <w:r>
              <w:rPr>
                <w:rFonts w:eastAsia="Calibri"/>
                <w:b/>
                <w:bCs/>
                <w:sz w:val="20"/>
                <w:lang w:eastAsia="en-AU"/>
              </w:rPr>
              <w:t xml:space="preserve">International voice calls (outside the plan's included international minutes and to excluded countries)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8E53647" w14:textId="77777777" w:rsidR="005A69A0" w:rsidRDefault="005A69A0" w:rsidP="005A69A0">
            <w:pPr>
              <w:spacing w:before="100" w:after="100"/>
              <w:jc w:val="center"/>
              <w:rPr>
                <w:rFonts w:eastAsia="Calibri"/>
                <w:sz w:val="20"/>
              </w:rPr>
            </w:pPr>
            <w:r>
              <w:rPr>
                <w:rFonts w:eastAsia="Calibri"/>
                <w:sz w:val="20"/>
              </w:rPr>
              <w:t>'yes' international rates</w:t>
            </w:r>
          </w:p>
          <w:p w14:paraId="0C602886" w14:textId="77777777" w:rsidR="005A69A0" w:rsidRDefault="005A69A0" w:rsidP="005A69A0">
            <w:pPr>
              <w:spacing w:before="100" w:after="100"/>
              <w:jc w:val="center"/>
              <w:rPr>
                <w:rFonts w:eastAsia="Calibri"/>
                <w:sz w:val="20"/>
              </w:rPr>
            </w:pPr>
            <w:r>
              <w:rPr>
                <w:rFonts w:eastAsia="Calibri"/>
                <w:sz w:val="20"/>
              </w:rPr>
              <w:t>See optus.com.au/international</w:t>
            </w:r>
          </w:p>
        </w:tc>
      </w:tr>
      <w:tr w:rsidR="005A69A0" w14:paraId="52860FA0" w14:textId="77777777" w:rsidTr="005A69A0">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60E0DE22" w14:textId="77777777" w:rsidR="005A69A0" w:rsidRDefault="005A69A0" w:rsidP="005A69A0">
            <w:pPr>
              <w:spacing w:before="100" w:after="100"/>
              <w:rPr>
                <w:rFonts w:eastAsia="Calibri"/>
                <w:b/>
                <w:bCs/>
                <w:sz w:val="20"/>
                <w:lang w:eastAsia="en-AU"/>
              </w:rPr>
            </w:pPr>
            <w:r>
              <w:rPr>
                <w:rFonts w:eastAsia="Calibri"/>
                <w:b/>
                <w:bCs/>
                <w:sz w:val="20"/>
                <w:lang w:eastAsia="en-AU"/>
              </w:rPr>
              <w:t xml:space="preserve">International SMS (to excluded countries)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DB6A288" w14:textId="77777777" w:rsidR="005A69A0" w:rsidRDefault="005A69A0" w:rsidP="005A69A0">
            <w:pPr>
              <w:spacing w:before="100" w:after="100"/>
              <w:jc w:val="center"/>
              <w:rPr>
                <w:rFonts w:eastAsia="Calibri"/>
                <w:sz w:val="20"/>
              </w:rPr>
            </w:pPr>
            <w:r>
              <w:rPr>
                <w:rFonts w:eastAsia="Calibri"/>
                <w:sz w:val="20"/>
              </w:rPr>
              <w:t>50c per SMS up to 160 standard characters</w:t>
            </w:r>
          </w:p>
        </w:tc>
      </w:tr>
      <w:tr w:rsidR="005A69A0" w14:paraId="32F65EC6" w14:textId="77777777" w:rsidTr="005A69A0">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7C124D41" w14:textId="77777777" w:rsidR="005A69A0" w:rsidRDefault="005A69A0" w:rsidP="005A69A0">
            <w:pPr>
              <w:spacing w:before="100" w:after="100"/>
              <w:rPr>
                <w:rFonts w:eastAsia="Calibri"/>
                <w:b/>
                <w:bCs/>
                <w:sz w:val="20"/>
                <w:lang w:eastAsia="en-AU"/>
              </w:rPr>
            </w:pPr>
            <w:r>
              <w:rPr>
                <w:rFonts w:eastAsia="Calibri"/>
                <w:b/>
                <w:bCs/>
                <w:sz w:val="20"/>
                <w:lang w:eastAsia="en-AU"/>
              </w:rPr>
              <w:t>International MMS (to excluded countries)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52AB889" w14:textId="77777777" w:rsidR="005A69A0" w:rsidRDefault="005A69A0" w:rsidP="005A69A0">
            <w:pPr>
              <w:spacing w:before="100" w:after="100"/>
              <w:jc w:val="center"/>
              <w:rPr>
                <w:rFonts w:eastAsia="Calibri"/>
                <w:sz w:val="20"/>
              </w:rPr>
            </w:pPr>
            <w:r>
              <w:rPr>
                <w:rFonts w:eastAsia="Calibri"/>
                <w:sz w:val="20"/>
              </w:rPr>
              <w:t>75c per MMS</w:t>
            </w:r>
          </w:p>
        </w:tc>
      </w:tr>
      <w:tr w:rsidR="005A69A0" w14:paraId="616DA038" w14:textId="77777777" w:rsidTr="005A69A0">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309EA733" w14:textId="77777777" w:rsidR="005A69A0" w:rsidRDefault="005A69A0" w:rsidP="005A69A0">
            <w:pPr>
              <w:spacing w:before="100" w:after="100"/>
              <w:rPr>
                <w:rFonts w:eastAsia="Calibri"/>
                <w:b/>
                <w:bCs/>
                <w:sz w:val="20"/>
                <w:lang w:eastAsia="en-AU"/>
              </w:rPr>
            </w:pPr>
            <w:r>
              <w:rPr>
                <w:rFonts w:eastAsia="Calibri"/>
                <w:b/>
                <w:bCs/>
                <w:sz w:val="20"/>
                <w:lang w:eastAsia="en-AU"/>
              </w:rPr>
              <w:t xml:space="preserve">International video calling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1811E20" w14:textId="77777777" w:rsidR="005A69A0" w:rsidRDefault="005A69A0" w:rsidP="005A69A0">
            <w:pPr>
              <w:spacing w:before="100" w:after="100"/>
              <w:jc w:val="center"/>
              <w:rPr>
                <w:rFonts w:eastAsia="Calibri"/>
                <w:sz w:val="20"/>
              </w:rPr>
            </w:pPr>
            <w:r>
              <w:rPr>
                <w:rFonts w:eastAsia="Calibri"/>
                <w:sz w:val="20"/>
              </w:rPr>
              <w:t>$1.50 per minute +35c flagfall</w:t>
            </w:r>
          </w:p>
        </w:tc>
      </w:tr>
      <w:tr w:rsidR="005A69A0" w14:paraId="6AEDB517" w14:textId="77777777" w:rsidTr="005A69A0">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45A86214" w14:textId="77777777" w:rsidR="005A69A0" w:rsidRDefault="005A69A0" w:rsidP="005A69A0">
            <w:pPr>
              <w:spacing w:before="100" w:after="100"/>
              <w:rPr>
                <w:rFonts w:eastAsia="Calibri"/>
                <w:b/>
                <w:bCs/>
                <w:sz w:val="20"/>
                <w:lang w:eastAsia="en-AU"/>
              </w:rPr>
            </w:pPr>
            <w:r>
              <w:rPr>
                <w:rFonts w:eastAsia="Calibri"/>
                <w:b/>
                <w:bCs/>
                <w:sz w:val="20"/>
                <w:lang w:eastAsia="en-AU"/>
              </w:rPr>
              <w:t xml:space="preserve">International roaming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7C77C05" w14:textId="77777777" w:rsidR="005A69A0" w:rsidRDefault="005A69A0" w:rsidP="005A69A0">
            <w:pPr>
              <w:spacing w:before="100" w:after="100"/>
              <w:jc w:val="center"/>
              <w:rPr>
                <w:rFonts w:eastAsia="Calibri"/>
                <w:sz w:val="20"/>
              </w:rPr>
            </w:pPr>
            <w:r>
              <w:rPr>
                <w:rFonts w:eastAsia="Calibri"/>
                <w:sz w:val="20"/>
              </w:rPr>
              <w:t>See optus.com.au/roaming</w:t>
            </w:r>
          </w:p>
        </w:tc>
      </w:tr>
    </w:tbl>
    <w:p w14:paraId="3C491510" w14:textId="77777777" w:rsidR="005A69A0" w:rsidRDefault="005A69A0" w:rsidP="005A69A0">
      <w:pPr>
        <w:spacing w:after="200"/>
        <w:rPr>
          <w:sz w:val="20"/>
        </w:rPr>
      </w:pPr>
    </w:p>
    <w:p w14:paraId="5AB9DB41" w14:textId="77777777" w:rsidR="005A69A0" w:rsidRDefault="005A69A0" w:rsidP="005A69A0">
      <w:pPr>
        <w:spacing w:after="200"/>
        <w:rPr>
          <w:b/>
          <w:sz w:val="20"/>
        </w:rPr>
      </w:pPr>
      <w:r>
        <w:rPr>
          <w:b/>
          <w:sz w:val="20"/>
        </w:rPr>
        <w:t>Table 3 – International Countries</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1"/>
        <w:gridCol w:w="2551"/>
        <w:gridCol w:w="2551"/>
        <w:gridCol w:w="2545"/>
      </w:tblGrid>
      <w:tr w:rsidR="005A69A0" w14:paraId="182AC259" w14:textId="77777777" w:rsidTr="005A69A0">
        <w:trPr>
          <w:trHeight w:val="288"/>
        </w:trPr>
        <w:tc>
          <w:tcPr>
            <w:tcW w:w="2603" w:type="dxa"/>
            <w:tcBorders>
              <w:top w:val="single" w:sz="4" w:space="0" w:color="auto"/>
              <w:left w:val="single" w:sz="4" w:space="0" w:color="auto"/>
              <w:bottom w:val="single" w:sz="4" w:space="0" w:color="auto"/>
              <w:right w:val="single" w:sz="4" w:space="0" w:color="auto"/>
            </w:tcBorders>
            <w:vAlign w:val="center"/>
            <w:hideMark/>
          </w:tcPr>
          <w:p w14:paraId="271D41A7" w14:textId="77777777" w:rsidR="005A69A0" w:rsidRDefault="005A69A0" w:rsidP="005A69A0">
            <w:pPr>
              <w:spacing w:before="60" w:after="60"/>
              <w:rPr>
                <w:sz w:val="20"/>
              </w:rPr>
            </w:pPr>
            <w:r>
              <w:rPr>
                <w:sz w:val="20"/>
              </w:rPr>
              <w:t>Austria</w:t>
            </w:r>
          </w:p>
        </w:tc>
        <w:tc>
          <w:tcPr>
            <w:tcW w:w="2604" w:type="dxa"/>
            <w:tcBorders>
              <w:top w:val="single" w:sz="4" w:space="0" w:color="auto"/>
              <w:left w:val="single" w:sz="4" w:space="0" w:color="auto"/>
              <w:bottom w:val="single" w:sz="4" w:space="0" w:color="auto"/>
              <w:right w:val="single" w:sz="4" w:space="0" w:color="auto"/>
            </w:tcBorders>
            <w:vAlign w:val="center"/>
            <w:hideMark/>
          </w:tcPr>
          <w:p w14:paraId="286C72DE" w14:textId="77777777" w:rsidR="005A69A0" w:rsidRDefault="005A69A0" w:rsidP="005A69A0">
            <w:pPr>
              <w:spacing w:before="60" w:after="60"/>
              <w:rPr>
                <w:sz w:val="20"/>
              </w:rPr>
            </w:pPr>
            <w:r>
              <w:rPr>
                <w:sz w:val="20"/>
              </w:rPr>
              <w:t>Bangladesh</w:t>
            </w:r>
          </w:p>
        </w:tc>
        <w:tc>
          <w:tcPr>
            <w:tcW w:w="2603" w:type="dxa"/>
            <w:tcBorders>
              <w:top w:val="single" w:sz="4" w:space="0" w:color="auto"/>
              <w:left w:val="single" w:sz="4" w:space="0" w:color="auto"/>
              <w:bottom w:val="single" w:sz="4" w:space="0" w:color="auto"/>
              <w:right w:val="single" w:sz="4" w:space="0" w:color="auto"/>
            </w:tcBorders>
            <w:vAlign w:val="center"/>
            <w:hideMark/>
          </w:tcPr>
          <w:p w14:paraId="637F8843" w14:textId="77777777" w:rsidR="005A69A0" w:rsidRDefault="005A69A0" w:rsidP="005A69A0">
            <w:pPr>
              <w:spacing w:before="60" w:after="60"/>
              <w:rPr>
                <w:sz w:val="20"/>
              </w:rPr>
            </w:pPr>
            <w:r>
              <w:rPr>
                <w:sz w:val="20"/>
              </w:rPr>
              <w:t>Cambodia</w:t>
            </w:r>
          </w:p>
        </w:tc>
        <w:tc>
          <w:tcPr>
            <w:tcW w:w="2604" w:type="dxa"/>
            <w:tcBorders>
              <w:top w:val="single" w:sz="4" w:space="0" w:color="auto"/>
              <w:left w:val="single" w:sz="4" w:space="0" w:color="auto"/>
              <w:bottom w:val="single" w:sz="4" w:space="0" w:color="auto"/>
              <w:right w:val="single" w:sz="4" w:space="0" w:color="auto"/>
            </w:tcBorders>
            <w:vAlign w:val="center"/>
            <w:hideMark/>
          </w:tcPr>
          <w:p w14:paraId="2E9B5579" w14:textId="77777777" w:rsidR="005A69A0" w:rsidRDefault="005A69A0" w:rsidP="005A69A0">
            <w:pPr>
              <w:spacing w:before="60" w:after="60"/>
              <w:rPr>
                <w:sz w:val="20"/>
              </w:rPr>
            </w:pPr>
            <w:r>
              <w:rPr>
                <w:sz w:val="20"/>
              </w:rPr>
              <w:t>Canada</w:t>
            </w:r>
          </w:p>
        </w:tc>
      </w:tr>
      <w:tr w:rsidR="005A69A0" w14:paraId="40D5EBE4" w14:textId="77777777" w:rsidTr="005A69A0">
        <w:trPr>
          <w:trHeight w:val="288"/>
        </w:trPr>
        <w:tc>
          <w:tcPr>
            <w:tcW w:w="2603" w:type="dxa"/>
            <w:tcBorders>
              <w:top w:val="single" w:sz="4" w:space="0" w:color="auto"/>
              <w:left w:val="single" w:sz="4" w:space="0" w:color="auto"/>
              <w:bottom w:val="single" w:sz="4" w:space="0" w:color="auto"/>
              <w:right w:val="single" w:sz="4" w:space="0" w:color="auto"/>
            </w:tcBorders>
            <w:vAlign w:val="center"/>
            <w:hideMark/>
          </w:tcPr>
          <w:p w14:paraId="3B6E9D6F" w14:textId="77777777" w:rsidR="005A69A0" w:rsidRDefault="005A69A0" w:rsidP="005A69A0">
            <w:pPr>
              <w:spacing w:before="60" w:after="60"/>
              <w:rPr>
                <w:sz w:val="20"/>
              </w:rPr>
            </w:pPr>
            <w:r>
              <w:rPr>
                <w:sz w:val="20"/>
              </w:rPr>
              <w:t xml:space="preserve">Chile </w:t>
            </w:r>
          </w:p>
        </w:tc>
        <w:tc>
          <w:tcPr>
            <w:tcW w:w="2604" w:type="dxa"/>
            <w:tcBorders>
              <w:top w:val="single" w:sz="4" w:space="0" w:color="auto"/>
              <w:left w:val="single" w:sz="4" w:space="0" w:color="auto"/>
              <w:bottom w:val="single" w:sz="4" w:space="0" w:color="auto"/>
              <w:right w:val="single" w:sz="4" w:space="0" w:color="auto"/>
            </w:tcBorders>
            <w:vAlign w:val="center"/>
            <w:hideMark/>
          </w:tcPr>
          <w:p w14:paraId="1D9A81A5" w14:textId="77777777" w:rsidR="005A69A0" w:rsidRDefault="005A69A0" w:rsidP="005A69A0">
            <w:pPr>
              <w:spacing w:before="60" w:after="60"/>
              <w:rPr>
                <w:sz w:val="20"/>
              </w:rPr>
            </w:pPr>
            <w:r>
              <w:rPr>
                <w:sz w:val="20"/>
              </w:rPr>
              <w:t xml:space="preserve">China </w:t>
            </w:r>
          </w:p>
        </w:tc>
        <w:tc>
          <w:tcPr>
            <w:tcW w:w="2603" w:type="dxa"/>
            <w:tcBorders>
              <w:top w:val="single" w:sz="4" w:space="0" w:color="auto"/>
              <w:left w:val="single" w:sz="4" w:space="0" w:color="auto"/>
              <w:bottom w:val="single" w:sz="4" w:space="0" w:color="auto"/>
              <w:right w:val="single" w:sz="4" w:space="0" w:color="auto"/>
            </w:tcBorders>
            <w:vAlign w:val="center"/>
            <w:hideMark/>
          </w:tcPr>
          <w:p w14:paraId="4B6C5402" w14:textId="77777777" w:rsidR="005A69A0" w:rsidRDefault="005A69A0" w:rsidP="005A69A0">
            <w:pPr>
              <w:spacing w:before="60" w:after="60"/>
              <w:rPr>
                <w:sz w:val="20"/>
              </w:rPr>
            </w:pPr>
            <w:r>
              <w:rPr>
                <w:sz w:val="20"/>
              </w:rPr>
              <w:t xml:space="preserve">Croatia </w:t>
            </w:r>
          </w:p>
        </w:tc>
        <w:tc>
          <w:tcPr>
            <w:tcW w:w="2604" w:type="dxa"/>
            <w:tcBorders>
              <w:top w:val="single" w:sz="4" w:space="0" w:color="auto"/>
              <w:left w:val="single" w:sz="4" w:space="0" w:color="auto"/>
              <w:bottom w:val="single" w:sz="4" w:space="0" w:color="auto"/>
              <w:right w:val="single" w:sz="4" w:space="0" w:color="auto"/>
            </w:tcBorders>
            <w:vAlign w:val="center"/>
            <w:hideMark/>
          </w:tcPr>
          <w:p w14:paraId="15DFABFE" w14:textId="77777777" w:rsidR="005A69A0" w:rsidRDefault="005A69A0" w:rsidP="005A69A0">
            <w:pPr>
              <w:spacing w:before="60" w:after="60"/>
              <w:rPr>
                <w:sz w:val="20"/>
              </w:rPr>
            </w:pPr>
            <w:r>
              <w:rPr>
                <w:sz w:val="20"/>
              </w:rPr>
              <w:t>France</w:t>
            </w:r>
          </w:p>
        </w:tc>
      </w:tr>
      <w:tr w:rsidR="005A69A0" w14:paraId="551FC357" w14:textId="77777777" w:rsidTr="005A69A0">
        <w:trPr>
          <w:trHeight w:val="288"/>
        </w:trPr>
        <w:tc>
          <w:tcPr>
            <w:tcW w:w="2603" w:type="dxa"/>
            <w:tcBorders>
              <w:top w:val="single" w:sz="4" w:space="0" w:color="auto"/>
              <w:left w:val="single" w:sz="4" w:space="0" w:color="auto"/>
              <w:bottom w:val="single" w:sz="4" w:space="0" w:color="auto"/>
              <w:right w:val="single" w:sz="4" w:space="0" w:color="auto"/>
            </w:tcBorders>
            <w:vAlign w:val="center"/>
            <w:hideMark/>
          </w:tcPr>
          <w:p w14:paraId="69C761A4" w14:textId="77777777" w:rsidR="005A69A0" w:rsidRDefault="005A69A0" w:rsidP="005A69A0">
            <w:pPr>
              <w:spacing w:before="60" w:after="60"/>
              <w:rPr>
                <w:sz w:val="20"/>
              </w:rPr>
            </w:pPr>
            <w:r>
              <w:rPr>
                <w:sz w:val="20"/>
              </w:rPr>
              <w:t>Germany</w:t>
            </w:r>
          </w:p>
        </w:tc>
        <w:tc>
          <w:tcPr>
            <w:tcW w:w="2604" w:type="dxa"/>
            <w:tcBorders>
              <w:top w:val="single" w:sz="4" w:space="0" w:color="auto"/>
              <w:left w:val="single" w:sz="4" w:space="0" w:color="auto"/>
              <w:bottom w:val="single" w:sz="4" w:space="0" w:color="auto"/>
              <w:right w:val="single" w:sz="4" w:space="0" w:color="auto"/>
            </w:tcBorders>
            <w:vAlign w:val="center"/>
            <w:hideMark/>
          </w:tcPr>
          <w:p w14:paraId="20F9CC49" w14:textId="77777777" w:rsidR="005A69A0" w:rsidRDefault="005A69A0" w:rsidP="005A69A0">
            <w:pPr>
              <w:spacing w:before="60" w:after="60"/>
              <w:rPr>
                <w:sz w:val="20"/>
              </w:rPr>
            </w:pPr>
            <w:r>
              <w:rPr>
                <w:sz w:val="20"/>
              </w:rPr>
              <w:t>Greece</w:t>
            </w:r>
          </w:p>
        </w:tc>
        <w:tc>
          <w:tcPr>
            <w:tcW w:w="2603" w:type="dxa"/>
            <w:tcBorders>
              <w:top w:val="single" w:sz="4" w:space="0" w:color="auto"/>
              <w:left w:val="single" w:sz="4" w:space="0" w:color="auto"/>
              <w:bottom w:val="single" w:sz="4" w:space="0" w:color="auto"/>
              <w:right w:val="single" w:sz="4" w:space="0" w:color="auto"/>
            </w:tcBorders>
            <w:vAlign w:val="center"/>
            <w:hideMark/>
          </w:tcPr>
          <w:p w14:paraId="2A1EE217" w14:textId="77777777" w:rsidR="005A69A0" w:rsidRDefault="005A69A0" w:rsidP="005A69A0">
            <w:pPr>
              <w:spacing w:before="60" w:after="60"/>
              <w:rPr>
                <w:sz w:val="20"/>
              </w:rPr>
            </w:pPr>
            <w:r>
              <w:rPr>
                <w:sz w:val="20"/>
              </w:rPr>
              <w:t>Hong Kong</w:t>
            </w:r>
          </w:p>
        </w:tc>
        <w:tc>
          <w:tcPr>
            <w:tcW w:w="2604" w:type="dxa"/>
            <w:tcBorders>
              <w:top w:val="single" w:sz="4" w:space="0" w:color="auto"/>
              <w:left w:val="single" w:sz="4" w:space="0" w:color="auto"/>
              <w:bottom w:val="single" w:sz="4" w:space="0" w:color="auto"/>
              <w:right w:val="single" w:sz="4" w:space="0" w:color="auto"/>
            </w:tcBorders>
            <w:vAlign w:val="center"/>
            <w:hideMark/>
          </w:tcPr>
          <w:p w14:paraId="7DD45076" w14:textId="77777777" w:rsidR="005A69A0" w:rsidRDefault="005A69A0" w:rsidP="005A69A0">
            <w:pPr>
              <w:spacing w:before="60" w:after="60"/>
              <w:rPr>
                <w:sz w:val="20"/>
              </w:rPr>
            </w:pPr>
            <w:r>
              <w:rPr>
                <w:sz w:val="20"/>
              </w:rPr>
              <w:t>Hungary</w:t>
            </w:r>
          </w:p>
        </w:tc>
      </w:tr>
      <w:tr w:rsidR="005A69A0" w14:paraId="0B11F657" w14:textId="77777777" w:rsidTr="005A69A0">
        <w:trPr>
          <w:trHeight w:val="288"/>
        </w:trPr>
        <w:tc>
          <w:tcPr>
            <w:tcW w:w="2603" w:type="dxa"/>
            <w:tcBorders>
              <w:top w:val="single" w:sz="4" w:space="0" w:color="auto"/>
              <w:left w:val="single" w:sz="4" w:space="0" w:color="auto"/>
              <w:bottom w:val="single" w:sz="4" w:space="0" w:color="auto"/>
              <w:right w:val="single" w:sz="4" w:space="0" w:color="auto"/>
            </w:tcBorders>
            <w:vAlign w:val="center"/>
            <w:hideMark/>
          </w:tcPr>
          <w:p w14:paraId="3E95BFD7" w14:textId="77777777" w:rsidR="005A69A0" w:rsidRDefault="005A69A0" w:rsidP="005A69A0">
            <w:pPr>
              <w:spacing w:before="60" w:after="60"/>
              <w:rPr>
                <w:sz w:val="20"/>
              </w:rPr>
            </w:pPr>
            <w:r>
              <w:rPr>
                <w:sz w:val="20"/>
              </w:rPr>
              <w:t>Indonesia</w:t>
            </w:r>
          </w:p>
        </w:tc>
        <w:tc>
          <w:tcPr>
            <w:tcW w:w="2604" w:type="dxa"/>
            <w:tcBorders>
              <w:top w:val="single" w:sz="4" w:space="0" w:color="auto"/>
              <w:left w:val="single" w:sz="4" w:space="0" w:color="auto"/>
              <w:bottom w:val="single" w:sz="4" w:space="0" w:color="auto"/>
              <w:right w:val="single" w:sz="4" w:space="0" w:color="auto"/>
            </w:tcBorders>
            <w:vAlign w:val="center"/>
            <w:hideMark/>
          </w:tcPr>
          <w:p w14:paraId="11ED6FC7" w14:textId="77777777" w:rsidR="005A69A0" w:rsidRDefault="005A69A0" w:rsidP="005A69A0">
            <w:pPr>
              <w:spacing w:before="60" w:after="60"/>
              <w:rPr>
                <w:sz w:val="20"/>
              </w:rPr>
            </w:pPr>
            <w:r>
              <w:rPr>
                <w:sz w:val="20"/>
              </w:rPr>
              <w:t>India</w:t>
            </w:r>
          </w:p>
        </w:tc>
        <w:tc>
          <w:tcPr>
            <w:tcW w:w="2603" w:type="dxa"/>
            <w:tcBorders>
              <w:top w:val="single" w:sz="4" w:space="0" w:color="auto"/>
              <w:left w:val="single" w:sz="4" w:space="0" w:color="auto"/>
              <w:bottom w:val="single" w:sz="4" w:space="0" w:color="auto"/>
              <w:right w:val="single" w:sz="4" w:space="0" w:color="auto"/>
            </w:tcBorders>
            <w:vAlign w:val="center"/>
            <w:hideMark/>
          </w:tcPr>
          <w:p w14:paraId="5CE5E282" w14:textId="77777777" w:rsidR="005A69A0" w:rsidRDefault="005A69A0" w:rsidP="005A69A0">
            <w:pPr>
              <w:spacing w:before="60" w:after="60"/>
              <w:rPr>
                <w:sz w:val="20"/>
              </w:rPr>
            </w:pPr>
            <w:r>
              <w:rPr>
                <w:sz w:val="20"/>
              </w:rPr>
              <w:t>Ireland</w:t>
            </w:r>
          </w:p>
        </w:tc>
        <w:tc>
          <w:tcPr>
            <w:tcW w:w="2604" w:type="dxa"/>
            <w:tcBorders>
              <w:top w:val="single" w:sz="4" w:space="0" w:color="auto"/>
              <w:left w:val="single" w:sz="4" w:space="0" w:color="auto"/>
              <w:bottom w:val="single" w:sz="4" w:space="0" w:color="auto"/>
              <w:right w:val="single" w:sz="4" w:space="0" w:color="auto"/>
            </w:tcBorders>
            <w:vAlign w:val="center"/>
            <w:hideMark/>
          </w:tcPr>
          <w:p w14:paraId="7A2F7E6C" w14:textId="77777777" w:rsidR="005A69A0" w:rsidRDefault="005A69A0" w:rsidP="005A69A0">
            <w:pPr>
              <w:spacing w:before="60" w:after="60"/>
              <w:rPr>
                <w:sz w:val="20"/>
              </w:rPr>
            </w:pPr>
            <w:r>
              <w:rPr>
                <w:sz w:val="20"/>
              </w:rPr>
              <w:t>Italy</w:t>
            </w:r>
          </w:p>
        </w:tc>
      </w:tr>
      <w:tr w:rsidR="005A69A0" w14:paraId="7AC667EF" w14:textId="77777777" w:rsidTr="005A69A0">
        <w:trPr>
          <w:trHeight w:val="288"/>
        </w:trPr>
        <w:tc>
          <w:tcPr>
            <w:tcW w:w="2603" w:type="dxa"/>
            <w:tcBorders>
              <w:top w:val="single" w:sz="4" w:space="0" w:color="auto"/>
              <w:left w:val="single" w:sz="4" w:space="0" w:color="auto"/>
              <w:bottom w:val="single" w:sz="4" w:space="0" w:color="auto"/>
              <w:right w:val="single" w:sz="4" w:space="0" w:color="auto"/>
            </w:tcBorders>
            <w:vAlign w:val="center"/>
            <w:hideMark/>
          </w:tcPr>
          <w:p w14:paraId="4B2419E2" w14:textId="77777777" w:rsidR="005A69A0" w:rsidRDefault="005A69A0" w:rsidP="005A69A0">
            <w:pPr>
              <w:spacing w:before="60" w:after="60"/>
              <w:rPr>
                <w:sz w:val="20"/>
              </w:rPr>
            </w:pPr>
            <w:r>
              <w:rPr>
                <w:sz w:val="20"/>
              </w:rPr>
              <w:t xml:space="preserve">Japan </w:t>
            </w:r>
          </w:p>
        </w:tc>
        <w:tc>
          <w:tcPr>
            <w:tcW w:w="2604" w:type="dxa"/>
            <w:tcBorders>
              <w:top w:val="single" w:sz="4" w:space="0" w:color="auto"/>
              <w:left w:val="single" w:sz="4" w:space="0" w:color="auto"/>
              <w:bottom w:val="single" w:sz="4" w:space="0" w:color="auto"/>
              <w:right w:val="single" w:sz="4" w:space="0" w:color="auto"/>
            </w:tcBorders>
            <w:vAlign w:val="center"/>
            <w:hideMark/>
          </w:tcPr>
          <w:p w14:paraId="4301C85F" w14:textId="77777777" w:rsidR="005A69A0" w:rsidRDefault="005A69A0" w:rsidP="005A69A0">
            <w:pPr>
              <w:spacing w:before="60" w:after="60"/>
              <w:rPr>
                <w:sz w:val="20"/>
              </w:rPr>
            </w:pPr>
            <w:r>
              <w:rPr>
                <w:sz w:val="20"/>
              </w:rPr>
              <w:t>Malaysia</w:t>
            </w:r>
          </w:p>
        </w:tc>
        <w:tc>
          <w:tcPr>
            <w:tcW w:w="2603" w:type="dxa"/>
            <w:tcBorders>
              <w:top w:val="single" w:sz="4" w:space="0" w:color="auto"/>
              <w:left w:val="single" w:sz="4" w:space="0" w:color="auto"/>
              <w:bottom w:val="single" w:sz="4" w:space="0" w:color="auto"/>
              <w:right w:val="single" w:sz="4" w:space="0" w:color="auto"/>
            </w:tcBorders>
            <w:vAlign w:val="center"/>
            <w:hideMark/>
          </w:tcPr>
          <w:p w14:paraId="3670B31D" w14:textId="77777777" w:rsidR="005A69A0" w:rsidRDefault="005A69A0" w:rsidP="005A69A0">
            <w:pPr>
              <w:spacing w:before="60" w:after="60"/>
              <w:rPr>
                <w:sz w:val="20"/>
              </w:rPr>
            </w:pPr>
            <w:r>
              <w:rPr>
                <w:sz w:val="20"/>
              </w:rPr>
              <w:t>Netherlands</w:t>
            </w:r>
          </w:p>
        </w:tc>
        <w:tc>
          <w:tcPr>
            <w:tcW w:w="2604" w:type="dxa"/>
            <w:tcBorders>
              <w:top w:val="single" w:sz="4" w:space="0" w:color="auto"/>
              <w:left w:val="single" w:sz="4" w:space="0" w:color="auto"/>
              <w:bottom w:val="single" w:sz="4" w:space="0" w:color="auto"/>
              <w:right w:val="single" w:sz="4" w:space="0" w:color="auto"/>
            </w:tcBorders>
            <w:vAlign w:val="center"/>
            <w:hideMark/>
          </w:tcPr>
          <w:p w14:paraId="1C9427C5" w14:textId="77777777" w:rsidR="005A69A0" w:rsidRDefault="005A69A0" w:rsidP="005A69A0">
            <w:pPr>
              <w:spacing w:before="60" w:after="60"/>
              <w:rPr>
                <w:sz w:val="20"/>
              </w:rPr>
            </w:pPr>
            <w:r>
              <w:rPr>
                <w:sz w:val="20"/>
              </w:rPr>
              <w:t>New Zealand</w:t>
            </w:r>
          </w:p>
        </w:tc>
      </w:tr>
      <w:tr w:rsidR="005A69A0" w14:paraId="3E5C9E78" w14:textId="77777777" w:rsidTr="005A69A0">
        <w:trPr>
          <w:trHeight w:val="288"/>
        </w:trPr>
        <w:tc>
          <w:tcPr>
            <w:tcW w:w="2603" w:type="dxa"/>
            <w:tcBorders>
              <w:top w:val="single" w:sz="4" w:space="0" w:color="auto"/>
              <w:left w:val="single" w:sz="4" w:space="0" w:color="auto"/>
              <w:bottom w:val="single" w:sz="4" w:space="0" w:color="auto"/>
              <w:right w:val="single" w:sz="4" w:space="0" w:color="auto"/>
            </w:tcBorders>
            <w:vAlign w:val="center"/>
            <w:hideMark/>
          </w:tcPr>
          <w:p w14:paraId="288E44F2" w14:textId="77777777" w:rsidR="005A69A0" w:rsidRDefault="005A69A0" w:rsidP="005A69A0">
            <w:pPr>
              <w:spacing w:before="60" w:after="60"/>
              <w:rPr>
                <w:sz w:val="20"/>
              </w:rPr>
            </w:pPr>
            <w:r>
              <w:rPr>
                <w:sz w:val="20"/>
              </w:rPr>
              <w:t xml:space="preserve">Pakistan </w:t>
            </w:r>
          </w:p>
        </w:tc>
        <w:tc>
          <w:tcPr>
            <w:tcW w:w="2604" w:type="dxa"/>
            <w:tcBorders>
              <w:top w:val="single" w:sz="4" w:space="0" w:color="auto"/>
              <w:left w:val="single" w:sz="4" w:space="0" w:color="auto"/>
              <w:bottom w:val="single" w:sz="4" w:space="0" w:color="auto"/>
              <w:right w:val="single" w:sz="4" w:space="0" w:color="auto"/>
            </w:tcBorders>
            <w:vAlign w:val="center"/>
            <w:hideMark/>
          </w:tcPr>
          <w:p w14:paraId="74F7BAF9" w14:textId="77777777" w:rsidR="005A69A0" w:rsidRDefault="005A69A0" w:rsidP="005A69A0">
            <w:pPr>
              <w:spacing w:before="60" w:after="60"/>
              <w:rPr>
                <w:sz w:val="20"/>
              </w:rPr>
            </w:pPr>
            <w:r>
              <w:rPr>
                <w:sz w:val="20"/>
              </w:rPr>
              <w:t>Philippines</w:t>
            </w:r>
          </w:p>
        </w:tc>
        <w:tc>
          <w:tcPr>
            <w:tcW w:w="2603" w:type="dxa"/>
            <w:tcBorders>
              <w:top w:val="single" w:sz="4" w:space="0" w:color="auto"/>
              <w:left w:val="single" w:sz="4" w:space="0" w:color="auto"/>
              <w:bottom w:val="single" w:sz="4" w:space="0" w:color="auto"/>
              <w:right w:val="single" w:sz="4" w:space="0" w:color="auto"/>
            </w:tcBorders>
            <w:vAlign w:val="center"/>
            <w:hideMark/>
          </w:tcPr>
          <w:p w14:paraId="5ECCD219" w14:textId="77777777" w:rsidR="005A69A0" w:rsidRDefault="005A69A0" w:rsidP="005A69A0">
            <w:pPr>
              <w:spacing w:before="60" w:after="60"/>
              <w:rPr>
                <w:sz w:val="20"/>
              </w:rPr>
            </w:pPr>
            <w:r>
              <w:rPr>
                <w:sz w:val="20"/>
              </w:rPr>
              <w:t xml:space="preserve">Poland </w:t>
            </w:r>
          </w:p>
        </w:tc>
        <w:tc>
          <w:tcPr>
            <w:tcW w:w="2604" w:type="dxa"/>
            <w:tcBorders>
              <w:top w:val="single" w:sz="4" w:space="0" w:color="auto"/>
              <w:left w:val="single" w:sz="4" w:space="0" w:color="auto"/>
              <w:bottom w:val="single" w:sz="4" w:space="0" w:color="auto"/>
              <w:right w:val="single" w:sz="4" w:space="0" w:color="auto"/>
            </w:tcBorders>
            <w:vAlign w:val="center"/>
            <w:hideMark/>
          </w:tcPr>
          <w:p w14:paraId="72A4FBCB" w14:textId="77777777" w:rsidR="005A69A0" w:rsidRDefault="005A69A0" w:rsidP="005A69A0">
            <w:pPr>
              <w:spacing w:before="60" w:after="60"/>
              <w:rPr>
                <w:sz w:val="20"/>
              </w:rPr>
            </w:pPr>
            <w:r>
              <w:rPr>
                <w:sz w:val="20"/>
              </w:rPr>
              <w:t>Singapore</w:t>
            </w:r>
          </w:p>
        </w:tc>
      </w:tr>
      <w:tr w:rsidR="005A69A0" w14:paraId="7A864BAE" w14:textId="77777777" w:rsidTr="005A69A0">
        <w:trPr>
          <w:trHeight w:val="288"/>
        </w:trPr>
        <w:tc>
          <w:tcPr>
            <w:tcW w:w="2603" w:type="dxa"/>
            <w:tcBorders>
              <w:top w:val="single" w:sz="4" w:space="0" w:color="auto"/>
              <w:left w:val="single" w:sz="4" w:space="0" w:color="auto"/>
              <w:bottom w:val="single" w:sz="4" w:space="0" w:color="auto"/>
              <w:right w:val="single" w:sz="4" w:space="0" w:color="auto"/>
            </w:tcBorders>
            <w:vAlign w:val="center"/>
            <w:hideMark/>
          </w:tcPr>
          <w:p w14:paraId="02384806" w14:textId="77777777" w:rsidR="005A69A0" w:rsidRDefault="005A69A0" w:rsidP="005A69A0">
            <w:pPr>
              <w:spacing w:before="60" w:after="60"/>
              <w:rPr>
                <w:sz w:val="20"/>
              </w:rPr>
            </w:pPr>
            <w:r>
              <w:rPr>
                <w:sz w:val="20"/>
              </w:rPr>
              <w:t xml:space="preserve">South Africa </w:t>
            </w:r>
          </w:p>
        </w:tc>
        <w:tc>
          <w:tcPr>
            <w:tcW w:w="2604" w:type="dxa"/>
            <w:tcBorders>
              <w:top w:val="single" w:sz="4" w:space="0" w:color="auto"/>
              <w:left w:val="single" w:sz="4" w:space="0" w:color="auto"/>
              <w:bottom w:val="single" w:sz="4" w:space="0" w:color="auto"/>
              <w:right w:val="single" w:sz="4" w:space="0" w:color="auto"/>
            </w:tcBorders>
            <w:vAlign w:val="center"/>
            <w:hideMark/>
          </w:tcPr>
          <w:p w14:paraId="442FCD45" w14:textId="77777777" w:rsidR="005A69A0" w:rsidRDefault="005A69A0" w:rsidP="005A69A0">
            <w:pPr>
              <w:spacing w:before="60" w:after="60"/>
              <w:rPr>
                <w:sz w:val="20"/>
              </w:rPr>
            </w:pPr>
            <w:r>
              <w:rPr>
                <w:sz w:val="20"/>
              </w:rPr>
              <w:t>South Korea</w:t>
            </w:r>
          </w:p>
        </w:tc>
        <w:tc>
          <w:tcPr>
            <w:tcW w:w="2603" w:type="dxa"/>
            <w:tcBorders>
              <w:top w:val="single" w:sz="4" w:space="0" w:color="auto"/>
              <w:left w:val="single" w:sz="4" w:space="0" w:color="auto"/>
              <w:bottom w:val="single" w:sz="4" w:space="0" w:color="auto"/>
              <w:right w:val="single" w:sz="4" w:space="0" w:color="auto"/>
            </w:tcBorders>
            <w:vAlign w:val="center"/>
            <w:hideMark/>
          </w:tcPr>
          <w:p w14:paraId="78E2A7A8" w14:textId="77777777" w:rsidR="005A69A0" w:rsidRDefault="005A69A0" w:rsidP="005A69A0">
            <w:pPr>
              <w:spacing w:before="60" w:after="60"/>
              <w:rPr>
                <w:sz w:val="20"/>
              </w:rPr>
            </w:pPr>
            <w:r>
              <w:rPr>
                <w:sz w:val="20"/>
              </w:rPr>
              <w:t xml:space="preserve">Taiwan </w:t>
            </w:r>
          </w:p>
        </w:tc>
        <w:tc>
          <w:tcPr>
            <w:tcW w:w="2604" w:type="dxa"/>
            <w:tcBorders>
              <w:top w:val="single" w:sz="4" w:space="0" w:color="auto"/>
              <w:left w:val="single" w:sz="4" w:space="0" w:color="auto"/>
              <w:bottom w:val="single" w:sz="4" w:space="0" w:color="auto"/>
              <w:right w:val="single" w:sz="4" w:space="0" w:color="auto"/>
            </w:tcBorders>
            <w:vAlign w:val="center"/>
            <w:hideMark/>
          </w:tcPr>
          <w:p w14:paraId="2A46D5D6" w14:textId="77777777" w:rsidR="005A69A0" w:rsidRDefault="005A69A0" w:rsidP="005A69A0">
            <w:pPr>
              <w:spacing w:before="60" w:after="60"/>
              <w:rPr>
                <w:sz w:val="20"/>
              </w:rPr>
            </w:pPr>
            <w:r>
              <w:rPr>
                <w:sz w:val="20"/>
              </w:rPr>
              <w:t>Thailand</w:t>
            </w:r>
          </w:p>
        </w:tc>
      </w:tr>
      <w:tr w:rsidR="005A69A0" w14:paraId="7001C479" w14:textId="77777777" w:rsidTr="005A69A0">
        <w:trPr>
          <w:trHeight w:val="288"/>
        </w:trPr>
        <w:tc>
          <w:tcPr>
            <w:tcW w:w="2603" w:type="dxa"/>
            <w:tcBorders>
              <w:top w:val="single" w:sz="4" w:space="0" w:color="auto"/>
              <w:left w:val="single" w:sz="4" w:space="0" w:color="auto"/>
              <w:bottom w:val="single" w:sz="4" w:space="0" w:color="auto"/>
              <w:right w:val="single" w:sz="4" w:space="0" w:color="auto"/>
            </w:tcBorders>
            <w:vAlign w:val="center"/>
            <w:hideMark/>
          </w:tcPr>
          <w:p w14:paraId="0D12435B" w14:textId="77777777" w:rsidR="005A69A0" w:rsidRDefault="005A69A0" w:rsidP="005A69A0">
            <w:pPr>
              <w:spacing w:before="60" w:after="60"/>
              <w:rPr>
                <w:sz w:val="20"/>
              </w:rPr>
            </w:pPr>
            <w:r>
              <w:rPr>
                <w:sz w:val="20"/>
              </w:rPr>
              <w:t>Turkey</w:t>
            </w:r>
          </w:p>
        </w:tc>
        <w:tc>
          <w:tcPr>
            <w:tcW w:w="2604" w:type="dxa"/>
            <w:tcBorders>
              <w:top w:val="single" w:sz="4" w:space="0" w:color="auto"/>
              <w:left w:val="single" w:sz="4" w:space="0" w:color="auto"/>
              <w:bottom w:val="single" w:sz="4" w:space="0" w:color="auto"/>
              <w:right w:val="single" w:sz="4" w:space="0" w:color="auto"/>
            </w:tcBorders>
            <w:vAlign w:val="center"/>
            <w:hideMark/>
          </w:tcPr>
          <w:p w14:paraId="10AEB854" w14:textId="77777777" w:rsidR="005A69A0" w:rsidRDefault="005A69A0" w:rsidP="005A69A0">
            <w:pPr>
              <w:spacing w:before="60" w:after="60"/>
              <w:rPr>
                <w:sz w:val="20"/>
              </w:rPr>
            </w:pPr>
            <w:r>
              <w:rPr>
                <w:sz w:val="20"/>
              </w:rPr>
              <w:t>United Kingdom</w:t>
            </w:r>
          </w:p>
        </w:tc>
        <w:tc>
          <w:tcPr>
            <w:tcW w:w="2603" w:type="dxa"/>
            <w:tcBorders>
              <w:top w:val="single" w:sz="4" w:space="0" w:color="auto"/>
              <w:left w:val="single" w:sz="4" w:space="0" w:color="auto"/>
              <w:bottom w:val="single" w:sz="4" w:space="0" w:color="auto"/>
              <w:right w:val="single" w:sz="4" w:space="0" w:color="auto"/>
            </w:tcBorders>
            <w:vAlign w:val="center"/>
            <w:hideMark/>
          </w:tcPr>
          <w:p w14:paraId="19E21FD2" w14:textId="77777777" w:rsidR="005A69A0" w:rsidRDefault="005A69A0" w:rsidP="005A69A0">
            <w:pPr>
              <w:spacing w:before="60" w:after="60"/>
              <w:rPr>
                <w:sz w:val="20"/>
              </w:rPr>
            </w:pPr>
            <w:r>
              <w:rPr>
                <w:sz w:val="20"/>
              </w:rPr>
              <w:t xml:space="preserve">USA </w:t>
            </w:r>
          </w:p>
        </w:tc>
        <w:tc>
          <w:tcPr>
            <w:tcW w:w="2604" w:type="dxa"/>
            <w:tcBorders>
              <w:top w:val="single" w:sz="4" w:space="0" w:color="auto"/>
              <w:left w:val="single" w:sz="4" w:space="0" w:color="auto"/>
              <w:bottom w:val="single" w:sz="4" w:space="0" w:color="auto"/>
              <w:right w:val="single" w:sz="4" w:space="0" w:color="auto"/>
            </w:tcBorders>
            <w:vAlign w:val="center"/>
            <w:hideMark/>
          </w:tcPr>
          <w:p w14:paraId="12EB82B3" w14:textId="77777777" w:rsidR="005A69A0" w:rsidRDefault="005A69A0" w:rsidP="005A69A0">
            <w:pPr>
              <w:spacing w:before="60" w:after="60"/>
              <w:rPr>
                <w:sz w:val="20"/>
              </w:rPr>
            </w:pPr>
            <w:r>
              <w:rPr>
                <w:sz w:val="20"/>
              </w:rPr>
              <w:t>Vietnam</w:t>
            </w:r>
          </w:p>
        </w:tc>
      </w:tr>
    </w:tbl>
    <w:p w14:paraId="0EDB3FAF" w14:textId="77777777" w:rsidR="005A69A0" w:rsidRDefault="005A69A0" w:rsidP="005A69A0">
      <w:pPr>
        <w:spacing w:after="200"/>
        <w:rPr>
          <w:sz w:val="20"/>
        </w:rPr>
      </w:pPr>
    </w:p>
    <w:p w14:paraId="0C26DB71" w14:textId="77777777" w:rsidR="005A69A0" w:rsidRDefault="005A69A0" w:rsidP="005A69A0">
      <w:pPr>
        <w:pStyle w:val="Heading6"/>
        <w:rPr>
          <w:bCs w:val="0"/>
        </w:rPr>
      </w:pPr>
      <w:bookmarkStart w:id="2305" w:name="_Toc479322677"/>
      <w:bookmarkStart w:id="2306" w:name="_Toc506192966"/>
      <w:bookmarkStart w:id="2307" w:name="_Toc507422375"/>
      <w:bookmarkStart w:id="2308" w:name="_Toc510692758"/>
      <w:r>
        <w:rPr>
          <w:bCs w:val="0"/>
        </w:rPr>
        <w:t>My Account</w:t>
      </w:r>
      <w:bookmarkEnd w:id="2305"/>
      <w:bookmarkEnd w:id="2306"/>
      <w:bookmarkEnd w:id="2307"/>
      <w:bookmarkEnd w:id="2308"/>
    </w:p>
    <w:p w14:paraId="49BD40BD" w14:textId="77777777" w:rsidR="005A69A0" w:rsidRDefault="005A69A0" w:rsidP="005A69A0">
      <w:pPr>
        <w:spacing w:after="200"/>
        <w:ind w:left="720"/>
        <w:rPr>
          <w:sz w:val="20"/>
        </w:rPr>
      </w:pPr>
      <w:r>
        <w:rPr>
          <w:sz w:val="20"/>
        </w:rPr>
        <w:t xml:space="preserve">Services that share data may have a service login to My Account which will display all of the service numbers contributing to or using the shared data pool on </w:t>
      </w:r>
      <w:r>
        <w:rPr>
          <w:i/>
          <w:sz w:val="20"/>
        </w:rPr>
        <w:t xml:space="preserve">your </w:t>
      </w:r>
      <w:r>
        <w:rPr>
          <w:sz w:val="20"/>
        </w:rPr>
        <w:t xml:space="preserve">account and the amount of data each </w:t>
      </w:r>
      <w:r>
        <w:rPr>
          <w:i/>
          <w:sz w:val="20"/>
        </w:rPr>
        <w:t>service</w:t>
      </w:r>
      <w:r>
        <w:rPr>
          <w:sz w:val="20"/>
        </w:rPr>
        <w:t xml:space="preserve"> has used. If </w:t>
      </w:r>
      <w:r>
        <w:rPr>
          <w:i/>
          <w:sz w:val="20"/>
        </w:rPr>
        <w:t>you</w:t>
      </w:r>
      <w:r>
        <w:rPr>
          <w:sz w:val="20"/>
        </w:rPr>
        <w:t xml:space="preserve"> have more than 6 services on </w:t>
      </w:r>
      <w:r>
        <w:rPr>
          <w:i/>
          <w:sz w:val="20"/>
        </w:rPr>
        <w:t>your</w:t>
      </w:r>
      <w:r>
        <w:rPr>
          <w:sz w:val="20"/>
        </w:rPr>
        <w:t xml:space="preserve"> account, My Account may not be suitable for viewing usage and managing </w:t>
      </w:r>
      <w:r>
        <w:rPr>
          <w:i/>
          <w:sz w:val="20"/>
        </w:rPr>
        <w:t xml:space="preserve">your </w:t>
      </w:r>
      <w:r>
        <w:rPr>
          <w:sz w:val="20"/>
        </w:rPr>
        <w:t>usage alerts.</w:t>
      </w:r>
    </w:p>
    <w:p w14:paraId="7C695F75" w14:textId="77777777" w:rsidR="005A69A0" w:rsidRDefault="005A69A0" w:rsidP="005A69A0">
      <w:pPr>
        <w:pStyle w:val="Heading6"/>
        <w:rPr>
          <w:bCs w:val="0"/>
        </w:rPr>
      </w:pPr>
      <w:bookmarkStart w:id="2309" w:name="_Toc479322678"/>
      <w:bookmarkStart w:id="2310" w:name="_Toc506192967"/>
      <w:bookmarkStart w:id="2311" w:name="_Toc507422376"/>
      <w:bookmarkStart w:id="2312" w:name="_Toc510692759"/>
      <w:r>
        <w:rPr>
          <w:bCs w:val="0"/>
        </w:rPr>
        <w:t xml:space="preserve">What happens if the </w:t>
      </w:r>
      <w:r>
        <w:rPr>
          <w:bCs w:val="0"/>
          <w:i/>
        </w:rPr>
        <w:t xml:space="preserve">service </w:t>
      </w:r>
      <w:r>
        <w:rPr>
          <w:bCs w:val="0"/>
        </w:rPr>
        <w:t>is</w:t>
      </w:r>
      <w:r>
        <w:rPr>
          <w:bCs w:val="0"/>
          <w:i/>
        </w:rPr>
        <w:t xml:space="preserve"> cancelled </w:t>
      </w:r>
      <w:r>
        <w:rPr>
          <w:bCs w:val="0"/>
        </w:rPr>
        <w:t>early?</w:t>
      </w:r>
      <w:bookmarkEnd w:id="2309"/>
      <w:bookmarkEnd w:id="2310"/>
      <w:bookmarkEnd w:id="2311"/>
      <w:bookmarkEnd w:id="2312"/>
    </w:p>
    <w:p w14:paraId="718012AC" w14:textId="77777777" w:rsidR="005A69A0" w:rsidRDefault="005A69A0" w:rsidP="005A69A0">
      <w:pPr>
        <w:pStyle w:val="Heading7"/>
      </w:pPr>
      <w:r>
        <w:t>If the</w:t>
      </w:r>
      <w:r>
        <w:rPr>
          <w:i/>
        </w:rPr>
        <w:t xml:space="preserve"> service</w:t>
      </w:r>
      <w:r>
        <w:t xml:space="preserve"> is</w:t>
      </w:r>
      <w:r>
        <w:rPr>
          <w:i/>
        </w:rPr>
        <w:t xml:space="preserve"> cancelled </w:t>
      </w:r>
      <w:r>
        <w:t xml:space="preserve">before the end of </w:t>
      </w:r>
      <w:r>
        <w:rPr>
          <w:i/>
        </w:rPr>
        <w:t xml:space="preserve">your minimum term, you </w:t>
      </w:r>
      <w:r>
        <w:t xml:space="preserve">will be required to pay </w:t>
      </w:r>
      <w:r>
        <w:rPr>
          <w:i/>
        </w:rPr>
        <w:t>us</w:t>
      </w:r>
      <w:r>
        <w:t>:</w:t>
      </w:r>
    </w:p>
    <w:p w14:paraId="59594466" w14:textId="77777777" w:rsidR="005A69A0" w:rsidRDefault="005A69A0" w:rsidP="005A69A0">
      <w:pPr>
        <w:pStyle w:val="Heading8"/>
        <w:rPr>
          <w:iCs w:val="0"/>
        </w:rPr>
      </w:pPr>
      <w:r>
        <w:rPr>
          <w:iCs w:val="0"/>
        </w:rPr>
        <w:t xml:space="preserve">any usage charges incurred up to, and including, the </w:t>
      </w:r>
      <w:r>
        <w:rPr>
          <w:i/>
          <w:iCs w:val="0"/>
        </w:rPr>
        <w:t xml:space="preserve">cancellation date; </w:t>
      </w:r>
      <w:r>
        <w:rPr>
          <w:iCs w:val="0"/>
        </w:rPr>
        <w:t>plus</w:t>
      </w:r>
    </w:p>
    <w:p w14:paraId="50A1D6E5" w14:textId="77777777" w:rsidR="005A69A0" w:rsidRDefault="005A69A0" w:rsidP="005A69A0">
      <w:pPr>
        <w:pStyle w:val="Heading8"/>
        <w:rPr>
          <w:iCs w:val="0"/>
        </w:rPr>
      </w:pPr>
      <w:r>
        <w:rPr>
          <w:iCs w:val="0"/>
        </w:rPr>
        <w:t xml:space="preserve">the </w:t>
      </w:r>
      <w:r>
        <w:rPr>
          <w:i/>
          <w:iCs w:val="0"/>
        </w:rPr>
        <w:t>cancellation fees</w:t>
      </w:r>
      <w:r>
        <w:rPr>
          <w:iCs w:val="0"/>
        </w:rPr>
        <w:t xml:space="preserve"> set out in paragraph </w:t>
      </w:r>
      <w:r>
        <w:rPr>
          <w:iCs w:val="0"/>
        </w:rPr>
        <w:fldChar w:fldCharType="begin"/>
      </w:r>
      <w:r>
        <w:rPr>
          <w:iCs w:val="0"/>
        </w:rPr>
        <w:instrText xml:space="preserve"> REF _Ref446042467 \n \h </w:instrText>
      </w:r>
      <w:r>
        <w:rPr>
          <w:iCs w:val="0"/>
        </w:rPr>
      </w:r>
      <w:r>
        <w:rPr>
          <w:iCs w:val="0"/>
        </w:rPr>
        <w:fldChar w:fldCharType="separate"/>
      </w:r>
      <w:r>
        <w:rPr>
          <w:iCs w:val="0"/>
        </w:rPr>
        <w:t>(b)</w:t>
      </w:r>
      <w:r>
        <w:rPr>
          <w:iCs w:val="0"/>
        </w:rPr>
        <w:fldChar w:fldCharType="end"/>
      </w:r>
      <w:r>
        <w:rPr>
          <w:iCs w:val="0"/>
        </w:rPr>
        <w:t xml:space="preserve"> below (unless under clause 2A of the </w:t>
      </w:r>
      <w:r>
        <w:rPr>
          <w:i/>
          <w:iCs w:val="0"/>
        </w:rPr>
        <w:t>consumer terms</w:t>
      </w:r>
      <w:r>
        <w:rPr>
          <w:iCs w:val="0"/>
        </w:rPr>
        <w:t xml:space="preserve">, </w:t>
      </w:r>
      <w:r>
        <w:rPr>
          <w:i/>
          <w:iCs w:val="0"/>
        </w:rPr>
        <w:t>you</w:t>
      </w:r>
      <w:r>
        <w:rPr>
          <w:iCs w:val="0"/>
        </w:rPr>
        <w:t xml:space="preserve"> are entitled to </w:t>
      </w:r>
      <w:r>
        <w:rPr>
          <w:i/>
          <w:iCs w:val="0"/>
        </w:rPr>
        <w:t>cancel the service</w:t>
      </w:r>
      <w:r>
        <w:rPr>
          <w:iCs w:val="0"/>
        </w:rPr>
        <w:t xml:space="preserve"> without incurring a </w:t>
      </w:r>
      <w:r>
        <w:rPr>
          <w:i/>
          <w:iCs w:val="0"/>
        </w:rPr>
        <w:t>cancellation fee</w:t>
      </w:r>
      <w:r>
        <w:rPr>
          <w:iCs w:val="0"/>
        </w:rPr>
        <w:t>); plus</w:t>
      </w:r>
    </w:p>
    <w:p w14:paraId="6BBDE0DC" w14:textId="77777777" w:rsidR="005A69A0" w:rsidRDefault="005A69A0" w:rsidP="005A69A0">
      <w:pPr>
        <w:pStyle w:val="Heading8"/>
        <w:rPr>
          <w:iCs w:val="0"/>
        </w:rPr>
      </w:pPr>
      <w:r>
        <w:rPr>
          <w:iCs w:val="0"/>
        </w:rPr>
        <w:t xml:space="preserve">the sum of unpaid </w:t>
      </w:r>
      <w:r>
        <w:rPr>
          <w:i/>
          <w:iCs w:val="0"/>
        </w:rPr>
        <w:t xml:space="preserve">equipment charges </w:t>
      </w:r>
      <w:r>
        <w:rPr>
          <w:iCs w:val="0"/>
        </w:rPr>
        <w:t xml:space="preserve">owing on </w:t>
      </w:r>
      <w:r>
        <w:rPr>
          <w:i/>
          <w:iCs w:val="0"/>
        </w:rPr>
        <w:t xml:space="preserve">your mobile phone </w:t>
      </w:r>
      <w:r>
        <w:rPr>
          <w:iCs w:val="0"/>
        </w:rPr>
        <w:t xml:space="preserve">under the </w:t>
      </w:r>
      <w:r>
        <w:rPr>
          <w:i/>
          <w:iCs w:val="0"/>
        </w:rPr>
        <w:t xml:space="preserve">mobile equipment payment plan </w:t>
      </w:r>
      <w:r>
        <w:rPr>
          <w:iCs w:val="0"/>
        </w:rPr>
        <w:t>(if any).</w:t>
      </w:r>
    </w:p>
    <w:p w14:paraId="6E6857AC" w14:textId="77777777" w:rsidR="005A69A0" w:rsidRDefault="005A69A0" w:rsidP="005A69A0">
      <w:pPr>
        <w:pStyle w:val="Heading7"/>
      </w:pPr>
      <w:r>
        <w:t xml:space="preserve">The </w:t>
      </w:r>
      <w:r>
        <w:rPr>
          <w:i/>
        </w:rPr>
        <w:t>cancellation fee</w:t>
      </w:r>
      <w:r>
        <w:t xml:space="preserve"> is calculated as the following amounts, multiplied by the months remaining on </w:t>
      </w:r>
      <w:r>
        <w:rPr>
          <w:i/>
        </w:rPr>
        <w:t>your minimum term</w:t>
      </w:r>
      <w:r>
        <w:t>:</w:t>
      </w:r>
    </w:p>
    <w:tbl>
      <w:tblPr>
        <w:tblpPr w:leftFromText="180" w:rightFromText="180" w:vertAnchor="text" w:tblpX="108" w:tblpY="1"/>
        <w:tblOverlap w:val="neve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1"/>
        <w:gridCol w:w="5269"/>
      </w:tblGrid>
      <w:tr w:rsidR="005A69A0" w14:paraId="7FEF5CC4" w14:textId="77777777" w:rsidTr="005A69A0">
        <w:trPr>
          <w:trHeight w:val="54"/>
        </w:trPr>
        <w:tc>
          <w:tcPr>
            <w:tcW w:w="2389" w:type="pct"/>
            <w:tcBorders>
              <w:top w:val="single" w:sz="4" w:space="0" w:color="auto"/>
              <w:left w:val="single" w:sz="4" w:space="0" w:color="auto"/>
              <w:bottom w:val="single" w:sz="4" w:space="0" w:color="auto"/>
              <w:right w:val="single" w:sz="4" w:space="0" w:color="auto"/>
            </w:tcBorders>
            <w:vAlign w:val="center"/>
          </w:tcPr>
          <w:p w14:paraId="33F85626" w14:textId="77777777" w:rsidR="005A69A0" w:rsidRDefault="005A69A0" w:rsidP="005A69A0">
            <w:pPr>
              <w:spacing w:before="100" w:after="100"/>
              <w:rPr>
                <w:sz w:val="20"/>
              </w:rPr>
            </w:pPr>
          </w:p>
        </w:tc>
        <w:tc>
          <w:tcPr>
            <w:tcW w:w="2611" w:type="pct"/>
            <w:tcBorders>
              <w:top w:val="single" w:sz="4" w:space="0" w:color="auto"/>
              <w:left w:val="single" w:sz="4" w:space="0" w:color="auto"/>
              <w:bottom w:val="single" w:sz="4" w:space="0" w:color="auto"/>
              <w:right w:val="single" w:sz="4" w:space="0" w:color="auto"/>
            </w:tcBorders>
            <w:hideMark/>
          </w:tcPr>
          <w:p w14:paraId="590DC299" w14:textId="77777777" w:rsidR="005A69A0" w:rsidRDefault="005A69A0" w:rsidP="005A69A0">
            <w:pPr>
              <w:spacing w:before="100" w:after="100"/>
              <w:jc w:val="center"/>
              <w:rPr>
                <w:b/>
                <w:sz w:val="20"/>
              </w:rPr>
            </w:pPr>
            <w:r>
              <w:rPr>
                <w:b/>
                <w:sz w:val="20"/>
              </w:rPr>
              <w:t>$40 My Plan Plus 24M SIM Only</w:t>
            </w:r>
          </w:p>
        </w:tc>
      </w:tr>
      <w:tr w:rsidR="005A69A0" w14:paraId="70CB1C96" w14:textId="77777777" w:rsidTr="005A69A0">
        <w:trPr>
          <w:trHeight w:val="54"/>
        </w:trPr>
        <w:tc>
          <w:tcPr>
            <w:tcW w:w="2389" w:type="pct"/>
            <w:tcBorders>
              <w:top w:val="single" w:sz="4" w:space="0" w:color="auto"/>
              <w:left w:val="single" w:sz="4" w:space="0" w:color="auto"/>
              <w:bottom w:val="single" w:sz="4" w:space="0" w:color="auto"/>
              <w:right w:val="single" w:sz="4" w:space="0" w:color="auto"/>
            </w:tcBorders>
            <w:vAlign w:val="center"/>
            <w:hideMark/>
          </w:tcPr>
          <w:p w14:paraId="1CC6CEB4" w14:textId="77777777" w:rsidR="005A69A0" w:rsidRDefault="005A69A0" w:rsidP="005A69A0">
            <w:pPr>
              <w:spacing w:before="100" w:after="100"/>
              <w:jc w:val="center"/>
              <w:rPr>
                <w:b/>
                <w:sz w:val="20"/>
              </w:rPr>
            </w:pPr>
            <w:r>
              <w:rPr>
                <w:b/>
                <w:bCs/>
                <w:sz w:val="20"/>
                <w:lang w:eastAsia="en-AU"/>
              </w:rPr>
              <w:t>Cancellation Fee</w:t>
            </w:r>
          </w:p>
        </w:tc>
        <w:tc>
          <w:tcPr>
            <w:tcW w:w="2611" w:type="pct"/>
            <w:tcBorders>
              <w:top w:val="single" w:sz="4" w:space="0" w:color="auto"/>
              <w:left w:val="single" w:sz="4" w:space="0" w:color="auto"/>
              <w:bottom w:val="single" w:sz="4" w:space="0" w:color="auto"/>
              <w:right w:val="single" w:sz="4" w:space="0" w:color="auto"/>
            </w:tcBorders>
            <w:hideMark/>
          </w:tcPr>
          <w:p w14:paraId="11F4A0D7" w14:textId="77777777" w:rsidR="005A69A0" w:rsidRDefault="005A69A0" w:rsidP="005A69A0">
            <w:pPr>
              <w:spacing w:before="100" w:after="100"/>
              <w:jc w:val="center"/>
              <w:rPr>
                <w:sz w:val="20"/>
                <w:szCs w:val="20"/>
              </w:rPr>
            </w:pPr>
            <w:r>
              <w:rPr>
                <w:rFonts w:cs="Arial"/>
                <w:sz w:val="20"/>
                <w:szCs w:val="20"/>
              </w:rPr>
              <w:t>$15 x Months remaining</w:t>
            </w:r>
          </w:p>
        </w:tc>
      </w:tr>
      <w:tr w:rsidR="005A69A0" w14:paraId="1FADDB69" w14:textId="77777777" w:rsidTr="005A69A0">
        <w:trPr>
          <w:trHeight w:val="57"/>
        </w:trPr>
        <w:tc>
          <w:tcPr>
            <w:tcW w:w="2389" w:type="pct"/>
            <w:tcBorders>
              <w:top w:val="single" w:sz="4" w:space="0" w:color="auto"/>
              <w:left w:val="single" w:sz="4" w:space="0" w:color="auto"/>
              <w:bottom w:val="single" w:sz="4" w:space="0" w:color="auto"/>
              <w:right w:val="single" w:sz="4" w:space="0" w:color="auto"/>
            </w:tcBorders>
            <w:vAlign w:val="center"/>
            <w:hideMark/>
          </w:tcPr>
          <w:p w14:paraId="3B14A772" w14:textId="77777777" w:rsidR="005A69A0" w:rsidRDefault="005A69A0" w:rsidP="005A69A0">
            <w:pPr>
              <w:spacing w:before="100" w:after="100"/>
              <w:jc w:val="center"/>
              <w:rPr>
                <w:b/>
                <w:bCs/>
                <w:sz w:val="20"/>
                <w:lang w:eastAsia="en-AU"/>
              </w:rPr>
            </w:pPr>
            <w:r>
              <w:rPr>
                <w:b/>
                <w:bCs/>
                <w:sz w:val="20"/>
                <w:lang w:eastAsia="en-AU"/>
              </w:rPr>
              <w:t>Maximum Cancellation Fee</w:t>
            </w:r>
          </w:p>
        </w:tc>
        <w:tc>
          <w:tcPr>
            <w:tcW w:w="2611" w:type="pct"/>
            <w:tcBorders>
              <w:top w:val="single" w:sz="4" w:space="0" w:color="auto"/>
              <w:left w:val="single" w:sz="4" w:space="0" w:color="auto"/>
              <w:bottom w:val="single" w:sz="4" w:space="0" w:color="auto"/>
              <w:right w:val="single" w:sz="4" w:space="0" w:color="auto"/>
            </w:tcBorders>
            <w:vAlign w:val="center"/>
            <w:hideMark/>
          </w:tcPr>
          <w:p w14:paraId="22688B1F" w14:textId="77777777" w:rsidR="005A69A0" w:rsidRDefault="005A69A0" w:rsidP="005A69A0">
            <w:pPr>
              <w:spacing w:after="100"/>
              <w:jc w:val="center"/>
              <w:rPr>
                <w:rFonts w:eastAsia="Calibri"/>
                <w:sz w:val="20"/>
                <w:szCs w:val="20"/>
              </w:rPr>
            </w:pPr>
            <w:r>
              <w:rPr>
                <w:rFonts w:eastAsia="Calibri" w:cs="Arial"/>
                <w:sz w:val="20"/>
                <w:szCs w:val="20"/>
              </w:rPr>
              <w:t>$360</w:t>
            </w:r>
          </w:p>
        </w:tc>
      </w:tr>
    </w:tbl>
    <w:p w14:paraId="6BC718FE" w14:textId="77777777" w:rsidR="005A69A0" w:rsidRDefault="005A69A0" w:rsidP="005A69A0">
      <w:pPr>
        <w:spacing w:after="200"/>
        <w:rPr>
          <w:sz w:val="20"/>
        </w:rPr>
      </w:pPr>
    </w:p>
    <w:p w14:paraId="5016BDE9" w14:textId="77777777" w:rsidR="005A69A0" w:rsidRDefault="005A69A0" w:rsidP="005A69A0">
      <w:pPr>
        <w:pStyle w:val="Heading7"/>
        <w:rPr>
          <w:szCs w:val="20"/>
        </w:rPr>
      </w:pPr>
      <w:r>
        <w:rPr>
          <w:szCs w:val="20"/>
        </w:rPr>
        <w:t xml:space="preserve">If </w:t>
      </w:r>
      <w:r>
        <w:rPr>
          <w:i/>
          <w:szCs w:val="20"/>
        </w:rPr>
        <w:t>your</w:t>
      </w:r>
      <w:r>
        <w:rPr>
          <w:szCs w:val="20"/>
        </w:rPr>
        <w:t xml:space="preserve"> My Plan Plus 12M SIM is </w:t>
      </w:r>
      <w:r>
        <w:rPr>
          <w:i/>
          <w:szCs w:val="20"/>
        </w:rPr>
        <w:t>cancelled</w:t>
      </w:r>
      <w:r>
        <w:rPr>
          <w:szCs w:val="20"/>
        </w:rPr>
        <w:t xml:space="preserve">, </w:t>
      </w:r>
      <w:r>
        <w:rPr>
          <w:i/>
          <w:szCs w:val="20"/>
        </w:rPr>
        <w:t>your</w:t>
      </w:r>
      <w:r>
        <w:rPr>
          <w:szCs w:val="20"/>
        </w:rPr>
        <w:t xml:space="preserve"> Shared Data Plan(s) may also be </w:t>
      </w:r>
      <w:r>
        <w:rPr>
          <w:i/>
          <w:szCs w:val="20"/>
        </w:rPr>
        <w:t>cancelled</w:t>
      </w:r>
      <w:r>
        <w:rPr>
          <w:szCs w:val="20"/>
        </w:rPr>
        <w:t xml:space="preserve">. There are no </w:t>
      </w:r>
      <w:r>
        <w:rPr>
          <w:i/>
          <w:szCs w:val="20"/>
        </w:rPr>
        <w:t>cancellation fees</w:t>
      </w:r>
      <w:r>
        <w:rPr>
          <w:szCs w:val="20"/>
        </w:rPr>
        <w:t xml:space="preserve"> for the Shared Data Plan, however if </w:t>
      </w:r>
      <w:r>
        <w:rPr>
          <w:i/>
          <w:szCs w:val="20"/>
        </w:rPr>
        <w:t>you</w:t>
      </w:r>
      <w:r>
        <w:rPr>
          <w:szCs w:val="20"/>
        </w:rPr>
        <w:t xml:space="preserve"> purchased a </w:t>
      </w:r>
      <w:r>
        <w:rPr>
          <w:i/>
          <w:szCs w:val="20"/>
        </w:rPr>
        <w:t>device</w:t>
      </w:r>
      <w:r>
        <w:rPr>
          <w:szCs w:val="20"/>
        </w:rPr>
        <w:t xml:space="preserve"> </w:t>
      </w:r>
      <w:r>
        <w:rPr>
          <w:i/>
          <w:szCs w:val="20"/>
        </w:rPr>
        <w:t>you</w:t>
      </w:r>
      <w:r>
        <w:rPr>
          <w:szCs w:val="20"/>
        </w:rPr>
        <w:t xml:space="preserve"> need to pay the sum of any remaining </w:t>
      </w:r>
      <w:r>
        <w:rPr>
          <w:i/>
          <w:szCs w:val="20"/>
        </w:rPr>
        <w:t xml:space="preserve">equipment charges </w:t>
      </w:r>
      <w:r>
        <w:rPr>
          <w:szCs w:val="20"/>
        </w:rPr>
        <w:t xml:space="preserve">owing on </w:t>
      </w:r>
      <w:r>
        <w:rPr>
          <w:i/>
          <w:szCs w:val="20"/>
        </w:rPr>
        <w:t xml:space="preserve">your device </w:t>
      </w:r>
      <w:r>
        <w:rPr>
          <w:szCs w:val="20"/>
        </w:rPr>
        <w:t xml:space="preserve">under the </w:t>
      </w:r>
      <w:r>
        <w:rPr>
          <w:i/>
          <w:szCs w:val="20"/>
        </w:rPr>
        <w:t xml:space="preserve">mobile equipment payment plan </w:t>
      </w:r>
      <w:r>
        <w:rPr>
          <w:szCs w:val="20"/>
        </w:rPr>
        <w:t xml:space="preserve">(see </w:t>
      </w:r>
      <w:hyperlink r:id="rId873" w:history="1">
        <w:r>
          <w:rPr>
            <w:rStyle w:val="Hyperlink"/>
            <w:rFonts w:eastAsia="MS Gothic"/>
            <w:i/>
            <w:szCs w:val="20"/>
          </w:rPr>
          <w:t>Appendix D</w:t>
        </w:r>
      </w:hyperlink>
      <w:r>
        <w:rPr>
          <w:szCs w:val="20"/>
        </w:rPr>
        <w:t>).</w:t>
      </w:r>
    </w:p>
    <w:p w14:paraId="13807461" w14:textId="77777777" w:rsidR="005A69A0" w:rsidRDefault="005A69A0" w:rsidP="005A69A0">
      <w:pPr>
        <w:pStyle w:val="Heading7"/>
        <w:rPr>
          <w:szCs w:val="20"/>
        </w:rPr>
      </w:pPr>
      <w:r>
        <w:rPr>
          <w:szCs w:val="20"/>
        </w:rPr>
        <w:t xml:space="preserve">If </w:t>
      </w:r>
      <w:r>
        <w:rPr>
          <w:i/>
          <w:szCs w:val="20"/>
        </w:rPr>
        <w:t xml:space="preserve">your </w:t>
      </w:r>
      <w:r>
        <w:rPr>
          <w:szCs w:val="20"/>
        </w:rPr>
        <w:t xml:space="preserve">Shared Data Plan is not </w:t>
      </w:r>
      <w:r>
        <w:rPr>
          <w:i/>
          <w:szCs w:val="20"/>
        </w:rPr>
        <w:t>cancelled</w:t>
      </w:r>
      <w:r>
        <w:rPr>
          <w:szCs w:val="20"/>
        </w:rPr>
        <w:t xml:space="preserve">, </w:t>
      </w:r>
      <w:r>
        <w:rPr>
          <w:i/>
          <w:szCs w:val="20"/>
        </w:rPr>
        <w:t>you</w:t>
      </w:r>
      <w:r>
        <w:rPr>
          <w:szCs w:val="20"/>
        </w:rPr>
        <w:t xml:space="preserve"> will be charged $10 per 1GB within Australia, up to 150GB (per account) in a billing month. </w:t>
      </w:r>
      <w:r>
        <w:rPr>
          <w:i/>
          <w:szCs w:val="20"/>
        </w:rPr>
        <w:t>Your</w:t>
      </w:r>
      <w:r>
        <w:rPr>
          <w:szCs w:val="20"/>
        </w:rPr>
        <w:t xml:space="preserve"> </w:t>
      </w:r>
      <w:r>
        <w:rPr>
          <w:i/>
          <w:szCs w:val="20"/>
        </w:rPr>
        <w:t>service/s</w:t>
      </w:r>
      <w:r>
        <w:rPr>
          <w:szCs w:val="20"/>
        </w:rPr>
        <w:t xml:space="preserve"> may then be restricted or </w:t>
      </w:r>
      <w:r>
        <w:rPr>
          <w:i/>
          <w:szCs w:val="20"/>
        </w:rPr>
        <w:t>we</w:t>
      </w:r>
      <w:r>
        <w:rPr>
          <w:szCs w:val="20"/>
        </w:rPr>
        <w:t xml:space="preserve"> may continue to charge </w:t>
      </w:r>
      <w:r>
        <w:rPr>
          <w:i/>
          <w:szCs w:val="20"/>
        </w:rPr>
        <w:t>you</w:t>
      </w:r>
      <w:r>
        <w:rPr>
          <w:szCs w:val="20"/>
        </w:rPr>
        <w:t xml:space="preserve"> at these rates.</w:t>
      </w:r>
    </w:p>
    <w:p w14:paraId="41FD73D2" w14:textId="77777777" w:rsidR="005A69A0" w:rsidRDefault="007569EB" w:rsidP="005A69A0">
      <w:pPr>
        <w:pStyle w:val="BodyText"/>
        <w:spacing w:after="360"/>
        <w:ind w:left="720"/>
      </w:pPr>
      <w:hyperlink r:id="rId874" w:history="1">
        <w:r w:rsidR="005A69A0">
          <w:rPr>
            <w:rStyle w:val="Hyperlink"/>
            <w:i/>
            <w:szCs w:val="20"/>
          </w:rPr>
          <w:t>Fair Go Policy</w:t>
        </w:r>
      </w:hyperlink>
      <w:r w:rsidR="005A69A0">
        <w:rPr>
          <w:szCs w:val="20"/>
        </w:rPr>
        <w:t xml:space="preserve"> applies. For further details refer to </w:t>
      </w:r>
      <w:hyperlink r:id="rId875" w:history="1">
        <w:r w:rsidR="005A69A0">
          <w:rPr>
            <w:rStyle w:val="Hyperlink"/>
            <w:i/>
            <w:szCs w:val="20"/>
          </w:rPr>
          <w:t>Appendix S.</w:t>
        </w:r>
      </w:hyperlink>
    </w:p>
    <w:p w14:paraId="33511D2D" w14:textId="77777777" w:rsidR="005A69A0" w:rsidRDefault="005A69A0" w:rsidP="00E507D4">
      <w:pPr>
        <w:pStyle w:val="BodyText"/>
        <w:ind w:left="720"/>
      </w:pPr>
    </w:p>
    <w:p w14:paraId="49D911AD" w14:textId="77777777" w:rsidR="00BA21F2" w:rsidRPr="00FC5779" w:rsidRDefault="00BA21F2" w:rsidP="00BA21F2">
      <w:pPr>
        <w:pStyle w:val="Heading4"/>
        <w:rPr>
          <w:lang w:val="en-AU"/>
        </w:rPr>
      </w:pPr>
      <w:bookmarkStart w:id="2313" w:name="_Toc510690091"/>
      <w:bookmarkStart w:id="2314" w:name="_Toc62644718"/>
      <w:r w:rsidRPr="00FC5779">
        <w:rPr>
          <w:lang w:val="en-AU"/>
        </w:rPr>
        <w:t xml:space="preserve">Business </w:t>
      </w:r>
      <w:r>
        <w:rPr>
          <w:lang w:val="en-AU"/>
        </w:rPr>
        <w:t xml:space="preserve">Plus </w:t>
      </w:r>
      <w:r w:rsidRPr="00FC5779">
        <w:rPr>
          <w:lang w:val="en-AU"/>
        </w:rPr>
        <w:t>Tech Fund</w:t>
      </w:r>
      <w:bookmarkEnd w:id="2313"/>
      <w:bookmarkEnd w:id="2314"/>
    </w:p>
    <w:p w14:paraId="2787FAE2" w14:textId="77777777" w:rsidR="00BA21F2" w:rsidRDefault="00BA21F2" w:rsidP="00BA21F2">
      <w:pPr>
        <w:pStyle w:val="BodyText"/>
        <w:ind w:left="720"/>
      </w:pPr>
      <w:r w:rsidRPr="00FC5779">
        <w:rPr>
          <w:lang w:val="en-AU"/>
        </w:rPr>
        <w:t xml:space="preserve">This section relates to the following plans. </w:t>
      </w:r>
      <w:r w:rsidRPr="00FC5779">
        <w:rPr>
          <w:i/>
          <w:lang w:val="en-AU"/>
        </w:rPr>
        <w:t>You</w:t>
      </w:r>
      <w:r w:rsidRPr="00FC5779">
        <w:rPr>
          <w:lang w:val="en-AU"/>
        </w:rPr>
        <w:t xml:space="preserve"> can find </w:t>
      </w:r>
      <w:r w:rsidRPr="00FC5779">
        <w:rPr>
          <w:i/>
          <w:lang w:val="en-AU"/>
        </w:rPr>
        <w:t>your</w:t>
      </w:r>
      <w:r w:rsidRPr="00FC5779">
        <w:rPr>
          <w:lang w:val="en-AU"/>
        </w:rPr>
        <w:t xml:space="preserve"> Plan ID on </w:t>
      </w:r>
      <w:r w:rsidRPr="00FC5779">
        <w:rPr>
          <w:i/>
          <w:lang w:val="en-AU"/>
        </w:rPr>
        <w:t>your</w:t>
      </w:r>
      <w:r w:rsidRPr="00FC5779">
        <w:rPr>
          <w:lang w:val="en-AU"/>
        </w:rPr>
        <w:t xml:space="preserve"> bill under the Mobile Number Summary section:</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268"/>
        <w:gridCol w:w="3685"/>
      </w:tblGrid>
      <w:tr w:rsidR="00BA21F2" w:rsidRPr="00090AB3" w14:paraId="63AED4CF" w14:textId="77777777" w:rsidTr="00562F67">
        <w:trPr>
          <w:jc w:val="center"/>
        </w:trPr>
        <w:tc>
          <w:tcPr>
            <w:tcW w:w="3256" w:type="dxa"/>
            <w:shd w:val="clear" w:color="auto" w:fill="auto"/>
          </w:tcPr>
          <w:p w14:paraId="26B06C32" w14:textId="77777777" w:rsidR="00BA21F2" w:rsidRPr="00EE0D35" w:rsidRDefault="00BA21F2" w:rsidP="00DE32CC">
            <w:pPr>
              <w:pStyle w:val="BodyText"/>
              <w:spacing w:before="100" w:after="100"/>
              <w:jc w:val="center"/>
              <w:rPr>
                <w:b/>
                <w:lang w:val="en-AU"/>
              </w:rPr>
            </w:pPr>
            <w:r w:rsidRPr="00EE0D35">
              <w:rPr>
                <w:b/>
                <w:lang w:val="en-AU"/>
              </w:rPr>
              <w:t>Plan</w:t>
            </w:r>
          </w:p>
        </w:tc>
        <w:tc>
          <w:tcPr>
            <w:tcW w:w="2268" w:type="dxa"/>
            <w:shd w:val="clear" w:color="auto" w:fill="auto"/>
          </w:tcPr>
          <w:p w14:paraId="59338790" w14:textId="77777777" w:rsidR="00BA21F2" w:rsidRPr="00EE0D35" w:rsidRDefault="00BA21F2" w:rsidP="00DE32CC">
            <w:pPr>
              <w:pStyle w:val="BodyText"/>
              <w:spacing w:before="100" w:after="100"/>
              <w:jc w:val="center"/>
              <w:rPr>
                <w:b/>
                <w:lang w:val="en-AU"/>
              </w:rPr>
            </w:pPr>
            <w:r w:rsidRPr="00EE0D35">
              <w:rPr>
                <w:b/>
                <w:lang w:val="en-AU"/>
              </w:rPr>
              <w:t>Plan ID</w:t>
            </w:r>
          </w:p>
        </w:tc>
        <w:tc>
          <w:tcPr>
            <w:tcW w:w="3685" w:type="dxa"/>
            <w:shd w:val="clear" w:color="auto" w:fill="auto"/>
          </w:tcPr>
          <w:p w14:paraId="28E49181" w14:textId="77777777" w:rsidR="00BA21F2" w:rsidRPr="00EE0D35" w:rsidRDefault="00BA21F2" w:rsidP="00DE32CC">
            <w:pPr>
              <w:pStyle w:val="BodyText"/>
              <w:spacing w:before="100" w:after="100"/>
              <w:jc w:val="center"/>
              <w:rPr>
                <w:b/>
                <w:lang w:val="en-AU"/>
              </w:rPr>
            </w:pPr>
            <w:r w:rsidRPr="00EE0D35">
              <w:rPr>
                <w:b/>
                <w:lang w:val="en-AU"/>
              </w:rPr>
              <w:t>Available</w:t>
            </w:r>
          </w:p>
        </w:tc>
      </w:tr>
      <w:tr w:rsidR="00BA21F2" w:rsidRPr="00090AB3" w14:paraId="2B2DB2B5" w14:textId="77777777" w:rsidTr="00562F67">
        <w:trPr>
          <w:jc w:val="center"/>
        </w:trPr>
        <w:tc>
          <w:tcPr>
            <w:tcW w:w="3256" w:type="dxa"/>
            <w:shd w:val="clear" w:color="auto" w:fill="auto"/>
          </w:tcPr>
          <w:p w14:paraId="4526E5F6" w14:textId="77777777" w:rsidR="00BA21F2" w:rsidRPr="00090AB3" w:rsidRDefault="00BA21F2" w:rsidP="00DE32CC">
            <w:pPr>
              <w:pStyle w:val="BodyText"/>
              <w:spacing w:before="100" w:after="100"/>
              <w:jc w:val="center"/>
              <w:rPr>
                <w:lang w:val="en-AU"/>
              </w:rPr>
            </w:pPr>
            <w:r w:rsidRPr="00090AB3">
              <w:rPr>
                <w:lang w:val="en-AU"/>
              </w:rPr>
              <w:t>$4</w:t>
            </w:r>
            <w:r>
              <w:rPr>
                <w:lang w:val="en-AU"/>
              </w:rPr>
              <w:t>5</w:t>
            </w:r>
            <w:r w:rsidRPr="00090AB3">
              <w:rPr>
                <w:lang w:val="en-AU"/>
              </w:rPr>
              <w:t xml:space="preserve"> Business </w:t>
            </w:r>
            <w:r>
              <w:rPr>
                <w:lang w:val="en-AU"/>
              </w:rPr>
              <w:t xml:space="preserve">Plus </w:t>
            </w:r>
            <w:r w:rsidRPr="00090AB3">
              <w:rPr>
                <w:lang w:val="en-AU"/>
              </w:rPr>
              <w:t>Tech Fund</w:t>
            </w:r>
          </w:p>
        </w:tc>
        <w:tc>
          <w:tcPr>
            <w:tcW w:w="2268" w:type="dxa"/>
            <w:shd w:val="clear" w:color="auto" w:fill="auto"/>
            <w:vAlign w:val="center"/>
          </w:tcPr>
          <w:p w14:paraId="0050E344" w14:textId="77777777" w:rsidR="00BA21F2" w:rsidRPr="00E163AA" w:rsidRDefault="00BA21F2" w:rsidP="00DE32CC">
            <w:pPr>
              <w:pStyle w:val="BodyText"/>
              <w:spacing w:before="100" w:after="100"/>
              <w:jc w:val="center"/>
              <w:rPr>
                <w:lang w:val="en-AU"/>
              </w:rPr>
            </w:pPr>
            <w:r w:rsidRPr="00E163AA">
              <w:rPr>
                <w:lang w:val="en-AU"/>
              </w:rPr>
              <w:t>800876 / 20206909</w:t>
            </w:r>
          </w:p>
        </w:tc>
        <w:tc>
          <w:tcPr>
            <w:tcW w:w="3685" w:type="dxa"/>
            <w:shd w:val="clear" w:color="auto" w:fill="auto"/>
          </w:tcPr>
          <w:p w14:paraId="3A2B5376" w14:textId="77777777" w:rsidR="00BA21F2" w:rsidRPr="00090AB3" w:rsidRDefault="00BA21F2" w:rsidP="00DE32CC">
            <w:pPr>
              <w:pStyle w:val="BodyText"/>
              <w:spacing w:before="100" w:after="100"/>
              <w:jc w:val="center"/>
              <w:rPr>
                <w:lang w:val="en-AU"/>
              </w:rPr>
            </w:pPr>
            <w:r>
              <w:rPr>
                <w:lang w:val="en-AU"/>
              </w:rPr>
              <w:t>14 March 2018</w:t>
            </w:r>
            <w:r w:rsidR="00562F67">
              <w:rPr>
                <w:lang w:val="en-AU"/>
              </w:rPr>
              <w:t xml:space="preserve"> </w:t>
            </w:r>
            <w:r w:rsidR="00562F67">
              <w:rPr>
                <w:rFonts w:eastAsia="Calibri"/>
              </w:rPr>
              <w:t>– 5 August 2018</w:t>
            </w:r>
          </w:p>
        </w:tc>
      </w:tr>
      <w:tr w:rsidR="00BA21F2" w:rsidRPr="00090AB3" w14:paraId="0DD06229" w14:textId="77777777" w:rsidTr="00562F67">
        <w:trPr>
          <w:jc w:val="center"/>
        </w:trPr>
        <w:tc>
          <w:tcPr>
            <w:tcW w:w="3256" w:type="dxa"/>
            <w:shd w:val="clear" w:color="auto" w:fill="auto"/>
          </w:tcPr>
          <w:p w14:paraId="132D8DA4" w14:textId="77777777" w:rsidR="00BA21F2" w:rsidRPr="00090AB3" w:rsidRDefault="00BA21F2" w:rsidP="00DE32CC">
            <w:pPr>
              <w:pStyle w:val="BodyText"/>
              <w:spacing w:before="100" w:after="100"/>
              <w:jc w:val="center"/>
              <w:rPr>
                <w:lang w:val="en-AU"/>
              </w:rPr>
            </w:pPr>
            <w:r w:rsidRPr="00090AB3">
              <w:rPr>
                <w:lang w:val="en-AU"/>
              </w:rPr>
              <w:t>$</w:t>
            </w:r>
            <w:r>
              <w:rPr>
                <w:lang w:val="en-AU"/>
              </w:rPr>
              <w:t>65</w:t>
            </w:r>
            <w:r w:rsidRPr="00090AB3">
              <w:rPr>
                <w:lang w:val="en-AU"/>
              </w:rPr>
              <w:t xml:space="preserve"> Business </w:t>
            </w:r>
            <w:r>
              <w:rPr>
                <w:lang w:val="en-AU"/>
              </w:rPr>
              <w:t xml:space="preserve">Plus </w:t>
            </w:r>
            <w:r w:rsidRPr="00090AB3">
              <w:rPr>
                <w:lang w:val="en-AU"/>
              </w:rPr>
              <w:t>Tech Fund</w:t>
            </w:r>
          </w:p>
        </w:tc>
        <w:tc>
          <w:tcPr>
            <w:tcW w:w="2268" w:type="dxa"/>
            <w:shd w:val="clear" w:color="auto" w:fill="auto"/>
          </w:tcPr>
          <w:p w14:paraId="559F95C8" w14:textId="77777777" w:rsidR="00BA21F2" w:rsidRPr="00E163AA" w:rsidRDefault="00BA21F2" w:rsidP="00DE32CC">
            <w:pPr>
              <w:pStyle w:val="BodyText"/>
              <w:spacing w:before="100" w:after="100"/>
              <w:jc w:val="center"/>
              <w:rPr>
                <w:lang w:val="en-AU"/>
              </w:rPr>
            </w:pPr>
            <w:r w:rsidRPr="00E163AA">
              <w:rPr>
                <w:lang w:val="en-AU"/>
              </w:rPr>
              <w:t>800877 / 20206919</w:t>
            </w:r>
          </w:p>
        </w:tc>
        <w:tc>
          <w:tcPr>
            <w:tcW w:w="3685" w:type="dxa"/>
            <w:shd w:val="clear" w:color="auto" w:fill="auto"/>
          </w:tcPr>
          <w:p w14:paraId="66420540" w14:textId="77777777" w:rsidR="00BA21F2" w:rsidRPr="00090AB3" w:rsidRDefault="00BA21F2" w:rsidP="00DE32CC">
            <w:pPr>
              <w:pStyle w:val="BodyText"/>
              <w:spacing w:before="100" w:after="100"/>
              <w:jc w:val="center"/>
            </w:pPr>
            <w:r w:rsidRPr="00A1139B">
              <w:rPr>
                <w:lang w:val="en-AU"/>
              </w:rPr>
              <w:t>14 March 2018</w:t>
            </w:r>
            <w:r w:rsidR="00562F67">
              <w:rPr>
                <w:lang w:val="en-AU"/>
              </w:rPr>
              <w:t xml:space="preserve"> </w:t>
            </w:r>
            <w:r w:rsidR="00562F67">
              <w:rPr>
                <w:rFonts w:eastAsia="Calibri"/>
              </w:rPr>
              <w:t>– 5 August 2018</w:t>
            </w:r>
          </w:p>
        </w:tc>
      </w:tr>
      <w:tr w:rsidR="00BA21F2" w:rsidRPr="00090AB3" w14:paraId="3D399668" w14:textId="77777777" w:rsidTr="00562F67">
        <w:trPr>
          <w:jc w:val="center"/>
        </w:trPr>
        <w:tc>
          <w:tcPr>
            <w:tcW w:w="3256" w:type="dxa"/>
            <w:shd w:val="clear" w:color="auto" w:fill="auto"/>
          </w:tcPr>
          <w:p w14:paraId="0E5286AE" w14:textId="77777777" w:rsidR="00BA21F2" w:rsidRPr="00090AB3" w:rsidRDefault="00BA21F2" w:rsidP="00DE32CC">
            <w:pPr>
              <w:pStyle w:val="BodyText"/>
              <w:spacing w:before="100" w:after="100"/>
              <w:jc w:val="center"/>
              <w:rPr>
                <w:lang w:val="en-AU"/>
              </w:rPr>
            </w:pPr>
            <w:r w:rsidRPr="00090AB3">
              <w:rPr>
                <w:lang w:val="en-AU"/>
              </w:rPr>
              <w:t>$</w:t>
            </w:r>
            <w:r>
              <w:rPr>
                <w:lang w:val="en-AU"/>
              </w:rPr>
              <w:t>85</w:t>
            </w:r>
            <w:r w:rsidRPr="00090AB3">
              <w:rPr>
                <w:lang w:val="en-AU"/>
              </w:rPr>
              <w:t xml:space="preserve"> Business </w:t>
            </w:r>
            <w:r>
              <w:rPr>
                <w:lang w:val="en-AU"/>
              </w:rPr>
              <w:t xml:space="preserve">Plus </w:t>
            </w:r>
            <w:r w:rsidRPr="00090AB3">
              <w:rPr>
                <w:lang w:val="en-AU"/>
              </w:rPr>
              <w:t>Tech Fund</w:t>
            </w:r>
          </w:p>
        </w:tc>
        <w:tc>
          <w:tcPr>
            <w:tcW w:w="2268" w:type="dxa"/>
            <w:shd w:val="clear" w:color="auto" w:fill="auto"/>
          </w:tcPr>
          <w:p w14:paraId="0F057524" w14:textId="77777777" w:rsidR="00BA21F2" w:rsidRPr="00E163AA" w:rsidRDefault="00BA21F2" w:rsidP="00DE32CC">
            <w:pPr>
              <w:pStyle w:val="BodyText"/>
              <w:spacing w:before="100" w:after="100"/>
              <w:jc w:val="center"/>
              <w:rPr>
                <w:lang w:val="en-AU"/>
              </w:rPr>
            </w:pPr>
            <w:r w:rsidRPr="00E163AA">
              <w:rPr>
                <w:lang w:val="en-AU"/>
              </w:rPr>
              <w:t>800878 / 20206929</w:t>
            </w:r>
          </w:p>
        </w:tc>
        <w:tc>
          <w:tcPr>
            <w:tcW w:w="3685" w:type="dxa"/>
            <w:shd w:val="clear" w:color="auto" w:fill="auto"/>
          </w:tcPr>
          <w:p w14:paraId="5F6B94D5" w14:textId="77777777" w:rsidR="00BA21F2" w:rsidRPr="00090AB3" w:rsidRDefault="00BA21F2" w:rsidP="00DE32CC">
            <w:pPr>
              <w:pStyle w:val="BodyText"/>
              <w:spacing w:before="100" w:after="100"/>
              <w:jc w:val="center"/>
            </w:pPr>
            <w:r w:rsidRPr="00A1139B">
              <w:rPr>
                <w:lang w:val="en-AU"/>
              </w:rPr>
              <w:t>14 March 2018</w:t>
            </w:r>
            <w:r w:rsidR="00562F67">
              <w:rPr>
                <w:lang w:val="en-AU"/>
              </w:rPr>
              <w:t xml:space="preserve"> </w:t>
            </w:r>
            <w:r w:rsidR="00562F67">
              <w:rPr>
                <w:rFonts w:eastAsia="Calibri"/>
              </w:rPr>
              <w:t>– 5 August 2018</w:t>
            </w:r>
          </w:p>
        </w:tc>
      </w:tr>
      <w:tr w:rsidR="00BA21F2" w:rsidRPr="00A974C9" w14:paraId="5416EE5C" w14:textId="77777777" w:rsidTr="00562F67">
        <w:trPr>
          <w:jc w:val="center"/>
        </w:trPr>
        <w:tc>
          <w:tcPr>
            <w:tcW w:w="3256" w:type="dxa"/>
            <w:shd w:val="clear" w:color="auto" w:fill="auto"/>
          </w:tcPr>
          <w:p w14:paraId="654BE441" w14:textId="77777777" w:rsidR="00BA21F2" w:rsidRPr="00A974C9" w:rsidRDefault="00BA21F2" w:rsidP="00DE32CC">
            <w:pPr>
              <w:pStyle w:val="BodyText"/>
              <w:spacing w:before="100" w:after="100"/>
              <w:jc w:val="center"/>
              <w:rPr>
                <w:lang w:val="en-AU"/>
              </w:rPr>
            </w:pPr>
            <w:r w:rsidRPr="00A974C9">
              <w:t>$10</w:t>
            </w:r>
            <w:r>
              <w:t>0</w:t>
            </w:r>
            <w:r w:rsidRPr="00A974C9">
              <w:t xml:space="preserve"> Business </w:t>
            </w:r>
            <w:r>
              <w:t xml:space="preserve">Plus </w:t>
            </w:r>
            <w:r w:rsidRPr="00A974C9">
              <w:t>Tech Fund</w:t>
            </w:r>
          </w:p>
        </w:tc>
        <w:tc>
          <w:tcPr>
            <w:tcW w:w="2268" w:type="dxa"/>
            <w:shd w:val="clear" w:color="auto" w:fill="auto"/>
          </w:tcPr>
          <w:p w14:paraId="2B806E9A" w14:textId="77777777" w:rsidR="00BA21F2" w:rsidRPr="00E163AA" w:rsidRDefault="00BA21F2" w:rsidP="00DE32CC">
            <w:pPr>
              <w:pStyle w:val="BodyText"/>
              <w:spacing w:before="100" w:after="100"/>
              <w:jc w:val="center"/>
              <w:rPr>
                <w:lang w:val="en-AU"/>
              </w:rPr>
            </w:pPr>
            <w:r w:rsidRPr="00E163AA">
              <w:rPr>
                <w:lang w:val="en-AU"/>
              </w:rPr>
              <w:t>800879 / 20206939</w:t>
            </w:r>
          </w:p>
        </w:tc>
        <w:tc>
          <w:tcPr>
            <w:tcW w:w="3685" w:type="dxa"/>
            <w:shd w:val="clear" w:color="auto" w:fill="auto"/>
          </w:tcPr>
          <w:p w14:paraId="791FCD61" w14:textId="77777777" w:rsidR="00BA21F2" w:rsidRPr="00A974C9" w:rsidRDefault="00BA21F2" w:rsidP="00DE32CC">
            <w:pPr>
              <w:pStyle w:val="BodyText"/>
              <w:spacing w:before="100" w:after="100"/>
              <w:jc w:val="center"/>
            </w:pPr>
            <w:r w:rsidRPr="00A1139B">
              <w:rPr>
                <w:lang w:val="en-AU"/>
              </w:rPr>
              <w:t>14 March 2018</w:t>
            </w:r>
            <w:r w:rsidR="00562F67">
              <w:rPr>
                <w:lang w:val="en-AU"/>
              </w:rPr>
              <w:t xml:space="preserve"> </w:t>
            </w:r>
            <w:r w:rsidR="00562F67">
              <w:rPr>
                <w:rFonts w:eastAsia="Calibri"/>
              </w:rPr>
              <w:t>– 5 August 2018</w:t>
            </w:r>
          </w:p>
        </w:tc>
      </w:tr>
      <w:tr w:rsidR="00BA21F2" w:rsidRPr="00F632D6" w14:paraId="3AA39D57" w14:textId="77777777" w:rsidTr="00562F67">
        <w:trPr>
          <w:trHeight w:val="53"/>
          <w:jc w:val="center"/>
        </w:trPr>
        <w:tc>
          <w:tcPr>
            <w:tcW w:w="3256" w:type="dxa"/>
            <w:shd w:val="clear" w:color="auto" w:fill="auto"/>
          </w:tcPr>
          <w:p w14:paraId="0EC31D76" w14:textId="77777777" w:rsidR="00BA21F2" w:rsidRPr="00F632D6" w:rsidRDefault="00BA21F2" w:rsidP="00DE32CC">
            <w:pPr>
              <w:pStyle w:val="BodyText"/>
              <w:spacing w:before="100" w:after="100"/>
              <w:jc w:val="center"/>
            </w:pPr>
            <w:r w:rsidRPr="00F632D6">
              <w:t>$</w:t>
            </w:r>
            <w:r>
              <w:t>120</w:t>
            </w:r>
            <w:r w:rsidRPr="00F632D6">
              <w:t xml:space="preserve"> Business </w:t>
            </w:r>
            <w:r>
              <w:t xml:space="preserve">Plus </w:t>
            </w:r>
            <w:r w:rsidRPr="00F632D6">
              <w:t>Tech Fund</w:t>
            </w:r>
          </w:p>
        </w:tc>
        <w:tc>
          <w:tcPr>
            <w:tcW w:w="2268" w:type="dxa"/>
            <w:shd w:val="clear" w:color="auto" w:fill="auto"/>
          </w:tcPr>
          <w:p w14:paraId="6E4DE9C4" w14:textId="77777777" w:rsidR="00BA21F2" w:rsidRPr="00E163AA" w:rsidDel="00432A16" w:rsidRDefault="00BA21F2" w:rsidP="00DE32CC">
            <w:pPr>
              <w:pStyle w:val="BodyText"/>
              <w:spacing w:before="100" w:after="100"/>
              <w:jc w:val="center"/>
              <w:rPr>
                <w:lang w:val="en-AU"/>
              </w:rPr>
            </w:pPr>
            <w:r w:rsidRPr="00E163AA">
              <w:rPr>
                <w:lang w:val="en-AU"/>
              </w:rPr>
              <w:t>800880 / 20206949</w:t>
            </w:r>
          </w:p>
        </w:tc>
        <w:tc>
          <w:tcPr>
            <w:tcW w:w="3685" w:type="dxa"/>
            <w:shd w:val="clear" w:color="auto" w:fill="auto"/>
          </w:tcPr>
          <w:p w14:paraId="3E0E035B" w14:textId="77777777" w:rsidR="00BA21F2" w:rsidRPr="00F632D6" w:rsidRDefault="00BA21F2" w:rsidP="00DE32CC">
            <w:pPr>
              <w:pStyle w:val="BodyText"/>
              <w:spacing w:before="100" w:after="100"/>
              <w:jc w:val="center"/>
              <w:rPr>
                <w:lang w:val="en-AU"/>
              </w:rPr>
            </w:pPr>
            <w:r w:rsidRPr="00A1139B">
              <w:rPr>
                <w:lang w:val="en-AU"/>
              </w:rPr>
              <w:t>14 March 2018</w:t>
            </w:r>
            <w:r w:rsidR="00562F67">
              <w:rPr>
                <w:lang w:val="en-AU"/>
              </w:rPr>
              <w:t xml:space="preserve"> </w:t>
            </w:r>
            <w:r w:rsidR="00562F67">
              <w:rPr>
                <w:rFonts w:eastAsia="Calibri"/>
              </w:rPr>
              <w:t>– 5 August 2018</w:t>
            </w:r>
          </w:p>
        </w:tc>
      </w:tr>
      <w:tr w:rsidR="00BA21F2" w:rsidRPr="00F632D6" w14:paraId="134B97F8" w14:textId="77777777" w:rsidTr="00562F67">
        <w:trPr>
          <w:trHeight w:val="53"/>
          <w:jc w:val="center"/>
        </w:trPr>
        <w:tc>
          <w:tcPr>
            <w:tcW w:w="3256" w:type="dxa"/>
            <w:shd w:val="clear" w:color="auto" w:fill="auto"/>
          </w:tcPr>
          <w:p w14:paraId="31D7DFEF" w14:textId="77777777" w:rsidR="00BA21F2" w:rsidRPr="00F632D6" w:rsidRDefault="00BA21F2" w:rsidP="00DE32CC">
            <w:pPr>
              <w:pStyle w:val="BodyText"/>
              <w:spacing w:before="100" w:after="100"/>
              <w:jc w:val="center"/>
            </w:pPr>
            <w:r>
              <w:t>$149 Business Plus Tech Fund</w:t>
            </w:r>
          </w:p>
        </w:tc>
        <w:tc>
          <w:tcPr>
            <w:tcW w:w="2268" w:type="dxa"/>
            <w:shd w:val="clear" w:color="auto" w:fill="auto"/>
            <w:vAlign w:val="center"/>
          </w:tcPr>
          <w:p w14:paraId="41B698AF" w14:textId="77777777" w:rsidR="00BA21F2" w:rsidRDefault="00BA21F2" w:rsidP="00DE32CC">
            <w:pPr>
              <w:pStyle w:val="BodyText"/>
              <w:spacing w:before="100" w:after="100"/>
              <w:jc w:val="center"/>
            </w:pPr>
            <w:r>
              <w:rPr>
                <w:rFonts w:eastAsia="Calibri" w:cs="Arial"/>
                <w:szCs w:val="20"/>
              </w:rPr>
              <w:t>800826 / 20061669</w:t>
            </w:r>
          </w:p>
        </w:tc>
        <w:tc>
          <w:tcPr>
            <w:tcW w:w="3685" w:type="dxa"/>
            <w:shd w:val="clear" w:color="auto" w:fill="auto"/>
            <w:vAlign w:val="center"/>
          </w:tcPr>
          <w:p w14:paraId="150C48A5" w14:textId="77777777" w:rsidR="00BA21F2" w:rsidRDefault="00BA21F2" w:rsidP="00DE32CC">
            <w:pPr>
              <w:pStyle w:val="BodyText"/>
              <w:spacing w:before="100" w:after="100"/>
              <w:jc w:val="center"/>
              <w:rPr>
                <w:lang w:val="en-AU"/>
              </w:rPr>
            </w:pPr>
            <w:r>
              <w:rPr>
                <w:rFonts w:eastAsia="Calibri" w:cs="Arial"/>
                <w:szCs w:val="20"/>
              </w:rPr>
              <w:t>17 November 2017</w:t>
            </w:r>
            <w:r w:rsidR="00562F67">
              <w:rPr>
                <w:rFonts w:eastAsia="Calibri" w:cs="Arial"/>
                <w:szCs w:val="20"/>
              </w:rPr>
              <w:t xml:space="preserve"> </w:t>
            </w:r>
            <w:r w:rsidR="00562F67">
              <w:rPr>
                <w:rFonts w:eastAsia="Calibri"/>
              </w:rPr>
              <w:t>– 5 August 2018</w:t>
            </w:r>
          </w:p>
        </w:tc>
      </w:tr>
    </w:tbl>
    <w:p w14:paraId="5611B725" w14:textId="77777777" w:rsidR="00BA21F2" w:rsidRPr="00FC5779" w:rsidRDefault="00BA21F2" w:rsidP="00BA21F2">
      <w:pPr>
        <w:pStyle w:val="BodyText"/>
        <w:rPr>
          <w:b/>
        </w:rPr>
      </w:pPr>
    </w:p>
    <w:p w14:paraId="00ABED2C" w14:textId="77777777" w:rsidR="00BA21F2" w:rsidRPr="00CD3F2D" w:rsidRDefault="00BA21F2" w:rsidP="00BA21F2">
      <w:pPr>
        <w:pStyle w:val="Heading6"/>
        <w:ind w:left="0" w:firstLine="0"/>
        <w:rPr>
          <w:lang w:val="en-AU"/>
        </w:rPr>
      </w:pPr>
      <w:bookmarkStart w:id="2315" w:name="_Toc510690092"/>
      <w:r w:rsidRPr="00CD3F2D">
        <w:rPr>
          <w:lang w:val="en-AU"/>
        </w:rPr>
        <w:t>Eligibility</w:t>
      </w:r>
      <w:bookmarkEnd w:id="2315"/>
    </w:p>
    <w:p w14:paraId="5EB66595" w14:textId="77777777" w:rsidR="00BA21F2" w:rsidRPr="00C12929" w:rsidRDefault="00BA21F2" w:rsidP="00BA21F2">
      <w:pPr>
        <w:pStyle w:val="BodyText"/>
        <w:ind w:left="720"/>
        <w:rPr>
          <w:lang w:val="en-AU"/>
        </w:rPr>
      </w:pPr>
      <w:r w:rsidRPr="00C12929">
        <w:rPr>
          <w:lang w:val="en-AU"/>
        </w:rPr>
        <w:t xml:space="preserve">The Business </w:t>
      </w:r>
      <w:r>
        <w:rPr>
          <w:lang w:val="en-AU"/>
        </w:rPr>
        <w:t xml:space="preserve">Plus </w:t>
      </w:r>
      <w:r w:rsidRPr="00C12929">
        <w:rPr>
          <w:lang w:val="en-AU"/>
        </w:rPr>
        <w:t>Tech Fund plans are available to new and existing business mobile customers who pass Optus</w:t>
      </w:r>
      <w:r>
        <w:rPr>
          <w:lang w:val="en-AU"/>
        </w:rPr>
        <w:t>'</w:t>
      </w:r>
      <w:r w:rsidRPr="00C12929">
        <w:rPr>
          <w:lang w:val="en-AU"/>
        </w:rPr>
        <w:t xml:space="preserve"> credit assessment. To be eligible for this plan, businesses must provide Optus with a registered ACN, ARBN or ABN and must sign up for a minimum of 6 services to a Business </w:t>
      </w:r>
      <w:r>
        <w:rPr>
          <w:lang w:val="en-AU"/>
        </w:rPr>
        <w:t xml:space="preserve">Plus </w:t>
      </w:r>
      <w:r w:rsidRPr="00C12929">
        <w:rPr>
          <w:lang w:val="en-AU"/>
        </w:rPr>
        <w:t xml:space="preserve">Tech Fund Plan on a single Optus billing account. </w:t>
      </w:r>
    </w:p>
    <w:p w14:paraId="1663F29A" w14:textId="77777777" w:rsidR="00BA21F2" w:rsidRPr="00C12929" w:rsidRDefault="00BA21F2" w:rsidP="00BA21F2">
      <w:pPr>
        <w:pStyle w:val="BodyText"/>
        <w:ind w:left="720"/>
        <w:rPr>
          <w:lang w:val="en-AU"/>
        </w:rPr>
      </w:pPr>
      <w:r w:rsidRPr="00C12929">
        <w:rPr>
          <w:lang w:val="en-AU"/>
        </w:rPr>
        <w:t>Optus Service Providers</w:t>
      </w:r>
      <w:r>
        <w:rPr>
          <w:lang w:val="en-AU"/>
        </w:rPr>
        <w:t>'</w:t>
      </w:r>
      <w:r w:rsidRPr="00C12929">
        <w:rPr>
          <w:lang w:val="en-AU"/>
        </w:rPr>
        <w:t xml:space="preserve"> customers are not eligible to apply.</w:t>
      </w:r>
    </w:p>
    <w:p w14:paraId="135ECB59" w14:textId="77777777" w:rsidR="00BA21F2" w:rsidRPr="00C12929" w:rsidRDefault="00BA21F2" w:rsidP="00BA21F2">
      <w:pPr>
        <w:pStyle w:val="BodyText"/>
        <w:ind w:left="720"/>
        <w:rPr>
          <w:lang w:val="en-AU"/>
        </w:rPr>
      </w:pPr>
      <w:r w:rsidRPr="00C12929">
        <w:rPr>
          <w:lang w:val="en-AU"/>
        </w:rPr>
        <w:t xml:space="preserve">These </w:t>
      </w:r>
      <w:r w:rsidRPr="00C12929">
        <w:rPr>
          <w:i/>
          <w:lang w:val="en-AU"/>
        </w:rPr>
        <w:t>plans</w:t>
      </w:r>
      <w:r w:rsidRPr="00C12929">
        <w:rPr>
          <w:lang w:val="en-AU"/>
        </w:rPr>
        <w:t xml:space="preserve"> aren</w:t>
      </w:r>
      <w:r>
        <w:rPr>
          <w:lang w:val="en-AU"/>
        </w:rPr>
        <w:t>'</w:t>
      </w:r>
      <w:r w:rsidRPr="00C12929">
        <w:rPr>
          <w:lang w:val="en-AU"/>
        </w:rPr>
        <w:t>t compatible for data use with BlackBerry handsets on operating systems of 7.1 or earlier.</w:t>
      </w:r>
    </w:p>
    <w:p w14:paraId="36ABE129" w14:textId="77777777" w:rsidR="00BA21F2" w:rsidRPr="00CD3F2D" w:rsidRDefault="00BA21F2" w:rsidP="00BA21F2">
      <w:pPr>
        <w:pStyle w:val="Heading6"/>
        <w:ind w:left="0" w:firstLine="0"/>
        <w:rPr>
          <w:lang w:val="en-AU"/>
        </w:rPr>
      </w:pPr>
      <w:bookmarkStart w:id="2316" w:name="_Toc510690093"/>
      <w:r w:rsidRPr="00CD3F2D">
        <w:rPr>
          <w:lang w:val="en-AU"/>
        </w:rPr>
        <w:t>Minimum Term</w:t>
      </w:r>
      <w:bookmarkEnd w:id="2316"/>
    </w:p>
    <w:p w14:paraId="7AE9B4D6" w14:textId="77777777" w:rsidR="00BA21F2" w:rsidRPr="00C12929" w:rsidRDefault="00BA21F2" w:rsidP="00BA21F2">
      <w:pPr>
        <w:pStyle w:val="BodyText"/>
        <w:ind w:firstLine="720"/>
        <w:rPr>
          <w:lang w:val="en-AU"/>
        </w:rPr>
      </w:pPr>
      <w:r w:rsidRPr="00C12929">
        <w:rPr>
          <w:lang w:val="en-AU"/>
        </w:rPr>
        <w:t xml:space="preserve">These </w:t>
      </w:r>
      <w:r w:rsidRPr="00C12929">
        <w:rPr>
          <w:i/>
          <w:lang w:val="en-AU"/>
        </w:rPr>
        <w:t>plans</w:t>
      </w:r>
      <w:r w:rsidRPr="00C12929">
        <w:rPr>
          <w:lang w:val="en-AU"/>
        </w:rPr>
        <w:t xml:space="preserve"> have</w:t>
      </w:r>
      <w:r w:rsidRPr="00C12929">
        <w:rPr>
          <w:i/>
          <w:lang w:val="en-AU"/>
        </w:rPr>
        <w:t xml:space="preserve"> </w:t>
      </w:r>
      <w:r w:rsidRPr="00C12929">
        <w:rPr>
          <w:lang w:val="en-AU"/>
        </w:rPr>
        <w:t xml:space="preserve">a </w:t>
      </w:r>
      <w:r w:rsidRPr="00C12929">
        <w:rPr>
          <w:i/>
          <w:lang w:val="en-AU"/>
        </w:rPr>
        <w:t>fixed length agreement</w:t>
      </w:r>
      <w:r w:rsidRPr="00C12929">
        <w:rPr>
          <w:lang w:val="en-AU"/>
        </w:rPr>
        <w:t xml:space="preserve"> with a 24-month </w:t>
      </w:r>
      <w:r w:rsidRPr="00C12929">
        <w:rPr>
          <w:i/>
          <w:lang w:val="en-AU"/>
        </w:rPr>
        <w:t>minimum term.</w:t>
      </w:r>
    </w:p>
    <w:p w14:paraId="72CB78DD" w14:textId="77777777" w:rsidR="00BA21F2" w:rsidRPr="00CD3F2D" w:rsidRDefault="00BA21F2" w:rsidP="00BA21F2">
      <w:pPr>
        <w:pStyle w:val="Heading6"/>
        <w:ind w:left="0" w:firstLine="0"/>
        <w:rPr>
          <w:lang w:val="en-AU"/>
        </w:rPr>
      </w:pPr>
      <w:bookmarkStart w:id="2317" w:name="_Toc510690094"/>
      <w:r w:rsidRPr="00CD3F2D">
        <w:rPr>
          <w:lang w:val="en-AU"/>
        </w:rPr>
        <w:t>What you have to pay us</w:t>
      </w:r>
      <w:bookmarkEnd w:id="2317"/>
    </w:p>
    <w:p w14:paraId="02E8B1B2" w14:textId="77777777" w:rsidR="00BA21F2" w:rsidRPr="00C12929" w:rsidRDefault="00BA21F2" w:rsidP="00BA21F2">
      <w:pPr>
        <w:pStyle w:val="Heading7"/>
        <w:rPr>
          <w:lang w:val="en-AU"/>
        </w:rPr>
      </w:pPr>
      <w:r w:rsidRPr="00C12929">
        <w:rPr>
          <w:i/>
          <w:lang w:val="en-AU"/>
        </w:rPr>
        <w:t>You</w:t>
      </w:r>
      <w:r w:rsidRPr="00C12929">
        <w:rPr>
          <w:lang w:val="en-AU"/>
        </w:rPr>
        <w:t xml:space="preserve"> must pay </w:t>
      </w:r>
      <w:r w:rsidRPr="00C12929">
        <w:rPr>
          <w:i/>
          <w:lang w:val="en-AU"/>
        </w:rPr>
        <w:t>us</w:t>
      </w:r>
      <w:r w:rsidRPr="00C12929">
        <w:rPr>
          <w:lang w:val="en-AU"/>
        </w:rPr>
        <w:t xml:space="preserve"> for use of the </w:t>
      </w:r>
      <w:r w:rsidRPr="00C12929">
        <w:rPr>
          <w:i/>
          <w:lang w:val="en-AU"/>
        </w:rPr>
        <w:t>service</w:t>
      </w:r>
      <w:r w:rsidRPr="00C12929">
        <w:rPr>
          <w:lang w:val="en-AU"/>
        </w:rPr>
        <w:t xml:space="preserve"> at the rates set out in Section 1 of this </w:t>
      </w:r>
      <w:r w:rsidRPr="00C12929">
        <w:rPr>
          <w:i/>
          <w:lang w:val="en-AU"/>
        </w:rPr>
        <w:t>standard pricing table</w:t>
      </w:r>
      <w:r w:rsidRPr="00C12929">
        <w:rPr>
          <w:lang w:val="en-AU"/>
        </w:rPr>
        <w:t xml:space="preserve"> and for value added service features at the rates set out in </w:t>
      </w:r>
      <w:hyperlink r:id="rId876" w:history="1">
        <w:r w:rsidRPr="00365735">
          <w:rPr>
            <w:rStyle w:val="Hyperlink"/>
            <w:i/>
            <w:lang w:val="en-AU"/>
          </w:rPr>
          <w:t>Appendix Y Value Added Service Features</w:t>
        </w:r>
        <w:r w:rsidRPr="004F0BB5">
          <w:rPr>
            <w:rStyle w:val="Hyperlink"/>
            <w:lang w:val="en-AU"/>
          </w:rPr>
          <w:t>.</w:t>
        </w:r>
      </w:hyperlink>
    </w:p>
    <w:p w14:paraId="33F5B36F" w14:textId="77777777" w:rsidR="00BA21F2" w:rsidRPr="00C12929" w:rsidRDefault="00BA21F2" w:rsidP="00BA21F2">
      <w:pPr>
        <w:pStyle w:val="Heading7"/>
        <w:rPr>
          <w:lang w:val="en-AU"/>
        </w:rPr>
      </w:pPr>
      <w:r w:rsidRPr="00C12929">
        <w:rPr>
          <w:lang w:val="en-AU"/>
        </w:rPr>
        <w:t>If there is a flagfall for a particular call type, the charge for these calls is the flagfall amount plus the relevant rate for the call multiplied by the duration of the call.</w:t>
      </w:r>
    </w:p>
    <w:p w14:paraId="73F184E3" w14:textId="77777777" w:rsidR="00BA21F2" w:rsidRPr="002663BF" w:rsidRDefault="00BA21F2" w:rsidP="00BA21F2">
      <w:pPr>
        <w:pStyle w:val="Heading7"/>
        <w:rPr>
          <w:b/>
          <w:lang w:val="en-AU"/>
        </w:rPr>
      </w:pPr>
      <w:r w:rsidRPr="002663BF">
        <w:rPr>
          <w:b/>
          <w:lang w:val="en-AU"/>
        </w:rPr>
        <w:t>Minimum Monthly Charge</w:t>
      </w:r>
    </w:p>
    <w:p w14:paraId="1383E7F6" w14:textId="77777777" w:rsidR="00BA21F2" w:rsidRPr="00C12929" w:rsidRDefault="00BA21F2" w:rsidP="00BA21F2">
      <w:pPr>
        <w:pStyle w:val="Heading8"/>
        <w:rPr>
          <w:lang w:val="en-AU"/>
        </w:rPr>
      </w:pPr>
      <w:r w:rsidRPr="00C12929">
        <w:rPr>
          <w:lang w:val="en-AU"/>
        </w:rPr>
        <w:lastRenderedPageBreak/>
        <w:t xml:space="preserve">Each My Plan Business Tech Fund plan has a Minimum Monthly Charge amount that </w:t>
      </w:r>
      <w:r w:rsidRPr="00C12929">
        <w:rPr>
          <w:i/>
          <w:lang w:val="en-AU"/>
        </w:rPr>
        <w:t>you</w:t>
      </w:r>
      <w:r w:rsidRPr="00C12929">
        <w:rPr>
          <w:lang w:val="en-AU"/>
        </w:rPr>
        <w:t xml:space="preserve"> must pay </w:t>
      </w:r>
      <w:r w:rsidRPr="00C12929">
        <w:rPr>
          <w:i/>
          <w:lang w:val="en-AU"/>
        </w:rPr>
        <w:t>us</w:t>
      </w:r>
      <w:r w:rsidRPr="00C12929">
        <w:rPr>
          <w:lang w:val="en-AU"/>
        </w:rPr>
        <w:t xml:space="preserve"> each month as set out in Table 1 below.</w:t>
      </w:r>
      <w:r>
        <w:rPr>
          <w:lang w:val="en-AU"/>
        </w:rPr>
        <w:t xml:space="preserve"> </w:t>
      </w:r>
    </w:p>
    <w:p w14:paraId="466686A2" w14:textId="77777777" w:rsidR="00BA21F2" w:rsidRPr="00CD3F2D" w:rsidRDefault="00BA21F2" w:rsidP="00BA21F2">
      <w:pPr>
        <w:pStyle w:val="Heading6"/>
        <w:ind w:left="0" w:firstLine="0"/>
        <w:rPr>
          <w:lang w:val="en-AU"/>
        </w:rPr>
      </w:pPr>
      <w:bookmarkStart w:id="2318" w:name="_Toc510690095"/>
      <w:r w:rsidRPr="00CD3F2D">
        <w:rPr>
          <w:lang w:val="en-AU"/>
        </w:rPr>
        <w:t>How Business</w:t>
      </w:r>
      <w:r>
        <w:rPr>
          <w:lang w:val="en-AU"/>
        </w:rPr>
        <w:t xml:space="preserve"> Plus</w:t>
      </w:r>
      <w:r w:rsidRPr="00CD3F2D">
        <w:rPr>
          <w:lang w:val="en-AU"/>
        </w:rPr>
        <w:t xml:space="preserve"> Tech Fund works</w:t>
      </w:r>
      <w:bookmarkEnd w:id="2318"/>
    </w:p>
    <w:p w14:paraId="6647CC84" w14:textId="77777777" w:rsidR="00BA21F2" w:rsidRPr="00C12929" w:rsidRDefault="00BA21F2" w:rsidP="00BA21F2">
      <w:pPr>
        <w:pStyle w:val="Heading7"/>
        <w:rPr>
          <w:lang w:val="en-AU"/>
        </w:rPr>
      </w:pPr>
      <w:r w:rsidRPr="00C12929">
        <w:rPr>
          <w:lang w:val="en-AU"/>
        </w:rPr>
        <w:t xml:space="preserve">Each Business </w:t>
      </w:r>
      <w:r>
        <w:rPr>
          <w:lang w:val="en-AU"/>
        </w:rPr>
        <w:t xml:space="preserve">Plus </w:t>
      </w:r>
      <w:r w:rsidRPr="00C12929">
        <w:rPr>
          <w:lang w:val="en-AU"/>
        </w:rPr>
        <w:t xml:space="preserve">Tech Fund has unlimited minutes to use on standard national calls to landlines and mobiles, 13/1300 numbers and voicemail retrievals and an amount of Included Data (for mobile internet use) to share with other services on a My Plan Plus, My Plan Plus SIM Only, </w:t>
      </w:r>
      <w:r>
        <w:rPr>
          <w:lang w:val="en-AU"/>
        </w:rPr>
        <w:t xml:space="preserve">Business Plus (including Tech Fund), </w:t>
      </w:r>
      <w:r w:rsidRPr="00C12929">
        <w:rPr>
          <w:lang w:val="en-AU"/>
        </w:rPr>
        <w:t xml:space="preserve">My Plan Business (including Tech Fund), My Plan Business SIM, My Mobile Broadband Plus, Mobile Broadband Business or Shared Data Plan on the same account. </w:t>
      </w:r>
    </w:p>
    <w:p w14:paraId="6B7DD1B9" w14:textId="77777777" w:rsidR="00BA21F2" w:rsidRPr="00E163AA" w:rsidRDefault="00BA21F2" w:rsidP="00BA21F2">
      <w:pPr>
        <w:pStyle w:val="Heading7"/>
        <w:rPr>
          <w:lang w:val="en-AU"/>
        </w:rPr>
      </w:pPr>
      <w:r w:rsidRPr="00C12929">
        <w:rPr>
          <w:lang w:val="en-AU"/>
        </w:rPr>
        <w:t>These plans also include unlimited standard national SMS/MMS and unlimited standard International SMS/MMS to selected countries. The $</w:t>
      </w:r>
      <w:r>
        <w:rPr>
          <w:lang w:val="en-AU"/>
        </w:rPr>
        <w:t>65</w:t>
      </w:r>
      <w:r w:rsidRPr="00C12929">
        <w:rPr>
          <w:lang w:val="en-AU"/>
        </w:rPr>
        <w:t>/$</w:t>
      </w:r>
      <w:r>
        <w:rPr>
          <w:lang w:val="en-AU"/>
        </w:rPr>
        <w:t>85</w:t>
      </w:r>
      <w:r w:rsidRPr="00C12929">
        <w:rPr>
          <w:lang w:val="en-AU"/>
        </w:rPr>
        <w:t>/$10</w:t>
      </w:r>
      <w:r>
        <w:rPr>
          <w:lang w:val="en-AU"/>
        </w:rPr>
        <w:t>0</w:t>
      </w:r>
      <w:r w:rsidRPr="00C12929">
        <w:rPr>
          <w:lang w:val="en-AU"/>
        </w:rPr>
        <w:t>/$</w:t>
      </w:r>
      <w:r>
        <w:rPr>
          <w:lang w:val="en-AU"/>
        </w:rPr>
        <w:t xml:space="preserve">120 </w:t>
      </w:r>
      <w:r w:rsidRPr="00C12929">
        <w:rPr>
          <w:lang w:val="en-AU"/>
        </w:rPr>
        <w:t>plans have an amount of included international minutes to use on standard international calls to selected countries.</w:t>
      </w:r>
      <w:r>
        <w:rPr>
          <w:lang w:val="en-AU"/>
        </w:rPr>
        <w:t xml:space="preserve"> </w:t>
      </w:r>
      <w:r>
        <w:rPr>
          <w:rFonts w:cs="Arial"/>
        </w:rPr>
        <w:t>The $149 plan also has</w:t>
      </w:r>
      <w:r w:rsidRPr="00304BEC">
        <w:rPr>
          <w:rFonts w:cs="Arial"/>
        </w:rPr>
        <w:t xml:space="preserve"> </w:t>
      </w:r>
      <w:r>
        <w:rPr>
          <w:rFonts w:cs="Arial"/>
        </w:rPr>
        <w:t>unlimited standard</w:t>
      </w:r>
      <w:r w:rsidRPr="00304BEC">
        <w:rPr>
          <w:rFonts w:cs="Arial"/>
        </w:rPr>
        <w:t xml:space="preserve"> international </w:t>
      </w:r>
      <w:r>
        <w:rPr>
          <w:rFonts w:cs="Arial"/>
        </w:rPr>
        <w:t>talk &amp; text</w:t>
      </w:r>
      <w:r w:rsidRPr="00304BEC">
        <w:rPr>
          <w:rFonts w:cs="Arial"/>
        </w:rPr>
        <w:t xml:space="preserve"> to </w:t>
      </w:r>
      <w:r>
        <w:rPr>
          <w:rFonts w:cs="Arial"/>
        </w:rPr>
        <w:t>all</w:t>
      </w:r>
      <w:r w:rsidRPr="00304BEC">
        <w:rPr>
          <w:rFonts w:cs="Arial"/>
        </w:rPr>
        <w:t xml:space="preserve"> countries.</w:t>
      </w:r>
    </w:p>
    <w:p w14:paraId="54E38404" w14:textId="77777777" w:rsidR="00BA21F2" w:rsidRPr="00C12929" w:rsidRDefault="00BA21F2" w:rsidP="00BA21F2">
      <w:pPr>
        <w:pStyle w:val="Heading7"/>
        <w:rPr>
          <w:lang w:val="en-AU"/>
        </w:rPr>
      </w:pPr>
      <w:r w:rsidRPr="00C12929">
        <w:rPr>
          <w:lang w:val="en-AU"/>
        </w:rPr>
        <w:t>Data usage is calculated in one kilobyte increments. International minutes are billed in one-minute increments</w:t>
      </w:r>
      <w:r>
        <w:rPr>
          <w:lang w:val="en-AU"/>
        </w:rPr>
        <w:t>.</w:t>
      </w:r>
    </w:p>
    <w:p w14:paraId="374C772E" w14:textId="77777777" w:rsidR="00BA21F2" w:rsidRPr="00C12929" w:rsidRDefault="00BA21F2" w:rsidP="00BA21F2">
      <w:pPr>
        <w:pStyle w:val="Heading7"/>
        <w:rPr>
          <w:lang w:val="en-AU"/>
        </w:rPr>
      </w:pPr>
      <w:r w:rsidRPr="00C12929">
        <w:t>If you exceed your included shareable data, you</w:t>
      </w:r>
      <w:r>
        <w:t>'</w:t>
      </w:r>
      <w:r w:rsidRPr="00C12929">
        <w:t>ll automatically be charged $10 for each additional 1GB of data (</w:t>
      </w:r>
      <w:r>
        <w:t>"</w:t>
      </w:r>
      <w:r w:rsidRPr="00C12929">
        <w:rPr>
          <w:b/>
        </w:rPr>
        <w:t>Additional Data</w:t>
      </w:r>
      <w:r>
        <w:t>"</w:t>
      </w:r>
      <w:r w:rsidRPr="00C12929">
        <w:t xml:space="preserve">) up to 150GB of extra data per account each month. Your service/s may then be restricted, or we may continue to charge you at these rates. </w:t>
      </w:r>
    </w:p>
    <w:p w14:paraId="0B84DE81" w14:textId="77777777" w:rsidR="00BA21F2" w:rsidRPr="00CD3F2D" w:rsidRDefault="00BA21F2" w:rsidP="00BA21F2">
      <w:pPr>
        <w:pStyle w:val="Heading7"/>
        <w:rPr>
          <w:b/>
          <w:lang w:val="en-AU"/>
        </w:rPr>
      </w:pPr>
      <w:r w:rsidRPr="00C12929">
        <w:rPr>
          <w:lang w:val="en-AU"/>
        </w:rPr>
        <w:t xml:space="preserve">Any unused portion of </w:t>
      </w:r>
      <w:r w:rsidRPr="00C12929">
        <w:rPr>
          <w:i/>
          <w:lang w:val="en-AU"/>
        </w:rPr>
        <w:t>your</w:t>
      </w:r>
      <w:r w:rsidRPr="00C12929">
        <w:rPr>
          <w:lang w:val="en-AU"/>
        </w:rPr>
        <w:t xml:space="preserve"> </w:t>
      </w:r>
      <w:r w:rsidRPr="00C12929">
        <w:rPr>
          <w:i/>
          <w:lang w:val="en-AU"/>
        </w:rPr>
        <w:t>plan</w:t>
      </w:r>
      <w:r>
        <w:rPr>
          <w:i/>
          <w:lang w:val="en-AU"/>
        </w:rPr>
        <w:t>'</w:t>
      </w:r>
      <w:r w:rsidRPr="00C12929">
        <w:rPr>
          <w:i/>
          <w:lang w:val="en-AU"/>
        </w:rPr>
        <w:t>s</w:t>
      </w:r>
      <w:r w:rsidRPr="00C12929">
        <w:rPr>
          <w:lang w:val="en-AU"/>
        </w:rPr>
        <w:t xml:space="preserve"> Included or Additional Data expires at the end of each month and does not roll over into the next month.</w:t>
      </w:r>
    </w:p>
    <w:p w14:paraId="0358B696" w14:textId="77777777" w:rsidR="00BA21F2" w:rsidRPr="00C12929" w:rsidRDefault="00BA21F2" w:rsidP="00BA21F2">
      <w:pPr>
        <w:pStyle w:val="Heading7"/>
        <w:rPr>
          <w:b/>
          <w:lang w:val="en-AU"/>
        </w:rPr>
      </w:pPr>
      <w:r w:rsidRPr="00C12929">
        <w:rPr>
          <w:i/>
          <w:lang w:val="en-AU"/>
        </w:rPr>
        <w:t>You</w:t>
      </w:r>
      <w:r w:rsidRPr="00C12929">
        <w:rPr>
          <w:lang w:val="en-AU"/>
        </w:rPr>
        <w:t xml:space="preserve"> must pay </w:t>
      </w:r>
      <w:r w:rsidRPr="00C12929">
        <w:rPr>
          <w:i/>
          <w:lang w:val="en-AU"/>
        </w:rPr>
        <w:t>us</w:t>
      </w:r>
      <w:r w:rsidRPr="00C12929">
        <w:rPr>
          <w:lang w:val="en-AU"/>
        </w:rPr>
        <w:t xml:space="preserve"> for use of any services that are not included in </w:t>
      </w:r>
      <w:r w:rsidRPr="00C12929">
        <w:rPr>
          <w:i/>
          <w:lang w:val="en-AU"/>
        </w:rPr>
        <w:t>your</w:t>
      </w:r>
      <w:r w:rsidRPr="00C12929">
        <w:rPr>
          <w:lang w:val="en-AU"/>
        </w:rPr>
        <w:t xml:space="preserve"> plan</w:t>
      </w:r>
      <w:r>
        <w:rPr>
          <w:lang w:val="en-AU"/>
        </w:rPr>
        <w:t>'</w:t>
      </w:r>
      <w:r w:rsidRPr="00C12929">
        <w:rPr>
          <w:lang w:val="en-AU"/>
        </w:rPr>
        <w:t>s inclusions, examples of which are set out in Table 2 below.</w:t>
      </w:r>
    </w:p>
    <w:p w14:paraId="7D61430C" w14:textId="77777777" w:rsidR="00BA21F2" w:rsidRPr="00CD3F2D" w:rsidRDefault="00BA21F2" w:rsidP="00BA21F2">
      <w:pPr>
        <w:pStyle w:val="Heading6"/>
        <w:ind w:left="0" w:firstLine="0"/>
        <w:rPr>
          <w:lang w:val="en-AU"/>
        </w:rPr>
      </w:pPr>
      <w:bookmarkStart w:id="2319" w:name="_Toc510690096"/>
      <w:r w:rsidRPr="00CD3F2D">
        <w:rPr>
          <w:lang w:val="en-AU"/>
        </w:rPr>
        <w:t>Plan Changes</w:t>
      </w:r>
      <w:bookmarkEnd w:id="2319"/>
    </w:p>
    <w:p w14:paraId="17562A28" w14:textId="77777777" w:rsidR="00BA21F2" w:rsidRPr="00C12929" w:rsidRDefault="00BA21F2" w:rsidP="00BA21F2">
      <w:pPr>
        <w:pStyle w:val="BodyText"/>
        <w:ind w:left="720"/>
      </w:pPr>
      <w:r w:rsidRPr="00C12929">
        <w:t>You can change your plan during the minimum term provided you move to a plan with a higher monthly access fee. You cannot change your plan during the minimum term to a plan with the same or lower monthly access fee. If you change your plan during the minimum term a fee may apply, and any mobile handset credit will remain the same.</w:t>
      </w:r>
    </w:p>
    <w:p w14:paraId="5F9C11AD" w14:textId="77777777" w:rsidR="00BA21F2" w:rsidRPr="004C64A0" w:rsidRDefault="00BA21F2" w:rsidP="00BA21F2">
      <w:pPr>
        <w:pStyle w:val="Heading6"/>
        <w:ind w:left="0" w:firstLine="0"/>
        <w:rPr>
          <w:lang w:val="en-AU"/>
        </w:rPr>
      </w:pPr>
      <w:bookmarkStart w:id="2320" w:name="_Toc510690097"/>
      <w:r w:rsidRPr="004C64A0">
        <w:rPr>
          <w:lang w:val="en-AU"/>
        </w:rPr>
        <w:t>Handset Credit</w:t>
      </w:r>
      <w:bookmarkEnd w:id="2320"/>
    </w:p>
    <w:p w14:paraId="015F0F31" w14:textId="77777777" w:rsidR="00BA21F2" w:rsidRPr="00C12929" w:rsidRDefault="00BA21F2" w:rsidP="00BA21F2">
      <w:pPr>
        <w:pStyle w:val="Heading7"/>
        <w:rPr>
          <w:lang w:val="en-AU"/>
        </w:rPr>
      </w:pPr>
      <w:r w:rsidRPr="00C12929">
        <w:rPr>
          <w:lang w:val="en-AU"/>
        </w:rPr>
        <w:t xml:space="preserve">The Handset Credit is a special offer available to customers who are eligible for and connect to a My Plan Business Tech Fund plan, and who do not choose to take a handset upfront. It allows </w:t>
      </w:r>
      <w:r w:rsidRPr="00C12929">
        <w:rPr>
          <w:i/>
          <w:lang w:val="en-AU"/>
        </w:rPr>
        <w:t>you</w:t>
      </w:r>
      <w:r w:rsidRPr="00C12929">
        <w:rPr>
          <w:lang w:val="en-AU"/>
        </w:rPr>
        <w:t xml:space="preserve"> to purchase </w:t>
      </w:r>
      <w:r>
        <w:rPr>
          <w:lang w:val="en-AU"/>
        </w:rPr>
        <w:t xml:space="preserve">from a range of selected </w:t>
      </w:r>
      <w:r w:rsidRPr="00C12929">
        <w:rPr>
          <w:lang w:val="en-AU"/>
        </w:rPr>
        <w:t xml:space="preserve">mobile phones and accessories from Optus at any period throughout </w:t>
      </w:r>
      <w:r w:rsidRPr="00C12929">
        <w:rPr>
          <w:i/>
          <w:lang w:val="en-AU"/>
        </w:rPr>
        <w:t>your</w:t>
      </w:r>
      <w:r w:rsidRPr="00C12929">
        <w:rPr>
          <w:lang w:val="en-AU"/>
        </w:rPr>
        <w:t xml:space="preserve"> contract; it cannot be used for any other purpose other than the purchase of handsets and accessories from </w:t>
      </w:r>
      <w:r w:rsidRPr="00C12929">
        <w:rPr>
          <w:i/>
          <w:lang w:val="en-AU"/>
        </w:rPr>
        <w:t>us</w:t>
      </w:r>
      <w:r w:rsidRPr="00C12929">
        <w:rPr>
          <w:lang w:val="en-AU"/>
        </w:rPr>
        <w:t xml:space="preserve">. </w:t>
      </w:r>
    </w:p>
    <w:p w14:paraId="36D66926" w14:textId="77777777" w:rsidR="00BA21F2" w:rsidRPr="00E163AA" w:rsidRDefault="00BA21F2" w:rsidP="00BA21F2">
      <w:pPr>
        <w:pStyle w:val="Heading7"/>
        <w:rPr>
          <w:lang w:val="en-AU"/>
        </w:rPr>
      </w:pPr>
      <w:r w:rsidRPr="00B60F63">
        <w:rPr>
          <w:lang w:val="en-AU"/>
        </w:rPr>
        <w:t xml:space="preserve">The amount of the credit will be as set out in your application form. </w:t>
      </w:r>
    </w:p>
    <w:p w14:paraId="5A8C9FEF" w14:textId="77777777" w:rsidR="00BA21F2" w:rsidRPr="004C64A0" w:rsidRDefault="00BA21F2" w:rsidP="00BA21F2">
      <w:pPr>
        <w:pStyle w:val="Heading7"/>
        <w:rPr>
          <w:lang w:val="en-AU"/>
        </w:rPr>
      </w:pPr>
      <w:r w:rsidRPr="004C64A0">
        <w:rPr>
          <w:i/>
          <w:lang w:val="en-AU"/>
        </w:rPr>
        <w:t>You</w:t>
      </w:r>
      <w:r w:rsidRPr="004C64A0">
        <w:rPr>
          <w:lang w:val="en-AU"/>
        </w:rPr>
        <w:t xml:space="preserve"> may use the Handset Credit deposited into </w:t>
      </w:r>
      <w:r w:rsidRPr="004C64A0">
        <w:rPr>
          <w:i/>
          <w:lang w:val="en-AU"/>
        </w:rPr>
        <w:t>your</w:t>
      </w:r>
      <w:r w:rsidRPr="004C64A0">
        <w:rPr>
          <w:lang w:val="en-AU"/>
        </w:rPr>
        <w:t xml:space="preserve"> account to purchase handsets listed in the Optus e-fulfilment price list as amended by </w:t>
      </w:r>
      <w:r w:rsidRPr="004C64A0">
        <w:rPr>
          <w:i/>
          <w:lang w:val="en-AU"/>
        </w:rPr>
        <w:t>us</w:t>
      </w:r>
      <w:r w:rsidRPr="004C64A0">
        <w:rPr>
          <w:lang w:val="en-AU"/>
        </w:rPr>
        <w:t xml:space="preserve"> from time to time. This list is available to </w:t>
      </w:r>
      <w:r w:rsidRPr="004C64A0">
        <w:rPr>
          <w:i/>
          <w:lang w:val="en-AU"/>
        </w:rPr>
        <w:t>you</w:t>
      </w:r>
      <w:r w:rsidRPr="004C64A0">
        <w:rPr>
          <w:lang w:val="en-AU"/>
        </w:rPr>
        <w:t xml:space="preserve"> upon request.</w:t>
      </w:r>
    </w:p>
    <w:p w14:paraId="5FE083EA" w14:textId="77777777" w:rsidR="00BA21F2" w:rsidRPr="004C64A0" w:rsidRDefault="00BA21F2" w:rsidP="00BA21F2">
      <w:pPr>
        <w:pStyle w:val="Heading7"/>
        <w:rPr>
          <w:lang w:val="en-AU"/>
        </w:rPr>
      </w:pPr>
      <w:r w:rsidRPr="004C64A0">
        <w:rPr>
          <w:lang w:val="en-AU"/>
        </w:rPr>
        <w:t xml:space="preserve">If the purchase price for products that </w:t>
      </w:r>
      <w:r w:rsidRPr="004C64A0">
        <w:rPr>
          <w:i/>
          <w:lang w:val="en-AU"/>
        </w:rPr>
        <w:t>you</w:t>
      </w:r>
      <w:r w:rsidRPr="004C64A0">
        <w:rPr>
          <w:lang w:val="en-AU"/>
        </w:rPr>
        <w:t xml:space="preserve"> order is greater than the Handset Credit remaining in </w:t>
      </w:r>
      <w:r w:rsidRPr="004C64A0">
        <w:rPr>
          <w:i/>
          <w:lang w:val="en-AU"/>
        </w:rPr>
        <w:t>your</w:t>
      </w:r>
      <w:r w:rsidRPr="004C64A0">
        <w:rPr>
          <w:lang w:val="en-AU"/>
        </w:rPr>
        <w:t xml:space="preserve"> account, </w:t>
      </w:r>
      <w:r w:rsidRPr="004C64A0">
        <w:rPr>
          <w:i/>
          <w:lang w:val="en-AU"/>
        </w:rPr>
        <w:t>you</w:t>
      </w:r>
      <w:r w:rsidRPr="004C64A0">
        <w:rPr>
          <w:lang w:val="en-AU"/>
        </w:rPr>
        <w:t xml:space="preserve"> must pay any difference for those products by manually topping up </w:t>
      </w:r>
      <w:r w:rsidRPr="004C64A0">
        <w:rPr>
          <w:i/>
          <w:lang w:val="en-AU"/>
        </w:rPr>
        <w:t>your</w:t>
      </w:r>
      <w:r w:rsidRPr="004C64A0">
        <w:rPr>
          <w:lang w:val="en-AU"/>
        </w:rPr>
        <w:t xml:space="preserve"> Handset Credit Fund account with the required funds before purchasing.</w:t>
      </w:r>
    </w:p>
    <w:p w14:paraId="43319E05" w14:textId="77777777" w:rsidR="00BA21F2" w:rsidRPr="004C64A0" w:rsidRDefault="00BA21F2" w:rsidP="00BA21F2">
      <w:pPr>
        <w:pStyle w:val="Heading7"/>
        <w:rPr>
          <w:lang w:val="en-AU"/>
        </w:rPr>
      </w:pPr>
      <w:r w:rsidRPr="004C64A0">
        <w:rPr>
          <w:lang w:val="en-AU"/>
        </w:rPr>
        <w:t xml:space="preserve">The value of the Handset Credit is not redeemable for cash and may not be transferred or used for any other purposes (for instance, it may not be used to pay for service charges, minimum monthly call spends or call costs, cannot be used against cancellation fees). </w:t>
      </w:r>
    </w:p>
    <w:p w14:paraId="618802E0" w14:textId="77777777" w:rsidR="00BA21F2" w:rsidRPr="004C64A0" w:rsidRDefault="00BA21F2" w:rsidP="00BA21F2">
      <w:pPr>
        <w:pStyle w:val="Heading7"/>
        <w:rPr>
          <w:lang w:val="en-AU"/>
        </w:rPr>
      </w:pPr>
      <w:r w:rsidRPr="004C64A0">
        <w:rPr>
          <w:lang w:val="en-AU"/>
        </w:rPr>
        <w:t xml:space="preserve">If you cancel a service on an account with multiple Tech Fund services, you will not lose any unused handset credit. Only if </w:t>
      </w:r>
      <w:r w:rsidRPr="004C64A0">
        <w:rPr>
          <w:i/>
          <w:lang w:val="en-AU"/>
        </w:rPr>
        <w:t>your</w:t>
      </w:r>
      <w:r w:rsidRPr="004C64A0">
        <w:rPr>
          <w:lang w:val="en-AU"/>
        </w:rPr>
        <w:t xml:space="preserve"> account is cancelled for any reason than any unused credit will be forfeited.</w:t>
      </w:r>
    </w:p>
    <w:p w14:paraId="39E33C25" w14:textId="77777777" w:rsidR="00BA21F2" w:rsidRPr="004C64A0" w:rsidRDefault="00BA21F2" w:rsidP="00BA21F2">
      <w:pPr>
        <w:pStyle w:val="Heading6"/>
        <w:ind w:left="0" w:firstLine="0"/>
        <w:rPr>
          <w:lang w:val="en-AU"/>
        </w:rPr>
      </w:pPr>
      <w:bookmarkStart w:id="2321" w:name="_Toc510690098"/>
      <w:r w:rsidRPr="004C64A0">
        <w:rPr>
          <w:lang w:val="en-AU"/>
        </w:rPr>
        <w:lastRenderedPageBreak/>
        <w:t>Data Sharing</w:t>
      </w:r>
      <w:bookmarkEnd w:id="2321"/>
    </w:p>
    <w:p w14:paraId="5D871914" w14:textId="77777777" w:rsidR="00BA21F2" w:rsidRPr="004C64A0" w:rsidRDefault="00BA21F2" w:rsidP="00BA21F2">
      <w:pPr>
        <w:pStyle w:val="Heading7"/>
        <w:rPr>
          <w:lang w:val="en-AU"/>
        </w:rPr>
      </w:pPr>
      <w:r w:rsidRPr="004C64A0">
        <w:rPr>
          <w:lang w:val="en-AU"/>
        </w:rPr>
        <w:t xml:space="preserve">If you have more than one My Plan Plus, My Plan Plus SIM Only, Business </w:t>
      </w:r>
      <w:r>
        <w:rPr>
          <w:lang w:val="en-AU"/>
        </w:rPr>
        <w:t xml:space="preserve">Plus </w:t>
      </w:r>
      <w:r w:rsidRPr="004C64A0">
        <w:rPr>
          <w:lang w:val="en-AU"/>
        </w:rPr>
        <w:t>(including Tech Fund),</w:t>
      </w:r>
      <w:r>
        <w:rPr>
          <w:lang w:val="en-AU"/>
        </w:rPr>
        <w:t xml:space="preserve"> </w:t>
      </w:r>
      <w:r w:rsidRPr="004C64A0">
        <w:rPr>
          <w:lang w:val="en-AU"/>
        </w:rPr>
        <w:t>My Plan Business (including Tech Fund), My Plan Business SIM, My Mobile Broadband Plus or Mobile Broadband Business on the same billing account, the included data will combine into one data pool, which will be shared by all eligible services on that account.</w:t>
      </w:r>
    </w:p>
    <w:p w14:paraId="22D9F29A" w14:textId="77777777" w:rsidR="00BA21F2" w:rsidRPr="004C64A0" w:rsidRDefault="00BA21F2" w:rsidP="00BA21F2">
      <w:pPr>
        <w:pStyle w:val="Heading7"/>
        <w:rPr>
          <w:lang w:val="en-AU"/>
        </w:rPr>
      </w:pPr>
      <w:r w:rsidRPr="004C64A0">
        <w:rPr>
          <w:lang w:val="en-AU"/>
        </w:rPr>
        <w:t xml:space="preserve">If </w:t>
      </w:r>
      <w:r w:rsidRPr="004C64A0">
        <w:rPr>
          <w:i/>
          <w:lang w:val="en-AU"/>
        </w:rPr>
        <w:t>you</w:t>
      </w:r>
      <w:r w:rsidRPr="004C64A0">
        <w:rPr>
          <w:lang w:val="en-AU"/>
        </w:rPr>
        <w:t xml:space="preserve"> do not want </w:t>
      </w:r>
      <w:r w:rsidRPr="004C64A0">
        <w:rPr>
          <w:i/>
          <w:lang w:val="en-AU"/>
        </w:rPr>
        <w:t>your</w:t>
      </w:r>
      <w:r w:rsidRPr="004C64A0">
        <w:rPr>
          <w:lang w:val="en-AU"/>
        </w:rPr>
        <w:t xml:space="preserve"> services to share data, they need to be on separate billing accounts. </w:t>
      </w:r>
    </w:p>
    <w:p w14:paraId="1E3CCBB9" w14:textId="77777777" w:rsidR="00BA21F2" w:rsidRPr="004C64A0" w:rsidRDefault="00BA21F2" w:rsidP="00BA21F2">
      <w:pPr>
        <w:pStyle w:val="Heading7"/>
        <w:rPr>
          <w:lang w:val="en-AU"/>
        </w:rPr>
      </w:pPr>
      <w:r w:rsidRPr="004C64A0">
        <w:rPr>
          <w:lang w:val="en-AU"/>
        </w:rPr>
        <w:t>Data sharing is only available within Australia.</w:t>
      </w:r>
    </w:p>
    <w:p w14:paraId="1D604084" w14:textId="77777777" w:rsidR="00BA21F2" w:rsidRPr="004C64A0" w:rsidRDefault="00BA21F2" w:rsidP="00BA21F2">
      <w:pPr>
        <w:pStyle w:val="Heading6"/>
        <w:ind w:left="0" w:firstLine="0"/>
        <w:rPr>
          <w:lang w:val="en-AU"/>
        </w:rPr>
      </w:pPr>
      <w:bookmarkStart w:id="2322" w:name="_Toc510690099"/>
      <w:r w:rsidRPr="004C64A0">
        <w:rPr>
          <w:lang w:val="en-AU"/>
        </w:rPr>
        <w:t>International Minutes</w:t>
      </w:r>
      <w:bookmarkEnd w:id="2322"/>
    </w:p>
    <w:p w14:paraId="1097C64C" w14:textId="77777777" w:rsidR="00BA21F2" w:rsidRDefault="00BA21F2" w:rsidP="00BA21F2">
      <w:pPr>
        <w:pStyle w:val="BodyText"/>
        <w:ind w:left="720"/>
      </w:pPr>
      <w:r w:rsidRPr="004C64A0">
        <w:t>The $</w:t>
      </w:r>
      <w:r>
        <w:t>65</w:t>
      </w:r>
      <w:r w:rsidRPr="004C64A0">
        <w:t>/$</w:t>
      </w:r>
      <w:r>
        <w:t>85</w:t>
      </w:r>
      <w:r w:rsidRPr="004C64A0">
        <w:t>/$10</w:t>
      </w:r>
      <w:r>
        <w:t>0</w:t>
      </w:r>
      <w:r w:rsidRPr="004C64A0">
        <w:t>/$</w:t>
      </w:r>
      <w:r>
        <w:t xml:space="preserve">120 </w:t>
      </w:r>
      <w:r w:rsidRPr="004C64A0">
        <w:t>Business</w:t>
      </w:r>
      <w:r>
        <w:t xml:space="preserve"> Plus</w:t>
      </w:r>
      <w:r w:rsidRPr="004C64A0">
        <w:t xml:space="preserve"> Tech Fund</w:t>
      </w:r>
      <w:r>
        <w:t xml:space="preserve"> plans include up to 150/300/750/unlimited</w:t>
      </w:r>
      <w:r w:rsidRPr="004C64A0">
        <w:t xml:space="preserve"> </w:t>
      </w:r>
      <w:r>
        <w:t xml:space="preserve">(respectively) </w:t>
      </w:r>
      <w:r w:rsidRPr="004C64A0">
        <w:t>international minutes for standard calls to mobiles and fixed lines in selected countries. For a list of selected countries see Table 3 below.</w:t>
      </w:r>
      <w:r>
        <w:t xml:space="preserve"> </w:t>
      </w:r>
    </w:p>
    <w:p w14:paraId="299F09E2" w14:textId="77777777" w:rsidR="00BA21F2" w:rsidRDefault="00BA21F2" w:rsidP="00BA21F2">
      <w:pPr>
        <w:pStyle w:val="BodyText"/>
        <w:ind w:left="720"/>
      </w:pPr>
      <w:r w:rsidRPr="00CF4A96">
        <w:rPr>
          <w:szCs w:val="20"/>
        </w:rPr>
        <w:t>Calls to non-selected countries are charged at standard ‘yes’ international call rates</w:t>
      </w:r>
    </w:p>
    <w:p w14:paraId="554AE663" w14:textId="77777777" w:rsidR="00BA21F2" w:rsidRPr="004C64A0" w:rsidRDefault="00BA21F2" w:rsidP="00BA21F2">
      <w:pPr>
        <w:pStyle w:val="BodyText"/>
        <w:ind w:left="720"/>
      </w:pPr>
      <w:r w:rsidRPr="004C64A0">
        <w:t>The $</w:t>
      </w:r>
      <w:r>
        <w:t xml:space="preserve">149 </w:t>
      </w:r>
      <w:r w:rsidRPr="004C64A0">
        <w:t>Business</w:t>
      </w:r>
      <w:r>
        <w:t xml:space="preserve"> Plus</w:t>
      </w:r>
      <w:r w:rsidRPr="004C64A0">
        <w:t xml:space="preserve"> Tech Fund</w:t>
      </w:r>
      <w:r>
        <w:t xml:space="preserve"> plan includes unlimited</w:t>
      </w:r>
      <w:r w:rsidRPr="004C64A0">
        <w:t xml:space="preserve"> international minutes for standard calls to mobiles and fixed lines </w:t>
      </w:r>
      <w:r>
        <w:t>to ALL</w:t>
      </w:r>
      <w:r w:rsidRPr="004C64A0">
        <w:t xml:space="preserve"> countries.</w:t>
      </w:r>
    </w:p>
    <w:p w14:paraId="35754227" w14:textId="77777777" w:rsidR="00BA21F2" w:rsidRPr="004C64A0" w:rsidRDefault="00BA21F2" w:rsidP="00BA21F2">
      <w:pPr>
        <w:pStyle w:val="Heading6"/>
        <w:ind w:left="0" w:firstLine="0"/>
        <w:rPr>
          <w:lang w:val="en-AU"/>
        </w:rPr>
      </w:pPr>
      <w:bookmarkStart w:id="2323" w:name="_Toc510690100"/>
      <w:r w:rsidRPr="004C64A0">
        <w:rPr>
          <w:lang w:val="en-AU"/>
        </w:rPr>
        <w:t>Unlimited standard national SMS and MMS</w:t>
      </w:r>
      <w:bookmarkEnd w:id="2323"/>
    </w:p>
    <w:p w14:paraId="6E779201" w14:textId="77777777" w:rsidR="00BA21F2" w:rsidRPr="004C64A0" w:rsidRDefault="00BA21F2" w:rsidP="00BA21F2">
      <w:pPr>
        <w:pStyle w:val="BodyText"/>
        <w:ind w:left="720"/>
      </w:pPr>
      <w:r w:rsidRPr="004C64A0">
        <w:rPr>
          <w:i/>
        </w:rPr>
        <w:t>You</w:t>
      </w:r>
      <w:r w:rsidRPr="004C64A0">
        <w:t xml:space="preserve"> may send unlimited standard SMS and MMS to Australian mobiles from within Australia.</w:t>
      </w:r>
    </w:p>
    <w:p w14:paraId="7C292745" w14:textId="77777777" w:rsidR="00BA21F2" w:rsidRPr="004C64A0" w:rsidRDefault="00BA21F2" w:rsidP="00BA21F2">
      <w:pPr>
        <w:pStyle w:val="BodyText"/>
        <w:ind w:left="720"/>
        <w:rPr>
          <w:i/>
          <w:u w:val="single"/>
        </w:rPr>
      </w:pPr>
      <w:r w:rsidRPr="004C64A0">
        <w:t xml:space="preserve">Unlimited standard national SMS and MMS are only available for personal and ordinary business use and are not to be used for a commercial or non-ordinary purpose as set out in the </w:t>
      </w:r>
      <w:hyperlink r:id="rId877" w:history="1">
        <w:r w:rsidRPr="004C64A0">
          <w:rPr>
            <w:rStyle w:val="Hyperlink"/>
            <w:i/>
          </w:rPr>
          <w:t>Fair Go Policy</w:t>
        </w:r>
      </w:hyperlink>
      <w:r w:rsidRPr="004C64A0">
        <w:t xml:space="preserve">. For further details refer to </w:t>
      </w:r>
      <w:hyperlink r:id="rId878" w:history="1">
        <w:r w:rsidRPr="00365735">
          <w:rPr>
            <w:rStyle w:val="Hyperlink"/>
            <w:i/>
          </w:rPr>
          <w:t>Appendix S</w:t>
        </w:r>
      </w:hyperlink>
      <w:r w:rsidRPr="00092720">
        <w:t>.</w:t>
      </w:r>
    </w:p>
    <w:p w14:paraId="51D48C75" w14:textId="77777777" w:rsidR="00BA21F2" w:rsidRPr="004C64A0" w:rsidRDefault="00BA21F2" w:rsidP="00BA21F2">
      <w:pPr>
        <w:pStyle w:val="Heading6"/>
        <w:ind w:left="0" w:firstLine="0"/>
        <w:rPr>
          <w:lang w:val="en-AU"/>
        </w:rPr>
      </w:pPr>
      <w:bookmarkStart w:id="2324" w:name="_Toc510690101"/>
      <w:r w:rsidRPr="004C64A0">
        <w:rPr>
          <w:lang w:val="en-AU"/>
        </w:rPr>
        <w:t>Unlimited standard international SMS and MMS</w:t>
      </w:r>
      <w:bookmarkEnd w:id="2324"/>
    </w:p>
    <w:p w14:paraId="621D5139" w14:textId="77777777" w:rsidR="00BA21F2" w:rsidRPr="004C64A0" w:rsidRDefault="00BA21F2" w:rsidP="00BA21F2">
      <w:pPr>
        <w:pStyle w:val="BodyText"/>
        <w:ind w:left="720"/>
      </w:pPr>
      <w:r w:rsidRPr="004C64A0">
        <w:rPr>
          <w:i/>
        </w:rPr>
        <w:t>You</w:t>
      </w:r>
      <w:r w:rsidRPr="004C64A0">
        <w:t xml:space="preserve"> may send unlimited standard SMS and MMS to selected countries as set out in Table 3 below.</w:t>
      </w:r>
    </w:p>
    <w:p w14:paraId="19C1E70E" w14:textId="77777777" w:rsidR="00BA21F2" w:rsidRDefault="00BA21F2" w:rsidP="00BA21F2">
      <w:pPr>
        <w:pStyle w:val="BodyText"/>
        <w:ind w:left="720"/>
        <w:rPr>
          <w:i/>
        </w:rPr>
      </w:pPr>
      <w:r w:rsidRPr="004C64A0">
        <w:t xml:space="preserve">Unlimited standard SMS and MMS are only available for personal and ordinary business use and are not to be used for a commercial or non-ordinary purpose as set out in the </w:t>
      </w:r>
      <w:r w:rsidRPr="00F1117F">
        <w:t>Fair Go P</w:t>
      </w:r>
      <w:r w:rsidRPr="004C64A0">
        <w:t xml:space="preserve">olicy. For further details refer to </w:t>
      </w:r>
      <w:hyperlink r:id="rId879" w:history="1">
        <w:r w:rsidRPr="00092720">
          <w:rPr>
            <w:rStyle w:val="Hyperlink"/>
            <w:i/>
          </w:rPr>
          <w:t>Appendix S</w:t>
        </w:r>
      </w:hyperlink>
      <w:r w:rsidRPr="00092720">
        <w:rPr>
          <w:i/>
        </w:rPr>
        <w:t>.</w:t>
      </w:r>
    </w:p>
    <w:p w14:paraId="3EC9B46A" w14:textId="77777777" w:rsidR="00BA21F2" w:rsidRPr="007F5B4A" w:rsidRDefault="00BA21F2" w:rsidP="00BA21F2">
      <w:pPr>
        <w:pStyle w:val="Heading6"/>
        <w:ind w:left="0" w:firstLine="0"/>
        <w:rPr>
          <w:lang w:val="en-AU"/>
        </w:rPr>
      </w:pPr>
      <w:bookmarkStart w:id="2325" w:name="_Toc510690102"/>
      <w:r w:rsidRPr="007F5B4A">
        <w:rPr>
          <w:lang w:val="en-AU"/>
        </w:rPr>
        <w:t>International Roaming</w:t>
      </w:r>
      <w:bookmarkEnd w:id="2325"/>
      <w:r w:rsidRPr="007F5B4A">
        <w:rPr>
          <w:lang w:val="en-AU"/>
        </w:rPr>
        <w:t xml:space="preserve"> </w:t>
      </w:r>
    </w:p>
    <w:p w14:paraId="5B1B266A" w14:textId="77777777" w:rsidR="00BA21F2" w:rsidRPr="008632A1" w:rsidRDefault="00BA21F2" w:rsidP="00BA21F2">
      <w:pPr>
        <w:pStyle w:val="ListParagraph"/>
        <w:ind w:left="709"/>
        <w:rPr>
          <w:rFonts w:ascii="Arial" w:hAnsi="Arial" w:cs="Arial"/>
        </w:rPr>
      </w:pPr>
      <w:r w:rsidRPr="008632A1">
        <w:rPr>
          <w:rFonts w:ascii="Arial" w:hAnsi="Arial" w:cs="Arial"/>
        </w:rPr>
        <w:t>The $10</w:t>
      </w:r>
      <w:r>
        <w:rPr>
          <w:rFonts w:ascii="Arial" w:hAnsi="Arial" w:cs="Arial"/>
        </w:rPr>
        <w:t>0, $120</w:t>
      </w:r>
      <w:r w:rsidRPr="008632A1">
        <w:rPr>
          <w:rFonts w:ascii="Arial" w:hAnsi="Arial" w:cs="Arial"/>
        </w:rPr>
        <w:t xml:space="preserve"> and $</w:t>
      </w:r>
      <w:r>
        <w:rPr>
          <w:rFonts w:ascii="Arial" w:hAnsi="Arial" w:cs="Arial"/>
        </w:rPr>
        <w:t>149</w:t>
      </w:r>
      <w:r w:rsidRPr="008632A1">
        <w:rPr>
          <w:rFonts w:ascii="Arial" w:hAnsi="Arial" w:cs="Arial"/>
        </w:rPr>
        <w:t xml:space="preserve"> Business </w:t>
      </w:r>
      <w:r>
        <w:rPr>
          <w:rFonts w:ascii="Arial" w:hAnsi="Arial" w:cs="Arial"/>
        </w:rPr>
        <w:t xml:space="preserve">Plus </w:t>
      </w:r>
      <w:r w:rsidRPr="008632A1">
        <w:rPr>
          <w:rFonts w:ascii="Arial" w:hAnsi="Arial" w:cs="Arial"/>
        </w:rPr>
        <w:t xml:space="preserve">Tech Fund plans will receive unlimited standard national and international voice, SMS (MMS is excluded) plus </w:t>
      </w:r>
      <w:r>
        <w:rPr>
          <w:rFonts w:ascii="Arial" w:hAnsi="Arial" w:cs="Arial"/>
        </w:rPr>
        <w:t>2GB/5</w:t>
      </w:r>
      <w:r w:rsidRPr="008632A1">
        <w:rPr>
          <w:rFonts w:ascii="Arial" w:hAnsi="Arial" w:cs="Arial"/>
        </w:rPr>
        <w:t>GB/1</w:t>
      </w:r>
      <w:r>
        <w:rPr>
          <w:rFonts w:ascii="Arial" w:hAnsi="Arial" w:cs="Arial"/>
        </w:rPr>
        <w:t>0</w:t>
      </w:r>
      <w:r w:rsidRPr="008632A1">
        <w:rPr>
          <w:rFonts w:ascii="Arial" w:hAnsi="Arial" w:cs="Arial"/>
        </w:rPr>
        <w:t>GB of data (respectively) to use in Zone 1 countries within each billing month. If you are not in a Zone 1 country, you will be charged at standard roaming rates for that country.</w:t>
      </w:r>
    </w:p>
    <w:p w14:paraId="3B9D9D87" w14:textId="77777777" w:rsidR="00BA21F2" w:rsidRPr="00CF4A96" w:rsidRDefault="00BA21F2" w:rsidP="00BA21F2">
      <w:pPr>
        <w:ind w:left="709"/>
        <w:rPr>
          <w:rFonts w:eastAsia="Times New Roman" w:cs="Arial"/>
          <w:sz w:val="20"/>
          <w:szCs w:val="20"/>
        </w:rPr>
      </w:pPr>
    </w:p>
    <w:p w14:paraId="28B128E6" w14:textId="77777777" w:rsidR="00BA21F2" w:rsidRPr="00CF4A96" w:rsidRDefault="00BA21F2" w:rsidP="00BA21F2">
      <w:pPr>
        <w:pStyle w:val="BodyText"/>
        <w:ind w:left="720"/>
        <w:rPr>
          <w:rFonts w:cs="Arial"/>
          <w:szCs w:val="20"/>
        </w:rPr>
      </w:pPr>
      <w:r w:rsidRPr="00CF4A96">
        <w:rPr>
          <w:rFonts w:eastAsia="Times New Roman" w:cs="Arial"/>
          <w:szCs w:val="20"/>
        </w:rPr>
        <w:t>If you exceed the data limit, standard data roaming charges will apply. Any data provided is not shareable and will not form part of any Data Pool. Any unused data will be forfeited and cannot be rolled over to the next billing month.</w:t>
      </w:r>
      <w:r w:rsidRPr="00CF4A96">
        <w:rPr>
          <w:rFonts w:eastAsia="Times New Roman" w:cs="Arial"/>
          <w:snapToGrid w:val="0"/>
          <w:szCs w:val="20"/>
        </w:rPr>
        <w:t xml:space="preserve"> For list of countries see optus.com.au/biztravel</w:t>
      </w:r>
    </w:p>
    <w:p w14:paraId="2F7AC5C4" w14:textId="77777777" w:rsidR="00BA21F2" w:rsidRDefault="00BA21F2" w:rsidP="00BA21F2">
      <w:pPr>
        <w:pStyle w:val="Heading6"/>
        <w:ind w:left="0" w:firstLine="0"/>
      </w:pPr>
      <w:bookmarkStart w:id="2326" w:name="_Toc510690103"/>
      <w:r>
        <w:t xml:space="preserve">Optus </w:t>
      </w:r>
      <w:r w:rsidRPr="004C64A0">
        <w:rPr>
          <w:lang w:val="en-AU"/>
        </w:rPr>
        <w:t>Travel</w:t>
      </w:r>
      <w:r w:rsidRPr="004C64A0">
        <w:rPr>
          <w:vertAlign w:val="superscript"/>
          <w:lang w:val="en-AU"/>
        </w:rPr>
        <w:t>TM</w:t>
      </w:r>
      <w:r>
        <w:rPr>
          <w:vertAlign w:val="superscript"/>
          <w:lang w:val="en-AU"/>
        </w:rPr>
        <w:t xml:space="preserve"> </w:t>
      </w:r>
      <w:r>
        <w:t>Pack</w:t>
      </w:r>
      <w:bookmarkEnd w:id="2326"/>
      <w:r>
        <w:t xml:space="preserve"> </w:t>
      </w:r>
    </w:p>
    <w:p w14:paraId="1401AB40" w14:textId="77777777" w:rsidR="00BA21F2" w:rsidRDefault="00BA21F2" w:rsidP="00BA21F2">
      <w:pPr>
        <w:pStyle w:val="OptusH3"/>
        <w:tabs>
          <w:tab w:val="clear" w:pos="2127"/>
          <w:tab w:val="left" w:pos="567"/>
        </w:tabs>
        <w:spacing w:before="0" w:after="0"/>
        <w:ind w:left="709" w:firstLine="0"/>
        <w:rPr>
          <w:rFonts w:ascii="Arial" w:hAnsi="Arial" w:cs="Arial"/>
          <w:snapToGrid w:val="0"/>
          <w:sz w:val="20"/>
        </w:rPr>
      </w:pPr>
      <w:r w:rsidRPr="00685C97">
        <w:rPr>
          <w:rFonts w:ascii="Arial" w:hAnsi="Arial" w:cs="Arial"/>
          <w:snapToGrid w:val="0"/>
          <w:sz w:val="20"/>
        </w:rPr>
        <w:t>The $45/$</w:t>
      </w:r>
      <w:r>
        <w:rPr>
          <w:rFonts w:ascii="Arial" w:hAnsi="Arial" w:cs="Arial"/>
          <w:snapToGrid w:val="0"/>
          <w:sz w:val="20"/>
        </w:rPr>
        <w:t>65</w:t>
      </w:r>
      <w:r w:rsidRPr="00685C97">
        <w:rPr>
          <w:rFonts w:ascii="Arial" w:hAnsi="Arial" w:cs="Arial"/>
          <w:snapToGrid w:val="0"/>
          <w:sz w:val="20"/>
        </w:rPr>
        <w:t>/$</w:t>
      </w:r>
      <w:r>
        <w:rPr>
          <w:rFonts w:ascii="Arial" w:hAnsi="Arial" w:cs="Arial"/>
          <w:snapToGrid w:val="0"/>
          <w:sz w:val="20"/>
        </w:rPr>
        <w:t>85</w:t>
      </w:r>
      <w:r w:rsidRPr="00685C97">
        <w:rPr>
          <w:rFonts w:ascii="Arial" w:hAnsi="Arial" w:cs="Arial"/>
          <w:snapToGrid w:val="0"/>
          <w:sz w:val="20"/>
        </w:rPr>
        <w:t xml:space="preserve"> Business </w:t>
      </w:r>
      <w:r>
        <w:rPr>
          <w:rFonts w:ascii="Arial" w:hAnsi="Arial" w:cs="Arial"/>
          <w:snapToGrid w:val="0"/>
          <w:sz w:val="20"/>
        </w:rPr>
        <w:t xml:space="preserve">Plus </w:t>
      </w:r>
      <w:r w:rsidRPr="00685C97">
        <w:rPr>
          <w:rFonts w:ascii="Arial" w:hAnsi="Arial" w:cs="Arial"/>
          <w:snapToGrid w:val="0"/>
          <w:sz w:val="20"/>
        </w:rPr>
        <w:t>Tech Fund plans can take up the Optus Travel</w:t>
      </w:r>
      <w:r w:rsidRPr="00685C97">
        <w:rPr>
          <w:rFonts w:ascii="Arial" w:hAnsi="Arial" w:cs="Arial"/>
          <w:snapToGrid w:val="0"/>
          <w:sz w:val="20"/>
          <w:vertAlign w:val="superscript"/>
        </w:rPr>
        <w:t>TM</w:t>
      </w:r>
      <w:r w:rsidRPr="00685C97">
        <w:rPr>
          <w:rFonts w:ascii="Arial" w:hAnsi="Arial" w:cs="Arial"/>
          <w:snapToGrid w:val="0"/>
          <w:sz w:val="20"/>
        </w:rPr>
        <w:t xml:space="preserve"> Pack for $5 per day. </w:t>
      </w:r>
      <w:r w:rsidRPr="00685C97">
        <w:rPr>
          <w:rFonts w:ascii="Arial" w:hAnsi="Arial" w:cs="Arial"/>
          <w:i/>
          <w:snapToGrid w:val="0"/>
          <w:sz w:val="20"/>
        </w:rPr>
        <w:t>You</w:t>
      </w:r>
      <w:r w:rsidRPr="00685C97">
        <w:rPr>
          <w:rFonts w:ascii="Arial" w:hAnsi="Arial" w:cs="Arial"/>
          <w:snapToGrid w:val="0"/>
          <w:sz w:val="20"/>
        </w:rPr>
        <w:t xml:space="preserve"> need to ensure your Optus Travel</w:t>
      </w:r>
      <w:r w:rsidRPr="00685C97">
        <w:rPr>
          <w:rFonts w:ascii="Arial" w:hAnsi="Arial" w:cs="Arial"/>
          <w:snapToGrid w:val="0"/>
          <w:sz w:val="20"/>
          <w:vertAlign w:val="superscript"/>
        </w:rPr>
        <w:t>TM</w:t>
      </w:r>
      <w:r w:rsidRPr="00685C97">
        <w:rPr>
          <w:rFonts w:ascii="Arial" w:hAnsi="Arial" w:cs="Arial"/>
          <w:snapToGrid w:val="0"/>
          <w:sz w:val="20"/>
        </w:rPr>
        <w:t xml:space="preserve"> Pack is active by contacting Optus prior to use. Optus Travel</w:t>
      </w:r>
      <w:r w:rsidRPr="00685C97">
        <w:rPr>
          <w:rFonts w:ascii="Arial" w:hAnsi="Arial" w:cs="Arial"/>
          <w:snapToGrid w:val="0"/>
          <w:sz w:val="20"/>
          <w:vertAlign w:val="superscript"/>
        </w:rPr>
        <w:t>TM</w:t>
      </w:r>
      <w:r w:rsidRPr="00685C97">
        <w:rPr>
          <w:rFonts w:ascii="Arial" w:hAnsi="Arial" w:cs="Arial"/>
          <w:snapToGrid w:val="0"/>
          <w:sz w:val="20"/>
        </w:rPr>
        <w:t xml:space="preserve"> Pack gives you unlimited standard national and international voice, SMS (MMS is excluded) plus </w:t>
      </w:r>
      <w:r>
        <w:rPr>
          <w:rFonts w:ascii="Arial" w:hAnsi="Arial" w:cs="Arial"/>
          <w:snapToGrid w:val="0"/>
          <w:sz w:val="20"/>
        </w:rPr>
        <w:t>10</w:t>
      </w:r>
      <w:r w:rsidRPr="00685C97">
        <w:rPr>
          <w:rFonts w:ascii="Arial" w:hAnsi="Arial" w:cs="Arial"/>
          <w:snapToGrid w:val="0"/>
          <w:sz w:val="20"/>
        </w:rPr>
        <w:t>0MB of data to use in Zone 1 countries per day. For list of countries see optus.com.au/biztravel</w:t>
      </w:r>
    </w:p>
    <w:p w14:paraId="1F136ED3" w14:textId="77777777" w:rsidR="00BA21F2" w:rsidRPr="00685C97" w:rsidRDefault="00BA21F2" w:rsidP="00BA21F2">
      <w:pPr>
        <w:pStyle w:val="OptusH3"/>
        <w:tabs>
          <w:tab w:val="clear" w:pos="2127"/>
          <w:tab w:val="left" w:pos="567"/>
        </w:tabs>
        <w:spacing w:before="0" w:after="0"/>
        <w:ind w:left="709" w:firstLine="0"/>
        <w:rPr>
          <w:rFonts w:ascii="Arial" w:hAnsi="Arial" w:cs="Arial"/>
          <w:snapToGrid w:val="0"/>
          <w:sz w:val="20"/>
        </w:rPr>
      </w:pPr>
    </w:p>
    <w:p w14:paraId="478F4D73" w14:textId="77777777" w:rsidR="00BA21F2" w:rsidRPr="00755D11" w:rsidRDefault="00BA21F2" w:rsidP="00BA21F2">
      <w:pPr>
        <w:pStyle w:val="BodyText"/>
        <w:ind w:left="720"/>
      </w:pPr>
      <w:r w:rsidRPr="00755D11">
        <w:t xml:space="preserve">You can activate the Optus TravelTM Pack on a day to day basis or multiple days at once. If you activate multiple consecutive days, the data allowance will accumulate, for example activate 5 consecutive days and use </w:t>
      </w:r>
      <w:r>
        <w:t>500</w:t>
      </w:r>
      <w:r w:rsidRPr="00755D11">
        <w:t>MB any time over the 5-day period. If you exceed the data limit, standard data roaming charges will apply. Any data provided as part of Optus Travel™ Pack is not shareable and will not form part of any Data Pool. Any unused days of Optus Travel™ Pack are forfeited and cannot be rolled over to the next billing month.</w:t>
      </w:r>
    </w:p>
    <w:p w14:paraId="5F9B027A" w14:textId="77777777" w:rsidR="00BA21F2" w:rsidRDefault="00BA21F2" w:rsidP="00BA21F2">
      <w:pPr>
        <w:pStyle w:val="BodyText"/>
        <w:ind w:left="720"/>
      </w:pPr>
      <w:r w:rsidRPr="004C64A0">
        <w:lastRenderedPageBreak/>
        <w:t>I</w:t>
      </w:r>
      <w:r w:rsidRPr="00755D11">
        <w:t>f you are not in a Zone 1 country you will be charged at standard roaming rates for that country.</w:t>
      </w:r>
    </w:p>
    <w:p w14:paraId="58BAEA05" w14:textId="77777777" w:rsidR="00BA21F2" w:rsidRPr="004C64A0" w:rsidRDefault="00BA21F2" w:rsidP="00BA21F2">
      <w:pPr>
        <w:pStyle w:val="BodyText"/>
        <w:ind w:left="720"/>
        <w:rPr>
          <w:lang w:val="en-AU"/>
        </w:rPr>
      </w:pPr>
      <w:r w:rsidRPr="004C64A0">
        <w:rPr>
          <w:b/>
          <w:lang w:val="en-AU"/>
        </w:rPr>
        <w:t>Table 1 –</w:t>
      </w:r>
      <w:r>
        <w:rPr>
          <w:b/>
          <w:lang w:val="en-AU"/>
        </w:rPr>
        <w:t xml:space="preserve"> </w:t>
      </w:r>
      <w:r w:rsidRPr="004C64A0">
        <w:rPr>
          <w:b/>
          <w:lang w:val="en-AU"/>
        </w:rPr>
        <w:t>Plan Inclusions and Charges</w:t>
      </w:r>
    </w:p>
    <w:tbl>
      <w:tblPr>
        <w:tblW w:w="1153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0"/>
        <w:gridCol w:w="1472"/>
        <w:gridCol w:w="1473"/>
        <w:gridCol w:w="1473"/>
        <w:gridCol w:w="1473"/>
        <w:gridCol w:w="1473"/>
        <w:gridCol w:w="1473"/>
      </w:tblGrid>
      <w:tr w:rsidR="00BA21F2" w:rsidRPr="00F20B08" w14:paraId="6FFB4CB2" w14:textId="77777777" w:rsidTr="00DE32CC">
        <w:tc>
          <w:tcPr>
            <w:tcW w:w="2700" w:type="dxa"/>
            <w:shd w:val="clear" w:color="auto" w:fill="auto"/>
          </w:tcPr>
          <w:p w14:paraId="15B0AAA5" w14:textId="77777777" w:rsidR="00BA21F2" w:rsidRPr="00F20B08" w:rsidRDefault="00BA21F2" w:rsidP="00DE32CC">
            <w:pPr>
              <w:pStyle w:val="BodyText"/>
              <w:keepNext/>
              <w:spacing w:before="100" w:after="100"/>
            </w:pPr>
          </w:p>
        </w:tc>
        <w:tc>
          <w:tcPr>
            <w:tcW w:w="1472" w:type="dxa"/>
            <w:vAlign w:val="center"/>
          </w:tcPr>
          <w:p w14:paraId="358F33D7" w14:textId="77777777" w:rsidR="00BA21F2" w:rsidRPr="00F20B08" w:rsidRDefault="00BA21F2" w:rsidP="00DE32CC">
            <w:pPr>
              <w:pStyle w:val="BodyText"/>
              <w:keepNext/>
              <w:spacing w:before="100" w:after="100"/>
              <w:jc w:val="center"/>
              <w:rPr>
                <w:b/>
              </w:rPr>
            </w:pPr>
            <w:r w:rsidRPr="00F20B08">
              <w:rPr>
                <w:b/>
              </w:rPr>
              <w:t>$4</w:t>
            </w:r>
            <w:r>
              <w:rPr>
                <w:b/>
              </w:rPr>
              <w:t xml:space="preserve">5 </w:t>
            </w:r>
            <w:r w:rsidRPr="00F20B08">
              <w:rPr>
                <w:b/>
              </w:rPr>
              <w:t xml:space="preserve">Business </w:t>
            </w:r>
            <w:r>
              <w:rPr>
                <w:b/>
              </w:rPr>
              <w:t xml:space="preserve">Plus </w:t>
            </w:r>
            <w:r w:rsidRPr="00F20B08">
              <w:rPr>
                <w:b/>
                <w:snapToGrid w:val="0"/>
              </w:rPr>
              <w:t>Tech Fund</w:t>
            </w:r>
          </w:p>
        </w:tc>
        <w:tc>
          <w:tcPr>
            <w:tcW w:w="1473" w:type="dxa"/>
            <w:shd w:val="clear" w:color="auto" w:fill="auto"/>
            <w:vAlign w:val="center"/>
          </w:tcPr>
          <w:p w14:paraId="51C485E9" w14:textId="77777777" w:rsidR="00BA21F2" w:rsidRPr="00F20B08" w:rsidRDefault="00BA21F2" w:rsidP="00DE32CC">
            <w:pPr>
              <w:pStyle w:val="BodyText"/>
              <w:keepNext/>
              <w:spacing w:before="100" w:after="100"/>
              <w:jc w:val="center"/>
              <w:rPr>
                <w:b/>
              </w:rPr>
            </w:pPr>
            <w:r w:rsidRPr="00F20B08">
              <w:rPr>
                <w:b/>
              </w:rPr>
              <w:t>$</w:t>
            </w:r>
            <w:r>
              <w:rPr>
                <w:b/>
              </w:rPr>
              <w:t>65</w:t>
            </w:r>
            <w:r w:rsidRPr="00F20B08">
              <w:rPr>
                <w:b/>
              </w:rPr>
              <w:t xml:space="preserve"> Business</w:t>
            </w:r>
            <w:r>
              <w:rPr>
                <w:b/>
              </w:rPr>
              <w:t xml:space="preserve"> Plus</w:t>
            </w:r>
            <w:r w:rsidRPr="00F20B08">
              <w:rPr>
                <w:b/>
                <w:snapToGrid w:val="0"/>
              </w:rPr>
              <w:t xml:space="preserve"> Tech Fund</w:t>
            </w:r>
          </w:p>
        </w:tc>
        <w:tc>
          <w:tcPr>
            <w:tcW w:w="1473" w:type="dxa"/>
            <w:shd w:val="clear" w:color="auto" w:fill="auto"/>
            <w:vAlign w:val="center"/>
          </w:tcPr>
          <w:p w14:paraId="7B522E6E" w14:textId="77777777" w:rsidR="00BA21F2" w:rsidRPr="00F20B08" w:rsidRDefault="00BA21F2" w:rsidP="00DE32CC">
            <w:pPr>
              <w:pStyle w:val="BodyText"/>
              <w:keepNext/>
              <w:spacing w:before="100" w:after="100"/>
              <w:jc w:val="center"/>
              <w:rPr>
                <w:b/>
              </w:rPr>
            </w:pPr>
            <w:r w:rsidRPr="00F20B08">
              <w:rPr>
                <w:b/>
              </w:rPr>
              <w:t>$</w:t>
            </w:r>
            <w:r>
              <w:rPr>
                <w:b/>
              </w:rPr>
              <w:t>85</w:t>
            </w:r>
            <w:r w:rsidRPr="00F20B08">
              <w:rPr>
                <w:b/>
              </w:rPr>
              <w:t xml:space="preserve"> Business</w:t>
            </w:r>
            <w:r>
              <w:rPr>
                <w:b/>
              </w:rPr>
              <w:t xml:space="preserve"> Plus</w:t>
            </w:r>
            <w:r w:rsidRPr="00F20B08">
              <w:rPr>
                <w:b/>
                <w:snapToGrid w:val="0"/>
              </w:rPr>
              <w:t xml:space="preserve"> Tech Fund</w:t>
            </w:r>
          </w:p>
        </w:tc>
        <w:tc>
          <w:tcPr>
            <w:tcW w:w="1473" w:type="dxa"/>
            <w:vAlign w:val="center"/>
          </w:tcPr>
          <w:p w14:paraId="1ACC3CA8" w14:textId="77777777" w:rsidR="00BA21F2" w:rsidRPr="00F20B08" w:rsidRDefault="00BA21F2" w:rsidP="00DE32CC">
            <w:pPr>
              <w:pStyle w:val="BodyText"/>
              <w:keepNext/>
              <w:spacing w:before="100" w:after="100"/>
              <w:jc w:val="center"/>
              <w:rPr>
                <w:b/>
              </w:rPr>
            </w:pPr>
            <w:r w:rsidRPr="00F20B08">
              <w:rPr>
                <w:b/>
              </w:rPr>
              <w:t>$10</w:t>
            </w:r>
            <w:r>
              <w:rPr>
                <w:b/>
              </w:rPr>
              <w:t>0</w:t>
            </w:r>
            <w:r w:rsidRPr="00F20B08">
              <w:rPr>
                <w:b/>
              </w:rPr>
              <w:t xml:space="preserve"> Business </w:t>
            </w:r>
            <w:r>
              <w:rPr>
                <w:b/>
              </w:rPr>
              <w:t xml:space="preserve">Plus </w:t>
            </w:r>
            <w:r w:rsidRPr="00F20B08">
              <w:rPr>
                <w:b/>
              </w:rPr>
              <w:t>Tech Fund</w:t>
            </w:r>
          </w:p>
        </w:tc>
        <w:tc>
          <w:tcPr>
            <w:tcW w:w="1473" w:type="dxa"/>
            <w:vAlign w:val="center"/>
          </w:tcPr>
          <w:p w14:paraId="283FB4E7" w14:textId="77777777" w:rsidR="00BA21F2" w:rsidRPr="00F20B08" w:rsidRDefault="00BA21F2" w:rsidP="00DE32CC">
            <w:pPr>
              <w:pStyle w:val="BodyText"/>
              <w:keepNext/>
              <w:spacing w:before="100" w:after="100"/>
              <w:jc w:val="center"/>
              <w:rPr>
                <w:b/>
              </w:rPr>
            </w:pPr>
            <w:r w:rsidRPr="00F20B08">
              <w:rPr>
                <w:b/>
              </w:rPr>
              <w:t>$</w:t>
            </w:r>
            <w:r>
              <w:rPr>
                <w:b/>
              </w:rPr>
              <w:t>120</w:t>
            </w:r>
            <w:r w:rsidRPr="00F20B08">
              <w:rPr>
                <w:b/>
              </w:rPr>
              <w:t xml:space="preserve"> Business</w:t>
            </w:r>
            <w:r>
              <w:rPr>
                <w:b/>
              </w:rPr>
              <w:t xml:space="preserve"> Plus</w:t>
            </w:r>
            <w:r w:rsidRPr="00F20B08">
              <w:rPr>
                <w:b/>
              </w:rPr>
              <w:t xml:space="preserve"> Tech Fund</w:t>
            </w:r>
          </w:p>
        </w:tc>
        <w:tc>
          <w:tcPr>
            <w:tcW w:w="1473" w:type="dxa"/>
          </w:tcPr>
          <w:p w14:paraId="2F0BBA6A" w14:textId="77777777" w:rsidR="00BA21F2" w:rsidRPr="00F20B08" w:rsidRDefault="00BA21F2" w:rsidP="00DE32CC">
            <w:pPr>
              <w:pStyle w:val="BodyText"/>
              <w:keepNext/>
              <w:spacing w:before="100" w:after="100"/>
              <w:jc w:val="center"/>
              <w:rPr>
                <w:b/>
              </w:rPr>
            </w:pPr>
            <w:r w:rsidRPr="00F20B08">
              <w:rPr>
                <w:b/>
              </w:rPr>
              <w:t>$</w:t>
            </w:r>
            <w:r>
              <w:rPr>
                <w:b/>
              </w:rPr>
              <w:t>149</w:t>
            </w:r>
            <w:r w:rsidRPr="00F20B08">
              <w:rPr>
                <w:b/>
              </w:rPr>
              <w:t xml:space="preserve"> Business</w:t>
            </w:r>
            <w:r>
              <w:rPr>
                <w:b/>
              </w:rPr>
              <w:t xml:space="preserve"> Plus</w:t>
            </w:r>
            <w:r w:rsidRPr="00F20B08">
              <w:rPr>
                <w:b/>
              </w:rPr>
              <w:t xml:space="preserve"> Tech Fund</w:t>
            </w:r>
          </w:p>
        </w:tc>
      </w:tr>
      <w:tr w:rsidR="00BA21F2" w:rsidRPr="00F20B08" w14:paraId="45AB9118" w14:textId="77777777" w:rsidTr="00DE32CC">
        <w:tc>
          <w:tcPr>
            <w:tcW w:w="2700" w:type="dxa"/>
            <w:shd w:val="clear" w:color="auto" w:fill="auto"/>
          </w:tcPr>
          <w:p w14:paraId="16BA40DA" w14:textId="77777777" w:rsidR="00BA21F2" w:rsidRPr="00E163AA" w:rsidRDefault="00BA21F2" w:rsidP="00DE32CC">
            <w:pPr>
              <w:pStyle w:val="BodyText"/>
              <w:keepNext/>
              <w:spacing w:before="100" w:after="100"/>
              <w:rPr>
                <w:sz w:val="16"/>
                <w:szCs w:val="16"/>
              </w:rPr>
            </w:pPr>
            <w:r w:rsidRPr="00E163AA">
              <w:rPr>
                <w:b/>
                <w:bCs/>
                <w:sz w:val="16"/>
                <w:szCs w:val="16"/>
                <w:lang w:eastAsia="en-AU"/>
              </w:rPr>
              <w:t>Minimum Monthly charge</w:t>
            </w:r>
          </w:p>
        </w:tc>
        <w:tc>
          <w:tcPr>
            <w:tcW w:w="1472" w:type="dxa"/>
            <w:vAlign w:val="center"/>
          </w:tcPr>
          <w:p w14:paraId="0256AC2A" w14:textId="77777777" w:rsidR="00BA21F2" w:rsidRPr="00E163AA" w:rsidRDefault="00BA21F2" w:rsidP="00DE32CC">
            <w:pPr>
              <w:pStyle w:val="BodyText"/>
              <w:keepNext/>
              <w:spacing w:before="100" w:after="100"/>
              <w:jc w:val="center"/>
              <w:rPr>
                <w:sz w:val="16"/>
                <w:szCs w:val="16"/>
              </w:rPr>
            </w:pPr>
            <w:r w:rsidRPr="00E163AA">
              <w:rPr>
                <w:sz w:val="16"/>
                <w:szCs w:val="16"/>
              </w:rPr>
              <w:t>$45</w:t>
            </w:r>
          </w:p>
        </w:tc>
        <w:tc>
          <w:tcPr>
            <w:tcW w:w="1473" w:type="dxa"/>
            <w:shd w:val="clear" w:color="auto" w:fill="auto"/>
            <w:vAlign w:val="center"/>
          </w:tcPr>
          <w:p w14:paraId="521766E0" w14:textId="77777777" w:rsidR="00BA21F2" w:rsidRPr="00E163AA" w:rsidRDefault="00BA21F2" w:rsidP="00DE32CC">
            <w:pPr>
              <w:pStyle w:val="BodyText"/>
              <w:keepNext/>
              <w:spacing w:before="100" w:after="100"/>
              <w:jc w:val="center"/>
              <w:rPr>
                <w:sz w:val="16"/>
                <w:szCs w:val="16"/>
              </w:rPr>
            </w:pPr>
            <w:r w:rsidRPr="00E163AA">
              <w:rPr>
                <w:sz w:val="16"/>
                <w:szCs w:val="16"/>
              </w:rPr>
              <w:t>$65</w:t>
            </w:r>
          </w:p>
        </w:tc>
        <w:tc>
          <w:tcPr>
            <w:tcW w:w="1473" w:type="dxa"/>
            <w:shd w:val="clear" w:color="auto" w:fill="auto"/>
            <w:vAlign w:val="center"/>
          </w:tcPr>
          <w:p w14:paraId="66D2923E" w14:textId="77777777" w:rsidR="00BA21F2" w:rsidRPr="00E163AA" w:rsidRDefault="00BA21F2" w:rsidP="00DE32CC">
            <w:pPr>
              <w:pStyle w:val="BodyText"/>
              <w:keepNext/>
              <w:spacing w:before="100" w:after="100"/>
              <w:jc w:val="center"/>
              <w:rPr>
                <w:sz w:val="16"/>
                <w:szCs w:val="16"/>
              </w:rPr>
            </w:pPr>
            <w:r w:rsidRPr="00E163AA">
              <w:rPr>
                <w:sz w:val="16"/>
                <w:szCs w:val="16"/>
              </w:rPr>
              <w:t>$85</w:t>
            </w:r>
          </w:p>
        </w:tc>
        <w:tc>
          <w:tcPr>
            <w:tcW w:w="1473" w:type="dxa"/>
            <w:vAlign w:val="center"/>
          </w:tcPr>
          <w:p w14:paraId="37413076" w14:textId="77777777" w:rsidR="00BA21F2" w:rsidRPr="00E163AA" w:rsidRDefault="00BA21F2" w:rsidP="00DE32CC">
            <w:pPr>
              <w:pStyle w:val="BodyText"/>
              <w:keepNext/>
              <w:spacing w:before="100" w:after="100"/>
              <w:jc w:val="center"/>
              <w:rPr>
                <w:sz w:val="16"/>
                <w:szCs w:val="16"/>
              </w:rPr>
            </w:pPr>
            <w:r w:rsidRPr="00E163AA">
              <w:rPr>
                <w:sz w:val="16"/>
                <w:szCs w:val="16"/>
              </w:rPr>
              <w:t>$100</w:t>
            </w:r>
          </w:p>
        </w:tc>
        <w:tc>
          <w:tcPr>
            <w:tcW w:w="1473" w:type="dxa"/>
            <w:vAlign w:val="center"/>
          </w:tcPr>
          <w:p w14:paraId="5AECF3D6" w14:textId="77777777" w:rsidR="00BA21F2" w:rsidRPr="00E163AA" w:rsidRDefault="00BA21F2" w:rsidP="00DE32CC">
            <w:pPr>
              <w:pStyle w:val="BodyText"/>
              <w:keepNext/>
              <w:spacing w:before="100" w:after="100"/>
              <w:jc w:val="center"/>
              <w:rPr>
                <w:sz w:val="16"/>
                <w:szCs w:val="16"/>
              </w:rPr>
            </w:pPr>
            <w:r w:rsidRPr="00E163AA">
              <w:rPr>
                <w:sz w:val="16"/>
                <w:szCs w:val="16"/>
              </w:rPr>
              <w:t>$120</w:t>
            </w:r>
          </w:p>
        </w:tc>
        <w:tc>
          <w:tcPr>
            <w:tcW w:w="1473" w:type="dxa"/>
          </w:tcPr>
          <w:p w14:paraId="4F5331D5" w14:textId="77777777" w:rsidR="00BA21F2" w:rsidRPr="00E163AA" w:rsidRDefault="00BA21F2" w:rsidP="00DE32CC">
            <w:pPr>
              <w:pStyle w:val="BodyText"/>
              <w:keepNext/>
              <w:spacing w:before="100" w:after="100"/>
              <w:jc w:val="center"/>
              <w:rPr>
                <w:sz w:val="16"/>
                <w:szCs w:val="16"/>
              </w:rPr>
            </w:pPr>
            <w:r w:rsidRPr="00E163AA">
              <w:rPr>
                <w:sz w:val="16"/>
                <w:szCs w:val="16"/>
              </w:rPr>
              <w:t>$149</w:t>
            </w:r>
          </w:p>
        </w:tc>
      </w:tr>
      <w:tr w:rsidR="00BA21F2" w:rsidRPr="00F20B08" w14:paraId="38F85A0C" w14:textId="77777777" w:rsidTr="00DE32CC">
        <w:tc>
          <w:tcPr>
            <w:tcW w:w="2700" w:type="dxa"/>
            <w:shd w:val="clear" w:color="auto" w:fill="auto"/>
          </w:tcPr>
          <w:p w14:paraId="61EA21F4" w14:textId="77777777" w:rsidR="00BA21F2" w:rsidRPr="00E163AA" w:rsidRDefault="00BA21F2" w:rsidP="00DE32CC">
            <w:pPr>
              <w:pStyle w:val="BodyText"/>
              <w:keepNext/>
              <w:spacing w:before="100" w:after="100"/>
              <w:rPr>
                <w:sz w:val="16"/>
                <w:szCs w:val="16"/>
              </w:rPr>
            </w:pPr>
            <w:r w:rsidRPr="00E163AA">
              <w:rPr>
                <w:b/>
                <w:bCs/>
                <w:sz w:val="16"/>
                <w:szCs w:val="16"/>
                <w:lang w:eastAsia="en-AU"/>
              </w:rPr>
              <w:t>Included Data</w:t>
            </w:r>
          </w:p>
        </w:tc>
        <w:tc>
          <w:tcPr>
            <w:tcW w:w="1472" w:type="dxa"/>
            <w:vAlign w:val="center"/>
          </w:tcPr>
          <w:p w14:paraId="6E257E7B" w14:textId="77777777" w:rsidR="00BA21F2" w:rsidRPr="00E163AA" w:rsidRDefault="00BA21F2" w:rsidP="00DE32CC">
            <w:pPr>
              <w:pStyle w:val="BodyText"/>
              <w:keepNext/>
              <w:spacing w:before="100" w:after="100"/>
              <w:jc w:val="center"/>
              <w:rPr>
                <w:sz w:val="16"/>
                <w:szCs w:val="16"/>
              </w:rPr>
            </w:pPr>
            <w:r w:rsidRPr="00E163AA">
              <w:rPr>
                <w:sz w:val="16"/>
                <w:szCs w:val="16"/>
              </w:rPr>
              <w:t>2GB</w:t>
            </w:r>
          </w:p>
        </w:tc>
        <w:tc>
          <w:tcPr>
            <w:tcW w:w="1473" w:type="dxa"/>
            <w:shd w:val="clear" w:color="auto" w:fill="auto"/>
            <w:vAlign w:val="center"/>
          </w:tcPr>
          <w:p w14:paraId="2F7223A7" w14:textId="77777777" w:rsidR="00BA21F2" w:rsidRPr="00E163AA" w:rsidRDefault="00BA21F2" w:rsidP="00DE32CC">
            <w:pPr>
              <w:pStyle w:val="BodyText"/>
              <w:keepNext/>
              <w:spacing w:before="100" w:after="100"/>
              <w:jc w:val="center"/>
              <w:rPr>
                <w:sz w:val="16"/>
                <w:szCs w:val="16"/>
              </w:rPr>
            </w:pPr>
            <w:r w:rsidRPr="00E163AA">
              <w:rPr>
                <w:sz w:val="16"/>
                <w:szCs w:val="16"/>
              </w:rPr>
              <w:t>5GB</w:t>
            </w:r>
          </w:p>
        </w:tc>
        <w:tc>
          <w:tcPr>
            <w:tcW w:w="1473" w:type="dxa"/>
            <w:shd w:val="clear" w:color="auto" w:fill="auto"/>
            <w:vAlign w:val="center"/>
          </w:tcPr>
          <w:p w14:paraId="48CE97F5" w14:textId="77777777" w:rsidR="00BA21F2" w:rsidRPr="00E163AA" w:rsidRDefault="00BA21F2" w:rsidP="00DE32CC">
            <w:pPr>
              <w:pStyle w:val="BodyText"/>
              <w:keepNext/>
              <w:spacing w:before="100" w:after="100"/>
              <w:jc w:val="center"/>
              <w:rPr>
                <w:sz w:val="16"/>
                <w:szCs w:val="16"/>
              </w:rPr>
            </w:pPr>
            <w:r w:rsidRPr="00E163AA">
              <w:rPr>
                <w:sz w:val="16"/>
                <w:szCs w:val="16"/>
              </w:rPr>
              <w:t>14GB</w:t>
            </w:r>
          </w:p>
        </w:tc>
        <w:tc>
          <w:tcPr>
            <w:tcW w:w="1473" w:type="dxa"/>
            <w:vAlign w:val="center"/>
          </w:tcPr>
          <w:p w14:paraId="38A86720" w14:textId="77777777" w:rsidR="00BA21F2" w:rsidRPr="00E163AA" w:rsidRDefault="00BA21F2" w:rsidP="00DE32CC">
            <w:pPr>
              <w:pStyle w:val="BodyText"/>
              <w:keepNext/>
              <w:spacing w:before="100" w:after="100"/>
              <w:jc w:val="center"/>
              <w:rPr>
                <w:sz w:val="16"/>
                <w:szCs w:val="16"/>
              </w:rPr>
            </w:pPr>
            <w:r w:rsidRPr="00E163AA">
              <w:rPr>
                <w:sz w:val="16"/>
                <w:szCs w:val="16"/>
              </w:rPr>
              <w:t>30GB</w:t>
            </w:r>
          </w:p>
        </w:tc>
        <w:tc>
          <w:tcPr>
            <w:tcW w:w="1473" w:type="dxa"/>
            <w:vAlign w:val="center"/>
          </w:tcPr>
          <w:p w14:paraId="2F88F74A" w14:textId="77777777" w:rsidR="00BA21F2" w:rsidRPr="00E163AA" w:rsidRDefault="00BA21F2" w:rsidP="00DE32CC">
            <w:pPr>
              <w:pStyle w:val="BodyText"/>
              <w:keepNext/>
              <w:spacing w:before="100" w:after="100"/>
              <w:jc w:val="center"/>
              <w:rPr>
                <w:sz w:val="16"/>
                <w:szCs w:val="16"/>
              </w:rPr>
            </w:pPr>
            <w:r w:rsidRPr="00E163AA">
              <w:rPr>
                <w:sz w:val="16"/>
                <w:szCs w:val="16"/>
              </w:rPr>
              <w:t>40GB</w:t>
            </w:r>
          </w:p>
        </w:tc>
        <w:tc>
          <w:tcPr>
            <w:tcW w:w="1473" w:type="dxa"/>
          </w:tcPr>
          <w:p w14:paraId="3483A25B" w14:textId="77777777" w:rsidR="00BA21F2" w:rsidRPr="00E163AA" w:rsidRDefault="00BA21F2" w:rsidP="00DE32CC">
            <w:pPr>
              <w:pStyle w:val="BodyText"/>
              <w:keepNext/>
              <w:spacing w:before="100" w:after="100"/>
              <w:jc w:val="center"/>
              <w:rPr>
                <w:sz w:val="16"/>
                <w:szCs w:val="16"/>
              </w:rPr>
            </w:pPr>
            <w:r w:rsidRPr="00E163AA">
              <w:rPr>
                <w:sz w:val="16"/>
                <w:szCs w:val="16"/>
              </w:rPr>
              <w:t>50GB</w:t>
            </w:r>
          </w:p>
        </w:tc>
      </w:tr>
      <w:tr w:rsidR="00BA21F2" w:rsidRPr="00F20B08" w14:paraId="042D1FF9" w14:textId="77777777" w:rsidTr="00DE32CC">
        <w:tc>
          <w:tcPr>
            <w:tcW w:w="2700" w:type="dxa"/>
            <w:shd w:val="clear" w:color="auto" w:fill="auto"/>
          </w:tcPr>
          <w:p w14:paraId="2AA341CC" w14:textId="77777777" w:rsidR="00BA21F2" w:rsidRPr="00E163AA" w:rsidRDefault="00BA21F2" w:rsidP="00DE32CC">
            <w:pPr>
              <w:pStyle w:val="BodyText"/>
              <w:keepNext/>
              <w:spacing w:before="100" w:after="100"/>
              <w:rPr>
                <w:b/>
                <w:bCs/>
                <w:sz w:val="16"/>
                <w:szCs w:val="16"/>
                <w:lang w:eastAsia="en-AU"/>
              </w:rPr>
            </w:pPr>
            <w:r w:rsidRPr="00E163AA">
              <w:rPr>
                <w:b/>
                <w:bCs/>
                <w:sz w:val="16"/>
                <w:szCs w:val="16"/>
                <w:lang w:eastAsia="en-AU"/>
              </w:rPr>
              <w:t>Additional Data</w:t>
            </w:r>
          </w:p>
        </w:tc>
        <w:tc>
          <w:tcPr>
            <w:tcW w:w="7364" w:type="dxa"/>
            <w:gridSpan w:val="5"/>
            <w:vAlign w:val="center"/>
          </w:tcPr>
          <w:p w14:paraId="541FF4DE" w14:textId="77777777" w:rsidR="00BA21F2" w:rsidRPr="00E163AA" w:rsidRDefault="00BA21F2" w:rsidP="00DE32CC">
            <w:pPr>
              <w:pStyle w:val="BodyText"/>
              <w:keepNext/>
              <w:spacing w:before="100" w:after="100"/>
              <w:jc w:val="center"/>
              <w:rPr>
                <w:sz w:val="16"/>
                <w:szCs w:val="16"/>
              </w:rPr>
            </w:pPr>
            <w:r w:rsidRPr="00E163AA">
              <w:rPr>
                <w:sz w:val="16"/>
                <w:szCs w:val="16"/>
              </w:rPr>
              <w:t>Additional Data $10 per 1GB</w:t>
            </w:r>
          </w:p>
        </w:tc>
        <w:tc>
          <w:tcPr>
            <w:tcW w:w="1473" w:type="dxa"/>
          </w:tcPr>
          <w:p w14:paraId="6901C69B" w14:textId="77777777" w:rsidR="00BA21F2" w:rsidRPr="00E163AA" w:rsidRDefault="00BA21F2" w:rsidP="00DE32CC">
            <w:pPr>
              <w:pStyle w:val="BodyText"/>
              <w:keepNext/>
              <w:spacing w:before="100" w:after="100"/>
              <w:jc w:val="center"/>
              <w:rPr>
                <w:sz w:val="16"/>
                <w:szCs w:val="16"/>
              </w:rPr>
            </w:pPr>
          </w:p>
        </w:tc>
      </w:tr>
      <w:tr w:rsidR="00BA21F2" w:rsidRPr="00F20B08" w14:paraId="497F407C" w14:textId="77777777" w:rsidTr="00DE32CC">
        <w:tc>
          <w:tcPr>
            <w:tcW w:w="2700" w:type="dxa"/>
            <w:shd w:val="clear" w:color="auto" w:fill="auto"/>
          </w:tcPr>
          <w:p w14:paraId="52304A01" w14:textId="77777777" w:rsidR="00BA21F2" w:rsidRPr="00E163AA" w:rsidRDefault="00BA21F2" w:rsidP="00DE32CC">
            <w:pPr>
              <w:pStyle w:val="BodyText"/>
              <w:keepNext/>
              <w:spacing w:before="100" w:after="100"/>
              <w:rPr>
                <w:b/>
                <w:bCs/>
                <w:sz w:val="16"/>
                <w:szCs w:val="16"/>
                <w:lang w:eastAsia="en-AU"/>
              </w:rPr>
            </w:pPr>
            <w:r w:rsidRPr="00E163AA">
              <w:rPr>
                <w:b/>
                <w:bCs/>
                <w:sz w:val="16"/>
                <w:szCs w:val="16"/>
                <w:lang w:eastAsia="en-AU"/>
              </w:rPr>
              <w:t xml:space="preserve">Included Minutes </w:t>
            </w:r>
          </w:p>
          <w:p w14:paraId="2193EB32" w14:textId="77777777" w:rsidR="00BA21F2" w:rsidRPr="00E163AA" w:rsidRDefault="00BA21F2" w:rsidP="00DE32CC">
            <w:pPr>
              <w:pStyle w:val="BodyText"/>
              <w:keepNext/>
              <w:spacing w:before="100" w:after="100"/>
              <w:rPr>
                <w:sz w:val="16"/>
                <w:szCs w:val="16"/>
              </w:rPr>
            </w:pPr>
            <w:r w:rsidRPr="00E163AA">
              <w:rPr>
                <w:sz w:val="16"/>
                <w:szCs w:val="16"/>
                <w:lang w:eastAsia="en-AU"/>
              </w:rPr>
              <w:t>for standard national calls to landlines and mobiles, 1300 numbers and voicemail, within Australia</w:t>
            </w:r>
          </w:p>
        </w:tc>
        <w:tc>
          <w:tcPr>
            <w:tcW w:w="1472" w:type="dxa"/>
            <w:vAlign w:val="center"/>
          </w:tcPr>
          <w:p w14:paraId="42B2A70B" w14:textId="77777777" w:rsidR="00BA21F2" w:rsidRPr="00E163AA" w:rsidRDefault="00BA21F2" w:rsidP="00DE32CC">
            <w:pPr>
              <w:pStyle w:val="BodyText"/>
              <w:keepNext/>
              <w:spacing w:before="100" w:after="100"/>
              <w:jc w:val="center"/>
              <w:rPr>
                <w:sz w:val="16"/>
                <w:szCs w:val="16"/>
              </w:rPr>
            </w:pPr>
            <w:r w:rsidRPr="00E163AA">
              <w:rPr>
                <w:sz w:val="16"/>
                <w:szCs w:val="16"/>
              </w:rPr>
              <w:t>Unlimited</w:t>
            </w:r>
          </w:p>
        </w:tc>
        <w:tc>
          <w:tcPr>
            <w:tcW w:w="1473" w:type="dxa"/>
            <w:shd w:val="clear" w:color="auto" w:fill="auto"/>
            <w:vAlign w:val="center"/>
          </w:tcPr>
          <w:p w14:paraId="5ABF2E95" w14:textId="77777777" w:rsidR="00BA21F2" w:rsidRPr="00E163AA" w:rsidRDefault="00BA21F2" w:rsidP="00DE32CC">
            <w:pPr>
              <w:pStyle w:val="BodyText"/>
              <w:keepNext/>
              <w:spacing w:before="100" w:after="100"/>
              <w:jc w:val="center"/>
              <w:rPr>
                <w:sz w:val="16"/>
                <w:szCs w:val="16"/>
              </w:rPr>
            </w:pPr>
            <w:r w:rsidRPr="00E163AA">
              <w:rPr>
                <w:sz w:val="16"/>
                <w:szCs w:val="16"/>
              </w:rPr>
              <w:t>Unlimited</w:t>
            </w:r>
          </w:p>
        </w:tc>
        <w:tc>
          <w:tcPr>
            <w:tcW w:w="1473" w:type="dxa"/>
            <w:shd w:val="clear" w:color="auto" w:fill="auto"/>
            <w:vAlign w:val="center"/>
          </w:tcPr>
          <w:p w14:paraId="736ADEF2" w14:textId="77777777" w:rsidR="00BA21F2" w:rsidRPr="00E163AA" w:rsidRDefault="00BA21F2" w:rsidP="00DE32CC">
            <w:pPr>
              <w:pStyle w:val="BodyText"/>
              <w:keepNext/>
              <w:spacing w:before="100" w:after="100"/>
              <w:jc w:val="center"/>
              <w:rPr>
                <w:sz w:val="16"/>
                <w:szCs w:val="16"/>
              </w:rPr>
            </w:pPr>
            <w:r w:rsidRPr="00E163AA">
              <w:rPr>
                <w:sz w:val="16"/>
                <w:szCs w:val="16"/>
              </w:rPr>
              <w:t>Unlimited</w:t>
            </w:r>
          </w:p>
        </w:tc>
        <w:tc>
          <w:tcPr>
            <w:tcW w:w="1473" w:type="dxa"/>
            <w:vAlign w:val="center"/>
          </w:tcPr>
          <w:p w14:paraId="65F7DB6E" w14:textId="77777777" w:rsidR="00BA21F2" w:rsidRPr="00E163AA" w:rsidRDefault="00BA21F2" w:rsidP="00DE32CC">
            <w:pPr>
              <w:pStyle w:val="BodyText"/>
              <w:keepNext/>
              <w:spacing w:before="100" w:after="100"/>
              <w:jc w:val="center"/>
              <w:rPr>
                <w:sz w:val="16"/>
                <w:szCs w:val="16"/>
              </w:rPr>
            </w:pPr>
            <w:r w:rsidRPr="00E163AA">
              <w:rPr>
                <w:sz w:val="16"/>
                <w:szCs w:val="16"/>
              </w:rPr>
              <w:t>Unlimited</w:t>
            </w:r>
          </w:p>
        </w:tc>
        <w:tc>
          <w:tcPr>
            <w:tcW w:w="1473" w:type="dxa"/>
            <w:vAlign w:val="center"/>
          </w:tcPr>
          <w:p w14:paraId="70A9EBFE" w14:textId="77777777" w:rsidR="00BA21F2" w:rsidRPr="00E163AA" w:rsidRDefault="00BA21F2" w:rsidP="00DE32CC">
            <w:pPr>
              <w:pStyle w:val="BodyText"/>
              <w:keepNext/>
              <w:spacing w:before="100" w:after="100"/>
              <w:jc w:val="center"/>
              <w:rPr>
                <w:sz w:val="16"/>
                <w:szCs w:val="16"/>
              </w:rPr>
            </w:pPr>
            <w:r w:rsidRPr="00E163AA">
              <w:rPr>
                <w:sz w:val="16"/>
                <w:szCs w:val="16"/>
              </w:rPr>
              <w:t>Unlimited</w:t>
            </w:r>
          </w:p>
        </w:tc>
        <w:tc>
          <w:tcPr>
            <w:tcW w:w="1473" w:type="dxa"/>
            <w:vAlign w:val="center"/>
          </w:tcPr>
          <w:p w14:paraId="41CF51BB" w14:textId="77777777" w:rsidR="00BA21F2" w:rsidRPr="00E163AA" w:rsidRDefault="00BA21F2" w:rsidP="00DE32CC">
            <w:pPr>
              <w:pStyle w:val="BodyText"/>
              <w:keepNext/>
              <w:spacing w:before="100" w:after="100"/>
              <w:jc w:val="center"/>
              <w:rPr>
                <w:sz w:val="16"/>
                <w:szCs w:val="16"/>
              </w:rPr>
            </w:pPr>
            <w:r w:rsidRPr="00E163AA">
              <w:rPr>
                <w:sz w:val="16"/>
                <w:szCs w:val="16"/>
              </w:rPr>
              <w:t>Unlimited</w:t>
            </w:r>
          </w:p>
        </w:tc>
      </w:tr>
      <w:tr w:rsidR="00BA21F2" w:rsidRPr="00F20B08" w14:paraId="5DB1053E" w14:textId="77777777" w:rsidTr="00DE32CC">
        <w:tc>
          <w:tcPr>
            <w:tcW w:w="2700" w:type="dxa"/>
            <w:shd w:val="clear" w:color="auto" w:fill="auto"/>
          </w:tcPr>
          <w:p w14:paraId="31D9AED0" w14:textId="77777777" w:rsidR="00BA21F2" w:rsidRPr="00E163AA" w:rsidRDefault="00BA21F2" w:rsidP="00DE32CC">
            <w:pPr>
              <w:pStyle w:val="BodyText"/>
              <w:keepNext/>
              <w:spacing w:before="100" w:after="100"/>
              <w:rPr>
                <w:b/>
                <w:bCs/>
                <w:sz w:val="16"/>
                <w:szCs w:val="16"/>
                <w:lang w:eastAsia="en-AU"/>
              </w:rPr>
            </w:pPr>
            <w:r w:rsidRPr="00E163AA">
              <w:rPr>
                <w:b/>
                <w:bCs/>
                <w:sz w:val="16"/>
                <w:szCs w:val="16"/>
                <w:lang w:eastAsia="en-AU"/>
              </w:rPr>
              <w:t>Included International Minutes</w:t>
            </w:r>
          </w:p>
          <w:p w14:paraId="07142C45" w14:textId="77777777" w:rsidR="00BA21F2" w:rsidRPr="00E163AA" w:rsidRDefault="00BA21F2" w:rsidP="00DE32CC">
            <w:pPr>
              <w:pStyle w:val="BodyText"/>
              <w:keepNext/>
              <w:spacing w:before="100" w:after="100"/>
              <w:rPr>
                <w:sz w:val="16"/>
                <w:szCs w:val="16"/>
                <w:lang w:eastAsia="en-AU"/>
              </w:rPr>
            </w:pPr>
            <w:r w:rsidRPr="00E163AA">
              <w:rPr>
                <w:sz w:val="16"/>
                <w:szCs w:val="16"/>
                <w:lang w:eastAsia="en-AU"/>
              </w:rPr>
              <w:t>Standard international calls to landlines and mobiles</w:t>
            </w:r>
          </w:p>
          <w:p w14:paraId="2BF30A37" w14:textId="77777777" w:rsidR="00BA21F2" w:rsidRPr="00E163AA" w:rsidRDefault="00BA21F2" w:rsidP="00DE32CC">
            <w:pPr>
              <w:pStyle w:val="BodyText"/>
              <w:keepNext/>
              <w:spacing w:before="100" w:after="100"/>
              <w:rPr>
                <w:b/>
                <w:bCs/>
                <w:sz w:val="16"/>
                <w:szCs w:val="16"/>
                <w:lang w:eastAsia="en-AU"/>
              </w:rPr>
            </w:pPr>
            <w:r w:rsidRPr="00E163AA">
              <w:rPr>
                <w:sz w:val="16"/>
                <w:szCs w:val="16"/>
                <w:lang w:eastAsia="en-AU"/>
              </w:rPr>
              <w:t xml:space="preserve">to selected countries </w:t>
            </w:r>
          </w:p>
        </w:tc>
        <w:tc>
          <w:tcPr>
            <w:tcW w:w="1472" w:type="dxa"/>
            <w:vAlign w:val="center"/>
          </w:tcPr>
          <w:p w14:paraId="25DBADD5" w14:textId="77777777" w:rsidR="00BA21F2" w:rsidRPr="00E163AA" w:rsidRDefault="00BA21F2" w:rsidP="00DE32CC">
            <w:pPr>
              <w:pStyle w:val="BodyText"/>
              <w:keepNext/>
              <w:spacing w:before="100" w:after="100"/>
              <w:jc w:val="center"/>
              <w:rPr>
                <w:sz w:val="16"/>
                <w:szCs w:val="16"/>
              </w:rPr>
            </w:pPr>
            <w:r w:rsidRPr="00E163AA">
              <w:rPr>
                <w:sz w:val="16"/>
                <w:szCs w:val="16"/>
              </w:rPr>
              <w:t>Not included</w:t>
            </w:r>
          </w:p>
        </w:tc>
        <w:tc>
          <w:tcPr>
            <w:tcW w:w="1473" w:type="dxa"/>
            <w:shd w:val="clear" w:color="auto" w:fill="auto"/>
            <w:vAlign w:val="center"/>
          </w:tcPr>
          <w:p w14:paraId="77A893A6" w14:textId="77777777" w:rsidR="00BA21F2" w:rsidRPr="00E163AA" w:rsidRDefault="00BA21F2" w:rsidP="00DE32CC">
            <w:pPr>
              <w:pStyle w:val="BodyText"/>
              <w:keepNext/>
              <w:spacing w:before="100" w:after="100"/>
              <w:jc w:val="center"/>
              <w:rPr>
                <w:sz w:val="16"/>
                <w:szCs w:val="16"/>
              </w:rPr>
            </w:pPr>
            <w:r>
              <w:rPr>
                <w:sz w:val="16"/>
                <w:szCs w:val="16"/>
              </w:rPr>
              <w:t>Up to 150 mins</w:t>
            </w:r>
          </w:p>
        </w:tc>
        <w:tc>
          <w:tcPr>
            <w:tcW w:w="1473" w:type="dxa"/>
            <w:shd w:val="clear" w:color="auto" w:fill="auto"/>
            <w:vAlign w:val="center"/>
          </w:tcPr>
          <w:p w14:paraId="19354E41" w14:textId="77777777" w:rsidR="00BA21F2" w:rsidRPr="00E163AA" w:rsidRDefault="00BA21F2" w:rsidP="00DE32CC">
            <w:pPr>
              <w:pStyle w:val="BodyText"/>
              <w:keepNext/>
              <w:spacing w:before="100" w:after="100"/>
              <w:jc w:val="center"/>
              <w:rPr>
                <w:sz w:val="16"/>
                <w:szCs w:val="16"/>
              </w:rPr>
            </w:pPr>
            <w:r>
              <w:rPr>
                <w:sz w:val="16"/>
                <w:szCs w:val="16"/>
              </w:rPr>
              <w:t>Up to 300 mins</w:t>
            </w:r>
          </w:p>
        </w:tc>
        <w:tc>
          <w:tcPr>
            <w:tcW w:w="1473" w:type="dxa"/>
            <w:vAlign w:val="center"/>
          </w:tcPr>
          <w:p w14:paraId="2D07CC56" w14:textId="77777777" w:rsidR="00BA21F2" w:rsidRPr="00E163AA" w:rsidRDefault="00BA21F2" w:rsidP="00DE32CC">
            <w:pPr>
              <w:pStyle w:val="BodyText"/>
              <w:keepNext/>
              <w:spacing w:before="100" w:after="100"/>
              <w:jc w:val="center"/>
              <w:rPr>
                <w:bCs/>
                <w:sz w:val="16"/>
                <w:szCs w:val="16"/>
                <w:lang w:eastAsia="en-AU"/>
              </w:rPr>
            </w:pPr>
            <w:r>
              <w:rPr>
                <w:sz w:val="16"/>
                <w:szCs w:val="16"/>
              </w:rPr>
              <w:t>Up to 750 mins</w:t>
            </w:r>
          </w:p>
        </w:tc>
        <w:tc>
          <w:tcPr>
            <w:tcW w:w="1473" w:type="dxa"/>
            <w:vAlign w:val="center"/>
          </w:tcPr>
          <w:p w14:paraId="1F36C5FA" w14:textId="77777777" w:rsidR="00BA21F2" w:rsidRPr="00E163AA" w:rsidRDefault="00BA21F2" w:rsidP="00DE32CC">
            <w:pPr>
              <w:pStyle w:val="BodyText"/>
              <w:keepNext/>
              <w:spacing w:before="100" w:after="100"/>
              <w:jc w:val="center"/>
              <w:rPr>
                <w:bCs/>
                <w:sz w:val="16"/>
                <w:szCs w:val="16"/>
              </w:rPr>
            </w:pPr>
            <w:r w:rsidRPr="00E163AA">
              <w:rPr>
                <w:sz w:val="16"/>
                <w:szCs w:val="16"/>
              </w:rPr>
              <w:t>Unlimited</w:t>
            </w:r>
          </w:p>
        </w:tc>
        <w:tc>
          <w:tcPr>
            <w:tcW w:w="1473" w:type="dxa"/>
            <w:vAlign w:val="center"/>
          </w:tcPr>
          <w:p w14:paraId="1355CD48" w14:textId="77777777" w:rsidR="00BA21F2" w:rsidRPr="00E163AA" w:rsidRDefault="00BA21F2" w:rsidP="00DE32CC">
            <w:pPr>
              <w:pStyle w:val="BodyText"/>
              <w:keepNext/>
              <w:spacing w:before="100" w:after="100"/>
              <w:jc w:val="center"/>
              <w:rPr>
                <w:sz w:val="16"/>
                <w:szCs w:val="16"/>
              </w:rPr>
            </w:pPr>
            <w:r w:rsidRPr="00E163AA">
              <w:rPr>
                <w:sz w:val="16"/>
                <w:szCs w:val="16"/>
              </w:rPr>
              <w:t>Unlimited</w:t>
            </w:r>
          </w:p>
        </w:tc>
      </w:tr>
      <w:tr w:rsidR="00BA21F2" w:rsidRPr="00F20B08" w14:paraId="15839AE3" w14:textId="77777777" w:rsidTr="00DE32CC">
        <w:tc>
          <w:tcPr>
            <w:tcW w:w="2700" w:type="dxa"/>
            <w:shd w:val="clear" w:color="auto" w:fill="auto"/>
          </w:tcPr>
          <w:p w14:paraId="6B22FD4D" w14:textId="77777777" w:rsidR="00BA21F2" w:rsidRPr="00E163AA" w:rsidRDefault="00BA21F2" w:rsidP="00DE32CC">
            <w:pPr>
              <w:pStyle w:val="BodyText"/>
              <w:keepNext/>
              <w:spacing w:before="100" w:after="100"/>
              <w:rPr>
                <w:sz w:val="16"/>
                <w:szCs w:val="16"/>
              </w:rPr>
            </w:pPr>
            <w:r w:rsidRPr="00E163AA">
              <w:rPr>
                <w:b/>
                <w:bCs/>
                <w:sz w:val="16"/>
                <w:szCs w:val="16"/>
                <w:lang w:eastAsia="en-AU"/>
              </w:rPr>
              <w:t xml:space="preserve">Standard national SMS </w:t>
            </w:r>
            <w:r w:rsidRPr="00E163AA">
              <w:rPr>
                <w:sz w:val="16"/>
                <w:szCs w:val="16"/>
                <w:lang w:eastAsia="en-AU"/>
              </w:rPr>
              <w:t>(per SMS of up to 160 standard characters)</w:t>
            </w:r>
          </w:p>
        </w:tc>
        <w:tc>
          <w:tcPr>
            <w:tcW w:w="1472" w:type="dxa"/>
            <w:vAlign w:val="center"/>
          </w:tcPr>
          <w:p w14:paraId="385C74C0" w14:textId="77777777" w:rsidR="00BA21F2" w:rsidRPr="00E163AA" w:rsidRDefault="00BA21F2" w:rsidP="00DE32CC">
            <w:pPr>
              <w:pStyle w:val="BodyText"/>
              <w:keepNext/>
              <w:spacing w:before="100" w:after="100"/>
              <w:jc w:val="center"/>
              <w:rPr>
                <w:sz w:val="16"/>
                <w:szCs w:val="16"/>
              </w:rPr>
            </w:pPr>
            <w:r w:rsidRPr="00E163AA">
              <w:rPr>
                <w:sz w:val="16"/>
                <w:szCs w:val="16"/>
              </w:rPr>
              <w:t>Unlimited</w:t>
            </w:r>
          </w:p>
        </w:tc>
        <w:tc>
          <w:tcPr>
            <w:tcW w:w="1473" w:type="dxa"/>
            <w:shd w:val="clear" w:color="auto" w:fill="auto"/>
            <w:vAlign w:val="center"/>
          </w:tcPr>
          <w:p w14:paraId="4DF7B44E" w14:textId="77777777" w:rsidR="00BA21F2" w:rsidRPr="00E163AA" w:rsidRDefault="00BA21F2" w:rsidP="00DE32CC">
            <w:pPr>
              <w:pStyle w:val="BodyText"/>
              <w:keepNext/>
              <w:spacing w:before="100" w:after="100"/>
              <w:jc w:val="center"/>
              <w:rPr>
                <w:sz w:val="16"/>
                <w:szCs w:val="16"/>
              </w:rPr>
            </w:pPr>
            <w:r w:rsidRPr="00E163AA">
              <w:rPr>
                <w:sz w:val="16"/>
                <w:szCs w:val="16"/>
              </w:rPr>
              <w:t>Unlimited</w:t>
            </w:r>
          </w:p>
        </w:tc>
        <w:tc>
          <w:tcPr>
            <w:tcW w:w="1473" w:type="dxa"/>
            <w:shd w:val="clear" w:color="auto" w:fill="auto"/>
            <w:vAlign w:val="center"/>
          </w:tcPr>
          <w:p w14:paraId="32CCE3E9" w14:textId="77777777" w:rsidR="00BA21F2" w:rsidRPr="00E163AA" w:rsidRDefault="00BA21F2" w:rsidP="00DE32CC">
            <w:pPr>
              <w:pStyle w:val="BodyText"/>
              <w:keepNext/>
              <w:spacing w:before="100" w:after="100"/>
              <w:jc w:val="center"/>
              <w:rPr>
                <w:sz w:val="16"/>
                <w:szCs w:val="16"/>
              </w:rPr>
            </w:pPr>
            <w:r w:rsidRPr="00E163AA">
              <w:rPr>
                <w:sz w:val="16"/>
                <w:szCs w:val="16"/>
              </w:rPr>
              <w:t>Unlimited</w:t>
            </w:r>
          </w:p>
        </w:tc>
        <w:tc>
          <w:tcPr>
            <w:tcW w:w="1473" w:type="dxa"/>
            <w:vAlign w:val="center"/>
          </w:tcPr>
          <w:p w14:paraId="795037BC" w14:textId="77777777" w:rsidR="00BA21F2" w:rsidRPr="00E163AA" w:rsidRDefault="00BA21F2" w:rsidP="00DE32CC">
            <w:pPr>
              <w:pStyle w:val="BodyText"/>
              <w:keepNext/>
              <w:spacing w:before="100" w:after="100"/>
              <w:jc w:val="center"/>
              <w:rPr>
                <w:sz w:val="16"/>
                <w:szCs w:val="16"/>
              </w:rPr>
            </w:pPr>
            <w:r w:rsidRPr="00E163AA">
              <w:rPr>
                <w:sz w:val="16"/>
                <w:szCs w:val="16"/>
              </w:rPr>
              <w:t>Unlimited</w:t>
            </w:r>
          </w:p>
        </w:tc>
        <w:tc>
          <w:tcPr>
            <w:tcW w:w="1473" w:type="dxa"/>
            <w:vAlign w:val="center"/>
          </w:tcPr>
          <w:p w14:paraId="15771C30" w14:textId="77777777" w:rsidR="00BA21F2" w:rsidRPr="00E163AA" w:rsidRDefault="00BA21F2" w:rsidP="00DE32CC">
            <w:pPr>
              <w:pStyle w:val="BodyText"/>
              <w:keepNext/>
              <w:spacing w:before="100" w:after="100"/>
              <w:jc w:val="center"/>
              <w:rPr>
                <w:sz w:val="16"/>
                <w:szCs w:val="16"/>
              </w:rPr>
            </w:pPr>
            <w:r w:rsidRPr="00E163AA">
              <w:rPr>
                <w:sz w:val="16"/>
                <w:szCs w:val="16"/>
              </w:rPr>
              <w:t>Unlimited</w:t>
            </w:r>
          </w:p>
        </w:tc>
        <w:tc>
          <w:tcPr>
            <w:tcW w:w="1473" w:type="dxa"/>
            <w:vAlign w:val="center"/>
          </w:tcPr>
          <w:p w14:paraId="15811EB4" w14:textId="77777777" w:rsidR="00BA21F2" w:rsidRPr="00E163AA" w:rsidRDefault="00BA21F2" w:rsidP="00DE32CC">
            <w:pPr>
              <w:pStyle w:val="BodyText"/>
              <w:keepNext/>
              <w:spacing w:before="100" w:after="100"/>
              <w:jc w:val="center"/>
              <w:rPr>
                <w:sz w:val="16"/>
                <w:szCs w:val="16"/>
              </w:rPr>
            </w:pPr>
            <w:r w:rsidRPr="00E163AA">
              <w:rPr>
                <w:sz w:val="16"/>
                <w:szCs w:val="16"/>
              </w:rPr>
              <w:t>Unlimited</w:t>
            </w:r>
          </w:p>
        </w:tc>
      </w:tr>
      <w:tr w:rsidR="00BA21F2" w:rsidRPr="00F20B08" w14:paraId="1B6F4AA0" w14:textId="77777777" w:rsidTr="00DE32CC">
        <w:tc>
          <w:tcPr>
            <w:tcW w:w="2700" w:type="dxa"/>
            <w:shd w:val="clear" w:color="auto" w:fill="auto"/>
          </w:tcPr>
          <w:p w14:paraId="74D9B27B" w14:textId="77777777" w:rsidR="00BA21F2" w:rsidRPr="00E163AA" w:rsidRDefault="00BA21F2" w:rsidP="00DE32CC">
            <w:pPr>
              <w:pStyle w:val="BodyText"/>
              <w:keepNext/>
              <w:spacing w:before="100" w:after="100"/>
              <w:rPr>
                <w:b/>
                <w:bCs/>
                <w:sz w:val="16"/>
                <w:szCs w:val="16"/>
                <w:lang w:eastAsia="en-AU"/>
              </w:rPr>
            </w:pPr>
            <w:r w:rsidRPr="00E163AA">
              <w:rPr>
                <w:b/>
                <w:bCs/>
                <w:sz w:val="16"/>
                <w:szCs w:val="16"/>
                <w:lang w:eastAsia="en-AU"/>
              </w:rPr>
              <w:t xml:space="preserve">Standard national MMS </w:t>
            </w:r>
            <w:r w:rsidRPr="00E163AA">
              <w:rPr>
                <w:sz w:val="16"/>
                <w:szCs w:val="16"/>
                <w:lang w:eastAsia="en-AU"/>
              </w:rPr>
              <w:t>(per message)</w:t>
            </w:r>
          </w:p>
        </w:tc>
        <w:tc>
          <w:tcPr>
            <w:tcW w:w="1472" w:type="dxa"/>
            <w:vAlign w:val="center"/>
          </w:tcPr>
          <w:p w14:paraId="5EA1057A" w14:textId="77777777" w:rsidR="00BA21F2" w:rsidRPr="00E163AA" w:rsidRDefault="00BA21F2" w:rsidP="00DE32CC">
            <w:pPr>
              <w:pStyle w:val="BodyText"/>
              <w:keepNext/>
              <w:spacing w:before="100" w:after="100"/>
              <w:jc w:val="center"/>
              <w:rPr>
                <w:sz w:val="16"/>
                <w:szCs w:val="16"/>
              </w:rPr>
            </w:pPr>
            <w:r w:rsidRPr="00E163AA">
              <w:rPr>
                <w:sz w:val="16"/>
                <w:szCs w:val="16"/>
              </w:rPr>
              <w:t>Unlimited</w:t>
            </w:r>
          </w:p>
        </w:tc>
        <w:tc>
          <w:tcPr>
            <w:tcW w:w="1473" w:type="dxa"/>
            <w:shd w:val="clear" w:color="auto" w:fill="auto"/>
            <w:vAlign w:val="center"/>
          </w:tcPr>
          <w:p w14:paraId="625C0FA1" w14:textId="77777777" w:rsidR="00BA21F2" w:rsidRPr="00E163AA" w:rsidRDefault="00BA21F2" w:rsidP="00DE32CC">
            <w:pPr>
              <w:pStyle w:val="BodyText"/>
              <w:keepNext/>
              <w:spacing w:before="100" w:after="100"/>
              <w:jc w:val="center"/>
              <w:rPr>
                <w:sz w:val="16"/>
                <w:szCs w:val="16"/>
              </w:rPr>
            </w:pPr>
            <w:r w:rsidRPr="00E163AA">
              <w:rPr>
                <w:sz w:val="16"/>
                <w:szCs w:val="16"/>
              </w:rPr>
              <w:t>Unlimited</w:t>
            </w:r>
          </w:p>
        </w:tc>
        <w:tc>
          <w:tcPr>
            <w:tcW w:w="1473" w:type="dxa"/>
            <w:shd w:val="clear" w:color="auto" w:fill="auto"/>
            <w:vAlign w:val="center"/>
          </w:tcPr>
          <w:p w14:paraId="00D08C6D" w14:textId="77777777" w:rsidR="00BA21F2" w:rsidRPr="00E163AA" w:rsidRDefault="00BA21F2" w:rsidP="00DE32CC">
            <w:pPr>
              <w:pStyle w:val="BodyText"/>
              <w:keepNext/>
              <w:spacing w:before="100" w:after="100"/>
              <w:jc w:val="center"/>
              <w:rPr>
                <w:sz w:val="16"/>
                <w:szCs w:val="16"/>
              </w:rPr>
            </w:pPr>
            <w:r w:rsidRPr="00E163AA">
              <w:rPr>
                <w:sz w:val="16"/>
                <w:szCs w:val="16"/>
              </w:rPr>
              <w:t>Unlimited</w:t>
            </w:r>
          </w:p>
        </w:tc>
        <w:tc>
          <w:tcPr>
            <w:tcW w:w="1473" w:type="dxa"/>
            <w:vAlign w:val="center"/>
          </w:tcPr>
          <w:p w14:paraId="5BA7EB84" w14:textId="77777777" w:rsidR="00BA21F2" w:rsidRPr="00E163AA" w:rsidRDefault="00BA21F2" w:rsidP="00DE32CC">
            <w:pPr>
              <w:pStyle w:val="BodyText"/>
              <w:keepNext/>
              <w:spacing w:before="100" w:after="100"/>
              <w:jc w:val="center"/>
              <w:rPr>
                <w:sz w:val="16"/>
                <w:szCs w:val="16"/>
              </w:rPr>
            </w:pPr>
            <w:r w:rsidRPr="00E163AA">
              <w:rPr>
                <w:sz w:val="16"/>
                <w:szCs w:val="16"/>
              </w:rPr>
              <w:t>Unlimited</w:t>
            </w:r>
          </w:p>
        </w:tc>
        <w:tc>
          <w:tcPr>
            <w:tcW w:w="1473" w:type="dxa"/>
            <w:vAlign w:val="center"/>
          </w:tcPr>
          <w:p w14:paraId="54031074" w14:textId="77777777" w:rsidR="00BA21F2" w:rsidRPr="00E163AA" w:rsidRDefault="00BA21F2" w:rsidP="00DE32CC">
            <w:pPr>
              <w:pStyle w:val="BodyText"/>
              <w:keepNext/>
              <w:spacing w:before="100" w:after="100"/>
              <w:jc w:val="center"/>
              <w:rPr>
                <w:sz w:val="16"/>
                <w:szCs w:val="16"/>
              </w:rPr>
            </w:pPr>
            <w:r w:rsidRPr="00E163AA">
              <w:rPr>
                <w:sz w:val="16"/>
                <w:szCs w:val="16"/>
              </w:rPr>
              <w:t>Unlimited</w:t>
            </w:r>
          </w:p>
        </w:tc>
        <w:tc>
          <w:tcPr>
            <w:tcW w:w="1473" w:type="dxa"/>
            <w:vAlign w:val="center"/>
          </w:tcPr>
          <w:p w14:paraId="149B0DDB" w14:textId="77777777" w:rsidR="00BA21F2" w:rsidRPr="00E163AA" w:rsidRDefault="00BA21F2" w:rsidP="00DE32CC">
            <w:pPr>
              <w:pStyle w:val="BodyText"/>
              <w:keepNext/>
              <w:spacing w:before="100" w:after="100"/>
              <w:jc w:val="center"/>
              <w:rPr>
                <w:sz w:val="16"/>
                <w:szCs w:val="16"/>
              </w:rPr>
            </w:pPr>
            <w:r w:rsidRPr="00E163AA">
              <w:rPr>
                <w:sz w:val="16"/>
                <w:szCs w:val="16"/>
              </w:rPr>
              <w:t>Unlimited</w:t>
            </w:r>
          </w:p>
        </w:tc>
      </w:tr>
      <w:tr w:rsidR="00BA21F2" w:rsidRPr="00F20B08" w14:paraId="33C23E11" w14:textId="77777777" w:rsidTr="00DE32CC">
        <w:tc>
          <w:tcPr>
            <w:tcW w:w="2700" w:type="dxa"/>
            <w:shd w:val="clear" w:color="auto" w:fill="auto"/>
          </w:tcPr>
          <w:p w14:paraId="178E9B38" w14:textId="77777777" w:rsidR="00BA21F2" w:rsidRPr="00E163AA" w:rsidDel="00064B49" w:rsidRDefault="00BA21F2" w:rsidP="00DE32CC">
            <w:pPr>
              <w:pStyle w:val="BodyText"/>
              <w:keepNext/>
              <w:spacing w:before="100" w:after="100"/>
              <w:rPr>
                <w:b/>
                <w:bCs/>
                <w:sz w:val="16"/>
                <w:szCs w:val="16"/>
                <w:lang w:eastAsia="en-AU"/>
              </w:rPr>
            </w:pPr>
            <w:r w:rsidRPr="00E163AA">
              <w:rPr>
                <w:b/>
                <w:bCs/>
                <w:sz w:val="16"/>
                <w:szCs w:val="16"/>
                <w:lang w:eastAsia="en-AU"/>
              </w:rPr>
              <w:t xml:space="preserve">Standard international SMS </w:t>
            </w:r>
            <w:r w:rsidRPr="00E163AA">
              <w:rPr>
                <w:sz w:val="16"/>
                <w:szCs w:val="16"/>
                <w:lang w:eastAsia="en-AU"/>
              </w:rPr>
              <w:t>(per SMS of up to 160 standard characters to selected countries)</w:t>
            </w:r>
          </w:p>
        </w:tc>
        <w:tc>
          <w:tcPr>
            <w:tcW w:w="1472" w:type="dxa"/>
            <w:vAlign w:val="center"/>
          </w:tcPr>
          <w:p w14:paraId="54E56492" w14:textId="77777777" w:rsidR="00BA21F2" w:rsidRPr="00E163AA" w:rsidRDefault="00BA21F2" w:rsidP="00DE32CC">
            <w:pPr>
              <w:pStyle w:val="BodyText"/>
              <w:keepNext/>
              <w:spacing w:before="100" w:after="100"/>
              <w:jc w:val="center"/>
              <w:rPr>
                <w:sz w:val="16"/>
                <w:szCs w:val="16"/>
              </w:rPr>
            </w:pPr>
            <w:r w:rsidRPr="00E163AA">
              <w:rPr>
                <w:sz w:val="16"/>
                <w:szCs w:val="16"/>
              </w:rPr>
              <w:t>Unlimited</w:t>
            </w:r>
          </w:p>
        </w:tc>
        <w:tc>
          <w:tcPr>
            <w:tcW w:w="1473" w:type="dxa"/>
            <w:shd w:val="clear" w:color="auto" w:fill="auto"/>
            <w:vAlign w:val="center"/>
          </w:tcPr>
          <w:p w14:paraId="7F501BD6" w14:textId="77777777" w:rsidR="00BA21F2" w:rsidRPr="00E163AA" w:rsidDel="00064B49" w:rsidRDefault="00BA21F2" w:rsidP="00DE32CC">
            <w:pPr>
              <w:pStyle w:val="BodyText"/>
              <w:keepNext/>
              <w:spacing w:before="100" w:after="100"/>
              <w:jc w:val="center"/>
              <w:rPr>
                <w:sz w:val="16"/>
                <w:szCs w:val="16"/>
              </w:rPr>
            </w:pPr>
            <w:r w:rsidRPr="00E163AA">
              <w:rPr>
                <w:sz w:val="16"/>
                <w:szCs w:val="16"/>
              </w:rPr>
              <w:t>Unlimited</w:t>
            </w:r>
          </w:p>
        </w:tc>
        <w:tc>
          <w:tcPr>
            <w:tcW w:w="1473" w:type="dxa"/>
            <w:shd w:val="clear" w:color="auto" w:fill="auto"/>
            <w:vAlign w:val="center"/>
          </w:tcPr>
          <w:p w14:paraId="3F48E90A" w14:textId="77777777" w:rsidR="00BA21F2" w:rsidRPr="00E163AA" w:rsidDel="00064B49" w:rsidRDefault="00BA21F2" w:rsidP="00DE32CC">
            <w:pPr>
              <w:pStyle w:val="BodyText"/>
              <w:keepNext/>
              <w:spacing w:before="100" w:after="100"/>
              <w:jc w:val="center"/>
              <w:rPr>
                <w:sz w:val="16"/>
                <w:szCs w:val="16"/>
              </w:rPr>
            </w:pPr>
            <w:r w:rsidRPr="00E163AA">
              <w:rPr>
                <w:sz w:val="16"/>
                <w:szCs w:val="16"/>
              </w:rPr>
              <w:t>Unlimited</w:t>
            </w:r>
          </w:p>
        </w:tc>
        <w:tc>
          <w:tcPr>
            <w:tcW w:w="1473" w:type="dxa"/>
            <w:vAlign w:val="center"/>
          </w:tcPr>
          <w:p w14:paraId="6B20E7B1" w14:textId="77777777" w:rsidR="00BA21F2" w:rsidRPr="00E163AA" w:rsidRDefault="00BA21F2" w:rsidP="00DE32CC">
            <w:pPr>
              <w:pStyle w:val="BodyText"/>
              <w:keepNext/>
              <w:spacing w:before="100" w:after="100"/>
              <w:jc w:val="center"/>
              <w:rPr>
                <w:sz w:val="16"/>
                <w:szCs w:val="16"/>
              </w:rPr>
            </w:pPr>
            <w:r w:rsidRPr="00E163AA">
              <w:rPr>
                <w:sz w:val="16"/>
                <w:szCs w:val="16"/>
              </w:rPr>
              <w:t>Unlimited</w:t>
            </w:r>
          </w:p>
        </w:tc>
        <w:tc>
          <w:tcPr>
            <w:tcW w:w="1473" w:type="dxa"/>
            <w:vAlign w:val="center"/>
          </w:tcPr>
          <w:p w14:paraId="686560F1" w14:textId="77777777" w:rsidR="00BA21F2" w:rsidRPr="00E163AA" w:rsidRDefault="00BA21F2" w:rsidP="00DE32CC">
            <w:pPr>
              <w:pStyle w:val="BodyText"/>
              <w:keepNext/>
              <w:spacing w:before="100" w:after="100"/>
              <w:jc w:val="center"/>
              <w:rPr>
                <w:sz w:val="16"/>
                <w:szCs w:val="16"/>
              </w:rPr>
            </w:pPr>
            <w:r w:rsidRPr="00E163AA">
              <w:rPr>
                <w:sz w:val="16"/>
                <w:szCs w:val="16"/>
              </w:rPr>
              <w:t>Unlimited</w:t>
            </w:r>
          </w:p>
        </w:tc>
        <w:tc>
          <w:tcPr>
            <w:tcW w:w="1473" w:type="dxa"/>
            <w:vAlign w:val="center"/>
          </w:tcPr>
          <w:p w14:paraId="1444F045" w14:textId="77777777" w:rsidR="00BA21F2" w:rsidRPr="00E163AA" w:rsidRDefault="00BA21F2" w:rsidP="00DE32CC">
            <w:pPr>
              <w:pStyle w:val="BodyText"/>
              <w:keepNext/>
              <w:spacing w:before="100" w:after="100"/>
              <w:jc w:val="center"/>
              <w:rPr>
                <w:sz w:val="16"/>
                <w:szCs w:val="16"/>
              </w:rPr>
            </w:pPr>
            <w:r w:rsidRPr="00E163AA">
              <w:rPr>
                <w:sz w:val="16"/>
                <w:szCs w:val="16"/>
              </w:rPr>
              <w:t>Unlimited</w:t>
            </w:r>
          </w:p>
        </w:tc>
      </w:tr>
      <w:tr w:rsidR="00BA21F2" w:rsidRPr="00F20B08" w14:paraId="7CC88CCA" w14:textId="77777777" w:rsidTr="00DE32CC">
        <w:tc>
          <w:tcPr>
            <w:tcW w:w="2700" w:type="dxa"/>
            <w:shd w:val="clear" w:color="auto" w:fill="auto"/>
          </w:tcPr>
          <w:p w14:paraId="3DD3D217" w14:textId="77777777" w:rsidR="00BA21F2" w:rsidRPr="00E163AA" w:rsidRDefault="00BA21F2" w:rsidP="00DE32CC">
            <w:pPr>
              <w:pStyle w:val="BodyText"/>
              <w:keepNext/>
              <w:spacing w:before="100" w:after="100"/>
              <w:rPr>
                <w:b/>
                <w:bCs/>
                <w:sz w:val="16"/>
                <w:szCs w:val="16"/>
                <w:lang w:eastAsia="en-AU"/>
              </w:rPr>
            </w:pPr>
            <w:r w:rsidRPr="00E163AA">
              <w:rPr>
                <w:b/>
                <w:bCs/>
                <w:sz w:val="16"/>
                <w:szCs w:val="16"/>
                <w:lang w:eastAsia="en-AU"/>
              </w:rPr>
              <w:t xml:space="preserve">Standard international MMS </w:t>
            </w:r>
            <w:r w:rsidRPr="00E163AA">
              <w:rPr>
                <w:sz w:val="16"/>
                <w:szCs w:val="16"/>
                <w:lang w:eastAsia="en-AU"/>
              </w:rPr>
              <w:t>(per message to selected countries)</w:t>
            </w:r>
          </w:p>
        </w:tc>
        <w:tc>
          <w:tcPr>
            <w:tcW w:w="1472" w:type="dxa"/>
            <w:vAlign w:val="center"/>
          </w:tcPr>
          <w:p w14:paraId="022F93E0" w14:textId="77777777" w:rsidR="00BA21F2" w:rsidRPr="00E163AA" w:rsidRDefault="00BA21F2" w:rsidP="00DE32CC">
            <w:pPr>
              <w:pStyle w:val="BodyText"/>
              <w:keepNext/>
              <w:spacing w:before="100" w:after="100"/>
              <w:jc w:val="center"/>
              <w:rPr>
                <w:sz w:val="16"/>
                <w:szCs w:val="16"/>
              </w:rPr>
            </w:pPr>
            <w:r w:rsidRPr="00E163AA">
              <w:rPr>
                <w:sz w:val="16"/>
                <w:szCs w:val="16"/>
              </w:rPr>
              <w:t>Unlimited</w:t>
            </w:r>
          </w:p>
        </w:tc>
        <w:tc>
          <w:tcPr>
            <w:tcW w:w="1473" w:type="dxa"/>
            <w:shd w:val="clear" w:color="auto" w:fill="auto"/>
            <w:vAlign w:val="center"/>
          </w:tcPr>
          <w:p w14:paraId="7648B1D8" w14:textId="77777777" w:rsidR="00BA21F2" w:rsidRPr="00E163AA" w:rsidRDefault="00BA21F2" w:rsidP="00DE32CC">
            <w:pPr>
              <w:pStyle w:val="BodyText"/>
              <w:keepNext/>
              <w:spacing w:before="100" w:after="100"/>
              <w:jc w:val="center"/>
              <w:rPr>
                <w:sz w:val="16"/>
                <w:szCs w:val="16"/>
              </w:rPr>
            </w:pPr>
            <w:r w:rsidRPr="00E163AA">
              <w:rPr>
                <w:sz w:val="16"/>
                <w:szCs w:val="16"/>
              </w:rPr>
              <w:t>Unlimited</w:t>
            </w:r>
          </w:p>
        </w:tc>
        <w:tc>
          <w:tcPr>
            <w:tcW w:w="1473" w:type="dxa"/>
            <w:shd w:val="clear" w:color="auto" w:fill="auto"/>
            <w:vAlign w:val="center"/>
          </w:tcPr>
          <w:p w14:paraId="5DDB9186" w14:textId="77777777" w:rsidR="00BA21F2" w:rsidRPr="00E163AA" w:rsidRDefault="00BA21F2" w:rsidP="00DE32CC">
            <w:pPr>
              <w:pStyle w:val="BodyText"/>
              <w:keepNext/>
              <w:spacing w:before="100" w:after="100"/>
              <w:jc w:val="center"/>
              <w:rPr>
                <w:sz w:val="16"/>
                <w:szCs w:val="16"/>
              </w:rPr>
            </w:pPr>
            <w:r w:rsidRPr="00E163AA">
              <w:rPr>
                <w:sz w:val="16"/>
                <w:szCs w:val="16"/>
              </w:rPr>
              <w:t>Unlimited</w:t>
            </w:r>
          </w:p>
        </w:tc>
        <w:tc>
          <w:tcPr>
            <w:tcW w:w="1473" w:type="dxa"/>
            <w:vAlign w:val="center"/>
          </w:tcPr>
          <w:p w14:paraId="4B6A9B5E" w14:textId="77777777" w:rsidR="00BA21F2" w:rsidRPr="00E163AA" w:rsidRDefault="00BA21F2" w:rsidP="00DE32CC">
            <w:pPr>
              <w:pStyle w:val="BodyText"/>
              <w:keepNext/>
              <w:spacing w:before="100" w:after="100"/>
              <w:jc w:val="center"/>
              <w:rPr>
                <w:sz w:val="16"/>
                <w:szCs w:val="16"/>
              </w:rPr>
            </w:pPr>
            <w:r w:rsidRPr="00E163AA">
              <w:rPr>
                <w:sz w:val="16"/>
                <w:szCs w:val="16"/>
              </w:rPr>
              <w:t>Unlimited</w:t>
            </w:r>
          </w:p>
        </w:tc>
        <w:tc>
          <w:tcPr>
            <w:tcW w:w="1473" w:type="dxa"/>
            <w:vAlign w:val="center"/>
          </w:tcPr>
          <w:p w14:paraId="53D74F3F" w14:textId="77777777" w:rsidR="00BA21F2" w:rsidRPr="00E163AA" w:rsidRDefault="00BA21F2" w:rsidP="00DE32CC">
            <w:pPr>
              <w:pStyle w:val="BodyText"/>
              <w:keepNext/>
              <w:spacing w:before="100" w:after="100"/>
              <w:jc w:val="center"/>
              <w:rPr>
                <w:sz w:val="16"/>
                <w:szCs w:val="16"/>
              </w:rPr>
            </w:pPr>
            <w:r w:rsidRPr="00E163AA">
              <w:rPr>
                <w:sz w:val="16"/>
                <w:szCs w:val="16"/>
              </w:rPr>
              <w:t>Unlimited</w:t>
            </w:r>
          </w:p>
        </w:tc>
        <w:tc>
          <w:tcPr>
            <w:tcW w:w="1473" w:type="dxa"/>
            <w:vAlign w:val="center"/>
          </w:tcPr>
          <w:p w14:paraId="06080586" w14:textId="77777777" w:rsidR="00BA21F2" w:rsidRPr="00E163AA" w:rsidRDefault="00BA21F2" w:rsidP="00DE32CC">
            <w:pPr>
              <w:pStyle w:val="BodyText"/>
              <w:keepNext/>
              <w:spacing w:before="100" w:after="100"/>
              <w:jc w:val="center"/>
              <w:rPr>
                <w:sz w:val="16"/>
                <w:szCs w:val="16"/>
              </w:rPr>
            </w:pPr>
            <w:r w:rsidRPr="00E163AA">
              <w:rPr>
                <w:sz w:val="16"/>
                <w:szCs w:val="16"/>
              </w:rPr>
              <w:t>Unlimited</w:t>
            </w:r>
          </w:p>
        </w:tc>
      </w:tr>
      <w:tr w:rsidR="00BA21F2" w:rsidRPr="00F20B08" w14:paraId="0AD5CA60" w14:textId="77777777" w:rsidTr="00DE32CC">
        <w:tc>
          <w:tcPr>
            <w:tcW w:w="2700" w:type="dxa"/>
            <w:shd w:val="clear" w:color="auto" w:fill="auto"/>
          </w:tcPr>
          <w:p w14:paraId="34CE1A8B" w14:textId="77777777" w:rsidR="00BA21F2" w:rsidRPr="00E163AA" w:rsidRDefault="00BA21F2" w:rsidP="00DE32CC">
            <w:pPr>
              <w:pStyle w:val="BodyText"/>
              <w:keepNext/>
              <w:spacing w:before="100" w:after="100"/>
              <w:rPr>
                <w:b/>
                <w:bCs/>
                <w:sz w:val="16"/>
                <w:szCs w:val="16"/>
                <w:lang w:eastAsia="en-AU"/>
              </w:rPr>
            </w:pPr>
            <w:r w:rsidRPr="00E163AA">
              <w:rPr>
                <w:rFonts w:eastAsia="Calibri"/>
                <w:b/>
                <w:bCs/>
                <w:sz w:val="16"/>
                <w:szCs w:val="16"/>
                <w:lang w:eastAsia="en-AU"/>
              </w:rPr>
              <w:t xml:space="preserve">International Roaming </w:t>
            </w:r>
            <w:r w:rsidRPr="00E163AA">
              <w:rPr>
                <w:rFonts w:eastAsia="Calibri"/>
                <w:b/>
                <w:bCs/>
                <w:sz w:val="16"/>
                <w:szCs w:val="16"/>
                <w:lang w:eastAsia="en-AU"/>
              </w:rPr>
              <w:br/>
            </w:r>
            <w:r w:rsidRPr="00E163AA">
              <w:rPr>
                <w:b/>
                <w:bCs/>
                <w:snapToGrid w:val="0"/>
                <w:sz w:val="16"/>
                <w:szCs w:val="16"/>
              </w:rPr>
              <w:t>(Zone 1 countries)</w:t>
            </w:r>
          </w:p>
        </w:tc>
        <w:tc>
          <w:tcPr>
            <w:tcW w:w="1472" w:type="dxa"/>
            <w:vAlign w:val="center"/>
          </w:tcPr>
          <w:p w14:paraId="61DD1565" w14:textId="77777777" w:rsidR="00BA21F2" w:rsidRPr="00E163AA" w:rsidRDefault="00BA21F2" w:rsidP="00DE32CC">
            <w:pPr>
              <w:pStyle w:val="BodyText"/>
              <w:keepNext/>
              <w:spacing w:before="100" w:after="100"/>
              <w:jc w:val="center"/>
              <w:rPr>
                <w:sz w:val="16"/>
                <w:szCs w:val="16"/>
              </w:rPr>
            </w:pPr>
            <w:r w:rsidRPr="00E163AA">
              <w:rPr>
                <w:rFonts w:eastAsia="Calibri"/>
                <w:sz w:val="16"/>
                <w:szCs w:val="16"/>
              </w:rPr>
              <w:t>Not included</w:t>
            </w:r>
          </w:p>
        </w:tc>
        <w:tc>
          <w:tcPr>
            <w:tcW w:w="1473" w:type="dxa"/>
            <w:shd w:val="clear" w:color="auto" w:fill="auto"/>
            <w:vAlign w:val="center"/>
          </w:tcPr>
          <w:p w14:paraId="798AA7CB" w14:textId="77777777" w:rsidR="00BA21F2" w:rsidRPr="00E163AA" w:rsidRDefault="00BA21F2" w:rsidP="00DE32CC">
            <w:pPr>
              <w:pStyle w:val="BodyText"/>
              <w:keepNext/>
              <w:spacing w:before="100" w:after="100"/>
              <w:jc w:val="center"/>
              <w:rPr>
                <w:sz w:val="16"/>
                <w:szCs w:val="16"/>
              </w:rPr>
            </w:pPr>
            <w:r w:rsidRPr="00E163AA">
              <w:rPr>
                <w:rFonts w:eastAsia="Calibri"/>
                <w:sz w:val="16"/>
                <w:szCs w:val="16"/>
              </w:rPr>
              <w:t>Not included</w:t>
            </w:r>
          </w:p>
        </w:tc>
        <w:tc>
          <w:tcPr>
            <w:tcW w:w="1473" w:type="dxa"/>
            <w:shd w:val="clear" w:color="auto" w:fill="auto"/>
            <w:vAlign w:val="center"/>
          </w:tcPr>
          <w:p w14:paraId="57540A5C" w14:textId="77777777" w:rsidR="00BA21F2" w:rsidRPr="00E163AA" w:rsidRDefault="00BA21F2" w:rsidP="00DE32CC">
            <w:pPr>
              <w:pStyle w:val="BodyText"/>
              <w:keepNext/>
              <w:spacing w:before="100" w:after="100"/>
              <w:jc w:val="center"/>
              <w:rPr>
                <w:sz w:val="16"/>
                <w:szCs w:val="16"/>
              </w:rPr>
            </w:pPr>
            <w:r w:rsidRPr="00E163AA">
              <w:rPr>
                <w:rFonts w:eastAsia="Calibri"/>
                <w:sz w:val="16"/>
                <w:szCs w:val="16"/>
              </w:rPr>
              <w:t>Not included</w:t>
            </w:r>
          </w:p>
        </w:tc>
        <w:tc>
          <w:tcPr>
            <w:tcW w:w="1473" w:type="dxa"/>
            <w:vAlign w:val="center"/>
          </w:tcPr>
          <w:p w14:paraId="4E1E4FC0" w14:textId="77777777" w:rsidR="00BA21F2" w:rsidRPr="00E163AA" w:rsidRDefault="00BA21F2" w:rsidP="00DE32CC">
            <w:pPr>
              <w:pStyle w:val="BodyText"/>
              <w:keepNext/>
              <w:spacing w:before="100" w:after="100"/>
              <w:jc w:val="center"/>
              <w:rPr>
                <w:sz w:val="16"/>
                <w:szCs w:val="16"/>
              </w:rPr>
            </w:pPr>
            <w:r w:rsidRPr="00E163AA">
              <w:rPr>
                <w:sz w:val="16"/>
                <w:szCs w:val="16"/>
                <w:lang w:val="en-AU" w:eastAsia="en-AU"/>
              </w:rPr>
              <w:t>Unlimited standard national/international talk, SMS &amp; 2GB data</w:t>
            </w:r>
          </w:p>
        </w:tc>
        <w:tc>
          <w:tcPr>
            <w:tcW w:w="1473" w:type="dxa"/>
          </w:tcPr>
          <w:p w14:paraId="7BE65AE7" w14:textId="77777777" w:rsidR="00BA21F2" w:rsidRPr="00E163AA" w:rsidRDefault="00BA21F2" w:rsidP="00DE32CC">
            <w:pPr>
              <w:pStyle w:val="BodyText"/>
              <w:keepNext/>
              <w:spacing w:before="100" w:after="100"/>
              <w:jc w:val="center"/>
              <w:rPr>
                <w:sz w:val="16"/>
                <w:szCs w:val="16"/>
              </w:rPr>
            </w:pPr>
            <w:r w:rsidRPr="00E163AA">
              <w:rPr>
                <w:sz w:val="16"/>
                <w:szCs w:val="16"/>
                <w:lang w:val="en-AU" w:eastAsia="en-AU"/>
              </w:rPr>
              <w:t>Unlimited standard national/international talk, SMS &amp; 5GB data</w:t>
            </w:r>
          </w:p>
        </w:tc>
        <w:tc>
          <w:tcPr>
            <w:tcW w:w="1473" w:type="dxa"/>
          </w:tcPr>
          <w:p w14:paraId="4F3A4E2C" w14:textId="77777777" w:rsidR="00BA21F2" w:rsidRPr="00E163AA" w:rsidRDefault="00BA21F2" w:rsidP="00DE32CC">
            <w:pPr>
              <w:pStyle w:val="BodyText"/>
              <w:keepNext/>
              <w:spacing w:before="100" w:after="100"/>
              <w:jc w:val="center"/>
              <w:rPr>
                <w:sz w:val="16"/>
                <w:szCs w:val="16"/>
                <w:lang w:val="en-AU" w:eastAsia="en-AU"/>
              </w:rPr>
            </w:pPr>
            <w:r w:rsidRPr="00E163AA">
              <w:rPr>
                <w:sz w:val="16"/>
                <w:szCs w:val="16"/>
                <w:lang w:val="en-AU" w:eastAsia="en-AU"/>
              </w:rPr>
              <w:t>Unlimited standard national/international talk, SMS &amp; 5GB data</w:t>
            </w:r>
          </w:p>
        </w:tc>
      </w:tr>
      <w:tr w:rsidR="00BA21F2" w:rsidRPr="00F20B08" w14:paraId="60C8FD3F" w14:textId="77777777" w:rsidTr="00DE32CC">
        <w:tc>
          <w:tcPr>
            <w:tcW w:w="2700" w:type="dxa"/>
            <w:shd w:val="clear" w:color="auto" w:fill="auto"/>
          </w:tcPr>
          <w:p w14:paraId="46C176ED" w14:textId="77777777" w:rsidR="00BA21F2" w:rsidRPr="008808D2" w:rsidRDefault="00BA21F2" w:rsidP="00DE32CC">
            <w:pPr>
              <w:pStyle w:val="BodyText"/>
              <w:keepNext/>
              <w:spacing w:before="100" w:after="100"/>
              <w:rPr>
                <w:b/>
                <w:sz w:val="16"/>
                <w:szCs w:val="16"/>
              </w:rPr>
            </w:pPr>
            <w:r>
              <w:rPr>
                <w:b/>
                <w:sz w:val="16"/>
                <w:szCs w:val="16"/>
              </w:rPr>
              <w:t>Entertainment</w:t>
            </w:r>
            <w:r>
              <w:rPr>
                <w:b/>
                <w:sz w:val="16"/>
                <w:szCs w:val="16"/>
              </w:rPr>
              <w:br/>
            </w:r>
            <w:r w:rsidRPr="00E163AA">
              <w:rPr>
                <w:sz w:val="16"/>
                <w:szCs w:val="16"/>
              </w:rPr>
              <w:t>Music</w:t>
            </w:r>
            <w:r>
              <w:rPr>
                <w:b/>
                <w:sz w:val="16"/>
                <w:szCs w:val="16"/>
              </w:rPr>
              <w:br/>
            </w:r>
            <w:r w:rsidRPr="00E163AA">
              <w:rPr>
                <w:sz w:val="16"/>
                <w:szCs w:val="16"/>
              </w:rPr>
              <w:t>Mobile TV Streaming</w:t>
            </w:r>
            <w:r w:rsidRPr="00E163AA">
              <w:rPr>
                <w:sz w:val="16"/>
                <w:szCs w:val="16"/>
              </w:rPr>
              <w:br/>
              <w:t>Optus Sport</w:t>
            </w:r>
            <w:r w:rsidRPr="00E163AA">
              <w:rPr>
                <w:sz w:val="16"/>
                <w:szCs w:val="16"/>
              </w:rPr>
              <w:br/>
              <w:t>National Geographic</w:t>
            </w:r>
          </w:p>
        </w:tc>
        <w:tc>
          <w:tcPr>
            <w:tcW w:w="1472" w:type="dxa"/>
            <w:vAlign w:val="center"/>
          </w:tcPr>
          <w:p w14:paraId="06FC48D4" w14:textId="77777777" w:rsidR="00BA21F2" w:rsidRPr="008808D2" w:rsidRDefault="00BA21F2" w:rsidP="00DE32CC">
            <w:pPr>
              <w:spacing w:before="120"/>
              <w:rPr>
                <w:rFonts w:eastAsia="Calibri"/>
                <w:sz w:val="16"/>
                <w:szCs w:val="16"/>
                <w:lang w:val="en-AU"/>
              </w:rPr>
            </w:pPr>
            <w:r w:rsidRPr="00582C58">
              <w:rPr>
                <w:sz w:val="16"/>
                <w:szCs w:val="16"/>
              </w:rPr>
              <w:t>Unlimited</w:t>
            </w:r>
          </w:p>
        </w:tc>
        <w:tc>
          <w:tcPr>
            <w:tcW w:w="1473" w:type="dxa"/>
            <w:shd w:val="clear" w:color="auto" w:fill="auto"/>
            <w:vAlign w:val="center"/>
          </w:tcPr>
          <w:p w14:paraId="1782A19E" w14:textId="77777777" w:rsidR="00BA21F2" w:rsidRPr="008808D2" w:rsidRDefault="00BA21F2" w:rsidP="00DE32CC">
            <w:pPr>
              <w:spacing w:before="120"/>
              <w:rPr>
                <w:rFonts w:eastAsia="Calibri"/>
                <w:sz w:val="16"/>
                <w:szCs w:val="16"/>
                <w:lang w:val="en-AU"/>
              </w:rPr>
            </w:pPr>
            <w:r w:rsidRPr="00582C58">
              <w:rPr>
                <w:sz w:val="16"/>
                <w:szCs w:val="16"/>
              </w:rPr>
              <w:t>Unlimited</w:t>
            </w:r>
          </w:p>
        </w:tc>
        <w:tc>
          <w:tcPr>
            <w:tcW w:w="1473" w:type="dxa"/>
            <w:shd w:val="clear" w:color="auto" w:fill="auto"/>
            <w:vAlign w:val="center"/>
          </w:tcPr>
          <w:p w14:paraId="097EF182" w14:textId="77777777" w:rsidR="00BA21F2" w:rsidRPr="008808D2" w:rsidRDefault="00BA21F2" w:rsidP="00DE32CC">
            <w:pPr>
              <w:spacing w:before="120"/>
              <w:rPr>
                <w:rFonts w:eastAsia="Calibri"/>
                <w:sz w:val="16"/>
                <w:szCs w:val="16"/>
                <w:lang w:val="en-AU"/>
              </w:rPr>
            </w:pPr>
            <w:r w:rsidRPr="00582C58">
              <w:rPr>
                <w:sz w:val="16"/>
                <w:szCs w:val="16"/>
              </w:rPr>
              <w:t>Unlimited</w:t>
            </w:r>
          </w:p>
        </w:tc>
        <w:tc>
          <w:tcPr>
            <w:tcW w:w="1473" w:type="dxa"/>
            <w:vAlign w:val="center"/>
          </w:tcPr>
          <w:p w14:paraId="6603CA29" w14:textId="77777777" w:rsidR="00BA21F2" w:rsidRPr="008808D2" w:rsidRDefault="00BA21F2" w:rsidP="00DE32CC">
            <w:pPr>
              <w:pStyle w:val="BodyText"/>
              <w:keepNext/>
              <w:spacing w:before="100" w:after="100"/>
              <w:jc w:val="center"/>
              <w:rPr>
                <w:rFonts w:eastAsia="Calibri"/>
                <w:sz w:val="16"/>
                <w:szCs w:val="16"/>
              </w:rPr>
            </w:pPr>
            <w:r w:rsidRPr="00582C58">
              <w:rPr>
                <w:sz w:val="16"/>
                <w:szCs w:val="16"/>
              </w:rPr>
              <w:t>Unlimited</w:t>
            </w:r>
          </w:p>
        </w:tc>
        <w:tc>
          <w:tcPr>
            <w:tcW w:w="1473" w:type="dxa"/>
            <w:vAlign w:val="center"/>
          </w:tcPr>
          <w:p w14:paraId="3A6F811A" w14:textId="77777777" w:rsidR="00BA21F2" w:rsidRPr="008808D2" w:rsidRDefault="00BA21F2" w:rsidP="00DE32CC">
            <w:pPr>
              <w:pStyle w:val="BodyText"/>
              <w:keepNext/>
              <w:spacing w:before="100" w:after="100"/>
              <w:jc w:val="center"/>
              <w:rPr>
                <w:rFonts w:eastAsia="Calibri"/>
                <w:sz w:val="16"/>
                <w:szCs w:val="16"/>
              </w:rPr>
            </w:pPr>
            <w:r w:rsidRPr="00582C58">
              <w:rPr>
                <w:sz w:val="16"/>
                <w:szCs w:val="16"/>
              </w:rPr>
              <w:t>Unlimited</w:t>
            </w:r>
          </w:p>
        </w:tc>
        <w:tc>
          <w:tcPr>
            <w:tcW w:w="1473" w:type="dxa"/>
            <w:vAlign w:val="center"/>
          </w:tcPr>
          <w:p w14:paraId="62B8A619" w14:textId="77777777" w:rsidR="00BA21F2" w:rsidRPr="008808D2" w:rsidRDefault="00BA21F2" w:rsidP="00DE32CC">
            <w:pPr>
              <w:pStyle w:val="BodyText"/>
              <w:keepNext/>
              <w:spacing w:before="100" w:after="100"/>
              <w:jc w:val="center"/>
              <w:rPr>
                <w:rFonts w:eastAsia="Calibri"/>
                <w:sz w:val="16"/>
                <w:szCs w:val="16"/>
              </w:rPr>
            </w:pPr>
            <w:r w:rsidRPr="00582C58">
              <w:rPr>
                <w:sz w:val="16"/>
                <w:szCs w:val="16"/>
              </w:rPr>
              <w:t>Unlimited</w:t>
            </w:r>
          </w:p>
        </w:tc>
      </w:tr>
      <w:tr w:rsidR="00BA21F2" w:rsidRPr="00F20B08" w14:paraId="778289E5" w14:textId="77777777" w:rsidTr="00DE32CC">
        <w:tc>
          <w:tcPr>
            <w:tcW w:w="2700" w:type="dxa"/>
            <w:shd w:val="clear" w:color="auto" w:fill="auto"/>
          </w:tcPr>
          <w:p w14:paraId="19A856DF" w14:textId="77777777" w:rsidR="00BA21F2" w:rsidRPr="008808D2" w:rsidRDefault="00BA21F2" w:rsidP="00DE32CC">
            <w:pPr>
              <w:pStyle w:val="BodyText"/>
              <w:keepNext/>
              <w:spacing w:before="100" w:after="100"/>
              <w:rPr>
                <w:b/>
                <w:bCs/>
                <w:sz w:val="16"/>
                <w:szCs w:val="16"/>
                <w:lang w:eastAsia="en-AU"/>
              </w:rPr>
            </w:pPr>
            <w:r w:rsidRPr="008808D2">
              <w:rPr>
                <w:b/>
                <w:sz w:val="16"/>
                <w:szCs w:val="16"/>
              </w:rPr>
              <w:t xml:space="preserve">Optus Travel™ Pack </w:t>
            </w:r>
            <w:r w:rsidRPr="008808D2">
              <w:rPr>
                <w:b/>
                <w:bCs/>
                <w:snapToGrid w:val="0"/>
                <w:sz w:val="16"/>
                <w:szCs w:val="16"/>
              </w:rPr>
              <w:t>(Zone 1 countries)</w:t>
            </w:r>
          </w:p>
        </w:tc>
        <w:tc>
          <w:tcPr>
            <w:tcW w:w="1472" w:type="dxa"/>
            <w:vAlign w:val="center"/>
          </w:tcPr>
          <w:p w14:paraId="6A195B96" w14:textId="77777777" w:rsidR="00BA21F2" w:rsidRPr="008808D2" w:rsidRDefault="00BA21F2" w:rsidP="00DE32CC">
            <w:pPr>
              <w:spacing w:before="120"/>
              <w:rPr>
                <w:rFonts w:eastAsia="Calibri"/>
                <w:sz w:val="16"/>
                <w:szCs w:val="16"/>
                <w:lang w:val="en-AU"/>
              </w:rPr>
            </w:pPr>
            <w:r w:rsidRPr="008808D2">
              <w:rPr>
                <w:rFonts w:eastAsia="Calibri"/>
                <w:sz w:val="16"/>
                <w:szCs w:val="16"/>
                <w:lang w:val="en-AU"/>
              </w:rPr>
              <w:t>Get $5 Optus Travel™ Pack - normally $10</w:t>
            </w:r>
          </w:p>
          <w:p w14:paraId="69DB7AA2" w14:textId="77777777" w:rsidR="00BA21F2" w:rsidRPr="008808D2" w:rsidRDefault="00BA21F2" w:rsidP="00DE32CC">
            <w:pPr>
              <w:pStyle w:val="BodyText"/>
              <w:keepNext/>
              <w:spacing w:before="100" w:after="100"/>
              <w:jc w:val="center"/>
              <w:rPr>
                <w:sz w:val="16"/>
                <w:szCs w:val="16"/>
              </w:rPr>
            </w:pPr>
          </w:p>
        </w:tc>
        <w:tc>
          <w:tcPr>
            <w:tcW w:w="1473" w:type="dxa"/>
            <w:shd w:val="clear" w:color="auto" w:fill="auto"/>
          </w:tcPr>
          <w:p w14:paraId="23FC7D55" w14:textId="77777777" w:rsidR="00BA21F2" w:rsidRPr="008808D2" w:rsidRDefault="00BA21F2" w:rsidP="00DE32CC">
            <w:pPr>
              <w:spacing w:before="120"/>
              <w:rPr>
                <w:rFonts w:eastAsia="Calibri"/>
                <w:sz w:val="16"/>
                <w:szCs w:val="16"/>
                <w:lang w:val="en-AU"/>
              </w:rPr>
            </w:pPr>
            <w:r w:rsidRPr="008808D2">
              <w:rPr>
                <w:rFonts w:eastAsia="Calibri"/>
                <w:sz w:val="16"/>
                <w:szCs w:val="16"/>
                <w:lang w:val="en-AU"/>
              </w:rPr>
              <w:t>Get $5 Optus Travel™ Pack - normally $10</w:t>
            </w:r>
          </w:p>
          <w:p w14:paraId="2860EF9C" w14:textId="77777777" w:rsidR="00BA21F2" w:rsidRPr="008808D2" w:rsidRDefault="00BA21F2" w:rsidP="00DE32CC">
            <w:pPr>
              <w:pStyle w:val="BodyText"/>
              <w:keepNext/>
              <w:spacing w:before="100" w:after="100"/>
              <w:jc w:val="center"/>
              <w:rPr>
                <w:sz w:val="16"/>
                <w:szCs w:val="16"/>
              </w:rPr>
            </w:pPr>
          </w:p>
        </w:tc>
        <w:tc>
          <w:tcPr>
            <w:tcW w:w="1473" w:type="dxa"/>
            <w:shd w:val="clear" w:color="auto" w:fill="auto"/>
          </w:tcPr>
          <w:p w14:paraId="29D50353" w14:textId="77777777" w:rsidR="00BA21F2" w:rsidRPr="008808D2" w:rsidRDefault="00BA21F2" w:rsidP="00DE32CC">
            <w:pPr>
              <w:spacing w:before="120"/>
              <w:rPr>
                <w:rFonts w:eastAsia="Calibri"/>
                <w:sz w:val="16"/>
                <w:szCs w:val="16"/>
                <w:lang w:val="en-AU"/>
              </w:rPr>
            </w:pPr>
            <w:r w:rsidRPr="008808D2">
              <w:rPr>
                <w:rFonts w:eastAsia="Calibri"/>
                <w:sz w:val="16"/>
                <w:szCs w:val="16"/>
                <w:lang w:val="en-AU"/>
              </w:rPr>
              <w:t>Get $5 Optus Travel™ Pack - normally $10</w:t>
            </w:r>
          </w:p>
          <w:p w14:paraId="6BED3DD9" w14:textId="77777777" w:rsidR="00BA21F2" w:rsidRPr="008808D2" w:rsidRDefault="00BA21F2" w:rsidP="00DE32CC">
            <w:pPr>
              <w:pStyle w:val="BodyText"/>
              <w:keepNext/>
              <w:spacing w:before="100" w:after="100"/>
              <w:jc w:val="center"/>
              <w:rPr>
                <w:sz w:val="16"/>
                <w:szCs w:val="16"/>
              </w:rPr>
            </w:pPr>
          </w:p>
        </w:tc>
        <w:tc>
          <w:tcPr>
            <w:tcW w:w="1473" w:type="dxa"/>
          </w:tcPr>
          <w:p w14:paraId="076A9E9A" w14:textId="77777777" w:rsidR="00BA21F2" w:rsidRPr="008808D2" w:rsidRDefault="00BA21F2" w:rsidP="00DE32CC">
            <w:pPr>
              <w:pStyle w:val="BodyText"/>
              <w:keepNext/>
              <w:spacing w:before="100" w:after="100"/>
              <w:jc w:val="center"/>
              <w:rPr>
                <w:sz w:val="16"/>
                <w:szCs w:val="16"/>
              </w:rPr>
            </w:pPr>
            <w:r w:rsidRPr="008808D2">
              <w:rPr>
                <w:rFonts w:eastAsia="Calibri"/>
                <w:sz w:val="16"/>
                <w:szCs w:val="16"/>
              </w:rPr>
              <w:t>Not included</w:t>
            </w:r>
          </w:p>
        </w:tc>
        <w:tc>
          <w:tcPr>
            <w:tcW w:w="1473" w:type="dxa"/>
          </w:tcPr>
          <w:p w14:paraId="20533BA9" w14:textId="77777777" w:rsidR="00BA21F2" w:rsidRPr="008808D2" w:rsidRDefault="00BA21F2" w:rsidP="00DE32CC">
            <w:pPr>
              <w:pStyle w:val="BodyText"/>
              <w:keepNext/>
              <w:spacing w:before="100" w:after="100"/>
              <w:jc w:val="center"/>
              <w:rPr>
                <w:sz w:val="16"/>
                <w:szCs w:val="16"/>
              </w:rPr>
            </w:pPr>
            <w:r w:rsidRPr="008808D2">
              <w:rPr>
                <w:rFonts w:eastAsia="Calibri"/>
                <w:sz w:val="16"/>
                <w:szCs w:val="16"/>
              </w:rPr>
              <w:t>Not included</w:t>
            </w:r>
          </w:p>
        </w:tc>
        <w:tc>
          <w:tcPr>
            <w:tcW w:w="1473" w:type="dxa"/>
          </w:tcPr>
          <w:p w14:paraId="34248156" w14:textId="77777777" w:rsidR="00BA21F2" w:rsidRPr="008808D2" w:rsidRDefault="00BA21F2" w:rsidP="00DE32CC">
            <w:pPr>
              <w:pStyle w:val="BodyText"/>
              <w:keepNext/>
              <w:spacing w:before="100" w:after="100"/>
              <w:jc w:val="center"/>
              <w:rPr>
                <w:rFonts w:eastAsia="Calibri"/>
                <w:sz w:val="16"/>
                <w:szCs w:val="16"/>
              </w:rPr>
            </w:pPr>
            <w:r w:rsidRPr="008808D2">
              <w:rPr>
                <w:rFonts w:eastAsia="Calibri"/>
                <w:sz w:val="16"/>
                <w:szCs w:val="16"/>
              </w:rPr>
              <w:t>Not included</w:t>
            </w:r>
          </w:p>
        </w:tc>
      </w:tr>
      <w:tr w:rsidR="00BA21F2" w:rsidRPr="00F20B08" w14:paraId="4D43FFC2" w14:textId="77777777" w:rsidTr="00DE32CC">
        <w:tc>
          <w:tcPr>
            <w:tcW w:w="2700" w:type="dxa"/>
            <w:shd w:val="clear" w:color="auto" w:fill="auto"/>
          </w:tcPr>
          <w:p w14:paraId="65F1053C" w14:textId="77777777" w:rsidR="00BA21F2" w:rsidRPr="00E163AA" w:rsidRDefault="00BA21F2" w:rsidP="00DE32CC">
            <w:pPr>
              <w:pStyle w:val="BodyText"/>
              <w:keepNext/>
              <w:spacing w:before="100" w:after="100"/>
              <w:rPr>
                <w:b/>
                <w:bCs/>
                <w:sz w:val="16"/>
                <w:szCs w:val="16"/>
                <w:lang w:eastAsia="en-AU"/>
              </w:rPr>
            </w:pPr>
            <w:r w:rsidRPr="00E163AA">
              <w:rPr>
                <w:b/>
                <w:bCs/>
                <w:sz w:val="16"/>
                <w:szCs w:val="16"/>
                <w:lang w:eastAsia="en-AU"/>
              </w:rPr>
              <w:t xml:space="preserve">Minimum total cost over 24 months </w:t>
            </w:r>
          </w:p>
        </w:tc>
        <w:tc>
          <w:tcPr>
            <w:tcW w:w="1472" w:type="dxa"/>
            <w:vAlign w:val="center"/>
          </w:tcPr>
          <w:p w14:paraId="6A62B020" w14:textId="77777777" w:rsidR="00BA21F2" w:rsidRPr="00E163AA" w:rsidRDefault="00BA21F2" w:rsidP="00DE32CC">
            <w:pPr>
              <w:pStyle w:val="BodyText"/>
              <w:keepNext/>
              <w:spacing w:before="100" w:after="100"/>
              <w:jc w:val="center"/>
              <w:rPr>
                <w:sz w:val="16"/>
                <w:szCs w:val="16"/>
              </w:rPr>
            </w:pPr>
            <w:r w:rsidRPr="00E163AA">
              <w:rPr>
                <w:rFonts w:eastAsia="Calibri"/>
                <w:sz w:val="16"/>
                <w:szCs w:val="16"/>
              </w:rPr>
              <w:t>$1080</w:t>
            </w:r>
          </w:p>
        </w:tc>
        <w:tc>
          <w:tcPr>
            <w:tcW w:w="1473" w:type="dxa"/>
            <w:shd w:val="clear" w:color="auto" w:fill="auto"/>
            <w:vAlign w:val="center"/>
          </w:tcPr>
          <w:p w14:paraId="670BB9F4" w14:textId="77777777" w:rsidR="00BA21F2" w:rsidRPr="00E163AA" w:rsidRDefault="00BA21F2" w:rsidP="00DE32CC">
            <w:pPr>
              <w:pStyle w:val="BodyText"/>
              <w:keepNext/>
              <w:spacing w:before="100" w:after="100"/>
              <w:jc w:val="center"/>
              <w:rPr>
                <w:sz w:val="16"/>
                <w:szCs w:val="16"/>
              </w:rPr>
            </w:pPr>
            <w:r w:rsidRPr="00E163AA">
              <w:rPr>
                <w:rFonts w:eastAsia="Calibri"/>
                <w:sz w:val="16"/>
                <w:szCs w:val="16"/>
              </w:rPr>
              <w:t>$1</w:t>
            </w:r>
            <w:r>
              <w:rPr>
                <w:rFonts w:eastAsia="Calibri"/>
                <w:sz w:val="16"/>
                <w:szCs w:val="16"/>
              </w:rPr>
              <w:t>56</w:t>
            </w:r>
            <w:r w:rsidRPr="00E163AA">
              <w:rPr>
                <w:rFonts w:eastAsia="Calibri"/>
                <w:sz w:val="16"/>
                <w:szCs w:val="16"/>
              </w:rPr>
              <w:t>0</w:t>
            </w:r>
          </w:p>
        </w:tc>
        <w:tc>
          <w:tcPr>
            <w:tcW w:w="1473" w:type="dxa"/>
            <w:shd w:val="clear" w:color="auto" w:fill="auto"/>
            <w:vAlign w:val="center"/>
          </w:tcPr>
          <w:p w14:paraId="47E9A8EC" w14:textId="77777777" w:rsidR="00BA21F2" w:rsidRPr="00E163AA" w:rsidRDefault="00BA21F2" w:rsidP="00DE32CC">
            <w:pPr>
              <w:pStyle w:val="BodyText"/>
              <w:keepNext/>
              <w:spacing w:before="100" w:after="100"/>
              <w:jc w:val="center"/>
              <w:rPr>
                <w:sz w:val="16"/>
                <w:szCs w:val="16"/>
              </w:rPr>
            </w:pPr>
            <w:r w:rsidRPr="00E163AA">
              <w:rPr>
                <w:rFonts w:eastAsia="Calibri"/>
                <w:sz w:val="16"/>
                <w:szCs w:val="16"/>
              </w:rPr>
              <w:t>$2</w:t>
            </w:r>
            <w:r>
              <w:rPr>
                <w:rFonts w:eastAsia="Calibri"/>
                <w:sz w:val="16"/>
                <w:szCs w:val="16"/>
              </w:rPr>
              <w:t>04</w:t>
            </w:r>
            <w:r w:rsidRPr="00E163AA">
              <w:rPr>
                <w:rFonts w:eastAsia="Calibri"/>
                <w:sz w:val="16"/>
                <w:szCs w:val="16"/>
              </w:rPr>
              <w:t>0</w:t>
            </w:r>
          </w:p>
        </w:tc>
        <w:tc>
          <w:tcPr>
            <w:tcW w:w="1473" w:type="dxa"/>
          </w:tcPr>
          <w:p w14:paraId="6A02330F" w14:textId="77777777" w:rsidR="00BA21F2" w:rsidRPr="00E163AA" w:rsidRDefault="00BA21F2" w:rsidP="00DE32CC">
            <w:pPr>
              <w:pStyle w:val="BodyText"/>
              <w:keepNext/>
              <w:spacing w:before="100" w:after="100"/>
              <w:jc w:val="center"/>
              <w:rPr>
                <w:rFonts w:eastAsia="Calibri"/>
                <w:sz w:val="16"/>
                <w:szCs w:val="16"/>
              </w:rPr>
            </w:pPr>
            <w:r w:rsidRPr="00E163AA">
              <w:rPr>
                <w:rFonts w:eastAsia="Calibri"/>
                <w:sz w:val="16"/>
                <w:szCs w:val="16"/>
              </w:rPr>
              <w:t>$2</w:t>
            </w:r>
            <w:r>
              <w:rPr>
                <w:rFonts w:eastAsia="Calibri"/>
                <w:sz w:val="16"/>
                <w:szCs w:val="16"/>
              </w:rPr>
              <w:t>40</w:t>
            </w:r>
            <w:r w:rsidRPr="00E163AA">
              <w:rPr>
                <w:rFonts w:eastAsia="Calibri"/>
                <w:sz w:val="16"/>
                <w:szCs w:val="16"/>
              </w:rPr>
              <w:t>0</w:t>
            </w:r>
          </w:p>
        </w:tc>
        <w:tc>
          <w:tcPr>
            <w:tcW w:w="1473" w:type="dxa"/>
          </w:tcPr>
          <w:p w14:paraId="716DB1AB" w14:textId="77777777" w:rsidR="00BA21F2" w:rsidRPr="00E163AA" w:rsidRDefault="00BA21F2" w:rsidP="00DE32CC">
            <w:pPr>
              <w:pStyle w:val="BodyText"/>
              <w:keepNext/>
              <w:spacing w:before="100" w:after="100"/>
              <w:jc w:val="center"/>
              <w:rPr>
                <w:rFonts w:eastAsia="Calibri"/>
                <w:sz w:val="16"/>
                <w:szCs w:val="16"/>
              </w:rPr>
            </w:pPr>
            <w:r w:rsidRPr="00E163AA">
              <w:rPr>
                <w:rFonts w:eastAsia="Calibri"/>
                <w:sz w:val="16"/>
                <w:szCs w:val="16"/>
              </w:rPr>
              <w:t>$</w:t>
            </w:r>
            <w:r>
              <w:rPr>
                <w:rFonts w:eastAsia="Calibri"/>
                <w:sz w:val="16"/>
                <w:szCs w:val="16"/>
              </w:rPr>
              <w:t>288</w:t>
            </w:r>
            <w:r w:rsidRPr="00E163AA">
              <w:rPr>
                <w:rFonts w:eastAsia="Calibri"/>
                <w:sz w:val="16"/>
                <w:szCs w:val="16"/>
              </w:rPr>
              <w:t>0</w:t>
            </w:r>
          </w:p>
        </w:tc>
        <w:tc>
          <w:tcPr>
            <w:tcW w:w="1473" w:type="dxa"/>
          </w:tcPr>
          <w:p w14:paraId="1845EA8E" w14:textId="77777777" w:rsidR="00BA21F2" w:rsidRPr="00E163AA" w:rsidRDefault="00BA21F2" w:rsidP="00DE32CC">
            <w:pPr>
              <w:pStyle w:val="BodyText"/>
              <w:keepNext/>
              <w:spacing w:before="100" w:after="100"/>
              <w:jc w:val="center"/>
              <w:rPr>
                <w:rFonts w:eastAsia="Calibri"/>
                <w:sz w:val="16"/>
                <w:szCs w:val="16"/>
              </w:rPr>
            </w:pPr>
            <w:r>
              <w:rPr>
                <w:rFonts w:eastAsia="Calibri"/>
                <w:sz w:val="16"/>
                <w:szCs w:val="16"/>
              </w:rPr>
              <w:t>$3576</w:t>
            </w:r>
          </w:p>
        </w:tc>
      </w:tr>
    </w:tbl>
    <w:p w14:paraId="44B79BD4" w14:textId="77777777" w:rsidR="00BA21F2" w:rsidRDefault="00BA21F2" w:rsidP="00BA21F2">
      <w:pPr>
        <w:pStyle w:val="BodyText"/>
      </w:pPr>
    </w:p>
    <w:p w14:paraId="52E1F280" w14:textId="77777777" w:rsidR="00BA21F2" w:rsidRDefault="00BA21F2" w:rsidP="00BA21F2">
      <w:pPr>
        <w:pStyle w:val="BodyText"/>
        <w:ind w:left="720"/>
        <w:rPr>
          <w:b/>
        </w:rPr>
      </w:pPr>
    </w:p>
    <w:p w14:paraId="4120F436" w14:textId="77777777" w:rsidR="00BA21F2" w:rsidRDefault="00BA21F2" w:rsidP="00BA21F2">
      <w:pPr>
        <w:pStyle w:val="BodyText"/>
        <w:ind w:left="720"/>
        <w:rPr>
          <w:b/>
        </w:rPr>
      </w:pPr>
      <w:r w:rsidRPr="00950DA4">
        <w:rPr>
          <w:b/>
        </w:rPr>
        <w:t>Table 2 – Other usage types and charges</w:t>
      </w:r>
    </w:p>
    <w:tbl>
      <w:tblPr>
        <w:tblW w:w="8811"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05"/>
        <w:gridCol w:w="4406"/>
      </w:tblGrid>
      <w:tr w:rsidR="00BA21F2" w:rsidRPr="00090AB3" w14:paraId="7D4EC45D" w14:textId="77777777" w:rsidTr="00DE32CC">
        <w:trPr>
          <w:tblHeader/>
        </w:trPr>
        <w:tc>
          <w:tcPr>
            <w:tcW w:w="4405" w:type="dxa"/>
            <w:shd w:val="clear" w:color="auto" w:fill="auto"/>
            <w:vAlign w:val="center"/>
          </w:tcPr>
          <w:p w14:paraId="2845A20C" w14:textId="77777777" w:rsidR="00BA21F2" w:rsidRPr="00925C02" w:rsidRDefault="00BA21F2" w:rsidP="00DE32CC">
            <w:pPr>
              <w:pStyle w:val="BodyText"/>
              <w:spacing w:before="100" w:after="100"/>
              <w:jc w:val="center"/>
              <w:rPr>
                <w:b/>
              </w:rPr>
            </w:pPr>
            <w:r w:rsidRPr="00925C02">
              <w:rPr>
                <w:b/>
              </w:rPr>
              <w:lastRenderedPageBreak/>
              <w:t>Usage type</w:t>
            </w:r>
          </w:p>
        </w:tc>
        <w:tc>
          <w:tcPr>
            <w:tcW w:w="4406" w:type="dxa"/>
            <w:shd w:val="clear" w:color="auto" w:fill="auto"/>
            <w:vAlign w:val="center"/>
          </w:tcPr>
          <w:p w14:paraId="12666574" w14:textId="77777777" w:rsidR="00BA21F2" w:rsidRPr="00925C02" w:rsidRDefault="00BA21F2" w:rsidP="00DE32CC">
            <w:pPr>
              <w:pStyle w:val="BodyText"/>
              <w:spacing w:before="100" w:after="100"/>
              <w:jc w:val="center"/>
              <w:rPr>
                <w:b/>
              </w:rPr>
            </w:pPr>
            <w:r w:rsidRPr="00925C02">
              <w:rPr>
                <w:b/>
              </w:rPr>
              <w:t>Charge</w:t>
            </w:r>
          </w:p>
        </w:tc>
      </w:tr>
      <w:tr w:rsidR="00BA21F2" w:rsidRPr="00090AB3" w14:paraId="0D2B269B" w14:textId="77777777" w:rsidTr="00DE32CC">
        <w:tc>
          <w:tcPr>
            <w:tcW w:w="4405" w:type="dxa"/>
            <w:shd w:val="clear" w:color="auto" w:fill="auto"/>
          </w:tcPr>
          <w:p w14:paraId="51D030F3" w14:textId="77777777" w:rsidR="00BA21F2" w:rsidRPr="00950DA4" w:rsidRDefault="00BA21F2" w:rsidP="00DE32CC">
            <w:pPr>
              <w:pStyle w:val="BodyText"/>
              <w:spacing w:before="100" w:after="100"/>
            </w:pPr>
            <w:r w:rsidRPr="00950DA4">
              <w:rPr>
                <w:bCs/>
                <w:lang w:eastAsia="en-AU"/>
              </w:rPr>
              <w:t xml:space="preserve">National video calls </w:t>
            </w:r>
            <w:r w:rsidRPr="00950DA4">
              <w:rPr>
                <w:lang w:eastAsia="en-AU"/>
              </w:rPr>
              <w:t>(per minute)</w:t>
            </w:r>
          </w:p>
        </w:tc>
        <w:tc>
          <w:tcPr>
            <w:tcW w:w="4406" w:type="dxa"/>
            <w:shd w:val="clear" w:color="auto" w:fill="auto"/>
            <w:vAlign w:val="center"/>
          </w:tcPr>
          <w:p w14:paraId="3AF2BC36" w14:textId="77777777" w:rsidR="00BA21F2" w:rsidRPr="00090AB3" w:rsidRDefault="00BA21F2" w:rsidP="00DE32CC">
            <w:pPr>
              <w:pStyle w:val="BodyText"/>
              <w:spacing w:before="100" w:after="100"/>
              <w:jc w:val="center"/>
            </w:pPr>
            <w:r w:rsidRPr="00090AB3">
              <w:t>$1.00 per min + 40c flagfall</w:t>
            </w:r>
          </w:p>
        </w:tc>
      </w:tr>
      <w:tr w:rsidR="00BA21F2" w:rsidRPr="00090AB3" w14:paraId="158C490B" w14:textId="77777777" w:rsidTr="00DE32CC">
        <w:tc>
          <w:tcPr>
            <w:tcW w:w="4405" w:type="dxa"/>
            <w:shd w:val="clear" w:color="auto" w:fill="auto"/>
          </w:tcPr>
          <w:p w14:paraId="4B74CA9F" w14:textId="77777777" w:rsidR="00BA21F2" w:rsidRPr="00950DA4" w:rsidRDefault="00BA21F2" w:rsidP="00DE32CC">
            <w:pPr>
              <w:pStyle w:val="BodyText"/>
              <w:spacing w:before="100" w:after="100"/>
              <w:rPr>
                <w:bCs/>
                <w:lang w:eastAsia="en-AU"/>
              </w:rPr>
            </w:pPr>
            <w:r w:rsidRPr="00950DA4">
              <w:rPr>
                <w:bCs/>
                <w:lang w:eastAsia="en-AU"/>
              </w:rPr>
              <w:t>National Diversions</w:t>
            </w:r>
          </w:p>
        </w:tc>
        <w:tc>
          <w:tcPr>
            <w:tcW w:w="4406" w:type="dxa"/>
            <w:shd w:val="clear" w:color="auto" w:fill="auto"/>
          </w:tcPr>
          <w:p w14:paraId="5A8E0615" w14:textId="77777777" w:rsidR="00BA21F2" w:rsidRPr="00090AB3" w:rsidRDefault="00BA21F2" w:rsidP="00DE32CC">
            <w:pPr>
              <w:pStyle w:val="BodyText"/>
              <w:spacing w:before="100" w:after="100"/>
              <w:jc w:val="center"/>
            </w:pPr>
            <w:r w:rsidRPr="00090AB3">
              <w:t>$0 per minute</w:t>
            </w:r>
          </w:p>
        </w:tc>
      </w:tr>
      <w:tr w:rsidR="00BA21F2" w:rsidRPr="00090AB3" w14:paraId="1D0B2990" w14:textId="77777777" w:rsidTr="00DE32CC">
        <w:tc>
          <w:tcPr>
            <w:tcW w:w="4405" w:type="dxa"/>
            <w:shd w:val="clear" w:color="auto" w:fill="auto"/>
          </w:tcPr>
          <w:p w14:paraId="41DAF6AD" w14:textId="77777777" w:rsidR="00BA21F2" w:rsidRPr="00950DA4" w:rsidRDefault="00BA21F2" w:rsidP="00DE32CC">
            <w:pPr>
              <w:pStyle w:val="BodyText"/>
              <w:spacing w:before="100" w:after="100"/>
              <w:rPr>
                <w:bCs/>
                <w:lang w:eastAsia="en-AU"/>
              </w:rPr>
            </w:pPr>
            <w:r w:rsidRPr="00950DA4">
              <w:rPr>
                <w:bCs/>
                <w:lang w:eastAsia="en-AU"/>
              </w:rPr>
              <w:t xml:space="preserve">International Diversions </w:t>
            </w:r>
          </w:p>
        </w:tc>
        <w:tc>
          <w:tcPr>
            <w:tcW w:w="4406" w:type="dxa"/>
            <w:shd w:val="clear" w:color="auto" w:fill="auto"/>
          </w:tcPr>
          <w:p w14:paraId="08360FDC" w14:textId="77777777" w:rsidR="00BA21F2" w:rsidRPr="00090AB3" w:rsidRDefault="00BA21F2" w:rsidP="00DE32CC">
            <w:pPr>
              <w:pStyle w:val="BodyText"/>
              <w:spacing w:before="100" w:after="100"/>
              <w:jc w:val="center"/>
            </w:pPr>
            <w:r>
              <w:t>'</w:t>
            </w:r>
            <w:r w:rsidRPr="00090AB3">
              <w:t>yes</w:t>
            </w:r>
            <w:r>
              <w:t>'</w:t>
            </w:r>
            <w:r w:rsidRPr="00090AB3">
              <w:t xml:space="preserve"> international rates</w:t>
            </w:r>
            <w:r w:rsidRPr="00090AB3">
              <w:br/>
              <w:t>See optus.com.au/international</w:t>
            </w:r>
          </w:p>
        </w:tc>
      </w:tr>
      <w:tr w:rsidR="00BA21F2" w:rsidRPr="00090AB3" w14:paraId="58A131CE" w14:textId="77777777" w:rsidTr="00DE32CC">
        <w:tc>
          <w:tcPr>
            <w:tcW w:w="4405" w:type="dxa"/>
            <w:shd w:val="clear" w:color="auto" w:fill="auto"/>
          </w:tcPr>
          <w:p w14:paraId="50464D75" w14:textId="77777777" w:rsidR="00BA21F2" w:rsidRPr="00950DA4" w:rsidRDefault="00BA21F2" w:rsidP="00DE32CC">
            <w:pPr>
              <w:pStyle w:val="BodyText"/>
              <w:spacing w:before="100" w:after="100"/>
              <w:rPr>
                <w:bCs/>
                <w:lang w:eastAsia="en-AU"/>
              </w:rPr>
            </w:pPr>
            <w:r w:rsidRPr="00950DA4">
              <w:rPr>
                <w:bCs/>
                <w:lang w:eastAsia="en-AU"/>
              </w:rPr>
              <w:t xml:space="preserve">1800 numbers </w:t>
            </w:r>
          </w:p>
        </w:tc>
        <w:tc>
          <w:tcPr>
            <w:tcW w:w="4406" w:type="dxa"/>
            <w:shd w:val="clear" w:color="auto" w:fill="auto"/>
            <w:vAlign w:val="center"/>
          </w:tcPr>
          <w:p w14:paraId="34165AAB" w14:textId="77777777" w:rsidR="00BA21F2" w:rsidRPr="00090AB3" w:rsidRDefault="00BA21F2" w:rsidP="00DE32CC">
            <w:pPr>
              <w:pStyle w:val="BodyText"/>
              <w:spacing w:before="100" w:after="100"/>
              <w:jc w:val="center"/>
            </w:pPr>
            <w:r w:rsidRPr="00090AB3">
              <w:t>$0 per minute</w:t>
            </w:r>
          </w:p>
        </w:tc>
      </w:tr>
      <w:tr w:rsidR="00BA21F2" w:rsidRPr="00090AB3" w14:paraId="40ADB739" w14:textId="77777777" w:rsidTr="00DE32CC">
        <w:tc>
          <w:tcPr>
            <w:tcW w:w="4405" w:type="dxa"/>
            <w:shd w:val="clear" w:color="auto" w:fill="auto"/>
          </w:tcPr>
          <w:p w14:paraId="3B0083F4" w14:textId="77777777" w:rsidR="00BA21F2" w:rsidRPr="00950DA4" w:rsidRDefault="00BA21F2" w:rsidP="00DE32CC">
            <w:pPr>
              <w:pStyle w:val="BodyText"/>
              <w:spacing w:before="100" w:after="100"/>
              <w:rPr>
                <w:bCs/>
                <w:lang w:eastAsia="en-AU"/>
              </w:rPr>
            </w:pPr>
            <w:r w:rsidRPr="00950DA4">
              <w:rPr>
                <w:bCs/>
                <w:lang w:eastAsia="en-AU"/>
              </w:rPr>
              <w:t xml:space="preserve">Directory Assistance 1223 </w:t>
            </w:r>
          </w:p>
        </w:tc>
        <w:tc>
          <w:tcPr>
            <w:tcW w:w="4406" w:type="dxa"/>
            <w:shd w:val="clear" w:color="auto" w:fill="auto"/>
            <w:vAlign w:val="center"/>
          </w:tcPr>
          <w:p w14:paraId="1DD2F27F" w14:textId="77777777" w:rsidR="00BA21F2" w:rsidRPr="00090AB3" w:rsidRDefault="00BA21F2" w:rsidP="00DE32CC">
            <w:pPr>
              <w:pStyle w:val="BodyText"/>
              <w:spacing w:before="100" w:after="100"/>
              <w:jc w:val="center"/>
            </w:pPr>
            <w:r w:rsidRPr="00090AB3">
              <w:t>50c per call</w:t>
            </w:r>
          </w:p>
        </w:tc>
      </w:tr>
      <w:tr w:rsidR="00BA21F2" w:rsidRPr="00090AB3" w14:paraId="2668BF52" w14:textId="77777777" w:rsidTr="00DE32CC">
        <w:tc>
          <w:tcPr>
            <w:tcW w:w="4405" w:type="dxa"/>
            <w:shd w:val="clear" w:color="auto" w:fill="auto"/>
          </w:tcPr>
          <w:p w14:paraId="635ACB50" w14:textId="77777777" w:rsidR="00BA21F2" w:rsidRPr="00950DA4" w:rsidRDefault="00BA21F2" w:rsidP="00DE32CC">
            <w:pPr>
              <w:pStyle w:val="BodyText"/>
              <w:spacing w:before="100" w:after="100"/>
              <w:rPr>
                <w:bCs/>
                <w:lang w:eastAsia="en-AU"/>
              </w:rPr>
            </w:pPr>
            <w:r w:rsidRPr="00950DA4">
              <w:rPr>
                <w:bCs/>
                <w:lang w:eastAsia="en-AU"/>
              </w:rPr>
              <w:t>124 Yes</w:t>
            </w:r>
          </w:p>
        </w:tc>
        <w:tc>
          <w:tcPr>
            <w:tcW w:w="4406" w:type="dxa"/>
            <w:shd w:val="clear" w:color="auto" w:fill="auto"/>
            <w:vAlign w:val="center"/>
          </w:tcPr>
          <w:p w14:paraId="2D36B273" w14:textId="77777777" w:rsidR="00BA21F2" w:rsidRPr="00090AB3" w:rsidRDefault="00BA21F2" w:rsidP="00DE32CC">
            <w:pPr>
              <w:pStyle w:val="BodyText"/>
              <w:spacing w:before="100" w:after="100"/>
              <w:jc w:val="center"/>
            </w:pPr>
            <w:r w:rsidRPr="00090AB3">
              <w:t>90c per minute +$1.75c flagfall</w:t>
            </w:r>
          </w:p>
        </w:tc>
      </w:tr>
      <w:tr w:rsidR="00BA21F2" w:rsidRPr="00090AB3" w14:paraId="35F528E0" w14:textId="77777777" w:rsidTr="00DE32CC">
        <w:tc>
          <w:tcPr>
            <w:tcW w:w="4405" w:type="dxa"/>
            <w:shd w:val="clear" w:color="auto" w:fill="auto"/>
          </w:tcPr>
          <w:p w14:paraId="1B806297" w14:textId="77777777" w:rsidR="00BA21F2" w:rsidRPr="00950DA4" w:rsidRDefault="00BA21F2" w:rsidP="00DE32CC">
            <w:pPr>
              <w:pStyle w:val="BodyText"/>
              <w:spacing w:before="100" w:after="100"/>
              <w:rPr>
                <w:bCs/>
                <w:lang w:eastAsia="en-AU"/>
              </w:rPr>
            </w:pPr>
            <w:r w:rsidRPr="00950DA4">
              <w:rPr>
                <w:bCs/>
                <w:lang w:eastAsia="en-AU"/>
              </w:rPr>
              <w:t>International voice calls (outside the plan</w:t>
            </w:r>
            <w:r>
              <w:rPr>
                <w:bCs/>
                <w:lang w:eastAsia="en-AU"/>
              </w:rPr>
              <w:t>'</w:t>
            </w:r>
            <w:r w:rsidRPr="00950DA4">
              <w:rPr>
                <w:bCs/>
                <w:lang w:eastAsia="en-AU"/>
              </w:rPr>
              <w:t xml:space="preserve">s included international minutes and to excluded countries) </w:t>
            </w:r>
          </w:p>
        </w:tc>
        <w:tc>
          <w:tcPr>
            <w:tcW w:w="4406" w:type="dxa"/>
            <w:shd w:val="clear" w:color="auto" w:fill="auto"/>
            <w:vAlign w:val="center"/>
          </w:tcPr>
          <w:p w14:paraId="2752FE5E" w14:textId="77777777" w:rsidR="00BA21F2" w:rsidRPr="00090AB3" w:rsidRDefault="00BA21F2" w:rsidP="00DE32CC">
            <w:pPr>
              <w:pStyle w:val="BodyText"/>
              <w:spacing w:before="100" w:after="100"/>
              <w:jc w:val="center"/>
            </w:pPr>
            <w:r>
              <w:t>'</w:t>
            </w:r>
            <w:r w:rsidRPr="00090AB3">
              <w:t>yes</w:t>
            </w:r>
            <w:r>
              <w:t>'</w:t>
            </w:r>
            <w:r w:rsidRPr="00090AB3">
              <w:t xml:space="preserve"> international rates</w:t>
            </w:r>
            <w:r w:rsidRPr="00090AB3">
              <w:br/>
              <w:t>See optus.com.au/international</w:t>
            </w:r>
          </w:p>
        </w:tc>
      </w:tr>
      <w:tr w:rsidR="00BA21F2" w:rsidRPr="00090AB3" w14:paraId="10811E10" w14:textId="77777777" w:rsidTr="00DE32CC">
        <w:tc>
          <w:tcPr>
            <w:tcW w:w="4405" w:type="dxa"/>
            <w:shd w:val="clear" w:color="auto" w:fill="auto"/>
          </w:tcPr>
          <w:p w14:paraId="192DF337" w14:textId="77777777" w:rsidR="00BA21F2" w:rsidRPr="00950DA4" w:rsidRDefault="00BA21F2" w:rsidP="00DE32CC">
            <w:pPr>
              <w:pStyle w:val="BodyText"/>
              <w:spacing w:before="100" w:after="100"/>
              <w:rPr>
                <w:bCs/>
                <w:lang w:eastAsia="en-AU"/>
              </w:rPr>
            </w:pPr>
            <w:r w:rsidRPr="00950DA4">
              <w:rPr>
                <w:bCs/>
                <w:lang w:eastAsia="en-AU"/>
              </w:rPr>
              <w:t xml:space="preserve">International SMS (to excluded countries) </w:t>
            </w:r>
          </w:p>
        </w:tc>
        <w:tc>
          <w:tcPr>
            <w:tcW w:w="4406" w:type="dxa"/>
            <w:shd w:val="clear" w:color="auto" w:fill="auto"/>
            <w:vAlign w:val="center"/>
          </w:tcPr>
          <w:p w14:paraId="12D856A8" w14:textId="77777777" w:rsidR="00BA21F2" w:rsidRPr="00090AB3" w:rsidRDefault="00BA21F2" w:rsidP="00DE32CC">
            <w:pPr>
              <w:pStyle w:val="BodyText"/>
              <w:spacing w:before="100" w:after="100"/>
              <w:jc w:val="center"/>
            </w:pPr>
            <w:r w:rsidRPr="00090AB3">
              <w:t>50c per SMS up to 160 standard characters</w:t>
            </w:r>
          </w:p>
        </w:tc>
      </w:tr>
      <w:tr w:rsidR="00BA21F2" w:rsidRPr="00090AB3" w14:paraId="31E482EC" w14:textId="77777777" w:rsidTr="00DE32CC">
        <w:tc>
          <w:tcPr>
            <w:tcW w:w="4405" w:type="dxa"/>
            <w:shd w:val="clear" w:color="auto" w:fill="auto"/>
          </w:tcPr>
          <w:p w14:paraId="446AF3AD" w14:textId="77777777" w:rsidR="00BA21F2" w:rsidRPr="00950DA4" w:rsidRDefault="00BA21F2" w:rsidP="00DE32CC">
            <w:pPr>
              <w:pStyle w:val="BodyText"/>
              <w:spacing w:before="100" w:after="100"/>
              <w:rPr>
                <w:bCs/>
                <w:lang w:eastAsia="en-AU"/>
              </w:rPr>
            </w:pPr>
            <w:r w:rsidRPr="00950DA4">
              <w:rPr>
                <w:bCs/>
                <w:lang w:eastAsia="en-AU"/>
              </w:rPr>
              <w:t>International MMS (to excluded countries)</w:t>
            </w:r>
          </w:p>
        </w:tc>
        <w:tc>
          <w:tcPr>
            <w:tcW w:w="4406" w:type="dxa"/>
            <w:shd w:val="clear" w:color="auto" w:fill="auto"/>
            <w:vAlign w:val="center"/>
          </w:tcPr>
          <w:p w14:paraId="5612FF99" w14:textId="77777777" w:rsidR="00BA21F2" w:rsidRPr="00090AB3" w:rsidRDefault="00BA21F2" w:rsidP="00DE32CC">
            <w:pPr>
              <w:pStyle w:val="BodyText"/>
              <w:spacing w:before="100" w:after="100"/>
              <w:jc w:val="center"/>
            </w:pPr>
            <w:r w:rsidRPr="00090AB3">
              <w:t>75c per MMS</w:t>
            </w:r>
          </w:p>
        </w:tc>
      </w:tr>
      <w:tr w:rsidR="00BA21F2" w:rsidRPr="00090AB3" w14:paraId="40462204" w14:textId="77777777" w:rsidTr="00DE32CC">
        <w:tc>
          <w:tcPr>
            <w:tcW w:w="4405" w:type="dxa"/>
            <w:shd w:val="clear" w:color="auto" w:fill="auto"/>
          </w:tcPr>
          <w:p w14:paraId="267F789E" w14:textId="77777777" w:rsidR="00BA21F2" w:rsidRPr="00950DA4" w:rsidRDefault="00BA21F2" w:rsidP="00DE32CC">
            <w:pPr>
              <w:pStyle w:val="BodyText"/>
              <w:spacing w:before="100" w:after="100"/>
              <w:rPr>
                <w:bCs/>
                <w:lang w:eastAsia="en-AU"/>
              </w:rPr>
            </w:pPr>
            <w:r w:rsidRPr="00950DA4">
              <w:rPr>
                <w:bCs/>
                <w:lang w:eastAsia="en-AU"/>
              </w:rPr>
              <w:t xml:space="preserve">International video calling </w:t>
            </w:r>
          </w:p>
        </w:tc>
        <w:tc>
          <w:tcPr>
            <w:tcW w:w="4406" w:type="dxa"/>
            <w:shd w:val="clear" w:color="auto" w:fill="auto"/>
            <w:vAlign w:val="center"/>
          </w:tcPr>
          <w:p w14:paraId="034319EC" w14:textId="77777777" w:rsidR="00BA21F2" w:rsidRPr="00090AB3" w:rsidRDefault="00BA21F2" w:rsidP="00DE32CC">
            <w:pPr>
              <w:pStyle w:val="BodyText"/>
              <w:spacing w:before="100" w:after="100"/>
              <w:jc w:val="center"/>
            </w:pPr>
            <w:r w:rsidRPr="00090AB3">
              <w:t>$1.50 per minute +35c flagfall</w:t>
            </w:r>
          </w:p>
        </w:tc>
      </w:tr>
      <w:tr w:rsidR="00BA21F2" w:rsidRPr="00090AB3" w14:paraId="36A91799" w14:textId="77777777" w:rsidTr="00DE32CC">
        <w:tc>
          <w:tcPr>
            <w:tcW w:w="4405" w:type="dxa"/>
            <w:shd w:val="clear" w:color="auto" w:fill="auto"/>
          </w:tcPr>
          <w:p w14:paraId="5D93BE88" w14:textId="77777777" w:rsidR="00BA21F2" w:rsidRPr="00950DA4" w:rsidRDefault="00BA21F2" w:rsidP="00DE32CC">
            <w:pPr>
              <w:pStyle w:val="BodyText"/>
              <w:spacing w:before="100" w:after="100"/>
              <w:rPr>
                <w:bCs/>
                <w:lang w:eastAsia="en-AU"/>
              </w:rPr>
            </w:pPr>
            <w:r w:rsidRPr="00950DA4">
              <w:rPr>
                <w:bCs/>
                <w:lang w:eastAsia="en-AU"/>
              </w:rPr>
              <w:t xml:space="preserve">International roaming </w:t>
            </w:r>
          </w:p>
        </w:tc>
        <w:tc>
          <w:tcPr>
            <w:tcW w:w="4406" w:type="dxa"/>
            <w:shd w:val="clear" w:color="auto" w:fill="auto"/>
            <w:vAlign w:val="center"/>
          </w:tcPr>
          <w:p w14:paraId="08015867" w14:textId="77777777" w:rsidR="00BA21F2" w:rsidRPr="00090AB3" w:rsidRDefault="00BA21F2" w:rsidP="00DE32CC">
            <w:pPr>
              <w:pStyle w:val="BodyText"/>
              <w:spacing w:before="100" w:after="100"/>
              <w:jc w:val="center"/>
            </w:pPr>
            <w:r w:rsidRPr="00090AB3">
              <w:t>See optus.com.au/roaming</w:t>
            </w:r>
          </w:p>
        </w:tc>
      </w:tr>
    </w:tbl>
    <w:p w14:paraId="0FFB1A8F" w14:textId="77777777" w:rsidR="00BA21F2" w:rsidRDefault="00BA21F2" w:rsidP="00BA21F2">
      <w:pPr>
        <w:pStyle w:val="BodyText"/>
        <w:rPr>
          <w:b/>
        </w:rPr>
      </w:pPr>
    </w:p>
    <w:p w14:paraId="2F36887D" w14:textId="77777777" w:rsidR="00BA21F2" w:rsidRDefault="00BA21F2" w:rsidP="00BA21F2">
      <w:pPr>
        <w:pStyle w:val="BodyText"/>
        <w:ind w:left="720"/>
      </w:pPr>
      <w:r w:rsidRPr="00950DA4">
        <w:rPr>
          <w:b/>
        </w:rPr>
        <w:t>Table 3 – International Countries</w:t>
      </w: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2"/>
        <w:gridCol w:w="2183"/>
        <w:gridCol w:w="2182"/>
        <w:gridCol w:w="2183"/>
      </w:tblGrid>
      <w:tr w:rsidR="00BA21F2" w:rsidRPr="00E21F2E" w14:paraId="3DF01451" w14:textId="77777777" w:rsidTr="00DE32CC">
        <w:tc>
          <w:tcPr>
            <w:tcW w:w="2182" w:type="dxa"/>
            <w:shd w:val="clear" w:color="auto" w:fill="auto"/>
          </w:tcPr>
          <w:p w14:paraId="5A1EE126" w14:textId="77777777" w:rsidR="00BA21F2" w:rsidRPr="00E21F2E" w:rsidRDefault="00BA21F2" w:rsidP="00DE32CC">
            <w:pPr>
              <w:pStyle w:val="BodyText"/>
              <w:spacing w:before="100" w:after="100"/>
              <w:rPr>
                <w:b/>
              </w:rPr>
            </w:pPr>
            <w:r w:rsidRPr="00E21F2E">
              <w:t>Austria</w:t>
            </w:r>
          </w:p>
        </w:tc>
        <w:tc>
          <w:tcPr>
            <w:tcW w:w="2183" w:type="dxa"/>
            <w:shd w:val="clear" w:color="auto" w:fill="auto"/>
          </w:tcPr>
          <w:p w14:paraId="6DB0626B" w14:textId="77777777" w:rsidR="00BA21F2" w:rsidRPr="00E21F2E" w:rsidRDefault="00BA21F2" w:rsidP="00DE32CC">
            <w:pPr>
              <w:pStyle w:val="BodyText"/>
              <w:spacing w:before="100" w:after="100"/>
              <w:rPr>
                <w:b/>
              </w:rPr>
            </w:pPr>
            <w:r w:rsidRPr="00E21F2E">
              <w:t>Bangladesh</w:t>
            </w:r>
          </w:p>
        </w:tc>
        <w:tc>
          <w:tcPr>
            <w:tcW w:w="2182" w:type="dxa"/>
            <w:shd w:val="clear" w:color="auto" w:fill="auto"/>
          </w:tcPr>
          <w:p w14:paraId="22BC8721" w14:textId="77777777" w:rsidR="00BA21F2" w:rsidRPr="00E21F2E" w:rsidRDefault="00BA21F2" w:rsidP="00DE32CC">
            <w:pPr>
              <w:pStyle w:val="BodyText"/>
              <w:spacing w:before="100" w:after="100"/>
              <w:rPr>
                <w:b/>
              </w:rPr>
            </w:pPr>
            <w:r w:rsidRPr="00E21F2E">
              <w:t>Cambodia</w:t>
            </w:r>
          </w:p>
        </w:tc>
        <w:tc>
          <w:tcPr>
            <w:tcW w:w="2183" w:type="dxa"/>
            <w:shd w:val="clear" w:color="auto" w:fill="auto"/>
          </w:tcPr>
          <w:p w14:paraId="3598B1F7" w14:textId="77777777" w:rsidR="00BA21F2" w:rsidRPr="00E21F2E" w:rsidRDefault="00BA21F2" w:rsidP="00DE32CC">
            <w:pPr>
              <w:pStyle w:val="BodyText"/>
              <w:spacing w:before="100" w:after="100"/>
              <w:rPr>
                <w:b/>
              </w:rPr>
            </w:pPr>
            <w:r w:rsidRPr="00E21F2E">
              <w:t>Canada</w:t>
            </w:r>
          </w:p>
        </w:tc>
      </w:tr>
      <w:tr w:rsidR="00BA21F2" w:rsidRPr="00E21F2E" w14:paraId="1691D6D4" w14:textId="77777777" w:rsidTr="00DE32CC">
        <w:tc>
          <w:tcPr>
            <w:tcW w:w="2182" w:type="dxa"/>
            <w:shd w:val="clear" w:color="auto" w:fill="auto"/>
          </w:tcPr>
          <w:p w14:paraId="3E483B1F" w14:textId="77777777" w:rsidR="00BA21F2" w:rsidRPr="00E21F2E" w:rsidRDefault="00BA21F2" w:rsidP="00DE32CC">
            <w:pPr>
              <w:pStyle w:val="BodyText"/>
              <w:spacing w:before="100" w:after="100"/>
              <w:rPr>
                <w:b/>
              </w:rPr>
            </w:pPr>
            <w:r w:rsidRPr="00E21F2E">
              <w:t xml:space="preserve">Chile </w:t>
            </w:r>
          </w:p>
        </w:tc>
        <w:tc>
          <w:tcPr>
            <w:tcW w:w="2183" w:type="dxa"/>
            <w:shd w:val="clear" w:color="auto" w:fill="auto"/>
          </w:tcPr>
          <w:p w14:paraId="7410E9FA" w14:textId="77777777" w:rsidR="00BA21F2" w:rsidRPr="00E21F2E" w:rsidRDefault="00BA21F2" w:rsidP="00DE32CC">
            <w:pPr>
              <w:pStyle w:val="BodyText"/>
              <w:spacing w:before="100" w:after="100"/>
              <w:rPr>
                <w:b/>
              </w:rPr>
            </w:pPr>
            <w:r w:rsidRPr="00E21F2E">
              <w:t xml:space="preserve">China </w:t>
            </w:r>
          </w:p>
        </w:tc>
        <w:tc>
          <w:tcPr>
            <w:tcW w:w="2182" w:type="dxa"/>
            <w:shd w:val="clear" w:color="auto" w:fill="auto"/>
          </w:tcPr>
          <w:p w14:paraId="47ED143B" w14:textId="77777777" w:rsidR="00BA21F2" w:rsidRPr="00E21F2E" w:rsidRDefault="00BA21F2" w:rsidP="00DE32CC">
            <w:pPr>
              <w:pStyle w:val="BodyText"/>
              <w:spacing w:before="100" w:after="100"/>
              <w:rPr>
                <w:b/>
              </w:rPr>
            </w:pPr>
            <w:r w:rsidRPr="00E21F2E">
              <w:t xml:space="preserve">Croatia </w:t>
            </w:r>
          </w:p>
        </w:tc>
        <w:tc>
          <w:tcPr>
            <w:tcW w:w="2183" w:type="dxa"/>
            <w:shd w:val="clear" w:color="auto" w:fill="auto"/>
          </w:tcPr>
          <w:p w14:paraId="6D2DF160" w14:textId="77777777" w:rsidR="00BA21F2" w:rsidRPr="00E21F2E" w:rsidRDefault="00BA21F2" w:rsidP="00DE32CC">
            <w:pPr>
              <w:pStyle w:val="BodyText"/>
              <w:spacing w:before="100" w:after="100"/>
              <w:rPr>
                <w:b/>
              </w:rPr>
            </w:pPr>
            <w:r w:rsidRPr="00E21F2E">
              <w:t>France</w:t>
            </w:r>
          </w:p>
        </w:tc>
      </w:tr>
      <w:tr w:rsidR="00BA21F2" w:rsidRPr="00E21F2E" w14:paraId="4B8E5692" w14:textId="77777777" w:rsidTr="00DE32CC">
        <w:tc>
          <w:tcPr>
            <w:tcW w:w="2182" w:type="dxa"/>
            <w:shd w:val="clear" w:color="auto" w:fill="auto"/>
          </w:tcPr>
          <w:p w14:paraId="73EB4CAB" w14:textId="77777777" w:rsidR="00BA21F2" w:rsidRPr="00E21F2E" w:rsidRDefault="00BA21F2" w:rsidP="00DE32CC">
            <w:pPr>
              <w:pStyle w:val="BodyText"/>
              <w:spacing w:before="100" w:after="100"/>
              <w:rPr>
                <w:b/>
              </w:rPr>
            </w:pPr>
            <w:r w:rsidRPr="00E21F2E">
              <w:t>Germany</w:t>
            </w:r>
          </w:p>
        </w:tc>
        <w:tc>
          <w:tcPr>
            <w:tcW w:w="2183" w:type="dxa"/>
            <w:shd w:val="clear" w:color="auto" w:fill="auto"/>
          </w:tcPr>
          <w:p w14:paraId="24E92B2B" w14:textId="77777777" w:rsidR="00BA21F2" w:rsidRPr="00E21F2E" w:rsidRDefault="00BA21F2" w:rsidP="00DE32CC">
            <w:pPr>
              <w:pStyle w:val="BodyText"/>
              <w:spacing w:before="100" w:after="100"/>
              <w:rPr>
                <w:b/>
              </w:rPr>
            </w:pPr>
            <w:r w:rsidRPr="00E21F2E">
              <w:t>Greece</w:t>
            </w:r>
          </w:p>
        </w:tc>
        <w:tc>
          <w:tcPr>
            <w:tcW w:w="2182" w:type="dxa"/>
            <w:shd w:val="clear" w:color="auto" w:fill="auto"/>
          </w:tcPr>
          <w:p w14:paraId="2029CB98" w14:textId="77777777" w:rsidR="00BA21F2" w:rsidRPr="00E21F2E" w:rsidRDefault="00BA21F2" w:rsidP="00DE32CC">
            <w:pPr>
              <w:pStyle w:val="BodyText"/>
              <w:spacing w:before="100" w:after="100"/>
              <w:rPr>
                <w:b/>
              </w:rPr>
            </w:pPr>
            <w:r w:rsidRPr="00E21F2E">
              <w:t>Hong Kong</w:t>
            </w:r>
          </w:p>
        </w:tc>
        <w:tc>
          <w:tcPr>
            <w:tcW w:w="2183" w:type="dxa"/>
            <w:shd w:val="clear" w:color="auto" w:fill="auto"/>
          </w:tcPr>
          <w:p w14:paraId="7E7437D1" w14:textId="77777777" w:rsidR="00BA21F2" w:rsidRPr="00E21F2E" w:rsidRDefault="00BA21F2" w:rsidP="00DE32CC">
            <w:pPr>
              <w:pStyle w:val="BodyText"/>
              <w:spacing w:before="100" w:after="100"/>
              <w:rPr>
                <w:b/>
              </w:rPr>
            </w:pPr>
            <w:r w:rsidRPr="00E21F2E">
              <w:t>Hungary</w:t>
            </w:r>
          </w:p>
        </w:tc>
      </w:tr>
      <w:tr w:rsidR="00BA21F2" w:rsidRPr="00E21F2E" w14:paraId="47215E23" w14:textId="77777777" w:rsidTr="00DE32CC">
        <w:tc>
          <w:tcPr>
            <w:tcW w:w="2182" w:type="dxa"/>
            <w:shd w:val="clear" w:color="auto" w:fill="auto"/>
          </w:tcPr>
          <w:p w14:paraId="2E9BEC71" w14:textId="77777777" w:rsidR="00BA21F2" w:rsidRPr="00E21F2E" w:rsidRDefault="00BA21F2" w:rsidP="00DE32CC">
            <w:pPr>
              <w:pStyle w:val="BodyText"/>
              <w:spacing w:before="100" w:after="100"/>
              <w:rPr>
                <w:b/>
              </w:rPr>
            </w:pPr>
            <w:r w:rsidRPr="00E21F2E">
              <w:t>Indonesia</w:t>
            </w:r>
          </w:p>
        </w:tc>
        <w:tc>
          <w:tcPr>
            <w:tcW w:w="2183" w:type="dxa"/>
            <w:shd w:val="clear" w:color="auto" w:fill="auto"/>
          </w:tcPr>
          <w:p w14:paraId="2ECA76E1" w14:textId="77777777" w:rsidR="00BA21F2" w:rsidRPr="00E21F2E" w:rsidRDefault="00BA21F2" w:rsidP="00DE32CC">
            <w:pPr>
              <w:pStyle w:val="BodyText"/>
              <w:spacing w:before="100" w:after="100"/>
              <w:rPr>
                <w:b/>
              </w:rPr>
            </w:pPr>
            <w:r w:rsidRPr="00E21F2E">
              <w:t>India</w:t>
            </w:r>
          </w:p>
        </w:tc>
        <w:tc>
          <w:tcPr>
            <w:tcW w:w="2182" w:type="dxa"/>
            <w:shd w:val="clear" w:color="auto" w:fill="auto"/>
          </w:tcPr>
          <w:p w14:paraId="283F68B0" w14:textId="77777777" w:rsidR="00BA21F2" w:rsidRPr="00E21F2E" w:rsidRDefault="00BA21F2" w:rsidP="00DE32CC">
            <w:pPr>
              <w:pStyle w:val="BodyText"/>
              <w:spacing w:before="100" w:after="100"/>
              <w:rPr>
                <w:b/>
              </w:rPr>
            </w:pPr>
            <w:r w:rsidRPr="00E21F2E">
              <w:t>Ireland</w:t>
            </w:r>
          </w:p>
        </w:tc>
        <w:tc>
          <w:tcPr>
            <w:tcW w:w="2183" w:type="dxa"/>
            <w:shd w:val="clear" w:color="auto" w:fill="auto"/>
          </w:tcPr>
          <w:p w14:paraId="239FDE56" w14:textId="77777777" w:rsidR="00BA21F2" w:rsidRPr="00E21F2E" w:rsidRDefault="00BA21F2" w:rsidP="00DE32CC">
            <w:pPr>
              <w:pStyle w:val="BodyText"/>
              <w:spacing w:before="100" w:after="100"/>
              <w:rPr>
                <w:b/>
              </w:rPr>
            </w:pPr>
            <w:r w:rsidRPr="00E21F2E">
              <w:t>Italy</w:t>
            </w:r>
          </w:p>
        </w:tc>
      </w:tr>
      <w:tr w:rsidR="00BA21F2" w:rsidRPr="00E21F2E" w14:paraId="3EF0DB9F" w14:textId="77777777" w:rsidTr="00DE32CC">
        <w:tc>
          <w:tcPr>
            <w:tcW w:w="2182" w:type="dxa"/>
            <w:shd w:val="clear" w:color="auto" w:fill="auto"/>
          </w:tcPr>
          <w:p w14:paraId="662536D6" w14:textId="77777777" w:rsidR="00BA21F2" w:rsidRPr="00E21F2E" w:rsidRDefault="00BA21F2" w:rsidP="00DE32CC">
            <w:pPr>
              <w:pStyle w:val="BodyText"/>
              <w:spacing w:before="100" w:after="100"/>
              <w:rPr>
                <w:b/>
              </w:rPr>
            </w:pPr>
            <w:r w:rsidRPr="00E21F2E">
              <w:t xml:space="preserve">Japan </w:t>
            </w:r>
          </w:p>
        </w:tc>
        <w:tc>
          <w:tcPr>
            <w:tcW w:w="2183" w:type="dxa"/>
            <w:shd w:val="clear" w:color="auto" w:fill="auto"/>
          </w:tcPr>
          <w:p w14:paraId="3CB58C94" w14:textId="77777777" w:rsidR="00BA21F2" w:rsidRPr="00E21F2E" w:rsidRDefault="00BA21F2" w:rsidP="00DE32CC">
            <w:pPr>
              <w:pStyle w:val="BodyText"/>
              <w:spacing w:before="100" w:after="100"/>
              <w:rPr>
                <w:b/>
              </w:rPr>
            </w:pPr>
            <w:r w:rsidRPr="00E21F2E">
              <w:t>Malaysia</w:t>
            </w:r>
          </w:p>
        </w:tc>
        <w:tc>
          <w:tcPr>
            <w:tcW w:w="2182" w:type="dxa"/>
            <w:shd w:val="clear" w:color="auto" w:fill="auto"/>
          </w:tcPr>
          <w:p w14:paraId="1BDEE5A1" w14:textId="77777777" w:rsidR="00BA21F2" w:rsidRPr="00E21F2E" w:rsidRDefault="00BA21F2" w:rsidP="00DE32CC">
            <w:pPr>
              <w:pStyle w:val="BodyText"/>
              <w:spacing w:before="100" w:after="100"/>
              <w:rPr>
                <w:b/>
              </w:rPr>
            </w:pPr>
            <w:r w:rsidRPr="00E21F2E">
              <w:t>Netherlands</w:t>
            </w:r>
          </w:p>
        </w:tc>
        <w:tc>
          <w:tcPr>
            <w:tcW w:w="2183" w:type="dxa"/>
            <w:shd w:val="clear" w:color="auto" w:fill="auto"/>
          </w:tcPr>
          <w:p w14:paraId="511C1F7D" w14:textId="77777777" w:rsidR="00BA21F2" w:rsidRPr="00E21F2E" w:rsidRDefault="00BA21F2" w:rsidP="00DE32CC">
            <w:pPr>
              <w:pStyle w:val="BodyText"/>
              <w:spacing w:before="100" w:after="100"/>
              <w:rPr>
                <w:b/>
              </w:rPr>
            </w:pPr>
            <w:r w:rsidRPr="00E21F2E">
              <w:t>New Zealand</w:t>
            </w:r>
          </w:p>
        </w:tc>
      </w:tr>
      <w:tr w:rsidR="00BA21F2" w:rsidRPr="00E21F2E" w14:paraId="769CEB0B" w14:textId="77777777" w:rsidTr="00DE32CC">
        <w:tc>
          <w:tcPr>
            <w:tcW w:w="2182" w:type="dxa"/>
            <w:shd w:val="clear" w:color="auto" w:fill="auto"/>
          </w:tcPr>
          <w:p w14:paraId="39263B1A" w14:textId="77777777" w:rsidR="00BA21F2" w:rsidRPr="00E21F2E" w:rsidRDefault="00BA21F2" w:rsidP="00DE32CC">
            <w:pPr>
              <w:pStyle w:val="BodyText"/>
              <w:spacing w:before="100" w:after="100"/>
              <w:rPr>
                <w:b/>
              </w:rPr>
            </w:pPr>
            <w:r w:rsidRPr="00E21F2E">
              <w:t xml:space="preserve">Pakistan </w:t>
            </w:r>
          </w:p>
        </w:tc>
        <w:tc>
          <w:tcPr>
            <w:tcW w:w="2183" w:type="dxa"/>
            <w:shd w:val="clear" w:color="auto" w:fill="auto"/>
          </w:tcPr>
          <w:p w14:paraId="0AB63435" w14:textId="77777777" w:rsidR="00BA21F2" w:rsidRPr="00E21F2E" w:rsidRDefault="00BA21F2" w:rsidP="00DE32CC">
            <w:pPr>
              <w:pStyle w:val="BodyText"/>
              <w:spacing w:before="100" w:after="100"/>
              <w:rPr>
                <w:b/>
              </w:rPr>
            </w:pPr>
            <w:r w:rsidRPr="00E21F2E">
              <w:t>Philippines</w:t>
            </w:r>
          </w:p>
        </w:tc>
        <w:tc>
          <w:tcPr>
            <w:tcW w:w="2182" w:type="dxa"/>
            <w:shd w:val="clear" w:color="auto" w:fill="auto"/>
          </w:tcPr>
          <w:p w14:paraId="0AFD8DFA" w14:textId="77777777" w:rsidR="00BA21F2" w:rsidRPr="00E21F2E" w:rsidRDefault="00BA21F2" w:rsidP="00DE32CC">
            <w:pPr>
              <w:pStyle w:val="BodyText"/>
              <w:spacing w:before="100" w:after="100"/>
              <w:rPr>
                <w:b/>
              </w:rPr>
            </w:pPr>
            <w:r w:rsidRPr="00E21F2E">
              <w:t xml:space="preserve">Poland </w:t>
            </w:r>
          </w:p>
        </w:tc>
        <w:tc>
          <w:tcPr>
            <w:tcW w:w="2183" w:type="dxa"/>
            <w:shd w:val="clear" w:color="auto" w:fill="auto"/>
          </w:tcPr>
          <w:p w14:paraId="3C3C768E" w14:textId="77777777" w:rsidR="00BA21F2" w:rsidRPr="00E21F2E" w:rsidRDefault="00BA21F2" w:rsidP="00DE32CC">
            <w:pPr>
              <w:pStyle w:val="BodyText"/>
              <w:spacing w:before="100" w:after="100"/>
              <w:rPr>
                <w:b/>
              </w:rPr>
            </w:pPr>
            <w:r w:rsidRPr="00E21F2E">
              <w:t>Singapore</w:t>
            </w:r>
          </w:p>
        </w:tc>
      </w:tr>
      <w:tr w:rsidR="00BA21F2" w:rsidRPr="00E21F2E" w14:paraId="49966CCF" w14:textId="77777777" w:rsidTr="00DE32CC">
        <w:tc>
          <w:tcPr>
            <w:tcW w:w="2182" w:type="dxa"/>
            <w:shd w:val="clear" w:color="auto" w:fill="auto"/>
          </w:tcPr>
          <w:p w14:paraId="7CF1ED71" w14:textId="77777777" w:rsidR="00BA21F2" w:rsidRPr="00E21F2E" w:rsidRDefault="00BA21F2" w:rsidP="00DE32CC">
            <w:pPr>
              <w:pStyle w:val="BodyText"/>
              <w:spacing w:before="100" w:after="100"/>
              <w:rPr>
                <w:b/>
              </w:rPr>
            </w:pPr>
            <w:r w:rsidRPr="00E21F2E">
              <w:t xml:space="preserve">South Africa </w:t>
            </w:r>
          </w:p>
        </w:tc>
        <w:tc>
          <w:tcPr>
            <w:tcW w:w="2183" w:type="dxa"/>
            <w:shd w:val="clear" w:color="auto" w:fill="auto"/>
          </w:tcPr>
          <w:p w14:paraId="682F1058" w14:textId="77777777" w:rsidR="00BA21F2" w:rsidRPr="00E21F2E" w:rsidRDefault="00BA21F2" w:rsidP="00DE32CC">
            <w:pPr>
              <w:pStyle w:val="BodyText"/>
              <w:spacing w:before="100" w:after="100"/>
              <w:rPr>
                <w:b/>
              </w:rPr>
            </w:pPr>
            <w:r w:rsidRPr="00E21F2E">
              <w:t>South Korea</w:t>
            </w:r>
          </w:p>
        </w:tc>
        <w:tc>
          <w:tcPr>
            <w:tcW w:w="2182" w:type="dxa"/>
            <w:shd w:val="clear" w:color="auto" w:fill="auto"/>
          </w:tcPr>
          <w:p w14:paraId="7092E964" w14:textId="77777777" w:rsidR="00BA21F2" w:rsidRPr="00E21F2E" w:rsidRDefault="00BA21F2" w:rsidP="00DE32CC">
            <w:pPr>
              <w:pStyle w:val="BodyText"/>
              <w:spacing w:before="100" w:after="100"/>
              <w:rPr>
                <w:b/>
              </w:rPr>
            </w:pPr>
            <w:r w:rsidRPr="00E21F2E">
              <w:t xml:space="preserve">Taiwan </w:t>
            </w:r>
          </w:p>
        </w:tc>
        <w:tc>
          <w:tcPr>
            <w:tcW w:w="2183" w:type="dxa"/>
            <w:shd w:val="clear" w:color="auto" w:fill="auto"/>
          </w:tcPr>
          <w:p w14:paraId="4F1090F8" w14:textId="77777777" w:rsidR="00BA21F2" w:rsidRPr="00E21F2E" w:rsidRDefault="00BA21F2" w:rsidP="00DE32CC">
            <w:pPr>
              <w:pStyle w:val="BodyText"/>
              <w:spacing w:before="100" w:after="100"/>
              <w:rPr>
                <w:b/>
              </w:rPr>
            </w:pPr>
            <w:r w:rsidRPr="00E21F2E">
              <w:t>Thailand</w:t>
            </w:r>
          </w:p>
        </w:tc>
      </w:tr>
      <w:tr w:rsidR="00BA21F2" w:rsidRPr="00E21F2E" w14:paraId="033BF235" w14:textId="77777777" w:rsidTr="00DE32CC">
        <w:tc>
          <w:tcPr>
            <w:tcW w:w="2182" w:type="dxa"/>
            <w:shd w:val="clear" w:color="auto" w:fill="auto"/>
          </w:tcPr>
          <w:p w14:paraId="2AD91E90" w14:textId="77777777" w:rsidR="00BA21F2" w:rsidRPr="00E21F2E" w:rsidRDefault="00BA21F2" w:rsidP="00DE32CC">
            <w:pPr>
              <w:pStyle w:val="BodyText"/>
              <w:spacing w:before="100" w:after="100"/>
              <w:rPr>
                <w:b/>
              </w:rPr>
            </w:pPr>
            <w:r w:rsidRPr="00E21F2E">
              <w:t>Turkey</w:t>
            </w:r>
          </w:p>
        </w:tc>
        <w:tc>
          <w:tcPr>
            <w:tcW w:w="2183" w:type="dxa"/>
            <w:shd w:val="clear" w:color="auto" w:fill="auto"/>
          </w:tcPr>
          <w:p w14:paraId="66763A39" w14:textId="77777777" w:rsidR="00BA21F2" w:rsidRPr="00E21F2E" w:rsidRDefault="00BA21F2" w:rsidP="00DE32CC">
            <w:pPr>
              <w:pStyle w:val="BodyText"/>
              <w:spacing w:before="100" w:after="100"/>
              <w:rPr>
                <w:b/>
              </w:rPr>
            </w:pPr>
            <w:r w:rsidRPr="00E21F2E">
              <w:t>United Kingdom</w:t>
            </w:r>
          </w:p>
        </w:tc>
        <w:tc>
          <w:tcPr>
            <w:tcW w:w="2182" w:type="dxa"/>
            <w:shd w:val="clear" w:color="auto" w:fill="auto"/>
          </w:tcPr>
          <w:p w14:paraId="60A49A96" w14:textId="77777777" w:rsidR="00BA21F2" w:rsidRPr="00E21F2E" w:rsidRDefault="00BA21F2" w:rsidP="00DE32CC">
            <w:pPr>
              <w:pStyle w:val="BodyText"/>
              <w:spacing w:before="100" w:after="100"/>
              <w:rPr>
                <w:b/>
              </w:rPr>
            </w:pPr>
            <w:r w:rsidRPr="00E21F2E">
              <w:t xml:space="preserve">USA </w:t>
            </w:r>
          </w:p>
        </w:tc>
        <w:tc>
          <w:tcPr>
            <w:tcW w:w="2183" w:type="dxa"/>
            <w:shd w:val="clear" w:color="auto" w:fill="auto"/>
          </w:tcPr>
          <w:p w14:paraId="25CB4C54" w14:textId="77777777" w:rsidR="00BA21F2" w:rsidRPr="00E21F2E" w:rsidRDefault="00BA21F2" w:rsidP="00DE32CC">
            <w:pPr>
              <w:pStyle w:val="BodyText"/>
              <w:spacing w:before="100" w:after="100"/>
              <w:rPr>
                <w:b/>
              </w:rPr>
            </w:pPr>
            <w:r w:rsidRPr="00E21F2E">
              <w:t>Vietnam</w:t>
            </w:r>
          </w:p>
        </w:tc>
      </w:tr>
    </w:tbl>
    <w:p w14:paraId="2DC79DDE" w14:textId="77777777" w:rsidR="00BA21F2" w:rsidRDefault="00BA21F2" w:rsidP="00BA21F2">
      <w:pPr>
        <w:pStyle w:val="BodyText"/>
      </w:pPr>
    </w:p>
    <w:p w14:paraId="5E00137C" w14:textId="77777777" w:rsidR="00BA21F2" w:rsidRPr="00950DA4" w:rsidRDefault="00BA21F2" w:rsidP="00BA21F2">
      <w:pPr>
        <w:pStyle w:val="Heading6"/>
        <w:ind w:left="0" w:firstLine="0"/>
        <w:rPr>
          <w:lang w:val="en-AU"/>
        </w:rPr>
      </w:pPr>
      <w:bookmarkStart w:id="2327" w:name="_Toc510690104"/>
      <w:r w:rsidRPr="00950DA4">
        <w:rPr>
          <w:lang w:val="en-AU"/>
        </w:rPr>
        <w:t>My Account</w:t>
      </w:r>
      <w:bookmarkEnd w:id="2327"/>
    </w:p>
    <w:p w14:paraId="43F8519D" w14:textId="77777777" w:rsidR="00BA21F2" w:rsidRPr="00950DA4" w:rsidRDefault="00BA21F2" w:rsidP="00BA21F2">
      <w:pPr>
        <w:pStyle w:val="BodyText"/>
        <w:ind w:left="720"/>
        <w:rPr>
          <w:lang w:val="en-AU"/>
        </w:rPr>
      </w:pPr>
      <w:r w:rsidRPr="00950DA4">
        <w:rPr>
          <w:lang w:val="en-AU"/>
        </w:rPr>
        <w:t xml:space="preserve">Services that share data may have a service login to My Account which will display all of the service numbers contributing to or using the shared data pool on </w:t>
      </w:r>
      <w:r w:rsidRPr="00950DA4">
        <w:rPr>
          <w:i/>
          <w:lang w:val="en-AU"/>
        </w:rPr>
        <w:t xml:space="preserve">your </w:t>
      </w:r>
      <w:r w:rsidRPr="00950DA4">
        <w:rPr>
          <w:lang w:val="en-AU"/>
        </w:rPr>
        <w:t xml:space="preserve">account and the amount of data each service has used. If </w:t>
      </w:r>
      <w:r w:rsidRPr="00950DA4">
        <w:rPr>
          <w:i/>
          <w:lang w:val="en-AU"/>
        </w:rPr>
        <w:t>you</w:t>
      </w:r>
      <w:r w:rsidRPr="00950DA4">
        <w:rPr>
          <w:lang w:val="en-AU"/>
        </w:rPr>
        <w:t xml:space="preserve"> have more than 6 services on </w:t>
      </w:r>
      <w:r w:rsidRPr="00950DA4">
        <w:rPr>
          <w:i/>
          <w:lang w:val="en-AU"/>
        </w:rPr>
        <w:t>your</w:t>
      </w:r>
      <w:r w:rsidRPr="00950DA4">
        <w:rPr>
          <w:lang w:val="en-AU"/>
        </w:rPr>
        <w:t xml:space="preserve"> account, My Account may not be suitable for viewing usage and managing </w:t>
      </w:r>
      <w:r w:rsidRPr="00950DA4">
        <w:rPr>
          <w:i/>
          <w:lang w:val="en-AU"/>
        </w:rPr>
        <w:t xml:space="preserve">your </w:t>
      </w:r>
      <w:r w:rsidRPr="00950DA4">
        <w:rPr>
          <w:lang w:val="en-AU"/>
        </w:rPr>
        <w:t>usage alerts.</w:t>
      </w:r>
    </w:p>
    <w:p w14:paraId="285FDE83" w14:textId="77777777" w:rsidR="00BA21F2" w:rsidRPr="00950DA4" w:rsidRDefault="00BA21F2" w:rsidP="00BA21F2">
      <w:pPr>
        <w:pStyle w:val="Heading6"/>
        <w:ind w:left="0" w:firstLine="0"/>
        <w:rPr>
          <w:lang w:val="en-AU"/>
        </w:rPr>
      </w:pPr>
      <w:bookmarkStart w:id="2328" w:name="_Toc510690105"/>
      <w:r w:rsidRPr="00950DA4">
        <w:rPr>
          <w:lang w:val="en-AU"/>
        </w:rPr>
        <w:t xml:space="preserve">What happens if the </w:t>
      </w:r>
      <w:r w:rsidRPr="00950DA4">
        <w:rPr>
          <w:i/>
          <w:lang w:val="en-AU"/>
        </w:rPr>
        <w:t xml:space="preserve">service </w:t>
      </w:r>
      <w:r w:rsidRPr="00950DA4">
        <w:rPr>
          <w:lang w:val="en-AU"/>
        </w:rPr>
        <w:t>is</w:t>
      </w:r>
      <w:r w:rsidRPr="00950DA4">
        <w:rPr>
          <w:i/>
          <w:lang w:val="en-AU"/>
        </w:rPr>
        <w:t xml:space="preserve"> cancelled </w:t>
      </w:r>
      <w:r w:rsidRPr="00950DA4">
        <w:rPr>
          <w:lang w:val="en-AU"/>
        </w:rPr>
        <w:t>early?</w:t>
      </w:r>
      <w:bookmarkEnd w:id="2328"/>
    </w:p>
    <w:p w14:paraId="00E7FF57" w14:textId="77777777" w:rsidR="00BA21F2" w:rsidRPr="00950DA4" w:rsidRDefault="00BA21F2" w:rsidP="00BA21F2">
      <w:pPr>
        <w:pStyle w:val="Heading7"/>
        <w:rPr>
          <w:lang w:val="en-AU"/>
        </w:rPr>
      </w:pPr>
      <w:r w:rsidRPr="00950DA4">
        <w:rPr>
          <w:lang w:val="en-AU"/>
        </w:rPr>
        <w:t>If the</w:t>
      </w:r>
      <w:r w:rsidRPr="00950DA4">
        <w:rPr>
          <w:i/>
          <w:lang w:val="en-AU"/>
        </w:rPr>
        <w:t xml:space="preserve"> service</w:t>
      </w:r>
      <w:r w:rsidRPr="00950DA4">
        <w:rPr>
          <w:lang w:val="en-AU"/>
        </w:rPr>
        <w:t xml:space="preserve"> is</w:t>
      </w:r>
      <w:r w:rsidRPr="00950DA4">
        <w:rPr>
          <w:i/>
          <w:lang w:val="en-AU"/>
        </w:rPr>
        <w:t xml:space="preserve"> cancelled </w:t>
      </w:r>
      <w:r w:rsidRPr="00950DA4">
        <w:rPr>
          <w:lang w:val="en-AU"/>
        </w:rPr>
        <w:t xml:space="preserve">before the end of </w:t>
      </w:r>
      <w:r w:rsidRPr="00950DA4">
        <w:rPr>
          <w:i/>
          <w:lang w:val="en-AU"/>
        </w:rPr>
        <w:t xml:space="preserve">your minimum term, you </w:t>
      </w:r>
      <w:r w:rsidRPr="00950DA4">
        <w:rPr>
          <w:lang w:val="en-AU"/>
        </w:rPr>
        <w:t xml:space="preserve">will be required to pay </w:t>
      </w:r>
      <w:r w:rsidRPr="00950DA4">
        <w:rPr>
          <w:i/>
          <w:lang w:val="en-AU"/>
        </w:rPr>
        <w:t>us</w:t>
      </w:r>
      <w:r w:rsidRPr="00950DA4">
        <w:rPr>
          <w:lang w:val="en-AU"/>
        </w:rPr>
        <w:t>:</w:t>
      </w:r>
    </w:p>
    <w:p w14:paraId="5F3B6579" w14:textId="77777777" w:rsidR="00BA21F2" w:rsidRPr="00950DA4" w:rsidRDefault="00BA21F2" w:rsidP="00BA21F2">
      <w:pPr>
        <w:pStyle w:val="Heading8"/>
        <w:rPr>
          <w:lang w:val="en-AU"/>
        </w:rPr>
      </w:pPr>
      <w:r w:rsidRPr="00950DA4">
        <w:rPr>
          <w:lang w:val="en-AU"/>
        </w:rPr>
        <w:t xml:space="preserve">any usage charges incurred up to, and including, the </w:t>
      </w:r>
      <w:r w:rsidRPr="00950DA4">
        <w:rPr>
          <w:i/>
          <w:lang w:val="en-AU"/>
        </w:rPr>
        <w:t xml:space="preserve">cancellation date; </w:t>
      </w:r>
      <w:r w:rsidRPr="00950DA4">
        <w:rPr>
          <w:lang w:val="en-AU"/>
        </w:rPr>
        <w:t>plus</w:t>
      </w:r>
    </w:p>
    <w:p w14:paraId="04B0CDFF" w14:textId="77777777" w:rsidR="00BA21F2" w:rsidRPr="00950DA4" w:rsidRDefault="00BA21F2" w:rsidP="00BA21F2">
      <w:pPr>
        <w:pStyle w:val="Heading8"/>
        <w:rPr>
          <w:lang w:val="en-AU"/>
        </w:rPr>
      </w:pPr>
      <w:r w:rsidRPr="00950DA4">
        <w:rPr>
          <w:lang w:val="en-AU"/>
        </w:rPr>
        <w:lastRenderedPageBreak/>
        <w:t xml:space="preserve">the </w:t>
      </w:r>
      <w:r w:rsidRPr="00950DA4">
        <w:rPr>
          <w:i/>
          <w:lang w:val="en-AU"/>
        </w:rPr>
        <w:t>cancellation fees</w:t>
      </w:r>
      <w:r w:rsidRPr="00950DA4">
        <w:rPr>
          <w:lang w:val="en-AU"/>
        </w:rPr>
        <w:t xml:space="preserve"> set out in paragraph (b) below (unless under </w:t>
      </w:r>
      <w:r w:rsidRPr="001A4873">
        <w:rPr>
          <w:lang w:val="en-AU"/>
        </w:rPr>
        <w:t>clause 2A</w:t>
      </w:r>
      <w:r w:rsidRPr="00950DA4">
        <w:rPr>
          <w:lang w:val="en-AU"/>
        </w:rPr>
        <w:t xml:space="preserve"> of the </w:t>
      </w:r>
      <w:r w:rsidRPr="00950DA4">
        <w:rPr>
          <w:i/>
          <w:lang w:val="en-AU"/>
        </w:rPr>
        <w:t>consumer terms</w:t>
      </w:r>
      <w:r w:rsidRPr="00950DA4">
        <w:rPr>
          <w:lang w:val="en-AU"/>
        </w:rPr>
        <w:t xml:space="preserve">, </w:t>
      </w:r>
      <w:r w:rsidRPr="00950DA4">
        <w:rPr>
          <w:i/>
          <w:lang w:val="en-AU"/>
        </w:rPr>
        <w:t>you</w:t>
      </w:r>
      <w:r w:rsidRPr="00950DA4">
        <w:rPr>
          <w:lang w:val="en-AU"/>
        </w:rPr>
        <w:t xml:space="preserve"> are entitled to </w:t>
      </w:r>
      <w:r w:rsidRPr="00950DA4">
        <w:rPr>
          <w:i/>
          <w:lang w:val="en-AU"/>
        </w:rPr>
        <w:t>cancel the service</w:t>
      </w:r>
      <w:r w:rsidRPr="00950DA4">
        <w:rPr>
          <w:lang w:val="en-AU"/>
        </w:rPr>
        <w:t xml:space="preserve"> without incurring a </w:t>
      </w:r>
      <w:r w:rsidRPr="00950DA4">
        <w:rPr>
          <w:i/>
          <w:lang w:val="en-AU"/>
        </w:rPr>
        <w:t>cancellation fee</w:t>
      </w:r>
      <w:r w:rsidRPr="00950DA4">
        <w:rPr>
          <w:lang w:val="en-AU"/>
        </w:rPr>
        <w:t>); plus</w:t>
      </w:r>
    </w:p>
    <w:p w14:paraId="0DDB51F5" w14:textId="77777777" w:rsidR="00BA21F2" w:rsidRPr="00950DA4" w:rsidRDefault="00BA21F2" w:rsidP="00BA21F2">
      <w:pPr>
        <w:pStyle w:val="Heading7"/>
        <w:rPr>
          <w:lang w:val="en-AU"/>
        </w:rPr>
      </w:pPr>
      <w:r w:rsidRPr="00950DA4">
        <w:rPr>
          <w:lang w:val="en-AU"/>
        </w:rPr>
        <w:t xml:space="preserve">Note, any Handset Credit </w:t>
      </w:r>
      <w:r w:rsidRPr="00950DA4">
        <w:rPr>
          <w:i/>
          <w:lang w:val="en-AU"/>
        </w:rPr>
        <w:t xml:space="preserve">you </w:t>
      </w:r>
      <w:r w:rsidRPr="00950DA4">
        <w:rPr>
          <w:lang w:val="en-AU"/>
        </w:rPr>
        <w:t xml:space="preserve">were entitled to will be forfeited (see 5.5 above) if the account is cancelled. </w:t>
      </w:r>
    </w:p>
    <w:p w14:paraId="31E3DED3" w14:textId="77777777" w:rsidR="00BA21F2" w:rsidRDefault="00BA21F2" w:rsidP="00BA21F2">
      <w:pPr>
        <w:pStyle w:val="Heading7"/>
      </w:pPr>
      <w:r w:rsidRPr="00950DA4">
        <w:t xml:space="preserve">The </w:t>
      </w:r>
      <w:r w:rsidRPr="00950DA4">
        <w:rPr>
          <w:i/>
        </w:rPr>
        <w:t>cancellation fee</w:t>
      </w:r>
      <w:r w:rsidRPr="00950DA4">
        <w:t xml:space="preserve"> is calculated as the following amounts, multiplied by the months remaining on </w:t>
      </w:r>
      <w:r w:rsidRPr="00950DA4">
        <w:rPr>
          <w:i/>
        </w:rPr>
        <w:t>your minimum term</w:t>
      </w:r>
      <w:r w:rsidRPr="00950DA4">
        <w:t>:</w:t>
      </w:r>
    </w:p>
    <w:tbl>
      <w:tblPr>
        <w:tblpPr w:leftFromText="180" w:rightFromText="180" w:vertAnchor="text" w:horzAnchor="margin" w:tblpY="39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1442"/>
        <w:gridCol w:w="1443"/>
        <w:gridCol w:w="1443"/>
        <w:gridCol w:w="1443"/>
        <w:gridCol w:w="1447"/>
        <w:gridCol w:w="1445"/>
      </w:tblGrid>
      <w:tr w:rsidR="00BA21F2" w:rsidRPr="00A974C9" w14:paraId="1A8814BC" w14:textId="77777777" w:rsidTr="00DE32CC">
        <w:trPr>
          <w:trHeight w:val="289"/>
        </w:trPr>
        <w:tc>
          <w:tcPr>
            <w:tcW w:w="5000" w:type="pct"/>
            <w:gridSpan w:val="7"/>
            <w:shd w:val="clear" w:color="auto" w:fill="auto"/>
            <w:vAlign w:val="center"/>
          </w:tcPr>
          <w:p w14:paraId="0DE80EAF" w14:textId="77777777" w:rsidR="00BA21F2" w:rsidRPr="00950DA4" w:rsidDel="00104631" w:rsidRDefault="00BA21F2" w:rsidP="00DE32CC">
            <w:pPr>
              <w:pStyle w:val="BodyText"/>
              <w:spacing w:before="100" w:after="100"/>
              <w:jc w:val="center"/>
              <w:rPr>
                <w:b/>
                <w:lang w:eastAsia="en-AU"/>
              </w:rPr>
            </w:pPr>
            <w:r w:rsidRPr="00950DA4">
              <w:rPr>
                <w:b/>
                <w:lang w:eastAsia="en-AU"/>
              </w:rPr>
              <w:t xml:space="preserve">Business </w:t>
            </w:r>
            <w:r>
              <w:rPr>
                <w:b/>
                <w:lang w:eastAsia="en-AU"/>
              </w:rPr>
              <w:t xml:space="preserve">Plus </w:t>
            </w:r>
            <w:r w:rsidRPr="00950DA4">
              <w:rPr>
                <w:b/>
                <w:snapToGrid w:val="0"/>
              </w:rPr>
              <w:t>Tech Fund</w:t>
            </w:r>
          </w:p>
        </w:tc>
      </w:tr>
      <w:tr w:rsidR="00BA21F2" w:rsidRPr="00A974C9" w14:paraId="40B6C2CB" w14:textId="77777777" w:rsidTr="00DE32CC">
        <w:trPr>
          <w:trHeight w:val="182"/>
        </w:trPr>
        <w:tc>
          <w:tcPr>
            <w:tcW w:w="749" w:type="pct"/>
            <w:vAlign w:val="center"/>
          </w:tcPr>
          <w:p w14:paraId="71903CDF" w14:textId="77777777" w:rsidR="00BA21F2" w:rsidRPr="0034768D" w:rsidRDefault="00BA21F2" w:rsidP="00DE32CC">
            <w:pPr>
              <w:pStyle w:val="BodyText"/>
              <w:spacing w:before="100" w:after="100"/>
              <w:jc w:val="center"/>
              <w:rPr>
                <w:b/>
              </w:rPr>
            </w:pPr>
            <w:r w:rsidRPr="0034768D">
              <w:rPr>
                <w:b/>
              </w:rPr>
              <w:t>Plan</w:t>
            </w:r>
          </w:p>
        </w:tc>
        <w:tc>
          <w:tcPr>
            <w:tcW w:w="708" w:type="pct"/>
            <w:vAlign w:val="center"/>
          </w:tcPr>
          <w:p w14:paraId="457C2947" w14:textId="77777777" w:rsidR="00BA21F2" w:rsidRPr="0034768D" w:rsidRDefault="00BA21F2" w:rsidP="00DE32CC">
            <w:pPr>
              <w:pStyle w:val="BodyText"/>
              <w:spacing w:before="100" w:after="100"/>
              <w:jc w:val="center"/>
              <w:rPr>
                <w:b/>
              </w:rPr>
            </w:pPr>
            <w:r w:rsidRPr="0034768D">
              <w:rPr>
                <w:b/>
              </w:rPr>
              <w:t xml:space="preserve">$40 Business </w:t>
            </w:r>
            <w:r>
              <w:rPr>
                <w:b/>
              </w:rPr>
              <w:t xml:space="preserve">Plus </w:t>
            </w:r>
            <w:r w:rsidRPr="0034768D">
              <w:rPr>
                <w:b/>
                <w:snapToGrid w:val="0"/>
              </w:rPr>
              <w:t>Tech Fund</w:t>
            </w:r>
          </w:p>
        </w:tc>
        <w:tc>
          <w:tcPr>
            <w:tcW w:w="708" w:type="pct"/>
            <w:shd w:val="clear" w:color="auto" w:fill="auto"/>
            <w:vAlign w:val="center"/>
          </w:tcPr>
          <w:p w14:paraId="474862C8" w14:textId="77777777" w:rsidR="00BA21F2" w:rsidRPr="0034768D" w:rsidRDefault="00BA21F2" w:rsidP="00DE32CC">
            <w:pPr>
              <w:pStyle w:val="BodyText"/>
              <w:spacing w:before="100" w:after="100"/>
              <w:jc w:val="center"/>
              <w:rPr>
                <w:b/>
              </w:rPr>
            </w:pPr>
            <w:r w:rsidRPr="0034768D">
              <w:rPr>
                <w:b/>
              </w:rPr>
              <w:t>$65 Business</w:t>
            </w:r>
            <w:r w:rsidRPr="0034768D">
              <w:rPr>
                <w:b/>
                <w:snapToGrid w:val="0"/>
              </w:rPr>
              <w:t xml:space="preserve"> </w:t>
            </w:r>
            <w:r>
              <w:rPr>
                <w:b/>
                <w:snapToGrid w:val="0"/>
              </w:rPr>
              <w:t xml:space="preserve">Plus </w:t>
            </w:r>
            <w:r w:rsidRPr="0034768D">
              <w:rPr>
                <w:b/>
                <w:snapToGrid w:val="0"/>
              </w:rPr>
              <w:t>Tech Fund</w:t>
            </w:r>
          </w:p>
        </w:tc>
        <w:tc>
          <w:tcPr>
            <w:tcW w:w="708" w:type="pct"/>
            <w:shd w:val="clear" w:color="auto" w:fill="auto"/>
            <w:vAlign w:val="center"/>
          </w:tcPr>
          <w:p w14:paraId="3F027244" w14:textId="77777777" w:rsidR="00BA21F2" w:rsidRPr="0034768D" w:rsidRDefault="00BA21F2" w:rsidP="00DE32CC">
            <w:pPr>
              <w:pStyle w:val="BodyText"/>
              <w:spacing w:before="100" w:after="100"/>
              <w:jc w:val="center"/>
              <w:rPr>
                <w:b/>
              </w:rPr>
            </w:pPr>
            <w:r w:rsidRPr="0034768D">
              <w:rPr>
                <w:b/>
              </w:rPr>
              <w:t>$85 Business</w:t>
            </w:r>
            <w:r w:rsidRPr="0034768D">
              <w:rPr>
                <w:b/>
                <w:snapToGrid w:val="0"/>
              </w:rPr>
              <w:t xml:space="preserve"> </w:t>
            </w:r>
            <w:r>
              <w:rPr>
                <w:b/>
                <w:snapToGrid w:val="0"/>
              </w:rPr>
              <w:t xml:space="preserve">Plus </w:t>
            </w:r>
            <w:r w:rsidRPr="0034768D">
              <w:rPr>
                <w:b/>
                <w:snapToGrid w:val="0"/>
              </w:rPr>
              <w:t>Tech Fund</w:t>
            </w:r>
          </w:p>
        </w:tc>
        <w:tc>
          <w:tcPr>
            <w:tcW w:w="708" w:type="pct"/>
            <w:vAlign w:val="center"/>
          </w:tcPr>
          <w:p w14:paraId="5BE66BD9" w14:textId="77777777" w:rsidR="00BA21F2" w:rsidRPr="0034768D" w:rsidRDefault="00BA21F2" w:rsidP="00DE32CC">
            <w:pPr>
              <w:pStyle w:val="BodyText"/>
              <w:spacing w:before="100" w:after="100"/>
              <w:jc w:val="center"/>
              <w:rPr>
                <w:b/>
              </w:rPr>
            </w:pPr>
            <w:r w:rsidRPr="0034768D">
              <w:rPr>
                <w:b/>
              </w:rPr>
              <w:t>$100 Business</w:t>
            </w:r>
            <w:r w:rsidRPr="0034768D">
              <w:rPr>
                <w:b/>
                <w:snapToGrid w:val="0"/>
              </w:rPr>
              <w:t xml:space="preserve"> </w:t>
            </w:r>
            <w:r>
              <w:rPr>
                <w:b/>
                <w:snapToGrid w:val="0"/>
              </w:rPr>
              <w:t xml:space="preserve">Plus </w:t>
            </w:r>
            <w:r w:rsidRPr="0034768D">
              <w:rPr>
                <w:b/>
                <w:snapToGrid w:val="0"/>
              </w:rPr>
              <w:t>Tech Fund</w:t>
            </w:r>
          </w:p>
        </w:tc>
        <w:tc>
          <w:tcPr>
            <w:tcW w:w="710" w:type="pct"/>
            <w:vAlign w:val="center"/>
          </w:tcPr>
          <w:p w14:paraId="31C4592C" w14:textId="77777777" w:rsidR="00BA21F2" w:rsidRPr="0034768D" w:rsidRDefault="00BA21F2" w:rsidP="00DE32CC">
            <w:pPr>
              <w:pStyle w:val="BodyText"/>
              <w:spacing w:before="100" w:after="100"/>
              <w:jc w:val="center"/>
              <w:rPr>
                <w:b/>
              </w:rPr>
            </w:pPr>
            <w:r w:rsidRPr="0034768D">
              <w:rPr>
                <w:b/>
              </w:rPr>
              <w:t>$</w:t>
            </w:r>
            <w:r>
              <w:rPr>
                <w:b/>
              </w:rPr>
              <w:t>120</w:t>
            </w:r>
            <w:r w:rsidRPr="0034768D">
              <w:rPr>
                <w:b/>
              </w:rPr>
              <w:t xml:space="preserve"> Business</w:t>
            </w:r>
            <w:r>
              <w:rPr>
                <w:b/>
              </w:rPr>
              <w:t xml:space="preserve"> Plus</w:t>
            </w:r>
            <w:r w:rsidRPr="0034768D">
              <w:rPr>
                <w:b/>
                <w:snapToGrid w:val="0"/>
              </w:rPr>
              <w:t xml:space="preserve"> Tech Fund</w:t>
            </w:r>
          </w:p>
        </w:tc>
        <w:tc>
          <w:tcPr>
            <w:tcW w:w="709" w:type="pct"/>
          </w:tcPr>
          <w:p w14:paraId="549DB1B1" w14:textId="77777777" w:rsidR="00BA21F2" w:rsidRPr="0034768D" w:rsidRDefault="00BA21F2" w:rsidP="00DE32CC">
            <w:pPr>
              <w:pStyle w:val="BodyText"/>
              <w:spacing w:before="100" w:after="100"/>
              <w:jc w:val="center"/>
              <w:rPr>
                <w:b/>
              </w:rPr>
            </w:pPr>
            <w:r w:rsidRPr="0034768D">
              <w:rPr>
                <w:b/>
              </w:rPr>
              <w:t>$</w:t>
            </w:r>
            <w:r>
              <w:rPr>
                <w:b/>
              </w:rPr>
              <w:t>149</w:t>
            </w:r>
            <w:r w:rsidRPr="0034768D">
              <w:rPr>
                <w:b/>
              </w:rPr>
              <w:t xml:space="preserve"> Business</w:t>
            </w:r>
            <w:r>
              <w:rPr>
                <w:b/>
              </w:rPr>
              <w:t xml:space="preserve"> Plus</w:t>
            </w:r>
            <w:r w:rsidRPr="0034768D">
              <w:rPr>
                <w:b/>
                <w:snapToGrid w:val="0"/>
              </w:rPr>
              <w:t xml:space="preserve"> Tech Fund</w:t>
            </w:r>
          </w:p>
        </w:tc>
      </w:tr>
      <w:tr w:rsidR="00BA21F2" w:rsidRPr="00A974C9" w14:paraId="516D3361" w14:textId="77777777" w:rsidTr="00DE32CC">
        <w:trPr>
          <w:trHeight w:val="275"/>
        </w:trPr>
        <w:tc>
          <w:tcPr>
            <w:tcW w:w="749" w:type="pct"/>
            <w:vAlign w:val="center"/>
          </w:tcPr>
          <w:p w14:paraId="3E5BCA60" w14:textId="77777777" w:rsidR="00BA21F2" w:rsidRPr="0034768D" w:rsidRDefault="00BA21F2" w:rsidP="00DE32CC">
            <w:pPr>
              <w:pStyle w:val="BodyText"/>
              <w:spacing w:before="100" w:after="100"/>
              <w:jc w:val="center"/>
              <w:rPr>
                <w:b/>
              </w:rPr>
            </w:pPr>
            <w:r w:rsidRPr="0034768D">
              <w:rPr>
                <w:b/>
                <w:lang w:eastAsia="en-AU"/>
              </w:rPr>
              <w:t>Cancellation Fee</w:t>
            </w:r>
          </w:p>
        </w:tc>
        <w:tc>
          <w:tcPr>
            <w:tcW w:w="708" w:type="pct"/>
            <w:vAlign w:val="center"/>
          </w:tcPr>
          <w:p w14:paraId="626F9C8A" w14:textId="77777777" w:rsidR="00BA21F2" w:rsidRPr="00A974C9" w:rsidRDefault="00BA21F2" w:rsidP="00DE32CC">
            <w:pPr>
              <w:pStyle w:val="BodyText"/>
              <w:spacing w:before="100" w:after="100"/>
              <w:jc w:val="center"/>
              <w:rPr>
                <w:i/>
              </w:rPr>
            </w:pPr>
            <w:r w:rsidRPr="00A974C9">
              <w:t>$2</w:t>
            </w:r>
            <w:r>
              <w:t>7</w:t>
            </w:r>
            <w:r w:rsidRPr="00A974C9">
              <w:t xml:space="preserve"> x Months remaining</w:t>
            </w:r>
          </w:p>
        </w:tc>
        <w:tc>
          <w:tcPr>
            <w:tcW w:w="708" w:type="pct"/>
            <w:shd w:val="clear" w:color="auto" w:fill="auto"/>
            <w:vAlign w:val="center"/>
          </w:tcPr>
          <w:p w14:paraId="6ED547E6" w14:textId="77777777" w:rsidR="00BA21F2" w:rsidRPr="00A974C9" w:rsidRDefault="00BA21F2" w:rsidP="00DE32CC">
            <w:pPr>
              <w:pStyle w:val="BodyText"/>
              <w:spacing w:before="100" w:after="100"/>
              <w:jc w:val="center"/>
            </w:pPr>
            <w:r w:rsidRPr="00A974C9">
              <w:t>$3</w:t>
            </w:r>
            <w:r>
              <w:t>9</w:t>
            </w:r>
            <w:r w:rsidRPr="00A974C9">
              <w:t xml:space="preserve"> x Months remaining</w:t>
            </w:r>
          </w:p>
        </w:tc>
        <w:tc>
          <w:tcPr>
            <w:tcW w:w="708" w:type="pct"/>
            <w:shd w:val="clear" w:color="auto" w:fill="auto"/>
            <w:vAlign w:val="center"/>
          </w:tcPr>
          <w:p w14:paraId="073446BB" w14:textId="77777777" w:rsidR="00BA21F2" w:rsidRPr="00A974C9" w:rsidRDefault="00BA21F2" w:rsidP="00DE32CC">
            <w:pPr>
              <w:pStyle w:val="BodyText"/>
              <w:spacing w:before="100" w:after="100"/>
              <w:jc w:val="center"/>
            </w:pPr>
            <w:r w:rsidRPr="00A974C9">
              <w:t>$</w:t>
            </w:r>
            <w:r>
              <w:t>51</w:t>
            </w:r>
            <w:r w:rsidRPr="00A974C9">
              <w:t xml:space="preserve"> x Months remaining</w:t>
            </w:r>
          </w:p>
        </w:tc>
        <w:tc>
          <w:tcPr>
            <w:tcW w:w="708" w:type="pct"/>
            <w:vAlign w:val="center"/>
          </w:tcPr>
          <w:p w14:paraId="7B8A374A" w14:textId="77777777" w:rsidR="00BA21F2" w:rsidRPr="00A974C9" w:rsidRDefault="00BA21F2" w:rsidP="00DE32CC">
            <w:pPr>
              <w:pStyle w:val="BodyText"/>
              <w:spacing w:before="100" w:after="100"/>
              <w:jc w:val="center"/>
            </w:pPr>
            <w:r w:rsidRPr="00A974C9">
              <w:t>$60 x Months remaining</w:t>
            </w:r>
          </w:p>
        </w:tc>
        <w:tc>
          <w:tcPr>
            <w:tcW w:w="710" w:type="pct"/>
          </w:tcPr>
          <w:p w14:paraId="00781D67" w14:textId="77777777" w:rsidR="00BA21F2" w:rsidRPr="00A974C9" w:rsidRDefault="00BA21F2" w:rsidP="00DE32CC">
            <w:pPr>
              <w:pStyle w:val="BodyText"/>
              <w:spacing w:before="100" w:after="100"/>
              <w:jc w:val="center"/>
            </w:pPr>
            <w:r>
              <w:t>$72 x Months remaining</w:t>
            </w:r>
          </w:p>
        </w:tc>
        <w:tc>
          <w:tcPr>
            <w:tcW w:w="709" w:type="pct"/>
            <w:vAlign w:val="center"/>
          </w:tcPr>
          <w:p w14:paraId="1B0CB44A" w14:textId="77777777" w:rsidR="00BA21F2" w:rsidRDefault="00BA21F2" w:rsidP="00DE32CC">
            <w:pPr>
              <w:pStyle w:val="BodyText"/>
              <w:spacing w:before="100" w:after="100"/>
              <w:jc w:val="center"/>
            </w:pPr>
            <w:r>
              <w:rPr>
                <w:rFonts w:cs="Arial"/>
                <w:szCs w:val="20"/>
              </w:rPr>
              <w:t>$95.83</w:t>
            </w:r>
            <w:r w:rsidRPr="005545B6">
              <w:rPr>
                <w:rFonts w:cs="Arial"/>
                <w:szCs w:val="20"/>
              </w:rPr>
              <w:t xml:space="preserve"> x Months remaining</w:t>
            </w:r>
          </w:p>
        </w:tc>
      </w:tr>
      <w:tr w:rsidR="00BA21F2" w:rsidRPr="00A974C9" w14:paraId="648F4083" w14:textId="77777777" w:rsidTr="00DE32CC">
        <w:trPr>
          <w:trHeight w:val="275"/>
        </w:trPr>
        <w:tc>
          <w:tcPr>
            <w:tcW w:w="749" w:type="pct"/>
            <w:vAlign w:val="center"/>
          </w:tcPr>
          <w:p w14:paraId="6558F3EE" w14:textId="77777777" w:rsidR="00BA21F2" w:rsidRPr="0034768D" w:rsidRDefault="00BA21F2" w:rsidP="00DE32CC">
            <w:pPr>
              <w:pStyle w:val="BodyText"/>
              <w:spacing w:before="100" w:after="100"/>
              <w:jc w:val="center"/>
              <w:rPr>
                <w:b/>
                <w:lang w:eastAsia="en-AU"/>
              </w:rPr>
            </w:pPr>
            <w:r w:rsidRPr="0034768D">
              <w:rPr>
                <w:b/>
                <w:lang w:eastAsia="en-AU"/>
              </w:rPr>
              <w:t>Maximum Cancellation Fee</w:t>
            </w:r>
          </w:p>
        </w:tc>
        <w:tc>
          <w:tcPr>
            <w:tcW w:w="708" w:type="pct"/>
            <w:vAlign w:val="center"/>
          </w:tcPr>
          <w:p w14:paraId="2092D1F9" w14:textId="77777777" w:rsidR="00BA21F2" w:rsidRPr="00A974C9" w:rsidRDefault="00BA21F2" w:rsidP="00DE32CC">
            <w:pPr>
              <w:pStyle w:val="BodyText"/>
              <w:spacing w:before="100" w:after="100"/>
              <w:jc w:val="center"/>
            </w:pPr>
            <w:r w:rsidRPr="00A974C9">
              <w:t>$6</w:t>
            </w:r>
            <w:r>
              <w:t>48</w:t>
            </w:r>
          </w:p>
        </w:tc>
        <w:tc>
          <w:tcPr>
            <w:tcW w:w="708" w:type="pct"/>
            <w:shd w:val="clear" w:color="auto" w:fill="auto"/>
            <w:vAlign w:val="center"/>
          </w:tcPr>
          <w:p w14:paraId="3B8DEF23" w14:textId="77777777" w:rsidR="00BA21F2" w:rsidRPr="00A974C9" w:rsidRDefault="00BA21F2" w:rsidP="00DE32CC">
            <w:pPr>
              <w:pStyle w:val="BodyText"/>
              <w:spacing w:before="100" w:after="100"/>
              <w:jc w:val="center"/>
            </w:pPr>
            <w:r w:rsidRPr="00A974C9">
              <w:t>$</w:t>
            </w:r>
            <w:r>
              <w:t>936</w:t>
            </w:r>
          </w:p>
        </w:tc>
        <w:tc>
          <w:tcPr>
            <w:tcW w:w="708" w:type="pct"/>
            <w:shd w:val="clear" w:color="auto" w:fill="auto"/>
            <w:vAlign w:val="center"/>
          </w:tcPr>
          <w:p w14:paraId="4F1BD599" w14:textId="77777777" w:rsidR="00BA21F2" w:rsidRPr="00A974C9" w:rsidRDefault="00BA21F2" w:rsidP="00DE32CC">
            <w:pPr>
              <w:pStyle w:val="BodyText"/>
              <w:spacing w:before="100" w:after="100"/>
              <w:jc w:val="center"/>
            </w:pPr>
            <w:r w:rsidRPr="00A974C9">
              <w:t>$1</w:t>
            </w:r>
            <w:r>
              <w:t>224</w:t>
            </w:r>
          </w:p>
        </w:tc>
        <w:tc>
          <w:tcPr>
            <w:tcW w:w="708" w:type="pct"/>
            <w:vAlign w:val="center"/>
          </w:tcPr>
          <w:p w14:paraId="79DE3E26" w14:textId="77777777" w:rsidR="00BA21F2" w:rsidRPr="00A974C9" w:rsidRDefault="00BA21F2" w:rsidP="00DE32CC">
            <w:pPr>
              <w:pStyle w:val="BodyText"/>
              <w:spacing w:before="100" w:after="100"/>
              <w:jc w:val="center"/>
            </w:pPr>
            <w:r w:rsidRPr="00A974C9">
              <w:t>$1440</w:t>
            </w:r>
          </w:p>
        </w:tc>
        <w:tc>
          <w:tcPr>
            <w:tcW w:w="710" w:type="pct"/>
            <w:vAlign w:val="center"/>
          </w:tcPr>
          <w:p w14:paraId="5E032366" w14:textId="77777777" w:rsidR="00BA21F2" w:rsidRPr="00A974C9" w:rsidRDefault="00BA21F2" w:rsidP="00DE32CC">
            <w:pPr>
              <w:pStyle w:val="BodyText"/>
              <w:spacing w:before="100" w:after="100"/>
              <w:jc w:val="center"/>
            </w:pPr>
            <w:r>
              <w:t>$1728</w:t>
            </w:r>
          </w:p>
        </w:tc>
        <w:tc>
          <w:tcPr>
            <w:tcW w:w="709" w:type="pct"/>
            <w:vAlign w:val="center"/>
          </w:tcPr>
          <w:p w14:paraId="3971F9F7" w14:textId="77777777" w:rsidR="00BA21F2" w:rsidRDefault="00BA21F2" w:rsidP="00DE32CC">
            <w:pPr>
              <w:pStyle w:val="BodyText"/>
              <w:spacing w:before="100" w:after="100"/>
              <w:jc w:val="center"/>
            </w:pPr>
            <w:r w:rsidRPr="009B1D3E">
              <w:rPr>
                <w:rFonts w:eastAsia="Calibri" w:cs="Arial"/>
                <w:szCs w:val="20"/>
              </w:rPr>
              <w:t>$</w:t>
            </w:r>
            <w:r>
              <w:rPr>
                <w:rFonts w:eastAsia="Calibri" w:cs="Arial"/>
                <w:szCs w:val="20"/>
              </w:rPr>
              <w:t>2300</w:t>
            </w:r>
          </w:p>
        </w:tc>
      </w:tr>
    </w:tbl>
    <w:p w14:paraId="66AABBE0" w14:textId="77777777" w:rsidR="00BA21F2" w:rsidRDefault="00BA21F2" w:rsidP="00BA21F2">
      <w:pPr>
        <w:pStyle w:val="BodyText"/>
      </w:pPr>
    </w:p>
    <w:p w14:paraId="3EF67BDB" w14:textId="77777777" w:rsidR="00BA21F2" w:rsidRPr="0034768D" w:rsidRDefault="00BA21F2" w:rsidP="00BA21F2">
      <w:pPr>
        <w:pStyle w:val="Heading7"/>
        <w:rPr>
          <w:rFonts w:eastAsia="MS Mincho"/>
          <w:lang w:val="en-AU"/>
        </w:rPr>
      </w:pPr>
      <w:r w:rsidRPr="0034768D">
        <w:rPr>
          <w:rFonts w:eastAsia="MS Mincho"/>
          <w:lang w:val="en-AU"/>
        </w:rPr>
        <w:t xml:space="preserve">If </w:t>
      </w:r>
      <w:r w:rsidRPr="0034768D">
        <w:rPr>
          <w:rFonts w:eastAsia="MS Mincho"/>
          <w:i/>
          <w:lang w:val="en-AU"/>
        </w:rPr>
        <w:t>your</w:t>
      </w:r>
      <w:r w:rsidRPr="0034768D">
        <w:rPr>
          <w:rFonts w:eastAsia="MS Mincho"/>
          <w:lang w:val="en-AU"/>
        </w:rPr>
        <w:t xml:space="preserve"> My Plan Business Tech Fund is </w:t>
      </w:r>
      <w:r w:rsidRPr="0034768D">
        <w:rPr>
          <w:rFonts w:eastAsia="MS Mincho"/>
          <w:i/>
          <w:lang w:val="en-AU"/>
        </w:rPr>
        <w:t>cancelled</w:t>
      </w:r>
      <w:r w:rsidRPr="0034768D">
        <w:rPr>
          <w:rFonts w:eastAsia="MS Mincho"/>
          <w:lang w:val="en-AU"/>
        </w:rPr>
        <w:t xml:space="preserve">, </w:t>
      </w:r>
      <w:r w:rsidRPr="0034768D">
        <w:rPr>
          <w:rFonts w:eastAsia="MS Mincho"/>
          <w:i/>
          <w:lang w:val="en-AU"/>
        </w:rPr>
        <w:t>your</w:t>
      </w:r>
      <w:r w:rsidRPr="0034768D">
        <w:rPr>
          <w:rFonts w:eastAsia="MS Mincho"/>
          <w:lang w:val="en-AU"/>
        </w:rPr>
        <w:t xml:space="preserve"> Shared Data Plan(s) may also be </w:t>
      </w:r>
      <w:r w:rsidRPr="0034768D">
        <w:rPr>
          <w:rFonts w:eastAsia="MS Mincho"/>
          <w:i/>
          <w:lang w:val="en-AU"/>
        </w:rPr>
        <w:t>cancelled</w:t>
      </w:r>
      <w:r w:rsidRPr="0034768D">
        <w:rPr>
          <w:rFonts w:eastAsia="MS Mincho"/>
          <w:lang w:val="en-AU"/>
        </w:rPr>
        <w:t xml:space="preserve">. There are no </w:t>
      </w:r>
      <w:r w:rsidRPr="0034768D">
        <w:rPr>
          <w:rFonts w:eastAsia="MS Mincho"/>
          <w:i/>
          <w:lang w:val="en-AU"/>
        </w:rPr>
        <w:t>cancellation fees</w:t>
      </w:r>
      <w:r w:rsidRPr="0034768D">
        <w:rPr>
          <w:rFonts w:eastAsia="MS Mincho"/>
          <w:lang w:val="en-AU"/>
        </w:rPr>
        <w:t xml:space="preserve"> for the Shared Data Plan, however if </w:t>
      </w:r>
      <w:r w:rsidRPr="0034768D">
        <w:rPr>
          <w:rFonts w:eastAsia="MS Mincho"/>
          <w:i/>
          <w:lang w:val="en-AU"/>
        </w:rPr>
        <w:t>you</w:t>
      </w:r>
      <w:r w:rsidRPr="0034768D">
        <w:rPr>
          <w:rFonts w:eastAsia="MS Mincho"/>
          <w:lang w:val="en-AU"/>
        </w:rPr>
        <w:t xml:space="preserve"> purchased a </w:t>
      </w:r>
      <w:r w:rsidRPr="0034768D">
        <w:rPr>
          <w:rFonts w:eastAsia="MS Mincho"/>
          <w:i/>
          <w:lang w:val="en-AU"/>
        </w:rPr>
        <w:t>device</w:t>
      </w:r>
      <w:r w:rsidRPr="0034768D">
        <w:rPr>
          <w:rFonts w:eastAsia="MS Mincho"/>
          <w:lang w:val="en-AU"/>
        </w:rPr>
        <w:t xml:space="preserve"> </w:t>
      </w:r>
      <w:r w:rsidRPr="0034768D">
        <w:rPr>
          <w:rFonts w:eastAsia="MS Mincho"/>
          <w:i/>
          <w:lang w:val="en-AU"/>
        </w:rPr>
        <w:t>you</w:t>
      </w:r>
      <w:r w:rsidRPr="0034768D">
        <w:rPr>
          <w:rFonts w:eastAsia="MS Mincho"/>
          <w:lang w:val="en-AU"/>
        </w:rPr>
        <w:t xml:space="preserve"> need to pay the sum of any remaining </w:t>
      </w:r>
      <w:r w:rsidRPr="0034768D">
        <w:rPr>
          <w:rFonts w:eastAsia="MS Mincho"/>
          <w:i/>
          <w:lang w:val="en-AU"/>
        </w:rPr>
        <w:t xml:space="preserve">equipment charges </w:t>
      </w:r>
      <w:r w:rsidRPr="0034768D">
        <w:rPr>
          <w:rFonts w:eastAsia="MS Mincho"/>
          <w:lang w:val="en-AU"/>
        </w:rPr>
        <w:t xml:space="preserve">owing on </w:t>
      </w:r>
      <w:r w:rsidRPr="0034768D">
        <w:rPr>
          <w:rFonts w:eastAsia="MS Mincho"/>
          <w:i/>
          <w:lang w:val="en-AU"/>
        </w:rPr>
        <w:t xml:space="preserve">your device </w:t>
      </w:r>
      <w:r w:rsidRPr="0034768D">
        <w:rPr>
          <w:rFonts w:eastAsia="MS Mincho"/>
          <w:lang w:val="en-AU"/>
        </w:rPr>
        <w:t xml:space="preserve">under the </w:t>
      </w:r>
      <w:r w:rsidRPr="0034768D">
        <w:rPr>
          <w:rFonts w:eastAsia="MS Mincho"/>
          <w:i/>
          <w:lang w:val="en-AU"/>
        </w:rPr>
        <w:t xml:space="preserve">mobile equipment payment plan </w:t>
      </w:r>
      <w:r w:rsidRPr="0034768D">
        <w:rPr>
          <w:rFonts w:eastAsia="MS Mincho"/>
          <w:lang w:val="en-AU"/>
        </w:rPr>
        <w:t xml:space="preserve">(see </w:t>
      </w:r>
      <w:hyperlink r:id="rId880" w:history="1">
        <w:r w:rsidRPr="0007664B">
          <w:rPr>
            <w:rStyle w:val="Hyperlink"/>
            <w:i/>
            <w:lang w:val="en-AU"/>
          </w:rPr>
          <w:t>Appendix D</w:t>
        </w:r>
      </w:hyperlink>
      <w:r w:rsidRPr="0007664B">
        <w:rPr>
          <w:lang w:val="en-AU"/>
        </w:rPr>
        <w:t>).</w:t>
      </w:r>
    </w:p>
    <w:p w14:paraId="10FA6797" w14:textId="77777777" w:rsidR="00BA21F2" w:rsidRDefault="00BA21F2" w:rsidP="00BA21F2">
      <w:pPr>
        <w:pStyle w:val="Heading7"/>
      </w:pPr>
      <w:r w:rsidRPr="0034768D">
        <w:t xml:space="preserve">If </w:t>
      </w:r>
      <w:r w:rsidRPr="0034768D">
        <w:rPr>
          <w:i/>
        </w:rPr>
        <w:t xml:space="preserve">your </w:t>
      </w:r>
      <w:r w:rsidRPr="0034768D">
        <w:t xml:space="preserve">Shared Data Plan is not </w:t>
      </w:r>
      <w:r w:rsidRPr="0034768D">
        <w:rPr>
          <w:i/>
        </w:rPr>
        <w:t>cancelled</w:t>
      </w:r>
      <w:r w:rsidRPr="0034768D">
        <w:t xml:space="preserve">, </w:t>
      </w:r>
      <w:r w:rsidRPr="0034768D">
        <w:rPr>
          <w:i/>
        </w:rPr>
        <w:t>you</w:t>
      </w:r>
      <w:r w:rsidRPr="0034768D">
        <w:t xml:space="preserve"> will be charged $10 per 1GB within Australia, up to a maximum of 150GB (per account) in a billing month. Your service/s may then be restricted or we may continue to charge you at these rates.</w:t>
      </w:r>
    </w:p>
    <w:p w14:paraId="7164B5F6" w14:textId="77777777" w:rsidR="00BA21F2" w:rsidRDefault="00BA21F2" w:rsidP="00BA21F2"/>
    <w:p w14:paraId="3FA5A1B8" w14:textId="77777777" w:rsidR="00BA21F2" w:rsidRDefault="00BA21F2" w:rsidP="00BA21F2"/>
    <w:p w14:paraId="5039D35A" w14:textId="77777777" w:rsidR="00BA21F2" w:rsidRPr="00F271B8" w:rsidRDefault="00BA21F2" w:rsidP="00BA21F2">
      <w:pPr>
        <w:pStyle w:val="Heading4"/>
        <w:rPr>
          <w:lang w:val="en-AU"/>
        </w:rPr>
      </w:pPr>
      <w:bookmarkStart w:id="2329" w:name="_Toc510690106"/>
      <w:bookmarkStart w:id="2330" w:name="_Toc62644719"/>
      <w:bookmarkStart w:id="2331" w:name="_Toc498674643"/>
      <w:bookmarkStart w:id="2332" w:name="_Toc500753768"/>
      <w:bookmarkStart w:id="2333" w:name="_Hlk497228691"/>
      <w:r>
        <w:rPr>
          <w:lang w:val="en-AU"/>
        </w:rPr>
        <w:t>$120 &amp; $149</w:t>
      </w:r>
      <w:r w:rsidRPr="00F271B8">
        <w:rPr>
          <w:lang w:val="en-AU"/>
        </w:rPr>
        <w:t xml:space="preserve"> Business </w:t>
      </w:r>
      <w:r>
        <w:rPr>
          <w:lang w:val="en-AU"/>
        </w:rPr>
        <w:t>Plus</w:t>
      </w:r>
      <w:bookmarkEnd w:id="2329"/>
      <w:bookmarkEnd w:id="2330"/>
      <w:r>
        <w:rPr>
          <w:lang w:val="en-AU"/>
        </w:rPr>
        <w:t xml:space="preserve"> </w:t>
      </w:r>
      <w:bookmarkEnd w:id="2331"/>
      <w:bookmarkEnd w:id="2332"/>
    </w:p>
    <w:p w14:paraId="556E16C9" w14:textId="77777777" w:rsidR="00BA21F2" w:rsidRPr="00F271B8" w:rsidRDefault="00BA21F2" w:rsidP="00BA21F2">
      <w:pPr>
        <w:pStyle w:val="BodyText"/>
        <w:ind w:left="720"/>
        <w:rPr>
          <w:lang w:val="en-AU"/>
        </w:rPr>
      </w:pPr>
      <w:r w:rsidRPr="00F271B8">
        <w:rPr>
          <w:lang w:val="en-AU"/>
        </w:rPr>
        <w:t>This sectio</w:t>
      </w:r>
      <w:r>
        <w:rPr>
          <w:lang w:val="en-AU"/>
        </w:rPr>
        <w:t xml:space="preserve">n relates to the following plan. </w:t>
      </w:r>
      <w:r w:rsidRPr="00F271B8">
        <w:rPr>
          <w:i/>
          <w:lang w:val="en-AU"/>
        </w:rPr>
        <w:t>You</w:t>
      </w:r>
      <w:r w:rsidRPr="00F271B8">
        <w:rPr>
          <w:lang w:val="en-AU"/>
        </w:rPr>
        <w:t xml:space="preserve"> can find </w:t>
      </w:r>
      <w:r w:rsidRPr="00F271B8">
        <w:rPr>
          <w:i/>
          <w:lang w:val="en-AU"/>
        </w:rPr>
        <w:t>your</w:t>
      </w:r>
      <w:r w:rsidRPr="00F271B8">
        <w:rPr>
          <w:lang w:val="en-AU"/>
        </w:rPr>
        <w:t xml:space="preserve"> Plan ID on </w:t>
      </w:r>
      <w:r w:rsidRPr="00F271B8">
        <w:rPr>
          <w:i/>
          <w:lang w:val="en-AU"/>
        </w:rPr>
        <w:t>your</w:t>
      </w:r>
      <w:r w:rsidRPr="00F271B8">
        <w:rPr>
          <w:lang w:val="en-AU"/>
        </w:rPr>
        <w:t xml:space="preserve"> bill under the Mobile Number Summary section: </w:t>
      </w:r>
    </w:p>
    <w:tbl>
      <w:tblPr>
        <w:tblW w:w="95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3"/>
        <w:gridCol w:w="2835"/>
        <w:gridCol w:w="3852"/>
      </w:tblGrid>
      <w:tr w:rsidR="00BA21F2" w:rsidRPr="00F271B8" w14:paraId="2783ADA4" w14:textId="77777777" w:rsidTr="00562F67">
        <w:tc>
          <w:tcPr>
            <w:tcW w:w="2853" w:type="dxa"/>
            <w:shd w:val="clear" w:color="auto" w:fill="auto"/>
          </w:tcPr>
          <w:p w14:paraId="7B6CF6DB" w14:textId="77777777" w:rsidR="00BA21F2" w:rsidRPr="00F271B8" w:rsidRDefault="00BA21F2" w:rsidP="00DE32CC">
            <w:pPr>
              <w:pStyle w:val="BodyText"/>
              <w:spacing w:before="100" w:after="100"/>
              <w:jc w:val="center"/>
              <w:rPr>
                <w:b/>
                <w:lang w:val="en-AU"/>
              </w:rPr>
            </w:pPr>
            <w:r w:rsidRPr="00F271B8">
              <w:rPr>
                <w:b/>
                <w:lang w:val="en-AU"/>
              </w:rPr>
              <w:t>Plan</w:t>
            </w:r>
          </w:p>
        </w:tc>
        <w:tc>
          <w:tcPr>
            <w:tcW w:w="2835" w:type="dxa"/>
            <w:shd w:val="clear" w:color="auto" w:fill="auto"/>
          </w:tcPr>
          <w:p w14:paraId="1E472799" w14:textId="77777777" w:rsidR="00BA21F2" w:rsidRPr="00F271B8" w:rsidRDefault="00BA21F2" w:rsidP="00DE32CC">
            <w:pPr>
              <w:pStyle w:val="BodyText"/>
              <w:spacing w:before="100" w:after="100"/>
              <w:jc w:val="center"/>
              <w:rPr>
                <w:b/>
                <w:lang w:val="en-AU"/>
              </w:rPr>
            </w:pPr>
            <w:r w:rsidRPr="00F271B8">
              <w:rPr>
                <w:b/>
                <w:lang w:val="en-AU"/>
              </w:rPr>
              <w:t>Plan ID</w:t>
            </w:r>
          </w:p>
        </w:tc>
        <w:tc>
          <w:tcPr>
            <w:tcW w:w="3852" w:type="dxa"/>
            <w:shd w:val="clear" w:color="auto" w:fill="auto"/>
          </w:tcPr>
          <w:p w14:paraId="2AC6CBC2" w14:textId="77777777" w:rsidR="00BA21F2" w:rsidRPr="00F271B8" w:rsidRDefault="00BA21F2" w:rsidP="00DE32CC">
            <w:pPr>
              <w:pStyle w:val="BodyText"/>
              <w:spacing w:before="100" w:after="100"/>
              <w:jc w:val="center"/>
              <w:rPr>
                <w:b/>
                <w:lang w:val="en-AU"/>
              </w:rPr>
            </w:pPr>
            <w:r w:rsidRPr="00F271B8">
              <w:rPr>
                <w:b/>
                <w:lang w:val="en-AU"/>
              </w:rPr>
              <w:t>Available</w:t>
            </w:r>
          </w:p>
        </w:tc>
      </w:tr>
      <w:tr w:rsidR="00BA21F2" w:rsidRPr="00F271B8" w14:paraId="54DAE2BB" w14:textId="77777777" w:rsidTr="00562F67">
        <w:tc>
          <w:tcPr>
            <w:tcW w:w="2853" w:type="dxa"/>
            <w:shd w:val="clear" w:color="auto" w:fill="auto"/>
          </w:tcPr>
          <w:p w14:paraId="01A93018" w14:textId="77777777" w:rsidR="00BA21F2" w:rsidRPr="00E163AA" w:rsidRDefault="00BA21F2" w:rsidP="00DE32CC">
            <w:pPr>
              <w:pStyle w:val="BodyText"/>
              <w:spacing w:before="100" w:after="100"/>
              <w:jc w:val="center"/>
              <w:rPr>
                <w:lang w:val="en-AU"/>
              </w:rPr>
            </w:pPr>
            <w:r w:rsidRPr="00E163AA">
              <w:rPr>
                <w:lang w:val="en-AU"/>
              </w:rPr>
              <w:t>$120 Business Plus</w:t>
            </w:r>
          </w:p>
        </w:tc>
        <w:tc>
          <w:tcPr>
            <w:tcW w:w="2835" w:type="dxa"/>
            <w:shd w:val="clear" w:color="auto" w:fill="auto"/>
          </w:tcPr>
          <w:p w14:paraId="52A6AF15" w14:textId="77777777" w:rsidR="00BA21F2" w:rsidRPr="00E163AA" w:rsidRDefault="00BA21F2" w:rsidP="00DE32CC">
            <w:pPr>
              <w:pStyle w:val="BodyText"/>
              <w:spacing w:before="100" w:after="100"/>
              <w:jc w:val="center"/>
              <w:rPr>
                <w:lang w:val="en-AU"/>
              </w:rPr>
            </w:pPr>
            <w:r w:rsidRPr="00600C19">
              <w:rPr>
                <w:lang w:val="en-AU"/>
              </w:rPr>
              <w:t>800875</w:t>
            </w:r>
            <w:r>
              <w:rPr>
                <w:lang w:val="en-AU"/>
              </w:rPr>
              <w:t xml:space="preserve"> </w:t>
            </w:r>
            <w:r w:rsidRPr="00600C19">
              <w:rPr>
                <w:lang w:val="en-AU"/>
              </w:rPr>
              <w:t>/</w:t>
            </w:r>
            <w:r>
              <w:rPr>
                <w:lang w:val="en-AU"/>
              </w:rPr>
              <w:t xml:space="preserve"> </w:t>
            </w:r>
            <w:r w:rsidRPr="00600C19">
              <w:rPr>
                <w:lang w:val="en-AU"/>
              </w:rPr>
              <w:t>20206899</w:t>
            </w:r>
          </w:p>
        </w:tc>
        <w:tc>
          <w:tcPr>
            <w:tcW w:w="3852" w:type="dxa"/>
            <w:shd w:val="clear" w:color="auto" w:fill="auto"/>
          </w:tcPr>
          <w:p w14:paraId="5F979278" w14:textId="77777777" w:rsidR="00BA21F2" w:rsidRPr="00E163AA" w:rsidRDefault="00BA21F2" w:rsidP="00DE32CC">
            <w:pPr>
              <w:pStyle w:val="BodyText"/>
              <w:spacing w:before="100" w:after="100"/>
              <w:jc w:val="center"/>
              <w:rPr>
                <w:lang w:val="en-AU"/>
              </w:rPr>
            </w:pPr>
            <w:r w:rsidRPr="00E163AA">
              <w:rPr>
                <w:lang w:val="en-AU"/>
              </w:rPr>
              <w:t>14 March 2018</w:t>
            </w:r>
            <w:r w:rsidR="00562F67">
              <w:rPr>
                <w:lang w:val="en-AU"/>
              </w:rPr>
              <w:t xml:space="preserve"> </w:t>
            </w:r>
            <w:r w:rsidR="00562F67">
              <w:rPr>
                <w:rFonts w:eastAsia="Calibri"/>
              </w:rPr>
              <w:t>– 5 August 2018</w:t>
            </w:r>
          </w:p>
        </w:tc>
      </w:tr>
      <w:tr w:rsidR="00BA21F2" w:rsidRPr="00F271B8" w14:paraId="27F2456D" w14:textId="77777777" w:rsidTr="00562F67">
        <w:tc>
          <w:tcPr>
            <w:tcW w:w="2853" w:type="dxa"/>
            <w:shd w:val="clear" w:color="auto" w:fill="auto"/>
          </w:tcPr>
          <w:p w14:paraId="6C38F14E" w14:textId="77777777" w:rsidR="00BA21F2" w:rsidRPr="00E83150" w:rsidRDefault="00BA21F2" w:rsidP="00DE32CC">
            <w:pPr>
              <w:pStyle w:val="BodyText"/>
              <w:spacing w:before="100" w:after="100"/>
              <w:jc w:val="center"/>
              <w:rPr>
                <w:szCs w:val="20"/>
                <w:lang w:val="en-AU"/>
              </w:rPr>
            </w:pPr>
            <w:r w:rsidRPr="00E83150">
              <w:rPr>
                <w:rFonts w:eastAsia="Calibri" w:cs="Arial"/>
                <w:szCs w:val="20"/>
                <w:lang w:val="en-AU"/>
              </w:rPr>
              <w:t>$</w:t>
            </w:r>
            <w:r>
              <w:rPr>
                <w:rFonts w:eastAsia="Calibri" w:cs="Arial"/>
                <w:szCs w:val="20"/>
                <w:lang w:val="en-AU"/>
              </w:rPr>
              <w:t>149</w:t>
            </w:r>
            <w:r w:rsidRPr="00E83150">
              <w:rPr>
                <w:rFonts w:eastAsia="Calibri" w:cs="Arial"/>
                <w:szCs w:val="20"/>
                <w:lang w:val="en-AU"/>
              </w:rPr>
              <w:t xml:space="preserve"> Business</w:t>
            </w:r>
            <w:r>
              <w:rPr>
                <w:rFonts w:eastAsia="Calibri" w:cs="Arial"/>
                <w:szCs w:val="20"/>
                <w:lang w:val="en-AU"/>
              </w:rPr>
              <w:t xml:space="preserve"> Plus</w:t>
            </w:r>
          </w:p>
        </w:tc>
        <w:tc>
          <w:tcPr>
            <w:tcW w:w="2835" w:type="dxa"/>
            <w:shd w:val="clear" w:color="auto" w:fill="auto"/>
            <w:vAlign w:val="center"/>
          </w:tcPr>
          <w:p w14:paraId="5F8E2137" w14:textId="77777777" w:rsidR="00BA21F2" w:rsidRPr="009E5E41" w:rsidRDefault="00BA21F2" w:rsidP="00DE32CC">
            <w:pPr>
              <w:pStyle w:val="BodyText"/>
              <w:spacing w:before="100" w:after="100"/>
              <w:jc w:val="center"/>
              <w:rPr>
                <w:szCs w:val="20"/>
                <w:lang w:val="en-AU"/>
              </w:rPr>
            </w:pPr>
            <w:r w:rsidRPr="00E83150">
              <w:rPr>
                <w:rFonts w:eastAsia="Calibri" w:cs="Arial"/>
                <w:szCs w:val="20"/>
              </w:rPr>
              <w:t>800</w:t>
            </w:r>
            <w:r>
              <w:rPr>
                <w:rFonts w:eastAsia="Calibri" w:cs="Arial"/>
                <w:szCs w:val="20"/>
              </w:rPr>
              <w:t>825 /</w:t>
            </w:r>
            <w:r>
              <w:t xml:space="preserve"> </w:t>
            </w:r>
            <w:r w:rsidRPr="004C71E7">
              <w:rPr>
                <w:rFonts w:eastAsia="Calibri" w:cs="Arial"/>
                <w:szCs w:val="20"/>
              </w:rPr>
              <w:t>20060269</w:t>
            </w:r>
          </w:p>
        </w:tc>
        <w:tc>
          <w:tcPr>
            <w:tcW w:w="3852" w:type="dxa"/>
            <w:shd w:val="clear" w:color="auto" w:fill="auto"/>
            <w:vAlign w:val="center"/>
          </w:tcPr>
          <w:p w14:paraId="6A9D19C3" w14:textId="77777777" w:rsidR="00BA21F2" w:rsidRPr="009E5E41" w:rsidRDefault="00BA21F2" w:rsidP="00DE32CC">
            <w:pPr>
              <w:pStyle w:val="BodyText"/>
              <w:spacing w:before="100" w:after="100"/>
              <w:jc w:val="center"/>
              <w:rPr>
                <w:szCs w:val="20"/>
                <w:lang w:val="en-AU"/>
              </w:rPr>
            </w:pPr>
            <w:r>
              <w:rPr>
                <w:rFonts w:eastAsia="Calibri" w:cs="Arial"/>
                <w:szCs w:val="20"/>
              </w:rPr>
              <w:t>17 November 2017</w:t>
            </w:r>
            <w:r w:rsidR="00562F67">
              <w:rPr>
                <w:rFonts w:eastAsia="Calibri" w:cs="Arial"/>
                <w:szCs w:val="20"/>
              </w:rPr>
              <w:t xml:space="preserve"> </w:t>
            </w:r>
            <w:r w:rsidR="00562F67">
              <w:rPr>
                <w:rFonts w:eastAsia="Calibri"/>
              </w:rPr>
              <w:t>– 5 August 2018</w:t>
            </w:r>
          </w:p>
        </w:tc>
      </w:tr>
    </w:tbl>
    <w:p w14:paraId="145E3C8B" w14:textId="77777777" w:rsidR="00BA21F2" w:rsidRPr="00F271B8" w:rsidRDefault="00BA21F2" w:rsidP="00BA21F2">
      <w:pPr>
        <w:pStyle w:val="Heading6"/>
        <w:spacing w:before="240"/>
        <w:ind w:left="0" w:firstLine="0"/>
        <w:rPr>
          <w:lang w:val="en-AU"/>
        </w:rPr>
      </w:pPr>
      <w:bookmarkStart w:id="2334" w:name="_Toc498674644"/>
      <w:bookmarkStart w:id="2335" w:name="_Toc500753769"/>
      <w:bookmarkStart w:id="2336" w:name="_Toc510690107"/>
      <w:r w:rsidRPr="00F271B8">
        <w:rPr>
          <w:lang w:val="en-AU"/>
        </w:rPr>
        <w:t>Eligibility</w:t>
      </w:r>
      <w:bookmarkEnd w:id="2334"/>
      <w:bookmarkEnd w:id="2335"/>
      <w:bookmarkEnd w:id="2336"/>
    </w:p>
    <w:p w14:paraId="7E456115" w14:textId="77777777" w:rsidR="00BA21F2" w:rsidRPr="00F271B8" w:rsidRDefault="00BA21F2" w:rsidP="00BA21F2">
      <w:pPr>
        <w:pStyle w:val="BodyText"/>
        <w:ind w:left="720"/>
      </w:pPr>
      <w:r w:rsidRPr="00C12929">
        <w:rPr>
          <w:lang w:val="en-AU"/>
        </w:rPr>
        <w:t xml:space="preserve">The Business </w:t>
      </w:r>
      <w:r>
        <w:rPr>
          <w:lang w:val="en-AU"/>
        </w:rPr>
        <w:t xml:space="preserve">Plus </w:t>
      </w:r>
      <w:r w:rsidRPr="00C12929">
        <w:rPr>
          <w:lang w:val="en-AU"/>
        </w:rPr>
        <w:t>plans are available to new and existing business mobile customers who pass Optus</w:t>
      </w:r>
      <w:r>
        <w:rPr>
          <w:lang w:val="en-AU"/>
        </w:rPr>
        <w:t>'</w:t>
      </w:r>
      <w:r w:rsidRPr="00C12929">
        <w:rPr>
          <w:lang w:val="en-AU"/>
        </w:rPr>
        <w:t xml:space="preserve"> credit assessment. </w:t>
      </w:r>
      <w:r w:rsidRPr="00520AEE">
        <w:t>Optus</w:t>
      </w:r>
      <w:r w:rsidRPr="00EB0AA6">
        <w:t xml:space="preserve"> Service Providers’ customers are not eligible to apply.</w:t>
      </w:r>
      <w:r>
        <w:t xml:space="preserve"> </w:t>
      </w:r>
      <w:r w:rsidRPr="00950D2E">
        <w:t>To be eligible for this plan, businesses must provide Optus with a registered ACN, ARBN or ABN</w:t>
      </w:r>
    </w:p>
    <w:p w14:paraId="46AA527F" w14:textId="77777777" w:rsidR="00BA21F2" w:rsidRPr="00F271B8" w:rsidRDefault="00BA21F2" w:rsidP="00BA21F2">
      <w:pPr>
        <w:pStyle w:val="BodyText"/>
        <w:ind w:left="720"/>
        <w:rPr>
          <w:lang w:val="en-AU"/>
        </w:rPr>
      </w:pPr>
      <w:r w:rsidRPr="00F271B8">
        <w:rPr>
          <w:lang w:val="en-AU"/>
        </w:rPr>
        <w:t xml:space="preserve">These </w:t>
      </w:r>
      <w:r w:rsidRPr="00F271B8">
        <w:rPr>
          <w:i/>
          <w:lang w:val="en-AU"/>
        </w:rPr>
        <w:t>plans</w:t>
      </w:r>
      <w:r w:rsidRPr="00F271B8">
        <w:rPr>
          <w:lang w:val="en-AU"/>
        </w:rPr>
        <w:t xml:space="preserve"> aren</w:t>
      </w:r>
      <w:r>
        <w:rPr>
          <w:lang w:val="en-AU"/>
        </w:rPr>
        <w:t>'</w:t>
      </w:r>
      <w:r w:rsidRPr="00F271B8">
        <w:rPr>
          <w:lang w:val="en-AU"/>
        </w:rPr>
        <w:t>t compatible for data use with BlackBerry handsets on operating systems of 7.1 or earlier.</w:t>
      </w:r>
    </w:p>
    <w:p w14:paraId="0F2BB352" w14:textId="77777777" w:rsidR="00BA21F2" w:rsidRPr="00F271B8" w:rsidRDefault="00BA21F2" w:rsidP="00BA21F2">
      <w:pPr>
        <w:pStyle w:val="Heading6"/>
        <w:ind w:left="0" w:firstLine="0"/>
        <w:rPr>
          <w:lang w:val="en-AU"/>
        </w:rPr>
      </w:pPr>
      <w:bookmarkStart w:id="2337" w:name="_Toc498674645"/>
      <w:bookmarkStart w:id="2338" w:name="_Toc500753770"/>
      <w:bookmarkStart w:id="2339" w:name="_Toc510690108"/>
      <w:r w:rsidRPr="00F271B8">
        <w:rPr>
          <w:lang w:val="en-AU"/>
        </w:rPr>
        <w:t>Minimum Term</w:t>
      </w:r>
      <w:bookmarkEnd w:id="2337"/>
      <w:bookmarkEnd w:id="2338"/>
      <w:bookmarkEnd w:id="2339"/>
    </w:p>
    <w:p w14:paraId="1A8B1AD2" w14:textId="77777777" w:rsidR="00BA21F2" w:rsidRPr="00F271B8" w:rsidRDefault="00BA21F2" w:rsidP="00BA21F2">
      <w:pPr>
        <w:pStyle w:val="BodyText"/>
        <w:ind w:left="720"/>
        <w:rPr>
          <w:lang w:val="en-AU"/>
        </w:rPr>
      </w:pPr>
      <w:r w:rsidRPr="00F271B8">
        <w:rPr>
          <w:lang w:val="en-AU"/>
        </w:rPr>
        <w:t xml:space="preserve">This plan has a </w:t>
      </w:r>
      <w:r w:rsidRPr="00F271B8">
        <w:rPr>
          <w:i/>
          <w:lang w:val="en-AU"/>
        </w:rPr>
        <w:t>fixed length</w:t>
      </w:r>
      <w:r w:rsidRPr="00F271B8">
        <w:rPr>
          <w:lang w:val="en-AU"/>
        </w:rPr>
        <w:t xml:space="preserve"> </w:t>
      </w:r>
      <w:r w:rsidRPr="00F271B8">
        <w:rPr>
          <w:i/>
          <w:lang w:val="en-AU"/>
        </w:rPr>
        <w:t>agreement</w:t>
      </w:r>
      <w:r w:rsidRPr="00F271B8">
        <w:rPr>
          <w:lang w:val="en-AU"/>
        </w:rPr>
        <w:t xml:space="preserve"> with a 24-month </w:t>
      </w:r>
      <w:r w:rsidRPr="00F271B8">
        <w:rPr>
          <w:i/>
          <w:lang w:val="en-AU"/>
        </w:rPr>
        <w:t>minimum term</w:t>
      </w:r>
      <w:r w:rsidRPr="00F271B8">
        <w:rPr>
          <w:lang w:val="en-AU"/>
        </w:rPr>
        <w:t>.</w:t>
      </w:r>
    </w:p>
    <w:p w14:paraId="6590AF72" w14:textId="77777777" w:rsidR="00BA21F2" w:rsidRPr="00F271B8" w:rsidRDefault="00BA21F2" w:rsidP="00BA21F2">
      <w:pPr>
        <w:pStyle w:val="Heading6"/>
        <w:ind w:left="0" w:firstLine="0"/>
        <w:rPr>
          <w:lang w:val="en-AU"/>
        </w:rPr>
      </w:pPr>
      <w:bookmarkStart w:id="2340" w:name="_Toc498674646"/>
      <w:bookmarkStart w:id="2341" w:name="_Toc500753771"/>
      <w:bookmarkStart w:id="2342" w:name="_Toc510690109"/>
      <w:r w:rsidRPr="00F271B8">
        <w:rPr>
          <w:lang w:val="en-AU"/>
        </w:rPr>
        <w:lastRenderedPageBreak/>
        <w:t>What you must pay us</w:t>
      </w:r>
      <w:bookmarkEnd w:id="2340"/>
      <w:bookmarkEnd w:id="2341"/>
      <w:bookmarkEnd w:id="2342"/>
    </w:p>
    <w:p w14:paraId="7AA79B5A" w14:textId="77777777" w:rsidR="00BA21F2" w:rsidRPr="00F271B8" w:rsidRDefault="00BA21F2" w:rsidP="00BA21F2">
      <w:pPr>
        <w:pStyle w:val="Heading7"/>
        <w:rPr>
          <w:szCs w:val="20"/>
          <w:lang w:val="en-AU"/>
        </w:rPr>
      </w:pPr>
      <w:r w:rsidRPr="00F271B8">
        <w:rPr>
          <w:i/>
          <w:szCs w:val="20"/>
          <w:lang w:val="en-AU"/>
        </w:rPr>
        <w:t>You</w:t>
      </w:r>
      <w:r w:rsidRPr="00F271B8">
        <w:rPr>
          <w:szCs w:val="20"/>
          <w:lang w:val="en-AU"/>
        </w:rPr>
        <w:t xml:space="preserve"> must pay </w:t>
      </w:r>
      <w:r w:rsidRPr="00F271B8">
        <w:rPr>
          <w:i/>
          <w:szCs w:val="20"/>
          <w:lang w:val="en-AU"/>
        </w:rPr>
        <w:t>us</w:t>
      </w:r>
      <w:r w:rsidRPr="00F271B8">
        <w:rPr>
          <w:szCs w:val="20"/>
          <w:lang w:val="en-AU"/>
        </w:rPr>
        <w:t xml:space="preserve"> for use of the </w:t>
      </w:r>
      <w:r w:rsidRPr="00F271B8">
        <w:rPr>
          <w:i/>
          <w:szCs w:val="20"/>
          <w:lang w:val="en-AU"/>
        </w:rPr>
        <w:t>service</w:t>
      </w:r>
      <w:r w:rsidRPr="00F271B8">
        <w:rPr>
          <w:szCs w:val="20"/>
          <w:lang w:val="en-AU"/>
        </w:rPr>
        <w:t xml:space="preserve"> at the rates set out in Section 1 of this </w:t>
      </w:r>
      <w:r w:rsidRPr="00F271B8">
        <w:rPr>
          <w:i/>
          <w:szCs w:val="20"/>
          <w:lang w:val="en-AU"/>
        </w:rPr>
        <w:t>standard pricing table</w:t>
      </w:r>
      <w:r w:rsidRPr="00F271B8">
        <w:rPr>
          <w:szCs w:val="20"/>
          <w:lang w:val="en-AU"/>
        </w:rPr>
        <w:t xml:space="preserve"> and for value added service features at the rates set out in </w:t>
      </w:r>
      <w:hyperlink r:id="rId881" w:history="1">
        <w:r w:rsidRPr="00F271B8">
          <w:rPr>
            <w:rStyle w:val="Hyperlink"/>
            <w:i/>
            <w:szCs w:val="20"/>
            <w:lang w:val="en-AU"/>
          </w:rPr>
          <w:t>Appendix Y Value Added Service Features</w:t>
        </w:r>
      </w:hyperlink>
      <w:r>
        <w:rPr>
          <w:szCs w:val="20"/>
          <w:lang w:val="en-AU"/>
        </w:rPr>
        <w:t xml:space="preserve">. </w:t>
      </w:r>
    </w:p>
    <w:p w14:paraId="0AFFBDF7" w14:textId="77777777" w:rsidR="00BA21F2" w:rsidRPr="00F271B8" w:rsidRDefault="00BA21F2" w:rsidP="00BA21F2">
      <w:pPr>
        <w:pStyle w:val="Heading7"/>
        <w:rPr>
          <w:lang w:val="en-AU"/>
        </w:rPr>
      </w:pPr>
      <w:r w:rsidRPr="00F271B8">
        <w:rPr>
          <w:lang w:val="en-AU"/>
        </w:rPr>
        <w:t>If there is a flagfall for a particular call type, the charge for these calls is the flagfall amount plus the relevant rate for the call multiplied by the duration of the call.</w:t>
      </w:r>
    </w:p>
    <w:p w14:paraId="1027605C" w14:textId="77777777" w:rsidR="00BA21F2" w:rsidRPr="00F271B8" w:rsidRDefault="00BA21F2" w:rsidP="00BA21F2">
      <w:pPr>
        <w:pStyle w:val="Heading7"/>
        <w:rPr>
          <w:lang w:val="en-AU"/>
        </w:rPr>
      </w:pPr>
      <w:r w:rsidRPr="00F271B8">
        <w:rPr>
          <w:lang w:val="en-AU"/>
        </w:rPr>
        <w:t xml:space="preserve">Minimum Monthly Charge </w:t>
      </w:r>
    </w:p>
    <w:p w14:paraId="51A862AB" w14:textId="77777777" w:rsidR="00BA21F2" w:rsidRPr="00F271B8" w:rsidRDefault="00BA21F2" w:rsidP="00BA21F2">
      <w:pPr>
        <w:pStyle w:val="Heading8"/>
        <w:rPr>
          <w:lang w:val="en-AU"/>
        </w:rPr>
      </w:pPr>
      <w:r>
        <w:rPr>
          <w:lang w:val="en-AU"/>
        </w:rPr>
        <w:t xml:space="preserve">Each plan </w:t>
      </w:r>
      <w:r w:rsidRPr="00F271B8">
        <w:rPr>
          <w:lang w:val="en-AU"/>
        </w:rPr>
        <w:t xml:space="preserve">has a Minimum Monthly Charge amount that </w:t>
      </w:r>
      <w:r w:rsidRPr="00F271B8">
        <w:rPr>
          <w:i/>
          <w:lang w:val="en-AU"/>
        </w:rPr>
        <w:t>you</w:t>
      </w:r>
      <w:r w:rsidRPr="00F271B8">
        <w:rPr>
          <w:lang w:val="en-AU"/>
        </w:rPr>
        <w:t xml:space="preserve"> must pay </w:t>
      </w:r>
      <w:r w:rsidRPr="00F271B8">
        <w:rPr>
          <w:i/>
          <w:lang w:val="en-AU"/>
        </w:rPr>
        <w:t>us</w:t>
      </w:r>
      <w:r w:rsidRPr="00F271B8">
        <w:rPr>
          <w:lang w:val="en-AU"/>
        </w:rPr>
        <w:t xml:space="preserve"> each month as set out in Table 1 below</w:t>
      </w:r>
      <w:r>
        <w:rPr>
          <w:lang w:val="en-AU"/>
        </w:rPr>
        <w:t xml:space="preserve">. </w:t>
      </w:r>
    </w:p>
    <w:p w14:paraId="43DE0B45" w14:textId="77777777" w:rsidR="00BA21F2" w:rsidRPr="00F271B8" w:rsidRDefault="00BA21F2" w:rsidP="00BA21F2">
      <w:pPr>
        <w:pStyle w:val="Heading8"/>
        <w:rPr>
          <w:szCs w:val="20"/>
          <w:lang w:val="en-AU"/>
        </w:rPr>
      </w:pPr>
      <w:r>
        <w:rPr>
          <w:i/>
          <w:szCs w:val="20"/>
          <w:lang w:val="en-AU"/>
        </w:rPr>
        <w:t>y</w:t>
      </w:r>
      <w:r w:rsidRPr="00F271B8">
        <w:rPr>
          <w:i/>
          <w:szCs w:val="20"/>
          <w:lang w:val="en-AU"/>
        </w:rPr>
        <w:t>ou</w:t>
      </w:r>
      <w:r w:rsidRPr="00F271B8">
        <w:rPr>
          <w:szCs w:val="20"/>
          <w:lang w:val="en-AU"/>
        </w:rPr>
        <w:t xml:space="preserve"> may purchase a mobile phone (or </w:t>
      </w:r>
      <w:r>
        <w:rPr>
          <w:szCs w:val="20"/>
          <w:lang w:val="en-AU"/>
        </w:rPr>
        <w:t>'</w:t>
      </w:r>
      <w:r w:rsidRPr="00F271B8">
        <w:rPr>
          <w:szCs w:val="20"/>
          <w:lang w:val="en-AU"/>
        </w:rPr>
        <w:t>handset</w:t>
      </w:r>
      <w:r>
        <w:rPr>
          <w:szCs w:val="20"/>
          <w:lang w:val="en-AU"/>
        </w:rPr>
        <w:t>'</w:t>
      </w:r>
      <w:r w:rsidRPr="00F271B8">
        <w:rPr>
          <w:szCs w:val="20"/>
          <w:lang w:val="en-AU"/>
        </w:rPr>
        <w:t xml:space="preserve">) with a 24 month </w:t>
      </w:r>
      <w:r w:rsidRPr="00F271B8">
        <w:rPr>
          <w:i/>
          <w:szCs w:val="20"/>
          <w:lang w:val="en-AU"/>
        </w:rPr>
        <w:t>equipment term</w:t>
      </w:r>
      <w:r w:rsidRPr="00F271B8">
        <w:rPr>
          <w:szCs w:val="20"/>
          <w:lang w:val="en-AU"/>
        </w:rPr>
        <w:t xml:space="preserve"> under a </w:t>
      </w:r>
      <w:r w:rsidRPr="00F271B8">
        <w:rPr>
          <w:i/>
          <w:szCs w:val="20"/>
          <w:lang w:val="en-AU"/>
        </w:rPr>
        <w:t>mobile equipment payment plan</w:t>
      </w:r>
      <w:r w:rsidRPr="00F271B8">
        <w:rPr>
          <w:szCs w:val="20"/>
          <w:lang w:val="en-AU"/>
        </w:rPr>
        <w:t xml:space="preserve"> (set out in </w:t>
      </w:r>
      <w:hyperlink r:id="rId882" w:history="1">
        <w:r w:rsidRPr="00F271B8">
          <w:rPr>
            <w:rStyle w:val="Hyperlink"/>
            <w:i/>
            <w:szCs w:val="20"/>
            <w:lang w:val="en-AU"/>
          </w:rPr>
          <w:t>Appendix D</w:t>
        </w:r>
      </w:hyperlink>
      <w:r w:rsidRPr="00F271B8">
        <w:rPr>
          <w:szCs w:val="20"/>
          <w:lang w:val="en-AU"/>
        </w:rPr>
        <w:t xml:space="preserve">) on a 24 month </w:t>
      </w:r>
      <w:r w:rsidRPr="00F271B8">
        <w:rPr>
          <w:i/>
          <w:szCs w:val="20"/>
          <w:lang w:val="en-AU"/>
        </w:rPr>
        <w:t>fixed-length agreement</w:t>
      </w:r>
      <w:r>
        <w:rPr>
          <w:szCs w:val="20"/>
          <w:lang w:val="en-AU"/>
        </w:rPr>
        <w:t xml:space="preserve">. </w:t>
      </w:r>
    </w:p>
    <w:p w14:paraId="3863250B" w14:textId="77777777" w:rsidR="00BA21F2" w:rsidRPr="00F271B8" w:rsidRDefault="00BA21F2" w:rsidP="00BA21F2">
      <w:pPr>
        <w:pStyle w:val="Heading6"/>
        <w:ind w:left="0" w:firstLine="0"/>
        <w:rPr>
          <w:lang w:val="en-AU"/>
        </w:rPr>
      </w:pPr>
      <w:bookmarkStart w:id="2343" w:name="_Toc498674647"/>
      <w:bookmarkStart w:id="2344" w:name="_Toc500753772"/>
      <w:bookmarkStart w:id="2345" w:name="_Toc510690110"/>
      <w:r w:rsidRPr="00F271B8">
        <w:rPr>
          <w:lang w:val="en-AU"/>
        </w:rPr>
        <w:t xml:space="preserve">How </w:t>
      </w:r>
      <w:r>
        <w:rPr>
          <w:lang w:val="en-AU"/>
        </w:rPr>
        <w:t>your plan</w:t>
      </w:r>
      <w:r w:rsidRPr="00F271B8">
        <w:rPr>
          <w:lang w:val="en-AU"/>
        </w:rPr>
        <w:t xml:space="preserve"> works</w:t>
      </w:r>
      <w:bookmarkEnd w:id="2343"/>
      <w:bookmarkEnd w:id="2344"/>
      <w:bookmarkEnd w:id="2345"/>
    </w:p>
    <w:p w14:paraId="4E90DBB4" w14:textId="77777777" w:rsidR="00BA21F2" w:rsidRPr="00F271B8" w:rsidRDefault="00BA21F2" w:rsidP="00BA21F2">
      <w:pPr>
        <w:pStyle w:val="Heading7"/>
        <w:rPr>
          <w:lang w:val="en-AU"/>
        </w:rPr>
      </w:pPr>
      <w:r w:rsidRPr="00F271B8">
        <w:rPr>
          <w:lang w:val="en-AU"/>
        </w:rPr>
        <w:t>The</w:t>
      </w:r>
      <w:r>
        <w:rPr>
          <w:lang w:val="en-AU"/>
        </w:rPr>
        <w:t xml:space="preserve"> </w:t>
      </w:r>
      <w:r w:rsidRPr="00E83150">
        <w:rPr>
          <w:rFonts w:eastAsia="Calibri" w:cs="Arial"/>
          <w:szCs w:val="20"/>
          <w:lang w:val="en-AU"/>
        </w:rPr>
        <w:t>Business</w:t>
      </w:r>
      <w:r>
        <w:rPr>
          <w:rFonts w:eastAsia="Calibri" w:cs="Arial"/>
          <w:szCs w:val="20"/>
          <w:lang w:val="en-AU"/>
        </w:rPr>
        <w:t xml:space="preserve"> Plus</w:t>
      </w:r>
      <w:r w:rsidRPr="00F271B8">
        <w:rPr>
          <w:lang w:val="en-AU"/>
        </w:rPr>
        <w:t xml:space="preserve"> plan</w:t>
      </w:r>
      <w:r>
        <w:rPr>
          <w:lang w:val="en-AU"/>
        </w:rPr>
        <w:t>s</w:t>
      </w:r>
      <w:r w:rsidRPr="00F271B8">
        <w:rPr>
          <w:lang w:val="en-AU"/>
        </w:rPr>
        <w:t xml:space="preserve"> has </w:t>
      </w:r>
      <w:r>
        <w:rPr>
          <w:lang w:val="en-AU"/>
        </w:rPr>
        <w:t>unlimited</w:t>
      </w:r>
      <w:r w:rsidRPr="00F271B8">
        <w:rPr>
          <w:lang w:val="en-AU"/>
        </w:rPr>
        <w:t xml:space="preserve"> minutes to use on </w:t>
      </w:r>
      <w:r w:rsidRPr="00B7364B">
        <w:t>standard national calls to landlines and mobiles, 13/1300 numbers and voicemail retrievals and an amount of Included Data (for mobile internet use) to share with other services on a My Plan Plus</w:t>
      </w:r>
      <w:r w:rsidRPr="00B7364B">
        <w:rPr>
          <w:lang w:eastAsia="en-AU"/>
        </w:rPr>
        <w:t>, My Plan Plus SIM Only, Business</w:t>
      </w:r>
      <w:r>
        <w:rPr>
          <w:lang w:eastAsia="en-AU"/>
        </w:rPr>
        <w:t xml:space="preserve"> Plus</w:t>
      </w:r>
      <w:r w:rsidRPr="00B7364B">
        <w:rPr>
          <w:lang w:eastAsia="en-AU"/>
        </w:rPr>
        <w:t xml:space="preserve"> (including Tech Fund), My Plan Business (including Tech Fund), My Plan Business SIM, </w:t>
      </w:r>
      <w:r w:rsidRPr="00656EA8">
        <w:rPr>
          <w:lang w:eastAsia="en-AU"/>
        </w:rPr>
        <w:t>My Plan Flex, My Plan Business Flex, Business Lease</w:t>
      </w:r>
      <w:r>
        <w:rPr>
          <w:lang w:eastAsia="en-AU"/>
        </w:rPr>
        <w:t>, Business Plus</w:t>
      </w:r>
      <w:r w:rsidRPr="00656EA8">
        <w:rPr>
          <w:lang w:eastAsia="en-AU"/>
        </w:rPr>
        <w:t>,</w:t>
      </w:r>
      <w:r>
        <w:rPr>
          <w:lang w:eastAsia="en-AU"/>
        </w:rPr>
        <w:t xml:space="preserve"> </w:t>
      </w:r>
      <w:r w:rsidRPr="00B7364B">
        <w:rPr>
          <w:lang w:eastAsia="en-AU"/>
        </w:rPr>
        <w:t xml:space="preserve">My Mobile Broadband Plus, Mobile Broadband Business or Shared Data Plan </w:t>
      </w:r>
      <w:r w:rsidRPr="00B7364B">
        <w:t>on the same account.</w:t>
      </w:r>
    </w:p>
    <w:p w14:paraId="264977E3" w14:textId="77777777" w:rsidR="00BA21F2" w:rsidRPr="00F271B8" w:rsidRDefault="00BA21F2" w:rsidP="00BA21F2">
      <w:pPr>
        <w:pStyle w:val="Heading7"/>
        <w:rPr>
          <w:lang w:val="en-AU"/>
        </w:rPr>
      </w:pPr>
      <w:r w:rsidRPr="00F271B8">
        <w:rPr>
          <w:lang w:val="en-AU"/>
        </w:rPr>
        <w:t>Th</w:t>
      </w:r>
      <w:r>
        <w:rPr>
          <w:lang w:val="en-AU"/>
        </w:rPr>
        <w:t>e $120 Business Plus</w:t>
      </w:r>
      <w:r w:rsidRPr="00F271B8">
        <w:rPr>
          <w:lang w:val="en-AU"/>
        </w:rPr>
        <w:t xml:space="preserve"> plan includes unlimited standard national </w:t>
      </w:r>
      <w:r>
        <w:rPr>
          <w:lang w:val="en-AU"/>
        </w:rPr>
        <w:t>talk &amp; text</w:t>
      </w:r>
      <w:r w:rsidRPr="00F271B8">
        <w:rPr>
          <w:lang w:val="en-AU"/>
        </w:rPr>
        <w:t xml:space="preserve"> and unlimited standard International </w:t>
      </w:r>
      <w:r>
        <w:rPr>
          <w:lang w:val="en-AU"/>
        </w:rPr>
        <w:t>talk &amp; text</w:t>
      </w:r>
      <w:r w:rsidRPr="00F271B8">
        <w:rPr>
          <w:lang w:val="en-AU"/>
        </w:rPr>
        <w:t xml:space="preserve"> to </w:t>
      </w:r>
      <w:r>
        <w:rPr>
          <w:lang w:val="en-AU"/>
        </w:rPr>
        <w:t>selected</w:t>
      </w:r>
      <w:r w:rsidRPr="00F271B8">
        <w:rPr>
          <w:lang w:val="en-AU"/>
        </w:rPr>
        <w:t xml:space="preserve"> countries</w:t>
      </w:r>
      <w:r>
        <w:rPr>
          <w:lang w:val="en-AU"/>
        </w:rPr>
        <w:t xml:space="preserve">. </w:t>
      </w:r>
      <w:r w:rsidRPr="00F271B8">
        <w:rPr>
          <w:lang w:val="en-AU"/>
        </w:rPr>
        <w:t>Th</w:t>
      </w:r>
      <w:r>
        <w:rPr>
          <w:lang w:val="en-AU"/>
        </w:rPr>
        <w:t>e $149 Business Plus</w:t>
      </w:r>
      <w:r w:rsidRPr="00F271B8">
        <w:rPr>
          <w:lang w:val="en-AU"/>
        </w:rPr>
        <w:t xml:space="preserve"> plan includes unlimited standard national </w:t>
      </w:r>
      <w:r>
        <w:rPr>
          <w:lang w:val="en-AU"/>
        </w:rPr>
        <w:t>talk &amp; text</w:t>
      </w:r>
      <w:r w:rsidRPr="00F271B8">
        <w:rPr>
          <w:lang w:val="en-AU"/>
        </w:rPr>
        <w:t xml:space="preserve"> and unlimited standard International </w:t>
      </w:r>
      <w:r>
        <w:rPr>
          <w:lang w:val="en-AU"/>
        </w:rPr>
        <w:t>talk &amp; text</w:t>
      </w:r>
      <w:r w:rsidRPr="00F271B8">
        <w:rPr>
          <w:lang w:val="en-AU"/>
        </w:rPr>
        <w:t xml:space="preserve"> to </w:t>
      </w:r>
      <w:r>
        <w:rPr>
          <w:lang w:val="en-AU"/>
        </w:rPr>
        <w:t>all</w:t>
      </w:r>
      <w:r w:rsidRPr="00F271B8">
        <w:rPr>
          <w:lang w:val="en-AU"/>
        </w:rPr>
        <w:t xml:space="preserve"> countries</w:t>
      </w:r>
      <w:r>
        <w:rPr>
          <w:lang w:val="en-AU"/>
        </w:rPr>
        <w:t xml:space="preserve">. </w:t>
      </w:r>
    </w:p>
    <w:p w14:paraId="6B88FDBA" w14:textId="77777777" w:rsidR="00BA21F2" w:rsidRPr="009E5E41" w:rsidRDefault="00BA21F2" w:rsidP="00BA21F2">
      <w:pPr>
        <w:pStyle w:val="Heading7"/>
      </w:pPr>
      <w:r w:rsidRPr="00F271B8">
        <w:rPr>
          <w:lang w:val="en-AU"/>
        </w:rPr>
        <w:t>Data usage is calculated in one kilobyte increments</w:t>
      </w:r>
      <w:r>
        <w:rPr>
          <w:lang w:val="en-AU"/>
        </w:rPr>
        <w:t xml:space="preserve">. </w:t>
      </w:r>
    </w:p>
    <w:p w14:paraId="017AC69B" w14:textId="77777777" w:rsidR="00BA21F2" w:rsidRPr="00F271B8" w:rsidRDefault="00BA21F2" w:rsidP="00BA21F2">
      <w:pPr>
        <w:pStyle w:val="Heading7"/>
        <w:rPr>
          <w:lang w:val="en-AU"/>
        </w:rPr>
      </w:pPr>
      <w:r w:rsidRPr="00F271B8">
        <w:rPr>
          <w:lang w:val="en-AU"/>
        </w:rPr>
        <w:t>If you exceed your included shareable data, you</w:t>
      </w:r>
      <w:r>
        <w:rPr>
          <w:lang w:val="en-AU"/>
        </w:rPr>
        <w:t>'</w:t>
      </w:r>
      <w:r w:rsidRPr="00F271B8">
        <w:rPr>
          <w:lang w:val="en-AU"/>
        </w:rPr>
        <w:t>ll automatically be charged $10 for each additional 1GB of data (</w:t>
      </w:r>
      <w:r>
        <w:rPr>
          <w:lang w:val="en-AU"/>
        </w:rPr>
        <w:t>"</w:t>
      </w:r>
      <w:r w:rsidRPr="00F271B8">
        <w:rPr>
          <w:b/>
          <w:lang w:val="en-AU"/>
        </w:rPr>
        <w:t>Additional Data</w:t>
      </w:r>
      <w:r>
        <w:rPr>
          <w:lang w:val="en-AU"/>
        </w:rPr>
        <w:t>"</w:t>
      </w:r>
      <w:r w:rsidRPr="00F271B8">
        <w:rPr>
          <w:lang w:val="en-AU"/>
        </w:rPr>
        <w:t>) that you use (or part thereof) up to 150GB of extra data per account each month</w:t>
      </w:r>
      <w:r>
        <w:rPr>
          <w:lang w:val="en-AU"/>
        </w:rPr>
        <w:t xml:space="preserve">. </w:t>
      </w:r>
      <w:r w:rsidRPr="00F271B8">
        <w:rPr>
          <w:lang w:val="en-AU"/>
        </w:rPr>
        <w:t>Your service/s may then be restricted, or we may continue to charge you at these rates.</w:t>
      </w:r>
    </w:p>
    <w:p w14:paraId="5E21C980" w14:textId="77777777" w:rsidR="00BA21F2" w:rsidRPr="009E5E41" w:rsidRDefault="00BA21F2" w:rsidP="00BA21F2">
      <w:pPr>
        <w:pStyle w:val="Heading7"/>
        <w:rPr>
          <w:lang w:val="en-AU"/>
        </w:rPr>
      </w:pPr>
      <w:r w:rsidRPr="009E5E41">
        <w:rPr>
          <w:lang w:val="en-AU"/>
        </w:rPr>
        <w:t xml:space="preserve">Any unused portion of </w:t>
      </w:r>
      <w:r w:rsidRPr="009E5E41">
        <w:rPr>
          <w:i/>
          <w:lang w:val="en-AU"/>
        </w:rPr>
        <w:t>your</w:t>
      </w:r>
      <w:r w:rsidRPr="009E5E41">
        <w:rPr>
          <w:lang w:val="en-AU"/>
        </w:rPr>
        <w:t xml:space="preserve"> </w:t>
      </w:r>
      <w:r w:rsidRPr="009E5E41">
        <w:rPr>
          <w:i/>
          <w:lang w:val="en-AU"/>
        </w:rPr>
        <w:t>plan's</w:t>
      </w:r>
      <w:r w:rsidRPr="009E5E41">
        <w:rPr>
          <w:lang w:val="en-AU"/>
        </w:rPr>
        <w:t xml:space="preserve"> Included or Additional Minutes or Included or Additional Data expires at the end of each month and does not roll over into the next month.</w:t>
      </w:r>
      <w:r w:rsidRPr="009E5E41">
        <w:t xml:space="preserve"> </w:t>
      </w:r>
    </w:p>
    <w:p w14:paraId="513C1F3F" w14:textId="77777777" w:rsidR="00BA21F2" w:rsidRPr="009E5E41" w:rsidRDefault="00BA21F2" w:rsidP="00BA21F2">
      <w:pPr>
        <w:pStyle w:val="Heading7"/>
        <w:rPr>
          <w:lang w:val="en-AU"/>
        </w:rPr>
      </w:pPr>
      <w:r w:rsidRPr="009E5E41">
        <w:rPr>
          <w:lang w:val="en-AU"/>
        </w:rPr>
        <w:t>You must pay us for use of any services that are not included in your plan’s inclusions, examples of which are set out in Table 2 below.</w:t>
      </w:r>
    </w:p>
    <w:p w14:paraId="0A87A0D6" w14:textId="77777777" w:rsidR="00BA21F2" w:rsidRPr="00F271B8" w:rsidRDefault="00BA21F2" w:rsidP="00BA21F2">
      <w:pPr>
        <w:pStyle w:val="Heading6"/>
        <w:ind w:left="0" w:firstLine="0"/>
        <w:rPr>
          <w:lang w:val="en-AU"/>
        </w:rPr>
      </w:pPr>
      <w:bookmarkStart w:id="2346" w:name="_Toc498674648"/>
      <w:bookmarkStart w:id="2347" w:name="_Toc500753773"/>
      <w:bookmarkStart w:id="2348" w:name="_Toc510690111"/>
      <w:r>
        <w:rPr>
          <w:lang w:val="en-AU"/>
        </w:rPr>
        <w:t>Plan Changes</w:t>
      </w:r>
      <w:bookmarkEnd w:id="2346"/>
      <w:bookmarkEnd w:id="2347"/>
      <w:bookmarkEnd w:id="2348"/>
      <w:r>
        <w:rPr>
          <w:lang w:val="en-AU"/>
        </w:rPr>
        <w:t xml:space="preserve"> </w:t>
      </w:r>
    </w:p>
    <w:p w14:paraId="1031E944" w14:textId="77777777" w:rsidR="00BA21F2" w:rsidRPr="00931860" w:rsidRDefault="00BA21F2" w:rsidP="00BA21F2">
      <w:pPr>
        <w:pStyle w:val="BodyText"/>
        <w:ind w:left="720"/>
        <w:rPr>
          <w:szCs w:val="20"/>
          <w:u w:val="single"/>
        </w:rPr>
      </w:pPr>
      <w:r w:rsidRPr="00520AEE">
        <w:t xml:space="preserve">You can change your plan during the minimum tern term provided you move to a plan with a higher monthly access fee. </w:t>
      </w:r>
      <w:r w:rsidRPr="00520AEE">
        <w:rPr>
          <w:szCs w:val="20"/>
        </w:rPr>
        <w:t>You</w:t>
      </w:r>
      <w:r w:rsidRPr="00931860">
        <w:rPr>
          <w:szCs w:val="20"/>
        </w:rPr>
        <w:t xml:space="preserve"> cannot change your plan during the minimum term to a plan with the same or lower monthly access fee. If you change your plan during the minimum term a fee may apply and any handset repayments will remain the same.</w:t>
      </w:r>
    </w:p>
    <w:p w14:paraId="65CEA008" w14:textId="77777777" w:rsidR="00BA21F2" w:rsidRPr="00931860" w:rsidRDefault="00BA21F2" w:rsidP="00BA21F2">
      <w:pPr>
        <w:pStyle w:val="Heading6"/>
        <w:rPr>
          <w:lang w:val="en-AU"/>
        </w:rPr>
      </w:pPr>
      <w:bookmarkStart w:id="2349" w:name="_Toc498674649"/>
      <w:bookmarkStart w:id="2350" w:name="_Toc500753774"/>
      <w:bookmarkStart w:id="2351" w:name="_Toc510690112"/>
      <w:r w:rsidRPr="00931860">
        <w:rPr>
          <w:lang w:val="en-AU"/>
        </w:rPr>
        <w:t>New Phone Trade Up</w:t>
      </w:r>
      <w:bookmarkEnd w:id="2349"/>
      <w:bookmarkEnd w:id="2350"/>
      <w:bookmarkEnd w:id="2351"/>
    </w:p>
    <w:p w14:paraId="42DE33F0" w14:textId="77777777" w:rsidR="00BA21F2" w:rsidRPr="00931860" w:rsidRDefault="00BA21F2" w:rsidP="00BA21F2">
      <w:pPr>
        <w:spacing w:after="200"/>
        <w:ind w:left="709"/>
        <w:rPr>
          <w:rFonts w:cs="Arial"/>
          <w:sz w:val="20"/>
          <w:szCs w:val="20"/>
        </w:rPr>
      </w:pPr>
      <w:r w:rsidRPr="00931860">
        <w:rPr>
          <w:rFonts w:cs="Arial"/>
          <w:sz w:val="20"/>
          <w:szCs w:val="20"/>
        </w:rPr>
        <w:t>The plans referred to in this section include the option of New Phone Trade Up, which can be exercised in two ways:</w:t>
      </w:r>
    </w:p>
    <w:p w14:paraId="617B60A4" w14:textId="77777777" w:rsidR="00BA21F2" w:rsidRPr="00931860" w:rsidRDefault="00BA21F2" w:rsidP="00BA21F2">
      <w:pPr>
        <w:pStyle w:val="Heading7"/>
        <w:rPr>
          <w:rFonts w:cs="Arial"/>
          <w:szCs w:val="20"/>
          <w:lang w:val="en-AU"/>
        </w:rPr>
      </w:pPr>
      <w:r w:rsidRPr="00931860">
        <w:rPr>
          <w:rFonts w:cs="Arial"/>
          <w:szCs w:val="20"/>
          <w:lang w:val="en-AU"/>
        </w:rPr>
        <w:t>New Phone Trade Up for $99</w:t>
      </w:r>
    </w:p>
    <w:p w14:paraId="55376757" w14:textId="77777777" w:rsidR="00BA21F2" w:rsidRPr="00931860" w:rsidRDefault="00BA21F2" w:rsidP="00BA21F2">
      <w:pPr>
        <w:numPr>
          <w:ilvl w:val="7"/>
          <w:numId w:val="1"/>
        </w:numPr>
        <w:spacing w:after="200"/>
        <w:outlineLvl w:val="7"/>
        <w:rPr>
          <w:rFonts w:cs="Arial"/>
          <w:sz w:val="20"/>
          <w:szCs w:val="20"/>
          <w:lang w:val="en-AU"/>
        </w:rPr>
      </w:pPr>
      <w:r w:rsidRPr="00931860">
        <w:rPr>
          <w:rFonts w:cs="Arial"/>
          <w:sz w:val="20"/>
          <w:szCs w:val="20"/>
          <w:lang w:val="en-AU"/>
        </w:rPr>
        <w:t>After 12 months on one of these plans, you can pay a one fee of $99, return your original mobile phone to a Yes Optus store in good working order, purchase a new mobile phone on a new 24-month plan and sign documentation that will enable ownership of your original mobile phone to be transferred to a second-hand dealer nominated by Optus.</w:t>
      </w:r>
    </w:p>
    <w:p w14:paraId="498466CC" w14:textId="77777777" w:rsidR="00BA21F2" w:rsidRPr="00931860" w:rsidRDefault="00BA21F2" w:rsidP="00BA21F2">
      <w:pPr>
        <w:numPr>
          <w:ilvl w:val="7"/>
          <w:numId w:val="1"/>
        </w:numPr>
        <w:spacing w:after="200"/>
        <w:outlineLvl w:val="7"/>
        <w:rPr>
          <w:rFonts w:cs="Arial"/>
          <w:sz w:val="20"/>
          <w:szCs w:val="20"/>
          <w:lang w:val="en-AU"/>
        </w:rPr>
      </w:pPr>
      <w:r w:rsidRPr="00931860">
        <w:rPr>
          <w:rFonts w:cs="Arial"/>
          <w:sz w:val="20"/>
          <w:szCs w:val="20"/>
          <w:lang w:val="en-AU"/>
        </w:rPr>
        <w:lastRenderedPageBreak/>
        <w:t>A mobile phone is considered to be in good working order</w:t>
      </w:r>
      <w:r>
        <w:rPr>
          <w:rFonts w:cs="Arial"/>
          <w:sz w:val="20"/>
          <w:szCs w:val="20"/>
          <w:lang w:val="en-AU"/>
        </w:rPr>
        <w:t xml:space="preserve"> when</w:t>
      </w:r>
      <w:r w:rsidRPr="00931860">
        <w:rPr>
          <w:rFonts w:cs="Arial"/>
          <w:sz w:val="20"/>
          <w:szCs w:val="20"/>
          <w:lang w:val="en-AU"/>
        </w:rPr>
        <w:t>:</w:t>
      </w:r>
    </w:p>
    <w:p w14:paraId="7768730D" w14:textId="77777777" w:rsidR="00BA21F2" w:rsidRPr="00931860" w:rsidRDefault="00BA21F2" w:rsidP="00BA21F2">
      <w:pPr>
        <w:numPr>
          <w:ilvl w:val="1"/>
          <w:numId w:val="80"/>
        </w:numPr>
        <w:spacing w:before="120" w:after="120"/>
        <w:ind w:left="2880" w:hanging="753"/>
        <w:rPr>
          <w:rFonts w:cs="Arial"/>
          <w:sz w:val="20"/>
          <w:szCs w:val="20"/>
          <w:lang w:val="en-AU"/>
        </w:rPr>
      </w:pPr>
      <w:r w:rsidRPr="00931860">
        <w:rPr>
          <w:rFonts w:cs="Arial"/>
          <w:sz w:val="20"/>
          <w:szCs w:val="20"/>
          <w:lang w:val="en-AU"/>
        </w:rPr>
        <w:t xml:space="preserve">it can power on and off, </w:t>
      </w:r>
    </w:p>
    <w:p w14:paraId="7D12BCD8" w14:textId="77777777" w:rsidR="00BA21F2" w:rsidRPr="00931860" w:rsidRDefault="00BA21F2" w:rsidP="00BA21F2">
      <w:pPr>
        <w:numPr>
          <w:ilvl w:val="1"/>
          <w:numId w:val="80"/>
        </w:numPr>
        <w:spacing w:before="120" w:after="120"/>
        <w:ind w:left="2880" w:hanging="753"/>
        <w:rPr>
          <w:rFonts w:cs="Arial"/>
          <w:sz w:val="20"/>
          <w:szCs w:val="20"/>
          <w:lang w:val="en-AU"/>
        </w:rPr>
      </w:pPr>
      <w:r w:rsidRPr="00931860">
        <w:rPr>
          <w:rFonts w:cs="Arial"/>
          <w:sz w:val="20"/>
          <w:szCs w:val="20"/>
          <w:lang w:val="en-AU"/>
        </w:rPr>
        <w:t xml:space="preserve">it has a touchscreen that is fully functional and has no imperfections such as lines or marks, </w:t>
      </w:r>
    </w:p>
    <w:p w14:paraId="52E3A5E0" w14:textId="77777777" w:rsidR="00BA21F2" w:rsidRPr="00931860" w:rsidRDefault="00BA21F2" w:rsidP="00BA21F2">
      <w:pPr>
        <w:numPr>
          <w:ilvl w:val="1"/>
          <w:numId w:val="80"/>
        </w:numPr>
        <w:spacing w:before="120" w:after="120"/>
        <w:ind w:left="2880" w:hanging="753"/>
        <w:rPr>
          <w:rFonts w:cs="Arial"/>
          <w:sz w:val="20"/>
          <w:szCs w:val="20"/>
          <w:lang w:val="en-AU"/>
        </w:rPr>
      </w:pPr>
      <w:r w:rsidRPr="00931860">
        <w:rPr>
          <w:rFonts w:cs="Arial"/>
          <w:sz w:val="20"/>
          <w:szCs w:val="20"/>
          <w:lang w:val="en-AU"/>
        </w:rPr>
        <w:t xml:space="preserve">it does not have any missing buttons or damage to other components such as charging ports, SIM tray, </w:t>
      </w:r>
    </w:p>
    <w:p w14:paraId="025F6283" w14:textId="77777777" w:rsidR="00BA21F2" w:rsidRPr="00931860" w:rsidRDefault="00BA21F2" w:rsidP="00BA21F2">
      <w:pPr>
        <w:numPr>
          <w:ilvl w:val="1"/>
          <w:numId w:val="80"/>
        </w:numPr>
        <w:spacing w:before="120" w:after="120"/>
        <w:ind w:left="2880" w:hanging="753"/>
        <w:rPr>
          <w:rFonts w:cs="Arial"/>
          <w:sz w:val="20"/>
          <w:szCs w:val="20"/>
          <w:lang w:val="en-AU"/>
        </w:rPr>
      </w:pPr>
      <w:r w:rsidRPr="00931860">
        <w:rPr>
          <w:rFonts w:cs="Arial"/>
          <w:sz w:val="20"/>
          <w:szCs w:val="20"/>
          <w:lang w:val="en-AU"/>
        </w:rPr>
        <w:t xml:space="preserve">the mobile phone (including the touchscreen) is not cracked and does not have any severe scratches (normal wear and tear such as light marks and scratches are okay); and </w:t>
      </w:r>
    </w:p>
    <w:p w14:paraId="2052F0CB" w14:textId="77777777" w:rsidR="00BA21F2" w:rsidRPr="00931860" w:rsidRDefault="00BA21F2" w:rsidP="00BA21F2">
      <w:pPr>
        <w:numPr>
          <w:ilvl w:val="1"/>
          <w:numId w:val="80"/>
        </w:numPr>
        <w:spacing w:before="120" w:after="120"/>
        <w:ind w:left="2880" w:hanging="753"/>
        <w:rPr>
          <w:rFonts w:cs="Arial"/>
          <w:sz w:val="20"/>
          <w:szCs w:val="20"/>
          <w:lang w:val="en-AU"/>
        </w:rPr>
      </w:pPr>
      <w:r w:rsidRPr="00931860">
        <w:rPr>
          <w:rFonts w:cs="Arial"/>
          <w:sz w:val="20"/>
          <w:szCs w:val="20"/>
          <w:lang w:val="en-AU"/>
        </w:rPr>
        <w:t xml:space="preserve">any locking features are disabled.  </w:t>
      </w:r>
    </w:p>
    <w:p w14:paraId="28EC4DE1" w14:textId="77777777" w:rsidR="00BA21F2" w:rsidRPr="00931860" w:rsidRDefault="00BA21F2" w:rsidP="00BA21F2">
      <w:pPr>
        <w:numPr>
          <w:ilvl w:val="7"/>
          <w:numId w:val="1"/>
        </w:numPr>
        <w:spacing w:after="200"/>
        <w:outlineLvl w:val="7"/>
        <w:rPr>
          <w:rFonts w:cs="Arial"/>
          <w:sz w:val="20"/>
          <w:szCs w:val="20"/>
          <w:lang w:val="en-AU"/>
        </w:rPr>
      </w:pPr>
      <w:r w:rsidRPr="00931860">
        <w:rPr>
          <w:rFonts w:cs="Arial"/>
          <w:sz w:val="20"/>
          <w:szCs w:val="20"/>
          <w:lang w:val="en-AU"/>
        </w:rPr>
        <w:t xml:space="preserve">The mobile phone you return in accordance with section 2.6(a) must be the mobile phone you purchased when you took up one of the plans referred to in this section. </w:t>
      </w:r>
    </w:p>
    <w:p w14:paraId="0C7468B7" w14:textId="77777777" w:rsidR="00BA21F2" w:rsidRPr="00931860" w:rsidRDefault="00BA21F2" w:rsidP="00BA21F2">
      <w:pPr>
        <w:numPr>
          <w:ilvl w:val="7"/>
          <w:numId w:val="1"/>
        </w:numPr>
        <w:spacing w:after="200"/>
        <w:outlineLvl w:val="7"/>
        <w:rPr>
          <w:rFonts w:cs="Arial"/>
          <w:sz w:val="20"/>
          <w:szCs w:val="20"/>
          <w:lang w:val="en-AU"/>
        </w:rPr>
      </w:pPr>
      <w:r w:rsidRPr="00931860">
        <w:rPr>
          <w:rFonts w:cs="Arial"/>
          <w:sz w:val="20"/>
          <w:szCs w:val="20"/>
          <w:lang w:val="en-AU"/>
        </w:rPr>
        <w:t xml:space="preserve">When you seek to exercise this option, and meet the relevant conditions, Optus agrees to waive any remaining mobile phone repayment charges on the mobile phone you are returning. </w:t>
      </w:r>
    </w:p>
    <w:p w14:paraId="68E1DBE4" w14:textId="77777777" w:rsidR="00BA21F2" w:rsidRPr="00931860" w:rsidRDefault="00BA21F2" w:rsidP="00BA21F2">
      <w:pPr>
        <w:numPr>
          <w:ilvl w:val="7"/>
          <w:numId w:val="1"/>
        </w:numPr>
        <w:spacing w:after="200"/>
        <w:outlineLvl w:val="7"/>
        <w:rPr>
          <w:rFonts w:cs="Arial"/>
          <w:sz w:val="20"/>
          <w:szCs w:val="20"/>
          <w:lang w:val="en-AU"/>
        </w:rPr>
      </w:pPr>
      <w:r w:rsidRPr="00931860">
        <w:rPr>
          <w:rFonts w:cs="Arial"/>
          <w:sz w:val="20"/>
          <w:szCs w:val="20"/>
          <w:lang w:val="en-AU"/>
        </w:rPr>
        <w:t xml:space="preserve">By exercising this option, you acknowledge that the second-hand device vendor will pay Optus a fee on your behalf for the mobile phone you return in part consideration of Optus waiving your remaining mobile phone repayments on the phone you are returning.  </w:t>
      </w:r>
    </w:p>
    <w:p w14:paraId="3BBDA87F" w14:textId="77777777" w:rsidR="00BA21F2" w:rsidRPr="00931860" w:rsidRDefault="00BA21F2" w:rsidP="00BA21F2">
      <w:pPr>
        <w:numPr>
          <w:ilvl w:val="2"/>
          <w:numId w:val="63"/>
        </w:numPr>
        <w:tabs>
          <w:tab w:val="clear" w:pos="1843"/>
          <w:tab w:val="num" w:pos="1418"/>
        </w:tabs>
        <w:spacing w:before="120" w:after="120"/>
        <w:ind w:left="1418" w:hanging="709"/>
        <w:rPr>
          <w:rFonts w:cs="Arial"/>
          <w:sz w:val="20"/>
          <w:szCs w:val="20"/>
          <w:lang w:val="en-AU"/>
        </w:rPr>
      </w:pPr>
      <w:r w:rsidRPr="00931860">
        <w:rPr>
          <w:rFonts w:cs="Arial"/>
          <w:sz w:val="20"/>
          <w:szCs w:val="20"/>
          <w:lang w:val="en-AU"/>
        </w:rPr>
        <w:t>Keep existing mobile phone</w:t>
      </w:r>
    </w:p>
    <w:p w14:paraId="75F5F4D6" w14:textId="77777777" w:rsidR="00BA21F2" w:rsidRPr="00416197" w:rsidRDefault="00BA21F2" w:rsidP="00BA21F2">
      <w:pPr>
        <w:pStyle w:val="Heading8"/>
        <w:numPr>
          <w:ilvl w:val="7"/>
          <w:numId w:val="3"/>
        </w:numPr>
        <w:rPr>
          <w:rFonts w:cs="Arial"/>
          <w:szCs w:val="20"/>
          <w:lang w:val="en-AU"/>
        </w:rPr>
      </w:pPr>
      <w:r w:rsidRPr="00416197">
        <w:rPr>
          <w:rFonts w:cs="Arial"/>
          <w:szCs w:val="20"/>
          <w:lang w:val="en-AU"/>
        </w:rPr>
        <w:t>Alternatively, and instead of paying $99, if you wish to keep your original mobile handset, you can simply pay out the full remaining cost of your mobile handset, including any monthly handset credit that Optus was going to cover and purchase a new mobile phone on a new 24-month plan.</w:t>
      </w:r>
      <w:r w:rsidRPr="00416197">
        <w:rPr>
          <w:lang w:val="en-AU"/>
        </w:rPr>
        <w:tab/>
      </w:r>
      <w:r w:rsidRPr="00416197">
        <w:rPr>
          <w:lang w:val="en-AU"/>
        </w:rPr>
        <w:tab/>
      </w:r>
    </w:p>
    <w:p w14:paraId="77BEBABD" w14:textId="77777777" w:rsidR="00BA21F2" w:rsidRPr="00F271B8" w:rsidRDefault="00BA21F2" w:rsidP="00BA21F2">
      <w:pPr>
        <w:pStyle w:val="Heading6"/>
        <w:ind w:left="0" w:firstLine="0"/>
        <w:rPr>
          <w:lang w:val="en-AU"/>
        </w:rPr>
      </w:pPr>
      <w:bookmarkStart w:id="2352" w:name="_Toc498674650"/>
      <w:bookmarkStart w:id="2353" w:name="_Toc500753775"/>
      <w:bookmarkStart w:id="2354" w:name="_Toc510690113"/>
      <w:r w:rsidRPr="00F271B8">
        <w:rPr>
          <w:lang w:val="en-AU"/>
        </w:rPr>
        <w:t>Data Sharing</w:t>
      </w:r>
      <w:bookmarkEnd w:id="2352"/>
      <w:bookmarkEnd w:id="2353"/>
      <w:bookmarkEnd w:id="2354"/>
    </w:p>
    <w:p w14:paraId="6B0ECE62" w14:textId="77777777" w:rsidR="00BA21F2" w:rsidRPr="00F271B8" w:rsidRDefault="00BA21F2" w:rsidP="00BA21F2">
      <w:pPr>
        <w:pStyle w:val="Heading7"/>
        <w:rPr>
          <w:lang w:val="en-AU"/>
        </w:rPr>
      </w:pPr>
      <w:r w:rsidRPr="00B7364B">
        <w:rPr>
          <w:snapToGrid w:val="0"/>
        </w:rPr>
        <w:t xml:space="preserve">If </w:t>
      </w:r>
      <w:r w:rsidRPr="00B7364B">
        <w:rPr>
          <w:i/>
          <w:snapToGrid w:val="0"/>
        </w:rPr>
        <w:t xml:space="preserve">you </w:t>
      </w:r>
      <w:r w:rsidRPr="00B7364B">
        <w:rPr>
          <w:lang w:eastAsia="en-AU"/>
        </w:rPr>
        <w:t xml:space="preserve">have more than one Business Plan, </w:t>
      </w:r>
      <w:r w:rsidRPr="00B7364B">
        <w:t>My Plan Plus</w:t>
      </w:r>
      <w:r w:rsidRPr="00B7364B">
        <w:rPr>
          <w:lang w:eastAsia="en-AU"/>
        </w:rPr>
        <w:t xml:space="preserve">, My Plan Plus SIM Only, Business </w:t>
      </w:r>
      <w:r>
        <w:rPr>
          <w:lang w:eastAsia="en-AU"/>
        </w:rPr>
        <w:t xml:space="preserve">Plus </w:t>
      </w:r>
      <w:r w:rsidRPr="00B7364B">
        <w:rPr>
          <w:lang w:eastAsia="en-AU"/>
        </w:rPr>
        <w:t xml:space="preserve">(including Tech Fund), My Plan Business (including Tech Fund), My Plan Business SIM, </w:t>
      </w:r>
      <w:r w:rsidRPr="00341FA5">
        <w:rPr>
          <w:lang w:eastAsia="en-AU"/>
        </w:rPr>
        <w:t>My Plan Flex, My Plan Business Flex, Business Lease,</w:t>
      </w:r>
      <w:r>
        <w:rPr>
          <w:lang w:eastAsia="en-AU"/>
        </w:rPr>
        <w:t xml:space="preserve"> Business Plus,</w:t>
      </w:r>
      <w:r w:rsidRPr="00B7364B">
        <w:rPr>
          <w:lang w:eastAsia="en-AU"/>
        </w:rPr>
        <w:t xml:space="preserve"> My Mobile Broadband Plus or Mobile Broadband Business on the same billing account, the included data will combine into one data pool, which will be shared by all eligible services on that account</w:t>
      </w:r>
    </w:p>
    <w:p w14:paraId="32106AD5" w14:textId="77777777" w:rsidR="00BA21F2" w:rsidRPr="00F271B8" w:rsidRDefault="00BA21F2" w:rsidP="00BA21F2">
      <w:pPr>
        <w:pStyle w:val="Heading7"/>
        <w:rPr>
          <w:lang w:val="en-AU"/>
        </w:rPr>
      </w:pPr>
      <w:r w:rsidRPr="00F271B8">
        <w:rPr>
          <w:lang w:val="en-AU"/>
        </w:rPr>
        <w:t>Data sharing is only available within Australia.</w:t>
      </w:r>
    </w:p>
    <w:p w14:paraId="3ADF3024" w14:textId="77777777" w:rsidR="00BA21F2" w:rsidRPr="00500C24" w:rsidRDefault="00BA21F2" w:rsidP="00BA21F2">
      <w:pPr>
        <w:pStyle w:val="Heading6"/>
        <w:ind w:left="0" w:firstLine="0"/>
        <w:rPr>
          <w:lang w:val="en-AU"/>
        </w:rPr>
      </w:pPr>
      <w:bookmarkStart w:id="2355" w:name="_Toc498674651"/>
      <w:bookmarkStart w:id="2356" w:name="_Toc500753776"/>
      <w:bookmarkStart w:id="2357" w:name="_Toc510690114"/>
      <w:r w:rsidRPr="00500C24">
        <w:rPr>
          <w:lang w:val="en-AU"/>
        </w:rPr>
        <w:t>International Minutes</w:t>
      </w:r>
      <w:bookmarkEnd w:id="2355"/>
      <w:bookmarkEnd w:id="2356"/>
      <w:bookmarkEnd w:id="2357"/>
    </w:p>
    <w:p w14:paraId="1F46A8DA" w14:textId="77777777" w:rsidR="00BA21F2" w:rsidRPr="00500C24" w:rsidRDefault="00BA21F2" w:rsidP="00BA21F2">
      <w:pPr>
        <w:ind w:left="709"/>
        <w:rPr>
          <w:rFonts w:cs="Arial"/>
          <w:sz w:val="20"/>
          <w:szCs w:val="20"/>
        </w:rPr>
      </w:pPr>
      <w:r>
        <w:rPr>
          <w:rFonts w:cs="Arial"/>
          <w:sz w:val="20"/>
          <w:szCs w:val="20"/>
        </w:rPr>
        <w:t>The $120</w:t>
      </w:r>
      <w:r w:rsidRPr="00500C24">
        <w:rPr>
          <w:rFonts w:cs="Arial"/>
          <w:sz w:val="20"/>
          <w:szCs w:val="20"/>
        </w:rPr>
        <w:t xml:space="preserve"> Business</w:t>
      </w:r>
      <w:r>
        <w:rPr>
          <w:rFonts w:cs="Arial"/>
          <w:sz w:val="20"/>
          <w:szCs w:val="20"/>
        </w:rPr>
        <w:t xml:space="preserve"> Plus plan</w:t>
      </w:r>
      <w:r w:rsidRPr="00500C24">
        <w:rPr>
          <w:rFonts w:cs="Arial"/>
          <w:sz w:val="20"/>
          <w:szCs w:val="20"/>
        </w:rPr>
        <w:t xml:space="preserve"> includes unlimited international minutes for standard cal</w:t>
      </w:r>
      <w:r>
        <w:rPr>
          <w:rFonts w:cs="Arial"/>
          <w:sz w:val="20"/>
          <w:szCs w:val="20"/>
        </w:rPr>
        <w:t>ls to mobiles and fixed lines to</w:t>
      </w:r>
      <w:r w:rsidRPr="00500C24">
        <w:rPr>
          <w:rFonts w:cs="Arial"/>
          <w:sz w:val="20"/>
          <w:szCs w:val="20"/>
        </w:rPr>
        <w:t xml:space="preserve"> </w:t>
      </w:r>
      <w:r>
        <w:rPr>
          <w:rFonts w:cs="Arial"/>
          <w:sz w:val="20"/>
          <w:szCs w:val="20"/>
        </w:rPr>
        <w:t>selected</w:t>
      </w:r>
      <w:r w:rsidRPr="00500C24">
        <w:rPr>
          <w:rFonts w:cs="Arial"/>
          <w:sz w:val="20"/>
          <w:szCs w:val="20"/>
        </w:rPr>
        <w:t xml:space="preserve"> countries. </w:t>
      </w:r>
      <w:r>
        <w:rPr>
          <w:rFonts w:cs="Arial"/>
          <w:sz w:val="20"/>
          <w:szCs w:val="20"/>
        </w:rPr>
        <w:t>The $149</w:t>
      </w:r>
      <w:r w:rsidRPr="00500C24">
        <w:rPr>
          <w:rFonts w:cs="Arial"/>
          <w:sz w:val="20"/>
          <w:szCs w:val="20"/>
        </w:rPr>
        <w:t xml:space="preserve"> Business</w:t>
      </w:r>
      <w:r>
        <w:rPr>
          <w:rFonts w:cs="Arial"/>
          <w:sz w:val="20"/>
          <w:szCs w:val="20"/>
        </w:rPr>
        <w:t xml:space="preserve"> Plus plan</w:t>
      </w:r>
      <w:r w:rsidRPr="00500C24">
        <w:rPr>
          <w:rFonts w:cs="Arial"/>
          <w:sz w:val="20"/>
          <w:szCs w:val="20"/>
        </w:rPr>
        <w:t xml:space="preserve"> includes unlimited international minutes for standard cal</w:t>
      </w:r>
      <w:r>
        <w:rPr>
          <w:rFonts w:cs="Arial"/>
          <w:sz w:val="20"/>
          <w:szCs w:val="20"/>
        </w:rPr>
        <w:t>ls to mobiles and fixed lines to</w:t>
      </w:r>
      <w:r w:rsidRPr="00500C24">
        <w:rPr>
          <w:rFonts w:cs="Arial"/>
          <w:sz w:val="20"/>
          <w:szCs w:val="20"/>
        </w:rPr>
        <w:t xml:space="preserve"> </w:t>
      </w:r>
      <w:r>
        <w:rPr>
          <w:rFonts w:cs="Arial"/>
          <w:sz w:val="20"/>
          <w:szCs w:val="20"/>
        </w:rPr>
        <w:t>all</w:t>
      </w:r>
      <w:r w:rsidRPr="00500C24">
        <w:rPr>
          <w:rFonts w:cs="Arial"/>
          <w:sz w:val="20"/>
          <w:szCs w:val="20"/>
        </w:rPr>
        <w:t xml:space="preserve"> countries. </w:t>
      </w:r>
      <w:r>
        <w:rPr>
          <w:rFonts w:cs="Arial"/>
          <w:sz w:val="20"/>
          <w:szCs w:val="20"/>
        </w:rPr>
        <w:br/>
      </w:r>
    </w:p>
    <w:p w14:paraId="74C86984" w14:textId="77777777" w:rsidR="00BA21F2" w:rsidRPr="00F271B8" w:rsidRDefault="00BA21F2" w:rsidP="00BA21F2">
      <w:pPr>
        <w:pStyle w:val="Heading6"/>
        <w:ind w:left="0" w:firstLine="0"/>
        <w:rPr>
          <w:lang w:val="en-AU"/>
        </w:rPr>
      </w:pPr>
      <w:bookmarkStart w:id="2358" w:name="_Toc498674652"/>
      <w:bookmarkStart w:id="2359" w:name="_Toc500753777"/>
      <w:bookmarkStart w:id="2360" w:name="_Toc510690115"/>
      <w:r w:rsidRPr="00F271B8">
        <w:rPr>
          <w:lang w:val="en-AU"/>
        </w:rPr>
        <w:t>Unlimited standard national SMS and MMS</w:t>
      </w:r>
      <w:bookmarkEnd w:id="2358"/>
      <w:bookmarkEnd w:id="2359"/>
      <w:bookmarkEnd w:id="2360"/>
    </w:p>
    <w:p w14:paraId="4784E13E" w14:textId="77777777" w:rsidR="00BA21F2" w:rsidRDefault="00BA21F2" w:rsidP="00BA21F2">
      <w:pPr>
        <w:pStyle w:val="BodyText"/>
        <w:ind w:left="720"/>
        <w:rPr>
          <w:szCs w:val="20"/>
        </w:rPr>
      </w:pPr>
      <w:r w:rsidRPr="00F271B8">
        <w:rPr>
          <w:i/>
          <w:szCs w:val="20"/>
        </w:rPr>
        <w:t>You</w:t>
      </w:r>
      <w:r w:rsidRPr="00F271B8">
        <w:rPr>
          <w:szCs w:val="20"/>
        </w:rPr>
        <w:t xml:space="preserve"> may send unlimited standard SMS and MMS to Australian mobiles from within Australia</w:t>
      </w:r>
      <w:r>
        <w:rPr>
          <w:szCs w:val="20"/>
        </w:rPr>
        <w:t xml:space="preserve">. </w:t>
      </w:r>
      <w:hyperlink r:id="rId883" w:history="1">
        <w:r w:rsidRPr="00F271B8">
          <w:rPr>
            <w:rStyle w:val="Hyperlink"/>
            <w:i/>
            <w:szCs w:val="20"/>
          </w:rPr>
          <w:t>Fair Go Policy</w:t>
        </w:r>
      </w:hyperlink>
      <w:r w:rsidRPr="00F271B8">
        <w:rPr>
          <w:szCs w:val="20"/>
        </w:rPr>
        <w:t xml:space="preserve"> applies</w:t>
      </w:r>
      <w:r>
        <w:rPr>
          <w:szCs w:val="20"/>
        </w:rPr>
        <w:t xml:space="preserve">. </w:t>
      </w:r>
      <w:r w:rsidRPr="00F271B8">
        <w:rPr>
          <w:szCs w:val="20"/>
        </w:rPr>
        <w:t xml:space="preserve">For further details refer to </w:t>
      </w:r>
      <w:hyperlink r:id="rId884" w:history="1">
        <w:r w:rsidRPr="00F271B8">
          <w:rPr>
            <w:rStyle w:val="Hyperlink"/>
            <w:i/>
            <w:szCs w:val="20"/>
          </w:rPr>
          <w:t>Appendix S</w:t>
        </w:r>
        <w:r w:rsidRPr="00FE65F4">
          <w:rPr>
            <w:rStyle w:val="Hyperlink"/>
            <w:i/>
            <w:szCs w:val="20"/>
          </w:rPr>
          <w:t>.</w:t>
        </w:r>
      </w:hyperlink>
    </w:p>
    <w:p w14:paraId="4FC1DDC4" w14:textId="77777777" w:rsidR="00BA21F2" w:rsidRPr="00F271B8" w:rsidRDefault="00BA21F2" w:rsidP="00BA21F2">
      <w:pPr>
        <w:pStyle w:val="BodyText"/>
        <w:ind w:left="720"/>
        <w:rPr>
          <w:szCs w:val="20"/>
          <w:u w:val="single"/>
        </w:rPr>
      </w:pPr>
      <w:r w:rsidRPr="00F3117A">
        <w:rPr>
          <w:szCs w:val="20"/>
        </w:rPr>
        <w:t xml:space="preserve">Unlimited standard national SMS and MMS are only available for personal and ordinary business use and are not to be used for a commercial or non-ordinary purpose as set out in the </w:t>
      </w:r>
      <w:hyperlink r:id="rId885" w:history="1">
        <w:r w:rsidRPr="00F3117A">
          <w:rPr>
            <w:rFonts w:cs="Arial"/>
            <w:i/>
            <w:color w:val="13607C"/>
            <w:szCs w:val="20"/>
            <w:u w:val="single"/>
          </w:rPr>
          <w:t>Fair Go Policy</w:t>
        </w:r>
      </w:hyperlink>
      <w:r w:rsidRPr="00F3117A">
        <w:rPr>
          <w:szCs w:val="20"/>
        </w:rPr>
        <w:t xml:space="preserve">. For further details refer to </w:t>
      </w:r>
      <w:hyperlink r:id="rId886" w:history="1">
        <w:r w:rsidRPr="00F3117A">
          <w:rPr>
            <w:i/>
            <w:color w:val="13607C"/>
            <w:szCs w:val="20"/>
            <w:u w:val="single"/>
          </w:rPr>
          <w:t>Appendix S</w:t>
        </w:r>
      </w:hyperlink>
    </w:p>
    <w:p w14:paraId="5B6584AA" w14:textId="77777777" w:rsidR="00BA21F2" w:rsidRPr="00F271B8" w:rsidRDefault="00BA21F2" w:rsidP="00BA21F2">
      <w:pPr>
        <w:pStyle w:val="Heading6"/>
        <w:ind w:left="0" w:firstLine="0"/>
        <w:rPr>
          <w:lang w:val="en-AU"/>
        </w:rPr>
      </w:pPr>
      <w:bookmarkStart w:id="2361" w:name="_Toc498674653"/>
      <w:bookmarkStart w:id="2362" w:name="_Toc500753778"/>
      <w:bookmarkStart w:id="2363" w:name="_Toc510690116"/>
      <w:r w:rsidRPr="00F271B8">
        <w:rPr>
          <w:lang w:val="en-AU"/>
        </w:rPr>
        <w:t>Unlimited standard international SMS and MMS</w:t>
      </w:r>
      <w:bookmarkEnd w:id="2361"/>
      <w:bookmarkEnd w:id="2362"/>
      <w:bookmarkEnd w:id="2363"/>
    </w:p>
    <w:p w14:paraId="609F4D24" w14:textId="77777777" w:rsidR="00BA21F2" w:rsidRDefault="00BA21F2" w:rsidP="00BA21F2">
      <w:pPr>
        <w:pStyle w:val="BodyText"/>
        <w:ind w:left="720"/>
        <w:rPr>
          <w:i/>
          <w:szCs w:val="20"/>
        </w:rPr>
      </w:pPr>
      <w:r w:rsidRPr="00F271B8">
        <w:rPr>
          <w:i/>
          <w:szCs w:val="20"/>
        </w:rPr>
        <w:t>You</w:t>
      </w:r>
      <w:r w:rsidRPr="00F271B8">
        <w:rPr>
          <w:szCs w:val="20"/>
        </w:rPr>
        <w:t xml:space="preserve"> may send unlimited standard SMS and MMS to </w:t>
      </w:r>
      <w:r>
        <w:rPr>
          <w:szCs w:val="20"/>
        </w:rPr>
        <w:t>all</w:t>
      </w:r>
      <w:r w:rsidRPr="00F271B8">
        <w:rPr>
          <w:szCs w:val="20"/>
        </w:rPr>
        <w:t xml:space="preserve"> countries from within Australia</w:t>
      </w:r>
      <w:r>
        <w:rPr>
          <w:szCs w:val="20"/>
        </w:rPr>
        <w:t xml:space="preserve">. </w:t>
      </w:r>
      <w:hyperlink r:id="rId887" w:history="1">
        <w:r w:rsidRPr="00F271B8">
          <w:rPr>
            <w:rStyle w:val="Hyperlink"/>
            <w:i/>
            <w:szCs w:val="20"/>
          </w:rPr>
          <w:t>Fair Go Policy</w:t>
        </w:r>
      </w:hyperlink>
      <w:r w:rsidRPr="00F271B8">
        <w:rPr>
          <w:i/>
          <w:szCs w:val="20"/>
        </w:rPr>
        <w:t xml:space="preserve"> </w:t>
      </w:r>
      <w:r w:rsidRPr="00F271B8">
        <w:rPr>
          <w:szCs w:val="20"/>
        </w:rPr>
        <w:t>applies</w:t>
      </w:r>
      <w:r>
        <w:rPr>
          <w:szCs w:val="20"/>
        </w:rPr>
        <w:t xml:space="preserve">. </w:t>
      </w:r>
      <w:r w:rsidRPr="00F271B8">
        <w:rPr>
          <w:szCs w:val="20"/>
        </w:rPr>
        <w:t xml:space="preserve">For further details refer to </w:t>
      </w:r>
      <w:hyperlink r:id="rId888" w:history="1">
        <w:r w:rsidRPr="00F271B8">
          <w:rPr>
            <w:rStyle w:val="Hyperlink"/>
            <w:i/>
            <w:szCs w:val="20"/>
          </w:rPr>
          <w:t>Appendix S</w:t>
        </w:r>
        <w:r w:rsidRPr="00FE65F4">
          <w:rPr>
            <w:rStyle w:val="Hyperlink"/>
            <w:i/>
            <w:szCs w:val="20"/>
          </w:rPr>
          <w:t>.</w:t>
        </w:r>
      </w:hyperlink>
      <w:r>
        <w:rPr>
          <w:i/>
          <w:szCs w:val="20"/>
        </w:rPr>
        <w:t xml:space="preserve"> </w:t>
      </w:r>
    </w:p>
    <w:p w14:paraId="5A5F40AF" w14:textId="77777777" w:rsidR="00BA21F2" w:rsidRPr="00E163AA" w:rsidRDefault="00BA21F2" w:rsidP="00BA21F2">
      <w:pPr>
        <w:ind w:left="709"/>
        <w:rPr>
          <w:sz w:val="20"/>
          <w:szCs w:val="20"/>
        </w:rPr>
      </w:pPr>
      <w:r w:rsidRPr="00F3117A">
        <w:rPr>
          <w:sz w:val="20"/>
        </w:rPr>
        <w:lastRenderedPageBreak/>
        <w:t xml:space="preserve">Unlimited standard SMS and MMS are only available for personal and ordinary business use and are not to be used for a commercial or non-ordinary purpose as set out in the Fair Go Policy. </w:t>
      </w:r>
      <w:r w:rsidRPr="00F3117A">
        <w:rPr>
          <w:sz w:val="20"/>
          <w:szCs w:val="20"/>
        </w:rPr>
        <w:t xml:space="preserve">For further details refer to </w:t>
      </w:r>
      <w:hyperlink r:id="rId889" w:history="1">
        <w:r w:rsidRPr="00F3117A">
          <w:rPr>
            <w:rStyle w:val="Hyperlink"/>
            <w:i/>
            <w:szCs w:val="20"/>
          </w:rPr>
          <w:t>Appendix S.</w:t>
        </w:r>
      </w:hyperlink>
      <w:r>
        <w:rPr>
          <w:i/>
          <w:sz w:val="20"/>
          <w:szCs w:val="20"/>
        </w:rPr>
        <w:br/>
      </w:r>
    </w:p>
    <w:p w14:paraId="134154EA" w14:textId="77777777" w:rsidR="00BA21F2" w:rsidRPr="0064594C" w:rsidRDefault="00BA21F2" w:rsidP="00BA21F2">
      <w:pPr>
        <w:numPr>
          <w:ilvl w:val="5"/>
          <w:numId w:val="1"/>
        </w:numPr>
        <w:spacing w:after="200"/>
        <w:outlineLvl w:val="5"/>
        <w:rPr>
          <w:rFonts w:eastAsia="Times New Roman" w:cs="Arial"/>
          <w:snapToGrid w:val="0"/>
          <w:sz w:val="20"/>
          <w:szCs w:val="20"/>
          <w:lang w:val="en-AU"/>
        </w:rPr>
      </w:pPr>
      <w:r w:rsidRPr="006E47C5">
        <w:rPr>
          <w:szCs w:val="20"/>
        </w:rPr>
        <w:t xml:space="preserve"> </w:t>
      </w:r>
      <w:r>
        <w:rPr>
          <w:rFonts w:eastAsia="Times New Roman" w:cs="Arial"/>
          <w:snapToGrid w:val="0"/>
          <w:sz w:val="20"/>
          <w:szCs w:val="20"/>
          <w:lang w:val="en-AU"/>
        </w:rPr>
        <w:t>International Roaming</w:t>
      </w:r>
    </w:p>
    <w:p w14:paraId="4C635898" w14:textId="77777777" w:rsidR="00BA21F2" w:rsidRDefault="00BA21F2" w:rsidP="00BA21F2">
      <w:pPr>
        <w:ind w:left="709"/>
        <w:rPr>
          <w:rFonts w:cs="Arial"/>
          <w:snapToGrid w:val="0"/>
          <w:sz w:val="20"/>
          <w:szCs w:val="20"/>
        </w:rPr>
      </w:pPr>
      <w:r w:rsidRPr="0064594C">
        <w:rPr>
          <w:rFonts w:cs="Arial"/>
          <w:snapToGrid w:val="0"/>
          <w:sz w:val="20"/>
          <w:szCs w:val="20"/>
        </w:rPr>
        <w:t xml:space="preserve">The </w:t>
      </w:r>
      <w:r>
        <w:rPr>
          <w:rFonts w:cs="Arial"/>
          <w:sz w:val="20"/>
          <w:szCs w:val="20"/>
        </w:rPr>
        <w:t>$120</w:t>
      </w:r>
      <w:r w:rsidRPr="00500C24">
        <w:rPr>
          <w:rFonts w:cs="Arial"/>
          <w:sz w:val="20"/>
          <w:szCs w:val="20"/>
        </w:rPr>
        <w:t xml:space="preserve"> Business</w:t>
      </w:r>
      <w:r>
        <w:rPr>
          <w:rFonts w:cs="Arial"/>
          <w:sz w:val="20"/>
          <w:szCs w:val="20"/>
        </w:rPr>
        <w:t xml:space="preserve"> Plus plan </w:t>
      </w:r>
      <w:r>
        <w:rPr>
          <w:rFonts w:cs="Arial"/>
          <w:snapToGrid w:val="0"/>
          <w:sz w:val="20"/>
          <w:szCs w:val="20"/>
        </w:rPr>
        <w:t>has</w:t>
      </w:r>
      <w:r w:rsidRPr="0064594C">
        <w:rPr>
          <w:rFonts w:cs="Arial"/>
          <w:snapToGrid w:val="0"/>
          <w:sz w:val="20"/>
          <w:szCs w:val="20"/>
        </w:rPr>
        <w:t xml:space="preserve"> </w:t>
      </w:r>
      <w:r>
        <w:rPr>
          <w:rFonts w:cs="Arial"/>
          <w:snapToGrid w:val="0"/>
          <w:sz w:val="20"/>
          <w:szCs w:val="20"/>
        </w:rPr>
        <w:t xml:space="preserve">unlimited standard </w:t>
      </w:r>
      <w:r w:rsidRPr="00F44E75">
        <w:rPr>
          <w:rFonts w:cs="Arial"/>
          <w:snapToGrid w:val="0"/>
          <w:sz w:val="20"/>
          <w:szCs w:val="20"/>
        </w:rPr>
        <w:t>national and international voice, SMS (MMS is excluded) plus</w:t>
      </w:r>
      <w:r>
        <w:rPr>
          <w:rFonts w:cs="Arial"/>
          <w:snapToGrid w:val="0"/>
          <w:sz w:val="20"/>
          <w:szCs w:val="20"/>
        </w:rPr>
        <w:t xml:space="preserve"> up to 5</w:t>
      </w:r>
      <w:r w:rsidRPr="0064594C">
        <w:rPr>
          <w:rFonts w:cs="Arial"/>
          <w:snapToGrid w:val="0"/>
          <w:sz w:val="20"/>
          <w:szCs w:val="20"/>
        </w:rPr>
        <w:t>GB for use within each billing month in selected Zone 1 countries</w:t>
      </w:r>
      <w:r>
        <w:rPr>
          <w:rFonts w:cs="Arial"/>
          <w:snapToGrid w:val="0"/>
          <w:sz w:val="20"/>
          <w:szCs w:val="20"/>
        </w:rPr>
        <w:t>.</w:t>
      </w:r>
    </w:p>
    <w:p w14:paraId="1A4A92EB" w14:textId="77777777" w:rsidR="00BA21F2" w:rsidRDefault="00BA21F2" w:rsidP="00BA21F2">
      <w:pPr>
        <w:ind w:left="709"/>
        <w:rPr>
          <w:rFonts w:cs="Arial"/>
          <w:snapToGrid w:val="0"/>
          <w:sz w:val="20"/>
          <w:szCs w:val="20"/>
        </w:rPr>
      </w:pPr>
    </w:p>
    <w:p w14:paraId="39F2F0BA" w14:textId="77777777" w:rsidR="00BA21F2" w:rsidRDefault="00BA21F2" w:rsidP="00BA21F2">
      <w:pPr>
        <w:ind w:left="709"/>
        <w:rPr>
          <w:rFonts w:cs="Arial"/>
          <w:snapToGrid w:val="0"/>
          <w:sz w:val="20"/>
          <w:szCs w:val="20"/>
        </w:rPr>
      </w:pPr>
      <w:r w:rsidRPr="0064594C">
        <w:rPr>
          <w:rFonts w:cs="Arial"/>
          <w:snapToGrid w:val="0"/>
          <w:sz w:val="20"/>
          <w:szCs w:val="20"/>
        </w:rPr>
        <w:t xml:space="preserve">The </w:t>
      </w:r>
      <w:r>
        <w:rPr>
          <w:rFonts w:cs="Arial"/>
          <w:sz w:val="20"/>
          <w:szCs w:val="20"/>
        </w:rPr>
        <w:t>$149</w:t>
      </w:r>
      <w:r w:rsidRPr="00500C24">
        <w:rPr>
          <w:rFonts w:cs="Arial"/>
          <w:sz w:val="20"/>
          <w:szCs w:val="20"/>
        </w:rPr>
        <w:t xml:space="preserve"> Business</w:t>
      </w:r>
      <w:r>
        <w:rPr>
          <w:rFonts w:cs="Arial"/>
          <w:sz w:val="20"/>
          <w:szCs w:val="20"/>
        </w:rPr>
        <w:t xml:space="preserve"> Plus plan </w:t>
      </w:r>
      <w:r>
        <w:rPr>
          <w:rFonts w:cs="Arial"/>
          <w:snapToGrid w:val="0"/>
          <w:sz w:val="20"/>
          <w:szCs w:val="20"/>
        </w:rPr>
        <w:t>has</w:t>
      </w:r>
      <w:r w:rsidRPr="0064594C">
        <w:rPr>
          <w:rFonts w:cs="Arial"/>
          <w:snapToGrid w:val="0"/>
          <w:sz w:val="20"/>
          <w:szCs w:val="20"/>
        </w:rPr>
        <w:t xml:space="preserve"> </w:t>
      </w:r>
      <w:r>
        <w:rPr>
          <w:rFonts w:cs="Arial"/>
          <w:snapToGrid w:val="0"/>
          <w:sz w:val="20"/>
          <w:szCs w:val="20"/>
        </w:rPr>
        <w:t xml:space="preserve">unlimited standard </w:t>
      </w:r>
      <w:r w:rsidRPr="00F44E75">
        <w:rPr>
          <w:rFonts w:cs="Arial"/>
          <w:snapToGrid w:val="0"/>
          <w:sz w:val="20"/>
          <w:szCs w:val="20"/>
        </w:rPr>
        <w:t>national and international voice, SMS (MMS is excluded) plus</w:t>
      </w:r>
      <w:r>
        <w:rPr>
          <w:rFonts w:cs="Arial"/>
          <w:snapToGrid w:val="0"/>
          <w:sz w:val="20"/>
          <w:szCs w:val="20"/>
        </w:rPr>
        <w:t xml:space="preserve"> up to </w:t>
      </w:r>
      <w:r w:rsidRPr="0064594C">
        <w:rPr>
          <w:rFonts w:cs="Arial"/>
          <w:snapToGrid w:val="0"/>
          <w:sz w:val="20"/>
          <w:szCs w:val="20"/>
        </w:rPr>
        <w:t>1</w:t>
      </w:r>
      <w:r>
        <w:rPr>
          <w:rFonts w:cs="Arial"/>
          <w:snapToGrid w:val="0"/>
          <w:sz w:val="20"/>
          <w:szCs w:val="20"/>
        </w:rPr>
        <w:t>0</w:t>
      </w:r>
      <w:r w:rsidRPr="0064594C">
        <w:rPr>
          <w:rFonts w:cs="Arial"/>
          <w:snapToGrid w:val="0"/>
          <w:sz w:val="20"/>
          <w:szCs w:val="20"/>
        </w:rPr>
        <w:t>GB for use within each billing month in selected Zone 1 countries</w:t>
      </w:r>
      <w:r>
        <w:rPr>
          <w:rFonts w:cs="Arial"/>
          <w:snapToGrid w:val="0"/>
          <w:sz w:val="20"/>
          <w:szCs w:val="20"/>
        </w:rPr>
        <w:t>.</w:t>
      </w:r>
      <w:r w:rsidRPr="0064594C">
        <w:rPr>
          <w:rFonts w:cs="Arial"/>
          <w:bCs/>
          <w:snapToGrid w:val="0"/>
          <w:sz w:val="20"/>
          <w:szCs w:val="20"/>
        </w:rPr>
        <w:br/>
      </w:r>
    </w:p>
    <w:p w14:paraId="3809E19E" w14:textId="77777777" w:rsidR="00BA21F2" w:rsidRPr="00E163AA" w:rsidRDefault="00BA21F2" w:rsidP="00BA21F2">
      <w:pPr>
        <w:ind w:left="709"/>
        <w:rPr>
          <w:rFonts w:cs="Arial"/>
          <w:snapToGrid w:val="0"/>
          <w:sz w:val="20"/>
          <w:szCs w:val="20"/>
        </w:rPr>
      </w:pPr>
      <w:r w:rsidRPr="00B7364B">
        <w:rPr>
          <w:rFonts w:cs="Arial"/>
          <w:snapToGrid w:val="0"/>
          <w:sz w:val="20"/>
          <w:szCs w:val="20"/>
        </w:rPr>
        <w:t>I</w:t>
      </w:r>
      <w:r w:rsidRPr="00F44E75">
        <w:rPr>
          <w:rFonts w:cs="Arial"/>
          <w:snapToGrid w:val="0"/>
          <w:sz w:val="20"/>
          <w:szCs w:val="20"/>
        </w:rPr>
        <w:t>f you are not in a selected Zone 1 country you will be charged at standard roaming rates for that country.</w:t>
      </w:r>
      <w:r>
        <w:rPr>
          <w:rFonts w:cs="Arial"/>
          <w:snapToGrid w:val="0"/>
          <w:sz w:val="20"/>
          <w:szCs w:val="20"/>
        </w:rPr>
        <w:t xml:space="preserve"> </w:t>
      </w:r>
      <w:r w:rsidRPr="00F44E75">
        <w:rPr>
          <w:rFonts w:cs="Arial"/>
          <w:snapToGrid w:val="0"/>
          <w:sz w:val="20"/>
          <w:szCs w:val="20"/>
        </w:rPr>
        <w:t>If you exceed the data limit, standard data roaming charges</w:t>
      </w:r>
      <w:r>
        <w:rPr>
          <w:rFonts w:cs="Arial"/>
          <w:snapToGrid w:val="0"/>
          <w:sz w:val="20"/>
          <w:szCs w:val="20"/>
        </w:rPr>
        <w:t xml:space="preserve"> </w:t>
      </w:r>
      <w:r w:rsidRPr="00F44E75">
        <w:rPr>
          <w:rFonts w:cs="Arial"/>
          <w:snapToGrid w:val="0"/>
          <w:sz w:val="20"/>
          <w:szCs w:val="20"/>
        </w:rPr>
        <w:t>will apply. Any data provided is not shareable and will not form</w:t>
      </w:r>
      <w:r>
        <w:rPr>
          <w:rFonts w:cs="Arial"/>
          <w:snapToGrid w:val="0"/>
          <w:sz w:val="20"/>
          <w:szCs w:val="20"/>
        </w:rPr>
        <w:t xml:space="preserve"> </w:t>
      </w:r>
      <w:r w:rsidRPr="00F44E75">
        <w:rPr>
          <w:rFonts w:cs="Arial"/>
          <w:snapToGrid w:val="0"/>
          <w:sz w:val="20"/>
          <w:szCs w:val="20"/>
        </w:rPr>
        <w:t>part of any Data Pool. Any unused data will be forfeited and</w:t>
      </w:r>
      <w:r>
        <w:rPr>
          <w:rFonts w:cs="Arial"/>
          <w:snapToGrid w:val="0"/>
          <w:sz w:val="20"/>
          <w:szCs w:val="20"/>
        </w:rPr>
        <w:t xml:space="preserve"> </w:t>
      </w:r>
      <w:r w:rsidRPr="00F44E75">
        <w:rPr>
          <w:rFonts w:cs="Arial"/>
          <w:snapToGrid w:val="0"/>
          <w:sz w:val="20"/>
          <w:szCs w:val="20"/>
        </w:rPr>
        <w:t>cannot be rolled over to the next billing month.</w:t>
      </w:r>
      <w:r>
        <w:rPr>
          <w:rFonts w:cs="Arial"/>
          <w:snapToGrid w:val="0"/>
          <w:sz w:val="20"/>
          <w:szCs w:val="20"/>
        </w:rPr>
        <w:br/>
      </w:r>
    </w:p>
    <w:p w14:paraId="6E214044" w14:textId="77777777" w:rsidR="00BA21F2" w:rsidRPr="00F271B8" w:rsidRDefault="00BA21F2" w:rsidP="00BA21F2">
      <w:pPr>
        <w:pStyle w:val="Heading6"/>
        <w:ind w:left="0" w:firstLine="0"/>
        <w:rPr>
          <w:lang w:val="en-AU"/>
        </w:rPr>
      </w:pPr>
      <w:bookmarkStart w:id="2364" w:name="_Toc498674654"/>
      <w:bookmarkStart w:id="2365" w:name="_Toc500753779"/>
      <w:bookmarkStart w:id="2366" w:name="_Toc510690117"/>
      <w:r w:rsidRPr="00F271B8">
        <w:rPr>
          <w:lang w:val="en-AU"/>
        </w:rPr>
        <w:t>Additional benefit – Handset Credit</w:t>
      </w:r>
      <w:bookmarkEnd w:id="2364"/>
      <w:bookmarkEnd w:id="2365"/>
      <w:bookmarkEnd w:id="2366"/>
    </w:p>
    <w:p w14:paraId="0CAB50B1" w14:textId="77777777" w:rsidR="00BA21F2" w:rsidRPr="00F271B8" w:rsidRDefault="00BA21F2" w:rsidP="00BA21F2">
      <w:pPr>
        <w:pStyle w:val="Heading7"/>
        <w:rPr>
          <w:lang w:val="en-AU"/>
        </w:rPr>
      </w:pPr>
      <w:r w:rsidRPr="00F271B8">
        <w:rPr>
          <w:i/>
          <w:lang w:val="en-AU"/>
        </w:rPr>
        <w:t xml:space="preserve">When you </w:t>
      </w:r>
      <w:r w:rsidRPr="00F271B8">
        <w:rPr>
          <w:lang w:val="en-AU"/>
        </w:rPr>
        <w:t>connect to a My Plan Plus which has a monthly phone credit (</w:t>
      </w:r>
      <w:r>
        <w:rPr>
          <w:lang w:val="en-AU"/>
        </w:rPr>
        <w:t>'</w:t>
      </w:r>
      <w:r w:rsidRPr="00F271B8">
        <w:rPr>
          <w:b/>
          <w:lang w:val="en-AU"/>
        </w:rPr>
        <w:t>Handset Credit</w:t>
      </w:r>
      <w:r>
        <w:rPr>
          <w:lang w:val="en-AU"/>
        </w:rPr>
        <w:t>'</w:t>
      </w:r>
      <w:r w:rsidRPr="00F271B8">
        <w:rPr>
          <w:lang w:val="en-AU"/>
        </w:rPr>
        <w:t xml:space="preserve">) each month for </w:t>
      </w:r>
      <w:r w:rsidRPr="00F271B8">
        <w:rPr>
          <w:i/>
          <w:lang w:val="en-AU"/>
        </w:rPr>
        <w:t>your minimum term</w:t>
      </w:r>
      <w:r w:rsidRPr="00F271B8">
        <w:rPr>
          <w:lang w:val="en-AU"/>
        </w:rPr>
        <w:t xml:space="preserve">, this will reduce the monthly repayment costs of the handset </w:t>
      </w:r>
      <w:r w:rsidRPr="00F271B8">
        <w:rPr>
          <w:i/>
          <w:lang w:val="en-AU"/>
        </w:rPr>
        <w:t xml:space="preserve">you </w:t>
      </w:r>
      <w:r w:rsidRPr="00F271B8">
        <w:rPr>
          <w:lang w:val="en-AU"/>
        </w:rPr>
        <w:t xml:space="preserve">have chosen with </w:t>
      </w:r>
      <w:r w:rsidRPr="00F271B8">
        <w:rPr>
          <w:i/>
          <w:lang w:val="en-AU"/>
        </w:rPr>
        <w:t>your pricing plan</w:t>
      </w:r>
      <w:r>
        <w:rPr>
          <w:lang w:val="en-AU"/>
        </w:rPr>
        <w:t xml:space="preserve">. </w:t>
      </w:r>
    </w:p>
    <w:p w14:paraId="23433DA4" w14:textId="77777777" w:rsidR="00BA21F2" w:rsidRPr="00D60F4C" w:rsidRDefault="00BA21F2" w:rsidP="00BA21F2">
      <w:pPr>
        <w:pStyle w:val="Heading7"/>
        <w:rPr>
          <w:lang w:val="en-AU"/>
        </w:rPr>
      </w:pPr>
      <w:r w:rsidRPr="00F271B8">
        <w:rPr>
          <w:lang w:val="en-AU"/>
        </w:rPr>
        <w:t xml:space="preserve">If </w:t>
      </w:r>
      <w:r w:rsidRPr="00F271B8">
        <w:rPr>
          <w:i/>
          <w:lang w:val="en-AU"/>
        </w:rPr>
        <w:t>you</w:t>
      </w:r>
      <w:r w:rsidRPr="00F271B8">
        <w:rPr>
          <w:lang w:val="en-AU"/>
        </w:rPr>
        <w:t xml:space="preserve"> </w:t>
      </w:r>
      <w:r w:rsidRPr="00F271B8">
        <w:rPr>
          <w:i/>
          <w:lang w:val="en-AU"/>
        </w:rPr>
        <w:t>cancel your pricing plan</w:t>
      </w:r>
      <w:r w:rsidRPr="00F271B8">
        <w:rPr>
          <w:lang w:val="en-AU"/>
        </w:rPr>
        <w:t xml:space="preserve"> or the </w:t>
      </w:r>
      <w:r w:rsidRPr="00F271B8">
        <w:rPr>
          <w:i/>
          <w:lang w:val="en-AU"/>
        </w:rPr>
        <w:t xml:space="preserve">mobile equipment payment plan </w:t>
      </w:r>
      <w:r w:rsidRPr="00F271B8">
        <w:rPr>
          <w:lang w:val="en-AU"/>
        </w:rPr>
        <w:t xml:space="preserve">during </w:t>
      </w:r>
      <w:r w:rsidRPr="00F271B8">
        <w:rPr>
          <w:i/>
          <w:lang w:val="en-AU"/>
        </w:rPr>
        <w:t>your minimum term</w:t>
      </w:r>
      <w:r w:rsidRPr="00F271B8">
        <w:rPr>
          <w:lang w:val="en-AU"/>
        </w:rPr>
        <w:t xml:space="preserve">, </w:t>
      </w:r>
      <w:r w:rsidRPr="00F271B8">
        <w:rPr>
          <w:i/>
          <w:lang w:val="en-AU"/>
        </w:rPr>
        <w:t>you</w:t>
      </w:r>
      <w:r w:rsidRPr="00F271B8">
        <w:rPr>
          <w:lang w:val="en-AU"/>
        </w:rPr>
        <w:t xml:space="preserve"> will no longer be entitled to these Handset Credits and </w:t>
      </w:r>
      <w:r w:rsidRPr="00F271B8">
        <w:rPr>
          <w:i/>
          <w:lang w:val="en-AU"/>
        </w:rPr>
        <w:t>you</w:t>
      </w:r>
      <w:r w:rsidRPr="00F271B8">
        <w:rPr>
          <w:lang w:val="en-AU"/>
        </w:rPr>
        <w:t xml:space="preserve"> must pay the remaining handset repayments in full in addition to any </w:t>
      </w:r>
      <w:r w:rsidRPr="00F271B8">
        <w:rPr>
          <w:i/>
          <w:lang w:val="en-AU"/>
        </w:rPr>
        <w:t>cancellation fee</w:t>
      </w:r>
      <w:r w:rsidRPr="00F271B8">
        <w:rPr>
          <w:lang w:val="en-AU"/>
        </w:rPr>
        <w:t>.</w:t>
      </w:r>
      <w:r w:rsidRPr="00D60F4C">
        <w:t xml:space="preserve"> </w:t>
      </w:r>
    </w:p>
    <w:p w14:paraId="65A07DEA" w14:textId="77777777" w:rsidR="00BA21F2" w:rsidRPr="00D60F4C" w:rsidRDefault="00BA21F2" w:rsidP="00BA21F2">
      <w:pPr>
        <w:pStyle w:val="Heading7"/>
        <w:rPr>
          <w:lang w:val="en-AU"/>
        </w:rPr>
      </w:pPr>
      <w:r w:rsidRPr="00D60F4C">
        <w:rPr>
          <w:lang w:val="en-AU"/>
        </w:rPr>
        <w:t xml:space="preserve">If you elect to keep your mobile phone when exercising New Phone Trade Up you will no longer be entitled to the Handset Credit and you will be required to pay the remaining handset repayments in full.  </w:t>
      </w:r>
    </w:p>
    <w:p w14:paraId="590B62D5" w14:textId="77777777" w:rsidR="00BA21F2" w:rsidRPr="00F271B8" w:rsidRDefault="00BA21F2" w:rsidP="00BA21F2">
      <w:pPr>
        <w:pStyle w:val="BodyText"/>
        <w:rPr>
          <w:b/>
          <w:lang w:val="en-AU"/>
        </w:rPr>
      </w:pPr>
      <w:r w:rsidRPr="00F271B8">
        <w:rPr>
          <w:b/>
          <w:lang w:val="en-AU"/>
        </w:rPr>
        <w:t>Table 1 –Plan Inclusions and Charges</w:t>
      </w:r>
    </w:p>
    <w:tbl>
      <w:tblPr>
        <w:tblW w:w="492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7"/>
        <w:gridCol w:w="2685"/>
        <w:gridCol w:w="2683"/>
      </w:tblGrid>
      <w:tr w:rsidR="00BA21F2" w:rsidRPr="00F271B8" w14:paraId="4E9853A8" w14:textId="77777777" w:rsidTr="00DE32CC">
        <w:tc>
          <w:tcPr>
            <w:tcW w:w="2325" w:type="pct"/>
            <w:shd w:val="clear" w:color="auto" w:fill="auto"/>
          </w:tcPr>
          <w:p w14:paraId="24DB63A4" w14:textId="77777777" w:rsidR="00BA21F2" w:rsidRPr="00F271B8" w:rsidRDefault="00BA21F2" w:rsidP="00DE32CC">
            <w:pPr>
              <w:pStyle w:val="BodyText"/>
              <w:spacing w:before="100" w:after="100"/>
            </w:pPr>
          </w:p>
        </w:tc>
        <w:tc>
          <w:tcPr>
            <w:tcW w:w="1338" w:type="pct"/>
            <w:shd w:val="clear" w:color="auto" w:fill="auto"/>
            <w:vAlign w:val="center"/>
          </w:tcPr>
          <w:p w14:paraId="0F8A5163" w14:textId="77777777" w:rsidR="00BA21F2" w:rsidRPr="00F271B8" w:rsidRDefault="00BA21F2" w:rsidP="00DE32CC">
            <w:pPr>
              <w:pStyle w:val="BodyText"/>
              <w:spacing w:before="100" w:after="100"/>
              <w:jc w:val="center"/>
              <w:rPr>
                <w:b/>
              </w:rPr>
            </w:pPr>
            <w:r>
              <w:rPr>
                <w:b/>
              </w:rPr>
              <w:t xml:space="preserve">$120 Business Plus  </w:t>
            </w:r>
          </w:p>
        </w:tc>
        <w:tc>
          <w:tcPr>
            <w:tcW w:w="1337" w:type="pct"/>
            <w:vAlign w:val="center"/>
          </w:tcPr>
          <w:p w14:paraId="48610F64" w14:textId="77777777" w:rsidR="00BA21F2" w:rsidRDefault="00BA21F2" w:rsidP="00DE32CC">
            <w:pPr>
              <w:pStyle w:val="BodyText"/>
              <w:spacing w:before="100" w:after="100"/>
              <w:jc w:val="center"/>
              <w:rPr>
                <w:b/>
              </w:rPr>
            </w:pPr>
            <w:r>
              <w:rPr>
                <w:b/>
              </w:rPr>
              <w:t xml:space="preserve">$149 Business Plus  </w:t>
            </w:r>
          </w:p>
        </w:tc>
      </w:tr>
      <w:tr w:rsidR="00BA21F2" w:rsidRPr="00F271B8" w14:paraId="72EE1F76" w14:textId="77777777" w:rsidTr="00DE32CC">
        <w:tc>
          <w:tcPr>
            <w:tcW w:w="2325" w:type="pct"/>
            <w:shd w:val="clear" w:color="auto" w:fill="auto"/>
          </w:tcPr>
          <w:p w14:paraId="44CE3630" w14:textId="77777777" w:rsidR="00BA21F2" w:rsidRPr="00F271B8" w:rsidRDefault="00BA21F2" w:rsidP="00DE32CC">
            <w:pPr>
              <w:pStyle w:val="BodyText"/>
              <w:spacing w:before="100" w:after="100"/>
            </w:pPr>
            <w:r w:rsidRPr="00F271B8">
              <w:rPr>
                <w:b/>
                <w:bCs/>
              </w:rPr>
              <w:t>Minimum Monthly charge</w:t>
            </w:r>
          </w:p>
        </w:tc>
        <w:tc>
          <w:tcPr>
            <w:tcW w:w="1338" w:type="pct"/>
            <w:shd w:val="clear" w:color="auto" w:fill="auto"/>
            <w:vAlign w:val="center"/>
          </w:tcPr>
          <w:p w14:paraId="3601A754" w14:textId="77777777" w:rsidR="00BA21F2" w:rsidRPr="00F271B8" w:rsidRDefault="00BA21F2" w:rsidP="00DE32CC">
            <w:pPr>
              <w:pStyle w:val="BodyText"/>
              <w:spacing w:before="100" w:after="100"/>
              <w:jc w:val="center"/>
            </w:pPr>
            <w:r>
              <w:t>$120</w:t>
            </w:r>
          </w:p>
        </w:tc>
        <w:tc>
          <w:tcPr>
            <w:tcW w:w="1337" w:type="pct"/>
            <w:vAlign w:val="center"/>
          </w:tcPr>
          <w:p w14:paraId="787D1DD3" w14:textId="77777777" w:rsidR="00BA21F2" w:rsidRDefault="00BA21F2" w:rsidP="00DE32CC">
            <w:pPr>
              <w:pStyle w:val="BodyText"/>
              <w:spacing w:before="100" w:after="100"/>
              <w:jc w:val="center"/>
            </w:pPr>
            <w:r>
              <w:t>$149</w:t>
            </w:r>
          </w:p>
        </w:tc>
      </w:tr>
      <w:tr w:rsidR="00BA21F2" w:rsidRPr="00F271B8" w14:paraId="42E07642" w14:textId="77777777" w:rsidTr="00DE32CC">
        <w:tc>
          <w:tcPr>
            <w:tcW w:w="2325" w:type="pct"/>
            <w:shd w:val="clear" w:color="auto" w:fill="auto"/>
          </w:tcPr>
          <w:p w14:paraId="3439DCCA" w14:textId="77777777" w:rsidR="00BA21F2" w:rsidRPr="00F271B8" w:rsidRDefault="00BA21F2" w:rsidP="00DE32CC">
            <w:pPr>
              <w:pStyle w:val="BodyText"/>
              <w:spacing w:before="100" w:after="100"/>
            </w:pPr>
            <w:r w:rsidRPr="00F271B8">
              <w:rPr>
                <w:b/>
                <w:bCs/>
              </w:rPr>
              <w:t>Included Data</w:t>
            </w:r>
          </w:p>
        </w:tc>
        <w:tc>
          <w:tcPr>
            <w:tcW w:w="1338" w:type="pct"/>
            <w:shd w:val="clear" w:color="auto" w:fill="auto"/>
            <w:vAlign w:val="center"/>
          </w:tcPr>
          <w:p w14:paraId="2AD81304" w14:textId="77777777" w:rsidR="00BA21F2" w:rsidRPr="00F271B8" w:rsidRDefault="00BA21F2" w:rsidP="00DE32CC">
            <w:pPr>
              <w:pStyle w:val="BodyText"/>
              <w:spacing w:before="100" w:after="100"/>
              <w:jc w:val="center"/>
            </w:pPr>
            <w:r>
              <w:t>40GB</w:t>
            </w:r>
          </w:p>
        </w:tc>
        <w:tc>
          <w:tcPr>
            <w:tcW w:w="1337" w:type="pct"/>
            <w:vAlign w:val="center"/>
          </w:tcPr>
          <w:p w14:paraId="3E5E4DEE" w14:textId="77777777" w:rsidR="00BA21F2" w:rsidRDefault="00BA21F2" w:rsidP="00DE32CC">
            <w:pPr>
              <w:pStyle w:val="BodyText"/>
              <w:spacing w:before="100" w:after="100"/>
              <w:jc w:val="center"/>
            </w:pPr>
            <w:r>
              <w:t>50GB</w:t>
            </w:r>
          </w:p>
        </w:tc>
      </w:tr>
      <w:tr w:rsidR="00BA21F2" w:rsidRPr="00F271B8" w14:paraId="251580E1" w14:textId="77777777" w:rsidTr="00DE32CC">
        <w:tc>
          <w:tcPr>
            <w:tcW w:w="2325" w:type="pct"/>
            <w:shd w:val="clear" w:color="auto" w:fill="auto"/>
          </w:tcPr>
          <w:p w14:paraId="382590CD" w14:textId="77777777" w:rsidR="00BA21F2" w:rsidRPr="00F271B8" w:rsidRDefault="00BA21F2" w:rsidP="00DE32CC">
            <w:pPr>
              <w:pStyle w:val="BodyText"/>
              <w:spacing w:before="100" w:after="100"/>
              <w:rPr>
                <w:b/>
                <w:bCs/>
              </w:rPr>
            </w:pPr>
            <w:r w:rsidRPr="00304BEC">
              <w:rPr>
                <w:rFonts w:eastAsia="Calibri" w:cs="Arial"/>
                <w:b/>
                <w:bCs/>
                <w:lang w:eastAsia="en-AU"/>
              </w:rPr>
              <w:t>Additional Data</w:t>
            </w:r>
          </w:p>
        </w:tc>
        <w:tc>
          <w:tcPr>
            <w:tcW w:w="1338" w:type="pct"/>
            <w:shd w:val="clear" w:color="auto" w:fill="auto"/>
          </w:tcPr>
          <w:p w14:paraId="1430E59D" w14:textId="77777777" w:rsidR="00BA21F2" w:rsidRPr="00F271B8" w:rsidRDefault="00BA21F2" w:rsidP="00DE32CC">
            <w:pPr>
              <w:pStyle w:val="BodyText"/>
              <w:spacing w:before="100" w:after="100"/>
              <w:jc w:val="center"/>
            </w:pPr>
            <w:r w:rsidRPr="00304BEC">
              <w:rPr>
                <w:rFonts w:cs="Arial"/>
              </w:rPr>
              <w:t>Additional data $10 per 1GB</w:t>
            </w:r>
          </w:p>
        </w:tc>
        <w:tc>
          <w:tcPr>
            <w:tcW w:w="1337" w:type="pct"/>
          </w:tcPr>
          <w:p w14:paraId="32E5630C" w14:textId="77777777" w:rsidR="00BA21F2" w:rsidRPr="00304BEC" w:rsidRDefault="00BA21F2" w:rsidP="00DE32CC">
            <w:pPr>
              <w:pStyle w:val="BodyText"/>
              <w:spacing w:before="100" w:after="100"/>
              <w:jc w:val="center"/>
              <w:rPr>
                <w:rFonts w:cs="Arial"/>
              </w:rPr>
            </w:pPr>
            <w:r w:rsidRPr="00304BEC">
              <w:rPr>
                <w:rFonts w:cs="Arial"/>
              </w:rPr>
              <w:t>Additional data $10 per 1GB</w:t>
            </w:r>
          </w:p>
        </w:tc>
      </w:tr>
      <w:tr w:rsidR="00BA21F2" w:rsidRPr="00F271B8" w14:paraId="767B2695" w14:textId="77777777" w:rsidTr="00DE32CC">
        <w:trPr>
          <w:trHeight w:val="64"/>
        </w:trPr>
        <w:tc>
          <w:tcPr>
            <w:tcW w:w="2325" w:type="pct"/>
            <w:shd w:val="clear" w:color="auto" w:fill="auto"/>
            <w:vAlign w:val="center"/>
          </w:tcPr>
          <w:p w14:paraId="44FDF016" w14:textId="77777777" w:rsidR="00BA21F2" w:rsidRPr="00F271B8" w:rsidRDefault="00BA21F2" w:rsidP="00DE32CC">
            <w:pPr>
              <w:pStyle w:val="BodyText"/>
              <w:spacing w:before="100" w:after="100"/>
              <w:rPr>
                <w:b/>
                <w:bCs/>
              </w:rPr>
            </w:pPr>
            <w:r w:rsidRPr="00F271B8">
              <w:rPr>
                <w:b/>
                <w:bCs/>
              </w:rPr>
              <w:t>Included Minutes</w:t>
            </w:r>
          </w:p>
          <w:p w14:paraId="5CF0463F" w14:textId="77777777" w:rsidR="00BA21F2" w:rsidRPr="00F271B8" w:rsidRDefault="00BA21F2" w:rsidP="00DE32CC">
            <w:pPr>
              <w:pStyle w:val="BodyText"/>
              <w:spacing w:before="100" w:after="100"/>
              <w:rPr>
                <w:b/>
                <w:bCs/>
              </w:rPr>
            </w:pPr>
            <w:r w:rsidRPr="00F271B8">
              <w:rPr>
                <w:bCs/>
              </w:rPr>
              <w:t>for standard national calls to landlines and mobiles, 1300</w:t>
            </w:r>
            <w:r>
              <w:rPr>
                <w:bCs/>
              </w:rPr>
              <w:t>/1800</w:t>
            </w:r>
            <w:r w:rsidRPr="00F271B8">
              <w:rPr>
                <w:bCs/>
              </w:rPr>
              <w:t xml:space="preserve"> numbers</w:t>
            </w:r>
            <w:r>
              <w:rPr>
                <w:bCs/>
              </w:rPr>
              <w:t>,</w:t>
            </w:r>
            <w:r w:rsidRPr="00F271B8">
              <w:rPr>
                <w:bCs/>
              </w:rPr>
              <w:t xml:space="preserve"> voicemail</w:t>
            </w:r>
            <w:r>
              <w:rPr>
                <w:bCs/>
              </w:rPr>
              <w:t xml:space="preserve"> (deposits &amp; retrievals) and national diversions</w:t>
            </w:r>
            <w:r w:rsidRPr="00F271B8">
              <w:rPr>
                <w:bCs/>
              </w:rPr>
              <w:t xml:space="preserve"> within Australia</w:t>
            </w:r>
          </w:p>
        </w:tc>
        <w:tc>
          <w:tcPr>
            <w:tcW w:w="1338" w:type="pct"/>
            <w:shd w:val="clear" w:color="auto" w:fill="auto"/>
            <w:vAlign w:val="center"/>
          </w:tcPr>
          <w:p w14:paraId="08C3B8F4" w14:textId="77777777" w:rsidR="00BA21F2" w:rsidRPr="00F271B8" w:rsidRDefault="00BA21F2" w:rsidP="00DE32CC">
            <w:pPr>
              <w:pStyle w:val="BodyText"/>
              <w:spacing w:before="100" w:after="100"/>
              <w:jc w:val="center"/>
            </w:pPr>
            <w:r>
              <w:t>Unlimited</w:t>
            </w:r>
          </w:p>
        </w:tc>
        <w:tc>
          <w:tcPr>
            <w:tcW w:w="1337" w:type="pct"/>
            <w:vAlign w:val="center"/>
          </w:tcPr>
          <w:p w14:paraId="579B28DA" w14:textId="77777777" w:rsidR="00BA21F2" w:rsidRDefault="00BA21F2" w:rsidP="00DE32CC">
            <w:pPr>
              <w:pStyle w:val="BodyText"/>
              <w:spacing w:before="100" w:after="100"/>
              <w:jc w:val="center"/>
            </w:pPr>
            <w:r>
              <w:t>Unlimited</w:t>
            </w:r>
          </w:p>
        </w:tc>
      </w:tr>
      <w:tr w:rsidR="00BA21F2" w:rsidRPr="00F271B8" w14:paraId="1D30BCB6" w14:textId="77777777" w:rsidTr="00DE32CC">
        <w:trPr>
          <w:trHeight w:val="64"/>
        </w:trPr>
        <w:tc>
          <w:tcPr>
            <w:tcW w:w="2325" w:type="pct"/>
            <w:shd w:val="clear" w:color="auto" w:fill="auto"/>
          </w:tcPr>
          <w:p w14:paraId="6D8417D7" w14:textId="77777777" w:rsidR="00BA21F2" w:rsidRPr="00F271B8" w:rsidRDefault="00BA21F2" w:rsidP="00DE32CC">
            <w:pPr>
              <w:pStyle w:val="BodyText"/>
              <w:spacing w:before="100" w:after="100"/>
            </w:pPr>
            <w:r w:rsidRPr="00F271B8">
              <w:rPr>
                <w:b/>
                <w:bCs/>
              </w:rPr>
              <w:t xml:space="preserve">Standard national SMS </w:t>
            </w:r>
            <w:r w:rsidRPr="00F271B8">
              <w:t>(per SMS of up to 160 standard characters)</w:t>
            </w:r>
          </w:p>
        </w:tc>
        <w:tc>
          <w:tcPr>
            <w:tcW w:w="1338" w:type="pct"/>
            <w:shd w:val="clear" w:color="auto" w:fill="auto"/>
            <w:vAlign w:val="center"/>
          </w:tcPr>
          <w:p w14:paraId="7F937ABA" w14:textId="77777777" w:rsidR="00BA21F2" w:rsidRPr="00F271B8" w:rsidRDefault="00BA21F2" w:rsidP="00DE32CC">
            <w:pPr>
              <w:pStyle w:val="BodyText"/>
              <w:spacing w:before="100" w:after="100"/>
              <w:jc w:val="center"/>
            </w:pPr>
            <w:r w:rsidRPr="00F271B8">
              <w:t>Unlimited</w:t>
            </w:r>
          </w:p>
        </w:tc>
        <w:tc>
          <w:tcPr>
            <w:tcW w:w="1337" w:type="pct"/>
            <w:vAlign w:val="center"/>
          </w:tcPr>
          <w:p w14:paraId="57D839DD" w14:textId="77777777" w:rsidR="00BA21F2" w:rsidRPr="00F271B8" w:rsidRDefault="00BA21F2" w:rsidP="00DE32CC">
            <w:pPr>
              <w:pStyle w:val="BodyText"/>
              <w:spacing w:before="100" w:after="100"/>
              <w:jc w:val="center"/>
            </w:pPr>
            <w:r w:rsidRPr="00F271B8">
              <w:t>Unlimited</w:t>
            </w:r>
          </w:p>
        </w:tc>
      </w:tr>
      <w:tr w:rsidR="00BA21F2" w:rsidRPr="00F271B8" w14:paraId="216B6272" w14:textId="77777777" w:rsidTr="00DE32CC">
        <w:tc>
          <w:tcPr>
            <w:tcW w:w="2325" w:type="pct"/>
            <w:shd w:val="clear" w:color="auto" w:fill="auto"/>
          </w:tcPr>
          <w:p w14:paraId="71C45B65" w14:textId="77777777" w:rsidR="00BA21F2" w:rsidRPr="00F271B8" w:rsidRDefault="00BA21F2" w:rsidP="00DE32CC">
            <w:pPr>
              <w:pStyle w:val="BodyText"/>
              <w:spacing w:before="100" w:after="100"/>
              <w:rPr>
                <w:b/>
                <w:bCs/>
              </w:rPr>
            </w:pPr>
            <w:r w:rsidRPr="00F271B8">
              <w:rPr>
                <w:b/>
                <w:bCs/>
              </w:rPr>
              <w:t xml:space="preserve">Standard national MMS </w:t>
            </w:r>
            <w:r w:rsidRPr="00F271B8">
              <w:t>(per message)</w:t>
            </w:r>
          </w:p>
        </w:tc>
        <w:tc>
          <w:tcPr>
            <w:tcW w:w="1338" w:type="pct"/>
            <w:shd w:val="clear" w:color="auto" w:fill="auto"/>
            <w:vAlign w:val="center"/>
          </w:tcPr>
          <w:p w14:paraId="14F32442" w14:textId="77777777" w:rsidR="00BA21F2" w:rsidRPr="00F271B8" w:rsidRDefault="00BA21F2" w:rsidP="00DE32CC">
            <w:pPr>
              <w:pStyle w:val="BodyText"/>
              <w:spacing w:before="100" w:after="100"/>
              <w:jc w:val="center"/>
            </w:pPr>
            <w:r w:rsidRPr="00F271B8">
              <w:t>Unlimited</w:t>
            </w:r>
          </w:p>
        </w:tc>
        <w:tc>
          <w:tcPr>
            <w:tcW w:w="1337" w:type="pct"/>
            <w:vAlign w:val="center"/>
          </w:tcPr>
          <w:p w14:paraId="4EC2C77A" w14:textId="77777777" w:rsidR="00BA21F2" w:rsidRPr="00F271B8" w:rsidRDefault="00BA21F2" w:rsidP="00DE32CC">
            <w:pPr>
              <w:pStyle w:val="BodyText"/>
              <w:spacing w:before="100" w:after="100"/>
              <w:jc w:val="center"/>
            </w:pPr>
            <w:r w:rsidRPr="00F271B8">
              <w:t>Unlimited</w:t>
            </w:r>
          </w:p>
        </w:tc>
      </w:tr>
      <w:tr w:rsidR="00BA21F2" w:rsidRPr="00F271B8" w14:paraId="7FBB9E67" w14:textId="77777777" w:rsidTr="00DE32CC">
        <w:tc>
          <w:tcPr>
            <w:tcW w:w="2325" w:type="pct"/>
            <w:shd w:val="clear" w:color="auto" w:fill="auto"/>
          </w:tcPr>
          <w:p w14:paraId="2FAC8210" w14:textId="77777777" w:rsidR="00BA21F2" w:rsidRPr="00F271B8" w:rsidDel="00064B49" w:rsidRDefault="00BA21F2" w:rsidP="00DE32CC">
            <w:pPr>
              <w:pStyle w:val="BodyText"/>
              <w:spacing w:before="100" w:after="100"/>
              <w:rPr>
                <w:b/>
                <w:bCs/>
              </w:rPr>
            </w:pPr>
            <w:r w:rsidRPr="00F271B8">
              <w:rPr>
                <w:b/>
                <w:bCs/>
              </w:rPr>
              <w:t xml:space="preserve">Standard international SMS </w:t>
            </w:r>
            <w:r w:rsidRPr="00F271B8">
              <w:t xml:space="preserve">(per SMS of up to 160 standard characters to </w:t>
            </w:r>
            <w:r>
              <w:t xml:space="preserve">all </w:t>
            </w:r>
            <w:r w:rsidRPr="00F271B8">
              <w:t>countries)</w:t>
            </w:r>
          </w:p>
        </w:tc>
        <w:tc>
          <w:tcPr>
            <w:tcW w:w="1338" w:type="pct"/>
            <w:shd w:val="clear" w:color="auto" w:fill="auto"/>
            <w:vAlign w:val="center"/>
          </w:tcPr>
          <w:p w14:paraId="080660B4" w14:textId="77777777" w:rsidR="00BA21F2" w:rsidRPr="00F271B8" w:rsidDel="00064B49" w:rsidRDefault="00BA21F2" w:rsidP="00DE32CC">
            <w:pPr>
              <w:pStyle w:val="BodyText"/>
              <w:spacing w:before="100" w:after="100"/>
              <w:jc w:val="center"/>
            </w:pPr>
            <w:r w:rsidRPr="00F271B8">
              <w:t>Unlimited</w:t>
            </w:r>
          </w:p>
        </w:tc>
        <w:tc>
          <w:tcPr>
            <w:tcW w:w="1337" w:type="pct"/>
            <w:vAlign w:val="center"/>
          </w:tcPr>
          <w:p w14:paraId="77B89867" w14:textId="77777777" w:rsidR="00BA21F2" w:rsidRPr="00F271B8" w:rsidRDefault="00BA21F2" w:rsidP="00DE32CC">
            <w:pPr>
              <w:pStyle w:val="BodyText"/>
              <w:spacing w:before="100" w:after="100"/>
              <w:jc w:val="center"/>
            </w:pPr>
            <w:r w:rsidRPr="00F271B8">
              <w:t>Unlimited</w:t>
            </w:r>
          </w:p>
        </w:tc>
      </w:tr>
      <w:tr w:rsidR="00BA21F2" w:rsidRPr="00F271B8" w14:paraId="53581002" w14:textId="77777777" w:rsidTr="00DE32CC">
        <w:tc>
          <w:tcPr>
            <w:tcW w:w="2325" w:type="pct"/>
            <w:shd w:val="clear" w:color="auto" w:fill="auto"/>
          </w:tcPr>
          <w:p w14:paraId="5BB8C057" w14:textId="77777777" w:rsidR="00BA21F2" w:rsidRPr="00F271B8" w:rsidRDefault="00BA21F2" w:rsidP="00DE32CC">
            <w:pPr>
              <w:pStyle w:val="BodyText"/>
              <w:spacing w:before="100" w:after="100"/>
              <w:rPr>
                <w:b/>
                <w:bCs/>
              </w:rPr>
            </w:pPr>
            <w:r w:rsidRPr="00F271B8">
              <w:rPr>
                <w:b/>
                <w:bCs/>
              </w:rPr>
              <w:t xml:space="preserve">Standard international MMS </w:t>
            </w:r>
            <w:r w:rsidRPr="00F271B8">
              <w:t xml:space="preserve">(per message to </w:t>
            </w:r>
            <w:r>
              <w:t>all</w:t>
            </w:r>
            <w:r w:rsidRPr="00F271B8">
              <w:t xml:space="preserve"> countries)</w:t>
            </w:r>
          </w:p>
        </w:tc>
        <w:tc>
          <w:tcPr>
            <w:tcW w:w="1338" w:type="pct"/>
            <w:shd w:val="clear" w:color="auto" w:fill="auto"/>
            <w:vAlign w:val="center"/>
          </w:tcPr>
          <w:p w14:paraId="59B7AB3C" w14:textId="77777777" w:rsidR="00BA21F2" w:rsidRPr="00F271B8" w:rsidRDefault="00BA21F2" w:rsidP="00DE32CC">
            <w:pPr>
              <w:pStyle w:val="BodyText"/>
              <w:spacing w:before="100" w:after="100"/>
              <w:jc w:val="center"/>
            </w:pPr>
            <w:r w:rsidRPr="00F271B8">
              <w:t>Unlimited</w:t>
            </w:r>
          </w:p>
        </w:tc>
        <w:tc>
          <w:tcPr>
            <w:tcW w:w="1337" w:type="pct"/>
            <w:vAlign w:val="center"/>
          </w:tcPr>
          <w:p w14:paraId="763110A2" w14:textId="77777777" w:rsidR="00BA21F2" w:rsidRPr="00F271B8" w:rsidRDefault="00BA21F2" w:rsidP="00DE32CC">
            <w:pPr>
              <w:pStyle w:val="BodyText"/>
              <w:spacing w:before="100" w:after="100"/>
              <w:jc w:val="center"/>
            </w:pPr>
            <w:r w:rsidRPr="00F271B8">
              <w:t>Unlimited</w:t>
            </w:r>
          </w:p>
        </w:tc>
      </w:tr>
      <w:tr w:rsidR="00BA21F2" w:rsidRPr="00F271B8" w14:paraId="0F9AA4F1" w14:textId="77777777" w:rsidTr="00DE32CC">
        <w:tc>
          <w:tcPr>
            <w:tcW w:w="2325" w:type="pct"/>
            <w:shd w:val="clear" w:color="auto" w:fill="auto"/>
          </w:tcPr>
          <w:p w14:paraId="746B11FD" w14:textId="77777777" w:rsidR="00BA21F2" w:rsidRDefault="00BA21F2" w:rsidP="00DE32CC">
            <w:pPr>
              <w:pStyle w:val="BodyText"/>
              <w:spacing w:before="100" w:after="100"/>
            </w:pPr>
            <w:r w:rsidRPr="0089521A">
              <w:t xml:space="preserve">International Roaming </w:t>
            </w:r>
          </w:p>
          <w:p w14:paraId="4A9DFB04" w14:textId="77777777" w:rsidR="00BA21F2" w:rsidRPr="0057204B" w:rsidRDefault="00BA21F2" w:rsidP="00DE32CC">
            <w:pPr>
              <w:pStyle w:val="BodyText"/>
              <w:spacing w:before="100" w:after="100"/>
              <w:rPr>
                <w:bCs/>
              </w:rPr>
            </w:pPr>
            <w:r w:rsidRPr="0057204B">
              <w:rPr>
                <w:rFonts w:cs="Arial"/>
                <w:bCs/>
                <w:snapToGrid w:val="0"/>
              </w:rPr>
              <w:lastRenderedPageBreak/>
              <w:t>(Zone 1 countries)</w:t>
            </w:r>
          </w:p>
        </w:tc>
        <w:tc>
          <w:tcPr>
            <w:tcW w:w="1338" w:type="pct"/>
            <w:shd w:val="clear" w:color="auto" w:fill="auto"/>
            <w:vAlign w:val="center"/>
          </w:tcPr>
          <w:p w14:paraId="29B395B5" w14:textId="77777777" w:rsidR="00BA21F2" w:rsidRDefault="00BA21F2" w:rsidP="00DE32CC">
            <w:pPr>
              <w:pStyle w:val="BodyText"/>
              <w:spacing w:before="100" w:after="100"/>
              <w:jc w:val="center"/>
            </w:pPr>
            <w:r>
              <w:lastRenderedPageBreak/>
              <w:t>Unlimited standard national/international talk,</w:t>
            </w:r>
          </w:p>
          <w:p w14:paraId="6982FEA4" w14:textId="77777777" w:rsidR="00BA21F2" w:rsidRPr="00F271B8" w:rsidRDefault="00BA21F2" w:rsidP="00DE32CC">
            <w:pPr>
              <w:pStyle w:val="BodyText"/>
              <w:spacing w:before="100" w:after="100"/>
              <w:jc w:val="center"/>
            </w:pPr>
            <w:r>
              <w:lastRenderedPageBreak/>
              <w:t xml:space="preserve">SMS &amp; 5GB data </w:t>
            </w:r>
          </w:p>
        </w:tc>
        <w:tc>
          <w:tcPr>
            <w:tcW w:w="1337" w:type="pct"/>
            <w:vAlign w:val="center"/>
          </w:tcPr>
          <w:p w14:paraId="616FDB21" w14:textId="77777777" w:rsidR="00BA21F2" w:rsidRDefault="00BA21F2" w:rsidP="00DE32CC">
            <w:pPr>
              <w:pStyle w:val="BodyText"/>
              <w:spacing w:before="100" w:after="100"/>
              <w:jc w:val="center"/>
            </w:pPr>
            <w:r>
              <w:lastRenderedPageBreak/>
              <w:t>Unlimited standard national/international talk,</w:t>
            </w:r>
          </w:p>
          <w:p w14:paraId="1B365D01" w14:textId="77777777" w:rsidR="00BA21F2" w:rsidRDefault="00BA21F2" w:rsidP="00DE32CC">
            <w:pPr>
              <w:pStyle w:val="BodyText"/>
              <w:spacing w:before="100" w:after="100"/>
              <w:jc w:val="center"/>
            </w:pPr>
            <w:r>
              <w:lastRenderedPageBreak/>
              <w:t xml:space="preserve">SMS &amp; 10GB data </w:t>
            </w:r>
          </w:p>
        </w:tc>
      </w:tr>
      <w:tr w:rsidR="00BA21F2" w:rsidRPr="00F271B8" w14:paraId="3D0F4F8F" w14:textId="77777777" w:rsidTr="00DE32CC">
        <w:tc>
          <w:tcPr>
            <w:tcW w:w="2325" w:type="pct"/>
            <w:shd w:val="clear" w:color="auto" w:fill="auto"/>
          </w:tcPr>
          <w:p w14:paraId="3AB66028" w14:textId="77777777" w:rsidR="00BA21F2" w:rsidRPr="0089521A" w:rsidRDefault="00BA21F2" w:rsidP="00DE32CC">
            <w:pPr>
              <w:pStyle w:val="BodyText"/>
              <w:spacing w:before="100" w:after="100"/>
            </w:pPr>
            <w:r>
              <w:rPr>
                <w:b/>
                <w:sz w:val="16"/>
                <w:szCs w:val="16"/>
              </w:rPr>
              <w:lastRenderedPageBreak/>
              <w:t>Entertainment</w:t>
            </w:r>
            <w:r>
              <w:rPr>
                <w:b/>
                <w:sz w:val="16"/>
                <w:szCs w:val="16"/>
              </w:rPr>
              <w:br/>
            </w:r>
            <w:r w:rsidRPr="00582C58">
              <w:rPr>
                <w:sz w:val="16"/>
                <w:szCs w:val="16"/>
              </w:rPr>
              <w:t>Music</w:t>
            </w:r>
            <w:r>
              <w:rPr>
                <w:b/>
                <w:sz w:val="16"/>
                <w:szCs w:val="16"/>
              </w:rPr>
              <w:br/>
            </w:r>
            <w:r w:rsidRPr="00582C58">
              <w:rPr>
                <w:sz w:val="16"/>
                <w:szCs w:val="16"/>
              </w:rPr>
              <w:t>Mobile TV Streaming</w:t>
            </w:r>
            <w:r w:rsidRPr="00582C58">
              <w:rPr>
                <w:sz w:val="16"/>
                <w:szCs w:val="16"/>
              </w:rPr>
              <w:br/>
              <w:t>Optus Sport</w:t>
            </w:r>
            <w:r w:rsidRPr="00582C58">
              <w:rPr>
                <w:sz w:val="16"/>
                <w:szCs w:val="16"/>
              </w:rPr>
              <w:br/>
              <w:t>National Geographic</w:t>
            </w:r>
          </w:p>
        </w:tc>
        <w:tc>
          <w:tcPr>
            <w:tcW w:w="1338" w:type="pct"/>
            <w:shd w:val="clear" w:color="auto" w:fill="auto"/>
            <w:vAlign w:val="center"/>
          </w:tcPr>
          <w:p w14:paraId="0193B7A0" w14:textId="77777777" w:rsidR="00BA21F2" w:rsidRDefault="00BA21F2" w:rsidP="00DE32CC">
            <w:pPr>
              <w:pStyle w:val="BodyText"/>
              <w:spacing w:before="100" w:after="100"/>
              <w:jc w:val="center"/>
            </w:pPr>
            <w:r w:rsidRPr="00582C58">
              <w:rPr>
                <w:sz w:val="16"/>
                <w:szCs w:val="16"/>
              </w:rPr>
              <w:t>Unlimited</w:t>
            </w:r>
          </w:p>
        </w:tc>
        <w:tc>
          <w:tcPr>
            <w:tcW w:w="1337" w:type="pct"/>
            <w:vAlign w:val="center"/>
          </w:tcPr>
          <w:p w14:paraId="1AF8277B" w14:textId="77777777" w:rsidR="00BA21F2" w:rsidRDefault="00BA21F2" w:rsidP="00DE32CC">
            <w:pPr>
              <w:pStyle w:val="BodyText"/>
              <w:spacing w:before="100" w:after="100"/>
              <w:jc w:val="center"/>
            </w:pPr>
            <w:r w:rsidRPr="00582C58">
              <w:rPr>
                <w:sz w:val="16"/>
                <w:szCs w:val="16"/>
              </w:rPr>
              <w:t>Unlimited</w:t>
            </w:r>
          </w:p>
        </w:tc>
      </w:tr>
      <w:tr w:rsidR="00BA21F2" w:rsidRPr="00F271B8" w14:paraId="0AB79A29" w14:textId="77777777" w:rsidTr="00DE32CC">
        <w:tc>
          <w:tcPr>
            <w:tcW w:w="2325" w:type="pct"/>
            <w:shd w:val="clear" w:color="auto" w:fill="auto"/>
          </w:tcPr>
          <w:p w14:paraId="0F6BF6EF" w14:textId="77777777" w:rsidR="00BA21F2" w:rsidRPr="00F271B8" w:rsidRDefault="00BA21F2" w:rsidP="00DE32CC">
            <w:pPr>
              <w:pStyle w:val="BodyText"/>
              <w:spacing w:before="100" w:after="100"/>
              <w:rPr>
                <w:b/>
                <w:bCs/>
              </w:rPr>
            </w:pPr>
            <w:r w:rsidRPr="00F271B8">
              <w:rPr>
                <w:b/>
                <w:bCs/>
              </w:rPr>
              <w:t xml:space="preserve">Minimum total cost over 24 months </w:t>
            </w:r>
          </w:p>
        </w:tc>
        <w:tc>
          <w:tcPr>
            <w:tcW w:w="1338" w:type="pct"/>
            <w:shd w:val="clear" w:color="auto" w:fill="auto"/>
            <w:vAlign w:val="center"/>
          </w:tcPr>
          <w:p w14:paraId="3BECDFAE" w14:textId="77777777" w:rsidR="00BA21F2" w:rsidRPr="00F271B8" w:rsidRDefault="00BA21F2" w:rsidP="00DE32CC">
            <w:pPr>
              <w:pStyle w:val="BodyText"/>
              <w:spacing w:before="100" w:after="100"/>
              <w:jc w:val="center"/>
            </w:pPr>
            <w:r>
              <w:t>$2880</w:t>
            </w:r>
          </w:p>
        </w:tc>
        <w:tc>
          <w:tcPr>
            <w:tcW w:w="1337" w:type="pct"/>
          </w:tcPr>
          <w:p w14:paraId="094DDA2D" w14:textId="77777777" w:rsidR="00BA21F2" w:rsidRDefault="00BA21F2" w:rsidP="00DE32CC">
            <w:pPr>
              <w:pStyle w:val="BodyText"/>
              <w:spacing w:before="100" w:after="100"/>
              <w:jc w:val="center"/>
            </w:pPr>
            <w:r>
              <w:t>$3576</w:t>
            </w:r>
          </w:p>
        </w:tc>
      </w:tr>
    </w:tbl>
    <w:p w14:paraId="40A1D802" w14:textId="77777777" w:rsidR="00BA21F2" w:rsidRPr="00F271B8" w:rsidRDefault="00BA21F2" w:rsidP="00BA21F2">
      <w:pPr>
        <w:pStyle w:val="BodyText"/>
        <w:keepNext/>
        <w:spacing w:before="240" w:after="120"/>
        <w:ind w:left="142" w:hanging="142"/>
        <w:rPr>
          <w:b/>
        </w:rPr>
      </w:pPr>
      <w:r w:rsidRPr="00F271B8">
        <w:rPr>
          <w:b/>
        </w:rPr>
        <w:t>Table 2 – Other usage types and charges</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70"/>
        <w:gridCol w:w="5153"/>
      </w:tblGrid>
      <w:tr w:rsidR="00BA21F2" w:rsidRPr="00F271B8" w14:paraId="17FE6C5D" w14:textId="77777777" w:rsidTr="00DE32CC">
        <w:trPr>
          <w:tblHeader/>
        </w:trPr>
        <w:tc>
          <w:tcPr>
            <w:tcW w:w="4770" w:type="dxa"/>
            <w:shd w:val="clear" w:color="auto" w:fill="auto"/>
          </w:tcPr>
          <w:p w14:paraId="1BE898A6" w14:textId="77777777" w:rsidR="00BA21F2" w:rsidRPr="003626D2" w:rsidRDefault="00BA21F2" w:rsidP="00DE32CC">
            <w:pPr>
              <w:pStyle w:val="BodyText"/>
              <w:keepNext/>
              <w:spacing w:before="100" w:after="100"/>
              <w:jc w:val="center"/>
              <w:rPr>
                <w:b/>
              </w:rPr>
            </w:pPr>
            <w:r w:rsidRPr="003626D2">
              <w:rPr>
                <w:b/>
              </w:rPr>
              <w:t>Usage type</w:t>
            </w:r>
          </w:p>
        </w:tc>
        <w:tc>
          <w:tcPr>
            <w:tcW w:w="5153" w:type="dxa"/>
            <w:shd w:val="clear" w:color="auto" w:fill="auto"/>
            <w:vAlign w:val="center"/>
          </w:tcPr>
          <w:p w14:paraId="4534DC90" w14:textId="77777777" w:rsidR="00BA21F2" w:rsidRPr="003626D2" w:rsidRDefault="00BA21F2" w:rsidP="00DE32CC">
            <w:pPr>
              <w:pStyle w:val="BodyText"/>
              <w:keepNext/>
              <w:spacing w:before="100" w:after="100"/>
              <w:jc w:val="center"/>
              <w:rPr>
                <w:b/>
              </w:rPr>
            </w:pPr>
            <w:r w:rsidRPr="003626D2">
              <w:rPr>
                <w:b/>
              </w:rPr>
              <w:t>Charge</w:t>
            </w:r>
          </w:p>
        </w:tc>
      </w:tr>
      <w:tr w:rsidR="00BA21F2" w:rsidRPr="00F271B8" w14:paraId="482897A2" w14:textId="77777777" w:rsidTr="00DE32CC">
        <w:tc>
          <w:tcPr>
            <w:tcW w:w="4770" w:type="dxa"/>
            <w:shd w:val="clear" w:color="auto" w:fill="auto"/>
          </w:tcPr>
          <w:p w14:paraId="168FDC6B" w14:textId="77777777" w:rsidR="00BA21F2" w:rsidRPr="00F271B8" w:rsidRDefault="00BA21F2" w:rsidP="00DE32CC">
            <w:pPr>
              <w:pStyle w:val="BodyText"/>
              <w:spacing w:before="100" w:after="100"/>
              <w:rPr>
                <w:b/>
              </w:rPr>
            </w:pPr>
            <w:r w:rsidRPr="00F271B8">
              <w:rPr>
                <w:b/>
                <w:bCs/>
              </w:rPr>
              <w:t xml:space="preserve">National video calls </w:t>
            </w:r>
            <w:r w:rsidRPr="00F271B8">
              <w:rPr>
                <w:b/>
              </w:rPr>
              <w:t>(per minute)</w:t>
            </w:r>
          </w:p>
        </w:tc>
        <w:tc>
          <w:tcPr>
            <w:tcW w:w="5153" w:type="dxa"/>
            <w:shd w:val="clear" w:color="auto" w:fill="auto"/>
            <w:vAlign w:val="center"/>
          </w:tcPr>
          <w:p w14:paraId="2807A3EE" w14:textId="77777777" w:rsidR="00BA21F2" w:rsidRPr="00F271B8" w:rsidRDefault="00BA21F2" w:rsidP="00DE32CC">
            <w:pPr>
              <w:pStyle w:val="BodyText"/>
              <w:spacing w:before="100" w:after="100"/>
              <w:jc w:val="center"/>
            </w:pPr>
            <w:r w:rsidRPr="00F271B8">
              <w:t>$1.00 per min + 40c flagfall</w:t>
            </w:r>
          </w:p>
        </w:tc>
      </w:tr>
      <w:tr w:rsidR="00BA21F2" w:rsidRPr="00F271B8" w14:paraId="6BDEEB96" w14:textId="77777777" w:rsidTr="00DE32CC">
        <w:tc>
          <w:tcPr>
            <w:tcW w:w="4770" w:type="dxa"/>
            <w:shd w:val="clear" w:color="auto" w:fill="auto"/>
          </w:tcPr>
          <w:p w14:paraId="584E0834" w14:textId="77777777" w:rsidR="00BA21F2" w:rsidRPr="00F271B8" w:rsidRDefault="00BA21F2" w:rsidP="00DE32CC">
            <w:pPr>
              <w:pStyle w:val="BodyText"/>
              <w:spacing w:before="100" w:after="100"/>
              <w:rPr>
                <w:b/>
                <w:bCs/>
              </w:rPr>
            </w:pPr>
            <w:r>
              <w:rPr>
                <w:b/>
                <w:bCs/>
              </w:rPr>
              <w:t>19/19</w:t>
            </w:r>
            <w:r w:rsidRPr="00F271B8">
              <w:rPr>
                <w:b/>
                <w:bCs/>
              </w:rPr>
              <w:t xml:space="preserve">00 numbers </w:t>
            </w:r>
          </w:p>
        </w:tc>
        <w:tc>
          <w:tcPr>
            <w:tcW w:w="5153" w:type="dxa"/>
            <w:shd w:val="clear" w:color="auto" w:fill="auto"/>
            <w:vAlign w:val="center"/>
          </w:tcPr>
          <w:p w14:paraId="449D9160" w14:textId="77777777" w:rsidR="00BA21F2" w:rsidRPr="00F271B8" w:rsidRDefault="00BA21F2" w:rsidP="00DE32CC">
            <w:pPr>
              <w:pStyle w:val="BodyText"/>
              <w:spacing w:before="100" w:after="100"/>
              <w:jc w:val="center"/>
            </w:pPr>
            <w:r>
              <w:t>Additional charges apply</w:t>
            </w:r>
          </w:p>
        </w:tc>
      </w:tr>
      <w:tr w:rsidR="00BA21F2" w:rsidRPr="00F271B8" w14:paraId="206A791E" w14:textId="77777777" w:rsidTr="00DE32CC">
        <w:tc>
          <w:tcPr>
            <w:tcW w:w="4770" w:type="dxa"/>
            <w:shd w:val="clear" w:color="auto" w:fill="auto"/>
          </w:tcPr>
          <w:p w14:paraId="6200BFEB" w14:textId="77777777" w:rsidR="00BA21F2" w:rsidRPr="00F271B8" w:rsidRDefault="00BA21F2" w:rsidP="00DE32CC">
            <w:pPr>
              <w:pStyle w:val="BodyText"/>
              <w:spacing w:before="100" w:after="100"/>
              <w:rPr>
                <w:b/>
                <w:bCs/>
              </w:rPr>
            </w:pPr>
            <w:r w:rsidRPr="00F271B8">
              <w:rPr>
                <w:b/>
                <w:bCs/>
              </w:rPr>
              <w:t xml:space="preserve">Directory Assistance 1223 </w:t>
            </w:r>
          </w:p>
        </w:tc>
        <w:tc>
          <w:tcPr>
            <w:tcW w:w="5153" w:type="dxa"/>
            <w:shd w:val="clear" w:color="auto" w:fill="auto"/>
            <w:vAlign w:val="center"/>
          </w:tcPr>
          <w:p w14:paraId="51CF7FE6" w14:textId="77777777" w:rsidR="00BA21F2" w:rsidRPr="00F271B8" w:rsidRDefault="00BA21F2" w:rsidP="00DE32CC">
            <w:pPr>
              <w:pStyle w:val="BodyText"/>
              <w:spacing w:before="100" w:after="100"/>
              <w:jc w:val="center"/>
            </w:pPr>
            <w:r w:rsidRPr="00F271B8">
              <w:t>50c per call</w:t>
            </w:r>
          </w:p>
        </w:tc>
      </w:tr>
      <w:tr w:rsidR="00BA21F2" w:rsidRPr="00F271B8" w14:paraId="1E372659" w14:textId="77777777" w:rsidTr="00DE32CC">
        <w:tc>
          <w:tcPr>
            <w:tcW w:w="4770" w:type="dxa"/>
            <w:shd w:val="clear" w:color="auto" w:fill="auto"/>
          </w:tcPr>
          <w:p w14:paraId="2FB53038" w14:textId="77777777" w:rsidR="00BA21F2" w:rsidRPr="00F271B8" w:rsidRDefault="00BA21F2" w:rsidP="00DE32CC">
            <w:pPr>
              <w:pStyle w:val="BodyText"/>
              <w:spacing w:before="100" w:after="100"/>
              <w:rPr>
                <w:b/>
                <w:bCs/>
              </w:rPr>
            </w:pPr>
            <w:r w:rsidRPr="00F271B8">
              <w:rPr>
                <w:b/>
                <w:bCs/>
              </w:rPr>
              <w:t>124 Yes</w:t>
            </w:r>
          </w:p>
        </w:tc>
        <w:tc>
          <w:tcPr>
            <w:tcW w:w="5153" w:type="dxa"/>
            <w:shd w:val="clear" w:color="auto" w:fill="auto"/>
            <w:vAlign w:val="center"/>
          </w:tcPr>
          <w:p w14:paraId="55079049" w14:textId="77777777" w:rsidR="00BA21F2" w:rsidRPr="00F271B8" w:rsidRDefault="00BA21F2" w:rsidP="00DE32CC">
            <w:pPr>
              <w:pStyle w:val="BodyText"/>
              <w:spacing w:before="100" w:after="100"/>
              <w:jc w:val="center"/>
            </w:pPr>
            <w:r w:rsidRPr="00F271B8">
              <w:t>90c per minute +$1.75c flagfall</w:t>
            </w:r>
          </w:p>
        </w:tc>
      </w:tr>
      <w:tr w:rsidR="00BA21F2" w:rsidRPr="00F271B8" w14:paraId="135EBFD8" w14:textId="77777777" w:rsidTr="00DE32CC">
        <w:tc>
          <w:tcPr>
            <w:tcW w:w="4770" w:type="dxa"/>
            <w:shd w:val="clear" w:color="auto" w:fill="auto"/>
          </w:tcPr>
          <w:p w14:paraId="44C6F867" w14:textId="77777777" w:rsidR="00BA21F2" w:rsidRPr="00F271B8" w:rsidRDefault="00BA21F2" w:rsidP="00DE32CC">
            <w:pPr>
              <w:pStyle w:val="BodyText"/>
              <w:spacing w:before="100" w:after="100"/>
              <w:rPr>
                <w:b/>
                <w:bCs/>
              </w:rPr>
            </w:pPr>
            <w:r w:rsidRPr="00F271B8">
              <w:rPr>
                <w:b/>
                <w:bCs/>
              </w:rPr>
              <w:t xml:space="preserve">International video calling </w:t>
            </w:r>
          </w:p>
        </w:tc>
        <w:tc>
          <w:tcPr>
            <w:tcW w:w="5153" w:type="dxa"/>
            <w:shd w:val="clear" w:color="auto" w:fill="auto"/>
            <w:vAlign w:val="center"/>
          </w:tcPr>
          <w:p w14:paraId="2034599E" w14:textId="77777777" w:rsidR="00BA21F2" w:rsidRPr="00F271B8" w:rsidRDefault="00BA21F2" w:rsidP="00DE32CC">
            <w:pPr>
              <w:pStyle w:val="BodyText"/>
              <w:spacing w:before="100" w:after="100"/>
              <w:jc w:val="center"/>
            </w:pPr>
            <w:r w:rsidRPr="00F271B8">
              <w:t>$1.50 per minute +35c flagfall</w:t>
            </w:r>
          </w:p>
        </w:tc>
      </w:tr>
      <w:tr w:rsidR="00BA21F2" w:rsidRPr="00F271B8" w14:paraId="536373F1" w14:textId="77777777" w:rsidTr="00DE32CC">
        <w:tc>
          <w:tcPr>
            <w:tcW w:w="4770" w:type="dxa"/>
            <w:shd w:val="clear" w:color="auto" w:fill="auto"/>
          </w:tcPr>
          <w:p w14:paraId="34F272D9" w14:textId="77777777" w:rsidR="00BA21F2" w:rsidRPr="00F271B8" w:rsidRDefault="00BA21F2" w:rsidP="00DE32CC">
            <w:pPr>
              <w:pStyle w:val="BodyText"/>
              <w:spacing w:before="100" w:after="100"/>
              <w:rPr>
                <w:b/>
                <w:bCs/>
              </w:rPr>
            </w:pPr>
            <w:r w:rsidRPr="00F271B8">
              <w:rPr>
                <w:b/>
                <w:bCs/>
              </w:rPr>
              <w:t xml:space="preserve">International roaming </w:t>
            </w:r>
          </w:p>
        </w:tc>
        <w:tc>
          <w:tcPr>
            <w:tcW w:w="5153" w:type="dxa"/>
            <w:shd w:val="clear" w:color="auto" w:fill="auto"/>
            <w:vAlign w:val="center"/>
          </w:tcPr>
          <w:p w14:paraId="542CBD35" w14:textId="77777777" w:rsidR="00BA21F2" w:rsidRPr="00F271B8" w:rsidRDefault="00BA21F2" w:rsidP="00DE32CC">
            <w:pPr>
              <w:pStyle w:val="BodyText"/>
              <w:spacing w:before="100" w:after="100"/>
              <w:jc w:val="center"/>
            </w:pPr>
            <w:r w:rsidRPr="00F271B8">
              <w:t>See optus.com.au/roaming</w:t>
            </w:r>
          </w:p>
        </w:tc>
      </w:tr>
    </w:tbl>
    <w:p w14:paraId="2963CEA7" w14:textId="77777777" w:rsidR="00BA21F2" w:rsidRPr="00F271B8" w:rsidRDefault="00BA21F2" w:rsidP="00BA21F2">
      <w:pPr>
        <w:pStyle w:val="Heading6"/>
        <w:spacing w:before="240"/>
        <w:ind w:left="0" w:firstLine="0"/>
        <w:rPr>
          <w:lang w:val="en-AU"/>
        </w:rPr>
      </w:pPr>
      <w:bookmarkStart w:id="2367" w:name="_Toc498674655"/>
      <w:bookmarkStart w:id="2368" w:name="_Toc500753780"/>
      <w:bookmarkStart w:id="2369" w:name="_Toc510690118"/>
      <w:r w:rsidRPr="00F271B8">
        <w:rPr>
          <w:lang w:val="en-AU"/>
        </w:rPr>
        <w:t>My Account</w:t>
      </w:r>
      <w:bookmarkEnd w:id="2367"/>
      <w:bookmarkEnd w:id="2368"/>
      <w:bookmarkEnd w:id="2369"/>
    </w:p>
    <w:p w14:paraId="74FB97EF" w14:textId="77777777" w:rsidR="00BA21F2" w:rsidRPr="00F271B8" w:rsidRDefault="00BA21F2" w:rsidP="00BA21F2">
      <w:pPr>
        <w:pStyle w:val="BodyText"/>
        <w:ind w:left="720"/>
        <w:rPr>
          <w:lang w:val="en-AU"/>
        </w:rPr>
      </w:pPr>
      <w:r w:rsidRPr="00F271B8">
        <w:rPr>
          <w:lang w:val="en-AU"/>
        </w:rPr>
        <w:t xml:space="preserve">Services that share data may have a service login to My Account which will display all of the service numbers contributing to or using the shared data pool on </w:t>
      </w:r>
      <w:r w:rsidRPr="00F271B8">
        <w:rPr>
          <w:i/>
          <w:lang w:val="en-AU"/>
        </w:rPr>
        <w:t xml:space="preserve">your </w:t>
      </w:r>
      <w:r w:rsidRPr="00F271B8">
        <w:rPr>
          <w:lang w:val="en-AU"/>
        </w:rPr>
        <w:t>account and the amount of data each service has used</w:t>
      </w:r>
      <w:r>
        <w:rPr>
          <w:lang w:val="en-AU"/>
        </w:rPr>
        <w:t xml:space="preserve">. </w:t>
      </w:r>
      <w:r w:rsidRPr="00F271B8">
        <w:rPr>
          <w:lang w:val="en-AU"/>
        </w:rPr>
        <w:t xml:space="preserve">If </w:t>
      </w:r>
      <w:r w:rsidRPr="00F271B8">
        <w:rPr>
          <w:i/>
          <w:lang w:val="en-AU"/>
        </w:rPr>
        <w:t>you</w:t>
      </w:r>
      <w:r w:rsidRPr="00F271B8">
        <w:rPr>
          <w:lang w:val="en-AU"/>
        </w:rPr>
        <w:t xml:space="preserve"> have more than 6 services on </w:t>
      </w:r>
      <w:r w:rsidRPr="00F271B8">
        <w:rPr>
          <w:i/>
          <w:lang w:val="en-AU"/>
        </w:rPr>
        <w:t>your</w:t>
      </w:r>
      <w:r w:rsidRPr="00F271B8">
        <w:rPr>
          <w:lang w:val="en-AU"/>
        </w:rPr>
        <w:t xml:space="preserve"> account, My Account may not be suitable for viewing usage and managing </w:t>
      </w:r>
      <w:r w:rsidRPr="00F271B8">
        <w:rPr>
          <w:i/>
          <w:lang w:val="en-AU"/>
        </w:rPr>
        <w:t xml:space="preserve">your </w:t>
      </w:r>
      <w:r w:rsidRPr="00F271B8">
        <w:rPr>
          <w:lang w:val="en-AU"/>
        </w:rPr>
        <w:t>usage alerts.</w:t>
      </w:r>
    </w:p>
    <w:p w14:paraId="73009FA9" w14:textId="77777777" w:rsidR="00BA21F2" w:rsidRPr="00F271B8" w:rsidRDefault="00BA21F2" w:rsidP="00BA21F2">
      <w:pPr>
        <w:pStyle w:val="Heading6"/>
        <w:ind w:left="0" w:firstLine="0"/>
        <w:rPr>
          <w:lang w:val="en-AU"/>
        </w:rPr>
      </w:pPr>
      <w:bookmarkStart w:id="2370" w:name="_Toc498674656"/>
      <w:bookmarkStart w:id="2371" w:name="_Toc500753781"/>
      <w:bookmarkStart w:id="2372" w:name="_Toc510690119"/>
      <w:r w:rsidRPr="00F271B8">
        <w:rPr>
          <w:lang w:val="en-AU"/>
        </w:rPr>
        <w:t xml:space="preserve">What happens if the </w:t>
      </w:r>
      <w:r w:rsidRPr="00F271B8">
        <w:rPr>
          <w:i/>
          <w:lang w:val="en-AU"/>
        </w:rPr>
        <w:t xml:space="preserve">service </w:t>
      </w:r>
      <w:r w:rsidRPr="00F271B8">
        <w:rPr>
          <w:lang w:val="en-AU"/>
        </w:rPr>
        <w:t>is</w:t>
      </w:r>
      <w:r w:rsidRPr="00F271B8">
        <w:rPr>
          <w:i/>
          <w:lang w:val="en-AU"/>
        </w:rPr>
        <w:t xml:space="preserve"> cancelled </w:t>
      </w:r>
      <w:r w:rsidRPr="00F271B8">
        <w:rPr>
          <w:lang w:val="en-AU"/>
        </w:rPr>
        <w:t>early?</w:t>
      </w:r>
      <w:bookmarkEnd w:id="2370"/>
      <w:bookmarkEnd w:id="2371"/>
      <w:bookmarkEnd w:id="2372"/>
      <w:r w:rsidRPr="00F271B8">
        <w:rPr>
          <w:lang w:val="en-AU"/>
        </w:rPr>
        <w:t xml:space="preserve"> </w:t>
      </w:r>
    </w:p>
    <w:p w14:paraId="79FA0FB3" w14:textId="77777777" w:rsidR="00BA21F2" w:rsidRDefault="00BA21F2" w:rsidP="00BA21F2">
      <w:pPr>
        <w:ind w:left="720"/>
        <w:rPr>
          <w:rFonts w:cs="Arial"/>
          <w:sz w:val="20"/>
          <w:szCs w:val="20"/>
        </w:rPr>
      </w:pPr>
      <w:r w:rsidRPr="0057204B">
        <w:rPr>
          <w:rFonts w:cs="Arial"/>
          <w:sz w:val="20"/>
          <w:szCs w:val="20"/>
        </w:rPr>
        <w:t xml:space="preserve">If your service is cancelled before the end of your minimum term, there are no plan cancellation fees. You will simply need to pay out the sum of unpaid equipment charges owing on your mobile phone under the mobile equipment payment plan (if any).  Note any handset credit you were entitled to will be forfeited (see clause </w:t>
      </w:r>
      <w:r w:rsidRPr="00F3117A">
        <w:rPr>
          <w:rFonts w:cs="Arial"/>
          <w:sz w:val="20"/>
          <w:szCs w:val="20"/>
        </w:rPr>
        <w:t>15.</w:t>
      </w:r>
      <w:r w:rsidRPr="0057204B">
        <w:rPr>
          <w:rFonts w:cs="Arial"/>
          <w:sz w:val="20"/>
          <w:szCs w:val="20"/>
        </w:rPr>
        <w:t>12 above).</w:t>
      </w:r>
    </w:p>
    <w:bookmarkEnd w:id="2333"/>
    <w:p w14:paraId="0939493B" w14:textId="77777777" w:rsidR="00BA21F2" w:rsidRDefault="00BA21F2" w:rsidP="00E507D4">
      <w:pPr>
        <w:pStyle w:val="BodyText"/>
        <w:ind w:left="720"/>
      </w:pPr>
    </w:p>
    <w:p w14:paraId="75BB1201" w14:textId="77777777" w:rsidR="00F67786" w:rsidRDefault="00F67786" w:rsidP="00F67786">
      <w:pPr>
        <w:pStyle w:val="Heading4"/>
        <w:rPr>
          <w:lang w:val="en-AU"/>
        </w:rPr>
      </w:pPr>
      <w:bookmarkStart w:id="2373" w:name="_Toc500164456"/>
      <w:bookmarkStart w:id="2374" w:name="_Toc22802300"/>
      <w:bookmarkStart w:id="2375" w:name="_Toc62644720"/>
      <w:r>
        <w:rPr>
          <w:lang w:val="en-AU"/>
        </w:rPr>
        <w:t>$35 My Plan Business – Commonwealth Games Promo</w:t>
      </w:r>
      <w:bookmarkEnd w:id="2373"/>
      <w:bookmarkEnd w:id="2374"/>
      <w:bookmarkEnd w:id="2375"/>
    </w:p>
    <w:p w14:paraId="24AEABB2" w14:textId="77777777" w:rsidR="00F67786" w:rsidRDefault="00F67786" w:rsidP="00F67786">
      <w:pPr>
        <w:pStyle w:val="BodyText"/>
        <w:ind w:left="720"/>
      </w:pPr>
      <w:r>
        <w:rPr>
          <w:lang w:val="en-AU"/>
        </w:rPr>
        <w:t xml:space="preserve">This section relates to the following plan. </w:t>
      </w:r>
      <w:r>
        <w:rPr>
          <w:i/>
          <w:lang w:val="en-AU"/>
        </w:rPr>
        <w:t>You</w:t>
      </w:r>
      <w:r>
        <w:rPr>
          <w:lang w:val="en-AU"/>
        </w:rPr>
        <w:t xml:space="preserve"> can find </w:t>
      </w:r>
      <w:r>
        <w:rPr>
          <w:i/>
          <w:lang w:val="en-AU"/>
        </w:rPr>
        <w:t>your</w:t>
      </w:r>
      <w:r>
        <w:rPr>
          <w:lang w:val="en-AU"/>
        </w:rPr>
        <w:t xml:space="preserve"> Plan ID on </w:t>
      </w:r>
      <w:r>
        <w:rPr>
          <w:i/>
          <w:lang w:val="en-AU"/>
        </w:rPr>
        <w:t>your</w:t>
      </w:r>
      <w:r>
        <w:rPr>
          <w:lang w:val="en-AU"/>
        </w:rPr>
        <w:t xml:space="preserve"> bill under the Mobile Number Summary section:</w:t>
      </w:r>
    </w:p>
    <w:p w14:paraId="5BFDA4E7" w14:textId="77777777" w:rsidR="00F67786" w:rsidRDefault="00F67786" w:rsidP="00F67786">
      <w:pPr>
        <w:pStyle w:val="BodyText"/>
        <w:ind w:left="709"/>
        <w:rPr>
          <w:rFonts w:cs="Arial"/>
          <w:color w:val="191919"/>
          <w:szCs w:val="20"/>
          <w:lang w:val="en"/>
        </w:rPr>
      </w:pPr>
      <w:r>
        <w:t>From 10 December 2017, the</w:t>
      </w:r>
      <w:r>
        <w:rPr>
          <w:rFonts w:eastAsia="Calibri" w:cs="Arial"/>
          <w:szCs w:val="20"/>
          <w:lang w:val="en-AU"/>
        </w:rPr>
        <w:t xml:space="preserve"> $35 My Plan Business (Plan ID 800426) will be</w:t>
      </w:r>
      <w:r>
        <w:t xml:space="preserve"> available with bonus data for the life of the plan (1.5GB to 4.5GB).</w:t>
      </w:r>
      <w:r>
        <w:rPr>
          <w:rFonts w:cs="Arial"/>
          <w:color w:val="191919"/>
          <w:szCs w:val="20"/>
          <w:lang w:val="en"/>
        </w:rPr>
        <w:t xml:space="preserve"> </w:t>
      </w:r>
    </w:p>
    <w:p w14:paraId="2CAC1892" w14:textId="77777777" w:rsidR="00F67786" w:rsidRDefault="00F67786" w:rsidP="00F67786">
      <w:pPr>
        <w:pStyle w:val="BodyText"/>
        <w:ind w:left="709"/>
        <w:rPr>
          <w:rFonts w:cs="Arial"/>
          <w:szCs w:val="20"/>
        </w:rPr>
      </w:pPr>
      <w:r>
        <w:t xml:space="preserve">This plan is only available as a new service to athletes and supporting staff of the 2018 Commonwealth Games. </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398"/>
        <w:gridCol w:w="4253"/>
      </w:tblGrid>
      <w:tr w:rsidR="00F67786" w14:paraId="4834D22E" w14:textId="77777777" w:rsidTr="00F67786">
        <w:trPr>
          <w:jc w:val="center"/>
        </w:trPr>
        <w:tc>
          <w:tcPr>
            <w:tcW w:w="2700" w:type="dxa"/>
            <w:tcBorders>
              <w:top w:val="single" w:sz="4" w:space="0" w:color="auto"/>
              <w:left w:val="single" w:sz="4" w:space="0" w:color="auto"/>
              <w:bottom w:val="single" w:sz="4" w:space="0" w:color="auto"/>
              <w:right w:val="single" w:sz="4" w:space="0" w:color="auto"/>
            </w:tcBorders>
            <w:hideMark/>
          </w:tcPr>
          <w:p w14:paraId="61376D08" w14:textId="77777777" w:rsidR="00F67786" w:rsidRDefault="00F67786" w:rsidP="00DE32CC">
            <w:pPr>
              <w:pStyle w:val="BodyText"/>
              <w:spacing w:before="100" w:after="100"/>
              <w:jc w:val="center"/>
              <w:rPr>
                <w:b/>
                <w:lang w:val="en-AU"/>
              </w:rPr>
            </w:pPr>
            <w:r>
              <w:rPr>
                <w:b/>
                <w:lang w:val="en-AU"/>
              </w:rPr>
              <w:t>Plan</w:t>
            </w:r>
          </w:p>
        </w:tc>
        <w:tc>
          <w:tcPr>
            <w:tcW w:w="2398" w:type="dxa"/>
            <w:tcBorders>
              <w:top w:val="single" w:sz="4" w:space="0" w:color="auto"/>
              <w:left w:val="single" w:sz="4" w:space="0" w:color="auto"/>
              <w:bottom w:val="single" w:sz="4" w:space="0" w:color="auto"/>
              <w:right w:val="single" w:sz="4" w:space="0" w:color="auto"/>
            </w:tcBorders>
            <w:hideMark/>
          </w:tcPr>
          <w:p w14:paraId="265EBD80" w14:textId="77777777" w:rsidR="00F67786" w:rsidRDefault="00F67786" w:rsidP="00DE32CC">
            <w:pPr>
              <w:pStyle w:val="BodyText"/>
              <w:spacing w:before="100" w:after="100"/>
              <w:jc w:val="center"/>
              <w:rPr>
                <w:b/>
                <w:lang w:val="en-AU"/>
              </w:rPr>
            </w:pPr>
            <w:r>
              <w:rPr>
                <w:b/>
                <w:lang w:val="en-AU"/>
              </w:rPr>
              <w:t>Promotional Plan ID</w:t>
            </w:r>
          </w:p>
        </w:tc>
        <w:tc>
          <w:tcPr>
            <w:tcW w:w="4253" w:type="dxa"/>
            <w:tcBorders>
              <w:top w:val="single" w:sz="4" w:space="0" w:color="auto"/>
              <w:left w:val="single" w:sz="4" w:space="0" w:color="auto"/>
              <w:bottom w:val="single" w:sz="4" w:space="0" w:color="auto"/>
              <w:right w:val="single" w:sz="4" w:space="0" w:color="auto"/>
            </w:tcBorders>
            <w:hideMark/>
          </w:tcPr>
          <w:p w14:paraId="1B989911" w14:textId="77777777" w:rsidR="00F67786" w:rsidRDefault="00F67786" w:rsidP="00DE32CC">
            <w:pPr>
              <w:pStyle w:val="BodyText"/>
              <w:spacing w:before="100" w:after="100"/>
              <w:jc w:val="center"/>
              <w:rPr>
                <w:b/>
                <w:lang w:val="en-AU"/>
              </w:rPr>
            </w:pPr>
            <w:r>
              <w:rPr>
                <w:b/>
                <w:lang w:val="en-AU"/>
              </w:rPr>
              <w:t>Available</w:t>
            </w:r>
          </w:p>
        </w:tc>
      </w:tr>
      <w:tr w:rsidR="00F67786" w14:paraId="0AA958DD" w14:textId="77777777" w:rsidTr="00F67786">
        <w:trPr>
          <w:trHeight w:val="497"/>
          <w:jc w:val="center"/>
        </w:trPr>
        <w:tc>
          <w:tcPr>
            <w:tcW w:w="2700" w:type="dxa"/>
            <w:tcBorders>
              <w:top w:val="single" w:sz="4" w:space="0" w:color="auto"/>
              <w:left w:val="single" w:sz="4" w:space="0" w:color="auto"/>
              <w:bottom w:val="single" w:sz="4" w:space="0" w:color="auto"/>
              <w:right w:val="single" w:sz="4" w:space="0" w:color="auto"/>
            </w:tcBorders>
            <w:hideMark/>
          </w:tcPr>
          <w:p w14:paraId="2D70009C" w14:textId="77777777" w:rsidR="00F67786" w:rsidRDefault="00F67786" w:rsidP="00DE32CC">
            <w:pPr>
              <w:pStyle w:val="BodyText"/>
              <w:spacing w:before="100" w:after="100"/>
              <w:jc w:val="center"/>
              <w:rPr>
                <w:lang w:val="en-AU"/>
              </w:rPr>
            </w:pPr>
            <w:r>
              <w:t>$35 My Plan Business</w:t>
            </w:r>
          </w:p>
        </w:tc>
        <w:tc>
          <w:tcPr>
            <w:tcW w:w="2398" w:type="dxa"/>
            <w:tcBorders>
              <w:top w:val="single" w:sz="4" w:space="0" w:color="auto"/>
              <w:left w:val="single" w:sz="4" w:space="0" w:color="auto"/>
              <w:bottom w:val="single" w:sz="4" w:space="0" w:color="auto"/>
              <w:right w:val="single" w:sz="4" w:space="0" w:color="auto"/>
            </w:tcBorders>
            <w:hideMark/>
          </w:tcPr>
          <w:p w14:paraId="3CD4289B" w14:textId="77777777" w:rsidR="00F67786" w:rsidRDefault="00F67786" w:rsidP="00DE32CC">
            <w:pPr>
              <w:pStyle w:val="BodyText"/>
              <w:spacing w:before="100" w:after="100"/>
              <w:jc w:val="center"/>
            </w:pPr>
            <w:r>
              <w:t>800426</w:t>
            </w:r>
          </w:p>
        </w:tc>
        <w:tc>
          <w:tcPr>
            <w:tcW w:w="4253" w:type="dxa"/>
            <w:tcBorders>
              <w:top w:val="single" w:sz="4" w:space="0" w:color="auto"/>
              <w:left w:val="single" w:sz="4" w:space="0" w:color="auto"/>
              <w:bottom w:val="single" w:sz="4" w:space="0" w:color="auto"/>
              <w:right w:val="single" w:sz="4" w:space="0" w:color="auto"/>
            </w:tcBorders>
            <w:hideMark/>
          </w:tcPr>
          <w:p w14:paraId="3226842C" w14:textId="77777777" w:rsidR="00F67786" w:rsidRDefault="00F67786" w:rsidP="00DE32CC">
            <w:pPr>
              <w:pStyle w:val="BodyText"/>
              <w:spacing w:before="100" w:after="100"/>
              <w:jc w:val="center"/>
            </w:pPr>
            <w:r>
              <w:t>10 December 2017 – 24 November 2019</w:t>
            </w:r>
          </w:p>
        </w:tc>
      </w:tr>
    </w:tbl>
    <w:p w14:paraId="1DC2D7B3" w14:textId="77777777" w:rsidR="00F67786" w:rsidRDefault="00F67786" w:rsidP="00F67786"/>
    <w:p w14:paraId="56D9B775" w14:textId="77777777" w:rsidR="00E507D4" w:rsidRDefault="007569EB" w:rsidP="00F67786">
      <w:pPr>
        <w:pStyle w:val="BodyText"/>
        <w:rPr>
          <w:rStyle w:val="Hyperlink"/>
          <w:i/>
          <w:szCs w:val="20"/>
        </w:rPr>
      </w:pPr>
      <w:hyperlink r:id="rId890" w:history="1">
        <w:r w:rsidR="00F67786">
          <w:rPr>
            <w:rStyle w:val="Hyperlink"/>
            <w:i/>
            <w:szCs w:val="20"/>
          </w:rPr>
          <w:t>Fair Go Policy</w:t>
        </w:r>
      </w:hyperlink>
      <w:r w:rsidR="00F67786">
        <w:rPr>
          <w:szCs w:val="20"/>
        </w:rPr>
        <w:t xml:space="preserve"> applies. For further details refer to </w:t>
      </w:r>
      <w:hyperlink r:id="rId891" w:history="1">
        <w:r w:rsidR="00F67786">
          <w:rPr>
            <w:rStyle w:val="Hyperlink"/>
            <w:i/>
            <w:szCs w:val="20"/>
          </w:rPr>
          <w:t>Appendix S.</w:t>
        </w:r>
      </w:hyperlink>
    </w:p>
    <w:p w14:paraId="795FDDA4" w14:textId="77777777" w:rsidR="00305CE4" w:rsidRDefault="00305CE4" w:rsidP="00F67786">
      <w:pPr>
        <w:pStyle w:val="BodyText"/>
        <w:rPr>
          <w:rStyle w:val="Hyperlink"/>
          <w:i/>
          <w:szCs w:val="20"/>
        </w:rPr>
      </w:pPr>
    </w:p>
    <w:p w14:paraId="6DC6CA1F" w14:textId="77777777" w:rsidR="00305CE4" w:rsidRDefault="00305CE4" w:rsidP="00305CE4">
      <w:pPr>
        <w:pStyle w:val="Heading4"/>
        <w:numPr>
          <w:ilvl w:val="3"/>
          <w:numId w:val="3"/>
        </w:numPr>
        <w:rPr>
          <w:rFonts w:cs="Arial"/>
          <w:szCs w:val="32"/>
        </w:rPr>
      </w:pPr>
      <w:bookmarkStart w:id="2376" w:name="_Toc19645520"/>
      <w:bookmarkStart w:id="2377" w:name="_Toc16172546"/>
      <w:bookmarkStart w:id="2378" w:name="_Toc22802315"/>
      <w:bookmarkStart w:id="2379" w:name="_Toc62644721"/>
      <w:r>
        <w:rPr>
          <w:rFonts w:cs="Arial"/>
          <w:szCs w:val="32"/>
        </w:rPr>
        <w:lastRenderedPageBreak/>
        <w:t xml:space="preserve">Bonus 20GB Data on </w:t>
      </w:r>
      <w:bookmarkEnd w:id="2376"/>
      <w:bookmarkEnd w:id="2377"/>
      <w:r>
        <w:rPr>
          <w:rFonts w:cs="Arial"/>
          <w:szCs w:val="32"/>
        </w:rPr>
        <w:t>Selected Tech Fund Plans Promotion – October 2019</w:t>
      </w:r>
      <w:bookmarkEnd w:id="2378"/>
      <w:bookmarkEnd w:id="2379"/>
    </w:p>
    <w:p w14:paraId="7E44F6AD" w14:textId="77777777" w:rsidR="00305CE4" w:rsidRDefault="00305CE4" w:rsidP="00305CE4">
      <w:pPr>
        <w:pStyle w:val="BodyText"/>
        <w:rPr>
          <w:szCs w:val="20"/>
        </w:rPr>
      </w:pPr>
      <w:r>
        <w:t xml:space="preserve">This section relates to the following plan(s). </w:t>
      </w:r>
      <w:r>
        <w:rPr>
          <w:i/>
          <w:iCs/>
        </w:rPr>
        <w:t>You</w:t>
      </w:r>
      <w:r>
        <w:t xml:space="preserve"> can find </w:t>
      </w:r>
      <w:r>
        <w:rPr>
          <w:i/>
          <w:iCs/>
        </w:rPr>
        <w:t>your</w:t>
      </w:r>
      <w:r>
        <w:t xml:space="preserve"> Plan ID on </w:t>
      </w:r>
      <w:r>
        <w:rPr>
          <w:i/>
          <w:iCs/>
        </w:rPr>
        <w:t>your</w:t>
      </w:r>
      <w:r>
        <w:t xml:space="preserve"> bill under the Mobile Number Summary section:</w:t>
      </w:r>
    </w:p>
    <w:tbl>
      <w:tblPr>
        <w:tblpPr w:leftFromText="180" w:rightFromText="180" w:vertAnchor="text"/>
        <w:tblW w:w="5047" w:type="pct"/>
        <w:tblCellMar>
          <w:left w:w="0" w:type="dxa"/>
          <w:right w:w="0" w:type="dxa"/>
        </w:tblCellMar>
        <w:tblLook w:val="04A0" w:firstRow="1" w:lastRow="0" w:firstColumn="1" w:lastColumn="0" w:noHBand="0" w:noVBand="1"/>
      </w:tblPr>
      <w:tblGrid>
        <w:gridCol w:w="3462"/>
        <w:gridCol w:w="3152"/>
        <w:gridCol w:w="3660"/>
      </w:tblGrid>
      <w:tr w:rsidR="00305CE4" w14:paraId="73E68F49" w14:textId="77777777" w:rsidTr="00305CE4">
        <w:trPr>
          <w:trHeight w:val="482"/>
        </w:trPr>
        <w:tc>
          <w:tcPr>
            <w:tcW w:w="1685" w:type="pct"/>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36B84EF2" w14:textId="77777777" w:rsidR="00305CE4" w:rsidRDefault="00305CE4">
            <w:pPr>
              <w:pStyle w:val="BodyText"/>
              <w:spacing w:before="100" w:after="100" w:line="252" w:lineRule="auto"/>
              <w:jc w:val="center"/>
              <w:rPr>
                <w:b/>
                <w:bCs/>
                <w:szCs w:val="20"/>
              </w:rPr>
            </w:pPr>
            <w:r>
              <w:rPr>
                <w:b/>
                <w:bCs/>
                <w:szCs w:val="20"/>
              </w:rPr>
              <w:t>Plan</w:t>
            </w:r>
          </w:p>
        </w:tc>
        <w:tc>
          <w:tcPr>
            <w:tcW w:w="1534" w:type="pct"/>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57B97CBE" w14:textId="77777777" w:rsidR="00305CE4" w:rsidRDefault="00305CE4">
            <w:pPr>
              <w:pStyle w:val="BodyText"/>
              <w:spacing w:before="100" w:after="100" w:line="252" w:lineRule="auto"/>
              <w:jc w:val="center"/>
              <w:rPr>
                <w:b/>
                <w:bCs/>
                <w:szCs w:val="20"/>
              </w:rPr>
            </w:pPr>
            <w:r>
              <w:rPr>
                <w:b/>
                <w:bCs/>
                <w:szCs w:val="20"/>
              </w:rPr>
              <w:t>Plan ID</w:t>
            </w:r>
          </w:p>
        </w:tc>
        <w:tc>
          <w:tcPr>
            <w:tcW w:w="1781" w:type="pct"/>
            <w:tcBorders>
              <w:top w:val="single" w:sz="8" w:space="0" w:color="auto"/>
              <w:left w:val="nil"/>
              <w:bottom w:val="single" w:sz="4" w:space="0" w:color="auto"/>
              <w:right w:val="single" w:sz="8" w:space="0" w:color="auto"/>
            </w:tcBorders>
            <w:hideMark/>
          </w:tcPr>
          <w:p w14:paraId="01F37545" w14:textId="77777777" w:rsidR="00305CE4" w:rsidRDefault="00305CE4">
            <w:pPr>
              <w:pStyle w:val="BodyText"/>
              <w:spacing w:before="100" w:after="100" w:line="252" w:lineRule="auto"/>
              <w:jc w:val="center"/>
              <w:rPr>
                <w:b/>
                <w:bCs/>
                <w:szCs w:val="20"/>
              </w:rPr>
            </w:pPr>
            <w:r>
              <w:rPr>
                <w:b/>
                <w:bCs/>
                <w:szCs w:val="20"/>
              </w:rPr>
              <w:t>Dates</w:t>
            </w:r>
          </w:p>
        </w:tc>
      </w:tr>
      <w:tr w:rsidR="00305CE4" w14:paraId="38B57ED3" w14:textId="77777777" w:rsidTr="00305CE4">
        <w:trPr>
          <w:trHeight w:val="482"/>
        </w:trPr>
        <w:tc>
          <w:tcPr>
            <w:tcW w:w="16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13DEB4" w14:textId="77777777" w:rsidR="00305CE4" w:rsidRDefault="00305CE4">
            <w:pPr>
              <w:pStyle w:val="BodyText"/>
              <w:spacing w:before="100" w:after="100" w:line="252" w:lineRule="auto"/>
              <w:rPr>
                <w:szCs w:val="20"/>
              </w:rPr>
            </w:pPr>
            <w:r>
              <w:rPr>
                <w:szCs w:val="20"/>
              </w:rPr>
              <w:t>$</w:t>
            </w:r>
            <w:r>
              <w:t>65</w:t>
            </w:r>
            <w:r>
              <w:rPr>
                <w:szCs w:val="20"/>
              </w:rPr>
              <w:t xml:space="preserve"> Business Plus </w:t>
            </w:r>
            <w:r>
              <w:t>(TF Jul 18)</w:t>
            </w:r>
            <w:r>
              <w:rPr>
                <w:szCs w:val="20"/>
              </w:rPr>
              <w:t xml:space="preserve"> </w:t>
            </w:r>
          </w:p>
        </w:tc>
        <w:tc>
          <w:tcPr>
            <w:tcW w:w="153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53819F" w14:textId="77777777" w:rsidR="00305CE4" w:rsidRDefault="00305CE4">
            <w:pPr>
              <w:pStyle w:val="BodyText"/>
              <w:spacing w:before="100" w:after="100" w:line="252" w:lineRule="auto"/>
              <w:jc w:val="center"/>
            </w:pPr>
            <w:r>
              <w:t>801012, 10838895</w:t>
            </w:r>
          </w:p>
        </w:tc>
        <w:tc>
          <w:tcPr>
            <w:tcW w:w="1781" w:type="pct"/>
            <w:tcBorders>
              <w:top w:val="single" w:sz="4" w:space="0" w:color="auto"/>
              <w:left w:val="single" w:sz="4" w:space="0" w:color="auto"/>
              <w:bottom w:val="single" w:sz="4" w:space="0" w:color="auto"/>
              <w:right w:val="single" w:sz="4" w:space="0" w:color="auto"/>
            </w:tcBorders>
            <w:hideMark/>
          </w:tcPr>
          <w:p w14:paraId="66A08FB2" w14:textId="77777777" w:rsidR="00305CE4" w:rsidRDefault="00305CE4">
            <w:pPr>
              <w:pStyle w:val="BodyText"/>
              <w:spacing w:before="100" w:after="100" w:line="252" w:lineRule="auto"/>
              <w:jc w:val="center"/>
              <w:rPr>
                <w:szCs w:val="20"/>
              </w:rPr>
            </w:pPr>
            <w:r>
              <w:t>10 October</w:t>
            </w:r>
            <w:r>
              <w:rPr>
                <w:szCs w:val="20"/>
              </w:rPr>
              <w:t xml:space="preserve"> 2019</w:t>
            </w:r>
            <w:r>
              <w:t xml:space="preserve"> –24 November 2019</w:t>
            </w:r>
          </w:p>
        </w:tc>
      </w:tr>
      <w:tr w:rsidR="00305CE4" w14:paraId="4F9B2336" w14:textId="77777777" w:rsidTr="00305CE4">
        <w:trPr>
          <w:trHeight w:val="482"/>
        </w:trPr>
        <w:tc>
          <w:tcPr>
            <w:tcW w:w="16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CF325B" w14:textId="77777777" w:rsidR="00305CE4" w:rsidRDefault="00305CE4" w:rsidP="00305CE4">
            <w:pPr>
              <w:pStyle w:val="BodyText"/>
              <w:spacing w:before="100" w:after="100" w:line="252" w:lineRule="auto"/>
              <w:rPr>
                <w:szCs w:val="20"/>
              </w:rPr>
            </w:pPr>
            <w:r>
              <w:rPr>
                <w:szCs w:val="20"/>
              </w:rPr>
              <w:t>$</w:t>
            </w:r>
            <w:r>
              <w:t>85</w:t>
            </w:r>
            <w:r>
              <w:rPr>
                <w:szCs w:val="20"/>
              </w:rPr>
              <w:t xml:space="preserve"> Business Plus </w:t>
            </w:r>
            <w:r>
              <w:t>(TF Jul 18)</w:t>
            </w:r>
            <w:r>
              <w:rPr>
                <w:szCs w:val="20"/>
              </w:rPr>
              <w:t xml:space="preserve"> </w:t>
            </w:r>
          </w:p>
        </w:tc>
        <w:tc>
          <w:tcPr>
            <w:tcW w:w="153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CB8E66" w14:textId="77777777" w:rsidR="00305CE4" w:rsidRDefault="00305CE4" w:rsidP="00305CE4">
            <w:pPr>
              <w:pStyle w:val="BodyText"/>
              <w:spacing w:before="100" w:after="100" w:line="252" w:lineRule="auto"/>
              <w:jc w:val="center"/>
            </w:pPr>
            <w:r>
              <w:t>801013, 10838845</w:t>
            </w:r>
          </w:p>
        </w:tc>
        <w:tc>
          <w:tcPr>
            <w:tcW w:w="1781" w:type="pct"/>
            <w:tcBorders>
              <w:top w:val="single" w:sz="4" w:space="0" w:color="auto"/>
              <w:left w:val="single" w:sz="4" w:space="0" w:color="auto"/>
              <w:bottom w:val="single" w:sz="4" w:space="0" w:color="auto"/>
              <w:right w:val="single" w:sz="4" w:space="0" w:color="auto"/>
            </w:tcBorders>
            <w:hideMark/>
          </w:tcPr>
          <w:p w14:paraId="5422A184" w14:textId="77777777" w:rsidR="00305CE4" w:rsidRDefault="00305CE4" w:rsidP="00305CE4">
            <w:pPr>
              <w:pStyle w:val="BodyText"/>
              <w:spacing w:before="100" w:after="100" w:line="252" w:lineRule="auto"/>
              <w:jc w:val="center"/>
            </w:pPr>
            <w:r w:rsidRPr="00BF3A9F">
              <w:t>10 October</w:t>
            </w:r>
            <w:r w:rsidRPr="00BF3A9F">
              <w:rPr>
                <w:szCs w:val="20"/>
              </w:rPr>
              <w:t xml:space="preserve"> 2019</w:t>
            </w:r>
            <w:r w:rsidRPr="00BF3A9F">
              <w:t xml:space="preserve"> –24 November 2019</w:t>
            </w:r>
          </w:p>
        </w:tc>
      </w:tr>
      <w:tr w:rsidR="00305CE4" w14:paraId="554DC233" w14:textId="77777777" w:rsidTr="00305CE4">
        <w:trPr>
          <w:trHeight w:val="482"/>
        </w:trPr>
        <w:tc>
          <w:tcPr>
            <w:tcW w:w="16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A2BBCB" w14:textId="77777777" w:rsidR="00305CE4" w:rsidRDefault="00305CE4" w:rsidP="00305CE4">
            <w:pPr>
              <w:pStyle w:val="BodyText"/>
              <w:spacing w:before="100" w:after="100" w:line="252" w:lineRule="auto"/>
              <w:rPr>
                <w:szCs w:val="20"/>
              </w:rPr>
            </w:pPr>
            <w:r>
              <w:rPr>
                <w:szCs w:val="20"/>
              </w:rPr>
              <w:t>$</w:t>
            </w:r>
            <w:r>
              <w:t>105</w:t>
            </w:r>
            <w:r>
              <w:rPr>
                <w:szCs w:val="20"/>
              </w:rPr>
              <w:t xml:space="preserve"> Business Plus </w:t>
            </w:r>
            <w:r>
              <w:t>(TF Jul 18)</w:t>
            </w:r>
            <w:r>
              <w:rPr>
                <w:szCs w:val="20"/>
              </w:rPr>
              <w:t xml:space="preserve"> </w:t>
            </w:r>
          </w:p>
        </w:tc>
        <w:tc>
          <w:tcPr>
            <w:tcW w:w="153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0B00CF" w14:textId="77777777" w:rsidR="00305CE4" w:rsidRDefault="00305CE4" w:rsidP="00305CE4">
            <w:pPr>
              <w:pStyle w:val="BodyText"/>
              <w:spacing w:before="100" w:after="100" w:line="252" w:lineRule="auto"/>
              <w:jc w:val="center"/>
            </w:pPr>
            <w:r>
              <w:t>801014, 108389015</w:t>
            </w:r>
          </w:p>
        </w:tc>
        <w:tc>
          <w:tcPr>
            <w:tcW w:w="1781" w:type="pct"/>
            <w:tcBorders>
              <w:top w:val="single" w:sz="4" w:space="0" w:color="auto"/>
              <w:left w:val="single" w:sz="4" w:space="0" w:color="auto"/>
              <w:bottom w:val="single" w:sz="4" w:space="0" w:color="auto"/>
              <w:right w:val="single" w:sz="4" w:space="0" w:color="auto"/>
            </w:tcBorders>
            <w:hideMark/>
          </w:tcPr>
          <w:p w14:paraId="3C2AE987" w14:textId="77777777" w:rsidR="00305CE4" w:rsidRDefault="00305CE4" w:rsidP="00305CE4">
            <w:pPr>
              <w:pStyle w:val="BodyText"/>
              <w:spacing w:before="100" w:after="100" w:line="252" w:lineRule="auto"/>
              <w:jc w:val="center"/>
            </w:pPr>
            <w:r w:rsidRPr="00BF3A9F">
              <w:t>10 October</w:t>
            </w:r>
            <w:r w:rsidRPr="00BF3A9F">
              <w:rPr>
                <w:szCs w:val="20"/>
              </w:rPr>
              <w:t xml:space="preserve"> 2019</w:t>
            </w:r>
            <w:r w:rsidRPr="00BF3A9F">
              <w:t xml:space="preserve"> –24 November 2019</w:t>
            </w:r>
          </w:p>
        </w:tc>
      </w:tr>
      <w:tr w:rsidR="00305CE4" w14:paraId="4790602A" w14:textId="77777777" w:rsidTr="00305CE4">
        <w:trPr>
          <w:trHeight w:val="482"/>
        </w:trPr>
        <w:tc>
          <w:tcPr>
            <w:tcW w:w="16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1FF66C" w14:textId="77777777" w:rsidR="00305CE4" w:rsidRDefault="00305CE4" w:rsidP="00305CE4">
            <w:pPr>
              <w:pStyle w:val="BodyText"/>
              <w:spacing w:before="100" w:after="100" w:line="252" w:lineRule="auto"/>
              <w:rPr>
                <w:szCs w:val="20"/>
              </w:rPr>
            </w:pPr>
            <w:r>
              <w:rPr>
                <w:szCs w:val="20"/>
              </w:rPr>
              <w:t>$</w:t>
            </w:r>
            <w:r>
              <w:t>125</w:t>
            </w:r>
            <w:r>
              <w:rPr>
                <w:szCs w:val="20"/>
              </w:rPr>
              <w:t xml:space="preserve"> Business Plus </w:t>
            </w:r>
            <w:r>
              <w:t>(TF Jul 18)</w:t>
            </w:r>
            <w:r>
              <w:rPr>
                <w:szCs w:val="20"/>
              </w:rPr>
              <w:t xml:space="preserve"> </w:t>
            </w:r>
          </w:p>
        </w:tc>
        <w:tc>
          <w:tcPr>
            <w:tcW w:w="153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3D432F" w14:textId="77777777" w:rsidR="00305CE4" w:rsidRDefault="00305CE4" w:rsidP="00305CE4">
            <w:pPr>
              <w:pStyle w:val="BodyText"/>
              <w:spacing w:before="100" w:after="100" w:line="252" w:lineRule="auto"/>
              <w:jc w:val="center"/>
            </w:pPr>
            <w:r>
              <w:t>801015, 10838995</w:t>
            </w:r>
          </w:p>
        </w:tc>
        <w:tc>
          <w:tcPr>
            <w:tcW w:w="1781" w:type="pct"/>
            <w:tcBorders>
              <w:top w:val="single" w:sz="4" w:space="0" w:color="auto"/>
              <w:left w:val="single" w:sz="4" w:space="0" w:color="auto"/>
              <w:bottom w:val="single" w:sz="4" w:space="0" w:color="auto"/>
              <w:right w:val="single" w:sz="4" w:space="0" w:color="auto"/>
            </w:tcBorders>
            <w:hideMark/>
          </w:tcPr>
          <w:p w14:paraId="75473385" w14:textId="77777777" w:rsidR="00305CE4" w:rsidRDefault="00305CE4" w:rsidP="00305CE4">
            <w:pPr>
              <w:pStyle w:val="BodyText"/>
              <w:spacing w:before="100" w:after="100" w:line="252" w:lineRule="auto"/>
              <w:jc w:val="center"/>
            </w:pPr>
            <w:r w:rsidRPr="00BF3A9F">
              <w:t>10 October</w:t>
            </w:r>
            <w:r w:rsidRPr="00BF3A9F">
              <w:rPr>
                <w:szCs w:val="20"/>
              </w:rPr>
              <w:t xml:space="preserve"> 2019</w:t>
            </w:r>
            <w:r w:rsidRPr="00BF3A9F">
              <w:t xml:space="preserve"> –24 November 2019</w:t>
            </w:r>
          </w:p>
        </w:tc>
      </w:tr>
      <w:tr w:rsidR="00305CE4" w14:paraId="3D359F86" w14:textId="77777777" w:rsidTr="00305CE4">
        <w:trPr>
          <w:trHeight w:val="482"/>
        </w:trPr>
        <w:tc>
          <w:tcPr>
            <w:tcW w:w="16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C60600" w14:textId="77777777" w:rsidR="00305CE4" w:rsidRDefault="00305CE4" w:rsidP="00305CE4">
            <w:pPr>
              <w:pStyle w:val="BodyText"/>
              <w:spacing w:before="100" w:after="100" w:line="252" w:lineRule="auto"/>
              <w:rPr>
                <w:szCs w:val="20"/>
              </w:rPr>
            </w:pPr>
            <w:r>
              <w:rPr>
                <w:szCs w:val="20"/>
              </w:rPr>
              <w:t>$</w:t>
            </w:r>
            <w:r>
              <w:t>145</w:t>
            </w:r>
            <w:r>
              <w:rPr>
                <w:szCs w:val="20"/>
              </w:rPr>
              <w:t xml:space="preserve"> Business Plus </w:t>
            </w:r>
            <w:r>
              <w:t>(TF Jul 18)</w:t>
            </w:r>
            <w:r>
              <w:rPr>
                <w:szCs w:val="20"/>
              </w:rPr>
              <w:t xml:space="preserve"> </w:t>
            </w:r>
          </w:p>
        </w:tc>
        <w:tc>
          <w:tcPr>
            <w:tcW w:w="153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E0E034" w14:textId="77777777" w:rsidR="00305CE4" w:rsidRDefault="00305CE4" w:rsidP="00305CE4">
            <w:pPr>
              <w:pStyle w:val="BodyText"/>
              <w:spacing w:before="100" w:after="100" w:line="252" w:lineRule="auto"/>
              <w:jc w:val="center"/>
            </w:pPr>
            <w:r>
              <w:t>801016, 108388965</w:t>
            </w:r>
          </w:p>
        </w:tc>
        <w:tc>
          <w:tcPr>
            <w:tcW w:w="1781" w:type="pct"/>
            <w:tcBorders>
              <w:top w:val="single" w:sz="4" w:space="0" w:color="auto"/>
              <w:left w:val="single" w:sz="4" w:space="0" w:color="auto"/>
              <w:bottom w:val="single" w:sz="4" w:space="0" w:color="auto"/>
              <w:right w:val="single" w:sz="4" w:space="0" w:color="auto"/>
            </w:tcBorders>
            <w:hideMark/>
          </w:tcPr>
          <w:p w14:paraId="6105F930" w14:textId="77777777" w:rsidR="00305CE4" w:rsidRDefault="00305CE4" w:rsidP="00305CE4">
            <w:pPr>
              <w:pStyle w:val="BodyText"/>
              <w:spacing w:before="100" w:after="100" w:line="252" w:lineRule="auto"/>
              <w:jc w:val="center"/>
            </w:pPr>
            <w:r w:rsidRPr="00BF3A9F">
              <w:t>10 October</w:t>
            </w:r>
            <w:r w:rsidRPr="00BF3A9F">
              <w:rPr>
                <w:szCs w:val="20"/>
              </w:rPr>
              <w:t xml:space="preserve"> 2019</w:t>
            </w:r>
            <w:r w:rsidRPr="00BF3A9F">
              <w:t xml:space="preserve"> –24 November 2019</w:t>
            </w:r>
          </w:p>
        </w:tc>
      </w:tr>
    </w:tbl>
    <w:p w14:paraId="4D359F89" w14:textId="77777777" w:rsidR="00305CE4" w:rsidRDefault="00305CE4" w:rsidP="00305CE4">
      <w:pPr>
        <w:pStyle w:val="BodyText"/>
      </w:pPr>
    </w:p>
    <w:p w14:paraId="1D362C07" w14:textId="77777777" w:rsidR="00305CE4" w:rsidRDefault="00305CE4" w:rsidP="00305CE4">
      <w:pPr>
        <w:pStyle w:val="Heading6"/>
        <w:numPr>
          <w:ilvl w:val="0"/>
          <w:numId w:val="0"/>
        </w:numPr>
        <w:tabs>
          <w:tab w:val="left" w:pos="720"/>
        </w:tabs>
        <w:rPr>
          <w:b/>
          <w:bCs w:val="0"/>
        </w:rPr>
      </w:pPr>
      <w:bookmarkStart w:id="2380" w:name="_Toc22802316"/>
      <w:bookmarkStart w:id="2381" w:name="_Toc19645521"/>
      <w:bookmarkStart w:id="2382" w:name="_Toc16172547"/>
      <w:r>
        <w:rPr>
          <w:b/>
          <w:bCs w:val="0"/>
        </w:rPr>
        <w:t>Eligibility</w:t>
      </w:r>
      <w:bookmarkEnd w:id="2380"/>
      <w:bookmarkEnd w:id="2381"/>
      <w:bookmarkEnd w:id="2382"/>
    </w:p>
    <w:p w14:paraId="4243D98A" w14:textId="77777777" w:rsidR="00305CE4" w:rsidRDefault="00305CE4" w:rsidP="00305CE4">
      <w:pPr>
        <w:pStyle w:val="BodyText"/>
      </w:pPr>
      <w:r>
        <w:rPr>
          <w:szCs w:val="20"/>
        </w:rPr>
        <w:t xml:space="preserve">From </w:t>
      </w:r>
      <w:r>
        <w:t>10 October</w:t>
      </w:r>
      <w:r>
        <w:rPr>
          <w:szCs w:val="20"/>
        </w:rPr>
        <w:t xml:space="preserve"> 2019 </w:t>
      </w:r>
      <w:r>
        <w:t>until withdrawn</w:t>
      </w:r>
      <w:r>
        <w:rPr>
          <w:szCs w:val="20"/>
        </w:rPr>
        <w:t>, if you sign up or recontract to the $</w:t>
      </w:r>
      <w:r>
        <w:t>65</w:t>
      </w:r>
      <w:r>
        <w:rPr>
          <w:szCs w:val="20"/>
        </w:rPr>
        <w:t xml:space="preserve"> and above Business Tech Fund 24 Month plans with the Plan ID specified above, you will receive </w:t>
      </w:r>
      <w:r>
        <w:t>20GB bonus data for 24 months.</w:t>
      </w:r>
      <w:r>
        <w:rPr>
          <w:szCs w:val="20"/>
        </w:rPr>
        <w:t xml:space="preserve"> The </w:t>
      </w:r>
      <w:r>
        <w:t>bonus data</w:t>
      </w:r>
      <w:r>
        <w:rPr>
          <w:szCs w:val="20"/>
        </w:rPr>
        <w:t xml:space="preserve"> will apply for </w:t>
      </w:r>
      <w:r>
        <w:t>24</w:t>
      </w:r>
      <w:r>
        <w:rPr>
          <w:szCs w:val="20"/>
        </w:rPr>
        <w:t xml:space="preserve"> months, unless you change, recontract or cancel your plan. </w:t>
      </w:r>
      <w:r>
        <w:rPr>
          <w:szCs w:val="20"/>
          <w:lang w:val="en-AU"/>
        </w:rPr>
        <w:t xml:space="preserve">After the minimum contract term, we have the right to remove the bonus data. </w:t>
      </w:r>
      <w:r>
        <w:t>Cancellation fees apply. Not available</w:t>
      </w:r>
      <w:r>
        <w:rPr>
          <w:szCs w:val="20"/>
        </w:rPr>
        <w:t xml:space="preserve"> with other offers</w:t>
      </w:r>
      <w:r>
        <w:t xml:space="preserve">, unless specified otherwise. </w:t>
      </w:r>
      <w:r>
        <w:br/>
      </w:r>
    </w:p>
    <w:tbl>
      <w:tblPr>
        <w:tblpPr w:leftFromText="180" w:rightFromText="180" w:vertAnchor="text"/>
        <w:tblW w:w="4793" w:type="pct"/>
        <w:tblCellMar>
          <w:left w:w="0" w:type="dxa"/>
          <w:right w:w="0" w:type="dxa"/>
        </w:tblCellMar>
        <w:tblLook w:val="04A0" w:firstRow="1" w:lastRow="0" w:firstColumn="1" w:lastColumn="0" w:noHBand="0" w:noVBand="1"/>
      </w:tblPr>
      <w:tblGrid>
        <w:gridCol w:w="4022"/>
        <w:gridCol w:w="1959"/>
        <w:gridCol w:w="1957"/>
        <w:gridCol w:w="1819"/>
      </w:tblGrid>
      <w:tr w:rsidR="00305CE4" w14:paraId="71F36A83" w14:textId="77777777" w:rsidTr="00305CE4">
        <w:trPr>
          <w:trHeight w:val="482"/>
        </w:trPr>
        <w:tc>
          <w:tcPr>
            <w:tcW w:w="2061" w:type="pct"/>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3FFD6A89" w14:textId="77777777" w:rsidR="00305CE4" w:rsidRDefault="00305CE4">
            <w:pPr>
              <w:pStyle w:val="BodyText"/>
              <w:spacing w:before="100" w:after="100" w:line="252" w:lineRule="auto"/>
              <w:jc w:val="center"/>
              <w:rPr>
                <w:b/>
                <w:bCs/>
                <w:szCs w:val="20"/>
              </w:rPr>
            </w:pPr>
            <w:r>
              <w:rPr>
                <w:b/>
                <w:bCs/>
                <w:szCs w:val="20"/>
              </w:rPr>
              <w:t>Plan</w:t>
            </w:r>
          </w:p>
        </w:tc>
        <w:tc>
          <w:tcPr>
            <w:tcW w:w="1004" w:type="pct"/>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77ECD6B8" w14:textId="77777777" w:rsidR="00305CE4" w:rsidRDefault="00305CE4">
            <w:pPr>
              <w:pStyle w:val="BodyText"/>
              <w:spacing w:before="100" w:after="100" w:line="252" w:lineRule="auto"/>
              <w:jc w:val="center"/>
              <w:rPr>
                <w:b/>
                <w:bCs/>
                <w:szCs w:val="20"/>
              </w:rPr>
            </w:pPr>
            <w:r>
              <w:rPr>
                <w:b/>
                <w:bCs/>
                <w:szCs w:val="20"/>
              </w:rPr>
              <w:t>Original data</w:t>
            </w:r>
          </w:p>
        </w:tc>
        <w:tc>
          <w:tcPr>
            <w:tcW w:w="1003" w:type="pct"/>
            <w:tcBorders>
              <w:top w:val="single" w:sz="8" w:space="0" w:color="auto"/>
              <w:left w:val="nil"/>
              <w:bottom w:val="single" w:sz="4" w:space="0" w:color="auto"/>
              <w:right w:val="single" w:sz="8" w:space="0" w:color="auto"/>
            </w:tcBorders>
            <w:hideMark/>
          </w:tcPr>
          <w:p w14:paraId="53F63F96" w14:textId="77777777" w:rsidR="00305CE4" w:rsidRDefault="00305CE4">
            <w:pPr>
              <w:pStyle w:val="BodyText"/>
              <w:spacing w:before="100" w:after="100" w:line="252" w:lineRule="auto"/>
              <w:jc w:val="center"/>
              <w:rPr>
                <w:b/>
                <w:bCs/>
                <w:szCs w:val="20"/>
              </w:rPr>
            </w:pPr>
            <w:r>
              <w:rPr>
                <w:b/>
                <w:bCs/>
                <w:szCs w:val="20"/>
              </w:rPr>
              <w:t>Bonus data</w:t>
            </w:r>
          </w:p>
        </w:tc>
        <w:tc>
          <w:tcPr>
            <w:tcW w:w="932" w:type="pct"/>
            <w:tcBorders>
              <w:top w:val="single" w:sz="8" w:space="0" w:color="auto"/>
              <w:left w:val="nil"/>
              <w:bottom w:val="single" w:sz="4" w:space="0" w:color="auto"/>
              <w:right w:val="single" w:sz="8" w:space="0" w:color="auto"/>
            </w:tcBorders>
            <w:hideMark/>
          </w:tcPr>
          <w:p w14:paraId="28F24951" w14:textId="77777777" w:rsidR="00305CE4" w:rsidRDefault="00305CE4">
            <w:pPr>
              <w:pStyle w:val="BodyText"/>
              <w:spacing w:before="100" w:after="100" w:line="252" w:lineRule="auto"/>
              <w:jc w:val="center"/>
              <w:rPr>
                <w:b/>
                <w:bCs/>
                <w:szCs w:val="20"/>
              </w:rPr>
            </w:pPr>
            <w:r>
              <w:rPr>
                <w:b/>
                <w:bCs/>
                <w:szCs w:val="20"/>
              </w:rPr>
              <w:t>Total data/month</w:t>
            </w:r>
          </w:p>
        </w:tc>
      </w:tr>
      <w:tr w:rsidR="00305CE4" w14:paraId="5A58F4D1" w14:textId="77777777" w:rsidTr="00305CE4">
        <w:trPr>
          <w:trHeight w:val="482"/>
        </w:trPr>
        <w:tc>
          <w:tcPr>
            <w:tcW w:w="20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4A0560" w14:textId="77777777" w:rsidR="00305CE4" w:rsidRDefault="00305CE4">
            <w:pPr>
              <w:pStyle w:val="BodyText"/>
              <w:spacing w:before="100" w:after="100" w:line="252" w:lineRule="auto"/>
              <w:rPr>
                <w:szCs w:val="20"/>
              </w:rPr>
            </w:pPr>
            <w:r>
              <w:rPr>
                <w:szCs w:val="20"/>
              </w:rPr>
              <w:t>$</w:t>
            </w:r>
            <w:r>
              <w:t>65</w:t>
            </w:r>
            <w:r>
              <w:rPr>
                <w:szCs w:val="20"/>
              </w:rPr>
              <w:t xml:space="preserve"> Business Plus </w:t>
            </w:r>
            <w:r>
              <w:t>(TF Jul 18)</w:t>
            </w:r>
            <w:r>
              <w:rPr>
                <w:szCs w:val="20"/>
              </w:rPr>
              <w:t xml:space="preserve"> </w:t>
            </w:r>
          </w:p>
        </w:tc>
        <w:tc>
          <w:tcPr>
            <w:tcW w:w="10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BCE901" w14:textId="77777777" w:rsidR="00305CE4" w:rsidRDefault="00305CE4">
            <w:pPr>
              <w:pStyle w:val="BodyText"/>
              <w:spacing w:before="100" w:after="100" w:line="252" w:lineRule="auto"/>
              <w:jc w:val="center"/>
            </w:pPr>
            <w:r>
              <w:t>10GB</w:t>
            </w:r>
          </w:p>
        </w:tc>
        <w:tc>
          <w:tcPr>
            <w:tcW w:w="1003" w:type="pct"/>
            <w:tcBorders>
              <w:top w:val="single" w:sz="4" w:space="0" w:color="auto"/>
              <w:left w:val="single" w:sz="4" w:space="0" w:color="auto"/>
              <w:bottom w:val="single" w:sz="4" w:space="0" w:color="auto"/>
              <w:right w:val="single" w:sz="4" w:space="0" w:color="auto"/>
            </w:tcBorders>
            <w:hideMark/>
          </w:tcPr>
          <w:p w14:paraId="46437686" w14:textId="77777777" w:rsidR="00305CE4" w:rsidRDefault="00305CE4">
            <w:pPr>
              <w:pStyle w:val="BodyText"/>
              <w:spacing w:before="100" w:after="100" w:line="252" w:lineRule="auto"/>
              <w:jc w:val="center"/>
            </w:pPr>
            <w:r>
              <w:t>20GB</w:t>
            </w:r>
          </w:p>
        </w:tc>
        <w:tc>
          <w:tcPr>
            <w:tcW w:w="932" w:type="pct"/>
            <w:tcBorders>
              <w:top w:val="single" w:sz="4" w:space="0" w:color="auto"/>
              <w:left w:val="single" w:sz="4" w:space="0" w:color="auto"/>
              <w:bottom w:val="single" w:sz="4" w:space="0" w:color="auto"/>
              <w:right w:val="single" w:sz="4" w:space="0" w:color="auto"/>
            </w:tcBorders>
            <w:hideMark/>
          </w:tcPr>
          <w:p w14:paraId="2526BE22" w14:textId="77777777" w:rsidR="00305CE4" w:rsidRDefault="00305CE4">
            <w:pPr>
              <w:pStyle w:val="BodyText"/>
              <w:spacing w:before="100" w:after="100" w:line="252" w:lineRule="auto"/>
              <w:jc w:val="center"/>
              <w:rPr>
                <w:b/>
                <w:bCs/>
                <w:szCs w:val="20"/>
              </w:rPr>
            </w:pPr>
            <w:r>
              <w:rPr>
                <w:b/>
                <w:bCs/>
                <w:lang w:val="en-AU"/>
              </w:rPr>
              <w:t>30GB</w:t>
            </w:r>
          </w:p>
        </w:tc>
      </w:tr>
      <w:tr w:rsidR="00305CE4" w14:paraId="4051F394" w14:textId="77777777" w:rsidTr="00305CE4">
        <w:trPr>
          <w:trHeight w:val="482"/>
        </w:trPr>
        <w:tc>
          <w:tcPr>
            <w:tcW w:w="20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B4E74B" w14:textId="77777777" w:rsidR="00305CE4" w:rsidRDefault="00305CE4">
            <w:pPr>
              <w:pStyle w:val="BodyText"/>
              <w:spacing w:before="100" w:after="100" w:line="252" w:lineRule="auto"/>
              <w:rPr>
                <w:szCs w:val="20"/>
              </w:rPr>
            </w:pPr>
            <w:r>
              <w:rPr>
                <w:szCs w:val="20"/>
              </w:rPr>
              <w:t>$</w:t>
            </w:r>
            <w:r>
              <w:t>85</w:t>
            </w:r>
            <w:r>
              <w:rPr>
                <w:szCs w:val="20"/>
              </w:rPr>
              <w:t xml:space="preserve"> Business Plus </w:t>
            </w:r>
            <w:r>
              <w:t>(TF Jul 18)</w:t>
            </w:r>
            <w:r>
              <w:rPr>
                <w:szCs w:val="20"/>
              </w:rPr>
              <w:t xml:space="preserve"> </w:t>
            </w:r>
          </w:p>
        </w:tc>
        <w:tc>
          <w:tcPr>
            <w:tcW w:w="10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19FB45" w14:textId="77777777" w:rsidR="00305CE4" w:rsidRDefault="00305CE4">
            <w:pPr>
              <w:pStyle w:val="BodyText"/>
              <w:spacing w:before="100" w:after="100" w:line="252" w:lineRule="auto"/>
              <w:jc w:val="center"/>
            </w:pPr>
            <w:r>
              <w:t>25GB</w:t>
            </w:r>
          </w:p>
        </w:tc>
        <w:tc>
          <w:tcPr>
            <w:tcW w:w="1003" w:type="pct"/>
            <w:tcBorders>
              <w:top w:val="single" w:sz="4" w:space="0" w:color="auto"/>
              <w:left w:val="single" w:sz="4" w:space="0" w:color="auto"/>
              <w:bottom w:val="single" w:sz="4" w:space="0" w:color="auto"/>
              <w:right w:val="single" w:sz="4" w:space="0" w:color="auto"/>
            </w:tcBorders>
            <w:hideMark/>
          </w:tcPr>
          <w:p w14:paraId="63C9436E" w14:textId="77777777" w:rsidR="00305CE4" w:rsidRDefault="00305CE4">
            <w:pPr>
              <w:pStyle w:val="BodyText"/>
              <w:spacing w:before="100" w:after="100" w:line="252" w:lineRule="auto"/>
              <w:jc w:val="center"/>
            </w:pPr>
            <w:r>
              <w:t>20GB</w:t>
            </w:r>
          </w:p>
        </w:tc>
        <w:tc>
          <w:tcPr>
            <w:tcW w:w="932" w:type="pct"/>
            <w:tcBorders>
              <w:top w:val="single" w:sz="4" w:space="0" w:color="auto"/>
              <w:left w:val="single" w:sz="4" w:space="0" w:color="auto"/>
              <w:bottom w:val="single" w:sz="4" w:space="0" w:color="auto"/>
              <w:right w:val="single" w:sz="4" w:space="0" w:color="auto"/>
            </w:tcBorders>
            <w:hideMark/>
          </w:tcPr>
          <w:p w14:paraId="3B2CCA19" w14:textId="77777777" w:rsidR="00305CE4" w:rsidRDefault="00305CE4">
            <w:pPr>
              <w:pStyle w:val="BodyText"/>
              <w:spacing w:before="100" w:after="100" w:line="252" w:lineRule="auto"/>
              <w:jc w:val="center"/>
              <w:rPr>
                <w:b/>
                <w:bCs/>
              </w:rPr>
            </w:pPr>
            <w:r>
              <w:rPr>
                <w:b/>
                <w:bCs/>
                <w:lang w:val="en-AU"/>
              </w:rPr>
              <w:t>45GB</w:t>
            </w:r>
          </w:p>
        </w:tc>
      </w:tr>
      <w:tr w:rsidR="00305CE4" w14:paraId="5ECEB466" w14:textId="77777777" w:rsidTr="00305CE4">
        <w:trPr>
          <w:trHeight w:val="482"/>
        </w:trPr>
        <w:tc>
          <w:tcPr>
            <w:tcW w:w="20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FA4E15" w14:textId="77777777" w:rsidR="00305CE4" w:rsidRDefault="00305CE4">
            <w:pPr>
              <w:pStyle w:val="BodyText"/>
              <w:spacing w:before="100" w:after="100" w:line="252" w:lineRule="auto"/>
              <w:rPr>
                <w:szCs w:val="20"/>
              </w:rPr>
            </w:pPr>
            <w:r>
              <w:rPr>
                <w:szCs w:val="20"/>
              </w:rPr>
              <w:t>$</w:t>
            </w:r>
            <w:r>
              <w:t>105</w:t>
            </w:r>
            <w:r>
              <w:rPr>
                <w:szCs w:val="20"/>
              </w:rPr>
              <w:t xml:space="preserve"> Business Plus </w:t>
            </w:r>
            <w:r>
              <w:t>(TF Jul 18)</w:t>
            </w:r>
            <w:r>
              <w:rPr>
                <w:szCs w:val="20"/>
              </w:rPr>
              <w:t xml:space="preserve"> </w:t>
            </w:r>
          </w:p>
        </w:tc>
        <w:tc>
          <w:tcPr>
            <w:tcW w:w="10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9242E2" w14:textId="77777777" w:rsidR="00305CE4" w:rsidRDefault="00305CE4">
            <w:pPr>
              <w:pStyle w:val="BodyText"/>
              <w:spacing w:before="100" w:after="100" w:line="252" w:lineRule="auto"/>
              <w:jc w:val="center"/>
            </w:pPr>
            <w:r>
              <w:t>40GB</w:t>
            </w:r>
          </w:p>
        </w:tc>
        <w:tc>
          <w:tcPr>
            <w:tcW w:w="1003" w:type="pct"/>
            <w:tcBorders>
              <w:top w:val="single" w:sz="4" w:space="0" w:color="auto"/>
              <w:left w:val="single" w:sz="4" w:space="0" w:color="auto"/>
              <w:bottom w:val="single" w:sz="4" w:space="0" w:color="auto"/>
              <w:right w:val="single" w:sz="4" w:space="0" w:color="auto"/>
            </w:tcBorders>
            <w:hideMark/>
          </w:tcPr>
          <w:p w14:paraId="411CCE57" w14:textId="77777777" w:rsidR="00305CE4" w:rsidRDefault="00305CE4">
            <w:pPr>
              <w:pStyle w:val="BodyText"/>
              <w:spacing w:before="100" w:after="100" w:line="252" w:lineRule="auto"/>
              <w:jc w:val="center"/>
            </w:pPr>
            <w:r>
              <w:t>20GB</w:t>
            </w:r>
          </w:p>
        </w:tc>
        <w:tc>
          <w:tcPr>
            <w:tcW w:w="932" w:type="pct"/>
            <w:tcBorders>
              <w:top w:val="single" w:sz="4" w:space="0" w:color="auto"/>
              <w:left w:val="single" w:sz="4" w:space="0" w:color="auto"/>
              <w:bottom w:val="single" w:sz="4" w:space="0" w:color="auto"/>
              <w:right w:val="single" w:sz="4" w:space="0" w:color="auto"/>
            </w:tcBorders>
            <w:hideMark/>
          </w:tcPr>
          <w:p w14:paraId="0924AB5D" w14:textId="77777777" w:rsidR="00305CE4" w:rsidRDefault="00305CE4">
            <w:pPr>
              <w:pStyle w:val="BodyText"/>
              <w:spacing w:before="100" w:after="100" w:line="252" w:lineRule="auto"/>
              <w:jc w:val="center"/>
              <w:rPr>
                <w:b/>
                <w:bCs/>
              </w:rPr>
            </w:pPr>
            <w:r>
              <w:rPr>
                <w:b/>
                <w:bCs/>
                <w:lang w:val="en-AU"/>
              </w:rPr>
              <w:t>60GB</w:t>
            </w:r>
          </w:p>
        </w:tc>
      </w:tr>
      <w:tr w:rsidR="00305CE4" w14:paraId="34158736" w14:textId="77777777" w:rsidTr="00305CE4">
        <w:trPr>
          <w:trHeight w:val="482"/>
        </w:trPr>
        <w:tc>
          <w:tcPr>
            <w:tcW w:w="20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EB8DF0" w14:textId="77777777" w:rsidR="00305CE4" w:rsidRDefault="00305CE4">
            <w:pPr>
              <w:pStyle w:val="BodyText"/>
              <w:spacing w:before="100" w:after="100" w:line="252" w:lineRule="auto"/>
              <w:rPr>
                <w:szCs w:val="20"/>
              </w:rPr>
            </w:pPr>
            <w:r>
              <w:rPr>
                <w:szCs w:val="20"/>
              </w:rPr>
              <w:t>$</w:t>
            </w:r>
            <w:r>
              <w:t>125</w:t>
            </w:r>
            <w:r>
              <w:rPr>
                <w:szCs w:val="20"/>
              </w:rPr>
              <w:t xml:space="preserve"> Business Plus </w:t>
            </w:r>
            <w:r>
              <w:t>(TF Jul 18)</w:t>
            </w:r>
            <w:r>
              <w:rPr>
                <w:szCs w:val="20"/>
              </w:rPr>
              <w:t xml:space="preserve"> </w:t>
            </w:r>
          </w:p>
        </w:tc>
        <w:tc>
          <w:tcPr>
            <w:tcW w:w="10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B104B4" w14:textId="77777777" w:rsidR="00305CE4" w:rsidRDefault="00305CE4">
            <w:pPr>
              <w:pStyle w:val="BodyText"/>
              <w:spacing w:before="100" w:after="100" w:line="252" w:lineRule="auto"/>
              <w:jc w:val="center"/>
            </w:pPr>
            <w:r>
              <w:t>60GB</w:t>
            </w:r>
          </w:p>
        </w:tc>
        <w:tc>
          <w:tcPr>
            <w:tcW w:w="1003" w:type="pct"/>
            <w:tcBorders>
              <w:top w:val="single" w:sz="4" w:space="0" w:color="auto"/>
              <w:left w:val="single" w:sz="4" w:space="0" w:color="auto"/>
              <w:bottom w:val="single" w:sz="4" w:space="0" w:color="auto"/>
              <w:right w:val="single" w:sz="4" w:space="0" w:color="auto"/>
            </w:tcBorders>
            <w:hideMark/>
          </w:tcPr>
          <w:p w14:paraId="170E6966" w14:textId="77777777" w:rsidR="00305CE4" w:rsidRDefault="00305CE4">
            <w:pPr>
              <w:pStyle w:val="BodyText"/>
              <w:spacing w:before="100" w:after="100" w:line="252" w:lineRule="auto"/>
              <w:jc w:val="center"/>
            </w:pPr>
            <w:r>
              <w:t>20GB</w:t>
            </w:r>
          </w:p>
        </w:tc>
        <w:tc>
          <w:tcPr>
            <w:tcW w:w="932" w:type="pct"/>
            <w:tcBorders>
              <w:top w:val="single" w:sz="4" w:space="0" w:color="auto"/>
              <w:left w:val="single" w:sz="4" w:space="0" w:color="auto"/>
              <w:bottom w:val="single" w:sz="4" w:space="0" w:color="auto"/>
              <w:right w:val="single" w:sz="4" w:space="0" w:color="auto"/>
            </w:tcBorders>
            <w:hideMark/>
          </w:tcPr>
          <w:p w14:paraId="1EEE3936" w14:textId="77777777" w:rsidR="00305CE4" w:rsidRDefault="00305CE4">
            <w:pPr>
              <w:pStyle w:val="BodyText"/>
              <w:spacing w:before="100" w:after="100" w:line="252" w:lineRule="auto"/>
              <w:jc w:val="center"/>
              <w:rPr>
                <w:b/>
                <w:bCs/>
              </w:rPr>
            </w:pPr>
            <w:r>
              <w:rPr>
                <w:b/>
                <w:bCs/>
                <w:lang w:val="en-AU"/>
              </w:rPr>
              <w:t>80GB</w:t>
            </w:r>
          </w:p>
        </w:tc>
      </w:tr>
      <w:tr w:rsidR="00305CE4" w14:paraId="6597FF55" w14:textId="77777777" w:rsidTr="00305CE4">
        <w:trPr>
          <w:trHeight w:val="482"/>
        </w:trPr>
        <w:tc>
          <w:tcPr>
            <w:tcW w:w="20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F0FE1B" w14:textId="77777777" w:rsidR="00305CE4" w:rsidRDefault="00305CE4">
            <w:pPr>
              <w:pStyle w:val="BodyText"/>
              <w:spacing w:before="100" w:after="100" w:line="252" w:lineRule="auto"/>
              <w:rPr>
                <w:szCs w:val="20"/>
              </w:rPr>
            </w:pPr>
            <w:r>
              <w:rPr>
                <w:szCs w:val="20"/>
              </w:rPr>
              <w:t>$</w:t>
            </w:r>
            <w:r>
              <w:t>145</w:t>
            </w:r>
            <w:r>
              <w:rPr>
                <w:szCs w:val="20"/>
              </w:rPr>
              <w:t xml:space="preserve"> Business Plus </w:t>
            </w:r>
            <w:r>
              <w:t>(TF Jul 18)</w:t>
            </w:r>
            <w:r>
              <w:rPr>
                <w:szCs w:val="20"/>
              </w:rPr>
              <w:t xml:space="preserve"> </w:t>
            </w:r>
          </w:p>
        </w:tc>
        <w:tc>
          <w:tcPr>
            <w:tcW w:w="10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512355" w14:textId="77777777" w:rsidR="00305CE4" w:rsidRDefault="00305CE4">
            <w:pPr>
              <w:pStyle w:val="BodyText"/>
              <w:spacing w:before="100" w:after="100" w:line="252" w:lineRule="auto"/>
              <w:jc w:val="center"/>
            </w:pPr>
            <w:r>
              <w:t>120GB</w:t>
            </w:r>
          </w:p>
        </w:tc>
        <w:tc>
          <w:tcPr>
            <w:tcW w:w="1003" w:type="pct"/>
            <w:tcBorders>
              <w:top w:val="single" w:sz="4" w:space="0" w:color="auto"/>
              <w:left w:val="single" w:sz="4" w:space="0" w:color="auto"/>
              <w:bottom w:val="single" w:sz="4" w:space="0" w:color="auto"/>
              <w:right w:val="single" w:sz="4" w:space="0" w:color="auto"/>
            </w:tcBorders>
            <w:hideMark/>
          </w:tcPr>
          <w:p w14:paraId="13C53F56" w14:textId="77777777" w:rsidR="00305CE4" w:rsidRDefault="00305CE4">
            <w:pPr>
              <w:pStyle w:val="BodyText"/>
              <w:spacing w:before="100" w:after="100" w:line="252" w:lineRule="auto"/>
              <w:jc w:val="center"/>
            </w:pPr>
            <w:r>
              <w:t>20GB</w:t>
            </w:r>
          </w:p>
        </w:tc>
        <w:tc>
          <w:tcPr>
            <w:tcW w:w="932" w:type="pct"/>
            <w:tcBorders>
              <w:top w:val="single" w:sz="4" w:space="0" w:color="auto"/>
              <w:left w:val="single" w:sz="4" w:space="0" w:color="auto"/>
              <w:bottom w:val="single" w:sz="4" w:space="0" w:color="auto"/>
              <w:right w:val="single" w:sz="4" w:space="0" w:color="auto"/>
            </w:tcBorders>
            <w:hideMark/>
          </w:tcPr>
          <w:p w14:paraId="111B7659" w14:textId="77777777" w:rsidR="00305CE4" w:rsidRDefault="00305CE4">
            <w:pPr>
              <w:pStyle w:val="BodyText"/>
              <w:spacing w:before="100" w:after="100" w:line="252" w:lineRule="auto"/>
              <w:jc w:val="center"/>
              <w:rPr>
                <w:b/>
                <w:bCs/>
              </w:rPr>
            </w:pPr>
            <w:r>
              <w:rPr>
                <w:b/>
                <w:bCs/>
                <w:lang w:val="en-AU"/>
              </w:rPr>
              <w:t>140GB</w:t>
            </w:r>
          </w:p>
        </w:tc>
      </w:tr>
    </w:tbl>
    <w:p w14:paraId="132B5944" w14:textId="77777777" w:rsidR="00305CE4" w:rsidRDefault="00305CE4" w:rsidP="00F67786">
      <w:pPr>
        <w:pStyle w:val="BodyText"/>
      </w:pPr>
    </w:p>
    <w:p w14:paraId="010C4313" w14:textId="77777777" w:rsidR="00DE32CC" w:rsidRDefault="00DE32CC" w:rsidP="00F67786">
      <w:pPr>
        <w:pStyle w:val="BodyText"/>
      </w:pPr>
    </w:p>
    <w:p w14:paraId="4E75DA50" w14:textId="77777777" w:rsidR="00DE32CC" w:rsidRPr="00DC0E78" w:rsidRDefault="00DE32CC" w:rsidP="00DE32CC">
      <w:pPr>
        <w:pStyle w:val="Heading4"/>
        <w:ind w:left="709" w:hanging="709"/>
      </w:pPr>
      <w:bookmarkStart w:id="2383" w:name="_Toc529178380"/>
      <w:bookmarkStart w:id="2384" w:name="_Toc62644722"/>
      <w:r w:rsidRPr="00DC0E78">
        <w:t>Business Timeless Fleet Plans (Incorporating $59 Business Timeless Fleet, $69 Business Timeless Fleet, $79 Business Timeless Fleet, $79 Business Timeless Fleet Bes, $89 Business Timeless Fleet Bes &amp; $99 Business Timeless Fleet Bes) effective from 6 February 2010</w:t>
      </w:r>
      <w:bookmarkEnd w:id="2383"/>
      <w:r w:rsidRPr="00DC0E78">
        <w:t xml:space="preserve"> </w:t>
      </w:r>
      <w:r w:rsidR="0019760B">
        <w:t>– 25 November 2019</w:t>
      </w:r>
      <w:bookmarkEnd w:id="2384"/>
    </w:p>
    <w:p w14:paraId="1A450190" w14:textId="77777777" w:rsidR="00DE32CC" w:rsidRDefault="00DE32CC" w:rsidP="00DE32CC">
      <w:pPr>
        <w:pStyle w:val="Heading6"/>
        <w:ind w:left="0" w:firstLine="0"/>
      </w:pPr>
      <w:bookmarkStart w:id="2385" w:name="_Toc529178381"/>
      <w:r>
        <w:t>Eligibility</w:t>
      </w:r>
      <w:bookmarkEnd w:id="2385"/>
    </w:p>
    <w:p w14:paraId="6459AFBA" w14:textId="77777777" w:rsidR="00DE32CC" w:rsidRDefault="00DE32CC" w:rsidP="00DE32CC">
      <w:pPr>
        <w:pStyle w:val="BodyText"/>
        <w:ind w:left="720"/>
      </w:pPr>
      <w:r>
        <w:t xml:space="preserve">The Business Timeless Fleet Plans are only available to customers </w:t>
      </w:r>
      <w:r w:rsidRPr="00F66460">
        <w:rPr>
          <w:i/>
        </w:rPr>
        <w:t>we</w:t>
      </w:r>
      <w:r>
        <w:t xml:space="preserve"> classify as </w:t>
      </w:r>
      <w:r w:rsidRPr="00F66460">
        <w:rPr>
          <w:i/>
        </w:rPr>
        <w:t>small or medium business</w:t>
      </w:r>
      <w:r>
        <w:t xml:space="preserve"> customers who apply to connect to the service on the following terms:</w:t>
      </w:r>
    </w:p>
    <w:p w14:paraId="5FB7582C" w14:textId="77777777" w:rsidR="00DE32CC" w:rsidRDefault="00DE32CC" w:rsidP="00DE32CC">
      <w:pPr>
        <w:pStyle w:val="Heading7"/>
      </w:pPr>
      <w:r w:rsidRPr="00F66460">
        <w:rPr>
          <w:i/>
        </w:rPr>
        <w:lastRenderedPageBreak/>
        <w:t>You</w:t>
      </w:r>
      <w:r>
        <w:t xml:space="preserve"> must pass the Optus Credit assessment and be accepted by Optus.</w:t>
      </w:r>
    </w:p>
    <w:p w14:paraId="17BE7584" w14:textId="77777777" w:rsidR="00DE32CC" w:rsidRDefault="00DE32CC" w:rsidP="00DE32CC">
      <w:pPr>
        <w:pStyle w:val="Heading7"/>
      </w:pPr>
      <w:r>
        <w:t xml:space="preserve">To be eligible, </w:t>
      </w:r>
      <w:r w:rsidRPr="00F66460">
        <w:rPr>
          <w:i/>
        </w:rPr>
        <w:t>you</w:t>
      </w:r>
      <w:r>
        <w:t xml:space="preserve"> must be a new customer or an existing customer who is recontracting and have a fleet of at least 6 mobile phones (</w:t>
      </w:r>
      <w:r w:rsidRPr="00F66460">
        <w:rPr>
          <w:i/>
        </w:rPr>
        <w:t>Optus SIM cards</w:t>
      </w:r>
      <w:r>
        <w:t xml:space="preserve">) in </w:t>
      </w:r>
      <w:r w:rsidRPr="00F66460">
        <w:rPr>
          <w:i/>
        </w:rPr>
        <w:t>your</w:t>
      </w:r>
      <w:r>
        <w:t xml:space="preserve"> account or a fleet of any other number approved by </w:t>
      </w:r>
      <w:r w:rsidRPr="00F66460">
        <w:rPr>
          <w:i/>
        </w:rPr>
        <w:t>us</w:t>
      </w:r>
      <w:r>
        <w:t xml:space="preserve"> at </w:t>
      </w:r>
      <w:r w:rsidRPr="00F66460">
        <w:rPr>
          <w:i/>
        </w:rPr>
        <w:t>our</w:t>
      </w:r>
      <w:r>
        <w:t xml:space="preserve"> discretion, connected on a Business Timeless Fleet plan. If </w:t>
      </w:r>
      <w:r w:rsidRPr="00F66460">
        <w:rPr>
          <w:i/>
        </w:rPr>
        <w:t>you</w:t>
      </w:r>
      <w:r>
        <w:t xml:space="preserve"> cease to have a fleet of 6 </w:t>
      </w:r>
      <w:r w:rsidRPr="00F66460">
        <w:rPr>
          <w:i/>
        </w:rPr>
        <w:t>Optus SIM cards</w:t>
      </w:r>
      <w:r>
        <w:t xml:space="preserve"> or other approved fleet of </w:t>
      </w:r>
      <w:r w:rsidRPr="00F66460">
        <w:rPr>
          <w:i/>
        </w:rPr>
        <w:t>Optus SIM cards</w:t>
      </w:r>
      <w:r>
        <w:t xml:space="preserve">, connected to </w:t>
      </w:r>
      <w:r w:rsidRPr="00F66460">
        <w:rPr>
          <w:i/>
        </w:rPr>
        <w:t>your</w:t>
      </w:r>
      <w:r>
        <w:t xml:space="preserve"> account, on a Business Timeless Fleet plan, </w:t>
      </w:r>
      <w:r w:rsidRPr="00F66460">
        <w:rPr>
          <w:i/>
        </w:rPr>
        <w:t>you</w:t>
      </w:r>
      <w:r>
        <w:t xml:space="preserve"> may be transferred to another </w:t>
      </w:r>
      <w:r w:rsidRPr="00F66460">
        <w:rPr>
          <w:i/>
        </w:rPr>
        <w:t>pricing plan</w:t>
      </w:r>
      <w:r>
        <w:t xml:space="preserve"> at </w:t>
      </w:r>
      <w:r w:rsidRPr="00F66460">
        <w:rPr>
          <w:i/>
        </w:rPr>
        <w:t>our</w:t>
      </w:r>
      <w:r>
        <w:t xml:space="preserve"> discretion. Existing customers cannot change their rate plan to the Business Timeless Fleet plans unless they recontract.</w:t>
      </w:r>
    </w:p>
    <w:p w14:paraId="00AF0127" w14:textId="77777777" w:rsidR="00DE32CC" w:rsidRDefault="00DE32CC" w:rsidP="00DE32CC">
      <w:pPr>
        <w:pStyle w:val="Heading7"/>
      </w:pPr>
      <w:r>
        <w:t xml:space="preserve">If </w:t>
      </w:r>
      <w:r w:rsidRPr="00EA39CA">
        <w:rPr>
          <w:i/>
        </w:rPr>
        <w:t>you</w:t>
      </w:r>
      <w:r>
        <w:t xml:space="preserve"> connect to a Business Timeless Fleet </w:t>
      </w:r>
      <w:r w:rsidRPr="00EA39CA">
        <w:rPr>
          <w:i/>
        </w:rPr>
        <w:t>pricing plan</w:t>
      </w:r>
      <w:r>
        <w:t xml:space="preserve"> you agree to connect to the specific </w:t>
      </w:r>
      <w:r w:rsidRPr="00EA39CA">
        <w:rPr>
          <w:i/>
        </w:rPr>
        <w:t>pricing plans</w:t>
      </w:r>
      <w:r>
        <w:t xml:space="preserve"> of </w:t>
      </w:r>
      <w:r w:rsidRPr="00EA39CA">
        <w:rPr>
          <w:i/>
        </w:rPr>
        <w:t>your</w:t>
      </w:r>
      <w:r>
        <w:t xml:space="preserve"> choice from the Business Timeless Fleet suite of </w:t>
      </w:r>
      <w:r w:rsidRPr="00EA39CA">
        <w:rPr>
          <w:i/>
        </w:rPr>
        <w:t>pricing plans</w:t>
      </w:r>
      <w:r>
        <w:t xml:space="preserve"> set out in Table 3A below, based in each case on an agreed average minimum monthly call spend per user across all </w:t>
      </w:r>
      <w:r w:rsidRPr="00EA39CA">
        <w:rPr>
          <w:i/>
        </w:rPr>
        <w:t>Optus SIM cards</w:t>
      </w:r>
      <w:r>
        <w:t xml:space="preserve"> connected to </w:t>
      </w:r>
      <w:r w:rsidRPr="00EA39CA">
        <w:rPr>
          <w:i/>
        </w:rPr>
        <w:t>your</w:t>
      </w:r>
      <w:r>
        <w:t xml:space="preserve"> account. Calls are charged at the rates set out in Table 3A.</w:t>
      </w:r>
    </w:p>
    <w:p w14:paraId="54CBF17C" w14:textId="77777777" w:rsidR="00DE32CC" w:rsidRDefault="00DE32CC" w:rsidP="00DE32CC">
      <w:pPr>
        <w:pStyle w:val="Heading6"/>
        <w:ind w:left="0" w:firstLine="0"/>
      </w:pPr>
      <w:bookmarkStart w:id="2386" w:name="_Toc529178382"/>
      <w:r>
        <w:t>Eligibility for the Optus Business Mobile Broadband</w:t>
      </w:r>
      <w:bookmarkEnd w:id="2386"/>
      <w:r>
        <w:t xml:space="preserve"> </w:t>
      </w:r>
    </w:p>
    <w:p w14:paraId="2EFC045B" w14:textId="77777777" w:rsidR="00DE32CC" w:rsidRDefault="00DE32CC" w:rsidP="00DE32CC">
      <w:pPr>
        <w:pStyle w:val="Heading7"/>
      </w:pPr>
      <w:r>
        <w:t xml:space="preserve">This plan allows </w:t>
      </w:r>
      <w:r w:rsidRPr="00EA39CA">
        <w:rPr>
          <w:i/>
        </w:rPr>
        <w:t>you</w:t>
      </w:r>
      <w:r>
        <w:t xml:space="preserve"> to share </w:t>
      </w:r>
      <w:r w:rsidRPr="00EA39CA">
        <w:rPr>
          <w:i/>
        </w:rPr>
        <w:t>your</w:t>
      </w:r>
      <w:r>
        <w:t xml:space="preserve"> monthly included data value between </w:t>
      </w:r>
      <w:r w:rsidRPr="00EA39CA">
        <w:rPr>
          <w:i/>
        </w:rPr>
        <w:t>your</w:t>
      </w:r>
      <w:r>
        <w:t xml:space="preserve"> Optus Mobile service(s) on a Business Timeless Fleet plan and </w:t>
      </w:r>
      <w:r w:rsidRPr="00EA39CA">
        <w:rPr>
          <w:i/>
        </w:rPr>
        <w:t>your</w:t>
      </w:r>
      <w:r>
        <w:t xml:space="preserve"> eligible Business Mobile Broadband service(s) within Australia. See Table 3B for eligible plans.</w:t>
      </w:r>
    </w:p>
    <w:p w14:paraId="153FE1FD" w14:textId="77777777" w:rsidR="00DE32CC" w:rsidRDefault="00DE32CC" w:rsidP="00DE32CC">
      <w:pPr>
        <w:pStyle w:val="Heading7"/>
      </w:pPr>
      <w:r>
        <w:t xml:space="preserve">Any data value which is eligible for sharing is calculated by the dollar value, rather than any MB/GB included value. </w:t>
      </w:r>
    </w:p>
    <w:p w14:paraId="4ECD72F6" w14:textId="77777777" w:rsidR="00DE32CC" w:rsidRDefault="00DE32CC" w:rsidP="00DE32CC">
      <w:pPr>
        <w:pStyle w:val="Heading6"/>
        <w:ind w:left="0" w:firstLine="0"/>
      </w:pPr>
      <w:bookmarkStart w:id="2387" w:name="_Toc529178383"/>
      <w:r>
        <w:t>What is a fixed length agreement?</w:t>
      </w:r>
      <w:bookmarkEnd w:id="2387"/>
    </w:p>
    <w:p w14:paraId="3AC02F38" w14:textId="77777777" w:rsidR="00DE32CC" w:rsidRDefault="00DE32CC" w:rsidP="00DE32CC">
      <w:pPr>
        <w:pStyle w:val="Heading7"/>
      </w:pPr>
      <w:r>
        <w:t xml:space="preserve">To connect to any of the Business Timeless Fleet </w:t>
      </w:r>
      <w:r w:rsidRPr="00EA39CA">
        <w:rPr>
          <w:i/>
        </w:rPr>
        <w:t>pricing plans</w:t>
      </w:r>
      <w:r>
        <w:t xml:space="preserve"> </w:t>
      </w:r>
      <w:r w:rsidRPr="00EA39CA">
        <w:rPr>
          <w:i/>
        </w:rPr>
        <w:t>you</w:t>
      </w:r>
      <w:r>
        <w:t xml:space="preserve"> must agree to enter into a </w:t>
      </w:r>
      <w:r w:rsidRPr="00EA39CA">
        <w:rPr>
          <w:i/>
        </w:rPr>
        <w:t>fixed length agreement</w:t>
      </w:r>
      <w:r>
        <w:t xml:space="preserve"> for a </w:t>
      </w:r>
      <w:r w:rsidRPr="00EA39CA">
        <w:rPr>
          <w:i/>
        </w:rPr>
        <w:t>minimum term</w:t>
      </w:r>
      <w:r>
        <w:t xml:space="preserve"> as specified in Table 3A below, up to a maximum term of 2 years, or such other term as </w:t>
      </w:r>
      <w:r w:rsidRPr="00EA39CA">
        <w:rPr>
          <w:i/>
        </w:rPr>
        <w:t>you</w:t>
      </w:r>
      <w:r>
        <w:t xml:space="preserve"> and </w:t>
      </w:r>
      <w:r w:rsidRPr="00EA39CA">
        <w:rPr>
          <w:i/>
        </w:rPr>
        <w:t>we</w:t>
      </w:r>
      <w:r>
        <w:t xml:space="preserve"> agree in writing (</w:t>
      </w:r>
      <w:r w:rsidRPr="00EA39CA">
        <w:rPr>
          <w:i/>
        </w:rPr>
        <w:t>minimum term</w:t>
      </w:r>
      <w:r>
        <w:t>)</w:t>
      </w:r>
    </w:p>
    <w:p w14:paraId="79E047BD" w14:textId="77777777" w:rsidR="00DE32CC" w:rsidRDefault="00DE32CC" w:rsidP="00DE32CC">
      <w:pPr>
        <w:pStyle w:val="Heading6"/>
        <w:ind w:left="0" w:firstLine="0"/>
      </w:pPr>
      <w:bookmarkStart w:id="2388" w:name="_Toc529178384"/>
      <w:r>
        <w:t xml:space="preserve">What </w:t>
      </w:r>
      <w:r w:rsidRPr="00EA39CA">
        <w:rPr>
          <w:i/>
        </w:rPr>
        <w:t>you</w:t>
      </w:r>
      <w:r>
        <w:t xml:space="preserve"> have to pay </w:t>
      </w:r>
      <w:r w:rsidRPr="00EA39CA">
        <w:rPr>
          <w:i/>
        </w:rPr>
        <w:t>us</w:t>
      </w:r>
      <w:bookmarkEnd w:id="2388"/>
    </w:p>
    <w:p w14:paraId="2C2D1A0B" w14:textId="77777777" w:rsidR="00DE32CC" w:rsidRDefault="00DE32CC" w:rsidP="00DE32CC">
      <w:pPr>
        <w:pStyle w:val="Heading7"/>
      </w:pPr>
      <w:r>
        <w:t xml:space="preserve">Subject to paragraphs </w:t>
      </w:r>
      <w:r>
        <w:fldChar w:fldCharType="begin"/>
      </w:r>
      <w:r>
        <w:instrText xml:space="preserve"> REF _Ref458717663 \n \h </w:instrText>
      </w:r>
      <w:r>
        <w:fldChar w:fldCharType="separate"/>
      </w:r>
      <w:r>
        <w:t>(b)</w:t>
      </w:r>
      <w:r>
        <w:fldChar w:fldCharType="end"/>
      </w:r>
      <w:r>
        <w:t xml:space="preserve">, </w:t>
      </w:r>
      <w:r>
        <w:fldChar w:fldCharType="begin"/>
      </w:r>
      <w:r>
        <w:instrText xml:space="preserve"> REF _Ref458717672 \n \h </w:instrText>
      </w:r>
      <w:r>
        <w:fldChar w:fldCharType="separate"/>
      </w:r>
      <w:r>
        <w:t>(c)</w:t>
      </w:r>
      <w:r>
        <w:fldChar w:fldCharType="end"/>
      </w:r>
      <w:r>
        <w:t xml:space="preserve">, </w:t>
      </w:r>
      <w:r>
        <w:fldChar w:fldCharType="begin"/>
      </w:r>
      <w:r>
        <w:instrText xml:space="preserve"> REF _Ref458717679 \n \h </w:instrText>
      </w:r>
      <w:r>
        <w:fldChar w:fldCharType="separate"/>
      </w:r>
      <w:r>
        <w:t>(d)</w:t>
      </w:r>
      <w:r>
        <w:fldChar w:fldCharType="end"/>
      </w:r>
      <w:r>
        <w:t xml:space="preserve">, </w:t>
      </w:r>
      <w:r>
        <w:fldChar w:fldCharType="begin"/>
      </w:r>
      <w:r>
        <w:instrText xml:space="preserve"> REF _Ref458717687 \n \h </w:instrText>
      </w:r>
      <w:r>
        <w:fldChar w:fldCharType="separate"/>
      </w:r>
      <w:r>
        <w:t>(e)</w:t>
      </w:r>
      <w:r>
        <w:fldChar w:fldCharType="end"/>
      </w:r>
      <w:r>
        <w:t xml:space="preserve">, </w:t>
      </w:r>
      <w:r>
        <w:fldChar w:fldCharType="begin"/>
      </w:r>
      <w:r>
        <w:instrText xml:space="preserve"> REF _Ref458717694 \n \h </w:instrText>
      </w:r>
      <w:r>
        <w:fldChar w:fldCharType="separate"/>
      </w:r>
      <w:r>
        <w:t>(f)</w:t>
      </w:r>
      <w:r>
        <w:fldChar w:fldCharType="end"/>
      </w:r>
      <w:r>
        <w:t xml:space="preserve">, </w:t>
      </w:r>
      <w:r>
        <w:fldChar w:fldCharType="begin"/>
      </w:r>
      <w:r>
        <w:instrText xml:space="preserve"> REF _Ref458717705 \n \h </w:instrText>
      </w:r>
      <w:r>
        <w:fldChar w:fldCharType="separate"/>
      </w:r>
      <w:r>
        <w:t>(g)</w:t>
      </w:r>
      <w:r>
        <w:fldChar w:fldCharType="end"/>
      </w:r>
      <w:r>
        <w:t xml:space="preserve"> and </w:t>
      </w:r>
      <w:r>
        <w:fldChar w:fldCharType="begin"/>
      </w:r>
      <w:r>
        <w:instrText xml:space="preserve"> REF _Ref458717711 \n \h </w:instrText>
      </w:r>
      <w:r>
        <w:fldChar w:fldCharType="separate"/>
      </w:r>
      <w:r>
        <w:t>(h)</w:t>
      </w:r>
      <w:r>
        <w:fldChar w:fldCharType="end"/>
      </w:r>
      <w:r>
        <w:t xml:space="preserve"> below </w:t>
      </w:r>
      <w:r w:rsidRPr="00EA39CA">
        <w:rPr>
          <w:i/>
        </w:rPr>
        <w:t>you</w:t>
      </w:r>
      <w:r>
        <w:t xml:space="preserve"> must pay </w:t>
      </w:r>
      <w:r w:rsidRPr="00EA39CA">
        <w:rPr>
          <w:i/>
        </w:rPr>
        <w:t>us</w:t>
      </w:r>
      <w:r>
        <w:t xml:space="preserve"> for use of the </w:t>
      </w:r>
      <w:r w:rsidRPr="00EA39CA">
        <w:rPr>
          <w:i/>
        </w:rPr>
        <w:t>service</w:t>
      </w:r>
      <w:r>
        <w:t xml:space="preserve"> at the rates set out in </w:t>
      </w:r>
      <w:hyperlink r:id="rId892" w:history="1">
        <w:r w:rsidRPr="00EA39CA">
          <w:rPr>
            <w:rStyle w:val="Hyperlink"/>
          </w:rPr>
          <w:t>Section 1</w:t>
        </w:r>
      </w:hyperlink>
      <w:r>
        <w:t xml:space="preserve"> of this </w:t>
      </w:r>
      <w:r w:rsidRPr="005615B8">
        <w:rPr>
          <w:i/>
        </w:rPr>
        <w:t>standard pricing table</w:t>
      </w:r>
      <w:r>
        <w:t xml:space="preserve"> and for </w:t>
      </w:r>
      <w:r w:rsidRPr="005615B8">
        <w:rPr>
          <w:i/>
        </w:rPr>
        <w:t>value added service features</w:t>
      </w:r>
      <w:r>
        <w:t xml:space="preserve"> at the rates set out in </w:t>
      </w:r>
      <w:hyperlink r:id="rId893" w:history="1">
        <w:r w:rsidRPr="005615B8">
          <w:rPr>
            <w:rStyle w:val="Hyperlink"/>
          </w:rPr>
          <w:t>Appendix Y</w:t>
        </w:r>
      </w:hyperlink>
      <w:r>
        <w:t xml:space="preserve"> Value Added Service Features. </w:t>
      </w:r>
    </w:p>
    <w:p w14:paraId="594CDF8D" w14:textId="77777777" w:rsidR="00DE32CC" w:rsidRDefault="00DE32CC" w:rsidP="00DE32CC">
      <w:pPr>
        <w:pStyle w:val="Heading7"/>
      </w:pPr>
      <w:bookmarkStart w:id="2389" w:name="_Ref458717663"/>
      <w:r>
        <w:t xml:space="preserve">If there is a </w:t>
      </w:r>
      <w:r w:rsidRPr="005615B8">
        <w:rPr>
          <w:i/>
        </w:rPr>
        <w:t>flagfall</w:t>
      </w:r>
      <w:r>
        <w:t xml:space="preserve"> or call connection charge for a particular call type, the charge for these calls is the </w:t>
      </w:r>
      <w:r w:rsidRPr="005615B8">
        <w:rPr>
          <w:i/>
        </w:rPr>
        <w:t>flagfall</w:t>
      </w:r>
      <w:r>
        <w:t xml:space="preserve"> charge plus the relevant rate for the call multiplied by the duration of the call.</w:t>
      </w:r>
      <w:bookmarkEnd w:id="2389"/>
      <w:r>
        <w:t xml:space="preserve"> </w:t>
      </w:r>
    </w:p>
    <w:p w14:paraId="75290FF7" w14:textId="77777777" w:rsidR="00DE32CC" w:rsidRPr="008418FF" w:rsidRDefault="00DE32CC" w:rsidP="00DE32CC">
      <w:pPr>
        <w:pStyle w:val="Heading7"/>
        <w:rPr>
          <w:b/>
        </w:rPr>
      </w:pPr>
      <w:bookmarkStart w:id="2390" w:name="_Ref458717672"/>
      <w:r w:rsidRPr="008418FF">
        <w:rPr>
          <w:b/>
        </w:rPr>
        <w:t>Minimum Monthly Charge</w:t>
      </w:r>
      <w:bookmarkEnd w:id="2390"/>
    </w:p>
    <w:p w14:paraId="43567E93" w14:textId="77777777" w:rsidR="00DE32CC" w:rsidRDefault="00DE32CC" w:rsidP="00DE32CC">
      <w:pPr>
        <w:pStyle w:val="Heading8"/>
      </w:pPr>
      <w:r>
        <w:t xml:space="preserve">Each Business Timeless Fleet Plan has a Minimum Monthly Charge amount that </w:t>
      </w:r>
      <w:r w:rsidRPr="005615B8">
        <w:rPr>
          <w:i/>
        </w:rPr>
        <w:t>you</w:t>
      </w:r>
      <w:r>
        <w:t xml:space="preserve"> must pay us each month. </w:t>
      </w:r>
    </w:p>
    <w:p w14:paraId="6842B361" w14:textId="77777777" w:rsidR="00DE32CC" w:rsidRDefault="00DE32CC" w:rsidP="00DE32CC">
      <w:pPr>
        <w:pStyle w:val="Heading8"/>
      </w:pPr>
      <w:r>
        <w:t>The amount of the Minimum Monthly Charge for each Business Timeless Fleet Plan is set out in Table 3A below.</w:t>
      </w:r>
    </w:p>
    <w:p w14:paraId="61E8723E" w14:textId="77777777" w:rsidR="00DE32CC" w:rsidRDefault="00DE32CC" w:rsidP="00DE32CC">
      <w:pPr>
        <w:pStyle w:val="Heading8"/>
      </w:pPr>
      <w:r w:rsidRPr="00E35065">
        <w:rPr>
          <w:i/>
        </w:rPr>
        <w:t>You</w:t>
      </w:r>
      <w:r>
        <w:t xml:space="preserve"> must pay </w:t>
      </w:r>
      <w:r w:rsidRPr="00E35065">
        <w:rPr>
          <w:i/>
        </w:rPr>
        <w:t>us</w:t>
      </w:r>
      <w:r>
        <w:t xml:space="preserve"> for any calls or usages that are not eligible calls or usage.</w:t>
      </w:r>
    </w:p>
    <w:p w14:paraId="2D73A4D8" w14:textId="77777777" w:rsidR="00DE32CC" w:rsidRPr="008418FF" w:rsidRDefault="00DE32CC" w:rsidP="00DE32CC">
      <w:pPr>
        <w:pStyle w:val="Heading7"/>
        <w:rPr>
          <w:b/>
        </w:rPr>
      </w:pPr>
      <w:bookmarkStart w:id="2391" w:name="_Ref458717679"/>
      <w:r w:rsidRPr="008418FF">
        <w:rPr>
          <w:b/>
        </w:rPr>
        <w:t>Unlimited Call Offer</w:t>
      </w:r>
      <w:bookmarkEnd w:id="2391"/>
      <w:r w:rsidRPr="008418FF">
        <w:rPr>
          <w:b/>
        </w:rPr>
        <w:t xml:space="preserve"> </w:t>
      </w:r>
    </w:p>
    <w:p w14:paraId="4887B0A9" w14:textId="77777777" w:rsidR="00DE32CC" w:rsidRDefault="00DE32CC" w:rsidP="00DE32CC">
      <w:pPr>
        <w:pStyle w:val="Heading8"/>
      </w:pPr>
      <w:r>
        <w:t xml:space="preserve">Under the Business Timeless Fleet Plans, </w:t>
      </w:r>
      <w:r w:rsidRPr="00E35065">
        <w:rPr>
          <w:i/>
        </w:rPr>
        <w:t>you</w:t>
      </w:r>
      <w:r>
        <w:t xml:space="preserve"> will receive Unlimited Standard National SMS &amp; MMS, Voice &amp; Video Calls to Australian fixed lines and Australian mobiles (excluding Pivotel), and Voicemail diversions, deposits and retrievals, to use within Australia.</w:t>
      </w:r>
    </w:p>
    <w:p w14:paraId="18911418" w14:textId="77777777" w:rsidR="00DE32CC" w:rsidRDefault="00DE32CC" w:rsidP="00DE32CC">
      <w:pPr>
        <w:pStyle w:val="Heading8"/>
      </w:pPr>
      <w:r>
        <w:t xml:space="preserve">The call, message types and usage that are eligible for each Business Timeless Fleet Plan are defined in Table 1A below. </w:t>
      </w:r>
    </w:p>
    <w:p w14:paraId="10BCA840" w14:textId="77777777" w:rsidR="00DE32CC" w:rsidRDefault="00DE32CC" w:rsidP="00DE32CC">
      <w:pPr>
        <w:pStyle w:val="Heading8"/>
      </w:pPr>
      <w:r w:rsidRPr="00E35065">
        <w:rPr>
          <w:i/>
        </w:rPr>
        <w:t>You</w:t>
      </w:r>
      <w:r>
        <w:t xml:space="preserve"> must pay for any calls, messages or usage that are not eligible calls or message types.</w:t>
      </w:r>
    </w:p>
    <w:p w14:paraId="308F5653" w14:textId="77777777" w:rsidR="00DE32CC" w:rsidRDefault="00DE32CC" w:rsidP="00DE32CC">
      <w:pPr>
        <w:pStyle w:val="Heading8"/>
      </w:pPr>
      <w:r>
        <w:lastRenderedPageBreak/>
        <w:t>Any unused portion of the plan expires at the end of each month. This means that it does not roll over into following month.</w:t>
      </w:r>
    </w:p>
    <w:p w14:paraId="05EF750A" w14:textId="77777777" w:rsidR="00DE32CC" w:rsidRPr="008418FF" w:rsidRDefault="00DE32CC" w:rsidP="00DE32CC">
      <w:pPr>
        <w:pStyle w:val="Heading7"/>
        <w:rPr>
          <w:b/>
        </w:rPr>
      </w:pPr>
      <w:bookmarkStart w:id="2392" w:name="_Ref458717687"/>
      <w:r w:rsidRPr="008418FF">
        <w:rPr>
          <w:b/>
        </w:rPr>
        <w:t>Unlimited mobile access to Facebook®, Twitter, LinkedIn, Ebay, Four Square, MySpace</w:t>
      </w:r>
      <w:bookmarkEnd w:id="2392"/>
    </w:p>
    <w:p w14:paraId="4E69ADAA" w14:textId="77777777" w:rsidR="00DE32CC" w:rsidRDefault="00DE32CC" w:rsidP="00DE32CC">
      <w:pPr>
        <w:pStyle w:val="Heading8"/>
      </w:pPr>
      <w:bookmarkStart w:id="2393" w:name="_Ref459947484"/>
      <w:r>
        <w:t xml:space="preserve">Under the Business Timeless Fleet Plans, </w:t>
      </w:r>
      <w:r w:rsidRPr="00E35065">
        <w:rPr>
          <w:i/>
        </w:rPr>
        <w:t>you</w:t>
      </w:r>
      <w:r>
        <w:t xml:space="preserve"> will receive unlimited mobile access to Facebook®, Twitter, LinkedIn, Ebay, Four Square, MySpace within Australia.</w:t>
      </w:r>
      <w:bookmarkEnd w:id="2393"/>
    </w:p>
    <w:p w14:paraId="473832F7" w14:textId="77777777" w:rsidR="00DE32CC" w:rsidRDefault="00DE32CC" w:rsidP="00DE32CC">
      <w:pPr>
        <w:pStyle w:val="Heading8"/>
      </w:pPr>
      <w:r>
        <w:t xml:space="preserve">Usage of the services described in paragraph (e)(i) is separate to and is not included in </w:t>
      </w:r>
      <w:r w:rsidRPr="00E35065">
        <w:rPr>
          <w:i/>
        </w:rPr>
        <w:t>your</w:t>
      </w:r>
      <w:r>
        <w:t xml:space="preserve"> "Mobile Internet Data Value" and </w:t>
      </w:r>
      <w:r w:rsidRPr="00E35065">
        <w:rPr>
          <w:i/>
        </w:rPr>
        <w:t>your</w:t>
      </w:r>
      <w:r>
        <w:t xml:space="preserve"> Business Timeless Fleet Business Mobile Broadband Service (if applicable) and may be accessed on </w:t>
      </w:r>
      <w:r w:rsidRPr="00E35065">
        <w:rPr>
          <w:i/>
        </w:rPr>
        <w:t>your</w:t>
      </w:r>
      <w:r>
        <w:t xml:space="preserve"> mobile handset only. </w:t>
      </w:r>
    </w:p>
    <w:p w14:paraId="52081043" w14:textId="77777777" w:rsidR="00DE32CC" w:rsidRDefault="00DE32CC" w:rsidP="00DE32CC">
      <w:pPr>
        <w:pStyle w:val="Heading8"/>
      </w:pPr>
      <w:r>
        <w:t xml:space="preserve">These features are only available to </w:t>
      </w:r>
      <w:r w:rsidRPr="003D47F2">
        <w:rPr>
          <w:i/>
        </w:rPr>
        <w:t>you</w:t>
      </w:r>
      <w:r>
        <w:t xml:space="preserve"> if your handset is compatible with the service.</w:t>
      </w:r>
    </w:p>
    <w:p w14:paraId="1A64AEB6" w14:textId="77777777" w:rsidR="00DE32CC" w:rsidRDefault="00DE32CC" w:rsidP="00DE32CC">
      <w:pPr>
        <w:pStyle w:val="Heading8"/>
      </w:pPr>
      <w:r>
        <w:t xml:space="preserve">Use of Unlimited Facebook®, Twitter, LinkedIn, Ebay, Four Square, and MySpace is for personal or business use. Please refer to the </w:t>
      </w:r>
      <w:hyperlink r:id="rId894" w:history="1">
        <w:r w:rsidRPr="004D06D7">
          <w:rPr>
            <w:rStyle w:val="Hyperlink"/>
          </w:rPr>
          <w:t>Fair Go Policy Appendix S</w:t>
        </w:r>
      </w:hyperlink>
      <w:r>
        <w:t xml:space="preserve"> for further details.</w:t>
      </w:r>
    </w:p>
    <w:p w14:paraId="238F43D3" w14:textId="77777777" w:rsidR="00DE32CC" w:rsidRPr="008418FF" w:rsidRDefault="00DE32CC" w:rsidP="00DE32CC">
      <w:pPr>
        <w:pStyle w:val="Heading7"/>
        <w:rPr>
          <w:b/>
        </w:rPr>
      </w:pPr>
      <w:bookmarkStart w:id="2394" w:name="_Ref458717694"/>
      <w:r w:rsidRPr="008418FF">
        <w:rPr>
          <w:b/>
        </w:rPr>
        <w:t>Included Mobile Internet Data Value or Unlimited BlackBerry POP3 Email and Browsing through the BlackBerry Browser on the $59, $69 and $79 Business Timeless Fleet plans</w:t>
      </w:r>
      <w:bookmarkEnd w:id="2394"/>
      <w:r w:rsidRPr="008418FF">
        <w:rPr>
          <w:b/>
        </w:rPr>
        <w:t xml:space="preserve"> </w:t>
      </w:r>
    </w:p>
    <w:p w14:paraId="4A29C8F9" w14:textId="77777777" w:rsidR="00DE32CC" w:rsidRDefault="00DE32CC" w:rsidP="00DE32CC">
      <w:pPr>
        <w:pStyle w:val="Heading8"/>
      </w:pPr>
      <w:r>
        <w:t xml:space="preserve">Under the $59, $69 and $79 Business Timeless Fleet Plans, </w:t>
      </w:r>
      <w:r w:rsidRPr="00863E95">
        <w:rPr>
          <w:i/>
        </w:rPr>
        <w:t>you</w:t>
      </w:r>
      <w:r>
        <w:t xml:space="preserve"> can choose from: </w:t>
      </w:r>
    </w:p>
    <w:p w14:paraId="400FD1B2" w14:textId="77777777" w:rsidR="00DE32CC" w:rsidRDefault="00DE32CC" w:rsidP="00DE32CC">
      <w:pPr>
        <w:pStyle w:val="Heading9"/>
      </w:pPr>
      <w:r>
        <w:t>Included Mobile Internet Data Value; or</w:t>
      </w:r>
    </w:p>
    <w:p w14:paraId="39EC8051" w14:textId="77777777" w:rsidR="00DE32CC" w:rsidRDefault="00DE32CC" w:rsidP="00DE32CC">
      <w:pPr>
        <w:pStyle w:val="Heading9"/>
      </w:pPr>
      <w:r>
        <w:t>Unlimited BlackBerry POP3 Email and Browsing through the BlackBerry Browser</w:t>
      </w:r>
    </w:p>
    <w:p w14:paraId="4103776C" w14:textId="77777777" w:rsidR="00DE32CC" w:rsidRDefault="00DE32CC" w:rsidP="00DE32CC">
      <w:pPr>
        <w:pStyle w:val="BodyText"/>
        <w:ind w:left="2160"/>
      </w:pPr>
      <w:r>
        <w:t>to use within Australia.</w:t>
      </w:r>
    </w:p>
    <w:p w14:paraId="3D093576" w14:textId="77777777" w:rsidR="00DE32CC" w:rsidRDefault="00DE32CC" w:rsidP="00DE32CC">
      <w:pPr>
        <w:pStyle w:val="Heading8"/>
      </w:pPr>
      <w:r>
        <w:t xml:space="preserve">If </w:t>
      </w:r>
      <w:r w:rsidRPr="00863E95">
        <w:rPr>
          <w:i/>
        </w:rPr>
        <w:t>you</w:t>
      </w:r>
      <w:r>
        <w:t xml:space="preserve"> select the included Mobile Internet Data Value option:</w:t>
      </w:r>
    </w:p>
    <w:p w14:paraId="2554D7CB" w14:textId="77777777" w:rsidR="00DE32CC" w:rsidRDefault="00DE32CC" w:rsidP="00DE32CC">
      <w:pPr>
        <w:pStyle w:val="Heading9"/>
      </w:pPr>
      <w:r>
        <w:t>The amount of the "Mobile Internet Data Value" included, to use within Australia, for each Business Timeless Fleet Plan is set out in Table 3A below.</w:t>
      </w:r>
    </w:p>
    <w:p w14:paraId="42E75E1D" w14:textId="77777777" w:rsidR="00DE32CC" w:rsidRDefault="00DE32CC" w:rsidP="00DE32CC">
      <w:pPr>
        <w:pStyle w:val="Heading9"/>
      </w:pPr>
      <w:r>
        <w:t>The usage types that are '</w:t>
      </w:r>
      <w:r w:rsidRPr="00863E95">
        <w:rPr>
          <w:b/>
        </w:rPr>
        <w:t>eligible data</w:t>
      </w:r>
      <w:r>
        <w:t>' for each Business Timeless Fleet Plan under the included Mobile Internet Data Value are defined in Table 2A below.</w:t>
      </w:r>
    </w:p>
    <w:p w14:paraId="4112506F" w14:textId="77777777" w:rsidR="00DE32CC" w:rsidRDefault="00DE32CC" w:rsidP="00DE32CC">
      <w:pPr>
        <w:pStyle w:val="Heading9"/>
      </w:pPr>
      <w:r>
        <w:t>The included data of the Business Timeless Fleet plan can be shared with an eligible Business Mobile Broadband service and can only be used within Australia.</w:t>
      </w:r>
    </w:p>
    <w:p w14:paraId="76A47A41" w14:textId="77777777" w:rsidR="00DE32CC" w:rsidRDefault="00DE32CC" w:rsidP="00DE32CC">
      <w:pPr>
        <w:pStyle w:val="Heading9"/>
      </w:pPr>
      <w:r w:rsidRPr="000B2F9B">
        <w:rPr>
          <w:i/>
        </w:rPr>
        <w:t>You</w:t>
      </w:r>
      <w:r>
        <w:t xml:space="preserve"> must pay </w:t>
      </w:r>
      <w:r w:rsidRPr="000B2F9B">
        <w:rPr>
          <w:i/>
        </w:rPr>
        <w:t>us</w:t>
      </w:r>
      <w:r>
        <w:t xml:space="preserve"> excess usage charges for data used beyond the available "Mobile Internet Data Value" as shown in Table 3A below. </w:t>
      </w:r>
    </w:p>
    <w:p w14:paraId="1EF2F7D7" w14:textId="77777777" w:rsidR="00DE32CC" w:rsidRDefault="00DE32CC" w:rsidP="00DE32CC">
      <w:pPr>
        <w:pStyle w:val="Heading9"/>
      </w:pPr>
      <w:r>
        <w:t xml:space="preserve">Any unused portion of the "Mobile Internet Data Value" expires at the end of each month and does not rollover into the following month. </w:t>
      </w:r>
    </w:p>
    <w:p w14:paraId="6A1AC00E" w14:textId="77777777" w:rsidR="00DE32CC" w:rsidRDefault="00DE32CC" w:rsidP="00DE32CC">
      <w:pPr>
        <w:pStyle w:val="Heading8"/>
      </w:pPr>
      <w:r>
        <w:t xml:space="preserve">If </w:t>
      </w:r>
      <w:r w:rsidRPr="000B2F9B">
        <w:rPr>
          <w:i/>
        </w:rPr>
        <w:t>you</w:t>
      </w:r>
      <w:r>
        <w:t xml:space="preserve"> select the Unlimited BlackBerry POP3 Email and Browsing through the BlackBerry Browser option:</w:t>
      </w:r>
    </w:p>
    <w:p w14:paraId="1F46C7D5" w14:textId="77777777" w:rsidR="00DE32CC" w:rsidRDefault="00DE32CC" w:rsidP="00DE32CC">
      <w:pPr>
        <w:pStyle w:val="Heading9"/>
      </w:pPr>
      <w:r w:rsidRPr="000B2F9B">
        <w:rPr>
          <w:i/>
        </w:rPr>
        <w:t>You</w:t>
      </w:r>
      <w:r>
        <w:t xml:space="preserve"> will only receive unlimited BlackBerry POP3 Email and Browsing through the BlackBerry Internet Browser or the BlackBerry Browser and use of applications from Optus and third party applications that require a BlackBerry Data connection, within Australia.</w:t>
      </w:r>
    </w:p>
    <w:p w14:paraId="796CFBAF" w14:textId="77777777" w:rsidR="00DE32CC" w:rsidRDefault="00DE32CC" w:rsidP="00DE32CC">
      <w:pPr>
        <w:pStyle w:val="Heading9"/>
      </w:pPr>
      <w:r w:rsidRPr="000B2F9B">
        <w:rPr>
          <w:i/>
        </w:rPr>
        <w:t>You</w:t>
      </w:r>
      <w:r>
        <w:t xml:space="preserve"> will also receive an amount of "Mobile Internet Data Value" which is set out in Table 3A below.</w:t>
      </w:r>
    </w:p>
    <w:p w14:paraId="65006973" w14:textId="77777777" w:rsidR="00DE32CC" w:rsidRDefault="00DE32CC" w:rsidP="00DE32CC">
      <w:pPr>
        <w:pStyle w:val="Heading9"/>
      </w:pPr>
      <w:r>
        <w:t>The included data of the Business Timeless Fleet plan can be shared with an eligible Business Mobile Broadband service.</w:t>
      </w:r>
    </w:p>
    <w:p w14:paraId="5BDA4ACD" w14:textId="77777777" w:rsidR="00DE32CC" w:rsidRDefault="00DE32CC" w:rsidP="00DE32CC">
      <w:pPr>
        <w:pStyle w:val="Heading9"/>
      </w:pPr>
      <w:r w:rsidRPr="007B50DD">
        <w:rPr>
          <w:i/>
        </w:rPr>
        <w:t>You</w:t>
      </w:r>
      <w:r>
        <w:t xml:space="preserve"> must pay </w:t>
      </w:r>
      <w:r w:rsidRPr="007B50DD">
        <w:rPr>
          <w:i/>
        </w:rPr>
        <w:t>us</w:t>
      </w:r>
      <w:r>
        <w:t xml:space="preserve"> excess usage charges for data made beyond the available "Mobile Internet Data Value".</w:t>
      </w:r>
    </w:p>
    <w:p w14:paraId="60747522" w14:textId="77777777" w:rsidR="00DE32CC" w:rsidRDefault="00DE32CC" w:rsidP="00DE32CC">
      <w:pPr>
        <w:pStyle w:val="Heading9"/>
      </w:pPr>
      <w:r>
        <w:lastRenderedPageBreak/>
        <w:t>Any unused portion of the "Mobile Internet Data Value" expires at the end of each month and does not roll over into the following month.</w:t>
      </w:r>
    </w:p>
    <w:p w14:paraId="6EBE914F" w14:textId="77777777" w:rsidR="00DE32CC" w:rsidRDefault="00DE32CC" w:rsidP="00DE32CC">
      <w:pPr>
        <w:pStyle w:val="Heading9"/>
      </w:pPr>
      <w:r>
        <w:t>The usage types that are '</w:t>
      </w:r>
      <w:r w:rsidRPr="007B50DD">
        <w:rPr>
          <w:b/>
        </w:rPr>
        <w:t>eligible data</w:t>
      </w:r>
      <w:r>
        <w:t>' for each Business Timeless Fleet Plan under the Unlimited BlackBerry POP3 Email and Browsing through the BlackBerry Browser are defined in Table 2B below.</w:t>
      </w:r>
    </w:p>
    <w:p w14:paraId="1FD97C7C" w14:textId="77777777" w:rsidR="00DE32CC" w:rsidRDefault="00DE32CC" w:rsidP="00DE32CC">
      <w:pPr>
        <w:pStyle w:val="Heading9"/>
      </w:pPr>
      <w:r>
        <w:t xml:space="preserve">Use of Unlimited BlackBerry POP3 Email is for personal or business use. The Fair Go Policy (Appendix S) also applies to unacceptable use. Please refer to </w:t>
      </w:r>
      <w:hyperlink r:id="rId895" w:history="1">
        <w:r w:rsidRPr="007B50DD">
          <w:rPr>
            <w:rStyle w:val="Hyperlink"/>
            <w:i/>
          </w:rPr>
          <w:t>Appendix S</w:t>
        </w:r>
      </w:hyperlink>
      <w:r>
        <w:t xml:space="preserve"> for further details.</w:t>
      </w:r>
    </w:p>
    <w:p w14:paraId="75897364" w14:textId="77777777" w:rsidR="00DE32CC" w:rsidRPr="008418FF" w:rsidRDefault="00DE32CC" w:rsidP="00DE32CC">
      <w:pPr>
        <w:pStyle w:val="Heading7"/>
        <w:rPr>
          <w:b/>
        </w:rPr>
      </w:pPr>
      <w:bookmarkStart w:id="2395" w:name="_Ref458717705"/>
      <w:r w:rsidRPr="008418FF">
        <w:rPr>
          <w:b/>
        </w:rPr>
        <w:t>Unlimited BlackBerry BES Email and Browsing through the BlackBerry browser with a separate 500MB of Mobile Internet Data on the $79, $89 and $99 Business Timeless Fleet BES plans</w:t>
      </w:r>
      <w:bookmarkEnd w:id="2395"/>
    </w:p>
    <w:p w14:paraId="351CB512" w14:textId="77777777" w:rsidR="00DE32CC" w:rsidRDefault="00DE32CC" w:rsidP="00DE32CC">
      <w:pPr>
        <w:pStyle w:val="Heading9"/>
      </w:pPr>
      <w:r w:rsidRPr="007B50DD">
        <w:rPr>
          <w:i/>
        </w:rPr>
        <w:t>You</w:t>
      </w:r>
      <w:r>
        <w:t xml:space="preserve"> will only receive unlimited BlackBerry Email and Browsing through the BlackBerry Internet Browser or the BlackBerry Browser and use of applications from Optus and third party applications that require a BlackBerry Data connection, within Australia.</w:t>
      </w:r>
    </w:p>
    <w:p w14:paraId="295B4331" w14:textId="77777777" w:rsidR="00DE32CC" w:rsidRDefault="00DE32CC" w:rsidP="00DE32CC">
      <w:pPr>
        <w:pStyle w:val="Heading9"/>
      </w:pPr>
      <w:r w:rsidRPr="007B50DD">
        <w:rPr>
          <w:i/>
        </w:rPr>
        <w:t>You</w:t>
      </w:r>
      <w:r>
        <w:t xml:space="preserve"> will also receive an amount of "Mobile Internet Data Value" which is set out in Table 3A below.</w:t>
      </w:r>
    </w:p>
    <w:p w14:paraId="2D2D6580" w14:textId="77777777" w:rsidR="00DE32CC" w:rsidRDefault="00DE32CC" w:rsidP="00DE32CC">
      <w:pPr>
        <w:pStyle w:val="Heading9"/>
      </w:pPr>
      <w:r>
        <w:t>The included data of the Business Timeless Fleet plan can be shared with an eligible Business Mobile Broadband service and can only be used within Australia.</w:t>
      </w:r>
    </w:p>
    <w:p w14:paraId="419BA9E7" w14:textId="77777777" w:rsidR="00DE32CC" w:rsidRDefault="00DE32CC" w:rsidP="00DE32CC">
      <w:pPr>
        <w:pStyle w:val="Heading9"/>
      </w:pPr>
      <w:r w:rsidRPr="007B50DD">
        <w:rPr>
          <w:i/>
        </w:rPr>
        <w:t>You</w:t>
      </w:r>
      <w:r>
        <w:t xml:space="preserve"> must pay </w:t>
      </w:r>
      <w:r w:rsidRPr="007B50DD">
        <w:rPr>
          <w:i/>
        </w:rPr>
        <w:t>us</w:t>
      </w:r>
      <w:r>
        <w:t xml:space="preserve"> excess usage charges for data made beyond the available "Mobile Internet Data Value".</w:t>
      </w:r>
    </w:p>
    <w:p w14:paraId="0BD1EAEC" w14:textId="77777777" w:rsidR="00DE32CC" w:rsidRDefault="00DE32CC" w:rsidP="00DE32CC">
      <w:pPr>
        <w:pStyle w:val="Heading9"/>
      </w:pPr>
      <w:r>
        <w:t>Any unused portion of the "Mobile Internet Data Value" expires at the end of each month and does not roll over into the following month.</w:t>
      </w:r>
    </w:p>
    <w:p w14:paraId="0F2E17B6" w14:textId="77777777" w:rsidR="00DE32CC" w:rsidRDefault="00DE32CC" w:rsidP="00DE32CC">
      <w:pPr>
        <w:pStyle w:val="Heading9"/>
      </w:pPr>
      <w:r>
        <w:t>The usage types that are '</w:t>
      </w:r>
      <w:r w:rsidRPr="00242C11">
        <w:rPr>
          <w:b/>
        </w:rPr>
        <w:t>eligible data</w:t>
      </w:r>
      <w:r>
        <w:t>' for each Business Timeless Fleet Plan under the Unlimited BlackBerry Email and Browsing through the BlackBerry Browser are defined in Table 2C below.</w:t>
      </w:r>
    </w:p>
    <w:p w14:paraId="76504887" w14:textId="77777777" w:rsidR="00DE32CC" w:rsidRDefault="00DE32CC" w:rsidP="00DE32CC">
      <w:pPr>
        <w:pStyle w:val="Heading9"/>
      </w:pPr>
      <w:r>
        <w:t>For customers with a Business Enterprise Solution (BES) connection, it is the responsibility of the customer to install, operate and upgrade the appropriate software and/or server. Customers must establish and maintain the connection to the mail platform and the Internet and ensure implementing the appropriate security policies. The BlackBerry and RIM families of related marks, images and symbols are the exclusive properties of and trademarks or registered trademarks of Research In Motion Limited used by permission.</w:t>
      </w:r>
    </w:p>
    <w:p w14:paraId="00FB51B7" w14:textId="77777777" w:rsidR="00DE32CC" w:rsidRDefault="00DE32CC" w:rsidP="00DE32CC">
      <w:pPr>
        <w:pStyle w:val="Heading9"/>
      </w:pPr>
      <w:r>
        <w:t xml:space="preserve">Use of Unlimited BlackBerry Email is for personal or business use. The Fair Go Policy also applies to unacceptable use. Please refer to </w:t>
      </w:r>
      <w:hyperlink r:id="rId896" w:history="1">
        <w:r w:rsidRPr="00242C11">
          <w:rPr>
            <w:rStyle w:val="Hyperlink"/>
            <w:i/>
          </w:rPr>
          <w:t>Appendix S</w:t>
        </w:r>
      </w:hyperlink>
      <w:r>
        <w:t xml:space="preserve"> for further details.</w:t>
      </w:r>
    </w:p>
    <w:p w14:paraId="447A97E5" w14:textId="77777777" w:rsidR="00DE32CC" w:rsidRPr="008418FF" w:rsidRDefault="00DE32CC" w:rsidP="00DE32CC">
      <w:pPr>
        <w:pStyle w:val="Heading7"/>
        <w:rPr>
          <w:b/>
        </w:rPr>
      </w:pPr>
      <w:bookmarkStart w:id="2396" w:name="_Ref458717711"/>
      <w:r w:rsidRPr="008418FF">
        <w:rPr>
          <w:b/>
        </w:rPr>
        <w:t>Additional benefit - Free Access to Optus WiFi Hotspots</w:t>
      </w:r>
      <w:bookmarkEnd w:id="2396"/>
      <w:r w:rsidRPr="008418FF">
        <w:rPr>
          <w:b/>
        </w:rPr>
        <w:t xml:space="preserve"> </w:t>
      </w:r>
    </w:p>
    <w:p w14:paraId="2E2211CC" w14:textId="77777777" w:rsidR="00DE32CC" w:rsidRDefault="00DE32CC" w:rsidP="00DE32CC">
      <w:pPr>
        <w:pStyle w:val="Heading8"/>
      </w:pPr>
      <w:r>
        <w:t xml:space="preserve">Customers who connect their Apple iPhone to an Optus iPhone rate plan will receive free WiFi from any Optus WiFi hotspot. </w:t>
      </w:r>
    </w:p>
    <w:p w14:paraId="6C1189BC" w14:textId="77777777" w:rsidR="00DE32CC" w:rsidRDefault="00DE32CC" w:rsidP="00DE32CC">
      <w:pPr>
        <w:pStyle w:val="Heading8"/>
      </w:pPr>
      <w:r>
        <w:t>The service provides</w:t>
      </w:r>
      <w:r w:rsidRPr="00242C11">
        <w:rPr>
          <w:i/>
        </w:rPr>
        <w:t xml:space="preserve"> you </w:t>
      </w:r>
      <w:r>
        <w:t xml:space="preserve">with access, via a fixed wireless IP network extension to the Optus IP Network, to the Internet and related services, such as email and the world wide web on an on-demand basis. </w:t>
      </w:r>
    </w:p>
    <w:p w14:paraId="77DDEE33" w14:textId="77777777" w:rsidR="00DE32CC" w:rsidRDefault="00DE32CC" w:rsidP="00DE32CC">
      <w:pPr>
        <w:pStyle w:val="Heading8"/>
      </w:pPr>
      <w:r>
        <w:t xml:space="preserve">Optus may immediately suspend, downgrade or cancel the Free Wi-Fi Benefit in a variety of circumstances, including but not limited to the following: </w:t>
      </w:r>
      <w:r w:rsidRPr="00242C11">
        <w:rPr>
          <w:i/>
        </w:rPr>
        <w:t>you</w:t>
      </w:r>
      <w:r>
        <w:t xml:space="preserve"> misuse the Service; non- compliant Equipment is used; there is an unusually high use of the Service; </w:t>
      </w:r>
      <w:r w:rsidRPr="00242C11">
        <w:rPr>
          <w:i/>
        </w:rPr>
        <w:t>you</w:t>
      </w:r>
      <w:r>
        <w:t xml:space="preserve"> fail to pay any charges to Optus; </w:t>
      </w:r>
      <w:r w:rsidRPr="00242C11">
        <w:rPr>
          <w:i/>
        </w:rPr>
        <w:t>you</w:t>
      </w:r>
      <w:r>
        <w:t xml:space="preserve"> become insolvent; or if for technical or commercial reasons, Optus' Wi-Fi network is no longer operational or available. </w:t>
      </w:r>
    </w:p>
    <w:p w14:paraId="180812F1" w14:textId="77777777" w:rsidR="00DE32CC" w:rsidRDefault="00DE32CC" w:rsidP="00DE32CC">
      <w:pPr>
        <w:pStyle w:val="Heading8"/>
      </w:pPr>
      <w:r>
        <w:lastRenderedPageBreak/>
        <w:t>Not all content located on Optus iZoo will be available when using the Apple iPhone over the Optus WiFi connection. Availability and performance of Optus hot-spots can vary.</w:t>
      </w:r>
    </w:p>
    <w:p w14:paraId="08CB5722" w14:textId="77777777" w:rsidR="00DE32CC" w:rsidRPr="008418FF" w:rsidRDefault="00DE32CC" w:rsidP="00DE32CC">
      <w:pPr>
        <w:pStyle w:val="Heading7"/>
        <w:rPr>
          <w:b/>
        </w:rPr>
      </w:pPr>
      <w:r w:rsidRPr="008418FF">
        <w:rPr>
          <w:b/>
        </w:rPr>
        <w:t>Other Business Timeless Fleet Plan Conditions and Offers</w:t>
      </w:r>
    </w:p>
    <w:p w14:paraId="7BDA73F0" w14:textId="77777777" w:rsidR="00DE32CC" w:rsidRDefault="00DE32CC" w:rsidP="00DE32CC">
      <w:pPr>
        <w:pStyle w:val="Heading8"/>
      </w:pPr>
      <w:r>
        <w:t xml:space="preserve">Available features will vary depending on </w:t>
      </w:r>
      <w:r w:rsidRPr="00242C11">
        <w:rPr>
          <w:i/>
        </w:rPr>
        <w:t>your</w:t>
      </w:r>
      <w:r>
        <w:t xml:space="preserve"> handset or software version.</w:t>
      </w:r>
    </w:p>
    <w:p w14:paraId="069EAE0F" w14:textId="77777777" w:rsidR="00DE32CC" w:rsidRDefault="00DE32CC" w:rsidP="00DE32CC">
      <w:pPr>
        <w:pStyle w:val="Heading8"/>
      </w:pPr>
      <w:r>
        <w:t xml:space="preserve">The Fair Go Policy applies to: Voice Over Internet Protocol (VOIP) services up to 10 megabytes per month. Please refer to </w:t>
      </w:r>
      <w:hyperlink r:id="rId897" w:history="1">
        <w:r w:rsidRPr="00242C11">
          <w:rPr>
            <w:rStyle w:val="Hyperlink"/>
            <w:i/>
          </w:rPr>
          <w:t>Appendix S</w:t>
        </w:r>
      </w:hyperlink>
      <w:r>
        <w:t>.</w:t>
      </w:r>
    </w:p>
    <w:p w14:paraId="10883045" w14:textId="77777777" w:rsidR="00DE32CC" w:rsidRDefault="00DE32CC" w:rsidP="00DE32CC">
      <w:pPr>
        <w:pStyle w:val="Heading8"/>
      </w:pPr>
      <w:r>
        <w:t xml:space="preserve">Voice Over Internet Protocol (VOIP) services will be charged at 1.5c per kilobyte of usage, capped at $9.90 per month until </w:t>
      </w:r>
      <w:r w:rsidRPr="00242C11">
        <w:rPr>
          <w:i/>
        </w:rPr>
        <w:t>you</w:t>
      </w:r>
      <w:r>
        <w:t xml:space="preserve"> reach 5 megabytes of usage in that month, after which </w:t>
      </w:r>
      <w:r w:rsidRPr="00242C11">
        <w:rPr>
          <w:i/>
        </w:rPr>
        <w:t>you</w:t>
      </w:r>
      <w:r>
        <w:t xml:space="preserve"> will be charged at 0.3c per kilobyte of usage for the remainder of that month.</w:t>
      </w:r>
    </w:p>
    <w:p w14:paraId="53B09118" w14:textId="77777777" w:rsidR="00DE32CC" w:rsidRDefault="00DE32CC" w:rsidP="00DE32CC">
      <w:pPr>
        <w:pStyle w:val="Heading8"/>
      </w:pPr>
      <w:r>
        <w:t xml:space="preserve">Use of unlimited features is for personal or business use. </w:t>
      </w:r>
    </w:p>
    <w:p w14:paraId="37BB313E" w14:textId="77777777" w:rsidR="00DE32CC" w:rsidRPr="008418FF" w:rsidRDefault="00DE32CC" w:rsidP="00DE32CC">
      <w:pPr>
        <w:pStyle w:val="Heading7"/>
        <w:rPr>
          <w:b/>
        </w:rPr>
      </w:pPr>
      <w:r w:rsidRPr="008418FF">
        <w:rPr>
          <w:b/>
        </w:rPr>
        <w:t>Blocking Access to a Number</w:t>
      </w:r>
    </w:p>
    <w:p w14:paraId="235CE41A" w14:textId="77777777" w:rsidR="00DE32CC" w:rsidRDefault="00DE32CC" w:rsidP="00DE32CC">
      <w:pPr>
        <w:pStyle w:val="BodyText"/>
        <w:ind w:left="1440"/>
      </w:pPr>
      <w:r>
        <w:t xml:space="preserve">In addition to what is stated in </w:t>
      </w:r>
      <w:r w:rsidRPr="00091711">
        <w:t>clause 11</w:t>
      </w:r>
      <w:r>
        <w:t xml:space="preserve"> of the </w:t>
      </w:r>
      <w:r w:rsidRPr="00170545">
        <w:rPr>
          <w:i/>
        </w:rPr>
        <w:t>service description</w:t>
      </w:r>
      <w:r>
        <w:t xml:space="preserve"> ("Access Restrictions"), </w:t>
      </w:r>
      <w:r w:rsidRPr="00170545">
        <w:rPr>
          <w:i/>
        </w:rPr>
        <w:t>we</w:t>
      </w:r>
      <w:r>
        <w:t xml:space="preserve"> may block access to a number (other than an emergency service number) if </w:t>
      </w:r>
      <w:r w:rsidRPr="00170545">
        <w:rPr>
          <w:i/>
        </w:rPr>
        <w:t>we</w:t>
      </w:r>
      <w:r>
        <w:t xml:space="preserve"> reasonably require this to be done for technical, operational or commercial reasons. </w:t>
      </w:r>
    </w:p>
    <w:p w14:paraId="3DA78559" w14:textId="77777777" w:rsidR="00DE32CC" w:rsidRPr="008418FF" w:rsidRDefault="00DE32CC" w:rsidP="00DE32CC">
      <w:pPr>
        <w:pStyle w:val="Heading7"/>
        <w:rPr>
          <w:b/>
        </w:rPr>
      </w:pPr>
      <w:r w:rsidRPr="008418FF">
        <w:rPr>
          <w:b/>
        </w:rPr>
        <w:t>Eligible Calls, Messages and Pricing Plans</w:t>
      </w:r>
    </w:p>
    <w:p w14:paraId="5EB3813F" w14:textId="77777777" w:rsidR="00DE32CC" w:rsidRDefault="00DE32CC" w:rsidP="00DE32CC">
      <w:pPr>
        <w:pStyle w:val="Heading8"/>
      </w:pPr>
      <w:r>
        <w:t>Table 1A below indicates whether a particular call or message type is 'eligible' in the unlimited offer for the Business Timeless Fleet Plan.</w:t>
      </w:r>
    </w:p>
    <w:p w14:paraId="27722687" w14:textId="77777777" w:rsidR="00DE32CC" w:rsidRDefault="00DE32CC" w:rsidP="00DE32CC">
      <w:pPr>
        <w:pStyle w:val="Heading8"/>
      </w:pPr>
      <w:r>
        <w:t xml:space="preserve">Table 2A below indicates whether a particular data type is 'eligible data usage' which counts towards the Included Mobile Internet Data value of </w:t>
      </w:r>
      <w:r w:rsidRPr="0026334B">
        <w:rPr>
          <w:i/>
        </w:rPr>
        <w:t>your</w:t>
      </w:r>
      <w:r>
        <w:t xml:space="preserve"> selected Business Timeless Fleet Plan. </w:t>
      </w:r>
    </w:p>
    <w:p w14:paraId="613CDE4F" w14:textId="77777777" w:rsidR="00DE32CC" w:rsidRDefault="00DE32CC" w:rsidP="00DE32CC">
      <w:pPr>
        <w:pStyle w:val="Heading8"/>
      </w:pPr>
      <w:r>
        <w:t xml:space="preserve">Table 2B below indicates whether a particular data type is 'eligible data usage' which counts towards the Unlimited BlackBerry POP3 Email and Browsing through the BlackBerry Browser value of </w:t>
      </w:r>
      <w:r w:rsidRPr="0026334B">
        <w:rPr>
          <w:i/>
        </w:rPr>
        <w:t>your</w:t>
      </w:r>
      <w:r>
        <w:t xml:space="preserve"> selected Business Timeless Fleet Plan.</w:t>
      </w:r>
    </w:p>
    <w:p w14:paraId="772971A9" w14:textId="77777777" w:rsidR="00DE32CC" w:rsidRDefault="00DE32CC" w:rsidP="00DE32CC">
      <w:pPr>
        <w:pStyle w:val="Heading8"/>
      </w:pPr>
      <w:r>
        <w:t xml:space="preserve">Table 2C below indicates whether a particular call type is 'eligible call' which counts towards the included International Value of </w:t>
      </w:r>
      <w:r w:rsidRPr="00CC0318">
        <w:rPr>
          <w:i/>
        </w:rPr>
        <w:t>your</w:t>
      </w:r>
      <w:r>
        <w:t xml:space="preserve"> selected Business Timeless Fleet Plan.</w:t>
      </w:r>
    </w:p>
    <w:p w14:paraId="0BFA4EFE" w14:textId="77777777" w:rsidR="00DE32CC" w:rsidRDefault="00DE32CC" w:rsidP="00DE32CC">
      <w:pPr>
        <w:pStyle w:val="Heading8"/>
      </w:pPr>
      <w:r>
        <w:t>Table 3A below contains pricing details of each Business Timeless Fleet Plan.</w:t>
      </w:r>
    </w:p>
    <w:p w14:paraId="1CB51DA6" w14:textId="77777777" w:rsidR="00DE32CC" w:rsidRDefault="00DE32CC" w:rsidP="00DE32CC">
      <w:pPr>
        <w:pStyle w:val="Heading6"/>
        <w:ind w:left="0" w:firstLine="0"/>
      </w:pPr>
      <w:bookmarkStart w:id="2397" w:name="_Toc529178385"/>
      <w:r>
        <w:t>Handset Credit Fund</w:t>
      </w:r>
      <w:bookmarkEnd w:id="2397"/>
      <w:r>
        <w:t xml:space="preserve"> </w:t>
      </w:r>
    </w:p>
    <w:p w14:paraId="6B3F25B2" w14:textId="77777777" w:rsidR="00DE32CC" w:rsidRDefault="00DE32CC" w:rsidP="00DE32CC">
      <w:pPr>
        <w:pStyle w:val="Heading7"/>
      </w:pPr>
      <w:r>
        <w:t xml:space="preserve">The Handset Credit Fund is a special offer available to customers who are eligible for and connect to a Business Timeless Fleet plan, and who do not choose to take a handset upfront. It allows </w:t>
      </w:r>
      <w:r w:rsidRPr="00CC0318">
        <w:rPr>
          <w:i/>
        </w:rPr>
        <w:t>you</w:t>
      </w:r>
      <w:r>
        <w:t xml:space="preserve"> to purchase mobile phones and accessories from Optus at any period throughout </w:t>
      </w:r>
      <w:r w:rsidRPr="00CC0318">
        <w:rPr>
          <w:i/>
        </w:rPr>
        <w:t>your</w:t>
      </w:r>
      <w:r>
        <w:t xml:space="preserve"> contract; it cannot be used for any other purpose other than the purchase of handsets and accessories from </w:t>
      </w:r>
      <w:r w:rsidRPr="00CC0318">
        <w:rPr>
          <w:i/>
        </w:rPr>
        <w:t>us</w:t>
      </w:r>
      <w:r>
        <w:t xml:space="preserve">. </w:t>
      </w:r>
    </w:p>
    <w:p w14:paraId="709606F0" w14:textId="77777777" w:rsidR="00DE32CC" w:rsidRDefault="00DE32CC" w:rsidP="00DE32CC">
      <w:pPr>
        <w:pStyle w:val="Heading7"/>
      </w:pPr>
      <w:r>
        <w:t xml:space="preserve">The amount of the fund will be dependent on the number of phones </w:t>
      </w:r>
      <w:r w:rsidRPr="00CC0318">
        <w:rPr>
          <w:i/>
        </w:rPr>
        <w:t>you</w:t>
      </w:r>
      <w:r>
        <w:t xml:space="preserve"> connect to Business Timeless Fleet plans and the contract length as per the table below. </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1365"/>
        <w:gridCol w:w="1365"/>
        <w:gridCol w:w="1365"/>
        <w:gridCol w:w="1365"/>
        <w:gridCol w:w="1365"/>
        <w:gridCol w:w="1365"/>
      </w:tblGrid>
      <w:tr w:rsidR="00DE32CC" w14:paraId="2D7B7B3B" w14:textId="77777777" w:rsidTr="00DE32CC">
        <w:tc>
          <w:tcPr>
            <w:tcW w:w="2070" w:type="dxa"/>
          </w:tcPr>
          <w:p w14:paraId="469506F8" w14:textId="77777777" w:rsidR="00DE32CC" w:rsidRPr="00152FD2" w:rsidRDefault="00DE32CC" w:rsidP="00DE32CC">
            <w:pPr>
              <w:pStyle w:val="BodyText"/>
              <w:spacing w:before="100" w:after="100"/>
              <w:rPr>
                <w:b/>
              </w:rPr>
            </w:pPr>
          </w:p>
        </w:tc>
        <w:tc>
          <w:tcPr>
            <w:tcW w:w="1365" w:type="dxa"/>
          </w:tcPr>
          <w:p w14:paraId="5E393394" w14:textId="77777777" w:rsidR="00DE32CC" w:rsidRPr="00152FD2" w:rsidRDefault="00DE32CC" w:rsidP="00DE32CC">
            <w:pPr>
              <w:pStyle w:val="BodyText"/>
              <w:spacing w:before="100" w:after="100"/>
              <w:rPr>
                <w:b/>
              </w:rPr>
            </w:pPr>
            <w:r w:rsidRPr="00152FD2">
              <w:rPr>
                <w:b/>
              </w:rPr>
              <w:t>$59 Business Timeless Fleet</w:t>
            </w:r>
          </w:p>
        </w:tc>
        <w:tc>
          <w:tcPr>
            <w:tcW w:w="1365" w:type="dxa"/>
          </w:tcPr>
          <w:p w14:paraId="537CACA6" w14:textId="77777777" w:rsidR="00DE32CC" w:rsidRPr="00152FD2" w:rsidRDefault="00DE32CC" w:rsidP="00DE32CC">
            <w:pPr>
              <w:pStyle w:val="BodyText"/>
              <w:spacing w:before="100" w:after="100"/>
              <w:rPr>
                <w:b/>
              </w:rPr>
            </w:pPr>
            <w:r w:rsidRPr="00152FD2">
              <w:rPr>
                <w:b/>
              </w:rPr>
              <w:t>$69 Business Timeless Fleet</w:t>
            </w:r>
          </w:p>
        </w:tc>
        <w:tc>
          <w:tcPr>
            <w:tcW w:w="1365" w:type="dxa"/>
          </w:tcPr>
          <w:p w14:paraId="70F84E1E" w14:textId="77777777" w:rsidR="00DE32CC" w:rsidRPr="00152FD2" w:rsidRDefault="00DE32CC" w:rsidP="00DE32CC">
            <w:pPr>
              <w:pStyle w:val="BodyText"/>
              <w:spacing w:before="100" w:after="100"/>
              <w:rPr>
                <w:b/>
              </w:rPr>
            </w:pPr>
            <w:r w:rsidRPr="00152FD2">
              <w:rPr>
                <w:b/>
              </w:rPr>
              <w:t>$79 Business Timeless Fleet</w:t>
            </w:r>
          </w:p>
        </w:tc>
        <w:tc>
          <w:tcPr>
            <w:tcW w:w="1365" w:type="dxa"/>
          </w:tcPr>
          <w:p w14:paraId="00D9D1BC" w14:textId="77777777" w:rsidR="00DE32CC" w:rsidRPr="00152FD2" w:rsidRDefault="00DE32CC" w:rsidP="00DE32CC">
            <w:pPr>
              <w:pStyle w:val="BodyText"/>
              <w:spacing w:before="100" w:after="100"/>
              <w:rPr>
                <w:b/>
              </w:rPr>
            </w:pPr>
            <w:r w:rsidRPr="00152FD2">
              <w:rPr>
                <w:b/>
              </w:rPr>
              <w:t>$79 Business Timeless Fleet BES</w:t>
            </w:r>
          </w:p>
        </w:tc>
        <w:tc>
          <w:tcPr>
            <w:tcW w:w="1365" w:type="dxa"/>
          </w:tcPr>
          <w:p w14:paraId="3F4FBE16" w14:textId="77777777" w:rsidR="00DE32CC" w:rsidRPr="00152FD2" w:rsidRDefault="00DE32CC" w:rsidP="00DE32CC">
            <w:pPr>
              <w:pStyle w:val="BodyText"/>
              <w:spacing w:before="100" w:after="100"/>
              <w:rPr>
                <w:b/>
              </w:rPr>
            </w:pPr>
            <w:r w:rsidRPr="00152FD2">
              <w:rPr>
                <w:b/>
              </w:rPr>
              <w:t>$89 Business Timeless Fleet BES</w:t>
            </w:r>
          </w:p>
        </w:tc>
        <w:tc>
          <w:tcPr>
            <w:tcW w:w="1365" w:type="dxa"/>
          </w:tcPr>
          <w:p w14:paraId="713C32F3" w14:textId="77777777" w:rsidR="00DE32CC" w:rsidRPr="00152FD2" w:rsidRDefault="00DE32CC" w:rsidP="00DE32CC">
            <w:pPr>
              <w:pStyle w:val="BodyText"/>
              <w:spacing w:before="100" w:after="100"/>
              <w:rPr>
                <w:b/>
              </w:rPr>
            </w:pPr>
            <w:r w:rsidRPr="00152FD2">
              <w:rPr>
                <w:b/>
              </w:rPr>
              <w:t>$99 Business Timeless Fleet BES</w:t>
            </w:r>
          </w:p>
        </w:tc>
      </w:tr>
      <w:tr w:rsidR="00DE32CC" w14:paraId="6D0DABB7" w14:textId="77777777" w:rsidTr="00DE32CC">
        <w:tc>
          <w:tcPr>
            <w:tcW w:w="2070" w:type="dxa"/>
          </w:tcPr>
          <w:p w14:paraId="75335016" w14:textId="77777777" w:rsidR="00DE32CC" w:rsidRPr="00152FD2" w:rsidRDefault="00DE32CC" w:rsidP="00DE32CC">
            <w:pPr>
              <w:pStyle w:val="BodyText"/>
              <w:spacing w:before="100" w:after="100"/>
              <w:jc w:val="center"/>
              <w:rPr>
                <w:b/>
              </w:rPr>
            </w:pPr>
            <w:r w:rsidRPr="00152FD2">
              <w:rPr>
                <w:b/>
                <w:bCs/>
                <w:color w:val="000000"/>
              </w:rPr>
              <w:t>24 month Handset Credit Fund</w:t>
            </w:r>
          </w:p>
        </w:tc>
        <w:tc>
          <w:tcPr>
            <w:tcW w:w="1365" w:type="dxa"/>
            <w:vAlign w:val="center"/>
          </w:tcPr>
          <w:p w14:paraId="4C944B09" w14:textId="77777777" w:rsidR="00DE32CC" w:rsidRDefault="00DE32CC" w:rsidP="00DE32CC">
            <w:pPr>
              <w:pStyle w:val="BodyText"/>
              <w:spacing w:before="100" w:after="100"/>
              <w:jc w:val="center"/>
              <w:rPr>
                <w:color w:val="000000"/>
              </w:rPr>
            </w:pPr>
            <w:r>
              <w:rPr>
                <w:color w:val="000000"/>
              </w:rPr>
              <w:t>$400</w:t>
            </w:r>
          </w:p>
        </w:tc>
        <w:tc>
          <w:tcPr>
            <w:tcW w:w="1365" w:type="dxa"/>
            <w:vAlign w:val="center"/>
          </w:tcPr>
          <w:p w14:paraId="700F7999" w14:textId="77777777" w:rsidR="00DE32CC" w:rsidRDefault="00DE32CC" w:rsidP="00DE32CC">
            <w:pPr>
              <w:pStyle w:val="BodyText"/>
              <w:spacing w:before="100" w:after="100"/>
              <w:jc w:val="center"/>
            </w:pPr>
            <w:r>
              <w:rPr>
                <w:color w:val="000000"/>
              </w:rPr>
              <w:t>$550</w:t>
            </w:r>
          </w:p>
        </w:tc>
        <w:tc>
          <w:tcPr>
            <w:tcW w:w="1365" w:type="dxa"/>
            <w:vAlign w:val="center"/>
          </w:tcPr>
          <w:p w14:paraId="1CB8E0EA" w14:textId="77777777" w:rsidR="00DE32CC" w:rsidRDefault="00DE32CC" w:rsidP="00DE32CC">
            <w:pPr>
              <w:pStyle w:val="BodyText"/>
              <w:spacing w:before="100" w:after="100"/>
              <w:jc w:val="center"/>
            </w:pPr>
            <w:r>
              <w:rPr>
                <w:color w:val="000000"/>
              </w:rPr>
              <w:t>$650</w:t>
            </w:r>
          </w:p>
        </w:tc>
        <w:tc>
          <w:tcPr>
            <w:tcW w:w="1365" w:type="dxa"/>
            <w:vAlign w:val="center"/>
          </w:tcPr>
          <w:p w14:paraId="7B992E12" w14:textId="77777777" w:rsidR="00DE32CC" w:rsidRDefault="00DE32CC" w:rsidP="00DE32CC">
            <w:pPr>
              <w:pStyle w:val="BodyText"/>
              <w:spacing w:before="100" w:after="100"/>
              <w:jc w:val="center"/>
            </w:pPr>
            <w:r>
              <w:rPr>
                <w:color w:val="000000"/>
              </w:rPr>
              <w:t>$400</w:t>
            </w:r>
          </w:p>
        </w:tc>
        <w:tc>
          <w:tcPr>
            <w:tcW w:w="1365" w:type="dxa"/>
            <w:vAlign w:val="center"/>
          </w:tcPr>
          <w:p w14:paraId="3E896A2A" w14:textId="77777777" w:rsidR="00DE32CC" w:rsidRDefault="00DE32CC" w:rsidP="00DE32CC">
            <w:pPr>
              <w:pStyle w:val="BodyText"/>
              <w:spacing w:before="100" w:after="100"/>
              <w:jc w:val="center"/>
            </w:pPr>
            <w:r>
              <w:rPr>
                <w:color w:val="000000"/>
              </w:rPr>
              <w:t>$550</w:t>
            </w:r>
          </w:p>
        </w:tc>
        <w:tc>
          <w:tcPr>
            <w:tcW w:w="1365" w:type="dxa"/>
            <w:vAlign w:val="center"/>
          </w:tcPr>
          <w:p w14:paraId="38BAB064" w14:textId="77777777" w:rsidR="00DE32CC" w:rsidRDefault="00DE32CC" w:rsidP="00DE32CC">
            <w:pPr>
              <w:pStyle w:val="BodyText"/>
              <w:spacing w:before="100" w:after="100"/>
              <w:jc w:val="center"/>
            </w:pPr>
            <w:r>
              <w:rPr>
                <w:color w:val="000000"/>
              </w:rPr>
              <w:t>$650</w:t>
            </w:r>
          </w:p>
        </w:tc>
      </w:tr>
    </w:tbl>
    <w:p w14:paraId="40817EF2" w14:textId="77777777" w:rsidR="00DE32CC" w:rsidRPr="007E2650" w:rsidRDefault="00DE32CC" w:rsidP="00DE32CC">
      <w:pPr>
        <w:pStyle w:val="Heading7"/>
        <w:spacing w:before="240"/>
      </w:pPr>
      <w:r w:rsidRPr="007E2650">
        <w:rPr>
          <w:i/>
        </w:rPr>
        <w:t>You</w:t>
      </w:r>
      <w:r w:rsidRPr="007E2650">
        <w:t xml:space="preserve"> may use the Handset Credit deposited into </w:t>
      </w:r>
      <w:r w:rsidRPr="007E2650">
        <w:rPr>
          <w:i/>
        </w:rPr>
        <w:t>your</w:t>
      </w:r>
      <w:r w:rsidRPr="007E2650">
        <w:t xml:space="preserve"> account to purchase handsets listed in the Optus e-fulfilment price list as amended by </w:t>
      </w:r>
      <w:r w:rsidRPr="007E2650">
        <w:rPr>
          <w:i/>
        </w:rPr>
        <w:t>us</w:t>
      </w:r>
      <w:r w:rsidRPr="007E2650">
        <w:t xml:space="preserve"> from time to time. This list is available to </w:t>
      </w:r>
      <w:r w:rsidRPr="007E2650">
        <w:rPr>
          <w:i/>
        </w:rPr>
        <w:t>you</w:t>
      </w:r>
      <w:r w:rsidRPr="007E2650">
        <w:t xml:space="preserve"> upon request.</w:t>
      </w:r>
    </w:p>
    <w:p w14:paraId="42EFE04E" w14:textId="77777777" w:rsidR="00DE32CC" w:rsidRDefault="00DE32CC" w:rsidP="00DE32CC">
      <w:pPr>
        <w:pStyle w:val="Heading7"/>
      </w:pPr>
      <w:r>
        <w:lastRenderedPageBreak/>
        <w:t xml:space="preserve">If the purchase price for products that </w:t>
      </w:r>
      <w:r w:rsidRPr="00DF1875">
        <w:rPr>
          <w:i/>
        </w:rPr>
        <w:t>you</w:t>
      </w:r>
      <w:r>
        <w:t xml:space="preserve"> order is greater than the Handset Fund credit remaining in </w:t>
      </w:r>
      <w:r w:rsidRPr="00DF1875">
        <w:rPr>
          <w:i/>
        </w:rPr>
        <w:t>your</w:t>
      </w:r>
      <w:r>
        <w:t xml:space="preserve"> account, </w:t>
      </w:r>
      <w:r w:rsidRPr="00DF1875">
        <w:rPr>
          <w:i/>
        </w:rPr>
        <w:t>you</w:t>
      </w:r>
      <w:r>
        <w:t xml:space="preserve"> must pay any difference for those products by manually topping up </w:t>
      </w:r>
      <w:r w:rsidRPr="00DF1875">
        <w:rPr>
          <w:i/>
        </w:rPr>
        <w:t>your</w:t>
      </w:r>
      <w:r>
        <w:t xml:space="preserve"> Handset Credit Fund account with the required funds.</w:t>
      </w:r>
    </w:p>
    <w:p w14:paraId="077CFABD" w14:textId="77777777" w:rsidR="00DE32CC" w:rsidRDefault="00DE32CC" w:rsidP="00DE32CC">
      <w:pPr>
        <w:pStyle w:val="Heading7"/>
      </w:pPr>
      <w:r>
        <w:t xml:space="preserve">The value of the Handset Fund is not redeemable for cash and may not be transferred or used for any other purposes (for instance, it may not be used to pay for service charges, minimum monthly call spend or call costs, cannot be used against cancellation fees). If </w:t>
      </w:r>
      <w:r w:rsidRPr="00DF1875">
        <w:rPr>
          <w:i/>
        </w:rPr>
        <w:t>your</w:t>
      </w:r>
      <w:r>
        <w:t xml:space="preserve"> account is cancelled for any reason any unused credit will be forfeited.</w:t>
      </w:r>
    </w:p>
    <w:p w14:paraId="60ABD570" w14:textId="77777777" w:rsidR="00DE32CC" w:rsidRDefault="00DE32CC" w:rsidP="00DE32CC">
      <w:pPr>
        <w:pStyle w:val="BodyText"/>
        <w:ind w:left="720"/>
        <w:rPr>
          <w:b/>
        </w:rPr>
      </w:pPr>
      <w:r w:rsidRPr="00DF1875">
        <w:rPr>
          <w:b/>
        </w:rPr>
        <w:t>Table 1A – Eligible Calls</w:t>
      </w:r>
    </w:p>
    <w:tbl>
      <w:tblPr>
        <w:tblW w:w="9540" w:type="dxa"/>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225"/>
        <w:gridCol w:w="2657"/>
        <w:gridCol w:w="2658"/>
      </w:tblGrid>
      <w:tr w:rsidR="00DE32CC" w:rsidRPr="008C06A6" w14:paraId="4C8184FC" w14:textId="77777777" w:rsidTr="00DE32CC">
        <w:trPr>
          <w:trHeight w:val="53"/>
          <w:tblHeader/>
        </w:trPr>
        <w:tc>
          <w:tcPr>
            <w:tcW w:w="4225" w:type="dxa"/>
          </w:tcPr>
          <w:p w14:paraId="3B280D0B" w14:textId="77777777" w:rsidR="00DE32CC" w:rsidRPr="008C06A6" w:rsidRDefault="00DE32CC" w:rsidP="00DE32CC">
            <w:pPr>
              <w:pStyle w:val="BodyText"/>
              <w:spacing w:before="100" w:after="100"/>
              <w:jc w:val="center"/>
              <w:rPr>
                <w:b/>
              </w:rPr>
            </w:pPr>
            <w:r w:rsidRPr="008C06A6">
              <w:rPr>
                <w:b/>
              </w:rPr>
              <w:t>Call Type</w:t>
            </w:r>
          </w:p>
        </w:tc>
        <w:tc>
          <w:tcPr>
            <w:tcW w:w="5315" w:type="dxa"/>
            <w:gridSpan w:val="2"/>
            <w:vAlign w:val="center"/>
          </w:tcPr>
          <w:p w14:paraId="0A89334B" w14:textId="77777777" w:rsidR="00DE32CC" w:rsidRPr="008C06A6" w:rsidRDefault="00DE32CC" w:rsidP="00DE32CC">
            <w:pPr>
              <w:pStyle w:val="BodyText"/>
              <w:spacing w:before="100" w:after="100"/>
              <w:jc w:val="center"/>
              <w:rPr>
                <w:b/>
              </w:rPr>
            </w:pPr>
            <w:r w:rsidRPr="009C24DC">
              <w:rPr>
                <w:b/>
              </w:rPr>
              <w:t>Eligible Call</w:t>
            </w:r>
          </w:p>
        </w:tc>
      </w:tr>
      <w:tr w:rsidR="00DE32CC" w:rsidRPr="008C06A6" w14:paraId="6E07640B" w14:textId="77777777" w:rsidTr="00DE32CC">
        <w:trPr>
          <w:trHeight w:val="53"/>
          <w:tblHeader/>
        </w:trPr>
        <w:tc>
          <w:tcPr>
            <w:tcW w:w="4225" w:type="dxa"/>
          </w:tcPr>
          <w:p w14:paraId="1FD78EFE" w14:textId="77777777" w:rsidR="00DE32CC" w:rsidRPr="008C06A6" w:rsidRDefault="00DE32CC" w:rsidP="00DE32CC">
            <w:pPr>
              <w:pStyle w:val="BodyText"/>
              <w:spacing w:before="100" w:after="100"/>
              <w:rPr>
                <w:b/>
              </w:rPr>
            </w:pPr>
          </w:p>
        </w:tc>
        <w:tc>
          <w:tcPr>
            <w:tcW w:w="2657" w:type="dxa"/>
            <w:vAlign w:val="center"/>
          </w:tcPr>
          <w:p w14:paraId="2B9558C7" w14:textId="77777777" w:rsidR="00DE32CC" w:rsidRPr="009C24DC" w:rsidRDefault="00DE32CC" w:rsidP="00DE32CC">
            <w:pPr>
              <w:pStyle w:val="BodyText"/>
              <w:spacing w:before="100" w:after="100"/>
              <w:jc w:val="center"/>
              <w:rPr>
                <w:b/>
              </w:rPr>
            </w:pPr>
            <w:r>
              <w:rPr>
                <w:b/>
              </w:rPr>
              <w:t>$59, $69 or $79</w:t>
            </w:r>
            <w:r w:rsidRPr="009C24DC">
              <w:rPr>
                <w:b/>
              </w:rPr>
              <w:t xml:space="preserve"> Business Timeless Fleet</w:t>
            </w:r>
          </w:p>
        </w:tc>
        <w:tc>
          <w:tcPr>
            <w:tcW w:w="2658" w:type="dxa"/>
            <w:vAlign w:val="center"/>
          </w:tcPr>
          <w:p w14:paraId="1B7B8E1B" w14:textId="77777777" w:rsidR="00DE32CC" w:rsidRPr="009C24DC" w:rsidRDefault="00DE32CC" w:rsidP="00DE32CC">
            <w:pPr>
              <w:pStyle w:val="BodyText"/>
              <w:spacing w:before="100" w:after="100"/>
              <w:jc w:val="center"/>
              <w:rPr>
                <w:b/>
              </w:rPr>
            </w:pPr>
            <w:r w:rsidRPr="009C24DC">
              <w:rPr>
                <w:b/>
              </w:rPr>
              <w:t>$79, $89 or $99 Business Timeless Fleet BES</w:t>
            </w:r>
          </w:p>
        </w:tc>
      </w:tr>
      <w:tr w:rsidR="00DE32CC" w:rsidRPr="008C06A6" w14:paraId="154D73E2" w14:textId="77777777" w:rsidTr="00DE32CC">
        <w:trPr>
          <w:trHeight w:val="247"/>
        </w:trPr>
        <w:tc>
          <w:tcPr>
            <w:tcW w:w="4225" w:type="dxa"/>
          </w:tcPr>
          <w:p w14:paraId="2C95E9B7" w14:textId="77777777" w:rsidR="00DE32CC" w:rsidRPr="008C06A6" w:rsidRDefault="00DE32CC" w:rsidP="00DE32CC">
            <w:pPr>
              <w:pStyle w:val="BodyText"/>
              <w:spacing w:before="100" w:after="100"/>
            </w:pPr>
            <w:r w:rsidRPr="008C06A6">
              <w:t>Standard National Voice Calls</w:t>
            </w:r>
          </w:p>
        </w:tc>
        <w:tc>
          <w:tcPr>
            <w:tcW w:w="2657" w:type="dxa"/>
            <w:vAlign w:val="center"/>
          </w:tcPr>
          <w:p w14:paraId="0E33E4BB" w14:textId="77777777" w:rsidR="00DE32CC" w:rsidRPr="008C06A6" w:rsidRDefault="00DE32CC" w:rsidP="00DE32CC">
            <w:pPr>
              <w:pStyle w:val="BodyText"/>
              <w:spacing w:before="100" w:after="100"/>
              <w:jc w:val="center"/>
            </w:pPr>
            <w:r w:rsidRPr="008C06A6">
              <w:t>Yes</w:t>
            </w:r>
          </w:p>
        </w:tc>
        <w:tc>
          <w:tcPr>
            <w:tcW w:w="2658" w:type="dxa"/>
            <w:vAlign w:val="center"/>
          </w:tcPr>
          <w:p w14:paraId="77DA85D7" w14:textId="77777777" w:rsidR="00DE32CC" w:rsidRPr="008C06A6" w:rsidRDefault="00DE32CC" w:rsidP="00DE32CC">
            <w:pPr>
              <w:pStyle w:val="BodyText"/>
              <w:spacing w:before="100" w:after="100"/>
              <w:jc w:val="center"/>
            </w:pPr>
            <w:r w:rsidRPr="008C06A6">
              <w:t>Yes</w:t>
            </w:r>
          </w:p>
        </w:tc>
      </w:tr>
      <w:tr w:rsidR="00DE32CC" w:rsidRPr="008C06A6" w14:paraId="0BDBE5DE" w14:textId="77777777" w:rsidTr="00DE32CC">
        <w:trPr>
          <w:trHeight w:val="247"/>
        </w:trPr>
        <w:tc>
          <w:tcPr>
            <w:tcW w:w="4225" w:type="dxa"/>
          </w:tcPr>
          <w:p w14:paraId="5763526F" w14:textId="77777777" w:rsidR="00DE32CC" w:rsidRPr="008C06A6" w:rsidRDefault="00DE32CC" w:rsidP="00DE32CC">
            <w:pPr>
              <w:pStyle w:val="BodyText"/>
              <w:spacing w:before="100" w:after="100"/>
            </w:pPr>
            <w:r w:rsidRPr="008C06A6">
              <w:t>Standard National Video Calls</w:t>
            </w:r>
          </w:p>
        </w:tc>
        <w:tc>
          <w:tcPr>
            <w:tcW w:w="2657" w:type="dxa"/>
            <w:vAlign w:val="center"/>
          </w:tcPr>
          <w:p w14:paraId="185E420C" w14:textId="77777777" w:rsidR="00DE32CC" w:rsidRPr="008C06A6" w:rsidRDefault="00DE32CC" w:rsidP="00DE32CC">
            <w:pPr>
              <w:pStyle w:val="BodyText"/>
              <w:spacing w:before="100" w:after="100"/>
              <w:jc w:val="center"/>
            </w:pPr>
            <w:r w:rsidRPr="008C06A6">
              <w:t>Yes</w:t>
            </w:r>
          </w:p>
        </w:tc>
        <w:tc>
          <w:tcPr>
            <w:tcW w:w="2658" w:type="dxa"/>
            <w:vAlign w:val="center"/>
          </w:tcPr>
          <w:p w14:paraId="7318720A" w14:textId="77777777" w:rsidR="00DE32CC" w:rsidRPr="008C06A6" w:rsidRDefault="00DE32CC" w:rsidP="00DE32CC">
            <w:pPr>
              <w:pStyle w:val="BodyText"/>
              <w:spacing w:before="100" w:after="100"/>
              <w:jc w:val="center"/>
            </w:pPr>
            <w:r w:rsidRPr="008C06A6">
              <w:t>Yes</w:t>
            </w:r>
          </w:p>
        </w:tc>
      </w:tr>
      <w:tr w:rsidR="00DE32CC" w:rsidRPr="008C06A6" w14:paraId="2D366CD2" w14:textId="77777777" w:rsidTr="00DE32CC">
        <w:trPr>
          <w:trHeight w:val="53"/>
        </w:trPr>
        <w:tc>
          <w:tcPr>
            <w:tcW w:w="4225" w:type="dxa"/>
          </w:tcPr>
          <w:p w14:paraId="0E0E2F6C" w14:textId="77777777" w:rsidR="00DE32CC" w:rsidRPr="008C06A6" w:rsidRDefault="00DE32CC" w:rsidP="00DE32CC">
            <w:pPr>
              <w:pStyle w:val="BodyText"/>
              <w:spacing w:before="100" w:after="100"/>
            </w:pPr>
            <w:r w:rsidRPr="008C06A6">
              <w:t>International Voice Calls</w:t>
            </w:r>
          </w:p>
          <w:p w14:paraId="513DF76F" w14:textId="77777777" w:rsidR="00DE32CC" w:rsidRPr="008C06A6" w:rsidRDefault="00DE32CC" w:rsidP="00DE32CC">
            <w:pPr>
              <w:pStyle w:val="BodyText"/>
              <w:spacing w:before="100" w:after="100"/>
            </w:pPr>
            <w:r w:rsidRPr="008C06A6">
              <w:t>(includes calls to national fixed or GSM mobile services that then divert/switch or re-route overseas)</w:t>
            </w:r>
          </w:p>
        </w:tc>
        <w:tc>
          <w:tcPr>
            <w:tcW w:w="2657" w:type="dxa"/>
            <w:vAlign w:val="center"/>
          </w:tcPr>
          <w:p w14:paraId="514A35D0" w14:textId="77777777" w:rsidR="00DE32CC" w:rsidRPr="008C06A6" w:rsidRDefault="00DE32CC" w:rsidP="00DE32CC">
            <w:pPr>
              <w:pStyle w:val="BodyText"/>
              <w:spacing w:before="100" w:after="100"/>
              <w:jc w:val="center"/>
            </w:pPr>
            <w:r w:rsidRPr="008C06A6">
              <w:t>No</w:t>
            </w:r>
          </w:p>
        </w:tc>
        <w:tc>
          <w:tcPr>
            <w:tcW w:w="2658" w:type="dxa"/>
            <w:vAlign w:val="center"/>
          </w:tcPr>
          <w:p w14:paraId="26FF5A42" w14:textId="77777777" w:rsidR="00DE32CC" w:rsidRPr="008C06A6" w:rsidRDefault="00DE32CC" w:rsidP="00DE32CC">
            <w:pPr>
              <w:pStyle w:val="BodyText"/>
              <w:spacing w:before="100" w:after="100"/>
              <w:jc w:val="center"/>
            </w:pPr>
            <w:r w:rsidRPr="008C06A6">
              <w:t>No</w:t>
            </w:r>
          </w:p>
        </w:tc>
      </w:tr>
      <w:tr w:rsidR="00DE32CC" w:rsidRPr="008C06A6" w14:paraId="73F2813C" w14:textId="77777777" w:rsidTr="00DE32CC">
        <w:trPr>
          <w:trHeight w:val="318"/>
        </w:trPr>
        <w:tc>
          <w:tcPr>
            <w:tcW w:w="4225" w:type="dxa"/>
          </w:tcPr>
          <w:p w14:paraId="1BF97BC6" w14:textId="77777777" w:rsidR="00DE32CC" w:rsidRPr="008C06A6" w:rsidRDefault="00DE32CC" w:rsidP="00DE32CC">
            <w:pPr>
              <w:pStyle w:val="BodyText"/>
              <w:spacing w:before="100" w:after="100"/>
            </w:pPr>
            <w:r w:rsidRPr="008C06A6">
              <w:t>International Video Calls</w:t>
            </w:r>
          </w:p>
          <w:p w14:paraId="4D0E1958" w14:textId="77777777" w:rsidR="00DE32CC" w:rsidRPr="008C06A6" w:rsidRDefault="00DE32CC" w:rsidP="00DE32CC">
            <w:pPr>
              <w:pStyle w:val="BodyText"/>
              <w:spacing w:before="100" w:after="100"/>
            </w:pPr>
            <w:r w:rsidRPr="008C06A6">
              <w:t>(includes calls to national fixed or mobile services that then divert/switch or re-route overseas)</w:t>
            </w:r>
          </w:p>
        </w:tc>
        <w:tc>
          <w:tcPr>
            <w:tcW w:w="2657" w:type="dxa"/>
            <w:vAlign w:val="center"/>
          </w:tcPr>
          <w:p w14:paraId="30EF2A93" w14:textId="77777777" w:rsidR="00DE32CC" w:rsidRPr="008C06A6" w:rsidRDefault="00DE32CC" w:rsidP="00DE32CC">
            <w:pPr>
              <w:pStyle w:val="BodyText"/>
              <w:spacing w:before="100" w:after="100"/>
              <w:jc w:val="center"/>
            </w:pPr>
            <w:r w:rsidRPr="008C06A6">
              <w:t>No</w:t>
            </w:r>
          </w:p>
        </w:tc>
        <w:tc>
          <w:tcPr>
            <w:tcW w:w="2658" w:type="dxa"/>
            <w:vAlign w:val="center"/>
          </w:tcPr>
          <w:p w14:paraId="62410891" w14:textId="77777777" w:rsidR="00DE32CC" w:rsidRPr="008C06A6" w:rsidRDefault="00DE32CC" w:rsidP="00DE32CC">
            <w:pPr>
              <w:pStyle w:val="BodyText"/>
              <w:spacing w:before="100" w:after="100"/>
              <w:jc w:val="center"/>
            </w:pPr>
            <w:r w:rsidRPr="008C06A6">
              <w:t>No</w:t>
            </w:r>
          </w:p>
        </w:tc>
      </w:tr>
      <w:tr w:rsidR="00DE32CC" w:rsidRPr="008C06A6" w14:paraId="1BC07C9B" w14:textId="77777777" w:rsidTr="00DE32CC">
        <w:trPr>
          <w:trHeight w:val="247"/>
        </w:trPr>
        <w:tc>
          <w:tcPr>
            <w:tcW w:w="4225" w:type="dxa"/>
          </w:tcPr>
          <w:p w14:paraId="3954BD7A" w14:textId="77777777" w:rsidR="00DE32CC" w:rsidRPr="008C06A6" w:rsidRDefault="00DE32CC" w:rsidP="00DE32CC">
            <w:pPr>
              <w:pStyle w:val="BodyText"/>
              <w:spacing w:before="100" w:after="100"/>
            </w:pPr>
            <w:r w:rsidRPr="008C06A6">
              <w:t>Standard National SMS</w:t>
            </w:r>
          </w:p>
        </w:tc>
        <w:tc>
          <w:tcPr>
            <w:tcW w:w="2657" w:type="dxa"/>
            <w:vAlign w:val="center"/>
          </w:tcPr>
          <w:p w14:paraId="02F5D3B5" w14:textId="77777777" w:rsidR="00DE32CC" w:rsidRPr="008C06A6" w:rsidRDefault="00DE32CC" w:rsidP="00DE32CC">
            <w:pPr>
              <w:pStyle w:val="BodyText"/>
              <w:spacing w:before="100" w:after="100"/>
              <w:jc w:val="center"/>
            </w:pPr>
            <w:r w:rsidRPr="008C06A6">
              <w:t>Yes</w:t>
            </w:r>
          </w:p>
        </w:tc>
        <w:tc>
          <w:tcPr>
            <w:tcW w:w="2658" w:type="dxa"/>
            <w:vAlign w:val="center"/>
          </w:tcPr>
          <w:p w14:paraId="2BC766D3" w14:textId="77777777" w:rsidR="00DE32CC" w:rsidRPr="008C06A6" w:rsidRDefault="00DE32CC" w:rsidP="00DE32CC">
            <w:pPr>
              <w:pStyle w:val="BodyText"/>
              <w:spacing w:before="100" w:after="100"/>
              <w:jc w:val="center"/>
            </w:pPr>
            <w:r w:rsidRPr="008C06A6">
              <w:t>Yes</w:t>
            </w:r>
          </w:p>
        </w:tc>
      </w:tr>
      <w:tr w:rsidR="00DE32CC" w:rsidRPr="008C06A6" w14:paraId="26F3EF1C" w14:textId="77777777" w:rsidTr="00DE32CC">
        <w:trPr>
          <w:trHeight w:val="247"/>
        </w:trPr>
        <w:tc>
          <w:tcPr>
            <w:tcW w:w="4225" w:type="dxa"/>
          </w:tcPr>
          <w:p w14:paraId="42790985" w14:textId="77777777" w:rsidR="00DE32CC" w:rsidRPr="008C06A6" w:rsidRDefault="00DE32CC" w:rsidP="00DE32CC">
            <w:pPr>
              <w:pStyle w:val="BodyText"/>
              <w:spacing w:before="100" w:after="100"/>
            </w:pPr>
            <w:r w:rsidRPr="008C06A6">
              <w:t>International SMS</w:t>
            </w:r>
          </w:p>
        </w:tc>
        <w:tc>
          <w:tcPr>
            <w:tcW w:w="2657" w:type="dxa"/>
            <w:vAlign w:val="center"/>
          </w:tcPr>
          <w:p w14:paraId="386F0A89" w14:textId="77777777" w:rsidR="00DE32CC" w:rsidRPr="008C06A6" w:rsidRDefault="00DE32CC" w:rsidP="00DE32CC">
            <w:pPr>
              <w:pStyle w:val="BodyText"/>
              <w:spacing w:before="100" w:after="100"/>
              <w:jc w:val="center"/>
            </w:pPr>
            <w:r w:rsidRPr="008C06A6">
              <w:t>No</w:t>
            </w:r>
          </w:p>
        </w:tc>
        <w:tc>
          <w:tcPr>
            <w:tcW w:w="2658" w:type="dxa"/>
            <w:vAlign w:val="center"/>
          </w:tcPr>
          <w:p w14:paraId="16F3EDBB" w14:textId="77777777" w:rsidR="00DE32CC" w:rsidRPr="008C06A6" w:rsidRDefault="00DE32CC" w:rsidP="00DE32CC">
            <w:pPr>
              <w:pStyle w:val="BodyText"/>
              <w:spacing w:before="100" w:after="100"/>
              <w:jc w:val="center"/>
            </w:pPr>
            <w:r w:rsidRPr="008C06A6">
              <w:t>No</w:t>
            </w:r>
          </w:p>
        </w:tc>
      </w:tr>
      <w:tr w:rsidR="00DE32CC" w:rsidRPr="008C06A6" w14:paraId="4B4D8BD2" w14:textId="77777777" w:rsidTr="00DE32CC">
        <w:trPr>
          <w:trHeight w:val="247"/>
        </w:trPr>
        <w:tc>
          <w:tcPr>
            <w:tcW w:w="4225" w:type="dxa"/>
          </w:tcPr>
          <w:p w14:paraId="7728C648" w14:textId="77777777" w:rsidR="00DE32CC" w:rsidRPr="008C06A6" w:rsidRDefault="00DE32CC" w:rsidP="00DE32CC">
            <w:pPr>
              <w:pStyle w:val="BodyText"/>
              <w:spacing w:before="100" w:after="100"/>
            </w:pPr>
            <w:r w:rsidRPr="008C06A6">
              <w:t>Standard National MMS</w:t>
            </w:r>
          </w:p>
        </w:tc>
        <w:tc>
          <w:tcPr>
            <w:tcW w:w="2657" w:type="dxa"/>
            <w:vAlign w:val="center"/>
          </w:tcPr>
          <w:p w14:paraId="724BB270" w14:textId="77777777" w:rsidR="00DE32CC" w:rsidRPr="008C06A6" w:rsidRDefault="00DE32CC" w:rsidP="00DE32CC">
            <w:pPr>
              <w:pStyle w:val="BodyText"/>
              <w:spacing w:before="100" w:after="100"/>
              <w:jc w:val="center"/>
            </w:pPr>
            <w:r w:rsidRPr="008C06A6">
              <w:t>Yes</w:t>
            </w:r>
          </w:p>
        </w:tc>
        <w:tc>
          <w:tcPr>
            <w:tcW w:w="2658" w:type="dxa"/>
            <w:vAlign w:val="center"/>
          </w:tcPr>
          <w:p w14:paraId="5D095D4F" w14:textId="77777777" w:rsidR="00DE32CC" w:rsidRPr="008C06A6" w:rsidRDefault="00DE32CC" w:rsidP="00DE32CC">
            <w:pPr>
              <w:pStyle w:val="BodyText"/>
              <w:spacing w:before="100" w:after="100"/>
              <w:jc w:val="center"/>
            </w:pPr>
            <w:r w:rsidRPr="008C06A6">
              <w:t>Yes</w:t>
            </w:r>
          </w:p>
        </w:tc>
      </w:tr>
      <w:tr w:rsidR="00DE32CC" w:rsidRPr="008C06A6" w14:paraId="7E0B3444" w14:textId="77777777" w:rsidTr="00DE32CC">
        <w:trPr>
          <w:trHeight w:val="247"/>
        </w:trPr>
        <w:tc>
          <w:tcPr>
            <w:tcW w:w="4225" w:type="dxa"/>
          </w:tcPr>
          <w:p w14:paraId="78F9D53F" w14:textId="77777777" w:rsidR="00DE32CC" w:rsidRPr="008C06A6" w:rsidRDefault="00DE32CC" w:rsidP="00DE32CC">
            <w:pPr>
              <w:pStyle w:val="BodyText"/>
              <w:spacing w:before="100" w:after="100"/>
            </w:pPr>
            <w:r w:rsidRPr="008C06A6">
              <w:t>International MMS</w:t>
            </w:r>
          </w:p>
        </w:tc>
        <w:tc>
          <w:tcPr>
            <w:tcW w:w="2657" w:type="dxa"/>
            <w:vAlign w:val="center"/>
          </w:tcPr>
          <w:p w14:paraId="2376C98D" w14:textId="77777777" w:rsidR="00DE32CC" w:rsidRPr="008C06A6" w:rsidRDefault="00DE32CC" w:rsidP="00DE32CC">
            <w:pPr>
              <w:pStyle w:val="BodyText"/>
              <w:spacing w:before="100" w:after="100"/>
              <w:jc w:val="center"/>
            </w:pPr>
            <w:r w:rsidRPr="008C06A6">
              <w:t>No</w:t>
            </w:r>
          </w:p>
        </w:tc>
        <w:tc>
          <w:tcPr>
            <w:tcW w:w="2658" w:type="dxa"/>
            <w:vAlign w:val="center"/>
          </w:tcPr>
          <w:p w14:paraId="1F1EDCD9" w14:textId="77777777" w:rsidR="00DE32CC" w:rsidRPr="008C06A6" w:rsidRDefault="00DE32CC" w:rsidP="00DE32CC">
            <w:pPr>
              <w:pStyle w:val="BodyText"/>
              <w:spacing w:before="100" w:after="100"/>
              <w:jc w:val="center"/>
            </w:pPr>
            <w:r w:rsidRPr="008C06A6">
              <w:t>No</w:t>
            </w:r>
          </w:p>
        </w:tc>
      </w:tr>
      <w:tr w:rsidR="00DE32CC" w:rsidRPr="008C06A6" w14:paraId="0E8257AF" w14:textId="77777777" w:rsidTr="00DE32CC">
        <w:trPr>
          <w:trHeight w:val="247"/>
        </w:trPr>
        <w:tc>
          <w:tcPr>
            <w:tcW w:w="4225" w:type="dxa"/>
          </w:tcPr>
          <w:p w14:paraId="0EE100D4" w14:textId="77777777" w:rsidR="00DE32CC" w:rsidRPr="008C06A6" w:rsidRDefault="00DE32CC" w:rsidP="00DE32CC">
            <w:pPr>
              <w:pStyle w:val="BodyText"/>
              <w:spacing w:before="100" w:after="100"/>
            </w:pPr>
            <w:r w:rsidRPr="008C06A6">
              <w:t>National Diversions</w:t>
            </w:r>
          </w:p>
        </w:tc>
        <w:tc>
          <w:tcPr>
            <w:tcW w:w="2657" w:type="dxa"/>
            <w:vAlign w:val="center"/>
          </w:tcPr>
          <w:p w14:paraId="68E97CAF" w14:textId="77777777" w:rsidR="00DE32CC" w:rsidRPr="008C06A6" w:rsidRDefault="00DE32CC" w:rsidP="00DE32CC">
            <w:pPr>
              <w:pStyle w:val="BodyText"/>
              <w:spacing w:before="100" w:after="100"/>
              <w:jc w:val="center"/>
            </w:pPr>
            <w:r w:rsidRPr="008C06A6">
              <w:t>Yes</w:t>
            </w:r>
          </w:p>
        </w:tc>
        <w:tc>
          <w:tcPr>
            <w:tcW w:w="2658" w:type="dxa"/>
            <w:vAlign w:val="center"/>
          </w:tcPr>
          <w:p w14:paraId="60614434" w14:textId="77777777" w:rsidR="00DE32CC" w:rsidRPr="008C06A6" w:rsidRDefault="00DE32CC" w:rsidP="00DE32CC">
            <w:pPr>
              <w:pStyle w:val="BodyText"/>
              <w:spacing w:before="100" w:after="100"/>
              <w:jc w:val="center"/>
            </w:pPr>
            <w:r w:rsidRPr="008C06A6">
              <w:t>Yes</w:t>
            </w:r>
          </w:p>
        </w:tc>
      </w:tr>
      <w:tr w:rsidR="00DE32CC" w:rsidRPr="008C06A6" w14:paraId="0A863534" w14:textId="77777777" w:rsidTr="00DE32CC">
        <w:trPr>
          <w:trHeight w:val="53"/>
        </w:trPr>
        <w:tc>
          <w:tcPr>
            <w:tcW w:w="4225" w:type="dxa"/>
          </w:tcPr>
          <w:p w14:paraId="396A916B" w14:textId="77777777" w:rsidR="00DE32CC" w:rsidRPr="008C06A6" w:rsidRDefault="00DE32CC" w:rsidP="00DE32CC">
            <w:pPr>
              <w:pStyle w:val="BodyText"/>
              <w:spacing w:before="100" w:after="100"/>
            </w:pPr>
            <w:r w:rsidRPr="008C06A6">
              <w:t>Voicemail Diversions</w:t>
            </w:r>
          </w:p>
        </w:tc>
        <w:tc>
          <w:tcPr>
            <w:tcW w:w="2657" w:type="dxa"/>
            <w:vAlign w:val="center"/>
          </w:tcPr>
          <w:p w14:paraId="48597C3B" w14:textId="77777777" w:rsidR="00DE32CC" w:rsidRPr="008C06A6" w:rsidRDefault="00DE32CC" w:rsidP="00DE32CC">
            <w:pPr>
              <w:pStyle w:val="BodyText"/>
              <w:spacing w:before="100" w:after="100"/>
              <w:jc w:val="center"/>
            </w:pPr>
            <w:r w:rsidRPr="008C06A6">
              <w:t>Yes</w:t>
            </w:r>
          </w:p>
        </w:tc>
        <w:tc>
          <w:tcPr>
            <w:tcW w:w="2658" w:type="dxa"/>
            <w:vAlign w:val="center"/>
          </w:tcPr>
          <w:p w14:paraId="2BFFAC6A" w14:textId="77777777" w:rsidR="00DE32CC" w:rsidRPr="008C06A6" w:rsidRDefault="00DE32CC" w:rsidP="00DE32CC">
            <w:pPr>
              <w:pStyle w:val="BodyText"/>
              <w:spacing w:before="100" w:after="100"/>
              <w:jc w:val="center"/>
            </w:pPr>
            <w:r w:rsidRPr="008C06A6">
              <w:t>Yes</w:t>
            </w:r>
          </w:p>
        </w:tc>
      </w:tr>
      <w:tr w:rsidR="00DE32CC" w:rsidRPr="008C06A6" w14:paraId="31D0C8DD" w14:textId="77777777" w:rsidTr="00DE32CC">
        <w:trPr>
          <w:trHeight w:val="53"/>
        </w:trPr>
        <w:tc>
          <w:tcPr>
            <w:tcW w:w="4225" w:type="dxa"/>
          </w:tcPr>
          <w:p w14:paraId="59B3C56F" w14:textId="77777777" w:rsidR="00DE32CC" w:rsidRPr="008C06A6" w:rsidRDefault="00DE32CC" w:rsidP="00DE32CC">
            <w:pPr>
              <w:pStyle w:val="BodyText"/>
              <w:spacing w:before="100" w:after="100"/>
            </w:pPr>
            <w:r w:rsidRPr="008C06A6">
              <w:t>Voicemail Deposit and Retrievals</w:t>
            </w:r>
          </w:p>
        </w:tc>
        <w:tc>
          <w:tcPr>
            <w:tcW w:w="2657" w:type="dxa"/>
            <w:vAlign w:val="center"/>
          </w:tcPr>
          <w:p w14:paraId="60AA2058" w14:textId="77777777" w:rsidR="00DE32CC" w:rsidRPr="008C06A6" w:rsidRDefault="00DE32CC" w:rsidP="00DE32CC">
            <w:pPr>
              <w:pStyle w:val="BodyText"/>
              <w:spacing w:before="100" w:after="100"/>
              <w:jc w:val="center"/>
            </w:pPr>
            <w:r w:rsidRPr="008C06A6">
              <w:t>Yes</w:t>
            </w:r>
          </w:p>
        </w:tc>
        <w:tc>
          <w:tcPr>
            <w:tcW w:w="2658" w:type="dxa"/>
            <w:vAlign w:val="center"/>
          </w:tcPr>
          <w:p w14:paraId="79A7B4D2" w14:textId="77777777" w:rsidR="00DE32CC" w:rsidRPr="008C06A6" w:rsidRDefault="00DE32CC" w:rsidP="00DE32CC">
            <w:pPr>
              <w:pStyle w:val="BodyText"/>
              <w:spacing w:before="100" w:after="100"/>
              <w:jc w:val="center"/>
            </w:pPr>
            <w:r w:rsidRPr="008C06A6">
              <w:t>Yes</w:t>
            </w:r>
          </w:p>
        </w:tc>
      </w:tr>
      <w:tr w:rsidR="00DE32CC" w:rsidRPr="008C06A6" w14:paraId="2DFEE918" w14:textId="77777777" w:rsidTr="00DE32CC">
        <w:trPr>
          <w:trHeight w:val="247"/>
        </w:trPr>
        <w:tc>
          <w:tcPr>
            <w:tcW w:w="4225" w:type="dxa"/>
          </w:tcPr>
          <w:p w14:paraId="31B68168" w14:textId="77777777" w:rsidR="00DE32CC" w:rsidRPr="008C06A6" w:rsidRDefault="00DE32CC" w:rsidP="00DE32CC">
            <w:pPr>
              <w:pStyle w:val="BodyText"/>
              <w:spacing w:before="100" w:after="100"/>
            </w:pPr>
            <w:r w:rsidRPr="008C06A6">
              <w:t>International Roaming and Diversion</w:t>
            </w:r>
          </w:p>
        </w:tc>
        <w:tc>
          <w:tcPr>
            <w:tcW w:w="2657" w:type="dxa"/>
            <w:vAlign w:val="center"/>
          </w:tcPr>
          <w:p w14:paraId="418F3252" w14:textId="77777777" w:rsidR="00DE32CC" w:rsidRPr="008C06A6" w:rsidRDefault="00DE32CC" w:rsidP="00DE32CC">
            <w:pPr>
              <w:pStyle w:val="BodyText"/>
              <w:spacing w:before="100" w:after="100"/>
              <w:jc w:val="center"/>
            </w:pPr>
            <w:r w:rsidRPr="008C06A6">
              <w:t>No</w:t>
            </w:r>
          </w:p>
        </w:tc>
        <w:tc>
          <w:tcPr>
            <w:tcW w:w="2658" w:type="dxa"/>
            <w:vAlign w:val="center"/>
          </w:tcPr>
          <w:p w14:paraId="2D8A4ED4" w14:textId="77777777" w:rsidR="00DE32CC" w:rsidRPr="008C06A6" w:rsidRDefault="00DE32CC" w:rsidP="00DE32CC">
            <w:pPr>
              <w:pStyle w:val="BodyText"/>
              <w:spacing w:before="100" w:after="100"/>
              <w:jc w:val="center"/>
            </w:pPr>
            <w:r w:rsidRPr="008C06A6">
              <w:t>No</w:t>
            </w:r>
          </w:p>
        </w:tc>
      </w:tr>
      <w:tr w:rsidR="00DE32CC" w:rsidRPr="008C06A6" w14:paraId="423A3D90" w14:textId="77777777" w:rsidTr="00DE32CC">
        <w:trPr>
          <w:trHeight w:val="247"/>
        </w:trPr>
        <w:tc>
          <w:tcPr>
            <w:tcW w:w="4225" w:type="dxa"/>
          </w:tcPr>
          <w:p w14:paraId="2740FB89" w14:textId="77777777" w:rsidR="00DE32CC" w:rsidRPr="008C06A6" w:rsidRDefault="00DE32CC" w:rsidP="00DE32CC">
            <w:pPr>
              <w:pStyle w:val="BodyText"/>
              <w:spacing w:before="100" w:after="100"/>
            </w:pPr>
            <w:r w:rsidRPr="008C06A6">
              <w:t>Premium SMS</w:t>
            </w:r>
          </w:p>
        </w:tc>
        <w:tc>
          <w:tcPr>
            <w:tcW w:w="2657" w:type="dxa"/>
            <w:vAlign w:val="center"/>
          </w:tcPr>
          <w:p w14:paraId="02FE8AFE" w14:textId="77777777" w:rsidR="00DE32CC" w:rsidRPr="008C06A6" w:rsidRDefault="00DE32CC" w:rsidP="00DE32CC">
            <w:pPr>
              <w:pStyle w:val="BodyText"/>
              <w:spacing w:before="100" w:after="100"/>
              <w:jc w:val="center"/>
            </w:pPr>
            <w:r w:rsidRPr="008C06A6">
              <w:t>No</w:t>
            </w:r>
          </w:p>
        </w:tc>
        <w:tc>
          <w:tcPr>
            <w:tcW w:w="2658" w:type="dxa"/>
            <w:vAlign w:val="center"/>
          </w:tcPr>
          <w:p w14:paraId="7A26EC0A" w14:textId="77777777" w:rsidR="00DE32CC" w:rsidRPr="008C06A6" w:rsidRDefault="00DE32CC" w:rsidP="00DE32CC">
            <w:pPr>
              <w:pStyle w:val="BodyText"/>
              <w:spacing w:before="100" w:after="100"/>
              <w:jc w:val="center"/>
            </w:pPr>
            <w:r w:rsidRPr="008C06A6">
              <w:t>No</w:t>
            </w:r>
          </w:p>
        </w:tc>
      </w:tr>
      <w:tr w:rsidR="00DE32CC" w:rsidRPr="008C06A6" w14:paraId="25F61A5A" w14:textId="77777777" w:rsidTr="00DE32CC">
        <w:trPr>
          <w:trHeight w:val="247"/>
        </w:trPr>
        <w:tc>
          <w:tcPr>
            <w:tcW w:w="4225" w:type="dxa"/>
          </w:tcPr>
          <w:p w14:paraId="4F588684" w14:textId="77777777" w:rsidR="00DE32CC" w:rsidRPr="008C06A6" w:rsidRDefault="00DE32CC" w:rsidP="00DE32CC">
            <w:pPr>
              <w:pStyle w:val="BodyText"/>
              <w:spacing w:before="100" w:after="100"/>
            </w:pPr>
            <w:r w:rsidRPr="008C06A6">
              <w:t>Premium Video</w:t>
            </w:r>
          </w:p>
        </w:tc>
        <w:tc>
          <w:tcPr>
            <w:tcW w:w="2657" w:type="dxa"/>
            <w:vAlign w:val="center"/>
          </w:tcPr>
          <w:p w14:paraId="122D618E" w14:textId="77777777" w:rsidR="00DE32CC" w:rsidRPr="008C06A6" w:rsidRDefault="00DE32CC" w:rsidP="00DE32CC">
            <w:pPr>
              <w:pStyle w:val="BodyText"/>
              <w:spacing w:before="100" w:after="100"/>
              <w:jc w:val="center"/>
            </w:pPr>
            <w:r w:rsidRPr="008C06A6">
              <w:t>No</w:t>
            </w:r>
          </w:p>
        </w:tc>
        <w:tc>
          <w:tcPr>
            <w:tcW w:w="2658" w:type="dxa"/>
            <w:vAlign w:val="center"/>
          </w:tcPr>
          <w:p w14:paraId="720431C4" w14:textId="77777777" w:rsidR="00DE32CC" w:rsidRPr="008C06A6" w:rsidRDefault="00DE32CC" w:rsidP="00DE32CC">
            <w:pPr>
              <w:pStyle w:val="BodyText"/>
              <w:spacing w:before="100" w:after="100"/>
              <w:jc w:val="center"/>
            </w:pPr>
            <w:r w:rsidRPr="008C06A6">
              <w:t>No</w:t>
            </w:r>
          </w:p>
        </w:tc>
      </w:tr>
      <w:tr w:rsidR="00DE32CC" w:rsidRPr="008C06A6" w14:paraId="746007D2" w14:textId="77777777" w:rsidTr="00DE32CC">
        <w:trPr>
          <w:trHeight w:val="247"/>
        </w:trPr>
        <w:tc>
          <w:tcPr>
            <w:tcW w:w="4225" w:type="dxa"/>
          </w:tcPr>
          <w:p w14:paraId="6D5DA2C5" w14:textId="77777777" w:rsidR="00DE32CC" w:rsidRPr="008C06A6" w:rsidRDefault="00DE32CC" w:rsidP="00DE32CC">
            <w:pPr>
              <w:pStyle w:val="BodyText"/>
              <w:spacing w:before="100" w:after="100"/>
            </w:pPr>
            <w:r w:rsidRPr="008C06A6">
              <w:t>Video Conferencing</w:t>
            </w:r>
          </w:p>
        </w:tc>
        <w:tc>
          <w:tcPr>
            <w:tcW w:w="2657" w:type="dxa"/>
            <w:vAlign w:val="center"/>
          </w:tcPr>
          <w:p w14:paraId="3C3A429F" w14:textId="77777777" w:rsidR="00DE32CC" w:rsidRPr="008C06A6" w:rsidRDefault="00DE32CC" w:rsidP="00DE32CC">
            <w:pPr>
              <w:pStyle w:val="BodyText"/>
              <w:spacing w:before="100" w:after="100"/>
              <w:jc w:val="center"/>
            </w:pPr>
            <w:r w:rsidRPr="008C06A6">
              <w:t>No</w:t>
            </w:r>
          </w:p>
        </w:tc>
        <w:tc>
          <w:tcPr>
            <w:tcW w:w="2658" w:type="dxa"/>
            <w:vAlign w:val="center"/>
          </w:tcPr>
          <w:p w14:paraId="221AACB3" w14:textId="77777777" w:rsidR="00DE32CC" w:rsidRPr="008C06A6" w:rsidRDefault="00DE32CC" w:rsidP="00DE32CC">
            <w:pPr>
              <w:pStyle w:val="BodyText"/>
              <w:spacing w:before="100" w:after="100"/>
              <w:jc w:val="center"/>
            </w:pPr>
            <w:r w:rsidRPr="008C06A6">
              <w:t>No</w:t>
            </w:r>
          </w:p>
        </w:tc>
      </w:tr>
      <w:tr w:rsidR="00DE32CC" w:rsidRPr="008C06A6" w14:paraId="313A661B" w14:textId="77777777" w:rsidTr="00DE32CC">
        <w:trPr>
          <w:trHeight w:val="53"/>
        </w:trPr>
        <w:tc>
          <w:tcPr>
            <w:tcW w:w="4225" w:type="dxa"/>
          </w:tcPr>
          <w:p w14:paraId="2318F75B" w14:textId="77777777" w:rsidR="00DE32CC" w:rsidRPr="008C06A6" w:rsidRDefault="00DE32CC" w:rsidP="00DE32CC">
            <w:pPr>
              <w:pStyle w:val="BodyText"/>
              <w:spacing w:before="100" w:after="100"/>
            </w:pPr>
            <w:r w:rsidRPr="008C06A6">
              <w:t>Mobile Internet usage</w:t>
            </w:r>
          </w:p>
        </w:tc>
        <w:tc>
          <w:tcPr>
            <w:tcW w:w="2657" w:type="dxa"/>
            <w:vAlign w:val="center"/>
          </w:tcPr>
          <w:p w14:paraId="0FD61F79" w14:textId="77777777" w:rsidR="00DE32CC" w:rsidRPr="008C06A6" w:rsidRDefault="00DE32CC" w:rsidP="00DE32CC">
            <w:pPr>
              <w:pStyle w:val="BodyText"/>
              <w:spacing w:before="100" w:after="100"/>
              <w:jc w:val="center"/>
            </w:pPr>
            <w:r w:rsidRPr="008C06A6">
              <w:t>No</w:t>
            </w:r>
          </w:p>
        </w:tc>
        <w:tc>
          <w:tcPr>
            <w:tcW w:w="2658" w:type="dxa"/>
            <w:vAlign w:val="center"/>
          </w:tcPr>
          <w:p w14:paraId="24822E64" w14:textId="77777777" w:rsidR="00DE32CC" w:rsidRPr="008C06A6" w:rsidRDefault="00DE32CC" w:rsidP="00DE32CC">
            <w:pPr>
              <w:pStyle w:val="BodyText"/>
              <w:spacing w:before="100" w:after="100"/>
              <w:jc w:val="center"/>
            </w:pPr>
            <w:r w:rsidRPr="008C06A6">
              <w:t>No</w:t>
            </w:r>
          </w:p>
        </w:tc>
      </w:tr>
      <w:tr w:rsidR="00DE32CC" w:rsidRPr="008C06A6" w14:paraId="5B3AAB5A" w14:textId="77777777" w:rsidTr="00DE32CC">
        <w:trPr>
          <w:trHeight w:val="53"/>
        </w:trPr>
        <w:tc>
          <w:tcPr>
            <w:tcW w:w="4225" w:type="dxa"/>
          </w:tcPr>
          <w:p w14:paraId="286BE0FE" w14:textId="77777777" w:rsidR="00DE32CC" w:rsidRPr="008C06A6" w:rsidRDefault="00DE32CC" w:rsidP="00DE32CC">
            <w:pPr>
              <w:pStyle w:val="BodyText"/>
              <w:spacing w:before="100" w:after="100"/>
            </w:pPr>
            <w:r w:rsidRPr="008C06A6">
              <w:t>Data Used while Roaming Internationally</w:t>
            </w:r>
          </w:p>
        </w:tc>
        <w:tc>
          <w:tcPr>
            <w:tcW w:w="2657" w:type="dxa"/>
            <w:vAlign w:val="center"/>
          </w:tcPr>
          <w:p w14:paraId="4DA3392E" w14:textId="77777777" w:rsidR="00DE32CC" w:rsidRPr="008C06A6" w:rsidRDefault="00DE32CC" w:rsidP="00DE32CC">
            <w:pPr>
              <w:pStyle w:val="BodyText"/>
              <w:spacing w:before="100" w:after="100"/>
              <w:jc w:val="center"/>
            </w:pPr>
            <w:r w:rsidRPr="008C06A6">
              <w:t>No</w:t>
            </w:r>
          </w:p>
        </w:tc>
        <w:tc>
          <w:tcPr>
            <w:tcW w:w="2658" w:type="dxa"/>
            <w:vAlign w:val="center"/>
          </w:tcPr>
          <w:p w14:paraId="09D56970" w14:textId="77777777" w:rsidR="00DE32CC" w:rsidRPr="008C06A6" w:rsidRDefault="00DE32CC" w:rsidP="00DE32CC">
            <w:pPr>
              <w:pStyle w:val="BodyText"/>
              <w:spacing w:before="100" w:after="100"/>
              <w:jc w:val="center"/>
            </w:pPr>
            <w:r w:rsidRPr="008C06A6">
              <w:t>No</w:t>
            </w:r>
          </w:p>
        </w:tc>
      </w:tr>
      <w:tr w:rsidR="00DE32CC" w:rsidRPr="008C06A6" w14:paraId="61BF120A" w14:textId="77777777" w:rsidTr="00DE32CC">
        <w:trPr>
          <w:trHeight w:val="53"/>
        </w:trPr>
        <w:tc>
          <w:tcPr>
            <w:tcW w:w="4225" w:type="dxa"/>
          </w:tcPr>
          <w:p w14:paraId="74CC8857" w14:textId="77777777" w:rsidR="00DE32CC" w:rsidRPr="008C06A6" w:rsidRDefault="00DE32CC" w:rsidP="00DE32CC">
            <w:pPr>
              <w:pStyle w:val="BodyText"/>
              <w:spacing w:before="100" w:after="100"/>
            </w:pPr>
            <w:r w:rsidRPr="008C06A6">
              <w:t>Content Packs (unless specified in promotions)</w:t>
            </w:r>
          </w:p>
        </w:tc>
        <w:tc>
          <w:tcPr>
            <w:tcW w:w="2657" w:type="dxa"/>
            <w:vAlign w:val="center"/>
          </w:tcPr>
          <w:p w14:paraId="659759FB" w14:textId="77777777" w:rsidR="00DE32CC" w:rsidRPr="008C06A6" w:rsidRDefault="00DE32CC" w:rsidP="00DE32CC">
            <w:pPr>
              <w:pStyle w:val="BodyText"/>
              <w:spacing w:before="100" w:after="100"/>
              <w:jc w:val="center"/>
            </w:pPr>
            <w:r w:rsidRPr="008C06A6">
              <w:t>No</w:t>
            </w:r>
          </w:p>
        </w:tc>
        <w:tc>
          <w:tcPr>
            <w:tcW w:w="2658" w:type="dxa"/>
            <w:vAlign w:val="center"/>
          </w:tcPr>
          <w:p w14:paraId="7A63CD12" w14:textId="77777777" w:rsidR="00DE32CC" w:rsidRPr="008C06A6" w:rsidRDefault="00DE32CC" w:rsidP="00DE32CC">
            <w:pPr>
              <w:pStyle w:val="BodyText"/>
              <w:spacing w:before="100" w:after="100"/>
              <w:jc w:val="center"/>
            </w:pPr>
            <w:r w:rsidRPr="008C06A6">
              <w:t>No</w:t>
            </w:r>
          </w:p>
        </w:tc>
      </w:tr>
      <w:tr w:rsidR="00DE32CC" w:rsidRPr="008C06A6" w14:paraId="1D45A6FE" w14:textId="77777777" w:rsidTr="00DE32CC">
        <w:trPr>
          <w:trHeight w:val="53"/>
        </w:trPr>
        <w:tc>
          <w:tcPr>
            <w:tcW w:w="4225" w:type="dxa"/>
          </w:tcPr>
          <w:p w14:paraId="7A23F60D" w14:textId="77777777" w:rsidR="00DE32CC" w:rsidRPr="008C06A6" w:rsidRDefault="00DE32CC" w:rsidP="00DE32CC">
            <w:pPr>
              <w:pStyle w:val="BodyText"/>
              <w:spacing w:before="100" w:after="100"/>
            </w:pPr>
            <w:r w:rsidRPr="008C06A6">
              <w:t>TrueLocal Usage</w:t>
            </w:r>
          </w:p>
        </w:tc>
        <w:tc>
          <w:tcPr>
            <w:tcW w:w="2657" w:type="dxa"/>
            <w:vAlign w:val="center"/>
          </w:tcPr>
          <w:p w14:paraId="50A34A8E" w14:textId="77777777" w:rsidR="00DE32CC" w:rsidRPr="008C06A6" w:rsidRDefault="00DE32CC" w:rsidP="00DE32CC">
            <w:pPr>
              <w:pStyle w:val="BodyText"/>
              <w:spacing w:before="100" w:after="100"/>
              <w:jc w:val="center"/>
            </w:pPr>
            <w:r w:rsidRPr="008C06A6">
              <w:t>No</w:t>
            </w:r>
          </w:p>
        </w:tc>
        <w:tc>
          <w:tcPr>
            <w:tcW w:w="2658" w:type="dxa"/>
            <w:vAlign w:val="center"/>
          </w:tcPr>
          <w:p w14:paraId="237010EA" w14:textId="77777777" w:rsidR="00DE32CC" w:rsidRPr="008C06A6" w:rsidRDefault="00DE32CC" w:rsidP="00DE32CC">
            <w:pPr>
              <w:pStyle w:val="BodyText"/>
              <w:spacing w:before="100" w:after="100"/>
              <w:jc w:val="center"/>
            </w:pPr>
            <w:r w:rsidRPr="008C06A6">
              <w:t>No</w:t>
            </w:r>
          </w:p>
        </w:tc>
      </w:tr>
      <w:tr w:rsidR="00DE32CC" w:rsidRPr="008C06A6" w14:paraId="57903813" w14:textId="77777777" w:rsidTr="00DE32CC">
        <w:trPr>
          <w:trHeight w:val="53"/>
        </w:trPr>
        <w:tc>
          <w:tcPr>
            <w:tcW w:w="4225" w:type="dxa"/>
          </w:tcPr>
          <w:p w14:paraId="14242AC7" w14:textId="77777777" w:rsidR="00DE32CC" w:rsidRPr="008C06A6" w:rsidRDefault="00DE32CC" w:rsidP="00DE32CC">
            <w:pPr>
              <w:pStyle w:val="BodyText"/>
              <w:spacing w:before="100" w:after="100"/>
            </w:pPr>
            <w:r w:rsidRPr="008C06A6">
              <w:lastRenderedPageBreak/>
              <w:t xml:space="preserve">Directory Assistance- 1223 </w:t>
            </w:r>
          </w:p>
        </w:tc>
        <w:tc>
          <w:tcPr>
            <w:tcW w:w="2657" w:type="dxa"/>
            <w:vAlign w:val="center"/>
          </w:tcPr>
          <w:p w14:paraId="4A89D93A" w14:textId="77777777" w:rsidR="00DE32CC" w:rsidRPr="008C06A6" w:rsidRDefault="00DE32CC" w:rsidP="00DE32CC">
            <w:pPr>
              <w:pStyle w:val="BodyText"/>
              <w:spacing w:before="100" w:after="100"/>
              <w:jc w:val="center"/>
            </w:pPr>
            <w:r w:rsidRPr="008C06A6">
              <w:t>No</w:t>
            </w:r>
          </w:p>
        </w:tc>
        <w:tc>
          <w:tcPr>
            <w:tcW w:w="2658" w:type="dxa"/>
            <w:vAlign w:val="center"/>
          </w:tcPr>
          <w:p w14:paraId="255F641B" w14:textId="77777777" w:rsidR="00DE32CC" w:rsidRPr="008C06A6" w:rsidRDefault="00DE32CC" w:rsidP="00DE32CC">
            <w:pPr>
              <w:pStyle w:val="BodyText"/>
              <w:spacing w:before="100" w:after="100"/>
              <w:jc w:val="center"/>
            </w:pPr>
            <w:r w:rsidRPr="008C06A6">
              <w:t>No</w:t>
            </w:r>
          </w:p>
        </w:tc>
      </w:tr>
      <w:tr w:rsidR="00DE32CC" w:rsidRPr="008C06A6" w14:paraId="30D37E79" w14:textId="77777777" w:rsidTr="00DE32CC">
        <w:trPr>
          <w:trHeight w:val="247"/>
        </w:trPr>
        <w:tc>
          <w:tcPr>
            <w:tcW w:w="4225" w:type="dxa"/>
          </w:tcPr>
          <w:p w14:paraId="52C409B1" w14:textId="77777777" w:rsidR="00DE32CC" w:rsidRPr="008C06A6" w:rsidRDefault="00DE32CC" w:rsidP="00DE32CC">
            <w:pPr>
              <w:pStyle w:val="BodyText"/>
              <w:spacing w:before="100" w:after="100"/>
            </w:pPr>
            <w:r w:rsidRPr="008C06A6">
              <w:t>19XX Numbers</w:t>
            </w:r>
          </w:p>
        </w:tc>
        <w:tc>
          <w:tcPr>
            <w:tcW w:w="2657" w:type="dxa"/>
            <w:vAlign w:val="center"/>
          </w:tcPr>
          <w:p w14:paraId="45B4AE81" w14:textId="77777777" w:rsidR="00DE32CC" w:rsidRPr="008C06A6" w:rsidRDefault="00DE32CC" w:rsidP="00DE32CC">
            <w:pPr>
              <w:pStyle w:val="BodyText"/>
              <w:spacing w:before="100" w:after="100"/>
              <w:jc w:val="center"/>
            </w:pPr>
            <w:r w:rsidRPr="008C06A6">
              <w:t>No</w:t>
            </w:r>
          </w:p>
        </w:tc>
        <w:tc>
          <w:tcPr>
            <w:tcW w:w="2658" w:type="dxa"/>
            <w:vAlign w:val="center"/>
          </w:tcPr>
          <w:p w14:paraId="3F977796" w14:textId="77777777" w:rsidR="00DE32CC" w:rsidRPr="008C06A6" w:rsidRDefault="00DE32CC" w:rsidP="00DE32CC">
            <w:pPr>
              <w:pStyle w:val="BodyText"/>
              <w:spacing w:before="100" w:after="100"/>
              <w:jc w:val="center"/>
            </w:pPr>
            <w:r w:rsidRPr="008C06A6">
              <w:t>No</w:t>
            </w:r>
          </w:p>
        </w:tc>
      </w:tr>
      <w:tr w:rsidR="00DE32CC" w:rsidRPr="008C06A6" w14:paraId="557A3C11" w14:textId="77777777" w:rsidTr="00DE32CC">
        <w:trPr>
          <w:trHeight w:val="247"/>
        </w:trPr>
        <w:tc>
          <w:tcPr>
            <w:tcW w:w="4225" w:type="dxa"/>
          </w:tcPr>
          <w:p w14:paraId="3CA7BEA6" w14:textId="77777777" w:rsidR="00DE32CC" w:rsidRPr="008C06A6" w:rsidRDefault="00DE32CC" w:rsidP="00DE32CC">
            <w:pPr>
              <w:pStyle w:val="BodyText"/>
              <w:spacing w:before="100" w:after="100"/>
            </w:pPr>
            <w:r w:rsidRPr="008C06A6">
              <w:t>1800, 13 and 1300 numbers</w:t>
            </w:r>
          </w:p>
        </w:tc>
        <w:tc>
          <w:tcPr>
            <w:tcW w:w="2657" w:type="dxa"/>
            <w:vAlign w:val="center"/>
          </w:tcPr>
          <w:p w14:paraId="0A49C637" w14:textId="77777777" w:rsidR="00DE32CC" w:rsidRPr="008C06A6" w:rsidRDefault="00DE32CC" w:rsidP="00DE32CC">
            <w:pPr>
              <w:pStyle w:val="BodyText"/>
              <w:spacing w:before="100" w:after="100"/>
              <w:jc w:val="center"/>
            </w:pPr>
            <w:r w:rsidRPr="008C06A6">
              <w:t>No</w:t>
            </w:r>
          </w:p>
        </w:tc>
        <w:tc>
          <w:tcPr>
            <w:tcW w:w="2658" w:type="dxa"/>
            <w:vAlign w:val="center"/>
          </w:tcPr>
          <w:p w14:paraId="4B45F2A3" w14:textId="77777777" w:rsidR="00DE32CC" w:rsidRPr="008C06A6" w:rsidRDefault="00DE32CC" w:rsidP="00DE32CC">
            <w:pPr>
              <w:pStyle w:val="BodyText"/>
              <w:spacing w:before="100" w:after="100"/>
              <w:jc w:val="center"/>
            </w:pPr>
            <w:r w:rsidRPr="008C06A6">
              <w:t>No</w:t>
            </w:r>
          </w:p>
        </w:tc>
      </w:tr>
      <w:tr w:rsidR="00DE32CC" w:rsidRPr="008C06A6" w14:paraId="59EEA85E" w14:textId="77777777" w:rsidTr="00DE32CC">
        <w:trPr>
          <w:trHeight w:val="247"/>
        </w:trPr>
        <w:tc>
          <w:tcPr>
            <w:tcW w:w="4225" w:type="dxa"/>
          </w:tcPr>
          <w:p w14:paraId="4D5F44BF" w14:textId="77777777" w:rsidR="00DE32CC" w:rsidRPr="008C06A6" w:rsidRDefault="00DE32CC" w:rsidP="00DE32CC">
            <w:pPr>
              <w:pStyle w:val="BodyText"/>
              <w:spacing w:before="100" w:after="100"/>
            </w:pPr>
            <w:r w:rsidRPr="008C06A6">
              <w:t>124YES(937)</w:t>
            </w:r>
          </w:p>
        </w:tc>
        <w:tc>
          <w:tcPr>
            <w:tcW w:w="2657" w:type="dxa"/>
            <w:vAlign w:val="center"/>
          </w:tcPr>
          <w:p w14:paraId="5ADD34CB" w14:textId="77777777" w:rsidR="00DE32CC" w:rsidRPr="008C06A6" w:rsidRDefault="00DE32CC" w:rsidP="00DE32CC">
            <w:pPr>
              <w:pStyle w:val="BodyText"/>
              <w:spacing w:before="100" w:after="100"/>
              <w:jc w:val="center"/>
            </w:pPr>
            <w:r w:rsidRPr="008C06A6">
              <w:t>No</w:t>
            </w:r>
          </w:p>
        </w:tc>
        <w:tc>
          <w:tcPr>
            <w:tcW w:w="2658" w:type="dxa"/>
            <w:vAlign w:val="center"/>
          </w:tcPr>
          <w:p w14:paraId="733F2EAD" w14:textId="77777777" w:rsidR="00DE32CC" w:rsidRPr="008C06A6" w:rsidRDefault="00DE32CC" w:rsidP="00DE32CC">
            <w:pPr>
              <w:pStyle w:val="BodyText"/>
              <w:spacing w:before="100" w:after="100"/>
              <w:jc w:val="center"/>
            </w:pPr>
            <w:r w:rsidRPr="008C06A6">
              <w:t>No</w:t>
            </w:r>
          </w:p>
        </w:tc>
      </w:tr>
      <w:tr w:rsidR="00DE32CC" w:rsidRPr="008C06A6" w14:paraId="0D1602EB" w14:textId="77777777" w:rsidTr="00DE32CC">
        <w:trPr>
          <w:trHeight w:val="247"/>
        </w:trPr>
        <w:tc>
          <w:tcPr>
            <w:tcW w:w="4225" w:type="dxa"/>
          </w:tcPr>
          <w:p w14:paraId="33BE125D" w14:textId="77777777" w:rsidR="00DE32CC" w:rsidRPr="008C06A6" w:rsidRDefault="00DE32CC" w:rsidP="00DE32CC">
            <w:pPr>
              <w:pStyle w:val="BodyText"/>
              <w:spacing w:before="100" w:after="100"/>
            </w:pPr>
            <w:r w:rsidRPr="008C06A6">
              <w:t>Optus Group Call</w:t>
            </w:r>
          </w:p>
        </w:tc>
        <w:tc>
          <w:tcPr>
            <w:tcW w:w="2657" w:type="dxa"/>
            <w:vAlign w:val="center"/>
          </w:tcPr>
          <w:p w14:paraId="1DD34910" w14:textId="77777777" w:rsidR="00DE32CC" w:rsidRPr="008C06A6" w:rsidRDefault="00DE32CC" w:rsidP="00DE32CC">
            <w:pPr>
              <w:pStyle w:val="BodyText"/>
              <w:spacing w:before="100" w:after="100"/>
              <w:jc w:val="center"/>
            </w:pPr>
            <w:r w:rsidRPr="008C06A6">
              <w:t>Yes</w:t>
            </w:r>
          </w:p>
        </w:tc>
        <w:tc>
          <w:tcPr>
            <w:tcW w:w="2658" w:type="dxa"/>
            <w:vAlign w:val="center"/>
          </w:tcPr>
          <w:p w14:paraId="4DA6A508" w14:textId="77777777" w:rsidR="00DE32CC" w:rsidRPr="008C06A6" w:rsidRDefault="00DE32CC" w:rsidP="00DE32CC">
            <w:pPr>
              <w:pStyle w:val="BodyText"/>
              <w:spacing w:before="100" w:after="100"/>
              <w:jc w:val="center"/>
            </w:pPr>
            <w:r w:rsidRPr="008C06A6">
              <w:t>Yes</w:t>
            </w:r>
          </w:p>
        </w:tc>
      </w:tr>
      <w:tr w:rsidR="00DE32CC" w:rsidRPr="008C06A6" w14:paraId="711A5D17" w14:textId="77777777" w:rsidTr="00DE32CC">
        <w:trPr>
          <w:trHeight w:val="262"/>
        </w:trPr>
        <w:tc>
          <w:tcPr>
            <w:tcW w:w="4225" w:type="dxa"/>
          </w:tcPr>
          <w:p w14:paraId="207AB123" w14:textId="77777777" w:rsidR="00DE32CC" w:rsidRPr="008C06A6" w:rsidRDefault="00DE32CC" w:rsidP="00DE32CC">
            <w:pPr>
              <w:pStyle w:val="BodyText"/>
              <w:spacing w:before="100" w:after="100"/>
            </w:pPr>
            <w:r w:rsidRPr="008C06A6">
              <w:t>Insurance</w:t>
            </w:r>
          </w:p>
        </w:tc>
        <w:tc>
          <w:tcPr>
            <w:tcW w:w="2657" w:type="dxa"/>
            <w:vAlign w:val="center"/>
          </w:tcPr>
          <w:p w14:paraId="1DEA554C" w14:textId="77777777" w:rsidR="00DE32CC" w:rsidRPr="008C06A6" w:rsidRDefault="00DE32CC" w:rsidP="00DE32CC">
            <w:pPr>
              <w:pStyle w:val="BodyText"/>
              <w:spacing w:before="100" w:after="100"/>
              <w:jc w:val="center"/>
            </w:pPr>
            <w:r w:rsidRPr="008C06A6">
              <w:t>No</w:t>
            </w:r>
          </w:p>
        </w:tc>
        <w:tc>
          <w:tcPr>
            <w:tcW w:w="2658" w:type="dxa"/>
            <w:vAlign w:val="center"/>
          </w:tcPr>
          <w:p w14:paraId="41D70652" w14:textId="77777777" w:rsidR="00DE32CC" w:rsidRPr="008C06A6" w:rsidRDefault="00DE32CC" w:rsidP="00DE32CC">
            <w:pPr>
              <w:pStyle w:val="BodyText"/>
              <w:spacing w:before="100" w:after="100"/>
              <w:jc w:val="center"/>
            </w:pPr>
            <w:r w:rsidRPr="008C06A6">
              <w:t>No</w:t>
            </w:r>
          </w:p>
        </w:tc>
      </w:tr>
      <w:tr w:rsidR="00DE32CC" w:rsidRPr="008C06A6" w14:paraId="0EAFDB7D" w14:textId="77777777" w:rsidTr="00DE32CC">
        <w:trPr>
          <w:trHeight w:val="262"/>
        </w:trPr>
        <w:tc>
          <w:tcPr>
            <w:tcW w:w="4225" w:type="dxa"/>
          </w:tcPr>
          <w:p w14:paraId="1B722B60" w14:textId="77777777" w:rsidR="00DE32CC" w:rsidRPr="008C06A6" w:rsidRDefault="00DE32CC" w:rsidP="00DE32CC">
            <w:pPr>
              <w:pStyle w:val="BodyText"/>
              <w:spacing w:before="100" w:after="100"/>
            </w:pPr>
            <w:r w:rsidRPr="008C06A6">
              <w:t>Handset Payments</w:t>
            </w:r>
          </w:p>
        </w:tc>
        <w:tc>
          <w:tcPr>
            <w:tcW w:w="2657" w:type="dxa"/>
            <w:vAlign w:val="center"/>
          </w:tcPr>
          <w:p w14:paraId="05F6CAA2" w14:textId="77777777" w:rsidR="00DE32CC" w:rsidRPr="008C06A6" w:rsidRDefault="00DE32CC" w:rsidP="00DE32CC">
            <w:pPr>
              <w:pStyle w:val="BodyText"/>
              <w:spacing w:before="100" w:after="100"/>
              <w:jc w:val="center"/>
            </w:pPr>
            <w:r w:rsidRPr="008C06A6">
              <w:t>No</w:t>
            </w:r>
          </w:p>
        </w:tc>
        <w:tc>
          <w:tcPr>
            <w:tcW w:w="2658" w:type="dxa"/>
            <w:vAlign w:val="center"/>
          </w:tcPr>
          <w:p w14:paraId="67C86AA3" w14:textId="77777777" w:rsidR="00DE32CC" w:rsidRPr="008C06A6" w:rsidRDefault="00DE32CC" w:rsidP="00DE32CC">
            <w:pPr>
              <w:pStyle w:val="BodyText"/>
              <w:spacing w:before="100" w:after="100"/>
              <w:jc w:val="center"/>
            </w:pPr>
            <w:r w:rsidRPr="008C06A6">
              <w:t>No</w:t>
            </w:r>
          </w:p>
        </w:tc>
      </w:tr>
      <w:tr w:rsidR="00DE32CC" w:rsidRPr="008C06A6" w14:paraId="2F0B09E7" w14:textId="77777777" w:rsidTr="00DE32CC">
        <w:trPr>
          <w:trHeight w:val="262"/>
        </w:trPr>
        <w:tc>
          <w:tcPr>
            <w:tcW w:w="4225" w:type="dxa"/>
          </w:tcPr>
          <w:p w14:paraId="0B840FF2" w14:textId="77777777" w:rsidR="00DE32CC" w:rsidRPr="008C06A6" w:rsidRDefault="00DE32CC" w:rsidP="00DE32CC">
            <w:pPr>
              <w:pStyle w:val="BodyText"/>
              <w:spacing w:before="100" w:after="100"/>
            </w:pPr>
            <w:r w:rsidRPr="008C06A6">
              <w:t>Calls to Satellite</w:t>
            </w:r>
          </w:p>
        </w:tc>
        <w:tc>
          <w:tcPr>
            <w:tcW w:w="2657" w:type="dxa"/>
            <w:vAlign w:val="center"/>
          </w:tcPr>
          <w:p w14:paraId="64647FF8" w14:textId="77777777" w:rsidR="00DE32CC" w:rsidRPr="008C06A6" w:rsidRDefault="00DE32CC" w:rsidP="00DE32CC">
            <w:pPr>
              <w:pStyle w:val="BodyText"/>
              <w:spacing w:before="100" w:after="100"/>
              <w:jc w:val="center"/>
            </w:pPr>
            <w:r w:rsidRPr="008C06A6">
              <w:t>No</w:t>
            </w:r>
          </w:p>
        </w:tc>
        <w:tc>
          <w:tcPr>
            <w:tcW w:w="2658" w:type="dxa"/>
            <w:vAlign w:val="center"/>
          </w:tcPr>
          <w:p w14:paraId="7E8E2AC0" w14:textId="77777777" w:rsidR="00DE32CC" w:rsidRPr="008C06A6" w:rsidRDefault="00DE32CC" w:rsidP="00DE32CC">
            <w:pPr>
              <w:pStyle w:val="BodyText"/>
              <w:spacing w:before="100" w:after="100"/>
              <w:jc w:val="center"/>
            </w:pPr>
            <w:r w:rsidRPr="008C06A6">
              <w:t>No</w:t>
            </w:r>
          </w:p>
        </w:tc>
      </w:tr>
      <w:tr w:rsidR="00DE32CC" w:rsidRPr="008C06A6" w14:paraId="00AB28B4" w14:textId="77777777" w:rsidTr="00DE32CC">
        <w:trPr>
          <w:trHeight w:val="262"/>
        </w:trPr>
        <w:tc>
          <w:tcPr>
            <w:tcW w:w="4225" w:type="dxa"/>
          </w:tcPr>
          <w:p w14:paraId="5587AA06" w14:textId="77777777" w:rsidR="00DE32CC" w:rsidRPr="008C06A6" w:rsidRDefault="00DE32CC" w:rsidP="00DE32CC">
            <w:pPr>
              <w:pStyle w:val="BodyText"/>
              <w:spacing w:before="100" w:after="100"/>
            </w:pPr>
            <w:r w:rsidRPr="008C06A6">
              <w:t>VOIP services</w:t>
            </w:r>
          </w:p>
        </w:tc>
        <w:tc>
          <w:tcPr>
            <w:tcW w:w="2657" w:type="dxa"/>
            <w:vAlign w:val="center"/>
          </w:tcPr>
          <w:p w14:paraId="5092907B" w14:textId="77777777" w:rsidR="00DE32CC" w:rsidRPr="008C06A6" w:rsidRDefault="00DE32CC" w:rsidP="00DE32CC">
            <w:pPr>
              <w:pStyle w:val="BodyText"/>
              <w:spacing w:before="100" w:after="100"/>
              <w:jc w:val="center"/>
            </w:pPr>
            <w:r w:rsidRPr="008C06A6">
              <w:t>No</w:t>
            </w:r>
          </w:p>
        </w:tc>
        <w:tc>
          <w:tcPr>
            <w:tcW w:w="2658" w:type="dxa"/>
            <w:vAlign w:val="center"/>
          </w:tcPr>
          <w:p w14:paraId="21BD9288" w14:textId="77777777" w:rsidR="00DE32CC" w:rsidRPr="008C06A6" w:rsidRDefault="00DE32CC" w:rsidP="00DE32CC">
            <w:pPr>
              <w:pStyle w:val="BodyText"/>
              <w:spacing w:before="100" w:after="100"/>
              <w:jc w:val="center"/>
            </w:pPr>
            <w:r w:rsidRPr="008C06A6">
              <w:t>No</w:t>
            </w:r>
          </w:p>
        </w:tc>
      </w:tr>
    </w:tbl>
    <w:p w14:paraId="414524D5" w14:textId="77777777" w:rsidR="00DE32CC" w:rsidRPr="00CA6614" w:rsidRDefault="00DE32CC" w:rsidP="00DE32CC">
      <w:pPr>
        <w:pStyle w:val="BodyText"/>
        <w:keepNext/>
        <w:spacing w:before="240"/>
        <w:ind w:left="720"/>
        <w:rPr>
          <w:b/>
        </w:rPr>
      </w:pPr>
      <w:r w:rsidRPr="00CA6614">
        <w:rPr>
          <w:b/>
        </w:rPr>
        <w:t>Table 2A – Eligible for the Included Mobile Internet Data</w:t>
      </w:r>
    </w:p>
    <w:tbl>
      <w:tblPr>
        <w:tblW w:w="8730" w:type="dxa"/>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0"/>
        <w:gridCol w:w="3060"/>
      </w:tblGrid>
      <w:tr w:rsidR="00DE32CC" w14:paraId="68BB74C1" w14:textId="77777777" w:rsidTr="00DE32CC">
        <w:trPr>
          <w:trHeight w:val="53"/>
          <w:tblHeader/>
        </w:trPr>
        <w:tc>
          <w:tcPr>
            <w:tcW w:w="5670" w:type="dxa"/>
          </w:tcPr>
          <w:p w14:paraId="14A2D600" w14:textId="77777777" w:rsidR="00DE32CC" w:rsidRPr="00C32103" w:rsidRDefault="00DE32CC" w:rsidP="00DE32CC">
            <w:pPr>
              <w:pStyle w:val="BodyText"/>
              <w:keepNext/>
              <w:spacing w:before="100" w:after="100"/>
              <w:jc w:val="center"/>
              <w:rPr>
                <w:b/>
              </w:rPr>
            </w:pPr>
            <w:r w:rsidRPr="00C32103">
              <w:rPr>
                <w:b/>
              </w:rPr>
              <w:t>Call Type</w:t>
            </w:r>
          </w:p>
        </w:tc>
        <w:tc>
          <w:tcPr>
            <w:tcW w:w="3060" w:type="dxa"/>
          </w:tcPr>
          <w:p w14:paraId="45F87C0A" w14:textId="77777777" w:rsidR="00DE32CC" w:rsidRPr="00C32103" w:rsidRDefault="00DE32CC" w:rsidP="00DE32CC">
            <w:pPr>
              <w:pStyle w:val="BodyText"/>
              <w:keepNext/>
              <w:spacing w:before="100" w:after="100"/>
              <w:jc w:val="center"/>
              <w:rPr>
                <w:b/>
              </w:rPr>
            </w:pPr>
            <w:r w:rsidRPr="00C32103">
              <w:rPr>
                <w:b/>
              </w:rPr>
              <w:t>Eligible Data</w:t>
            </w:r>
          </w:p>
        </w:tc>
      </w:tr>
      <w:tr w:rsidR="00DE32CC" w14:paraId="38A7A867" w14:textId="77777777" w:rsidTr="00DE32CC">
        <w:trPr>
          <w:trHeight w:val="247"/>
        </w:trPr>
        <w:tc>
          <w:tcPr>
            <w:tcW w:w="5670" w:type="dxa"/>
          </w:tcPr>
          <w:p w14:paraId="7A7B0A3E" w14:textId="77777777" w:rsidR="00DE32CC" w:rsidRDefault="00DE32CC" w:rsidP="00DE32CC">
            <w:pPr>
              <w:pStyle w:val="BodyText"/>
              <w:spacing w:before="100" w:after="100"/>
            </w:pPr>
            <w:r>
              <w:t>National Voice Calls</w:t>
            </w:r>
          </w:p>
        </w:tc>
        <w:tc>
          <w:tcPr>
            <w:tcW w:w="3060" w:type="dxa"/>
          </w:tcPr>
          <w:p w14:paraId="5D44EF92" w14:textId="77777777" w:rsidR="00DE32CC" w:rsidRDefault="00DE32CC" w:rsidP="00DE32CC">
            <w:pPr>
              <w:pStyle w:val="BodyText"/>
              <w:spacing w:before="100" w:after="100"/>
              <w:jc w:val="center"/>
            </w:pPr>
            <w:r>
              <w:t>No</w:t>
            </w:r>
          </w:p>
        </w:tc>
      </w:tr>
      <w:tr w:rsidR="00DE32CC" w14:paraId="6444B0C6" w14:textId="77777777" w:rsidTr="00DE32CC">
        <w:trPr>
          <w:trHeight w:val="247"/>
        </w:trPr>
        <w:tc>
          <w:tcPr>
            <w:tcW w:w="5670" w:type="dxa"/>
          </w:tcPr>
          <w:p w14:paraId="12F454A2" w14:textId="77777777" w:rsidR="00DE32CC" w:rsidRDefault="00DE32CC" w:rsidP="00DE32CC">
            <w:pPr>
              <w:pStyle w:val="BodyText"/>
              <w:spacing w:before="100" w:after="100"/>
            </w:pPr>
            <w:r>
              <w:t>National Video Calls</w:t>
            </w:r>
          </w:p>
        </w:tc>
        <w:tc>
          <w:tcPr>
            <w:tcW w:w="3060" w:type="dxa"/>
          </w:tcPr>
          <w:p w14:paraId="425F7CD4" w14:textId="77777777" w:rsidR="00DE32CC" w:rsidRDefault="00DE32CC" w:rsidP="00DE32CC">
            <w:pPr>
              <w:pStyle w:val="BodyText"/>
              <w:spacing w:before="100" w:after="100"/>
              <w:jc w:val="center"/>
            </w:pPr>
            <w:r>
              <w:t>No</w:t>
            </w:r>
          </w:p>
        </w:tc>
      </w:tr>
      <w:tr w:rsidR="00DE32CC" w14:paraId="79A45EA3" w14:textId="77777777" w:rsidTr="00DE32CC">
        <w:trPr>
          <w:trHeight w:val="247"/>
        </w:trPr>
        <w:tc>
          <w:tcPr>
            <w:tcW w:w="5670" w:type="dxa"/>
          </w:tcPr>
          <w:p w14:paraId="3A3E7B04" w14:textId="77777777" w:rsidR="00DE32CC" w:rsidRDefault="00DE32CC" w:rsidP="00DE32CC">
            <w:pPr>
              <w:pStyle w:val="BodyText"/>
              <w:spacing w:before="100" w:after="100"/>
            </w:pPr>
            <w:r>
              <w:t>International Voice Calls</w:t>
            </w:r>
          </w:p>
          <w:p w14:paraId="0A020F30" w14:textId="77777777" w:rsidR="00DE32CC" w:rsidRDefault="00DE32CC" w:rsidP="00DE32CC">
            <w:pPr>
              <w:pStyle w:val="BodyText"/>
              <w:spacing w:before="100" w:after="100"/>
            </w:pPr>
            <w:r>
              <w:rPr>
                <w:snapToGrid w:val="0"/>
              </w:rPr>
              <w:t>(includes calls to national fixed or mobile services that then divert/switch or re-route overseas)</w:t>
            </w:r>
          </w:p>
        </w:tc>
        <w:tc>
          <w:tcPr>
            <w:tcW w:w="3060" w:type="dxa"/>
          </w:tcPr>
          <w:p w14:paraId="0C0D69E6" w14:textId="77777777" w:rsidR="00DE32CC" w:rsidRDefault="00DE32CC" w:rsidP="00DE32CC">
            <w:pPr>
              <w:pStyle w:val="BodyText"/>
              <w:spacing w:before="100" w:after="100"/>
              <w:jc w:val="center"/>
            </w:pPr>
            <w:r>
              <w:t>No</w:t>
            </w:r>
          </w:p>
        </w:tc>
      </w:tr>
      <w:tr w:rsidR="00DE32CC" w14:paraId="4B775413" w14:textId="77777777" w:rsidTr="00DE32CC">
        <w:trPr>
          <w:trHeight w:val="247"/>
        </w:trPr>
        <w:tc>
          <w:tcPr>
            <w:tcW w:w="5670" w:type="dxa"/>
          </w:tcPr>
          <w:p w14:paraId="31CF9B5C" w14:textId="77777777" w:rsidR="00DE32CC" w:rsidRDefault="00DE32CC" w:rsidP="00DE32CC">
            <w:pPr>
              <w:pStyle w:val="BodyText"/>
              <w:spacing w:before="100" w:after="100"/>
            </w:pPr>
            <w:r>
              <w:t>International Video Calls</w:t>
            </w:r>
          </w:p>
          <w:p w14:paraId="0487F3EA" w14:textId="77777777" w:rsidR="00DE32CC" w:rsidRDefault="00DE32CC" w:rsidP="00DE32CC">
            <w:pPr>
              <w:pStyle w:val="BodyText"/>
              <w:spacing w:before="100" w:after="100"/>
            </w:pPr>
            <w:r>
              <w:rPr>
                <w:snapToGrid w:val="0"/>
              </w:rPr>
              <w:t>(includes calls to national fixed or mobile services that then divert/switch or re-route overseas)</w:t>
            </w:r>
          </w:p>
        </w:tc>
        <w:tc>
          <w:tcPr>
            <w:tcW w:w="3060" w:type="dxa"/>
          </w:tcPr>
          <w:p w14:paraId="6EA5032A" w14:textId="77777777" w:rsidR="00DE32CC" w:rsidRDefault="00DE32CC" w:rsidP="00DE32CC">
            <w:pPr>
              <w:pStyle w:val="BodyText"/>
              <w:spacing w:before="100" w:after="100"/>
              <w:jc w:val="center"/>
            </w:pPr>
            <w:r>
              <w:t>No</w:t>
            </w:r>
          </w:p>
        </w:tc>
      </w:tr>
      <w:tr w:rsidR="00DE32CC" w14:paraId="38BA9ADD" w14:textId="77777777" w:rsidTr="00DE32CC">
        <w:trPr>
          <w:trHeight w:val="247"/>
        </w:trPr>
        <w:tc>
          <w:tcPr>
            <w:tcW w:w="5670" w:type="dxa"/>
          </w:tcPr>
          <w:p w14:paraId="3BE13372" w14:textId="77777777" w:rsidR="00DE32CC" w:rsidRDefault="00DE32CC" w:rsidP="00DE32CC">
            <w:pPr>
              <w:pStyle w:val="BodyText"/>
              <w:spacing w:before="100" w:after="100"/>
            </w:pPr>
            <w:r>
              <w:t>National Standard SMS</w:t>
            </w:r>
          </w:p>
        </w:tc>
        <w:tc>
          <w:tcPr>
            <w:tcW w:w="3060" w:type="dxa"/>
          </w:tcPr>
          <w:p w14:paraId="497F6E63" w14:textId="77777777" w:rsidR="00DE32CC" w:rsidRDefault="00DE32CC" w:rsidP="00DE32CC">
            <w:pPr>
              <w:pStyle w:val="BodyText"/>
              <w:spacing w:before="100" w:after="100"/>
              <w:jc w:val="center"/>
            </w:pPr>
            <w:r>
              <w:t>No</w:t>
            </w:r>
          </w:p>
        </w:tc>
      </w:tr>
      <w:tr w:rsidR="00DE32CC" w14:paraId="329FAB05" w14:textId="77777777" w:rsidTr="00DE32CC">
        <w:trPr>
          <w:trHeight w:val="247"/>
        </w:trPr>
        <w:tc>
          <w:tcPr>
            <w:tcW w:w="5670" w:type="dxa"/>
          </w:tcPr>
          <w:p w14:paraId="69D3F463" w14:textId="77777777" w:rsidR="00DE32CC" w:rsidRDefault="00DE32CC" w:rsidP="00DE32CC">
            <w:pPr>
              <w:pStyle w:val="BodyText"/>
              <w:spacing w:before="100" w:after="100"/>
            </w:pPr>
            <w:r>
              <w:t>International SMS</w:t>
            </w:r>
          </w:p>
        </w:tc>
        <w:tc>
          <w:tcPr>
            <w:tcW w:w="3060" w:type="dxa"/>
          </w:tcPr>
          <w:p w14:paraId="03536D95" w14:textId="77777777" w:rsidR="00DE32CC" w:rsidRDefault="00DE32CC" w:rsidP="00DE32CC">
            <w:pPr>
              <w:pStyle w:val="BodyText"/>
              <w:spacing w:before="100" w:after="100"/>
              <w:jc w:val="center"/>
            </w:pPr>
            <w:r>
              <w:t>No</w:t>
            </w:r>
          </w:p>
        </w:tc>
      </w:tr>
      <w:tr w:rsidR="00DE32CC" w14:paraId="7A677B1B" w14:textId="77777777" w:rsidTr="00DE32CC">
        <w:trPr>
          <w:trHeight w:val="247"/>
        </w:trPr>
        <w:tc>
          <w:tcPr>
            <w:tcW w:w="5670" w:type="dxa"/>
          </w:tcPr>
          <w:p w14:paraId="3270BA02" w14:textId="77777777" w:rsidR="00DE32CC" w:rsidRDefault="00DE32CC" w:rsidP="00DE32CC">
            <w:pPr>
              <w:pStyle w:val="BodyText"/>
              <w:spacing w:before="100" w:after="100"/>
            </w:pPr>
            <w:r>
              <w:t>National MMS</w:t>
            </w:r>
          </w:p>
        </w:tc>
        <w:tc>
          <w:tcPr>
            <w:tcW w:w="3060" w:type="dxa"/>
          </w:tcPr>
          <w:p w14:paraId="299CAB61" w14:textId="77777777" w:rsidR="00DE32CC" w:rsidRDefault="00DE32CC" w:rsidP="00DE32CC">
            <w:pPr>
              <w:pStyle w:val="BodyText"/>
              <w:spacing w:before="100" w:after="100"/>
              <w:jc w:val="center"/>
            </w:pPr>
            <w:r>
              <w:t>No</w:t>
            </w:r>
          </w:p>
        </w:tc>
      </w:tr>
      <w:tr w:rsidR="00DE32CC" w14:paraId="0B982315" w14:textId="77777777" w:rsidTr="00DE32CC">
        <w:trPr>
          <w:trHeight w:val="247"/>
        </w:trPr>
        <w:tc>
          <w:tcPr>
            <w:tcW w:w="5670" w:type="dxa"/>
          </w:tcPr>
          <w:p w14:paraId="6EEAB6F6" w14:textId="77777777" w:rsidR="00DE32CC" w:rsidRDefault="00DE32CC" w:rsidP="00DE32CC">
            <w:pPr>
              <w:pStyle w:val="BodyText"/>
              <w:spacing w:before="100" w:after="100"/>
            </w:pPr>
            <w:r>
              <w:t>International MMS</w:t>
            </w:r>
          </w:p>
        </w:tc>
        <w:tc>
          <w:tcPr>
            <w:tcW w:w="3060" w:type="dxa"/>
          </w:tcPr>
          <w:p w14:paraId="3D79FAD2" w14:textId="77777777" w:rsidR="00DE32CC" w:rsidRDefault="00DE32CC" w:rsidP="00DE32CC">
            <w:pPr>
              <w:pStyle w:val="BodyText"/>
              <w:spacing w:before="100" w:after="100"/>
              <w:jc w:val="center"/>
            </w:pPr>
            <w:r>
              <w:t>No</w:t>
            </w:r>
          </w:p>
        </w:tc>
      </w:tr>
      <w:tr w:rsidR="00DE32CC" w14:paraId="11665569" w14:textId="77777777" w:rsidTr="00DE32CC">
        <w:trPr>
          <w:trHeight w:val="247"/>
        </w:trPr>
        <w:tc>
          <w:tcPr>
            <w:tcW w:w="5670" w:type="dxa"/>
          </w:tcPr>
          <w:p w14:paraId="66869978" w14:textId="77777777" w:rsidR="00DE32CC" w:rsidRDefault="00DE32CC" w:rsidP="00DE32CC">
            <w:pPr>
              <w:pStyle w:val="BodyText"/>
              <w:spacing w:before="100" w:after="100"/>
            </w:pPr>
            <w:r>
              <w:t>Voicemail Diversions</w:t>
            </w:r>
          </w:p>
        </w:tc>
        <w:tc>
          <w:tcPr>
            <w:tcW w:w="3060" w:type="dxa"/>
          </w:tcPr>
          <w:p w14:paraId="54BA7D50" w14:textId="77777777" w:rsidR="00DE32CC" w:rsidRDefault="00DE32CC" w:rsidP="00DE32CC">
            <w:pPr>
              <w:pStyle w:val="BodyText"/>
              <w:spacing w:before="100" w:after="100"/>
              <w:jc w:val="center"/>
            </w:pPr>
            <w:r>
              <w:t>No</w:t>
            </w:r>
          </w:p>
        </w:tc>
      </w:tr>
      <w:tr w:rsidR="00DE32CC" w14:paraId="410BDD4E" w14:textId="77777777" w:rsidTr="00DE32CC">
        <w:trPr>
          <w:trHeight w:val="53"/>
        </w:trPr>
        <w:tc>
          <w:tcPr>
            <w:tcW w:w="5670" w:type="dxa"/>
          </w:tcPr>
          <w:p w14:paraId="1DE74D7A" w14:textId="77777777" w:rsidR="00DE32CC" w:rsidRDefault="00DE32CC" w:rsidP="00DE32CC">
            <w:pPr>
              <w:pStyle w:val="BodyText"/>
              <w:spacing w:before="100" w:after="100"/>
            </w:pPr>
            <w:r>
              <w:t>Voicemail Deposit and Retrievals</w:t>
            </w:r>
          </w:p>
        </w:tc>
        <w:tc>
          <w:tcPr>
            <w:tcW w:w="3060" w:type="dxa"/>
          </w:tcPr>
          <w:p w14:paraId="4D93FADD" w14:textId="77777777" w:rsidR="00DE32CC" w:rsidRDefault="00DE32CC" w:rsidP="00DE32CC">
            <w:pPr>
              <w:pStyle w:val="BodyText"/>
              <w:spacing w:before="100" w:after="100"/>
              <w:jc w:val="center"/>
            </w:pPr>
            <w:r>
              <w:t>No</w:t>
            </w:r>
          </w:p>
        </w:tc>
      </w:tr>
      <w:tr w:rsidR="00DE32CC" w14:paraId="36016236" w14:textId="77777777" w:rsidTr="00DE32CC">
        <w:trPr>
          <w:trHeight w:val="247"/>
        </w:trPr>
        <w:tc>
          <w:tcPr>
            <w:tcW w:w="5670" w:type="dxa"/>
          </w:tcPr>
          <w:p w14:paraId="7F35DE30" w14:textId="77777777" w:rsidR="00DE32CC" w:rsidRDefault="00DE32CC" w:rsidP="00DE32CC">
            <w:pPr>
              <w:pStyle w:val="BodyText"/>
              <w:spacing w:before="100" w:after="100"/>
            </w:pPr>
            <w:r>
              <w:t>International Roaming and Diversion</w:t>
            </w:r>
          </w:p>
        </w:tc>
        <w:tc>
          <w:tcPr>
            <w:tcW w:w="3060" w:type="dxa"/>
          </w:tcPr>
          <w:p w14:paraId="5099C402" w14:textId="77777777" w:rsidR="00DE32CC" w:rsidRDefault="00DE32CC" w:rsidP="00DE32CC">
            <w:pPr>
              <w:pStyle w:val="BodyText"/>
              <w:spacing w:before="100" w:after="100"/>
              <w:jc w:val="center"/>
            </w:pPr>
            <w:r>
              <w:t>No</w:t>
            </w:r>
          </w:p>
        </w:tc>
      </w:tr>
      <w:tr w:rsidR="00DE32CC" w14:paraId="34E03D31" w14:textId="77777777" w:rsidTr="00DE32CC">
        <w:trPr>
          <w:trHeight w:val="247"/>
        </w:trPr>
        <w:tc>
          <w:tcPr>
            <w:tcW w:w="5670" w:type="dxa"/>
          </w:tcPr>
          <w:p w14:paraId="6E217127" w14:textId="77777777" w:rsidR="00DE32CC" w:rsidRDefault="00DE32CC" w:rsidP="00DE32CC">
            <w:pPr>
              <w:pStyle w:val="BodyText"/>
              <w:spacing w:before="100" w:after="100"/>
            </w:pPr>
            <w:r>
              <w:t>Premium SMS</w:t>
            </w:r>
          </w:p>
        </w:tc>
        <w:tc>
          <w:tcPr>
            <w:tcW w:w="3060" w:type="dxa"/>
          </w:tcPr>
          <w:p w14:paraId="13FEE692" w14:textId="77777777" w:rsidR="00DE32CC" w:rsidRDefault="00DE32CC" w:rsidP="00DE32CC">
            <w:pPr>
              <w:pStyle w:val="BodyText"/>
              <w:spacing w:before="100" w:after="100"/>
              <w:jc w:val="center"/>
            </w:pPr>
            <w:r>
              <w:t>No</w:t>
            </w:r>
          </w:p>
        </w:tc>
      </w:tr>
      <w:tr w:rsidR="00DE32CC" w14:paraId="3270905D" w14:textId="77777777" w:rsidTr="00DE32CC">
        <w:trPr>
          <w:trHeight w:val="247"/>
        </w:trPr>
        <w:tc>
          <w:tcPr>
            <w:tcW w:w="5670" w:type="dxa"/>
          </w:tcPr>
          <w:p w14:paraId="19984596" w14:textId="77777777" w:rsidR="00DE32CC" w:rsidRDefault="00DE32CC" w:rsidP="00DE32CC">
            <w:pPr>
              <w:pStyle w:val="BodyText"/>
              <w:spacing w:before="100" w:after="100"/>
            </w:pPr>
            <w:r>
              <w:t>Premium Video</w:t>
            </w:r>
          </w:p>
        </w:tc>
        <w:tc>
          <w:tcPr>
            <w:tcW w:w="3060" w:type="dxa"/>
          </w:tcPr>
          <w:p w14:paraId="01B25B98" w14:textId="77777777" w:rsidR="00DE32CC" w:rsidRDefault="00DE32CC" w:rsidP="00DE32CC">
            <w:pPr>
              <w:pStyle w:val="BodyText"/>
              <w:spacing w:before="100" w:after="100"/>
              <w:jc w:val="center"/>
            </w:pPr>
            <w:r>
              <w:t>No</w:t>
            </w:r>
          </w:p>
        </w:tc>
      </w:tr>
      <w:tr w:rsidR="00DE32CC" w14:paraId="3CA3566C" w14:textId="77777777" w:rsidTr="00DE32CC">
        <w:trPr>
          <w:trHeight w:val="247"/>
        </w:trPr>
        <w:tc>
          <w:tcPr>
            <w:tcW w:w="5670" w:type="dxa"/>
          </w:tcPr>
          <w:p w14:paraId="235F17D5" w14:textId="77777777" w:rsidR="00DE32CC" w:rsidRDefault="00DE32CC" w:rsidP="00DE32CC">
            <w:pPr>
              <w:pStyle w:val="BodyText"/>
              <w:spacing w:before="100" w:after="100"/>
            </w:pPr>
            <w:r>
              <w:t>Video Conferencing</w:t>
            </w:r>
          </w:p>
        </w:tc>
        <w:tc>
          <w:tcPr>
            <w:tcW w:w="3060" w:type="dxa"/>
          </w:tcPr>
          <w:p w14:paraId="1221FAE8" w14:textId="77777777" w:rsidR="00DE32CC" w:rsidRDefault="00DE32CC" w:rsidP="00DE32CC">
            <w:pPr>
              <w:pStyle w:val="BodyText"/>
              <w:spacing w:before="100" w:after="100"/>
              <w:jc w:val="center"/>
            </w:pPr>
            <w:r>
              <w:t>No</w:t>
            </w:r>
          </w:p>
        </w:tc>
      </w:tr>
      <w:tr w:rsidR="00DE32CC" w14:paraId="27442EA9" w14:textId="77777777" w:rsidTr="00DE32CC">
        <w:trPr>
          <w:trHeight w:val="53"/>
        </w:trPr>
        <w:tc>
          <w:tcPr>
            <w:tcW w:w="5670" w:type="dxa"/>
          </w:tcPr>
          <w:p w14:paraId="6137334A" w14:textId="77777777" w:rsidR="00DE32CC" w:rsidRDefault="00DE32CC" w:rsidP="00DE32CC">
            <w:pPr>
              <w:pStyle w:val="BodyText"/>
              <w:spacing w:before="100" w:after="100"/>
            </w:pPr>
            <w:r>
              <w:lastRenderedPageBreak/>
              <w:t>Mobile Internet usage</w:t>
            </w:r>
          </w:p>
        </w:tc>
        <w:tc>
          <w:tcPr>
            <w:tcW w:w="3060" w:type="dxa"/>
          </w:tcPr>
          <w:p w14:paraId="1DB797B8" w14:textId="77777777" w:rsidR="00DE32CC" w:rsidRDefault="00DE32CC" w:rsidP="00DE32CC">
            <w:pPr>
              <w:pStyle w:val="BodyText"/>
              <w:spacing w:before="100" w:after="100"/>
              <w:jc w:val="center"/>
            </w:pPr>
            <w:r>
              <w:t>Yes, up to the monthly included data amount specified in Table 3A.</w:t>
            </w:r>
          </w:p>
        </w:tc>
      </w:tr>
      <w:tr w:rsidR="00DE32CC" w14:paraId="6E2FB65E" w14:textId="77777777" w:rsidTr="00DE32CC">
        <w:trPr>
          <w:trHeight w:val="53"/>
        </w:trPr>
        <w:tc>
          <w:tcPr>
            <w:tcW w:w="5670" w:type="dxa"/>
          </w:tcPr>
          <w:p w14:paraId="7DBEC170" w14:textId="77777777" w:rsidR="00DE32CC" w:rsidRDefault="00DE32CC" w:rsidP="00DE32CC">
            <w:pPr>
              <w:pStyle w:val="BodyText"/>
              <w:spacing w:before="100" w:after="100"/>
            </w:pPr>
            <w:r>
              <w:t>Mobile as Modem</w:t>
            </w:r>
          </w:p>
        </w:tc>
        <w:tc>
          <w:tcPr>
            <w:tcW w:w="3060" w:type="dxa"/>
          </w:tcPr>
          <w:p w14:paraId="1A0FE0CC" w14:textId="77777777" w:rsidR="00DE32CC" w:rsidRDefault="00DE32CC" w:rsidP="00DE32CC">
            <w:pPr>
              <w:pStyle w:val="BodyText"/>
              <w:spacing w:before="100" w:after="100"/>
              <w:jc w:val="center"/>
            </w:pPr>
            <w:r>
              <w:t>Yes</w:t>
            </w:r>
          </w:p>
        </w:tc>
      </w:tr>
      <w:tr w:rsidR="00DE32CC" w14:paraId="1BE694B2" w14:textId="77777777" w:rsidTr="00DE32CC">
        <w:trPr>
          <w:trHeight w:val="53"/>
        </w:trPr>
        <w:tc>
          <w:tcPr>
            <w:tcW w:w="5670" w:type="dxa"/>
          </w:tcPr>
          <w:p w14:paraId="37742032" w14:textId="77777777" w:rsidR="00DE32CC" w:rsidRDefault="00DE32CC" w:rsidP="00DE32CC">
            <w:pPr>
              <w:pStyle w:val="BodyText"/>
              <w:spacing w:before="100" w:after="100"/>
            </w:pPr>
            <w:r>
              <w:t>Data Used while Roaming Internationally</w:t>
            </w:r>
          </w:p>
        </w:tc>
        <w:tc>
          <w:tcPr>
            <w:tcW w:w="3060" w:type="dxa"/>
          </w:tcPr>
          <w:p w14:paraId="7D03F54D" w14:textId="77777777" w:rsidR="00DE32CC" w:rsidRDefault="00DE32CC" w:rsidP="00DE32CC">
            <w:pPr>
              <w:pStyle w:val="BodyText"/>
              <w:spacing w:before="100" w:after="100"/>
              <w:jc w:val="center"/>
            </w:pPr>
            <w:r>
              <w:t>No</w:t>
            </w:r>
          </w:p>
        </w:tc>
      </w:tr>
      <w:tr w:rsidR="00DE32CC" w14:paraId="4FE8B929" w14:textId="77777777" w:rsidTr="00DE32CC">
        <w:trPr>
          <w:trHeight w:val="53"/>
        </w:trPr>
        <w:tc>
          <w:tcPr>
            <w:tcW w:w="5670" w:type="dxa"/>
          </w:tcPr>
          <w:p w14:paraId="77E31EBE" w14:textId="77777777" w:rsidR="00DE32CC" w:rsidRDefault="00DE32CC" w:rsidP="00DE32CC">
            <w:pPr>
              <w:pStyle w:val="BodyText"/>
              <w:spacing w:before="100" w:after="100"/>
            </w:pPr>
            <w:r>
              <w:t>Content Packs (unless specified in promotions)</w:t>
            </w:r>
          </w:p>
        </w:tc>
        <w:tc>
          <w:tcPr>
            <w:tcW w:w="3060" w:type="dxa"/>
          </w:tcPr>
          <w:p w14:paraId="5F1F540F" w14:textId="77777777" w:rsidR="00DE32CC" w:rsidRDefault="00DE32CC" w:rsidP="00DE32CC">
            <w:pPr>
              <w:pStyle w:val="BodyText"/>
              <w:spacing w:before="100" w:after="100"/>
              <w:jc w:val="center"/>
            </w:pPr>
            <w:r>
              <w:t>No</w:t>
            </w:r>
          </w:p>
        </w:tc>
      </w:tr>
      <w:tr w:rsidR="00DE32CC" w14:paraId="077CA97A" w14:textId="77777777" w:rsidTr="00DE32CC">
        <w:trPr>
          <w:trHeight w:val="53"/>
        </w:trPr>
        <w:tc>
          <w:tcPr>
            <w:tcW w:w="5670" w:type="dxa"/>
          </w:tcPr>
          <w:p w14:paraId="2E144172" w14:textId="77777777" w:rsidR="00DE32CC" w:rsidRDefault="00DE32CC" w:rsidP="00DE32CC">
            <w:pPr>
              <w:pStyle w:val="BodyText"/>
              <w:spacing w:before="100" w:after="100"/>
            </w:pPr>
            <w:r>
              <w:t>TrueLocal Usage</w:t>
            </w:r>
          </w:p>
        </w:tc>
        <w:tc>
          <w:tcPr>
            <w:tcW w:w="3060" w:type="dxa"/>
          </w:tcPr>
          <w:p w14:paraId="5A1F8D4D" w14:textId="77777777" w:rsidR="00DE32CC" w:rsidRDefault="00DE32CC" w:rsidP="00DE32CC">
            <w:pPr>
              <w:pStyle w:val="BodyText"/>
              <w:spacing w:before="100" w:after="100"/>
              <w:jc w:val="center"/>
            </w:pPr>
            <w:r>
              <w:t>No</w:t>
            </w:r>
          </w:p>
        </w:tc>
      </w:tr>
      <w:tr w:rsidR="00DE32CC" w14:paraId="02EFBDEF" w14:textId="77777777" w:rsidTr="00DE32CC">
        <w:trPr>
          <w:trHeight w:val="53"/>
        </w:trPr>
        <w:tc>
          <w:tcPr>
            <w:tcW w:w="5670" w:type="dxa"/>
          </w:tcPr>
          <w:p w14:paraId="547E7361" w14:textId="77777777" w:rsidR="00DE32CC" w:rsidRDefault="00DE32CC" w:rsidP="00DE32CC">
            <w:pPr>
              <w:pStyle w:val="BodyText"/>
              <w:spacing w:before="100" w:after="100"/>
            </w:pPr>
            <w:r>
              <w:t xml:space="preserve">Directory Assistance- 1223 </w:t>
            </w:r>
          </w:p>
        </w:tc>
        <w:tc>
          <w:tcPr>
            <w:tcW w:w="3060" w:type="dxa"/>
          </w:tcPr>
          <w:p w14:paraId="121D23B6" w14:textId="77777777" w:rsidR="00DE32CC" w:rsidRDefault="00DE32CC" w:rsidP="00DE32CC">
            <w:pPr>
              <w:pStyle w:val="BodyText"/>
              <w:spacing w:before="100" w:after="100"/>
              <w:jc w:val="center"/>
            </w:pPr>
            <w:r>
              <w:t>No</w:t>
            </w:r>
          </w:p>
        </w:tc>
      </w:tr>
      <w:tr w:rsidR="00DE32CC" w14:paraId="1F2A49AB" w14:textId="77777777" w:rsidTr="00DE32CC">
        <w:trPr>
          <w:trHeight w:val="247"/>
        </w:trPr>
        <w:tc>
          <w:tcPr>
            <w:tcW w:w="5670" w:type="dxa"/>
          </w:tcPr>
          <w:p w14:paraId="425631DF" w14:textId="77777777" w:rsidR="00DE32CC" w:rsidRDefault="00DE32CC" w:rsidP="00DE32CC">
            <w:pPr>
              <w:pStyle w:val="BodyText"/>
              <w:spacing w:before="100" w:after="100"/>
            </w:pPr>
            <w:r>
              <w:t>19XX Numbers</w:t>
            </w:r>
          </w:p>
        </w:tc>
        <w:tc>
          <w:tcPr>
            <w:tcW w:w="3060" w:type="dxa"/>
          </w:tcPr>
          <w:p w14:paraId="7FC40CC1" w14:textId="77777777" w:rsidR="00DE32CC" w:rsidRDefault="00DE32CC" w:rsidP="00DE32CC">
            <w:pPr>
              <w:pStyle w:val="BodyText"/>
              <w:spacing w:before="100" w:after="100"/>
              <w:jc w:val="center"/>
            </w:pPr>
            <w:r>
              <w:t>No</w:t>
            </w:r>
          </w:p>
        </w:tc>
      </w:tr>
      <w:tr w:rsidR="00DE32CC" w14:paraId="0AE6FABA" w14:textId="77777777" w:rsidTr="00DE32CC">
        <w:trPr>
          <w:trHeight w:val="247"/>
        </w:trPr>
        <w:tc>
          <w:tcPr>
            <w:tcW w:w="5670" w:type="dxa"/>
          </w:tcPr>
          <w:p w14:paraId="3458DAD9" w14:textId="77777777" w:rsidR="00DE32CC" w:rsidRDefault="00DE32CC" w:rsidP="00DE32CC">
            <w:pPr>
              <w:pStyle w:val="BodyText"/>
              <w:spacing w:before="100" w:after="100"/>
            </w:pPr>
            <w:r>
              <w:t>1800, 13 and 1300 numbers</w:t>
            </w:r>
          </w:p>
        </w:tc>
        <w:tc>
          <w:tcPr>
            <w:tcW w:w="3060" w:type="dxa"/>
          </w:tcPr>
          <w:p w14:paraId="4FD07360" w14:textId="77777777" w:rsidR="00DE32CC" w:rsidRDefault="00DE32CC" w:rsidP="00DE32CC">
            <w:pPr>
              <w:pStyle w:val="BodyText"/>
              <w:spacing w:before="100" w:after="100"/>
              <w:jc w:val="center"/>
            </w:pPr>
            <w:r>
              <w:t>No</w:t>
            </w:r>
          </w:p>
        </w:tc>
      </w:tr>
      <w:tr w:rsidR="00DE32CC" w14:paraId="1FA6ADD8" w14:textId="77777777" w:rsidTr="00DE32CC">
        <w:trPr>
          <w:trHeight w:val="247"/>
        </w:trPr>
        <w:tc>
          <w:tcPr>
            <w:tcW w:w="5670" w:type="dxa"/>
          </w:tcPr>
          <w:p w14:paraId="5A2D64AC" w14:textId="77777777" w:rsidR="00DE32CC" w:rsidRDefault="00DE32CC" w:rsidP="00DE32CC">
            <w:pPr>
              <w:pStyle w:val="BodyText"/>
              <w:spacing w:before="100" w:after="100"/>
            </w:pPr>
            <w:r>
              <w:t>124YES(937)</w:t>
            </w:r>
          </w:p>
        </w:tc>
        <w:tc>
          <w:tcPr>
            <w:tcW w:w="3060" w:type="dxa"/>
          </w:tcPr>
          <w:p w14:paraId="1A7BEFAE" w14:textId="77777777" w:rsidR="00DE32CC" w:rsidRDefault="00DE32CC" w:rsidP="00DE32CC">
            <w:pPr>
              <w:pStyle w:val="BodyText"/>
              <w:spacing w:before="100" w:after="100"/>
              <w:jc w:val="center"/>
            </w:pPr>
            <w:r>
              <w:t>No</w:t>
            </w:r>
          </w:p>
        </w:tc>
      </w:tr>
      <w:tr w:rsidR="00DE32CC" w14:paraId="7FC00294" w14:textId="77777777" w:rsidTr="00DE32CC">
        <w:trPr>
          <w:trHeight w:val="262"/>
        </w:trPr>
        <w:tc>
          <w:tcPr>
            <w:tcW w:w="5670" w:type="dxa"/>
          </w:tcPr>
          <w:p w14:paraId="586803D2" w14:textId="77777777" w:rsidR="00DE32CC" w:rsidRDefault="00DE32CC" w:rsidP="00DE32CC">
            <w:pPr>
              <w:pStyle w:val="BodyText"/>
              <w:spacing w:before="100" w:after="100"/>
            </w:pPr>
            <w:r>
              <w:t>Insurance</w:t>
            </w:r>
          </w:p>
        </w:tc>
        <w:tc>
          <w:tcPr>
            <w:tcW w:w="3060" w:type="dxa"/>
          </w:tcPr>
          <w:p w14:paraId="29676CA7" w14:textId="77777777" w:rsidR="00DE32CC" w:rsidRDefault="00DE32CC" w:rsidP="00DE32CC">
            <w:pPr>
              <w:pStyle w:val="BodyText"/>
              <w:spacing w:before="100" w:after="100"/>
              <w:jc w:val="center"/>
            </w:pPr>
            <w:r>
              <w:t>No</w:t>
            </w:r>
          </w:p>
        </w:tc>
      </w:tr>
      <w:tr w:rsidR="00DE32CC" w14:paraId="0D34F3FC" w14:textId="77777777" w:rsidTr="00DE32CC">
        <w:trPr>
          <w:trHeight w:val="262"/>
        </w:trPr>
        <w:tc>
          <w:tcPr>
            <w:tcW w:w="5670" w:type="dxa"/>
          </w:tcPr>
          <w:p w14:paraId="042FE5A6" w14:textId="77777777" w:rsidR="00DE32CC" w:rsidRDefault="00DE32CC" w:rsidP="00DE32CC">
            <w:pPr>
              <w:pStyle w:val="BodyText"/>
              <w:spacing w:before="100" w:after="100"/>
            </w:pPr>
            <w:r>
              <w:t>Handset Payments</w:t>
            </w:r>
          </w:p>
        </w:tc>
        <w:tc>
          <w:tcPr>
            <w:tcW w:w="3060" w:type="dxa"/>
          </w:tcPr>
          <w:p w14:paraId="3C89CAC6" w14:textId="77777777" w:rsidR="00DE32CC" w:rsidRDefault="00DE32CC" w:rsidP="00DE32CC">
            <w:pPr>
              <w:pStyle w:val="BodyText"/>
              <w:spacing w:before="100" w:after="100"/>
              <w:jc w:val="center"/>
            </w:pPr>
            <w:r>
              <w:t>No</w:t>
            </w:r>
          </w:p>
        </w:tc>
      </w:tr>
      <w:tr w:rsidR="00DE32CC" w14:paraId="4A3DBB80" w14:textId="77777777" w:rsidTr="00DE32CC">
        <w:trPr>
          <w:trHeight w:val="262"/>
        </w:trPr>
        <w:tc>
          <w:tcPr>
            <w:tcW w:w="5670" w:type="dxa"/>
          </w:tcPr>
          <w:p w14:paraId="4380CD29" w14:textId="77777777" w:rsidR="00DE32CC" w:rsidRDefault="00DE32CC" w:rsidP="00DE32CC">
            <w:pPr>
              <w:pStyle w:val="BodyText"/>
              <w:keepNext/>
              <w:spacing w:before="100" w:after="100"/>
            </w:pPr>
            <w:r>
              <w:t>Calls to MobileSat</w:t>
            </w:r>
          </w:p>
        </w:tc>
        <w:tc>
          <w:tcPr>
            <w:tcW w:w="3060" w:type="dxa"/>
          </w:tcPr>
          <w:p w14:paraId="3F4B63BA" w14:textId="77777777" w:rsidR="00DE32CC" w:rsidRDefault="00DE32CC" w:rsidP="00DE32CC">
            <w:pPr>
              <w:pStyle w:val="BodyText"/>
              <w:keepNext/>
              <w:spacing w:before="100" w:after="100"/>
              <w:jc w:val="center"/>
            </w:pPr>
            <w:r>
              <w:t>No</w:t>
            </w:r>
          </w:p>
        </w:tc>
      </w:tr>
      <w:tr w:rsidR="00DE32CC" w14:paraId="35DD13A9" w14:textId="77777777" w:rsidTr="00DE32CC">
        <w:trPr>
          <w:trHeight w:val="262"/>
        </w:trPr>
        <w:tc>
          <w:tcPr>
            <w:tcW w:w="5670" w:type="dxa"/>
          </w:tcPr>
          <w:p w14:paraId="3D4EEAAD" w14:textId="77777777" w:rsidR="00DE32CC" w:rsidRDefault="00DE32CC" w:rsidP="00DE32CC">
            <w:pPr>
              <w:pStyle w:val="BodyText"/>
              <w:spacing w:before="100" w:after="100"/>
            </w:pPr>
            <w:r>
              <w:t>VOIP services</w:t>
            </w:r>
          </w:p>
        </w:tc>
        <w:tc>
          <w:tcPr>
            <w:tcW w:w="3060" w:type="dxa"/>
          </w:tcPr>
          <w:p w14:paraId="178DCC23" w14:textId="77777777" w:rsidR="00DE32CC" w:rsidRDefault="00DE32CC" w:rsidP="00DE32CC">
            <w:pPr>
              <w:pStyle w:val="BodyText"/>
              <w:spacing w:before="100" w:after="100"/>
              <w:jc w:val="center"/>
            </w:pPr>
            <w:r>
              <w:t>No</w:t>
            </w:r>
          </w:p>
        </w:tc>
      </w:tr>
    </w:tbl>
    <w:p w14:paraId="7D481607" w14:textId="77777777" w:rsidR="00DE32CC" w:rsidRPr="00C32103" w:rsidRDefault="00DE32CC" w:rsidP="00DE32CC">
      <w:pPr>
        <w:pStyle w:val="BodyText"/>
        <w:keepNext/>
        <w:spacing w:before="240"/>
        <w:ind w:left="720"/>
        <w:rPr>
          <w:b/>
        </w:rPr>
      </w:pPr>
      <w:r w:rsidRPr="00C32103">
        <w:rPr>
          <w:b/>
        </w:rPr>
        <w:t>Table 2B – Eligible for Unlimited BlackBerry POP3 Email &amp; Browsing through the BlackBerry Browser</w:t>
      </w:r>
    </w:p>
    <w:tbl>
      <w:tblPr>
        <w:tblW w:w="0" w:type="auto"/>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0"/>
        <w:gridCol w:w="3060"/>
      </w:tblGrid>
      <w:tr w:rsidR="00DE32CC" w14:paraId="6505C561" w14:textId="77777777" w:rsidTr="00DE32CC">
        <w:trPr>
          <w:trHeight w:val="494"/>
        </w:trPr>
        <w:tc>
          <w:tcPr>
            <w:tcW w:w="5670" w:type="dxa"/>
          </w:tcPr>
          <w:p w14:paraId="5182105D" w14:textId="77777777" w:rsidR="00DE32CC" w:rsidRPr="0019670F" w:rsidRDefault="00DE32CC" w:rsidP="00DE32CC">
            <w:pPr>
              <w:pStyle w:val="BodyText"/>
              <w:spacing w:before="100" w:after="100"/>
              <w:jc w:val="center"/>
              <w:rPr>
                <w:b/>
                <w:snapToGrid w:val="0"/>
              </w:rPr>
            </w:pPr>
            <w:r w:rsidRPr="0019670F">
              <w:rPr>
                <w:b/>
                <w:snapToGrid w:val="0"/>
              </w:rPr>
              <w:t>Call Type</w:t>
            </w:r>
          </w:p>
        </w:tc>
        <w:tc>
          <w:tcPr>
            <w:tcW w:w="3060" w:type="dxa"/>
          </w:tcPr>
          <w:p w14:paraId="05BAA983" w14:textId="77777777" w:rsidR="00DE32CC" w:rsidRPr="0019670F" w:rsidRDefault="00DE32CC" w:rsidP="00DE32CC">
            <w:pPr>
              <w:pStyle w:val="BodyText"/>
              <w:spacing w:before="100" w:after="100"/>
              <w:jc w:val="center"/>
              <w:rPr>
                <w:b/>
                <w:snapToGrid w:val="0"/>
              </w:rPr>
            </w:pPr>
            <w:r w:rsidRPr="0019670F">
              <w:rPr>
                <w:b/>
                <w:snapToGrid w:val="0"/>
              </w:rPr>
              <w:t>Eligible Data</w:t>
            </w:r>
          </w:p>
        </w:tc>
      </w:tr>
      <w:tr w:rsidR="00DE32CC" w14:paraId="62AD748C" w14:textId="77777777" w:rsidTr="00DE32CC">
        <w:trPr>
          <w:trHeight w:val="247"/>
        </w:trPr>
        <w:tc>
          <w:tcPr>
            <w:tcW w:w="5670" w:type="dxa"/>
          </w:tcPr>
          <w:p w14:paraId="2971FC52" w14:textId="77777777" w:rsidR="00DE32CC" w:rsidRDefault="00DE32CC" w:rsidP="00DE32CC">
            <w:pPr>
              <w:pStyle w:val="BodyText"/>
              <w:spacing w:before="100" w:after="100"/>
              <w:rPr>
                <w:snapToGrid w:val="0"/>
              </w:rPr>
            </w:pPr>
            <w:r>
              <w:rPr>
                <w:snapToGrid w:val="0"/>
              </w:rPr>
              <w:t>BlackBerry Email (POP3)</w:t>
            </w:r>
          </w:p>
        </w:tc>
        <w:tc>
          <w:tcPr>
            <w:tcW w:w="3060" w:type="dxa"/>
          </w:tcPr>
          <w:p w14:paraId="14E9A6B7" w14:textId="77777777" w:rsidR="00DE32CC" w:rsidRDefault="00DE32CC" w:rsidP="00DE32CC">
            <w:pPr>
              <w:pStyle w:val="BodyText"/>
              <w:spacing w:before="100" w:after="100"/>
              <w:jc w:val="center"/>
              <w:rPr>
                <w:snapToGrid w:val="0"/>
              </w:rPr>
            </w:pPr>
            <w:r>
              <w:rPr>
                <w:snapToGrid w:val="0"/>
              </w:rPr>
              <w:t>Yes</w:t>
            </w:r>
          </w:p>
        </w:tc>
      </w:tr>
      <w:tr w:rsidR="00DE32CC" w14:paraId="00A25B3C" w14:textId="77777777" w:rsidTr="00DE32CC">
        <w:trPr>
          <w:trHeight w:val="247"/>
        </w:trPr>
        <w:tc>
          <w:tcPr>
            <w:tcW w:w="5670" w:type="dxa"/>
          </w:tcPr>
          <w:p w14:paraId="335D164C" w14:textId="77777777" w:rsidR="00DE32CC" w:rsidRDefault="00DE32CC" w:rsidP="00DE32CC">
            <w:pPr>
              <w:pStyle w:val="BodyText"/>
              <w:spacing w:before="100" w:after="100"/>
              <w:rPr>
                <w:snapToGrid w:val="0"/>
              </w:rPr>
            </w:pPr>
            <w:r>
              <w:rPr>
                <w:snapToGrid w:val="0"/>
              </w:rPr>
              <w:t>Internet Browsing through the BlackBerry Browser and/or the BlackBerry Internet Browser</w:t>
            </w:r>
          </w:p>
        </w:tc>
        <w:tc>
          <w:tcPr>
            <w:tcW w:w="3060" w:type="dxa"/>
          </w:tcPr>
          <w:p w14:paraId="152D299E" w14:textId="77777777" w:rsidR="00DE32CC" w:rsidRDefault="00DE32CC" w:rsidP="00DE32CC">
            <w:pPr>
              <w:pStyle w:val="BodyText"/>
              <w:spacing w:before="100" w:after="100"/>
              <w:jc w:val="center"/>
              <w:rPr>
                <w:snapToGrid w:val="0"/>
              </w:rPr>
            </w:pPr>
            <w:r>
              <w:rPr>
                <w:snapToGrid w:val="0"/>
              </w:rPr>
              <w:t>Yes</w:t>
            </w:r>
          </w:p>
        </w:tc>
      </w:tr>
      <w:tr w:rsidR="00DE32CC" w14:paraId="6384EE4D" w14:textId="77777777" w:rsidTr="00DE32CC">
        <w:trPr>
          <w:trHeight w:val="247"/>
        </w:trPr>
        <w:tc>
          <w:tcPr>
            <w:tcW w:w="5670" w:type="dxa"/>
          </w:tcPr>
          <w:p w14:paraId="6F92AF30" w14:textId="77777777" w:rsidR="00DE32CC" w:rsidRDefault="00DE32CC" w:rsidP="00DE32CC">
            <w:pPr>
              <w:pStyle w:val="BodyText"/>
              <w:spacing w:before="100" w:after="100"/>
            </w:pPr>
            <w:r>
              <w:t>Applications from Optus and third party applications that require a BlackBerry Data connection</w:t>
            </w:r>
          </w:p>
        </w:tc>
        <w:tc>
          <w:tcPr>
            <w:tcW w:w="3060" w:type="dxa"/>
          </w:tcPr>
          <w:p w14:paraId="6957AC96" w14:textId="77777777" w:rsidR="00DE32CC" w:rsidRDefault="00DE32CC" w:rsidP="00DE32CC">
            <w:pPr>
              <w:pStyle w:val="BodyText"/>
              <w:spacing w:before="100" w:after="100"/>
              <w:jc w:val="center"/>
              <w:rPr>
                <w:snapToGrid w:val="0"/>
              </w:rPr>
            </w:pPr>
            <w:r>
              <w:rPr>
                <w:snapToGrid w:val="0"/>
              </w:rPr>
              <w:t>Yes</w:t>
            </w:r>
          </w:p>
        </w:tc>
      </w:tr>
      <w:tr w:rsidR="00DE32CC" w14:paraId="63D40671" w14:textId="77777777" w:rsidTr="00DE32CC">
        <w:trPr>
          <w:trHeight w:val="247"/>
        </w:trPr>
        <w:tc>
          <w:tcPr>
            <w:tcW w:w="5670" w:type="dxa"/>
          </w:tcPr>
          <w:p w14:paraId="7DB6EAD1" w14:textId="77777777" w:rsidR="00DE32CC" w:rsidRDefault="00DE32CC" w:rsidP="00DE32CC">
            <w:pPr>
              <w:pStyle w:val="BodyText"/>
              <w:spacing w:before="100" w:after="100"/>
              <w:rPr>
                <w:snapToGrid w:val="0"/>
              </w:rPr>
            </w:pPr>
            <w:r>
              <w:rPr>
                <w:snapToGrid w:val="0"/>
              </w:rPr>
              <w:t>All other call types or usage</w:t>
            </w:r>
          </w:p>
        </w:tc>
        <w:tc>
          <w:tcPr>
            <w:tcW w:w="3060" w:type="dxa"/>
          </w:tcPr>
          <w:p w14:paraId="6D5B54E0" w14:textId="77777777" w:rsidR="00DE32CC" w:rsidRDefault="00DE32CC" w:rsidP="00DE32CC">
            <w:pPr>
              <w:pStyle w:val="BodyText"/>
              <w:spacing w:before="100" w:after="100"/>
              <w:jc w:val="center"/>
              <w:rPr>
                <w:snapToGrid w:val="0"/>
              </w:rPr>
            </w:pPr>
            <w:r>
              <w:rPr>
                <w:snapToGrid w:val="0"/>
              </w:rPr>
              <w:t>No</w:t>
            </w:r>
          </w:p>
        </w:tc>
      </w:tr>
    </w:tbl>
    <w:p w14:paraId="5807FAA3" w14:textId="77777777" w:rsidR="00DE32CC" w:rsidRPr="00C32103" w:rsidRDefault="00DE32CC" w:rsidP="00DE32CC">
      <w:pPr>
        <w:pStyle w:val="BodyText"/>
        <w:spacing w:before="240"/>
        <w:ind w:left="720"/>
        <w:rPr>
          <w:b/>
        </w:rPr>
      </w:pPr>
      <w:r w:rsidRPr="00C32103">
        <w:rPr>
          <w:b/>
        </w:rPr>
        <w:t>Table 2C – Eligible for Unlimited BlackBerry Email &amp; Browsing through the BlackBerry Browser on the $79, $89 and $99 Business Timeless Fleet BES plans</w:t>
      </w:r>
    </w:p>
    <w:tbl>
      <w:tblPr>
        <w:tblW w:w="8730" w:type="dxa"/>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0"/>
        <w:gridCol w:w="3060"/>
      </w:tblGrid>
      <w:tr w:rsidR="00DE32CC" w14:paraId="1A0AD832" w14:textId="77777777" w:rsidTr="00DE32CC">
        <w:trPr>
          <w:trHeight w:val="53"/>
          <w:tblHeader/>
        </w:trPr>
        <w:tc>
          <w:tcPr>
            <w:tcW w:w="5670" w:type="dxa"/>
            <w:vAlign w:val="center"/>
          </w:tcPr>
          <w:p w14:paraId="45271409" w14:textId="77777777" w:rsidR="00DE32CC" w:rsidRPr="00C32103" w:rsidRDefault="00DE32CC" w:rsidP="00DE32CC">
            <w:pPr>
              <w:pStyle w:val="BodyText"/>
              <w:spacing w:before="100" w:after="100"/>
              <w:jc w:val="center"/>
              <w:rPr>
                <w:b/>
              </w:rPr>
            </w:pPr>
            <w:r w:rsidRPr="00C32103">
              <w:rPr>
                <w:b/>
              </w:rPr>
              <w:t>Call Type</w:t>
            </w:r>
          </w:p>
        </w:tc>
        <w:tc>
          <w:tcPr>
            <w:tcW w:w="3060" w:type="dxa"/>
            <w:vAlign w:val="center"/>
          </w:tcPr>
          <w:p w14:paraId="0738686D" w14:textId="77777777" w:rsidR="00DE32CC" w:rsidRPr="00C32103" w:rsidRDefault="00DE32CC" w:rsidP="00DE32CC">
            <w:pPr>
              <w:pStyle w:val="BodyText"/>
              <w:spacing w:before="100" w:after="100"/>
              <w:jc w:val="center"/>
              <w:rPr>
                <w:b/>
              </w:rPr>
            </w:pPr>
            <w:r w:rsidRPr="00C32103">
              <w:rPr>
                <w:b/>
              </w:rPr>
              <w:t>Eligible Data</w:t>
            </w:r>
          </w:p>
        </w:tc>
      </w:tr>
      <w:tr w:rsidR="00DE32CC" w14:paraId="3BB4EC3C" w14:textId="77777777" w:rsidTr="00DE32CC">
        <w:trPr>
          <w:trHeight w:val="247"/>
        </w:trPr>
        <w:tc>
          <w:tcPr>
            <w:tcW w:w="5670" w:type="dxa"/>
            <w:vAlign w:val="center"/>
          </w:tcPr>
          <w:p w14:paraId="2D14AB4A" w14:textId="77777777" w:rsidR="00DE32CC" w:rsidRDefault="00DE32CC" w:rsidP="00DE32CC">
            <w:pPr>
              <w:pStyle w:val="BodyText"/>
              <w:spacing w:before="100" w:after="100"/>
            </w:pPr>
            <w:r>
              <w:t>National Voice Calls</w:t>
            </w:r>
          </w:p>
        </w:tc>
        <w:tc>
          <w:tcPr>
            <w:tcW w:w="3060" w:type="dxa"/>
            <w:vAlign w:val="center"/>
          </w:tcPr>
          <w:p w14:paraId="0CFC0769" w14:textId="77777777" w:rsidR="00DE32CC" w:rsidRDefault="00DE32CC" w:rsidP="00DE32CC">
            <w:pPr>
              <w:pStyle w:val="BodyText"/>
              <w:spacing w:before="100" w:after="100"/>
              <w:jc w:val="center"/>
            </w:pPr>
            <w:r>
              <w:t>No</w:t>
            </w:r>
          </w:p>
        </w:tc>
      </w:tr>
      <w:tr w:rsidR="00DE32CC" w14:paraId="705331C6" w14:textId="77777777" w:rsidTr="00DE32CC">
        <w:trPr>
          <w:trHeight w:val="247"/>
        </w:trPr>
        <w:tc>
          <w:tcPr>
            <w:tcW w:w="5670" w:type="dxa"/>
            <w:vAlign w:val="center"/>
          </w:tcPr>
          <w:p w14:paraId="26D79044" w14:textId="77777777" w:rsidR="00DE32CC" w:rsidRDefault="00DE32CC" w:rsidP="00DE32CC">
            <w:pPr>
              <w:pStyle w:val="BodyText"/>
              <w:spacing w:before="100" w:after="100"/>
            </w:pPr>
            <w:r>
              <w:t>National Video Calls</w:t>
            </w:r>
          </w:p>
        </w:tc>
        <w:tc>
          <w:tcPr>
            <w:tcW w:w="3060" w:type="dxa"/>
            <w:vAlign w:val="center"/>
          </w:tcPr>
          <w:p w14:paraId="36C64BB5" w14:textId="77777777" w:rsidR="00DE32CC" w:rsidRDefault="00DE32CC" w:rsidP="00DE32CC">
            <w:pPr>
              <w:pStyle w:val="BodyText"/>
              <w:spacing w:before="100" w:after="100"/>
              <w:jc w:val="center"/>
            </w:pPr>
            <w:r>
              <w:t>No</w:t>
            </w:r>
          </w:p>
        </w:tc>
      </w:tr>
      <w:tr w:rsidR="00DE32CC" w14:paraId="02248642" w14:textId="77777777" w:rsidTr="00DE32CC">
        <w:trPr>
          <w:trHeight w:val="247"/>
        </w:trPr>
        <w:tc>
          <w:tcPr>
            <w:tcW w:w="5670" w:type="dxa"/>
            <w:vAlign w:val="center"/>
          </w:tcPr>
          <w:p w14:paraId="42A95CA9" w14:textId="77777777" w:rsidR="00DE32CC" w:rsidRDefault="00DE32CC" w:rsidP="00DE32CC">
            <w:pPr>
              <w:pStyle w:val="BodyText"/>
              <w:spacing w:before="100" w:after="100"/>
            </w:pPr>
            <w:r>
              <w:t>International Voice Calls</w:t>
            </w:r>
          </w:p>
          <w:p w14:paraId="7654903D" w14:textId="77777777" w:rsidR="00DE32CC" w:rsidRDefault="00DE32CC" w:rsidP="00DE32CC">
            <w:pPr>
              <w:pStyle w:val="BodyText"/>
              <w:spacing w:before="100" w:after="100"/>
            </w:pPr>
            <w:r>
              <w:rPr>
                <w:snapToGrid w:val="0"/>
              </w:rPr>
              <w:t>(includes calls to national fixed or mobile services that then divert/switch or re-route overseas)</w:t>
            </w:r>
          </w:p>
        </w:tc>
        <w:tc>
          <w:tcPr>
            <w:tcW w:w="3060" w:type="dxa"/>
            <w:vAlign w:val="center"/>
          </w:tcPr>
          <w:p w14:paraId="252E73FD" w14:textId="77777777" w:rsidR="00DE32CC" w:rsidRDefault="00DE32CC" w:rsidP="00DE32CC">
            <w:pPr>
              <w:pStyle w:val="BodyText"/>
              <w:spacing w:before="100" w:after="100"/>
              <w:jc w:val="center"/>
            </w:pPr>
            <w:r>
              <w:t>No</w:t>
            </w:r>
          </w:p>
        </w:tc>
      </w:tr>
      <w:tr w:rsidR="00DE32CC" w14:paraId="41BCD3AE" w14:textId="77777777" w:rsidTr="00DE32CC">
        <w:trPr>
          <w:trHeight w:val="247"/>
        </w:trPr>
        <w:tc>
          <w:tcPr>
            <w:tcW w:w="5670" w:type="dxa"/>
            <w:vAlign w:val="center"/>
          </w:tcPr>
          <w:p w14:paraId="4E3F412E" w14:textId="77777777" w:rsidR="00DE32CC" w:rsidRDefault="00DE32CC" w:rsidP="00DE32CC">
            <w:pPr>
              <w:pStyle w:val="BodyText"/>
              <w:spacing w:before="100" w:after="100"/>
            </w:pPr>
            <w:r>
              <w:t>International Video Calls</w:t>
            </w:r>
          </w:p>
          <w:p w14:paraId="6BB46C2F" w14:textId="77777777" w:rsidR="00DE32CC" w:rsidRDefault="00DE32CC" w:rsidP="00DE32CC">
            <w:pPr>
              <w:pStyle w:val="BodyText"/>
              <w:spacing w:before="100" w:after="100"/>
            </w:pPr>
            <w:r>
              <w:rPr>
                <w:snapToGrid w:val="0"/>
              </w:rPr>
              <w:lastRenderedPageBreak/>
              <w:t>(includes calls to national fixed or mobile services that then divert/switch or re-route overseas)</w:t>
            </w:r>
          </w:p>
        </w:tc>
        <w:tc>
          <w:tcPr>
            <w:tcW w:w="3060" w:type="dxa"/>
            <w:vAlign w:val="center"/>
          </w:tcPr>
          <w:p w14:paraId="03A73C31" w14:textId="77777777" w:rsidR="00DE32CC" w:rsidRDefault="00DE32CC" w:rsidP="00DE32CC">
            <w:pPr>
              <w:pStyle w:val="BodyText"/>
              <w:spacing w:before="100" w:after="100"/>
              <w:jc w:val="center"/>
            </w:pPr>
            <w:r>
              <w:lastRenderedPageBreak/>
              <w:t>No</w:t>
            </w:r>
          </w:p>
        </w:tc>
      </w:tr>
      <w:tr w:rsidR="00DE32CC" w14:paraId="4C42DE41" w14:textId="77777777" w:rsidTr="00DE32CC">
        <w:trPr>
          <w:trHeight w:val="247"/>
        </w:trPr>
        <w:tc>
          <w:tcPr>
            <w:tcW w:w="5670" w:type="dxa"/>
            <w:vAlign w:val="center"/>
          </w:tcPr>
          <w:p w14:paraId="041196AD" w14:textId="77777777" w:rsidR="00DE32CC" w:rsidRDefault="00DE32CC" w:rsidP="00DE32CC">
            <w:pPr>
              <w:pStyle w:val="BodyText"/>
              <w:spacing w:before="100" w:after="100"/>
            </w:pPr>
            <w:r>
              <w:t>National Standard SMS</w:t>
            </w:r>
          </w:p>
        </w:tc>
        <w:tc>
          <w:tcPr>
            <w:tcW w:w="3060" w:type="dxa"/>
            <w:vAlign w:val="center"/>
          </w:tcPr>
          <w:p w14:paraId="31CE23DF" w14:textId="77777777" w:rsidR="00DE32CC" w:rsidRDefault="00DE32CC" w:rsidP="00DE32CC">
            <w:pPr>
              <w:pStyle w:val="BodyText"/>
              <w:spacing w:before="100" w:after="100"/>
              <w:jc w:val="center"/>
            </w:pPr>
            <w:r>
              <w:t>No</w:t>
            </w:r>
          </w:p>
        </w:tc>
      </w:tr>
      <w:tr w:rsidR="00DE32CC" w14:paraId="5E2CB6C4" w14:textId="77777777" w:rsidTr="00DE32CC">
        <w:trPr>
          <w:trHeight w:val="247"/>
        </w:trPr>
        <w:tc>
          <w:tcPr>
            <w:tcW w:w="5670" w:type="dxa"/>
            <w:vAlign w:val="center"/>
          </w:tcPr>
          <w:p w14:paraId="3C553EF4" w14:textId="77777777" w:rsidR="00DE32CC" w:rsidRDefault="00DE32CC" w:rsidP="00DE32CC">
            <w:pPr>
              <w:pStyle w:val="BodyText"/>
              <w:spacing w:before="100" w:after="100"/>
            </w:pPr>
            <w:r>
              <w:t>International SMS</w:t>
            </w:r>
          </w:p>
        </w:tc>
        <w:tc>
          <w:tcPr>
            <w:tcW w:w="3060" w:type="dxa"/>
            <w:vAlign w:val="center"/>
          </w:tcPr>
          <w:p w14:paraId="2D5CDA3A" w14:textId="77777777" w:rsidR="00DE32CC" w:rsidRDefault="00DE32CC" w:rsidP="00DE32CC">
            <w:pPr>
              <w:pStyle w:val="BodyText"/>
              <w:spacing w:before="100" w:after="100"/>
              <w:jc w:val="center"/>
            </w:pPr>
            <w:r>
              <w:t>No</w:t>
            </w:r>
          </w:p>
        </w:tc>
      </w:tr>
      <w:tr w:rsidR="00DE32CC" w14:paraId="323C439A" w14:textId="77777777" w:rsidTr="00DE32CC">
        <w:trPr>
          <w:trHeight w:val="247"/>
        </w:trPr>
        <w:tc>
          <w:tcPr>
            <w:tcW w:w="5670" w:type="dxa"/>
            <w:vAlign w:val="center"/>
          </w:tcPr>
          <w:p w14:paraId="746C52EB" w14:textId="77777777" w:rsidR="00DE32CC" w:rsidRDefault="00DE32CC" w:rsidP="00DE32CC">
            <w:pPr>
              <w:pStyle w:val="BodyText"/>
              <w:spacing w:before="100" w:after="100"/>
            </w:pPr>
            <w:r>
              <w:t>National MMS</w:t>
            </w:r>
          </w:p>
        </w:tc>
        <w:tc>
          <w:tcPr>
            <w:tcW w:w="3060" w:type="dxa"/>
            <w:vAlign w:val="center"/>
          </w:tcPr>
          <w:p w14:paraId="7AB5F9C7" w14:textId="77777777" w:rsidR="00DE32CC" w:rsidRDefault="00DE32CC" w:rsidP="00DE32CC">
            <w:pPr>
              <w:pStyle w:val="BodyText"/>
              <w:spacing w:before="100" w:after="100"/>
              <w:jc w:val="center"/>
            </w:pPr>
            <w:r>
              <w:t>No</w:t>
            </w:r>
          </w:p>
        </w:tc>
      </w:tr>
      <w:tr w:rsidR="00DE32CC" w14:paraId="0DA8F86E" w14:textId="77777777" w:rsidTr="00DE32CC">
        <w:trPr>
          <w:trHeight w:val="247"/>
        </w:trPr>
        <w:tc>
          <w:tcPr>
            <w:tcW w:w="5670" w:type="dxa"/>
            <w:vAlign w:val="center"/>
          </w:tcPr>
          <w:p w14:paraId="4CFA2B9C" w14:textId="77777777" w:rsidR="00DE32CC" w:rsidRDefault="00DE32CC" w:rsidP="00DE32CC">
            <w:pPr>
              <w:pStyle w:val="BodyText"/>
              <w:spacing w:before="100" w:after="100"/>
            </w:pPr>
            <w:r>
              <w:t>International MMS</w:t>
            </w:r>
          </w:p>
        </w:tc>
        <w:tc>
          <w:tcPr>
            <w:tcW w:w="3060" w:type="dxa"/>
            <w:vAlign w:val="center"/>
          </w:tcPr>
          <w:p w14:paraId="3467D025" w14:textId="77777777" w:rsidR="00DE32CC" w:rsidRDefault="00DE32CC" w:rsidP="00DE32CC">
            <w:pPr>
              <w:pStyle w:val="BodyText"/>
              <w:spacing w:before="100" w:after="100"/>
              <w:jc w:val="center"/>
            </w:pPr>
            <w:r>
              <w:t>No</w:t>
            </w:r>
          </w:p>
        </w:tc>
      </w:tr>
      <w:tr w:rsidR="00DE32CC" w14:paraId="2EF76E86" w14:textId="77777777" w:rsidTr="00DE32CC">
        <w:trPr>
          <w:trHeight w:val="53"/>
        </w:trPr>
        <w:tc>
          <w:tcPr>
            <w:tcW w:w="5670" w:type="dxa"/>
            <w:vAlign w:val="center"/>
          </w:tcPr>
          <w:p w14:paraId="264F5766" w14:textId="77777777" w:rsidR="00DE32CC" w:rsidRDefault="00DE32CC" w:rsidP="00DE32CC">
            <w:pPr>
              <w:pStyle w:val="BodyText"/>
              <w:spacing w:before="100" w:after="100"/>
            </w:pPr>
            <w:r>
              <w:t>Voicemail Diversions</w:t>
            </w:r>
          </w:p>
        </w:tc>
        <w:tc>
          <w:tcPr>
            <w:tcW w:w="3060" w:type="dxa"/>
            <w:vAlign w:val="center"/>
          </w:tcPr>
          <w:p w14:paraId="4CD8A9D0" w14:textId="77777777" w:rsidR="00DE32CC" w:rsidRDefault="00DE32CC" w:rsidP="00DE32CC">
            <w:pPr>
              <w:pStyle w:val="BodyText"/>
              <w:spacing w:before="100" w:after="100"/>
              <w:jc w:val="center"/>
            </w:pPr>
            <w:r>
              <w:t>No</w:t>
            </w:r>
          </w:p>
        </w:tc>
      </w:tr>
      <w:tr w:rsidR="00DE32CC" w14:paraId="486D02C4" w14:textId="77777777" w:rsidTr="00DE32CC">
        <w:trPr>
          <w:trHeight w:val="53"/>
        </w:trPr>
        <w:tc>
          <w:tcPr>
            <w:tcW w:w="5670" w:type="dxa"/>
            <w:vAlign w:val="center"/>
          </w:tcPr>
          <w:p w14:paraId="6557DBFA" w14:textId="77777777" w:rsidR="00DE32CC" w:rsidRDefault="00DE32CC" w:rsidP="00DE32CC">
            <w:pPr>
              <w:pStyle w:val="BodyText"/>
              <w:spacing w:before="100" w:after="100"/>
            </w:pPr>
            <w:r>
              <w:t>Voicemail Deposit and Retrievals</w:t>
            </w:r>
          </w:p>
        </w:tc>
        <w:tc>
          <w:tcPr>
            <w:tcW w:w="3060" w:type="dxa"/>
            <w:vAlign w:val="center"/>
          </w:tcPr>
          <w:p w14:paraId="769EE2BA" w14:textId="77777777" w:rsidR="00DE32CC" w:rsidRDefault="00DE32CC" w:rsidP="00DE32CC">
            <w:pPr>
              <w:pStyle w:val="BodyText"/>
              <w:spacing w:before="100" w:after="100"/>
              <w:jc w:val="center"/>
            </w:pPr>
            <w:r>
              <w:t>No</w:t>
            </w:r>
          </w:p>
        </w:tc>
      </w:tr>
      <w:tr w:rsidR="00DE32CC" w14:paraId="03AECEB2" w14:textId="77777777" w:rsidTr="00DE32CC">
        <w:trPr>
          <w:trHeight w:val="247"/>
        </w:trPr>
        <w:tc>
          <w:tcPr>
            <w:tcW w:w="5670" w:type="dxa"/>
            <w:vAlign w:val="center"/>
          </w:tcPr>
          <w:p w14:paraId="190FE329" w14:textId="77777777" w:rsidR="00DE32CC" w:rsidRDefault="00DE32CC" w:rsidP="00DE32CC">
            <w:pPr>
              <w:pStyle w:val="BodyText"/>
              <w:spacing w:before="100" w:after="100"/>
            </w:pPr>
            <w:r>
              <w:t>International Roaming and Diversion</w:t>
            </w:r>
          </w:p>
        </w:tc>
        <w:tc>
          <w:tcPr>
            <w:tcW w:w="3060" w:type="dxa"/>
            <w:vAlign w:val="center"/>
          </w:tcPr>
          <w:p w14:paraId="118A5A17" w14:textId="77777777" w:rsidR="00DE32CC" w:rsidRDefault="00DE32CC" w:rsidP="00DE32CC">
            <w:pPr>
              <w:pStyle w:val="BodyText"/>
              <w:spacing w:before="100" w:after="100"/>
              <w:jc w:val="center"/>
            </w:pPr>
            <w:r>
              <w:t>No</w:t>
            </w:r>
          </w:p>
        </w:tc>
      </w:tr>
      <w:tr w:rsidR="00DE32CC" w14:paraId="4F66A206" w14:textId="77777777" w:rsidTr="00DE32CC">
        <w:trPr>
          <w:trHeight w:val="247"/>
        </w:trPr>
        <w:tc>
          <w:tcPr>
            <w:tcW w:w="5670" w:type="dxa"/>
            <w:vAlign w:val="center"/>
          </w:tcPr>
          <w:p w14:paraId="643C27D4" w14:textId="77777777" w:rsidR="00DE32CC" w:rsidRDefault="00DE32CC" w:rsidP="00DE32CC">
            <w:pPr>
              <w:pStyle w:val="BodyText"/>
              <w:spacing w:before="100" w:after="100"/>
            </w:pPr>
            <w:r>
              <w:t>Premium SMS</w:t>
            </w:r>
          </w:p>
        </w:tc>
        <w:tc>
          <w:tcPr>
            <w:tcW w:w="3060" w:type="dxa"/>
            <w:vAlign w:val="center"/>
          </w:tcPr>
          <w:p w14:paraId="72D0CD73" w14:textId="77777777" w:rsidR="00DE32CC" w:rsidRDefault="00DE32CC" w:rsidP="00DE32CC">
            <w:pPr>
              <w:pStyle w:val="BodyText"/>
              <w:spacing w:before="100" w:after="100"/>
              <w:jc w:val="center"/>
            </w:pPr>
            <w:r>
              <w:t>No</w:t>
            </w:r>
          </w:p>
        </w:tc>
      </w:tr>
      <w:tr w:rsidR="00DE32CC" w14:paraId="29956CFC" w14:textId="77777777" w:rsidTr="00DE32CC">
        <w:trPr>
          <w:trHeight w:val="247"/>
        </w:trPr>
        <w:tc>
          <w:tcPr>
            <w:tcW w:w="5670" w:type="dxa"/>
            <w:vAlign w:val="center"/>
          </w:tcPr>
          <w:p w14:paraId="2F6293BA" w14:textId="77777777" w:rsidR="00DE32CC" w:rsidRDefault="00DE32CC" w:rsidP="00DE32CC">
            <w:pPr>
              <w:pStyle w:val="BodyText"/>
              <w:spacing w:before="100" w:after="100"/>
            </w:pPr>
            <w:r>
              <w:t>Premium Video</w:t>
            </w:r>
          </w:p>
        </w:tc>
        <w:tc>
          <w:tcPr>
            <w:tcW w:w="3060" w:type="dxa"/>
            <w:vAlign w:val="center"/>
          </w:tcPr>
          <w:p w14:paraId="73CA0E59" w14:textId="77777777" w:rsidR="00DE32CC" w:rsidRDefault="00DE32CC" w:rsidP="00DE32CC">
            <w:pPr>
              <w:pStyle w:val="BodyText"/>
              <w:spacing w:before="100" w:after="100"/>
              <w:jc w:val="center"/>
            </w:pPr>
            <w:r>
              <w:t>No</w:t>
            </w:r>
          </w:p>
        </w:tc>
      </w:tr>
      <w:tr w:rsidR="00DE32CC" w14:paraId="45DEAD62" w14:textId="77777777" w:rsidTr="00DE32CC">
        <w:trPr>
          <w:trHeight w:val="247"/>
        </w:trPr>
        <w:tc>
          <w:tcPr>
            <w:tcW w:w="5670" w:type="dxa"/>
            <w:vAlign w:val="center"/>
          </w:tcPr>
          <w:p w14:paraId="6482D4BD" w14:textId="77777777" w:rsidR="00DE32CC" w:rsidRDefault="00DE32CC" w:rsidP="00DE32CC">
            <w:pPr>
              <w:pStyle w:val="BodyText"/>
              <w:spacing w:before="100" w:after="100"/>
            </w:pPr>
            <w:r>
              <w:t>Video Conferencing</w:t>
            </w:r>
          </w:p>
        </w:tc>
        <w:tc>
          <w:tcPr>
            <w:tcW w:w="3060" w:type="dxa"/>
            <w:vAlign w:val="center"/>
          </w:tcPr>
          <w:p w14:paraId="0A2844A9" w14:textId="77777777" w:rsidR="00DE32CC" w:rsidRDefault="00DE32CC" w:rsidP="00DE32CC">
            <w:pPr>
              <w:pStyle w:val="BodyText"/>
              <w:spacing w:before="100" w:after="100"/>
              <w:jc w:val="center"/>
            </w:pPr>
            <w:r>
              <w:t>No</w:t>
            </w:r>
          </w:p>
        </w:tc>
      </w:tr>
      <w:tr w:rsidR="00DE32CC" w14:paraId="5DA9B575" w14:textId="77777777" w:rsidTr="00DE32CC">
        <w:trPr>
          <w:trHeight w:val="53"/>
        </w:trPr>
        <w:tc>
          <w:tcPr>
            <w:tcW w:w="5670" w:type="dxa"/>
            <w:vAlign w:val="center"/>
          </w:tcPr>
          <w:p w14:paraId="0AAE65F7" w14:textId="77777777" w:rsidR="00DE32CC" w:rsidRDefault="00DE32CC" w:rsidP="00DE32CC">
            <w:pPr>
              <w:pStyle w:val="BodyText"/>
              <w:spacing w:before="100" w:after="100"/>
            </w:pPr>
            <w:r>
              <w:t>Mobile Internet usage</w:t>
            </w:r>
          </w:p>
        </w:tc>
        <w:tc>
          <w:tcPr>
            <w:tcW w:w="3060" w:type="dxa"/>
            <w:vAlign w:val="center"/>
          </w:tcPr>
          <w:p w14:paraId="5F8A74A5" w14:textId="77777777" w:rsidR="00DE32CC" w:rsidRDefault="00DE32CC" w:rsidP="00DE32CC">
            <w:pPr>
              <w:pStyle w:val="BodyText"/>
              <w:spacing w:before="100" w:after="100"/>
              <w:jc w:val="center"/>
            </w:pPr>
            <w:r>
              <w:t>Yes</w:t>
            </w:r>
          </w:p>
        </w:tc>
      </w:tr>
      <w:tr w:rsidR="00DE32CC" w14:paraId="35AC5C39" w14:textId="77777777" w:rsidTr="00DE32CC">
        <w:trPr>
          <w:trHeight w:val="53"/>
        </w:trPr>
        <w:tc>
          <w:tcPr>
            <w:tcW w:w="5670" w:type="dxa"/>
            <w:vAlign w:val="center"/>
          </w:tcPr>
          <w:p w14:paraId="52A32956" w14:textId="77777777" w:rsidR="00DE32CC" w:rsidRDefault="00DE32CC" w:rsidP="00DE32CC">
            <w:pPr>
              <w:pStyle w:val="BodyText"/>
              <w:spacing w:before="100" w:after="100"/>
            </w:pPr>
            <w:r>
              <w:t>Mobile as Modem</w:t>
            </w:r>
          </w:p>
        </w:tc>
        <w:tc>
          <w:tcPr>
            <w:tcW w:w="3060" w:type="dxa"/>
            <w:vAlign w:val="center"/>
          </w:tcPr>
          <w:p w14:paraId="5875AE4B" w14:textId="77777777" w:rsidR="00DE32CC" w:rsidRDefault="00DE32CC" w:rsidP="00DE32CC">
            <w:pPr>
              <w:pStyle w:val="BodyText"/>
              <w:spacing w:before="100" w:after="100"/>
              <w:jc w:val="center"/>
            </w:pPr>
            <w:r>
              <w:t>No</w:t>
            </w:r>
          </w:p>
        </w:tc>
      </w:tr>
      <w:tr w:rsidR="00DE32CC" w14:paraId="2A1D35FE" w14:textId="77777777" w:rsidTr="00DE32CC">
        <w:trPr>
          <w:trHeight w:val="53"/>
        </w:trPr>
        <w:tc>
          <w:tcPr>
            <w:tcW w:w="5670" w:type="dxa"/>
            <w:vAlign w:val="center"/>
          </w:tcPr>
          <w:p w14:paraId="305ABC8B" w14:textId="77777777" w:rsidR="00DE32CC" w:rsidRDefault="00DE32CC" w:rsidP="00DE32CC">
            <w:pPr>
              <w:pStyle w:val="BodyText"/>
              <w:spacing w:before="100" w:after="100"/>
            </w:pPr>
            <w:r>
              <w:t>Data Used while Roaming Internationally</w:t>
            </w:r>
          </w:p>
        </w:tc>
        <w:tc>
          <w:tcPr>
            <w:tcW w:w="3060" w:type="dxa"/>
            <w:vAlign w:val="center"/>
          </w:tcPr>
          <w:p w14:paraId="23FFDF10" w14:textId="77777777" w:rsidR="00DE32CC" w:rsidRDefault="00DE32CC" w:rsidP="00DE32CC">
            <w:pPr>
              <w:pStyle w:val="BodyText"/>
              <w:spacing w:before="100" w:after="100"/>
              <w:jc w:val="center"/>
            </w:pPr>
            <w:r>
              <w:t>No</w:t>
            </w:r>
          </w:p>
        </w:tc>
      </w:tr>
      <w:tr w:rsidR="00DE32CC" w14:paraId="1B160E99" w14:textId="77777777" w:rsidTr="00DE32CC">
        <w:trPr>
          <w:trHeight w:val="53"/>
        </w:trPr>
        <w:tc>
          <w:tcPr>
            <w:tcW w:w="5670" w:type="dxa"/>
            <w:vAlign w:val="center"/>
          </w:tcPr>
          <w:p w14:paraId="3DAD0832" w14:textId="77777777" w:rsidR="00DE32CC" w:rsidRDefault="00DE32CC" w:rsidP="00DE32CC">
            <w:pPr>
              <w:pStyle w:val="BodyText"/>
              <w:spacing w:before="100" w:after="100"/>
            </w:pPr>
            <w:r>
              <w:t>Content Packs (unless specified in promotions)</w:t>
            </w:r>
          </w:p>
        </w:tc>
        <w:tc>
          <w:tcPr>
            <w:tcW w:w="3060" w:type="dxa"/>
            <w:vAlign w:val="center"/>
          </w:tcPr>
          <w:p w14:paraId="32204579" w14:textId="77777777" w:rsidR="00DE32CC" w:rsidRDefault="00DE32CC" w:rsidP="00DE32CC">
            <w:pPr>
              <w:pStyle w:val="BodyText"/>
              <w:spacing w:before="100" w:after="100"/>
              <w:jc w:val="center"/>
            </w:pPr>
            <w:r>
              <w:t>No</w:t>
            </w:r>
          </w:p>
        </w:tc>
      </w:tr>
      <w:tr w:rsidR="00DE32CC" w14:paraId="02E66074" w14:textId="77777777" w:rsidTr="00DE32CC">
        <w:trPr>
          <w:trHeight w:val="53"/>
        </w:trPr>
        <w:tc>
          <w:tcPr>
            <w:tcW w:w="5670" w:type="dxa"/>
            <w:vAlign w:val="center"/>
          </w:tcPr>
          <w:p w14:paraId="383ABCAE" w14:textId="77777777" w:rsidR="00DE32CC" w:rsidRDefault="00DE32CC" w:rsidP="00DE32CC">
            <w:pPr>
              <w:pStyle w:val="BodyText"/>
              <w:spacing w:before="100" w:after="100"/>
            </w:pPr>
            <w:r>
              <w:t>TrueLocal Usage</w:t>
            </w:r>
          </w:p>
        </w:tc>
        <w:tc>
          <w:tcPr>
            <w:tcW w:w="3060" w:type="dxa"/>
            <w:vAlign w:val="center"/>
          </w:tcPr>
          <w:p w14:paraId="4065226C" w14:textId="77777777" w:rsidR="00DE32CC" w:rsidRDefault="00DE32CC" w:rsidP="00DE32CC">
            <w:pPr>
              <w:pStyle w:val="BodyText"/>
              <w:spacing w:before="100" w:after="100"/>
              <w:jc w:val="center"/>
            </w:pPr>
            <w:r>
              <w:t>No</w:t>
            </w:r>
          </w:p>
        </w:tc>
      </w:tr>
      <w:tr w:rsidR="00DE32CC" w14:paraId="7B4E22E0" w14:textId="77777777" w:rsidTr="00DE32CC">
        <w:trPr>
          <w:trHeight w:val="53"/>
        </w:trPr>
        <w:tc>
          <w:tcPr>
            <w:tcW w:w="5670" w:type="dxa"/>
            <w:vAlign w:val="center"/>
          </w:tcPr>
          <w:p w14:paraId="5B0F0619" w14:textId="77777777" w:rsidR="00DE32CC" w:rsidRDefault="00DE32CC" w:rsidP="00DE32CC">
            <w:pPr>
              <w:pStyle w:val="BodyText"/>
              <w:spacing w:before="100" w:after="100"/>
            </w:pPr>
            <w:r>
              <w:t xml:space="preserve">Directory Assistance- 1223 </w:t>
            </w:r>
          </w:p>
        </w:tc>
        <w:tc>
          <w:tcPr>
            <w:tcW w:w="3060" w:type="dxa"/>
            <w:vAlign w:val="center"/>
          </w:tcPr>
          <w:p w14:paraId="6A69E39E" w14:textId="77777777" w:rsidR="00DE32CC" w:rsidRDefault="00DE32CC" w:rsidP="00DE32CC">
            <w:pPr>
              <w:pStyle w:val="BodyText"/>
              <w:spacing w:before="100" w:after="100"/>
              <w:jc w:val="center"/>
            </w:pPr>
            <w:r>
              <w:t>No</w:t>
            </w:r>
          </w:p>
        </w:tc>
      </w:tr>
      <w:tr w:rsidR="00DE32CC" w14:paraId="6261EDE3" w14:textId="77777777" w:rsidTr="00DE32CC">
        <w:trPr>
          <w:trHeight w:val="247"/>
        </w:trPr>
        <w:tc>
          <w:tcPr>
            <w:tcW w:w="5670" w:type="dxa"/>
            <w:vAlign w:val="center"/>
          </w:tcPr>
          <w:p w14:paraId="7F9CDC97" w14:textId="77777777" w:rsidR="00DE32CC" w:rsidRDefault="00DE32CC" w:rsidP="00DE32CC">
            <w:pPr>
              <w:pStyle w:val="BodyText"/>
              <w:spacing w:before="100" w:after="100"/>
            </w:pPr>
            <w:r>
              <w:t>19XX Numbers</w:t>
            </w:r>
          </w:p>
        </w:tc>
        <w:tc>
          <w:tcPr>
            <w:tcW w:w="3060" w:type="dxa"/>
            <w:vAlign w:val="center"/>
          </w:tcPr>
          <w:p w14:paraId="3FC77861" w14:textId="77777777" w:rsidR="00DE32CC" w:rsidRDefault="00DE32CC" w:rsidP="00DE32CC">
            <w:pPr>
              <w:pStyle w:val="BodyText"/>
              <w:spacing w:before="100" w:after="100"/>
              <w:jc w:val="center"/>
            </w:pPr>
            <w:r>
              <w:t>No</w:t>
            </w:r>
          </w:p>
        </w:tc>
      </w:tr>
      <w:tr w:rsidR="00DE32CC" w14:paraId="6B439F4D" w14:textId="77777777" w:rsidTr="00DE32CC">
        <w:trPr>
          <w:trHeight w:val="247"/>
        </w:trPr>
        <w:tc>
          <w:tcPr>
            <w:tcW w:w="5670" w:type="dxa"/>
            <w:vAlign w:val="center"/>
          </w:tcPr>
          <w:p w14:paraId="61F016B2" w14:textId="77777777" w:rsidR="00DE32CC" w:rsidRDefault="00DE32CC" w:rsidP="00DE32CC">
            <w:pPr>
              <w:pStyle w:val="BodyText"/>
              <w:spacing w:before="100" w:after="100"/>
            </w:pPr>
            <w:r>
              <w:t>1800, 13 and 1300 numbers</w:t>
            </w:r>
          </w:p>
        </w:tc>
        <w:tc>
          <w:tcPr>
            <w:tcW w:w="3060" w:type="dxa"/>
            <w:vAlign w:val="center"/>
          </w:tcPr>
          <w:p w14:paraId="52A3A6D2" w14:textId="77777777" w:rsidR="00DE32CC" w:rsidRDefault="00DE32CC" w:rsidP="00DE32CC">
            <w:pPr>
              <w:pStyle w:val="BodyText"/>
              <w:spacing w:before="100" w:after="100"/>
              <w:jc w:val="center"/>
            </w:pPr>
            <w:r>
              <w:t>No</w:t>
            </w:r>
          </w:p>
        </w:tc>
      </w:tr>
      <w:tr w:rsidR="00DE32CC" w14:paraId="268791E3" w14:textId="77777777" w:rsidTr="00DE32CC">
        <w:trPr>
          <w:trHeight w:val="247"/>
        </w:trPr>
        <w:tc>
          <w:tcPr>
            <w:tcW w:w="5670" w:type="dxa"/>
            <w:vAlign w:val="center"/>
          </w:tcPr>
          <w:p w14:paraId="1C434516" w14:textId="77777777" w:rsidR="00DE32CC" w:rsidRDefault="00DE32CC" w:rsidP="00DE32CC">
            <w:pPr>
              <w:pStyle w:val="BodyText"/>
              <w:spacing w:before="100" w:after="100"/>
            </w:pPr>
            <w:r>
              <w:t>124YES(937)</w:t>
            </w:r>
          </w:p>
        </w:tc>
        <w:tc>
          <w:tcPr>
            <w:tcW w:w="3060" w:type="dxa"/>
            <w:vAlign w:val="center"/>
          </w:tcPr>
          <w:p w14:paraId="5BBE170F" w14:textId="77777777" w:rsidR="00DE32CC" w:rsidRDefault="00DE32CC" w:rsidP="00DE32CC">
            <w:pPr>
              <w:pStyle w:val="BodyText"/>
              <w:spacing w:before="100" w:after="100"/>
              <w:jc w:val="center"/>
            </w:pPr>
            <w:r>
              <w:t>No</w:t>
            </w:r>
          </w:p>
        </w:tc>
      </w:tr>
      <w:tr w:rsidR="00DE32CC" w14:paraId="516A1123" w14:textId="77777777" w:rsidTr="00DE32CC">
        <w:trPr>
          <w:trHeight w:val="262"/>
        </w:trPr>
        <w:tc>
          <w:tcPr>
            <w:tcW w:w="5670" w:type="dxa"/>
            <w:vAlign w:val="center"/>
          </w:tcPr>
          <w:p w14:paraId="39F47979" w14:textId="77777777" w:rsidR="00DE32CC" w:rsidRDefault="00DE32CC" w:rsidP="00DE32CC">
            <w:pPr>
              <w:pStyle w:val="BodyText"/>
              <w:spacing w:before="100" w:after="100"/>
            </w:pPr>
            <w:r>
              <w:t>Insurance</w:t>
            </w:r>
          </w:p>
        </w:tc>
        <w:tc>
          <w:tcPr>
            <w:tcW w:w="3060" w:type="dxa"/>
            <w:vAlign w:val="center"/>
          </w:tcPr>
          <w:p w14:paraId="72E4DFC9" w14:textId="77777777" w:rsidR="00DE32CC" w:rsidRDefault="00DE32CC" w:rsidP="00DE32CC">
            <w:pPr>
              <w:pStyle w:val="BodyText"/>
              <w:spacing w:before="100" w:after="100"/>
              <w:jc w:val="center"/>
            </w:pPr>
            <w:r>
              <w:t>No</w:t>
            </w:r>
          </w:p>
        </w:tc>
      </w:tr>
      <w:tr w:rsidR="00DE32CC" w14:paraId="37466A86" w14:textId="77777777" w:rsidTr="00DE32CC">
        <w:trPr>
          <w:trHeight w:val="262"/>
        </w:trPr>
        <w:tc>
          <w:tcPr>
            <w:tcW w:w="5670" w:type="dxa"/>
            <w:vAlign w:val="center"/>
          </w:tcPr>
          <w:p w14:paraId="6D2053F0" w14:textId="77777777" w:rsidR="00DE32CC" w:rsidRDefault="00DE32CC" w:rsidP="00DE32CC">
            <w:pPr>
              <w:pStyle w:val="BodyText"/>
              <w:spacing w:before="100" w:after="100"/>
            </w:pPr>
            <w:r>
              <w:t>Handset Payments</w:t>
            </w:r>
          </w:p>
        </w:tc>
        <w:tc>
          <w:tcPr>
            <w:tcW w:w="3060" w:type="dxa"/>
            <w:vAlign w:val="center"/>
          </w:tcPr>
          <w:p w14:paraId="0C41116E" w14:textId="77777777" w:rsidR="00DE32CC" w:rsidRDefault="00DE32CC" w:rsidP="00DE32CC">
            <w:pPr>
              <w:pStyle w:val="BodyText"/>
              <w:spacing w:before="100" w:after="100"/>
              <w:jc w:val="center"/>
            </w:pPr>
            <w:r>
              <w:t>No</w:t>
            </w:r>
          </w:p>
        </w:tc>
      </w:tr>
      <w:tr w:rsidR="00DE32CC" w14:paraId="3F1F6FE8" w14:textId="77777777" w:rsidTr="00DE32CC">
        <w:trPr>
          <w:trHeight w:val="262"/>
        </w:trPr>
        <w:tc>
          <w:tcPr>
            <w:tcW w:w="5670" w:type="dxa"/>
            <w:vAlign w:val="center"/>
          </w:tcPr>
          <w:p w14:paraId="23716E0C" w14:textId="77777777" w:rsidR="00DE32CC" w:rsidRDefault="00DE32CC" w:rsidP="00DE32CC">
            <w:pPr>
              <w:pStyle w:val="BodyText"/>
              <w:spacing w:before="100" w:after="100"/>
            </w:pPr>
            <w:r>
              <w:t>Calls to MobileSat</w:t>
            </w:r>
          </w:p>
        </w:tc>
        <w:tc>
          <w:tcPr>
            <w:tcW w:w="3060" w:type="dxa"/>
            <w:vAlign w:val="center"/>
          </w:tcPr>
          <w:p w14:paraId="51979441" w14:textId="77777777" w:rsidR="00DE32CC" w:rsidRDefault="00DE32CC" w:rsidP="00DE32CC">
            <w:pPr>
              <w:pStyle w:val="BodyText"/>
              <w:spacing w:before="100" w:after="100"/>
              <w:jc w:val="center"/>
            </w:pPr>
            <w:r>
              <w:t>No</w:t>
            </w:r>
          </w:p>
        </w:tc>
      </w:tr>
      <w:tr w:rsidR="00DE32CC" w14:paraId="663A2C38" w14:textId="77777777" w:rsidTr="00DE32CC">
        <w:trPr>
          <w:trHeight w:val="262"/>
        </w:trPr>
        <w:tc>
          <w:tcPr>
            <w:tcW w:w="5670" w:type="dxa"/>
            <w:vAlign w:val="center"/>
          </w:tcPr>
          <w:p w14:paraId="3414FF82" w14:textId="77777777" w:rsidR="00DE32CC" w:rsidRDefault="00DE32CC" w:rsidP="00DE32CC">
            <w:pPr>
              <w:pStyle w:val="BodyText"/>
              <w:spacing w:before="100" w:after="100"/>
            </w:pPr>
            <w:r>
              <w:t>VOIP services</w:t>
            </w:r>
          </w:p>
        </w:tc>
        <w:tc>
          <w:tcPr>
            <w:tcW w:w="3060" w:type="dxa"/>
            <w:vAlign w:val="center"/>
          </w:tcPr>
          <w:p w14:paraId="249AEB1B" w14:textId="77777777" w:rsidR="00DE32CC" w:rsidRDefault="00DE32CC" w:rsidP="00DE32CC">
            <w:pPr>
              <w:pStyle w:val="BodyText"/>
              <w:spacing w:before="100" w:after="100"/>
              <w:jc w:val="center"/>
            </w:pPr>
            <w:r>
              <w:t>No</w:t>
            </w:r>
          </w:p>
        </w:tc>
      </w:tr>
    </w:tbl>
    <w:p w14:paraId="60BF5023" w14:textId="77777777" w:rsidR="00DE32CC" w:rsidRPr="00C32103" w:rsidRDefault="00DE32CC" w:rsidP="00DE32CC">
      <w:pPr>
        <w:pStyle w:val="BodyText"/>
        <w:spacing w:before="240"/>
        <w:jc w:val="both"/>
        <w:rPr>
          <w:b/>
        </w:rPr>
      </w:pPr>
      <w:r w:rsidRPr="00C32103">
        <w:rPr>
          <w:b/>
        </w:rPr>
        <w:t>TABLE 3A – Charges for the Business Timeless Fleet Plans</w:t>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75"/>
        <w:gridCol w:w="1402"/>
        <w:gridCol w:w="1401"/>
        <w:gridCol w:w="1401"/>
        <w:gridCol w:w="1401"/>
        <w:gridCol w:w="1401"/>
        <w:gridCol w:w="1401"/>
      </w:tblGrid>
      <w:tr w:rsidR="00DE32CC" w:rsidRPr="00DE779B" w14:paraId="6D1006BF" w14:textId="77777777" w:rsidTr="00DE32CC">
        <w:trPr>
          <w:trHeight w:val="936"/>
          <w:tblHeader/>
        </w:trPr>
        <w:tc>
          <w:tcPr>
            <w:tcW w:w="830" w:type="pct"/>
          </w:tcPr>
          <w:p w14:paraId="267228DB" w14:textId="77777777" w:rsidR="00DE32CC" w:rsidRPr="00DE779B" w:rsidRDefault="00DE32CC" w:rsidP="00DE32CC">
            <w:pPr>
              <w:pStyle w:val="BodyText"/>
              <w:spacing w:before="100" w:after="100"/>
              <w:jc w:val="center"/>
              <w:rPr>
                <w:b/>
                <w:szCs w:val="20"/>
                <w:lang w:eastAsia="en-AU"/>
              </w:rPr>
            </w:pPr>
            <w:r w:rsidRPr="00DE779B">
              <w:rPr>
                <w:b/>
                <w:szCs w:val="20"/>
                <w:lang w:eastAsia="en-AU"/>
              </w:rPr>
              <w:t>M2M, 12 Month, or 24 Month plans</w:t>
            </w:r>
          </w:p>
        </w:tc>
        <w:tc>
          <w:tcPr>
            <w:tcW w:w="695" w:type="pct"/>
          </w:tcPr>
          <w:p w14:paraId="049620BF" w14:textId="77777777" w:rsidR="00DE32CC" w:rsidRPr="00DE779B" w:rsidRDefault="00DE32CC" w:rsidP="00DE32CC">
            <w:pPr>
              <w:pStyle w:val="BodyText"/>
              <w:spacing w:before="100" w:after="100"/>
              <w:jc w:val="center"/>
              <w:rPr>
                <w:b/>
                <w:szCs w:val="20"/>
                <w:lang w:eastAsia="en-AU"/>
              </w:rPr>
            </w:pPr>
            <w:r w:rsidRPr="00DE779B">
              <w:rPr>
                <w:b/>
                <w:szCs w:val="20"/>
                <w:lang w:eastAsia="en-AU"/>
              </w:rPr>
              <w:t>$59 Business Timeless Fleet</w:t>
            </w:r>
          </w:p>
        </w:tc>
        <w:tc>
          <w:tcPr>
            <w:tcW w:w="695" w:type="pct"/>
          </w:tcPr>
          <w:p w14:paraId="0E72E1EF" w14:textId="77777777" w:rsidR="00DE32CC" w:rsidRPr="00DE779B" w:rsidRDefault="00DE32CC" w:rsidP="00DE32CC">
            <w:pPr>
              <w:pStyle w:val="BodyText"/>
              <w:spacing w:before="100" w:after="100"/>
              <w:jc w:val="center"/>
              <w:rPr>
                <w:b/>
                <w:szCs w:val="20"/>
                <w:lang w:eastAsia="en-AU"/>
              </w:rPr>
            </w:pPr>
            <w:r w:rsidRPr="00DE779B">
              <w:rPr>
                <w:b/>
                <w:szCs w:val="20"/>
                <w:lang w:eastAsia="en-AU"/>
              </w:rPr>
              <w:t>$69 Business Timeless Fleet</w:t>
            </w:r>
          </w:p>
        </w:tc>
        <w:tc>
          <w:tcPr>
            <w:tcW w:w="695" w:type="pct"/>
          </w:tcPr>
          <w:p w14:paraId="6852372F" w14:textId="77777777" w:rsidR="00DE32CC" w:rsidRPr="00DE779B" w:rsidRDefault="00DE32CC" w:rsidP="00DE32CC">
            <w:pPr>
              <w:pStyle w:val="BodyText"/>
              <w:spacing w:before="100" w:after="100"/>
              <w:jc w:val="center"/>
              <w:rPr>
                <w:b/>
                <w:szCs w:val="20"/>
                <w:lang w:eastAsia="en-AU"/>
              </w:rPr>
            </w:pPr>
            <w:r w:rsidRPr="00DE779B">
              <w:rPr>
                <w:b/>
                <w:szCs w:val="20"/>
                <w:lang w:eastAsia="en-AU"/>
              </w:rPr>
              <w:t>$79 Business Timeless Fleet</w:t>
            </w:r>
          </w:p>
        </w:tc>
        <w:tc>
          <w:tcPr>
            <w:tcW w:w="695" w:type="pct"/>
          </w:tcPr>
          <w:p w14:paraId="351BEA1B" w14:textId="77777777" w:rsidR="00DE32CC" w:rsidRPr="00DE779B" w:rsidRDefault="00DE32CC" w:rsidP="00DE32CC">
            <w:pPr>
              <w:pStyle w:val="BodyText"/>
              <w:spacing w:before="100" w:after="100"/>
              <w:jc w:val="center"/>
              <w:rPr>
                <w:b/>
                <w:szCs w:val="20"/>
                <w:lang w:eastAsia="en-AU"/>
              </w:rPr>
            </w:pPr>
            <w:r w:rsidRPr="00DE779B">
              <w:rPr>
                <w:b/>
                <w:szCs w:val="20"/>
                <w:lang w:eastAsia="en-AU"/>
              </w:rPr>
              <w:t>$79 Business Timeless Fleet BES</w:t>
            </w:r>
          </w:p>
        </w:tc>
        <w:tc>
          <w:tcPr>
            <w:tcW w:w="695" w:type="pct"/>
          </w:tcPr>
          <w:p w14:paraId="0AF0D418" w14:textId="77777777" w:rsidR="00DE32CC" w:rsidRPr="00DE779B" w:rsidRDefault="00DE32CC" w:rsidP="00DE32CC">
            <w:pPr>
              <w:pStyle w:val="BodyText"/>
              <w:spacing w:before="100" w:after="100"/>
              <w:jc w:val="center"/>
              <w:rPr>
                <w:b/>
                <w:szCs w:val="20"/>
                <w:lang w:eastAsia="en-AU"/>
              </w:rPr>
            </w:pPr>
            <w:r w:rsidRPr="00DE779B">
              <w:rPr>
                <w:b/>
                <w:szCs w:val="20"/>
                <w:lang w:eastAsia="en-AU"/>
              </w:rPr>
              <w:t>$89 Business Timeless Fleet BES</w:t>
            </w:r>
          </w:p>
        </w:tc>
        <w:tc>
          <w:tcPr>
            <w:tcW w:w="695" w:type="pct"/>
          </w:tcPr>
          <w:p w14:paraId="54055EBB" w14:textId="77777777" w:rsidR="00DE32CC" w:rsidRPr="00DE779B" w:rsidRDefault="00DE32CC" w:rsidP="00DE32CC">
            <w:pPr>
              <w:pStyle w:val="BodyText"/>
              <w:spacing w:before="100" w:after="100"/>
              <w:jc w:val="center"/>
              <w:rPr>
                <w:b/>
                <w:szCs w:val="20"/>
                <w:lang w:eastAsia="en-AU"/>
              </w:rPr>
            </w:pPr>
            <w:r w:rsidRPr="00DE779B">
              <w:rPr>
                <w:b/>
                <w:szCs w:val="20"/>
                <w:lang w:eastAsia="en-AU"/>
              </w:rPr>
              <w:t>$99 Business Timeless Fleet BES</w:t>
            </w:r>
          </w:p>
        </w:tc>
      </w:tr>
      <w:tr w:rsidR="00DE32CC" w:rsidRPr="00DE779B" w14:paraId="3DA2C158" w14:textId="77777777" w:rsidTr="00DE32CC">
        <w:trPr>
          <w:trHeight w:val="688"/>
        </w:trPr>
        <w:tc>
          <w:tcPr>
            <w:tcW w:w="830" w:type="pct"/>
            <w:vAlign w:val="center"/>
          </w:tcPr>
          <w:p w14:paraId="1ADFACEC" w14:textId="77777777" w:rsidR="00DE32CC" w:rsidRPr="00DE779B" w:rsidRDefault="00DE32CC" w:rsidP="00DE32CC">
            <w:pPr>
              <w:pStyle w:val="BodyText"/>
              <w:spacing w:before="100" w:after="100"/>
              <w:rPr>
                <w:b/>
                <w:szCs w:val="20"/>
                <w:lang w:eastAsia="en-AU"/>
              </w:rPr>
            </w:pPr>
            <w:r w:rsidRPr="00DE779B">
              <w:rPr>
                <w:b/>
                <w:szCs w:val="20"/>
                <w:lang w:eastAsia="en-AU"/>
              </w:rPr>
              <w:t>Minimum Monthly charge</w:t>
            </w:r>
          </w:p>
        </w:tc>
        <w:tc>
          <w:tcPr>
            <w:tcW w:w="695" w:type="pct"/>
            <w:vAlign w:val="center"/>
          </w:tcPr>
          <w:p w14:paraId="11F9A3FE" w14:textId="77777777" w:rsidR="00DE32CC" w:rsidRPr="00DE779B" w:rsidRDefault="00DE32CC" w:rsidP="00DE32CC">
            <w:pPr>
              <w:pStyle w:val="BodyText"/>
              <w:spacing w:before="100" w:after="100"/>
              <w:jc w:val="center"/>
              <w:rPr>
                <w:szCs w:val="20"/>
                <w:lang w:eastAsia="en-AU"/>
              </w:rPr>
            </w:pPr>
            <w:r w:rsidRPr="00DE779B">
              <w:rPr>
                <w:szCs w:val="20"/>
                <w:lang w:eastAsia="en-AU"/>
              </w:rPr>
              <w:t>$59</w:t>
            </w:r>
          </w:p>
        </w:tc>
        <w:tc>
          <w:tcPr>
            <w:tcW w:w="695" w:type="pct"/>
            <w:vAlign w:val="center"/>
          </w:tcPr>
          <w:p w14:paraId="3114FAFA" w14:textId="77777777" w:rsidR="00DE32CC" w:rsidRPr="00DE779B" w:rsidRDefault="00DE32CC" w:rsidP="00DE32CC">
            <w:pPr>
              <w:pStyle w:val="BodyText"/>
              <w:spacing w:before="100" w:after="100"/>
              <w:jc w:val="center"/>
              <w:rPr>
                <w:szCs w:val="20"/>
                <w:lang w:eastAsia="en-AU"/>
              </w:rPr>
            </w:pPr>
            <w:r w:rsidRPr="00DE779B">
              <w:rPr>
                <w:szCs w:val="20"/>
                <w:lang w:eastAsia="en-AU"/>
              </w:rPr>
              <w:t>$69</w:t>
            </w:r>
          </w:p>
        </w:tc>
        <w:tc>
          <w:tcPr>
            <w:tcW w:w="695" w:type="pct"/>
            <w:vAlign w:val="center"/>
          </w:tcPr>
          <w:p w14:paraId="0CED090A" w14:textId="77777777" w:rsidR="00DE32CC" w:rsidRPr="00DE779B" w:rsidRDefault="00DE32CC" w:rsidP="00DE32CC">
            <w:pPr>
              <w:pStyle w:val="BodyText"/>
              <w:spacing w:before="100" w:after="100"/>
              <w:jc w:val="center"/>
              <w:rPr>
                <w:szCs w:val="20"/>
                <w:lang w:eastAsia="en-AU"/>
              </w:rPr>
            </w:pPr>
            <w:r w:rsidRPr="00DE779B">
              <w:rPr>
                <w:szCs w:val="20"/>
                <w:lang w:eastAsia="en-AU"/>
              </w:rPr>
              <w:t>$79</w:t>
            </w:r>
          </w:p>
        </w:tc>
        <w:tc>
          <w:tcPr>
            <w:tcW w:w="695" w:type="pct"/>
            <w:vAlign w:val="center"/>
          </w:tcPr>
          <w:p w14:paraId="7C806B4B" w14:textId="77777777" w:rsidR="00DE32CC" w:rsidRPr="00DE779B" w:rsidRDefault="00DE32CC" w:rsidP="00DE32CC">
            <w:pPr>
              <w:pStyle w:val="BodyText"/>
              <w:spacing w:before="100" w:after="100"/>
              <w:jc w:val="center"/>
              <w:rPr>
                <w:szCs w:val="20"/>
                <w:lang w:eastAsia="en-AU"/>
              </w:rPr>
            </w:pPr>
            <w:r w:rsidRPr="00DE779B">
              <w:rPr>
                <w:szCs w:val="20"/>
                <w:lang w:eastAsia="en-AU"/>
              </w:rPr>
              <w:t>$79</w:t>
            </w:r>
          </w:p>
        </w:tc>
        <w:tc>
          <w:tcPr>
            <w:tcW w:w="695" w:type="pct"/>
            <w:vAlign w:val="center"/>
          </w:tcPr>
          <w:p w14:paraId="65A111F5" w14:textId="77777777" w:rsidR="00DE32CC" w:rsidRPr="00DE779B" w:rsidRDefault="00DE32CC" w:rsidP="00DE32CC">
            <w:pPr>
              <w:pStyle w:val="BodyText"/>
              <w:spacing w:before="100" w:after="100"/>
              <w:jc w:val="center"/>
              <w:rPr>
                <w:szCs w:val="20"/>
                <w:lang w:eastAsia="en-AU"/>
              </w:rPr>
            </w:pPr>
            <w:r w:rsidRPr="00DE779B">
              <w:rPr>
                <w:szCs w:val="20"/>
                <w:lang w:eastAsia="en-AU"/>
              </w:rPr>
              <w:t>$89</w:t>
            </w:r>
          </w:p>
        </w:tc>
        <w:tc>
          <w:tcPr>
            <w:tcW w:w="695" w:type="pct"/>
            <w:vAlign w:val="center"/>
          </w:tcPr>
          <w:p w14:paraId="6F3ACBA1" w14:textId="77777777" w:rsidR="00DE32CC" w:rsidRPr="00DE779B" w:rsidRDefault="00DE32CC" w:rsidP="00DE32CC">
            <w:pPr>
              <w:pStyle w:val="BodyText"/>
              <w:spacing w:before="100" w:after="100"/>
              <w:jc w:val="center"/>
              <w:rPr>
                <w:szCs w:val="20"/>
                <w:lang w:eastAsia="en-AU"/>
              </w:rPr>
            </w:pPr>
            <w:r w:rsidRPr="00DE779B">
              <w:rPr>
                <w:szCs w:val="20"/>
                <w:lang w:eastAsia="en-AU"/>
              </w:rPr>
              <w:t>$99</w:t>
            </w:r>
          </w:p>
        </w:tc>
      </w:tr>
      <w:tr w:rsidR="00DE32CC" w:rsidRPr="00DE779B" w14:paraId="4B2E025B" w14:textId="77777777" w:rsidTr="00DE32CC">
        <w:trPr>
          <w:trHeight w:val="1124"/>
        </w:trPr>
        <w:tc>
          <w:tcPr>
            <w:tcW w:w="830" w:type="pct"/>
            <w:vAlign w:val="center"/>
          </w:tcPr>
          <w:p w14:paraId="27E02F80" w14:textId="77777777" w:rsidR="00DE32CC" w:rsidRPr="00DE779B" w:rsidRDefault="00DE32CC" w:rsidP="00DE32CC">
            <w:pPr>
              <w:pStyle w:val="BodyText"/>
              <w:spacing w:before="100" w:after="100"/>
              <w:rPr>
                <w:b/>
                <w:szCs w:val="20"/>
                <w:lang w:eastAsia="en-AU"/>
              </w:rPr>
            </w:pPr>
            <w:r w:rsidRPr="00DE779B">
              <w:rPr>
                <w:b/>
                <w:szCs w:val="20"/>
                <w:lang w:eastAsia="en-AU"/>
              </w:rPr>
              <w:lastRenderedPageBreak/>
              <w:t>Standard local &amp; national calls to Australian fixed lines within Australia</w:t>
            </w:r>
          </w:p>
        </w:tc>
        <w:tc>
          <w:tcPr>
            <w:tcW w:w="695" w:type="pct"/>
            <w:vAlign w:val="center"/>
          </w:tcPr>
          <w:p w14:paraId="5E8B15DE"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18D2D3B9"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6B110D29"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0832DD80"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226837DE"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1333F440"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r>
      <w:tr w:rsidR="00DE32CC" w:rsidRPr="00DE779B" w14:paraId="6B18066E" w14:textId="77777777" w:rsidTr="00DE32CC">
        <w:trPr>
          <w:trHeight w:val="1112"/>
        </w:trPr>
        <w:tc>
          <w:tcPr>
            <w:tcW w:w="830" w:type="pct"/>
            <w:vAlign w:val="center"/>
          </w:tcPr>
          <w:p w14:paraId="3F1D455C" w14:textId="77777777" w:rsidR="00DE32CC" w:rsidRPr="00DE779B" w:rsidRDefault="00DE32CC" w:rsidP="00DE32CC">
            <w:pPr>
              <w:pStyle w:val="BodyText"/>
              <w:spacing w:before="100" w:after="100"/>
              <w:rPr>
                <w:b/>
                <w:szCs w:val="20"/>
                <w:lang w:eastAsia="en-AU"/>
              </w:rPr>
            </w:pPr>
            <w:r w:rsidRPr="00DE779B">
              <w:rPr>
                <w:b/>
                <w:szCs w:val="20"/>
                <w:lang w:eastAsia="en-AU"/>
              </w:rPr>
              <w:t>Standard voice &amp; video calls to Australian mobiles (excludes Pivotel) within Australia</w:t>
            </w:r>
          </w:p>
        </w:tc>
        <w:tc>
          <w:tcPr>
            <w:tcW w:w="695" w:type="pct"/>
            <w:vAlign w:val="center"/>
          </w:tcPr>
          <w:p w14:paraId="60FAAE44"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0BFC4A5C"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68BD7539"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474708B0"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0B2520E2"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2A6B2285"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r>
      <w:tr w:rsidR="00DE32CC" w:rsidRPr="00DE779B" w14:paraId="26B0BE55" w14:textId="77777777" w:rsidTr="00DE32CC">
        <w:trPr>
          <w:trHeight w:val="1100"/>
        </w:trPr>
        <w:tc>
          <w:tcPr>
            <w:tcW w:w="830" w:type="pct"/>
            <w:vAlign w:val="center"/>
          </w:tcPr>
          <w:p w14:paraId="13BB9A0F" w14:textId="77777777" w:rsidR="00DE32CC" w:rsidRPr="00DE779B" w:rsidRDefault="00DE32CC" w:rsidP="00DE32CC">
            <w:pPr>
              <w:pStyle w:val="BodyText"/>
              <w:spacing w:before="100" w:after="100"/>
              <w:rPr>
                <w:b/>
                <w:szCs w:val="20"/>
                <w:lang w:eastAsia="en-AU"/>
              </w:rPr>
            </w:pPr>
            <w:r w:rsidRPr="00DE779B">
              <w:rPr>
                <w:b/>
                <w:szCs w:val="20"/>
                <w:lang w:eastAsia="en-AU"/>
              </w:rPr>
              <w:t>Standard national MMS to Australian mobiles (excludes Pivotel) within Australia</w:t>
            </w:r>
          </w:p>
        </w:tc>
        <w:tc>
          <w:tcPr>
            <w:tcW w:w="695" w:type="pct"/>
            <w:vAlign w:val="center"/>
          </w:tcPr>
          <w:p w14:paraId="1F11DABD"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0B013B5D"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494F02D3"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772C40A6"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77B92500"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14CD6537"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r>
      <w:tr w:rsidR="00DE32CC" w:rsidRPr="00DE779B" w14:paraId="58DE94CC" w14:textId="77777777" w:rsidTr="00DE32CC">
        <w:trPr>
          <w:trHeight w:val="1130"/>
        </w:trPr>
        <w:tc>
          <w:tcPr>
            <w:tcW w:w="830" w:type="pct"/>
            <w:vAlign w:val="center"/>
          </w:tcPr>
          <w:p w14:paraId="65828411" w14:textId="77777777" w:rsidR="00DE32CC" w:rsidRPr="00DE779B" w:rsidRDefault="00DE32CC" w:rsidP="00DE32CC">
            <w:pPr>
              <w:pStyle w:val="BodyText"/>
              <w:spacing w:before="100" w:after="100"/>
              <w:rPr>
                <w:b/>
                <w:szCs w:val="20"/>
                <w:lang w:eastAsia="en-AU"/>
              </w:rPr>
            </w:pPr>
            <w:r w:rsidRPr="00DE779B">
              <w:rPr>
                <w:b/>
                <w:szCs w:val="20"/>
                <w:lang w:eastAsia="en-AU"/>
              </w:rPr>
              <w:t>Standard national SMS to Australian mobiles (excludes Pivotel) within Australia</w:t>
            </w:r>
          </w:p>
        </w:tc>
        <w:tc>
          <w:tcPr>
            <w:tcW w:w="695" w:type="pct"/>
            <w:vAlign w:val="center"/>
          </w:tcPr>
          <w:p w14:paraId="5B115B10"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43DF5B51"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6ABEF87B"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3B4F8085"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74022F20"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12D6E367"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r>
      <w:tr w:rsidR="00DE32CC" w:rsidRPr="00DE779B" w14:paraId="35D9D578" w14:textId="77777777" w:rsidTr="00DE32CC">
        <w:trPr>
          <w:trHeight w:val="820"/>
        </w:trPr>
        <w:tc>
          <w:tcPr>
            <w:tcW w:w="830" w:type="pct"/>
            <w:vAlign w:val="center"/>
          </w:tcPr>
          <w:p w14:paraId="6DFF40A8" w14:textId="77777777" w:rsidR="00DE32CC" w:rsidRPr="00DE779B" w:rsidRDefault="00DE32CC" w:rsidP="00DE32CC">
            <w:pPr>
              <w:pStyle w:val="BodyText"/>
              <w:spacing w:before="100" w:after="100"/>
              <w:rPr>
                <w:b/>
                <w:szCs w:val="20"/>
                <w:lang w:eastAsia="en-AU"/>
              </w:rPr>
            </w:pPr>
            <w:r w:rsidRPr="00DE779B">
              <w:rPr>
                <w:b/>
                <w:szCs w:val="20"/>
                <w:lang w:eastAsia="en-AU"/>
              </w:rPr>
              <w:t>Voicemail deposits and retrievals, within Australia</w:t>
            </w:r>
          </w:p>
        </w:tc>
        <w:tc>
          <w:tcPr>
            <w:tcW w:w="695" w:type="pct"/>
            <w:vAlign w:val="center"/>
          </w:tcPr>
          <w:p w14:paraId="7460521B"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2E3AD75C"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2264C083"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0E3A1E23"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66A2CF32"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0EF3B0FF"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r>
      <w:tr w:rsidR="00DE32CC" w:rsidRPr="00DE779B" w14:paraId="4B0E5CA4" w14:textId="77777777" w:rsidTr="00DE32CC">
        <w:trPr>
          <w:trHeight w:val="548"/>
        </w:trPr>
        <w:tc>
          <w:tcPr>
            <w:tcW w:w="830" w:type="pct"/>
            <w:vAlign w:val="center"/>
          </w:tcPr>
          <w:p w14:paraId="00DF243B" w14:textId="77777777" w:rsidR="00DE32CC" w:rsidRPr="00DE779B" w:rsidRDefault="00DE32CC" w:rsidP="00DE32CC">
            <w:pPr>
              <w:pStyle w:val="BodyText"/>
              <w:spacing w:before="100" w:after="100"/>
              <w:rPr>
                <w:b/>
                <w:szCs w:val="20"/>
                <w:lang w:eastAsia="en-AU"/>
              </w:rPr>
            </w:pPr>
            <w:r w:rsidRPr="00DE779B">
              <w:rPr>
                <w:b/>
                <w:szCs w:val="20"/>
                <w:lang w:eastAsia="en-AU"/>
              </w:rPr>
              <w:t>Unlimited access to Facebook®, Twitter, LinkedIn, Ebay, Four Square, MySpace within Australia</w:t>
            </w:r>
          </w:p>
        </w:tc>
        <w:tc>
          <w:tcPr>
            <w:tcW w:w="695" w:type="pct"/>
            <w:vAlign w:val="center"/>
          </w:tcPr>
          <w:p w14:paraId="0B7D916D"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6B40B998"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2D1CEE00"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49E335EA"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2C982987"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647DD983"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r>
      <w:tr w:rsidR="00DE32CC" w:rsidRPr="00DE779B" w14:paraId="20273CA1" w14:textId="77777777" w:rsidTr="00DE32CC">
        <w:trPr>
          <w:trHeight w:val="813"/>
        </w:trPr>
        <w:tc>
          <w:tcPr>
            <w:tcW w:w="830" w:type="pct"/>
            <w:vAlign w:val="center"/>
          </w:tcPr>
          <w:p w14:paraId="0104E88F" w14:textId="77777777" w:rsidR="00DE32CC" w:rsidRPr="00DE779B" w:rsidRDefault="00DE32CC" w:rsidP="00DE32CC">
            <w:pPr>
              <w:pStyle w:val="BodyText"/>
              <w:spacing w:before="100" w:after="100"/>
              <w:rPr>
                <w:b/>
                <w:szCs w:val="20"/>
                <w:lang w:eastAsia="en-AU"/>
              </w:rPr>
            </w:pPr>
            <w:r w:rsidRPr="00DE779B">
              <w:rPr>
                <w:b/>
                <w:szCs w:val="20"/>
                <w:lang w:eastAsia="en-AU"/>
              </w:rPr>
              <w:t>National Voice call charges</w:t>
            </w:r>
            <w:r>
              <w:rPr>
                <w:b/>
                <w:szCs w:val="20"/>
                <w:lang w:eastAsia="en-AU"/>
              </w:rPr>
              <w:t xml:space="preserve"> </w:t>
            </w:r>
            <w:r w:rsidRPr="00DE779B">
              <w:rPr>
                <w:szCs w:val="20"/>
                <w:lang w:eastAsia="en-AU"/>
              </w:rPr>
              <w:t>(per minute)</w:t>
            </w:r>
          </w:p>
        </w:tc>
        <w:tc>
          <w:tcPr>
            <w:tcW w:w="695" w:type="pct"/>
            <w:vAlign w:val="center"/>
          </w:tcPr>
          <w:p w14:paraId="345A556C"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088BCECE"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76896726"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104708BE"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10271A7F"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c>
          <w:tcPr>
            <w:tcW w:w="695" w:type="pct"/>
            <w:vAlign w:val="center"/>
          </w:tcPr>
          <w:p w14:paraId="473039D3"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w:t>
            </w:r>
          </w:p>
        </w:tc>
      </w:tr>
      <w:tr w:rsidR="00DE32CC" w:rsidRPr="00DE779B" w14:paraId="0E709271" w14:textId="77777777" w:rsidTr="00DE32CC">
        <w:trPr>
          <w:trHeight w:val="1329"/>
        </w:trPr>
        <w:tc>
          <w:tcPr>
            <w:tcW w:w="830" w:type="pct"/>
            <w:vAlign w:val="center"/>
          </w:tcPr>
          <w:p w14:paraId="1C4DB253" w14:textId="77777777" w:rsidR="00DE32CC" w:rsidRPr="00DE779B" w:rsidRDefault="00DE32CC" w:rsidP="00DE32CC">
            <w:pPr>
              <w:pStyle w:val="BodyText"/>
              <w:spacing w:before="100" w:after="100"/>
              <w:rPr>
                <w:b/>
                <w:i/>
                <w:iCs/>
                <w:szCs w:val="20"/>
                <w:lang w:eastAsia="en-AU"/>
              </w:rPr>
            </w:pPr>
            <w:r w:rsidRPr="00DE779B">
              <w:rPr>
                <w:b/>
                <w:i/>
                <w:iCs/>
                <w:szCs w:val="20"/>
                <w:lang w:eastAsia="en-AU"/>
              </w:rPr>
              <w:lastRenderedPageBreak/>
              <w:t>Flagfall</w:t>
            </w:r>
            <w:r w:rsidRPr="00DE779B">
              <w:rPr>
                <w:b/>
                <w:szCs w:val="20"/>
                <w:lang w:eastAsia="en-AU"/>
              </w:rPr>
              <w:t xml:space="preserve"> for national voice calls (Call Connection Charge per call) </w:t>
            </w:r>
          </w:p>
        </w:tc>
        <w:tc>
          <w:tcPr>
            <w:tcW w:w="695" w:type="pct"/>
            <w:vAlign w:val="center"/>
          </w:tcPr>
          <w:p w14:paraId="6BBED8B7" w14:textId="77777777" w:rsidR="00DE32CC" w:rsidRPr="00DE779B" w:rsidRDefault="00DE32CC" w:rsidP="00DE32CC">
            <w:pPr>
              <w:pStyle w:val="BodyText"/>
              <w:spacing w:before="100" w:after="100"/>
              <w:jc w:val="center"/>
              <w:rPr>
                <w:szCs w:val="20"/>
                <w:lang w:eastAsia="en-AU"/>
              </w:rPr>
            </w:pPr>
            <w:r w:rsidRPr="00DE779B">
              <w:rPr>
                <w:szCs w:val="20"/>
                <w:lang w:eastAsia="en-AU"/>
              </w:rPr>
              <w:t>$0.35</w:t>
            </w:r>
          </w:p>
        </w:tc>
        <w:tc>
          <w:tcPr>
            <w:tcW w:w="695" w:type="pct"/>
            <w:vAlign w:val="center"/>
          </w:tcPr>
          <w:p w14:paraId="138CD806" w14:textId="77777777" w:rsidR="00DE32CC" w:rsidRPr="00DE779B" w:rsidRDefault="00DE32CC" w:rsidP="00DE32CC">
            <w:pPr>
              <w:pStyle w:val="BodyText"/>
              <w:spacing w:before="100" w:after="100"/>
              <w:jc w:val="center"/>
              <w:rPr>
                <w:szCs w:val="20"/>
                <w:lang w:eastAsia="en-AU"/>
              </w:rPr>
            </w:pPr>
            <w:r w:rsidRPr="00DE779B">
              <w:rPr>
                <w:szCs w:val="20"/>
                <w:lang w:eastAsia="en-AU"/>
              </w:rPr>
              <w:t>$0.35</w:t>
            </w:r>
          </w:p>
        </w:tc>
        <w:tc>
          <w:tcPr>
            <w:tcW w:w="695" w:type="pct"/>
            <w:vAlign w:val="center"/>
          </w:tcPr>
          <w:p w14:paraId="1D481541" w14:textId="77777777" w:rsidR="00DE32CC" w:rsidRPr="00DE779B" w:rsidRDefault="00DE32CC" w:rsidP="00DE32CC">
            <w:pPr>
              <w:pStyle w:val="BodyText"/>
              <w:spacing w:before="100" w:after="100"/>
              <w:jc w:val="center"/>
              <w:rPr>
                <w:szCs w:val="20"/>
                <w:lang w:eastAsia="en-AU"/>
              </w:rPr>
            </w:pPr>
            <w:r w:rsidRPr="00DE779B">
              <w:rPr>
                <w:szCs w:val="20"/>
                <w:lang w:eastAsia="en-AU"/>
              </w:rPr>
              <w:t>$0.35</w:t>
            </w:r>
          </w:p>
        </w:tc>
        <w:tc>
          <w:tcPr>
            <w:tcW w:w="695" w:type="pct"/>
            <w:vAlign w:val="center"/>
          </w:tcPr>
          <w:p w14:paraId="7164257E" w14:textId="77777777" w:rsidR="00DE32CC" w:rsidRPr="00DE779B" w:rsidRDefault="00DE32CC" w:rsidP="00DE32CC">
            <w:pPr>
              <w:pStyle w:val="BodyText"/>
              <w:spacing w:before="100" w:after="100"/>
              <w:jc w:val="center"/>
              <w:rPr>
                <w:szCs w:val="20"/>
                <w:lang w:eastAsia="en-AU"/>
              </w:rPr>
            </w:pPr>
            <w:r w:rsidRPr="00DE779B">
              <w:rPr>
                <w:szCs w:val="20"/>
                <w:lang w:eastAsia="en-AU"/>
              </w:rPr>
              <w:t>$0.35</w:t>
            </w:r>
          </w:p>
        </w:tc>
        <w:tc>
          <w:tcPr>
            <w:tcW w:w="695" w:type="pct"/>
            <w:vAlign w:val="center"/>
          </w:tcPr>
          <w:p w14:paraId="29FF4C89" w14:textId="77777777" w:rsidR="00DE32CC" w:rsidRPr="00DE779B" w:rsidRDefault="00DE32CC" w:rsidP="00DE32CC">
            <w:pPr>
              <w:pStyle w:val="BodyText"/>
              <w:spacing w:before="100" w:after="100"/>
              <w:jc w:val="center"/>
              <w:rPr>
                <w:szCs w:val="20"/>
                <w:lang w:eastAsia="en-AU"/>
              </w:rPr>
            </w:pPr>
            <w:r w:rsidRPr="00DE779B">
              <w:rPr>
                <w:szCs w:val="20"/>
                <w:lang w:eastAsia="en-AU"/>
              </w:rPr>
              <w:t>$0.35</w:t>
            </w:r>
          </w:p>
        </w:tc>
        <w:tc>
          <w:tcPr>
            <w:tcW w:w="695" w:type="pct"/>
            <w:vAlign w:val="center"/>
          </w:tcPr>
          <w:p w14:paraId="4227DDB0" w14:textId="77777777" w:rsidR="00DE32CC" w:rsidRPr="00DE779B" w:rsidRDefault="00DE32CC" w:rsidP="00DE32CC">
            <w:pPr>
              <w:pStyle w:val="BodyText"/>
              <w:spacing w:before="100" w:after="100"/>
              <w:jc w:val="center"/>
              <w:rPr>
                <w:szCs w:val="20"/>
                <w:lang w:eastAsia="en-AU"/>
              </w:rPr>
            </w:pPr>
            <w:r w:rsidRPr="00DE779B">
              <w:rPr>
                <w:szCs w:val="20"/>
                <w:lang w:eastAsia="en-AU"/>
              </w:rPr>
              <w:t>$0.35</w:t>
            </w:r>
          </w:p>
        </w:tc>
      </w:tr>
      <w:tr w:rsidR="00DE32CC" w:rsidRPr="00DE779B" w14:paraId="5371F137" w14:textId="77777777" w:rsidTr="00DE32CC">
        <w:trPr>
          <w:trHeight w:val="53"/>
        </w:trPr>
        <w:tc>
          <w:tcPr>
            <w:tcW w:w="830" w:type="pct"/>
            <w:vAlign w:val="center"/>
          </w:tcPr>
          <w:p w14:paraId="0FAEA2F0" w14:textId="77777777" w:rsidR="00DE32CC" w:rsidRPr="00DE779B" w:rsidRDefault="00DE32CC" w:rsidP="00DE32CC">
            <w:pPr>
              <w:pStyle w:val="BodyText"/>
              <w:spacing w:before="100" w:after="100"/>
              <w:rPr>
                <w:b/>
                <w:iCs/>
                <w:szCs w:val="20"/>
                <w:lang w:eastAsia="en-AU"/>
              </w:rPr>
            </w:pPr>
            <w:r w:rsidRPr="00DE779B">
              <w:rPr>
                <w:b/>
                <w:iCs/>
                <w:szCs w:val="20"/>
                <w:lang w:eastAsia="en-AU"/>
              </w:rPr>
              <w:t>13/1300 Calls</w:t>
            </w:r>
          </w:p>
        </w:tc>
        <w:tc>
          <w:tcPr>
            <w:tcW w:w="695" w:type="pct"/>
            <w:vAlign w:val="center"/>
          </w:tcPr>
          <w:p w14:paraId="39AD9945" w14:textId="77777777" w:rsidR="00DE32CC" w:rsidRPr="00DE779B" w:rsidRDefault="00DE32CC" w:rsidP="00DE32CC">
            <w:pPr>
              <w:pStyle w:val="BodyText"/>
              <w:spacing w:before="100" w:after="100"/>
              <w:jc w:val="center"/>
              <w:rPr>
                <w:szCs w:val="20"/>
                <w:lang w:eastAsia="en-AU"/>
              </w:rPr>
            </w:pPr>
            <w:r w:rsidRPr="00DE779B">
              <w:rPr>
                <w:szCs w:val="20"/>
                <w:lang w:eastAsia="en-AU"/>
              </w:rPr>
              <w:t>30c per call</w:t>
            </w:r>
          </w:p>
        </w:tc>
        <w:tc>
          <w:tcPr>
            <w:tcW w:w="695" w:type="pct"/>
            <w:vAlign w:val="center"/>
          </w:tcPr>
          <w:p w14:paraId="53DDBBDD" w14:textId="77777777" w:rsidR="00DE32CC" w:rsidRPr="00DE779B" w:rsidRDefault="00DE32CC" w:rsidP="00DE32CC">
            <w:pPr>
              <w:pStyle w:val="BodyText"/>
              <w:spacing w:before="100" w:after="100"/>
              <w:jc w:val="center"/>
              <w:rPr>
                <w:szCs w:val="20"/>
                <w:lang w:eastAsia="en-AU"/>
              </w:rPr>
            </w:pPr>
            <w:r w:rsidRPr="00DE779B">
              <w:rPr>
                <w:szCs w:val="20"/>
                <w:lang w:eastAsia="en-AU"/>
              </w:rPr>
              <w:t>30c per call</w:t>
            </w:r>
          </w:p>
        </w:tc>
        <w:tc>
          <w:tcPr>
            <w:tcW w:w="695" w:type="pct"/>
            <w:vAlign w:val="center"/>
          </w:tcPr>
          <w:p w14:paraId="7C7CF848" w14:textId="77777777" w:rsidR="00DE32CC" w:rsidRPr="00DE779B" w:rsidRDefault="00DE32CC" w:rsidP="00DE32CC">
            <w:pPr>
              <w:pStyle w:val="BodyText"/>
              <w:spacing w:before="100" w:after="100"/>
              <w:jc w:val="center"/>
              <w:rPr>
                <w:szCs w:val="20"/>
                <w:lang w:eastAsia="en-AU"/>
              </w:rPr>
            </w:pPr>
            <w:r w:rsidRPr="00DE779B">
              <w:rPr>
                <w:szCs w:val="20"/>
                <w:lang w:eastAsia="en-AU"/>
              </w:rPr>
              <w:t>30c per call</w:t>
            </w:r>
          </w:p>
        </w:tc>
        <w:tc>
          <w:tcPr>
            <w:tcW w:w="695" w:type="pct"/>
            <w:vAlign w:val="center"/>
          </w:tcPr>
          <w:p w14:paraId="614DCAAE" w14:textId="77777777" w:rsidR="00DE32CC" w:rsidRPr="00DE779B" w:rsidRDefault="00DE32CC" w:rsidP="00DE32CC">
            <w:pPr>
              <w:pStyle w:val="BodyText"/>
              <w:spacing w:before="100" w:after="100"/>
              <w:jc w:val="center"/>
              <w:rPr>
                <w:szCs w:val="20"/>
                <w:lang w:eastAsia="en-AU"/>
              </w:rPr>
            </w:pPr>
            <w:r w:rsidRPr="00DE779B">
              <w:rPr>
                <w:szCs w:val="20"/>
                <w:lang w:eastAsia="en-AU"/>
              </w:rPr>
              <w:t>30c per call</w:t>
            </w:r>
          </w:p>
        </w:tc>
        <w:tc>
          <w:tcPr>
            <w:tcW w:w="695" w:type="pct"/>
            <w:vAlign w:val="center"/>
          </w:tcPr>
          <w:p w14:paraId="00655E0A" w14:textId="77777777" w:rsidR="00DE32CC" w:rsidRPr="00DE779B" w:rsidRDefault="00DE32CC" w:rsidP="00DE32CC">
            <w:pPr>
              <w:pStyle w:val="BodyText"/>
              <w:spacing w:before="100" w:after="100"/>
              <w:jc w:val="center"/>
              <w:rPr>
                <w:szCs w:val="20"/>
                <w:lang w:eastAsia="en-AU"/>
              </w:rPr>
            </w:pPr>
            <w:r w:rsidRPr="00DE779B">
              <w:rPr>
                <w:szCs w:val="20"/>
                <w:lang w:eastAsia="en-AU"/>
              </w:rPr>
              <w:t>30c per call</w:t>
            </w:r>
          </w:p>
        </w:tc>
        <w:tc>
          <w:tcPr>
            <w:tcW w:w="695" w:type="pct"/>
            <w:vAlign w:val="center"/>
          </w:tcPr>
          <w:p w14:paraId="4BD55D87" w14:textId="77777777" w:rsidR="00DE32CC" w:rsidRPr="00DE779B" w:rsidRDefault="00DE32CC" w:rsidP="00DE32CC">
            <w:pPr>
              <w:pStyle w:val="BodyText"/>
              <w:spacing w:before="100" w:after="100"/>
              <w:jc w:val="center"/>
              <w:rPr>
                <w:szCs w:val="20"/>
                <w:lang w:eastAsia="en-AU"/>
              </w:rPr>
            </w:pPr>
            <w:r w:rsidRPr="00DE779B">
              <w:rPr>
                <w:szCs w:val="20"/>
                <w:lang w:eastAsia="en-AU"/>
              </w:rPr>
              <w:t>30c per call</w:t>
            </w:r>
          </w:p>
        </w:tc>
      </w:tr>
      <w:tr w:rsidR="00DE32CC" w:rsidRPr="00DE779B" w14:paraId="5A1D98D6" w14:textId="77777777" w:rsidTr="00DE32CC">
        <w:trPr>
          <w:trHeight w:val="53"/>
        </w:trPr>
        <w:tc>
          <w:tcPr>
            <w:tcW w:w="830" w:type="pct"/>
            <w:vAlign w:val="center"/>
          </w:tcPr>
          <w:p w14:paraId="553FA5CB" w14:textId="77777777" w:rsidR="00DE32CC" w:rsidRPr="00DE779B" w:rsidRDefault="00DE32CC" w:rsidP="00DE32CC">
            <w:pPr>
              <w:pStyle w:val="BodyText"/>
              <w:spacing w:before="100" w:after="100"/>
              <w:rPr>
                <w:b/>
                <w:szCs w:val="20"/>
                <w:lang w:eastAsia="en-AU"/>
              </w:rPr>
            </w:pPr>
            <w:r w:rsidRPr="00DE779B">
              <w:rPr>
                <w:b/>
                <w:szCs w:val="20"/>
                <w:lang w:eastAsia="en-AU"/>
              </w:rPr>
              <w:t>International Video call charges</w:t>
            </w:r>
            <w:r>
              <w:rPr>
                <w:b/>
                <w:szCs w:val="20"/>
                <w:lang w:eastAsia="en-AU"/>
              </w:rPr>
              <w:t xml:space="preserve"> </w:t>
            </w:r>
            <w:r w:rsidRPr="00DE779B">
              <w:rPr>
                <w:szCs w:val="20"/>
                <w:lang w:eastAsia="en-AU"/>
              </w:rPr>
              <w:t>(per minute)</w:t>
            </w:r>
          </w:p>
        </w:tc>
        <w:tc>
          <w:tcPr>
            <w:tcW w:w="695" w:type="pct"/>
            <w:vAlign w:val="center"/>
          </w:tcPr>
          <w:p w14:paraId="05C83C49" w14:textId="77777777" w:rsidR="00DE32CC" w:rsidRPr="00DE779B" w:rsidRDefault="00DE32CC" w:rsidP="00DE32CC">
            <w:pPr>
              <w:pStyle w:val="BodyText"/>
              <w:spacing w:before="100" w:after="100"/>
              <w:jc w:val="center"/>
              <w:rPr>
                <w:szCs w:val="20"/>
                <w:lang w:val="sv-SE" w:eastAsia="en-AU"/>
              </w:rPr>
            </w:pPr>
            <w:r w:rsidRPr="00DE779B">
              <w:rPr>
                <w:szCs w:val="20"/>
                <w:lang w:val="sv-SE" w:eastAsia="en-AU"/>
              </w:rPr>
              <w:t>$1.50 per min plus 35c flagfall</w:t>
            </w:r>
          </w:p>
        </w:tc>
        <w:tc>
          <w:tcPr>
            <w:tcW w:w="695" w:type="pct"/>
            <w:vAlign w:val="center"/>
          </w:tcPr>
          <w:p w14:paraId="6DBD6055" w14:textId="77777777" w:rsidR="00DE32CC" w:rsidRPr="00DE779B" w:rsidRDefault="00DE32CC" w:rsidP="00DE32CC">
            <w:pPr>
              <w:pStyle w:val="BodyText"/>
              <w:spacing w:before="100" w:after="100"/>
              <w:jc w:val="center"/>
              <w:rPr>
                <w:szCs w:val="20"/>
                <w:lang w:val="sv-SE" w:eastAsia="en-AU"/>
              </w:rPr>
            </w:pPr>
            <w:r w:rsidRPr="00DE779B">
              <w:rPr>
                <w:szCs w:val="20"/>
                <w:lang w:val="sv-SE" w:eastAsia="en-AU"/>
              </w:rPr>
              <w:t>$1.50 per min plus 35c flagfall</w:t>
            </w:r>
          </w:p>
        </w:tc>
        <w:tc>
          <w:tcPr>
            <w:tcW w:w="695" w:type="pct"/>
            <w:vAlign w:val="center"/>
          </w:tcPr>
          <w:p w14:paraId="15259657" w14:textId="77777777" w:rsidR="00DE32CC" w:rsidRPr="00DE779B" w:rsidRDefault="00DE32CC" w:rsidP="00DE32CC">
            <w:pPr>
              <w:pStyle w:val="BodyText"/>
              <w:spacing w:before="100" w:after="100"/>
              <w:jc w:val="center"/>
              <w:rPr>
                <w:szCs w:val="20"/>
                <w:lang w:val="sv-SE" w:eastAsia="en-AU"/>
              </w:rPr>
            </w:pPr>
            <w:r w:rsidRPr="00DE779B">
              <w:rPr>
                <w:szCs w:val="20"/>
                <w:lang w:val="sv-SE" w:eastAsia="en-AU"/>
              </w:rPr>
              <w:t>$1.50 per min plus 35c flagfall</w:t>
            </w:r>
          </w:p>
        </w:tc>
        <w:tc>
          <w:tcPr>
            <w:tcW w:w="695" w:type="pct"/>
            <w:vAlign w:val="center"/>
          </w:tcPr>
          <w:p w14:paraId="5E054C03" w14:textId="77777777" w:rsidR="00DE32CC" w:rsidRPr="00DE779B" w:rsidRDefault="00DE32CC" w:rsidP="00DE32CC">
            <w:pPr>
              <w:pStyle w:val="BodyText"/>
              <w:spacing w:before="100" w:after="100"/>
              <w:jc w:val="center"/>
              <w:rPr>
                <w:szCs w:val="20"/>
                <w:lang w:val="sv-SE" w:eastAsia="en-AU"/>
              </w:rPr>
            </w:pPr>
            <w:r w:rsidRPr="00DE779B">
              <w:rPr>
                <w:szCs w:val="20"/>
                <w:lang w:val="sv-SE" w:eastAsia="en-AU"/>
              </w:rPr>
              <w:t>$1.50 per min plus 35c flagfall</w:t>
            </w:r>
          </w:p>
        </w:tc>
        <w:tc>
          <w:tcPr>
            <w:tcW w:w="695" w:type="pct"/>
            <w:vAlign w:val="center"/>
          </w:tcPr>
          <w:p w14:paraId="0C420914" w14:textId="77777777" w:rsidR="00DE32CC" w:rsidRPr="00DE779B" w:rsidRDefault="00DE32CC" w:rsidP="00DE32CC">
            <w:pPr>
              <w:pStyle w:val="BodyText"/>
              <w:spacing w:before="100" w:after="100"/>
              <w:jc w:val="center"/>
              <w:rPr>
                <w:szCs w:val="20"/>
                <w:lang w:val="sv-SE" w:eastAsia="en-AU"/>
              </w:rPr>
            </w:pPr>
            <w:r w:rsidRPr="00DE779B">
              <w:rPr>
                <w:szCs w:val="20"/>
                <w:lang w:val="sv-SE" w:eastAsia="en-AU"/>
              </w:rPr>
              <w:t>$1.50 per min plus 35c flagfall</w:t>
            </w:r>
          </w:p>
        </w:tc>
        <w:tc>
          <w:tcPr>
            <w:tcW w:w="695" w:type="pct"/>
            <w:vAlign w:val="center"/>
          </w:tcPr>
          <w:p w14:paraId="5C62ECA7" w14:textId="77777777" w:rsidR="00DE32CC" w:rsidRPr="00DE779B" w:rsidRDefault="00DE32CC" w:rsidP="00DE32CC">
            <w:pPr>
              <w:pStyle w:val="BodyText"/>
              <w:spacing w:before="100" w:after="100"/>
              <w:jc w:val="center"/>
              <w:rPr>
                <w:szCs w:val="20"/>
                <w:lang w:val="sv-SE" w:eastAsia="en-AU"/>
              </w:rPr>
            </w:pPr>
            <w:r w:rsidRPr="00DE779B">
              <w:rPr>
                <w:szCs w:val="20"/>
                <w:lang w:val="sv-SE" w:eastAsia="en-AU"/>
              </w:rPr>
              <w:t>$1.50 per min plus 35c flagfall</w:t>
            </w:r>
          </w:p>
        </w:tc>
      </w:tr>
      <w:tr w:rsidR="00DE32CC" w:rsidRPr="00DE779B" w14:paraId="1421E617" w14:textId="77777777" w:rsidTr="00DE32CC">
        <w:trPr>
          <w:trHeight w:val="831"/>
        </w:trPr>
        <w:tc>
          <w:tcPr>
            <w:tcW w:w="830" w:type="pct"/>
            <w:vAlign w:val="center"/>
          </w:tcPr>
          <w:p w14:paraId="3C7D1F3C" w14:textId="77777777" w:rsidR="00DE32CC" w:rsidRPr="00DE779B" w:rsidRDefault="00DE32CC" w:rsidP="00DE32CC">
            <w:pPr>
              <w:pStyle w:val="BodyText"/>
              <w:spacing w:before="100" w:after="100"/>
              <w:rPr>
                <w:b/>
                <w:szCs w:val="20"/>
                <w:lang w:eastAsia="en-AU"/>
              </w:rPr>
            </w:pPr>
            <w:r w:rsidRPr="00DE779B">
              <w:rPr>
                <w:b/>
                <w:szCs w:val="20"/>
                <w:lang w:eastAsia="en-AU"/>
              </w:rPr>
              <w:t>International SMS (per message up to 160 characters)</w:t>
            </w:r>
          </w:p>
        </w:tc>
        <w:tc>
          <w:tcPr>
            <w:tcW w:w="695" w:type="pct"/>
            <w:vAlign w:val="center"/>
          </w:tcPr>
          <w:p w14:paraId="2724244E" w14:textId="77777777" w:rsidR="00DE32CC" w:rsidRPr="00DE779B" w:rsidRDefault="00DE32CC" w:rsidP="00DE32CC">
            <w:pPr>
              <w:pStyle w:val="BodyText"/>
              <w:spacing w:before="100" w:after="100"/>
              <w:jc w:val="center"/>
              <w:rPr>
                <w:szCs w:val="20"/>
                <w:lang w:eastAsia="en-AU"/>
              </w:rPr>
            </w:pPr>
            <w:r w:rsidRPr="00DE779B">
              <w:rPr>
                <w:szCs w:val="20"/>
                <w:lang w:eastAsia="en-AU"/>
              </w:rPr>
              <w:t>$0.50</w:t>
            </w:r>
          </w:p>
        </w:tc>
        <w:tc>
          <w:tcPr>
            <w:tcW w:w="695" w:type="pct"/>
            <w:vAlign w:val="center"/>
          </w:tcPr>
          <w:p w14:paraId="30918034" w14:textId="77777777" w:rsidR="00DE32CC" w:rsidRPr="00DE779B" w:rsidRDefault="00DE32CC" w:rsidP="00DE32CC">
            <w:pPr>
              <w:pStyle w:val="BodyText"/>
              <w:spacing w:before="100" w:after="100"/>
              <w:jc w:val="center"/>
              <w:rPr>
                <w:szCs w:val="20"/>
                <w:lang w:eastAsia="en-AU"/>
              </w:rPr>
            </w:pPr>
            <w:r w:rsidRPr="00DE779B">
              <w:rPr>
                <w:szCs w:val="20"/>
                <w:lang w:eastAsia="en-AU"/>
              </w:rPr>
              <w:t>$0.50</w:t>
            </w:r>
          </w:p>
        </w:tc>
        <w:tc>
          <w:tcPr>
            <w:tcW w:w="695" w:type="pct"/>
            <w:vAlign w:val="center"/>
          </w:tcPr>
          <w:p w14:paraId="58F029C0" w14:textId="77777777" w:rsidR="00DE32CC" w:rsidRPr="00DE779B" w:rsidRDefault="00DE32CC" w:rsidP="00DE32CC">
            <w:pPr>
              <w:pStyle w:val="BodyText"/>
              <w:spacing w:before="100" w:after="100"/>
              <w:jc w:val="center"/>
              <w:rPr>
                <w:szCs w:val="20"/>
                <w:lang w:eastAsia="en-AU"/>
              </w:rPr>
            </w:pPr>
            <w:r w:rsidRPr="00DE779B">
              <w:rPr>
                <w:szCs w:val="20"/>
                <w:lang w:eastAsia="en-AU"/>
              </w:rPr>
              <w:t>$0.50</w:t>
            </w:r>
          </w:p>
        </w:tc>
        <w:tc>
          <w:tcPr>
            <w:tcW w:w="695" w:type="pct"/>
            <w:vAlign w:val="center"/>
          </w:tcPr>
          <w:p w14:paraId="107E82F2" w14:textId="77777777" w:rsidR="00DE32CC" w:rsidRPr="00DE779B" w:rsidRDefault="00DE32CC" w:rsidP="00DE32CC">
            <w:pPr>
              <w:pStyle w:val="BodyText"/>
              <w:spacing w:before="100" w:after="100"/>
              <w:jc w:val="center"/>
              <w:rPr>
                <w:szCs w:val="20"/>
                <w:lang w:eastAsia="en-AU"/>
              </w:rPr>
            </w:pPr>
            <w:r w:rsidRPr="00DE779B">
              <w:rPr>
                <w:szCs w:val="20"/>
                <w:lang w:eastAsia="en-AU"/>
              </w:rPr>
              <w:t>$0.50</w:t>
            </w:r>
          </w:p>
        </w:tc>
        <w:tc>
          <w:tcPr>
            <w:tcW w:w="695" w:type="pct"/>
            <w:vAlign w:val="center"/>
          </w:tcPr>
          <w:p w14:paraId="6072295F" w14:textId="77777777" w:rsidR="00DE32CC" w:rsidRPr="00DE779B" w:rsidRDefault="00DE32CC" w:rsidP="00DE32CC">
            <w:pPr>
              <w:pStyle w:val="BodyText"/>
              <w:spacing w:before="100" w:after="100"/>
              <w:jc w:val="center"/>
              <w:rPr>
                <w:szCs w:val="20"/>
                <w:lang w:eastAsia="en-AU"/>
              </w:rPr>
            </w:pPr>
            <w:r w:rsidRPr="00DE779B">
              <w:rPr>
                <w:szCs w:val="20"/>
                <w:lang w:eastAsia="en-AU"/>
              </w:rPr>
              <w:t>$0.50</w:t>
            </w:r>
          </w:p>
        </w:tc>
        <w:tc>
          <w:tcPr>
            <w:tcW w:w="695" w:type="pct"/>
            <w:vAlign w:val="center"/>
          </w:tcPr>
          <w:p w14:paraId="16AA08D7" w14:textId="77777777" w:rsidR="00DE32CC" w:rsidRPr="00DE779B" w:rsidRDefault="00DE32CC" w:rsidP="00DE32CC">
            <w:pPr>
              <w:pStyle w:val="BodyText"/>
              <w:spacing w:before="100" w:after="100"/>
              <w:jc w:val="center"/>
              <w:rPr>
                <w:szCs w:val="20"/>
                <w:lang w:eastAsia="en-AU"/>
              </w:rPr>
            </w:pPr>
            <w:r w:rsidRPr="00DE779B">
              <w:rPr>
                <w:szCs w:val="20"/>
                <w:lang w:eastAsia="en-AU"/>
              </w:rPr>
              <w:t>$0.50</w:t>
            </w:r>
          </w:p>
        </w:tc>
      </w:tr>
      <w:tr w:rsidR="00DE32CC" w:rsidRPr="00DE779B" w14:paraId="3D454532" w14:textId="77777777" w:rsidTr="00DE32CC">
        <w:trPr>
          <w:trHeight w:val="831"/>
        </w:trPr>
        <w:tc>
          <w:tcPr>
            <w:tcW w:w="830" w:type="pct"/>
            <w:vAlign w:val="center"/>
          </w:tcPr>
          <w:p w14:paraId="7384CCDB" w14:textId="77777777" w:rsidR="00DE32CC" w:rsidRPr="00DE779B" w:rsidRDefault="00DE32CC" w:rsidP="00DE32CC">
            <w:pPr>
              <w:pStyle w:val="BodyText"/>
              <w:spacing w:before="100" w:after="100"/>
              <w:rPr>
                <w:b/>
                <w:szCs w:val="20"/>
                <w:lang w:eastAsia="en-AU"/>
              </w:rPr>
            </w:pPr>
            <w:r w:rsidRPr="00DE779B">
              <w:rPr>
                <w:b/>
                <w:szCs w:val="20"/>
                <w:lang w:eastAsia="en-AU"/>
              </w:rPr>
              <w:t>International MMS (per message)</w:t>
            </w:r>
          </w:p>
        </w:tc>
        <w:tc>
          <w:tcPr>
            <w:tcW w:w="695" w:type="pct"/>
            <w:vAlign w:val="center"/>
          </w:tcPr>
          <w:p w14:paraId="48B3D8DB" w14:textId="77777777" w:rsidR="00DE32CC" w:rsidRPr="00DE779B" w:rsidRDefault="00DE32CC" w:rsidP="00DE32CC">
            <w:pPr>
              <w:pStyle w:val="BodyText"/>
              <w:spacing w:before="100" w:after="100"/>
              <w:jc w:val="center"/>
              <w:rPr>
                <w:szCs w:val="20"/>
                <w:lang w:eastAsia="en-AU"/>
              </w:rPr>
            </w:pPr>
            <w:r w:rsidRPr="00DE779B">
              <w:rPr>
                <w:szCs w:val="20"/>
                <w:lang w:eastAsia="en-AU"/>
              </w:rPr>
              <w:t>$0.75</w:t>
            </w:r>
          </w:p>
        </w:tc>
        <w:tc>
          <w:tcPr>
            <w:tcW w:w="695" w:type="pct"/>
            <w:vAlign w:val="center"/>
          </w:tcPr>
          <w:p w14:paraId="36932798" w14:textId="77777777" w:rsidR="00DE32CC" w:rsidRPr="00DE779B" w:rsidRDefault="00DE32CC" w:rsidP="00DE32CC">
            <w:pPr>
              <w:pStyle w:val="BodyText"/>
              <w:spacing w:before="100" w:after="100"/>
              <w:jc w:val="center"/>
              <w:rPr>
                <w:szCs w:val="20"/>
                <w:lang w:eastAsia="en-AU"/>
              </w:rPr>
            </w:pPr>
            <w:r w:rsidRPr="00DE779B">
              <w:rPr>
                <w:szCs w:val="20"/>
                <w:lang w:eastAsia="en-AU"/>
              </w:rPr>
              <w:t>$0.75</w:t>
            </w:r>
          </w:p>
        </w:tc>
        <w:tc>
          <w:tcPr>
            <w:tcW w:w="695" w:type="pct"/>
            <w:vAlign w:val="center"/>
          </w:tcPr>
          <w:p w14:paraId="4662CA7C" w14:textId="77777777" w:rsidR="00DE32CC" w:rsidRPr="00DE779B" w:rsidRDefault="00DE32CC" w:rsidP="00DE32CC">
            <w:pPr>
              <w:pStyle w:val="BodyText"/>
              <w:spacing w:before="100" w:after="100"/>
              <w:jc w:val="center"/>
              <w:rPr>
                <w:szCs w:val="20"/>
                <w:lang w:eastAsia="en-AU"/>
              </w:rPr>
            </w:pPr>
            <w:r w:rsidRPr="00DE779B">
              <w:rPr>
                <w:szCs w:val="20"/>
                <w:lang w:eastAsia="en-AU"/>
              </w:rPr>
              <w:t>$0.75</w:t>
            </w:r>
          </w:p>
        </w:tc>
        <w:tc>
          <w:tcPr>
            <w:tcW w:w="695" w:type="pct"/>
            <w:vAlign w:val="center"/>
          </w:tcPr>
          <w:p w14:paraId="56FECFD6" w14:textId="77777777" w:rsidR="00DE32CC" w:rsidRPr="00DE779B" w:rsidRDefault="00DE32CC" w:rsidP="00DE32CC">
            <w:pPr>
              <w:pStyle w:val="BodyText"/>
              <w:spacing w:before="100" w:after="100"/>
              <w:jc w:val="center"/>
              <w:rPr>
                <w:szCs w:val="20"/>
                <w:lang w:eastAsia="en-AU"/>
              </w:rPr>
            </w:pPr>
            <w:r w:rsidRPr="00DE779B">
              <w:rPr>
                <w:szCs w:val="20"/>
                <w:lang w:eastAsia="en-AU"/>
              </w:rPr>
              <w:t>$0.75</w:t>
            </w:r>
          </w:p>
        </w:tc>
        <w:tc>
          <w:tcPr>
            <w:tcW w:w="695" w:type="pct"/>
            <w:vAlign w:val="center"/>
          </w:tcPr>
          <w:p w14:paraId="087827F3" w14:textId="77777777" w:rsidR="00DE32CC" w:rsidRPr="00DE779B" w:rsidRDefault="00DE32CC" w:rsidP="00DE32CC">
            <w:pPr>
              <w:pStyle w:val="BodyText"/>
              <w:spacing w:before="100" w:after="100"/>
              <w:jc w:val="center"/>
              <w:rPr>
                <w:szCs w:val="20"/>
                <w:lang w:eastAsia="en-AU"/>
              </w:rPr>
            </w:pPr>
            <w:r w:rsidRPr="00DE779B">
              <w:rPr>
                <w:szCs w:val="20"/>
                <w:lang w:eastAsia="en-AU"/>
              </w:rPr>
              <w:t>$0.75</w:t>
            </w:r>
          </w:p>
        </w:tc>
        <w:tc>
          <w:tcPr>
            <w:tcW w:w="695" w:type="pct"/>
            <w:vAlign w:val="center"/>
          </w:tcPr>
          <w:p w14:paraId="04A15BA4" w14:textId="77777777" w:rsidR="00DE32CC" w:rsidRPr="00DE779B" w:rsidRDefault="00DE32CC" w:rsidP="00DE32CC">
            <w:pPr>
              <w:pStyle w:val="BodyText"/>
              <w:spacing w:before="100" w:after="100"/>
              <w:jc w:val="center"/>
              <w:rPr>
                <w:szCs w:val="20"/>
                <w:lang w:eastAsia="en-AU"/>
              </w:rPr>
            </w:pPr>
            <w:r w:rsidRPr="00DE779B">
              <w:rPr>
                <w:szCs w:val="20"/>
                <w:lang w:eastAsia="en-AU"/>
              </w:rPr>
              <w:t>$0.75</w:t>
            </w:r>
          </w:p>
        </w:tc>
      </w:tr>
      <w:tr w:rsidR="00DE32CC" w:rsidRPr="00DE779B" w14:paraId="2A79BAB8" w14:textId="77777777" w:rsidTr="00DE32CC">
        <w:trPr>
          <w:trHeight w:val="856"/>
        </w:trPr>
        <w:tc>
          <w:tcPr>
            <w:tcW w:w="830" w:type="pct"/>
            <w:vAlign w:val="center"/>
          </w:tcPr>
          <w:p w14:paraId="257C65DC" w14:textId="77777777" w:rsidR="00DE32CC" w:rsidRPr="00DE779B" w:rsidRDefault="00DE32CC" w:rsidP="00DE32CC">
            <w:pPr>
              <w:pStyle w:val="BodyText"/>
              <w:spacing w:before="100" w:after="100"/>
              <w:rPr>
                <w:b/>
                <w:szCs w:val="20"/>
                <w:lang w:eastAsia="en-AU"/>
              </w:rPr>
            </w:pPr>
            <w:r w:rsidRPr="00DE779B">
              <w:rPr>
                <w:b/>
                <w:szCs w:val="20"/>
                <w:lang w:eastAsia="en-AU"/>
              </w:rPr>
              <w:t>Included International Value</w:t>
            </w:r>
          </w:p>
        </w:tc>
        <w:tc>
          <w:tcPr>
            <w:tcW w:w="695" w:type="pct"/>
            <w:vAlign w:val="center"/>
          </w:tcPr>
          <w:p w14:paraId="305C6278" w14:textId="77777777" w:rsidR="00DE32CC" w:rsidRPr="00DE779B" w:rsidRDefault="00DE32CC" w:rsidP="00DE32CC">
            <w:pPr>
              <w:pStyle w:val="BodyText"/>
              <w:spacing w:before="100" w:after="100"/>
              <w:jc w:val="center"/>
              <w:rPr>
                <w:szCs w:val="20"/>
                <w:lang w:eastAsia="en-AU"/>
              </w:rPr>
            </w:pPr>
            <w:r w:rsidRPr="00DE779B">
              <w:rPr>
                <w:szCs w:val="20"/>
                <w:lang w:eastAsia="en-AU"/>
              </w:rPr>
              <w:t>$0</w:t>
            </w:r>
          </w:p>
        </w:tc>
        <w:tc>
          <w:tcPr>
            <w:tcW w:w="695" w:type="pct"/>
            <w:vAlign w:val="center"/>
          </w:tcPr>
          <w:p w14:paraId="633A5C40" w14:textId="77777777" w:rsidR="00DE32CC" w:rsidRPr="00DE779B" w:rsidRDefault="00DE32CC" w:rsidP="00DE32CC">
            <w:pPr>
              <w:pStyle w:val="BodyText"/>
              <w:spacing w:before="100" w:after="100"/>
              <w:jc w:val="center"/>
              <w:rPr>
                <w:szCs w:val="20"/>
                <w:lang w:eastAsia="en-AU"/>
              </w:rPr>
            </w:pPr>
            <w:r w:rsidRPr="00DE779B">
              <w:rPr>
                <w:szCs w:val="20"/>
                <w:lang w:eastAsia="en-AU"/>
              </w:rPr>
              <w:t>$0</w:t>
            </w:r>
          </w:p>
        </w:tc>
        <w:tc>
          <w:tcPr>
            <w:tcW w:w="695" w:type="pct"/>
            <w:vAlign w:val="center"/>
          </w:tcPr>
          <w:p w14:paraId="50F1E81A" w14:textId="77777777" w:rsidR="00DE32CC" w:rsidRPr="00DE779B" w:rsidRDefault="00DE32CC" w:rsidP="00DE32CC">
            <w:pPr>
              <w:pStyle w:val="BodyText"/>
              <w:spacing w:before="100" w:after="100"/>
              <w:jc w:val="center"/>
              <w:rPr>
                <w:szCs w:val="20"/>
                <w:lang w:eastAsia="en-AU"/>
              </w:rPr>
            </w:pPr>
            <w:r w:rsidRPr="00DE779B">
              <w:rPr>
                <w:szCs w:val="20"/>
                <w:lang w:eastAsia="en-AU"/>
              </w:rPr>
              <w:t>$0</w:t>
            </w:r>
          </w:p>
        </w:tc>
        <w:tc>
          <w:tcPr>
            <w:tcW w:w="695" w:type="pct"/>
            <w:vAlign w:val="center"/>
          </w:tcPr>
          <w:p w14:paraId="6B621A04" w14:textId="77777777" w:rsidR="00DE32CC" w:rsidRPr="00DE779B" w:rsidRDefault="00DE32CC" w:rsidP="00DE32CC">
            <w:pPr>
              <w:pStyle w:val="BodyText"/>
              <w:spacing w:before="100" w:after="100"/>
              <w:jc w:val="center"/>
              <w:rPr>
                <w:szCs w:val="20"/>
                <w:lang w:eastAsia="en-AU"/>
              </w:rPr>
            </w:pPr>
            <w:r w:rsidRPr="00DE779B">
              <w:rPr>
                <w:szCs w:val="20"/>
                <w:lang w:eastAsia="en-AU"/>
              </w:rPr>
              <w:t>$0</w:t>
            </w:r>
          </w:p>
        </w:tc>
        <w:tc>
          <w:tcPr>
            <w:tcW w:w="695" w:type="pct"/>
            <w:vAlign w:val="center"/>
          </w:tcPr>
          <w:p w14:paraId="2D8CECDD" w14:textId="77777777" w:rsidR="00DE32CC" w:rsidRPr="00DE779B" w:rsidRDefault="00DE32CC" w:rsidP="00DE32CC">
            <w:pPr>
              <w:pStyle w:val="BodyText"/>
              <w:spacing w:before="100" w:after="100"/>
              <w:jc w:val="center"/>
              <w:rPr>
                <w:szCs w:val="20"/>
                <w:lang w:eastAsia="en-AU"/>
              </w:rPr>
            </w:pPr>
            <w:r w:rsidRPr="00DE779B">
              <w:rPr>
                <w:szCs w:val="20"/>
                <w:lang w:eastAsia="en-AU"/>
              </w:rPr>
              <w:t>$0</w:t>
            </w:r>
          </w:p>
        </w:tc>
        <w:tc>
          <w:tcPr>
            <w:tcW w:w="695" w:type="pct"/>
            <w:vAlign w:val="center"/>
          </w:tcPr>
          <w:p w14:paraId="126792DC" w14:textId="77777777" w:rsidR="00DE32CC" w:rsidRPr="00DE779B" w:rsidRDefault="00DE32CC" w:rsidP="00DE32CC">
            <w:pPr>
              <w:pStyle w:val="BodyText"/>
              <w:spacing w:before="100" w:after="100"/>
              <w:jc w:val="center"/>
              <w:rPr>
                <w:szCs w:val="20"/>
                <w:lang w:eastAsia="en-AU"/>
              </w:rPr>
            </w:pPr>
            <w:r w:rsidRPr="00DE779B">
              <w:rPr>
                <w:szCs w:val="20"/>
                <w:lang w:eastAsia="en-AU"/>
              </w:rPr>
              <w:t>$0</w:t>
            </w:r>
          </w:p>
        </w:tc>
      </w:tr>
      <w:tr w:rsidR="00DE32CC" w:rsidRPr="00DE779B" w14:paraId="0BCACCCB" w14:textId="77777777" w:rsidTr="00DE32CC">
        <w:trPr>
          <w:trHeight w:val="856"/>
        </w:trPr>
        <w:tc>
          <w:tcPr>
            <w:tcW w:w="830" w:type="pct"/>
            <w:vAlign w:val="center"/>
          </w:tcPr>
          <w:p w14:paraId="1AFCF28C" w14:textId="77777777" w:rsidR="00DE32CC" w:rsidRPr="00DE779B" w:rsidRDefault="00DE32CC" w:rsidP="00DE32CC">
            <w:pPr>
              <w:pStyle w:val="BodyText"/>
              <w:keepNext/>
              <w:spacing w:before="100" w:after="100"/>
              <w:rPr>
                <w:b/>
                <w:szCs w:val="20"/>
                <w:lang w:eastAsia="en-AU"/>
              </w:rPr>
            </w:pPr>
            <w:r w:rsidRPr="00DE779B">
              <w:rPr>
                <w:b/>
                <w:szCs w:val="20"/>
                <w:lang w:eastAsia="en-AU"/>
              </w:rPr>
              <w:t>International Rates</w:t>
            </w:r>
          </w:p>
        </w:tc>
        <w:tc>
          <w:tcPr>
            <w:tcW w:w="695" w:type="pct"/>
            <w:vAlign w:val="center"/>
          </w:tcPr>
          <w:p w14:paraId="74F1A632" w14:textId="77777777" w:rsidR="00DE32CC" w:rsidRPr="00DE779B" w:rsidRDefault="00DE32CC" w:rsidP="00DE32CC">
            <w:pPr>
              <w:pStyle w:val="BodyText"/>
              <w:keepNext/>
              <w:spacing w:before="100" w:after="100"/>
              <w:jc w:val="center"/>
              <w:rPr>
                <w:szCs w:val="20"/>
                <w:lang w:eastAsia="en-AU"/>
              </w:rPr>
            </w:pPr>
            <w:r>
              <w:rPr>
                <w:szCs w:val="20"/>
                <w:lang w:eastAsia="en-AU"/>
              </w:rPr>
              <w:t>'</w:t>
            </w:r>
            <w:r w:rsidRPr="00DE779B">
              <w:rPr>
                <w:szCs w:val="20"/>
                <w:lang w:eastAsia="en-AU"/>
              </w:rPr>
              <w:t>yes</w:t>
            </w:r>
            <w:r>
              <w:rPr>
                <w:szCs w:val="20"/>
                <w:lang w:eastAsia="en-AU"/>
              </w:rPr>
              <w:t>'</w:t>
            </w:r>
            <w:r w:rsidRPr="00DE779B">
              <w:rPr>
                <w:szCs w:val="20"/>
                <w:lang w:eastAsia="en-AU"/>
              </w:rPr>
              <w:t xml:space="preserve"> Business International Call Rates (see </w:t>
            </w:r>
            <w:hyperlink r:id="rId898" w:history="1">
              <w:r w:rsidRPr="00DE779B">
                <w:rPr>
                  <w:rStyle w:val="Hyperlink"/>
                  <w:i/>
                  <w:szCs w:val="20"/>
                  <w:lang w:eastAsia="en-AU"/>
                </w:rPr>
                <w:t>Appendix J</w:t>
              </w:r>
            </w:hyperlink>
            <w:r w:rsidRPr="00DE779B">
              <w:rPr>
                <w:szCs w:val="20"/>
                <w:lang w:eastAsia="en-AU"/>
              </w:rPr>
              <w:t>)</w:t>
            </w:r>
          </w:p>
        </w:tc>
        <w:tc>
          <w:tcPr>
            <w:tcW w:w="695" w:type="pct"/>
            <w:vAlign w:val="center"/>
          </w:tcPr>
          <w:p w14:paraId="7581B4FC" w14:textId="77777777" w:rsidR="00DE32CC" w:rsidRPr="00DE779B" w:rsidRDefault="00DE32CC" w:rsidP="00DE32CC">
            <w:pPr>
              <w:pStyle w:val="BodyText"/>
              <w:keepNext/>
              <w:spacing w:before="100" w:after="100"/>
              <w:jc w:val="center"/>
              <w:rPr>
                <w:szCs w:val="20"/>
                <w:lang w:eastAsia="en-AU"/>
              </w:rPr>
            </w:pPr>
            <w:r>
              <w:rPr>
                <w:szCs w:val="20"/>
                <w:lang w:eastAsia="en-AU"/>
              </w:rPr>
              <w:t>'</w:t>
            </w:r>
            <w:r w:rsidRPr="00DE779B">
              <w:rPr>
                <w:szCs w:val="20"/>
                <w:lang w:eastAsia="en-AU"/>
              </w:rPr>
              <w:t>yes</w:t>
            </w:r>
            <w:r>
              <w:rPr>
                <w:szCs w:val="20"/>
                <w:lang w:eastAsia="en-AU"/>
              </w:rPr>
              <w:t>'</w:t>
            </w:r>
            <w:r w:rsidRPr="00DE779B">
              <w:rPr>
                <w:szCs w:val="20"/>
                <w:lang w:eastAsia="en-AU"/>
              </w:rPr>
              <w:t xml:space="preserve"> Business International Call Rates (see </w:t>
            </w:r>
            <w:hyperlink r:id="rId899" w:history="1">
              <w:r w:rsidRPr="00DE779B">
                <w:rPr>
                  <w:rStyle w:val="Hyperlink"/>
                  <w:i/>
                  <w:szCs w:val="20"/>
                  <w:lang w:eastAsia="en-AU"/>
                </w:rPr>
                <w:t>Appendix J</w:t>
              </w:r>
            </w:hyperlink>
            <w:r w:rsidRPr="00DE779B">
              <w:rPr>
                <w:szCs w:val="20"/>
                <w:lang w:eastAsia="en-AU"/>
              </w:rPr>
              <w:t>)</w:t>
            </w:r>
          </w:p>
        </w:tc>
        <w:tc>
          <w:tcPr>
            <w:tcW w:w="695" w:type="pct"/>
            <w:vAlign w:val="center"/>
          </w:tcPr>
          <w:p w14:paraId="0C092C40" w14:textId="77777777" w:rsidR="00DE32CC" w:rsidRPr="00DE779B" w:rsidRDefault="00DE32CC" w:rsidP="00DE32CC">
            <w:pPr>
              <w:pStyle w:val="BodyText"/>
              <w:keepNext/>
              <w:spacing w:before="100" w:after="100"/>
              <w:jc w:val="center"/>
              <w:rPr>
                <w:szCs w:val="20"/>
                <w:lang w:eastAsia="en-AU"/>
              </w:rPr>
            </w:pPr>
            <w:r>
              <w:rPr>
                <w:szCs w:val="20"/>
                <w:lang w:eastAsia="en-AU"/>
              </w:rPr>
              <w:t>'</w:t>
            </w:r>
            <w:r w:rsidRPr="00DE779B">
              <w:rPr>
                <w:szCs w:val="20"/>
                <w:lang w:eastAsia="en-AU"/>
              </w:rPr>
              <w:t>yes</w:t>
            </w:r>
            <w:r>
              <w:rPr>
                <w:szCs w:val="20"/>
                <w:lang w:eastAsia="en-AU"/>
              </w:rPr>
              <w:t>'</w:t>
            </w:r>
            <w:r w:rsidRPr="00DE779B">
              <w:rPr>
                <w:szCs w:val="20"/>
                <w:lang w:eastAsia="en-AU"/>
              </w:rPr>
              <w:t xml:space="preserve"> Business International Call Rates (see </w:t>
            </w:r>
            <w:hyperlink r:id="rId900" w:history="1">
              <w:r w:rsidRPr="00DE779B">
                <w:rPr>
                  <w:rStyle w:val="Hyperlink"/>
                  <w:i/>
                  <w:szCs w:val="20"/>
                  <w:lang w:eastAsia="en-AU"/>
                </w:rPr>
                <w:t>Appendix J</w:t>
              </w:r>
            </w:hyperlink>
            <w:r w:rsidRPr="00DE779B">
              <w:rPr>
                <w:szCs w:val="20"/>
                <w:lang w:eastAsia="en-AU"/>
              </w:rPr>
              <w:t>)</w:t>
            </w:r>
          </w:p>
        </w:tc>
        <w:tc>
          <w:tcPr>
            <w:tcW w:w="695" w:type="pct"/>
            <w:vAlign w:val="center"/>
          </w:tcPr>
          <w:p w14:paraId="56F33ABC" w14:textId="77777777" w:rsidR="00DE32CC" w:rsidRPr="00DE779B" w:rsidRDefault="00DE32CC" w:rsidP="00DE32CC">
            <w:pPr>
              <w:pStyle w:val="BodyText"/>
              <w:keepNext/>
              <w:spacing w:before="100" w:after="100"/>
              <w:jc w:val="center"/>
              <w:rPr>
                <w:szCs w:val="20"/>
                <w:lang w:eastAsia="en-AU"/>
              </w:rPr>
            </w:pPr>
            <w:r>
              <w:rPr>
                <w:szCs w:val="20"/>
                <w:lang w:eastAsia="en-AU"/>
              </w:rPr>
              <w:t>'</w:t>
            </w:r>
            <w:r w:rsidRPr="00DE779B">
              <w:rPr>
                <w:szCs w:val="20"/>
                <w:lang w:eastAsia="en-AU"/>
              </w:rPr>
              <w:t>yes</w:t>
            </w:r>
            <w:r>
              <w:rPr>
                <w:szCs w:val="20"/>
                <w:lang w:eastAsia="en-AU"/>
              </w:rPr>
              <w:t>'</w:t>
            </w:r>
            <w:r w:rsidRPr="00DE779B">
              <w:rPr>
                <w:szCs w:val="20"/>
                <w:lang w:eastAsia="en-AU"/>
              </w:rPr>
              <w:t xml:space="preserve"> Business International Call Rates (see </w:t>
            </w:r>
            <w:hyperlink r:id="rId901" w:history="1">
              <w:r w:rsidRPr="00DE779B">
                <w:rPr>
                  <w:rStyle w:val="Hyperlink"/>
                  <w:i/>
                  <w:szCs w:val="20"/>
                  <w:lang w:eastAsia="en-AU"/>
                </w:rPr>
                <w:t>Appendix J</w:t>
              </w:r>
            </w:hyperlink>
            <w:r w:rsidRPr="00DE779B">
              <w:rPr>
                <w:szCs w:val="20"/>
                <w:lang w:eastAsia="en-AU"/>
              </w:rPr>
              <w:t>)</w:t>
            </w:r>
          </w:p>
        </w:tc>
        <w:tc>
          <w:tcPr>
            <w:tcW w:w="695" w:type="pct"/>
            <w:vAlign w:val="center"/>
          </w:tcPr>
          <w:p w14:paraId="4C2133EF" w14:textId="77777777" w:rsidR="00DE32CC" w:rsidRPr="00DE779B" w:rsidRDefault="00DE32CC" w:rsidP="00DE32CC">
            <w:pPr>
              <w:pStyle w:val="BodyText"/>
              <w:keepNext/>
              <w:spacing w:before="100" w:after="100"/>
              <w:jc w:val="center"/>
              <w:rPr>
                <w:szCs w:val="20"/>
                <w:lang w:eastAsia="en-AU"/>
              </w:rPr>
            </w:pPr>
            <w:r>
              <w:rPr>
                <w:szCs w:val="20"/>
                <w:lang w:eastAsia="en-AU"/>
              </w:rPr>
              <w:t>'</w:t>
            </w:r>
            <w:r w:rsidRPr="00DE779B">
              <w:rPr>
                <w:szCs w:val="20"/>
                <w:lang w:eastAsia="en-AU"/>
              </w:rPr>
              <w:t>yes</w:t>
            </w:r>
            <w:r>
              <w:rPr>
                <w:szCs w:val="20"/>
                <w:lang w:eastAsia="en-AU"/>
              </w:rPr>
              <w:t>'</w:t>
            </w:r>
            <w:r w:rsidRPr="00DE779B">
              <w:rPr>
                <w:szCs w:val="20"/>
                <w:lang w:eastAsia="en-AU"/>
              </w:rPr>
              <w:t xml:space="preserve"> Business International Call Rates (see </w:t>
            </w:r>
            <w:hyperlink r:id="rId902" w:history="1">
              <w:r w:rsidRPr="00DE779B">
                <w:rPr>
                  <w:rStyle w:val="Hyperlink"/>
                  <w:i/>
                  <w:szCs w:val="20"/>
                  <w:lang w:eastAsia="en-AU"/>
                </w:rPr>
                <w:t>Appendix J</w:t>
              </w:r>
            </w:hyperlink>
            <w:r w:rsidRPr="00DE779B">
              <w:rPr>
                <w:szCs w:val="20"/>
                <w:lang w:eastAsia="en-AU"/>
              </w:rPr>
              <w:t>)</w:t>
            </w:r>
          </w:p>
        </w:tc>
        <w:tc>
          <w:tcPr>
            <w:tcW w:w="695" w:type="pct"/>
            <w:vAlign w:val="center"/>
          </w:tcPr>
          <w:p w14:paraId="30D23868" w14:textId="77777777" w:rsidR="00DE32CC" w:rsidRPr="00DE779B" w:rsidRDefault="00DE32CC" w:rsidP="00DE32CC">
            <w:pPr>
              <w:pStyle w:val="BodyText"/>
              <w:keepNext/>
              <w:spacing w:before="100" w:after="100"/>
              <w:jc w:val="center"/>
              <w:rPr>
                <w:szCs w:val="20"/>
                <w:lang w:eastAsia="en-AU"/>
              </w:rPr>
            </w:pPr>
            <w:r>
              <w:rPr>
                <w:szCs w:val="20"/>
                <w:lang w:eastAsia="en-AU"/>
              </w:rPr>
              <w:t>'</w:t>
            </w:r>
            <w:r w:rsidRPr="00DE779B">
              <w:rPr>
                <w:szCs w:val="20"/>
                <w:lang w:eastAsia="en-AU"/>
              </w:rPr>
              <w:t>yes</w:t>
            </w:r>
            <w:r>
              <w:rPr>
                <w:szCs w:val="20"/>
                <w:lang w:eastAsia="en-AU"/>
              </w:rPr>
              <w:t>'</w:t>
            </w:r>
            <w:r w:rsidRPr="00DE779B">
              <w:rPr>
                <w:szCs w:val="20"/>
                <w:lang w:eastAsia="en-AU"/>
              </w:rPr>
              <w:t xml:space="preserve"> Business International Call Rates (see </w:t>
            </w:r>
            <w:hyperlink r:id="rId903" w:history="1">
              <w:r w:rsidRPr="00DE779B">
                <w:rPr>
                  <w:rStyle w:val="Hyperlink"/>
                  <w:i/>
                  <w:szCs w:val="20"/>
                  <w:lang w:eastAsia="en-AU"/>
                </w:rPr>
                <w:t>Appendix J</w:t>
              </w:r>
            </w:hyperlink>
            <w:r w:rsidRPr="00DE779B">
              <w:rPr>
                <w:szCs w:val="20"/>
                <w:lang w:eastAsia="en-AU"/>
              </w:rPr>
              <w:t>)</w:t>
            </w:r>
          </w:p>
        </w:tc>
      </w:tr>
      <w:tr w:rsidR="00DE32CC" w:rsidRPr="00DE779B" w14:paraId="3A1DED49" w14:textId="77777777" w:rsidTr="00DE32CC">
        <w:trPr>
          <w:cantSplit/>
          <w:trHeight w:val="856"/>
        </w:trPr>
        <w:tc>
          <w:tcPr>
            <w:tcW w:w="830" w:type="pct"/>
          </w:tcPr>
          <w:p w14:paraId="7E1F4782" w14:textId="77777777" w:rsidR="00DE32CC" w:rsidRPr="00DE779B" w:rsidRDefault="00DE32CC" w:rsidP="00DE32CC">
            <w:pPr>
              <w:pStyle w:val="BodyText"/>
              <w:spacing w:before="100" w:after="100"/>
              <w:rPr>
                <w:b/>
                <w:szCs w:val="20"/>
                <w:lang w:eastAsia="en-AU"/>
              </w:rPr>
            </w:pPr>
            <w:r w:rsidRPr="00DE779B">
              <w:rPr>
                <w:b/>
                <w:szCs w:val="20"/>
                <w:lang w:eastAsia="en-AU"/>
              </w:rPr>
              <w:t>Your Choice Of Data to use within Australia:</w:t>
            </w:r>
          </w:p>
        </w:tc>
        <w:tc>
          <w:tcPr>
            <w:tcW w:w="695" w:type="pct"/>
            <w:vAlign w:val="center"/>
          </w:tcPr>
          <w:p w14:paraId="1107362C" w14:textId="77777777" w:rsidR="00DE32CC" w:rsidRPr="00DE779B" w:rsidRDefault="00DE32CC" w:rsidP="00DE32CC">
            <w:pPr>
              <w:pStyle w:val="BodyText"/>
              <w:spacing w:before="100" w:after="100"/>
              <w:jc w:val="center"/>
              <w:rPr>
                <w:szCs w:val="20"/>
                <w:lang w:eastAsia="en-AU"/>
              </w:rPr>
            </w:pPr>
            <w:r w:rsidRPr="00DE779B">
              <w:rPr>
                <w:szCs w:val="20"/>
                <w:lang w:eastAsia="en-AU"/>
              </w:rPr>
              <w:t>1GB of Mobile Internet Data</w:t>
            </w:r>
          </w:p>
        </w:tc>
        <w:tc>
          <w:tcPr>
            <w:tcW w:w="695" w:type="pct"/>
            <w:vAlign w:val="center"/>
          </w:tcPr>
          <w:p w14:paraId="5CB5F7D8" w14:textId="77777777" w:rsidR="00DE32CC" w:rsidRPr="00DE779B" w:rsidRDefault="00DE32CC" w:rsidP="00DE32CC">
            <w:pPr>
              <w:pStyle w:val="BodyText"/>
              <w:spacing w:before="100" w:after="100"/>
              <w:jc w:val="center"/>
              <w:rPr>
                <w:szCs w:val="20"/>
                <w:lang w:eastAsia="en-AU"/>
              </w:rPr>
            </w:pPr>
            <w:r w:rsidRPr="00DE779B">
              <w:rPr>
                <w:szCs w:val="20"/>
                <w:lang w:eastAsia="en-AU"/>
              </w:rPr>
              <w:t>2GB of Mobile Internet Data</w:t>
            </w:r>
          </w:p>
        </w:tc>
        <w:tc>
          <w:tcPr>
            <w:tcW w:w="695" w:type="pct"/>
            <w:vAlign w:val="center"/>
          </w:tcPr>
          <w:p w14:paraId="4BF20CB5" w14:textId="77777777" w:rsidR="00DE32CC" w:rsidRPr="00DE779B" w:rsidRDefault="00DE32CC" w:rsidP="00DE32CC">
            <w:pPr>
              <w:pStyle w:val="BodyText"/>
              <w:spacing w:before="100" w:after="100"/>
              <w:jc w:val="center"/>
              <w:rPr>
                <w:szCs w:val="20"/>
                <w:lang w:eastAsia="en-AU"/>
              </w:rPr>
            </w:pPr>
            <w:r w:rsidRPr="00DE779B">
              <w:rPr>
                <w:szCs w:val="20"/>
                <w:lang w:eastAsia="en-AU"/>
              </w:rPr>
              <w:t>3GB of Mobile Internet Data</w:t>
            </w:r>
          </w:p>
        </w:tc>
        <w:tc>
          <w:tcPr>
            <w:tcW w:w="695" w:type="pct"/>
            <w:vAlign w:val="center"/>
          </w:tcPr>
          <w:p w14:paraId="1FDE6388" w14:textId="77777777" w:rsidR="00DE32CC" w:rsidRPr="00DE779B" w:rsidRDefault="00DE32CC" w:rsidP="00DE32CC">
            <w:pPr>
              <w:pStyle w:val="BodyText"/>
              <w:spacing w:before="100" w:after="100"/>
              <w:jc w:val="center"/>
              <w:rPr>
                <w:szCs w:val="20"/>
                <w:lang w:eastAsia="en-AU"/>
              </w:rPr>
            </w:pPr>
            <w:r w:rsidRPr="00DE779B">
              <w:rPr>
                <w:szCs w:val="20"/>
                <w:lang w:eastAsia="en-AU"/>
              </w:rPr>
              <w:t>1GB</w:t>
            </w:r>
          </w:p>
        </w:tc>
        <w:tc>
          <w:tcPr>
            <w:tcW w:w="695" w:type="pct"/>
            <w:vAlign w:val="center"/>
          </w:tcPr>
          <w:p w14:paraId="319D21D6" w14:textId="77777777" w:rsidR="00DE32CC" w:rsidRPr="00DE779B" w:rsidRDefault="00DE32CC" w:rsidP="00DE32CC">
            <w:pPr>
              <w:pStyle w:val="BodyText"/>
              <w:spacing w:before="100" w:after="100"/>
              <w:jc w:val="center"/>
              <w:rPr>
                <w:szCs w:val="20"/>
                <w:lang w:eastAsia="en-AU"/>
              </w:rPr>
            </w:pPr>
            <w:r w:rsidRPr="00DE779B">
              <w:rPr>
                <w:szCs w:val="20"/>
                <w:lang w:eastAsia="en-AU"/>
              </w:rPr>
              <w:t>2GB</w:t>
            </w:r>
          </w:p>
        </w:tc>
        <w:tc>
          <w:tcPr>
            <w:tcW w:w="695" w:type="pct"/>
            <w:vAlign w:val="center"/>
          </w:tcPr>
          <w:p w14:paraId="7427E8E1" w14:textId="77777777" w:rsidR="00DE32CC" w:rsidRPr="00DE779B" w:rsidRDefault="00DE32CC" w:rsidP="00DE32CC">
            <w:pPr>
              <w:pStyle w:val="BodyText"/>
              <w:spacing w:before="100" w:after="100"/>
              <w:jc w:val="center"/>
              <w:rPr>
                <w:szCs w:val="20"/>
                <w:lang w:eastAsia="en-AU"/>
              </w:rPr>
            </w:pPr>
            <w:r w:rsidRPr="00DE779B">
              <w:rPr>
                <w:szCs w:val="20"/>
                <w:lang w:eastAsia="en-AU"/>
              </w:rPr>
              <w:t>3GB</w:t>
            </w:r>
          </w:p>
        </w:tc>
      </w:tr>
      <w:tr w:rsidR="00DE32CC" w:rsidRPr="00DE779B" w14:paraId="586EA8EB" w14:textId="77777777" w:rsidTr="00DE32CC">
        <w:trPr>
          <w:cantSplit/>
          <w:trHeight w:val="856"/>
        </w:trPr>
        <w:tc>
          <w:tcPr>
            <w:tcW w:w="830" w:type="pct"/>
          </w:tcPr>
          <w:p w14:paraId="2924D294" w14:textId="77777777" w:rsidR="00DE32CC" w:rsidRPr="00DE779B" w:rsidRDefault="00DE32CC" w:rsidP="00DE32CC">
            <w:pPr>
              <w:pStyle w:val="BodyText"/>
              <w:spacing w:before="100" w:after="100"/>
              <w:rPr>
                <w:b/>
                <w:szCs w:val="20"/>
                <w:lang w:eastAsia="en-AU"/>
              </w:rPr>
            </w:pPr>
            <w:r w:rsidRPr="00DE779B">
              <w:rPr>
                <w:b/>
                <w:szCs w:val="20"/>
                <w:lang w:eastAsia="en-AU"/>
              </w:rPr>
              <w:t>Your Choice Of Data to use within Australia:</w:t>
            </w:r>
          </w:p>
        </w:tc>
        <w:tc>
          <w:tcPr>
            <w:tcW w:w="695" w:type="pct"/>
            <w:vAlign w:val="center"/>
          </w:tcPr>
          <w:p w14:paraId="04AF2F11" w14:textId="77777777" w:rsidR="00DE32CC" w:rsidRPr="00DE779B" w:rsidRDefault="00DE32CC" w:rsidP="00DE32CC">
            <w:pPr>
              <w:pStyle w:val="BodyText"/>
              <w:spacing w:before="100" w:after="100"/>
              <w:jc w:val="center"/>
              <w:rPr>
                <w:szCs w:val="20"/>
                <w:lang w:eastAsia="en-AU"/>
              </w:rPr>
            </w:pPr>
            <w:r w:rsidRPr="00DE779B">
              <w:rPr>
                <w:szCs w:val="20"/>
                <w:lang w:eastAsia="en-AU"/>
              </w:rPr>
              <w:t>OR</w:t>
            </w:r>
          </w:p>
        </w:tc>
        <w:tc>
          <w:tcPr>
            <w:tcW w:w="695" w:type="pct"/>
            <w:vAlign w:val="center"/>
          </w:tcPr>
          <w:p w14:paraId="4FAD5499" w14:textId="77777777" w:rsidR="00DE32CC" w:rsidRPr="00DE779B" w:rsidRDefault="00DE32CC" w:rsidP="00DE32CC">
            <w:pPr>
              <w:pStyle w:val="BodyText"/>
              <w:spacing w:before="100" w:after="100"/>
              <w:jc w:val="center"/>
              <w:rPr>
                <w:szCs w:val="20"/>
                <w:lang w:eastAsia="en-AU"/>
              </w:rPr>
            </w:pPr>
            <w:r w:rsidRPr="00DE779B">
              <w:rPr>
                <w:szCs w:val="20"/>
                <w:lang w:eastAsia="en-AU"/>
              </w:rPr>
              <w:t>OR</w:t>
            </w:r>
          </w:p>
        </w:tc>
        <w:tc>
          <w:tcPr>
            <w:tcW w:w="695" w:type="pct"/>
            <w:vAlign w:val="center"/>
          </w:tcPr>
          <w:p w14:paraId="47935EFA" w14:textId="77777777" w:rsidR="00DE32CC" w:rsidRPr="00DE779B" w:rsidRDefault="00DE32CC" w:rsidP="00DE32CC">
            <w:pPr>
              <w:pStyle w:val="BodyText"/>
              <w:spacing w:before="100" w:after="100"/>
              <w:jc w:val="center"/>
              <w:rPr>
                <w:szCs w:val="20"/>
                <w:lang w:eastAsia="en-AU"/>
              </w:rPr>
            </w:pPr>
            <w:r w:rsidRPr="00DE779B">
              <w:rPr>
                <w:szCs w:val="20"/>
                <w:lang w:eastAsia="en-AU"/>
              </w:rPr>
              <w:t>OR</w:t>
            </w:r>
          </w:p>
        </w:tc>
        <w:tc>
          <w:tcPr>
            <w:tcW w:w="695" w:type="pct"/>
            <w:vAlign w:val="center"/>
          </w:tcPr>
          <w:p w14:paraId="7BAF7E26" w14:textId="77777777" w:rsidR="00DE32CC" w:rsidRPr="00DE779B" w:rsidRDefault="00DE32CC" w:rsidP="00DE32CC">
            <w:pPr>
              <w:pStyle w:val="BodyText"/>
              <w:spacing w:before="100" w:after="100"/>
              <w:jc w:val="center"/>
              <w:rPr>
                <w:szCs w:val="20"/>
                <w:lang w:eastAsia="en-AU"/>
              </w:rPr>
            </w:pPr>
            <w:r w:rsidRPr="00DE779B">
              <w:rPr>
                <w:szCs w:val="20"/>
                <w:lang w:eastAsia="en-AU"/>
              </w:rPr>
              <w:t>&amp;</w:t>
            </w:r>
          </w:p>
        </w:tc>
        <w:tc>
          <w:tcPr>
            <w:tcW w:w="695" w:type="pct"/>
            <w:vAlign w:val="center"/>
          </w:tcPr>
          <w:p w14:paraId="16877623" w14:textId="77777777" w:rsidR="00DE32CC" w:rsidRPr="00DE779B" w:rsidRDefault="00DE32CC" w:rsidP="00DE32CC">
            <w:pPr>
              <w:pStyle w:val="BodyText"/>
              <w:spacing w:before="100" w:after="100"/>
              <w:jc w:val="center"/>
              <w:rPr>
                <w:szCs w:val="20"/>
                <w:lang w:eastAsia="en-AU"/>
              </w:rPr>
            </w:pPr>
            <w:r w:rsidRPr="00DE779B">
              <w:rPr>
                <w:szCs w:val="20"/>
                <w:lang w:eastAsia="en-AU"/>
              </w:rPr>
              <w:t>&amp;</w:t>
            </w:r>
          </w:p>
        </w:tc>
        <w:tc>
          <w:tcPr>
            <w:tcW w:w="695" w:type="pct"/>
            <w:vAlign w:val="center"/>
          </w:tcPr>
          <w:p w14:paraId="65CBD9C8" w14:textId="77777777" w:rsidR="00DE32CC" w:rsidRPr="00DE779B" w:rsidRDefault="00DE32CC" w:rsidP="00DE32CC">
            <w:pPr>
              <w:pStyle w:val="BodyText"/>
              <w:spacing w:before="100" w:after="100"/>
              <w:jc w:val="center"/>
              <w:rPr>
                <w:szCs w:val="20"/>
                <w:lang w:eastAsia="en-AU"/>
              </w:rPr>
            </w:pPr>
            <w:r w:rsidRPr="00DE779B">
              <w:rPr>
                <w:szCs w:val="20"/>
                <w:lang w:eastAsia="en-AU"/>
              </w:rPr>
              <w:t>&amp;</w:t>
            </w:r>
          </w:p>
        </w:tc>
      </w:tr>
      <w:tr w:rsidR="00DE32CC" w:rsidRPr="00DE779B" w14:paraId="43316CD0" w14:textId="77777777" w:rsidTr="00DE32CC">
        <w:trPr>
          <w:cantSplit/>
          <w:trHeight w:val="856"/>
        </w:trPr>
        <w:tc>
          <w:tcPr>
            <w:tcW w:w="830" w:type="pct"/>
            <w:vAlign w:val="center"/>
          </w:tcPr>
          <w:p w14:paraId="2853225A" w14:textId="77777777" w:rsidR="00DE32CC" w:rsidRPr="00DE779B" w:rsidRDefault="00DE32CC" w:rsidP="00DE32CC">
            <w:pPr>
              <w:pStyle w:val="BodyText"/>
              <w:spacing w:before="100" w:after="100"/>
              <w:rPr>
                <w:b/>
                <w:szCs w:val="20"/>
                <w:lang w:eastAsia="en-AU"/>
              </w:rPr>
            </w:pPr>
            <w:r w:rsidRPr="00DE779B">
              <w:rPr>
                <w:b/>
                <w:szCs w:val="20"/>
                <w:lang w:eastAsia="en-AU"/>
              </w:rPr>
              <w:lastRenderedPageBreak/>
              <w:t>Your Choice Of Data to use within Australia:</w:t>
            </w:r>
          </w:p>
        </w:tc>
        <w:tc>
          <w:tcPr>
            <w:tcW w:w="695" w:type="pct"/>
            <w:vAlign w:val="center"/>
          </w:tcPr>
          <w:p w14:paraId="1859AE84"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 BlackBerry POP3 Email and Browsing through the BlackBerry Browser plus 500MB of Mobile Internet Data</w:t>
            </w:r>
          </w:p>
        </w:tc>
        <w:tc>
          <w:tcPr>
            <w:tcW w:w="695" w:type="pct"/>
            <w:vAlign w:val="center"/>
          </w:tcPr>
          <w:p w14:paraId="4388ACEF"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 BlackBerry POP3 Email and Browsing through the BlackBerry Browser plus 500MB of Mobile Internet Data</w:t>
            </w:r>
          </w:p>
        </w:tc>
        <w:tc>
          <w:tcPr>
            <w:tcW w:w="695" w:type="pct"/>
            <w:vAlign w:val="center"/>
          </w:tcPr>
          <w:p w14:paraId="6D5F2264"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 BlackBerry POP3 Email and Browsing through the BlackBerry Browser plus 500MB of Mobile Internet Data</w:t>
            </w:r>
          </w:p>
        </w:tc>
        <w:tc>
          <w:tcPr>
            <w:tcW w:w="695" w:type="pct"/>
            <w:vAlign w:val="center"/>
          </w:tcPr>
          <w:p w14:paraId="75B740CC"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 BlackBerry Email and Browsing through the BlackBerry Browser</w:t>
            </w:r>
          </w:p>
          <w:p w14:paraId="123DD6A9" w14:textId="77777777" w:rsidR="00DE32CC" w:rsidRPr="00DE779B" w:rsidRDefault="00DE32CC" w:rsidP="00DE32CC">
            <w:pPr>
              <w:pStyle w:val="BodyText"/>
              <w:spacing w:before="100" w:after="100"/>
              <w:jc w:val="center"/>
              <w:rPr>
                <w:szCs w:val="20"/>
                <w:lang w:eastAsia="en-AU"/>
              </w:rPr>
            </w:pPr>
          </w:p>
        </w:tc>
        <w:tc>
          <w:tcPr>
            <w:tcW w:w="695" w:type="pct"/>
            <w:vAlign w:val="center"/>
          </w:tcPr>
          <w:p w14:paraId="6960D14E"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 BlackBerry Email and Browsing through the BlackBerry Browser</w:t>
            </w:r>
          </w:p>
        </w:tc>
        <w:tc>
          <w:tcPr>
            <w:tcW w:w="695" w:type="pct"/>
            <w:vAlign w:val="center"/>
          </w:tcPr>
          <w:p w14:paraId="424A9B37" w14:textId="77777777" w:rsidR="00DE32CC" w:rsidRPr="00DE779B" w:rsidRDefault="00DE32CC" w:rsidP="00DE32CC">
            <w:pPr>
              <w:pStyle w:val="BodyText"/>
              <w:spacing w:before="100" w:after="100"/>
              <w:jc w:val="center"/>
              <w:rPr>
                <w:szCs w:val="20"/>
                <w:lang w:eastAsia="en-AU"/>
              </w:rPr>
            </w:pPr>
            <w:r w:rsidRPr="00DE779B">
              <w:rPr>
                <w:szCs w:val="20"/>
                <w:lang w:eastAsia="en-AU"/>
              </w:rPr>
              <w:t>Unlimited BlackBerry Email and Browsing through the BlackBerry Browser</w:t>
            </w:r>
          </w:p>
        </w:tc>
      </w:tr>
      <w:tr w:rsidR="00DE32CC" w:rsidRPr="00DE779B" w14:paraId="28E76E53" w14:textId="77777777" w:rsidTr="00DE32CC">
        <w:trPr>
          <w:cantSplit/>
          <w:trHeight w:val="856"/>
        </w:trPr>
        <w:tc>
          <w:tcPr>
            <w:tcW w:w="830" w:type="pct"/>
            <w:vAlign w:val="center"/>
          </w:tcPr>
          <w:p w14:paraId="5A284D9D" w14:textId="77777777" w:rsidR="00DE32CC" w:rsidRPr="00DE779B" w:rsidRDefault="00DE32CC" w:rsidP="00DE32CC">
            <w:pPr>
              <w:pStyle w:val="BodyText"/>
              <w:spacing w:before="100" w:after="100"/>
              <w:rPr>
                <w:b/>
                <w:szCs w:val="20"/>
                <w:lang w:eastAsia="en-AU"/>
              </w:rPr>
            </w:pPr>
            <w:r w:rsidRPr="00DE779B">
              <w:rPr>
                <w:b/>
                <w:szCs w:val="20"/>
                <w:lang w:eastAsia="en-AU"/>
              </w:rPr>
              <w:t>Excess Data Charges</w:t>
            </w:r>
          </w:p>
        </w:tc>
        <w:tc>
          <w:tcPr>
            <w:tcW w:w="695" w:type="pct"/>
            <w:vAlign w:val="center"/>
          </w:tcPr>
          <w:p w14:paraId="57366902" w14:textId="77777777" w:rsidR="00DE32CC" w:rsidRPr="00DE779B" w:rsidRDefault="00DE32CC" w:rsidP="00DE32CC">
            <w:pPr>
              <w:pStyle w:val="BodyText"/>
              <w:spacing w:before="100" w:after="100"/>
              <w:jc w:val="center"/>
              <w:rPr>
                <w:szCs w:val="20"/>
                <w:lang w:eastAsia="en-AU"/>
              </w:rPr>
            </w:pPr>
            <w:r w:rsidRPr="00DE779B">
              <w:rPr>
                <w:szCs w:val="20"/>
                <w:lang w:eastAsia="en-AU"/>
              </w:rPr>
              <w:t>$0.10 per MB or part thereof</w:t>
            </w:r>
          </w:p>
        </w:tc>
        <w:tc>
          <w:tcPr>
            <w:tcW w:w="695" w:type="pct"/>
            <w:vAlign w:val="center"/>
          </w:tcPr>
          <w:p w14:paraId="5D675DEC" w14:textId="77777777" w:rsidR="00DE32CC" w:rsidRPr="00DE779B" w:rsidRDefault="00DE32CC" w:rsidP="00DE32CC">
            <w:pPr>
              <w:pStyle w:val="BodyText"/>
              <w:spacing w:before="100" w:after="100"/>
              <w:jc w:val="center"/>
              <w:rPr>
                <w:szCs w:val="20"/>
                <w:lang w:eastAsia="en-AU"/>
              </w:rPr>
            </w:pPr>
            <w:r w:rsidRPr="00DE779B">
              <w:rPr>
                <w:szCs w:val="20"/>
                <w:lang w:eastAsia="en-AU"/>
              </w:rPr>
              <w:t>$0.10 per MB or part thereof</w:t>
            </w:r>
          </w:p>
        </w:tc>
        <w:tc>
          <w:tcPr>
            <w:tcW w:w="695" w:type="pct"/>
            <w:vAlign w:val="center"/>
          </w:tcPr>
          <w:p w14:paraId="618B0BA9" w14:textId="77777777" w:rsidR="00DE32CC" w:rsidRPr="00DE779B" w:rsidRDefault="00DE32CC" w:rsidP="00DE32CC">
            <w:pPr>
              <w:pStyle w:val="BodyText"/>
              <w:spacing w:before="100" w:after="100"/>
              <w:jc w:val="center"/>
              <w:rPr>
                <w:szCs w:val="20"/>
                <w:lang w:eastAsia="en-AU"/>
              </w:rPr>
            </w:pPr>
            <w:r w:rsidRPr="00DE779B">
              <w:rPr>
                <w:szCs w:val="20"/>
                <w:lang w:eastAsia="en-AU"/>
              </w:rPr>
              <w:t>$0.10 per MB or part thereof</w:t>
            </w:r>
          </w:p>
        </w:tc>
        <w:tc>
          <w:tcPr>
            <w:tcW w:w="695" w:type="pct"/>
            <w:vAlign w:val="center"/>
          </w:tcPr>
          <w:p w14:paraId="2E4B45EF" w14:textId="77777777" w:rsidR="00DE32CC" w:rsidRPr="00DE779B" w:rsidRDefault="00DE32CC" w:rsidP="00DE32CC">
            <w:pPr>
              <w:pStyle w:val="BodyText"/>
              <w:spacing w:before="100" w:after="100"/>
              <w:jc w:val="center"/>
              <w:rPr>
                <w:szCs w:val="20"/>
                <w:lang w:eastAsia="en-AU"/>
              </w:rPr>
            </w:pPr>
            <w:r w:rsidRPr="00DE779B">
              <w:rPr>
                <w:szCs w:val="20"/>
                <w:lang w:eastAsia="en-AU"/>
              </w:rPr>
              <w:t>$0.10 per MB or part thereof</w:t>
            </w:r>
          </w:p>
        </w:tc>
        <w:tc>
          <w:tcPr>
            <w:tcW w:w="695" w:type="pct"/>
            <w:vAlign w:val="center"/>
          </w:tcPr>
          <w:p w14:paraId="18C6BF1D" w14:textId="77777777" w:rsidR="00DE32CC" w:rsidRPr="00DE779B" w:rsidRDefault="00DE32CC" w:rsidP="00DE32CC">
            <w:pPr>
              <w:pStyle w:val="BodyText"/>
              <w:spacing w:before="100" w:after="100"/>
              <w:jc w:val="center"/>
              <w:rPr>
                <w:szCs w:val="20"/>
                <w:lang w:eastAsia="en-AU"/>
              </w:rPr>
            </w:pPr>
            <w:r w:rsidRPr="00DE779B">
              <w:rPr>
                <w:szCs w:val="20"/>
                <w:lang w:eastAsia="en-AU"/>
              </w:rPr>
              <w:t>$0.10 per MB or part thereof</w:t>
            </w:r>
          </w:p>
        </w:tc>
        <w:tc>
          <w:tcPr>
            <w:tcW w:w="695" w:type="pct"/>
            <w:vAlign w:val="center"/>
          </w:tcPr>
          <w:p w14:paraId="1B9E747C" w14:textId="77777777" w:rsidR="00DE32CC" w:rsidRPr="00DE779B" w:rsidRDefault="00DE32CC" w:rsidP="00DE32CC">
            <w:pPr>
              <w:pStyle w:val="BodyText"/>
              <w:spacing w:before="100" w:after="100"/>
              <w:jc w:val="center"/>
              <w:rPr>
                <w:szCs w:val="20"/>
                <w:lang w:eastAsia="en-AU"/>
              </w:rPr>
            </w:pPr>
            <w:r w:rsidRPr="00DE779B">
              <w:rPr>
                <w:szCs w:val="20"/>
                <w:lang w:eastAsia="en-AU"/>
              </w:rPr>
              <w:t>$0.10 per MB or part thereof</w:t>
            </w:r>
          </w:p>
        </w:tc>
      </w:tr>
      <w:tr w:rsidR="00DE32CC" w:rsidRPr="00DE779B" w14:paraId="2BBEF00D" w14:textId="77777777" w:rsidTr="00DE32CC">
        <w:trPr>
          <w:cantSplit/>
          <w:trHeight w:val="856"/>
        </w:trPr>
        <w:tc>
          <w:tcPr>
            <w:tcW w:w="830" w:type="pct"/>
            <w:vAlign w:val="center"/>
          </w:tcPr>
          <w:p w14:paraId="51801F3F" w14:textId="77777777" w:rsidR="00DE32CC" w:rsidRPr="00DE779B" w:rsidRDefault="00DE32CC" w:rsidP="00DE32CC">
            <w:pPr>
              <w:pStyle w:val="BodyText"/>
              <w:spacing w:before="100" w:after="100"/>
              <w:rPr>
                <w:b/>
                <w:szCs w:val="20"/>
                <w:lang w:eastAsia="en-AU"/>
              </w:rPr>
            </w:pPr>
            <w:r w:rsidRPr="00DE779B">
              <w:rPr>
                <w:b/>
                <w:szCs w:val="20"/>
                <w:lang w:eastAsia="en-AU"/>
              </w:rPr>
              <w:t>Other call charges</w:t>
            </w:r>
          </w:p>
        </w:tc>
        <w:tc>
          <w:tcPr>
            <w:tcW w:w="695" w:type="pct"/>
            <w:vAlign w:val="center"/>
          </w:tcPr>
          <w:p w14:paraId="3B3B9D76" w14:textId="77777777" w:rsidR="00DE32CC" w:rsidRPr="00DE779B" w:rsidRDefault="00DE32CC" w:rsidP="00DE32CC">
            <w:pPr>
              <w:pStyle w:val="BodyText"/>
              <w:spacing w:before="100" w:after="100"/>
              <w:jc w:val="center"/>
              <w:rPr>
                <w:szCs w:val="20"/>
                <w:lang w:eastAsia="en-AU"/>
              </w:rPr>
            </w:pPr>
            <w:r w:rsidRPr="00DE779B">
              <w:rPr>
                <w:szCs w:val="20"/>
                <w:lang w:eastAsia="en-AU"/>
              </w:rPr>
              <w:t xml:space="preserve">See section 1 of this </w:t>
            </w:r>
            <w:r w:rsidRPr="00DE779B">
              <w:rPr>
                <w:i/>
                <w:iCs/>
                <w:szCs w:val="20"/>
                <w:lang w:eastAsia="en-AU"/>
              </w:rPr>
              <w:t>standard pricing table</w:t>
            </w:r>
            <w:r w:rsidRPr="00DE779B">
              <w:rPr>
                <w:szCs w:val="20"/>
                <w:lang w:eastAsia="en-AU"/>
              </w:rPr>
              <w:t xml:space="preserve"> and </w:t>
            </w:r>
            <w:hyperlink r:id="rId904" w:history="1">
              <w:r w:rsidRPr="00DE779B">
                <w:rPr>
                  <w:rStyle w:val="Hyperlink"/>
                  <w:i/>
                  <w:szCs w:val="20"/>
                  <w:lang w:eastAsia="en-AU"/>
                </w:rPr>
                <w:t>Appendix Y</w:t>
              </w:r>
            </w:hyperlink>
            <w:r w:rsidRPr="00DE779B">
              <w:rPr>
                <w:szCs w:val="20"/>
                <w:lang w:eastAsia="en-AU"/>
              </w:rPr>
              <w:t xml:space="preserve"> (Value Added Service Features)</w:t>
            </w:r>
          </w:p>
        </w:tc>
        <w:tc>
          <w:tcPr>
            <w:tcW w:w="695" w:type="pct"/>
            <w:vAlign w:val="center"/>
          </w:tcPr>
          <w:p w14:paraId="79148F15" w14:textId="77777777" w:rsidR="00DE32CC" w:rsidRPr="00DE779B" w:rsidRDefault="00DE32CC" w:rsidP="00DE32CC">
            <w:pPr>
              <w:pStyle w:val="BodyText"/>
              <w:spacing w:before="100" w:after="100"/>
              <w:jc w:val="center"/>
              <w:rPr>
                <w:szCs w:val="20"/>
                <w:lang w:eastAsia="en-AU"/>
              </w:rPr>
            </w:pPr>
            <w:r w:rsidRPr="00DE779B">
              <w:rPr>
                <w:szCs w:val="20"/>
                <w:lang w:eastAsia="en-AU"/>
              </w:rPr>
              <w:t xml:space="preserve">See section 1 of this </w:t>
            </w:r>
            <w:r w:rsidRPr="00DE779B">
              <w:rPr>
                <w:i/>
                <w:iCs/>
                <w:szCs w:val="20"/>
                <w:lang w:eastAsia="en-AU"/>
              </w:rPr>
              <w:t>standard pricing table</w:t>
            </w:r>
            <w:r w:rsidRPr="00DE779B">
              <w:rPr>
                <w:szCs w:val="20"/>
                <w:lang w:eastAsia="en-AU"/>
              </w:rPr>
              <w:t xml:space="preserve"> and </w:t>
            </w:r>
            <w:hyperlink r:id="rId905" w:history="1">
              <w:r w:rsidRPr="00DE779B">
                <w:rPr>
                  <w:rStyle w:val="Hyperlink"/>
                  <w:i/>
                  <w:szCs w:val="20"/>
                  <w:lang w:eastAsia="en-AU"/>
                </w:rPr>
                <w:t>Appendix Y</w:t>
              </w:r>
            </w:hyperlink>
            <w:r w:rsidRPr="00DE779B">
              <w:rPr>
                <w:szCs w:val="20"/>
                <w:lang w:eastAsia="en-AU"/>
              </w:rPr>
              <w:t xml:space="preserve"> (Value Added Service Features)</w:t>
            </w:r>
          </w:p>
        </w:tc>
        <w:tc>
          <w:tcPr>
            <w:tcW w:w="695" w:type="pct"/>
            <w:vAlign w:val="center"/>
          </w:tcPr>
          <w:p w14:paraId="24C202F4" w14:textId="77777777" w:rsidR="00DE32CC" w:rsidRPr="00DE779B" w:rsidRDefault="00DE32CC" w:rsidP="00DE32CC">
            <w:pPr>
              <w:pStyle w:val="BodyText"/>
              <w:spacing w:before="100" w:after="100"/>
              <w:jc w:val="center"/>
              <w:rPr>
                <w:szCs w:val="20"/>
                <w:lang w:eastAsia="en-AU"/>
              </w:rPr>
            </w:pPr>
            <w:r w:rsidRPr="00DE779B">
              <w:rPr>
                <w:szCs w:val="20"/>
                <w:lang w:eastAsia="en-AU"/>
              </w:rPr>
              <w:t xml:space="preserve">See section 1 of this </w:t>
            </w:r>
            <w:r w:rsidRPr="00DE779B">
              <w:rPr>
                <w:i/>
                <w:iCs/>
                <w:szCs w:val="20"/>
                <w:lang w:eastAsia="en-AU"/>
              </w:rPr>
              <w:t>standard pricing table</w:t>
            </w:r>
            <w:r w:rsidRPr="00DE779B">
              <w:rPr>
                <w:szCs w:val="20"/>
                <w:lang w:eastAsia="en-AU"/>
              </w:rPr>
              <w:t xml:space="preserve"> and </w:t>
            </w:r>
            <w:hyperlink r:id="rId906" w:history="1">
              <w:r w:rsidRPr="00DE779B">
                <w:rPr>
                  <w:rStyle w:val="Hyperlink"/>
                  <w:i/>
                  <w:szCs w:val="20"/>
                  <w:lang w:eastAsia="en-AU"/>
                </w:rPr>
                <w:t>Appendix Y</w:t>
              </w:r>
            </w:hyperlink>
            <w:r w:rsidRPr="00DE779B">
              <w:rPr>
                <w:szCs w:val="20"/>
                <w:lang w:eastAsia="en-AU"/>
              </w:rPr>
              <w:t xml:space="preserve"> (Value Added Service Features)</w:t>
            </w:r>
          </w:p>
        </w:tc>
        <w:tc>
          <w:tcPr>
            <w:tcW w:w="695" w:type="pct"/>
            <w:vAlign w:val="center"/>
          </w:tcPr>
          <w:p w14:paraId="41F81AE4" w14:textId="77777777" w:rsidR="00DE32CC" w:rsidRPr="00DE779B" w:rsidRDefault="00DE32CC" w:rsidP="00DE32CC">
            <w:pPr>
              <w:pStyle w:val="BodyText"/>
              <w:spacing w:before="100" w:after="100"/>
              <w:jc w:val="center"/>
              <w:rPr>
                <w:szCs w:val="20"/>
                <w:lang w:eastAsia="en-AU"/>
              </w:rPr>
            </w:pPr>
            <w:r w:rsidRPr="00DE779B">
              <w:rPr>
                <w:szCs w:val="20"/>
                <w:lang w:eastAsia="en-AU"/>
              </w:rPr>
              <w:t xml:space="preserve">See section 1 of this </w:t>
            </w:r>
            <w:r w:rsidRPr="00DE779B">
              <w:rPr>
                <w:i/>
                <w:iCs/>
                <w:szCs w:val="20"/>
                <w:lang w:eastAsia="en-AU"/>
              </w:rPr>
              <w:t>standard pricing table</w:t>
            </w:r>
            <w:r w:rsidRPr="00DE779B">
              <w:rPr>
                <w:szCs w:val="20"/>
                <w:lang w:eastAsia="en-AU"/>
              </w:rPr>
              <w:t xml:space="preserve"> and </w:t>
            </w:r>
            <w:hyperlink r:id="rId907" w:history="1">
              <w:r w:rsidRPr="00DE779B">
                <w:rPr>
                  <w:rStyle w:val="Hyperlink"/>
                  <w:i/>
                  <w:szCs w:val="20"/>
                  <w:lang w:eastAsia="en-AU"/>
                </w:rPr>
                <w:t>Appendix Y</w:t>
              </w:r>
            </w:hyperlink>
            <w:r w:rsidRPr="00DE779B">
              <w:rPr>
                <w:szCs w:val="20"/>
                <w:lang w:eastAsia="en-AU"/>
              </w:rPr>
              <w:t xml:space="preserve"> (Value Added Service Features)</w:t>
            </w:r>
          </w:p>
        </w:tc>
        <w:tc>
          <w:tcPr>
            <w:tcW w:w="695" w:type="pct"/>
            <w:vAlign w:val="center"/>
          </w:tcPr>
          <w:p w14:paraId="662C64E8" w14:textId="77777777" w:rsidR="00DE32CC" w:rsidRPr="00DE779B" w:rsidRDefault="00DE32CC" w:rsidP="00DE32CC">
            <w:pPr>
              <w:pStyle w:val="BodyText"/>
              <w:spacing w:before="100" w:after="100"/>
              <w:jc w:val="center"/>
              <w:rPr>
                <w:szCs w:val="20"/>
                <w:lang w:eastAsia="en-AU"/>
              </w:rPr>
            </w:pPr>
            <w:r w:rsidRPr="00DE779B">
              <w:rPr>
                <w:szCs w:val="20"/>
                <w:lang w:eastAsia="en-AU"/>
              </w:rPr>
              <w:t xml:space="preserve">See section 1 of this </w:t>
            </w:r>
            <w:r w:rsidRPr="00DE779B">
              <w:rPr>
                <w:i/>
                <w:iCs/>
                <w:szCs w:val="20"/>
                <w:lang w:eastAsia="en-AU"/>
              </w:rPr>
              <w:t>standard pricing table</w:t>
            </w:r>
            <w:r w:rsidRPr="00DE779B">
              <w:rPr>
                <w:szCs w:val="20"/>
                <w:lang w:eastAsia="en-AU"/>
              </w:rPr>
              <w:t xml:space="preserve"> and </w:t>
            </w:r>
            <w:hyperlink r:id="rId908" w:history="1">
              <w:r w:rsidRPr="00DE779B">
                <w:rPr>
                  <w:rStyle w:val="Hyperlink"/>
                  <w:i/>
                  <w:szCs w:val="20"/>
                  <w:lang w:eastAsia="en-AU"/>
                </w:rPr>
                <w:t>Appendix Y</w:t>
              </w:r>
            </w:hyperlink>
            <w:r w:rsidRPr="00DE779B">
              <w:rPr>
                <w:szCs w:val="20"/>
                <w:lang w:eastAsia="en-AU"/>
              </w:rPr>
              <w:t xml:space="preserve"> (Value Added Service Features)</w:t>
            </w:r>
          </w:p>
        </w:tc>
        <w:tc>
          <w:tcPr>
            <w:tcW w:w="695" w:type="pct"/>
            <w:vAlign w:val="center"/>
          </w:tcPr>
          <w:p w14:paraId="50280E71" w14:textId="77777777" w:rsidR="00DE32CC" w:rsidRPr="00DE779B" w:rsidRDefault="00DE32CC" w:rsidP="00DE32CC">
            <w:pPr>
              <w:pStyle w:val="BodyText"/>
              <w:spacing w:before="100" w:after="100"/>
              <w:jc w:val="center"/>
              <w:rPr>
                <w:szCs w:val="20"/>
                <w:lang w:eastAsia="en-AU"/>
              </w:rPr>
            </w:pPr>
            <w:r w:rsidRPr="00DE779B">
              <w:rPr>
                <w:szCs w:val="20"/>
                <w:lang w:eastAsia="en-AU"/>
              </w:rPr>
              <w:t xml:space="preserve">See section 1 of this </w:t>
            </w:r>
            <w:r w:rsidRPr="00DE779B">
              <w:rPr>
                <w:i/>
                <w:iCs/>
                <w:szCs w:val="20"/>
                <w:lang w:eastAsia="en-AU"/>
              </w:rPr>
              <w:t>standard pricing table</w:t>
            </w:r>
            <w:r w:rsidRPr="00DE779B">
              <w:rPr>
                <w:szCs w:val="20"/>
                <w:lang w:eastAsia="en-AU"/>
              </w:rPr>
              <w:t xml:space="preserve"> and </w:t>
            </w:r>
            <w:hyperlink r:id="rId909" w:history="1">
              <w:r w:rsidRPr="00DE779B">
                <w:rPr>
                  <w:rStyle w:val="Hyperlink"/>
                  <w:i/>
                  <w:szCs w:val="20"/>
                  <w:lang w:eastAsia="en-AU"/>
                </w:rPr>
                <w:t>Appendix Y</w:t>
              </w:r>
            </w:hyperlink>
            <w:r w:rsidRPr="00DE779B">
              <w:rPr>
                <w:szCs w:val="20"/>
                <w:lang w:eastAsia="en-AU"/>
              </w:rPr>
              <w:t xml:space="preserve"> (Value Added Service Features)</w:t>
            </w:r>
          </w:p>
        </w:tc>
      </w:tr>
      <w:tr w:rsidR="00DE32CC" w:rsidRPr="00DE779B" w14:paraId="6823B8E2" w14:textId="77777777" w:rsidTr="00DE32CC">
        <w:trPr>
          <w:cantSplit/>
          <w:trHeight w:val="856"/>
        </w:trPr>
        <w:tc>
          <w:tcPr>
            <w:tcW w:w="830" w:type="pct"/>
            <w:vAlign w:val="center"/>
          </w:tcPr>
          <w:p w14:paraId="570BE4E2" w14:textId="77777777" w:rsidR="00DE32CC" w:rsidRPr="00DE779B" w:rsidRDefault="00DE32CC" w:rsidP="00DE32CC">
            <w:pPr>
              <w:pStyle w:val="BodyText"/>
              <w:spacing w:before="100" w:after="100"/>
              <w:rPr>
                <w:b/>
                <w:szCs w:val="20"/>
                <w:lang w:eastAsia="en-AU"/>
              </w:rPr>
            </w:pPr>
            <w:r w:rsidRPr="00DE779B">
              <w:rPr>
                <w:b/>
                <w:szCs w:val="20"/>
                <w:lang w:eastAsia="en-AU"/>
              </w:rPr>
              <w:t xml:space="preserve">Other conditions </w:t>
            </w:r>
          </w:p>
        </w:tc>
        <w:tc>
          <w:tcPr>
            <w:tcW w:w="695" w:type="pct"/>
            <w:vAlign w:val="center"/>
          </w:tcPr>
          <w:p w14:paraId="7E589AD9" w14:textId="77777777" w:rsidR="00DE32CC" w:rsidRPr="00DE779B" w:rsidRDefault="00DE32CC" w:rsidP="00DE32CC">
            <w:pPr>
              <w:pStyle w:val="BodyText"/>
              <w:spacing w:before="100" w:after="100"/>
              <w:jc w:val="center"/>
              <w:rPr>
                <w:szCs w:val="20"/>
                <w:lang w:eastAsia="en-AU"/>
              </w:rPr>
            </w:pPr>
            <w:r w:rsidRPr="00DE779B">
              <w:rPr>
                <w:szCs w:val="20"/>
                <w:lang w:eastAsia="en-AU"/>
              </w:rPr>
              <w:t xml:space="preserve">Fair Go Policy applies to </w:t>
            </w:r>
            <w:r>
              <w:rPr>
                <w:szCs w:val="20"/>
                <w:lang w:eastAsia="en-AU"/>
              </w:rPr>
              <w:t>'</w:t>
            </w:r>
            <w:r w:rsidRPr="00DE779B">
              <w:rPr>
                <w:szCs w:val="20"/>
                <w:lang w:eastAsia="en-AU"/>
              </w:rPr>
              <w:t>excessive use,</w:t>
            </w:r>
            <w:r>
              <w:rPr>
                <w:szCs w:val="20"/>
                <w:lang w:eastAsia="en-AU"/>
              </w:rPr>
              <w:t>'</w:t>
            </w:r>
            <w:r w:rsidRPr="00DE779B">
              <w:rPr>
                <w:szCs w:val="20"/>
                <w:lang w:eastAsia="en-AU"/>
              </w:rPr>
              <w:t xml:space="preserve"> </w:t>
            </w:r>
            <w:r>
              <w:rPr>
                <w:szCs w:val="20"/>
                <w:lang w:eastAsia="en-AU"/>
              </w:rPr>
              <w:t>'</w:t>
            </w:r>
            <w:r w:rsidRPr="00DE779B">
              <w:rPr>
                <w:szCs w:val="20"/>
                <w:lang w:eastAsia="en-AU"/>
              </w:rPr>
              <w:t>unreasonable use,</w:t>
            </w:r>
            <w:r>
              <w:rPr>
                <w:szCs w:val="20"/>
                <w:lang w:eastAsia="en-AU"/>
              </w:rPr>
              <w:t>'</w:t>
            </w:r>
            <w:r w:rsidRPr="00DE779B">
              <w:rPr>
                <w:szCs w:val="20"/>
                <w:lang w:eastAsia="en-AU"/>
              </w:rPr>
              <w:t xml:space="preserve"> and </w:t>
            </w:r>
            <w:r>
              <w:rPr>
                <w:szCs w:val="20"/>
                <w:lang w:eastAsia="en-AU"/>
              </w:rPr>
              <w:t>'</w:t>
            </w:r>
            <w:r w:rsidRPr="00DE779B">
              <w:rPr>
                <w:szCs w:val="20"/>
                <w:lang w:eastAsia="en-AU"/>
              </w:rPr>
              <w:t>unacceptable use</w:t>
            </w:r>
            <w:r>
              <w:rPr>
                <w:szCs w:val="20"/>
                <w:lang w:eastAsia="en-AU"/>
              </w:rPr>
              <w:t>'</w:t>
            </w:r>
            <w:r w:rsidRPr="00DE779B">
              <w:rPr>
                <w:szCs w:val="20"/>
                <w:lang w:eastAsia="en-AU"/>
              </w:rPr>
              <w:t>.</w:t>
            </w:r>
          </w:p>
        </w:tc>
        <w:tc>
          <w:tcPr>
            <w:tcW w:w="695" w:type="pct"/>
            <w:vAlign w:val="center"/>
          </w:tcPr>
          <w:p w14:paraId="2839747D" w14:textId="77777777" w:rsidR="00DE32CC" w:rsidRPr="00DE779B" w:rsidRDefault="00DE32CC" w:rsidP="00DE32CC">
            <w:pPr>
              <w:pStyle w:val="BodyText"/>
              <w:spacing w:before="100" w:after="100"/>
              <w:jc w:val="center"/>
              <w:rPr>
                <w:szCs w:val="20"/>
                <w:lang w:eastAsia="en-AU"/>
              </w:rPr>
            </w:pPr>
            <w:r w:rsidRPr="00DE779B">
              <w:rPr>
                <w:szCs w:val="20"/>
                <w:lang w:eastAsia="en-AU"/>
              </w:rPr>
              <w:t xml:space="preserve">Go Policy applies to </w:t>
            </w:r>
            <w:r>
              <w:rPr>
                <w:szCs w:val="20"/>
                <w:lang w:eastAsia="en-AU"/>
              </w:rPr>
              <w:t>'</w:t>
            </w:r>
            <w:r w:rsidRPr="00DE779B">
              <w:rPr>
                <w:szCs w:val="20"/>
                <w:lang w:eastAsia="en-AU"/>
              </w:rPr>
              <w:t>excessive use,</w:t>
            </w:r>
            <w:r>
              <w:rPr>
                <w:szCs w:val="20"/>
                <w:lang w:eastAsia="en-AU"/>
              </w:rPr>
              <w:t>'</w:t>
            </w:r>
            <w:r w:rsidRPr="00DE779B">
              <w:rPr>
                <w:szCs w:val="20"/>
                <w:lang w:eastAsia="en-AU"/>
              </w:rPr>
              <w:t xml:space="preserve"> </w:t>
            </w:r>
            <w:r>
              <w:rPr>
                <w:szCs w:val="20"/>
                <w:lang w:eastAsia="en-AU"/>
              </w:rPr>
              <w:t>'</w:t>
            </w:r>
            <w:r w:rsidRPr="00DE779B">
              <w:rPr>
                <w:szCs w:val="20"/>
                <w:lang w:eastAsia="en-AU"/>
              </w:rPr>
              <w:t>unreasonable use,</w:t>
            </w:r>
            <w:r>
              <w:rPr>
                <w:szCs w:val="20"/>
                <w:lang w:eastAsia="en-AU"/>
              </w:rPr>
              <w:t>'</w:t>
            </w:r>
            <w:r w:rsidRPr="00DE779B">
              <w:rPr>
                <w:szCs w:val="20"/>
                <w:lang w:eastAsia="en-AU"/>
              </w:rPr>
              <w:t xml:space="preserve"> and </w:t>
            </w:r>
            <w:r>
              <w:rPr>
                <w:szCs w:val="20"/>
                <w:lang w:eastAsia="en-AU"/>
              </w:rPr>
              <w:t>'</w:t>
            </w:r>
            <w:r w:rsidRPr="00DE779B">
              <w:rPr>
                <w:szCs w:val="20"/>
                <w:lang w:eastAsia="en-AU"/>
              </w:rPr>
              <w:t>unacceptable use</w:t>
            </w:r>
            <w:r>
              <w:rPr>
                <w:szCs w:val="20"/>
                <w:lang w:eastAsia="en-AU"/>
              </w:rPr>
              <w:t>'</w:t>
            </w:r>
            <w:r w:rsidRPr="00DE779B">
              <w:rPr>
                <w:szCs w:val="20"/>
                <w:lang w:eastAsia="en-AU"/>
              </w:rPr>
              <w:t>.</w:t>
            </w:r>
          </w:p>
        </w:tc>
        <w:tc>
          <w:tcPr>
            <w:tcW w:w="695" w:type="pct"/>
            <w:vAlign w:val="center"/>
          </w:tcPr>
          <w:p w14:paraId="3F36AA6A" w14:textId="77777777" w:rsidR="00DE32CC" w:rsidRPr="00DE779B" w:rsidRDefault="00DE32CC" w:rsidP="00DE32CC">
            <w:pPr>
              <w:pStyle w:val="BodyText"/>
              <w:spacing w:before="100" w:after="100"/>
              <w:jc w:val="center"/>
              <w:rPr>
                <w:szCs w:val="20"/>
                <w:lang w:eastAsia="en-AU"/>
              </w:rPr>
            </w:pPr>
            <w:r w:rsidRPr="00DE779B">
              <w:rPr>
                <w:szCs w:val="20"/>
                <w:lang w:eastAsia="en-AU"/>
              </w:rPr>
              <w:t xml:space="preserve">Fair Go Policy applies to </w:t>
            </w:r>
            <w:r>
              <w:rPr>
                <w:szCs w:val="20"/>
                <w:lang w:eastAsia="en-AU"/>
              </w:rPr>
              <w:t>'</w:t>
            </w:r>
            <w:r w:rsidRPr="00DE779B">
              <w:rPr>
                <w:szCs w:val="20"/>
                <w:lang w:eastAsia="en-AU"/>
              </w:rPr>
              <w:t>excessive use,</w:t>
            </w:r>
            <w:r>
              <w:rPr>
                <w:szCs w:val="20"/>
                <w:lang w:eastAsia="en-AU"/>
              </w:rPr>
              <w:t>'</w:t>
            </w:r>
            <w:r w:rsidRPr="00DE779B">
              <w:rPr>
                <w:szCs w:val="20"/>
                <w:lang w:eastAsia="en-AU"/>
              </w:rPr>
              <w:t xml:space="preserve"> </w:t>
            </w:r>
            <w:r>
              <w:rPr>
                <w:szCs w:val="20"/>
                <w:lang w:eastAsia="en-AU"/>
              </w:rPr>
              <w:t>'</w:t>
            </w:r>
            <w:r w:rsidRPr="00DE779B">
              <w:rPr>
                <w:szCs w:val="20"/>
                <w:lang w:eastAsia="en-AU"/>
              </w:rPr>
              <w:t>unreasonable use,</w:t>
            </w:r>
            <w:r>
              <w:rPr>
                <w:szCs w:val="20"/>
                <w:lang w:eastAsia="en-AU"/>
              </w:rPr>
              <w:t>'</w:t>
            </w:r>
            <w:r w:rsidRPr="00DE779B">
              <w:rPr>
                <w:szCs w:val="20"/>
                <w:lang w:eastAsia="en-AU"/>
              </w:rPr>
              <w:t xml:space="preserve"> and </w:t>
            </w:r>
            <w:r>
              <w:rPr>
                <w:szCs w:val="20"/>
                <w:lang w:eastAsia="en-AU"/>
              </w:rPr>
              <w:t>'</w:t>
            </w:r>
            <w:r w:rsidRPr="00DE779B">
              <w:rPr>
                <w:szCs w:val="20"/>
                <w:lang w:eastAsia="en-AU"/>
              </w:rPr>
              <w:t>unacceptable use</w:t>
            </w:r>
            <w:r>
              <w:rPr>
                <w:szCs w:val="20"/>
                <w:lang w:eastAsia="en-AU"/>
              </w:rPr>
              <w:t>'</w:t>
            </w:r>
            <w:r w:rsidRPr="00DE779B">
              <w:rPr>
                <w:szCs w:val="20"/>
                <w:lang w:eastAsia="en-AU"/>
              </w:rPr>
              <w:t>.</w:t>
            </w:r>
          </w:p>
        </w:tc>
        <w:tc>
          <w:tcPr>
            <w:tcW w:w="695" w:type="pct"/>
            <w:vAlign w:val="center"/>
          </w:tcPr>
          <w:p w14:paraId="2F347788" w14:textId="77777777" w:rsidR="00DE32CC" w:rsidRPr="00DE779B" w:rsidRDefault="00DE32CC" w:rsidP="00DE32CC">
            <w:pPr>
              <w:pStyle w:val="BodyText"/>
              <w:spacing w:before="100" w:after="100"/>
              <w:jc w:val="center"/>
              <w:rPr>
                <w:szCs w:val="20"/>
                <w:lang w:eastAsia="en-AU"/>
              </w:rPr>
            </w:pPr>
            <w:r w:rsidRPr="00DE779B">
              <w:rPr>
                <w:szCs w:val="20"/>
                <w:lang w:eastAsia="en-AU"/>
              </w:rPr>
              <w:t xml:space="preserve">Fair Go Policy applies to </w:t>
            </w:r>
            <w:r>
              <w:rPr>
                <w:szCs w:val="20"/>
                <w:lang w:eastAsia="en-AU"/>
              </w:rPr>
              <w:t>'</w:t>
            </w:r>
            <w:r w:rsidRPr="00DE779B">
              <w:rPr>
                <w:szCs w:val="20"/>
                <w:lang w:eastAsia="en-AU"/>
              </w:rPr>
              <w:t>excessive use,</w:t>
            </w:r>
            <w:r>
              <w:rPr>
                <w:szCs w:val="20"/>
                <w:lang w:eastAsia="en-AU"/>
              </w:rPr>
              <w:t>'</w:t>
            </w:r>
            <w:r w:rsidRPr="00DE779B">
              <w:rPr>
                <w:szCs w:val="20"/>
                <w:lang w:eastAsia="en-AU"/>
              </w:rPr>
              <w:t xml:space="preserve"> </w:t>
            </w:r>
            <w:r>
              <w:rPr>
                <w:szCs w:val="20"/>
                <w:lang w:eastAsia="en-AU"/>
              </w:rPr>
              <w:t>'</w:t>
            </w:r>
            <w:r w:rsidRPr="00DE779B">
              <w:rPr>
                <w:szCs w:val="20"/>
                <w:lang w:eastAsia="en-AU"/>
              </w:rPr>
              <w:t>unreasonable use,</w:t>
            </w:r>
            <w:r>
              <w:rPr>
                <w:szCs w:val="20"/>
                <w:lang w:eastAsia="en-AU"/>
              </w:rPr>
              <w:t>'</w:t>
            </w:r>
            <w:r w:rsidRPr="00DE779B">
              <w:rPr>
                <w:szCs w:val="20"/>
                <w:lang w:eastAsia="en-AU"/>
              </w:rPr>
              <w:t xml:space="preserve"> and </w:t>
            </w:r>
            <w:r>
              <w:rPr>
                <w:szCs w:val="20"/>
                <w:lang w:eastAsia="en-AU"/>
              </w:rPr>
              <w:t>'</w:t>
            </w:r>
            <w:r w:rsidRPr="00DE779B">
              <w:rPr>
                <w:szCs w:val="20"/>
                <w:lang w:eastAsia="en-AU"/>
              </w:rPr>
              <w:t>unacceptable use</w:t>
            </w:r>
            <w:r>
              <w:rPr>
                <w:szCs w:val="20"/>
                <w:lang w:eastAsia="en-AU"/>
              </w:rPr>
              <w:t>'</w:t>
            </w:r>
            <w:r w:rsidRPr="00DE779B">
              <w:rPr>
                <w:szCs w:val="20"/>
                <w:lang w:eastAsia="en-AU"/>
              </w:rPr>
              <w:t>.</w:t>
            </w:r>
          </w:p>
        </w:tc>
        <w:tc>
          <w:tcPr>
            <w:tcW w:w="695" w:type="pct"/>
            <w:vAlign w:val="center"/>
          </w:tcPr>
          <w:p w14:paraId="0ADA59C7" w14:textId="77777777" w:rsidR="00DE32CC" w:rsidRPr="00DE779B" w:rsidRDefault="00DE32CC" w:rsidP="00DE32CC">
            <w:pPr>
              <w:pStyle w:val="BodyText"/>
              <w:spacing w:before="100" w:after="100"/>
              <w:jc w:val="center"/>
              <w:rPr>
                <w:szCs w:val="20"/>
                <w:lang w:eastAsia="en-AU"/>
              </w:rPr>
            </w:pPr>
            <w:r w:rsidRPr="00DE779B">
              <w:rPr>
                <w:szCs w:val="20"/>
                <w:lang w:eastAsia="en-AU"/>
              </w:rPr>
              <w:t xml:space="preserve">Fair Go Policy applies to </w:t>
            </w:r>
            <w:r>
              <w:rPr>
                <w:szCs w:val="20"/>
                <w:lang w:eastAsia="en-AU"/>
              </w:rPr>
              <w:t>'</w:t>
            </w:r>
            <w:r w:rsidRPr="00DE779B">
              <w:rPr>
                <w:szCs w:val="20"/>
                <w:lang w:eastAsia="en-AU"/>
              </w:rPr>
              <w:t>excessive use,</w:t>
            </w:r>
            <w:r>
              <w:rPr>
                <w:szCs w:val="20"/>
                <w:lang w:eastAsia="en-AU"/>
              </w:rPr>
              <w:t>'</w:t>
            </w:r>
            <w:r w:rsidRPr="00DE779B">
              <w:rPr>
                <w:szCs w:val="20"/>
                <w:lang w:eastAsia="en-AU"/>
              </w:rPr>
              <w:t xml:space="preserve"> </w:t>
            </w:r>
            <w:r>
              <w:rPr>
                <w:szCs w:val="20"/>
                <w:lang w:eastAsia="en-AU"/>
              </w:rPr>
              <w:t>'</w:t>
            </w:r>
            <w:r w:rsidRPr="00DE779B">
              <w:rPr>
                <w:szCs w:val="20"/>
                <w:lang w:eastAsia="en-AU"/>
              </w:rPr>
              <w:t>unreasonable use,</w:t>
            </w:r>
            <w:r>
              <w:rPr>
                <w:szCs w:val="20"/>
                <w:lang w:eastAsia="en-AU"/>
              </w:rPr>
              <w:t>'</w:t>
            </w:r>
            <w:r w:rsidRPr="00DE779B">
              <w:rPr>
                <w:szCs w:val="20"/>
                <w:lang w:eastAsia="en-AU"/>
              </w:rPr>
              <w:t xml:space="preserve"> and </w:t>
            </w:r>
            <w:r>
              <w:rPr>
                <w:szCs w:val="20"/>
                <w:lang w:eastAsia="en-AU"/>
              </w:rPr>
              <w:t>'</w:t>
            </w:r>
            <w:r w:rsidRPr="00DE779B">
              <w:rPr>
                <w:szCs w:val="20"/>
                <w:lang w:eastAsia="en-AU"/>
              </w:rPr>
              <w:t>unacceptable use</w:t>
            </w:r>
            <w:r>
              <w:rPr>
                <w:szCs w:val="20"/>
                <w:lang w:eastAsia="en-AU"/>
              </w:rPr>
              <w:t>'</w:t>
            </w:r>
            <w:r w:rsidRPr="00DE779B">
              <w:rPr>
                <w:szCs w:val="20"/>
                <w:lang w:eastAsia="en-AU"/>
              </w:rPr>
              <w:t>.</w:t>
            </w:r>
          </w:p>
        </w:tc>
        <w:tc>
          <w:tcPr>
            <w:tcW w:w="695" w:type="pct"/>
            <w:vAlign w:val="center"/>
          </w:tcPr>
          <w:p w14:paraId="75B2D1B3" w14:textId="77777777" w:rsidR="00DE32CC" w:rsidRPr="00DE779B" w:rsidRDefault="00DE32CC" w:rsidP="00DE32CC">
            <w:pPr>
              <w:pStyle w:val="BodyText"/>
              <w:spacing w:before="100" w:after="100"/>
              <w:jc w:val="center"/>
              <w:rPr>
                <w:szCs w:val="20"/>
                <w:lang w:eastAsia="en-AU"/>
              </w:rPr>
            </w:pPr>
            <w:r w:rsidRPr="00DE779B">
              <w:rPr>
                <w:szCs w:val="20"/>
                <w:lang w:eastAsia="en-AU"/>
              </w:rPr>
              <w:t xml:space="preserve">Fair Go Policy applies to </w:t>
            </w:r>
            <w:r>
              <w:rPr>
                <w:szCs w:val="20"/>
                <w:lang w:eastAsia="en-AU"/>
              </w:rPr>
              <w:t>'</w:t>
            </w:r>
            <w:r w:rsidRPr="00DE779B">
              <w:rPr>
                <w:szCs w:val="20"/>
                <w:lang w:eastAsia="en-AU"/>
              </w:rPr>
              <w:t>excessive use,</w:t>
            </w:r>
            <w:r>
              <w:rPr>
                <w:szCs w:val="20"/>
                <w:lang w:eastAsia="en-AU"/>
              </w:rPr>
              <w:t>'</w:t>
            </w:r>
            <w:r w:rsidRPr="00DE779B">
              <w:rPr>
                <w:szCs w:val="20"/>
                <w:lang w:eastAsia="en-AU"/>
              </w:rPr>
              <w:t xml:space="preserve"> </w:t>
            </w:r>
            <w:r>
              <w:rPr>
                <w:szCs w:val="20"/>
                <w:lang w:eastAsia="en-AU"/>
              </w:rPr>
              <w:t>'</w:t>
            </w:r>
            <w:r w:rsidRPr="00DE779B">
              <w:rPr>
                <w:szCs w:val="20"/>
                <w:lang w:eastAsia="en-AU"/>
              </w:rPr>
              <w:t>unreasonable use,</w:t>
            </w:r>
            <w:r>
              <w:rPr>
                <w:szCs w:val="20"/>
                <w:lang w:eastAsia="en-AU"/>
              </w:rPr>
              <w:t>'</w:t>
            </w:r>
            <w:r w:rsidRPr="00DE779B">
              <w:rPr>
                <w:szCs w:val="20"/>
                <w:lang w:eastAsia="en-AU"/>
              </w:rPr>
              <w:t xml:space="preserve"> and </w:t>
            </w:r>
            <w:r>
              <w:rPr>
                <w:szCs w:val="20"/>
                <w:lang w:eastAsia="en-AU"/>
              </w:rPr>
              <w:t>'</w:t>
            </w:r>
            <w:r w:rsidRPr="00DE779B">
              <w:rPr>
                <w:szCs w:val="20"/>
                <w:lang w:eastAsia="en-AU"/>
              </w:rPr>
              <w:t>unacceptable use</w:t>
            </w:r>
            <w:r>
              <w:rPr>
                <w:szCs w:val="20"/>
                <w:lang w:eastAsia="en-AU"/>
              </w:rPr>
              <w:t>'</w:t>
            </w:r>
            <w:r w:rsidRPr="00DE779B">
              <w:rPr>
                <w:szCs w:val="20"/>
                <w:lang w:eastAsia="en-AU"/>
              </w:rPr>
              <w:t>.</w:t>
            </w:r>
          </w:p>
        </w:tc>
      </w:tr>
      <w:tr w:rsidR="00DE32CC" w:rsidRPr="00DE779B" w14:paraId="07BB2658" w14:textId="77777777" w:rsidTr="00DE32CC">
        <w:trPr>
          <w:cantSplit/>
          <w:trHeight w:val="856"/>
        </w:trPr>
        <w:tc>
          <w:tcPr>
            <w:tcW w:w="830" w:type="pct"/>
            <w:vAlign w:val="center"/>
          </w:tcPr>
          <w:p w14:paraId="3D78B5DB" w14:textId="77777777" w:rsidR="00DE32CC" w:rsidRPr="00DE779B" w:rsidRDefault="00DE32CC" w:rsidP="00DE32CC">
            <w:pPr>
              <w:pStyle w:val="BodyText"/>
              <w:spacing w:before="100" w:after="100"/>
              <w:rPr>
                <w:b/>
                <w:szCs w:val="20"/>
                <w:lang w:eastAsia="en-AU"/>
              </w:rPr>
            </w:pPr>
            <w:r w:rsidRPr="00DE779B">
              <w:rPr>
                <w:b/>
                <w:szCs w:val="20"/>
                <w:lang w:eastAsia="en-AU"/>
              </w:rPr>
              <w:t>Available on Non Fixed Contract (Month to Month)</w:t>
            </w:r>
          </w:p>
        </w:tc>
        <w:tc>
          <w:tcPr>
            <w:tcW w:w="695" w:type="pct"/>
            <w:vAlign w:val="center"/>
          </w:tcPr>
          <w:p w14:paraId="5AE560C8" w14:textId="77777777" w:rsidR="00DE32CC" w:rsidRPr="00DE779B" w:rsidRDefault="00DE32CC" w:rsidP="00DE32CC">
            <w:pPr>
              <w:pStyle w:val="BodyText"/>
              <w:spacing w:before="100" w:after="100"/>
              <w:jc w:val="center"/>
              <w:rPr>
                <w:szCs w:val="20"/>
                <w:lang w:eastAsia="en-AU"/>
              </w:rPr>
            </w:pPr>
            <w:r w:rsidRPr="00DE779B">
              <w:rPr>
                <w:szCs w:val="20"/>
                <w:lang w:eastAsia="en-AU"/>
              </w:rPr>
              <w:t>N/A</w:t>
            </w:r>
          </w:p>
        </w:tc>
        <w:tc>
          <w:tcPr>
            <w:tcW w:w="695" w:type="pct"/>
            <w:vAlign w:val="center"/>
          </w:tcPr>
          <w:p w14:paraId="2CBECAC6" w14:textId="77777777" w:rsidR="00DE32CC" w:rsidRPr="00DE779B" w:rsidRDefault="00DE32CC" w:rsidP="00DE32CC">
            <w:pPr>
              <w:pStyle w:val="BodyText"/>
              <w:spacing w:before="100" w:after="100"/>
              <w:jc w:val="center"/>
              <w:rPr>
                <w:szCs w:val="20"/>
                <w:lang w:eastAsia="en-AU"/>
              </w:rPr>
            </w:pPr>
            <w:r w:rsidRPr="00DE779B">
              <w:rPr>
                <w:szCs w:val="20"/>
                <w:lang w:eastAsia="en-AU"/>
              </w:rPr>
              <w:t>N/A</w:t>
            </w:r>
          </w:p>
        </w:tc>
        <w:tc>
          <w:tcPr>
            <w:tcW w:w="695" w:type="pct"/>
            <w:vAlign w:val="center"/>
          </w:tcPr>
          <w:p w14:paraId="2E75D9E9" w14:textId="77777777" w:rsidR="00DE32CC" w:rsidRPr="00DE779B" w:rsidRDefault="00DE32CC" w:rsidP="00DE32CC">
            <w:pPr>
              <w:pStyle w:val="BodyText"/>
              <w:spacing w:before="100" w:after="100"/>
              <w:jc w:val="center"/>
              <w:rPr>
                <w:szCs w:val="20"/>
                <w:lang w:eastAsia="en-AU"/>
              </w:rPr>
            </w:pPr>
            <w:r w:rsidRPr="00DE779B">
              <w:rPr>
                <w:szCs w:val="20"/>
                <w:lang w:eastAsia="en-AU"/>
              </w:rPr>
              <w:t>N/A</w:t>
            </w:r>
          </w:p>
        </w:tc>
        <w:tc>
          <w:tcPr>
            <w:tcW w:w="695" w:type="pct"/>
            <w:vAlign w:val="center"/>
          </w:tcPr>
          <w:p w14:paraId="7A357A29" w14:textId="77777777" w:rsidR="00DE32CC" w:rsidRPr="00DE779B" w:rsidRDefault="00DE32CC" w:rsidP="00DE32CC">
            <w:pPr>
              <w:pStyle w:val="BodyText"/>
              <w:spacing w:before="100" w:after="100"/>
              <w:jc w:val="center"/>
              <w:rPr>
                <w:szCs w:val="20"/>
                <w:lang w:eastAsia="en-AU"/>
              </w:rPr>
            </w:pPr>
            <w:r w:rsidRPr="00DE779B">
              <w:rPr>
                <w:szCs w:val="20"/>
                <w:lang w:eastAsia="en-AU"/>
              </w:rPr>
              <w:t>N/A</w:t>
            </w:r>
          </w:p>
        </w:tc>
        <w:tc>
          <w:tcPr>
            <w:tcW w:w="695" w:type="pct"/>
            <w:vAlign w:val="center"/>
          </w:tcPr>
          <w:p w14:paraId="709C71C6" w14:textId="77777777" w:rsidR="00DE32CC" w:rsidRPr="00DE779B" w:rsidRDefault="00DE32CC" w:rsidP="00DE32CC">
            <w:pPr>
              <w:pStyle w:val="BodyText"/>
              <w:spacing w:before="100" w:after="100"/>
              <w:jc w:val="center"/>
              <w:rPr>
                <w:szCs w:val="20"/>
                <w:lang w:eastAsia="en-AU"/>
              </w:rPr>
            </w:pPr>
            <w:r w:rsidRPr="00DE779B">
              <w:rPr>
                <w:szCs w:val="20"/>
                <w:lang w:eastAsia="en-AU"/>
              </w:rPr>
              <w:t>N/A</w:t>
            </w:r>
          </w:p>
        </w:tc>
        <w:tc>
          <w:tcPr>
            <w:tcW w:w="695" w:type="pct"/>
            <w:vAlign w:val="center"/>
          </w:tcPr>
          <w:p w14:paraId="3CC5B4F0" w14:textId="77777777" w:rsidR="00DE32CC" w:rsidRPr="00DE779B" w:rsidRDefault="00DE32CC" w:rsidP="00DE32CC">
            <w:pPr>
              <w:pStyle w:val="BodyText"/>
              <w:spacing w:before="100" w:after="100"/>
              <w:jc w:val="center"/>
              <w:rPr>
                <w:szCs w:val="20"/>
                <w:lang w:eastAsia="en-AU"/>
              </w:rPr>
            </w:pPr>
            <w:r w:rsidRPr="00DE779B">
              <w:rPr>
                <w:szCs w:val="20"/>
                <w:lang w:eastAsia="en-AU"/>
              </w:rPr>
              <w:t>N/A</w:t>
            </w:r>
          </w:p>
        </w:tc>
      </w:tr>
      <w:tr w:rsidR="00DE32CC" w:rsidRPr="00DE779B" w14:paraId="3D60E962" w14:textId="77777777" w:rsidTr="00DE32CC">
        <w:trPr>
          <w:cantSplit/>
          <w:trHeight w:val="856"/>
        </w:trPr>
        <w:tc>
          <w:tcPr>
            <w:tcW w:w="830" w:type="pct"/>
            <w:vAlign w:val="center"/>
          </w:tcPr>
          <w:p w14:paraId="31BAB890" w14:textId="77777777" w:rsidR="00DE32CC" w:rsidRPr="00DE779B" w:rsidRDefault="00DE32CC" w:rsidP="00DE32CC">
            <w:pPr>
              <w:pStyle w:val="BodyText"/>
              <w:spacing w:before="100" w:after="100"/>
              <w:rPr>
                <w:b/>
                <w:szCs w:val="20"/>
                <w:lang w:eastAsia="en-AU"/>
              </w:rPr>
            </w:pPr>
            <w:r w:rsidRPr="00DE779B">
              <w:rPr>
                <w:b/>
                <w:szCs w:val="20"/>
                <w:lang w:eastAsia="en-AU"/>
              </w:rPr>
              <w:t>Available on a Fixed Term Contract (24 Months)</w:t>
            </w:r>
          </w:p>
        </w:tc>
        <w:tc>
          <w:tcPr>
            <w:tcW w:w="695" w:type="pct"/>
            <w:vAlign w:val="center"/>
          </w:tcPr>
          <w:p w14:paraId="634747CC" w14:textId="77777777" w:rsidR="00DE32CC" w:rsidRPr="00DE779B" w:rsidRDefault="00DE32CC" w:rsidP="00DE32CC">
            <w:pPr>
              <w:pStyle w:val="BodyText"/>
              <w:spacing w:before="100" w:after="100"/>
              <w:jc w:val="center"/>
              <w:rPr>
                <w:szCs w:val="20"/>
                <w:lang w:eastAsia="en-AU"/>
              </w:rPr>
            </w:pPr>
            <w:r w:rsidRPr="00DE779B">
              <w:rPr>
                <w:szCs w:val="20"/>
                <w:lang w:eastAsia="en-AU"/>
              </w:rPr>
              <w:t>Yes</w:t>
            </w:r>
          </w:p>
        </w:tc>
        <w:tc>
          <w:tcPr>
            <w:tcW w:w="695" w:type="pct"/>
            <w:vAlign w:val="center"/>
          </w:tcPr>
          <w:p w14:paraId="409A54FF" w14:textId="77777777" w:rsidR="00DE32CC" w:rsidRPr="00DE779B" w:rsidRDefault="00DE32CC" w:rsidP="00DE32CC">
            <w:pPr>
              <w:pStyle w:val="BodyText"/>
              <w:spacing w:before="100" w:after="100"/>
              <w:jc w:val="center"/>
              <w:rPr>
                <w:szCs w:val="20"/>
                <w:lang w:eastAsia="en-AU"/>
              </w:rPr>
            </w:pPr>
            <w:r w:rsidRPr="00DE779B">
              <w:rPr>
                <w:szCs w:val="20"/>
                <w:lang w:eastAsia="en-AU"/>
              </w:rPr>
              <w:t>Yes</w:t>
            </w:r>
          </w:p>
        </w:tc>
        <w:tc>
          <w:tcPr>
            <w:tcW w:w="695" w:type="pct"/>
            <w:vAlign w:val="center"/>
          </w:tcPr>
          <w:p w14:paraId="7BBB8616" w14:textId="77777777" w:rsidR="00DE32CC" w:rsidRPr="00DE779B" w:rsidRDefault="00DE32CC" w:rsidP="00DE32CC">
            <w:pPr>
              <w:pStyle w:val="BodyText"/>
              <w:spacing w:before="100" w:after="100"/>
              <w:jc w:val="center"/>
              <w:rPr>
                <w:szCs w:val="20"/>
                <w:lang w:eastAsia="en-AU"/>
              </w:rPr>
            </w:pPr>
            <w:r w:rsidRPr="00DE779B">
              <w:rPr>
                <w:szCs w:val="20"/>
                <w:lang w:eastAsia="en-AU"/>
              </w:rPr>
              <w:t>Yes</w:t>
            </w:r>
          </w:p>
        </w:tc>
        <w:tc>
          <w:tcPr>
            <w:tcW w:w="695" w:type="pct"/>
            <w:vAlign w:val="center"/>
          </w:tcPr>
          <w:p w14:paraId="6413F6D2" w14:textId="77777777" w:rsidR="00DE32CC" w:rsidRPr="00DE779B" w:rsidRDefault="00DE32CC" w:rsidP="00DE32CC">
            <w:pPr>
              <w:pStyle w:val="BodyText"/>
              <w:spacing w:before="100" w:after="100"/>
              <w:jc w:val="center"/>
              <w:rPr>
                <w:szCs w:val="20"/>
                <w:lang w:eastAsia="en-AU"/>
              </w:rPr>
            </w:pPr>
            <w:r w:rsidRPr="00DE779B">
              <w:rPr>
                <w:szCs w:val="20"/>
                <w:lang w:eastAsia="en-AU"/>
              </w:rPr>
              <w:t>Yes</w:t>
            </w:r>
          </w:p>
        </w:tc>
        <w:tc>
          <w:tcPr>
            <w:tcW w:w="695" w:type="pct"/>
            <w:vAlign w:val="center"/>
          </w:tcPr>
          <w:p w14:paraId="6CF0C7CE" w14:textId="77777777" w:rsidR="00DE32CC" w:rsidRPr="00DE779B" w:rsidRDefault="00DE32CC" w:rsidP="00DE32CC">
            <w:pPr>
              <w:pStyle w:val="BodyText"/>
              <w:spacing w:before="100" w:after="100"/>
              <w:jc w:val="center"/>
              <w:rPr>
                <w:szCs w:val="20"/>
                <w:lang w:eastAsia="en-AU"/>
              </w:rPr>
            </w:pPr>
            <w:r w:rsidRPr="00DE779B">
              <w:rPr>
                <w:szCs w:val="20"/>
                <w:lang w:eastAsia="en-AU"/>
              </w:rPr>
              <w:t>Yes</w:t>
            </w:r>
          </w:p>
        </w:tc>
        <w:tc>
          <w:tcPr>
            <w:tcW w:w="695" w:type="pct"/>
            <w:vAlign w:val="center"/>
          </w:tcPr>
          <w:p w14:paraId="6C2E0ACA" w14:textId="77777777" w:rsidR="00DE32CC" w:rsidRPr="00DE779B" w:rsidRDefault="00DE32CC" w:rsidP="00DE32CC">
            <w:pPr>
              <w:pStyle w:val="BodyText"/>
              <w:spacing w:before="100" w:after="100"/>
              <w:jc w:val="center"/>
              <w:rPr>
                <w:szCs w:val="20"/>
                <w:lang w:eastAsia="en-AU"/>
              </w:rPr>
            </w:pPr>
            <w:r w:rsidRPr="00DE779B">
              <w:rPr>
                <w:szCs w:val="20"/>
                <w:lang w:eastAsia="en-AU"/>
              </w:rPr>
              <w:t>Yes</w:t>
            </w:r>
          </w:p>
        </w:tc>
      </w:tr>
      <w:tr w:rsidR="00DE32CC" w:rsidRPr="00DE779B" w14:paraId="0C4E31D6" w14:textId="77777777" w:rsidTr="00DE32CC">
        <w:trPr>
          <w:cantSplit/>
          <w:trHeight w:val="856"/>
        </w:trPr>
        <w:tc>
          <w:tcPr>
            <w:tcW w:w="830" w:type="pct"/>
            <w:vAlign w:val="center"/>
          </w:tcPr>
          <w:p w14:paraId="49E63423" w14:textId="77777777" w:rsidR="00DE32CC" w:rsidRPr="00DE779B" w:rsidRDefault="00DE32CC" w:rsidP="00DE32CC">
            <w:pPr>
              <w:pStyle w:val="BodyText"/>
              <w:spacing w:before="100" w:after="100"/>
              <w:rPr>
                <w:b/>
                <w:szCs w:val="20"/>
                <w:lang w:eastAsia="en-AU"/>
              </w:rPr>
            </w:pPr>
            <w:r w:rsidRPr="00DE779B">
              <w:rPr>
                <w:b/>
                <w:szCs w:val="20"/>
                <w:lang w:eastAsia="en-AU"/>
              </w:rPr>
              <w:lastRenderedPageBreak/>
              <w:t xml:space="preserve">Minimum Total Cost of the Optus Business Timeless Fleet Plan over a 24 month </w:t>
            </w:r>
            <w:r w:rsidRPr="00DE779B">
              <w:rPr>
                <w:b/>
                <w:i/>
                <w:iCs/>
                <w:szCs w:val="20"/>
                <w:lang w:eastAsia="en-AU"/>
              </w:rPr>
              <w:t>minimum term</w:t>
            </w:r>
          </w:p>
        </w:tc>
        <w:tc>
          <w:tcPr>
            <w:tcW w:w="695" w:type="pct"/>
            <w:vAlign w:val="center"/>
          </w:tcPr>
          <w:p w14:paraId="1F6AECE5" w14:textId="77777777" w:rsidR="00DE32CC" w:rsidRPr="00DE779B" w:rsidRDefault="00DE32CC" w:rsidP="00DE32CC">
            <w:pPr>
              <w:pStyle w:val="BodyText"/>
              <w:spacing w:before="100" w:after="100"/>
              <w:jc w:val="center"/>
              <w:rPr>
                <w:szCs w:val="20"/>
                <w:lang w:eastAsia="en-AU"/>
              </w:rPr>
            </w:pPr>
            <w:r w:rsidRPr="00DE779B">
              <w:rPr>
                <w:szCs w:val="20"/>
                <w:lang w:eastAsia="en-AU"/>
              </w:rPr>
              <w:t>$1,416</w:t>
            </w:r>
          </w:p>
        </w:tc>
        <w:tc>
          <w:tcPr>
            <w:tcW w:w="695" w:type="pct"/>
            <w:vAlign w:val="center"/>
          </w:tcPr>
          <w:p w14:paraId="640EE049" w14:textId="77777777" w:rsidR="00DE32CC" w:rsidRPr="00DE779B" w:rsidRDefault="00DE32CC" w:rsidP="00DE32CC">
            <w:pPr>
              <w:pStyle w:val="BodyText"/>
              <w:spacing w:before="100" w:after="100"/>
              <w:jc w:val="center"/>
              <w:rPr>
                <w:szCs w:val="20"/>
                <w:lang w:eastAsia="en-AU"/>
              </w:rPr>
            </w:pPr>
            <w:r w:rsidRPr="00DE779B">
              <w:rPr>
                <w:szCs w:val="20"/>
                <w:lang w:eastAsia="en-AU"/>
              </w:rPr>
              <w:t>$1,656</w:t>
            </w:r>
          </w:p>
        </w:tc>
        <w:tc>
          <w:tcPr>
            <w:tcW w:w="695" w:type="pct"/>
            <w:vAlign w:val="center"/>
          </w:tcPr>
          <w:p w14:paraId="29BF3B38" w14:textId="77777777" w:rsidR="00DE32CC" w:rsidRPr="00DE779B" w:rsidRDefault="00DE32CC" w:rsidP="00DE32CC">
            <w:pPr>
              <w:pStyle w:val="BodyText"/>
              <w:spacing w:before="100" w:after="100"/>
              <w:jc w:val="center"/>
              <w:rPr>
                <w:szCs w:val="20"/>
                <w:lang w:eastAsia="en-AU"/>
              </w:rPr>
            </w:pPr>
            <w:r w:rsidRPr="00DE779B">
              <w:rPr>
                <w:szCs w:val="20"/>
                <w:lang w:eastAsia="en-AU"/>
              </w:rPr>
              <w:t>$1,896</w:t>
            </w:r>
          </w:p>
        </w:tc>
        <w:tc>
          <w:tcPr>
            <w:tcW w:w="695" w:type="pct"/>
            <w:vAlign w:val="center"/>
          </w:tcPr>
          <w:p w14:paraId="284F9FFF" w14:textId="77777777" w:rsidR="00DE32CC" w:rsidRPr="00DE779B" w:rsidRDefault="00DE32CC" w:rsidP="00DE32CC">
            <w:pPr>
              <w:pStyle w:val="BodyText"/>
              <w:spacing w:before="100" w:after="100"/>
              <w:jc w:val="center"/>
              <w:rPr>
                <w:szCs w:val="20"/>
                <w:lang w:eastAsia="en-AU"/>
              </w:rPr>
            </w:pPr>
            <w:r w:rsidRPr="00DE779B">
              <w:rPr>
                <w:szCs w:val="20"/>
                <w:lang w:eastAsia="en-AU"/>
              </w:rPr>
              <w:t>$1,896</w:t>
            </w:r>
          </w:p>
        </w:tc>
        <w:tc>
          <w:tcPr>
            <w:tcW w:w="695" w:type="pct"/>
            <w:vAlign w:val="center"/>
          </w:tcPr>
          <w:p w14:paraId="11B9CC83" w14:textId="77777777" w:rsidR="00DE32CC" w:rsidRPr="00DE779B" w:rsidRDefault="00DE32CC" w:rsidP="00DE32CC">
            <w:pPr>
              <w:pStyle w:val="BodyText"/>
              <w:spacing w:before="100" w:after="100"/>
              <w:jc w:val="center"/>
              <w:rPr>
                <w:szCs w:val="20"/>
                <w:lang w:eastAsia="en-AU"/>
              </w:rPr>
            </w:pPr>
            <w:r w:rsidRPr="00DE779B">
              <w:rPr>
                <w:szCs w:val="20"/>
                <w:lang w:eastAsia="en-AU"/>
              </w:rPr>
              <w:t>$2,136</w:t>
            </w:r>
          </w:p>
        </w:tc>
        <w:tc>
          <w:tcPr>
            <w:tcW w:w="695" w:type="pct"/>
            <w:vAlign w:val="center"/>
          </w:tcPr>
          <w:p w14:paraId="1FE76D06" w14:textId="77777777" w:rsidR="00DE32CC" w:rsidRPr="00DE779B" w:rsidRDefault="00DE32CC" w:rsidP="00DE32CC">
            <w:pPr>
              <w:pStyle w:val="BodyText"/>
              <w:spacing w:before="100" w:after="100"/>
              <w:jc w:val="center"/>
              <w:rPr>
                <w:szCs w:val="20"/>
                <w:lang w:eastAsia="en-AU"/>
              </w:rPr>
            </w:pPr>
            <w:r w:rsidRPr="00DE779B">
              <w:rPr>
                <w:szCs w:val="20"/>
                <w:lang w:eastAsia="en-AU"/>
              </w:rPr>
              <w:t>$2,376</w:t>
            </w:r>
          </w:p>
        </w:tc>
      </w:tr>
    </w:tbl>
    <w:p w14:paraId="2EDA8A21" w14:textId="77777777" w:rsidR="00DE32CC" w:rsidRPr="008C3FF3" w:rsidRDefault="00DE32CC" w:rsidP="00DE32CC">
      <w:pPr>
        <w:pStyle w:val="BodyText"/>
        <w:spacing w:before="240"/>
        <w:ind w:left="720"/>
        <w:rPr>
          <w:b/>
        </w:rPr>
      </w:pPr>
      <w:r w:rsidRPr="008C3FF3">
        <w:rPr>
          <w:b/>
        </w:rPr>
        <w:t>TABLE 3B – Eligible Optus Business Mobile Broadband service(s)</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1"/>
      </w:tblGrid>
      <w:tr w:rsidR="00DE32CC" w14:paraId="277806A7" w14:textId="77777777" w:rsidTr="00DE32CC">
        <w:tc>
          <w:tcPr>
            <w:tcW w:w="4601" w:type="dxa"/>
            <w:vAlign w:val="bottom"/>
          </w:tcPr>
          <w:p w14:paraId="10F1CDFC" w14:textId="77777777" w:rsidR="00DE32CC" w:rsidRDefault="00DE32CC" w:rsidP="00DE32CC">
            <w:pPr>
              <w:pStyle w:val="BodyText"/>
              <w:spacing w:before="100" w:after="100"/>
              <w:jc w:val="center"/>
              <w:rPr>
                <w:b/>
              </w:rPr>
            </w:pPr>
            <w:r>
              <w:rPr>
                <w:lang w:eastAsia="en-AU"/>
              </w:rPr>
              <w:t>2GB Optus Biz Data Plan (April 2012)</w:t>
            </w:r>
          </w:p>
        </w:tc>
      </w:tr>
      <w:tr w:rsidR="00DE32CC" w14:paraId="28BF5A91" w14:textId="77777777" w:rsidTr="00DE32CC">
        <w:tc>
          <w:tcPr>
            <w:tcW w:w="4601" w:type="dxa"/>
            <w:vAlign w:val="bottom"/>
          </w:tcPr>
          <w:p w14:paraId="42A400CC" w14:textId="77777777" w:rsidR="00DE32CC" w:rsidRDefault="00DE32CC" w:rsidP="00DE32CC">
            <w:pPr>
              <w:pStyle w:val="BodyText"/>
              <w:spacing w:before="100" w:after="100"/>
              <w:jc w:val="center"/>
              <w:rPr>
                <w:b/>
              </w:rPr>
            </w:pPr>
            <w:r>
              <w:rPr>
                <w:lang w:eastAsia="en-AU"/>
              </w:rPr>
              <w:t>5GB Optus Biz Data Plan (April 2012)</w:t>
            </w:r>
          </w:p>
        </w:tc>
      </w:tr>
      <w:tr w:rsidR="00DE32CC" w14:paraId="004FBF0A" w14:textId="77777777" w:rsidTr="00DE32CC">
        <w:tc>
          <w:tcPr>
            <w:tcW w:w="4601" w:type="dxa"/>
            <w:vAlign w:val="bottom"/>
          </w:tcPr>
          <w:p w14:paraId="500238F4" w14:textId="77777777" w:rsidR="00DE32CC" w:rsidRDefault="00DE32CC" w:rsidP="00DE32CC">
            <w:pPr>
              <w:pStyle w:val="BodyText"/>
              <w:spacing w:before="100" w:after="100"/>
              <w:jc w:val="center"/>
            </w:pPr>
            <w:r>
              <w:rPr>
                <w:lang w:eastAsia="en-AU"/>
              </w:rPr>
              <w:t>10GB Optus Biz Data Plan (April 2012)</w:t>
            </w:r>
          </w:p>
        </w:tc>
      </w:tr>
      <w:tr w:rsidR="00DE32CC" w14:paraId="2727077B" w14:textId="77777777" w:rsidTr="00DE32CC">
        <w:tc>
          <w:tcPr>
            <w:tcW w:w="4601" w:type="dxa"/>
            <w:vAlign w:val="bottom"/>
          </w:tcPr>
          <w:p w14:paraId="0E60804F" w14:textId="77777777" w:rsidR="00DE32CC" w:rsidRDefault="00DE32CC" w:rsidP="00DE32CC">
            <w:pPr>
              <w:pStyle w:val="BodyText"/>
              <w:spacing w:before="100" w:after="100"/>
              <w:jc w:val="center"/>
            </w:pPr>
            <w:r>
              <w:rPr>
                <w:lang w:eastAsia="en-AU"/>
              </w:rPr>
              <w:t>15GB Optus Biz Data Plan (April 2012)</w:t>
            </w:r>
          </w:p>
        </w:tc>
      </w:tr>
      <w:tr w:rsidR="00DE32CC" w14:paraId="5ED20E5C" w14:textId="77777777" w:rsidTr="00DE32CC">
        <w:tc>
          <w:tcPr>
            <w:tcW w:w="4601" w:type="dxa"/>
            <w:vAlign w:val="bottom"/>
          </w:tcPr>
          <w:p w14:paraId="1F56C50C" w14:textId="77777777" w:rsidR="00DE32CC" w:rsidRDefault="00DE32CC" w:rsidP="00DE32CC">
            <w:pPr>
              <w:pStyle w:val="BodyText"/>
              <w:spacing w:before="100" w:after="100"/>
              <w:jc w:val="center"/>
            </w:pPr>
            <w:r>
              <w:rPr>
                <w:lang w:eastAsia="en-AU"/>
              </w:rPr>
              <w:t>20GB Optus Biz Data Plan (April 2012)</w:t>
            </w:r>
          </w:p>
        </w:tc>
      </w:tr>
    </w:tbl>
    <w:p w14:paraId="3B7DD7AF" w14:textId="77777777" w:rsidR="00DE32CC" w:rsidRPr="00705FC7" w:rsidRDefault="00DE32CC" w:rsidP="00DE32CC">
      <w:pPr>
        <w:pStyle w:val="Heading6"/>
        <w:spacing w:before="240"/>
        <w:ind w:left="0" w:firstLine="0"/>
      </w:pPr>
      <w:bookmarkStart w:id="2398" w:name="_Toc529178386"/>
      <w:r w:rsidRPr="00705FC7">
        <w:t>What happens if the service is cancelled early?</w:t>
      </w:r>
      <w:bookmarkEnd w:id="2398"/>
    </w:p>
    <w:p w14:paraId="65C81C81" w14:textId="77777777" w:rsidR="00DE32CC" w:rsidRPr="00705FC7" w:rsidRDefault="00DE32CC" w:rsidP="00DE32CC">
      <w:pPr>
        <w:pStyle w:val="Heading7"/>
      </w:pPr>
      <w:r w:rsidRPr="00705FC7">
        <w:t xml:space="preserve">If </w:t>
      </w:r>
      <w:r w:rsidRPr="00705FC7">
        <w:rPr>
          <w:i/>
        </w:rPr>
        <w:t>the service is cancelled</w:t>
      </w:r>
      <w:r w:rsidRPr="00705FC7">
        <w:t xml:space="preserve"> before the expiry of the </w:t>
      </w:r>
      <w:r w:rsidRPr="00705FC7">
        <w:rPr>
          <w:i/>
        </w:rPr>
        <w:t>minimum term</w:t>
      </w:r>
      <w:r w:rsidRPr="00705FC7">
        <w:t xml:space="preserve">, you will be required to pay </w:t>
      </w:r>
      <w:r w:rsidRPr="00705FC7">
        <w:rPr>
          <w:i/>
        </w:rPr>
        <w:t>us</w:t>
      </w:r>
      <w:r w:rsidRPr="00705FC7">
        <w:t>:</w:t>
      </w:r>
    </w:p>
    <w:p w14:paraId="48FA6917" w14:textId="77777777" w:rsidR="00DE32CC" w:rsidRDefault="00DE32CC" w:rsidP="00DE32CC">
      <w:pPr>
        <w:pStyle w:val="Heading8"/>
      </w:pPr>
      <w:r w:rsidRPr="00705FC7">
        <w:t xml:space="preserve">any usage charges incurred up to, and including, the </w:t>
      </w:r>
      <w:r w:rsidRPr="00705FC7">
        <w:rPr>
          <w:i/>
        </w:rPr>
        <w:t>cancellation date</w:t>
      </w:r>
      <w:r>
        <w:t>; plus</w:t>
      </w:r>
    </w:p>
    <w:p w14:paraId="499E643B" w14:textId="77777777" w:rsidR="00DE32CC" w:rsidRDefault="00DE32CC" w:rsidP="00DE32CC">
      <w:pPr>
        <w:pStyle w:val="Heading8"/>
      </w:pPr>
      <w:r w:rsidRPr="00705FC7">
        <w:t xml:space="preserve">the </w:t>
      </w:r>
      <w:r w:rsidRPr="00705FC7">
        <w:rPr>
          <w:i/>
        </w:rPr>
        <w:t>cancellation fee</w:t>
      </w:r>
      <w:r w:rsidRPr="00705FC7">
        <w:t xml:space="preserve"> set in paragraph </w:t>
      </w:r>
      <w:r>
        <w:fldChar w:fldCharType="begin"/>
      </w:r>
      <w:r>
        <w:instrText xml:space="preserve"> REF _Ref458717918 \n \h </w:instrText>
      </w:r>
      <w:r>
        <w:fldChar w:fldCharType="separate"/>
      </w:r>
      <w:r>
        <w:t>(b)</w:t>
      </w:r>
      <w:r>
        <w:fldChar w:fldCharType="end"/>
      </w:r>
      <w:r>
        <w:t xml:space="preserve"> </w:t>
      </w:r>
      <w:r w:rsidRPr="00705FC7">
        <w:t xml:space="preserve">below (unless under </w:t>
      </w:r>
      <w:r w:rsidRPr="00091711">
        <w:t>clause 2A</w:t>
      </w:r>
      <w:r w:rsidRPr="00705FC7">
        <w:t xml:space="preserve"> of the </w:t>
      </w:r>
      <w:r w:rsidRPr="00705FC7">
        <w:rPr>
          <w:i/>
        </w:rPr>
        <w:t>SMB terms, you</w:t>
      </w:r>
      <w:r w:rsidRPr="00705FC7">
        <w:t xml:space="preserve"> are entitled to </w:t>
      </w:r>
      <w:r w:rsidRPr="00705FC7">
        <w:rPr>
          <w:i/>
        </w:rPr>
        <w:t>cancel the service</w:t>
      </w:r>
      <w:r w:rsidRPr="00705FC7">
        <w:t xml:space="preserve"> without incurring a </w:t>
      </w:r>
      <w:r w:rsidRPr="00705FC7">
        <w:rPr>
          <w:i/>
        </w:rPr>
        <w:t>cancellation fee</w:t>
      </w:r>
      <w:r w:rsidRPr="00705FC7">
        <w:t>); plus</w:t>
      </w:r>
    </w:p>
    <w:p w14:paraId="5C781335" w14:textId="77777777" w:rsidR="00DE32CC" w:rsidRPr="009B4A76" w:rsidRDefault="00DE32CC" w:rsidP="00DE32CC">
      <w:pPr>
        <w:pStyle w:val="Heading8"/>
      </w:pPr>
      <w:r>
        <w:rPr>
          <w:lang w:val="en-AU"/>
        </w:rPr>
        <w:t>t</w:t>
      </w:r>
      <w:r w:rsidRPr="009B4A76">
        <w:rPr>
          <w:lang w:val="en-AU"/>
        </w:rPr>
        <w:t xml:space="preserve">he sum of unpaid </w:t>
      </w:r>
      <w:r w:rsidRPr="009B4A76">
        <w:rPr>
          <w:i/>
          <w:lang w:val="en-AU"/>
        </w:rPr>
        <w:t xml:space="preserve">equipment charges </w:t>
      </w:r>
      <w:r w:rsidRPr="009B4A76">
        <w:rPr>
          <w:lang w:val="en-AU"/>
        </w:rPr>
        <w:t xml:space="preserve">owing on </w:t>
      </w:r>
      <w:r w:rsidRPr="009B4A76">
        <w:rPr>
          <w:i/>
          <w:lang w:val="en-AU"/>
        </w:rPr>
        <w:t xml:space="preserve">your mobile phone </w:t>
      </w:r>
      <w:r w:rsidRPr="009B4A76">
        <w:rPr>
          <w:lang w:val="en-AU"/>
        </w:rPr>
        <w:t xml:space="preserve">under the </w:t>
      </w:r>
      <w:r w:rsidRPr="009B4A76">
        <w:rPr>
          <w:i/>
          <w:lang w:val="en-AU"/>
        </w:rPr>
        <w:t xml:space="preserve">mobile equipment payment plan </w:t>
      </w:r>
      <w:r w:rsidRPr="009B4A76">
        <w:rPr>
          <w:lang w:val="en-AU"/>
        </w:rPr>
        <w:t>(if any)</w:t>
      </w:r>
      <w:r w:rsidRPr="009B4A76">
        <w:rPr>
          <w:i/>
          <w:lang w:val="en-AU"/>
        </w:rPr>
        <w:t>.</w:t>
      </w:r>
    </w:p>
    <w:p w14:paraId="0585C80D" w14:textId="77777777" w:rsidR="00DE32CC" w:rsidRDefault="00DE32CC" w:rsidP="00DE32CC">
      <w:pPr>
        <w:pStyle w:val="Heading7"/>
        <w:rPr>
          <w:lang w:val="en-AU"/>
        </w:rPr>
      </w:pPr>
      <w:bookmarkStart w:id="2399" w:name="_Ref458717918"/>
      <w:r w:rsidRPr="009B4A76">
        <w:rPr>
          <w:lang w:val="en-AU"/>
        </w:rPr>
        <w:t xml:space="preserve">The </w:t>
      </w:r>
      <w:r w:rsidRPr="009B4A76">
        <w:rPr>
          <w:i/>
          <w:lang w:val="en-AU"/>
        </w:rPr>
        <w:t>cancellation fee</w:t>
      </w:r>
      <w:r w:rsidRPr="009B4A76">
        <w:rPr>
          <w:lang w:val="en-AU"/>
        </w:rPr>
        <w:t xml:space="preserve"> for a 24 Month Contract is calculated as a fixed amount if the </w:t>
      </w:r>
      <w:r w:rsidRPr="009B4A76">
        <w:rPr>
          <w:i/>
          <w:lang w:val="en-AU"/>
        </w:rPr>
        <w:t xml:space="preserve">service </w:t>
      </w:r>
      <w:r w:rsidRPr="009B4A76">
        <w:rPr>
          <w:lang w:val="en-AU"/>
        </w:rPr>
        <w:t xml:space="preserve">is </w:t>
      </w:r>
      <w:r w:rsidRPr="009B4A76">
        <w:rPr>
          <w:i/>
          <w:lang w:val="en-AU"/>
        </w:rPr>
        <w:t xml:space="preserve">cancelled </w:t>
      </w:r>
      <w:r w:rsidRPr="009B4A76">
        <w:rPr>
          <w:lang w:val="en-AU"/>
        </w:rPr>
        <w:t xml:space="preserve">during the first 12 months of the </w:t>
      </w:r>
      <w:r w:rsidRPr="009B4A76">
        <w:rPr>
          <w:i/>
          <w:lang w:val="en-AU"/>
        </w:rPr>
        <w:t>minimum term</w:t>
      </w:r>
      <w:r w:rsidRPr="009B4A76">
        <w:rPr>
          <w:lang w:val="en-AU"/>
        </w:rPr>
        <w:t xml:space="preserve"> and then a pro-rata reduction of that fee (indicated as a percentage in brackets in the first column of the table below) if the </w:t>
      </w:r>
      <w:r w:rsidRPr="009B4A76">
        <w:rPr>
          <w:i/>
          <w:lang w:val="en-AU"/>
        </w:rPr>
        <w:t xml:space="preserve">service </w:t>
      </w:r>
      <w:r w:rsidRPr="009B4A76">
        <w:rPr>
          <w:lang w:val="en-AU"/>
        </w:rPr>
        <w:t xml:space="preserve">is </w:t>
      </w:r>
      <w:r w:rsidRPr="009B4A76">
        <w:rPr>
          <w:i/>
          <w:lang w:val="en-AU"/>
        </w:rPr>
        <w:t xml:space="preserve">cancelled </w:t>
      </w:r>
      <w:r w:rsidRPr="009B4A76">
        <w:rPr>
          <w:lang w:val="en-AU"/>
        </w:rPr>
        <w:t xml:space="preserve">during the second year of the </w:t>
      </w:r>
      <w:r w:rsidRPr="009B4A76">
        <w:rPr>
          <w:i/>
          <w:lang w:val="en-AU"/>
        </w:rPr>
        <w:t>minimum term</w:t>
      </w:r>
      <w:r w:rsidRPr="009B4A76">
        <w:rPr>
          <w:lang w:val="en-AU"/>
        </w:rPr>
        <w:t>.</w:t>
      </w:r>
      <w:bookmarkEnd w:id="2399"/>
    </w:p>
    <w:tbl>
      <w:tblPr>
        <w:tblW w:w="102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1"/>
        <w:gridCol w:w="1348"/>
        <w:gridCol w:w="1348"/>
        <w:gridCol w:w="1348"/>
        <w:gridCol w:w="1348"/>
        <w:gridCol w:w="1348"/>
        <w:gridCol w:w="1348"/>
      </w:tblGrid>
      <w:tr w:rsidR="00DE32CC" w14:paraId="150C41A2" w14:textId="77777777" w:rsidTr="00DE32CC">
        <w:trPr>
          <w:tblHeader/>
          <w:jc w:val="center"/>
        </w:trPr>
        <w:tc>
          <w:tcPr>
            <w:tcW w:w="2211" w:type="dxa"/>
          </w:tcPr>
          <w:p w14:paraId="78584E7F" w14:textId="77777777" w:rsidR="00DE32CC" w:rsidRPr="007B41F6" w:rsidRDefault="00DE32CC" w:rsidP="00DE32CC">
            <w:pPr>
              <w:pStyle w:val="BodyText"/>
              <w:widowControl w:val="0"/>
              <w:spacing w:before="100" w:after="100"/>
              <w:rPr>
                <w:b/>
              </w:rPr>
            </w:pPr>
            <w:r w:rsidRPr="007B41F6">
              <w:rPr>
                <w:b/>
              </w:rPr>
              <w:t xml:space="preserve">When the </w:t>
            </w:r>
            <w:r w:rsidRPr="007B41F6">
              <w:rPr>
                <w:b/>
                <w:i/>
              </w:rPr>
              <w:t>service is cancelled</w:t>
            </w:r>
          </w:p>
        </w:tc>
        <w:tc>
          <w:tcPr>
            <w:tcW w:w="8088" w:type="dxa"/>
            <w:gridSpan w:val="6"/>
            <w:vAlign w:val="center"/>
          </w:tcPr>
          <w:p w14:paraId="6EC84BAE" w14:textId="77777777" w:rsidR="00DE32CC" w:rsidRPr="007B41F6" w:rsidRDefault="00DE32CC" w:rsidP="00DE32CC">
            <w:pPr>
              <w:pStyle w:val="BodyText"/>
              <w:widowControl w:val="0"/>
              <w:spacing w:before="100" w:after="100"/>
              <w:jc w:val="center"/>
              <w:rPr>
                <w:b/>
                <w:i/>
              </w:rPr>
            </w:pPr>
            <w:r w:rsidRPr="007B41F6">
              <w:rPr>
                <w:b/>
                <w:i/>
              </w:rPr>
              <w:t>Cancellation Fee</w:t>
            </w:r>
          </w:p>
        </w:tc>
      </w:tr>
      <w:tr w:rsidR="00DE32CC" w14:paraId="50ABE424" w14:textId="77777777" w:rsidTr="00DE32CC">
        <w:trPr>
          <w:tblHeader/>
          <w:jc w:val="center"/>
        </w:trPr>
        <w:tc>
          <w:tcPr>
            <w:tcW w:w="2211" w:type="dxa"/>
          </w:tcPr>
          <w:p w14:paraId="123E9B3A" w14:textId="77777777" w:rsidR="00DE32CC" w:rsidRDefault="00DE32CC" w:rsidP="00DE32CC">
            <w:pPr>
              <w:pStyle w:val="BodyText"/>
              <w:widowControl w:val="0"/>
              <w:spacing w:before="100" w:after="100"/>
            </w:pPr>
          </w:p>
        </w:tc>
        <w:tc>
          <w:tcPr>
            <w:tcW w:w="8088" w:type="dxa"/>
            <w:gridSpan w:val="6"/>
            <w:vAlign w:val="center"/>
          </w:tcPr>
          <w:p w14:paraId="06D5BC77" w14:textId="77777777" w:rsidR="00DE32CC" w:rsidRPr="00E46EDA" w:rsidRDefault="00DE32CC" w:rsidP="00DE32CC">
            <w:pPr>
              <w:pStyle w:val="BodyText"/>
              <w:widowControl w:val="0"/>
              <w:spacing w:before="100" w:after="100"/>
              <w:jc w:val="center"/>
              <w:rPr>
                <w:b/>
                <w:bCs/>
                <w:lang w:eastAsia="en-AU"/>
              </w:rPr>
            </w:pPr>
            <w:r w:rsidRPr="00E46EDA">
              <w:rPr>
                <w:b/>
                <w:bCs/>
                <w:lang w:eastAsia="en-AU"/>
              </w:rPr>
              <w:t>Business Timeless Fleet Plans – 24 Month Contract</w:t>
            </w:r>
          </w:p>
        </w:tc>
      </w:tr>
      <w:tr w:rsidR="00DE32CC" w14:paraId="580DBBA9" w14:textId="77777777" w:rsidTr="00DE32CC">
        <w:trPr>
          <w:tblHeader/>
          <w:jc w:val="center"/>
        </w:trPr>
        <w:tc>
          <w:tcPr>
            <w:tcW w:w="2211" w:type="dxa"/>
          </w:tcPr>
          <w:p w14:paraId="6D5C1AC8" w14:textId="77777777" w:rsidR="00DE32CC" w:rsidRDefault="00DE32CC" w:rsidP="00DE32CC">
            <w:pPr>
              <w:pStyle w:val="BodyText"/>
              <w:widowControl w:val="0"/>
              <w:spacing w:before="100" w:after="100"/>
            </w:pPr>
          </w:p>
        </w:tc>
        <w:tc>
          <w:tcPr>
            <w:tcW w:w="1348" w:type="dxa"/>
          </w:tcPr>
          <w:p w14:paraId="017C6578" w14:textId="77777777" w:rsidR="00DE32CC" w:rsidRPr="00E46EDA" w:rsidRDefault="00DE32CC" w:rsidP="00DE32CC">
            <w:pPr>
              <w:pStyle w:val="BodyText"/>
              <w:widowControl w:val="0"/>
              <w:spacing w:before="100" w:after="100"/>
              <w:jc w:val="center"/>
              <w:rPr>
                <w:b/>
                <w:bCs/>
                <w:lang w:eastAsia="en-AU"/>
              </w:rPr>
            </w:pPr>
            <w:r w:rsidRPr="00E46EDA">
              <w:rPr>
                <w:b/>
                <w:bCs/>
                <w:lang w:eastAsia="en-AU"/>
              </w:rPr>
              <w:t>$59 Business Timeless Fleet</w:t>
            </w:r>
          </w:p>
        </w:tc>
        <w:tc>
          <w:tcPr>
            <w:tcW w:w="1348" w:type="dxa"/>
          </w:tcPr>
          <w:p w14:paraId="1C4D54FC" w14:textId="77777777" w:rsidR="00DE32CC" w:rsidRPr="00E46EDA" w:rsidRDefault="00DE32CC" w:rsidP="00DE32CC">
            <w:pPr>
              <w:pStyle w:val="BodyText"/>
              <w:widowControl w:val="0"/>
              <w:spacing w:before="100" w:after="100"/>
              <w:jc w:val="center"/>
              <w:rPr>
                <w:b/>
              </w:rPr>
            </w:pPr>
            <w:r w:rsidRPr="00E46EDA">
              <w:rPr>
                <w:b/>
                <w:bCs/>
                <w:lang w:eastAsia="en-AU"/>
              </w:rPr>
              <w:t>$69 Business Timeless Fleet</w:t>
            </w:r>
          </w:p>
        </w:tc>
        <w:tc>
          <w:tcPr>
            <w:tcW w:w="1348" w:type="dxa"/>
          </w:tcPr>
          <w:p w14:paraId="5DC1F75A" w14:textId="77777777" w:rsidR="00DE32CC" w:rsidRPr="00E46EDA" w:rsidRDefault="00DE32CC" w:rsidP="00DE32CC">
            <w:pPr>
              <w:pStyle w:val="BodyText"/>
              <w:widowControl w:val="0"/>
              <w:spacing w:before="100" w:after="100"/>
              <w:jc w:val="center"/>
              <w:rPr>
                <w:b/>
              </w:rPr>
            </w:pPr>
            <w:r w:rsidRPr="00E46EDA">
              <w:rPr>
                <w:b/>
                <w:bCs/>
                <w:lang w:eastAsia="en-AU"/>
              </w:rPr>
              <w:t>$79 Business Timeless Fleet</w:t>
            </w:r>
          </w:p>
        </w:tc>
        <w:tc>
          <w:tcPr>
            <w:tcW w:w="1348" w:type="dxa"/>
            <w:vAlign w:val="center"/>
          </w:tcPr>
          <w:p w14:paraId="753B18B0" w14:textId="77777777" w:rsidR="00DE32CC" w:rsidRPr="00E46EDA" w:rsidRDefault="00DE32CC" w:rsidP="00DE32CC">
            <w:pPr>
              <w:pStyle w:val="BodyText"/>
              <w:widowControl w:val="0"/>
              <w:spacing w:before="100" w:after="100"/>
              <w:jc w:val="center"/>
              <w:rPr>
                <w:b/>
              </w:rPr>
            </w:pPr>
            <w:r w:rsidRPr="00E46EDA">
              <w:rPr>
                <w:b/>
                <w:bCs/>
                <w:lang w:eastAsia="en-AU"/>
              </w:rPr>
              <w:t>$79 Business Timeless Fleet BES</w:t>
            </w:r>
          </w:p>
        </w:tc>
        <w:tc>
          <w:tcPr>
            <w:tcW w:w="1348" w:type="dxa"/>
          </w:tcPr>
          <w:p w14:paraId="772F0A20" w14:textId="77777777" w:rsidR="00DE32CC" w:rsidRPr="00E46EDA" w:rsidRDefault="00DE32CC" w:rsidP="00DE32CC">
            <w:pPr>
              <w:pStyle w:val="BodyText"/>
              <w:widowControl w:val="0"/>
              <w:spacing w:before="100" w:after="100"/>
              <w:jc w:val="center"/>
              <w:rPr>
                <w:b/>
                <w:bCs/>
                <w:lang w:eastAsia="en-AU"/>
              </w:rPr>
            </w:pPr>
            <w:r w:rsidRPr="00E46EDA">
              <w:rPr>
                <w:b/>
                <w:bCs/>
                <w:lang w:eastAsia="en-AU"/>
              </w:rPr>
              <w:t>$89 Business Timeless Fleet BES</w:t>
            </w:r>
          </w:p>
        </w:tc>
        <w:tc>
          <w:tcPr>
            <w:tcW w:w="1348" w:type="dxa"/>
          </w:tcPr>
          <w:p w14:paraId="62A466EF" w14:textId="77777777" w:rsidR="00DE32CC" w:rsidRPr="00E46EDA" w:rsidRDefault="00DE32CC" w:rsidP="00DE32CC">
            <w:pPr>
              <w:pStyle w:val="BodyText"/>
              <w:widowControl w:val="0"/>
              <w:spacing w:before="100" w:after="100"/>
              <w:jc w:val="center"/>
              <w:rPr>
                <w:b/>
                <w:bCs/>
                <w:lang w:eastAsia="en-AU"/>
              </w:rPr>
            </w:pPr>
            <w:r w:rsidRPr="00E46EDA">
              <w:rPr>
                <w:b/>
                <w:bCs/>
                <w:lang w:eastAsia="en-AU"/>
              </w:rPr>
              <w:t>$99 Business Timeless Fleet BES</w:t>
            </w:r>
          </w:p>
        </w:tc>
      </w:tr>
      <w:tr w:rsidR="00DE32CC" w14:paraId="6BAED937" w14:textId="77777777" w:rsidTr="00DE32CC">
        <w:trPr>
          <w:jc w:val="center"/>
        </w:trPr>
        <w:tc>
          <w:tcPr>
            <w:tcW w:w="2211" w:type="dxa"/>
          </w:tcPr>
          <w:p w14:paraId="21E51E42" w14:textId="77777777" w:rsidR="00DE32CC" w:rsidRPr="00E46EDA" w:rsidRDefault="00DE32CC" w:rsidP="00DE32CC">
            <w:pPr>
              <w:pStyle w:val="BodyText"/>
              <w:widowControl w:val="0"/>
              <w:spacing w:before="100" w:after="100"/>
              <w:rPr>
                <w:b/>
              </w:rPr>
            </w:pPr>
            <w:r w:rsidRPr="00E46EDA">
              <w:rPr>
                <w:b/>
              </w:rPr>
              <w:t>During the first 12 months – Initial cancellation fee</w:t>
            </w:r>
          </w:p>
        </w:tc>
        <w:tc>
          <w:tcPr>
            <w:tcW w:w="1348" w:type="dxa"/>
            <w:vAlign w:val="center"/>
          </w:tcPr>
          <w:p w14:paraId="6DC697F9" w14:textId="77777777" w:rsidR="00DE32CC" w:rsidRDefault="00DE32CC" w:rsidP="00DE32CC">
            <w:pPr>
              <w:pStyle w:val="BodyText"/>
              <w:widowControl w:val="0"/>
              <w:spacing w:before="100" w:after="100"/>
              <w:jc w:val="center"/>
            </w:pPr>
            <w:r>
              <w:t>$780</w:t>
            </w:r>
          </w:p>
        </w:tc>
        <w:tc>
          <w:tcPr>
            <w:tcW w:w="1348" w:type="dxa"/>
            <w:vAlign w:val="center"/>
          </w:tcPr>
          <w:p w14:paraId="76C12F07" w14:textId="77777777" w:rsidR="00DE32CC" w:rsidRDefault="00DE32CC" w:rsidP="00DE32CC">
            <w:pPr>
              <w:pStyle w:val="BodyText"/>
              <w:widowControl w:val="0"/>
              <w:spacing w:before="100" w:after="100"/>
              <w:jc w:val="center"/>
            </w:pPr>
            <w:r>
              <w:t>$1,070</w:t>
            </w:r>
          </w:p>
        </w:tc>
        <w:tc>
          <w:tcPr>
            <w:tcW w:w="1348" w:type="dxa"/>
            <w:vAlign w:val="center"/>
          </w:tcPr>
          <w:p w14:paraId="6C361E3F" w14:textId="77777777" w:rsidR="00DE32CC" w:rsidRDefault="00DE32CC" w:rsidP="00DE32CC">
            <w:pPr>
              <w:pStyle w:val="BodyText"/>
              <w:widowControl w:val="0"/>
              <w:spacing w:before="100" w:after="100"/>
              <w:jc w:val="center"/>
            </w:pPr>
            <w:r>
              <w:t>$1,260</w:t>
            </w:r>
          </w:p>
        </w:tc>
        <w:tc>
          <w:tcPr>
            <w:tcW w:w="1348" w:type="dxa"/>
            <w:vAlign w:val="center"/>
          </w:tcPr>
          <w:p w14:paraId="733336B8" w14:textId="77777777" w:rsidR="00DE32CC" w:rsidRDefault="00DE32CC" w:rsidP="00DE32CC">
            <w:pPr>
              <w:pStyle w:val="BodyText"/>
              <w:widowControl w:val="0"/>
              <w:spacing w:before="100" w:after="100"/>
              <w:jc w:val="center"/>
            </w:pPr>
            <w:r>
              <w:t>$780</w:t>
            </w:r>
          </w:p>
        </w:tc>
        <w:tc>
          <w:tcPr>
            <w:tcW w:w="1348" w:type="dxa"/>
            <w:vAlign w:val="center"/>
          </w:tcPr>
          <w:p w14:paraId="0EC716F9" w14:textId="77777777" w:rsidR="00DE32CC" w:rsidRDefault="00DE32CC" w:rsidP="00DE32CC">
            <w:pPr>
              <w:pStyle w:val="BodyText"/>
              <w:widowControl w:val="0"/>
              <w:spacing w:before="100" w:after="100"/>
              <w:jc w:val="center"/>
            </w:pPr>
            <w:r>
              <w:t>$1,070</w:t>
            </w:r>
          </w:p>
        </w:tc>
        <w:tc>
          <w:tcPr>
            <w:tcW w:w="1348" w:type="dxa"/>
            <w:vAlign w:val="center"/>
          </w:tcPr>
          <w:p w14:paraId="06C9181E" w14:textId="77777777" w:rsidR="00DE32CC" w:rsidRDefault="00DE32CC" w:rsidP="00DE32CC">
            <w:pPr>
              <w:pStyle w:val="BodyText"/>
              <w:widowControl w:val="0"/>
              <w:spacing w:before="100" w:after="100"/>
              <w:jc w:val="center"/>
            </w:pPr>
            <w:r>
              <w:t>$1,260</w:t>
            </w:r>
          </w:p>
        </w:tc>
      </w:tr>
      <w:tr w:rsidR="00DE32CC" w14:paraId="082B3B33" w14:textId="77777777" w:rsidTr="00DE32CC">
        <w:trPr>
          <w:jc w:val="center"/>
        </w:trPr>
        <w:tc>
          <w:tcPr>
            <w:tcW w:w="2211" w:type="dxa"/>
          </w:tcPr>
          <w:p w14:paraId="2DCFF42A" w14:textId="77777777" w:rsidR="00DE32CC" w:rsidRPr="00E46EDA" w:rsidRDefault="00DE32CC" w:rsidP="00DE32CC">
            <w:pPr>
              <w:pStyle w:val="BodyText"/>
              <w:widowControl w:val="0"/>
              <w:spacing w:before="100" w:after="100"/>
              <w:rPr>
                <w:b/>
              </w:rPr>
            </w:pPr>
            <w:r w:rsidRPr="00E46EDA">
              <w:rPr>
                <w:b/>
              </w:rPr>
              <w:t xml:space="preserve">Months 13 – 15 (80% of Initial cancellation </w:t>
            </w:r>
            <w:r w:rsidRPr="00E46EDA">
              <w:rPr>
                <w:b/>
              </w:rPr>
              <w:lastRenderedPageBreak/>
              <w:t>fee)</w:t>
            </w:r>
          </w:p>
        </w:tc>
        <w:tc>
          <w:tcPr>
            <w:tcW w:w="1348" w:type="dxa"/>
            <w:vAlign w:val="center"/>
          </w:tcPr>
          <w:p w14:paraId="1DD6B95D" w14:textId="77777777" w:rsidR="00DE32CC" w:rsidRDefault="00DE32CC" w:rsidP="00DE32CC">
            <w:pPr>
              <w:pStyle w:val="BodyText"/>
              <w:widowControl w:val="0"/>
              <w:spacing w:before="100" w:after="100"/>
              <w:jc w:val="center"/>
            </w:pPr>
            <w:r>
              <w:lastRenderedPageBreak/>
              <w:t>$624</w:t>
            </w:r>
          </w:p>
        </w:tc>
        <w:tc>
          <w:tcPr>
            <w:tcW w:w="1348" w:type="dxa"/>
            <w:vAlign w:val="center"/>
          </w:tcPr>
          <w:p w14:paraId="5191F0E9" w14:textId="77777777" w:rsidR="00DE32CC" w:rsidRDefault="00DE32CC" w:rsidP="00DE32CC">
            <w:pPr>
              <w:pStyle w:val="BodyText"/>
              <w:widowControl w:val="0"/>
              <w:spacing w:before="100" w:after="100"/>
              <w:jc w:val="center"/>
            </w:pPr>
            <w:r>
              <w:t>$856</w:t>
            </w:r>
          </w:p>
        </w:tc>
        <w:tc>
          <w:tcPr>
            <w:tcW w:w="1348" w:type="dxa"/>
            <w:vAlign w:val="center"/>
          </w:tcPr>
          <w:p w14:paraId="66D40976" w14:textId="77777777" w:rsidR="00DE32CC" w:rsidRDefault="00DE32CC" w:rsidP="00DE32CC">
            <w:pPr>
              <w:pStyle w:val="BodyText"/>
              <w:widowControl w:val="0"/>
              <w:spacing w:before="100" w:after="100"/>
              <w:jc w:val="center"/>
            </w:pPr>
            <w:r>
              <w:t>$1,008</w:t>
            </w:r>
          </w:p>
        </w:tc>
        <w:tc>
          <w:tcPr>
            <w:tcW w:w="1348" w:type="dxa"/>
            <w:vAlign w:val="center"/>
          </w:tcPr>
          <w:p w14:paraId="6F7BE681" w14:textId="77777777" w:rsidR="00DE32CC" w:rsidRDefault="00DE32CC" w:rsidP="00DE32CC">
            <w:pPr>
              <w:pStyle w:val="BodyText"/>
              <w:widowControl w:val="0"/>
              <w:spacing w:before="100" w:after="100"/>
              <w:jc w:val="center"/>
            </w:pPr>
            <w:r>
              <w:t>$624</w:t>
            </w:r>
          </w:p>
        </w:tc>
        <w:tc>
          <w:tcPr>
            <w:tcW w:w="1348" w:type="dxa"/>
            <w:vAlign w:val="center"/>
          </w:tcPr>
          <w:p w14:paraId="7F46DF9E" w14:textId="77777777" w:rsidR="00DE32CC" w:rsidRDefault="00DE32CC" w:rsidP="00DE32CC">
            <w:pPr>
              <w:pStyle w:val="BodyText"/>
              <w:widowControl w:val="0"/>
              <w:spacing w:before="100" w:after="100"/>
              <w:jc w:val="center"/>
            </w:pPr>
            <w:r>
              <w:t>$856</w:t>
            </w:r>
          </w:p>
        </w:tc>
        <w:tc>
          <w:tcPr>
            <w:tcW w:w="1348" w:type="dxa"/>
            <w:vAlign w:val="center"/>
          </w:tcPr>
          <w:p w14:paraId="5CFD9ADF" w14:textId="77777777" w:rsidR="00DE32CC" w:rsidRDefault="00DE32CC" w:rsidP="00DE32CC">
            <w:pPr>
              <w:pStyle w:val="BodyText"/>
              <w:widowControl w:val="0"/>
              <w:spacing w:before="100" w:after="100"/>
              <w:jc w:val="center"/>
            </w:pPr>
            <w:r>
              <w:t>$1,008</w:t>
            </w:r>
          </w:p>
        </w:tc>
      </w:tr>
      <w:tr w:rsidR="00DE32CC" w14:paraId="5355271C" w14:textId="77777777" w:rsidTr="00DE32CC">
        <w:trPr>
          <w:jc w:val="center"/>
        </w:trPr>
        <w:tc>
          <w:tcPr>
            <w:tcW w:w="2211" w:type="dxa"/>
          </w:tcPr>
          <w:p w14:paraId="7D8AD35D" w14:textId="77777777" w:rsidR="00DE32CC" w:rsidRPr="00E46EDA" w:rsidRDefault="00DE32CC" w:rsidP="00DE32CC">
            <w:pPr>
              <w:pStyle w:val="BodyText"/>
              <w:widowControl w:val="0"/>
              <w:spacing w:before="100" w:after="100"/>
              <w:rPr>
                <w:b/>
              </w:rPr>
            </w:pPr>
            <w:r w:rsidRPr="00E46EDA">
              <w:rPr>
                <w:b/>
              </w:rPr>
              <w:t>Months 16 – 18 (60% of the Initial cancellation fee)</w:t>
            </w:r>
          </w:p>
        </w:tc>
        <w:tc>
          <w:tcPr>
            <w:tcW w:w="1348" w:type="dxa"/>
            <w:vAlign w:val="center"/>
          </w:tcPr>
          <w:p w14:paraId="51DB8DB2" w14:textId="77777777" w:rsidR="00DE32CC" w:rsidRDefault="00DE32CC" w:rsidP="00DE32CC">
            <w:pPr>
              <w:pStyle w:val="BodyText"/>
              <w:widowControl w:val="0"/>
              <w:spacing w:before="100" w:after="100"/>
              <w:jc w:val="center"/>
            </w:pPr>
            <w:r>
              <w:t>$486</w:t>
            </w:r>
          </w:p>
        </w:tc>
        <w:tc>
          <w:tcPr>
            <w:tcW w:w="1348" w:type="dxa"/>
            <w:vAlign w:val="center"/>
          </w:tcPr>
          <w:p w14:paraId="6ED7C9B1" w14:textId="77777777" w:rsidR="00DE32CC" w:rsidRDefault="00DE32CC" w:rsidP="00DE32CC">
            <w:pPr>
              <w:pStyle w:val="BodyText"/>
              <w:widowControl w:val="0"/>
              <w:spacing w:before="100" w:after="100"/>
              <w:jc w:val="center"/>
            </w:pPr>
            <w:r>
              <w:t>$642</w:t>
            </w:r>
          </w:p>
        </w:tc>
        <w:tc>
          <w:tcPr>
            <w:tcW w:w="1348" w:type="dxa"/>
            <w:vAlign w:val="center"/>
          </w:tcPr>
          <w:p w14:paraId="676177F2" w14:textId="77777777" w:rsidR="00DE32CC" w:rsidRDefault="00DE32CC" w:rsidP="00DE32CC">
            <w:pPr>
              <w:pStyle w:val="BodyText"/>
              <w:widowControl w:val="0"/>
              <w:spacing w:before="100" w:after="100"/>
              <w:jc w:val="center"/>
            </w:pPr>
            <w:r>
              <w:t>$756</w:t>
            </w:r>
          </w:p>
        </w:tc>
        <w:tc>
          <w:tcPr>
            <w:tcW w:w="1348" w:type="dxa"/>
            <w:vAlign w:val="center"/>
          </w:tcPr>
          <w:p w14:paraId="21436771" w14:textId="77777777" w:rsidR="00DE32CC" w:rsidRDefault="00DE32CC" w:rsidP="00DE32CC">
            <w:pPr>
              <w:pStyle w:val="BodyText"/>
              <w:widowControl w:val="0"/>
              <w:spacing w:before="100" w:after="100"/>
              <w:jc w:val="center"/>
            </w:pPr>
            <w:r>
              <w:t>$486</w:t>
            </w:r>
          </w:p>
        </w:tc>
        <w:tc>
          <w:tcPr>
            <w:tcW w:w="1348" w:type="dxa"/>
            <w:vAlign w:val="center"/>
          </w:tcPr>
          <w:p w14:paraId="31E41C70" w14:textId="77777777" w:rsidR="00DE32CC" w:rsidRDefault="00DE32CC" w:rsidP="00DE32CC">
            <w:pPr>
              <w:pStyle w:val="BodyText"/>
              <w:widowControl w:val="0"/>
              <w:spacing w:before="100" w:after="100"/>
              <w:jc w:val="center"/>
            </w:pPr>
            <w:r>
              <w:t>$642</w:t>
            </w:r>
          </w:p>
        </w:tc>
        <w:tc>
          <w:tcPr>
            <w:tcW w:w="1348" w:type="dxa"/>
            <w:vAlign w:val="center"/>
          </w:tcPr>
          <w:p w14:paraId="1723CBFB" w14:textId="77777777" w:rsidR="00DE32CC" w:rsidRDefault="00DE32CC" w:rsidP="00DE32CC">
            <w:pPr>
              <w:pStyle w:val="BodyText"/>
              <w:widowControl w:val="0"/>
              <w:spacing w:before="100" w:after="100"/>
              <w:jc w:val="center"/>
            </w:pPr>
            <w:r>
              <w:t>$756</w:t>
            </w:r>
          </w:p>
        </w:tc>
      </w:tr>
      <w:tr w:rsidR="00DE32CC" w14:paraId="4E162C6E" w14:textId="77777777" w:rsidTr="00DE32CC">
        <w:trPr>
          <w:jc w:val="center"/>
        </w:trPr>
        <w:tc>
          <w:tcPr>
            <w:tcW w:w="2211" w:type="dxa"/>
          </w:tcPr>
          <w:p w14:paraId="04CA4F97" w14:textId="77777777" w:rsidR="00DE32CC" w:rsidRPr="00E46EDA" w:rsidRDefault="00DE32CC" w:rsidP="00DE32CC">
            <w:pPr>
              <w:pStyle w:val="BodyText"/>
              <w:widowControl w:val="0"/>
              <w:spacing w:before="100" w:after="100"/>
              <w:rPr>
                <w:b/>
              </w:rPr>
            </w:pPr>
            <w:r w:rsidRPr="00E46EDA">
              <w:rPr>
                <w:b/>
              </w:rPr>
              <w:t>Months 19 – 21 (40% of the Initial cancellation fee)</w:t>
            </w:r>
          </w:p>
        </w:tc>
        <w:tc>
          <w:tcPr>
            <w:tcW w:w="1348" w:type="dxa"/>
            <w:vAlign w:val="center"/>
          </w:tcPr>
          <w:p w14:paraId="605C1557" w14:textId="77777777" w:rsidR="00DE32CC" w:rsidRDefault="00DE32CC" w:rsidP="00DE32CC">
            <w:pPr>
              <w:pStyle w:val="BodyText"/>
              <w:widowControl w:val="0"/>
              <w:spacing w:before="100" w:after="100"/>
              <w:jc w:val="center"/>
            </w:pPr>
            <w:r>
              <w:t>$312</w:t>
            </w:r>
          </w:p>
        </w:tc>
        <w:tc>
          <w:tcPr>
            <w:tcW w:w="1348" w:type="dxa"/>
            <w:vAlign w:val="center"/>
          </w:tcPr>
          <w:p w14:paraId="47ABA15E" w14:textId="77777777" w:rsidR="00DE32CC" w:rsidRDefault="00DE32CC" w:rsidP="00DE32CC">
            <w:pPr>
              <w:pStyle w:val="BodyText"/>
              <w:widowControl w:val="0"/>
              <w:spacing w:before="100" w:after="100"/>
              <w:jc w:val="center"/>
            </w:pPr>
            <w:r>
              <w:t>$428</w:t>
            </w:r>
          </w:p>
        </w:tc>
        <w:tc>
          <w:tcPr>
            <w:tcW w:w="1348" w:type="dxa"/>
            <w:vAlign w:val="center"/>
          </w:tcPr>
          <w:p w14:paraId="1E5A692B" w14:textId="77777777" w:rsidR="00DE32CC" w:rsidRDefault="00DE32CC" w:rsidP="00DE32CC">
            <w:pPr>
              <w:pStyle w:val="BodyText"/>
              <w:widowControl w:val="0"/>
              <w:spacing w:before="100" w:after="100"/>
              <w:jc w:val="center"/>
            </w:pPr>
            <w:r>
              <w:t>$504</w:t>
            </w:r>
          </w:p>
        </w:tc>
        <w:tc>
          <w:tcPr>
            <w:tcW w:w="1348" w:type="dxa"/>
            <w:vAlign w:val="center"/>
          </w:tcPr>
          <w:p w14:paraId="0D815E2E" w14:textId="77777777" w:rsidR="00DE32CC" w:rsidRDefault="00DE32CC" w:rsidP="00DE32CC">
            <w:pPr>
              <w:pStyle w:val="BodyText"/>
              <w:widowControl w:val="0"/>
              <w:spacing w:before="100" w:after="100"/>
              <w:jc w:val="center"/>
            </w:pPr>
            <w:r>
              <w:t>$312</w:t>
            </w:r>
          </w:p>
        </w:tc>
        <w:tc>
          <w:tcPr>
            <w:tcW w:w="1348" w:type="dxa"/>
            <w:vAlign w:val="center"/>
          </w:tcPr>
          <w:p w14:paraId="3706D018" w14:textId="77777777" w:rsidR="00DE32CC" w:rsidRDefault="00DE32CC" w:rsidP="00DE32CC">
            <w:pPr>
              <w:pStyle w:val="BodyText"/>
              <w:widowControl w:val="0"/>
              <w:spacing w:before="100" w:after="100"/>
              <w:jc w:val="center"/>
            </w:pPr>
            <w:r>
              <w:t>$428</w:t>
            </w:r>
          </w:p>
        </w:tc>
        <w:tc>
          <w:tcPr>
            <w:tcW w:w="1348" w:type="dxa"/>
            <w:vAlign w:val="center"/>
          </w:tcPr>
          <w:p w14:paraId="1B6A0A34" w14:textId="77777777" w:rsidR="00DE32CC" w:rsidRDefault="00DE32CC" w:rsidP="00DE32CC">
            <w:pPr>
              <w:pStyle w:val="BodyText"/>
              <w:widowControl w:val="0"/>
              <w:spacing w:before="100" w:after="100"/>
              <w:jc w:val="center"/>
            </w:pPr>
            <w:r>
              <w:t>$504</w:t>
            </w:r>
          </w:p>
        </w:tc>
      </w:tr>
      <w:tr w:rsidR="00DE32CC" w14:paraId="18A55EE3" w14:textId="77777777" w:rsidTr="00DE32CC">
        <w:trPr>
          <w:jc w:val="center"/>
        </w:trPr>
        <w:tc>
          <w:tcPr>
            <w:tcW w:w="2211" w:type="dxa"/>
          </w:tcPr>
          <w:p w14:paraId="43B35300" w14:textId="77777777" w:rsidR="00DE32CC" w:rsidRPr="00E46EDA" w:rsidRDefault="00DE32CC" w:rsidP="00DE32CC">
            <w:pPr>
              <w:pStyle w:val="BodyText"/>
              <w:widowControl w:val="0"/>
              <w:spacing w:before="100" w:after="100"/>
              <w:rPr>
                <w:b/>
              </w:rPr>
            </w:pPr>
            <w:r w:rsidRPr="00E46EDA">
              <w:rPr>
                <w:b/>
              </w:rPr>
              <w:t>Months 22 – 24 (20% of the Initial cancellation fee)</w:t>
            </w:r>
          </w:p>
        </w:tc>
        <w:tc>
          <w:tcPr>
            <w:tcW w:w="1348" w:type="dxa"/>
            <w:vAlign w:val="center"/>
          </w:tcPr>
          <w:p w14:paraId="5183F513" w14:textId="77777777" w:rsidR="00DE32CC" w:rsidRDefault="00DE32CC" w:rsidP="00DE32CC">
            <w:pPr>
              <w:pStyle w:val="BodyText"/>
              <w:widowControl w:val="0"/>
              <w:spacing w:before="100" w:after="100"/>
              <w:jc w:val="center"/>
            </w:pPr>
            <w:r>
              <w:t>$156</w:t>
            </w:r>
          </w:p>
        </w:tc>
        <w:tc>
          <w:tcPr>
            <w:tcW w:w="1348" w:type="dxa"/>
            <w:vAlign w:val="center"/>
          </w:tcPr>
          <w:p w14:paraId="4E5DBE15" w14:textId="77777777" w:rsidR="00DE32CC" w:rsidRDefault="00DE32CC" w:rsidP="00DE32CC">
            <w:pPr>
              <w:pStyle w:val="BodyText"/>
              <w:widowControl w:val="0"/>
              <w:spacing w:before="100" w:after="100"/>
              <w:jc w:val="center"/>
            </w:pPr>
            <w:r>
              <w:t>$214</w:t>
            </w:r>
          </w:p>
        </w:tc>
        <w:tc>
          <w:tcPr>
            <w:tcW w:w="1348" w:type="dxa"/>
            <w:vAlign w:val="center"/>
          </w:tcPr>
          <w:p w14:paraId="7D51FFD8" w14:textId="77777777" w:rsidR="00DE32CC" w:rsidRDefault="00DE32CC" w:rsidP="00DE32CC">
            <w:pPr>
              <w:pStyle w:val="BodyText"/>
              <w:widowControl w:val="0"/>
              <w:spacing w:before="100" w:after="100"/>
              <w:jc w:val="center"/>
            </w:pPr>
            <w:r>
              <w:t>$252</w:t>
            </w:r>
          </w:p>
        </w:tc>
        <w:tc>
          <w:tcPr>
            <w:tcW w:w="1348" w:type="dxa"/>
            <w:vAlign w:val="center"/>
          </w:tcPr>
          <w:p w14:paraId="4DD107F7" w14:textId="77777777" w:rsidR="00DE32CC" w:rsidRDefault="00DE32CC" w:rsidP="00DE32CC">
            <w:pPr>
              <w:pStyle w:val="BodyText"/>
              <w:widowControl w:val="0"/>
              <w:spacing w:before="100" w:after="100"/>
              <w:jc w:val="center"/>
            </w:pPr>
            <w:r>
              <w:t>$156</w:t>
            </w:r>
          </w:p>
        </w:tc>
        <w:tc>
          <w:tcPr>
            <w:tcW w:w="1348" w:type="dxa"/>
            <w:vAlign w:val="center"/>
          </w:tcPr>
          <w:p w14:paraId="672B6A5E" w14:textId="77777777" w:rsidR="00DE32CC" w:rsidRDefault="00DE32CC" w:rsidP="00DE32CC">
            <w:pPr>
              <w:pStyle w:val="BodyText"/>
              <w:widowControl w:val="0"/>
              <w:spacing w:before="100" w:after="100"/>
              <w:jc w:val="center"/>
            </w:pPr>
            <w:r>
              <w:t>$214</w:t>
            </w:r>
          </w:p>
        </w:tc>
        <w:tc>
          <w:tcPr>
            <w:tcW w:w="1348" w:type="dxa"/>
            <w:vAlign w:val="center"/>
          </w:tcPr>
          <w:p w14:paraId="079C779C" w14:textId="77777777" w:rsidR="00DE32CC" w:rsidRDefault="00DE32CC" w:rsidP="00DE32CC">
            <w:pPr>
              <w:pStyle w:val="BodyText"/>
              <w:widowControl w:val="0"/>
              <w:spacing w:before="100" w:after="100"/>
              <w:jc w:val="center"/>
            </w:pPr>
            <w:r>
              <w:t>$252</w:t>
            </w:r>
          </w:p>
        </w:tc>
      </w:tr>
    </w:tbl>
    <w:p w14:paraId="1B35DB52" w14:textId="77777777" w:rsidR="00DE32CC" w:rsidRDefault="00DE32CC" w:rsidP="00DE32CC">
      <w:pPr>
        <w:pStyle w:val="BodyText"/>
        <w:rPr>
          <w:lang w:val="en-AU"/>
        </w:rPr>
      </w:pPr>
      <w:bookmarkStart w:id="2400" w:name="_Toc414345854"/>
      <w:bookmarkStart w:id="2401" w:name="_Toc414347448"/>
      <w:bookmarkStart w:id="2402" w:name="_Toc455149893"/>
    </w:p>
    <w:p w14:paraId="7C2B9CBF" w14:textId="77777777" w:rsidR="009B5367" w:rsidRDefault="009B5367" w:rsidP="00DE32CC">
      <w:pPr>
        <w:pStyle w:val="BodyText"/>
        <w:rPr>
          <w:lang w:val="en-AU"/>
        </w:rPr>
      </w:pPr>
    </w:p>
    <w:p w14:paraId="302941ED" w14:textId="77777777" w:rsidR="00DE32CC" w:rsidRDefault="00DE32CC" w:rsidP="00DE32CC">
      <w:pPr>
        <w:pStyle w:val="Heading4"/>
        <w:rPr>
          <w:lang w:val="en-AU"/>
        </w:rPr>
      </w:pPr>
      <w:bookmarkStart w:id="2403" w:name="_Toc529178416"/>
      <w:bookmarkStart w:id="2404" w:name="_Toc62644723"/>
      <w:bookmarkStart w:id="2405" w:name="_Hlk25133150"/>
      <w:bookmarkEnd w:id="2400"/>
      <w:bookmarkEnd w:id="2401"/>
      <w:bookmarkEnd w:id="2402"/>
      <w:r>
        <w:rPr>
          <w:lang w:val="en-AU"/>
        </w:rPr>
        <w:t>Business Plus Tech Fund – August 2018</w:t>
      </w:r>
      <w:bookmarkEnd w:id="2403"/>
      <w:bookmarkEnd w:id="2404"/>
    </w:p>
    <w:p w14:paraId="39D2E25C" w14:textId="77777777" w:rsidR="00DE32CC" w:rsidRDefault="00DE32CC" w:rsidP="00DE32CC">
      <w:pPr>
        <w:pStyle w:val="BodyText"/>
        <w:ind w:left="720"/>
      </w:pPr>
      <w:r>
        <w:rPr>
          <w:lang w:val="en-AU"/>
        </w:rPr>
        <w:t xml:space="preserve">This section relates to the following plans. </w:t>
      </w:r>
      <w:r>
        <w:rPr>
          <w:i/>
          <w:lang w:val="en-AU"/>
        </w:rPr>
        <w:t>You</w:t>
      </w:r>
      <w:r>
        <w:rPr>
          <w:lang w:val="en-AU"/>
        </w:rPr>
        <w:t xml:space="preserve"> can find </w:t>
      </w:r>
      <w:r>
        <w:rPr>
          <w:i/>
          <w:lang w:val="en-AU"/>
        </w:rPr>
        <w:t>your</w:t>
      </w:r>
      <w:r>
        <w:rPr>
          <w:lang w:val="en-AU"/>
        </w:rPr>
        <w:t xml:space="preserve"> Plan ID on </w:t>
      </w:r>
      <w:r>
        <w:rPr>
          <w:i/>
          <w:lang w:val="en-AU"/>
        </w:rPr>
        <w:t>your</w:t>
      </w:r>
      <w:r>
        <w:rPr>
          <w:lang w:val="en-AU"/>
        </w:rPr>
        <w:t xml:space="preserve"> bill under the Mobile Number Summary section:</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2121"/>
        <w:gridCol w:w="3119"/>
      </w:tblGrid>
      <w:tr w:rsidR="00DE32CC" w14:paraId="1075CB9C" w14:textId="77777777" w:rsidTr="006D0C22">
        <w:trPr>
          <w:jc w:val="center"/>
        </w:trPr>
        <w:tc>
          <w:tcPr>
            <w:tcW w:w="3827" w:type="dxa"/>
            <w:tcBorders>
              <w:top w:val="single" w:sz="4" w:space="0" w:color="auto"/>
              <w:left w:val="single" w:sz="4" w:space="0" w:color="auto"/>
              <w:bottom w:val="single" w:sz="4" w:space="0" w:color="auto"/>
              <w:right w:val="single" w:sz="4" w:space="0" w:color="auto"/>
            </w:tcBorders>
            <w:hideMark/>
          </w:tcPr>
          <w:p w14:paraId="6A42C547" w14:textId="77777777" w:rsidR="00DE32CC" w:rsidRDefault="00DE32CC" w:rsidP="00DE32CC">
            <w:pPr>
              <w:pStyle w:val="BodyText"/>
              <w:spacing w:before="100" w:after="100"/>
              <w:jc w:val="center"/>
              <w:rPr>
                <w:b/>
                <w:lang w:val="en-AU"/>
              </w:rPr>
            </w:pPr>
            <w:r>
              <w:rPr>
                <w:b/>
                <w:lang w:val="en-AU"/>
              </w:rPr>
              <w:t>Plan</w:t>
            </w:r>
          </w:p>
        </w:tc>
        <w:tc>
          <w:tcPr>
            <w:tcW w:w="2121" w:type="dxa"/>
            <w:tcBorders>
              <w:top w:val="single" w:sz="4" w:space="0" w:color="auto"/>
              <w:left w:val="single" w:sz="4" w:space="0" w:color="auto"/>
              <w:bottom w:val="single" w:sz="4" w:space="0" w:color="auto"/>
              <w:right w:val="single" w:sz="4" w:space="0" w:color="auto"/>
            </w:tcBorders>
            <w:hideMark/>
          </w:tcPr>
          <w:p w14:paraId="1E97172D" w14:textId="77777777" w:rsidR="00DE32CC" w:rsidRDefault="00DE32CC" w:rsidP="00DE32CC">
            <w:pPr>
              <w:pStyle w:val="BodyText"/>
              <w:spacing w:before="100" w:after="100"/>
              <w:jc w:val="center"/>
              <w:rPr>
                <w:b/>
                <w:lang w:val="en-AU"/>
              </w:rPr>
            </w:pPr>
            <w:r>
              <w:rPr>
                <w:b/>
                <w:lang w:val="en-AU"/>
              </w:rPr>
              <w:t>Plan ID</w:t>
            </w:r>
          </w:p>
        </w:tc>
        <w:tc>
          <w:tcPr>
            <w:tcW w:w="3119" w:type="dxa"/>
            <w:tcBorders>
              <w:top w:val="single" w:sz="4" w:space="0" w:color="auto"/>
              <w:left w:val="single" w:sz="4" w:space="0" w:color="auto"/>
              <w:bottom w:val="single" w:sz="4" w:space="0" w:color="auto"/>
              <w:right w:val="single" w:sz="4" w:space="0" w:color="auto"/>
            </w:tcBorders>
            <w:hideMark/>
          </w:tcPr>
          <w:p w14:paraId="2560DFC8" w14:textId="77777777" w:rsidR="00DE32CC" w:rsidRDefault="00DE32CC" w:rsidP="00DE32CC">
            <w:pPr>
              <w:pStyle w:val="BodyText"/>
              <w:spacing w:before="100" w:after="100"/>
              <w:jc w:val="center"/>
              <w:rPr>
                <w:b/>
                <w:lang w:val="en-AU"/>
              </w:rPr>
            </w:pPr>
            <w:r>
              <w:rPr>
                <w:b/>
                <w:lang w:val="en-AU"/>
              </w:rPr>
              <w:t>Available</w:t>
            </w:r>
          </w:p>
        </w:tc>
      </w:tr>
      <w:tr w:rsidR="00DE32CC" w14:paraId="65DEA7AC" w14:textId="77777777" w:rsidTr="006D0C22">
        <w:trPr>
          <w:jc w:val="center"/>
        </w:trPr>
        <w:tc>
          <w:tcPr>
            <w:tcW w:w="3827" w:type="dxa"/>
            <w:tcBorders>
              <w:top w:val="single" w:sz="4" w:space="0" w:color="auto"/>
              <w:left w:val="single" w:sz="4" w:space="0" w:color="auto"/>
              <w:bottom w:val="single" w:sz="4" w:space="0" w:color="auto"/>
              <w:right w:val="single" w:sz="4" w:space="0" w:color="auto"/>
            </w:tcBorders>
            <w:hideMark/>
          </w:tcPr>
          <w:p w14:paraId="1210CBE2" w14:textId="77777777" w:rsidR="00DE32CC" w:rsidRPr="00F65B5B" w:rsidRDefault="00DE32CC" w:rsidP="00DE32CC">
            <w:pPr>
              <w:pStyle w:val="BodyText"/>
              <w:spacing w:before="100" w:after="100"/>
              <w:jc w:val="center"/>
              <w:rPr>
                <w:sz w:val="16"/>
                <w:szCs w:val="16"/>
                <w:lang w:val="en-AU"/>
              </w:rPr>
            </w:pPr>
            <w:r w:rsidRPr="00F65B5B">
              <w:rPr>
                <w:sz w:val="16"/>
                <w:szCs w:val="16"/>
                <w:lang w:val="en-AU"/>
              </w:rPr>
              <w:t>$45 Business Plus Tech Fund</w:t>
            </w:r>
          </w:p>
        </w:tc>
        <w:tc>
          <w:tcPr>
            <w:tcW w:w="2121" w:type="dxa"/>
            <w:tcBorders>
              <w:top w:val="single" w:sz="4" w:space="0" w:color="auto"/>
              <w:left w:val="single" w:sz="4" w:space="0" w:color="auto"/>
              <w:bottom w:val="single" w:sz="4" w:space="0" w:color="auto"/>
              <w:right w:val="single" w:sz="4" w:space="0" w:color="auto"/>
            </w:tcBorders>
            <w:vAlign w:val="center"/>
          </w:tcPr>
          <w:p w14:paraId="296A5706" w14:textId="77777777" w:rsidR="00DE32CC" w:rsidRPr="00F65B5B" w:rsidRDefault="00DE32CC" w:rsidP="00DE32CC">
            <w:pPr>
              <w:pStyle w:val="BodyText"/>
              <w:spacing w:before="100" w:after="100"/>
              <w:jc w:val="center"/>
              <w:rPr>
                <w:sz w:val="16"/>
                <w:szCs w:val="16"/>
                <w:lang w:val="en-AU"/>
              </w:rPr>
            </w:pPr>
            <w:r>
              <w:rPr>
                <w:sz w:val="16"/>
                <w:szCs w:val="16"/>
                <w:lang w:val="en-AU"/>
              </w:rPr>
              <w:t xml:space="preserve">801011 / </w:t>
            </w:r>
            <w:r w:rsidRPr="00060D56">
              <w:rPr>
                <w:color w:val="000000"/>
                <w:sz w:val="16"/>
                <w:szCs w:val="16"/>
                <w:lang w:eastAsia="en-AU"/>
              </w:rPr>
              <w:t>10838865</w:t>
            </w:r>
          </w:p>
        </w:tc>
        <w:tc>
          <w:tcPr>
            <w:tcW w:w="3119" w:type="dxa"/>
            <w:tcBorders>
              <w:top w:val="single" w:sz="4" w:space="0" w:color="auto"/>
              <w:left w:val="single" w:sz="4" w:space="0" w:color="auto"/>
              <w:bottom w:val="single" w:sz="4" w:space="0" w:color="auto"/>
              <w:right w:val="single" w:sz="4" w:space="0" w:color="auto"/>
            </w:tcBorders>
            <w:hideMark/>
          </w:tcPr>
          <w:p w14:paraId="6F994450" w14:textId="77777777" w:rsidR="00DE32CC" w:rsidRPr="00F65B5B" w:rsidRDefault="00DE32CC" w:rsidP="00DE32CC">
            <w:pPr>
              <w:pStyle w:val="BodyText"/>
              <w:spacing w:before="100" w:after="100"/>
              <w:jc w:val="center"/>
              <w:rPr>
                <w:sz w:val="16"/>
                <w:szCs w:val="16"/>
                <w:lang w:val="en-AU"/>
              </w:rPr>
            </w:pPr>
            <w:r>
              <w:rPr>
                <w:sz w:val="16"/>
                <w:szCs w:val="16"/>
                <w:lang w:val="en-AU"/>
              </w:rPr>
              <w:t>6 August</w:t>
            </w:r>
            <w:r w:rsidRPr="00F65B5B">
              <w:rPr>
                <w:sz w:val="16"/>
                <w:szCs w:val="16"/>
                <w:lang w:val="en-AU"/>
              </w:rPr>
              <w:t xml:space="preserve"> 2018</w:t>
            </w:r>
            <w:r w:rsidR="006D0C22">
              <w:rPr>
                <w:sz w:val="16"/>
                <w:szCs w:val="16"/>
                <w:lang w:val="en-AU"/>
              </w:rPr>
              <w:t xml:space="preserve"> – 25 November 2019</w:t>
            </w:r>
          </w:p>
        </w:tc>
      </w:tr>
      <w:tr w:rsidR="006D0C22" w14:paraId="41D6042F" w14:textId="77777777" w:rsidTr="006D0C22">
        <w:trPr>
          <w:jc w:val="center"/>
        </w:trPr>
        <w:tc>
          <w:tcPr>
            <w:tcW w:w="3827" w:type="dxa"/>
            <w:tcBorders>
              <w:top w:val="single" w:sz="4" w:space="0" w:color="auto"/>
              <w:left w:val="single" w:sz="4" w:space="0" w:color="auto"/>
              <w:bottom w:val="single" w:sz="4" w:space="0" w:color="auto"/>
              <w:right w:val="single" w:sz="4" w:space="0" w:color="auto"/>
            </w:tcBorders>
            <w:hideMark/>
          </w:tcPr>
          <w:p w14:paraId="29D36001" w14:textId="77777777" w:rsidR="006D0C22" w:rsidRPr="00F65B5B" w:rsidRDefault="006D0C22" w:rsidP="006D0C22">
            <w:pPr>
              <w:pStyle w:val="BodyText"/>
              <w:spacing w:before="100" w:after="100"/>
              <w:jc w:val="center"/>
              <w:rPr>
                <w:sz w:val="16"/>
                <w:szCs w:val="16"/>
                <w:lang w:val="en-AU"/>
              </w:rPr>
            </w:pPr>
            <w:r w:rsidRPr="00F65B5B">
              <w:rPr>
                <w:sz w:val="16"/>
                <w:szCs w:val="16"/>
                <w:lang w:val="en-AU"/>
              </w:rPr>
              <w:t>$65 Business Plus Tech Fund</w:t>
            </w:r>
          </w:p>
        </w:tc>
        <w:tc>
          <w:tcPr>
            <w:tcW w:w="2121" w:type="dxa"/>
            <w:tcBorders>
              <w:top w:val="single" w:sz="4" w:space="0" w:color="auto"/>
              <w:left w:val="single" w:sz="4" w:space="0" w:color="auto"/>
              <w:bottom w:val="single" w:sz="4" w:space="0" w:color="auto"/>
              <w:right w:val="single" w:sz="4" w:space="0" w:color="auto"/>
            </w:tcBorders>
          </w:tcPr>
          <w:p w14:paraId="2D16DD22" w14:textId="77777777" w:rsidR="006D0C22" w:rsidRPr="00060D56" w:rsidRDefault="006D0C22" w:rsidP="006D0C22">
            <w:pPr>
              <w:pStyle w:val="BodyText"/>
              <w:spacing w:before="100" w:after="100"/>
              <w:jc w:val="center"/>
              <w:rPr>
                <w:sz w:val="16"/>
                <w:szCs w:val="16"/>
                <w:lang w:val="en-AU"/>
              </w:rPr>
            </w:pPr>
            <w:r w:rsidRPr="00695F4E">
              <w:rPr>
                <w:sz w:val="16"/>
                <w:szCs w:val="16"/>
                <w:lang w:val="en-AU"/>
              </w:rPr>
              <w:t>80101</w:t>
            </w:r>
            <w:r>
              <w:rPr>
                <w:sz w:val="16"/>
                <w:szCs w:val="16"/>
                <w:lang w:val="en-AU"/>
              </w:rPr>
              <w:t>2</w:t>
            </w:r>
            <w:r w:rsidRPr="00695F4E">
              <w:rPr>
                <w:sz w:val="16"/>
                <w:szCs w:val="16"/>
                <w:lang w:val="en-AU"/>
              </w:rPr>
              <w:t xml:space="preserve"> / </w:t>
            </w:r>
            <w:r w:rsidRPr="00060D56">
              <w:rPr>
                <w:sz w:val="16"/>
                <w:szCs w:val="16"/>
                <w:lang w:val="en-AU"/>
              </w:rPr>
              <w:t>108388</w:t>
            </w:r>
            <w:r>
              <w:rPr>
                <w:sz w:val="16"/>
                <w:szCs w:val="16"/>
                <w:lang w:val="en-AU"/>
              </w:rPr>
              <w:t>95</w:t>
            </w:r>
          </w:p>
        </w:tc>
        <w:tc>
          <w:tcPr>
            <w:tcW w:w="3119" w:type="dxa"/>
            <w:tcBorders>
              <w:top w:val="single" w:sz="4" w:space="0" w:color="auto"/>
              <w:left w:val="single" w:sz="4" w:space="0" w:color="auto"/>
              <w:bottom w:val="single" w:sz="4" w:space="0" w:color="auto"/>
              <w:right w:val="single" w:sz="4" w:space="0" w:color="auto"/>
            </w:tcBorders>
            <w:hideMark/>
          </w:tcPr>
          <w:p w14:paraId="612E21DD" w14:textId="77777777" w:rsidR="006D0C22" w:rsidRPr="00060D56" w:rsidRDefault="006D0C22" w:rsidP="006D0C22">
            <w:pPr>
              <w:pStyle w:val="BodyText"/>
              <w:spacing w:before="100" w:after="100"/>
              <w:jc w:val="center"/>
              <w:rPr>
                <w:sz w:val="16"/>
                <w:szCs w:val="16"/>
                <w:lang w:val="en-AU"/>
              </w:rPr>
            </w:pPr>
            <w:r w:rsidRPr="000D1085">
              <w:rPr>
                <w:sz w:val="16"/>
                <w:szCs w:val="16"/>
                <w:lang w:val="en-AU"/>
              </w:rPr>
              <w:t>6 August 2018 – 25 November 2019</w:t>
            </w:r>
          </w:p>
        </w:tc>
      </w:tr>
      <w:tr w:rsidR="006D0C22" w14:paraId="5DEA66FD" w14:textId="77777777" w:rsidTr="006D0C22">
        <w:trPr>
          <w:jc w:val="center"/>
        </w:trPr>
        <w:tc>
          <w:tcPr>
            <w:tcW w:w="3827" w:type="dxa"/>
            <w:tcBorders>
              <w:top w:val="single" w:sz="4" w:space="0" w:color="auto"/>
              <w:left w:val="single" w:sz="4" w:space="0" w:color="auto"/>
              <w:bottom w:val="single" w:sz="4" w:space="0" w:color="auto"/>
              <w:right w:val="single" w:sz="4" w:space="0" w:color="auto"/>
            </w:tcBorders>
            <w:hideMark/>
          </w:tcPr>
          <w:p w14:paraId="4A6B644D" w14:textId="77777777" w:rsidR="006D0C22" w:rsidRPr="00F65B5B" w:rsidRDefault="006D0C22" w:rsidP="006D0C22">
            <w:pPr>
              <w:pStyle w:val="BodyText"/>
              <w:spacing w:before="100" w:after="100"/>
              <w:jc w:val="center"/>
              <w:rPr>
                <w:sz w:val="16"/>
                <w:szCs w:val="16"/>
                <w:lang w:val="en-AU"/>
              </w:rPr>
            </w:pPr>
            <w:r w:rsidRPr="00F65B5B">
              <w:rPr>
                <w:sz w:val="16"/>
                <w:szCs w:val="16"/>
                <w:lang w:val="en-AU"/>
              </w:rPr>
              <w:t>$85 Business Plus Tech Fund</w:t>
            </w:r>
          </w:p>
        </w:tc>
        <w:tc>
          <w:tcPr>
            <w:tcW w:w="2121" w:type="dxa"/>
            <w:tcBorders>
              <w:top w:val="single" w:sz="4" w:space="0" w:color="auto"/>
              <w:left w:val="single" w:sz="4" w:space="0" w:color="auto"/>
              <w:bottom w:val="single" w:sz="4" w:space="0" w:color="auto"/>
              <w:right w:val="single" w:sz="4" w:space="0" w:color="auto"/>
            </w:tcBorders>
          </w:tcPr>
          <w:p w14:paraId="14F3C706" w14:textId="77777777" w:rsidR="006D0C22" w:rsidRPr="00060D56" w:rsidRDefault="006D0C22" w:rsidP="006D0C22">
            <w:pPr>
              <w:pStyle w:val="BodyText"/>
              <w:spacing w:before="100" w:after="100"/>
              <w:jc w:val="center"/>
              <w:rPr>
                <w:sz w:val="16"/>
                <w:szCs w:val="16"/>
                <w:lang w:val="en-AU"/>
              </w:rPr>
            </w:pPr>
            <w:r w:rsidRPr="00695F4E">
              <w:rPr>
                <w:sz w:val="16"/>
                <w:szCs w:val="16"/>
                <w:lang w:val="en-AU"/>
              </w:rPr>
              <w:t>80101</w:t>
            </w:r>
            <w:r>
              <w:rPr>
                <w:sz w:val="16"/>
                <w:szCs w:val="16"/>
                <w:lang w:val="en-AU"/>
              </w:rPr>
              <w:t>3</w:t>
            </w:r>
            <w:r w:rsidRPr="00695F4E">
              <w:rPr>
                <w:sz w:val="16"/>
                <w:szCs w:val="16"/>
                <w:lang w:val="en-AU"/>
              </w:rPr>
              <w:t xml:space="preserve"> / </w:t>
            </w:r>
            <w:r w:rsidRPr="00060D56">
              <w:rPr>
                <w:sz w:val="16"/>
                <w:szCs w:val="16"/>
                <w:lang w:val="en-AU"/>
              </w:rPr>
              <w:t>10838</w:t>
            </w:r>
            <w:r>
              <w:rPr>
                <w:sz w:val="16"/>
                <w:szCs w:val="16"/>
                <w:lang w:val="en-AU"/>
              </w:rPr>
              <w:t>945</w:t>
            </w:r>
          </w:p>
        </w:tc>
        <w:tc>
          <w:tcPr>
            <w:tcW w:w="3119" w:type="dxa"/>
            <w:tcBorders>
              <w:top w:val="single" w:sz="4" w:space="0" w:color="auto"/>
              <w:left w:val="single" w:sz="4" w:space="0" w:color="auto"/>
              <w:bottom w:val="single" w:sz="4" w:space="0" w:color="auto"/>
              <w:right w:val="single" w:sz="4" w:space="0" w:color="auto"/>
            </w:tcBorders>
            <w:hideMark/>
          </w:tcPr>
          <w:p w14:paraId="6726FDFB" w14:textId="77777777" w:rsidR="006D0C22" w:rsidRPr="00060D56" w:rsidRDefault="006D0C22" w:rsidP="006D0C22">
            <w:pPr>
              <w:pStyle w:val="BodyText"/>
              <w:spacing w:before="100" w:after="100"/>
              <w:jc w:val="center"/>
              <w:rPr>
                <w:sz w:val="16"/>
                <w:szCs w:val="16"/>
                <w:lang w:val="en-AU"/>
              </w:rPr>
            </w:pPr>
            <w:r w:rsidRPr="000D1085">
              <w:rPr>
                <w:sz w:val="16"/>
                <w:szCs w:val="16"/>
                <w:lang w:val="en-AU"/>
              </w:rPr>
              <w:t>6 August 2018 – 25 November 2019</w:t>
            </w:r>
          </w:p>
        </w:tc>
      </w:tr>
      <w:tr w:rsidR="006D0C22" w14:paraId="157D5AFE" w14:textId="77777777" w:rsidTr="006D0C22">
        <w:trPr>
          <w:jc w:val="center"/>
        </w:trPr>
        <w:tc>
          <w:tcPr>
            <w:tcW w:w="3827" w:type="dxa"/>
            <w:tcBorders>
              <w:top w:val="single" w:sz="4" w:space="0" w:color="auto"/>
              <w:left w:val="single" w:sz="4" w:space="0" w:color="auto"/>
              <w:bottom w:val="single" w:sz="4" w:space="0" w:color="auto"/>
              <w:right w:val="single" w:sz="4" w:space="0" w:color="auto"/>
            </w:tcBorders>
            <w:hideMark/>
          </w:tcPr>
          <w:p w14:paraId="047DEBD4" w14:textId="77777777" w:rsidR="006D0C22" w:rsidRPr="00F65B5B" w:rsidRDefault="006D0C22" w:rsidP="006D0C22">
            <w:pPr>
              <w:pStyle w:val="BodyText"/>
              <w:spacing w:before="100" w:after="100"/>
              <w:jc w:val="center"/>
              <w:rPr>
                <w:sz w:val="16"/>
                <w:szCs w:val="16"/>
                <w:lang w:val="en-AU"/>
              </w:rPr>
            </w:pPr>
            <w:r w:rsidRPr="00F65B5B">
              <w:rPr>
                <w:sz w:val="16"/>
                <w:szCs w:val="16"/>
              </w:rPr>
              <w:t>$105 Business Plus Tech Fund</w:t>
            </w:r>
          </w:p>
        </w:tc>
        <w:tc>
          <w:tcPr>
            <w:tcW w:w="2121" w:type="dxa"/>
            <w:tcBorders>
              <w:top w:val="single" w:sz="4" w:space="0" w:color="auto"/>
              <w:left w:val="single" w:sz="4" w:space="0" w:color="auto"/>
              <w:bottom w:val="single" w:sz="4" w:space="0" w:color="auto"/>
              <w:right w:val="single" w:sz="4" w:space="0" w:color="auto"/>
            </w:tcBorders>
          </w:tcPr>
          <w:p w14:paraId="6DCCD76A" w14:textId="77777777" w:rsidR="006D0C22" w:rsidRPr="00060D56" w:rsidRDefault="006D0C22" w:rsidP="006D0C22">
            <w:pPr>
              <w:pStyle w:val="BodyText"/>
              <w:spacing w:before="100" w:after="100"/>
              <w:jc w:val="center"/>
              <w:rPr>
                <w:sz w:val="16"/>
                <w:szCs w:val="16"/>
                <w:lang w:val="en-AU"/>
              </w:rPr>
            </w:pPr>
            <w:r w:rsidRPr="00695F4E">
              <w:rPr>
                <w:sz w:val="16"/>
                <w:szCs w:val="16"/>
                <w:lang w:val="en-AU"/>
              </w:rPr>
              <w:t>80101</w:t>
            </w:r>
            <w:r>
              <w:rPr>
                <w:sz w:val="16"/>
                <w:szCs w:val="16"/>
                <w:lang w:val="en-AU"/>
              </w:rPr>
              <w:t>4</w:t>
            </w:r>
            <w:r w:rsidRPr="00695F4E">
              <w:rPr>
                <w:sz w:val="16"/>
                <w:szCs w:val="16"/>
                <w:lang w:val="en-AU"/>
              </w:rPr>
              <w:t xml:space="preserve"> / </w:t>
            </w:r>
            <w:r w:rsidRPr="00060D56">
              <w:rPr>
                <w:sz w:val="16"/>
                <w:szCs w:val="16"/>
                <w:lang w:val="en-AU"/>
              </w:rPr>
              <w:t>1083</w:t>
            </w:r>
            <w:r>
              <w:rPr>
                <w:sz w:val="16"/>
                <w:szCs w:val="16"/>
                <w:lang w:val="en-AU"/>
              </w:rPr>
              <w:t>901</w:t>
            </w:r>
            <w:r w:rsidRPr="00060D56">
              <w:rPr>
                <w:sz w:val="16"/>
                <w:szCs w:val="16"/>
                <w:lang w:val="en-AU"/>
              </w:rPr>
              <w:t>5</w:t>
            </w:r>
          </w:p>
        </w:tc>
        <w:tc>
          <w:tcPr>
            <w:tcW w:w="3119" w:type="dxa"/>
            <w:tcBorders>
              <w:top w:val="single" w:sz="4" w:space="0" w:color="auto"/>
              <w:left w:val="single" w:sz="4" w:space="0" w:color="auto"/>
              <w:bottom w:val="single" w:sz="4" w:space="0" w:color="auto"/>
              <w:right w:val="single" w:sz="4" w:space="0" w:color="auto"/>
            </w:tcBorders>
            <w:hideMark/>
          </w:tcPr>
          <w:p w14:paraId="6670EE93" w14:textId="77777777" w:rsidR="006D0C22" w:rsidRPr="00060D56" w:rsidRDefault="006D0C22" w:rsidP="006D0C22">
            <w:pPr>
              <w:pStyle w:val="BodyText"/>
              <w:spacing w:before="100" w:after="100"/>
              <w:jc w:val="center"/>
              <w:rPr>
                <w:sz w:val="16"/>
                <w:szCs w:val="16"/>
                <w:lang w:val="en-AU"/>
              </w:rPr>
            </w:pPr>
            <w:r w:rsidRPr="000D1085">
              <w:rPr>
                <w:sz w:val="16"/>
                <w:szCs w:val="16"/>
                <w:lang w:val="en-AU"/>
              </w:rPr>
              <w:t>6 August 2018 – 25 November 2019</w:t>
            </w:r>
          </w:p>
        </w:tc>
      </w:tr>
      <w:tr w:rsidR="006D0C22" w14:paraId="3BEC8AC4" w14:textId="77777777" w:rsidTr="006D0C22">
        <w:trPr>
          <w:trHeight w:val="53"/>
          <w:jc w:val="center"/>
        </w:trPr>
        <w:tc>
          <w:tcPr>
            <w:tcW w:w="3827" w:type="dxa"/>
            <w:tcBorders>
              <w:top w:val="single" w:sz="4" w:space="0" w:color="auto"/>
              <w:left w:val="single" w:sz="4" w:space="0" w:color="auto"/>
              <w:bottom w:val="single" w:sz="4" w:space="0" w:color="auto"/>
              <w:right w:val="single" w:sz="4" w:space="0" w:color="auto"/>
            </w:tcBorders>
            <w:hideMark/>
          </w:tcPr>
          <w:p w14:paraId="051870BC" w14:textId="77777777" w:rsidR="006D0C22" w:rsidRPr="00F65B5B" w:rsidRDefault="006D0C22" w:rsidP="006D0C22">
            <w:pPr>
              <w:pStyle w:val="BodyText"/>
              <w:spacing w:before="100" w:after="100"/>
              <w:jc w:val="center"/>
              <w:rPr>
                <w:sz w:val="16"/>
                <w:szCs w:val="16"/>
              </w:rPr>
            </w:pPr>
            <w:r w:rsidRPr="00F65B5B">
              <w:rPr>
                <w:sz w:val="16"/>
                <w:szCs w:val="16"/>
              </w:rPr>
              <w:t>$125 Business Plus Tech Fund</w:t>
            </w:r>
          </w:p>
        </w:tc>
        <w:tc>
          <w:tcPr>
            <w:tcW w:w="2121" w:type="dxa"/>
            <w:tcBorders>
              <w:top w:val="single" w:sz="4" w:space="0" w:color="auto"/>
              <w:left w:val="single" w:sz="4" w:space="0" w:color="auto"/>
              <w:bottom w:val="single" w:sz="4" w:space="0" w:color="auto"/>
              <w:right w:val="single" w:sz="4" w:space="0" w:color="auto"/>
            </w:tcBorders>
          </w:tcPr>
          <w:p w14:paraId="15A98117" w14:textId="77777777" w:rsidR="006D0C22" w:rsidRPr="00060D56" w:rsidRDefault="006D0C22" w:rsidP="006D0C22">
            <w:pPr>
              <w:pStyle w:val="BodyText"/>
              <w:spacing w:before="100" w:after="100"/>
              <w:jc w:val="center"/>
              <w:rPr>
                <w:sz w:val="16"/>
                <w:szCs w:val="16"/>
                <w:lang w:val="en-AU"/>
              </w:rPr>
            </w:pPr>
            <w:r w:rsidRPr="00695F4E">
              <w:rPr>
                <w:sz w:val="16"/>
                <w:szCs w:val="16"/>
                <w:lang w:val="en-AU"/>
              </w:rPr>
              <w:t>80101</w:t>
            </w:r>
            <w:r>
              <w:rPr>
                <w:sz w:val="16"/>
                <w:szCs w:val="16"/>
                <w:lang w:val="en-AU"/>
              </w:rPr>
              <w:t>5</w:t>
            </w:r>
            <w:r w:rsidRPr="00695F4E">
              <w:rPr>
                <w:sz w:val="16"/>
                <w:szCs w:val="16"/>
                <w:lang w:val="en-AU"/>
              </w:rPr>
              <w:t xml:space="preserve"> / </w:t>
            </w:r>
            <w:r w:rsidRPr="00060D56">
              <w:rPr>
                <w:sz w:val="16"/>
                <w:szCs w:val="16"/>
                <w:lang w:val="en-AU"/>
              </w:rPr>
              <w:t>10838</w:t>
            </w:r>
            <w:r>
              <w:rPr>
                <w:sz w:val="16"/>
                <w:szCs w:val="16"/>
                <w:lang w:val="en-AU"/>
              </w:rPr>
              <w:t>995</w:t>
            </w:r>
          </w:p>
        </w:tc>
        <w:tc>
          <w:tcPr>
            <w:tcW w:w="3119" w:type="dxa"/>
            <w:tcBorders>
              <w:top w:val="single" w:sz="4" w:space="0" w:color="auto"/>
              <w:left w:val="single" w:sz="4" w:space="0" w:color="auto"/>
              <w:bottom w:val="single" w:sz="4" w:space="0" w:color="auto"/>
              <w:right w:val="single" w:sz="4" w:space="0" w:color="auto"/>
            </w:tcBorders>
            <w:hideMark/>
          </w:tcPr>
          <w:p w14:paraId="22CA09F4" w14:textId="77777777" w:rsidR="006D0C22" w:rsidRPr="00060D56" w:rsidRDefault="006D0C22" w:rsidP="006D0C22">
            <w:pPr>
              <w:pStyle w:val="BodyText"/>
              <w:spacing w:before="100" w:after="100"/>
              <w:jc w:val="center"/>
              <w:rPr>
                <w:sz w:val="16"/>
                <w:szCs w:val="16"/>
                <w:lang w:val="en-AU"/>
              </w:rPr>
            </w:pPr>
            <w:r w:rsidRPr="000D1085">
              <w:rPr>
                <w:sz w:val="16"/>
                <w:szCs w:val="16"/>
                <w:lang w:val="en-AU"/>
              </w:rPr>
              <w:t>6 August 2018 – 25 November 2019</w:t>
            </w:r>
          </w:p>
        </w:tc>
      </w:tr>
      <w:tr w:rsidR="006D0C22" w14:paraId="4C30B42E" w14:textId="77777777" w:rsidTr="006D0C22">
        <w:trPr>
          <w:trHeight w:val="53"/>
          <w:jc w:val="center"/>
        </w:trPr>
        <w:tc>
          <w:tcPr>
            <w:tcW w:w="3827" w:type="dxa"/>
            <w:tcBorders>
              <w:top w:val="single" w:sz="4" w:space="0" w:color="auto"/>
              <w:left w:val="single" w:sz="4" w:space="0" w:color="auto"/>
              <w:bottom w:val="single" w:sz="4" w:space="0" w:color="auto"/>
              <w:right w:val="single" w:sz="4" w:space="0" w:color="auto"/>
            </w:tcBorders>
            <w:hideMark/>
          </w:tcPr>
          <w:p w14:paraId="7C9452B9" w14:textId="77777777" w:rsidR="006D0C22" w:rsidRPr="00F65B5B" w:rsidRDefault="006D0C22" w:rsidP="006D0C22">
            <w:pPr>
              <w:pStyle w:val="BodyText"/>
              <w:spacing w:before="100" w:after="100"/>
              <w:jc w:val="center"/>
              <w:rPr>
                <w:sz w:val="16"/>
                <w:szCs w:val="16"/>
              </w:rPr>
            </w:pPr>
            <w:r w:rsidRPr="00F65B5B">
              <w:rPr>
                <w:sz w:val="16"/>
                <w:szCs w:val="16"/>
              </w:rPr>
              <w:t>$145 Business Plus Tech Fund</w:t>
            </w:r>
          </w:p>
        </w:tc>
        <w:tc>
          <w:tcPr>
            <w:tcW w:w="2121" w:type="dxa"/>
            <w:tcBorders>
              <w:top w:val="single" w:sz="4" w:space="0" w:color="auto"/>
              <w:left w:val="single" w:sz="4" w:space="0" w:color="auto"/>
              <w:bottom w:val="single" w:sz="4" w:space="0" w:color="auto"/>
              <w:right w:val="single" w:sz="4" w:space="0" w:color="auto"/>
            </w:tcBorders>
          </w:tcPr>
          <w:p w14:paraId="61367505" w14:textId="77777777" w:rsidR="006D0C22" w:rsidRPr="00060D56" w:rsidRDefault="006D0C22" w:rsidP="006D0C22">
            <w:pPr>
              <w:pStyle w:val="BodyText"/>
              <w:spacing w:before="100" w:after="100"/>
              <w:jc w:val="center"/>
              <w:rPr>
                <w:sz w:val="16"/>
                <w:szCs w:val="16"/>
                <w:lang w:val="en-AU"/>
              </w:rPr>
            </w:pPr>
            <w:r w:rsidRPr="00695F4E">
              <w:rPr>
                <w:sz w:val="16"/>
                <w:szCs w:val="16"/>
                <w:lang w:val="en-AU"/>
              </w:rPr>
              <w:t>80101</w:t>
            </w:r>
            <w:r>
              <w:rPr>
                <w:sz w:val="16"/>
                <w:szCs w:val="16"/>
                <w:lang w:val="en-AU"/>
              </w:rPr>
              <w:t>6</w:t>
            </w:r>
            <w:r w:rsidRPr="00695F4E">
              <w:rPr>
                <w:sz w:val="16"/>
                <w:szCs w:val="16"/>
                <w:lang w:val="en-AU"/>
              </w:rPr>
              <w:t xml:space="preserve"> / </w:t>
            </w:r>
            <w:r w:rsidRPr="00060D56">
              <w:rPr>
                <w:sz w:val="16"/>
                <w:szCs w:val="16"/>
                <w:lang w:val="en-AU"/>
              </w:rPr>
              <w:t>10838</w:t>
            </w:r>
            <w:r>
              <w:rPr>
                <w:sz w:val="16"/>
                <w:szCs w:val="16"/>
                <w:lang w:val="en-AU"/>
              </w:rPr>
              <w:t>965</w:t>
            </w:r>
          </w:p>
        </w:tc>
        <w:tc>
          <w:tcPr>
            <w:tcW w:w="3119" w:type="dxa"/>
            <w:tcBorders>
              <w:top w:val="single" w:sz="4" w:space="0" w:color="auto"/>
              <w:left w:val="single" w:sz="4" w:space="0" w:color="auto"/>
              <w:bottom w:val="single" w:sz="4" w:space="0" w:color="auto"/>
              <w:right w:val="single" w:sz="4" w:space="0" w:color="auto"/>
            </w:tcBorders>
            <w:hideMark/>
          </w:tcPr>
          <w:p w14:paraId="01343DBA" w14:textId="77777777" w:rsidR="006D0C22" w:rsidRPr="00060D56" w:rsidRDefault="006D0C22" w:rsidP="006D0C22">
            <w:pPr>
              <w:pStyle w:val="BodyText"/>
              <w:spacing w:before="100" w:after="100"/>
              <w:jc w:val="center"/>
              <w:rPr>
                <w:sz w:val="16"/>
                <w:szCs w:val="16"/>
                <w:lang w:val="en-AU"/>
              </w:rPr>
            </w:pPr>
            <w:r w:rsidRPr="000D1085">
              <w:rPr>
                <w:sz w:val="16"/>
                <w:szCs w:val="16"/>
                <w:lang w:val="en-AU"/>
              </w:rPr>
              <w:t>6 August 2018 – 25 November 2019</w:t>
            </w:r>
          </w:p>
        </w:tc>
      </w:tr>
    </w:tbl>
    <w:p w14:paraId="037D179E" w14:textId="77777777" w:rsidR="00DE32CC" w:rsidRDefault="00DE32CC" w:rsidP="00DE32CC">
      <w:pPr>
        <w:pStyle w:val="BodyText"/>
        <w:rPr>
          <w:b/>
        </w:rPr>
      </w:pPr>
    </w:p>
    <w:p w14:paraId="70FFAB3D" w14:textId="77777777" w:rsidR="00DE32CC" w:rsidRDefault="00DE32CC" w:rsidP="00DE32CC">
      <w:pPr>
        <w:pStyle w:val="Heading6"/>
        <w:ind w:left="0" w:firstLine="0"/>
        <w:rPr>
          <w:lang w:val="en-AU"/>
        </w:rPr>
      </w:pPr>
      <w:bookmarkStart w:id="2406" w:name="_Toc529178417"/>
      <w:r>
        <w:rPr>
          <w:lang w:val="en-AU"/>
        </w:rPr>
        <w:t>Eligibility</w:t>
      </w:r>
      <w:bookmarkEnd w:id="2406"/>
    </w:p>
    <w:p w14:paraId="1B592EC2" w14:textId="77777777" w:rsidR="00DE32CC" w:rsidRDefault="00DE32CC" w:rsidP="00DE32CC">
      <w:pPr>
        <w:pStyle w:val="BodyText"/>
        <w:ind w:left="720"/>
        <w:rPr>
          <w:lang w:val="en-AU"/>
        </w:rPr>
      </w:pPr>
      <w:r>
        <w:rPr>
          <w:lang w:val="en-AU"/>
        </w:rPr>
        <w:t xml:space="preserve">The Business Plus Tech Fund plans are available to new and existing business mobile customers who pass Optus' credit assessment. To be eligible for this plan, businesses must provide Optus with a registered ACN, ARBN or ABN and must sign up for a minimum of 6 services to a Business Plus Tech Fund plan on a single Optus billing account. </w:t>
      </w:r>
    </w:p>
    <w:p w14:paraId="47639C05" w14:textId="77777777" w:rsidR="00DE32CC" w:rsidRDefault="00DE32CC" w:rsidP="00DE32CC">
      <w:pPr>
        <w:pStyle w:val="BodyText"/>
        <w:ind w:left="720"/>
        <w:rPr>
          <w:lang w:val="en-AU"/>
        </w:rPr>
      </w:pPr>
      <w:r>
        <w:rPr>
          <w:lang w:val="en-AU"/>
        </w:rPr>
        <w:t>Optus Service Providers' customers are not eligible to apply.</w:t>
      </w:r>
    </w:p>
    <w:p w14:paraId="536559F6" w14:textId="77777777" w:rsidR="00DE32CC" w:rsidRDefault="00DE32CC" w:rsidP="00DE32CC">
      <w:pPr>
        <w:pStyle w:val="BodyText"/>
        <w:ind w:left="720"/>
        <w:rPr>
          <w:lang w:val="en-AU"/>
        </w:rPr>
      </w:pPr>
      <w:r>
        <w:rPr>
          <w:lang w:val="en-AU"/>
        </w:rPr>
        <w:t xml:space="preserve">These </w:t>
      </w:r>
      <w:r>
        <w:rPr>
          <w:i/>
          <w:lang w:val="en-AU"/>
        </w:rPr>
        <w:t>plans</w:t>
      </w:r>
      <w:r>
        <w:rPr>
          <w:lang w:val="en-AU"/>
        </w:rPr>
        <w:t xml:space="preserve"> aren't compatible for data use with BlackBerry handsets on operating systems of 7.1 or earlier.</w:t>
      </w:r>
    </w:p>
    <w:p w14:paraId="72390CA7" w14:textId="77777777" w:rsidR="00DE32CC" w:rsidRDefault="00DE32CC" w:rsidP="00DE32CC">
      <w:pPr>
        <w:pStyle w:val="Heading6"/>
        <w:ind w:left="0" w:firstLine="0"/>
        <w:rPr>
          <w:lang w:val="en-AU"/>
        </w:rPr>
      </w:pPr>
      <w:bookmarkStart w:id="2407" w:name="_Toc529178418"/>
      <w:r>
        <w:rPr>
          <w:lang w:val="en-AU"/>
        </w:rPr>
        <w:t>Minimum Term</w:t>
      </w:r>
      <w:bookmarkEnd w:id="2407"/>
    </w:p>
    <w:p w14:paraId="11A75E27" w14:textId="77777777" w:rsidR="00DE32CC" w:rsidRDefault="00DE32CC" w:rsidP="00DE32CC">
      <w:pPr>
        <w:pStyle w:val="BodyText"/>
        <w:ind w:firstLine="720"/>
        <w:rPr>
          <w:lang w:val="en-AU"/>
        </w:rPr>
      </w:pPr>
      <w:r>
        <w:rPr>
          <w:lang w:val="en-AU"/>
        </w:rPr>
        <w:t xml:space="preserve">These </w:t>
      </w:r>
      <w:r>
        <w:rPr>
          <w:i/>
          <w:lang w:val="en-AU"/>
        </w:rPr>
        <w:t>plans</w:t>
      </w:r>
      <w:r>
        <w:rPr>
          <w:lang w:val="en-AU"/>
        </w:rPr>
        <w:t xml:space="preserve"> have</w:t>
      </w:r>
      <w:r>
        <w:rPr>
          <w:i/>
          <w:lang w:val="en-AU"/>
        </w:rPr>
        <w:t xml:space="preserve"> </w:t>
      </w:r>
      <w:r>
        <w:rPr>
          <w:lang w:val="en-AU"/>
        </w:rPr>
        <w:t xml:space="preserve">a </w:t>
      </w:r>
      <w:r>
        <w:rPr>
          <w:i/>
          <w:lang w:val="en-AU"/>
        </w:rPr>
        <w:t>fixed length agreement</w:t>
      </w:r>
      <w:r>
        <w:rPr>
          <w:lang w:val="en-AU"/>
        </w:rPr>
        <w:t xml:space="preserve"> with a 24-month </w:t>
      </w:r>
      <w:r>
        <w:rPr>
          <w:i/>
          <w:lang w:val="en-AU"/>
        </w:rPr>
        <w:t>minimum term.</w:t>
      </w:r>
    </w:p>
    <w:p w14:paraId="5CD3BED4" w14:textId="77777777" w:rsidR="00DE32CC" w:rsidRDefault="00DE32CC" w:rsidP="00DE32CC">
      <w:pPr>
        <w:pStyle w:val="Heading6"/>
        <w:ind w:left="0" w:firstLine="0"/>
        <w:rPr>
          <w:lang w:val="en-AU"/>
        </w:rPr>
      </w:pPr>
      <w:bookmarkStart w:id="2408" w:name="_Toc529178419"/>
      <w:r>
        <w:rPr>
          <w:lang w:val="en-AU"/>
        </w:rPr>
        <w:lastRenderedPageBreak/>
        <w:t>What you have to pay us</w:t>
      </w:r>
      <w:bookmarkEnd w:id="2408"/>
    </w:p>
    <w:p w14:paraId="424CC1DA" w14:textId="77777777" w:rsidR="00DE32CC" w:rsidRDefault="00DE32CC" w:rsidP="00DE32CC">
      <w:pPr>
        <w:pStyle w:val="Heading7"/>
        <w:rPr>
          <w:lang w:val="en-AU"/>
        </w:rPr>
      </w:pPr>
      <w:r>
        <w:rPr>
          <w:i/>
          <w:lang w:val="en-AU"/>
        </w:rPr>
        <w:t>You</w:t>
      </w:r>
      <w:r>
        <w:rPr>
          <w:lang w:val="en-AU"/>
        </w:rPr>
        <w:t xml:space="preserve"> must pay </w:t>
      </w:r>
      <w:r>
        <w:rPr>
          <w:i/>
          <w:lang w:val="en-AU"/>
        </w:rPr>
        <w:t>us</w:t>
      </w:r>
      <w:r>
        <w:rPr>
          <w:lang w:val="en-AU"/>
        </w:rPr>
        <w:t xml:space="preserve"> for use of the </w:t>
      </w:r>
      <w:r>
        <w:rPr>
          <w:i/>
          <w:lang w:val="en-AU"/>
        </w:rPr>
        <w:t>service</w:t>
      </w:r>
      <w:r>
        <w:rPr>
          <w:lang w:val="en-AU"/>
        </w:rPr>
        <w:t xml:space="preserve"> at the rates set out in Section 1 of this </w:t>
      </w:r>
      <w:r>
        <w:rPr>
          <w:i/>
          <w:lang w:val="en-AU"/>
        </w:rPr>
        <w:t>standard pricing table</w:t>
      </w:r>
      <w:r>
        <w:rPr>
          <w:lang w:val="en-AU"/>
        </w:rPr>
        <w:t xml:space="preserve"> and for value added service features at the rates set out in </w:t>
      </w:r>
      <w:hyperlink r:id="rId910" w:history="1">
        <w:r>
          <w:rPr>
            <w:rStyle w:val="Hyperlink"/>
            <w:rFonts w:eastAsia="MS Gothic"/>
            <w:i/>
            <w:lang w:val="en-AU"/>
          </w:rPr>
          <w:t>Appendix Y Value Added Service Features</w:t>
        </w:r>
        <w:r>
          <w:rPr>
            <w:rStyle w:val="Hyperlink"/>
            <w:rFonts w:eastAsia="MS Gothic"/>
            <w:lang w:val="en-AU"/>
          </w:rPr>
          <w:t>.</w:t>
        </w:r>
      </w:hyperlink>
    </w:p>
    <w:p w14:paraId="15B5A52F" w14:textId="77777777" w:rsidR="00DE32CC" w:rsidRDefault="00DE32CC" w:rsidP="00DE32CC">
      <w:pPr>
        <w:pStyle w:val="Heading7"/>
        <w:rPr>
          <w:lang w:val="en-AU"/>
        </w:rPr>
      </w:pPr>
      <w:r>
        <w:rPr>
          <w:lang w:val="en-AU"/>
        </w:rPr>
        <w:t>If there is a flagfall for a particular call type, the charge for these calls is the flagfall amount plus the relevant rate for the call multiplied by the duration of the call.</w:t>
      </w:r>
    </w:p>
    <w:p w14:paraId="748EBF82" w14:textId="77777777" w:rsidR="00DE32CC" w:rsidRDefault="00DE32CC" w:rsidP="00DE32CC">
      <w:pPr>
        <w:pStyle w:val="Heading7"/>
        <w:rPr>
          <w:b/>
          <w:lang w:val="en-AU"/>
        </w:rPr>
      </w:pPr>
      <w:r>
        <w:rPr>
          <w:b/>
          <w:lang w:val="en-AU"/>
        </w:rPr>
        <w:t>Minimum Monthly Charge</w:t>
      </w:r>
    </w:p>
    <w:p w14:paraId="2355CA5A" w14:textId="77777777" w:rsidR="00DE32CC" w:rsidRDefault="00DE32CC" w:rsidP="00DE32CC">
      <w:pPr>
        <w:pStyle w:val="Heading8"/>
        <w:rPr>
          <w:lang w:val="en-AU"/>
        </w:rPr>
      </w:pPr>
      <w:r>
        <w:rPr>
          <w:lang w:val="en-AU"/>
        </w:rPr>
        <w:t xml:space="preserve">Each Business Plus Tech Fund plan has a Minimum Monthly Charge amount that </w:t>
      </w:r>
      <w:r>
        <w:rPr>
          <w:i/>
          <w:lang w:val="en-AU"/>
        </w:rPr>
        <w:t>you</w:t>
      </w:r>
      <w:r>
        <w:rPr>
          <w:lang w:val="en-AU"/>
        </w:rPr>
        <w:t xml:space="preserve"> must pay </w:t>
      </w:r>
      <w:r>
        <w:rPr>
          <w:i/>
          <w:lang w:val="en-AU"/>
        </w:rPr>
        <w:t>us</w:t>
      </w:r>
      <w:r>
        <w:rPr>
          <w:lang w:val="en-AU"/>
        </w:rPr>
        <w:t xml:space="preserve"> each month as set out in Table 1 below. </w:t>
      </w:r>
    </w:p>
    <w:p w14:paraId="2D40965E" w14:textId="77777777" w:rsidR="00DE32CC" w:rsidRDefault="00DE32CC" w:rsidP="00DE32CC">
      <w:pPr>
        <w:pStyle w:val="Heading6"/>
        <w:ind w:left="0" w:firstLine="0"/>
        <w:rPr>
          <w:lang w:val="en-AU"/>
        </w:rPr>
      </w:pPr>
      <w:bookmarkStart w:id="2409" w:name="_Toc529178420"/>
      <w:r>
        <w:rPr>
          <w:lang w:val="en-AU"/>
        </w:rPr>
        <w:t>How Business Plus Tech Fund plans works</w:t>
      </w:r>
      <w:bookmarkEnd w:id="2409"/>
    </w:p>
    <w:p w14:paraId="21D56C6B" w14:textId="77777777" w:rsidR="00DE32CC" w:rsidRDefault="00DE32CC" w:rsidP="00DE32CC">
      <w:pPr>
        <w:pStyle w:val="Heading7"/>
        <w:rPr>
          <w:lang w:val="en-AU"/>
        </w:rPr>
      </w:pPr>
      <w:r>
        <w:rPr>
          <w:lang w:val="en-AU"/>
        </w:rPr>
        <w:t xml:space="preserve">Each Business Plus Tech Fund plan has unlimited minutes to use on standard national calls to landlines and mobiles, 13/1300 numbers and voicemail retrievals and an amount of Included Data (for mobile internet use) to share with other eligible services that data share on the same billing account. </w:t>
      </w:r>
    </w:p>
    <w:p w14:paraId="13ACF74D" w14:textId="77777777" w:rsidR="00DE32CC" w:rsidRDefault="00DE32CC" w:rsidP="00DE32CC">
      <w:pPr>
        <w:pStyle w:val="Heading7"/>
        <w:rPr>
          <w:lang w:val="en-AU"/>
        </w:rPr>
      </w:pPr>
      <w:r>
        <w:rPr>
          <w:lang w:val="en-AU"/>
        </w:rPr>
        <w:t>These plans</w:t>
      </w:r>
      <w:r w:rsidRPr="00F906EC">
        <w:rPr>
          <w:lang w:val="en-AU"/>
        </w:rPr>
        <w:t xml:space="preserve"> include unlimited standard national SMS/MMS </w:t>
      </w:r>
      <w:r w:rsidRPr="00383BA2">
        <w:rPr>
          <w:lang w:val="en-AU"/>
        </w:rPr>
        <w:t>and unlimited standard International SMS/MMS to selected countries</w:t>
      </w:r>
      <w:r w:rsidRPr="00F906EC">
        <w:rPr>
          <w:lang w:val="en-AU"/>
        </w:rPr>
        <w:t xml:space="preserve">. </w:t>
      </w:r>
      <w:r>
        <w:rPr>
          <w:lang w:val="en-AU"/>
        </w:rPr>
        <w:t xml:space="preserve">The $85/$105/$125 plans </w:t>
      </w:r>
      <w:r w:rsidRPr="00FD4855">
        <w:rPr>
          <w:lang w:val="en-AU"/>
        </w:rPr>
        <w:t>have an amount of included international minutes to use on standard international calls to selected countries</w:t>
      </w:r>
      <w:r>
        <w:rPr>
          <w:lang w:val="en-AU"/>
        </w:rPr>
        <w:t>.</w:t>
      </w:r>
      <w:r w:rsidRPr="00FD4855">
        <w:rPr>
          <w:lang w:val="en-AU"/>
        </w:rPr>
        <w:t xml:space="preserve"> </w:t>
      </w:r>
      <w:r>
        <w:rPr>
          <w:lang w:val="en-AU"/>
        </w:rPr>
        <w:t xml:space="preserve"> </w:t>
      </w:r>
      <w:r>
        <w:rPr>
          <w:rFonts w:cs="Arial"/>
        </w:rPr>
        <w:t xml:space="preserve">The $145 plan also </w:t>
      </w:r>
      <w:r w:rsidRPr="00FD4855">
        <w:rPr>
          <w:rFonts w:cs="Arial"/>
        </w:rPr>
        <w:t>ha</w:t>
      </w:r>
      <w:r>
        <w:rPr>
          <w:rFonts w:cs="Arial"/>
        </w:rPr>
        <w:t>s</w:t>
      </w:r>
      <w:r w:rsidRPr="00FD4855">
        <w:rPr>
          <w:rFonts w:cs="Arial"/>
        </w:rPr>
        <w:t xml:space="preserve"> an amount of included international minutes to use on standard</w:t>
      </w:r>
      <w:r>
        <w:rPr>
          <w:rFonts w:cs="Arial"/>
        </w:rPr>
        <w:t xml:space="preserve"> international calls to ALL countries.</w:t>
      </w:r>
    </w:p>
    <w:p w14:paraId="6D9801D0" w14:textId="77777777" w:rsidR="00DE32CC" w:rsidRDefault="00DE32CC" w:rsidP="00DE32CC">
      <w:pPr>
        <w:pStyle w:val="Heading7"/>
        <w:rPr>
          <w:lang w:val="en-AU"/>
        </w:rPr>
      </w:pPr>
      <w:r>
        <w:rPr>
          <w:lang w:val="en-AU"/>
        </w:rPr>
        <w:t xml:space="preserve">Data usage is calculated in one kilobyte increments. </w:t>
      </w:r>
    </w:p>
    <w:p w14:paraId="7B8A7548" w14:textId="77777777" w:rsidR="00DE32CC" w:rsidRDefault="00DE32CC" w:rsidP="00DE32CC">
      <w:pPr>
        <w:pStyle w:val="Heading7"/>
        <w:rPr>
          <w:lang w:val="en-AU"/>
        </w:rPr>
      </w:pPr>
      <w:r>
        <w:rPr>
          <w:lang w:val="en-AU"/>
        </w:rPr>
        <w:t>International minutes are billed in one-minute increments.</w:t>
      </w:r>
    </w:p>
    <w:p w14:paraId="09C23A94" w14:textId="77777777" w:rsidR="00DE32CC" w:rsidRDefault="00DE32CC" w:rsidP="00DE32CC">
      <w:pPr>
        <w:pStyle w:val="Heading7"/>
        <w:rPr>
          <w:lang w:val="en-AU"/>
        </w:rPr>
      </w:pPr>
      <w:r>
        <w:t>If you exceed your included shareable data, you'll automatically be charged $10 for each additional 1GB of data ("</w:t>
      </w:r>
      <w:r>
        <w:rPr>
          <w:b/>
        </w:rPr>
        <w:t>Additional Data</w:t>
      </w:r>
      <w:r>
        <w:t xml:space="preserve">") up to 150GB of extra data per account each month. Your service/s may then be restricted, or we may continue to charge you at these rates. </w:t>
      </w:r>
    </w:p>
    <w:p w14:paraId="7B4DF722" w14:textId="77777777" w:rsidR="00DE32CC" w:rsidRDefault="00DE32CC" w:rsidP="00DE32CC">
      <w:pPr>
        <w:pStyle w:val="Heading7"/>
        <w:rPr>
          <w:b/>
          <w:lang w:val="en-AU"/>
        </w:rPr>
      </w:pPr>
      <w:r>
        <w:rPr>
          <w:lang w:val="en-AU"/>
        </w:rPr>
        <w:t xml:space="preserve">Any unused portion of </w:t>
      </w:r>
      <w:r>
        <w:rPr>
          <w:i/>
          <w:lang w:val="en-AU"/>
        </w:rPr>
        <w:t>your</w:t>
      </w:r>
      <w:r>
        <w:rPr>
          <w:lang w:val="en-AU"/>
        </w:rPr>
        <w:t xml:space="preserve"> </w:t>
      </w:r>
      <w:r>
        <w:rPr>
          <w:i/>
          <w:lang w:val="en-AU"/>
        </w:rPr>
        <w:t>plan's</w:t>
      </w:r>
      <w:r>
        <w:rPr>
          <w:lang w:val="en-AU"/>
        </w:rPr>
        <w:t xml:space="preserve"> Included or Additional Data expires at the end of each billing month and does not roll over into the next billing month.</w:t>
      </w:r>
    </w:p>
    <w:p w14:paraId="790EDC78" w14:textId="77777777" w:rsidR="00DE32CC" w:rsidRDefault="00DE32CC" w:rsidP="00DE32CC">
      <w:pPr>
        <w:pStyle w:val="Heading7"/>
        <w:rPr>
          <w:b/>
          <w:lang w:val="en-AU"/>
        </w:rPr>
      </w:pPr>
      <w:r>
        <w:rPr>
          <w:i/>
          <w:lang w:val="en-AU"/>
        </w:rPr>
        <w:t>You</w:t>
      </w:r>
      <w:r>
        <w:rPr>
          <w:lang w:val="en-AU"/>
        </w:rPr>
        <w:t xml:space="preserve"> must pay </w:t>
      </w:r>
      <w:r>
        <w:rPr>
          <w:i/>
          <w:lang w:val="en-AU"/>
        </w:rPr>
        <w:t>us</w:t>
      </w:r>
      <w:r>
        <w:rPr>
          <w:lang w:val="en-AU"/>
        </w:rPr>
        <w:t xml:space="preserve"> for use of any services that are not included in </w:t>
      </w:r>
      <w:r>
        <w:rPr>
          <w:i/>
          <w:lang w:val="en-AU"/>
        </w:rPr>
        <w:t>your</w:t>
      </w:r>
      <w:r>
        <w:rPr>
          <w:lang w:val="en-AU"/>
        </w:rPr>
        <w:t xml:space="preserve"> plan's inclusions, examples of which are set out in Table 2 below.</w:t>
      </w:r>
    </w:p>
    <w:p w14:paraId="4A2CD104" w14:textId="77777777" w:rsidR="00DE32CC" w:rsidRDefault="00DE32CC" w:rsidP="00DE32CC">
      <w:pPr>
        <w:pStyle w:val="Heading6"/>
        <w:ind w:left="0" w:firstLine="0"/>
        <w:rPr>
          <w:lang w:val="en-AU"/>
        </w:rPr>
      </w:pPr>
      <w:bookmarkStart w:id="2410" w:name="_Toc529178421"/>
      <w:r>
        <w:rPr>
          <w:lang w:val="en-AU"/>
        </w:rPr>
        <w:t>Plan Changes</w:t>
      </w:r>
      <w:bookmarkEnd w:id="2410"/>
    </w:p>
    <w:p w14:paraId="345B762C" w14:textId="77777777" w:rsidR="00DE32CC" w:rsidRDefault="00DE32CC" w:rsidP="00DE32CC">
      <w:pPr>
        <w:pStyle w:val="BodyText"/>
        <w:ind w:left="720"/>
      </w:pPr>
      <w:r>
        <w:t>You can change your plan during the minimum term provided you move to a plan with a higher monthly access fee. You cannot change your plan during the minimum term to a plan with the same or lower monthly access fee. If you change your plan during the minimum term a fee may apply, and any mobile handset credit will remain the same.</w:t>
      </w:r>
    </w:p>
    <w:p w14:paraId="33D14928" w14:textId="77777777" w:rsidR="00DE32CC" w:rsidRDefault="00DE32CC" w:rsidP="00DE32CC">
      <w:pPr>
        <w:pStyle w:val="Heading6"/>
        <w:ind w:left="0" w:firstLine="0"/>
        <w:rPr>
          <w:lang w:val="en-AU"/>
        </w:rPr>
      </w:pPr>
      <w:bookmarkStart w:id="2411" w:name="_Toc529178422"/>
      <w:r>
        <w:rPr>
          <w:lang w:val="en-AU"/>
        </w:rPr>
        <w:t>Handset Credit</w:t>
      </w:r>
      <w:bookmarkEnd w:id="2411"/>
    </w:p>
    <w:p w14:paraId="7EF04ED5" w14:textId="77777777" w:rsidR="00DE32CC" w:rsidRDefault="00DE32CC" w:rsidP="00DE32CC">
      <w:pPr>
        <w:pStyle w:val="Heading7"/>
        <w:rPr>
          <w:lang w:val="en-AU"/>
        </w:rPr>
      </w:pPr>
      <w:r>
        <w:rPr>
          <w:lang w:val="en-AU"/>
        </w:rPr>
        <w:t xml:space="preserve">The Handset Credit is a special offer available to customers who are eligible for and connect to a Business Plus Tech Fund plan, and who do not choose to take a handset upfront. It allows </w:t>
      </w:r>
      <w:r>
        <w:rPr>
          <w:i/>
          <w:lang w:val="en-AU"/>
        </w:rPr>
        <w:t>you</w:t>
      </w:r>
      <w:r>
        <w:rPr>
          <w:lang w:val="en-AU"/>
        </w:rPr>
        <w:t xml:space="preserve"> to purchase from a range of selected mobile phones and accessories from Optus at any period throughout </w:t>
      </w:r>
      <w:r>
        <w:rPr>
          <w:i/>
          <w:lang w:val="en-AU"/>
        </w:rPr>
        <w:t>your</w:t>
      </w:r>
      <w:r>
        <w:rPr>
          <w:lang w:val="en-AU"/>
        </w:rPr>
        <w:t xml:space="preserve"> contract; it cannot be used for any other purpose other than the purchase of handsets and accessories from </w:t>
      </w:r>
      <w:r>
        <w:rPr>
          <w:i/>
          <w:lang w:val="en-AU"/>
        </w:rPr>
        <w:t>us</w:t>
      </w:r>
      <w:r>
        <w:rPr>
          <w:lang w:val="en-AU"/>
        </w:rPr>
        <w:t xml:space="preserve">. </w:t>
      </w:r>
    </w:p>
    <w:p w14:paraId="640D3045" w14:textId="77777777" w:rsidR="00DE32CC" w:rsidRDefault="00DE32CC" w:rsidP="00DE32CC">
      <w:pPr>
        <w:pStyle w:val="Heading7"/>
        <w:rPr>
          <w:lang w:val="en-AU"/>
        </w:rPr>
      </w:pPr>
      <w:r>
        <w:rPr>
          <w:lang w:val="en-AU"/>
        </w:rPr>
        <w:t xml:space="preserve">The amount of the credit will be as set out in your application form. </w:t>
      </w:r>
    </w:p>
    <w:p w14:paraId="6901C0AC" w14:textId="77777777" w:rsidR="00DE32CC" w:rsidRDefault="00DE32CC" w:rsidP="00DE32CC">
      <w:pPr>
        <w:pStyle w:val="Heading7"/>
        <w:rPr>
          <w:lang w:val="en-AU"/>
        </w:rPr>
      </w:pPr>
      <w:r>
        <w:rPr>
          <w:i/>
          <w:lang w:val="en-AU"/>
        </w:rPr>
        <w:t>You</w:t>
      </w:r>
      <w:r>
        <w:rPr>
          <w:lang w:val="en-AU"/>
        </w:rPr>
        <w:t xml:space="preserve"> may use the Handset Credit deposited into </w:t>
      </w:r>
      <w:r>
        <w:rPr>
          <w:i/>
          <w:lang w:val="en-AU"/>
        </w:rPr>
        <w:t>your</w:t>
      </w:r>
      <w:r>
        <w:rPr>
          <w:lang w:val="en-AU"/>
        </w:rPr>
        <w:t xml:space="preserve"> account to purchase handsets listed in the Optus e-fulfilment price list as amended by </w:t>
      </w:r>
      <w:r>
        <w:rPr>
          <w:i/>
          <w:lang w:val="en-AU"/>
        </w:rPr>
        <w:t>us</w:t>
      </w:r>
      <w:r>
        <w:rPr>
          <w:lang w:val="en-AU"/>
        </w:rPr>
        <w:t xml:space="preserve"> from time to time. This list is available to </w:t>
      </w:r>
      <w:r>
        <w:rPr>
          <w:i/>
          <w:lang w:val="en-AU"/>
        </w:rPr>
        <w:t>you</w:t>
      </w:r>
      <w:r>
        <w:rPr>
          <w:lang w:val="en-AU"/>
        </w:rPr>
        <w:t xml:space="preserve"> upon request.</w:t>
      </w:r>
    </w:p>
    <w:p w14:paraId="03497F1F" w14:textId="77777777" w:rsidR="00DE32CC" w:rsidRDefault="00DE32CC" w:rsidP="00DE32CC">
      <w:pPr>
        <w:pStyle w:val="Heading7"/>
        <w:rPr>
          <w:lang w:val="en-AU"/>
        </w:rPr>
      </w:pPr>
      <w:r>
        <w:rPr>
          <w:lang w:val="en-AU"/>
        </w:rPr>
        <w:lastRenderedPageBreak/>
        <w:t xml:space="preserve">If the purchase price for products that </w:t>
      </w:r>
      <w:r>
        <w:rPr>
          <w:i/>
          <w:lang w:val="en-AU"/>
        </w:rPr>
        <w:t>you</w:t>
      </w:r>
      <w:r>
        <w:rPr>
          <w:lang w:val="en-AU"/>
        </w:rPr>
        <w:t xml:space="preserve"> order is greater than the Handset Credit remaining in </w:t>
      </w:r>
      <w:r>
        <w:rPr>
          <w:i/>
          <w:lang w:val="en-AU"/>
        </w:rPr>
        <w:t>your</w:t>
      </w:r>
      <w:r>
        <w:rPr>
          <w:lang w:val="en-AU"/>
        </w:rPr>
        <w:t xml:space="preserve"> account, </w:t>
      </w:r>
      <w:r>
        <w:rPr>
          <w:i/>
          <w:lang w:val="en-AU"/>
        </w:rPr>
        <w:t>you</w:t>
      </w:r>
      <w:r>
        <w:rPr>
          <w:lang w:val="en-AU"/>
        </w:rPr>
        <w:t xml:space="preserve"> must pay any difference for those products by manually topping up </w:t>
      </w:r>
      <w:r>
        <w:rPr>
          <w:i/>
          <w:lang w:val="en-AU"/>
        </w:rPr>
        <w:t>your</w:t>
      </w:r>
      <w:r>
        <w:rPr>
          <w:lang w:val="en-AU"/>
        </w:rPr>
        <w:t xml:space="preserve"> Handset Credit Fund account with the required funds before purchasing.</w:t>
      </w:r>
    </w:p>
    <w:p w14:paraId="359E8CAC" w14:textId="77777777" w:rsidR="00DE32CC" w:rsidRDefault="00DE32CC" w:rsidP="00DE32CC">
      <w:pPr>
        <w:pStyle w:val="Heading7"/>
        <w:rPr>
          <w:lang w:val="en-AU"/>
        </w:rPr>
      </w:pPr>
      <w:r>
        <w:rPr>
          <w:lang w:val="en-AU"/>
        </w:rPr>
        <w:t xml:space="preserve">The value of the Handset Credit is not redeemable for cash and may not be transferred or used for any other purposes (for instance, it may not be used to pay for service charges, minimum monthly call spends or call costs, cannot be used against cancellation fees). </w:t>
      </w:r>
    </w:p>
    <w:p w14:paraId="1E87761C" w14:textId="77777777" w:rsidR="00DE32CC" w:rsidRDefault="00DE32CC" w:rsidP="00DE32CC">
      <w:pPr>
        <w:pStyle w:val="Heading7"/>
        <w:rPr>
          <w:lang w:val="en-AU"/>
        </w:rPr>
      </w:pPr>
      <w:r>
        <w:rPr>
          <w:lang w:val="en-AU"/>
        </w:rPr>
        <w:t xml:space="preserve">If you cancel a service on an account with multiple Tech Fund services, you will not lose any unused handset credit. Only if </w:t>
      </w:r>
      <w:r>
        <w:rPr>
          <w:i/>
          <w:lang w:val="en-AU"/>
        </w:rPr>
        <w:t>your</w:t>
      </w:r>
      <w:r>
        <w:rPr>
          <w:lang w:val="en-AU"/>
        </w:rPr>
        <w:t xml:space="preserve"> account is cancelled for any reason than any unused credit will be forfeited.</w:t>
      </w:r>
    </w:p>
    <w:p w14:paraId="4DCACF90" w14:textId="77777777" w:rsidR="00DE32CC" w:rsidRDefault="00DE32CC" w:rsidP="00DE32CC">
      <w:pPr>
        <w:pStyle w:val="Heading6"/>
        <w:ind w:left="0" w:firstLine="0"/>
        <w:rPr>
          <w:lang w:val="en-AU"/>
        </w:rPr>
      </w:pPr>
      <w:bookmarkStart w:id="2412" w:name="_Toc529178423"/>
      <w:r>
        <w:rPr>
          <w:lang w:val="en-AU"/>
        </w:rPr>
        <w:t>Data Sharing</w:t>
      </w:r>
      <w:bookmarkEnd w:id="2412"/>
    </w:p>
    <w:p w14:paraId="78899469" w14:textId="77777777" w:rsidR="00DE32CC" w:rsidRDefault="00DE32CC" w:rsidP="00DE32CC">
      <w:pPr>
        <w:pStyle w:val="Heading7"/>
        <w:rPr>
          <w:lang w:val="en-AU"/>
        </w:rPr>
      </w:pPr>
      <w:r>
        <w:rPr>
          <w:lang w:val="en-AU"/>
        </w:rPr>
        <w:t>If you have more than one My Plan Plus, My Plan Plus SIM Only, Business Plus (including Tech Fund), My Plan Business (including Tech Fund), My Plan Business SIM, My Mobile Broadband Plus or Mobile Broadband Business on the same billing account, the included data will combine into one data pool, which will be shared by all eligible services on that account.</w:t>
      </w:r>
    </w:p>
    <w:p w14:paraId="510F7CD3" w14:textId="77777777" w:rsidR="00DE32CC" w:rsidRDefault="00DE32CC" w:rsidP="00DE32CC">
      <w:pPr>
        <w:pStyle w:val="Heading7"/>
        <w:rPr>
          <w:lang w:val="en-AU"/>
        </w:rPr>
      </w:pPr>
      <w:r>
        <w:rPr>
          <w:lang w:val="en-AU"/>
        </w:rPr>
        <w:t xml:space="preserve">If </w:t>
      </w:r>
      <w:r>
        <w:rPr>
          <w:i/>
          <w:lang w:val="en-AU"/>
        </w:rPr>
        <w:t>you</w:t>
      </w:r>
      <w:r>
        <w:rPr>
          <w:lang w:val="en-AU"/>
        </w:rPr>
        <w:t xml:space="preserve"> do not want </w:t>
      </w:r>
      <w:r>
        <w:rPr>
          <w:i/>
          <w:lang w:val="en-AU"/>
        </w:rPr>
        <w:t>your</w:t>
      </w:r>
      <w:r>
        <w:rPr>
          <w:lang w:val="en-AU"/>
        </w:rPr>
        <w:t xml:space="preserve"> services to share data, they need to be on separate billing accounts. </w:t>
      </w:r>
    </w:p>
    <w:p w14:paraId="5A348E15" w14:textId="77777777" w:rsidR="00DE32CC" w:rsidRDefault="00DE32CC" w:rsidP="00DE32CC">
      <w:pPr>
        <w:pStyle w:val="Heading7"/>
        <w:rPr>
          <w:lang w:val="en-AU"/>
        </w:rPr>
      </w:pPr>
      <w:r>
        <w:rPr>
          <w:lang w:val="en-AU"/>
        </w:rPr>
        <w:t>Data sharing is only available within Australia.</w:t>
      </w:r>
    </w:p>
    <w:p w14:paraId="2D3B96E5" w14:textId="77777777" w:rsidR="00DE32CC" w:rsidRDefault="00DE32CC" w:rsidP="00DE32CC">
      <w:pPr>
        <w:pStyle w:val="Heading6"/>
        <w:ind w:left="0" w:firstLine="0"/>
        <w:rPr>
          <w:lang w:val="en-AU"/>
        </w:rPr>
      </w:pPr>
      <w:bookmarkStart w:id="2413" w:name="_Toc529178424"/>
      <w:r>
        <w:rPr>
          <w:lang w:val="en-AU"/>
        </w:rPr>
        <w:t>International Talk</w:t>
      </w:r>
      <w:bookmarkEnd w:id="2413"/>
    </w:p>
    <w:p w14:paraId="62188BCF" w14:textId="77777777" w:rsidR="00DE32CC" w:rsidRDefault="00DE32CC" w:rsidP="00DE32CC">
      <w:pPr>
        <w:pStyle w:val="BodyText"/>
        <w:ind w:left="720"/>
      </w:pPr>
      <w:r>
        <w:t xml:space="preserve">The $85/$105/$125 Business Plus Tech Fund plans include unlimited standard international calls to mobiles and fixed lines in selected countries. For a list of selected countries see Table 3 below. </w:t>
      </w:r>
    </w:p>
    <w:p w14:paraId="62B85C03" w14:textId="77777777" w:rsidR="00DE32CC" w:rsidRDefault="00DE32CC" w:rsidP="00DE32CC">
      <w:pPr>
        <w:pStyle w:val="BodyText"/>
        <w:ind w:left="720"/>
      </w:pPr>
      <w:r>
        <w:rPr>
          <w:szCs w:val="20"/>
        </w:rPr>
        <w:t>Calls to non-selected countries are charged at standard ‘yes’ international call rates.</w:t>
      </w:r>
    </w:p>
    <w:p w14:paraId="55AEDACC" w14:textId="77777777" w:rsidR="00DE32CC" w:rsidRDefault="00DE32CC" w:rsidP="00DE32CC">
      <w:pPr>
        <w:pStyle w:val="BodyText"/>
        <w:ind w:left="720"/>
      </w:pPr>
      <w:r>
        <w:t>The $145 Business Plus Tech Fund plan includes unlimited standard international calls to mobiles and fixed lines in ALL countries.</w:t>
      </w:r>
    </w:p>
    <w:p w14:paraId="300C99AE" w14:textId="77777777" w:rsidR="00DE32CC" w:rsidRDefault="00DE32CC" w:rsidP="00DE32CC">
      <w:pPr>
        <w:pStyle w:val="Heading6"/>
        <w:ind w:left="0" w:firstLine="0"/>
        <w:rPr>
          <w:lang w:val="en-AU"/>
        </w:rPr>
      </w:pPr>
      <w:bookmarkStart w:id="2414" w:name="_Toc529178425"/>
      <w:r>
        <w:rPr>
          <w:lang w:val="en-AU"/>
        </w:rPr>
        <w:t>Unlimited standard national SMS and MMS</w:t>
      </w:r>
      <w:bookmarkEnd w:id="2414"/>
    </w:p>
    <w:p w14:paraId="6E706C51" w14:textId="77777777" w:rsidR="00DE32CC" w:rsidRDefault="00DE32CC" w:rsidP="00DE32CC">
      <w:pPr>
        <w:pStyle w:val="BodyText"/>
        <w:ind w:left="720"/>
      </w:pPr>
      <w:r>
        <w:rPr>
          <w:i/>
        </w:rPr>
        <w:t>You</w:t>
      </w:r>
      <w:r>
        <w:t xml:space="preserve"> may send unlimited standard SMS and MMS to Australian mobiles from within Australia.</w:t>
      </w:r>
    </w:p>
    <w:p w14:paraId="69F863E6" w14:textId="77777777" w:rsidR="00DE32CC" w:rsidRDefault="00DE32CC" w:rsidP="00DE32CC">
      <w:pPr>
        <w:pStyle w:val="BodyText"/>
        <w:ind w:left="720"/>
        <w:rPr>
          <w:i/>
          <w:u w:val="single"/>
        </w:rPr>
      </w:pPr>
      <w:r>
        <w:t xml:space="preserve">Unlimited standard national SMS and MMS are only available for personal and ordinary business use and are not to be used for a commercial or non-ordinary purpose as set out in the </w:t>
      </w:r>
      <w:hyperlink r:id="rId911" w:history="1">
        <w:r>
          <w:rPr>
            <w:rStyle w:val="Hyperlink"/>
            <w:i/>
          </w:rPr>
          <w:t>Fair Go Policy</w:t>
        </w:r>
      </w:hyperlink>
      <w:r>
        <w:t xml:space="preserve">. For further details refer to </w:t>
      </w:r>
      <w:hyperlink r:id="rId912" w:history="1">
        <w:r>
          <w:rPr>
            <w:rStyle w:val="Hyperlink"/>
            <w:i/>
          </w:rPr>
          <w:t>Appendix S</w:t>
        </w:r>
      </w:hyperlink>
      <w:r>
        <w:t>.</w:t>
      </w:r>
    </w:p>
    <w:p w14:paraId="791D4DC9" w14:textId="77777777" w:rsidR="00DE32CC" w:rsidRDefault="00DE32CC" w:rsidP="00DE32CC">
      <w:pPr>
        <w:pStyle w:val="Heading6"/>
        <w:ind w:left="0" w:firstLine="0"/>
        <w:rPr>
          <w:lang w:val="en-AU"/>
        </w:rPr>
      </w:pPr>
      <w:bookmarkStart w:id="2415" w:name="_Toc529178426"/>
      <w:r>
        <w:rPr>
          <w:lang w:val="en-AU"/>
        </w:rPr>
        <w:t>Unlimited standard international SMS and MMS</w:t>
      </w:r>
      <w:bookmarkEnd w:id="2415"/>
    </w:p>
    <w:p w14:paraId="743E130D" w14:textId="77777777" w:rsidR="00DE32CC" w:rsidRDefault="00DE32CC" w:rsidP="00DE32CC">
      <w:pPr>
        <w:pStyle w:val="BodyText"/>
        <w:ind w:left="720"/>
      </w:pPr>
      <w:r>
        <w:t xml:space="preserve">The Business Plus Tech Fund plans include unlimited standard international SMS/MMS to selected countries. </w:t>
      </w:r>
    </w:p>
    <w:p w14:paraId="0C6DBD75" w14:textId="77777777" w:rsidR="00DE32CC" w:rsidRPr="00811748" w:rsidRDefault="00DE32CC" w:rsidP="00DE32CC">
      <w:pPr>
        <w:pStyle w:val="BodyText"/>
        <w:ind w:left="720"/>
      </w:pPr>
      <w:r>
        <w:t xml:space="preserve">Unlimited standard SMS and MMS are only available for personal and ordinary business use and are not to be used for a commercial or non-ordinary purpose as set out in the Fair Go Policy. For further details refer to </w:t>
      </w:r>
      <w:hyperlink r:id="rId913" w:history="1">
        <w:r>
          <w:rPr>
            <w:rStyle w:val="Hyperlink"/>
            <w:i/>
          </w:rPr>
          <w:t>Appendix S</w:t>
        </w:r>
      </w:hyperlink>
      <w:r>
        <w:rPr>
          <w:i/>
        </w:rPr>
        <w:t>.</w:t>
      </w:r>
    </w:p>
    <w:p w14:paraId="6909DBFC" w14:textId="77777777" w:rsidR="00DE32CC" w:rsidRDefault="00DE32CC" w:rsidP="00DE32CC">
      <w:pPr>
        <w:pStyle w:val="Heading6"/>
        <w:ind w:left="0" w:firstLine="0"/>
        <w:rPr>
          <w:lang w:val="en-AU"/>
        </w:rPr>
      </w:pPr>
      <w:bookmarkStart w:id="2416" w:name="_Toc529178427"/>
      <w:r>
        <w:rPr>
          <w:lang w:val="en-AU"/>
        </w:rPr>
        <w:t>International Roaming</w:t>
      </w:r>
      <w:bookmarkEnd w:id="2416"/>
      <w:r>
        <w:rPr>
          <w:lang w:val="en-AU"/>
        </w:rPr>
        <w:t xml:space="preserve"> </w:t>
      </w:r>
    </w:p>
    <w:p w14:paraId="3A495260" w14:textId="77777777" w:rsidR="00DE32CC" w:rsidRDefault="00DE32CC" w:rsidP="00DE32CC">
      <w:pPr>
        <w:pStyle w:val="ListParagraph"/>
        <w:ind w:left="709"/>
        <w:rPr>
          <w:rFonts w:ascii="Arial" w:hAnsi="Arial" w:cs="Arial"/>
        </w:rPr>
      </w:pPr>
      <w:r>
        <w:rPr>
          <w:rFonts w:ascii="Arial" w:hAnsi="Arial" w:cs="Arial"/>
        </w:rPr>
        <w:t>The $105, $125 and $145 Business Plus Tech Fund plans will receive unlimited standard national and international voice, SMS (MMS is excluded) plus 2GB/6GB/10GB of data (respectively) to use in Zone 1 countries within each billing month. If you are not in a Zone 1 country, you will be charged at standard roaming rates for that country.</w:t>
      </w:r>
    </w:p>
    <w:p w14:paraId="29EA0212" w14:textId="77777777" w:rsidR="00DE32CC" w:rsidRDefault="00DE32CC" w:rsidP="00DE32CC">
      <w:pPr>
        <w:ind w:left="709"/>
        <w:rPr>
          <w:rFonts w:eastAsia="Times New Roman" w:cs="Arial"/>
          <w:sz w:val="20"/>
          <w:szCs w:val="20"/>
        </w:rPr>
      </w:pPr>
    </w:p>
    <w:p w14:paraId="115E342C" w14:textId="77777777" w:rsidR="00DE32CC" w:rsidRDefault="00DE32CC" w:rsidP="00DE32CC">
      <w:pPr>
        <w:pStyle w:val="BodyText"/>
        <w:ind w:left="720"/>
        <w:rPr>
          <w:rFonts w:eastAsia="Times New Roman" w:cs="Arial"/>
          <w:snapToGrid w:val="0"/>
          <w:szCs w:val="20"/>
        </w:rPr>
      </w:pPr>
      <w:r>
        <w:rPr>
          <w:rFonts w:eastAsia="Times New Roman" w:cs="Arial"/>
          <w:szCs w:val="20"/>
        </w:rPr>
        <w:t>If you exceed the data limit, standard data roaming charges will apply. Any data provided is not shareable and will not form part of any Data Pool. Any unused data will be forfeited and cannot be rolled over to the next billing month.</w:t>
      </w:r>
      <w:r>
        <w:rPr>
          <w:rFonts w:eastAsia="Times New Roman" w:cs="Arial"/>
          <w:snapToGrid w:val="0"/>
          <w:szCs w:val="20"/>
        </w:rPr>
        <w:t xml:space="preserve"> For list of countries see optus.com.au/biztravel</w:t>
      </w:r>
    </w:p>
    <w:p w14:paraId="66044856" w14:textId="77777777" w:rsidR="00DE32CC" w:rsidRDefault="00DE32CC" w:rsidP="00DE32CC">
      <w:pPr>
        <w:pStyle w:val="BodyText"/>
        <w:ind w:left="720"/>
        <w:rPr>
          <w:rFonts w:cs="Arial"/>
          <w:szCs w:val="20"/>
        </w:rPr>
      </w:pPr>
    </w:p>
    <w:p w14:paraId="4D57E89A" w14:textId="77777777" w:rsidR="00DE32CC" w:rsidRDefault="00DE32CC" w:rsidP="00DE32CC">
      <w:pPr>
        <w:pStyle w:val="Heading6"/>
        <w:ind w:left="0" w:firstLine="0"/>
      </w:pPr>
      <w:bookmarkStart w:id="2417" w:name="_Toc529178428"/>
      <w:r>
        <w:lastRenderedPageBreak/>
        <w:t>Optional Travel/Roaming Packs</w:t>
      </w:r>
      <w:bookmarkEnd w:id="2417"/>
      <w:r>
        <w:t xml:space="preserve"> </w:t>
      </w:r>
    </w:p>
    <w:p w14:paraId="40834239" w14:textId="77777777" w:rsidR="00DE32CC" w:rsidRDefault="00DE32CC" w:rsidP="00DE32CC">
      <w:pPr>
        <w:pStyle w:val="OptusH3"/>
        <w:tabs>
          <w:tab w:val="clear" w:pos="2127"/>
          <w:tab w:val="left" w:pos="567"/>
        </w:tabs>
        <w:spacing w:before="0" w:after="0"/>
        <w:ind w:left="709" w:firstLine="0"/>
        <w:rPr>
          <w:rFonts w:ascii="Arial" w:hAnsi="Arial" w:cs="Arial"/>
          <w:snapToGrid w:val="0"/>
          <w:sz w:val="20"/>
        </w:rPr>
      </w:pPr>
      <w:r>
        <w:rPr>
          <w:rFonts w:ascii="Arial" w:hAnsi="Arial" w:cs="Arial"/>
          <w:snapToGrid w:val="0"/>
          <w:sz w:val="20"/>
        </w:rPr>
        <w:t xml:space="preserve">If you connected between 14 March 2018 and 28 November 2018 to the $45/$65/$85 Business Plus Tech Fund plans you can take up optional </w:t>
      </w:r>
      <w:r w:rsidRPr="00685C97">
        <w:rPr>
          <w:rFonts w:ascii="Arial" w:hAnsi="Arial" w:cs="Arial"/>
          <w:snapToGrid w:val="0"/>
          <w:sz w:val="20"/>
        </w:rPr>
        <w:t>Optus Travel</w:t>
      </w:r>
      <w:r w:rsidRPr="00685C97">
        <w:rPr>
          <w:rFonts w:ascii="Arial" w:hAnsi="Arial" w:cs="Arial"/>
          <w:snapToGrid w:val="0"/>
          <w:sz w:val="20"/>
          <w:vertAlign w:val="superscript"/>
        </w:rPr>
        <w:t>TM</w:t>
      </w:r>
      <w:r w:rsidRPr="00685C97">
        <w:rPr>
          <w:rFonts w:ascii="Arial" w:hAnsi="Arial" w:cs="Arial"/>
          <w:snapToGrid w:val="0"/>
          <w:sz w:val="20"/>
        </w:rPr>
        <w:t xml:space="preserve"> Pack for $5 per day</w:t>
      </w:r>
      <w:r>
        <w:rPr>
          <w:rFonts w:ascii="Arial" w:hAnsi="Arial" w:cs="Arial"/>
          <w:snapToGrid w:val="0"/>
          <w:sz w:val="20"/>
        </w:rPr>
        <w:t xml:space="preserve"> (if any are available) prior to your travel. For details on available travel/roaming packs please refer to </w:t>
      </w:r>
      <w:hyperlink r:id="rId914" w:history="1">
        <w:r w:rsidRPr="00B8514B">
          <w:rPr>
            <w:rStyle w:val="Hyperlink"/>
            <w:i/>
            <w:snapToGrid w:val="0"/>
          </w:rPr>
          <w:t>Appendix Y</w:t>
        </w:r>
      </w:hyperlink>
      <w:r>
        <w:rPr>
          <w:rFonts w:ascii="Arial" w:hAnsi="Arial" w:cs="Arial"/>
          <w:snapToGrid w:val="0"/>
          <w:sz w:val="20"/>
        </w:rPr>
        <w:t>. Travel/roaming packs gives you a certain amount of standard national and international voice, SMS (MMS is excluded) plus data to use in Zone 1 countries per day. For list of countries see optus.com.au/biztravel</w:t>
      </w:r>
    </w:p>
    <w:p w14:paraId="06905C3A" w14:textId="77777777" w:rsidR="00DE32CC" w:rsidRDefault="00DE32CC" w:rsidP="00DE32CC">
      <w:pPr>
        <w:pStyle w:val="OptusH3"/>
        <w:tabs>
          <w:tab w:val="clear" w:pos="2127"/>
          <w:tab w:val="left" w:pos="567"/>
        </w:tabs>
        <w:spacing w:before="0" w:after="0"/>
        <w:ind w:left="709" w:firstLine="0"/>
        <w:rPr>
          <w:rFonts w:ascii="Arial" w:hAnsi="Arial" w:cs="Arial"/>
          <w:snapToGrid w:val="0"/>
          <w:sz w:val="20"/>
        </w:rPr>
      </w:pPr>
    </w:p>
    <w:p w14:paraId="6B2ED68A" w14:textId="77777777" w:rsidR="00DE32CC" w:rsidRDefault="00DE32CC" w:rsidP="00DE32CC">
      <w:pPr>
        <w:pStyle w:val="BodyText"/>
        <w:ind w:left="720"/>
      </w:pPr>
      <w:r>
        <w:t>If you are not in a Zone 1 country you will be charged at standard roaming rates for that</w:t>
      </w:r>
      <w:hyperlink r:id="rId915" w:history="1">
        <w:r w:rsidRPr="00ED2FB5">
          <w:rPr>
            <w:rStyle w:val="Hyperlink"/>
          </w:rPr>
          <w:t xml:space="preserve"> country</w:t>
        </w:r>
      </w:hyperlink>
      <w:r>
        <w:t>.</w:t>
      </w:r>
    </w:p>
    <w:p w14:paraId="7EE9522F" w14:textId="77777777" w:rsidR="00DE32CC" w:rsidRDefault="00DE32CC" w:rsidP="00DE32CC">
      <w:pPr>
        <w:pStyle w:val="BodyText"/>
        <w:ind w:left="720"/>
      </w:pPr>
      <w:r>
        <w:t xml:space="preserve">If you connect after 28 November 2018 Optus Travel Packs for $5 a day will not be available. Please visit optus,com.au/biztravel for details of standard roaming rates and options. </w:t>
      </w:r>
    </w:p>
    <w:p w14:paraId="5802BE33" w14:textId="77777777" w:rsidR="00DE32CC" w:rsidRPr="00811748" w:rsidRDefault="00DE32CC" w:rsidP="00DE32CC">
      <w:pPr>
        <w:pStyle w:val="BodyText"/>
        <w:ind w:left="720"/>
      </w:pPr>
      <w:r>
        <w:rPr>
          <w:b/>
          <w:lang w:val="en-AU"/>
        </w:rPr>
        <w:t>Table 1 – Plan Inclusions and Charges</w:t>
      </w:r>
    </w:p>
    <w:tbl>
      <w:tblPr>
        <w:tblW w:w="11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88"/>
        <w:gridCol w:w="1488"/>
        <w:gridCol w:w="1489"/>
        <w:gridCol w:w="1488"/>
        <w:gridCol w:w="1488"/>
        <w:gridCol w:w="1489"/>
      </w:tblGrid>
      <w:tr w:rsidR="00DE32CC" w14:paraId="768D8714" w14:textId="77777777" w:rsidTr="00DE32CC">
        <w:trPr>
          <w:jc w:val="center"/>
        </w:trPr>
        <w:tc>
          <w:tcPr>
            <w:tcW w:w="2127" w:type="dxa"/>
            <w:tcBorders>
              <w:top w:val="single" w:sz="4" w:space="0" w:color="auto"/>
              <w:left w:val="single" w:sz="4" w:space="0" w:color="auto"/>
              <w:bottom w:val="single" w:sz="4" w:space="0" w:color="auto"/>
              <w:right w:val="single" w:sz="4" w:space="0" w:color="auto"/>
            </w:tcBorders>
          </w:tcPr>
          <w:p w14:paraId="7C477E5E" w14:textId="77777777" w:rsidR="00DE32CC" w:rsidRDefault="00DE32CC" w:rsidP="00DE32CC">
            <w:pPr>
              <w:pStyle w:val="BodyText"/>
              <w:keepNext/>
              <w:spacing w:before="100" w:after="100"/>
            </w:pPr>
          </w:p>
        </w:tc>
        <w:tc>
          <w:tcPr>
            <w:tcW w:w="1488" w:type="dxa"/>
            <w:tcBorders>
              <w:top w:val="single" w:sz="4" w:space="0" w:color="auto"/>
              <w:left w:val="single" w:sz="4" w:space="0" w:color="auto"/>
              <w:bottom w:val="single" w:sz="4" w:space="0" w:color="auto"/>
              <w:right w:val="single" w:sz="4" w:space="0" w:color="auto"/>
            </w:tcBorders>
            <w:vAlign w:val="center"/>
            <w:hideMark/>
          </w:tcPr>
          <w:p w14:paraId="5DC7E62A" w14:textId="77777777" w:rsidR="00DE32CC" w:rsidRDefault="00DE32CC" w:rsidP="00DE32CC">
            <w:pPr>
              <w:pStyle w:val="BodyText"/>
              <w:keepNext/>
              <w:spacing w:before="100" w:after="100"/>
              <w:jc w:val="center"/>
              <w:rPr>
                <w:b/>
              </w:rPr>
            </w:pPr>
            <w:r>
              <w:rPr>
                <w:b/>
              </w:rPr>
              <w:t xml:space="preserve">$45 Business Plus </w:t>
            </w:r>
            <w:r>
              <w:rPr>
                <w:b/>
                <w:snapToGrid w:val="0"/>
              </w:rPr>
              <w:t>Tech Fund</w:t>
            </w:r>
          </w:p>
        </w:tc>
        <w:tc>
          <w:tcPr>
            <w:tcW w:w="1488" w:type="dxa"/>
            <w:tcBorders>
              <w:top w:val="single" w:sz="4" w:space="0" w:color="auto"/>
              <w:left w:val="single" w:sz="4" w:space="0" w:color="auto"/>
              <w:bottom w:val="single" w:sz="4" w:space="0" w:color="auto"/>
              <w:right w:val="single" w:sz="4" w:space="0" w:color="auto"/>
            </w:tcBorders>
            <w:vAlign w:val="center"/>
            <w:hideMark/>
          </w:tcPr>
          <w:p w14:paraId="58D5C993" w14:textId="77777777" w:rsidR="00DE32CC" w:rsidRDefault="00DE32CC" w:rsidP="00DE32CC">
            <w:pPr>
              <w:pStyle w:val="BodyText"/>
              <w:keepNext/>
              <w:spacing w:before="100" w:after="100"/>
              <w:jc w:val="center"/>
              <w:rPr>
                <w:b/>
              </w:rPr>
            </w:pPr>
            <w:r>
              <w:rPr>
                <w:b/>
              </w:rPr>
              <w:t>$65 Business Plus</w:t>
            </w:r>
            <w:r>
              <w:rPr>
                <w:b/>
                <w:snapToGrid w:val="0"/>
              </w:rPr>
              <w:t xml:space="preserve"> Tech Fund</w:t>
            </w:r>
          </w:p>
        </w:tc>
        <w:tc>
          <w:tcPr>
            <w:tcW w:w="1489" w:type="dxa"/>
            <w:tcBorders>
              <w:top w:val="single" w:sz="4" w:space="0" w:color="auto"/>
              <w:left w:val="single" w:sz="4" w:space="0" w:color="auto"/>
              <w:bottom w:val="single" w:sz="4" w:space="0" w:color="auto"/>
              <w:right w:val="single" w:sz="4" w:space="0" w:color="auto"/>
            </w:tcBorders>
            <w:vAlign w:val="center"/>
            <w:hideMark/>
          </w:tcPr>
          <w:p w14:paraId="1CA2F0F5" w14:textId="77777777" w:rsidR="00DE32CC" w:rsidRDefault="00DE32CC" w:rsidP="00DE32CC">
            <w:pPr>
              <w:pStyle w:val="BodyText"/>
              <w:keepNext/>
              <w:spacing w:before="100" w:after="100"/>
              <w:jc w:val="center"/>
              <w:rPr>
                <w:b/>
              </w:rPr>
            </w:pPr>
            <w:r>
              <w:rPr>
                <w:b/>
              </w:rPr>
              <w:t>$85 Business Plus</w:t>
            </w:r>
            <w:r>
              <w:rPr>
                <w:b/>
                <w:snapToGrid w:val="0"/>
              </w:rPr>
              <w:t xml:space="preserve"> Tech Fund</w:t>
            </w:r>
          </w:p>
        </w:tc>
        <w:tc>
          <w:tcPr>
            <w:tcW w:w="1488" w:type="dxa"/>
            <w:tcBorders>
              <w:top w:val="single" w:sz="4" w:space="0" w:color="auto"/>
              <w:left w:val="single" w:sz="4" w:space="0" w:color="auto"/>
              <w:bottom w:val="single" w:sz="4" w:space="0" w:color="auto"/>
              <w:right w:val="single" w:sz="4" w:space="0" w:color="auto"/>
            </w:tcBorders>
            <w:vAlign w:val="center"/>
            <w:hideMark/>
          </w:tcPr>
          <w:p w14:paraId="3202B7B4" w14:textId="77777777" w:rsidR="00DE32CC" w:rsidRDefault="00DE32CC" w:rsidP="00DE32CC">
            <w:pPr>
              <w:pStyle w:val="BodyText"/>
              <w:keepNext/>
              <w:spacing w:before="100" w:after="100"/>
              <w:jc w:val="center"/>
              <w:rPr>
                <w:b/>
              </w:rPr>
            </w:pPr>
            <w:r>
              <w:rPr>
                <w:b/>
              </w:rPr>
              <w:t>$105 Business Plus Tech Fund</w:t>
            </w:r>
          </w:p>
        </w:tc>
        <w:tc>
          <w:tcPr>
            <w:tcW w:w="1488" w:type="dxa"/>
            <w:tcBorders>
              <w:top w:val="single" w:sz="4" w:space="0" w:color="auto"/>
              <w:left w:val="single" w:sz="4" w:space="0" w:color="auto"/>
              <w:bottom w:val="single" w:sz="4" w:space="0" w:color="auto"/>
              <w:right w:val="single" w:sz="4" w:space="0" w:color="auto"/>
            </w:tcBorders>
            <w:vAlign w:val="center"/>
            <w:hideMark/>
          </w:tcPr>
          <w:p w14:paraId="2D4E3FEB" w14:textId="77777777" w:rsidR="00DE32CC" w:rsidRDefault="00DE32CC" w:rsidP="00DE32CC">
            <w:pPr>
              <w:pStyle w:val="BodyText"/>
              <w:keepNext/>
              <w:spacing w:before="100" w:after="100"/>
              <w:jc w:val="center"/>
              <w:rPr>
                <w:b/>
              </w:rPr>
            </w:pPr>
            <w:r>
              <w:rPr>
                <w:b/>
              </w:rPr>
              <w:t>$125 Business Plus Tech Fund</w:t>
            </w:r>
          </w:p>
        </w:tc>
        <w:tc>
          <w:tcPr>
            <w:tcW w:w="1489" w:type="dxa"/>
            <w:tcBorders>
              <w:top w:val="single" w:sz="4" w:space="0" w:color="auto"/>
              <w:left w:val="single" w:sz="4" w:space="0" w:color="auto"/>
              <w:bottom w:val="single" w:sz="4" w:space="0" w:color="auto"/>
              <w:right w:val="single" w:sz="4" w:space="0" w:color="auto"/>
            </w:tcBorders>
            <w:hideMark/>
          </w:tcPr>
          <w:p w14:paraId="2DF6F7CF" w14:textId="77777777" w:rsidR="00DE32CC" w:rsidRDefault="00DE32CC" w:rsidP="00DE32CC">
            <w:pPr>
              <w:pStyle w:val="BodyText"/>
              <w:keepNext/>
              <w:spacing w:before="100" w:after="100"/>
              <w:jc w:val="center"/>
              <w:rPr>
                <w:b/>
              </w:rPr>
            </w:pPr>
            <w:r>
              <w:rPr>
                <w:b/>
              </w:rPr>
              <w:t>$145 Business Plus Tech Fund</w:t>
            </w:r>
          </w:p>
        </w:tc>
      </w:tr>
      <w:tr w:rsidR="00DE32CC" w14:paraId="1363741D" w14:textId="77777777" w:rsidTr="00DE32CC">
        <w:trPr>
          <w:jc w:val="center"/>
        </w:trPr>
        <w:tc>
          <w:tcPr>
            <w:tcW w:w="2127" w:type="dxa"/>
            <w:tcBorders>
              <w:top w:val="single" w:sz="4" w:space="0" w:color="auto"/>
              <w:left w:val="single" w:sz="4" w:space="0" w:color="auto"/>
              <w:bottom w:val="single" w:sz="4" w:space="0" w:color="auto"/>
              <w:right w:val="single" w:sz="4" w:space="0" w:color="auto"/>
            </w:tcBorders>
          </w:tcPr>
          <w:p w14:paraId="2E840407" w14:textId="77777777" w:rsidR="00DE32CC" w:rsidRPr="00F65B5B" w:rsidRDefault="00DE32CC" w:rsidP="00DE32CC">
            <w:pPr>
              <w:pStyle w:val="BodyText"/>
              <w:keepNext/>
              <w:spacing w:before="100" w:after="100"/>
              <w:rPr>
                <w:rFonts w:cs="Arial"/>
                <w:sz w:val="16"/>
                <w:szCs w:val="16"/>
              </w:rPr>
            </w:pPr>
            <w:r w:rsidRPr="00F65B5B">
              <w:rPr>
                <w:rFonts w:cs="Arial"/>
                <w:b/>
                <w:bCs/>
                <w:sz w:val="16"/>
                <w:szCs w:val="16"/>
                <w:lang w:eastAsia="en-AU"/>
              </w:rPr>
              <w:t>Minimum Monthly charge</w:t>
            </w:r>
          </w:p>
        </w:tc>
        <w:tc>
          <w:tcPr>
            <w:tcW w:w="1488" w:type="dxa"/>
            <w:tcBorders>
              <w:top w:val="single" w:sz="4" w:space="0" w:color="auto"/>
              <w:left w:val="single" w:sz="4" w:space="0" w:color="auto"/>
              <w:bottom w:val="single" w:sz="4" w:space="0" w:color="auto"/>
              <w:right w:val="single" w:sz="4" w:space="0" w:color="auto"/>
            </w:tcBorders>
            <w:vAlign w:val="center"/>
          </w:tcPr>
          <w:p w14:paraId="199B3A77"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$45</w:t>
            </w:r>
          </w:p>
        </w:tc>
        <w:tc>
          <w:tcPr>
            <w:tcW w:w="1488" w:type="dxa"/>
            <w:tcBorders>
              <w:top w:val="single" w:sz="4" w:space="0" w:color="auto"/>
              <w:left w:val="single" w:sz="4" w:space="0" w:color="auto"/>
              <w:bottom w:val="single" w:sz="4" w:space="0" w:color="auto"/>
              <w:right w:val="single" w:sz="4" w:space="0" w:color="auto"/>
            </w:tcBorders>
            <w:vAlign w:val="center"/>
          </w:tcPr>
          <w:p w14:paraId="731EAA5D"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$65</w:t>
            </w:r>
          </w:p>
        </w:tc>
        <w:tc>
          <w:tcPr>
            <w:tcW w:w="1489" w:type="dxa"/>
            <w:tcBorders>
              <w:top w:val="single" w:sz="4" w:space="0" w:color="auto"/>
              <w:left w:val="single" w:sz="4" w:space="0" w:color="auto"/>
              <w:bottom w:val="single" w:sz="4" w:space="0" w:color="auto"/>
              <w:right w:val="single" w:sz="4" w:space="0" w:color="auto"/>
            </w:tcBorders>
            <w:vAlign w:val="center"/>
          </w:tcPr>
          <w:p w14:paraId="7A7AA865"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$85</w:t>
            </w:r>
          </w:p>
        </w:tc>
        <w:tc>
          <w:tcPr>
            <w:tcW w:w="1488" w:type="dxa"/>
            <w:tcBorders>
              <w:top w:val="single" w:sz="4" w:space="0" w:color="auto"/>
              <w:left w:val="single" w:sz="4" w:space="0" w:color="auto"/>
              <w:bottom w:val="single" w:sz="4" w:space="0" w:color="auto"/>
              <w:right w:val="single" w:sz="4" w:space="0" w:color="auto"/>
            </w:tcBorders>
            <w:vAlign w:val="center"/>
          </w:tcPr>
          <w:p w14:paraId="4E9B1936"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$10</w:t>
            </w:r>
            <w:r>
              <w:rPr>
                <w:rFonts w:cs="Arial"/>
                <w:sz w:val="16"/>
                <w:szCs w:val="16"/>
              </w:rPr>
              <w:t>5</w:t>
            </w:r>
          </w:p>
        </w:tc>
        <w:tc>
          <w:tcPr>
            <w:tcW w:w="1488" w:type="dxa"/>
            <w:tcBorders>
              <w:top w:val="single" w:sz="4" w:space="0" w:color="auto"/>
              <w:left w:val="single" w:sz="4" w:space="0" w:color="auto"/>
              <w:bottom w:val="single" w:sz="4" w:space="0" w:color="auto"/>
              <w:right w:val="single" w:sz="4" w:space="0" w:color="auto"/>
            </w:tcBorders>
            <w:vAlign w:val="center"/>
          </w:tcPr>
          <w:p w14:paraId="2F230376"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$12</w:t>
            </w:r>
            <w:r>
              <w:rPr>
                <w:rFonts w:cs="Arial"/>
                <w:sz w:val="16"/>
                <w:szCs w:val="16"/>
              </w:rPr>
              <w:t>5</w:t>
            </w:r>
          </w:p>
        </w:tc>
        <w:tc>
          <w:tcPr>
            <w:tcW w:w="1489" w:type="dxa"/>
            <w:tcBorders>
              <w:top w:val="single" w:sz="4" w:space="0" w:color="auto"/>
              <w:left w:val="single" w:sz="4" w:space="0" w:color="auto"/>
              <w:bottom w:val="single" w:sz="4" w:space="0" w:color="auto"/>
              <w:right w:val="single" w:sz="4" w:space="0" w:color="auto"/>
            </w:tcBorders>
            <w:vAlign w:val="center"/>
          </w:tcPr>
          <w:p w14:paraId="6D488D59"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$14</w:t>
            </w:r>
            <w:r>
              <w:rPr>
                <w:rFonts w:cs="Arial"/>
                <w:sz w:val="16"/>
                <w:szCs w:val="16"/>
              </w:rPr>
              <w:t>5</w:t>
            </w:r>
          </w:p>
        </w:tc>
      </w:tr>
      <w:tr w:rsidR="00DE32CC" w14:paraId="76F8011A" w14:textId="77777777" w:rsidTr="00DE32CC">
        <w:trPr>
          <w:jc w:val="center"/>
        </w:trPr>
        <w:tc>
          <w:tcPr>
            <w:tcW w:w="2127" w:type="dxa"/>
            <w:tcBorders>
              <w:top w:val="single" w:sz="4" w:space="0" w:color="auto"/>
              <w:left w:val="single" w:sz="4" w:space="0" w:color="auto"/>
              <w:bottom w:val="single" w:sz="4" w:space="0" w:color="auto"/>
              <w:right w:val="single" w:sz="4" w:space="0" w:color="auto"/>
            </w:tcBorders>
          </w:tcPr>
          <w:p w14:paraId="696A3BD9" w14:textId="77777777" w:rsidR="00DE32CC" w:rsidRDefault="00DE32CC" w:rsidP="00DE32CC">
            <w:pPr>
              <w:pStyle w:val="BodyText"/>
              <w:keepNext/>
              <w:spacing w:before="100" w:after="100"/>
              <w:rPr>
                <w:rFonts w:cs="Arial"/>
                <w:b/>
                <w:bCs/>
                <w:sz w:val="16"/>
                <w:szCs w:val="16"/>
                <w:lang w:eastAsia="en-AU"/>
              </w:rPr>
            </w:pPr>
            <w:r w:rsidRPr="00F65B5B">
              <w:rPr>
                <w:rFonts w:cs="Arial"/>
                <w:b/>
                <w:bCs/>
                <w:sz w:val="16"/>
                <w:szCs w:val="16"/>
                <w:lang w:eastAsia="en-AU"/>
              </w:rPr>
              <w:t>Tech Fund Amount</w:t>
            </w:r>
          </w:p>
          <w:p w14:paraId="2B86E054" w14:textId="77777777" w:rsidR="00DE32CC" w:rsidRPr="00E00B4A" w:rsidRDefault="00DE32CC" w:rsidP="00DE32CC">
            <w:pPr>
              <w:pStyle w:val="BodyText"/>
              <w:keepNext/>
              <w:spacing w:before="100" w:after="100"/>
              <w:rPr>
                <w:rFonts w:cs="Arial"/>
                <w:sz w:val="16"/>
                <w:szCs w:val="16"/>
                <w:lang w:eastAsia="en-AU"/>
              </w:rPr>
            </w:pPr>
            <w:r w:rsidRPr="00E00B4A">
              <w:rPr>
                <w:rFonts w:cs="Arial"/>
                <w:sz w:val="16"/>
                <w:szCs w:val="16"/>
                <w:lang w:eastAsia="en-AU"/>
              </w:rPr>
              <w:t>From 6/8/18 to 9/10/19</w:t>
            </w:r>
          </w:p>
        </w:tc>
        <w:tc>
          <w:tcPr>
            <w:tcW w:w="1488" w:type="dxa"/>
            <w:tcBorders>
              <w:top w:val="single" w:sz="4" w:space="0" w:color="auto"/>
              <w:left w:val="single" w:sz="4" w:space="0" w:color="auto"/>
              <w:bottom w:val="single" w:sz="4" w:space="0" w:color="auto"/>
              <w:right w:val="single" w:sz="4" w:space="0" w:color="auto"/>
            </w:tcBorders>
            <w:vAlign w:val="center"/>
          </w:tcPr>
          <w:p w14:paraId="7058D0F4"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$380</w:t>
            </w:r>
          </w:p>
        </w:tc>
        <w:tc>
          <w:tcPr>
            <w:tcW w:w="1488" w:type="dxa"/>
            <w:tcBorders>
              <w:top w:val="single" w:sz="4" w:space="0" w:color="auto"/>
              <w:left w:val="single" w:sz="4" w:space="0" w:color="auto"/>
              <w:bottom w:val="single" w:sz="4" w:space="0" w:color="auto"/>
              <w:right w:val="single" w:sz="4" w:space="0" w:color="auto"/>
            </w:tcBorders>
            <w:vAlign w:val="center"/>
          </w:tcPr>
          <w:p w14:paraId="1A5503B3"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$590</w:t>
            </w:r>
          </w:p>
        </w:tc>
        <w:tc>
          <w:tcPr>
            <w:tcW w:w="1489" w:type="dxa"/>
            <w:tcBorders>
              <w:top w:val="single" w:sz="4" w:space="0" w:color="auto"/>
              <w:left w:val="single" w:sz="4" w:space="0" w:color="auto"/>
              <w:bottom w:val="single" w:sz="4" w:space="0" w:color="auto"/>
              <w:right w:val="single" w:sz="4" w:space="0" w:color="auto"/>
            </w:tcBorders>
            <w:vAlign w:val="center"/>
          </w:tcPr>
          <w:p w14:paraId="4A7BA299"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$880</w:t>
            </w:r>
          </w:p>
        </w:tc>
        <w:tc>
          <w:tcPr>
            <w:tcW w:w="1488" w:type="dxa"/>
            <w:tcBorders>
              <w:top w:val="single" w:sz="4" w:space="0" w:color="auto"/>
              <w:left w:val="single" w:sz="4" w:space="0" w:color="auto"/>
              <w:bottom w:val="single" w:sz="4" w:space="0" w:color="auto"/>
              <w:right w:val="single" w:sz="4" w:space="0" w:color="auto"/>
            </w:tcBorders>
            <w:vAlign w:val="center"/>
          </w:tcPr>
          <w:p w14:paraId="0419A6BF"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$1,100</w:t>
            </w:r>
          </w:p>
        </w:tc>
        <w:tc>
          <w:tcPr>
            <w:tcW w:w="1488" w:type="dxa"/>
            <w:tcBorders>
              <w:top w:val="single" w:sz="4" w:space="0" w:color="auto"/>
              <w:left w:val="single" w:sz="4" w:space="0" w:color="auto"/>
              <w:bottom w:val="single" w:sz="4" w:space="0" w:color="auto"/>
              <w:right w:val="single" w:sz="4" w:space="0" w:color="auto"/>
            </w:tcBorders>
            <w:vAlign w:val="center"/>
          </w:tcPr>
          <w:p w14:paraId="671E94B9"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$1,320</w:t>
            </w:r>
          </w:p>
        </w:tc>
        <w:tc>
          <w:tcPr>
            <w:tcW w:w="1489" w:type="dxa"/>
            <w:tcBorders>
              <w:top w:val="single" w:sz="4" w:space="0" w:color="auto"/>
              <w:left w:val="single" w:sz="4" w:space="0" w:color="auto"/>
              <w:bottom w:val="single" w:sz="4" w:space="0" w:color="auto"/>
              <w:right w:val="single" w:sz="4" w:space="0" w:color="auto"/>
            </w:tcBorders>
            <w:vAlign w:val="center"/>
          </w:tcPr>
          <w:p w14:paraId="1B3C64E9"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$1,580</w:t>
            </w:r>
          </w:p>
        </w:tc>
      </w:tr>
      <w:tr w:rsidR="00DE32CC" w14:paraId="0301C5FC" w14:textId="77777777" w:rsidTr="00DE32CC">
        <w:trPr>
          <w:jc w:val="center"/>
        </w:trPr>
        <w:tc>
          <w:tcPr>
            <w:tcW w:w="2127" w:type="dxa"/>
            <w:tcBorders>
              <w:top w:val="single" w:sz="4" w:space="0" w:color="auto"/>
              <w:left w:val="single" w:sz="4" w:space="0" w:color="auto"/>
              <w:bottom w:val="single" w:sz="4" w:space="0" w:color="auto"/>
              <w:right w:val="single" w:sz="4" w:space="0" w:color="auto"/>
            </w:tcBorders>
          </w:tcPr>
          <w:p w14:paraId="234F4712" w14:textId="77777777" w:rsidR="00DE32CC" w:rsidRDefault="00DE32CC" w:rsidP="00DE32CC">
            <w:pPr>
              <w:pStyle w:val="BodyText"/>
              <w:keepNext/>
              <w:spacing w:before="100" w:after="100"/>
              <w:rPr>
                <w:rFonts w:cs="Arial"/>
                <w:b/>
                <w:bCs/>
                <w:sz w:val="16"/>
                <w:szCs w:val="16"/>
                <w:lang w:eastAsia="en-AU"/>
              </w:rPr>
            </w:pPr>
            <w:r w:rsidRPr="00F65B5B">
              <w:rPr>
                <w:rFonts w:cs="Arial"/>
                <w:b/>
                <w:bCs/>
                <w:sz w:val="16"/>
                <w:szCs w:val="16"/>
                <w:lang w:eastAsia="en-AU"/>
              </w:rPr>
              <w:t>Tech Fund Amount</w:t>
            </w:r>
          </w:p>
          <w:p w14:paraId="3366447F" w14:textId="77777777" w:rsidR="00DE32CC" w:rsidRPr="00F65B5B" w:rsidRDefault="00DE32CC" w:rsidP="00DE32CC">
            <w:pPr>
              <w:pStyle w:val="BodyText"/>
              <w:keepNext/>
              <w:spacing w:before="100" w:after="100"/>
              <w:rPr>
                <w:rFonts w:cs="Arial"/>
                <w:b/>
                <w:bCs/>
                <w:sz w:val="16"/>
                <w:szCs w:val="16"/>
                <w:lang w:eastAsia="en-AU"/>
              </w:rPr>
            </w:pPr>
            <w:r w:rsidRPr="00BE73B4">
              <w:rPr>
                <w:rFonts w:cs="Arial"/>
                <w:sz w:val="16"/>
                <w:szCs w:val="16"/>
                <w:lang w:eastAsia="en-AU"/>
              </w:rPr>
              <w:t xml:space="preserve">From </w:t>
            </w:r>
            <w:r>
              <w:rPr>
                <w:rFonts w:cs="Arial"/>
                <w:sz w:val="16"/>
                <w:szCs w:val="16"/>
                <w:lang w:eastAsia="en-AU"/>
              </w:rPr>
              <w:t>10</w:t>
            </w:r>
            <w:r w:rsidRPr="00BE73B4">
              <w:rPr>
                <w:rFonts w:cs="Arial"/>
                <w:sz w:val="16"/>
                <w:szCs w:val="16"/>
                <w:lang w:eastAsia="en-AU"/>
              </w:rPr>
              <w:t>/10/19</w:t>
            </w:r>
          </w:p>
        </w:tc>
        <w:tc>
          <w:tcPr>
            <w:tcW w:w="1488" w:type="dxa"/>
            <w:tcBorders>
              <w:top w:val="single" w:sz="4" w:space="0" w:color="auto"/>
              <w:left w:val="single" w:sz="4" w:space="0" w:color="auto"/>
              <w:bottom w:val="single" w:sz="4" w:space="0" w:color="auto"/>
              <w:right w:val="single" w:sz="4" w:space="0" w:color="auto"/>
            </w:tcBorders>
            <w:vAlign w:val="center"/>
          </w:tcPr>
          <w:p w14:paraId="755E967F"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$3</w:t>
            </w:r>
            <w:r>
              <w:rPr>
                <w:rFonts w:cs="Arial"/>
                <w:sz w:val="16"/>
                <w:szCs w:val="16"/>
              </w:rPr>
              <w:t>0</w:t>
            </w:r>
            <w:r w:rsidRPr="00F65B5B">
              <w:rPr>
                <w:rFonts w:cs="Arial"/>
                <w:sz w:val="16"/>
                <w:szCs w:val="16"/>
              </w:rPr>
              <w:t>0</w:t>
            </w:r>
          </w:p>
        </w:tc>
        <w:tc>
          <w:tcPr>
            <w:tcW w:w="1488" w:type="dxa"/>
            <w:tcBorders>
              <w:top w:val="single" w:sz="4" w:space="0" w:color="auto"/>
              <w:left w:val="single" w:sz="4" w:space="0" w:color="auto"/>
              <w:bottom w:val="single" w:sz="4" w:space="0" w:color="auto"/>
              <w:right w:val="single" w:sz="4" w:space="0" w:color="auto"/>
            </w:tcBorders>
            <w:vAlign w:val="center"/>
          </w:tcPr>
          <w:p w14:paraId="48C08896"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$5</w:t>
            </w:r>
            <w:r>
              <w:rPr>
                <w:rFonts w:cs="Arial"/>
                <w:sz w:val="16"/>
                <w:szCs w:val="16"/>
              </w:rPr>
              <w:t>5</w:t>
            </w:r>
            <w:r w:rsidRPr="00F65B5B">
              <w:rPr>
                <w:rFonts w:cs="Arial"/>
                <w:sz w:val="16"/>
                <w:szCs w:val="16"/>
              </w:rPr>
              <w:t>0</w:t>
            </w:r>
          </w:p>
        </w:tc>
        <w:tc>
          <w:tcPr>
            <w:tcW w:w="1489" w:type="dxa"/>
            <w:tcBorders>
              <w:top w:val="single" w:sz="4" w:space="0" w:color="auto"/>
              <w:left w:val="single" w:sz="4" w:space="0" w:color="auto"/>
              <w:bottom w:val="single" w:sz="4" w:space="0" w:color="auto"/>
              <w:right w:val="single" w:sz="4" w:space="0" w:color="auto"/>
            </w:tcBorders>
            <w:vAlign w:val="center"/>
          </w:tcPr>
          <w:p w14:paraId="1D44C57A"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$8</w:t>
            </w:r>
            <w:r>
              <w:rPr>
                <w:rFonts w:cs="Arial"/>
                <w:sz w:val="16"/>
                <w:szCs w:val="16"/>
              </w:rPr>
              <w:t>0</w:t>
            </w:r>
            <w:r w:rsidRPr="00F65B5B">
              <w:rPr>
                <w:rFonts w:cs="Arial"/>
                <w:sz w:val="16"/>
                <w:szCs w:val="16"/>
              </w:rPr>
              <w:t>0</w:t>
            </w:r>
          </w:p>
        </w:tc>
        <w:tc>
          <w:tcPr>
            <w:tcW w:w="1488" w:type="dxa"/>
            <w:tcBorders>
              <w:top w:val="single" w:sz="4" w:space="0" w:color="auto"/>
              <w:left w:val="single" w:sz="4" w:space="0" w:color="auto"/>
              <w:bottom w:val="single" w:sz="4" w:space="0" w:color="auto"/>
              <w:right w:val="single" w:sz="4" w:space="0" w:color="auto"/>
            </w:tcBorders>
            <w:vAlign w:val="center"/>
          </w:tcPr>
          <w:p w14:paraId="72588AC5"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$1,</w:t>
            </w:r>
            <w:r>
              <w:rPr>
                <w:rFonts w:cs="Arial"/>
                <w:sz w:val="16"/>
                <w:szCs w:val="16"/>
              </w:rPr>
              <w:t>0</w:t>
            </w:r>
            <w:r w:rsidRPr="00F65B5B">
              <w:rPr>
                <w:rFonts w:cs="Arial"/>
                <w:sz w:val="16"/>
                <w:szCs w:val="16"/>
              </w:rPr>
              <w:t>00</w:t>
            </w:r>
          </w:p>
        </w:tc>
        <w:tc>
          <w:tcPr>
            <w:tcW w:w="1488" w:type="dxa"/>
            <w:tcBorders>
              <w:top w:val="single" w:sz="4" w:space="0" w:color="auto"/>
              <w:left w:val="single" w:sz="4" w:space="0" w:color="auto"/>
              <w:bottom w:val="single" w:sz="4" w:space="0" w:color="auto"/>
              <w:right w:val="single" w:sz="4" w:space="0" w:color="auto"/>
            </w:tcBorders>
            <w:vAlign w:val="center"/>
          </w:tcPr>
          <w:p w14:paraId="49D0A346"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$1,</w:t>
            </w:r>
            <w:r>
              <w:rPr>
                <w:rFonts w:cs="Arial"/>
                <w:sz w:val="16"/>
                <w:szCs w:val="16"/>
              </w:rPr>
              <w:t>32</w:t>
            </w:r>
            <w:r w:rsidRPr="00F65B5B">
              <w:rPr>
                <w:rFonts w:cs="Arial"/>
                <w:sz w:val="16"/>
                <w:szCs w:val="16"/>
              </w:rPr>
              <w:t>0</w:t>
            </w:r>
          </w:p>
        </w:tc>
        <w:tc>
          <w:tcPr>
            <w:tcW w:w="1489" w:type="dxa"/>
            <w:tcBorders>
              <w:top w:val="single" w:sz="4" w:space="0" w:color="auto"/>
              <w:left w:val="single" w:sz="4" w:space="0" w:color="auto"/>
              <w:bottom w:val="single" w:sz="4" w:space="0" w:color="auto"/>
              <w:right w:val="single" w:sz="4" w:space="0" w:color="auto"/>
            </w:tcBorders>
            <w:vAlign w:val="center"/>
          </w:tcPr>
          <w:p w14:paraId="64148A12"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$1,580</w:t>
            </w:r>
          </w:p>
        </w:tc>
      </w:tr>
      <w:tr w:rsidR="00DE32CC" w14:paraId="34BE013A" w14:textId="77777777" w:rsidTr="00DE32CC">
        <w:trPr>
          <w:jc w:val="center"/>
        </w:trPr>
        <w:tc>
          <w:tcPr>
            <w:tcW w:w="2127" w:type="dxa"/>
            <w:tcBorders>
              <w:top w:val="single" w:sz="4" w:space="0" w:color="auto"/>
              <w:left w:val="single" w:sz="4" w:space="0" w:color="auto"/>
              <w:bottom w:val="single" w:sz="4" w:space="0" w:color="auto"/>
              <w:right w:val="single" w:sz="4" w:space="0" w:color="auto"/>
            </w:tcBorders>
          </w:tcPr>
          <w:p w14:paraId="7615082B" w14:textId="77777777" w:rsidR="00DE32CC" w:rsidRPr="00F65B5B" w:rsidRDefault="00DE32CC" w:rsidP="00DE32CC">
            <w:pPr>
              <w:pStyle w:val="BodyText"/>
              <w:keepNext/>
              <w:spacing w:before="100" w:after="100"/>
              <w:rPr>
                <w:rFonts w:cs="Arial"/>
                <w:sz w:val="16"/>
                <w:szCs w:val="16"/>
              </w:rPr>
            </w:pPr>
            <w:r w:rsidRPr="00F65B5B">
              <w:rPr>
                <w:rFonts w:cs="Arial"/>
                <w:b/>
                <w:bCs/>
                <w:sz w:val="16"/>
                <w:szCs w:val="16"/>
                <w:lang w:eastAsia="en-AU"/>
              </w:rPr>
              <w:t>Included Data</w:t>
            </w:r>
          </w:p>
        </w:tc>
        <w:tc>
          <w:tcPr>
            <w:tcW w:w="1488" w:type="dxa"/>
            <w:tcBorders>
              <w:top w:val="single" w:sz="4" w:space="0" w:color="auto"/>
              <w:left w:val="single" w:sz="4" w:space="0" w:color="auto"/>
              <w:bottom w:val="single" w:sz="4" w:space="0" w:color="auto"/>
              <w:right w:val="single" w:sz="4" w:space="0" w:color="auto"/>
            </w:tcBorders>
            <w:vAlign w:val="center"/>
          </w:tcPr>
          <w:p w14:paraId="1FE75F99" w14:textId="77777777" w:rsidR="00DE32CC" w:rsidRPr="00F65B5B" w:rsidRDefault="00DE32CC" w:rsidP="00DE32CC">
            <w:pPr>
              <w:pStyle w:val="BodyText"/>
              <w:keepNext/>
              <w:spacing w:before="100" w:after="100"/>
              <w:jc w:val="center"/>
              <w:rPr>
                <w:rFonts w:cs="Arial"/>
                <w:sz w:val="16"/>
                <w:szCs w:val="16"/>
              </w:rPr>
            </w:pPr>
            <w:r>
              <w:rPr>
                <w:rFonts w:cs="Arial"/>
                <w:sz w:val="16"/>
                <w:szCs w:val="16"/>
              </w:rPr>
              <w:t>3</w:t>
            </w:r>
            <w:r w:rsidRPr="00F65B5B">
              <w:rPr>
                <w:rFonts w:cs="Arial"/>
                <w:sz w:val="16"/>
                <w:szCs w:val="16"/>
              </w:rPr>
              <w:t>GB</w:t>
            </w:r>
          </w:p>
        </w:tc>
        <w:tc>
          <w:tcPr>
            <w:tcW w:w="1488" w:type="dxa"/>
            <w:tcBorders>
              <w:top w:val="single" w:sz="4" w:space="0" w:color="auto"/>
              <w:left w:val="single" w:sz="4" w:space="0" w:color="auto"/>
              <w:bottom w:val="single" w:sz="4" w:space="0" w:color="auto"/>
              <w:right w:val="single" w:sz="4" w:space="0" w:color="auto"/>
            </w:tcBorders>
            <w:vAlign w:val="center"/>
          </w:tcPr>
          <w:p w14:paraId="0A4B3273" w14:textId="77777777" w:rsidR="00DE32CC" w:rsidRPr="00F65B5B" w:rsidRDefault="00DE32CC" w:rsidP="00DE32CC">
            <w:pPr>
              <w:pStyle w:val="BodyText"/>
              <w:keepNext/>
              <w:spacing w:before="100" w:after="100"/>
              <w:jc w:val="center"/>
              <w:rPr>
                <w:rFonts w:cs="Arial"/>
                <w:sz w:val="16"/>
                <w:szCs w:val="16"/>
              </w:rPr>
            </w:pPr>
            <w:r>
              <w:rPr>
                <w:rFonts w:cs="Arial"/>
                <w:sz w:val="16"/>
                <w:szCs w:val="16"/>
              </w:rPr>
              <w:t>10</w:t>
            </w:r>
            <w:r w:rsidRPr="00F65B5B">
              <w:rPr>
                <w:rFonts w:cs="Arial"/>
                <w:sz w:val="16"/>
                <w:szCs w:val="16"/>
              </w:rPr>
              <w:t>GB</w:t>
            </w:r>
          </w:p>
        </w:tc>
        <w:tc>
          <w:tcPr>
            <w:tcW w:w="1489" w:type="dxa"/>
            <w:tcBorders>
              <w:top w:val="single" w:sz="4" w:space="0" w:color="auto"/>
              <w:left w:val="single" w:sz="4" w:space="0" w:color="auto"/>
              <w:bottom w:val="single" w:sz="4" w:space="0" w:color="auto"/>
              <w:right w:val="single" w:sz="4" w:space="0" w:color="auto"/>
            </w:tcBorders>
            <w:vAlign w:val="center"/>
          </w:tcPr>
          <w:p w14:paraId="01DB0C4B"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2</w:t>
            </w:r>
            <w:r>
              <w:rPr>
                <w:rFonts w:cs="Arial"/>
                <w:sz w:val="16"/>
                <w:szCs w:val="16"/>
              </w:rPr>
              <w:t>5</w:t>
            </w:r>
            <w:r w:rsidRPr="00F65B5B">
              <w:rPr>
                <w:rFonts w:cs="Arial"/>
                <w:sz w:val="16"/>
                <w:szCs w:val="16"/>
              </w:rPr>
              <w:t>GB</w:t>
            </w:r>
          </w:p>
        </w:tc>
        <w:tc>
          <w:tcPr>
            <w:tcW w:w="1488" w:type="dxa"/>
            <w:tcBorders>
              <w:top w:val="single" w:sz="4" w:space="0" w:color="auto"/>
              <w:left w:val="single" w:sz="4" w:space="0" w:color="auto"/>
              <w:bottom w:val="single" w:sz="4" w:space="0" w:color="auto"/>
              <w:right w:val="single" w:sz="4" w:space="0" w:color="auto"/>
            </w:tcBorders>
            <w:vAlign w:val="center"/>
          </w:tcPr>
          <w:p w14:paraId="4B735AA8"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40GB</w:t>
            </w:r>
          </w:p>
        </w:tc>
        <w:tc>
          <w:tcPr>
            <w:tcW w:w="1488" w:type="dxa"/>
            <w:tcBorders>
              <w:top w:val="single" w:sz="4" w:space="0" w:color="auto"/>
              <w:left w:val="single" w:sz="4" w:space="0" w:color="auto"/>
              <w:bottom w:val="single" w:sz="4" w:space="0" w:color="auto"/>
              <w:right w:val="single" w:sz="4" w:space="0" w:color="auto"/>
            </w:tcBorders>
            <w:vAlign w:val="center"/>
          </w:tcPr>
          <w:p w14:paraId="2369CED4"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60GB</w:t>
            </w:r>
          </w:p>
        </w:tc>
        <w:tc>
          <w:tcPr>
            <w:tcW w:w="1489" w:type="dxa"/>
            <w:tcBorders>
              <w:top w:val="single" w:sz="4" w:space="0" w:color="auto"/>
              <w:left w:val="single" w:sz="4" w:space="0" w:color="auto"/>
              <w:bottom w:val="single" w:sz="4" w:space="0" w:color="auto"/>
              <w:right w:val="single" w:sz="4" w:space="0" w:color="auto"/>
            </w:tcBorders>
          </w:tcPr>
          <w:p w14:paraId="2D3065CC"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120GB</w:t>
            </w:r>
          </w:p>
        </w:tc>
      </w:tr>
      <w:tr w:rsidR="00DE32CC" w14:paraId="607EB965" w14:textId="77777777" w:rsidTr="00DE32CC">
        <w:trPr>
          <w:jc w:val="center"/>
        </w:trPr>
        <w:tc>
          <w:tcPr>
            <w:tcW w:w="2127" w:type="dxa"/>
            <w:tcBorders>
              <w:top w:val="single" w:sz="4" w:space="0" w:color="auto"/>
              <w:left w:val="single" w:sz="4" w:space="0" w:color="auto"/>
              <w:bottom w:val="single" w:sz="4" w:space="0" w:color="auto"/>
              <w:right w:val="single" w:sz="4" w:space="0" w:color="auto"/>
            </w:tcBorders>
            <w:hideMark/>
          </w:tcPr>
          <w:p w14:paraId="7841D7CC" w14:textId="77777777" w:rsidR="00DE32CC" w:rsidRPr="00F65B5B" w:rsidRDefault="00DE32CC" w:rsidP="00DE32CC">
            <w:pPr>
              <w:pStyle w:val="BodyText"/>
              <w:keepNext/>
              <w:spacing w:before="100" w:after="100"/>
              <w:rPr>
                <w:rFonts w:cs="Arial"/>
                <w:b/>
                <w:bCs/>
                <w:sz w:val="16"/>
                <w:szCs w:val="16"/>
                <w:lang w:eastAsia="en-AU"/>
              </w:rPr>
            </w:pPr>
            <w:r w:rsidRPr="00F65B5B">
              <w:rPr>
                <w:rFonts w:cs="Arial"/>
                <w:b/>
                <w:bCs/>
                <w:sz w:val="16"/>
                <w:szCs w:val="16"/>
                <w:lang w:eastAsia="en-AU"/>
              </w:rPr>
              <w:t>Additional Data</w:t>
            </w:r>
          </w:p>
        </w:tc>
        <w:tc>
          <w:tcPr>
            <w:tcW w:w="8930" w:type="dxa"/>
            <w:gridSpan w:val="6"/>
            <w:tcBorders>
              <w:top w:val="single" w:sz="4" w:space="0" w:color="auto"/>
              <w:left w:val="single" w:sz="4" w:space="0" w:color="auto"/>
              <w:bottom w:val="single" w:sz="4" w:space="0" w:color="auto"/>
              <w:right w:val="single" w:sz="4" w:space="0" w:color="auto"/>
            </w:tcBorders>
            <w:vAlign w:val="center"/>
            <w:hideMark/>
          </w:tcPr>
          <w:p w14:paraId="1100A320"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Additional Data $10 per 1GB</w:t>
            </w:r>
          </w:p>
        </w:tc>
      </w:tr>
      <w:tr w:rsidR="00DE32CC" w14:paraId="7B6CB419" w14:textId="77777777" w:rsidTr="00DE32CC">
        <w:trPr>
          <w:jc w:val="center"/>
        </w:trPr>
        <w:tc>
          <w:tcPr>
            <w:tcW w:w="2127" w:type="dxa"/>
            <w:tcBorders>
              <w:top w:val="single" w:sz="4" w:space="0" w:color="auto"/>
              <w:left w:val="single" w:sz="4" w:space="0" w:color="auto"/>
              <w:bottom w:val="single" w:sz="4" w:space="0" w:color="auto"/>
              <w:right w:val="single" w:sz="4" w:space="0" w:color="auto"/>
            </w:tcBorders>
            <w:hideMark/>
          </w:tcPr>
          <w:p w14:paraId="789B4F6C" w14:textId="77777777" w:rsidR="00DE32CC" w:rsidRPr="00F65B5B" w:rsidRDefault="00DE32CC" w:rsidP="00DE32CC">
            <w:pPr>
              <w:pStyle w:val="BodyText"/>
              <w:keepNext/>
              <w:spacing w:before="100" w:after="100"/>
              <w:rPr>
                <w:rFonts w:cs="Arial"/>
                <w:b/>
                <w:bCs/>
                <w:sz w:val="16"/>
                <w:szCs w:val="16"/>
                <w:lang w:eastAsia="en-AU"/>
              </w:rPr>
            </w:pPr>
            <w:r w:rsidRPr="00F65B5B">
              <w:rPr>
                <w:rFonts w:cs="Arial"/>
                <w:b/>
                <w:bCs/>
                <w:sz w:val="16"/>
                <w:szCs w:val="16"/>
                <w:lang w:eastAsia="en-AU"/>
              </w:rPr>
              <w:t xml:space="preserve">Included Minutes </w:t>
            </w:r>
            <w:r w:rsidRPr="00F65B5B">
              <w:rPr>
                <w:rFonts w:cs="Arial"/>
                <w:b/>
                <w:bCs/>
                <w:sz w:val="16"/>
                <w:szCs w:val="16"/>
                <w:lang w:eastAsia="en-AU"/>
              </w:rPr>
              <w:br/>
            </w:r>
            <w:r w:rsidRPr="00F65B5B">
              <w:rPr>
                <w:rFonts w:cs="Arial"/>
                <w:sz w:val="16"/>
                <w:szCs w:val="16"/>
                <w:lang w:eastAsia="en-AU"/>
              </w:rPr>
              <w:t>For standard national calls to landlines and mobiles, 1300 numbers and voicemail, within Australia</w:t>
            </w:r>
          </w:p>
        </w:tc>
        <w:tc>
          <w:tcPr>
            <w:tcW w:w="1488" w:type="dxa"/>
            <w:tcBorders>
              <w:top w:val="single" w:sz="4" w:space="0" w:color="auto"/>
              <w:left w:val="single" w:sz="4" w:space="0" w:color="auto"/>
              <w:bottom w:val="single" w:sz="4" w:space="0" w:color="auto"/>
              <w:right w:val="single" w:sz="4" w:space="0" w:color="auto"/>
            </w:tcBorders>
            <w:vAlign w:val="center"/>
            <w:hideMark/>
          </w:tcPr>
          <w:p w14:paraId="7942EC79"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Unlimited</w:t>
            </w:r>
          </w:p>
        </w:tc>
        <w:tc>
          <w:tcPr>
            <w:tcW w:w="1488" w:type="dxa"/>
            <w:tcBorders>
              <w:top w:val="single" w:sz="4" w:space="0" w:color="auto"/>
              <w:left w:val="single" w:sz="4" w:space="0" w:color="auto"/>
              <w:bottom w:val="single" w:sz="4" w:space="0" w:color="auto"/>
              <w:right w:val="single" w:sz="4" w:space="0" w:color="auto"/>
            </w:tcBorders>
            <w:vAlign w:val="center"/>
            <w:hideMark/>
          </w:tcPr>
          <w:p w14:paraId="1776E31B"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Unlimited</w:t>
            </w:r>
          </w:p>
        </w:tc>
        <w:tc>
          <w:tcPr>
            <w:tcW w:w="1489" w:type="dxa"/>
            <w:tcBorders>
              <w:top w:val="single" w:sz="4" w:space="0" w:color="auto"/>
              <w:left w:val="single" w:sz="4" w:space="0" w:color="auto"/>
              <w:bottom w:val="single" w:sz="4" w:space="0" w:color="auto"/>
              <w:right w:val="single" w:sz="4" w:space="0" w:color="auto"/>
            </w:tcBorders>
            <w:vAlign w:val="center"/>
            <w:hideMark/>
          </w:tcPr>
          <w:p w14:paraId="46F3541B"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Unlimited</w:t>
            </w:r>
          </w:p>
        </w:tc>
        <w:tc>
          <w:tcPr>
            <w:tcW w:w="1488" w:type="dxa"/>
            <w:tcBorders>
              <w:top w:val="single" w:sz="4" w:space="0" w:color="auto"/>
              <w:left w:val="single" w:sz="4" w:space="0" w:color="auto"/>
              <w:bottom w:val="single" w:sz="4" w:space="0" w:color="auto"/>
              <w:right w:val="single" w:sz="4" w:space="0" w:color="auto"/>
            </w:tcBorders>
            <w:vAlign w:val="center"/>
            <w:hideMark/>
          </w:tcPr>
          <w:p w14:paraId="7FEE6CB7"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Unlimited</w:t>
            </w:r>
          </w:p>
        </w:tc>
        <w:tc>
          <w:tcPr>
            <w:tcW w:w="1488" w:type="dxa"/>
            <w:tcBorders>
              <w:top w:val="single" w:sz="4" w:space="0" w:color="auto"/>
              <w:left w:val="single" w:sz="4" w:space="0" w:color="auto"/>
              <w:bottom w:val="single" w:sz="4" w:space="0" w:color="auto"/>
              <w:right w:val="single" w:sz="4" w:space="0" w:color="auto"/>
            </w:tcBorders>
            <w:vAlign w:val="center"/>
            <w:hideMark/>
          </w:tcPr>
          <w:p w14:paraId="78CDB1AC"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Unlimited</w:t>
            </w:r>
          </w:p>
        </w:tc>
        <w:tc>
          <w:tcPr>
            <w:tcW w:w="1489" w:type="dxa"/>
            <w:tcBorders>
              <w:top w:val="single" w:sz="4" w:space="0" w:color="auto"/>
              <w:left w:val="single" w:sz="4" w:space="0" w:color="auto"/>
              <w:bottom w:val="single" w:sz="4" w:space="0" w:color="auto"/>
              <w:right w:val="single" w:sz="4" w:space="0" w:color="auto"/>
            </w:tcBorders>
            <w:vAlign w:val="center"/>
            <w:hideMark/>
          </w:tcPr>
          <w:p w14:paraId="062603CE"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Unlimited</w:t>
            </w:r>
          </w:p>
        </w:tc>
      </w:tr>
      <w:tr w:rsidR="00DE32CC" w14:paraId="737782EF" w14:textId="77777777" w:rsidTr="00DE32CC">
        <w:trPr>
          <w:jc w:val="center"/>
        </w:trPr>
        <w:tc>
          <w:tcPr>
            <w:tcW w:w="2127" w:type="dxa"/>
            <w:tcBorders>
              <w:top w:val="single" w:sz="4" w:space="0" w:color="auto"/>
              <w:left w:val="single" w:sz="4" w:space="0" w:color="auto"/>
              <w:bottom w:val="single" w:sz="4" w:space="0" w:color="auto"/>
              <w:right w:val="single" w:sz="4" w:space="0" w:color="auto"/>
            </w:tcBorders>
            <w:hideMark/>
          </w:tcPr>
          <w:p w14:paraId="1446211D" w14:textId="77777777" w:rsidR="00DE32CC" w:rsidRPr="00F65B5B" w:rsidRDefault="00DE32CC" w:rsidP="00DE32CC">
            <w:pPr>
              <w:pStyle w:val="BodyText"/>
              <w:keepNext/>
              <w:spacing w:before="100" w:after="100"/>
              <w:rPr>
                <w:rFonts w:cs="Arial"/>
                <w:b/>
                <w:bCs/>
                <w:sz w:val="16"/>
                <w:szCs w:val="16"/>
                <w:lang w:eastAsia="en-AU"/>
              </w:rPr>
            </w:pPr>
            <w:r w:rsidRPr="00F65B5B">
              <w:rPr>
                <w:rFonts w:cs="Arial"/>
                <w:b/>
                <w:bCs/>
                <w:sz w:val="16"/>
                <w:szCs w:val="16"/>
                <w:lang w:eastAsia="en-AU"/>
              </w:rPr>
              <w:t>Included International Minutes</w:t>
            </w:r>
            <w:r w:rsidRPr="00F65B5B">
              <w:rPr>
                <w:rFonts w:cs="Arial"/>
                <w:b/>
                <w:bCs/>
                <w:sz w:val="16"/>
                <w:szCs w:val="16"/>
                <w:lang w:eastAsia="en-AU"/>
              </w:rPr>
              <w:br/>
            </w:r>
            <w:r w:rsidRPr="00F65B5B">
              <w:rPr>
                <w:rFonts w:cs="Arial"/>
                <w:sz w:val="16"/>
                <w:szCs w:val="16"/>
                <w:lang w:eastAsia="en-AU"/>
              </w:rPr>
              <w:t xml:space="preserve">Standard international calls to landlines and mobiles to selected countries </w:t>
            </w:r>
          </w:p>
        </w:tc>
        <w:tc>
          <w:tcPr>
            <w:tcW w:w="1488" w:type="dxa"/>
            <w:tcBorders>
              <w:top w:val="single" w:sz="4" w:space="0" w:color="auto"/>
              <w:left w:val="single" w:sz="4" w:space="0" w:color="auto"/>
              <w:bottom w:val="single" w:sz="4" w:space="0" w:color="auto"/>
              <w:right w:val="single" w:sz="4" w:space="0" w:color="auto"/>
            </w:tcBorders>
            <w:vAlign w:val="center"/>
          </w:tcPr>
          <w:p w14:paraId="61711D17" w14:textId="77777777" w:rsidR="00DE32CC" w:rsidRPr="00F65B5B" w:rsidRDefault="00DE32CC" w:rsidP="00DE32CC">
            <w:pPr>
              <w:pStyle w:val="BodyText"/>
              <w:keepNext/>
              <w:spacing w:before="100" w:after="100"/>
              <w:jc w:val="center"/>
              <w:rPr>
                <w:rFonts w:cs="Arial"/>
                <w:sz w:val="16"/>
                <w:szCs w:val="16"/>
              </w:rPr>
            </w:pPr>
            <w:r>
              <w:rPr>
                <w:rFonts w:cs="Arial"/>
                <w:sz w:val="16"/>
                <w:szCs w:val="16"/>
              </w:rPr>
              <w:t>Not included</w:t>
            </w:r>
          </w:p>
        </w:tc>
        <w:tc>
          <w:tcPr>
            <w:tcW w:w="1488" w:type="dxa"/>
            <w:tcBorders>
              <w:top w:val="single" w:sz="4" w:space="0" w:color="auto"/>
              <w:left w:val="single" w:sz="4" w:space="0" w:color="auto"/>
              <w:bottom w:val="single" w:sz="4" w:space="0" w:color="auto"/>
              <w:right w:val="single" w:sz="4" w:space="0" w:color="auto"/>
            </w:tcBorders>
            <w:vAlign w:val="center"/>
          </w:tcPr>
          <w:p w14:paraId="4B75E71A" w14:textId="77777777" w:rsidR="00DE32CC" w:rsidRPr="00F65B5B" w:rsidRDefault="00DE32CC" w:rsidP="00DE32CC">
            <w:pPr>
              <w:pStyle w:val="BodyText"/>
              <w:keepNext/>
              <w:spacing w:before="100" w:after="100"/>
              <w:jc w:val="center"/>
              <w:rPr>
                <w:rFonts w:cs="Arial"/>
                <w:sz w:val="16"/>
                <w:szCs w:val="16"/>
              </w:rPr>
            </w:pPr>
            <w:r>
              <w:rPr>
                <w:rFonts w:cs="Arial"/>
                <w:sz w:val="16"/>
                <w:szCs w:val="16"/>
              </w:rPr>
              <w:t>Not included</w:t>
            </w:r>
          </w:p>
        </w:tc>
        <w:tc>
          <w:tcPr>
            <w:tcW w:w="1489" w:type="dxa"/>
            <w:tcBorders>
              <w:top w:val="single" w:sz="4" w:space="0" w:color="auto"/>
              <w:left w:val="single" w:sz="4" w:space="0" w:color="auto"/>
              <w:bottom w:val="single" w:sz="4" w:space="0" w:color="auto"/>
              <w:right w:val="single" w:sz="4" w:space="0" w:color="auto"/>
            </w:tcBorders>
            <w:vAlign w:val="center"/>
            <w:hideMark/>
          </w:tcPr>
          <w:p w14:paraId="052FB1EE"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Unlimited</w:t>
            </w:r>
            <w:r>
              <w:rPr>
                <w:rFonts w:cs="Arial"/>
                <w:sz w:val="16"/>
                <w:szCs w:val="16"/>
              </w:rPr>
              <w:t xml:space="preserve"> to 35 selected countries</w:t>
            </w:r>
          </w:p>
        </w:tc>
        <w:tc>
          <w:tcPr>
            <w:tcW w:w="1488" w:type="dxa"/>
            <w:tcBorders>
              <w:top w:val="single" w:sz="4" w:space="0" w:color="auto"/>
              <w:left w:val="single" w:sz="4" w:space="0" w:color="auto"/>
              <w:bottom w:val="single" w:sz="4" w:space="0" w:color="auto"/>
              <w:right w:val="single" w:sz="4" w:space="0" w:color="auto"/>
            </w:tcBorders>
            <w:vAlign w:val="center"/>
            <w:hideMark/>
          </w:tcPr>
          <w:p w14:paraId="11C9B701" w14:textId="77777777" w:rsidR="00DE32CC" w:rsidRDefault="00DE32CC" w:rsidP="00DE32CC">
            <w:pPr>
              <w:jc w:val="center"/>
            </w:pPr>
            <w:r w:rsidRPr="00C33785">
              <w:rPr>
                <w:rFonts w:cs="Arial"/>
                <w:sz w:val="16"/>
                <w:szCs w:val="16"/>
              </w:rPr>
              <w:t>Unlimited to 35 selected countries</w:t>
            </w:r>
          </w:p>
        </w:tc>
        <w:tc>
          <w:tcPr>
            <w:tcW w:w="1488" w:type="dxa"/>
            <w:tcBorders>
              <w:top w:val="single" w:sz="4" w:space="0" w:color="auto"/>
              <w:left w:val="single" w:sz="4" w:space="0" w:color="auto"/>
              <w:bottom w:val="single" w:sz="4" w:space="0" w:color="auto"/>
              <w:right w:val="single" w:sz="4" w:space="0" w:color="auto"/>
            </w:tcBorders>
            <w:vAlign w:val="center"/>
            <w:hideMark/>
          </w:tcPr>
          <w:p w14:paraId="027E560B" w14:textId="77777777" w:rsidR="00DE32CC" w:rsidRDefault="00DE32CC" w:rsidP="00DE32CC">
            <w:pPr>
              <w:jc w:val="center"/>
            </w:pPr>
            <w:r w:rsidRPr="00C33785">
              <w:rPr>
                <w:rFonts w:cs="Arial"/>
                <w:sz w:val="16"/>
                <w:szCs w:val="16"/>
              </w:rPr>
              <w:t>Unlimited to 35 selected countries</w:t>
            </w:r>
          </w:p>
        </w:tc>
        <w:tc>
          <w:tcPr>
            <w:tcW w:w="1489" w:type="dxa"/>
            <w:tcBorders>
              <w:top w:val="single" w:sz="4" w:space="0" w:color="auto"/>
              <w:left w:val="single" w:sz="4" w:space="0" w:color="auto"/>
              <w:bottom w:val="single" w:sz="4" w:space="0" w:color="auto"/>
              <w:right w:val="single" w:sz="4" w:space="0" w:color="auto"/>
            </w:tcBorders>
            <w:vAlign w:val="center"/>
            <w:hideMark/>
          </w:tcPr>
          <w:p w14:paraId="43B78BB5"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Unlimited</w:t>
            </w:r>
            <w:r>
              <w:rPr>
                <w:rFonts w:cs="Arial"/>
                <w:sz w:val="16"/>
                <w:szCs w:val="16"/>
              </w:rPr>
              <w:t xml:space="preserve"> to ALL countries</w:t>
            </w:r>
          </w:p>
        </w:tc>
      </w:tr>
      <w:tr w:rsidR="00DE32CC" w14:paraId="53072BF1" w14:textId="77777777" w:rsidTr="00DE32CC">
        <w:trPr>
          <w:jc w:val="center"/>
        </w:trPr>
        <w:tc>
          <w:tcPr>
            <w:tcW w:w="2127" w:type="dxa"/>
            <w:tcBorders>
              <w:top w:val="single" w:sz="4" w:space="0" w:color="auto"/>
              <w:left w:val="single" w:sz="4" w:space="0" w:color="auto"/>
              <w:bottom w:val="single" w:sz="4" w:space="0" w:color="auto"/>
              <w:right w:val="single" w:sz="4" w:space="0" w:color="auto"/>
            </w:tcBorders>
            <w:hideMark/>
          </w:tcPr>
          <w:p w14:paraId="4AE6F60C" w14:textId="77777777" w:rsidR="00DE32CC" w:rsidRPr="00F65B5B" w:rsidRDefault="00DE32CC" w:rsidP="00DE32CC">
            <w:pPr>
              <w:pStyle w:val="BodyText"/>
              <w:keepNext/>
              <w:spacing w:before="100" w:after="100"/>
              <w:rPr>
                <w:rFonts w:cs="Arial"/>
                <w:sz w:val="16"/>
                <w:szCs w:val="16"/>
              </w:rPr>
            </w:pPr>
            <w:r w:rsidRPr="00F65B5B">
              <w:rPr>
                <w:rFonts w:cs="Arial"/>
                <w:b/>
                <w:bCs/>
                <w:sz w:val="16"/>
                <w:szCs w:val="16"/>
                <w:lang w:eastAsia="en-AU"/>
              </w:rPr>
              <w:t xml:space="preserve">Standard national SMS </w:t>
            </w:r>
            <w:r w:rsidRPr="00F65B5B">
              <w:rPr>
                <w:rFonts w:cs="Arial"/>
                <w:sz w:val="16"/>
                <w:szCs w:val="16"/>
                <w:lang w:eastAsia="en-AU"/>
              </w:rPr>
              <w:t>(per SMS of up to 160 standard characters)</w:t>
            </w:r>
          </w:p>
        </w:tc>
        <w:tc>
          <w:tcPr>
            <w:tcW w:w="1488" w:type="dxa"/>
            <w:tcBorders>
              <w:top w:val="single" w:sz="4" w:space="0" w:color="auto"/>
              <w:left w:val="single" w:sz="4" w:space="0" w:color="auto"/>
              <w:bottom w:val="single" w:sz="4" w:space="0" w:color="auto"/>
              <w:right w:val="single" w:sz="4" w:space="0" w:color="auto"/>
            </w:tcBorders>
            <w:vAlign w:val="center"/>
            <w:hideMark/>
          </w:tcPr>
          <w:p w14:paraId="197A0181"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Unlimited</w:t>
            </w:r>
          </w:p>
        </w:tc>
        <w:tc>
          <w:tcPr>
            <w:tcW w:w="1488" w:type="dxa"/>
            <w:tcBorders>
              <w:top w:val="single" w:sz="4" w:space="0" w:color="auto"/>
              <w:left w:val="single" w:sz="4" w:space="0" w:color="auto"/>
              <w:bottom w:val="single" w:sz="4" w:space="0" w:color="auto"/>
              <w:right w:val="single" w:sz="4" w:space="0" w:color="auto"/>
            </w:tcBorders>
            <w:vAlign w:val="center"/>
            <w:hideMark/>
          </w:tcPr>
          <w:p w14:paraId="78986EDA"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Unlimited</w:t>
            </w:r>
          </w:p>
        </w:tc>
        <w:tc>
          <w:tcPr>
            <w:tcW w:w="1489" w:type="dxa"/>
            <w:tcBorders>
              <w:top w:val="single" w:sz="4" w:space="0" w:color="auto"/>
              <w:left w:val="single" w:sz="4" w:space="0" w:color="auto"/>
              <w:bottom w:val="single" w:sz="4" w:space="0" w:color="auto"/>
              <w:right w:val="single" w:sz="4" w:space="0" w:color="auto"/>
            </w:tcBorders>
            <w:vAlign w:val="center"/>
            <w:hideMark/>
          </w:tcPr>
          <w:p w14:paraId="0AE19BDB"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Unlimited</w:t>
            </w:r>
          </w:p>
        </w:tc>
        <w:tc>
          <w:tcPr>
            <w:tcW w:w="1488" w:type="dxa"/>
            <w:tcBorders>
              <w:top w:val="single" w:sz="4" w:space="0" w:color="auto"/>
              <w:left w:val="single" w:sz="4" w:space="0" w:color="auto"/>
              <w:bottom w:val="single" w:sz="4" w:space="0" w:color="auto"/>
              <w:right w:val="single" w:sz="4" w:space="0" w:color="auto"/>
            </w:tcBorders>
            <w:vAlign w:val="center"/>
            <w:hideMark/>
          </w:tcPr>
          <w:p w14:paraId="0C24E160"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Unlimited</w:t>
            </w:r>
          </w:p>
        </w:tc>
        <w:tc>
          <w:tcPr>
            <w:tcW w:w="1488" w:type="dxa"/>
            <w:tcBorders>
              <w:top w:val="single" w:sz="4" w:space="0" w:color="auto"/>
              <w:left w:val="single" w:sz="4" w:space="0" w:color="auto"/>
              <w:bottom w:val="single" w:sz="4" w:space="0" w:color="auto"/>
              <w:right w:val="single" w:sz="4" w:space="0" w:color="auto"/>
            </w:tcBorders>
            <w:vAlign w:val="center"/>
            <w:hideMark/>
          </w:tcPr>
          <w:p w14:paraId="7DE6D7EB"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Unlimited</w:t>
            </w:r>
          </w:p>
        </w:tc>
        <w:tc>
          <w:tcPr>
            <w:tcW w:w="1489" w:type="dxa"/>
            <w:tcBorders>
              <w:top w:val="single" w:sz="4" w:space="0" w:color="auto"/>
              <w:left w:val="single" w:sz="4" w:space="0" w:color="auto"/>
              <w:bottom w:val="single" w:sz="4" w:space="0" w:color="auto"/>
              <w:right w:val="single" w:sz="4" w:space="0" w:color="auto"/>
            </w:tcBorders>
            <w:vAlign w:val="center"/>
            <w:hideMark/>
          </w:tcPr>
          <w:p w14:paraId="1BF64D7B"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Unlimited</w:t>
            </w:r>
          </w:p>
        </w:tc>
      </w:tr>
      <w:tr w:rsidR="00DE32CC" w14:paraId="5DF783EC" w14:textId="77777777" w:rsidTr="00DE32CC">
        <w:trPr>
          <w:jc w:val="center"/>
        </w:trPr>
        <w:tc>
          <w:tcPr>
            <w:tcW w:w="2127" w:type="dxa"/>
            <w:tcBorders>
              <w:top w:val="single" w:sz="4" w:space="0" w:color="auto"/>
              <w:left w:val="single" w:sz="4" w:space="0" w:color="auto"/>
              <w:bottom w:val="single" w:sz="4" w:space="0" w:color="auto"/>
              <w:right w:val="single" w:sz="4" w:space="0" w:color="auto"/>
            </w:tcBorders>
            <w:hideMark/>
          </w:tcPr>
          <w:p w14:paraId="552DA899" w14:textId="77777777" w:rsidR="00DE32CC" w:rsidRPr="00F65B5B" w:rsidRDefault="00DE32CC" w:rsidP="00DE32CC">
            <w:pPr>
              <w:pStyle w:val="BodyText"/>
              <w:keepNext/>
              <w:spacing w:before="100" w:after="100"/>
              <w:rPr>
                <w:rFonts w:cs="Arial"/>
                <w:b/>
                <w:bCs/>
                <w:sz w:val="16"/>
                <w:szCs w:val="16"/>
                <w:lang w:eastAsia="en-AU"/>
              </w:rPr>
            </w:pPr>
            <w:r w:rsidRPr="00F65B5B">
              <w:rPr>
                <w:rFonts w:cs="Arial"/>
                <w:b/>
                <w:bCs/>
                <w:sz w:val="16"/>
                <w:szCs w:val="16"/>
                <w:lang w:eastAsia="en-AU"/>
              </w:rPr>
              <w:t xml:space="preserve">Standard national MMS </w:t>
            </w:r>
            <w:r w:rsidRPr="00F65B5B">
              <w:rPr>
                <w:rFonts w:cs="Arial"/>
                <w:sz w:val="16"/>
                <w:szCs w:val="16"/>
                <w:lang w:eastAsia="en-AU"/>
              </w:rPr>
              <w:t>(per message)</w:t>
            </w:r>
          </w:p>
        </w:tc>
        <w:tc>
          <w:tcPr>
            <w:tcW w:w="1488" w:type="dxa"/>
            <w:tcBorders>
              <w:top w:val="single" w:sz="4" w:space="0" w:color="auto"/>
              <w:left w:val="single" w:sz="4" w:space="0" w:color="auto"/>
              <w:bottom w:val="single" w:sz="4" w:space="0" w:color="auto"/>
              <w:right w:val="single" w:sz="4" w:space="0" w:color="auto"/>
            </w:tcBorders>
            <w:vAlign w:val="center"/>
            <w:hideMark/>
          </w:tcPr>
          <w:p w14:paraId="53A9CC93"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Unlimited</w:t>
            </w:r>
          </w:p>
        </w:tc>
        <w:tc>
          <w:tcPr>
            <w:tcW w:w="1488" w:type="dxa"/>
            <w:tcBorders>
              <w:top w:val="single" w:sz="4" w:space="0" w:color="auto"/>
              <w:left w:val="single" w:sz="4" w:space="0" w:color="auto"/>
              <w:bottom w:val="single" w:sz="4" w:space="0" w:color="auto"/>
              <w:right w:val="single" w:sz="4" w:space="0" w:color="auto"/>
            </w:tcBorders>
            <w:vAlign w:val="center"/>
            <w:hideMark/>
          </w:tcPr>
          <w:p w14:paraId="3419F8D2"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Unlimited</w:t>
            </w:r>
          </w:p>
        </w:tc>
        <w:tc>
          <w:tcPr>
            <w:tcW w:w="1489" w:type="dxa"/>
            <w:tcBorders>
              <w:top w:val="single" w:sz="4" w:space="0" w:color="auto"/>
              <w:left w:val="single" w:sz="4" w:space="0" w:color="auto"/>
              <w:bottom w:val="single" w:sz="4" w:space="0" w:color="auto"/>
              <w:right w:val="single" w:sz="4" w:space="0" w:color="auto"/>
            </w:tcBorders>
            <w:vAlign w:val="center"/>
            <w:hideMark/>
          </w:tcPr>
          <w:p w14:paraId="636B6CD3"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Unlimited</w:t>
            </w:r>
          </w:p>
        </w:tc>
        <w:tc>
          <w:tcPr>
            <w:tcW w:w="1488" w:type="dxa"/>
            <w:tcBorders>
              <w:top w:val="single" w:sz="4" w:space="0" w:color="auto"/>
              <w:left w:val="single" w:sz="4" w:space="0" w:color="auto"/>
              <w:bottom w:val="single" w:sz="4" w:space="0" w:color="auto"/>
              <w:right w:val="single" w:sz="4" w:space="0" w:color="auto"/>
            </w:tcBorders>
            <w:vAlign w:val="center"/>
            <w:hideMark/>
          </w:tcPr>
          <w:p w14:paraId="2B3AC102"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Unlimited</w:t>
            </w:r>
          </w:p>
        </w:tc>
        <w:tc>
          <w:tcPr>
            <w:tcW w:w="1488" w:type="dxa"/>
            <w:tcBorders>
              <w:top w:val="single" w:sz="4" w:space="0" w:color="auto"/>
              <w:left w:val="single" w:sz="4" w:space="0" w:color="auto"/>
              <w:bottom w:val="single" w:sz="4" w:space="0" w:color="auto"/>
              <w:right w:val="single" w:sz="4" w:space="0" w:color="auto"/>
            </w:tcBorders>
            <w:vAlign w:val="center"/>
            <w:hideMark/>
          </w:tcPr>
          <w:p w14:paraId="080B21DA"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Unlimited</w:t>
            </w:r>
          </w:p>
        </w:tc>
        <w:tc>
          <w:tcPr>
            <w:tcW w:w="1489" w:type="dxa"/>
            <w:tcBorders>
              <w:top w:val="single" w:sz="4" w:space="0" w:color="auto"/>
              <w:left w:val="single" w:sz="4" w:space="0" w:color="auto"/>
              <w:bottom w:val="single" w:sz="4" w:space="0" w:color="auto"/>
              <w:right w:val="single" w:sz="4" w:space="0" w:color="auto"/>
            </w:tcBorders>
            <w:vAlign w:val="center"/>
            <w:hideMark/>
          </w:tcPr>
          <w:p w14:paraId="2E1E5D8C"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Unlimited</w:t>
            </w:r>
          </w:p>
        </w:tc>
      </w:tr>
      <w:tr w:rsidR="00DE32CC" w14:paraId="7FA63231" w14:textId="77777777" w:rsidTr="00DE32CC">
        <w:trPr>
          <w:jc w:val="center"/>
        </w:trPr>
        <w:tc>
          <w:tcPr>
            <w:tcW w:w="2127" w:type="dxa"/>
            <w:tcBorders>
              <w:top w:val="single" w:sz="4" w:space="0" w:color="auto"/>
              <w:left w:val="single" w:sz="4" w:space="0" w:color="auto"/>
              <w:bottom w:val="single" w:sz="4" w:space="0" w:color="auto"/>
              <w:right w:val="single" w:sz="4" w:space="0" w:color="auto"/>
            </w:tcBorders>
            <w:hideMark/>
          </w:tcPr>
          <w:p w14:paraId="7B8CDA2F" w14:textId="77777777" w:rsidR="00DE32CC" w:rsidRPr="00F65B5B" w:rsidRDefault="00DE32CC" w:rsidP="00DE32CC">
            <w:pPr>
              <w:pStyle w:val="BodyText"/>
              <w:keepNext/>
              <w:spacing w:before="100" w:after="100"/>
              <w:rPr>
                <w:rFonts w:cs="Arial"/>
                <w:b/>
                <w:bCs/>
                <w:sz w:val="16"/>
                <w:szCs w:val="16"/>
                <w:lang w:eastAsia="en-AU"/>
              </w:rPr>
            </w:pPr>
            <w:r w:rsidRPr="00F65B5B">
              <w:rPr>
                <w:rFonts w:cs="Arial"/>
                <w:b/>
                <w:bCs/>
                <w:sz w:val="16"/>
                <w:szCs w:val="16"/>
                <w:lang w:eastAsia="en-AU"/>
              </w:rPr>
              <w:t xml:space="preserve">Standard international SMS </w:t>
            </w:r>
            <w:r w:rsidRPr="00F65B5B">
              <w:rPr>
                <w:rFonts w:cs="Arial"/>
                <w:sz w:val="16"/>
                <w:szCs w:val="16"/>
                <w:lang w:eastAsia="en-AU"/>
              </w:rPr>
              <w:t>(per SMS of up to 160 standard characters to selected countries)</w:t>
            </w:r>
          </w:p>
        </w:tc>
        <w:tc>
          <w:tcPr>
            <w:tcW w:w="1488" w:type="dxa"/>
            <w:tcBorders>
              <w:top w:val="single" w:sz="4" w:space="0" w:color="auto"/>
              <w:left w:val="single" w:sz="4" w:space="0" w:color="auto"/>
              <w:bottom w:val="single" w:sz="4" w:space="0" w:color="auto"/>
              <w:right w:val="single" w:sz="4" w:space="0" w:color="auto"/>
            </w:tcBorders>
            <w:vAlign w:val="center"/>
            <w:hideMark/>
          </w:tcPr>
          <w:p w14:paraId="659B3B07"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Unlimited</w:t>
            </w:r>
            <w:r>
              <w:rPr>
                <w:rFonts w:cs="Arial"/>
                <w:sz w:val="16"/>
                <w:szCs w:val="16"/>
              </w:rPr>
              <w:t xml:space="preserve"> to 35 selected countries</w:t>
            </w:r>
          </w:p>
        </w:tc>
        <w:tc>
          <w:tcPr>
            <w:tcW w:w="1488" w:type="dxa"/>
            <w:tcBorders>
              <w:top w:val="single" w:sz="4" w:space="0" w:color="auto"/>
              <w:left w:val="single" w:sz="4" w:space="0" w:color="auto"/>
              <w:bottom w:val="single" w:sz="4" w:space="0" w:color="auto"/>
              <w:right w:val="single" w:sz="4" w:space="0" w:color="auto"/>
            </w:tcBorders>
            <w:vAlign w:val="center"/>
            <w:hideMark/>
          </w:tcPr>
          <w:p w14:paraId="0F34626C"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Unlimited</w:t>
            </w:r>
            <w:r>
              <w:rPr>
                <w:rFonts w:cs="Arial"/>
                <w:sz w:val="16"/>
                <w:szCs w:val="16"/>
              </w:rPr>
              <w:t xml:space="preserve"> to 35 selected countries</w:t>
            </w:r>
          </w:p>
        </w:tc>
        <w:tc>
          <w:tcPr>
            <w:tcW w:w="1489" w:type="dxa"/>
            <w:tcBorders>
              <w:top w:val="single" w:sz="4" w:space="0" w:color="auto"/>
              <w:left w:val="single" w:sz="4" w:space="0" w:color="auto"/>
              <w:bottom w:val="single" w:sz="4" w:space="0" w:color="auto"/>
              <w:right w:val="single" w:sz="4" w:space="0" w:color="auto"/>
            </w:tcBorders>
            <w:vAlign w:val="center"/>
            <w:hideMark/>
          </w:tcPr>
          <w:p w14:paraId="67B08BC5"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Unlimited</w:t>
            </w:r>
            <w:r>
              <w:rPr>
                <w:rFonts w:cs="Arial"/>
                <w:sz w:val="16"/>
                <w:szCs w:val="16"/>
              </w:rPr>
              <w:t xml:space="preserve"> to 35 selected countries</w:t>
            </w:r>
          </w:p>
        </w:tc>
        <w:tc>
          <w:tcPr>
            <w:tcW w:w="1488" w:type="dxa"/>
            <w:tcBorders>
              <w:top w:val="single" w:sz="4" w:space="0" w:color="auto"/>
              <w:left w:val="single" w:sz="4" w:space="0" w:color="auto"/>
              <w:bottom w:val="single" w:sz="4" w:space="0" w:color="auto"/>
              <w:right w:val="single" w:sz="4" w:space="0" w:color="auto"/>
            </w:tcBorders>
            <w:vAlign w:val="center"/>
            <w:hideMark/>
          </w:tcPr>
          <w:p w14:paraId="7AEEE9CB" w14:textId="77777777" w:rsidR="00DE32CC" w:rsidRDefault="00DE32CC" w:rsidP="00DE32CC">
            <w:pPr>
              <w:jc w:val="center"/>
            </w:pPr>
            <w:r w:rsidRPr="00C33785">
              <w:rPr>
                <w:rFonts w:cs="Arial"/>
                <w:sz w:val="16"/>
                <w:szCs w:val="16"/>
              </w:rPr>
              <w:t>Unlimited to 35 selected countries</w:t>
            </w:r>
          </w:p>
        </w:tc>
        <w:tc>
          <w:tcPr>
            <w:tcW w:w="1488" w:type="dxa"/>
            <w:tcBorders>
              <w:top w:val="single" w:sz="4" w:space="0" w:color="auto"/>
              <w:left w:val="single" w:sz="4" w:space="0" w:color="auto"/>
              <w:bottom w:val="single" w:sz="4" w:space="0" w:color="auto"/>
              <w:right w:val="single" w:sz="4" w:space="0" w:color="auto"/>
            </w:tcBorders>
            <w:vAlign w:val="center"/>
            <w:hideMark/>
          </w:tcPr>
          <w:p w14:paraId="3A8BF9CC" w14:textId="77777777" w:rsidR="00DE32CC" w:rsidRDefault="00DE32CC" w:rsidP="00DE32CC">
            <w:pPr>
              <w:jc w:val="center"/>
            </w:pPr>
            <w:r w:rsidRPr="00C33785">
              <w:rPr>
                <w:rFonts w:cs="Arial"/>
                <w:sz w:val="16"/>
                <w:szCs w:val="16"/>
              </w:rPr>
              <w:t>Unlimited to 35 selected countries</w:t>
            </w:r>
          </w:p>
        </w:tc>
        <w:tc>
          <w:tcPr>
            <w:tcW w:w="1489" w:type="dxa"/>
            <w:tcBorders>
              <w:top w:val="single" w:sz="4" w:space="0" w:color="auto"/>
              <w:left w:val="single" w:sz="4" w:space="0" w:color="auto"/>
              <w:bottom w:val="single" w:sz="4" w:space="0" w:color="auto"/>
              <w:right w:val="single" w:sz="4" w:space="0" w:color="auto"/>
            </w:tcBorders>
            <w:vAlign w:val="center"/>
            <w:hideMark/>
          </w:tcPr>
          <w:p w14:paraId="26FAD410"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Unlimited</w:t>
            </w:r>
            <w:r>
              <w:rPr>
                <w:rFonts w:cs="Arial"/>
                <w:sz w:val="16"/>
                <w:szCs w:val="16"/>
              </w:rPr>
              <w:t xml:space="preserve"> to ALL countries</w:t>
            </w:r>
          </w:p>
        </w:tc>
      </w:tr>
      <w:tr w:rsidR="00DE32CC" w14:paraId="0B46D1B7" w14:textId="77777777" w:rsidTr="00DE32CC">
        <w:trPr>
          <w:jc w:val="center"/>
        </w:trPr>
        <w:tc>
          <w:tcPr>
            <w:tcW w:w="2127" w:type="dxa"/>
            <w:tcBorders>
              <w:top w:val="single" w:sz="4" w:space="0" w:color="auto"/>
              <w:left w:val="single" w:sz="4" w:space="0" w:color="auto"/>
              <w:bottom w:val="single" w:sz="4" w:space="0" w:color="auto"/>
              <w:right w:val="single" w:sz="4" w:space="0" w:color="auto"/>
            </w:tcBorders>
            <w:hideMark/>
          </w:tcPr>
          <w:p w14:paraId="25E06D7A" w14:textId="77777777" w:rsidR="00DE32CC" w:rsidRPr="00F65B5B" w:rsidRDefault="00DE32CC" w:rsidP="00DE32CC">
            <w:pPr>
              <w:pStyle w:val="BodyText"/>
              <w:keepNext/>
              <w:spacing w:before="100" w:after="100"/>
              <w:rPr>
                <w:rFonts w:cs="Arial"/>
                <w:b/>
                <w:bCs/>
                <w:sz w:val="16"/>
                <w:szCs w:val="16"/>
                <w:lang w:eastAsia="en-AU"/>
              </w:rPr>
            </w:pPr>
            <w:r w:rsidRPr="00F65B5B">
              <w:rPr>
                <w:rFonts w:cs="Arial"/>
                <w:b/>
                <w:bCs/>
                <w:sz w:val="16"/>
                <w:szCs w:val="16"/>
                <w:lang w:eastAsia="en-AU"/>
              </w:rPr>
              <w:t xml:space="preserve">Standard international MMS </w:t>
            </w:r>
            <w:r w:rsidRPr="00F65B5B">
              <w:rPr>
                <w:rFonts w:cs="Arial"/>
                <w:sz w:val="16"/>
                <w:szCs w:val="16"/>
                <w:lang w:eastAsia="en-AU"/>
              </w:rPr>
              <w:t>(per message to selected countries)</w:t>
            </w:r>
          </w:p>
        </w:tc>
        <w:tc>
          <w:tcPr>
            <w:tcW w:w="1488" w:type="dxa"/>
            <w:tcBorders>
              <w:top w:val="single" w:sz="4" w:space="0" w:color="auto"/>
              <w:left w:val="single" w:sz="4" w:space="0" w:color="auto"/>
              <w:bottom w:val="single" w:sz="4" w:space="0" w:color="auto"/>
              <w:right w:val="single" w:sz="4" w:space="0" w:color="auto"/>
            </w:tcBorders>
            <w:vAlign w:val="center"/>
            <w:hideMark/>
          </w:tcPr>
          <w:p w14:paraId="2DD4958C"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Unlimited</w:t>
            </w:r>
            <w:r>
              <w:rPr>
                <w:rFonts w:cs="Arial"/>
                <w:sz w:val="16"/>
                <w:szCs w:val="16"/>
              </w:rPr>
              <w:t xml:space="preserve"> to 35 selected countries</w:t>
            </w:r>
          </w:p>
        </w:tc>
        <w:tc>
          <w:tcPr>
            <w:tcW w:w="1488" w:type="dxa"/>
            <w:tcBorders>
              <w:top w:val="single" w:sz="4" w:space="0" w:color="auto"/>
              <w:left w:val="single" w:sz="4" w:space="0" w:color="auto"/>
              <w:bottom w:val="single" w:sz="4" w:space="0" w:color="auto"/>
              <w:right w:val="single" w:sz="4" w:space="0" w:color="auto"/>
            </w:tcBorders>
            <w:vAlign w:val="center"/>
            <w:hideMark/>
          </w:tcPr>
          <w:p w14:paraId="4F79E67D"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Unlimited</w:t>
            </w:r>
            <w:r>
              <w:rPr>
                <w:rFonts w:cs="Arial"/>
                <w:sz w:val="16"/>
                <w:szCs w:val="16"/>
              </w:rPr>
              <w:t xml:space="preserve"> to 35 selected countries</w:t>
            </w:r>
          </w:p>
        </w:tc>
        <w:tc>
          <w:tcPr>
            <w:tcW w:w="1489" w:type="dxa"/>
            <w:tcBorders>
              <w:top w:val="single" w:sz="4" w:space="0" w:color="auto"/>
              <w:left w:val="single" w:sz="4" w:space="0" w:color="auto"/>
              <w:bottom w:val="single" w:sz="4" w:space="0" w:color="auto"/>
              <w:right w:val="single" w:sz="4" w:space="0" w:color="auto"/>
            </w:tcBorders>
            <w:vAlign w:val="center"/>
            <w:hideMark/>
          </w:tcPr>
          <w:p w14:paraId="128C1FF5"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Unlimited</w:t>
            </w:r>
            <w:r>
              <w:rPr>
                <w:rFonts w:cs="Arial"/>
                <w:sz w:val="16"/>
                <w:szCs w:val="16"/>
              </w:rPr>
              <w:t xml:space="preserve"> to 35 selected countries</w:t>
            </w:r>
          </w:p>
        </w:tc>
        <w:tc>
          <w:tcPr>
            <w:tcW w:w="1488" w:type="dxa"/>
            <w:tcBorders>
              <w:top w:val="single" w:sz="4" w:space="0" w:color="auto"/>
              <w:left w:val="single" w:sz="4" w:space="0" w:color="auto"/>
              <w:bottom w:val="single" w:sz="4" w:space="0" w:color="auto"/>
              <w:right w:val="single" w:sz="4" w:space="0" w:color="auto"/>
            </w:tcBorders>
            <w:vAlign w:val="center"/>
            <w:hideMark/>
          </w:tcPr>
          <w:p w14:paraId="24B2A59D" w14:textId="77777777" w:rsidR="00DE32CC" w:rsidRDefault="00DE32CC" w:rsidP="00DE32CC">
            <w:pPr>
              <w:jc w:val="center"/>
            </w:pPr>
            <w:r w:rsidRPr="00C33785">
              <w:rPr>
                <w:rFonts w:cs="Arial"/>
                <w:sz w:val="16"/>
                <w:szCs w:val="16"/>
              </w:rPr>
              <w:t>Unlimited to 35 selected countries</w:t>
            </w:r>
          </w:p>
        </w:tc>
        <w:tc>
          <w:tcPr>
            <w:tcW w:w="1488" w:type="dxa"/>
            <w:tcBorders>
              <w:top w:val="single" w:sz="4" w:space="0" w:color="auto"/>
              <w:left w:val="single" w:sz="4" w:space="0" w:color="auto"/>
              <w:bottom w:val="single" w:sz="4" w:space="0" w:color="auto"/>
              <w:right w:val="single" w:sz="4" w:space="0" w:color="auto"/>
            </w:tcBorders>
            <w:vAlign w:val="center"/>
            <w:hideMark/>
          </w:tcPr>
          <w:p w14:paraId="748846EF" w14:textId="77777777" w:rsidR="00DE32CC" w:rsidRDefault="00DE32CC" w:rsidP="00DE32CC">
            <w:pPr>
              <w:jc w:val="center"/>
            </w:pPr>
            <w:r w:rsidRPr="00C33785">
              <w:rPr>
                <w:rFonts w:cs="Arial"/>
                <w:sz w:val="16"/>
                <w:szCs w:val="16"/>
              </w:rPr>
              <w:t>Unlimited to 35 selected countries</w:t>
            </w:r>
          </w:p>
        </w:tc>
        <w:tc>
          <w:tcPr>
            <w:tcW w:w="1489" w:type="dxa"/>
            <w:tcBorders>
              <w:top w:val="single" w:sz="4" w:space="0" w:color="auto"/>
              <w:left w:val="single" w:sz="4" w:space="0" w:color="auto"/>
              <w:bottom w:val="single" w:sz="4" w:space="0" w:color="auto"/>
              <w:right w:val="single" w:sz="4" w:space="0" w:color="auto"/>
            </w:tcBorders>
            <w:vAlign w:val="center"/>
            <w:hideMark/>
          </w:tcPr>
          <w:p w14:paraId="2B1622EE" w14:textId="77777777" w:rsidR="00DE32CC" w:rsidRPr="00F65B5B" w:rsidRDefault="00DE32CC" w:rsidP="00DE32CC">
            <w:pPr>
              <w:pStyle w:val="BodyText"/>
              <w:keepNext/>
              <w:spacing w:before="100" w:after="100"/>
              <w:jc w:val="center"/>
              <w:rPr>
                <w:rFonts w:cs="Arial"/>
                <w:sz w:val="16"/>
                <w:szCs w:val="16"/>
              </w:rPr>
            </w:pPr>
            <w:r w:rsidRPr="00F65B5B">
              <w:rPr>
                <w:rFonts w:cs="Arial"/>
                <w:sz w:val="16"/>
                <w:szCs w:val="16"/>
              </w:rPr>
              <w:t>Unlimited</w:t>
            </w:r>
            <w:r>
              <w:rPr>
                <w:rFonts w:cs="Arial"/>
                <w:sz w:val="16"/>
                <w:szCs w:val="16"/>
              </w:rPr>
              <w:t xml:space="preserve"> to ALL countries</w:t>
            </w:r>
          </w:p>
        </w:tc>
      </w:tr>
      <w:tr w:rsidR="00DE32CC" w14:paraId="2A4223D2" w14:textId="77777777" w:rsidTr="00DE32CC">
        <w:trPr>
          <w:jc w:val="center"/>
        </w:trPr>
        <w:tc>
          <w:tcPr>
            <w:tcW w:w="2127" w:type="dxa"/>
            <w:tcBorders>
              <w:top w:val="single" w:sz="4" w:space="0" w:color="auto"/>
              <w:left w:val="single" w:sz="4" w:space="0" w:color="auto"/>
              <w:bottom w:val="single" w:sz="4" w:space="0" w:color="auto"/>
              <w:right w:val="single" w:sz="4" w:space="0" w:color="auto"/>
            </w:tcBorders>
            <w:hideMark/>
          </w:tcPr>
          <w:p w14:paraId="36E8175F" w14:textId="77777777" w:rsidR="00DE32CC" w:rsidRPr="00F65B5B" w:rsidRDefault="00DE32CC" w:rsidP="00DE32CC">
            <w:pPr>
              <w:pStyle w:val="BodyText"/>
              <w:keepNext/>
              <w:spacing w:before="100" w:after="100"/>
              <w:rPr>
                <w:rFonts w:cs="Arial"/>
                <w:b/>
                <w:bCs/>
                <w:sz w:val="16"/>
                <w:szCs w:val="16"/>
                <w:lang w:eastAsia="en-AU"/>
              </w:rPr>
            </w:pPr>
            <w:r w:rsidRPr="00F65B5B">
              <w:rPr>
                <w:rFonts w:eastAsia="Calibri" w:cs="Arial"/>
                <w:b/>
                <w:bCs/>
                <w:sz w:val="16"/>
                <w:szCs w:val="16"/>
                <w:lang w:eastAsia="en-AU"/>
              </w:rPr>
              <w:t xml:space="preserve">International Roaming </w:t>
            </w:r>
            <w:r w:rsidRPr="00F65B5B">
              <w:rPr>
                <w:rFonts w:eastAsia="Calibri" w:cs="Arial"/>
                <w:b/>
                <w:bCs/>
                <w:sz w:val="16"/>
                <w:szCs w:val="16"/>
                <w:lang w:eastAsia="en-AU"/>
              </w:rPr>
              <w:br/>
            </w:r>
            <w:r w:rsidRPr="00F65B5B">
              <w:rPr>
                <w:rFonts w:cs="Arial"/>
                <w:b/>
                <w:bCs/>
                <w:snapToGrid w:val="0"/>
                <w:sz w:val="16"/>
                <w:szCs w:val="16"/>
              </w:rPr>
              <w:t>(Zone 1 countries)</w:t>
            </w:r>
          </w:p>
        </w:tc>
        <w:tc>
          <w:tcPr>
            <w:tcW w:w="1488" w:type="dxa"/>
            <w:tcBorders>
              <w:top w:val="single" w:sz="4" w:space="0" w:color="auto"/>
              <w:left w:val="single" w:sz="4" w:space="0" w:color="auto"/>
              <w:bottom w:val="single" w:sz="4" w:space="0" w:color="auto"/>
              <w:right w:val="single" w:sz="4" w:space="0" w:color="auto"/>
            </w:tcBorders>
            <w:vAlign w:val="center"/>
            <w:hideMark/>
          </w:tcPr>
          <w:p w14:paraId="00D572B4" w14:textId="77777777" w:rsidR="00DE32CC" w:rsidRPr="00F65B5B" w:rsidRDefault="00DE32CC" w:rsidP="00DE32CC">
            <w:pPr>
              <w:pStyle w:val="BodyText"/>
              <w:keepNext/>
              <w:spacing w:before="100" w:after="100"/>
              <w:jc w:val="center"/>
              <w:rPr>
                <w:rFonts w:cs="Arial"/>
                <w:sz w:val="16"/>
                <w:szCs w:val="16"/>
              </w:rPr>
            </w:pPr>
            <w:r w:rsidRPr="00F65B5B">
              <w:rPr>
                <w:rFonts w:eastAsia="Calibri" w:cs="Arial"/>
                <w:sz w:val="16"/>
                <w:szCs w:val="16"/>
              </w:rPr>
              <w:t>Not included</w:t>
            </w:r>
          </w:p>
        </w:tc>
        <w:tc>
          <w:tcPr>
            <w:tcW w:w="1488" w:type="dxa"/>
            <w:tcBorders>
              <w:top w:val="single" w:sz="4" w:space="0" w:color="auto"/>
              <w:left w:val="single" w:sz="4" w:space="0" w:color="auto"/>
              <w:bottom w:val="single" w:sz="4" w:space="0" w:color="auto"/>
              <w:right w:val="single" w:sz="4" w:space="0" w:color="auto"/>
            </w:tcBorders>
            <w:vAlign w:val="center"/>
            <w:hideMark/>
          </w:tcPr>
          <w:p w14:paraId="179E190B" w14:textId="77777777" w:rsidR="00DE32CC" w:rsidRPr="00F65B5B" w:rsidRDefault="00DE32CC" w:rsidP="00DE32CC">
            <w:pPr>
              <w:pStyle w:val="BodyText"/>
              <w:keepNext/>
              <w:spacing w:before="100" w:after="100"/>
              <w:jc w:val="center"/>
              <w:rPr>
                <w:rFonts w:cs="Arial"/>
                <w:sz w:val="16"/>
                <w:szCs w:val="16"/>
              </w:rPr>
            </w:pPr>
            <w:r w:rsidRPr="00F65B5B">
              <w:rPr>
                <w:rFonts w:eastAsia="Calibri" w:cs="Arial"/>
                <w:sz w:val="16"/>
                <w:szCs w:val="16"/>
              </w:rPr>
              <w:t>Not included</w:t>
            </w:r>
          </w:p>
        </w:tc>
        <w:tc>
          <w:tcPr>
            <w:tcW w:w="1489" w:type="dxa"/>
            <w:tcBorders>
              <w:top w:val="single" w:sz="4" w:space="0" w:color="auto"/>
              <w:left w:val="single" w:sz="4" w:space="0" w:color="auto"/>
              <w:bottom w:val="single" w:sz="4" w:space="0" w:color="auto"/>
              <w:right w:val="single" w:sz="4" w:space="0" w:color="auto"/>
            </w:tcBorders>
            <w:vAlign w:val="center"/>
            <w:hideMark/>
          </w:tcPr>
          <w:p w14:paraId="27337093" w14:textId="77777777" w:rsidR="00DE32CC" w:rsidRPr="00F65B5B" w:rsidRDefault="00DE32CC" w:rsidP="00DE32CC">
            <w:pPr>
              <w:pStyle w:val="BodyText"/>
              <w:keepNext/>
              <w:spacing w:before="100" w:after="100"/>
              <w:jc w:val="center"/>
              <w:rPr>
                <w:rFonts w:cs="Arial"/>
                <w:sz w:val="16"/>
                <w:szCs w:val="16"/>
              </w:rPr>
            </w:pPr>
            <w:r w:rsidRPr="00F65B5B">
              <w:rPr>
                <w:rFonts w:eastAsia="Calibri" w:cs="Arial"/>
                <w:sz w:val="16"/>
                <w:szCs w:val="16"/>
              </w:rPr>
              <w:t>Not included</w:t>
            </w:r>
          </w:p>
        </w:tc>
        <w:tc>
          <w:tcPr>
            <w:tcW w:w="1488" w:type="dxa"/>
            <w:tcBorders>
              <w:top w:val="single" w:sz="4" w:space="0" w:color="auto"/>
              <w:left w:val="single" w:sz="4" w:space="0" w:color="auto"/>
              <w:bottom w:val="single" w:sz="4" w:space="0" w:color="auto"/>
              <w:right w:val="single" w:sz="4" w:space="0" w:color="auto"/>
            </w:tcBorders>
            <w:vAlign w:val="center"/>
            <w:hideMark/>
          </w:tcPr>
          <w:p w14:paraId="7B727182" w14:textId="77777777" w:rsidR="00DE32CC" w:rsidRPr="00F65B5B" w:rsidRDefault="00DE32CC" w:rsidP="00DE32CC">
            <w:pPr>
              <w:jc w:val="center"/>
              <w:rPr>
                <w:rFonts w:cs="Arial"/>
                <w:sz w:val="16"/>
                <w:szCs w:val="16"/>
              </w:rPr>
            </w:pPr>
            <w:r w:rsidRPr="00970BF7">
              <w:rPr>
                <w:rFonts w:cs="Arial"/>
                <w:sz w:val="16"/>
                <w:szCs w:val="16"/>
              </w:rPr>
              <w:t>Unlimited standard national/international talk, SMS &amp; 2GB data</w:t>
            </w:r>
          </w:p>
        </w:tc>
        <w:tc>
          <w:tcPr>
            <w:tcW w:w="1488" w:type="dxa"/>
            <w:tcBorders>
              <w:top w:val="single" w:sz="4" w:space="0" w:color="auto"/>
              <w:left w:val="single" w:sz="4" w:space="0" w:color="auto"/>
              <w:bottom w:val="single" w:sz="4" w:space="0" w:color="auto"/>
              <w:right w:val="single" w:sz="4" w:space="0" w:color="auto"/>
            </w:tcBorders>
            <w:hideMark/>
          </w:tcPr>
          <w:p w14:paraId="70796FF6" w14:textId="77777777" w:rsidR="00DE32CC" w:rsidRPr="00F65B5B" w:rsidRDefault="00DE32CC" w:rsidP="00DE32CC">
            <w:pPr>
              <w:jc w:val="center"/>
              <w:rPr>
                <w:rFonts w:cs="Arial"/>
                <w:sz w:val="16"/>
                <w:szCs w:val="16"/>
              </w:rPr>
            </w:pPr>
            <w:r w:rsidRPr="00970BF7">
              <w:rPr>
                <w:rFonts w:cs="Arial"/>
                <w:sz w:val="16"/>
                <w:szCs w:val="16"/>
              </w:rPr>
              <w:t>Unlimited standard national/international talk, SMS &amp; 6GB data</w:t>
            </w:r>
          </w:p>
        </w:tc>
        <w:tc>
          <w:tcPr>
            <w:tcW w:w="1489" w:type="dxa"/>
            <w:tcBorders>
              <w:top w:val="single" w:sz="4" w:space="0" w:color="auto"/>
              <w:left w:val="single" w:sz="4" w:space="0" w:color="auto"/>
              <w:bottom w:val="single" w:sz="4" w:space="0" w:color="auto"/>
              <w:right w:val="single" w:sz="4" w:space="0" w:color="auto"/>
            </w:tcBorders>
            <w:hideMark/>
          </w:tcPr>
          <w:p w14:paraId="7DC92FF7" w14:textId="77777777" w:rsidR="00DE32CC" w:rsidRPr="00970BF7" w:rsidRDefault="00DE32CC" w:rsidP="00DE32CC">
            <w:pPr>
              <w:jc w:val="center"/>
              <w:rPr>
                <w:rFonts w:cs="Arial"/>
                <w:sz w:val="16"/>
                <w:szCs w:val="16"/>
              </w:rPr>
            </w:pPr>
            <w:r w:rsidRPr="00970BF7">
              <w:rPr>
                <w:rFonts w:cs="Arial"/>
                <w:sz w:val="16"/>
                <w:szCs w:val="16"/>
              </w:rPr>
              <w:t>Unlimited standard national/international talk, SMS &amp; 10GB data</w:t>
            </w:r>
          </w:p>
        </w:tc>
      </w:tr>
      <w:tr w:rsidR="00DE32CC" w14:paraId="46CF34A5" w14:textId="77777777" w:rsidTr="00DE32CC">
        <w:trPr>
          <w:jc w:val="center"/>
        </w:trPr>
        <w:tc>
          <w:tcPr>
            <w:tcW w:w="2127" w:type="dxa"/>
            <w:tcBorders>
              <w:top w:val="single" w:sz="4" w:space="0" w:color="auto"/>
              <w:left w:val="single" w:sz="4" w:space="0" w:color="auto"/>
              <w:bottom w:val="single" w:sz="4" w:space="0" w:color="auto"/>
              <w:right w:val="single" w:sz="4" w:space="0" w:color="auto"/>
            </w:tcBorders>
            <w:hideMark/>
          </w:tcPr>
          <w:p w14:paraId="46650A54" w14:textId="77777777" w:rsidR="00DE32CC" w:rsidRPr="00F65B5B" w:rsidRDefault="00DE32CC" w:rsidP="00DE32CC">
            <w:pPr>
              <w:pStyle w:val="BodyText"/>
              <w:keepNext/>
              <w:spacing w:before="100" w:after="100"/>
              <w:rPr>
                <w:rFonts w:cs="Arial"/>
                <w:b/>
                <w:bCs/>
                <w:sz w:val="16"/>
                <w:szCs w:val="16"/>
                <w:lang w:eastAsia="en-AU"/>
              </w:rPr>
            </w:pPr>
            <w:r w:rsidRPr="00F65B5B">
              <w:rPr>
                <w:rFonts w:cs="Arial"/>
                <w:b/>
                <w:bCs/>
                <w:sz w:val="16"/>
                <w:szCs w:val="16"/>
                <w:lang w:eastAsia="en-AU"/>
              </w:rPr>
              <w:t xml:space="preserve">Minimum total cost over 24 months </w:t>
            </w:r>
          </w:p>
        </w:tc>
        <w:tc>
          <w:tcPr>
            <w:tcW w:w="1488" w:type="dxa"/>
            <w:tcBorders>
              <w:top w:val="single" w:sz="4" w:space="0" w:color="auto"/>
              <w:left w:val="single" w:sz="4" w:space="0" w:color="auto"/>
              <w:bottom w:val="single" w:sz="4" w:space="0" w:color="auto"/>
              <w:right w:val="single" w:sz="4" w:space="0" w:color="auto"/>
            </w:tcBorders>
            <w:vAlign w:val="center"/>
            <w:hideMark/>
          </w:tcPr>
          <w:p w14:paraId="2D4A0698" w14:textId="77777777" w:rsidR="00DE32CC" w:rsidRPr="00F65B5B" w:rsidRDefault="00DE32CC" w:rsidP="00DE32CC">
            <w:pPr>
              <w:pStyle w:val="BodyText"/>
              <w:keepNext/>
              <w:spacing w:before="100" w:after="100"/>
              <w:jc w:val="center"/>
              <w:rPr>
                <w:rFonts w:cs="Arial"/>
                <w:sz w:val="16"/>
                <w:szCs w:val="16"/>
              </w:rPr>
            </w:pPr>
            <w:r w:rsidRPr="00F65B5B">
              <w:rPr>
                <w:rFonts w:eastAsia="Calibri" w:cs="Arial"/>
                <w:sz w:val="16"/>
                <w:szCs w:val="16"/>
              </w:rPr>
              <w:t>$1</w:t>
            </w:r>
            <w:r>
              <w:rPr>
                <w:rFonts w:eastAsia="Calibri" w:cs="Arial"/>
                <w:sz w:val="16"/>
                <w:szCs w:val="16"/>
              </w:rPr>
              <w:t>,</w:t>
            </w:r>
            <w:r w:rsidRPr="00F65B5B">
              <w:rPr>
                <w:rFonts w:eastAsia="Calibri" w:cs="Arial"/>
                <w:sz w:val="16"/>
                <w:szCs w:val="16"/>
              </w:rPr>
              <w:t>080</w:t>
            </w:r>
          </w:p>
        </w:tc>
        <w:tc>
          <w:tcPr>
            <w:tcW w:w="1488" w:type="dxa"/>
            <w:tcBorders>
              <w:top w:val="single" w:sz="4" w:space="0" w:color="auto"/>
              <w:left w:val="single" w:sz="4" w:space="0" w:color="auto"/>
              <w:bottom w:val="single" w:sz="4" w:space="0" w:color="auto"/>
              <w:right w:val="single" w:sz="4" w:space="0" w:color="auto"/>
            </w:tcBorders>
            <w:vAlign w:val="center"/>
            <w:hideMark/>
          </w:tcPr>
          <w:p w14:paraId="0BEBB30A" w14:textId="77777777" w:rsidR="00DE32CC" w:rsidRPr="00F65B5B" w:rsidRDefault="00DE32CC" w:rsidP="00DE32CC">
            <w:pPr>
              <w:pStyle w:val="BodyText"/>
              <w:keepNext/>
              <w:spacing w:before="100" w:after="100"/>
              <w:jc w:val="center"/>
              <w:rPr>
                <w:rFonts w:cs="Arial"/>
                <w:sz w:val="16"/>
                <w:szCs w:val="16"/>
              </w:rPr>
            </w:pPr>
            <w:r w:rsidRPr="00F65B5B">
              <w:rPr>
                <w:rFonts w:eastAsia="Calibri" w:cs="Arial"/>
                <w:sz w:val="16"/>
                <w:szCs w:val="16"/>
              </w:rPr>
              <w:t>$1</w:t>
            </w:r>
            <w:r>
              <w:rPr>
                <w:rFonts w:eastAsia="Calibri" w:cs="Arial"/>
                <w:sz w:val="16"/>
                <w:szCs w:val="16"/>
              </w:rPr>
              <w:t>,</w:t>
            </w:r>
            <w:r w:rsidRPr="00F65B5B">
              <w:rPr>
                <w:rFonts w:eastAsia="Calibri" w:cs="Arial"/>
                <w:sz w:val="16"/>
                <w:szCs w:val="16"/>
              </w:rPr>
              <w:t>560</w:t>
            </w:r>
          </w:p>
        </w:tc>
        <w:tc>
          <w:tcPr>
            <w:tcW w:w="1489" w:type="dxa"/>
            <w:tcBorders>
              <w:top w:val="single" w:sz="4" w:space="0" w:color="auto"/>
              <w:left w:val="single" w:sz="4" w:space="0" w:color="auto"/>
              <w:bottom w:val="single" w:sz="4" w:space="0" w:color="auto"/>
              <w:right w:val="single" w:sz="4" w:space="0" w:color="auto"/>
            </w:tcBorders>
            <w:vAlign w:val="center"/>
            <w:hideMark/>
          </w:tcPr>
          <w:p w14:paraId="6C40347D" w14:textId="77777777" w:rsidR="00DE32CC" w:rsidRPr="00F65B5B" w:rsidRDefault="00DE32CC" w:rsidP="00DE32CC">
            <w:pPr>
              <w:pStyle w:val="BodyText"/>
              <w:keepNext/>
              <w:spacing w:before="100" w:after="100"/>
              <w:jc w:val="center"/>
              <w:rPr>
                <w:rFonts w:cs="Arial"/>
                <w:sz w:val="16"/>
                <w:szCs w:val="16"/>
              </w:rPr>
            </w:pPr>
            <w:r w:rsidRPr="00F65B5B">
              <w:rPr>
                <w:rFonts w:eastAsia="Calibri" w:cs="Arial"/>
                <w:sz w:val="16"/>
                <w:szCs w:val="16"/>
              </w:rPr>
              <w:t>$2</w:t>
            </w:r>
            <w:r>
              <w:rPr>
                <w:rFonts w:eastAsia="Calibri" w:cs="Arial"/>
                <w:sz w:val="16"/>
                <w:szCs w:val="16"/>
              </w:rPr>
              <w:t>,</w:t>
            </w:r>
            <w:r w:rsidRPr="00F65B5B">
              <w:rPr>
                <w:rFonts w:eastAsia="Calibri" w:cs="Arial"/>
                <w:sz w:val="16"/>
                <w:szCs w:val="16"/>
              </w:rPr>
              <w:t>040</w:t>
            </w:r>
          </w:p>
        </w:tc>
        <w:tc>
          <w:tcPr>
            <w:tcW w:w="1488" w:type="dxa"/>
            <w:tcBorders>
              <w:top w:val="single" w:sz="4" w:space="0" w:color="auto"/>
              <w:left w:val="single" w:sz="4" w:space="0" w:color="auto"/>
              <w:bottom w:val="single" w:sz="4" w:space="0" w:color="auto"/>
              <w:right w:val="single" w:sz="4" w:space="0" w:color="auto"/>
            </w:tcBorders>
            <w:vAlign w:val="center"/>
            <w:hideMark/>
          </w:tcPr>
          <w:p w14:paraId="762A7F8A" w14:textId="77777777" w:rsidR="00DE32CC" w:rsidRPr="00F65B5B" w:rsidRDefault="00DE32CC" w:rsidP="00DE32CC">
            <w:pPr>
              <w:pStyle w:val="BodyText"/>
              <w:keepNext/>
              <w:spacing w:before="100" w:after="100"/>
              <w:jc w:val="center"/>
              <w:rPr>
                <w:rFonts w:eastAsia="Calibri" w:cs="Arial"/>
                <w:sz w:val="16"/>
                <w:szCs w:val="16"/>
              </w:rPr>
            </w:pPr>
            <w:r w:rsidRPr="00F65B5B">
              <w:rPr>
                <w:rFonts w:eastAsia="Calibri" w:cs="Arial"/>
                <w:sz w:val="16"/>
                <w:szCs w:val="16"/>
              </w:rPr>
              <w:t>$2</w:t>
            </w:r>
            <w:r>
              <w:rPr>
                <w:rFonts w:eastAsia="Calibri" w:cs="Arial"/>
                <w:sz w:val="16"/>
                <w:szCs w:val="16"/>
              </w:rPr>
              <w:t>,520</w:t>
            </w:r>
          </w:p>
        </w:tc>
        <w:tc>
          <w:tcPr>
            <w:tcW w:w="1488" w:type="dxa"/>
            <w:tcBorders>
              <w:top w:val="single" w:sz="4" w:space="0" w:color="auto"/>
              <w:left w:val="single" w:sz="4" w:space="0" w:color="auto"/>
              <w:bottom w:val="single" w:sz="4" w:space="0" w:color="auto"/>
              <w:right w:val="single" w:sz="4" w:space="0" w:color="auto"/>
            </w:tcBorders>
            <w:vAlign w:val="center"/>
            <w:hideMark/>
          </w:tcPr>
          <w:p w14:paraId="576BD322" w14:textId="77777777" w:rsidR="00DE32CC" w:rsidRPr="00F65B5B" w:rsidRDefault="00DE32CC" w:rsidP="00DE32CC">
            <w:pPr>
              <w:pStyle w:val="BodyText"/>
              <w:keepNext/>
              <w:spacing w:before="100" w:after="100"/>
              <w:jc w:val="center"/>
              <w:rPr>
                <w:rFonts w:eastAsia="Calibri" w:cs="Arial"/>
                <w:sz w:val="16"/>
                <w:szCs w:val="16"/>
              </w:rPr>
            </w:pPr>
            <w:r w:rsidRPr="00F65B5B">
              <w:rPr>
                <w:rFonts w:eastAsia="Calibri" w:cs="Arial"/>
                <w:sz w:val="16"/>
                <w:szCs w:val="16"/>
              </w:rPr>
              <w:t>$</w:t>
            </w:r>
            <w:r>
              <w:rPr>
                <w:rFonts w:eastAsia="Calibri" w:cs="Arial"/>
                <w:sz w:val="16"/>
                <w:szCs w:val="16"/>
              </w:rPr>
              <w:t>3,000</w:t>
            </w:r>
          </w:p>
        </w:tc>
        <w:tc>
          <w:tcPr>
            <w:tcW w:w="1489" w:type="dxa"/>
            <w:tcBorders>
              <w:top w:val="single" w:sz="4" w:space="0" w:color="auto"/>
              <w:left w:val="single" w:sz="4" w:space="0" w:color="auto"/>
              <w:bottom w:val="single" w:sz="4" w:space="0" w:color="auto"/>
              <w:right w:val="single" w:sz="4" w:space="0" w:color="auto"/>
            </w:tcBorders>
            <w:vAlign w:val="center"/>
            <w:hideMark/>
          </w:tcPr>
          <w:p w14:paraId="5E8F9EE2" w14:textId="77777777" w:rsidR="00DE32CC" w:rsidRPr="00F65B5B" w:rsidRDefault="00DE32CC" w:rsidP="00DE32CC">
            <w:pPr>
              <w:pStyle w:val="BodyText"/>
              <w:keepNext/>
              <w:spacing w:before="100" w:after="100"/>
              <w:jc w:val="center"/>
              <w:rPr>
                <w:rFonts w:eastAsia="Calibri" w:cs="Arial"/>
                <w:sz w:val="16"/>
                <w:szCs w:val="16"/>
              </w:rPr>
            </w:pPr>
            <w:r w:rsidRPr="00F65B5B">
              <w:rPr>
                <w:rFonts w:eastAsia="Calibri" w:cs="Arial"/>
                <w:sz w:val="16"/>
                <w:szCs w:val="16"/>
              </w:rPr>
              <w:t>$3</w:t>
            </w:r>
            <w:r>
              <w:rPr>
                <w:rFonts w:eastAsia="Calibri" w:cs="Arial"/>
                <w:sz w:val="16"/>
                <w:szCs w:val="16"/>
              </w:rPr>
              <w:t>,480</w:t>
            </w:r>
          </w:p>
        </w:tc>
      </w:tr>
    </w:tbl>
    <w:p w14:paraId="1623710A" w14:textId="77777777" w:rsidR="00DE32CC" w:rsidRDefault="00DE32CC" w:rsidP="00DE32CC">
      <w:pPr>
        <w:pStyle w:val="BodyText"/>
      </w:pPr>
    </w:p>
    <w:p w14:paraId="68B450F7" w14:textId="77777777" w:rsidR="00DE32CC" w:rsidRDefault="00DE32CC" w:rsidP="00DE32CC">
      <w:pPr>
        <w:pStyle w:val="BodyText"/>
        <w:ind w:left="720"/>
        <w:rPr>
          <w:b/>
        </w:rPr>
      </w:pPr>
    </w:p>
    <w:p w14:paraId="689306BE" w14:textId="77777777" w:rsidR="00DE32CC" w:rsidRDefault="00DE32CC" w:rsidP="00DE32CC">
      <w:pPr>
        <w:pStyle w:val="BodyText"/>
        <w:ind w:left="720"/>
        <w:rPr>
          <w:b/>
        </w:rPr>
      </w:pPr>
      <w:r>
        <w:rPr>
          <w:b/>
        </w:rPr>
        <w:t>Table 2 – Other usage types and charges</w:t>
      </w:r>
    </w:p>
    <w:tbl>
      <w:tblPr>
        <w:tblW w:w="8805"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02"/>
        <w:gridCol w:w="4403"/>
      </w:tblGrid>
      <w:tr w:rsidR="00DE32CC" w14:paraId="262533A8" w14:textId="77777777" w:rsidTr="00DE32CC">
        <w:trPr>
          <w:tblHeader/>
        </w:trPr>
        <w:tc>
          <w:tcPr>
            <w:tcW w:w="4405" w:type="dxa"/>
            <w:tcBorders>
              <w:top w:val="single" w:sz="4" w:space="0" w:color="auto"/>
              <w:left w:val="single" w:sz="4" w:space="0" w:color="auto"/>
              <w:bottom w:val="single" w:sz="4" w:space="0" w:color="auto"/>
              <w:right w:val="single" w:sz="4" w:space="0" w:color="auto"/>
            </w:tcBorders>
            <w:vAlign w:val="center"/>
            <w:hideMark/>
          </w:tcPr>
          <w:p w14:paraId="6B76A041" w14:textId="77777777" w:rsidR="00DE32CC" w:rsidRDefault="00DE32CC" w:rsidP="00DE32CC">
            <w:pPr>
              <w:pStyle w:val="BodyText"/>
              <w:spacing w:before="100" w:after="100"/>
              <w:jc w:val="center"/>
              <w:rPr>
                <w:b/>
              </w:rPr>
            </w:pPr>
            <w:r>
              <w:rPr>
                <w:b/>
              </w:rPr>
              <w:t>Usage type</w:t>
            </w:r>
          </w:p>
        </w:tc>
        <w:tc>
          <w:tcPr>
            <w:tcW w:w="4406" w:type="dxa"/>
            <w:tcBorders>
              <w:top w:val="single" w:sz="4" w:space="0" w:color="auto"/>
              <w:left w:val="single" w:sz="4" w:space="0" w:color="auto"/>
              <w:bottom w:val="single" w:sz="4" w:space="0" w:color="auto"/>
              <w:right w:val="single" w:sz="4" w:space="0" w:color="auto"/>
            </w:tcBorders>
            <w:vAlign w:val="center"/>
            <w:hideMark/>
          </w:tcPr>
          <w:p w14:paraId="40EED9C5" w14:textId="77777777" w:rsidR="00DE32CC" w:rsidRDefault="00DE32CC" w:rsidP="00DE32CC">
            <w:pPr>
              <w:pStyle w:val="BodyText"/>
              <w:spacing w:before="100" w:after="100"/>
              <w:jc w:val="center"/>
              <w:rPr>
                <w:b/>
              </w:rPr>
            </w:pPr>
            <w:r>
              <w:rPr>
                <w:b/>
              </w:rPr>
              <w:t>Charge</w:t>
            </w:r>
          </w:p>
        </w:tc>
      </w:tr>
      <w:tr w:rsidR="00DE32CC" w14:paraId="16955FAE" w14:textId="77777777" w:rsidTr="00DE32CC">
        <w:tc>
          <w:tcPr>
            <w:tcW w:w="4405" w:type="dxa"/>
            <w:tcBorders>
              <w:top w:val="single" w:sz="4" w:space="0" w:color="auto"/>
              <w:left w:val="single" w:sz="4" w:space="0" w:color="auto"/>
              <w:bottom w:val="single" w:sz="4" w:space="0" w:color="auto"/>
              <w:right w:val="single" w:sz="4" w:space="0" w:color="auto"/>
            </w:tcBorders>
            <w:hideMark/>
          </w:tcPr>
          <w:p w14:paraId="7C3B8CBE" w14:textId="77777777" w:rsidR="00DE32CC" w:rsidRPr="005428C4" w:rsidRDefault="00DE32CC" w:rsidP="00DE32CC">
            <w:pPr>
              <w:pStyle w:val="BodyText"/>
              <w:spacing w:before="100" w:after="100"/>
              <w:rPr>
                <w:sz w:val="16"/>
                <w:szCs w:val="16"/>
              </w:rPr>
            </w:pPr>
            <w:r w:rsidRPr="005428C4">
              <w:rPr>
                <w:bCs/>
                <w:sz w:val="16"/>
                <w:szCs w:val="16"/>
                <w:lang w:eastAsia="en-AU"/>
              </w:rPr>
              <w:t xml:space="preserve">National video calls </w:t>
            </w:r>
            <w:r w:rsidRPr="005428C4">
              <w:rPr>
                <w:sz w:val="16"/>
                <w:szCs w:val="16"/>
                <w:lang w:eastAsia="en-AU"/>
              </w:rPr>
              <w:t>(per minute)</w:t>
            </w:r>
          </w:p>
        </w:tc>
        <w:tc>
          <w:tcPr>
            <w:tcW w:w="4406" w:type="dxa"/>
            <w:tcBorders>
              <w:top w:val="single" w:sz="4" w:space="0" w:color="auto"/>
              <w:left w:val="single" w:sz="4" w:space="0" w:color="auto"/>
              <w:bottom w:val="single" w:sz="4" w:space="0" w:color="auto"/>
              <w:right w:val="single" w:sz="4" w:space="0" w:color="auto"/>
            </w:tcBorders>
            <w:vAlign w:val="center"/>
            <w:hideMark/>
          </w:tcPr>
          <w:p w14:paraId="139357A0" w14:textId="77777777" w:rsidR="00DE32CC" w:rsidRPr="005428C4" w:rsidRDefault="00DE32CC" w:rsidP="00DE32CC">
            <w:pPr>
              <w:pStyle w:val="BodyText"/>
              <w:spacing w:before="100" w:after="100"/>
              <w:jc w:val="center"/>
              <w:rPr>
                <w:sz w:val="16"/>
                <w:szCs w:val="16"/>
              </w:rPr>
            </w:pPr>
            <w:r w:rsidRPr="005428C4">
              <w:rPr>
                <w:sz w:val="16"/>
                <w:szCs w:val="16"/>
              </w:rPr>
              <w:t>$1.00 per min + 40c flagfall</w:t>
            </w:r>
          </w:p>
        </w:tc>
      </w:tr>
      <w:tr w:rsidR="00DE32CC" w14:paraId="6E8E7522" w14:textId="77777777" w:rsidTr="00DE32CC">
        <w:tc>
          <w:tcPr>
            <w:tcW w:w="4405" w:type="dxa"/>
            <w:tcBorders>
              <w:top w:val="single" w:sz="4" w:space="0" w:color="auto"/>
              <w:left w:val="single" w:sz="4" w:space="0" w:color="auto"/>
              <w:bottom w:val="single" w:sz="4" w:space="0" w:color="auto"/>
              <w:right w:val="single" w:sz="4" w:space="0" w:color="auto"/>
            </w:tcBorders>
            <w:hideMark/>
          </w:tcPr>
          <w:p w14:paraId="7B8465C8" w14:textId="77777777" w:rsidR="00DE32CC" w:rsidRPr="005428C4" w:rsidRDefault="00DE32CC" w:rsidP="00DE32CC">
            <w:pPr>
              <w:pStyle w:val="BodyText"/>
              <w:spacing w:before="100" w:after="100"/>
              <w:rPr>
                <w:bCs/>
                <w:sz w:val="16"/>
                <w:szCs w:val="16"/>
                <w:lang w:eastAsia="en-AU"/>
              </w:rPr>
            </w:pPr>
            <w:r w:rsidRPr="005428C4">
              <w:rPr>
                <w:bCs/>
                <w:sz w:val="16"/>
                <w:szCs w:val="16"/>
                <w:lang w:eastAsia="en-AU"/>
              </w:rPr>
              <w:t>National Diversions</w:t>
            </w:r>
          </w:p>
        </w:tc>
        <w:tc>
          <w:tcPr>
            <w:tcW w:w="4406" w:type="dxa"/>
            <w:tcBorders>
              <w:top w:val="single" w:sz="4" w:space="0" w:color="auto"/>
              <w:left w:val="single" w:sz="4" w:space="0" w:color="auto"/>
              <w:bottom w:val="single" w:sz="4" w:space="0" w:color="auto"/>
              <w:right w:val="single" w:sz="4" w:space="0" w:color="auto"/>
            </w:tcBorders>
            <w:hideMark/>
          </w:tcPr>
          <w:p w14:paraId="2141A61D" w14:textId="77777777" w:rsidR="00DE32CC" w:rsidRPr="005428C4" w:rsidRDefault="00DE32CC" w:rsidP="00DE32CC">
            <w:pPr>
              <w:pStyle w:val="BodyText"/>
              <w:spacing w:before="100" w:after="100"/>
              <w:jc w:val="center"/>
              <w:rPr>
                <w:sz w:val="16"/>
                <w:szCs w:val="16"/>
              </w:rPr>
            </w:pPr>
            <w:r w:rsidRPr="005428C4">
              <w:rPr>
                <w:sz w:val="16"/>
                <w:szCs w:val="16"/>
              </w:rPr>
              <w:t>$0 per minute</w:t>
            </w:r>
          </w:p>
        </w:tc>
      </w:tr>
      <w:tr w:rsidR="00DE32CC" w14:paraId="33A9BF10" w14:textId="77777777" w:rsidTr="00DE32CC">
        <w:tc>
          <w:tcPr>
            <w:tcW w:w="4405" w:type="dxa"/>
            <w:tcBorders>
              <w:top w:val="single" w:sz="4" w:space="0" w:color="auto"/>
              <w:left w:val="single" w:sz="4" w:space="0" w:color="auto"/>
              <w:bottom w:val="single" w:sz="4" w:space="0" w:color="auto"/>
              <w:right w:val="single" w:sz="4" w:space="0" w:color="auto"/>
            </w:tcBorders>
            <w:hideMark/>
          </w:tcPr>
          <w:p w14:paraId="6A3087F2" w14:textId="77777777" w:rsidR="00DE32CC" w:rsidRPr="005428C4" w:rsidRDefault="00DE32CC" w:rsidP="00DE32CC">
            <w:pPr>
              <w:pStyle w:val="BodyText"/>
              <w:spacing w:before="100" w:after="100"/>
              <w:rPr>
                <w:bCs/>
                <w:sz w:val="16"/>
                <w:szCs w:val="16"/>
                <w:lang w:eastAsia="en-AU"/>
              </w:rPr>
            </w:pPr>
            <w:r w:rsidRPr="005428C4">
              <w:rPr>
                <w:bCs/>
                <w:sz w:val="16"/>
                <w:szCs w:val="16"/>
                <w:lang w:eastAsia="en-AU"/>
              </w:rPr>
              <w:t xml:space="preserve">International Diversions </w:t>
            </w:r>
          </w:p>
        </w:tc>
        <w:tc>
          <w:tcPr>
            <w:tcW w:w="4406" w:type="dxa"/>
            <w:tcBorders>
              <w:top w:val="single" w:sz="4" w:space="0" w:color="auto"/>
              <w:left w:val="single" w:sz="4" w:space="0" w:color="auto"/>
              <w:bottom w:val="single" w:sz="4" w:space="0" w:color="auto"/>
              <w:right w:val="single" w:sz="4" w:space="0" w:color="auto"/>
            </w:tcBorders>
            <w:hideMark/>
          </w:tcPr>
          <w:p w14:paraId="62DC2CA6" w14:textId="77777777" w:rsidR="00DE32CC" w:rsidRPr="005428C4" w:rsidRDefault="00DE32CC" w:rsidP="00DE32CC">
            <w:pPr>
              <w:pStyle w:val="BodyText"/>
              <w:spacing w:before="100" w:after="100"/>
              <w:jc w:val="center"/>
              <w:rPr>
                <w:sz w:val="16"/>
                <w:szCs w:val="16"/>
              </w:rPr>
            </w:pPr>
            <w:r w:rsidRPr="005428C4">
              <w:rPr>
                <w:sz w:val="16"/>
                <w:szCs w:val="16"/>
              </w:rPr>
              <w:t>'yes' international rates</w:t>
            </w:r>
            <w:r w:rsidRPr="005428C4">
              <w:rPr>
                <w:sz w:val="16"/>
                <w:szCs w:val="16"/>
              </w:rPr>
              <w:br/>
              <w:t>See optus.com.au/international</w:t>
            </w:r>
          </w:p>
        </w:tc>
      </w:tr>
      <w:tr w:rsidR="00DE32CC" w14:paraId="53C2FA73" w14:textId="77777777" w:rsidTr="00DE32CC">
        <w:tc>
          <w:tcPr>
            <w:tcW w:w="4405" w:type="dxa"/>
            <w:tcBorders>
              <w:top w:val="single" w:sz="4" w:space="0" w:color="auto"/>
              <w:left w:val="single" w:sz="4" w:space="0" w:color="auto"/>
              <w:bottom w:val="single" w:sz="4" w:space="0" w:color="auto"/>
              <w:right w:val="single" w:sz="4" w:space="0" w:color="auto"/>
            </w:tcBorders>
            <w:hideMark/>
          </w:tcPr>
          <w:p w14:paraId="12138BBA" w14:textId="77777777" w:rsidR="00DE32CC" w:rsidRPr="005428C4" w:rsidRDefault="00DE32CC" w:rsidP="00DE32CC">
            <w:pPr>
              <w:pStyle w:val="BodyText"/>
              <w:spacing w:before="100" w:after="100"/>
              <w:rPr>
                <w:bCs/>
                <w:sz w:val="16"/>
                <w:szCs w:val="16"/>
                <w:lang w:eastAsia="en-AU"/>
              </w:rPr>
            </w:pPr>
            <w:r w:rsidRPr="005428C4">
              <w:rPr>
                <w:bCs/>
                <w:sz w:val="16"/>
                <w:szCs w:val="16"/>
                <w:lang w:eastAsia="en-AU"/>
              </w:rPr>
              <w:lastRenderedPageBreak/>
              <w:t xml:space="preserve">1800 numbers </w:t>
            </w:r>
          </w:p>
        </w:tc>
        <w:tc>
          <w:tcPr>
            <w:tcW w:w="4406" w:type="dxa"/>
            <w:tcBorders>
              <w:top w:val="single" w:sz="4" w:space="0" w:color="auto"/>
              <w:left w:val="single" w:sz="4" w:space="0" w:color="auto"/>
              <w:bottom w:val="single" w:sz="4" w:space="0" w:color="auto"/>
              <w:right w:val="single" w:sz="4" w:space="0" w:color="auto"/>
            </w:tcBorders>
            <w:vAlign w:val="center"/>
            <w:hideMark/>
          </w:tcPr>
          <w:p w14:paraId="12E419EB" w14:textId="77777777" w:rsidR="00DE32CC" w:rsidRPr="005428C4" w:rsidRDefault="00DE32CC" w:rsidP="00DE32CC">
            <w:pPr>
              <w:pStyle w:val="BodyText"/>
              <w:spacing w:before="100" w:after="100"/>
              <w:jc w:val="center"/>
              <w:rPr>
                <w:sz w:val="16"/>
                <w:szCs w:val="16"/>
              </w:rPr>
            </w:pPr>
            <w:r w:rsidRPr="005428C4">
              <w:rPr>
                <w:sz w:val="16"/>
                <w:szCs w:val="16"/>
              </w:rPr>
              <w:t>$0 per minute</w:t>
            </w:r>
          </w:p>
        </w:tc>
      </w:tr>
      <w:tr w:rsidR="00DE32CC" w14:paraId="6F423450" w14:textId="77777777" w:rsidTr="00DE32CC">
        <w:tc>
          <w:tcPr>
            <w:tcW w:w="4405" w:type="dxa"/>
            <w:tcBorders>
              <w:top w:val="single" w:sz="4" w:space="0" w:color="auto"/>
              <w:left w:val="single" w:sz="4" w:space="0" w:color="auto"/>
              <w:bottom w:val="single" w:sz="4" w:space="0" w:color="auto"/>
              <w:right w:val="single" w:sz="4" w:space="0" w:color="auto"/>
            </w:tcBorders>
            <w:hideMark/>
          </w:tcPr>
          <w:p w14:paraId="7A0F02D0" w14:textId="77777777" w:rsidR="00DE32CC" w:rsidRPr="005428C4" w:rsidRDefault="00DE32CC" w:rsidP="00DE32CC">
            <w:pPr>
              <w:pStyle w:val="BodyText"/>
              <w:spacing w:before="100" w:after="100"/>
              <w:rPr>
                <w:bCs/>
                <w:sz w:val="16"/>
                <w:szCs w:val="16"/>
                <w:lang w:eastAsia="en-AU"/>
              </w:rPr>
            </w:pPr>
            <w:r w:rsidRPr="005428C4">
              <w:rPr>
                <w:bCs/>
                <w:sz w:val="16"/>
                <w:szCs w:val="16"/>
                <w:lang w:eastAsia="en-AU"/>
              </w:rPr>
              <w:t xml:space="preserve">Directory Assistance 1223 </w:t>
            </w:r>
          </w:p>
        </w:tc>
        <w:tc>
          <w:tcPr>
            <w:tcW w:w="4406" w:type="dxa"/>
            <w:tcBorders>
              <w:top w:val="single" w:sz="4" w:space="0" w:color="auto"/>
              <w:left w:val="single" w:sz="4" w:space="0" w:color="auto"/>
              <w:bottom w:val="single" w:sz="4" w:space="0" w:color="auto"/>
              <w:right w:val="single" w:sz="4" w:space="0" w:color="auto"/>
            </w:tcBorders>
            <w:vAlign w:val="center"/>
            <w:hideMark/>
          </w:tcPr>
          <w:p w14:paraId="2CEBDB20" w14:textId="77777777" w:rsidR="00DE32CC" w:rsidRPr="005428C4" w:rsidRDefault="00DE32CC" w:rsidP="00DE32CC">
            <w:pPr>
              <w:pStyle w:val="BodyText"/>
              <w:spacing w:before="100" w:after="100"/>
              <w:jc w:val="center"/>
              <w:rPr>
                <w:sz w:val="16"/>
                <w:szCs w:val="16"/>
              </w:rPr>
            </w:pPr>
            <w:r w:rsidRPr="005428C4">
              <w:rPr>
                <w:sz w:val="16"/>
                <w:szCs w:val="16"/>
              </w:rPr>
              <w:t>50c per call</w:t>
            </w:r>
          </w:p>
        </w:tc>
      </w:tr>
      <w:tr w:rsidR="00DE32CC" w14:paraId="06F19986" w14:textId="77777777" w:rsidTr="00DE32CC">
        <w:tc>
          <w:tcPr>
            <w:tcW w:w="4405" w:type="dxa"/>
            <w:tcBorders>
              <w:top w:val="single" w:sz="4" w:space="0" w:color="auto"/>
              <w:left w:val="single" w:sz="4" w:space="0" w:color="auto"/>
              <w:bottom w:val="single" w:sz="4" w:space="0" w:color="auto"/>
              <w:right w:val="single" w:sz="4" w:space="0" w:color="auto"/>
            </w:tcBorders>
            <w:hideMark/>
          </w:tcPr>
          <w:p w14:paraId="59DDCB29" w14:textId="77777777" w:rsidR="00DE32CC" w:rsidRPr="005428C4" w:rsidRDefault="00DE32CC" w:rsidP="00DE32CC">
            <w:pPr>
              <w:pStyle w:val="BodyText"/>
              <w:spacing w:before="100" w:after="100"/>
              <w:rPr>
                <w:bCs/>
                <w:sz w:val="16"/>
                <w:szCs w:val="16"/>
                <w:lang w:eastAsia="en-AU"/>
              </w:rPr>
            </w:pPr>
            <w:r w:rsidRPr="005428C4">
              <w:rPr>
                <w:bCs/>
                <w:sz w:val="16"/>
                <w:szCs w:val="16"/>
                <w:lang w:eastAsia="en-AU"/>
              </w:rPr>
              <w:t>124 Yes</w:t>
            </w:r>
          </w:p>
        </w:tc>
        <w:tc>
          <w:tcPr>
            <w:tcW w:w="4406" w:type="dxa"/>
            <w:tcBorders>
              <w:top w:val="single" w:sz="4" w:space="0" w:color="auto"/>
              <w:left w:val="single" w:sz="4" w:space="0" w:color="auto"/>
              <w:bottom w:val="single" w:sz="4" w:space="0" w:color="auto"/>
              <w:right w:val="single" w:sz="4" w:space="0" w:color="auto"/>
            </w:tcBorders>
            <w:vAlign w:val="center"/>
            <w:hideMark/>
          </w:tcPr>
          <w:p w14:paraId="2CC7C587" w14:textId="77777777" w:rsidR="00DE32CC" w:rsidRPr="005428C4" w:rsidRDefault="00DE32CC" w:rsidP="00DE32CC">
            <w:pPr>
              <w:pStyle w:val="BodyText"/>
              <w:spacing w:before="100" w:after="100"/>
              <w:jc w:val="center"/>
              <w:rPr>
                <w:sz w:val="16"/>
                <w:szCs w:val="16"/>
              </w:rPr>
            </w:pPr>
            <w:r w:rsidRPr="005428C4">
              <w:rPr>
                <w:sz w:val="16"/>
                <w:szCs w:val="16"/>
              </w:rPr>
              <w:t>90c per minute +$1.75c flagfall</w:t>
            </w:r>
          </w:p>
        </w:tc>
      </w:tr>
      <w:tr w:rsidR="00DE32CC" w14:paraId="7394578E" w14:textId="77777777" w:rsidTr="00DE32CC">
        <w:tc>
          <w:tcPr>
            <w:tcW w:w="4405" w:type="dxa"/>
            <w:tcBorders>
              <w:top w:val="single" w:sz="4" w:space="0" w:color="auto"/>
              <w:left w:val="single" w:sz="4" w:space="0" w:color="auto"/>
              <w:bottom w:val="single" w:sz="4" w:space="0" w:color="auto"/>
              <w:right w:val="single" w:sz="4" w:space="0" w:color="auto"/>
            </w:tcBorders>
            <w:hideMark/>
          </w:tcPr>
          <w:p w14:paraId="7D9B561C" w14:textId="77777777" w:rsidR="00DE32CC" w:rsidRPr="005428C4" w:rsidRDefault="00DE32CC" w:rsidP="00DE32CC">
            <w:pPr>
              <w:pStyle w:val="BodyText"/>
              <w:spacing w:before="100" w:after="100"/>
              <w:rPr>
                <w:bCs/>
                <w:sz w:val="16"/>
                <w:szCs w:val="16"/>
                <w:lang w:eastAsia="en-AU"/>
              </w:rPr>
            </w:pPr>
            <w:r w:rsidRPr="005428C4">
              <w:rPr>
                <w:bCs/>
                <w:sz w:val="16"/>
                <w:szCs w:val="16"/>
                <w:lang w:eastAsia="en-AU"/>
              </w:rPr>
              <w:t xml:space="preserve">International voice calls (outside the plan's included international minutes and to excluded countries) </w:t>
            </w:r>
          </w:p>
        </w:tc>
        <w:tc>
          <w:tcPr>
            <w:tcW w:w="4406" w:type="dxa"/>
            <w:tcBorders>
              <w:top w:val="single" w:sz="4" w:space="0" w:color="auto"/>
              <w:left w:val="single" w:sz="4" w:space="0" w:color="auto"/>
              <w:bottom w:val="single" w:sz="4" w:space="0" w:color="auto"/>
              <w:right w:val="single" w:sz="4" w:space="0" w:color="auto"/>
            </w:tcBorders>
            <w:vAlign w:val="center"/>
            <w:hideMark/>
          </w:tcPr>
          <w:p w14:paraId="4B43655C" w14:textId="77777777" w:rsidR="00DE32CC" w:rsidRPr="005428C4" w:rsidRDefault="00DE32CC" w:rsidP="00DE32CC">
            <w:pPr>
              <w:pStyle w:val="BodyText"/>
              <w:spacing w:before="100" w:after="100"/>
              <w:jc w:val="center"/>
              <w:rPr>
                <w:sz w:val="16"/>
                <w:szCs w:val="16"/>
              </w:rPr>
            </w:pPr>
            <w:r w:rsidRPr="005428C4">
              <w:rPr>
                <w:sz w:val="16"/>
                <w:szCs w:val="16"/>
              </w:rPr>
              <w:t>'yes' international rates</w:t>
            </w:r>
            <w:r w:rsidRPr="005428C4">
              <w:rPr>
                <w:sz w:val="16"/>
                <w:szCs w:val="16"/>
              </w:rPr>
              <w:br/>
              <w:t>See optus.com.au/international</w:t>
            </w:r>
          </w:p>
        </w:tc>
      </w:tr>
      <w:tr w:rsidR="00DE32CC" w14:paraId="2243C193" w14:textId="77777777" w:rsidTr="00DE32CC">
        <w:tc>
          <w:tcPr>
            <w:tcW w:w="4405" w:type="dxa"/>
            <w:tcBorders>
              <w:top w:val="single" w:sz="4" w:space="0" w:color="auto"/>
              <w:left w:val="single" w:sz="4" w:space="0" w:color="auto"/>
              <w:bottom w:val="single" w:sz="4" w:space="0" w:color="auto"/>
              <w:right w:val="single" w:sz="4" w:space="0" w:color="auto"/>
            </w:tcBorders>
            <w:hideMark/>
          </w:tcPr>
          <w:p w14:paraId="1CEFDA53" w14:textId="77777777" w:rsidR="00DE32CC" w:rsidRPr="005428C4" w:rsidRDefault="00DE32CC" w:rsidP="00DE32CC">
            <w:pPr>
              <w:pStyle w:val="BodyText"/>
              <w:spacing w:before="100" w:after="100"/>
              <w:rPr>
                <w:bCs/>
                <w:sz w:val="16"/>
                <w:szCs w:val="16"/>
                <w:lang w:eastAsia="en-AU"/>
              </w:rPr>
            </w:pPr>
            <w:r w:rsidRPr="005428C4">
              <w:rPr>
                <w:bCs/>
                <w:sz w:val="16"/>
                <w:szCs w:val="16"/>
                <w:lang w:eastAsia="en-AU"/>
              </w:rPr>
              <w:t xml:space="preserve">International SMS (to excluded countries) </w:t>
            </w:r>
          </w:p>
        </w:tc>
        <w:tc>
          <w:tcPr>
            <w:tcW w:w="4406" w:type="dxa"/>
            <w:tcBorders>
              <w:top w:val="single" w:sz="4" w:space="0" w:color="auto"/>
              <w:left w:val="single" w:sz="4" w:space="0" w:color="auto"/>
              <w:bottom w:val="single" w:sz="4" w:space="0" w:color="auto"/>
              <w:right w:val="single" w:sz="4" w:space="0" w:color="auto"/>
            </w:tcBorders>
            <w:vAlign w:val="center"/>
            <w:hideMark/>
          </w:tcPr>
          <w:p w14:paraId="38975FD2" w14:textId="77777777" w:rsidR="00DE32CC" w:rsidRPr="005428C4" w:rsidRDefault="00DE32CC" w:rsidP="00DE32CC">
            <w:pPr>
              <w:pStyle w:val="BodyText"/>
              <w:spacing w:before="100" w:after="100"/>
              <w:jc w:val="center"/>
              <w:rPr>
                <w:sz w:val="16"/>
                <w:szCs w:val="16"/>
              </w:rPr>
            </w:pPr>
            <w:r w:rsidRPr="005428C4">
              <w:rPr>
                <w:sz w:val="16"/>
                <w:szCs w:val="16"/>
              </w:rPr>
              <w:t>50c per SMS up to 160 standard characters</w:t>
            </w:r>
          </w:p>
        </w:tc>
      </w:tr>
      <w:tr w:rsidR="00DE32CC" w14:paraId="59676852" w14:textId="77777777" w:rsidTr="00DE32CC">
        <w:tc>
          <w:tcPr>
            <w:tcW w:w="4405" w:type="dxa"/>
            <w:tcBorders>
              <w:top w:val="single" w:sz="4" w:space="0" w:color="auto"/>
              <w:left w:val="single" w:sz="4" w:space="0" w:color="auto"/>
              <w:bottom w:val="single" w:sz="4" w:space="0" w:color="auto"/>
              <w:right w:val="single" w:sz="4" w:space="0" w:color="auto"/>
            </w:tcBorders>
            <w:hideMark/>
          </w:tcPr>
          <w:p w14:paraId="1C65E66B" w14:textId="77777777" w:rsidR="00DE32CC" w:rsidRPr="005428C4" w:rsidRDefault="00DE32CC" w:rsidP="00DE32CC">
            <w:pPr>
              <w:pStyle w:val="BodyText"/>
              <w:spacing w:before="100" w:after="100"/>
              <w:rPr>
                <w:bCs/>
                <w:sz w:val="16"/>
                <w:szCs w:val="16"/>
                <w:lang w:eastAsia="en-AU"/>
              </w:rPr>
            </w:pPr>
            <w:r w:rsidRPr="005428C4">
              <w:rPr>
                <w:bCs/>
                <w:sz w:val="16"/>
                <w:szCs w:val="16"/>
                <w:lang w:eastAsia="en-AU"/>
              </w:rPr>
              <w:t>International MMS (to excluded countries)</w:t>
            </w:r>
          </w:p>
        </w:tc>
        <w:tc>
          <w:tcPr>
            <w:tcW w:w="4406" w:type="dxa"/>
            <w:tcBorders>
              <w:top w:val="single" w:sz="4" w:space="0" w:color="auto"/>
              <w:left w:val="single" w:sz="4" w:space="0" w:color="auto"/>
              <w:bottom w:val="single" w:sz="4" w:space="0" w:color="auto"/>
              <w:right w:val="single" w:sz="4" w:space="0" w:color="auto"/>
            </w:tcBorders>
            <w:vAlign w:val="center"/>
            <w:hideMark/>
          </w:tcPr>
          <w:p w14:paraId="0C454B53" w14:textId="77777777" w:rsidR="00DE32CC" w:rsidRPr="005428C4" w:rsidRDefault="00DE32CC" w:rsidP="00DE32CC">
            <w:pPr>
              <w:pStyle w:val="BodyText"/>
              <w:spacing w:before="100" w:after="100"/>
              <w:jc w:val="center"/>
              <w:rPr>
                <w:sz w:val="16"/>
                <w:szCs w:val="16"/>
              </w:rPr>
            </w:pPr>
            <w:r w:rsidRPr="005428C4">
              <w:rPr>
                <w:sz w:val="16"/>
                <w:szCs w:val="16"/>
              </w:rPr>
              <w:t>75c per MMS</w:t>
            </w:r>
          </w:p>
        </w:tc>
      </w:tr>
      <w:tr w:rsidR="00DE32CC" w14:paraId="2B9AC03B" w14:textId="77777777" w:rsidTr="00DE32CC">
        <w:tc>
          <w:tcPr>
            <w:tcW w:w="4405" w:type="dxa"/>
            <w:tcBorders>
              <w:top w:val="single" w:sz="4" w:space="0" w:color="auto"/>
              <w:left w:val="single" w:sz="4" w:space="0" w:color="auto"/>
              <w:bottom w:val="single" w:sz="4" w:space="0" w:color="auto"/>
              <w:right w:val="single" w:sz="4" w:space="0" w:color="auto"/>
            </w:tcBorders>
            <w:hideMark/>
          </w:tcPr>
          <w:p w14:paraId="6F1A0254" w14:textId="77777777" w:rsidR="00DE32CC" w:rsidRPr="005428C4" w:rsidRDefault="00DE32CC" w:rsidP="00DE32CC">
            <w:pPr>
              <w:pStyle w:val="BodyText"/>
              <w:spacing w:before="100" w:after="100"/>
              <w:rPr>
                <w:bCs/>
                <w:sz w:val="16"/>
                <w:szCs w:val="16"/>
                <w:lang w:eastAsia="en-AU"/>
              </w:rPr>
            </w:pPr>
            <w:r w:rsidRPr="005428C4">
              <w:rPr>
                <w:bCs/>
                <w:sz w:val="16"/>
                <w:szCs w:val="16"/>
                <w:lang w:eastAsia="en-AU"/>
              </w:rPr>
              <w:t xml:space="preserve">International video calling </w:t>
            </w:r>
          </w:p>
        </w:tc>
        <w:tc>
          <w:tcPr>
            <w:tcW w:w="4406" w:type="dxa"/>
            <w:tcBorders>
              <w:top w:val="single" w:sz="4" w:space="0" w:color="auto"/>
              <w:left w:val="single" w:sz="4" w:space="0" w:color="auto"/>
              <w:bottom w:val="single" w:sz="4" w:space="0" w:color="auto"/>
              <w:right w:val="single" w:sz="4" w:space="0" w:color="auto"/>
            </w:tcBorders>
            <w:vAlign w:val="center"/>
            <w:hideMark/>
          </w:tcPr>
          <w:p w14:paraId="53D849F9" w14:textId="77777777" w:rsidR="00DE32CC" w:rsidRPr="005428C4" w:rsidRDefault="00DE32CC" w:rsidP="00DE32CC">
            <w:pPr>
              <w:pStyle w:val="BodyText"/>
              <w:spacing w:before="100" w:after="100"/>
              <w:jc w:val="center"/>
              <w:rPr>
                <w:sz w:val="16"/>
                <w:szCs w:val="16"/>
              </w:rPr>
            </w:pPr>
            <w:r w:rsidRPr="005428C4">
              <w:rPr>
                <w:sz w:val="16"/>
                <w:szCs w:val="16"/>
              </w:rPr>
              <w:t>$1.50 per minute +35c flagfall</w:t>
            </w:r>
          </w:p>
        </w:tc>
      </w:tr>
      <w:tr w:rsidR="00DE32CC" w14:paraId="7E28D5FB" w14:textId="77777777" w:rsidTr="00DE32CC">
        <w:tc>
          <w:tcPr>
            <w:tcW w:w="4405" w:type="dxa"/>
            <w:tcBorders>
              <w:top w:val="single" w:sz="4" w:space="0" w:color="auto"/>
              <w:left w:val="single" w:sz="4" w:space="0" w:color="auto"/>
              <w:bottom w:val="single" w:sz="4" w:space="0" w:color="auto"/>
              <w:right w:val="single" w:sz="4" w:space="0" w:color="auto"/>
            </w:tcBorders>
            <w:hideMark/>
          </w:tcPr>
          <w:p w14:paraId="6ACD6B0D" w14:textId="77777777" w:rsidR="00DE32CC" w:rsidRPr="005428C4" w:rsidRDefault="00DE32CC" w:rsidP="00DE32CC">
            <w:pPr>
              <w:pStyle w:val="BodyText"/>
              <w:spacing w:before="100" w:after="100"/>
              <w:rPr>
                <w:bCs/>
                <w:sz w:val="16"/>
                <w:szCs w:val="16"/>
                <w:lang w:eastAsia="en-AU"/>
              </w:rPr>
            </w:pPr>
            <w:r w:rsidRPr="005428C4">
              <w:rPr>
                <w:bCs/>
                <w:sz w:val="16"/>
                <w:szCs w:val="16"/>
                <w:lang w:eastAsia="en-AU"/>
              </w:rPr>
              <w:t xml:space="preserve">International roaming </w:t>
            </w:r>
          </w:p>
        </w:tc>
        <w:tc>
          <w:tcPr>
            <w:tcW w:w="4406" w:type="dxa"/>
            <w:tcBorders>
              <w:top w:val="single" w:sz="4" w:space="0" w:color="auto"/>
              <w:left w:val="single" w:sz="4" w:space="0" w:color="auto"/>
              <w:bottom w:val="single" w:sz="4" w:space="0" w:color="auto"/>
              <w:right w:val="single" w:sz="4" w:space="0" w:color="auto"/>
            </w:tcBorders>
            <w:vAlign w:val="center"/>
            <w:hideMark/>
          </w:tcPr>
          <w:p w14:paraId="6590C6D5" w14:textId="77777777" w:rsidR="00DE32CC" w:rsidRPr="005428C4" w:rsidRDefault="00DE32CC" w:rsidP="00DE32CC">
            <w:pPr>
              <w:pStyle w:val="BodyText"/>
              <w:spacing w:before="100" w:after="100"/>
              <w:jc w:val="center"/>
              <w:rPr>
                <w:sz w:val="16"/>
                <w:szCs w:val="16"/>
              </w:rPr>
            </w:pPr>
            <w:r w:rsidRPr="005428C4">
              <w:rPr>
                <w:sz w:val="16"/>
                <w:szCs w:val="16"/>
              </w:rPr>
              <w:t>See optus.com.au/roaming</w:t>
            </w:r>
          </w:p>
        </w:tc>
      </w:tr>
    </w:tbl>
    <w:p w14:paraId="7FA60101" w14:textId="77777777" w:rsidR="00DE32CC" w:rsidRDefault="00DE32CC" w:rsidP="00DE32CC">
      <w:pPr>
        <w:pStyle w:val="BodyText"/>
        <w:rPr>
          <w:b/>
        </w:rPr>
      </w:pPr>
    </w:p>
    <w:p w14:paraId="1E818943" w14:textId="77777777" w:rsidR="00DE32CC" w:rsidRDefault="00DE32CC" w:rsidP="00DE32CC">
      <w:pPr>
        <w:pStyle w:val="BodyText"/>
        <w:ind w:left="720"/>
      </w:pPr>
      <w:r>
        <w:rPr>
          <w:b/>
        </w:rPr>
        <w:t>Table 3 – International Countries</w:t>
      </w: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2"/>
        <w:gridCol w:w="2183"/>
        <w:gridCol w:w="2182"/>
        <w:gridCol w:w="2183"/>
      </w:tblGrid>
      <w:tr w:rsidR="00DE32CC" w14:paraId="7A6BF280" w14:textId="77777777" w:rsidTr="00DE32CC">
        <w:tc>
          <w:tcPr>
            <w:tcW w:w="2182" w:type="dxa"/>
            <w:tcBorders>
              <w:top w:val="single" w:sz="4" w:space="0" w:color="auto"/>
              <w:left w:val="single" w:sz="4" w:space="0" w:color="auto"/>
              <w:bottom w:val="single" w:sz="4" w:space="0" w:color="auto"/>
              <w:right w:val="single" w:sz="4" w:space="0" w:color="auto"/>
            </w:tcBorders>
            <w:hideMark/>
          </w:tcPr>
          <w:p w14:paraId="6A7B9997" w14:textId="77777777" w:rsidR="00DE32CC" w:rsidRPr="005428C4" w:rsidRDefault="00DE32CC" w:rsidP="00DE32CC">
            <w:pPr>
              <w:pStyle w:val="BodyText"/>
              <w:spacing w:before="100" w:after="100"/>
              <w:rPr>
                <w:b/>
                <w:sz w:val="16"/>
                <w:szCs w:val="16"/>
              </w:rPr>
            </w:pPr>
            <w:r w:rsidRPr="005428C4">
              <w:rPr>
                <w:sz w:val="16"/>
                <w:szCs w:val="16"/>
              </w:rPr>
              <w:t>Brazil</w:t>
            </w:r>
          </w:p>
        </w:tc>
        <w:tc>
          <w:tcPr>
            <w:tcW w:w="2183" w:type="dxa"/>
            <w:tcBorders>
              <w:top w:val="single" w:sz="4" w:space="0" w:color="auto"/>
              <w:left w:val="single" w:sz="4" w:space="0" w:color="auto"/>
              <w:bottom w:val="single" w:sz="4" w:space="0" w:color="auto"/>
              <w:right w:val="single" w:sz="4" w:space="0" w:color="auto"/>
            </w:tcBorders>
            <w:hideMark/>
          </w:tcPr>
          <w:p w14:paraId="22C03649" w14:textId="77777777" w:rsidR="00DE32CC" w:rsidRPr="005428C4" w:rsidRDefault="00DE32CC" w:rsidP="00DE32CC">
            <w:pPr>
              <w:pStyle w:val="BodyText"/>
              <w:spacing w:before="100" w:after="100"/>
              <w:rPr>
                <w:b/>
                <w:sz w:val="16"/>
                <w:szCs w:val="16"/>
              </w:rPr>
            </w:pPr>
            <w:r w:rsidRPr="005428C4">
              <w:rPr>
                <w:sz w:val="16"/>
                <w:szCs w:val="16"/>
              </w:rPr>
              <w:t>Brunei</w:t>
            </w:r>
          </w:p>
        </w:tc>
        <w:tc>
          <w:tcPr>
            <w:tcW w:w="2182" w:type="dxa"/>
            <w:tcBorders>
              <w:top w:val="single" w:sz="4" w:space="0" w:color="auto"/>
              <w:left w:val="single" w:sz="4" w:space="0" w:color="auto"/>
              <w:bottom w:val="single" w:sz="4" w:space="0" w:color="auto"/>
              <w:right w:val="single" w:sz="4" w:space="0" w:color="auto"/>
            </w:tcBorders>
            <w:hideMark/>
          </w:tcPr>
          <w:p w14:paraId="42EF4EBC" w14:textId="77777777" w:rsidR="00DE32CC" w:rsidRPr="005428C4" w:rsidRDefault="00DE32CC" w:rsidP="00DE32CC">
            <w:pPr>
              <w:pStyle w:val="BodyText"/>
              <w:spacing w:before="100" w:after="100"/>
              <w:rPr>
                <w:b/>
                <w:sz w:val="16"/>
                <w:szCs w:val="16"/>
              </w:rPr>
            </w:pPr>
            <w:r w:rsidRPr="005428C4">
              <w:rPr>
                <w:sz w:val="16"/>
                <w:szCs w:val="16"/>
              </w:rPr>
              <w:t>Cambodia</w:t>
            </w:r>
          </w:p>
        </w:tc>
        <w:tc>
          <w:tcPr>
            <w:tcW w:w="2183" w:type="dxa"/>
            <w:tcBorders>
              <w:top w:val="single" w:sz="4" w:space="0" w:color="auto"/>
              <w:left w:val="single" w:sz="4" w:space="0" w:color="auto"/>
              <w:bottom w:val="single" w:sz="4" w:space="0" w:color="auto"/>
              <w:right w:val="single" w:sz="4" w:space="0" w:color="auto"/>
            </w:tcBorders>
            <w:hideMark/>
          </w:tcPr>
          <w:p w14:paraId="71AC4F52" w14:textId="77777777" w:rsidR="00DE32CC" w:rsidRPr="005428C4" w:rsidRDefault="00DE32CC" w:rsidP="00DE32CC">
            <w:pPr>
              <w:pStyle w:val="BodyText"/>
              <w:spacing w:before="100" w:after="100"/>
              <w:rPr>
                <w:b/>
                <w:sz w:val="16"/>
                <w:szCs w:val="16"/>
              </w:rPr>
            </w:pPr>
            <w:r w:rsidRPr="005428C4">
              <w:rPr>
                <w:sz w:val="16"/>
                <w:szCs w:val="16"/>
              </w:rPr>
              <w:t>Canada</w:t>
            </w:r>
          </w:p>
        </w:tc>
      </w:tr>
      <w:tr w:rsidR="00DE32CC" w14:paraId="65C444D2" w14:textId="77777777" w:rsidTr="00DE32CC">
        <w:tc>
          <w:tcPr>
            <w:tcW w:w="2182" w:type="dxa"/>
            <w:tcBorders>
              <w:top w:val="single" w:sz="4" w:space="0" w:color="auto"/>
              <w:left w:val="single" w:sz="4" w:space="0" w:color="auto"/>
              <w:bottom w:val="single" w:sz="4" w:space="0" w:color="auto"/>
              <w:right w:val="single" w:sz="4" w:space="0" w:color="auto"/>
            </w:tcBorders>
            <w:hideMark/>
          </w:tcPr>
          <w:p w14:paraId="1A430021" w14:textId="77777777" w:rsidR="00DE32CC" w:rsidRPr="005428C4" w:rsidRDefault="00DE32CC" w:rsidP="00DE32CC">
            <w:pPr>
              <w:pStyle w:val="BodyText"/>
              <w:spacing w:before="100" w:after="100"/>
              <w:rPr>
                <w:b/>
                <w:sz w:val="16"/>
                <w:szCs w:val="16"/>
              </w:rPr>
            </w:pPr>
            <w:r w:rsidRPr="005428C4">
              <w:rPr>
                <w:sz w:val="16"/>
                <w:szCs w:val="16"/>
              </w:rPr>
              <w:t>Mainland China</w:t>
            </w:r>
          </w:p>
        </w:tc>
        <w:tc>
          <w:tcPr>
            <w:tcW w:w="2183" w:type="dxa"/>
            <w:tcBorders>
              <w:top w:val="single" w:sz="4" w:space="0" w:color="auto"/>
              <w:left w:val="single" w:sz="4" w:space="0" w:color="auto"/>
              <w:bottom w:val="single" w:sz="4" w:space="0" w:color="auto"/>
              <w:right w:val="single" w:sz="4" w:space="0" w:color="auto"/>
            </w:tcBorders>
            <w:hideMark/>
          </w:tcPr>
          <w:p w14:paraId="1768AD8F" w14:textId="77777777" w:rsidR="00DE32CC" w:rsidRPr="005428C4" w:rsidRDefault="00DE32CC" w:rsidP="00DE32CC">
            <w:pPr>
              <w:pStyle w:val="BodyText"/>
              <w:spacing w:before="100" w:after="100"/>
              <w:rPr>
                <w:b/>
                <w:sz w:val="16"/>
                <w:szCs w:val="16"/>
              </w:rPr>
            </w:pPr>
            <w:r w:rsidRPr="005428C4">
              <w:rPr>
                <w:sz w:val="16"/>
                <w:szCs w:val="16"/>
              </w:rPr>
              <w:t>Colombia</w:t>
            </w:r>
          </w:p>
        </w:tc>
        <w:tc>
          <w:tcPr>
            <w:tcW w:w="2182" w:type="dxa"/>
            <w:tcBorders>
              <w:top w:val="single" w:sz="4" w:space="0" w:color="auto"/>
              <w:left w:val="single" w:sz="4" w:space="0" w:color="auto"/>
              <w:bottom w:val="single" w:sz="4" w:space="0" w:color="auto"/>
              <w:right w:val="single" w:sz="4" w:space="0" w:color="auto"/>
            </w:tcBorders>
            <w:hideMark/>
          </w:tcPr>
          <w:p w14:paraId="25D709F0" w14:textId="77777777" w:rsidR="00DE32CC" w:rsidRPr="005428C4" w:rsidRDefault="00DE32CC" w:rsidP="00DE32CC">
            <w:pPr>
              <w:pStyle w:val="BodyText"/>
              <w:spacing w:before="100" w:after="100"/>
              <w:rPr>
                <w:b/>
                <w:sz w:val="16"/>
                <w:szCs w:val="16"/>
              </w:rPr>
            </w:pPr>
            <w:r w:rsidRPr="005428C4">
              <w:rPr>
                <w:sz w:val="16"/>
                <w:szCs w:val="16"/>
              </w:rPr>
              <w:t>Demark</w:t>
            </w:r>
          </w:p>
        </w:tc>
        <w:tc>
          <w:tcPr>
            <w:tcW w:w="2183" w:type="dxa"/>
            <w:tcBorders>
              <w:top w:val="single" w:sz="4" w:space="0" w:color="auto"/>
              <w:left w:val="single" w:sz="4" w:space="0" w:color="auto"/>
              <w:bottom w:val="single" w:sz="4" w:space="0" w:color="auto"/>
              <w:right w:val="single" w:sz="4" w:space="0" w:color="auto"/>
            </w:tcBorders>
            <w:hideMark/>
          </w:tcPr>
          <w:p w14:paraId="45A4FE80" w14:textId="77777777" w:rsidR="00DE32CC" w:rsidRPr="005428C4" w:rsidRDefault="00DE32CC" w:rsidP="00DE32CC">
            <w:pPr>
              <w:pStyle w:val="BodyText"/>
              <w:spacing w:before="100" w:after="100"/>
              <w:rPr>
                <w:b/>
                <w:sz w:val="16"/>
                <w:szCs w:val="16"/>
              </w:rPr>
            </w:pPr>
            <w:r w:rsidRPr="005428C4">
              <w:rPr>
                <w:sz w:val="16"/>
                <w:szCs w:val="16"/>
              </w:rPr>
              <w:t>France</w:t>
            </w:r>
          </w:p>
        </w:tc>
      </w:tr>
      <w:tr w:rsidR="00DE32CC" w14:paraId="29072E6E" w14:textId="77777777" w:rsidTr="00DE32CC">
        <w:tc>
          <w:tcPr>
            <w:tcW w:w="2182" w:type="dxa"/>
            <w:tcBorders>
              <w:top w:val="single" w:sz="4" w:space="0" w:color="auto"/>
              <w:left w:val="single" w:sz="4" w:space="0" w:color="auto"/>
              <w:bottom w:val="single" w:sz="4" w:space="0" w:color="auto"/>
              <w:right w:val="single" w:sz="4" w:space="0" w:color="auto"/>
            </w:tcBorders>
            <w:hideMark/>
          </w:tcPr>
          <w:p w14:paraId="359121B4" w14:textId="77777777" w:rsidR="00DE32CC" w:rsidRPr="005428C4" w:rsidRDefault="00DE32CC" w:rsidP="00DE32CC">
            <w:pPr>
              <w:pStyle w:val="BodyText"/>
              <w:spacing w:before="100" w:after="100"/>
              <w:rPr>
                <w:b/>
                <w:sz w:val="16"/>
                <w:szCs w:val="16"/>
              </w:rPr>
            </w:pPr>
            <w:r w:rsidRPr="005428C4">
              <w:rPr>
                <w:sz w:val="16"/>
                <w:szCs w:val="16"/>
              </w:rPr>
              <w:t>Germany</w:t>
            </w:r>
          </w:p>
        </w:tc>
        <w:tc>
          <w:tcPr>
            <w:tcW w:w="2183" w:type="dxa"/>
            <w:tcBorders>
              <w:top w:val="single" w:sz="4" w:space="0" w:color="auto"/>
              <w:left w:val="single" w:sz="4" w:space="0" w:color="auto"/>
              <w:bottom w:val="single" w:sz="4" w:space="0" w:color="auto"/>
              <w:right w:val="single" w:sz="4" w:space="0" w:color="auto"/>
            </w:tcBorders>
            <w:hideMark/>
          </w:tcPr>
          <w:p w14:paraId="1BC6C212" w14:textId="77777777" w:rsidR="00DE32CC" w:rsidRPr="005428C4" w:rsidRDefault="00DE32CC" w:rsidP="00DE32CC">
            <w:pPr>
              <w:pStyle w:val="BodyText"/>
              <w:spacing w:before="100" w:after="100"/>
              <w:rPr>
                <w:b/>
                <w:sz w:val="16"/>
                <w:szCs w:val="16"/>
              </w:rPr>
            </w:pPr>
            <w:r w:rsidRPr="005428C4">
              <w:rPr>
                <w:sz w:val="16"/>
                <w:szCs w:val="16"/>
              </w:rPr>
              <w:t>Greece</w:t>
            </w:r>
          </w:p>
        </w:tc>
        <w:tc>
          <w:tcPr>
            <w:tcW w:w="2182" w:type="dxa"/>
            <w:tcBorders>
              <w:top w:val="single" w:sz="4" w:space="0" w:color="auto"/>
              <w:left w:val="single" w:sz="4" w:space="0" w:color="auto"/>
              <w:bottom w:val="single" w:sz="4" w:space="0" w:color="auto"/>
              <w:right w:val="single" w:sz="4" w:space="0" w:color="auto"/>
            </w:tcBorders>
            <w:hideMark/>
          </w:tcPr>
          <w:p w14:paraId="330FF18D" w14:textId="77777777" w:rsidR="00DE32CC" w:rsidRPr="005428C4" w:rsidRDefault="00DE32CC" w:rsidP="00DE32CC">
            <w:pPr>
              <w:pStyle w:val="BodyText"/>
              <w:spacing w:before="100" w:after="100"/>
              <w:rPr>
                <w:b/>
                <w:sz w:val="16"/>
                <w:szCs w:val="16"/>
              </w:rPr>
            </w:pPr>
            <w:r w:rsidRPr="005428C4">
              <w:rPr>
                <w:sz w:val="16"/>
                <w:szCs w:val="16"/>
              </w:rPr>
              <w:t>Hong Kong</w:t>
            </w:r>
          </w:p>
        </w:tc>
        <w:tc>
          <w:tcPr>
            <w:tcW w:w="2183" w:type="dxa"/>
            <w:tcBorders>
              <w:top w:val="single" w:sz="4" w:space="0" w:color="auto"/>
              <w:left w:val="single" w:sz="4" w:space="0" w:color="auto"/>
              <w:bottom w:val="single" w:sz="4" w:space="0" w:color="auto"/>
              <w:right w:val="single" w:sz="4" w:space="0" w:color="auto"/>
            </w:tcBorders>
            <w:hideMark/>
          </w:tcPr>
          <w:p w14:paraId="05B26CDE" w14:textId="77777777" w:rsidR="00DE32CC" w:rsidRPr="005428C4" w:rsidRDefault="00DE32CC" w:rsidP="00DE32CC">
            <w:pPr>
              <w:pStyle w:val="BodyText"/>
              <w:spacing w:before="100" w:after="100"/>
              <w:rPr>
                <w:b/>
                <w:sz w:val="16"/>
                <w:szCs w:val="16"/>
              </w:rPr>
            </w:pPr>
            <w:r w:rsidRPr="005428C4">
              <w:rPr>
                <w:sz w:val="16"/>
                <w:szCs w:val="16"/>
              </w:rPr>
              <w:t>Hungary</w:t>
            </w:r>
          </w:p>
        </w:tc>
      </w:tr>
      <w:tr w:rsidR="00DE32CC" w14:paraId="32B2D9BE" w14:textId="77777777" w:rsidTr="00DE32CC">
        <w:tc>
          <w:tcPr>
            <w:tcW w:w="2182" w:type="dxa"/>
            <w:tcBorders>
              <w:top w:val="single" w:sz="4" w:space="0" w:color="auto"/>
              <w:left w:val="single" w:sz="4" w:space="0" w:color="auto"/>
              <w:bottom w:val="single" w:sz="4" w:space="0" w:color="auto"/>
              <w:right w:val="single" w:sz="4" w:space="0" w:color="auto"/>
            </w:tcBorders>
          </w:tcPr>
          <w:p w14:paraId="138D0B21" w14:textId="77777777" w:rsidR="00DE32CC" w:rsidRPr="005428C4" w:rsidRDefault="00DE32CC" w:rsidP="00DE32CC">
            <w:pPr>
              <w:pStyle w:val="BodyText"/>
              <w:spacing w:before="100" w:after="100"/>
              <w:rPr>
                <w:sz w:val="16"/>
                <w:szCs w:val="16"/>
              </w:rPr>
            </w:pPr>
            <w:r w:rsidRPr="005428C4">
              <w:rPr>
                <w:sz w:val="16"/>
                <w:szCs w:val="16"/>
              </w:rPr>
              <w:t>India</w:t>
            </w:r>
          </w:p>
        </w:tc>
        <w:tc>
          <w:tcPr>
            <w:tcW w:w="2183" w:type="dxa"/>
            <w:tcBorders>
              <w:top w:val="single" w:sz="4" w:space="0" w:color="auto"/>
              <w:left w:val="single" w:sz="4" w:space="0" w:color="auto"/>
              <w:bottom w:val="single" w:sz="4" w:space="0" w:color="auto"/>
              <w:right w:val="single" w:sz="4" w:space="0" w:color="auto"/>
            </w:tcBorders>
          </w:tcPr>
          <w:p w14:paraId="24F0AA4F" w14:textId="77777777" w:rsidR="00DE32CC" w:rsidRPr="005428C4" w:rsidRDefault="00DE32CC" w:rsidP="00DE32CC">
            <w:pPr>
              <w:pStyle w:val="BodyText"/>
              <w:spacing w:before="100" w:after="100"/>
              <w:rPr>
                <w:b/>
                <w:sz w:val="16"/>
                <w:szCs w:val="16"/>
              </w:rPr>
            </w:pPr>
            <w:r w:rsidRPr="005428C4">
              <w:rPr>
                <w:sz w:val="16"/>
                <w:szCs w:val="16"/>
              </w:rPr>
              <w:t>Indonesia</w:t>
            </w:r>
          </w:p>
        </w:tc>
        <w:tc>
          <w:tcPr>
            <w:tcW w:w="2182" w:type="dxa"/>
            <w:tcBorders>
              <w:top w:val="single" w:sz="4" w:space="0" w:color="auto"/>
              <w:left w:val="single" w:sz="4" w:space="0" w:color="auto"/>
              <w:bottom w:val="single" w:sz="4" w:space="0" w:color="auto"/>
              <w:right w:val="single" w:sz="4" w:space="0" w:color="auto"/>
            </w:tcBorders>
          </w:tcPr>
          <w:p w14:paraId="3FC270D1" w14:textId="77777777" w:rsidR="00DE32CC" w:rsidRPr="005428C4" w:rsidRDefault="00DE32CC" w:rsidP="00DE32CC">
            <w:pPr>
              <w:pStyle w:val="BodyText"/>
              <w:spacing w:before="100" w:after="100"/>
              <w:rPr>
                <w:b/>
                <w:sz w:val="16"/>
                <w:szCs w:val="16"/>
              </w:rPr>
            </w:pPr>
            <w:r w:rsidRPr="005428C4">
              <w:rPr>
                <w:sz w:val="16"/>
                <w:szCs w:val="16"/>
              </w:rPr>
              <w:t>Ireland</w:t>
            </w:r>
          </w:p>
        </w:tc>
        <w:tc>
          <w:tcPr>
            <w:tcW w:w="2183" w:type="dxa"/>
            <w:tcBorders>
              <w:top w:val="single" w:sz="4" w:space="0" w:color="auto"/>
              <w:left w:val="single" w:sz="4" w:space="0" w:color="auto"/>
              <w:bottom w:val="single" w:sz="4" w:space="0" w:color="auto"/>
              <w:right w:val="single" w:sz="4" w:space="0" w:color="auto"/>
            </w:tcBorders>
          </w:tcPr>
          <w:p w14:paraId="216ECCC8" w14:textId="77777777" w:rsidR="00DE32CC" w:rsidRPr="005428C4" w:rsidRDefault="00DE32CC" w:rsidP="00DE32CC">
            <w:pPr>
              <w:pStyle w:val="BodyText"/>
              <w:spacing w:before="100" w:after="100"/>
              <w:rPr>
                <w:sz w:val="16"/>
                <w:szCs w:val="16"/>
              </w:rPr>
            </w:pPr>
            <w:r w:rsidRPr="005428C4">
              <w:rPr>
                <w:sz w:val="16"/>
                <w:szCs w:val="16"/>
              </w:rPr>
              <w:t>Israel</w:t>
            </w:r>
          </w:p>
        </w:tc>
      </w:tr>
      <w:tr w:rsidR="00DE32CC" w14:paraId="36D39F7F" w14:textId="77777777" w:rsidTr="00DE32CC">
        <w:tc>
          <w:tcPr>
            <w:tcW w:w="2182" w:type="dxa"/>
            <w:tcBorders>
              <w:top w:val="single" w:sz="4" w:space="0" w:color="auto"/>
              <w:left w:val="single" w:sz="4" w:space="0" w:color="auto"/>
              <w:bottom w:val="single" w:sz="4" w:space="0" w:color="auto"/>
              <w:right w:val="single" w:sz="4" w:space="0" w:color="auto"/>
            </w:tcBorders>
          </w:tcPr>
          <w:p w14:paraId="125813A3" w14:textId="77777777" w:rsidR="00DE32CC" w:rsidRPr="005428C4" w:rsidRDefault="00DE32CC" w:rsidP="00DE32CC">
            <w:pPr>
              <w:pStyle w:val="BodyText"/>
              <w:spacing w:before="100" w:after="100"/>
              <w:rPr>
                <w:b/>
                <w:sz w:val="16"/>
                <w:szCs w:val="16"/>
              </w:rPr>
            </w:pPr>
            <w:r w:rsidRPr="005428C4">
              <w:rPr>
                <w:sz w:val="16"/>
                <w:szCs w:val="16"/>
              </w:rPr>
              <w:t>Italy</w:t>
            </w:r>
          </w:p>
        </w:tc>
        <w:tc>
          <w:tcPr>
            <w:tcW w:w="2183" w:type="dxa"/>
            <w:tcBorders>
              <w:top w:val="single" w:sz="4" w:space="0" w:color="auto"/>
              <w:left w:val="single" w:sz="4" w:space="0" w:color="auto"/>
              <w:bottom w:val="single" w:sz="4" w:space="0" w:color="auto"/>
              <w:right w:val="single" w:sz="4" w:space="0" w:color="auto"/>
            </w:tcBorders>
          </w:tcPr>
          <w:p w14:paraId="57F5FDE0" w14:textId="77777777" w:rsidR="00DE32CC" w:rsidRPr="005428C4" w:rsidRDefault="00DE32CC" w:rsidP="00DE32CC">
            <w:pPr>
              <w:pStyle w:val="BodyText"/>
              <w:spacing w:before="100" w:after="100"/>
              <w:rPr>
                <w:sz w:val="16"/>
                <w:szCs w:val="16"/>
              </w:rPr>
            </w:pPr>
            <w:r w:rsidRPr="005428C4">
              <w:rPr>
                <w:sz w:val="16"/>
                <w:szCs w:val="16"/>
              </w:rPr>
              <w:t>Japan</w:t>
            </w:r>
          </w:p>
        </w:tc>
        <w:tc>
          <w:tcPr>
            <w:tcW w:w="2182" w:type="dxa"/>
            <w:tcBorders>
              <w:top w:val="single" w:sz="4" w:space="0" w:color="auto"/>
              <w:left w:val="single" w:sz="4" w:space="0" w:color="auto"/>
              <w:bottom w:val="single" w:sz="4" w:space="0" w:color="auto"/>
              <w:right w:val="single" w:sz="4" w:space="0" w:color="auto"/>
            </w:tcBorders>
          </w:tcPr>
          <w:p w14:paraId="131953EB" w14:textId="77777777" w:rsidR="00DE32CC" w:rsidRPr="005428C4" w:rsidRDefault="00DE32CC" w:rsidP="00DE32CC">
            <w:pPr>
              <w:pStyle w:val="BodyText"/>
              <w:spacing w:before="100" w:after="100"/>
              <w:rPr>
                <w:sz w:val="16"/>
                <w:szCs w:val="16"/>
              </w:rPr>
            </w:pPr>
            <w:r w:rsidRPr="005428C4">
              <w:rPr>
                <w:sz w:val="16"/>
                <w:szCs w:val="16"/>
              </w:rPr>
              <w:t>Laos</w:t>
            </w:r>
          </w:p>
        </w:tc>
        <w:tc>
          <w:tcPr>
            <w:tcW w:w="2183" w:type="dxa"/>
            <w:tcBorders>
              <w:top w:val="single" w:sz="4" w:space="0" w:color="auto"/>
              <w:left w:val="single" w:sz="4" w:space="0" w:color="auto"/>
              <w:bottom w:val="single" w:sz="4" w:space="0" w:color="auto"/>
              <w:right w:val="single" w:sz="4" w:space="0" w:color="auto"/>
            </w:tcBorders>
            <w:hideMark/>
          </w:tcPr>
          <w:p w14:paraId="4DB5142B" w14:textId="77777777" w:rsidR="00DE32CC" w:rsidRPr="005428C4" w:rsidRDefault="00DE32CC" w:rsidP="00DE32CC">
            <w:pPr>
              <w:pStyle w:val="BodyText"/>
              <w:spacing w:before="100" w:after="100"/>
              <w:rPr>
                <w:sz w:val="16"/>
                <w:szCs w:val="16"/>
              </w:rPr>
            </w:pPr>
            <w:r w:rsidRPr="005428C4">
              <w:rPr>
                <w:sz w:val="16"/>
                <w:szCs w:val="16"/>
              </w:rPr>
              <w:t xml:space="preserve">Lebanon </w:t>
            </w:r>
          </w:p>
        </w:tc>
      </w:tr>
      <w:tr w:rsidR="00DE32CC" w14:paraId="6888C51D" w14:textId="77777777" w:rsidTr="00DE32CC">
        <w:tc>
          <w:tcPr>
            <w:tcW w:w="2182" w:type="dxa"/>
            <w:tcBorders>
              <w:top w:val="single" w:sz="4" w:space="0" w:color="auto"/>
              <w:left w:val="single" w:sz="4" w:space="0" w:color="auto"/>
              <w:bottom w:val="single" w:sz="4" w:space="0" w:color="auto"/>
              <w:right w:val="single" w:sz="4" w:space="0" w:color="auto"/>
            </w:tcBorders>
          </w:tcPr>
          <w:p w14:paraId="6F9A97DC" w14:textId="77777777" w:rsidR="00DE32CC" w:rsidRPr="005428C4" w:rsidRDefault="00DE32CC" w:rsidP="00DE32CC">
            <w:pPr>
              <w:pStyle w:val="BodyText"/>
              <w:spacing w:before="100" w:after="100"/>
              <w:rPr>
                <w:sz w:val="16"/>
                <w:szCs w:val="16"/>
              </w:rPr>
            </w:pPr>
            <w:r w:rsidRPr="005428C4">
              <w:rPr>
                <w:sz w:val="16"/>
                <w:szCs w:val="16"/>
              </w:rPr>
              <w:t>Malaysia</w:t>
            </w:r>
          </w:p>
        </w:tc>
        <w:tc>
          <w:tcPr>
            <w:tcW w:w="2183" w:type="dxa"/>
            <w:tcBorders>
              <w:top w:val="single" w:sz="4" w:space="0" w:color="auto"/>
              <w:left w:val="single" w:sz="4" w:space="0" w:color="auto"/>
              <w:bottom w:val="single" w:sz="4" w:space="0" w:color="auto"/>
              <w:right w:val="single" w:sz="4" w:space="0" w:color="auto"/>
            </w:tcBorders>
          </w:tcPr>
          <w:p w14:paraId="18C0D320" w14:textId="77777777" w:rsidR="00DE32CC" w:rsidRPr="005428C4" w:rsidRDefault="00DE32CC" w:rsidP="00DE32CC">
            <w:pPr>
              <w:pStyle w:val="BodyText"/>
              <w:spacing w:before="100" w:after="100"/>
              <w:rPr>
                <w:sz w:val="16"/>
                <w:szCs w:val="16"/>
              </w:rPr>
            </w:pPr>
            <w:r w:rsidRPr="005428C4">
              <w:rPr>
                <w:sz w:val="16"/>
                <w:szCs w:val="16"/>
              </w:rPr>
              <w:t>Malta</w:t>
            </w:r>
          </w:p>
        </w:tc>
        <w:tc>
          <w:tcPr>
            <w:tcW w:w="2182" w:type="dxa"/>
            <w:tcBorders>
              <w:top w:val="single" w:sz="4" w:space="0" w:color="auto"/>
              <w:left w:val="single" w:sz="4" w:space="0" w:color="auto"/>
              <w:bottom w:val="single" w:sz="4" w:space="0" w:color="auto"/>
              <w:right w:val="single" w:sz="4" w:space="0" w:color="auto"/>
            </w:tcBorders>
          </w:tcPr>
          <w:p w14:paraId="3870445F" w14:textId="77777777" w:rsidR="00DE32CC" w:rsidRPr="005428C4" w:rsidRDefault="00DE32CC" w:rsidP="00DE32CC">
            <w:pPr>
              <w:pStyle w:val="BodyText"/>
              <w:spacing w:before="100" w:after="100"/>
              <w:rPr>
                <w:sz w:val="16"/>
                <w:szCs w:val="16"/>
              </w:rPr>
            </w:pPr>
            <w:r w:rsidRPr="005428C4">
              <w:rPr>
                <w:sz w:val="16"/>
                <w:szCs w:val="16"/>
              </w:rPr>
              <w:t>Mexico</w:t>
            </w:r>
          </w:p>
        </w:tc>
        <w:tc>
          <w:tcPr>
            <w:tcW w:w="2183" w:type="dxa"/>
            <w:tcBorders>
              <w:top w:val="single" w:sz="4" w:space="0" w:color="auto"/>
              <w:left w:val="single" w:sz="4" w:space="0" w:color="auto"/>
              <w:bottom w:val="single" w:sz="4" w:space="0" w:color="auto"/>
              <w:right w:val="single" w:sz="4" w:space="0" w:color="auto"/>
            </w:tcBorders>
          </w:tcPr>
          <w:p w14:paraId="45FBD0DF" w14:textId="77777777" w:rsidR="00DE32CC" w:rsidRPr="005428C4" w:rsidRDefault="00DE32CC" w:rsidP="00DE32CC">
            <w:pPr>
              <w:pStyle w:val="BodyText"/>
              <w:spacing w:before="100" w:after="100"/>
              <w:rPr>
                <w:sz w:val="16"/>
                <w:szCs w:val="16"/>
              </w:rPr>
            </w:pPr>
            <w:r w:rsidRPr="005428C4">
              <w:rPr>
                <w:sz w:val="16"/>
                <w:szCs w:val="16"/>
              </w:rPr>
              <w:t>New Zealand</w:t>
            </w:r>
          </w:p>
        </w:tc>
      </w:tr>
      <w:tr w:rsidR="00DE32CC" w14:paraId="42A23879" w14:textId="77777777" w:rsidTr="00DE32CC">
        <w:tc>
          <w:tcPr>
            <w:tcW w:w="2182" w:type="dxa"/>
            <w:tcBorders>
              <w:top w:val="single" w:sz="4" w:space="0" w:color="auto"/>
              <w:left w:val="single" w:sz="4" w:space="0" w:color="auto"/>
              <w:bottom w:val="single" w:sz="4" w:space="0" w:color="auto"/>
              <w:right w:val="single" w:sz="4" w:space="0" w:color="auto"/>
            </w:tcBorders>
          </w:tcPr>
          <w:p w14:paraId="61FEDC06" w14:textId="77777777" w:rsidR="00DE32CC" w:rsidRPr="005428C4" w:rsidRDefault="00DE32CC" w:rsidP="00DE32CC">
            <w:pPr>
              <w:pStyle w:val="BodyText"/>
              <w:spacing w:before="100" w:after="100"/>
              <w:rPr>
                <w:sz w:val="16"/>
                <w:szCs w:val="16"/>
              </w:rPr>
            </w:pPr>
            <w:r w:rsidRPr="005428C4">
              <w:rPr>
                <w:sz w:val="16"/>
                <w:szCs w:val="16"/>
              </w:rPr>
              <w:t>Norway</w:t>
            </w:r>
          </w:p>
        </w:tc>
        <w:tc>
          <w:tcPr>
            <w:tcW w:w="2183" w:type="dxa"/>
            <w:tcBorders>
              <w:top w:val="single" w:sz="4" w:space="0" w:color="auto"/>
              <w:left w:val="single" w:sz="4" w:space="0" w:color="auto"/>
              <w:bottom w:val="single" w:sz="4" w:space="0" w:color="auto"/>
              <w:right w:val="single" w:sz="4" w:space="0" w:color="auto"/>
            </w:tcBorders>
          </w:tcPr>
          <w:p w14:paraId="094BC101" w14:textId="77777777" w:rsidR="00DE32CC" w:rsidRPr="005428C4" w:rsidRDefault="00DE32CC" w:rsidP="00DE32CC">
            <w:pPr>
              <w:pStyle w:val="BodyText"/>
              <w:spacing w:before="100" w:after="100"/>
              <w:rPr>
                <w:sz w:val="16"/>
                <w:szCs w:val="16"/>
              </w:rPr>
            </w:pPr>
            <w:r w:rsidRPr="005428C4">
              <w:rPr>
                <w:sz w:val="16"/>
                <w:szCs w:val="16"/>
              </w:rPr>
              <w:t>Poland</w:t>
            </w:r>
          </w:p>
        </w:tc>
        <w:tc>
          <w:tcPr>
            <w:tcW w:w="2182" w:type="dxa"/>
            <w:tcBorders>
              <w:top w:val="single" w:sz="4" w:space="0" w:color="auto"/>
              <w:left w:val="single" w:sz="4" w:space="0" w:color="auto"/>
              <w:bottom w:val="single" w:sz="4" w:space="0" w:color="auto"/>
              <w:right w:val="single" w:sz="4" w:space="0" w:color="auto"/>
            </w:tcBorders>
          </w:tcPr>
          <w:p w14:paraId="3A37E947" w14:textId="77777777" w:rsidR="00DE32CC" w:rsidRPr="005428C4" w:rsidRDefault="00DE32CC" w:rsidP="00DE32CC">
            <w:pPr>
              <w:pStyle w:val="BodyText"/>
              <w:spacing w:before="100" w:after="100"/>
              <w:rPr>
                <w:sz w:val="16"/>
                <w:szCs w:val="16"/>
              </w:rPr>
            </w:pPr>
            <w:r w:rsidRPr="005428C4">
              <w:rPr>
                <w:sz w:val="16"/>
                <w:szCs w:val="16"/>
              </w:rPr>
              <w:t xml:space="preserve">Romania </w:t>
            </w:r>
          </w:p>
        </w:tc>
        <w:tc>
          <w:tcPr>
            <w:tcW w:w="2183" w:type="dxa"/>
            <w:tcBorders>
              <w:top w:val="single" w:sz="4" w:space="0" w:color="auto"/>
              <w:left w:val="single" w:sz="4" w:space="0" w:color="auto"/>
              <w:bottom w:val="single" w:sz="4" w:space="0" w:color="auto"/>
              <w:right w:val="single" w:sz="4" w:space="0" w:color="auto"/>
            </w:tcBorders>
            <w:hideMark/>
          </w:tcPr>
          <w:p w14:paraId="0DFD1F30" w14:textId="77777777" w:rsidR="00DE32CC" w:rsidRPr="005428C4" w:rsidRDefault="00DE32CC" w:rsidP="00DE32CC">
            <w:pPr>
              <w:pStyle w:val="BodyText"/>
              <w:spacing w:before="100" w:after="100"/>
              <w:rPr>
                <w:sz w:val="16"/>
                <w:szCs w:val="16"/>
              </w:rPr>
            </w:pPr>
            <w:r w:rsidRPr="005428C4">
              <w:rPr>
                <w:sz w:val="16"/>
                <w:szCs w:val="16"/>
              </w:rPr>
              <w:t>Singapore</w:t>
            </w:r>
          </w:p>
        </w:tc>
      </w:tr>
      <w:tr w:rsidR="00DE32CC" w14:paraId="2E2162D5" w14:textId="77777777" w:rsidTr="00DE32CC">
        <w:tc>
          <w:tcPr>
            <w:tcW w:w="2182" w:type="dxa"/>
            <w:tcBorders>
              <w:top w:val="single" w:sz="4" w:space="0" w:color="auto"/>
              <w:left w:val="single" w:sz="4" w:space="0" w:color="auto"/>
              <w:bottom w:val="single" w:sz="4" w:space="0" w:color="auto"/>
              <w:right w:val="single" w:sz="4" w:space="0" w:color="auto"/>
            </w:tcBorders>
          </w:tcPr>
          <w:p w14:paraId="645D5119" w14:textId="77777777" w:rsidR="00DE32CC" w:rsidRPr="005428C4" w:rsidRDefault="00DE32CC" w:rsidP="00DE32CC">
            <w:pPr>
              <w:pStyle w:val="BodyText"/>
              <w:spacing w:before="100" w:after="100"/>
              <w:rPr>
                <w:sz w:val="16"/>
                <w:szCs w:val="16"/>
              </w:rPr>
            </w:pPr>
            <w:r w:rsidRPr="005428C4">
              <w:rPr>
                <w:sz w:val="16"/>
                <w:szCs w:val="16"/>
              </w:rPr>
              <w:t>South Korea</w:t>
            </w:r>
          </w:p>
        </w:tc>
        <w:tc>
          <w:tcPr>
            <w:tcW w:w="2183" w:type="dxa"/>
            <w:tcBorders>
              <w:top w:val="single" w:sz="4" w:space="0" w:color="auto"/>
              <w:left w:val="single" w:sz="4" w:space="0" w:color="auto"/>
              <w:bottom w:val="single" w:sz="4" w:space="0" w:color="auto"/>
              <w:right w:val="single" w:sz="4" w:space="0" w:color="auto"/>
            </w:tcBorders>
          </w:tcPr>
          <w:p w14:paraId="6AFD0F6F" w14:textId="77777777" w:rsidR="00DE32CC" w:rsidRPr="005428C4" w:rsidRDefault="00DE32CC" w:rsidP="00DE32CC">
            <w:pPr>
              <w:pStyle w:val="BodyText"/>
              <w:spacing w:before="100" w:after="100"/>
              <w:rPr>
                <w:sz w:val="16"/>
                <w:szCs w:val="16"/>
              </w:rPr>
            </w:pPr>
            <w:r w:rsidRPr="005428C4">
              <w:rPr>
                <w:sz w:val="16"/>
                <w:szCs w:val="16"/>
              </w:rPr>
              <w:t>Sweden</w:t>
            </w:r>
          </w:p>
        </w:tc>
        <w:tc>
          <w:tcPr>
            <w:tcW w:w="2182" w:type="dxa"/>
            <w:tcBorders>
              <w:top w:val="single" w:sz="4" w:space="0" w:color="auto"/>
              <w:left w:val="single" w:sz="4" w:space="0" w:color="auto"/>
              <w:bottom w:val="single" w:sz="4" w:space="0" w:color="auto"/>
              <w:right w:val="single" w:sz="4" w:space="0" w:color="auto"/>
            </w:tcBorders>
          </w:tcPr>
          <w:p w14:paraId="09460FFC" w14:textId="77777777" w:rsidR="00DE32CC" w:rsidRPr="005428C4" w:rsidRDefault="00DE32CC" w:rsidP="00DE32CC">
            <w:pPr>
              <w:pStyle w:val="BodyText"/>
              <w:spacing w:before="100" w:after="100"/>
              <w:rPr>
                <w:sz w:val="16"/>
                <w:szCs w:val="16"/>
              </w:rPr>
            </w:pPr>
            <w:r w:rsidRPr="005428C4">
              <w:rPr>
                <w:sz w:val="16"/>
                <w:szCs w:val="16"/>
              </w:rPr>
              <w:t>Taiwan</w:t>
            </w:r>
          </w:p>
        </w:tc>
        <w:tc>
          <w:tcPr>
            <w:tcW w:w="2183" w:type="dxa"/>
            <w:tcBorders>
              <w:top w:val="single" w:sz="4" w:space="0" w:color="auto"/>
              <w:left w:val="single" w:sz="4" w:space="0" w:color="auto"/>
              <w:bottom w:val="single" w:sz="4" w:space="0" w:color="auto"/>
              <w:right w:val="single" w:sz="4" w:space="0" w:color="auto"/>
            </w:tcBorders>
          </w:tcPr>
          <w:p w14:paraId="5FDFF75C" w14:textId="77777777" w:rsidR="00DE32CC" w:rsidRPr="005428C4" w:rsidRDefault="00DE32CC" w:rsidP="00DE32CC">
            <w:pPr>
              <w:pStyle w:val="BodyText"/>
              <w:spacing w:before="100" w:after="100"/>
              <w:rPr>
                <w:sz w:val="16"/>
                <w:szCs w:val="16"/>
              </w:rPr>
            </w:pPr>
            <w:r w:rsidRPr="005428C4">
              <w:rPr>
                <w:sz w:val="16"/>
                <w:szCs w:val="16"/>
              </w:rPr>
              <w:t>Thailand</w:t>
            </w:r>
          </w:p>
        </w:tc>
      </w:tr>
      <w:tr w:rsidR="00DE32CC" w14:paraId="68615E53" w14:textId="77777777" w:rsidTr="00DE32CC">
        <w:tc>
          <w:tcPr>
            <w:tcW w:w="2182" w:type="dxa"/>
            <w:tcBorders>
              <w:top w:val="single" w:sz="4" w:space="0" w:color="auto"/>
              <w:left w:val="single" w:sz="4" w:space="0" w:color="auto"/>
              <w:bottom w:val="single" w:sz="4" w:space="0" w:color="auto"/>
              <w:right w:val="single" w:sz="4" w:space="0" w:color="auto"/>
            </w:tcBorders>
          </w:tcPr>
          <w:p w14:paraId="51D95A1F" w14:textId="77777777" w:rsidR="00DE32CC" w:rsidRPr="005428C4" w:rsidRDefault="00DE32CC" w:rsidP="00DE32CC">
            <w:pPr>
              <w:pStyle w:val="BodyText"/>
              <w:spacing w:before="100" w:after="100"/>
              <w:rPr>
                <w:sz w:val="16"/>
                <w:szCs w:val="16"/>
              </w:rPr>
            </w:pPr>
            <w:r w:rsidRPr="005428C4">
              <w:rPr>
                <w:sz w:val="16"/>
                <w:szCs w:val="16"/>
              </w:rPr>
              <w:t>United Kingdom</w:t>
            </w:r>
          </w:p>
        </w:tc>
        <w:tc>
          <w:tcPr>
            <w:tcW w:w="2183" w:type="dxa"/>
            <w:tcBorders>
              <w:top w:val="single" w:sz="4" w:space="0" w:color="auto"/>
              <w:left w:val="single" w:sz="4" w:space="0" w:color="auto"/>
              <w:bottom w:val="single" w:sz="4" w:space="0" w:color="auto"/>
              <w:right w:val="single" w:sz="4" w:space="0" w:color="auto"/>
            </w:tcBorders>
          </w:tcPr>
          <w:p w14:paraId="1A6341D0" w14:textId="77777777" w:rsidR="00DE32CC" w:rsidRPr="005428C4" w:rsidRDefault="00DE32CC" w:rsidP="00DE32CC">
            <w:pPr>
              <w:pStyle w:val="BodyText"/>
              <w:spacing w:before="100" w:after="100"/>
              <w:rPr>
                <w:sz w:val="16"/>
                <w:szCs w:val="16"/>
              </w:rPr>
            </w:pPr>
            <w:r w:rsidRPr="005428C4">
              <w:rPr>
                <w:sz w:val="16"/>
                <w:szCs w:val="16"/>
              </w:rPr>
              <w:t>USA</w:t>
            </w:r>
          </w:p>
        </w:tc>
        <w:tc>
          <w:tcPr>
            <w:tcW w:w="2182" w:type="dxa"/>
            <w:tcBorders>
              <w:top w:val="single" w:sz="4" w:space="0" w:color="auto"/>
              <w:left w:val="single" w:sz="4" w:space="0" w:color="auto"/>
              <w:bottom w:val="single" w:sz="4" w:space="0" w:color="auto"/>
              <w:right w:val="single" w:sz="4" w:space="0" w:color="auto"/>
            </w:tcBorders>
          </w:tcPr>
          <w:p w14:paraId="6CE08746" w14:textId="77777777" w:rsidR="00DE32CC" w:rsidRPr="005428C4" w:rsidRDefault="00DE32CC" w:rsidP="00DE32CC">
            <w:pPr>
              <w:pStyle w:val="BodyText"/>
              <w:spacing w:before="100" w:after="100"/>
              <w:rPr>
                <w:sz w:val="16"/>
                <w:szCs w:val="16"/>
              </w:rPr>
            </w:pPr>
            <w:r w:rsidRPr="005428C4">
              <w:rPr>
                <w:sz w:val="16"/>
                <w:szCs w:val="16"/>
              </w:rPr>
              <w:t>Vietnam</w:t>
            </w:r>
          </w:p>
        </w:tc>
        <w:tc>
          <w:tcPr>
            <w:tcW w:w="2183" w:type="dxa"/>
            <w:tcBorders>
              <w:top w:val="single" w:sz="4" w:space="0" w:color="auto"/>
              <w:left w:val="single" w:sz="4" w:space="0" w:color="auto"/>
              <w:bottom w:val="single" w:sz="4" w:space="0" w:color="auto"/>
              <w:right w:val="single" w:sz="4" w:space="0" w:color="auto"/>
            </w:tcBorders>
          </w:tcPr>
          <w:p w14:paraId="7CB289E7" w14:textId="77777777" w:rsidR="00DE32CC" w:rsidRPr="005428C4" w:rsidRDefault="00DE32CC" w:rsidP="00DE32CC">
            <w:pPr>
              <w:pStyle w:val="BodyText"/>
              <w:spacing w:before="100" w:after="100"/>
              <w:rPr>
                <w:sz w:val="16"/>
                <w:szCs w:val="16"/>
              </w:rPr>
            </w:pPr>
          </w:p>
        </w:tc>
      </w:tr>
    </w:tbl>
    <w:p w14:paraId="7A6C7648" w14:textId="77777777" w:rsidR="00DE32CC" w:rsidRDefault="00DE32CC" w:rsidP="00DE32CC">
      <w:pPr>
        <w:pStyle w:val="BodyText"/>
      </w:pPr>
    </w:p>
    <w:p w14:paraId="2E02AA15" w14:textId="77777777" w:rsidR="00DE32CC" w:rsidRDefault="00DE32CC" w:rsidP="00DE32CC">
      <w:pPr>
        <w:pStyle w:val="Heading6"/>
        <w:ind w:left="0" w:firstLine="0"/>
        <w:rPr>
          <w:lang w:val="en-AU"/>
        </w:rPr>
      </w:pPr>
      <w:bookmarkStart w:id="2418" w:name="_Toc529178429"/>
      <w:r>
        <w:rPr>
          <w:lang w:val="en-AU"/>
        </w:rPr>
        <w:t>My Account</w:t>
      </w:r>
      <w:bookmarkEnd w:id="2418"/>
    </w:p>
    <w:p w14:paraId="3743C045" w14:textId="77777777" w:rsidR="00DE32CC" w:rsidRDefault="00DE32CC" w:rsidP="00DE32CC">
      <w:pPr>
        <w:pStyle w:val="BodyText"/>
        <w:ind w:left="720"/>
        <w:rPr>
          <w:lang w:val="en-AU"/>
        </w:rPr>
      </w:pPr>
      <w:r>
        <w:rPr>
          <w:lang w:val="en-AU"/>
        </w:rPr>
        <w:t xml:space="preserve">Services that share data may have a service login to My Account which will display all of the service numbers contributing to or using the shared data pool on </w:t>
      </w:r>
      <w:r>
        <w:rPr>
          <w:i/>
          <w:lang w:val="en-AU"/>
        </w:rPr>
        <w:t xml:space="preserve">your </w:t>
      </w:r>
      <w:r>
        <w:rPr>
          <w:lang w:val="en-AU"/>
        </w:rPr>
        <w:t xml:space="preserve">account and the amount of data each service has used. If </w:t>
      </w:r>
      <w:r>
        <w:rPr>
          <w:i/>
          <w:lang w:val="en-AU"/>
        </w:rPr>
        <w:t>you</w:t>
      </w:r>
      <w:r>
        <w:rPr>
          <w:lang w:val="en-AU"/>
        </w:rPr>
        <w:t xml:space="preserve"> have more than 6 services on </w:t>
      </w:r>
      <w:r>
        <w:rPr>
          <w:i/>
          <w:lang w:val="en-AU"/>
        </w:rPr>
        <w:t>your</w:t>
      </w:r>
      <w:r>
        <w:rPr>
          <w:lang w:val="en-AU"/>
        </w:rPr>
        <w:t xml:space="preserve"> account, My Account may not be suitable for viewing usage and managing </w:t>
      </w:r>
      <w:r>
        <w:rPr>
          <w:i/>
          <w:lang w:val="en-AU"/>
        </w:rPr>
        <w:t xml:space="preserve">your </w:t>
      </w:r>
      <w:r>
        <w:rPr>
          <w:lang w:val="en-AU"/>
        </w:rPr>
        <w:t>usage alerts.</w:t>
      </w:r>
    </w:p>
    <w:p w14:paraId="3D33EC56" w14:textId="77777777" w:rsidR="00DE32CC" w:rsidRDefault="00DE32CC" w:rsidP="00DE32CC">
      <w:pPr>
        <w:pStyle w:val="Heading6"/>
        <w:ind w:left="0" w:firstLine="0"/>
        <w:rPr>
          <w:lang w:val="en-AU"/>
        </w:rPr>
      </w:pPr>
      <w:bookmarkStart w:id="2419" w:name="_Toc529178430"/>
      <w:r>
        <w:rPr>
          <w:lang w:val="en-AU"/>
        </w:rPr>
        <w:t xml:space="preserve">What happens if the </w:t>
      </w:r>
      <w:r>
        <w:rPr>
          <w:i/>
          <w:lang w:val="en-AU"/>
        </w:rPr>
        <w:t xml:space="preserve">service </w:t>
      </w:r>
      <w:r>
        <w:rPr>
          <w:lang w:val="en-AU"/>
        </w:rPr>
        <w:t>is</w:t>
      </w:r>
      <w:r>
        <w:rPr>
          <w:i/>
          <w:lang w:val="en-AU"/>
        </w:rPr>
        <w:t xml:space="preserve"> cancelled </w:t>
      </w:r>
      <w:r>
        <w:rPr>
          <w:lang w:val="en-AU"/>
        </w:rPr>
        <w:t>early?</w:t>
      </w:r>
      <w:bookmarkEnd w:id="2419"/>
    </w:p>
    <w:p w14:paraId="0BFE6DD8" w14:textId="77777777" w:rsidR="00DE32CC" w:rsidRDefault="00DE32CC" w:rsidP="00DE32CC">
      <w:pPr>
        <w:pStyle w:val="Heading7"/>
        <w:rPr>
          <w:lang w:val="en-AU"/>
        </w:rPr>
      </w:pPr>
      <w:r>
        <w:rPr>
          <w:lang w:val="en-AU"/>
        </w:rPr>
        <w:t>If the</w:t>
      </w:r>
      <w:r>
        <w:rPr>
          <w:i/>
          <w:lang w:val="en-AU"/>
        </w:rPr>
        <w:t xml:space="preserve"> service</w:t>
      </w:r>
      <w:r>
        <w:rPr>
          <w:lang w:val="en-AU"/>
        </w:rPr>
        <w:t xml:space="preserve"> is</w:t>
      </w:r>
      <w:r>
        <w:rPr>
          <w:i/>
          <w:lang w:val="en-AU"/>
        </w:rPr>
        <w:t xml:space="preserve"> cancelled </w:t>
      </w:r>
      <w:r>
        <w:rPr>
          <w:lang w:val="en-AU"/>
        </w:rPr>
        <w:t xml:space="preserve">before the end of </w:t>
      </w:r>
      <w:r>
        <w:rPr>
          <w:i/>
          <w:lang w:val="en-AU"/>
        </w:rPr>
        <w:t xml:space="preserve">your minimum term, you </w:t>
      </w:r>
      <w:r>
        <w:rPr>
          <w:lang w:val="en-AU"/>
        </w:rPr>
        <w:t xml:space="preserve">will be required to pay </w:t>
      </w:r>
      <w:r>
        <w:rPr>
          <w:i/>
          <w:lang w:val="en-AU"/>
        </w:rPr>
        <w:t>us</w:t>
      </w:r>
      <w:r>
        <w:rPr>
          <w:lang w:val="en-AU"/>
        </w:rPr>
        <w:t>:</w:t>
      </w:r>
    </w:p>
    <w:p w14:paraId="3AC8BFB3" w14:textId="77777777" w:rsidR="00DE32CC" w:rsidRDefault="00DE32CC" w:rsidP="00DE32CC">
      <w:pPr>
        <w:pStyle w:val="Heading8"/>
        <w:rPr>
          <w:lang w:val="en-AU"/>
        </w:rPr>
      </w:pPr>
      <w:r>
        <w:rPr>
          <w:lang w:val="en-AU"/>
        </w:rPr>
        <w:t xml:space="preserve">any usage charges incurred up to, and including, the </w:t>
      </w:r>
      <w:r>
        <w:rPr>
          <w:i/>
          <w:lang w:val="en-AU"/>
        </w:rPr>
        <w:t xml:space="preserve">cancellation date; </w:t>
      </w:r>
      <w:r>
        <w:rPr>
          <w:lang w:val="en-AU"/>
        </w:rPr>
        <w:t>plus</w:t>
      </w:r>
    </w:p>
    <w:p w14:paraId="426F13C3" w14:textId="77777777" w:rsidR="00DE32CC" w:rsidRDefault="00DE32CC" w:rsidP="00DE32CC">
      <w:pPr>
        <w:pStyle w:val="Heading8"/>
        <w:rPr>
          <w:lang w:val="en-AU"/>
        </w:rPr>
      </w:pPr>
      <w:r>
        <w:rPr>
          <w:lang w:val="en-AU"/>
        </w:rPr>
        <w:t xml:space="preserve">the </w:t>
      </w:r>
      <w:r>
        <w:rPr>
          <w:i/>
          <w:lang w:val="en-AU"/>
        </w:rPr>
        <w:t>cancellation fees</w:t>
      </w:r>
      <w:r>
        <w:rPr>
          <w:lang w:val="en-AU"/>
        </w:rPr>
        <w:t xml:space="preserve"> set out in paragraph (b) below (unless under clause 2A of the </w:t>
      </w:r>
      <w:r>
        <w:rPr>
          <w:i/>
          <w:lang w:val="en-AU"/>
        </w:rPr>
        <w:t>consumer terms</w:t>
      </w:r>
      <w:r>
        <w:rPr>
          <w:lang w:val="en-AU"/>
        </w:rPr>
        <w:t xml:space="preserve">, </w:t>
      </w:r>
      <w:r>
        <w:rPr>
          <w:i/>
          <w:lang w:val="en-AU"/>
        </w:rPr>
        <w:t>you</w:t>
      </w:r>
      <w:r>
        <w:rPr>
          <w:lang w:val="en-AU"/>
        </w:rPr>
        <w:t xml:space="preserve"> are entitled to </w:t>
      </w:r>
      <w:r>
        <w:rPr>
          <w:i/>
          <w:lang w:val="en-AU"/>
        </w:rPr>
        <w:t>cancel the service</w:t>
      </w:r>
      <w:r>
        <w:rPr>
          <w:lang w:val="en-AU"/>
        </w:rPr>
        <w:t xml:space="preserve"> without incurring a </w:t>
      </w:r>
      <w:r>
        <w:rPr>
          <w:i/>
          <w:lang w:val="en-AU"/>
        </w:rPr>
        <w:t>cancellation fee</w:t>
      </w:r>
      <w:r>
        <w:rPr>
          <w:lang w:val="en-AU"/>
        </w:rPr>
        <w:t>); plus</w:t>
      </w:r>
    </w:p>
    <w:p w14:paraId="3A560299" w14:textId="77777777" w:rsidR="00DE32CC" w:rsidRDefault="00DE32CC" w:rsidP="00DE32CC">
      <w:pPr>
        <w:pStyle w:val="Heading7"/>
        <w:rPr>
          <w:lang w:val="en-AU"/>
        </w:rPr>
      </w:pPr>
      <w:r>
        <w:rPr>
          <w:lang w:val="en-AU"/>
        </w:rPr>
        <w:t xml:space="preserve">Note, any Handset Credit </w:t>
      </w:r>
      <w:r>
        <w:rPr>
          <w:i/>
          <w:lang w:val="en-AU"/>
        </w:rPr>
        <w:t xml:space="preserve">you </w:t>
      </w:r>
      <w:r>
        <w:rPr>
          <w:lang w:val="en-AU"/>
        </w:rPr>
        <w:t xml:space="preserve">were entitled to will be forfeited (see 5.5 above) if the account is cancelled. </w:t>
      </w:r>
    </w:p>
    <w:p w14:paraId="10AE6A7F" w14:textId="77777777" w:rsidR="00DE32CC" w:rsidRDefault="00DE32CC" w:rsidP="00DE32CC">
      <w:pPr>
        <w:pStyle w:val="Heading7"/>
      </w:pPr>
      <w:r>
        <w:t xml:space="preserve">The </w:t>
      </w:r>
      <w:r>
        <w:rPr>
          <w:i/>
        </w:rPr>
        <w:t>cancellation fee</w:t>
      </w:r>
      <w:r>
        <w:t xml:space="preserve"> is calculated as the following amounts, multiplied by the months remaining on </w:t>
      </w:r>
      <w:r>
        <w:rPr>
          <w:i/>
        </w:rPr>
        <w:t>your minimum term</w:t>
      </w:r>
      <w:r>
        <w:t>:</w:t>
      </w:r>
    </w:p>
    <w:tbl>
      <w:tblPr>
        <w:tblpPr w:leftFromText="180" w:rightFromText="180" w:vertAnchor="text" w:horzAnchor="margin" w:tblpY="39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1442"/>
        <w:gridCol w:w="1443"/>
        <w:gridCol w:w="1443"/>
        <w:gridCol w:w="1443"/>
        <w:gridCol w:w="1447"/>
        <w:gridCol w:w="1445"/>
      </w:tblGrid>
      <w:tr w:rsidR="00DE32CC" w14:paraId="1FCE5421" w14:textId="77777777" w:rsidTr="00DE32CC">
        <w:trPr>
          <w:trHeight w:val="289"/>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0E38457C" w14:textId="77777777" w:rsidR="00DE32CC" w:rsidRDefault="00DE32CC" w:rsidP="00DE32CC">
            <w:pPr>
              <w:pStyle w:val="BodyText"/>
              <w:spacing w:before="100" w:after="100"/>
              <w:jc w:val="center"/>
              <w:rPr>
                <w:b/>
                <w:lang w:eastAsia="en-AU"/>
              </w:rPr>
            </w:pPr>
            <w:r>
              <w:rPr>
                <w:b/>
                <w:lang w:eastAsia="en-AU"/>
              </w:rPr>
              <w:lastRenderedPageBreak/>
              <w:t xml:space="preserve">Business Plus </w:t>
            </w:r>
            <w:r>
              <w:rPr>
                <w:b/>
                <w:snapToGrid w:val="0"/>
              </w:rPr>
              <w:t>Tech Fund</w:t>
            </w:r>
          </w:p>
        </w:tc>
      </w:tr>
      <w:tr w:rsidR="00DE32CC" w14:paraId="09CF8042" w14:textId="77777777" w:rsidTr="00DE32CC">
        <w:trPr>
          <w:trHeight w:val="182"/>
        </w:trPr>
        <w:tc>
          <w:tcPr>
            <w:tcW w:w="749" w:type="pct"/>
            <w:tcBorders>
              <w:top w:val="single" w:sz="4" w:space="0" w:color="auto"/>
              <w:left w:val="single" w:sz="4" w:space="0" w:color="auto"/>
              <w:bottom w:val="single" w:sz="4" w:space="0" w:color="auto"/>
              <w:right w:val="single" w:sz="4" w:space="0" w:color="auto"/>
            </w:tcBorders>
            <w:vAlign w:val="center"/>
            <w:hideMark/>
          </w:tcPr>
          <w:p w14:paraId="497E44AA" w14:textId="77777777" w:rsidR="00DE32CC" w:rsidRPr="005428C4" w:rsidRDefault="00DE32CC" w:rsidP="00DE32CC">
            <w:pPr>
              <w:pStyle w:val="BodyText"/>
              <w:spacing w:before="100" w:after="100"/>
              <w:jc w:val="center"/>
              <w:rPr>
                <w:b/>
                <w:sz w:val="16"/>
                <w:szCs w:val="16"/>
              </w:rPr>
            </w:pPr>
            <w:r w:rsidRPr="005428C4">
              <w:rPr>
                <w:b/>
                <w:sz w:val="16"/>
                <w:szCs w:val="16"/>
              </w:rPr>
              <w:t>Plan</w:t>
            </w:r>
          </w:p>
        </w:tc>
        <w:tc>
          <w:tcPr>
            <w:tcW w:w="708" w:type="pct"/>
            <w:tcBorders>
              <w:top w:val="single" w:sz="4" w:space="0" w:color="auto"/>
              <w:left w:val="single" w:sz="4" w:space="0" w:color="auto"/>
              <w:bottom w:val="single" w:sz="4" w:space="0" w:color="auto"/>
              <w:right w:val="single" w:sz="4" w:space="0" w:color="auto"/>
            </w:tcBorders>
            <w:vAlign w:val="center"/>
            <w:hideMark/>
          </w:tcPr>
          <w:p w14:paraId="0C1CFCF6" w14:textId="77777777" w:rsidR="00DE32CC" w:rsidRPr="005428C4" w:rsidRDefault="00DE32CC" w:rsidP="00DE32CC">
            <w:pPr>
              <w:pStyle w:val="BodyText"/>
              <w:spacing w:before="100" w:after="100"/>
              <w:jc w:val="center"/>
              <w:rPr>
                <w:b/>
                <w:sz w:val="16"/>
                <w:szCs w:val="16"/>
              </w:rPr>
            </w:pPr>
            <w:r w:rsidRPr="005428C4">
              <w:rPr>
                <w:b/>
                <w:sz w:val="16"/>
                <w:szCs w:val="16"/>
              </w:rPr>
              <w:t xml:space="preserve">$45 Business Plus </w:t>
            </w:r>
            <w:r w:rsidRPr="005428C4">
              <w:rPr>
                <w:b/>
                <w:snapToGrid w:val="0"/>
                <w:sz w:val="16"/>
                <w:szCs w:val="16"/>
              </w:rPr>
              <w:t>Tech Fund</w:t>
            </w:r>
          </w:p>
        </w:tc>
        <w:tc>
          <w:tcPr>
            <w:tcW w:w="708" w:type="pct"/>
            <w:tcBorders>
              <w:top w:val="single" w:sz="4" w:space="0" w:color="auto"/>
              <w:left w:val="single" w:sz="4" w:space="0" w:color="auto"/>
              <w:bottom w:val="single" w:sz="4" w:space="0" w:color="auto"/>
              <w:right w:val="single" w:sz="4" w:space="0" w:color="auto"/>
            </w:tcBorders>
            <w:vAlign w:val="center"/>
            <w:hideMark/>
          </w:tcPr>
          <w:p w14:paraId="4F211C9E" w14:textId="77777777" w:rsidR="00DE32CC" w:rsidRPr="005428C4" w:rsidRDefault="00DE32CC" w:rsidP="00DE32CC">
            <w:pPr>
              <w:pStyle w:val="BodyText"/>
              <w:spacing w:before="100" w:after="100"/>
              <w:jc w:val="center"/>
              <w:rPr>
                <w:b/>
                <w:sz w:val="16"/>
                <w:szCs w:val="16"/>
              </w:rPr>
            </w:pPr>
            <w:r w:rsidRPr="005428C4">
              <w:rPr>
                <w:b/>
                <w:sz w:val="16"/>
                <w:szCs w:val="16"/>
              </w:rPr>
              <w:t>$65 Business</w:t>
            </w:r>
            <w:r w:rsidRPr="005428C4">
              <w:rPr>
                <w:b/>
                <w:snapToGrid w:val="0"/>
                <w:sz w:val="16"/>
                <w:szCs w:val="16"/>
              </w:rPr>
              <w:t xml:space="preserve"> Plus Tech Fund</w:t>
            </w:r>
          </w:p>
        </w:tc>
        <w:tc>
          <w:tcPr>
            <w:tcW w:w="708" w:type="pct"/>
            <w:tcBorders>
              <w:top w:val="single" w:sz="4" w:space="0" w:color="auto"/>
              <w:left w:val="single" w:sz="4" w:space="0" w:color="auto"/>
              <w:bottom w:val="single" w:sz="4" w:space="0" w:color="auto"/>
              <w:right w:val="single" w:sz="4" w:space="0" w:color="auto"/>
            </w:tcBorders>
            <w:vAlign w:val="center"/>
            <w:hideMark/>
          </w:tcPr>
          <w:p w14:paraId="4453BC87" w14:textId="77777777" w:rsidR="00DE32CC" w:rsidRPr="005428C4" w:rsidRDefault="00DE32CC" w:rsidP="00DE32CC">
            <w:pPr>
              <w:pStyle w:val="BodyText"/>
              <w:spacing w:before="100" w:after="100"/>
              <w:jc w:val="center"/>
              <w:rPr>
                <w:b/>
                <w:sz w:val="16"/>
                <w:szCs w:val="16"/>
              </w:rPr>
            </w:pPr>
            <w:r w:rsidRPr="005428C4">
              <w:rPr>
                <w:b/>
                <w:sz w:val="16"/>
                <w:szCs w:val="16"/>
              </w:rPr>
              <w:t>$85 Business</w:t>
            </w:r>
            <w:r w:rsidRPr="005428C4">
              <w:rPr>
                <w:b/>
                <w:snapToGrid w:val="0"/>
                <w:sz w:val="16"/>
                <w:szCs w:val="16"/>
              </w:rPr>
              <w:t xml:space="preserve"> Plus Tech Fund</w:t>
            </w:r>
          </w:p>
        </w:tc>
        <w:tc>
          <w:tcPr>
            <w:tcW w:w="708" w:type="pct"/>
            <w:tcBorders>
              <w:top w:val="single" w:sz="4" w:space="0" w:color="auto"/>
              <w:left w:val="single" w:sz="4" w:space="0" w:color="auto"/>
              <w:bottom w:val="single" w:sz="4" w:space="0" w:color="auto"/>
              <w:right w:val="single" w:sz="4" w:space="0" w:color="auto"/>
            </w:tcBorders>
            <w:vAlign w:val="center"/>
            <w:hideMark/>
          </w:tcPr>
          <w:p w14:paraId="5B746CCB" w14:textId="77777777" w:rsidR="00DE32CC" w:rsidRPr="005428C4" w:rsidRDefault="00DE32CC" w:rsidP="00DE32CC">
            <w:pPr>
              <w:pStyle w:val="BodyText"/>
              <w:spacing w:before="100" w:after="100"/>
              <w:jc w:val="center"/>
              <w:rPr>
                <w:b/>
                <w:sz w:val="16"/>
                <w:szCs w:val="16"/>
              </w:rPr>
            </w:pPr>
            <w:r w:rsidRPr="005428C4">
              <w:rPr>
                <w:b/>
                <w:sz w:val="16"/>
                <w:szCs w:val="16"/>
              </w:rPr>
              <w:t>$105 Business</w:t>
            </w:r>
            <w:r w:rsidRPr="005428C4">
              <w:rPr>
                <w:b/>
                <w:snapToGrid w:val="0"/>
                <w:sz w:val="16"/>
                <w:szCs w:val="16"/>
              </w:rPr>
              <w:t xml:space="preserve"> Plus Tech Fund</w:t>
            </w:r>
          </w:p>
        </w:tc>
        <w:tc>
          <w:tcPr>
            <w:tcW w:w="710" w:type="pct"/>
            <w:tcBorders>
              <w:top w:val="single" w:sz="4" w:space="0" w:color="auto"/>
              <w:left w:val="single" w:sz="4" w:space="0" w:color="auto"/>
              <w:bottom w:val="single" w:sz="4" w:space="0" w:color="auto"/>
              <w:right w:val="single" w:sz="4" w:space="0" w:color="auto"/>
            </w:tcBorders>
            <w:vAlign w:val="center"/>
            <w:hideMark/>
          </w:tcPr>
          <w:p w14:paraId="1C7E9B37" w14:textId="77777777" w:rsidR="00DE32CC" w:rsidRPr="005428C4" w:rsidRDefault="00DE32CC" w:rsidP="00DE32CC">
            <w:pPr>
              <w:pStyle w:val="BodyText"/>
              <w:spacing w:before="100" w:after="100"/>
              <w:jc w:val="center"/>
              <w:rPr>
                <w:b/>
                <w:sz w:val="16"/>
                <w:szCs w:val="16"/>
              </w:rPr>
            </w:pPr>
            <w:r w:rsidRPr="005428C4">
              <w:rPr>
                <w:b/>
                <w:sz w:val="16"/>
                <w:szCs w:val="16"/>
              </w:rPr>
              <w:t>$125 Business Plus</w:t>
            </w:r>
            <w:r w:rsidRPr="005428C4">
              <w:rPr>
                <w:b/>
                <w:snapToGrid w:val="0"/>
                <w:sz w:val="16"/>
                <w:szCs w:val="16"/>
              </w:rPr>
              <w:t xml:space="preserve"> Tech Fund</w:t>
            </w:r>
          </w:p>
        </w:tc>
        <w:tc>
          <w:tcPr>
            <w:tcW w:w="709" w:type="pct"/>
            <w:tcBorders>
              <w:top w:val="single" w:sz="4" w:space="0" w:color="auto"/>
              <w:left w:val="single" w:sz="4" w:space="0" w:color="auto"/>
              <w:bottom w:val="single" w:sz="4" w:space="0" w:color="auto"/>
              <w:right w:val="single" w:sz="4" w:space="0" w:color="auto"/>
            </w:tcBorders>
            <w:vAlign w:val="center"/>
            <w:hideMark/>
          </w:tcPr>
          <w:p w14:paraId="40153CEF" w14:textId="77777777" w:rsidR="00DE32CC" w:rsidRPr="005428C4" w:rsidRDefault="00DE32CC" w:rsidP="00DE32CC">
            <w:pPr>
              <w:pStyle w:val="BodyText"/>
              <w:spacing w:before="100" w:after="100"/>
              <w:jc w:val="center"/>
              <w:rPr>
                <w:b/>
                <w:sz w:val="16"/>
                <w:szCs w:val="16"/>
              </w:rPr>
            </w:pPr>
            <w:r w:rsidRPr="005428C4">
              <w:rPr>
                <w:b/>
                <w:sz w:val="16"/>
                <w:szCs w:val="16"/>
              </w:rPr>
              <w:t>$145 Business Plus</w:t>
            </w:r>
            <w:r w:rsidRPr="005428C4">
              <w:rPr>
                <w:b/>
                <w:snapToGrid w:val="0"/>
                <w:sz w:val="16"/>
                <w:szCs w:val="16"/>
              </w:rPr>
              <w:t xml:space="preserve"> Tech Fund</w:t>
            </w:r>
          </w:p>
        </w:tc>
      </w:tr>
      <w:tr w:rsidR="00DE32CC" w14:paraId="7396FE5D" w14:textId="77777777" w:rsidTr="00DE32CC">
        <w:trPr>
          <w:trHeight w:val="275"/>
        </w:trPr>
        <w:tc>
          <w:tcPr>
            <w:tcW w:w="749" w:type="pct"/>
            <w:tcBorders>
              <w:top w:val="single" w:sz="4" w:space="0" w:color="auto"/>
              <w:left w:val="single" w:sz="4" w:space="0" w:color="auto"/>
              <w:bottom w:val="single" w:sz="4" w:space="0" w:color="auto"/>
              <w:right w:val="single" w:sz="4" w:space="0" w:color="auto"/>
            </w:tcBorders>
            <w:vAlign w:val="center"/>
            <w:hideMark/>
          </w:tcPr>
          <w:p w14:paraId="787818DF" w14:textId="77777777" w:rsidR="00DE32CC" w:rsidRPr="005428C4" w:rsidRDefault="00DE32CC" w:rsidP="00DE32CC">
            <w:pPr>
              <w:pStyle w:val="BodyText"/>
              <w:spacing w:before="100" w:after="100"/>
              <w:jc w:val="center"/>
              <w:rPr>
                <w:b/>
                <w:sz w:val="16"/>
                <w:szCs w:val="16"/>
              </w:rPr>
            </w:pPr>
            <w:r w:rsidRPr="005428C4">
              <w:rPr>
                <w:b/>
                <w:sz w:val="16"/>
                <w:szCs w:val="16"/>
                <w:lang w:eastAsia="en-AU"/>
              </w:rPr>
              <w:t>Cancellation Fee</w:t>
            </w:r>
          </w:p>
        </w:tc>
        <w:tc>
          <w:tcPr>
            <w:tcW w:w="708" w:type="pct"/>
            <w:tcBorders>
              <w:top w:val="single" w:sz="4" w:space="0" w:color="auto"/>
              <w:left w:val="single" w:sz="4" w:space="0" w:color="auto"/>
              <w:bottom w:val="single" w:sz="4" w:space="0" w:color="auto"/>
              <w:right w:val="single" w:sz="4" w:space="0" w:color="auto"/>
            </w:tcBorders>
            <w:vAlign w:val="center"/>
            <w:hideMark/>
          </w:tcPr>
          <w:p w14:paraId="325F2C5B" w14:textId="77777777" w:rsidR="00DE32CC" w:rsidRPr="005428C4" w:rsidRDefault="00DE32CC" w:rsidP="00DE32CC">
            <w:pPr>
              <w:pStyle w:val="BodyText"/>
              <w:spacing w:before="100" w:after="100"/>
              <w:jc w:val="center"/>
              <w:rPr>
                <w:i/>
                <w:sz w:val="16"/>
                <w:szCs w:val="16"/>
              </w:rPr>
            </w:pPr>
            <w:r w:rsidRPr="005428C4">
              <w:rPr>
                <w:sz w:val="16"/>
                <w:szCs w:val="16"/>
              </w:rPr>
              <w:t>$27 x Months remaining</w:t>
            </w:r>
          </w:p>
        </w:tc>
        <w:tc>
          <w:tcPr>
            <w:tcW w:w="708" w:type="pct"/>
            <w:tcBorders>
              <w:top w:val="single" w:sz="4" w:space="0" w:color="auto"/>
              <w:left w:val="single" w:sz="4" w:space="0" w:color="auto"/>
              <w:bottom w:val="single" w:sz="4" w:space="0" w:color="auto"/>
              <w:right w:val="single" w:sz="4" w:space="0" w:color="auto"/>
            </w:tcBorders>
            <w:vAlign w:val="center"/>
            <w:hideMark/>
          </w:tcPr>
          <w:p w14:paraId="083576F4" w14:textId="77777777" w:rsidR="00DE32CC" w:rsidRPr="005428C4" w:rsidRDefault="00DE32CC" w:rsidP="00DE32CC">
            <w:pPr>
              <w:pStyle w:val="BodyText"/>
              <w:spacing w:before="100" w:after="100"/>
              <w:jc w:val="center"/>
              <w:rPr>
                <w:sz w:val="16"/>
                <w:szCs w:val="16"/>
              </w:rPr>
            </w:pPr>
            <w:r w:rsidRPr="005428C4">
              <w:rPr>
                <w:sz w:val="16"/>
                <w:szCs w:val="16"/>
              </w:rPr>
              <w:t>$39 x Months remaining</w:t>
            </w:r>
          </w:p>
        </w:tc>
        <w:tc>
          <w:tcPr>
            <w:tcW w:w="708" w:type="pct"/>
            <w:tcBorders>
              <w:top w:val="single" w:sz="4" w:space="0" w:color="auto"/>
              <w:left w:val="single" w:sz="4" w:space="0" w:color="auto"/>
              <w:bottom w:val="single" w:sz="4" w:space="0" w:color="auto"/>
              <w:right w:val="single" w:sz="4" w:space="0" w:color="auto"/>
            </w:tcBorders>
            <w:vAlign w:val="center"/>
            <w:hideMark/>
          </w:tcPr>
          <w:p w14:paraId="06212498" w14:textId="77777777" w:rsidR="00DE32CC" w:rsidRPr="005428C4" w:rsidRDefault="00DE32CC" w:rsidP="00DE32CC">
            <w:pPr>
              <w:pStyle w:val="BodyText"/>
              <w:spacing w:before="100" w:after="100"/>
              <w:jc w:val="center"/>
              <w:rPr>
                <w:sz w:val="16"/>
                <w:szCs w:val="16"/>
              </w:rPr>
            </w:pPr>
            <w:r w:rsidRPr="005428C4">
              <w:rPr>
                <w:sz w:val="16"/>
                <w:szCs w:val="16"/>
              </w:rPr>
              <w:t>$51 x Months remaining</w:t>
            </w:r>
          </w:p>
        </w:tc>
        <w:tc>
          <w:tcPr>
            <w:tcW w:w="708" w:type="pct"/>
            <w:tcBorders>
              <w:top w:val="single" w:sz="4" w:space="0" w:color="auto"/>
              <w:left w:val="single" w:sz="4" w:space="0" w:color="auto"/>
              <w:bottom w:val="single" w:sz="4" w:space="0" w:color="auto"/>
              <w:right w:val="single" w:sz="4" w:space="0" w:color="auto"/>
            </w:tcBorders>
            <w:vAlign w:val="center"/>
            <w:hideMark/>
          </w:tcPr>
          <w:p w14:paraId="4085864E" w14:textId="77777777" w:rsidR="00DE32CC" w:rsidRPr="005428C4" w:rsidRDefault="00DE32CC" w:rsidP="00DE32CC">
            <w:pPr>
              <w:pStyle w:val="BodyText"/>
              <w:spacing w:before="100" w:after="100"/>
              <w:jc w:val="center"/>
              <w:rPr>
                <w:sz w:val="16"/>
                <w:szCs w:val="16"/>
              </w:rPr>
            </w:pPr>
            <w:r w:rsidRPr="005428C4">
              <w:rPr>
                <w:sz w:val="16"/>
                <w:szCs w:val="16"/>
              </w:rPr>
              <w:t>$60 x Months remaining</w:t>
            </w:r>
          </w:p>
        </w:tc>
        <w:tc>
          <w:tcPr>
            <w:tcW w:w="710" w:type="pct"/>
            <w:tcBorders>
              <w:top w:val="single" w:sz="4" w:space="0" w:color="auto"/>
              <w:left w:val="single" w:sz="4" w:space="0" w:color="auto"/>
              <w:bottom w:val="single" w:sz="4" w:space="0" w:color="auto"/>
              <w:right w:val="single" w:sz="4" w:space="0" w:color="auto"/>
            </w:tcBorders>
            <w:vAlign w:val="center"/>
            <w:hideMark/>
          </w:tcPr>
          <w:p w14:paraId="5D7E22D2" w14:textId="77777777" w:rsidR="00DE32CC" w:rsidRPr="005428C4" w:rsidRDefault="00DE32CC" w:rsidP="00DE32CC">
            <w:pPr>
              <w:pStyle w:val="BodyText"/>
              <w:spacing w:before="100" w:after="100"/>
              <w:jc w:val="center"/>
              <w:rPr>
                <w:sz w:val="16"/>
                <w:szCs w:val="16"/>
              </w:rPr>
            </w:pPr>
            <w:r w:rsidRPr="005428C4">
              <w:rPr>
                <w:sz w:val="16"/>
                <w:szCs w:val="16"/>
              </w:rPr>
              <w:t>$72 x Months remaining</w:t>
            </w:r>
          </w:p>
        </w:tc>
        <w:tc>
          <w:tcPr>
            <w:tcW w:w="709" w:type="pct"/>
            <w:tcBorders>
              <w:top w:val="single" w:sz="4" w:space="0" w:color="auto"/>
              <w:left w:val="single" w:sz="4" w:space="0" w:color="auto"/>
              <w:bottom w:val="single" w:sz="4" w:space="0" w:color="auto"/>
              <w:right w:val="single" w:sz="4" w:space="0" w:color="auto"/>
            </w:tcBorders>
            <w:vAlign w:val="center"/>
            <w:hideMark/>
          </w:tcPr>
          <w:p w14:paraId="4B0AACE1" w14:textId="77777777" w:rsidR="00DE32CC" w:rsidRPr="005428C4" w:rsidRDefault="00DE32CC" w:rsidP="00DE32CC">
            <w:pPr>
              <w:pStyle w:val="BodyText"/>
              <w:spacing w:before="100" w:after="100"/>
              <w:jc w:val="center"/>
              <w:rPr>
                <w:sz w:val="16"/>
                <w:szCs w:val="16"/>
              </w:rPr>
            </w:pPr>
            <w:r w:rsidRPr="005428C4">
              <w:rPr>
                <w:rFonts w:cs="Arial"/>
                <w:sz w:val="16"/>
                <w:szCs w:val="16"/>
              </w:rPr>
              <w:t>$95.83 x Months remaining</w:t>
            </w:r>
          </w:p>
        </w:tc>
      </w:tr>
      <w:tr w:rsidR="00DE32CC" w14:paraId="543FFBFA" w14:textId="77777777" w:rsidTr="00DE32CC">
        <w:trPr>
          <w:trHeight w:val="275"/>
        </w:trPr>
        <w:tc>
          <w:tcPr>
            <w:tcW w:w="749" w:type="pct"/>
            <w:tcBorders>
              <w:top w:val="single" w:sz="4" w:space="0" w:color="auto"/>
              <w:left w:val="single" w:sz="4" w:space="0" w:color="auto"/>
              <w:bottom w:val="single" w:sz="4" w:space="0" w:color="auto"/>
              <w:right w:val="single" w:sz="4" w:space="0" w:color="auto"/>
            </w:tcBorders>
            <w:vAlign w:val="center"/>
            <w:hideMark/>
          </w:tcPr>
          <w:p w14:paraId="02A932B2" w14:textId="77777777" w:rsidR="00DE32CC" w:rsidRPr="005428C4" w:rsidRDefault="00DE32CC" w:rsidP="00DE32CC">
            <w:pPr>
              <w:pStyle w:val="BodyText"/>
              <w:spacing w:before="100" w:after="100"/>
              <w:jc w:val="center"/>
              <w:rPr>
                <w:b/>
                <w:sz w:val="16"/>
                <w:szCs w:val="16"/>
                <w:lang w:eastAsia="en-AU"/>
              </w:rPr>
            </w:pPr>
            <w:r w:rsidRPr="005428C4">
              <w:rPr>
                <w:b/>
                <w:sz w:val="16"/>
                <w:szCs w:val="16"/>
                <w:lang w:eastAsia="en-AU"/>
              </w:rPr>
              <w:t>Maximum Cancellation Fee</w:t>
            </w:r>
          </w:p>
        </w:tc>
        <w:tc>
          <w:tcPr>
            <w:tcW w:w="708" w:type="pct"/>
            <w:tcBorders>
              <w:top w:val="single" w:sz="4" w:space="0" w:color="auto"/>
              <w:left w:val="single" w:sz="4" w:space="0" w:color="auto"/>
              <w:bottom w:val="single" w:sz="4" w:space="0" w:color="auto"/>
              <w:right w:val="single" w:sz="4" w:space="0" w:color="auto"/>
            </w:tcBorders>
            <w:vAlign w:val="center"/>
            <w:hideMark/>
          </w:tcPr>
          <w:p w14:paraId="300A8259" w14:textId="77777777" w:rsidR="00DE32CC" w:rsidRPr="005428C4" w:rsidRDefault="00DE32CC" w:rsidP="00DE32CC">
            <w:pPr>
              <w:pStyle w:val="BodyText"/>
              <w:spacing w:before="100" w:after="100"/>
              <w:jc w:val="center"/>
              <w:rPr>
                <w:sz w:val="16"/>
                <w:szCs w:val="16"/>
              </w:rPr>
            </w:pPr>
            <w:r w:rsidRPr="005428C4">
              <w:rPr>
                <w:sz w:val="16"/>
                <w:szCs w:val="16"/>
              </w:rPr>
              <w:t>$648</w:t>
            </w:r>
          </w:p>
        </w:tc>
        <w:tc>
          <w:tcPr>
            <w:tcW w:w="708" w:type="pct"/>
            <w:tcBorders>
              <w:top w:val="single" w:sz="4" w:space="0" w:color="auto"/>
              <w:left w:val="single" w:sz="4" w:space="0" w:color="auto"/>
              <w:bottom w:val="single" w:sz="4" w:space="0" w:color="auto"/>
              <w:right w:val="single" w:sz="4" w:space="0" w:color="auto"/>
            </w:tcBorders>
            <w:vAlign w:val="center"/>
            <w:hideMark/>
          </w:tcPr>
          <w:p w14:paraId="1E376634" w14:textId="77777777" w:rsidR="00DE32CC" w:rsidRPr="005428C4" w:rsidRDefault="00DE32CC" w:rsidP="00DE32CC">
            <w:pPr>
              <w:pStyle w:val="BodyText"/>
              <w:spacing w:before="100" w:after="100"/>
              <w:jc w:val="center"/>
              <w:rPr>
                <w:sz w:val="16"/>
                <w:szCs w:val="16"/>
              </w:rPr>
            </w:pPr>
            <w:r w:rsidRPr="005428C4">
              <w:rPr>
                <w:sz w:val="16"/>
                <w:szCs w:val="16"/>
              </w:rPr>
              <w:t>$936</w:t>
            </w:r>
          </w:p>
        </w:tc>
        <w:tc>
          <w:tcPr>
            <w:tcW w:w="708" w:type="pct"/>
            <w:tcBorders>
              <w:top w:val="single" w:sz="4" w:space="0" w:color="auto"/>
              <w:left w:val="single" w:sz="4" w:space="0" w:color="auto"/>
              <w:bottom w:val="single" w:sz="4" w:space="0" w:color="auto"/>
              <w:right w:val="single" w:sz="4" w:space="0" w:color="auto"/>
            </w:tcBorders>
            <w:vAlign w:val="center"/>
            <w:hideMark/>
          </w:tcPr>
          <w:p w14:paraId="4E58A983" w14:textId="77777777" w:rsidR="00DE32CC" w:rsidRPr="005428C4" w:rsidRDefault="00DE32CC" w:rsidP="00DE32CC">
            <w:pPr>
              <w:pStyle w:val="BodyText"/>
              <w:spacing w:before="100" w:after="100"/>
              <w:jc w:val="center"/>
              <w:rPr>
                <w:sz w:val="16"/>
                <w:szCs w:val="16"/>
              </w:rPr>
            </w:pPr>
            <w:r w:rsidRPr="005428C4">
              <w:rPr>
                <w:sz w:val="16"/>
                <w:szCs w:val="16"/>
              </w:rPr>
              <w:t>$1</w:t>
            </w:r>
            <w:r>
              <w:rPr>
                <w:sz w:val="16"/>
                <w:szCs w:val="16"/>
              </w:rPr>
              <w:t>,</w:t>
            </w:r>
            <w:r w:rsidRPr="005428C4">
              <w:rPr>
                <w:sz w:val="16"/>
                <w:szCs w:val="16"/>
              </w:rPr>
              <w:t>224</w:t>
            </w:r>
          </w:p>
        </w:tc>
        <w:tc>
          <w:tcPr>
            <w:tcW w:w="708" w:type="pct"/>
            <w:tcBorders>
              <w:top w:val="single" w:sz="4" w:space="0" w:color="auto"/>
              <w:left w:val="single" w:sz="4" w:space="0" w:color="auto"/>
              <w:bottom w:val="single" w:sz="4" w:space="0" w:color="auto"/>
              <w:right w:val="single" w:sz="4" w:space="0" w:color="auto"/>
            </w:tcBorders>
            <w:vAlign w:val="center"/>
            <w:hideMark/>
          </w:tcPr>
          <w:p w14:paraId="3A6BF183" w14:textId="77777777" w:rsidR="00DE32CC" w:rsidRPr="005428C4" w:rsidRDefault="00DE32CC" w:rsidP="00DE32CC">
            <w:pPr>
              <w:pStyle w:val="BodyText"/>
              <w:spacing w:before="100" w:after="100"/>
              <w:jc w:val="center"/>
              <w:rPr>
                <w:sz w:val="16"/>
                <w:szCs w:val="16"/>
              </w:rPr>
            </w:pPr>
            <w:r w:rsidRPr="005428C4">
              <w:rPr>
                <w:sz w:val="16"/>
                <w:szCs w:val="16"/>
              </w:rPr>
              <w:t>$1</w:t>
            </w:r>
            <w:r>
              <w:rPr>
                <w:sz w:val="16"/>
                <w:szCs w:val="16"/>
              </w:rPr>
              <w:t>,</w:t>
            </w:r>
            <w:r w:rsidRPr="005428C4">
              <w:rPr>
                <w:sz w:val="16"/>
                <w:szCs w:val="16"/>
              </w:rPr>
              <w:t>440</w:t>
            </w:r>
          </w:p>
        </w:tc>
        <w:tc>
          <w:tcPr>
            <w:tcW w:w="710" w:type="pct"/>
            <w:tcBorders>
              <w:top w:val="single" w:sz="4" w:space="0" w:color="auto"/>
              <w:left w:val="single" w:sz="4" w:space="0" w:color="auto"/>
              <w:bottom w:val="single" w:sz="4" w:space="0" w:color="auto"/>
              <w:right w:val="single" w:sz="4" w:space="0" w:color="auto"/>
            </w:tcBorders>
            <w:vAlign w:val="center"/>
            <w:hideMark/>
          </w:tcPr>
          <w:p w14:paraId="5A1D1025" w14:textId="77777777" w:rsidR="00DE32CC" w:rsidRPr="005428C4" w:rsidRDefault="00DE32CC" w:rsidP="00DE32CC">
            <w:pPr>
              <w:pStyle w:val="BodyText"/>
              <w:spacing w:before="100" w:after="100"/>
              <w:jc w:val="center"/>
              <w:rPr>
                <w:sz w:val="16"/>
                <w:szCs w:val="16"/>
              </w:rPr>
            </w:pPr>
            <w:r w:rsidRPr="005428C4">
              <w:rPr>
                <w:sz w:val="16"/>
                <w:szCs w:val="16"/>
              </w:rPr>
              <w:t>$1</w:t>
            </w:r>
            <w:r>
              <w:rPr>
                <w:sz w:val="16"/>
                <w:szCs w:val="16"/>
              </w:rPr>
              <w:t>,</w:t>
            </w:r>
            <w:r w:rsidRPr="005428C4">
              <w:rPr>
                <w:sz w:val="16"/>
                <w:szCs w:val="16"/>
              </w:rPr>
              <w:t>728</w:t>
            </w:r>
          </w:p>
        </w:tc>
        <w:tc>
          <w:tcPr>
            <w:tcW w:w="709" w:type="pct"/>
            <w:tcBorders>
              <w:top w:val="single" w:sz="4" w:space="0" w:color="auto"/>
              <w:left w:val="single" w:sz="4" w:space="0" w:color="auto"/>
              <w:bottom w:val="single" w:sz="4" w:space="0" w:color="auto"/>
              <w:right w:val="single" w:sz="4" w:space="0" w:color="auto"/>
            </w:tcBorders>
            <w:vAlign w:val="center"/>
            <w:hideMark/>
          </w:tcPr>
          <w:p w14:paraId="28014850" w14:textId="77777777" w:rsidR="00DE32CC" w:rsidRPr="005428C4" w:rsidRDefault="00DE32CC" w:rsidP="00DE32CC">
            <w:pPr>
              <w:pStyle w:val="BodyText"/>
              <w:spacing w:before="100" w:after="100"/>
              <w:jc w:val="center"/>
              <w:rPr>
                <w:sz w:val="16"/>
                <w:szCs w:val="16"/>
              </w:rPr>
            </w:pPr>
            <w:r w:rsidRPr="005428C4">
              <w:rPr>
                <w:rFonts w:eastAsia="Calibri" w:cs="Arial"/>
                <w:sz w:val="16"/>
                <w:szCs w:val="16"/>
              </w:rPr>
              <w:t>$2</w:t>
            </w:r>
            <w:r>
              <w:rPr>
                <w:rFonts w:eastAsia="Calibri" w:cs="Arial"/>
                <w:sz w:val="16"/>
                <w:szCs w:val="16"/>
              </w:rPr>
              <w:t>,</w:t>
            </w:r>
            <w:r w:rsidRPr="005428C4">
              <w:rPr>
                <w:rFonts w:eastAsia="Calibri" w:cs="Arial"/>
                <w:sz w:val="16"/>
                <w:szCs w:val="16"/>
              </w:rPr>
              <w:t>300</w:t>
            </w:r>
          </w:p>
        </w:tc>
      </w:tr>
    </w:tbl>
    <w:p w14:paraId="35B29AA2" w14:textId="77777777" w:rsidR="00DE32CC" w:rsidRDefault="00DE32CC" w:rsidP="00DE32CC">
      <w:pPr>
        <w:pStyle w:val="BodyText"/>
      </w:pPr>
    </w:p>
    <w:p w14:paraId="1FE31983" w14:textId="77777777" w:rsidR="00DE32CC" w:rsidRDefault="00DE32CC" w:rsidP="00DE32CC">
      <w:pPr>
        <w:pStyle w:val="Heading7"/>
        <w:rPr>
          <w:rFonts w:eastAsia="MS Mincho"/>
          <w:lang w:val="en-AU"/>
        </w:rPr>
      </w:pPr>
      <w:r>
        <w:rPr>
          <w:rFonts w:eastAsia="MS Mincho"/>
          <w:lang w:val="en-AU"/>
        </w:rPr>
        <w:t xml:space="preserve">If </w:t>
      </w:r>
      <w:r>
        <w:rPr>
          <w:rFonts w:eastAsia="MS Mincho"/>
          <w:i/>
          <w:lang w:val="en-AU"/>
        </w:rPr>
        <w:t>your</w:t>
      </w:r>
      <w:r>
        <w:rPr>
          <w:rFonts w:eastAsia="MS Mincho"/>
          <w:lang w:val="en-AU"/>
        </w:rPr>
        <w:t xml:space="preserve"> My Plan Business Tech Fund is </w:t>
      </w:r>
      <w:r>
        <w:rPr>
          <w:rFonts w:eastAsia="MS Mincho"/>
          <w:i/>
          <w:lang w:val="en-AU"/>
        </w:rPr>
        <w:t>cancelled</w:t>
      </w:r>
      <w:r>
        <w:rPr>
          <w:rFonts w:eastAsia="MS Mincho"/>
          <w:lang w:val="en-AU"/>
        </w:rPr>
        <w:t xml:space="preserve">, </w:t>
      </w:r>
      <w:r>
        <w:rPr>
          <w:rFonts w:eastAsia="MS Mincho"/>
          <w:i/>
          <w:lang w:val="en-AU"/>
        </w:rPr>
        <w:t>your</w:t>
      </w:r>
      <w:r>
        <w:rPr>
          <w:rFonts w:eastAsia="MS Mincho"/>
          <w:lang w:val="en-AU"/>
        </w:rPr>
        <w:t xml:space="preserve"> Shared Data Plan(s) may also be </w:t>
      </w:r>
      <w:r>
        <w:rPr>
          <w:rFonts w:eastAsia="MS Mincho"/>
          <w:i/>
          <w:lang w:val="en-AU"/>
        </w:rPr>
        <w:t>cancelled</w:t>
      </w:r>
      <w:r>
        <w:rPr>
          <w:rFonts w:eastAsia="MS Mincho"/>
          <w:lang w:val="en-AU"/>
        </w:rPr>
        <w:t xml:space="preserve">. There are no </w:t>
      </w:r>
      <w:r>
        <w:rPr>
          <w:rFonts w:eastAsia="MS Mincho"/>
          <w:i/>
          <w:lang w:val="en-AU"/>
        </w:rPr>
        <w:t>cancellation fees</w:t>
      </w:r>
      <w:r>
        <w:rPr>
          <w:rFonts w:eastAsia="MS Mincho"/>
          <w:lang w:val="en-AU"/>
        </w:rPr>
        <w:t xml:space="preserve"> for the Shared Data Plan, however if </w:t>
      </w:r>
      <w:r>
        <w:rPr>
          <w:rFonts w:eastAsia="MS Mincho"/>
          <w:i/>
          <w:lang w:val="en-AU"/>
        </w:rPr>
        <w:t>you</w:t>
      </w:r>
      <w:r>
        <w:rPr>
          <w:rFonts w:eastAsia="MS Mincho"/>
          <w:lang w:val="en-AU"/>
        </w:rPr>
        <w:t xml:space="preserve"> purchased a </w:t>
      </w:r>
      <w:r>
        <w:rPr>
          <w:rFonts w:eastAsia="MS Mincho"/>
          <w:i/>
          <w:lang w:val="en-AU"/>
        </w:rPr>
        <w:t>device</w:t>
      </w:r>
      <w:r>
        <w:rPr>
          <w:rFonts w:eastAsia="MS Mincho"/>
          <w:lang w:val="en-AU"/>
        </w:rPr>
        <w:t xml:space="preserve"> </w:t>
      </w:r>
      <w:r>
        <w:rPr>
          <w:rFonts w:eastAsia="MS Mincho"/>
          <w:i/>
          <w:lang w:val="en-AU"/>
        </w:rPr>
        <w:t>you</w:t>
      </w:r>
      <w:r>
        <w:rPr>
          <w:rFonts w:eastAsia="MS Mincho"/>
          <w:lang w:val="en-AU"/>
        </w:rPr>
        <w:t xml:space="preserve"> need to pay the sum of any remaining </w:t>
      </w:r>
      <w:r>
        <w:rPr>
          <w:rFonts w:eastAsia="MS Mincho"/>
          <w:i/>
          <w:lang w:val="en-AU"/>
        </w:rPr>
        <w:t xml:space="preserve">equipment charges </w:t>
      </w:r>
      <w:r>
        <w:rPr>
          <w:rFonts w:eastAsia="MS Mincho"/>
          <w:lang w:val="en-AU"/>
        </w:rPr>
        <w:t xml:space="preserve">owing on </w:t>
      </w:r>
      <w:r>
        <w:rPr>
          <w:rFonts w:eastAsia="MS Mincho"/>
          <w:i/>
          <w:lang w:val="en-AU"/>
        </w:rPr>
        <w:t xml:space="preserve">your device </w:t>
      </w:r>
      <w:r>
        <w:rPr>
          <w:rFonts w:eastAsia="MS Mincho"/>
          <w:lang w:val="en-AU"/>
        </w:rPr>
        <w:t xml:space="preserve">under the </w:t>
      </w:r>
      <w:r>
        <w:rPr>
          <w:rFonts w:eastAsia="MS Mincho"/>
          <w:i/>
          <w:lang w:val="en-AU"/>
        </w:rPr>
        <w:t xml:space="preserve">mobile equipment payment plan </w:t>
      </w:r>
      <w:r>
        <w:rPr>
          <w:rFonts w:eastAsia="MS Mincho"/>
          <w:lang w:val="en-AU"/>
        </w:rPr>
        <w:t xml:space="preserve">(see </w:t>
      </w:r>
      <w:hyperlink r:id="rId916" w:history="1">
        <w:r>
          <w:rPr>
            <w:rStyle w:val="Hyperlink"/>
            <w:rFonts w:eastAsia="MS Gothic"/>
            <w:i/>
            <w:lang w:val="en-AU"/>
          </w:rPr>
          <w:t>Appendix D</w:t>
        </w:r>
      </w:hyperlink>
      <w:r>
        <w:rPr>
          <w:lang w:val="en-AU"/>
        </w:rPr>
        <w:t>).</w:t>
      </w:r>
    </w:p>
    <w:p w14:paraId="66567634" w14:textId="77777777" w:rsidR="00DE32CC" w:rsidRDefault="00DE32CC" w:rsidP="00DE32CC">
      <w:pPr>
        <w:pStyle w:val="Heading7"/>
      </w:pPr>
      <w:r>
        <w:t xml:space="preserve">If </w:t>
      </w:r>
      <w:r>
        <w:rPr>
          <w:i/>
        </w:rPr>
        <w:t xml:space="preserve">your </w:t>
      </w:r>
      <w:r>
        <w:t xml:space="preserve">Shared Data Plan is not </w:t>
      </w:r>
      <w:r>
        <w:rPr>
          <w:i/>
        </w:rPr>
        <w:t>cancelled</w:t>
      </w:r>
      <w:r>
        <w:t xml:space="preserve">, </w:t>
      </w:r>
      <w:r>
        <w:rPr>
          <w:i/>
        </w:rPr>
        <w:t>you</w:t>
      </w:r>
      <w:r>
        <w:t xml:space="preserve"> will be charged $10 per 1GB within Australia, up to a maximum of 150GB (per account) in a billing month. Your service/s may then be restricted or we may continue to charge you at these rates.</w:t>
      </w:r>
    </w:p>
    <w:bookmarkEnd w:id="2405"/>
    <w:p w14:paraId="1E018AE6" w14:textId="77777777" w:rsidR="00DE32CC" w:rsidRDefault="00DE32CC" w:rsidP="00F67786">
      <w:pPr>
        <w:pStyle w:val="BodyText"/>
      </w:pPr>
    </w:p>
    <w:p w14:paraId="3C3A6382" w14:textId="77777777" w:rsidR="006D0C22" w:rsidRDefault="006D0C22" w:rsidP="00F67786">
      <w:pPr>
        <w:pStyle w:val="BodyText"/>
      </w:pPr>
    </w:p>
    <w:p w14:paraId="270856C8" w14:textId="77777777" w:rsidR="006D0C22" w:rsidRDefault="006D0C22" w:rsidP="006D0C22">
      <w:pPr>
        <w:pStyle w:val="Heading4"/>
        <w:rPr>
          <w:lang w:val="en-AU"/>
        </w:rPr>
      </w:pPr>
      <w:bookmarkStart w:id="2420" w:name="_Toc25136926"/>
      <w:bookmarkStart w:id="2421" w:name="_Toc62644724"/>
      <w:r>
        <w:rPr>
          <w:lang w:val="en-AU"/>
        </w:rPr>
        <w:t>$125 &amp; $145 Business Plus – August 2018</w:t>
      </w:r>
      <w:bookmarkEnd w:id="2420"/>
      <w:bookmarkEnd w:id="2421"/>
    </w:p>
    <w:p w14:paraId="05F6075C" w14:textId="77777777" w:rsidR="006D0C22" w:rsidRDefault="006D0C22" w:rsidP="006D0C22">
      <w:pPr>
        <w:pStyle w:val="BodyText"/>
        <w:ind w:left="720"/>
        <w:rPr>
          <w:lang w:val="en-AU"/>
        </w:rPr>
      </w:pPr>
      <w:r>
        <w:rPr>
          <w:lang w:val="en-AU"/>
        </w:rPr>
        <w:t xml:space="preserve">This section relates to the following plan. </w:t>
      </w:r>
      <w:r>
        <w:rPr>
          <w:i/>
          <w:lang w:val="en-AU"/>
        </w:rPr>
        <w:t>You</w:t>
      </w:r>
      <w:r>
        <w:rPr>
          <w:lang w:val="en-AU"/>
        </w:rPr>
        <w:t xml:space="preserve"> can find </w:t>
      </w:r>
      <w:r>
        <w:rPr>
          <w:i/>
          <w:lang w:val="en-AU"/>
        </w:rPr>
        <w:t>your</w:t>
      </w:r>
      <w:r>
        <w:rPr>
          <w:lang w:val="en-AU"/>
        </w:rPr>
        <w:t xml:space="preserve"> Plan ID on </w:t>
      </w:r>
      <w:r>
        <w:rPr>
          <w:i/>
          <w:lang w:val="en-AU"/>
        </w:rPr>
        <w:t>your</w:t>
      </w:r>
      <w:r>
        <w:rPr>
          <w:lang w:val="en-AU"/>
        </w:rPr>
        <w:t xml:space="preserve"> bill under the Mobile Number Summary section: </w:t>
      </w:r>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0"/>
        <w:gridCol w:w="3180"/>
        <w:gridCol w:w="3180"/>
      </w:tblGrid>
      <w:tr w:rsidR="006D0C22" w14:paraId="0D943C5E" w14:textId="77777777" w:rsidTr="00E01D8F">
        <w:tc>
          <w:tcPr>
            <w:tcW w:w="3180" w:type="dxa"/>
            <w:tcBorders>
              <w:top w:val="single" w:sz="4" w:space="0" w:color="auto"/>
              <w:left w:val="single" w:sz="4" w:space="0" w:color="auto"/>
              <w:bottom w:val="single" w:sz="4" w:space="0" w:color="auto"/>
              <w:right w:val="single" w:sz="4" w:space="0" w:color="auto"/>
            </w:tcBorders>
            <w:hideMark/>
          </w:tcPr>
          <w:p w14:paraId="4A84F996" w14:textId="77777777" w:rsidR="006D0C22" w:rsidRDefault="006D0C22" w:rsidP="00E01D8F">
            <w:pPr>
              <w:pStyle w:val="BodyText"/>
              <w:spacing w:before="100" w:after="100"/>
              <w:jc w:val="center"/>
              <w:rPr>
                <w:b/>
                <w:lang w:val="en-AU"/>
              </w:rPr>
            </w:pPr>
            <w:r>
              <w:rPr>
                <w:b/>
                <w:lang w:val="en-AU"/>
              </w:rPr>
              <w:t>Plan</w:t>
            </w:r>
          </w:p>
        </w:tc>
        <w:tc>
          <w:tcPr>
            <w:tcW w:w="3180" w:type="dxa"/>
            <w:tcBorders>
              <w:top w:val="single" w:sz="4" w:space="0" w:color="auto"/>
              <w:left w:val="single" w:sz="4" w:space="0" w:color="auto"/>
              <w:bottom w:val="single" w:sz="4" w:space="0" w:color="auto"/>
              <w:right w:val="single" w:sz="4" w:space="0" w:color="auto"/>
            </w:tcBorders>
            <w:hideMark/>
          </w:tcPr>
          <w:p w14:paraId="6A67CCED" w14:textId="77777777" w:rsidR="006D0C22" w:rsidRDefault="006D0C22" w:rsidP="00E01D8F">
            <w:pPr>
              <w:pStyle w:val="BodyText"/>
              <w:spacing w:before="100" w:after="100"/>
              <w:jc w:val="center"/>
              <w:rPr>
                <w:b/>
                <w:lang w:val="en-AU"/>
              </w:rPr>
            </w:pPr>
            <w:r>
              <w:rPr>
                <w:b/>
                <w:lang w:val="en-AU"/>
              </w:rPr>
              <w:t>Plan ID</w:t>
            </w:r>
          </w:p>
        </w:tc>
        <w:tc>
          <w:tcPr>
            <w:tcW w:w="3180" w:type="dxa"/>
            <w:tcBorders>
              <w:top w:val="single" w:sz="4" w:space="0" w:color="auto"/>
              <w:left w:val="single" w:sz="4" w:space="0" w:color="auto"/>
              <w:bottom w:val="single" w:sz="4" w:space="0" w:color="auto"/>
              <w:right w:val="single" w:sz="4" w:space="0" w:color="auto"/>
            </w:tcBorders>
            <w:hideMark/>
          </w:tcPr>
          <w:p w14:paraId="2B2D8D58" w14:textId="77777777" w:rsidR="006D0C22" w:rsidRDefault="006D0C22" w:rsidP="00E01D8F">
            <w:pPr>
              <w:pStyle w:val="BodyText"/>
              <w:spacing w:before="100" w:after="100"/>
              <w:jc w:val="center"/>
              <w:rPr>
                <w:b/>
                <w:lang w:val="en-AU"/>
              </w:rPr>
            </w:pPr>
            <w:r>
              <w:rPr>
                <w:b/>
                <w:lang w:val="en-AU"/>
              </w:rPr>
              <w:t>Available</w:t>
            </w:r>
          </w:p>
        </w:tc>
      </w:tr>
      <w:tr w:rsidR="006D0C22" w14:paraId="4C97C8F6" w14:textId="77777777" w:rsidTr="00E01D8F">
        <w:tc>
          <w:tcPr>
            <w:tcW w:w="3180" w:type="dxa"/>
            <w:tcBorders>
              <w:top w:val="single" w:sz="4" w:space="0" w:color="auto"/>
              <w:left w:val="single" w:sz="4" w:space="0" w:color="auto"/>
              <w:bottom w:val="single" w:sz="4" w:space="0" w:color="auto"/>
              <w:right w:val="single" w:sz="4" w:space="0" w:color="auto"/>
            </w:tcBorders>
            <w:hideMark/>
          </w:tcPr>
          <w:p w14:paraId="0ADC9BFF" w14:textId="77777777" w:rsidR="006D0C22" w:rsidRPr="005428C4" w:rsidRDefault="006D0C22" w:rsidP="00E01D8F">
            <w:pPr>
              <w:pStyle w:val="BodyText"/>
              <w:spacing w:before="100" w:after="100"/>
              <w:jc w:val="center"/>
              <w:rPr>
                <w:sz w:val="16"/>
                <w:szCs w:val="16"/>
                <w:lang w:val="en-AU"/>
              </w:rPr>
            </w:pPr>
            <w:r w:rsidRPr="005428C4">
              <w:rPr>
                <w:sz w:val="16"/>
                <w:szCs w:val="16"/>
                <w:lang w:val="en-AU"/>
              </w:rPr>
              <w:t>$125 Business Plus</w:t>
            </w:r>
          </w:p>
        </w:tc>
        <w:tc>
          <w:tcPr>
            <w:tcW w:w="3180" w:type="dxa"/>
            <w:tcBorders>
              <w:top w:val="single" w:sz="4" w:space="0" w:color="auto"/>
              <w:left w:val="single" w:sz="4" w:space="0" w:color="auto"/>
              <w:bottom w:val="single" w:sz="4" w:space="0" w:color="auto"/>
              <w:right w:val="single" w:sz="4" w:space="0" w:color="auto"/>
            </w:tcBorders>
          </w:tcPr>
          <w:p w14:paraId="4C5941CE" w14:textId="77777777" w:rsidR="006D0C22" w:rsidRPr="005428C4" w:rsidRDefault="006D0C22" w:rsidP="00E01D8F">
            <w:pPr>
              <w:pStyle w:val="BodyText"/>
              <w:spacing w:before="100" w:after="100"/>
              <w:jc w:val="center"/>
              <w:rPr>
                <w:sz w:val="16"/>
                <w:szCs w:val="16"/>
                <w:lang w:val="en-AU"/>
              </w:rPr>
            </w:pPr>
            <w:r>
              <w:rPr>
                <w:sz w:val="16"/>
                <w:szCs w:val="16"/>
                <w:lang w:val="en-AU"/>
              </w:rPr>
              <w:t xml:space="preserve">801009 / </w:t>
            </w:r>
            <w:r w:rsidRPr="008F63B4">
              <w:rPr>
                <w:sz w:val="16"/>
                <w:szCs w:val="16"/>
                <w:lang w:val="en-AU"/>
              </w:rPr>
              <w:t>1083</w:t>
            </w:r>
            <w:r>
              <w:rPr>
                <w:sz w:val="16"/>
                <w:szCs w:val="16"/>
                <w:lang w:val="en-AU"/>
              </w:rPr>
              <w:t>9035</w:t>
            </w:r>
          </w:p>
        </w:tc>
        <w:tc>
          <w:tcPr>
            <w:tcW w:w="3180" w:type="dxa"/>
            <w:tcBorders>
              <w:top w:val="single" w:sz="4" w:space="0" w:color="auto"/>
              <w:left w:val="single" w:sz="4" w:space="0" w:color="auto"/>
              <w:bottom w:val="single" w:sz="4" w:space="0" w:color="auto"/>
              <w:right w:val="single" w:sz="4" w:space="0" w:color="auto"/>
            </w:tcBorders>
            <w:hideMark/>
          </w:tcPr>
          <w:p w14:paraId="173E5035" w14:textId="77777777" w:rsidR="006D0C22" w:rsidRPr="005428C4" w:rsidRDefault="006D0C22" w:rsidP="00E01D8F">
            <w:pPr>
              <w:pStyle w:val="BodyText"/>
              <w:spacing w:before="100" w:after="100"/>
              <w:jc w:val="center"/>
              <w:rPr>
                <w:sz w:val="16"/>
                <w:szCs w:val="16"/>
                <w:lang w:val="en-AU"/>
              </w:rPr>
            </w:pPr>
            <w:r>
              <w:rPr>
                <w:sz w:val="16"/>
                <w:szCs w:val="16"/>
                <w:lang w:val="en-AU"/>
              </w:rPr>
              <w:t>6 August</w:t>
            </w:r>
            <w:r w:rsidRPr="005428C4">
              <w:rPr>
                <w:sz w:val="16"/>
                <w:szCs w:val="16"/>
                <w:lang w:val="en-AU"/>
              </w:rPr>
              <w:t xml:space="preserve"> 2018</w:t>
            </w:r>
            <w:r>
              <w:rPr>
                <w:sz w:val="16"/>
                <w:szCs w:val="16"/>
                <w:lang w:val="en-AU"/>
              </w:rPr>
              <w:t xml:space="preserve"> – 25 November 2019</w:t>
            </w:r>
          </w:p>
        </w:tc>
      </w:tr>
      <w:tr w:rsidR="006D0C22" w14:paraId="2C6C1DDE" w14:textId="77777777" w:rsidTr="00E01D8F">
        <w:tc>
          <w:tcPr>
            <w:tcW w:w="3180" w:type="dxa"/>
            <w:tcBorders>
              <w:top w:val="single" w:sz="4" w:space="0" w:color="auto"/>
              <w:left w:val="single" w:sz="4" w:space="0" w:color="auto"/>
              <w:bottom w:val="single" w:sz="4" w:space="0" w:color="auto"/>
              <w:right w:val="single" w:sz="4" w:space="0" w:color="auto"/>
            </w:tcBorders>
            <w:hideMark/>
          </w:tcPr>
          <w:p w14:paraId="760558AF" w14:textId="77777777" w:rsidR="006D0C22" w:rsidRPr="005428C4" w:rsidRDefault="006D0C22" w:rsidP="00E01D8F">
            <w:pPr>
              <w:pStyle w:val="BodyText"/>
              <w:spacing w:before="100" w:after="100"/>
              <w:jc w:val="center"/>
              <w:rPr>
                <w:sz w:val="16"/>
                <w:szCs w:val="16"/>
                <w:lang w:val="en-AU"/>
              </w:rPr>
            </w:pPr>
            <w:r w:rsidRPr="005428C4">
              <w:rPr>
                <w:rFonts w:eastAsia="Calibri" w:cs="Arial"/>
                <w:sz w:val="16"/>
                <w:szCs w:val="16"/>
                <w:lang w:val="en-AU"/>
              </w:rPr>
              <w:t>$145 Business Plus</w:t>
            </w:r>
          </w:p>
        </w:tc>
        <w:tc>
          <w:tcPr>
            <w:tcW w:w="3180" w:type="dxa"/>
            <w:tcBorders>
              <w:top w:val="single" w:sz="4" w:space="0" w:color="auto"/>
              <w:left w:val="single" w:sz="4" w:space="0" w:color="auto"/>
              <w:bottom w:val="single" w:sz="4" w:space="0" w:color="auto"/>
              <w:right w:val="single" w:sz="4" w:space="0" w:color="auto"/>
            </w:tcBorders>
            <w:vAlign w:val="center"/>
          </w:tcPr>
          <w:p w14:paraId="4628312D" w14:textId="77777777" w:rsidR="006D0C22" w:rsidRPr="005428C4" w:rsidRDefault="006D0C22" w:rsidP="00E01D8F">
            <w:pPr>
              <w:pStyle w:val="BodyText"/>
              <w:spacing w:before="100" w:after="100"/>
              <w:jc w:val="center"/>
              <w:rPr>
                <w:sz w:val="16"/>
                <w:szCs w:val="16"/>
                <w:lang w:val="en-AU"/>
              </w:rPr>
            </w:pPr>
            <w:r>
              <w:rPr>
                <w:sz w:val="16"/>
                <w:szCs w:val="16"/>
                <w:lang w:val="en-AU"/>
              </w:rPr>
              <w:t xml:space="preserve">801010 / </w:t>
            </w:r>
            <w:r w:rsidRPr="008F63B4">
              <w:rPr>
                <w:sz w:val="16"/>
                <w:szCs w:val="16"/>
                <w:lang w:val="en-AU"/>
              </w:rPr>
              <w:t>108388</w:t>
            </w:r>
            <w:r>
              <w:rPr>
                <w:sz w:val="16"/>
                <w:szCs w:val="16"/>
                <w:lang w:val="en-AU"/>
              </w:rPr>
              <w:t>55</w:t>
            </w:r>
          </w:p>
        </w:tc>
        <w:tc>
          <w:tcPr>
            <w:tcW w:w="3180" w:type="dxa"/>
            <w:tcBorders>
              <w:top w:val="single" w:sz="4" w:space="0" w:color="auto"/>
              <w:left w:val="single" w:sz="4" w:space="0" w:color="auto"/>
              <w:bottom w:val="single" w:sz="4" w:space="0" w:color="auto"/>
              <w:right w:val="single" w:sz="4" w:space="0" w:color="auto"/>
            </w:tcBorders>
            <w:vAlign w:val="center"/>
            <w:hideMark/>
          </w:tcPr>
          <w:p w14:paraId="0EF37214" w14:textId="77777777" w:rsidR="006D0C22" w:rsidRPr="005428C4" w:rsidRDefault="006D0C22" w:rsidP="00E01D8F">
            <w:pPr>
              <w:pStyle w:val="BodyText"/>
              <w:spacing w:before="100" w:after="100"/>
              <w:jc w:val="center"/>
              <w:rPr>
                <w:sz w:val="16"/>
                <w:szCs w:val="16"/>
                <w:lang w:val="en-AU"/>
              </w:rPr>
            </w:pPr>
            <w:r>
              <w:rPr>
                <w:rFonts w:eastAsia="Calibri" w:cs="Arial"/>
                <w:sz w:val="16"/>
                <w:szCs w:val="16"/>
              </w:rPr>
              <w:t>6 August</w:t>
            </w:r>
            <w:r w:rsidRPr="005428C4">
              <w:rPr>
                <w:rFonts w:eastAsia="Calibri" w:cs="Arial"/>
                <w:sz w:val="16"/>
                <w:szCs w:val="16"/>
              </w:rPr>
              <w:t xml:space="preserve"> 2018</w:t>
            </w:r>
            <w:r>
              <w:rPr>
                <w:rFonts w:eastAsia="Calibri" w:cs="Arial"/>
                <w:sz w:val="16"/>
                <w:szCs w:val="16"/>
              </w:rPr>
              <w:t xml:space="preserve"> </w:t>
            </w:r>
            <w:r>
              <w:rPr>
                <w:sz w:val="16"/>
                <w:szCs w:val="16"/>
                <w:lang w:val="en-AU"/>
              </w:rPr>
              <w:t>– 25 November 2019</w:t>
            </w:r>
          </w:p>
        </w:tc>
      </w:tr>
    </w:tbl>
    <w:p w14:paraId="4AC294C1" w14:textId="77777777" w:rsidR="006D0C22" w:rsidRDefault="006D0C22" w:rsidP="006D0C22">
      <w:pPr>
        <w:pStyle w:val="Heading6"/>
        <w:spacing w:before="240"/>
        <w:ind w:left="0" w:firstLine="0"/>
        <w:rPr>
          <w:lang w:val="en-AU"/>
        </w:rPr>
      </w:pPr>
      <w:bookmarkStart w:id="2422" w:name="_Toc25136927"/>
      <w:r>
        <w:rPr>
          <w:lang w:val="en-AU"/>
        </w:rPr>
        <w:t>Eligibility</w:t>
      </w:r>
      <w:bookmarkEnd w:id="2422"/>
    </w:p>
    <w:p w14:paraId="25D1986A" w14:textId="77777777" w:rsidR="006D0C22" w:rsidRDefault="006D0C22" w:rsidP="006D0C22">
      <w:pPr>
        <w:pStyle w:val="BodyText"/>
        <w:ind w:left="720"/>
      </w:pPr>
      <w:r>
        <w:rPr>
          <w:lang w:val="en-AU"/>
        </w:rPr>
        <w:t xml:space="preserve">The Business Plus plans are available to new and existing business mobile customers who pass Optus' credit assessment. </w:t>
      </w:r>
      <w:r>
        <w:t>Optus Service Providers’ customers are not eligible to apply. To be eligible for this plan, businesses must provide Optus with a registered ACN, ARBN or ABN</w:t>
      </w:r>
    </w:p>
    <w:p w14:paraId="74D0EE5A" w14:textId="77777777" w:rsidR="006D0C22" w:rsidRDefault="006D0C22" w:rsidP="006D0C22">
      <w:pPr>
        <w:pStyle w:val="BodyText"/>
        <w:ind w:left="720"/>
        <w:rPr>
          <w:lang w:val="en-AU"/>
        </w:rPr>
      </w:pPr>
      <w:r>
        <w:rPr>
          <w:lang w:val="en-AU"/>
        </w:rPr>
        <w:t xml:space="preserve">These </w:t>
      </w:r>
      <w:r>
        <w:rPr>
          <w:i/>
          <w:lang w:val="en-AU"/>
        </w:rPr>
        <w:t>plans</w:t>
      </w:r>
      <w:r>
        <w:rPr>
          <w:lang w:val="en-AU"/>
        </w:rPr>
        <w:t xml:space="preserve"> aren't compatible for data use with BlackBerry handsets on operating systems of 7.1 or earlier.</w:t>
      </w:r>
    </w:p>
    <w:p w14:paraId="0E54D65A" w14:textId="77777777" w:rsidR="006D0C22" w:rsidRDefault="006D0C22" w:rsidP="006D0C22">
      <w:pPr>
        <w:pStyle w:val="Heading6"/>
        <w:ind w:left="0" w:firstLine="0"/>
        <w:rPr>
          <w:lang w:val="en-AU"/>
        </w:rPr>
      </w:pPr>
      <w:bookmarkStart w:id="2423" w:name="_Toc25136928"/>
      <w:r>
        <w:rPr>
          <w:lang w:val="en-AU"/>
        </w:rPr>
        <w:t>Minimum Term</w:t>
      </w:r>
      <w:bookmarkEnd w:id="2423"/>
    </w:p>
    <w:p w14:paraId="67B004A6" w14:textId="77777777" w:rsidR="006D0C22" w:rsidRDefault="006D0C22" w:rsidP="006D0C22">
      <w:pPr>
        <w:pStyle w:val="BodyText"/>
        <w:ind w:left="720"/>
        <w:rPr>
          <w:lang w:val="en-AU"/>
        </w:rPr>
      </w:pPr>
      <w:r>
        <w:rPr>
          <w:lang w:val="en-AU"/>
        </w:rPr>
        <w:t xml:space="preserve">This plan has a </w:t>
      </w:r>
      <w:r>
        <w:rPr>
          <w:i/>
          <w:lang w:val="en-AU"/>
        </w:rPr>
        <w:t>fixed length</w:t>
      </w:r>
      <w:r>
        <w:rPr>
          <w:lang w:val="en-AU"/>
        </w:rPr>
        <w:t xml:space="preserve"> </w:t>
      </w:r>
      <w:r>
        <w:rPr>
          <w:i/>
          <w:lang w:val="en-AU"/>
        </w:rPr>
        <w:t>agreement</w:t>
      </w:r>
      <w:r>
        <w:rPr>
          <w:lang w:val="en-AU"/>
        </w:rPr>
        <w:t xml:space="preserve"> with a 24-month </w:t>
      </w:r>
      <w:r>
        <w:rPr>
          <w:i/>
          <w:lang w:val="en-AU"/>
        </w:rPr>
        <w:t>minimum term</w:t>
      </w:r>
      <w:r>
        <w:rPr>
          <w:lang w:val="en-AU"/>
        </w:rPr>
        <w:t>.</w:t>
      </w:r>
    </w:p>
    <w:p w14:paraId="66AF38DB" w14:textId="77777777" w:rsidR="006D0C22" w:rsidRDefault="006D0C22" w:rsidP="006D0C22">
      <w:pPr>
        <w:pStyle w:val="Heading6"/>
        <w:ind w:left="0" w:firstLine="0"/>
        <w:rPr>
          <w:lang w:val="en-AU"/>
        </w:rPr>
      </w:pPr>
      <w:bookmarkStart w:id="2424" w:name="_Toc25136929"/>
      <w:r>
        <w:rPr>
          <w:lang w:val="en-AU"/>
        </w:rPr>
        <w:t>What you must pay us</w:t>
      </w:r>
      <w:bookmarkEnd w:id="2424"/>
    </w:p>
    <w:p w14:paraId="6B25209E" w14:textId="77777777" w:rsidR="006D0C22" w:rsidRDefault="006D0C22" w:rsidP="006D0C22">
      <w:pPr>
        <w:pStyle w:val="Heading7"/>
        <w:rPr>
          <w:szCs w:val="20"/>
          <w:lang w:val="en-AU"/>
        </w:rPr>
      </w:pPr>
      <w:r>
        <w:rPr>
          <w:i/>
          <w:szCs w:val="20"/>
          <w:lang w:val="en-AU"/>
        </w:rPr>
        <w:t>You</w:t>
      </w:r>
      <w:r>
        <w:rPr>
          <w:szCs w:val="20"/>
          <w:lang w:val="en-AU"/>
        </w:rPr>
        <w:t xml:space="preserve"> must pay </w:t>
      </w:r>
      <w:r>
        <w:rPr>
          <w:i/>
          <w:szCs w:val="20"/>
          <w:lang w:val="en-AU"/>
        </w:rPr>
        <w:t>us</w:t>
      </w:r>
      <w:r>
        <w:rPr>
          <w:szCs w:val="20"/>
          <w:lang w:val="en-AU"/>
        </w:rPr>
        <w:t xml:space="preserve"> for use of the </w:t>
      </w:r>
      <w:r>
        <w:rPr>
          <w:i/>
          <w:szCs w:val="20"/>
          <w:lang w:val="en-AU"/>
        </w:rPr>
        <w:t>service</w:t>
      </w:r>
      <w:r>
        <w:rPr>
          <w:szCs w:val="20"/>
          <w:lang w:val="en-AU"/>
        </w:rPr>
        <w:t xml:space="preserve"> at the rates set out in Section 1 of this </w:t>
      </w:r>
      <w:r>
        <w:rPr>
          <w:i/>
          <w:szCs w:val="20"/>
          <w:lang w:val="en-AU"/>
        </w:rPr>
        <w:t>standard pricing table</w:t>
      </w:r>
      <w:r>
        <w:rPr>
          <w:szCs w:val="20"/>
          <w:lang w:val="en-AU"/>
        </w:rPr>
        <w:t xml:space="preserve"> and for value added service features at the rates set out in </w:t>
      </w:r>
      <w:hyperlink r:id="rId917" w:history="1">
        <w:r>
          <w:rPr>
            <w:rStyle w:val="Hyperlink"/>
            <w:rFonts w:eastAsia="MS Gothic"/>
            <w:i/>
            <w:szCs w:val="20"/>
            <w:lang w:val="en-AU"/>
          </w:rPr>
          <w:t>Appendix Y Value Added Service Features</w:t>
        </w:r>
      </w:hyperlink>
      <w:r>
        <w:rPr>
          <w:szCs w:val="20"/>
          <w:lang w:val="en-AU"/>
        </w:rPr>
        <w:t xml:space="preserve">. </w:t>
      </w:r>
    </w:p>
    <w:p w14:paraId="0A613F4B" w14:textId="77777777" w:rsidR="006D0C22" w:rsidRDefault="006D0C22" w:rsidP="006D0C22">
      <w:pPr>
        <w:pStyle w:val="Heading7"/>
        <w:rPr>
          <w:lang w:val="en-AU"/>
        </w:rPr>
      </w:pPr>
      <w:r>
        <w:rPr>
          <w:lang w:val="en-AU"/>
        </w:rPr>
        <w:t>If there is a flagfall for a particular call type, the charge for these calls is the flagfall amount plus the relevant rate for the call multiplied by the duration of the call.</w:t>
      </w:r>
    </w:p>
    <w:p w14:paraId="4FC5D751" w14:textId="77777777" w:rsidR="006D0C22" w:rsidRDefault="006D0C22" w:rsidP="006D0C22">
      <w:pPr>
        <w:pStyle w:val="Heading7"/>
        <w:rPr>
          <w:lang w:val="en-AU"/>
        </w:rPr>
      </w:pPr>
      <w:r>
        <w:rPr>
          <w:lang w:val="en-AU"/>
        </w:rPr>
        <w:t xml:space="preserve">Minimum Monthly Charge </w:t>
      </w:r>
    </w:p>
    <w:p w14:paraId="73E22BAB" w14:textId="77777777" w:rsidR="006D0C22" w:rsidRDefault="006D0C22" w:rsidP="006D0C22">
      <w:pPr>
        <w:pStyle w:val="Heading8"/>
        <w:rPr>
          <w:lang w:val="en-AU"/>
        </w:rPr>
      </w:pPr>
      <w:r>
        <w:rPr>
          <w:lang w:val="en-AU"/>
        </w:rPr>
        <w:t xml:space="preserve">Each plan has a Minimum Monthly Charge amount that </w:t>
      </w:r>
      <w:r>
        <w:rPr>
          <w:i/>
          <w:lang w:val="en-AU"/>
        </w:rPr>
        <w:t>you</w:t>
      </w:r>
      <w:r>
        <w:rPr>
          <w:lang w:val="en-AU"/>
        </w:rPr>
        <w:t xml:space="preserve"> must pay </w:t>
      </w:r>
      <w:r>
        <w:rPr>
          <w:i/>
          <w:lang w:val="en-AU"/>
        </w:rPr>
        <w:t>us</w:t>
      </w:r>
      <w:r>
        <w:rPr>
          <w:lang w:val="en-AU"/>
        </w:rPr>
        <w:t xml:space="preserve"> each month as set out in Table 1 below. </w:t>
      </w:r>
    </w:p>
    <w:p w14:paraId="46B238E1" w14:textId="77777777" w:rsidR="006D0C22" w:rsidRDefault="006D0C22" w:rsidP="006D0C22">
      <w:pPr>
        <w:pStyle w:val="Heading8"/>
        <w:rPr>
          <w:szCs w:val="20"/>
          <w:lang w:val="en-AU"/>
        </w:rPr>
      </w:pPr>
      <w:r>
        <w:rPr>
          <w:i/>
          <w:szCs w:val="20"/>
          <w:lang w:val="en-AU"/>
        </w:rPr>
        <w:lastRenderedPageBreak/>
        <w:t>you</w:t>
      </w:r>
      <w:r>
        <w:rPr>
          <w:szCs w:val="20"/>
          <w:lang w:val="en-AU"/>
        </w:rPr>
        <w:t xml:space="preserve"> may purchase a mobile phone (or 'handset') with a 24 month </w:t>
      </w:r>
      <w:r>
        <w:rPr>
          <w:i/>
          <w:szCs w:val="20"/>
          <w:lang w:val="en-AU"/>
        </w:rPr>
        <w:t>equipment term</w:t>
      </w:r>
      <w:r>
        <w:rPr>
          <w:szCs w:val="20"/>
          <w:lang w:val="en-AU"/>
        </w:rPr>
        <w:t xml:space="preserve"> under a </w:t>
      </w:r>
      <w:r>
        <w:rPr>
          <w:i/>
          <w:szCs w:val="20"/>
          <w:lang w:val="en-AU"/>
        </w:rPr>
        <w:t>mobile equipment payment plan</w:t>
      </w:r>
      <w:r>
        <w:rPr>
          <w:szCs w:val="20"/>
          <w:lang w:val="en-AU"/>
        </w:rPr>
        <w:t xml:space="preserve"> (set out in </w:t>
      </w:r>
      <w:hyperlink r:id="rId918" w:history="1">
        <w:r>
          <w:rPr>
            <w:rStyle w:val="Hyperlink"/>
            <w:rFonts w:eastAsia="MS Gothic"/>
            <w:i/>
            <w:szCs w:val="20"/>
            <w:lang w:val="en-AU"/>
          </w:rPr>
          <w:t>Appendix D</w:t>
        </w:r>
      </w:hyperlink>
      <w:r>
        <w:rPr>
          <w:szCs w:val="20"/>
          <w:lang w:val="en-AU"/>
        </w:rPr>
        <w:t xml:space="preserve">) on a 24 month </w:t>
      </w:r>
      <w:r>
        <w:rPr>
          <w:i/>
          <w:szCs w:val="20"/>
          <w:lang w:val="en-AU"/>
        </w:rPr>
        <w:t>fixed-length agreement</w:t>
      </w:r>
      <w:r>
        <w:rPr>
          <w:szCs w:val="20"/>
          <w:lang w:val="en-AU"/>
        </w:rPr>
        <w:t xml:space="preserve">. </w:t>
      </w:r>
    </w:p>
    <w:p w14:paraId="3E3CF006" w14:textId="77777777" w:rsidR="006D0C22" w:rsidRDefault="006D0C22" w:rsidP="006D0C22">
      <w:pPr>
        <w:pStyle w:val="Heading6"/>
        <w:ind w:left="0" w:firstLine="0"/>
        <w:rPr>
          <w:lang w:val="en-AU"/>
        </w:rPr>
      </w:pPr>
      <w:bookmarkStart w:id="2425" w:name="_Toc25136930"/>
      <w:r>
        <w:rPr>
          <w:lang w:val="en-AU"/>
        </w:rPr>
        <w:t>How your plan works</w:t>
      </w:r>
      <w:bookmarkEnd w:id="2425"/>
    </w:p>
    <w:p w14:paraId="42D0D951" w14:textId="77777777" w:rsidR="006D0C22" w:rsidRDefault="006D0C22" w:rsidP="006D0C22">
      <w:pPr>
        <w:pStyle w:val="Heading7"/>
        <w:rPr>
          <w:lang w:val="en-AU"/>
        </w:rPr>
      </w:pPr>
      <w:r>
        <w:rPr>
          <w:lang w:val="en-AU"/>
        </w:rPr>
        <w:t xml:space="preserve">The </w:t>
      </w:r>
      <w:r>
        <w:rPr>
          <w:rFonts w:eastAsia="Calibri" w:cs="Arial"/>
          <w:szCs w:val="20"/>
          <w:lang w:val="en-AU"/>
        </w:rPr>
        <w:t>Business Plus</w:t>
      </w:r>
      <w:r>
        <w:rPr>
          <w:lang w:val="en-AU"/>
        </w:rPr>
        <w:t xml:space="preserve"> plans has unlimited minutes to use on </w:t>
      </w:r>
      <w:r>
        <w:t>standard national calls to landlines and mobiles, 13/1300 numbers and voicemail retrievals and an amount of Included Data (for mobile internet use) to share with other eligible services on the same billing account.</w:t>
      </w:r>
    </w:p>
    <w:p w14:paraId="612DC8AC" w14:textId="77777777" w:rsidR="006D0C22" w:rsidRPr="00383BA2" w:rsidRDefault="006D0C22" w:rsidP="006D0C22">
      <w:pPr>
        <w:pStyle w:val="Heading7"/>
      </w:pPr>
      <w:r>
        <w:t>These plans</w:t>
      </w:r>
      <w:r w:rsidRPr="00383BA2">
        <w:t xml:space="preserve"> include unlimited standard national SMS/MMS and unlimited standard International SMS/MM</w:t>
      </w:r>
      <w:r>
        <w:t>S to selected countries. The $</w:t>
      </w:r>
      <w:r w:rsidRPr="00383BA2">
        <w:t>12</w:t>
      </w:r>
      <w:r>
        <w:t>5</w:t>
      </w:r>
      <w:r w:rsidRPr="00383BA2">
        <w:t xml:space="preserve"> </w:t>
      </w:r>
      <w:r>
        <w:t xml:space="preserve">Business Plus </w:t>
      </w:r>
      <w:r w:rsidRPr="00383BA2">
        <w:t>plan ha</w:t>
      </w:r>
      <w:r>
        <w:t>s</w:t>
      </w:r>
      <w:r w:rsidRPr="00383BA2">
        <w:t xml:space="preserve"> an amount of included </w:t>
      </w:r>
      <w:bookmarkStart w:id="2426" w:name="_Hlk521663870"/>
      <w:r w:rsidRPr="00383BA2">
        <w:t>international minutes to use on standard international calls to selected</w:t>
      </w:r>
      <w:r>
        <w:t xml:space="preserve"> countries</w:t>
      </w:r>
      <w:bookmarkEnd w:id="2426"/>
      <w:r>
        <w:t xml:space="preserve">. The $145 Business Plus </w:t>
      </w:r>
      <w:r w:rsidRPr="00383BA2">
        <w:t>plan also has</w:t>
      </w:r>
      <w:r>
        <w:t xml:space="preserve"> unlimited</w:t>
      </w:r>
      <w:r w:rsidRPr="00383BA2">
        <w:t xml:space="preserve"> international minutes to use on standard in</w:t>
      </w:r>
      <w:r>
        <w:t xml:space="preserve">ternational calls </w:t>
      </w:r>
      <w:r w:rsidRPr="00383BA2">
        <w:t xml:space="preserve">to </w:t>
      </w:r>
      <w:r>
        <w:t>ALL</w:t>
      </w:r>
      <w:r w:rsidRPr="00383BA2">
        <w:t xml:space="preserve"> countries.</w:t>
      </w:r>
    </w:p>
    <w:p w14:paraId="34785CEE" w14:textId="77777777" w:rsidR="006D0C22" w:rsidRDefault="006D0C22" w:rsidP="006D0C22">
      <w:pPr>
        <w:pStyle w:val="Heading7"/>
      </w:pPr>
      <w:r>
        <w:rPr>
          <w:lang w:val="en-AU"/>
        </w:rPr>
        <w:t xml:space="preserve">Data usage is calculated in one kilobyte increments. </w:t>
      </w:r>
    </w:p>
    <w:p w14:paraId="0891E643" w14:textId="77777777" w:rsidR="006D0C22" w:rsidRDefault="006D0C22" w:rsidP="006D0C22">
      <w:pPr>
        <w:pStyle w:val="Heading7"/>
        <w:rPr>
          <w:lang w:val="en-AU"/>
        </w:rPr>
      </w:pPr>
      <w:r>
        <w:rPr>
          <w:lang w:val="en-AU"/>
        </w:rPr>
        <w:t>If you exceed your included shareable data, you'll automatically be charged $10 for each additional 1GB of data ("</w:t>
      </w:r>
      <w:r>
        <w:rPr>
          <w:b/>
          <w:lang w:val="en-AU"/>
        </w:rPr>
        <w:t>Additional Data</w:t>
      </w:r>
      <w:r>
        <w:rPr>
          <w:lang w:val="en-AU"/>
        </w:rPr>
        <w:t>") that you use (or part thereof) up to 150GB of extra data per account each month. Your service/s may then be restricted, or we may continue to charge you at these rates.</w:t>
      </w:r>
    </w:p>
    <w:p w14:paraId="603B5CF9" w14:textId="77777777" w:rsidR="006D0C22" w:rsidRDefault="006D0C22" w:rsidP="006D0C22">
      <w:pPr>
        <w:pStyle w:val="Heading7"/>
        <w:rPr>
          <w:lang w:val="en-AU"/>
        </w:rPr>
      </w:pPr>
      <w:r>
        <w:rPr>
          <w:lang w:val="en-AU"/>
        </w:rPr>
        <w:t xml:space="preserve">Any unused portion of </w:t>
      </w:r>
      <w:r>
        <w:rPr>
          <w:i/>
          <w:lang w:val="en-AU"/>
        </w:rPr>
        <w:t>your</w:t>
      </w:r>
      <w:r>
        <w:rPr>
          <w:lang w:val="en-AU"/>
        </w:rPr>
        <w:t xml:space="preserve"> </w:t>
      </w:r>
      <w:r>
        <w:rPr>
          <w:i/>
          <w:lang w:val="en-AU"/>
        </w:rPr>
        <w:t>plan's</w:t>
      </w:r>
      <w:r>
        <w:rPr>
          <w:lang w:val="en-AU"/>
        </w:rPr>
        <w:t xml:space="preserve"> Included or Additional Minutes or Included or Additional Data expires at the end of each month and does not roll over into the next month.</w:t>
      </w:r>
      <w:r>
        <w:t xml:space="preserve"> </w:t>
      </w:r>
    </w:p>
    <w:p w14:paraId="606AA4FB" w14:textId="77777777" w:rsidR="006D0C22" w:rsidRDefault="006D0C22" w:rsidP="006D0C22">
      <w:pPr>
        <w:pStyle w:val="Heading7"/>
        <w:rPr>
          <w:lang w:val="en-AU"/>
        </w:rPr>
      </w:pPr>
      <w:r>
        <w:rPr>
          <w:lang w:val="en-AU"/>
        </w:rPr>
        <w:t>You must pay us for use of any services that are not included in your plan’s inclusions, examples of which are set out in Table 2 below.</w:t>
      </w:r>
    </w:p>
    <w:p w14:paraId="764819EE" w14:textId="77777777" w:rsidR="006D0C22" w:rsidRDefault="006D0C22" w:rsidP="006D0C22">
      <w:pPr>
        <w:pStyle w:val="Heading6"/>
        <w:ind w:left="0" w:firstLine="0"/>
        <w:rPr>
          <w:lang w:val="en-AU"/>
        </w:rPr>
      </w:pPr>
      <w:bookmarkStart w:id="2427" w:name="_Toc25136931"/>
      <w:r>
        <w:rPr>
          <w:lang w:val="en-AU"/>
        </w:rPr>
        <w:t>Plan Changes</w:t>
      </w:r>
      <w:bookmarkEnd w:id="2427"/>
      <w:r>
        <w:rPr>
          <w:lang w:val="en-AU"/>
        </w:rPr>
        <w:t xml:space="preserve"> </w:t>
      </w:r>
    </w:p>
    <w:p w14:paraId="4717BD1E" w14:textId="77777777" w:rsidR="006D0C22" w:rsidRDefault="006D0C22" w:rsidP="006D0C22">
      <w:pPr>
        <w:pStyle w:val="BodyText"/>
        <w:ind w:left="720"/>
        <w:rPr>
          <w:szCs w:val="20"/>
          <w:u w:val="single"/>
        </w:rPr>
      </w:pPr>
      <w:r>
        <w:t xml:space="preserve">You can change your plan during the minimum tern term provided you move to a plan with a higher monthly access fee. </w:t>
      </w:r>
      <w:r>
        <w:rPr>
          <w:szCs w:val="20"/>
        </w:rPr>
        <w:t>You cannot change your plan during the minimum term to a plan with the same or lower monthly access fee. If you change your plan during the minimum term a fee may apply and any handset repayments will remain the same.</w:t>
      </w:r>
    </w:p>
    <w:p w14:paraId="74BEF2E6" w14:textId="77777777" w:rsidR="006D0C22" w:rsidRDefault="006D0C22" w:rsidP="006D0C22">
      <w:pPr>
        <w:pStyle w:val="Heading6"/>
        <w:rPr>
          <w:lang w:val="en-AU"/>
        </w:rPr>
      </w:pPr>
      <w:bookmarkStart w:id="2428" w:name="_Toc25136932"/>
      <w:r>
        <w:rPr>
          <w:lang w:val="en-AU"/>
        </w:rPr>
        <w:t>New Phone Trade Up</w:t>
      </w:r>
      <w:bookmarkEnd w:id="2428"/>
    </w:p>
    <w:p w14:paraId="5C795AF0" w14:textId="77777777" w:rsidR="006D0C22" w:rsidRDefault="006D0C22" w:rsidP="006D0C22">
      <w:pPr>
        <w:spacing w:after="200"/>
        <w:ind w:left="709"/>
        <w:rPr>
          <w:rFonts w:cs="Arial"/>
          <w:sz w:val="20"/>
          <w:szCs w:val="20"/>
        </w:rPr>
      </w:pPr>
      <w:r>
        <w:rPr>
          <w:rFonts w:cs="Arial"/>
          <w:sz w:val="20"/>
          <w:szCs w:val="20"/>
        </w:rPr>
        <w:t>The plans referred to in this section include the option of New Phone Trade Up, which can be exercised in two ways:</w:t>
      </w:r>
    </w:p>
    <w:p w14:paraId="36A28CEB" w14:textId="77777777" w:rsidR="006D0C22" w:rsidRDefault="006D0C22" w:rsidP="006D0C22">
      <w:pPr>
        <w:pStyle w:val="Heading7"/>
        <w:rPr>
          <w:rFonts w:cs="Arial"/>
          <w:szCs w:val="20"/>
          <w:lang w:val="en-AU"/>
        </w:rPr>
      </w:pPr>
      <w:r>
        <w:rPr>
          <w:rFonts w:cs="Arial"/>
          <w:szCs w:val="20"/>
          <w:lang w:val="en-AU"/>
        </w:rPr>
        <w:t>New Phone Trade Up for $149</w:t>
      </w:r>
    </w:p>
    <w:p w14:paraId="1504E426" w14:textId="77777777" w:rsidR="006D0C22" w:rsidRDefault="006D0C22" w:rsidP="006D0C22">
      <w:pPr>
        <w:pStyle w:val="Heading8"/>
        <w:rPr>
          <w:rFonts w:cs="Arial"/>
          <w:szCs w:val="20"/>
          <w:lang w:val="en-AU"/>
        </w:rPr>
      </w:pPr>
      <w:r>
        <w:rPr>
          <w:rFonts w:cs="Arial"/>
          <w:szCs w:val="20"/>
          <w:lang w:val="en-AU"/>
        </w:rPr>
        <w:t>After 12 months on one of these plans, you can pay a one fee of $149, return your original mobile phone to a Yes Optus store in good working order, purchase a new mobile phone on a new 24-month plan and sign documentation that will enable ownership of your original mobile phone to be transferred to a second-hand dealer nominated by Optus.</w:t>
      </w:r>
    </w:p>
    <w:p w14:paraId="77B131EF" w14:textId="77777777" w:rsidR="006D0C22" w:rsidRDefault="006D0C22" w:rsidP="006D0C22">
      <w:pPr>
        <w:pStyle w:val="Heading8"/>
        <w:rPr>
          <w:rFonts w:cs="Arial"/>
          <w:szCs w:val="20"/>
          <w:lang w:val="en-AU"/>
        </w:rPr>
      </w:pPr>
      <w:r>
        <w:rPr>
          <w:rFonts w:cs="Arial"/>
          <w:szCs w:val="20"/>
          <w:lang w:val="en-AU"/>
        </w:rPr>
        <w:t>A mobile phone is considered to be in good working order when:</w:t>
      </w:r>
    </w:p>
    <w:p w14:paraId="63D59D80" w14:textId="77777777" w:rsidR="006D0C22" w:rsidRDefault="006D0C22" w:rsidP="006D0C22">
      <w:pPr>
        <w:numPr>
          <w:ilvl w:val="1"/>
          <w:numId w:val="85"/>
        </w:numPr>
        <w:spacing w:before="120" w:after="120"/>
        <w:ind w:left="2880" w:hanging="753"/>
        <w:rPr>
          <w:rFonts w:cs="Arial"/>
          <w:sz w:val="20"/>
          <w:szCs w:val="20"/>
          <w:lang w:val="en-AU"/>
        </w:rPr>
      </w:pPr>
      <w:r>
        <w:rPr>
          <w:rFonts w:cs="Arial"/>
          <w:sz w:val="20"/>
          <w:szCs w:val="20"/>
          <w:lang w:val="en-AU"/>
        </w:rPr>
        <w:t xml:space="preserve">it can power on and off, </w:t>
      </w:r>
    </w:p>
    <w:p w14:paraId="1508251F" w14:textId="77777777" w:rsidR="006D0C22" w:rsidRDefault="006D0C22" w:rsidP="006D0C22">
      <w:pPr>
        <w:numPr>
          <w:ilvl w:val="1"/>
          <w:numId w:val="85"/>
        </w:numPr>
        <w:spacing w:before="120" w:after="120"/>
        <w:ind w:left="2880" w:hanging="753"/>
        <w:rPr>
          <w:rFonts w:cs="Arial"/>
          <w:sz w:val="20"/>
          <w:szCs w:val="20"/>
          <w:lang w:val="en-AU"/>
        </w:rPr>
      </w:pPr>
      <w:r>
        <w:rPr>
          <w:rFonts w:cs="Arial"/>
          <w:sz w:val="20"/>
          <w:szCs w:val="20"/>
          <w:lang w:val="en-AU"/>
        </w:rPr>
        <w:t xml:space="preserve">it has a touchscreen that is fully functional and has no imperfections such as lines or marks, </w:t>
      </w:r>
    </w:p>
    <w:p w14:paraId="7484E622" w14:textId="77777777" w:rsidR="006D0C22" w:rsidRDefault="006D0C22" w:rsidP="006D0C22">
      <w:pPr>
        <w:numPr>
          <w:ilvl w:val="1"/>
          <w:numId w:val="85"/>
        </w:numPr>
        <w:spacing w:before="120" w:after="120"/>
        <w:ind w:left="2880" w:hanging="753"/>
        <w:rPr>
          <w:rFonts w:cs="Arial"/>
          <w:sz w:val="20"/>
          <w:szCs w:val="20"/>
          <w:lang w:val="en-AU"/>
        </w:rPr>
      </w:pPr>
      <w:r>
        <w:rPr>
          <w:rFonts w:cs="Arial"/>
          <w:sz w:val="20"/>
          <w:szCs w:val="20"/>
          <w:lang w:val="en-AU"/>
        </w:rPr>
        <w:t xml:space="preserve">it does not have any missing buttons or damage to other components such as charging ports, SIM tray, </w:t>
      </w:r>
    </w:p>
    <w:p w14:paraId="297D9852" w14:textId="77777777" w:rsidR="006D0C22" w:rsidRDefault="006D0C22" w:rsidP="006D0C22">
      <w:pPr>
        <w:numPr>
          <w:ilvl w:val="1"/>
          <w:numId w:val="85"/>
        </w:numPr>
        <w:spacing w:before="120" w:after="120"/>
        <w:ind w:left="2880" w:hanging="753"/>
        <w:rPr>
          <w:rFonts w:cs="Arial"/>
          <w:sz w:val="20"/>
          <w:szCs w:val="20"/>
          <w:lang w:val="en-AU"/>
        </w:rPr>
      </w:pPr>
      <w:r>
        <w:rPr>
          <w:rFonts w:cs="Arial"/>
          <w:sz w:val="20"/>
          <w:szCs w:val="20"/>
          <w:lang w:val="en-AU"/>
        </w:rPr>
        <w:t xml:space="preserve">the mobile phone (including the touchscreen) is not cracked and does not have any severe scratches (normal wear and tear such as light marks and scratches are okay); and </w:t>
      </w:r>
    </w:p>
    <w:p w14:paraId="52493FE7" w14:textId="77777777" w:rsidR="006D0C22" w:rsidRDefault="006D0C22" w:rsidP="006D0C22">
      <w:pPr>
        <w:numPr>
          <w:ilvl w:val="1"/>
          <w:numId w:val="85"/>
        </w:numPr>
        <w:spacing w:before="120" w:after="120"/>
        <w:ind w:left="2880" w:hanging="753"/>
        <w:rPr>
          <w:rFonts w:cs="Arial"/>
          <w:sz w:val="20"/>
          <w:szCs w:val="20"/>
          <w:lang w:val="en-AU"/>
        </w:rPr>
      </w:pPr>
      <w:r>
        <w:rPr>
          <w:rFonts w:cs="Arial"/>
          <w:sz w:val="20"/>
          <w:szCs w:val="20"/>
          <w:lang w:val="en-AU"/>
        </w:rPr>
        <w:t xml:space="preserve">any locking features are disabled.  </w:t>
      </w:r>
    </w:p>
    <w:p w14:paraId="5F257102" w14:textId="77777777" w:rsidR="006D0C22" w:rsidRDefault="006D0C22" w:rsidP="006D0C22">
      <w:pPr>
        <w:pStyle w:val="Heading8"/>
        <w:rPr>
          <w:rFonts w:cs="Arial"/>
          <w:szCs w:val="20"/>
          <w:lang w:val="en-AU"/>
        </w:rPr>
      </w:pPr>
      <w:r>
        <w:rPr>
          <w:rFonts w:cs="Arial"/>
          <w:szCs w:val="20"/>
          <w:lang w:val="en-AU"/>
        </w:rPr>
        <w:lastRenderedPageBreak/>
        <w:t xml:space="preserve">The mobile phone you return in accordance with section 2.6(a) must be the mobile phone you purchased when you took up one of the plans referred to in this section. </w:t>
      </w:r>
    </w:p>
    <w:p w14:paraId="3A6D4FBD" w14:textId="77777777" w:rsidR="006D0C22" w:rsidRDefault="006D0C22" w:rsidP="006D0C22">
      <w:pPr>
        <w:pStyle w:val="Heading8"/>
        <w:rPr>
          <w:rFonts w:cs="Arial"/>
          <w:szCs w:val="20"/>
          <w:lang w:val="en-AU"/>
        </w:rPr>
      </w:pPr>
      <w:r>
        <w:rPr>
          <w:rFonts w:cs="Arial"/>
          <w:szCs w:val="20"/>
          <w:lang w:val="en-AU"/>
        </w:rPr>
        <w:t xml:space="preserve">When you seek to exercise this option, and meet the relevant conditions, Optus agrees to waive any remaining mobile phone repayment charges on the mobile phone you are returning. </w:t>
      </w:r>
    </w:p>
    <w:p w14:paraId="0E98E2B9" w14:textId="77777777" w:rsidR="006D0C22" w:rsidRDefault="006D0C22" w:rsidP="006D0C22">
      <w:pPr>
        <w:pStyle w:val="Heading8"/>
        <w:rPr>
          <w:rFonts w:cs="Arial"/>
          <w:szCs w:val="20"/>
          <w:lang w:val="en-AU"/>
        </w:rPr>
      </w:pPr>
      <w:r>
        <w:rPr>
          <w:rFonts w:cs="Arial"/>
          <w:szCs w:val="20"/>
          <w:lang w:val="en-AU"/>
        </w:rPr>
        <w:t xml:space="preserve">By exercising this option, you acknowledge that the second-hand device vendor will pay Optus a fee on your behalf for the mobile phone you return in part consideration of Optus waiving your remaining mobile phone repayments on the phone you are returning.  </w:t>
      </w:r>
    </w:p>
    <w:p w14:paraId="1A3E9D9D" w14:textId="77777777" w:rsidR="006D0C22" w:rsidRDefault="006D0C22" w:rsidP="006D0C22">
      <w:pPr>
        <w:numPr>
          <w:ilvl w:val="2"/>
          <w:numId w:val="82"/>
        </w:numPr>
        <w:tabs>
          <w:tab w:val="clear" w:pos="1843"/>
          <w:tab w:val="num" w:pos="1418"/>
        </w:tabs>
        <w:spacing w:before="120" w:after="120"/>
        <w:ind w:left="1418" w:hanging="709"/>
        <w:rPr>
          <w:rFonts w:cs="Arial"/>
          <w:sz w:val="20"/>
          <w:szCs w:val="20"/>
          <w:lang w:val="en-AU"/>
        </w:rPr>
      </w:pPr>
      <w:r>
        <w:rPr>
          <w:rFonts w:cs="Arial"/>
          <w:sz w:val="20"/>
          <w:szCs w:val="20"/>
          <w:lang w:val="en-AU"/>
        </w:rPr>
        <w:t>Keep existing mobile phone</w:t>
      </w:r>
    </w:p>
    <w:p w14:paraId="6F3151AB" w14:textId="77777777" w:rsidR="006D0C22" w:rsidRDefault="006D0C22" w:rsidP="006D0C22">
      <w:pPr>
        <w:pStyle w:val="Heading8"/>
        <w:rPr>
          <w:rFonts w:cs="Arial"/>
          <w:szCs w:val="20"/>
          <w:lang w:val="en-AU"/>
        </w:rPr>
      </w:pPr>
      <w:r>
        <w:rPr>
          <w:rFonts w:cs="Arial"/>
          <w:szCs w:val="20"/>
          <w:lang w:val="en-AU"/>
        </w:rPr>
        <w:t>Alternatively, and instead of paying $149, if you wish to keep your original mobile handset, you can simply pay out the full remaining cost of your mobile handset, including any monthly handset credit that Optus was going to cover and purchase a new mobile phone on a new 24-month plan.</w:t>
      </w:r>
      <w:r>
        <w:rPr>
          <w:lang w:val="en-AU"/>
        </w:rPr>
        <w:tab/>
      </w:r>
      <w:r>
        <w:rPr>
          <w:lang w:val="en-AU"/>
        </w:rPr>
        <w:tab/>
      </w:r>
    </w:p>
    <w:p w14:paraId="521711D1" w14:textId="77777777" w:rsidR="006D0C22" w:rsidRDefault="006D0C22" w:rsidP="006D0C22">
      <w:pPr>
        <w:pStyle w:val="Heading6"/>
        <w:ind w:left="0" w:firstLine="0"/>
        <w:rPr>
          <w:lang w:val="en-AU"/>
        </w:rPr>
      </w:pPr>
      <w:bookmarkStart w:id="2429" w:name="_Toc25136933"/>
      <w:r>
        <w:rPr>
          <w:lang w:val="en-AU"/>
        </w:rPr>
        <w:t>Data Sharing</w:t>
      </w:r>
      <w:bookmarkEnd w:id="2429"/>
    </w:p>
    <w:p w14:paraId="5A137323" w14:textId="77777777" w:rsidR="006D0C22" w:rsidRDefault="006D0C22" w:rsidP="006D0C22">
      <w:pPr>
        <w:pStyle w:val="Heading7"/>
        <w:rPr>
          <w:lang w:val="en-AU"/>
        </w:rPr>
      </w:pPr>
      <w:r>
        <w:rPr>
          <w:snapToGrid w:val="0"/>
        </w:rPr>
        <w:t xml:space="preserve">If </w:t>
      </w:r>
      <w:r>
        <w:rPr>
          <w:i/>
          <w:snapToGrid w:val="0"/>
        </w:rPr>
        <w:t xml:space="preserve">you </w:t>
      </w:r>
      <w:r>
        <w:rPr>
          <w:lang w:eastAsia="en-AU"/>
        </w:rPr>
        <w:t xml:space="preserve">have more than one Business Plan, </w:t>
      </w:r>
      <w:r>
        <w:t>My Plan Plus</w:t>
      </w:r>
      <w:r>
        <w:rPr>
          <w:lang w:eastAsia="en-AU"/>
        </w:rPr>
        <w:t>, My Plan Plus SIM Only, Business Plus (including Tech Fund), My Plan Business (including Tech Fund), My Plan Business SIM, My Plan Flex, My Plan Business Flex, Business Lease, Business Plus, My Mobile Broadband Plus or Mobile Broadband Business on the same billing account, the included data will combine into one data pool, which will be shared by all eligible services on that account</w:t>
      </w:r>
    </w:p>
    <w:p w14:paraId="3734FB5A" w14:textId="77777777" w:rsidR="006D0C22" w:rsidRDefault="006D0C22" w:rsidP="006D0C22">
      <w:pPr>
        <w:pStyle w:val="Heading7"/>
        <w:rPr>
          <w:lang w:val="en-AU"/>
        </w:rPr>
      </w:pPr>
      <w:r>
        <w:rPr>
          <w:lang w:val="en-AU"/>
        </w:rPr>
        <w:t>Data sharing is only available within Australia.</w:t>
      </w:r>
    </w:p>
    <w:p w14:paraId="069B8C48" w14:textId="77777777" w:rsidR="006D0C22" w:rsidRDefault="006D0C22" w:rsidP="006D0C22">
      <w:pPr>
        <w:pStyle w:val="Heading6"/>
        <w:ind w:left="0" w:firstLine="0"/>
        <w:rPr>
          <w:lang w:val="en-AU"/>
        </w:rPr>
      </w:pPr>
      <w:bookmarkStart w:id="2430" w:name="_Toc25136934"/>
      <w:r>
        <w:rPr>
          <w:lang w:val="en-AU"/>
        </w:rPr>
        <w:t>International Calls</w:t>
      </w:r>
      <w:bookmarkEnd w:id="2430"/>
    </w:p>
    <w:p w14:paraId="18615ECE" w14:textId="77777777" w:rsidR="006D0C22" w:rsidRPr="00343815" w:rsidRDefault="006D0C22" w:rsidP="006D0C22">
      <w:pPr>
        <w:pStyle w:val="Heading7"/>
        <w:numPr>
          <w:ilvl w:val="0"/>
          <w:numId w:val="0"/>
        </w:numPr>
        <w:ind w:left="720"/>
        <w:rPr>
          <w:lang w:val="en-AU"/>
        </w:rPr>
      </w:pPr>
      <w:r>
        <w:rPr>
          <w:lang w:val="en-AU"/>
        </w:rPr>
        <w:t xml:space="preserve">The $125 Business Plus plan includes unlimited standard international talk &amp; text to selected countries. The $145 Business Plus plan includes unlimited standard international minutes to ALL countries and unlimited international text to selected countries. </w:t>
      </w:r>
    </w:p>
    <w:p w14:paraId="6A7EC499" w14:textId="77777777" w:rsidR="006D0C22" w:rsidRDefault="006D0C22" w:rsidP="006D0C22">
      <w:pPr>
        <w:pStyle w:val="Heading6"/>
        <w:ind w:left="0" w:firstLine="0"/>
        <w:rPr>
          <w:lang w:val="en-AU"/>
        </w:rPr>
      </w:pPr>
      <w:bookmarkStart w:id="2431" w:name="_Toc25136935"/>
      <w:r>
        <w:rPr>
          <w:lang w:val="en-AU"/>
        </w:rPr>
        <w:t>Unlimited standard national SMS and MMS</w:t>
      </w:r>
      <w:bookmarkEnd w:id="2431"/>
    </w:p>
    <w:p w14:paraId="1C491187" w14:textId="77777777" w:rsidR="006D0C22" w:rsidRDefault="006D0C22" w:rsidP="006D0C22">
      <w:pPr>
        <w:pStyle w:val="BodyText"/>
        <w:ind w:left="720"/>
        <w:rPr>
          <w:szCs w:val="20"/>
        </w:rPr>
      </w:pPr>
      <w:r>
        <w:rPr>
          <w:i/>
          <w:szCs w:val="20"/>
        </w:rPr>
        <w:t>You</w:t>
      </w:r>
      <w:r>
        <w:rPr>
          <w:szCs w:val="20"/>
        </w:rPr>
        <w:t xml:space="preserve"> may send unlimited standard SMS and MMS to Australian mobiles from within Australia. </w:t>
      </w:r>
      <w:hyperlink r:id="rId919" w:history="1">
        <w:r>
          <w:rPr>
            <w:rStyle w:val="Hyperlink"/>
            <w:i/>
            <w:szCs w:val="20"/>
          </w:rPr>
          <w:t>Fair Go Policy</w:t>
        </w:r>
      </w:hyperlink>
      <w:r>
        <w:rPr>
          <w:szCs w:val="20"/>
        </w:rPr>
        <w:t xml:space="preserve"> applies. For further details refer to </w:t>
      </w:r>
      <w:hyperlink r:id="rId920" w:history="1">
        <w:r>
          <w:rPr>
            <w:rStyle w:val="Hyperlink"/>
            <w:i/>
            <w:szCs w:val="20"/>
          </w:rPr>
          <w:t>Appendix S.</w:t>
        </w:r>
      </w:hyperlink>
    </w:p>
    <w:p w14:paraId="3A3229C1" w14:textId="77777777" w:rsidR="006D0C22" w:rsidRDefault="006D0C22" w:rsidP="006D0C22">
      <w:pPr>
        <w:pStyle w:val="BodyText"/>
        <w:ind w:left="720"/>
        <w:rPr>
          <w:szCs w:val="20"/>
          <w:u w:val="single"/>
        </w:rPr>
      </w:pPr>
      <w:r>
        <w:rPr>
          <w:szCs w:val="20"/>
        </w:rPr>
        <w:t xml:space="preserve">Unlimited standard national SMS and MMS are only available for personal and ordinary business use and are not to be used for a commercial or non-ordinary purpose as set out in the </w:t>
      </w:r>
      <w:hyperlink r:id="rId921" w:history="1">
        <w:r>
          <w:rPr>
            <w:rStyle w:val="Hyperlink"/>
            <w:i/>
            <w:szCs w:val="20"/>
          </w:rPr>
          <w:t>Fair Go Policy</w:t>
        </w:r>
      </w:hyperlink>
      <w:r>
        <w:rPr>
          <w:szCs w:val="20"/>
        </w:rPr>
        <w:t xml:space="preserve">. For further details refer to </w:t>
      </w:r>
      <w:hyperlink r:id="rId922" w:history="1">
        <w:r>
          <w:rPr>
            <w:rStyle w:val="Hyperlink"/>
            <w:i/>
            <w:szCs w:val="20"/>
          </w:rPr>
          <w:t>Appendix S</w:t>
        </w:r>
      </w:hyperlink>
    </w:p>
    <w:p w14:paraId="3178B66B" w14:textId="77777777" w:rsidR="006D0C22" w:rsidRDefault="006D0C22" w:rsidP="006D0C22">
      <w:pPr>
        <w:pStyle w:val="Heading6"/>
        <w:ind w:left="0" w:firstLine="0"/>
        <w:rPr>
          <w:lang w:val="en-AU"/>
        </w:rPr>
      </w:pPr>
      <w:bookmarkStart w:id="2432" w:name="_Toc25136936"/>
      <w:r>
        <w:rPr>
          <w:lang w:val="en-AU"/>
        </w:rPr>
        <w:t>Unlimited standard international SMS and MMS</w:t>
      </w:r>
      <w:bookmarkEnd w:id="2432"/>
    </w:p>
    <w:p w14:paraId="7EFAF086" w14:textId="77777777" w:rsidR="006D0C22" w:rsidRDefault="006D0C22" w:rsidP="006D0C22">
      <w:pPr>
        <w:pStyle w:val="BodyText"/>
        <w:ind w:left="720"/>
        <w:rPr>
          <w:i/>
          <w:szCs w:val="20"/>
        </w:rPr>
      </w:pPr>
      <w:r>
        <w:rPr>
          <w:i/>
          <w:szCs w:val="20"/>
        </w:rPr>
        <w:t>You</w:t>
      </w:r>
      <w:r>
        <w:rPr>
          <w:szCs w:val="20"/>
        </w:rPr>
        <w:t xml:space="preserve"> may send unlimited standard SMS and MMS to selected countries from within Australia. </w:t>
      </w:r>
      <w:hyperlink r:id="rId923" w:history="1">
        <w:r>
          <w:rPr>
            <w:rStyle w:val="Hyperlink"/>
            <w:i/>
            <w:szCs w:val="20"/>
          </w:rPr>
          <w:t>Fair Go Policy</w:t>
        </w:r>
      </w:hyperlink>
      <w:r>
        <w:rPr>
          <w:i/>
          <w:szCs w:val="20"/>
        </w:rPr>
        <w:t xml:space="preserve"> </w:t>
      </w:r>
      <w:r>
        <w:rPr>
          <w:szCs w:val="20"/>
        </w:rPr>
        <w:t xml:space="preserve">applies. For further details refer to </w:t>
      </w:r>
      <w:hyperlink r:id="rId924" w:history="1">
        <w:r>
          <w:rPr>
            <w:rStyle w:val="Hyperlink"/>
            <w:i/>
            <w:szCs w:val="20"/>
          </w:rPr>
          <w:t>Appendix S.</w:t>
        </w:r>
      </w:hyperlink>
      <w:r>
        <w:rPr>
          <w:i/>
          <w:szCs w:val="20"/>
        </w:rPr>
        <w:t xml:space="preserve"> </w:t>
      </w:r>
    </w:p>
    <w:p w14:paraId="7BEA33B8" w14:textId="77777777" w:rsidR="006D0C22" w:rsidRDefault="006D0C22" w:rsidP="006D0C22">
      <w:pPr>
        <w:ind w:left="709"/>
        <w:rPr>
          <w:sz w:val="20"/>
          <w:szCs w:val="20"/>
        </w:rPr>
      </w:pPr>
      <w:r>
        <w:rPr>
          <w:sz w:val="20"/>
        </w:rPr>
        <w:t xml:space="preserve">Unlimited standard SMS and MMS are only available for personal and ordinary business use and are not to be used for a commercial or non-ordinary purpose as set out in the Fair Go Policy. </w:t>
      </w:r>
      <w:r>
        <w:rPr>
          <w:sz w:val="20"/>
          <w:szCs w:val="20"/>
        </w:rPr>
        <w:t xml:space="preserve">For further details refer to </w:t>
      </w:r>
      <w:hyperlink r:id="rId925" w:history="1">
        <w:r>
          <w:rPr>
            <w:rStyle w:val="Hyperlink"/>
            <w:i/>
            <w:szCs w:val="20"/>
          </w:rPr>
          <w:t>Appendix S.</w:t>
        </w:r>
      </w:hyperlink>
      <w:r>
        <w:rPr>
          <w:i/>
          <w:sz w:val="20"/>
          <w:szCs w:val="20"/>
        </w:rPr>
        <w:br/>
      </w:r>
    </w:p>
    <w:p w14:paraId="62CF2189" w14:textId="77777777" w:rsidR="006D0C22" w:rsidRDefault="006D0C22" w:rsidP="006D0C22">
      <w:pPr>
        <w:pStyle w:val="Heading6"/>
        <w:ind w:left="0" w:firstLine="0"/>
        <w:rPr>
          <w:rFonts w:cs="Arial"/>
          <w:snapToGrid w:val="0"/>
          <w:szCs w:val="20"/>
          <w:lang w:val="en-AU"/>
        </w:rPr>
      </w:pPr>
      <w:r>
        <w:rPr>
          <w:szCs w:val="20"/>
        </w:rPr>
        <w:t xml:space="preserve"> </w:t>
      </w:r>
      <w:bookmarkStart w:id="2433" w:name="_Toc25136937"/>
      <w:r>
        <w:rPr>
          <w:rFonts w:cs="Arial"/>
          <w:snapToGrid w:val="0"/>
          <w:szCs w:val="20"/>
          <w:lang w:val="en-AU"/>
        </w:rPr>
        <w:t>International Roaming</w:t>
      </w:r>
      <w:bookmarkEnd w:id="2433"/>
    </w:p>
    <w:p w14:paraId="3F46832D" w14:textId="77777777" w:rsidR="006D0C22" w:rsidRDefault="006D0C22" w:rsidP="006D0C22">
      <w:pPr>
        <w:ind w:left="709"/>
        <w:rPr>
          <w:rFonts w:cs="Arial"/>
          <w:snapToGrid w:val="0"/>
          <w:sz w:val="20"/>
          <w:szCs w:val="20"/>
        </w:rPr>
      </w:pPr>
      <w:r>
        <w:rPr>
          <w:rFonts w:cs="Arial"/>
          <w:snapToGrid w:val="0"/>
          <w:sz w:val="20"/>
          <w:szCs w:val="20"/>
        </w:rPr>
        <w:t xml:space="preserve">The </w:t>
      </w:r>
      <w:r>
        <w:rPr>
          <w:rFonts w:cs="Arial"/>
          <w:sz w:val="20"/>
          <w:szCs w:val="20"/>
        </w:rPr>
        <w:t xml:space="preserve">$125 Business Plus plan </w:t>
      </w:r>
      <w:r>
        <w:rPr>
          <w:rFonts w:cs="Arial"/>
          <w:snapToGrid w:val="0"/>
          <w:sz w:val="20"/>
          <w:szCs w:val="20"/>
        </w:rPr>
        <w:t>has unlimited standard national and international voice, SMS (MMS is excluded) plus up to 6GB for use within each billing month in selected Zone 1 countries.</w:t>
      </w:r>
    </w:p>
    <w:p w14:paraId="0F23193C" w14:textId="77777777" w:rsidR="006D0C22" w:rsidRDefault="006D0C22" w:rsidP="006D0C22">
      <w:pPr>
        <w:ind w:left="709"/>
        <w:rPr>
          <w:rFonts w:cs="Arial"/>
          <w:snapToGrid w:val="0"/>
          <w:sz w:val="20"/>
          <w:szCs w:val="20"/>
        </w:rPr>
      </w:pPr>
    </w:p>
    <w:p w14:paraId="508BDC00" w14:textId="77777777" w:rsidR="006D0C22" w:rsidRDefault="006D0C22" w:rsidP="006D0C22">
      <w:pPr>
        <w:ind w:left="709"/>
        <w:rPr>
          <w:rFonts w:cs="Arial"/>
          <w:snapToGrid w:val="0"/>
          <w:sz w:val="20"/>
          <w:szCs w:val="20"/>
        </w:rPr>
      </w:pPr>
      <w:r>
        <w:rPr>
          <w:rFonts w:cs="Arial"/>
          <w:snapToGrid w:val="0"/>
          <w:sz w:val="20"/>
          <w:szCs w:val="20"/>
        </w:rPr>
        <w:t xml:space="preserve">The </w:t>
      </w:r>
      <w:r>
        <w:rPr>
          <w:rFonts w:cs="Arial"/>
          <w:sz w:val="20"/>
          <w:szCs w:val="20"/>
        </w:rPr>
        <w:t xml:space="preserve">$145 Business Plus plan </w:t>
      </w:r>
      <w:r>
        <w:rPr>
          <w:rFonts w:cs="Arial"/>
          <w:snapToGrid w:val="0"/>
          <w:sz w:val="20"/>
          <w:szCs w:val="20"/>
        </w:rPr>
        <w:t>has unlimited standard national and international voice, SMS (MMS is excluded) plus up to 10GB for use within each billing month in selected Zone 1 countries.</w:t>
      </w:r>
      <w:r>
        <w:rPr>
          <w:rFonts w:cs="Arial"/>
          <w:bCs/>
          <w:snapToGrid w:val="0"/>
          <w:sz w:val="20"/>
          <w:szCs w:val="20"/>
        </w:rPr>
        <w:br/>
      </w:r>
    </w:p>
    <w:p w14:paraId="2083D799" w14:textId="77777777" w:rsidR="006D0C22" w:rsidRDefault="006D0C22" w:rsidP="006D0C22">
      <w:pPr>
        <w:ind w:left="709"/>
        <w:rPr>
          <w:rFonts w:cs="Arial"/>
          <w:snapToGrid w:val="0"/>
          <w:sz w:val="20"/>
          <w:szCs w:val="20"/>
        </w:rPr>
      </w:pPr>
      <w:r>
        <w:rPr>
          <w:rFonts w:cs="Arial"/>
          <w:snapToGrid w:val="0"/>
          <w:sz w:val="20"/>
          <w:szCs w:val="20"/>
        </w:rPr>
        <w:t xml:space="preserve">If you are not in a selected Zone 1 country you will be charged at standard roaming rates for that country. If you exceed the data limit, standard data roaming charges will apply. Any data provided is not shareable and will not form part of any Data Pool. Any unused data will be forfeited and cannot be rolled over to the </w:t>
      </w:r>
      <w:r>
        <w:rPr>
          <w:rFonts w:cs="Arial"/>
          <w:snapToGrid w:val="0"/>
          <w:sz w:val="20"/>
          <w:szCs w:val="20"/>
        </w:rPr>
        <w:lastRenderedPageBreak/>
        <w:t>next billing month.</w:t>
      </w:r>
      <w:r>
        <w:rPr>
          <w:rFonts w:cs="Arial"/>
          <w:snapToGrid w:val="0"/>
          <w:sz w:val="20"/>
          <w:szCs w:val="20"/>
        </w:rPr>
        <w:br/>
      </w:r>
    </w:p>
    <w:p w14:paraId="7CF2DC20" w14:textId="77777777" w:rsidR="006D0C22" w:rsidRDefault="006D0C22" w:rsidP="006D0C22">
      <w:pPr>
        <w:pStyle w:val="Heading6"/>
        <w:ind w:left="0" w:firstLine="0"/>
        <w:rPr>
          <w:lang w:val="en-AU"/>
        </w:rPr>
      </w:pPr>
      <w:bookmarkStart w:id="2434" w:name="_Toc25136938"/>
      <w:r>
        <w:rPr>
          <w:lang w:val="en-AU"/>
        </w:rPr>
        <w:t>Additional benefit – Handset Credit</w:t>
      </w:r>
      <w:bookmarkEnd w:id="2434"/>
    </w:p>
    <w:p w14:paraId="0BF3A5C6" w14:textId="77777777" w:rsidR="006D0C22" w:rsidRDefault="006D0C22" w:rsidP="006D0C22">
      <w:pPr>
        <w:pStyle w:val="Heading7"/>
        <w:rPr>
          <w:lang w:val="en-AU"/>
        </w:rPr>
      </w:pPr>
      <w:r>
        <w:rPr>
          <w:i/>
          <w:lang w:val="en-AU"/>
        </w:rPr>
        <w:t xml:space="preserve">When you </w:t>
      </w:r>
      <w:r>
        <w:rPr>
          <w:lang w:val="en-AU"/>
        </w:rPr>
        <w:t>connect to a My Plan Plus which has a monthly phone credit ('</w:t>
      </w:r>
      <w:r>
        <w:rPr>
          <w:b/>
          <w:lang w:val="en-AU"/>
        </w:rPr>
        <w:t>Handset Credit</w:t>
      </w:r>
      <w:r>
        <w:rPr>
          <w:lang w:val="en-AU"/>
        </w:rPr>
        <w:t xml:space="preserve">') each month for </w:t>
      </w:r>
      <w:r>
        <w:rPr>
          <w:i/>
          <w:lang w:val="en-AU"/>
        </w:rPr>
        <w:t>your minimum term</w:t>
      </w:r>
      <w:r>
        <w:rPr>
          <w:lang w:val="en-AU"/>
        </w:rPr>
        <w:t xml:space="preserve">, this will reduce the monthly repayment costs of the handset </w:t>
      </w:r>
      <w:r>
        <w:rPr>
          <w:i/>
          <w:lang w:val="en-AU"/>
        </w:rPr>
        <w:t xml:space="preserve">you </w:t>
      </w:r>
      <w:r>
        <w:rPr>
          <w:lang w:val="en-AU"/>
        </w:rPr>
        <w:t xml:space="preserve">have chosen with </w:t>
      </w:r>
      <w:r>
        <w:rPr>
          <w:i/>
          <w:lang w:val="en-AU"/>
        </w:rPr>
        <w:t>your pricing plan</w:t>
      </w:r>
      <w:r>
        <w:rPr>
          <w:lang w:val="en-AU"/>
        </w:rPr>
        <w:t xml:space="preserve">. </w:t>
      </w:r>
    </w:p>
    <w:p w14:paraId="1D2B5102" w14:textId="77777777" w:rsidR="006D0C22" w:rsidRDefault="006D0C22" w:rsidP="006D0C22">
      <w:pPr>
        <w:pStyle w:val="Heading7"/>
        <w:rPr>
          <w:lang w:val="en-AU"/>
        </w:rPr>
      </w:pPr>
      <w:r>
        <w:rPr>
          <w:lang w:val="en-AU"/>
        </w:rPr>
        <w:t xml:space="preserve">If </w:t>
      </w:r>
      <w:r>
        <w:rPr>
          <w:i/>
          <w:lang w:val="en-AU"/>
        </w:rPr>
        <w:t>you</w:t>
      </w:r>
      <w:r>
        <w:rPr>
          <w:lang w:val="en-AU"/>
        </w:rPr>
        <w:t xml:space="preserve"> </w:t>
      </w:r>
      <w:r>
        <w:rPr>
          <w:i/>
          <w:lang w:val="en-AU"/>
        </w:rPr>
        <w:t>cancel your pricing plan</w:t>
      </w:r>
      <w:r>
        <w:rPr>
          <w:lang w:val="en-AU"/>
        </w:rPr>
        <w:t xml:space="preserve"> or the </w:t>
      </w:r>
      <w:r>
        <w:rPr>
          <w:i/>
          <w:lang w:val="en-AU"/>
        </w:rPr>
        <w:t xml:space="preserve">mobile equipment payment plan </w:t>
      </w:r>
      <w:r>
        <w:rPr>
          <w:lang w:val="en-AU"/>
        </w:rPr>
        <w:t xml:space="preserve">during </w:t>
      </w:r>
      <w:r>
        <w:rPr>
          <w:i/>
          <w:lang w:val="en-AU"/>
        </w:rPr>
        <w:t>your minimum term</w:t>
      </w:r>
      <w:r>
        <w:rPr>
          <w:lang w:val="en-AU"/>
        </w:rPr>
        <w:t xml:space="preserve">, </w:t>
      </w:r>
      <w:r>
        <w:rPr>
          <w:i/>
          <w:lang w:val="en-AU"/>
        </w:rPr>
        <w:t>you</w:t>
      </w:r>
      <w:r>
        <w:rPr>
          <w:lang w:val="en-AU"/>
        </w:rPr>
        <w:t xml:space="preserve"> will no longer be entitled to these Handset Credits and </w:t>
      </w:r>
      <w:r>
        <w:rPr>
          <w:i/>
          <w:lang w:val="en-AU"/>
        </w:rPr>
        <w:t>you</w:t>
      </w:r>
      <w:r>
        <w:rPr>
          <w:lang w:val="en-AU"/>
        </w:rPr>
        <w:t xml:space="preserve"> must pay the remaining handset repayments in full in addition to any </w:t>
      </w:r>
      <w:r>
        <w:rPr>
          <w:i/>
          <w:lang w:val="en-AU"/>
        </w:rPr>
        <w:t>cancellation fee</w:t>
      </w:r>
      <w:r>
        <w:rPr>
          <w:lang w:val="en-AU"/>
        </w:rPr>
        <w:t>.</w:t>
      </w:r>
      <w:r>
        <w:t xml:space="preserve"> </w:t>
      </w:r>
    </w:p>
    <w:p w14:paraId="21CF766C" w14:textId="77777777" w:rsidR="006D0C22" w:rsidRDefault="006D0C22" w:rsidP="006D0C22">
      <w:pPr>
        <w:pStyle w:val="Heading7"/>
        <w:rPr>
          <w:lang w:val="en-AU"/>
        </w:rPr>
      </w:pPr>
      <w:r>
        <w:rPr>
          <w:lang w:val="en-AU"/>
        </w:rPr>
        <w:t xml:space="preserve">If you elect to keep your mobile phone when exercising New Phone Trade Up you will no longer be entitled to the Handset Credit and you will be required to pay the remaining handset repayments in full.  </w:t>
      </w:r>
    </w:p>
    <w:p w14:paraId="2EFEC5A8" w14:textId="77777777" w:rsidR="006D0C22" w:rsidRDefault="006D0C22" w:rsidP="006D0C22">
      <w:pPr>
        <w:pStyle w:val="BodyText"/>
        <w:rPr>
          <w:b/>
          <w:lang w:val="en-AU"/>
        </w:rPr>
      </w:pPr>
      <w:r>
        <w:rPr>
          <w:b/>
          <w:lang w:val="en-AU"/>
        </w:rPr>
        <w:t>Table 1 –Plan Inclusions and Charges</w:t>
      </w:r>
    </w:p>
    <w:tbl>
      <w:tblPr>
        <w:tblW w:w="492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7"/>
        <w:gridCol w:w="2685"/>
        <w:gridCol w:w="2683"/>
      </w:tblGrid>
      <w:tr w:rsidR="006D0C22" w14:paraId="35134382" w14:textId="77777777" w:rsidTr="00E01D8F">
        <w:tc>
          <w:tcPr>
            <w:tcW w:w="2325" w:type="pct"/>
            <w:tcBorders>
              <w:top w:val="single" w:sz="4" w:space="0" w:color="auto"/>
              <w:left w:val="single" w:sz="4" w:space="0" w:color="auto"/>
              <w:bottom w:val="single" w:sz="4" w:space="0" w:color="auto"/>
              <w:right w:val="single" w:sz="4" w:space="0" w:color="auto"/>
            </w:tcBorders>
          </w:tcPr>
          <w:p w14:paraId="7EF18F40" w14:textId="77777777" w:rsidR="006D0C22" w:rsidRDefault="006D0C22" w:rsidP="00E01D8F">
            <w:pPr>
              <w:pStyle w:val="BodyText"/>
              <w:spacing w:before="100" w:after="100"/>
            </w:pPr>
          </w:p>
        </w:tc>
        <w:tc>
          <w:tcPr>
            <w:tcW w:w="1338" w:type="pct"/>
            <w:tcBorders>
              <w:top w:val="single" w:sz="4" w:space="0" w:color="auto"/>
              <w:left w:val="single" w:sz="4" w:space="0" w:color="auto"/>
              <w:bottom w:val="single" w:sz="4" w:space="0" w:color="auto"/>
              <w:right w:val="single" w:sz="4" w:space="0" w:color="auto"/>
            </w:tcBorders>
            <w:vAlign w:val="center"/>
            <w:hideMark/>
          </w:tcPr>
          <w:p w14:paraId="1411868F" w14:textId="77777777" w:rsidR="006D0C22" w:rsidRDefault="006D0C22" w:rsidP="00E01D8F">
            <w:pPr>
              <w:pStyle w:val="BodyText"/>
              <w:spacing w:before="100" w:after="100"/>
              <w:jc w:val="center"/>
              <w:rPr>
                <w:b/>
              </w:rPr>
            </w:pPr>
            <w:r>
              <w:rPr>
                <w:b/>
              </w:rPr>
              <w:t xml:space="preserve">$125 Business Plus  </w:t>
            </w:r>
          </w:p>
        </w:tc>
        <w:tc>
          <w:tcPr>
            <w:tcW w:w="1337" w:type="pct"/>
            <w:tcBorders>
              <w:top w:val="single" w:sz="4" w:space="0" w:color="auto"/>
              <w:left w:val="single" w:sz="4" w:space="0" w:color="auto"/>
              <w:bottom w:val="single" w:sz="4" w:space="0" w:color="auto"/>
              <w:right w:val="single" w:sz="4" w:space="0" w:color="auto"/>
            </w:tcBorders>
            <w:vAlign w:val="center"/>
            <w:hideMark/>
          </w:tcPr>
          <w:p w14:paraId="7F63DC9C" w14:textId="77777777" w:rsidR="006D0C22" w:rsidRDefault="006D0C22" w:rsidP="00E01D8F">
            <w:pPr>
              <w:pStyle w:val="BodyText"/>
              <w:spacing w:before="100" w:after="100"/>
              <w:jc w:val="center"/>
              <w:rPr>
                <w:b/>
              </w:rPr>
            </w:pPr>
            <w:r>
              <w:rPr>
                <w:b/>
              </w:rPr>
              <w:t xml:space="preserve">$145 Business Plus  </w:t>
            </w:r>
          </w:p>
        </w:tc>
      </w:tr>
      <w:tr w:rsidR="006D0C22" w14:paraId="0F13A8DB" w14:textId="77777777" w:rsidTr="00E01D8F">
        <w:tc>
          <w:tcPr>
            <w:tcW w:w="2325" w:type="pct"/>
            <w:tcBorders>
              <w:top w:val="single" w:sz="4" w:space="0" w:color="auto"/>
              <w:left w:val="single" w:sz="4" w:space="0" w:color="auto"/>
              <w:bottom w:val="single" w:sz="4" w:space="0" w:color="auto"/>
              <w:right w:val="single" w:sz="4" w:space="0" w:color="auto"/>
            </w:tcBorders>
            <w:hideMark/>
          </w:tcPr>
          <w:p w14:paraId="3F11AF5D" w14:textId="77777777" w:rsidR="006D0C22" w:rsidRPr="005428C4" w:rsidRDefault="006D0C22" w:rsidP="00E01D8F">
            <w:pPr>
              <w:pStyle w:val="BodyText"/>
              <w:spacing w:before="100" w:after="100"/>
              <w:rPr>
                <w:sz w:val="16"/>
                <w:szCs w:val="16"/>
              </w:rPr>
            </w:pPr>
            <w:r w:rsidRPr="005428C4">
              <w:rPr>
                <w:b/>
                <w:bCs/>
                <w:sz w:val="16"/>
                <w:szCs w:val="16"/>
              </w:rPr>
              <w:t>Minimum Monthly charge</w:t>
            </w:r>
          </w:p>
        </w:tc>
        <w:tc>
          <w:tcPr>
            <w:tcW w:w="1338" w:type="pct"/>
            <w:tcBorders>
              <w:top w:val="single" w:sz="4" w:space="0" w:color="auto"/>
              <w:left w:val="single" w:sz="4" w:space="0" w:color="auto"/>
              <w:bottom w:val="single" w:sz="4" w:space="0" w:color="auto"/>
              <w:right w:val="single" w:sz="4" w:space="0" w:color="auto"/>
            </w:tcBorders>
            <w:vAlign w:val="center"/>
            <w:hideMark/>
          </w:tcPr>
          <w:p w14:paraId="24815429" w14:textId="77777777" w:rsidR="006D0C22" w:rsidRPr="005428C4" w:rsidRDefault="006D0C22" w:rsidP="00E01D8F">
            <w:pPr>
              <w:pStyle w:val="BodyText"/>
              <w:spacing w:before="100" w:after="100"/>
              <w:jc w:val="center"/>
              <w:rPr>
                <w:sz w:val="16"/>
                <w:szCs w:val="16"/>
              </w:rPr>
            </w:pPr>
            <w:r w:rsidRPr="005428C4">
              <w:rPr>
                <w:sz w:val="16"/>
                <w:szCs w:val="16"/>
              </w:rPr>
              <w:t>$12</w:t>
            </w:r>
            <w:r>
              <w:rPr>
                <w:sz w:val="16"/>
                <w:szCs w:val="16"/>
              </w:rPr>
              <w:t>5</w:t>
            </w:r>
          </w:p>
        </w:tc>
        <w:tc>
          <w:tcPr>
            <w:tcW w:w="1337" w:type="pct"/>
            <w:tcBorders>
              <w:top w:val="single" w:sz="4" w:space="0" w:color="auto"/>
              <w:left w:val="single" w:sz="4" w:space="0" w:color="auto"/>
              <w:bottom w:val="single" w:sz="4" w:space="0" w:color="auto"/>
              <w:right w:val="single" w:sz="4" w:space="0" w:color="auto"/>
            </w:tcBorders>
            <w:vAlign w:val="center"/>
            <w:hideMark/>
          </w:tcPr>
          <w:p w14:paraId="1086666A" w14:textId="77777777" w:rsidR="006D0C22" w:rsidRPr="005428C4" w:rsidRDefault="006D0C22" w:rsidP="00E01D8F">
            <w:pPr>
              <w:pStyle w:val="BodyText"/>
              <w:spacing w:before="100" w:after="100"/>
              <w:jc w:val="center"/>
              <w:rPr>
                <w:sz w:val="16"/>
                <w:szCs w:val="16"/>
              </w:rPr>
            </w:pPr>
            <w:r w:rsidRPr="005428C4">
              <w:rPr>
                <w:sz w:val="16"/>
                <w:szCs w:val="16"/>
              </w:rPr>
              <w:t>$14</w:t>
            </w:r>
            <w:r>
              <w:rPr>
                <w:sz w:val="16"/>
                <w:szCs w:val="16"/>
              </w:rPr>
              <w:t>5</w:t>
            </w:r>
          </w:p>
        </w:tc>
      </w:tr>
      <w:tr w:rsidR="006D0C22" w14:paraId="22AE50E1" w14:textId="77777777" w:rsidTr="00E01D8F">
        <w:tc>
          <w:tcPr>
            <w:tcW w:w="2325" w:type="pct"/>
            <w:tcBorders>
              <w:top w:val="single" w:sz="4" w:space="0" w:color="auto"/>
              <w:left w:val="single" w:sz="4" w:space="0" w:color="auto"/>
              <w:bottom w:val="single" w:sz="4" w:space="0" w:color="auto"/>
              <w:right w:val="single" w:sz="4" w:space="0" w:color="auto"/>
            </w:tcBorders>
            <w:hideMark/>
          </w:tcPr>
          <w:p w14:paraId="0041A3D1" w14:textId="77777777" w:rsidR="006D0C22" w:rsidRPr="005428C4" w:rsidRDefault="006D0C22" w:rsidP="00E01D8F">
            <w:pPr>
              <w:pStyle w:val="BodyText"/>
              <w:spacing w:before="100" w:after="100"/>
              <w:rPr>
                <w:sz w:val="16"/>
                <w:szCs w:val="16"/>
              </w:rPr>
            </w:pPr>
            <w:r w:rsidRPr="005428C4">
              <w:rPr>
                <w:b/>
                <w:bCs/>
                <w:sz w:val="16"/>
                <w:szCs w:val="16"/>
              </w:rPr>
              <w:t>Included Data</w:t>
            </w:r>
          </w:p>
        </w:tc>
        <w:tc>
          <w:tcPr>
            <w:tcW w:w="1338" w:type="pct"/>
            <w:tcBorders>
              <w:top w:val="single" w:sz="4" w:space="0" w:color="auto"/>
              <w:left w:val="single" w:sz="4" w:space="0" w:color="auto"/>
              <w:bottom w:val="single" w:sz="4" w:space="0" w:color="auto"/>
              <w:right w:val="single" w:sz="4" w:space="0" w:color="auto"/>
            </w:tcBorders>
            <w:vAlign w:val="center"/>
            <w:hideMark/>
          </w:tcPr>
          <w:p w14:paraId="71363CA0" w14:textId="77777777" w:rsidR="006D0C22" w:rsidRPr="005428C4" w:rsidRDefault="006D0C22" w:rsidP="00E01D8F">
            <w:pPr>
              <w:pStyle w:val="BodyText"/>
              <w:spacing w:before="100" w:after="100"/>
              <w:jc w:val="center"/>
              <w:rPr>
                <w:sz w:val="16"/>
                <w:szCs w:val="16"/>
              </w:rPr>
            </w:pPr>
            <w:r>
              <w:rPr>
                <w:sz w:val="16"/>
                <w:szCs w:val="16"/>
              </w:rPr>
              <w:t>6</w:t>
            </w:r>
            <w:r w:rsidRPr="005428C4">
              <w:rPr>
                <w:sz w:val="16"/>
                <w:szCs w:val="16"/>
              </w:rPr>
              <w:t>0GB</w:t>
            </w:r>
          </w:p>
        </w:tc>
        <w:tc>
          <w:tcPr>
            <w:tcW w:w="1337" w:type="pct"/>
            <w:tcBorders>
              <w:top w:val="single" w:sz="4" w:space="0" w:color="auto"/>
              <w:left w:val="single" w:sz="4" w:space="0" w:color="auto"/>
              <w:bottom w:val="single" w:sz="4" w:space="0" w:color="auto"/>
              <w:right w:val="single" w:sz="4" w:space="0" w:color="auto"/>
            </w:tcBorders>
            <w:vAlign w:val="center"/>
            <w:hideMark/>
          </w:tcPr>
          <w:p w14:paraId="48C0ACB4" w14:textId="77777777" w:rsidR="006D0C22" w:rsidRPr="005428C4" w:rsidRDefault="006D0C22" w:rsidP="00E01D8F">
            <w:pPr>
              <w:pStyle w:val="BodyText"/>
              <w:spacing w:before="100" w:after="100"/>
              <w:jc w:val="center"/>
              <w:rPr>
                <w:sz w:val="16"/>
                <w:szCs w:val="16"/>
              </w:rPr>
            </w:pPr>
            <w:r>
              <w:rPr>
                <w:sz w:val="16"/>
                <w:szCs w:val="16"/>
              </w:rPr>
              <w:t>12</w:t>
            </w:r>
            <w:r w:rsidRPr="005428C4">
              <w:rPr>
                <w:sz w:val="16"/>
                <w:szCs w:val="16"/>
              </w:rPr>
              <w:t>0GB</w:t>
            </w:r>
          </w:p>
        </w:tc>
      </w:tr>
      <w:tr w:rsidR="006D0C22" w14:paraId="0BAAC438" w14:textId="77777777" w:rsidTr="00E01D8F">
        <w:tc>
          <w:tcPr>
            <w:tcW w:w="2325" w:type="pct"/>
            <w:tcBorders>
              <w:top w:val="single" w:sz="4" w:space="0" w:color="auto"/>
              <w:left w:val="single" w:sz="4" w:space="0" w:color="auto"/>
              <w:bottom w:val="single" w:sz="4" w:space="0" w:color="auto"/>
              <w:right w:val="single" w:sz="4" w:space="0" w:color="auto"/>
            </w:tcBorders>
            <w:hideMark/>
          </w:tcPr>
          <w:p w14:paraId="14619943" w14:textId="77777777" w:rsidR="006D0C22" w:rsidRPr="005428C4" w:rsidRDefault="006D0C22" w:rsidP="00E01D8F">
            <w:pPr>
              <w:pStyle w:val="BodyText"/>
              <w:spacing w:before="100" w:after="100"/>
              <w:rPr>
                <w:b/>
                <w:bCs/>
                <w:sz w:val="16"/>
                <w:szCs w:val="16"/>
              </w:rPr>
            </w:pPr>
            <w:r w:rsidRPr="005428C4">
              <w:rPr>
                <w:rFonts w:eastAsia="Calibri" w:cs="Arial"/>
                <w:b/>
                <w:bCs/>
                <w:sz w:val="16"/>
                <w:szCs w:val="16"/>
                <w:lang w:eastAsia="en-AU"/>
              </w:rPr>
              <w:t>Additional Data</w:t>
            </w:r>
          </w:p>
        </w:tc>
        <w:tc>
          <w:tcPr>
            <w:tcW w:w="2675" w:type="pct"/>
            <w:gridSpan w:val="2"/>
            <w:tcBorders>
              <w:top w:val="single" w:sz="4" w:space="0" w:color="auto"/>
              <w:left w:val="single" w:sz="4" w:space="0" w:color="auto"/>
              <w:bottom w:val="single" w:sz="4" w:space="0" w:color="auto"/>
              <w:right w:val="single" w:sz="4" w:space="0" w:color="auto"/>
            </w:tcBorders>
            <w:hideMark/>
          </w:tcPr>
          <w:p w14:paraId="7F416ACA" w14:textId="77777777" w:rsidR="006D0C22" w:rsidRPr="005428C4" w:rsidRDefault="006D0C22" w:rsidP="00E01D8F">
            <w:pPr>
              <w:pStyle w:val="BodyText"/>
              <w:spacing w:before="100" w:after="100"/>
              <w:jc w:val="center"/>
              <w:rPr>
                <w:rFonts w:cs="Arial"/>
                <w:sz w:val="16"/>
                <w:szCs w:val="16"/>
              </w:rPr>
            </w:pPr>
            <w:r w:rsidRPr="005428C4">
              <w:rPr>
                <w:rFonts w:cs="Arial"/>
                <w:sz w:val="16"/>
                <w:szCs w:val="16"/>
              </w:rPr>
              <w:t>Additional data $10 per 1GB</w:t>
            </w:r>
          </w:p>
        </w:tc>
      </w:tr>
      <w:tr w:rsidR="006D0C22" w14:paraId="07215EF7" w14:textId="77777777" w:rsidTr="00E01D8F">
        <w:trPr>
          <w:trHeight w:val="64"/>
        </w:trPr>
        <w:tc>
          <w:tcPr>
            <w:tcW w:w="2325" w:type="pct"/>
            <w:tcBorders>
              <w:top w:val="single" w:sz="4" w:space="0" w:color="auto"/>
              <w:left w:val="single" w:sz="4" w:space="0" w:color="auto"/>
              <w:bottom w:val="single" w:sz="4" w:space="0" w:color="auto"/>
              <w:right w:val="single" w:sz="4" w:space="0" w:color="auto"/>
            </w:tcBorders>
            <w:vAlign w:val="center"/>
            <w:hideMark/>
          </w:tcPr>
          <w:p w14:paraId="31363D23" w14:textId="77777777" w:rsidR="006D0C22" w:rsidRPr="005428C4" w:rsidRDefault="006D0C22" w:rsidP="00E01D8F">
            <w:pPr>
              <w:pStyle w:val="BodyText"/>
              <w:spacing w:before="100" w:after="100"/>
              <w:rPr>
                <w:b/>
                <w:bCs/>
                <w:sz w:val="16"/>
                <w:szCs w:val="16"/>
              </w:rPr>
            </w:pPr>
            <w:r w:rsidRPr="005428C4">
              <w:rPr>
                <w:b/>
                <w:bCs/>
                <w:sz w:val="16"/>
                <w:szCs w:val="16"/>
              </w:rPr>
              <w:t>Included Minutes</w:t>
            </w:r>
            <w:r w:rsidRPr="005428C4">
              <w:rPr>
                <w:b/>
                <w:bCs/>
                <w:sz w:val="16"/>
                <w:szCs w:val="16"/>
              </w:rPr>
              <w:br/>
            </w:r>
            <w:r w:rsidRPr="005428C4">
              <w:rPr>
                <w:bCs/>
                <w:sz w:val="16"/>
                <w:szCs w:val="16"/>
              </w:rPr>
              <w:t>For standard national calls to landlines and mobiles, 1300/1800 numbers, voicemail (deposits &amp; retrievals) and national diversions within Australia</w:t>
            </w:r>
          </w:p>
        </w:tc>
        <w:tc>
          <w:tcPr>
            <w:tcW w:w="1338" w:type="pct"/>
            <w:tcBorders>
              <w:top w:val="single" w:sz="4" w:space="0" w:color="auto"/>
              <w:left w:val="single" w:sz="4" w:space="0" w:color="auto"/>
              <w:bottom w:val="single" w:sz="4" w:space="0" w:color="auto"/>
              <w:right w:val="single" w:sz="4" w:space="0" w:color="auto"/>
            </w:tcBorders>
            <w:vAlign w:val="center"/>
            <w:hideMark/>
          </w:tcPr>
          <w:p w14:paraId="08D42250" w14:textId="77777777" w:rsidR="006D0C22" w:rsidRPr="005428C4" w:rsidRDefault="006D0C22" w:rsidP="00E01D8F">
            <w:pPr>
              <w:pStyle w:val="BodyText"/>
              <w:spacing w:before="100" w:after="100"/>
              <w:jc w:val="center"/>
              <w:rPr>
                <w:sz w:val="16"/>
                <w:szCs w:val="16"/>
              </w:rPr>
            </w:pPr>
            <w:r w:rsidRPr="005428C4">
              <w:rPr>
                <w:sz w:val="16"/>
                <w:szCs w:val="16"/>
              </w:rPr>
              <w:t>Unlimited</w:t>
            </w:r>
          </w:p>
        </w:tc>
        <w:tc>
          <w:tcPr>
            <w:tcW w:w="1337" w:type="pct"/>
            <w:tcBorders>
              <w:top w:val="single" w:sz="4" w:space="0" w:color="auto"/>
              <w:left w:val="single" w:sz="4" w:space="0" w:color="auto"/>
              <w:bottom w:val="single" w:sz="4" w:space="0" w:color="auto"/>
              <w:right w:val="single" w:sz="4" w:space="0" w:color="auto"/>
            </w:tcBorders>
            <w:vAlign w:val="center"/>
            <w:hideMark/>
          </w:tcPr>
          <w:p w14:paraId="4D350C30" w14:textId="77777777" w:rsidR="006D0C22" w:rsidRPr="005428C4" w:rsidRDefault="006D0C22" w:rsidP="00E01D8F">
            <w:pPr>
              <w:pStyle w:val="BodyText"/>
              <w:spacing w:before="100" w:after="100"/>
              <w:jc w:val="center"/>
              <w:rPr>
                <w:sz w:val="16"/>
                <w:szCs w:val="16"/>
              </w:rPr>
            </w:pPr>
            <w:r w:rsidRPr="005428C4">
              <w:rPr>
                <w:sz w:val="16"/>
                <w:szCs w:val="16"/>
              </w:rPr>
              <w:t>Unlimited</w:t>
            </w:r>
          </w:p>
        </w:tc>
      </w:tr>
      <w:tr w:rsidR="006D0C22" w14:paraId="540BB31F" w14:textId="77777777" w:rsidTr="00E01D8F">
        <w:trPr>
          <w:trHeight w:val="64"/>
        </w:trPr>
        <w:tc>
          <w:tcPr>
            <w:tcW w:w="2325" w:type="pct"/>
            <w:tcBorders>
              <w:top w:val="single" w:sz="4" w:space="0" w:color="auto"/>
              <w:left w:val="single" w:sz="4" w:space="0" w:color="auto"/>
              <w:bottom w:val="single" w:sz="4" w:space="0" w:color="auto"/>
              <w:right w:val="single" w:sz="4" w:space="0" w:color="auto"/>
            </w:tcBorders>
            <w:hideMark/>
          </w:tcPr>
          <w:p w14:paraId="2644CED2" w14:textId="77777777" w:rsidR="006D0C22" w:rsidRPr="005428C4" w:rsidRDefault="006D0C22" w:rsidP="00E01D8F">
            <w:pPr>
              <w:pStyle w:val="BodyText"/>
              <w:spacing w:before="100" w:after="100"/>
              <w:rPr>
                <w:b/>
                <w:bCs/>
                <w:sz w:val="16"/>
                <w:szCs w:val="16"/>
              </w:rPr>
            </w:pPr>
            <w:r w:rsidRPr="005428C4">
              <w:rPr>
                <w:b/>
                <w:bCs/>
                <w:sz w:val="16"/>
                <w:szCs w:val="16"/>
              </w:rPr>
              <w:t xml:space="preserve">Standard national SMS </w:t>
            </w:r>
          </w:p>
          <w:p w14:paraId="38BF24C2" w14:textId="77777777" w:rsidR="006D0C22" w:rsidRPr="005428C4" w:rsidRDefault="006D0C22" w:rsidP="00E01D8F">
            <w:pPr>
              <w:pStyle w:val="BodyText"/>
              <w:spacing w:before="100" w:after="100"/>
              <w:rPr>
                <w:sz w:val="16"/>
                <w:szCs w:val="16"/>
              </w:rPr>
            </w:pPr>
            <w:r w:rsidRPr="005428C4">
              <w:rPr>
                <w:sz w:val="16"/>
                <w:szCs w:val="16"/>
              </w:rPr>
              <w:t>(per SMS of up to 160 standard characters)</w:t>
            </w:r>
          </w:p>
        </w:tc>
        <w:tc>
          <w:tcPr>
            <w:tcW w:w="1338" w:type="pct"/>
            <w:tcBorders>
              <w:top w:val="single" w:sz="4" w:space="0" w:color="auto"/>
              <w:left w:val="single" w:sz="4" w:space="0" w:color="auto"/>
              <w:bottom w:val="single" w:sz="4" w:space="0" w:color="auto"/>
              <w:right w:val="single" w:sz="4" w:space="0" w:color="auto"/>
            </w:tcBorders>
            <w:vAlign w:val="center"/>
            <w:hideMark/>
          </w:tcPr>
          <w:p w14:paraId="17F1F17C" w14:textId="77777777" w:rsidR="006D0C22" w:rsidRPr="005428C4" w:rsidRDefault="006D0C22" w:rsidP="00E01D8F">
            <w:pPr>
              <w:pStyle w:val="BodyText"/>
              <w:spacing w:before="100" w:after="100"/>
              <w:jc w:val="center"/>
              <w:rPr>
                <w:sz w:val="16"/>
                <w:szCs w:val="16"/>
              </w:rPr>
            </w:pPr>
            <w:r w:rsidRPr="005428C4">
              <w:rPr>
                <w:sz w:val="16"/>
                <w:szCs w:val="16"/>
              </w:rPr>
              <w:t>Unlimited</w:t>
            </w:r>
          </w:p>
        </w:tc>
        <w:tc>
          <w:tcPr>
            <w:tcW w:w="1337" w:type="pct"/>
            <w:tcBorders>
              <w:top w:val="single" w:sz="4" w:space="0" w:color="auto"/>
              <w:left w:val="single" w:sz="4" w:space="0" w:color="auto"/>
              <w:bottom w:val="single" w:sz="4" w:space="0" w:color="auto"/>
              <w:right w:val="single" w:sz="4" w:space="0" w:color="auto"/>
            </w:tcBorders>
            <w:vAlign w:val="center"/>
            <w:hideMark/>
          </w:tcPr>
          <w:p w14:paraId="37C9CEB4" w14:textId="77777777" w:rsidR="006D0C22" w:rsidRPr="005428C4" w:rsidRDefault="006D0C22" w:rsidP="00E01D8F">
            <w:pPr>
              <w:pStyle w:val="BodyText"/>
              <w:spacing w:before="100" w:after="100"/>
              <w:jc w:val="center"/>
              <w:rPr>
                <w:sz w:val="16"/>
                <w:szCs w:val="16"/>
              </w:rPr>
            </w:pPr>
            <w:r w:rsidRPr="005428C4">
              <w:rPr>
                <w:sz w:val="16"/>
                <w:szCs w:val="16"/>
              </w:rPr>
              <w:t>Unlimited</w:t>
            </w:r>
          </w:p>
        </w:tc>
      </w:tr>
      <w:tr w:rsidR="006D0C22" w14:paraId="12437447" w14:textId="77777777" w:rsidTr="00E01D8F">
        <w:tc>
          <w:tcPr>
            <w:tcW w:w="2325" w:type="pct"/>
            <w:tcBorders>
              <w:top w:val="single" w:sz="4" w:space="0" w:color="auto"/>
              <w:left w:val="single" w:sz="4" w:space="0" w:color="auto"/>
              <w:bottom w:val="single" w:sz="4" w:space="0" w:color="auto"/>
              <w:right w:val="single" w:sz="4" w:space="0" w:color="auto"/>
            </w:tcBorders>
            <w:hideMark/>
          </w:tcPr>
          <w:p w14:paraId="5FE37D08" w14:textId="77777777" w:rsidR="006D0C22" w:rsidRPr="005428C4" w:rsidRDefault="006D0C22" w:rsidP="00E01D8F">
            <w:pPr>
              <w:pStyle w:val="BodyText"/>
              <w:spacing w:before="100" w:after="100"/>
              <w:rPr>
                <w:b/>
                <w:bCs/>
                <w:sz w:val="16"/>
                <w:szCs w:val="16"/>
              </w:rPr>
            </w:pPr>
            <w:r w:rsidRPr="005428C4">
              <w:rPr>
                <w:b/>
                <w:bCs/>
                <w:sz w:val="16"/>
                <w:szCs w:val="16"/>
              </w:rPr>
              <w:t xml:space="preserve">Standard national MMS </w:t>
            </w:r>
          </w:p>
          <w:p w14:paraId="354094C4" w14:textId="77777777" w:rsidR="006D0C22" w:rsidRPr="005428C4" w:rsidRDefault="006D0C22" w:rsidP="00E01D8F">
            <w:pPr>
              <w:pStyle w:val="BodyText"/>
              <w:spacing w:before="100" w:after="100"/>
              <w:rPr>
                <w:b/>
                <w:bCs/>
                <w:sz w:val="16"/>
                <w:szCs w:val="16"/>
              </w:rPr>
            </w:pPr>
            <w:r w:rsidRPr="005428C4">
              <w:rPr>
                <w:sz w:val="16"/>
                <w:szCs w:val="16"/>
              </w:rPr>
              <w:t>(per message)</w:t>
            </w:r>
          </w:p>
        </w:tc>
        <w:tc>
          <w:tcPr>
            <w:tcW w:w="1338" w:type="pct"/>
            <w:tcBorders>
              <w:top w:val="single" w:sz="4" w:space="0" w:color="auto"/>
              <w:left w:val="single" w:sz="4" w:space="0" w:color="auto"/>
              <w:bottom w:val="single" w:sz="4" w:space="0" w:color="auto"/>
              <w:right w:val="single" w:sz="4" w:space="0" w:color="auto"/>
            </w:tcBorders>
            <w:vAlign w:val="center"/>
            <w:hideMark/>
          </w:tcPr>
          <w:p w14:paraId="0997FC85" w14:textId="77777777" w:rsidR="006D0C22" w:rsidRPr="005428C4" w:rsidRDefault="006D0C22" w:rsidP="00E01D8F">
            <w:pPr>
              <w:pStyle w:val="BodyText"/>
              <w:spacing w:before="100" w:after="100"/>
              <w:jc w:val="center"/>
              <w:rPr>
                <w:sz w:val="16"/>
                <w:szCs w:val="16"/>
              </w:rPr>
            </w:pPr>
            <w:r w:rsidRPr="005428C4">
              <w:rPr>
                <w:sz w:val="16"/>
                <w:szCs w:val="16"/>
              </w:rPr>
              <w:t>Unlimited</w:t>
            </w:r>
          </w:p>
        </w:tc>
        <w:tc>
          <w:tcPr>
            <w:tcW w:w="1337" w:type="pct"/>
            <w:tcBorders>
              <w:top w:val="single" w:sz="4" w:space="0" w:color="auto"/>
              <w:left w:val="single" w:sz="4" w:space="0" w:color="auto"/>
              <w:bottom w:val="single" w:sz="4" w:space="0" w:color="auto"/>
              <w:right w:val="single" w:sz="4" w:space="0" w:color="auto"/>
            </w:tcBorders>
            <w:vAlign w:val="center"/>
            <w:hideMark/>
          </w:tcPr>
          <w:p w14:paraId="26BF4193" w14:textId="77777777" w:rsidR="006D0C22" w:rsidRPr="005428C4" w:rsidRDefault="006D0C22" w:rsidP="00E01D8F">
            <w:pPr>
              <w:pStyle w:val="BodyText"/>
              <w:spacing w:before="100" w:after="100"/>
              <w:jc w:val="center"/>
              <w:rPr>
                <w:sz w:val="16"/>
                <w:szCs w:val="16"/>
              </w:rPr>
            </w:pPr>
            <w:r w:rsidRPr="005428C4">
              <w:rPr>
                <w:sz w:val="16"/>
                <w:szCs w:val="16"/>
              </w:rPr>
              <w:t>Unlimited</w:t>
            </w:r>
          </w:p>
        </w:tc>
      </w:tr>
      <w:tr w:rsidR="006D0C22" w14:paraId="76696D3C" w14:textId="77777777" w:rsidTr="00E01D8F">
        <w:tc>
          <w:tcPr>
            <w:tcW w:w="2325" w:type="pct"/>
            <w:tcBorders>
              <w:top w:val="single" w:sz="4" w:space="0" w:color="auto"/>
              <w:left w:val="single" w:sz="4" w:space="0" w:color="auto"/>
              <w:bottom w:val="single" w:sz="4" w:space="0" w:color="auto"/>
              <w:right w:val="single" w:sz="4" w:space="0" w:color="auto"/>
            </w:tcBorders>
          </w:tcPr>
          <w:p w14:paraId="40D09365" w14:textId="77777777" w:rsidR="006D0C22" w:rsidRPr="00F65B5B" w:rsidRDefault="006D0C22" w:rsidP="00E01D8F">
            <w:pPr>
              <w:pStyle w:val="BodyText"/>
              <w:keepNext/>
              <w:spacing w:before="100" w:after="100"/>
              <w:rPr>
                <w:rFonts w:cs="Arial"/>
                <w:b/>
                <w:bCs/>
                <w:sz w:val="16"/>
                <w:szCs w:val="16"/>
                <w:lang w:eastAsia="en-AU"/>
              </w:rPr>
            </w:pPr>
            <w:r w:rsidRPr="00F65B5B">
              <w:rPr>
                <w:rFonts w:cs="Arial"/>
                <w:b/>
                <w:bCs/>
                <w:sz w:val="16"/>
                <w:szCs w:val="16"/>
                <w:lang w:eastAsia="en-AU"/>
              </w:rPr>
              <w:t>Included International Minutes</w:t>
            </w:r>
            <w:r w:rsidRPr="00F65B5B">
              <w:rPr>
                <w:rFonts w:cs="Arial"/>
                <w:b/>
                <w:bCs/>
                <w:sz w:val="16"/>
                <w:szCs w:val="16"/>
                <w:lang w:eastAsia="en-AU"/>
              </w:rPr>
              <w:br/>
            </w:r>
            <w:r w:rsidRPr="00F65B5B">
              <w:rPr>
                <w:rFonts w:cs="Arial"/>
                <w:sz w:val="16"/>
                <w:szCs w:val="16"/>
                <w:lang w:eastAsia="en-AU"/>
              </w:rPr>
              <w:t xml:space="preserve">Standard international calls to landlines and mobiles to selected countries </w:t>
            </w:r>
          </w:p>
        </w:tc>
        <w:tc>
          <w:tcPr>
            <w:tcW w:w="1338" w:type="pct"/>
            <w:tcBorders>
              <w:top w:val="single" w:sz="4" w:space="0" w:color="auto"/>
              <w:left w:val="single" w:sz="4" w:space="0" w:color="auto"/>
              <w:bottom w:val="single" w:sz="4" w:space="0" w:color="auto"/>
              <w:right w:val="single" w:sz="4" w:space="0" w:color="auto"/>
            </w:tcBorders>
            <w:vAlign w:val="center"/>
          </w:tcPr>
          <w:p w14:paraId="1CB36E19" w14:textId="77777777" w:rsidR="006D0C22" w:rsidRDefault="006D0C22" w:rsidP="00E01D8F">
            <w:pPr>
              <w:jc w:val="center"/>
            </w:pPr>
            <w:r w:rsidRPr="00C33785">
              <w:rPr>
                <w:rFonts w:cs="Arial"/>
                <w:sz w:val="16"/>
                <w:szCs w:val="16"/>
              </w:rPr>
              <w:t>Unlimited to 35 selected countries</w:t>
            </w:r>
          </w:p>
        </w:tc>
        <w:tc>
          <w:tcPr>
            <w:tcW w:w="1337" w:type="pct"/>
            <w:tcBorders>
              <w:top w:val="single" w:sz="4" w:space="0" w:color="auto"/>
              <w:left w:val="single" w:sz="4" w:space="0" w:color="auto"/>
              <w:bottom w:val="single" w:sz="4" w:space="0" w:color="auto"/>
              <w:right w:val="single" w:sz="4" w:space="0" w:color="auto"/>
            </w:tcBorders>
            <w:vAlign w:val="center"/>
          </w:tcPr>
          <w:p w14:paraId="2A9377D8" w14:textId="77777777" w:rsidR="006D0C22" w:rsidRPr="00F65B5B" w:rsidRDefault="006D0C22" w:rsidP="00E01D8F">
            <w:pPr>
              <w:pStyle w:val="BodyText"/>
              <w:keepNext/>
              <w:spacing w:before="100" w:after="100"/>
              <w:jc w:val="center"/>
              <w:rPr>
                <w:rFonts w:cs="Arial"/>
                <w:sz w:val="16"/>
                <w:szCs w:val="16"/>
              </w:rPr>
            </w:pPr>
            <w:r w:rsidRPr="00F65B5B">
              <w:rPr>
                <w:rFonts w:cs="Arial"/>
                <w:sz w:val="16"/>
                <w:szCs w:val="16"/>
              </w:rPr>
              <w:t>Unlimited</w:t>
            </w:r>
            <w:r>
              <w:rPr>
                <w:rFonts w:cs="Arial"/>
                <w:sz w:val="16"/>
                <w:szCs w:val="16"/>
              </w:rPr>
              <w:t xml:space="preserve"> to ALL countries</w:t>
            </w:r>
          </w:p>
        </w:tc>
      </w:tr>
      <w:tr w:rsidR="006D0C22" w14:paraId="774CDDEB" w14:textId="77777777" w:rsidTr="00E01D8F">
        <w:tc>
          <w:tcPr>
            <w:tcW w:w="2325" w:type="pct"/>
            <w:tcBorders>
              <w:top w:val="single" w:sz="4" w:space="0" w:color="auto"/>
              <w:left w:val="single" w:sz="4" w:space="0" w:color="auto"/>
              <w:bottom w:val="single" w:sz="4" w:space="0" w:color="auto"/>
              <w:right w:val="single" w:sz="4" w:space="0" w:color="auto"/>
            </w:tcBorders>
            <w:hideMark/>
          </w:tcPr>
          <w:p w14:paraId="459099D9" w14:textId="77777777" w:rsidR="006D0C22" w:rsidRPr="005428C4" w:rsidRDefault="006D0C22" w:rsidP="00E01D8F">
            <w:pPr>
              <w:pStyle w:val="BodyText"/>
              <w:spacing w:before="100" w:after="100"/>
              <w:rPr>
                <w:b/>
                <w:bCs/>
                <w:sz w:val="16"/>
                <w:szCs w:val="16"/>
              </w:rPr>
            </w:pPr>
            <w:r w:rsidRPr="005428C4">
              <w:rPr>
                <w:b/>
                <w:bCs/>
                <w:sz w:val="16"/>
                <w:szCs w:val="16"/>
              </w:rPr>
              <w:t xml:space="preserve">Standard international SMS </w:t>
            </w:r>
          </w:p>
          <w:p w14:paraId="576AE7D5" w14:textId="77777777" w:rsidR="006D0C22" w:rsidRPr="005428C4" w:rsidRDefault="006D0C22" w:rsidP="00E01D8F">
            <w:pPr>
              <w:pStyle w:val="BodyText"/>
              <w:spacing w:before="100" w:after="100"/>
              <w:rPr>
                <w:b/>
                <w:bCs/>
                <w:sz w:val="16"/>
                <w:szCs w:val="16"/>
              </w:rPr>
            </w:pPr>
            <w:r w:rsidRPr="005428C4">
              <w:rPr>
                <w:sz w:val="16"/>
                <w:szCs w:val="16"/>
              </w:rPr>
              <w:t>(per SMS of up to 160 standard characters to all countries)</w:t>
            </w:r>
          </w:p>
        </w:tc>
        <w:tc>
          <w:tcPr>
            <w:tcW w:w="1338" w:type="pct"/>
            <w:tcBorders>
              <w:top w:val="single" w:sz="4" w:space="0" w:color="auto"/>
              <w:left w:val="single" w:sz="4" w:space="0" w:color="auto"/>
              <w:bottom w:val="single" w:sz="4" w:space="0" w:color="auto"/>
              <w:right w:val="single" w:sz="4" w:space="0" w:color="auto"/>
            </w:tcBorders>
            <w:vAlign w:val="center"/>
            <w:hideMark/>
          </w:tcPr>
          <w:p w14:paraId="3B4CB397" w14:textId="77777777" w:rsidR="006D0C22" w:rsidRDefault="006D0C22" w:rsidP="00E01D8F">
            <w:pPr>
              <w:jc w:val="center"/>
            </w:pPr>
            <w:r w:rsidRPr="00C33785">
              <w:rPr>
                <w:rFonts w:cs="Arial"/>
                <w:sz w:val="16"/>
                <w:szCs w:val="16"/>
              </w:rPr>
              <w:t>Unlimited to 35 selected countries</w:t>
            </w:r>
          </w:p>
        </w:tc>
        <w:tc>
          <w:tcPr>
            <w:tcW w:w="1337" w:type="pct"/>
            <w:tcBorders>
              <w:top w:val="single" w:sz="4" w:space="0" w:color="auto"/>
              <w:left w:val="single" w:sz="4" w:space="0" w:color="auto"/>
              <w:bottom w:val="single" w:sz="4" w:space="0" w:color="auto"/>
              <w:right w:val="single" w:sz="4" w:space="0" w:color="auto"/>
            </w:tcBorders>
            <w:vAlign w:val="center"/>
            <w:hideMark/>
          </w:tcPr>
          <w:p w14:paraId="08928033" w14:textId="77777777" w:rsidR="006D0C22" w:rsidRPr="00F65B5B" w:rsidRDefault="006D0C22" w:rsidP="00E01D8F">
            <w:pPr>
              <w:pStyle w:val="BodyText"/>
              <w:keepNext/>
              <w:spacing w:before="100" w:after="100"/>
              <w:jc w:val="center"/>
              <w:rPr>
                <w:rFonts w:cs="Arial"/>
                <w:sz w:val="16"/>
                <w:szCs w:val="16"/>
              </w:rPr>
            </w:pPr>
            <w:r w:rsidRPr="00F65B5B">
              <w:rPr>
                <w:rFonts w:cs="Arial"/>
                <w:sz w:val="16"/>
                <w:szCs w:val="16"/>
              </w:rPr>
              <w:t>Unlimited</w:t>
            </w:r>
            <w:r>
              <w:rPr>
                <w:rFonts w:cs="Arial"/>
                <w:sz w:val="16"/>
                <w:szCs w:val="16"/>
              </w:rPr>
              <w:t xml:space="preserve"> to ALL countries</w:t>
            </w:r>
          </w:p>
        </w:tc>
      </w:tr>
      <w:tr w:rsidR="006D0C22" w14:paraId="2AA99FBE" w14:textId="77777777" w:rsidTr="00E01D8F">
        <w:tc>
          <w:tcPr>
            <w:tcW w:w="2325" w:type="pct"/>
            <w:tcBorders>
              <w:top w:val="single" w:sz="4" w:space="0" w:color="auto"/>
              <w:left w:val="single" w:sz="4" w:space="0" w:color="auto"/>
              <w:bottom w:val="single" w:sz="4" w:space="0" w:color="auto"/>
              <w:right w:val="single" w:sz="4" w:space="0" w:color="auto"/>
            </w:tcBorders>
            <w:hideMark/>
          </w:tcPr>
          <w:p w14:paraId="5AEA85D1" w14:textId="77777777" w:rsidR="006D0C22" w:rsidRPr="005428C4" w:rsidRDefault="006D0C22" w:rsidP="00E01D8F">
            <w:pPr>
              <w:pStyle w:val="BodyText"/>
              <w:spacing w:before="100" w:after="100"/>
              <w:rPr>
                <w:b/>
                <w:bCs/>
                <w:sz w:val="16"/>
                <w:szCs w:val="16"/>
              </w:rPr>
            </w:pPr>
            <w:r w:rsidRPr="005428C4">
              <w:rPr>
                <w:b/>
                <w:bCs/>
                <w:sz w:val="16"/>
                <w:szCs w:val="16"/>
              </w:rPr>
              <w:t xml:space="preserve">Standard international MMS </w:t>
            </w:r>
          </w:p>
          <w:p w14:paraId="721C9018" w14:textId="77777777" w:rsidR="006D0C22" w:rsidRPr="005428C4" w:rsidRDefault="006D0C22" w:rsidP="00E01D8F">
            <w:pPr>
              <w:pStyle w:val="BodyText"/>
              <w:spacing w:before="100" w:after="100"/>
              <w:rPr>
                <w:b/>
                <w:bCs/>
                <w:sz w:val="16"/>
                <w:szCs w:val="16"/>
              </w:rPr>
            </w:pPr>
            <w:r w:rsidRPr="005428C4">
              <w:rPr>
                <w:sz w:val="16"/>
                <w:szCs w:val="16"/>
              </w:rPr>
              <w:t>(per message to all countries)</w:t>
            </w:r>
          </w:p>
        </w:tc>
        <w:tc>
          <w:tcPr>
            <w:tcW w:w="1338" w:type="pct"/>
            <w:tcBorders>
              <w:top w:val="single" w:sz="4" w:space="0" w:color="auto"/>
              <w:left w:val="single" w:sz="4" w:space="0" w:color="auto"/>
              <w:bottom w:val="single" w:sz="4" w:space="0" w:color="auto"/>
              <w:right w:val="single" w:sz="4" w:space="0" w:color="auto"/>
            </w:tcBorders>
            <w:vAlign w:val="center"/>
            <w:hideMark/>
          </w:tcPr>
          <w:p w14:paraId="4CD0DB82" w14:textId="77777777" w:rsidR="006D0C22" w:rsidRDefault="006D0C22" w:rsidP="00E01D8F">
            <w:pPr>
              <w:jc w:val="center"/>
            </w:pPr>
            <w:r w:rsidRPr="00C33785">
              <w:rPr>
                <w:rFonts w:cs="Arial"/>
                <w:sz w:val="16"/>
                <w:szCs w:val="16"/>
              </w:rPr>
              <w:t>Unlimited to 35 selected countries</w:t>
            </w:r>
          </w:p>
        </w:tc>
        <w:tc>
          <w:tcPr>
            <w:tcW w:w="1337" w:type="pct"/>
            <w:tcBorders>
              <w:top w:val="single" w:sz="4" w:space="0" w:color="auto"/>
              <w:left w:val="single" w:sz="4" w:space="0" w:color="auto"/>
              <w:bottom w:val="single" w:sz="4" w:space="0" w:color="auto"/>
              <w:right w:val="single" w:sz="4" w:space="0" w:color="auto"/>
            </w:tcBorders>
            <w:vAlign w:val="center"/>
            <w:hideMark/>
          </w:tcPr>
          <w:p w14:paraId="0381EE8F" w14:textId="77777777" w:rsidR="006D0C22" w:rsidRPr="00F65B5B" w:rsidRDefault="006D0C22" w:rsidP="00E01D8F">
            <w:pPr>
              <w:pStyle w:val="BodyText"/>
              <w:keepNext/>
              <w:spacing w:before="100" w:after="100"/>
              <w:jc w:val="center"/>
              <w:rPr>
                <w:rFonts w:cs="Arial"/>
                <w:sz w:val="16"/>
                <w:szCs w:val="16"/>
              </w:rPr>
            </w:pPr>
            <w:r w:rsidRPr="00F65B5B">
              <w:rPr>
                <w:rFonts w:cs="Arial"/>
                <w:sz w:val="16"/>
                <w:szCs w:val="16"/>
              </w:rPr>
              <w:t>Unlimited</w:t>
            </w:r>
            <w:r>
              <w:rPr>
                <w:rFonts w:cs="Arial"/>
                <w:sz w:val="16"/>
                <w:szCs w:val="16"/>
              </w:rPr>
              <w:t xml:space="preserve"> to ALL countries</w:t>
            </w:r>
          </w:p>
        </w:tc>
      </w:tr>
      <w:tr w:rsidR="006D0C22" w14:paraId="6C932BB8" w14:textId="77777777" w:rsidTr="00E01D8F">
        <w:tc>
          <w:tcPr>
            <w:tcW w:w="2325" w:type="pct"/>
            <w:tcBorders>
              <w:top w:val="single" w:sz="4" w:space="0" w:color="auto"/>
              <w:left w:val="single" w:sz="4" w:space="0" w:color="auto"/>
              <w:bottom w:val="single" w:sz="4" w:space="0" w:color="auto"/>
              <w:right w:val="single" w:sz="4" w:space="0" w:color="auto"/>
            </w:tcBorders>
            <w:hideMark/>
          </w:tcPr>
          <w:p w14:paraId="486213EA" w14:textId="77777777" w:rsidR="006D0C22" w:rsidRPr="005428C4" w:rsidRDefault="006D0C22" w:rsidP="00E01D8F">
            <w:pPr>
              <w:pStyle w:val="BodyText"/>
              <w:spacing w:before="100" w:after="100"/>
              <w:rPr>
                <w:b/>
                <w:sz w:val="16"/>
                <w:szCs w:val="16"/>
              </w:rPr>
            </w:pPr>
            <w:r w:rsidRPr="005428C4">
              <w:rPr>
                <w:b/>
                <w:sz w:val="16"/>
                <w:szCs w:val="16"/>
              </w:rPr>
              <w:t xml:space="preserve">International Roaming </w:t>
            </w:r>
            <w:r w:rsidRPr="005428C4">
              <w:rPr>
                <w:b/>
                <w:sz w:val="16"/>
                <w:szCs w:val="16"/>
              </w:rPr>
              <w:br/>
            </w:r>
            <w:r w:rsidRPr="005428C4">
              <w:rPr>
                <w:rFonts w:cs="Arial"/>
                <w:bCs/>
                <w:snapToGrid w:val="0"/>
                <w:sz w:val="16"/>
                <w:szCs w:val="16"/>
              </w:rPr>
              <w:t>(Zone 1 countries)</w:t>
            </w:r>
          </w:p>
        </w:tc>
        <w:tc>
          <w:tcPr>
            <w:tcW w:w="1338" w:type="pct"/>
            <w:tcBorders>
              <w:top w:val="single" w:sz="4" w:space="0" w:color="auto"/>
              <w:left w:val="single" w:sz="4" w:space="0" w:color="auto"/>
              <w:bottom w:val="single" w:sz="4" w:space="0" w:color="auto"/>
              <w:right w:val="single" w:sz="4" w:space="0" w:color="auto"/>
            </w:tcBorders>
            <w:vAlign w:val="center"/>
            <w:hideMark/>
          </w:tcPr>
          <w:p w14:paraId="75A2D451" w14:textId="77777777" w:rsidR="006D0C22" w:rsidRPr="005428C4" w:rsidRDefault="006D0C22" w:rsidP="00E01D8F">
            <w:pPr>
              <w:pStyle w:val="BodyText"/>
              <w:spacing w:before="100" w:after="100"/>
              <w:jc w:val="center"/>
              <w:rPr>
                <w:sz w:val="16"/>
                <w:szCs w:val="16"/>
              </w:rPr>
            </w:pPr>
            <w:r w:rsidRPr="005428C4">
              <w:rPr>
                <w:sz w:val="16"/>
                <w:szCs w:val="16"/>
              </w:rPr>
              <w:t xml:space="preserve">Unlimited standard national/international talk, SMS &amp; 6GB data </w:t>
            </w:r>
          </w:p>
        </w:tc>
        <w:tc>
          <w:tcPr>
            <w:tcW w:w="1337" w:type="pct"/>
            <w:tcBorders>
              <w:top w:val="single" w:sz="4" w:space="0" w:color="auto"/>
              <w:left w:val="single" w:sz="4" w:space="0" w:color="auto"/>
              <w:bottom w:val="single" w:sz="4" w:space="0" w:color="auto"/>
              <w:right w:val="single" w:sz="4" w:space="0" w:color="auto"/>
            </w:tcBorders>
            <w:vAlign w:val="center"/>
            <w:hideMark/>
          </w:tcPr>
          <w:p w14:paraId="02B81F3D" w14:textId="77777777" w:rsidR="006D0C22" w:rsidRPr="005428C4" w:rsidRDefault="006D0C22" w:rsidP="00E01D8F">
            <w:pPr>
              <w:pStyle w:val="BodyText"/>
              <w:spacing w:before="100" w:after="100"/>
              <w:jc w:val="center"/>
              <w:rPr>
                <w:sz w:val="16"/>
                <w:szCs w:val="16"/>
              </w:rPr>
            </w:pPr>
            <w:r w:rsidRPr="005428C4">
              <w:rPr>
                <w:sz w:val="16"/>
                <w:szCs w:val="16"/>
              </w:rPr>
              <w:t xml:space="preserve">Unlimited standard national/international talk, SMS &amp; 10GB data </w:t>
            </w:r>
          </w:p>
        </w:tc>
      </w:tr>
      <w:tr w:rsidR="006D0C22" w14:paraId="75FBD939" w14:textId="77777777" w:rsidTr="00E01D8F">
        <w:tc>
          <w:tcPr>
            <w:tcW w:w="2325" w:type="pct"/>
            <w:tcBorders>
              <w:top w:val="single" w:sz="4" w:space="0" w:color="auto"/>
              <w:left w:val="single" w:sz="4" w:space="0" w:color="auto"/>
              <w:bottom w:val="single" w:sz="4" w:space="0" w:color="auto"/>
              <w:right w:val="single" w:sz="4" w:space="0" w:color="auto"/>
            </w:tcBorders>
            <w:hideMark/>
          </w:tcPr>
          <w:p w14:paraId="65011367" w14:textId="77777777" w:rsidR="006D0C22" w:rsidRPr="005428C4" w:rsidRDefault="006D0C22" w:rsidP="00E01D8F">
            <w:pPr>
              <w:pStyle w:val="BodyText"/>
              <w:spacing w:before="100" w:after="100"/>
              <w:rPr>
                <w:b/>
                <w:bCs/>
                <w:sz w:val="16"/>
                <w:szCs w:val="16"/>
              </w:rPr>
            </w:pPr>
            <w:r w:rsidRPr="005428C4">
              <w:rPr>
                <w:b/>
                <w:bCs/>
                <w:sz w:val="16"/>
                <w:szCs w:val="16"/>
              </w:rPr>
              <w:t xml:space="preserve">Minimum total cost over 24 months </w:t>
            </w:r>
          </w:p>
        </w:tc>
        <w:tc>
          <w:tcPr>
            <w:tcW w:w="1338" w:type="pct"/>
            <w:tcBorders>
              <w:top w:val="single" w:sz="4" w:space="0" w:color="auto"/>
              <w:left w:val="single" w:sz="4" w:space="0" w:color="auto"/>
              <w:bottom w:val="single" w:sz="4" w:space="0" w:color="auto"/>
              <w:right w:val="single" w:sz="4" w:space="0" w:color="auto"/>
            </w:tcBorders>
            <w:vAlign w:val="center"/>
            <w:hideMark/>
          </w:tcPr>
          <w:p w14:paraId="75523400" w14:textId="77777777" w:rsidR="006D0C22" w:rsidRPr="005428C4" w:rsidRDefault="006D0C22" w:rsidP="00E01D8F">
            <w:pPr>
              <w:pStyle w:val="BodyText"/>
              <w:spacing w:before="100" w:after="100"/>
              <w:jc w:val="center"/>
              <w:rPr>
                <w:sz w:val="16"/>
                <w:szCs w:val="16"/>
              </w:rPr>
            </w:pPr>
            <w:r w:rsidRPr="005428C4">
              <w:rPr>
                <w:sz w:val="16"/>
                <w:szCs w:val="16"/>
              </w:rPr>
              <w:t>$</w:t>
            </w:r>
            <w:r>
              <w:rPr>
                <w:sz w:val="16"/>
                <w:szCs w:val="16"/>
              </w:rPr>
              <w:t>3,000</w:t>
            </w:r>
          </w:p>
        </w:tc>
        <w:tc>
          <w:tcPr>
            <w:tcW w:w="1337" w:type="pct"/>
            <w:tcBorders>
              <w:top w:val="single" w:sz="4" w:space="0" w:color="auto"/>
              <w:left w:val="single" w:sz="4" w:space="0" w:color="auto"/>
              <w:bottom w:val="single" w:sz="4" w:space="0" w:color="auto"/>
              <w:right w:val="single" w:sz="4" w:space="0" w:color="auto"/>
            </w:tcBorders>
            <w:hideMark/>
          </w:tcPr>
          <w:p w14:paraId="6DA1DF2E" w14:textId="77777777" w:rsidR="006D0C22" w:rsidRPr="005428C4" w:rsidRDefault="006D0C22" w:rsidP="00E01D8F">
            <w:pPr>
              <w:pStyle w:val="BodyText"/>
              <w:spacing w:before="100" w:after="100"/>
              <w:jc w:val="center"/>
              <w:rPr>
                <w:sz w:val="16"/>
                <w:szCs w:val="16"/>
              </w:rPr>
            </w:pPr>
            <w:r w:rsidRPr="005428C4">
              <w:rPr>
                <w:sz w:val="16"/>
                <w:szCs w:val="16"/>
              </w:rPr>
              <w:t>$3</w:t>
            </w:r>
            <w:r>
              <w:rPr>
                <w:sz w:val="16"/>
                <w:szCs w:val="16"/>
              </w:rPr>
              <w:t>,480</w:t>
            </w:r>
          </w:p>
        </w:tc>
      </w:tr>
    </w:tbl>
    <w:p w14:paraId="59C9671A" w14:textId="77777777" w:rsidR="006D0C22" w:rsidRDefault="006D0C22" w:rsidP="006D0C22">
      <w:pPr>
        <w:pStyle w:val="BodyText"/>
        <w:keepNext/>
        <w:spacing w:before="240" w:after="120"/>
        <w:ind w:left="142" w:hanging="142"/>
        <w:rPr>
          <w:b/>
        </w:rPr>
      </w:pPr>
      <w:r>
        <w:rPr>
          <w:b/>
        </w:rPr>
        <w:t>Table 2 – Other usage types and charges</w:t>
      </w:r>
    </w:p>
    <w:tbl>
      <w:tblPr>
        <w:tblW w:w="9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73"/>
        <w:gridCol w:w="5157"/>
      </w:tblGrid>
      <w:tr w:rsidR="006D0C22" w14:paraId="0DF9A083" w14:textId="77777777" w:rsidTr="00E01D8F">
        <w:trPr>
          <w:tblHeader/>
        </w:trPr>
        <w:tc>
          <w:tcPr>
            <w:tcW w:w="4773" w:type="dxa"/>
            <w:tcBorders>
              <w:top w:val="single" w:sz="4" w:space="0" w:color="auto"/>
              <w:left w:val="single" w:sz="4" w:space="0" w:color="auto"/>
              <w:bottom w:val="single" w:sz="4" w:space="0" w:color="auto"/>
              <w:right w:val="single" w:sz="4" w:space="0" w:color="auto"/>
            </w:tcBorders>
            <w:hideMark/>
          </w:tcPr>
          <w:p w14:paraId="1E8532FA" w14:textId="77777777" w:rsidR="006D0C22" w:rsidRDefault="006D0C22" w:rsidP="00E01D8F">
            <w:pPr>
              <w:pStyle w:val="BodyText"/>
              <w:keepNext/>
              <w:spacing w:before="100" w:after="100"/>
              <w:jc w:val="center"/>
              <w:rPr>
                <w:b/>
              </w:rPr>
            </w:pPr>
            <w:r>
              <w:rPr>
                <w:b/>
              </w:rPr>
              <w:t>Usage type</w:t>
            </w:r>
          </w:p>
        </w:tc>
        <w:tc>
          <w:tcPr>
            <w:tcW w:w="5157" w:type="dxa"/>
            <w:tcBorders>
              <w:top w:val="single" w:sz="4" w:space="0" w:color="auto"/>
              <w:left w:val="single" w:sz="4" w:space="0" w:color="auto"/>
              <w:bottom w:val="single" w:sz="4" w:space="0" w:color="auto"/>
              <w:right w:val="single" w:sz="4" w:space="0" w:color="auto"/>
            </w:tcBorders>
            <w:vAlign w:val="center"/>
            <w:hideMark/>
          </w:tcPr>
          <w:p w14:paraId="77017530" w14:textId="77777777" w:rsidR="006D0C22" w:rsidRDefault="006D0C22" w:rsidP="00E01D8F">
            <w:pPr>
              <w:pStyle w:val="BodyText"/>
              <w:keepNext/>
              <w:spacing w:before="100" w:after="100"/>
              <w:jc w:val="center"/>
              <w:rPr>
                <w:b/>
              </w:rPr>
            </w:pPr>
            <w:r>
              <w:rPr>
                <w:b/>
              </w:rPr>
              <w:t>Charge</w:t>
            </w:r>
          </w:p>
        </w:tc>
      </w:tr>
      <w:tr w:rsidR="006D0C22" w14:paraId="6CEC719F" w14:textId="77777777" w:rsidTr="00E01D8F">
        <w:tc>
          <w:tcPr>
            <w:tcW w:w="4773" w:type="dxa"/>
            <w:tcBorders>
              <w:top w:val="single" w:sz="4" w:space="0" w:color="auto"/>
              <w:left w:val="single" w:sz="4" w:space="0" w:color="auto"/>
              <w:bottom w:val="single" w:sz="4" w:space="0" w:color="auto"/>
              <w:right w:val="single" w:sz="4" w:space="0" w:color="auto"/>
            </w:tcBorders>
            <w:hideMark/>
          </w:tcPr>
          <w:p w14:paraId="3C8F6E9F" w14:textId="77777777" w:rsidR="006D0C22" w:rsidRPr="005428C4" w:rsidRDefault="006D0C22" w:rsidP="00E01D8F">
            <w:pPr>
              <w:pStyle w:val="BodyText"/>
              <w:spacing w:before="100" w:after="100"/>
              <w:rPr>
                <w:b/>
                <w:sz w:val="16"/>
                <w:szCs w:val="16"/>
              </w:rPr>
            </w:pPr>
            <w:r w:rsidRPr="005428C4">
              <w:rPr>
                <w:b/>
                <w:bCs/>
                <w:sz w:val="16"/>
                <w:szCs w:val="16"/>
              </w:rPr>
              <w:t xml:space="preserve">National video calls </w:t>
            </w:r>
            <w:r w:rsidRPr="005428C4">
              <w:rPr>
                <w:b/>
                <w:sz w:val="16"/>
                <w:szCs w:val="16"/>
              </w:rPr>
              <w:t>(per minute)</w:t>
            </w:r>
          </w:p>
        </w:tc>
        <w:tc>
          <w:tcPr>
            <w:tcW w:w="5157" w:type="dxa"/>
            <w:tcBorders>
              <w:top w:val="single" w:sz="4" w:space="0" w:color="auto"/>
              <w:left w:val="single" w:sz="4" w:space="0" w:color="auto"/>
              <w:bottom w:val="single" w:sz="4" w:space="0" w:color="auto"/>
              <w:right w:val="single" w:sz="4" w:space="0" w:color="auto"/>
            </w:tcBorders>
            <w:vAlign w:val="center"/>
            <w:hideMark/>
          </w:tcPr>
          <w:p w14:paraId="6593A9F8" w14:textId="77777777" w:rsidR="006D0C22" w:rsidRPr="005428C4" w:rsidRDefault="006D0C22" w:rsidP="00E01D8F">
            <w:pPr>
              <w:pStyle w:val="BodyText"/>
              <w:spacing w:before="100" w:after="100"/>
              <w:jc w:val="center"/>
              <w:rPr>
                <w:sz w:val="16"/>
                <w:szCs w:val="16"/>
              </w:rPr>
            </w:pPr>
            <w:r w:rsidRPr="005428C4">
              <w:rPr>
                <w:sz w:val="16"/>
                <w:szCs w:val="16"/>
              </w:rPr>
              <w:t>$1.00 per min + 40c flagfall</w:t>
            </w:r>
          </w:p>
        </w:tc>
      </w:tr>
      <w:tr w:rsidR="006D0C22" w14:paraId="585D1787" w14:textId="77777777" w:rsidTr="00E01D8F">
        <w:tc>
          <w:tcPr>
            <w:tcW w:w="4773" w:type="dxa"/>
            <w:tcBorders>
              <w:top w:val="single" w:sz="4" w:space="0" w:color="auto"/>
              <w:left w:val="single" w:sz="4" w:space="0" w:color="auto"/>
              <w:bottom w:val="single" w:sz="4" w:space="0" w:color="auto"/>
              <w:right w:val="single" w:sz="4" w:space="0" w:color="auto"/>
            </w:tcBorders>
            <w:hideMark/>
          </w:tcPr>
          <w:p w14:paraId="45CFDB7F" w14:textId="77777777" w:rsidR="006D0C22" w:rsidRPr="005428C4" w:rsidRDefault="006D0C22" w:rsidP="00E01D8F">
            <w:pPr>
              <w:pStyle w:val="BodyText"/>
              <w:spacing w:before="100" w:after="100"/>
              <w:rPr>
                <w:b/>
                <w:bCs/>
                <w:sz w:val="16"/>
                <w:szCs w:val="16"/>
              </w:rPr>
            </w:pPr>
            <w:r w:rsidRPr="005428C4">
              <w:rPr>
                <w:b/>
                <w:bCs/>
                <w:sz w:val="16"/>
                <w:szCs w:val="16"/>
              </w:rPr>
              <w:t xml:space="preserve">19/1900 numbers </w:t>
            </w:r>
          </w:p>
        </w:tc>
        <w:tc>
          <w:tcPr>
            <w:tcW w:w="5157" w:type="dxa"/>
            <w:tcBorders>
              <w:top w:val="single" w:sz="4" w:space="0" w:color="auto"/>
              <w:left w:val="single" w:sz="4" w:space="0" w:color="auto"/>
              <w:bottom w:val="single" w:sz="4" w:space="0" w:color="auto"/>
              <w:right w:val="single" w:sz="4" w:space="0" w:color="auto"/>
            </w:tcBorders>
            <w:vAlign w:val="center"/>
            <w:hideMark/>
          </w:tcPr>
          <w:p w14:paraId="52245EFE" w14:textId="77777777" w:rsidR="006D0C22" w:rsidRPr="005428C4" w:rsidRDefault="006D0C22" w:rsidP="00E01D8F">
            <w:pPr>
              <w:pStyle w:val="BodyText"/>
              <w:spacing w:before="100" w:after="100"/>
              <w:jc w:val="center"/>
              <w:rPr>
                <w:sz w:val="16"/>
                <w:szCs w:val="16"/>
              </w:rPr>
            </w:pPr>
            <w:r w:rsidRPr="005428C4">
              <w:rPr>
                <w:sz w:val="16"/>
                <w:szCs w:val="16"/>
              </w:rPr>
              <w:t>Additional charges apply</w:t>
            </w:r>
          </w:p>
        </w:tc>
      </w:tr>
      <w:tr w:rsidR="006D0C22" w14:paraId="2EFF383E" w14:textId="77777777" w:rsidTr="00E01D8F">
        <w:tc>
          <w:tcPr>
            <w:tcW w:w="4773" w:type="dxa"/>
            <w:tcBorders>
              <w:top w:val="single" w:sz="4" w:space="0" w:color="auto"/>
              <w:left w:val="single" w:sz="4" w:space="0" w:color="auto"/>
              <w:bottom w:val="single" w:sz="4" w:space="0" w:color="auto"/>
              <w:right w:val="single" w:sz="4" w:space="0" w:color="auto"/>
            </w:tcBorders>
            <w:hideMark/>
          </w:tcPr>
          <w:p w14:paraId="065C8D68" w14:textId="77777777" w:rsidR="006D0C22" w:rsidRPr="005428C4" w:rsidRDefault="006D0C22" w:rsidP="00E01D8F">
            <w:pPr>
              <w:pStyle w:val="BodyText"/>
              <w:spacing w:before="100" w:after="100"/>
              <w:rPr>
                <w:b/>
                <w:bCs/>
                <w:sz w:val="16"/>
                <w:szCs w:val="16"/>
              </w:rPr>
            </w:pPr>
            <w:r w:rsidRPr="005428C4">
              <w:rPr>
                <w:b/>
                <w:bCs/>
                <w:sz w:val="16"/>
                <w:szCs w:val="16"/>
              </w:rPr>
              <w:t xml:space="preserve">Directory Assistance 1223 </w:t>
            </w:r>
          </w:p>
        </w:tc>
        <w:tc>
          <w:tcPr>
            <w:tcW w:w="5157" w:type="dxa"/>
            <w:tcBorders>
              <w:top w:val="single" w:sz="4" w:space="0" w:color="auto"/>
              <w:left w:val="single" w:sz="4" w:space="0" w:color="auto"/>
              <w:bottom w:val="single" w:sz="4" w:space="0" w:color="auto"/>
              <w:right w:val="single" w:sz="4" w:space="0" w:color="auto"/>
            </w:tcBorders>
            <w:vAlign w:val="center"/>
            <w:hideMark/>
          </w:tcPr>
          <w:p w14:paraId="27A98FD2" w14:textId="77777777" w:rsidR="006D0C22" w:rsidRPr="005428C4" w:rsidRDefault="006D0C22" w:rsidP="00E01D8F">
            <w:pPr>
              <w:pStyle w:val="BodyText"/>
              <w:spacing w:before="100" w:after="100"/>
              <w:jc w:val="center"/>
              <w:rPr>
                <w:sz w:val="16"/>
                <w:szCs w:val="16"/>
              </w:rPr>
            </w:pPr>
            <w:r w:rsidRPr="005428C4">
              <w:rPr>
                <w:sz w:val="16"/>
                <w:szCs w:val="16"/>
              </w:rPr>
              <w:t>50c per call</w:t>
            </w:r>
          </w:p>
        </w:tc>
      </w:tr>
      <w:tr w:rsidR="006D0C22" w14:paraId="7E187A5E" w14:textId="77777777" w:rsidTr="00E01D8F">
        <w:tc>
          <w:tcPr>
            <w:tcW w:w="4773" w:type="dxa"/>
            <w:tcBorders>
              <w:top w:val="single" w:sz="4" w:space="0" w:color="auto"/>
              <w:left w:val="single" w:sz="4" w:space="0" w:color="auto"/>
              <w:bottom w:val="single" w:sz="4" w:space="0" w:color="auto"/>
              <w:right w:val="single" w:sz="4" w:space="0" w:color="auto"/>
            </w:tcBorders>
            <w:hideMark/>
          </w:tcPr>
          <w:p w14:paraId="101D6AE8" w14:textId="77777777" w:rsidR="006D0C22" w:rsidRPr="005428C4" w:rsidRDefault="006D0C22" w:rsidP="00E01D8F">
            <w:pPr>
              <w:pStyle w:val="BodyText"/>
              <w:spacing w:before="100" w:after="100"/>
              <w:rPr>
                <w:b/>
                <w:bCs/>
                <w:sz w:val="16"/>
                <w:szCs w:val="16"/>
              </w:rPr>
            </w:pPr>
            <w:r w:rsidRPr="005428C4">
              <w:rPr>
                <w:b/>
                <w:bCs/>
                <w:sz w:val="16"/>
                <w:szCs w:val="16"/>
              </w:rPr>
              <w:t>124 Yes</w:t>
            </w:r>
          </w:p>
        </w:tc>
        <w:tc>
          <w:tcPr>
            <w:tcW w:w="5157" w:type="dxa"/>
            <w:tcBorders>
              <w:top w:val="single" w:sz="4" w:space="0" w:color="auto"/>
              <w:left w:val="single" w:sz="4" w:space="0" w:color="auto"/>
              <w:bottom w:val="single" w:sz="4" w:space="0" w:color="auto"/>
              <w:right w:val="single" w:sz="4" w:space="0" w:color="auto"/>
            </w:tcBorders>
            <w:vAlign w:val="center"/>
            <w:hideMark/>
          </w:tcPr>
          <w:p w14:paraId="539B0B97" w14:textId="77777777" w:rsidR="006D0C22" w:rsidRPr="005428C4" w:rsidRDefault="006D0C22" w:rsidP="00E01D8F">
            <w:pPr>
              <w:pStyle w:val="BodyText"/>
              <w:spacing w:before="100" w:after="100"/>
              <w:jc w:val="center"/>
              <w:rPr>
                <w:sz w:val="16"/>
                <w:szCs w:val="16"/>
              </w:rPr>
            </w:pPr>
            <w:r w:rsidRPr="005428C4">
              <w:rPr>
                <w:sz w:val="16"/>
                <w:szCs w:val="16"/>
              </w:rPr>
              <w:t>90c per minute +$1.75c flagfall</w:t>
            </w:r>
          </w:p>
        </w:tc>
      </w:tr>
      <w:tr w:rsidR="006D0C22" w14:paraId="2F225DC6" w14:textId="77777777" w:rsidTr="00E01D8F">
        <w:tc>
          <w:tcPr>
            <w:tcW w:w="4773" w:type="dxa"/>
            <w:tcBorders>
              <w:top w:val="single" w:sz="4" w:space="0" w:color="auto"/>
              <w:left w:val="single" w:sz="4" w:space="0" w:color="auto"/>
              <w:bottom w:val="single" w:sz="4" w:space="0" w:color="auto"/>
              <w:right w:val="single" w:sz="4" w:space="0" w:color="auto"/>
            </w:tcBorders>
            <w:hideMark/>
          </w:tcPr>
          <w:p w14:paraId="0C1B522D" w14:textId="77777777" w:rsidR="006D0C22" w:rsidRPr="005428C4" w:rsidRDefault="006D0C22" w:rsidP="00E01D8F">
            <w:pPr>
              <w:pStyle w:val="BodyText"/>
              <w:spacing w:before="100" w:after="100"/>
              <w:rPr>
                <w:b/>
                <w:bCs/>
                <w:sz w:val="16"/>
                <w:szCs w:val="16"/>
              </w:rPr>
            </w:pPr>
            <w:r w:rsidRPr="005428C4">
              <w:rPr>
                <w:b/>
                <w:bCs/>
                <w:sz w:val="16"/>
                <w:szCs w:val="16"/>
              </w:rPr>
              <w:lastRenderedPageBreak/>
              <w:t xml:space="preserve">International video calling </w:t>
            </w:r>
          </w:p>
        </w:tc>
        <w:tc>
          <w:tcPr>
            <w:tcW w:w="5157" w:type="dxa"/>
            <w:tcBorders>
              <w:top w:val="single" w:sz="4" w:space="0" w:color="auto"/>
              <w:left w:val="single" w:sz="4" w:space="0" w:color="auto"/>
              <w:bottom w:val="single" w:sz="4" w:space="0" w:color="auto"/>
              <w:right w:val="single" w:sz="4" w:space="0" w:color="auto"/>
            </w:tcBorders>
            <w:vAlign w:val="center"/>
            <w:hideMark/>
          </w:tcPr>
          <w:p w14:paraId="0F2C3CBA" w14:textId="77777777" w:rsidR="006D0C22" w:rsidRPr="005428C4" w:rsidRDefault="006D0C22" w:rsidP="00E01D8F">
            <w:pPr>
              <w:pStyle w:val="BodyText"/>
              <w:spacing w:before="100" w:after="100"/>
              <w:jc w:val="center"/>
              <w:rPr>
                <w:sz w:val="16"/>
                <w:szCs w:val="16"/>
              </w:rPr>
            </w:pPr>
            <w:r w:rsidRPr="005428C4">
              <w:rPr>
                <w:sz w:val="16"/>
                <w:szCs w:val="16"/>
              </w:rPr>
              <w:t>$1.50 per minute +35c flagfall</w:t>
            </w:r>
          </w:p>
        </w:tc>
      </w:tr>
      <w:tr w:rsidR="006D0C22" w14:paraId="4AED2363" w14:textId="77777777" w:rsidTr="00E01D8F">
        <w:tc>
          <w:tcPr>
            <w:tcW w:w="4773" w:type="dxa"/>
            <w:tcBorders>
              <w:top w:val="single" w:sz="4" w:space="0" w:color="auto"/>
              <w:left w:val="single" w:sz="4" w:space="0" w:color="auto"/>
              <w:bottom w:val="single" w:sz="4" w:space="0" w:color="auto"/>
              <w:right w:val="single" w:sz="4" w:space="0" w:color="auto"/>
            </w:tcBorders>
            <w:hideMark/>
          </w:tcPr>
          <w:p w14:paraId="5474433B" w14:textId="77777777" w:rsidR="006D0C22" w:rsidRPr="005428C4" w:rsidRDefault="006D0C22" w:rsidP="00E01D8F">
            <w:pPr>
              <w:pStyle w:val="BodyText"/>
              <w:spacing w:before="100" w:after="100"/>
              <w:rPr>
                <w:b/>
                <w:bCs/>
                <w:sz w:val="16"/>
                <w:szCs w:val="16"/>
              </w:rPr>
            </w:pPr>
            <w:r w:rsidRPr="005428C4">
              <w:rPr>
                <w:b/>
                <w:bCs/>
                <w:sz w:val="16"/>
                <w:szCs w:val="16"/>
              </w:rPr>
              <w:t xml:space="preserve">International roaming </w:t>
            </w:r>
          </w:p>
        </w:tc>
        <w:tc>
          <w:tcPr>
            <w:tcW w:w="5157" w:type="dxa"/>
            <w:tcBorders>
              <w:top w:val="single" w:sz="4" w:space="0" w:color="auto"/>
              <w:left w:val="single" w:sz="4" w:space="0" w:color="auto"/>
              <w:bottom w:val="single" w:sz="4" w:space="0" w:color="auto"/>
              <w:right w:val="single" w:sz="4" w:space="0" w:color="auto"/>
            </w:tcBorders>
            <w:vAlign w:val="center"/>
            <w:hideMark/>
          </w:tcPr>
          <w:p w14:paraId="0B440128" w14:textId="77777777" w:rsidR="006D0C22" w:rsidRPr="005428C4" w:rsidRDefault="006D0C22" w:rsidP="00E01D8F">
            <w:pPr>
              <w:pStyle w:val="BodyText"/>
              <w:spacing w:before="100" w:after="100"/>
              <w:jc w:val="center"/>
              <w:rPr>
                <w:sz w:val="16"/>
                <w:szCs w:val="16"/>
              </w:rPr>
            </w:pPr>
            <w:r w:rsidRPr="005428C4">
              <w:rPr>
                <w:sz w:val="16"/>
                <w:szCs w:val="16"/>
              </w:rPr>
              <w:t>See optus.com.au/roaming</w:t>
            </w:r>
          </w:p>
        </w:tc>
      </w:tr>
    </w:tbl>
    <w:p w14:paraId="06736E3A" w14:textId="77777777" w:rsidR="006D0C22" w:rsidRDefault="006D0C22" w:rsidP="006D0C22">
      <w:pPr>
        <w:pStyle w:val="BodyText"/>
        <w:ind w:left="720"/>
      </w:pPr>
      <w:r>
        <w:rPr>
          <w:b/>
        </w:rPr>
        <w:br/>
        <w:t>Table 3 – International Countries</w:t>
      </w: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2"/>
        <w:gridCol w:w="2183"/>
        <w:gridCol w:w="2182"/>
        <w:gridCol w:w="2183"/>
      </w:tblGrid>
      <w:tr w:rsidR="006D0C22" w14:paraId="43442953" w14:textId="77777777" w:rsidTr="00E01D8F">
        <w:tc>
          <w:tcPr>
            <w:tcW w:w="2182" w:type="dxa"/>
            <w:tcBorders>
              <w:top w:val="single" w:sz="4" w:space="0" w:color="auto"/>
              <w:left w:val="single" w:sz="4" w:space="0" w:color="auto"/>
              <w:bottom w:val="single" w:sz="4" w:space="0" w:color="auto"/>
              <w:right w:val="single" w:sz="4" w:space="0" w:color="auto"/>
            </w:tcBorders>
            <w:hideMark/>
          </w:tcPr>
          <w:p w14:paraId="155851B5" w14:textId="77777777" w:rsidR="006D0C22" w:rsidRPr="005428C4" w:rsidRDefault="006D0C22" w:rsidP="00E01D8F">
            <w:pPr>
              <w:pStyle w:val="BodyText"/>
              <w:spacing w:before="100" w:after="100"/>
              <w:rPr>
                <w:b/>
                <w:sz w:val="16"/>
                <w:szCs w:val="16"/>
              </w:rPr>
            </w:pPr>
            <w:r w:rsidRPr="005428C4">
              <w:rPr>
                <w:sz w:val="16"/>
                <w:szCs w:val="16"/>
              </w:rPr>
              <w:t>Brazil</w:t>
            </w:r>
          </w:p>
        </w:tc>
        <w:tc>
          <w:tcPr>
            <w:tcW w:w="2183" w:type="dxa"/>
            <w:tcBorders>
              <w:top w:val="single" w:sz="4" w:space="0" w:color="auto"/>
              <w:left w:val="single" w:sz="4" w:space="0" w:color="auto"/>
              <w:bottom w:val="single" w:sz="4" w:space="0" w:color="auto"/>
              <w:right w:val="single" w:sz="4" w:space="0" w:color="auto"/>
            </w:tcBorders>
            <w:hideMark/>
          </w:tcPr>
          <w:p w14:paraId="78434DCA" w14:textId="77777777" w:rsidR="006D0C22" w:rsidRPr="005428C4" w:rsidRDefault="006D0C22" w:rsidP="00E01D8F">
            <w:pPr>
              <w:pStyle w:val="BodyText"/>
              <w:spacing w:before="100" w:after="100"/>
              <w:rPr>
                <w:b/>
                <w:sz w:val="16"/>
                <w:szCs w:val="16"/>
              </w:rPr>
            </w:pPr>
            <w:r w:rsidRPr="005428C4">
              <w:rPr>
                <w:sz w:val="16"/>
                <w:szCs w:val="16"/>
              </w:rPr>
              <w:t>Brunei</w:t>
            </w:r>
          </w:p>
        </w:tc>
        <w:tc>
          <w:tcPr>
            <w:tcW w:w="2182" w:type="dxa"/>
            <w:tcBorders>
              <w:top w:val="single" w:sz="4" w:space="0" w:color="auto"/>
              <w:left w:val="single" w:sz="4" w:space="0" w:color="auto"/>
              <w:bottom w:val="single" w:sz="4" w:space="0" w:color="auto"/>
              <w:right w:val="single" w:sz="4" w:space="0" w:color="auto"/>
            </w:tcBorders>
            <w:hideMark/>
          </w:tcPr>
          <w:p w14:paraId="490C31B2" w14:textId="77777777" w:rsidR="006D0C22" w:rsidRPr="005428C4" w:rsidRDefault="006D0C22" w:rsidP="00E01D8F">
            <w:pPr>
              <w:pStyle w:val="BodyText"/>
              <w:spacing w:before="100" w:after="100"/>
              <w:rPr>
                <w:b/>
                <w:sz w:val="16"/>
                <w:szCs w:val="16"/>
              </w:rPr>
            </w:pPr>
            <w:r w:rsidRPr="005428C4">
              <w:rPr>
                <w:sz w:val="16"/>
                <w:szCs w:val="16"/>
              </w:rPr>
              <w:t>Cambodia</w:t>
            </w:r>
          </w:p>
        </w:tc>
        <w:tc>
          <w:tcPr>
            <w:tcW w:w="2183" w:type="dxa"/>
            <w:tcBorders>
              <w:top w:val="single" w:sz="4" w:space="0" w:color="auto"/>
              <w:left w:val="single" w:sz="4" w:space="0" w:color="auto"/>
              <w:bottom w:val="single" w:sz="4" w:space="0" w:color="auto"/>
              <w:right w:val="single" w:sz="4" w:space="0" w:color="auto"/>
            </w:tcBorders>
            <w:hideMark/>
          </w:tcPr>
          <w:p w14:paraId="73DB687B" w14:textId="77777777" w:rsidR="006D0C22" w:rsidRPr="005428C4" w:rsidRDefault="006D0C22" w:rsidP="00E01D8F">
            <w:pPr>
              <w:pStyle w:val="BodyText"/>
              <w:spacing w:before="100" w:after="100"/>
              <w:rPr>
                <w:b/>
                <w:sz w:val="16"/>
                <w:szCs w:val="16"/>
              </w:rPr>
            </w:pPr>
            <w:r w:rsidRPr="005428C4">
              <w:rPr>
                <w:sz w:val="16"/>
                <w:szCs w:val="16"/>
              </w:rPr>
              <w:t>Canada</w:t>
            </w:r>
          </w:p>
        </w:tc>
      </w:tr>
      <w:tr w:rsidR="006D0C22" w14:paraId="0A12B9B4" w14:textId="77777777" w:rsidTr="00E01D8F">
        <w:tc>
          <w:tcPr>
            <w:tcW w:w="2182" w:type="dxa"/>
            <w:tcBorders>
              <w:top w:val="single" w:sz="4" w:space="0" w:color="auto"/>
              <w:left w:val="single" w:sz="4" w:space="0" w:color="auto"/>
              <w:bottom w:val="single" w:sz="4" w:space="0" w:color="auto"/>
              <w:right w:val="single" w:sz="4" w:space="0" w:color="auto"/>
            </w:tcBorders>
            <w:hideMark/>
          </w:tcPr>
          <w:p w14:paraId="28F22BB2" w14:textId="77777777" w:rsidR="006D0C22" w:rsidRPr="005428C4" w:rsidRDefault="006D0C22" w:rsidP="00E01D8F">
            <w:pPr>
              <w:pStyle w:val="BodyText"/>
              <w:spacing w:before="100" w:after="100"/>
              <w:rPr>
                <w:b/>
                <w:sz w:val="16"/>
                <w:szCs w:val="16"/>
              </w:rPr>
            </w:pPr>
            <w:r w:rsidRPr="005428C4">
              <w:rPr>
                <w:sz w:val="16"/>
                <w:szCs w:val="16"/>
              </w:rPr>
              <w:t>Mainland China</w:t>
            </w:r>
          </w:p>
        </w:tc>
        <w:tc>
          <w:tcPr>
            <w:tcW w:w="2183" w:type="dxa"/>
            <w:tcBorders>
              <w:top w:val="single" w:sz="4" w:space="0" w:color="auto"/>
              <w:left w:val="single" w:sz="4" w:space="0" w:color="auto"/>
              <w:bottom w:val="single" w:sz="4" w:space="0" w:color="auto"/>
              <w:right w:val="single" w:sz="4" w:space="0" w:color="auto"/>
            </w:tcBorders>
            <w:hideMark/>
          </w:tcPr>
          <w:p w14:paraId="6D831DA2" w14:textId="77777777" w:rsidR="006D0C22" w:rsidRPr="005428C4" w:rsidRDefault="006D0C22" w:rsidP="00E01D8F">
            <w:pPr>
              <w:pStyle w:val="BodyText"/>
              <w:spacing w:before="100" w:after="100"/>
              <w:rPr>
                <w:b/>
                <w:sz w:val="16"/>
                <w:szCs w:val="16"/>
              </w:rPr>
            </w:pPr>
            <w:r w:rsidRPr="005428C4">
              <w:rPr>
                <w:sz w:val="16"/>
                <w:szCs w:val="16"/>
              </w:rPr>
              <w:t>Colombia</w:t>
            </w:r>
          </w:p>
        </w:tc>
        <w:tc>
          <w:tcPr>
            <w:tcW w:w="2182" w:type="dxa"/>
            <w:tcBorders>
              <w:top w:val="single" w:sz="4" w:space="0" w:color="auto"/>
              <w:left w:val="single" w:sz="4" w:space="0" w:color="auto"/>
              <w:bottom w:val="single" w:sz="4" w:space="0" w:color="auto"/>
              <w:right w:val="single" w:sz="4" w:space="0" w:color="auto"/>
            </w:tcBorders>
            <w:hideMark/>
          </w:tcPr>
          <w:p w14:paraId="5A14C51D" w14:textId="77777777" w:rsidR="006D0C22" w:rsidRPr="005428C4" w:rsidRDefault="006D0C22" w:rsidP="00E01D8F">
            <w:pPr>
              <w:pStyle w:val="BodyText"/>
              <w:spacing w:before="100" w:after="100"/>
              <w:rPr>
                <w:b/>
                <w:sz w:val="16"/>
                <w:szCs w:val="16"/>
              </w:rPr>
            </w:pPr>
            <w:r w:rsidRPr="005428C4">
              <w:rPr>
                <w:sz w:val="16"/>
                <w:szCs w:val="16"/>
              </w:rPr>
              <w:t>Demark</w:t>
            </w:r>
          </w:p>
        </w:tc>
        <w:tc>
          <w:tcPr>
            <w:tcW w:w="2183" w:type="dxa"/>
            <w:tcBorders>
              <w:top w:val="single" w:sz="4" w:space="0" w:color="auto"/>
              <w:left w:val="single" w:sz="4" w:space="0" w:color="auto"/>
              <w:bottom w:val="single" w:sz="4" w:space="0" w:color="auto"/>
              <w:right w:val="single" w:sz="4" w:space="0" w:color="auto"/>
            </w:tcBorders>
            <w:hideMark/>
          </w:tcPr>
          <w:p w14:paraId="69DACDB6" w14:textId="77777777" w:rsidR="006D0C22" w:rsidRPr="005428C4" w:rsidRDefault="006D0C22" w:rsidP="00E01D8F">
            <w:pPr>
              <w:pStyle w:val="BodyText"/>
              <w:spacing w:before="100" w:after="100"/>
              <w:rPr>
                <w:b/>
                <w:sz w:val="16"/>
                <w:szCs w:val="16"/>
              </w:rPr>
            </w:pPr>
            <w:r w:rsidRPr="005428C4">
              <w:rPr>
                <w:sz w:val="16"/>
                <w:szCs w:val="16"/>
              </w:rPr>
              <w:t>France</w:t>
            </w:r>
          </w:p>
        </w:tc>
      </w:tr>
      <w:tr w:rsidR="006D0C22" w14:paraId="1AFDB1F0" w14:textId="77777777" w:rsidTr="00E01D8F">
        <w:tc>
          <w:tcPr>
            <w:tcW w:w="2182" w:type="dxa"/>
            <w:tcBorders>
              <w:top w:val="single" w:sz="4" w:space="0" w:color="auto"/>
              <w:left w:val="single" w:sz="4" w:space="0" w:color="auto"/>
              <w:bottom w:val="single" w:sz="4" w:space="0" w:color="auto"/>
              <w:right w:val="single" w:sz="4" w:space="0" w:color="auto"/>
            </w:tcBorders>
            <w:hideMark/>
          </w:tcPr>
          <w:p w14:paraId="0B6AE82A" w14:textId="77777777" w:rsidR="006D0C22" w:rsidRPr="005428C4" w:rsidRDefault="006D0C22" w:rsidP="00E01D8F">
            <w:pPr>
              <w:pStyle w:val="BodyText"/>
              <w:spacing w:before="100" w:after="100"/>
              <w:rPr>
                <w:b/>
                <w:sz w:val="16"/>
                <w:szCs w:val="16"/>
              </w:rPr>
            </w:pPr>
            <w:r w:rsidRPr="005428C4">
              <w:rPr>
                <w:sz w:val="16"/>
                <w:szCs w:val="16"/>
              </w:rPr>
              <w:t>Germany</w:t>
            </w:r>
          </w:p>
        </w:tc>
        <w:tc>
          <w:tcPr>
            <w:tcW w:w="2183" w:type="dxa"/>
            <w:tcBorders>
              <w:top w:val="single" w:sz="4" w:space="0" w:color="auto"/>
              <w:left w:val="single" w:sz="4" w:space="0" w:color="auto"/>
              <w:bottom w:val="single" w:sz="4" w:space="0" w:color="auto"/>
              <w:right w:val="single" w:sz="4" w:space="0" w:color="auto"/>
            </w:tcBorders>
            <w:hideMark/>
          </w:tcPr>
          <w:p w14:paraId="1F594876" w14:textId="77777777" w:rsidR="006D0C22" w:rsidRPr="005428C4" w:rsidRDefault="006D0C22" w:rsidP="00E01D8F">
            <w:pPr>
              <w:pStyle w:val="BodyText"/>
              <w:spacing w:before="100" w:after="100"/>
              <w:rPr>
                <w:b/>
                <w:sz w:val="16"/>
                <w:szCs w:val="16"/>
              </w:rPr>
            </w:pPr>
            <w:r w:rsidRPr="005428C4">
              <w:rPr>
                <w:sz w:val="16"/>
                <w:szCs w:val="16"/>
              </w:rPr>
              <w:t>Greece</w:t>
            </w:r>
          </w:p>
        </w:tc>
        <w:tc>
          <w:tcPr>
            <w:tcW w:w="2182" w:type="dxa"/>
            <w:tcBorders>
              <w:top w:val="single" w:sz="4" w:space="0" w:color="auto"/>
              <w:left w:val="single" w:sz="4" w:space="0" w:color="auto"/>
              <w:bottom w:val="single" w:sz="4" w:space="0" w:color="auto"/>
              <w:right w:val="single" w:sz="4" w:space="0" w:color="auto"/>
            </w:tcBorders>
            <w:hideMark/>
          </w:tcPr>
          <w:p w14:paraId="3F3D88FF" w14:textId="77777777" w:rsidR="006D0C22" w:rsidRPr="005428C4" w:rsidRDefault="006D0C22" w:rsidP="00E01D8F">
            <w:pPr>
              <w:pStyle w:val="BodyText"/>
              <w:spacing w:before="100" w:after="100"/>
              <w:rPr>
                <w:b/>
                <w:sz w:val="16"/>
                <w:szCs w:val="16"/>
              </w:rPr>
            </w:pPr>
            <w:r w:rsidRPr="005428C4">
              <w:rPr>
                <w:sz w:val="16"/>
                <w:szCs w:val="16"/>
              </w:rPr>
              <w:t>Hong Kong</w:t>
            </w:r>
          </w:p>
        </w:tc>
        <w:tc>
          <w:tcPr>
            <w:tcW w:w="2183" w:type="dxa"/>
            <w:tcBorders>
              <w:top w:val="single" w:sz="4" w:space="0" w:color="auto"/>
              <w:left w:val="single" w:sz="4" w:space="0" w:color="auto"/>
              <w:bottom w:val="single" w:sz="4" w:space="0" w:color="auto"/>
              <w:right w:val="single" w:sz="4" w:space="0" w:color="auto"/>
            </w:tcBorders>
            <w:hideMark/>
          </w:tcPr>
          <w:p w14:paraId="36BD65F8" w14:textId="77777777" w:rsidR="006D0C22" w:rsidRPr="005428C4" w:rsidRDefault="006D0C22" w:rsidP="00E01D8F">
            <w:pPr>
              <w:pStyle w:val="BodyText"/>
              <w:spacing w:before="100" w:after="100"/>
              <w:rPr>
                <w:b/>
                <w:sz w:val="16"/>
                <w:szCs w:val="16"/>
              </w:rPr>
            </w:pPr>
            <w:r w:rsidRPr="005428C4">
              <w:rPr>
                <w:sz w:val="16"/>
                <w:szCs w:val="16"/>
              </w:rPr>
              <w:t>Hungary</w:t>
            </w:r>
          </w:p>
        </w:tc>
      </w:tr>
      <w:tr w:rsidR="006D0C22" w14:paraId="04938603" w14:textId="77777777" w:rsidTr="00E01D8F">
        <w:tc>
          <w:tcPr>
            <w:tcW w:w="2182" w:type="dxa"/>
            <w:tcBorders>
              <w:top w:val="single" w:sz="4" w:space="0" w:color="auto"/>
              <w:left w:val="single" w:sz="4" w:space="0" w:color="auto"/>
              <w:bottom w:val="single" w:sz="4" w:space="0" w:color="auto"/>
              <w:right w:val="single" w:sz="4" w:space="0" w:color="auto"/>
            </w:tcBorders>
          </w:tcPr>
          <w:p w14:paraId="11A00BAC" w14:textId="77777777" w:rsidR="006D0C22" w:rsidRPr="005428C4" w:rsidRDefault="006D0C22" w:rsidP="00E01D8F">
            <w:pPr>
              <w:pStyle w:val="BodyText"/>
              <w:spacing w:before="100" w:after="100"/>
              <w:rPr>
                <w:sz w:val="16"/>
                <w:szCs w:val="16"/>
              </w:rPr>
            </w:pPr>
            <w:r w:rsidRPr="005428C4">
              <w:rPr>
                <w:sz w:val="16"/>
                <w:szCs w:val="16"/>
              </w:rPr>
              <w:t>India</w:t>
            </w:r>
          </w:p>
        </w:tc>
        <w:tc>
          <w:tcPr>
            <w:tcW w:w="2183" w:type="dxa"/>
            <w:tcBorders>
              <w:top w:val="single" w:sz="4" w:space="0" w:color="auto"/>
              <w:left w:val="single" w:sz="4" w:space="0" w:color="auto"/>
              <w:bottom w:val="single" w:sz="4" w:space="0" w:color="auto"/>
              <w:right w:val="single" w:sz="4" w:space="0" w:color="auto"/>
            </w:tcBorders>
          </w:tcPr>
          <w:p w14:paraId="43EC83E6" w14:textId="77777777" w:rsidR="006D0C22" w:rsidRPr="005428C4" w:rsidRDefault="006D0C22" w:rsidP="00E01D8F">
            <w:pPr>
              <w:pStyle w:val="BodyText"/>
              <w:spacing w:before="100" w:after="100"/>
              <w:rPr>
                <w:b/>
                <w:sz w:val="16"/>
                <w:szCs w:val="16"/>
              </w:rPr>
            </w:pPr>
            <w:r w:rsidRPr="005428C4">
              <w:rPr>
                <w:sz w:val="16"/>
                <w:szCs w:val="16"/>
              </w:rPr>
              <w:t>Indonesia</w:t>
            </w:r>
          </w:p>
        </w:tc>
        <w:tc>
          <w:tcPr>
            <w:tcW w:w="2182" w:type="dxa"/>
            <w:tcBorders>
              <w:top w:val="single" w:sz="4" w:space="0" w:color="auto"/>
              <w:left w:val="single" w:sz="4" w:space="0" w:color="auto"/>
              <w:bottom w:val="single" w:sz="4" w:space="0" w:color="auto"/>
              <w:right w:val="single" w:sz="4" w:space="0" w:color="auto"/>
            </w:tcBorders>
          </w:tcPr>
          <w:p w14:paraId="638CF428" w14:textId="77777777" w:rsidR="006D0C22" w:rsidRPr="005428C4" w:rsidRDefault="006D0C22" w:rsidP="00E01D8F">
            <w:pPr>
              <w:pStyle w:val="BodyText"/>
              <w:spacing w:before="100" w:after="100"/>
              <w:rPr>
                <w:b/>
                <w:sz w:val="16"/>
                <w:szCs w:val="16"/>
              </w:rPr>
            </w:pPr>
            <w:r w:rsidRPr="005428C4">
              <w:rPr>
                <w:sz w:val="16"/>
                <w:szCs w:val="16"/>
              </w:rPr>
              <w:t>Ireland</w:t>
            </w:r>
          </w:p>
        </w:tc>
        <w:tc>
          <w:tcPr>
            <w:tcW w:w="2183" w:type="dxa"/>
            <w:tcBorders>
              <w:top w:val="single" w:sz="4" w:space="0" w:color="auto"/>
              <w:left w:val="single" w:sz="4" w:space="0" w:color="auto"/>
              <w:bottom w:val="single" w:sz="4" w:space="0" w:color="auto"/>
              <w:right w:val="single" w:sz="4" w:space="0" w:color="auto"/>
            </w:tcBorders>
          </w:tcPr>
          <w:p w14:paraId="317F880F" w14:textId="77777777" w:rsidR="006D0C22" w:rsidRPr="005428C4" w:rsidRDefault="006D0C22" w:rsidP="00E01D8F">
            <w:pPr>
              <w:pStyle w:val="BodyText"/>
              <w:spacing w:before="100" w:after="100"/>
              <w:rPr>
                <w:sz w:val="16"/>
                <w:szCs w:val="16"/>
              </w:rPr>
            </w:pPr>
            <w:r w:rsidRPr="005428C4">
              <w:rPr>
                <w:sz w:val="16"/>
                <w:szCs w:val="16"/>
              </w:rPr>
              <w:t>Israel</w:t>
            </w:r>
          </w:p>
        </w:tc>
      </w:tr>
      <w:tr w:rsidR="006D0C22" w14:paraId="6853759E" w14:textId="77777777" w:rsidTr="00E01D8F">
        <w:tc>
          <w:tcPr>
            <w:tcW w:w="2182" w:type="dxa"/>
            <w:tcBorders>
              <w:top w:val="single" w:sz="4" w:space="0" w:color="auto"/>
              <w:left w:val="single" w:sz="4" w:space="0" w:color="auto"/>
              <w:bottom w:val="single" w:sz="4" w:space="0" w:color="auto"/>
              <w:right w:val="single" w:sz="4" w:space="0" w:color="auto"/>
            </w:tcBorders>
          </w:tcPr>
          <w:p w14:paraId="2A88DD69" w14:textId="77777777" w:rsidR="006D0C22" w:rsidRPr="005428C4" w:rsidRDefault="006D0C22" w:rsidP="00E01D8F">
            <w:pPr>
              <w:pStyle w:val="BodyText"/>
              <w:spacing w:before="100" w:after="100"/>
              <w:rPr>
                <w:b/>
                <w:sz w:val="16"/>
                <w:szCs w:val="16"/>
              </w:rPr>
            </w:pPr>
            <w:r w:rsidRPr="005428C4">
              <w:rPr>
                <w:sz w:val="16"/>
                <w:szCs w:val="16"/>
              </w:rPr>
              <w:t>Italy</w:t>
            </w:r>
          </w:p>
        </w:tc>
        <w:tc>
          <w:tcPr>
            <w:tcW w:w="2183" w:type="dxa"/>
            <w:tcBorders>
              <w:top w:val="single" w:sz="4" w:space="0" w:color="auto"/>
              <w:left w:val="single" w:sz="4" w:space="0" w:color="auto"/>
              <w:bottom w:val="single" w:sz="4" w:space="0" w:color="auto"/>
              <w:right w:val="single" w:sz="4" w:space="0" w:color="auto"/>
            </w:tcBorders>
          </w:tcPr>
          <w:p w14:paraId="5FA2C116" w14:textId="77777777" w:rsidR="006D0C22" w:rsidRPr="005428C4" w:rsidRDefault="006D0C22" w:rsidP="00E01D8F">
            <w:pPr>
              <w:pStyle w:val="BodyText"/>
              <w:spacing w:before="100" w:after="100"/>
              <w:rPr>
                <w:sz w:val="16"/>
                <w:szCs w:val="16"/>
              </w:rPr>
            </w:pPr>
            <w:r w:rsidRPr="005428C4">
              <w:rPr>
                <w:sz w:val="16"/>
                <w:szCs w:val="16"/>
              </w:rPr>
              <w:t>Japan</w:t>
            </w:r>
          </w:p>
        </w:tc>
        <w:tc>
          <w:tcPr>
            <w:tcW w:w="2182" w:type="dxa"/>
            <w:tcBorders>
              <w:top w:val="single" w:sz="4" w:space="0" w:color="auto"/>
              <w:left w:val="single" w:sz="4" w:space="0" w:color="auto"/>
              <w:bottom w:val="single" w:sz="4" w:space="0" w:color="auto"/>
              <w:right w:val="single" w:sz="4" w:space="0" w:color="auto"/>
            </w:tcBorders>
          </w:tcPr>
          <w:p w14:paraId="01D64ED3" w14:textId="77777777" w:rsidR="006D0C22" w:rsidRPr="005428C4" w:rsidRDefault="006D0C22" w:rsidP="00E01D8F">
            <w:pPr>
              <w:pStyle w:val="BodyText"/>
              <w:spacing w:before="100" w:after="100"/>
              <w:rPr>
                <w:sz w:val="16"/>
                <w:szCs w:val="16"/>
              </w:rPr>
            </w:pPr>
            <w:r w:rsidRPr="005428C4">
              <w:rPr>
                <w:sz w:val="16"/>
                <w:szCs w:val="16"/>
              </w:rPr>
              <w:t>Laos</w:t>
            </w:r>
          </w:p>
        </w:tc>
        <w:tc>
          <w:tcPr>
            <w:tcW w:w="2183" w:type="dxa"/>
            <w:tcBorders>
              <w:top w:val="single" w:sz="4" w:space="0" w:color="auto"/>
              <w:left w:val="single" w:sz="4" w:space="0" w:color="auto"/>
              <w:bottom w:val="single" w:sz="4" w:space="0" w:color="auto"/>
              <w:right w:val="single" w:sz="4" w:space="0" w:color="auto"/>
            </w:tcBorders>
            <w:hideMark/>
          </w:tcPr>
          <w:p w14:paraId="159AA25D" w14:textId="77777777" w:rsidR="006D0C22" w:rsidRPr="005428C4" w:rsidRDefault="006D0C22" w:rsidP="00E01D8F">
            <w:pPr>
              <w:pStyle w:val="BodyText"/>
              <w:spacing w:before="100" w:after="100"/>
              <w:rPr>
                <w:sz w:val="16"/>
                <w:szCs w:val="16"/>
              </w:rPr>
            </w:pPr>
            <w:r w:rsidRPr="005428C4">
              <w:rPr>
                <w:sz w:val="16"/>
                <w:szCs w:val="16"/>
              </w:rPr>
              <w:t xml:space="preserve">Lebanon </w:t>
            </w:r>
          </w:p>
        </w:tc>
      </w:tr>
      <w:tr w:rsidR="006D0C22" w14:paraId="0351BDDC" w14:textId="77777777" w:rsidTr="00E01D8F">
        <w:tc>
          <w:tcPr>
            <w:tcW w:w="2182" w:type="dxa"/>
            <w:tcBorders>
              <w:top w:val="single" w:sz="4" w:space="0" w:color="auto"/>
              <w:left w:val="single" w:sz="4" w:space="0" w:color="auto"/>
              <w:bottom w:val="single" w:sz="4" w:space="0" w:color="auto"/>
              <w:right w:val="single" w:sz="4" w:space="0" w:color="auto"/>
            </w:tcBorders>
          </w:tcPr>
          <w:p w14:paraId="64D42934" w14:textId="77777777" w:rsidR="006D0C22" w:rsidRPr="005428C4" w:rsidRDefault="006D0C22" w:rsidP="00E01D8F">
            <w:pPr>
              <w:pStyle w:val="BodyText"/>
              <w:spacing w:before="100" w:after="100"/>
              <w:rPr>
                <w:sz w:val="16"/>
                <w:szCs w:val="16"/>
              </w:rPr>
            </w:pPr>
            <w:r w:rsidRPr="005428C4">
              <w:rPr>
                <w:sz w:val="16"/>
                <w:szCs w:val="16"/>
              </w:rPr>
              <w:t>Malaysia</w:t>
            </w:r>
          </w:p>
        </w:tc>
        <w:tc>
          <w:tcPr>
            <w:tcW w:w="2183" w:type="dxa"/>
            <w:tcBorders>
              <w:top w:val="single" w:sz="4" w:space="0" w:color="auto"/>
              <w:left w:val="single" w:sz="4" w:space="0" w:color="auto"/>
              <w:bottom w:val="single" w:sz="4" w:space="0" w:color="auto"/>
              <w:right w:val="single" w:sz="4" w:space="0" w:color="auto"/>
            </w:tcBorders>
          </w:tcPr>
          <w:p w14:paraId="3A3DA4EE" w14:textId="77777777" w:rsidR="006D0C22" w:rsidRPr="005428C4" w:rsidRDefault="006D0C22" w:rsidP="00E01D8F">
            <w:pPr>
              <w:pStyle w:val="BodyText"/>
              <w:spacing w:before="100" w:after="100"/>
              <w:rPr>
                <w:sz w:val="16"/>
                <w:szCs w:val="16"/>
              </w:rPr>
            </w:pPr>
            <w:r w:rsidRPr="005428C4">
              <w:rPr>
                <w:sz w:val="16"/>
                <w:szCs w:val="16"/>
              </w:rPr>
              <w:t>Malta</w:t>
            </w:r>
          </w:p>
        </w:tc>
        <w:tc>
          <w:tcPr>
            <w:tcW w:w="2182" w:type="dxa"/>
            <w:tcBorders>
              <w:top w:val="single" w:sz="4" w:space="0" w:color="auto"/>
              <w:left w:val="single" w:sz="4" w:space="0" w:color="auto"/>
              <w:bottom w:val="single" w:sz="4" w:space="0" w:color="auto"/>
              <w:right w:val="single" w:sz="4" w:space="0" w:color="auto"/>
            </w:tcBorders>
          </w:tcPr>
          <w:p w14:paraId="69ED0DA8" w14:textId="77777777" w:rsidR="006D0C22" w:rsidRPr="005428C4" w:rsidRDefault="006D0C22" w:rsidP="00E01D8F">
            <w:pPr>
              <w:pStyle w:val="BodyText"/>
              <w:spacing w:before="100" w:after="100"/>
              <w:rPr>
                <w:sz w:val="16"/>
                <w:szCs w:val="16"/>
              </w:rPr>
            </w:pPr>
            <w:r w:rsidRPr="005428C4">
              <w:rPr>
                <w:sz w:val="16"/>
                <w:szCs w:val="16"/>
              </w:rPr>
              <w:t>Mexico</w:t>
            </w:r>
          </w:p>
        </w:tc>
        <w:tc>
          <w:tcPr>
            <w:tcW w:w="2183" w:type="dxa"/>
            <w:tcBorders>
              <w:top w:val="single" w:sz="4" w:space="0" w:color="auto"/>
              <w:left w:val="single" w:sz="4" w:space="0" w:color="auto"/>
              <w:bottom w:val="single" w:sz="4" w:space="0" w:color="auto"/>
              <w:right w:val="single" w:sz="4" w:space="0" w:color="auto"/>
            </w:tcBorders>
          </w:tcPr>
          <w:p w14:paraId="4631E602" w14:textId="77777777" w:rsidR="006D0C22" w:rsidRPr="005428C4" w:rsidRDefault="006D0C22" w:rsidP="00E01D8F">
            <w:pPr>
              <w:pStyle w:val="BodyText"/>
              <w:spacing w:before="100" w:after="100"/>
              <w:rPr>
                <w:sz w:val="16"/>
                <w:szCs w:val="16"/>
              </w:rPr>
            </w:pPr>
            <w:r w:rsidRPr="005428C4">
              <w:rPr>
                <w:sz w:val="16"/>
                <w:szCs w:val="16"/>
              </w:rPr>
              <w:t>New Zealand</w:t>
            </w:r>
          </w:p>
        </w:tc>
      </w:tr>
      <w:tr w:rsidR="006D0C22" w14:paraId="4C220039" w14:textId="77777777" w:rsidTr="00E01D8F">
        <w:tc>
          <w:tcPr>
            <w:tcW w:w="2182" w:type="dxa"/>
            <w:tcBorders>
              <w:top w:val="single" w:sz="4" w:space="0" w:color="auto"/>
              <w:left w:val="single" w:sz="4" w:space="0" w:color="auto"/>
              <w:bottom w:val="single" w:sz="4" w:space="0" w:color="auto"/>
              <w:right w:val="single" w:sz="4" w:space="0" w:color="auto"/>
            </w:tcBorders>
          </w:tcPr>
          <w:p w14:paraId="71ED604F" w14:textId="77777777" w:rsidR="006D0C22" w:rsidRPr="005428C4" w:rsidRDefault="006D0C22" w:rsidP="00E01D8F">
            <w:pPr>
              <w:pStyle w:val="BodyText"/>
              <w:spacing w:before="100" w:after="100"/>
              <w:rPr>
                <w:sz w:val="16"/>
                <w:szCs w:val="16"/>
              </w:rPr>
            </w:pPr>
            <w:r w:rsidRPr="005428C4">
              <w:rPr>
                <w:sz w:val="16"/>
                <w:szCs w:val="16"/>
              </w:rPr>
              <w:t>Norway</w:t>
            </w:r>
          </w:p>
        </w:tc>
        <w:tc>
          <w:tcPr>
            <w:tcW w:w="2183" w:type="dxa"/>
            <w:tcBorders>
              <w:top w:val="single" w:sz="4" w:space="0" w:color="auto"/>
              <w:left w:val="single" w:sz="4" w:space="0" w:color="auto"/>
              <w:bottom w:val="single" w:sz="4" w:space="0" w:color="auto"/>
              <w:right w:val="single" w:sz="4" w:space="0" w:color="auto"/>
            </w:tcBorders>
          </w:tcPr>
          <w:p w14:paraId="3A94AA2B" w14:textId="77777777" w:rsidR="006D0C22" w:rsidRPr="005428C4" w:rsidRDefault="006D0C22" w:rsidP="00E01D8F">
            <w:pPr>
              <w:pStyle w:val="BodyText"/>
              <w:spacing w:before="100" w:after="100"/>
              <w:rPr>
                <w:sz w:val="16"/>
                <w:szCs w:val="16"/>
              </w:rPr>
            </w:pPr>
            <w:r w:rsidRPr="005428C4">
              <w:rPr>
                <w:sz w:val="16"/>
                <w:szCs w:val="16"/>
              </w:rPr>
              <w:t>Poland</w:t>
            </w:r>
          </w:p>
        </w:tc>
        <w:tc>
          <w:tcPr>
            <w:tcW w:w="2182" w:type="dxa"/>
            <w:tcBorders>
              <w:top w:val="single" w:sz="4" w:space="0" w:color="auto"/>
              <w:left w:val="single" w:sz="4" w:space="0" w:color="auto"/>
              <w:bottom w:val="single" w:sz="4" w:space="0" w:color="auto"/>
              <w:right w:val="single" w:sz="4" w:space="0" w:color="auto"/>
            </w:tcBorders>
          </w:tcPr>
          <w:p w14:paraId="7450FA93" w14:textId="77777777" w:rsidR="006D0C22" w:rsidRPr="005428C4" w:rsidRDefault="006D0C22" w:rsidP="00E01D8F">
            <w:pPr>
              <w:pStyle w:val="BodyText"/>
              <w:spacing w:before="100" w:after="100"/>
              <w:rPr>
                <w:sz w:val="16"/>
                <w:szCs w:val="16"/>
              </w:rPr>
            </w:pPr>
            <w:r w:rsidRPr="005428C4">
              <w:rPr>
                <w:sz w:val="16"/>
                <w:szCs w:val="16"/>
              </w:rPr>
              <w:t xml:space="preserve">Romania </w:t>
            </w:r>
          </w:p>
        </w:tc>
        <w:tc>
          <w:tcPr>
            <w:tcW w:w="2183" w:type="dxa"/>
            <w:tcBorders>
              <w:top w:val="single" w:sz="4" w:space="0" w:color="auto"/>
              <w:left w:val="single" w:sz="4" w:space="0" w:color="auto"/>
              <w:bottom w:val="single" w:sz="4" w:space="0" w:color="auto"/>
              <w:right w:val="single" w:sz="4" w:space="0" w:color="auto"/>
            </w:tcBorders>
            <w:hideMark/>
          </w:tcPr>
          <w:p w14:paraId="61A9DA21" w14:textId="77777777" w:rsidR="006D0C22" w:rsidRPr="005428C4" w:rsidRDefault="006D0C22" w:rsidP="00E01D8F">
            <w:pPr>
              <w:pStyle w:val="BodyText"/>
              <w:spacing w:before="100" w:after="100"/>
              <w:rPr>
                <w:sz w:val="16"/>
                <w:szCs w:val="16"/>
              </w:rPr>
            </w:pPr>
            <w:r w:rsidRPr="005428C4">
              <w:rPr>
                <w:sz w:val="16"/>
                <w:szCs w:val="16"/>
              </w:rPr>
              <w:t>Singapore</w:t>
            </w:r>
          </w:p>
        </w:tc>
      </w:tr>
      <w:tr w:rsidR="006D0C22" w14:paraId="361C1648" w14:textId="77777777" w:rsidTr="00E01D8F">
        <w:tc>
          <w:tcPr>
            <w:tcW w:w="2182" w:type="dxa"/>
            <w:tcBorders>
              <w:top w:val="single" w:sz="4" w:space="0" w:color="auto"/>
              <w:left w:val="single" w:sz="4" w:space="0" w:color="auto"/>
              <w:bottom w:val="single" w:sz="4" w:space="0" w:color="auto"/>
              <w:right w:val="single" w:sz="4" w:space="0" w:color="auto"/>
            </w:tcBorders>
          </w:tcPr>
          <w:p w14:paraId="4F6F7B8C" w14:textId="77777777" w:rsidR="006D0C22" w:rsidRPr="005428C4" w:rsidRDefault="006D0C22" w:rsidP="00E01D8F">
            <w:pPr>
              <w:pStyle w:val="BodyText"/>
              <w:spacing w:before="100" w:after="100"/>
              <w:rPr>
                <w:sz w:val="16"/>
                <w:szCs w:val="16"/>
              </w:rPr>
            </w:pPr>
            <w:r w:rsidRPr="005428C4">
              <w:rPr>
                <w:sz w:val="16"/>
                <w:szCs w:val="16"/>
              </w:rPr>
              <w:t>South Korea</w:t>
            </w:r>
          </w:p>
        </w:tc>
        <w:tc>
          <w:tcPr>
            <w:tcW w:w="2183" w:type="dxa"/>
            <w:tcBorders>
              <w:top w:val="single" w:sz="4" w:space="0" w:color="auto"/>
              <w:left w:val="single" w:sz="4" w:space="0" w:color="auto"/>
              <w:bottom w:val="single" w:sz="4" w:space="0" w:color="auto"/>
              <w:right w:val="single" w:sz="4" w:space="0" w:color="auto"/>
            </w:tcBorders>
          </w:tcPr>
          <w:p w14:paraId="02E398D5" w14:textId="77777777" w:rsidR="006D0C22" w:rsidRPr="005428C4" w:rsidRDefault="006D0C22" w:rsidP="00E01D8F">
            <w:pPr>
              <w:pStyle w:val="BodyText"/>
              <w:spacing w:before="100" w:after="100"/>
              <w:rPr>
                <w:sz w:val="16"/>
                <w:szCs w:val="16"/>
              </w:rPr>
            </w:pPr>
            <w:r w:rsidRPr="005428C4">
              <w:rPr>
                <w:sz w:val="16"/>
                <w:szCs w:val="16"/>
              </w:rPr>
              <w:t>Sweden</w:t>
            </w:r>
          </w:p>
        </w:tc>
        <w:tc>
          <w:tcPr>
            <w:tcW w:w="2182" w:type="dxa"/>
            <w:tcBorders>
              <w:top w:val="single" w:sz="4" w:space="0" w:color="auto"/>
              <w:left w:val="single" w:sz="4" w:space="0" w:color="auto"/>
              <w:bottom w:val="single" w:sz="4" w:space="0" w:color="auto"/>
              <w:right w:val="single" w:sz="4" w:space="0" w:color="auto"/>
            </w:tcBorders>
          </w:tcPr>
          <w:p w14:paraId="706AD73A" w14:textId="77777777" w:rsidR="006D0C22" w:rsidRPr="005428C4" w:rsidRDefault="006D0C22" w:rsidP="00E01D8F">
            <w:pPr>
              <w:pStyle w:val="BodyText"/>
              <w:spacing w:before="100" w:after="100"/>
              <w:rPr>
                <w:sz w:val="16"/>
                <w:szCs w:val="16"/>
              </w:rPr>
            </w:pPr>
            <w:r w:rsidRPr="005428C4">
              <w:rPr>
                <w:sz w:val="16"/>
                <w:szCs w:val="16"/>
              </w:rPr>
              <w:t>Taiwan</w:t>
            </w:r>
          </w:p>
        </w:tc>
        <w:tc>
          <w:tcPr>
            <w:tcW w:w="2183" w:type="dxa"/>
            <w:tcBorders>
              <w:top w:val="single" w:sz="4" w:space="0" w:color="auto"/>
              <w:left w:val="single" w:sz="4" w:space="0" w:color="auto"/>
              <w:bottom w:val="single" w:sz="4" w:space="0" w:color="auto"/>
              <w:right w:val="single" w:sz="4" w:space="0" w:color="auto"/>
            </w:tcBorders>
          </w:tcPr>
          <w:p w14:paraId="4DCFC096" w14:textId="77777777" w:rsidR="006D0C22" w:rsidRPr="005428C4" w:rsidRDefault="006D0C22" w:rsidP="00E01D8F">
            <w:pPr>
              <w:pStyle w:val="BodyText"/>
              <w:spacing w:before="100" w:after="100"/>
              <w:rPr>
                <w:sz w:val="16"/>
                <w:szCs w:val="16"/>
              </w:rPr>
            </w:pPr>
            <w:r w:rsidRPr="005428C4">
              <w:rPr>
                <w:sz w:val="16"/>
                <w:szCs w:val="16"/>
              </w:rPr>
              <w:t>Thailand</w:t>
            </w:r>
          </w:p>
        </w:tc>
      </w:tr>
      <w:tr w:rsidR="006D0C22" w14:paraId="43B86927" w14:textId="77777777" w:rsidTr="00E01D8F">
        <w:tc>
          <w:tcPr>
            <w:tcW w:w="2182" w:type="dxa"/>
            <w:tcBorders>
              <w:top w:val="single" w:sz="4" w:space="0" w:color="auto"/>
              <w:left w:val="single" w:sz="4" w:space="0" w:color="auto"/>
              <w:bottom w:val="single" w:sz="4" w:space="0" w:color="auto"/>
              <w:right w:val="single" w:sz="4" w:space="0" w:color="auto"/>
            </w:tcBorders>
          </w:tcPr>
          <w:p w14:paraId="6E8F8F30" w14:textId="77777777" w:rsidR="006D0C22" w:rsidRPr="005428C4" w:rsidRDefault="006D0C22" w:rsidP="00E01D8F">
            <w:pPr>
              <w:pStyle w:val="BodyText"/>
              <w:spacing w:before="100" w:after="100"/>
              <w:rPr>
                <w:sz w:val="16"/>
                <w:szCs w:val="16"/>
              </w:rPr>
            </w:pPr>
            <w:r w:rsidRPr="005428C4">
              <w:rPr>
                <w:sz w:val="16"/>
                <w:szCs w:val="16"/>
              </w:rPr>
              <w:t>United Kingdom</w:t>
            </w:r>
          </w:p>
        </w:tc>
        <w:tc>
          <w:tcPr>
            <w:tcW w:w="2183" w:type="dxa"/>
            <w:tcBorders>
              <w:top w:val="single" w:sz="4" w:space="0" w:color="auto"/>
              <w:left w:val="single" w:sz="4" w:space="0" w:color="auto"/>
              <w:bottom w:val="single" w:sz="4" w:space="0" w:color="auto"/>
              <w:right w:val="single" w:sz="4" w:space="0" w:color="auto"/>
            </w:tcBorders>
          </w:tcPr>
          <w:p w14:paraId="147505C6" w14:textId="77777777" w:rsidR="006D0C22" w:rsidRPr="005428C4" w:rsidRDefault="006D0C22" w:rsidP="00E01D8F">
            <w:pPr>
              <w:pStyle w:val="BodyText"/>
              <w:spacing w:before="100" w:after="100"/>
              <w:rPr>
                <w:sz w:val="16"/>
                <w:szCs w:val="16"/>
              </w:rPr>
            </w:pPr>
            <w:r w:rsidRPr="005428C4">
              <w:rPr>
                <w:sz w:val="16"/>
                <w:szCs w:val="16"/>
              </w:rPr>
              <w:t>USA</w:t>
            </w:r>
          </w:p>
        </w:tc>
        <w:tc>
          <w:tcPr>
            <w:tcW w:w="2182" w:type="dxa"/>
            <w:tcBorders>
              <w:top w:val="single" w:sz="4" w:space="0" w:color="auto"/>
              <w:left w:val="single" w:sz="4" w:space="0" w:color="auto"/>
              <w:bottom w:val="single" w:sz="4" w:space="0" w:color="auto"/>
              <w:right w:val="single" w:sz="4" w:space="0" w:color="auto"/>
            </w:tcBorders>
          </w:tcPr>
          <w:p w14:paraId="686B2E9B" w14:textId="77777777" w:rsidR="006D0C22" w:rsidRPr="005428C4" w:rsidRDefault="006D0C22" w:rsidP="00E01D8F">
            <w:pPr>
              <w:pStyle w:val="BodyText"/>
              <w:spacing w:before="100" w:after="100"/>
              <w:rPr>
                <w:sz w:val="16"/>
                <w:szCs w:val="16"/>
              </w:rPr>
            </w:pPr>
            <w:r w:rsidRPr="005428C4">
              <w:rPr>
                <w:sz w:val="16"/>
                <w:szCs w:val="16"/>
              </w:rPr>
              <w:t>Vietnam</w:t>
            </w:r>
          </w:p>
        </w:tc>
        <w:tc>
          <w:tcPr>
            <w:tcW w:w="2183" w:type="dxa"/>
            <w:tcBorders>
              <w:top w:val="single" w:sz="4" w:space="0" w:color="auto"/>
              <w:left w:val="single" w:sz="4" w:space="0" w:color="auto"/>
              <w:bottom w:val="single" w:sz="4" w:space="0" w:color="auto"/>
              <w:right w:val="single" w:sz="4" w:space="0" w:color="auto"/>
            </w:tcBorders>
          </w:tcPr>
          <w:p w14:paraId="72E7DA8E" w14:textId="77777777" w:rsidR="006D0C22" w:rsidRPr="005428C4" w:rsidRDefault="006D0C22" w:rsidP="00E01D8F">
            <w:pPr>
              <w:pStyle w:val="BodyText"/>
              <w:spacing w:before="100" w:after="100"/>
              <w:rPr>
                <w:sz w:val="16"/>
                <w:szCs w:val="16"/>
              </w:rPr>
            </w:pPr>
          </w:p>
        </w:tc>
      </w:tr>
    </w:tbl>
    <w:p w14:paraId="14A6E8D8" w14:textId="77777777" w:rsidR="006D0C22" w:rsidRDefault="006D0C22" w:rsidP="006D0C22">
      <w:pPr>
        <w:pStyle w:val="Heading6"/>
        <w:numPr>
          <w:ilvl w:val="0"/>
          <w:numId w:val="0"/>
        </w:numPr>
        <w:spacing w:before="240"/>
        <w:rPr>
          <w:lang w:val="en-AU"/>
        </w:rPr>
      </w:pPr>
    </w:p>
    <w:p w14:paraId="623F5A9E" w14:textId="77777777" w:rsidR="006D0C22" w:rsidRDefault="006D0C22" w:rsidP="006D0C22">
      <w:pPr>
        <w:pStyle w:val="Heading6"/>
        <w:spacing w:before="240"/>
        <w:ind w:left="0" w:firstLine="0"/>
        <w:rPr>
          <w:lang w:val="en-AU"/>
        </w:rPr>
      </w:pPr>
      <w:bookmarkStart w:id="2435" w:name="_Toc25136939"/>
      <w:r>
        <w:rPr>
          <w:lang w:val="en-AU"/>
        </w:rPr>
        <w:t>My Account</w:t>
      </w:r>
      <w:bookmarkEnd w:id="2435"/>
    </w:p>
    <w:p w14:paraId="3384496C" w14:textId="77777777" w:rsidR="006D0C22" w:rsidRDefault="006D0C22" w:rsidP="006D0C22">
      <w:pPr>
        <w:pStyle w:val="BodyText"/>
        <w:ind w:left="720"/>
        <w:rPr>
          <w:lang w:val="en-AU"/>
        </w:rPr>
      </w:pPr>
      <w:r>
        <w:rPr>
          <w:lang w:val="en-AU"/>
        </w:rPr>
        <w:t xml:space="preserve">Services that share data may have a service login to My Account which will display all of the service numbers contributing to or using the shared data pool on </w:t>
      </w:r>
      <w:r>
        <w:rPr>
          <w:i/>
          <w:lang w:val="en-AU"/>
        </w:rPr>
        <w:t xml:space="preserve">your </w:t>
      </w:r>
      <w:r>
        <w:rPr>
          <w:lang w:val="en-AU"/>
        </w:rPr>
        <w:t xml:space="preserve">account and the amount of data each service has used. If </w:t>
      </w:r>
      <w:r>
        <w:rPr>
          <w:i/>
          <w:lang w:val="en-AU"/>
        </w:rPr>
        <w:t>you</w:t>
      </w:r>
      <w:r>
        <w:rPr>
          <w:lang w:val="en-AU"/>
        </w:rPr>
        <w:t xml:space="preserve"> have more than 6 services on </w:t>
      </w:r>
      <w:r>
        <w:rPr>
          <w:i/>
          <w:lang w:val="en-AU"/>
        </w:rPr>
        <w:t>your</w:t>
      </w:r>
      <w:r>
        <w:rPr>
          <w:lang w:val="en-AU"/>
        </w:rPr>
        <w:t xml:space="preserve"> account, My Account may not be suitable for viewing usage and managing </w:t>
      </w:r>
      <w:r>
        <w:rPr>
          <w:i/>
          <w:lang w:val="en-AU"/>
        </w:rPr>
        <w:t xml:space="preserve">your </w:t>
      </w:r>
      <w:r>
        <w:rPr>
          <w:lang w:val="en-AU"/>
        </w:rPr>
        <w:t>usage alerts.</w:t>
      </w:r>
    </w:p>
    <w:p w14:paraId="75018EE5" w14:textId="77777777" w:rsidR="006D0C22" w:rsidRDefault="006D0C22" w:rsidP="006D0C22">
      <w:pPr>
        <w:pStyle w:val="Heading6"/>
        <w:ind w:left="0" w:firstLine="0"/>
        <w:rPr>
          <w:lang w:val="en-AU"/>
        </w:rPr>
      </w:pPr>
      <w:bookmarkStart w:id="2436" w:name="_Toc25136940"/>
      <w:r>
        <w:rPr>
          <w:lang w:val="en-AU"/>
        </w:rPr>
        <w:t xml:space="preserve">What happens if the </w:t>
      </w:r>
      <w:r>
        <w:rPr>
          <w:i/>
          <w:lang w:val="en-AU"/>
        </w:rPr>
        <w:t xml:space="preserve">service </w:t>
      </w:r>
      <w:r>
        <w:rPr>
          <w:lang w:val="en-AU"/>
        </w:rPr>
        <w:t>is</w:t>
      </w:r>
      <w:r>
        <w:rPr>
          <w:i/>
          <w:lang w:val="en-AU"/>
        </w:rPr>
        <w:t xml:space="preserve"> cancelled </w:t>
      </w:r>
      <w:r>
        <w:rPr>
          <w:lang w:val="en-AU"/>
        </w:rPr>
        <w:t>early?</w:t>
      </w:r>
      <w:bookmarkEnd w:id="2436"/>
      <w:r>
        <w:rPr>
          <w:lang w:val="en-AU"/>
        </w:rPr>
        <w:t xml:space="preserve"> </w:t>
      </w:r>
    </w:p>
    <w:p w14:paraId="57D3DF27" w14:textId="77777777" w:rsidR="006D0C22" w:rsidRDefault="006D0C22" w:rsidP="006D0C22">
      <w:pPr>
        <w:ind w:left="720"/>
      </w:pPr>
      <w:r>
        <w:rPr>
          <w:rFonts w:cs="Arial"/>
          <w:sz w:val="20"/>
          <w:szCs w:val="20"/>
        </w:rPr>
        <w:t>If your service is cancelled before the end of your minimum term, there are no plan cancellation fees. You will simply need to pay out the sum of unpaid equipment charges owing on your mobile phone under the mobile equipment payment plan (if any). Note any handset credit you were entitled to will be forfeited.</w:t>
      </w:r>
      <w:r>
        <w:rPr>
          <w:rFonts w:cs="Arial"/>
          <w:sz w:val="20"/>
          <w:szCs w:val="20"/>
        </w:rPr>
        <w:br/>
      </w:r>
    </w:p>
    <w:p w14:paraId="7624ADA9" w14:textId="77777777" w:rsidR="006D0C22" w:rsidRDefault="006D0C22" w:rsidP="00F67786">
      <w:pPr>
        <w:pStyle w:val="BodyText"/>
      </w:pPr>
    </w:p>
    <w:p w14:paraId="78272C12" w14:textId="77777777" w:rsidR="0050073B" w:rsidRPr="00302639" w:rsidRDefault="0050073B" w:rsidP="0050073B">
      <w:pPr>
        <w:pStyle w:val="Heading4"/>
      </w:pPr>
      <w:bookmarkStart w:id="2437" w:name="_Toc22802301"/>
      <w:bookmarkStart w:id="2438" w:name="_Toc62644725"/>
      <w:r>
        <w:t>Business Plus 24M SIM Only – August 2018</w:t>
      </w:r>
      <w:bookmarkEnd w:id="2437"/>
      <w:bookmarkEnd w:id="2438"/>
    </w:p>
    <w:p w14:paraId="11D29C2A" w14:textId="77777777" w:rsidR="0050073B" w:rsidRDefault="0050073B" w:rsidP="0050073B">
      <w:pPr>
        <w:spacing w:after="200"/>
        <w:rPr>
          <w:sz w:val="20"/>
        </w:rPr>
      </w:pPr>
      <w:r>
        <w:rPr>
          <w:sz w:val="20"/>
        </w:rPr>
        <w:t xml:space="preserve">This section relates to the following plan(s). </w:t>
      </w:r>
      <w:r>
        <w:rPr>
          <w:i/>
          <w:sz w:val="20"/>
        </w:rPr>
        <w:t>You</w:t>
      </w:r>
      <w:r>
        <w:rPr>
          <w:sz w:val="20"/>
        </w:rPr>
        <w:t xml:space="preserve"> can find </w:t>
      </w:r>
      <w:r>
        <w:rPr>
          <w:i/>
          <w:sz w:val="20"/>
        </w:rPr>
        <w:t>your</w:t>
      </w:r>
      <w:r>
        <w:rPr>
          <w:sz w:val="20"/>
        </w:rPr>
        <w:t xml:space="preserve"> Plan ID on </w:t>
      </w:r>
      <w:r>
        <w:rPr>
          <w:i/>
          <w:sz w:val="20"/>
        </w:rPr>
        <w:t>your</w:t>
      </w:r>
      <w:r>
        <w:rPr>
          <w:sz w:val="20"/>
        </w:rPr>
        <w:t xml:space="preserve"> bill under the Mobile Number Summary section:</w:t>
      </w:r>
    </w:p>
    <w:tbl>
      <w:tblPr>
        <w:tblW w:w="49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7"/>
        <w:gridCol w:w="2419"/>
        <w:gridCol w:w="3218"/>
      </w:tblGrid>
      <w:tr w:rsidR="0050073B" w14:paraId="0FDF1683" w14:textId="77777777" w:rsidTr="0050073B">
        <w:trPr>
          <w:trHeight w:val="288"/>
        </w:trPr>
        <w:tc>
          <w:tcPr>
            <w:tcW w:w="4347" w:type="dxa"/>
            <w:tcBorders>
              <w:top w:val="single" w:sz="4" w:space="0" w:color="auto"/>
              <w:left w:val="single" w:sz="4" w:space="0" w:color="auto"/>
              <w:bottom w:val="single" w:sz="4" w:space="0" w:color="auto"/>
              <w:right w:val="single" w:sz="4" w:space="0" w:color="auto"/>
            </w:tcBorders>
            <w:vAlign w:val="center"/>
            <w:hideMark/>
          </w:tcPr>
          <w:p w14:paraId="57BDA0D8" w14:textId="77777777" w:rsidR="0050073B" w:rsidRDefault="0050073B" w:rsidP="00E01D8F">
            <w:pPr>
              <w:spacing w:before="100" w:after="100"/>
              <w:jc w:val="center"/>
              <w:rPr>
                <w:b/>
                <w:sz w:val="20"/>
              </w:rPr>
            </w:pPr>
            <w:r>
              <w:rPr>
                <w:b/>
                <w:sz w:val="20"/>
              </w:rPr>
              <w:t>Plan</w:t>
            </w:r>
          </w:p>
        </w:tc>
        <w:tc>
          <w:tcPr>
            <w:tcW w:w="2419" w:type="dxa"/>
            <w:tcBorders>
              <w:top w:val="single" w:sz="4" w:space="0" w:color="auto"/>
              <w:left w:val="single" w:sz="4" w:space="0" w:color="auto"/>
              <w:bottom w:val="single" w:sz="4" w:space="0" w:color="auto"/>
              <w:right w:val="single" w:sz="4" w:space="0" w:color="auto"/>
            </w:tcBorders>
            <w:vAlign w:val="center"/>
            <w:hideMark/>
          </w:tcPr>
          <w:p w14:paraId="20D0510B" w14:textId="77777777" w:rsidR="0050073B" w:rsidRDefault="0050073B" w:rsidP="00E01D8F">
            <w:pPr>
              <w:spacing w:before="100" w:after="100"/>
              <w:jc w:val="center"/>
              <w:rPr>
                <w:b/>
                <w:sz w:val="20"/>
              </w:rPr>
            </w:pPr>
            <w:r>
              <w:rPr>
                <w:b/>
                <w:sz w:val="20"/>
              </w:rPr>
              <w:t>Plan ID</w:t>
            </w:r>
          </w:p>
        </w:tc>
        <w:tc>
          <w:tcPr>
            <w:tcW w:w="3218" w:type="dxa"/>
            <w:tcBorders>
              <w:top w:val="single" w:sz="4" w:space="0" w:color="auto"/>
              <w:left w:val="single" w:sz="4" w:space="0" w:color="auto"/>
              <w:bottom w:val="single" w:sz="4" w:space="0" w:color="auto"/>
              <w:right w:val="single" w:sz="4" w:space="0" w:color="auto"/>
            </w:tcBorders>
            <w:vAlign w:val="center"/>
            <w:hideMark/>
          </w:tcPr>
          <w:p w14:paraId="72C1CCEA" w14:textId="77777777" w:rsidR="0050073B" w:rsidRDefault="0050073B" w:rsidP="00E01D8F">
            <w:pPr>
              <w:spacing w:before="100" w:after="100"/>
              <w:jc w:val="center"/>
              <w:rPr>
                <w:b/>
                <w:sz w:val="20"/>
              </w:rPr>
            </w:pPr>
            <w:r>
              <w:rPr>
                <w:b/>
                <w:sz w:val="20"/>
              </w:rPr>
              <w:t>Available</w:t>
            </w:r>
          </w:p>
        </w:tc>
      </w:tr>
      <w:tr w:rsidR="0050073B" w14:paraId="5A1FC8B8" w14:textId="77777777" w:rsidTr="0050073B">
        <w:trPr>
          <w:trHeight w:val="288"/>
        </w:trPr>
        <w:tc>
          <w:tcPr>
            <w:tcW w:w="4347" w:type="dxa"/>
            <w:tcBorders>
              <w:top w:val="single" w:sz="4" w:space="0" w:color="auto"/>
              <w:left w:val="single" w:sz="4" w:space="0" w:color="auto"/>
              <w:bottom w:val="single" w:sz="4" w:space="0" w:color="auto"/>
              <w:right w:val="single" w:sz="4" w:space="0" w:color="auto"/>
            </w:tcBorders>
          </w:tcPr>
          <w:p w14:paraId="7C6F4979" w14:textId="77777777" w:rsidR="0050073B" w:rsidRPr="005428C4" w:rsidRDefault="0050073B" w:rsidP="00E01D8F">
            <w:pPr>
              <w:spacing w:before="100" w:after="100"/>
              <w:jc w:val="center"/>
              <w:rPr>
                <w:rFonts w:eastAsia="Calibri"/>
                <w:sz w:val="16"/>
                <w:szCs w:val="16"/>
              </w:rPr>
            </w:pPr>
            <w:r w:rsidRPr="005428C4">
              <w:rPr>
                <w:rFonts w:eastAsia="Calibri"/>
                <w:sz w:val="16"/>
                <w:szCs w:val="16"/>
              </w:rPr>
              <w:t>$60 Business Plus 24M SIM Only</w:t>
            </w:r>
          </w:p>
        </w:tc>
        <w:tc>
          <w:tcPr>
            <w:tcW w:w="2419" w:type="dxa"/>
            <w:tcBorders>
              <w:top w:val="single" w:sz="4" w:space="0" w:color="auto"/>
              <w:left w:val="single" w:sz="4" w:space="0" w:color="auto"/>
              <w:bottom w:val="single" w:sz="4" w:space="0" w:color="auto"/>
              <w:right w:val="single" w:sz="4" w:space="0" w:color="auto"/>
            </w:tcBorders>
          </w:tcPr>
          <w:p w14:paraId="54629567" w14:textId="77777777" w:rsidR="0050073B" w:rsidRPr="001C4405" w:rsidRDefault="0050073B" w:rsidP="00E01D8F">
            <w:pPr>
              <w:spacing w:before="100" w:after="100"/>
              <w:jc w:val="center"/>
              <w:rPr>
                <w:rFonts w:eastAsia="Calibri"/>
                <w:sz w:val="16"/>
                <w:szCs w:val="16"/>
              </w:rPr>
            </w:pPr>
            <w:r w:rsidRPr="001C4405">
              <w:rPr>
                <w:rFonts w:eastAsia="Calibri"/>
                <w:sz w:val="16"/>
                <w:szCs w:val="16"/>
              </w:rPr>
              <w:t>80101</w:t>
            </w:r>
            <w:r>
              <w:rPr>
                <w:rFonts w:eastAsia="Calibri"/>
                <w:sz w:val="16"/>
                <w:szCs w:val="16"/>
              </w:rPr>
              <w:t>8</w:t>
            </w:r>
            <w:r w:rsidRPr="001C4405">
              <w:rPr>
                <w:rFonts w:eastAsia="Calibri"/>
                <w:sz w:val="16"/>
                <w:szCs w:val="16"/>
              </w:rPr>
              <w:t xml:space="preserve"> / 10838</w:t>
            </w:r>
            <w:r>
              <w:rPr>
                <w:rFonts w:eastAsia="Calibri"/>
                <w:sz w:val="16"/>
                <w:szCs w:val="16"/>
              </w:rPr>
              <w:t>905</w:t>
            </w:r>
          </w:p>
        </w:tc>
        <w:tc>
          <w:tcPr>
            <w:tcW w:w="3218" w:type="dxa"/>
            <w:tcBorders>
              <w:top w:val="single" w:sz="4" w:space="0" w:color="auto"/>
              <w:left w:val="single" w:sz="4" w:space="0" w:color="auto"/>
              <w:bottom w:val="single" w:sz="4" w:space="0" w:color="auto"/>
              <w:right w:val="single" w:sz="4" w:space="0" w:color="auto"/>
            </w:tcBorders>
          </w:tcPr>
          <w:p w14:paraId="650A605D" w14:textId="77777777" w:rsidR="0050073B" w:rsidRPr="005428C4" w:rsidRDefault="0050073B" w:rsidP="00E01D8F">
            <w:pPr>
              <w:spacing w:before="100" w:after="100"/>
              <w:jc w:val="center"/>
              <w:rPr>
                <w:rFonts w:eastAsia="Calibri"/>
                <w:sz w:val="16"/>
                <w:szCs w:val="16"/>
              </w:rPr>
            </w:pPr>
            <w:r>
              <w:rPr>
                <w:rFonts w:eastAsia="Calibri"/>
                <w:sz w:val="16"/>
                <w:szCs w:val="16"/>
              </w:rPr>
              <w:t>6 August</w:t>
            </w:r>
            <w:r w:rsidRPr="005428C4">
              <w:rPr>
                <w:rFonts w:eastAsia="Calibri"/>
                <w:sz w:val="16"/>
                <w:szCs w:val="16"/>
              </w:rPr>
              <w:t xml:space="preserve"> 2018</w:t>
            </w:r>
            <w:r>
              <w:rPr>
                <w:rFonts w:eastAsia="Calibri"/>
                <w:sz w:val="16"/>
                <w:szCs w:val="16"/>
              </w:rPr>
              <w:t xml:space="preserve"> – 15 December 2019</w:t>
            </w:r>
          </w:p>
        </w:tc>
      </w:tr>
    </w:tbl>
    <w:p w14:paraId="10641B21" w14:textId="77777777" w:rsidR="0050073B" w:rsidRDefault="0050073B" w:rsidP="0050073B">
      <w:pPr>
        <w:spacing w:after="200"/>
        <w:rPr>
          <w:sz w:val="20"/>
        </w:rPr>
      </w:pPr>
    </w:p>
    <w:p w14:paraId="6B71841F" w14:textId="77777777" w:rsidR="0050073B" w:rsidRDefault="0050073B" w:rsidP="0050073B">
      <w:pPr>
        <w:pStyle w:val="Heading6"/>
        <w:rPr>
          <w:bCs w:val="0"/>
          <w:szCs w:val="20"/>
        </w:rPr>
      </w:pPr>
      <w:bookmarkStart w:id="2439" w:name="_Toc22802302"/>
      <w:r>
        <w:rPr>
          <w:bCs w:val="0"/>
          <w:szCs w:val="20"/>
        </w:rPr>
        <w:t>Eligibility</w:t>
      </w:r>
      <w:bookmarkEnd w:id="2439"/>
    </w:p>
    <w:p w14:paraId="7CE68FDF" w14:textId="77777777" w:rsidR="0050073B" w:rsidRDefault="0050073B" w:rsidP="0050073B">
      <w:pPr>
        <w:spacing w:after="200"/>
        <w:ind w:left="720"/>
        <w:rPr>
          <w:sz w:val="20"/>
          <w:szCs w:val="20"/>
          <w:lang w:val="en-AU"/>
        </w:rPr>
      </w:pPr>
      <w:r>
        <w:rPr>
          <w:sz w:val="20"/>
          <w:szCs w:val="20"/>
        </w:rPr>
        <w:t xml:space="preserve">The $60 Business Plus 24M SIM Only plan is available to new </w:t>
      </w:r>
      <w:r w:rsidRPr="004E7EDC">
        <w:rPr>
          <w:sz w:val="20"/>
          <w:szCs w:val="20"/>
        </w:rPr>
        <w:t xml:space="preserve">and recontracting </w:t>
      </w:r>
      <w:r>
        <w:rPr>
          <w:sz w:val="20"/>
          <w:szCs w:val="20"/>
        </w:rPr>
        <w:t xml:space="preserve">customers </w:t>
      </w:r>
      <w:r w:rsidRPr="004E7EDC">
        <w:rPr>
          <w:sz w:val="20"/>
          <w:szCs w:val="20"/>
        </w:rPr>
        <w:t xml:space="preserve">only </w:t>
      </w:r>
      <w:r w:rsidRPr="002B2553">
        <w:rPr>
          <w:sz w:val="20"/>
          <w:szCs w:val="20"/>
          <w:lang w:val="en-AU"/>
        </w:rPr>
        <w:t>who pass Optus' credit assessment. To be eligible for this plan, businesses must provide Optus with a registered ACN, ARBN or ABN</w:t>
      </w:r>
      <w:r>
        <w:rPr>
          <w:sz w:val="20"/>
          <w:szCs w:val="20"/>
          <w:lang w:val="en-AU"/>
        </w:rPr>
        <w:t>.</w:t>
      </w:r>
    </w:p>
    <w:p w14:paraId="342A4C88" w14:textId="77777777" w:rsidR="0050073B" w:rsidRPr="00C12929" w:rsidRDefault="0050073B" w:rsidP="0050073B">
      <w:pPr>
        <w:pStyle w:val="BodyText"/>
        <w:ind w:left="720"/>
        <w:rPr>
          <w:lang w:val="en-AU"/>
        </w:rPr>
      </w:pPr>
      <w:r w:rsidRPr="00C12929">
        <w:rPr>
          <w:lang w:val="en-AU"/>
        </w:rPr>
        <w:t>Optus Service Providers</w:t>
      </w:r>
      <w:r>
        <w:rPr>
          <w:lang w:val="en-AU"/>
        </w:rPr>
        <w:t>'</w:t>
      </w:r>
      <w:r w:rsidRPr="00C12929">
        <w:rPr>
          <w:lang w:val="en-AU"/>
        </w:rPr>
        <w:t xml:space="preserve"> customers are not eligible to apply.</w:t>
      </w:r>
    </w:p>
    <w:p w14:paraId="55C6D43F" w14:textId="77777777" w:rsidR="0050073B" w:rsidRPr="00595EB0" w:rsidRDefault="0050073B" w:rsidP="0050073B">
      <w:pPr>
        <w:pStyle w:val="BodyText"/>
        <w:ind w:left="720"/>
        <w:rPr>
          <w:lang w:val="en-AU"/>
        </w:rPr>
      </w:pPr>
      <w:r w:rsidRPr="00C12929">
        <w:rPr>
          <w:lang w:val="en-AU"/>
        </w:rPr>
        <w:t>Th</w:t>
      </w:r>
      <w:r>
        <w:rPr>
          <w:lang w:val="en-AU"/>
        </w:rPr>
        <w:t>is</w:t>
      </w:r>
      <w:r w:rsidRPr="00C12929">
        <w:rPr>
          <w:lang w:val="en-AU"/>
        </w:rPr>
        <w:t xml:space="preserve"> </w:t>
      </w:r>
      <w:r w:rsidRPr="00C12929">
        <w:rPr>
          <w:i/>
          <w:lang w:val="en-AU"/>
        </w:rPr>
        <w:t>plan</w:t>
      </w:r>
      <w:r w:rsidRPr="00C12929">
        <w:rPr>
          <w:lang w:val="en-AU"/>
        </w:rPr>
        <w:t xml:space="preserve"> aren</w:t>
      </w:r>
      <w:r>
        <w:rPr>
          <w:lang w:val="en-AU"/>
        </w:rPr>
        <w:t>'</w:t>
      </w:r>
      <w:r w:rsidRPr="00C12929">
        <w:rPr>
          <w:lang w:val="en-AU"/>
        </w:rPr>
        <w:t>t compatible for data use with BlackBerry handsets on operating systems of 7.1 or earlier.</w:t>
      </w:r>
    </w:p>
    <w:p w14:paraId="47C962BB" w14:textId="77777777" w:rsidR="0050073B" w:rsidRDefault="0050073B" w:rsidP="0050073B">
      <w:pPr>
        <w:pStyle w:val="Heading6"/>
        <w:rPr>
          <w:bCs w:val="0"/>
          <w:szCs w:val="20"/>
        </w:rPr>
      </w:pPr>
      <w:bookmarkStart w:id="2440" w:name="_Toc22802303"/>
      <w:r>
        <w:rPr>
          <w:bCs w:val="0"/>
          <w:snapToGrid w:val="0"/>
          <w:szCs w:val="20"/>
        </w:rPr>
        <w:lastRenderedPageBreak/>
        <w:t>Minimum Term</w:t>
      </w:r>
      <w:bookmarkEnd w:id="2440"/>
    </w:p>
    <w:p w14:paraId="13DD84B7" w14:textId="77777777" w:rsidR="0050073B" w:rsidRPr="00A207DC" w:rsidRDefault="0050073B" w:rsidP="0050073B">
      <w:pPr>
        <w:spacing w:after="200"/>
        <w:ind w:left="720"/>
        <w:rPr>
          <w:i/>
          <w:sz w:val="20"/>
          <w:szCs w:val="20"/>
        </w:rPr>
      </w:pPr>
      <w:r>
        <w:rPr>
          <w:sz w:val="20"/>
          <w:szCs w:val="20"/>
        </w:rPr>
        <w:t xml:space="preserve">This </w:t>
      </w:r>
      <w:r w:rsidRPr="00302639">
        <w:rPr>
          <w:sz w:val="20"/>
          <w:szCs w:val="20"/>
        </w:rPr>
        <w:t>plan</w:t>
      </w:r>
      <w:r>
        <w:rPr>
          <w:sz w:val="20"/>
          <w:szCs w:val="20"/>
        </w:rPr>
        <w:t xml:space="preserve"> is</w:t>
      </w:r>
      <w:r>
        <w:rPr>
          <w:i/>
          <w:sz w:val="20"/>
          <w:szCs w:val="20"/>
        </w:rPr>
        <w:t xml:space="preserve"> </w:t>
      </w:r>
      <w:r w:rsidRPr="00A207DC">
        <w:rPr>
          <w:i/>
          <w:sz w:val="20"/>
          <w:szCs w:val="20"/>
        </w:rPr>
        <w:t>a fixed length agreement with a 2</w:t>
      </w:r>
      <w:r>
        <w:rPr>
          <w:i/>
          <w:sz w:val="20"/>
          <w:szCs w:val="20"/>
        </w:rPr>
        <w:t>4</w:t>
      </w:r>
      <w:r w:rsidRPr="00A207DC">
        <w:rPr>
          <w:i/>
          <w:sz w:val="20"/>
          <w:szCs w:val="20"/>
        </w:rPr>
        <w:t xml:space="preserve"> month minimum term.</w:t>
      </w:r>
    </w:p>
    <w:p w14:paraId="34391FB9" w14:textId="77777777" w:rsidR="0050073B" w:rsidRDefault="0050073B" w:rsidP="0050073B">
      <w:pPr>
        <w:pStyle w:val="Heading6"/>
        <w:rPr>
          <w:b/>
          <w:bCs w:val="0"/>
          <w:szCs w:val="20"/>
        </w:rPr>
      </w:pPr>
      <w:bookmarkStart w:id="2441" w:name="_Toc22802304"/>
      <w:r>
        <w:rPr>
          <w:bCs w:val="0"/>
          <w:szCs w:val="20"/>
        </w:rPr>
        <w:t xml:space="preserve">What </w:t>
      </w:r>
      <w:r>
        <w:rPr>
          <w:bCs w:val="0"/>
          <w:i/>
          <w:szCs w:val="20"/>
        </w:rPr>
        <w:t>you</w:t>
      </w:r>
      <w:r>
        <w:rPr>
          <w:bCs w:val="0"/>
          <w:szCs w:val="20"/>
        </w:rPr>
        <w:t xml:space="preserve"> have to pay </w:t>
      </w:r>
      <w:r>
        <w:rPr>
          <w:bCs w:val="0"/>
          <w:i/>
          <w:szCs w:val="20"/>
        </w:rPr>
        <w:t>us</w:t>
      </w:r>
      <w:bookmarkEnd w:id="2441"/>
    </w:p>
    <w:p w14:paraId="0E82BB60" w14:textId="77777777" w:rsidR="0050073B" w:rsidRDefault="0050073B" w:rsidP="0050073B">
      <w:pPr>
        <w:pStyle w:val="Heading7"/>
        <w:rPr>
          <w:szCs w:val="20"/>
        </w:rPr>
      </w:pPr>
      <w:r>
        <w:rPr>
          <w:i/>
          <w:szCs w:val="20"/>
        </w:rPr>
        <w:t>You</w:t>
      </w:r>
      <w:r>
        <w:rPr>
          <w:szCs w:val="20"/>
        </w:rPr>
        <w:t xml:space="preserve"> must pay </w:t>
      </w:r>
      <w:r>
        <w:rPr>
          <w:i/>
          <w:szCs w:val="20"/>
        </w:rPr>
        <w:t>us</w:t>
      </w:r>
      <w:r>
        <w:rPr>
          <w:szCs w:val="20"/>
        </w:rPr>
        <w:t xml:space="preserve"> for use of the </w:t>
      </w:r>
      <w:r>
        <w:rPr>
          <w:i/>
          <w:szCs w:val="20"/>
        </w:rPr>
        <w:t>service</w:t>
      </w:r>
      <w:r>
        <w:rPr>
          <w:szCs w:val="20"/>
        </w:rPr>
        <w:t xml:space="preserve"> at the rates set out in Section 1 of this </w:t>
      </w:r>
      <w:r>
        <w:rPr>
          <w:i/>
          <w:szCs w:val="20"/>
        </w:rPr>
        <w:t>standard pricing table</w:t>
      </w:r>
      <w:r>
        <w:rPr>
          <w:szCs w:val="20"/>
        </w:rPr>
        <w:t xml:space="preserve"> and for value added service features at the rates set out in </w:t>
      </w:r>
      <w:hyperlink r:id="rId926" w:history="1">
        <w:r>
          <w:rPr>
            <w:rStyle w:val="Hyperlink"/>
            <w:rFonts w:eastAsia="MS Gothic"/>
            <w:i/>
            <w:szCs w:val="20"/>
          </w:rPr>
          <w:t>Appendix Y Value Added Service Features</w:t>
        </w:r>
        <w:r>
          <w:rPr>
            <w:rStyle w:val="Hyperlink"/>
            <w:rFonts w:eastAsia="MS Gothic"/>
            <w:szCs w:val="20"/>
          </w:rPr>
          <w:t>.</w:t>
        </w:r>
      </w:hyperlink>
    </w:p>
    <w:p w14:paraId="485B0A12" w14:textId="77777777" w:rsidR="0050073B" w:rsidRDefault="0050073B" w:rsidP="0050073B">
      <w:pPr>
        <w:pStyle w:val="Heading7"/>
        <w:rPr>
          <w:szCs w:val="20"/>
        </w:rPr>
      </w:pPr>
      <w:r>
        <w:rPr>
          <w:szCs w:val="20"/>
        </w:rPr>
        <w:t>If there is a flagfall for a particular call type, the charge for these calls is the flagfall amount plus the relevant rate for the call multiplied by the duration of the call.</w:t>
      </w:r>
    </w:p>
    <w:p w14:paraId="679E3738" w14:textId="77777777" w:rsidR="0050073B" w:rsidRDefault="0050073B" w:rsidP="0050073B">
      <w:pPr>
        <w:pStyle w:val="Heading7"/>
        <w:rPr>
          <w:szCs w:val="20"/>
        </w:rPr>
      </w:pPr>
      <w:r>
        <w:rPr>
          <w:szCs w:val="20"/>
        </w:rPr>
        <w:t>Minimum Monthly Charge</w:t>
      </w:r>
    </w:p>
    <w:p w14:paraId="3BB941A6" w14:textId="77777777" w:rsidR="0050073B" w:rsidRDefault="0050073B" w:rsidP="0050073B">
      <w:pPr>
        <w:pStyle w:val="Heading8"/>
        <w:rPr>
          <w:iCs w:val="0"/>
          <w:szCs w:val="20"/>
        </w:rPr>
      </w:pPr>
      <w:r>
        <w:rPr>
          <w:iCs w:val="0"/>
          <w:szCs w:val="20"/>
        </w:rPr>
        <w:t xml:space="preserve">The $60 Business Plus 24M SIM Only plan has a Minimum Monthly Charge amount that </w:t>
      </w:r>
      <w:r>
        <w:rPr>
          <w:i/>
          <w:iCs w:val="0"/>
          <w:szCs w:val="20"/>
        </w:rPr>
        <w:t>you</w:t>
      </w:r>
      <w:r>
        <w:rPr>
          <w:iCs w:val="0"/>
          <w:szCs w:val="20"/>
        </w:rPr>
        <w:t xml:space="preserve"> must pay </w:t>
      </w:r>
      <w:r>
        <w:rPr>
          <w:i/>
          <w:iCs w:val="0"/>
          <w:szCs w:val="20"/>
        </w:rPr>
        <w:t>us</w:t>
      </w:r>
      <w:r>
        <w:rPr>
          <w:iCs w:val="0"/>
          <w:szCs w:val="20"/>
        </w:rPr>
        <w:t xml:space="preserve"> each month as set out in Table 1 below. </w:t>
      </w:r>
    </w:p>
    <w:p w14:paraId="4D186322" w14:textId="77777777" w:rsidR="0050073B" w:rsidRDefault="0050073B" w:rsidP="0050073B">
      <w:pPr>
        <w:pStyle w:val="Heading8"/>
        <w:rPr>
          <w:iCs w:val="0"/>
          <w:szCs w:val="20"/>
        </w:rPr>
      </w:pPr>
      <w:r>
        <w:rPr>
          <w:i/>
          <w:iCs w:val="0"/>
          <w:szCs w:val="20"/>
        </w:rPr>
        <w:t>You</w:t>
      </w:r>
      <w:r>
        <w:rPr>
          <w:iCs w:val="0"/>
          <w:szCs w:val="20"/>
        </w:rPr>
        <w:t xml:space="preserve"> may purchase a mobile phone (or 'handset') with a 1 month or 24 month </w:t>
      </w:r>
      <w:r>
        <w:rPr>
          <w:i/>
          <w:iCs w:val="0"/>
          <w:szCs w:val="20"/>
        </w:rPr>
        <w:t>equipment term</w:t>
      </w:r>
      <w:r>
        <w:rPr>
          <w:iCs w:val="0"/>
          <w:szCs w:val="20"/>
        </w:rPr>
        <w:t xml:space="preserve"> under a </w:t>
      </w:r>
      <w:r>
        <w:rPr>
          <w:i/>
          <w:iCs w:val="0"/>
          <w:szCs w:val="20"/>
        </w:rPr>
        <w:t>mobile equipment payment plan</w:t>
      </w:r>
      <w:r>
        <w:rPr>
          <w:iCs w:val="0"/>
          <w:szCs w:val="20"/>
        </w:rPr>
        <w:t xml:space="preserve"> (set out in</w:t>
      </w:r>
      <w:hyperlink r:id="rId927" w:history="1">
        <w:r>
          <w:rPr>
            <w:rStyle w:val="Hyperlink"/>
            <w:rFonts w:eastAsia="MS Gothic"/>
            <w:iCs w:val="0"/>
            <w:szCs w:val="20"/>
          </w:rPr>
          <w:t xml:space="preserve"> </w:t>
        </w:r>
        <w:r>
          <w:rPr>
            <w:rStyle w:val="Hyperlink"/>
            <w:rFonts w:eastAsia="MS Gothic"/>
            <w:i/>
            <w:iCs w:val="0"/>
            <w:szCs w:val="20"/>
          </w:rPr>
          <w:t>Appendix D</w:t>
        </w:r>
      </w:hyperlink>
      <w:r>
        <w:rPr>
          <w:iCs w:val="0"/>
          <w:szCs w:val="20"/>
        </w:rPr>
        <w:t>).</w:t>
      </w:r>
    </w:p>
    <w:p w14:paraId="3B9FE36C" w14:textId="77777777" w:rsidR="0050073B" w:rsidRDefault="0050073B" w:rsidP="0050073B">
      <w:pPr>
        <w:pStyle w:val="Heading6"/>
        <w:rPr>
          <w:bCs w:val="0"/>
          <w:snapToGrid w:val="0"/>
        </w:rPr>
      </w:pPr>
      <w:bookmarkStart w:id="2442" w:name="_Toc22802305"/>
      <w:r>
        <w:rPr>
          <w:bCs w:val="0"/>
          <w:snapToGrid w:val="0"/>
        </w:rPr>
        <w:t>How the plans work</w:t>
      </w:r>
      <w:bookmarkEnd w:id="2442"/>
    </w:p>
    <w:p w14:paraId="7FE4786D" w14:textId="77777777" w:rsidR="0050073B" w:rsidRDefault="0050073B" w:rsidP="0050073B">
      <w:pPr>
        <w:pStyle w:val="Heading7"/>
        <w:rPr>
          <w:szCs w:val="20"/>
        </w:rPr>
      </w:pPr>
      <w:r>
        <w:rPr>
          <w:szCs w:val="20"/>
        </w:rPr>
        <w:t xml:space="preserve">The </w:t>
      </w:r>
      <w:r>
        <w:rPr>
          <w:iCs/>
          <w:szCs w:val="20"/>
        </w:rPr>
        <w:t xml:space="preserve">$60 </w:t>
      </w:r>
      <w:r>
        <w:rPr>
          <w:szCs w:val="20"/>
        </w:rPr>
        <w:t>Business Plus 24M SIM Only plan referred to in this section has unlimited minutes to use on standard national calls to landlines and mobiles, 13/1300 numbers and voicemail retrievals and Included Data (for mobile internet use) to share with other eligible services on the same billing account.</w:t>
      </w:r>
    </w:p>
    <w:p w14:paraId="7AECF7C3" w14:textId="77777777" w:rsidR="0050073B" w:rsidRDefault="0050073B" w:rsidP="0050073B">
      <w:pPr>
        <w:pStyle w:val="Heading7"/>
      </w:pPr>
      <w:r>
        <w:t xml:space="preserve">This plan also includes unlimited standard national SMS/MMS and unlimited standard international SMS/MMS to selected countries. The $60 Business Plus 24M SIM Only Plan has up to 750 international minutes included </w:t>
      </w:r>
      <w:r w:rsidRPr="00091AE0">
        <w:rPr>
          <w:szCs w:val="20"/>
        </w:rPr>
        <w:t>to use on standard intern</w:t>
      </w:r>
      <w:r>
        <w:rPr>
          <w:szCs w:val="20"/>
        </w:rPr>
        <w:t>ational calls to all</w:t>
      </w:r>
      <w:r w:rsidRPr="00091AE0">
        <w:rPr>
          <w:szCs w:val="20"/>
        </w:rPr>
        <w:t xml:space="preserve"> countries</w:t>
      </w:r>
      <w:r>
        <w:t xml:space="preserve">. </w:t>
      </w:r>
    </w:p>
    <w:p w14:paraId="6FE9F1F1" w14:textId="77777777" w:rsidR="0050073B" w:rsidRDefault="0050073B" w:rsidP="0050073B">
      <w:pPr>
        <w:pStyle w:val="Heading7"/>
        <w:rPr>
          <w:szCs w:val="20"/>
        </w:rPr>
      </w:pPr>
      <w:r>
        <w:rPr>
          <w:szCs w:val="20"/>
        </w:rPr>
        <w:t>Data usage is calculated in one kilobyte increments. International minutes are billed in one-minute increments.</w:t>
      </w:r>
    </w:p>
    <w:p w14:paraId="7CF39F5C" w14:textId="77777777" w:rsidR="0050073B" w:rsidRDefault="0050073B" w:rsidP="0050073B">
      <w:pPr>
        <w:pStyle w:val="Heading7"/>
        <w:rPr>
          <w:szCs w:val="20"/>
        </w:rPr>
      </w:pPr>
      <w:r>
        <w:rPr>
          <w:szCs w:val="20"/>
        </w:rPr>
        <w:t xml:space="preserve">If </w:t>
      </w:r>
      <w:r>
        <w:rPr>
          <w:i/>
          <w:szCs w:val="20"/>
        </w:rPr>
        <w:t>you</w:t>
      </w:r>
      <w:r>
        <w:rPr>
          <w:szCs w:val="20"/>
        </w:rPr>
        <w:t xml:space="preserve"> exceed </w:t>
      </w:r>
      <w:r>
        <w:rPr>
          <w:i/>
          <w:szCs w:val="20"/>
        </w:rPr>
        <w:t>your</w:t>
      </w:r>
      <w:r>
        <w:rPr>
          <w:szCs w:val="20"/>
        </w:rPr>
        <w:t xml:space="preserve"> included shareable data, </w:t>
      </w:r>
      <w:r>
        <w:rPr>
          <w:i/>
          <w:szCs w:val="20"/>
        </w:rPr>
        <w:t xml:space="preserve">you </w:t>
      </w:r>
      <w:r>
        <w:rPr>
          <w:szCs w:val="20"/>
        </w:rPr>
        <w:t>will automatically be charged $10 for each additional 1GB of data ("</w:t>
      </w:r>
      <w:r>
        <w:rPr>
          <w:b/>
          <w:szCs w:val="20"/>
        </w:rPr>
        <w:t>Additional Data</w:t>
      </w:r>
      <w:r>
        <w:rPr>
          <w:szCs w:val="20"/>
        </w:rPr>
        <w:t xml:space="preserve">") that </w:t>
      </w:r>
      <w:r>
        <w:rPr>
          <w:i/>
          <w:szCs w:val="20"/>
        </w:rPr>
        <w:t>you</w:t>
      </w:r>
      <w:r>
        <w:rPr>
          <w:szCs w:val="20"/>
        </w:rPr>
        <w:t xml:space="preserve"> use (or part thereof) up to 150GB of extra data per account each month. </w:t>
      </w:r>
      <w:r>
        <w:rPr>
          <w:i/>
          <w:szCs w:val="20"/>
        </w:rPr>
        <w:t>Your</w:t>
      </w:r>
      <w:r>
        <w:rPr>
          <w:szCs w:val="20"/>
        </w:rPr>
        <w:t xml:space="preserve"> </w:t>
      </w:r>
      <w:r>
        <w:rPr>
          <w:i/>
          <w:szCs w:val="20"/>
        </w:rPr>
        <w:t>service/s</w:t>
      </w:r>
      <w:r>
        <w:rPr>
          <w:szCs w:val="20"/>
        </w:rPr>
        <w:t xml:space="preserve"> may then be restricted, or </w:t>
      </w:r>
      <w:r>
        <w:rPr>
          <w:i/>
          <w:szCs w:val="20"/>
        </w:rPr>
        <w:t>we</w:t>
      </w:r>
      <w:r>
        <w:rPr>
          <w:szCs w:val="20"/>
        </w:rPr>
        <w:t xml:space="preserve"> may continue to charge </w:t>
      </w:r>
      <w:r>
        <w:rPr>
          <w:i/>
          <w:szCs w:val="20"/>
        </w:rPr>
        <w:t>you</w:t>
      </w:r>
      <w:r>
        <w:rPr>
          <w:szCs w:val="20"/>
        </w:rPr>
        <w:t xml:space="preserve"> at these rates.</w:t>
      </w:r>
    </w:p>
    <w:p w14:paraId="29359385" w14:textId="77777777" w:rsidR="0050073B" w:rsidRDefault="0050073B" w:rsidP="0050073B">
      <w:pPr>
        <w:pStyle w:val="Heading7"/>
        <w:rPr>
          <w:szCs w:val="20"/>
        </w:rPr>
      </w:pPr>
      <w:r>
        <w:rPr>
          <w:szCs w:val="20"/>
        </w:rPr>
        <w:t xml:space="preserve">Any unused portion of </w:t>
      </w:r>
      <w:r>
        <w:rPr>
          <w:i/>
          <w:szCs w:val="20"/>
        </w:rPr>
        <w:t>your</w:t>
      </w:r>
      <w:r>
        <w:rPr>
          <w:szCs w:val="20"/>
        </w:rPr>
        <w:t xml:space="preserve"> </w:t>
      </w:r>
      <w:r>
        <w:rPr>
          <w:i/>
          <w:szCs w:val="20"/>
        </w:rPr>
        <w:t>plan's</w:t>
      </w:r>
      <w:r>
        <w:rPr>
          <w:szCs w:val="20"/>
        </w:rPr>
        <w:t xml:space="preserve"> Included or Additional Data expires at the end of each month and does not roll over into the next month.</w:t>
      </w:r>
    </w:p>
    <w:p w14:paraId="07691BFA" w14:textId="77777777" w:rsidR="0050073B" w:rsidRDefault="0050073B" w:rsidP="0050073B">
      <w:pPr>
        <w:pStyle w:val="Heading7"/>
        <w:rPr>
          <w:szCs w:val="20"/>
        </w:rPr>
      </w:pPr>
      <w:r>
        <w:rPr>
          <w:i/>
          <w:szCs w:val="20"/>
        </w:rPr>
        <w:t>You</w:t>
      </w:r>
      <w:r>
        <w:rPr>
          <w:szCs w:val="20"/>
        </w:rPr>
        <w:t xml:space="preserve"> must pay </w:t>
      </w:r>
      <w:r>
        <w:rPr>
          <w:i/>
          <w:szCs w:val="20"/>
        </w:rPr>
        <w:t>us</w:t>
      </w:r>
      <w:r>
        <w:rPr>
          <w:szCs w:val="20"/>
        </w:rPr>
        <w:t xml:space="preserve"> for use of any services that are not included in </w:t>
      </w:r>
      <w:r>
        <w:rPr>
          <w:i/>
          <w:szCs w:val="20"/>
        </w:rPr>
        <w:t>your</w:t>
      </w:r>
      <w:r>
        <w:rPr>
          <w:szCs w:val="20"/>
        </w:rPr>
        <w:t xml:space="preserve"> plan's inclusions, examples of which are set out in Table 2 below.</w:t>
      </w:r>
    </w:p>
    <w:p w14:paraId="6663044F" w14:textId="77777777" w:rsidR="0050073B" w:rsidRDefault="0050073B" w:rsidP="0050073B">
      <w:pPr>
        <w:pStyle w:val="Heading6"/>
        <w:ind w:left="709" w:firstLine="0"/>
        <w:rPr>
          <w:snapToGrid w:val="0"/>
        </w:rPr>
      </w:pPr>
      <w:bookmarkStart w:id="2443" w:name="_Toc22802306"/>
      <w:r>
        <w:rPr>
          <w:snapToGrid w:val="0"/>
        </w:rPr>
        <w:t>Plan Changes</w:t>
      </w:r>
      <w:bookmarkEnd w:id="2443"/>
    </w:p>
    <w:p w14:paraId="7FA93744" w14:textId="77777777" w:rsidR="0050073B" w:rsidRDefault="0050073B" w:rsidP="0050073B">
      <w:pPr>
        <w:spacing w:after="200"/>
        <w:ind w:left="709"/>
        <w:rPr>
          <w:bCs/>
          <w:snapToGrid w:val="0"/>
          <w:sz w:val="20"/>
          <w:szCs w:val="20"/>
        </w:rPr>
      </w:pPr>
      <w:r>
        <w:rPr>
          <w:i/>
          <w:sz w:val="20"/>
          <w:szCs w:val="20"/>
        </w:rPr>
        <w:t>You</w:t>
      </w:r>
      <w:r>
        <w:rPr>
          <w:sz w:val="20"/>
          <w:szCs w:val="20"/>
        </w:rPr>
        <w:t xml:space="preserve"> can change </w:t>
      </w:r>
      <w:r>
        <w:rPr>
          <w:i/>
          <w:sz w:val="20"/>
          <w:szCs w:val="20"/>
        </w:rPr>
        <w:t>your</w:t>
      </w:r>
      <w:r>
        <w:rPr>
          <w:sz w:val="20"/>
          <w:szCs w:val="20"/>
        </w:rPr>
        <w:t xml:space="preserve"> plan during the </w:t>
      </w:r>
      <w:r>
        <w:rPr>
          <w:i/>
          <w:sz w:val="20"/>
          <w:szCs w:val="20"/>
        </w:rPr>
        <w:t>minimum term</w:t>
      </w:r>
      <w:r>
        <w:rPr>
          <w:sz w:val="20"/>
          <w:szCs w:val="20"/>
        </w:rPr>
        <w:t xml:space="preserve"> provided </w:t>
      </w:r>
      <w:r>
        <w:rPr>
          <w:i/>
          <w:sz w:val="20"/>
          <w:szCs w:val="20"/>
        </w:rPr>
        <w:t>you</w:t>
      </w:r>
      <w:r>
        <w:rPr>
          <w:sz w:val="20"/>
          <w:szCs w:val="20"/>
        </w:rPr>
        <w:t xml:space="preserve"> move to a plan with a higher monthly </w:t>
      </w:r>
      <w:r>
        <w:rPr>
          <w:i/>
          <w:sz w:val="20"/>
          <w:szCs w:val="20"/>
        </w:rPr>
        <w:t>access fee</w:t>
      </w:r>
      <w:r>
        <w:rPr>
          <w:sz w:val="20"/>
          <w:szCs w:val="20"/>
        </w:rPr>
        <w:t xml:space="preserve">. </w:t>
      </w:r>
      <w:r>
        <w:rPr>
          <w:i/>
          <w:sz w:val="20"/>
          <w:szCs w:val="20"/>
        </w:rPr>
        <w:t>You</w:t>
      </w:r>
      <w:r>
        <w:rPr>
          <w:sz w:val="20"/>
          <w:szCs w:val="20"/>
        </w:rPr>
        <w:t xml:space="preserve"> cannot change </w:t>
      </w:r>
      <w:r>
        <w:rPr>
          <w:i/>
          <w:sz w:val="20"/>
          <w:szCs w:val="20"/>
        </w:rPr>
        <w:t>your</w:t>
      </w:r>
      <w:r>
        <w:rPr>
          <w:sz w:val="20"/>
          <w:szCs w:val="20"/>
        </w:rPr>
        <w:t xml:space="preserve"> plan during the </w:t>
      </w:r>
      <w:r>
        <w:rPr>
          <w:i/>
          <w:sz w:val="20"/>
          <w:szCs w:val="20"/>
        </w:rPr>
        <w:t>minimum term</w:t>
      </w:r>
      <w:r>
        <w:rPr>
          <w:sz w:val="20"/>
          <w:szCs w:val="20"/>
        </w:rPr>
        <w:t xml:space="preserve"> to a plan with the same or lower monthly </w:t>
      </w:r>
      <w:r>
        <w:rPr>
          <w:i/>
          <w:sz w:val="20"/>
          <w:szCs w:val="20"/>
        </w:rPr>
        <w:t>access fee</w:t>
      </w:r>
      <w:r>
        <w:rPr>
          <w:sz w:val="20"/>
          <w:szCs w:val="20"/>
        </w:rPr>
        <w:t xml:space="preserve">. If </w:t>
      </w:r>
      <w:r>
        <w:rPr>
          <w:i/>
          <w:sz w:val="20"/>
          <w:szCs w:val="20"/>
        </w:rPr>
        <w:t>you</w:t>
      </w:r>
      <w:r>
        <w:rPr>
          <w:sz w:val="20"/>
          <w:szCs w:val="20"/>
        </w:rPr>
        <w:t xml:space="preserve"> change </w:t>
      </w:r>
      <w:r>
        <w:rPr>
          <w:i/>
          <w:sz w:val="20"/>
          <w:szCs w:val="20"/>
        </w:rPr>
        <w:t>your</w:t>
      </w:r>
      <w:r>
        <w:rPr>
          <w:sz w:val="20"/>
          <w:szCs w:val="20"/>
        </w:rPr>
        <w:t xml:space="preserve"> plan during the </w:t>
      </w:r>
      <w:r>
        <w:rPr>
          <w:i/>
          <w:sz w:val="20"/>
          <w:szCs w:val="20"/>
        </w:rPr>
        <w:t>minimum term</w:t>
      </w:r>
      <w:r>
        <w:rPr>
          <w:sz w:val="20"/>
          <w:szCs w:val="20"/>
        </w:rPr>
        <w:t xml:space="preserve"> a fee may apply and if </w:t>
      </w:r>
      <w:r>
        <w:rPr>
          <w:i/>
          <w:sz w:val="20"/>
          <w:szCs w:val="20"/>
        </w:rPr>
        <w:t xml:space="preserve">you </w:t>
      </w:r>
      <w:r>
        <w:rPr>
          <w:sz w:val="20"/>
          <w:szCs w:val="20"/>
        </w:rPr>
        <w:t>are paying off a phone over time, any handset repayments will remain the same</w:t>
      </w:r>
    </w:p>
    <w:p w14:paraId="19BA337A" w14:textId="77777777" w:rsidR="0050073B" w:rsidRDefault="0050073B" w:rsidP="0050073B">
      <w:pPr>
        <w:pStyle w:val="Heading6"/>
        <w:rPr>
          <w:bCs w:val="0"/>
          <w:snapToGrid w:val="0"/>
          <w:szCs w:val="20"/>
        </w:rPr>
      </w:pPr>
      <w:bookmarkStart w:id="2444" w:name="_Toc22802307"/>
      <w:r>
        <w:rPr>
          <w:bCs w:val="0"/>
          <w:snapToGrid w:val="0"/>
        </w:rPr>
        <w:t>Data S</w:t>
      </w:r>
      <w:r>
        <w:rPr>
          <w:bCs w:val="0"/>
          <w:snapToGrid w:val="0"/>
          <w:szCs w:val="20"/>
        </w:rPr>
        <w:t>haring</w:t>
      </w:r>
      <w:bookmarkEnd w:id="2444"/>
    </w:p>
    <w:p w14:paraId="175587E5" w14:textId="77777777" w:rsidR="0050073B" w:rsidRDefault="0050073B" w:rsidP="0050073B">
      <w:pPr>
        <w:pStyle w:val="Heading7"/>
        <w:rPr>
          <w:szCs w:val="20"/>
        </w:rPr>
      </w:pPr>
      <w:r>
        <w:rPr>
          <w:szCs w:val="20"/>
        </w:rPr>
        <w:t xml:space="preserve">If </w:t>
      </w:r>
      <w:r>
        <w:rPr>
          <w:i/>
          <w:szCs w:val="20"/>
        </w:rPr>
        <w:t>you</w:t>
      </w:r>
      <w:r>
        <w:rPr>
          <w:szCs w:val="20"/>
        </w:rPr>
        <w:t xml:space="preserve"> have more than one My Plan Plus, My Plan Plus SIM Only, My Plan Plus 12M SIM Only, Business Plus (including Tech Fund), My Plan Business (including Tech Fund), My Plan Business SIM, My Plan Business 12M SIM, My Mobile Broadband Plus or Mobile Broadband Business on the same billing account, the included data will combine into one data pool, which will be shared by all eligible services on that account.</w:t>
      </w:r>
    </w:p>
    <w:p w14:paraId="474B14FD" w14:textId="77777777" w:rsidR="0050073B" w:rsidRDefault="0050073B" w:rsidP="0050073B">
      <w:pPr>
        <w:pStyle w:val="Heading7"/>
        <w:rPr>
          <w:snapToGrid w:val="0"/>
          <w:szCs w:val="20"/>
        </w:rPr>
      </w:pPr>
      <w:r>
        <w:rPr>
          <w:snapToGrid w:val="0"/>
          <w:szCs w:val="20"/>
        </w:rPr>
        <w:t xml:space="preserve">If </w:t>
      </w:r>
      <w:r>
        <w:rPr>
          <w:i/>
          <w:snapToGrid w:val="0"/>
          <w:szCs w:val="20"/>
        </w:rPr>
        <w:t>you</w:t>
      </w:r>
      <w:r>
        <w:rPr>
          <w:snapToGrid w:val="0"/>
          <w:szCs w:val="20"/>
        </w:rPr>
        <w:t xml:space="preserve"> do not want </w:t>
      </w:r>
      <w:r>
        <w:rPr>
          <w:i/>
          <w:snapToGrid w:val="0"/>
          <w:szCs w:val="20"/>
        </w:rPr>
        <w:t>your</w:t>
      </w:r>
      <w:r>
        <w:rPr>
          <w:snapToGrid w:val="0"/>
          <w:szCs w:val="20"/>
        </w:rPr>
        <w:t xml:space="preserve"> services to share data, they need to be on separate billing accounts.</w:t>
      </w:r>
    </w:p>
    <w:p w14:paraId="2670FB9D" w14:textId="77777777" w:rsidR="0050073B" w:rsidRDefault="0050073B" w:rsidP="0050073B">
      <w:pPr>
        <w:pStyle w:val="Heading7"/>
        <w:rPr>
          <w:snapToGrid w:val="0"/>
          <w:szCs w:val="20"/>
        </w:rPr>
      </w:pPr>
      <w:r>
        <w:rPr>
          <w:snapToGrid w:val="0"/>
          <w:szCs w:val="20"/>
        </w:rPr>
        <w:lastRenderedPageBreak/>
        <w:t>Data sharing is only available within Australia.</w:t>
      </w:r>
    </w:p>
    <w:p w14:paraId="5771775F" w14:textId="77777777" w:rsidR="0050073B" w:rsidRDefault="0050073B" w:rsidP="0050073B">
      <w:pPr>
        <w:pStyle w:val="Heading6"/>
        <w:rPr>
          <w:bCs w:val="0"/>
          <w:snapToGrid w:val="0"/>
        </w:rPr>
      </w:pPr>
      <w:bookmarkStart w:id="2445" w:name="_Toc22802308"/>
      <w:r>
        <w:rPr>
          <w:bCs w:val="0"/>
          <w:snapToGrid w:val="0"/>
        </w:rPr>
        <w:t>International Minutes</w:t>
      </w:r>
      <w:bookmarkEnd w:id="2445"/>
    </w:p>
    <w:p w14:paraId="36FD6056" w14:textId="77777777" w:rsidR="0050073B" w:rsidRDefault="0050073B" w:rsidP="0050073B">
      <w:pPr>
        <w:spacing w:after="200"/>
        <w:ind w:left="709"/>
        <w:rPr>
          <w:sz w:val="20"/>
        </w:rPr>
      </w:pPr>
      <w:r>
        <w:rPr>
          <w:sz w:val="20"/>
        </w:rPr>
        <w:t xml:space="preserve">The $60 Business Plus 24M SIM Only plan includes up to 750 international minutes for standard calls to mobiles and fixed lines to ALL countries from within Australia. </w:t>
      </w:r>
    </w:p>
    <w:p w14:paraId="3165A181" w14:textId="77777777" w:rsidR="0050073B" w:rsidRDefault="0050073B" w:rsidP="0050073B">
      <w:pPr>
        <w:spacing w:after="200"/>
        <w:ind w:left="709"/>
        <w:rPr>
          <w:sz w:val="20"/>
        </w:rPr>
      </w:pPr>
      <w:r>
        <w:rPr>
          <w:sz w:val="20"/>
        </w:rPr>
        <w:t>Calls are charged per minute. When included international minutes for calls to selected countries are used up, standard 'yes' international call charges apply.</w:t>
      </w:r>
    </w:p>
    <w:p w14:paraId="22F198AC" w14:textId="77777777" w:rsidR="0050073B" w:rsidRDefault="0050073B" w:rsidP="0050073B">
      <w:pPr>
        <w:pStyle w:val="Heading6"/>
        <w:rPr>
          <w:bCs w:val="0"/>
          <w:snapToGrid w:val="0"/>
        </w:rPr>
      </w:pPr>
      <w:bookmarkStart w:id="2446" w:name="_Toc22802309"/>
      <w:r>
        <w:rPr>
          <w:bCs w:val="0"/>
          <w:snapToGrid w:val="0"/>
        </w:rPr>
        <w:t>Unlimited standard national SMS and MMS</w:t>
      </w:r>
      <w:bookmarkEnd w:id="2446"/>
    </w:p>
    <w:p w14:paraId="297ACAEA" w14:textId="77777777" w:rsidR="0050073B" w:rsidRDefault="0050073B" w:rsidP="0050073B">
      <w:pPr>
        <w:spacing w:after="200"/>
        <w:ind w:left="709"/>
        <w:rPr>
          <w:sz w:val="20"/>
          <w:szCs w:val="20"/>
        </w:rPr>
      </w:pPr>
      <w:r>
        <w:rPr>
          <w:i/>
          <w:sz w:val="20"/>
          <w:szCs w:val="20"/>
        </w:rPr>
        <w:t>You</w:t>
      </w:r>
      <w:r>
        <w:rPr>
          <w:sz w:val="20"/>
          <w:szCs w:val="20"/>
        </w:rPr>
        <w:t xml:space="preserve"> may send unlimited standard SMS and MMS to Australian mobiles from within Australia.</w:t>
      </w:r>
    </w:p>
    <w:p w14:paraId="66C730F9" w14:textId="77777777" w:rsidR="0050073B" w:rsidRDefault="0050073B" w:rsidP="0050073B">
      <w:pPr>
        <w:spacing w:after="200"/>
        <w:ind w:left="709"/>
        <w:rPr>
          <w:i/>
          <w:color w:val="13607C"/>
          <w:sz w:val="20"/>
          <w:szCs w:val="20"/>
          <w:u w:val="single"/>
        </w:rPr>
      </w:pPr>
      <w:r>
        <w:rPr>
          <w:sz w:val="20"/>
          <w:szCs w:val="20"/>
        </w:rPr>
        <w:t xml:space="preserve">Unlimited standard national SMS and MMS are only available for personal use and are not to be used for a commercial or non-ordinary purpose as set out in the </w:t>
      </w:r>
      <w:hyperlink r:id="rId928" w:history="1">
        <w:r>
          <w:rPr>
            <w:rStyle w:val="Hyperlink"/>
            <w:i/>
            <w:szCs w:val="20"/>
          </w:rPr>
          <w:t>Fair Go Policy</w:t>
        </w:r>
      </w:hyperlink>
      <w:r>
        <w:rPr>
          <w:sz w:val="20"/>
          <w:szCs w:val="20"/>
        </w:rPr>
        <w:t xml:space="preserve">. For further details refer to </w:t>
      </w:r>
      <w:hyperlink r:id="rId929" w:history="1">
        <w:r>
          <w:rPr>
            <w:rStyle w:val="Hyperlink"/>
            <w:i/>
            <w:szCs w:val="20"/>
          </w:rPr>
          <w:t>Appendix S.</w:t>
        </w:r>
      </w:hyperlink>
    </w:p>
    <w:p w14:paraId="02AEA29E" w14:textId="77777777" w:rsidR="0050073B" w:rsidRDefault="0050073B" w:rsidP="0050073B">
      <w:pPr>
        <w:pStyle w:val="Heading6"/>
        <w:rPr>
          <w:bCs w:val="0"/>
          <w:snapToGrid w:val="0"/>
        </w:rPr>
      </w:pPr>
      <w:bookmarkStart w:id="2447" w:name="_Toc22802310"/>
      <w:r>
        <w:rPr>
          <w:bCs w:val="0"/>
          <w:snapToGrid w:val="0"/>
        </w:rPr>
        <w:t>Unlimited standard international SMS and MMS</w:t>
      </w:r>
      <w:bookmarkEnd w:id="2447"/>
    </w:p>
    <w:p w14:paraId="00A138EE" w14:textId="77777777" w:rsidR="0050073B" w:rsidRDefault="0050073B" w:rsidP="0050073B">
      <w:pPr>
        <w:spacing w:after="200"/>
        <w:ind w:left="709"/>
        <w:rPr>
          <w:sz w:val="20"/>
          <w:szCs w:val="20"/>
        </w:rPr>
      </w:pPr>
      <w:r>
        <w:rPr>
          <w:sz w:val="20"/>
        </w:rPr>
        <w:t xml:space="preserve">You may send unlimited standard SMS and MMS to selected countries from within Australia. For a list of </w:t>
      </w:r>
      <w:r>
        <w:rPr>
          <w:sz w:val="20"/>
          <w:szCs w:val="20"/>
        </w:rPr>
        <w:t>selected countries see Table 3 below.</w:t>
      </w:r>
    </w:p>
    <w:p w14:paraId="4411B869" w14:textId="77777777" w:rsidR="0050073B" w:rsidRDefault="0050073B" w:rsidP="0050073B">
      <w:pPr>
        <w:spacing w:after="200"/>
        <w:ind w:left="709"/>
        <w:rPr>
          <w:rStyle w:val="Hyperlink"/>
          <w:i/>
          <w:szCs w:val="20"/>
        </w:rPr>
      </w:pPr>
      <w:r>
        <w:rPr>
          <w:sz w:val="20"/>
          <w:szCs w:val="20"/>
        </w:rPr>
        <w:t xml:space="preserve">Unlimited standard SMS and MMS are only available for personal use and are not to be used for a commercial or non-ordinary purpose as set out in the </w:t>
      </w:r>
      <w:hyperlink r:id="rId930" w:history="1">
        <w:r>
          <w:rPr>
            <w:rStyle w:val="Hyperlink"/>
            <w:szCs w:val="20"/>
          </w:rPr>
          <w:t>Fair Go Policy</w:t>
        </w:r>
      </w:hyperlink>
      <w:r>
        <w:rPr>
          <w:sz w:val="20"/>
          <w:szCs w:val="20"/>
        </w:rPr>
        <w:t xml:space="preserve">. For further details refer to </w:t>
      </w:r>
      <w:hyperlink r:id="rId931" w:history="1">
        <w:r>
          <w:rPr>
            <w:rStyle w:val="Hyperlink"/>
            <w:i/>
            <w:szCs w:val="20"/>
          </w:rPr>
          <w:t>Appendix S.</w:t>
        </w:r>
      </w:hyperlink>
    </w:p>
    <w:p w14:paraId="76DC7C96" w14:textId="77777777" w:rsidR="0050073B" w:rsidRDefault="0050073B" w:rsidP="0050073B">
      <w:pPr>
        <w:pStyle w:val="Heading6"/>
        <w:numPr>
          <w:ilvl w:val="5"/>
          <w:numId w:val="3"/>
        </w:numPr>
        <w:rPr>
          <w:lang w:val="en-AU"/>
        </w:rPr>
      </w:pPr>
      <w:bookmarkStart w:id="2448" w:name="_Toc22802311"/>
      <w:r>
        <w:rPr>
          <w:lang w:val="en-AU"/>
        </w:rPr>
        <w:t>International Roaming</w:t>
      </w:r>
      <w:bookmarkEnd w:id="2448"/>
      <w:r>
        <w:rPr>
          <w:lang w:val="en-AU"/>
        </w:rPr>
        <w:t xml:space="preserve"> </w:t>
      </w:r>
    </w:p>
    <w:p w14:paraId="03A47B89" w14:textId="77777777" w:rsidR="0050073B" w:rsidRDefault="0050073B" w:rsidP="0050073B">
      <w:pPr>
        <w:pStyle w:val="ListParagraph"/>
        <w:ind w:left="709"/>
        <w:rPr>
          <w:rFonts w:ascii="Arial" w:hAnsi="Arial" w:cs="Arial"/>
        </w:rPr>
      </w:pPr>
      <w:r>
        <w:rPr>
          <w:rFonts w:ascii="Arial" w:hAnsi="Arial" w:cs="Arial"/>
        </w:rPr>
        <w:t>The $60 Business Plus SIM Only 24M plan will receive unlimited standard national and international voice, SMS (MMS is excluded) plus 5GB of data to use in Zone 1 countries within each billing month. If you are not in a Zone 1 country, you will be charged at standard roaming rates for that country.</w:t>
      </w:r>
    </w:p>
    <w:p w14:paraId="5823DFC1" w14:textId="77777777" w:rsidR="0050073B" w:rsidRDefault="0050073B" w:rsidP="0050073B">
      <w:pPr>
        <w:ind w:left="709"/>
        <w:rPr>
          <w:rFonts w:eastAsia="Times New Roman" w:cs="Arial"/>
          <w:sz w:val="20"/>
          <w:szCs w:val="20"/>
        </w:rPr>
      </w:pPr>
    </w:p>
    <w:p w14:paraId="734BD6A9" w14:textId="77777777" w:rsidR="0050073B" w:rsidRDefault="0050073B" w:rsidP="0050073B">
      <w:pPr>
        <w:pStyle w:val="BodyText"/>
        <w:ind w:left="720"/>
        <w:rPr>
          <w:rFonts w:cs="Arial"/>
          <w:szCs w:val="20"/>
        </w:rPr>
      </w:pPr>
      <w:r>
        <w:rPr>
          <w:rFonts w:eastAsia="Times New Roman" w:cs="Arial"/>
          <w:szCs w:val="20"/>
        </w:rPr>
        <w:t>If you exceed the data limit, standard data roaming charges will apply. Any data provided is not shareable and will not form part of any Data Pool. Any unused data will be forfeited and cannot be rolled over to the next billing month.</w:t>
      </w:r>
      <w:r>
        <w:rPr>
          <w:rFonts w:eastAsia="Times New Roman" w:cs="Arial"/>
          <w:snapToGrid w:val="0"/>
          <w:szCs w:val="20"/>
        </w:rPr>
        <w:t xml:space="preserve"> For list of countries see optus.com.au/biztravel</w:t>
      </w:r>
    </w:p>
    <w:p w14:paraId="3F7712A5" w14:textId="77777777" w:rsidR="0050073B" w:rsidRDefault="0050073B" w:rsidP="0050073B">
      <w:pPr>
        <w:spacing w:after="200"/>
        <w:rPr>
          <w:b/>
          <w:sz w:val="20"/>
        </w:rPr>
      </w:pPr>
      <w:r>
        <w:rPr>
          <w:b/>
          <w:sz w:val="20"/>
        </w:rPr>
        <w:t>Table 1 –Plan Inclusions and Charges</w:t>
      </w:r>
    </w:p>
    <w:tbl>
      <w:tblPr>
        <w:tblW w:w="47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4"/>
        <w:gridCol w:w="3544"/>
      </w:tblGrid>
      <w:tr w:rsidR="0050073B" w14:paraId="62CDE851" w14:textId="77777777" w:rsidTr="0050073B">
        <w:trPr>
          <w:trHeight w:val="54"/>
        </w:trPr>
        <w:tc>
          <w:tcPr>
            <w:tcW w:w="3167" w:type="pct"/>
            <w:tcBorders>
              <w:top w:val="single" w:sz="4" w:space="0" w:color="auto"/>
              <w:left w:val="single" w:sz="4" w:space="0" w:color="auto"/>
              <w:bottom w:val="single" w:sz="4" w:space="0" w:color="auto"/>
              <w:right w:val="single" w:sz="4" w:space="0" w:color="auto"/>
            </w:tcBorders>
          </w:tcPr>
          <w:p w14:paraId="56132A84" w14:textId="77777777" w:rsidR="0050073B" w:rsidRDefault="0050073B" w:rsidP="00E01D8F">
            <w:pPr>
              <w:spacing w:before="100" w:after="100"/>
              <w:rPr>
                <w:sz w:val="20"/>
              </w:rPr>
            </w:pPr>
          </w:p>
        </w:tc>
        <w:tc>
          <w:tcPr>
            <w:tcW w:w="1833" w:type="pct"/>
            <w:tcBorders>
              <w:top w:val="single" w:sz="4" w:space="0" w:color="auto"/>
              <w:left w:val="single" w:sz="4" w:space="0" w:color="auto"/>
              <w:bottom w:val="single" w:sz="4" w:space="0" w:color="auto"/>
              <w:right w:val="single" w:sz="4" w:space="0" w:color="auto"/>
            </w:tcBorders>
          </w:tcPr>
          <w:p w14:paraId="3852FD58" w14:textId="77777777" w:rsidR="0050073B" w:rsidRDefault="0050073B" w:rsidP="00E01D8F">
            <w:pPr>
              <w:spacing w:before="100" w:after="100"/>
              <w:jc w:val="center"/>
              <w:rPr>
                <w:rFonts w:eastAsia="Calibri"/>
                <w:b/>
                <w:sz w:val="20"/>
              </w:rPr>
            </w:pPr>
            <w:r>
              <w:rPr>
                <w:rFonts w:eastAsia="Calibri"/>
                <w:b/>
                <w:sz w:val="20"/>
              </w:rPr>
              <w:t>$60 Business Plus 24M SIM Only</w:t>
            </w:r>
          </w:p>
        </w:tc>
      </w:tr>
      <w:tr w:rsidR="0050073B" w14:paraId="30C5D542" w14:textId="77777777" w:rsidTr="0050073B">
        <w:trPr>
          <w:trHeight w:val="54"/>
        </w:trPr>
        <w:tc>
          <w:tcPr>
            <w:tcW w:w="3167" w:type="pct"/>
            <w:tcBorders>
              <w:top w:val="single" w:sz="4" w:space="0" w:color="auto"/>
              <w:left w:val="single" w:sz="4" w:space="0" w:color="auto"/>
              <w:bottom w:val="single" w:sz="4" w:space="0" w:color="auto"/>
              <w:right w:val="single" w:sz="4" w:space="0" w:color="auto"/>
            </w:tcBorders>
            <w:hideMark/>
          </w:tcPr>
          <w:p w14:paraId="105652FB" w14:textId="77777777" w:rsidR="0050073B" w:rsidRPr="00F65B5B" w:rsidRDefault="0050073B" w:rsidP="00E01D8F">
            <w:pPr>
              <w:spacing w:before="100" w:after="100"/>
              <w:rPr>
                <w:sz w:val="16"/>
                <w:szCs w:val="16"/>
              </w:rPr>
            </w:pPr>
            <w:r w:rsidRPr="00F65B5B">
              <w:rPr>
                <w:b/>
                <w:bCs/>
                <w:sz w:val="16"/>
                <w:szCs w:val="16"/>
                <w:lang w:eastAsia="en-AU"/>
              </w:rPr>
              <w:t>Minimum Monthly charge</w:t>
            </w:r>
          </w:p>
        </w:tc>
        <w:tc>
          <w:tcPr>
            <w:tcW w:w="1833" w:type="pct"/>
            <w:tcBorders>
              <w:top w:val="single" w:sz="4" w:space="0" w:color="auto"/>
              <w:left w:val="single" w:sz="4" w:space="0" w:color="auto"/>
              <w:bottom w:val="single" w:sz="4" w:space="0" w:color="auto"/>
              <w:right w:val="single" w:sz="4" w:space="0" w:color="auto"/>
            </w:tcBorders>
            <w:vAlign w:val="center"/>
          </w:tcPr>
          <w:p w14:paraId="5ABA1BB5" w14:textId="77777777" w:rsidR="0050073B" w:rsidRPr="00F65B5B" w:rsidRDefault="0050073B" w:rsidP="00E01D8F">
            <w:pPr>
              <w:spacing w:before="100" w:after="100"/>
              <w:jc w:val="center"/>
              <w:rPr>
                <w:rFonts w:eastAsia="Calibri"/>
                <w:sz w:val="16"/>
                <w:szCs w:val="16"/>
              </w:rPr>
            </w:pPr>
            <w:r w:rsidRPr="00F65B5B">
              <w:rPr>
                <w:rFonts w:eastAsia="Calibri"/>
                <w:sz w:val="16"/>
                <w:szCs w:val="16"/>
              </w:rPr>
              <w:t>$60</w:t>
            </w:r>
          </w:p>
        </w:tc>
      </w:tr>
      <w:tr w:rsidR="0050073B" w14:paraId="7169D8D5" w14:textId="77777777" w:rsidTr="0050073B">
        <w:trPr>
          <w:trHeight w:val="432"/>
        </w:trPr>
        <w:tc>
          <w:tcPr>
            <w:tcW w:w="3167" w:type="pct"/>
            <w:tcBorders>
              <w:top w:val="single" w:sz="4" w:space="0" w:color="auto"/>
              <w:left w:val="single" w:sz="4" w:space="0" w:color="auto"/>
              <w:bottom w:val="single" w:sz="4" w:space="0" w:color="auto"/>
              <w:right w:val="single" w:sz="4" w:space="0" w:color="auto"/>
            </w:tcBorders>
            <w:hideMark/>
          </w:tcPr>
          <w:p w14:paraId="30930B09" w14:textId="77777777" w:rsidR="0050073B" w:rsidRPr="00F65B5B" w:rsidRDefault="0050073B" w:rsidP="00E01D8F">
            <w:pPr>
              <w:spacing w:before="100" w:after="100"/>
              <w:rPr>
                <w:sz w:val="16"/>
                <w:szCs w:val="16"/>
              </w:rPr>
            </w:pPr>
            <w:r w:rsidRPr="00F65B5B">
              <w:rPr>
                <w:b/>
                <w:bCs/>
                <w:sz w:val="16"/>
                <w:szCs w:val="16"/>
                <w:lang w:eastAsia="en-AU"/>
              </w:rPr>
              <w:t>Included Data</w:t>
            </w:r>
          </w:p>
        </w:tc>
        <w:tc>
          <w:tcPr>
            <w:tcW w:w="1833" w:type="pct"/>
            <w:tcBorders>
              <w:top w:val="single" w:sz="4" w:space="0" w:color="auto"/>
              <w:left w:val="single" w:sz="4" w:space="0" w:color="auto"/>
              <w:bottom w:val="single" w:sz="4" w:space="0" w:color="auto"/>
              <w:right w:val="single" w:sz="4" w:space="0" w:color="auto"/>
            </w:tcBorders>
          </w:tcPr>
          <w:p w14:paraId="141B2BBE" w14:textId="77777777" w:rsidR="0050073B" w:rsidRPr="00F65B5B" w:rsidRDefault="0050073B" w:rsidP="00E01D8F">
            <w:pPr>
              <w:spacing w:before="100" w:after="100"/>
              <w:jc w:val="center"/>
              <w:rPr>
                <w:rFonts w:eastAsia="Calibri"/>
                <w:sz w:val="16"/>
                <w:szCs w:val="16"/>
              </w:rPr>
            </w:pPr>
            <w:r>
              <w:rPr>
                <w:rFonts w:eastAsia="Calibri"/>
                <w:sz w:val="16"/>
                <w:szCs w:val="16"/>
              </w:rPr>
              <w:t>6</w:t>
            </w:r>
            <w:r w:rsidRPr="00F65B5B">
              <w:rPr>
                <w:rFonts w:eastAsia="Calibri"/>
                <w:sz w:val="16"/>
                <w:szCs w:val="16"/>
              </w:rPr>
              <w:t>0GB</w:t>
            </w:r>
          </w:p>
        </w:tc>
      </w:tr>
      <w:tr w:rsidR="0050073B" w14:paraId="39C9F931" w14:textId="77777777" w:rsidTr="0050073B">
        <w:trPr>
          <w:trHeight w:val="432"/>
        </w:trPr>
        <w:tc>
          <w:tcPr>
            <w:tcW w:w="3167" w:type="pct"/>
            <w:tcBorders>
              <w:top w:val="single" w:sz="4" w:space="0" w:color="auto"/>
              <w:left w:val="single" w:sz="4" w:space="0" w:color="auto"/>
              <w:bottom w:val="single" w:sz="4" w:space="0" w:color="auto"/>
              <w:right w:val="single" w:sz="4" w:space="0" w:color="auto"/>
            </w:tcBorders>
            <w:hideMark/>
          </w:tcPr>
          <w:p w14:paraId="04B06828" w14:textId="77777777" w:rsidR="0050073B" w:rsidRPr="00F65B5B" w:rsidRDefault="0050073B" w:rsidP="00E01D8F">
            <w:pPr>
              <w:spacing w:before="100" w:after="100"/>
              <w:rPr>
                <w:b/>
                <w:sz w:val="16"/>
                <w:szCs w:val="16"/>
              </w:rPr>
            </w:pPr>
            <w:r w:rsidRPr="00F65B5B">
              <w:rPr>
                <w:b/>
                <w:sz w:val="16"/>
                <w:szCs w:val="16"/>
              </w:rPr>
              <w:t>Additional Data</w:t>
            </w:r>
          </w:p>
        </w:tc>
        <w:tc>
          <w:tcPr>
            <w:tcW w:w="1833" w:type="pct"/>
            <w:tcBorders>
              <w:top w:val="single" w:sz="4" w:space="0" w:color="auto"/>
              <w:left w:val="single" w:sz="4" w:space="0" w:color="auto"/>
              <w:bottom w:val="single" w:sz="4" w:space="0" w:color="auto"/>
              <w:right w:val="single" w:sz="4" w:space="0" w:color="auto"/>
            </w:tcBorders>
            <w:vAlign w:val="center"/>
            <w:hideMark/>
          </w:tcPr>
          <w:p w14:paraId="7E9874E9" w14:textId="77777777" w:rsidR="0050073B" w:rsidRPr="00F65B5B" w:rsidRDefault="0050073B" w:rsidP="00E01D8F">
            <w:pPr>
              <w:spacing w:before="100" w:after="100"/>
              <w:jc w:val="center"/>
              <w:rPr>
                <w:bCs/>
                <w:sz w:val="16"/>
                <w:szCs w:val="16"/>
                <w:lang w:eastAsia="en-AU"/>
              </w:rPr>
            </w:pPr>
            <w:r w:rsidRPr="00F65B5B">
              <w:rPr>
                <w:bCs/>
                <w:sz w:val="16"/>
                <w:szCs w:val="16"/>
                <w:lang w:eastAsia="en-AU"/>
              </w:rPr>
              <w:t>Additional data $10 per 1GB</w:t>
            </w:r>
          </w:p>
        </w:tc>
      </w:tr>
      <w:tr w:rsidR="0050073B" w14:paraId="5EFA5705" w14:textId="77777777" w:rsidTr="0050073B">
        <w:trPr>
          <w:trHeight w:val="54"/>
        </w:trPr>
        <w:tc>
          <w:tcPr>
            <w:tcW w:w="3167" w:type="pct"/>
            <w:tcBorders>
              <w:top w:val="single" w:sz="4" w:space="0" w:color="auto"/>
              <w:left w:val="single" w:sz="4" w:space="0" w:color="auto"/>
              <w:bottom w:val="single" w:sz="4" w:space="0" w:color="auto"/>
              <w:right w:val="single" w:sz="4" w:space="0" w:color="auto"/>
            </w:tcBorders>
            <w:hideMark/>
          </w:tcPr>
          <w:p w14:paraId="1469B208" w14:textId="77777777" w:rsidR="0050073B" w:rsidRPr="00F65B5B" w:rsidRDefault="0050073B" w:rsidP="00E01D8F">
            <w:pPr>
              <w:spacing w:before="100" w:after="100"/>
              <w:rPr>
                <w:b/>
                <w:bCs/>
                <w:sz w:val="16"/>
                <w:szCs w:val="16"/>
                <w:lang w:eastAsia="en-AU"/>
              </w:rPr>
            </w:pPr>
            <w:r w:rsidRPr="00F65B5B">
              <w:rPr>
                <w:b/>
                <w:bCs/>
                <w:sz w:val="16"/>
                <w:szCs w:val="16"/>
                <w:lang w:eastAsia="en-AU"/>
              </w:rPr>
              <w:t>Included Minutes</w:t>
            </w:r>
            <w:r w:rsidRPr="00F65B5B">
              <w:rPr>
                <w:b/>
                <w:bCs/>
                <w:sz w:val="16"/>
                <w:szCs w:val="16"/>
                <w:lang w:eastAsia="en-AU"/>
              </w:rPr>
              <w:br/>
            </w:r>
            <w:r w:rsidRPr="00F65B5B">
              <w:rPr>
                <w:bCs/>
                <w:sz w:val="16"/>
                <w:szCs w:val="16"/>
                <w:lang w:eastAsia="en-AU"/>
              </w:rPr>
              <w:t>For standard national calls to landlines and mobiles, 1300 numbers and voicemail, within Australia</w:t>
            </w:r>
          </w:p>
        </w:tc>
        <w:tc>
          <w:tcPr>
            <w:tcW w:w="1833" w:type="pct"/>
            <w:tcBorders>
              <w:top w:val="single" w:sz="4" w:space="0" w:color="auto"/>
              <w:left w:val="single" w:sz="4" w:space="0" w:color="auto"/>
              <w:bottom w:val="single" w:sz="4" w:space="0" w:color="auto"/>
              <w:right w:val="single" w:sz="4" w:space="0" w:color="auto"/>
            </w:tcBorders>
            <w:vAlign w:val="center"/>
          </w:tcPr>
          <w:p w14:paraId="35DF9F98" w14:textId="77777777" w:rsidR="0050073B" w:rsidRPr="00F65B5B" w:rsidRDefault="0050073B" w:rsidP="00E01D8F">
            <w:pPr>
              <w:spacing w:before="100" w:after="100"/>
              <w:jc w:val="center"/>
              <w:rPr>
                <w:rFonts w:eastAsia="Calibri"/>
                <w:sz w:val="16"/>
                <w:szCs w:val="16"/>
              </w:rPr>
            </w:pPr>
            <w:r w:rsidRPr="00F65B5B">
              <w:rPr>
                <w:rFonts w:eastAsia="Calibri"/>
                <w:sz w:val="16"/>
                <w:szCs w:val="16"/>
              </w:rPr>
              <w:t>Unlimited</w:t>
            </w:r>
          </w:p>
        </w:tc>
      </w:tr>
      <w:tr w:rsidR="0050073B" w14:paraId="3DBB649D" w14:textId="77777777" w:rsidTr="0050073B">
        <w:trPr>
          <w:trHeight w:val="432"/>
        </w:trPr>
        <w:tc>
          <w:tcPr>
            <w:tcW w:w="3167" w:type="pct"/>
            <w:tcBorders>
              <w:top w:val="single" w:sz="4" w:space="0" w:color="auto"/>
              <w:left w:val="single" w:sz="4" w:space="0" w:color="auto"/>
              <w:bottom w:val="single" w:sz="4" w:space="0" w:color="auto"/>
              <w:right w:val="single" w:sz="4" w:space="0" w:color="auto"/>
            </w:tcBorders>
            <w:hideMark/>
          </w:tcPr>
          <w:p w14:paraId="44E93BA0" w14:textId="77777777" w:rsidR="0050073B" w:rsidRPr="00F65B5B" w:rsidRDefault="0050073B" w:rsidP="00E01D8F">
            <w:pPr>
              <w:spacing w:before="100" w:after="100"/>
              <w:rPr>
                <w:b/>
                <w:bCs/>
                <w:sz w:val="16"/>
                <w:szCs w:val="16"/>
                <w:lang w:eastAsia="en-AU"/>
              </w:rPr>
            </w:pPr>
            <w:r w:rsidRPr="00F65B5B">
              <w:rPr>
                <w:b/>
                <w:bCs/>
                <w:sz w:val="16"/>
                <w:szCs w:val="16"/>
                <w:lang w:eastAsia="en-AU"/>
              </w:rPr>
              <w:t>Included International Minutes</w:t>
            </w:r>
            <w:r w:rsidRPr="00F65B5B">
              <w:rPr>
                <w:b/>
                <w:bCs/>
                <w:sz w:val="16"/>
                <w:szCs w:val="16"/>
                <w:lang w:eastAsia="en-AU"/>
              </w:rPr>
              <w:br/>
            </w:r>
            <w:r w:rsidRPr="00F65B5B">
              <w:rPr>
                <w:sz w:val="16"/>
                <w:szCs w:val="16"/>
                <w:lang w:eastAsia="en-AU"/>
              </w:rPr>
              <w:t>Standard international calls to landlines and mobiles to selected countries</w:t>
            </w:r>
          </w:p>
        </w:tc>
        <w:tc>
          <w:tcPr>
            <w:tcW w:w="1833" w:type="pct"/>
            <w:tcBorders>
              <w:top w:val="single" w:sz="4" w:space="0" w:color="auto"/>
              <w:left w:val="single" w:sz="4" w:space="0" w:color="auto"/>
              <w:bottom w:val="single" w:sz="4" w:space="0" w:color="auto"/>
              <w:right w:val="single" w:sz="4" w:space="0" w:color="auto"/>
            </w:tcBorders>
            <w:vAlign w:val="center"/>
          </w:tcPr>
          <w:p w14:paraId="42A136AD" w14:textId="77777777" w:rsidR="0050073B" w:rsidRPr="00F65B5B" w:rsidRDefault="0050073B" w:rsidP="00E01D8F">
            <w:pPr>
              <w:spacing w:before="100" w:after="100"/>
              <w:jc w:val="center"/>
              <w:rPr>
                <w:bCs/>
                <w:sz w:val="16"/>
                <w:szCs w:val="16"/>
              </w:rPr>
            </w:pPr>
            <w:r w:rsidRPr="00F65B5B">
              <w:rPr>
                <w:bCs/>
                <w:sz w:val="16"/>
                <w:szCs w:val="16"/>
              </w:rPr>
              <w:t>Up to 750 mins</w:t>
            </w:r>
          </w:p>
        </w:tc>
      </w:tr>
      <w:tr w:rsidR="0050073B" w14:paraId="2B4362D6" w14:textId="77777777" w:rsidTr="0050073B">
        <w:trPr>
          <w:trHeight w:val="432"/>
        </w:trPr>
        <w:tc>
          <w:tcPr>
            <w:tcW w:w="3167" w:type="pct"/>
            <w:tcBorders>
              <w:top w:val="single" w:sz="4" w:space="0" w:color="auto"/>
              <w:left w:val="single" w:sz="4" w:space="0" w:color="auto"/>
              <w:bottom w:val="single" w:sz="4" w:space="0" w:color="auto"/>
              <w:right w:val="single" w:sz="4" w:space="0" w:color="auto"/>
            </w:tcBorders>
            <w:hideMark/>
          </w:tcPr>
          <w:p w14:paraId="590FA5BD" w14:textId="77777777" w:rsidR="0050073B" w:rsidRPr="00F65B5B" w:rsidRDefault="0050073B" w:rsidP="00E01D8F">
            <w:pPr>
              <w:spacing w:before="100" w:after="100"/>
              <w:rPr>
                <w:sz w:val="16"/>
                <w:szCs w:val="16"/>
              </w:rPr>
            </w:pPr>
            <w:r w:rsidRPr="00F65B5B">
              <w:rPr>
                <w:b/>
                <w:bCs/>
                <w:sz w:val="16"/>
                <w:szCs w:val="16"/>
                <w:lang w:eastAsia="en-AU"/>
              </w:rPr>
              <w:t xml:space="preserve">Standard national SMS </w:t>
            </w:r>
            <w:r w:rsidRPr="00F65B5B">
              <w:rPr>
                <w:sz w:val="16"/>
                <w:szCs w:val="16"/>
                <w:lang w:eastAsia="en-AU"/>
              </w:rPr>
              <w:t>(per SMS of up to 160 standard characters)</w:t>
            </w:r>
          </w:p>
        </w:tc>
        <w:tc>
          <w:tcPr>
            <w:tcW w:w="1833" w:type="pct"/>
            <w:tcBorders>
              <w:top w:val="single" w:sz="4" w:space="0" w:color="auto"/>
              <w:left w:val="single" w:sz="4" w:space="0" w:color="auto"/>
              <w:bottom w:val="single" w:sz="4" w:space="0" w:color="auto"/>
              <w:right w:val="single" w:sz="4" w:space="0" w:color="auto"/>
            </w:tcBorders>
            <w:vAlign w:val="center"/>
          </w:tcPr>
          <w:p w14:paraId="4856212C" w14:textId="77777777" w:rsidR="0050073B" w:rsidRPr="00F65B5B" w:rsidRDefault="0050073B" w:rsidP="00E01D8F">
            <w:pPr>
              <w:spacing w:before="100" w:after="100"/>
              <w:jc w:val="center"/>
              <w:rPr>
                <w:rFonts w:eastAsia="Calibri"/>
                <w:sz w:val="16"/>
                <w:szCs w:val="16"/>
              </w:rPr>
            </w:pPr>
            <w:r w:rsidRPr="00F65B5B">
              <w:rPr>
                <w:rFonts w:eastAsia="Calibri"/>
                <w:sz w:val="16"/>
                <w:szCs w:val="16"/>
              </w:rPr>
              <w:t>Unlimited</w:t>
            </w:r>
          </w:p>
        </w:tc>
      </w:tr>
      <w:tr w:rsidR="0050073B" w14:paraId="094A1D48" w14:textId="77777777" w:rsidTr="0050073B">
        <w:trPr>
          <w:trHeight w:val="432"/>
        </w:trPr>
        <w:tc>
          <w:tcPr>
            <w:tcW w:w="3167" w:type="pct"/>
            <w:tcBorders>
              <w:top w:val="single" w:sz="4" w:space="0" w:color="auto"/>
              <w:left w:val="single" w:sz="4" w:space="0" w:color="auto"/>
              <w:bottom w:val="single" w:sz="4" w:space="0" w:color="auto"/>
              <w:right w:val="single" w:sz="4" w:space="0" w:color="auto"/>
            </w:tcBorders>
            <w:hideMark/>
          </w:tcPr>
          <w:p w14:paraId="53337B04" w14:textId="77777777" w:rsidR="0050073B" w:rsidRPr="00F65B5B" w:rsidRDefault="0050073B" w:rsidP="00E01D8F">
            <w:pPr>
              <w:spacing w:before="100" w:after="100"/>
              <w:rPr>
                <w:b/>
                <w:bCs/>
                <w:sz w:val="16"/>
                <w:szCs w:val="16"/>
                <w:lang w:eastAsia="en-AU"/>
              </w:rPr>
            </w:pPr>
            <w:r w:rsidRPr="00F65B5B">
              <w:rPr>
                <w:b/>
                <w:bCs/>
                <w:sz w:val="16"/>
                <w:szCs w:val="16"/>
                <w:lang w:eastAsia="en-AU"/>
              </w:rPr>
              <w:t xml:space="preserve">Standard national MMS </w:t>
            </w:r>
            <w:r w:rsidRPr="00F65B5B">
              <w:rPr>
                <w:sz w:val="16"/>
                <w:szCs w:val="16"/>
                <w:lang w:eastAsia="en-AU"/>
              </w:rPr>
              <w:t>(per message)</w:t>
            </w:r>
          </w:p>
        </w:tc>
        <w:tc>
          <w:tcPr>
            <w:tcW w:w="1833" w:type="pct"/>
            <w:tcBorders>
              <w:top w:val="single" w:sz="4" w:space="0" w:color="auto"/>
              <w:left w:val="single" w:sz="4" w:space="0" w:color="auto"/>
              <w:bottom w:val="single" w:sz="4" w:space="0" w:color="auto"/>
              <w:right w:val="single" w:sz="4" w:space="0" w:color="auto"/>
            </w:tcBorders>
            <w:vAlign w:val="center"/>
          </w:tcPr>
          <w:p w14:paraId="79032908" w14:textId="77777777" w:rsidR="0050073B" w:rsidRPr="00F65B5B" w:rsidRDefault="0050073B" w:rsidP="00E01D8F">
            <w:pPr>
              <w:spacing w:before="100" w:after="100"/>
              <w:jc w:val="center"/>
              <w:rPr>
                <w:rFonts w:eastAsia="Calibri"/>
                <w:sz w:val="16"/>
                <w:szCs w:val="16"/>
              </w:rPr>
            </w:pPr>
            <w:r w:rsidRPr="00F65B5B">
              <w:rPr>
                <w:rFonts w:eastAsia="Calibri"/>
                <w:sz w:val="16"/>
                <w:szCs w:val="16"/>
              </w:rPr>
              <w:t>Unlimited</w:t>
            </w:r>
          </w:p>
        </w:tc>
      </w:tr>
      <w:tr w:rsidR="0050073B" w14:paraId="7A1B3249" w14:textId="77777777" w:rsidTr="0050073B">
        <w:trPr>
          <w:trHeight w:val="432"/>
        </w:trPr>
        <w:tc>
          <w:tcPr>
            <w:tcW w:w="3167" w:type="pct"/>
            <w:tcBorders>
              <w:top w:val="single" w:sz="4" w:space="0" w:color="auto"/>
              <w:left w:val="single" w:sz="4" w:space="0" w:color="auto"/>
              <w:bottom w:val="single" w:sz="4" w:space="0" w:color="auto"/>
              <w:right w:val="single" w:sz="4" w:space="0" w:color="auto"/>
            </w:tcBorders>
            <w:hideMark/>
          </w:tcPr>
          <w:p w14:paraId="7B5212EB" w14:textId="77777777" w:rsidR="0050073B" w:rsidRPr="00F65B5B" w:rsidRDefault="0050073B" w:rsidP="00E01D8F">
            <w:pPr>
              <w:spacing w:before="100" w:after="100"/>
              <w:rPr>
                <w:b/>
                <w:bCs/>
                <w:sz w:val="16"/>
                <w:szCs w:val="16"/>
                <w:lang w:eastAsia="en-AU"/>
              </w:rPr>
            </w:pPr>
            <w:r w:rsidRPr="00F65B5B">
              <w:rPr>
                <w:b/>
                <w:bCs/>
                <w:sz w:val="16"/>
                <w:szCs w:val="16"/>
                <w:lang w:eastAsia="en-AU"/>
              </w:rPr>
              <w:t xml:space="preserve">Standard international SMS </w:t>
            </w:r>
            <w:r w:rsidRPr="00F65B5B">
              <w:rPr>
                <w:sz w:val="16"/>
                <w:szCs w:val="16"/>
                <w:lang w:eastAsia="en-AU"/>
              </w:rPr>
              <w:t>(per SMS of up to 160 standard characters to selected countries)</w:t>
            </w:r>
          </w:p>
        </w:tc>
        <w:tc>
          <w:tcPr>
            <w:tcW w:w="1833" w:type="pct"/>
            <w:tcBorders>
              <w:top w:val="single" w:sz="4" w:space="0" w:color="auto"/>
              <w:left w:val="single" w:sz="4" w:space="0" w:color="auto"/>
              <w:bottom w:val="single" w:sz="4" w:space="0" w:color="auto"/>
              <w:right w:val="single" w:sz="4" w:space="0" w:color="auto"/>
            </w:tcBorders>
            <w:vAlign w:val="center"/>
          </w:tcPr>
          <w:p w14:paraId="16ACB151" w14:textId="77777777" w:rsidR="0050073B" w:rsidRPr="00F65B5B" w:rsidRDefault="0050073B" w:rsidP="00E01D8F">
            <w:pPr>
              <w:spacing w:before="100" w:after="100"/>
              <w:jc w:val="center"/>
              <w:rPr>
                <w:rFonts w:eastAsia="Calibri"/>
                <w:sz w:val="16"/>
                <w:szCs w:val="16"/>
              </w:rPr>
            </w:pPr>
            <w:r w:rsidRPr="00F65B5B">
              <w:rPr>
                <w:rFonts w:eastAsia="Calibri"/>
                <w:sz w:val="16"/>
                <w:szCs w:val="16"/>
              </w:rPr>
              <w:t>Unlimited</w:t>
            </w:r>
          </w:p>
        </w:tc>
      </w:tr>
      <w:tr w:rsidR="0050073B" w14:paraId="51684DC9" w14:textId="77777777" w:rsidTr="0050073B">
        <w:trPr>
          <w:trHeight w:val="432"/>
        </w:trPr>
        <w:tc>
          <w:tcPr>
            <w:tcW w:w="3167" w:type="pct"/>
            <w:tcBorders>
              <w:top w:val="single" w:sz="4" w:space="0" w:color="auto"/>
              <w:left w:val="single" w:sz="4" w:space="0" w:color="auto"/>
              <w:bottom w:val="single" w:sz="4" w:space="0" w:color="auto"/>
              <w:right w:val="single" w:sz="4" w:space="0" w:color="auto"/>
            </w:tcBorders>
            <w:hideMark/>
          </w:tcPr>
          <w:p w14:paraId="00650DC3" w14:textId="77777777" w:rsidR="0050073B" w:rsidRPr="00F65B5B" w:rsidRDefault="0050073B" w:rsidP="00E01D8F">
            <w:pPr>
              <w:spacing w:before="100" w:after="100"/>
              <w:rPr>
                <w:b/>
                <w:bCs/>
                <w:sz w:val="16"/>
                <w:szCs w:val="16"/>
                <w:lang w:eastAsia="en-AU"/>
              </w:rPr>
            </w:pPr>
            <w:r w:rsidRPr="00F65B5B">
              <w:rPr>
                <w:b/>
                <w:bCs/>
                <w:sz w:val="16"/>
                <w:szCs w:val="16"/>
                <w:lang w:eastAsia="en-AU"/>
              </w:rPr>
              <w:t xml:space="preserve">Standard international MMS </w:t>
            </w:r>
            <w:r w:rsidRPr="00F65B5B">
              <w:rPr>
                <w:sz w:val="16"/>
                <w:szCs w:val="16"/>
                <w:lang w:eastAsia="en-AU"/>
              </w:rPr>
              <w:t>(per message to selected countries)</w:t>
            </w:r>
          </w:p>
        </w:tc>
        <w:tc>
          <w:tcPr>
            <w:tcW w:w="1833" w:type="pct"/>
            <w:tcBorders>
              <w:top w:val="single" w:sz="4" w:space="0" w:color="auto"/>
              <w:left w:val="single" w:sz="4" w:space="0" w:color="auto"/>
              <w:bottom w:val="single" w:sz="4" w:space="0" w:color="auto"/>
              <w:right w:val="single" w:sz="4" w:space="0" w:color="auto"/>
            </w:tcBorders>
            <w:vAlign w:val="center"/>
          </w:tcPr>
          <w:p w14:paraId="3FCDB367" w14:textId="77777777" w:rsidR="0050073B" w:rsidRPr="00F65B5B" w:rsidRDefault="0050073B" w:rsidP="00E01D8F">
            <w:pPr>
              <w:spacing w:before="100" w:after="100"/>
              <w:jc w:val="center"/>
              <w:rPr>
                <w:rFonts w:eastAsia="Calibri"/>
                <w:sz w:val="16"/>
                <w:szCs w:val="16"/>
              </w:rPr>
            </w:pPr>
            <w:r w:rsidRPr="00F65B5B">
              <w:rPr>
                <w:rFonts w:eastAsia="Calibri"/>
                <w:sz w:val="16"/>
                <w:szCs w:val="16"/>
              </w:rPr>
              <w:t>Unlimited</w:t>
            </w:r>
          </w:p>
        </w:tc>
      </w:tr>
      <w:tr w:rsidR="0050073B" w14:paraId="72497134" w14:textId="77777777" w:rsidTr="0050073B">
        <w:trPr>
          <w:trHeight w:val="432"/>
        </w:trPr>
        <w:tc>
          <w:tcPr>
            <w:tcW w:w="3167" w:type="pct"/>
            <w:tcBorders>
              <w:top w:val="single" w:sz="4" w:space="0" w:color="auto"/>
              <w:left w:val="single" w:sz="4" w:space="0" w:color="auto"/>
              <w:bottom w:val="single" w:sz="4" w:space="0" w:color="auto"/>
              <w:right w:val="single" w:sz="4" w:space="0" w:color="auto"/>
            </w:tcBorders>
          </w:tcPr>
          <w:p w14:paraId="297CF84E" w14:textId="77777777" w:rsidR="0050073B" w:rsidRPr="005428C4" w:rsidRDefault="0050073B" w:rsidP="00E01D8F">
            <w:pPr>
              <w:pStyle w:val="BodyText"/>
              <w:spacing w:before="100" w:after="100"/>
              <w:rPr>
                <w:b/>
                <w:sz w:val="16"/>
                <w:szCs w:val="16"/>
              </w:rPr>
            </w:pPr>
            <w:r w:rsidRPr="005428C4">
              <w:rPr>
                <w:b/>
                <w:sz w:val="16"/>
                <w:szCs w:val="16"/>
              </w:rPr>
              <w:lastRenderedPageBreak/>
              <w:t xml:space="preserve">International Roaming </w:t>
            </w:r>
            <w:r w:rsidRPr="005428C4">
              <w:rPr>
                <w:b/>
                <w:sz w:val="16"/>
                <w:szCs w:val="16"/>
              </w:rPr>
              <w:br/>
            </w:r>
            <w:r w:rsidRPr="005428C4">
              <w:rPr>
                <w:rFonts w:cs="Arial"/>
                <w:bCs/>
                <w:snapToGrid w:val="0"/>
                <w:sz w:val="16"/>
                <w:szCs w:val="16"/>
              </w:rPr>
              <w:t>(Zone 1 countries)</w:t>
            </w:r>
          </w:p>
        </w:tc>
        <w:tc>
          <w:tcPr>
            <w:tcW w:w="1833" w:type="pct"/>
            <w:tcBorders>
              <w:top w:val="single" w:sz="4" w:space="0" w:color="auto"/>
              <w:left w:val="single" w:sz="4" w:space="0" w:color="auto"/>
              <w:bottom w:val="single" w:sz="4" w:space="0" w:color="auto"/>
              <w:right w:val="single" w:sz="4" w:space="0" w:color="auto"/>
            </w:tcBorders>
            <w:vAlign w:val="center"/>
          </w:tcPr>
          <w:p w14:paraId="3A4E8B79" w14:textId="77777777" w:rsidR="0050073B" w:rsidRPr="005428C4" w:rsidRDefault="0050073B" w:rsidP="00E01D8F">
            <w:pPr>
              <w:pStyle w:val="BodyText"/>
              <w:spacing w:before="100" w:after="100"/>
              <w:jc w:val="center"/>
              <w:rPr>
                <w:sz w:val="16"/>
                <w:szCs w:val="16"/>
              </w:rPr>
            </w:pPr>
            <w:r w:rsidRPr="005428C4">
              <w:rPr>
                <w:sz w:val="16"/>
                <w:szCs w:val="16"/>
              </w:rPr>
              <w:t xml:space="preserve">Unlimited standard national/international talk, SMS &amp; </w:t>
            </w:r>
            <w:r>
              <w:rPr>
                <w:sz w:val="16"/>
                <w:szCs w:val="16"/>
              </w:rPr>
              <w:t>5</w:t>
            </w:r>
            <w:r w:rsidRPr="005428C4">
              <w:rPr>
                <w:sz w:val="16"/>
                <w:szCs w:val="16"/>
              </w:rPr>
              <w:t xml:space="preserve">GB data </w:t>
            </w:r>
          </w:p>
        </w:tc>
      </w:tr>
      <w:tr w:rsidR="0050073B" w14:paraId="198DA760" w14:textId="77777777" w:rsidTr="0050073B">
        <w:trPr>
          <w:trHeight w:val="432"/>
        </w:trPr>
        <w:tc>
          <w:tcPr>
            <w:tcW w:w="3167" w:type="pct"/>
            <w:tcBorders>
              <w:top w:val="single" w:sz="4" w:space="0" w:color="auto"/>
              <w:left w:val="single" w:sz="4" w:space="0" w:color="auto"/>
              <w:bottom w:val="single" w:sz="4" w:space="0" w:color="auto"/>
              <w:right w:val="single" w:sz="4" w:space="0" w:color="auto"/>
            </w:tcBorders>
            <w:hideMark/>
          </w:tcPr>
          <w:p w14:paraId="0688C657" w14:textId="77777777" w:rsidR="0050073B" w:rsidRPr="00F65B5B" w:rsidRDefault="0050073B" w:rsidP="00E01D8F">
            <w:pPr>
              <w:spacing w:before="100" w:after="100"/>
              <w:rPr>
                <w:b/>
                <w:bCs/>
                <w:sz w:val="16"/>
                <w:szCs w:val="16"/>
                <w:lang w:eastAsia="en-AU"/>
              </w:rPr>
            </w:pPr>
            <w:r w:rsidRPr="00F65B5B">
              <w:rPr>
                <w:b/>
                <w:bCs/>
                <w:sz w:val="16"/>
                <w:szCs w:val="16"/>
                <w:lang w:eastAsia="en-AU"/>
              </w:rPr>
              <w:t>Minimum total cost over 12 months</w:t>
            </w:r>
          </w:p>
        </w:tc>
        <w:tc>
          <w:tcPr>
            <w:tcW w:w="1833" w:type="pct"/>
            <w:tcBorders>
              <w:top w:val="single" w:sz="4" w:space="0" w:color="auto"/>
              <w:left w:val="single" w:sz="4" w:space="0" w:color="auto"/>
              <w:bottom w:val="single" w:sz="4" w:space="0" w:color="auto"/>
              <w:right w:val="single" w:sz="4" w:space="0" w:color="auto"/>
            </w:tcBorders>
            <w:vAlign w:val="center"/>
          </w:tcPr>
          <w:p w14:paraId="482DA131" w14:textId="77777777" w:rsidR="0050073B" w:rsidRPr="00F65B5B" w:rsidRDefault="0050073B" w:rsidP="00E01D8F">
            <w:pPr>
              <w:spacing w:before="100" w:after="100"/>
              <w:jc w:val="center"/>
              <w:rPr>
                <w:rFonts w:eastAsia="Calibri"/>
                <w:sz w:val="16"/>
                <w:szCs w:val="16"/>
              </w:rPr>
            </w:pPr>
            <w:r w:rsidRPr="00F65B5B">
              <w:rPr>
                <w:rFonts w:eastAsia="Calibri"/>
                <w:sz w:val="16"/>
                <w:szCs w:val="16"/>
              </w:rPr>
              <w:t>$</w:t>
            </w:r>
            <w:r>
              <w:rPr>
                <w:rFonts w:eastAsia="Calibri"/>
                <w:sz w:val="16"/>
                <w:szCs w:val="16"/>
              </w:rPr>
              <w:t>1,440</w:t>
            </w:r>
          </w:p>
        </w:tc>
      </w:tr>
    </w:tbl>
    <w:p w14:paraId="6A5AC7CB" w14:textId="77777777" w:rsidR="0050073B" w:rsidRDefault="0050073B" w:rsidP="0050073B">
      <w:pPr>
        <w:spacing w:after="200"/>
        <w:rPr>
          <w:sz w:val="20"/>
        </w:rPr>
      </w:pPr>
    </w:p>
    <w:p w14:paraId="37AFA03F" w14:textId="77777777" w:rsidR="0050073B" w:rsidRDefault="0050073B" w:rsidP="0050073B">
      <w:pPr>
        <w:spacing w:after="200"/>
        <w:rPr>
          <w:b/>
          <w:sz w:val="20"/>
        </w:rPr>
      </w:pPr>
      <w:r>
        <w:rPr>
          <w:b/>
          <w:sz w:val="20"/>
        </w:rPr>
        <w:t>Table 2 – Other usage types and charges</w:t>
      </w:r>
    </w:p>
    <w:tbl>
      <w:tblPr>
        <w:tblW w:w="48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2"/>
        <w:gridCol w:w="4428"/>
      </w:tblGrid>
      <w:tr w:rsidR="0050073B" w14:paraId="7A7FB8E8" w14:textId="77777777" w:rsidTr="00E01D8F">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67A36122" w14:textId="77777777" w:rsidR="0050073B" w:rsidRDefault="0050073B" w:rsidP="00E01D8F">
            <w:pPr>
              <w:spacing w:before="100" w:after="100"/>
              <w:rPr>
                <w:rFonts w:eastAsia="Calibri"/>
                <w:b/>
                <w:sz w:val="20"/>
              </w:rPr>
            </w:pPr>
            <w:r>
              <w:rPr>
                <w:rFonts w:eastAsia="Calibri"/>
                <w:b/>
                <w:sz w:val="20"/>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01D243CD" w14:textId="77777777" w:rsidR="0050073B" w:rsidRDefault="0050073B" w:rsidP="00E01D8F">
            <w:pPr>
              <w:spacing w:before="100" w:after="100"/>
              <w:jc w:val="center"/>
              <w:rPr>
                <w:rFonts w:eastAsia="Calibri"/>
                <w:b/>
                <w:sz w:val="20"/>
              </w:rPr>
            </w:pPr>
            <w:r>
              <w:rPr>
                <w:rFonts w:eastAsia="Calibri"/>
                <w:b/>
                <w:sz w:val="20"/>
              </w:rPr>
              <w:t>Charge</w:t>
            </w:r>
          </w:p>
        </w:tc>
      </w:tr>
      <w:tr w:rsidR="0050073B" w14:paraId="66C63F57" w14:textId="77777777" w:rsidTr="00E01D8F">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10E58749" w14:textId="77777777" w:rsidR="0050073B" w:rsidRPr="00F65B5B" w:rsidRDefault="0050073B" w:rsidP="00E01D8F">
            <w:pPr>
              <w:spacing w:before="100" w:after="100"/>
              <w:rPr>
                <w:rFonts w:eastAsia="Calibri"/>
                <w:sz w:val="16"/>
                <w:szCs w:val="16"/>
              </w:rPr>
            </w:pPr>
            <w:r w:rsidRPr="00F65B5B">
              <w:rPr>
                <w:rFonts w:eastAsia="Calibri"/>
                <w:b/>
                <w:bCs/>
                <w:sz w:val="16"/>
                <w:szCs w:val="16"/>
                <w:lang w:eastAsia="en-AU"/>
              </w:rPr>
              <w:t>National video calls</w:t>
            </w:r>
            <w:r w:rsidRPr="00F65B5B">
              <w:rPr>
                <w:rFonts w:eastAsia="Calibri"/>
                <w:bCs/>
                <w:sz w:val="16"/>
                <w:szCs w:val="16"/>
                <w:lang w:eastAsia="en-AU"/>
              </w:rPr>
              <w:t xml:space="preserve"> </w:t>
            </w:r>
            <w:r w:rsidRPr="00F65B5B">
              <w:rPr>
                <w:rFonts w:eastAsia="Calibri"/>
                <w:sz w:val="16"/>
                <w:szCs w:val="16"/>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083AE65" w14:textId="77777777" w:rsidR="0050073B" w:rsidRPr="00F65B5B" w:rsidRDefault="0050073B" w:rsidP="00E01D8F">
            <w:pPr>
              <w:spacing w:before="100" w:after="100"/>
              <w:jc w:val="center"/>
              <w:rPr>
                <w:rFonts w:eastAsia="Calibri"/>
                <w:sz w:val="16"/>
                <w:szCs w:val="16"/>
              </w:rPr>
            </w:pPr>
            <w:r w:rsidRPr="00F65B5B">
              <w:rPr>
                <w:rFonts w:eastAsia="Calibri"/>
                <w:sz w:val="16"/>
                <w:szCs w:val="16"/>
              </w:rPr>
              <w:t>$1.00 per min + 40c flagfall</w:t>
            </w:r>
          </w:p>
        </w:tc>
      </w:tr>
      <w:tr w:rsidR="0050073B" w14:paraId="69980AED" w14:textId="77777777" w:rsidTr="00E01D8F">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5E78E6F6" w14:textId="77777777" w:rsidR="0050073B" w:rsidRPr="00F65B5B" w:rsidRDefault="0050073B" w:rsidP="00E01D8F">
            <w:pPr>
              <w:spacing w:before="100" w:after="100"/>
              <w:rPr>
                <w:rFonts w:eastAsia="Calibri"/>
                <w:b/>
                <w:sz w:val="16"/>
                <w:szCs w:val="16"/>
              </w:rPr>
            </w:pPr>
            <w:r w:rsidRPr="00F65B5B">
              <w:rPr>
                <w:rFonts w:eastAsia="Calibri"/>
                <w:b/>
                <w:bCs/>
                <w:sz w:val="16"/>
                <w:szCs w:val="16"/>
                <w:lang w:eastAsia="en-AU"/>
              </w:rPr>
              <w:t xml:space="preserve">VoiceMail Deposits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F415CF5" w14:textId="77777777" w:rsidR="0050073B" w:rsidRPr="00F65B5B" w:rsidRDefault="0050073B" w:rsidP="00E01D8F">
            <w:pPr>
              <w:spacing w:before="100" w:after="100"/>
              <w:jc w:val="center"/>
              <w:rPr>
                <w:rFonts w:eastAsia="Calibri"/>
                <w:sz w:val="16"/>
                <w:szCs w:val="16"/>
                <w:lang w:eastAsia="en-AU"/>
              </w:rPr>
            </w:pPr>
            <w:r w:rsidRPr="00F65B5B">
              <w:rPr>
                <w:rFonts w:eastAsia="Calibri"/>
                <w:sz w:val="16"/>
                <w:szCs w:val="16"/>
              </w:rPr>
              <w:t>$0 per minute</w:t>
            </w:r>
          </w:p>
        </w:tc>
      </w:tr>
      <w:tr w:rsidR="0050073B" w14:paraId="15C0D1F1" w14:textId="77777777" w:rsidTr="00E01D8F">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08E823D5" w14:textId="77777777" w:rsidR="0050073B" w:rsidRPr="00F65B5B" w:rsidRDefault="0050073B" w:rsidP="00E01D8F">
            <w:pPr>
              <w:spacing w:before="100" w:after="100"/>
              <w:rPr>
                <w:rFonts w:eastAsia="Calibri"/>
                <w:b/>
                <w:sz w:val="16"/>
                <w:szCs w:val="16"/>
              </w:rPr>
            </w:pPr>
            <w:r w:rsidRPr="00F65B5B">
              <w:rPr>
                <w:rFonts w:eastAsia="Calibri"/>
                <w:b/>
                <w:bCs/>
                <w:sz w:val="16"/>
                <w:szCs w:val="16"/>
                <w:lang w:eastAsia="en-AU"/>
              </w:rPr>
              <w:t>Voicemail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CB34DE9" w14:textId="77777777" w:rsidR="0050073B" w:rsidRPr="00F65B5B" w:rsidRDefault="0050073B" w:rsidP="00E01D8F">
            <w:pPr>
              <w:spacing w:before="100" w:after="100"/>
              <w:jc w:val="center"/>
              <w:rPr>
                <w:rFonts w:eastAsia="Calibri"/>
                <w:sz w:val="16"/>
                <w:szCs w:val="16"/>
              </w:rPr>
            </w:pPr>
            <w:r w:rsidRPr="00F65B5B">
              <w:rPr>
                <w:rFonts w:eastAsia="Calibri"/>
                <w:sz w:val="16"/>
                <w:szCs w:val="16"/>
              </w:rPr>
              <w:t>$0 per minute</w:t>
            </w:r>
          </w:p>
        </w:tc>
      </w:tr>
      <w:tr w:rsidR="0050073B" w14:paraId="588F5660" w14:textId="77777777" w:rsidTr="00E01D8F">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2142CC6A" w14:textId="77777777" w:rsidR="0050073B" w:rsidRPr="00F65B5B" w:rsidRDefault="0050073B" w:rsidP="00E01D8F">
            <w:pPr>
              <w:spacing w:before="100" w:after="100"/>
              <w:rPr>
                <w:rFonts w:eastAsia="Calibri"/>
                <w:b/>
                <w:bCs/>
                <w:sz w:val="16"/>
                <w:szCs w:val="16"/>
                <w:lang w:eastAsia="en-AU"/>
              </w:rPr>
            </w:pPr>
            <w:r w:rsidRPr="00F65B5B">
              <w:rPr>
                <w:rFonts w:eastAsia="Calibri"/>
                <w:b/>
                <w:bCs/>
                <w:sz w:val="16"/>
                <w:szCs w:val="16"/>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AA8CB63" w14:textId="77777777" w:rsidR="0050073B" w:rsidRPr="00F65B5B" w:rsidRDefault="0050073B" w:rsidP="00E01D8F">
            <w:pPr>
              <w:spacing w:before="100" w:after="100"/>
              <w:jc w:val="center"/>
              <w:rPr>
                <w:rFonts w:eastAsia="Calibri"/>
                <w:sz w:val="16"/>
                <w:szCs w:val="16"/>
              </w:rPr>
            </w:pPr>
            <w:r w:rsidRPr="00F65B5B">
              <w:rPr>
                <w:rFonts w:eastAsia="Calibri"/>
                <w:sz w:val="16"/>
                <w:szCs w:val="16"/>
              </w:rPr>
              <w:t>$0 per minute</w:t>
            </w:r>
          </w:p>
        </w:tc>
      </w:tr>
      <w:tr w:rsidR="0050073B" w14:paraId="68273385" w14:textId="77777777" w:rsidTr="00E01D8F">
        <w:trPr>
          <w:trHeight w:val="54"/>
        </w:trPr>
        <w:tc>
          <w:tcPr>
            <w:tcW w:w="5495" w:type="dxa"/>
            <w:tcBorders>
              <w:top w:val="single" w:sz="4" w:space="0" w:color="auto"/>
              <w:left w:val="single" w:sz="4" w:space="0" w:color="auto"/>
              <w:bottom w:val="single" w:sz="4" w:space="0" w:color="auto"/>
              <w:right w:val="single" w:sz="4" w:space="0" w:color="auto"/>
            </w:tcBorders>
            <w:vAlign w:val="center"/>
            <w:hideMark/>
          </w:tcPr>
          <w:p w14:paraId="0DF190AC" w14:textId="77777777" w:rsidR="0050073B" w:rsidRPr="00F65B5B" w:rsidRDefault="0050073B" w:rsidP="00E01D8F">
            <w:pPr>
              <w:spacing w:before="100" w:after="100"/>
              <w:rPr>
                <w:rFonts w:eastAsia="Calibri"/>
                <w:b/>
                <w:bCs/>
                <w:sz w:val="16"/>
                <w:szCs w:val="16"/>
                <w:lang w:eastAsia="en-AU"/>
              </w:rPr>
            </w:pPr>
            <w:r w:rsidRPr="00F65B5B">
              <w:rPr>
                <w:rFonts w:eastAsia="Calibri"/>
                <w:b/>
                <w:bCs/>
                <w:sz w:val="16"/>
                <w:szCs w:val="16"/>
                <w:lang w:eastAsia="en-AU"/>
              </w:rPr>
              <w:t xml:space="preserve">International Diversions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0747CA43" w14:textId="77777777" w:rsidR="0050073B" w:rsidRPr="00F65B5B" w:rsidRDefault="0050073B" w:rsidP="00E01D8F">
            <w:pPr>
              <w:spacing w:before="100" w:after="100"/>
              <w:jc w:val="center"/>
              <w:rPr>
                <w:rFonts w:eastAsia="Calibri"/>
                <w:sz w:val="16"/>
                <w:szCs w:val="16"/>
              </w:rPr>
            </w:pPr>
            <w:r w:rsidRPr="00F65B5B">
              <w:rPr>
                <w:rFonts w:eastAsia="Calibri"/>
                <w:sz w:val="16"/>
                <w:szCs w:val="16"/>
              </w:rPr>
              <w:t>'yes' international rates</w:t>
            </w:r>
            <w:r w:rsidRPr="00F65B5B">
              <w:rPr>
                <w:rFonts w:eastAsia="Calibri"/>
                <w:sz w:val="16"/>
                <w:szCs w:val="16"/>
              </w:rPr>
              <w:br/>
              <w:t>See optus.com.au/international</w:t>
            </w:r>
          </w:p>
        </w:tc>
      </w:tr>
      <w:tr w:rsidR="0050073B" w14:paraId="58758802" w14:textId="77777777" w:rsidTr="00E01D8F">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42F06496" w14:textId="77777777" w:rsidR="0050073B" w:rsidRPr="00F65B5B" w:rsidRDefault="0050073B" w:rsidP="00E01D8F">
            <w:pPr>
              <w:spacing w:before="100" w:after="100"/>
              <w:rPr>
                <w:rFonts w:eastAsia="Calibri"/>
                <w:b/>
                <w:bCs/>
                <w:sz w:val="16"/>
                <w:szCs w:val="16"/>
                <w:lang w:eastAsia="en-AU"/>
              </w:rPr>
            </w:pPr>
            <w:r w:rsidRPr="00F65B5B">
              <w:rPr>
                <w:rFonts w:eastAsia="Calibri"/>
                <w:b/>
                <w:bCs/>
                <w:sz w:val="16"/>
                <w:szCs w:val="16"/>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B4F9E38" w14:textId="77777777" w:rsidR="0050073B" w:rsidRPr="00F65B5B" w:rsidRDefault="0050073B" w:rsidP="00E01D8F">
            <w:pPr>
              <w:spacing w:before="100" w:after="100"/>
              <w:jc w:val="center"/>
              <w:rPr>
                <w:rFonts w:eastAsia="Calibri"/>
                <w:sz w:val="16"/>
                <w:szCs w:val="16"/>
              </w:rPr>
            </w:pPr>
            <w:r w:rsidRPr="00F65B5B">
              <w:rPr>
                <w:rFonts w:eastAsia="Calibri"/>
                <w:sz w:val="16"/>
                <w:szCs w:val="16"/>
              </w:rPr>
              <w:t>$0 per minute</w:t>
            </w:r>
          </w:p>
        </w:tc>
      </w:tr>
      <w:tr w:rsidR="0050073B" w14:paraId="27655C48" w14:textId="77777777" w:rsidTr="00E01D8F">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2FEFA160" w14:textId="77777777" w:rsidR="0050073B" w:rsidRPr="00F65B5B" w:rsidRDefault="0050073B" w:rsidP="00E01D8F">
            <w:pPr>
              <w:spacing w:before="100" w:after="100"/>
              <w:rPr>
                <w:rFonts w:eastAsia="Calibri"/>
                <w:b/>
                <w:bCs/>
                <w:sz w:val="16"/>
                <w:szCs w:val="16"/>
                <w:lang w:eastAsia="en-AU"/>
              </w:rPr>
            </w:pPr>
            <w:r w:rsidRPr="00F65B5B">
              <w:rPr>
                <w:rFonts w:eastAsia="Calibri"/>
                <w:b/>
                <w:bCs/>
                <w:sz w:val="16"/>
                <w:szCs w:val="16"/>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70EA1E4" w14:textId="77777777" w:rsidR="0050073B" w:rsidRPr="00F65B5B" w:rsidRDefault="0050073B" w:rsidP="00E01D8F">
            <w:pPr>
              <w:spacing w:before="100" w:after="100"/>
              <w:jc w:val="center"/>
              <w:rPr>
                <w:rFonts w:eastAsia="Calibri"/>
                <w:sz w:val="16"/>
                <w:szCs w:val="16"/>
              </w:rPr>
            </w:pPr>
            <w:r w:rsidRPr="00F65B5B">
              <w:rPr>
                <w:rFonts w:eastAsia="Calibri"/>
                <w:sz w:val="16"/>
                <w:szCs w:val="16"/>
              </w:rPr>
              <w:t>50c per call</w:t>
            </w:r>
          </w:p>
        </w:tc>
      </w:tr>
      <w:tr w:rsidR="0050073B" w14:paraId="5EA706E8" w14:textId="77777777" w:rsidTr="00E01D8F">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7691EF53" w14:textId="77777777" w:rsidR="0050073B" w:rsidRPr="00F65B5B" w:rsidRDefault="0050073B" w:rsidP="00E01D8F">
            <w:pPr>
              <w:spacing w:before="100" w:after="100"/>
              <w:rPr>
                <w:rFonts w:eastAsia="Calibri"/>
                <w:b/>
                <w:bCs/>
                <w:sz w:val="16"/>
                <w:szCs w:val="16"/>
                <w:lang w:eastAsia="en-AU"/>
              </w:rPr>
            </w:pPr>
            <w:r w:rsidRPr="00F65B5B">
              <w:rPr>
                <w:rFonts w:eastAsia="Calibri"/>
                <w:b/>
                <w:bCs/>
                <w:sz w:val="16"/>
                <w:szCs w:val="16"/>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79733B2" w14:textId="77777777" w:rsidR="0050073B" w:rsidRPr="00F65B5B" w:rsidRDefault="0050073B" w:rsidP="00E01D8F">
            <w:pPr>
              <w:spacing w:before="100" w:after="100"/>
              <w:jc w:val="center"/>
              <w:rPr>
                <w:rFonts w:eastAsia="Calibri"/>
                <w:sz w:val="16"/>
                <w:szCs w:val="16"/>
              </w:rPr>
            </w:pPr>
            <w:r w:rsidRPr="00F65B5B">
              <w:rPr>
                <w:rFonts w:eastAsia="Calibri"/>
                <w:sz w:val="16"/>
                <w:szCs w:val="16"/>
              </w:rPr>
              <w:t>90c per minute +$1.75c flagfall</w:t>
            </w:r>
          </w:p>
        </w:tc>
      </w:tr>
      <w:tr w:rsidR="0050073B" w14:paraId="5E7B338B" w14:textId="77777777" w:rsidTr="00E01D8F">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48C0EAEA" w14:textId="77777777" w:rsidR="0050073B" w:rsidRPr="00F65B5B" w:rsidRDefault="0050073B" w:rsidP="00E01D8F">
            <w:pPr>
              <w:spacing w:before="100" w:after="100"/>
              <w:rPr>
                <w:rFonts w:eastAsia="Calibri"/>
                <w:b/>
                <w:bCs/>
                <w:sz w:val="16"/>
                <w:szCs w:val="16"/>
                <w:lang w:eastAsia="en-AU"/>
              </w:rPr>
            </w:pPr>
            <w:r w:rsidRPr="00F65B5B">
              <w:rPr>
                <w:rFonts w:eastAsia="Calibri"/>
                <w:b/>
                <w:bCs/>
                <w:sz w:val="16"/>
                <w:szCs w:val="16"/>
                <w:lang w:eastAsia="en-AU"/>
              </w:rPr>
              <w:t xml:space="preserve">International voice calls (outside the plan's included international minutes and to excluded countries)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C00FDC8" w14:textId="77777777" w:rsidR="0050073B" w:rsidRPr="00F65B5B" w:rsidRDefault="0050073B" w:rsidP="00E01D8F">
            <w:pPr>
              <w:spacing w:before="100" w:after="100"/>
              <w:jc w:val="center"/>
              <w:rPr>
                <w:rFonts w:eastAsia="Calibri"/>
                <w:sz w:val="16"/>
                <w:szCs w:val="16"/>
              </w:rPr>
            </w:pPr>
            <w:r w:rsidRPr="00F65B5B">
              <w:rPr>
                <w:rFonts w:eastAsia="Calibri"/>
                <w:sz w:val="16"/>
                <w:szCs w:val="16"/>
              </w:rPr>
              <w:t>'yes' international rates</w:t>
            </w:r>
          </w:p>
          <w:p w14:paraId="3D14B547" w14:textId="77777777" w:rsidR="0050073B" w:rsidRPr="00F65B5B" w:rsidRDefault="0050073B" w:rsidP="00E01D8F">
            <w:pPr>
              <w:spacing w:before="100" w:after="100"/>
              <w:jc w:val="center"/>
              <w:rPr>
                <w:rFonts w:eastAsia="Calibri"/>
                <w:sz w:val="16"/>
                <w:szCs w:val="16"/>
              </w:rPr>
            </w:pPr>
            <w:r w:rsidRPr="00F65B5B">
              <w:rPr>
                <w:rFonts w:eastAsia="Calibri"/>
                <w:sz w:val="16"/>
                <w:szCs w:val="16"/>
              </w:rPr>
              <w:t>See optus.com.au/international</w:t>
            </w:r>
          </w:p>
        </w:tc>
      </w:tr>
      <w:tr w:rsidR="0050073B" w14:paraId="46EBA6C1" w14:textId="77777777" w:rsidTr="00E01D8F">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377531AA" w14:textId="77777777" w:rsidR="0050073B" w:rsidRPr="00F65B5B" w:rsidRDefault="0050073B" w:rsidP="00E01D8F">
            <w:pPr>
              <w:spacing w:before="100" w:after="100"/>
              <w:rPr>
                <w:rFonts w:eastAsia="Calibri"/>
                <w:b/>
                <w:bCs/>
                <w:sz w:val="16"/>
                <w:szCs w:val="16"/>
                <w:lang w:eastAsia="en-AU"/>
              </w:rPr>
            </w:pPr>
            <w:r w:rsidRPr="00F65B5B">
              <w:rPr>
                <w:rFonts w:eastAsia="Calibri"/>
                <w:b/>
                <w:bCs/>
                <w:sz w:val="16"/>
                <w:szCs w:val="16"/>
                <w:lang w:eastAsia="en-AU"/>
              </w:rPr>
              <w:t xml:space="preserve">International SMS (to excluded countries)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5FF1C41" w14:textId="77777777" w:rsidR="0050073B" w:rsidRPr="00F65B5B" w:rsidRDefault="0050073B" w:rsidP="00E01D8F">
            <w:pPr>
              <w:spacing w:before="100" w:after="100"/>
              <w:jc w:val="center"/>
              <w:rPr>
                <w:rFonts w:eastAsia="Calibri"/>
                <w:sz w:val="16"/>
                <w:szCs w:val="16"/>
              </w:rPr>
            </w:pPr>
            <w:r w:rsidRPr="00F65B5B">
              <w:rPr>
                <w:rFonts w:eastAsia="Calibri"/>
                <w:sz w:val="16"/>
                <w:szCs w:val="16"/>
              </w:rPr>
              <w:t>50c per SMS up to 160 standard characters</w:t>
            </w:r>
          </w:p>
        </w:tc>
      </w:tr>
      <w:tr w:rsidR="0050073B" w14:paraId="02EAAF36" w14:textId="77777777" w:rsidTr="00E01D8F">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59691C58" w14:textId="77777777" w:rsidR="0050073B" w:rsidRPr="00F65B5B" w:rsidRDefault="0050073B" w:rsidP="00E01D8F">
            <w:pPr>
              <w:spacing w:before="100" w:after="100"/>
              <w:rPr>
                <w:rFonts w:eastAsia="Calibri"/>
                <w:b/>
                <w:bCs/>
                <w:sz w:val="16"/>
                <w:szCs w:val="16"/>
                <w:lang w:eastAsia="en-AU"/>
              </w:rPr>
            </w:pPr>
            <w:r w:rsidRPr="00F65B5B">
              <w:rPr>
                <w:rFonts w:eastAsia="Calibri"/>
                <w:b/>
                <w:bCs/>
                <w:sz w:val="16"/>
                <w:szCs w:val="16"/>
                <w:lang w:eastAsia="en-AU"/>
              </w:rPr>
              <w:t>International MMS (to excluded countries)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0713AD4" w14:textId="77777777" w:rsidR="0050073B" w:rsidRPr="00F65B5B" w:rsidRDefault="0050073B" w:rsidP="00E01D8F">
            <w:pPr>
              <w:spacing w:before="100" w:after="100"/>
              <w:jc w:val="center"/>
              <w:rPr>
                <w:rFonts w:eastAsia="Calibri"/>
                <w:sz w:val="16"/>
                <w:szCs w:val="16"/>
              </w:rPr>
            </w:pPr>
            <w:r w:rsidRPr="00F65B5B">
              <w:rPr>
                <w:rFonts w:eastAsia="Calibri"/>
                <w:sz w:val="16"/>
                <w:szCs w:val="16"/>
              </w:rPr>
              <w:t>75c per MMS</w:t>
            </w:r>
          </w:p>
        </w:tc>
      </w:tr>
      <w:tr w:rsidR="0050073B" w14:paraId="7EDFFA69" w14:textId="77777777" w:rsidTr="00E01D8F">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00505614" w14:textId="77777777" w:rsidR="0050073B" w:rsidRPr="00F65B5B" w:rsidRDefault="0050073B" w:rsidP="00E01D8F">
            <w:pPr>
              <w:spacing w:before="100" w:after="100"/>
              <w:rPr>
                <w:rFonts w:eastAsia="Calibri"/>
                <w:b/>
                <w:bCs/>
                <w:sz w:val="16"/>
                <w:szCs w:val="16"/>
                <w:lang w:eastAsia="en-AU"/>
              </w:rPr>
            </w:pPr>
            <w:r w:rsidRPr="00F65B5B">
              <w:rPr>
                <w:rFonts w:eastAsia="Calibri"/>
                <w:b/>
                <w:bCs/>
                <w:sz w:val="16"/>
                <w:szCs w:val="16"/>
                <w:lang w:eastAsia="en-AU"/>
              </w:rPr>
              <w:t xml:space="preserve">International video calling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502FE3C" w14:textId="77777777" w:rsidR="0050073B" w:rsidRPr="00F65B5B" w:rsidRDefault="0050073B" w:rsidP="00E01D8F">
            <w:pPr>
              <w:spacing w:before="100" w:after="100"/>
              <w:jc w:val="center"/>
              <w:rPr>
                <w:rFonts w:eastAsia="Calibri"/>
                <w:sz w:val="16"/>
                <w:szCs w:val="16"/>
              </w:rPr>
            </w:pPr>
            <w:r w:rsidRPr="00F65B5B">
              <w:rPr>
                <w:rFonts w:eastAsia="Calibri"/>
                <w:sz w:val="16"/>
                <w:szCs w:val="16"/>
              </w:rPr>
              <w:t>$1.50 per minute +35c flagfall</w:t>
            </w:r>
          </w:p>
        </w:tc>
      </w:tr>
      <w:tr w:rsidR="0050073B" w14:paraId="64723E22" w14:textId="77777777" w:rsidTr="00E01D8F">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71968E0B" w14:textId="77777777" w:rsidR="0050073B" w:rsidRPr="00F65B5B" w:rsidRDefault="0050073B" w:rsidP="00E01D8F">
            <w:pPr>
              <w:spacing w:before="100" w:after="100"/>
              <w:rPr>
                <w:rFonts w:eastAsia="Calibri"/>
                <w:b/>
                <w:bCs/>
                <w:sz w:val="16"/>
                <w:szCs w:val="16"/>
                <w:lang w:eastAsia="en-AU"/>
              </w:rPr>
            </w:pPr>
            <w:r w:rsidRPr="00F65B5B">
              <w:rPr>
                <w:rFonts w:eastAsia="Calibri"/>
                <w:b/>
                <w:bCs/>
                <w:sz w:val="16"/>
                <w:szCs w:val="16"/>
                <w:lang w:eastAsia="en-AU"/>
              </w:rPr>
              <w:t xml:space="preserve">International roaming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7D43E99" w14:textId="77777777" w:rsidR="0050073B" w:rsidRPr="00F65B5B" w:rsidRDefault="0050073B" w:rsidP="00E01D8F">
            <w:pPr>
              <w:spacing w:before="100" w:after="100"/>
              <w:jc w:val="center"/>
              <w:rPr>
                <w:rFonts w:eastAsia="Calibri"/>
                <w:sz w:val="16"/>
                <w:szCs w:val="16"/>
              </w:rPr>
            </w:pPr>
            <w:r w:rsidRPr="00F65B5B">
              <w:rPr>
                <w:rFonts w:eastAsia="Calibri"/>
                <w:sz w:val="16"/>
                <w:szCs w:val="16"/>
              </w:rPr>
              <w:t>See optus.com.au/roaming</w:t>
            </w:r>
          </w:p>
        </w:tc>
      </w:tr>
    </w:tbl>
    <w:p w14:paraId="0DC6944B" w14:textId="77777777" w:rsidR="0050073B" w:rsidRDefault="0050073B" w:rsidP="0050073B">
      <w:pPr>
        <w:spacing w:after="200"/>
        <w:rPr>
          <w:sz w:val="20"/>
        </w:rPr>
      </w:pPr>
    </w:p>
    <w:p w14:paraId="1633B0FA" w14:textId="77777777" w:rsidR="0050073B" w:rsidRDefault="0050073B" w:rsidP="0050073B">
      <w:pPr>
        <w:pStyle w:val="Heading6"/>
        <w:rPr>
          <w:bCs w:val="0"/>
        </w:rPr>
      </w:pPr>
      <w:bookmarkStart w:id="2449" w:name="_Toc22802313"/>
      <w:r>
        <w:rPr>
          <w:bCs w:val="0"/>
        </w:rPr>
        <w:t>My Account</w:t>
      </w:r>
      <w:bookmarkEnd w:id="2449"/>
    </w:p>
    <w:p w14:paraId="58193558" w14:textId="77777777" w:rsidR="0050073B" w:rsidRDefault="0050073B" w:rsidP="0050073B">
      <w:pPr>
        <w:spacing w:after="200"/>
        <w:ind w:left="720"/>
        <w:rPr>
          <w:sz w:val="20"/>
        </w:rPr>
      </w:pPr>
      <w:r>
        <w:rPr>
          <w:sz w:val="20"/>
        </w:rPr>
        <w:t xml:space="preserve">Services that share data may have a service login to My Account which will display all of the service numbers contributing to or using the shared data pool on </w:t>
      </w:r>
      <w:r>
        <w:rPr>
          <w:i/>
          <w:sz w:val="20"/>
        </w:rPr>
        <w:t xml:space="preserve">your </w:t>
      </w:r>
      <w:r>
        <w:rPr>
          <w:sz w:val="20"/>
        </w:rPr>
        <w:t xml:space="preserve">account and the amount of data each </w:t>
      </w:r>
      <w:r>
        <w:rPr>
          <w:i/>
          <w:sz w:val="20"/>
        </w:rPr>
        <w:t>service</w:t>
      </w:r>
      <w:r>
        <w:rPr>
          <w:sz w:val="20"/>
        </w:rPr>
        <w:t xml:space="preserve"> has used. If </w:t>
      </w:r>
      <w:r>
        <w:rPr>
          <w:i/>
          <w:sz w:val="20"/>
        </w:rPr>
        <w:t>you</w:t>
      </w:r>
      <w:r>
        <w:rPr>
          <w:sz w:val="20"/>
        </w:rPr>
        <w:t xml:space="preserve"> have more than 6 services on </w:t>
      </w:r>
      <w:r>
        <w:rPr>
          <w:i/>
          <w:sz w:val="20"/>
        </w:rPr>
        <w:t>your</w:t>
      </w:r>
      <w:r>
        <w:rPr>
          <w:sz w:val="20"/>
        </w:rPr>
        <w:t xml:space="preserve"> account, My Account may not be suitable for viewing usage and managing </w:t>
      </w:r>
      <w:r>
        <w:rPr>
          <w:i/>
          <w:sz w:val="20"/>
        </w:rPr>
        <w:t xml:space="preserve">your </w:t>
      </w:r>
      <w:r>
        <w:rPr>
          <w:sz w:val="20"/>
        </w:rPr>
        <w:t>usage alerts.</w:t>
      </w:r>
    </w:p>
    <w:p w14:paraId="5A205898" w14:textId="77777777" w:rsidR="0050073B" w:rsidRDefault="0050073B" w:rsidP="0050073B">
      <w:pPr>
        <w:pStyle w:val="Heading6"/>
        <w:rPr>
          <w:bCs w:val="0"/>
        </w:rPr>
      </w:pPr>
      <w:bookmarkStart w:id="2450" w:name="_Toc22802314"/>
      <w:r>
        <w:rPr>
          <w:bCs w:val="0"/>
        </w:rPr>
        <w:t xml:space="preserve">What happens if the </w:t>
      </w:r>
      <w:r>
        <w:rPr>
          <w:bCs w:val="0"/>
          <w:i/>
        </w:rPr>
        <w:t xml:space="preserve">service </w:t>
      </w:r>
      <w:r>
        <w:rPr>
          <w:bCs w:val="0"/>
        </w:rPr>
        <w:t>is</w:t>
      </w:r>
      <w:r>
        <w:rPr>
          <w:bCs w:val="0"/>
          <w:i/>
        </w:rPr>
        <w:t xml:space="preserve"> cancelled </w:t>
      </w:r>
      <w:r>
        <w:rPr>
          <w:bCs w:val="0"/>
        </w:rPr>
        <w:t>early?</w:t>
      </w:r>
      <w:bookmarkEnd w:id="2450"/>
    </w:p>
    <w:p w14:paraId="25F3A114" w14:textId="77777777" w:rsidR="0050073B" w:rsidRDefault="0050073B" w:rsidP="0050073B">
      <w:pPr>
        <w:pStyle w:val="Heading7"/>
      </w:pPr>
      <w:r>
        <w:t>If the</w:t>
      </w:r>
      <w:r>
        <w:rPr>
          <w:i/>
        </w:rPr>
        <w:t xml:space="preserve"> service</w:t>
      </w:r>
      <w:r>
        <w:t xml:space="preserve"> is</w:t>
      </w:r>
      <w:r>
        <w:rPr>
          <w:i/>
        </w:rPr>
        <w:t xml:space="preserve"> cancelled </w:t>
      </w:r>
      <w:r>
        <w:t xml:space="preserve">before the end of </w:t>
      </w:r>
      <w:r>
        <w:rPr>
          <w:i/>
        </w:rPr>
        <w:t xml:space="preserve">your minimum term, you </w:t>
      </w:r>
      <w:r>
        <w:t xml:space="preserve">will be required to pay </w:t>
      </w:r>
      <w:r>
        <w:rPr>
          <w:i/>
        </w:rPr>
        <w:t>us</w:t>
      </w:r>
      <w:r>
        <w:t>:</w:t>
      </w:r>
    </w:p>
    <w:p w14:paraId="0E773849" w14:textId="77777777" w:rsidR="0050073B" w:rsidRDefault="0050073B" w:rsidP="0050073B">
      <w:pPr>
        <w:pStyle w:val="Heading8"/>
        <w:rPr>
          <w:iCs w:val="0"/>
        </w:rPr>
      </w:pPr>
      <w:r>
        <w:rPr>
          <w:iCs w:val="0"/>
        </w:rPr>
        <w:t xml:space="preserve">any usage charges incurred up to, and including, the </w:t>
      </w:r>
      <w:r>
        <w:rPr>
          <w:i/>
          <w:iCs w:val="0"/>
        </w:rPr>
        <w:t xml:space="preserve">cancellation date; </w:t>
      </w:r>
      <w:r>
        <w:rPr>
          <w:iCs w:val="0"/>
        </w:rPr>
        <w:t>plus</w:t>
      </w:r>
    </w:p>
    <w:p w14:paraId="0EB70EF5" w14:textId="77777777" w:rsidR="0050073B" w:rsidRDefault="0050073B" w:rsidP="0050073B">
      <w:pPr>
        <w:pStyle w:val="Heading8"/>
        <w:rPr>
          <w:iCs w:val="0"/>
        </w:rPr>
      </w:pPr>
      <w:r>
        <w:rPr>
          <w:iCs w:val="0"/>
        </w:rPr>
        <w:t xml:space="preserve">the </w:t>
      </w:r>
      <w:r>
        <w:rPr>
          <w:i/>
          <w:iCs w:val="0"/>
        </w:rPr>
        <w:t>cancellation fees</w:t>
      </w:r>
      <w:r>
        <w:rPr>
          <w:iCs w:val="0"/>
        </w:rPr>
        <w:t xml:space="preserve"> set out in paragraph </w:t>
      </w:r>
      <w:r>
        <w:rPr>
          <w:iCs w:val="0"/>
        </w:rPr>
        <w:fldChar w:fldCharType="begin"/>
      </w:r>
      <w:r>
        <w:rPr>
          <w:iCs w:val="0"/>
        </w:rPr>
        <w:instrText xml:space="preserve"> REF _Ref446042467 \n \h </w:instrText>
      </w:r>
      <w:r>
        <w:rPr>
          <w:iCs w:val="0"/>
        </w:rPr>
      </w:r>
      <w:r>
        <w:rPr>
          <w:iCs w:val="0"/>
        </w:rPr>
        <w:fldChar w:fldCharType="separate"/>
      </w:r>
      <w:r>
        <w:rPr>
          <w:iCs w:val="0"/>
        </w:rPr>
        <w:t>(b)</w:t>
      </w:r>
      <w:r>
        <w:rPr>
          <w:iCs w:val="0"/>
        </w:rPr>
        <w:fldChar w:fldCharType="end"/>
      </w:r>
      <w:r>
        <w:rPr>
          <w:iCs w:val="0"/>
        </w:rPr>
        <w:t xml:space="preserve"> below (unless under clause 2A of the </w:t>
      </w:r>
      <w:r>
        <w:rPr>
          <w:i/>
          <w:iCs w:val="0"/>
        </w:rPr>
        <w:t>consumer terms</w:t>
      </w:r>
      <w:r>
        <w:rPr>
          <w:iCs w:val="0"/>
        </w:rPr>
        <w:t xml:space="preserve">, </w:t>
      </w:r>
      <w:r>
        <w:rPr>
          <w:i/>
          <w:iCs w:val="0"/>
        </w:rPr>
        <w:t>you</w:t>
      </w:r>
      <w:r>
        <w:rPr>
          <w:iCs w:val="0"/>
        </w:rPr>
        <w:t xml:space="preserve"> are entitled to </w:t>
      </w:r>
      <w:r>
        <w:rPr>
          <w:i/>
          <w:iCs w:val="0"/>
        </w:rPr>
        <w:t>cancel the service</w:t>
      </w:r>
      <w:r>
        <w:rPr>
          <w:iCs w:val="0"/>
        </w:rPr>
        <w:t xml:space="preserve"> without incurring a </w:t>
      </w:r>
      <w:r>
        <w:rPr>
          <w:i/>
          <w:iCs w:val="0"/>
        </w:rPr>
        <w:t>cancellation fee</w:t>
      </w:r>
      <w:r>
        <w:rPr>
          <w:iCs w:val="0"/>
        </w:rPr>
        <w:t>); plus</w:t>
      </w:r>
    </w:p>
    <w:p w14:paraId="1FC57697" w14:textId="77777777" w:rsidR="0050073B" w:rsidRDefault="0050073B" w:rsidP="0050073B">
      <w:pPr>
        <w:pStyle w:val="Heading8"/>
        <w:rPr>
          <w:iCs w:val="0"/>
        </w:rPr>
      </w:pPr>
      <w:r>
        <w:rPr>
          <w:iCs w:val="0"/>
        </w:rPr>
        <w:t xml:space="preserve">the sum of unpaid </w:t>
      </w:r>
      <w:r>
        <w:rPr>
          <w:i/>
          <w:iCs w:val="0"/>
        </w:rPr>
        <w:t xml:space="preserve">equipment charges </w:t>
      </w:r>
      <w:r>
        <w:rPr>
          <w:iCs w:val="0"/>
        </w:rPr>
        <w:t xml:space="preserve">owing on </w:t>
      </w:r>
      <w:r>
        <w:rPr>
          <w:i/>
          <w:iCs w:val="0"/>
        </w:rPr>
        <w:t xml:space="preserve">your mobile phone </w:t>
      </w:r>
      <w:r>
        <w:rPr>
          <w:iCs w:val="0"/>
        </w:rPr>
        <w:t xml:space="preserve">under the </w:t>
      </w:r>
      <w:r>
        <w:rPr>
          <w:i/>
          <w:iCs w:val="0"/>
        </w:rPr>
        <w:t xml:space="preserve">mobile equipment payment plan </w:t>
      </w:r>
      <w:r>
        <w:rPr>
          <w:iCs w:val="0"/>
        </w:rPr>
        <w:t>(if any).</w:t>
      </w:r>
    </w:p>
    <w:p w14:paraId="7563516C" w14:textId="77777777" w:rsidR="0050073B" w:rsidRDefault="0050073B" w:rsidP="0050073B">
      <w:pPr>
        <w:pStyle w:val="Heading7"/>
      </w:pPr>
      <w:r>
        <w:t xml:space="preserve">The </w:t>
      </w:r>
      <w:r>
        <w:rPr>
          <w:i/>
        </w:rPr>
        <w:t>cancellation fee</w:t>
      </w:r>
      <w:r>
        <w:t xml:space="preserve"> is calculated as the following amounts, multiplied by the months remaining on </w:t>
      </w:r>
      <w:r>
        <w:rPr>
          <w:i/>
        </w:rPr>
        <w:t>your minimum term</w:t>
      </w:r>
      <w:r>
        <w:t>:</w:t>
      </w:r>
    </w:p>
    <w:tbl>
      <w:tblPr>
        <w:tblpPr w:leftFromText="180" w:rightFromText="180" w:vertAnchor="text" w:tblpX="108" w:tblpY="1"/>
        <w:tblOverlap w:val="never"/>
        <w:tblW w:w="32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8"/>
        <w:gridCol w:w="3763"/>
      </w:tblGrid>
      <w:tr w:rsidR="0050073B" w14:paraId="7137835A" w14:textId="77777777" w:rsidTr="0050073B">
        <w:trPr>
          <w:trHeight w:val="54"/>
        </w:trPr>
        <w:tc>
          <w:tcPr>
            <w:tcW w:w="2167" w:type="pct"/>
            <w:tcBorders>
              <w:top w:val="single" w:sz="4" w:space="0" w:color="auto"/>
              <w:left w:val="single" w:sz="4" w:space="0" w:color="auto"/>
              <w:bottom w:val="single" w:sz="4" w:space="0" w:color="auto"/>
              <w:right w:val="single" w:sz="4" w:space="0" w:color="auto"/>
            </w:tcBorders>
            <w:vAlign w:val="center"/>
          </w:tcPr>
          <w:p w14:paraId="7E37A2E1" w14:textId="77777777" w:rsidR="0050073B" w:rsidRDefault="0050073B" w:rsidP="00E01D8F">
            <w:pPr>
              <w:spacing w:before="100" w:after="100"/>
              <w:rPr>
                <w:sz w:val="20"/>
              </w:rPr>
            </w:pPr>
          </w:p>
        </w:tc>
        <w:tc>
          <w:tcPr>
            <w:tcW w:w="2833" w:type="pct"/>
            <w:tcBorders>
              <w:top w:val="single" w:sz="4" w:space="0" w:color="auto"/>
              <w:left w:val="single" w:sz="4" w:space="0" w:color="auto"/>
              <w:bottom w:val="single" w:sz="4" w:space="0" w:color="auto"/>
              <w:right w:val="single" w:sz="4" w:space="0" w:color="auto"/>
            </w:tcBorders>
          </w:tcPr>
          <w:p w14:paraId="37707B50" w14:textId="77777777" w:rsidR="0050073B" w:rsidRDefault="0050073B" w:rsidP="00E01D8F">
            <w:pPr>
              <w:spacing w:before="100" w:after="100"/>
              <w:jc w:val="center"/>
              <w:rPr>
                <w:b/>
                <w:sz w:val="20"/>
              </w:rPr>
            </w:pPr>
            <w:r>
              <w:rPr>
                <w:b/>
                <w:sz w:val="20"/>
              </w:rPr>
              <w:t>$60 Business Plus 24M SIM Only</w:t>
            </w:r>
          </w:p>
        </w:tc>
      </w:tr>
      <w:tr w:rsidR="0050073B" w14:paraId="2E21AA4B" w14:textId="77777777" w:rsidTr="0050073B">
        <w:trPr>
          <w:trHeight w:val="54"/>
        </w:trPr>
        <w:tc>
          <w:tcPr>
            <w:tcW w:w="2167" w:type="pct"/>
            <w:tcBorders>
              <w:top w:val="single" w:sz="4" w:space="0" w:color="auto"/>
              <w:left w:val="single" w:sz="4" w:space="0" w:color="auto"/>
              <w:bottom w:val="single" w:sz="4" w:space="0" w:color="auto"/>
              <w:right w:val="single" w:sz="4" w:space="0" w:color="auto"/>
            </w:tcBorders>
            <w:vAlign w:val="center"/>
            <w:hideMark/>
          </w:tcPr>
          <w:p w14:paraId="79B704FC" w14:textId="77777777" w:rsidR="0050073B" w:rsidRPr="005428C4" w:rsidRDefault="0050073B" w:rsidP="00E01D8F">
            <w:pPr>
              <w:spacing w:before="100" w:after="100"/>
              <w:jc w:val="center"/>
              <w:rPr>
                <w:b/>
                <w:sz w:val="16"/>
                <w:szCs w:val="16"/>
              </w:rPr>
            </w:pPr>
            <w:r w:rsidRPr="005428C4">
              <w:rPr>
                <w:b/>
                <w:bCs/>
                <w:sz w:val="16"/>
                <w:szCs w:val="16"/>
                <w:lang w:eastAsia="en-AU"/>
              </w:rPr>
              <w:lastRenderedPageBreak/>
              <w:t>Cancellation Fee</w:t>
            </w:r>
          </w:p>
        </w:tc>
        <w:tc>
          <w:tcPr>
            <w:tcW w:w="2833" w:type="pct"/>
            <w:tcBorders>
              <w:top w:val="single" w:sz="4" w:space="0" w:color="auto"/>
              <w:left w:val="single" w:sz="4" w:space="0" w:color="auto"/>
              <w:bottom w:val="single" w:sz="4" w:space="0" w:color="auto"/>
              <w:right w:val="single" w:sz="4" w:space="0" w:color="auto"/>
            </w:tcBorders>
          </w:tcPr>
          <w:p w14:paraId="7D4729F5" w14:textId="77777777" w:rsidR="0050073B" w:rsidRPr="005428C4" w:rsidRDefault="0050073B" w:rsidP="00E01D8F">
            <w:pPr>
              <w:spacing w:before="100" w:after="100"/>
              <w:jc w:val="center"/>
              <w:rPr>
                <w:sz w:val="16"/>
                <w:szCs w:val="16"/>
              </w:rPr>
            </w:pPr>
            <w:r w:rsidRPr="005428C4">
              <w:rPr>
                <w:rFonts w:cs="Arial"/>
                <w:sz w:val="16"/>
                <w:szCs w:val="16"/>
              </w:rPr>
              <w:t>$</w:t>
            </w:r>
            <w:r>
              <w:rPr>
                <w:rFonts w:cs="Arial"/>
                <w:sz w:val="16"/>
                <w:szCs w:val="16"/>
              </w:rPr>
              <w:t>30</w:t>
            </w:r>
            <w:r w:rsidRPr="005428C4">
              <w:rPr>
                <w:rFonts w:cs="Arial"/>
                <w:sz w:val="16"/>
                <w:szCs w:val="16"/>
              </w:rPr>
              <w:t xml:space="preserve"> x Months remaining</w:t>
            </w:r>
          </w:p>
        </w:tc>
      </w:tr>
      <w:tr w:rsidR="0050073B" w14:paraId="14DF00A6" w14:textId="77777777" w:rsidTr="0050073B">
        <w:trPr>
          <w:trHeight w:val="57"/>
        </w:trPr>
        <w:tc>
          <w:tcPr>
            <w:tcW w:w="2167" w:type="pct"/>
            <w:tcBorders>
              <w:top w:val="single" w:sz="4" w:space="0" w:color="auto"/>
              <w:left w:val="single" w:sz="4" w:space="0" w:color="auto"/>
              <w:bottom w:val="single" w:sz="4" w:space="0" w:color="auto"/>
              <w:right w:val="single" w:sz="4" w:space="0" w:color="auto"/>
            </w:tcBorders>
            <w:vAlign w:val="center"/>
            <w:hideMark/>
          </w:tcPr>
          <w:p w14:paraId="5C8ED6B0" w14:textId="77777777" w:rsidR="0050073B" w:rsidRPr="005428C4" w:rsidRDefault="0050073B" w:rsidP="00E01D8F">
            <w:pPr>
              <w:spacing w:before="100" w:after="100"/>
              <w:jc w:val="center"/>
              <w:rPr>
                <w:b/>
                <w:bCs/>
                <w:sz w:val="16"/>
                <w:szCs w:val="16"/>
                <w:lang w:eastAsia="en-AU"/>
              </w:rPr>
            </w:pPr>
            <w:r w:rsidRPr="005428C4">
              <w:rPr>
                <w:b/>
                <w:bCs/>
                <w:sz w:val="16"/>
                <w:szCs w:val="16"/>
                <w:lang w:eastAsia="en-AU"/>
              </w:rPr>
              <w:t>Maximum Cancellation Fee</w:t>
            </w:r>
          </w:p>
        </w:tc>
        <w:tc>
          <w:tcPr>
            <w:tcW w:w="2833" w:type="pct"/>
            <w:tcBorders>
              <w:top w:val="single" w:sz="4" w:space="0" w:color="auto"/>
              <w:left w:val="single" w:sz="4" w:space="0" w:color="auto"/>
              <w:bottom w:val="single" w:sz="4" w:space="0" w:color="auto"/>
              <w:right w:val="single" w:sz="4" w:space="0" w:color="auto"/>
            </w:tcBorders>
            <w:vAlign w:val="center"/>
          </w:tcPr>
          <w:p w14:paraId="6ECEF6CD" w14:textId="77777777" w:rsidR="0050073B" w:rsidRPr="005428C4" w:rsidRDefault="0050073B" w:rsidP="00E01D8F">
            <w:pPr>
              <w:spacing w:after="100"/>
              <w:jc w:val="center"/>
              <w:rPr>
                <w:rFonts w:eastAsia="Calibri"/>
                <w:sz w:val="16"/>
                <w:szCs w:val="16"/>
              </w:rPr>
            </w:pPr>
            <w:r w:rsidRPr="005428C4">
              <w:rPr>
                <w:rFonts w:eastAsia="Calibri" w:cs="Arial"/>
                <w:sz w:val="16"/>
                <w:szCs w:val="16"/>
              </w:rPr>
              <w:t>$</w:t>
            </w:r>
            <w:r>
              <w:rPr>
                <w:rFonts w:eastAsia="Calibri" w:cs="Arial"/>
                <w:sz w:val="16"/>
                <w:szCs w:val="16"/>
              </w:rPr>
              <w:t>720</w:t>
            </w:r>
          </w:p>
        </w:tc>
      </w:tr>
    </w:tbl>
    <w:p w14:paraId="4A28A29E" w14:textId="77777777" w:rsidR="0050073B" w:rsidRDefault="0050073B" w:rsidP="0050073B">
      <w:pPr>
        <w:spacing w:after="200"/>
        <w:rPr>
          <w:sz w:val="20"/>
        </w:rPr>
      </w:pPr>
      <w:r>
        <w:rPr>
          <w:sz w:val="20"/>
        </w:rPr>
        <w:br/>
      </w:r>
    </w:p>
    <w:p w14:paraId="13F357B9" w14:textId="77777777" w:rsidR="0050073B" w:rsidRDefault="0050073B" w:rsidP="0050073B">
      <w:pPr>
        <w:pStyle w:val="Heading7"/>
        <w:numPr>
          <w:ilvl w:val="0"/>
          <w:numId w:val="0"/>
        </w:numPr>
        <w:ind w:left="1440"/>
        <w:rPr>
          <w:szCs w:val="20"/>
        </w:rPr>
      </w:pPr>
    </w:p>
    <w:p w14:paraId="79792341" w14:textId="77777777" w:rsidR="0050073B" w:rsidRPr="005428C4" w:rsidRDefault="0050073B" w:rsidP="0050073B">
      <w:pPr>
        <w:pStyle w:val="Heading7"/>
        <w:numPr>
          <w:ilvl w:val="6"/>
          <w:numId w:val="3"/>
        </w:numPr>
        <w:ind w:left="1440"/>
        <w:rPr>
          <w:szCs w:val="20"/>
        </w:rPr>
      </w:pPr>
      <w:r w:rsidRPr="005428C4">
        <w:rPr>
          <w:szCs w:val="20"/>
        </w:rPr>
        <w:t xml:space="preserve">If </w:t>
      </w:r>
      <w:r w:rsidRPr="005428C4">
        <w:rPr>
          <w:i/>
          <w:szCs w:val="20"/>
        </w:rPr>
        <w:t>your</w:t>
      </w:r>
      <w:r w:rsidRPr="005428C4">
        <w:rPr>
          <w:szCs w:val="20"/>
        </w:rPr>
        <w:t xml:space="preserve"> </w:t>
      </w:r>
      <w:r>
        <w:rPr>
          <w:szCs w:val="20"/>
        </w:rPr>
        <w:t>Business Plus 24M SIM Only plan</w:t>
      </w:r>
      <w:r w:rsidRPr="005428C4">
        <w:rPr>
          <w:szCs w:val="20"/>
        </w:rPr>
        <w:t xml:space="preserve"> is </w:t>
      </w:r>
      <w:r w:rsidRPr="005428C4">
        <w:rPr>
          <w:i/>
          <w:szCs w:val="20"/>
        </w:rPr>
        <w:t>cancelled</w:t>
      </w:r>
      <w:r w:rsidRPr="005428C4">
        <w:rPr>
          <w:szCs w:val="20"/>
        </w:rPr>
        <w:t xml:space="preserve">, </w:t>
      </w:r>
      <w:r w:rsidRPr="005428C4">
        <w:rPr>
          <w:i/>
          <w:szCs w:val="20"/>
        </w:rPr>
        <w:t>your</w:t>
      </w:r>
      <w:r w:rsidRPr="005428C4">
        <w:rPr>
          <w:szCs w:val="20"/>
        </w:rPr>
        <w:t xml:space="preserve"> Shared Data Plan(s) may also be </w:t>
      </w:r>
      <w:r w:rsidRPr="005428C4">
        <w:rPr>
          <w:i/>
          <w:szCs w:val="20"/>
        </w:rPr>
        <w:t>cancelled</w:t>
      </w:r>
      <w:r w:rsidRPr="005428C4">
        <w:rPr>
          <w:szCs w:val="20"/>
        </w:rPr>
        <w:t xml:space="preserve">. There are no </w:t>
      </w:r>
      <w:r w:rsidRPr="005428C4">
        <w:rPr>
          <w:i/>
          <w:szCs w:val="20"/>
        </w:rPr>
        <w:t>cancellation fees</w:t>
      </w:r>
      <w:r w:rsidRPr="005428C4">
        <w:rPr>
          <w:szCs w:val="20"/>
        </w:rPr>
        <w:t xml:space="preserve"> for the Shared Data Plan, however if </w:t>
      </w:r>
      <w:r w:rsidRPr="005428C4">
        <w:rPr>
          <w:i/>
          <w:szCs w:val="20"/>
        </w:rPr>
        <w:t>you</w:t>
      </w:r>
      <w:r w:rsidRPr="005428C4">
        <w:rPr>
          <w:szCs w:val="20"/>
        </w:rPr>
        <w:t xml:space="preserve"> purchased a </w:t>
      </w:r>
      <w:r w:rsidRPr="005428C4">
        <w:rPr>
          <w:i/>
          <w:szCs w:val="20"/>
        </w:rPr>
        <w:t>device</w:t>
      </w:r>
      <w:r w:rsidRPr="005428C4">
        <w:rPr>
          <w:szCs w:val="20"/>
        </w:rPr>
        <w:t xml:space="preserve"> </w:t>
      </w:r>
      <w:r w:rsidRPr="005428C4">
        <w:rPr>
          <w:i/>
          <w:szCs w:val="20"/>
        </w:rPr>
        <w:t>you</w:t>
      </w:r>
      <w:r w:rsidRPr="005428C4">
        <w:rPr>
          <w:szCs w:val="20"/>
        </w:rPr>
        <w:t xml:space="preserve"> need to pay the sum of any remaining </w:t>
      </w:r>
      <w:r w:rsidRPr="005428C4">
        <w:rPr>
          <w:i/>
          <w:szCs w:val="20"/>
        </w:rPr>
        <w:t xml:space="preserve">equipment charges </w:t>
      </w:r>
      <w:r w:rsidRPr="005428C4">
        <w:rPr>
          <w:szCs w:val="20"/>
        </w:rPr>
        <w:t xml:space="preserve">owing on </w:t>
      </w:r>
      <w:r w:rsidRPr="005428C4">
        <w:rPr>
          <w:i/>
          <w:szCs w:val="20"/>
        </w:rPr>
        <w:t xml:space="preserve">your device </w:t>
      </w:r>
      <w:r w:rsidRPr="005428C4">
        <w:rPr>
          <w:szCs w:val="20"/>
        </w:rPr>
        <w:t xml:space="preserve">under the </w:t>
      </w:r>
      <w:r w:rsidRPr="005428C4">
        <w:rPr>
          <w:i/>
          <w:szCs w:val="20"/>
        </w:rPr>
        <w:t xml:space="preserve">mobile equipment payment plan </w:t>
      </w:r>
      <w:r w:rsidRPr="005428C4">
        <w:rPr>
          <w:szCs w:val="20"/>
        </w:rPr>
        <w:t xml:space="preserve">(see </w:t>
      </w:r>
      <w:hyperlink r:id="rId932" w:history="1">
        <w:r w:rsidRPr="005428C4">
          <w:rPr>
            <w:rStyle w:val="Hyperlink"/>
            <w:rFonts w:eastAsia="MS Gothic"/>
            <w:i/>
            <w:szCs w:val="20"/>
          </w:rPr>
          <w:t>Appendix D</w:t>
        </w:r>
      </w:hyperlink>
      <w:r w:rsidRPr="005428C4">
        <w:rPr>
          <w:szCs w:val="20"/>
        </w:rPr>
        <w:t>).</w:t>
      </w:r>
    </w:p>
    <w:p w14:paraId="374A66A8" w14:textId="77777777" w:rsidR="0050073B" w:rsidRDefault="0050073B" w:rsidP="0050073B">
      <w:pPr>
        <w:pStyle w:val="Heading7"/>
        <w:rPr>
          <w:szCs w:val="20"/>
        </w:rPr>
      </w:pPr>
      <w:r>
        <w:rPr>
          <w:szCs w:val="20"/>
        </w:rPr>
        <w:t xml:space="preserve">If </w:t>
      </w:r>
      <w:r>
        <w:rPr>
          <w:i/>
          <w:szCs w:val="20"/>
        </w:rPr>
        <w:t xml:space="preserve">your </w:t>
      </w:r>
      <w:r>
        <w:rPr>
          <w:szCs w:val="20"/>
        </w:rPr>
        <w:t xml:space="preserve">Shared Data Plan is not </w:t>
      </w:r>
      <w:r>
        <w:rPr>
          <w:i/>
          <w:szCs w:val="20"/>
        </w:rPr>
        <w:t>cancelled</w:t>
      </w:r>
      <w:r>
        <w:rPr>
          <w:szCs w:val="20"/>
        </w:rPr>
        <w:t xml:space="preserve">, </w:t>
      </w:r>
      <w:r>
        <w:rPr>
          <w:i/>
          <w:szCs w:val="20"/>
        </w:rPr>
        <w:t>you</w:t>
      </w:r>
      <w:r>
        <w:rPr>
          <w:szCs w:val="20"/>
        </w:rPr>
        <w:t xml:space="preserve"> will be charged $10 per 1GB within Australia, up to 150GB (per account) in a billing month. </w:t>
      </w:r>
      <w:r>
        <w:rPr>
          <w:i/>
          <w:szCs w:val="20"/>
        </w:rPr>
        <w:t>Your</w:t>
      </w:r>
      <w:r>
        <w:rPr>
          <w:szCs w:val="20"/>
        </w:rPr>
        <w:t xml:space="preserve"> </w:t>
      </w:r>
      <w:r>
        <w:rPr>
          <w:i/>
          <w:szCs w:val="20"/>
        </w:rPr>
        <w:t>service/s</w:t>
      </w:r>
      <w:r>
        <w:rPr>
          <w:szCs w:val="20"/>
        </w:rPr>
        <w:t xml:space="preserve"> may then be restricted or </w:t>
      </w:r>
      <w:r>
        <w:rPr>
          <w:i/>
          <w:szCs w:val="20"/>
        </w:rPr>
        <w:t>we</w:t>
      </w:r>
      <w:r>
        <w:rPr>
          <w:szCs w:val="20"/>
        </w:rPr>
        <w:t xml:space="preserve"> may continue to charge </w:t>
      </w:r>
      <w:r>
        <w:rPr>
          <w:i/>
          <w:szCs w:val="20"/>
        </w:rPr>
        <w:t>you</w:t>
      </w:r>
      <w:r>
        <w:rPr>
          <w:szCs w:val="20"/>
        </w:rPr>
        <w:t xml:space="preserve"> at these rates.</w:t>
      </w:r>
    </w:p>
    <w:p w14:paraId="3C510031" w14:textId="77777777" w:rsidR="0050073B" w:rsidRDefault="007569EB" w:rsidP="0050073B">
      <w:pPr>
        <w:pStyle w:val="BodyText"/>
        <w:spacing w:after="360"/>
        <w:ind w:left="720"/>
        <w:rPr>
          <w:rStyle w:val="Hyperlink"/>
          <w:i/>
          <w:szCs w:val="20"/>
        </w:rPr>
      </w:pPr>
      <w:hyperlink r:id="rId933" w:history="1">
        <w:r w:rsidR="0050073B">
          <w:rPr>
            <w:rStyle w:val="Hyperlink"/>
            <w:i/>
            <w:szCs w:val="20"/>
          </w:rPr>
          <w:t>Fair Go Policy</w:t>
        </w:r>
      </w:hyperlink>
      <w:r w:rsidR="0050073B">
        <w:rPr>
          <w:szCs w:val="20"/>
        </w:rPr>
        <w:t xml:space="preserve"> applies. For further details refer to </w:t>
      </w:r>
      <w:hyperlink r:id="rId934" w:history="1">
        <w:r w:rsidR="0050073B">
          <w:rPr>
            <w:rStyle w:val="Hyperlink"/>
            <w:i/>
            <w:szCs w:val="20"/>
          </w:rPr>
          <w:t>Appendix S.</w:t>
        </w:r>
      </w:hyperlink>
    </w:p>
    <w:p w14:paraId="0A812462" w14:textId="77777777" w:rsidR="0050073B" w:rsidRDefault="0050073B" w:rsidP="00F67786">
      <w:pPr>
        <w:pStyle w:val="BodyText"/>
      </w:pPr>
    </w:p>
    <w:p w14:paraId="175D6925" w14:textId="77777777" w:rsidR="00E01D8F" w:rsidRDefault="00E01D8F">
      <w:pPr>
        <w:rPr>
          <w:rFonts w:eastAsia="Times New Roman"/>
          <w:bCs/>
          <w:sz w:val="32"/>
          <w:szCs w:val="28"/>
        </w:rPr>
      </w:pPr>
      <w:bookmarkStart w:id="2451" w:name="_Toc62115211"/>
      <w:r>
        <w:br w:type="page"/>
      </w:r>
    </w:p>
    <w:p w14:paraId="759763FD" w14:textId="77777777" w:rsidR="00E01D8F" w:rsidRDefault="00E01D8F" w:rsidP="00E01D8F">
      <w:pPr>
        <w:pStyle w:val="Heading4"/>
      </w:pPr>
      <w:bookmarkStart w:id="2452" w:name="_Toc62644726"/>
      <w:r>
        <w:lastRenderedPageBreak/>
        <w:t>$55 Business Plus 24M SIM Only – December 2019</w:t>
      </w:r>
      <w:bookmarkEnd w:id="2451"/>
      <w:bookmarkEnd w:id="2452"/>
    </w:p>
    <w:p w14:paraId="4BE3DFEA" w14:textId="77777777" w:rsidR="00E01D8F" w:rsidRDefault="00E01D8F" w:rsidP="00E01D8F">
      <w:pPr>
        <w:spacing w:after="200"/>
        <w:rPr>
          <w:sz w:val="20"/>
        </w:rPr>
      </w:pPr>
      <w:r>
        <w:rPr>
          <w:sz w:val="20"/>
        </w:rPr>
        <w:t xml:space="preserve">This section relates to the following plan(s). </w:t>
      </w:r>
      <w:r>
        <w:rPr>
          <w:i/>
          <w:sz w:val="20"/>
        </w:rPr>
        <w:t>You</w:t>
      </w:r>
      <w:r>
        <w:rPr>
          <w:sz w:val="20"/>
        </w:rPr>
        <w:t xml:space="preserve"> can find </w:t>
      </w:r>
      <w:r>
        <w:rPr>
          <w:i/>
          <w:sz w:val="20"/>
        </w:rPr>
        <w:t>your</w:t>
      </w:r>
      <w:r>
        <w:rPr>
          <w:sz w:val="20"/>
        </w:rPr>
        <w:t xml:space="preserve"> Plan ID on </w:t>
      </w:r>
      <w:r>
        <w:rPr>
          <w:i/>
          <w:sz w:val="20"/>
        </w:rPr>
        <w:t>your</w:t>
      </w:r>
      <w:r>
        <w:rPr>
          <w:sz w:val="20"/>
        </w:rPr>
        <w:t xml:space="preserve"> bill under the Mobile Number Summary section:</w:t>
      </w:r>
    </w:p>
    <w:tbl>
      <w:tblPr>
        <w:tblW w:w="49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6"/>
        <w:gridCol w:w="2552"/>
        <w:gridCol w:w="3576"/>
      </w:tblGrid>
      <w:tr w:rsidR="00E01D8F" w14:paraId="4850AA4F" w14:textId="77777777" w:rsidTr="00E01D8F">
        <w:trPr>
          <w:trHeight w:val="288"/>
        </w:trPr>
        <w:tc>
          <w:tcPr>
            <w:tcW w:w="3856" w:type="dxa"/>
            <w:tcBorders>
              <w:top w:val="single" w:sz="4" w:space="0" w:color="auto"/>
              <w:left w:val="single" w:sz="4" w:space="0" w:color="auto"/>
              <w:bottom w:val="single" w:sz="4" w:space="0" w:color="auto"/>
              <w:right w:val="single" w:sz="4" w:space="0" w:color="auto"/>
            </w:tcBorders>
            <w:vAlign w:val="center"/>
            <w:hideMark/>
          </w:tcPr>
          <w:p w14:paraId="0011E95B" w14:textId="77777777" w:rsidR="00E01D8F" w:rsidRDefault="00E01D8F">
            <w:pPr>
              <w:spacing w:before="100" w:after="100"/>
              <w:jc w:val="center"/>
              <w:rPr>
                <w:b/>
                <w:sz w:val="20"/>
              </w:rPr>
            </w:pPr>
            <w:r>
              <w:rPr>
                <w:b/>
                <w:sz w:val="20"/>
              </w:rPr>
              <w:t>Plan</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A31F743" w14:textId="77777777" w:rsidR="00E01D8F" w:rsidRDefault="00E01D8F">
            <w:pPr>
              <w:spacing w:before="100" w:after="100"/>
              <w:jc w:val="center"/>
              <w:rPr>
                <w:b/>
                <w:sz w:val="20"/>
              </w:rPr>
            </w:pPr>
            <w:r>
              <w:rPr>
                <w:b/>
                <w:sz w:val="20"/>
              </w:rPr>
              <w:t>Plan ID</w:t>
            </w:r>
          </w:p>
        </w:tc>
        <w:tc>
          <w:tcPr>
            <w:tcW w:w="3576" w:type="dxa"/>
            <w:tcBorders>
              <w:top w:val="single" w:sz="4" w:space="0" w:color="auto"/>
              <w:left w:val="single" w:sz="4" w:space="0" w:color="auto"/>
              <w:bottom w:val="single" w:sz="4" w:space="0" w:color="auto"/>
              <w:right w:val="single" w:sz="4" w:space="0" w:color="auto"/>
            </w:tcBorders>
            <w:vAlign w:val="center"/>
            <w:hideMark/>
          </w:tcPr>
          <w:p w14:paraId="79E7AFD0" w14:textId="77777777" w:rsidR="00E01D8F" w:rsidRDefault="00E01D8F">
            <w:pPr>
              <w:spacing w:before="100" w:after="100"/>
              <w:jc w:val="center"/>
              <w:rPr>
                <w:b/>
                <w:sz w:val="20"/>
              </w:rPr>
            </w:pPr>
            <w:r>
              <w:rPr>
                <w:b/>
                <w:sz w:val="20"/>
              </w:rPr>
              <w:t>Available</w:t>
            </w:r>
          </w:p>
        </w:tc>
      </w:tr>
      <w:tr w:rsidR="00E01D8F" w14:paraId="3693DD62" w14:textId="77777777" w:rsidTr="00E01D8F">
        <w:trPr>
          <w:trHeight w:val="288"/>
        </w:trPr>
        <w:tc>
          <w:tcPr>
            <w:tcW w:w="3856" w:type="dxa"/>
            <w:tcBorders>
              <w:top w:val="single" w:sz="4" w:space="0" w:color="auto"/>
              <w:left w:val="single" w:sz="4" w:space="0" w:color="auto"/>
              <w:bottom w:val="single" w:sz="4" w:space="0" w:color="auto"/>
              <w:right w:val="single" w:sz="4" w:space="0" w:color="auto"/>
            </w:tcBorders>
            <w:hideMark/>
          </w:tcPr>
          <w:p w14:paraId="59A27A54" w14:textId="77777777" w:rsidR="00E01D8F" w:rsidRDefault="00E01D8F">
            <w:pPr>
              <w:spacing w:before="100" w:after="100"/>
              <w:jc w:val="center"/>
              <w:rPr>
                <w:rFonts w:eastAsia="Calibri"/>
                <w:sz w:val="16"/>
                <w:szCs w:val="16"/>
              </w:rPr>
            </w:pPr>
            <w:r>
              <w:rPr>
                <w:rFonts w:eastAsia="Calibri"/>
                <w:sz w:val="16"/>
                <w:szCs w:val="16"/>
              </w:rPr>
              <w:t>$55 Business Plus 24M SIM Only</w:t>
            </w:r>
          </w:p>
        </w:tc>
        <w:tc>
          <w:tcPr>
            <w:tcW w:w="2552" w:type="dxa"/>
            <w:tcBorders>
              <w:top w:val="single" w:sz="4" w:space="0" w:color="auto"/>
              <w:left w:val="single" w:sz="4" w:space="0" w:color="auto"/>
              <w:bottom w:val="single" w:sz="4" w:space="0" w:color="auto"/>
              <w:right w:val="single" w:sz="4" w:space="0" w:color="auto"/>
            </w:tcBorders>
            <w:hideMark/>
          </w:tcPr>
          <w:p w14:paraId="493BDC5B" w14:textId="77777777" w:rsidR="00E01D8F" w:rsidRDefault="00E01D8F">
            <w:pPr>
              <w:spacing w:before="100" w:after="100"/>
              <w:jc w:val="center"/>
              <w:rPr>
                <w:rFonts w:eastAsia="Calibri"/>
                <w:sz w:val="16"/>
                <w:szCs w:val="16"/>
              </w:rPr>
            </w:pPr>
            <w:r>
              <w:rPr>
                <w:rFonts w:eastAsia="Calibri"/>
                <w:sz w:val="16"/>
                <w:szCs w:val="16"/>
              </w:rPr>
              <w:t>34458024</w:t>
            </w:r>
          </w:p>
        </w:tc>
        <w:tc>
          <w:tcPr>
            <w:tcW w:w="3576" w:type="dxa"/>
            <w:tcBorders>
              <w:top w:val="single" w:sz="4" w:space="0" w:color="auto"/>
              <w:left w:val="single" w:sz="4" w:space="0" w:color="auto"/>
              <w:bottom w:val="single" w:sz="4" w:space="0" w:color="auto"/>
              <w:right w:val="single" w:sz="4" w:space="0" w:color="auto"/>
            </w:tcBorders>
            <w:hideMark/>
          </w:tcPr>
          <w:p w14:paraId="188161DB" w14:textId="77777777" w:rsidR="00E01D8F" w:rsidRDefault="00E01D8F">
            <w:pPr>
              <w:spacing w:before="100" w:after="100"/>
              <w:jc w:val="center"/>
              <w:rPr>
                <w:rFonts w:eastAsia="Calibri"/>
                <w:sz w:val="16"/>
                <w:szCs w:val="16"/>
              </w:rPr>
            </w:pPr>
            <w:r>
              <w:rPr>
                <w:rFonts w:eastAsia="Calibri"/>
                <w:sz w:val="16"/>
                <w:szCs w:val="16"/>
              </w:rPr>
              <w:t>16 December 2019 – 21 February 2021</w:t>
            </w:r>
          </w:p>
        </w:tc>
      </w:tr>
    </w:tbl>
    <w:p w14:paraId="61A0D5BC" w14:textId="77777777" w:rsidR="00E01D8F" w:rsidRDefault="00E01D8F" w:rsidP="00E01D8F">
      <w:pPr>
        <w:spacing w:after="200"/>
        <w:rPr>
          <w:sz w:val="20"/>
        </w:rPr>
      </w:pPr>
    </w:p>
    <w:p w14:paraId="72348508" w14:textId="77777777" w:rsidR="00E01D8F" w:rsidRDefault="00E01D8F" w:rsidP="001019D5">
      <w:pPr>
        <w:pStyle w:val="Heading6"/>
        <w:rPr>
          <w:bCs w:val="0"/>
          <w:szCs w:val="20"/>
        </w:rPr>
      </w:pPr>
      <w:bookmarkStart w:id="2453" w:name="_Toc62115212"/>
      <w:bookmarkStart w:id="2454" w:name="_Toc25928127"/>
      <w:bookmarkStart w:id="2455" w:name="_Toc25071392"/>
      <w:r>
        <w:rPr>
          <w:bCs w:val="0"/>
          <w:szCs w:val="20"/>
        </w:rPr>
        <w:t>Eligibility</w:t>
      </w:r>
      <w:bookmarkEnd w:id="2453"/>
      <w:bookmarkEnd w:id="2454"/>
      <w:bookmarkEnd w:id="2455"/>
    </w:p>
    <w:p w14:paraId="63E067C9" w14:textId="77777777" w:rsidR="00E01D8F" w:rsidRDefault="00E01D8F" w:rsidP="00E01D8F">
      <w:pPr>
        <w:spacing w:after="200"/>
        <w:ind w:left="720"/>
        <w:rPr>
          <w:sz w:val="20"/>
          <w:szCs w:val="20"/>
          <w:lang w:val="en-AU"/>
        </w:rPr>
      </w:pPr>
      <w:r>
        <w:rPr>
          <w:sz w:val="20"/>
          <w:szCs w:val="20"/>
        </w:rPr>
        <w:t xml:space="preserve">The $55 Business Plus 24M SIM Only planis available to new and recontracting customers only </w:t>
      </w:r>
      <w:r>
        <w:rPr>
          <w:sz w:val="20"/>
          <w:szCs w:val="20"/>
          <w:lang w:val="en-AU"/>
        </w:rPr>
        <w:t>who pass Optus' credit assessment. To be eligible for this plan, businesses must provide Optus with a registered ACN, ARBN or ABN.</w:t>
      </w:r>
    </w:p>
    <w:p w14:paraId="32FA68CE" w14:textId="77777777" w:rsidR="00E01D8F" w:rsidRDefault="00E01D8F" w:rsidP="00E01D8F">
      <w:pPr>
        <w:pStyle w:val="BodyText"/>
        <w:ind w:left="720"/>
        <w:rPr>
          <w:lang w:val="en-AU"/>
        </w:rPr>
      </w:pPr>
      <w:r>
        <w:rPr>
          <w:lang w:val="en-AU"/>
        </w:rPr>
        <w:t>Optus Service Providers' customers are not eligible to apply.</w:t>
      </w:r>
    </w:p>
    <w:p w14:paraId="4B93780F" w14:textId="77777777" w:rsidR="00E01D8F" w:rsidRDefault="00E01D8F" w:rsidP="00E01D8F">
      <w:pPr>
        <w:pStyle w:val="BodyText"/>
        <w:ind w:left="720"/>
        <w:rPr>
          <w:lang w:val="en-AU"/>
        </w:rPr>
      </w:pPr>
      <w:r>
        <w:rPr>
          <w:lang w:val="en-AU"/>
        </w:rPr>
        <w:t xml:space="preserve">These </w:t>
      </w:r>
      <w:r>
        <w:rPr>
          <w:i/>
          <w:lang w:val="en-AU"/>
        </w:rPr>
        <w:t>plans</w:t>
      </w:r>
      <w:r>
        <w:rPr>
          <w:lang w:val="en-AU"/>
        </w:rPr>
        <w:t xml:space="preserve"> aren't compatible for data use with BlackBerry handsets on operating systems of 7.1 or earlier.</w:t>
      </w:r>
    </w:p>
    <w:p w14:paraId="7371AD64" w14:textId="77777777" w:rsidR="00E01D8F" w:rsidRDefault="00E01D8F" w:rsidP="001019D5">
      <w:pPr>
        <w:pStyle w:val="Heading6"/>
        <w:rPr>
          <w:bCs w:val="0"/>
          <w:szCs w:val="20"/>
        </w:rPr>
      </w:pPr>
      <w:bookmarkStart w:id="2456" w:name="_Toc62115213"/>
      <w:bookmarkStart w:id="2457" w:name="_Toc25928128"/>
      <w:bookmarkStart w:id="2458" w:name="_Toc25071393"/>
      <w:r>
        <w:rPr>
          <w:bCs w:val="0"/>
          <w:snapToGrid w:val="0"/>
          <w:szCs w:val="20"/>
        </w:rPr>
        <w:t>Minimum Term</w:t>
      </w:r>
      <w:bookmarkEnd w:id="2456"/>
      <w:bookmarkEnd w:id="2457"/>
      <w:bookmarkEnd w:id="2458"/>
    </w:p>
    <w:p w14:paraId="6B15BC47" w14:textId="77777777" w:rsidR="00E01D8F" w:rsidRDefault="00E01D8F" w:rsidP="00E01D8F">
      <w:pPr>
        <w:spacing w:after="200"/>
        <w:ind w:left="720"/>
        <w:rPr>
          <w:i/>
          <w:sz w:val="20"/>
          <w:szCs w:val="20"/>
        </w:rPr>
      </w:pPr>
      <w:r>
        <w:rPr>
          <w:sz w:val="20"/>
          <w:szCs w:val="20"/>
        </w:rPr>
        <w:t>This plan is</w:t>
      </w:r>
      <w:r>
        <w:rPr>
          <w:i/>
          <w:sz w:val="20"/>
          <w:szCs w:val="20"/>
        </w:rPr>
        <w:t xml:space="preserve"> a fixed length agreement with a 24-month minimum term.</w:t>
      </w:r>
    </w:p>
    <w:p w14:paraId="3BE4DFD0" w14:textId="77777777" w:rsidR="00E01D8F" w:rsidRDefault="00E01D8F" w:rsidP="001019D5">
      <w:pPr>
        <w:pStyle w:val="Heading6"/>
        <w:rPr>
          <w:b/>
          <w:bCs w:val="0"/>
          <w:szCs w:val="20"/>
        </w:rPr>
      </w:pPr>
      <w:bookmarkStart w:id="2459" w:name="_Toc62115214"/>
      <w:bookmarkStart w:id="2460" w:name="_Toc25928129"/>
      <w:bookmarkStart w:id="2461" w:name="_Toc25071394"/>
      <w:r>
        <w:rPr>
          <w:bCs w:val="0"/>
          <w:szCs w:val="20"/>
        </w:rPr>
        <w:t xml:space="preserve">What </w:t>
      </w:r>
      <w:r>
        <w:rPr>
          <w:bCs w:val="0"/>
          <w:i/>
          <w:szCs w:val="20"/>
        </w:rPr>
        <w:t>you</w:t>
      </w:r>
      <w:r>
        <w:rPr>
          <w:bCs w:val="0"/>
          <w:szCs w:val="20"/>
        </w:rPr>
        <w:t xml:space="preserve"> have to pay </w:t>
      </w:r>
      <w:r>
        <w:rPr>
          <w:bCs w:val="0"/>
          <w:i/>
          <w:szCs w:val="20"/>
        </w:rPr>
        <w:t>us</w:t>
      </w:r>
      <w:bookmarkEnd w:id="2459"/>
      <w:bookmarkEnd w:id="2460"/>
      <w:bookmarkEnd w:id="2461"/>
    </w:p>
    <w:p w14:paraId="566AF751" w14:textId="77777777" w:rsidR="00E01D8F" w:rsidRDefault="00E01D8F" w:rsidP="001019D5">
      <w:pPr>
        <w:pStyle w:val="Heading7"/>
        <w:rPr>
          <w:szCs w:val="20"/>
        </w:rPr>
      </w:pPr>
      <w:r>
        <w:rPr>
          <w:i/>
          <w:szCs w:val="20"/>
        </w:rPr>
        <w:t>You</w:t>
      </w:r>
      <w:r>
        <w:rPr>
          <w:szCs w:val="20"/>
        </w:rPr>
        <w:t xml:space="preserve"> must pay </w:t>
      </w:r>
      <w:r>
        <w:rPr>
          <w:i/>
          <w:szCs w:val="20"/>
        </w:rPr>
        <w:t>us</w:t>
      </w:r>
      <w:r>
        <w:rPr>
          <w:szCs w:val="20"/>
        </w:rPr>
        <w:t xml:space="preserve"> for use of the </w:t>
      </w:r>
      <w:r>
        <w:rPr>
          <w:i/>
          <w:szCs w:val="20"/>
        </w:rPr>
        <w:t>service</w:t>
      </w:r>
      <w:r>
        <w:rPr>
          <w:szCs w:val="20"/>
        </w:rPr>
        <w:t xml:space="preserve"> at the rates set out in Section 1 of this </w:t>
      </w:r>
      <w:r>
        <w:rPr>
          <w:i/>
          <w:szCs w:val="20"/>
        </w:rPr>
        <w:t>standard pricing table</w:t>
      </w:r>
      <w:r>
        <w:rPr>
          <w:szCs w:val="20"/>
        </w:rPr>
        <w:t xml:space="preserve"> and for value added service features at the rates set out in </w:t>
      </w:r>
      <w:hyperlink r:id="rId935" w:history="1">
        <w:r>
          <w:rPr>
            <w:rStyle w:val="Hyperlink"/>
            <w:rFonts w:eastAsia="MS Gothic"/>
            <w:i/>
            <w:szCs w:val="20"/>
          </w:rPr>
          <w:t>Appendix Y Value Added Service Features</w:t>
        </w:r>
        <w:r>
          <w:rPr>
            <w:rStyle w:val="Hyperlink"/>
            <w:rFonts w:eastAsia="MS Gothic"/>
            <w:szCs w:val="20"/>
          </w:rPr>
          <w:t>.</w:t>
        </w:r>
      </w:hyperlink>
    </w:p>
    <w:p w14:paraId="609EC693" w14:textId="77777777" w:rsidR="00E01D8F" w:rsidRDefault="00E01D8F" w:rsidP="001019D5">
      <w:pPr>
        <w:pStyle w:val="Heading7"/>
        <w:rPr>
          <w:szCs w:val="20"/>
        </w:rPr>
      </w:pPr>
      <w:r>
        <w:rPr>
          <w:szCs w:val="20"/>
        </w:rPr>
        <w:t>If there is a flagfall for a particular call type, the charge for these calls is the flagfall amount plus the relevant rate for the call multiplied by the duration of the call.</w:t>
      </w:r>
    </w:p>
    <w:p w14:paraId="4634E1AC" w14:textId="77777777" w:rsidR="00E01D8F" w:rsidRDefault="00E01D8F" w:rsidP="001019D5">
      <w:pPr>
        <w:pStyle w:val="Heading7"/>
        <w:rPr>
          <w:szCs w:val="20"/>
        </w:rPr>
      </w:pPr>
      <w:r>
        <w:rPr>
          <w:szCs w:val="20"/>
        </w:rPr>
        <w:t>Minimum Monthly Charge</w:t>
      </w:r>
    </w:p>
    <w:p w14:paraId="75C26F61" w14:textId="77777777" w:rsidR="00E01D8F" w:rsidRDefault="00E01D8F" w:rsidP="00E01D8F">
      <w:pPr>
        <w:pStyle w:val="Heading8"/>
        <w:rPr>
          <w:iCs w:val="0"/>
          <w:szCs w:val="20"/>
        </w:rPr>
      </w:pPr>
      <w:r>
        <w:rPr>
          <w:iCs w:val="0"/>
          <w:szCs w:val="20"/>
        </w:rPr>
        <w:t xml:space="preserve">The $55 Business Plus 24M SIM Only plan has a Minimum Monthly Charge amount that </w:t>
      </w:r>
      <w:r>
        <w:rPr>
          <w:i/>
          <w:iCs w:val="0"/>
          <w:szCs w:val="20"/>
        </w:rPr>
        <w:t>you</w:t>
      </w:r>
      <w:r>
        <w:rPr>
          <w:iCs w:val="0"/>
          <w:szCs w:val="20"/>
        </w:rPr>
        <w:t xml:space="preserve"> must pay </w:t>
      </w:r>
      <w:r>
        <w:rPr>
          <w:i/>
          <w:iCs w:val="0"/>
          <w:szCs w:val="20"/>
        </w:rPr>
        <w:t>us</w:t>
      </w:r>
      <w:r>
        <w:rPr>
          <w:iCs w:val="0"/>
          <w:szCs w:val="20"/>
        </w:rPr>
        <w:t xml:space="preserve"> each month as set out in Table 1 below. </w:t>
      </w:r>
    </w:p>
    <w:p w14:paraId="3F37CBA8" w14:textId="77777777" w:rsidR="00E01D8F" w:rsidRDefault="00E01D8F" w:rsidP="00E01D8F">
      <w:pPr>
        <w:pStyle w:val="Heading8"/>
        <w:rPr>
          <w:iCs w:val="0"/>
          <w:szCs w:val="20"/>
        </w:rPr>
      </w:pPr>
      <w:r>
        <w:rPr>
          <w:i/>
          <w:iCs w:val="0"/>
          <w:szCs w:val="20"/>
        </w:rPr>
        <w:t>You</w:t>
      </w:r>
      <w:r>
        <w:rPr>
          <w:iCs w:val="0"/>
          <w:szCs w:val="20"/>
        </w:rPr>
        <w:t xml:space="preserve"> may purchase a mobile phone (or 'handset') with a 1 month or 24 month </w:t>
      </w:r>
      <w:r>
        <w:rPr>
          <w:i/>
          <w:iCs w:val="0"/>
          <w:szCs w:val="20"/>
        </w:rPr>
        <w:t>equipment term</w:t>
      </w:r>
      <w:r>
        <w:rPr>
          <w:iCs w:val="0"/>
          <w:szCs w:val="20"/>
        </w:rPr>
        <w:t xml:space="preserve"> under a </w:t>
      </w:r>
      <w:r>
        <w:rPr>
          <w:i/>
          <w:iCs w:val="0"/>
          <w:szCs w:val="20"/>
        </w:rPr>
        <w:t>mobile equipment payment plan</w:t>
      </w:r>
      <w:r>
        <w:rPr>
          <w:iCs w:val="0"/>
          <w:szCs w:val="20"/>
        </w:rPr>
        <w:t xml:space="preserve"> (set out in</w:t>
      </w:r>
      <w:hyperlink r:id="rId936" w:history="1">
        <w:r>
          <w:rPr>
            <w:rStyle w:val="Hyperlink"/>
            <w:rFonts w:eastAsia="MS Gothic"/>
            <w:iCs w:val="0"/>
            <w:szCs w:val="20"/>
          </w:rPr>
          <w:t xml:space="preserve"> </w:t>
        </w:r>
        <w:r>
          <w:rPr>
            <w:rStyle w:val="Hyperlink"/>
            <w:rFonts w:eastAsia="MS Gothic"/>
            <w:i/>
            <w:iCs w:val="0"/>
            <w:szCs w:val="20"/>
          </w:rPr>
          <w:t>Appendix D</w:t>
        </w:r>
      </w:hyperlink>
      <w:r>
        <w:rPr>
          <w:iCs w:val="0"/>
          <w:szCs w:val="20"/>
        </w:rPr>
        <w:t>).</w:t>
      </w:r>
    </w:p>
    <w:p w14:paraId="5A8CC9C4" w14:textId="77777777" w:rsidR="00E01D8F" w:rsidRDefault="00E01D8F" w:rsidP="00E01D8F">
      <w:pPr>
        <w:pStyle w:val="Heading6"/>
        <w:rPr>
          <w:bCs w:val="0"/>
          <w:snapToGrid w:val="0"/>
        </w:rPr>
      </w:pPr>
      <w:bookmarkStart w:id="2462" w:name="_Toc62115215"/>
      <w:bookmarkStart w:id="2463" w:name="_Toc25928130"/>
      <w:bookmarkStart w:id="2464" w:name="_Toc25071395"/>
      <w:r>
        <w:rPr>
          <w:bCs w:val="0"/>
          <w:snapToGrid w:val="0"/>
        </w:rPr>
        <w:t>How the plan work</w:t>
      </w:r>
      <w:bookmarkEnd w:id="2462"/>
      <w:bookmarkEnd w:id="2463"/>
      <w:bookmarkEnd w:id="2464"/>
      <w:r>
        <w:rPr>
          <w:bCs w:val="0"/>
          <w:snapToGrid w:val="0"/>
        </w:rPr>
        <w:t>s</w:t>
      </w:r>
    </w:p>
    <w:p w14:paraId="662546F5" w14:textId="77777777" w:rsidR="00E01D8F" w:rsidRDefault="00E01D8F" w:rsidP="00E01D8F">
      <w:pPr>
        <w:pStyle w:val="Heading7"/>
        <w:rPr>
          <w:szCs w:val="20"/>
        </w:rPr>
      </w:pPr>
      <w:r>
        <w:rPr>
          <w:szCs w:val="20"/>
        </w:rPr>
        <w:t>The $55 Business Plus 24M SIM Only plan referred to in this section has unlimited minutes to use on standard national calls to landlines and mobiles, 13/1300 numbers and voicemail retrievals and Included Data (for mobile internet use) to share with other eligible services on the same billing account.</w:t>
      </w:r>
    </w:p>
    <w:p w14:paraId="3F200E47" w14:textId="15E37E82" w:rsidR="00E01D8F" w:rsidRDefault="00E01D8F" w:rsidP="00E01D8F">
      <w:pPr>
        <w:pStyle w:val="Heading7"/>
      </w:pPr>
      <w:r>
        <w:t xml:space="preserve">This plan also includes unlimited standard national </w:t>
      </w:r>
      <w:r w:rsidR="00060DA8">
        <w:t xml:space="preserve">talk and </w:t>
      </w:r>
      <w:r>
        <w:t>SMS/MMS</w:t>
      </w:r>
      <w:r w:rsidR="00060DA8">
        <w:t xml:space="preserve">. </w:t>
      </w:r>
    </w:p>
    <w:p w14:paraId="4BD09B80" w14:textId="77777777" w:rsidR="00E01D8F" w:rsidRDefault="00E01D8F" w:rsidP="00E01D8F">
      <w:pPr>
        <w:pStyle w:val="Heading7"/>
        <w:rPr>
          <w:szCs w:val="20"/>
        </w:rPr>
      </w:pPr>
      <w:r>
        <w:rPr>
          <w:szCs w:val="20"/>
        </w:rPr>
        <w:t>Data usage is calculated in one kilobyte increments. International minutes are billed in one-minute increments.</w:t>
      </w:r>
    </w:p>
    <w:p w14:paraId="1CEA51F2" w14:textId="77777777" w:rsidR="00E01D8F" w:rsidRDefault="00E01D8F" w:rsidP="00E01D8F">
      <w:pPr>
        <w:pStyle w:val="Heading7"/>
        <w:rPr>
          <w:szCs w:val="20"/>
        </w:rPr>
      </w:pPr>
      <w:r>
        <w:rPr>
          <w:szCs w:val="20"/>
        </w:rPr>
        <w:t xml:space="preserve">If </w:t>
      </w:r>
      <w:r>
        <w:rPr>
          <w:i/>
          <w:szCs w:val="20"/>
        </w:rPr>
        <w:t>you</w:t>
      </w:r>
      <w:r>
        <w:rPr>
          <w:szCs w:val="20"/>
        </w:rPr>
        <w:t xml:space="preserve"> exceed </w:t>
      </w:r>
      <w:r>
        <w:rPr>
          <w:i/>
          <w:szCs w:val="20"/>
        </w:rPr>
        <w:t>your</w:t>
      </w:r>
      <w:r>
        <w:rPr>
          <w:szCs w:val="20"/>
        </w:rPr>
        <w:t xml:space="preserve"> included shareable data, </w:t>
      </w:r>
      <w:r>
        <w:rPr>
          <w:i/>
          <w:szCs w:val="20"/>
        </w:rPr>
        <w:t xml:space="preserve">you </w:t>
      </w:r>
      <w:r>
        <w:rPr>
          <w:szCs w:val="20"/>
        </w:rPr>
        <w:t>will automatically be charged $10 for each additional 1GB of data ("</w:t>
      </w:r>
      <w:r>
        <w:rPr>
          <w:b/>
          <w:szCs w:val="20"/>
        </w:rPr>
        <w:t>Additional Data</w:t>
      </w:r>
      <w:r>
        <w:rPr>
          <w:szCs w:val="20"/>
        </w:rPr>
        <w:t xml:space="preserve">") that </w:t>
      </w:r>
      <w:r>
        <w:rPr>
          <w:i/>
          <w:szCs w:val="20"/>
        </w:rPr>
        <w:t>you</w:t>
      </w:r>
      <w:r>
        <w:rPr>
          <w:szCs w:val="20"/>
        </w:rPr>
        <w:t xml:space="preserve"> use (or part thereof) up to 150GB of extra data per account each month. </w:t>
      </w:r>
      <w:r>
        <w:rPr>
          <w:i/>
          <w:szCs w:val="20"/>
        </w:rPr>
        <w:t>Your</w:t>
      </w:r>
      <w:r>
        <w:rPr>
          <w:szCs w:val="20"/>
        </w:rPr>
        <w:t xml:space="preserve"> </w:t>
      </w:r>
      <w:r>
        <w:rPr>
          <w:i/>
          <w:szCs w:val="20"/>
        </w:rPr>
        <w:t>service/s</w:t>
      </w:r>
      <w:r>
        <w:rPr>
          <w:szCs w:val="20"/>
        </w:rPr>
        <w:t xml:space="preserve"> may then be restricted, or </w:t>
      </w:r>
      <w:r>
        <w:rPr>
          <w:i/>
          <w:szCs w:val="20"/>
        </w:rPr>
        <w:t>we</w:t>
      </w:r>
      <w:r>
        <w:rPr>
          <w:szCs w:val="20"/>
        </w:rPr>
        <w:t xml:space="preserve"> may continue to charge </w:t>
      </w:r>
      <w:r>
        <w:rPr>
          <w:i/>
          <w:szCs w:val="20"/>
        </w:rPr>
        <w:t>you</w:t>
      </w:r>
      <w:r>
        <w:rPr>
          <w:szCs w:val="20"/>
        </w:rPr>
        <w:t xml:space="preserve"> at these rates.</w:t>
      </w:r>
    </w:p>
    <w:p w14:paraId="64567F96" w14:textId="77777777" w:rsidR="00E01D8F" w:rsidRDefault="00E01D8F" w:rsidP="00E01D8F">
      <w:pPr>
        <w:pStyle w:val="Heading7"/>
        <w:rPr>
          <w:szCs w:val="20"/>
        </w:rPr>
      </w:pPr>
      <w:r>
        <w:rPr>
          <w:szCs w:val="20"/>
        </w:rPr>
        <w:t xml:space="preserve">Any unused portion of </w:t>
      </w:r>
      <w:r>
        <w:rPr>
          <w:i/>
          <w:szCs w:val="20"/>
        </w:rPr>
        <w:t>your</w:t>
      </w:r>
      <w:r>
        <w:rPr>
          <w:szCs w:val="20"/>
        </w:rPr>
        <w:t xml:space="preserve"> </w:t>
      </w:r>
      <w:r>
        <w:rPr>
          <w:i/>
          <w:szCs w:val="20"/>
        </w:rPr>
        <w:t>plan's</w:t>
      </w:r>
      <w:r>
        <w:rPr>
          <w:szCs w:val="20"/>
        </w:rPr>
        <w:t xml:space="preserve"> Included or Additional Data expires at the end of each month and does not roll over into the next month.</w:t>
      </w:r>
    </w:p>
    <w:p w14:paraId="6569930D" w14:textId="77777777" w:rsidR="00E01D8F" w:rsidRDefault="00E01D8F" w:rsidP="00E01D8F">
      <w:pPr>
        <w:pStyle w:val="Heading7"/>
        <w:rPr>
          <w:szCs w:val="20"/>
        </w:rPr>
      </w:pPr>
      <w:r>
        <w:rPr>
          <w:i/>
          <w:szCs w:val="20"/>
        </w:rPr>
        <w:lastRenderedPageBreak/>
        <w:t>You</w:t>
      </w:r>
      <w:r>
        <w:rPr>
          <w:szCs w:val="20"/>
        </w:rPr>
        <w:t xml:space="preserve"> must pay </w:t>
      </w:r>
      <w:r>
        <w:rPr>
          <w:i/>
          <w:szCs w:val="20"/>
        </w:rPr>
        <w:t>us</w:t>
      </w:r>
      <w:r>
        <w:rPr>
          <w:szCs w:val="20"/>
        </w:rPr>
        <w:t xml:space="preserve"> for use of any services that are not included in </w:t>
      </w:r>
      <w:r>
        <w:rPr>
          <w:i/>
          <w:szCs w:val="20"/>
        </w:rPr>
        <w:t>your</w:t>
      </w:r>
      <w:r>
        <w:rPr>
          <w:szCs w:val="20"/>
        </w:rPr>
        <w:t xml:space="preserve"> plan's inclusions, examples of which are set out in Table 2 below.</w:t>
      </w:r>
    </w:p>
    <w:p w14:paraId="1E3B59B4" w14:textId="77777777" w:rsidR="00E01D8F" w:rsidRDefault="00E01D8F" w:rsidP="00E01D8F">
      <w:pPr>
        <w:pStyle w:val="Heading6"/>
        <w:rPr>
          <w:bCs w:val="0"/>
          <w:snapToGrid w:val="0"/>
        </w:rPr>
      </w:pPr>
      <w:bookmarkStart w:id="2465" w:name="_Toc62115216"/>
      <w:bookmarkStart w:id="2466" w:name="_Toc25928131"/>
      <w:bookmarkStart w:id="2467" w:name="_Toc25071396"/>
      <w:r>
        <w:rPr>
          <w:bCs w:val="0"/>
          <w:snapToGrid w:val="0"/>
        </w:rPr>
        <w:t>Plan Changes</w:t>
      </w:r>
      <w:bookmarkEnd w:id="2465"/>
      <w:bookmarkEnd w:id="2466"/>
      <w:bookmarkEnd w:id="2467"/>
    </w:p>
    <w:p w14:paraId="65ED0B28" w14:textId="77777777" w:rsidR="00E01D8F" w:rsidRDefault="00E01D8F" w:rsidP="00E01D8F">
      <w:pPr>
        <w:spacing w:after="200"/>
        <w:ind w:left="709"/>
        <w:rPr>
          <w:bCs/>
          <w:snapToGrid w:val="0"/>
          <w:sz w:val="20"/>
          <w:szCs w:val="20"/>
        </w:rPr>
      </w:pPr>
      <w:bookmarkStart w:id="2468" w:name="_Hlk56589918"/>
      <w:r>
        <w:rPr>
          <w:i/>
          <w:sz w:val="20"/>
          <w:szCs w:val="20"/>
        </w:rPr>
        <w:t>You</w:t>
      </w:r>
      <w:r>
        <w:rPr>
          <w:sz w:val="20"/>
          <w:szCs w:val="20"/>
        </w:rPr>
        <w:t xml:space="preserve"> can change </w:t>
      </w:r>
      <w:r>
        <w:rPr>
          <w:i/>
          <w:sz w:val="20"/>
          <w:szCs w:val="20"/>
        </w:rPr>
        <w:t>your</w:t>
      </w:r>
      <w:r>
        <w:rPr>
          <w:sz w:val="20"/>
          <w:szCs w:val="20"/>
        </w:rPr>
        <w:t xml:space="preserve"> plan during the </w:t>
      </w:r>
      <w:r>
        <w:rPr>
          <w:i/>
          <w:sz w:val="20"/>
          <w:szCs w:val="20"/>
        </w:rPr>
        <w:t>minimum term</w:t>
      </w:r>
      <w:r>
        <w:rPr>
          <w:sz w:val="20"/>
          <w:szCs w:val="20"/>
        </w:rPr>
        <w:t xml:space="preserve"> provided </w:t>
      </w:r>
      <w:r>
        <w:rPr>
          <w:i/>
          <w:sz w:val="20"/>
          <w:szCs w:val="20"/>
        </w:rPr>
        <w:t>you</w:t>
      </w:r>
      <w:r>
        <w:rPr>
          <w:sz w:val="20"/>
          <w:szCs w:val="20"/>
        </w:rPr>
        <w:t xml:space="preserve"> move to a plan with a higher monthly </w:t>
      </w:r>
      <w:r>
        <w:rPr>
          <w:i/>
          <w:sz w:val="20"/>
          <w:szCs w:val="20"/>
        </w:rPr>
        <w:t>access fee</w:t>
      </w:r>
      <w:r>
        <w:rPr>
          <w:sz w:val="20"/>
          <w:szCs w:val="20"/>
        </w:rPr>
        <w:t xml:space="preserve">. </w:t>
      </w:r>
      <w:r>
        <w:rPr>
          <w:i/>
          <w:sz w:val="20"/>
          <w:szCs w:val="20"/>
        </w:rPr>
        <w:t>You</w:t>
      </w:r>
      <w:r>
        <w:rPr>
          <w:sz w:val="20"/>
          <w:szCs w:val="20"/>
        </w:rPr>
        <w:t xml:space="preserve"> cannot change </w:t>
      </w:r>
      <w:r>
        <w:rPr>
          <w:i/>
          <w:sz w:val="20"/>
          <w:szCs w:val="20"/>
        </w:rPr>
        <w:t>your</w:t>
      </w:r>
      <w:r>
        <w:rPr>
          <w:sz w:val="20"/>
          <w:szCs w:val="20"/>
        </w:rPr>
        <w:t xml:space="preserve"> plan during the </w:t>
      </w:r>
      <w:r>
        <w:rPr>
          <w:i/>
          <w:sz w:val="20"/>
          <w:szCs w:val="20"/>
        </w:rPr>
        <w:t>minimum term</w:t>
      </w:r>
      <w:r>
        <w:rPr>
          <w:sz w:val="20"/>
          <w:szCs w:val="20"/>
        </w:rPr>
        <w:t xml:space="preserve"> to a plan with the same or lower monthly </w:t>
      </w:r>
      <w:r>
        <w:rPr>
          <w:i/>
          <w:sz w:val="20"/>
          <w:szCs w:val="20"/>
        </w:rPr>
        <w:t>access fee</w:t>
      </w:r>
      <w:r>
        <w:rPr>
          <w:sz w:val="20"/>
          <w:szCs w:val="20"/>
        </w:rPr>
        <w:t xml:space="preserve">. If </w:t>
      </w:r>
      <w:r>
        <w:rPr>
          <w:i/>
          <w:sz w:val="20"/>
          <w:szCs w:val="20"/>
        </w:rPr>
        <w:t>you</w:t>
      </w:r>
      <w:r>
        <w:rPr>
          <w:sz w:val="20"/>
          <w:szCs w:val="20"/>
        </w:rPr>
        <w:t xml:space="preserve"> change </w:t>
      </w:r>
      <w:r>
        <w:rPr>
          <w:i/>
          <w:sz w:val="20"/>
          <w:szCs w:val="20"/>
        </w:rPr>
        <w:t>your</w:t>
      </w:r>
      <w:r>
        <w:rPr>
          <w:sz w:val="20"/>
          <w:szCs w:val="20"/>
        </w:rPr>
        <w:t xml:space="preserve"> plan during the </w:t>
      </w:r>
      <w:r>
        <w:rPr>
          <w:i/>
          <w:sz w:val="20"/>
          <w:szCs w:val="20"/>
        </w:rPr>
        <w:t>minimum term</w:t>
      </w:r>
      <w:r>
        <w:rPr>
          <w:sz w:val="20"/>
          <w:szCs w:val="20"/>
        </w:rPr>
        <w:t xml:space="preserve"> a fee may apply and if </w:t>
      </w:r>
      <w:r>
        <w:rPr>
          <w:i/>
          <w:sz w:val="20"/>
          <w:szCs w:val="20"/>
        </w:rPr>
        <w:t xml:space="preserve">you </w:t>
      </w:r>
      <w:r>
        <w:rPr>
          <w:sz w:val="20"/>
          <w:szCs w:val="20"/>
        </w:rPr>
        <w:t>are paying off a phone over time, any handset repayments will remain the same.</w:t>
      </w:r>
    </w:p>
    <w:p w14:paraId="51D1E348" w14:textId="77777777" w:rsidR="00E01D8F" w:rsidRDefault="00E01D8F" w:rsidP="00E01D8F">
      <w:pPr>
        <w:pStyle w:val="Heading6"/>
        <w:rPr>
          <w:bCs w:val="0"/>
          <w:snapToGrid w:val="0"/>
          <w:szCs w:val="20"/>
        </w:rPr>
      </w:pPr>
      <w:bookmarkStart w:id="2469" w:name="_Toc62115217"/>
      <w:bookmarkStart w:id="2470" w:name="_Toc25928132"/>
      <w:bookmarkStart w:id="2471" w:name="_Toc25071397"/>
      <w:bookmarkEnd w:id="2468"/>
      <w:r>
        <w:rPr>
          <w:bCs w:val="0"/>
          <w:snapToGrid w:val="0"/>
        </w:rPr>
        <w:t>Data S</w:t>
      </w:r>
      <w:r>
        <w:rPr>
          <w:bCs w:val="0"/>
          <w:snapToGrid w:val="0"/>
          <w:szCs w:val="20"/>
        </w:rPr>
        <w:t>haring</w:t>
      </w:r>
      <w:bookmarkEnd w:id="2469"/>
      <w:bookmarkEnd w:id="2470"/>
      <w:bookmarkEnd w:id="2471"/>
    </w:p>
    <w:p w14:paraId="7C09349E" w14:textId="77777777" w:rsidR="00E01D8F" w:rsidRDefault="00E01D8F" w:rsidP="00E01D8F">
      <w:pPr>
        <w:pStyle w:val="Heading7"/>
        <w:rPr>
          <w:szCs w:val="20"/>
        </w:rPr>
      </w:pPr>
      <w:r>
        <w:rPr>
          <w:szCs w:val="20"/>
        </w:rPr>
        <w:t xml:space="preserve">If </w:t>
      </w:r>
      <w:r>
        <w:rPr>
          <w:i/>
          <w:szCs w:val="20"/>
        </w:rPr>
        <w:t>you</w:t>
      </w:r>
      <w:r>
        <w:rPr>
          <w:szCs w:val="20"/>
        </w:rPr>
        <w:t xml:space="preserve"> have more than one Optus Choice, My Plan Plus, My Plan Plus SIM Only, My Plan Plus 12M SIM Only, Business Plus (including Tech Fund), My Plan Business (including Tech Fund), My Plan Business SIM, My Plan Business 12M SIM, My Mobile Broadband Plus or Mobile Broadband Business on the same billing account, the included data will combine into one data pool, which will be shared by all eligible services on that account.</w:t>
      </w:r>
    </w:p>
    <w:p w14:paraId="08348E15" w14:textId="77777777" w:rsidR="00E01D8F" w:rsidRDefault="00E01D8F" w:rsidP="00E01D8F">
      <w:pPr>
        <w:pStyle w:val="Heading7"/>
        <w:rPr>
          <w:snapToGrid w:val="0"/>
          <w:szCs w:val="20"/>
        </w:rPr>
      </w:pPr>
      <w:r>
        <w:rPr>
          <w:snapToGrid w:val="0"/>
          <w:szCs w:val="20"/>
        </w:rPr>
        <w:t xml:space="preserve">If </w:t>
      </w:r>
      <w:r>
        <w:rPr>
          <w:i/>
          <w:snapToGrid w:val="0"/>
          <w:szCs w:val="20"/>
        </w:rPr>
        <w:t>you</w:t>
      </w:r>
      <w:r>
        <w:rPr>
          <w:snapToGrid w:val="0"/>
          <w:szCs w:val="20"/>
        </w:rPr>
        <w:t xml:space="preserve"> do not want </w:t>
      </w:r>
      <w:r>
        <w:rPr>
          <w:i/>
          <w:snapToGrid w:val="0"/>
          <w:szCs w:val="20"/>
        </w:rPr>
        <w:t>your</w:t>
      </w:r>
      <w:r>
        <w:rPr>
          <w:snapToGrid w:val="0"/>
          <w:szCs w:val="20"/>
        </w:rPr>
        <w:t xml:space="preserve"> services to share data, they need to be on separate billing accounts.</w:t>
      </w:r>
    </w:p>
    <w:p w14:paraId="633B78B2" w14:textId="77777777" w:rsidR="00E01D8F" w:rsidRDefault="00E01D8F" w:rsidP="00E01D8F">
      <w:pPr>
        <w:pStyle w:val="Heading7"/>
        <w:rPr>
          <w:snapToGrid w:val="0"/>
          <w:szCs w:val="20"/>
        </w:rPr>
      </w:pPr>
      <w:r>
        <w:rPr>
          <w:snapToGrid w:val="0"/>
          <w:szCs w:val="20"/>
        </w:rPr>
        <w:t>Data sharing is only available within Australia.</w:t>
      </w:r>
    </w:p>
    <w:p w14:paraId="7B921FEC" w14:textId="77777777" w:rsidR="00E01D8F" w:rsidRDefault="00E01D8F" w:rsidP="00E01D8F">
      <w:pPr>
        <w:pStyle w:val="Heading6"/>
        <w:rPr>
          <w:bCs w:val="0"/>
          <w:snapToGrid w:val="0"/>
        </w:rPr>
      </w:pPr>
      <w:bookmarkStart w:id="2472" w:name="_Toc62115218"/>
      <w:bookmarkStart w:id="2473" w:name="_Toc25928133"/>
      <w:bookmarkStart w:id="2474" w:name="_Toc25071398"/>
      <w:r>
        <w:rPr>
          <w:bCs w:val="0"/>
          <w:snapToGrid w:val="0"/>
        </w:rPr>
        <w:t>International Minutes</w:t>
      </w:r>
      <w:bookmarkEnd w:id="2472"/>
      <w:bookmarkEnd w:id="2473"/>
      <w:bookmarkEnd w:id="2474"/>
    </w:p>
    <w:p w14:paraId="2FDFAA14" w14:textId="30F017C5" w:rsidR="00E01D8F" w:rsidRPr="00E112B2" w:rsidRDefault="00060DA8" w:rsidP="00060DA8">
      <w:pPr>
        <w:pStyle w:val="Heading7"/>
        <w:numPr>
          <w:ilvl w:val="0"/>
          <w:numId w:val="0"/>
        </w:numPr>
        <w:ind w:left="720"/>
      </w:pPr>
      <w:r w:rsidRPr="00E112B2">
        <w:t>Prior to 1 June 2021, t</w:t>
      </w:r>
      <w:r w:rsidR="00E01D8F" w:rsidRPr="00E112B2">
        <w:t>he $55 Business Plus 24M SIM Only plan includes up to 750 international minutes for standard calls to mobiles and fixed lines to ALL countries from within Australia.</w:t>
      </w:r>
      <w:r w:rsidRPr="00E112B2">
        <w:rPr>
          <w:szCs w:val="20"/>
        </w:rPr>
        <w:t xml:space="preserve"> After 1 June 2021, this plan has </w:t>
      </w:r>
      <w:r w:rsidRPr="00E112B2">
        <w:t xml:space="preserve">unlimited standard international SMS/MMS and up to 750 international minutes included </w:t>
      </w:r>
      <w:r w:rsidRPr="00E112B2">
        <w:rPr>
          <w:szCs w:val="20"/>
        </w:rPr>
        <w:t>to use on standard international calls to 140 destinations.</w:t>
      </w:r>
    </w:p>
    <w:p w14:paraId="328C9928" w14:textId="77777777" w:rsidR="00E01D8F" w:rsidRDefault="00E01D8F" w:rsidP="00E01D8F">
      <w:pPr>
        <w:spacing w:after="200"/>
        <w:ind w:left="709"/>
        <w:rPr>
          <w:sz w:val="20"/>
        </w:rPr>
      </w:pPr>
      <w:r>
        <w:rPr>
          <w:sz w:val="20"/>
        </w:rPr>
        <w:t>Calls are charged per minute. When included international minutes for calls to selected countries are used up, standard 'yes' international call charges apply.</w:t>
      </w:r>
    </w:p>
    <w:p w14:paraId="56DC6FD8" w14:textId="77777777" w:rsidR="00E01D8F" w:rsidRDefault="00E01D8F" w:rsidP="00E01D8F">
      <w:pPr>
        <w:pStyle w:val="Heading6"/>
        <w:rPr>
          <w:bCs w:val="0"/>
          <w:snapToGrid w:val="0"/>
        </w:rPr>
      </w:pPr>
      <w:bookmarkStart w:id="2475" w:name="_Toc62115219"/>
      <w:bookmarkStart w:id="2476" w:name="_Toc25928134"/>
      <w:bookmarkStart w:id="2477" w:name="_Toc25071399"/>
      <w:r>
        <w:rPr>
          <w:bCs w:val="0"/>
          <w:snapToGrid w:val="0"/>
        </w:rPr>
        <w:t>Unlimited standard national SMS and MMS</w:t>
      </w:r>
      <w:bookmarkEnd w:id="2475"/>
      <w:bookmarkEnd w:id="2476"/>
      <w:bookmarkEnd w:id="2477"/>
    </w:p>
    <w:p w14:paraId="61BB82EA" w14:textId="77777777" w:rsidR="00E01D8F" w:rsidRDefault="00E01D8F" w:rsidP="00E01D8F">
      <w:pPr>
        <w:spacing w:after="200"/>
        <w:ind w:left="709"/>
        <w:rPr>
          <w:sz w:val="20"/>
          <w:szCs w:val="20"/>
        </w:rPr>
      </w:pPr>
      <w:r>
        <w:rPr>
          <w:i/>
          <w:sz w:val="20"/>
          <w:szCs w:val="20"/>
        </w:rPr>
        <w:t>You</w:t>
      </w:r>
      <w:r>
        <w:rPr>
          <w:sz w:val="20"/>
          <w:szCs w:val="20"/>
        </w:rPr>
        <w:t xml:space="preserve"> may send unlimited standard SMS and MMS to Australian mobiles from within Australia.</w:t>
      </w:r>
    </w:p>
    <w:p w14:paraId="719A35DA" w14:textId="77777777" w:rsidR="00E01D8F" w:rsidRDefault="00E01D8F" w:rsidP="00E01D8F">
      <w:pPr>
        <w:spacing w:after="200"/>
        <w:ind w:left="709"/>
        <w:rPr>
          <w:i/>
          <w:color w:val="13607C"/>
          <w:sz w:val="20"/>
          <w:szCs w:val="20"/>
          <w:u w:val="single"/>
        </w:rPr>
      </w:pPr>
      <w:r>
        <w:rPr>
          <w:sz w:val="20"/>
          <w:szCs w:val="20"/>
        </w:rPr>
        <w:t xml:space="preserve">Unlimited standard national SMS and MMS are only available for personal use and are not to be used for a commercial or non-ordinary purpose as set out in the </w:t>
      </w:r>
      <w:hyperlink r:id="rId937" w:history="1">
        <w:r>
          <w:rPr>
            <w:rStyle w:val="Hyperlink"/>
            <w:i/>
            <w:szCs w:val="20"/>
          </w:rPr>
          <w:t>Fair Go Policy</w:t>
        </w:r>
      </w:hyperlink>
      <w:r>
        <w:rPr>
          <w:sz w:val="20"/>
          <w:szCs w:val="20"/>
        </w:rPr>
        <w:t xml:space="preserve">. For further details refer to </w:t>
      </w:r>
      <w:hyperlink r:id="rId938" w:history="1">
        <w:r>
          <w:rPr>
            <w:rStyle w:val="Hyperlink"/>
            <w:i/>
            <w:szCs w:val="20"/>
          </w:rPr>
          <w:t>Appendix S.</w:t>
        </w:r>
      </w:hyperlink>
    </w:p>
    <w:p w14:paraId="4410ED26" w14:textId="77777777" w:rsidR="00E01D8F" w:rsidRDefault="00E01D8F" w:rsidP="00E01D8F">
      <w:pPr>
        <w:pStyle w:val="Heading6"/>
        <w:rPr>
          <w:bCs w:val="0"/>
          <w:snapToGrid w:val="0"/>
        </w:rPr>
      </w:pPr>
      <w:bookmarkStart w:id="2478" w:name="_Toc62115220"/>
      <w:bookmarkStart w:id="2479" w:name="_Toc25928135"/>
      <w:bookmarkStart w:id="2480" w:name="_Toc25071400"/>
      <w:r>
        <w:rPr>
          <w:bCs w:val="0"/>
          <w:snapToGrid w:val="0"/>
        </w:rPr>
        <w:t>Unlimited standard international SMS and MMS</w:t>
      </w:r>
      <w:bookmarkEnd w:id="2478"/>
      <w:bookmarkEnd w:id="2479"/>
      <w:bookmarkEnd w:id="2480"/>
    </w:p>
    <w:p w14:paraId="58669582" w14:textId="77777777" w:rsidR="00E01D8F" w:rsidRDefault="00E01D8F" w:rsidP="00E01D8F">
      <w:pPr>
        <w:spacing w:after="200"/>
        <w:ind w:left="709"/>
        <w:rPr>
          <w:rStyle w:val="Hyperlink"/>
          <w:i/>
          <w:szCs w:val="20"/>
        </w:rPr>
      </w:pPr>
      <w:r>
        <w:rPr>
          <w:sz w:val="20"/>
        </w:rPr>
        <w:t xml:space="preserve">You may send unlimited standard SMS and MMS to the selected countries in Table 3 from within Australia. </w:t>
      </w:r>
      <w:r>
        <w:rPr>
          <w:sz w:val="20"/>
          <w:szCs w:val="20"/>
        </w:rPr>
        <w:t xml:space="preserve">Unlimited standard SMS and MMS are only available for personal use and are not to be used for a commercial or non-ordinary purpose as set out in the </w:t>
      </w:r>
      <w:hyperlink r:id="rId939" w:history="1">
        <w:r>
          <w:rPr>
            <w:rStyle w:val="Hyperlink"/>
            <w:szCs w:val="20"/>
          </w:rPr>
          <w:t>Fair Go Policy</w:t>
        </w:r>
      </w:hyperlink>
      <w:r>
        <w:rPr>
          <w:sz w:val="20"/>
          <w:szCs w:val="20"/>
        </w:rPr>
        <w:t xml:space="preserve">. For further details refer to </w:t>
      </w:r>
      <w:hyperlink r:id="rId940" w:history="1">
        <w:r>
          <w:rPr>
            <w:rStyle w:val="Hyperlink"/>
            <w:i/>
            <w:szCs w:val="20"/>
          </w:rPr>
          <w:t>Appendix S.</w:t>
        </w:r>
      </w:hyperlink>
    </w:p>
    <w:p w14:paraId="728279BC" w14:textId="77777777" w:rsidR="00E01D8F" w:rsidRDefault="00E01D8F" w:rsidP="00E01D8F">
      <w:pPr>
        <w:pStyle w:val="Heading6"/>
        <w:ind w:left="0" w:firstLine="0"/>
        <w:rPr>
          <w:rFonts w:eastAsia="MS Gothic"/>
          <w:lang w:val="en-AU"/>
        </w:rPr>
      </w:pPr>
      <w:bookmarkStart w:id="2481" w:name="_Toc62115221"/>
      <w:bookmarkStart w:id="2482" w:name="_Toc25928136"/>
      <w:bookmarkStart w:id="2483" w:name="_Toc25071401"/>
      <w:r>
        <w:rPr>
          <w:lang w:val="en-AU"/>
        </w:rPr>
        <w:t>International Roaming</w:t>
      </w:r>
      <w:bookmarkEnd w:id="2481"/>
      <w:bookmarkEnd w:id="2482"/>
      <w:bookmarkEnd w:id="2483"/>
      <w:r>
        <w:rPr>
          <w:lang w:val="en-AU"/>
        </w:rPr>
        <w:t xml:space="preserve"> </w:t>
      </w:r>
    </w:p>
    <w:p w14:paraId="12851584" w14:textId="77777777" w:rsidR="00E01D8F" w:rsidRDefault="00E01D8F" w:rsidP="00E01D8F">
      <w:pPr>
        <w:pStyle w:val="BodyText"/>
        <w:ind w:left="720"/>
        <w:rPr>
          <w:rFonts w:cs="Arial"/>
          <w:szCs w:val="20"/>
        </w:rPr>
      </w:pPr>
      <w:r>
        <w:rPr>
          <w:rFonts w:cs="Arial"/>
        </w:rPr>
        <w:t xml:space="preserve">The $55 Business Plus SIM Only 24M plan will receive unlimited standard national and international voice, SMS (MMS is excluded) plus 5GB of data to use in Zone 1 countries within each billing month. If you are not in a Zone 1 country, you will be charged at standard roaming rates for that country. </w:t>
      </w:r>
      <w:r>
        <w:rPr>
          <w:rFonts w:eastAsia="Times New Roman" w:cs="Arial"/>
          <w:snapToGrid w:val="0"/>
          <w:szCs w:val="20"/>
        </w:rPr>
        <w:t>For Zone 1 countries see optus.com.au/biztravel</w:t>
      </w:r>
    </w:p>
    <w:p w14:paraId="169711F1" w14:textId="77777777" w:rsidR="00E01D8F" w:rsidRDefault="00E01D8F" w:rsidP="008B2738">
      <w:pPr>
        <w:rPr>
          <w:rFonts w:eastAsia="Times New Roman" w:cs="Arial"/>
          <w:sz w:val="20"/>
          <w:szCs w:val="20"/>
        </w:rPr>
      </w:pPr>
    </w:p>
    <w:p w14:paraId="3C980BBD" w14:textId="77777777" w:rsidR="00E01D8F" w:rsidRDefault="00E01D8F" w:rsidP="00E01D8F">
      <w:pPr>
        <w:pStyle w:val="BodyText"/>
        <w:ind w:left="720"/>
      </w:pPr>
      <w:r>
        <w:rPr>
          <w:rFonts w:eastAsia="Times New Roman" w:cs="Arial"/>
          <w:szCs w:val="20"/>
        </w:rPr>
        <w:t>If you exceed the data limit, standard data roaming charges will apply. Any data provided is not shareable and will not form part of any Data Pool. Any unused data will be forfeited and cannot be rolled over to the next billing month.</w:t>
      </w:r>
      <w:r>
        <w:rPr>
          <w:rFonts w:eastAsia="Times New Roman" w:cs="Arial"/>
          <w:snapToGrid w:val="0"/>
          <w:szCs w:val="20"/>
        </w:rPr>
        <w:t xml:space="preserve"> </w:t>
      </w:r>
      <w:bookmarkStart w:id="2484" w:name="_Toc25928137"/>
      <w:bookmarkStart w:id="2485" w:name="_Toc25071402"/>
      <w:r>
        <w:t>Optional travel/roaming packs</w:t>
      </w:r>
      <w:bookmarkEnd w:id="2484"/>
      <w:bookmarkEnd w:id="2485"/>
      <w:r>
        <w:t xml:space="preserve"> </w:t>
      </w:r>
      <w:r w:rsidR="008B2738">
        <w:br/>
      </w:r>
    </w:p>
    <w:p w14:paraId="30072C8D" w14:textId="77777777" w:rsidR="00E01D8F" w:rsidRDefault="00E01D8F" w:rsidP="00E01D8F">
      <w:pPr>
        <w:spacing w:after="200"/>
        <w:rPr>
          <w:b/>
          <w:sz w:val="20"/>
        </w:rPr>
      </w:pPr>
      <w:r>
        <w:rPr>
          <w:b/>
          <w:sz w:val="20"/>
        </w:rPr>
        <w:t>Table 1 –Plan Inclusions and Charges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2"/>
        <w:gridCol w:w="3261"/>
      </w:tblGrid>
      <w:tr w:rsidR="008B2738" w14:paraId="68F977F0" w14:textId="77777777" w:rsidTr="008B2738">
        <w:tc>
          <w:tcPr>
            <w:tcW w:w="6232" w:type="dxa"/>
            <w:tcBorders>
              <w:top w:val="single" w:sz="4" w:space="0" w:color="auto"/>
              <w:left w:val="single" w:sz="4" w:space="0" w:color="auto"/>
              <w:bottom w:val="single" w:sz="4" w:space="0" w:color="auto"/>
              <w:right w:val="single" w:sz="4" w:space="0" w:color="auto"/>
            </w:tcBorders>
          </w:tcPr>
          <w:p w14:paraId="1E44DD5D" w14:textId="77777777" w:rsidR="008B2738" w:rsidRDefault="008B2738">
            <w:pPr>
              <w:spacing w:after="200"/>
              <w:rPr>
                <w:b/>
                <w:sz w:val="20"/>
              </w:rPr>
            </w:pPr>
            <w:r>
              <w:rPr>
                <w:b/>
                <w:sz w:val="20"/>
              </w:rPr>
              <w:lastRenderedPageBreak/>
              <w:t>Plan</w:t>
            </w:r>
          </w:p>
        </w:tc>
        <w:tc>
          <w:tcPr>
            <w:tcW w:w="3261" w:type="dxa"/>
            <w:tcBorders>
              <w:top w:val="single" w:sz="4" w:space="0" w:color="auto"/>
              <w:left w:val="single" w:sz="4" w:space="0" w:color="auto"/>
              <w:bottom w:val="single" w:sz="4" w:space="0" w:color="auto"/>
              <w:right w:val="single" w:sz="4" w:space="0" w:color="auto"/>
            </w:tcBorders>
            <w:hideMark/>
          </w:tcPr>
          <w:p w14:paraId="52ECFED8" w14:textId="77777777" w:rsidR="008B2738" w:rsidRDefault="008B2738">
            <w:pPr>
              <w:spacing w:before="100" w:after="100"/>
              <w:jc w:val="center"/>
              <w:rPr>
                <w:rFonts w:eastAsia="Calibri"/>
                <w:sz w:val="16"/>
                <w:szCs w:val="16"/>
              </w:rPr>
            </w:pPr>
            <w:r>
              <w:rPr>
                <w:rFonts w:eastAsia="Calibri"/>
                <w:sz w:val="16"/>
                <w:szCs w:val="16"/>
              </w:rPr>
              <w:t>$55 Business Plus 24M SIM Only</w:t>
            </w:r>
          </w:p>
        </w:tc>
      </w:tr>
      <w:tr w:rsidR="008B2738" w14:paraId="0480C9E9" w14:textId="77777777" w:rsidTr="008B2738">
        <w:tc>
          <w:tcPr>
            <w:tcW w:w="6232" w:type="dxa"/>
            <w:tcBorders>
              <w:top w:val="single" w:sz="4" w:space="0" w:color="auto"/>
              <w:left w:val="single" w:sz="4" w:space="0" w:color="auto"/>
              <w:bottom w:val="single" w:sz="4" w:space="0" w:color="auto"/>
              <w:right w:val="single" w:sz="4" w:space="0" w:color="auto"/>
            </w:tcBorders>
            <w:hideMark/>
          </w:tcPr>
          <w:p w14:paraId="457B195D" w14:textId="77777777" w:rsidR="008B2738" w:rsidRDefault="008B2738">
            <w:pPr>
              <w:spacing w:before="100" w:after="100"/>
              <w:rPr>
                <w:rFonts w:eastAsia="Calibri"/>
                <w:b/>
                <w:bCs/>
                <w:sz w:val="16"/>
                <w:szCs w:val="16"/>
                <w:lang w:eastAsia="en-AU"/>
              </w:rPr>
            </w:pPr>
            <w:r>
              <w:rPr>
                <w:rFonts w:eastAsia="Calibri"/>
                <w:b/>
                <w:bCs/>
                <w:sz w:val="16"/>
                <w:szCs w:val="16"/>
                <w:lang w:eastAsia="en-AU"/>
              </w:rPr>
              <w:t>Minimum Monthly charge</w:t>
            </w:r>
          </w:p>
        </w:tc>
        <w:tc>
          <w:tcPr>
            <w:tcW w:w="3261" w:type="dxa"/>
            <w:tcBorders>
              <w:top w:val="single" w:sz="4" w:space="0" w:color="auto"/>
              <w:left w:val="single" w:sz="4" w:space="0" w:color="auto"/>
              <w:bottom w:val="single" w:sz="4" w:space="0" w:color="auto"/>
              <w:right w:val="single" w:sz="4" w:space="0" w:color="auto"/>
            </w:tcBorders>
            <w:hideMark/>
          </w:tcPr>
          <w:p w14:paraId="1E88E332" w14:textId="77777777" w:rsidR="008B2738" w:rsidRDefault="008B2738">
            <w:pPr>
              <w:spacing w:before="100" w:after="100"/>
              <w:jc w:val="center"/>
              <w:rPr>
                <w:rFonts w:eastAsia="Calibri"/>
                <w:sz w:val="16"/>
                <w:szCs w:val="16"/>
              </w:rPr>
            </w:pPr>
            <w:r>
              <w:rPr>
                <w:rFonts w:eastAsia="Calibri"/>
                <w:sz w:val="16"/>
                <w:szCs w:val="16"/>
              </w:rPr>
              <w:t>$55</w:t>
            </w:r>
          </w:p>
        </w:tc>
      </w:tr>
      <w:tr w:rsidR="008B2738" w14:paraId="57F7C0D5" w14:textId="77777777" w:rsidTr="008B2738">
        <w:tc>
          <w:tcPr>
            <w:tcW w:w="6232" w:type="dxa"/>
            <w:tcBorders>
              <w:top w:val="single" w:sz="4" w:space="0" w:color="auto"/>
              <w:left w:val="single" w:sz="4" w:space="0" w:color="auto"/>
              <w:bottom w:val="single" w:sz="4" w:space="0" w:color="auto"/>
              <w:right w:val="single" w:sz="4" w:space="0" w:color="auto"/>
            </w:tcBorders>
            <w:hideMark/>
          </w:tcPr>
          <w:p w14:paraId="5BCEB3D4" w14:textId="77777777" w:rsidR="008B2738" w:rsidRDefault="008B2738">
            <w:pPr>
              <w:spacing w:before="100" w:after="100"/>
              <w:rPr>
                <w:rFonts w:eastAsia="Calibri"/>
                <w:b/>
                <w:bCs/>
                <w:sz w:val="16"/>
                <w:szCs w:val="16"/>
                <w:lang w:eastAsia="en-AU"/>
              </w:rPr>
            </w:pPr>
            <w:r>
              <w:rPr>
                <w:rFonts w:eastAsia="Calibri"/>
                <w:b/>
                <w:bCs/>
                <w:sz w:val="16"/>
                <w:szCs w:val="16"/>
                <w:lang w:eastAsia="en-AU"/>
              </w:rPr>
              <w:t>Included Monthly Data</w:t>
            </w:r>
          </w:p>
        </w:tc>
        <w:tc>
          <w:tcPr>
            <w:tcW w:w="3261" w:type="dxa"/>
            <w:tcBorders>
              <w:top w:val="single" w:sz="4" w:space="0" w:color="auto"/>
              <w:left w:val="single" w:sz="4" w:space="0" w:color="auto"/>
              <w:bottom w:val="single" w:sz="4" w:space="0" w:color="auto"/>
              <w:right w:val="single" w:sz="4" w:space="0" w:color="auto"/>
            </w:tcBorders>
            <w:hideMark/>
          </w:tcPr>
          <w:p w14:paraId="23D5B119" w14:textId="77777777" w:rsidR="008B2738" w:rsidRDefault="008B2738">
            <w:pPr>
              <w:spacing w:before="100" w:after="100"/>
              <w:jc w:val="center"/>
              <w:rPr>
                <w:rFonts w:eastAsia="Calibri"/>
                <w:sz w:val="16"/>
                <w:szCs w:val="16"/>
              </w:rPr>
            </w:pPr>
            <w:r>
              <w:rPr>
                <w:rFonts w:eastAsia="Calibri"/>
                <w:sz w:val="16"/>
                <w:szCs w:val="16"/>
              </w:rPr>
              <w:t>80GB</w:t>
            </w:r>
          </w:p>
        </w:tc>
      </w:tr>
      <w:tr w:rsidR="008B2738" w14:paraId="6A9A04D6" w14:textId="77777777" w:rsidTr="008B2738">
        <w:tc>
          <w:tcPr>
            <w:tcW w:w="6232" w:type="dxa"/>
            <w:tcBorders>
              <w:top w:val="single" w:sz="4" w:space="0" w:color="auto"/>
              <w:left w:val="single" w:sz="4" w:space="0" w:color="auto"/>
              <w:bottom w:val="single" w:sz="4" w:space="0" w:color="auto"/>
              <w:right w:val="single" w:sz="4" w:space="0" w:color="auto"/>
            </w:tcBorders>
            <w:hideMark/>
          </w:tcPr>
          <w:p w14:paraId="56AD806C" w14:textId="77777777" w:rsidR="008B2738" w:rsidRDefault="008B2738">
            <w:pPr>
              <w:spacing w:before="100" w:after="100"/>
              <w:rPr>
                <w:rFonts w:eastAsia="Calibri"/>
                <w:b/>
                <w:bCs/>
                <w:sz w:val="16"/>
                <w:szCs w:val="16"/>
                <w:lang w:eastAsia="en-AU"/>
              </w:rPr>
            </w:pPr>
            <w:r>
              <w:rPr>
                <w:rFonts w:eastAsia="Calibri"/>
                <w:b/>
                <w:bCs/>
                <w:sz w:val="16"/>
                <w:szCs w:val="16"/>
                <w:lang w:eastAsia="en-AU"/>
              </w:rPr>
              <w:t>Additional Data</w:t>
            </w:r>
          </w:p>
        </w:tc>
        <w:tc>
          <w:tcPr>
            <w:tcW w:w="3261" w:type="dxa"/>
            <w:tcBorders>
              <w:top w:val="single" w:sz="4" w:space="0" w:color="auto"/>
              <w:left w:val="single" w:sz="4" w:space="0" w:color="auto"/>
              <w:bottom w:val="single" w:sz="4" w:space="0" w:color="auto"/>
              <w:right w:val="single" w:sz="4" w:space="0" w:color="auto"/>
            </w:tcBorders>
            <w:hideMark/>
          </w:tcPr>
          <w:p w14:paraId="59248F4B" w14:textId="77777777" w:rsidR="008B2738" w:rsidRDefault="008B2738">
            <w:pPr>
              <w:spacing w:before="100" w:after="100"/>
              <w:jc w:val="center"/>
              <w:rPr>
                <w:rFonts w:eastAsia="Calibri"/>
                <w:sz w:val="16"/>
                <w:szCs w:val="16"/>
              </w:rPr>
            </w:pPr>
            <w:r>
              <w:rPr>
                <w:rFonts w:eastAsia="Calibri"/>
                <w:sz w:val="16"/>
                <w:szCs w:val="16"/>
              </w:rPr>
              <w:t>Additional data $10 per GB</w:t>
            </w:r>
          </w:p>
        </w:tc>
      </w:tr>
      <w:tr w:rsidR="008B2738" w14:paraId="3454AFD6" w14:textId="77777777" w:rsidTr="008B2738">
        <w:tc>
          <w:tcPr>
            <w:tcW w:w="6232" w:type="dxa"/>
            <w:tcBorders>
              <w:top w:val="single" w:sz="4" w:space="0" w:color="auto"/>
              <w:left w:val="single" w:sz="4" w:space="0" w:color="auto"/>
              <w:bottom w:val="single" w:sz="4" w:space="0" w:color="auto"/>
              <w:right w:val="single" w:sz="4" w:space="0" w:color="auto"/>
            </w:tcBorders>
            <w:hideMark/>
          </w:tcPr>
          <w:p w14:paraId="31B888B8" w14:textId="77777777" w:rsidR="008B2738" w:rsidRDefault="008B2738">
            <w:pPr>
              <w:spacing w:before="100" w:after="100"/>
              <w:rPr>
                <w:rFonts w:eastAsia="Calibri"/>
                <w:b/>
                <w:bCs/>
                <w:sz w:val="16"/>
                <w:szCs w:val="16"/>
                <w:lang w:eastAsia="en-AU"/>
              </w:rPr>
            </w:pPr>
            <w:r>
              <w:rPr>
                <w:rFonts w:eastAsia="Calibri"/>
                <w:b/>
                <w:bCs/>
                <w:sz w:val="16"/>
                <w:szCs w:val="16"/>
                <w:lang w:eastAsia="en-AU"/>
              </w:rPr>
              <w:t>Included Minutes</w:t>
            </w:r>
            <w:r>
              <w:rPr>
                <w:rFonts w:eastAsia="Calibri"/>
                <w:b/>
                <w:bCs/>
                <w:sz w:val="16"/>
                <w:szCs w:val="16"/>
                <w:lang w:eastAsia="en-AU"/>
              </w:rPr>
              <w:br/>
              <w:t>For standard national calls to landlines and mobiles, 1300 numbers and voicemail, within Australia</w:t>
            </w:r>
          </w:p>
        </w:tc>
        <w:tc>
          <w:tcPr>
            <w:tcW w:w="3261" w:type="dxa"/>
            <w:tcBorders>
              <w:top w:val="single" w:sz="4" w:space="0" w:color="auto"/>
              <w:left w:val="single" w:sz="4" w:space="0" w:color="auto"/>
              <w:bottom w:val="single" w:sz="4" w:space="0" w:color="auto"/>
              <w:right w:val="single" w:sz="4" w:space="0" w:color="auto"/>
            </w:tcBorders>
            <w:vAlign w:val="center"/>
            <w:hideMark/>
          </w:tcPr>
          <w:p w14:paraId="0F61C1CE" w14:textId="77777777" w:rsidR="008B2738" w:rsidRDefault="008B2738">
            <w:pPr>
              <w:spacing w:before="100" w:after="100"/>
              <w:jc w:val="center"/>
              <w:rPr>
                <w:rFonts w:eastAsia="Calibri"/>
                <w:sz w:val="16"/>
                <w:szCs w:val="16"/>
              </w:rPr>
            </w:pPr>
            <w:r>
              <w:rPr>
                <w:rFonts w:eastAsia="Calibri"/>
                <w:sz w:val="16"/>
                <w:szCs w:val="16"/>
              </w:rPr>
              <w:t>Unlimited</w:t>
            </w:r>
          </w:p>
        </w:tc>
      </w:tr>
      <w:tr w:rsidR="008B2738" w14:paraId="5AD15995" w14:textId="77777777" w:rsidTr="008B2738">
        <w:tc>
          <w:tcPr>
            <w:tcW w:w="6232" w:type="dxa"/>
            <w:tcBorders>
              <w:top w:val="single" w:sz="4" w:space="0" w:color="auto"/>
              <w:left w:val="single" w:sz="4" w:space="0" w:color="auto"/>
              <w:bottom w:val="single" w:sz="4" w:space="0" w:color="auto"/>
              <w:right w:val="single" w:sz="4" w:space="0" w:color="auto"/>
            </w:tcBorders>
            <w:hideMark/>
          </w:tcPr>
          <w:p w14:paraId="0EF69066" w14:textId="77777777" w:rsidR="00060DA8" w:rsidRPr="00E112B2" w:rsidRDefault="008B2738" w:rsidP="00060DA8">
            <w:pPr>
              <w:spacing w:before="100" w:after="100"/>
              <w:rPr>
                <w:rFonts w:eastAsia="Calibri"/>
                <w:b/>
                <w:bCs/>
                <w:sz w:val="16"/>
                <w:szCs w:val="16"/>
                <w:lang w:val="en-AU"/>
              </w:rPr>
            </w:pPr>
            <w:r>
              <w:rPr>
                <w:rFonts w:eastAsia="Calibri"/>
                <w:b/>
                <w:bCs/>
                <w:sz w:val="16"/>
                <w:szCs w:val="16"/>
                <w:lang w:eastAsia="en-AU"/>
              </w:rPr>
              <w:t>Included International Minutes</w:t>
            </w:r>
            <w:r>
              <w:rPr>
                <w:rFonts w:eastAsia="Calibri"/>
                <w:b/>
                <w:bCs/>
                <w:sz w:val="16"/>
                <w:szCs w:val="16"/>
                <w:lang w:eastAsia="en-AU"/>
              </w:rPr>
              <w:br/>
            </w:r>
            <w:r w:rsidR="00060DA8" w:rsidRPr="00E112B2">
              <w:rPr>
                <w:rFonts w:eastAsia="Calibri"/>
                <w:b/>
                <w:bCs/>
                <w:sz w:val="16"/>
                <w:szCs w:val="16"/>
                <w:lang w:val="en-AU"/>
              </w:rPr>
              <w:t>Prior to 1 June 2021: To ALL destinations from Australia</w:t>
            </w:r>
          </w:p>
          <w:p w14:paraId="2FEA80D5" w14:textId="0F9F66CB" w:rsidR="008B2738" w:rsidRPr="00060DA8" w:rsidRDefault="00060DA8">
            <w:pPr>
              <w:spacing w:before="100" w:after="100"/>
              <w:rPr>
                <w:rFonts w:eastAsia="Calibri"/>
                <w:b/>
                <w:bCs/>
                <w:sz w:val="16"/>
                <w:szCs w:val="16"/>
                <w:lang w:val="en-AU" w:eastAsia="en-AU"/>
              </w:rPr>
            </w:pPr>
            <w:r w:rsidRPr="00E112B2">
              <w:rPr>
                <w:rFonts w:eastAsia="Calibri"/>
                <w:b/>
                <w:bCs/>
                <w:sz w:val="16"/>
                <w:szCs w:val="16"/>
                <w:lang w:val="en-AU" w:eastAsia="en-AU"/>
              </w:rPr>
              <w:t>After 1 June 2021: To 140 selected destinations from Australia</w:t>
            </w:r>
          </w:p>
        </w:tc>
        <w:tc>
          <w:tcPr>
            <w:tcW w:w="3261" w:type="dxa"/>
            <w:tcBorders>
              <w:top w:val="single" w:sz="4" w:space="0" w:color="auto"/>
              <w:left w:val="single" w:sz="4" w:space="0" w:color="auto"/>
              <w:bottom w:val="single" w:sz="4" w:space="0" w:color="auto"/>
              <w:right w:val="single" w:sz="4" w:space="0" w:color="auto"/>
            </w:tcBorders>
            <w:vAlign w:val="center"/>
            <w:hideMark/>
          </w:tcPr>
          <w:p w14:paraId="525D27EC" w14:textId="77777777" w:rsidR="008B2738" w:rsidRDefault="008B2738">
            <w:pPr>
              <w:spacing w:before="100" w:after="100"/>
              <w:jc w:val="center"/>
              <w:rPr>
                <w:rFonts w:eastAsia="Calibri"/>
                <w:sz w:val="16"/>
                <w:szCs w:val="16"/>
              </w:rPr>
            </w:pPr>
            <w:r>
              <w:rPr>
                <w:rFonts w:eastAsia="Calibri"/>
                <w:sz w:val="16"/>
                <w:szCs w:val="16"/>
              </w:rPr>
              <w:t>Up to 750 mins</w:t>
            </w:r>
          </w:p>
        </w:tc>
      </w:tr>
      <w:tr w:rsidR="008B2738" w14:paraId="48AA6824" w14:textId="77777777" w:rsidTr="008B2738">
        <w:tc>
          <w:tcPr>
            <w:tcW w:w="6232" w:type="dxa"/>
            <w:tcBorders>
              <w:top w:val="single" w:sz="4" w:space="0" w:color="auto"/>
              <w:left w:val="single" w:sz="4" w:space="0" w:color="auto"/>
              <w:bottom w:val="single" w:sz="4" w:space="0" w:color="auto"/>
              <w:right w:val="single" w:sz="4" w:space="0" w:color="auto"/>
            </w:tcBorders>
            <w:hideMark/>
          </w:tcPr>
          <w:p w14:paraId="2C668298" w14:textId="77777777" w:rsidR="008B2738" w:rsidRDefault="008B2738">
            <w:pPr>
              <w:spacing w:before="100" w:after="100"/>
              <w:rPr>
                <w:rFonts w:eastAsia="Calibri"/>
                <w:b/>
                <w:bCs/>
                <w:sz w:val="16"/>
                <w:szCs w:val="16"/>
                <w:lang w:eastAsia="en-AU"/>
              </w:rPr>
            </w:pPr>
            <w:r>
              <w:rPr>
                <w:rFonts w:eastAsia="Calibri"/>
                <w:b/>
                <w:bCs/>
                <w:sz w:val="16"/>
                <w:szCs w:val="16"/>
                <w:lang w:eastAsia="en-AU"/>
              </w:rPr>
              <w:t>Standard national SMS (per SMS of up to 160 standard characters)</w:t>
            </w:r>
          </w:p>
        </w:tc>
        <w:tc>
          <w:tcPr>
            <w:tcW w:w="3261" w:type="dxa"/>
            <w:tcBorders>
              <w:top w:val="single" w:sz="4" w:space="0" w:color="auto"/>
              <w:left w:val="single" w:sz="4" w:space="0" w:color="auto"/>
              <w:bottom w:val="single" w:sz="4" w:space="0" w:color="auto"/>
              <w:right w:val="single" w:sz="4" w:space="0" w:color="auto"/>
            </w:tcBorders>
            <w:vAlign w:val="center"/>
            <w:hideMark/>
          </w:tcPr>
          <w:p w14:paraId="73ACD669" w14:textId="77777777" w:rsidR="008B2738" w:rsidRDefault="008B2738">
            <w:pPr>
              <w:spacing w:before="100" w:after="100"/>
              <w:jc w:val="center"/>
              <w:rPr>
                <w:rFonts w:eastAsia="Calibri"/>
                <w:sz w:val="16"/>
                <w:szCs w:val="16"/>
              </w:rPr>
            </w:pPr>
            <w:r>
              <w:rPr>
                <w:rFonts w:eastAsia="Calibri"/>
                <w:sz w:val="16"/>
                <w:szCs w:val="16"/>
              </w:rPr>
              <w:t>Unlimited</w:t>
            </w:r>
          </w:p>
        </w:tc>
      </w:tr>
      <w:tr w:rsidR="008B2738" w14:paraId="53020611" w14:textId="77777777" w:rsidTr="008B2738">
        <w:tc>
          <w:tcPr>
            <w:tcW w:w="6232" w:type="dxa"/>
            <w:tcBorders>
              <w:top w:val="single" w:sz="4" w:space="0" w:color="auto"/>
              <w:left w:val="single" w:sz="4" w:space="0" w:color="auto"/>
              <w:bottom w:val="single" w:sz="4" w:space="0" w:color="auto"/>
              <w:right w:val="single" w:sz="4" w:space="0" w:color="auto"/>
            </w:tcBorders>
            <w:hideMark/>
          </w:tcPr>
          <w:p w14:paraId="4C69F96E" w14:textId="77777777" w:rsidR="008B2738" w:rsidRDefault="008B2738">
            <w:pPr>
              <w:spacing w:before="100" w:after="100"/>
              <w:rPr>
                <w:rFonts w:eastAsia="Calibri"/>
                <w:b/>
                <w:bCs/>
                <w:sz w:val="16"/>
                <w:szCs w:val="16"/>
                <w:lang w:eastAsia="en-AU"/>
              </w:rPr>
            </w:pPr>
            <w:r>
              <w:rPr>
                <w:rFonts w:eastAsia="Calibri"/>
                <w:b/>
                <w:bCs/>
                <w:sz w:val="16"/>
                <w:szCs w:val="16"/>
                <w:lang w:eastAsia="en-AU"/>
              </w:rPr>
              <w:t>Standard national MMS (per message)</w:t>
            </w:r>
          </w:p>
        </w:tc>
        <w:tc>
          <w:tcPr>
            <w:tcW w:w="3261" w:type="dxa"/>
            <w:tcBorders>
              <w:top w:val="single" w:sz="4" w:space="0" w:color="auto"/>
              <w:left w:val="single" w:sz="4" w:space="0" w:color="auto"/>
              <w:bottom w:val="single" w:sz="4" w:space="0" w:color="auto"/>
              <w:right w:val="single" w:sz="4" w:space="0" w:color="auto"/>
            </w:tcBorders>
            <w:vAlign w:val="center"/>
            <w:hideMark/>
          </w:tcPr>
          <w:p w14:paraId="1892CE53" w14:textId="77777777" w:rsidR="008B2738" w:rsidRDefault="008B2738">
            <w:pPr>
              <w:spacing w:before="100" w:after="100"/>
              <w:jc w:val="center"/>
              <w:rPr>
                <w:rFonts w:eastAsia="Calibri"/>
                <w:sz w:val="16"/>
                <w:szCs w:val="16"/>
              </w:rPr>
            </w:pPr>
            <w:r>
              <w:rPr>
                <w:rFonts w:eastAsia="Calibri"/>
                <w:sz w:val="16"/>
                <w:szCs w:val="16"/>
              </w:rPr>
              <w:t>Unlimited</w:t>
            </w:r>
          </w:p>
        </w:tc>
      </w:tr>
      <w:tr w:rsidR="008B2738" w14:paraId="6F6BE567" w14:textId="77777777" w:rsidTr="008B2738">
        <w:tc>
          <w:tcPr>
            <w:tcW w:w="6232" w:type="dxa"/>
            <w:tcBorders>
              <w:top w:val="single" w:sz="4" w:space="0" w:color="auto"/>
              <w:left w:val="single" w:sz="4" w:space="0" w:color="auto"/>
              <w:bottom w:val="single" w:sz="4" w:space="0" w:color="auto"/>
              <w:right w:val="single" w:sz="4" w:space="0" w:color="auto"/>
            </w:tcBorders>
            <w:hideMark/>
          </w:tcPr>
          <w:p w14:paraId="0FAF91B2" w14:textId="77777777" w:rsidR="008B2738" w:rsidRDefault="008B2738">
            <w:pPr>
              <w:spacing w:before="100" w:after="100"/>
              <w:rPr>
                <w:rFonts w:eastAsia="Calibri"/>
                <w:b/>
                <w:bCs/>
                <w:sz w:val="16"/>
                <w:szCs w:val="16"/>
                <w:lang w:eastAsia="en-AU"/>
              </w:rPr>
            </w:pPr>
            <w:r>
              <w:rPr>
                <w:rFonts w:eastAsia="Calibri"/>
                <w:b/>
                <w:bCs/>
                <w:sz w:val="16"/>
                <w:szCs w:val="16"/>
                <w:lang w:eastAsia="en-AU"/>
              </w:rPr>
              <w:t>Standard international SMS (per SMS of up to 160 standard characters to selected countries in Table 3)</w:t>
            </w:r>
          </w:p>
        </w:tc>
        <w:tc>
          <w:tcPr>
            <w:tcW w:w="3261" w:type="dxa"/>
            <w:tcBorders>
              <w:top w:val="single" w:sz="4" w:space="0" w:color="auto"/>
              <w:left w:val="single" w:sz="4" w:space="0" w:color="auto"/>
              <w:bottom w:val="single" w:sz="4" w:space="0" w:color="auto"/>
              <w:right w:val="single" w:sz="4" w:space="0" w:color="auto"/>
            </w:tcBorders>
            <w:vAlign w:val="center"/>
            <w:hideMark/>
          </w:tcPr>
          <w:p w14:paraId="5D751322" w14:textId="77777777" w:rsidR="008B2738" w:rsidRDefault="008B2738">
            <w:pPr>
              <w:spacing w:before="100" w:after="100"/>
              <w:jc w:val="center"/>
              <w:rPr>
                <w:rFonts w:eastAsia="Calibri"/>
                <w:sz w:val="16"/>
                <w:szCs w:val="16"/>
              </w:rPr>
            </w:pPr>
            <w:r>
              <w:rPr>
                <w:rFonts w:eastAsia="Calibri"/>
                <w:sz w:val="16"/>
                <w:szCs w:val="16"/>
              </w:rPr>
              <w:t>Unlimited</w:t>
            </w:r>
          </w:p>
        </w:tc>
      </w:tr>
      <w:tr w:rsidR="008B2738" w14:paraId="2DF3B27B" w14:textId="77777777" w:rsidTr="008B2738">
        <w:tc>
          <w:tcPr>
            <w:tcW w:w="6232" w:type="dxa"/>
            <w:tcBorders>
              <w:top w:val="single" w:sz="4" w:space="0" w:color="auto"/>
              <w:left w:val="single" w:sz="4" w:space="0" w:color="auto"/>
              <w:bottom w:val="single" w:sz="4" w:space="0" w:color="auto"/>
              <w:right w:val="single" w:sz="4" w:space="0" w:color="auto"/>
            </w:tcBorders>
            <w:hideMark/>
          </w:tcPr>
          <w:p w14:paraId="194C8965" w14:textId="77777777" w:rsidR="008B2738" w:rsidRDefault="008B2738">
            <w:pPr>
              <w:spacing w:before="100" w:after="100"/>
              <w:rPr>
                <w:rFonts w:eastAsia="Calibri"/>
                <w:b/>
                <w:bCs/>
                <w:sz w:val="16"/>
                <w:szCs w:val="16"/>
                <w:lang w:eastAsia="en-AU"/>
              </w:rPr>
            </w:pPr>
            <w:r>
              <w:rPr>
                <w:rFonts w:eastAsia="Calibri"/>
                <w:b/>
                <w:bCs/>
                <w:sz w:val="16"/>
                <w:szCs w:val="16"/>
                <w:lang w:eastAsia="en-AU"/>
              </w:rPr>
              <w:t>Standard international MMS (per message to selected countries in Table 3)</w:t>
            </w:r>
          </w:p>
        </w:tc>
        <w:tc>
          <w:tcPr>
            <w:tcW w:w="3261" w:type="dxa"/>
            <w:tcBorders>
              <w:top w:val="single" w:sz="4" w:space="0" w:color="auto"/>
              <w:left w:val="single" w:sz="4" w:space="0" w:color="auto"/>
              <w:bottom w:val="single" w:sz="4" w:space="0" w:color="auto"/>
              <w:right w:val="single" w:sz="4" w:space="0" w:color="auto"/>
            </w:tcBorders>
            <w:vAlign w:val="center"/>
            <w:hideMark/>
          </w:tcPr>
          <w:p w14:paraId="283FAD9A" w14:textId="77777777" w:rsidR="008B2738" w:rsidRDefault="008B2738">
            <w:pPr>
              <w:spacing w:before="100" w:after="100"/>
              <w:jc w:val="center"/>
              <w:rPr>
                <w:rFonts w:eastAsia="Calibri"/>
                <w:sz w:val="16"/>
                <w:szCs w:val="16"/>
              </w:rPr>
            </w:pPr>
            <w:r>
              <w:rPr>
                <w:rFonts w:eastAsia="Calibri"/>
                <w:sz w:val="16"/>
                <w:szCs w:val="16"/>
              </w:rPr>
              <w:t>Unlimited</w:t>
            </w:r>
          </w:p>
        </w:tc>
      </w:tr>
      <w:tr w:rsidR="008B2738" w14:paraId="4AB63A8A" w14:textId="77777777" w:rsidTr="008B2738">
        <w:tc>
          <w:tcPr>
            <w:tcW w:w="6232" w:type="dxa"/>
            <w:tcBorders>
              <w:top w:val="single" w:sz="4" w:space="0" w:color="auto"/>
              <w:left w:val="single" w:sz="4" w:space="0" w:color="auto"/>
              <w:bottom w:val="single" w:sz="4" w:space="0" w:color="auto"/>
              <w:right w:val="single" w:sz="4" w:space="0" w:color="auto"/>
            </w:tcBorders>
          </w:tcPr>
          <w:p w14:paraId="7912E1BC" w14:textId="77777777" w:rsidR="008B2738" w:rsidRDefault="008B2738">
            <w:pPr>
              <w:pStyle w:val="OptusH3"/>
              <w:tabs>
                <w:tab w:val="clear" w:pos="2127"/>
                <w:tab w:val="left" w:pos="567"/>
              </w:tabs>
              <w:spacing w:before="0" w:after="0"/>
              <w:ind w:left="0" w:firstLine="0"/>
              <w:rPr>
                <w:rFonts w:eastAsia="Calibri"/>
                <w:b/>
                <w:bCs/>
                <w:sz w:val="16"/>
                <w:szCs w:val="16"/>
                <w:lang w:eastAsia="en-AU"/>
              </w:rPr>
            </w:pPr>
            <w:r>
              <w:rPr>
                <w:rFonts w:eastAsia="Calibri"/>
                <w:b/>
                <w:bCs/>
                <w:sz w:val="16"/>
                <w:szCs w:val="16"/>
                <w:lang w:eastAsia="en-AU"/>
              </w:rPr>
              <w:t xml:space="preserve">International Roaming </w:t>
            </w:r>
            <w:r>
              <w:rPr>
                <w:rFonts w:eastAsia="Calibri"/>
                <w:b/>
                <w:bCs/>
                <w:sz w:val="16"/>
                <w:szCs w:val="16"/>
                <w:lang w:eastAsia="en-AU"/>
              </w:rPr>
              <w:br/>
              <w:t>(Zone 1 countries, see optus.com.au/biztravel)</w:t>
            </w:r>
          </w:p>
          <w:p w14:paraId="646AED52" w14:textId="77777777" w:rsidR="008B2738" w:rsidRDefault="008B2738">
            <w:pPr>
              <w:pStyle w:val="OptusH3"/>
              <w:tabs>
                <w:tab w:val="clear" w:pos="2127"/>
                <w:tab w:val="left" w:pos="567"/>
              </w:tabs>
              <w:spacing w:before="0" w:after="0"/>
              <w:ind w:left="709" w:firstLine="0"/>
              <w:rPr>
                <w:rFonts w:eastAsia="Calibri"/>
                <w:b/>
                <w:bCs/>
                <w:sz w:val="16"/>
                <w:szCs w:val="16"/>
                <w:lang w:eastAsia="en-AU"/>
              </w:rPr>
            </w:pPr>
          </w:p>
        </w:tc>
        <w:tc>
          <w:tcPr>
            <w:tcW w:w="3261" w:type="dxa"/>
            <w:tcBorders>
              <w:top w:val="single" w:sz="4" w:space="0" w:color="auto"/>
              <w:left w:val="single" w:sz="4" w:space="0" w:color="auto"/>
              <w:bottom w:val="single" w:sz="4" w:space="0" w:color="auto"/>
              <w:right w:val="single" w:sz="4" w:space="0" w:color="auto"/>
            </w:tcBorders>
            <w:vAlign w:val="center"/>
            <w:hideMark/>
          </w:tcPr>
          <w:p w14:paraId="751F3EB9" w14:textId="77777777" w:rsidR="008B2738" w:rsidRDefault="008B2738">
            <w:pPr>
              <w:spacing w:before="100" w:after="100"/>
              <w:jc w:val="center"/>
              <w:rPr>
                <w:rFonts w:eastAsia="Calibri"/>
                <w:sz w:val="16"/>
                <w:szCs w:val="16"/>
              </w:rPr>
            </w:pPr>
            <w:r>
              <w:rPr>
                <w:rFonts w:eastAsia="Calibri"/>
                <w:sz w:val="16"/>
                <w:szCs w:val="16"/>
              </w:rPr>
              <w:t>Unlimited standard national/international talk, SMS &amp; 5GB data</w:t>
            </w:r>
          </w:p>
        </w:tc>
      </w:tr>
      <w:tr w:rsidR="008B2738" w14:paraId="62FDF740" w14:textId="77777777" w:rsidTr="008B2738">
        <w:tc>
          <w:tcPr>
            <w:tcW w:w="6232" w:type="dxa"/>
            <w:tcBorders>
              <w:top w:val="single" w:sz="4" w:space="0" w:color="auto"/>
              <w:left w:val="single" w:sz="4" w:space="0" w:color="auto"/>
              <w:bottom w:val="single" w:sz="4" w:space="0" w:color="auto"/>
              <w:right w:val="single" w:sz="4" w:space="0" w:color="auto"/>
            </w:tcBorders>
            <w:hideMark/>
          </w:tcPr>
          <w:p w14:paraId="4BF0995F" w14:textId="77777777" w:rsidR="008B2738" w:rsidRDefault="008B2738">
            <w:pPr>
              <w:spacing w:before="100" w:after="100"/>
              <w:rPr>
                <w:rFonts w:eastAsia="Calibri"/>
                <w:b/>
                <w:bCs/>
                <w:sz w:val="16"/>
                <w:szCs w:val="16"/>
                <w:lang w:eastAsia="en-AU"/>
              </w:rPr>
            </w:pPr>
            <w:r>
              <w:rPr>
                <w:rFonts w:eastAsia="Calibri"/>
                <w:b/>
                <w:bCs/>
                <w:sz w:val="16"/>
                <w:szCs w:val="16"/>
                <w:lang w:eastAsia="en-AU"/>
              </w:rPr>
              <w:t>Minimum total cost over 12 months</w:t>
            </w:r>
          </w:p>
        </w:tc>
        <w:tc>
          <w:tcPr>
            <w:tcW w:w="3261" w:type="dxa"/>
            <w:tcBorders>
              <w:top w:val="single" w:sz="4" w:space="0" w:color="auto"/>
              <w:left w:val="single" w:sz="4" w:space="0" w:color="auto"/>
              <w:bottom w:val="single" w:sz="4" w:space="0" w:color="auto"/>
              <w:right w:val="single" w:sz="4" w:space="0" w:color="auto"/>
            </w:tcBorders>
            <w:vAlign w:val="center"/>
            <w:hideMark/>
          </w:tcPr>
          <w:p w14:paraId="6838B829" w14:textId="77777777" w:rsidR="008B2738" w:rsidRDefault="008B2738">
            <w:pPr>
              <w:spacing w:before="100" w:after="100"/>
              <w:jc w:val="center"/>
              <w:rPr>
                <w:rFonts w:eastAsia="Calibri"/>
                <w:sz w:val="16"/>
                <w:szCs w:val="16"/>
              </w:rPr>
            </w:pPr>
            <w:r>
              <w:rPr>
                <w:rFonts w:eastAsia="Calibri"/>
                <w:sz w:val="16"/>
                <w:szCs w:val="16"/>
              </w:rPr>
              <w:t>$1,320</w:t>
            </w:r>
          </w:p>
        </w:tc>
      </w:tr>
    </w:tbl>
    <w:p w14:paraId="440343D7" w14:textId="77777777" w:rsidR="00E01D8F" w:rsidRDefault="00E01D8F" w:rsidP="00E01D8F">
      <w:pPr>
        <w:spacing w:after="200"/>
        <w:rPr>
          <w:sz w:val="20"/>
        </w:rPr>
      </w:pPr>
    </w:p>
    <w:p w14:paraId="4C4E7708" w14:textId="77777777" w:rsidR="00E01D8F" w:rsidRDefault="00E01D8F" w:rsidP="00E01D8F">
      <w:pPr>
        <w:spacing w:after="200"/>
        <w:rPr>
          <w:b/>
          <w:sz w:val="20"/>
        </w:rPr>
      </w:pPr>
      <w:r>
        <w:rPr>
          <w:b/>
          <w:sz w:val="20"/>
        </w:rPr>
        <w:t>Table 2 – Other usage types and charges</w:t>
      </w:r>
    </w:p>
    <w:tbl>
      <w:tblPr>
        <w:tblW w:w="48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2"/>
        <w:gridCol w:w="4428"/>
      </w:tblGrid>
      <w:tr w:rsidR="00E01D8F" w14:paraId="59333E85" w14:textId="77777777" w:rsidTr="00E01D8F">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79394545" w14:textId="77777777" w:rsidR="00E01D8F" w:rsidRDefault="00E01D8F">
            <w:pPr>
              <w:spacing w:before="100" w:after="100"/>
              <w:rPr>
                <w:rFonts w:eastAsia="Calibri"/>
                <w:b/>
                <w:sz w:val="20"/>
              </w:rPr>
            </w:pPr>
            <w:r>
              <w:rPr>
                <w:rFonts w:eastAsia="Calibri"/>
                <w:b/>
                <w:sz w:val="20"/>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5236054" w14:textId="77777777" w:rsidR="00E01D8F" w:rsidRDefault="00E01D8F">
            <w:pPr>
              <w:spacing w:before="100" w:after="100"/>
              <w:jc w:val="center"/>
              <w:rPr>
                <w:rFonts w:eastAsia="Calibri"/>
                <w:b/>
                <w:sz w:val="20"/>
              </w:rPr>
            </w:pPr>
            <w:r>
              <w:rPr>
                <w:rFonts w:eastAsia="Calibri"/>
                <w:b/>
                <w:sz w:val="20"/>
              </w:rPr>
              <w:t>Charge</w:t>
            </w:r>
          </w:p>
        </w:tc>
      </w:tr>
      <w:tr w:rsidR="00E01D8F" w14:paraId="1903551F" w14:textId="77777777" w:rsidTr="00E01D8F">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1DF26383" w14:textId="77777777" w:rsidR="00E01D8F" w:rsidRDefault="00E01D8F">
            <w:pPr>
              <w:spacing w:before="100" w:after="100"/>
              <w:rPr>
                <w:rFonts w:eastAsia="Calibri"/>
                <w:sz w:val="16"/>
                <w:szCs w:val="16"/>
              </w:rPr>
            </w:pPr>
            <w:r>
              <w:rPr>
                <w:rFonts w:eastAsia="Calibri"/>
                <w:b/>
                <w:bCs/>
                <w:sz w:val="16"/>
                <w:szCs w:val="16"/>
                <w:lang w:eastAsia="en-AU"/>
              </w:rPr>
              <w:t>National video calls</w:t>
            </w:r>
            <w:r>
              <w:rPr>
                <w:rFonts w:eastAsia="Calibri"/>
                <w:bCs/>
                <w:sz w:val="16"/>
                <w:szCs w:val="16"/>
                <w:lang w:eastAsia="en-AU"/>
              </w:rPr>
              <w:t xml:space="preserve"> </w:t>
            </w:r>
            <w:r>
              <w:rPr>
                <w:rFonts w:eastAsia="Calibri"/>
                <w:sz w:val="16"/>
                <w:szCs w:val="16"/>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6E06158" w14:textId="77777777" w:rsidR="00E01D8F" w:rsidRDefault="00E01D8F">
            <w:pPr>
              <w:spacing w:before="100" w:after="100"/>
              <w:jc w:val="center"/>
              <w:rPr>
                <w:rFonts w:eastAsia="Calibri"/>
                <w:sz w:val="16"/>
                <w:szCs w:val="16"/>
              </w:rPr>
            </w:pPr>
            <w:r>
              <w:rPr>
                <w:rFonts w:eastAsia="Calibri"/>
                <w:sz w:val="16"/>
                <w:szCs w:val="16"/>
              </w:rPr>
              <w:t>$1.00 per min + 40c flagfall</w:t>
            </w:r>
          </w:p>
        </w:tc>
      </w:tr>
      <w:tr w:rsidR="00E01D8F" w14:paraId="45A90027" w14:textId="77777777" w:rsidTr="00E01D8F">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2FE54C52" w14:textId="77777777" w:rsidR="00E01D8F" w:rsidRDefault="00E01D8F">
            <w:pPr>
              <w:spacing w:before="100" w:after="100"/>
              <w:rPr>
                <w:rFonts w:eastAsia="Calibri"/>
                <w:b/>
                <w:sz w:val="16"/>
                <w:szCs w:val="16"/>
              </w:rPr>
            </w:pPr>
            <w:r>
              <w:rPr>
                <w:rFonts w:eastAsia="Calibri"/>
                <w:b/>
                <w:bCs/>
                <w:sz w:val="16"/>
                <w:szCs w:val="16"/>
                <w:lang w:eastAsia="en-AU"/>
              </w:rPr>
              <w:t xml:space="preserve">VoiceMail Deposits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0AADB943" w14:textId="77777777" w:rsidR="00E01D8F" w:rsidRDefault="00E01D8F">
            <w:pPr>
              <w:spacing w:before="100" w:after="100"/>
              <w:jc w:val="center"/>
              <w:rPr>
                <w:rFonts w:eastAsia="Calibri"/>
                <w:sz w:val="16"/>
                <w:szCs w:val="16"/>
                <w:lang w:eastAsia="en-AU"/>
              </w:rPr>
            </w:pPr>
            <w:r>
              <w:rPr>
                <w:rFonts w:eastAsia="Calibri"/>
                <w:sz w:val="16"/>
                <w:szCs w:val="16"/>
              </w:rPr>
              <w:t>$0 per minute</w:t>
            </w:r>
          </w:p>
        </w:tc>
      </w:tr>
      <w:tr w:rsidR="00E01D8F" w14:paraId="698005D9" w14:textId="77777777" w:rsidTr="00E01D8F">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7F77B693" w14:textId="77777777" w:rsidR="00E01D8F" w:rsidRDefault="00E01D8F">
            <w:pPr>
              <w:spacing w:before="100" w:after="100"/>
              <w:rPr>
                <w:rFonts w:eastAsia="Calibri"/>
                <w:b/>
                <w:sz w:val="16"/>
                <w:szCs w:val="16"/>
              </w:rPr>
            </w:pPr>
            <w:r>
              <w:rPr>
                <w:rFonts w:eastAsia="Calibri"/>
                <w:b/>
                <w:bCs/>
                <w:sz w:val="16"/>
                <w:szCs w:val="16"/>
                <w:lang w:eastAsia="en-AU"/>
              </w:rPr>
              <w:t>Voicemail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EA42083" w14:textId="77777777" w:rsidR="00E01D8F" w:rsidRDefault="00E01D8F">
            <w:pPr>
              <w:spacing w:before="100" w:after="100"/>
              <w:jc w:val="center"/>
              <w:rPr>
                <w:rFonts w:eastAsia="Calibri"/>
                <w:sz w:val="16"/>
                <w:szCs w:val="16"/>
              </w:rPr>
            </w:pPr>
            <w:r>
              <w:rPr>
                <w:rFonts w:eastAsia="Calibri"/>
                <w:sz w:val="16"/>
                <w:szCs w:val="16"/>
              </w:rPr>
              <w:t>$0 per minute</w:t>
            </w:r>
          </w:p>
        </w:tc>
      </w:tr>
      <w:tr w:rsidR="00E01D8F" w14:paraId="08EB7A6E" w14:textId="77777777" w:rsidTr="00E01D8F">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6F6D41E0" w14:textId="77777777" w:rsidR="00E01D8F" w:rsidRDefault="00E01D8F">
            <w:pPr>
              <w:spacing w:before="100" w:after="100"/>
              <w:rPr>
                <w:rFonts w:eastAsia="Calibri"/>
                <w:b/>
                <w:bCs/>
                <w:sz w:val="16"/>
                <w:szCs w:val="16"/>
                <w:lang w:eastAsia="en-AU"/>
              </w:rPr>
            </w:pPr>
            <w:r>
              <w:rPr>
                <w:rFonts w:eastAsia="Calibri"/>
                <w:b/>
                <w:bCs/>
                <w:sz w:val="16"/>
                <w:szCs w:val="16"/>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D852BBB" w14:textId="77777777" w:rsidR="00E01D8F" w:rsidRDefault="00E01D8F">
            <w:pPr>
              <w:spacing w:before="100" w:after="100"/>
              <w:jc w:val="center"/>
              <w:rPr>
                <w:rFonts w:eastAsia="Calibri"/>
                <w:sz w:val="16"/>
                <w:szCs w:val="16"/>
              </w:rPr>
            </w:pPr>
            <w:r>
              <w:rPr>
                <w:rFonts w:eastAsia="Calibri"/>
                <w:sz w:val="16"/>
                <w:szCs w:val="16"/>
              </w:rPr>
              <w:t>$0 per minute</w:t>
            </w:r>
          </w:p>
        </w:tc>
      </w:tr>
      <w:tr w:rsidR="00E01D8F" w14:paraId="03B939B6" w14:textId="77777777" w:rsidTr="00E01D8F">
        <w:trPr>
          <w:trHeight w:val="54"/>
        </w:trPr>
        <w:tc>
          <w:tcPr>
            <w:tcW w:w="5495" w:type="dxa"/>
            <w:tcBorders>
              <w:top w:val="single" w:sz="4" w:space="0" w:color="auto"/>
              <w:left w:val="single" w:sz="4" w:space="0" w:color="auto"/>
              <w:bottom w:val="single" w:sz="4" w:space="0" w:color="auto"/>
              <w:right w:val="single" w:sz="4" w:space="0" w:color="auto"/>
            </w:tcBorders>
            <w:vAlign w:val="center"/>
            <w:hideMark/>
          </w:tcPr>
          <w:p w14:paraId="4CC48B1A" w14:textId="77777777" w:rsidR="00E01D8F" w:rsidRDefault="00E01D8F">
            <w:pPr>
              <w:spacing w:before="100" w:after="100"/>
              <w:rPr>
                <w:rFonts w:eastAsia="Calibri"/>
                <w:b/>
                <w:bCs/>
                <w:sz w:val="16"/>
                <w:szCs w:val="16"/>
                <w:lang w:eastAsia="en-AU"/>
              </w:rPr>
            </w:pPr>
            <w:r>
              <w:rPr>
                <w:rFonts w:eastAsia="Calibri"/>
                <w:b/>
                <w:bCs/>
                <w:sz w:val="16"/>
                <w:szCs w:val="16"/>
                <w:lang w:eastAsia="en-AU"/>
              </w:rPr>
              <w:t xml:space="preserve">International Diversions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B1946AE" w14:textId="77777777" w:rsidR="00E01D8F" w:rsidRDefault="00E01D8F">
            <w:pPr>
              <w:spacing w:before="100" w:after="100"/>
              <w:jc w:val="center"/>
              <w:rPr>
                <w:rFonts w:eastAsia="Calibri"/>
                <w:sz w:val="16"/>
                <w:szCs w:val="16"/>
              </w:rPr>
            </w:pPr>
            <w:r>
              <w:rPr>
                <w:rFonts w:eastAsia="Calibri"/>
                <w:sz w:val="16"/>
                <w:szCs w:val="16"/>
              </w:rPr>
              <w:t>'yes' international rates</w:t>
            </w:r>
            <w:r>
              <w:rPr>
                <w:rFonts w:eastAsia="Calibri"/>
                <w:sz w:val="16"/>
                <w:szCs w:val="16"/>
              </w:rPr>
              <w:br/>
              <w:t>See optus.com.au/international</w:t>
            </w:r>
          </w:p>
        </w:tc>
      </w:tr>
      <w:tr w:rsidR="00E01D8F" w14:paraId="23FDC0A0" w14:textId="77777777" w:rsidTr="00E01D8F">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73E7ACF1" w14:textId="77777777" w:rsidR="00E01D8F" w:rsidRDefault="00E01D8F">
            <w:pPr>
              <w:spacing w:before="100" w:after="100"/>
              <w:rPr>
                <w:rFonts w:eastAsia="Calibri"/>
                <w:b/>
                <w:bCs/>
                <w:sz w:val="16"/>
                <w:szCs w:val="16"/>
                <w:lang w:eastAsia="en-AU"/>
              </w:rPr>
            </w:pPr>
            <w:r>
              <w:rPr>
                <w:rFonts w:eastAsia="Calibri"/>
                <w:b/>
                <w:bCs/>
                <w:sz w:val="16"/>
                <w:szCs w:val="16"/>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9E291BD" w14:textId="77777777" w:rsidR="00E01D8F" w:rsidRDefault="00E01D8F">
            <w:pPr>
              <w:spacing w:before="100" w:after="100"/>
              <w:jc w:val="center"/>
              <w:rPr>
                <w:rFonts w:eastAsia="Calibri"/>
                <w:sz w:val="16"/>
                <w:szCs w:val="16"/>
              </w:rPr>
            </w:pPr>
            <w:r>
              <w:rPr>
                <w:rFonts w:eastAsia="Calibri"/>
                <w:sz w:val="16"/>
                <w:szCs w:val="16"/>
              </w:rPr>
              <w:t>$0 per minute</w:t>
            </w:r>
          </w:p>
        </w:tc>
      </w:tr>
      <w:tr w:rsidR="00E01D8F" w14:paraId="599677C8" w14:textId="77777777" w:rsidTr="00E01D8F">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58D3801B" w14:textId="77777777" w:rsidR="00E01D8F" w:rsidRDefault="00E01D8F">
            <w:pPr>
              <w:spacing w:before="100" w:after="100"/>
              <w:rPr>
                <w:rFonts w:eastAsia="Calibri"/>
                <w:b/>
                <w:bCs/>
                <w:sz w:val="16"/>
                <w:szCs w:val="16"/>
                <w:lang w:eastAsia="en-AU"/>
              </w:rPr>
            </w:pPr>
            <w:r>
              <w:rPr>
                <w:rFonts w:eastAsia="Calibri"/>
                <w:b/>
                <w:bCs/>
                <w:sz w:val="16"/>
                <w:szCs w:val="16"/>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4E67EAC" w14:textId="77777777" w:rsidR="00E01D8F" w:rsidRDefault="00E01D8F">
            <w:pPr>
              <w:spacing w:before="100" w:after="100"/>
              <w:jc w:val="center"/>
              <w:rPr>
                <w:rFonts w:eastAsia="Calibri"/>
                <w:sz w:val="16"/>
                <w:szCs w:val="16"/>
              </w:rPr>
            </w:pPr>
            <w:r>
              <w:rPr>
                <w:rFonts w:eastAsia="Calibri"/>
                <w:sz w:val="16"/>
                <w:szCs w:val="16"/>
              </w:rPr>
              <w:t>50c per call</w:t>
            </w:r>
          </w:p>
        </w:tc>
      </w:tr>
      <w:tr w:rsidR="00E01D8F" w14:paraId="50EC129D" w14:textId="77777777" w:rsidTr="00E01D8F">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7C7E11B0" w14:textId="77777777" w:rsidR="00E01D8F" w:rsidRDefault="00E01D8F">
            <w:pPr>
              <w:spacing w:before="100" w:after="100"/>
              <w:rPr>
                <w:rFonts w:eastAsia="Calibri"/>
                <w:b/>
                <w:bCs/>
                <w:sz w:val="16"/>
                <w:szCs w:val="16"/>
                <w:lang w:eastAsia="en-AU"/>
              </w:rPr>
            </w:pPr>
            <w:r>
              <w:rPr>
                <w:rFonts w:eastAsia="Calibri"/>
                <w:b/>
                <w:bCs/>
                <w:sz w:val="16"/>
                <w:szCs w:val="16"/>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0B798B92" w14:textId="77777777" w:rsidR="00E01D8F" w:rsidRDefault="00E01D8F">
            <w:pPr>
              <w:spacing w:before="100" w:after="100"/>
              <w:jc w:val="center"/>
              <w:rPr>
                <w:rFonts w:eastAsia="Calibri"/>
                <w:sz w:val="16"/>
                <w:szCs w:val="16"/>
              </w:rPr>
            </w:pPr>
            <w:r>
              <w:rPr>
                <w:rFonts w:eastAsia="Calibri"/>
                <w:sz w:val="16"/>
                <w:szCs w:val="16"/>
              </w:rPr>
              <w:t>90c per minute +$1.75c flagfall</w:t>
            </w:r>
          </w:p>
        </w:tc>
      </w:tr>
      <w:tr w:rsidR="00E01D8F" w14:paraId="6FE04108" w14:textId="77777777" w:rsidTr="00E01D8F">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0B93022E" w14:textId="77777777" w:rsidR="00E01D8F" w:rsidRDefault="00E01D8F">
            <w:pPr>
              <w:spacing w:before="100" w:after="100"/>
              <w:rPr>
                <w:rFonts w:eastAsia="Calibri"/>
                <w:b/>
                <w:bCs/>
                <w:sz w:val="16"/>
                <w:szCs w:val="16"/>
                <w:lang w:eastAsia="en-AU"/>
              </w:rPr>
            </w:pPr>
            <w:r>
              <w:rPr>
                <w:rFonts w:eastAsia="Calibri"/>
                <w:b/>
                <w:bCs/>
                <w:sz w:val="16"/>
                <w:szCs w:val="16"/>
                <w:lang w:eastAsia="en-AU"/>
              </w:rPr>
              <w:t xml:space="preserve">International voice calls (outside the plan's included international minutes and to excluded countries not in Table 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1C75CD4" w14:textId="77777777" w:rsidR="00E01D8F" w:rsidRDefault="00E01D8F">
            <w:pPr>
              <w:spacing w:before="100" w:after="100"/>
              <w:jc w:val="center"/>
              <w:rPr>
                <w:rFonts w:eastAsia="Calibri"/>
                <w:sz w:val="16"/>
                <w:szCs w:val="16"/>
              </w:rPr>
            </w:pPr>
            <w:r>
              <w:rPr>
                <w:rFonts w:eastAsia="Calibri"/>
                <w:sz w:val="16"/>
                <w:szCs w:val="16"/>
              </w:rPr>
              <w:t>'yes' international rates</w:t>
            </w:r>
          </w:p>
          <w:p w14:paraId="7840FABE" w14:textId="77777777" w:rsidR="00E01D8F" w:rsidRDefault="00E01D8F">
            <w:pPr>
              <w:spacing w:before="100" w:after="100"/>
              <w:jc w:val="center"/>
              <w:rPr>
                <w:rFonts w:eastAsia="Calibri"/>
                <w:sz w:val="16"/>
                <w:szCs w:val="16"/>
              </w:rPr>
            </w:pPr>
            <w:r>
              <w:rPr>
                <w:rFonts w:eastAsia="Calibri"/>
                <w:sz w:val="16"/>
                <w:szCs w:val="16"/>
              </w:rPr>
              <w:t>See optus.com.au/international</w:t>
            </w:r>
          </w:p>
        </w:tc>
      </w:tr>
      <w:tr w:rsidR="00E01D8F" w14:paraId="26E0B1EC" w14:textId="77777777" w:rsidTr="00E01D8F">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092BD369" w14:textId="77777777" w:rsidR="00E01D8F" w:rsidRDefault="00E01D8F">
            <w:pPr>
              <w:spacing w:before="100" w:after="100"/>
              <w:rPr>
                <w:rFonts w:eastAsia="Calibri"/>
                <w:b/>
                <w:bCs/>
                <w:sz w:val="16"/>
                <w:szCs w:val="16"/>
                <w:lang w:eastAsia="en-AU"/>
              </w:rPr>
            </w:pPr>
            <w:r>
              <w:rPr>
                <w:rFonts w:eastAsia="Calibri"/>
                <w:b/>
                <w:bCs/>
                <w:sz w:val="16"/>
                <w:szCs w:val="16"/>
                <w:lang w:eastAsia="en-AU"/>
              </w:rPr>
              <w:t xml:space="preserve">International SMS (to excluded countries not in Table 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15A0E3A" w14:textId="77777777" w:rsidR="00E01D8F" w:rsidRDefault="00E01D8F">
            <w:pPr>
              <w:spacing w:before="100" w:after="100"/>
              <w:jc w:val="center"/>
              <w:rPr>
                <w:rFonts w:eastAsia="Calibri"/>
                <w:sz w:val="16"/>
                <w:szCs w:val="16"/>
              </w:rPr>
            </w:pPr>
            <w:r>
              <w:rPr>
                <w:rFonts w:eastAsia="Calibri"/>
                <w:sz w:val="16"/>
                <w:szCs w:val="16"/>
              </w:rPr>
              <w:t>50c per SMS up to 160 standard characters</w:t>
            </w:r>
          </w:p>
        </w:tc>
      </w:tr>
      <w:tr w:rsidR="00E01D8F" w14:paraId="6B8959F5" w14:textId="77777777" w:rsidTr="00E01D8F">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15165F1D" w14:textId="77777777" w:rsidR="00E01D8F" w:rsidRDefault="00E01D8F">
            <w:pPr>
              <w:spacing w:before="100" w:after="100"/>
              <w:rPr>
                <w:rFonts w:eastAsia="Calibri"/>
                <w:b/>
                <w:bCs/>
                <w:sz w:val="16"/>
                <w:szCs w:val="16"/>
                <w:lang w:eastAsia="en-AU"/>
              </w:rPr>
            </w:pPr>
            <w:r>
              <w:rPr>
                <w:rFonts w:eastAsia="Calibri"/>
                <w:b/>
                <w:bCs/>
                <w:sz w:val="16"/>
                <w:szCs w:val="16"/>
                <w:lang w:eastAsia="en-AU"/>
              </w:rPr>
              <w:t>International MMS (to excluded countries not in Table 3)</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64B8DBD" w14:textId="77777777" w:rsidR="00E01D8F" w:rsidRDefault="00E01D8F">
            <w:pPr>
              <w:spacing w:before="100" w:after="100"/>
              <w:jc w:val="center"/>
              <w:rPr>
                <w:rFonts w:eastAsia="Calibri"/>
                <w:sz w:val="16"/>
                <w:szCs w:val="16"/>
              </w:rPr>
            </w:pPr>
            <w:r>
              <w:rPr>
                <w:rFonts w:eastAsia="Calibri"/>
                <w:sz w:val="16"/>
                <w:szCs w:val="16"/>
              </w:rPr>
              <w:t>75c per MMS</w:t>
            </w:r>
          </w:p>
        </w:tc>
      </w:tr>
      <w:tr w:rsidR="00E01D8F" w14:paraId="73BFF7DF" w14:textId="77777777" w:rsidTr="00E01D8F">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0F4D0517" w14:textId="77777777" w:rsidR="00E01D8F" w:rsidRDefault="00E01D8F">
            <w:pPr>
              <w:spacing w:before="100" w:after="100"/>
              <w:rPr>
                <w:rFonts w:eastAsia="Calibri"/>
                <w:b/>
                <w:bCs/>
                <w:sz w:val="16"/>
                <w:szCs w:val="16"/>
                <w:lang w:eastAsia="en-AU"/>
              </w:rPr>
            </w:pPr>
            <w:r>
              <w:rPr>
                <w:rFonts w:eastAsia="Calibri"/>
                <w:b/>
                <w:bCs/>
                <w:sz w:val="16"/>
                <w:szCs w:val="16"/>
                <w:lang w:eastAsia="en-AU"/>
              </w:rPr>
              <w:t xml:space="preserve">International video calling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8C90B37" w14:textId="77777777" w:rsidR="00E01D8F" w:rsidRDefault="00E01D8F">
            <w:pPr>
              <w:spacing w:before="100" w:after="100"/>
              <w:jc w:val="center"/>
              <w:rPr>
                <w:rFonts w:eastAsia="Calibri"/>
                <w:sz w:val="16"/>
                <w:szCs w:val="16"/>
              </w:rPr>
            </w:pPr>
            <w:r>
              <w:rPr>
                <w:rFonts w:eastAsia="Calibri"/>
                <w:sz w:val="16"/>
                <w:szCs w:val="16"/>
              </w:rPr>
              <w:t>$1.50 per minute +35c flagfall</w:t>
            </w:r>
          </w:p>
        </w:tc>
      </w:tr>
      <w:tr w:rsidR="00E01D8F" w14:paraId="7FBD39D4" w14:textId="77777777" w:rsidTr="00E01D8F">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26951D60" w14:textId="77777777" w:rsidR="00E01D8F" w:rsidRDefault="00E01D8F">
            <w:pPr>
              <w:spacing w:before="100" w:after="100"/>
              <w:rPr>
                <w:rFonts w:eastAsia="Calibri"/>
                <w:b/>
                <w:bCs/>
                <w:sz w:val="16"/>
                <w:szCs w:val="16"/>
                <w:lang w:eastAsia="en-AU"/>
              </w:rPr>
            </w:pPr>
            <w:r>
              <w:rPr>
                <w:rFonts w:eastAsia="Calibri"/>
                <w:b/>
                <w:bCs/>
                <w:sz w:val="16"/>
                <w:szCs w:val="16"/>
                <w:lang w:eastAsia="en-AU"/>
              </w:rPr>
              <w:t xml:space="preserve">International roaming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194ACFD" w14:textId="77777777" w:rsidR="00E01D8F" w:rsidRDefault="00E01D8F">
            <w:pPr>
              <w:spacing w:before="100" w:after="100"/>
              <w:jc w:val="center"/>
              <w:rPr>
                <w:rFonts w:eastAsia="Calibri"/>
                <w:sz w:val="16"/>
                <w:szCs w:val="16"/>
              </w:rPr>
            </w:pPr>
            <w:r>
              <w:rPr>
                <w:rFonts w:eastAsia="Calibri"/>
                <w:sz w:val="16"/>
                <w:szCs w:val="16"/>
              </w:rPr>
              <w:t>See optus.com.au/roaming</w:t>
            </w:r>
          </w:p>
        </w:tc>
      </w:tr>
    </w:tbl>
    <w:p w14:paraId="196064A4" w14:textId="508EB877" w:rsidR="00E01D8F" w:rsidRDefault="00E01D8F" w:rsidP="00E01D8F">
      <w:pPr>
        <w:spacing w:after="200"/>
        <w:rPr>
          <w:sz w:val="20"/>
        </w:rPr>
      </w:pPr>
    </w:p>
    <w:p w14:paraId="684F3822" w14:textId="77777777" w:rsidR="00CA5BA7" w:rsidRPr="00634653" w:rsidRDefault="00CA5BA7" w:rsidP="00CA5BA7">
      <w:pPr>
        <w:spacing w:after="200"/>
        <w:rPr>
          <w:b/>
          <w:sz w:val="20"/>
        </w:rPr>
      </w:pPr>
      <w:r>
        <w:rPr>
          <w:b/>
          <w:sz w:val="20"/>
        </w:rPr>
        <w:t>Table 3 – International Destinations</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8"/>
      </w:tblGrid>
      <w:tr w:rsidR="00CA5BA7" w:rsidRPr="00793D31" w14:paraId="475D50F6" w14:textId="77777777" w:rsidTr="0006782B">
        <w:tc>
          <w:tcPr>
            <w:tcW w:w="10178" w:type="dxa"/>
            <w:tcBorders>
              <w:top w:val="single" w:sz="4" w:space="0" w:color="auto"/>
              <w:left w:val="single" w:sz="4" w:space="0" w:color="auto"/>
              <w:bottom w:val="single" w:sz="4" w:space="0" w:color="auto"/>
              <w:right w:val="single" w:sz="4" w:space="0" w:color="auto"/>
            </w:tcBorders>
            <w:hideMark/>
          </w:tcPr>
          <w:p w14:paraId="4229598D" w14:textId="77777777" w:rsidR="00CA5BA7" w:rsidRPr="00793D31" w:rsidRDefault="00CA5BA7" w:rsidP="0006782B">
            <w:pPr>
              <w:pStyle w:val="BodyText"/>
              <w:spacing w:before="100" w:after="100"/>
              <w:rPr>
                <w:b/>
                <w:szCs w:val="20"/>
              </w:rPr>
            </w:pPr>
            <w:r w:rsidRPr="00793D31">
              <w:rPr>
                <w:szCs w:val="20"/>
              </w:rPr>
              <w:lastRenderedPageBreak/>
              <w:t>Albania, American Samoa, Andorra, Antigua, Argentina, Armenia, Austria, Azerbaijan, Bahamas, Bahrain, Bangladesh, Barbados, Belarus, Belgium, Belize, Bermuda, Bhutan, Bolivia, Bosnia, Brazil, British Virgin Islands, Brunei, Bulgaria, Cambodia, Canada, Cape Verde, Cayman Island, Chile, China, Colombia, Costa Rica, Croatia, Cyprus, Czech Republic, Denmark, Dominica Island, Dominican Republic, East Timor, Ecuador, Egypt, El Salvador, Estonia, Faeroe Islands, Fiji, Finland, France, French Polynesia</w:t>
            </w:r>
            <w:r>
              <w:rPr>
                <w:szCs w:val="20"/>
              </w:rPr>
              <w:t xml:space="preserve"> (Tahiti)</w:t>
            </w:r>
            <w:r w:rsidRPr="00793D31">
              <w:rPr>
                <w:szCs w:val="20"/>
              </w:rPr>
              <w:t>, Georgia, Germany, Gibraltar, Greece, Greenland, Grenada, Guadeloupe, Guam, Guatemala, Guiana French, Hong Kong, Hungary, Iceland, India, Indonesia, Iran, Ireland, Israel, Italy, Jamaica, Japan, Jordan, Kazakhstan, Korea south, Kuwait, Kyrgyzstan, Laos, Lebanon, Liechtenstein, Lithuania, Luxembourg, Macau, Macedonia, Malaysia, Malta, Mariana Island, Marshall Island, Martinique, Mauritius, Mexico, Monaco, Mongolia, Myanmar, Nepal, Netherlands Antilles, Netherlands, New Caledonia, New Zealand, Nicaragua, Norway, Pakistan, Palestinian, Panama, Paraguay, Peru, Philippines, Poland, Portugal, Puerto Rico, Qatar, Reunion, Romania, Russian Federation, Saudi Arabia, Serbia, Singapore, Slovakia, Slovenia, South Africa, Spain, Sri Lanka, St Kitts &amp; Nevis, St Lucia, St Vincent, Sweden, Switzerland, Taiwan, Tajikistan, Thailand, Trinidad &amp; Tobago, Turkey, Turkmenistan, Turks &amp; Caicos, UK, Ukraine, United Arab Emirates, Uruguay, Us Virgin Island, USA, Uzbekistan, Venezuela and Vietnam</w:t>
            </w:r>
          </w:p>
        </w:tc>
      </w:tr>
    </w:tbl>
    <w:p w14:paraId="0E4781E7" w14:textId="77777777" w:rsidR="00CA5BA7" w:rsidRDefault="00CA5BA7" w:rsidP="00E01D8F">
      <w:pPr>
        <w:spacing w:after="200"/>
        <w:rPr>
          <w:sz w:val="20"/>
        </w:rPr>
      </w:pPr>
    </w:p>
    <w:p w14:paraId="2201AD57" w14:textId="77777777" w:rsidR="00E01D8F" w:rsidRDefault="00E01D8F" w:rsidP="00E01D8F">
      <w:pPr>
        <w:pStyle w:val="Heading6"/>
        <w:rPr>
          <w:bCs w:val="0"/>
        </w:rPr>
      </w:pPr>
      <w:bookmarkStart w:id="2486" w:name="_Toc62115222"/>
      <w:bookmarkStart w:id="2487" w:name="_Toc25928138"/>
      <w:bookmarkStart w:id="2488" w:name="_Toc25071403"/>
      <w:r>
        <w:rPr>
          <w:bCs w:val="0"/>
        </w:rPr>
        <w:t>My Account</w:t>
      </w:r>
      <w:bookmarkEnd w:id="2486"/>
      <w:bookmarkEnd w:id="2487"/>
      <w:bookmarkEnd w:id="2488"/>
    </w:p>
    <w:p w14:paraId="35639A34" w14:textId="77777777" w:rsidR="00E01D8F" w:rsidRDefault="00E01D8F" w:rsidP="00E01D8F">
      <w:pPr>
        <w:spacing w:after="200"/>
        <w:ind w:left="720"/>
        <w:rPr>
          <w:sz w:val="20"/>
        </w:rPr>
      </w:pPr>
      <w:r>
        <w:rPr>
          <w:sz w:val="20"/>
        </w:rPr>
        <w:t xml:space="preserve">Services that share data may have a service login to My Account which will display all of the service numbers contributing to or using the shared data pool on </w:t>
      </w:r>
      <w:r>
        <w:rPr>
          <w:i/>
          <w:sz w:val="20"/>
        </w:rPr>
        <w:t xml:space="preserve">your </w:t>
      </w:r>
      <w:r>
        <w:rPr>
          <w:sz w:val="20"/>
        </w:rPr>
        <w:t xml:space="preserve">account and the amount of data each </w:t>
      </w:r>
      <w:r>
        <w:rPr>
          <w:i/>
          <w:sz w:val="20"/>
        </w:rPr>
        <w:t>service</w:t>
      </w:r>
      <w:r>
        <w:rPr>
          <w:sz w:val="20"/>
        </w:rPr>
        <w:t xml:space="preserve"> has used. If </w:t>
      </w:r>
      <w:r>
        <w:rPr>
          <w:i/>
          <w:sz w:val="20"/>
        </w:rPr>
        <w:t>you</w:t>
      </w:r>
      <w:r>
        <w:rPr>
          <w:sz w:val="20"/>
        </w:rPr>
        <w:t xml:space="preserve"> have more than 6 services on </w:t>
      </w:r>
      <w:r>
        <w:rPr>
          <w:i/>
          <w:sz w:val="20"/>
        </w:rPr>
        <w:t>your</w:t>
      </w:r>
      <w:r>
        <w:rPr>
          <w:sz w:val="20"/>
        </w:rPr>
        <w:t xml:space="preserve"> account, My Account may not be suitable for viewing usage and managing </w:t>
      </w:r>
      <w:r>
        <w:rPr>
          <w:i/>
          <w:sz w:val="20"/>
        </w:rPr>
        <w:t xml:space="preserve">your </w:t>
      </w:r>
      <w:r>
        <w:rPr>
          <w:sz w:val="20"/>
        </w:rPr>
        <w:t>usage alerts.</w:t>
      </w:r>
    </w:p>
    <w:p w14:paraId="491F8E30" w14:textId="77777777" w:rsidR="00E01D8F" w:rsidRDefault="00E01D8F" w:rsidP="00E01D8F">
      <w:pPr>
        <w:pStyle w:val="Heading6"/>
        <w:rPr>
          <w:bCs w:val="0"/>
        </w:rPr>
      </w:pPr>
      <w:bookmarkStart w:id="2489" w:name="_Toc62115223"/>
      <w:bookmarkStart w:id="2490" w:name="_Toc25928139"/>
      <w:bookmarkStart w:id="2491" w:name="_Toc25071404"/>
      <w:r>
        <w:rPr>
          <w:bCs w:val="0"/>
        </w:rPr>
        <w:t xml:space="preserve">What happens if the </w:t>
      </w:r>
      <w:r>
        <w:rPr>
          <w:bCs w:val="0"/>
          <w:i/>
        </w:rPr>
        <w:t xml:space="preserve">service </w:t>
      </w:r>
      <w:r>
        <w:rPr>
          <w:bCs w:val="0"/>
        </w:rPr>
        <w:t>is</w:t>
      </w:r>
      <w:r>
        <w:rPr>
          <w:bCs w:val="0"/>
          <w:i/>
        </w:rPr>
        <w:t xml:space="preserve"> cancelled </w:t>
      </w:r>
      <w:r>
        <w:rPr>
          <w:bCs w:val="0"/>
        </w:rPr>
        <w:t>early?</w:t>
      </w:r>
      <w:bookmarkEnd w:id="2489"/>
      <w:bookmarkEnd w:id="2490"/>
      <w:bookmarkEnd w:id="2491"/>
    </w:p>
    <w:p w14:paraId="5A9EA459" w14:textId="77777777" w:rsidR="00E01D8F" w:rsidRDefault="00E01D8F" w:rsidP="00E01D8F">
      <w:pPr>
        <w:pStyle w:val="Heading7"/>
      </w:pPr>
      <w:r>
        <w:t>If the</w:t>
      </w:r>
      <w:r>
        <w:rPr>
          <w:i/>
        </w:rPr>
        <w:t xml:space="preserve"> service</w:t>
      </w:r>
      <w:r>
        <w:t xml:space="preserve"> is</w:t>
      </w:r>
      <w:r>
        <w:rPr>
          <w:i/>
        </w:rPr>
        <w:t xml:space="preserve"> cancelled </w:t>
      </w:r>
      <w:r>
        <w:t xml:space="preserve">before the end of </w:t>
      </w:r>
      <w:r>
        <w:rPr>
          <w:i/>
        </w:rPr>
        <w:t xml:space="preserve">your minimum term, you </w:t>
      </w:r>
      <w:r>
        <w:t xml:space="preserve">will be required to pay </w:t>
      </w:r>
      <w:r>
        <w:rPr>
          <w:i/>
        </w:rPr>
        <w:t>us</w:t>
      </w:r>
      <w:r>
        <w:t>:</w:t>
      </w:r>
    </w:p>
    <w:p w14:paraId="1313CD2A" w14:textId="77777777" w:rsidR="00E01D8F" w:rsidRDefault="00E01D8F" w:rsidP="00E01D8F">
      <w:pPr>
        <w:pStyle w:val="Heading8"/>
        <w:rPr>
          <w:iCs w:val="0"/>
        </w:rPr>
      </w:pPr>
      <w:r>
        <w:rPr>
          <w:iCs w:val="0"/>
        </w:rPr>
        <w:t>any usage charges incurred up to</w:t>
      </w:r>
      <w:r w:rsidR="004C19AB">
        <w:rPr>
          <w:iCs w:val="0"/>
        </w:rPr>
        <w:t xml:space="preserve"> </w:t>
      </w:r>
      <w:r w:rsidR="004C19AB">
        <w:rPr>
          <w:rFonts w:cs="Mark for Optus"/>
          <w:color w:val="000000"/>
          <w:szCs w:val="20"/>
        </w:rPr>
        <w:t>the end of the bill cycle in which you cancel</w:t>
      </w:r>
      <w:r>
        <w:rPr>
          <w:iCs w:val="0"/>
        </w:rPr>
        <w:t xml:space="preserve">, and including, the </w:t>
      </w:r>
      <w:r>
        <w:rPr>
          <w:i/>
          <w:iCs w:val="0"/>
        </w:rPr>
        <w:t xml:space="preserve">cancellation date; </w:t>
      </w:r>
      <w:r>
        <w:rPr>
          <w:iCs w:val="0"/>
        </w:rPr>
        <w:t>plus</w:t>
      </w:r>
    </w:p>
    <w:p w14:paraId="79B28E22" w14:textId="77777777" w:rsidR="00E01D8F" w:rsidRDefault="00E01D8F" w:rsidP="00E01D8F">
      <w:pPr>
        <w:pStyle w:val="Heading8"/>
        <w:rPr>
          <w:iCs w:val="0"/>
        </w:rPr>
      </w:pPr>
      <w:r>
        <w:rPr>
          <w:iCs w:val="0"/>
        </w:rPr>
        <w:t xml:space="preserve">the </w:t>
      </w:r>
      <w:r>
        <w:rPr>
          <w:i/>
          <w:iCs w:val="0"/>
        </w:rPr>
        <w:t>cancellation fees</w:t>
      </w:r>
      <w:r>
        <w:rPr>
          <w:iCs w:val="0"/>
        </w:rPr>
        <w:t xml:space="preserve"> set out in paragraph </w:t>
      </w:r>
      <w:r>
        <w:rPr>
          <w:iCs w:val="0"/>
        </w:rPr>
        <w:fldChar w:fldCharType="begin"/>
      </w:r>
      <w:r>
        <w:rPr>
          <w:iCs w:val="0"/>
        </w:rPr>
        <w:instrText xml:space="preserve"> REF _Ref446042467 \n \h </w:instrText>
      </w:r>
      <w:r>
        <w:rPr>
          <w:iCs w:val="0"/>
        </w:rPr>
      </w:r>
      <w:r>
        <w:rPr>
          <w:iCs w:val="0"/>
        </w:rPr>
        <w:fldChar w:fldCharType="separate"/>
      </w:r>
      <w:r>
        <w:rPr>
          <w:iCs w:val="0"/>
        </w:rPr>
        <w:t>(b)</w:t>
      </w:r>
      <w:r>
        <w:rPr>
          <w:iCs w:val="0"/>
        </w:rPr>
        <w:fldChar w:fldCharType="end"/>
      </w:r>
      <w:r>
        <w:rPr>
          <w:iCs w:val="0"/>
        </w:rPr>
        <w:t xml:space="preserve"> below (unless under clause 2A of the </w:t>
      </w:r>
      <w:r>
        <w:rPr>
          <w:i/>
          <w:iCs w:val="0"/>
        </w:rPr>
        <w:t>consumer terms</w:t>
      </w:r>
      <w:r>
        <w:rPr>
          <w:iCs w:val="0"/>
        </w:rPr>
        <w:t xml:space="preserve">, </w:t>
      </w:r>
      <w:r>
        <w:rPr>
          <w:i/>
          <w:iCs w:val="0"/>
        </w:rPr>
        <w:t>you</w:t>
      </w:r>
      <w:r>
        <w:rPr>
          <w:iCs w:val="0"/>
        </w:rPr>
        <w:t xml:space="preserve"> are entitled to </w:t>
      </w:r>
      <w:r>
        <w:rPr>
          <w:i/>
          <w:iCs w:val="0"/>
        </w:rPr>
        <w:t>cancel the service</w:t>
      </w:r>
      <w:r>
        <w:rPr>
          <w:iCs w:val="0"/>
        </w:rPr>
        <w:t xml:space="preserve"> without incurring a </w:t>
      </w:r>
      <w:r>
        <w:rPr>
          <w:i/>
          <w:iCs w:val="0"/>
        </w:rPr>
        <w:t>cancellation fee</w:t>
      </w:r>
      <w:r>
        <w:rPr>
          <w:iCs w:val="0"/>
        </w:rPr>
        <w:t>); plus</w:t>
      </w:r>
    </w:p>
    <w:p w14:paraId="5203B24D" w14:textId="77777777" w:rsidR="00E01D8F" w:rsidRDefault="00E01D8F" w:rsidP="00E01D8F">
      <w:pPr>
        <w:pStyle w:val="Heading8"/>
        <w:rPr>
          <w:iCs w:val="0"/>
        </w:rPr>
      </w:pPr>
      <w:r>
        <w:rPr>
          <w:iCs w:val="0"/>
        </w:rPr>
        <w:t xml:space="preserve">the sum of unpaid </w:t>
      </w:r>
      <w:r>
        <w:rPr>
          <w:i/>
          <w:iCs w:val="0"/>
        </w:rPr>
        <w:t xml:space="preserve">equipment charges </w:t>
      </w:r>
      <w:r>
        <w:rPr>
          <w:iCs w:val="0"/>
        </w:rPr>
        <w:t xml:space="preserve">owing on </w:t>
      </w:r>
      <w:r>
        <w:rPr>
          <w:i/>
          <w:iCs w:val="0"/>
        </w:rPr>
        <w:t xml:space="preserve">your mobile phone </w:t>
      </w:r>
      <w:r>
        <w:rPr>
          <w:iCs w:val="0"/>
        </w:rPr>
        <w:t xml:space="preserve">under the </w:t>
      </w:r>
      <w:r>
        <w:rPr>
          <w:i/>
          <w:iCs w:val="0"/>
        </w:rPr>
        <w:t xml:space="preserve">mobile equipment payment plan </w:t>
      </w:r>
      <w:r>
        <w:rPr>
          <w:iCs w:val="0"/>
        </w:rPr>
        <w:t>(if any).</w:t>
      </w:r>
    </w:p>
    <w:p w14:paraId="72DC08DD" w14:textId="77777777" w:rsidR="00E01D8F" w:rsidRDefault="00E01D8F" w:rsidP="00E01D8F">
      <w:pPr>
        <w:pStyle w:val="Heading7"/>
      </w:pPr>
      <w:r>
        <w:t xml:space="preserve">The </w:t>
      </w:r>
      <w:r>
        <w:rPr>
          <w:i/>
        </w:rPr>
        <w:t>cancellation fee</w:t>
      </w:r>
      <w:r>
        <w:t xml:space="preserve"> is calculated as the following amounts, multiplied by the months remaining on </w:t>
      </w:r>
      <w:r>
        <w:rPr>
          <w:i/>
        </w:rPr>
        <w:t>your minimum term</w:t>
      </w:r>
      <w:r>
        <w:t>:</w:t>
      </w:r>
    </w:p>
    <w:tbl>
      <w:tblPr>
        <w:tblpPr w:leftFromText="180" w:rightFromText="180" w:vertAnchor="text" w:tblpX="642" w:tblpY="1"/>
        <w:tblOverlap w:val="never"/>
        <w:tblW w:w="45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9"/>
        <w:gridCol w:w="4821"/>
      </w:tblGrid>
      <w:tr w:rsidR="008B2738" w14:paraId="4807535B" w14:textId="77777777" w:rsidTr="008B2738">
        <w:trPr>
          <w:trHeight w:val="54"/>
        </w:trPr>
        <w:tc>
          <w:tcPr>
            <w:tcW w:w="2383" w:type="pct"/>
            <w:tcBorders>
              <w:top w:val="single" w:sz="4" w:space="0" w:color="auto"/>
              <w:left w:val="single" w:sz="4" w:space="0" w:color="auto"/>
              <w:bottom w:val="single" w:sz="4" w:space="0" w:color="auto"/>
              <w:right w:val="single" w:sz="4" w:space="0" w:color="auto"/>
            </w:tcBorders>
            <w:vAlign w:val="center"/>
          </w:tcPr>
          <w:p w14:paraId="7E4CFEC4" w14:textId="77777777" w:rsidR="008B2738" w:rsidRDefault="008B2738">
            <w:pPr>
              <w:spacing w:before="100" w:after="100"/>
              <w:rPr>
                <w:sz w:val="20"/>
              </w:rPr>
            </w:pPr>
          </w:p>
        </w:tc>
        <w:tc>
          <w:tcPr>
            <w:tcW w:w="2617" w:type="pct"/>
            <w:tcBorders>
              <w:top w:val="single" w:sz="4" w:space="0" w:color="auto"/>
              <w:left w:val="single" w:sz="4" w:space="0" w:color="auto"/>
              <w:bottom w:val="single" w:sz="4" w:space="0" w:color="auto"/>
              <w:right w:val="single" w:sz="4" w:space="0" w:color="auto"/>
            </w:tcBorders>
            <w:hideMark/>
          </w:tcPr>
          <w:p w14:paraId="6AD6A866" w14:textId="77777777" w:rsidR="008B2738" w:rsidRDefault="008B2738">
            <w:pPr>
              <w:spacing w:before="100" w:after="100"/>
              <w:jc w:val="center"/>
              <w:rPr>
                <w:b/>
                <w:sz w:val="20"/>
              </w:rPr>
            </w:pPr>
            <w:r>
              <w:rPr>
                <w:b/>
                <w:sz w:val="20"/>
              </w:rPr>
              <w:t>$55 Business Plus 24M SIM Only</w:t>
            </w:r>
          </w:p>
        </w:tc>
      </w:tr>
      <w:tr w:rsidR="008B2738" w14:paraId="51D29175" w14:textId="77777777" w:rsidTr="008B2738">
        <w:trPr>
          <w:trHeight w:val="54"/>
        </w:trPr>
        <w:tc>
          <w:tcPr>
            <w:tcW w:w="2383" w:type="pct"/>
            <w:tcBorders>
              <w:top w:val="single" w:sz="4" w:space="0" w:color="auto"/>
              <w:left w:val="single" w:sz="4" w:space="0" w:color="auto"/>
              <w:bottom w:val="single" w:sz="4" w:space="0" w:color="auto"/>
              <w:right w:val="single" w:sz="4" w:space="0" w:color="auto"/>
            </w:tcBorders>
            <w:vAlign w:val="center"/>
            <w:hideMark/>
          </w:tcPr>
          <w:p w14:paraId="5C159F1A" w14:textId="77777777" w:rsidR="008B2738" w:rsidRDefault="008B2738">
            <w:pPr>
              <w:spacing w:before="100" w:after="100"/>
              <w:jc w:val="center"/>
              <w:rPr>
                <w:b/>
                <w:sz w:val="20"/>
                <w:szCs w:val="20"/>
              </w:rPr>
            </w:pPr>
            <w:r>
              <w:rPr>
                <w:b/>
                <w:bCs/>
                <w:sz w:val="20"/>
                <w:szCs w:val="20"/>
                <w:lang w:eastAsia="en-AU"/>
              </w:rPr>
              <w:t>Cancellation Fee</w:t>
            </w:r>
          </w:p>
        </w:tc>
        <w:tc>
          <w:tcPr>
            <w:tcW w:w="2617" w:type="pct"/>
            <w:tcBorders>
              <w:top w:val="single" w:sz="4" w:space="0" w:color="auto"/>
              <w:left w:val="single" w:sz="4" w:space="0" w:color="auto"/>
              <w:bottom w:val="single" w:sz="4" w:space="0" w:color="auto"/>
              <w:right w:val="single" w:sz="4" w:space="0" w:color="auto"/>
            </w:tcBorders>
            <w:hideMark/>
          </w:tcPr>
          <w:p w14:paraId="44858881" w14:textId="77777777" w:rsidR="008B2738" w:rsidRDefault="008B2738">
            <w:pPr>
              <w:spacing w:before="100" w:after="100"/>
              <w:jc w:val="center"/>
              <w:rPr>
                <w:sz w:val="20"/>
                <w:szCs w:val="20"/>
              </w:rPr>
            </w:pPr>
            <w:r>
              <w:rPr>
                <w:rFonts w:cs="Arial"/>
                <w:sz w:val="20"/>
                <w:szCs w:val="20"/>
              </w:rPr>
              <w:t>$27.50 x Months remaining</w:t>
            </w:r>
          </w:p>
        </w:tc>
      </w:tr>
      <w:tr w:rsidR="008B2738" w14:paraId="3484DEEC" w14:textId="77777777" w:rsidTr="008B2738">
        <w:trPr>
          <w:trHeight w:val="57"/>
        </w:trPr>
        <w:tc>
          <w:tcPr>
            <w:tcW w:w="2383" w:type="pct"/>
            <w:tcBorders>
              <w:top w:val="single" w:sz="4" w:space="0" w:color="auto"/>
              <w:left w:val="single" w:sz="4" w:space="0" w:color="auto"/>
              <w:bottom w:val="single" w:sz="4" w:space="0" w:color="auto"/>
              <w:right w:val="single" w:sz="4" w:space="0" w:color="auto"/>
            </w:tcBorders>
            <w:vAlign w:val="center"/>
            <w:hideMark/>
          </w:tcPr>
          <w:p w14:paraId="1623121E" w14:textId="77777777" w:rsidR="008B2738" w:rsidRDefault="008B2738">
            <w:pPr>
              <w:spacing w:before="100" w:after="100"/>
              <w:jc w:val="center"/>
              <w:rPr>
                <w:b/>
                <w:bCs/>
                <w:sz w:val="20"/>
                <w:szCs w:val="20"/>
                <w:lang w:eastAsia="en-AU"/>
              </w:rPr>
            </w:pPr>
            <w:r>
              <w:rPr>
                <w:b/>
                <w:bCs/>
                <w:sz w:val="20"/>
                <w:szCs w:val="20"/>
                <w:lang w:eastAsia="en-AU"/>
              </w:rPr>
              <w:t>Maximum Cancellation Fee</w:t>
            </w:r>
          </w:p>
        </w:tc>
        <w:tc>
          <w:tcPr>
            <w:tcW w:w="2617" w:type="pct"/>
            <w:tcBorders>
              <w:top w:val="single" w:sz="4" w:space="0" w:color="auto"/>
              <w:left w:val="single" w:sz="4" w:space="0" w:color="auto"/>
              <w:bottom w:val="single" w:sz="4" w:space="0" w:color="auto"/>
              <w:right w:val="single" w:sz="4" w:space="0" w:color="auto"/>
            </w:tcBorders>
            <w:vAlign w:val="center"/>
            <w:hideMark/>
          </w:tcPr>
          <w:p w14:paraId="5A7ACFDB" w14:textId="77777777" w:rsidR="008B2738" w:rsidRDefault="008B2738">
            <w:pPr>
              <w:spacing w:after="100"/>
              <w:jc w:val="center"/>
              <w:rPr>
                <w:rFonts w:eastAsia="Calibri"/>
                <w:sz w:val="20"/>
                <w:szCs w:val="20"/>
              </w:rPr>
            </w:pPr>
            <w:r>
              <w:rPr>
                <w:rFonts w:eastAsia="Calibri" w:cs="Arial"/>
                <w:sz w:val="20"/>
                <w:szCs w:val="20"/>
              </w:rPr>
              <w:t>$660</w:t>
            </w:r>
          </w:p>
        </w:tc>
      </w:tr>
    </w:tbl>
    <w:p w14:paraId="6868DFD2" w14:textId="77777777" w:rsidR="008B2738" w:rsidRDefault="008B2738" w:rsidP="008B2738">
      <w:pPr>
        <w:pStyle w:val="Heading7"/>
        <w:numPr>
          <w:ilvl w:val="0"/>
          <w:numId w:val="0"/>
        </w:numPr>
        <w:rPr>
          <w:szCs w:val="20"/>
        </w:rPr>
      </w:pPr>
    </w:p>
    <w:p w14:paraId="1A5F5E32" w14:textId="77777777" w:rsidR="008B2738" w:rsidRDefault="008B2738" w:rsidP="008B2738">
      <w:pPr>
        <w:pStyle w:val="Heading7"/>
        <w:numPr>
          <w:ilvl w:val="0"/>
          <w:numId w:val="0"/>
        </w:numPr>
        <w:ind w:left="1440"/>
        <w:rPr>
          <w:szCs w:val="20"/>
        </w:rPr>
      </w:pPr>
    </w:p>
    <w:p w14:paraId="57AD7503" w14:textId="77777777" w:rsidR="00E01D8F" w:rsidRDefault="00E01D8F" w:rsidP="008B2738">
      <w:pPr>
        <w:pStyle w:val="Heading7"/>
        <w:rPr>
          <w:szCs w:val="20"/>
        </w:rPr>
      </w:pPr>
      <w:r>
        <w:rPr>
          <w:szCs w:val="20"/>
        </w:rPr>
        <w:t xml:space="preserve">If </w:t>
      </w:r>
      <w:r>
        <w:rPr>
          <w:i/>
          <w:szCs w:val="20"/>
        </w:rPr>
        <w:t>your</w:t>
      </w:r>
      <w:r>
        <w:rPr>
          <w:szCs w:val="20"/>
        </w:rPr>
        <w:t xml:space="preserve"> </w:t>
      </w:r>
      <w:r w:rsidR="008B2738">
        <w:rPr>
          <w:szCs w:val="20"/>
        </w:rPr>
        <w:t xml:space="preserve">$55 </w:t>
      </w:r>
      <w:r>
        <w:rPr>
          <w:szCs w:val="20"/>
        </w:rPr>
        <w:t xml:space="preserve">Business Plus 24M SIM Only plan is </w:t>
      </w:r>
      <w:r>
        <w:rPr>
          <w:i/>
          <w:szCs w:val="20"/>
        </w:rPr>
        <w:t>cancelled</w:t>
      </w:r>
      <w:r>
        <w:rPr>
          <w:szCs w:val="20"/>
        </w:rPr>
        <w:t xml:space="preserve">, </w:t>
      </w:r>
      <w:r>
        <w:rPr>
          <w:i/>
          <w:szCs w:val="20"/>
        </w:rPr>
        <w:t>your</w:t>
      </w:r>
      <w:r>
        <w:rPr>
          <w:szCs w:val="20"/>
        </w:rPr>
        <w:t xml:space="preserve"> Shared Data Plan(s) may also be </w:t>
      </w:r>
      <w:r>
        <w:rPr>
          <w:i/>
          <w:szCs w:val="20"/>
        </w:rPr>
        <w:t>cancelled</w:t>
      </w:r>
      <w:r>
        <w:rPr>
          <w:szCs w:val="20"/>
        </w:rPr>
        <w:t xml:space="preserve">. There are no </w:t>
      </w:r>
      <w:r>
        <w:rPr>
          <w:i/>
          <w:szCs w:val="20"/>
        </w:rPr>
        <w:t>cancellation fees</w:t>
      </w:r>
      <w:r>
        <w:rPr>
          <w:szCs w:val="20"/>
        </w:rPr>
        <w:t xml:space="preserve"> for the Shared Data Plan, however if </w:t>
      </w:r>
      <w:r>
        <w:rPr>
          <w:i/>
          <w:szCs w:val="20"/>
        </w:rPr>
        <w:t>you</w:t>
      </w:r>
      <w:r>
        <w:rPr>
          <w:szCs w:val="20"/>
        </w:rPr>
        <w:t xml:space="preserve"> purchased a </w:t>
      </w:r>
      <w:r>
        <w:rPr>
          <w:i/>
          <w:szCs w:val="20"/>
        </w:rPr>
        <w:t>device</w:t>
      </w:r>
      <w:r>
        <w:rPr>
          <w:szCs w:val="20"/>
        </w:rPr>
        <w:t xml:space="preserve"> </w:t>
      </w:r>
      <w:r>
        <w:rPr>
          <w:i/>
          <w:szCs w:val="20"/>
        </w:rPr>
        <w:t>you</w:t>
      </w:r>
      <w:r>
        <w:rPr>
          <w:szCs w:val="20"/>
        </w:rPr>
        <w:t xml:space="preserve"> need to pay the sum of any remaining </w:t>
      </w:r>
      <w:r>
        <w:rPr>
          <w:i/>
          <w:szCs w:val="20"/>
        </w:rPr>
        <w:t xml:space="preserve">equipment charges </w:t>
      </w:r>
      <w:r>
        <w:rPr>
          <w:szCs w:val="20"/>
        </w:rPr>
        <w:t xml:space="preserve">owing on </w:t>
      </w:r>
      <w:r>
        <w:rPr>
          <w:i/>
          <w:szCs w:val="20"/>
        </w:rPr>
        <w:t xml:space="preserve">your device </w:t>
      </w:r>
      <w:r>
        <w:rPr>
          <w:szCs w:val="20"/>
        </w:rPr>
        <w:t xml:space="preserve">under the </w:t>
      </w:r>
      <w:r>
        <w:rPr>
          <w:i/>
          <w:szCs w:val="20"/>
        </w:rPr>
        <w:t xml:space="preserve">mobile equipment payment plan </w:t>
      </w:r>
      <w:r>
        <w:rPr>
          <w:szCs w:val="20"/>
        </w:rPr>
        <w:t xml:space="preserve">(see </w:t>
      </w:r>
      <w:hyperlink r:id="rId941" w:history="1">
        <w:r>
          <w:rPr>
            <w:rStyle w:val="Hyperlink"/>
            <w:rFonts w:eastAsia="MS Gothic"/>
            <w:i/>
            <w:szCs w:val="20"/>
          </w:rPr>
          <w:t>Appendix D</w:t>
        </w:r>
      </w:hyperlink>
      <w:r>
        <w:rPr>
          <w:szCs w:val="20"/>
        </w:rPr>
        <w:t>).</w:t>
      </w:r>
    </w:p>
    <w:p w14:paraId="346ECD8E" w14:textId="77777777" w:rsidR="00E01D8F" w:rsidRDefault="00E01D8F" w:rsidP="008B2738">
      <w:pPr>
        <w:pStyle w:val="Heading7"/>
        <w:rPr>
          <w:szCs w:val="20"/>
        </w:rPr>
      </w:pPr>
      <w:r>
        <w:rPr>
          <w:szCs w:val="20"/>
        </w:rPr>
        <w:t xml:space="preserve">If </w:t>
      </w:r>
      <w:r>
        <w:rPr>
          <w:i/>
          <w:szCs w:val="20"/>
        </w:rPr>
        <w:t xml:space="preserve">your </w:t>
      </w:r>
      <w:r>
        <w:rPr>
          <w:szCs w:val="20"/>
        </w:rPr>
        <w:t xml:space="preserve">Shared Data Plan is not </w:t>
      </w:r>
      <w:r>
        <w:rPr>
          <w:i/>
          <w:szCs w:val="20"/>
        </w:rPr>
        <w:t>cancelled</w:t>
      </w:r>
      <w:r>
        <w:rPr>
          <w:szCs w:val="20"/>
        </w:rPr>
        <w:t xml:space="preserve">, </w:t>
      </w:r>
      <w:r>
        <w:rPr>
          <w:i/>
          <w:szCs w:val="20"/>
        </w:rPr>
        <w:t>you</w:t>
      </w:r>
      <w:r>
        <w:rPr>
          <w:szCs w:val="20"/>
        </w:rPr>
        <w:t xml:space="preserve"> will be charged $10 per 1GB within Australia, up to 150GB (per account) in a billing month. </w:t>
      </w:r>
      <w:r>
        <w:rPr>
          <w:i/>
          <w:szCs w:val="20"/>
        </w:rPr>
        <w:t>Your</w:t>
      </w:r>
      <w:r>
        <w:rPr>
          <w:szCs w:val="20"/>
        </w:rPr>
        <w:t xml:space="preserve"> </w:t>
      </w:r>
      <w:r>
        <w:rPr>
          <w:i/>
          <w:szCs w:val="20"/>
        </w:rPr>
        <w:t>service/s</w:t>
      </w:r>
      <w:r>
        <w:rPr>
          <w:szCs w:val="20"/>
        </w:rPr>
        <w:t xml:space="preserve"> may then be restricted, or </w:t>
      </w:r>
      <w:r>
        <w:rPr>
          <w:i/>
          <w:szCs w:val="20"/>
        </w:rPr>
        <w:t>we</w:t>
      </w:r>
      <w:r>
        <w:rPr>
          <w:szCs w:val="20"/>
        </w:rPr>
        <w:t xml:space="preserve"> may continue to charge </w:t>
      </w:r>
      <w:r>
        <w:rPr>
          <w:i/>
          <w:szCs w:val="20"/>
        </w:rPr>
        <w:t>you</w:t>
      </w:r>
      <w:r>
        <w:rPr>
          <w:szCs w:val="20"/>
        </w:rPr>
        <w:t xml:space="preserve"> at these rates.</w:t>
      </w:r>
    </w:p>
    <w:p w14:paraId="19D095C8" w14:textId="77777777" w:rsidR="00E01D8F" w:rsidRDefault="007569EB" w:rsidP="00E01D8F">
      <w:pPr>
        <w:pStyle w:val="BodyText"/>
        <w:spacing w:after="360"/>
        <w:ind w:left="720"/>
        <w:rPr>
          <w:rStyle w:val="Hyperlink"/>
          <w:i/>
        </w:rPr>
      </w:pPr>
      <w:hyperlink r:id="rId942" w:history="1">
        <w:r w:rsidR="00E01D8F">
          <w:rPr>
            <w:rStyle w:val="Hyperlink"/>
            <w:i/>
            <w:szCs w:val="20"/>
          </w:rPr>
          <w:t>Fair Go Policy</w:t>
        </w:r>
      </w:hyperlink>
      <w:r w:rsidR="00E01D8F">
        <w:rPr>
          <w:szCs w:val="20"/>
        </w:rPr>
        <w:t xml:space="preserve"> applies. For further details refer to </w:t>
      </w:r>
      <w:hyperlink r:id="rId943" w:history="1">
        <w:r w:rsidR="00E01D8F">
          <w:rPr>
            <w:rStyle w:val="Hyperlink"/>
            <w:i/>
            <w:szCs w:val="20"/>
          </w:rPr>
          <w:t>Appendix S.</w:t>
        </w:r>
      </w:hyperlink>
    </w:p>
    <w:p w14:paraId="720EE149" w14:textId="77777777" w:rsidR="00E01D8F" w:rsidRDefault="00E01D8F" w:rsidP="00F67786">
      <w:pPr>
        <w:pStyle w:val="BodyText"/>
      </w:pPr>
    </w:p>
    <w:sectPr w:rsidR="00E01D8F">
      <w:headerReference w:type="default" r:id="rId944"/>
      <w:footerReference w:type="default" r:id="rId945"/>
      <w:pgSz w:w="11900" w:h="16840"/>
      <w:pgMar w:top="851" w:right="851" w:bottom="851" w:left="851" w:header="461" w:footer="2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917383" w14:textId="77777777" w:rsidR="00E01D8F" w:rsidRDefault="00E01D8F">
      <w:r>
        <w:separator/>
      </w:r>
    </w:p>
  </w:endnote>
  <w:endnote w:type="continuationSeparator" w:id="0">
    <w:p w14:paraId="7153767D" w14:textId="77777777" w:rsidR="00E01D8F" w:rsidRDefault="00E01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FS Optus Medium">
    <w:altName w:val="Times New Roman"/>
    <w:charset w:val="00"/>
    <w:family w:val="auto"/>
    <w:pitch w:val="variable"/>
    <w:sig w:usb0="00000001" w:usb1="5000A06A" w:usb2="00000000" w:usb3="00000000" w:csb0="0000009B" w:csb1="00000000"/>
  </w:font>
  <w:font w:name="Lucida Grande">
    <w:altName w:val="Times New Roman"/>
    <w:charset w:val="00"/>
    <w:family w:val="auto"/>
    <w:pitch w:val="variable"/>
    <w:sig w:usb0="00000000"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IN">
    <w:altName w:val="Calibri"/>
    <w:panose1 w:val="00000000000000000000"/>
    <w:charset w:val="00"/>
    <w:family w:val="swiss"/>
    <w:notTrueType/>
    <w:pitch w:val="default"/>
    <w:sig w:usb0="00000003" w:usb1="00000000" w:usb2="00000000" w:usb3="00000000" w:csb0="00000001" w:csb1="00000000"/>
  </w:font>
  <w:font w:name="Frutiger 55 Roman">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DIN-Light">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rk for Optus">
    <w:altName w:val="Mark for Optus"/>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8A5719" w14:textId="77777777" w:rsidR="00E01D8F" w:rsidRDefault="00E01D8F">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6"/>
      <w:gridCol w:w="1134"/>
      <w:gridCol w:w="4528"/>
    </w:tblGrid>
    <w:tr w:rsidR="00E01D8F" w14:paraId="5C4B84BB" w14:textId="77777777">
      <w:trPr>
        <w:jc w:val="center"/>
      </w:trPr>
      <w:tc>
        <w:tcPr>
          <w:tcW w:w="2224" w:type="pct"/>
          <w:shd w:val="clear" w:color="auto" w:fill="auto"/>
        </w:tcPr>
        <w:p w14:paraId="1A3C1E45" w14:textId="77777777" w:rsidR="00E01D8F" w:rsidRDefault="00E01D8F" w:rsidP="00BD746C">
          <w:pPr>
            <w:pStyle w:val="Footer"/>
            <w:spacing w:before="120"/>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Pr>
              <w:rFonts w:cs="Arial"/>
              <w:sz w:val="16"/>
              <w:szCs w:val="16"/>
            </w:rPr>
            <w:t xml:space="preserve">Optus Digital Mobile Service - Standard Pricing Table -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Pr>
              <w:rFonts w:cs="Arial"/>
              <w:sz w:val="16"/>
              <w:szCs w:val="16"/>
            </w:rPr>
            <w:t>Section 5 - Special Offer Pricing plans (SMB)</w:t>
          </w:r>
          <w:r>
            <w:rPr>
              <w:rFonts w:cs="Arial"/>
              <w:sz w:val="16"/>
              <w:szCs w:val="16"/>
            </w:rPr>
            <w:fldChar w:fldCharType="end"/>
          </w:r>
        </w:p>
      </w:tc>
      <w:tc>
        <w:tcPr>
          <w:tcW w:w="556" w:type="pct"/>
          <w:shd w:val="clear" w:color="auto" w:fill="auto"/>
        </w:tcPr>
        <w:p w14:paraId="0F61FBC9" w14:textId="77777777" w:rsidR="00E01D8F" w:rsidRDefault="00E01D8F" w:rsidP="00BD746C">
          <w:pPr>
            <w:pStyle w:val="Footer"/>
            <w:spacing w:before="120"/>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5</w:t>
          </w:r>
          <w:r>
            <w:rPr>
              <w:rStyle w:val="PageNumber"/>
              <w:rFonts w:ascii="Arial" w:hAnsi="Arial" w:cs="Arial"/>
              <w:sz w:val="16"/>
              <w:szCs w:val="16"/>
            </w:rPr>
            <w:fldChar w:fldCharType="end"/>
          </w:r>
        </w:p>
      </w:tc>
      <w:tc>
        <w:tcPr>
          <w:tcW w:w="2220" w:type="pct"/>
          <w:shd w:val="clear" w:color="auto" w:fill="auto"/>
        </w:tcPr>
        <w:p w14:paraId="3D0502C5" w14:textId="798E5BAE" w:rsidR="00E01D8F" w:rsidRDefault="007569EB" w:rsidP="00BD746C">
          <w:pPr>
            <w:pStyle w:val="Footer"/>
            <w:spacing w:before="120"/>
            <w:jc w:val="right"/>
            <w:rPr>
              <w:rFonts w:cs="Arial"/>
              <w:sz w:val="16"/>
              <w:szCs w:val="16"/>
            </w:rPr>
          </w:pPr>
          <w:r>
            <w:rPr>
              <w:rFonts w:cs="Arial"/>
              <w:sz w:val="16"/>
              <w:szCs w:val="16"/>
            </w:rPr>
            <w:t>8 July</w:t>
          </w:r>
          <w:r w:rsidR="00D44C7F">
            <w:rPr>
              <w:rFonts w:cs="Arial"/>
              <w:sz w:val="16"/>
              <w:szCs w:val="16"/>
            </w:rPr>
            <w:t xml:space="preserve"> </w:t>
          </w:r>
          <w:r w:rsidR="00E01D8F">
            <w:rPr>
              <w:rFonts w:cs="Arial"/>
              <w:sz w:val="16"/>
              <w:szCs w:val="16"/>
            </w:rPr>
            <w:t>202</w:t>
          </w:r>
          <w:r w:rsidR="00D44C7F">
            <w:rPr>
              <w:rFonts w:cs="Arial"/>
              <w:sz w:val="16"/>
              <w:szCs w:val="16"/>
            </w:rPr>
            <w:t>1</w:t>
          </w:r>
        </w:p>
        <w:p w14:paraId="0448149D" w14:textId="77777777" w:rsidR="00E01D8F" w:rsidRDefault="00E01D8F" w:rsidP="00BD746C">
          <w:pPr>
            <w:pStyle w:val="Footer"/>
            <w:spacing w:before="120"/>
            <w:jc w:val="right"/>
            <w:rPr>
              <w:rFonts w:cs="Arial"/>
              <w:sz w:val="16"/>
              <w:szCs w:val="16"/>
            </w:rPr>
          </w:pPr>
        </w:p>
      </w:tc>
    </w:tr>
  </w:tbl>
  <w:p w14:paraId="582FCE87" w14:textId="77777777" w:rsidR="00E01D8F" w:rsidRDefault="00E01D8F">
    <w:pPr>
      <w:pStyle w:val="Footer"/>
      <w:rPr>
        <w:rFonts w:ascii="Arial Narrow" w:hAnsi="Arial Narrow" w:cs="Arial"/>
        <w:color w:val="808080"/>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C10BC5" w14:textId="77777777" w:rsidR="00E01D8F" w:rsidRDefault="00E01D8F">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6"/>
      <w:gridCol w:w="1134"/>
      <w:gridCol w:w="4528"/>
    </w:tblGrid>
    <w:tr w:rsidR="00E01D8F" w14:paraId="7B3C6EA5" w14:textId="77777777">
      <w:trPr>
        <w:jc w:val="center"/>
      </w:trPr>
      <w:tc>
        <w:tcPr>
          <w:tcW w:w="2224" w:type="pct"/>
          <w:shd w:val="clear" w:color="auto" w:fill="auto"/>
        </w:tcPr>
        <w:p w14:paraId="6AED5E07" w14:textId="77777777" w:rsidR="00E01D8F" w:rsidRDefault="00E01D8F">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Pr>
              <w:rFonts w:cs="Arial"/>
              <w:sz w:val="16"/>
              <w:szCs w:val="16"/>
            </w:rPr>
            <w:t xml:space="preserve">Optus Digital Mobile Service - Standard Pricing Table -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Pr>
              <w:rFonts w:cs="Arial"/>
              <w:sz w:val="16"/>
              <w:szCs w:val="16"/>
            </w:rPr>
            <w:t>Section 5 - Special Offer Pricing plans (SMB)</w:t>
          </w:r>
          <w:r>
            <w:rPr>
              <w:rFonts w:cs="Arial"/>
              <w:sz w:val="16"/>
              <w:szCs w:val="16"/>
            </w:rPr>
            <w:fldChar w:fldCharType="end"/>
          </w:r>
        </w:p>
      </w:tc>
      <w:tc>
        <w:tcPr>
          <w:tcW w:w="556" w:type="pct"/>
          <w:shd w:val="clear" w:color="auto" w:fill="auto"/>
        </w:tcPr>
        <w:p w14:paraId="2F3D2E1A" w14:textId="77777777" w:rsidR="00E01D8F" w:rsidRDefault="00E01D8F">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1</w:t>
          </w:r>
          <w:r>
            <w:rPr>
              <w:rStyle w:val="PageNumber"/>
              <w:rFonts w:ascii="Arial" w:hAnsi="Arial" w:cs="Arial"/>
              <w:sz w:val="16"/>
              <w:szCs w:val="16"/>
            </w:rPr>
            <w:fldChar w:fldCharType="end"/>
          </w:r>
        </w:p>
      </w:tc>
      <w:tc>
        <w:tcPr>
          <w:tcW w:w="2220" w:type="pct"/>
          <w:shd w:val="clear" w:color="auto" w:fill="auto"/>
        </w:tcPr>
        <w:p w14:paraId="591E6327" w14:textId="77777777" w:rsidR="00E01D8F" w:rsidRDefault="00E01D8F">
          <w:pPr>
            <w:pStyle w:val="Footer"/>
            <w:jc w:val="right"/>
            <w:rPr>
              <w:rFonts w:cs="Arial"/>
              <w:sz w:val="16"/>
              <w:szCs w:val="16"/>
            </w:rPr>
          </w:pPr>
          <w:r>
            <w:rPr>
              <w:rFonts w:cs="Arial"/>
              <w:sz w:val="16"/>
              <w:szCs w:val="16"/>
            </w:rPr>
            <w:fldChar w:fldCharType="begin"/>
          </w:r>
          <w:r>
            <w:rPr>
              <w:rFonts w:cs="Arial"/>
              <w:sz w:val="16"/>
              <w:szCs w:val="16"/>
            </w:rPr>
            <w:instrText xml:space="preserve"> DOCPROPERTY  DocDate  \* MERGEFORMAT </w:instrText>
          </w:r>
          <w:r>
            <w:rPr>
              <w:rFonts w:cs="Arial"/>
              <w:sz w:val="16"/>
              <w:szCs w:val="16"/>
            </w:rPr>
            <w:fldChar w:fldCharType="separate"/>
          </w:r>
          <w:r>
            <w:rPr>
              <w:rFonts w:cs="Arial"/>
              <w:sz w:val="16"/>
              <w:szCs w:val="16"/>
            </w:rPr>
            <w:t xml:space="preserve">22 November 2017 </w:t>
          </w:r>
          <w:r>
            <w:rPr>
              <w:rFonts w:cs="Arial"/>
              <w:sz w:val="16"/>
              <w:szCs w:val="16"/>
            </w:rPr>
            <w:fldChar w:fldCharType="end"/>
          </w:r>
        </w:p>
        <w:p w14:paraId="7DCEA27C" w14:textId="77777777" w:rsidR="00E01D8F" w:rsidRDefault="00E01D8F">
          <w:pPr>
            <w:pStyle w:val="Footer"/>
            <w:jc w:val="right"/>
            <w:rPr>
              <w:rFonts w:cs="Arial"/>
              <w:sz w:val="16"/>
              <w:szCs w:val="16"/>
            </w:rPr>
          </w:pPr>
        </w:p>
      </w:tc>
    </w:tr>
  </w:tbl>
  <w:p w14:paraId="586DBD08" w14:textId="77777777" w:rsidR="00E01D8F" w:rsidRDefault="00E01D8F">
    <w:pPr>
      <w:pStyle w:val="Footer"/>
      <w:rPr>
        <w:rFonts w:ascii="Arial Narrow" w:hAnsi="Arial Narrow" w:cs="Arial"/>
        <w:color w:val="808080"/>
        <w:sz w:val="8"/>
        <w:szCs w:val="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7E1339" w14:textId="77777777" w:rsidR="00E01D8F" w:rsidRDefault="00E01D8F">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6"/>
      <w:gridCol w:w="1134"/>
      <w:gridCol w:w="4528"/>
    </w:tblGrid>
    <w:tr w:rsidR="00E01D8F" w14:paraId="1F406033" w14:textId="77777777">
      <w:trPr>
        <w:jc w:val="center"/>
      </w:trPr>
      <w:tc>
        <w:tcPr>
          <w:tcW w:w="2224" w:type="pct"/>
          <w:shd w:val="clear" w:color="auto" w:fill="auto"/>
        </w:tcPr>
        <w:p w14:paraId="60B44A92" w14:textId="77777777" w:rsidR="00E01D8F" w:rsidRDefault="00E01D8F">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Pr>
              <w:rFonts w:cs="Arial"/>
              <w:sz w:val="16"/>
              <w:szCs w:val="16"/>
            </w:rPr>
            <w:t xml:space="preserve">Optus Digital Mobile Service - Standard Pricing Table -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Pr>
              <w:rFonts w:cs="Arial"/>
              <w:sz w:val="16"/>
              <w:szCs w:val="16"/>
            </w:rPr>
            <w:t>Section 5 - Special Offer Pricing plans (SMB)</w:t>
          </w:r>
          <w:r>
            <w:rPr>
              <w:rFonts w:cs="Arial"/>
              <w:sz w:val="16"/>
              <w:szCs w:val="16"/>
            </w:rPr>
            <w:fldChar w:fldCharType="end"/>
          </w:r>
        </w:p>
      </w:tc>
      <w:tc>
        <w:tcPr>
          <w:tcW w:w="556" w:type="pct"/>
          <w:shd w:val="clear" w:color="auto" w:fill="auto"/>
        </w:tcPr>
        <w:p w14:paraId="7F9DAD35" w14:textId="77777777" w:rsidR="00E01D8F" w:rsidRDefault="00E01D8F">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32</w:t>
          </w:r>
          <w:r>
            <w:rPr>
              <w:rStyle w:val="PageNumber"/>
              <w:rFonts w:ascii="Arial" w:hAnsi="Arial" w:cs="Arial"/>
              <w:sz w:val="16"/>
              <w:szCs w:val="16"/>
            </w:rPr>
            <w:fldChar w:fldCharType="end"/>
          </w:r>
        </w:p>
      </w:tc>
      <w:tc>
        <w:tcPr>
          <w:tcW w:w="2220" w:type="pct"/>
          <w:shd w:val="clear" w:color="auto" w:fill="auto"/>
        </w:tcPr>
        <w:p w14:paraId="5F0AD937" w14:textId="77777777" w:rsidR="00E01D8F" w:rsidRDefault="00E01D8F">
          <w:pPr>
            <w:pStyle w:val="Footer"/>
            <w:jc w:val="right"/>
            <w:rPr>
              <w:rFonts w:cs="Arial"/>
              <w:sz w:val="16"/>
              <w:szCs w:val="16"/>
            </w:rPr>
          </w:pPr>
          <w:r>
            <w:rPr>
              <w:rFonts w:cs="Arial"/>
              <w:sz w:val="16"/>
              <w:szCs w:val="16"/>
            </w:rPr>
            <w:t>5 November 2018</w:t>
          </w:r>
        </w:p>
        <w:p w14:paraId="3E3C02B3" w14:textId="77777777" w:rsidR="00E01D8F" w:rsidRDefault="00E01D8F">
          <w:pPr>
            <w:pStyle w:val="Footer"/>
            <w:jc w:val="right"/>
            <w:rPr>
              <w:rFonts w:cs="Arial"/>
              <w:sz w:val="16"/>
              <w:szCs w:val="16"/>
            </w:rPr>
          </w:pPr>
        </w:p>
      </w:tc>
    </w:tr>
  </w:tbl>
  <w:p w14:paraId="03B74FD6" w14:textId="77777777" w:rsidR="00E01D8F" w:rsidRDefault="00E01D8F">
    <w:pPr>
      <w:pStyle w:val="Footer"/>
      <w:rPr>
        <w:rFonts w:ascii="Arial Narrow" w:hAnsi="Arial Narrow" w:cs="Arial"/>
        <w:color w:val="808080"/>
        <w:sz w:val="8"/>
        <w:szCs w:val="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840176" w14:textId="77777777" w:rsidR="00E01D8F" w:rsidRDefault="00E01D8F">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3"/>
      <w:gridCol w:w="6721"/>
    </w:tblGrid>
    <w:tr w:rsidR="00E01D8F" w14:paraId="608A7176" w14:textId="77777777">
      <w:trPr>
        <w:jc w:val="center"/>
      </w:trPr>
      <w:tc>
        <w:tcPr>
          <w:tcW w:w="2224" w:type="pct"/>
          <w:shd w:val="clear" w:color="auto" w:fill="auto"/>
        </w:tcPr>
        <w:p w14:paraId="1938E20A" w14:textId="77777777" w:rsidR="00E01D8F" w:rsidRDefault="00E01D8F">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Pr>
              <w:rFonts w:cs="Arial"/>
              <w:sz w:val="16"/>
              <w:szCs w:val="16"/>
            </w:rPr>
            <w:t xml:space="preserve">Optus Digital Mobile Service - Standard Pricing Table -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Pr>
              <w:rFonts w:cs="Arial"/>
              <w:sz w:val="16"/>
              <w:szCs w:val="16"/>
            </w:rPr>
            <w:t>Section 5 - Special Offer Pricing plans (SMB)</w:t>
          </w:r>
          <w:r>
            <w:rPr>
              <w:rFonts w:cs="Arial"/>
              <w:sz w:val="16"/>
              <w:szCs w:val="16"/>
            </w:rPr>
            <w:fldChar w:fldCharType="end"/>
          </w:r>
        </w:p>
      </w:tc>
      <w:tc>
        <w:tcPr>
          <w:tcW w:w="556" w:type="pct"/>
          <w:shd w:val="clear" w:color="auto" w:fill="auto"/>
        </w:tcPr>
        <w:p w14:paraId="364448C3" w14:textId="77777777" w:rsidR="00E01D8F" w:rsidRDefault="00E01D8F">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34</w:t>
          </w:r>
          <w:r>
            <w:rPr>
              <w:rStyle w:val="PageNumber"/>
              <w:rFonts w:ascii="Arial" w:hAnsi="Arial" w:cs="Arial"/>
              <w:sz w:val="16"/>
              <w:szCs w:val="16"/>
            </w:rPr>
            <w:fldChar w:fldCharType="end"/>
          </w:r>
        </w:p>
      </w:tc>
      <w:tc>
        <w:tcPr>
          <w:tcW w:w="2220" w:type="pct"/>
          <w:shd w:val="clear" w:color="auto" w:fill="auto"/>
        </w:tcPr>
        <w:p w14:paraId="74A84457" w14:textId="77777777" w:rsidR="00E01D8F" w:rsidRDefault="00E01D8F">
          <w:pPr>
            <w:pStyle w:val="Footer"/>
            <w:jc w:val="right"/>
            <w:rPr>
              <w:rFonts w:cs="Arial"/>
              <w:sz w:val="16"/>
              <w:szCs w:val="16"/>
            </w:rPr>
          </w:pPr>
          <w:r>
            <w:rPr>
              <w:rFonts w:cs="Arial"/>
              <w:sz w:val="16"/>
              <w:szCs w:val="16"/>
            </w:rPr>
            <w:fldChar w:fldCharType="begin"/>
          </w:r>
          <w:r>
            <w:rPr>
              <w:rFonts w:cs="Arial"/>
              <w:sz w:val="16"/>
              <w:szCs w:val="16"/>
            </w:rPr>
            <w:instrText xml:space="preserve"> DOCPROPERTY  DocDate  \* MERGEFORMAT </w:instrText>
          </w:r>
          <w:r>
            <w:rPr>
              <w:rFonts w:cs="Arial"/>
              <w:sz w:val="16"/>
              <w:szCs w:val="16"/>
            </w:rPr>
            <w:fldChar w:fldCharType="separate"/>
          </w:r>
          <w:r>
            <w:rPr>
              <w:rFonts w:cs="Arial"/>
              <w:sz w:val="16"/>
              <w:szCs w:val="16"/>
            </w:rPr>
            <w:t xml:space="preserve">11 July 2018 </w:t>
          </w:r>
          <w:r>
            <w:rPr>
              <w:rFonts w:cs="Arial"/>
              <w:sz w:val="16"/>
              <w:szCs w:val="16"/>
            </w:rPr>
            <w:fldChar w:fldCharType="end"/>
          </w:r>
        </w:p>
        <w:p w14:paraId="7652C632" w14:textId="77777777" w:rsidR="00E01D8F" w:rsidRDefault="00E01D8F">
          <w:pPr>
            <w:pStyle w:val="Footer"/>
            <w:jc w:val="right"/>
            <w:rPr>
              <w:rFonts w:cs="Arial"/>
              <w:sz w:val="16"/>
              <w:szCs w:val="16"/>
            </w:rPr>
          </w:pPr>
        </w:p>
      </w:tc>
    </w:tr>
  </w:tbl>
  <w:p w14:paraId="3A2F9B1A" w14:textId="77777777" w:rsidR="00E01D8F" w:rsidRDefault="00E01D8F">
    <w:pPr>
      <w:pStyle w:val="Footer"/>
      <w:rPr>
        <w:rFonts w:ascii="Arial Narrow" w:hAnsi="Arial Narrow" w:cs="Arial"/>
        <w:color w:val="808080"/>
        <w:sz w:val="8"/>
        <w:szCs w:val="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FDA1EA" w14:textId="77777777" w:rsidR="00E01D8F" w:rsidRDefault="00E01D8F">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6"/>
      <w:gridCol w:w="1134"/>
      <w:gridCol w:w="4528"/>
    </w:tblGrid>
    <w:tr w:rsidR="00E01D8F" w14:paraId="465C400C" w14:textId="77777777">
      <w:trPr>
        <w:jc w:val="center"/>
      </w:trPr>
      <w:tc>
        <w:tcPr>
          <w:tcW w:w="2224" w:type="pct"/>
          <w:shd w:val="clear" w:color="auto" w:fill="auto"/>
        </w:tcPr>
        <w:p w14:paraId="31395C9C" w14:textId="77777777" w:rsidR="00E01D8F" w:rsidRDefault="00E01D8F">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Pr>
              <w:rFonts w:cs="Arial"/>
              <w:sz w:val="16"/>
              <w:szCs w:val="16"/>
            </w:rPr>
            <w:t xml:space="preserve">Optus Digital Mobile Service - Standard Pricing Table -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Pr>
              <w:rFonts w:cs="Arial"/>
              <w:sz w:val="16"/>
              <w:szCs w:val="16"/>
            </w:rPr>
            <w:t>Section 5 - Special Offer Pricing plans (SMB)</w:t>
          </w:r>
          <w:r>
            <w:rPr>
              <w:rFonts w:cs="Arial"/>
              <w:sz w:val="16"/>
              <w:szCs w:val="16"/>
            </w:rPr>
            <w:fldChar w:fldCharType="end"/>
          </w:r>
        </w:p>
      </w:tc>
      <w:tc>
        <w:tcPr>
          <w:tcW w:w="556" w:type="pct"/>
          <w:shd w:val="clear" w:color="auto" w:fill="auto"/>
        </w:tcPr>
        <w:p w14:paraId="00A294E8" w14:textId="77777777" w:rsidR="00E01D8F" w:rsidRDefault="00E01D8F">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41</w:t>
          </w:r>
          <w:r>
            <w:rPr>
              <w:rStyle w:val="PageNumber"/>
              <w:rFonts w:ascii="Arial" w:hAnsi="Arial" w:cs="Arial"/>
              <w:sz w:val="16"/>
              <w:szCs w:val="16"/>
            </w:rPr>
            <w:fldChar w:fldCharType="end"/>
          </w:r>
        </w:p>
      </w:tc>
      <w:tc>
        <w:tcPr>
          <w:tcW w:w="2220" w:type="pct"/>
          <w:shd w:val="clear" w:color="auto" w:fill="auto"/>
        </w:tcPr>
        <w:p w14:paraId="78373FA6" w14:textId="77777777" w:rsidR="00E01D8F" w:rsidRDefault="00E01D8F">
          <w:pPr>
            <w:pStyle w:val="Footer"/>
            <w:jc w:val="right"/>
            <w:rPr>
              <w:rFonts w:cs="Arial"/>
              <w:sz w:val="16"/>
              <w:szCs w:val="16"/>
            </w:rPr>
          </w:pPr>
          <w:r>
            <w:rPr>
              <w:rFonts w:cs="Arial"/>
              <w:sz w:val="16"/>
              <w:szCs w:val="16"/>
            </w:rPr>
            <w:fldChar w:fldCharType="begin"/>
          </w:r>
          <w:r>
            <w:rPr>
              <w:rFonts w:cs="Arial"/>
              <w:sz w:val="16"/>
              <w:szCs w:val="16"/>
            </w:rPr>
            <w:instrText xml:space="preserve"> DOCPROPERTY  DocDate  \* MERGEFORMAT </w:instrText>
          </w:r>
          <w:r>
            <w:rPr>
              <w:rFonts w:cs="Arial"/>
              <w:sz w:val="16"/>
              <w:szCs w:val="16"/>
            </w:rPr>
            <w:fldChar w:fldCharType="separate"/>
          </w:r>
          <w:r>
            <w:rPr>
              <w:rFonts w:cs="Arial"/>
              <w:sz w:val="16"/>
              <w:szCs w:val="16"/>
            </w:rPr>
            <w:t xml:space="preserve">11 July 2018 </w:t>
          </w:r>
          <w:r>
            <w:rPr>
              <w:rFonts w:cs="Arial"/>
              <w:sz w:val="16"/>
              <w:szCs w:val="16"/>
            </w:rPr>
            <w:fldChar w:fldCharType="end"/>
          </w:r>
        </w:p>
        <w:p w14:paraId="7A91CC6C" w14:textId="77777777" w:rsidR="00E01D8F" w:rsidRDefault="00E01D8F">
          <w:pPr>
            <w:pStyle w:val="Footer"/>
            <w:jc w:val="right"/>
            <w:rPr>
              <w:rFonts w:cs="Arial"/>
              <w:sz w:val="16"/>
              <w:szCs w:val="16"/>
            </w:rPr>
          </w:pPr>
        </w:p>
      </w:tc>
    </w:tr>
  </w:tbl>
  <w:p w14:paraId="5C11ED17" w14:textId="77777777" w:rsidR="00E01D8F" w:rsidRDefault="00E01D8F">
    <w:pPr>
      <w:pStyle w:val="Footer"/>
      <w:rPr>
        <w:rFonts w:ascii="Arial Narrow" w:hAnsi="Arial Narrow" w:cs="Arial"/>
        <w:color w:val="808080"/>
        <w:sz w:val="8"/>
        <w:szCs w:val="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92E14F" w14:textId="77777777" w:rsidR="00E01D8F" w:rsidRDefault="00E01D8F">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3"/>
      <w:gridCol w:w="6721"/>
    </w:tblGrid>
    <w:tr w:rsidR="00E01D8F" w14:paraId="3FEEAB11" w14:textId="77777777">
      <w:trPr>
        <w:jc w:val="center"/>
      </w:trPr>
      <w:tc>
        <w:tcPr>
          <w:tcW w:w="2224" w:type="pct"/>
          <w:shd w:val="clear" w:color="auto" w:fill="auto"/>
        </w:tcPr>
        <w:p w14:paraId="19DA5B69" w14:textId="77777777" w:rsidR="00E01D8F" w:rsidRDefault="00E01D8F">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Pr>
              <w:rFonts w:cs="Arial"/>
              <w:sz w:val="16"/>
              <w:szCs w:val="16"/>
            </w:rPr>
            <w:t xml:space="preserve">Optus Digital Mobile Service - Standard Pricing Table -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Pr>
              <w:rFonts w:cs="Arial"/>
              <w:sz w:val="16"/>
              <w:szCs w:val="16"/>
            </w:rPr>
            <w:t>Section 5 - Special Offer Pricing plans (SMB)</w:t>
          </w:r>
          <w:r>
            <w:rPr>
              <w:rFonts w:cs="Arial"/>
              <w:sz w:val="16"/>
              <w:szCs w:val="16"/>
            </w:rPr>
            <w:fldChar w:fldCharType="end"/>
          </w:r>
        </w:p>
      </w:tc>
      <w:tc>
        <w:tcPr>
          <w:tcW w:w="556" w:type="pct"/>
          <w:shd w:val="clear" w:color="auto" w:fill="auto"/>
        </w:tcPr>
        <w:p w14:paraId="68F17819" w14:textId="77777777" w:rsidR="00E01D8F" w:rsidRDefault="00E01D8F">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43</w:t>
          </w:r>
          <w:r>
            <w:rPr>
              <w:rStyle w:val="PageNumber"/>
              <w:rFonts w:ascii="Arial" w:hAnsi="Arial" w:cs="Arial"/>
              <w:sz w:val="16"/>
              <w:szCs w:val="16"/>
            </w:rPr>
            <w:fldChar w:fldCharType="end"/>
          </w:r>
        </w:p>
      </w:tc>
      <w:tc>
        <w:tcPr>
          <w:tcW w:w="2220" w:type="pct"/>
          <w:shd w:val="clear" w:color="auto" w:fill="auto"/>
        </w:tcPr>
        <w:p w14:paraId="129956B0" w14:textId="77777777" w:rsidR="00E01D8F" w:rsidRDefault="00E01D8F">
          <w:pPr>
            <w:pStyle w:val="Footer"/>
            <w:jc w:val="right"/>
            <w:rPr>
              <w:rFonts w:cs="Arial"/>
              <w:sz w:val="16"/>
              <w:szCs w:val="16"/>
            </w:rPr>
          </w:pPr>
          <w:r>
            <w:rPr>
              <w:rFonts w:cs="Arial"/>
              <w:sz w:val="16"/>
              <w:szCs w:val="16"/>
            </w:rPr>
            <w:fldChar w:fldCharType="begin"/>
          </w:r>
          <w:r>
            <w:rPr>
              <w:rFonts w:cs="Arial"/>
              <w:sz w:val="16"/>
              <w:szCs w:val="16"/>
            </w:rPr>
            <w:instrText xml:space="preserve"> DOCPROPERTY  DocDate  \* MERGEFORMAT </w:instrText>
          </w:r>
          <w:r>
            <w:rPr>
              <w:rFonts w:cs="Arial"/>
              <w:sz w:val="16"/>
              <w:szCs w:val="16"/>
            </w:rPr>
            <w:fldChar w:fldCharType="separate"/>
          </w:r>
          <w:r>
            <w:rPr>
              <w:rFonts w:cs="Arial"/>
              <w:sz w:val="16"/>
              <w:szCs w:val="16"/>
            </w:rPr>
            <w:t xml:space="preserve">11 July 2018 </w:t>
          </w:r>
          <w:r>
            <w:rPr>
              <w:rFonts w:cs="Arial"/>
              <w:sz w:val="16"/>
              <w:szCs w:val="16"/>
            </w:rPr>
            <w:fldChar w:fldCharType="end"/>
          </w:r>
        </w:p>
        <w:p w14:paraId="1F9F5E3A" w14:textId="77777777" w:rsidR="00E01D8F" w:rsidRDefault="00E01D8F">
          <w:pPr>
            <w:pStyle w:val="Footer"/>
            <w:jc w:val="right"/>
            <w:rPr>
              <w:rFonts w:cs="Arial"/>
              <w:sz w:val="16"/>
              <w:szCs w:val="16"/>
            </w:rPr>
          </w:pPr>
        </w:p>
      </w:tc>
    </w:tr>
  </w:tbl>
  <w:p w14:paraId="42257667" w14:textId="77777777" w:rsidR="00E01D8F" w:rsidRDefault="00E01D8F">
    <w:pPr>
      <w:pStyle w:val="Footer"/>
      <w:rPr>
        <w:rFonts w:ascii="Arial Narrow" w:hAnsi="Arial Narrow" w:cs="Arial"/>
        <w:color w:val="808080"/>
        <w:sz w:val="8"/>
        <w:szCs w:val="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D5E785" w14:textId="77777777" w:rsidR="00E01D8F" w:rsidRDefault="00E01D8F">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6"/>
      <w:gridCol w:w="1134"/>
      <w:gridCol w:w="4528"/>
    </w:tblGrid>
    <w:tr w:rsidR="00E01D8F" w14:paraId="64BA16CC" w14:textId="77777777">
      <w:trPr>
        <w:jc w:val="center"/>
      </w:trPr>
      <w:tc>
        <w:tcPr>
          <w:tcW w:w="2224" w:type="pct"/>
          <w:shd w:val="clear" w:color="auto" w:fill="auto"/>
        </w:tcPr>
        <w:p w14:paraId="541F9AE1" w14:textId="77777777" w:rsidR="00E01D8F" w:rsidRDefault="00E01D8F">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Pr>
              <w:rFonts w:cs="Arial"/>
              <w:sz w:val="16"/>
              <w:szCs w:val="16"/>
            </w:rPr>
            <w:t xml:space="preserve">Optus Digital Mobile Service - Standard Pricing Table -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Pr>
              <w:rFonts w:cs="Arial"/>
              <w:sz w:val="16"/>
              <w:szCs w:val="16"/>
            </w:rPr>
            <w:t>Section 5 - Special Offer Pricing plans (SMB)</w:t>
          </w:r>
          <w:r>
            <w:rPr>
              <w:rFonts w:cs="Arial"/>
              <w:sz w:val="16"/>
              <w:szCs w:val="16"/>
            </w:rPr>
            <w:fldChar w:fldCharType="end"/>
          </w:r>
        </w:p>
      </w:tc>
      <w:tc>
        <w:tcPr>
          <w:tcW w:w="556" w:type="pct"/>
          <w:shd w:val="clear" w:color="auto" w:fill="auto"/>
        </w:tcPr>
        <w:p w14:paraId="5B85811A" w14:textId="77777777" w:rsidR="00E01D8F" w:rsidRDefault="00E01D8F">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57</w:t>
          </w:r>
          <w:r>
            <w:rPr>
              <w:rStyle w:val="PageNumber"/>
              <w:rFonts w:ascii="Arial" w:hAnsi="Arial" w:cs="Arial"/>
              <w:sz w:val="16"/>
              <w:szCs w:val="16"/>
            </w:rPr>
            <w:fldChar w:fldCharType="end"/>
          </w:r>
        </w:p>
      </w:tc>
      <w:tc>
        <w:tcPr>
          <w:tcW w:w="2220" w:type="pct"/>
          <w:shd w:val="clear" w:color="auto" w:fill="auto"/>
        </w:tcPr>
        <w:p w14:paraId="2BB6BAB5" w14:textId="77777777" w:rsidR="00E01D8F" w:rsidRDefault="00E01D8F">
          <w:pPr>
            <w:pStyle w:val="Footer"/>
            <w:jc w:val="right"/>
            <w:rPr>
              <w:rFonts w:cs="Arial"/>
              <w:sz w:val="16"/>
              <w:szCs w:val="16"/>
            </w:rPr>
          </w:pPr>
          <w:r>
            <w:rPr>
              <w:rFonts w:cs="Arial"/>
              <w:sz w:val="16"/>
              <w:szCs w:val="16"/>
            </w:rPr>
            <w:fldChar w:fldCharType="begin"/>
          </w:r>
          <w:r>
            <w:rPr>
              <w:rFonts w:cs="Arial"/>
              <w:sz w:val="16"/>
              <w:szCs w:val="16"/>
            </w:rPr>
            <w:instrText xml:space="preserve"> DOCPROPERTY  DocDate  \* MERGEFORMAT </w:instrText>
          </w:r>
          <w:r>
            <w:rPr>
              <w:rFonts w:cs="Arial"/>
              <w:sz w:val="16"/>
              <w:szCs w:val="16"/>
            </w:rPr>
            <w:fldChar w:fldCharType="separate"/>
          </w:r>
          <w:r>
            <w:rPr>
              <w:rFonts w:cs="Arial"/>
              <w:sz w:val="16"/>
              <w:szCs w:val="16"/>
            </w:rPr>
            <w:t xml:space="preserve">11 July 2018 </w:t>
          </w:r>
          <w:r>
            <w:rPr>
              <w:rFonts w:cs="Arial"/>
              <w:sz w:val="16"/>
              <w:szCs w:val="16"/>
            </w:rPr>
            <w:fldChar w:fldCharType="end"/>
          </w:r>
        </w:p>
        <w:p w14:paraId="1C2579B0" w14:textId="77777777" w:rsidR="00E01D8F" w:rsidRDefault="00E01D8F">
          <w:pPr>
            <w:pStyle w:val="Footer"/>
            <w:jc w:val="right"/>
            <w:rPr>
              <w:rFonts w:cs="Arial"/>
              <w:sz w:val="16"/>
              <w:szCs w:val="16"/>
            </w:rPr>
          </w:pPr>
        </w:p>
      </w:tc>
    </w:tr>
  </w:tbl>
  <w:p w14:paraId="52098359" w14:textId="77777777" w:rsidR="00E01D8F" w:rsidRDefault="00E01D8F">
    <w:pPr>
      <w:pStyle w:val="Footer"/>
      <w:rPr>
        <w:rFonts w:ascii="Arial Narrow" w:hAnsi="Arial Narrow" w:cs="Arial"/>
        <w:color w:val="808080"/>
        <w:sz w:val="8"/>
        <w:szCs w:val="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8D4557" w14:textId="77777777" w:rsidR="00E01D8F" w:rsidRDefault="00E01D8F">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3"/>
      <w:gridCol w:w="6721"/>
    </w:tblGrid>
    <w:tr w:rsidR="00E01D8F" w14:paraId="558D741D" w14:textId="77777777">
      <w:trPr>
        <w:jc w:val="center"/>
      </w:trPr>
      <w:tc>
        <w:tcPr>
          <w:tcW w:w="2224" w:type="pct"/>
          <w:shd w:val="clear" w:color="auto" w:fill="auto"/>
        </w:tcPr>
        <w:p w14:paraId="46A9D845" w14:textId="77777777" w:rsidR="00E01D8F" w:rsidRDefault="00E01D8F">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Pr>
              <w:rFonts w:cs="Arial"/>
              <w:sz w:val="16"/>
              <w:szCs w:val="16"/>
            </w:rPr>
            <w:t xml:space="preserve">Optus Digital Mobile Service - Standard Pricing Table -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Pr>
              <w:rFonts w:cs="Arial"/>
              <w:sz w:val="16"/>
              <w:szCs w:val="16"/>
            </w:rPr>
            <w:t>Section 5 - Special Offer Pricing plans (SMB)</w:t>
          </w:r>
          <w:r>
            <w:rPr>
              <w:rFonts w:cs="Arial"/>
              <w:sz w:val="16"/>
              <w:szCs w:val="16"/>
            </w:rPr>
            <w:fldChar w:fldCharType="end"/>
          </w:r>
        </w:p>
      </w:tc>
      <w:tc>
        <w:tcPr>
          <w:tcW w:w="556" w:type="pct"/>
          <w:shd w:val="clear" w:color="auto" w:fill="auto"/>
        </w:tcPr>
        <w:p w14:paraId="7CDABBB6" w14:textId="77777777" w:rsidR="00E01D8F" w:rsidRDefault="00E01D8F">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58</w:t>
          </w:r>
          <w:r>
            <w:rPr>
              <w:rStyle w:val="PageNumber"/>
              <w:rFonts w:ascii="Arial" w:hAnsi="Arial" w:cs="Arial"/>
              <w:sz w:val="16"/>
              <w:szCs w:val="16"/>
            </w:rPr>
            <w:fldChar w:fldCharType="end"/>
          </w:r>
        </w:p>
      </w:tc>
      <w:tc>
        <w:tcPr>
          <w:tcW w:w="2220" w:type="pct"/>
          <w:shd w:val="clear" w:color="auto" w:fill="auto"/>
        </w:tcPr>
        <w:p w14:paraId="6E6028F4" w14:textId="77777777" w:rsidR="00E01D8F" w:rsidRDefault="00E01D8F">
          <w:pPr>
            <w:pStyle w:val="Footer"/>
            <w:jc w:val="right"/>
            <w:rPr>
              <w:rFonts w:cs="Arial"/>
              <w:sz w:val="16"/>
              <w:szCs w:val="16"/>
            </w:rPr>
          </w:pPr>
          <w:r>
            <w:rPr>
              <w:rFonts w:cs="Arial"/>
              <w:sz w:val="16"/>
              <w:szCs w:val="16"/>
            </w:rPr>
            <w:fldChar w:fldCharType="begin"/>
          </w:r>
          <w:r>
            <w:rPr>
              <w:rFonts w:cs="Arial"/>
              <w:sz w:val="16"/>
              <w:szCs w:val="16"/>
            </w:rPr>
            <w:instrText xml:space="preserve"> DOCPROPERTY  DocDate  \* MERGEFORMAT </w:instrText>
          </w:r>
          <w:r>
            <w:rPr>
              <w:rFonts w:cs="Arial"/>
              <w:sz w:val="16"/>
              <w:szCs w:val="16"/>
            </w:rPr>
            <w:fldChar w:fldCharType="separate"/>
          </w:r>
          <w:r>
            <w:rPr>
              <w:rFonts w:cs="Arial"/>
              <w:sz w:val="16"/>
              <w:szCs w:val="16"/>
            </w:rPr>
            <w:t xml:space="preserve">11 July 2018 </w:t>
          </w:r>
          <w:r>
            <w:rPr>
              <w:rFonts w:cs="Arial"/>
              <w:sz w:val="16"/>
              <w:szCs w:val="16"/>
            </w:rPr>
            <w:fldChar w:fldCharType="end"/>
          </w:r>
        </w:p>
        <w:p w14:paraId="7A1011F2" w14:textId="77777777" w:rsidR="00E01D8F" w:rsidRDefault="00E01D8F">
          <w:pPr>
            <w:pStyle w:val="Footer"/>
            <w:jc w:val="right"/>
            <w:rPr>
              <w:rFonts w:cs="Arial"/>
              <w:sz w:val="16"/>
              <w:szCs w:val="16"/>
            </w:rPr>
          </w:pPr>
        </w:p>
      </w:tc>
    </w:tr>
  </w:tbl>
  <w:p w14:paraId="2EAC5879" w14:textId="77777777" w:rsidR="00E01D8F" w:rsidRDefault="00E01D8F">
    <w:pPr>
      <w:pStyle w:val="Footer"/>
      <w:rPr>
        <w:rFonts w:ascii="Arial Narrow" w:hAnsi="Arial Narrow" w:cs="Arial"/>
        <w:color w:val="808080"/>
        <w:sz w:val="8"/>
        <w:szCs w:val="8"/>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FD5BD2" w14:textId="77777777" w:rsidR="00E01D8F" w:rsidRDefault="00E01D8F">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6"/>
      <w:gridCol w:w="1134"/>
      <w:gridCol w:w="4528"/>
    </w:tblGrid>
    <w:tr w:rsidR="00E01D8F" w14:paraId="35771444" w14:textId="77777777">
      <w:trPr>
        <w:jc w:val="center"/>
      </w:trPr>
      <w:tc>
        <w:tcPr>
          <w:tcW w:w="2224" w:type="pct"/>
          <w:shd w:val="clear" w:color="auto" w:fill="auto"/>
        </w:tcPr>
        <w:p w14:paraId="10B83706" w14:textId="77777777" w:rsidR="00E01D8F" w:rsidRDefault="00E01D8F">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Pr>
              <w:rFonts w:cs="Arial"/>
              <w:sz w:val="16"/>
              <w:szCs w:val="16"/>
            </w:rPr>
            <w:t xml:space="preserve">Optus Digital Mobile Service - Standard Pricing Table -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Pr>
              <w:rFonts w:cs="Arial"/>
              <w:sz w:val="16"/>
              <w:szCs w:val="16"/>
            </w:rPr>
            <w:t>Section 5 - Special Offer Pricing plans (SMB)</w:t>
          </w:r>
          <w:r>
            <w:rPr>
              <w:rFonts w:cs="Arial"/>
              <w:sz w:val="16"/>
              <w:szCs w:val="16"/>
            </w:rPr>
            <w:fldChar w:fldCharType="end"/>
          </w:r>
        </w:p>
      </w:tc>
      <w:tc>
        <w:tcPr>
          <w:tcW w:w="556" w:type="pct"/>
          <w:shd w:val="clear" w:color="auto" w:fill="auto"/>
        </w:tcPr>
        <w:p w14:paraId="06238958" w14:textId="77777777" w:rsidR="00E01D8F" w:rsidRDefault="00E01D8F">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60</w:t>
          </w:r>
          <w:r>
            <w:rPr>
              <w:rStyle w:val="PageNumber"/>
              <w:rFonts w:ascii="Arial" w:hAnsi="Arial" w:cs="Arial"/>
              <w:sz w:val="16"/>
              <w:szCs w:val="16"/>
            </w:rPr>
            <w:fldChar w:fldCharType="end"/>
          </w:r>
        </w:p>
      </w:tc>
      <w:tc>
        <w:tcPr>
          <w:tcW w:w="2220" w:type="pct"/>
          <w:shd w:val="clear" w:color="auto" w:fill="auto"/>
        </w:tcPr>
        <w:p w14:paraId="1C58B63C" w14:textId="77777777" w:rsidR="00E01D8F" w:rsidRDefault="00E01D8F">
          <w:pPr>
            <w:pStyle w:val="Footer"/>
            <w:jc w:val="right"/>
            <w:rPr>
              <w:rFonts w:cs="Arial"/>
              <w:sz w:val="16"/>
              <w:szCs w:val="16"/>
            </w:rPr>
          </w:pPr>
          <w:r>
            <w:rPr>
              <w:rFonts w:cs="Arial"/>
              <w:sz w:val="16"/>
              <w:szCs w:val="16"/>
            </w:rPr>
            <w:fldChar w:fldCharType="begin"/>
          </w:r>
          <w:r>
            <w:rPr>
              <w:rFonts w:cs="Arial"/>
              <w:sz w:val="16"/>
              <w:szCs w:val="16"/>
            </w:rPr>
            <w:instrText xml:space="preserve"> DOCPROPERTY  DocDate  \* MERGEFORMAT </w:instrText>
          </w:r>
          <w:r>
            <w:rPr>
              <w:rFonts w:cs="Arial"/>
              <w:sz w:val="16"/>
              <w:szCs w:val="16"/>
            </w:rPr>
            <w:fldChar w:fldCharType="separate"/>
          </w:r>
          <w:r>
            <w:rPr>
              <w:rFonts w:cs="Arial"/>
              <w:sz w:val="16"/>
              <w:szCs w:val="16"/>
            </w:rPr>
            <w:t xml:space="preserve">11 July 2018 </w:t>
          </w:r>
          <w:r>
            <w:rPr>
              <w:rFonts w:cs="Arial"/>
              <w:sz w:val="16"/>
              <w:szCs w:val="16"/>
            </w:rPr>
            <w:fldChar w:fldCharType="end"/>
          </w:r>
        </w:p>
        <w:p w14:paraId="1253D74B" w14:textId="77777777" w:rsidR="00E01D8F" w:rsidRDefault="00E01D8F">
          <w:pPr>
            <w:pStyle w:val="Footer"/>
            <w:jc w:val="right"/>
            <w:rPr>
              <w:rFonts w:cs="Arial"/>
              <w:sz w:val="16"/>
              <w:szCs w:val="16"/>
            </w:rPr>
          </w:pPr>
        </w:p>
      </w:tc>
    </w:tr>
  </w:tbl>
  <w:p w14:paraId="34513B23" w14:textId="77777777" w:rsidR="00E01D8F" w:rsidRDefault="00E01D8F">
    <w:pPr>
      <w:pStyle w:val="Footer"/>
      <w:rPr>
        <w:rFonts w:ascii="Arial Narrow" w:hAnsi="Arial Narrow" w:cs="Arial"/>
        <w:color w:val="808080"/>
        <w:sz w:val="8"/>
        <w:szCs w:val="8"/>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CD3BE3" w14:textId="77777777" w:rsidR="00E01D8F" w:rsidRDefault="00E01D8F">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3"/>
      <w:gridCol w:w="6721"/>
    </w:tblGrid>
    <w:tr w:rsidR="00E01D8F" w14:paraId="5CA9E38B" w14:textId="77777777">
      <w:trPr>
        <w:jc w:val="center"/>
      </w:trPr>
      <w:tc>
        <w:tcPr>
          <w:tcW w:w="2224" w:type="pct"/>
          <w:shd w:val="clear" w:color="auto" w:fill="auto"/>
        </w:tcPr>
        <w:p w14:paraId="537F70AB" w14:textId="77777777" w:rsidR="00E01D8F" w:rsidRDefault="00E01D8F">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Pr>
              <w:rFonts w:cs="Arial"/>
              <w:sz w:val="16"/>
              <w:szCs w:val="16"/>
            </w:rPr>
            <w:t xml:space="preserve">Optus Digital Mobile Service - Standard Pricing Table -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Pr>
              <w:rFonts w:cs="Arial"/>
              <w:sz w:val="16"/>
              <w:szCs w:val="16"/>
            </w:rPr>
            <w:t>Section 5 - Special Offer Pricing plans (SMB)</w:t>
          </w:r>
          <w:r>
            <w:rPr>
              <w:rFonts w:cs="Arial"/>
              <w:sz w:val="16"/>
              <w:szCs w:val="16"/>
            </w:rPr>
            <w:fldChar w:fldCharType="end"/>
          </w:r>
        </w:p>
      </w:tc>
      <w:tc>
        <w:tcPr>
          <w:tcW w:w="556" w:type="pct"/>
          <w:shd w:val="clear" w:color="auto" w:fill="auto"/>
        </w:tcPr>
        <w:p w14:paraId="5B123DF7" w14:textId="77777777" w:rsidR="00E01D8F" w:rsidRDefault="00E01D8F">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65</w:t>
          </w:r>
          <w:r>
            <w:rPr>
              <w:rStyle w:val="PageNumber"/>
              <w:rFonts w:ascii="Arial" w:hAnsi="Arial" w:cs="Arial"/>
              <w:sz w:val="16"/>
              <w:szCs w:val="16"/>
            </w:rPr>
            <w:fldChar w:fldCharType="end"/>
          </w:r>
        </w:p>
      </w:tc>
      <w:tc>
        <w:tcPr>
          <w:tcW w:w="2220" w:type="pct"/>
          <w:shd w:val="clear" w:color="auto" w:fill="auto"/>
        </w:tcPr>
        <w:p w14:paraId="65E01182" w14:textId="77777777" w:rsidR="00E01D8F" w:rsidRDefault="00E01D8F">
          <w:pPr>
            <w:pStyle w:val="Footer"/>
            <w:jc w:val="right"/>
            <w:rPr>
              <w:rFonts w:cs="Arial"/>
              <w:sz w:val="16"/>
              <w:szCs w:val="16"/>
            </w:rPr>
          </w:pPr>
          <w:r>
            <w:rPr>
              <w:rFonts w:cs="Arial"/>
              <w:sz w:val="16"/>
              <w:szCs w:val="16"/>
            </w:rPr>
            <w:fldChar w:fldCharType="begin"/>
          </w:r>
          <w:r>
            <w:rPr>
              <w:rFonts w:cs="Arial"/>
              <w:sz w:val="16"/>
              <w:szCs w:val="16"/>
            </w:rPr>
            <w:instrText xml:space="preserve"> DOCPROPERTY  DocDate  \* MERGEFORMAT </w:instrText>
          </w:r>
          <w:r>
            <w:rPr>
              <w:rFonts w:cs="Arial"/>
              <w:sz w:val="16"/>
              <w:szCs w:val="16"/>
            </w:rPr>
            <w:fldChar w:fldCharType="separate"/>
          </w:r>
          <w:r>
            <w:rPr>
              <w:rFonts w:cs="Arial"/>
              <w:sz w:val="16"/>
              <w:szCs w:val="16"/>
            </w:rPr>
            <w:t xml:space="preserve">11 July 2018 </w:t>
          </w:r>
          <w:r>
            <w:rPr>
              <w:rFonts w:cs="Arial"/>
              <w:sz w:val="16"/>
              <w:szCs w:val="16"/>
            </w:rPr>
            <w:fldChar w:fldCharType="end"/>
          </w:r>
        </w:p>
        <w:p w14:paraId="600C8DD4" w14:textId="77777777" w:rsidR="00E01D8F" w:rsidRDefault="00E01D8F">
          <w:pPr>
            <w:pStyle w:val="Footer"/>
            <w:jc w:val="right"/>
            <w:rPr>
              <w:rFonts w:cs="Arial"/>
              <w:sz w:val="16"/>
              <w:szCs w:val="16"/>
            </w:rPr>
          </w:pPr>
        </w:p>
      </w:tc>
    </w:tr>
  </w:tbl>
  <w:p w14:paraId="7C8B2A0D" w14:textId="77777777" w:rsidR="00E01D8F" w:rsidRDefault="00E01D8F">
    <w:pPr>
      <w:pStyle w:val="Footer"/>
      <w:rPr>
        <w:rFonts w:ascii="Arial Narrow" w:hAnsi="Arial Narrow" w:cs="Arial"/>
        <w:color w:val="808080"/>
        <w:sz w:val="8"/>
        <w:szCs w:val="8"/>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D239E3" w14:textId="77777777" w:rsidR="00E01D8F" w:rsidRDefault="00E01D8F">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6"/>
      <w:gridCol w:w="1134"/>
      <w:gridCol w:w="4528"/>
    </w:tblGrid>
    <w:tr w:rsidR="00E01D8F" w14:paraId="0ECFAA97" w14:textId="77777777">
      <w:trPr>
        <w:jc w:val="center"/>
      </w:trPr>
      <w:tc>
        <w:tcPr>
          <w:tcW w:w="2224" w:type="pct"/>
          <w:shd w:val="clear" w:color="auto" w:fill="auto"/>
        </w:tcPr>
        <w:p w14:paraId="66039A0C" w14:textId="77777777" w:rsidR="00E01D8F" w:rsidRDefault="00E01D8F">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Pr>
              <w:rFonts w:cs="Arial"/>
              <w:sz w:val="16"/>
              <w:szCs w:val="16"/>
            </w:rPr>
            <w:t xml:space="preserve">Optus Digital Mobile Service - Standard Pricing Table -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Pr>
              <w:rFonts w:cs="Arial"/>
              <w:sz w:val="16"/>
              <w:szCs w:val="16"/>
            </w:rPr>
            <w:t>Section 5 - Special Offer Pricing plans (SMB)</w:t>
          </w:r>
          <w:r>
            <w:rPr>
              <w:rFonts w:cs="Arial"/>
              <w:sz w:val="16"/>
              <w:szCs w:val="16"/>
            </w:rPr>
            <w:fldChar w:fldCharType="end"/>
          </w:r>
        </w:p>
      </w:tc>
      <w:tc>
        <w:tcPr>
          <w:tcW w:w="556" w:type="pct"/>
          <w:shd w:val="clear" w:color="auto" w:fill="auto"/>
        </w:tcPr>
        <w:p w14:paraId="33399D5F" w14:textId="77777777" w:rsidR="00E01D8F" w:rsidRDefault="00E01D8F">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73</w:t>
          </w:r>
          <w:r>
            <w:rPr>
              <w:rStyle w:val="PageNumber"/>
              <w:rFonts w:ascii="Arial" w:hAnsi="Arial" w:cs="Arial"/>
              <w:sz w:val="16"/>
              <w:szCs w:val="16"/>
            </w:rPr>
            <w:fldChar w:fldCharType="end"/>
          </w:r>
        </w:p>
      </w:tc>
      <w:tc>
        <w:tcPr>
          <w:tcW w:w="2220" w:type="pct"/>
          <w:shd w:val="clear" w:color="auto" w:fill="auto"/>
        </w:tcPr>
        <w:p w14:paraId="44570547" w14:textId="77777777" w:rsidR="00E01D8F" w:rsidRDefault="00E01D8F">
          <w:pPr>
            <w:pStyle w:val="Footer"/>
            <w:jc w:val="right"/>
            <w:rPr>
              <w:rFonts w:cs="Arial"/>
              <w:sz w:val="16"/>
              <w:szCs w:val="16"/>
            </w:rPr>
          </w:pPr>
          <w:r>
            <w:rPr>
              <w:rFonts w:cs="Arial"/>
              <w:sz w:val="16"/>
              <w:szCs w:val="16"/>
            </w:rPr>
            <w:fldChar w:fldCharType="begin"/>
          </w:r>
          <w:r>
            <w:rPr>
              <w:rFonts w:cs="Arial"/>
              <w:sz w:val="16"/>
              <w:szCs w:val="16"/>
            </w:rPr>
            <w:instrText xml:space="preserve"> DOCPROPERTY  DocDate  \* MERGEFORMAT </w:instrText>
          </w:r>
          <w:r>
            <w:rPr>
              <w:rFonts w:cs="Arial"/>
              <w:sz w:val="16"/>
              <w:szCs w:val="16"/>
            </w:rPr>
            <w:fldChar w:fldCharType="separate"/>
          </w:r>
          <w:r>
            <w:rPr>
              <w:rFonts w:cs="Arial"/>
              <w:sz w:val="16"/>
              <w:szCs w:val="16"/>
            </w:rPr>
            <w:t xml:space="preserve">11 July 2018 </w:t>
          </w:r>
          <w:r>
            <w:rPr>
              <w:rFonts w:cs="Arial"/>
              <w:sz w:val="16"/>
              <w:szCs w:val="16"/>
            </w:rPr>
            <w:fldChar w:fldCharType="end"/>
          </w:r>
        </w:p>
        <w:p w14:paraId="59723E5F" w14:textId="77777777" w:rsidR="00E01D8F" w:rsidRDefault="00E01D8F">
          <w:pPr>
            <w:pStyle w:val="Footer"/>
            <w:jc w:val="right"/>
            <w:rPr>
              <w:rFonts w:cs="Arial"/>
              <w:sz w:val="16"/>
              <w:szCs w:val="16"/>
            </w:rPr>
          </w:pPr>
        </w:p>
      </w:tc>
    </w:tr>
  </w:tbl>
  <w:p w14:paraId="4FD021CB" w14:textId="77777777" w:rsidR="00E01D8F" w:rsidRDefault="00E01D8F">
    <w:pPr>
      <w:pStyle w:val="Footer"/>
      <w:rPr>
        <w:rFonts w:ascii="Arial Narrow" w:hAnsi="Arial Narrow" w:cs="Arial"/>
        <w:color w:val="808080"/>
        <w:sz w:val="8"/>
        <w:szCs w:val="8"/>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06455A" w14:textId="77777777" w:rsidR="00E01D8F" w:rsidRDefault="00E01D8F">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3"/>
      <w:gridCol w:w="6721"/>
    </w:tblGrid>
    <w:tr w:rsidR="00E01D8F" w14:paraId="1521AB44" w14:textId="77777777">
      <w:trPr>
        <w:jc w:val="center"/>
      </w:trPr>
      <w:tc>
        <w:tcPr>
          <w:tcW w:w="2224" w:type="pct"/>
          <w:shd w:val="clear" w:color="auto" w:fill="auto"/>
        </w:tcPr>
        <w:p w14:paraId="619F64D6" w14:textId="77777777" w:rsidR="00E01D8F" w:rsidRDefault="00E01D8F">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Pr>
              <w:rFonts w:cs="Arial"/>
              <w:sz w:val="16"/>
              <w:szCs w:val="16"/>
            </w:rPr>
            <w:t xml:space="preserve">Optus Digital Mobile Service - Standard Pricing Table -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Pr>
              <w:rFonts w:cs="Arial"/>
              <w:sz w:val="16"/>
              <w:szCs w:val="16"/>
            </w:rPr>
            <w:t>Section 5 - Special Offer Pricing plans (SMB)</w:t>
          </w:r>
          <w:r>
            <w:rPr>
              <w:rFonts w:cs="Arial"/>
              <w:sz w:val="16"/>
              <w:szCs w:val="16"/>
            </w:rPr>
            <w:fldChar w:fldCharType="end"/>
          </w:r>
        </w:p>
      </w:tc>
      <w:tc>
        <w:tcPr>
          <w:tcW w:w="556" w:type="pct"/>
          <w:shd w:val="clear" w:color="auto" w:fill="auto"/>
        </w:tcPr>
        <w:p w14:paraId="3AEC4919" w14:textId="77777777" w:rsidR="00E01D8F" w:rsidRDefault="00E01D8F">
          <w:pPr>
            <w:pStyle w:val="Footer"/>
            <w:jc w:val="center"/>
            <w:rPr>
              <w:rFonts w:cs="Arial"/>
              <w:sz w:val="16"/>
              <w:szCs w:val="16"/>
            </w:rPr>
          </w:pPr>
          <w:r>
            <w:rPr>
              <w:rStyle w:val="PageNumber"/>
              <w:rFonts w:cs="Arial"/>
              <w:sz w:val="16"/>
              <w:szCs w:val="16"/>
            </w:rPr>
            <w:fldChar w:fldCharType="begin"/>
          </w:r>
          <w:r>
            <w:rPr>
              <w:rStyle w:val="PageNumber"/>
              <w:rFonts w:cs="Arial"/>
              <w:sz w:val="16"/>
              <w:szCs w:val="16"/>
            </w:rPr>
            <w:instrText xml:space="preserve"> PAGE </w:instrText>
          </w:r>
          <w:r>
            <w:rPr>
              <w:rStyle w:val="PageNumber"/>
              <w:rFonts w:cs="Arial"/>
              <w:sz w:val="16"/>
              <w:szCs w:val="16"/>
            </w:rPr>
            <w:fldChar w:fldCharType="separate"/>
          </w:r>
          <w:r>
            <w:rPr>
              <w:rStyle w:val="PageNumber"/>
              <w:rFonts w:cs="Arial"/>
              <w:noProof/>
              <w:sz w:val="16"/>
              <w:szCs w:val="16"/>
            </w:rPr>
            <w:t>75</w:t>
          </w:r>
          <w:r>
            <w:rPr>
              <w:rStyle w:val="PageNumber"/>
              <w:rFonts w:cs="Arial"/>
              <w:sz w:val="16"/>
              <w:szCs w:val="16"/>
            </w:rPr>
            <w:fldChar w:fldCharType="end"/>
          </w:r>
        </w:p>
      </w:tc>
      <w:tc>
        <w:tcPr>
          <w:tcW w:w="2220" w:type="pct"/>
          <w:shd w:val="clear" w:color="auto" w:fill="auto"/>
        </w:tcPr>
        <w:p w14:paraId="15BD1861" w14:textId="77777777" w:rsidR="00E01D8F" w:rsidRDefault="00E01D8F">
          <w:pPr>
            <w:pStyle w:val="Footer"/>
            <w:jc w:val="right"/>
            <w:rPr>
              <w:rFonts w:cs="Arial"/>
              <w:sz w:val="16"/>
              <w:szCs w:val="16"/>
            </w:rPr>
          </w:pPr>
          <w:r>
            <w:rPr>
              <w:rFonts w:cs="Arial"/>
              <w:sz w:val="16"/>
              <w:szCs w:val="16"/>
            </w:rPr>
            <w:fldChar w:fldCharType="begin"/>
          </w:r>
          <w:r>
            <w:rPr>
              <w:rFonts w:cs="Arial"/>
              <w:sz w:val="16"/>
              <w:szCs w:val="16"/>
            </w:rPr>
            <w:instrText xml:space="preserve"> DOCPROPERTY  DocDate  \* MERGEFORMAT </w:instrText>
          </w:r>
          <w:r>
            <w:rPr>
              <w:rFonts w:cs="Arial"/>
              <w:sz w:val="16"/>
              <w:szCs w:val="16"/>
            </w:rPr>
            <w:fldChar w:fldCharType="separate"/>
          </w:r>
          <w:r>
            <w:rPr>
              <w:rFonts w:cs="Arial"/>
              <w:sz w:val="16"/>
              <w:szCs w:val="16"/>
            </w:rPr>
            <w:t xml:space="preserve">11 July 2018 </w:t>
          </w:r>
          <w:r>
            <w:rPr>
              <w:rFonts w:cs="Arial"/>
              <w:sz w:val="16"/>
              <w:szCs w:val="16"/>
            </w:rPr>
            <w:fldChar w:fldCharType="end"/>
          </w:r>
        </w:p>
        <w:p w14:paraId="125D01FB" w14:textId="77777777" w:rsidR="00E01D8F" w:rsidRDefault="00E01D8F">
          <w:pPr>
            <w:pStyle w:val="Footer"/>
            <w:jc w:val="right"/>
            <w:rPr>
              <w:rFonts w:cs="Arial"/>
              <w:sz w:val="16"/>
              <w:szCs w:val="16"/>
            </w:rPr>
          </w:pPr>
        </w:p>
      </w:tc>
    </w:tr>
  </w:tbl>
  <w:p w14:paraId="47B40234" w14:textId="77777777" w:rsidR="00E01D8F" w:rsidRDefault="00E01D8F">
    <w:pPr>
      <w:pStyle w:val="Footer"/>
      <w:rPr>
        <w:rFonts w:ascii="Arial Narrow" w:hAnsi="Arial Narrow" w:cs="Arial"/>
        <w:color w:val="808080"/>
        <w:sz w:val="8"/>
        <w:szCs w:val="8"/>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DAB578" w14:textId="77777777" w:rsidR="00E01D8F" w:rsidRDefault="00E01D8F">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6"/>
      <w:gridCol w:w="1134"/>
      <w:gridCol w:w="4528"/>
    </w:tblGrid>
    <w:tr w:rsidR="00E01D8F" w14:paraId="44BA4263" w14:textId="77777777">
      <w:trPr>
        <w:jc w:val="center"/>
      </w:trPr>
      <w:tc>
        <w:tcPr>
          <w:tcW w:w="2224" w:type="pct"/>
          <w:shd w:val="clear" w:color="auto" w:fill="auto"/>
        </w:tcPr>
        <w:p w14:paraId="4A70ADF6" w14:textId="77777777" w:rsidR="00E01D8F" w:rsidRDefault="00E01D8F">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Pr>
              <w:rFonts w:cs="Arial"/>
              <w:sz w:val="16"/>
              <w:szCs w:val="16"/>
            </w:rPr>
            <w:t xml:space="preserve">Optus Digital Mobile Service - Standard Pricing Table -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Pr>
              <w:rFonts w:cs="Arial"/>
              <w:sz w:val="16"/>
              <w:szCs w:val="16"/>
            </w:rPr>
            <w:t>Section 5 - Special Offer Pricing plans (SMB)</w:t>
          </w:r>
          <w:r>
            <w:rPr>
              <w:rFonts w:cs="Arial"/>
              <w:sz w:val="16"/>
              <w:szCs w:val="16"/>
            </w:rPr>
            <w:fldChar w:fldCharType="end"/>
          </w:r>
        </w:p>
      </w:tc>
      <w:tc>
        <w:tcPr>
          <w:tcW w:w="556" w:type="pct"/>
          <w:shd w:val="clear" w:color="auto" w:fill="auto"/>
        </w:tcPr>
        <w:p w14:paraId="5FCE8976" w14:textId="77777777" w:rsidR="00E01D8F" w:rsidRDefault="00E01D8F">
          <w:pPr>
            <w:pStyle w:val="Footer"/>
            <w:jc w:val="center"/>
            <w:rPr>
              <w:rFonts w:cs="Arial"/>
              <w:sz w:val="16"/>
              <w:szCs w:val="16"/>
            </w:rPr>
          </w:pPr>
          <w:r>
            <w:rPr>
              <w:rStyle w:val="PageNumber"/>
              <w:rFonts w:cs="Arial"/>
              <w:sz w:val="16"/>
              <w:szCs w:val="16"/>
            </w:rPr>
            <w:fldChar w:fldCharType="begin"/>
          </w:r>
          <w:r>
            <w:rPr>
              <w:rStyle w:val="PageNumber"/>
              <w:rFonts w:cs="Arial"/>
              <w:sz w:val="16"/>
              <w:szCs w:val="16"/>
            </w:rPr>
            <w:instrText xml:space="preserve"> PAGE </w:instrText>
          </w:r>
          <w:r>
            <w:rPr>
              <w:rStyle w:val="PageNumber"/>
              <w:rFonts w:cs="Arial"/>
              <w:sz w:val="16"/>
              <w:szCs w:val="16"/>
            </w:rPr>
            <w:fldChar w:fldCharType="separate"/>
          </w:r>
          <w:r>
            <w:rPr>
              <w:rStyle w:val="PageNumber"/>
              <w:rFonts w:cs="Arial"/>
              <w:noProof/>
              <w:sz w:val="16"/>
              <w:szCs w:val="16"/>
            </w:rPr>
            <w:t>80</w:t>
          </w:r>
          <w:r>
            <w:rPr>
              <w:rStyle w:val="PageNumber"/>
              <w:rFonts w:cs="Arial"/>
              <w:sz w:val="16"/>
              <w:szCs w:val="16"/>
            </w:rPr>
            <w:fldChar w:fldCharType="end"/>
          </w:r>
        </w:p>
      </w:tc>
      <w:tc>
        <w:tcPr>
          <w:tcW w:w="2220" w:type="pct"/>
          <w:shd w:val="clear" w:color="auto" w:fill="auto"/>
        </w:tcPr>
        <w:p w14:paraId="117C5E91" w14:textId="77777777" w:rsidR="00E01D8F" w:rsidRDefault="00E01D8F">
          <w:pPr>
            <w:pStyle w:val="Footer"/>
            <w:jc w:val="right"/>
            <w:rPr>
              <w:rFonts w:cs="Arial"/>
              <w:sz w:val="16"/>
              <w:szCs w:val="16"/>
            </w:rPr>
          </w:pPr>
          <w:r>
            <w:rPr>
              <w:rFonts w:cs="Arial"/>
              <w:sz w:val="16"/>
              <w:szCs w:val="16"/>
            </w:rPr>
            <w:fldChar w:fldCharType="begin"/>
          </w:r>
          <w:r>
            <w:rPr>
              <w:rFonts w:cs="Arial"/>
              <w:sz w:val="16"/>
              <w:szCs w:val="16"/>
            </w:rPr>
            <w:instrText xml:space="preserve"> DOCPROPERTY  DocDate  \* MERGEFORMAT </w:instrText>
          </w:r>
          <w:r>
            <w:rPr>
              <w:rFonts w:cs="Arial"/>
              <w:sz w:val="16"/>
              <w:szCs w:val="16"/>
            </w:rPr>
            <w:fldChar w:fldCharType="separate"/>
          </w:r>
          <w:r>
            <w:rPr>
              <w:rFonts w:cs="Arial"/>
              <w:sz w:val="16"/>
              <w:szCs w:val="16"/>
            </w:rPr>
            <w:t xml:space="preserve">11 July 2018 </w:t>
          </w:r>
          <w:r>
            <w:rPr>
              <w:rFonts w:cs="Arial"/>
              <w:sz w:val="16"/>
              <w:szCs w:val="16"/>
            </w:rPr>
            <w:fldChar w:fldCharType="end"/>
          </w:r>
        </w:p>
        <w:p w14:paraId="6B44AD53" w14:textId="77777777" w:rsidR="00E01D8F" w:rsidRDefault="00E01D8F">
          <w:pPr>
            <w:pStyle w:val="Footer"/>
            <w:jc w:val="right"/>
            <w:rPr>
              <w:rFonts w:cs="Arial"/>
              <w:sz w:val="16"/>
              <w:szCs w:val="16"/>
            </w:rPr>
          </w:pPr>
        </w:p>
      </w:tc>
    </w:tr>
  </w:tbl>
  <w:p w14:paraId="3891A5E9" w14:textId="77777777" w:rsidR="00E01D8F" w:rsidRDefault="00E01D8F">
    <w:pPr>
      <w:pStyle w:val="Footer"/>
      <w:rPr>
        <w:rFonts w:ascii="Arial Narrow" w:hAnsi="Arial Narrow" w:cs="Arial"/>
        <w:color w:val="808080"/>
        <w:sz w:val="8"/>
        <w:szCs w:val="8"/>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1AA44F" w14:textId="77777777" w:rsidR="00E01D8F" w:rsidRDefault="00E01D8F">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3"/>
      <w:gridCol w:w="6721"/>
    </w:tblGrid>
    <w:tr w:rsidR="00E01D8F" w14:paraId="05BF1DC9" w14:textId="77777777">
      <w:trPr>
        <w:jc w:val="center"/>
      </w:trPr>
      <w:tc>
        <w:tcPr>
          <w:tcW w:w="2224" w:type="pct"/>
          <w:shd w:val="clear" w:color="auto" w:fill="auto"/>
        </w:tcPr>
        <w:p w14:paraId="741E29DC" w14:textId="77777777" w:rsidR="00E01D8F" w:rsidRDefault="00E01D8F">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Pr>
              <w:rFonts w:cs="Arial"/>
              <w:sz w:val="16"/>
              <w:szCs w:val="16"/>
            </w:rPr>
            <w:t xml:space="preserve">Optus Digital Mobile Service - Standard Pricing Table -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Pr>
              <w:rFonts w:cs="Arial"/>
              <w:sz w:val="16"/>
              <w:szCs w:val="16"/>
            </w:rPr>
            <w:t>Section 5 - Special Offer Pricing plans (SMB)</w:t>
          </w:r>
          <w:r>
            <w:rPr>
              <w:rFonts w:cs="Arial"/>
              <w:sz w:val="16"/>
              <w:szCs w:val="16"/>
            </w:rPr>
            <w:fldChar w:fldCharType="end"/>
          </w:r>
        </w:p>
      </w:tc>
      <w:tc>
        <w:tcPr>
          <w:tcW w:w="556" w:type="pct"/>
          <w:shd w:val="clear" w:color="auto" w:fill="auto"/>
        </w:tcPr>
        <w:p w14:paraId="4438E1D8" w14:textId="77777777" w:rsidR="00E01D8F" w:rsidRDefault="00E01D8F">
          <w:pPr>
            <w:pStyle w:val="Footer"/>
            <w:jc w:val="center"/>
            <w:rPr>
              <w:rFonts w:cs="Arial"/>
              <w:sz w:val="16"/>
              <w:szCs w:val="16"/>
            </w:rPr>
          </w:pPr>
          <w:r>
            <w:rPr>
              <w:rStyle w:val="PageNumber"/>
              <w:rFonts w:cs="Arial"/>
              <w:sz w:val="16"/>
              <w:szCs w:val="16"/>
            </w:rPr>
            <w:fldChar w:fldCharType="begin"/>
          </w:r>
          <w:r>
            <w:rPr>
              <w:rStyle w:val="PageNumber"/>
              <w:rFonts w:cs="Arial"/>
              <w:sz w:val="16"/>
              <w:szCs w:val="16"/>
            </w:rPr>
            <w:instrText xml:space="preserve"> PAGE </w:instrText>
          </w:r>
          <w:r>
            <w:rPr>
              <w:rStyle w:val="PageNumber"/>
              <w:rFonts w:cs="Arial"/>
              <w:sz w:val="16"/>
              <w:szCs w:val="16"/>
            </w:rPr>
            <w:fldChar w:fldCharType="separate"/>
          </w:r>
          <w:r>
            <w:rPr>
              <w:rStyle w:val="PageNumber"/>
              <w:rFonts w:cs="Arial"/>
              <w:noProof/>
              <w:sz w:val="16"/>
              <w:szCs w:val="16"/>
            </w:rPr>
            <w:t>81</w:t>
          </w:r>
          <w:r>
            <w:rPr>
              <w:rStyle w:val="PageNumber"/>
              <w:rFonts w:cs="Arial"/>
              <w:sz w:val="16"/>
              <w:szCs w:val="16"/>
            </w:rPr>
            <w:fldChar w:fldCharType="end"/>
          </w:r>
        </w:p>
      </w:tc>
      <w:tc>
        <w:tcPr>
          <w:tcW w:w="2220" w:type="pct"/>
          <w:shd w:val="clear" w:color="auto" w:fill="auto"/>
        </w:tcPr>
        <w:p w14:paraId="553CFE4C" w14:textId="77777777" w:rsidR="00E01D8F" w:rsidRDefault="00E01D8F">
          <w:pPr>
            <w:pStyle w:val="Footer"/>
            <w:jc w:val="right"/>
            <w:rPr>
              <w:rFonts w:cs="Arial"/>
              <w:sz w:val="16"/>
              <w:szCs w:val="16"/>
            </w:rPr>
          </w:pPr>
          <w:r>
            <w:rPr>
              <w:rFonts w:cs="Arial"/>
              <w:sz w:val="16"/>
              <w:szCs w:val="16"/>
            </w:rPr>
            <w:fldChar w:fldCharType="begin"/>
          </w:r>
          <w:r>
            <w:rPr>
              <w:rFonts w:cs="Arial"/>
              <w:sz w:val="16"/>
              <w:szCs w:val="16"/>
            </w:rPr>
            <w:instrText xml:space="preserve"> DOCPROPERTY  DocDate  \* MERGEFORMAT </w:instrText>
          </w:r>
          <w:r>
            <w:rPr>
              <w:rFonts w:cs="Arial"/>
              <w:sz w:val="16"/>
              <w:szCs w:val="16"/>
            </w:rPr>
            <w:fldChar w:fldCharType="separate"/>
          </w:r>
          <w:r>
            <w:rPr>
              <w:rFonts w:cs="Arial"/>
              <w:sz w:val="16"/>
              <w:szCs w:val="16"/>
            </w:rPr>
            <w:t xml:space="preserve">11 July 2018 </w:t>
          </w:r>
          <w:r>
            <w:rPr>
              <w:rFonts w:cs="Arial"/>
              <w:sz w:val="16"/>
              <w:szCs w:val="16"/>
            </w:rPr>
            <w:fldChar w:fldCharType="end"/>
          </w:r>
        </w:p>
        <w:p w14:paraId="1FF499DB" w14:textId="77777777" w:rsidR="00E01D8F" w:rsidRDefault="00E01D8F">
          <w:pPr>
            <w:pStyle w:val="Footer"/>
            <w:jc w:val="right"/>
            <w:rPr>
              <w:rFonts w:cs="Arial"/>
              <w:sz w:val="16"/>
              <w:szCs w:val="16"/>
            </w:rPr>
          </w:pPr>
        </w:p>
      </w:tc>
    </w:tr>
  </w:tbl>
  <w:p w14:paraId="0FE6567A" w14:textId="77777777" w:rsidR="00E01D8F" w:rsidRDefault="00E01D8F">
    <w:pPr>
      <w:pStyle w:val="Footer"/>
      <w:rPr>
        <w:rFonts w:ascii="Arial Narrow" w:hAnsi="Arial Narrow" w:cs="Arial"/>
        <w:color w:val="808080"/>
        <w:sz w:val="8"/>
        <w:szCs w:val="8"/>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35DD4C" w14:textId="77777777" w:rsidR="00E01D8F" w:rsidRDefault="00E01D8F">
    <w:pPr>
      <w:pStyle w:val="Footer"/>
    </w:pPr>
    <w:r>
      <w:t xml:space="preserve"> </w:t>
    </w: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6"/>
      <w:gridCol w:w="1134"/>
      <w:gridCol w:w="4528"/>
    </w:tblGrid>
    <w:tr w:rsidR="00E01D8F" w14:paraId="69298172" w14:textId="77777777">
      <w:trPr>
        <w:jc w:val="center"/>
      </w:trPr>
      <w:tc>
        <w:tcPr>
          <w:tcW w:w="2224" w:type="pct"/>
          <w:shd w:val="clear" w:color="auto" w:fill="auto"/>
        </w:tcPr>
        <w:p w14:paraId="2F779DFA" w14:textId="77777777" w:rsidR="00E01D8F" w:rsidRDefault="00E01D8F">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Pr>
              <w:rFonts w:cs="Arial"/>
              <w:sz w:val="16"/>
              <w:szCs w:val="16"/>
            </w:rPr>
            <w:t xml:space="preserve">Optus Digital Mobile Service - Standard Pricing Table -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Pr>
              <w:rFonts w:cs="Arial"/>
              <w:sz w:val="16"/>
              <w:szCs w:val="16"/>
            </w:rPr>
            <w:t>Section 5 - Special Offer Pricing plans (SMB)</w:t>
          </w:r>
          <w:r>
            <w:rPr>
              <w:rFonts w:cs="Arial"/>
              <w:sz w:val="16"/>
              <w:szCs w:val="16"/>
            </w:rPr>
            <w:fldChar w:fldCharType="end"/>
          </w:r>
        </w:p>
      </w:tc>
      <w:tc>
        <w:tcPr>
          <w:tcW w:w="556" w:type="pct"/>
          <w:shd w:val="clear" w:color="auto" w:fill="auto"/>
        </w:tcPr>
        <w:p w14:paraId="1AF452D8" w14:textId="77777777" w:rsidR="00E01D8F" w:rsidRDefault="00E01D8F">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633</w:t>
          </w:r>
          <w:r>
            <w:rPr>
              <w:rStyle w:val="PageNumber"/>
              <w:rFonts w:ascii="Arial" w:hAnsi="Arial" w:cs="Arial"/>
              <w:sz w:val="16"/>
              <w:szCs w:val="16"/>
            </w:rPr>
            <w:fldChar w:fldCharType="end"/>
          </w:r>
        </w:p>
      </w:tc>
      <w:tc>
        <w:tcPr>
          <w:tcW w:w="2220" w:type="pct"/>
          <w:shd w:val="clear" w:color="auto" w:fill="auto"/>
        </w:tcPr>
        <w:p w14:paraId="2A1AE5D6" w14:textId="77777777" w:rsidR="00E01D8F" w:rsidRDefault="00E01D8F">
          <w:pPr>
            <w:pStyle w:val="Footer"/>
            <w:jc w:val="right"/>
            <w:rPr>
              <w:rFonts w:cs="Arial"/>
              <w:sz w:val="16"/>
              <w:szCs w:val="16"/>
            </w:rPr>
          </w:pPr>
          <w:r>
            <w:rPr>
              <w:rFonts w:cs="Arial"/>
              <w:sz w:val="16"/>
              <w:szCs w:val="16"/>
            </w:rPr>
            <w:fldChar w:fldCharType="begin"/>
          </w:r>
          <w:r>
            <w:rPr>
              <w:rFonts w:cs="Arial"/>
              <w:sz w:val="16"/>
              <w:szCs w:val="16"/>
            </w:rPr>
            <w:instrText xml:space="preserve"> DOCPROPERTY  DocDate  \* MERGEFORMAT </w:instrText>
          </w:r>
          <w:r>
            <w:rPr>
              <w:rFonts w:cs="Arial"/>
              <w:sz w:val="16"/>
              <w:szCs w:val="16"/>
            </w:rPr>
            <w:fldChar w:fldCharType="separate"/>
          </w:r>
          <w:r>
            <w:rPr>
              <w:rFonts w:cs="Arial"/>
              <w:sz w:val="16"/>
              <w:szCs w:val="16"/>
            </w:rPr>
            <w:t xml:space="preserve">11 July 2018 </w:t>
          </w:r>
          <w:r>
            <w:rPr>
              <w:rFonts w:cs="Arial"/>
              <w:sz w:val="16"/>
              <w:szCs w:val="16"/>
            </w:rPr>
            <w:fldChar w:fldCharType="end"/>
          </w:r>
        </w:p>
        <w:p w14:paraId="64F01383" w14:textId="77777777" w:rsidR="00E01D8F" w:rsidRDefault="00E01D8F">
          <w:pPr>
            <w:pStyle w:val="Footer"/>
            <w:jc w:val="right"/>
            <w:rPr>
              <w:rFonts w:cs="Arial"/>
              <w:sz w:val="16"/>
              <w:szCs w:val="16"/>
            </w:rPr>
          </w:pPr>
        </w:p>
      </w:tc>
    </w:tr>
  </w:tbl>
  <w:p w14:paraId="7857F217" w14:textId="77777777" w:rsidR="00E01D8F" w:rsidRDefault="00E01D8F">
    <w:pPr>
      <w:pStyle w:val="Footer"/>
      <w:rPr>
        <w:rFonts w:ascii="Arial Narrow" w:hAnsi="Arial Narrow" w:cs="Arial"/>
        <w:color w:val="808080"/>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E5A03C" w14:textId="77777777" w:rsidR="00E01D8F" w:rsidRDefault="00E01D8F">
      <w:r>
        <w:separator/>
      </w:r>
    </w:p>
  </w:footnote>
  <w:footnote w:type="continuationSeparator" w:id="0">
    <w:p w14:paraId="42F2F3AE" w14:textId="77777777" w:rsidR="00E01D8F" w:rsidRDefault="00E01D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jc w:val="center"/>
      <w:tblLook w:val="04A0" w:firstRow="1" w:lastRow="0" w:firstColumn="1" w:lastColumn="0" w:noHBand="0" w:noVBand="1"/>
    </w:tblPr>
    <w:tblGrid>
      <w:gridCol w:w="10198"/>
    </w:tblGrid>
    <w:tr w:rsidR="00E01D8F" w14:paraId="17C0294D" w14:textId="77777777">
      <w:trPr>
        <w:trHeight w:hRule="exact" w:val="851"/>
        <w:jc w:val="center"/>
      </w:trPr>
      <w:tc>
        <w:tcPr>
          <w:tcW w:w="10206" w:type="dxa"/>
          <w:shd w:val="clear" w:color="auto" w:fill="auto"/>
          <w:vAlign w:val="bottom"/>
        </w:tcPr>
        <w:p w14:paraId="7185093C" w14:textId="77777777" w:rsidR="00E01D8F" w:rsidRDefault="00E01D8F">
          <w:pPr>
            <w:pStyle w:val="Header"/>
          </w:pPr>
          <w:r>
            <w:rPr>
              <w:noProof/>
              <w:lang w:val="en-AU" w:eastAsia="en-AU"/>
            </w:rPr>
            <w:drawing>
              <wp:inline distT="0" distB="0" distL="0" distR="0" wp14:anchorId="2E971724" wp14:editId="755F79FF">
                <wp:extent cx="6487795" cy="446405"/>
                <wp:effectExtent l="0" t="0" r="825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7795" cy="446405"/>
                        </a:xfrm>
                        <a:prstGeom prst="rect">
                          <a:avLst/>
                        </a:prstGeom>
                        <a:noFill/>
                        <a:ln>
                          <a:noFill/>
                        </a:ln>
                      </pic:spPr>
                    </pic:pic>
                  </a:graphicData>
                </a:graphic>
              </wp:inline>
            </w:drawing>
          </w:r>
        </w:p>
      </w:tc>
    </w:tr>
  </w:tbl>
  <w:p w14:paraId="41FD3508" w14:textId="77777777" w:rsidR="00E01D8F" w:rsidRDefault="00E01D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jc w:val="center"/>
      <w:tblCellMar>
        <w:left w:w="0" w:type="dxa"/>
        <w:right w:w="0" w:type="dxa"/>
      </w:tblCellMar>
      <w:tblLook w:val="04A0" w:firstRow="1" w:lastRow="0" w:firstColumn="1" w:lastColumn="0" w:noHBand="0" w:noVBand="1"/>
    </w:tblPr>
    <w:tblGrid>
      <w:gridCol w:w="10198"/>
    </w:tblGrid>
    <w:tr w:rsidR="00E01D8F" w14:paraId="59E32046" w14:textId="77777777">
      <w:trPr>
        <w:trHeight w:hRule="exact" w:val="851"/>
        <w:jc w:val="center"/>
      </w:trPr>
      <w:tc>
        <w:tcPr>
          <w:tcW w:w="10206" w:type="dxa"/>
          <w:shd w:val="clear" w:color="auto" w:fill="auto"/>
          <w:vAlign w:val="bottom"/>
        </w:tcPr>
        <w:p w14:paraId="1A340CFE" w14:textId="77777777" w:rsidR="00E01D8F" w:rsidRDefault="00E01D8F">
          <w:pPr>
            <w:pStyle w:val="Header"/>
            <w:jc w:val="center"/>
          </w:pPr>
          <w:r>
            <w:rPr>
              <w:noProof/>
              <w:lang w:val="en-AU" w:eastAsia="en-AU"/>
            </w:rPr>
            <w:drawing>
              <wp:inline distT="0" distB="0" distL="0" distR="0" wp14:anchorId="6AD81522" wp14:editId="7EAFAFF6">
                <wp:extent cx="6487795" cy="446405"/>
                <wp:effectExtent l="0" t="0" r="8255" b="0"/>
                <wp:docPr id="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7795" cy="446405"/>
                        </a:xfrm>
                        <a:prstGeom prst="rect">
                          <a:avLst/>
                        </a:prstGeom>
                        <a:noFill/>
                        <a:ln>
                          <a:noFill/>
                        </a:ln>
                      </pic:spPr>
                    </pic:pic>
                  </a:graphicData>
                </a:graphic>
              </wp:inline>
            </w:drawing>
          </w:r>
        </w:p>
      </w:tc>
    </w:tr>
  </w:tbl>
  <w:p w14:paraId="7959F983" w14:textId="77777777" w:rsidR="00E01D8F" w:rsidRDefault="00E01D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jc w:val="center"/>
      <w:tblLook w:val="04A0" w:firstRow="1" w:lastRow="0" w:firstColumn="1" w:lastColumn="0" w:noHBand="0" w:noVBand="1"/>
    </w:tblPr>
    <w:tblGrid>
      <w:gridCol w:w="10198"/>
    </w:tblGrid>
    <w:tr w:rsidR="00E01D8F" w14:paraId="51F9E117" w14:textId="77777777">
      <w:trPr>
        <w:trHeight w:hRule="exact" w:val="851"/>
        <w:jc w:val="center"/>
      </w:trPr>
      <w:tc>
        <w:tcPr>
          <w:tcW w:w="10206" w:type="dxa"/>
          <w:shd w:val="clear" w:color="auto" w:fill="auto"/>
          <w:vAlign w:val="bottom"/>
        </w:tcPr>
        <w:p w14:paraId="7AEC2FFC" w14:textId="77777777" w:rsidR="00E01D8F" w:rsidRDefault="00E01D8F">
          <w:pPr>
            <w:pStyle w:val="Header"/>
          </w:pPr>
          <w:r>
            <w:rPr>
              <w:noProof/>
              <w:lang w:val="en-AU" w:eastAsia="en-AU"/>
            </w:rPr>
            <w:drawing>
              <wp:inline distT="0" distB="0" distL="0" distR="0" wp14:anchorId="34FE5EE3" wp14:editId="1D8B014F">
                <wp:extent cx="6487795" cy="446405"/>
                <wp:effectExtent l="0" t="0" r="8255" b="0"/>
                <wp:docPr id="4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7795" cy="446405"/>
                        </a:xfrm>
                        <a:prstGeom prst="rect">
                          <a:avLst/>
                        </a:prstGeom>
                        <a:noFill/>
                        <a:ln>
                          <a:noFill/>
                        </a:ln>
                      </pic:spPr>
                    </pic:pic>
                  </a:graphicData>
                </a:graphic>
              </wp:inline>
            </w:drawing>
          </w:r>
        </w:p>
      </w:tc>
    </w:tr>
  </w:tbl>
  <w:p w14:paraId="7A3D03A6" w14:textId="77777777" w:rsidR="00E01D8F" w:rsidRDefault="00E01D8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198"/>
    </w:tblGrid>
    <w:tr w:rsidR="00E01D8F" w14:paraId="5A20BC19" w14:textId="77777777">
      <w:trPr>
        <w:trHeight w:hRule="exact" w:val="851"/>
        <w:jc w:val="center"/>
      </w:trPr>
      <w:tc>
        <w:tcPr>
          <w:tcW w:w="5000" w:type="pct"/>
          <w:shd w:val="clear" w:color="auto" w:fill="auto"/>
          <w:vAlign w:val="bottom"/>
        </w:tcPr>
        <w:p w14:paraId="4E3ECBE4" w14:textId="77777777" w:rsidR="00E01D8F" w:rsidRDefault="00E01D8F">
          <w:pPr>
            <w:pStyle w:val="Header"/>
          </w:pPr>
          <w:r>
            <w:rPr>
              <w:noProof/>
              <w:lang w:val="en-AU" w:eastAsia="en-AU"/>
            </w:rPr>
            <w:drawing>
              <wp:inline distT="0" distB="0" distL="0" distR="0" wp14:anchorId="78BDFB2D" wp14:editId="2B59F87E">
                <wp:extent cx="9622790" cy="457200"/>
                <wp:effectExtent l="0" t="0" r="0" b="0"/>
                <wp:docPr id="4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2790" cy="457200"/>
                        </a:xfrm>
                        <a:prstGeom prst="rect">
                          <a:avLst/>
                        </a:prstGeom>
                        <a:noFill/>
                        <a:ln>
                          <a:noFill/>
                        </a:ln>
                      </pic:spPr>
                    </pic:pic>
                  </a:graphicData>
                </a:graphic>
              </wp:inline>
            </w:drawing>
          </w:r>
        </w:p>
      </w:tc>
    </w:tr>
  </w:tbl>
  <w:p w14:paraId="34DCF5DB" w14:textId="77777777" w:rsidR="00E01D8F" w:rsidRDefault="00E01D8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jc w:val="center"/>
      <w:tblLook w:val="04A0" w:firstRow="1" w:lastRow="0" w:firstColumn="1" w:lastColumn="0" w:noHBand="0" w:noVBand="1"/>
    </w:tblPr>
    <w:tblGrid>
      <w:gridCol w:w="10198"/>
    </w:tblGrid>
    <w:tr w:rsidR="00E01D8F" w14:paraId="73B61EBB" w14:textId="77777777">
      <w:trPr>
        <w:trHeight w:hRule="exact" w:val="851"/>
        <w:jc w:val="center"/>
      </w:trPr>
      <w:tc>
        <w:tcPr>
          <w:tcW w:w="10206" w:type="dxa"/>
          <w:shd w:val="clear" w:color="auto" w:fill="auto"/>
          <w:vAlign w:val="bottom"/>
        </w:tcPr>
        <w:p w14:paraId="6590811D" w14:textId="77777777" w:rsidR="00E01D8F" w:rsidRDefault="00E01D8F">
          <w:pPr>
            <w:pStyle w:val="Header"/>
          </w:pPr>
          <w:r>
            <w:rPr>
              <w:noProof/>
              <w:lang w:val="en-AU" w:eastAsia="en-AU"/>
            </w:rPr>
            <w:drawing>
              <wp:inline distT="0" distB="0" distL="0" distR="0" wp14:anchorId="359EB917" wp14:editId="252F6D7E">
                <wp:extent cx="6487795" cy="446405"/>
                <wp:effectExtent l="0" t="0" r="8255" b="0"/>
                <wp:docPr id="4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7795" cy="446405"/>
                        </a:xfrm>
                        <a:prstGeom prst="rect">
                          <a:avLst/>
                        </a:prstGeom>
                        <a:noFill/>
                        <a:ln>
                          <a:noFill/>
                        </a:ln>
                      </pic:spPr>
                    </pic:pic>
                  </a:graphicData>
                </a:graphic>
              </wp:inline>
            </w:drawing>
          </w:r>
        </w:p>
      </w:tc>
    </w:tr>
  </w:tbl>
  <w:p w14:paraId="2CC5ED09" w14:textId="77777777" w:rsidR="00E01D8F" w:rsidRDefault="00E01D8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198"/>
    </w:tblGrid>
    <w:tr w:rsidR="00E01D8F" w14:paraId="6DD46540" w14:textId="77777777">
      <w:trPr>
        <w:trHeight w:hRule="exact" w:val="851"/>
        <w:jc w:val="center"/>
      </w:trPr>
      <w:tc>
        <w:tcPr>
          <w:tcW w:w="5000" w:type="pct"/>
          <w:shd w:val="clear" w:color="auto" w:fill="auto"/>
          <w:vAlign w:val="bottom"/>
        </w:tcPr>
        <w:p w14:paraId="3730FFDC" w14:textId="77777777" w:rsidR="00E01D8F" w:rsidRDefault="00E01D8F">
          <w:pPr>
            <w:pStyle w:val="Header"/>
          </w:pPr>
          <w:r>
            <w:rPr>
              <w:noProof/>
              <w:lang w:val="en-AU" w:eastAsia="en-AU"/>
            </w:rPr>
            <w:drawing>
              <wp:inline distT="0" distB="0" distL="0" distR="0" wp14:anchorId="27882EDA" wp14:editId="2E7A1DE3">
                <wp:extent cx="9622790" cy="457200"/>
                <wp:effectExtent l="0" t="0" r="0" b="0"/>
                <wp:docPr id="4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2790" cy="457200"/>
                        </a:xfrm>
                        <a:prstGeom prst="rect">
                          <a:avLst/>
                        </a:prstGeom>
                        <a:noFill/>
                        <a:ln>
                          <a:noFill/>
                        </a:ln>
                      </pic:spPr>
                    </pic:pic>
                  </a:graphicData>
                </a:graphic>
              </wp:inline>
            </w:drawing>
          </w:r>
        </w:p>
      </w:tc>
    </w:tr>
  </w:tbl>
  <w:p w14:paraId="083D2949" w14:textId="77777777" w:rsidR="00E01D8F" w:rsidRDefault="00E01D8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jc w:val="center"/>
      <w:tblLook w:val="04A0" w:firstRow="1" w:lastRow="0" w:firstColumn="1" w:lastColumn="0" w:noHBand="0" w:noVBand="1"/>
    </w:tblPr>
    <w:tblGrid>
      <w:gridCol w:w="10198"/>
    </w:tblGrid>
    <w:tr w:rsidR="00E01D8F" w14:paraId="3FFEDD24" w14:textId="77777777">
      <w:trPr>
        <w:trHeight w:hRule="exact" w:val="851"/>
        <w:jc w:val="center"/>
      </w:trPr>
      <w:tc>
        <w:tcPr>
          <w:tcW w:w="10206" w:type="dxa"/>
          <w:shd w:val="clear" w:color="auto" w:fill="auto"/>
          <w:vAlign w:val="bottom"/>
        </w:tcPr>
        <w:p w14:paraId="4AD74856" w14:textId="77777777" w:rsidR="00E01D8F" w:rsidRDefault="00E01D8F">
          <w:pPr>
            <w:pStyle w:val="Header"/>
          </w:pPr>
          <w:r>
            <w:rPr>
              <w:noProof/>
              <w:lang w:val="en-AU" w:eastAsia="en-AU"/>
            </w:rPr>
            <w:drawing>
              <wp:inline distT="0" distB="0" distL="0" distR="0" wp14:anchorId="1DD96C40" wp14:editId="391AA479">
                <wp:extent cx="6487795" cy="446405"/>
                <wp:effectExtent l="0" t="0" r="8255" b="0"/>
                <wp:docPr id="4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7795" cy="446405"/>
                        </a:xfrm>
                        <a:prstGeom prst="rect">
                          <a:avLst/>
                        </a:prstGeom>
                        <a:noFill/>
                        <a:ln>
                          <a:noFill/>
                        </a:ln>
                      </pic:spPr>
                    </pic:pic>
                  </a:graphicData>
                </a:graphic>
              </wp:inline>
            </w:drawing>
          </w:r>
        </w:p>
      </w:tc>
    </w:tr>
  </w:tbl>
  <w:p w14:paraId="2F767603" w14:textId="77777777" w:rsidR="00E01D8F" w:rsidRDefault="00E01D8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198"/>
    </w:tblGrid>
    <w:tr w:rsidR="00E01D8F" w14:paraId="60795A15" w14:textId="77777777">
      <w:trPr>
        <w:trHeight w:hRule="exact" w:val="851"/>
        <w:jc w:val="center"/>
      </w:trPr>
      <w:tc>
        <w:tcPr>
          <w:tcW w:w="5000" w:type="pct"/>
          <w:shd w:val="clear" w:color="auto" w:fill="auto"/>
          <w:vAlign w:val="bottom"/>
        </w:tcPr>
        <w:p w14:paraId="04FC5C9B" w14:textId="77777777" w:rsidR="00E01D8F" w:rsidRDefault="00E01D8F">
          <w:pPr>
            <w:pStyle w:val="Header"/>
          </w:pPr>
          <w:r>
            <w:rPr>
              <w:noProof/>
              <w:lang w:val="en-AU" w:eastAsia="en-AU"/>
            </w:rPr>
            <w:drawing>
              <wp:inline distT="0" distB="0" distL="0" distR="0" wp14:anchorId="4E248BE6" wp14:editId="6B17DD81">
                <wp:extent cx="9622790" cy="457200"/>
                <wp:effectExtent l="0" t="0" r="0" b="0"/>
                <wp:docPr id="4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2790" cy="457200"/>
                        </a:xfrm>
                        <a:prstGeom prst="rect">
                          <a:avLst/>
                        </a:prstGeom>
                        <a:noFill/>
                        <a:ln>
                          <a:noFill/>
                        </a:ln>
                      </pic:spPr>
                    </pic:pic>
                  </a:graphicData>
                </a:graphic>
              </wp:inline>
            </w:drawing>
          </w:r>
        </w:p>
      </w:tc>
    </w:tr>
  </w:tbl>
  <w:p w14:paraId="2A81C52D" w14:textId="77777777" w:rsidR="00E01D8F" w:rsidRDefault="00E01D8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jc w:val="center"/>
      <w:tblLook w:val="04A0" w:firstRow="1" w:lastRow="0" w:firstColumn="1" w:lastColumn="0" w:noHBand="0" w:noVBand="1"/>
    </w:tblPr>
    <w:tblGrid>
      <w:gridCol w:w="10198"/>
    </w:tblGrid>
    <w:tr w:rsidR="00E01D8F" w14:paraId="707EB126" w14:textId="77777777">
      <w:trPr>
        <w:trHeight w:hRule="exact" w:val="851"/>
        <w:jc w:val="center"/>
      </w:trPr>
      <w:tc>
        <w:tcPr>
          <w:tcW w:w="10206" w:type="dxa"/>
          <w:shd w:val="clear" w:color="auto" w:fill="auto"/>
          <w:vAlign w:val="bottom"/>
        </w:tcPr>
        <w:p w14:paraId="183CD331" w14:textId="77777777" w:rsidR="00E01D8F" w:rsidRDefault="00E01D8F">
          <w:pPr>
            <w:pStyle w:val="Header"/>
          </w:pPr>
          <w:r>
            <w:rPr>
              <w:noProof/>
              <w:lang w:val="en-AU" w:eastAsia="en-AU"/>
            </w:rPr>
            <w:drawing>
              <wp:inline distT="0" distB="0" distL="0" distR="0" wp14:anchorId="0D998DBC" wp14:editId="56DF201D">
                <wp:extent cx="6487795" cy="446405"/>
                <wp:effectExtent l="0" t="0" r="8255" b="0"/>
                <wp:docPr id="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7795" cy="446405"/>
                        </a:xfrm>
                        <a:prstGeom prst="rect">
                          <a:avLst/>
                        </a:prstGeom>
                        <a:noFill/>
                        <a:ln>
                          <a:noFill/>
                        </a:ln>
                      </pic:spPr>
                    </pic:pic>
                  </a:graphicData>
                </a:graphic>
              </wp:inline>
            </w:drawing>
          </w:r>
        </w:p>
      </w:tc>
    </w:tr>
  </w:tbl>
  <w:p w14:paraId="475F0168" w14:textId="77777777" w:rsidR="00E01D8F" w:rsidRDefault="00E01D8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198"/>
    </w:tblGrid>
    <w:tr w:rsidR="00E01D8F" w14:paraId="4B7C37CC" w14:textId="77777777">
      <w:trPr>
        <w:trHeight w:hRule="exact" w:val="851"/>
        <w:jc w:val="center"/>
      </w:trPr>
      <w:tc>
        <w:tcPr>
          <w:tcW w:w="5000" w:type="pct"/>
          <w:shd w:val="clear" w:color="auto" w:fill="auto"/>
          <w:vAlign w:val="bottom"/>
        </w:tcPr>
        <w:p w14:paraId="301FB555" w14:textId="77777777" w:rsidR="00E01D8F" w:rsidRDefault="00E01D8F">
          <w:pPr>
            <w:pStyle w:val="Header"/>
          </w:pPr>
          <w:r>
            <w:rPr>
              <w:noProof/>
              <w:lang w:val="en-AU" w:eastAsia="en-AU"/>
            </w:rPr>
            <w:drawing>
              <wp:inline distT="0" distB="0" distL="0" distR="0" wp14:anchorId="48DFE8ED" wp14:editId="50F7B79E">
                <wp:extent cx="9622790" cy="457200"/>
                <wp:effectExtent l="0" t="0" r="0" b="0"/>
                <wp:docPr id="4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2790" cy="457200"/>
                        </a:xfrm>
                        <a:prstGeom prst="rect">
                          <a:avLst/>
                        </a:prstGeom>
                        <a:noFill/>
                        <a:ln>
                          <a:noFill/>
                        </a:ln>
                      </pic:spPr>
                    </pic:pic>
                  </a:graphicData>
                </a:graphic>
              </wp:inline>
            </w:drawing>
          </w:r>
        </w:p>
      </w:tc>
    </w:tr>
  </w:tbl>
  <w:p w14:paraId="7775769B" w14:textId="77777777" w:rsidR="00E01D8F" w:rsidRDefault="00E01D8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jc w:val="center"/>
      <w:tblLook w:val="04A0" w:firstRow="1" w:lastRow="0" w:firstColumn="1" w:lastColumn="0" w:noHBand="0" w:noVBand="1"/>
    </w:tblPr>
    <w:tblGrid>
      <w:gridCol w:w="10198"/>
    </w:tblGrid>
    <w:tr w:rsidR="00E01D8F" w14:paraId="17BCC2EE" w14:textId="77777777">
      <w:trPr>
        <w:trHeight w:hRule="exact" w:val="851"/>
        <w:jc w:val="center"/>
      </w:trPr>
      <w:tc>
        <w:tcPr>
          <w:tcW w:w="10206" w:type="dxa"/>
          <w:shd w:val="clear" w:color="auto" w:fill="auto"/>
          <w:vAlign w:val="bottom"/>
        </w:tcPr>
        <w:p w14:paraId="06236A96" w14:textId="77777777" w:rsidR="00E01D8F" w:rsidRDefault="00E01D8F">
          <w:pPr>
            <w:pStyle w:val="Header"/>
          </w:pPr>
          <w:r>
            <w:rPr>
              <w:noProof/>
              <w:lang w:val="en-AU" w:eastAsia="en-AU"/>
            </w:rPr>
            <w:drawing>
              <wp:inline distT="0" distB="0" distL="0" distR="0" wp14:anchorId="4A4C1B57" wp14:editId="64C1A482">
                <wp:extent cx="6487795" cy="446405"/>
                <wp:effectExtent l="0" t="0" r="8255" b="0"/>
                <wp:docPr id="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7795" cy="446405"/>
                        </a:xfrm>
                        <a:prstGeom prst="rect">
                          <a:avLst/>
                        </a:prstGeom>
                        <a:noFill/>
                        <a:ln>
                          <a:noFill/>
                        </a:ln>
                      </pic:spPr>
                    </pic:pic>
                  </a:graphicData>
                </a:graphic>
              </wp:inline>
            </w:drawing>
          </w:r>
        </w:p>
      </w:tc>
    </w:tr>
  </w:tbl>
  <w:p w14:paraId="3F8EE50A" w14:textId="77777777" w:rsidR="00E01D8F" w:rsidRDefault="00E01D8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198"/>
    </w:tblGrid>
    <w:tr w:rsidR="00E01D8F" w14:paraId="6579344A" w14:textId="77777777">
      <w:trPr>
        <w:trHeight w:hRule="exact" w:val="851"/>
        <w:jc w:val="center"/>
      </w:trPr>
      <w:tc>
        <w:tcPr>
          <w:tcW w:w="5000" w:type="pct"/>
          <w:shd w:val="clear" w:color="auto" w:fill="auto"/>
          <w:vAlign w:val="bottom"/>
        </w:tcPr>
        <w:p w14:paraId="5B331FE2" w14:textId="77777777" w:rsidR="00E01D8F" w:rsidRDefault="00E01D8F">
          <w:pPr>
            <w:pStyle w:val="Header"/>
          </w:pPr>
          <w:r>
            <w:rPr>
              <w:noProof/>
              <w:lang w:val="en-AU" w:eastAsia="en-AU"/>
            </w:rPr>
            <w:drawing>
              <wp:inline distT="0" distB="0" distL="0" distR="0" wp14:anchorId="73D0E923" wp14:editId="308CE2B8">
                <wp:extent cx="9622790" cy="47879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2790" cy="478790"/>
                        </a:xfrm>
                        <a:prstGeom prst="rect">
                          <a:avLst/>
                        </a:prstGeom>
                        <a:noFill/>
                        <a:ln>
                          <a:noFill/>
                        </a:ln>
                      </pic:spPr>
                    </pic:pic>
                  </a:graphicData>
                </a:graphic>
              </wp:inline>
            </w:drawing>
          </w:r>
        </w:p>
        <w:p w14:paraId="535B026F" w14:textId="77777777" w:rsidR="00E01D8F" w:rsidRDefault="00E01D8F">
          <w:pPr>
            <w:pStyle w:val="Header"/>
          </w:pPr>
        </w:p>
      </w:tc>
    </w:tr>
  </w:tbl>
  <w:p w14:paraId="75D7DE29" w14:textId="77777777" w:rsidR="00E01D8F" w:rsidRDefault="00E01D8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jc w:val="center"/>
      <w:tblLook w:val="04A0" w:firstRow="1" w:lastRow="0" w:firstColumn="1" w:lastColumn="0" w:noHBand="0" w:noVBand="1"/>
    </w:tblPr>
    <w:tblGrid>
      <w:gridCol w:w="10198"/>
    </w:tblGrid>
    <w:tr w:rsidR="00E01D8F" w14:paraId="7B3728DC" w14:textId="77777777">
      <w:trPr>
        <w:trHeight w:hRule="exact" w:val="851"/>
        <w:jc w:val="center"/>
      </w:trPr>
      <w:tc>
        <w:tcPr>
          <w:tcW w:w="10206" w:type="dxa"/>
          <w:shd w:val="clear" w:color="auto" w:fill="auto"/>
          <w:vAlign w:val="bottom"/>
        </w:tcPr>
        <w:p w14:paraId="3442A16A" w14:textId="77777777" w:rsidR="00E01D8F" w:rsidRDefault="00E01D8F">
          <w:pPr>
            <w:pStyle w:val="Header"/>
          </w:pPr>
          <w:r>
            <w:rPr>
              <w:noProof/>
              <w:lang w:val="en-AU" w:eastAsia="en-AU"/>
            </w:rPr>
            <w:drawing>
              <wp:inline distT="0" distB="0" distL="0" distR="0" wp14:anchorId="27E28230" wp14:editId="37A94102">
                <wp:extent cx="6487795" cy="446405"/>
                <wp:effectExtent l="0" t="0" r="8255" b="0"/>
                <wp:docPr id="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7795" cy="446405"/>
                        </a:xfrm>
                        <a:prstGeom prst="rect">
                          <a:avLst/>
                        </a:prstGeom>
                        <a:noFill/>
                        <a:ln>
                          <a:noFill/>
                        </a:ln>
                      </pic:spPr>
                    </pic:pic>
                  </a:graphicData>
                </a:graphic>
              </wp:inline>
            </w:drawing>
          </w:r>
        </w:p>
      </w:tc>
    </w:tr>
  </w:tbl>
  <w:p w14:paraId="0E277975" w14:textId="77777777" w:rsidR="00E01D8F" w:rsidRDefault="00E01D8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198"/>
    </w:tblGrid>
    <w:tr w:rsidR="00E01D8F" w14:paraId="02A612B2" w14:textId="77777777">
      <w:trPr>
        <w:trHeight w:hRule="exact" w:val="851"/>
        <w:jc w:val="center"/>
      </w:trPr>
      <w:tc>
        <w:tcPr>
          <w:tcW w:w="5000" w:type="pct"/>
          <w:shd w:val="clear" w:color="auto" w:fill="auto"/>
          <w:vAlign w:val="bottom"/>
        </w:tcPr>
        <w:p w14:paraId="1AF4734E" w14:textId="77777777" w:rsidR="00E01D8F" w:rsidRDefault="00E01D8F">
          <w:pPr>
            <w:pStyle w:val="Header"/>
          </w:pPr>
          <w:r>
            <w:rPr>
              <w:noProof/>
              <w:lang w:val="en-AU" w:eastAsia="en-AU"/>
            </w:rPr>
            <w:drawing>
              <wp:inline distT="0" distB="0" distL="0" distR="0" wp14:anchorId="732FADD5" wp14:editId="072CC8DB">
                <wp:extent cx="9622790" cy="47879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2790" cy="478790"/>
                        </a:xfrm>
                        <a:prstGeom prst="rect">
                          <a:avLst/>
                        </a:prstGeom>
                        <a:noFill/>
                        <a:ln>
                          <a:noFill/>
                        </a:ln>
                      </pic:spPr>
                    </pic:pic>
                  </a:graphicData>
                </a:graphic>
              </wp:inline>
            </w:drawing>
          </w:r>
        </w:p>
        <w:p w14:paraId="2EF83215" w14:textId="77777777" w:rsidR="00E01D8F" w:rsidRDefault="00E01D8F">
          <w:pPr>
            <w:pStyle w:val="Header"/>
          </w:pPr>
        </w:p>
      </w:tc>
    </w:tr>
  </w:tbl>
  <w:p w14:paraId="3827D995" w14:textId="77777777" w:rsidR="00E01D8F" w:rsidRDefault="00E01D8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jc w:val="center"/>
      <w:tblLook w:val="04A0" w:firstRow="1" w:lastRow="0" w:firstColumn="1" w:lastColumn="0" w:noHBand="0" w:noVBand="1"/>
    </w:tblPr>
    <w:tblGrid>
      <w:gridCol w:w="10198"/>
    </w:tblGrid>
    <w:tr w:rsidR="00E01D8F" w14:paraId="1DDC3F7F" w14:textId="77777777">
      <w:trPr>
        <w:trHeight w:hRule="exact" w:val="851"/>
        <w:jc w:val="center"/>
      </w:trPr>
      <w:tc>
        <w:tcPr>
          <w:tcW w:w="10206" w:type="dxa"/>
          <w:shd w:val="clear" w:color="auto" w:fill="auto"/>
          <w:vAlign w:val="bottom"/>
        </w:tcPr>
        <w:p w14:paraId="45926FEA" w14:textId="77777777" w:rsidR="00E01D8F" w:rsidRDefault="00E01D8F">
          <w:pPr>
            <w:pStyle w:val="Header"/>
          </w:pPr>
          <w:r>
            <w:rPr>
              <w:noProof/>
              <w:lang w:val="en-AU" w:eastAsia="en-AU"/>
            </w:rPr>
            <w:drawing>
              <wp:inline distT="0" distB="0" distL="0" distR="0" wp14:anchorId="5C22326E" wp14:editId="26F57AA2">
                <wp:extent cx="6487795" cy="446405"/>
                <wp:effectExtent l="0" t="0" r="8255" b="0"/>
                <wp:docPr id="54"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7795" cy="446405"/>
                        </a:xfrm>
                        <a:prstGeom prst="rect">
                          <a:avLst/>
                        </a:prstGeom>
                        <a:noFill/>
                        <a:ln>
                          <a:noFill/>
                        </a:ln>
                      </pic:spPr>
                    </pic:pic>
                  </a:graphicData>
                </a:graphic>
              </wp:inline>
            </w:drawing>
          </w:r>
        </w:p>
      </w:tc>
    </w:tr>
  </w:tbl>
  <w:p w14:paraId="257CBCA9" w14:textId="77777777" w:rsidR="00E01D8F" w:rsidRDefault="00E01D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0EDA30F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597FA2"/>
    <w:multiLevelType w:val="multilevel"/>
    <w:tmpl w:val="F81835CC"/>
    <w:lvl w:ilvl="0">
      <w:start w:val="1"/>
      <w:numFmt w:val="none"/>
      <w:pStyle w:val="DefinitionParagraph"/>
      <w:suff w:val="nothing"/>
      <w:lvlText w:val=""/>
      <w:lvlJc w:val="left"/>
      <w:pPr>
        <w:ind w:left="709" w:firstLine="0"/>
      </w:pPr>
      <w:rPr>
        <w:rFonts w:hint="default"/>
      </w:rPr>
    </w:lvl>
    <w:lvl w:ilvl="1">
      <w:start w:val="1"/>
      <w:numFmt w:val="lowerLetter"/>
      <w:lvlText w:val="(%2)"/>
      <w:lvlJc w:val="left"/>
      <w:pPr>
        <w:tabs>
          <w:tab w:val="num" w:pos="1418"/>
        </w:tabs>
        <w:ind w:left="1418" w:hanging="709"/>
      </w:pPr>
      <w:rPr>
        <w:rFonts w:hint="default"/>
      </w:rPr>
    </w:lvl>
    <w:lvl w:ilvl="2">
      <w:start w:val="1"/>
      <w:numFmt w:val="lowerRoman"/>
      <w:lvlText w:val="(%3)"/>
      <w:lvlJc w:val="left"/>
      <w:pPr>
        <w:tabs>
          <w:tab w:val="num" w:pos="2126"/>
        </w:tabs>
        <w:ind w:left="2126" w:hanging="708"/>
      </w:pPr>
      <w:rPr>
        <w:rFonts w:hint="default"/>
      </w:rPr>
    </w:lvl>
    <w:lvl w:ilvl="3">
      <w:start w:val="1"/>
      <w:numFmt w:val="upperLetter"/>
      <w:lvlText w:val="(%4)"/>
      <w:lvlJc w:val="left"/>
      <w:pPr>
        <w:tabs>
          <w:tab w:val="num" w:pos="2835"/>
        </w:tabs>
        <w:ind w:left="2835" w:hanging="709"/>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 w15:restartNumberingAfterBreak="0">
    <w:nsid w:val="0168106F"/>
    <w:multiLevelType w:val="hybridMultilevel"/>
    <w:tmpl w:val="E6501588"/>
    <w:lvl w:ilvl="0" w:tplc="338E1ADC">
      <w:start w:val="1"/>
      <w:numFmt w:val="lowerLetter"/>
      <w:lvlText w:val="(a%1)"/>
      <w:lvlJc w:val="left"/>
      <w:pPr>
        <w:ind w:left="3600" w:hanging="360"/>
      </w:pPr>
      <w:rPr>
        <w:rFonts w:ascii="Arial" w:hAnsi="Arial" w:hint="default"/>
        <w:b w:val="0"/>
        <w:i w:val="0"/>
        <w:sz w:val="20"/>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 w15:restartNumberingAfterBreak="0">
    <w:nsid w:val="0332492B"/>
    <w:multiLevelType w:val="hybridMultilevel"/>
    <w:tmpl w:val="E6E684A2"/>
    <w:lvl w:ilvl="0" w:tplc="7CC043C2">
      <w:start w:val="1"/>
      <w:numFmt w:val="lowerLetter"/>
      <w:lvlText w:val="(a%1)"/>
      <w:lvlJc w:val="left"/>
      <w:pPr>
        <w:ind w:left="720" w:hanging="720"/>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DB076F"/>
    <w:multiLevelType w:val="multilevel"/>
    <w:tmpl w:val="C0C26F52"/>
    <w:lvl w:ilvl="0">
      <w:start w:val="1"/>
      <w:numFmt w:val="upperLetter"/>
      <w:lvlText w:val="%1."/>
      <w:lvlJc w:val="left"/>
      <w:pPr>
        <w:tabs>
          <w:tab w:val="num" w:pos="2520"/>
        </w:tabs>
        <w:ind w:left="2520" w:hanging="360"/>
      </w:pPr>
      <w:rPr>
        <w:rFonts w:ascii="Arial" w:eastAsia="Times New Roman" w:hAnsi="Arial" w:cs="Arial"/>
        <w:color w:val="auto"/>
      </w:rPr>
    </w:lvl>
    <w:lvl w:ilvl="1">
      <w:start w:val="1"/>
      <w:numFmt w:val="decimal"/>
      <w:lvlText w:val="%2."/>
      <w:lvlJc w:val="left"/>
      <w:pPr>
        <w:tabs>
          <w:tab w:val="num" w:pos="3240"/>
        </w:tabs>
        <w:ind w:left="3240" w:hanging="360"/>
      </w:pPr>
    </w:lvl>
    <w:lvl w:ilvl="2">
      <w:start w:val="1"/>
      <w:numFmt w:val="decimal"/>
      <w:lvlText w:val="%3."/>
      <w:lvlJc w:val="left"/>
      <w:pPr>
        <w:tabs>
          <w:tab w:val="num" w:pos="3960"/>
        </w:tabs>
        <w:ind w:left="3960" w:hanging="360"/>
      </w:p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start w:val="1"/>
      <w:numFmt w:val="decimal"/>
      <w:lvlText w:val="%6."/>
      <w:lvlJc w:val="left"/>
      <w:pPr>
        <w:tabs>
          <w:tab w:val="num" w:pos="6120"/>
        </w:tabs>
        <w:ind w:left="6120" w:hanging="360"/>
      </w:pPr>
    </w:lvl>
    <w:lvl w:ilvl="6">
      <w:start w:val="1"/>
      <w:numFmt w:val="decimal"/>
      <w:lvlText w:val="%7."/>
      <w:lvlJc w:val="left"/>
      <w:pPr>
        <w:tabs>
          <w:tab w:val="num" w:pos="6840"/>
        </w:tabs>
        <w:ind w:left="6840" w:hanging="360"/>
      </w:pPr>
    </w:lvl>
    <w:lvl w:ilvl="7">
      <w:start w:val="1"/>
      <w:numFmt w:val="decimal"/>
      <w:lvlText w:val="%8."/>
      <w:lvlJc w:val="left"/>
      <w:pPr>
        <w:tabs>
          <w:tab w:val="num" w:pos="7560"/>
        </w:tabs>
        <w:ind w:left="7560" w:hanging="360"/>
      </w:pPr>
    </w:lvl>
    <w:lvl w:ilvl="8">
      <w:start w:val="1"/>
      <w:numFmt w:val="decimal"/>
      <w:lvlText w:val="%9."/>
      <w:lvlJc w:val="left"/>
      <w:pPr>
        <w:tabs>
          <w:tab w:val="num" w:pos="8280"/>
        </w:tabs>
        <w:ind w:left="8280" w:hanging="360"/>
      </w:pPr>
    </w:lvl>
  </w:abstractNum>
  <w:abstractNum w:abstractNumId="5" w15:restartNumberingAfterBreak="0">
    <w:nsid w:val="045E376F"/>
    <w:multiLevelType w:val="multilevel"/>
    <w:tmpl w:val="CE5E69D6"/>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lvlRestart w:val="0"/>
      <w:isLgl/>
      <w:lvlText w:val="%1.%2"/>
      <w:lvlJc w:val="left"/>
      <w:pPr>
        <w:tabs>
          <w:tab w:val="num" w:pos="851"/>
        </w:tabs>
        <w:ind w:left="851" w:hanging="851"/>
      </w:pPr>
      <w:rPr>
        <w:rFonts w:ascii="Times New Roman" w:hAnsi="Times New Roman" w:hint="default"/>
        <w:b/>
        <w:i w:val="0"/>
        <w:sz w:val="24"/>
      </w:rPr>
    </w:lvl>
    <w:lvl w:ilvl="2">
      <w:start w:val="1"/>
      <w:numFmt w:val="lowerLetter"/>
      <w:lvlText w:val="(%3)"/>
      <w:lvlJc w:val="left"/>
      <w:pPr>
        <w:tabs>
          <w:tab w:val="num" w:pos="1701"/>
        </w:tabs>
        <w:ind w:left="1701" w:hanging="850"/>
      </w:pPr>
      <w:rPr>
        <w:rFonts w:ascii="Times New Roman" w:hAnsi="Times New Roman" w:hint="default"/>
        <w:b w:val="0"/>
        <w:i w:val="0"/>
        <w:sz w:val="24"/>
      </w:rPr>
    </w:lvl>
    <w:lvl w:ilvl="3">
      <w:start w:val="1"/>
      <w:numFmt w:val="lowerRoman"/>
      <w:lvlText w:val="(%4)"/>
      <w:lvlJc w:val="left"/>
      <w:pPr>
        <w:tabs>
          <w:tab w:val="num" w:pos="2552"/>
        </w:tabs>
        <w:ind w:left="2552" w:hanging="851"/>
      </w:pPr>
      <w:rPr>
        <w:rFonts w:hint="default"/>
      </w:rPr>
    </w:lvl>
    <w:lvl w:ilvl="4">
      <w:start w:val="1"/>
      <w:numFmt w:val="upperLetter"/>
      <w:lvlText w:val="(%5)"/>
      <w:lvlJc w:val="left"/>
      <w:pPr>
        <w:tabs>
          <w:tab w:val="num" w:pos="3402"/>
        </w:tabs>
        <w:ind w:left="3402" w:hanging="850"/>
      </w:pPr>
      <w:rPr>
        <w:rFonts w:hint="default"/>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6" w15:restartNumberingAfterBreak="0">
    <w:nsid w:val="046F3EB8"/>
    <w:multiLevelType w:val="multilevel"/>
    <w:tmpl w:val="1694B12A"/>
    <w:lvl w:ilvl="0">
      <w:start w:val="131"/>
      <w:numFmt w:val="decimal"/>
      <w:isLgl/>
      <w:lvlText w:val="%1"/>
      <w:lvlJc w:val="left"/>
      <w:pPr>
        <w:tabs>
          <w:tab w:val="num" w:pos="851"/>
        </w:tabs>
        <w:ind w:left="851" w:hanging="851"/>
      </w:pPr>
      <w:rPr>
        <w:rFonts w:ascii="Times New Roman" w:hAnsi="Times New Roman" w:hint="default"/>
        <w:b/>
        <w:i w:val="0"/>
        <w:caps/>
        <w:sz w:val="24"/>
      </w:rPr>
    </w:lvl>
    <w:lvl w:ilvl="1">
      <w:start w:val="7"/>
      <w:numFmt w:val="decimal"/>
      <w:lvlRestart w:val="0"/>
      <w:isLgl/>
      <w:lvlText w:val="%1.%2"/>
      <w:lvlJc w:val="left"/>
      <w:pPr>
        <w:tabs>
          <w:tab w:val="num" w:pos="851"/>
        </w:tabs>
        <w:ind w:left="851" w:hanging="851"/>
      </w:pPr>
      <w:rPr>
        <w:rFonts w:ascii="Times New Roman" w:hAnsi="Times New Roman" w:hint="default"/>
        <w:b/>
        <w:i w:val="0"/>
        <w:sz w:val="24"/>
      </w:rPr>
    </w:lvl>
    <w:lvl w:ilvl="2">
      <w:start w:val="1"/>
      <w:numFmt w:val="lowerLetter"/>
      <w:lvlText w:val="(%3)"/>
      <w:lvlJc w:val="left"/>
      <w:pPr>
        <w:tabs>
          <w:tab w:val="num" w:pos="1843"/>
        </w:tabs>
        <w:ind w:left="1843" w:hanging="850"/>
      </w:pPr>
      <w:rPr>
        <w:rFonts w:hint="default"/>
        <w:b w:val="0"/>
        <w:i w:val="0"/>
        <w:color w:val="auto"/>
        <w:sz w:val="20"/>
        <w:szCs w:val="20"/>
      </w:rPr>
    </w:lvl>
    <w:lvl w:ilvl="3">
      <w:start w:val="1"/>
      <w:numFmt w:val="lowerRoman"/>
      <w:lvlText w:val="(%4)"/>
      <w:lvlJc w:val="left"/>
      <w:pPr>
        <w:tabs>
          <w:tab w:val="num" w:pos="2552"/>
        </w:tabs>
        <w:ind w:left="2552" w:hanging="851"/>
      </w:pPr>
      <w:rPr>
        <w:rFonts w:hint="default"/>
        <w:b w:val="0"/>
      </w:rPr>
    </w:lvl>
    <w:lvl w:ilvl="4">
      <w:start w:val="3"/>
      <w:numFmt w:val="upperLetter"/>
      <w:lvlText w:val="(%5)"/>
      <w:lvlJc w:val="left"/>
      <w:pPr>
        <w:tabs>
          <w:tab w:val="num" w:pos="3402"/>
        </w:tabs>
        <w:ind w:left="3402" w:hanging="850"/>
      </w:pPr>
      <w:rPr>
        <w:rFonts w:hint="default"/>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7" w15:restartNumberingAfterBreak="0">
    <w:nsid w:val="04D630E8"/>
    <w:multiLevelType w:val="hybridMultilevel"/>
    <w:tmpl w:val="F9B8C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5013549"/>
    <w:multiLevelType w:val="hybridMultilevel"/>
    <w:tmpl w:val="DCA43C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6192C0E"/>
    <w:multiLevelType w:val="multilevel"/>
    <w:tmpl w:val="793212AA"/>
    <w:name w:val="XtraLexA"/>
    <w:lvl w:ilvl="0">
      <w:start w:val="1"/>
      <w:numFmt w:val="none"/>
      <w:pStyle w:val="Heading1"/>
      <w:suff w:val="nothing"/>
      <w:lvlText w:val="%1"/>
      <w:lvlJc w:val="left"/>
      <w:pPr>
        <w:ind w:left="0" w:firstLine="0"/>
      </w:pPr>
      <w:rPr>
        <w:rFonts w:ascii="Arial" w:hAnsi="Arial" w:hint="default"/>
        <w:b w:val="0"/>
        <w:i w:val="0"/>
        <w:sz w:val="72"/>
      </w:rPr>
    </w:lvl>
    <w:lvl w:ilvl="1">
      <w:start w:val="1"/>
      <w:numFmt w:val="none"/>
      <w:lvlRestart w:val="0"/>
      <w:pStyle w:val="Heading2"/>
      <w:suff w:val="nothing"/>
      <w:lvlText w:val="%2"/>
      <w:lvlJc w:val="left"/>
      <w:pPr>
        <w:ind w:left="0" w:firstLine="0"/>
      </w:pPr>
      <w:rPr>
        <w:rFonts w:ascii="Arial" w:hAnsi="Arial" w:hint="default"/>
        <w:b w:val="0"/>
        <w:i w:val="0"/>
        <w:sz w:val="48"/>
      </w:rPr>
    </w:lvl>
    <w:lvl w:ilvl="2">
      <w:start w:val="1"/>
      <w:numFmt w:val="none"/>
      <w:lvlRestart w:val="0"/>
      <w:pStyle w:val="Heading3"/>
      <w:suff w:val="nothing"/>
      <w:lvlText w:val="%3"/>
      <w:lvlJc w:val="left"/>
      <w:pPr>
        <w:ind w:left="0" w:firstLine="0"/>
      </w:pPr>
      <w:rPr>
        <w:rFonts w:ascii="Arial" w:hAnsi="Arial" w:hint="default"/>
        <w:b w:val="0"/>
        <w:i w:val="0"/>
        <w:sz w:val="40"/>
      </w:rPr>
    </w:lvl>
    <w:lvl w:ilvl="3">
      <w:start w:val="1"/>
      <w:numFmt w:val="decimal"/>
      <w:pStyle w:val="Heading4"/>
      <w:lvlText w:val="%4."/>
      <w:lvlJc w:val="left"/>
      <w:pPr>
        <w:tabs>
          <w:tab w:val="num" w:pos="720"/>
        </w:tabs>
        <w:ind w:left="0" w:firstLine="0"/>
      </w:pPr>
      <w:rPr>
        <w:rFonts w:ascii="Arial" w:hAnsi="Arial" w:hint="default"/>
        <w:sz w:val="32"/>
      </w:rPr>
    </w:lvl>
    <w:lvl w:ilvl="4">
      <w:start w:val="1"/>
      <w:numFmt w:val="none"/>
      <w:lvlRestart w:val="0"/>
      <w:pStyle w:val="Heading5"/>
      <w:lvlText w:val=""/>
      <w:lvlJc w:val="left"/>
      <w:pPr>
        <w:tabs>
          <w:tab w:val="num" w:pos="1440"/>
        </w:tabs>
        <w:ind w:left="0" w:firstLine="0"/>
      </w:pPr>
      <w:rPr>
        <w:rFonts w:ascii="Arial" w:hAnsi="Arial" w:hint="default"/>
        <w:b/>
        <w:i w:val="0"/>
        <w:sz w:val="24"/>
      </w:rPr>
    </w:lvl>
    <w:lvl w:ilvl="5">
      <w:start w:val="1"/>
      <w:numFmt w:val="decimal"/>
      <w:lvlRestart w:val="4"/>
      <w:pStyle w:val="Heading6"/>
      <w:isLgl/>
      <w:lvlText w:val="%4.%6"/>
      <w:lvlJc w:val="left"/>
      <w:pPr>
        <w:tabs>
          <w:tab w:val="num" w:pos="720"/>
        </w:tabs>
        <w:ind w:left="0" w:firstLine="0"/>
      </w:pPr>
      <w:rPr>
        <w:rFonts w:ascii="Arial" w:hAnsi="Arial" w:hint="default"/>
        <w:b w:val="0"/>
        <w:i w:val="0"/>
        <w:sz w:val="20"/>
      </w:rPr>
    </w:lvl>
    <w:lvl w:ilvl="6">
      <w:start w:val="1"/>
      <w:numFmt w:val="lowerLetter"/>
      <w:pStyle w:val="Heading7"/>
      <w:lvlText w:val="(%7)"/>
      <w:lvlJc w:val="left"/>
      <w:pPr>
        <w:ind w:left="1288" w:hanging="720"/>
      </w:pPr>
      <w:rPr>
        <w:i w:val="0"/>
      </w:rPr>
    </w:lvl>
    <w:lvl w:ilvl="7">
      <w:start w:val="1"/>
      <w:numFmt w:val="lowerRoman"/>
      <w:pStyle w:val="Heading8"/>
      <w:lvlText w:val="(%8)"/>
      <w:lvlJc w:val="left"/>
      <w:pPr>
        <w:ind w:left="2160" w:hanging="720"/>
      </w:pPr>
      <w:rPr>
        <w:b w:val="0"/>
        <w:i w:val="0"/>
        <w:sz w:val="20"/>
        <w:szCs w:val="20"/>
      </w:rPr>
    </w:lvl>
    <w:lvl w:ilvl="8">
      <w:start w:val="1"/>
      <w:numFmt w:val="upperLetter"/>
      <w:pStyle w:val="Heading9"/>
      <w:lvlText w:val="(%9)"/>
      <w:lvlJc w:val="left"/>
      <w:pPr>
        <w:ind w:left="2880" w:hanging="720"/>
      </w:pPr>
      <w:rPr>
        <w:rFonts w:ascii="Arial" w:hAnsi="Arial" w:hint="default"/>
        <w:b w:val="0"/>
        <w:i w:val="0"/>
        <w:sz w:val="20"/>
      </w:rPr>
    </w:lvl>
  </w:abstractNum>
  <w:abstractNum w:abstractNumId="10" w15:restartNumberingAfterBreak="0">
    <w:nsid w:val="06B74DF7"/>
    <w:multiLevelType w:val="hybridMultilevel"/>
    <w:tmpl w:val="D804AEC2"/>
    <w:lvl w:ilvl="0" w:tplc="421ECFA8">
      <w:start w:val="1"/>
      <w:numFmt w:val="lowerLetter"/>
      <w:lvlText w:val="(a%1)"/>
      <w:lvlJc w:val="left"/>
      <w:pPr>
        <w:ind w:left="720" w:hanging="720"/>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6E368A6"/>
    <w:multiLevelType w:val="hybridMultilevel"/>
    <w:tmpl w:val="F18E82EC"/>
    <w:lvl w:ilvl="0" w:tplc="B1942AC4">
      <w:start w:val="1"/>
      <w:numFmt w:val="lowerLetter"/>
      <w:lvlText w:val="(a%1)"/>
      <w:lvlJc w:val="left"/>
      <w:pPr>
        <w:tabs>
          <w:tab w:val="num" w:pos="3600"/>
        </w:tabs>
        <w:ind w:left="36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760125"/>
    <w:multiLevelType w:val="multilevel"/>
    <w:tmpl w:val="39F28488"/>
    <w:lvl w:ilvl="0">
      <w:start w:val="2"/>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lvlRestart w:val="0"/>
      <w:isLgl/>
      <w:lvlText w:val="%1.%2"/>
      <w:lvlJc w:val="left"/>
      <w:pPr>
        <w:tabs>
          <w:tab w:val="num" w:pos="851"/>
        </w:tabs>
        <w:ind w:left="851" w:hanging="851"/>
      </w:pPr>
      <w:rPr>
        <w:rFonts w:ascii="Times New Roman" w:hAnsi="Times New Roman" w:hint="default"/>
        <w:b/>
        <w:i w:val="0"/>
        <w:sz w:val="24"/>
      </w:rPr>
    </w:lvl>
    <w:lvl w:ilvl="2">
      <w:start w:val="1"/>
      <w:numFmt w:val="lowerLetter"/>
      <w:lvlText w:val="(%3)"/>
      <w:lvlJc w:val="left"/>
      <w:pPr>
        <w:tabs>
          <w:tab w:val="num" w:pos="1701"/>
        </w:tabs>
        <w:ind w:left="1701" w:hanging="850"/>
      </w:pPr>
      <w:rPr>
        <w:rFonts w:ascii="Times New Roman" w:hAnsi="Times New Roman" w:hint="default"/>
        <w:b w:val="0"/>
        <w:i w:val="0"/>
        <w:sz w:val="24"/>
      </w:rPr>
    </w:lvl>
    <w:lvl w:ilvl="3">
      <w:start w:val="1"/>
      <w:numFmt w:val="lowerRoman"/>
      <w:lvlText w:val="(%4)"/>
      <w:lvlJc w:val="left"/>
      <w:pPr>
        <w:tabs>
          <w:tab w:val="num" w:pos="2552"/>
        </w:tabs>
        <w:ind w:left="2552" w:hanging="851"/>
      </w:pPr>
      <w:rPr>
        <w:rFonts w:hint="default"/>
        <w:b w:val="0"/>
        <w:i w:val="0"/>
      </w:rPr>
    </w:lvl>
    <w:lvl w:ilvl="4">
      <w:start w:val="1"/>
      <w:numFmt w:val="upperLetter"/>
      <w:lvlText w:val="(%5)"/>
      <w:lvlJc w:val="left"/>
      <w:pPr>
        <w:tabs>
          <w:tab w:val="num" w:pos="3402"/>
        </w:tabs>
        <w:ind w:left="3402" w:hanging="850"/>
      </w:pPr>
      <w:rPr>
        <w:rFonts w:hint="default"/>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13" w15:restartNumberingAfterBreak="0">
    <w:nsid w:val="0E7E1835"/>
    <w:multiLevelType w:val="hybridMultilevel"/>
    <w:tmpl w:val="990CF33E"/>
    <w:lvl w:ilvl="0" w:tplc="04090001">
      <w:start w:val="1"/>
      <w:numFmt w:val="bullet"/>
      <w:pStyle w:val="SectionL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8166CE"/>
    <w:multiLevelType w:val="multilevel"/>
    <w:tmpl w:val="1F1E04CE"/>
    <w:name w:val="BM Bul 4LT"/>
    <w:lvl w:ilvl="0">
      <w:start w:val="1"/>
      <w:numFmt w:val="bullet"/>
      <w:lvlRestart w:val="0"/>
      <w:lvlText w:val="•"/>
      <w:lvlJc w:val="left"/>
      <w:pPr>
        <w:tabs>
          <w:tab w:val="num" w:pos="1440"/>
        </w:tabs>
        <w:ind w:left="1440" w:hanging="720"/>
      </w:pPr>
      <w:rPr>
        <w:rFonts w:ascii="Arial" w:hAnsi="Arial" w:cs="Arial"/>
        <w:b w:val="0"/>
        <w:i w:val="0"/>
        <w:color w:val="000000"/>
        <w:spacing w:val="0"/>
        <w:w w:val="100"/>
        <w:sz w:val="20"/>
        <w:u w:val="none"/>
      </w:rPr>
    </w:lvl>
    <w:lvl w:ilvl="1">
      <w:start w:val="1"/>
      <w:numFmt w:val="none"/>
      <w:lvlText w:val=""/>
      <w:lvlJc w:val="left"/>
      <w:pPr>
        <w:ind w:left="720" w:hanging="720"/>
      </w:pPr>
    </w:lvl>
    <w:lvl w:ilvl="2">
      <w:start w:val="1"/>
      <w:numFmt w:val="none"/>
      <w:lvlText w:val=""/>
      <w:lvlJc w:val="left"/>
      <w:pPr>
        <w:ind w:left="720" w:hanging="720"/>
      </w:pPr>
    </w:lvl>
    <w:lvl w:ilvl="3">
      <w:start w:val="1"/>
      <w:numFmt w:val="none"/>
      <w:lvlText w:val=""/>
      <w:lvlJc w:val="left"/>
      <w:pPr>
        <w:ind w:left="720" w:hanging="720"/>
      </w:pPr>
    </w:lvl>
    <w:lvl w:ilvl="4">
      <w:start w:val="1"/>
      <w:numFmt w:val="none"/>
      <w:lvlText w:val=""/>
      <w:lvlJc w:val="left"/>
      <w:pPr>
        <w:ind w:left="720" w:hanging="720"/>
      </w:pPr>
    </w:lvl>
    <w:lvl w:ilvl="5">
      <w:start w:val="1"/>
      <w:numFmt w:val="none"/>
      <w:lvlText w:val=""/>
      <w:lvlJc w:val="left"/>
      <w:pPr>
        <w:ind w:left="720" w:hanging="720"/>
      </w:pPr>
    </w:lvl>
    <w:lvl w:ilvl="6">
      <w:start w:val="1"/>
      <w:numFmt w:val="none"/>
      <w:lvlText w:val=""/>
      <w:lvlJc w:val="left"/>
      <w:pPr>
        <w:ind w:left="720" w:hanging="720"/>
      </w:pPr>
    </w:lvl>
    <w:lvl w:ilvl="7">
      <w:start w:val="1"/>
      <w:numFmt w:val="none"/>
      <w:lvlText w:val=""/>
      <w:lvlJc w:val="left"/>
      <w:pPr>
        <w:ind w:left="720" w:hanging="720"/>
      </w:pPr>
    </w:lvl>
    <w:lvl w:ilvl="8">
      <w:start w:val="1"/>
      <w:numFmt w:val="none"/>
      <w:lvlText w:val=""/>
      <w:lvlJc w:val="left"/>
      <w:pPr>
        <w:ind w:left="720" w:hanging="720"/>
      </w:pPr>
    </w:lvl>
  </w:abstractNum>
  <w:abstractNum w:abstractNumId="15" w15:restartNumberingAfterBreak="0">
    <w:nsid w:val="189254F3"/>
    <w:multiLevelType w:val="multilevel"/>
    <w:tmpl w:val="82462CEC"/>
    <w:name w:val="BM Bul 7LT"/>
    <w:lvl w:ilvl="0">
      <w:start w:val="1"/>
      <w:numFmt w:val="bullet"/>
      <w:lvlRestart w:val="0"/>
      <w:lvlText w:val="•"/>
      <w:lvlJc w:val="left"/>
      <w:pPr>
        <w:tabs>
          <w:tab w:val="num" w:pos="2160"/>
        </w:tabs>
        <w:ind w:left="2160" w:hanging="720"/>
      </w:pPr>
      <w:rPr>
        <w:rFonts w:ascii="Arial" w:hAnsi="Arial" w:cs="Arial"/>
        <w:b w:val="0"/>
        <w:i w:val="0"/>
        <w:color w:val="000000"/>
        <w:spacing w:val="0"/>
        <w:w w:val="100"/>
        <w:sz w:val="20"/>
        <w:u w:val="none"/>
      </w:rPr>
    </w:lvl>
    <w:lvl w:ilvl="1">
      <w:start w:val="1"/>
      <w:numFmt w:val="none"/>
      <w:lvlText w:val=""/>
      <w:lvlJc w:val="left"/>
      <w:pPr>
        <w:ind w:left="720" w:hanging="720"/>
      </w:pPr>
    </w:lvl>
    <w:lvl w:ilvl="2">
      <w:start w:val="1"/>
      <w:numFmt w:val="none"/>
      <w:lvlText w:val=""/>
      <w:lvlJc w:val="left"/>
      <w:pPr>
        <w:ind w:left="720" w:hanging="720"/>
      </w:pPr>
    </w:lvl>
    <w:lvl w:ilvl="3">
      <w:start w:val="1"/>
      <w:numFmt w:val="none"/>
      <w:lvlText w:val=""/>
      <w:lvlJc w:val="left"/>
      <w:pPr>
        <w:ind w:left="720" w:hanging="720"/>
      </w:pPr>
    </w:lvl>
    <w:lvl w:ilvl="4">
      <w:start w:val="1"/>
      <w:numFmt w:val="none"/>
      <w:lvlText w:val=""/>
      <w:lvlJc w:val="left"/>
      <w:pPr>
        <w:ind w:left="720" w:hanging="720"/>
      </w:pPr>
    </w:lvl>
    <w:lvl w:ilvl="5">
      <w:start w:val="1"/>
      <w:numFmt w:val="none"/>
      <w:lvlText w:val=""/>
      <w:lvlJc w:val="left"/>
      <w:pPr>
        <w:ind w:left="720" w:hanging="720"/>
      </w:pPr>
    </w:lvl>
    <w:lvl w:ilvl="6">
      <w:start w:val="1"/>
      <w:numFmt w:val="none"/>
      <w:lvlText w:val=""/>
      <w:lvlJc w:val="left"/>
      <w:pPr>
        <w:ind w:left="720" w:hanging="720"/>
      </w:pPr>
    </w:lvl>
    <w:lvl w:ilvl="7">
      <w:start w:val="1"/>
      <w:numFmt w:val="none"/>
      <w:lvlText w:val=""/>
      <w:lvlJc w:val="left"/>
      <w:pPr>
        <w:ind w:left="720" w:hanging="720"/>
      </w:pPr>
    </w:lvl>
    <w:lvl w:ilvl="8">
      <w:start w:val="1"/>
      <w:numFmt w:val="none"/>
      <w:lvlText w:val=""/>
      <w:lvlJc w:val="left"/>
      <w:pPr>
        <w:ind w:left="720" w:hanging="720"/>
      </w:pPr>
    </w:lvl>
  </w:abstractNum>
  <w:abstractNum w:abstractNumId="16" w15:restartNumberingAfterBreak="0">
    <w:nsid w:val="1BBF282B"/>
    <w:multiLevelType w:val="multilevel"/>
    <w:tmpl w:val="CE5E69D6"/>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lvlRestart w:val="0"/>
      <w:isLgl/>
      <w:lvlText w:val="%1.%2"/>
      <w:lvlJc w:val="left"/>
      <w:pPr>
        <w:tabs>
          <w:tab w:val="num" w:pos="851"/>
        </w:tabs>
        <w:ind w:left="851" w:hanging="851"/>
      </w:pPr>
      <w:rPr>
        <w:rFonts w:ascii="Times New Roman" w:hAnsi="Times New Roman" w:hint="default"/>
        <w:b/>
        <w:i w:val="0"/>
        <w:sz w:val="24"/>
      </w:rPr>
    </w:lvl>
    <w:lvl w:ilvl="2">
      <w:start w:val="1"/>
      <w:numFmt w:val="lowerLetter"/>
      <w:lvlText w:val="(%3)"/>
      <w:lvlJc w:val="left"/>
      <w:pPr>
        <w:tabs>
          <w:tab w:val="num" w:pos="1701"/>
        </w:tabs>
        <w:ind w:left="1701" w:hanging="850"/>
      </w:pPr>
      <w:rPr>
        <w:rFonts w:ascii="Times New Roman" w:hAnsi="Times New Roman" w:hint="default"/>
        <w:b w:val="0"/>
        <w:i w:val="0"/>
        <w:sz w:val="24"/>
      </w:rPr>
    </w:lvl>
    <w:lvl w:ilvl="3">
      <w:start w:val="1"/>
      <w:numFmt w:val="lowerRoman"/>
      <w:lvlText w:val="(%4)"/>
      <w:lvlJc w:val="left"/>
      <w:pPr>
        <w:tabs>
          <w:tab w:val="num" w:pos="2552"/>
        </w:tabs>
        <w:ind w:left="2552" w:hanging="851"/>
      </w:pPr>
      <w:rPr>
        <w:rFonts w:hint="default"/>
      </w:rPr>
    </w:lvl>
    <w:lvl w:ilvl="4">
      <w:start w:val="1"/>
      <w:numFmt w:val="upperLetter"/>
      <w:lvlText w:val="(%5)"/>
      <w:lvlJc w:val="left"/>
      <w:pPr>
        <w:tabs>
          <w:tab w:val="num" w:pos="3402"/>
        </w:tabs>
        <w:ind w:left="3402" w:hanging="850"/>
      </w:pPr>
      <w:rPr>
        <w:rFonts w:hint="default"/>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17" w15:restartNumberingAfterBreak="0">
    <w:nsid w:val="214103E8"/>
    <w:multiLevelType w:val="hybridMultilevel"/>
    <w:tmpl w:val="E6501588"/>
    <w:lvl w:ilvl="0" w:tplc="338E1ADC">
      <w:start w:val="1"/>
      <w:numFmt w:val="lowerLetter"/>
      <w:lvlText w:val="(a%1)"/>
      <w:lvlJc w:val="left"/>
      <w:pPr>
        <w:ind w:left="3600" w:hanging="360"/>
      </w:pPr>
      <w:rPr>
        <w:rFonts w:ascii="Arial" w:hAnsi="Arial" w:hint="default"/>
        <w:b w:val="0"/>
        <w:i w:val="0"/>
        <w:sz w:val="20"/>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8" w15:restartNumberingAfterBreak="0">
    <w:nsid w:val="22776053"/>
    <w:multiLevelType w:val="hybridMultilevel"/>
    <w:tmpl w:val="E6501588"/>
    <w:lvl w:ilvl="0" w:tplc="338E1ADC">
      <w:start w:val="1"/>
      <w:numFmt w:val="lowerLetter"/>
      <w:lvlText w:val="(a%1)"/>
      <w:lvlJc w:val="left"/>
      <w:pPr>
        <w:ind w:left="3600" w:hanging="360"/>
      </w:pPr>
      <w:rPr>
        <w:rFonts w:ascii="Arial" w:hAnsi="Arial" w:hint="default"/>
        <w:b w:val="0"/>
        <w:i w:val="0"/>
        <w:sz w:val="20"/>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9" w15:restartNumberingAfterBreak="0">
    <w:nsid w:val="258879A6"/>
    <w:multiLevelType w:val="hybridMultilevel"/>
    <w:tmpl w:val="8606272A"/>
    <w:lvl w:ilvl="0" w:tplc="DCA40DB6">
      <w:start w:val="1"/>
      <w:numFmt w:val="lowerLetter"/>
      <w:lvlText w:val="(a%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6D43CE3"/>
    <w:multiLevelType w:val="hybridMultilevel"/>
    <w:tmpl w:val="8606272A"/>
    <w:lvl w:ilvl="0" w:tplc="DCA40DB6">
      <w:start w:val="1"/>
      <w:numFmt w:val="lowerLetter"/>
      <w:lvlText w:val="(a%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8F32F6D"/>
    <w:multiLevelType w:val="multilevel"/>
    <w:tmpl w:val="DB26C3B8"/>
    <w:lvl w:ilvl="0">
      <w:start w:val="131"/>
      <w:numFmt w:val="decimal"/>
      <w:lvlText w:val="%1"/>
      <w:lvlJc w:val="left"/>
      <w:pPr>
        <w:tabs>
          <w:tab w:val="num" w:pos="851"/>
        </w:tabs>
        <w:ind w:left="851" w:hanging="851"/>
      </w:pPr>
      <w:rPr>
        <w:rFonts w:ascii="Arial" w:hAnsi="Arial" w:cs="Arial" w:hint="default"/>
        <w:b w:val="0"/>
        <w:i w:val="0"/>
        <w:caps/>
        <w:sz w:val="32"/>
        <w:szCs w:val="32"/>
      </w:rPr>
    </w:lvl>
    <w:lvl w:ilvl="1">
      <w:start w:val="1"/>
      <w:numFmt w:val="decimal"/>
      <w:lvlText w:val="%1.%2"/>
      <w:lvlJc w:val="left"/>
      <w:pPr>
        <w:tabs>
          <w:tab w:val="num" w:pos="851"/>
        </w:tabs>
        <w:ind w:left="851" w:hanging="851"/>
      </w:pPr>
      <w:rPr>
        <w:rFonts w:ascii="Arial" w:hAnsi="Arial" w:cs="Arial" w:hint="default"/>
        <w:b w:val="0"/>
        <w:i w:val="0"/>
        <w:sz w:val="20"/>
        <w:szCs w:val="20"/>
      </w:rPr>
    </w:lvl>
    <w:lvl w:ilvl="2">
      <w:start w:val="1"/>
      <w:numFmt w:val="lowerLetter"/>
      <w:lvlText w:val="(%3)"/>
      <w:lvlJc w:val="left"/>
      <w:pPr>
        <w:tabs>
          <w:tab w:val="num" w:pos="2127"/>
        </w:tabs>
        <w:ind w:left="2127" w:hanging="850"/>
      </w:pPr>
      <w:rPr>
        <w:rFonts w:ascii="Arial" w:hAnsi="Arial" w:cs="Arial" w:hint="default"/>
        <w:b w:val="0"/>
        <w:i w:val="0"/>
        <w:color w:val="auto"/>
        <w:sz w:val="20"/>
        <w:szCs w:val="20"/>
      </w:rPr>
    </w:lvl>
    <w:lvl w:ilvl="3">
      <w:start w:val="1"/>
      <w:numFmt w:val="lowerRoman"/>
      <w:lvlText w:val="(%4)"/>
      <w:lvlJc w:val="left"/>
      <w:pPr>
        <w:tabs>
          <w:tab w:val="num" w:pos="2552"/>
        </w:tabs>
        <w:ind w:left="2552" w:hanging="851"/>
      </w:pPr>
      <w:rPr>
        <w:rFonts w:hint="default"/>
        <w:b w:val="0"/>
        <w:i w:val="0"/>
        <w:sz w:val="22"/>
        <w:szCs w:val="22"/>
      </w:rPr>
    </w:lvl>
    <w:lvl w:ilvl="4">
      <w:start w:val="1"/>
      <w:numFmt w:val="upperLetter"/>
      <w:lvlText w:val="(%5)"/>
      <w:lvlJc w:val="left"/>
      <w:pPr>
        <w:tabs>
          <w:tab w:val="num" w:pos="3402"/>
        </w:tabs>
        <w:ind w:left="3402" w:hanging="850"/>
      </w:pPr>
      <w:rPr>
        <w:rFonts w:hint="default"/>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22" w15:restartNumberingAfterBreak="0">
    <w:nsid w:val="2A215BC9"/>
    <w:multiLevelType w:val="hybridMultilevel"/>
    <w:tmpl w:val="8606272A"/>
    <w:lvl w:ilvl="0" w:tplc="DCA40DB6">
      <w:start w:val="1"/>
      <w:numFmt w:val="lowerLetter"/>
      <w:lvlText w:val="(a%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C766092"/>
    <w:multiLevelType w:val="hybridMultilevel"/>
    <w:tmpl w:val="0AA6E1F4"/>
    <w:lvl w:ilvl="0" w:tplc="14C2B5DA">
      <w:start w:val="1"/>
      <w:numFmt w:val="lowerRoman"/>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2DC77255"/>
    <w:multiLevelType w:val="hybridMultilevel"/>
    <w:tmpl w:val="9324478E"/>
    <w:lvl w:ilvl="0" w:tplc="B1942AC4">
      <w:start w:val="1"/>
      <w:numFmt w:val="lowerLetter"/>
      <w:lvlText w:val="(a%1)"/>
      <w:lvlJc w:val="left"/>
      <w:pPr>
        <w:tabs>
          <w:tab w:val="num" w:pos="3600"/>
        </w:tabs>
        <w:ind w:left="3600" w:hanging="720"/>
      </w:pPr>
      <w:rPr>
        <w:rFonts w:hint="default"/>
      </w:rPr>
    </w:lvl>
    <w:lvl w:ilvl="1" w:tplc="6170A2C8">
      <w:start w:val="1"/>
      <w:numFmt w:val="lowerLetter"/>
      <w:lvlText w:val="(%2)"/>
      <w:lvlJc w:val="left"/>
      <w:pPr>
        <w:ind w:left="2520" w:hanging="144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F5C092B"/>
    <w:multiLevelType w:val="hybridMultilevel"/>
    <w:tmpl w:val="F18E82EC"/>
    <w:lvl w:ilvl="0" w:tplc="B1942AC4">
      <w:start w:val="1"/>
      <w:numFmt w:val="lowerLetter"/>
      <w:lvlText w:val="(a%1)"/>
      <w:lvlJc w:val="left"/>
      <w:pPr>
        <w:tabs>
          <w:tab w:val="num" w:pos="3600"/>
        </w:tabs>
        <w:ind w:left="36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7B4D2B"/>
    <w:multiLevelType w:val="hybridMultilevel"/>
    <w:tmpl w:val="D804AEC2"/>
    <w:lvl w:ilvl="0" w:tplc="421ECFA8">
      <w:start w:val="1"/>
      <w:numFmt w:val="lowerLetter"/>
      <w:lvlText w:val="(a%1)"/>
      <w:lvlJc w:val="left"/>
      <w:pPr>
        <w:ind w:left="720" w:hanging="720"/>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AE646F1"/>
    <w:multiLevelType w:val="hybridMultilevel"/>
    <w:tmpl w:val="8606272A"/>
    <w:lvl w:ilvl="0" w:tplc="DCA40DB6">
      <w:start w:val="1"/>
      <w:numFmt w:val="lowerLetter"/>
      <w:lvlText w:val="(a%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F6B2CC0"/>
    <w:multiLevelType w:val="multilevel"/>
    <w:tmpl w:val="A6964012"/>
    <w:name w:val="BM Bul 6LT"/>
    <w:lvl w:ilvl="0">
      <w:start w:val="1"/>
      <w:numFmt w:val="bullet"/>
      <w:lvlRestart w:val="0"/>
      <w:lvlText w:val="•"/>
      <w:lvlJc w:val="left"/>
      <w:pPr>
        <w:tabs>
          <w:tab w:val="num" w:pos="1440"/>
        </w:tabs>
        <w:ind w:left="1440" w:hanging="720"/>
      </w:pPr>
      <w:rPr>
        <w:rFonts w:ascii="Arial" w:hAnsi="Arial" w:cs="Arial"/>
        <w:b w:val="0"/>
        <w:i w:val="0"/>
        <w:color w:val="000000"/>
        <w:spacing w:val="0"/>
        <w:w w:val="100"/>
        <w:sz w:val="20"/>
        <w:u w:val="none"/>
      </w:rPr>
    </w:lvl>
    <w:lvl w:ilvl="1">
      <w:start w:val="1"/>
      <w:numFmt w:val="none"/>
      <w:lvlText w:val=""/>
      <w:lvlJc w:val="left"/>
      <w:pPr>
        <w:ind w:left="720" w:hanging="720"/>
      </w:pPr>
    </w:lvl>
    <w:lvl w:ilvl="2">
      <w:start w:val="1"/>
      <w:numFmt w:val="none"/>
      <w:lvlText w:val=""/>
      <w:lvlJc w:val="left"/>
      <w:pPr>
        <w:ind w:left="720" w:hanging="720"/>
      </w:pPr>
    </w:lvl>
    <w:lvl w:ilvl="3">
      <w:start w:val="1"/>
      <w:numFmt w:val="none"/>
      <w:lvlText w:val=""/>
      <w:lvlJc w:val="left"/>
      <w:pPr>
        <w:ind w:left="720" w:hanging="720"/>
      </w:pPr>
    </w:lvl>
    <w:lvl w:ilvl="4">
      <w:start w:val="1"/>
      <w:numFmt w:val="none"/>
      <w:lvlText w:val=""/>
      <w:lvlJc w:val="left"/>
      <w:pPr>
        <w:ind w:left="720" w:hanging="720"/>
      </w:pPr>
    </w:lvl>
    <w:lvl w:ilvl="5">
      <w:start w:val="1"/>
      <w:numFmt w:val="none"/>
      <w:lvlText w:val=""/>
      <w:lvlJc w:val="left"/>
      <w:pPr>
        <w:ind w:left="720" w:hanging="720"/>
      </w:pPr>
    </w:lvl>
    <w:lvl w:ilvl="6">
      <w:start w:val="1"/>
      <w:numFmt w:val="none"/>
      <w:lvlText w:val=""/>
      <w:lvlJc w:val="left"/>
      <w:pPr>
        <w:ind w:left="720" w:hanging="720"/>
      </w:pPr>
    </w:lvl>
    <w:lvl w:ilvl="7">
      <w:start w:val="1"/>
      <w:numFmt w:val="none"/>
      <w:lvlText w:val=""/>
      <w:lvlJc w:val="left"/>
      <w:pPr>
        <w:ind w:left="720" w:hanging="720"/>
      </w:pPr>
    </w:lvl>
    <w:lvl w:ilvl="8">
      <w:start w:val="1"/>
      <w:numFmt w:val="none"/>
      <w:lvlText w:val=""/>
      <w:lvlJc w:val="left"/>
      <w:pPr>
        <w:ind w:left="720" w:hanging="720"/>
      </w:pPr>
    </w:lvl>
  </w:abstractNum>
  <w:abstractNum w:abstractNumId="29" w15:restartNumberingAfterBreak="0">
    <w:nsid w:val="40B82657"/>
    <w:multiLevelType w:val="hybridMultilevel"/>
    <w:tmpl w:val="07FA4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C32D3B"/>
    <w:multiLevelType w:val="multilevel"/>
    <w:tmpl w:val="CE5E69D6"/>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lvlRestart w:val="0"/>
      <w:isLgl/>
      <w:lvlText w:val="%1.%2"/>
      <w:lvlJc w:val="left"/>
      <w:pPr>
        <w:tabs>
          <w:tab w:val="num" w:pos="851"/>
        </w:tabs>
        <w:ind w:left="851" w:hanging="851"/>
      </w:pPr>
      <w:rPr>
        <w:rFonts w:ascii="Times New Roman" w:hAnsi="Times New Roman" w:hint="default"/>
        <w:b/>
        <w:i w:val="0"/>
        <w:sz w:val="24"/>
      </w:rPr>
    </w:lvl>
    <w:lvl w:ilvl="2">
      <w:start w:val="1"/>
      <w:numFmt w:val="lowerLetter"/>
      <w:lvlText w:val="(%3)"/>
      <w:lvlJc w:val="left"/>
      <w:pPr>
        <w:tabs>
          <w:tab w:val="num" w:pos="1701"/>
        </w:tabs>
        <w:ind w:left="1701" w:hanging="850"/>
      </w:pPr>
      <w:rPr>
        <w:rFonts w:ascii="Times New Roman" w:hAnsi="Times New Roman" w:hint="default"/>
        <w:b w:val="0"/>
        <w:i w:val="0"/>
        <w:sz w:val="24"/>
      </w:rPr>
    </w:lvl>
    <w:lvl w:ilvl="3">
      <w:start w:val="1"/>
      <w:numFmt w:val="lowerRoman"/>
      <w:lvlText w:val="(%4)"/>
      <w:lvlJc w:val="left"/>
      <w:pPr>
        <w:tabs>
          <w:tab w:val="num" w:pos="2552"/>
        </w:tabs>
        <w:ind w:left="2552" w:hanging="851"/>
      </w:pPr>
      <w:rPr>
        <w:rFonts w:hint="default"/>
      </w:rPr>
    </w:lvl>
    <w:lvl w:ilvl="4">
      <w:start w:val="1"/>
      <w:numFmt w:val="upperLetter"/>
      <w:lvlText w:val="(%5)"/>
      <w:lvlJc w:val="left"/>
      <w:pPr>
        <w:tabs>
          <w:tab w:val="num" w:pos="3402"/>
        </w:tabs>
        <w:ind w:left="3402" w:hanging="850"/>
      </w:pPr>
      <w:rPr>
        <w:rFonts w:hint="default"/>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31" w15:restartNumberingAfterBreak="0">
    <w:nsid w:val="43DD4553"/>
    <w:multiLevelType w:val="hybridMultilevel"/>
    <w:tmpl w:val="E6501588"/>
    <w:lvl w:ilvl="0" w:tplc="338E1ADC">
      <w:start w:val="1"/>
      <w:numFmt w:val="lowerLetter"/>
      <w:lvlText w:val="(a%1)"/>
      <w:lvlJc w:val="left"/>
      <w:pPr>
        <w:ind w:left="3600" w:hanging="360"/>
      </w:pPr>
      <w:rPr>
        <w:rFonts w:ascii="Arial" w:hAnsi="Arial" w:hint="default"/>
        <w:b w:val="0"/>
        <w:i w:val="0"/>
        <w:sz w:val="20"/>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2" w15:restartNumberingAfterBreak="0">
    <w:nsid w:val="483273A8"/>
    <w:multiLevelType w:val="hybridMultilevel"/>
    <w:tmpl w:val="F18E82EC"/>
    <w:lvl w:ilvl="0" w:tplc="B1942AC4">
      <w:start w:val="1"/>
      <w:numFmt w:val="lowerLetter"/>
      <w:lvlText w:val="(a%1)"/>
      <w:lvlJc w:val="left"/>
      <w:pPr>
        <w:tabs>
          <w:tab w:val="num" w:pos="3600"/>
        </w:tabs>
        <w:ind w:left="36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C604304"/>
    <w:multiLevelType w:val="hybridMultilevel"/>
    <w:tmpl w:val="2D9E9582"/>
    <w:lvl w:ilvl="0" w:tplc="B78277D2">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4" w15:restartNumberingAfterBreak="0">
    <w:nsid w:val="4E4A37BF"/>
    <w:multiLevelType w:val="hybridMultilevel"/>
    <w:tmpl w:val="E6501588"/>
    <w:lvl w:ilvl="0" w:tplc="338E1ADC">
      <w:start w:val="1"/>
      <w:numFmt w:val="lowerLetter"/>
      <w:lvlText w:val="(a%1)"/>
      <w:lvlJc w:val="left"/>
      <w:pPr>
        <w:ind w:left="3600" w:hanging="360"/>
      </w:pPr>
      <w:rPr>
        <w:rFonts w:ascii="Arial" w:hAnsi="Arial" w:hint="default"/>
        <w:b w:val="0"/>
        <w:i w:val="0"/>
        <w:sz w:val="20"/>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5" w15:restartNumberingAfterBreak="0">
    <w:nsid w:val="516301D7"/>
    <w:multiLevelType w:val="hybridMultilevel"/>
    <w:tmpl w:val="E6501588"/>
    <w:lvl w:ilvl="0" w:tplc="338E1ADC">
      <w:start w:val="1"/>
      <w:numFmt w:val="lowerLetter"/>
      <w:lvlText w:val="(a%1)"/>
      <w:lvlJc w:val="left"/>
      <w:pPr>
        <w:ind w:left="3600" w:hanging="360"/>
      </w:pPr>
      <w:rPr>
        <w:rFonts w:ascii="Arial" w:hAnsi="Arial" w:hint="default"/>
        <w:b w:val="0"/>
        <w:i w:val="0"/>
        <w:sz w:val="20"/>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6" w15:restartNumberingAfterBreak="0">
    <w:nsid w:val="53635062"/>
    <w:multiLevelType w:val="hybridMultilevel"/>
    <w:tmpl w:val="D804AEC2"/>
    <w:lvl w:ilvl="0" w:tplc="421ECFA8">
      <w:start w:val="1"/>
      <w:numFmt w:val="lowerLetter"/>
      <w:lvlText w:val="(a%1)"/>
      <w:lvlJc w:val="left"/>
      <w:pPr>
        <w:ind w:left="720" w:hanging="720"/>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4FD3672"/>
    <w:multiLevelType w:val="hybridMultilevel"/>
    <w:tmpl w:val="C7DA8C18"/>
    <w:lvl w:ilvl="0" w:tplc="A1105D7A">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5E401486">
      <w:start w:val="1"/>
      <w:numFmt w:val="lowerLetter"/>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6426A57A">
      <w:start w:val="1"/>
      <w:numFmt w:val="lowerRoman"/>
      <w:lvlText w:val="(%8)"/>
      <w:lvlJc w:val="left"/>
      <w:pPr>
        <w:ind w:left="5760" w:hanging="360"/>
      </w:pPr>
      <w:rPr>
        <w:rFonts w:hint="default"/>
      </w:rPr>
    </w:lvl>
    <w:lvl w:ilvl="8" w:tplc="0409001B" w:tentative="1">
      <w:start w:val="1"/>
      <w:numFmt w:val="lowerRoman"/>
      <w:lvlText w:val="%9."/>
      <w:lvlJc w:val="right"/>
      <w:pPr>
        <w:ind w:left="6480" w:hanging="180"/>
      </w:pPr>
    </w:lvl>
  </w:abstractNum>
  <w:abstractNum w:abstractNumId="38" w15:restartNumberingAfterBreak="0">
    <w:nsid w:val="57EE19F1"/>
    <w:multiLevelType w:val="hybridMultilevel"/>
    <w:tmpl w:val="F3F45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A1B796B"/>
    <w:multiLevelType w:val="hybridMultilevel"/>
    <w:tmpl w:val="C31EF236"/>
    <w:lvl w:ilvl="0" w:tplc="2D8E1884">
      <w:start w:val="1"/>
      <w:numFmt w:val="lowerRoman"/>
      <w:lvlText w:val="(%1)"/>
      <w:lvlJc w:val="left"/>
      <w:pPr>
        <w:ind w:left="5760" w:hanging="360"/>
      </w:pPr>
      <w:rPr>
        <w:rFonts w:hint="default"/>
      </w:rPr>
    </w:lvl>
    <w:lvl w:ilvl="1" w:tplc="04090019" w:tentative="1">
      <w:start w:val="1"/>
      <w:numFmt w:val="lowerLetter"/>
      <w:lvlText w:val="%2."/>
      <w:lvlJc w:val="left"/>
      <w:pPr>
        <w:ind w:left="6480" w:hanging="360"/>
      </w:pPr>
    </w:lvl>
    <w:lvl w:ilvl="2" w:tplc="0409001B" w:tentative="1">
      <w:start w:val="1"/>
      <w:numFmt w:val="lowerRoman"/>
      <w:lvlText w:val="%3."/>
      <w:lvlJc w:val="right"/>
      <w:pPr>
        <w:ind w:left="7200" w:hanging="180"/>
      </w:pPr>
    </w:lvl>
    <w:lvl w:ilvl="3" w:tplc="0409000F" w:tentative="1">
      <w:start w:val="1"/>
      <w:numFmt w:val="decimal"/>
      <w:lvlText w:val="%4."/>
      <w:lvlJc w:val="left"/>
      <w:pPr>
        <w:ind w:left="7920" w:hanging="360"/>
      </w:pPr>
    </w:lvl>
    <w:lvl w:ilvl="4" w:tplc="04090019" w:tentative="1">
      <w:start w:val="1"/>
      <w:numFmt w:val="lowerLetter"/>
      <w:lvlText w:val="%5."/>
      <w:lvlJc w:val="left"/>
      <w:pPr>
        <w:ind w:left="8640" w:hanging="360"/>
      </w:pPr>
    </w:lvl>
    <w:lvl w:ilvl="5" w:tplc="0409001B" w:tentative="1">
      <w:start w:val="1"/>
      <w:numFmt w:val="lowerRoman"/>
      <w:lvlText w:val="%6."/>
      <w:lvlJc w:val="right"/>
      <w:pPr>
        <w:ind w:left="9360" w:hanging="180"/>
      </w:pPr>
    </w:lvl>
    <w:lvl w:ilvl="6" w:tplc="0409000F" w:tentative="1">
      <w:start w:val="1"/>
      <w:numFmt w:val="decimal"/>
      <w:lvlText w:val="%7."/>
      <w:lvlJc w:val="left"/>
      <w:pPr>
        <w:ind w:left="10080" w:hanging="360"/>
      </w:pPr>
    </w:lvl>
    <w:lvl w:ilvl="7" w:tplc="04090019">
      <w:start w:val="1"/>
      <w:numFmt w:val="lowerLetter"/>
      <w:lvlText w:val="%8."/>
      <w:lvlJc w:val="left"/>
      <w:pPr>
        <w:ind w:left="10800" w:hanging="360"/>
      </w:pPr>
    </w:lvl>
    <w:lvl w:ilvl="8" w:tplc="0409001B" w:tentative="1">
      <w:start w:val="1"/>
      <w:numFmt w:val="lowerRoman"/>
      <w:lvlText w:val="%9."/>
      <w:lvlJc w:val="right"/>
      <w:pPr>
        <w:ind w:left="11520" w:hanging="180"/>
      </w:pPr>
    </w:lvl>
  </w:abstractNum>
  <w:abstractNum w:abstractNumId="40" w15:restartNumberingAfterBreak="0">
    <w:nsid w:val="5ABF1546"/>
    <w:multiLevelType w:val="hybridMultilevel"/>
    <w:tmpl w:val="E6501588"/>
    <w:lvl w:ilvl="0" w:tplc="338E1ADC">
      <w:start w:val="1"/>
      <w:numFmt w:val="lowerLetter"/>
      <w:lvlText w:val="(a%1)"/>
      <w:lvlJc w:val="left"/>
      <w:pPr>
        <w:ind w:left="3600" w:hanging="360"/>
      </w:pPr>
      <w:rPr>
        <w:rFonts w:ascii="Arial" w:hAnsi="Arial" w:hint="default"/>
        <w:b w:val="0"/>
        <w:i w:val="0"/>
        <w:sz w:val="20"/>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1" w15:restartNumberingAfterBreak="0">
    <w:nsid w:val="5CC1239C"/>
    <w:multiLevelType w:val="hybridMultilevel"/>
    <w:tmpl w:val="07F6E74A"/>
    <w:lvl w:ilvl="0" w:tplc="34FAA8D8">
      <w:start w:val="1"/>
      <w:numFmt w:val="decimal"/>
      <w:lvlText w:val="(%1)"/>
      <w:lvlJc w:val="left"/>
      <w:pPr>
        <w:ind w:left="2498" w:hanging="360"/>
      </w:pPr>
      <w:rPr>
        <w:rFonts w:hint="default"/>
      </w:rPr>
    </w:lvl>
    <w:lvl w:ilvl="1" w:tplc="0C090019">
      <w:start w:val="1"/>
      <w:numFmt w:val="lowerLetter"/>
      <w:lvlText w:val="%2."/>
      <w:lvlJc w:val="left"/>
      <w:pPr>
        <w:ind w:left="3218" w:hanging="360"/>
      </w:pPr>
    </w:lvl>
    <w:lvl w:ilvl="2" w:tplc="0C09001B">
      <w:start w:val="1"/>
      <w:numFmt w:val="lowerRoman"/>
      <w:lvlText w:val="%3."/>
      <w:lvlJc w:val="right"/>
      <w:pPr>
        <w:ind w:left="3938" w:hanging="180"/>
      </w:pPr>
    </w:lvl>
    <w:lvl w:ilvl="3" w:tplc="0C09000F" w:tentative="1">
      <w:start w:val="1"/>
      <w:numFmt w:val="decimal"/>
      <w:lvlText w:val="%4."/>
      <w:lvlJc w:val="left"/>
      <w:pPr>
        <w:ind w:left="4658" w:hanging="360"/>
      </w:pPr>
    </w:lvl>
    <w:lvl w:ilvl="4" w:tplc="0C090019" w:tentative="1">
      <w:start w:val="1"/>
      <w:numFmt w:val="lowerLetter"/>
      <w:lvlText w:val="%5."/>
      <w:lvlJc w:val="left"/>
      <w:pPr>
        <w:ind w:left="5378" w:hanging="360"/>
      </w:pPr>
    </w:lvl>
    <w:lvl w:ilvl="5" w:tplc="0C09001B" w:tentative="1">
      <w:start w:val="1"/>
      <w:numFmt w:val="lowerRoman"/>
      <w:lvlText w:val="%6."/>
      <w:lvlJc w:val="right"/>
      <w:pPr>
        <w:ind w:left="6098" w:hanging="180"/>
      </w:pPr>
    </w:lvl>
    <w:lvl w:ilvl="6" w:tplc="0C09000F" w:tentative="1">
      <w:start w:val="1"/>
      <w:numFmt w:val="decimal"/>
      <w:lvlText w:val="%7."/>
      <w:lvlJc w:val="left"/>
      <w:pPr>
        <w:ind w:left="6818" w:hanging="360"/>
      </w:pPr>
    </w:lvl>
    <w:lvl w:ilvl="7" w:tplc="0C090019" w:tentative="1">
      <w:start w:val="1"/>
      <w:numFmt w:val="lowerLetter"/>
      <w:lvlText w:val="%8."/>
      <w:lvlJc w:val="left"/>
      <w:pPr>
        <w:ind w:left="7538" w:hanging="360"/>
      </w:pPr>
    </w:lvl>
    <w:lvl w:ilvl="8" w:tplc="0C09001B" w:tentative="1">
      <w:start w:val="1"/>
      <w:numFmt w:val="lowerRoman"/>
      <w:lvlText w:val="%9."/>
      <w:lvlJc w:val="right"/>
      <w:pPr>
        <w:ind w:left="8258" w:hanging="180"/>
      </w:pPr>
    </w:lvl>
  </w:abstractNum>
  <w:abstractNum w:abstractNumId="42" w15:restartNumberingAfterBreak="0">
    <w:nsid w:val="5CF03625"/>
    <w:multiLevelType w:val="hybridMultilevel"/>
    <w:tmpl w:val="D804AEC2"/>
    <w:lvl w:ilvl="0" w:tplc="421ECFA8">
      <w:start w:val="1"/>
      <w:numFmt w:val="lowerLetter"/>
      <w:lvlText w:val="(a%1)"/>
      <w:lvlJc w:val="left"/>
      <w:pPr>
        <w:ind w:left="720" w:hanging="720"/>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D380921"/>
    <w:multiLevelType w:val="multilevel"/>
    <w:tmpl w:val="61C65AC6"/>
    <w:lvl w:ilvl="0">
      <w:start w:val="74"/>
      <w:numFmt w:val="decimal"/>
      <w:pStyle w:val="MELegal1"/>
      <w:lvlText w:val="%1."/>
      <w:lvlJc w:val="left"/>
      <w:pPr>
        <w:tabs>
          <w:tab w:val="num" w:pos="851"/>
        </w:tabs>
        <w:ind w:left="851" w:hanging="851"/>
      </w:pPr>
    </w:lvl>
    <w:lvl w:ilvl="1">
      <w:start w:val="1"/>
      <w:numFmt w:val="decimal"/>
      <w:pStyle w:val="MELegal2"/>
      <w:lvlText w:val="%1.%2"/>
      <w:lvlJc w:val="left"/>
      <w:pPr>
        <w:tabs>
          <w:tab w:val="num" w:pos="851"/>
        </w:tabs>
        <w:ind w:left="851" w:hanging="851"/>
      </w:pPr>
    </w:lvl>
    <w:lvl w:ilvl="2">
      <w:start w:val="1"/>
      <w:numFmt w:val="lowerLetter"/>
      <w:pStyle w:val="MELegal3"/>
      <w:lvlText w:val="(%3)"/>
      <w:lvlJc w:val="left"/>
      <w:pPr>
        <w:tabs>
          <w:tab w:val="num" w:pos="1701"/>
        </w:tabs>
        <w:ind w:left="1701" w:hanging="850"/>
      </w:pPr>
      <w:rPr>
        <w:sz w:val="22"/>
      </w:rPr>
    </w:lvl>
    <w:lvl w:ilvl="3">
      <w:start w:val="1"/>
      <w:numFmt w:val="lowerRoman"/>
      <w:pStyle w:val="MELegal4"/>
      <w:lvlText w:val="(%4)"/>
      <w:lvlJc w:val="left"/>
      <w:pPr>
        <w:tabs>
          <w:tab w:val="num" w:pos="2552"/>
        </w:tabs>
        <w:ind w:left="2552" w:hanging="851"/>
      </w:pPr>
    </w:lvl>
    <w:lvl w:ilvl="4">
      <w:start w:val="1"/>
      <w:numFmt w:val="upperLetter"/>
      <w:pStyle w:val="MELegal5"/>
      <w:lvlText w:val="(%5)"/>
      <w:lvlJc w:val="left"/>
      <w:pPr>
        <w:tabs>
          <w:tab w:val="num" w:pos="3402"/>
        </w:tabs>
        <w:ind w:left="3402" w:hanging="850"/>
      </w:pPr>
    </w:lvl>
    <w:lvl w:ilvl="5">
      <w:start w:val="1"/>
      <w:numFmt w:val="upperRoman"/>
      <w:pStyle w:val="MELegal6"/>
      <w:lvlText w:val="(%6)"/>
      <w:lvlJc w:val="left"/>
      <w:pPr>
        <w:tabs>
          <w:tab w:val="num" w:pos="4253"/>
        </w:tabs>
        <w:ind w:left="4253" w:hanging="851"/>
      </w:pPr>
    </w:lvl>
    <w:lvl w:ilvl="6">
      <w:start w:val="1"/>
      <w:numFmt w:val="decimal"/>
      <w:pStyle w:val="MELegal7"/>
      <w:lvlText w:val="%7)"/>
      <w:lvlJc w:val="left"/>
      <w:pPr>
        <w:tabs>
          <w:tab w:val="num" w:pos="5103"/>
        </w:tabs>
        <w:ind w:left="5103" w:hanging="85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44" w15:restartNumberingAfterBreak="0">
    <w:nsid w:val="5FB560E0"/>
    <w:multiLevelType w:val="hybridMultilevel"/>
    <w:tmpl w:val="07F6E74A"/>
    <w:lvl w:ilvl="0" w:tplc="34FAA8D8">
      <w:start w:val="1"/>
      <w:numFmt w:val="decimal"/>
      <w:lvlText w:val="(%1)"/>
      <w:lvlJc w:val="left"/>
      <w:pPr>
        <w:ind w:left="2498" w:hanging="360"/>
      </w:pPr>
      <w:rPr>
        <w:rFonts w:hint="default"/>
      </w:rPr>
    </w:lvl>
    <w:lvl w:ilvl="1" w:tplc="0C090019">
      <w:start w:val="1"/>
      <w:numFmt w:val="lowerLetter"/>
      <w:lvlText w:val="%2."/>
      <w:lvlJc w:val="left"/>
      <w:pPr>
        <w:ind w:left="3218" w:hanging="360"/>
      </w:pPr>
    </w:lvl>
    <w:lvl w:ilvl="2" w:tplc="0C09001B">
      <w:start w:val="1"/>
      <w:numFmt w:val="lowerRoman"/>
      <w:lvlText w:val="%3."/>
      <w:lvlJc w:val="right"/>
      <w:pPr>
        <w:ind w:left="3938" w:hanging="180"/>
      </w:pPr>
    </w:lvl>
    <w:lvl w:ilvl="3" w:tplc="0C09000F" w:tentative="1">
      <w:start w:val="1"/>
      <w:numFmt w:val="decimal"/>
      <w:lvlText w:val="%4."/>
      <w:lvlJc w:val="left"/>
      <w:pPr>
        <w:ind w:left="4658" w:hanging="360"/>
      </w:pPr>
    </w:lvl>
    <w:lvl w:ilvl="4" w:tplc="0C090019" w:tentative="1">
      <w:start w:val="1"/>
      <w:numFmt w:val="lowerLetter"/>
      <w:lvlText w:val="%5."/>
      <w:lvlJc w:val="left"/>
      <w:pPr>
        <w:ind w:left="5378" w:hanging="360"/>
      </w:pPr>
    </w:lvl>
    <w:lvl w:ilvl="5" w:tplc="0C09001B" w:tentative="1">
      <w:start w:val="1"/>
      <w:numFmt w:val="lowerRoman"/>
      <w:lvlText w:val="%6."/>
      <w:lvlJc w:val="right"/>
      <w:pPr>
        <w:ind w:left="6098" w:hanging="180"/>
      </w:pPr>
    </w:lvl>
    <w:lvl w:ilvl="6" w:tplc="0C09000F" w:tentative="1">
      <w:start w:val="1"/>
      <w:numFmt w:val="decimal"/>
      <w:lvlText w:val="%7."/>
      <w:lvlJc w:val="left"/>
      <w:pPr>
        <w:ind w:left="6818" w:hanging="360"/>
      </w:pPr>
    </w:lvl>
    <w:lvl w:ilvl="7" w:tplc="0C090019" w:tentative="1">
      <w:start w:val="1"/>
      <w:numFmt w:val="lowerLetter"/>
      <w:lvlText w:val="%8."/>
      <w:lvlJc w:val="left"/>
      <w:pPr>
        <w:ind w:left="7538" w:hanging="360"/>
      </w:pPr>
    </w:lvl>
    <w:lvl w:ilvl="8" w:tplc="0C09001B" w:tentative="1">
      <w:start w:val="1"/>
      <w:numFmt w:val="lowerRoman"/>
      <w:lvlText w:val="%9."/>
      <w:lvlJc w:val="right"/>
      <w:pPr>
        <w:ind w:left="8258" w:hanging="180"/>
      </w:pPr>
    </w:lvl>
  </w:abstractNum>
  <w:abstractNum w:abstractNumId="45" w15:restartNumberingAfterBreak="0">
    <w:nsid w:val="629E0DF5"/>
    <w:multiLevelType w:val="hybridMultilevel"/>
    <w:tmpl w:val="E196DF82"/>
    <w:lvl w:ilvl="0" w:tplc="13C48884">
      <w:start w:val="1"/>
      <w:numFmt w:val="bullet"/>
      <w:lvlText w:val=""/>
      <w:lvlJc w:val="left"/>
      <w:pPr>
        <w:ind w:left="720" w:hanging="360"/>
      </w:pPr>
      <w:rPr>
        <w:rFonts w:ascii="Symbol" w:hAnsi="Symbol" w:hint="default"/>
        <w:b w:val="0"/>
        <w:i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32C59F0"/>
    <w:multiLevelType w:val="multilevel"/>
    <w:tmpl w:val="C8AC0176"/>
    <w:name w:val="BM Bul 5LT"/>
    <w:lvl w:ilvl="0">
      <w:start w:val="1"/>
      <w:numFmt w:val="bullet"/>
      <w:lvlRestart w:val="0"/>
      <w:lvlText w:val="•"/>
      <w:lvlJc w:val="left"/>
      <w:pPr>
        <w:tabs>
          <w:tab w:val="num" w:pos="720"/>
        </w:tabs>
        <w:ind w:left="720" w:hanging="720"/>
      </w:pPr>
      <w:rPr>
        <w:rFonts w:ascii="Arial" w:hAnsi="Arial" w:cs="Arial"/>
        <w:b w:val="0"/>
        <w:i w:val="0"/>
        <w:color w:val="000000"/>
        <w:spacing w:val="0"/>
        <w:w w:val="100"/>
        <w:sz w:val="20"/>
        <w:u w:val="none"/>
      </w:rPr>
    </w:lvl>
    <w:lvl w:ilvl="1">
      <w:start w:val="1"/>
      <w:numFmt w:val="none"/>
      <w:lvlText w:val=""/>
      <w:lvlJc w:val="left"/>
      <w:pPr>
        <w:ind w:left="720" w:hanging="720"/>
      </w:pPr>
    </w:lvl>
    <w:lvl w:ilvl="2">
      <w:start w:val="1"/>
      <w:numFmt w:val="none"/>
      <w:lvlText w:val=""/>
      <w:lvlJc w:val="left"/>
      <w:pPr>
        <w:ind w:left="720" w:hanging="720"/>
      </w:pPr>
    </w:lvl>
    <w:lvl w:ilvl="3">
      <w:start w:val="1"/>
      <w:numFmt w:val="none"/>
      <w:lvlText w:val=""/>
      <w:lvlJc w:val="left"/>
      <w:pPr>
        <w:ind w:left="720" w:hanging="720"/>
      </w:pPr>
    </w:lvl>
    <w:lvl w:ilvl="4">
      <w:start w:val="1"/>
      <w:numFmt w:val="none"/>
      <w:lvlText w:val=""/>
      <w:lvlJc w:val="left"/>
      <w:pPr>
        <w:ind w:left="720" w:hanging="720"/>
      </w:pPr>
    </w:lvl>
    <w:lvl w:ilvl="5">
      <w:start w:val="1"/>
      <w:numFmt w:val="none"/>
      <w:lvlText w:val=""/>
      <w:lvlJc w:val="left"/>
      <w:pPr>
        <w:ind w:left="720" w:hanging="720"/>
      </w:pPr>
    </w:lvl>
    <w:lvl w:ilvl="6">
      <w:start w:val="1"/>
      <w:numFmt w:val="none"/>
      <w:lvlText w:val=""/>
      <w:lvlJc w:val="left"/>
      <w:pPr>
        <w:ind w:left="720" w:hanging="720"/>
      </w:pPr>
    </w:lvl>
    <w:lvl w:ilvl="7">
      <w:start w:val="1"/>
      <w:numFmt w:val="none"/>
      <w:lvlText w:val=""/>
      <w:lvlJc w:val="left"/>
      <w:pPr>
        <w:ind w:left="720" w:hanging="720"/>
      </w:pPr>
    </w:lvl>
    <w:lvl w:ilvl="8">
      <w:start w:val="1"/>
      <w:numFmt w:val="none"/>
      <w:lvlText w:val=""/>
      <w:lvlJc w:val="left"/>
      <w:pPr>
        <w:ind w:left="720" w:hanging="720"/>
      </w:pPr>
    </w:lvl>
  </w:abstractNum>
  <w:abstractNum w:abstractNumId="47" w15:restartNumberingAfterBreak="0">
    <w:nsid w:val="636E4A5C"/>
    <w:multiLevelType w:val="hybridMultilevel"/>
    <w:tmpl w:val="AC4ED2A6"/>
    <w:lvl w:ilvl="0" w:tplc="338E1ADC">
      <w:start w:val="1"/>
      <w:numFmt w:val="lowerLetter"/>
      <w:lvlText w:val="(a%1)"/>
      <w:lvlJc w:val="left"/>
      <w:pPr>
        <w:ind w:left="720" w:hanging="360"/>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5E00F9D"/>
    <w:multiLevelType w:val="multilevel"/>
    <w:tmpl w:val="BE94D88A"/>
    <w:lvl w:ilvl="0">
      <w:start w:val="1"/>
      <w:numFmt w:val="decimal"/>
      <w:pStyle w:val="SectionL3"/>
      <w:suff w:val="nothing"/>
      <w:lvlText w:val="PART %1"/>
      <w:lvlJc w:val="left"/>
      <w:pPr>
        <w:ind w:left="851" w:hanging="851"/>
      </w:pPr>
      <w:rPr>
        <w:b/>
        <w:i w:val="0"/>
      </w:rPr>
    </w:lvl>
    <w:lvl w:ilvl="1">
      <w:start w:val="1"/>
      <w:numFmt w:val="decimal"/>
      <w:pStyle w:val="SectionL4"/>
      <w:lvlText w:val="%1.%2"/>
      <w:lvlJc w:val="left"/>
      <w:pPr>
        <w:tabs>
          <w:tab w:val="num" w:pos="851"/>
        </w:tabs>
        <w:ind w:left="851" w:hanging="851"/>
      </w:pPr>
    </w:lvl>
    <w:lvl w:ilvl="2">
      <w:start w:val="1"/>
      <w:numFmt w:val="lowerLetter"/>
      <w:pStyle w:val="SectionL5"/>
      <w:lvlText w:val="(%3)"/>
      <w:lvlJc w:val="left"/>
      <w:pPr>
        <w:tabs>
          <w:tab w:val="num" w:pos="1701"/>
        </w:tabs>
        <w:ind w:left="1701" w:hanging="850"/>
      </w:pPr>
    </w:lvl>
    <w:lvl w:ilvl="3">
      <w:start w:val="1"/>
      <w:numFmt w:val="lowerRoman"/>
      <w:pStyle w:val="SectionL6"/>
      <w:lvlText w:val="(%4)"/>
      <w:lvlJc w:val="left"/>
      <w:pPr>
        <w:tabs>
          <w:tab w:val="num" w:pos="2552"/>
        </w:tabs>
        <w:ind w:left="2552" w:hanging="851"/>
      </w:pPr>
    </w:lvl>
    <w:lvl w:ilvl="4">
      <w:start w:val="1"/>
      <w:numFmt w:val="upperLetter"/>
      <w:pStyle w:val="SectionL7"/>
      <w:lvlText w:val="(%5)"/>
      <w:lvlJc w:val="left"/>
      <w:pPr>
        <w:tabs>
          <w:tab w:val="num" w:pos="3402"/>
        </w:tabs>
        <w:ind w:left="3402" w:hanging="850"/>
      </w:pPr>
    </w:lvl>
    <w:lvl w:ilvl="5">
      <w:start w:val="1"/>
      <w:numFmt w:val="upperRoman"/>
      <w:pStyle w:val="MEBasic1"/>
      <w:lvlText w:val="(%6)"/>
      <w:lvlJc w:val="left"/>
      <w:pPr>
        <w:tabs>
          <w:tab w:val="num" w:pos="4253"/>
        </w:tabs>
        <w:ind w:left="4253" w:hanging="851"/>
      </w:pPr>
    </w:lvl>
    <w:lvl w:ilvl="6">
      <w:start w:val="1"/>
      <w:numFmt w:val="decimal"/>
      <w:pStyle w:val="MEBasic2"/>
      <w:lvlText w:val="%7)"/>
      <w:lvlJc w:val="left"/>
      <w:pPr>
        <w:tabs>
          <w:tab w:val="num" w:pos="5103"/>
        </w:tabs>
        <w:ind w:left="5103" w:hanging="850"/>
      </w:pPr>
    </w:lvl>
    <w:lvl w:ilvl="7">
      <w:start w:val="1"/>
      <w:numFmt w:val="none"/>
      <w:suff w:val="nothing"/>
      <w:lvlText w:val="%8"/>
      <w:lvlJc w:val="left"/>
      <w:pPr>
        <w:ind w:left="0" w:firstLine="0"/>
      </w:pPr>
    </w:lvl>
    <w:lvl w:ilvl="8">
      <w:start w:val="1"/>
      <w:numFmt w:val="none"/>
      <w:suff w:val="nothing"/>
      <w:lvlText w:val=""/>
      <w:lvlJc w:val="left"/>
      <w:pPr>
        <w:ind w:left="0" w:firstLine="0"/>
      </w:pPr>
    </w:lvl>
  </w:abstractNum>
  <w:abstractNum w:abstractNumId="49" w15:restartNumberingAfterBreak="0">
    <w:nsid w:val="66063B90"/>
    <w:multiLevelType w:val="hybridMultilevel"/>
    <w:tmpl w:val="6BD408BC"/>
    <w:lvl w:ilvl="0" w:tplc="4A46DC2C">
      <w:start w:val="1"/>
      <w:numFmt w:val="lowerRoman"/>
      <w:lvlText w:val="(%1)"/>
      <w:lvlJc w:val="left"/>
      <w:pPr>
        <w:ind w:left="64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77D49250">
      <w:start w:val="1"/>
      <w:numFmt w:val="lowerRoman"/>
      <w:lvlText w:val="(%8)"/>
      <w:lvlJc w:val="left"/>
      <w:pPr>
        <w:ind w:left="5760" w:hanging="360"/>
      </w:pPr>
      <w:rPr>
        <w:rFonts w:hint="default"/>
        <w:sz w:val="16"/>
        <w:szCs w:val="16"/>
      </w:rPr>
    </w:lvl>
    <w:lvl w:ilvl="8" w:tplc="0409001B" w:tentative="1">
      <w:start w:val="1"/>
      <w:numFmt w:val="lowerRoman"/>
      <w:lvlText w:val="%9."/>
      <w:lvlJc w:val="right"/>
      <w:pPr>
        <w:ind w:left="6480" w:hanging="180"/>
      </w:pPr>
    </w:lvl>
  </w:abstractNum>
  <w:abstractNum w:abstractNumId="50" w15:restartNumberingAfterBreak="0">
    <w:nsid w:val="68A129F9"/>
    <w:multiLevelType w:val="hybridMultilevel"/>
    <w:tmpl w:val="E6501588"/>
    <w:lvl w:ilvl="0" w:tplc="338E1ADC">
      <w:start w:val="1"/>
      <w:numFmt w:val="lowerLetter"/>
      <w:lvlText w:val="(a%1)"/>
      <w:lvlJc w:val="left"/>
      <w:pPr>
        <w:ind w:left="3600" w:hanging="360"/>
      </w:pPr>
      <w:rPr>
        <w:rFonts w:ascii="Arial" w:hAnsi="Arial" w:hint="default"/>
        <w:b w:val="0"/>
        <w:i w:val="0"/>
        <w:sz w:val="20"/>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1" w15:restartNumberingAfterBreak="0">
    <w:nsid w:val="68DE6363"/>
    <w:multiLevelType w:val="hybridMultilevel"/>
    <w:tmpl w:val="9DAEBF3E"/>
    <w:lvl w:ilvl="0" w:tplc="30B26BCE">
      <w:start w:val="1"/>
      <w:numFmt w:val="decimal"/>
      <w:lvlText w:val="(%1)"/>
      <w:lvlJc w:val="left"/>
      <w:pPr>
        <w:ind w:left="2498"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6A6333CF"/>
    <w:multiLevelType w:val="hybridMultilevel"/>
    <w:tmpl w:val="A0BE3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DEA0100"/>
    <w:multiLevelType w:val="hybridMultilevel"/>
    <w:tmpl w:val="D804AEC2"/>
    <w:lvl w:ilvl="0" w:tplc="421ECFA8">
      <w:start w:val="1"/>
      <w:numFmt w:val="lowerLetter"/>
      <w:lvlText w:val="(a%1)"/>
      <w:lvlJc w:val="left"/>
      <w:pPr>
        <w:ind w:left="720" w:hanging="720"/>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EC412A9"/>
    <w:multiLevelType w:val="hybridMultilevel"/>
    <w:tmpl w:val="E6501588"/>
    <w:lvl w:ilvl="0" w:tplc="338E1ADC">
      <w:start w:val="1"/>
      <w:numFmt w:val="lowerLetter"/>
      <w:lvlText w:val="(a%1)"/>
      <w:lvlJc w:val="left"/>
      <w:pPr>
        <w:ind w:left="3600" w:hanging="360"/>
      </w:pPr>
      <w:rPr>
        <w:rFonts w:ascii="Arial" w:hAnsi="Arial" w:hint="default"/>
        <w:b w:val="0"/>
        <w:i w:val="0"/>
        <w:sz w:val="20"/>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5" w15:restartNumberingAfterBreak="0">
    <w:nsid w:val="730733D1"/>
    <w:multiLevelType w:val="hybridMultilevel"/>
    <w:tmpl w:val="BA166E48"/>
    <w:lvl w:ilvl="0" w:tplc="14C2B5D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35B4409"/>
    <w:multiLevelType w:val="hybridMultilevel"/>
    <w:tmpl w:val="3F48FA96"/>
    <w:lvl w:ilvl="0" w:tplc="14C2B5DA">
      <w:start w:val="1"/>
      <w:numFmt w:val="lowerRoman"/>
      <w:lvlText w:val="(%1)"/>
      <w:lvlJc w:val="left"/>
      <w:pPr>
        <w:ind w:left="1440" w:hanging="360"/>
      </w:pPr>
      <w:rPr>
        <w:rFonts w:hint="default"/>
      </w:rPr>
    </w:lvl>
    <w:lvl w:ilvl="1" w:tplc="14C2B5DA">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40D5B91"/>
    <w:multiLevelType w:val="hybridMultilevel"/>
    <w:tmpl w:val="D804AEC2"/>
    <w:lvl w:ilvl="0" w:tplc="421ECFA8">
      <w:start w:val="1"/>
      <w:numFmt w:val="lowerLetter"/>
      <w:lvlText w:val="(a%1)"/>
      <w:lvlJc w:val="left"/>
      <w:pPr>
        <w:ind w:left="720" w:hanging="720"/>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4E42D3C"/>
    <w:multiLevelType w:val="hybridMultilevel"/>
    <w:tmpl w:val="07F6E74A"/>
    <w:lvl w:ilvl="0" w:tplc="34FAA8D8">
      <w:start w:val="1"/>
      <w:numFmt w:val="decimal"/>
      <w:lvlText w:val="(%1)"/>
      <w:lvlJc w:val="left"/>
      <w:pPr>
        <w:ind w:left="2498" w:hanging="360"/>
      </w:pPr>
      <w:rPr>
        <w:rFonts w:hint="default"/>
      </w:rPr>
    </w:lvl>
    <w:lvl w:ilvl="1" w:tplc="0C090019">
      <w:start w:val="1"/>
      <w:numFmt w:val="lowerLetter"/>
      <w:lvlText w:val="%2."/>
      <w:lvlJc w:val="left"/>
      <w:pPr>
        <w:ind w:left="3218" w:hanging="360"/>
      </w:pPr>
    </w:lvl>
    <w:lvl w:ilvl="2" w:tplc="0C09001B">
      <w:start w:val="1"/>
      <w:numFmt w:val="lowerRoman"/>
      <w:lvlText w:val="%3."/>
      <w:lvlJc w:val="right"/>
      <w:pPr>
        <w:ind w:left="3938" w:hanging="180"/>
      </w:pPr>
    </w:lvl>
    <w:lvl w:ilvl="3" w:tplc="0C09000F" w:tentative="1">
      <w:start w:val="1"/>
      <w:numFmt w:val="decimal"/>
      <w:lvlText w:val="%4."/>
      <w:lvlJc w:val="left"/>
      <w:pPr>
        <w:ind w:left="4658" w:hanging="360"/>
      </w:pPr>
    </w:lvl>
    <w:lvl w:ilvl="4" w:tplc="0C090019" w:tentative="1">
      <w:start w:val="1"/>
      <w:numFmt w:val="lowerLetter"/>
      <w:lvlText w:val="%5."/>
      <w:lvlJc w:val="left"/>
      <w:pPr>
        <w:ind w:left="5378" w:hanging="360"/>
      </w:pPr>
    </w:lvl>
    <w:lvl w:ilvl="5" w:tplc="0C09001B" w:tentative="1">
      <w:start w:val="1"/>
      <w:numFmt w:val="lowerRoman"/>
      <w:lvlText w:val="%6."/>
      <w:lvlJc w:val="right"/>
      <w:pPr>
        <w:ind w:left="6098" w:hanging="180"/>
      </w:pPr>
    </w:lvl>
    <w:lvl w:ilvl="6" w:tplc="0C09000F" w:tentative="1">
      <w:start w:val="1"/>
      <w:numFmt w:val="decimal"/>
      <w:lvlText w:val="%7."/>
      <w:lvlJc w:val="left"/>
      <w:pPr>
        <w:ind w:left="6818" w:hanging="360"/>
      </w:pPr>
    </w:lvl>
    <w:lvl w:ilvl="7" w:tplc="0C090019" w:tentative="1">
      <w:start w:val="1"/>
      <w:numFmt w:val="lowerLetter"/>
      <w:lvlText w:val="%8."/>
      <w:lvlJc w:val="left"/>
      <w:pPr>
        <w:ind w:left="7538" w:hanging="360"/>
      </w:pPr>
    </w:lvl>
    <w:lvl w:ilvl="8" w:tplc="0C09001B" w:tentative="1">
      <w:start w:val="1"/>
      <w:numFmt w:val="lowerRoman"/>
      <w:lvlText w:val="%9."/>
      <w:lvlJc w:val="right"/>
      <w:pPr>
        <w:ind w:left="8258" w:hanging="180"/>
      </w:pPr>
    </w:lvl>
  </w:abstractNum>
  <w:abstractNum w:abstractNumId="59" w15:restartNumberingAfterBreak="0">
    <w:nsid w:val="75297B53"/>
    <w:multiLevelType w:val="multilevel"/>
    <w:tmpl w:val="7DD48D06"/>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Arial" w:hAnsi="Arial" w:cs="Arial" w:hint="default"/>
        <w:b w:val="0"/>
        <w:i w:val="0"/>
        <w:sz w:val="20"/>
        <w:szCs w:val="20"/>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60" w15:restartNumberingAfterBreak="0">
    <w:nsid w:val="757B324C"/>
    <w:multiLevelType w:val="hybridMultilevel"/>
    <w:tmpl w:val="D804AEC2"/>
    <w:lvl w:ilvl="0" w:tplc="421ECFA8">
      <w:start w:val="1"/>
      <w:numFmt w:val="lowerLetter"/>
      <w:lvlText w:val="(a%1)"/>
      <w:lvlJc w:val="left"/>
      <w:pPr>
        <w:ind w:left="720" w:hanging="720"/>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6B41B00"/>
    <w:multiLevelType w:val="hybridMultilevel"/>
    <w:tmpl w:val="1F7E7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74A2A98"/>
    <w:multiLevelType w:val="hybridMultilevel"/>
    <w:tmpl w:val="434C464A"/>
    <w:lvl w:ilvl="0" w:tplc="0E9E2BD2">
      <w:start w:val="1"/>
      <w:numFmt w:val="lowerLetter"/>
      <w:lvlText w:val="(%1)"/>
      <w:lvlJc w:val="left"/>
      <w:pPr>
        <w:ind w:left="720" w:hanging="360"/>
      </w:pPr>
      <w:rPr>
        <w:rFonts w:hint="default"/>
      </w:rPr>
    </w:lvl>
    <w:lvl w:ilvl="1" w:tplc="04090019" w:tentative="1">
      <w:start w:val="1"/>
      <w:numFmt w:val="lowerLetter"/>
      <w:pStyle w:val="Legal2"/>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76D62AC"/>
    <w:multiLevelType w:val="multilevel"/>
    <w:tmpl w:val="CE5E69D6"/>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lvlRestart w:val="0"/>
      <w:isLgl/>
      <w:lvlText w:val="%1.%2"/>
      <w:lvlJc w:val="left"/>
      <w:pPr>
        <w:tabs>
          <w:tab w:val="num" w:pos="851"/>
        </w:tabs>
        <w:ind w:left="851" w:hanging="851"/>
      </w:pPr>
      <w:rPr>
        <w:rFonts w:ascii="Times New Roman" w:hAnsi="Times New Roman" w:hint="default"/>
        <w:b/>
        <w:i w:val="0"/>
        <w:sz w:val="24"/>
      </w:rPr>
    </w:lvl>
    <w:lvl w:ilvl="2">
      <w:start w:val="1"/>
      <w:numFmt w:val="lowerLetter"/>
      <w:lvlText w:val="(%3)"/>
      <w:lvlJc w:val="left"/>
      <w:pPr>
        <w:tabs>
          <w:tab w:val="num" w:pos="1701"/>
        </w:tabs>
        <w:ind w:left="1701" w:hanging="850"/>
      </w:pPr>
      <w:rPr>
        <w:rFonts w:ascii="Times New Roman" w:hAnsi="Times New Roman" w:hint="default"/>
        <w:b w:val="0"/>
        <w:i w:val="0"/>
        <w:sz w:val="24"/>
      </w:rPr>
    </w:lvl>
    <w:lvl w:ilvl="3">
      <w:start w:val="1"/>
      <w:numFmt w:val="lowerRoman"/>
      <w:lvlText w:val="(%4)"/>
      <w:lvlJc w:val="left"/>
      <w:pPr>
        <w:tabs>
          <w:tab w:val="num" w:pos="2552"/>
        </w:tabs>
        <w:ind w:left="2552" w:hanging="851"/>
      </w:pPr>
      <w:rPr>
        <w:rFonts w:hint="default"/>
      </w:rPr>
    </w:lvl>
    <w:lvl w:ilvl="4">
      <w:start w:val="1"/>
      <w:numFmt w:val="upperLetter"/>
      <w:lvlText w:val="(%5)"/>
      <w:lvlJc w:val="left"/>
      <w:pPr>
        <w:tabs>
          <w:tab w:val="num" w:pos="3402"/>
        </w:tabs>
        <w:ind w:left="3402" w:hanging="850"/>
      </w:pPr>
      <w:rPr>
        <w:rFonts w:hint="default"/>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64" w15:restartNumberingAfterBreak="0">
    <w:nsid w:val="78C03E4C"/>
    <w:multiLevelType w:val="hybridMultilevel"/>
    <w:tmpl w:val="2F285754"/>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65" w15:restartNumberingAfterBreak="0">
    <w:nsid w:val="79854742"/>
    <w:multiLevelType w:val="hybridMultilevel"/>
    <w:tmpl w:val="F18E82EC"/>
    <w:lvl w:ilvl="0" w:tplc="B1942AC4">
      <w:start w:val="1"/>
      <w:numFmt w:val="lowerLetter"/>
      <w:lvlText w:val="(a%1)"/>
      <w:lvlJc w:val="left"/>
      <w:pPr>
        <w:tabs>
          <w:tab w:val="num" w:pos="3600"/>
        </w:tabs>
        <w:ind w:left="36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A0D1DDD"/>
    <w:multiLevelType w:val="hybridMultilevel"/>
    <w:tmpl w:val="D804AEC2"/>
    <w:lvl w:ilvl="0" w:tplc="421ECFA8">
      <w:start w:val="1"/>
      <w:numFmt w:val="lowerLetter"/>
      <w:lvlText w:val="(a%1)"/>
      <w:lvlJc w:val="left"/>
      <w:pPr>
        <w:ind w:left="720" w:hanging="720"/>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B831299"/>
    <w:multiLevelType w:val="hybridMultilevel"/>
    <w:tmpl w:val="07F6E74A"/>
    <w:lvl w:ilvl="0" w:tplc="34FAA8D8">
      <w:start w:val="1"/>
      <w:numFmt w:val="decimal"/>
      <w:lvlText w:val="(%1)"/>
      <w:lvlJc w:val="left"/>
      <w:pPr>
        <w:ind w:left="2498" w:hanging="360"/>
      </w:pPr>
      <w:rPr>
        <w:rFonts w:hint="default"/>
      </w:rPr>
    </w:lvl>
    <w:lvl w:ilvl="1" w:tplc="0C090019">
      <w:start w:val="1"/>
      <w:numFmt w:val="lowerLetter"/>
      <w:lvlText w:val="%2."/>
      <w:lvlJc w:val="left"/>
      <w:pPr>
        <w:ind w:left="3218" w:hanging="360"/>
      </w:pPr>
    </w:lvl>
    <w:lvl w:ilvl="2" w:tplc="0C09001B">
      <w:start w:val="1"/>
      <w:numFmt w:val="lowerRoman"/>
      <w:lvlText w:val="%3."/>
      <w:lvlJc w:val="right"/>
      <w:pPr>
        <w:ind w:left="3938" w:hanging="180"/>
      </w:pPr>
    </w:lvl>
    <w:lvl w:ilvl="3" w:tplc="0C09000F" w:tentative="1">
      <w:start w:val="1"/>
      <w:numFmt w:val="decimal"/>
      <w:lvlText w:val="%4."/>
      <w:lvlJc w:val="left"/>
      <w:pPr>
        <w:ind w:left="4658" w:hanging="360"/>
      </w:pPr>
    </w:lvl>
    <w:lvl w:ilvl="4" w:tplc="0C090019" w:tentative="1">
      <w:start w:val="1"/>
      <w:numFmt w:val="lowerLetter"/>
      <w:lvlText w:val="%5."/>
      <w:lvlJc w:val="left"/>
      <w:pPr>
        <w:ind w:left="5378" w:hanging="360"/>
      </w:pPr>
    </w:lvl>
    <w:lvl w:ilvl="5" w:tplc="0C09001B" w:tentative="1">
      <w:start w:val="1"/>
      <w:numFmt w:val="lowerRoman"/>
      <w:lvlText w:val="%6."/>
      <w:lvlJc w:val="right"/>
      <w:pPr>
        <w:ind w:left="6098" w:hanging="180"/>
      </w:pPr>
    </w:lvl>
    <w:lvl w:ilvl="6" w:tplc="0C09000F" w:tentative="1">
      <w:start w:val="1"/>
      <w:numFmt w:val="decimal"/>
      <w:lvlText w:val="%7."/>
      <w:lvlJc w:val="left"/>
      <w:pPr>
        <w:ind w:left="6818" w:hanging="360"/>
      </w:pPr>
    </w:lvl>
    <w:lvl w:ilvl="7" w:tplc="0C090019" w:tentative="1">
      <w:start w:val="1"/>
      <w:numFmt w:val="lowerLetter"/>
      <w:lvlText w:val="%8."/>
      <w:lvlJc w:val="left"/>
      <w:pPr>
        <w:ind w:left="7538" w:hanging="360"/>
      </w:pPr>
    </w:lvl>
    <w:lvl w:ilvl="8" w:tplc="0C09001B" w:tentative="1">
      <w:start w:val="1"/>
      <w:numFmt w:val="lowerRoman"/>
      <w:lvlText w:val="%9."/>
      <w:lvlJc w:val="right"/>
      <w:pPr>
        <w:ind w:left="8258" w:hanging="180"/>
      </w:pPr>
    </w:lvl>
  </w:abstractNum>
  <w:abstractNum w:abstractNumId="68" w15:restartNumberingAfterBreak="0">
    <w:nsid w:val="7C0763AD"/>
    <w:multiLevelType w:val="multilevel"/>
    <w:tmpl w:val="C0C26F52"/>
    <w:lvl w:ilvl="0">
      <w:start w:val="1"/>
      <w:numFmt w:val="upperLetter"/>
      <w:lvlText w:val="%1."/>
      <w:lvlJc w:val="left"/>
      <w:pPr>
        <w:tabs>
          <w:tab w:val="num" w:pos="2520"/>
        </w:tabs>
        <w:ind w:left="2520" w:hanging="360"/>
      </w:pPr>
      <w:rPr>
        <w:rFonts w:ascii="Arial" w:eastAsia="Times New Roman" w:hAnsi="Arial" w:cs="Arial"/>
        <w:color w:val="auto"/>
      </w:rPr>
    </w:lvl>
    <w:lvl w:ilvl="1">
      <w:start w:val="1"/>
      <w:numFmt w:val="decimal"/>
      <w:lvlText w:val="%2."/>
      <w:lvlJc w:val="left"/>
      <w:pPr>
        <w:tabs>
          <w:tab w:val="num" w:pos="3240"/>
        </w:tabs>
        <w:ind w:left="3240" w:hanging="360"/>
      </w:pPr>
    </w:lvl>
    <w:lvl w:ilvl="2">
      <w:start w:val="1"/>
      <w:numFmt w:val="decimal"/>
      <w:lvlText w:val="%3."/>
      <w:lvlJc w:val="left"/>
      <w:pPr>
        <w:tabs>
          <w:tab w:val="num" w:pos="3960"/>
        </w:tabs>
        <w:ind w:left="3960" w:hanging="360"/>
      </w:p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start w:val="1"/>
      <w:numFmt w:val="decimal"/>
      <w:lvlText w:val="%6."/>
      <w:lvlJc w:val="left"/>
      <w:pPr>
        <w:tabs>
          <w:tab w:val="num" w:pos="6120"/>
        </w:tabs>
        <w:ind w:left="6120" w:hanging="360"/>
      </w:pPr>
    </w:lvl>
    <w:lvl w:ilvl="6">
      <w:start w:val="1"/>
      <w:numFmt w:val="decimal"/>
      <w:lvlText w:val="%7."/>
      <w:lvlJc w:val="left"/>
      <w:pPr>
        <w:tabs>
          <w:tab w:val="num" w:pos="6840"/>
        </w:tabs>
        <w:ind w:left="6840" w:hanging="360"/>
      </w:pPr>
    </w:lvl>
    <w:lvl w:ilvl="7">
      <w:start w:val="1"/>
      <w:numFmt w:val="decimal"/>
      <w:lvlText w:val="%8."/>
      <w:lvlJc w:val="left"/>
      <w:pPr>
        <w:tabs>
          <w:tab w:val="num" w:pos="7560"/>
        </w:tabs>
        <w:ind w:left="7560" w:hanging="360"/>
      </w:pPr>
    </w:lvl>
    <w:lvl w:ilvl="8">
      <w:start w:val="1"/>
      <w:numFmt w:val="decimal"/>
      <w:lvlText w:val="%9."/>
      <w:lvlJc w:val="left"/>
      <w:pPr>
        <w:tabs>
          <w:tab w:val="num" w:pos="8280"/>
        </w:tabs>
        <w:ind w:left="8280" w:hanging="360"/>
      </w:pPr>
    </w:lvl>
  </w:abstractNum>
  <w:num w:numId="1">
    <w:abstractNumId w:val="9"/>
  </w:num>
  <w:num w:numId="2">
    <w:abstractNumId w:val="62"/>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7"/>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36"/>
  </w:num>
  <w:num w:numId="15">
    <w:abstractNumId w:val="10"/>
  </w:num>
  <w:num w:numId="16">
    <w:abstractNumId w:val="57"/>
  </w:num>
  <w:num w:numId="17">
    <w:abstractNumId w:val="42"/>
  </w:num>
  <w:num w:numId="18">
    <w:abstractNumId w:val="53"/>
  </w:num>
  <w:num w:numId="19">
    <w:abstractNumId w:val="66"/>
  </w:num>
  <w:num w:numId="20">
    <w:abstractNumId w:val="26"/>
  </w:num>
  <w:num w:numId="21">
    <w:abstractNumId w:val="60"/>
  </w:num>
  <w:num w:numId="22">
    <w:abstractNumId w:val="11"/>
  </w:num>
  <w:num w:numId="23">
    <w:abstractNumId w:val="32"/>
  </w:num>
  <w:num w:numId="24">
    <w:abstractNumId w:val="25"/>
  </w:num>
  <w:num w:numId="25">
    <w:abstractNumId w:val="65"/>
  </w:num>
  <w:num w:numId="26">
    <w:abstractNumId w:val="24"/>
  </w:num>
  <w:num w:numId="27">
    <w:abstractNumId w:val="21"/>
  </w:num>
  <w:num w:numId="28">
    <w:abstractNumId w:val="56"/>
  </w:num>
  <w:num w:numId="29">
    <w:abstractNumId w:val="23"/>
  </w:num>
  <w:num w:numId="30">
    <w:abstractNumId w:val="55"/>
  </w:num>
  <w:num w:numId="31">
    <w:abstractNumId w:val="52"/>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7"/>
  </w:num>
  <w:num w:numId="34">
    <w:abstractNumId w:val="39"/>
  </w:num>
  <w:num w:numId="35">
    <w:abstractNumId w:val="49"/>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num>
  <w:num w:numId="40">
    <w:abstractNumId w:val="19"/>
  </w:num>
  <w:num w:numId="41">
    <w:abstractNumId w:val="20"/>
  </w:num>
  <w:num w:numId="42">
    <w:abstractNumId w:val="22"/>
  </w:num>
  <w:num w:numId="43">
    <w:abstractNumId w:val="35"/>
  </w:num>
  <w:num w:numId="44">
    <w:abstractNumId w:val="54"/>
  </w:num>
  <w:num w:numId="45">
    <w:abstractNumId w:val="31"/>
  </w:num>
  <w:num w:numId="46">
    <w:abstractNumId w:val="2"/>
  </w:num>
  <w:num w:numId="47">
    <w:abstractNumId w:val="17"/>
  </w:num>
  <w:num w:numId="48">
    <w:abstractNumId w:val="18"/>
  </w:num>
  <w:num w:numId="49">
    <w:abstractNumId w:val="40"/>
  </w:num>
  <w:num w:numId="50">
    <w:abstractNumId w:val="34"/>
  </w:num>
  <w:num w:numId="51">
    <w:abstractNumId w:val="50"/>
  </w:num>
  <w:num w:numId="52">
    <w:abstractNumId w:val="1"/>
  </w:num>
  <w:num w:numId="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61"/>
  </w:num>
  <w:num w:numId="55">
    <w:abstractNumId w:val="38"/>
  </w:num>
  <w:num w:numId="56">
    <w:abstractNumId w:val="45"/>
  </w:num>
  <w:num w:numId="57">
    <w:abstractNumId w:val="7"/>
  </w:num>
  <w:num w:numId="58">
    <w:abstractNumId w:val="29"/>
  </w:num>
  <w:num w:numId="59">
    <w:abstractNumId w:val="13"/>
  </w:num>
  <w:num w:numId="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3"/>
  </w:num>
  <w:num w:numId="63">
    <w:abstractNumId w:val="6"/>
  </w:num>
  <w:num w:numId="64">
    <w:abstractNumId w:val="48"/>
  </w:num>
  <w:num w:numId="65">
    <w:abstractNumId w:val="21"/>
    <w:lvlOverride w:ilvl="0">
      <w:startOverride w:val="7"/>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2"/>
  </w:num>
  <w:num w:numId="67">
    <w:abstractNumId w:val="6"/>
    <w:lvlOverride w:ilvl="0">
      <w:startOverride w:val="131"/>
    </w:lvlOverride>
    <w:lvlOverride w:ilvl="1">
      <w:startOverride w:val="7"/>
    </w:lvlOverride>
    <w:lvlOverride w:ilvl="2">
      <w:startOverride w:val="1"/>
    </w:lvlOverride>
    <w:lvlOverride w:ilvl="3">
      <w:startOverride w:val="1"/>
    </w:lvlOverride>
    <w:lvlOverride w:ilvl="4">
      <w:startOverride w:val="3"/>
    </w:lvlOverride>
    <w:lvlOverride w:ilvl="5">
      <w:startOverride w:val="1"/>
    </w:lvlOverride>
    <w:lvlOverride w:ilvl="6">
      <w:startOverride w:val="1"/>
    </w:lvlOverride>
    <w:lvlOverride w:ilvl="7">
      <w:startOverride w:val="1"/>
    </w:lvlOverride>
    <w:lvlOverride w:ilvl="8">
      <w:startOverride w:val="1"/>
    </w:lvlOverride>
  </w:num>
  <w:num w:numId="68">
    <w:abstractNumId w:val="30"/>
  </w:num>
  <w:num w:numId="69">
    <w:abstractNumId w:val="67"/>
  </w:num>
  <w:num w:numId="70">
    <w:abstractNumId w:val="63"/>
  </w:num>
  <w:num w:numId="71">
    <w:abstractNumId w:val="16"/>
  </w:num>
  <w:num w:numId="72">
    <w:abstractNumId w:val="51"/>
  </w:num>
  <w:num w:numId="73">
    <w:abstractNumId w:val="59"/>
  </w:num>
  <w:num w:numId="74">
    <w:abstractNumId w:val="4"/>
  </w:num>
  <w:num w:numId="75">
    <w:abstractNumId w:val="68"/>
  </w:num>
  <w:num w:numId="76">
    <w:abstractNumId w:val="41"/>
  </w:num>
  <w:num w:numId="77">
    <w:abstractNumId w:val="5"/>
  </w:num>
  <w:num w:numId="78">
    <w:abstractNumId w:val="58"/>
  </w:num>
  <w:num w:numId="79">
    <w:abstractNumId w:val="33"/>
  </w:num>
  <w:num w:numId="80">
    <w:abstractNumId w:val="44"/>
  </w:num>
  <w:num w:numId="81">
    <w:abstractNumId w:val="0"/>
  </w:num>
  <w:num w:numId="82">
    <w:abstractNumId w:val="6"/>
    <w:lvlOverride w:ilvl="0">
      <w:startOverride w:val="3"/>
    </w:lvlOverride>
    <w:lvlOverride w:ilvl="1">
      <w:startOverride w:val="7"/>
    </w:lvlOverride>
    <w:lvlOverride w:ilvl="2">
      <w:startOverride w:val="1"/>
    </w:lvlOverride>
    <w:lvlOverride w:ilvl="3">
      <w:startOverride w:val="1"/>
    </w:lvlOverride>
    <w:lvlOverride w:ilvl="4">
      <w:startOverride w:val="3"/>
    </w:lvlOverride>
    <w:lvlOverride w:ilvl="5">
      <w:startOverride w:val="1"/>
    </w:lvlOverride>
    <w:lvlOverride w:ilvl="6">
      <w:startOverride w:val="1"/>
    </w:lvlOverride>
    <w:lvlOverride w:ilvl="7">
      <w:startOverride w:val="1"/>
    </w:lvlOverride>
    <w:lvlOverride w:ilvl="8">
      <w:startOverride w:val="1"/>
    </w:lvlOverride>
  </w:num>
  <w:num w:numId="83">
    <w:abstractNumId w:val="6"/>
    <w:lvlOverride w:ilvl="0">
      <w:startOverride w:val="3"/>
    </w:lvlOverride>
    <w:lvlOverride w:ilvl="1">
      <w:startOverride w:val="7"/>
    </w:lvlOverride>
    <w:lvlOverride w:ilvl="2">
      <w:startOverride w:val="1"/>
    </w:lvlOverride>
    <w:lvlOverride w:ilvl="3">
      <w:startOverride w:val="1"/>
    </w:lvlOverride>
    <w:lvlOverride w:ilvl="4">
      <w:startOverride w:val="3"/>
    </w:lvlOverride>
    <w:lvlOverride w:ilvl="5">
      <w:startOverride w:val="1"/>
    </w:lvlOverride>
    <w:lvlOverride w:ilvl="6">
      <w:startOverride w:val="1"/>
    </w:lvlOverride>
    <w:lvlOverride w:ilvl="7">
      <w:startOverride w:val="1"/>
    </w:lvlOverride>
    <w:lvlOverride w:ilvl="8">
      <w:startOverride w:val="1"/>
    </w:lvlOverride>
  </w:num>
  <w:num w:numId="84">
    <w:abstractNumId w:val="64"/>
  </w:num>
  <w:num w:numId="8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8"/>
  </w:num>
  <w:num w:numId="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startOverride w:val="1"/>
    </w:lvlOverride>
  </w:num>
  <w:num w:numId="8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fficeIni" w:val="Singapore - Baker &amp; McKenzie Wong &amp; Leow.ini"/>
  </w:docVars>
  <w:rsids>
    <w:rsidRoot w:val="000D07EA"/>
    <w:rsid w:val="00000A52"/>
    <w:rsid w:val="00022573"/>
    <w:rsid w:val="000303D3"/>
    <w:rsid w:val="0004083A"/>
    <w:rsid w:val="00052511"/>
    <w:rsid w:val="00060DA8"/>
    <w:rsid w:val="000A5AD8"/>
    <w:rsid w:val="000D07EA"/>
    <w:rsid w:val="000D4093"/>
    <w:rsid w:val="000E3423"/>
    <w:rsid w:val="000E7C1E"/>
    <w:rsid w:val="001019D5"/>
    <w:rsid w:val="00105234"/>
    <w:rsid w:val="0012348B"/>
    <w:rsid w:val="00127CDF"/>
    <w:rsid w:val="00140BF1"/>
    <w:rsid w:val="001723A4"/>
    <w:rsid w:val="0017289C"/>
    <w:rsid w:val="001846C5"/>
    <w:rsid w:val="0019760B"/>
    <w:rsid w:val="001C5DB7"/>
    <w:rsid w:val="001D2A30"/>
    <w:rsid w:val="001D2FCB"/>
    <w:rsid w:val="001E49C9"/>
    <w:rsid w:val="001F25FF"/>
    <w:rsid w:val="001F6746"/>
    <w:rsid w:val="002204BC"/>
    <w:rsid w:val="0022487C"/>
    <w:rsid w:val="00240FE1"/>
    <w:rsid w:val="00253319"/>
    <w:rsid w:val="002624E4"/>
    <w:rsid w:val="00265CBC"/>
    <w:rsid w:val="00272628"/>
    <w:rsid w:val="00286264"/>
    <w:rsid w:val="00287DE9"/>
    <w:rsid w:val="00292A89"/>
    <w:rsid w:val="002B7E56"/>
    <w:rsid w:val="002C3F0C"/>
    <w:rsid w:val="002E1B47"/>
    <w:rsid w:val="00305CE4"/>
    <w:rsid w:val="00334B99"/>
    <w:rsid w:val="00343D1D"/>
    <w:rsid w:val="0034503B"/>
    <w:rsid w:val="00362A0B"/>
    <w:rsid w:val="00390D08"/>
    <w:rsid w:val="003946E7"/>
    <w:rsid w:val="00395EE7"/>
    <w:rsid w:val="003A53B5"/>
    <w:rsid w:val="003C574B"/>
    <w:rsid w:val="003D4219"/>
    <w:rsid w:val="003D51BB"/>
    <w:rsid w:val="003D60C5"/>
    <w:rsid w:val="00421012"/>
    <w:rsid w:val="00421097"/>
    <w:rsid w:val="0042704A"/>
    <w:rsid w:val="00431491"/>
    <w:rsid w:val="004342B0"/>
    <w:rsid w:val="004355C7"/>
    <w:rsid w:val="00440E5B"/>
    <w:rsid w:val="00454840"/>
    <w:rsid w:val="00455FDD"/>
    <w:rsid w:val="00460CAF"/>
    <w:rsid w:val="004912BA"/>
    <w:rsid w:val="004B6163"/>
    <w:rsid w:val="004C19AB"/>
    <w:rsid w:val="004D563E"/>
    <w:rsid w:val="004E015D"/>
    <w:rsid w:val="0050073B"/>
    <w:rsid w:val="00503F23"/>
    <w:rsid w:val="0051170A"/>
    <w:rsid w:val="00523659"/>
    <w:rsid w:val="005316A5"/>
    <w:rsid w:val="00531861"/>
    <w:rsid w:val="005342BE"/>
    <w:rsid w:val="00536F8B"/>
    <w:rsid w:val="00545A51"/>
    <w:rsid w:val="00545F8A"/>
    <w:rsid w:val="00550C13"/>
    <w:rsid w:val="0055151B"/>
    <w:rsid w:val="00562F67"/>
    <w:rsid w:val="005802EB"/>
    <w:rsid w:val="00584BDA"/>
    <w:rsid w:val="005855A1"/>
    <w:rsid w:val="005A69A0"/>
    <w:rsid w:val="005D3F69"/>
    <w:rsid w:val="005D779A"/>
    <w:rsid w:val="006068A2"/>
    <w:rsid w:val="006069B3"/>
    <w:rsid w:val="0061050C"/>
    <w:rsid w:val="00643F2B"/>
    <w:rsid w:val="006448FD"/>
    <w:rsid w:val="00652131"/>
    <w:rsid w:val="00654DCB"/>
    <w:rsid w:val="00667404"/>
    <w:rsid w:val="00677FFC"/>
    <w:rsid w:val="006D0C22"/>
    <w:rsid w:val="006D162B"/>
    <w:rsid w:val="00701E2C"/>
    <w:rsid w:val="0071489D"/>
    <w:rsid w:val="00720CE6"/>
    <w:rsid w:val="0073478A"/>
    <w:rsid w:val="00735147"/>
    <w:rsid w:val="00741AF5"/>
    <w:rsid w:val="00745360"/>
    <w:rsid w:val="007569EB"/>
    <w:rsid w:val="007679E2"/>
    <w:rsid w:val="00773E13"/>
    <w:rsid w:val="00787CB1"/>
    <w:rsid w:val="00791582"/>
    <w:rsid w:val="007A688C"/>
    <w:rsid w:val="007A6FCE"/>
    <w:rsid w:val="007A76B6"/>
    <w:rsid w:val="007B16A2"/>
    <w:rsid w:val="007B3BB3"/>
    <w:rsid w:val="007D09BF"/>
    <w:rsid w:val="007F1E7F"/>
    <w:rsid w:val="00802AD5"/>
    <w:rsid w:val="00806951"/>
    <w:rsid w:val="008107B1"/>
    <w:rsid w:val="00824317"/>
    <w:rsid w:val="00824918"/>
    <w:rsid w:val="00826F00"/>
    <w:rsid w:val="008376D7"/>
    <w:rsid w:val="00856E4A"/>
    <w:rsid w:val="008947B0"/>
    <w:rsid w:val="0089677C"/>
    <w:rsid w:val="008B2738"/>
    <w:rsid w:val="008D6257"/>
    <w:rsid w:val="008E276E"/>
    <w:rsid w:val="008E7BFE"/>
    <w:rsid w:val="00900EDB"/>
    <w:rsid w:val="00907D7F"/>
    <w:rsid w:val="00920231"/>
    <w:rsid w:val="0092238E"/>
    <w:rsid w:val="00927AED"/>
    <w:rsid w:val="0093025A"/>
    <w:rsid w:val="009355C4"/>
    <w:rsid w:val="00962F04"/>
    <w:rsid w:val="00972274"/>
    <w:rsid w:val="009768CD"/>
    <w:rsid w:val="00991FE4"/>
    <w:rsid w:val="009A40EC"/>
    <w:rsid w:val="009A4616"/>
    <w:rsid w:val="009B5367"/>
    <w:rsid w:val="009B65F1"/>
    <w:rsid w:val="009F2374"/>
    <w:rsid w:val="00AB1B6A"/>
    <w:rsid w:val="00AC2E00"/>
    <w:rsid w:val="00B05B6B"/>
    <w:rsid w:val="00B128AF"/>
    <w:rsid w:val="00B4506C"/>
    <w:rsid w:val="00B64C56"/>
    <w:rsid w:val="00B82716"/>
    <w:rsid w:val="00B90012"/>
    <w:rsid w:val="00B95821"/>
    <w:rsid w:val="00BA172C"/>
    <w:rsid w:val="00BA21F2"/>
    <w:rsid w:val="00BA2B8D"/>
    <w:rsid w:val="00BA62D1"/>
    <w:rsid w:val="00BB0D20"/>
    <w:rsid w:val="00BC25AA"/>
    <w:rsid w:val="00BD5512"/>
    <w:rsid w:val="00BD746C"/>
    <w:rsid w:val="00BE7C89"/>
    <w:rsid w:val="00BF44B4"/>
    <w:rsid w:val="00C13E31"/>
    <w:rsid w:val="00C1683F"/>
    <w:rsid w:val="00C331FB"/>
    <w:rsid w:val="00C67C9F"/>
    <w:rsid w:val="00C67DDF"/>
    <w:rsid w:val="00C7493C"/>
    <w:rsid w:val="00C82C7C"/>
    <w:rsid w:val="00C9239B"/>
    <w:rsid w:val="00CA5BA7"/>
    <w:rsid w:val="00CB351D"/>
    <w:rsid w:val="00CB77B1"/>
    <w:rsid w:val="00CB7D18"/>
    <w:rsid w:val="00CC2F10"/>
    <w:rsid w:val="00CC5AE2"/>
    <w:rsid w:val="00CE0FD8"/>
    <w:rsid w:val="00CE3CCE"/>
    <w:rsid w:val="00D26653"/>
    <w:rsid w:val="00D40E08"/>
    <w:rsid w:val="00D44C7F"/>
    <w:rsid w:val="00D50A97"/>
    <w:rsid w:val="00D71D02"/>
    <w:rsid w:val="00D73959"/>
    <w:rsid w:val="00D74639"/>
    <w:rsid w:val="00D82412"/>
    <w:rsid w:val="00D9106F"/>
    <w:rsid w:val="00DC3CC7"/>
    <w:rsid w:val="00DD544E"/>
    <w:rsid w:val="00DD7FB0"/>
    <w:rsid w:val="00DE32CC"/>
    <w:rsid w:val="00E01D8F"/>
    <w:rsid w:val="00E112B2"/>
    <w:rsid w:val="00E17E77"/>
    <w:rsid w:val="00E2048F"/>
    <w:rsid w:val="00E441CA"/>
    <w:rsid w:val="00E45239"/>
    <w:rsid w:val="00E507D4"/>
    <w:rsid w:val="00E57781"/>
    <w:rsid w:val="00E8487A"/>
    <w:rsid w:val="00E85FA3"/>
    <w:rsid w:val="00E93E54"/>
    <w:rsid w:val="00EE0907"/>
    <w:rsid w:val="00EE7426"/>
    <w:rsid w:val="00F31047"/>
    <w:rsid w:val="00F31B80"/>
    <w:rsid w:val="00F404FE"/>
    <w:rsid w:val="00F66ADB"/>
    <w:rsid w:val="00F67786"/>
    <w:rsid w:val="00F67BEB"/>
    <w:rsid w:val="00F84E53"/>
    <w:rsid w:val="00FB4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4DE8B360"/>
  <w15:docId w15:val="{1498AD15-71B0-4EB2-9BD5-D9D16F258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7" w:unhideWhenUsed="1" w:qFormat="1"/>
    <w:lsdException w:name="List Number 3" w:semiHidden="1" w:uiPriority="7" w:unhideWhenUsed="1" w:qFormat="1"/>
    <w:lsdException w:name="List Number 4" w:semiHidden="1" w:uiPriority="7" w:unhideWhenUsed="1" w:qFormat="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lsdException w:name="Body Text First Indent 2" w:semiHidden="1" w:unhideWhenUsed="1"/>
    <w:lsdException w:name="Note Heading" w:semiHidden="1" w:unhideWhenUsed="1"/>
    <w:lsdException w:name="Body Text 2" w:semiHidden="1" w:uiPriority="0"/>
    <w:lsdException w:name="Body Text 3" w:semiHidden="1" w:uiPriority="0"/>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rPr>
  </w:style>
  <w:style w:type="paragraph" w:styleId="Heading1">
    <w:name w:val="heading 1"/>
    <w:aliases w:val="h1,H1,Attribute Heading 1,Part"/>
    <w:basedOn w:val="Normal"/>
    <w:next w:val="Normal"/>
    <w:link w:val="Heading1Char"/>
    <w:uiPriority w:val="9"/>
    <w:qFormat/>
    <w:pPr>
      <w:keepNext/>
      <w:keepLines/>
      <w:numPr>
        <w:numId w:val="1"/>
      </w:numPr>
      <w:spacing w:before="480"/>
      <w:outlineLvl w:val="0"/>
    </w:pPr>
    <w:rPr>
      <w:rFonts w:eastAsia="MS Gothic"/>
      <w:sz w:val="72"/>
      <w:szCs w:val="32"/>
    </w:rPr>
  </w:style>
  <w:style w:type="paragraph" w:styleId="Heading2">
    <w:name w:val="heading 2"/>
    <w:aliases w:val="h2"/>
    <w:basedOn w:val="Normal"/>
    <w:next w:val="Normal"/>
    <w:link w:val="Heading2Char"/>
    <w:uiPriority w:val="9"/>
    <w:qFormat/>
    <w:pPr>
      <w:keepNext/>
      <w:keepLines/>
      <w:numPr>
        <w:ilvl w:val="1"/>
        <w:numId w:val="1"/>
      </w:numPr>
      <w:spacing w:after="200"/>
      <w:outlineLvl w:val="1"/>
    </w:pPr>
    <w:rPr>
      <w:rFonts w:eastAsia="MS Gothic"/>
      <w:bCs/>
      <w:color w:val="000000"/>
      <w:sz w:val="48"/>
      <w:szCs w:val="26"/>
    </w:rPr>
  </w:style>
  <w:style w:type="paragraph" w:styleId="Heading3">
    <w:name w:val="heading 3"/>
    <w:aliases w:val="Address Listing Body Text - Primus"/>
    <w:basedOn w:val="Normal"/>
    <w:next w:val="Normal"/>
    <w:link w:val="Heading3Char"/>
    <w:uiPriority w:val="9"/>
    <w:qFormat/>
    <w:pPr>
      <w:keepNext/>
      <w:keepLines/>
      <w:numPr>
        <w:ilvl w:val="2"/>
        <w:numId w:val="1"/>
      </w:numPr>
      <w:spacing w:after="200"/>
      <w:outlineLvl w:val="2"/>
    </w:pPr>
    <w:rPr>
      <w:rFonts w:eastAsia="MS Gothic"/>
      <w:bCs/>
      <w:color w:val="000000"/>
      <w:sz w:val="40"/>
    </w:rPr>
  </w:style>
  <w:style w:type="paragraph" w:styleId="Heading4">
    <w:name w:val="heading 4"/>
    <w:aliases w:val="h4"/>
    <w:basedOn w:val="Normal"/>
    <w:next w:val="Normal"/>
    <w:link w:val="Heading4Char"/>
    <w:uiPriority w:val="9"/>
    <w:qFormat/>
    <w:pPr>
      <w:keepNext/>
      <w:numPr>
        <w:ilvl w:val="3"/>
        <w:numId w:val="1"/>
      </w:numPr>
      <w:spacing w:after="200"/>
      <w:outlineLvl w:val="3"/>
    </w:pPr>
    <w:rPr>
      <w:rFonts w:eastAsia="Times New Roman"/>
      <w:bCs/>
      <w:sz w:val="32"/>
      <w:szCs w:val="28"/>
    </w:rPr>
  </w:style>
  <w:style w:type="paragraph" w:styleId="Heading5">
    <w:name w:val="heading 5"/>
    <w:basedOn w:val="Normal"/>
    <w:link w:val="Heading5Char"/>
    <w:qFormat/>
    <w:pPr>
      <w:numPr>
        <w:ilvl w:val="4"/>
        <w:numId w:val="1"/>
      </w:numPr>
      <w:tabs>
        <w:tab w:val="left" w:pos="1440"/>
      </w:tabs>
      <w:spacing w:after="200"/>
      <w:ind w:left="1440" w:hanging="720"/>
      <w:outlineLvl w:val="4"/>
    </w:pPr>
    <w:rPr>
      <w:rFonts w:eastAsia="Times New Roman"/>
      <w:bCs/>
      <w:iCs/>
      <w:color w:val="000000"/>
      <w:sz w:val="32"/>
      <w:szCs w:val="26"/>
      <w:lang w:val="en-AU"/>
    </w:rPr>
  </w:style>
  <w:style w:type="paragraph" w:styleId="Heading6">
    <w:name w:val="heading 6"/>
    <w:basedOn w:val="Normal"/>
    <w:next w:val="Normal"/>
    <w:link w:val="Heading6Char"/>
    <w:uiPriority w:val="9"/>
    <w:qFormat/>
    <w:pPr>
      <w:numPr>
        <w:ilvl w:val="5"/>
        <w:numId w:val="1"/>
      </w:numPr>
      <w:spacing w:after="200"/>
      <w:ind w:left="720" w:hanging="720"/>
      <w:outlineLvl w:val="5"/>
    </w:pPr>
    <w:rPr>
      <w:rFonts w:eastAsia="Times New Roman"/>
      <w:bCs/>
      <w:sz w:val="20"/>
      <w:szCs w:val="22"/>
    </w:rPr>
  </w:style>
  <w:style w:type="paragraph" w:styleId="Heading7">
    <w:name w:val="heading 7"/>
    <w:basedOn w:val="Normal"/>
    <w:next w:val="Normal"/>
    <w:link w:val="Heading7Char"/>
    <w:uiPriority w:val="9"/>
    <w:qFormat/>
    <w:pPr>
      <w:numPr>
        <w:ilvl w:val="6"/>
        <w:numId w:val="1"/>
      </w:numPr>
      <w:spacing w:after="200"/>
      <w:ind w:left="1440"/>
      <w:outlineLvl w:val="6"/>
    </w:pPr>
    <w:rPr>
      <w:rFonts w:eastAsia="Times New Roman"/>
      <w:sz w:val="20"/>
    </w:rPr>
  </w:style>
  <w:style w:type="paragraph" w:styleId="Heading8">
    <w:name w:val="heading 8"/>
    <w:basedOn w:val="Normal"/>
    <w:next w:val="Normal"/>
    <w:link w:val="Heading8Char"/>
    <w:uiPriority w:val="9"/>
    <w:qFormat/>
    <w:pPr>
      <w:numPr>
        <w:ilvl w:val="7"/>
        <w:numId w:val="1"/>
      </w:numPr>
      <w:spacing w:after="200"/>
      <w:outlineLvl w:val="7"/>
    </w:pPr>
    <w:rPr>
      <w:rFonts w:eastAsia="Times New Roman"/>
      <w:iCs/>
      <w:sz w:val="20"/>
    </w:rPr>
  </w:style>
  <w:style w:type="paragraph" w:styleId="Heading9">
    <w:name w:val="heading 9"/>
    <w:basedOn w:val="Normal"/>
    <w:next w:val="Normal"/>
    <w:link w:val="Heading9Char"/>
    <w:uiPriority w:val="9"/>
    <w:qFormat/>
    <w:pPr>
      <w:numPr>
        <w:ilvl w:val="8"/>
        <w:numId w:val="1"/>
      </w:numPr>
      <w:spacing w:after="200"/>
      <w:outlineLvl w:val="8"/>
    </w:pPr>
    <w:rPr>
      <w:rFonts w:eastAsia="Times New Roman"/>
      <w:sz w:val="2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1 Char,Attribute Heading 1 Char,Part Char"/>
    <w:link w:val="Heading1"/>
    <w:uiPriority w:val="9"/>
    <w:rPr>
      <w:rFonts w:ascii="Arial" w:eastAsia="MS Gothic" w:hAnsi="Arial"/>
      <w:sz w:val="72"/>
      <w:szCs w:val="32"/>
    </w:rPr>
  </w:style>
  <w:style w:type="character" w:customStyle="1" w:styleId="Heading2Char">
    <w:name w:val="Heading 2 Char"/>
    <w:aliases w:val="h2 Char"/>
    <w:link w:val="Heading2"/>
    <w:uiPriority w:val="9"/>
    <w:rPr>
      <w:rFonts w:ascii="Arial" w:eastAsia="MS Gothic" w:hAnsi="Arial"/>
      <w:bCs/>
      <w:color w:val="000000"/>
      <w:sz w:val="48"/>
      <w:szCs w:val="26"/>
    </w:rPr>
  </w:style>
  <w:style w:type="character" w:customStyle="1" w:styleId="Heading3Char">
    <w:name w:val="Heading 3 Char"/>
    <w:aliases w:val="Address Listing Body Text - Primus Char"/>
    <w:link w:val="Heading3"/>
    <w:uiPriority w:val="9"/>
    <w:rPr>
      <w:rFonts w:ascii="Arial" w:eastAsia="MS Gothic" w:hAnsi="Arial"/>
      <w:bCs/>
      <w:color w:val="000000"/>
      <w:sz w:val="40"/>
      <w:szCs w:val="24"/>
    </w:rPr>
  </w:style>
  <w:style w:type="character" w:customStyle="1" w:styleId="Heading4Char">
    <w:name w:val="Heading 4 Char"/>
    <w:aliases w:val="h4 Char"/>
    <w:link w:val="Heading4"/>
    <w:uiPriority w:val="9"/>
    <w:rPr>
      <w:rFonts w:ascii="Arial" w:eastAsia="Times New Roman" w:hAnsi="Arial"/>
      <w:bCs/>
      <w:sz w:val="32"/>
      <w:szCs w:val="28"/>
    </w:rPr>
  </w:style>
  <w:style w:type="character" w:customStyle="1" w:styleId="Heading5Char">
    <w:name w:val="Heading 5 Char"/>
    <w:link w:val="Heading5"/>
    <w:rPr>
      <w:rFonts w:ascii="Arial" w:eastAsia="Times New Roman" w:hAnsi="Arial"/>
      <w:bCs/>
      <w:iCs/>
      <w:color w:val="000000"/>
      <w:sz w:val="32"/>
      <w:szCs w:val="26"/>
      <w:lang w:val="en-AU"/>
    </w:rPr>
  </w:style>
  <w:style w:type="character" w:customStyle="1" w:styleId="Heading6Char">
    <w:name w:val="Heading 6 Char"/>
    <w:link w:val="Heading6"/>
    <w:uiPriority w:val="9"/>
    <w:rPr>
      <w:rFonts w:ascii="Arial" w:eastAsia="Times New Roman" w:hAnsi="Arial"/>
      <w:bCs/>
      <w:szCs w:val="22"/>
    </w:rPr>
  </w:style>
  <w:style w:type="character" w:customStyle="1" w:styleId="Heading7Char">
    <w:name w:val="Heading 7 Char"/>
    <w:link w:val="Heading7"/>
    <w:uiPriority w:val="9"/>
    <w:rPr>
      <w:rFonts w:ascii="Arial" w:eastAsia="Times New Roman" w:hAnsi="Arial"/>
      <w:szCs w:val="24"/>
    </w:rPr>
  </w:style>
  <w:style w:type="character" w:customStyle="1" w:styleId="Heading8Char">
    <w:name w:val="Heading 8 Char"/>
    <w:link w:val="Heading8"/>
    <w:uiPriority w:val="9"/>
    <w:rPr>
      <w:rFonts w:ascii="Arial" w:eastAsia="Times New Roman" w:hAnsi="Arial"/>
      <w:iCs/>
      <w:szCs w:val="24"/>
    </w:rPr>
  </w:style>
  <w:style w:type="character" w:customStyle="1" w:styleId="Heading9Char">
    <w:name w:val="Heading 9 Char"/>
    <w:link w:val="Heading9"/>
    <w:uiPriority w:val="9"/>
    <w:rPr>
      <w:rFonts w:ascii="Arial" w:eastAsia="Times New Roman" w:hAnsi="Arial"/>
      <w:szCs w:val="22"/>
    </w:rPr>
  </w:style>
  <w:style w:type="paragraph" w:styleId="Title">
    <w:name w:val="Title"/>
    <w:basedOn w:val="Normal"/>
    <w:next w:val="Normal"/>
    <w:link w:val="TitleChar"/>
    <w:qFormat/>
    <w:pPr>
      <w:pBdr>
        <w:bottom w:val="single" w:sz="8" w:space="4" w:color="4F81BD"/>
      </w:pBdr>
      <w:spacing w:after="300"/>
      <w:contextualSpacing/>
    </w:pPr>
    <w:rPr>
      <w:rFonts w:ascii="FS Optus Medium" w:eastAsia="MS Gothic" w:hAnsi="FS Optus Medium"/>
      <w:color w:val="13607C"/>
      <w:spacing w:val="5"/>
      <w:kern w:val="28"/>
      <w:sz w:val="56"/>
      <w:szCs w:val="56"/>
    </w:rPr>
  </w:style>
  <w:style w:type="character" w:customStyle="1" w:styleId="TitleChar">
    <w:name w:val="Title Char"/>
    <w:link w:val="Title"/>
    <w:rPr>
      <w:rFonts w:ascii="FS Optus Medium" w:eastAsia="MS Gothic" w:hAnsi="FS Optus Medium" w:cs="Times New Roman"/>
      <w:color w:val="13607C"/>
      <w:spacing w:val="5"/>
      <w:kern w:val="28"/>
      <w:sz w:val="56"/>
      <w:szCs w:val="56"/>
    </w:rPr>
  </w:style>
  <w:style w:type="paragraph" w:customStyle="1" w:styleId="TOCHeading1">
    <w:name w:val="TOC Heading1"/>
    <w:basedOn w:val="Heading1"/>
    <w:next w:val="Normal"/>
    <w:uiPriority w:val="39"/>
    <w:qFormat/>
    <w:pPr>
      <w:spacing w:line="276" w:lineRule="auto"/>
      <w:outlineLvl w:val="9"/>
    </w:pPr>
    <w:rPr>
      <w:b/>
      <w:bCs/>
      <w:smallCaps/>
      <w:sz w:val="28"/>
      <w:szCs w:val="28"/>
    </w:rPr>
  </w:style>
  <w:style w:type="paragraph" w:styleId="TOC2">
    <w:name w:val="toc 2"/>
    <w:basedOn w:val="Normal"/>
    <w:next w:val="Normal"/>
    <w:uiPriority w:val="39"/>
    <w:unhideWhenUsed/>
    <w:qFormat/>
    <w:pPr>
      <w:ind w:left="240"/>
    </w:pPr>
    <w:rPr>
      <w:bCs/>
      <w:sz w:val="22"/>
      <w:szCs w:val="22"/>
    </w:rPr>
  </w:style>
  <w:style w:type="paragraph" w:styleId="TOC1">
    <w:name w:val="toc 1"/>
    <w:basedOn w:val="Normal"/>
    <w:next w:val="Normal"/>
    <w:autoRedefine/>
    <w:uiPriority w:val="39"/>
    <w:unhideWhenUsed/>
    <w:qFormat/>
    <w:rsid w:val="00550C13"/>
    <w:pPr>
      <w:tabs>
        <w:tab w:val="right" w:pos="10188"/>
      </w:tabs>
      <w:spacing w:before="120" w:after="120"/>
      <w:ind w:left="720" w:right="288" w:hanging="720"/>
    </w:pPr>
    <w:rPr>
      <w:b/>
      <w:sz w:val="20"/>
    </w:rPr>
  </w:style>
  <w:style w:type="character" w:styleId="Hyperlink">
    <w:name w:val="Hyperlink"/>
    <w:uiPriority w:val="99"/>
    <w:unhideWhenUsed/>
    <w:rPr>
      <w:rFonts w:ascii="Arial" w:hAnsi="Arial"/>
      <w:color w:val="13607C"/>
      <w:sz w:val="20"/>
      <w:u w:val="single"/>
    </w:rPr>
  </w:style>
  <w:style w:type="paragraph" w:styleId="Header">
    <w:name w:val="header"/>
    <w:basedOn w:val="Normal"/>
    <w:link w:val="HeaderChar"/>
    <w:unhideWhenUsed/>
    <w:pPr>
      <w:tabs>
        <w:tab w:val="center" w:pos="4320"/>
        <w:tab w:val="right" w:pos="8640"/>
      </w:tabs>
    </w:pPr>
  </w:style>
  <w:style w:type="character" w:customStyle="1" w:styleId="HeaderChar">
    <w:name w:val="Header Char"/>
    <w:link w:val="Header"/>
    <w:rPr>
      <w:rFonts w:ascii="Arial" w:hAnsi="Arial"/>
    </w:rPr>
  </w:style>
  <w:style w:type="paragraph" w:styleId="Footer">
    <w:name w:val="footer"/>
    <w:basedOn w:val="Normal"/>
    <w:link w:val="FooterChar"/>
    <w:unhideWhenUsed/>
    <w:pPr>
      <w:tabs>
        <w:tab w:val="center" w:pos="4320"/>
        <w:tab w:val="right" w:pos="8640"/>
      </w:tabs>
    </w:pPr>
  </w:style>
  <w:style w:type="character" w:customStyle="1" w:styleId="FooterChar">
    <w:name w:val="Footer Char"/>
    <w:link w:val="Footer"/>
    <w:rPr>
      <w:rFonts w:ascii="Arial" w:hAnsi="Arial"/>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Lucida Grande" w:hAnsi="Lucida Grande" w:cs="Lucida Grande"/>
      <w:sz w:val="18"/>
      <w:szCs w:val="18"/>
    </w:rPr>
  </w:style>
  <w:style w:type="character" w:customStyle="1" w:styleId="BalloonTextChar">
    <w:name w:val="Balloon Text Char"/>
    <w:link w:val="BalloonText"/>
    <w:uiPriority w:val="99"/>
    <w:semiHidden/>
    <w:rPr>
      <w:rFonts w:ascii="Lucida Grande" w:hAnsi="Lucida Grande" w:cs="Lucida Grande"/>
      <w:sz w:val="18"/>
      <w:szCs w:val="18"/>
    </w:rPr>
  </w:style>
  <w:style w:type="character" w:styleId="PageNumber">
    <w:name w:val="page number"/>
    <w:rPr>
      <w:rFonts w:ascii="Times New Roman" w:hAnsi="Times New Roman"/>
      <w:sz w:val="14"/>
    </w:rPr>
  </w:style>
  <w:style w:type="paragraph" w:customStyle="1" w:styleId="FooterTitle">
    <w:name w:val="FooterTitle"/>
    <w:basedOn w:val="Footer"/>
    <w:pPr>
      <w:tabs>
        <w:tab w:val="clear" w:pos="4320"/>
        <w:tab w:val="clear" w:pos="8640"/>
      </w:tabs>
      <w:jc w:val="right"/>
    </w:pPr>
    <w:rPr>
      <w:rFonts w:eastAsia="Times New Roman" w:cs="Arial"/>
      <w:sz w:val="16"/>
      <w:szCs w:val="16"/>
      <w:lang w:val="en-AU"/>
    </w:rPr>
  </w:style>
  <w:style w:type="paragraph" w:styleId="BodyText">
    <w:name w:val="Body Text"/>
    <w:basedOn w:val="Normal"/>
    <w:link w:val="BodyTextChar"/>
    <w:uiPriority w:val="99"/>
    <w:qFormat/>
    <w:pPr>
      <w:spacing w:after="200"/>
    </w:pPr>
    <w:rPr>
      <w:sz w:val="20"/>
    </w:rPr>
  </w:style>
  <w:style w:type="character" w:customStyle="1" w:styleId="BodyTextChar">
    <w:name w:val="Body Text Char"/>
    <w:link w:val="BodyText"/>
    <w:uiPriority w:val="99"/>
    <w:rPr>
      <w:rFonts w:ascii="Arial" w:hAnsi="Arial"/>
      <w:szCs w:val="24"/>
    </w:rPr>
  </w:style>
  <w:style w:type="character" w:customStyle="1" w:styleId="Definition">
    <w:name w:val="Definition"/>
    <w:rPr>
      <w:b/>
      <w:bCs/>
      <w:i w:val="0"/>
      <w:sz w:val="22"/>
      <w:szCs w:val="28"/>
    </w:rPr>
  </w:style>
  <w:style w:type="character" w:styleId="CommentReference">
    <w:name w:val="annotation reference"/>
    <w:uiPriority w:val="99"/>
    <w:semiHidden/>
    <w:rPr>
      <w:sz w:val="16"/>
      <w:szCs w:val="16"/>
    </w:rPr>
  </w:style>
  <w:style w:type="character" w:customStyle="1" w:styleId="Highlight11pt">
    <w:name w:val="Highlight 11pt"/>
    <w:rPr>
      <w:rFonts w:ascii="Arial" w:hAnsi="Arial" w:cs="Arial" w:hint="default"/>
      <w:b/>
      <w:bCs w:val="0"/>
      <w:sz w:val="22"/>
    </w:rPr>
  </w:style>
  <w:style w:type="character" w:styleId="Strong">
    <w:name w:val="Strong"/>
    <w:qFormat/>
    <w:rPr>
      <w:b/>
      <w:bCs/>
    </w:rPr>
  </w:style>
  <w:style w:type="character" w:styleId="Emphasis">
    <w:name w:val="Emphasis"/>
    <w:qFormat/>
    <w:rPr>
      <w:i/>
      <w:iCs/>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lang w:val="en-AU"/>
    </w:rPr>
  </w:style>
  <w:style w:type="character" w:customStyle="1" w:styleId="MacroTextChar">
    <w:name w:val="Macro Text Char"/>
    <w:link w:val="MacroText"/>
    <w:semiHidden/>
    <w:rPr>
      <w:rFonts w:ascii="Consolas" w:eastAsia="Times New Roman" w:hAnsi="Consolas"/>
      <w:lang w:val="en-AU"/>
    </w:rPr>
  </w:style>
  <w:style w:type="paragraph" w:styleId="Caption">
    <w:name w:val="caption"/>
    <w:basedOn w:val="Normal"/>
    <w:next w:val="Normal"/>
    <w:semiHidden/>
    <w:qFormat/>
    <w:pPr>
      <w:spacing w:before="120" w:after="120"/>
    </w:pPr>
    <w:rPr>
      <w:rFonts w:ascii="Times New (W1)" w:eastAsia="Times New Roman" w:hAnsi="Times New (W1)"/>
      <w:b/>
      <w:bCs/>
      <w:sz w:val="20"/>
      <w:szCs w:val="20"/>
      <w:lang w:val="en-AU"/>
    </w:rPr>
  </w:style>
  <w:style w:type="paragraph" w:styleId="Closing">
    <w:name w:val="Closing"/>
    <w:basedOn w:val="Normal"/>
    <w:link w:val="ClosingChar"/>
    <w:semiHidden/>
    <w:pPr>
      <w:ind w:left="4252"/>
    </w:pPr>
    <w:rPr>
      <w:rFonts w:ascii="Times New (W1)" w:eastAsia="Times New Roman" w:hAnsi="Times New (W1)"/>
      <w:sz w:val="22"/>
      <w:szCs w:val="20"/>
      <w:lang w:val="en-AU"/>
    </w:rPr>
  </w:style>
  <w:style w:type="character" w:customStyle="1" w:styleId="ClosingChar">
    <w:name w:val="Closing Char"/>
    <w:link w:val="Closing"/>
    <w:semiHidden/>
    <w:rPr>
      <w:rFonts w:ascii="Times New (W1)" w:eastAsia="Times New Roman" w:hAnsi="Times New (W1)"/>
      <w:sz w:val="22"/>
      <w:lang w:val="en-AU"/>
    </w:rPr>
  </w:style>
  <w:style w:type="paragraph" w:styleId="Date">
    <w:name w:val="Date"/>
    <w:basedOn w:val="Normal"/>
    <w:next w:val="Normal"/>
    <w:link w:val="DateChar"/>
    <w:semiHidden/>
    <w:rPr>
      <w:rFonts w:ascii="Times New (W1)" w:eastAsia="Times New Roman" w:hAnsi="Times New (W1)"/>
      <w:sz w:val="22"/>
      <w:szCs w:val="20"/>
      <w:lang w:val="en-AU"/>
    </w:rPr>
  </w:style>
  <w:style w:type="character" w:customStyle="1" w:styleId="DateChar">
    <w:name w:val="Date Char"/>
    <w:link w:val="Date"/>
    <w:semiHidden/>
    <w:rPr>
      <w:rFonts w:ascii="Times New (W1)" w:eastAsia="Times New Roman" w:hAnsi="Times New (W1)"/>
      <w:sz w:val="22"/>
      <w:lang w:val="en-AU"/>
    </w:rPr>
  </w:style>
  <w:style w:type="paragraph" w:styleId="Quote">
    <w:name w:val="Quote"/>
    <w:basedOn w:val="Normal"/>
    <w:next w:val="Normal"/>
    <w:link w:val="QuoteChar"/>
    <w:uiPriority w:val="73"/>
    <w:qFormat/>
    <w:rPr>
      <w:i/>
      <w:iCs/>
      <w:color w:val="000000"/>
    </w:rPr>
  </w:style>
  <w:style w:type="character" w:customStyle="1" w:styleId="QuoteChar">
    <w:name w:val="Quote Char"/>
    <w:link w:val="Quote"/>
    <w:uiPriority w:val="73"/>
    <w:rPr>
      <w:rFonts w:ascii="Arial" w:hAnsi="Arial"/>
      <w:i/>
      <w:iCs/>
      <w:color w:val="000000"/>
      <w:sz w:val="24"/>
      <w:szCs w:val="24"/>
    </w:rPr>
  </w:style>
  <w:style w:type="paragraph" w:customStyle="1" w:styleId="Normal1">
    <w:name w:val="Normal1"/>
    <w:basedOn w:val="Normal"/>
    <w:semiHidden/>
    <w:pPr>
      <w:jc w:val="both"/>
    </w:pPr>
    <w:rPr>
      <w:rFonts w:ascii="Times New Roman" w:eastAsia="Times New Roman" w:hAnsi="Times New Roman"/>
      <w:szCs w:val="20"/>
    </w:rPr>
  </w:style>
  <w:style w:type="character" w:styleId="FollowedHyperlink">
    <w:name w:val="FollowedHyperlink"/>
    <w:uiPriority w:val="99"/>
    <w:unhideWhenUsed/>
    <w:rPr>
      <w:color w:val="800080"/>
      <w:u w:val="single"/>
    </w:rPr>
  </w:style>
  <w:style w:type="paragraph" w:customStyle="1" w:styleId="Table">
    <w:name w:val="Table"/>
    <w:basedOn w:val="Normal"/>
    <w:pPr>
      <w:tabs>
        <w:tab w:val="left" w:pos="851"/>
      </w:tabs>
      <w:spacing w:before="120" w:after="120"/>
    </w:pPr>
    <w:rPr>
      <w:rFonts w:ascii="Times New Roman" w:eastAsia="Times New Roman" w:hAnsi="Times New Roman"/>
      <w:szCs w:val="20"/>
      <w:lang w:val="en-AU"/>
    </w:rPr>
  </w:style>
  <w:style w:type="paragraph" w:styleId="BodyTextIndent">
    <w:name w:val="Body Text Indent"/>
    <w:basedOn w:val="Normal"/>
    <w:link w:val="BodyTextIndentChar"/>
    <w:pPr>
      <w:spacing w:after="120"/>
      <w:ind w:left="283"/>
    </w:pPr>
    <w:rPr>
      <w:rFonts w:ascii="Times New Roman" w:eastAsia="Times New Roman" w:hAnsi="Times New Roman"/>
      <w:lang w:val="en-AU" w:eastAsia="en-AU"/>
    </w:rPr>
  </w:style>
  <w:style w:type="character" w:customStyle="1" w:styleId="BodyTextIndentChar">
    <w:name w:val="Body Text Indent Char"/>
    <w:link w:val="BodyTextIndent"/>
    <w:rPr>
      <w:rFonts w:ascii="Times New Roman" w:eastAsia="Times New Roman" w:hAnsi="Times New Roman"/>
      <w:sz w:val="24"/>
      <w:szCs w:val="24"/>
      <w:lang w:val="en-AU" w:eastAsia="en-AU"/>
    </w:rPr>
  </w:style>
  <w:style w:type="paragraph" w:customStyle="1" w:styleId="Times">
    <w:name w:val="Times"/>
    <w:basedOn w:val="Normal"/>
    <w:pPr>
      <w:widowControl w:val="0"/>
      <w:spacing w:line="340" w:lineRule="exact"/>
      <w:jc w:val="both"/>
    </w:pPr>
    <w:rPr>
      <w:rFonts w:ascii="Times" w:eastAsia="Times New Roman" w:hAnsi="Times"/>
      <w:szCs w:val="20"/>
    </w:rPr>
  </w:style>
  <w:style w:type="paragraph" w:styleId="TOC3">
    <w:name w:val="toc 3"/>
    <w:basedOn w:val="Normal"/>
    <w:next w:val="Normal"/>
    <w:autoRedefine/>
    <w:uiPriority w:val="39"/>
    <w:qFormat/>
    <w:pPr>
      <w:spacing w:after="100" w:line="276" w:lineRule="auto"/>
      <w:ind w:left="440"/>
    </w:pPr>
    <w:rPr>
      <w:rFonts w:ascii="Calibri" w:eastAsia="Times New Roman" w:hAnsi="Calibri"/>
      <w:sz w:val="22"/>
      <w:szCs w:val="22"/>
    </w:rPr>
  </w:style>
  <w:style w:type="paragraph" w:styleId="TOC4">
    <w:name w:val="toc 4"/>
    <w:basedOn w:val="Normal"/>
    <w:next w:val="Normal"/>
    <w:autoRedefine/>
    <w:uiPriority w:val="39"/>
    <w:pPr>
      <w:spacing w:after="100" w:line="276" w:lineRule="auto"/>
      <w:ind w:left="660"/>
    </w:pPr>
    <w:rPr>
      <w:rFonts w:ascii="Calibri" w:eastAsia="Times New Roman" w:hAnsi="Calibri"/>
      <w:sz w:val="22"/>
      <w:szCs w:val="22"/>
    </w:rPr>
  </w:style>
  <w:style w:type="paragraph" w:styleId="TOC5">
    <w:name w:val="toc 5"/>
    <w:basedOn w:val="Normal"/>
    <w:next w:val="Normal"/>
    <w:autoRedefine/>
    <w:uiPriority w:val="39"/>
    <w:pPr>
      <w:spacing w:after="100" w:line="276" w:lineRule="auto"/>
      <w:ind w:left="880"/>
    </w:pPr>
    <w:rPr>
      <w:rFonts w:ascii="Calibri" w:eastAsia="Times New Roman" w:hAnsi="Calibri"/>
      <w:sz w:val="22"/>
      <w:szCs w:val="22"/>
    </w:rPr>
  </w:style>
  <w:style w:type="paragraph" w:styleId="TOC6">
    <w:name w:val="toc 6"/>
    <w:basedOn w:val="Normal"/>
    <w:next w:val="Normal"/>
    <w:autoRedefine/>
    <w:uiPriority w:val="39"/>
    <w:pPr>
      <w:spacing w:after="100" w:line="276" w:lineRule="auto"/>
      <w:ind w:left="1100"/>
    </w:pPr>
    <w:rPr>
      <w:rFonts w:ascii="Calibri" w:eastAsia="Times New Roman" w:hAnsi="Calibri"/>
      <w:sz w:val="22"/>
      <w:szCs w:val="22"/>
    </w:rPr>
  </w:style>
  <w:style w:type="paragraph" w:styleId="TOC7">
    <w:name w:val="toc 7"/>
    <w:basedOn w:val="Normal"/>
    <w:next w:val="Normal"/>
    <w:autoRedefine/>
    <w:uiPriority w:val="39"/>
    <w:pPr>
      <w:spacing w:after="100" w:line="276" w:lineRule="auto"/>
      <w:ind w:left="1320"/>
    </w:pPr>
    <w:rPr>
      <w:rFonts w:ascii="Calibri" w:eastAsia="Times New Roman" w:hAnsi="Calibri"/>
      <w:sz w:val="22"/>
      <w:szCs w:val="22"/>
    </w:rPr>
  </w:style>
  <w:style w:type="paragraph" w:styleId="TOC8">
    <w:name w:val="toc 8"/>
    <w:basedOn w:val="Normal"/>
    <w:next w:val="Normal"/>
    <w:autoRedefine/>
    <w:uiPriority w:val="39"/>
    <w:pPr>
      <w:spacing w:after="100" w:line="276" w:lineRule="auto"/>
      <w:ind w:left="1540"/>
    </w:pPr>
    <w:rPr>
      <w:rFonts w:ascii="Calibri" w:eastAsia="Times New Roman" w:hAnsi="Calibri"/>
      <w:sz w:val="22"/>
      <w:szCs w:val="22"/>
    </w:rPr>
  </w:style>
  <w:style w:type="paragraph" w:styleId="TOC9">
    <w:name w:val="toc 9"/>
    <w:basedOn w:val="Normal"/>
    <w:next w:val="Normal"/>
    <w:autoRedefine/>
    <w:uiPriority w:val="39"/>
    <w:pPr>
      <w:spacing w:after="100" w:line="276" w:lineRule="auto"/>
      <w:ind w:left="1760"/>
    </w:pPr>
    <w:rPr>
      <w:rFonts w:ascii="Calibri" w:eastAsia="Times New Roman" w:hAnsi="Calibri"/>
      <w:sz w:val="22"/>
      <w:szCs w:val="22"/>
    </w:rPr>
  </w:style>
  <w:style w:type="paragraph" w:customStyle="1" w:styleId="Default">
    <w:name w:val="Default"/>
    <w:pPr>
      <w:autoSpaceDE w:val="0"/>
      <w:autoSpaceDN w:val="0"/>
      <w:adjustRightInd w:val="0"/>
    </w:pPr>
    <w:rPr>
      <w:rFonts w:ascii="DIN" w:eastAsia="Times New Roman" w:hAnsi="DIN" w:cs="DIN"/>
      <w:color w:val="000000"/>
      <w:sz w:val="24"/>
      <w:szCs w:val="24"/>
      <w:lang w:val="en-AU" w:eastAsia="en-AU"/>
    </w:rPr>
  </w:style>
  <w:style w:type="paragraph" w:customStyle="1" w:styleId="Legal2">
    <w:name w:val="Legal 2"/>
    <w:basedOn w:val="Normal"/>
    <w:next w:val="Normal"/>
    <w:pPr>
      <w:numPr>
        <w:ilvl w:val="1"/>
        <w:numId w:val="2"/>
      </w:numPr>
      <w:spacing w:after="240"/>
      <w:outlineLvl w:val="1"/>
    </w:pPr>
    <w:rPr>
      <w:rFonts w:ascii="Times New Roman" w:eastAsia="Times New Roman" w:hAnsi="Times New Roman"/>
      <w:szCs w:val="20"/>
      <w:lang w:val="en-AU"/>
    </w:rPr>
  </w:style>
  <w:style w:type="paragraph" w:customStyle="1" w:styleId="OptusTable">
    <w:name w:val="Optus Table"/>
    <w:basedOn w:val="Normal1"/>
    <w:pPr>
      <w:spacing w:before="120" w:after="120"/>
    </w:pPr>
  </w:style>
  <w:style w:type="paragraph" w:customStyle="1" w:styleId="Style1">
    <w:name w:val="Style1"/>
    <w:basedOn w:val="Normal"/>
    <w:qFormat/>
    <w:pPr>
      <w:tabs>
        <w:tab w:val="num" w:pos="2552"/>
      </w:tabs>
      <w:spacing w:before="120" w:after="120"/>
      <w:ind w:left="2552" w:hanging="851"/>
    </w:pPr>
    <w:rPr>
      <w:rFonts w:ascii="Times New Roman" w:eastAsia="Times New Roman" w:hAnsi="Times New Roman"/>
      <w:szCs w:val="20"/>
      <w:lang w:val="en-AU"/>
    </w:rPr>
  </w:style>
  <w:style w:type="paragraph" w:styleId="ListParagraph">
    <w:name w:val="List Paragraph"/>
    <w:basedOn w:val="Normal"/>
    <w:uiPriority w:val="34"/>
    <w:qFormat/>
    <w:pPr>
      <w:ind w:left="720"/>
    </w:pPr>
    <w:rPr>
      <w:rFonts w:ascii="Times New Roman" w:eastAsia="Times New Roman" w:hAnsi="Times New Roman"/>
      <w:sz w:val="20"/>
      <w:szCs w:val="20"/>
    </w:rPr>
  </w:style>
  <w:style w:type="paragraph" w:styleId="CommentText">
    <w:name w:val="annotation text"/>
    <w:basedOn w:val="Normal"/>
    <w:link w:val="CommentTextChar"/>
    <w:uiPriority w:val="99"/>
    <w:rPr>
      <w:rFonts w:ascii="Times New Roman" w:eastAsia="Times New Roman" w:hAnsi="Times New Roman"/>
      <w:sz w:val="20"/>
      <w:szCs w:val="20"/>
    </w:rPr>
  </w:style>
  <w:style w:type="character" w:customStyle="1" w:styleId="CommentTextChar">
    <w:name w:val="Comment Text Char"/>
    <w:link w:val="CommentText"/>
    <w:uiPriority w:val="99"/>
    <w:rPr>
      <w:rFonts w:ascii="Times New Roman" w:eastAsia="Times New Roman" w:hAnsi="Times New Roman"/>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rPr>
      <w:rFonts w:ascii="Times New Roman" w:eastAsia="Times New Roman" w:hAnsi="Times New Roman"/>
      <w:b/>
      <w:bCs/>
    </w:rPr>
  </w:style>
  <w:style w:type="paragraph" w:styleId="TOCHeading">
    <w:name w:val="TOC Heading"/>
    <w:basedOn w:val="Heading1"/>
    <w:next w:val="Normal"/>
    <w:qFormat/>
    <w:pPr>
      <w:numPr>
        <w:numId w:val="0"/>
      </w:numPr>
      <w:spacing w:line="276" w:lineRule="auto"/>
      <w:outlineLvl w:val="9"/>
    </w:pPr>
    <w:rPr>
      <w:rFonts w:ascii="Cambria" w:eastAsia="Times New Roman" w:hAnsi="Cambria"/>
      <w:b/>
      <w:bCs/>
      <w:color w:val="365F91"/>
      <w:sz w:val="28"/>
      <w:szCs w:val="28"/>
    </w:rPr>
  </w:style>
  <w:style w:type="character" w:customStyle="1" w:styleId="Style1Char">
    <w:name w:val="Style1 Char"/>
  </w:style>
  <w:style w:type="character" w:customStyle="1" w:styleId="CommentSubjectChar1">
    <w:name w:val="Comment Subject Char1"/>
    <w:uiPriority w:val="99"/>
    <w:semiHidden/>
    <w:rPr>
      <w:rFonts w:ascii="Times New Roman" w:eastAsia="Times New Roman" w:hAnsi="Times New Roman"/>
      <w:b/>
      <w:bCs/>
    </w:rPr>
  </w:style>
  <w:style w:type="paragraph" w:customStyle="1" w:styleId="PartL1">
    <w:name w:val="Part L1"/>
    <w:basedOn w:val="Normal"/>
    <w:next w:val="Normal"/>
    <w:pPr>
      <w:tabs>
        <w:tab w:val="num" w:pos="1800"/>
      </w:tabs>
      <w:spacing w:after="240"/>
      <w:ind w:left="851" w:hanging="851"/>
      <w:outlineLvl w:val="0"/>
    </w:pPr>
    <w:rPr>
      <w:rFonts w:ascii="Times New Roman" w:eastAsia="Times New Roman" w:hAnsi="Times New Roman"/>
      <w:szCs w:val="20"/>
      <w:lang w:val="en-AU"/>
    </w:rPr>
  </w:style>
  <w:style w:type="character" w:customStyle="1" w:styleId="Heading">
    <w:name w:val="Heading"/>
    <w:rPr>
      <w:rFonts w:ascii="Frutiger 55 Roman" w:hAnsi="Frutiger 55 Roman"/>
      <w:b/>
      <w:caps/>
      <w:sz w:val="19"/>
    </w:rPr>
  </w:style>
  <w:style w:type="paragraph" w:customStyle="1" w:styleId="Level1">
    <w:name w:val="Level 1"/>
    <w:basedOn w:val="Normal"/>
    <w:next w:val="Normal"/>
    <w:pPr>
      <w:tabs>
        <w:tab w:val="num" w:pos="1560"/>
      </w:tabs>
      <w:spacing w:after="240"/>
      <w:ind w:hanging="850"/>
      <w:outlineLvl w:val="0"/>
    </w:pPr>
    <w:rPr>
      <w:rFonts w:ascii="Times New Roman" w:eastAsia="Times New Roman" w:hAnsi="Times New Roman"/>
      <w:szCs w:val="20"/>
      <w:lang w:val="en-AU"/>
    </w:rPr>
  </w:style>
  <w:style w:type="paragraph" w:customStyle="1" w:styleId="disclaimer-font">
    <w:name w:val="disclaimer-font"/>
    <w:basedOn w:val="Normal"/>
    <w:pPr>
      <w:spacing w:before="43" w:after="387" w:line="236" w:lineRule="atLeast"/>
    </w:pPr>
    <w:rPr>
      <w:rFonts w:ascii="Times New Roman" w:eastAsia="Times New Roman" w:hAnsi="Times New Roman"/>
      <w:color w:val="006685"/>
      <w:sz w:val="19"/>
      <w:szCs w:val="19"/>
    </w:rPr>
  </w:style>
  <w:style w:type="paragraph" w:styleId="DocumentMap">
    <w:name w:val="Document Map"/>
    <w:basedOn w:val="Normal"/>
    <w:link w:val="DocumentMapChar"/>
    <w:semiHidden/>
    <w:pPr>
      <w:shd w:val="clear" w:color="auto" w:fill="000080"/>
    </w:pPr>
    <w:rPr>
      <w:rFonts w:ascii="Tahoma" w:eastAsia="Times New Roman" w:hAnsi="Tahoma"/>
      <w:sz w:val="20"/>
      <w:szCs w:val="20"/>
      <w:lang w:val="x-none"/>
    </w:rPr>
  </w:style>
  <w:style w:type="character" w:customStyle="1" w:styleId="DocumentMapChar">
    <w:name w:val="Document Map Char"/>
    <w:link w:val="DocumentMap"/>
    <w:semiHidden/>
    <w:rPr>
      <w:rFonts w:ascii="Tahoma" w:eastAsia="Times New Roman" w:hAnsi="Tahoma"/>
      <w:shd w:val="clear" w:color="auto" w:fill="000080"/>
      <w:lang w:val="x-none"/>
    </w:rPr>
  </w:style>
  <w:style w:type="paragraph" w:customStyle="1" w:styleId="NormalWeb12">
    <w:name w:val="Normal (Web)12"/>
    <w:basedOn w:val="Normal"/>
    <w:pPr>
      <w:spacing w:before="43" w:after="387" w:line="236" w:lineRule="atLeast"/>
    </w:pPr>
    <w:rPr>
      <w:rFonts w:ascii="Times New Roman" w:eastAsia="Times New Roman" w:hAnsi="Times New Roman"/>
      <w:sz w:val="19"/>
      <w:szCs w:val="19"/>
    </w:rPr>
  </w:style>
  <w:style w:type="paragraph" w:customStyle="1" w:styleId="disclaimer-font1">
    <w:name w:val="disclaimer-font1"/>
    <w:basedOn w:val="Normal"/>
    <w:pPr>
      <w:spacing w:before="43" w:after="387" w:line="236" w:lineRule="atLeast"/>
    </w:pPr>
    <w:rPr>
      <w:rFonts w:ascii="Times New Roman" w:eastAsia="Times New Roman" w:hAnsi="Times New Roman"/>
      <w:vanish/>
      <w:color w:val="006685"/>
      <w:sz w:val="19"/>
      <w:szCs w:val="19"/>
    </w:rPr>
  </w:style>
  <w:style w:type="paragraph" w:styleId="Revision">
    <w:name w:val="Revision"/>
    <w:hidden/>
    <w:uiPriority w:val="99"/>
    <w:rPr>
      <w:rFonts w:ascii="Times New Roman" w:eastAsia="Times New Roman" w:hAnsi="Times New Roman"/>
    </w:rPr>
  </w:style>
  <w:style w:type="character" w:customStyle="1" w:styleId="Heading6Char1">
    <w:name w:val="Heading 6 Char1"/>
    <w:uiPriority w:val="9"/>
    <w:semiHidden/>
    <w:rPr>
      <w:rFonts w:ascii="Cambria" w:eastAsia="Times New Roman" w:hAnsi="Cambria" w:cs="Times New Roman"/>
      <w:i/>
      <w:iCs/>
      <w:color w:val="243F60"/>
      <w:sz w:val="20"/>
      <w:szCs w:val="20"/>
    </w:rPr>
  </w:style>
  <w:style w:type="character" w:customStyle="1" w:styleId="Heading7Char1">
    <w:name w:val="Heading 7 Char1"/>
    <w:uiPriority w:val="9"/>
    <w:semiHidden/>
    <w:rPr>
      <w:rFonts w:ascii="Cambria" w:eastAsia="Times New Roman" w:hAnsi="Cambria" w:cs="Times New Roman"/>
      <w:i/>
      <w:iCs/>
      <w:color w:val="404040"/>
      <w:sz w:val="20"/>
      <w:szCs w:val="20"/>
    </w:rPr>
  </w:style>
  <w:style w:type="paragraph" w:customStyle="1" w:styleId="DefinitionParagraph">
    <w:name w:val="Definition Paragraph"/>
    <w:basedOn w:val="Normal"/>
    <w:uiPriority w:val="2"/>
    <w:semiHidden/>
    <w:pPr>
      <w:numPr>
        <w:numId w:val="52"/>
      </w:numPr>
      <w:spacing w:after="180" w:line="260" w:lineRule="atLeast"/>
    </w:pPr>
    <w:rPr>
      <w:rFonts w:ascii="Calibri" w:eastAsia="PMingLiU" w:hAnsi="Calibri"/>
      <w:sz w:val="22"/>
      <w:szCs w:val="28"/>
      <w:lang w:val="en-AU" w:eastAsia="zh-CN"/>
    </w:rPr>
  </w:style>
  <w:style w:type="paragraph" w:customStyle="1" w:styleId="Normal10">
    <w:name w:val="Normal1"/>
    <w:basedOn w:val="Normal"/>
    <w:pPr>
      <w:jc w:val="both"/>
    </w:pPr>
    <w:rPr>
      <w:rFonts w:ascii="Times New Roman" w:eastAsia="Times New Roman" w:hAnsi="Times New Roman"/>
      <w:szCs w:val="20"/>
    </w:rPr>
  </w:style>
  <w:style w:type="character" w:customStyle="1" w:styleId="DocumentMapChar1">
    <w:name w:val="Document Map Char1"/>
    <w:uiPriority w:val="99"/>
    <w:semiHidden/>
    <w:rPr>
      <w:rFonts w:ascii="Tahoma" w:hAnsi="Tahoma" w:cs="Tahoma"/>
      <w:sz w:val="16"/>
      <w:szCs w:val="16"/>
    </w:rPr>
  </w:style>
  <w:style w:type="paragraph" w:customStyle="1" w:styleId="OptusH1">
    <w:name w:val="OptusH1"/>
    <w:basedOn w:val="Normal"/>
    <w:pPr>
      <w:keepNext/>
      <w:pageBreakBefore/>
      <w:tabs>
        <w:tab w:val="num" w:pos="851"/>
      </w:tabs>
      <w:spacing w:before="120" w:after="120"/>
      <w:ind w:left="851" w:hanging="851"/>
    </w:pPr>
    <w:rPr>
      <w:rFonts w:ascii="Times New Roman" w:eastAsia="Times New Roman" w:hAnsi="Times New Roman"/>
      <w:b/>
      <w:caps/>
      <w:szCs w:val="20"/>
      <w:lang w:val="en-AU"/>
    </w:rPr>
  </w:style>
  <w:style w:type="paragraph" w:customStyle="1" w:styleId="OptusH2">
    <w:name w:val="OptusH2"/>
    <w:basedOn w:val="Normal"/>
    <w:pPr>
      <w:keepNext/>
      <w:tabs>
        <w:tab w:val="num" w:pos="851"/>
      </w:tabs>
      <w:spacing w:before="120" w:after="120"/>
      <w:ind w:left="851" w:hanging="851"/>
    </w:pPr>
    <w:rPr>
      <w:rFonts w:ascii="Times New Roman" w:eastAsia="Times New Roman" w:hAnsi="Times New Roman"/>
      <w:b/>
      <w:szCs w:val="20"/>
      <w:lang w:val="en-AU"/>
    </w:rPr>
  </w:style>
  <w:style w:type="paragraph" w:customStyle="1" w:styleId="OptusH3">
    <w:name w:val="OptusH3"/>
    <w:basedOn w:val="Normal"/>
    <w:link w:val="OptusH3Char"/>
    <w:pPr>
      <w:tabs>
        <w:tab w:val="num" w:pos="2127"/>
      </w:tabs>
      <w:spacing w:before="120" w:after="120"/>
      <w:ind w:left="2127" w:hanging="850"/>
    </w:pPr>
    <w:rPr>
      <w:rFonts w:ascii="Times New Roman" w:eastAsia="Times New Roman" w:hAnsi="Times New Roman"/>
      <w:szCs w:val="20"/>
      <w:lang w:val="en-AU"/>
    </w:rPr>
  </w:style>
  <w:style w:type="character" w:customStyle="1" w:styleId="OptusH3Char">
    <w:name w:val="OptusH3 Char"/>
    <w:link w:val="OptusH3"/>
    <w:rPr>
      <w:rFonts w:ascii="Times New Roman" w:eastAsia="Times New Roman" w:hAnsi="Times New Roman"/>
      <w:sz w:val="24"/>
      <w:lang w:val="en-AU"/>
    </w:rPr>
  </w:style>
  <w:style w:type="paragraph" w:customStyle="1" w:styleId="OptusH4">
    <w:name w:val="OptusH4"/>
    <w:basedOn w:val="Normal"/>
    <w:pPr>
      <w:tabs>
        <w:tab w:val="num" w:pos="2552"/>
      </w:tabs>
      <w:spacing w:before="120" w:after="120"/>
      <w:ind w:left="2552" w:hanging="851"/>
    </w:pPr>
    <w:rPr>
      <w:rFonts w:ascii="Times New Roman" w:eastAsia="Times New Roman" w:hAnsi="Times New Roman"/>
      <w:szCs w:val="20"/>
      <w:lang w:val="en-AU"/>
    </w:rPr>
  </w:style>
  <w:style w:type="paragraph" w:customStyle="1" w:styleId="OptusH5">
    <w:name w:val="OptusH5"/>
    <w:basedOn w:val="Normal"/>
    <w:pPr>
      <w:tabs>
        <w:tab w:val="num" w:pos="3402"/>
      </w:tabs>
      <w:spacing w:before="120" w:after="120"/>
      <w:ind w:left="3402" w:hanging="850"/>
    </w:pPr>
    <w:rPr>
      <w:rFonts w:ascii="Times New Roman" w:eastAsia="Times New Roman" w:hAnsi="Times New Roman"/>
      <w:szCs w:val="20"/>
      <w:lang w:val="en-AU"/>
    </w:rPr>
  </w:style>
  <w:style w:type="paragraph" w:customStyle="1" w:styleId="OptusH6">
    <w:name w:val="OptusH6"/>
    <w:basedOn w:val="Normal"/>
    <w:pPr>
      <w:tabs>
        <w:tab w:val="num" w:pos="4253"/>
      </w:tabs>
      <w:spacing w:before="120" w:after="120"/>
      <w:ind w:left="4253" w:hanging="851"/>
    </w:pPr>
    <w:rPr>
      <w:rFonts w:ascii="Times New Roman" w:eastAsia="Times New Roman" w:hAnsi="Times New Roman"/>
      <w:szCs w:val="20"/>
      <w:lang w:val="en-AU"/>
    </w:rPr>
  </w:style>
  <w:style w:type="paragraph" w:customStyle="1" w:styleId="Agreementnormal">
    <w:name w:val="Agreement normal"/>
    <w:basedOn w:val="Normal"/>
    <w:rsid w:val="00AB1B6A"/>
    <w:pPr>
      <w:tabs>
        <w:tab w:val="left" w:pos="851"/>
      </w:tabs>
      <w:spacing w:before="120" w:after="120"/>
      <w:ind w:left="851"/>
    </w:pPr>
    <w:rPr>
      <w:rFonts w:ascii="Times New Roman" w:eastAsia="Times New Roman" w:hAnsi="Times New Roman"/>
      <w:szCs w:val="20"/>
      <w:lang w:val="en-AU"/>
    </w:rPr>
  </w:style>
  <w:style w:type="paragraph" w:customStyle="1" w:styleId="Normal2">
    <w:name w:val="Normal2"/>
    <w:basedOn w:val="Normal"/>
    <w:rsid w:val="00AB1B6A"/>
    <w:pPr>
      <w:jc w:val="both"/>
    </w:pPr>
    <w:rPr>
      <w:rFonts w:ascii="Times New Roman" w:eastAsia="Times New Roman" w:hAnsi="Times New Roman"/>
      <w:szCs w:val="20"/>
    </w:rPr>
  </w:style>
  <w:style w:type="paragraph" w:styleId="BodyTextIndent3">
    <w:name w:val="Body Text Indent 3"/>
    <w:basedOn w:val="Normal"/>
    <w:link w:val="BodyTextIndent3Char"/>
    <w:rsid w:val="00AB1B6A"/>
    <w:pPr>
      <w:spacing w:after="120" w:line="340" w:lineRule="exact"/>
      <w:ind w:left="709" w:hanging="709"/>
      <w:jc w:val="both"/>
    </w:pPr>
    <w:rPr>
      <w:rFonts w:ascii="Times" w:eastAsia="Times New Roman" w:hAnsi="Times"/>
      <w:color w:val="000000"/>
      <w:szCs w:val="20"/>
    </w:rPr>
  </w:style>
  <w:style w:type="character" w:customStyle="1" w:styleId="BodyTextIndent3Char">
    <w:name w:val="Body Text Indent 3 Char"/>
    <w:basedOn w:val="DefaultParagraphFont"/>
    <w:link w:val="BodyTextIndent3"/>
    <w:rsid w:val="00AB1B6A"/>
    <w:rPr>
      <w:rFonts w:ascii="Times" w:eastAsia="Times New Roman" w:hAnsi="Times"/>
      <w:color w:val="000000"/>
      <w:sz w:val="24"/>
    </w:rPr>
  </w:style>
  <w:style w:type="paragraph" w:styleId="BodyText2">
    <w:name w:val="Body Text 2"/>
    <w:basedOn w:val="Normal"/>
    <w:link w:val="BodyText2Char"/>
    <w:rsid w:val="00AB1B6A"/>
    <w:pPr>
      <w:spacing w:after="120" w:line="480" w:lineRule="auto"/>
    </w:pPr>
    <w:rPr>
      <w:rFonts w:ascii="Times New Roman" w:eastAsia="Times New Roman" w:hAnsi="Times New Roman"/>
      <w:lang w:val="en-AU" w:eastAsia="en-AU"/>
    </w:rPr>
  </w:style>
  <w:style w:type="character" w:customStyle="1" w:styleId="BodyText2Char">
    <w:name w:val="Body Text 2 Char"/>
    <w:basedOn w:val="DefaultParagraphFont"/>
    <w:link w:val="BodyText2"/>
    <w:rsid w:val="00AB1B6A"/>
    <w:rPr>
      <w:rFonts w:ascii="Times New Roman" w:eastAsia="Times New Roman" w:hAnsi="Times New Roman"/>
      <w:sz w:val="24"/>
      <w:szCs w:val="24"/>
      <w:lang w:val="en-AU" w:eastAsia="en-AU"/>
    </w:rPr>
  </w:style>
  <w:style w:type="paragraph" w:styleId="BodyText3">
    <w:name w:val="Body Text 3"/>
    <w:basedOn w:val="Normal"/>
    <w:link w:val="BodyText3Char"/>
    <w:rsid w:val="00AB1B6A"/>
    <w:pPr>
      <w:spacing w:after="120"/>
    </w:pPr>
    <w:rPr>
      <w:rFonts w:ascii="Times New Roman" w:eastAsia="Times New Roman" w:hAnsi="Times New Roman"/>
      <w:sz w:val="16"/>
      <w:szCs w:val="16"/>
      <w:lang w:val="en-AU" w:eastAsia="en-AU"/>
    </w:rPr>
  </w:style>
  <w:style w:type="character" w:customStyle="1" w:styleId="BodyText3Char">
    <w:name w:val="Body Text 3 Char"/>
    <w:basedOn w:val="DefaultParagraphFont"/>
    <w:link w:val="BodyText3"/>
    <w:rsid w:val="00AB1B6A"/>
    <w:rPr>
      <w:rFonts w:ascii="Times New Roman" w:eastAsia="Times New Roman" w:hAnsi="Times New Roman"/>
      <w:sz w:val="16"/>
      <w:szCs w:val="16"/>
      <w:lang w:val="en-AU" w:eastAsia="en-AU"/>
    </w:rPr>
  </w:style>
  <w:style w:type="paragraph" w:styleId="BlockText">
    <w:name w:val="Block Text"/>
    <w:basedOn w:val="Normal"/>
    <w:rsid w:val="00AB1B6A"/>
    <w:pPr>
      <w:ind w:left="1418" w:right="72" w:hanging="567"/>
    </w:pPr>
    <w:rPr>
      <w:rFonts w:ascii="Times" w:eastAsia="Times New Roman" w:hAnsi="Times"/>
      <w:szCs w:val="20"/>
    </w:rPr>
  </w:style>
  <w:style w:type="paragraph" w:customStyle="1" w:styleId="MELegal1">
    <w:name w:val="ME Legal 1"/>
    <w:basedOn w:val="Normal"/>
    <w:rsid w:val="00AB1B6A"/>
    <w:pPr>
      <w:numPr>
        <w:numId w:val="62"/>
      </w:numPr>
    </w:pPr>
    <w:rPr>
      <w:rFonts w:ascii="Times New Roman" w:eastAsia="Times New Roman" w:hAnsi="Times New Roman"/>
      <w:sz w:val="20"/>
      <w:szCs w:val="20"/>
      <w:lang w:val="en-AU"/>
    </w:rPr>
  </w:style>
  <w:style w:type="paragraph" w:customStyle="1" w:styleId="MELegal2">
    <w:name w:val="ME Legal 2"/>
    <w:basedOn w:val="Normal"/>
    <w:rsid w:val="00AB1B6A"/>
    <w:pPr>
      <w:numPr>
        <w:ilvl w:val="1"/>
        <w:numId w:val="62"/>
      </w:numPr>
    </w:pPr>
    <w:rPr>
      <w:rFonts w:ascii="Times New Roman" w:eastAsia="Times New Roman" w:hAnsi="Times New Roman"/>
      <w:sz w:val="20"/>
      <w:szCs w:val="20"/>
      <w:lang w:val="en-AU"/>
    </w:rPr>
  </w:style>
  <w:style w:type="paragraph" w:customStyle="1" w:styleId="MELegal3">
    <w:name w:val="ME Legal 3"/>
    <w:basedOn w:val="Normal"/>
    <w:rsid w:val="00AB1B6A"/>
    <w:pPr>
      <w:numPr>
        <w:ilvl w:val="2"/>
        <w:numId w:val="62"/>
      </w:numPr>
    </w:pPr>
    <w:rPr>
      <w:rFonts w:ascii="Times New Roman" w:eastAsia="Times New Roman" w:hAnsi="Times New Roman"/>
      <w:sz w:val="20"/>
      <w:szCs w:val="20"/>
      <w:lang w:val="en-AU"/>
    </w:rPr>
  </w:style>
  <w:style w:type="paragraph" w:customStyle="1" w:styleId="MELegal4">
    <w:name w:val="ME Legal 4"/>
    <w:basedOn w:val="Normal"/>
    <w:rsid w:val="00AB1B6A"/>
    <w:pPr>
      <w:numPr>
        <w:ilvl w:val="3"/>
        <w:numId w:val="62"/>
      </w:numPr>
    </w:pPr>
    <w:rPr>
      <w:rFonts w:ascii="Times New Roman" w:eastAsia="Times New Roman" w:hAnsi="Times New Roman"/>
      <w:sz w:val="20"/>
      <w:szCs w:val="20"/>
      <w:lang w:val="en-AU"/>
    </w:rPr>
  </w:style>
  <w:style w:type="paragraph" w:customStyle="1" w:styleId="MELegal5">
    <w:name w:val="ME Legal 5"/>
    <w:basedOn w:val="Normal"/>
    <w:rsid w:val="00AB1B6A"/>
    <w:pPr>
      <w:numPr>
        <w:ilvl w:val="4"/>
        <w:numId w:val="62"/>
      </w:numPr>
    </w:pPr>
    <w:rPr>
      <w:rFonts w:ascii="Times New Roman" w:eastAsia="Times New Roman" w:hAnsi="Times New Roman"/>
      <w:sz w:val="20"/>
      <w:szCs w:val="20"/>
      <w:lang w:val="en-AU"/>
    </w:rPr>
  </w:style>
  <w:style w:type="paragraph" w:customStyle="1" w:styleId="MELegal6">
    <w:name w:val="ME Legal 6"/>
    <w:basedOn w:val="Normal"/>
    <w:rsid w:val="00AB1B6A"/>
    <w:pPr>
      <w:numPr>
        <w:ilvl w:val="5"/>
        <w:numId w:val="62"/>
      </w:numPr>
    </w:pPr>
    <w:rPr>
      <w:rFonts w:ascii="Times New Roman" w:eastAsia="Times New Roman" w:hAnsi="Times New Roman"/>
      <w:sz w:val="20"/>
      <w:szCs w:val="20"/>
      <w:lang w:val="en-AU"/>
    </w:rPr>
  </w:style>
  <w:style w:type="paragraph" w:customStyle="1" w:styleId="MELegal7">
    <w:name w:val="ME Legal 7"/>
    <w:basedOn w:val="Normal"/>
    <w:rsid w:val="00AB1B6A"/>
    <w:pPr>
      <w:numPr>
        <w:ilvl w:val="6"/>
        <w:numId w:val="62"/>
      </w:numPr>
    </w:pPr>
    <w:rPr>
      <w:rFonts w:ascii="Times New Roman" w:eastAsia="Times New Roman" w:hAnsi="Times New Roman"/>
      <w:sz w:val="20"/>
      <w:szCs w:val="20"/>
      <w:lang w:val="en-AU"/>
    </w:rPr>
  </w:style>
  <w:style w:type="paragraph" w:styleId="BodyTextIndent2">
    <w:name w:val="Body Text Indent 2"/>
    <w:basedOn w:val="Normal"/>
    <w:link w:val="BodyTextIndent2Char"/>
    <w:rsid w:val="00AB1B6A"/>
    <w:pPr>
      <w:widowControl w:val="0"/>
      <w:spacing w:line="340" w:lineRule="exact"/>
      <w:ind w:left="709" w:hanging="709"/>
      <w:jc w:val="both"/>
    </w:pPr>
    <w:rPr>
      <w:rFonts w:ascii="Times" w:eastAsia="Times New Roman" w:hAnsi="Times"/>
      <w:lang w:eastAsia="en-AU"/>
    </w:rPr>
  </w:style>
  <w:style w:type="character" w:customStyle="1" w:styleId="BodyTextIndent2Char">
    <w:name w:val="Body Text Indent 2 Char"/>
    <w:basedOn w:val="DefaultParagraphFont"/>
    <w:link w:val="BodyTextIndent2"/>
    <w:rsid w:val="00AB1B6A"/>
    <w:rPr>
      <w:rFonts w:ascii="Times" w:eastAsia="Times New Roman" w:hAnsi="Times"/>
      <w:sz w:val="24"/>
      <w:szCs w:val="24"/>
      <w:lang w:eastAsia="en-AU"/>
    </w:rPr>
  </w:style>
  <w:style w:type="paragraph" w:customStyle="1" w:styleId="optush30">
    <w:name w:val="optush3"/>
    <w:basedOn w:val="Normal"/>
    <w:rsid w:val="00AB1B6A"/>
    <w:pPr>
      <w:keepNext/>
      <w:spacing w:before="120" w:after="120"/>
      <w:ind w:left="1306" w:hanging="738"/>
    </w:pPr>
    <w:rPr>
      <w:rFonts w:ascii="Times New Roman" w:eastAsia="Times New Roman" w:hAnsi="Times New Roman"/>
      <w:lang w:val="en-AU" w:eastAsia="en-AU"/>
    </w:rPr>
  </w:style>
  <w:style w:type="paragraph" w:customStyle="1" w:styleId="MEGen7">
    <w:name w:val="ME Gen 7"/>
    <w:basedOn w:val="Normal"/>
    <w:next w:val="Normal"/>
    <w:rsid w:val="00AB1B6A"/>
    <w:pPr>
      <w:spacing w:after="240"/>
      <w:ind w:left="1440" w:hanging="720"/>
      <w:outlineLvl w:val="6"/>
    </w:pPr>
    <w:rPr>
      <w:rFonts w:ascii="Times New Roman" w:eastAsia="Times New Roman" w:hAnsi="Times New Roman"/>
      <w:szCs w:val="20"/>
      <w:lang w:val="en-AU"/>
    </w:rPr>
  </w:style>
  <w:style w:type="character" w:customStyle="1" w:styleId="A4">
    <w:name w:val="A4"/>
    <w:rsid w:val="00AB1B6A"/>
    <w:rPr>
      <w:rFonts w:ascii="DIN" w:hAnsi="DIN" w:cs="DIN" w:hint="default"/>
      <w:color w:val="000000"/>
      <w:sz w:val="18"/>
      <w:szCs w:val="18"/>
    </w:rPr>
  </w:style>
  <w:style w:type="paragraph" w:customStyle="1" w:styleId="content-stepitem">
    <w:name w:val="content-stepitem"/>
    <w:basedOn w:val="Normal"/>
    <w:rsid w:val="00AB1B6A"/>
    <w:pPr>
      <w:pBdr>
        <w:bottom w:val="single" w:sz="18" w:space="2" w:color="8DC2D0"/>
      </w:pBdr>
      <w:spacing w:before="360" w:after="60" w:line="210" w:lineRule="atLeast"/>
    </w:pPr>
    <w:rPr>
      <w:rFonts w:ascii="Verdana" w:eastAsia="Times New Roman" w:hAnsi="Verdana"/>
      <w:b/>
      <w:bCs/>
      <w:color w:val="006685"/>
      <w:sz w:val="18"/>
      <w:szCs w:val="18"/>
      <w:lang w:val="en-AU" w:eastAsia="en-AU"/>
    </w:rPr>
  </w:style>
  <w:style w:type="paragraph" w:customStyle="1" w:styleId="CharChar">
    <w:name w:val="Char Char"/>
    <w:basedOn w:val="Normal"/>
    <w:rsid w:val="00AB1B6A"/>
    <w:pPr>
      <w:spacing w:after="160" w:line="240" w:lineRule="exact"/>
    </w:pPr>
    <w:rPr>
      <w:rFonts w:eastAsia="Times New Roman"/>
      <w:sz w:val="20"/>
      <w:szCs w:val="20"/>
    </w:rPr>
  </w:style>
  <w:style w:type="paragraph" w:customStyle="1" w:styleId="CharCharCharCharCharChar">
    <w:name w:val="Char Char Char Char Char Char"/>
    <w:basedOn w:val="Normal"/>
    <w:rsid w:val="00AB1B6A"/>
    <w:pPr>
      <w:spacing w:after="160" w:line="240" w:lineRule="exact"/>
    </w:pPr>
    <w:rPr>
      <w:rFonts w:ascii="Verdana" w:eastAsia="Times New Roman" w:hAnsi="Verdana"/>
      <w:sz w:val="20"/>
      <w:szCs w:val="20"/>
    </w:rPr>
  </w:style>
  <w:style w:type="paragraph" w:customStyle="1" w:styleId="optush40">
    <w:name w:val="optush4"/>
    <w:basedOn w:val="Normal"/>
    <w:rsid w:val="00AB1B6A"/>
    <w:pPr>
      <w:spacing w:before="120" w:after="120"/>
      <w:ind w:left="3829" w:hanging="851"/>
    </w:pPr>
    <w:rPr>
      <w:rFonts w:ascii="Times New Roman" w:eastAsia="Times New Roman" w:hAnsi="Times New Roman"/>
      <w:lang w:val="en-AU" w:eastAsia="en-AU"/>
    </w:rPr>
  </w:style>
  <w:style w:type="paragraph" w:customStyle="1" w:styleId="CharChar0">
    <w:name w:val="Char Char"/>
    <w:basedOn w:val="Normal"/>
    <w:rsid w:val="00AB1B6A"/>
    <w:pPr>
      <w:spacing w:after="160" w:line="240" w:lineRule="exact"/>
    </w:pPr>
    <w:rPr>
      <w:rFonts w:eastAsia="Times New Roman"/>
      <w:sz w:val="20"/>
      <w:szCs w:val="20"/>
    </w:rPr>
  </w:style>
  <w:style w:type="paragraph" w:customStyle="1" w:styleId="MEGen2">
    <w:name w:val="ME Gen 2"/>
    <w:basedOn w:val="Normal"/>
    <w:next w:val="Normal"/>
    <w:rsid w:val="00AB1B6A"/>
    <w:pPr>
      <w:tabs>
        <w:tab w:val="num" w:pos="1701"/>
      </w:tabs>
      <w:spacing w:after="240"/>
      <w:ind w:left="1701" w:hanging="850"/>
      <w:outlineLvl w:val="1"/>
    </w:pPr>
    <w:rPr>
      <w:rFonts w:ascii="Times New Roman" w:eastAsia="Times New Roman" w:hAnsi="Times New Roman"/>
      <w:szCs w:val="20"/>
      <w:lang w:val="en-AU"/>
    </w:rPr>
  </w:style>
  <w:style w:type="character" w:customStyle="1" w:styleId="AgreementnormalChar">
    <w:name w:val="Agreement normal Char"/>
    <w:rsid w:val="00AB1B6A"/>
    <w:rPr>
      <w:sz w:val="24"/>
      <w:lang w:eastAsia="en-US"/>
    </w:rPr>
  </w:style>
  <w:style w:type="paragraph" w:customStyle="1" w:styleId="MEGen3">
    <w:name w:val="ME Gen 3"/>
    <w:basedOn w:val="Normal"/>
    <w:next w:val="Normal"/>
    <w:rsid w:val="00AB1B6A"/>
    <w:pPr>
      <w:tabs>
        <w:tab w:val="num" w:pos="1701"/>
        <w:tab w:val="num" w:pos="2552"/>
      </w:tabs>
      <w:spacing w:after="240"/>
      <w:ind w:left="2552" w:hanging="850"/>
      <w:outlineLvl w:val="2"/>
    </w:pPr>
    <w:rPr>
      <w:rFonts w:ascii="Times New Roman" w:eastAsia="Times New Roman" w:hAnsi="Times New Roman"/>
      <w:szCs w:val="20"/>
      <w:lang w:val="en-AU"/>
    </w:rPr>
  </w:style>
  <w:style w:type="paragraph" w:customStyle="1" w:styleId="MEGen4">
    <w:name w:val="ME Gen 4"/>
    <w:basedOn w:val="Normal"/>
    <w:next w:val="Normal"/>
    <w:rsid w:val="00AB1B6A"/>
    <w:pPr>
      <w:tabs>
        <w:tab w:val="num" w:pos="2552"/>
        <w:tab w:val="num" w:pos="3402"/>
      </w:tabs>
      <w:spacing w:after="240"/>
      <w:ind w:left="3402" w:hanging="850"/>
      <w:outlineLvl w:val="3"/>
    </w:pPr>
    <w:rPr>
      <w:rFonts w:ascii="Times New Roman" w:eastAsia="Times New Roman" w:hAnsi="Times New Roman"/>
      <w:szCs w:val="20"/>
      <w:lang w:val="en-AU"/>
    </w:rPr>
  </w:style>
  <w:style w:type="paragraph" w:customStyle="1" w:styleId="MEGen5">
    <w:name w:val="ME Gen 5"/>
    <w:basedOn w:val="Normal"/>
    <w:next w:val="Normal"/>
    <w:rsid w:val="00AB1B6A"/>
    <w:pPr>
      <w:tabs>
        <w:tab w:val="num" w:pos="3402"/>
        <w:tab w:val="num" w:pos="4253"/>
      </w:tabs>
      <w:spacing w:after="240"/>
      <w:ind w:left="4253" w:hanging="851"/>
      <w:outlineLvl w:val="4"/>
    </w:pPr>
    <w:rPr>
      <w:rFonts w:ascii="Times New Roman" w:eastAsia="Times New Roman" w:hAnsi="Times New Roman"/>
      <w:szCs w:val="20"/>
      <w:lang w:val="en-AU"/>
    </w:rPr>
  </w:style>
  <w:style w:type="paragraph" w:customStyle="1" w:styleId="MEGen6">
    <w:name w:val="ME Gen 6"/>
    <w:basedOn w:val="Normal"/>
    <w:next w:val="Normal"/>
    <w:rsid w:val="00AB1B6A"/>
    <w:pPr>
      <w:tabs>
        <w:tab w:val="num" w:pos="4253"/>
        <w:tab w:val="num" w:pos="5103"/>
      </w:tabs>
      <w:spacing w:after="240"/>
      <w:ind w:left="5103" w:hanging="850"/>
      <w:outlineLvl w:val="5"/>
    </w:pPr>
    <w:rPr>
      <w:rFonts w:ascii="Times New Roman" w:eastAsia="Times New Roman" w:hAnsi="Times New Roman"/>
      <w:szCs w:val="20"/>
      <w:lang w:val="en-AU"/>
    </w:rPr>
  </w:style>
  <w:style w:type="paragraph" w:customStyle="1" w:styleId="Legal1">
    <w:name w:val="Legal 1"/>
    <w:basedOn w:val="Normal"/>
    <w:next w:val="Normal"/>
    <w:rsid w:val="00AB1B6A"/>
    <w:pPr>
      <w:tabs>
        <w:tab w:val="num" w:pos="851"/>
      </w:tabs>
      <w:spacing w:after="240"/>
      <w:ind w:left="851" w:hanging="851"/>
      <w:outlineLvl w:val="0"/>
    </w:pPr>
    <w:rPr>
      <w:rFonts w:ascii="Times New Roman" w:eastAsia="Times New Roman" w:hAnsi="Times New Roman"/>
      <w:szCs w:val="20"/>
      <w:lang w:val="en-AU"/>
    </w:rPr>
  </w:style>
  <w:style w:type="paragraph" w:customStyle="1" w:styleId="CharCharCharCharCharChar0">
    <w:name w:val="Char Char Char Char Char Char"/>
    <w:basedOn w:val="Normal"/>
    <w:rsid w:val="00AB1B6A"/>
    <w:pPr>
      <w:spacing w:after="160" w:line="240" w:lineRule="exact"/>
    </w:pPr>
    <w:rPr>
      <w:rFonts w:ascii="Verdana" w:eastAsia="Times New Roman" w:hAnsi="Verdana"/>
      <w:sz w:val="20"/>
      <w:szCs w:val="20"/>
    </w:rPr>
  </w:style>
  <w:style w:type="paragraph" w:customStyle="1" w:styleId="ScheduleL1">
    <w:name w:val="Schedule L1"/>
    <w:basedOn w:val="Normal"/>
    <w:next w:val="Normal"/>
    <w:rsid w:val="00AB1B6A"/>
    <w:pPr>
      <w:tabs>
        <w:tab w:val="num" w:pos="1701"/>
      </w:tabs>
      <w:spacing w:after="240"/>
      <w:jc w:val="center"/>
      <w:outlineLvl w:val="0"/>
    </w:pPr>
    <w:rPr>
      <w:rFonts w:ascii="Times New (W1)" w:eastAsia="Times New Roman" w:hAnsi="Times New (W1)"/>
      <w:caps/>
      <w:szCs w:val="20"/>
      <w:lang w:val="en-AU"/>
    </w:rPr>
  </w:style>
  <w:style w:type="paragraph" w:customStyle="1" w:styleId="ScheduleL2">
    <w:name w:val="Schedule L2"/>
    <w:basedOn w:val="Normal"/>
    <w:next w:val="Normal"/>
    <w:rsid w:val="00AB1B6A"/>
    <w:pPr>
      <w:tabs>
        <w:tab w:val="num" w:pos="851"/>
        <w:tab w:val="num" w:pos="2552"/>
      </w:tabs>
      <w:spacing w:after="240"/>
      <w:ind w:left="851" w:hanging="851"/>
      <w:outlineLvl w:val="1"/>
    </w:pPr>
    <w:rPr>
      <w:rFonts w:ascii="Times New Roman" w:eastAsia="Times New Roman" w:hAnsi="Times New Roman"/>
      <w:szCs w:val="20"/>
      <w:lang w:val="en-AU"/>
    </w:rPr>
  </w:style>
  <w:style w:type="paragraph" w:customStyle="1" w:styleId="ScheduleL3">
    <w:name w:val="Schedule L3"/>
    <w:basedOn w:val="Normal"/>
    <w:next w:val="Normal"/>
    <w:rsid w:val="00AB1B6A"/>
    <w:pPr>
      <w:tabs>
        <w:tab w:val="num" w:pos="851"/>
        <w:tab w:val="num" w:pos="3402"/>
      </w:tabs>
      <w:spacing w:after="240"/>
      <w:ind w:left="851" w:hanging="851"/>
      <w:outlineLvl w:val="2"/>
    </w:pPr>
    <w:rPr>
      <w:rFonts w:ascii="Times New Roman" w:eastAsia="Times New Roman" w:hAnsi="Times New Roman"/>
      <w:szCs w:val="20"/>
      <w:lang w:val="en-AU"/>
    </w:rPr>
  </w:style>
  <w:style w:type="paragraph" w:customStyle="1" w:styleId="ScheduleL4">
    <w:name w:val="Schedule L4"/>
    <w:basedOn w:val="Normal"/>
    <w:next w:val="Normal"/>
    <w:rsid w:val="00AB1B6A"/>
    <w:pPr>
      <w:tabs>
        <w:tab w:val="num" w:pos="1701"/>
        <w:tab w:val="num" w:pos="4253"/>
      </w:tabs>
      <w:spacing w:after="240"/>
      <w:ind w:left="1701" w:hanging="850"/>
      <w:outlineLvl w:val="3"/>
    </w:pPr>
    <w:rPr>
      <w:rFonts w:ascii="Times New Roman" w:eastAsia="Times New Roman" w:hAnsi="Times New Roman"/>
      <w:szCs w:val="20"/>
      <w:lang w:val="en-AU"/>
    </w:rPr>
  </w:style>
  <w:style w:type="paragraph" w:customStyle="1" w:styleId="ScheduleL5">
    <w:name w:val="Schedule L5"/>
    <w:basedOn w:val="Normal"/>
    <w:next w:val="Normal"/>
    <w:rsid w:val="00AB1B6A"/>
    <w:pPr>
      <w:tabs>
        <w:tab w:val="num" w:pos="2552"/>
        <w:tab w:val="num" w:pos="5103"/>
      </w:tabs>
      <w:spacing w:after="240"/>
      <w:ind w:left="2552" w:hanging="851"/>
      <w:outlineLvl w:val="4"/>
    </w:pPr>
    <w:rPr>
      <w:rFonts w:ascii="Times New Roman" w:eastAsia="Times New Roman" w:hAnsi="Times New Roman"/>
      <w:szCs w:val="20"/>
      <w:lang w:val="en-AU"/>
    </w:rPr>
  </w:style>
  <w:style w:type="paragraph" w:customStyle="1" w:styleId="ScheduleL6">
    <w:name w:val="Schedule L6"/>
    <w:basedOn w:val="Normal"/>
    <w:next w:val="Normal"/>
    <w:rsid w:val="00AB1B6A"/>
    <w:pPr>
      <w:tabs>
        <w:tab w:val="num" w:pos="3402"/>
        <w:tab w:val="num" w:pos="5954"/>
      </w:tabs>
      <w:spacing w:after="240"/>
      <w:ind w:left="3402" w:hanging="850"/>
      <w:outlineLvl w:val="5"/>
    </w:pPr>
    <w:rPr>
      <w:rFonts w:ascii="Times New Roman" w:eastAsia="Times New Roman" w:hAnsi="Times New Roman"/>
      <w:szCs w:val="20"/>
      <w:lang w:val="en-AU"/>
    </w:rPr>
  </w:style>
  <w:style w:type="paragraph" w:customStyle="1" w:styleId="SectionL1">
    <w:name w:val="Section L1"/>
    <w:basedOn w:val="Normal"/>
    <w:next w:val="Normal"/>
    <w:rsid w:val="00AB1B6A"/>
    <w:pPr>
      <w:spacing w:after="240"/>
      <w:outlineLvl w:val="0"/>
    </w:pPr>
    <w:rPr>
      <w:rFonts w:ascii="Times New Roman" w:eastAsia="Times New Roman" w:hAnsi="Times New Roman"/>
      <w:szCs w:val="20"/>
      <w:lang w:val="en-AU"/>
    </w:rPr>
  </w:style>
  <w:style w:type="paragraph" w:customStyle="1" w:styleId="SectionL2">
    <w:name w:val="Section L2"/>
    <w:basedOn w:val="Normal"/>
    <w:next w:val="Normal"/>
    <w:rsid w:val="00AB1B6A"/>
    <w:pPr>
      <w:numPr>
        <w:numId w:val="59"/>
      </w:numPr>
      <w:tabs>
        <w:tab w:val="num" w:pos="851"/>
      </w:tabs>
      <w:spacing w:after="240"/>
      <w:outlineLvl w:val="1"/>
    </w:pPr>
    <w:rPr>
      <w:rFonts w:ascii="Times New Roman" w:eastAsia="Times New Roman" w:hAnsi="Times New Roman"/>
      <w:szCs w:val="20"/>
      <w:lang w:val="en-AU"/>
    </w:rPr>
  </w:style>
  <w:style w:type="paragraph" w:customStyle="1" w:styleId="SectionL3">
    <w:name w:val="Section L3"/>
    <w:basedOn w:val="Normal"/>
    <w:next w:val="Normal"/>
    <w:rsid w:val="00AB1B6A"/>
    <w:pPr>
      <w:numPr>
        <w:numId w:val="64"/>
      </w:numPr>
      <w:tabs>
        <w:tab w:val="num" w:pos="1701"/>
      </w:tabs>
      <w:spacing w:after="240"/>
      <w:ind w:left="1701" w:hanging="850"/>
      <w:outlineLvl w:val="2"/>
    </w:pPr>
    <w:rPr>
      <w:rFonts w:ascii="Times New Roman" w:eastAsia="Times New Roman" w:hAnsi="Times New Roman"/>
      <w:szCs w:val="20"/>
      <w:lang w:val="en-AU"/>
    </w:rPr>
  </w:style>
  <w:style w:type="paragraph" w:customStyle="1" w:styleId="SectionL4">
    <w:name w:val="Section L4"/>
    <w:basedOn w:val="Normal"/>
    <w:next w:val="Normal"/>
    <w:rsid w:val="00AB1B6A"/>
    <w:pPr>
      <w:numPr>
        <w:ilvl w:val="1"/>
        <w:numId w:val="64"/>
      </w:numPr>
      <w:tabs>
        <w:tab w:val="clear" w:pos="851"/>
        <w:tab w:val="num" w:pos="2552"/>
      </w:tabs>
      <w:spacing w:after="240"/>
      <w:ind w:left="2552"/>
      <w:outlineLvl w:val="3"/>
    </w:pPr>
    <w:rPr>
      <w:rFonts w:ascii="Times New Roman" w:eastAsia="Times New Roman" w:hAnsi="Times New Roman"/>
      <w:szCs w:val="20"/>
      <w:lang w:val="en-AU"/>
    </w:rPr>
  </w:style>
  <w:style w:type="paragraph" w:customStyle="1" w:styleId="SectionL5">
    <w:name w:val="Section L5"/>
    <w:basedOn w:val="Normal"/>
    <w:next w:val="Normal"/>
    <w:rsid w:val="00AB1B6A"/>
    <w:pPr>
      <w:numPr>
        <w:ilvl w:val="2"/>
        <w:numId w:val="64"/>
      </w:numPr>
      <w:tabs>
        <w:tab w:val="clear" w:pos="1701"/>
        <w:tab w:val="num" w:pos="3402"/>
      </w:tabs>
      <w:spacing w:after="240"/>
      <w:ind w:left="3402"/>
      <w:outlineLvl w:val="4"/>
    </w:pPr>
    <w:rPr>
      <w:rFonts w:ascii="Times New Roman" w:eastAsia="Times New Roman" w:hAnsi="Times New Roman"/>
      <w:szCs w:val="20"/>
      <w:lang w:val="en-AU"/>
    </w:rPr>
  </w:style>
  <w:style w:type="paragraph" w:customStyle="1" w:styleId="SectionL6">
    <w:name w:val="Section L6"/>
    <w:basedOn w:val="Normal"/>
    <w:next w:val="Normal"/>
    <w:rsid w:val="00AB1B6A"/>
    <w:pPr>
      <w:numPr>
        <w:ilvl w:val="3"/>
        <w:numId w:val="64"/>
      </w:numPr>
      <w:tabs>
        <w:tab w:val="clear" w:pos="2552"/>
        <w:tab w:val="num" w:pos="4253"/>
      </w:tabs>
      <w:spacing w:after="240"/>
      <w:ind w:left="4253"/>
      <w:outlineLvl w:val="5"/>
    </w:pPr>
    <w:rPr>
      <w:rFonts w:ascii="Times New Roman" w:eastAsia="Times New Roman" w:hAnsi="Times New Roman"/>
      <w:szCs w:val="20"/>
      <w:lang w:val="en-AU"/>
    </w:rPr>
  </w:style>
  <w:style w:type="paragraph" w:customStyle="1" w:styleId="SectionL7">
    <w:name w:val="Section L7"/>
    <w:basedOn w:val="Normal"/>
    <w:next w:val="Normal"/>
    <w:rsid w:val="00AB1B6A"/>
    <w:pPr>
      <w:numPr>
        <w:ilvl w:val="4"/>
        <w:numId w:val="64"/>
      </w:numPr>
      <w:tabs>
        <w:tab w:val="clear" w:pos="3402"/>
        <w:tab w:val="num" w:pos="5103"/>
      </w:tabs>
      <w:spacing w:after="240"/>
      <w:ind w:left="5103"/>
      <w:outlineLvl w:val="6"/>
    </w:pPr>
    <w:rPr>
      <w:rFonts w:ascii="Times New Roman" w:eastAsia="Times New Roman" w:hAnsi="Times New Roman"/>
      <w:szCs w:val="20"/>
      <w:lang w:val="en-AU"/>
    </w:rPr>
  </w:style>
  <w:style w:type="paragraph" w:customStyle="1" w:styleId="MEBasic1">
    <w:name w:val="ME Basic 1"/>
    <w:basedOn w:val="Normal"/>
    <w:next w:val="Normal"/>
    <w:rsid w:val="00AB1B6A"/>
    <w:pPr>
      <w:numPr>
        <w:ilvl w:val="5"/>
        <w:numId w:val="64"/>
      </w:numPr>
      <w:tabs>
        <w:tab w:val="clear" w:pos="4253"/>
        <w:tab w:val="num" w:pos="851"/>
      </w:tabs>
      <w:spacing w:after="240"/>
      <w:ind w:left="851"/>
    </w:pPr>
    <w:rPr>
      <w:rFonts w:ascii="Times New Roman" w:eastAsia="Times New Roman" w:hAnsi="Times New Roman"/>
      <w:szCs w:val="20"/>
      <w:lang w:val="en-AU"/>
    </w:rPr>
  </w:style>
  <w:style w:type="paragraph" w:customStyle="1" w:styleId="MEBasic2">
    <w:name w:val="ME Basic 2"/>
    <w:basedOn w:val="Normal"/>
    <w:next w:val="Normal"/>
    <w:rsid w:val="00AB1B6A"/>
    <w:pPr>
      <w:numPr>
        <w:ilvl w:val="6"/>
        <w:numId w:val="64"/>
      </w:numPr>
      <w:tabs>
        <w:tab w:val="clear" w:pos="5103"/>
        <w:tab w:val="num" w:pos="1701"/>
      </w:tabs>
      <w:spacing w:after="240"/>
      <w:ind w:left="1701"/>
    </w:pPr>
    <w:rPr>
      <w:rFonts w:ascii="Times New Roman" w:eastAsia="Times New Roman" w:hAnsi="Times New Roman"/>
      <w:szCs w:val="20"/>
      <w:lang w:val="en-AU"/>
    </w:rPr>
  </w:style>
  <w:style w:type="paragraph" w:customStyle="1" w:styleId="MEBasic3">
    <w:name w:val="ME Basic 3"/>
    <w:basedOn w:val="Normal"/>
    <w:next w:val="Normal"/>
    <w:rsid w:val="00AB1B6A"/>
    <w:pPr>
      <w:tabs>
        <w:tab w:val="num" w:pos="2552"/>
      </w:tabs>
      <w:spacing w:after="240"/>
      <w:ind w:left="2552" w:hanging="851"/>
    </w:pPr>
    <w:rPr>
      <w:rFonts w:ascii="Times New Roman" w:eastAsia="Times New Roman" w:hAnsi="Times New Roman"/>
      <w:szCs w:val="20"/>
      <w:lang w:val="en-AU"/>
    </w:rPr>
  </w:style>
  <w:style w:type="paragraph" w:customStyle="1" w:styleId="MENoIndent1">
    <w:name w:val="ME NoIndent 1"/>
    <w:basedOn w:val="Normal"/>
    <w:next w:val="Normal"/>
    <w:rsid w:val="00AB1B6A"/>
    <w:pPr>
      <w:tabs>
        <w:tab w:val="num" w:pos="2552"/>
      </w:tabs>
    </w:pPr>
    <w:rPr>
      <w:rFonts w:ascii="Times New Roman" w:eastAsia="Times New Roman" w:hAnsi="Times New Roman"/>
      <w:szCs w:val="20"/>
      <w:lang w:val="en-AU"/>
    </w:rPr>
  </w:style>
  <w:style w:type="paragraph" w:customStyle="1" w:styleId="MENoIndent3">
    <w:name w:val="ME NoIndent 3"/>
    <w:basedOn w:val="Normal"/>
    <w:next w:val="Normal"/>
    <w:rsid w:val="00AB1B6A"/>
    <w:pPr>
      <w:tabs>
        <w:tab w:val="num" w:pos="3402"/>
      </w:tabs>
    </w:pPr>
    <w:rPr>
      <w:rFonts w:ascii="Times New Roman" w:eastAsia="Times New Roman" w:hAnsi="Times New Roman"/>
      <w:szCs w:val="20"/>
      <w:lang w:val="en-AU"/>
    </w:rPr>
  </w:style>
  <w:style w:type="paragraph" w:customStyle="1" w:styleId="MENoIndent4">
    <w:name w:val="ME NoIndent 4"/>
    <w:basedOn w:val="Normal"/>
    <w:next w:val="Normal"/>
    <w:rsid w:val="00AB1B6A"/>
    <w:pPr>
      <w:tabs>
        <w:tab w:val="num" w:pos="851"/>
      </w:tabs>
      <w:ind w:left="851" w:hanging="851"/>
    </w:pPr>
    <w:rPr>
      <w:rFonts w:ascii="Times New Roman" w:eastAsia="Times New Roman" w:hAnsi="Times New Roman"/>
      <w:szCs w:val="20"/>
      <w:lang w:val="en-AU"/>
    </w:rPr>
  </w:style>
  <w:style w:type="paragraph" w:customStyle="1" w:styleId="MENoIndent5">
    <w:name w:val="ME NoIndent 5"/>
    <w:basedOn w:val="Normal"/>
    <w:next w:val="Normal"/>
    <w:rsid w:val="00AB1B6A"/>
    <w:pPr>
      <w:tabs>
        <w:tab w:val="num" w:pos="851"/>
      </w:tabs>
    </w:pPr>
    <w:rPr>
      <w:rFonts w:ascii="Times New Roman" w:eastAsia="Times New Roman" w:hAnsi="Times New Roman"/>
      <w:szCs w:val="20"/>
      <w:lang w:val="en-AU"/>
    </w:rPr>
  </w:style>
  <w:style w:type="paragraph" w:customStyle="1" w:styleId="MENoIndent6">
    <w:name w:val="ME NoIndent 6"/>
    <w:basedOn w:val="Normal"/>
    <w:next w:val="Normal"/>
    <w:rsid w:val="00AB1B6A"/>
    <w:pPr>
      <w:tabs>
        <w:tab w:val="num" w:pos="1560"/>
      </w:tabs>
    </w:pPr>
    <w:rPr>
      <w:rFonts w:ascii="Times New Roman" w:eastAsia="Times New Roman" w:hAnsi="Times New Roman"/>
      <w:szCs w:val="20"/>
      <w:lang w:val="en-AU"/>
    </w:rPr>
  </w:style>
  <w:style w:type="paragraph" w:customStyle="1" w:styleId="MEBasic4">
    <w:name w:val="ME Basic 4"/>
    <w:basedOn w:val="Normal"/>
    <w:next w:val="Normal"/>
    <w:rsid w:val="00AB1B6A"/>
    <w:pPr>
      <w:tabs>
        <w:tab w:val="num" w:pos="3402"/>
        <w:tab w:val="num" w:pos="3829"/>
      </w:tabs>
      <w:spacing w:after="240"/>
      <w:ind w:left="3402" w:hanging="850"/>
    </w:pPr>
    <w:rPr>
      <w:rFonts w:ascii="Times New Roman" w:eastAsia="Times New Roman" w:hAnsi="Times New Roman"/>
      <w:szCs w:val="20"/>
      <w:lang w:val="en-AU"/>
    </w:rPr>
  </w:style>
  <w:style w:type="paragraph" w:customStyle="1" w:styleId="MEBasic5">
    <w:name w:val="ME Basic 5"/>
    <w:basedOn w:val="Normal"/>
    <w:next w:val="Normal"/>
    <w:rsid w:val="00AB1B6A"/>
    <w:pPr>
      <w:tabs>
        <w:tab w:val="num" w:pos="3402"/>
        <w:tab w:val="num" w:pos="4253"/>
      </w:tabs>
      <w:spacing w:after="240"/>
      <w:ind w:left="4253" w:hanging="851"/>
    </w:pPr>
    <w:rPr>
      <w:rFonts w:ascii="Times New Roman" w:eastAsia="Times New Roman" w:hAnsi="Times New Roman"/>
      <w:szCs w:val="20"/>
      <w:lang w:val="en-AU"/>
    </w:rPr>
  </w:style>
  <w:style w:type="paragraph" w:customStyle="1" w:styleId="MEGen1">
    <w:name w:val="ME Gen 1"/>
    <w:basedOn w:val="Normal"/>
    <w:next w:val="Normal"/>
    <w:rsid w:val="00AB1B6A"/>
    <w:pPr>
      <w:tabs>
        <w:tab w:val="num" w:pos="851"/>
      </w:tabs>
      <w:spacing w:after="240"/>
      <w:outlineLvl w:val="0"/>
    </w:pPr>
    <w:rPr>
      <w:rFonts w:ascii="Times New Roman" w:eastAsia="Times New Roman" w:hAnsi="Times New Roman"/>
      <w:szCs w:val="20"/>
      <w:lang w:val="en-AU"/>
    </w:rPr>
  </w:style>
  <w:style w:type="paragraph" w:customStyle="1" w:styleId="WarrantyL2">
    <w:name w:val="WarrantyL2"/>
    <w:basedOn w:val="Normal"/>
    <w:next w:val="Normal"/>
    <w:rsid w:val="00AB1B6A"/>
    <w:pPr>
      <w:tabs>
        <w:tab w:val="num" w:pos="851"/>
      </w:tabs>
      <w:spacing w:after="240"/>
      <w:ind w:left="851" w:hanging="851"/>
      <w:outlineLvl w:val="1"/>
    </w:pPr>
    <w:rPr>
      <w:rFonts w:ascii="Times New Roman" w:eastAsia="Times New Roman" w:hAnsi="Times New Roman"/>
      <w:szCs w:val="20"/>
      <w:lang w:val="en-AU"/>
    </w:rPr>
  </w:style>
  <w:style w:type="paragraph" w:customStyle="1" w:styleId="WarrantyL3">
    <w:name w:val="WarrantyL3"/>
    <w:basedOn w:val="Normal"/>
    <w:next w:val="Normal"/>
    <w:rsid w:val="00AB1B6A"/>
    <w:pPr>
      <w:tabs>
        <w:tab w:val="num" w:pos="1701"/>
      </w:tabs>
      <w:spacing w:after="240"/>
      <w:ind w:left="1701" w:hanging="850"/>
      <w:outlineLvl w:val="2"/>
    </w:pPr>
    <w:rPr>
      <w:rFonts w:ascii="Times New Roman" w:eastAsia="Times New Roman" w:hAnsi="Times New Roman"/>
      <w:szCs w:val="20"/>
      <w:lang w:val="en-AU"/>
    </w:rPr>
  </w:style>
  <w:style w:type="paragraph" w:customStyle="1" w:styleId="WarrantyL4">
    <w:name w:val="WarrantyL4"/>
    <w:basedOn w:val="Normal"/>
    <w:next w:val="Normal"/>
    <w:rsid w:val="00AB1B6A"/>
    <w:pPr>
      <w:tabs>
        <w:tab w:val="num" w:pos="2552"/>
      </w:tabs>
      <w:spacing w:after="240"/>
      <w:ind w:left="2552" w:hanging="851"/>
      <w:outlineLvl w:val="3"/>
    </w:pPr>
    <w:rPr>
      <w:rFonts w:ascii="Times New Roman" w:eastAsia="Times New Roman" w:hAnsi="Times New Roman"/>
      <w:szCs w:val="20"/>
      <w:lang w:val="en-AU"/>
    </w:rPr>
  </w:style>
  <w:style w:type="paragraph" w:customStyle="1" w:styleId="WarrantyL5">
    <w:name w:val="WarrantyL5"/>
    <w:basedOn w:val="Normal"/>
    <w:next w:val="Normal"/>
    <w:rsid w:val="00AB1B6A"/>
    <w:pPr>
      <w:tabs>
        <w:tab w:val="num" w:pos="3402"/>
      </w:tabs>
      <w:spacing w:after="240"/>
      <w:ind w:left="3402" w:hanging="850"/>
      <w:outlineLvl w:val="4"/>
    </w:pPr>
    <w:rPr>
      <w:rFonts w:ascii="Times New Roman" w:eastAsia="Times New Roman" w:hAnsi="Times New Roman"/>
      <w:szCs w:val="20"/>
      <w:lang w:val="en-AU"/>
    </w:rPr>
  </w:style>
  <w:style w:type="character" w:customStyle="1" w:styleId="Hyperlink2">
    <w:name w:val="Hyperlink2"/>
    <w:rsid w:val="00AB1B6A"/>
    <w:rPr>
      <w:color w:val="0097AC"/>
      <w:u w:val="single"/>
      <w:effect w:val="none"/>
    </w:rPr>
  </w:style>
  <w:style w:type="paragraph" w:customStyle="1" w:styleId="MENoIndent2">
    <w:name w:val="ME NoIndent 2"/>
    <w:basedOn w:val="MENoIndent1"/>
    <w:next w:val="Normal"/>
    <w:rsid w:val="00AB1B6A"/>
    <w:pPr>
      <w:tabs>
        <w:tab w:val="clear" w:pos="2552"/>
        <w:tab w:val="num" w:pos="576"/>
        <w:tab w:val="num" w:pos="720"/>
      </w:tabs>
      <w:ind w:left="576" w:hanging="576"/>
    </w:pPr>
  </w:style>
  <w:style w:type="paragraph" w:customStyle="1" w:styleId="CharChar1">
    <w:name w:val="Char Char1"/>
    <w:basedOn w:val="Normal"/>
    <w:rsid w:val="00AB1B6A"/>
    <w:pPr>
      <w:spacing w:after="160" w:line="240" w:lineRule="exact"/>
    </w:pPr>
    <w:rPr>
      <w:rFonts w:eastAsia="Times New Roman"/>
      <w:sz w:val="20"/>
      <w:szCs w:val="20"/>
    </w:rPr>
  </w:style>
  <w:style w:type="paragraph" w:customStyle="1" w:styleId="CharCharCharCharCharChar1">
    <w:name w:val="Char Char Char Char Char Char1"/>
    <w:basedOn w:val="Normal"/>
    <w:rsid w:val="00AB1B6A"/>
    <w:pPr>
      <w:spacing w:after="160" w:line="240" w:lineRule="exact"/>
    </w:pPr>
    <w:rPr>
      <w:rFonts w:ascii="Verdana" w:eastAsia="Times New Roman" w:hAnsi="Verdana"/>
      <w:sz w:val="20"/>
      <w:szCs w:val="20"/>
    </w:rPr>
  </w:style>
  <w:style w:type="character" w:styleId="Mention">
    <w:name w:val="Mention"/>
    <w:basedOn w:val="DefaultParagraphFont"/>
    <w:uiPriority w:val="99"/>
    <w:semiHidden/>
    <w:unhideWhenUsed/>
    <w:rsid w:val="00C1683F"/>
    <w:rPr>
      <w:color w:val="2B579A"/>
      <w:shd w:val="clear" w:color="auto" w:fill="E6E6E6"/>
    </w:rPr>
  </w:style>
  <w:style w:type="character" w:styleId="UnresolvedMention">
    <w:name w:val="Unresolved Mention"/>
    <w:basedOn w:val="DefaultParagraphFont"/>
    <w:uiPriority w:val="99"/>
    <w:semiHidden/>
    <w:unhideWhenUsed/>
    <w:rsid w:val="00654DCB"/>
    <w:rPr>
      <w:color w:val="808080"/>
      <w:shd w:val="clear" w:color="auto" w:fill="E6E6E6"/>
    </w:rPr>
  </w:style>
  <w:style w:type="character" w:customStyle="1" w:styleId="codechar">
    <w:name w:val="code char"/>
    <w:uiPriority w:val="1"/>
    <w:qFormat/>
    <w:rsid w:val="00BA172C"/>
    <w:rPr>
      <w:rFonts w:ascii="Courier New" w:hAnsi="Courier New" w:cs="Times New Roman"/>
      <w:color w:val="auto"/>
      <w:sz w:val="20"/>
      <w:szCs w:val="20"/>
    </w:rPr>
  </w:style>
  <w:style w:type="paragraph" w:customStyle="1" w:styleId="Schedule">
    <w:name w:val="Schedule"/>
    <w:basedOn w:val="Normal"/>
    <w:next w:val="Normal"/>
    <w:qFormat/>
    <w:rsid w:val="00BA172C"/>
    <w:pPr>
      <w:spacing w:after="200"/>
    </w:pPr>
    <w:rPr>
      <w:sz w:val="32"/>
    </w:rPr>
  </w:style>
  <w:style w:type="paragraph" w:customStyle="1" w:styleId="LightGrid-Accent31">
    <w:name w:val="Light Grid - Accent 31"/>
    <w:basedOn w:val="Normal"/>
    <w:uiPriority w:val="34"/>
    <w:qFormat/>
    <w:rsid w:val="00E507D4"/>
    <w:pPr>
      <w:spacing w:before="240"/>
      <w:ind w:left="720"/>
      <w:contextualSpacing/>
    </w:pPr>
  </w:style>
  <w:style w:type="paragraph" w:styleId="NormalWeb">
    <w:name w:val="Normal (Web)"/>
    <w:basedOn w:val="Normal"/>
    <w:uiPriority w:val="99"/>
    <w:semiHidden/>
    <w:unhideWhenUsed/>
    <w:rsid w:val="00060DA8"/>
    <w:pPr>
      <w:spacing w:before="100" w:beforeAutospacing="1" w:after="100" w:afterAutospacing="1"/>
    </w:pPr>
    <w:rPr>
      <w:rFonts w:ascii="Times New Roman" w:eastAsia="Times New Roman" w:hAnsi="Times New Roman"/>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2370704">
      <w:bodyDiv w:val="1"/>
      <w:marLeft w:val="0"/>
      <w:marRight w:val="0"/>
      <w:marTop w:val="0"/>
      <w:marBottom w:val="0"/>
      <w:divBdr>
        <w:top w:val="none" w:sz="0" w:space="0" w:color="auto"/>
        <w:left w:val="none" w:sz="0" w:space="0" w:color="auto"/>
        <w:bottom w:val="none" w:sz="0" w:space="0" w:color="auto"/>
        <w:right w:val="none" w:sz="0" w:space="0" w:color="auto"/>
      </w:divBdr>
    </w:div>
    <w:div w:id="1011956003">
      <w:bodyDiv w:val="1"/>
      <w:marLeft w:val="0"/>
      <w:marRight w:val="0"/>
      <w:marTop w:val="0"/>
      <w:marBottom w:val="0"/>
      <w:divBdr>
        <w:top w:val="none" w:sz="0" w:space="0" w:color="auto"/>
        <w:left w:val="none" w:sz="0" w:space="0" w:color="auto"/>
        <w:bottom w:val="none" w:sz="0" w:space="0" w:color="auto"/>
        <w:right w:val="none" w:sz="0" w:space="0" w:color="auto"/>
      </w:divBdr>
    </w:div>
    <w:div w:id="20732628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117" Type="http://schemas.openxmlformats.org/officeDocument/2006/relationships/hyperlink" Target="http://www.optus.com.au/content/dam/optus/appendix/Appendix%20J/AppJ.doc" TargetMode="External"/><Relationship Id="rId671" Type="http://schemas.openxmlformats.org/officeDocument/2006/relationships/hyperlink" Target="http://www.optus.com.au/dafiles/OCA/AboutOptus/LegalAndRegulatory/SharedStaticFiles/SharedDocuments/AppS.doc" TargetMode="External"/><Relationship Id="rId769" Type="http://schemas.openxmlformats.org/officeDocument/2006/relationships/hyperlink" Target="http://www.optus.com.au/content/dam/optus/appendix/Appendix%20S/AppS.doc" TargetMode="External"/><Relationship Id="rId21" Type="http://schemas.openxmlformats.org/officeDocument/2006/relationships/hyperlink" Target="http://www.optus.com.au/content/dam/optus/appendix/Appendix%20S/AppS.doc" TargetMode="External"/><Relationship Id="rId324" Type="http://schemas.openxmlformats.org/officeDocument/2006/relationships/hyperlink" Target="http://www.optus.com.au/content/dam/optus/appendix/Appendix%20S/AppS.doc" TargetMode="External"/><Relationship Id="rId531" Type="http://schemas.openxmlformats.org/officeDocument/2006/relationships/hyperlink" Target="http://www.optus.com.au/content/dam/optus/appendix/Appendix%20S/AppS.doc" TargetMode="External"/><Relationship Id="rId629" Type="http://schemas.openxmlformats.org/officeDocument/2006/relationships/hyperlink" Target="http://www.optus.com.au/content/dam/optus/appendix/Appendix%20Y/AppY.doc" TargetMode="External"/><Relationship Id="rId170" Type="http://schemas.openxmlformats.org/officeDocument/2006/relationships/hyperlink" Target="http://www.optus.com.au/content/dam/optus/appendix/Appendix%20S/AppS.doc" TargetMode="External"/><Relationship Id="rId836" Type="http://schemas.openxmlformats.org/officeDocument/2006/relationships/hyperlink" Target="http://www.optus.com.au/content/dam/optus/appendix/Appendix%20S/AppS.doc" TargetMode="External"/><Relationship Id="rId268" Type="http://schemas.openxmlformats.org/officeDocument/2006/relationships/hyperlink" Target="http://www.optus.com.au/content/dam/optus/appendix/Appendix%20S/AppS.doc" TargetMode="External"/><Relationship Id="rId475" Type="http://schemas.openxmlformats.org/officeDocument/2006/relationships/hyperlink" Target="http://www.optus.com.au/content/dam/optus/appendix/Appendix%20S/AppS.doc" TargetMode="External"/><Relationship Id="rId682" Type="http://schemas.openxmlformats.org/officeDocument/2006/relationships/hyperlink" Target="http://smb.optus.com.au/opfiles/Shop/All/cis/Cis%20Documents/CIS_$35_My_Plan_Business_SIM.pdf" TargetMode="External"/><Relationship Id="rId903" Type="http://schemas.openxmlformats.org/officeDocument/2006/relationships/hyperlink" Target="http://www.optus.com.au/content/dam/optus/appendix/Appendix%20J/AppJ.doc" TargetMode="External"/><Relationship Id="rId32" Type="http://schemas.openxmlformats.org/officeDocument/2006/relationships/hyperlink" Target="http://www.optus.com.au/content/dam/optus/documents/about-us/legal/SMETerms.doc" TargetMode="External"/><Relationship Id="rId128" Type="http://schemas.openxmlformats.org/officeDocument/2006/relationships/hyperlink" Target="http://www.optus.com.au/content/dam/optus/appendix/Appendix%20S/AppS.doc" TargetMode="External"/><Relationship Id="rId335" Type="http://schemas.openxmlformats.org/officeDocument/2006/relationships/hyperlink" Target="http://www.optus.com.au/content/dam/optus/appendix/Appendix%20S/AppS.doc" TargetMode="External"/><Relationship Id="rId542" Type="http://schemas.openxmlformats.org/officeDocument/2006/relationships/hyperlink" Target="http://www.optus.com.au/content/dam/optus/appendix/Appendix%20Y/AppY.doc" TargetMode="External"/><Relationship Id="rId181" Type="http://schemas.openxmlformats.org/officeDocument/2006/relationships/hyperlink" Target="http://www.optus.com.au/content/dam/optus/appendix/Appendix%20S/AppS.doc" TargetMode="External"/><Relationship Id="rId402" Type="http://schemas.openxmlformats.org/officeDocument/2006/relationships/hyperlink" Target="http://www.optus.com.au/content/dam/optus/appendix/Appendix%20S/AppS.doc" TargetMode="External"/><Relationship Id="rId847" Type="http://schemas.openxmlformats.org/officeDocument/2006/relationships/hyperlink" Target="http://www.optus.com.au/content/dam/optus/appendix/Appendix%20D/AppD.doc" TargetMode="External"/><Relationship Id="rId279" Type="http://schemas.openxmlformats.org/officeDocument/2006/relationships/hyperlink" Target="http://www.optus.com.au/content/dam/optus/appendix/Appendix%20S/AppS.doc" TargetMode="External"/><Relationship Id="rId486" Type="http://schemas.openxmlformats.org/officeDocument/2006/relationships/hyperlink" Target="http://www.optus.com.au/content/dam/optus/appendix/Appendix%20S/AppS.doc" TargetMode="External"/><Relationship Id="rId693" Type="http://schemas.openxmlformats.org/officeDocument/2006/relationships/hyperlink" Target="http://smb.optus.com.au/opfiles/Shop/All/cis/Cis%20Documents/1415709_CIS_$25_Mobile_Broadband_Business_5GB.pdf" TargetMode="External"/><Relationship Id="rId707" Type="http://schemas.openxmlformats.org/officeDocument/2006/relationships/hyperlink" Target="http://smb.optus.com.au/opfiles/Shop/All/cis%20smb/Cis%20Documents/1415614_CIS_30_My_Plan_Business_TF_Essentials.PDF" TargetMode="External"/><Relationship Id="rId914" Type="http://schemas.openxmlformats.org/officeDocument/2006/relationships/hyperlink" Target="http://www.optus.com.au/content/dam/optus/appendix/Appendix%20Y/AppY.doc" TargetMode="External"/><Relationship Id="rId43" Type="http://schemas.openxmlformats.org/officeDocument/2006/relationships/header" Target="header3.xml"/><Relationship Id="rId139" Type="http://schemas.openxmlformats.org/officeDocument/2006/relationships/hyperlink" Target="http://www.optus.com.au/content/dam/optus/documents/about-us/legal/SMETerms.doc" TargetMode="External"/><Relationship Id="rId346" Type="http://schemas.openxmlformats.org/officeDocument/2006/relationships/hyperlink" Target="http://www.optus.com.au/content/dam/optus/appendix/Appendix%20S/AppS.doc" TargetMode="External"/><Relationship Id="rId553" Type="http://schemas.openxmlformats.org/officeDocument/2006/relationships/hyperlink" Target="http://www.optus.com.au/content/dam/optus/appendix/Appendix%20S/AppS.doc" TargetMode="External"/><Relationship Id="rId760" Type="http://schemas.openxmlformats.org/officeDocument/2006/relationships/hyperlink" Target="http://www.optus.com.au/content/dam/optus/appendix/Appendix%20S/AppS.doc" TargetMode="External"/><Relationship Id="rId192" Type="http://schemas.openxmlformats.org/officeDocument/2006/relationships/hyperlink" Target="http://www.optus.com.au/content/dam/optus/appendix/Appendix%20S/AppS.doc" TargetMode="External"/><Relationship Id="rId206" Type="http://schemas.openxmlformats.org/officeDocument/2006/relationships/hyperlink" Target="http://www.optus.com.au/content/dam/optus/appendix/Appendix%20J/AppJ.doc" TargetMode="External"/><Relationship Id="rId413" Type="http://schemas.openxmlformats.org/officeDocument/2006/relationships/hyperlink" Target="http://www.optus.com.au/content/dam/optus/appendix/Appendix%20J/AppJ.doc" TargetMode="External"/><Relationship Id="rId858" Type="http://schemas.openxmlformats.org/officeDocument/2006/relationships/hyperlink" Target="http://www.optus.com.au/content/dam/optus/appendix/Appendix%20S/AppS.doc" TargetMode="External"/><Relationship Id="rId497" Type="http://schemas.openxmlformats.org/officeDocument/2006/relationships/hyperlink" Target="http://www.optus.com.au/content/dam/optus/appendix/Appendix%20S/AppS.doc" TargetMode="External"/><Relationship Id="rId620" Type="http://schemas.openxmlformats.org/officeDocument/2006/relationships/hyperlink" Target="http://www.optus.com.au/content/dam/optus/appendix/Appendix%20S/AppS.doc" TargetMode="External"/><Relationship Id="rId718" Type="http://schemas.openxmlformats.org/officeDocument/2006/relationships/hyperlink" Target="http://www.optus.com.au/content/dam/optus/appendix/Appendix%20S/AppS.doc" TargetMode="External"/><Relationship Id="rId925" Type="http://schemas.openxmlformats.org/officeDocument/2006/relationships/hyperlink" Target="http://www.optus.com.au/content/dam/optus/appendix/Appendix%20S/AppS.doc" TargetMode="External"/><Relationship Id="rId357" Type="http://schemas.openxmlformats.org/officeDocument/2006/relationships/hyperlink" Target="http://www.optus.com.au/content/dam/optus/documents/about-us/legal/DigPricingS1.doc" TargetMode="External"/><Relationship Id="rId54" Type="http://schemas.openxmlformats.org/officeDocument/2006/relationships/hyperlink" Target="http://www.optus.com.au/content/dam/optus/appendix/Appendix%20J/AppJ.doc" TargetMode="External"/><Relationship Id="rId217" Type="http://schemas.openxmlformats.org/officeDocument/2006/relationships/hyperlink" Target="http://www.optus.com.au/content/dam/optus/appendix/Appendix%20S/AppS.doc" TargetMode="External"/><Relationship Id="rId564" Type="http://schemas.openxmlformats.org/officeDocument/2006/relationships/hyperlink" Target="http://www.optus.com.au/content/dam/optus/appendix/Appendix%20S/AppS.doc" TargetMode="External"/><Relationship Id="rId771" Type="http://schemas.openxmlformats.org/officeDocument/2006/relationships/hyperlink" Target="http://www.optus.com.au/content/dam/optus/appendix/Appendix%20D/AppD.doc" TargetMode="External"/><Relationship Id="rId869" Type="http://schemas.openxmlformats.org/officeDocument/2006/relationships/hyperlink" Target="http://www.optus.com.au/content/dam/optus/appendix/Appendix%20S/AppS.doc" TargetMode="External"/><Relationship Id="rId424" Type="http://schemas.openxmlformats.org/officeDocument/2006/relationships/hyperlink" Target="http://www.optus.com.au/content/dam/optus/appendix/Appendix%20S/AppS.doc" TargetMode="External"/><Relationship Id="rId631" Type="http://schemas.openxmlformats.org/officeDocument/2006/relationships/hyperlink" Target="http://www.optus.com.au/content/dam/optus/appendix/Appendix%20S/AppS.doc" TargetMode="External"/><Relationship Id="rId729" Type="http://schemas.openxmlformats.org/officeDocument/2006/relationships/hyperlink" Target="http://www.optus.com.au/content/dam/optus/appendix/Appendix%20S/AppS.doc" TargetMode="External"/><Relationship Id="rId270" Type="http://schemas.openxmlformats.org/officeDocument/2006/relationships/hyperlink" Target="http://www.optus.com.au/content/dam/optus/appendix/Appendix%20Y/AppY.doc" TargetMode="External"/><Relationship Id="rId936" Type="http://schemas.openxmlformats.org/officeDocument/2006/relationships/hyperlink" Target="http://www.optus.com.au/content/dam/optus/appendix/Appendix%20D/AppD.doc" TargetMode="External"/><Relationship Id="rId65" Type="http://schemas.openxmlformats.org/officeDocument/2006/relationships/hyperlink" Target="http://www.optus.com.au/content/dam/optus/appendix/Appendix%20J/AppJ.doc" TargetMode="External"/><Relationship Id="rId130" Type="http://schemas.openxmlformats.org/officeDocument/2006/relationships/hyperlink" Target="http://www.optus.com.au/content/dam/optus/documents/about-us/legal/DigPricingS1.doc" TargetMode="External"/><Relationship Id="rId368" Type="http://schemas.openxmlformats.org/officeDocument/2006/relationships/hyperlink" Target="http://www.optus.com.au/content/dam/optus/documents/about-us/legal/SMETerms.doc" TargetMode="External"/><Relationship Id="rId575" Type="http://schemas.openxmlformats.org/officeDocument/2006/relationships/hyperlink" Target="http://www.optus.com.au/content/dam/optus/appendix/Appendix%20S/AppS.doc" TargetMode="External"/><Relationship Id="rId782" Type="http://schemas.openxmlformats.org/officeDocument/2006/relationships/hyperlink" Target="http://www.optus.com.au/content/dam/optus/appendix/Appendix%20D/AppD.doc" TargetMode="External"/><Relationship Id="rId228" Type="http://schemas.openxmlformats.org/officeDocument/2006/relationships/hyperlink" Target="http://www.optus.com.au/content/dam/optus/appendix/Appendix%20S/AppS.doc" TargetMode="External"/><Relationship Id="rId435" Type="http://schemas.openxmlformats.org/officeDocument/2006/relationships/hyperlink" Target="http://www.optus.com.au/content/dam/optus/documents/about-us/legal/DigPricingS1.doc" TargetMode="External"/><Relationship Id="rId642" Type="http://schemas.openxmlformats.org/officeDocument/2006/relationships/hyperlink" Target="http://www.optus.com.au/content/dam/optus/appendix/Appendix%20D/AppD.doc" TargetMode="External"/><Relationship Id="rId281" Type="http://schemas.openxmlformats.org/officeDocument/2006/relationships/hyperlink" Target="http://www.optus.com.au/content/dam/optus/appendix/Appendix%20S/AppS.doc" TargetMode="External"/><Relationship Id="rId502" Type="http://schemas.openxmlformats.org/officeDocument/2006/relationships/hyperlink" Target="http://www.optus.com.au/content/dam/optus/appendix/Appendix%20S/AppS.doc" TargetMode="External"/><Relationship Id="rId947" Type="http://schemas.openxmlformats.org/officeDocument/2006/relationships/theme" Target="theme/theme1.xml"/><Relationship Id="rId76" Type="http://schemas.openxmlformats.org/officeDocument/2006/relationships/hyperlink" Target="http://www.optus.com.au/content/dam/optus/appendix/Appendix%20J/AppJ.doc" TargetMode="External"/><Relationship Id="rId141" Type="http://schemas.openxmlformats.org/officeDocument/2006/relationships/hyperlink" Target="http://www.optus.com.au/content/dam/optus/documents/about-us/legal/DigPricingS1.doc" TargetMode="External"/><Relationship Id="rId379" Type="http://schemas.openxmlformats.org/officeDocument/2006/relationships/hyperlink" Target="http://www.optus.com.au/content/dam/optus/appendix/Appendix%20S/AppS.doc" TargetMode="External"/><Relationship Id="rId586" Type="http://schemas.openxmlformats.org/officeDocument/2006/relationships/hyperlink" Target="http://www.optus.com.au/content/dam/optus/appendix/Appendix%20S/AppS.doc" TargetMode="External"/><Relationship Id="rId793" Type="http://schemas.openxmlformats.org/officeDocument/2006/relationships/hyperlink" Target="http://www.optus.com.au/content/dam/optus/appendix/Appendix%20S/AppS.doc" TargetMode="External"/><Relationship Id="rId807" Type="http://schemas.openxmlformats.org/officeDocument/2006/relationships/hyperlink" Target="http://www.optus.com.au/content/dam/optus/appendix/Appendix%20D/AppD.doc" TargetMode="External"/><Relationship Id="rId7" Type="http://schemas.openxmlformats.org/officeDocument/2006/relationships/footnotes" Target="footnotes.xml"/><Relationship Id="rId239" Type="http://schemas.openxmlformats.org/officeDocument/2006/relationships/hyperlink" Target="http://www.optus.com.au/content/dam/optus/appendix/Appendix%20S/AppS.doc" TargetMode="External"/><Relationship Id="rId446" Type="http://schemas.openxmlformats.org/officeDocument/2006/relationships/hyperlink" Target="http://www.optus.com.au/content/dam/optus/appendix/Appendix%20S/AppS.doc" TargetMode="External"/><Relationship Id="rId653" Type="http://schemas.openxmlformats.org/officeDocument/2006/relationships/hyperlink" Target="http://www.optus.com.au/content/dam/optus/appendix/Appendix%20S/AppS.doc" TargetMode="External"/><Relationship Id="rId292" Type="http://schemas.openxmlformats.org/officeDocument/2006/relationships/hyperlink" Target="http://www.optus.com.au/content/dam/optus/appendix/Appendix%20S/AppS.doc" TargetMode="External"/><Relationship Id="rId306" Type="http://schemas.openxmlformats.org/officeDocument/2006/relationships/hyperlink" Target="http://www.optus.com.au/content/dam/optus/appendix/Appendix%20Y/AppY.doc" TargetMode="External"/><Relationship Id="rId860" Type="http://schemas.openxmlformats.org/officeDocument/2006/relationships/hyperlink" Target="http://www.optus.com.au/content/dam/optus/appendix/Appendix%20D/AppD.doc" TargetMode="External"/><Relationship Id="rId87" Type="http://schemas.openxmlformats.org/officeDocument/2006/relationships/hyperlink" Target="http://www.optus.com.au/content/dam/optus/appendix/Appendix%20S/AppS.doc" TargetMode="External"/><Relationship Id="rId513" Type="http://schemas.openxmlformats.org/officeDocument/2006/relationships/hyperlink" Target="http://www.optus.com.au/content/dam/optus/appendix/Appendix%20S/AppS.doc" TargetMode="External"/><Relationship Id="rId597" Type="http://schemas.openxmlformats.org/officeDocument/2006/relationships/hyperlink" Target="http://www.optus.com.au/content/dam/optus/appendix/Appendix%20S/AppS.doc" TargetMode="External"/><Relationship Id="rId720" Type="http://schemas.openxmlformats.org/officeDocument/2006/relationships/hyperlink" Target="http://www.optus.com.au/content/dam/optus/appendix/Appendix%20D/AppD.doc" TargetMode="External"/><Relationship Id="rId818" Type="http://schemas.openxmlformats.org/officeDocument/2006/relationships/hyperlink" Target="http://www.optus.com.au/content/dam/optus/appendix/Appendix%20D/AppD.doc" TargetMode="External"/><Relationship Id="rId152" Type="http://schemas.openxmlformats.org/officeDocument/2006/relationships/hyperlink" Target="http://www.optus.com.au/content/dam/optus/appendix/Appendix%20S/AppS.doc" TargetMode="External"/><Relationship Id="rId457" Type="http://schemas.openxmlformats.org/officeDocument/2006/relationships/hyperlink" Target="http://www.optus.com.au/content/dam/optus/appendix/Appendix%20S/AppS.doc" TargetMode="External"/><Relationship Id="rId664" Type="http://schemas.openxmlformats.org/officeDocument/2006/relationships/hyperlink" Target="http://www.optus.com.au/content/dam/optus/appendix/Appendix%20Y/AppY.doc" TargetMode="External"/><Relationship Id="rId871" Type="http://schemas.openxmlformats.org/officeDocument/2006/relationships/hyperlink" Target="http://www.optus.com.au/content/dam/optus/appendix/Appendix%20S/AppS.doc" TargetMode="External"/><Relationship Id="rId14" Type="http://schemas.openxmlformats.org/officeDocument/2006/relationships/hyperlink" Target="http://www.optus.com.au/content/dam/optus/documents/about-us/legal/DigPricingS4.doc" TargetMode="External"/><Relationship Id="rId317" Type="http://schemas.openxmlformats.org/officeDocument/2006/relationships/hyperlink" Target="http://www.optus.com.au/content/dam/optus/appendix/Appendix%20S/AppS.doc" TargetMode="External"/><Relationship Id="rId524" Type="http://schemas.openxmlformats.org/officeDocument/2006/relationships/hyperlink" Target="http://www.optus.com.au/content/dam/optus/appendix/Appendix%20S/AppS.doc" TargetMode="External"/><Relationship Id="rId731" Type="http://schemas.openxmlformats.org/officeDocument/2006/relationships/hyperlink" Target="http://www.optus.com.au/content/dam/optus/appendix/Appendix%20S/AppS.doc" TargetMode="External"/><Relationship Id="rId98" Type="http://schemas.openxmlformats.org/officeDocument/2006/relationships/hyperlink" Target="http://www.optus.com.au/content/dam/optus/appendix/Appendix%20S/AppS.doc" TargetMode="External"/><Relationship Id="rId163" Type="http://schemas.openxmlformats.org/officeDocument/2006/relationships/hyperlink" Target="http://www.optus.com.au/content/dam/optus/appendix/Appendix%20S/AppS.doc" TargetMode="External"/><Relationship Id="rId370" Type="http://schemas.openxmlformats.org/officeDocument/2006/relationships/hyperlink" Target="http://www.optus.com.au/content/dam/optus/documents/about-us/legal/DigPricingS1.doc" TargetMode="External"/><Relationship Id="rId829" Type="http://schemas.openxmlformats.org/officeDocument/2006/relationships/hyperlink" Target="http://www.optus.com.au/content/dam/optus/appendix/Appendix%20S/AppS.doc" TargetMode="External"/><Relationship Id="rId230" Type="http://schemas.openxmlformats.org/officeDocument/2006/relationships/hyperlink" Target="http://www.optus.com.au/content/dam/optus/appendix/Appendix%20S/AppS.doc" TargetMode="External"/><Relationship Id="rId468" Type="http://schemas.openxmlformats.org/officeDocument/2006/relationships/hyperlink" Target="http://www.optus.com.au/content/dam/optus/appendix/Appendix%20S/AppS.doc" TargetMode="External"/><Relationship Id="rId675" Type="http://schemas.openxmlformats.org/officeDocument/2006/relationships/hyperlink" Target="http://www.optus.com.au/content/dam/optus/appendix/Appendix%20S/AppS.doc" TargetMode="External"/><Relationship Id="rId882" Type="http://schemas.openxmlformats.org/officeDocument/2006/relationships/hyperlink" Target="http://www.optus.com.au/content/dam/optus/appendix/Appendix%20D/AppD.doc" TargetMode="External"/><Relationship Id="rId25" Type="http://schemas.openxmlformats.org/officeDocument/2006/relationships/hyperlink" Target="http://www.optus.com.au/content/dam/optus/documents/about-us/legal/DigPricingS1.doc" TargetMode="External"/><Relationship Id="rId328" Type="http://schemas.openxmlformats.org/officeDocument/2006/relationships/hyperlink" Target="http://www.optus.com.au/content/dam/optus/documents/about-us/legal/SMETerms.doc" TargetMode="External"/><Relationship Id="rId535" Type="http://schemas.openxmlformats.org/officeDocument/2006/relationships/hyperlink" Target="http://www.optus.com.au/content/dam/optus/appendix/Appendix%20Y/AppY.doc" TargetMode="External"/><Relationship Id="rId742" Type="http://schemas.openxmlformats.org/officeDocument/2006/relationships/hyperlink" Target="http://www.optus.com.au/content/dam/optus/appendix/Appendix%20S/AppS.doc" TargetMode="External"/><Relationship Id="rId174" Type="http://schemas.openxmlformats.org/officeDocument/2006/relationships/hyperlink" Target="http://www.optus.com.au/content/dam/optus/appendix/Appendix%20J/AppJ.doc" TargetMode="External"/><Relationship Id="rId381" Type="http://schemas.openxmlformats.org/officeDocument/2006/relationships/hyperlink" Target="http://www.optus.com.au/content/dam/optus/appendix/Appendix%20S/AppS.doc" TargetMode="External"/><Relationship Id="rId602" Type="http://schemas.openxmlformats.org/officeDocument/2006/relationships/hyperlink" Target="http://www.optus.com.au/content/dam/optus/appendix/Appendix%20S/AppS.doc" TargetMode="External"/><Relationship Id="rId241" Type="http://schemas.openxmlformats.org/officeDocument/2006/relationships/hyperlink" Target="http://www.optus.com.au/content/dam/optus/appendix/Appendix%20S/AppS.doc" TargetMode="External"/><Relationship Id="rId479" Type="http://schemas.openxmlformats.org/officeDocument/2006/relationships/hyperlink" Target="http://www.optus.com.au/content/dam/optus/appendix/Appendix%20S/AppS.doc" TargetMode="External"/><Relationship Id="rId686" Type="http://schemas.openxmlformats.org/officeDocument/2006/relationships/hyperlink" Target="http://smb.optus.com.au/opfiles/Shop/All/cis/Cis%20Documents/1417672_CIS_$70_My_Plan_Business.pdf" TargetMode="External"/><Relationship Id="rId893" Type="http://schemas.openxmlformats.org/officeDocument/2006/relationships/hyperlink" Target="http://www.optus.com.au/content/dam/optus/appendix/Appendix%20Y/AppY.doc" TargetMode="External"/><Relationship Id="rId907" Type="http://schemas.openxmlformats.org/officeDocument/2006/relationships/hyperlink" Target="http://www.optus.com.au/content/dam/optus/appendix/Appendix%20Y/AppY.doc" TargetMode="External"/><Relationship Id="rId36" Type="http://schemas.openxmlformats.org/officeDocument/2006/relationships/hyperlink" Target="http://www.optus.com.au/content/dam/optus/appendix/Appendix%20S/AppS.doc" TargetMode="External"/><Relationship Id="rId339" Type="http://schemas.openxmlformats.org/officeDocument/2006/relationships/hyperlink" Target="http://www.optus.com.au/content/dam/optus/appendix/Appendix%20J/AppJ.doc" TargetMode="External"/><Relationship Id="rId546" Type="http://schemas.openxmlformats.org/officeDocument/2006/relationships/hyperlink" Target="http://www.optus.com.au/content/dam/optus/appendix/Appendix%20Y/AppY.doc" TargetMode="External"/><Relationship Id="rId753" Type="http://schemas.openxmlformats.org/officeDocument/2006/relationships/hyperlink" Target="http://www.optus.com.au/content/dam/optus/appendix/Appendix%20S/AppS.doc" TargetMode="External"/><Relationship Id="rId78" Type="http://schemas.openxmlformats.org/officeDocument/2006/relationships/hyperlink" Target="http://www.optus.com.au/content/dam/optus/appendix/Appendix%20S/AppS.doc" TargetMode="External"/><Relationship Id="rId101" Type="http://schemas.openxmlformats.org/officeDocument/2006/relationships/hyperlink" Target="http://www.optus.com.au/content/dam/optus/appendix/Appendix%20J/AppJ.doc" TargetMode="External"/><Relationship Id="rId143" Type="http://schemas.openxmlformats.org/officeDocument/2006/relationships/hyperlink" Target="http://www.optus.com.au/content/dam/optus/appendix/Appendix%20S/AppS.doc" TargetMode="External"/><Relationship Id="rId185" Type="http://schemas.openxmlformats.org/officeDocument/2006/relationships/hyperlink" Target="http://www.optus.com.au/content/dam/optus/documents/about-us/legal/SMETerms.doc" TargetMode="External"/><Relationship Id="rId350" Type="http://schemas.openxmlformats.org/officeDocument/2006/relationships/hyperlink" Target="http://www.optus.com.au/content/dam/optus/appendix/Appendix%20S/AppS.doc" TargetMode="External"/><Relationship Id="rId406" Type="http://schemas.openxmlformats.org/officeDocument/2006/relationships/hyperlink" Target="http://www.optus.com.au/content/dam/optus/appendix/Appendix%20Y/AppY.doc" TargetMode="External"/><Relationship Id="rId588" Type="http://schemas.openxmlformats.org/officeDocument/2006/relationships/hyperlink" Target="http://www.optus.com.au/content/dam/optus/appendix/Appendix%20Y/AppY.doc" TargetMode="External"/><Relationship Id="rId795" Type="http://schemas.openxmlformats.org/officeDocument/2006/relationships/hyperlink" Target="http://www.optus.com.au/dafiles/OCA/AboutOptus/LegalAndRegulatory/SharedStaticFiles/SharedDocuments/AppD.dochttp:/www.optus.com.au/dafiles/OCA/AboutOptus/LegalAndRegulatory/SharedStaticFiles/SharedDocuments/AppW.doc" TargetMode="External"/><Relationship Id="rId809" Type="http://schemas.openxmlformats.org/officeDocument/2006/relationships/hyperlink" Target="http://www.optus.com.au/content/dam/optus/appendix/Appendix%20S/AppS.doc" TargetMode="External"/><Relationship Id="rId9" Type="http://schemas.openxmlformats.org/officeDocument/2006/relationships/header" Target="header1.xml"/><Relationship Id="rId210" Type="http://schemas.openxmlformats.org/officeDocument/2006/relationships/hyperlink" Target="http://www.optus.com.au/content/dam/optus/documents/about-us/legal/WCPricing(ConsumerSMB)S1.doc" TargetMode="External"/><Relationship Id="rId392" Type="http://schemas.openxmlformats.org/officeDocument/2006/relationships/hyperlink" Target="http://www.optus.com.au/content/dam/optus/appendix/Appendix%20S/AppS.doc" TargetMode="External"/><Relationship Id="rId448" Type="http://schemas.openxmlformats.org/officeDocument/2006/relationships/hyperlink" Target="http://www.optus.com.au/content/dam/optus/appendix/Appendix%20S/AppS.doc" TargetMode="External"/><Relationship Id="rId613" Type="http://schemas.openxmlformats.org/officeDocument/2006/relationships/hyperlink" Target="http://www.optus.com.au/content/dam/optus/appendix/Appendix%20D/AppD.doc" TargetMode="External"/><Relationship Id="rId655" Type="http://schemas.openxmlformats.org/officeDocument/2006/relationships/hyperlink" Target="http://www.optus.com.au/content/dam/optus/appendix/Appendix%20D/AppD.doc" TargetMode="External"/><Relationship Id="rId697" Type="http://schemas.openxmlformats.org/officeDocument/2006/relationships/hyperlink" Target="http://smb.optus.com.au/opfiles/Shop/All/cis/Cis%20Documents/CIS_100_My_Plan_Plus.pdf" TargetMode="External"/><Relationship Id="rId820" Type="http://schemas.openxmlformats.org/officeDocument/2006/relationships/hyperlink" Target="http://www.optus.com.au/content/dam/optus/appendix/Appendix%20D/AppD.doc" TargetMode="External"/><Relationship Id="rId862" Type="http://schemas.openxmlformats.org/officeDocument/2006/relationships/hyperlink" Target="http://www.optus.com.au/content/dam/optus/appendix/Appendix%20S/AppS.doc" TargetMode="External"/><Relationship Id="rId918" Type="http://schemas.openxmlformats.org/officeDocument/2006/relationships/hyperlink" Target="http://www.optus.com.au/content/dam/optus/appendix/Appendix%20D/AppD.doc" TargetMode="External"/><Relationship Id="rId252" Type="http://schemas.openxmlformats.org/officeDocument/2006/relationships/hyperlink" Target="http://www.optus.com.au/content/dam/optus/documents/about-us/legal/WCPricing(ConsumerSMB)S1.doc" TargetMode="External"/><Relationship Id="rId294" Type="http://schemas.openxmlformats.org/officeDocument/2006/relationships/hyperlink" Target="http://www.optus.com.au/content/dam/optus/appendix/Appendix%20S/AppS.doc" TargetMode="External"/><Relationship Id="rId308" Type="http://schemas.openxmlformats.org/officeDocument/2006/relationships/hyperlink" Target="http://www.optus.com.au/content/dam/optus/appendix/Appendix%20S/AppS.doc" TargetMode="External"/><Relationship Id="rId515" Type="http://schemas.openxmlformats.org/officeDocument/2006/relationships/hyperlink" Target="http://www.optus.com.au/content/dam/optus/appendix/Appendix%20S/AppS.doc" TargetMode="External"/><Relationship Id="rId722" Type="http://schemas.openxmlformats.org/officeDocument/2006/relationships/hyperlink" Target="http://www.optus.com.au/content/dam/optus/appendix/Appendix%20D/AppD.doc" TargetMode="External"/><Relationship Id="rId47" Type="http://schemas.openxmlformats.org/officeDocument/2006/relationships/hyperlink" Target="http://www.optus.com.au/content/dam/optus/documents/about-us/legal/SMETerms.doc" TargetMode="External"/><Relationship Id="rId89" Type="http://schemas.openxmlformats.org/officeDocument/2006/relationships/hyperlink" Target="http://www.optus.com.au/content/dam/optus/appendix/Appendix%20S/AppS.doc" TargetMode="External"/><Relationship Id="rId112" Type="http://schemas.openxmlformats.org/officeDocument/2006/relationships/footer" Target="footer12.xml"/><Relationship Id="rId154" Type="http://schemas.openxmlformats.org/officeDocument/2006/relationships/hyperlink" Target="http://www.optus.com.au/content/dam/optus/appendix/Appendix%20J/AppJ.doc" TargetMode="External"/><Relationship Id="rId361" Type="http://schemas.openxmlformats.org/officeDocument/2006/relationships/hyperlink" Target="http://www.optus.com.au/content/dam/optus/appendix/Appendix%20S/AppS.doc" TargetMode="External"/><Relationship Id="rId557" Type="http://schemas.openxmlformats.org/officeDocument/2006/relationships/hyperlink" Target="http://www.optus.com.au/content/dam/optus/appendix/Appendix%20S/AppS.doc" TargetMode="External"/><Relationship Id="rId599" Type="http://schemas.openxmlformats.org/officeDocument/2006/relationships/hyperlink" Target="http://www.optus.com.au/content/dam/optus/appendix/Appendix%20Y/AppY.doc" TargetMode="External"/><Relationship Id="rId764" Type="http://schemas.openxmlformats.org/officeDocument/2006/relationships/hyperlink" Target="http://www.optus.com.au/content/dam/optus/appendix/Appendix%20S/AppS.doc" TargetMode="External"/><Relationship Id="rId196" Type="http://schemas.openxmlformats.org/officeDocument/2006/relationships/hyperlink" Target="http://www.optus.com.au/content/dam/optus/appendix/Appendix%20Y/AppY.doc" TargetMode="External"/><Relationship Id="rId417" Type="http://schemas.openxmlformats.org/officeDocument/2006/relationships/hyperlink" Target="http://www.optus.com.au/content/dam/optus/documents/about-us/legal/SMETerms.doc" TargetMode="External"/><Relationship Id="rId459" Type="http://schemas.openxmlformats.org/officeDocument/2006/relationships/hyperlink" Target="http://www.optus.com.au/content/dam/optus/appendix/Appendix%20S/AppS.doc" TargetMode="External"/><Relationship Id="rId624" Type="http://schemas.openxmlformats.org/officeDocument/2006/relationships/hyperlink" Target="http://www.optus.com.au/content/dam/optus/appendix/Appendix%20S/AppS.doc" TargetMode="External"/><Relationship Id="rId666" Type="http://schemas.openxmlformats.org/officeDocument/2006/relationships/hyperlink" Target="http://www.optus.com.au/content/dam/optus/appendix/Appendix%20S/AppS.doc" TargetMode="External"/><Relationship Id="rId831" Type="http://schemas.openxmlformats.org/officeDocument/2006/relationships/hyperlink" Target="http://www.optus.com.au/content/dam/optus/appendix/Appendix%20S/AppS.doc" TargetMode="External"/><Relationship Id="rId873" Type="http://schemas.openxmlformats.org/officeDocument/2006/relationships/hyperlink" Target="http://www.optus.com.au/content/dam/optus/appendix/Appendix%20D/AppD.doc" TargetMode="External"/><Relationship Id="rId16" Type="http://schemas.openxmlformats.org/officeDocument/2006/relationships/hyperlink" Target="http://www.optus.com.au/content/dam/optus/documents/about-us/legal/DigPricingS1.doc" TargetMode="External"/><Relationship Id="rId221" Type="http://schemas.openxmlformats.org/officeDocument/2006/relationships/hyperlink" Target="http://www.optus.com.au/content/dam/optus/appendix/Appendix%20S/AppS.doc" TargetMode="External"/><Relationship Id="rId263" Type="http://schemas.openxmlformats.org/officeDocument/2006/relationships/hyperlink" Target="http://www.optus.com.au/content/dam/optus/appendix/Appendix%20S/AppS.doc" TargetMode="External"/><Relationship Id="rId319" Type="http://schemas.openxmlformats.org/officeDocument/2006/relationships/hyperlink" Target="http://www.optus.com.au/content/dam/optus/appendix/Appendix%20S/AppS.doc" TargetMode="External"/><Relationship Id="rId470" Type="http://schemas.openxmlformats.org/officeDocument/2006/relationships/hyperlink" Target="http://www.optus.com.au/content/dam/optus/appendix/Appendix%20S/AppS.doc" TargetMode="External"/><Relationship Id="rId526" Type="http://schemas.openxmlformats.org/officeDocument/2006/relationships/hyperlink" Target="http://www.optus.com.au/content/dam/optus/appendix/Appendix%20S/AppS.doc" TargetMode="External"/><Relationship Id="rId929" Type="http://schemas.openxmlformats.org/officeDocument/2006/relationships/hyperlink" Target="http://www.optus.com.au/content/dam/optus/appendix/Appendix%20S/AppS.doc" TargetMode="External"/><Relationship Id="rId58" Type="http://schemas.openxmlformats.org/officeDocument/2006/relationships/footer" Target="footer5.xml"/><Relationship Id="rId123" Type="http://schemas.openxmlformats.org/officeDocument/2006/relationships/hyperlink" Target="http://www.optus.com.au/content/dam/optus/documents/about-us/legal/SMETerms.doc" TargetMode="External"/><Relationship Id="rId330" Type="http://schemas.openxmlformats.org/officeDocument/2006/relationships/hyperlink" Target="http://www.optus.com.au/content/dam/optus/appendix/Appendix%20Y/AppY.doc" TargetMode="External"/><Relationship Id="rId568" Type="http://schemas.openxmlformats.org/officeDocument/2006/relationships/hyperlink" Target="http://www.optus.com.au/content/dam/optus/appendix/Appendix%20S/AppS.doc" TargetMode="External"/><Relationship Id="rId733" Type="http://schemas.openxmlformats.org/officeDocument/2006/relationships/hyperlink" Target="http://www.optus.com.au/content/dam/optus/appendix/Appendix%20Y/AppY.doc" TargetMode="External"/><Relationship Id="rId775" Type="http://schemas.openxmlformats.org/officeDocument/2006/relationships/hyperlink" Target="http://www.optus.com.au/content/dam/optus/appendix/Appendix%20S/AppS.doc" TargetMode="External"/><Relationship Id="rId940" Type="http://schemas.openxmlformats.org/officeDocument/2006/relationships/hyperlink" Target="http://www.optus.com.au/content/dam/optus/appendix/Appendix%20S/AppS.doc" TargetMode="External"/><Relationship Id="rId165" Type="http://schemas.openxmlformats.org/officeDocument/2006/relationships/hyperlink" Target="http://www.optus.com.au/content/dam/optus/appendix/Appendix%20S/AppS.doc" TargetMode="External"/><Relationship Id="rId372" Type="http://schemas.openxmlformats.org/officeDocument/2006/relationships/hyperlink" Target="http://www.optus.com.au/content/dam/optus/appendix/Appendix%20S/AppS.doc" TargetMode="External"/><Relationship Id="rId428" Type="http://schemas.openxmlformats.org/officeDocument/2006/relationships/hyperlink" Target="http://www.optus.com.au/content/dam/optus/appendix/Appendix%20S/AppS.doc" TargetMode="External"/><Relationship Id="rId635" Type="http://schemas.openxmlformats.org/officeDocument/2006/relationships/hyperlink" Target="http://www.optus.com.au/content/dam/optus/appendix/Appendix%20Y/AppY.doc" TargetMode="External"/><Relationship Id="rId677" Type="http://schemas.openxmlformats.org/officeDocument/2006/relationships/hyperlink" Target="http://www.optus.com.au/dafiles/OCA/AboutOptus/LegalAndRegulatory/SharedStaticFiles/SharedDocuments/AppD.doc" TargetMode="External"/><Relationship Id="rId800" Type="http://schemas.openxmlformats.org/officeDocument/2006/relationships/hyperlink" Target="http://www.optus.com.au/content/dam/optus/appendix/Appendix%20Y/AppY.doc" TargetMode="External"/><Relationship Id="rId842" Type="http://schemas.openxmlformats.org/officeDocument/2006/relationships/hyperlink" Target="http://www.optus.com.au/content/dam/optus/appendix/Appendix%20S/AppS.doc" TargetMode="External"/><Relationship Id="rId232" Type="http://schemas.openxmlformats.org/officeDocument/2006/relationships/hyperlink" Target="http://www.optus.com.au/content/dam/optus/appendix/Appendix%20S/AppS.doc" TargetMode="External"/><Relationship Id="rId274" Type="http://schemas.openxmlformats.org/officeDocument/2006/relationships/hyperlink" Target="http://www.optus.com.au/content/dam/optus/documents/about-us/legal/SMETerms.doc" TargetMode="External"/><Relationship Id="rId481" Type="http://schemas.openxmlformats.org/officeDocument/2006/relationships/hyperlink" Target="http://www.optus.com.au/content/dam/optus/appendix/Appendix%20S/AppS.doc" TargetMode="External"/><Relationship Id="rId702" Type="http://schemas.openxmlformats.org/officeDocument/2006/relationships/hyperlink" Target="http://smb.optus.com.au/opfiles/Shop/All/cis/Cis%20Documents/1415699_CIS_$45_My_Plan_Business_TF.pdf" TargetMode="External"/><Relationship Id="rId884" Type="http://schemas.openxmlformats.org/officeDocument/2006/relationships/hyperlink" Target="http://www.optus.com.au/content/dam/optus/appendix/Appendix%20S/AppS.doc" TargetMode="External"/><Relationship Id="rId27" Type="http://schemas.openxmlformats.org/officeDocument/2006/relationships/hyperlink" Target="http://www.optus.com.au/content/dam/optus/documents/about-us/legal/SMETerms.doc" TargetMode="External"/><Relationship Id="rId69" Type="http://schemas.openxmlformats.org/officeDocument/2006/relationships/hyperlink" Target="http://www.optus.com.au/content/dam/optus/documents/about-us/legal/DigPricingS1.doc" TargetMode="External"/><Relationship Id="rId134" Type="http://schemas.openxmlformats.org/officeDocument/2006/relationships/hyperlink" Target="http://www.optus.com.au/content/dam/optus/appendix/Appendix%20S/AppS.doc" TargetMode="External"/><Relationship Id="rId537" Type="http://schemas.openxmlformats.org/officeDocument/2006/relationships/hyperlink" Target="http://www.optus.com.au/content/dam/optus/appendix/Appendix%20S/AppS.doc" TargetMode="External"/><Relationship Id="rId579" Type="http://schemas.openxmlformats.org/officeDocument/2006/relationships/hyperlink" Target="http://www.optus.com.au/content/dam/optus/appendix/Appendix%20D/AppD.doc" TargetMode="External"/><Relationship Id="rId744" Type="http://schemas.openxmlformats.org/officeDocument/2006/relationships/hyperlink" Target="http://www.optus.com.au/content/dam/optus/appendix/Appendix%20S/AppS.doc" TargetMode="External"/><Relationship Id="rId786" Type="http://schemas.openxmlformats.org/officeDocument/2006/relationships/hyperlink" Target="http://www.optus.com.au/content/dam/optus/appendix/Appendix%20S/AppS.doc" TargetMode="External"/><Relationship Id="rId80" Type="http://schemas.openxmlformats.org/officeDocument/2006/relationships/hyperlink" Target="http://www.optus.com.au/content/dam/optus/appendix/Appendix%20Y/AppY.doc" TargetMode="External"/><Relationship Id="rId176" Type="http://schemas.openxmlformats.org/officeDocument/2006/relationships/hyperlink" Target="http://www.optus.com.au/content/dam/optus/documents/about-us/legal/WCPricing(ConsumerSMB)S1.doc" TargetMode="External"/><Relationship Id="rId341" Type="http://schemas.openxmlformats.org/officeDocument/2006/relationships/hyperlink" Target="http://www.optus.com.au/content/dam/optus/appendix/Appendix%20S/AppS.doc" TargetMode="External"/><Relationship Id="rId383" Type="http://schemas.openxmlformats.org/officeDocument/2006/relationships/hyperlink" Target="http://www.optus.com.au/content/dam/optus/appendix/Appendix%20S/AppS.doc" TargetMode="External"/><Relationship Id="rId439" Type="http://schemas.openxmlformats.org/officeDocument/2006/relationships/hyperlink" Target="http://www.optus.com.au/content/dam/optus/appendix/Appendix%20S/AppS.doc" TargetMode="External"/><Relationship Id="rId590" Type="http://schemas.openxmlformats.org/officeDocument/2006/relationships/hyperlink" Target="http://www.optus.com.au/content/dam/optus/appendix/Appendix%20S/AppS.doc" TargetMode="External"/><Relationship Id="rId604" Type="http://schemas.openxmlformats.org/officeDocument/2006/relationships/hyperlink" Target="http://www.optus.com.au/content/dam/optus/appendix/Appendix%20Y/AppY.doc" TargetMode="External"/><Relationship Id="rId646" Type="http://schemas.openxmlformats.org/officeDocument/2006/relationships/hyperlink" Target="http://www.optus.com.au/content/dam/optus/appendix/Appendix%20Y/AppY.doc" TargetMode="External"/><Relationship Id="rId811" Type="http://schemas.openxmlformats.org/officeDocument/2006/relationships/hyperlink" Target="http://www.optus.com.au/content/dam/optus/appendix/Appendix%20S/AppS.doc" TargetMode="External"/><Relationship Id="rId201" Type="http://schemas.openxmlformats.org/officeDocument/2006/relationships/hyperlink" Target="http://www.optus.com.au/content/dam/optus/appendix/Appendix%20Y/AppY.doc" TargetMode="External"/><Relationship Id="rId243" Type="http://schemas.openxmlformats.org/officeDocument/2006/relationships/hyperlink" Target="http://www.optus.com.au/content/dam/optus/appendix/Appendix%20S/AppS.doc" TargetMode="External"/><Relationship Id="rId285" Type="http://schemas.openxmlformats.org/officeDocument/2006/relationships/hyperlink" Target="http://www.optus.com.au/content/dam/optus/appendix/Appendix%20S/AppS.doc" TargetMode="External"/><Relationship Id="rId450" Type="http://schemas.openxmlformats.org/officeDocument/2006/relationships/hyperlink" Target="http://www.optus.com.au/content/dam/optus/appendix/Appendix%20S/AppS.doc" TargetMode="External"/><Relationship Id="rId506" Type="http://schemas.openxmlformats.org/officeDocument/2006/relationships/hyperlink" Target="http://www.optus.com.au/content/dam/optus/appendix/Appendix%20S/AppS.doc" TargetMode="External"/><Relationship Id="rId688" Type="http://schemas.openxmlformats.org/officeDocument/2006/relationships/hyperlink" Target="http://smb.optus.com.au/opfiles/Shop/All/cis/Cis%20Documents/1415681_CIS_$40_My_Plan_Business_12M_SIM.PDF" TargetMode="External"/><Relationship Id="rId853" Type="http://schemas.openxmlformats.org/officeDocument/2006/relationships/hyperlink" Target="http://www.optus.com.au/content/dam/optus/appendix/Appendix%20S/AppS.doc" TargetMode="External"/><Relationship Id="rId895" Type="http://schemas.openxmlformats.org/officeDocument/2006/relationships/hyperlink" Target="http://www.optus.com.au/content/dam/optus/appendix/Appendix%20S/AppS.doc" TargetMode="External"/><Relationship Id="rId909" Type="http://schemas.openxmlformats.org/officeDocument/2006/relationships/hyperlink" Target="http://www.optus.com.au/content/dam/optus/appendix/Appendix%20Y/AppY.doc" TargetMode="External"/><Relationship Id="rId38" Type="http://schemas.openxmlformats.org/officeDocument/2006/relationships/hyperlink" Target="http://www.optus.com.au/content/dam/optus/appendix/Appendix%20S/AppS.doc" TargetMode="External"/><Relationship Id="rId103" Type="http://schemas.openxmlformats.org/officeDocument/2006/relationships/hyperlink" Target="http://www.optus.com.au/content/dam/optus/documents/about-us/legal/DigPricingS1.doc" TargetMode="External"/><Relationship Id="rId310" Type="http://schemas.openxmlformats.org/officeDocument/2006/relationships/hyperlink" Target="http://www.optus.com.au/content/dam/optus/documents/about-us/legal/SMETerms.doc" TargetMode="External"/><Relationship Id="rId492" Type="http://schemas.openxmlformats.org/officeDocument/2006/relationships/hyperlink" Target="http://www.optus.com.au/content/dam/optus/appendix/Appendix%20S/AppS.doc" TargetMode="External"/><Relationship Id="rId548" Type="http://schemas.openxmlformats.org/officeDocument/2006/relationships/hyperlink" Target="http://www.optus.com.au/content/dam/optus/appendix/Appendix%20S/AppS.doc" TargetMode="External"/><Relationship Id="rId713" Type="http://schemas.openxmlformats.org/officeDocument/2006/relationships/hyperlink" Target="http://www.optus.com.au/content/dam/optus/appendix/Appendix%20S/AppS.doc" TargetMode="External"/><Relationship Id="rId755" Type="http://schemas.openxmlformats.org/officeDocument/2006/relationships/hyperlink" Target="http://www.optus.com.au/content/dam/optus/appendix/Appendix%20D/AppD.doc" TargetMode="External"/><Relationship Id="rId797" Type="http://schemas.openxmlformats.org/officeDocument/2006/relationships/hyperlink" Target="http://www.optus.com.au/dafiles/OCA/AboutOptus/LegalAndRegulatory/SharedStaticFiles/SharedDocuments/AppS.doc" TargetMode="External"/><Relationship Id="rId920" Type="http://schemas.openxmlformats.org/officeDocument/2006/relationships/hyperlink" Target="http://www.optus.com.au/content/dam/optus/appendix/Appendix%20S/AppS.doc" TargetMode="External"/><Relationship Id="rId91" Type="http://schemas.openxmlformats.org/officeDocument/2006/relationships/hyperlink" Target="http://www.optus.com.au/content/dam/optus/appendix/Appendix%20J/AppJ.doc" TargetMode="External"/><Relationship Id="rId145" Type="http://schemas.openxmlformats.org/officeDocument/2006/relationships/hyperlink" Target="http://www.optus.com.au/content/dam/optus/appendix/Appendix%20S/AppS.doc" TargetMode="External"/><Relationship Id="rId187" Type="http://schemas.openxmlformats.org/officeDocument/2006/relationships/hyperlink" Target="http://www.optus.com.au/content/dam/optus/appendix/Appendix%20Y/AppY.doc" TargetMode="External"/><Relationship Id="rId352" Type="http://schemas.openxmlformats.org/officeDocument/2006/relationships/hyperlink" Target="http://www.optus.com.au/content/dam/optus/appendix/Appendix%20S/AppS.doc" TargetMode="External"/><Relationship Id="rId394" Type="http://schemas.openxmlformats.org/officeDocument/2006/relationships/hyperlink" Target="http://www.optus.com.au/content/dam/optus/appendix/Appendix%20S/AppS.doc" TargetMode="External"/><Relationship Id="rId408" Type="http://schemas.openxmlformats.org/officeDocument/2006/relationships/hyperlink" Target="http://www.optus.com.au/content/dam/optus/appendix/Appendix%20S/AppS.doc" TargetMode="External"/><Relationship Id="rId615" Type="http://schemas.openxmlformats.org/officeDocument/2006/relationships/hyperlink" Target="http://www.optus.com.au/content/dam/optus/appendix/Appendix%20D/AppD.doc" TargetMode="External"/><Relationship Id="rId822" Type="http://schemas.openxmlformats.org/officeDocument/2006/relationships/hyperlink" Target="http://www.optus.com.au/content/dam/optus/appendix/Appendix%20S/AppS.doc" TargetMode="External"/><Relationship Id="rId212" Type="http://schemas.openxmlformats.org/officeDocument/2006/relationships/hyperlink" Target="http://www.optus.com.au/content/dam/optus/appendix/Appendix%20Y/AppY.doc" TargetMode="External"/><Relationship Id="rId254" Type="http://schemas.openxmlformats.org/officeDocument/2006/relationships/hyperlink" Target="http://www.optus.com.au/content/dam/optus/appendix/Appendix%20Y/AppY.doc" TargetMode="External"/><Relationship Id="rId657" Type="http://schemas.openxmlformats.org/officeDocument/2006/relationships/hyperlink" Target="http://www.optus.com.au/content/dam/optus/appendix/Appendix%20D/AppD.doc" TargetMode="External"/><Relationship Id="rId699" Type="http://schemas.openxmlformats.org/officeDocument/2006/relationships/hyperlink" Target="http://smb.optus.com.au/opfiles/Shop/All/cis/Cis%20Documents/1415719_CIS_$85%20My_Plan_Plus.pdf" TargetMode="External"/><Relationship Id="rId864" Type="http://schemas.openxmlformats.org/officeDocument/2006/relationships/hyperlink" Target="http://www.optus.com.au/content/dam/optus/appendix/Appendix%20S/AppS.doc" TargetMode="External"/><Relationship Id="rId49" Type="http://schemas.openxmlformats.org/officeDocument/2006/relationships/hyperlink" Target="http://www.optus.com.au/content/dam/optus/appendix/Appendix%20IB/AppIB.doc" TargetMode="External"/><Relationship Id="rId114" Type="http://schemas.openxmlformats.org/officeDocument/2006/relationships/hyperlink" Target="http://www.optus.com.au/content/dam/optus/appendix/Appendix%20IB/AppIB.doc" TargetMode="External"/><Relationship Id="rId296" Type="http://schemas.openxmlformats.org/officeDocument/2006/relationships/hyperlink" Target="http://www.optus.com.au/content/dam/optus/appendix/Appendix%20S/AppS.doc" TargetMode="External"/><Relationship Id="rId461" Type="http://schemas.openxmlformats.org/officeDocument/2006/relationships/hyperlink" Target="http://www.optus.com.au/content/dam/optus/appendix/Appendix%20S/AppS.doc" TargetMode="External"/><Relationship Id="rId517" Type="http://schemas.openxmlformats.org/officeDocument/2006/relationships/hyperlink" Target="http://www.optus.com.au/content/dam/optus/appendix/Appendix%20S/AppS.doc" TargetMode="External"/><Relationship Id="rId559" Type="http://schemas.openxmlformats.org/officeDocument/2006/relationships/hyperlink" Target="http://www.optus.com.au/content/dam/optus/appendix/Appendix%20S/AppS.doc" TargetMode="External"/><Relationship Id="rId724" Type="http://schemas.openxmlformats.org/officeDocument/2006/relationships/hyperlink" Target="http://www.optus.com.au/content/dam/optus/appendix/Appendix%20S/AppS.doc" TargetMode="External"/><Relationship Id="rId766" Type="http://schemas.openxmlformats.org/officeDocument/2006/relationships/hyperlink" Target="http://www.optus.com.au/content/dam/optus/appendix/Appendix%20S/AppS.doc" TargetMode="External"/><Relationship Id="rId931" Type="http://schemas.openxmlformats.org/officeDocument/2006/relationships/hyperlink" Target="http://www.optus.com.au/content/dam/optus/appendix/Appendix%20S/AppS.doc" TargetMode="External"/><Relationship Id="rId60" Type="http://schemas.openxmlformats.org/officeDocument/2006/relationships/footer" Target="footer6.xml"/><Relationship Id="rId156" Type="http://schemas.openxmlformats.org/officeDocument/2006/relationships/hyperlink" Target="http://www.optus.com.au/content/dam/optus/documents/about-us/legal/WCPricing(ConsumerSMB)S1.doc" TargetMode="External"/><Relationship Id="rId198" Type="http://schemas.openxmlformats.org/officeDocument/2006/relationships/hyperlink" Target="http://www.optus.com.au/content/dam/optus/documents/about-us/legal/SMETerms.doc" TargetMode="External"/><Relationship Id="rId321" Type="http://schemas.openxmlformats.org/officeDocument/2006/relationships/hyperlink" Target="http://www.optus.com.au/content/dam/optus/appendix/Appendix%20S/AppS.doc" TargetMode="External"/><Relationship Id="rId363" Type="http://schemas.openxmlformats.org/officeDocument/2006/relationships/hyperlink" Target="http://www.optus.com.au/content/dam/optus/appendix/Appendix%20S/AppS.doc" TargetMode="External"/><Relationship Id="rId419" Type="http://schemas.openxmlformats.org/officeDocument/2006/relationships/hyperlink" Target="http://www.optus.com.au/content/dam/optus/documents/about-us/legal/DigPricingS1.doc" TargetMode="External"/><Relationship Id="rId570" Type="http://schemas.openxmlformats.org/officeDocument/2006/relationships/hyperlink" Target="http://www.optus.com.au/content/dam/optus/appendix/Appendix%20S/AppS.doc" TargetMode="External"/><Relationship Id="rId626" Type="http://schemas.openxmlformats.org/officeDocument/2006/relationships/hyperlink" Target="http://www.optus.com.au/content/dam/optus/appendix/Appendix%20S/AppS.doc" TargetMode="External"/><Relationship Id="rId223" Type="http://schemas.openxmlformats.org/officeDocument/2006/relationships/hyperlink" Target="http://www.optus.com.au/content/dam/optus/appendix/Appendix%20S/AppS.doc" TargetMode="External"/><Relationship Id="rId430" Type="http://schemas.openxmlformats.org/officeDocument/2006/relationships/hyperlink" Target="http://www.optus.com.au/content/dam/optus/appendix/Appendix%20J/AppJ.doc" TargetMode="External"/><Relationship Id="rId668" Type="http://schemas.openxmlformats.org/officeDocument/2006/relationships/hyperlink" Target="http://www.optus.com.au/content/dam/optus/appendix/Appendix%20S/AppS.doc" TargetMode="External"/><Relationship Id="rId833" Type="http://schemas.openxmlformats.org/officeDocument/2006/relationships/hyperlink" Target="http://www.optus.com.au/content/dam/optus/appendix/Appendix%20S/AppS.doc" TargetMode="External"/><Relationship Id="rId875" Type="http://schemas.openxmlformats.org/officeDocument/2006/relationships/hyperlink" Target="http://www.optus.com.au/content/dam/optus/appendix/Appendix%20S/AppS.doc" TargetMode="External"/><Relationship Id="rId18" Type="http://schemas.openxmlformats.org/officeDocument/2006/relationships/hyperlink" Target="http://www.optus.com.au/content/dam/optus/documents/about-us/legal/DigServDescConsSME.doc" TargetMode="External"/><Relationship Id="rId265" Type="http://schemas.openxmlformats.org/officeDocument/2006/relationships/hyperlink" Target="http://www.optus.com.au/content/dam/optus/appendix/Appendix%20S/AppS.doc" TargetMode="External"/><Relationship Id="rId472" Type="http://schemas.openxmlformats.org/officeDocument/2006/relationships/hyperlink" Target="http://www.optus.com.au/content/dam/optus/appendix/Appendix%20S/AppS.doc" TargetMode="External"/><Relationship Id="rId528" Type="http://schemas.openxmlformats.org/officeDocument/2006/relationships/hyperlink" Target="http://www.optus.com.au/content/dam/optus/appendix/Appendix%20S/AppS.doc" TargetMode="External"/><Relationship Id="rId735" Type="http://schemas.openxmlformats.org/officeDocument/2006/relationships/hyperlink" Target="http://www.optus.com.au/shop/mobile/phones/new-phone-trade-up" TargetMode="External"/><Relationship Id="rId900" Type="http://schemas.openxmlformats.org/officeDocument/2006/relationships/hyperlink" Target="http://www.optus.com.au/content/dam/optus/appendix/Appendix%20J/AppJ.doc" TargetMode="External"/><Relationship Id="rId942" Type="http://schemas.openxmlformats.org/officeDocument/2006/relationships/hyperlink" Target="http://www.optus.com.au/content/dam/optus/appendix/Appendix%20S/AppS.doc" TargetMode="External"/><Relationship Id="rId125" Type="http://schemas.openxmlformats.org/officeDocument/2006/relationships/hyperlink" Target="http://www.optus.com.au/content/dam/optus/appendix/Appendix%20S/AppS.doc" TargetMode="External"/><Relationship Id="rId167" Type="http://schemas.openxmlformats.org/officeDocument/2006/relationships/hyperlink" Target="http://www.optus.com.au/content/dam/optus/appendix/Appendix%20S/AppS.doc" TargetMode="External"/><Relationship Id="rId332" Type="http://schemas.openxmlformats.org/officeDocument/2006/relationships/hyperlink" Target="http://www.optus.com.au/content/dam/optus/appendix/Appendix%20S/AppS.doc" TargetMode="External"/><Relationship Id="rId374" Type="http://schemas.openxmlformats.org/officeDocument/2006/relationships/hyperlink" Target="http://www.optus.com.au/content/dam/optus/appendix/Appendix%20S/AppS.doc" TargetMode="External"/><Relationship Id="rId581" Type="http://schemas.openxmlformats.org/officeDocument/2006/relationships/hyperlink" Target="http://www.optus.com.au/content/dam/optus/appendix/Appendix%20S/AppS.doc" TargetMode="External"/><Relationship Id="rId777" Type="http://schemas.openxmlformats.org/officeDocument/2006/relationships/hyperlink" Target="http://www.optus.com.au/content/dam/optus/appendix/Appendix%20Y/AppY.doc" TargetMode="External"/><Relationship Id="rId71" Type="http://schemas.openxmlformats.org/officeDocument/2006/relationships/hyperlink" Target="http://www.optus.com.au/content/dam/optus/documents/about-us/legal/SMETerms.doc" TargetMode="External"/><Relationship Id="rId234" Type="http://schemas.openxmlformats.org/officeDocument/2006/relationships/hyperlink" Target="http://www.optus.com.au/content/dam/optus/appendix/Appendix%20J/AppJ.doc" TargetMode="External"/><Relationship Id="rId637" Type="http://schemas.openxmlformats.org/officeDocument/2006/relationships/hyperlink" Target="http://www.optus.com.au/content/dam/optus/appendix/Appendix%20S/AppS.doc" TargetMode="External"/><Relationship Id="rId679" Type="http://schemas.openxmlformats.org/officeDocument/2006/relationships/hyperlink" Target="http://smb.optus.com.au/opfiles/Shop/All/cis/Cis%20Documents/1415695_CIS_$70_My_Plan_Business.pdf" TargetMode="External"/><Relationship Id="rId802" Type="http://schemas.openxmlformats.org/officeDocument/2006/relationships/hyperlink" Target="http://www.optus.com.au/content/dam/optus/appendix/Appendix%20S/AppS.doc" TargetMode="External"/><Relationship Id="rId844" Type="http://schemas.openxmlformats.org/officeDocument/2006/relationships/hyperlink" Target="http://www.optus.com.au/content/dam/optus/appendix/Appendix%20S/AppS.doc" TargetMode="External"/><Relationship Id="rId886" Type="http://schemas.openxmlformats.org/officeDocument/2006/relationships/hyperlink" Target="http://www.optus.com.au/content/dam/optus/appendix/Appendix%20S/AppS.doc" TargetMode="External"/><Relationship Id="rId2" Type="http://schemas.openxmlformats.org/officeDocument/2006/relationships/customXml" Target="../customXml/item2.xml"/><Relationship Id="rId29" Type="http://schemas.openxmlformats.org/officeDocument/2006/relationships/hyperlink" Target="http://www.optus.com.au/content/dam/optus/documents/about-us/legal/SMETerms.doc" TargetMode="External"/><Relationship Id="rId276" Type="http://schemas.openxmlformats.org/officeDocument/2006/relationships/hyperlink" Target="http://www.optus.com.au/content/dam/optus/appendix/Appendix%20Y/AppY.doc" TargetMode="External"/><Relationship Id="rId441" Type="http://schemas.openxmlformats.org/officeDocument/2006/relationships/hyperlink" Target="http://www.optus.com.au/content/dam/optus/appendix/Appendix%20S/AppS.doc" TargetMode="External"/><Relationship Id="rId483" Type="http://schemas.openxmlformats.org/officeDocument/2006/relationships/hyperlink" Target="http://www.optus.com.au/content/dam/optus/documents/about-us/legal/DigPricingS1.doc" TargetMode="External"/><Relationship Id="rId539" Type="http://schemas.openxmlformats.org/officeDocument/2006/relationships/hyperlink" Target="http://www.optus.com.au/content/dam/optus/appendix/Appendix%20S/AppS.doc" TargetMode="External"/><Relationship Id="rId690" Type="http://schemas.openxmlformats.org/officeDocument/2006/relationships/hyperlink" Target="http://smb.optus.com.au/opfiles/Shop/All/cis/Cis%20Documents/1415677_CIS_$50_My_Plan_Business_12M_SIM.PDF" TargetMode="External"/><Relationship Id="rId704" Type="http://schemas.openxmlformats.org/officeDocument/2006/relationships/hyperlink" Target="http://smb.optus.com.au/opfiles/Shop/All/cis/Cis%20Documents/1415715_CIS_$30_My_Plan_Business_TF.pdf" TargetMode="External"/><Relationship Id="rId746" Type="http://schemas.openxmlformats.org/officeDocument/2006/relationships/hyperlink" Target="http://www.optus.com.au/content/dam/optus/appendix/Appendix%20D/AppD.doc" TargetMode="External"/><Relationship Id="rId911" Type="http://schemas.openxmlformats.org/officeDocument/2006/relationships/hyperlink" Target="http://www.optus.com.au/content/dam/optus/appendix/Appendix%20S/AppS.doc" TargetMode="External"/><Relationship Id="rId40" Type="http://schemas.openxmlformats.org/officeDocument/2006/relationships/hyperlink" Target="http://www.optus.com.au/content/dam/optus/appendix/Appendix%20J/AppJ.doc" TargetMode="External"/><Relationship Id="rId136" Type="http://schemas.openxmlformats.org/officeDocument/2006/relationships/hyperlink" Target="http://www.optus.com.au/content/dam/optus/appendix/Appendix%20J/AppJ.doc" TargetMode="External"/><Relationship Id="rId178" Type="http://schemas.openxmlformats.org/officeDocument/2006/relationships/hyperlink" Target="http://www.optus.com.au/content/dam/optus/appendix/Appendix%20Y/AppY.doc" TargetMode="External"/><Relationship Id="rId301" Type="http://schemas.openxmlformats.org/officeDocument/2006/relationships/hyperlink" Target="http://www.optus.com.au/content/dam/optus/appendix/Appendix%20S/AppS.doc" TargetMode="External"/><Relationship Id="rId343" Type="http://schemas.openxmlformats.org/officeDocument/2006/relationships/hyperlink" Target="http://www.optus.com.au/content/dam/optus/documents/about-us/legal/SMETerms.doc" TargetMode="External"/><Relationship Id="rId550" Type="http://schemas.openxmlformats.org/officeDocument/2006/relationships/hyperlink" Target="http://www.optus.com.au/content/dam/optus/appendix/Appendix%20S/AppS.doc" TargetMode="External"/><Relationship Id="rId788" Type="http://schemas.openxmlformats.org/officeDocument/2006/relationships/hyperlink" Target="http://www.optus.com.au/content/dam/optus/appendix/Appendix%20D/AppD.doc" TargetMode="External"/><Relationship Id="rId82" Type="http://schemas.openxmlformats.org/officeDocument/2006/relationships/footer" Target="footer7.xml"/><Relationship Id="rId203" Type="http://schemas.openxmlformats.org/officeDocument/2006/relationships/hyperlink" Target="http://www.optus.com.au/content/dam/optus/appendix/Appendix%20S/AppS.doc" TargetMode="External"/><Relationship Id="rId385" Type="http://schemas.openxmlformats.org/officeDocument/2006/relationships/hyperlink" Target="http://www.optus.com.au/content/dam/optus/documents/about-us/legal/SMETerms.doc" TargetMode="External"/><Relationship Id="rId592" Type="http://schemas.openxmlformats.org/officeDocument/2006/relationships/hyperlink" Target="http://www.optus.com.au/content/dam/optus/appendix/Appendix%20Y/AppY.doc" TargetMode="External"/><Relationship Id="rId606" Type="http://schemas.openxmlformats.org/officeDocument/2006/relationships/hyperlink" Target="http://www.optus.com.au/content/dam/optus/appendix/Appendix%20S/AppS.doc" TargetMode="External"/><Relationship Id="rId648" Type="http://schemas.openxmlformats.org/officeDocument/2006/relationships/hyperlink" Target="http://www.optus.com.au/content/dam/optus/appendix/Appendix%20S/AppS.doc" TargetMode="External"/><Relationship Id="rId813" Type="http://schemas.openxmlformats.org/officeDocument/2006/relationships/hyperlink" Target="http://www.optus.com.au/content/dam/optus/appendix/Appendix%20D/AppD.doc" TargetMode="External"/><Relationship Id="rId855" Type="http://schemas.openxmlformats.org/officeDocument/2006/relationships/hyperlink" Target="http://www.optus.com.au/content/dam/optus/appendix/Appendix%20S/AppS.doc" TargetMode="External"/><Relationship Id="rId245" Type="http://schemas.openxmlformats.org/officeDocument/2006/relationships/hyperlink" Target="http://www.optus.com.au/content/dam/optus/appendix/Appendix%20S/AppS.doc" TargetMode="External"/><Relationship Id="rId287" Type="http://schemas.openxmlformats.org/officeDocument/2006/relationships/hyperlink" Target="http://www.optus.com.au/content/dam/optus/documents/about-us/legal/SMETerms.doc" TargetMode="External"/><Relationship Id="rId410" Type="http://schemas.openxmlformats.org/officeDocument/2006/relationships/hyperlink" Target="http://www.optus.com.au/content/dam/optus/appendix/Appendix%20S/AppS.doc" TargetMode="External"/><Relationship Id="rId452" Type="http://schemas.openxmlformats.org/officeDocument/2006/relationships/hyperlink" Target="http://www.optus.com.au/content/dam/optus/documents/about-us/legal/DigPricingS1.doc" TargetMode="External"/><Relationship Id="rId494" Type="http://schemas.openxmlformats.org/officeDocument/2006/relationships/hyperlink" Target="http://www.optus.com.au/content/dam/optus/appendix/Appendix%20Y/AppY.doc" TargetMode="External"/><Relationship Id="rId508" Type="http://schemas.openxmlformats.org/officeDocument/2006/relationships/hyperlink" Target="http://www.optus.com.au/content/dam/optus/documents/about-us/legal/DigPricingS1.doc" TargetMode="External"/><Relationship Id="rId715" Type="http://schemas.openxmlformats.org/officeDocument/2006/relationships/hyperlink" Target="http://www.optus.com.au/content/dam/optus/appendix/Appendix%20S/AppS.doc" TargetMode="External"/><Relationship Id="rId897" Type="http://schemas.openxmlformats.org/officeDocument/2006/relationships/hyperlink" Target="http://www.optus.com.au/content/dam/optus/appendix/Appendix%20S/AppS.doc" TargetMode="External"/><Relationship Id="rId922" Type="http://schemas.openxmlformats.org/officeDocument/2006/relationships/hyperlink" Target="http://www.optus.com.au/content/dam/optus/appendix/Appendix%20S/AppS.doc" TargetMode="External"/><Relationship Id="rId105" Type="http://schemas.openxmlformats.org/officeDocument/2006/relationships/hyperlink" Target="http://www.optus.com.au/content/dam/optus/appendix/Appendix%20S/AppS.doc" TargetMode="External"/><Relationship Id="rId147" Type="http://schemas.openxmlformats.org/officeDocument/2006/relationships/hyperlink" Target="http://www.optus.com.au/content/dam/optus/appendix/Appendix%20S/AppS.doc" TargetMode="External"/><Relationship Id="rId312" Type="http://schemas.openxmlformats.org/officeDocument/2006/relationships/hyperlink" Target="http://www.optus.com.au/content/dam/optus/appendix/Appendix%20Y/AppY.doc" TargetMode="External"/><Relationship Id="rId354" Type="http://schemas.openxmlformats.org/officeDocument/2006/relationships/hyperlink" Target="http://www.optus.com.au/content/dam/optus/appendix/Appendix%20Y/AppY.doc" TargetMode="External"/><Relationship Id="rId757" Type="http://schemas.openxmlformats.org/officeDocument/2006/relationships/hyperlink" Target="http://www.optus.com.au/content/dam/optus/appendix/Appendix%20D/AppD.doc" TargetMode="External"/><Relationship Id="rId799" Type="http://schemas.openxmlformats.org/officeDocument/2006/relationships/hyperlink" Target="http://www.optus.com.au/content/dam/optus/appendix/Appendix%20S/AppS.doc" TargetMode="External"/><Relationship Id="rId51" Type="http://schemas.openxmlformats.org/officeDocument/2006/relationships/hyperlink" Target="http://www.optus.com.au/content/dam/optus/appendix/Appendix%20J/AppJ.doc" TargetMode="External"/><Relationship Id="rId93" Type="http://schemas.openxmlformats.org/officeDocument/2006/relationships/footer" Target="footer9.xml"/><Relationship Id="rId189" Type="http://schemas.openxmlformats.org/officeDocument/2006/relationships/hyperlink" Target="http://www.optus.com.au/content/dam/optus/appendix/Appendix%20J/AppJ.doc" TargetMode="External"/><Relationship Id="rId396" Type="http://schemas.openxmlformats.org/officeDocument/2006/relationships/hyperlink" Target="http://www.optus.com.au/content/dam/optus/appendix/Appendix%20S/AppS.doc" TargetMode="External"/><Relationship Id="rId561" Type="http://schemas.openxmlformats.org/officeDocument/2006/relationships/hyperlink" Target="http://www.optus.com.au/content/dam/optus/appendix/Appendix%20Y/AppY.doc" TargetMode="External"/><Relationship Id="rId617" Type="http://schemas.openxmlformats.org/officeDocument/2006/relationships/hyperlink" Target="http://www.optus.com.au/content/dam/optus/appendix/Appendix%20S/AppS.doc" TargetMode="External"/><Relationship Id="rId659" Type="http://schemas.openxmlformats.org/officeDocument/2006/relationships/hyperlink" Target="http://www.optus.com.au/content/dam/optus/appendix/Appendix%20D/AppD.doc" TargetMode="External"/><Relationship Id="rId824" Type="http://schemas.openxmlformats.org/officeDocument/2006/relationships/hyperlink" Target="http://www.optus.com.au/content/dam/optus/appendix/Appendix%20Y/AppY.doc" TargetMode="External"/><Relationship Id="rId866" Type="http://schemas.openxmlformats.org/officeDocument/2006/relationships/hyperlink" Target="http://www.optus.com.au/content/dam/optus/appendix/Appendix%20S/AppS.doc" TargetMode="External"/><Relationship Id="rId214" Type="http://schemas.openxmlformats.org/officeDocument/2006/relationships/hyperlink" Target="http://www.optus.com.au/content/dam/optus/appendix/Appendix%20IB/AppIB.doc" TargetMode="External"/><Relationship Id="rId256" Type="http://schemas.openxmlformats.org/officeDocument/2006/relationships/hyperlink" Target="http://www.optus.com.au/content/dam/optus/documents/about-us/legal/SMETerms.doc" TargetMode="External"/><Relationship Id="rId298" Type="http://schemas.openxmlformats.org/officeDocument/2006/relationships/hyperlink" Target="http://www.optus.com.au/content/dam/optus/appendix/Appendix%20S/AppS.doc" TargetMode="External"/><Relationship Id="rId421" Type="http://schemas.openxmlformats.org/officeDocument/2006/relationships/hyperlink" Target="http://www.optus.com.au/content/dam/optus/appendix/Appendix%20S/AppS.doc" TargetMode="External"/><Relationship Id="rId463" Type="http://schemas.openxmlformats.org/officeDocument/2006/relationships/hyperlink" Target="http://www.optus.com.au/content/dam/optus/appendix/Appendix%20S/AppS.doc" TargetMode="External"/><Relationship Id="rId519" Type="http://schemas.openxmlformats.org/officeDocument/2006/relationships/hyperlink" Target="http://www.optus.com.au/content/dam/optus/appendix/Appendix%20S/AppS.doc" TargetMode="External"/><Relationship Id="rId670" Type="http://schemas.openxmlformats.org/officeDocument/2006/relationships/hyperlink" Target="http://www.optus.com.au/dafiles/OCA/AboutOptus/LegalAndRegulatory/SharedStaticFiles/SharedDocuments/AppD.dochttp:/www.optus.com.au/dafiles/OCA/AboutOptus/LegalAndRegulatory/SharedStaticFiles/SharedDocuments/AppW.doc" TargetMode="External"/><Relationship Id="rId116" Type="http://schemas.openxmlformats.org/officeDocument/2006/relationships/hyperlink" Target="http://www.optus.com.au/content/dam/optus/appendix/Appendix%20S/AppS.doc" TargetMode="External"/><Relationship Id="rId158" Type="http://schemas.openxmlformats.org/officeDocument/2006/relationships/hyperlink" Target="http://www.optus.com.au/content/dam/optus/appendix/Appendix%20Y/AppY.doc" TargetMode="External"/><Relationship Id="rId323" Type="http://schemas.openxmlformats.org/officeDocument/2006/relationships/hyperlink" Target="http://www.optus.com.au/content/dam/optus/appendix/Appendix%20Y/AppY.doc" TargetMode="External"/><Relationship Id="rId530" Type="http://schemas.openxmlformats.org/officeDocument/2006/relationships/hyperlink" Target="http://www.optus.com.au/content/dam/optus/appendix/Appendix%20S/AppS.doc" TargetMode="External"/><Relationship Id="rId726" Type="http://schemas.openxmlformats.org/officeDocument/2006/relationships/hyperlink" Target="http://www.optus.com.au/content/dam/optus/appendix/Appendix%20Y/AppY.doc" TargetMode="External"/><Relationship Id="rId768" Type="http://schemas.openxmlformats.org/officeDocument/2006/relationships/hyperlink" Target="http://www.optus.com.au/content/dam/optus/appendix/Appendix%20S/AppS.doc" TargetMode="External"/><Relationship Id="rId933" Type="http://schemas.openxmlformats.org/officeDocument/2006/relationships/hyperlink" Target="http://www.optus.com.au/content/dam/optus/appendix/Appendix%20S/AppS.doc" TargetMode="External"/><Relationship Id="rId20" Type="http://schemas.openxmlformats.org/officeDocument/2006/relationships/hyperlink" Target="http://www.optus.com.au/content/dam/optus/documents/about-us/legal/SMETerms.doc" TargetMode="External"/><Relationship Id="rId62" Type="http://schemas.openxmlformats.org/officeDocument/2006/relationships/hyperlink" Target="http://www.optus.com.au/content/dam/optus/appendix/Appendix%20IB/AppIB.doc" TargetMode="External"/><Relationship Id="rId365" Type="http://schemas.openxmlformats.org/officeDocument/2006/relationships/hyperlink" Target="http://www.optus.com.au/content/dam/optus/appendix/Appendix%20J/AppJ.doc" TargetMode="External"/><Relationship Id="rId572" Type="http://schemas.openxmlformats.org/officeDocument/2006/relationships/hyperlink" Target="http://www.optus.com.au/content/dam/optus/appendix/Appendix%20S/AppS.doc" TargetMode="External"/><Relationship Id="rId628" Type="http://schemas.openxmlformats.org/officeDocument/2006/relationships/hyperlink" Target="http://www.optus.com.au/content/dam/optus/appendix/Appendix%20D/AppD.doc" TargetMode="External"/><Relationship Id="rId835" Type="http://schemas.openxmlformats.org/officeDocument/2006/relationships/hyperlink" Target="http://www.optus.com.au/content/dam/optus/appendix/Appendix%20Y/AppY.doc" TargetMode="External"/><Relationship Id="rId225" Type="http://schemas.openxmlformats.org/officeDocument/2006/relationships/hyperlink" Target="http://www.optus.com.au/content/dam/optus/appendix/Appendix%20IB/AppIB.doc" TargetMode="External"/><Relationship Id="rId267" Type="http://schemas.openxmlformats.org/officeDocument/2006/relationships/hyperlink" Target="http://www.optus.com.au/content/dam/optus/appendix/Appendix%20S/AppS.doc" TargetMode="External"/><Relationship Id="rId432" Type="http://schemas.openxmlformats.org/officeDocument/2006/relationships/hyperlink" Target="http://www.optus.com.au/content/dam/optus/appendix/Appendix%20S/AppS.doc" TargetMode="External"/><Relationship Id="rId474" Type="http://schemas.openxmlformats.org/officeDocument/2006/relationships/hyperlink" Target="http://www.optus.com.au/content/dam/optus/appendix/Appendix%20S/AppS.doc" TargetMode="External"/><Relationship Id="rId877" Type="http://schemas.openxmlformats.org/officeDocument/2006/relationships/hyperlink" Target="http://www.optus.com.au/content/dam/optus/appendix/Appendix%20S/AppS.doc" TargetMode="External"/><Relationship Id="rId127" Type="http://schemas.openxmlformats.org/officeDocument/2006/relationships/hyperlink" Target="http://www.optus.com.au/content/dam/optus/appendix/Appendix%20J/AppJ.doc" TargetMode="External"/><Relationship Id="rId681" Type="http://schemas.openxmlformats.org/officeDocument/2006/relationships/hyperlink" Target="http://smb.optus.com.au/opfiles/Shop/All/cis/Cis%20Documents/1415700_CIS_$70_My_Plan_Business_TF.pdf" TargetMode="External"/><Relationship Id="rId737" Type="http://schemas.openxmlformats.org/officeDocument/2006/relationships/hyperlink" Target="http://www.optus.com.au/content/dam/optus/appendix/Appendix%20S/AppS.doc" TargetMode="External"/><Relationship Id="rId779" Type="http://schemas.openxmlformats.org/officeDocument/2006/relationships/hyperlink" Target="http://www.optus.com.au/content/dam/optus/appendix/Appendix%20D/AppD.doc" TargetMode="External"/><Relationship Id="rId902" Type="http://schemas.openxmlformats.org/officeDocument/2006/relationships/hyperlink" Target="http://www.optus.com.au/content/dam/optus/appendix/Appendix%20J/AppJ.doc" TargetMode="External"/><Relationship Id="rId944" Type="http://schemas.openxmlformats.org/officeDocument/2006/relationships/header" Target="header15.xml"/><Relationship Id="rId31" Type="http://schemas.openxmlformats.org/officeDocument/2006/relationships/hyperlink" Target="http://www.optus.com.au/content/dam/optus/appendix/Appendix%20Y/AppY.doc" TargetMode="External"/><Relationship Id="rId73" Type="http://schemas.openxmlformats.org/officeDocument/2006/relationships/hyperlink" Target="http://www.optus.com.au/content/dam/optus/appendix/Appendix%20IB/AppIB.doc" TargetMode="External"/><Relationship Id="rId169" Type="http://schemas.openxmlformats.org/officeDocument/2006/relationships/hyperlink" Target="http://www.optus.com.au/content/dam/optus/appendix/Appendix%20S/AppS.doc" TargetMode="External"/><Relationship Id="rId334" Type="http://schemas.openxmlformats.org/officeDocument/2006/relationships/hyperlink" Target="http://www.optus.com.au/content/dam/optus/appendix/Appendix%20S/AppS.doc" TargetMode="External"/><Relationship Id="rId376" Type="http://schemas.openxmlformats.org/officeDocument/2006/relationships/hyperlink" Target="http://www.optus.com.au/dafiles/OCA/AboutOptus/LegalAndRegulatory/SharedStaticFiles/SharedDocuments/AppW.doc" TargetMode="External"/><Relationship Id="rId541" Type="http://schemas.openxmlformats.org/officeDocument/2006/relationships/hyperlink" Target="http://www.optus.com.au/content/dam/optus/appendix/Appendix%20J/AppJ.doc" TargetMode="External"/><Relationship Id="rId583" Type="http://schemas.openxmlformats.org/officeDocument/2006/relationships/hyperlink" Target="http://www.optus.com.au/content/dam/optus/appendix/Appendix%20D/AppD.doc" TargetMode="External"/><Relationship Id="rId639" Type="http://schemas.openxmlformats.org/officeDocument/2006/relationships/hyperlink" Target="http://www.optus.com.au/content/dam/optus/appendix/Appendix%20D/AppD.doc" TargetMode="External"/><Relationship Id="rId790" Type="http://schemas.openxmlformats.org/officeDocument/2006/relationships/hyperlink" Target="http://www.optus.com.au/content/dam/optus/appendix/Appendix%20D/AppD.doc" TargetMode="External"/><Relationship Id="rId804" Type="http://schemas.openxmlformats.org/officeDocument/2006/relationships/hyperlink" Target="http://www.optus.com.au/content/dam/optus/appendix/Appendix%20S/AppS.doc" TargetMode="External"/><Relationship Id="rId4" Type="http://schemas.openxmlformats.org/officeDocument/2006/relationships/styles" Target="styles.xml"/><Relationship Id="rId180" Type="http://schemas.openxmlformats.org/officeDocument/2006/relationships/hyperlink" Target="http://www.optus.com.au/content/dam/optus/appendix/Appendix%20S/AppS.doc" TargetMode="External"/><Relationship Id="rId236" Type="http://schemas.openxmlformats.org/officeDocument/2006/relationships/hyperlink" Target="http://www.optus.com.au/content/dam/optus/documents/about-us/legal/DigPricingS1.doc" TargetMode="External"/><Relationship Id="rId278" Type="http://schemas.openxmlformats.org/officeDocument/2006/relationships/hyperlink" Target="http://www.optus.com.au/content/dam/optus/appendix/Appendix%20S/AppS.doc" TargetMode="External"/><Relationship Id="rId401" Type="http://schemas.openxmlformats.org/officeDocument/2006/relationships/hyperlink" Target="http://www.optus.com.au/content/dam/optus/appendix/Appendix%20Y/AppY.doc" TargetMode="External"/><Relationship Id="rId443" Type="http://schemas.openxmlformats.org/officeDocument/2006/relationships/hyperlink" Target="http://www.optus.com.au/content/dam/optus/appendix/Appendix%20S/AppS.doc" TargetMode="External"/><Relationship Id="rId650" Type="http://schemas.openxmlformats.org/officeDocument/2006/relationships/hyperlink" Target="http://www.optus.com.au/content/dam/optus/appendix/Appendix%20S/AppS.doc" TargetMode="External"/><Relationship Id="rId846" Type="http://schemas.openxmlformats.org/officeDocument/2006/relationships/hyperlink" Target="http://www.optus.com.au/content/dam/optus/appendix/Appendix%20S/AppS.doc" TargetMode="External"/><Relationship Id="rId888" Type="http://schemas.openxmlformats.org/officeDocument/2006/relationships/hyperlink" Target="http://www.optus.com.au/content/dam/optus/appendix/Appendix%20S/AppS.doc" TargetMode="External"/><Relationship Id="rId303" Type="http://schemas.openxmlformats.org/officeDocument/2006/relationships/hyperlink" Target="http://www.optus.com.au/content/dam/optus/appendix/Appendix%20J/AppJ.doc" TargetMode="External"/><Relationship Id="rId485" Type="http://schemas.openxmlformats.org/officeDocument/2006/relationships/hyperlink" Target="http://www.optus.com.au/content/dam/optus/appendix/Appendix%20S/AppS.doc" TargetMode="External"/><Relationship Id="rId692" Type="http://schemas.openxmlformats.org/officeDocument/2006/relationships/hyperlink" Target="http://smb.optus.com.au/opfiles/Shop/All/cis/Cis%20Documents/1415708_CIS_$15_Mobile_Broadband_Business_2GB.pdf" TargetMode="External"/><Relationship Id="rId706" Type="http://schemas.openxmlformats.org/officeDocument/2006/relationships/hyperlink" Target="http://smb.optus.com.au/opfiles/Shop/All/cis/Cis%20Documents/CIS_$30_My_Plan_Business_Essentials.pdf" TargetMode="External"/><Relationship Id="rId748" Type="http://schemas.openxmlformats.org/officeDocument/2006/relationships/hyperlink" Target="http://www.optus.com.au/content/dam/optus/appendix/Appendix%20S/AppS.doc" TargetMode="External"/><Relationship Id="rId913" Type="http://schemas.openxmlformats.org/officeDocument/2006/relationships/hyperlink" Target="http://www.optus.com.au/content/dam/optus/appendix/Appendix%20S/AppS.doc" TargetMode="External"/><Relationship Id="rId42" Type="http://schemas.openxmlformats.org/officeDocument/2006/relationships/hyperlink" Target="http://www.optus.com.au/content/dam/optus/appendix/Appendix%20Y/AppY.doc" TargetMode="External"/><Relationship Id="rId84" Type="http://schemas.openxmlformats.org/officeDocument/2006/relationships/footer" Target="footer8.xml"/><Relationship Id="rId138" Type="http://schemas.openxmlformats.org/officeDocument/2006/relationships/hyperlink" Target="http://www.optus.com.au/content/dam/optus/appendix/Appendix%20S/AppS.doc" TargetMode="External"/><Relationship Id="rId345" Type="http://schemas.openxmlformats.org/officeDocument/2006/relationships/hyperlink" Target="http://www.optus.com.au/content/dam/optus/appendix/Appendix%20Y/AppY.doc" TargetMode="External"/><Relationship Id="rId387" Type="http://schemas.openxmlformats.org/officeDocument/2006/relationships/hyperlink" Target="http://www.optus.com.au/content/dam/optus/documents/about-us/legal/DigPricingS1.doc" TargetMode="External"/><Relationship Id="rId510" Type="http://schemas.openxmlformats.org/officeDocument/2006/relationships/hyperlink" Target="http://www.optus.com.au/content/dam/optus/appendix/Appendix%20S/AppS.doc" TargetMode="External"/><Relationship Id="rId552" Type="http://schemas.openxmlformats.org/officeDocument/2006/relationships/hyperlink" Target="http://www.optus.com.au/content/dam/optus/appendix/Appendix%20S/AppS.doc" TargetMode="External"/><Relationship Id="rId594" Type="http://schemas.openxmlformats.org/officeDocument/2006/relationships/hyperlink" Target="http://www.optus.com.au/content/dam/optus/appendix/Appendix%20D/AppD.doc" TargetMode="External"/><Relationship Id="rId608" Type="http://schemas.openxmlformats.org/officeDocument/2006/relationships/hyperlink" Target="http://www.optus.com.au/content/dam/optus/appendix/Appendix%20D/AppD.doc" TargetMode="External"/><Relationship Id="rId815" Type="http://schemas.openxmlformats.org/officeDocument/2006/relationships/hyperlink" Target="http://www.optus.com.au/content/dam/optus/appendix/Appendix%20S/AppS.doc" TargetMode="External"/><Relationship Id="rId191" Type="http://schemas.openxmlformats.org/officeDocument/2006/relationships/hyperlink" Target="http://www.optus.com.au/content/dam/optus/appendix/Appendix%20S/AppS.doc" TargetMode="External"/><Relationship Id="rId205" Type="http://schemas.openxmlformats.org/officeDocument/2006/relationships/hyperlink" Target="http://www.optus.com.au/content/dam/optus/appendix/Appendix%20J/AppJ.doc" TargetMode="External"/><Relationship Id="rId247" Type="http://schemas.openxmlformats.org/officeDocument/2006/relationships/hyperlink" Target="http://www.optus.com.au/content/dam/optus/appendix/Appendix%20S/AppS.doc" TargetMode="External"/><Relationship Id="rId412" Type="http://schemas.openxmlformats.org/officeDocument/2006/relationships/hyperlink" Target="http://www.optus.com.au/content/dam/optus/appendix/Appendix%20S/AppS.doc" TargetMode="External"/><Relationship Id="rId857" Type="http://schemas.openxmlformats.org/officeDocument/2006/relationships/hyperlink" Target="http://www.optus.com.au/content/dam/optus/appendix/Appendix%20S/AppS.doc" TargetMode="External"/><Relationship Id="rId899" Type="http://schemas.openxmlformats.org/officeDocument/2006/relationships/hyperlink" Target="http://www.optus.com.au/content/dam/optus/appendix/Appendix%20J/AppJ.doc" TargetMode="External"/><Relationship Id="rId107" Type="http://schemas.openxmlformats.org/officeDocument/2006/relationships/hyperlink" Target="http://www.optus.com.au/content/dam/optus/appendix/Appendix%20J/AppJ.doc" TargetMode="External"/><Relationship Id="rId289" Type="http://schemas.openxmlformats.org/officeDocument/2006/relationships/hyperlink" Target="http://www.optus.com.au/content/dam/optus/documents/about-us/legal/DigPricingS1.doc" TargetMode="External"/><Relationship Id="rId454" Type="http://schemas.openxmlformats.org/officeDocument/2006/relationships/hyperlink" Target="http://www.optus.com.au/content/dam/optus/appendix/Appendix%20S/AppS.doc" TargetMode="External"/><Relationship Id="rId496" Type="http://schemas.openxmlformats.org/officeDocument/2006/relationships/hyperlink" Target="http://www.optus.com.au/content/dam/optus/appendix/Appendix%20S/AppS.doc" TargetMode="External"/><Relationship Id="rId661" Type="http://schemas.openxmlformats.org/officeDocument/2006/relationships/hyperlink" Target="http://www.optus.com.au/content/dam/optus/appendix/Appendix%20S/AppS.doc" TargetMode="External"/><Relationship Id="rId717" Type="http://schemas.openxmlformats.org/officeDocument/2006/relationships/hyperlink" Target="http://www.optus.com.au/content/dam/optus/appendix/Appendix%20S/AppS.doc" TargetMode="External"/><Relationship Id="rId759" Type="http://schemas.openxmlformats.org/officeDocument/2006/relationships/hyperlink" Target="http://www.optus.com.au/content/dam/optus/appendix/Appendix%20S/AppS.doc" TargetMode="External"/><Relationship Id="rId924" Type="http://schemas.openxmlformats.org/officeDocument/2006/relationships/hyperlink" Target="http://www.optus.com.au/content/dam/optus/appendix/Appendix%20S/AppS.doc" TargetMode="External"/><Relationship Id="rId11" Type="http://schemas.openxmlformats.org/officeDocument/2006/relationships/header" Target="header2.xml"/><Relationship Id="rId53" Type="http://schemas.openxmlformats.org/officeDocument/2006/relationships/hyperlink" Target="http://www.optus.com.au/content/dam/optus/appendix/Appendix%20J/AppJ.doc" TargetMode="External"/><Relationship Id="rId149" Type="http://schemas.openxmlformats.org/officeDocument/2006/relationships/hyperlink" Target="http://www.optus.com.au/content/dam/optus/appendix/Appendix%20S/AppS.doc" TargetMode="External"/><Relationship Id="rId314" Type="http://schemas.openxmlformats.org/officeDocument/2006/relationships/hyperlink" Target="http://www.optus.com.au/content/dam/optus/appendix/Appendix%20S/AppS.doc" TargetMode="External"/><Relationship Id="rId356" Type="http://schemas.openxmlformats.org/officeDocument/2006/relationships/hyperlink" Target="http://www.optus.com.au/content/dam/optus/documents/about-us/legal/SMETerms.doc" TargetMode="External"/><Relationship Id="rId398" Type="http://schemas.openxmlformats.org/officeDocument/2006/relationships/hyperlink" Target="http://www.optus.com.au/content/dam/optus/appendix/Appendix%20S/AppS.doc" TargetMode="External"/><Relationship Id="rId521" Type="http://schemas.openxmlformats.org/officeDocument/2006/relationships/hyperlink" Target="http://www.optus.com.au/content/dam/optus/appendix/Appendix%20S/AppS.doc" TargetMode="External"/><Relationship Id="rId563" Type="http://schemas.openxmlformats.org/officeDocument/2006/relationships/hyperlink" Target="http://www.optus.com.au/content/dam/optus/appendix/Appendix%20S/AppS.doc" TargetMode="External"/><Relationship Id="rId619" Type="http://schemas.openxmlformats.org/officeDocument/2006/relationships/hyperlink" Target="http://www.optus.com.au/dafiles/OCA/AboutOptus/LegalAndRegulatory/SharedStaticFiles/SharedDocuments/AppS.doc" TargetMode="External"/><Relationship Id="rId770" Type="http://schemas.openxmlformats.org/officeDocument/2006/relationships/hyperlink" Target="http://www.optus.com.au/content/dam/optus/appendix/Appendix%20S/AppS.doc" TargetMode="External"/><Relationship Id="rId95" Type="http://schemas.openxmlformats.org/officeDocument/2006/relationships/footer" Target="footer10.xml"/><Relationship Id="rId160" Type="http://schemas.openxmlformats.org/officeDocument/2006/relationships/hyperlink" Target="http://www.optus.com.au/content/dam/optus/documents/about-us/legal/DigPricingS1.doc" TargetMode="External"/><Relationship Id="rId216" Type="http://schemas.openxmlformats.org/officeDocument/2006/relationships/hyperlink" Target="http://www.optus.com.au/content/dam/optus/appendix/Appendix%20Y/AppY.doc" TargetMode="External"/><Relationship Id="rId423" Type="http://schemas.openxmlformats.org/officeDocument/2006/relationships/hyperlink" Target="http://www.optus.com.au/content/dam/optus/appendix/Appendix%20S/AppS.doc" TargetMode="External"/><Relationship Id="rId826" Type="http://schemas.openxmlformats.org/officeDocument/2006/relationships/hyperlink" Target="http://www.optus.com.au/content/dam/optus/appendix/Appendix%20S/AppS.doc" TargetMode="External"/><Relationship Id="rId868" Type="http://schemas.openxmlformats.org/officeDocument/2006/relationships/hyperlink" Target="http://www.optus.com.au/content/dam/optus/appendix/Appendix%20D/AppD.doc" TargetMode="External"/><Relationship Id="rId258" Type="http://schemas.openxmlformats.org/officeDocument/2006/relationships/hyperlink" Target="http://www.optus.com.au/content/dam/optus/documents/about-us/legal/DigPricingS1.doc" TargetMode="External"/><Relationship Id="rId465" Type="http://schemas.openxmlformats.org/officeDocument/2006/relationships/hyperlink" Target="http://www.optus.com.au/content/dam/optus/appendix/Appendix%20S/AppS.doc" TargetMode="External"/><Relationship Id="rId630" Type="http://schemas.openxmlformats.org/officeDocument/2006/relationships/hyperlink" Target="http://www.optus.com.au/content/dam/optus/appendix/Appendix%20D/AppD.doc" TargetMode="External"/><Relationship Id="rId672" Type="http://schemas.openxmlformats.org/officeDocument/2006/relationships/hyperlink" Target="http://www.optus.com.au/content/dam/optus/appendix/Appendix%20S/AppS.doc" TargetMode="External"/><Relationship Id="rId728" Type="http://schemas.openxmlformats.org/officeDocument/2006/relationships/hyperlink" Target="http://www.optus.com.au/shop/mobile/phones/new-phone-trade-up" TargetMode="External"/><Relationship Id="rId935" Type="http://schemas.openxmlformats.org/officeDocument/2006/relationships/hyperlink" Target="http://www.optus.com.au/content/dam/optus/appendix/Appendix%20Y/AppY.doc" TargetMode="External"/><Relationship Id="rId22" Type="http://schemas.openxmlformats.org/officeDocument/2006/relationships/hyperlink" Target="http://www.optus.com.au/content/dam/optus/documents/about-us/legal/SMETerms.doc" TargetMode="External"/><Relationship Id="rId64" Type="http://schemas.openxmlformats.org/officeDocument/2006/relationships/hyperlink" Target="http://www.optus.com.au/content/dam/optus/appendix/Appendix%20S/AppS.doc" TargetMode="External"/><Relationship Id="rId118" Type="http://schemas.openxmlformats.org/officeDocument/2006/relationships/hyperlink" Target="http://www.optus.com.au/content/dam/optus/appendix/Appendix%20J/AppJ.doc" TargetMode="External"/><Relationship Id="rId325" Type="http://schemas.openxmlformats.org/officeDocument/2006/relationships/hyperlink" Target="http://www.optus.com.au/content/dam/optus/appendix/Appendix%20S/AppS.doc" TargetMode="External"/><Relationship Id="rId367" Type="http://schemas.openxmlformats.org/officeDocument/2006/relationships/hyperlink" Target="http://www.optus.com.au/content/dam/optus/appendix/Appendix%20S/AppS.doc" TargetMode="External"/><Relationship Id="rId532" Type="http://schemas.openxmlformats.org/officeDocument/2006/relationships/hyperlink" Target="http://www.optus.com.au/content/dam/optus/appendix/Appendix%20S/AppS.doc" TargetMode="External"/><Relationship Id="rId574" Type="http://schemas.openxmlformats.org/officeDocument/2006/relationships/hyperlink" Target="http://www.optus.com.au/content/dam/optus/appendix/Appendix%20S/AppS.doc" TargetMode="External"/><Relationship Id="rId171" Type="http://schemas.openxmlformats.org/officeDocument/2006/relationships/hyperlink" Target="http://www.optus.com.au/content/dam/optus/appendix/Appendix%20S/AppS.doc" TargetMode="External"/><Relationship Id="rId227" Type="http://schemas.openxmlformats.org/officeDocument/2006/relationships/hyperlink" Target="http://www.optus.com.au/content/dam/optus/appendix/Appendix%20Y/AppY.doc" TargetMode="External"/><Relationship Id="rId781" Type="http://schemas.openxmlformats.org/officeDocument/2006/relationships/hyperlink" Target="http://www.optus.com.au/content/dam/optus/appendix/Appendix%20S/AppS.doc" TargetMode="External"/><Relationship Id="rId837" Type="http://schemas.openxmlformats.org/officeDocument/2006/relationships/hyperlink" Target="http://www.optus.com.au/content/dam/optus/appendix/Appendix%20S/AppS.doc" TargetMode="External"/><Relationship Id="rId879" Type="http://schemas.openxmlformats.org/officeDocument/2006/relationships/hyperlink" Target="http://www.optus.com.au/content/dam/optus/appendix/Appendix%20S/AppS.doc" TargetMode="External"/><Relationship Id="rId269" Type="http://schemas.openxmlformats.org/officeDocument/2006/relationships/hyperlink" Target="http://www.optus.com.au/content/dam/optus/appendix/Appendix%20S/AppS.doc" TargetMode="External"/><Relationship Id="rId434" Type="http://schemas.openxmlformats.org/officeDocument/2006/relationships/hyperlink" Target="http://www.optus.com.au/content/dam/optus/documents/about-us/legal/SMETerms.doc" TargetMode="External"/><Relationship Id="rId476" Type="http://schemas.openxmlformats.org/officeDocument/2006/relationships/hyperlink" Target="http://www.optus.com.au/content/dam/optus/appendix/Appendix%20S/AppS.doc" TargetMode="External"/><Relationship Id="rId641" Type="http://schemas.openxmlformats.org/officeDocument/2006/relationships/hyperlink" Target="http://www.optus.com.au/content/dam/optus/appendix/Appendix%20D/AppD.doc" TargetMode="External"/><Relationship Id="rId683" Type="http://schemas.openxmlformats.org/officeDocument/2006/relationships/hyperlink" Target="http://smb.optus.com.au/opfiles/Shop/All/cis/Cis%20Documents/CIS_$50_My_Plan_Business_SIM_April.pdf" TargetMode="External"/><Relationship Id="rId739" Type="http://schemas.openxmlformats.org/officeDocument/2006/relationships/hyperlink" Target="http://www.optus.com.au/content/dam/optus/appendix/Appendix%20S/AppS.doc" TargetMode="External"/><Relationship Id="rId890" Type="http://schemas.openxmlformats.org/officeDocument/2006/relationships/hyperlink" Target="http://www.optus.com.au/content/dam/optus/appendix/Appendix%20S/AppS.doc" TargetMode="External"/><Relationship Id="rId904" Type="http://schemas.openxmlformats.org/officeDocument/2006/relationships/hyperlink" Target="http://www.optus.com.au/content/dam/optus/appendix/Appendix%20Y/AppY.doc" TargetMode="External"/><Relationship Id="rId33" Type="http://schemas.openxmlformats.org/officeDocument/2006/relationships/hyperlink" Target="http://www.optus.com.au/content/dam/optus/documents/about-us/legal/SMETerms.doc" TargetMode="External"/><Relationship Id="rId129" Type="http://schemas.openxmlformats.org/officeDocument/2006/relationships/hyperlink" Target="http://www.optus.com.au/content/dam/optus/documents/about-us/legal/SMETerms.doc" TargetMode="External"/><Relationship Id="rId280" Type="http://schemas.openxmlformats.org/officeDocument/2006/relationships/hyperlink" Target="http://www.optus.com.au/content/dam/optus/appendix/Appendix%20J/AppJ.doc" TargetMode="External"/><Relationship Id="rId336" Type="http://schemas.openxmlformats.org/officeDocument/2006/relationships/hyperlink" Target="http://www.optus.com.au/content/dam/optus/appendix/Appendix%20S/AppS.doc" TargetMode="External"/><Relationship Id="rId501" Type="http://schemas.openxmlformats.org/officeDocument/2006/relationships/hyperlink" Target="http://www.optus.com.au/content/dam/optus/appendix/Appendix%20S/AppS.doc" TargetMode="External"/><Relationship Id="rId543" Type="http://schemas.openxmlformats.org/officeDocument/2006/relationships/hyperlink" Target="http://www.optus.com.au/content/dam/optus/appendix/Appendix%20S/AppS.doc" TargetMode="External"/><Relationship Id="rId946" Type="http://schemas.openxmlformats.org/officeDocument/2006/relationships/fontTable" Target="fontTable.xml"/><Relationship Id="rId75" Type="http://schemas.openxmlformats.org/officeDocument/2006/relationships/hyperlink" Target="http://www.optus.com.au/content/dam/optus/appendix/Appendix%20S/AppS.doc" TargetMode="External"/><Relationship Id="rId140" Type="http://schemas.openxmlformats.org/officeDocument/2006/relationships/hyperlink" Target="http://www.optus.com.au/content/dam/optus/appendix/Appendix%20IB/AppIB.doc" TargetMode="External"/><Relationship Id="rId182" Type="http://schemas.openxmlformats.org/officeDocument/2006/relationships/hyperlink" Target="http://www.optus.com.au/content/dam/optus/appendix/Appendix%20S/AppS.doc" TargetMode="External"/><Relationship Id="rId378" Type="http://schemas.openxmlformats.org/officeDocument/2006/relationships/hyperlink" Target="http://www.optus.com.au/content/dam/optus/appendix/Appendix%20S/AppS.doc" TargetMode="External"/><Relationship Id="rId403" Type="http://schemas.openxmlformats.org/officeDocument/2006/relationships/hyperlink" Target="http://www.optus.com.au/content/dam/optus/documents/about-us/legal/SMETerms.doc" TargetMode="External"/><Relationship Id="rId585" Type="http://schemas.openxmlformats.org/officeDocument/2006/relationships/hyperlink" Target="http://www.optus.com.au/content/dam/optus/appendix/Appendix%20S/AppS.doc" TargetMode="External"/><Relationship Id="rId750" Type="http://schemas.openxmlformats.org/officeDocument/2006/relationships/hyperlink" Target="http://www.optus.com.au/content/dam/optus/appendix/Appendix%20Y/AppY.doc" TargetMode="External"/><Relationship Id="rId792" Type="http://schemas.openxmlformats.org/officeDocument/2006/relationships/hyperlink" Target="http://www.optus.com.au/content/dam/optus/appendix/Appendix%20S/AppS.doc" TargetMode="External"/><Relationship Id="rId806" Type="http://schemas.openxmlformats.org/officeDocument/2006/relationships/hyperlink" Target="http://www.optus.com.au/content/dam/optus/appendix/Appendix%20Y/AppY.doc" TargetMode="External"/><Relationship Id="rId848" Type="http://schemas.openxmlformats.org/officeDocument/2006/relationships/hyperlink" Target="http://www.optus.com.au/content/dam/optus/appendix/Appendix%20Y/AppY.doc" TargetMode="External"/><Relationship Id="rId6" Type="http://schemas.openxmlformats.org/officeDocument/2006/relationships/webSettings" Target="webSettings.xml"/><Relationship Id="rId238" Type="http://schemas.openxmlformats.org/officeDocument/2006/relationships/hyperlink" Target="http://www.optus.com.au/content/dam/optus/appendix/Appendix%20S/AppS.doc" TargetMode="External"/><Relationship Id="rId445" Type="http://schemas.openxmlformats.org/officeDocument/2006/relationships/hyperlink" Target="http://www.optus.com.au/content/dam/optus/appendix/Appendix%20S/AppS.doc" TargetMode="External"/><Relationship Id="rId487" Type="http://schemas.openxmlformats.org/officeDocument/2006/relationships/hyperlink" Target="http://www.optus.com.au/content/dam/optus/appendix/Appendix%20S/AppS.doc" TargetMode="External"/><Relationship Id="rId610" Type="http://schemas.openxmlformats.org/officeDocument/2006/relationships/hyperlink" Target="http://www.optus.com.au/content/dam/optus/appendix/Appendix%20S/AppS.doc" TargetMode="External"/><Relationship Id="rId652" Type="http://schemas.openxmlformats.org/officeDocument/2006/relationships/hyperlink" Target="http://www.optus.com.au/content/dam/optus/appendix/Appendix%20S/AppS.doc" TargetMode="External"/><Relationship Id="rId694" Type="http://schemas.openxmlformats.org/officeDocument/2006/relationships/hyperlink" Target="http://smb.optus.com.au/opfiles/Shop/All/cis/Cis%20Documents/1415710_CIS_$35_Mobile_Broadband_Business_10GB.pdf" TargetMode="External"/><Relationship Id="rId708" Type="http://schemas.openxmlformats.org/officeDocument/2006/relationships/hyperlink" Target="http://www.optus.com.au/content/dam/optus/appendix/Appendix%20D/AppD.doc" TargetMode="External"/><Relationship Id="rId915" Type="http://schemas.openxmlformats.org/officeDocument/2006/relationships/hyperlink" Target="https://www.optus.com.au/shop/mobilephones/international-roaming/postpaid-rates" TargetMode="External"/><Relationship Id="rId291" Type="http://schemas.openxmlformats.org/officeDocument/2006/relationships/hyperlink" Target="http://www.optus.com.au/content/dam/optus/appendix/Appendix%20S/AppS.doc" TargetMode="External"/><Relationship Id="rId305" Type="http://schemas.openxmlformats.org/officeDocument/2006/relationships/hyperlink" Target="http://www.optus.com.au/content/dam/optus/documents/about-us/legal/WCPricing(ConsumerSMB)S1.doc" TargetMode="External"/><Relationship Id="rId347" Type="http://schemas.openxmlformats.org/officeDocument/2006/relationships/hyperlink" Target="http://www.optus.com.au/content/dam/optus/appendix/Appendix%20S/AppS.doc" TargetMode="External"/><Relationship Id="rId512" Type="http://schemas.openxmlformats.org/officeDocument/2006/relationships/hyperlink" Target="http://www.optus.com.au/content/dam/optus/appendix/Appendix%20S/AppS.doc" TargetMode="External"/><Relationship Id="rId44" Type="http://schemas.openxmlformats.org/officeDocument/2006/relationships/footer" Target="footer3.xml"/><Relationship Id="rId86" Type="http://schemas.openxmlformats.org/officeDocument/2006/relationships/hyperlink" Target="http://www.optus.com.au/content/dam/optus/appendix/Appendix%20IB/AppIB.doc" TargetMode="External"/><Relationship Id="rId151" Type="http://schemas.openxmlformats.org/officeDocument/2006/relationships/hyperlink" Target="http://www.optus.com.au/content/dam/optus/appendix/Appendix%20S/AppS.doc" TargetMode="External"/><Relationship Id="rId389" Type="http://schemas.openxmlformats.org/officeDocument/2006/relationships/hyperlink" Target="http://www.optus.com.au/content/dam/optus/appendix/Appendix%20S/AppS.doc" TargetMode="External"/><Relationship Id="rId554" Type="http://schemas.openxmlformats.org/officeDocument/2006/relationships/hyperlink" Target="http://www.optus.com.au/content/dam/optus/appendix/Appendix%20S/AppS.doc" TargetMode="External"/><Relationship Id="rId596" Type="http://schemas.openxmlformats.org/officeDocument/2006/relationships/hyperlink" Target="http://www.optus.com.au/dafiles/OCA/AboutOptus/LegalAndRegulatory/SharedStaticFiles/SharedDocuments/AppS.doc" TargetMode="External"/><Relationship Id="rId761" Type="http://schemas.openxmlformats.org/officeDocument/2006/relationships/hyperlink" Target="http://www.optus.com.au/content/dam/optus/appendix/Appendix%20Y/AppY.doc" TargetMode="External"/><Relationship Id="rId817" Type="http://schemas.openxmlformats.org/officeDocument/2006/relationships/hyperlink" Target="http://www.optus.com.au/content/dam/optus/appendix/Appendix%20S/AppS.doc" TargetMode="External"/><Relationship Id="rId859" Type="http://schemas.openxmlformats.org/officeDocument/2006/relationships/hyperlink" Target="http://www.optus.com.au/content/dam/optus/appendix/Appendix%20Y/AppY.doc" TargetMode="External"/><Relationship Id="rId193" Type="http://schemas.openxmlformats.org/officeDocument/2006/relationships/hyperlink" Target="http://www.optus.com.au/content/dam/optus/appendix/Appendix%20S/AppS.doc" TargetMode="External"/><Relationship Id="rId207" Type="http://schemas.openxmlformats.org/officeDocument/2006/relationships/hyperlink" Target="http://www.optus.com.au/content/dam/optus/appendix/Appendix%20S/AppS.doc" TargetMode="External"/><Relationship Id="rId249" Type="http://schemas.openxmlformats.org/officeDocument/2006/relationships/hyperlink" Target="http://www.optus.com.au/content/dam/optus/appendix/Appendix%20S/AppS.doc" TargetMode="External"/><Relationship Id="rId414" Type="http://schemas.openxmlformats.org/officeDocument/2006/relationships/hyperlink" Target="http://www.optus.com.au/content/dam/optus/appendix/Appendix%20Y/AppY.doc" TargetMode="External"/><Relationship Id="rId456" Type="http://schemas.openxmlformats.org/officeDocument/2006/relationships/hyperlink" Target="http://www.optus.com.au/content/dam/optus/appendix/Appendix%20S/AppS.doc" TargetMode="External"/><Relationship Id="rId498" Type="http://schemas.openxmlformats.org/officeDocument/2006/relationships/hyperlink" Target="http://www.optus.com.au/content/dam/optus/appendix/Appendix%20S/AppS.doc" TargetMode="External"/><Relationship Id="rId621" Type="http://schemas.openxmlformats.org/officeDocument/2006/relationships/hyperlink" Target="http://www.optus.com.au/content/dam/optus/appendix/Appendix%20D/AppD.doc" TargetMode="External"/><Relationship Id="rId663" Type="http://schemas.openxmlformats.org/officeDocument/2006/relationships/hyperlink" Target="http://www.optus.com.au/content/dam/optus/appendix/Appendix%20D/AppD.doc" TargetMode="External"/><Relationship Id="rId870" Type="http://schemas.openxmlformats.org/officeDocument/2006/relationships/hyperlink" Target="http://www.optus.com.au/content/dam/optus/appendix/Appendix%20S/AppS.doc" TargetMode="External"/><Relationship Id="rId13" Type="http://schemas.openxmlformats.org/officeDocument/2006/relationships/hyperlink" Target="http://www.optus.com.au/content/dam/optus/documents/about-us/legal/SMETerms.doc" TargetMode="External"/><Relationship Id="rId109" Type="http://schemas.openxmlformats.org/officeDocument/2006/relationships/header" Target="header11.xml"/><Relationship Id="rId260" Type="http://schemas.openxmlformats.org/officeDocument/2006/relationships/hyperlink" Target="http://www.optus.com.au/content/dam/optus/appendix/Appendix%20S/AppS.doc" TargetMode="External"/><Relationship Id="rId316" Type="http://schemas.openxmlformats.org/officeDocument/2006/relationships/hyperlink" Target="http://www.optus.com.au/dafiles/OCA/AboutOptus/LegalAndRegulatory/SharedStaticFiles/SharedDocuments/AppW.doc" TargetMode="External"/><Relationship Id="rId523" Type="http://schemas.openxmlformats.org/officeDocument/2006/relationships/hyperlink" Target="http://www.optus.com.au/content/dam/optus/appendix/Appendix%20Y/AppY.doc" TargetMode="External"/><Relationship Id="rId719" Type="http://schemas.openxmlformats.org/officeDocument/2006/relationships/hyperlink" Target="http://www.optus.com.au/content/dam/optus/appendix/Appendix%20S/AppS.doc" TargetMode="External"/><Relationship Id="rId926" Type="http://schemas.openxmlformats.org/officeDocument/2006/relationships/hyperlink" Target="http://www.optus.com.au/content/dam/optus/appendix/Appendix%20Y/AppY.doc" TargetMode="External"/><Relationship Id="rId55" Type="http://schemas.openxmlformats.org/officeDocument/2006/relationships/hyperlink" Target="http://www.optus.com.au/content/dam/optus/appendix/Appendix%20J/AppJ.doc" TargetMode="External"/><Relationship Id="rId97" Type="http://schemas.openxmlformats.org/officeDocument/2006/relationships/hyperlink" Target="http://www.optus.com.au/content/dam/optus/appendix/Appendix%20IB/AppIB.doc" TargetMode="External"/><Relationship Id="rId120" Type="http://schemas.openxmlformats.org/officeDocument/2006/relationships/footer" Target="footer13.xml"/><Relationship Id="rId358" Type="http://schemas.openxmlformats.org/officeDocument/2006/relationships/hyperlink" Target="http://www.optus.com.au/content/dam/optus/appendix/Appendix%20Y/AppY.doc" TargetMode="External"/><Relationship Id="rId565" Type="http://schemas.openxmlformats.org/officeDocument/2006/relationships/hyperlink" Target="http://www.optus.com.au/content/dam/optus/appendix/Appendix%20S/AppS.doc" TargetMode="External"/><Relationship Id="rId730" Type="http://schemas.openxmlformats.org/officeDocument/2006/relationships/hyperlink" Target="http://www.optus.com.au/content/dam/optus/appendix/Appendix%20S/AppS.doc" TargetMode="External"/><Relationship Id="rId772" Type="http://schemas.openxmlformats.org/officeDocument/2006/relationships/hyperlink" Target="http://www.optus.com.au/content/dam/optus/appendix/Appendix%20Y/AppY.doc" TargetMode="External"/><Relationship Id="rId828" Type="http://schemas.openxmlformats.org/officeDocument/2006/relationships/hyperlink" Target="http://www.optus.com.au/content/dam/optus/appendix/Appendix%20S/AppS.doc" TargetMode="External"/><Relationship Id="rId162" Type="http://schemas.openxmlformats.org/officeDocument/2006/relationships/hyperlink" Target="http://www.optus.com.au/content/dam/optus/appendix/Appendix%20S/AppS.doc" TargetMode="External"/><Relationship Id="rId218" Type="http://schemas.openxmlformats.org/officeDocument/2006/relationships/hyperlink" Target="http://www.optus.com.au/content/dam/optus/appendix/Appendix%20S/AppS.doc" TargetMode="External"/><Relationship Id="rId425" Type="http://schemas.openxmlformats.org/officeDocument/2006/relationships/hyperlink" Target="http://www.optus.com.au/content/dam/optus/appendix/Appendix%20S/AppS.doc" TargetMode="External"/><Relationship Id="rId467" Type="http://schemas.openxmlformats.org/officeDocument/2006/relationships/hyperlink" Target="http://www.optus.com.au/content/dam/optus/appendix/Appendix%20Y/AppY.doc" TargetMode="External"/><Relationship Id="rId632" Type="http://schemas.openxmlformats.org/officeDocument/2006/relationships/hyperlink" Target="http://www.optus.com.au/content/dam/optus/appendix/Appendix%20S/AppS.doc" TargetMode="External"/><Relationship Id="rId271" Type="http://schemas.openxmlformats.org/officeDocument/2006/relationships/hyperlink" Target="http://www.optus.com.au/content/dam/optus/appendix/Appendix%20S/AppS.doc" TargetMode="External"/><Relationship Id="rId674" Type="http://schemas.openxmlformats.org/officeDocument/2006/relationships/hyperlink" Target="http://www.optus.com.au/content/dam/optus/appendix/Appendix%20Y/AppY.doc" TargetMode="External"/><Relationship Id="rId881" Type="http://schemas.openxmlformats.org/officeDocument/2006/relationships/hyperlink" Target="http://www.optus.com.au/content/dam/optus/appendix/Appendix%20Y/AppY.doc" TargetMode="External"/><Relationship Id="rId937" Type="http://schemas.openxmlformats.org/officeDocument/2006/relationships/hyperlink" Target="http://www.optus.com.au/content/dam/optus/appendix/Appendix%20S/AppS.doc" TargetMode="External"/><Relationship Id="rId24" Type="http://schemas.openxmlformats.org/officeDocument/2006/relationships/hyperlink" Target="http://www.optus.com.au/content/dam/optus/documents/about-us/legal/DigPricingS1.doc" TargetMode="External"/><Relationship Id="rId66" Type="http://schemas.openxmlformats.org/officeDocument/2006/relationships/hyperlink" Target="http://www.optus.com.au/content/dam/optus/appendix/Appendix%20J/AppJ.doc" TargetMode="External"/><Relationship Id="rId131" Type="http://schemas.openxmlformats.org/officeDocument/2006/relationships/hyperlink" Target="http://www.optus.com.au/content/dam/optus/appendix/Appendix%20Y/AppY.doc" TargetMode="External"/><Relationship Id="rId327" Type="http://schemas.openxmlformats.org/officeDocument/2006/relationships/hyperlink" Target="http://www.optus.com.au/content/dam/optus/documents/about-us/legal/SMETerms.doc" TargetMode="External"/><Relationship Id="rId369" Type="http://schemas.openxmlformats.org/officeDocument/2006/relationships/hyperlink" Target="http://www.optus.com.au/content/dam/optus/documents/about-us/legal/SMETerms.doc" TargetMode="External"/><Relationship Id="rId534" Type="http://schemas.openxmlformats.org/officeDocument/2006/relationships/hyperlink" Target="http://www.optus.com.au/content/dam/optus/documents/about-us/legal/DigPricingS1.doc" TargetMode="External"/><Relationship Id="rId576" Type="http://schemas.openxmlformats.org/officeDocument/2006/relationships/hyperlink" Target="http://www.optus.com.au/content/dam/optus/appendix/Appendix%20D/AppD.doc" TargetMode="External"/><Relationship Id="rId741" Type="http://schemas.openxmlformats.org/officeDocument/2006/relationships/hyperlink" Target="http://www.optus.com.au/shop/mobile/phones/new-phone-trade-up" TargetMode="External"/><Relationship Id="rId783" Type="http://schemas.openxmlformats.org/officeDocument/2006/relationships/hyperlink" Target="http://www.optus.com.au/content/dam/optus/appendix/Appendix%20Y/AppY.doc" TargetMode="External"/><Relationship Id="rId839" Type="http://schemas.openxmlformats.org/officeDocument/2006/relationships/hyperlink" Target="http://www.optus.com.au/content/dam/optus/appendix/Appendix%20Y/AppY.doc" TargetMode="External"/><Relationship Id="rId173" Type="http://schemas.openxmlformats.org/officeDocument/2006/relationships/hyperlink" Target="http://www.optus.com.au/content/dam/optus/appendix/Appendix%20J/AppJ.doc" TargetMode="External"/><Relationship Id="rId229" Type="http://schemas.openxmlformats.org/officeDocument/2006/relationships/hyperlink" Target="http://www.optus.com.au/content/dam/optus/appendix/Appendix%20S/AppS.doc" TargetMode="External"/><Relationship Id="rId380" Type="http://schemas.openxmlformats.org/officeDocument/2006/relationships/hyperlink" Target="http://www.optus.com.au/content/dam/optus/appendix/Appendix%20S/AppS.doc" TargetMode="External"/><Relationship Id="rId436" Type="http://schemas.openxmlformats.org/officeDocument/2006/relationships/hyperlink" Target="http://www.optus.com.au/content/dam/optus/appendix/Appendix%20Y/AppY.doc" TargetMode="External"/><Relationship Id="rId601" Type="http://schemas.openxmlformats.org/officeDocument/2006/relationships/hyperlink" Target="http://www.optus.com.au/content/dam/optus/appendix/Appendix%20D/AppD.doc" TargetMode="External"/><Relationship Id="rId643" Type="http://schemas.openxmlformats.org/officeDocument/2006/relationships/hyperlink" Target="http://www.optus.com.au/content/dam/optus/appendix/Appendix%20S/AppS.doc" TargetMode="External"/><Relationship Id="rId240" Type="http://schemas.openxmlformats.org/officeDocument/2006/relationships/hyperlink" Target="http://www.optus.com.au/content/dam/optus/appendix/Appendix%20S/AppS.doc" TargetMode="External"/><Relationship Id="rId478" Type="http://schemas.openxmlformats.org/officeDocument/2006/relationships/hyperlink" Target="http://www.optus.com.au/content/dam/optus/appendix/Appendix%20S/AppS.doc" TargetMode="External"/><Relationship Id="rId685" Type="http://schemas.openxmlformats.org/officeDocument/2006/relationships/hyperlink" Target="http://smb.optus.com.au/opfiles/Shop/All/cis/Cis%20Documents/1415715_CIS_$30_My_Plan_Business_TF.pdf" TargetMode="External"/><Relationship Id="rId850" Type="http://schemas.openxmlformats.org/officeDocument/2006/relationships/hyperlink" Target="http://www.optus.com.au/content/dam/optus/appendix/Appendix%20S/AppS.doc" TargetMode="External"/><Relationship Id="rId892" Type="http://schemas.openxmlformats.org/officeDocument/2006/relationships/hyperlink" Target="http://www.optus.com.au/content/dam/optus/documents/about-us/legal/DigPricingS1.doc" TargetMode="External"/><Relationship Id="rId906" Type="http://schemas.openxmlformats.org/officeDocument/2006/relationships/hyperlink" Target="http://www.optus.com.au/content/dam/optus/appendix/Appendix%20Y/AppY.doc" TargetMode="External"/><Relationship Id="rId35" Type="http://schemas.openxmlformats.org/officeDocument/2006/relationships/hyperlink" Target="http://www.optus.com.au/content/dam/optus/documents/about-us/legal/SMETerms.doc" TargetMode="External"/><Relationship Id="rId77" Type="http://schemas.openxmlformats.org/officeDocument/2006/relationships/hyperlink" Target="http://www.optus.com.au/content/dam/optus/appendix/Appendix%20J/AppJ.doc" TargetMode="External"/><Relationship Id="rId100" Type="http://schemas.openxmlformats.org/officeDocument/2006/relationships/hyperlink" Target="http://www.optus.com.au/content/dam/optus/appendix/Appendix%20J/AppJ.doc" TargetMode="External"/><Relationship Id="rId282" Type="http://schemas.openxmlformats.org/officeDocument/2006/relationships/hyperlink" Target="http://www.optus.com.au/content/dam/optus/appendix/Appendix%20S/AppS.doc" TargetMode="External"/><Relationship Id="rId338" Type="http://schemas.openxmlformats.org/officeDocument/2006/relationships/hyperlink" Target="http://www.optus.com.au/content/dam/optus/appendix/Appendix%20S/AppS.doc" TargetMode="External"/><Relationship Id="rId503" Type="http://schemas.openxmlformats.org/officeDocument/2006/relationships/hyperlink" Target="http://www.optus.com.au/content/dam/optus/appendix/Appendix%20S/AppS.doc" TargetMode="External"/><Relationship Id="rId545" Type="http://schemas.openxmlformats.org/officeDocument/2006/relationships/hyperlink" Target="http://www.optus.com.au/content/dam/optus/documents/about-us/legal/DigPricingS1.doc" TargetMode="External"/><Relationship Id="rId587" Type="http://schemas.openxmlformats.org/officeDocument/2006/relationships/hyperlink" Target="http://www.optus.com.au/content/dam/optus/appendix/Appendix%20D/AppD.doc" TargetMode="External"/><Relationship Id="rId710" Type="http://schemas.openxmlformats.org/officeDocument/2006/relationships/hyperlink" Target="http://www.optus.com.au/content/dam/optus/appendix/Appendix%20S/AppS.doc" TargetMode="External"/><Relationship Id="rId752" Type="http://schemas.openxmlformats.org/officeDocument/2006/relationships/hyperlink" Target="http://www.optus.com.au/content/dam/optus/appendix/Appendix%20S/AppS.doc" TargetMode="External"/><Relationship Id="rId808" Type="http://schemas.openxmlformats.org/officeDocument/2006/relationships/hyperlink" Target="http://www.optus.com.au/content/dam/optus/appendix/Appendix%20S/AppS.doc" TargetMode="External"/><Relationship Id="rId8" Type="http://schemas.openxmlformats.org/officeDocument/2006/relationships/endnotes" Target="endnotes.xml"/><Relationship Id="rId142" Type="http://schemas.openxmlformats.org/officeDocument/2006/relationships/hyperlink" Target="http://www.optus.com.au/content/dam/optus/appendix/Appendix%20Y/AppY.doc" TargetMode="External"/><Relationship Id="rId184" Type="http://schemas.openxmlformats.org/officeDocument/2006/relationships/hyperlink" Target="http://www.optus.com.au/content/dam/optus/documents/about-us/legal/DigPricingS1.doc" TargetMode="External"/><Relationship Id="rId391" Type="http://schemas.openxmlformats.org/officeDocument/2006/relationships/hyperlink" Target="http://www.optus.com.au/content/dam/optus/appendix/Appendix%20S/AppS.doc" TargetMode="External"/><Relationship Id="rId405" Type="http://schemas.openxmlformats.org/officeDocument/2006/relationships/hyperlink" Target="http://www.optus.com.au/content/dam/optus/documents/about-us/legal/DigPricingS1.doc" TargetMode="External"/><Relationship Id="rId447" Type="http://schemas.openxmlformats.org/officeDocument/2006/relationships/hyperlink" Target="http://www.optus.com.au/content/dam/optus/appendix/Appendix%20S/AppS.doc" TargetMode="External"/><Relationship Id="rId612" Type="http://schemas.openxmlformats.org/officeDocument/2006/relationships/hyperlink" Target="http://www.optus.com.au/content/dam/optus/appendix/Appendix%20S/AppS.doc" TargetMode="External"/><Relationship Id="rId794" Type="http://schemas.openxmlformats.org/officeDocument/2006/relationships/hyperlink" Target="http://www.optus.com.au/content/dam/optus/appendix/Appendix%20D/AppD.doc" TargetMode="External"/><Relationship Id="rId251" Type="http://schemas.openxmlformats.org/officeDocument/2006/relationships/hyperlink" Target="http://www.optus.com.au/content/dam/optus/appendix/Appendix%20Y/AppY.doc" TargetMode="External"/><Relationship Id="rId489" Type="http://schemas.openxmlformats.org/officeDocument/2006/relationships/hyperlink" Target="http://www.optus.com.au/content/dam/optus/appendix/Appendix%20S/AppS.doc" TargetMode="External"/><Relationship Id="rId654" Type="http://schemas.openxmlformats.org/officeDocument/2006/relationships/hyperlink" Target="http://www.optus.com.au/content/dam/optus/appendix/Appendix%20S/AppS.doc" TargetMode="External"/><Relationship Id="rId696" Type="http://schemas.openxmlformats.org/officeDocument/2006/relationships/hyperlink" Target="http://smb.optus.com.au/opfiles/Shop/All/cis/Cis%20Documents/1415645_CIS_$85_My_Plan_Plus.pdf" TargetMode="External"/><Relationship Id="rId861" Type="http://schemas.openxmlformats.org/officeDocument/2006/relationships/hyperlink" Target="http://www.optus.com.au/content/dam/optus/appendix/Appendix%20S/AppS.doc" TargetMode="External"/><Relationship Id="rId917" Type="http://schemas.openxmlformats.org/officeDocument/2006/relationships/hyperlink" Target="http://www.optus.com.au/content/dam/optus/appendix/Appendix%20Y/AppY.doc" TargetMode="External"/><Relationship Id="rId46" Type="http://schemas.openxmlformats.org/officeDocument/2006/relationships/footer" Target="footer4.xml"/><Relationship Id="rId293" Type="http://schemas.openxmlformats.org/officeDocument/2006/relationships/hyperlink" Target="http://www.optus.com.au/content/dam/optus/appendix/Appendix%20S/AppS.doc" TargetMode="External"/><Relationship Id="rId307" Type="http://schemas.openxmlformats.org/officeDocument/2006/relationships/hyperlink" Target="http://www.optus.com.au/content/dam/optus/appendix/Appendix%20Y/AppY.doc" TargetMode="External"/><Relationship Id="rId349" Type="http://schemas.openxmlformats.org/officeDocument/2006/relationships/hyperlink" Target="http://www.optus.com.au/content/dam/optus/appendix/Appendix%20S/AppS.doc" TargetMode="External"/><Relationship Id="rId514" Type="http://schemas.openxmlformats.org/officeDocument/2006/relationships/hyperlink" Target="http://www.optus.com.au/content/dam/optus/appendix/Appendix%20S/AppS.doc" TargetMode="External"/><Relationship Id="rId556" Type="http://schemas.openxmlformats.org/officeDocument/2006/relationships/hyperlink" Target="http://www.optus.com.au/content/dam/optus/appendix/Appendix%20S/AppS.doc" TargetMode="External"/><Relationship Id="rId721" Type="http://schemas.openxmlformats.org/officeDocument/2006/relationships/hyperlink" Target="http://www.optus.com.au/content/dam/optus/appendix/Appendix%20Y/AppY.doc" TargetMode="External"/><Relationship Id="rId763" Type="http://schemas.openxmlformats.org/officeDocument/2006/relationships/hyperlink" Target="http://www.optus.com.au/content/dam/optus/appendix/Appendix%20S/AppS.doc" TargetMode="External"/><Relationship Id="rId88" Type="http://schemas.openxmlformats.org/officeDocument/2006/relationships/hyperlink" Target="http://www.optus.com.au/content/dam/optus/appendix/Appendix%20S/AppS.doc" TargetMode="External"/><Relationship Id="rId111" Type="http://schemas.openxmlformats.org/officeDocument/2006/relationships/header" Target="header12.xml"/><Relationship Id="rId153" Type="http://schemas.openxmlformats.org/officeDocument/2006/relationships/hyperlink" Target="http://www.optus.com.au/content/dam/optus/appendix/Appendix%20S/AppS.doc" TargetMode="External"/><Relationship Id="rId195" Type="http://schemas.openxmlformats.org/officeDocument/2006/relationships/hyperlink" Target="http://www.optus.com.au/content/dam/optus/documents/about-us/legal/WCPricing(ConsumerSMB)S1.doc" TargetMode="External"/><Relationship Id="rId209" Type="http://schemas.openxmlformats.org/officeDocument/2006/relationships/hyperlink" Target="http://www.optus.com.au/content/dam/optus/appendix/Appendix%20S/AppS.doc" TargetMode="External"/><Relationship Id="rId360" Type="http://schemas.openxmlformats.org/officeDocument/2006/relationships/hyperlink" Target="http://www.optus.com.au/content/dam/optus/appendix/Appendix%20S/AppS.doc" TargetMode="External"/><Relationship Id="rId416" Type="http://schemas.openxmlformats.org/officeDocument/2006/relationships/hyperlink" Target="http://www.optus.com.au/content/dam/optus/appendix/Appendix%20S/AppS.doc" TargetMode="External"/><Relationship Id="rId598" Type="http://schemas.openxmlformats.org/officeDocument/2006/relationships/hyperlink" Target="http://www.optus.com.au/content/dam/optus/appendix/Appendix%20D/AppD.doc" TargetMode="External"/><Relationship Id="rId819" Type="http://schemas.openxmlformats.org/officeDocument/2006/relationships/hyperlink" Target="http://www.optus.com.au/content/dam/optus/appendix/Appendix%20Y/AppY.doc" TargetMode="External"/><Relationship Id="rId220" Type="http://schemas.openxmlformats.org/officeDocument/2006/relationships/hyperlink" Target="http://www.optus.com.au/content/dam/optus/appendix/Appendix%20J/AppJ.doc" TargetMode="External"/><Relationship Id="rId458" Type="http://schemas.openxmlformats.org/officeDocument/2006/relationships/hyperlink" Target="http://www.optus.com.au/content/dam/optus/appendix/Appendix%20S/AppS.doc" TargetMode="External"/><Relationship Id="rId623" Type="http://schemas.openxmlformats.org/officeDocument/2006/relationships/hyperlink" Target="http://www.optus.com.au/content/dam/optus/appendix/Appendix%20D/AppD.doc" TargetMode="External"/><Relationship Id="rId665" Type="http://schemas.openxmlformats.org/officeDocument/2006/relationships/hyperlink" Target="http://www.optus.com.au/content/dam/optus/appendix/Appendix%20D/AppD.doc" TargetMode="External"/><Relationship Id="rId830" Type="http://schemas.openxmlformats.org/officeDocument/2006/relationships/hyperlink" Target="http://www.optus.com.au/content/dam/optus/appendix/Appendix%20Y/AppY.doc" TargetMode="External"/><Relationship Id="rId872" Type="http://schemas.openxmlformats.org/officeDocument/2006/relationships/hyperlink" Target="http://www.optus.com.au/content/dam/optus/appendix/Appendix%20S/AppS.doc" TargetMode="External"/><Relationship Id="rId928" Type="http://schemas.openxmlformats.org/officeDocument/2006/relationships/hyperlink" Target="http://www.optus.com.au/content/dam/optus/appendix/Appendix%20S/AppS.doc" TargetMode="External"/><Relationship Id="rId15" Type="http://schemas.openxmlformats.org/officeDocument/2006/relationships/hyperlink" Target="http://www.optus.com.au/content/dam/optus/documents/about-us/legal/DigPricingS5a.doc" TargetMode="External"/><Relationship Id="rId57" Type="http://schemas.openxmlformats.org/officeDocument/2006/relationships/header" Target="header5.xml"/><Relationship Id="rId262" Type="http://schemas.openxmlformats.org/officeDocument/2006/relationships/hyperlink" Target="http://www.optus.com.au/content/dam/optus/appendix/Appendix%20S/AppS.doc" TargetMode="External"/><Relationship Id="rId318" Type="http://schemas.openxmlformats.org/officeDocument/2006/relationships/hyperlink" Target="http://www.optus.com.au/content/dam/optus/appendix/Appendix%20S/AppS.doc" TargetMode="External"/><Relationship Id="rId525" Type="http://schemas.openxmlformats.org/officeDocument/2006/relationships/hyperlink" Target="http://www.optus.com.au/content/dam/optus/appendix/Appendix%20S/AppS.doc" TargetMode="External"/><Relationship Id="rId567" Type="http://schemas.openxmlformats.org/officeDocument/2006/relationships/hyperlink" Target="http://www.optus.com.au/content/dam/optus/appendix/Appendix%20S/AppS.doc" TargetMode="External"/><Relationship Id="rId732" Type="http://schemas.openxmlformats.org/officeDocument/2006/relationships/hyperlink" Target="http://www.optus.com.au/content/dam/optus/appendix/Appendix%20S/AppS.doc" TargetMode="External"/><Relationship Id="rId99" Type="http://schemas.openxmlformats.org/officeDocument/2006/relationships/hyperlink" Target="http://www.optus.com.au/content/dam/optus/appendix/Appendix%20J/AppJ.doc" TargetMode="External"/><Relationship Id="rId122" Type="http://schemas.openxmlformats.org/officeDocument/2006/relationships/footer" Target="footer14.xml"/><Relationship Id="rId164" Type="http://schemas.openxmlformats.org/officeDocument/2006/relationships/hyperlink" Target="http://www.optus.com.au/content/dam/optus/appendix/Appendix%20S/AppS.doc" TargetMode="External"/><Relationship Id="rId371" Type="http://schemas.openxmlformats.org/officeDocument/2006/relationships/hyperlink" Target="http://www.optus.com.au/content/dam/optus/appendix/Appendix%20Y/AppY.doc" TargetMode="External"/><Relationship Id="rId774" Type="http://schemas.openxmlformats.org/officeDocument/2006/relationships/hyperlink" Target="http://www.optus.com.au/content/dam/optus/appendix/Appendix%20S/AppS.doc" TargetMode="External"/><Relationship Id="rId427" Type="http://schemas.openxmlformats.org/officeDocument/2006/relationships/hyperlink" Target="http://www.optus.com.au/content/dam/optus/appendix/Appendix%20S/AppS.doc" TargetMode="External"/><Relationship Id="rId469" Type="http://schemas.openxmlformats.org/officeDocument/2006/relationships/hyperlink" Target="http://www.optus.com.au/content/dam/optus/appendix/Appendix%20S/AppS.doc" TargetMode="External"/><Relationship Id="rId634" Type="http://schemas.openxmlformats.org/officeDocument/2006/relationships/hyperlink" Target="http://www.optus.com.au/content/dam/optus/appendix/Appendix%20D/AppD.doc" TargetMode="External"/><Relationship Id="rId676" Type="http://schemas.openxmlformats.org/officeDocument/2006/relationships/hyperlink" Target="http://www.optus.com.au/content/dam/optus/appendix/Appendix%20S/AppS.doc" TargetMode="External"/><Relationship Id="rId841" Type="http://schemas.openxmlformats.org/officeDocument/2006/relationships/hyperlink" Target="http://www.optus.com.au/content/dam/optus/appendix/Appendix%20S/AppS.doc" TargetMode="External"/><Relationship Id="rId883" Type="http://schemas.openxmlformats.org/officeDocument/2006/relationships/hyperlink" Target="http://www.optus.com.au/content/dam/optus/appendix/Appendix%20S/AppS.doc" TargetMode="External"/><Relationship Id="rId26" Type="http://schemas.openxmlformats.org/officeDocument/2006/relationships/hyperlink" Target="http://www.optus.com.au/content/dam/optus/documents/about-us/legal/DigPricingS1.doc" TargetMode="External"/><Relationship Id="rId231" Type="http://schemas.openxmlformats.org/officeDocument/2006/relationships/hyperlink" Target="http://www.optus.com.au/content/dam/optus/appendix/Appendix%20J/AppJ.doc" TargetMode="External"/><Relationship Id="rId273" Type="http://schemas.openxmlformats.org/officeDocument/2006/relationships/hyperlink" Target="http://www.optus.com.au/content/dam/optus/documents/about-us/legal/SMETerms.doc" TargetMode="External"/><Relationship Id="rId329" Type="http://schemas.openxmlformats.org/officeDocument/2006/relationships/hyperlink" Target="http://www.optus.com.au/content/dam/optus/documents/about-us/legal/DigPricingS1.doc" TargetMode="External"/><Relationship Id="rId480" Type="http://schemas.openxmlformats.org/officeDocument/2006/relationships/hyperlink" Target="http://www.optus.com.au/content/dam/optus/appendix/Appendix%20S/AppS.doc" TargetMode="External"/><Relationship Id="rId536" Type="http://schemas.openxmlformats.org/officeDocument/2006/relationships/hyperlink" Target="http://www.optus.com.au/content/dam/optus/appendix/Appendix%20S/AppS.doc" TargetMode="External"/><Relationship Id="rId701" Type="http://schemas.openxmlformats.org/officeDocument/2006/relationships/hyperlink" Target="http://smb.optus.com.au/opfiles/Shop/All/cis/Cis%20Documents/1415695_CIS_$70_My_Plan_Business.pdf" TargetMode="External"/><Relationship Id="rId939" Type="http://schemas.openxmlformats.org/officeDocument/2006/relationships/hyperlink" Target="http://www.optus.com.au/content/dam/optus/appendix/Appendix%20S/AppS.doc" TargetMode="External"/><Relationship Id="rId68" Type="http://schemas.openxmlformats.org/officeDocument/2006/relationships/hyperlink" Target="http://www.optus.com.au/content/dam/optus/appendix/Appendix%20Y/AppY.doc" TargetMode="External"/><Relationship Id="rId133" Type="http://schemas.openxmlformats.org/officeDocument/2006/relationships/hyperlink" Target="http://www.optus.com.au/content/dam/optus/appendix/Appendix%20S/AppS.doc" TargetMode="External"/><Relationship Id="rId175" Type="http://schemas.openxmlformats.org/officeDocument/2006/relationships/hyperlink" Target="http://www.optus.com.au/content/dam/optus/appendix/Appendix%20Y/AppY.doc" TargetMode="External"/><Relationship Id="rId340" Type="http://schemas.openxmlformats.org/officeDocument/2006/relationships/hyperlink" Target="http://www.optus.com.au/content/dam/optus/appendix/Appendix%20Y/AppY.doc" TargetMode="External"/><Relationship Id="rId578" Type="http://schemas.openxmlformats.org/officeDocument/2006/relationships/hyperlink" Target="http://www.optus.com.au/content/dam/optus/appendix/Appendix%20D/AppD.doc" TargetMode="External"/><Relationship Id="rId743" Type="http://schemas.openxmlformats.org/officeDocument/2006/relationships/hyperlink" Target="http://www.optus.com.au/content/dam/optus/appendix/Appendix%20S/AppS.doc" TargetMode="External"/><Relationship Id="rId785" Type="http://schemas.openxmlformats.org/officeDocument/2006/relationships/hyperlink" Target="http://www.optus.com.au/content/dam/optus/appendix/Appendix%20S/AppS.doc" TargetMode="External"/><Relationship Id="rId200" Type="http://schemas.openxmlformats.org/officeDocument/2006/relationships/hyperlink" Target="http://www.optus.com.au/content/dam/optus/documents/about-us/legal/DigPricingS1.doc" TargetMode="External"/><Relationship Id="rId382" Type="http://schemas.openxmlformats.org/officeDocument/2006/relationships/hyperlink" Target="http://www.optus.com.au/content/dam/optus/appendix/Appendix%20Y/AppY.doc" TargetMode="External"/><Relationship Id="rId438" Type="http://schemas.openxmlformats.org/officeDocument/2006/relationships/hyperlink" Target="http://www.optus.com.au/content/dam/optus/appendix/Appendix%20S/AppS.doc" TargetMode="External"/><Relationship Id="rId603" Type="http://schemas.openxmlformats.org/officeDocument/2006/relationships/hyperlink" Target="http://www.optus.com.au/content/dam/optus/appendix/Appendix%20S/AppS.doc" TargetMode="External"/><Relationship Id="rId645" Type="http://schemas.openxmlformats.org/officeDocument/2006/relationships/hyperlink" Target="http://www.optus.com.au/content/dam/optus/appendix/Appendix%20S/AppS.doc" TargetMode="External"/><Relationship Id="rId687" Type="http://schemas.openxmlformats.org/officeDocument/2006/relationships/hyperlink" Target="http://smb.optus.com.au/opfiles/Shop/All/cis/Cis%20Documents/CIS_$30_My_Plan_Business_12M_SIM.pdf" TargetMode="External"/><Relationship Id="rId810" Type="http://schemas.openxmlformats.org/officeDocument/2006/relationships/hyperlink" Target="http://www.optus.com.au/content/dam/optus/appendix/Appendix%20S/AppS.doc" TargetMode="External"/><Relationship Id="rId852" Type="http://schemas.openxmlformats.org/officeDocument/2006/relationships/hyperlink" Target="http://www.optus.com.au/content/dam/optus/appendix/Appendix%20S/AppS.doc" TargetMode="External"/><Relationship Id="rId908" Type="http://schemas.openxmlformats.org/officeDocument/2006/relationships/hyperlink" Target="http://www.optus.com.au/content/dam/optus/appendix/Appendix%20Y/AppY.doc" TargetMode="External"/><Relationship Id="rId242" Type="http://schemas.openxmlformats.org/officeDocument/2006/relationships/hyperlink" Target="http://www.optus.com.au/content/dam/optus/appendix/Appendix%20S/AppS.doc" TargetMode="External"/><Relationship Id="rId284" Type="http://schemas.openxmlformats.org/officeDocument/2006/relationships/hyperlink" Target="http://www.optus.com.au/content/dam/optus/appendix/Appendix%20Y/AppY.doc" TargetMode="External"/><Relationship Id="rId491" Type="http://schemas.openxmlformats.org/officeDocument/2006/relationships/hyperlink" Target="http://www.optus.com.au/content/dam/optus/appendix/Appendix%20S/AppS.doc" TargetMode="External"/><Relationship Id="rId505" Type="http://schemas.openxmlformats.org/officeDocument/2006/relationships/hyperlink" Target="http://www.optus.com.au/content/dam/optus/appendix/Appendix%20S/AppS.doc" TargetMode="External"/><Relationship Id="rId712" Type="http://schemas.openxmlformats.org/officeDocument/2006/relationships/hyperlink" Target="http://www.optus.com.au/content/dam/optus/appendix/Appendix%20Y/AppY.doc" TargetMode="External"/><Relationship Id="rId894" Type="http://schemas.openxmlformats.org/officeDocument/2006/relationships/hyperlink" Target="http://www.optus.com.au/content/dam/optus/appendix/Appendix%20S/AppS.doc" TargetMode="External"/><Relationship Id="rId37" Type="http://schemas.openxmlformats.org/officeDocument/2006/relationships/hyperlink" Target="http://www.optus.com.au/content/dam/optus/appendix/Appendix%20J/AppJ.doc" TargetMode="External"/><Relationship Id="rId79" Type="http://schemas.openxmlformats.org/officeDocument/2006/relationships/hyperlink" Target="http://www.optus.com.au/content/dam/optus/appendix/Appendix%20J/AppJ.doc" TargetMode="External"/><Relationship Id="rId102" Type="http://schemas.openxmlformats.org/officeDocument/2006/relationships/hyperlink" Target="http://www.optus.com.au/content/dam/optus/appendix/Appendix%20Y/AppY.doc" TargetMode="External"/><Relationship Id="rId144" Type="http://schemas.openxmlformats.org/officeDocument/2006/relationships/hyperlink" Target="http://www.optus.com.au/content/dam/optus/appendix/Appendix%20S/AppS.doc" TargetMode="External"/><Relationship Id="rId547" Type="http://schemas.openxmlformats.org/officeDocument/2006/relationships/hyperlink" Target="http://www.optus.com.au/content/dam/optus/appendix/Appendix%20S/AppS.doc" TargetMode="External"/><Relationship Id="rId589" Type="http://schemas.openxmlformats.org/officeDocument/2006/relationships/hyperlink" Target="http://www.optus.com.au/content/dam/optus/appendix/Appendix%20D/AppD.doc" TargetMode="External"/><Relationship Id="rId754" Type="http://schemas.openxmlformats.org/officeDocument/2006/relationships/hyperlink" Target="http://www.optus.com.au/content/dam/optus/appendix/Appendix%20S/AppS.doc" TargetMode="External"/><Relationship Id="rId796" Type="http://schemas.openxmlformats.org/officeDocument/2006/relationships/hyperlink" Target="http://www.optus.com.au/content/dam/optus/appendix/Appendix%20S/AppS.doc" TargetMode="External"/><Relationship Id="rId90" Type="http://schemas.openxmlformats.org/officeDocument/2006/relationships/hyperlink" Target="http://www.optus.com.au/content/dam/optus/appendix/Appendix%20J/AppJ.doc" TargetMode="External"/><Relationship Id="rId186" Type="http://schemas.openxmlformats.org/officeDocument/2006/relationships/hyperlink" Target="http://www.optus.com.au/content/dam/optus/documents/about-us/legal/DigPricingS1.doc" TargetMode="External"/><Relationship Id="rId351" Type="http://schemas.openxmlformats.org/officeDocument/2006/relationships/hyperlink" Target="http://www.optus.com.au/content/dam/optus/appendix/Appendix%20S/AppS.doc" TargetMode="External"/><Relationship Id="rId393" Type="http://schemas.openxmlformats.org/officeDocument/2006/relationships/hyperlink" Target="http://www.optus.com.au/content/dam/optus/appendix/Appendix%20S/AppS.doc" TargetMode="External"/><Relationship Id="rId407" Type="http://schemas.openxmlformats.org/officeDocument/2006/relationships/hyperlink" Target="http://www.optus.com.au/content/dam/optus/appendix/Appendix%20S/AppS.doc" TargetMode="External"/><Relationship Id="rId449" Type="http://schemas.openxmlformats.org/officeDocument/2006/relationships/hyperlink" Target="http://www.optus.com.au/content/dam/optus/appendix/Appendix%20S/AppS.doc" TargetMode="External"/><Relationship Id="rId614" Type="http://schemas.openxmlformats.org/officeDocument/2006/relationships/hyperlink" Target="http://www.optus.com.au/content/dam/optus/appendix/Appendix%20Y/AppY.doc" TargetMode="External"/><Relationship Id="rId656" Type="http://schemas.openxmlformats.org/officeDocument/2006/relationships/hyperlink" Target="http://www.optus.com.au/content/dam/optus/appendix/Appendix%20Y/AppY.doc" TargetMode="External"/><Relationship Id="rId821" Type="http://schemas.openxmlformats.org/officeDocument/2006/relationships/hyperlink" Target="http://www.optus.com.au/content/dam/optus/appendix/Appendix%20S/AppS.doc" TargetMode="External"/><Relationship Id="rId863" Type="http://schemas.openxmlformats.org/officeDocument/2006/relationships/hyperlink" Target="http://www.optus.com.au/content/dam/optus/appendix/Appendix%20S/AppS.doc" TargetMode="External"/><Relationship Id="rId211" Type="http://schemas.openxmlformats.org/officeDocument/2006/relationships/hyperlink" Target="http://www.optus.com.au/content/dam/optus/appendix/Appendix%20Y/AppY.doc" TargetMode="External"/><Relationship Id="rId253" Type="http://schemas.openxmlformats.org/officeDocument/2006/relationships/hyperlink" Target="http://www.optus.com.au/content/dam/optus/appendix/Appendix%20Y/AppY.doc" TargetMode="External"/><Relationship Id="rId295" Type="http://schemas.openxmlformats.org/officeDocument/2006/relationships/hyperlink" Target="http://www.optus.com.au/content/dam/optus/appendix/Appendix%20S/AppS.doc" TargetMode="External"/><Relationship Id="rId309" Type="http://schemas.openxmlformats.org/officeDocument/2006/relationships/hyperlink" Target="http://www.optus.com.au/content/dam/optus/documents/about-us/legal/SMETerms.doc" TargetMode="External"/><Relationship Id="rId460" Type="http://schemas.openxmlformats.org/officeDocument/2006/relationships/hyperlink" Target="http://www.optus.com.au/content/dam/optus/appendix/Appendix%20J/AppJ.doc" TargetMode="External"/><Relationship Id="rId516" Type="http://schemas.openxmlformats.org/officeDocument/2006/relationships/hyperlink" Target="http://www.optus.com.au/content/dam/optus/appendix/Appendix%20J/AppJ.doc" TargetMode="External"/><Relationship Id="rId698" Type="http://schemas.openxmlformats.org/officeDocument/2006/relationships/hyperlink" Target="http://smb.optus.com.au/opfiles/Shop/All/cis/Cis%20Documents/CIS_120_My_Plan_Plus.pdf" TargetMode="External"/><Relationship Id="rId919" Type="http://schemas.openxmlformats.org/officeDocument/2006/relationships/hyperlink" Target="http://www.optus.com.au/content/dam/optus/appendix/Appendix%20S/AppS.doc" TargetMode="External"/><Relationship Id="rId48" Type="http://schemas.openxmlformats.org/officeDocument/2006/relationships/hyperlink" Target="http://www.optus.com.au/content/dam/optus/appendix/Appendix%20IB/AppIB.doc" TargetMode="External"/><Relationship Id="rId113" Type="http://schemas.openxmlformats.org/officeDocument/2006/relationships/hyperlink" Target="http://www.optus.com.au/content/dam/optus/documents/about-us/legal/SMETerms.doc" TargetMode="External"/><Relationship Id="rId320" Type="http://schemas.openxmlformats.org/officeDocument/2006/relationships/hyperlink" Target="http://www.optus.com.au/content/dam/optus/appendix/Appendix%20S/AppS.doc" TargetMode="External"/><Relationship Id="rId558" Type="http://schemas.openxmlformats.org/officeDocument/2006/relationships/hyperlink" Target="http://www.optus.com.au/content/dam/optus/appendix/Appendix%20Y/AppY.doc" TargetMode="External"/><Relationship Id="rId723" Type="http://schemas.openxmlformats.org/officeDocument/2006/relationships/hyperlink" Target="http://www.optus.com.au/content/dam/optus/appendix/Appendix%20S/AppS.doc" TargetMode="External"/><Relationship Id="rId765" Type="http://schemas.openxmlformats.org/officeDocument/2006/relationships/hyperlink" Target="http://www.optus.com.au/content/dam/optus/appendix/Appendix%20S/AppS.doc" TargetMode="External"/><Relationship Id="rId930" Type="http://schemas.openxmlformats.org/officeDocument/2006/relationships/hyperlink" Target="http://www.optus.com.au/content/dam/optus/appendix/Appendix%20S/AppS.doc" TargetMode="External"/><Relationship Id="rId155" Type="http://schemas.openxmlformats.org/officeDocument/2006/relationships/hyperlink" Target="http://www.optus.com.au/content/dam/optus/appendix/Appendix%20J/AppJ.doc" TargetMode="External"/><Relationship Id="rId197" Type="http://schemas.openxmlformats.org/officeDocument/2006/relationships/hyperlink" Target="http://www.optus.com.au/content/dam/optus/appendix/Appendix%20Y/AppY.doc" TargetMode="External"/><Relationship Id="rId362" Type="http://schemas.openxmlformats.org/officeDocument/2006/relationships/hyperlink" Target="http://www.optus.com.au/content/dam/optus/appendix/Appendix%20J/AppJ.doc" TargetMode="External"/><Relationship Id="rId418" Type="http://schemas.openxmlformats.org/officeDocument/2006/relationships/hyperlink" Target="http://www.optus.com.au/content/dam/optus/documents/about-us/legal/SMETerms.doc" TargetMode="External"/><Relationship Id="rId625" Type="http://schemas.openxmlformats.org/officeDocument/2006/relationships/hyperlink" Target="http://www.optus.com.au/content/dam/optus/appendix/Appendix%20S/AppS.doc" TargetMode="External"/><Relationship Id="rId832" Type="http://schemas.openxmlformats.org/officeDocument/2006/relationships/hyperlink" Target="http://www.optus.com.au/content/dam/optus/appendix/Appendix%20S/AppS.doc" TargetMode="External"/><Relationship Id="rId222" Type="http://schemas.openxmlformats.org/officeDocument/2006/relationships/hyperlink" Target="http://www.optus.com.au/content/dam/optus/appendix/Appendix%20S/AppS.doc" TargetMode="External"/><Relationship Id="rId264" Type="http://schemas.openxmlformats.org/officeDocument/2006/relationships/hyperlink" Target="http://www.optus.com.au/content/dam/optus/appendix/Appendix%20S/AppS.doc" TargetMode="External"/><Relationship Id="rId471" Type="http://schemas.openxmlformats.org/officeDocument/2006/relationships/hyperlink" Target="http://www.optus.com.au/content/dam/optus/appendix/Appendix%20S/AppS.doc" TargetMode="External"/><Relationship Id="rId667" Type="http://schemas.openxmlformats.org/officeDocument/2006/relationships/hyperlink" Target="http://www.optus.com.au/content/dam/optus/appendix/Appendix%20S/AppS.doc" TargetMode="External"/><Relationship Id="rId874" Type="http://schemas.openxmlformats.org/officeDocument/2006/relationships/hyperlink" Target="http://www.optus.com.au/content/dam/optus/appendix/Appendix%20S/AppS.doc" TargetMode="External"/><Relationship Id="rId17" Type="http://schemas.openxmlformats.org/officeDocument/2006/relationships/hyperlink" Target="http://www.optus.com.au/content/dam/optus/appendix/Appendix%20Y/AppY.doc" TargetMode="External"/><Relationship Id="rId59" Type="http://schemas.openxmlformats.org/officeDocument/2006/relationships/header" Target="header6.xml"/><Relationship Id="rId124" Type="http://schemas.openxmlformats.org/officeDocument/2006/relationships/hyperlink" Target="http://www.optus.com.au/content/dam/optus/appendix/Appendix%20IB/AppIB.doc" TargetMode="External"/><Relationship Id="rId527" Type="http://schemas.openxmlformats.org/officeDocument/2006/relationships/hyperlink" Target="http://www.optus.com.au/content/dam/optus/appendix/Appendix%20S/AppS.doc" TargetMode="External"/><Relationship Id="rId569" Type="http://schemas.openxmlformats.org/officeDocument/2006/relationships/hyperlink" Target="http://www.optus.com.au/content/dam/optus/appendix/Appendix%20S/AppS.doc" TargetMode="External"/><Relationship Id="rId734" Type="http://schemas.openxmlformats.org/officeDocument/2006/relationships/hyperlink" Target="http://www.optus.com.au/content/dam/optus/appendix/Appendix%20D/AppD.doc" TargetMode="External"/><Relationship Id="rId776" Type="http://schemas.openxmlformats.org/officeDocument/2006/relationships/hyperlink" Target="http://www.optus.com.au/content/dam/optus/appendix/Appendix%20S/AppS.doc" TargetMode="External"/><Relationship Id="rId941" Type="http://schemas.openxmlformats.org/officeDocument/2006/relationships/hyperlink" Target="http://www.optus.com.au/content/dam/optus/appendix/Appendix%20D/AppD.doc" TargetMode="External"/><Relationship Id="rId70" Type="http://schemas.openxmlformats.org/officeDocument/2006/relationships/hyperlink" Target="http://www.optus.com.au/content/dam/optus/documents/about-us/legal/DigPricingS1.doc" TargetMode="External"/><Relationship Id="rId166" Type="http://schemas.openxmlformats.org/officeDocument/2006/relationships/hyperlink" Target="http://www.optus.com.au/content/dam/optus/appendix/Appendix%20S/AppS.doc" TargetMode="External"/><Relationship Id="rId331" Type="http://schemas.openxmlformats.org/officeDocument/2006/relationships/hyperlink" Target="http://www.optus.com.au/content/dam/optus/appendix/Appendix%20S/AppS.doc" TargetMode="External"/><Relationship Id="rId373" Type="http://schemas.openxmlformats.org/officeDocument/2006/relationships/hyperlink" Target="http://www.optus.com.au/content/dam/optus/appendix/Appendix%20S/AppS.doc" TargetMode="External"/><Relationship Id="rId429" Type="http://schemas.openxmlformats.org/officeDocument/2006/relationships/hyperlink" Target="http://www.optus.com.au/content/dam/optus/appendix/Appendix%20S/AppS.doc" TargetMode="External"/><Relationship Id="rId580" Type="http://schemas.openxmlformats.org/officeDocument/2006/relationships/hyperlink" Target="http://www.optus.com.au/content/dam/optus/appendix/Appendix%20S/AppS.doc" TargetMode="External"/><Relationship Id="rId636" Type="http://schemas.openxmlformats.org/officeDocument/2006/relationships/hyperlink" Target="http://www.optus.com.au/content/dam/optus/appendix/Appendix%20S/AppS.doc" TargetMode="External"/><Relationship Id="rId801" Type="http://schemas.openxmlformats.org/officeDocument/2006/relationships/hyperlink" Target="http://www.optus.com.au/content/dam/optus/appendix/Appendix%20D/AppD.doc" TargetMode="External"/><Relationship Id="rId1" Type="http://schemas.openxmlformats.org/officeDocument/2006/relationships/customXml" Target="../customXml/item1.xml"/><Relationship Id="rId233" Type="http://schemas.openxmlformats.org/officeDocument/2006/relationships/hyperlink" Target="http://www.optus.com.au/content/dam/optus/appendix/Appendix%20S/AppS.doc" TargetMode="External"/><Relationship Id="rId440" Type="http://schemas.openxmlformats.org/officeDocument/2006/relationships/hyperlink" Target="http://www.optus.com.au/content/dam/optus/appendix/Appendix%20S/AppS.doc" TargetMode="External"/><Relationship Id="rId678" Type="http://schemas.openxmlformats.org/officeDocument/2006/relationships/hyperlink" Target="http://smb.optus.com.au/opfiles/Shop/All/cis/Cis%20Documents/1415694_CIS_$45_My_Plan_Business.pdf" TargetMode="External"/><Relationship Id="rId843" Type="http://schemas.openxmlformats.org/officeDocument/2006/relationships/hyperlink" Target="http://www.optus.com.au/content/dam/optus/appendix/Appendix%20Y/AppY.doc" TargetMode="External"/><Relationship Id="rId885" Type="http://schemas.openxmlformats.org/officeDocument/2006/relationships/hyperlink" Target="http://www.optus.com.au/content/dam/optus/appendix/Appendix%20S/AppS.doc" TargetMode="External"/><Relationship Id="rId28" Type="http://schemas.openxmlformats.org/officeDocument/2006/relationships/hyperlink" Target="http://www.optus.com.au/content/dam/optus/documents/about-us/legal/SMETerms.doc" TargetMode="External"/><Relationship Id="rId275" Type="http://schemas.openxmlformats.org/officeDocument/2006/relationships/hyperlink" Target="http://www.optus.com.au/content/dam/optus/documents/about-us/legal/DigPricingS1.doc" TargetMode="External"/><Relationship Id="rId300" Type="http://schemas.openxmlformats.org/officeDocument/2006/relationships/hyperlink" Target="http://www.optus.com.au/content/dam/optus/appendix/Appendix%20S/AppS.doc" TargetMode="External"/><Relationship Id="rId482" Type="http://schemas.openxmlformats.org/officeDocument/2006/relationships/hyperlink" Target="http://www.optus.com.au/content/dam/optus/appendix/Appendix%20S/AppS.doc" TargetMode="External"/><Relationship Id="rId538" Type="http://schemas.openxmlformats.org/officeDocument/2006/relationships/hyperlink" Target="http://www.optus.com.au/content/dam/optus/appendix/Appendix%20S/AppS.doc" TargetMode="External"/><Relationship Id="rId703" Type="http://schemas.openxmlformats.org/officeDocument/2006/relationships/hyperlink" Target="http://smb.optus.com.au/opfiles/Shop/All/cis/Cis%20Documents/1415700_CIS_$70_My_Plan_Business_TF.pdf" TargetMode="External"/><Relationship Id="rId745" Type="http://schemas.openxmlformats.org/officeDocument/2006/relationships/hyperlink" Target="http://www.optus.com.au/content/dam/optus/appendix/Appendix%20S/AppS.doc" TargetMode="External"/><Relationship Id="rId910" Type="http://schemas.openxmlformats.org/officeDocument/2006/relationships/hyperlink" Target="http://www.optus.com.au/content/dam/optus/appendix/Appendix%20Y/AppY.doc" TargetMode="External"/><Relationship Id="rId81" Type="http://schemas.openxmlformats.org/officeDocument/2006/relationships/header" Target="header7.xml"/><Relationship Id="rId135" Type="http://schemas.openxmlformats.org/officeDocument/2006/relationships/hyperlink" Target="http://www.optus.com.au/content/dam/optus/appendix/Appendix%20J/AppJ.doc" TargetMode="External"/><Relationship Id="rId177" Type="http://schemas.openxmlformats.org/officeDocument/2006/relationships/hyperlink" Target="http://www.optus.com.au/content/dam/optus/appendix/Appendix%20Y/AppY.doc" TargetMode="External"/><Relationship Id="rId342" Type="http://schemas.openxmlformats.org/officeDocument/2006/relationships/hyperlink" Target="http://www.optus.com.au/content/dam/optus/documents/about-us/legal/SMETerms.doc" TargetMode="External"/><Relationship Id="rId384" Type="http://schemas.openxmlformats.org/officeDocument/2006/relationships/hyperlink" Target="http://www.optus.com.au/content/dam/optus/appendix/Appendix%20S/AppS.doc" TargetMode="External"/><Relationship Id="rId591" Type="http://schemas.openxmlformats.org/officeDocument/2006/relationships/hyperlink" Target="http://www.optus.com.au/content/dam/optus/appendix/Appendix%20S/AppS.doc" TargetMode="External"/><Relationship Id="rId605" Type="http://schemas.openxmlformats.org/officeDocument/2006/relationships/hyperlink" Target="http://www.optus.com.au/content/dam/optus/appendix/Appendix%20D/AppD.doc" TargetMode="External"/><Relationship Id="rId787" Type="http://schemas.openxmlformats.org/officeDocument/2006/relationships/hyperlink" Target="http://www.optus.com.au/content/dam/optus/appendix/Appendix%20S/AppS.doc" TargetMode="External"/><Relationship Id="rId812" Type="http://schemas.openxmlformats.org/officeDocument/2006/relationships/hyperlink" Target="http://www.optus.com.au/content/dam/optus/appendix/Appendix%20Y/AppY.doc" TargetMode="External"/><Relationship Id="rId202" Type="http://schemas.openxmlformats.org/officeDocument/2006/relationships/hyperlink" Target="http://www.optus.com.au/content/dam/optus/appendix/Appendix%20S/AppS.doc" TargetMode="External"/><Relationship Id="rId244" Type="http://schemas.openxmlformats.org/officeDocument/2006/relationships/hyperlink" Target="http://www.optus.com.au/content/dam/optus/appendix/Appendix%20S/AppS.doc" TargetMode="External"/><Relationship Id="rId647" Type="http://schemas.openxmlformats.org/officeDocument/2006/relationships/hyperlink" Target="http://www.optus.com.au/content/dam/optus/appendix/Appendix%20D/AppD.doc" TargetMode="External"/><Relationship Id="rId689" Type="http://schemas.openxmlformats.org/officeDocument/2006/relationships/hyperlink" Target="http://smb.optus.com.au/opfiles/Shop/All/cis/Cis%20Documents/CIS_$50_My_Plan_Business_12M_SIM.pdf" TargetMode="External"/><Relationship Id="rId854" Type="http://schemas.openxmlformats.org/officeDocument/2006/relationships/hyperlink" Target="http://www.optus.com.au/content/dam/optus/appendix/Appendix%20S/AppS.doc" TargetMode="External"/><Relationship Id="rId896" Type="http://schemas.openxmlformats.org/officeDocument/2006/relationships/hyperlink" Target="http://www.optus.com.au/content/dam/optus/appendix/Appendix%20S/AppS.doc" TargetMode="External"/><Relationship Id="rId39" Type="http://schemas.openxmlformats.org/officeDocument/2006/relationships/hyperlink" Target="http://www.optus.com.au/content/dam/optus/appendix/Appendix%20J/AppJ.doc" TargetMode="External"/><Relationship Id="rId286" Type="http://schemas.openxmlformats.org/officeDocument/2006/relationships/hyperlink" Target="http://www.optus.com.au/content/dam/optus/appendix/Appendix%20S/AppS.doc" TargetMode="External"/><Relationship Id="rId451" Type="http://schemas.openxmlformats.org/officeDocument/2006/relationships/hyperlink" Target="http://www.optus.com.au/content/dam/optus/appendix/Appendix%20S/AppS.doc" TargetMode="External"/><Relationship Id="rId493" Type="http://schemas.openxmlformats.org/officeDocument/2006/relationships/hyperlink" Target="http://www.optus.com.au/content/dam/optus/documents/about-us/legal/DigPricingS1.doc" TargetMode="External"/><Relationship Id="rId507" Type="http://schemas.openxmlformats.org/officeDocument/2006/relationships/hyperlink" Target="http://www.optus.com.au/content/dam/optus/appendix/Appendix%20S/AppS.doc" TargetMode="External"/><Relationship Id="rId549" Type="http://schemas.openxmlformats.org/officeDocument/2006/relationships/hyperlink" Target="http://www.optus.com.au/content/dam/optus/appendix/Appendix%20S/AppS.doc" TargetMode="External"/><Relationship Id="rId714" Type="http://schemas.openxmlformats.org/officeDocument/2006/relationships/hyperlink" Target="http://www.optus.com.au/content/dam/optus/appendix/Appendix%20S/AppS.doc" TargetMode="External"/><Relationship Id="rId756" Type="http://schemas.openxmlformats.org/officeDocument/2006/relationships/hyperlink" Target="http://www.optus.com.au/content/dam/optus/appendix/Appendix%20Y/AppY.doc" TargetMode="External"/><Relationship Id="rId921" Type="http://schemas.openxmlformats.org/officeDocument/2006/relationships/hyperlink" Target="http://www.optus.com.au/content/dam/optus/appendix/Appendix%20S/AppS.doc" TargetMode="External"/><Relationship Id="rId50" Type="http://schemas.openxmlformats.org/officeDocument/2006/relationships/hyperlink" Target="http://www.optus.com.au/content/dam/optus/appendix/Appendix%20S/AppS.doc" TargetMode="External"/><Relationship Id="rId104" Type="http://schemas.openxmlformats.org/officeDocument/2006/relationships/hyperlink" Target="http://www.optus.com.au/content/dam/optus/documents/about-us/legal/SMETerms.doc" TargetMode="External"/><Relationship Id="rId146" Type="http://schemas.openxmlformats.org/officeDocument/2006/relationships/hyperlink" Target="http://www.optus.com.au/content/dam/optus/appendix/Appendix%20S/AppS.doc" TargetMode="External"/><Relationship Id="rId188" Type="http://schemas.openxmlformats.org/officeDocument/2006/relationships/hyperlink" Target="http://www.optus.com.au/content/dam/optus/appendix/Appendix%20S/AppS.doc" TargetMode="External"/><Relationship Id="rId311" Type="http://schemas.openxmlformats.org/officeDocument/2006/relationships/hyperlink" Target="http://www.optus.com.au/content/dam/optus/documents/about-us/legal/DigPricingS1.doc" TargetMode="External"/><Relationship Id="rId353" Type="http://schemas.openxmlformats.org/officeDocument/2006/relationships/hyperlink" Target="http://www.optus.com.au/content/dam/optus/appendix/Appendix%20S/AppS.doc" TargetMode="External"/><Relationship Id="rId395" Type="http://schemas.openxmlformats.org/officeDocument/2006/relationships/hyperlink" Target="http://www.optus.com.au/content/dam/optus/appendix/Appendix%20S/AppS.doc" TargetMode="External"/><Relationship Id="rId409" Type="http://schemas.openxmlformats.org/officeDocument/2006/relationships/hyperlink" Target="http://www.optus.com.au/content/dam/optus/appendix/Appendix%20S/AppS.doc" TargetMode="External"/><Relationship Id="rId560" Type="http://schemas.openxmlformats.org/officeDocument/2006/relationships/hyperlink" Target="http://www.optus.com.au/content/dam/optus/documents/about-us/legal/DigPricingS1.doc" TargetMode="External"/><Relationship Id="rId798" Type="http://schemas.openxmlformats.org/officeDocument/2006/relationships/hyperlink" Target="http://www.optus.com.au/content/dam/optus/appendix/Appendix%20S/AppS.doc" TargetMode="External"/><Relationship Id="rId92" Type="http://schemas.openxmlformats.org/officeDocument/2006/relationships/header" Target="header9.xml"/><Relationship Id="rId213" Type="http://schemas.openxmlformats.org/officeDocument/2006/relationships/hyperlink" Target="http://www.optus.com.au/content/dam/optus/documents/about-us/legal/SMETerms.doc" TargetMode="External"/><Relationship Id="rId420" Type="http://schemas.openxmlformats.org/officeDocument/2006/relationships/hyperlink" Target="http://www.optus.com.au/content/dam/optus/appendix/Appendix%20Y/AppY.doc" TargetMode="External"/><Relationship Id="rId616" Type="http://schemas.openxmlformats.org/officeDocument/2006/relationships/hyperlink" Target="http://www.optus.com.au/content/dam/optus/appendix/Appendix%20S/AppS.doc" TargetMode="External"/><Relationship Id="rId658" Type="http://schemas.openxmlformats.org/officeDocument/2006/relationships/hyperlink" Target="http://www.optus.com.au/content/dam/optus/appendix/Appendix%20Y/AppY.doc" TargetMode="External"/><Relationship Id="rId823" Type="http://schemas.openxmlformats.org/officeDocument/2006/relationships/hyperlink" Target="http://www.optus.com.au/content/dam/optus/appendix/Appendix%20S/AppS.doc" TargetMode="External"/><Relationship Id="rId865" Type="http://schemas.openxmlformats.org/officeDocument/2006/relationships/hyperlink" Target="http://www.optus.com.au/content/dam/optus/appendix/Appendix%20S/AppS.doc" TargetMode="External"/><Relationship Id="rId255" Type="http://schemas.openxmlformats.org/officeDocument/2006/relationships/hyperlink" Target="http://www.optus.com.au/content/dam/optus/appendix/Appendix%20S/AppS.doc" TargetMode="External"/><Relationship Id="rId297" Type="http://schemas.openxmlformats.org/officeDocument/2006/relationships/hyperlink" Target="http://www.optus.com.au/content/dam/optus/appendix/Appendix%20S/AppS.doc" TargetMode="External"/><Relationship Id="rId462" Type="http://schemas.openxmlformats.org/officeDocument/2006/relationships/hyperlink" Target="http://www.optus.com.au/content/dam/optus/appendix/Appendix%20S/AppS.doc" TargetMode="External"/><Relationship Id="rId518" Type="http://schemas.openxmlformats.org/officeDocument/2006/relationships/hyperlink" Target="http://www.optus.com.au/content/dam/optus/appendix/Appendix%20S/AppS.doc" TargetMode="External"/><Relationship Id="rId725" Type="http://schemas.openxmlformats.org/officeDocument/2006/relationships/hyperlink" Target="http://www.optus.com.au/content/dam/optus/appendix/Appendix%20S/AppS.doc" TargetMode="External"/><Relationship Id="rId932" Type="http://schemas.openxmlformats.org/officeDocument/2006/relationships/hyperlink" Target="http://www.optus.com.au/content/dam/optus/appendix/Appendix%20D/AppD.doc" TargetMode="External"/><Relationship Id="rId115" Type="http://schemas.openxmlformats.org/officeDocument/2006/relationships/hyperlink" Target="http://www.optus.com.au/content/dam/optus/appendix/Appendix%20S/AppS.doc" TargetMode="External"/><Relationship Id="rId157" Type="http://schemas.openxmlformats.org/officeDocument/2006/relationships/hyperlink" Target="http://www.optus.com.au/content/dam/optus/appendix/Appendix%20Y/AppY.doc" TargetMode="External"/><Relationship Id="rId322" Type="http://schemas.openxmlformats.org/officeDocument/2006/relationships/hyperlink" Target="http://www.optus.com.au/content/dam/optus/appendix/Appendix%20S/AppS.doc" TargetMode="External"/><Relationship Id="rId364" Type="http://schemas.openxmlformats.org/officeDocument/2006/relationships/hyperlink" Target="http://www.optus.com.au/content/dam/optus/appendix/Appendix%20S/AppS.doc" TargetMode="External"/><Relationship Id="rId767" Type="http://schemas.openxmlformats.org/officeDocument/2006/relationships/hyperlink" Target="http://www.optus.com.au/content/dam/optus/appendix/Appendix%20Y/AppY.doc" TargetMode="External"/><Relationship Id="rId61" Type="http://schemas.openxmlformats.org/officeDocument/2006/relationships/hyperlink" Target="http://www.optus.com.au/content/dam/optus/documents/about-us/legal/SMETerms.doc" TargetMode="External"/><Relationship Id="rId199" Type="http://schemas.openxmlformats.org/officeDocument/2006/relationships/hyperlink" Target="http://www.optus.com.au/content/dam/optus/appendix/Appendix%20IB/AppIB.doc" TargetMode="External"/><Relationship Id="rId571" Type="http://schemas.openxmlformats.org/officeDocument/2006/relationships/hyperlink" Target="http://www.optus.com.au/content/dam/optus/appendix/Appendix%20S/AppS.doc" TargetMode="External"/><Relationship Id="rId627" Type="http://schemas.openxmlformats.org/officeDocument/2006/relationships/hyperlink" Target="http://www.optus.com.au/content/dam/optus/appendix/Appendix%20S/AppS.doc" TargetMode="External"/><Relationship Id="rId669" Type="http://schemas.openxmlformats.org/officeDocument/2006/relationships/hyperlink" Target="http://www.optus.com.au/content/dam/optus/appendix/Appendix%20D/AppD.doc" TargetMode="External"/><Relationship Id="rId834" Type="http://schemas.openxmlformats.org/officeDocument/2006/relationships/hyperlink" Target="http://www.optus.com.au/content/dam/optus/appendix/Appendix%20S/AppS.doc" TargetMode="External"/><Relationship Id="rId876" Type="http://schemas.openxmlformats.org/officeDocument/2006/relationships/hyperlink" Target="http://www.optus.com.au/content/dam/optus/appendix/Appendix%20Y/AppY.doc" TargetMode="External"/><Relationship Id="rId19" Type="http://schemas.openxmlformats.org/officeDocument/2006/relationships/hyperlink" Target="http://www.optus.com.au/content/dam/optus/documents/about-us/legal/SMETerms.doc" TargetMode="External"/><Relationship Id="rId224" Type="http://schemas.openxmlformats.org/officeDocument/2006/relationships/hyperlink" Target="http://www.optus.com.au/content/dam/optus/documents/about-us/legal/SMETerms.doc" TargetMode="External"/><Relationship Id="rId266" Type="http://schemas.openxmlformats.org/officeDocument/2006/relationships/hyperlink" Target="http://www.optus.com.au/content/dam/optus/appendix/Appendix%20S/AppS.doc" TargetMode="External"/><Relationship Id="rId431" Type="http://schemas.openxmlformats.org/officeDocument/2006/relationships/hyperlink" Target="http://www.optus.com.au/content/dam/optus/appendix/Appendix%20Y/AppY.doc" TargetMode="External"/><Relationship Id="rId473" Type="http://schemas.openxmlformats.org/officeDocument/2006/relationships/hyperlink" Target="http://www.optus.com.au/content/dam/optus/appendix/Appendix%20S/AppS.doc" TargetMode="External"/><Relationship Id="rId529" Type="http://schemas.openxmlformats.org/officeDocument/2006/relationships/hyperlink" Target="http://www.optus.com.au/content/dam/optus/appendix/Appendix%20S/AppS.doc" TargetMode="External"/><Relationship Id="rId680" Type="http://schemas.openxmlformats.org/officeDocument/2006/relationships/hyperlink" Target="http://smb.optus.com.au/opfiles/Shop/All/cis/Cis%20Documents/1415699_CIS_$45_My_Plan_Business_TF.pdf" TargetMode="External"/><Relationship Id="rId736" Type="http://schemas.openxmlformats.org/officeDocument/2006/relationships/hyperlink" Target="http://www.optus.com.au/content/dam/optus/appendix/Appendix%20S/AppS.doc" TargetMode="External"/><Relationship Id="rId901" Type="http://schemas.openxmlformats.org/officeDocument/2006/relationships/hyperlink" Target="http://www.optus.com.au/content/dam/optus/appendix/Appendix%20J/AppJ.doc" TargetMode="External"/><Relationship Id="rId30" Type="http://schemas.openxmlformats.org/officeDocument/2006/relationships/hyperlink" Target="http://www.optus.com.au/content/dam/optus/documents/about-us/legal/DigPricingS1.doc" TargetMode="External"/><Relationship Id="rId126" Type="http://schemas.openxmlformats.org/officeDocument/2006/relationships/hyperlink" Target="http://www.optus.com.au/content/dam/optus/appendix/Appendix%20S/AppS.doc" TargetMode="External"/><Relationship Id="rId168" Type="http://schemas.openxmlformats.org/officeDocument/2006/relationships/hyperlink" Target="http://www.optus.com.au/content/dam/optus/appendix/Appendix%20S/AppS.doc" TargetMode="External"/><Relationship Id="rId333" Type="http://schemas.openxmlformats.org/officeDocument/2006/relationships/hyperlink" Target="http://www.optus.com.au/content/dam/optus/appendix/Appendix%20S/AppS.doc" TargetMode="External"/><Relationship Id="rId540" Type="http://schemas.openxmlformats.org/officeDocument/2006/relationships/hyperlink" Target="http://www.optus.com.au/content/dam/optus/appendix/Appendix%20J/AppJ.doc" TargetMode="External"/><Relationship Id="rId778" Type="http://schemas.openxmlformats.org/officeDocument/2006/relationships/hyperlink" Target="http://www.optus.com.au/content/dam/optus/appendix/Appendix%20D/AppD.doc" TargetMode="External"/><Relationship Id="rId943" Type="http://schemas.openxmlformats.org/officeDocument/2006/relationships/hyperlink" Target="http://www.optus.com.au/content/dam/optus/appendix/Appendix%20S/AppS.doc" TargetMode="External"/><Relationship Id="rId72" Type="http://schemas.openxmlformats.org/officeDocument/2006/relationships/hyperlink" Target="http://www.optus.com.au/content/dam/optus/appendix/Appendix%20IB/AppIB.doc" TargetMode="External"/><Relationship Id="rId375" Type="http://schemas.openxmlformats.org/officeDocument/2006/relationships/hyperlink" Target="http://www.optus.com.au/content/dam/optus/appendix/Appendix%20S/AppS.doc" TargetMode="External"/><Relationship Id="rId582" Type="http://schemas.openxmlformats.org/officeDocument/2006/relationships/hyperlink" Target="http://www.optus.com.au/content/dam/optus/appendix/Appendix%20Y/AppY.doc" TargetMode="External"/><Relationship Id="rId638" Type="http://schemas.openxmlformats.org/officeDocument/2006/relationships/hyperlink" Target="http://www.optus.com.au/content/dam/optus/appendix/Appendix%20S/AppS.doc" TargetMode="External"/><Relationship Id="rId803" Type="http://schemas.openxmlformats.org/officeDocument/2006/relationships/hyperlink" Target="http://www.optus.com.au/content/dam/optus/appendix/Appendix%20S/AppS.doc" TargetMode="External"/><Relationship Id="rId845" Type="http://schemas.openxmlformats.org/officeDocument/2006/relationships/hyperlink" Target="http://www.optus.com.au/content/dam/optus/appendix/Appendix%20S/AppS.doc" TargetMode="External"/><Relationship Id="rId3" Type="http://schemas.openxmlformats.org/officeDocument/2006/relationships/numbering" Target="numbering.xml"/><Relationship Id="rId235" Type="http://schemas.openxmlformats.org/officeDocument/2006/relationships/hyperlink" Target="http://www.optus.com.au/content/dam/optus/appendix/Appendix%20S/AppS.doc" TargetMode="External"/><Relationship Id="rId277" Type="http://schemas.openxmlformats.org/officeDocument/2006/relationships/hyperlink" Target="http://www.optus.com.au/content/dam/optus/appendix/Appendix%20S/AppS.doc" TargetMode="External"/><Relationship Id="rId400" Type="http://schemas.openxmlformats.org/officeDocument/2006/relationships/hyperlink" Target="http://www.optus.com.au/content/dam/optus/appendix/Appendix%20J/AppJ.doc" TargetMode="External"/><Relationship Id="rId442" Type="http://schemas.openxmlformats.org/officeDocument/2006/relationships/hyperlink" Target="http://www.optus.com.au/content/dam/optus/appendix/Appendix%20S/AppS.doc" TargetMode="External"/><Relationship Id="rId484" Type="http://schemas.openxmlformats.org/officeDocument/2006/relationships/hyperlink" Target="http://www.optus.com.au/content/dam/optus/appendix/Appendix%20Y/AppY.doc" TargetMode="External"/><Relationship Id="rId705" Type="http://schemas.openxmlformats.org/officeDocument/2006/relationships/hyperlink" Target="http://smb.optus.com.au/opfiles/Shop/All/cis/Cis%20Documents/1417672_CIS_$70_My_Plan_Business.pdf" TargetMode="External"/><Relationship Id="rId887" Type="http://schemas.openxmlformats.org/officeDocument/2006/relationships/hyperlink" Target="http://www.optus.com.au/content/dam/optus/appendix/Appendix%20S/AppS.doc" TargetMode="External"/><Relationship Id="rId137" Type="http://schemas.openxmlformats.org/officeDocument/2006/relationships/hyperlink" Target="http://www.optus.com.au/content/dam/optus/appendix/Appendix%20S/AppS.doc" TargetMode="External"/><Relationship Id="rId302" Type="http://schemas.openxmlformats.org/officeDocument/2006/relationships/hyperlink" Target="http://www.optus.com.au/content/dam/optus/appendix/Appendix%20J/AppJ.doc" TargetMode="External"/><Relationship Id="rId344" Type="http://schemas.openxmlformats.org/officeDocument/2006/relationships/hyperlink" Target="http://www.optus.com.au/content/dam/optus/documents/about-us/legal/DigPricingS1.doc" TargetMode="External"/><Relationship Id="rId691" Type="http://schemas.openxmlformats.org/officeDocument/2006/relationships/hyperlink" Target="http://smb.optus.com.au/opfiles/Shop/All/cis/Cis%20Documents/CIS_$40_My_Plan_Business_12M_SIM_Only.pdf" TargetMode="External"/><Relationship Id="rId747" Type="http://schemas.openxmlformats.org/officeDocument/2006/relationships/hyperlink" Target="http://www.optus.com.au/content/dam/optus/appendix/Appendix%20S/AppS.doc" TargetMode="External"/><Relationship Id="rId789" Type="http://schemas.openxmlformats.org/officeDocument/2006/relationships/hyperlink" Target="http://www.optus.com.au/content/dam/optus/appendix/Appendix%20Y/AppY.doc" TargetMode="External"/><Relationship Id="rId912" Type="http://schemas.openxmlformats.org/officeDocument/2006/relationships/hyperlink" Target="http://www.optus.com.au/content/dam/optus/appendix/Appendix%20S/AppS.doc" TargetMode="External"/><Relationship Id="rId41" Type="http://schemas.openxmlformats.org/officeDocument/2006/relationships/hyperlink" Target="http://www.optus.com.au/content/dam/optus/appendix/Appendix%20J/AppJ.doc" TargetMode="External"/><Relationship Id="rId83" Type="http://schemas.openxmlformats.org/officeDocument/2006/relationships/header" Target="header8.xml"/><Relationship Id="rId179" Type="http://schemas.openxmlformats.org/officeDocument/2006/relationships/hyperlink" Target="http://www.optus.com.au/content/dam/optus/documents/about-us/legal/SMETerms.doc" TargetMode="External"/><Relationship Id="rId386" Type="http://schemas.openxmlformats.org/officeDocument/2006/relationships/hyperlink" Target="http://www.optus.com.au/content/dam/optus/documents/about-us/legal/SMETerms.doc" TargetMode="External"/><Relationship Id="rId551" Type="http://schemas.openxmlformats.org/officeDocument/2006/relationships/hyperlink" Target="http://www.optus.com.au/content/dam/optus/appendix/Appendix%20S/AppS.doc" TargetMode="External"/><Relationship Id="rId593" Type="http://schemas.openxmlformats.org/officeDocument/2006/relationships/hyperlink" Target="http://www.optus.com.au/content/dam/optus/appendix/Appendix%20D/AppD.doc" TargetMode="External"/><Relationship Id="rId607" Type="http://schemas.openxmlformats.org/officeDocument/2006/relationships/hyperlink" Target="http://www.optus.com.au/content/dam/optus/appendix/Appendix%20S/AppS.doc" TargetMode="External"/><Relationship Id="rId649" Type="http://schemas.openxmlformats.org/officeDocument/2006/relationships/hyperlink" Target="http://www.optus.com.au/content/dam/optus/appendix/Appendix%20S/AppS.doc" TargetMode="External"/><Relationship Id="rId814" Type="http://schemas.openxmlformats.org/officeDocument/2006/relationships/hyperlink" Target="http://www.optus.com.au/content/dam/optus/appendix/Appendix%20S/AppS.doc" TargetMode="External"/><Relationship Id="rId856" Type="http://schemas.openxmlformats.org/officeDocument/2006/relationships/hyperlink" Target="http://www.optus.com.au/content/dam/optus/appendix/Appendix%20S/AppS.doc" TargetMode="External"/><Relationship Id="rId190" Type="http://schemas.openxmlformats.org/officeDocument/2006/relationships/hyperlink" Target="http://www.optus.com.au/content/dam/optus/appendix/Appendix%20J/AppJ.doc" TargetMode="External"/><Relationship Id="rId204" Type="http://schemas.openxmlformats.org/officeDocument/2006/relationships/hyperlink" Target="http://www.optus.com.au/content/dam/optus/appendix/Appendix%20S/AppS.doc" TargetMode="External"/><Relationship Id="rId246" Type="http://schemas.openxmlformats.org/officeDocument/2006/relationships/hyperlink" Target="http://www.optus.com.au/content/dam/optus/appendix/Appendix%20Y/AppY.doc" TargetMode="External"/><Relationship Id="rId288" Type="http://schemas.openxmlformats.org/officeDocument/2006/relationships/hyperlink" Target="http://www.optus.com.au/content/dam/optus/documents/about-us/legal/SMETerms.doc" TargetMode="External"/><Relationship Id="rId411" Type="http://schemas.openxmlformats.org/officeDocument/2006/relationships/hyperlink" Target="http://www.optus.com.au/content/dam/optus/appendix/Appendix%20S/AppS.doc" TargetMode="External"/><Relationship Id="rId453" Type="http://schemas.openxmlformats.org/officeDocument/2006/relationships/hyperlink" Target="http://www.optus.com.au/content/dam/optus/appendix/Appendix%20Y/AppY.doc" TargetMode="External"/><Relationship Id="rId509" Type="http://schemas.openxmlformats.org/officeDocument/2006/relationships/hyperlink" Target="http://www.optus.com.au/content/dam/optus/appendix/Appendix%20Y/AppY.doc" TargetMode="External"/><Relationship Id="rId660" Type="http://schemas.openxmlformats.org/officeDocument/2006/relationships/hyperlink" Target="http://www.optus.com.au/content/dam/optus/appendix/Appendix%20S/AppS.doc" TargetMode="External"/><Relationship Id="rId898" Type="http://schemas.openxmlformats.org/officeDocument/2006/relationships/hyperlink" Target="http://www.optus.com.au/content/dam/optus/appendix/Appendix%20J/AppJ.doc" TargetMode="External"/><Relationship Id="rId106" Type="http://schemas.openxmlformats.org/officeDocument/2006/relationships/hyperlink" Target="file:///\\bmgsmp1012\dsc$\DSCOperations\ChronosCentral\121223\Input\119463\Input\pp.1-500_CONSOLIDATED_ONGOING%20FORMAT%20CHECKING\section%201" TargetMode="External"/><Relationship Id="rId313" Type="http://schemas.openxmlformats.org/officeDocument/2006/relationships/hyperlink" Target="http://www.optus.com.au/content/dam/optus/appendix/Appendix%20S/AppS.doc" TargetMode="External"/><Relationship Id="rId495" Type="http://schemas.openxmlformats.org/officeDocument/2006/relationships/hyperlink" Target="http://www.optus.com.au/content/dam/optus/appendix/Appendix%20S/AppS.doc" TargetMode="External"/><Relationship Id="rId716" Type="http://schemas.openxmlformats.org/officeDocument/2006/relationships/hyperlink" Target="http://www.optus.com.au/content/dam/optus/appendix/Appendix%20Y/AppY.doc" TargetMode="External"/><Relationship Id="rId758" Type="http://schemas.openxmlformats.org/officeDocument/2006/relationships/hyperlink" Target="http://www.optus.com.au/content/dam/optus/appendix/Appendix%20S/AppS.doc" TargetMode="External"/><Relationship Id="rId923" Type="http://schemas.openxmlformats.org/officeDocument/2006/relationships/hyperlink" Target="http://www.optus.com.au/content/dam/optus/appendix/Appendix%20S/AppS.doc" TargetMode="External"/><Relationship Id="rId10" Type="http://schemas.openxmlformats.org/officeDocument/2006/relationships/footer" Target="footer1.xml"/><Relationship Id="rId52" Type="http://schemas.openxmlformats.org/officeDocument/2006/relationships/hyperlink" Target="http://www.optus.com.au/content/dam/optus/appendix/Appendix%20S/AppS.doc" TargetMode="External"/><Relationship Id="rId94" Type="http://schemas.openxmlformats.org/officeDocument/2006/relationships/header" Target="header10.xml"/><Relationship Id="rId148" Type="http://schemas.openxmlformats.org/officeDocument/2006/relationships/hyperlink" Target="http://www.optus.com.au/content/dam/optus/appendix/Appendix%20S/AppS.doc" TargetMode="External"/><Relationship Id="rId355" Type="http://schemas.openxmlformats.org/officeDocument/2006/relationships/hyperlink" Target="http://www.optus.com.au/content/dam/optus/appendix/Appendix%20S/AppS.doc" TargetMode="External"/><Relationship Id="rId397" Type="http://schemas.openxmlformats.org/officeDocument/2006/relationships/hyperlink" Target="http://www.optus.com.au/content/dam/optus/appendix/Appendix%20J/AppJ.doc" TargetMode="External"/><Relationship Id="rId520" Type="http://schemas.openxmlformats.org/officeDocument/2006/relationships/hyperlink" Target="http://www.optus.com.au/content/dam/optus/appendix/Appendix%20S/AppS.doc" TargetMode="External"/><Relationship Id="rId562" Type="http://schemas.openxmlformats.org/officeDocument/2006/relationships/hyperlink" Target="http://www.optus.com.au/content/dam/optus/appendix/Appendix%20S/AppS.doc" TargetMode="External"/><Relationship Id="rId618" Type="http://schemas.openxmlformats.org/officeDocument/2006/relationships/hyperlink" Target="http://www.optus.com.au/content/dam/optus/appendix/Appendix%20S/AppS.doc" TargetMode="External"/><Relationship Id="rId825" Type="http://schemas.openxmlformats.org/officeDocument/2006/relationships/hyperlink" Target="http://www.optus.com.au/content/dam/optus/appendix/Appendix%20D/AppD.doc" TargetMode="External"/><Relationship Id="rId215" Type="http://schemas.openxmlformats.org/officeDocument/2006/relationships/hyperlink" Target="http://www.optus.com.au/content/dam/optus/documents/about-us/legal/DigPricingS1.doc" TargetMode="External"/><Relationship Id="rId257" Type="http://schemas.openxmlformats.org/officeDocument/2006/relationships/hyperlink" Target="http://www.optus.com.au/content/dam/optus/documents/about-us/legal/SMETerms.doc" TargetMode="External"/><Relationship Id="rId422" Type="http://schemas.openxmlformats.org/officeDocument/2006/relationships/hyperlink" Target="http://www.optus.com.au/content/dam/optus/appendix/Appendix%20S/AppS.doc" TargetMode="External"/><Relationship Id="rId464" Type="http://schemas.openxmlformats.org/officeDocument/2006/relationships/hyperlink" Target="http://www.optus.com.au/content/dam/optus/appendix/Appendix%20S/AppS.doc" TargetMode="External"/><Relationship Id="rId867" Type="http://schemas.openxmlformats.org/officeDocument/2006/relationships/hyperlink" Target="http://www.optus.com.au/content/dam/optus/appendix/Appendix%20Y/AppY.doc" TargetMode="External"/><Relationship Id="rId299" Type="http://schemas.openxmlformats.org/officeDocument/2006/relationships/hyperlink" Target="http://www.optus.com.au/content/dam/optus/appendix/Appendix%20S/AppS.doc" TargetMode="External"/><Relationship Id="rId727" Type="http://schemas.openxmlformats.org/officeDocument/2006/relationships/hyperlink" Target="http://www.optus.com.au/content/dam/optus/appendix/Appendix%20D/AppD.doc" TargetMode="External"/><Relationship Id="rId934" Type="http://schemas.openxmlformats.org/officeDocument/2006/relationships/hyperlink" Target="http://www.optus.com.au/content/dam/optus/appendix/Appendix%20S/AppS.doc" TargetMode="External"/><Relationship Id="rId63" Type="http://schemas.openxmlformats.org/officeDocument/2006/relationships/hyperlink" Target="http://www.optus.com.au/content/dam/optus/appendix/Appendix%20IB/AppIB.doc" TargetMode="External"/><Relationship Id="rId159" Type="http://schemas.openxmlformats.org/officeDocument/2006/relationships/hyperlink" Target="http://www.optus.com.au/content/dam/optus/documents/about-us/legal/SMETerms.doc" TargetMode="External"/><Relationship Id="rId366" Type="http://schemas.openxmlformats.org/officeDocument/2006/relationships/hyperlink" Target="http://www.optus.com.au/content/dam/optus/appendix/Appendix%20Y/AppY.doc" TargetMode="External"/><Relationship Id="rId573" Type="http://schemas.openxmlformats.org/officeDocument/2006/relationships/hyperlink" Target="http://www.optus.com.au/content/dam/optus/appendix/Appendix%20D/AppD.doc" TargetMode="External"/><Relationship Id="rId780" Type="http://schemas.openxmlformats.org/officeDocument/2006/relationships/hyperlink" Target="http://www.optus.com.au/content/dam/optus/appendix/Appendix%20S/AppS.doc" TargetMode="External"/><Relationship Id="rId226" Type="http://schemas.openxmlformats.org/officeDocument/2006/relationships/hyperlink" Target="http://www.optus.com.au/content/dam/optus/documents/about-us/legal/DigPricingS1.doc" TargetMode="External"/><Relationship Id="rId433" Type="http://schemas.openxmlformats.org/officeDocument/2006/relationships/hyperlink" Target="http://www.optus.com.au/content/dam/optus/appendix/Appendix%20S/AppS.doc" TargetMode="External"/><Relationship Id="rId878" Type="http://schemas.openxmlformats.org/officeDocument/2006/relationships/hyperlink" Target="http://www.optus.com.au/content/dam/optus/appendix/Appendix%20S/AppS.doc" TargetMode="External"/><Relationship Id="rId640" Type="http://schemas.openxmlformats.org/officeDocument/2006/relationships/hyperlink" Target="http://www.optus.com.au/content/dam/optus/appendix/Appendix%20Y/AppY.doc" TargetMode="External"/><Relationship Id="rId738" Type="http://schemas.openxmlformats.org/officeDocument/2006/relationships/hyperlink" Target="http://www.optus.com.au/content/dam/optus/appendix/Appendix%20S/AppS.doc" TargetMode="External"/><Relationship Id="rId945" Type="http://schemas.openxmlformats.org/officeDocument/2006/relationships/footer" Target="footer15.xml"/><Relationship Id="rId74" Type="http://schemas.openxmlformats.org/officeDocument/2006/relationships/hyperlink" Target="http://www.optus.com.au/content/dam/optus/appendix/Appendix%20S/AppS.doc" TargetMode="External"/><Relationship Id="rId377" Type="http://schemas.openxmlformats.org/officeDocument/2006/relationships/hyperlink" Target="http://www.optus.com.au/content/dam/optus/appendix/Appendix%20S/AppS.doc" TargetMode="External"/><Relationship Id="rId500" Type="http://schemas.openxmlformats.org/officeDocument/2006/relationships/hyperlink" Target="http://www.optus.com.au/content/dam/optus/appendix/Appendix%20S/AppS.doc" TargetMode="External"/><Relationship Id="rId584" Type="http://schemas.openxmlformats.org/officeDocument/2006/relationships/hyperlink" Target="http://www.optus.com.au/content/dam/optus/appendix/Appendix%20S/AppS.doc" TargetMode="External"/><Relationship Id="rId805" Type="http://schemas.openxmlformats.org/officeDocument/2006/relationships/hyperlink" Target="http://www.optus.com.au/content/dam/optus/appendix/Appendix%20D/AppD.doc" TargetMode="External"/><Relationship Id="rId5" Type="http://schemas.openxmlformats.org/officeDocument/2006/relationships/settings" Target="settings.xml"/><Relationship Id="rId237" Type="http://schemas.openxmlformats.org/officeDocument/2006/relationships/hyperlink" Target="http://www.optus.com.au/content/dam/optus/appendix/Appendix%20Y/AppY.doc" TargetMode="External"/><Relationship Id="rId791" Type="http://schemas.openxmlformats.org/officeDocument/2006/relationships/hyperlink" Target="http://www.optus.com.au/content/dam/optus/appendix/Appendix%20S/AppS.doc" TargetMode="External"/><Relationship Id="rId889" Type="http://schemas.openxmlformats.org/officeDocument/2006/relationships/hyperlink" Target="http://www.optus.com.au/content/dam/optus/appendix/Appendix%20S/AppS.doc" TargetMode="External"/><Relationship Id="rId444" Type="http://schemas.openxmlformats.org/officeDocument/2006/relationships/hyperlink" Target="http://www.optus.com.au/content/dam/optus/appendix/Appendix%20S/AppS.doc" TargetMode="External"/><Relationship Id="rId651" Type="http://schemas.openxmlformats.org/officeDocument/2006/relationships/hyperlink" Target="http://www.optus.com.au/content/dam/optus/appendix/Appendix%20Y/AppY.doc" TargetMode="External"/><Relationship Id="rId749" Type="http://schemas.openxmlformats.org/officeDocument/2006/relationships/hyperlink" Target="http://www.optus.com.au/content/dam/optus/appendix/Appendix%20S/AppS.doc" TargetMode="External"/><Relationship Id="rId290" Type="http://schemas.openxmlformats.org/officeDocument/2006/relationships/hyperlink" Target="http://www.optus.com.au/content/dam/optus/appendix/Appendix%20Y/AppY.doc" TargetMode="External"/><Relationship Id="rId304" Type="http://schemas.openxmlformats.org/officeDocument/2006/relationships/hyperlink" Target="http://www.optus.com.au/content/dam/optus/appendix/Appendix%20Y/AppY.doc" TargetMode="External"/><Relationship Id="rId388" Type="http://schemas.openxmlformats.org/officeDocument/2006/relationships/hyperlink" Target="http://www.optus.com.au/content/dam/optus/appendix/Appendix%20Y/AppY.doc" TargetMode="External"/><Relationship Id="rId511" Type="http://schemas.openxmlformats.org/officeDocument/2006/relationships/hyperlink" Target="http://www.optus.com.au/content/dam/optus/appendix/Appendix%20S/AppS.doc" TargetMode="External"/><Relationship Id="rId609" Type="http://schemas.openxmlformats.org/officeDocument/2006/relationships/hyperlink" Target="http://www.optus.com.au/content/dam/optus/appendix/Appendix%20Y/AppY.doc" TargetMode="External"/><Relationship Id="rId85" Type="http://schemas.openxmlformats.org/officeDocument/2006/relationships/hyperlink" Target="http://www.optus.com.au/content/dam/optus/documents/about-us/legal/SMETerms.doc" TargetMode="External"/><Relationship Id="rId150" Type="http://schemas.openxmlformats.org/officeDocument/2006/relationships/hyperlink" Target="http://www.optus.com.au/content/dam/optus/appendix/Appendix%20S/AppS.doc" TargetMode="External"/><Relationship Id="rId595" Type="http://schemas.openxmlformats.org/officeDocument/2006/relationships/hyperlink" Target="http://www.optus.com.au/content/dam/optus/appendix/Appendix%20S/AppS.doc" TargetMode="External"/><Relationship Id="rId816" Type="http://schemas.openxmlformats.org/officeDocument/2006/relationships/hyperlink" Target="http://www.optus.com.au/content/dam/optus/appendix/Appendix%20S/AppS.doc" TargetMode="External"/><Relationship Id="rId248" Type="http://schemas.openxmlformats.org/officeDocument/2006/relationships/hyperlink" Target="http://www.optus.com.au/content/dam/optus/appendix/Appendix%20S/AppS.doc" TargetMode="External"/><Relationship Id="rId455" Type="http://schemas.openxmlformats.org/officeDocument/2006/relationships/hyperlink" Target="http://www.optus.com.au/content/dam/optus/appendix/Appendix%20S/AppS.doc" TargetMode="External"/><Relationship Id="rId662" Type="http://schemas.openxmlformats.org/officeDocument/2006/relationships/hyperlink" Target="http://www.optus.com.au/content/dam/optus/appendix/Appendix%20S/AppS.doc" TargetMode="External"/><Relationship Id="rId12" Type="http://schemas.openxmlformats.org/officeDocument/2006/relationships/footer" Target="footer2.xml"/><Relationship Id="rId108" Type="http://schemas.openxmlformats.org/officeDocument/2006/relationships/hyperlink" Target="http://www.optus.com.au/content/dam/optus/appendix/Appendix%20J/AppJ.doc" TargetMode="External"/><Relationship Id="rId315" Type="http://schemas.openxmlformats.org/officeDocument/2006/relationships/hyperlink" Target="http://www.optus.com.au/dafiles/OCA/AboutOptus/LegalAndRegulatory/SharedStaticFiles/SharedDocuments/AppW.doc" TargetMode="External"/><Relationship Id="rId522" Type="http://schemas.openxmlformats.org/officeDocument/2006/relationships/hyperlink" Target="http://www.optus.com.au/content/dam/optus/documents/about-us/legal/DigPricingS1.doc" TargetMode="External"/><Relationship Id="rId96" Type="http://schemas.openxmlformats.org/officeDocument/2006/relationships/hyperlink" Target="http://www.optus.com.au/content/dam/optus/documents/about-us/legal/SMETerms.doc" TargetMode="External"/><Relationship Id="rId161" Type="http://schemas.openxmlformats.org/officeDocument/2006/relationships/hyperlink" Target="http://www.optus.com.au/content/dam/optus/appendix/Appendix%20Y/AppY.doc" TargetMode="External"/><Relationship Id="rId399" Type="http://schemas.openxmlformats.org/officeDocument/2006/relationships/hyperlink" Target="http://www.optus.com.au/content/dam/optus/appendix/Appendix%20S/AppS.doc" TargetMode="External"/><Relationship Id="rId827" Type="http://schemas.openxmlformats.org/officeDocument/2006/relationships/hyperlink" Target="http://www.optus.com.au/content/dam/optus/appendix/Appendix%20S/AppS.doc" TargetMode="External"/><Relationship Id="rId259" Type="http://schemas.openxmlformats.org/officeDocument/2006/relationships/hyperlink" Target="http://www.optus.com.au/content/dam/optus/appendix/Appendix%20Y/AppY.doc" TargetMode="External"/><Relationship Id="rId466" Type="http://schemas.openxmlformats.org/officeDocument/2006/relationships/hyperlink" Target="http://www.optus.com.au/content/dam/optus/documents/about-us/legal/DigPricingS1.doc" TargetMode="External"/><Relationship Id="rId673" Type="http://schemas.openxmlformats.org/officeDocument/2006/relationships/hyperlink" Target="http://www.optus.com.au/content/dam/optus/appendix/Appendix%20S/AppS.doc" TargetMode="External"/><Relationship Id="rId880" Type="http://schemas.openxmlformats.org/officeDocument/2006/relationships/hyperlink" Target="http://www.optus.com.au/content/dam/optus/appendix/Appendix%20D/AppD.doc" TargetMode="External"/><Relationship Id="rId23" Type="http://schemas.openxmlformats.org/officeDocument/2006/relationships/hyperlink" Target="http://www.optus.com.au/content/dam/optus/documents/about-us/legal/DigPricingS1.doc" TargetMode="External"/><Relationship Id="rId119" Type="http://schemas.openxmlformats.org/officeDocument/2006/relationships/header" Target="header13.xml"/><Relationship Id="rId326" Type="http://schemas.openxmlformats.org/officeDocument/2006/relationships/hyperlink" Target="http://www.optus.com.au/content/dam/optus/appendix/Appendix%20S/AppS.doc" TargetMode="External"/><Relationship Id="rId533" Type="http://schemas.openxmlformats.org/officeDocument/2006/relationships/hyperlink" Target="http://www.optus.com.au/content/dam/optus/appendix/Appendix%20S/AppS.doc" TargetMode="External"/><Relationship Id="rId740" Type="http://schemas.openxmlformats.org/officeDocument/2006/relationships/hyperlink" Target="http://www.optus.com.au/content/dam/optus/appendix/Appendix%20Y/AppY.doc" TargetMode="External"/><Relationship Id="rId838" Type="http://schemas.openxmlformats.org/officeDocument/2006/relationships/hyperlink" Target="http://www.optus.com.au/content/dam/optus/appendix/Appendix%20S/AppS.doc" TargetMode="External"/><Relationship Id="rId172" Type="http://schemas.openxmlformats.org/officeDocument/2006/relationships/hyperlink" Target="http://www.optus.com.au/content/dam/optus/appendix/Appendix%20S/AppS.doc" TargetMode="External"/><Relationship Id="rId477" Type="http://schemas.openxmlformats.org/officeDocument/2006/relationships/hyperlink" Target="http://www.optus.com.au/content/dam/optus/appendix/Appendix%20S/AppS.doc" TargetMode="External"/><Relationship Id="rId600" Type="http://schemas.openxmlformats.org/officeDocument/2006/relationships/hyperlink" Target="http://www.optus.com.au/content/dam/optus/appendix/Appendix%20D/AppD.doc" TargetMode="External"/><Relationship Id="rId684" Type="http://schemas.openxmlformats.org/officeDocument/2006/relationships/hyperlink" Target="http://smb.optus.com.au/opfiles/Shop/All/cis/Cis%20Documents/CIS_$60_My_Plan_Business_SIM.pdf" TargetMode="External"/><Relationship Id="rId337" Type="http://schemas.openxmlformats.org/officeDocument/2006/relationships/hyperlink" Target="http://www.optus.com.au/content/dam/optus/appendix/Appendix%20S/AppS.doc" TargetMode="External"/><Relationship Id="rId891" Type="http://schemas.openxmlformats.org/officeDocument/2006/relationships/hyperlink" Target="http://www.optus.com.au/content/dam/optus/appendix/Appendix%20S/AppS.doc" TargetMode="External"/><Relationship Id="rId905" Type="http://schemas.openxmlformats.org/officeDocument/2006/relationships/hyperlink" Target="http://www.optus.com.au/content/dam/optus/appendix/Appendix%20Y/AppY.doc" TargetMode="External"/><Relationship Id="rId34" Type="http://schemas.openxmlformats.org/officeDocument/2006/relationships/hyperlink" Target="http://www.optus.com.au/content/dam/optus/appendix/Appendix%20S/AppS.doc" TargetMode="External"/><Relationship Id="rId544" Type="http://schemas.openxmlformats.org/officeDocument/2006/relationships/hyperlink" Target="http://www.optus.com.au/content/dam/optus/appendix/Appendix%20S/AppS.doc" TargetMode="External"/><Relationship Id="rId751" Type="http://schemas.openxmlformats.org/officeDocument/2006/relationships/hyperlink" Target="http://www.optus.com.au/content/dam/optus/appendix/Appendix%20D/AppD.doc" TargetMode="External"/><Relationship Id="rId849" Type="http://schemas.openxmlformats.org/officeDocument/2006/relationships/hyperlink" Target="http://www.optus.com.au/content/dam/optus/appendix/Appendix%20D/AppD.doc" TargetMode="External"/><Relationship Id="rId183" Type="http://schemas.openxmlformats.org/officeDocument/2006/relationships/hyperlink" Target="http://www.optus.com.au/content/dam/optus/appendix/Appendix%20S/AppS.doc" TargetMode="External"/><Relationship Id="rId390" Type="http://schemas.openxmlformats.org/officeDocument/2006/relationships/hyperlink" Target="http://www.optus.com.au/content/dam/optus/appendix/Appendix%20S/AppS.doc" TargetMode="External"/><Relationship Id="rId404" Type="http://schemas.openxmlformats.org/officeDocument/2006/relationships/hyperlink" Target="http://www.optus.com.au/content/dam/optus/documents/about-us/legal/SMETerms.doc" TargetMode="External"/><Relationship Id="rId611" Type="http://schemas.openxmlformats.org/officeDocument/2006/relationships/hyperlink" Target="http://www.optus.com.au/content/dam/optus/appendix/Appendix%20S/AppS.doc" TargetMode="External"/><Relationship Id="rId250" Type="http://schemas.openxmlformats.org/officeDocument/2006/relationships/hyperlink" Target="http://www.optus.com.au/content/dam/optus/appendix/Appendix%20J/AppJ.doc" TargetMode="External"/><Relationship Id="rId488" Type="http://schemas.openxmlformats.org/officeDocument/2006/relationships/hyperlink" Target="http://www.optus.com.au/content/dam/optus/appendix/Appendix%20J/AppJ.doc" TargetMode="External"/><Relationship Id="rId695" Type="http://schemas.openxmlformats.org/officeDocument/2006/relationships/hyperlink" Target="http://smb.optus.com.au/opfiles/Shop/All/cis/Cis%20Documents/1415711_CIS_$50_Mobile_Broadband_Business_25GB.pdf" TargetMode="External"/><Relationship Id="rId709" Type="http://schemas.openxmlformats.org/officeDocument/2006/relationships/hyperlink" Target="http://www.optus.com.au/content/dam/optus/appendix/Appendix%20S/AppS.doc" TargetMode="External"/><Relationship Id="rId916" Type="http://schemas.openxmlformats.org/officeDocument/2006/relationships/hyperlink" Target="http://www.optus.com.au/content/dam/optus/appendix/Appendix%20D/AppD.doc" TargetMode="External"/><Relationship Id="rId45" Type="http://schemas.openxmlformats.org/officeDocument/2006/relationships/header" Target="header4.xml"/><Relationship Id="rId110" Type="http://schemas.openxmlformats.org/officeDocument/2006/relationships/footer" Target="footer11.xml"/><Relationship Id="rId348" Type="http://schemas.openxmlformats.org/officeDocument/2006/relationships/hyperlink" Target="http://www.optus.com.au/content/dam/optus/appendix/Appendix%20S/AppS.doc" TargetMode="External"/><Relationship Id="rId555" Type="http://schemas.openxmlformats.org/officeDocument/2006/relationships/hyperlink" Target="http://www.optus.com.au/content/dam/optus/appendix/Appendix%20S/AppS.doc" TargetMode="External"/><Relationship Id="rId762" Type="http://schemas.openxmlformats.org/officeDocument/2006/relationships/hyperlink" Target="http://www.optus.com.au/content/dam/optus/appendix/Appendix%20D/AppD.doc" TargetMode="External"/><Relationship Id="rId194" Type="http://schemas.openxmlformats.org/officeDocument/2006/relationships/hyperlink" Target="http://www.optus.com.au/content/dam/optus/appendix/Appendix%20S/AppS.doc" TargetMode="External"/><Relationship Id="rId208" Type="http://schemas.openxmlformats.org/officeDocument/2006/relationships/hyperlink" Target="http://www.optus.com.au/content/dam/optus/appendix/Appendix%20S/AppS.doc" TargetMode="External"/><Relationship Id="rId415" Type="http://schemas.openxmlformats.org/officeDocument/2006/relationships/hyperlink" Target="http://www.optus.com.au/content/dam/optus/appendix/Appendix%20S/AppS.doc" TargetMode="External"/><Relationship Id="rId622" Type="http://schemas.openxmlformats.org/officeDocument/2006/relationships/hyperlink" Target="http://www.optus.com.au/content/dam/optus/appendix/Appendix%20Y/AppY.doc" TargetMode="External"/><Relationship Id="rId261" Type="http://schemas.openxmlformats.org/officeDocument/2006/relationships/hyperlink" Target="http://www.optus.com.au/content/dam/optus/appendix/Appendix%20S/AppS.doc" TargetMode="External"/><Relationship Id="rId499" Type="http://schemas.openxmlformats.org/officeDocument/2006/relationships/hyperlink" Target="http://www.optus.com.au/content/dam/optus/appendix/Appendix%20S/AppS.doc" TargetMode="External"/><Relationship Id="rId927" Type="http://schemas.openxmlformats.org/officeDocument/2006/relationships/hyperlink" Target="http://www.optus.com.au/content/dam/optus/appendix/Appendix%20D/AppD.doc" TargetMode="External"/><Relationship Id="rId56" Type="http://schemas.openxmlformats.org/officeDocument/2006/relationships/hyperlink" Target="http://www.optus.com.au/content/dam/optus/appendix/Appendix%20Y/AppY.doc" TargetMode="External"/><Relationship Id="rId359" Type="http://schemas.openxmlformats.org/officeDocument/2006/relationships/hyperlink" Target="http://www.optus.com.au/content/dam/optus/appendix/Appendix%20S/AppS.doc" TargetMode="External"/><Relationship Id="rId566" Type="http://schemas.openxmlformats.org/officeDocument/2006/relationships/hyperlink" Target="http://www.optus.com.au/content/dam/optus/appendix/Appendix%20S/AppS.doc" TargetMode="External"/><Relationship Id="rId773" Type="http://schemas.openxmlformats.org/officeDocument/2006/relationships/hyperlink" Target="http://www.optus.com.au/content/dam/optus/appendix/Appendix%20D/AppD.doc" TargetMode="External"/><Relationship Id="rId121" Type="http://schemas.openxmlformats.org/officeDocument/2006/relationships/header" Target="header14.xml"/><Relationship Id="rId219" Type="http://schemas.openxmlformats.org/officeDocument/2006/relationships/hyperlink" Target="http://www.optus.com.au/content/dam/optus/appendix/Appendix%20J/AppJ.doc" TargetMode="External"/><Relationship Id="rId426" Type="http://schemas.openxmlformats.org/officeDocument/2006/relationships/hyperlink" Target="http://www.optus.com.au/content/dam/optus/appendix/Appendix%20S/AppS.doc" TargetMode="External"/><Relationship Id="rId633" Type="http://schemas.openxmlformats.org/officeDocument/2006/relationships/hyperlink" Target="http://www.optus.com.au/content/dam/optus/appendix/Appendix%20S/AppS.doc" TargetMode="External"/><Relationship Id="rId840" Type="http://schemas.openxmlformats.org/officeDocument/2006/relationships/hyperlink" Target="http://www.optus.com.au/content/dam/optus/appendix/Appendix%20D/AppD.doc" TargetMode="External"/><Relationship Id="rId938" Type="http://schemas.openxmlformats.org/officeDocument/2006/relationships/hyperlink" Target="http://www.optus.com.au/content/dam/optus/appendix/Appendix%20S/AppS.doc" TargetMode="External"/><Relationship Id="rId67" Type="http://schemas.openxmlformats.org/officeDocument/2006/relationships/hyperlink" Target="http://www.optus.com.au/content/dam/optus/appendix/Appendix%20J/AppJ.doc" TargetMode="External"/><Relationship Id="rId272" Type="http://schemas.openxmlformats.org/officeDocument/2006/relationships/hyperlink" Target="http://www.optus.com.au/content/dam/optus/appendix/Appendix%20S/AppS.doc" TargetMode="External"/><Relationship Id="rId577" Type="http://schemas.openxmlformats.org/officeDocument/2006/relationships/hyperlink" Target="http://www.optus.com.au/content/dam/optus/appendix/Appendix%20Y/AppY.doc" TargetMode="External"/><Relationship Id="rId700" Type="http://schemas.openxmlformats.org/officeDocument/2006/relationships/hyperlink" Target="http://smb.optus.com.au/opfiles/Shop/All/cis/Cis%20Documents/1415694_CIS_$45_My_Plan_Business.pdf" TargetMode="External"/><Relationship Id="rId132" Type="http://schemas.openxmlformats.org/officeDocument/2006/relationships/hyperlink" Target="http://www.optus.com.au/content/dam/optus/appendix/Appendix%20S/AppS.doc" TargetMode="External"/><Relationship Id="rId784" Type="http://schemas.openxmlformats.org/officeDocument/2006/relationships/hyperlink" Target="http://www.optus.com.au/content/dam/optus/appendix/Appendix%20D/AppD.doc" TargetMode="External"/><Relationship Id="rId437" Type="http://schemas.openxmlformats.org/officeDocument/2006/relationships/hyperlink" Target="http://www.optus.com.au/content/dam/optus/appendix/Appendix%20S/AppS.doc" TargetMode="External"/><Relationship Id="rId644" Type="http://schemas.openxmlformats.org/officeDocument/2006/relationships/hyperlink" Target="http://www.optus.com.au/content/dam/optus/appendix/Appendix%20S/AppS.doc" TargetMode="External"/><Relationship Id="rId851" Type="http://schemas.openxmlformats.org/officeDocument/2006/relationships/hyperlink" Target="http://www.optus.com.au/content/dam/optus/appendix/Appendix%20S/AppS.doc" TargetMode="External"/><Relationship Id="rId283" Type="http://schemas.openxmlformats.org/officeDocument/2006/relationships/hyperlink" Target="http://www.optus.com.au/content/dam/optus/appendix/Appendix%20J/AppJ.doc" TargetMode="External"/><Relationship Id="rId490" Type="http://schemas.openxmlformats.org/officeDocument/2006/relationships/hyperlink" Target="http://www.optus.com.au/content/dam/optus/appendix/Appendix%20S/AppS.doc" TargetMode="External"/><Relationship Id="rId504" Type="http://schemas.openxmlformats.org/officeDocument/2006/relationships/hyperlink" Target="http://www.optus.com.au/content/dam/optus/appendix/Appendix%20S/AppS.doc" TargetMode="External"/><Relationship Id="rId711" Type="http://schemas.openxmlformats.org/officeDocument/2006/relationships/hyperlink" Target="http://www.optus.com.au/content/dam/optus/appendix/Appendix%20S/AppS.do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header4.xml.rels><?xml version="1.0" encoding="UTF-8" standalone="yes"?>
<Relationships xmlns="http://schemas.openxmlformats.org/package/2006/relationships"><Relationship Id="rId1" Type="http://schemas.openxmlformats.org/officeDocument/2006/relationships/image" Target="media/image1.emf"/></Relationships>
</file>

<file path=word/_rels/header5.xml.rels><?xml version="1.0" encoding="UTF-8" standalone="yes"?>
<Relationships xmlns="http://schemas.openxmlformats.org/package/2006/relationships"><Relationship Id="rId1" Type="http://schemas.openxmlformats.org/officeDocument/2006/relationships/image" Target="media/image1.emf"/></Relationships>
</file>

<file path=word/_rels/header6.xml.rels><?xml version="1.0" encoding="UTF-8" standalone="yes"?>
<Relationships xmlns="http://schemas.openxmlformats.org/package/2006/relationships"><Relationship Id="rId1" Type="http://schemas.openxmlformats.org/officeDocument/2006/relationships/image" Target="media/image1.emf"/></Relationships>
</file>

<file path=word/_rels/header7.xml.rels><?xml version="1.0" encoding="UTF-8" standalone="yes"?>
<Relationships xmlns="http://schemas.openxmlformats.org/package/2006/relationships"><Relationship Id="rId1" Type="http://schemas.openxmlformats.org/officeDocument/2006/relationships/image" Target="media/image1.emf"/></Relationships>
</file>

<file path=word/_rels/header8.xml.rels><?xml version="1.0" encoding="UTF-8" standalone="yes"?>
<Relationships xmlns="http://schemas.openxmlformats.org/package/2006/relationships"><Relationship Id="rId1" Type="http://schemas.openxmlformats.org/officeDocument/2006/relationships/image" Target="media/image1.emf"/></Relationships>
</file>

<file path=word/_rels/header9.xml.rels><?xml version="1.0" encoding="UTF-8" standalone="yes"?>
<Relationships xmlns="http://schemas.openxmlformats.org/package/2006/relationships"><Relationship Id="rId1" Type="http://schemas.openxmlformats.org/officeDocument/2006/relationships/image" Target="media/image1.emf"/></Relationships>
</file>

<file path=word/_rels/header10.xml.rels><?xml version="1.0" encoding="UTF-8" standalone="yes"?>
<Relationships xmlns="http://schemas.openxmlformats.org/package/2006/relationships"><Relationship Id="rId1" Type="http://schemas.openxmlformats.org/officeDocument/2006/relationships/image" Target="media/image1.emf"/></Relationships>
</file>

<file path=word/_rels/header11.xml.rels><?xml version="1.0" encoding="UTF-8" standalone="yes"?>
<Relationships xmlns="http://schemas.openxmlformats.org/package/2006/relationships"><Relationship Id="rId1" Type="http://schemas.openxmlformats.org/officeDocument/2006/relationships/image" Target="media/image1.emf"/></Relationships>
</file>

<file path=word/_rels/header12.xml.rels><?xml version="1.0" encoding="UTF-8" standalone="yes"?>
<Relationships xmlns="http://schemas.openxmlformats.org/package/2006/relationships"><Relationship Id="rId1" Type="http://schemas.openxmlformats.org/officeDocument/2006/relationships/image" Target="media/image1.emf"/></Relationships>
</file>

<file path=word/_rels/header13.xml.rels><?xml version="1.0" encoding="UTF-8" standalone="yes"?>
<Relationships xmlns="http://schemas.openxmlformats.org/package/2006/relationships"><Relationship Id="rId1" Type="http://schemas.openxmlformats.org/officeDocument/2006/relationships/image" Target="media/image1.emf"/></Relationships>
</file>

<file path=word/_rels/header14.xml.rels><?xml version="1.0" encoding="UTF-8" standalone="yes"?>
<Relationships xmlns="http://schemas.openxmlformats.org/package/2006/relationships"><Relationship Id="rId1" Type="http://schemas.openxmlformats.org/officeDocument/2006/relationships/image" Target="media/image1.emf"/></Relationships>
</file>

<file path=word/_rels/header15.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XtraLexRoot>
  <DID>XtraLx</DID>
  <DVNo>10</DVNo>
  <DData>D_PSX-
D_PSN-1.
D_PEX-
D_PEB-0;D_M1G-Y;D_MLI-0;D_MTa-36;D_M1C-N;D_M1P-
D_M1F-1.
D_M1W-0;D_M1T-	
D_M1A-N;D_LT1-4;D_LHN-4;D_OLT-Y;D_SS1-N;D_SS2-N;</DData>
  <DStruc>DStruc Test</DStruc>
  <DDStruc>DDStruc Test</DDStruc>
  <DDArea>DA_MaC-0;DA_MGC-0;DA_MGT-0;DA_ADN-N;DA_GDN-N;DA_PNL-0;DA_PNV-0;DA_DPL-0;DA_DNT-0;DA_OSL-0;DA_DML-9;DA_DDL-9;DA_DeC-0;DA_TTP-0;DA_TLi-0;DA_BP0-0;DA_TP0-0;DA_LP0-0;DA_RP0-0;DA_CW0-0;DA_BP1-0;DA_TP1-0;DA_LP1-0;DA_RP1-0;DA_CW1-0;DA_SS1-
</DDArea>
  <DNR>NA-N;NB-0;NC-9;N0D-0;N0E-N;N0s-
N0t-0;N0u-0;N0v-0;N0w-0;N0x-0;N0y-0;N0z-0;N01-0;N02-0;N03-0;N04-0;N05-0;N06-N;N07-
N08-0;N09-N;N00-N;N0A-0;N0B-N;N0C-N;N0D-N;N0E-N;N0F-0;N0G-N;N0Q-N;N0U-0;N0V-N;N0W-N;N0X-N;N0Y-N;N0Z-N;N0a-N;N0b-N;N0c-N;N0d-N;N0e-N;N0f-N;N0g-N;N0G-N;N0h-N;N0i-N;N0j-N;N0k-RXOL-10;RXSS-N;RXp0-;;RXUC-N;RXuc-N;RXSC-100;RXSP-0;RXNC-100;RXNP-0;RXIC-100;RXIP-0;
N1D-0;N1E-Y;N1F-Y;N1f-40;N1G-N;N1H-N;N1p-1;N1d-Y;N1e-
N1f-
N1g-
N1F-
N1G-
N1h-255;N1i-0;N1j-
N1k-
N1l-
N1m-
N1n-12;N1o-N;N1p-0;N1q-N;N1r-0;N1s-Heading 1
N1t-0;N1u-0;N1v-0;N1w--999999;N1x-0;N1y-0;N1z-0;N11-24;N12-0;N13-0;N14-0;N15-12;N16-Y;N17-Arial
N18-36;N19-N;N10-N;N1A-0;N1B-N;N1C-N;N1D-N;N1E-N;N1F--1;N1G-N;N1Q-N;N1U-0;N1V-N;N1W-N;N1X-N;N1Y-Y;N1Z-N;N1a-N;N1b-N;N1c-N;N1d-N;N1e-N;N1f-N;N1g-N;N1G-Y;N1h-Y;N1i-N;N1j-N;N1k-RXOL-1;RXSS-N;RXp0-;;RXUC-N;RXuc-N;RXSC-100;RXSP-0;RXNC-100;RXNP-0;RXIC-100;RXIP-0;
N2D-0;N2E-Y;N2F-Y;N2f-40;N2G-N;N2H-N;N2p-1;N2d-Y;N2e-
N2f-
N2g-
N2F-
N2G-
N2h-255;N2i-0;N2j-
N2k-
N2l-
N2m-
N2n-12;N2o-N;N2p-0;N2q-N;N2r-0;N2s-Heading 2
N2t-0;N2u-0;N2v-0;N2w--999999;N2x-0;N2y-0;N2z-0;N21-0;N22-10;N23-0;N24-0;N25-12;N26-Y;N27-Arial
N28-24;N29-N;N20-N;N2A-0;N2B-N;N2C-N;N2D-N;N2E-N;N2F--1;N2G-N;N2Q-N;N2U-0;N2V-N;N2W-N;N2X-N;N2Y-Y;N2Z-N;N2a-N;N2b-N;N2c-N;N2d-N;N2e-N;N2f-N;N2g-N;N2G-Y;N2h-Y;N2i-N;N2j-N;N2k-RXOL-2;RXSS-N;RXp0-;;RXUC-N;RXuc-N;RXSC-100;RXSP-0;RXNC-100;RXNP-0;RXIC-100;RXIP-0;
N3D-0;N3E-Y;N3F-Y;N3f-40;N3G-N;N3H-N;N3p-1;N3d-Y;N3e-
N3f-
N3g-
N3F-
N3G-
N3h-255;N3i-0;N3j-
N3k-
N3l-
N3m-
N3n-12;N3o-N;N3p-0;N3q-N;N3r-0;N3s-Heading 3
N3t-0;N3u-0;N3v-0;N3w--999999;N3x-0;N3y-0;N3z-0;N31-0;N32-10;N33-0;N34-0;N35-12;N36-Y;N37-Arial
N38-20;N39-N;N30-N;N3A-0;N3B-N;N3C-N;N3D-N;N3E-N;N3F--1;N3G-N;N3Q-N;N3U-0;N3V-N;N3W-N;N3X-N;N3Y-Y;N3Z-N;N3a-N;N3b-N;N3c-N;N3d-N;N3e-N;N3f-N;N3g-N;N3G-Y;N3h-Y;N3i-N;N3j-N;N3k-RXOL-3;RXSS-N;RXp0-;;RXUC-N;RXuc-N;RXSC-100;RXSP-0;RXNC-100;RXNP-0;RXIC-100;RXIP-0;
N4D-3;N4E-Y;N4F-N;N4f-10;N4G-N;N4H-N;N4p-1;N4d-Y;N4e-1.
N4f-
N4g-.
N4F-
N4G-
N4h-0;N4i-1;N4j-
N4k-
N4l-	
N4m-Arial
N4n-16;N4o-N;N4p-0;N4q-N;N4r-0;N4s-Heading 4
N4t-0;N4u--36;N4v-0;N4w-36;N4x-36;N4y-0;N4z-0;N41-0;N42-10;N43-0;N44-0;N45-16;N46-N;N47-Arial
N48-16;N49-N;N40-N;N4A-0;N4B-N;N4C-N;N4D-N;N4E-N;N4F--1;N4G-N;N4Q-N;N4U-0;N4V-N;N4W-N;N4X-N;N4Y-Y;N4Z-N;N4a-N;N4b-N;N4c-N;N4d-Y;N4e-N;N4f-N;N4g-N;N4G-Y;N4h-N;N4i-N;N4j-N;N4k-RXOL-4;RXSS-N;RXp0-;;RXUC-N;RXuc-N;RXSC-100;RXSP-0;RXNC-100;RXNP-0;RXIC-100;RXIP-0;
N5D-0;N5E-Y;N5F-N;N5f-10;N5G-N;N5H-N;N5p-1;N5d-N;N5e-
N5f-
N5g-
N5F-
N5G-
N5h-255;N5i-0;N5j-
N5k-
N5l-	
N5m-Arial
N5n-16;N5o-N;N5p-0;N5q-N;N5r-0;N5s-Heading 5
N5t-36;N5u--36;N5v-0;N5w-72;N5x-72;N5y-0;N5z-0;N51-0;N52-10;N53-0;N54-0;N55-16;N56-N;N57-Arial
N58-16;N59-N;N50-N;N5A-0;N5B-N;N5C-N;N5D-N;N5E-N;N5F-0;N5G-N;N5Q-N;N5U-0;N5V-N;N5W-N;N5X-Y;N5Y-Y;N5Z-N;N5a-N;N5b-N;N5c-Y;N5d-Y;N5e-N;N5f-N;N5g-N;N5G-Y;N5h-N;N5i-N;N5j-N;N5k-RXOL-10;RXSS-N;RXp0-;;RXUC-N;RXuc-N;RXSC-100;RXSP-0;RXNC-100;RXNP-0;RXIC-100;RXIP-0;
N6D-1;N6E-Y;N6F-N;N6f-10;N6G-N;N6H-N;N6p-1;N6d-Y;N6e-1.1
N6f-
N6g-
N6F-
N6G-
N6h-0;N6i-2;N6j-
N6k-
N6l-	
N6m-Arial
N6n-10;N6o-N;N6p-0;N6q-N;N6r-0;N6s-Heading 6
N6t-0;N6u--36;N6v-0;N6w-36;N6x-36;N6y-0;N6z-0;N61-0;N62-10;N63-0;N64-0;N65-10;N66-N;N67-Arial
N68-10;N69-N;N60-N;N6A-0;N6B-N;N6C-N;N6D-N;N6E-N;N6F--1;N6G-N;N6Q-N;N6U-0;N6V-N;N6W-N;N6X-N;N6Y-Y;N6Z-N;N6a-N;N6b-N;N6c-N;N6d-Y;N6e-N;N6f-N;N6g-N;N6G-Y;N6h-N;N6i-N;N6j-Y;N6k-RXOL-6;RXSS-N;RXp0-;;RXUC-N;RXuc-N;RXSC-100;RXSP-0;RXNC-100;RXNP-0;RXIC-100;RXIP-0;
N7D-1;N7E-Y;N7F-N;N7f-10;N7G-N;N7H-N;N7p-1;N7d-Y;N7e-(a)
N7f-(
N7g-)
N7F-
N7G-
N7h-4;N7i-1;N7j-
N7k-
N7l-	
N7m-Arial
N7n-10;N7o-N;N7p-0;N7q-N;N7r-0;N7s-Heading 7
N7t-36;N7u--36;N7v-0;N7w-72;N7x-72;N7y-0;N7z-0;N71-0;N72-10;N73-0;N74-0;N75-10;N76-N;N77-Arial
N78-10;N79-N;N70-N;N7A-0;N7B-N;N7C-N;N7D-N;N7E-N;N7F--1;N7G-N;N7Q-N;N7U-0;N7V-N;N7W-N;N7X-N;N7Y-Y;N7Z-N;N7a-N;N7b-N;N7c-N;N7d-Y;N7e-N;N7f-N;N7g-N;N7G-Y;N7h-N;N7i-N;N7j-N;N7k-RXOL-7;RXSS-N;RXp0-;;RXUC-N;RXuc-N;RXSC-100;RXSP-0;RXNC-100;RXNP-0;RXIC-100;RXIP-0;
N8D-1;N8E-Y;N8F-N;N8f-10;N8G-N;N8H-N;N8p-1;N8d-Y;N8e-(i)
N8f-(
N8g-)
N8F-
N8G-
N8h-2;N8i-1;N8j-
N8k-
N8l-	
N8m-Arial
N8n-10;N8o-N;N8p-0;N8q-N;N8r-0;N8s-Heading 8
N8t-72;N8u--36;N8v-0;N8w-108;N8x-108;N8y-0;N8z-0;N81-0;N82-10;N83-0;N84-0;N85-10;N86-N;N87-Arial
N88-10;N89-N;N80-N;N8A-0;N8B-N;N8C-N;N8D-N;N8E-N;N8F--1;N8G-N;N8Q-N;N8U-0;N8V-N;N8W-N;N8X-N;N8Y-Y;N8Z-N;N8a-N;N8b-N;N8c-N;N8d-Y;N8e-N;N8f-N;N8g-N;N8G-Y;N8h-N;N8i-N;N8j-N;N8k-RXOL-8;RXSS-N;RXp0-;;RXUC-N;RXuc-N;RXSC-100;RXSP-0;RXNC-100;RXNP-0;RXIC-100;RXIP-0;
N9D-0;N9E-Y;N9F-N;N9f-10;N9G-N;N9H-N;N9p-1;N9d-N;N9e-(A)
N9f-(
N9g-)
N9F-
N9G-
N9h-3;N9i-1;N9j-
N9k-
N9l-	
N9m-Arial
N9n-10;N9o-N;N9p-0;N9q-N;N9r-0;N9s-Heading 9
N9t-108;N9u--36;N9v-0;N9w-144;N9x-144;N9y-0;N9z-0;N91-0;N92-10;N93-0;N94-0;N95-10;N96-N;N97-Arial
N98-10;N99-N;N90-N;N9A-0;N9B-N;N9C-N;N9D-N;N9E-N;N9F-0;N9G-N;N9Q-N;N9U-0;N9V-N;N9W-N;N9X-N;N9Y-Y;N9Z-N;N9a-N;N9b-N;N9c-N;N9d-Y;N9e-N;N9f-N;N9g-N;N9G-Y;N9h-N;N9i-N;N9j-N;N9k-RXOL-10;RXSS-N;RXp0-;;RXUC-N;RXuc-N;RXSC-100;RXSP-0;RXNC-100;RXNP-0;RXIC-100;RXIP-0;
</DNR>
  <DNRA>NA-N;NB-1;NC-0;N0D-0;N0E-N;N0s-
N0t-0;N0u-0;N0v-0;N0w-0;N0x-0;N0y-0;N0z-0;N01-0;N02-0;N03-0;N04-0;N05-0;N06-N;N07-
N08-0;N09-N;N00-N;N0A-0;N0B-N;N0C-N;N0D-N;N0E-N;N0F-0;N0G-N;N0Q-N;N0U-0;N0V-N;N0W-N;N0X-N;N0Y-N;N0Z-N;N0a-N;N0b-N;N0c-N;N0d-N;N0e-N;N0f-N;N0g-N;N0G-N;N0h-N;N0i-N;N0j-N;N0k-RXOL-10;RXSS-N;RXp0-;;RXUC-N;RXuc-N;RXSC-100;RXSP-0;RXNC-100;RXNP-0;RXIC-100;RXIP-0;
N1D-0;N1E-N;N1F-N;N1f-10;N1G-N;N1H-N;N1p-1;N1d-N;N1e-
N1f-
N1g-
N1F-
N1G-
N1h-0;N1i-0;N1j-
N1k-
N1l-
N1m-
N1n-0;N1o-N;N1p-0;N1q-N;N1r-0;N1s-
N1t-0;N1u-0;N1v-0;N1w-0;N1x-0;N1y-0;N1z-0;N11-0;N12-0;N13-0;N14-0;N15-0;N16-N;N17-
N18-0;N19-N;N10-N;N1A-0;N1B-N;N1C-N;N1D-N;N1E-N;N1F-0;N1G-N;N1Q-N;N1U-0;N1V-N;N1W-N;N1X-N;N1Y-N;N1Z-N;N1a-N;N1b-N;N1c-N;N1d-N;N1e-N;N1f-N;N1g-N;N1G-N;N1h-N;N1i-N;N1j-N;N1k-RXOL-10;RXSS-N;RXp0-;;RXUC-N;RXuc-N;RXSC-100;RXSP-0;RXNC-100;RXNP-0;RXIC-100;RXIP-0;
N2D-0;N2E-N;N2F-N;N2f-10;N2G-N;N2H-N;N2p-1;N2d-N;N2e-
N2f-
N2g-
N2F-
N2G-
N2h-0;N2i-0;N2j-
N2k-
N2l-
N2m-
N2n-0;N2o-N;N2p-0;N2q-N;N2r-0;N2s-
N2t-0;N2u-0;N2v-0;N2w-0;N2x-0;N2y-0;N2z-0;N21-0;N22-0;N23-0;N24-0;N25-0;N26-N;N27-
N28-0;N29-N;N20-N;N2A-0;N2B-N;N2C-N;N2D-N;N2E-N;N2F-0;N2G-N;N2Q-N;N2U-0;N2V-N;N2W-N;N2X-N;N2Y-N;N2Z-N;N2a-N;N2b-N;N2c-N;N2d-N;N2e-N;N2f-N;N2g-N;N2G-N;N2h-N;N2i-N;N2j-N;N2k-RXOL-10;RXSS-N;RXp0-;;RXUC-N;RXuc-N;RXSC-100;RXSP-0;RXNC-100;RXNP-0;RXIC-100;RXIP-0;
N3D-0;N3E-N;N3F-N;N3f-10;N3G-N;N3H-N;N3p-1;N3d-N;N3e-
N3f-
N3g-
N3F-
N3G-
N3h-0;N3i-0;N3j-
N3k-
N3l-
N3m-
N3n-0;N3o-N;N3p-0;N3q-N;N3r-0;N3s-
N3t-0;N3u-0;N3v-0;N3w-0;N3x-0;N3y-0;N3z-0;N31-0;N32-0;N33-0;N34-0;N35-0;N36-N;N37-
N38-0;N39-N;N30-N;N3A-0;N3B-N;N3C-N;N3D-N;N3E-N;N3F-0;N3G-N;N3Q-N;N3U-0;N3V-N;N3W-N;N3X-N;N3Y-N;N3Z-N;N3a-N;N3b-N;N3c-N;N3d-N;N3e-N;N3f-N;N3g-N;N3G-N;N3h-N;N3i-N;N3j-N;N3k-RXOL-10;RXSS-N;RXp0-;;RXUC-N;RXuc-N;RXSC-100;RXSP-0;RXNC-100;RXNP-0;RXIC-100;RXIP-0;
N4D-0;N4E-N;N4F-N;N4f-10;N4G-N;N4H-N;N4p-1;N4d-N;N4e-
N4f-
N4g-
N4F-
N4G-
N4h-0;N4i-0;N4j-
N4k-
N4l-
N4m-
N4n-0;N4o-N;N4p-0;N4q-N;N4r-0;N4s-
N4t-0;N4u-0;N4v-0;N4w-0;N4x-0;N4y-0;N4z-0;N41-0;N42-0;N43-0;N44-0;N45-0;N46-N;N47-
N48-0;N49-N;N40-N;N4A-0;N4B-N;N4C-N;N4D-N;N4E-N;N4F-0;N4G-N;N4Q-N;N4U-0;N4V-N;N4W-N;N4X-N;N4Y-N;N4Z-N;N4a-N;N4b-N;N4c-N;N4d-N;N4e-N;N4f-N;N4g-N;N4G-N;N4h-N;N4i-N;N4j-N;N4k-RXOL-10;RXSS-N;RXp0-;;RXUC-N;RXuc-N;RXSC-100;RXSP-0;RXNC-100;RXNP-0;RXIC-100;RXIP-0;
N5D-0;N5E-N;N5F-N;N5f-10;N5G-N;N5H-N;N5p-1;N5d-N;N5e-
N5f-
N5g-
N5F-
N5G-
N5h-0;N5i-0;N5j-
N5k-
N5l-
N5m-
N5n-0;N5o-N;N5p-0;N5q-N;N5r-0;N5s-
N5t-0;N5u-0;N5v-0;N5w-0;N5x-0;N5y-0;N5z-0;N51-0;N52-0;N53-0;N54-0;N55-0;N56-N;N57-
N58-0;N59-N;N50-N;N5A-0;N5B-N;N5C-N;N5D-N;N5E-N;N5F-0;N5G-N;N5Q-N;N5U-0;N5V-N;N5W-N;N5X-N;N5Y-N;N5Z-N;N5a-N;N5b-N;N5c-N;N5d-N;N5e-N;N5f-N;N5g-N;N5G-N;N5h-N;N5i-N;N5j-N;N5k-RXOL-10;RXSS-N;RXp0-;;RXUC-N;RXuc-N;RXSC-100;RXSP-0;RXNC-100;RXNP-0;RXIC-100;RXIP-0;
N6D-0;N6E-N;N6F-N;N6f-10;N6G-N;N6H-N;N6p-1;N6d-N;N6e-
N6f-
N6g-
N6F-
N6G-
N6h-0;N6i-0;N6j-
N6k-
N6l-
N6m-
N6n-0;N6o-N;N6p-0;N6q-N;N6r-0;N6s-
N6t-0;N6u-0;N6v-0;N6w-0;N6x-0;N6y-0;N6z-0;N61-0;N62-0;N63-0;N64-0;N65-0;N66-N;N67-
N68-0;N69-N;N60-N;N6A-0;N6B-N;N6C-N;N6D-N;N6E-N;N6F-0;N6G-N;N6Q-N;N6U-0;N6V-N;N6W-N;N6X-N;N6Y-N;N6Z-N;N6a-N;N6b-N;N6c-N;N6d-N;N6e-N;N6f-N;N6g-N;N6G-N;N6h-N;N6i-N;N6j-N;N6k-RXOL-10;RXSS-N;RXp0-;;RXUC-N;RXuc-N;RXSC-100;RXSP-0;RXNC-100;RXNP-0;RXIC-100;RXIP-0;
N7D-0;N7E-N;N7F-N;N7f-10;N7G-N;N7H-N;N7p-1;N7d-N;N7e-
N7f-
N7g-
N7F-
N7G-
N7h-0;N7i-0;N7j-
N7k-
N7l-
N7m-
N7n-0;N7o-N;N7p-0;N7q-N;N7r-0;N7s-
N7t-0;N7u-0;N7v-0;N7w-0;N7x-0;N7y-0;N7z-0;N71-0;N72-0;N73-0;N74-0;N75-0;N76-N;N77-
N78-0;N79-N;N70-N;N7A-0;N7B-N;N7C-N;N7D-N;N7E-N;N7F-0;N7G-N;N7Q-N;N7U-0;N7V-N;N7W-N;N7X-N;N7Y-N;N7Z-N;N7a-N;N7b-N;N7c-N;N7d-N;N7e-N;N7f-N;N7g-N;N7G-N;N7h-N;N7i-N;N7j-N;N7k-RXOL-10;RXSS-N;RXp0-;;RXUC-N;RXuc-N;RXSC-100;RXSP-0;RXNC-100;RXNP-0;RXIC-100;RXIP-0;
N8D-0;N8E-N;N8F-N;N8f-10;N8G-N;N8H-N;N8p-1;N8d-N;N8e-
N8f-
N8g-
N8F-
N8G-
N8h-0;N8i-0;N8j-
N8k-
N8l-
N8m-
N8n-0;N8o-N;N8p-0;N8q-N;N8r-0;N8s-
N8t-0;N8u-0;N8v-0;N8w-0;N8x-0;N8y-0;N8z-0;N81-0;N82-0;N83-0;N84-0;N85-0;N86-N;N87-
N88-0;N89-N;N80-N;N8A-0;N8B-N;N8C-N;N8D-N;N8E-N;N8F-0;N8G-N;N8Q-N;N8U-0;N8V-N;N8W-N;N8X-N;N8Y-N;N8Z-N;N8a-N;N8b-N;N8c-N;N8d-N;N8e-N;N8f-N;N8g-N;N8G-N;N8h-N;N8i-N;N8j-N;N8k-RXOL-10;RXSS-N;RXp0-;;RXUC-N;RXuc-N;RXSC-100;RXSP-0;RXNC-100;RXNP-0;RXIC-100;RXIP-0;
N9D-0;N9E-N;N9F-N;N9f-10;N9G-N;N9H-N;N9p-1;N9d-N;N9e-
N9f-
N9g-
N9F-
N9G-
N9h-0;N9i-0;N9j-
N9k-
N9l-
N9m-
N9n-0;N9o-N;N9p-0;N9q-N;N9r-0;N9s-
N9t-0;N9u-0;N9v-0;N9w-0;N9x-0;N9y-0;N9z-0;N91-0;N92-0;N93-0;N94-0;N95-0;N96-N;N97-
N98-0;N99-N;N90-N;N9A-0;N9B-N;N9C-N;N9D-N;N9E-N;N9F-0;N9G-N;N9Q-N;N9U-0;N9V-N;N9W-N;N9X-N;N9Y-N;N9Z-N;N9a-N;N9b-N;N9c-N;N9d-N;N9e-N;N9f-N;N9g-N;N9G-N;N9h-N;N9i-N;N9j-N;N9k-RXOL-10;RXSS-N;RXp0-;;RXUC-N;RXuc-N;RXSC-100;RXSP-0;RXNC-100;RXNP-0;RXIC-100;RXIP-0;
</DNRA>
  <DFR>FA-N;FB-0;FC-9;F0D-0;F0E-Y;F0s-BM Subheading
F0t-0;F0u-0;F0v-0;F0w--999999;F0x-0;F0y-0;F0z-0;F01-0;F02-10;F03-0;F04-0;F05-10;F06-N;F07-Arial
F08-10;F09-Y;F00-N;F0A-0;F0B-N;F0C-N;F0D-N;F0E-N;F0F-0;F0G-N;F0Q-N;F0U-0;F0V-N;F0W-N;F0X-N;F0Y-N;F0Z-N;F0a-N;F0b-Y;F0c-Y;F0d-Y;F0e-N;F0f-N;F0g-N;F0G-N;F0h-N;F0i-N;F0j-N;F0k-RXOL-10;RXSS-N;RXp0-;;RXUC-N;RXuc-N;RXSC-100;RXSP-0;RXNC-100;RXNP-0;RXIC-100;RXIP-0;
F1D-0;F1E-N;F1s-BM Indent 1
F1t-36;F1u-0;F1v-0;F1w--999999;F1x-36;F1y-0;F1z-0;F11-0;F12-10;F13-0;F14-0;F15-10;F16-N;F17-Arial
F18-10;F19-N;F10-N;F1A-0;F1B-N;F1C-N;F1D-N;F1E-N;F1F-0;F1G-N;F1Q-N;F1U-0;F1V-N;F1W-N;F1X-N;F1Y-N;F1Z-Y;F1a-N;F1b-N;F1c-N;F1d-N;F1e-N;F1f-N;F1g-N;F1G-N;F1h-Y;F1i-N;F1j-N;F1k-RXOL-10;RXSS-N;RXp0-;;RXUC-N;RXuc-N;RXSC-100;RXSP-0;RXNC-100;RXNP-0;RXIC-100;RXIP-0;
F2D-0;F2E-N;F2s-BM Indent 2
F2t-36;F2u-0;F2v-0;F2w--999999;F2x-36;F2y-0;F2z-0;F21-0;F22-10;F23-0;F24-0;F25-10;F26-N;F27-Arial
F28-10;F29-N;F20-N;F2A-0;F2B-N;F2C-N;F2D-N;F2E-N;F2F-0;F2G-N;F2Q-N;F2U-0;F2V-N;F2W-N;F2X-N;F2Y-N;F2Z-Y;F2a-N;F2b-N;F2c-N;F2d-N;F2e-N;F2f-N;F2g-N;F2G-N;F2h-Y;F2i-N;F2j-N;F2k-RXOL-10;RXSS-N;RXp0-;;RXUC-N;RXuc-N;RXSC-100;RXSP-0;RXNC-100;RXNP-0;RXIC-100;RXIP-0;
F3D-0;F3E-N;F3s-BM Indent 3
F3t-36;F3u-0;F3v-0;F3w--999999;F3x-36;F3y-0;F3z-0;F31-0;F32-10;F33-0;F34-0;F35-10;F36-N;F37-Arial
F38-10;F39-N;F30-N;F3A-0;F3B-N;F3C-N;F3D-N;F3E-N;F3F-0;F3G-N;F3Q-N;F3U-0;F3V-N;F3W-N;F3X-N;F3Y-N;F3Z-Y;F3a-N;F3b-N;F3c-N;F3d-N;F3e-N;F3f-N;F3g-N;F3G-N;F3h-Y;F3i-N;F3j-N;F3k-RXOL-10;RXSS-N;RXp0-;;RXUC-N;RXuc-N;RXSC-100;RXSP-0;RXNC-100;RXNP-0;RXIC-100;RXIP-0;
F4D-0;F4E-Y;F4s-BM Indent 4
F4t-36;F4u-0;F4v-0;F4w--999999;F4x-36;F4y-0;F4z-0;F41-0;F42-10;F43-0;F44-0;F45-10;F46-N;F47-Arial
F48-10;F49-N;F40-N;F4A-0;F4B-N;F4C-N;F4D-N;F4E-N;F4F-0;F4G-N;F4Q-N;F4U-0;F4V-N;F4W-N;F4X-N;F4Y-N;F4Z-N;F4a-N;F4b-Y;F4c-Y;F4d-Y;F4e-N;F4f-N;F4g-N;F4G-N;F4h-N;F4i-N;F4j-N;F4k-RXOL-10;RXSS-N;RXp0-;;RXUC-N;RXuc-N;RXSC-100;RXSP-0;RXNC-100;RXNP-0;RXIC-100;RXIP-0;
F5D-0;F5E-Y;F5s-BM Indent 5
F5t-72;F5u-0;F5v-0;F5w--999999;F5x-72;F5y-0;F5z-0;F51-0;F52-10;F53-0;F54-0;F55-10;F56-N;F57-Arial
F58-10;F59-N;F50-N;F5A-0;F5B-N;F5C-N;F5D-N;F5E-N;F5F-0;F5G-N;F5Q-N;F5U-0;F5V-N;F5W-N;F5X-N;F5Y-N;F5Z-N;F5a-N;F5b-Y;F5c-Y;F5d-Y;F5e-N;F5f-N;F5g-N;F5G-N;F5h-N;F5i-N;F5j-N;F5k-RXOL-10;RXSS-N;RXp0-;;RXUC-N;RXuc-N;RXSC-100;RXSP-0;RXNC-100;RXNP-0;RXIC-100;RXIP-0;
F6D-0;F6E-Y;F6s-BM Indent 6
F6t-36;F6u-0;F6v-0;F6w--999999;F6x-36;F6y-0;F6z-0;F61-0;F62-10;F63-0;F64-0;F65-10;F66-N;F67-Arial
F68-10;F69-N;F60-N;F6A-0;F6B-N;F6C-N;F6D-N;F6E-N;F6F-0;F6G-N;F6Q-N;F6U-0;F6V-N;F6W-N;F6X-N;F6Y-N;F6Z-N;F6a-N;F6b-Y;F6c-Y;F6d-Y;F6e-N;F6f-N;F6g-N;F6G-N;F6h-N;F6i-N;F6j-N;F6k-RXOL-10;RXSS-N;RXp0-;;RXUC-N;RXuc-N;RXSC-100;RXSP-0;RXNC-100;RXNP-0;RXIC-100;RXIP-0;
F7D-0;F7E-Y;F7s-BM Indent 7
F7t-72;F7u-0;F7v-0;F7w--999999;F7x-72;F7y-0;F7z-0;F71-0;F72-10;F73-0;F74-0;F75-10;F76-N;F77-Arial
F78-10;F79-N;F70-N;F7A-0;F7B-N;F7C-N;F7D-N;F7E-N;F7F-0;F7G-N;F7Q-N;F7U-0;F7V-N;F7W-N;F7X-N;F7Y-N;F7Z-N;F7a-N;F7b-Y;F7c-Y;F7d-Y;F7e-N;F7f-N;F7g-N;F7G-N;F7h-N;F7i-N;F7j-N;F7k-RXOL-10;RXSS-N;RXp0-;;RXUC-N;RXuc-N;RXSC-100;RXSP-0;RXNC-100;RXNP-0;RXIC-100;RXIP-0;
F8D-0;F8E-N;F8s-BM Indent 8
F8t-108;F8u-0;F8v-0;F8w--999999;F8x-108;F8y-0;F8z-0;F81-0;F82-10;F83-0;F84-0;F85-10;F86-N;F87-Arial
F88-10;F89-N;F80-N;F8A-0;F8B-N;F8C-N;F8D-N;F8E-N;F8F-0;F8G-N;F8Q-N;F8U-0;F8V-N;F8W-N;F8X-N;F8Y-N;F8Z-Y;F8a-N;F8b-N;F8c-N;F8d-N;F8e-N;F8f-N;F8g-N;F8G-N;F8h-N;F8i-N;F8j-N;F8k-RXOL-10;RXSS-N;RXp0-;;RXUC-N;RXuc-N;RXSC-100;RXSP-0;RXNC-100;RXNP-0;RXIC-100;RXIP-0;
F9D-0;F9E-N;F9s-BM Indent 9
F9t-144;F9u-0;F9v-0;F9w--999999;F9x-144;F9y-0;F9z-0;F91-0;F92-10;F93-0;F94-0;F95-10;F96-N;F97-Arial
F98-10;F99-N;F90-N;F9A-0;F9B-N;F9C-N;F9D-N;F9E-N;F9F-0;F9G-N;F9Q-N;F9U-0;F9V-N;F9W-N;F9X-N;F9Y-N;F9Z-Y;F9a-N;F9b-N;F9c-N;F9d-N;F9e-N;F9f-N;F9g-N;F9G-N;F9h-N;F9i-N;F9j-N;F9k-RXOL-10;RXSS-N;RXp0-;;RXUC-N;RXuc-N;RXSC-100;RXSP-0;RXNC-100;RXNP-0;RXIC-100;RXIP-0;
</DFR>
  <DBR>BA-N;BB-0;BC-0;B0D-0;B0E-N;B0s-
B0t-0;B0u-0;B0v-0;B0w-0;B0x-0;B0y-0;B0z-0;B01-0;B02-0;B03-0;B04-0;B05-0;B06-N;B07-
B08-0;B09-N;B00-N;B0A-0;B0B-N;B0C-N;B0D-N;B0E-N;B0F-0;B0G-N;B0Q-N;B0U-0;B0V-N;B0W-N;B0X-N;B0Y-N;B0Z-N;B0a-N;B0b-N;B0c-N;B0d-N;B0e-N;B0f-N;B0g-N;B0G-N;B0h-N;B0i-N;B0j-N;B0k-RXOL-10;RXSS-N;RXp0-;;RXUC-N;RXuc-N;RXSC-100;RXSP-0;RXNC-100;RXNP-0;RXIC-100;RXIP-0;
B1D-0;B1E-N;B1d-N;B1e-•
B1f-
B1g-
B1F-
B1G-
B1h-0;B1i-0;B1j-
B1k-•
B1l-	
B1m-Arial
B1n-10;B1o-N;B1p-0;B1q-N;B1r-0;B1s-BM Bul 1
B1t-36;B1u--36;B1v-0;B1w-72;B1x-72;B1y-0;B1z-0;B11-0;B12-10;B13-0;B14-0;B15-10;B16-N;B17-Arial
B18-10;B19-N;B10-N;B1A-0;B1B-N;B1C-N;B1D-N;B1E-N;B1F-0;B1G-N;B1Q-N;B1U-0;B1V-N;B1W-N;B1X-N;B1Y-N;B1Z-Y;B1a-N;B1b-N;B1c-N;B1d-N;B1e-N;B1f-N;B1g-N;B1G-N;B1h-Y;B1i-N;B1j-N;B1k-RXOL-10;RXSS-N;RXp0-;;RXUC-N;RXuc-N;RXSC-100;RXSP-0;RXNC-100;RXNP-0;RXIC-100;RXIP-0;
B2D-0;B2E-N;B2d-N;B2e-•
B2f-
B2g-
B2F-
B2G-
B2h-0;B2i-0;B2j-
B2k-•
B2l-	
B2m-Arial
B2n-10;B2o-N;B2p-0;B2q-N;B2r-0;B2s-BM Bul 2
B2t-36;B2u--36;B2v-0;B2w-72;B2x-72;B2y-0;B2z-0;B21-0;B22-10;B23-0;B24-0;B25-10;B26-N;B27-Arial
B28-10;B29-N;B20-N;B2A-0;B2B-N;B2C-N;B2D-N;B2E-N;B2F-0;B2G-N;B2Q-N;B2U-0;B2V-N;B2W-N;B2X-N;B2Y-N;B2Z-Y;B2a-N;B2b-N;B2c-N;B2d-N;B2e-N;B2f-N;B2g-N;B2G-N;B2h-Y;B2i-N;B2j-N;B2k-RXOL-10;RXSS-N;RXp0-;;RXUC-N;RXuc-N;RXSC-100;RXSP-0;RXNC-100;RXNP-0;RXIC-100;RXIP-0;
B3D-0;B3E-N;B3d-N;B3e-•
B3f-
B3g-
B3F-
B3G-
B3h-0;B3i-0;B3j-
B3k-•
B3l-	
B3m-Arial
B3n-10;B3o-N;B3p-0;B3q-N;B3r-0;B3s-BM Bul 3
B3t-36;B3u--36;B3v-0;B3w-72;B3x-72;B3y-0;B3z-0;B31-0;B32-10;B33-0;B34-0;B35-10;B36-N;B37-Arial
B38-10;B39-N;B30-N;B3A-0;B3B-N;B3C-N;B3D-N;B3E-N;B3F-0;B3G-N;B3Q-N;B3U-0;B3V-N;B3W-N;B3X-N;B3Y-N;B3Z-Y;B3a-N;B3b-N;B3c-N;B3d-N;B3e-N;B3f-N;B3g-N;B3G-N;B3h-Y;B3i-N;B3j-N;B3k-RXOL-10;RXSS-N;RXp0-;;RXUC-N;RXuc-N;RXSC-100;RXSP-0;RXNC-100;RXNP-0;RXIC-100;RXIP-0;
B4D-0;B4E-Y;B4d-N;B4e-•
B4f-
B4g-
B4F-
B4G-
B4h-0;B4i-0;B4j-
B4k-•
B4l-	
B4m-Arial
B4n-10;B4o-N;B4p-0;B4q-N;B4r-0;B4s-BM Bul 4
B4t-36;B4u--36;B4v-0;B4w-72;B4x-72;B4y-0;B4z-0;B41-0;B42-10;B43-0;B44-0;B45-10;B46-N;B47-Arial
B48-10;B49-N;B40-N;B4A-0;B4B-N;B4C-N;B4D-N;B4E-N;B4F-0;B4G-N;B4Q-N;B4U-0;B4V-N;B4W-N;B4X-N;B4Y-Y;B4Z-N;B4a-N;B4b-Y;B4c-Y;B4d-Y;B4e-N;B4f-N;B4g-N;B4G-N;B4h-Y;B4i-N;B4j-N;B4k-RXOL-10;RXSS-N;RXp0-;;RXUC-N;RXuc-N;RXSC-100;RXSP-0;RXNC-100;RXNP-0;RXIC-100;RXIP-0;
B5D-0;B5E-Y;B5d-N;B5e-•
B5f-
B5g-
B5F-
B5G-
B5h-0;B5i-0;B5j-
B5k-•
B5l-	
B5m-Arial
B5n-10;B5o-N;B5p-0;B5q-N;B5r-0;B5s-BM Bul 5
B5t-0;B5u--36;B5v-0;B5w-36;B5x-36;B5y-0;B5z-0;B51-0;B52-10;B53-0;B54-0;B55-10;B56-N;B57-Arial
B58-10;B59-N;B50-N;B5A-0;B5B-N;B5C-N;B5D-N;B5E-N;B5F-0;B5G-N;B5Q-N;B5U-0;B5V-N;B5W-N;B5X-N;B5Y-Y;B5Z-N;B5a-N;B5b-Y;B5c-Y;B5d-Y;B5e-N;B5f-N;B5g-N;B5G-N;B5h-Y;B5i-N;B5j-N;B5k-RXOL-10;RXSS-N;RXp0-;;RXUC-N;RXuc-N;RXSC-100;RXSP-0;RXNC-100;RXNP-0;RXIC-100;RXIP-0;
B6D-0;B6E-Y;B6d-N;B6e-•
B6f-
B6g-
B6F-
B6G-
B6h-0;B6i-0;B6j-
B6k-•
B6l-	
B6m-Arial
B6n-10;B6o-N;B6p-0;B6q-N;B6r-0;B6s-BM Bul 6
B6t-36;B6u--36;B6v-0;B6w-72;B6x-72;B6y-0;B6z-0;B61-0;B62-10;B63-0;B64-0;B65-10;B66-N;B67-Arial
B68-10;B69-N;B60-N;B6A-0;B6B-N;B6C-N;B6D-N;B6E-N;B6F-0;B6G-N;B6Q-N;B6U-0;B6V-N;B6W-N;B6X-N;B6Y-Y;B6Z-N;B6a-N;B6b-Y;B6c-Y;B6d-Y;B6e-N;B6f-N;B6g-N;B6G-N;B6h-Y;B6i-N;B6j-N;B6k-RXOL-10;RXSS-N;RXp0-;;RXUC-N;RXuc-N;RXSC-100;RXSP-0;RXNC-100;RXNP-0;RXIC-100;RXIP-0;
B7D-0;B7E-Y;B7d-N;B7e-•
B7f-
B7g-
B7F-
B7G-
B7h-0;B7i-0;B7j-
B7k-•
B7l-	
B7m-Arial
B7n-10;B7o-N;B7p-0;B7q-N;B7r-0;B7s-BM Bul 7
B7t-72;B7u--36;B7v-0;B7w-108;B7x-108;B7y-0;B7z-0;B71-0;B72-10;B73-0;B74-0;B75-10;B76-N;B77-Arial
B78-10;B79-N;B70-N;B7A-0;B7B-N;B7C-N;B7D-N;B7E-N;B7F-0;B7G-N;B7Q-N;B7U-0;B7V-N;B7W-N;B7X-N;B7Y-Y;B7Z-N;B7a-N;B7b-Y;B7c-Y;B7d-Y;B7e-N;B7f-N;B7g-N;B7G-N;B7h-Y;B7i-N;B7j-N;B7k-RXOL-10;RXSS-N;RXp0-;;RXUC-N;RXuc-N;RXSC-100;RXSP-0;RXNC-100;RXNP-0;RXIC-100;RXIP-0;
B8D-0;B8E-N;B8d-N;B8e-•
B8f-
B8g-
B8F-
B8G-
B8h-0;B8i-0;B8j-
B8k-•
B8l-	
B8m-Arial
B8n-10;B8o-N;B8p-0;B8q-N;B8r-0;B8s-BM Bul 8
B8t-108;B8u--36;B8v-0;B8w-144;B8x-144;B8y-0;B8z-0;B81-0;B82-10;B83-0;B84-0;B85-10;B86-N;B87-Arial
B88-10;B89-N;B80-N;B8A-0;B8B-N;B8C-N;B8D-N;B8E-N;B8F-0;B8G-N;B8Q-N;B8U-0;B8V-N;B8W-N;B8X-N;B8Y-N;B8Z-Y;B8a-N;B8b-N;B8c-N;B8d-N;B8e-N;B8f-N;B8g-N;B8G-N;B8h-N;B8i-N;B8j-N;B8k-RXOL-10;RXSS-N;RXp0-;;RXUC-N;RXuc-N;RXSC-100;RXSP-0;RXNC-100;RXNP-0;RXIC-100;RXIP-0;
B9D-0;B9E-N;B9d-N;B9e-•
B9f-
B9g-
B9F-
B9G-
B9h-0;B9i-0;B9j-
B9k-•
B9l-	
B9m-Arial
B9n-10;B9o-N;B9p-0;B9q-N;B9r-0;B9s-BM Bul 9
B9t-144;B9u--30;B9v-0;B9w-174;B9x-174;B9y-0;B9z-0;B91-0;B92-10;B93-0;B94-0;B95-10;B96-N;B97-Arial
B98-10;B99-N;B90-N;B9A-0;B9B-N;B9C-N;B9D-N;B9E-N;B9F-0;B9G-N;B9Q-N;B9U-0;B9V-N;B9W-N;B9X-N;B9Y-N;B9Z-Y;B9a-N;B9b-N;B9c-N;B9d-N;B9e-N;B9f-N;B9g-N;B9G-N;B9h-N;B9i-N;B9j-N;B9k-RXOL-10;RXSS-N;RXp0-;;RXUC-N;RXuc-N;RXSC-100;RXSP-0;RXNC-100;RXNP-0;RXIC-100;RXIP-0;
</DBR>
  <DDNR/>
  <DDFR/>
  <DDBR/>
</XtraLexRoot>
</file>

<file path=customXml/item2.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9D585A-8EE9-4F64-B628-8E8DA5156D62}">
  <ds:schemaRefs/>
</ds:datastoreItem>
</file>

<file path=customXml/itemProps2.xml><?xml version="1.0" encoding="utf-8"?>
<ds:datastoreItem xmlns:ds="http://schemas.openxmlformats.org/officeDocument/2006/customXml" ds:itemID="{BFADE834-3FC4-47AB-A6C5-C6D5A7665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53</Pages>
  <Words>227396</Words>
  <Characters>1296160</Characters>
  <Application>Microsoft Office Word</Application>
  <DocSecurity>0</DocSecurity>
  <Lines>10801</Lines>
  <Paragraphs>3041</Paragraphs>
  <ScaleCrop>false</ScaleCrop>
  <HeadingPairs>
    <vt:vector size="2" baseType="variant">
      <vt:variant>
        <vt:lpstr>Title</vt:lpstr>
      </vt:variant>
      <vt:variant>
        <vt:i4>1</vt:i4>
      </vt:variant>
    </vt:vector>
  </HeadingPairs>
  <TitlesOfParts>
    <vt:vector size="1" baseType="lpstr">
      <vt:lpstr/>
    </vt:vector>
  </TitlesOfParts>
  <Company>Optus</Company>
  <LinksUpToDate>false</LinksUpToDate>
  <CharactersWithSpaces>1520515</CharactersWithSpaces>
  <SharedDoc>false</SharedDoc>
  <HLinks>
    <vt:vector size="5634" baseType="variant">
      <vt:variant>
        <vt:i4>4063286</vt:i4>
      </vt:variant>
      <vt:variant>
        <vt:i4>4125</vt:i4>
      </vt:variant>
      <vt:variant>
        <vt:i4>0</vt:i4>
      </vt:variant>
      <vt:variant>
        <vt:i4>5</vt:i4>
      </vt:variant>
      <vt:variant>
        <vt:lpwstr>http://www.optus.com.au/content/dam/optus/appendix/Appendix D/AppD.doc</vt:lpwstr>
      </vt:variant>
      <vt:variant>
        <vt:lpwstr/>
      </vt:variant>
      <vt:variant>
        <vt:i4>2687009</vt:i4>
      </vt:variant>
      <vt:variant>
        <vt:i4>4122</vt:i4>
      </vt:variant>
      <vt:variant>
        <vt:i4>0</vt:i4>
      </vt:variant>
      <vt:variant>
        <vt:i4>5</vt:i4>
      </vt:variant>
      <vt:variant>
        <vt:lpwstr>http://www.optus.com.au/content/dam/optus/appendix/Appendix S/AppS.doc</vt:lpwstr>
      </vt:variant>
      <vt:variant>
        <vt:lpwstr/>
      </vt:variant>
      <vt:variant>
        <vt:i4>2687009</vt:i4>
      </vt:variant>
      <vt:variant>
        <vt:i4>4119</vt:i4>
      </vt:variant>
      <vt:variant>
        <vt:i4>0</vt:i4>
      </vt:variant>
      <vt:variant>
        <vt:i4>5</vt:i4>
      </vt:variant>
      <vt:variant>
        <vt:lpwstr>http://www.optus.com.au/content/dam/optus/appendix/Appendix S/AppS.doc</vt:lpwstr>
      </vt:variant>
      <vt:variant>
        <vt:lpwstr/>
      </vt:variant>
      <vt:variant>
        <vt:i4>2687009</vt:i4>
      </vt:variant>
      <vt:variant>
        <vt:i4>4116</vt:i4>
      </vt:variant>
      <vt:variant>
        <vt:i4>0</vt:i4>
      </vt:variant>
      <vt:variant>
        <vt:i4>5</vt:i4>
      </vt:variant>
      <vt:variant>
        <vt:lpwstr>http://www.optus.com.au/content/dam/optus/appendix/Appendix S/AppS.doc</vt:lpwstr>
      </vt:variant>
      <vt:variant>
        <vt:lpwstr/>
      </vt:variant>
      <vt:variant>
        <vt:i4>4063286</vt:i4>
      </vt:variant>
      <vt:variant>
        <vt:i4>4113</vt:i4>
      </vt:variant>
      <vt:variant>
        <vt:i4>0</vt:i4>
      </vt:variant>
      <vt:variant>
        <vt:i4>5</vt:i4>
      </vt:variant>
      <vt:variant>
        <vt:lpwstr>http://www.optus.com.au/content/dam/optus/appendix/Appendix D/AppD.doc</vt:lpwstr>
      </vt:variant>
      <vt:variant>
        <vt:lpwstr/>
      </vt:variant>
      <vt:variant>
        <vt:i4>2293803</vt:i4>
      </vt:variant>
      <vt:variant>
        <vt:i4>4110</vt:i4>
      </vt:variant>
      <vt:variant>
        <vt:i4>0</vt:i4>
      </vt:variant>
      <vt:variant>
        <vt:i4>5</vt:i4>
      </vt:variant>
      <vt:variant>
        <vt:lpwstr>http://www.optus.com.au/content/dam/optus/appendix/Appendix Y/AppY.doc</vt:lpwstr>
      </vt:variant>
      <vt:variant>
        <vt:lpwstr/>
      </vt:variant>
      <vt:variant>
        <vt:i4>4063286</vt:i4>
      </vt:variant>
      <vt:variant>
        <vt:i4>4107</vt:i4>
      </vt:variant>
      <vt:variant>
        <vt:i4>0</vt:i4>
      </vt:variant>
      <vt:variant>
        <vt:i4>5</vt:i4>
      </vt:variant>
      <vt:variant>
        <vt:lpwstr>http://www.optus.com.au/content/dam/optus/appendix/Appendix D/AppD.doc</vt:lpwstr>
      </vt:variant>
      <vt:variant>
        <vt:lpwstr/>
      </vt:variant>
      <vt:variant>
        <vt:i4>2293803</vt:i4>
      </vt:variant>
      <vt:variant>
        <vt:i4>4104</vt:i4>
      </vt:variant>
      <vt:variant>
        <vt:i4>0</vt:i4>
      </vt:variant>
      <vt:variant>
        <vt:i4>5</vt:i4>
      </vt:variant>
      <vt:variant>
        <vt:lpwstr>http://www.optus.com.au/content/dam/optus/appendix/Appendix Y/AppY.doc</vt:lpwstr>
      </vt:variant>
      <vt:variant>
        <vt:lpwstr/>
      </vt:variant>
      <vt:variant>
        <vt:i4>4063286</vt:i4>
      </vt:variant>
      <vt:variant>
        <vt:i4>4101</vt:i4>
      </vt:variant>
      <vt:variant>
        <vt:i4>0</vt:i4>
      </vt:variant>
      <vt:variant>
        <vt:i4>5</vt:i4>
      </vt:variant>
      <vt:variant>
        <vt:lpwstr>http://www.optus.com.au/content/dam/optus/appendix/Appendix D/AppD.doc</vt:lpwstr>
      </vt:variant>
      <vt:variant>
        <vt:lpwstr/>
      </vt:variant>
      <vt:variant>
        <vt:i4>2687009</vt:i4>
      </vt:variant>
      <vt:variant>
        <vt:i4>4095</vt:i4>
      </vt:variant>
      <vt:variant>
        <vt:i4>0</vt:i4>
      </vt:variant>
      <vt:variant>
        <vt:i4>5</vt:i4>
      </vt:variant>
      <vt:variant>
        <vt:lpwstr>http://www.optus.com.au/content/dam/optus/appendix/Appendix S/AppS.doc</vt:lpwstr>
      </vt:variant>
      <vt:variant>
        <vt:lpwstr/>
      </vt:variant>
      <vt:variant>
        <vt:i4>2687009</vt:i4>
      </vt:variant>
      <vt:variant>
        <vt:i4>4092</vt:i4>
      </vt:variant>
      <vt:variant>
        <vt:i4>0</vt:i4>
      </vt:variant>
      <vt:variant>
        <vt:i4>5</vt:i4>
      </vt:variant>
      <vt:variant>
        <vt:lpwstr>http://www.optus.com.au/content/dam/optus/appendix/Appendix S/AppS.doc</vt:lpwstr>
      </vt:variant>
      <vt:variant>
        <vt:lpwstr/>
      </vt:variant>
      <vt:variant>
        <vt:i4>2687009</vt:i4>
      </vt:variant>
      <vt:variant>
        <vt:i4>4089</vt:i4>
      </vt:variant>
      <vt:variant>
        <vt:i4>0</vt:i4>
      </vt:variant>
      <vt:variant>
        <vt:i4>5</vt:i4>
      </vt:variant>
      <vt:variant>
        <vt:lpwstr>http://www.optus.com.au/content/dam/optus/appendix/Appendix S/AppS.doc</vt:lpwstr>
      </vt:variant>
      <vt:variant>
        <vt:lpwstr/>
      </vt:variant>
      <vt:variant>
        <vt:i4>2293803</vt:i4>
      </vt:variant>
      <vt:variant>
        <vt:i4>4086</vt:i4>
      </vt:variant>
      <vt:variant>
        <vt:i4>0</vt:i4>
      </vt:variant>
      <vt:variant>
        <vt:i4>5</vt:i4>
      </vt:variant>
      <vt:variant>
        <vt:lpwstr>http://www.optus.com.au/content/dam/optus/appendix/Appendix Y/AppY.doc</vt:lpwstr>
      </vt:variant>
      <vt:variant>
        <vt:lpwstr/>
      </vt:variant>
      <vt:variant>
        <vt:i4>2687009</vt:i4>
      </vt:variant>
      <vt:variant>
        <vt:i4>4083</vt:i4>
      </vt:variant>
      <vt:variant>
        <vt:i4>0</vt:i4>
      </vt:variant>
      <vt:variant>
        <vt:i4>5</vt:i4>
      </vt:variant>
      <vt:variant>
        <vt:lpwstr>http://www.optus.com.au/content/dam/optus/appendix/Appendix S/AppS.doc</vt:lpwstr>
      </vt:variant>
      <vt:variant>
        <vt:lpwstr/>
      </vt:variant>
      <vt:variant>
        <vt:i4>2687009</vt:i4>
      </vt:variant>
      <vt:variant>
        <vt:i4>4080</vt:i4>
      </vt:variant>
      <vt:variant>
        <vt:i4>0</vt:i4>
      </vt:variant>
      <vt:variant>
        <vt:i4>5</vt:i4>
      </vt:variant>
      <vt:variant>
        <vt:lpwstr>http://www.optus.com.au/content/dam/optus/appendix/Appendix S/AppS.doc</vt:lpwstr>
      </vt:variant>
      <vt:variant>
        <vt:lpwstr/>
      </vt:variant>
      <vt:variant>
        <vt:i4>2687009</vt:i4>
      </vt:variant>
      <vt:variant>
        <vt:i4>4077</vt:i4>
      </vt:variant>
      <vt:variant>
        <vt:i4>0</vt:i4>
      </vt:variant>
      <vt:variant>
        <vt:i4>5</vt:i4>
      </vt:variant>
      <vt:variant>
        <vt:lpwstr>http://www.optus.com.au/content/dam/optus/appendix/Appendix S/AppS.doc</vt:lpwstr>
      </vt:variant>
      <vt:variant>
        <vt:lpwstr/>
      </vt:variant>
      <vt:variant>
        <vt:i4>4063286</vt:i4>
      </vt:variant>
      <vt:variant>
        <vt:i4>4074</vt:i4>
      </vt:variant>
      <vt:variant>
        <vt:i4>0</vt:i4>
      </vt:variant>
      <vt:variant>
        <vt:i4>5</vt:i4>
      </vt:variant>
      <vt:variant>
        <vt:lpwstr>http://www.optus.com.au/content/dam/optus/appendix/Appendix D/AppD.doc</vt:lpwstr>
      </vt:variant>
      <vt:variant>
        <vt:lpwstr/>
      </vt:variant>
      <vt:variant>
        <vt:i4>2293803</vt:i4>
      </vt:variant>
      <vt:variant>
        <vt:i4>4071</vt:i4>
      </vt:variant>
      <vt:variant>
        <vt:i4>0</vt:i4>
      </vt:variant>
      <vt:variant>
        <vt:i4>5</vt:i4>
      </vt:variant>
      <vt:variant>
        <vt:lpwstr>http://www.optus.com.au/content/dam/optus/appendix/Appendix Y/AppY.doc</vt:lpwstr>
      </vt:variant>
      <vt:variant>
        <vt:lpwstr/>
      </vt:variant>
      <vt:variant>
        <vt:i4>2687009</vt:i4>
      </vt:variant>
      <vt:variant>
        <vt:i4>4068</vt:i4>
      </vt:variant>
      <vt:variant>
        <vt:i4>0</vt:i4>
      </vt:variant>
      <vt:variant>
        <vt:i4>5</vt:i4>
      </vt:variant>
      <vt:variant>
        <vt:lpwstr>http://www.optus.com.au/content/dam/optus/appendix/Appendix S/AppS.doc</vt:lpwstr>
      </vt:variant>
      <vt:variant>
        <vt:lpwstr/>
      </vt:variant>
      <vt:variant>
        <vt:i4>2687009</vt:i4>
      </vt:variant>
      <vt:variant>
        <vt:i4>4065</vt:i4>
      </vt:variant>
      <vt:variant>
        <vt:i4>0</vt:i4>
      </vt:variant>
      <vt:variant>
        <vt:i4>5</vt:i4>
      </vt:variant>
      <vt:variant>
        <vt:lpwstr>http://www.optus.com.au/content/dam/optus/appendix/Appendix S/AppS.doc</vt:lpwstr>
      </vt:variant>
      <vt:variant>
        <vt:lpwstr/>
      </vt:variant>
      <vt:variant>
        <vt:i4>2687009</vt:i4>
      </vt:variant>
      <vt:variant>
        <vt:i4>4062</vt:i4>
      </vt:variant>
      <vt:variant>
        <vt:i4>0</vt:i4>
      </vt:variant>
      <vt:variant>
        <vt:i4>5</vt:i4>
      </vt:variant>
      <vt:variant>
        <vt:lpwstr>http://www.optus.com.au/content/dam/optus/appendix/Appendix S/AppS.doc</vt:lpwstr>
      </vt:variant>
      <vt:variant>
        <vt:lpwstr/>
      </vt:variant>
      <vt:variant>
        <vt:i4>4063286</vt:i4>
      </vt:variant>
      <vt:variant>
        <vt:i4>4059</vt:i4>
      </vt:variant>
      <vt:variant>
        <vt:i4>0</vt:i4>
      </vt:variant>
      <vt:variant>
        <vt:i4>5</vt:i4>
      </vt:variant>
      <vt:variant>
        <vt:lpwstr>http://www.optus.com.au/content/dam/optus/appendix/Appendix D/AppD.doc</vt:lpwstr>
      </vt:variant>
      <vt:variant>
        <vt:lpwstr/>
      </vt:variant>
      <vt:variant>
        <vt:i4>4063286</vt:i4>
      </vt:variant>
      <vt:variant>
        <vt:i4>4056</vt:i4>
      </vt:variant>
      <vt:variant>
        <vt:i4>0</vt:i4>
      </vt:variant>
      <vt:variant>
        <vt:i4>5</vt:i4>
      </vt:variant>
      <vt:variant>
        <vt:lpwstr>http://www.optus.com.au/content/dam/optus/appendix/Appendix D/AppD.doc</vt:lpwstr>
      </vt:variant>
      <vt:variant>
        <vt:lpwstr/>
      </vt:variant>
      <vt:variant>
        <vt:i4>2293803</vt:i4>
      </vt:variant>
      <vt:variant>
        <vt:i4>4053</vt:i4>
      </vt:variant>
      <vt:variant>
        <vt:i4>0</vt:i4>
      </vt:variant>
      <vt:variant>
        <vt:i4>5</vt:i4>
      </vt:variant>
      <vt:variant>
        <vt:lpwstr>http://www.optus.com.au/content/dam/optus/appendix/Appendix Y/AppY.doc</vt:lpwstr>
      </vt:variant>
      <vt:variant>
        <vt:lpwstr/>
      </vt:variant>
      <vt:variant>
        <vt:i4>4063286</vt:i4>
      </vt:variant>
      <vt:variant>
        <vt:i4>4050</vt:i4>
      </vt:variant>
      <vt:variant>
        <vt:i4>0</vt:i4>
      </vt:variant>
      <vt:variant>
        <vt:i4>5</vt:i4>
      </vt:variant>
      <vt:variant>
        <vt:lpwstr>http://www.optus.com.au/content/dam/optus/appendix/Appendix D/AppD.doc</vt:lpwstr>
      </vt:variant>
      <vt:variant>
        <vt:lpwstr/>
      </vt:variant>
      <vt:variant>
        <vt:i4>2687009</vt:i4>
      </vt:variant>
      <vt:variant>
        <vt:i4>4041</vt:i4>
      </vt:variant>
      <vt:variant>
        <vt:i4>0</vt:i4>
      </vt:variant>
      <vt:variant>
        <vt:i4>5</vt:i4>
      </vt:variant>
      <vt:variant>
        <vt:lpwstr>http://www.optus.com.au/content/dam/optus/appendix/Appendix S/AppS.doc</vt:lpwstr>
      </vt:variant>
      <vt:variant>
        <vt:lpwstr/>
      </vt:variant>
      <vt:variant>
        <vt:i4>2687009</vt:i4>
      </vt:variant>
      <vt:variant>
        <vt:i4>4038</vt:i4>
      </vt:variant>
      <vt:variant>
        <vt:i4>0</vt:i4>
      </vt:variant>
      <vt:variant>
        <vt:i4>5</vt:i4>
      </vt:variant>
      <vt:variant>
        <vt:lpwstr>http://www.optus.com.au/content/dam/optus/appendix/Appendix S/AppS.doc</vt:lpwstr>
      </vt:variant>
      <vt:variant>
        <vt:lpwstr/>
      </vt:variant>
      <vt:variant>
        <vt:i4>2687009</vt:i4>
      </vt:variant>
      <vt:variant>
        <vt:i4>4035</vt:i4>
      </vt:variant>
      <vt:variant>
        <vt:i4>0</vt:i4>
      </vt:variant>
      <vt:variant>
        <vt:i4>5</vt:i4>
      </vt:variant>
      <vt:variant>
        <vt:lpwstr>http://www.optus.com.au/content/dam/optus/appendix/Appendix S/AppS.doc</vt:lpwstr>
      </vt:variant>
      <vt:variant>
        <vt:lpwstr/>
      </vt:variant>
      <vt:variant>
        <vt:i4>2293803</vt:i4>
      </vt:variant>
      <vt:variant>
        <vt:i4>4032</vt:i4>
      </vt:variant>
      <vt:variant>
        <vt:i4>0</vt:i4>
      </vt:variant>
      <vt:variant>
        <vt:i4>5</vt:i4>
      </vt:variant>
      <vt:variant>
        <vt:lpwstr>http://www.optus.com.au/content/dam/optus/appendix/Appendix Y/AppY.doc</vt:lpwstr>
      </vt:variant>
      <vt:variant>
        <vt:lpwstr/>
      </vt:variant>
      <vt:variant>
        <vt:i4>4063286</vt:i4>
      </vt:variant>
      <vt:variant>
        <vt:i4>4029</vt:i4>
      </vt:variant>
      <vt:variant>
        <vt:i4>0</vt:i4>
      </vt:variant>
      <vt:variant>
        <vt:i4>5</vt:i4>
      </vt:variant>
      <vt:variant>
        <vt:lpwstr>http://www.optus.com.au/content/dam/optus/appendix/Appendix D/AppD.doc</vt:lpwstr>
      </vt:variant>
      <vt:variant>
        <vt:lpwstr/>
      </vt:variant>
      <vt:variant>
        <vt:i4>2687009</vt:i4>
      </vt:variant>
      <vt:variant>
        <vt:i4>4020</vt:i4>
      </vt:variant>
      <vt:variant>
        <vt:i4>0</vt:i4>
      </vt:variant>
      <vt:variant>
        <vt:i4>5</vt:i4>
      </vt:variant>
      <vt:variant>
        <vt:lpwstr>http://www.optus.com.au/content/dam/optus/appendix/Appendix S/AppS.doc</vt:lpwstr>
      </vt:variant>
      <vt:variant>
        <vt:lpwstr/>
      </vt:variant>
      <vt:variant>
        <vt:i4>2687009</vt:i4>
      </vt:variant>
      <vt:variant>
        <vt:i4>4017</vt:i4>
      </vt:variant>
      <vt:variant>
        <vt:i4>0</vt:i4>
      </vt:variant>
      <vt:variant>
        <vt:i4>5</vt:i4>
      </vt:variant>
      <vt:variant>
        <vt:lpwstr>http://www.optus.com.au/content/dam/optus/appendix/Appendix S/AppS.doc</vt:lpwstr>
      </vt:variant>
      <vt:variant>
        <vt:lpwstr/>
      </vt:variant>
      <vt:variant>
        <vt:i4>2687009</vt:i4>
      </vt:variant>
      <vt:variant>
        <vt:i4>4014</vt:i4>
      </vt:variant>
      <vt:variant>
        <vt:i4>0</vt:i4>
      </vt:variant>
      <vt:variant>
        <vt:i4>5</vt:i4>
      </vt:variant>
      <vt:variant>
        <vt:lpwstr>http://www.optus.com.au/content/dam/optus/appendix/Appendix S/AppS.doc</vt:lpwstr>
      </vt:variant>
      <vt:variant>
        <vt:lpwstr/>
      </vt:variant>
      <vt:variant>
        <vt:i4>4063286</vt:i4>
      </vt:variant>
      <vt:variant>
        <vt:i4>4011</vt:i4>
      </vt:variant>
      <vt:variant>
        <vt:i4>0</vt:i4>
      </vt:variant>
      <vt:variant>
        <vt:i4>5</vt:i4>
      </vt:variant>
      <vt:variant>
        <vt:lpwstr>http://www.optus.com.au/content/dam/optus/appendix/Appendix D/AppD.doc</vt:lpwstr>
      </vt:variant>
      <vt:variant>
        <vt:lpwstr/>
      </vt:variant>
      <vt:variant>
        <vt:i4>2293803</vt:i4>
      </vt:variant>
      <vt:variant>
        <vt:i4>4008</vt:i4>
      </vt:variant>
      <vt:variant>
        <vt:i4>0</vt:i4>
      </vt:variant>
      <vt:variant>
        <vt:i4>5</vt:i4>
      </vt:variant>
      <vt:variant>
        <vt:lpwstr>http://www.optus.com.au/content/dam/optus/appendix/Appendix Y/AppY.doc</vt:lpwstr>
      </vt:variant>
      <vt:variant>
        <vt:lpwstr/>
      </vt:variant>
      <vt:variant>
        <vt:i4>4063286</vt:i4>
      </vt:variant>
      <vt:variant>
        <vt:i4>4005</vt:i4>
      </vt:variant>
      <vt:variant>
        <vt:i4>0</vt:i4>
      </vt:variant>
      <vt:variant>
        <vt:i4>5</vt:i4>
      </vt:variant>
      <vt:variant>
        <vt:lpwstr>http://www.optus.com.au/content/dam/optus/appendix/Appendix D/AppD.doc</vt:lpwstr>
      </vt:variant>
      <vt:variant>
        <vt:lpwstr/>
      </vt:variant>
      <vt:variant>
        <vt:i4>2687009</vt:i4>
      </vt:variant>
      <vt:variant>
        <vt:i4>3999</vt:i4>
      </vt:variant>
      <vt:variant>
        <vt:i4>0</vt:i4>
      </vt:variant>
      <vt:variant>
        <vt:i4>5</vt:i4>
      </vt:variant>
      <vt:variant>
        <vt:lpwstr>http://www.optus.com.au/content/dam/optus/appendix/Appendix S/AppS.doc</vt:lpwstr>
      </vt:variant>
      <vt:variant>
        <vt:lpwstr/>
      </vt:variant>
      <vt:variant>
        <vt:i4>2687009</vt:i4>
      </vt:variant>
      <vt:variant>
        <vt:i4>3996</vt:i4>
      </vt:variant>
      <vt:variant>
        <vt:i4>0</vt:i4>
      </vt:variant>
      <vt:variant>
        <vt:i4>5</vt:i4>
      </vt:variant>
      <vt:variant>
        <vt:lpwstr>http://www.optus.com.au/content/dam/optus/appendix/Appendix S/AppS.doc</vt:lpwstr>
      </vt:variant>
      <vt:variant>
        <vt:lpwstr/>
      </vt:variant>
      <vt:variant>
        <vt:i4>2687009</vt:i4>
      </vt:variant>
      <vt:variant>
        <vt:i4>3993</vt:i4>
      </vt:variant>
      <vt:variant>
        <vt:i4>0</vt:i4>
      </vt:variant>
      <vt:variant>
        <vt:i4>5</vt:i4>
      </vt:variant>
      <vt:variant>
        <vt:lpwstr>http://www.optus.com.au/content/dam/optus/appendix/Appendix S/AppS.doc</vt:lpwstr>
      </vt:variant>
      <vt:variant>
        <vt:lpwstr/>
      </vt:variant>
      <vt:variant>
        <vt:i4>2687009</vt:i4>
      </vt:variant>
      <vt:variant>
        <vt:i4>3990</vt:i4>
      </vt:variant>
      <vt:variant>
        <vt:i4>0</vt:i4>
      </vt:variant>
      <vt:variant>
        <vt:i4>5</vt:i4>
      </vt:variant>
      <vt:variant>
        <vt:lpwstr>http://www.optus.com.au/content/dam/optus/appendix/Appendix S/AppS.doc</vt:lpwstr>
      </vt:variant>
      <vt:variant>
        <vt:lpwstr/>
      </vt:variant>
      <vt:variant>
        <vt:i4>4063286</vt:i4>
      </vt:variant>
      <vt:variant>
        <vt:i4>3987</vt:i4>
      </vt:variant>
      <vt:variant>
        <vt:i4>0</vt:i4>
      </vt:variant>
      <vt:variant>
        <vt:i4>5</vt:i4>
      </vt:variant>
      <vt:variant>
        <vt:lpwstr>http://www.optus.com.au/content/dam/optus/appendix/Appendix D/AppD.doc</vt:lpwstr>
      </vt:variant>
      <vt:variant>
        <vt:lpwstr/>
      </vt:variant>
      <vt:variant>
        <vt:i4>2293803</vt:i4>
      </vt:variant>
      <vt:variant>
        <vt:i4>3984</vt:i4>
      </vt:variant>
      <vt:variant>
        <vt:i4>0</vt:i4>
      </vt:variant>
      <vt:variant>
        <vt:i4>5</vt:i4>
      </vt:variant>
      <vt:variant>
        <vt:lpwstr>http://www.optus.com.au/content/dam/optus/appendix/Appendix Y/AppY.doc</vt:lpwstr>
      </vt:variant>
      <vt:variant>
        <vt:lpwstr/>
      </vt:variant>
      <vt:variant>
        <vt:i4>4063286</vt:i4>
      </vt:variant>
      <vt:variant>
        <vt:i4>3981</vt:i4>
      </vt:variant>
      <vt:variant>
        <vt:i4>0</vt:i4>
      </vt:variant>
      <vt:variant>
        <vt:i4>5</vt:i4>
      </vt:variant>
      <vt:variant>
        <vt:lpwstr>http://www.optus.com.au/content/dam/optus/appendix/Appendix D/AppD.doc</vt:lpwstr>
      </vt:variant>
      <vt:variant>
        <vt:lpwstr/>
      </vt:variant>
      <vt:variant>
        <vt:i4>2687009</vt:i4>
      </vt:variant>
      <vt:variant>
        <vt:i4>3977</vt:i4>
      </vt:variant>
      <vt:variant>
        <vt:i4>0</vt:i4>
      </vt:variant>
      <vt:variant>
        <vt:i4>5</vt:i4>
      </vt:variant>
      <vt:variant>
        <vt:lpwstr>http://www.optus.com.au/content/dam/optus/appendix/Appendix S/AppS.doc</vt:lpwstr>
      </vt:variant>
      <vt:variant>
        <vt:lpwstr/>
      </vt:variant>
      <vt:variant>
        <vt:i4>4915279</vt:i4>
      </vt:variant>
      <vt:variant>
        <vt:i4>3975</vt:i4>
      </vt:variant>
      <vt:variant>
        <vt:i4>0</vt:i4>
      </vt:variant>
      <vt:variant>
        <vt:i4>5</vt:i4>
      </vt:variant>
      <vt:variant>
        <vt:lpwstr>http://www.optus.com.au/dafiles/OCA/AboutOptus/LegalAndRegulatory/SharedStaticFiles/SharedDocuments/AppS.doc</vt:lpwstr>
      </vt:variant>
      <vt:variant>
        <vt:lpwstr/>
      </vt:variant>
      <vt:variant>
        <vt:i4>2687009</vt:i4>
      </vt:variant>
      <vt:variant>
        <vt:i4>3972</vt:i4>
      </vt:variant>
      <vt:variant>
        <vt:i4>0</vt:i4>
      </vt:variant>
      <vt:variant>
        <vt:i4>5</vt:i4>
      </vt:variant>
      <vt:variant>
        <vt:lpwstr>http://www.optus.com.au/content/dam/optus/appendix/Appendix S/AppS.doc</vt:lpwstr>
      </vt:variant>
      <vt:variant>
        <vt:lpwstr/>
      </vt:variant>
      <vt:variant>
        <vt:i4>2687009</vt:i4>
      </vt:variant>
      <vt:variant>
        <vt:i4>3969</vt:i4>
      </vt:variant>
      <vt:variant>
        <vt:i4>0</vt:i4>
      </vt:variant>
      <vt:variant>
        <vt:i4>5</vt:i4>
      </vt:variant>
      <vt:variant>
        <vt:lpwstr>http://www.optus.com.au/content/dam/optus/appendix/Appendix S/AppS.doc</vt:lpwstr>
      </vt:variant>
      <vt:variant>
        <vt:lpwstr/>
      </vt:variant>
      <vt:variant>
        <vt:i4>2687009</vt:i4>
      </vt:variant>
      <vt:variant>
        <vt:i4>3966</vt:i4>
      </vt:variant>
      <vt:variant>
        <vt:i4>0</vt:i4>
      </vt:variant>
      <vt:variant>
        <vt:i4>5</vt:i4>
      </vt:variant>
      <vt:variant>
        <vt:lpwstr>http://www.optus.com.au/content/dam/optus/appendix/Appendix S/AppS.doc</vt:lpwstr>
      </vt:variant>
      <vt:variant>
        <vt:lpwstr/>
      </vt:variant>
      <vt:variant>
        <vt:i4>4063286</vt:i4>
      </vt:variant>
      <vt:variant>
        <vt:i4>3963</vt:i4>
      </vt:variant>
      <vt:variant>
        <vt:i4>0</vt:i4>
      </vt:variant>
      <vt:variant>
        <vt:i4>5</vt:i4>
      </vt:variant>
      <vt:variant>
        <vt:lpwstr>http://www.optus.com.au/content/dam/optus/appendix/Appendix D/AppD.doc</vt:lpwstr>
      </vt:variant>
      <vt:variant>
        <vt:lpwstr/>
      </vt:variant>
      <vt:variant>
        <vt:i4>2293803</vt:i4>
      </vt:variant>
      <vt:variant>
        <vt:i4>3960</vt:i4>
      </vt:variant>
      <vt:variant>
        <vt:i4>0</vt:i4>
      </vt:variant>
      <vt:variant>
        <vt:i4>5</vt:i4>
      </vt:variant>
      <vt:variant>
        <vt:lpwstr>http://www.optus.com.au/content/dam/optus/appendix/Appendix Y/AppY.doc</vt:lpwstr>
      </vt:variant>
      <vt:variant>
        <vt:lpwstr/>
      </vt:variant>
      <vt:variant>
        <vt:i4>4063286</vt:i4>
      </vt:variant>
      <vt:variant>
        <vt:i4>3957</vt:i4>
      </vt:variant>
      <vt:variant>
        <vt:i4>0</vt:i4>
      </vt:variant>
      <vt:variant>
        <vt:i4>5</vt:i4>
      </vt:variant>
      <vt:variant>
        <vt:lpwstr>http://www.optus.com.au/content/dam/optus/appendix/Appendix D/AppD.doc</vt:lpwstr>
      </vt:variant>
      <vt:variant>
        <vt:lpwstr/>
      </vt:variant>
      <vt:variant>
        <vt:i4>2687009</vt:i4>
      </vt:variant>
      <vt:variant>
        <vt:i4>3948</vt:i4>
      </vt:variant>
      <vt:variant>
        <vt:i4>0</vt:i4>
      </vt:variant>
      <vt:variant>
        <vt:i4>5</vt:i4>
      </vt:variant>
      <vt:variant>
        <vt:lpwstr>http://www.optus.com.au/content/dam/optus/appendix/Appendix S/AppS.doc</vt:lpwstr>
      </vt:variant>
      <vt:variant>
        <vt:lpwstr/>
      </vt:variant>
      <vt:variant>
        <vt:i4>2687009</vt:i4>
      </vt:variant>
      <vt:variant>
        <vt:i4>3945</vt:i4>
      </vt:variant>
      <vt:variant>
        <vt:i4>0</vt:i4>
      </vt:variant>
      <vt:variant>
        <vt:i4>5</vt:i4>
      </vt:variant>
      <vt:variant>
        <vt:lpwstr>http://www.optus.com.au/content/dam/optus/appendix/Appendix S/AppS.doc</vt:lpwstr>
      </vt:variant>
      <vt:variant>
        <vt:lpwstr/>
      </vt:variant>
      <vt:variant>
        <vt:i4>2687009</vt:i4>
      </vt:variant>
      <vt:variant>
        <vt:i4>3942</vt:i4>
      </vt:variant>
      <vt:variant>
        <vt:i4>0</vt:i4>
      </vt:variant>
      <vt:variant>
        <vt:i4>5</vt:i4>
      </vt:variant>
      <vt:variant>
        <vt:lpwstr>http://www.optus.com.au/content/dam/optus/appendix/Appendix S/AppS.doc</vt:lpwstr>
      </vt:variant>
      <vt:variant>
        <vt:lpwstr/>
      </vt:variant>
      <vt:variant>
        <vt:i4>2293803</vt:i4>
      </vt:variant>
      <vt:variant>
        <vt:i4>3939</vt:i4>
      </vt:variant>
      <vt:variant>
        <vt:i4>0</vt:i4>
      </vt:variant>
      <vt:variant>
        <vt:i4>5</vt:i4>
      </vt:variant>
      <vt:variant>
        <vt:lpwstr>http://www.optus.com.au/content/dam/optus/appendix/Appendix Y/AppY.doc</vt:lpwstr>
      </vt:variant>
      <vt:variant>
        <vt:lpwstr/>
      </vt:variant>
      <vt:variant>
        <vt:i4>4063286</vt:i4>
      </vt:variant>
      <vt:variant>
        <vt:i4>3936</vt:i4>
      </vt:variant>
      <vt:variant>
        <vt:i4>0</vt:i4>
      </vt:variant>
      <vt:variant>
        <vt:i4>5</vt:i4>
      </vt:variant>
      <vt:variant>
        <vt:lpwstr>http://www.optus.com.au/content/dam/optus/appendix/Appendix D/AppD.doc</vt:lpwstr>
      </vt:variant>
      <vt:variant>
        <vt:lpwstr/>
      </vt:variant>
      <vt:variant>
        <vt:i4>2687009</vt:i4>
      </vt:variant>
      <vt:variant>
        <vt:i4>3927</vt:i4>
      </vt:variant>
      <vt:variant>
        <vt:i4>0</vt:i4>
      </vt:variant>
      <vt:variant>
        <vt:i4>5</vt:i4>
      </vt:variant>
      <vt:variant>
        <vt:lpwstr>http://www.optus.com.au/content/dam/optus/appendix/Appendix S/AppS.doc</vt:lpwstr>
      </vt:variant>
      <vt:variant>
        <vt:lpwstr/>
      </vt:variant>
      <vt:variant>
        <vt:i4>2687009</vt:i4>
      </vt:variant>
      <vt:variant>
        <vt:i4>3924</vt:i4>
      </vt:variant>
      <vt:variant>
        <vt:i4>0</vt:i4>
      </vt:variant>
      <vt:variant>
        <vt:i4>5</vt:i4>
      </vt:variant>
      <vt:variant>
        <vt:lpwstr>http://www.optus.com.au/content/dam/optus/appendix/Appendix S/AppS.doc</vt:lpwstr>
      </vt:variant>
      <vt:variant>
        <vt:lpwstr/>
      </vt:variant>
      <vt:variant>
        <vt:i4>4063286</vt:i4>
      </vt:variant>
      <vt:variant>
        <vt:i4>3921</vt:i4>
      </vt:variant>
      <vt:variant>
        <vt:i4>0</vt:i4>
      </vt:variant>
      <vt:variant>
        <vt:i4>5</vt:i4>
      </vt:variant>
      <vt:variant>
        <vt:lpwstr>http://www.optus.com.au/content/dam/optus/appendix/Appendix D/AppD.doc</vt:lpwstr>
      </vt:variant>
      <vt:variant>
        <vt:lpwstr/>
      </vt:variant>
      <vt:variant>
        <vt:i4>2293803</vt:i4>
      </vt:variant>
      <vt:variant>
        <vt:i4>3918</vt:i4>
      </vt:variant>
      <vt:variant>
        <vt:i4>0</vt:i4>
      </vt:variant>
      <vt:variant>
        <vt:i4>5</vt:i4>
      </vt:variant>
      <vt:variant>
        <vt:lpwstr>http://www.optus.com.au/content/dam/optus/appendix/Appendix Y/AppY.doc</vt:lpwstr>
      </vt:variant>
      <vt:variant>
        <vt:lpwstr/>
      </vt:variant>
      <vt:variant>
        <vt:i4>2687009</vt:i4>
      </vt:variant>
      <vt:variant>
        <vt:i4>3915</vt:i4>
      </vt:variant>
      <vt:variant>
        <vt:i4>0</vt:i4>
      </vt:variant>
      <vt:variant>
        <vt:i4>5</vt:i4>
      </vt:variant>
      <vt:variant>
        <vt:lpwstr>http://www.optus.com.au/content/dam/optus/appendix/Appendix S/AppS.doc</vt:lpwstr>
      </vt:variant>
      <vt:variant>
        <vt:lpwstr/>
      </vt:variant>
      <vt:variant>
        <vt:i4>2687009</vt:i4>
      </vt:variant>
      <vt:variant>
        <vt:i4>3912</vt:i4>
      </vt:variant>
      <vt:variant>
        <vt:i4>0</vt:i4>
      </vt:variant>
      <vt:variant>
        <vt:i4>5</vt:i4>
      </vt:variant>
      <vt:variant>
        <vt:lpwstr>http://www.optus.com.au/content/dam/optus/appendix/Appendix S/AppS.doc</vt:lpwstr>
      </vt:variant>
      <vt:variant>
        <vt:lpwstr/>
      </vt:variant>
      <vt:variant>
        <vt:i4>4063286</vt:i4>
      </vt:variant>
      <vt:variant>
        <vt:i4>3909</vt:i4>
      </vt:variant>
      <vt:variant>
        <vt:i4>0</vt:i4>
      </vt:variant>
      <vt:variant>
        <vt:i4>5</vt:i4>
      </vt:variant>
      <vt:variant>
        <vt:lpwstr>http://www.optus.com.au/content/dam/optus/appendix/Appendix D/AppD.doc</vt:lpwstr>
      </vt:variant>
      <vt:variant>
        <vt:lpwstr/>
      </vt:variant>
      <vt:variant>
        <vt:i4>4063286</vt:i4>
      </vt:variant>
      <vt:variant>
        <vt:i4>3906</vt:i4>
      </vt:variant>
      <vt:variant>
        <vt:i4>0</vt:i4>
      </vt:variant>
      <vt:variant>
        <vt:i4>5</vt:i4>
      </vt:variant>
      <vt:variant>
        <vt:lpwstr>http://www.optus.com.au/content/dam/optus/appendix/Appendix D/AppD.doc</vt:lpwstr>
      </vt:variant>
      <vt:variant>
        <vt:lpwstr/>
      </vt:variant>
      <vt:variant>
        <vt:i4>2293803</vt:i4>
      </vt:variant>
      <vt:variant>
        <vt:i4>3903</vt:i4>
      </vt:variant>
      <vt:variant>
        <vt:i4>0</vt:i4>
      </vt:variant>
      <vt:variant>
        <vt:i4>5</vt:i4>
      </vt:variant>
      <vt:variant>
        <vt:lpwstr>http://www.optus.com.au/content/dam/optus/appendix/Appendix Y/AppY.doc</vt:lpwstr>
      </vt:variant>
      <vt:variant>
        <vt:lpwstr/>
      </vt:variant>
      <vt:variant>
        <vt:i4>4063286</vt:i4>
      </vt:variant>
      <vt:variant>
        <vt:i4>3900</vt:i4>
      </vt:variant>
      <vt:variant>
        <vt:i4>0</vt:i4>
      </vt:variant>
      <vt:variant>
        <vt:i4>5</vt:i4>
      </vt:variant>
      <vt:variant>
        <vt:lpwstr>http://www.optus.com.au/content/dam/optus/appendix/Appendix D/AppD.doc</vt:lpwstr>
      </vt:variant>
      <vt:variant>
        <vt:lpwstr/>
      </vt:variant>
      <vt:variant>
        <vt:i4>2687009</vt:i4>
      </vt:variant>
      <vt:variant>
        <vt:i4>3896</vt:i4>
      </vt:variant>
      <vt:variant>
        <vt:i4>0</vt:i4>
      </vt:variant>
      <vt:variant>
        <vt:i4>5</vt:i4>
      </vt:variant>
      <vt:variant>
        <vt:lpwstr>http://www.optus.com.au/content/dam/optus/appendix/Appendix S/AppS.doc</vt:lpwstr>
      </vt:variant>
      <vt:variant>
        <vt:lpwstr/>
      </vt:variant>
      <vt:variant>
        <vt:i4>4915279</vt:i4>
      </vt:variant>
      <vt:variant>
        <vt:i4>3894</vt:i4>
      </vt:variant>
      <vt:variant>
        <vt:i4>0</vt:i4>
      </vt:variant>
      <vt:variant>
        <vt:i4>5</vt:i4>
      </vt:variant>
      <vt:variant>
        <vt:lpwstr>http://www.optus.com.au/dafiles/OCA/AboutOptus/LegalAndRegulatory/SharedStaticFiles/SharedDocuments/AppS.doc</vt:lpwstr>
      </vt:variant>
      <vt:variant>
        <vt:lpwstr/>
      </vt:variant>
      <vt:variant>
        <vt:i4>2687009</vt:i4>
      </vt:variant>
      <vt:variant>
        <vt:i4>3891</vt:i4>
      </vt:variant>
      <vt:variant>
        <vt:i4>0</vt:i4>
      </vt:variant>
      <vt:variant>
        <vt:i4>5</vt:i4>
      </vt:variant>
      <vt:variant>
        <vt:lpwstr>http://www.optus.com.au/content/dam/optus/appendix/Appendix S/AppS.doc</vt:lpwstr>
      </vt:variant>
      <vt:variant>
        <vt:lpwstr/>
      </vt:variant>
      <vt:variant>
        <vt:i4>4063286</vt:i4>
      </vt:variant>
      <vt:variant>
        <vt:i4>3888</vt:i4>
      </vt:variant>
      <vt:variant>
        <vt:i4>0</vt:i4>
      </vt:variant>
      <vt:variant>
        <vt:i4>5</vt:i4>
      </vt:variant>
      <vt:variant>
        <vt:lpwstr>http://www.optus.com.au/content/dam/optus/appendix/Appendix D/AppD.doc</vt:lpwstr>
      </vt:variant>
      <vt:variant>
        <vt:lpwstr/>
      </vt:variant>
      <vt:variant>
        <vt:i4>4063286</vt:i4>
      </vt:variant>
      <vt:variant>
        <vt:i4>3885</vt:i4>
      </vt:variant>
      <vt:variant>
        <vt:i4>0</vt:i4>
      </vt:variant>
      <vt:variant>
        <vt:i4>5</vt:i4>
      </vt:variant>
      <vt:variant>
        <vt:lpwstr>http://www.optus.com.au/content/dam/optus/appendix/Appendix D/AppD.doc</vt:lpwstr>
      </vt:variant>
      <vt:variant>
        <vt:lpwstr/>
      </vt:variant>
      <vt:variant>
        <vt:i4>2293803</vt:i4>
      </vt:variant>
      <vt:variant>
        <vt:i4>3882</vt:i4>
      </vt:variant>
      <vt:variant>
        <vt:i4>0</vt:i4>
      </vt:variant>
      <vt:variant>
        <vt:i4>5</vt:i4>
      </vt:variant>
      <vt:variant>
        <vt:lpwstr>http://www.optus.com.au/content/dam/optus/appendix/Appendix Y/AppY.doc</vt:lpwstr>
      </vt:variant>
      <vt:variant>
        <vt:lpwstr/>
      </vt:variant>
      <vt:variant>
        <vt:i4>2687009</vt:i4>
      </vt:variant>
      <vt:variant>
        <vt:i4>3879</vt:i4>
      </vt:variant>
      <vt:variant>
        <vt:i4>0</vt:i4>
      </vt:variant>
      <vt:variant>
        <vt:i4>5</vt:i4>
      </vt:variant>
      <vt:variant>
        <vt:lpwstr>http://www.optus.com.au/content/dam/optus/appendix/Appendix S/AppS.doc</vt:lpwstr>
      </vt:variant>
      <vt:variant>
        <vt:lpwstr/>
      </vt:variant>
      <vt:variant>
        <vt:i4>2687009</vt:i4>
      </vt:variant>
      <vt:variant>
        <vt:i4>3876</vt:i4>
      </vt:variant>
      <vt:variant>
        <vt:i4>0</vt:i4>
      </vt:variant>
      <vt:variant>
        <vt:i4>5</vt:i4>
      </vt:variant>
      <vt:variant>
        <vt:lpwstr>http://www.optus.com.au/content/dam/optus/appendix/Appendix S/AppS.doc</vt:lpwstr>
      </vt:variant>
      <vt:variant>
        <vt:lpwstr/>
      </vt:variant>
      <vt:variant>
        <vt:i4>4063286</vt:i4>
      </vt:variant>
      <vt:variant>
        <vt:i4>3873</vt:i4>
      </vt:variant>
      <vt:variant>
        <vt:i4>0</vt:i4>
      </vt:variant>
      <vt:variant>
        <vt:i4>5</vt:i4>
      </vt:variant>
      <vt:variant>
        <vt:lpwstr>http://www.optus.com.au/content/dam/optus/appendix/Appendix D/AppD.doc</vt:lpwstr>
      </vt:variant>
      <vt:variant>
        <vt:lpwstr/>
      </vt:variant>
      <vt:variant>
        <vt:i4>2293803</vt:i4>
      </vt:variant>
      <vt:variant>
        <vt:i4>3870</vt:i4>
      </vt:variant>
      <vt:variant>
        <vt:i4>0</vt:i4>
      </vt:variant>
      <vt:variant>
        <vt:i4>5</vt:i4>
      </vt:variant>
      <vt:variant>
        <vt:lpwstr>http://www.optus.com.au/content/dam/optus/appendix/Appendix Y/AppY.doc</vt:lpwstr>
      </vt:variant>
      <vt:variant>
        <vt:lpwstr/>
      </vt:variant>
      <vt:variant>
        <vt:i4>4063286</vt:i4>
      </vt:variant>
      <vt:variant>
        <vt:i4>3867</vt:i4>
      </vt:variant>
      <vt:variant>
        <vt:i4>0</vt:i4>
      </vt:variant>
      <vt:variant>
        <vt:i4>5</vt:i4>
      </vt:variant>
      <vt:variant>
        <vt:lpwstr>http://www.optus.com.au/content/dam/optus/appendix/Appendix D/AppD.doc</vt:lpwstr>
      </vt:variant>
      <vt:variant>
        <vt:lpwstr/>
      </vt:variant>
      <vt:variant>
        <vt:i4>2687009</vt:i4>
      </vt:variant>
      <vt:variant>
        <vt:i4>3861</vt:i4>
      </vt:variant>
      <vt:variant>
        <vt:i4>0</vt:i4>
      </vt:variant>
      <vt:variant>
        <vt:i4>5</vt:i4>
      </vt:variant>
      <vt:variant>
        <vt:lpwstr>http://www.optus.com.au/content/dam/optus/appendix/Appendix S/AppS.doc</vt:lpwstr>
      </vt:variant>
      <vt:variant>
        <vt:lpwstr/>
      </vt:variant>
      <vt:variant>
        <vt:i4>2687009</vt:i4>
      </vt:variant>
      <vt:variant>
        <vt:i4>3858</vt:i4>
      </vt:variant>
      <vt:variant>
        <vt:i4>0</vt:i4>
      </vt:variant>
      <vt:variant>
        <vt:i4>5</vt:i4>
      </vt:variant>
      <vt:variant>
        <vt:lpwstr>http://www.optus.com.au/content/dam/optus/appendix/Appendix S/AppS.doc</vt:lpwstr>
      </vt:variant>
      <vt:variant>
        <vt:lpwstr/>
      </vt:variant>
      <vt:variant>
        <vt:i4>2490478</vt:i4>
      </vt:variant>
      <vt:variant>
        <vt:i4>3855</vt:i4>
      </vt:variant>
      <vt:variant>
        <vt:i4>0</vt:i4>
      </vt:variant>
      <vt:variant>
        <vt:i4>5</vt:i4>
      </vt:variant>
      <vt:variant>
        <vt:lpwstr>http://www.optus.com.au/dafiles/OCA/AboutOptus/LegalAndRegulatory/SharedStaticFiles/SharedDocuments/AppS.dochttp:/www.optus.com.au/dafiles/OCA/AboutOptus/LegalAndRegulatory/SharedStaticFiles/SharedDocuments/AppW.doc</vt:lpwstr>
      </vt:variant>
      <vt:variant>
        <vt:lpwstr/>
      </vt:variant>
      <vt:variant>
        <vt:i4>4063286</vt:i4>
      </vt:variant>
      <vt:variant>
        <vt:i4>3852</vt:i4>
      </vt:variant>
      <vt:variant>
        <vt:i4>0</vt:i4>
      </vt:variant>
      <vt:variant>
        <vt:i4>5</vt:i4>
      </vt:variant>
      <vt:variant>
        <vt:lpwstr>http://www.optus.com.au/content/dam/optus/appendix/Appendix D/AppD.doc</vt:lpwstr>
      </vt:variant>
      <vt:variant>
        <vt:lpwstr/>
      </vt:variant>
      <vt:variant>
        <vt:i4>2293803</vt:i4>
      </vt:variant>
      <vt:variant>
        <vt:i4>3849</vt:i4>
      </vt:variant>
      <vt:variant>
        <vt:i4>0</vt:i4>
      </vt:variant>
      <vt:variant>
        <vt:i4>5</vt:i4>
      </vt:variant>
      <vt:variant>
        <vt:lpwstr>http://www.optus.com.au/content/dam/optus/appendix/Appendix Y/AppY.doc</vt:lpwstr>
      </vt:variant>
      <vt:variant>
        <vt:lpwstr/>
      </vt:variant>
      <vt:variant>
        <vt:i4>2687009</vt:i4>
      </vt:variant>
      <vt:variant>
        <vt:i4>3846</vt:i4>
      </vt:variant>
      <vt:variant>
        <vt:i4>0</vt:i4>
      </vt:variant>
      <vt:variant>
        <vt:i4>5</vt:i4>
      </vt:variant>
      <vt:variant>
        <vt:lpwstr>http://www.optus.com.au/content/dam/optus/appendix/Appendix S/AppS.doc</vt:lpwstr>
      </vt:variant>
      <vt:variant>
        <vt:lpwstr/>
      </vt:variant>
      <vt:variant>
        <vt:i4>2687009</vt:i4>
      </vt:variant>
      <vt:variant>
        <vt:i4>3843</vt:i4>
      </vt:variant>
      <vt:variant>
        <vt:i4>0</vt:i4>
      </vt:variant>
      <vt:variant>
        <vt:i4>5</vt:i4>
      </vt:variant>
      <vt:variant>
        <vt:lpwstr>http://www.optus.com.au/content/dam/optus/appendix/Appendix S/AppS.doc</vt:lpwstr>
      </vt:variant>
      <vt:variant>
        <vt:lpwstr/>
      </vt:variant>
      <vt:variant>
        <vt:i4>4063286</vt:i4>
      </vt:variant>
      <vt:variant>
        <vt:i4>3840</vt:i4>
      </vt:variant>
      <vt:variant>
        <vt:i4>0</vt:i4>
      </vt:variant>
      <vt:variant>
        <vt:i4>5</vt:i4>
      </vt:variant>
      <vt:variant>
        <vt:lpwstr>http://www.optus.com.au/content/dam/optus/appendix/Appendix D/AppD.doc</vt:lpwstr>
      </vt:variant>
      <vt:variant>
        <vt:lpwstr/>
      </vt:variant>
      <vt:variant>
        <vt:i4>4063286</vt:i4>
      </vt:variant>
      <vt:variant>
        <vt:i4>3837</vt:i4>
      </vt:variant>
      <vt:variant>
        <vt:i4>0</vt:i4>
      </vt:variant>
      <vt:variant>
        <vt:i4>5</vt:i4>
      </vt:variant>
      <vt:variant>
        <vt:lpwstr>http://www.optus.com.au/content/dam/optus/appendix/Appendix D/AppD.doc</vt:lpwstr>
      </vt:variant>
      <vt:variant>
        <vt:lpwstr/>
      </vt:variant>
      <vt:variant>
        <vt:i4>2293803</vt:i4>
      </vt:variant>
      <vt:variant>
        <vt:i4>3834</vt:i4>
      </vt:variant>
      <vt:variant>
        <vt:i4>0</vt:i4>
      </vt:variant>
      <vt:variant>
        <vt:i4>5</vt:i4>
      </vt:variant>
      <vt:variant>
        <vt:lpwstr>http://www.optus.com.au/content/dam/optus/appendix/Appendix Y/AppY.doc</vt:lpwstr>
      </vt:variant>
      <vt:variant>
        <vt:lpwstr/>
      </vt:variant>
      <vt:variant>
        <vt:i4>4063286</vt:i4>
      </vt:variant>
      <vt:variant>
        <vt:i4>3831</vt:i4>
      </vt:variant>
      <vt:variant>
        <vt:i4>0</vt:i4>
      </vt:variant>
      <vt:variant>
        <vt:i4>5</vt:i4>
      </vt:variant>
      <vt:variant>
        <vt:lpwstr>http://www.optus.com.au/content/dam/optus/appendix/Appendix D/AppD.doc</vt:lpwstr>
      </vt:variant>
      <vt:variant>
        <vt:lpwstr/>
      </vt:variant>
      <vt:variant>
        <vt:i4>2687009</vt:i4>
      </vt:variant>
      <vt:variant>
        <vt:i4>3825</vt:i4>
      </vt:variant>
      <vt:variant>
        <vt:i4>0</vt:i4>
      </vt:variant>
      <vt:variant>
        <vt:i4>5</vt:i4>
      </vt:variant>
      <vt:variant>
        <vt:lpwstr>http://www.optus.com.au/content/dam/optus/appendix/Appendix S/AppS.doc</vt:lpwstr>
      </vt:variant>
      <vt:variant>
        <vt:lpwstr/>
      </vt:variant>
      <vt:variant>
        <vt:i4>2687009</vt:i4>
      </vt:variant>
      <vt:variant>
        <vt:i4>3822</vt:i4>
      </vt:variant>
      <vt:variant>
        <vt:i4>0</vt:i4>
      </vt:variant>
      <vt:variant>
        <vt:i4>5</vt:i4>
      </vt:variant>
      <vt:variant>
        <vt:lpwstr>http://www.optus.com.au/content/dam/optus/appendix/Appendix S/AppS.doc</vt:lpwstr>
      </vt:variant>
      <vt:variant>
        <vt:lpwstr/>
      </vt:variant>
      <vt:variant>
        <vt:i4>4063286</vt:i4>
      </vt:variant>
      <vt:variant>
        <vt:i4>3819</vt:i4>
      </vt:variant>
      <vt:variant>
        <vt:i4>0</vt:i4>
      </vt:variant>
      <vt:variant>
        <vt:i4>5</vt:i4>
      </vt:variant>
      <vt:variant>
        <vt:lpwstr>http://www.optus.com.au/content/dam/optus/appendix/Appendix D/AppD.doc</vt:lpwstr>
      </vt:variant>
      <vt:variant>
        <vt:lpwstr/>
      </vt:variant>
      <vt:variant>
        <vt:i4>2687009</vt:i4>
      </vt:variant>
      <vt:variant>
        <vt:i4>3816</vt:i4>
      </vt:variant>
      <vt:variant>
        <vt:i4>0</vt:i4>
      </vt:variant>
      <vt:variant>
        <vt:i4>5</vt:i4>
      </vt:variant>
      <vt:variant>
        <vt:lpwstr>http://www.optus.com.au/content/dam/optus/appendix/Appendix S/AppS.doc</vt:lpwstr>
      </vt:variant>
      <vt:variant>
        <vt:lpwstr/>
      </vt:variant>
      <vt:variant>
        <vt:i4>5177423</vt:i4>
      </vt:variant>
      <vt:variant>
        <vt:i4>3810</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3807</vt:i4>
      </vt:variant>
      <vt:variant>
        <vt:i4>0</vt:i4>
      </vt:variant>
      <vt:variant>
        <vt:i4>5</vt:i4>
      </vt:variant>
      <vt:variant>
        <vt:lpwstr>http://www.optus.com.au/content/dam/optus/appendix/Appendix S/AppS.doc</vt:lpwstr>
      </vt:variant>
      <vt:variant>
        <vt:lpwstr/>
      </vt:variant>
      <vt:variant>
        <vt:i4>5177423</vt:i4>
      </vt:variant>
      <vt:variant>
        <vt:i4>3801</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3798</vt:i4>
      </vt:variant>
      <vt:variant>
        <vt:i4>0</vt:i4>
      </vt:variant>
      <vt:variant>
        <vt:i4>5</vt:i4>
      </vt:variant>
      <vt:variant>
        <vt:lpwstr>http://www.optus.com.au/content/dam/optus/appendix/Appendix S/AppS.doc</vt:lpwstr>
      </vt:variant>
      <vt:variant>
        <vt:lpwstr/>
      </vt:variant>
      <vt:variant>
        <vt:i4>5177423</vt:i4>
      </vt:variant>
      <vt:variant>
        <vt:i4>3792</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3789</vt:i4>
      </vt:variant>
      <vt:variant>
        <vt:i4>0</vt:i4>
      </vt:variant>
      <vt:variant>
        <vt:i4>5</vt:i4>
      </vt:variant>
      <vt:variant>
        <vt:lpwstr>http://www.optus.com.au/content/dam/optus/appendix/Appendix S/AppS.doc</vt:lpwstr>
      </vt:variant>
      <vt:variant>
        <vt:lpwstr/>
      </vt:variant>
      <vt:variant>
        <vt:i4>5177423</vt:i4>
      </vt:variant>
      <vt:variant>
        <vt:i4>3786</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3783</vt:i4>
      </vt:variant>
      <vt:variant>
        <vt:i4>0</vt:i4>
      </vt:variant>
      <vt:variant>
        <vt:i4>5</vt:i4>
      </vt:variant>
      <vt:variant>
        <vt:lpwstr>http://www.optus.com.au/content/dam/optus/appendix/Appendix S/AppS.doc</vt:lpwstr>
      </vt:variant>
      <vt:variant>
        <vt:lpwstr/>
      </vt:variant>
      <vt:variant>
        <vt:i4>5177423</vt:i4>
      </vt:variant>
      <vt:variant>
        <vt:i4>3780</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3777</vt:i4>
      </vt:variant>
      <vt:variant>
        <vt:i4>0</vt:i4>
      </vt:variant>
      <vt:variant>
        <vt:i4>5</vt:i4>
      </vt:variant>
      <vt:variant>
        <vt:lpwstr>http://www.optus.com.au/content/dam/optus/appendix/Appendix S/AppS.doc</vt:lpwstr>
      </vt:variant>
      <vt:variant>
        <vt:lpwstr/>
      </vt:variant>
      <vt:variant>
        <vt:i4>2293803</vt:i4>
      </vt:variant>
      <vt:variant>
        <vt:i4>3774</vt:i4>
      </vt:variant>
      <vt:variant>
        <vt:i4>0</vt:i4>
      </vt:variant>
      <vt:variant>
        <vt:i4>5</vt:i4>
      </vt:variant>
      <vt:variant>
        <vt:lpwstr>http://www.optus.com.au/content/dam/optus/appendix/Appendix Y/AppY.doc</vt:lpwstr>
      </vt:variant>
      <vt:variant>
        <vt:lpwstr/>
      </vt:variant>
      <vt:variant>
        <vt:i4>7929957</vt:i4>
      </vt:variant>
      <vt:variant>
        <vt:i4>3771</vt:i4>
      </vt:variant>
      <vt:variant>
        <vt:i4>0</vt:i4>
      </vt:variant>
      <vt:variant>
        <vt:i4>5</vt:i4>
      </vt:variant>
      <vt:variant>
        <vt:lpwstr>http://www.optus.com.au/content/dam/optus/documents/about-us/legal/DigPricingS1.doc</vt:lpwstr>
      </vt:variant>
      <vt:variant>
        <vt:lpwstr/>
      </vt:variant>
      <vt:variant>
        <vt:i4>2687009</vt:i4>
      </vt:variant>
      <vt:variant>
        <vt:i4>3747</vt:i4>
      </vt:variant>
      <vt:variant>
        <vt:i4>0</vt:i4>
      </vt:variant>
      <vt:variant>
        <vt:i4>5</vt:i4>
      </vt:variant>
      <vt:variant>
        <vt:lpwstr>http://www.optus.com.au/content/dam/optus/appendix/Appendix S/AppS.doc</vt:lpwstr>
      </vt:variant>
      <vt:variant>
        <vt:lpwstr/>
      </vt:variant>
      <vt:variant>
        <vt:i4>2293803</vt:i4>
      </vt:variant>
      <vt:variant>
        <vt:i4>3744</vt:i4>
      </vt:variant>
      <vt:variant>
        <vt:i4>0</vt:i4>
      </vt:variant>
      <vt:variant>
        <vt:i4>5</vt:i4>
      </vt:variant>
      <vt:variant>
        <vt:lpwstr>http://www.optus.com.au/content/dam/optus/appendix/Appendix Y/AppY.doc</vt:lpwstr>
      </vt:variant>
      <vt:variant>
        <vt:lpwstr/>
      </vt:variant>
      <vt:variant>
        <vt:i4>5177423</vt:i4>
      </vt:variant>
      <vt:variant>
        <vt:i4>3741</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3738</vt:i4>
      </vt:variant>
      <vt:variant>
        <vt:i4>0</vt:i4>
      </vt:variant>
      <vt:variant>
        <vt:i4>5</vt:i4>
      </vt:variant>
      <vt:variant>
        <vt:lpwstr>http://www.optus.com.au/content/dam/optus/appendix/Appendix S/AppS.doc</vt:lpwstr>
      </vt:variant>
      <vt:variant>
        <vt:lpwstr/>
      </vt:variant>
      <vt:variant>
        <vt:i4>2687009</vt:i4>
      </vt:variant>
      <vt:variant>
        <vt:i4>3735</vt:i4>
      </vt:variant>
      <vt:variant>
        <vt:i4>0</vt:i4>
      </vt:variant>
      <vt:variant>
        <vt:i4>5</vt:i4>
      </vt:variant>
      <vt:variant>
        <vt:lpwstr>http://www.optus.com.au/content/dam/optus/appendix/Appendix S/AppS.doc</vt:lpwstr>
      </vt:variant>
      <vt:variant>
        <vt:lpwstr/>
      </vt:variant>
      <vt:variant>
        <vt:i4>5177423</vt:i4>
      </vt:variant>
      <vt:variant>
        <vt:i4>3732</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3729</vt:i4>
      </vt:variant>
      <vt:variant>
        <vt:i4>0</vt:i4>
      </vt:variant>
      <vt:variant>
        <vt:i4>5</vt:i4>
      </vt:variant>
      <vt:variant>
        <vt:lpwstr>http://www.optus.com.au/content/dam/optus/appendix/Appendix S/AppS.doc</vt:lpwstr>
      </vt:variant>
      <vt:variant>
        <vt:lpwstr/>
      </vt:variant>
      <vt:variant>
        <vt:i4>5177423</vt:i4>
      </vt:variant>
      <vt:variant>
        <vt:i4>3726</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3723</vt:i4>
      </vt:variant>
      <vt:variant>
        <vt:i4>0</vt:i4>
      </vt:variant>
      <vt:variant>
        <vt:i4>5</vt:i4>
      </vt:variant>
      <vt:variant>
        <vt:lpwstr>http://www.optus.com.au/content/dam/optus/appendix/Appendix S/AppS.doc</vt:lpwstr>
      </vt:variant>
      <vt:variant>
        <vt:lpwstr/>
      </vt:variant>
      <vt:variant>
        <vt:i4>5177423</vt:i4>
      </vt:variant>
      <vt:variant>
        <vt:i4>3720</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3717</vt:i4>
      </vt:variant>
      <vt:variant>
        <vt:i4>0</vt:i4>
      </vt:variant>
      <vt:variant>
        <vt:i4>5</vt:i4>
      </vt:variant>
      <vt:variant>
        <vt:lpwstr>http://www.optus.com.au/content/dam/optus/appendix/Appendix S/AppS.doc</vt:lpwstr>
      </vt:variant>
      <vt:variant>
        <vt:lpwstr/>
      </vt:variant>
      <vt:variant>
        <vt:i4>5177423</vt:i4>
      </vt:variant>
      <vt:variant>
        <vt:i4>3714</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3711</vt:i4>
      </vt:variant>
      <vt:variant>
        <vt:i4>0</vt:i4>
      </vt:variant>
      <vt:variant>
        <vt:i4>5</vt:i4>
      </vt:variant>
      <vt:variant>
        <vt:lpwstr>http://www.optus.com.au/content/dam/optus/appendix/Appendix S/AppS.doc</vt:lpwstr>
      </vt:variant>
      <vt:variant>
        <vt:lpwstr/>
      </vt:variant>
      <vt:variant>
        <vt:i4>2293803</vt:i4>
      </vt:variant>
      <vt:variant>
        <vt:i4>3708</vt:i4>
      </vt:variant>
      <vt:variant>
        <vt:i4>0</vt:i4>
      </vt:variant>
      <vt:variant>
        <vt:i4>5</vt:i4>
      </vt:variant>
      <vt:variant>
        <vt:lpwstr>http://www.optus.com.au/content/dam/optus/appendix/Appendix Y/AppY.doc</vt:lpwstr>
      </vt:variant>
      <vt:variant>
        <vt:lpwstr/>
      </vt:variant>
      <vt:variant>
        <vt:i4>7929957</vt:i4>
      </vt:variant>
      <vt:variant>
        <vt:i4>3705</vt:i4>
      </vt:variant>
      <vt:variant>
        <vt:i4>0</vt:i4>
      </vt:variant>
      <vt:variant>
        <vt:i4>5</vt:i4>
      </vt:variant>
      <vt:variant>
        <vt:lpwstr>http://www.optus.com.au/content/dam/optus/documents/about-us/legal/DigPricingS1.doc</vt:lpwstr>
      </vt:variant>
      <vt:variant>
        <vt:lpwstr/>
      </vt:variant>
      <vt:variant>
        <vt:i4>2687009</vt:i4>
      </vt:variant>
      <vt:variant>
        <vt:i4>3675</vt:i4>
      </vt:variant>
      <vt:variant>
        <vt:i4>0</vt:i4>
      </vt:variant>
      <vt:variant>
        <vt:i4>5</vt:i4>
      </vt:variant>
      <vt:variant>
        <vt:lpwstr>http://www.optus.com.au/content/dam/optus/appendix/Appendix S/AppS.doc</vt:lpwstr>
      </vt:variant>
      <vt:variant>
        <vt:lpwstr/>
      </vt:variant>
      <vt:variant>
        <vt:i4>5177423</vt:i4>
      </vt:variant>
      <vt:variant>
        <vt:i4>3672</vt:i4>
      </vt:variant>
      <vt:variant>
        <vt:i4>0</vt:i4>
      </vt:variant>
      <vt:variant>
        <vt:i4>5</vt:i4>
      </vt:variant>
      <vt:variant>
        <vt:lpwstr>http://www.optus.com.au/dafiles/OCA/AboutOptus/LegalAndRegulatory/SharedStaticFiles/SharedDocuments/AppW.doc</vt:lpwstr>
      </vt:variant>
      <vt:variant>
        <vt:lpwstr/>
      </vt:variant>
      <vt:variant>
        <vt:i4>2293803</vt:i4>
      </vt:variant>
      <vt:variant>
        <vt:i4>3669</vt:i4>
      </vt:variant>
      <vt:variant>
        <vt:i4>0</vt:i4>
      </vt:variant>
      <vt:variant>
        <vt:i4>5</vt:i4>
      </vt:variant>
      <vt:variant>
        <vt:lpwstr>http://www.optus.com.au/content/dam/optus/appendix/Appendix Y/AppY.doc</vt:lpwstr>
      </vt:variant>
      <vt:variant>
        <vt:lpwstr/>
      </vt:variant>
      <vt:variant>
        <vt:i4>3145784</vt:i4>
      </vt:variant>
      <vt:variant>
        <vt:i4>3666</vt:i4>
      </vt:variant>
      <vt:variant>
        <vt:i4>0</vt:i4>
      </vt:variant>
      <vt:variant>
        <vt:i4>5</vt:i4>
      </vt:variant>
      <vt:variant>
        <vt:lpwstr>http://www.optus.com.au/content/dam/optus/appendix/Appendix J/AppJ.doc</vt:lpwstr>
      </vt:variant>
      <vt:variant>
        <vt:lpwstr/>
      </vt:variant>
      <vt:variant>
        <vt:i4>3145784</vt:i4>
      </vt:variant>
      <vt:variant>
        <vt:i4>3663</vt:i4>
      </vt:variant>
      <vt:variant>
        <vt:i4>0</vt:i4>
      </vt:variant>
      <vt:variant>
        <vt:i4>5</vt:i4>
      </vt:variant>
      <vt:variant>
        <vt:lpwstr>http://www.optus.com.au/content/dam/optus/appendix/Appendix J/AppJ.doc</vt:lpwstr>
      </vt:variant>
      <vt:variant>
        <vt:lpwstr/>
      </vt:variant>
      <vt:variant>
        <vt:i4>5177423</vt:i4>
      </vt:variant>
      <vt:variant>
        <vt:i4>3660</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3657</vt:i4>
      </vt:variant>
      <vt:variant>
        <vt:i4>0</vt:i4>
      </vt:variant>
      <vt:variant>
        <vt:i4>5</vt:i4>
      </vt:variant>
      <vt:variant>
        <vt:lpwstr>http://www.optus.com.au/content/dam/optus/appendix/Appendix S/AppS.doc</vt:lpwstr>
      </vt:variant>
      <vt:variant>
        <vt:lpwstr/>
      </vt:variant>
      <vt:variant>
        <vt:i4>5177423</vt:i4>
      </vt:variant>
      <vt:variant>
        <vt:i4>3654</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3651</vt:i4>
      </vt:variant>
      <vt:variant>
        <vt:i4>0</vt:i4>
      </vt:variant>
      <vt:variant>
        <vt:i4>5</vt:i4>
      </vt:variant>
      <vt:variant>
        <vt:lpwstr>http://www.optus.com.au/content/dam/optus/appendix/Appendix S/AppS.doc</vt:lpwstr>
      </vt:variant>
      <vt:variant>
        <vt:lpwstr/>
      </vt:variant>
      <vt:variant>
        <vt:i4>2293803</vt:i4>
      </vt:variant>
      <vt:variant>
        <vt:i4>3648</vt:i4>
      </vt:variant>
      <vt:variant>
        <vt:i4>0</vt:i4>
      </vt:variant>
      <vt:variant>
        <vt:i4>5</vt:i4>
      </vt:variant>
      <vt:variant>
        <vt:lpwstr>http://www.optus.com.au/content/dam/optus/appendix/Appendix Y/AppY.doc</vt:lpwstr>
      </vt:variant>
      <vt:variant>
        <vt:lpwstr/>
      </vt:variant>
      <vt:variant>
        <vt:i4>7929957</vt:i4>
      </vt:variant>
      <vt:variant>
        <vt:i4>3645</vt:i4>
      </vt:variant>
      <vt:variant>
        <vt:i4>0</vt:i4>
      </vt:variant>
      <vt:variant>
        <vt:i4>5</vt:i4>
      </vt:variant>
      <vt:variant>
        <vt:lpwstr>http://www.optus.com.au/content/dam/optus/documents/about-us/legal/DigPricingS1.doc</vt:lpwstr>
      </vt:variant>
      <vt:variant>
        <vt:lpwstr/>
      </vt:variant>
      <vt:variant>
        <vt:i4>2687009</vt:i4>
      </vt:variant>
      <vt:variant>
        <vt:i4>3621</vt:i4>
      </vt:variant>
      <vt:variant>
        <vt:i4>0</vt:i4>
      </vt:variant>
      <vt:variant>
        <vt:i4>5</vt:i4>
      </vt:variant>
      <vt:variant>
        <vt:lpwstr>http://www.optus.com.au/content/dam/optus/appendix/Appendix S/AppS.doc</vt:lpwstr>
      </vt:variant>
      <vt:variant>
        <vt:lpwstr/>
      </vt:variant>
      <vt:variant>
        <vt:i4>2687009</vt:i4>
      </vt:variant>
      <vt:variant>
        <vt:i4>3618</vt:i4>
      </vt:variant>
      <vt:variant>
        <vt:i4>0</vt:i4>
      </vt:variant>
      <vt:variant>
        <vt:i4>5</vt:i4>
      </vt:variant>
      <vt:variant>
        <vt:lpwstr>http://www.optus.com.au/content/dam/optus/appendix/Appendix S/AppS.doc</vt:lpwstr>
      </vt:variant>
      <vt:variant>
        <vt:lpwstr/>
      </vt:variant>
      <vt:variant>
        <vt:i4>5177423</vt:i4>
      </vt:variant>
      <vt:variant>
        <vt:i4>3615</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3612</vt:i4>
      </vt:variant>
      <vt:variant>
        <vt:i4>0</vt:i4>
      </vt:variant>
      <vt:variant>
        <vt:i4>5</vt:i4>
      </vt:variant>
      <vt:variant>
        <vt:lpwstr>http://www.optus.com.au/content/dam/optus/appendix/Appendix S/AppS.doc</vt:lpwstr>
      </vt:variant>
      <vt:variant>
        <vt:lpwstr/>
      </vt:variant>
      <vt:variant>
        <vt:i4>5177423</vt:i4>
      </vt:variant>
      <vt:variant>
        <vt:i4>3609</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3606</vt:i4>
      </vt:variant>
      <vt:variant>
        <vt:i4>0</vt:i4>
      </vt:variant>
      <vt:variant>
        <vt:i4>5</vt:i4>
      </vt:variant>
      <vt:variant>
        <vt:lpwstr>http://www.optus.com.au/content/dam/optus/appendix/Appendix S/AppS.doc</vt:lpwstr>
      </vt:variant>
      <vt:variant>
        <vt:lpwstr/>
      </vt:variant>
      <vt:variant>
        <vt:i4>5177423</vt:i4>
      </vt:variant>
      <vt:variant>
        <vt:i4>3603</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3600</vt:i4>
      </vt:variant>
      <vt:variant>
        <vt:i4>0</vt:i4>
      </vt:variant>
      <vt:variant>
        <vt:i4>5</vt:i4>
      </vt:variant>
      <vt:variant>
        <vt:lpwstr>http://www.optus.com.au/content/dam/optus/appendix/Appendix S/AppS.doc</vt:lpwstr>
      </vt:variant>
      <vt:variant>
        <vt:lpwstr/>
      </vt:variant>
      <vt:variant>
        <vt:i4>5177423</vt:i4>
      </vt:variant>
      <vt:variant>
        <vt:i4>3597</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3594</vt:i4>
      </vt:variant>
      <vt:variant>
        <vt:i4>0</vt:i4>
      </vt:variant>
      <vt:variant>
        <vt:i4>5</vt:i4>
      </vt:variant>
      <vt:variant>
        <vt:lpwstr>http://www.optus.com.au/content/dam/optus/appendix/Appendix S/AppS.doc</vt:lpwstr>
      </vt:variant>
      <vt:variant>
        <vt:lpwstr/>
      </vt:variant>
      <vt:variant>
        <vt:i4>2293803</vt:i4>
      </vt:variant>
      <vt:variant>
        <vt:i4>3591</vt:i4>
      </vt:variant>
      <vt:variant>
        <vt:i4>0</vt:i4>
      </vt:variant>
      <vt:variant>
        <vt:i4>5</vt:i4>
      </vt:variant>
      <vt:variant>
        <vt:lpwstr>http://www.optus.com.au/content/dam/optus/appendix/Appendix Y/AppY.doc</vt:lpwstr>
      </vt:variant>
      <vt:variant>
        <vt:lpwstr/>
      </vt:variant>
      <vt:variant>
        <vt:i4>7929957</vt:i4>
      </vt:variant>
      <vt:variant>
        <vt:i4>3588</vt:i4>
      </vt:variant>
      <vt:variant>
        <vt:i4>0</vt:i4>
      </vt:variant>
      <vt:variant>
        <vt:i4>5</vt:i4>
      </vt:variant>
      <vt:variant>
        <vt:lpwstr>http://www.optus.com.au/content/dam/optus/documents/about-us/legal/DigPricingS1.doc</vt:lpwstr>
      </vt:variant>
      <vt:variant>
        <vt:lpwstr/>
      </vt:variant>
      <vt:variant>
        <vt:i4>2687009</vt:i4>
      </vt:variant>
      <vt:variant>
        <vt:i4>3549</vt:i4>
      </vt:variant>
      <vt:variant>
        <vt:i4>0</vt:i4>
      </vt:variant>
      <vt:variant>
        <vt:i4>5</vt:i4>
      </vt:variant>
      <vt:variant>
        <vt:lpwstr>http://www.optus.com.au/content/dam/optus/appendix/Appendix S/AppS.doc</vt:lpwstr>
      </vt:variant>
      <vt:variant>
        <vt:lpwstr/>
      </vt:variant>
      <vt:variant>
        <vt:i4>2687009</vt:i4>
      </vt:variant>
      <vt:variant>
        <vt:i4>3546</vt:i4>
      </vt:variant>
      <vt:variant>
        <vt:i4>0</vt:i4>
      </vt:variant>
      <vt:variant>
        <vt:i4>5</vt:i4>
      </vt:variant>
      <vt:variant>
        <vt:lpwstr>http://www.optus.com.au/content/dam/optus/appendix/Appendix S/AppS.doc</vt:lpwstr>
      </vt:variant>
      <vt:variant>
        <vt:lpwstr/>
      </vt:variant>
      <vt:variant>
        <vt:i4>2687009</vt:i4>
      </vt:variant>
      <vt:variant>
        <vt:i4>3543</vt:i4>
      </vt:variant>
      <vt:variant>
        <vt:i4>0</vt:i4>
      </vt:variant>
      <vt:variant>
        <vt:i4>5</vt:i4>
      </vt:variant>
      <vt:variant>
        <vt:lpwstr>http://www.optus.com.au/content/dam/optus/appendix/Appendix S/AppS.doc</vt:lpwstr>
      </vt:variant>
      <vt:variant>
        <vt:lpwstr/>
      </vt:variant>
      <vt:variant>
        <vt:i4>5177423</vt:i4>
      </vt:variant>
      <vt:variant>
        <vt:i4>3540</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3537</vt:i4>
      </vt:variant>
      <vt:variant>
        <vt:i4>0</vt:i4>
      </vt:variant>
      <vt:variant>
        <vt:i4>5</vt:i4>
      </vt:variant>
      <vt:variant>
        <vt:lpwstr>http://www.optus.com.au/content/dam/optus/appendix/Appendix S/AppS.doc</vt:lpwstr>
      </vt:variant>
      <vt:variant>
        <vt:lpwstr/>
      </vt:variant>
      <vt:variant>
        <vt:i4>1310748</vt:i4>
      </vt:variant>
      <vt:variant>
        <vt:i4>3534</vt:i4>
      </vt:variant>
      <vt:variant>
        <vt:i4>0</vt:i4>
      </vt:variant>
      <vt:variant>
        <vt:i4>5</vt:i4>
      </vt:variant>
      <vt:variant>
        <vt:lpwstr>http://www.optus.com.au/content/dam/optus/appendix/Appendix IJ/AppIJ.doc</vt:lpwstr>
      </vt:variant>
      <vt:variant>
        <vt:lpwstr/>
      </vt:variant>
      <vt:variant>
        <vt:i4>5177423</vt:i4>
      </vt:variant>
      <vt:variant>
        <vt:i4>3531</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3528</vt:i4>
      </vt:variant>
      <vt:variant>
        <vt:i4>0</vt:i4>
      </vt:variant>
      <vt:variant>
        <vt:i4>5</vt:i4>
      </vt:variant>
      <vt:variant>
        <vt:lpwstr>http://www.optus.com.au/content/dam/optus/appendix/Appendix S/AppS.doc</vt:lpwstr>
      </vt:variant>
      <vt:variant>
        <vt:lpwstr/>
      </vt:variant>
      <vt:variant>
        <vt:i4>5177423</vt:i4>
      </vt:variant>
      <vt:variant>
        <vt:i4>3519</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3516</vt:i4>
      </vt:variant>
      <vt:variant>
        <vt:i4>0</vt:i4>
      </vt:variant>
      <vt:variant>
        <vt:i4>5</vt:i4>
      </vt:variant>
      <vt:variant>
        <vt:lpwstr>http://www.optus.com.au/content/dam/optus/appendix/Appendix S/AppS.doc</vt:lpwstr>
      </vt:variant>
      <vt:variant>
        <vt:lpwstr/>
      </vt:variant>
      <vt:variant>
        <vt:i4>5177423</vt:i4>
      </vt:variant>
      <vt:variant>
        <vt:i4>3513</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3510</vt:i4>
      </vt:variant>
      <vt:variant>
        <vt:i4>0</vt:i4>
      </vt:variant>
      <vt:variant>
        <vt:i4>5</vt:i4>
      </vt:variant>
      <vt:variant>
        <vt:lpwstr>http://www.optus.com.au/content/dam/optus/appendix/Appendix S/AppS.doc</vt:lpwstr>
      </vt:variant>
      <vt:variant>
        <vt:lpwstr/>
      </vt:variant>
      <vt:variant>
        <vt:i4>2293803</vt:i4>
      </vt:variant>
      <vt:variant>
        <vt:i4>3507</vt:i4>
      </vt:variant>
      <vt:variant>
        <vt:i4>0</vt:i4>
      </vt:variant>
      <vt:variant>
        <vt:i4>5</vt:i4>
      </vt:variant>
      <vt:variant>
        <vt:lpwstr>http://www.optus.com.au/content/dam/optus/appendix/Appendix Y/AppY.doc</vt:lpwstr>
      </vt:variant>
      <vt:variant>
        <vt:lpwstr/>
      </vt:variant>
      <vt:variant>
        <vt:i4>7929957</vt:i4>
      </vt:variant>
      <vt:variant>
        <vt:i4>3504</vt:i4>
      </vt:variant>
      <vt:variant>
        <vt:i4>0</vt:i4>
      </vt:variant>
      <vt:variant>
        <vt:i4>5</vt:i4>
      </vt:variant>
      <vt:variant>
        <vt:lpwstr>http://www.optus.com.au/content/dam/optus/documents/about-us/legal/DigPricingS1.doc</vt:lpwstr>
      </vt:variant>
      <vt:variant>
        <vt:lpwstr/>
      </vt:variant>
      <vt:variant>
        <vt:i4>2687009</vt:i4>
      </vt:variant>
      <vt:variant>
        <vt:i4>3480</vt:i4>
      </vt:variant>
      <vt:variant>
        <vt:i4>0</vt:i4>
      </vt:variant>
      <vt:variant>
        <vt:i4>5</vt:i4>
      </vt:variant>
      <vt:variant>
        <vt:lpwstr>http://www.optus.com.au/content/dam/optus/appendix/Appendix S/AppS.doc</vt:lpwstr>
      </vt:variant>
      <vt:variant>
        <vt:lpwstr/>
      </vt:variant>
      <vt:variant>
        <vt:i4>5177423</vt:i4>
      </vt:variant>
      <vt:variant>
        <vt:i4>3477</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3474</vt:i4>
      </vt:variant>
      <vt:variant>
        <vt:i4>0</vt:i4>
      </vt:variant>
      <vt:variant>
        <vt:i4>5</vt:i4>
      </vt:variant>
      <vt:variant>
        <vt:lpwstr>http://www.optus.com.au/content/dam/optus/appendix/Appendix S/AppS.doc</vt:lpwstr>
      </vt:variant>
      <vt:variant>
        <vt:lpwstr/>
      </vt:variant>
      <vt:variant>
        <vt:i4>2687009</vt:i4>
      </vt:variant>
      <vt:variant>
        <vt:i4>3471</vt:i4>
      </vt:variant>
      <vt:variant>
        <vt:i4>0</vt:i4>
      </vt:variant>
      <vt:variant>
        <vt:i4>5</vt:i4>
      </vt:variant>
      <vt:variant>
        <vt:lpwstr>http://www.optus.com.au/content/dam/optus/appendix/Appendix S/AppS.doc</vt:lpwstr>
      </vt:variant>
      <vt:variant>
        <vt:lpwstr/>
      </vt:variant>
      <vt:variant>
        <vt:i4>5177423</vt:i4>
      </vt:variant>
      <vt:variant>
        <vt:i4>3468</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3465</vt:i4>
      </vt:variant>
      <vt:variant>
        <vt:i4>0</vt:i4>
      </vt:variant>
      <vt:variant>
        <vt:i4>5</vt:i4>
      </vt:variant>
      <vt:variant>
        <vt:lpwstr>http://www.optus.com.au/content/dam/optus/appendix/Appendix S/AppS.doc</vt:lpwstr>
      </vt:variant>
      <vt:variant>
        <vt:lpwstr/>
      </vt:variant>
      <vt:variant>
        <vt:i4>2687009</vt:i4>
      </vt:variant>
      <vt:variant>
        <vt:i4>3462</vt:i4>
      </vt:variant>
      <vt:variant>
        <vt:i4>0</vt:i4>
      </vt:variant>
      <vt:variant>
        <vt:i4>5</vt:i4>
      </vt:variant>
      <vt:variant>
        <vt:lpwstr>http://www.optus.com.au/content/dam/optus/appendix/Appendix S/AppS.doc</vt:lpwstr>
      </vt:variant>
      <vt:variant>
        <vt:lpwstr/>
      </vt:variant>
      <vt:variant>
        <vt:i4>5177423</vt:i4>
      </vt:variant>
      <vt:variant>
        <vt:i4>3459</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3456</vt:i4>
      </vt:variant>
      <vt:variant>
        <vt:i4>0</vt:i4>
      </vt:variant>
      <vt:variant>
        <vt:i4>5</vt:i4>
      </vt:variant>
      <vt:variant>
        <vt:lpwstr>http://www.optus.com.au/content/dam/optus/appendix/Appendix S/AppS.doc</vt:lpwstr>
      </vt:variant>
      <vt:variant>
        <vt:lpwstr/>
      </vt:variant>
      <vt:variant>
        <vt:i4>2687009</vt:i4>
      </vt:variant>
      <vt:variant>
        <vt:i4>3453</vt:i4>
      </vt:variant>
      <vt:variant>
        <vt:i4>0</vt:i4>
      </vt:variant>
      <vt:variant>
        <vt:i4>5</vt:i4>
      </vt:variant>
      <vt:variant>
        <vt:lpwstr>http://www.optus.com.au/content/dam/optus/appendix/Appendix S/AppS.doc</vt:lpwstr>
      </vt:variant>
      <vt:variant>
        <vt:lpwstr/>
      </vt:variant>
      <vt:variant>
        <vt:i4>5177423</vt:i4>
      </vt:variant>
      <vt:variant>
        <vt:i4>3450</vt:i4>
      </vt:variant>
      <vt:variant>
        <vt:i4>0</vt:i4>
      </vt:variant>
      <vt:variant>
        <vt:i4>5</vt:i4>
      </vt:variant>
      <vt:variant>
        <vt:lpwstr>http://www.optus.com.au/dafiles/OCA/AboutOptus/LegalAndRegulatory/SharedStaticFiles/SharedDocuments/AppW.doc</vt:lpwstr>
      </vt:variant>
      <vt:variant>
        <vt:lpwstr/>
      </vt:variant>
      <vt:variant>
        <vt:i4>5177423</vt:i4>
      </vt:variant>
      <vt:variant>
        <vt:i4>3447</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3444</vt:i4>
      </vt:variant>
      <vt:variant>
        <vt:i4>0</vt:i4>
      </vt:variant>
      <vt:variant>
        <vt:i4>5</vt:i4>
      </vt:variant>
      <vt:variant>
        <vt:lpwstr>http://www.optus.com.au/content/dam/optus/appendix/Appendix S/AppS.doc</vt:lpwstr>
      </vt:variant>
      <vt:variant>
        <vt:lpwstr/>
      </vt:variant>
      <vt:variant>
        <vt:i4>5177423</vt:i4>
      </vt:variant>
      <vt:variant>
        <vt:i4>3435</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3432</vt:i4>
      </vt:variant>
      <vt:variant>
        <vt:i4>0</vt:i4>
      </vt:variant>
      <vt:variant>
        <vt:i4>5</vt:i4>
      </vt:variant>
      <vt:variant>
        <vt:lpwstr>http://www.optus.com.au/content/dam/optus/appendix/Appendix S/AppS.doc</vt:lpwstr>
      </vt:variant>
      <vt:variant>
        <vt:lpwstr/>
      </vt:variant>
      <vt:variant>
        <vt:i4>2293803</vt:i4>
      </vt:variant>
      <vt:variant>
        <vt:i4>3429</vt:i4>
      </vt:variant>
      <vt:variant>
        <vt:i4>0</vt:i4>
      </vt:variant>
      <vt:variant>
        <vt:i4>5</vt:i4>
      </vt:variant>
      <vt:variant>
        <vt:lpwstr>http://www.optus.com.au/content/dam/optus/appendix/Appendix Y/AppY.doc</vt:lpwstr>
      </vt:variant>
      <vt:variant>
        <vt:lpwstr/>
      </vt:variant>
      <vt:variant>
        <vt:i4>7929957</vt:i4>
      </vt:variant>
      <vt:variant>
        <vt:i4>3426</vt:i4>
      </vt:variant>
      <vt:variant>
        <vt:i4>0</vt:i4>
      </vt:variant>
      <vt:variant>
        <vt:i4>5</vt:i4>
      </vt:variant>
      <vt:variant>
        <vt:lpwstr>http://www.optus.com.au/content/dam/optus/documents/about-us/legal/DigPricingS1.doc</vt:lpwstr>
      </vt:variant>
      <vt:variant>
        <vt:lpwstr/>
      </vt:variant>
      <vt:variant>
        <vt:i4>2687009</vt:i4>
      </vt:variant>
      <vt:variant>
        <vt:i4>3393</vt:i4>
      </vt:variant>
      <vt:variant>
        <vt:i4>0</vt:i4>
      </vt:variant>
      <vt:variant>
        <vt:i4>5</vt:i4>
      </vt:variant>
      <vt:variant>
        <vt:lpwstr>http://www.optus.com.au/content/dam/optus/appendix/Appendix S/AppS.doc</vt:lpwstr>
      </vt:variant>
      <vt:variant>
        <vt:lpwstr/>
      </vt:variant>
      <vt:variant>
        <vt:i4>2687009</vt:i4>
      </vt:variant>
      <vt:variant>
        <vt:i4>3390</vt:i4>
      </vt:variant>
      <vt:variant>
        <vt:i4>0</vt:i4>
      </vt:variant>
      <vt:variant>
        <vt:i4>5</vt:i4>
      </vt:variant>
      <vt:variant>
        <vt:lpwstr>http://www.optus.com.au/content/dam/optus/appendix/Appendix S/AppS.doc</vt:lpwstr>
      </vt:variant>
      <vt:variant>
        <vt:lpwstr/>
      </vt:variant>
      <vt:variant>
        <vt:i4>2687009</vt:i4>
      </vt:variant>
      <vt:variant>
        <vt:i4>3387</vt:i4>
      </vt:variant>
      <vt:variant>
        <vt:i4>0</vt:i4>
      </vt:variant>
      <vt:variant>
        <vt:i4>5</vt:i4>
      </vt:variant>
      <vt:variant>
        <vt:lpwstr>http://www.optus.com.au/content/dam/optus/appendix/Appendix S/AppS.doc</vt:lpwstr>
      </vt:variant>
      <vt:variant>
        <vt:lpwstr/>
      </vt:variant>
      <vt:variant>
        <vt:i4>5177423</vt:i4>
      </vt:variant>
      <vt:variant>
        <vt:i4>3384</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3381</vt:i4>
      </vt:variant>
      <vt:variant>
        <vt:i4>0</vt:i4>
      </vt:variant>
      <vt:variant>
        <vt:i4>5</vt:i4>
      </vt:variant>
      <vt:variant>
        <vt:lpwstr>http://www.optus.com.au/content/dam/optus/appendix/Appendix S/AppS.doc</vt:lpwstr>
      </vt:variant>
      <vt:variant>
        <vt:lpwstr/>
      </vt:variant>
      <vt:variant>
        <vt:i4>3145784</vt:i4>
      </vt:variant>
      <vt:variant>
        <vt:i4>3378</vt:i4>
      </vt:variant>
      <vt:variant>
        <vt:i4>0</vt:i4>
      </vt:variant>
      <vt:variant>
        <vt:i4>5</vt:i4>
      </vt:variant>
      <vt:variant>
        <vt:lpwstr>http://www.optus.com.au/content/dam/optus/appendix/Appendix J/AppJ.doc</vt:lpwstr>
      </vt:variant>
      <vt:variant>
        <vt:lpwstr/>
      </vt:variant>
      <vt:variant>
        <vt:i4>5177423</vt:i4>
      </vt:variant>
      <vt:variant>
        <vt:i4>3375</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3372</vt:i4>
      </vt:variant>
      <vt:variant>
        <vt:i4>0</vt:i4>
      </vt:variant>
      <vt:variant>
        <vt:i4>5</vt:i4>
      </vt:variant>
      <vt:variant>
        <vt:lpwstr>http://www.optus.com.au/content/dam/optus/appendix/Appendix S/AppS.doc</vt:lpwstr>
      </vt:variant>
      <vt:variant>
        <vt:lpwstr/>
      </vt:variant>
      <vt:variant>
        <vt:i4>5177423</vt:i4>
      </vt:variant>
      <vt:variant>
        <vt:i4>3363</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3360</vt:i4>
      </vt:variant>
      <vt:variant>
        <vt:i4>0</vt:i4>
      </vt:variant>
      <vt:variant>
        <vt:i4>5</vt:i4>
      </vt:variant>
      <vt:variant>
        <vt:lpwstr>http://www.optus.com.au/content/dam/optus/appendix/Appendix S/AppS.doc</vt:lpwstr>
      </vt:variant>
      <vt:variant>
        <vt:lpwstr/>
      </vt:variant>
      <vt:variant>
        <vt:i4>5177423</vt:i4>
      </vt:variant>
      <vt:variant>
        <vt:i4>3357</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3354</vt:i4>
      </vt:variant>
      <vt:variant>
        <vt:i4>0</vt:i4>
      </vt:variant>
      <vt:variant>
        <vt:i4>5</vt:i4>
      </vt:variant>
      <vt:variant>
        <vt:lpwstr>http://www.optus.com.au/content/dam/optus/appendix/Appendix S/AppS.doc</vt:lpwstr>
      </vt:variant>
      <vt:variant>
        <vt:lpwstr/>
      </vt:variant>
      <vt:variant>
        <vt:i4>2293803</vt:i4>
      </vt:variant>
      <vt:variant>
        <vt:i4>3351</vt:i4>
      </vt:variant>
      <vt:variant>
        <vt:i4>0</vt:i4>
      </vt:variant>
      <vt:variant>
        <vt:i4>5</vt:i4>
      </vt:variant>
      <vt:variant>
        <vt:lpwstr>http://www.optus.com.au/content/dam/optus/appendix/Appendix Y/AppY.doc</vt:lpwstr>
      </vt:variant>
      <vt:variant>
        <vt:lpwstr/>
      </vt:variant>
      <vt:variant>
        <vt:i4>7929957</vt:i4>
      </vt:variant>
      <vt:variant>
        <vt:i4>3348</vt:i4>
      </vt:variant>
      <vt:variant>
        <vt:i4>0</vt:i4>
      </vt:variant>
      <vt:variant>
        <vt:i4>5</vt:i4>
      </vt:variant>
      <vt:variant>
        <vt:lpwstr>http://www.optus.com.au/content/dam/optus/documents/about-us/legal/DigPricingS1.doc</vt:lpwstr>
      </vt:variant>
      <vt:variant>
        <vt:lpwstr/>
      </vt:variant>
      <vt:variant>
        <vt:i4>2687009</vt:i4>
      </vt:variant>
      <vt:variant>
        <vt:i4>3324</vt:i4>
      </vt:variant>
      <vt:variant>
        <vt:i4>0</vt:i4>
      </vt:variant>
      <vt:variant>
        <vt:i4>5</vt:i4>
      </vt:variant>
      <vt:variant>
        <vt:lpwstr>http://www.optus.com.au/content/dam/optus/appendix/Appendix S/AppS.doc</vt:lpwstr>
      </vt:variant>
      <vt:variant>
        <vt:lpwstr/>
      </vt:variant>
      <vt:variant>
        <vt:i4>5177423</vt:i4>
      </vt:variant>
      <vt:variant>
        <vt:i4>3321</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3318</vt:i4>
      </vt:variant>
      <vt:variant>
        <vt:i4>0</vt:i4>
      </vt:variant>
      <vt:variant>
        <vt:i4>5</vt:i4>
      </vt:variant>
      <vt:variant>
        <vt:lpwstr>http://www.optus.com.au/content/dam/optus/appendix/Appendix S/AppS.doc</vt:lpwstr>
      </vt:variant>
      <vt:variant>
        <vt:lpwstr/>
      </vt:variant>
      <vt:variant>
        <vt:i4>2687009</vt:i4>
      </vt:variant>
      <vt:variant>
        <vt:i4>3315</vt:i4>
      </vt:variant>
      <vt:variant>
        <vt:i4>0</vt:i4>
      </vt:variant>
      <vt:variant>
        <vt:i4>5</vt:i4>
      </vt:variant>
      <vt:variant>
        <vt:lpwstr>http://www.optus.com.au/content/dam/optus/appendix/Appendix S/AppS.doc</vt:lpwstr>
      </vt:variant>
      <vt:variant>
        <vt:lpwstr/>
      </vt:variant>
      <vt:variant>
        <vt:i4>5177423</vt:i4>
      </vt:variant>
      <vt:variant>
        <vt:i4>3312</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3309</vt:i4>
      </vt:variant>
      <vt:variant>
        <vt:i4>0</vt:i4>
      </vt:variant>
      <vt:variant>
        <vt:i4>5</vt:i4>
      </vt:variant>
      <vt:variant>
        <vt:lpwstr>http://www.optus.com.au/content/dam/optus/appendix/Appendix S/AppS.doc</vt:lpwstr>
      </vt:variant>
      <vt:variant>
        <vt:lpwstr/>
      </vt:variant>
      <vt:variant>
        <vt:i4>2687009</vt:i4>
      </vt:variant>
      <vt:variant>
        <vt:i4>3306</vt:i4>
      </vt:variant>
      <vt:variant>
        <vt:i4>0</vt:i4>
      </vt:variant>
      <vt:variant>
        <vt:i4>5</vt:i4>
      </vt:variant>
      <vt:variant>
        <vt:lpwstr>http://www.optus.com.au/content/dam/optus/appendix/Appendix S/AppS.doc</vt:lpwstr>
      </vt:variant>
      <vt:variant>
        <vt:lpwstr/>
      </vt:variant>
      <vt:variant>
        <vt:i4>5177423</vt:i4>
      </vt:variant>
      <vt:variant>
        <vt:i4>3303</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3300</vt:i4>
      </vt:variant>
      <vt:variant>
        <vt:i4>0</vt:i4>
      </vt:variant>
      <vt:variant>
        <vt:i4>5</vt:i4>
      </vt:variant>
      <vt:variant>
        <vt:lpwstr>http://www.optus.com.au/content/dam/optus/appendix/Appendix S/AppS.doc</vt:lpwstr>
      </vt:variant>
      <vt:variant>
        <vt:lpwstr/>
      </vt:variant>
      <vt:variant>
        <vt:i4>2687009</vt:i4>
      </vt:variant>
      <vt:variant>
        <vt:i4>3297</vt:i4>
      </vt:variant>
      <vt:variant>
        <vt:i4>0</vt:i4>
      </vt:variant>
      <vt:variant>
        <vt:i4>5</vt:i4>
      </vt:variant>
      <vt:variant>
        <vt:lpwstr>http://www.optus.com.au/content/dam/optus/appendix/Appendix S/AppS.doc</vt:lpwstr>
      </vt:variant>
      <vt:variant>
        <vt:lpwstr/>
      </vt:variant>
      <vt:variant>
        <vt:i4>5177423</vt:i4>
      </vt:variant>
      <vt:variant>
        <vt:i4>3294</vt:i4>
      </vt:variant>
      <vt:variant>
        <vt:i4>0</vt:i4>
      </vt:variant>
      <vt:variant>
        <vt:i4>5</vt:i4>
      </vt:variant>
      <vt:variant>
        <vt:lpwstr>http://www.optus.com.au/dafiles/OCA/AboutOptus/LegalAndRegulatory/SharedStaticFiles/SharedDocuments/AppW.doc</vt:lpwstr>
      </vt:variant>
      <vt:variant>
        <vt:lpwstr/>
      </vt:variant>
      <vt:variant>
        <vt:i4>5177423</vt:i4>
      </vt:variant>
      <vt:variant>
        <vt:i4>3291</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3288</vt:i4>
      </vt:variant>
      <vt:variant>
        <vt:i4>0</vt:i4>
      </vt:variant>
      <vt:variant>
        <vt:i4>5</vt:i4>
      </vt:variant>
      <vt:variant>
        <vt:lpwstr>http://www.optus.com.au/content/dam/optus/appendix/Appendix S/AppS.doc</vt:lpwstr>
      </vt:variant>
      <vt:variant>
        <vt:lpwstr/>
      </vt:variant>
      <vt:variant>
        <vt:i4>5177423</vt:i4>
      </vt:variant>
      <vt:variant>
        <vt:i4>3276</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3273</vt:i4>
      </vt:variant>
      <vt:variant>
        <vt:i4>0</vt:i4>
      </vt:variant>
      <vt:variant>
        <vt:i4>5</vt:i4>
      </vt:variant>
      <vt:variant>
        <vt:lpwstr>http://www.optus.com.au/content/dam/optus/appendix/Appendix S/AppS.doc</vt:lpwstr>
      </vt:variant>
      <vt:variant>
        <vt:lpwstr/>
      </vt:variant>
      <vt:variant>
        <vt:i4>2293803</vt:i4>
      </vt:variant>
      <vt:variant>
        <vt:i4>3270</vt:i4>
      </vt:variant>
      <vt:variant>
        <vt:i4>0</vt:i4>
      </vt:variant>
      <vt:variant>
        <vt:i4>5</vt:i4>
      </vt:variant>
      <vt:variant>
        <vt:lpwstr>http://www.optus.com.au/content/dam/optus/appendix/Appendix Y/AppY.doc</vt:lpwstr>
      </vt:variant>
      <vt:variant>
        <vt:lpwstr/>
      </vt:variant>
      <vt:variant>
        <vt:i4>7929957</vt:i4>
      </vt:variant>
      <vt:variant>
        <vt:i4>3267</vt:i4>
      </vt:variant>
      <vt:variant>
        <vt:i4>0</vt:i4>
      </vt:variant>
      <vt:variant>
        <vt:i4>5</vt:i4>
      </vt:variant>
      <vt:variant>
        <vt:lpwstr>http://www.optus.com.au/content/dam/optus/documents/about-us/legal/DigPricingS1.doc</vt:lpwstr>
      </vt:variant>
      <vt:variant>
        <vt:lpwstr/>
      </vt:variant>
      <vt:variant>
        <vt:i4>2687009</vt:i4>
      </vt:variant>
      <vt:variant>
        <vt:i4>3234</vt:i4>
      </vt:variant>
      <vt:variant>
        <vt:i4>0</vt:i4>
      </vt:variant>
      <vt:variant>
        <vt:i4>5</vt:i4>
      </vt:variant>
      <vt:variant>
        <vt:lpwstr>http://www.optus.com.au/content/dam/optus/appendix/Appendix S/AppS.doc</vt:lpwstr>
      </vt:variant>
      <vt:variant>
        <vt:lpwstr/>
      </vt:variant>
      <vt:variant>
        <vt:i4>2687009</vt:i4>
      </vt:variant>
      <vt:variant>
        <vt:i4>3231</vt:i4>
      </vt:variant>
      <vt:variant>
        <vt:i4>0</vt:i4>
      </vt:variant>
      <vt:variant>
        <vt:i4>5</vt:i4>
      </vt:variant>
      <vt:variant>
        <vt:lpwstr>http://www.optus.com.au/content/dam/optus/appendix/Appendix S/AppS.doc</vt:lpwstr>
      </vt:variant>
      <vt:variant>
        <vt:lpwstr/>
      </vt:variant>
      <vt:variant>
        <vt:i4>2687009</vt:i4>
      </vt:variant>
      <vt:variant>
        <vt:i4>3228</vt:i4>
      </vt:variant>
      <vt:variant>
        <vt:i4>0</vt:i4>
      </vt:variant>
      <vt:variant>
        <vt:i4>5</vt:i4>
      </vt:variant>
      <vt:variant>
        <vt:lpwstr>http://www.optus.com.au/content/dam/optus/appendix/Appendix S/AppS.doc</vt:lpwstr>
      </vt:variant>
      <vt:variant>
        <vt:lpwstr/>
      </vt:variant>
      <vt:variant>
        <vt:i4>5177423</vt:i4>
      </vt:variant>
      <vt:variant>
        <vt:i4>3225</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3222</vt:i4>
      </vt:variant>
      <vt:variant>
        <vt:i4>0</vt:i4>
      </vt:variant>
      <vt:variant>
        <vt:i4>5</vt:i4>
      </vt:variant>
      <vt:variant>
        <vt:lpwstr>http://www.optus.com.au/content/dam/optus/appendix/Appendix S/AppS.doc</vt:lpwstr>
      </vt:variant>
      <vt:variant>
        <vt:lpwstr/>
      </vt:variant>
      <vt:variant>
        <vt:i4>3145784</vt:i4>
      </vt:variant>
      <vt:variant>
        <vt:i4>3219</vt:i4>
      </vt:variant>
      <vt:variant>
        <vt:i4>0</vt:i4>
      </vt:variant>
      <vt:variant>
        <vt:i4>5</vt:i4>
      </vt:variant>
      <vt:variant>
        <vt:lpwstr>http://www.optus.com.au/content/dam/optus/appendix/Appendix J/AppJ.doc</vt:lpwstr>
      </vt:variant>
      <vt:variant>
        <vt:lpwstr/>
      </vt:variant>
      <vt:variant>
        <vt:i4>5177423</vt:i4>
      </vt:variant>
      <vt:variant>
        <vt:i4>3216</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3213</vt:i4>
      </vt:variant>
      <vt:variant>
        <vt:i4>0</vt:i4>
      </vt:variant>
      <vt:variant>
        <vt:i4>5</vt:i4>
      </vt:variant>
      <vt:variant>
        <vt:lpwstr>http://www.optus.com.au/content/dam/optus/appendix/Appendix S/AppS.doc</vt:lpwstr>
      </vt:variant>
      <vt:variant>
        <vt:lpwstr/>
      </vt:variant>
      <vt:variant>
        <vt:i4>5177423</vt:i4>
      </vt:variant>
      <vt:variant>
        <vt:i4>3204</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3201</vt:i4>
      </vt:variant>
      <vt:variant>
        <vt:i4>0</vt:i4>
      </vt:variant>
      <vt:variant>
        <vt:i4>5</vt:i4>
      </vt:variant>
      <vt:variant>
        <vt:lpwstr>http://www.optus.com.au/content/dam/optus/appendix/Appendix S/AppS.doc</vt:lpwstr>
      </vt:variant>
      <vt:variant>
        <vt:lpwstr/>
      </vt:variant>
      <vt:variant>
        <vt:i4>5177423</vt:i4>
      </vt:variant>
      <vt:variant>
        <vt:i4>3198</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3195</vt:i4>
      </vt:variant>
      <vt:variant>
        <vt:i4>0</vt:i4>
      </vt:variant>
      <vt:variant>
        <vt:i4>5</vt:i4>
      </vt:variant>
      <vt:variant>
        <vt:lpwstr>http://www.optus.com.au/content/dam/optus/appendix/Appendix S/AppS.doc</vt:lpwstr>
      </vt:variant>
      <vt:variant>
        <vt:lpwstr/>
      </vt:variant>
      <vt:variant>
        <vt:i4>2293803</vt:i4>
      </vt:variant>
      <vt:variant>
        <vt:i4>3192</vt:i4>
      </vt:variant>
      <vt:variant>
        <vt:i4>0</vt:i4>
      </vt:variant>
      <vt:variant>
        <vt:i4>5</vt:i4>
      </vt:variant>
      <vt:variant>
        <vt:lpwstr>http://www.optus.com.au/content/dam/optus/appendix/Appendix Y/AppY.doc</vt:lpwstr>
      </vt:variant>
      <vt:variant>
        <vt:lpwstr/>
      </vt:variant>
      <vt:variant>
        <vt:i4>7929957</vt:i4>
      </vt:variant>
      <vt:variant>
        <vt:i4>3189</vt:i4>
      </vt:variant>
      <vt:variant>
        <vt:i4>0</vt:i4>
      </vt:variant>
      <vt:variant>
        <vt:i4>5</vt:i4>
      </vt:variant>
      <vt:variant>
        <vt:lpwstr>http://www.optus.com.au/content/dam/optus/documents/about-us/legal/DigPricingS1.doc</vt:lpwstr>
      </vt:variant>
      <vt:variant>
        <vt:lpwstr/>
      </vt:variant>
      <vt:variant>
        <vt:i4>2687009</vt:i4>
      </vt:variant>
      <vt:variant>
        <vt:i4>3165</vt:i4>
      </vt:variant>
      <vt:variant>
        <vt:i4>0</vt:i4>
      </vt:variant>
      <vt:variant>
        <vt:i4>5</vt:i4>
      </vt:variant>
      <vt:variant>
        <vt:lpwstr>http://www.optus.com.au/content/dam/optus/appendix/Appendix S/AppS.doc</vt:lpwstr>
      </vt:variant>
      <vt:variant>
        <vt:lpwstr/>
      </vt:variant>
      <vt:variant>
        <vt:i4>5177423</vt:i4>
      </vt:variant>
      <vt:variant>
        <vt:i4>3162</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3159</vt:i4>
      </vt:variant>
      <vt:variant>
        <vt:i4>0</vt:i4>
      </vt:variant>
      <vt:variant>
        <vt:i4>5</vt:i4>
      </vt:variant>
      <vt:variant>
        <vt:lpwstr>http://www.optus.com.au/content/dam/optus/appendix/Appendix S/AppS.doc</vt:lpwstr>
      </vt:variant>
      <vt:variant>
        <vt:lpwstr/>
      </vt:variant>
      <vt:variant>
        <vt:i4>2687009</vt:i4>
      </vt:variant>
      <vt:variant>
        <vt:i4>3156</vt:i4>
      </vt:variant>
      <vt:variant>
        <vt:i4>0</vt:i4>
      </vt:variant>
      <vt:variant>
        <vt:i4>5</vt:i4>
      </vt:variant>
      <vt:variant>
        <vt:lpwstr>http://www.optus.com.au/content/dam/optus/appendix/Appendix S/AppS.doc</vt:lpwstr>
      </vt:variant>
      <vt:variant>
        <vt:lpwstr/>
      </vt:variant>
      <vt:variant>
        <vt:i4>5177423</vt:i4>
      </vt:variant>
      <vt:variant>
        <vt:i4>3153</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3150</vt:i4>
      </vt:variant>
      <vt:variant>
        <vt:i4>0</vt:i4>
      </vt:variant>
      <vt:variant>
        <vt:i4>5</vt:i4>
      </vt:variant>
      <vt:variant>
        <vt:lpwstr>http://www.optus.com.au/content/dam/optus/appendix/Appendix S/AppS.doc</vt:lpwstr>
      </vt:variant>
      <vt:variant>
        <vt:lpwstr/>
      </vt:variant>
      <vt:variant>
        <vt:i4>2687009</vt:i4>
      </vt:variant>
      <vt:variant>
        <vt:i4>3147</vt:i4>
      </vt:variant>
      <vt:variant>
        <vt:i4>0</vt:i4>
      </vt:variant>
      <vt:variant>
        <vt:i4>5</vt:i4>
      </vt:variant>
      <vt:variant>
        <vt:lpwstr>http://www.optus.com.au/content/dam/optus/appendix/Appendix S/AppS.doc</vt:lpwstr>
      </vt:variant>
      <vt:variant>
        <vt:lpwstr/>
      </vt:variant>
      <vt:variant>
        <vt:i4>5177423</vt:i4>
      </vt:variant>
      <vt:variant>
        <vt:i4>3144</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3141</vt:i4>
      </vt:variant>
      <vt:variant>
        <vt:i4>0</vt:i4>
      </vt:variant>
      <vt:variant>
        <vt:i4>5</vt:i4>
      </vt:variant>
      <vt:variant>
        <vt:lpwstr>http://www.optus.com.au/content/dam/optus/appendix/Appendix S/AppS.doc</vt:lpwstr>
      </vt:variant>
      <vt:variant>
        <vt:lpwstr/>
      </vt:variant>
      <vt:variant>
        <vt:i4>2687009</vt:i4>
      </vt:variant>
      <vt:variant>
        <vt:i4>3138</vt:i4>
      </vt:variant>
      <vt:variant>
        <vt:i4>0</vt:i4>
      </vt:variant>
      <vt:variant>
        <vt:i4>5</vt:i4>
      </vt:variant>
      <vt:variant>
        <vt:lpwstr>http://www.optus.com.au/content/dam/optus/appendix/Appendix S/AppS.doc</vt:lpwstr>
      </vt:variant>
      <vt:variant>
        <vt:lpwstr/>
      </vt:variant>
      <vt:variant>
        <vt:i4>5177423</vt:i4>
      </vt:variant>
      <vt:variant>
        <vt:i4>3135</vt:i4>
      </vt:variant>
      <vt:variant>
        <vt:i4>0</vt:i4>
      </vt:variant>
      <vt:variant>
        <vt:i4>5</vt:i4>
      </vt:variant>
      <vt:variant>
        <vt:lpwstr>http://www.optus.com.au/dafiles/OCA/AboutOptus/LegalAndRegulatory/SharedStaticFiles/SharedDocuments/AppW.doc</vt:lpwstr>
      </vt:variant>
      <vt:variant>
        <vt:lpwstr/>
      </vt:variant>
      <vt:variant>
        <vt:i4>5177423</vt:i4>
      </vt:variant>
      <vt:variant>
        <vt:i4>3132</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3129</vt:i4>
      </vt:variant>
      <vt:variant>
        <vt:i4>0</vt:i4>
      </vt:variant>
      <vt:variant>
        <vt:i4>5</vt:i4>
      </vt:variant>
      <vt:variant>
        <vt:lpwstr>http://www.optus.com.au/content/dam/optus/appendix/Appendix S/AppS.doc</vt:lpwstr>
      </vt:variant>
      <vt:variant>
        <vt:lpwstr/>
      </vt:variant>
      <vt:variant>
        <vt:i4>5177423</vt:i4>
      </vt:variant>
      <vt:variant>
        <vt:i4>3117</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3114</vt:i4>
      </vt:variant>
      <vt:variant>
        <vt:i4>0</vt:i4>
      </vt:variant>
      <vt:variant>
        <vt:i4>5</vt:i4>
      </vt:variant>
      <vt:variant>
        <vt:lpwstr>http://www.optus.com.au/content/dam/optus/appendix/Appendix S/AppS.doc</vt:lpwstr>
      </vt:variant>
      <vt:variant>
        <vt:lpwstr/>
      </vt:variant>
      <vt:variant>
        <vt:i4>2293803</vt:i4>
      </vt:variant>
      <vt:variant>
        <vt:i4>3111</vt:i4>
      </vt:variant>
      <vt:variant>
        <vt:i4>0</vt:i4>
      </vt:variant>
      <vt:variant>
        <vt:i4>5</vt:i4>
      </vt:variant>
      <vt:variant>
        <vt:lpwstr>http://www.optus.com.au/content/dam/optus/appendix/Appendix Y/AppY.doc</vt:lpwstr>
      </vt:variant>
      <vt:variant>
        <vt:lpwstr/>
      </vt:variant>
      <vt:variant>
        <vt:i4>7929957</vt:i4>
      </vt:variant>
      <vt:variant>
        <vt:i4>3108</vt:i4>
      </vt:variant>
      <vt:variant>
        <vt:i4>0</vt:i4>
      </vt:variant>
      <vt:variant>
        <vt:i4>5</vt:i4>
      </vt:variant>
      <vt:variant>
        <vt:lpwstr>http://www.optus.com.au/content/dam/optus/documents/about-us/legal/DigPricingS1.doc</vt:lpwstr>
      </vt:variant>
      <vt:variant>
        <vt:lpwstr/>
      </vt:variant>
      <vt:variant>
        <vt:i4>6815794</vt:i4>
      </vt:variant>
      <vt:variant>
        <vt:i4>3081</vt:i4>
      </vt:variant>
      <vt:variant>
        <vt:i4>0</vt:i4>
      </vt:variant>
      <vt:variant>
        <vt:i4>5</vt:i4>
      </vt:variant>
      <vt:variant>
        <vt:lpwstr>http://www.optus.com.au/content/dam/optus/documents/about-us/legal/SMETerms.doc</vt:lpwstr>
      </vt:variant>
      <vt:variant>
        <vt:lpwstr/>
      </vt:variant>
      <vt:variant>
        <vt:i4>5177423</vt:i4>
      </vt:variant>
      <vt:variant>
        <vt:i4>3072</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3069</vt:i4>
      </vt:variant>
      <vt:variant>
        <vt:i4>0</vt:i4>
      </vt:variant>
      <vt:variant>
        <vt:i4>5</vt:i4>
      </vt:variant>
      <vt:variant>
        <vt:lpwstr>http://www.optus.com.au/content/dam/optus/appendix/Appendix S/AppS.doc</vt:lpwstr>
      </vt:variant>
      <vt:variant>
        <vt:lpwstr/>
      </vt:variant>
      <vt:variant>
        <vt:i4>2293803</vt:i4>
      </vt:variant>
      <vt:variant>
        <vt:i4>3066</vt:i4>
      </vt:variant>
      <vt:variant>
        <vt:i4>0</vt:i4>
      </vt:variant>
      <vt:variant>
        <vt:i4>5</vt:i4>
      </vt:variant>
      <vt:variant>
        <vt:lpwstr>http://www.optus.com.au/content/dam/optus/appendix/Appendix Y/AppY.doc</vt:lpwstr>
      </vt:variant>
      <vt:variant>
        <vt:lpwstr/>
      </vt:variant>
      <vt:variant>
        <vt:i4>3145784</vt:i4>
      </vt:variant>
      <vt:variant>
        <vt:i4>3063</vt:i4>
      </vt:variant>
      <vt:variant>
        <vt:i4>0</vt:i4>
      </vt:variant>
      <vt:variant>
        <vt:i4>5</vt:i4>
      </vt:variant>
      <vt:variant>
        <vt:lpwstr>http://www.optus.com.au/content/dam/optus/appendix/Appendix J/AppJ.doc</vt:lpwstr>
      </vt:variant>
      <vt:variant>
        <vt:lpwstr/>
      </vt:variant>
      <vt:variant>
        <vt:i4>5177423</vt:i4>
      </vt:variant>
      <vt:variant>
        <vt:i4>3060</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3057</vt:i4>
      </vt:variant>
      <vt:variant>
        <vt:i4>0</vt:i4>
      </vt:variant>
      <vt:variant>
        <vt:i4>5</vt:i4>
      </vt:variant>
      <vt:variant>
        <vt:lpwstr>http://www.optus.com.au/content/dam/optus/appendix/Appendix S/AppS.doc</vt:lpwstr>
      </vt:variant>
      <vt:variant>
        <vt:lpwstr/>
      </vt:variant>
      <vt:variant>
        <vt:i4>5177423</vt:i4>
      </vt:variant>
      <vt:variant>
        <vt:i4>3054</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3051</vt:i4>
      </vt:variant>
      <vt:variant>
        <vt:i4>0</vt:i4>
      </vt:variant>
      <vt:variant>
        <vt:i4>5</vt:i4>
      </vt:variant>
      <vt:variant>
        <vt:lpwstr>http://www.optus.com.au/content/dam/optus/appendix/Appendix S/AppS.doc</vt:lpwstr>
      </vt:variant>
      <vt:variant>
        <vt:lpwstr/>
      </vt:variant>
      <vt:variant>
        <vt:i4>5177423</vt:i4>
      </vt:variant>
      <vt:variant>
        <vt:i4>3048</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3045</vt:i4>
      </vt:variant>
      <vt:variant>
        <vt:i4>0</vt:i4>
      </vt:variant>
      <vt:variant>
        <vt:i4>5</vt:i4>
      </vt:variant>
      <vt:variant>
        <vt:lpwstr>http://www.optus.com.au/content/dam/optus/appendix/Appendix S/AppS.doc</vt:lpwstr>
      </vt:variant>
      <vt:variant>
        <vt:lpwstr/>
      </vt:variant>
      <vt:variant>
        <vt:i4>5177423</vt:i4>
      </vt:variant>
      <vt:variant>
        <vt:i4>3042</vt:i4>
      </vt:variant>
      <vt:variant>
        <vt:i4>0</vt:i4>
      </vt:variant>
      <vt:variant>
        <vt:i4>5</vt:i4>
      </vt:variant>
      <vt:variant>
        <vt:lpwstr>http://www.optus.com.au/dafiles/OCA/AboutOptus/LegalAndRegulatory/SharedStaticFiles/SharedDocuments/AppW.doc</vt:lpwstr>
      </vt:variant>
      <vt:variant>
        <vt:lpwstr/>
      </vt:variant>
      <vt:variant>
        <vt:i4>5177423</vt:i4>
      </vt:variant>
      <vt:variant>
        <vt:i4>3039</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3036</vt:i4>
      </vt:variant>
      <vt:variant>
        <vt:i4>0</vt:i4>
      </vt:variant>
      <vt:variant>
        <vt:i4>5</vt:i4>
      </vt:variant>
      <vt:variant>
        <vt:lpwstr>http://www.optus.com.au/content/dam/optus/appendix/Appendix S/AppS.doc</vt:lpwstr>
      </vt:variant>
      <vt:variant>
        <vt:lpwstr/>
      </vt:variant>
      <vt:variant>
        <vt:i4>2293803</vt:i4>
      </vt:variant>
      <vt:variant>
        <vt:i4>3033</vt:i4>
      </vt:variant>
      <vt:variant>
        <vt:i4>0</vt:i4>
      </vt:variant>
      <vt:variant>
        <vt:i4>5</vt:i4>
      </vt:variant>
      <vt:variant>
        <vt:lpwstr>http://www.optus.com.au/content/dam/optus/appendix/Appendix Y/AppY.doc</vt:lpwstr>
      </vt:variant>
      <vt:variant>
        <vt:lpwstr/>
      </vt:variant>
      <vt:variant>
        <vt:i4>7929957</vt:i4>
      </vt:variant>
      <vt:variant>
        <vt:i4>3030</vt:i4>
      </vt:variant>
      <vt:variant>
        <vt:i4>0</vt:i4>
      </vt:variant>
      <vt:variant>
        <vt:i4>5</vt:i4>
      </vt:variant>
      <vt:variant>
        <vt:lpwstr>http://www.optus.com.au/content/dam/optus/documents/about-us/legal/DigPricingS1.doc</vt:lpwstr>
      </vt:variant>
      <vt:variant>
        <vt:lpwstr/>
      </vt:variant>
      <vt:variant>
        <vt:i4>6815794</vt:i4>
      </vt:variant>
      <vt:variant>
        <vt:i4>3027</vt:i4>
      </vt:variant>
      <vt:variant>
        <vt:i4>0</vt:i4>
      </vt:variant>
      <vt:variant>
        <vt:i4>5</vt:i4>
      </vt:variant>
      <vt:variant>
        <vt:lpwstr>http://www.optus.com.au/content/dam/optus/documents/about-us/legal/SMETerms.doc</vt:lpwstr>
      </vt:variant>
      <vt:variant>
        <vt:lpwstr/>
      </vt:variant>
      <vt:variant>
        <vt:i4>6815794</vt:i4>
      </vt:variant>
      <vt:variant>
        <vt:i4>3024</vt:i4>
      </vt:variant>
      <vt:variant>
        <vt:i4>0</vt:i4>
      </vt:variant>
      <vt:variant>
        <vt:i4>5</vt:i4>
      </vt:variant>
      <vt:variant>
        <vt:lpwstr>http://www.optus.com.au/content/dam/optus/documents/about-us/legal/SMETerms.doc</vt:lpwstr>
      </vt:variant>
      <vt:variant>
        <vt:lpwstr/>
      </vt:variant>
      <vt:variant>
        <vt:i4>5177423</vt:i4>
      </vt:variant>
      <vt:variant>
        <vt:i4>3015</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3012</vt:i4>
      </vt:variant>
      <vt:variant>
        <vt:i4>0</vt:i4>
      </vt:variant>
      <vt:variant>
        <vt:i4>5</vt:i4>
      </vt:variant>
      <vt:variant>
        <vt:lpwstr>http://www.optus.com.au/content/dam/optus/appendix/Appendix S/AppS.doc</vt:lpwstr>
      </vt:variant>
      <vt:variant>
        <vt:lpwstr/>
      </vt:variant>
      <vt:variant>
        <vt:i4>2293803</vt:i4>
      </vt:variant>
      <vt:variant>
        <vt:i4>3009</vt:i4>
      </vt:variant>
      <vt:variant>
        <vt:i4>0</vt:i4>
      </vt:variant>
      <vt:variant>
        <vt:i4>5</vt:i4>
      </vt:variant>
      <vt:variant>
        <vt:lpwstr>http://www.optus.com.au/content/dam/optus/appendix/Appendix Y/AppY.doc</vt:lpwstr>
      </vt:variant>
      <vt:variant>
        <vt:lpwstr/>
      </vt:variant>
      <vt:variant>
        <vt:i4>5374031</vt:i4>
      </vt:variant>
      <vt:variant>
        <vt:i4>3006</vt:i4>
      </vt:variant>
      <vt:variant>
        <vt:i4>0</vt:i4>
      </vt:variant>
      <vt:variant>
        <vt:i4>5</vt:i4>
      </vt:variant>
      <vt:variant>
        <vt:lpwstr>http://www.optus.com.au/dafiles/OCA/AboutOptus/LegalAndRegulatory/SharedStaticFiles/SharedDocuments/AppJ.doc</vt:lpwstr>
      </vt:variant>
      <vt:variant>
        <vt:lpwstr/>
      </vt:variant>
      <vt:variant>
        <vt:i4>5177423</vt:i4>
      </vt:variant>
      <vt:variant>
        <vt:i4>3003</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3000</vt:i4>
      </vt:variant>
      <vt:variant>
        <vt:i4>0</vt:i4>
      </vt:variant>
      <vt:variant>
        <vt:i4>5</vt:i4>
      </vt:variant>
      <vt:variant>
        <vt:lpwstr>http://www.optus.com.au/content/dam/optus/appendix/Appendix S/AppS.doc</vt:lpwstr>
      </vt:variant>
      <vt:variant>
        <vt:lpwstr/>
      </vt:variant>
      <vt:variant>
        <vt:i4>5177423</vt:i4>
      </vt:variant>
      <vt:variant>
        <vt:i4>2997</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2994</vt:i4>
      </vt:variant>
      <vt:variant>
        <vt:i4>0</vt:i4>
      </vt:variant>
      <vt:variant>
        <vt:i4>5</vt:i4>
      </vt:variant>
      <vt:variant>
        <vt:lpwstr>http://www.optus.com.au/content/dam/optus/appendix/Appendix S/AppS.doc</vt:lpwstr>
      </vt:variant>
      <vt:variant>
        <vt:lpwstr/>
      </vt:variant>
      <vt:variant>
        <vt:i4>5177423</vt:i4>
      </vt:variant>
      <vt:variant>
        <vt:i4>2991</vt:i4>
      </vt:variant>
      <vt:variant>
        <vt:i4>0</vt:i4>
      </vt:variant>
      <vt:variant>
        <vt:i4>5</vt:i4>
      </vt:variant>
      <vt:variant>
        <vt:lpwstr>http://www.optus.com.au/dafiles/OCA/AboutOptus/LegalAndRegulatory/SharedStaticFiles/SharedDocuments/AppW.doc</vt:lpwstr>
      </vt:variant>
      <vt:variant>
        <vt:lpwstr/>
      </vt:variant>
      <vt:variant>
        <vt:i4>5177423</vt:i4>
      </vt:variant>
      <vt:variant>
        <vt:i4>2988</vt:i4>
      </vt:variant>
      <vt:variant>
        <vt:i4>0</vt:i4>
      </vt:variant>
      <vt:variant>
        <vt:i4>5</vt:i4>
      </vt:variant>
      <vt:variant>
        <vt:lpwstr>http://www.optus.com.au/dafiles/OCA/AboutOptus/LegalAndRegulatory/SharedStaticFiles/SharedDocuments/AppW.doc</vt:lpwstr>
      </vt:variant>
      <vt:variant>
        <vt:lpwstr/>
      </vt:variant>
      <vt:variant>
        <vt:i4>2293803</vt:i4>
      </vt:variant>
      <vt:variant>
        <vt:i4>2985</vt:i4>
      </vt:variant>
      <vt:variant>
        <vt:i4>0</vt:i4>
      </vt:variant>
      <vt:variant>
        <vt:i4>5</vt:i4>
      </vt:variant>
      <vt:variant>
        <vt:lpwstr>http://www.optus.com.au/content/dam/optus/appendix/Appendix Y/AppY.doc</vt:lpwstr>
      </vt:variant>
      <vt:variant>
        <vt:lpwstr/>
      </vt:variant>
      <vt:variant>
        <vt:i4>7929957</vt:i4>
      </vt:variant>
      <vt:variant>
        <vt:i4>2982</vt:i4>
      </vt:variant>
      <vt:variant>
        <vt:i4>0</vt:i4>
      </vt:variant>
      <vt:variant>
        <vt:i4>5</vt:i4>
      </vt:variant>
      <vt:variant>
        <vt:lpwstr>http://www.optus.com.au/content/dam/optus/documents/about-us/legal/DigPricingS1.doc</vt:lpwstr>
      </vt:variant>
      <vt:variant>
        <vt:lpwstr/>
      </vt:variant>
      <vt:variant>
        <vt:i4>6815794</vt:i4>
      </vt:variant>
      <vt:variant>
        <vt:i4>2979</vt:i4>
      </vt:variant>
      <vt:variant>
        <vt:i4>0</vt:i4>
      </vt:variant>
      <vt:variant>
        <vt:i4>5</vt:i4>
      </vt:variant>
      <vt:variant>
        <vt:lpwstr>http://www.optus.com.au/content/dam/optus/documents/about-us/legal/SMETerms.doc</vt:lpwstr>
      </vt:variant>
      <vt:variant>
        <vt:lpwstr/>
      </vt:variant>
      <vt:variant>
        <vt:i4>6815794</vt:i4>
      </vt:variant>
      <vt:variant>
        <vt:i4>2976</vt:i4>
      </vt:variant>
      <vt:variant>
        <vt:i4>0</vt:i4>
      </vt:variant>
      <vt:variant>
        <vt:i4>5</vt:i4>
      </vt:variant>
      <vt:variant>
        <vt:lpwstr>http://www.optus.com.au/content/dam/optus/documents/about-us/legal/SMETerms.doc</vt:lpwstr>
      </vt:variant>
      <vt:variant>
        <vt:lpwstr/>
      </vt:variant>
      <vt:variant>
        <vt:i4>2687009</vt:i4>
      </vt:variant>
      <vt:variant>
        <vt:i4>2967</vt:i4>
      </vt:variant>
      <vt:variant>
        <vt:i4>0</vt:i4>
      </vt:variant>
      <vt:variant>
        <vt:i4>5</vt:i4>
      </vt:variant>
      <vt:variant>
        <vt:lpwstr>http://www.optus.com.au/content/dam/optus/appendix/Appendix S/AppS.doc</vt:lpwstr>
      </vt:variant>
      <vt:variant>
        <vt:lpwstr/>
      </vt:variant>
      <vt:variant>
        <vt:i4>2293803</vt:i4>
      </vt:variant>
      <vt:variant>
        <vt:i4>2961</vt:i4>
      </vt:variant>
      <vt:variant>
        <vt:i4>0</vt:i4>
      </vt:variant>
      <vt:variant>
        <vt:i4>5</vt:i4>
      </vt:variant>
      <vt:variant>
        <vt:lpwstr>http://www.optus.com.au/content/dam/optus/appendix/Appendix Y/AppY.doc</vt:lpwstr>
      </vt:variant>
      <vt:variant>
        <vt:lpwstr/>
      </vt:variant>
      <vt:variant>
        <vt:i4>3145784</vt:i4>
      </vt:variant>
      <vt:variant>
        <vt:i4>2958</vt:i4>
      </vt:variant>
      <vt:variant>
        <vt:i4>0</vt:i4>
      </vt:variant>
      <vt:variant>
        <vt:i4>5</vt:i4>
      </vt:variant>
      <vt:variant>
        <vt:lpwstr>http://www.optus.com.au/content/dam/optus/appendix/Appendix J/AppJ.doc</vt:lpwstr>
      </vt:variant>
      <vt:variant>
        <vt:lpwstr/>
      </vt:variant>
      <vt:variant>
        <vt:i4>5177423</vt:i4>
      </vt:variant>
      <vt:variant>
        <vt:i4>2955</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2952</vt:i4>
      </vt:variant>
      <vt:variant>
        <vt:i4>0</vt:i4>
      </vt:variant>
      <vt:variant>
        <vt:i4>5</vt:i4>
      </vt:variant>
      <vt:variant>
        <vt:lpwstr>http://www.optus.com.au/content/dam/optus/appendix/Appendix S/AppS.doc</vt:lpwstr>
      </vt:variant>
      <vt:variant>
        <vt:lpwstr/>
      </vt:variant>
      <vt:variant>
        <vt:i4>3145784</vt:i4>
      </vt:variant>
      <vt:variant>
        <vt:i4>2946</vt:i4>
      </vt:variant>
      <vt:variant>
        <vt:i4>0</vt:i4>
      </vt:variant>
      <vt:variant>
        <vt:i4>5</vt:i4>
      </vt:variant>
      <vt:variant>
        <vt:lpwstr>http://www.optus.com.au/content/dam/optus/appendix/Appendix J/AppJ.doc</vt:lpwstr>
      </vt:variant>
      <vt:variant>
        <vt:lpwstr/>
      </vt:variant>
      <vt:variant>
        <vt:i4>2687009</vt:i4>
      </vt:variant>
      <vt:variant>
        <vt:i4>2943</vt:i4>
      </vt:variant>
      <vt:variant>
        <vt:i4>0</vt:i4>
      </vt:variant>
      <vt:variant>
        <vt:i4>5</vt:i4>
      </vt:variant>
      <vt:variant>
        <vt:lpwstr>http://www.optus.com.au/content/dam/optus/appendix/Appendix S/AppS.doc</vt:lpwstr>
      </vt:variant>
      <vt:variant>
        <vt:lpwstr/>
      </vt:variant>
      <vt:variant>
        <vt:i4>5177423</vt:i4>
      </vt:variant>
      <vt:variant>
        <vt:i4>2940</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2937</vt:i4>
      </vt:variant>
      <vt:variant>
        <vt:i4>0</vt:i4>
      </vt:variant>
      <vt:variant>
        <vt:i4>5</vt:i4>
      </vt:variant>
      <vt:variant>
        <vt:lpwstr>http://www.optus.com.au/content/dam/optus/appendix/Appendix S/AppS.doc</vt:lpwstr>
      </vt:variant>
      <vt:variant>
        <vt:lpwstr/>
      </vt:variant>
      <vt:variant>
        <vt:i4>5177423</vt:i4>
      </vt:variant>
      <vt:variant>
        <vt:i4>2934</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2931</vt:i4>
      </vt:variant>
      <vt:variant>
        <vt:i4>0</vt:i4>
      </vt:variant>
      <vt:variant>
        <vt:i4>5</vt:i4>
      </vt:variant>
      <vt:variant>
        <vt:lpwstr>http://www.optus.com.au/content/dam/optus/appendix/Appendix S/AppS.doc</vt:lpwstr>
      </vt:variant>
      <vt:variant>
        <vt:lpwstr/>
      </vt:variant>
      <vt:variant>
        <vt:i4>2687009</vt:i4>
      </vt:variant>
      <vt:variant>
        <vt:i4>2928</vt:i4>
      </vt:variant>
      <vt:variant>
        <vt:i4>0</vt:i4>
      </vt:variant>
      <vt:variant>
        <vt:i4>5</vt:i4>
      </vt:variant>
      <vt:variant>
        <vt:lpwstr>http://www.optus.com.au/content/dam/optus/appendix/Appendix S/AppS.doc</vt:lpwstr>
      </vt:variant>
      <vt:variant>
        <vt:lpwstr/>
      </vt:variant>
      <vt:variant>
        <vt:i4>5177423</vt:i4>
      </vt:variant>
      <vt:variant>
        <vt:i4>2925</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2922</vt:i4>
      </vt:variant>
      <vt:variant>
        <vt:i4>0</vt:i4>
      </vt:variant>
      <vt:variant>
        <vt:i4>5</vt:i4>
      </vt:variant>
      <vt:variant>
        <vt:lpwstr>http://www.optus.com.au/content/dam/optus/appendix/Appendix S/AppS.doc</vt:lpwstr>
      </vt:variant>
      <vt:variant>
        <vt:lpwstr/>
      </vt:variant>
      <vt:variant>
        <vt:i4>2293803</vt:i4>
      </vt:variant>
      <vt:variant>
        <vt:i4>2919</vt:i4>
      </vt:variant>
      <vt:variant>
        <vt:i4>0</vt:i4>
      </vt:variant>
      <vt:variant>
        <vt:i4>5</vt:i4>
      </vt:variant>
      <vt:variant>
        <vt:lpwstr>http://www.optus.com.au/content/dam/optus/appendix/Appendix Y/AppY.doc</vt:lpwstr>
      </vt:variant>
      <vt:variant>
        <vt:lpwstr/>
      </vt:variant>
      <vt:variant>
        <vt:i4>7929957</vt:i4>
      </vt:variant>
      <vt:variant>
        <vt:i4>2916</vt:i4>
      </vt:variant>
      <vt:variant>
        <vt:i4>0</vt:i4>
      </vt:variant>
      <vt:variant>
        <vt:i4>5</vt:i4>
      </vt:variant>
      <vt:variant>
        <vt:lpwstr>http://www.optus.com.au/content/dam/optus/documents/about-us/legal/DigPricingS1.doc</vt:lpwstr>
      </vt:variant>
      <vt:variant>
        <vt:lpwstr/>
      </vt:variant>
      <vt:variant>
        <vt:i4>6815794</vt:i4>
      </vt:variant>
      <vt:variant>
        <vt:i4>2913</vt:i4>
      </vt:variant>
      <vt:variant>
        <vt:i4>0</vt:i4>
      </vt:variant>
      <vt:variant>
        <vt:i4>5</vt:i4>
      </vt:variant>
      <vt:variant>
        <vt:lpwstr>http://www.optus.com.au/content/dam/optus/documents/about-us/legal/SMETerms.doc</vt:lpwstr>
      </vt:variant>
      <vt:variant>
        <vt:lpwstr/>
      </vt:variant>
      <vt:variant>
        <vt:i4>6815794</vt:i4>
      </vt:variant>
      <vt:variant>
        <vt:i4>2910</vt:i4>
      </vt:variant>
      <vt:variant>
        <vt:i4>0</vt:i4>
      </vt:variant>
      <vt:variant>
        <vt:i4>5</vt:i4>
      </vt:variant>
      <vt:variant>
        <vt:lpwstr>http://www.optus.com.au/content/dam/optus/documents/about-us/legal/SMETerms.doc</vt:lpwstr>
      </vt:variant>
      <vt:variant>
        <vt:lpwstr/>
      </vt:variant>
      <vt:variant>
        <vt:i4>2687009</vt:i4>
      </vt:variant>
      <vt:variant>
        <vt:i4>2907</vt:i4>
      </vt:variant>
      <vt:variant>
        <vt:i4>0</vt:i4>
      </vt:variant>
      <vt:variant>
        <vt:i4>5</vt:i4>
      </vt:variant>
      <vt:variant>
        <vt:lpwstr>http://www.optus.com.au/content/dam/optus/appendix/Appendix S/AppS.doc</vt:lpwstr>
      </vt:variant>
      <vt:variant>
        <vt:lpwstr/>
      </vt:variant>
      <vt:variant>
        <vt:i4>5177423</vt:i4>
      </vt:variant>
      <vt:variant>
        <vt:i4>2904</vt:i4>
      </vt:variant>
      <vt:variant>
        <vt:i4>0</vt:i4>
      </vt:variant>
      <vt:variant>
        <vt:i4>5</vt:i4>
      </vt:variant>
      <vt:variant>
        <vt:lpwstr>http://www.optus.com.au/dafiles/OCA/AboutOptus/LegalAndRegulatory/SharedStaticFiles/SharedDocuments/AppW.doc</vt:lpwstr>
      </vt:variant>
      <vt:variant>
        <vt:lpwstr/>
      </vt:variant>
      <vt:variant>
        <vt:i4>2293803</vt:i4>
      </vt:variant>
      <vt:variant>
        <vt:i4>2901</vt:i4>
      </vt:variant>
      <vt:variant>
        <vt:i4>0</vt:i4>
      </vt:variant>
      <vt:variant>
        <vt:i4>5</vt:i4>
      </vt:variant>
      <vt:variant>
        <vt:lpwstr>http://www.optus.com.au/content/dam/optus/appendix/Appendix Y/AppY.doc</vt:lpwstr>
      </vt:variant>
      <vt:variant>
        <vt:lpwstr/>
      </vt:variant>
      <vt:variant>
        <vt:i4>5177423</vt:i4>
      </vt:variant>
      <vt:variant>
        <vt:i4>2895</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2892</vt:i4>
      </vt:variant>
      <vt:variant>
        <vt:i4>0</vt:i4>
      </vt:variant>
      <vt:variant>
        <vt:i4>5</vt:i4>
      </vt:variant>
      <vt:variant>
        <vt:lpwstr>http://www.optus.com.au/content/dam/optus/appendix/Appendix S/AppS.doc</vt:lpwstr>
      </vt:variant>
      <vt:variant>
        <vt:lpwstr/>
      </vt:variant>
      <vt:variant>
        <vt:i4>2687009</vt:i4>
      </vt:variant>
      <vt:variant>
        <vt:i4>2889</vt:i4>
      </vt:variant>
      <vt:variant>
        <vt:i4>0</vt:i4>
      </vt:variant>
      <vt:variant>
        <vt:i4>5</vt:i4>
      </vt:variant>
      <vt:variant>
        <vt:lpwstr>http://www.optus.com.au/content/dam/optus/appendix/Appendix S/AppS.doc</vt:lpwstr>
      </vt:variant>
      <vt:variant>
        <vt:lpwstr/>
      </vt:variant>
      <vt:variant>
        <vt:i4>5177423</vt:i4>
      </vt:variant>
      <vt:variant>
        <vt:i4>2886</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2883</vt:i4>
      </vt:variant>
      <vt:variant>
        <vt:i4>0</vt:i4>
      </vt:variant>
      <vt:variant>
        <vt:i4>5</vt:i4>
      </vt:variant>
      <vt:variant>
        <vt:lpwstr>http://www.optus.com.au/content/dam/optus/appendix/Appendix S/AppS.doc</vt:lpwstr>
      </vt:variant>
      <vt:variant>
        <vt:lpwstr/>
      </vt:variant>
      <vt:variant>
        <vt:i4>5177423</vt:i4>
      </vt:variant>
      <vt:variant>
        <vt:i4>2880</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2877</vt:i4>
      </vt:variant>
      <vt:variant>
        <vt:i4>0</vt:i4>
      </vt:variant>
      <vt:variant>
        <vt:i4>5</vt:i4>
      </vt:variant>
      <vt:variant>
        <vt:lpwstr>http://www.optus.com.au/content/dam/optus/appendix/Appendix S/AppS.doc</vt:lpwstr>
      </vt:variant>
      <vt:variant>
        <vt:lpwstr/>
      </vt:variant>
      <vt:variant>
        <vt:i4>5177423</vt:i4>
      </vt:variant>
      <vt:variant>
        <vt:i4>2874</vt:i4>
      </vt:variant>
      <vt:variant>
        <vt:i4>0</vt:i4>
      </vt:variant>
      <vt:variant>
        <vt:i4>5</vt:i4>
      </vt:variant>
      <vt:variant>
        <vt:lpwstr>http://www.optus.com.au/dafiles/OCA/AboutOptus/LegalAndRegulatory/SharedStaticFiles/SharedDocuments/AppW.doc</vt:lpwstr>
      </vt:variant>
      <vt:variant>
        <vt:lpwstr/>
      </vt:variant>
      <vt:variant>
        <vt:i4>5177423</vt:i4>
      </vt:variant>
      <vt:variant>
        <vt:i4>2871</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2868</vt:i4>
      </vt:variant>
      <vt:variant>
        <vt:i4>0</vt:i4>
      </vt:variant>
      <vt:variant>
        <vt:i4>5</vt:i4>
      </vt:variant>
      <vt:variant>
        <vt:lpwstr>http://www.optus.com.au/content/dam/optus/appendix/Appendix S/AppS.doc</vt:lpwstr>
      </vt:variant>
      <vt:variant>
        <vt:lpwstr/>
      </vt:variant>
      <vt:variant>
        <vt:i4>2293803</vt:i4>
      </vt:variant>
      <vt:variant>
        <vt:i4>2865</vt:i4>
      </vt:variant>
      <vt:variant>
        <vt:i4>0</vt:i4>
      </vt:variant>
      <vt:variant>
        <vt:i4>5</vt:i4>
      </vt:variant>
      <vt:variant>
        <vt:lpwstr>http://www.optus.com.au/content/dam/optus/appendix/Appendix Y/AppY.doc</vt:lpwstr>
      </vt:variant>
      <vt:variant>
        <vt:lpwstr/>
      </vt:variant>
      <vt:variant>
        <vt:i4>7929957</vt:i4>
      </vt:variant>
      <vt:variant>
        <vt:i4>2862</vt:i4>
      </vt:variant>
      <vt:variant>
        <vt:i4>0</vt:i4>
      </vt:variant>
      <vt:variant>
        <vt:i4>5</vt:i4>
      </vt:variant>
      <vt:variant>
        <vt:lpwstr>http://www.optus.com.au/content/dam/optus/documents/about-us/legal/DigPricingS1.doc</vt:lpwstr>
      </vt:variant>
      <vt:variant>
        <vt:lpwstr/>
      </vt:variant>
      <vt:variant>
        <vt:i4>6815794</vt:i4>
      </vt:variant>
      <vt:variant>
        <vt:i4>2856</vt:i4>
      </vt:variant>
      <vt:variant>
        <vt:i4>0</vt:i4>
      </vt:variant>
      <vt:variant>
        <vt:i4>5</vt:i4>
      </vt:variant>
      <vt:variant>
        <vt:lpwstr>http://www.optus.com.au/content/dam/optus/documents/about-us/legal/SMETerms.doc</vt:lpwstr>
      </vt:variant>
      <vt:variant>
        <vt:lpwstr/>
      </vt:variant>
      <vt:variant>
        <vt:i4>6815794</vt:i4>
      </vt:variant>
      <vt:variant>
        <vt:i4>2853</vt:i4>
      </vt:variant>
      <vt:variant>
        <vt:i4>0</vt:i4>
      </vt:variant>
      <vt:variant>
        <vt:i4>5</vt:i4>
      </vt:variant>
      <vt:variant>
        <vt:lpwstr>http://www.optus.com.au/content/dam/optus/documents/about-us/legal/SMETerms.doc</vt:lpwstr>
      </vt:variant>
      <vt:variant>
        <vt:lpwstr/>
      </vt:variant>
      <vt:variant>
        <vt:i4>2687009</vt:i4>
      </vt:variant>
      <vt:variant>
        <vt:i4>2835</vt:i4>
      </vt:variant>
      <vt:variant>
        <vt:i4>0</vt:i4>
      </vt:variant>
      <vt:variant>
        <vt:i4>5</vt:i4>
      </vt:variant>
      <vt:variant>
        <vt:lpwstr>http://www.optus.com.au/content/dam/optus/appendix/Appendix S/AppS.doc</vt:lpwstr>
      </vt:variant>
      <vt:variant>
        <vt:lpwstr/>
      </vt:variant>
      <vt:variant>
        <vt:i4>2293803</vt:i4>
      </vt:variant>
      <vt:variant>
        <vt:i4>2829</vt:i4>
      </vt:variant>
      <vt:variant>
        <vt:i4>0</vt:i4>
      </vt:variant>
      <vt:variant>
        <vt:i4>5</vt:i4>
      </vt:variant>
      <vt:variant>
        <vt:lpwstr>http://www.optus.com.au/content/dam/optus/appendix/Appendix Y/AppY.doc</vt:lpwstr>
      </vt:variant>
      <vt:variant>
        <vt:lpwstr/>
      </vt:variant>
      <vt:variant>
        <vt:i4>3145784</vt:i4>
      </vt:variant>
      <vt:variant>
        <vt:i4>2826</vt:i4>
      </vt:variant>
      <vt:variant>
        <vt:i4>0</vt:i4>
      </vt:variant>
      <vt:variant>
        <vt:i4>5</vt:i4>
      </vt:variant>
      <vt:variant>
        <vt:lpwstr>http://www.optus.com.au/content/dam/optus/appendix/Appendix J/AppJ.doc</vt:lpwstr>
      </vt:variant>
      <vt:variant>
        <vt:lpwstr/>
      </vt:variant>
      <vt:variant>
        <vt:i4>5177423</vt:i4>
      </vt:variant>
      <vt:variant>
        <vt:i4>2823</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2820</vt:i4>
      </vt:variant>
      <vt:variant>
        <vt:i4>0</vt:i4>
      </vt:variant>
      <vt:variant>
        <vt:i4>5</vt:i4>
      </vt:variant>
      <vt:variant>
        <vt:lpwstr>http://www.optus.com.au/content/dam/optus/appendix/Appendix S/AppS.doc</vt:lpwstr>
      </vt:variant>
      <vt:variant>
        <vt:lpwstr/>
      </vt:variant>
      <vt:variant>
        <vt:i4>3145784</vt:i4>
      </vt:variant>
      <vt:variant>
        <vt:i4>2817</vt:i4>
      </vt:variant>
      <vt:variant>
        <vt:i4>0</vt:i4>
      </vt:variant>
      <vt:variant>
        <vt:i4>5</vt:i4>
      </vt:variant>
      <vt:variant>
        <vt:lpwstr>http://www.optus.com.au/content/dam/optus/appendix/Appendix J/AppJ.doc</vt:lpwstr>
      </vt:variant>
      <vt:variant>
        <vt:lpwstr/>
      </vt:variant>
      <vt:variant>
        <vt:i4>5177423</vt:i4>
      </vt:variant>
      <vt:variant>
        <vt:i4>2814</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2811</vt:i4>
      </vt:variant>
      <vt:variant>
        <vt:i4>0</vt:i4>
      </vt:variant>
      <vt:variant>
        <vt:i4>5</vt:i4>
      </vt:variant>
      <vt:variant>
        <vt:lpwstr>http://www.optus.com.au/content/dam/optus/appendix/Appendix S/AppS.doc</vt:lpwstr>
      </vt:variant>
      <vt:variant>
        <vt:lpwstr/>
      </vt:variant>
      <vt:variant>
        <vt:i4>5177423</vt:i4>
      </vt:variant>
      <vt:variant>
        <vt:i4>2808</vt:i4>
      </vt:variant>
      <vt:variant>
        <vt:i4>0</vt:i4>
      </vt:variant>
      <vt:variant>
        <vt:i4>5</vt:i4>
      </vt:variant>
      <vt:variant>
        <vt:lpwstr>http://www.optus.com.au/dafiles/OCA/AboutOptus/LegalAndRegulatory/SharedStaticFiles/SharedDocuments/AppW.doc</vt:lpwstr>
      </vt:variant>
      <vt:variant>
        <vt:lpwstr/>
      </vt:variant>
      <vt:variant>
        <vt:i4>2293803</vt:i4>
      </vt:variant>
      <vt:variant>
        <vt:i4>2805</vt:i4>
      </vt:variant>
      <vt:variant>
        <vt:i4>0</vt:i4>
      </vt:variant>
      <vt:variant>
        <vt:i4>5</vt:i4>
      </vt:variant>
      <vt:variant>
        <vt:lpwstr>http://www.optus.com.au/content/dam/optus/appendix/Appendix Y/AppY.doc</vt:lpwstr>
      </vt:variant>
      <vt:variant>
        <vt:lpwstr/>
      </vt:variant>
      <vt:variant>
        <vt:i4>7929957</vt:i4>
      </vt:variant>
      <vt:variant>
        <vt:i4>2802</vt:i4>
      </vt:variant>
      <vt:variant>
        <vt:i4>0</vt:i4>
      </vt:variant>
      <vt:variant>
        <vt:i4>5</vt:i4>
      </vt:variant>
      <vt:variant>
        <vt:lpwstr>http://www.optus.com.au/content/dam/optus/documents/about-us/legal/DigPricingS1.doc</vt:lpwstr>
      </vt:variant>
      <vt:variant>
        <vt:lpwstr/>
      </vt:variant>
      <vt:variant>
        <vt:i4>6815794</vt:i4>
      </vt:variant>
      <vt:variant>
        <vt:i4>2799</vt:i4>
      </vt:variant>
      <vt:variant>
        <vt:i4>0</vt:i4>
      </vt:variant>
      <vt:variant>
        <vt:i4>5</vt:i4>
      </vt:variant>
      <vt:variant>
        <vt:lpwstr>http://www.optus.com.au/content/dam/optus/documents/about-us/legal/SMETerms.doc</vt:lpwstr>
      </vt:variant>
      <vt:variant>
        <vt:lpwstr/>
      </vt:variant>
      <vt:variant>
        <vt:i4>2687009</vt:i4>
      </vt:variant>
      <vt:variant>
        <vt:i4>2796</vt:i4>
      </vt:variant>
      <vt:variant>
        <vt:i4>0</vt:i4>
      </vt:variant>
      <vt:variant>
        <vt:i4>5</vt:i4>
      </vt:variant>
      <vt:variant>
        <vt:lpwstr>http://www.optus.com.au/content/dam/optus/appendix/Appendix S/AppS.doc</vt:lpwstr>
      </vt:variant>
      <vt:variant>
        <vt:lpwstr/>
      </vt:variant>
      <vt:variant>
        <vt:i4>2293803</vt:i4>
      </vt:variant>
      <vt:variant>
        <vt:i4>2793</vt:i4>
      </vt:variant>
      <vt:variant>
        <vt:i4>0</vt:i4>
      </vt:variant>
      <vt:variant>
        <vt:i4>5</vt:i4>
      </vt:variant>
      <vt:variant>
        <vt:lpwstr>http://www.optus.com.au/content/dam/optus/appendix/Appendix Y/AppY.doc</vt:lpwstr>
      </vt:variant>
      <vt:variant>
        <vt:lpwstr/>
      </vt:variant>
      <vt:variant>
        <vt:i4>5177423</vt:i4>
      </vt:variant>
      <vt:variant>
        <vt:i4>2790</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2787</vt:i4>
      </vt:variant>
      <vt:variant>
        <vt:i4>0</vt:i4>
      </vt:variant>
      <vt:variant>
        <vt:i4>5</vt:i4>
      </vt:variant>
      <vt:variant>
        <vt:lpwstr>http://www.optus.com.au/content/dam/optus/appendix/Appendix S/AppS.doc</vt:lpwstr>
      </vt:variant>
      <vt:variant>
        <vt:lpwstr/>
      </vt:variant>
      <vt:variant>
        <vt:i4>2687009</vt:i4>
      </vt:variant>
      <vt:variant>
        <vt:i4>2784</vt:i4>
      </vt:variant>
      <vt:variant>
        <vt:i4>0</vt:i4>
      </vt:variant>
      <vt:variant>
        <vt:i4>5</vt:i4>
      </vt:variant>
      <vt:variant>
        <vt:lpwstr>http://www.optus.com.au/content/dam/optus/appendix/Appendix S/AppS.doc</vt:lpwstr>
      </vt:variant>
      <vt:variant>
        <vt:lpwstr/>
      </vt:variant>
      <vt:variant>
        <vt:i4>5177423</vt:i4>
      </vt:variant>
      <vt:variant>
        <vt:i4>2781</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2778</vt:i4>
      </vt:variant>
      <vt:variant>
        <vt:i4>0</vt:i4>
      </vt:variant>
      <vt:variant>
        <vt:i4>5</vt:i4>
      </vt:variant>
      <vt:variant>
        <vt:lpwstr>http://www.optus.com.au/content/dam/optus/appendix/Appendix S/AppS.doc</vt:lpwstr>
      </vt:variant>
      <vt:variant>
        <vt:lpwstr/>
      </vt:variant>
      <vt:variant>
        <vt:i4>2687009</vt:i4>
      </vt:variant>
      <vt:variant>
        <vt:i4>2775</vt:i4>
      </vt:variant>
      <vt:variant>
        <vt:i4>0</vt:i4>
      </vt:variant>
      <vt:variant>
        <vt:i4>5</vt:i4>
      </vt:variant>
      <vt:variant>
        <vt:lpwstr>http://www.optus.com.au/content/dam/optus/appendix/Appendix S/AppS.doc</vt:lpwstr>
      </vt:variant>
      <vt:variant>
        <vt:lpwstr/>
      </vt:variant>
      <vt:variant>
        <vt:i4>5177423</vt:i4>
      </vt:variant>
      <vt:variant>
        <vt:i4>2772</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2769</vt:i4>
      </vt:variant>
      <vt:variant>
        <vt:i4>0</vt:i4>
      </vt:variant>
      <vt:variant>
        <vt:i4>5</vt:i4>
      </vt:variant>
      <vt:variant>
        <vt:lpwstr>http://www.optus.com.au/content/dam/optus/appendix/Appendix S/AppS.doc</vt:lpwstr>
      </vt:variant>
      <vt:variant>
        <vt:lpwstr/>
      </vt:variant>
      <vt:variant>
        <vt:i4>2293803</vt:i4>
      </vt:variant>
      <vt:variant>
        <vt:i4>2766</vt:i4>
      </vt:variant>
      <vt:variant>
        <vt:i4>0</vt:i4>
      </vt:variant>
      <vt:variant>
        <vt:i4>5</vt:i4>
      </vt:variant>
      <vt:variant>
        <vt:lpwstr>http://www.optus.com.au/content/dam/optus/appendix/Appendix Y/AppY.doc</vt:lpwstr>
      </vt:variant>
      <vt:variant>
        <vt:lpwstr/>
      </vt:variant>
      <vt:variant>
        <vt:i4>7929957</vt:i4>
      </vt:variant>
      <vt:variant>
        <vt:i4>2763</vt:i4>
      </vt:variant>
      <vt:variant>
        <vt:i4>0</vt:i4>
      </vt:variant>
      <vt:variant>
        <vt:i4>5</vt:i4>
      </vt:variant>
      <vt:variant>
        <vt:lpwstr>http://www.optus.com.au/content/dam/optus/documents/about-us/legal/DigPricingS1.doc</vt:lpwstr>
      </vt:variant>
      <vt:variant>
        <vt:lpwstr/>
      </vt:variant>
      <vt:variant>
        <vt:i4>6815794</vt:i4>
      </vt:variant>
      <vt:variant>
        <vt:i4>2760</vt:i4>
      </vt:variant>
      <vt:variant>
        <vt:i4>0</vt:i4>
      </vt:variant>
      <vt:variant>
        <vt:i4>5</vt:i4>
      </vt:variant>
      <vt:variant>
        <vt:lpwstr>http://www.optus.com.au/content/dam/optus/documents/about-us/legal/SMETerms.doc</vt:lpwstr>
      </vt:variant>
      <vt:variant>
        <vt:lpwstr/>
      </vt:variant>
      <vt:variant>
        <vt:i4>6815794</vt:i4>
      </vt:variant>
      <vt:variant>
        <vt:i4>2757</vt:i4>
      </vt:variant>
      <vt:variant>
        <vt:i4>0</vt:i4>
      </vt:variant>
      <vt:variant>
        <vt:i4>5</vt:i4>
      </vt:variant>
      <vt:variant>
        <vt:lpwstr>http://www.optus.com.au/content/dam/optus/documents/about-us/legal/SMETerms.doc</vt:lpwstr>
      </vt:variant>
      <vt:variant>
        <vt:lpwstr/>
      </vt:variant>
      <vt:variant>
        <vt:i4>2687009</vt:i4>
      </vt:variant>
      <vt:variant>
        <vt:i4>2736</vt:i4>
      </vt:variant>
      <vt:variant>
        <vt:i4>0</vt:i4>
      </vt:variant>
      <vt:variant>
        <vt:i4>5</vt:i4>
      </vt:variant>
      <vt:variant>
        <vt:lpwstr>http://www.optus.com.au/content/dam/optus/appendix/Appendix S/AppS.doc</vt:lpwstr>
      </vt:variant>
      <vt:variant>
        <vt:lpwstr/>
      </vt:variant>
      <vt:variant>
        <vt:i4>2293803</vt:i4>
      </vt:variant>
      <vt:variant>
        <vt:i4>2733</vt:i4>
      </vt:variant>
      <vt:variant>
        <vt:i4>0</vt:i4>
      </vt:variant>
      <vt:variant>
        <vt:i4>5</vt:i4>
      </vt:variant>
      <vt:variant>
        <vt:lpwstr>http://www.optus.com.au/content/dam/optus/appendix/Appendix Y/AppY.doc</vt:lpwstr>
      </vt:variant>
      <vt:variant>
        <vt:lpwstr/>
      </vt:variant>
      <vt:variant>
        <vt:i4>3145784</vt:i4>
      </vt:variant>
      <vt:variant>
        <vt:i4>2730</vt:i4>
      </vt:variant>
      <vt:variant>
        <vt:i4>0</vt:i4>
      </vt:variant>
      <vt:variant>
        <vt:i4>5</vt:i4>
      </vt:variant>
      <vt:variant>
        <vt:lpwstr>http://www.optus.com.au/content/dam/optus/appendix/Appendix J/AppJ.doc</vt:lpwstr>
      </vt:variant>
      <vt:variant>
        <vt:lpwstr/>
      </vt:variant>
      <vt:variant>
        <vt:i4>5177423</vt:i4>
      </vt:variant>
      <vt:variant>
        <vt:i4>2727</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2724</vt:i4>
      </vt:variant>
      <vt:variant>
        <vt:i4>0</vt:i4>
      </vt:variant>
      <vt:variant>
        <vt:i4>5</vt:i4>
      </vt:variant>
      <vt:variant>
        <vt:lpwstr>http://www.optus.com.au/content/dam/optus/appendix/Appendix S/AppS.doc</vt:lpwstr>
      </vt:variant>
      <vt:variant>
        <vt:lpwstr/>
      </vt:variant>
      <vt:variant>
        <vt:i4>2687009</vt:i4>
      </vt:variant>
      <vt:variant>
        <vt:i4>2721</vt:i4>
      </vt:variant>
      <vt:variant>
        <vt:i4>0</vt:i4>
      </vt:variant>
      <vt:variant>
        <vt:i4>5</vt:i4>
      </vt:variant>
      <vt:variant>
        <vt:lpwstr>http://www.optus.com.au/content/dam/optus/appendix/Appendix S/AppS.doc</vt:lpwstr>
      </vt:variant>
      <vt:variant>
        <vt:lpwstr/>
      </vt:variant>
      <vt:variant>
        <vt:i4>5177423</vt:i4>
      </vt:variant>
      <vt:variant>
        <vt:i4>2718</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2715</vt:i4>
      </vt:variant>
      <vt:variant>
        <vt:i4>0</vt:i4>
      </vt:variant>
      <vt:variant>
        <vt:i4>5</vt:i4>
      </vt:variant>
      <vt:variant>
        <vt:lpwstr>http://www.optus.com.au/content/dam/optus/appendix/Appendix S/AppS.doc</vt:lpwstr>
      </vt:variant>
      <vt:variant>
        <vt:lpwstr/>
      </vt:variant>
      <vt:variant>
        <vt:i4>2687009</vt:i4>
      </vt:variant>
      <vt:variant>
        <vt:i4>2712</vt:i4>
      </vt:variant>
      <vt:variant>
        <vt:i4>0</vt:i4>
      </vt:variant>
      <vt:variant>
        <vt:i4>5</vt:i4>
      </vt:variant>
      <vt:variant>
        <vt:lpwstr>http://www.optus.com.au/content/dam/optus/appendix/Appendix S/AppS.doc</vt:lpwstr>
      </vt:variant>
      <vt:variant>
        <vt:lpwstr/>
      </vt:variant>
      <vt:variant>
        <vt:i4>5177423</vt:i4>
      </vt:variant>
      <vt:variant>
        <vt:i4>2703</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2700</vt:i4>
      </vt:variant>
      <vt:variant>
        <vt:i4>0</vt:i4>
      </vt:variant>
      <vt:variant>
        <vt:i4>5</vt:i4>
      </vt:variant>
      <vt:variant>
        <vt:lpwstr>http://www.optus.com.au/content/dam/optus/appendix/Appendix S/AppS.doc</vt:lpwstr>
      </vt:variant>
      <vt:variant>
        <vt:lpwstr/>
      </vt:variant>
      <vt:variant>
        <vt:i4>2293803</vt:i4>
      </vt:variant>
      <vt:variant>
        <vt:i4>2697</vt:i4>
      </vt:variant>
      <vt:variant>
        <vt:i4>0</vt:i4>
      </vt:variant>
      <vt:variant>
        <vt:i4>5</vt:i4>
      </vt:variant>
      <vt:variant>
        <vt:lpwstr>http://www.optus.com.au/content/dam/optus/appendix/Appendix Y/AppY.doc</vt:lpwstr>
      </vt:variant>
      <vt:variant>
        <vt:lpwstr/>
      </vt:variant>
      <vt:variant>
        <vt:i4>7929957</vt:i4>
      </vt:variant>
      <vt:variant>
        <vt:i4>2694</vt:i4>
      </vt:variant>
      <vt:variant>
        <vt:i4>0</vt:i4>
      </vt:variant>
      <vt:variant>
        <vt:i4>5</vt:i4>
      </vt:variant>
      <vt:variant>
        <vt:lpwstr>http://www.optus.com.au/content/dam/optus/documents/about-us/legal/DigPricingS1.doc</vt:lpwstr>
      </vt:variant>
      <vt:variant>
        <vt:lpwstr/>
      </vt:variant>
      <vt:variant>
        <vt:i4>6815794</vt:i4>
      </vt:variant>
      <vt:variant>
        <vt:i4>2628</vt:i4>
      </vt:variant>
      <vt:variant>
        <vt:i4>0</vt:i4>
      </vt:variant>
      <vt:variant>
        <vt:i4>5</vt:i4>
      </vt:variant>
      <vt:variant>
        <vt:lpwstr>http://www.optus.com.au/content/dam/optus/documents/about-us/legal/SMETerms.doc</vt:lpwstr>
      </vt:variant>
      <vt:variant>
        <vt:lpwstr/>
      </vt:variant>
      <vt:variant>
        <vt:i4>6815794</vt:i4>
      </vt:variant>
      <vt:variant>
        <vt:i4>2625</vt:i4>
      </vt:variant>
      <vt:variant>
        <vt:i4>0</vt:i4>
      </vt:variant>
      <vt:variant>
        <vt:i4>5</vt:i4>
      </vt:variant>
      <vt:variant>
        <vt:lpwstr>http://www.optus.com.au/content/dam/optus/documents/about-us/legal/SMETerms.doc</vt:lpwstr>
      </vt:variant>
      <vt:variant>
        <vt:lpwstr/>
      </vt:variant>
      <vt:variant>
        <vt:i4>5242959</vt:i4>
      </vt:variant>
      <vt:variant>
        <vt:i4>2622</vt:i4>
      </vt:variant>
      <vt:variant>
        <vt:i4>0</vt:i4>
      </vt:variant>
      <vt:variant>
        <vt:i4>5</vt:i4>
      </vt:variant>
      <vt:variant>
        <vt:lpwstr>http://www.optus.com.au/dafiles/OCA/AboutOptus/LegalAndRegulatory/SharedStaticFiles/SharedDocuments/AppH.doc</vt:lpwstr>
      </vt:variant>
      <vt:variant>
        <vt:lpwstr/>
      </vt:variant>
      <vt:variant>
        <vt:i4>2687009</vt:i4>
      </vt:variant>
      <vt:variant>
        <vt:i4>2619</vt:i4>
      </vt:variant>
      <vt:variant>
        <vt:i4>0</vt:i4>
      </vt:variant>
      <vt:variant>
        <vt:i4>5</vt:i4>
      </vt:variant>
      <vt:variant>
        <vt:lpwstr>http://www.optus.com.au/content/dam/optus/appendix/Appendix S/AppS.doc</vt:lpwstr>
      </vt:variant>
      <vt:variant>
        <vt:lpwstr/>
      </vt:variant>
      <vt:variant>
        <vt:i4>2293803</vt:i4>
      </vt:variant>
      <vt:variant>
        <vt:i4>2616</vt:i4>
      </vt:variant>
      <vt:variant>
        <vt:i4>0</vt:i4>
      </vt:variant>
      <vt:variant>
        <vt:i4>5</vt:i4>
      </vt:variant>
      <vt:variant>
        <vt:lpwstr>http://www.optus.com.au/content/dam/optus/appendix/Appendix Y/AppY.doc</vt:lpwstr>
      </vt:variant>
      <vt:variant>
        <vt:lpwstr/>
      </vt:variant>
      <vt:variant>
        <vt:i4>5177423</vt:i4>
      </vt:variant>
      <vt:variant>
        <vt:i4>2613</vt:i4>
      </vt:variant>
      <vt:variant>
        <vt:i4>0</vt:i4>
      </vt:variant>
      <vt:variant>
        <vt:i4>5</vt:i4>
      </vt:variant>
      <vt:variant>
        <vt:lpwstr>http://www.optus.com.au/dafiles/OCA/AboutOptus/LegalAndRegulatory/SharedStaticFiles/SharedDocuments/AppW.doc</vt:lpwstr>
      </vt:variant>
      <vt:variant>
        <vt:lpwstr/>
      </vt:variant>
      <vt:variant>
        <vt:i4>7405621</vt:i4>
      </vt:variant>
      <vt:variant>
        <vt:i4>2610</vt:i4>
      </vt:variant>
      <vt:variant>
        <vt:i4>0</vt:i4>
      </vt:variant>
      <vt:variant>
        <vt:i4>5</vt:i4>
      </vt:variant>
      <vt:variant>
        <vt:lpwstr>mailto:http://www.optus.com.au/content/dam/optus/appendix/Appendix%20S/AppS.doc</vt:lpwstr>
      </vt:variant>
      <vt:variant>
        <vt:lpwstr/>
      </vt:variant>
      <vt:variant>
        <vt:i4>7405621</vt:i4>
      </vt:variant>
      <vt:variant>
        <vt:i4>2607</vt:i4>
      </vt:variant>
      <vt:variant>
        <vt:i4>0</vt:i4>
      </vt:variant>
      <vt:variant>
        <vt:i4>5</vt:i4>
      </vt:variant>
      <vt:variant>
        <vt:lpwstr>mailto:http://www.optus.com.au/content/dam/optus/appendix/Appendix%20S/AppS.doc</vt:lpwstr>
      </vt:variant>
      <vt:variant>
        <vt:lpwstr/>
      </vt:variant>
      <vt:variant>
        <vt:i4>5177423</vt:i4>
      </vt:variant>
      <vt:variant>
        <vt:i4>2604</vt:i4>
      </vt:variant>
      <vt:variant>
        <vt:i4>0</vt:i4>
      </vt:variant>
      <vt:variant>
        <vt:i4>5</vt:i4>
      </vt:variant>
      <vt:variant>
        <vt:lpwstr>http://www.optus.com.au/dafiles/OCA/AboutOptus/LegalAndRegulatory/SharedStaticFiles/SharedDocuments/AppW.doc</vt:lpwstr>
      </vt:variant>
      <vt:variant>
        <vt:lpwstr/>
      </vt:variant>
      <vt:variant>
        <vt:i4>7405621</vt:i4>
      </vt:variant>
      <vt:variant>
        <vt:i4>2601</vt:i4>
      </vt:variant>
      <vt:variant>
        <vt:i4>0</vt:i4>
      </vt:variant>
      <vt:variant>
        <vt:i4>5</vt:i4>
      </vt:variant>
      <vt:variant>
        <vt:lpwstr>mailto:http://www.optus.com.au/content/dam/optus/appendix/Appendix%20S/AppS.doc</vt:lpwstr>
      </vt:variant>
      <vt:variant>
        <vt:lpwstr/>
      </vt:variant>
      <vt:variant>
        <vt:i4>7405621</vt:i4>
      </vt:variant>
      <vt:variant>
        <vt:i4>2598</vt:i4>
      </vt:variant>
      <vt:variant>
        <vt:i4>0</vt:i4>
      </vt:variant>
      <vt:variant>
        <vt:i4>5</vt:i4>
      </vt:variant>
      <vt:variant>
        <vt:lpwstr>mailto:http://www.optus.com.au/content/dam/optus/appendix/Appendix%20S/AppS.doc</vt:lpwstr>
      </vt:variant>
      <vt:variant>
        <vt:lpwstr/>
      </vt:variant>
      <vt:variant>
        <vt:i4>5177423</vt:i4>
      </vt:variant>
      <vt:variant>
        <vt:i4>2595</vt:i4>
      </vt:variant>
      <vt:variant>
        <vt:i4>0</vt:i4>
      </vt:variant>
      <vt:variant>
        <vt:i4>5</vt:i4>
      </vt:variant>
      <vt:variant>
        <vt:lpwstr>http://www.optus.com.au/dafiles/OCA/AboutOptus/LegalAndRegulatory/SharedStaticFiles/SharedDocuments/AppW.doc</vt:lpwstr>
      </vt:variant>
      <vt:variant>
        <vt:lpwstr/>
      </vt:variant>
      <vt:variant>
        <vt:i4>5177423</vt:i4>
      </vt:variant>
      <vt:variant>
        <vt:i4>2592</vt:i4>
      </vt:variant>
      <vt:variant>
        <vt:i4>0</vt:i4>
      </vt:variant>
      <vt:variant>
        <vt:i4>5</vt:i4>
      </vt:variant>
      <vt:variant>
        <vt:lpwstr>http://www.optus.com.au/dafiles/OCA/AboutOptus/LegalAndRegulatory/SharedStaticFiles/SharedDocuments/AppW.doc</vt:lpwstr>
      </vt:variant>
      <vt:variant>
        <vt:lpwstr/>
      </vt:variant>
      <vt:variant>
        <vt:i4>5177423</vt:i4>
      </vt:variant>
      <vt:variant>
        <vt:i4>2583</vt:i4>
      </vt:variant>
      <vt:variant>
        <vt:i4>0</vt:i4>
      </vt:variant>
      <vt:variant>
        <vt:i4>5</vt:i4>
      </vt:variant>
      <vt:variant>
        <vt:lpwstr>http://www.optus.com.au/dafiles/OCA/AboutOptus/LegalAndRegulatory/SharedStaticFiles/SharedDocuments/AppW.doc</vt:lpwstr>
      </vt:variant>
      <vt:variant>
        <vt:lpwstr/>
      </vt:variant>
      <vt:variant>
        <vt:i4>7405621</vt:i4>
      </vt:variant>
      <vt:variant>
        <vt:i4>2580</vt:i4>
      </vt:variant>
      <vt:variant>
        <vt:i4>0</vt:i4>
      </vt:variant>
      <vt:variant>
        <vt:i4>5</vt:i4>
      </vt:variant>
      <vt:variant>
        <vt:lpwstr>mailto:http://www.optus.com.au/content/dam/optus/appendix/Appendix%20S/AppS.doc</vt:lpwstr>
      </vt:variant>
      <vt:variant>
        <vt:lpwstr/>
      </vt:variant>
      <vt:variant>
        <vt:i4>2293803</vt:i4>
      </vt:variant>
      <vt:variant>
        <vt:i4>2577</vt:i4>
      </vt:variant>
      <vt:variant>
        <vt:i4>0</vt:i4>
      </vt:variant>
      <vt:variant>
        <vt:i4>5</vt:i4>
      </vt:variant>
      <vt:variant>
        <vt:lpwstr>http://www.optus.com.au/content/dam/optus/appendix/Appendix Y/AppY.doc</vt:lpwstr>
      </vt:variant>
      <vt:variant>
        <vt:lpwstr/>
      </vt:variant>
      <vt:variant>
        <vt:i4>7929957</vt:i4>
      </vt:variant>
      <vt:variant>
        <vt:i4>2574</vt:i4>
      </vt:variant>
      <vt:variant>
        <vt:i4>0</vt:i4>
      </vt:variant>
      <vt:variant>
        <vt:i4>5</vt:i4>
      </vt:variant>
      <vt:variant>
        <vt:lpwstr>http://www.optus.com.au/content/dam/optus/documents/about-us/legal/DigPricingS1.doc</vt:lpwstr>
      </vt:variant>
      <vt:variant>
        <vt:lpwstr/>
      </vt:variant>
      <vt:variant>
        <vt:i4>6815794</vt:i4>
      </vt:variant>
      <vt:variant>
        <vt:i4>2547</vt:i4>
      </vt:variant>
      <vt:variant>
        <vt:i4>0</vt:i4>
      </vt:variant>
      <vt:variant>
        <vt:i4>5</vt:i4>
      </vt:variant>
      <vt:variant>
        <vt:lpwstr>http://www.optus.com.au/content/dam/optus/documents/about-us/legal/SMETerms.doc</vt:lpwstr>
      </vt:variant>
      <vt:variant>
        <vt:lpwstr/>
      </vt:variant>
      <vt:variant>
        <vt:i4>6815794</vt:i4>
      </vt:variant>
      <vt:variant>
        <vt:i4>2544</vt:i4>
      </vt:variant>
      <vt:variant>
        <vt:i4>0</vt:i4>
      </vt:variant>
      <vt:variant>
        <vt:i4>5</vt:i4>
      </vt:variant>
      <vt:variant>
        <vt:lpwstr>http://www.optus.com.au/content/dam/optus/documents/about-us/legal/SMETerms.doc</vt:lpwstr>
      </vt:variant>
      <vt:variant>
        <vt:lpwstr/>
      </vt:variant>
      <vt:variant>
        <vt:i4>5242959</vt:i4>
      </vt:variant>
      <vt:variant>
        <vt:i4>2541</vt:i4>
      </vt:variant>
      <vt:variant>
        <vt:i4>0</vt:i4>
      </vt:variant>
      <vt:variant>
        <vt:i4>5</vt:i4>
      </vt:variant>
      <vt:variant>
        <vt:lpwstr>http://www.optus.com.au/dafiles/OCA/AboutOptus/LegalAndRegulatory/SharedStaticFiles/SharedDocuments/AppH.doc</vt:lpwstr>
      </vt:variant>
      <vt:variant>
        <vt:lpwstr/>
      </vt:variant>
      <vt:variant>
        <vt:i4>2293803</vt:i4>
      </vt:variant>
      <vt:variant>
        <vt:i4>2532</vt:i4>
      </vt:variant>
      <vt:variant>
        <vt:i4>0</vt:i4>
      </vt:variant>
      <vt:variant>
        <vt:i4>5</vt:i4>
      </vt:variant>
      <vt:variant>
        <vt:lpwstr>http://www.optus.com.au/content/dam/optus/appendix/Appendix Y/AppY.doc</vt:lpwstr>
      </vt:variant>
      <vt:variant>
        <vt:lpwstr/>
      </vt:variant>
      <vt:variant>
        <vt:i4>2293803</vt:i4>
      </vt:variant>
      <vt:variant>
        <vt:i4>2529</vt:i4>
      </vt:variant>
      <vt:variant>
        <vt:i4>0</vt:i4>
      </vt:variant>
      <vt:variant>
        <vt:i4>5</vt:i4>
      </vt:variant>
      <vt:variant>
        <vt:lpwstr>http://www.optus.com.au/content/dam/optus/appendix/Appendix Y/AppY.doc</vt:lpwstr>
      </vt:variant>
      <vt:variant>
        <vt:lpwstr/>
      </vt:variant>
      <vt:variant>
        <vt:i4>2621540</vt:i4>
      </vt:variant>
      <vt:variant>
        <vt:i4>2526</vt:i4>
      </vt:variant>
      <vt:variant>
        <vt:i4>0</vt:i4>
      </vt:variant>
      <vt:variant>
        <vt:i4>5</vt:i4>
      </vt:variant>
      <vt:variant>
        <vt:lpwstr>http://www.optus.com.au/dafiles/OCA/AboutOptus/LegalAndRegulatory/SharedStaticFiles/SharedDocuments/WCPricing(Consumer&amp;SMB).doc</vt:lpwstr>
      </vt:variant>
      <vt:variant>
        <vt:lpwstr/>
      </vt:variant>
      <vt:variant>
        <vt:i4>2293803</vt:i4>
      </vt:variant>
      <vt:variant>
        <vt:i4>2523</vt:i4>
      </vt:variant>
      <vt:variant>
        <vt:i4>0</vt:i4>
      </vt:variant>
      <vt:variant>
        <vt:i4>5</vt:i4>
      </vt:variant>
      <vt:variant>
        <vt:lpwstr>http://www.optus.com.au/content/dam/optus/appendix/Appendix Y/AppY.doc</vt:lpwstr>
      </vt:variant>
      <vt:variant>
        <vt:lpwstr/>
      </vt:variant>
      <vt:variant>
        <vt:i4>3145784</vt:i4>
      </vt:variant>
      <vt:variant>
        <vt:i4>2520</vt:i4>
      </vt:variant>
      <vt:variant>
        <vt:i4>0</vt:i4>
      </vt:variant>
      <vt:variant>
        <vt:i4>5</vt:i4>
      </vt:variant>
      <vt:variant>
        <vt:lpwstr>http://www.optus.com.au/content/dam/optus/appendix/Appendix J/AppJ.doc</vt:lpwstr>
      </vt:variant>
      <vt:variant>
        <vt:lpwstr/>
      </vt:variant>
      <vt:variant>
        <vt:i4>3145784</vt:i4>
      </vt:variant>
      <vt:variant>
        <vt:i4>2517</vt:i4>
      </vt:variant>
      <vt:variant>
        <vt:i4>0</vt:i4>
      </vt:variant>
      <vt:variant>
        <vt:i4>5</vt:i4>
      </vt:variant>
      <vt:variant>
        <vt:lpwstr>http://www.optus.com.au/content/dam/optus/appendix/Appendix J/AppJ.doc</vt:lpwstr>
      </vt:variant>
      <vt:variant>
        <vt:lpwstr/>
      </vt:variant>
      <vt:variant>
        <vt:i4>5177423</vt:i4>
      </vt:variant>
      <vt:variant>
        <vt:i4>2514</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2511</vt:i4>
      </vt:variant>
      <vt:variant>
        <vt:i4>0</vt:i4>
      </vt:variant>
      <vt:variant>
        <vt:i4>5</vt:i4>
      </vt:variant>
      <vt:variant>
        <vt:lpwstr>http://www.optus.com.au/content/dam/optus/appendix/Appendix S/AppS.doc</vt:lpwstr>
      </vt:variant>
      <vt:variant>
        <vt:lpwstr/>
      </vt:variant>
      <vt:variant>
        <vt:i4>2687009</vt:i4>
      </vt:variant>
      <vt:variant>
        <vt:i4>2508</vt:i4>
      </vt:variant>
      <vt:variant>
        <vt:i4>0</vt:i4>
      </vt:variant>
      <vt:variant>
        <vt:i4>5</vt:i4>
      </vt:variant>
      <vt:variant>
        <vt:lpwstr>http://www.optus.com.au/content/dam/optus/appendix/Appendix S/AppS.doc</vt:lpwstr>
      </vt:variant>
      <vt:variant>
        <vt:lpwstr/>
      </vt:variant>
      <vt:variant>
        <vt:i4>2687009</vt:i4>
      </vt:variant>
      <vt:variant>
        <vt:i4>2505</vt:i4>
      </vt:variant>
      <vt:variant>
        <vt:i4>0</vt:i4>
      </vt:variant>
      <vt:variant>
        <vt:i4>5</vt:i4>
      </vt:variant>
      <vt:variant>
        <vt:lpwstr>http://www.optus.com.au/content/dam/optus/appendix/Appendix S/AppS.doc</vt:lpwstr>
      </vt:variant>
      <vt:variant>
        <vt:lpwstr/>
      </vt:variant>
      <vt:variant>
        <vt:i4>2687009</vt:i4>
      </vt:variant>
      <vt:variant>
        <vt:i4>2502</vt:i4>
      </vt:variant>
      <vt:variant>
        <vt:i4>0</vt:i4>
      </vt:variant>
      <vt:variant>
        <vt:i4>5</vt:i4>
      </vt:variant>
      <vt:variant>
        <vt:lpwstr>http://www.optus.com.au/content/dam/optus/appendix/Appendix S/AppS.doc</vt:lpwstr>
      </vt:variant>
      <vt:variant>
        <vt:lpwstr/>
      </vt:variant>
      <vt:variant>
        <vt:i4>5177423</vt:i4>
      </vt:variant>
      <vt:variant>
        <vt:i4>2499</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2496</vt:i4>
      </vt:variant>
      <vt:variant>
        <vt:i4>0</vt:i4>
      </vt:variant>
      <vt:variant>
        <vt:i4>5</vt:i4>
      </vt:variant>
      <vt:variant>
        <vt:lpwstr>http://www.optus.com.au/content/dam/optus/appendix/Appendix S/AppS.doc</vt:lpwstr>
      </vt:variant>
      <vt:variant>
        <vt:lpwstr/>
      </vt:variant>
      <vt:variant>
        <vt:i4>2687009</vt:i4>
      </vt:variant>
      <vt:variant>
        <vt:i4>2493</vt:i4>
      </vt:variant>
      <vt:variant>
        <vt:i4>0</vt:i4>
      </vt:variant>
      <vt:variant>
        <vt:i4>5</vt:i4>
      </vt:variant>
      <vt:variant>
        <vt:lpwstr>http://www.optus.com.au/content/dam/optus/appendix/Appendix S/AppS.doc</vt:lpwstr>
      </vt:variant>
      <vt:variant>
        <vt:lpwstr/>
      </vt:variant>
      <vt:variant>
        <vt:i4>5177423</vt:i4>
      </vt:variant>
      <vt:variant>
        <vt:i4>2490</vt:i4>
      </vt:variant>
      <vt:variant>
        <vt:i4>0</vt:i4>
      </vt:variant>
      <vt:variant>
        <vt:i4>5</vt:i4>
      </vt:variant>
      <vt:variant>
        <vt:lpwstr>http://www.optus.com.au/dafiles/OCA/AboutOptus/LegalAndRegulatory/SharedStaticFiles/SharedDocuments/AppW.doc</vt:lpwstr>
      </vt:variant>
      <vt:variant>
        <vt:lpwstr/>
      </vt:variant>
      <vt:variant>
        <vt:i4>5177423</vt:i4>
      </vt:variant>
      <vt:variant>
        <vt:i4>2487</vt:i4>
      </vt:variant>
      <vt:variant>
        <vt:i4>0</vt:i4>
      </vt:variant>
      <vt:variant>
        <vt:i4>5</vt:i4>
      </vt:variant>
      <vt:variant>
        <vt:lpwstr>http://www.optus.com.au/dafiles/OCA/AboutOptus/LegalAndRegulatory/SharedStaticFiles/SharedDocuments/AppW.doc</vt:lpwstr>
      </vt:variant>
      <vt:variant>
        <vt:lpwstr/>
      </vt:variant>
      <vt:variant>
        <vt:i4>2293803</vt:i4>
      </vt:variant>
      <vt:variant>
        <vt:i4>2478</vt:i4>
      </vt:variant>
      <vt:variant>
        <vt:i4>0</vt:i4>
      </vt:variant>
      <vt:variant>
        <vt:i4>5</vt:i4>
      </vt:variant>
      <vt:variant>
        <vt:lpwstr>http://www.optus.com.au/content/dam/optus/appendix/Appendix Y/AppY.doc</vt:lpwstr>
      </vt:variant>
      <vt:variant>
        <vt:lpwstr/>
      </vt:variant>
      <vt:variant>
        <vt:i4>7929957</vt:i4>
      </vt:variant>
      <vt:variant>
        <vt:i4>2475</vt:i4>
      </vt:variant>
      <vt:variant>
        <vt:i4>0</vt:i4>
      </vt:variant>
      <vt:variant>
        <vt:i4>5</vt:i4>
      </vt:variant>
      <vt:variant>
        <vt:lpwstr>http://www.optus.com.au/content/dam/optus/documents/about-us/legal/DigPricingS1.doc</vt:lpwstr>
      </vt:variant>
      <vt:variant>
        <vt:lpwstr/>
      </vt:variant>
      <vt:variant>
        <vt:i4>6815794</vt:i4>
      </vt:variant>
      <vt:variant>
        <vt:i4>2463</vt:i4>
      </vt:variant>
      <vt:variant>
        <vt:i4>0</vt:i4>
      </vt:variant>
      <vt:variant>
        <vt:i4>5</vt:i4>
      </vt:variant>
      <vt:variant>
        <vt:lpwstr>http://www.optus.com.au/content/dam/optus/documents/about-us/legal/SMETerms.doc</vt:lpwstr>
      </vt:variant>
      <vt:variant>
        <vt:lpwstr/>
      </vt:variant>
      <vt:variant>
        <vt:i4>6815794</vt:i4>
      </vt:variant>
      <vt:variant>
        <vt:i4>2460</vt:i4>
      </vt:variant>
      <vt:variant>
        <vt:i4>0</vt:i4>
      </vt:variant>
      <vt:variant>
        <vt:i4>5</vt:i4>
      </vt:variant>
      <vt:variant>
        <vt:lpwstr>http://www.optus.com.au/content/dam/optus/documents/about-us/legal/SMETerms.doc</vt:lpwstr>
      </vt:variant>
      <vt:variant>
        <vt:lpwstr/>
      </vt:variant>
      <vt:variant>
        <vt:i4>5242959</vt:i4>
      </vt:variant>
      <vt:variant>
        <vt:i4>2457</vt:i4>
      </vt:variant>
      <vt:variant>
        <vt:i4>0</vt:i4>
      </vt:variant>
      <vt:variant>
        <vt:i4>5</vt:i4>
      </vt:variant>
      <vt:variant>
        <vt:lpwstr>http://www.optus.com.au/dafiles/OCA/AboutOptus/LegalAndRegulatory/SharedStaticFiles/SharedDocuments/AppH.doc</vt:lpwstr>
      </vt:variant>
      <vt:variant>
        <vt:lpwstr/>
      </vt:variant>
      <vt:variant>
        <vt:i4>2687009</vt:i4>
      </vt:variant>
      <vt:variant>
        <vt:i4>2433</vt:i4>
      </vt:variant>
      <vt:variant>
        <vt:i4>0</vt:i4>
      </vt:variant>
      <vt:variant>
        <vt:i4>5</vt:i4>
      </vt:variant>
      <vt:variant>
        <vt:lpwstr>http://www.optus.com.au/content/dam/optus/appendix/Appendix S/AppS.doc</vt:lpwstr>
      </vt:variant>
      <vt:variant>
        <vt:lpwstr/>
      </vt:variant>
      <vt:variant>
        <vt:i4>2293803</vt:i4>
      </vt:variant>
      <vt:variant>
        <vt:i4>2427</vt:i4>
      </vt:variant>
      <vt:variant>
        <vt:i4>0</vt:i4>
      </vt:variant>
      <vt:variant>
        <vt:i4>5</vt:i4>
      </vt:variant>
      <vt:variant>
        <vt:lpwstr>http://www.optus.com.au/content/dam/optus/appendix/Appendix Y/AppY.doc</vt:lpwstr>
      </vt:variant>
      <vt:variant>
        <vt:lpwstr/>
      </vt:variant>
      <vt:variant>
        <vt:i4>3145784</vt:i4>
      </vt:variant>
      <vt:variant>
        <vt:i4>2424</vt:i4>
      </vt:variant>
      <vt:variant>
        <vt:i4>0</vt:i4>
      </vt:variant>
      <vt:variant>
        <vt:i4>5</vt:i4>
      </vt:variant>
      <vt:variant>
        <vt:lpwstr>http://www.optus.com.au/content/dam/optus/appendix/Appendix J/AppJ.doc</vt:lpwstr>
      </vt:variant>
      <vt:variant>
        <vt:lpwstr/>
      </vt:variant>
      <vt:variant>
        <vt:i4>5177423</vt:i4>
      </vt:variant>
      <vt:variant>
        <vt:i4>2421</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2418</vt:i4>
      </vt:variant>
      <vt:variant>
        <vt:i4>0</vt:i4>
      </vt:variant>
      <vt:variant>
        <vt:i4>5</vt:i4>
      </vt:variant>
      <vt:variant>
        <vt:lpwstr>http://www.optus.com.au/content/dam/optus/appendix/Appendix S/AppS.doc</vt:lpwstr>
      </vt:variant>
      <vt:variant>
        <vt:lpwstr/>
      </vt:variant>
      <vt:variant>
        <vt:i4>3145784</vt:i4>
      </vt:variant>
      <vt:variant>
        <vt:i4>2415</vt:i4>
      </vt:variant>
      <vt:variant>
        <vt:i4>0</vt:i4>
      </vt:variant>
      <vt:variant>
        <vt:i4>5</vt:i4>
      </vt:variant>
      <vt:variant>
        <vt:lpwstr>http://www.optus.com.au/content/dam/optus/appendix/Appendix J/AppJ.doc</vt:lpwstr>
      </vt:variant>
      <vt:variant>
        <vt:lpwstr/>
      </vt:variant>
      <vt:variant>
        <vt:i4>5177423</vt:i4>
      </vt:variant>
      <vt:variant>
        <vt:i4>2412</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2409</vt:i4>
      </vt:variant>
      <vt:variant>
        <vt:i4>0</vt:i4>
      </vt:variant>
      <vt:variant>
        <vt:i4>5</vt:i4>
      </vt:variant>
      <vt:variant>
        <vt:lpwstr>http://www.optus.com.au/content/dam/optus/appendix/Appendix S/AppS.doc</vt:lpwstr>
      </vt:variant>
      <vt:variant>
        <vt:lpwstr/>
      </vt:variant>
      <vt:variant>
        <vt:i4>5177423</vt:i4>
      </vt:variant>
      <vt:variant>
        <vt:i4>2406</vt:i4>
      </vt:variant>
      <vt:variant>
        <vt:i4>0</vt:i4>
      </vt:variant>
      <vt:variant>
        <vt:i4>5</vt:i4>
      </vt:variant>
      <vt:variant>
        <vt:lpwstr>http://www.optus.com.au/dafiles/OCA/AboutOptus/LegalAndRegulatory/SharedStaticFiles/SharedDocuments/AppW.doc</vt:lpwstr>
      </vt:variant>
      <vt:variant>
        <vt:lpwstr/>
      </vt:variant>
      <vt:variant>
        <vt:i4>2293803</vt:i4>
      </vt:variant>
      <vt:variant>
        <vt:i4>2397</vt:i4>
      </vt:variant>
      <vt:variant>
        <vt:i4>0</vt:i4>
      </vt:variant>
      <vt:variant>
        <vt:i4>5</vt:i4>
      </vt:variant>
      <vt:variant>
        <vt:lpwstr>http://www.optus.com.au/content/dam/optus/appendix/Appendix Y/AppY.doc</vt:lpwstr>
      </vt:variant>
      <vt:variant>
        <vt:lpwstr/>
      </vt:variant>
      <vt:variant>
        <vt:i4>7929957</vt:i4>
      </vt:variant>
      <vt:variant>
        <vt:i4>2394</vt:i4>
      </vt:variant>
      <vt:variant>
        <vt:i4>0</vt:i4>
      </vt:variant>
      <vt:variant>
        <vt:i4>5</vt:i4>
      </vt:variant>
      <vt:variant>
        <vt:lpwstr>http://www.optus.com.au/content/dam/optus/documents/about-us/legal/DigPricingS1.doc</vt:lpwstr>
      </vt:variant>
      <vt:variant>
        <vt:lpwstr/>
      </vt:variant>
      <vt:variant>
        <vt:i4>6815794</vt:i4>
      </vt:variant>
      <vt:variant>
        <vt:i4>2373</vt:i4>
      </vt:variant>
      <vt:variant>
        <vt:i4>0</vt:i4>
      </vt:variant>
      <vt:variant>
        <vt:i4>5</vt:i4>
      </vt:variant>
      <vt:variant>
        <vt:lpwstr>http://www.optus.com.au/content/dam/optus/documents/about-us/legal/SMETerms.doc</vt:lpwstr>
      </vt:variant>
      <vt:variant>
        <vt:lpwstr/>
      </vt:variant>
      <vt:variant>
        <vt:i4>6815794</vt:i4>
      </vt:variant>
      <vt:variant>
        <vt:i4>2370</vt:i4>
      </vt:variant>
      <vt:variant>
        <vt:i4>0</vt:i4>
      </vt:variant>
      <vt:variant>
        <vt:i4>5</vt:i4>
      </vt:variant>
      <vt:variant>
        <vt:lpwstr>http://www.optus.com.au/content/dam/optus/documents/about-us/legal/SMETerms.doc</vt:lpwstr>
      </vt:variant>
      <vt:variant>
        <vt:lpwstr/>
      </vt:variant>
      <vt:variant>
        <vt:i4>5242959</vt:i4>
      </vt:variant>
      <vt:variant>
        <vt:i4>2367</vt:i4>
      </vt:variant>
      <vt:variant>
        <vt:i4>0</vt:i4>
      </vt:variant>
      <vt:variant>
        <vt:i4>5</vt:i4>
      </vt:variant>
      <vt:variant>
        <vt:lpwstr>http://www.optus.com.au/dafiles/OCA/AboutOptus/LegalAndRegulatory/SharedStaticFiles/SharedDocuments/AppH.doc</vt:lpwstr>
      </vt:variant>
      <vt:variant>
        <vt:lpwstr/>
      </vt:variant>
      <vt:variant>
        <vt:i4>2687009</vt:i4>
      </vt:variant>
      <vt:variant>
        <vt:i4>2364</vt:i4>
      </vt:variant>
      <vt:variant>
        <vt:i4>0</vt:i4>
      </vt:variant>
      <vt:variant>
        <vt:i4>5</vt:i4>
      </vt:variant>
      <vt:variant>
        <vt:lpwstr>http://www.optus.com.au/content/dam/optus/appendix/Appendix S/AppS.doc</vt:lpwstr>
      </vt:variant>
      <vt:variant>
        <vt:lpwstr/>
      </vt:variant>
      <vt:variant>
        <vt:i4>2293803</vt:i4>
      </vt:variant>
      <vt:variant>
        <vt:i4>2361</vt:i4>
      </vt:variant>
      <vt:variant>
        <vt:i4>0</vt:i4>
      </vt:variant>
      <vt:variant>
        <vt:i4>5</vt:i4>
      </vt:variant>
      <vt:variant>
        <vt:lpwstr>http://www.optus.com.au/content/dam/optus/appendix/Appendix Y/AppY.doc</vt:lpwstr>
      </vt:variant>
      <vt:variant>
        <vt:lpwstr/>
      </vt:variant>
      <vt:variant>
        <vt:i4>5177423</vt:i4>
      </vt:variant>
      <vt:variant>
        <vt:i4>2358</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2355</vt:i4>
      </vt:variant>
      <vt:variant>
        <vt:i4>0</vt:i4>
      </vt:variant>
      <vt:variant>
        <vt:i4>5</vt:i4>
      </vt:variant>
      <vt:variant>
        <vt:lpwstr>http://www.optus.com.au/content/dam/optus/appendix/Appendix S/AppS.doc</vt:lpwstr>
      </vt:variant>
      <vt:variant>
        <vt:lpwstr/>
      </vt:variant>
      <vt:variant>
        <vt:i4>2687009</vt:i4>
      </vt:variant>
      <vt:variant>
        <vt:i4>2352</vt:i4>
      </vt:variant>
      <vt:variant>
        <vt:i4>0</vt:i4>
      </vt:variant>
      <vt:variant>
        <vt:i4>5</vt:i4>
      </vt:variant>
      <vt:variant>
        <vt:lpwstr>http://www.optus.com.au/content/dam/optus/appendix/Appendix S/AppS.doc</vt:lpwstr>
      </vt:variant>
      <vt:variant>
        <vt:lpwstr/>
      </vt:variant>
      <vt:variant>
        <vt:i4>5177423</vt:i4>
      </vt:variant>
      <vt:variant>
        <vt:i4>2349</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2346</vt:i4>
      </vt:variant>
      <vt:variant>
        <vt:i4>0</vt:i4>
      </vt:variant>
      <vt:variant>
        <vt:i4>5</vt:i4>
      </vt:variant>
      <vt:variant>
        <vt:lpwstr>http://www.optus.com.au/content/dam/optus/appendix/Appendix S/AppS.doc</vt:lpwstr>
      </vt:variant>
      <vt:variant>
        <vt:lpwstr/>
      </vt:variant>
      <vt:variant>
        <vt:i4>2687009</vt:i4>
      </vt:variant>
      <vt:variant>
        <vt:i4>2343</vt:i4>
      </vt:variant>
      <vt:variant>
        <vt:i4>0</vt:i4>
      </vt:variant>
      <vt:variant>
        <vt:i4>5</vt:i4>
      </vt:variant>
      <vt:variant>
        <vt:lpwstr>http://www.optus.com.au/content/dam/optus/appendix/Appendix S/AppS.doc</vt:lpwstr>
      </vt:variant>
      <vt:variant>
        <vt:lpwstr/>
      </vt:variant>
      <vt:variant>
        <vt:i4>5177423</vt:i4>
      </vt:variant>
      <vt:variant>
        <vt:i4>2340</vt:i4>
      </vt:variant>
      <vt:variant>
        <vt:i4>0</vt:i4>
      </vt:variant>
      <vt:variant>
        <vt:i4>5</vt:i4>
      </vt:variant>
      <vt:variant>
        <vt:lpwstr>http://www.optus.com.au/dafiles/OCA/AboutOptus/LegalAndRegulatory/SharedStaticFiles/SharedDocuments/AppW.doc</vt:lpwstr>
      </vt:variant>
      <vt:variant>
        <vt:lpwstr/>
      </vt:variant>
      <vt:variant>
        <vt:i4>5177423</vt:i4>
      </vt:variant>
      <vt:variant>
        <vt:i4>2337</vt:i4>
      </vt:variant>
      <vt:variant>
        <vt:i4>0</vt:i4>
      </vt:variant>
      <vt:variant>
        <vt:i4>5</vt:i4>
      </vt:variant>
      <vt:variant>
        <vt:lpwstr>http://www.optus.com.au/dafiles/OCA/AboutOptus/LegalAndRegulatory/SharedStaticFiles/SharedDocuments/AppW.doc</vt:lpwstr>
      </vt:variant>
      <vt:variant>
        <vt:lpwstr/>
      </vt:variant>
      <vt:variant>
        <vt:i4>5177423</vt:i4>
      </vt:variant>
      <vt:variant>
        <vt:i4>2328</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2325</vt:i4>
      </vt:variant>
      <vt:variant>
        <vt:i4>0</vt:i4>
      </vt:variant>
      <vt:variant>
        <vt:i4>5</vt:i4>
      </vt:variant>
      <vt:variant>
        <vt:lpwstr>http://www.optus.com.au/content/dam/optus/appendix/Appendix S/AppS.doc</vt:lpwstr>
      </vt:variant>
      <vt:variant>
        <vt:lpwstr/>
      </vt:variant>
      <vt:variant>
        <vt:i4>2293803</vt:i4>
      </vt:variant>
      <vt:variant>
        <vt:i4>2322</vt:i4>
      </vt:variant>
      <vt:variant>
        <vt:i4>0</vt:i4>
      </vt:variant>
      <vt:variant>
        <vt:i4>5</vt:i4>
      </vt:variant>
      <vt:variant>
        <vt:lpwstr>http://www.optus.com.au/content/dam/optus/appendix/Appendix Y/AppY.doc</vt:lpwstr>
      </vt:variant>
      <vt:variant>
        <vt:lpwstr/>
      </vt:variant>
      <vt:variant>
        <vt:i4>7929957</vt:i4>
      </vt:variant>
      <vt:variant>
        <vt:i4>2319</vt:i4>
      </vt:variant>
      <vt:variant>
        <vt:i4>0</vt:i4>
      </vt:variant>
      <vt:variant>
        <vt:i4>5</vt:i4>
      </vt:variant>
      <vt:variant>
        <vt:lpwstr>http://www.optus.com.au/content/dam/optus/documents/about-us/legal/DigPricingS1.doc</vt:lpwstr>
      </vt:variant>
      <vt:variant>
        <vt:lpwstr/>
      </vt:variant>
      <vt:variant>
        <vt:i4>6815794</vt:i4>
      </vt:variant>
      <vt:variant>
        <vt:i4>2289</vt:i4>
      </vt:variant>
      <vt:variant>
        <vt:i4>0</vt:i4>
      </vt:variant>
      <vt:variant>
        <vt:i4>5</vt:i4>
      </vt:variant>
      <vt:variant>
        <vt:lpwstr>http://www.optus.com.au/content/dam/optus/documents/about-us/legal/SMETerms.doc</vt:lpwstr>
      </vt:variant>
      <vt:variant>
        <vt:lpwstr/>
      </vt:variant>
      <vt:variant>
        <vt:i4>6815794</vt:i4>
      </vt:variant>
      <vt:variant>
        <vt:i4>2286</vt:i4>
      </vt:variant>
      <vt:variant>
        <vt:i4>0</vt:i4>
      </vt:variant>
      <vt:variant>
        <vt:i4>5</vt:i4>
      </vt:variant>
      <vt:variant>
        <vt:lpwstr>http://www.optus.com.au/content/dam/optus/documents/about-us/legal/SMETerms.doc</vt:lpwstr>
      </vt:variant>
      <vt:variant>
        <vt:lpwstr/>
      </vt:variant>
      <vt:variant>
        <vt:i4>5242959</vt:i4>
      </vt:variant>
      <vt:variant>
        <vt:i4>2283</vt:i4>
      </vt:variant>
      <vt:variant>
        <vt:i4>0</vt:i4>
      </vt:variant>
      <vt:variant>
        <vt:i4>5</vt:i4>
      </vt:variant>
      <vt:variant>
        <vt:lpwstr>http://www.optus.com.au/dafiles/OCA/AboutOptus/LegalAndRegulatory/SharedStaticFiles/SharedDocuments/AppH.doc</vt:lpwstr>
      </vt:variant>
      <vt:variant>
        <vt:lpwstr/>
      </vt:variant>
      <vt:variant>
        <vt:i4>2293803</vt:i4>
      </vt:variant>
      <vt:variant>
        <vt:i4>2280</vt:i4>
      </vt:variant>
      <vt:variant>
        <vt:i4>0</vt:i4>
      </vt:variant>
      <vt:variant>
        <vt:i4>5</vt:i4>
      </vt:variant>
      <vt:variant>
        <vt:lpwstr>http://www.optus.com.au/content/dam/optus/appendix/Appendix Y/AppY.doc</vt:lpwstr>
      </vt:variant>
      <vt:variant>
        <vt:lpwstr/>
      </vt:variant>
      <vt:variant>
        <vt:i4>2293803</vt:i4>
      </vt:variant>
      <vt:variant>
        <vt:i4>2277</vt:i4>
      </vt:variant>
      <vt:variant>
        <vt:i4>0</vt:i4>
      </vt:variant>
      <vt:variant>
        <vt:i4>5</vt:i4>
      </vt:variant>
      <vt:variant>
        <vt:lpwstr>http://www.optus.com.au/content/dam/optus/appendix/Appendix Y/AppY.doc</vt:lpwstr>
      </vt:variant>
      <vt:variant>
        <vt:lpwstr/>
      </vt:variant>
      <vt:variant>
        <vt:i4>2621540</vt:i4>
      </vt:variant>
      <vt:variant>
        <vt:i4>2274</vt:i4>
      </vt:variant>
      <vt:variant>
        <vt:i4>0</vt:i4>
      </vt:variant>
      <vt:variant>
        <vt:i4>5</vt:i4>
      </vt:variant>
      <vt:variant>
        <vt:lpwstr>http://www.optus.com.au/dafiles/OCA/AboutOptus/LegalAndRegulatory/SharedStaticFiles/SharedDocuments/WCPricing(Consumer&amp;SMB).doc</vt:lpwstr>
      </vt:variant>
      <vt:variant>
        <vt:lpwstr/>
      </vt:variant>
      <vt:variant>
        <vt:i4>2293803</vt:i4>
      </vt:variant>
      <vt:variant>
        <vt:i4>2271</vt:i4>
      </vt:variant>
      <vt:variant>
        <vt:i4>0</vt:i4>
      </vt:variant>
      <vt:variant>
        <vt:i4>5</vt:i4>
      </vt:variant>
      <vt:variant>
        <vt:lpwstr>http://www.optus.com.au/content/dam/optus/appendix/Appendix Y/AppY.doc</vt:lpwstr>
      </vt:variant>
      <vt:variant>
        <vt:lpwstr/>
      </vt:variant>
      <vt:variant>
        <vt:i4>3145784</vt:i4>
      </vt:variant>
      <vt:variant>
        <vt:i4>2268</vt:i4>
      </vt:variant>
      <vt:variant>
        <vt:i4>0</vt:i4>
      </vt:variant>
      <vt:variant>
        <vt:i4>5</vt:i4>
      </vt:variant>
      <vt:variant>
        <vt:lpwstr>http://www.optus.com.au/content/dam/optus/appendix/Appendix J/AppJ.doc</vt:lpwstr>
      </vt:variant>
      <vt:variant>
        <vt:lpwstr/>
      </vt:variant>
      <vt:variant>
        <vt:i4>2687009</vt:i4>
      </vt:variant>
      <vt:variant>
        <vt:i4>2265</vt:i4>
      </vt:variant>
      <vt:variant>
        <vt:i4>0</vt:i4>
      </vt:variant>
      <vt:variant>
        <vt:i4>5</vt:i4>
      </vt:variant>
      <vt:variant>
        <vt:lpwstr>http://www.optus.com.au/content/dam/optus/appendix/Appendix S/AppS.doc</vt:lpwstr>
      </vt:variant>
      <vt:variant>
        <vt:lpwstr/>
      </vt:variant>
      <vt:variant>
        <vt:i4>2687009</vt:i4>
      </vt:variant>
      <vt:variant>
        <vt:i4>2262</vt:i4>
      </vt:variant>
      <vt:variant>
        <vt:i4>0</vt:i4>
      </vt:variant>
      <vt:variant>
        <vt:i4>5</vt:i4>
      </vt:variant>
      <vt:variant>
        <vt:lpwstr>http://www.optus.com.au/content/dam/optus/appendix/Appendix S/AppS.doc</vt:lpwstr>
      </vt:variant>
      <vt:variant>
        <vt:lpwstr/>
      </vt:variant>
      <vt:variant>
        <vt:i4>2687009</vt:i4>
      </vt:variant>
      <vt:variant>
        <vt:i4>2259</vt:i4>
      </vt:variant>
      <vt:variant>
        <vt:i4>0</vt:i4>
      </vt:variant>
      <vt:variant>
        <vt:i4>5</vt:i4>
      </vt:variant>
      <vt:variant>
        <vt:lpwstr>http://www.optus.com.au/content/dam/optus/appendix/Appendix S/AppS.doc</vt:lpwstr>
      </vt:variant>
      <vt:variant>
        <vt:lpwstr/>
      </vt:variant>
      <vt:variant>
        <vt:i4>2293803</vt:i4>
      </vt:variant>
      <vt:variant>
        <vt:i4>2256</vt:i4>
      </vt:variant>
      <vt:variant>
        <vt:i4>0</vt:i4>
      </vt:variant>
      <vt:variant>
        <vt:i4>5</vt:i4>
      </vt:variant>
      <vt:variant>
        <vt:lpwstr>http://www.optus.com.au/content/dam/optus/appendix/Appendix Y/AppY.doc</vt:lpwstr>
      </vt:variant>
      <vt:variant>
        <vt:lpwstr/>
      </vt:variant>
      <vt:variant>
        <vt:i4>2687009</vt:i4>
      </vt:variant>
      <vt:variant>
        <vt:i4>2253</vt:i4>
      </vt:variant>
      <vt:variant>
        <vt:i4>0</vt:i4>
      </vt:variant>
      <vt:variant>
        <vt:i4>5</vt:i4>
      </vt:variant>
      <vt:variant>
        <vt:lpwstr>http://www.optus.com.au/content/dam/optus/appendix/Appendix S/AppS.doc</vt:lpwstr>
      </vt:variant>
      <vt:variant>
        <vt:lpwstr/>
      </vt:variant>
      <vt:variant>
        <vt:i4>5177423</vt:i4>
      </vt:variant>
      <vt:variant>
        <vt:i4>2250</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2247</vt:i4>
      </vt:variant>
      <vt:variant>
        <vt:i4>0</vt:i4>
      </vt:variant>
      <vt:variant>
        <vt:i4>5</vt:i4>
      </vt:variant>
      <vt:variant>
        <vt:lpwstr>http://www.optus.com.au/content/dam/optus/appendix/Appendix S/AppS.doc</vt:lpwstr>
      </vt:variant>
      <vt:variant>
        <vt:lpwstr/>
      </vt:variant>
      <vt:variant>
        <vt:i4>2687009</vt:i4>
      </vt:variant>
      <vt:variant>
        <vt:i4>2244</vt:i4>
      </vt:variant>
      <vt:variant>
        <vt:i4>0</vt:i4>
      </vt:variant>
      <vt:variant>
        <vt:i4>5</vt:i4>
      </vt:variant>
      <vt:variant>
        <vt:lpwstr>http://www.optus.com.au/content/dam/optus/appendix/Appendix S/AppS.doc</vt:lpwstr>
      </vt:variant>
      <vt:variant>
        <vt:lpwstr/>
      </vt:variant>
      <vt:variant>
        <vt:i4>5177423</vt:i4>
      </vt:variant>
      <vt:variant>
        <vt:i4>2241</vt:i4>
      </vt:variant>
      <vt:variant>
        <vt:i4>0</vt:i4>
      </vt:variant>
      <vt:variant>
        <vt:i4>5</vt:i4>
      </vt:variant>
      <vt:variant>
        <vt:lpwstr>http://www.optus.com.au/dafiles/OCA/AboutOptus/LegalAndRegulatory/SharedStaticFiles/SharedDocuments/AppW.doc</vt:lpwstr>
      </vt:variant>
      <vt:variant>
        <vt:lpwstr/>
      </vt:variant>
      <vt:variant>
        <vt:i4>5177423</vt:i4>
      </vt:variant>
      <vt:variant>
        <vt:i4>2238</vt:i4>
      </vt:variant>
      <vt:variant>
        <vt:i4>0</vt:i4>
      </vt:variant>
      <vt:variant>
        <vt:i4>5</vt:i4>
      </vt:variant>
      <vt:variant>
        <vt:lpwstr>http://www.optus.com.au/dafiles/OCA/AboutOptus/LegalAndRegulatory/SharedStaticFiles/SharedDocuments/AppW.doc</vt:lpwstr>
      </vt:variant>
      <vt:variant>
        <vt:lpwstr/>
      </vt:variant>
      <vt:variant>
        <vt:i4>5177423</vt:i4>
      </vt:variant>
      <vt:variant>
        <vt:i4>2229</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2226</vt:i4>
      </vt:variant>
      <vt:variant>
        <vt:i4>0</vt:i4>
      </vt:variant>
      <vt:variant>
        <vt:i4>5</vt:i4>
      </vt:variant>
      <vt:variant>
        <vt:lpwstr>http://www.optus.com.au/content/dam/optus/appendix/Appendix S/AppS.doc</vt:lpwstr>
      </vt:variant>
      <vt:variant>
        <vt:lpwstr/>
      </vt:variant>
      <vt:variant>
        <vt:i4>2293803</vt:i4>
      </vt:variant>
      <vt:variant>
        <vt:i4>2223</vt:i4>
      </vt:variant>
      <vt:variant>
        <vt:i4>0</vt:i4>
      </vt:variant>
      <vt:variant>
        <vt:i4>5</vt:i4>
      </vt:variant>
      <vt:variant>
        <vt:lpwstr>http://www.optus.com.au/content/dam/optus/appendix/Appendix Y/AppY.doc</vt:lpwstr>
      </vt:variant>
      <vt:variant>
        <vt:lpwstr/>
      </vt:variant>
      <vt:variant>
        <vt:i4>7929957</vt:i4>
      </vt:variant>
      <vt:variant>
        <vt:i4>2220</vt:i4>
      </vt:variant>
      <vt:variant>
        <vt:i4>0</vt:i4>
      </vt:variant>
      <vt:variant>
        <vt:i4>5</vt:i4>
      </vt:variant>
      <vt:variant>
        <vt:lpwstr>http://www.optus.com.au/content/dam/optus/documents/about-us/legal/DigPricingS1.doc</vt:lpwstr>
      </vt:variant>
      <vt:variant>
        <vt:lpwstr/>
      </vt:variant>
      <vt:variant>
        <vt:i4>2687009</vt:i4>
      </vt:variant>
      <vt:variant>
        <vt:i4>2187</vt:i4>
      </vt:variant>
      <vt:variant>
        <vt:i4>0</vt:i4>
      </vt:variant>
      <vt:variant>
        <vt:i4>5</vt:i4>
      </vt:variant>
      <vt:variant>
        <vt:lpwstr>http://www.optus.com.au/content/dam/optus/appendix/Appendix S/AppS.doc</vt:lpwstr>
      </vt:variant>
      <vt:variant>
        <vt:lpwstr/>
      </vt:variant>
      <vt:variant>
        <vt:i4>3145784</vt:i4>
      </vt:variant>
      <vt:variant>
        <vt:i4>2184</vt:i4>
      </vt:variant>
      <vt:variant>
        <vt:i4>0</vt:i4>
      </vt:variant>
      <vt:variant>
        <vt:i4>5</vt:i4>
      </vt:variant>
      <vt:variant>
        <vt:lpwstr>http://www.optus.com.au/content/dam/optus/appendix/Appendix J/AppJ.doc</vt:lpwstr>
      </vt:variant>
      <vt:variant>
        <vt:lpwstr/>
      </vt:variant>
      <vt:variant>
        <vt:i4>5177423</vt:i4>
      </vt:variant>
      <vt:variant>
        <vt:i4>2181</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2178</vt:i4>
      </vt:variant>
      <vt:variant>
        <vt:i4>0</vt:i4>
      </vt:variant>
      <vt:variant>
        <vt:i4>5</vt:i4>
      </vt:variant>
      <vt:variant>
        <vt:lpwstr>http://www.optus.com.au/content/dam/optus/appendix/Appendix S/AppS.doc</vt:lpwstr>
      </vt:variant>
      <vt:variant>
        <vt:lpwstr/>
      </vt:variant>
      <vt:variant>
        <vt:i4>3145784</vt:i4>
      </vt:variant>
      <vt:variant>
        <vt:i4>2175</vt:i4>
      </vt:variant>
      <vt:variant>
        <vt:i4>0</vt:i4>
      </vt:variant>
      <vt:variant>
        <vt:i4>5</vt:i4>
      </vt:variant>
      <vt:variant>
        <vt:lpwstr>http://www.optus.com.au/content/dam/optus/appendix/Appendix J/AppJ.doc</vt:lpwstr>
      </vt:variant>
      <vt:variant>
        <vt:lpwstr/>
      </vt:variant>
      <vt:variant>
        <vt:i4>5177423</vt:i4>
      </vt:variant>
      <vt:variant>
        <vt:i4>2172</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2169</vt:i4>
      </vt:variant>
      <vt:variant>
        <vt:i4>0</vt:i4>
      </vt:variant>
      <vt:variant>
        <vt:i4>5</vt:i4>
      </vt:variant>
      <vt:variant>
        <vt:lpwstr>http://www.optus.com.au/content/dam/optus/appendix/Appendix S/AppS.doc</vt:lpwstr>
      </vt:variant>
      <vt:variant>
        <vt:lpwstr/>
      </vt:variant>
      <vt:variant>
        <vt:i4>5177423</vt:i4>
      </vt:variant>
      <vt:variant>
        <vt:i4>2166</vt:i4>
      </vt:variant>
      <vt:variant>
        <vt:i4>0</vt:i4>
      </vt:variant>
      <vt:variant>
        <vt:i4>5</vt:i4>
      </vt:variant>
      <vt:variant>
        <vt:lpwstr>http://www.optus.com.au/dafiles/OCA/AboutOptus/LegalAndRegulatory/SharedStaticFiles/SharedDocuments/AppW.doc</vt:lpwstr>
      </vt:variant>
      <vt:variant>
        <vt:lpwstr/>
      </vt:variant>
      <vt:variant>
        <vt:i4>2293803</vt:i4>
      </vt:variant>
      <vt:variant>
        <vt:i4>2157</vt:i4>
      </vt:variant>
      <vt:variant>
        <vt:i4>0</vt:i4>
      </vt:variant>
      <vt:variant>
        <vt:i4>5</vt:i4>
      </vt:variant>
      <vt:variant>
        <vt:lpwstr>http://www.optus.com.au/content/dam/optus/appendix/Appendix Y/AppY.doc</vt:lpwstr>
      </vt:variant>
      <vt:variant>
        <vt:lpwstr/>
      </vt:variant>
      <vt:variant>
        <vt:i4>7929957</vt:i4>
      </vt:variant>
      <vt:variant>
        <vt:i4>2154</vt:i4>
      </vt:variant>
      <vt:variant>
        <vt:i4>0</vt:i4>
      </vt:variant>
      <vt:variant>
        <vt:i4>5</vt:i4>
      </vt:variant>
      <vt:variant>
        <vt:lpwstr>http://www.optus.com.au/content/dam/optus/documents/about-us/legal/DigPricingS1.doc</vt:lpwstr>
      </vt:variant>
      <vt:variant>
        <vt:lpwstr/>
      </vt:variant>
      <vt:variant>
        <vt:i4>1310748</vt:i4>
      </vt:variant>
      <vt:variant>
        <vt:i4>2139</vt:i4>
      </vt:variant>
      <vt:variant>
        <vt:i4>0</vt:i4>
      </vt:variant>
      <vt:variant>
        <vt:i4>5</vt:i4>
      </vt:variant>
      <vt:variant>
        <vt:lpwstr>http://www.optus.com.au/content/dam/optus/appendix/Appendix IB/AppIB.doc</vt:lpwstr>
      </vt:variant>
      <vt:variant>
        <vt:lpwstr/>
      </vt:variant>
      <vt:variant>
        <vt:i4>6815794</vt:i4>
      </vt:variant>
      <vt:variant>
        <vt:i4>2136</vt:i4>
      </vt:variant>
      <vt:variant>
        <vt:i4>0</vt:i4>
      </vt:variant>
      <vt:variant>
        <vt:i4>5</vt:i4>
      </vt:variant>
      <vt:variant>
        <vt:lpwstr>http://www.optus.com.au/content/dam/optus/documents/about-us/legal/SMETerms.doc</vt:lpwstr>
      </vt:variant>
      <vt:variant>
        <vt:lpwstr/>
      </vt:variant>
      <vt:variant>
        <vt:i4>2687009</vt:i4>
      </vt:variant>
      <vt:variant>
        <vt:i4>2133</vt:i4>
      </vt:variant>
      <vt:variant>
        <vt:i4>0</vt:i4>
      </vt:variant>
      <vt:variant>
        <vt:i4>5</vt:i4>
      </vt:variant>
      <vt:variant>
        <vt:lpwstr>http://www.optus.com.au/content/dam/optus/appendix/Appendix S/AppS.doc</vt:lpwstr>
      </vt:variant>
      <vt:variant>
        <vt:lpwstr/>
      </vt:variant>
      <vt:variant>
        <vt:i4>5177423</vt:i4>
      </vt:variant>
      <vt:variant>
        <vt:i4>2130</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2127</vt:i4>
      </vt:variant>
      <vt:variant>
        <vt:i4>0</vt:i4>
      </vt:variant>
      <vt:variant>
        <vt:i4>5</vt:i4>
      </vt:variant>
      <vt:variant>
        <vt:lpwstr>http://www.optus.com.au/content/dam/optus/appendix/Appendix S/AppS.doc</vt:lpwstr>
      </vt:variant>
      <vt:variant>
        <vt:lpwstr/>
      </vt:variant>
      <vt:variant>
        <vt:i4>3145784</vt:i4>
      </vt:variant>
      <vt:variant>
        <vt:i4>2124</vt:i4>
      </vt:variant>
      <vt:variant>
        <vt:i4>0</vt:i4>
      </vt:variant>
      <vt:variant>
        <vt:i4>5</vt:i4>
      </vt:variant>
      <vt:variant>
        <vt:lpwstr>http://www.optus.com.au/content/dam/optus/appendix/Appendix J/AppJ.doc</vt:lpwstr>
      </vt:variant>
      <vt:variant>
        <vt:lpwstr/>
      </vt:variant>
      <vt:variant>
        <vt:i4>3145784</vt:i4>
      </vt:variant>
      <vt:variant>
        <vt:i4>2121</vt:i4>
      </vt:variant>
      <vt:variant>
        <vt:i4>0</vt:i4>
      </vt:variant>
      <vt:variant>
        <vt:i4>5</vt:i4>
      </vt:variant>
      <vt:variant>
        <vt:lpwstr>http://www.optus.com.au/content/dam/optus/appendix/Appendix J/AppJ.doc</vt:lpwstr>
      </vt:variant>
      <vt:variant>
        <vt:lpwstr/>
      </vt:variant>
      <vt:variant>
        <vt:i4>2687009</vt:i4>
      </vt:variant>
      <vt:variant>
        <vt:i4>2118</vt:i4>
      </vt:variant>
      <vt:variant>
        <vt:i4>0</vt:i4>
      </vt:variant>
      <vt:variant>
        <vt:i4>5</vt:i4>
      </vt:variant>
      <vt:variant>
        <vt:lpwstr>http://www.optus.com.au/content/dam/optus/appendix/Appendix S/AppS.doc</vt:lpwstr>
      </vt:variant>
      <vt:variant>
        <vt:lpwstr/>
      </vt:variant>
      <vt:variant>
        <vt:i4>2687009</vt:i4>
      </vt:variant>
      <vt:variant>
        <vt:i4>2115</vt:i4>
      </vt:variant>
      <vt:variant>
        <vt:i4>0</vt:i4>
      </vt:variant>
      <vt:variant>
        <vt:i4>5</vt:i4>
      </vt:variant>
      <vt:variant>
        <vt:lpwstr>http://www.optus.com.au/content/dam/optus/appendix/Appendix S/AppS.doc</vt:lpwstr>
      </vt:variant>
      <vt:variant>
        <vt:lpwstr/>
      </vt:variant>
      <vt:variant>
        <vt:i4>2293803</vt:i4>
      </vt:variant>
      <vt:variant>
        <vt:i4>2112</vt:i4>
      </vt:variant>
      <vt:variant>
        <vt:i4>0</vt:i4>
      </vt:variant>
      <vt:variant>
        <vt:i4>5</vt:i4>
      </vt:variant>
      <vt:variant>
        <vt:lpwstr>http://www.optus.com.au/content/dam/optus/appendix/Appendix Y/AppY.doc</vt:lpwstr>
      </vt:variant>
      <vt:variant>
        <vt:lpwstr/>
      </vt:variant>
      <vt:variant>
        <vt:i4>7929957</vt:i4>
      </vt:variant>
      <vt:variant>
        <vt:i4>2109</vt:i4>
      </vt:variant>
      <vt:variant>
        <vt:i4>0</vt:i4>
      </vt:variant>
      <vt:variant>
        <vt:i4>5</vt:i4>
      </vt:variant>
      <vt:variant>
        <vt:lpwstr>http://www.optus.com.au/content/dam/optus/documents/about-us/legal/DigPricingS1.doc</vt:lpwstr>
      </vt:variant>
      <vt:variant>
        <vt:lpwstr/>
      </vt:variant>
      <vt:variant>
        <vt:i4>1310748</vt:i4>
      </vt:variant>
      <vt:variant>
        <vt:i4>2097</vt:i4>
      </vt:variant>
      <vt:variant>
        <vt:i4>0</vt:i4>
      </vt:variant>
      <vt:variant>
        <vt:i4>5</vt:i4>
      </vt:variant>
      <vt:variant>
        <vt:lpwstr>http://www.optus.com.au/content/dam/optus/appendix/Appendix IB/AppIB.doc</vt:lpwstr>
      </vt:variant>
      <vt:variant>
        <vt:lpwstr/>
      </vt:variant>
      <vt:variant>
        <vt:i4>6815794</vt:i4>
      </vt:variant>
      <vt:variant>
        <vt:i4>2094</vt:i4>
      </vt:variant>
      <vt:variant>
        <vt:i4>0</vt:i4>
      </vt:variant>
      <vt:variant>
        <vt:i4>5</vt:i4>
      </vt:variant>
      <vt:variant>
        <vt:lpwstr>http://www.optus.com.au/content/dam/optus/documents/about-us/legal/SMETerms.doc</vt:lpwstr>
      </vt:variant>
      <vt:variant>
        <vt:lpwstr/>
      </vt:variant>
      <vt:variant>
        <vt:i4>2293803</vt:i4>
      </vt:variant>
      <vt:variant>
        <vt:i4>2091</vt:i4>
      </vt:variant>
      <vt:variant>
        <vt:i4>0</vt:i4>
      </vt:variant>
      <vt:variant>
        <vt:i4>5</vt:i4>
      </vt:variant>
      <vt:variant>
        <vt:lpwstr>http://www.optus.com.au/content/dam/optus/appendix/Appendix Y/AppY.doc</vt:lpwstr>
      </vt:variant>
      <vt:variant>
        <vt:lpwstr/>
      </vt:variant>
      <vt:variant>
        <vt:i4>2293803</vt:i4>
      </vt:variant>
      <vt:variant>
        <vt:i4>2088</vt:i4>
      </vt:variant>
      <vt:variant>
        <vt:i4>0</vt:i4>
      </vt:variant>
      <vt:variant>
        <vt:i4>5</vt:i4>
      </vt:variant>
      <vt:variant>
        <vt:lpwstr>http://www.optus.com.au/content/dam/optus/appendix/Appendix Y/AppY.doc</vt:lpwstr>
      </vt:variant>
      <vt:variant>
        <vt:lpwstr/>
      </vt:variant>
      <vt:variant>
        <vt:i4>2621540</vt:i4>
      </vt:variant>
      <vt:variant>
        <vt:i4>2085</vt:i4>
      </vt:variant>
      <vt:variant>
        <vt:i4>0</vt:i4>
      </vt:variant>
      <vt:variant>
        <vt:i4>5</vt:i4>
      </vt:variant>
      <vt:variant>
        <vt:lpwstr>http://www.optus.com.au/dafiles/OCA/AboutOptus/LegalAndRegulatory/SharedStaticFiles/SharedDocuments/WCPricing(Consumer&amp;SMB).doc</vt:lpwstr>
      </vt:variant>
      <vt:variant>
        <vt:lpwstr/>
      </vt:variant>
      <vt:variant>
        <vt:i4>2687009</vt:i4>
      </vt:variant>
      <vt:variant>
        <vt:i4>2076</vt:i4>
      </vt:variant>
      <vt:variant>
        <vt:i4>0</vt:i4>
      </vt:variant>
      <vt:variant>
        <vt:i4>5</vt:i4>
      </vt:variant>
      <vt:variant>
        <vt:lpwstr>http://www.optus.com.au/content/dam/optus/appendix/Appendix S/AppS.doc</vt:lpwstr>
      </vt:variant>
      <vt:variant>
        <vt:lpwstr/>
      </vt:variant>
      <vt:variant>
        <vt:i4>5177423</vt:i4>
      </vt:variant>
      <vt:variant>
        <vt:i4>2073</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2070</vt:i4>
      </vt:variant>
      <vt:variant>
        <vt:i4>0</vt:i4>
      </vt:variant>
      <vt:variant>
        <vt:i4>5</vt:i4>
      </vt:variant>
      <vt:variant>
        <vt:lpwstr>http://www.optus.com.au/content/dam/optus/appendix/Appendix S/AppS.doc</vt:lpwstr>
      </vt:variant>
      <vt:variant>
        <vt:lpwstr/>
      </vt:variant>
      <vt:variant>
        <vt:i4>3145784</vt:i4>
      </vt:variant>
      <vt:variant>
        <vt:i4>2067</vt:i4>
      </vt:variant>
      <vt:variant>
        <vt:i4>0</vt:i4>
      </vt:variant>
      <vt:variant>
        <vt:i4>5</vt:i4>
      </vt:variant>
      <vt:variant>
        <vt:lpwstr>http://www.optus.com.au/content/dam/optus/appendix/Appendix J/AppJ.doc</vt:lpwstr>
      </vt:variant>
      <vt:variant>
        <vt:lpwstr/>
      </vt:variant>
      <vt:variant>
        <vt:i4>3145784</vt:i4>
      </vt:variant>
      <vt:variant>
        <vt:i4>2064</vt:i4>
      </vt:variant>
      <vt:variant>
        <vt:i4>0</vt:i4>
      </vt:variant>
      <vt:variant>
        <vt:i4>5</vt:i4>
      </vt:variant>
      <vt:variant>
        <vt:lpwstr>http://www.optus.com.au/content/dam/optus/appendix/Appendix J/AppJ.doc</vt:lpwstr>
      </vt:variant>
      <vt:variant>
        <vt:lpwstr/>
      </vt:variant>
      <vt:variant>
        <vt:i4>2687009</vt:i4>
      </vt:variant>
      <vt:variant>
        <vt:i4>2061</vt:i4>
      </vt:variant>
      <vt:variant>
        <vt:i4>0</vt:i4>
      </vt:variant>
      <vt:variant>
        <vt:i4>5</vt:i4>
      </vt:variant>
      <vt:variant>
        <vt:lpwstr>http://www.optus.com.au/content/dam/optus/appendix/Appendix S/AppS.doc</vt:lpwstr>
      </vt:variant>
      <vt:variant>
        <vt:lpwstr/>
      </vt:variant>
      <vt:variant>
        <vt:i4>2687009</vt:i4>
      </vt:variant>
      <vt:variant>
        <vt:i4>2058</vt:i4>
      </vt:variant>
      <vt:variant>
        <vt:i4>0</vt:i4>
      </vt:variant>
      <vt:variant>
        <vt:i4>5</vt:i4>
      </vt:variant>
      <vt:variant>
        <vt:lpwstr>http://www.optus.com.au/content/dam/optus/appendix/Appendix S/AppS.doc</vt:lpwstr>
      </vt:variant>
      <vt:variant>
        <vt:lpwstr/>
      </vt:variant>
      <vt:variant>
        <vt:i4>2687009</vt:i4>
      </vt:variant>
      <vt:variant>
        <vt:i4>2055</vt:i4>
      </vt:variant>
      <vt:variant>
        <vt:i4>0</vt:i4>
      </vt:variant>
      <vt:variant>
        <vt:i4>5</vt:i4>
      </vt:variant>
      <vt:variant>
        <vt:lpwstr>http://www.optus.com.au/content/dam/optus/appendix/Appendix S/AppS.doc</vt:lpwstr>
      </vt:variant>
      <vt:variant>
        <vt:lpwstr/>
      </vt:variant>
      <vt:variant>
        <vt:i4>2293803</vt:i4>
      </vt:variant>
      <vt:variant>
        <vt:i4>2052</vt:i4>
      </vt:variant>
      <vt:variant>
        <vt:i4>0</vt:i4>
      </vt:variant>
      <vt:variant>
        <vt:i4>5</vt:i4>
      </vt:variant>
      <vt:variant>
        <vt:lpwstr>http://www.optus.com.au/content/dam/optus/appendix/Appendix Y/AppY.doc</vt:lpwstr>
      </vt:variant>
      <vt:variant>
        <vt:lpwstr/>
      </vt:variant>
      <vt:variant>
        <vt:i4>7929957</vt:i4>
      </vt:variant>
      <vt:variant>
        <vt:i4>2049</vt:i4>
      </vt:variant>
      <vt:variant>
        <vt:i4>0</vt:i4>
      </vt:variant>
      <vt:variant>
        <vt:i4>5</vt:i4>
      </vt:variant>
      <vt:variant>
        <vt:lpwstr>http://www.optus.com.au/content/dam/optus/documents/about-us/legal/DigPricingS1.doc</vt:lpwstr>
      </vt:variant>
      <vt:variant>
        <vt:lpwstr/>
      </vt:variant>
      <vt:variant>
        <vt:i4>1310748</vt:i4>
      </vt:variant>
      <vt:variant>
        <vt:i4>2037</vt:i4>
      </vt:variant>
      <vt:variant>
        <vt:i4>0</vt:i4>
      </vt:variant>
      <vt:variant>
        <vt:i4>5</vt:i4>
      </vt:variant>
      <vt:variant>
        <vt:lpwstr>http://www.optus.com.au/content/dam/optus/appendix/Appendix IB/AppIB.doc</vt:lpwstr>
      </vt:variant>
      <vt:variant>
        <vt:lpwstr/>
      </vt:variant>
      <vt:variant>
        <vt:i4>6815794</vt:i4>
      </vt:variant>
      <vt:variant>
        <vt:i4>2034</vt:i4>
      </vt:variant>
      <vt:variant>
        <vt:i4>0</vt:i4>
      </vt:variant>
      <vt:variant>
        <vt:i4>5</vt:i4>
      </vt:variant>
      <vt:variant>
        <vt:lpwstr>http://www.optus.com.au/content/dam/optus/documents/about-us/legal/SMETerms.doc</vt:lpwstr>
      </vt:variant>
      <vt:variant>
        <vt:lpwstr/>
      </vt:variant>
      <vt:variant>
        <vt:i4>2293803</vt:i4>
      </vt:variant>
      <vt:variant>
        <vt:i4>2031</vt:i4>
      </vt:variant>
      <vt:variant>
        <vt:i4>0</vt:i4>
      </vt:variant>
      <vt:variant>
        <vt:i4>5</vt:i4>
      </vt:variant>
      <vt:variant>
        <vt:lpwstr>http://www.optus.com.au/content/dam/optus/appendix/Appendix Y/AppY.doc</vt:lpwstr>
      </vt:variant>
      <vt:variant>
        <vt:lpwstr/>
      </vt:variant>
      <vt:variant>
        <vt:i4>2293803</vt:i4>
      </vt:variant>
      <vt:variant>
        <vt:i4>2028</vt:i4>
      </vt:variant>
      <vt:variant>
        <vt:i4>0</vt:i4>
      </vt:variant>
      <vt:variant>
        <vt:i4>5</vt:i4>
      </vt:variant>
      <vt:variant>
        <vt:lpwstr>http://www.optus.com.au/content/dam/optus/appendix/Appendix Y/AppY.doc</vt:lpwstr>
      </vt:variant>
      <vt:variant>
        <vt:lpwstr/>
      </vt:variant>
      <vt:variant>
        <vt:i4>2621540</vt:i4>
      </vt:variant>
      <vt:variant>
        <vt:i4>2025</vt:i4>
      </vt:variant>
      <vt:variant>
        <vt:i4>0</vt:i4>
      </vt:variant>
      <vt:variant>
        <vt:i4>5</vt:i4>
      </vt:variant>
      <vt:variant>
        <vt:lpwstr>http://www.optus.com.au/dafiles/OCA/AboutOptus/LegalAndRegulatory/SharedStaticFiles/SharedDocuments/WCPricing(Consumer&amp;SMB).doc</vt:lpwstr>
      </vt:variant>
      <vt:variant>
        <vt:lpwstr/>
      </vt:variant>
      <vt:variant>
        <vt:i4>2687009</vt:i4>
      </vt:variant>
      <vt:variant>
        <vt:i4>2022</vt:i4>
      </vt:variant>
      <vt:variant>
        <vt:i4>0</vt:i4>
      </vt:variant>
      <vt:variant>
        <vt:i4>5</vt:i4>
      </vt:variant>
      <vt:variant>
        <vt:lpwstr>http://www.optus.com.au/content/dam/optus/appendix/Appendix S/AppS.doc</vt:lpwstr>
      </vt:variant>
      <vt:variant>
        <vt:lpwstr/>
      </vt:variant>
      <vt:variant>
        <vt:i4>2687009</vt:i4>
      </vt:variant>
      <vt:variant>
        <vt:i4>2019</vt:i4>
      </vt:variant>
      <vt:variant>
        <vt:i4>0</vt:i4>
      </vt:variant>
      <vt:variant>
        <vt:i4>5</vt:i4>
      </vt:variant>
      <vt:variant>
        <vt:lpwstr>http://www.optus.com.au/content/dam/optus/appendix/Appendix S/AppS.doc</vt:lpwstr>
      </vt:variant>
      <vt:variant>
        <vt:lpwstr/>
      </vt:variant>
      <vt:variant>
        <vt:i4>2687009</vt:i4>
      </vt:variant>
      <vt:variant>
        <vt:i4>2016</vt:i4>
      </vt:variant>
      <vt:variant>
        <vt:i4>0</vt:i4>
      </vt:variant>
      <vt:variant>
        <vt:i4>5</vt:i4>
      </vt:variant>
      <vt:variant>
        <vt:lpwstr>http://www.optus.com.au/content/dam/optus/appendix/Appendix S/AppS.doc</vt:lpwstr>
      </vt:variant>
      <vt:variant>
        <vt:lpwstr/>
      </vt:variant>
      <vt:variant>
        <vt:i4>3145784</vt:i4>
      </vt:variant>
      <vt:variant>
        <vt:i4>2013</vt:i4>
      </vt:variant>
      <vt:variant>
        <vt:i4>0</vt:i4>
      </vt:variant>
      <vt:variant>
        <vt:i4>5</vt:i4>
      </vt:variant>
      <vt:variant>
        <vt:lpwstr>http://www.optus.com.au/content/dam/optus/appendix/Appendix J/AppJ.doc</vt:lpwstr>
      </vt:variant>
      <vt:variant>
        <vt:lpwstr/>
      </vt:variant>
      <vt:variant>
        <vt:i4>3145784</vt:i4>
      </vt:variant>
      <vt:variant>
        <vt:i4>2010</vt:i4>
      </vt:variant>
      <vt:variant>
        <vt:i4>0</vt:i4>
      </vt:variant>
      <vt:variant>
        <vt:i4>5</vt:i4>
      </vt:variant>
      <vt:variant>
        <vt:lpwstr>http://www.optus.com.au/content/dam/optus/appendix/Appendix J/AppJ.doc</vt:lpwstr>
      </vt:variant>
      <vt:variant>
        <vt:lpwstr/>
      </vt:variant>
      <vt:variant>
        <vt:i4>2687009</vt:i4>
      </vt:variant>
      <vt:variant>
        <vt:i4>2007</vt:i4>
      </vt:variant>
      <vt:variant>
        <vt:i4>0</vt:i4>
      </vt:variant>
      <vt:variant>
        <vt:i4>5</vt:i4>
      </vt:variant>
      <vt:variant>
        <vt:lpwstr>http://www.optus.com.au/content/dam/optus/appendix/Appendix S/AppS.doc</vt:lpwstr>
      </vt:variant>
      <vt:variant>
        <vt:lpwstr/>
      </vt:variant>
      <vt:variant>
        <vt:i4>2293803</vt:i4>
      </vt:variant>
      <vt:variant>
        <vt:i4>2004</vt:i4>
      </vt:variant>
      <vt:variant>
        <vt:i4>0</vt:i4>
      </vt:variant>
      <vt:variant>
        <vt:i4>5</vt:i4>
      </vt:variant>
      <vt:variant>
        <vt:lpwstr>http://www.optus.com.au/content/dam/optus/appendix/Appendix Y/AppY.doc</vt:lpwstr>
      </vt:variant>
      <vt:variant>
        <vt:lpwstr/>
      </vt:variant>
      <vt:variant>
        <vt:i4>7929957</vt:i4>
      </vt:variant>
      <vt:variant>
        <vt:i4>2001</vt:i4>
      </vt:variant>
      <vt:variant>
        <vt:i4>0</vt:i4>
      </vt:variant>
      <vt:variant>
        <vt:i4>5</vt:i4>
      </vt:variant>
      <vt:variant>
        <vt:lpwstr>http://www.optus.com.au/content/dam/optus/documents/about-us/legal/DigPricingS1.doc</vt:lpwstr>
      </vt:variant>
      <vt:variant>
        <vt:lpwstr/>
      </vt:variant>
      <vt:variant>
        <vt:i4>6815794</vt:i4>
      </vt:variant>
      <vt:variant>
        <vt:i4>1989</vt:i4>
      </vt:variant>
      <vt:variant>
        <vt:i4>0</vt:i4>
      </vt:variant>
      <vt:variant>
        <vt:i4>5</vt:i4>
      </vt:variant>
      <vt:variant>
        <vt:lpwstr>http://www.optus.com.au/content/dam/optus/documents/about-us/legal/SMETerms.doc</vt:lpwstr>
      </vt:variant>
      <vt:variant>
        <vt:lpwstr/>
      </vt:variant>
      <vt:variant>
        <vt:i4>7929957</vt:i4>
      </vt:variant>
      <vt:variant>
        <vt:i4>1986</vt:i4>
      </vt:variant>
      <vt:variant>
        <vt:i4>0</vt:i4>
      </vt:variant>
      <vt:variant>
        <vt:i4>5</vt:i4>
      </vt:variant>
      <vt:variant>
        <vt:lpwstr>http://www.optus.com.au/content/dam/optus/documents/about-us/legal/DigPricingS1.doc</vt:lpwstr>
      </vt:variant>
      <vt:variant>
        <vt:lpwstr/>
      </vt:variant>
      <vt:variant>
        <vt:i4>2687009</vt:i4>
      </vt:variant>
      <vt:variant>
        <vt:i4>1983</vt:i4>
      </vt:variant>
      <vt:variant>
        <vt:i4>0</vt:i4>
      </vt:variant>
      <vt:variant>
        <vt:i4>5</vt:i4>
      </vt:variant>
      <vt:variant>
        <vt:lpwstr>http://www.optus.com.au/content/dam/optus/appendix/Appendix S/AppS.doc</vt:lpwstr>
      </vt:variant>
      <vt:variant>
        <vt:lpwstr/>
      </vt:variant>
      <vt:variant>
        <vt:i4>2687009</vt:i4>
      </vt:variant>
      <vt:variant>
        <vt:i4>1980</vt:i4>
      </vt:variant>
      <vt:variant>
        <vt:i4>0</vt:i4>
      </vt:variant>
      <vt:variant>
        <vt:i4>5</vt:i4>
      </vt:variant>
      <vt:variant>
        <vt:lpwstr>http://www.optus.com.au/content/dam/optus/appendix/Appendix S/AppS.doc</vt:lpwstr>
      </vt:variant>
      <vt:variant>
        <vt:lpwstr/>
      </vt:variant>
      <vt:variant>
        <vt:i4>2687009</vt:i4>
      </vt:variant>
      <vt:variant>
        <vt:i4>1977</vt:i4>
      </vt:variant>
      <vt:variant>
        <vt:i4>0</vt:i4>
      </vt:variant>
      <vt:variant>
        <vt:i4>5</vt:i4>
      </vt:variant>
      <vt:variant>
        <vt:lpwstr>http://www.optus.com.au/content/dam/optus/appendix/Appendix S/AppS.doc</vt:lpwstr>
      </vt:variant>
      <vt:variant>
        <vt:lpwstr/>
      </vt:variant>
      <vt:variant>
        <vt:i4>2687009</vt:i4>
      </vt:variant>
      <vt:variant>
        <vt:i4>1974</vt:i4>
      </vt:variant>
      <vt:variant>
        <vt:i4>0</vt:i4>
      </vt:variant>
      <vt:variant>
        <vt:i4>5</vt:i4>
      </vt:variant>
      <vt:variant>
        <vt:lpwstr>http://www.optus.com.au/content/dam/optus/appendix/Appendix S/AppS.doc</vt:lpwstr>
      </vt:variant>
      <vt:variant>
        <vt:lpwstr/>
      </vt:variant>
      <vt:variant>
        <vt:i4>6815794</vt:i4>
      </vt:variant>
      <vt:variant>
        <vt:i4>1971</vt:i4>
      </vt:variant>
      <vt:variant>
        <vt:i4>0</vt:i4>
      </vt:variant>
      <vt:variant>
        <vt:i4>5</vt:i4>
      </vt:variant>
      <vt:variant>
        <vt:lpwstr>http://www.optus.com.au/content/dam/optus/documents/about-us/legal/SMETerms.doc</vt:lpwstr>
      </vt:variant>
      <vt:variant>
        <vt:lpwstr/>
      </vt:variant>
      <vt:variant>
        <vt:i4>2293803</vt:i4>
      </vt:variant>
      <vt:variant>
        <vt:i4>1965</vt:i4>
      </vt:variant>
      <vt:variant>
        <vt:i4>0</vt:i4>
      </vt:variant>
      <vt:variant>
        <vt:i4>5</vt:i4>
      </vt:variant>
      <vt:variant>
        <vt:lpwstr>http://www.optus.com.au/content/dam/optus/appendix/Appendix Y/AppY.doc</vt:lpwstr>
      </vt:variant>
      <vt:variant>
        <vt:lpwstr/>
      </vt:variant>
      <vt:variant>
        <vt:i4>2293803</vt:i4>
      </vt:variant>
      <vt:variant>
        <vt:i4>1962</vt:i4>
      </vt:variant>
      <vt:variant>
        <vt:i4>0</vt:i4>
      </vt:variant>
      <vt:variant>
        <vt:i4>5</vt:i4>
      </vt:variant>
      <vt:variant>
        <vt:lpwstr>http://www.optus.com.au/content/dam/optus/appendix/Appendix Y/AppY.doc</vt:lpwstr>
      </vt:variant>
      <vt:variant>
        <vt:lpwstr/>
      </vt:variant>
      <vt:variant>
        <vt:i4>2621540</vt:i4>
      </vt:variant>
      <vt:variant>
        <vt:i4>1959</vt:i4>
      </vt:variant>
      <vt:variant>
        <vt:i4>0</vt:i4>
      </vt:variant>
      <vt:variant>
        <vt:i4>5</vt:i4>
      </vt:variant>
      <vt:variant>
        <vt:lpwstr>http://www.optus.com.au/dafiles/OCA/AboutOptus/LegalAndRegulatory/SharedStaticFiles/SharedDocuments/WCPricing(Consumer&amp;SMB).doc</vt:lpwstr>
      </vt:variant>
      <vt:variant>
        <vt:lpwstr/>
      </vt:variant>
      <vt:variant>
        <vt:i4>2293803</vt:i4>
      </vt:variant>
      <vt:variant>
        <vt:i4>1956</vt:i4>
      </vt:variant>
      <vt:variant>
        <vt:i4>0</vt:i4>
      </vt:variant>
      <vt:variant>
        <vt:i4>5</vt:i4>
      </vt:variant>
      <vt:variant>
        <vt:lpwstr>http://www.optus.com.au/content/dam/optus/appendix/Appendix Y/AppY.doc</vt:lpwstr>
      </vt:variant>
      <vt:variant>
        <vt:lpwstr/>
      </vt:variant>
      <vt:variant>
        <vt:i4>3145784</vt:i4>
      </vt:variant>
      <vt:variant>
        <vt:i4>1953</vt:i4>
      </vt:variant>
      <vt:variant>
        <vt:i4>0</vt:i4>
      </vt:variant>
      <vt:variant>
        <vt:i4>5</vt:i4>
      </vt:variant>
      <vt:variant>
        <vt:lpwstr>http://www.optus.com.au/content/dam/optus/appendix/Appendix J/AppJ.doc</vt:lpwstr>
      </vt:variant>
      <vt:variant>
        <vt:lpwstr/>
      </vt:variant>
      <vt:variant>
        <vt:i4>3145784</vt:i4>
      </vt:variant>
      <vt:variant>
        <vt:i4>1950</vt:i4>
      </vt:variant>
      <vt:variant>
        <vt:i4>0</vt:i4>
      </vt:variant>
      <vt:variant>
        <vt:i4>5</vt:i4>
      </vt:variant>
      <vt:variant>
        <vt:lpwstr>http://www.optus.com.au/content/dam/optus/appendix/Appendix J/AppJ.doc</vt:lpwstr>
      </vt:variant>
      <vt:variant>
        <vt:lpwstr/>
      </vt:variant>
      <vt:variant>
        <vt:i4>2687009</vt:i4>
      </vt:variant>
      <vt:variant>
        <vt:i4>1947</vt:i4>
      </vt:variant>
      <vt:variant>
        <vt:i4>0</vt:i4>
      </vt:variant>
      <vt:variant>
        <vt:i4>5</vt:i4>
      </vt:variant>
      <vt:variant>
        <vt:lpwstr>http://www.optus.com.au/content/dam/optus/appendix/Appendix S/AppS.doc</vt:lpwstr>
      </vt:variant>
      <vt:variant>
        <vt:lpwstr/>
      </vt:variant>
      <vt:variant>
        <vt:i4>2687009</vt:i4>
      </vt:variant>
      <vt:variant>
        <vt:i4>1944</vt:i4>
      </vt:variant>
      <vt:variant>
        <vt:i4>0</vt:i4>
      </vt:variant>
      <vt:variant>
        <vt:i4>5</vt:i4>
      </vt:variant>
      <vt:variant>
        <vt:lpwstr>http://www.optus.com.au/content/dam/optus/appendix/Appendix S/AppS.doc</vt:lpwstr>
      </vt:variant>
      <vt:variant>
        <vt:lpwstr/>
      </vt:variant>
      <vt:variant>
        <vt:i4>2687009</vt:i4>
      </vt:variant>
      <vt:variant>
        <vt:i4>1941</vt:i4>
      </vt:variant>
      <vt:variant>
        <vt:i4>0</vt:i4>
      </vt:variant>
      <vt:variant>
        <vt:i4>5</vt:i4>
      </vt:variant>
      <vt:variant>
        <vt:lpwstr>http://www.optus.com.au/content/dam/optus/appendix/Appendix S/AppS.doc</vt:lpwstr>
      </vt:variant>
      <vt:variant>
        <vt:lpwstr/>
      </vt:variant>
      <vt:variant>
        <vt:i4>2687009</vt:i4>
      </vt:variant>
      <vt:variant>
        <vt:i4>1938</vt:i4>
      </vt:variant>
      <vt:variant>
        <vt:i4>0</vt:i4>
      </vt:variant>
      <vt:variant>
        <vt:i4>5</vt:i4>
      </vt:variant>
      <vt:variant>
        <vt:lpwstr>http://www.optus.com.au/content/dam/optus/appendix/Appendix S/AppS.doc</vt:lpwstr>
      </vt:variant>
      <vt:variant>
        <vt:lpwstr/>
      </vt:variant>
      <vt:variant>
        <vt:i4>2687009</vt:i4>
      </vt:variant>
      <vt:variant>
        <vt:i4>1935</vt:i4>
      </vt:variant>
      <vt:variant>
        <vt:i4>0</vt:i4>
      </vt:variant>
      <vt:variant>
        <vt:i4>5</vt:i4>
      </vt:variant>
      <vt:variant>
        <vt:lpwstr>http://www.optus.com.au/content/dam/optus/appendix/Appendix S/AppS.doc</vt:lpwstr>
      </vt:variant>
      <vt:variant>
        <vt:lpwstr/>
      </vt:variant>
      <vt:variant>
        <vt:i4>2687009</vt:i4>
      </vt:variant>
      <vt:variant>
        <vt:i4>1932</vt:i4>
      </vt:variant>
      <vt:variant>
        <vt:i4>0</vt:i4>
      </vt:variant>
      <vt:variant>
        <vt:i4>5</vt:i4>
      </vt:variant>
      <vt:variant>
        <vt:lpwstr>http://www.optus.com.au/content/dam/optus/appendix/Appendix S/AppS.doc</vt:lpwstr>
      </vt:variant>
      <vt:variant>
        <vt:lpwstr/>
      </vt:variant>
      <vt:variant>
        <vt:i4>2687009</vt:i4>
      </vt:variant>
      <vt:variant>
        <vt:i4>1929</vt:i4>
      </vt:variant>
      <vt:variant>
        <vt:i4>0</vt:i4>
      </vt:variant>
      <vt:variant>
        <vt:i4>5</vt:i4>
      </vt:variant>
      <vt:variant>
        <vt:lpwstr>http://www.optus.com.au/content/dam/optus/appendix/Appendix S/AppS.doc</vt:lpwstr>
      </vt:variant>
      <vt:variant>
        <vt:lpwstr/>
      </vt:variant>
      <vt:variant>
        <vt:i4>2687009</vt:i4>
      </vt:variant>
      <vt:variant>
        <vt:i4>1926</vt:i4>
      </vt:variant>
      <vt:variant>
        <vt:i4>0</vt:i4>
      </vt:variant>
      <vt:variant>
        <vt:i4>5</vt:i4>
      </vt:variant>
      <vt:variant>
        <vt:lpwstr>http://www.optus.com.au/content/dam/optus/appendix/Appendix S/AppS.doc</vt:lpwstr>
      </vt:variant>
      <vt:variant>
        <vt:lpwstr/>
      </vt:variant>
      <vt:variant>
        <vt:i4>2687009</vt:i4>
      </vt:variant>
      <vt:variant>
        <vt:i4>1923</vt:i4>
      </vt:variant>
      <vt:variant>
        <vt:i4>0</vt:i4>
      </vt:variant>
      <vt:variant>
        <vt:i4>5</vt:i4>
      </vt:variant>
      <vt:variant>
        <vt:lpwstr>http://www.optus.com.au/content/dam/optus/appendix/Appendix S/AppS.doc</vt:lpwstr>
      </vt:variant>
      <vt:variant>
        <vt:lpwstr/>
      </vt:variant>
      <vt:variant>
        <vt:i4>5177423</vt:i4>
      </vt:variant>
      <vt:variant>
        <vt:i4>1920</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1917</vt:i4>
      </vt:variant>
      <vt:variant>
        <vt:i4>0</vt:i4>
      </vt:variant>
      <vt:variant>
        <vt:i4>5</vt:i4>
      </vt:variant>
      <vt:variant>
        <vt:lpwstr>http://www.optus.com.au/content/dam/optus/appendix/Appendix S/AppS.doc</vt:lpwstr>
      </vt:variant>
      <vt:variant>
        <vt:lpwstr/>
      </vt:variant>
      <vt:variant>
        <vt:i4>2293803</vt:i4>
      </vt:variant>
      <vt:variant>
        <vt:i4>1914</vt:i4>
      </vt:variant>
      <vt:variant>
        <vt:i4>0</vt:i4>
      </vt:variant>
      <vt:variant>
        <vt:i4>5</vt:i4>
      </vt:variant>
      <vt:variant>
        <vt:lpwstr>http://www.optus.com.au/content/dam/optus/appendix/Appendix Y/AppY.doc</vt:lpwstr>
      </vt:variant>
      <vt:variant>
        <vt:lpwstr/>
      </vt:variant>
      <vt:variant>
        <vt:i4>7929957</vt:i4>
      </vt:variant>
      <vt:variant>
        <vt:i4>1911</vt:i4>
      </vt:variant>
      <vt:variant>
        <vt:i4>0</vt:i4>
      </vt:variant>
      <vt:variant>
        <vt:i4>5</vt:i4>
      </vt:variant>
      <vt:variant>
        <vt:lpwstr>http://www.optus.com.au/content/dam/optus/documents/about-us/legal/DigPricingS1.doc</vt:lpwstr>
      </vt:variant>
      <vt:variant>
        <vt:lpwstr/>
      </vt:variant>
      <vt:variant>
        <vt:i4>6815794</vt:i4>
      </vt:variant>
      <vt:variant>
        <vt:i4>1899</vt:i4>
      </vt:variant>
      <vt:variant>
        <vt:i4>0</vt:i4>
      </vt:variant>
      <vt:variant>
        <vt:i4>5</vt:i4>
      </vt:variant>
      <vt:variant>
        <vt:lpwstr>http://www.optus.com.au/content/dam/optus/documents/about-us/legal/SMETerms.doc</vt:lpwstr>
      </vt:variant>
      <vt:variant>
        <vt:lpwstr/>
      </vt:variant>
      <vt:variant>
        <vt:i4>2293803</vt:i4>
      </vt:variant>
      <vt:variant>
        <vt:i4>1893</vt:i4>
      </vt:variant>
      <vt:variant>
        <vt:i4>0</vt:i4>
      </vt:variant>
      <vt:variant>
        <vt:i4>5</vt:i4>
      </vt:variant>
      <vt:variant>
        <vt:lpwstr>http://www.optus.com.au/content/dam/optus/appendix/Appendix Y/AppY.doc</vt:lpwstr>
      </vt:variant>
      <vt:variant>
        <vt:lpwstr/>
      </vt:variant>
      <vt:variant>
        <vt:i4>2293803</vt:i4>
      </vt:variant>
      <vt:variant>
        <vt:i4>1890</vt:i4>
      </vt:variant>
      <vt:variant>
        <vt:i4>0</vt:i4>
      </vt:variant>
      <vt:variant>
        <vt:i4>5</vt:i4>
      </vt:variant>
      <vt:variant>
        <vt:lpwstr>http://www.optus.com.au/content/dam/optus/appendix/Appendix Y/AppY.doc</vt:lpwstr>
      </vt:variant>
      <vt:variant>
        <vt:lpwstr/>
      </vt:variant>
      <vt:variant>
        <vt:i4>2621540</vt:i4>
      </vt:variant>
      <vt:variant>
        <vt:i4>1887</vt:i4>
      </vt:variant>
      <vt:variant>
        <vt:i4>0</vt:i4>
      </vt:variant>
      <vt:variant>
        <vt:i4>5</vt:i4>
      </vt:variant>
      <vt:variant>
        <vt:lpwstr>http://www.optus.com.au/dafiles/OCA/AboutOptus/LegalAndRegulatory/SharedStaticFiles/SharedDocuments/WCPricing(Consumer&amp;SMB).doc</vt:lpwstr>
      </vt:variant>
      <vt:variant>
        <vt:lpwstr/>
      </vt:variant>
      <vt:variant>
        <vt:i4>3145784</vt:i4>
      </vt:variant>
      <vt:variant>
        <vt:i4>1884</vt:i4>
      </vt:variant>
      <vt:variant>
        <vt:i4>0</vt:i4>
      </vt:variant>
      <vt:variant>
        <vt:i4>5</vt:i4>
      </vt:variant>
      <vt:variant>
        <vt:lpwstr>http://www.optus.com.au/content/dam/optus/appendix/Appendix J/AppJ.doc</vt:lpwstr>
      </vt:variant>
      <vt:variant>
        <vt:lpwstr/>
      </vt:variant>
      <vt:variant>
        <vt:i4>3145784</vt:i4>
      </vt:variant>
      <vt:variant>
        <vt:i4>1881</vt:i4>
      </vt:variant>
      <vt:variant>
        <vt:i4>0</vt:i4>
      </vt:variant>
      <vt:variant>
        <vt:i4>5</vt:i4>
      </vt:variant>
      <vt:variant>
        <vt:lpwstr>http://www.optus.com.au/content/dam/optus/appendix/Appendix J/AppJ.doc</vt:lpwstr>
      </vt:variant>
      <vt:variant>
        <vt:lpwstr/>
      </vt:variant>
      <vt:variant>
        <vt:i4>2687009</vt:i4>
      </vt:variant>
      <vt:variant>
        <vt:i4>1878</vt:i4>
      </vt:variant>
      <vt:variant>
        <vt:i4>0</vt:i4>
      </vt:variant>
      <vt:variant>
        <vt:i4>5</vt:i4>
      </vt:variant>
      <vt:variant>
        <vt:lpwstr>http://www.optus.com.au/content/dam/optus/appendix/Appendix S/AppS.doc</vt:lpwstr>
      </vt:variant>
      <vt:variant>
        <vt:lpwstr/>
      </vt:variant>
      <vt:variant>
        <vt:i4>2687009</vt:i4>
      </vt:variant>
      <vt:variant>
        <vt:i4>1875</vt:i4>
      </vt:variant>
      <vt:variant>
        <vt:i4>0</vt:i4>
      </vt:variant>
      <vt:variant>
        <vt:i4>5</vt:i4>
      </vt:variant>
      <vt:variant>
        <vt:lpwstr>http://www.optus.com.au/content/dam/optus/appendix/Appendix S/AppS.doc</vt:lpwstr>
      </vt:variant>
      <vt:variant>
        <vt:lpwstr/>
      </vt:variant>
      <vt:variant>
        <vt:i4>2687009</vt:i4>
      </vt:variant>
      <vt:variant>
        <vt:i4>1872</vt:i4>
      </vt:variant>
      <vt:variant>
        <vt:i4>0</vt:i4>
      </vt:variant>
      <vt:variant>
        <vt:i4>5</vt:i4>
      </vt:variant>
      <vt:variant>
        <vt:lpwstr>http://www.optus.com.au/content/dam/optus/appendix/Appendix S/AppS.doc</vt:lpwstr>
      </vt:variant>
      <vt:variant>
        <vt:lpwstr/>
      </vt:variant>
      <vt:variant>
        <vt:i4>2687009</vt:i4>
      </vt:variant>
      <vt:variant>
        <vt:i4>1869</vt:i4>
      </vt:variant>
      <vt:variant>
        <vt:i4>0</vt:i4>
      </vt:variant>
      <vt:variant>
        <vt:i4>5</vt:i4>
      </vt:variant>
      <vt:variant>
        <vt:lpwstr>http://www.optus.com.au/content/dam/optus/appendix/Appendix S/AppS.doc</vt:lpwstr>
      </vt:variant>
      <vt:variant>
        <vt:lpwstr/>
      </vt:variant>
      <vt:variant>
        <vt:i4>2687009</vt:i4>
      </vt:variant>
      <vt:variant>
        <vt:i4>1866</vt:i4>
      </vt:variant>
      <vt:variant>
        <vt:i4>0</vt:i4>
      </vt:variant>
      <vt:variant>
        <vt:i4>5</vt:i4>
      </vt:variant>
      <vt:variant>
        <vt:lpwstr>http://www.optus.com.au/content/dam/optus/appendix/Appendix S/AppS.doc</vt:lpwstr>
      </vt:variant>
      <vt:variant>
        <vt:lpwstr/>
      </vt:variant>
      <vt:variant>
        <vt:i4>2687009</vt:i4>
      </vt:variant>
      <vt:variant>
        <vt:i4>1863</vt:i4>
      </vt:variant>
      <vt:variant>
        <vt:i4>0</vt:i4>
      </vt:variant>
      <vt:variant>
        <vt:i4>5</vt:i4>
      </vt:variant>
      <vt:variant>
        <vt:lpwstr>http://www.optus.com.au/content/dam/optus/appendix/Appendix S/AppS.doc</vt:lpwstr>
      </vt:variant>
      <vt:variant>
        <vt:lpwstr/>
      </vt:variant>
      <vt:variant>
        <vt:i4>2687009</vt:i4>
      </vt:variant>
      <vt:variant>
        <vt:i4>1860</vt:i4>
      </vt:variant>
      <vt:variant>
        <vt:i4>0</vt:i4>
      </vt:variant>
      <vt:variant>
        <vt:i4>5</vt:i4>
      </vt:variant>
      <vt:variant>
        <vt:lpwstr>http://www.optus.com.au/content/dam/optus/appendix/Appendix S/AppS.doc</vt:lpwstr>
      </vt:variant>
      <vt:variant>
        <vt:lpwstr/>
      </vt:variant>
      <vt:variant>
        <vt:i4>2687009</vt:i4>
      </vt:variant>
      <vt:variant>
        <vt:i4>1857</vt:i4>
      </vt:variant>
      <vt:variant>
        <vt:i4>0</vt:i4>
      </vt:variant>
      <vt:variant>
        <vt:i4>5</vt:i4>
      </vt:variant>
      <vt:variant>
        <vt:lpwstr>http://www.optus.com.au/content/dam/optus/appendix/Appendix S/AppS.doc</vt:lpwstr>
      </vt:variant>
      <vt:variant>
        <vt:lpwstr/>
      </vt:variant>
      <vt:variant>
        <vt:i4>2687009</vt:i4>
      </vt:variant>
      <vt:variant>
        <vt:i4>1854</vt:i4>
      </vt:variant>
      <vt:variant>
        <vt:i4>0</vt:i4>
      </vt:variant>
      <vt:variant>
        <vt:i4>5</vt:i4>
      </vt:variant>
      <vt:variant>
        <vt:lpwstr>http://www.optus.com.au/content/dam/optus/appendix/Appendix S/AppS.doc</vt:lpwstr>
      </vt:variant>
      <vt:variant>
        <vt:lpwstr/>
      </vt:variant>
      <vt:variant>
        <vt:i4>5177423</vt:i4>
      </vt:variant>
      <vt:variant>
        <vt:i4>1851</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1848</vt:i4>
      </vt:variant>
      <vt:variant>
        <vt:i4>0</vt:i4>
      </vt:variant>
      <vt:variant>
        <vt:i4>5</vt:i4>
      </vt:variant>
      <vt:variant>
        <vt:lpwstr>http://www.optus.com.au/content/dam/optus/appendix/Appendix S/AppS.doc</vt:lpwstr>
      </vt:variant>
      <vt:variant>
        <vt:lpwstr/>
      </vt:variant>
      <vt:variant>
        <vt:i4>2293803</vt:i4>
      </vt:variant>
      <vt:variant>
        <vt:i4>1845</vt:i4>
      </vt:variant>
      <vt:variant>
        <vt:i4>0</vt:i4>
      </vt:variant>
      <vt:variant>
        <vt:i4>5</vt:i4>
      </vt:variant>
      <vt:variant>
        <vt:lpwstr>http://www.optus.com.au/content/dam/optus/appendix/Appendix Y/AppY.doc</vt:lpwstr>
      </vt:variant>
      <vt:variant>
        <vt:lpwstr/>
      </vt:variant>
      <vt:variant>
        <vt:i4>7929957</vt:i4>
      </vt:variant>
      <vt:variant>
        <vt:i4>1842</vt:i4>
      </vt:variant>
      <vt:variant>
        <vt:i4>0</vt:i4>
      </vt:variant>
      <vt:variant>
        <vt:i4>5</vt:i4>
      </vt:variant>
      <vt:variant>
        <vt:lpwstr>http://www.optus.com.au/content/dam/optus/documents/about-us/legal/DigPricingS1.doc</vt:lpwstr>
      </vt:variant>
      <vt:variant>
        <vt:lpwstr/>
      </vt:variant>
      <vt:variant>
        <vt:i4>1310748</vt:i4>
      </vt:variant>
      <vt:variant>
        <vt:i4>1830</vt:i4>
      </vt:variant>
      <vt:variant>
        <vt:i4>0</vt:i4>
      </vt:variant>
      <vt:variant>
        <vt:i4>5</vt:i4>
      </vt:variant>
      <vt:variant>
        <vt:lpwstr>http://www.optus.com.au/content/dam/optus/appendix/Appendix IB/AppIB.doc</vt:lpwstr>
      </vt:variant>
      <vt:variant>
        <vt:lpwstr/>
      </vt:variant>
      <vt:variant>
        <vt:i4>6815794</vt:i4>
      </vt:variant>
      <vt:variant>
        <vt:i4>1827</vt:i4>
      </vt:variant>
      <vt:variant>
        <vt:i4>0</vt:i4>
      </vt:variant>
      <vt:variant>
        <vt:i4>5</vt:i4>
      </vt:variant>
      <vt:variant>
        <vt:lpwstr>http://www.optus.com.au/content/dam/optus/documents/about-us/legal/SMETerms.doc</vt:lpwstr>
      </vt:variant>
      <vt:variant>
        <vt:lpwstr/>
      </vt:variant>
      <vt:variant>
        <vt:i4>2687009</vt:i4>
      </vt:variant>
      <vt:variant>
        <vt:i4>1824</vt:i4>
      </vt:variant>
      <vt:variant>
        <vt:i4>0</vt:i4>
      </vt:variant>
      <vt:variant>
        <vt:i4>5</vt:i4>
      </vt:variant>
      <vt:variant>
        <vt:lpwstr>http://www.optus.com.au/content/dam/optus/appendix/Appendix S/AppS.doc</vt:lpwstr>
      </vt:variant>
      <vt:variant>
        <vt:lpwstr/>
      </vt:variant>
      <vt:variant>
        <vt:i4>2687009</vt:i4>
      </vt:variant>
      <vt:variant>
        <vt:i4>1821</vt:i4>
      </vt:variant>
      <vt:variant>
        <vt:i4>0</vt:i4>
      </vt:variant>
      <vt:variant>
        <vt:i4>5</vt:i4>
      </vt:variant>
      <vt:variant>
        <vt:lpwstr>http://www.optus.com.au/content/dam/optus/appendix/Appendix S/AppS.doc</vt:lpwstr>
      </vt:variant>
      <vt:variant>
        <vt:lpwstr/>
      </vt:variant>
      <vt:variant>
        <vt:i4>3145784</vt:i4>
      </vt:variant>
      <vt:variant>
        <vt:i4>1818</vt:i4>
      </vt:variant>
      <vt:variant>
        <vt:i4>0</vt:i4>
      </vt:variant>
      <vt:variant>
        <vt:i4>5</vt:i4>
      </vt:variant>
      <vt:variant>
        <vt:lpwstr>http://www.optus.com.au/content/dam/optus/appendix/Appendix J/AppJ.doc</vt:lpwstr>
      </vt:variant>
      <vt:variant>
        <vt:lpwstr/>
      </vt:variant>
      <vt:variant>
        <vt:i4>3145784</vt:i4>
      </vt:variant>
      <vt:variant>
        <vt:i4>1815</vt:i4>
      </vt:variant>
      <vt:variant>
        <vt:i4>0</vt:i4>
      </vt:variant>
      <vt:variant>
        <vt:i4>5</vt:i4>
      </vt:variant>
      <vt:variant>
        <vt:lpwstr>http://www.optus.com.au/content/dam/optus/appendix/Appendix J/AppJ.doc</vt:lpwstr>
      </vt:variant>
      <vt:variant>
        <vt:lpwstr/>
      </vt:variant>
      <vt:variant>
        <vt:i4>2687009</vt:i4>
      </vt:variant>
      <vt:variant>
        <vt:i4>1812</vt:i4>
      </vt:variant>
      <vt:variant>
        <vt:i4>0</vt:i4>
      </vt:variant>
      <vt:variant>
        <vt:i4>5</vt:i4>
      </vt:variant>
      <vt:variant>
        <vt:lpwstr>http://www.optus.com.au/content/dam/optus/appendix/Appendix S/AppS.doc</vt:lpwstr>
      </vt:variant>
      <vt:variant>
        <vt:lpwstr/>
      </vt:variant>
      <vt:variant>
        <vt:i4>2687009</vt:i4>
      </vt:variant>
      <vt:variant>
        <vt:i4>1809</vt:i4>
      </vt:variant>
      <vt:variant>
        <vt:i4>0</vt:i4>
      </vt:variant>
      <vt:variant>
        <vt:i4>5</vt:i4>
      </vt:variant>
      <vt:variant>
        <vt:lpwstr>http://www.optus.com.au/content/dam/optus/appendix/Appendix S/AppS.doc</vt:lpwstr>
      </vt:variant>
      <vt:variant>
        <vt:lpwstr/>
      </vt:variant>
      <vt:variant>
        <vt:i4>2687009</vt:i4>
      </vt:variant>
      <vt:variant>
        <vt:i4>1806</vt:i4>
      </vt:variant>
      <vt:variant>
        <vt:i4>0</vt:i4>
      </vt:variant>
      <vt:variant>
        <vt:i4>5</vt:i4>
      </vt:variant>
      <vt:variant>
        <vt:lpwstr>http://www.optus.com.au/content/dam/optus/appendix/Appendix S/AppS.doc</vt:lpwstr>
      </vt:variant>
      <vt:variant>
        <vt:lpwstr/>
      </vt:variant>
      <vt:variant>
        <vt:i4>2293803</vt:i4>
      </vt:variant>
      <vt:variant>
        <vt:i4>1803</vt:i4>
      </vt:variant>
      <vt:variant>
        <vt:i4>0</vt:i4>
      </vt:variant>
      <vt:variant>
        <vt:i4>5</vt:i4>
      </vt:variant>
      <vt:variant>
        <vt:lpwstr>http://www.optus.com.au/content/dam/optus/appendix/Appendix Y/AppY.doc</vt:lpwstr>
      </vt:variant>
      <vt:variant>
        <vt:lpwstr/>
      </vt:variant>
      <vt:variant>
        <vt:i4>7929957</vt:i4>
      </vt:variant>
      <vt:variant>
        <vt:i4>1800</vt:i4>
      </vt:variant>
      <vt:variant>
        <vt:i4>0</vt:i4>
      </vt:variant>
      <vt:variant>
        <vt:i4>5</vt:i4>
      </vt:variant>
      <vt:variant>
        <vt:lpwstr>http://www.optus.com.au/content/dam/optus/documents/about-us/legal/DigPricingS1.doc</vt:lpwstr>
      </vt:variant>
      <vt:variant>
        <vt:lpwstr/>
      </vt:variant>
      <vt:variant>
        <vt:i4>6815794</vt:i4>
      </vt:variant>
      <vt:variant>
        <vt:i4>1788</vt:i4>
      </vt:variant>
      <vt:variant>
        <vt:i4>0</vt:i4>
      </vt:variant>
      <vt:variant>
        <vt:i4>5</vt:i4>
      </vt:variant>
      <vt:variant>
        <vt:lpwstr>http://www.optus.com.au/content/dam/optus/documents/about-us/legal/SMETerms.doc</vt:lpwstr>
      </vt:variant>
      <vt:variant>
        <vt:lpwstr/>
      </vt:variant>
      <vt:variant>
        <vt:i4>2687009</vt:i4>
      </vt:variant>
      <vt:variant>
        <vt:i4>1785</vt:i4>
      </vt:variant>
      <vt:variant>
        <vt:i4>0</vt:i4>
      </vt:variant>
      <vt:variant>
        <vt:i4>5</vt:i4>
      </vt:variant>
      <vt:variant>
        <vt:lpwstr>http://www.optus.com.au/content/dam/optus/appendix/Appendix S/AppS.doc</vt:lpwstr>
      </vt:variant>
      <vt:variant>
        <vt:lpwstr/>
      </vt:variant>
      <vt:variant>
        <vt:i4>3145784</vt:i4>
      </vt:variant>
      <vt:variant>
        <vt:i4>1782</vt:i4>
      </vt:variant>
      <vt:variant>
        <vt:i4>0</vt:i4>
      </vt:variant>
      <vt:variant>
        <vt:i4>5</vt:i4>
      </vt:variant>
      <vt:variant>
        <vt:lpwstr>http://www.optus.com.au/content/dam/optus/appendix/Appendix J/AppJ.doc</vt:lpwstr>
      </vt:variant>
      <vt:variant>
        <vt:lpwstr/>
      </vt:variant>
      <vt:variant>
        <vt:i4>2687009</vt:i4>
      </vt:variant>
      <vt:variant>
        <vt:i4>1779</vt:i4>
      </vt:variant>
      <vt:variant>
        <vt:i4>0</vt:i4>
      </vt:variant>
      <vt:variant>
        <vt:i4>5</vt:i4>
      </vt:variant>
      <vt:variant>
        <vt:lpwstr>http://www.optus.com.au/content/dam/optus/appendix/Appendix S/AppS.doc</vt:lpwstr>
      </vt:variant>
      <vt:variant>
        <vt:lpwstr/>
      </vt:variant>
      <vt:variant>
        <vt:i4>1310748</vt:i4>
      </vt:variant>
      <vt:variant>
        <vt:i4>1776</vt:i4>
      </vt:variant>
      <vt:variant>
        <vt:i4>0</vt:i4>
      </vt:variant>
      <vt:variant>
        <vt:i4>5</vt:i4>
      </vt:variant>
      <vt:variant>
        <vt:lpwstr>http://www.optus.com.au/content/dam/optus/appendix/Appendix IB/AppIB.doc</vt:lpwstr>
      </vt:variant>
      <vt:variant>
        <vt:lpwstr/>
      </vt:variant>
      <vt:variant>
        <vt:i4>6815794</vt:i4>
      </vt:variant>
      <vt:variant>
        <vt:i4>1773</vt:i4>
      </vt:variant>
      <vt:variant>
        <vt:i4>0</vt:i4>
      </vt:variant>
      <vt:variant>
        <vt:i4>5</vt:i4>
      </vt:variant>
      <vt:variant>
        <vt:lpwstr>http://www.optus.com.au/content/dam/optus/documents/about-us/legal/SMETerms.doc</vt:lpwstr>
      </vt:variant>
      <vt:variant>
        <vt:lpwstr/>
      </vt:variant>
      <vt:variant>
        <vt:i4>3145784</vt:i4>
      </vt:variant>
      <vt:variant>
        <vt:i4>1770</vt:i4>
      </vt:variant>
      <vt:variant>
        <vt:i4>0</vt:i4>
      </vt:variant>
      <vt:variant>
        <vt:i4>5</vt:i4>
      </vt:variant>
      <vt:variant>
        <vt:lpwstr>http://www.optus.com.au/content/dam/optus/appendix/Appendix J/AppJ.doc</vt:lpwstr>
      </vt:variant>
      <vt:variant>
        <vt:lpwstr/>
      </vt:variant>
      <vt:variant>
        <vt:i4>3145784</vt:i4>
      </vt:variant>
      <vt:variant>
        <vt:i4>1767</vt:i4>
      </vt:variant>
      <vt:variant>
        <vt:i4>0</vt:i4>
      </vt:variant>
      <vt:variant>
        <vt:i4>5</vt:i4>
      </vt:variant>
      <vt:variant>
        <vt:lpwstr>http://www.optus.com.au/content/dam/optus/appendix/Appendix J/AppJ.doc</vt:lpwstr>
      </vt:variant>
      <vt:variant>
        <vt:lpwstr/>
      </vt:variant>
      <vt:variant>
        <vt:i4>2687009</vt:i4>
      </vt:variant>
      <vt:variant>
        <vt:i4>1764</vt:i4>
      </vt:variant>
      <vt:variant>
        <vt:i4>0</vt:i4>
      </vt:variant>
      <vt:variant>
        <vt:i4>5</vt:i4>
      </vt:variant>
      <vt:variant>
        <vt:lpwstr>http://www.optus.com.au/content/dam/optus/appendix/Appendix S/AppS.doc</vt:lpwstr>
      </vt:variant>
      <vt:variant>
        <vt:lpwstr/>
      </vt:variant>
      <vt:variant>
        <vt:i4>1310748</vt:i4>
      </vt:variant>
      <vt:variant>
        <vt:i4>1761</vt:i4>
      </vt:variant>
      <vt:variant>
        <vt:i4>0</vt:i4>
      </vt:variant>
      <vt:variant>
        <vt:i4>5</vt:i4>
      </vt:variant>
      <vt:variant>
        <vt:lpwstr>http://www.optus.com.au/content/dam/optus/appendix/Appendix IB/AppIB.doc</vt:lpwstr>
      </vt:variant>
      <vt:variant>
        <vt:lpwstr/>
      </vt:variant>
      <vt:variant>
        <vt:i4>6815794</vt:i4>
      </vt:variant>
      <vt:variant>
        <vt:i4>1758</vt:i4>
      </vt:variant>
      <vt:variant>
        <vt:i4>0</vt:i4>
      </vt:variant>
      <vt:variant>
        <vt:i4>5</vt:i4>
      </vt:variant>
      <vt:variant>
        <vt:lpwstr>http://www.optus.com.au/content/dam/optus/documents/about-us/legal/SMETerms.doc</vt:lpwstr>
      </vt:variant>
      <vt:variant>
        <vt:lpwstr/>
      </vt:variant>
      <vt:variant>
        <vt:i4>3145784</vt:i4>
      </vt:variant>
      <vt:variant>
        <vt:i4>1755</vt:i4>
      </vt:variant>
      <vt:variant>
        <vt:i4>0</vt:i4>
      </vt:variant>
      <vt:variant>
        <vt:i4>5</vt:i4>
      </vt:variant>
      <vt:variant>
        <vt:lpwstr>http://www.optus.com.au/content/dam/optus/appendix/Appendix J/AppJ.doc</vt:lpwstr>
      </vt:variant>
      <vt:variant>
        <vt:lpwstr/>
      </vt:variant>
      <vt:variant>
        <vt:i4>3145784</vt:i4>
      </vt:variant>
      <vt:variant>
        <vt:i4>1752</vt:i4>
      </vt:variant>
      <vt:variant>
        <vt:i4>0</vt:i4>
      </vt:variant>
      <vt:variant>
        <vt:i4>5</vt:i4>
      </vt:variant>
      <vt:variant>
        <vt:lpwstr>http://www.optus.com.au/content/dam/optus/appendix/Appendix J/AppJ.doc</vt:lpwstr>
      </vt:variant>
      <vt:variant>
        <vt:lpwstr/>
      </vt:variant>
      <vt:variant>
        <vt:i4>4784165</vt:i4>
      </vt:variant>
      <vt:variant>
        <vt:i4>1749</vt:i4>
      </vt:variant>
      <vt:variant>
        <vt:i4>0</vt:i4>
      </vt:variant>
      <vt:variant>
        <vt:i4>5</vt:i4>
      </vt:variant>
      <vt:variant>
        <vt:lpwstr>\\bmgsmp1012\dsc$\DSCOperations\ChronosCentral\121223\Input\119463\Input\pp.1-500_CONSOLIDATED_ONGOING FORMAT CHECKING\section 1</vt:lpwstr>
      </vt:variant>
      <vt:variant>
        <vt:lpwstr/>
      </vt:variant>
      <vt:variant>
        <vt:i4>2687009</vt:i4>
      </vt:variant>
      <vt:variant>
        <vt:i4>1746</vt:i4>
      </vt:variant>
      <vt:variant>
        <vt:i4>0</vt:i4>
      </vt:variant>
      <vt:variant>
        <vt:i4>5</vt:i4>
      </vt:variant>
      <vt:variant>
        <vt:lpwstr>http://www.optus.com.au/content/dam/optus/appendix/Appendix S/AppS.doc</vt:lpwstr>
      </vt:variant>
      <vt:variant>
        <vt:lpwstr/>
      </vt:variant>
      <vt:variant>
        <vt:i4>6815794</vt:i4>
      </vt:variant>
      <vt:variant>
        <vt:i4>1743</vt:i4>
      </vt:variant>
      <vt:variant>
        <vt:i4>0</vt:i4>
      </vt:variant>
      <vt:variant>
        <vt:i4>5</vt:i4>
      </vt:variant>
      <vt:variant>
        <vt:lpwstr>http://www.optus.com.au/content/dam/optus/documents/about-us/legal/SMETerms.doc</vt:lpwstr>
      </vt:variant>
      <vt:variant>
        <vt:lpwstr/>
      </vt:variant>
      <vt:variant>
        <vt:i4>7929957</vt:i4>
      </vt:variant>
      <vt:variant>
        <vt:i4>1740</vt:i4>
      </vt:variant>
      <vt:variant>
        <vt:i4>0</vt:i4>
      </vt:variant>
      <vt:variant>
        <vt:i4>5</vt:i4>
      </vt:variant>
      <vt:variant>
        <vt:lpwstr>http://www.optus.com.au/content/dam/optus/documents/about-us/legal/DigPricingS1.doc</vt:lpwstr>
      </vt:variant>
      <vt:variant>
        <vt:lpwstr/>
      </vt:variant>
      <vt:variant>
        <vt:i4>2293803</vt:i4>
      </vt:variant>
      <vt:variant>
        <vt:i4>1737</vt:i4>
      </vt:variant>
      <vt:variant>
        <vt:i4>0</vt:i4>
      </vt:variant>
      <vt:variant>
        <vt:i4>5</vt:i4>
      </vt:variant>
      <vt:variant>
        <vt:lpwstr>http://www.optus.com.au/content/dam/optus/appendix/Appendix Y/AppY.doc</vt:lpwstr>
      </vt:variant>
      <vt:variant>
        <vt:lpwstr/>
      </vt:variant>
      <vt:variant>
        <vt:i4>3145784</vt:i4>
      </vt:variant>
      <vt:variant>
        <vt:i4>1734</vt:i4>
      </vt:variant>
      <vt:variant>
        <vt:i4>0</vt:i4>
      </vt:variant>
      <vt:variant>
        <vt:i4>5</vt:i4>
      </vt:variant>
      <vt:variant>
        <vt:lpwstr>http://www.optus.com.au/content/dam/optus/appendix/Appendix J/AppJ.doc</vt:lpwstr>
      </vt:variant>
      <vt:variant>
        <vt:lpwstr/>
      </vt:variant>
      <vt:variant>
        <vt:i4>3145784</vt:i4>
      </vt:variant>
      <vt:variant>
        <vt:i4>1731</vt:i4>
      </vt:variant>
      <vt:variant>
        <vt:i4>0</vt:i4>
      </vt:variant>
      <vt:variant>
        <vt:i4>5</vt:i4>
      </vt:variant>
      <vt:variant>
        <vt:lpwstr>http://www.optus.com.au/content/dam/optus/appendix/Appendix J/AppJ.doc</vt:lpwstr>
      </vt:variant>
      <vt:variant>
        <vt:lpwstr/>
      </vt:variant>
      <vt:variant>
        <vt:i4>3145784</vt:i4>
      </vt:variant>
      <vt:variant>
        <vt:i4>1728</vt:i4>
      </vt:variant>
      <vt:variant>
        <vt:i4>0</vt:i4>
      </vt:variant>
      <vt:variant>
        <vt:i4>5</vt:i4>
      </vt:variant>
      <vt:variant>
        <vt:lpwstr>http://www.optus.com.au/content/dam/optus/appendix/Appendix J/AppJ.doc</vt:lpwstr>
      </vt:variant>
      <vt:variant>
        <vt:lpwstr/>
      </vt:variant>
      <vt:variant>
        <vt:i4>1310748</vt:i4>
      </vt:variant>
      <vt:variant>
        <vt:i4>1725</vt:i4>
      </vt:variant>
      <vt:variant>
        <vt:i4>0</vt:i4>
      </vt:variant>
      <vt:variant>
        <vt:i4>5</vt:i4>
      </vt:variant>
      <vt:variant>
        <vt:lpwstr>http://www.optus.com.au/content/dam/optus/appendix/Appendix IB/AppIB.doc</vt:lpwstr>
      </vt:variant>
      <vt:variant>
        <vt:lpwstr/>
      </vt:variant>
      <vt:variant>
        <vt:i4>6815794</vt:i4>
      </vt:variant>
      <vt:variant>
        <vt:i4>1722</vt:i4>
      </vt:variant>
      <vt:variant>
        <vt:i4>0</vt:i4>
      </vt:variant>
      <vt:variant>
        <vt:i4>5</vt:i4>
      </vt:variant>
      <vt:variant>
        <vt:lpwstr>http://www.optus.com.au/content/dam/optus/documents/about-us/legal/SMETerms.doc</vt:lpwstr>
      </vt:variant>
      <vt:variant>
        <vt:lpwstr/>
      </vt:variant>
      <vt:variant>
        <vt:i4>3145784</vt:i4>
      </vt:variant>
      <vt:variant>
        <vt:i4>1719</vt:i4>
      </vt:variant>
      <vt:variant>
        <vt:i4>0</vt:i4>
      </vt:variant>
      <vt:variant>
        <vt:i4>5</vt:i4>
      </vt:variant>
      <vt:variant>
        <vt:lpwstr>http://www.optus.com.au/content/dam/optus/appendix/Appendix J/AppJ.doc</vt:lpwstr>
      </vt:variant>
      <vt:variant>
        <vt:lpwstr/>
      </vt:variant>
      <vt:variant>
        <vt:i4>3145784</vt:i4>
      </vt:variant>
      <vt:variant>
        <vt:i4>1716</vt:i4>
      </vt:variant>
      <vt:variant>
        <vt:i4>0</vt:i4>
      </vt:variant>
      <vt:variant>
        <vt:i4>5</vt:i4>
      </vt:variant>
      <vt:variant>
        <vt:lpwstr>http://www.optus.com.au/content/dam/optus/appendix/Appendix J/AppJ.doc</vt:lpwstr>
      </vt:variant>
      <vt:variant>
        <vt:lpwstr/>
      </vt:variant>
      <vt:variant>
        <vt:i4>2687009</vt:i4>
      </vt:variant>
      <vt:variant>
        <vt:i4>1713</vt:i4>
      </vt:variant>
      <vt:variant>
        <vt:i4>0</vt:i4>
      </vt:variant>
      <vt:variant>
        <vt:i4>5</vt:i4>
      </vt:variant>
      <vt:variant>
        <vt:lpwstr>http://www.optus.com.au/content/dam/optus/appendix/Appendix S/AppS.doc</vt:lpwstr>
      </vt:variant>
      <vt:variant>
        <vt:lpwstr/>
      </vt:variant>
      <vt:variant>
        <vt:i4>2687009</vt:i4>
      </vt:variant>
      <vt:variant>
        <vt:i4>1710</vt:i4>
      </vt:variant>
      <vt:variant>
        <vt:i4>0</vt:i4>
      </vt:variant>
      <vt:variant>
        <vt:i4>5</vt:i4>
      </vt:variant>
      <vt:variant>
        <vt:lpwstr>http://www.optus.com.au/content/dam/optus/appendix/Appendix S/AppS.doc</vt:lpwstr>
      </vt:variant>
      <vt:variant>
        <vt:lpwstr/>
      </vt:variant>
      <vt:variant>
        <vt:i4>2687009</vt:i4>
      </vt:variant>
      <vt:variant>
        <vt:i4>1707</vt:i4>
      </vt:variant>
      <vt:variant>
        <vt:i4>0</vt:i4>
      </vt:variant>
      <vt:variant>
        <vt:i4>5</vt:i4>
      </vt:variant>
      <vt:variant>
        <vt:lpwstr>http://www.optus.com.au/content/dam/optus/appendix/Appendix S/AppS.doc</vt:lpwstr>
      </vt:variant>
      <vt:variant>
        <vt:lpwstr/>
      </vt:variant>
      <vt:variant>
        <vt:i4>1310748</vt:i4>
      </vt:variant>
      <vt:variant>
        <vt:i4>1704</vt:i4>
      </vt:variant>
      <vt:variant>
        <vt:i4>0</vt:i4>
      </vt:variant>
      <vt:variant>
        <vt:i4>5</vt:i4>
      </vt:variant>
      <vt:variant>
        <vt:lpwstr>http://www.optus.com.au/content/dam/optus/appendix/Appendix IB/AppIB.doc</vt:lpwstr>
      </vt:variant>
      <vt:variant>
        <vt:lpwstr/>
      </vt:variant>
      <vt:variant>
        <vt:i4>6815794</vt:i4>
      </vt:variant>
      <vt:variant>
        <vt:i4>1701</vt:i4>
      </vt:variant>
      <vt:variant>
        <vt:i4>0</vt:i4>
      </vt:variant>
      <vt:variant>
        <vt:i4>5</vt:i4>
      </vt:variant>
      <vt:variant>
        <vt:lpwstr>http://www.optus.com.au/content/dam/optus/documents/about-us/legal/SMETerms.doc</vt:lpwstr>
      </vt:variant>
      <vt:variant>
        <vt:lpwstr/>
      </vt:variant>
      <vt:variant>
        <vt:i4>2293803</vt:i4>
      </vt:variant>
      <vt:variant>
        <vt:i4>1698</vt:i4>
      </vt:variant>
      <vt:variant>
        <vt:i4>0</vt:i4>
      </vt:variant>
      <vt:variant>
        <vt:i4>5</vt:i4>
      </vt:variant>
      <vt:variant>
        <vt:lpwstr>http://www.optus.com.au/content/dam/optus/appendix/Appendix Y/AppY.doc</vt:lpwstr>
      </vt:variant>
      <vt:variant>
        <vt:lpwstr/>
      </vt:variant>
      <vt:variant>
        <vt:i4>3145784</vt:i4>
      </vt:variant>
      <vt:variant>
        <vt:i4>1695</vt:i4>
      </vt:variant>
      <vt:variant>
        <vt:i4>0</vt:i4>
      </vt:variant>
      <vt:variant>
        <vt:i4>5</vt:i4>
      </vt:variant>
      <vt:variant>
        <vt:lpwstr>http://www.optus.com.au/content/dam/optus/appendix/Appendix J/AppJ.doc</vt:lpwstr>
      </vt:variant>
      <vt:variant>
        <vt:lpwstr/>
      </vt:variant>
      <vt:variant>
        <vt:i4>2687009</vt:i4>
      </vt:variant>
      <vt:variant>
        <vt:i4>1692</vt:i4>
      </vt:variant>
      <vt:variant>
        <vt:i4>0</vt:i4>
      </vt:variant>
      <vt:variant>
        <vt:i4>5</vt:i4>
      </vt:variant>
      <vt:variant>
        <vt:lpwstr>http://www.optus.com.au/content/dam/optus/appendix/Appendix S/AppS.doc</vt:lpwstr>
      </vt:variant>
      <vt:variant>
        <vt:lpwstr/>
      </vt:variant>
      <vt:variant>
        <vt:i4>3145784</vt:i4>
      </vt:variant>
      <vt:variant>
        <vt:i4>1689</vt:i4>
      </vt:variant>
      <vt:variant>
        <vt:i4>0</vt:i4>
      </vt:variant>
      <vt:variant>
        <vt:i4>5</vt:i4>
      </vt:variant>
      <vt:variant>
        <vt:lpwstr>http://www.optus.com.au/content/dam/optus/appendix/Appendix J/AppJ.doc</vt:lpwstr>
      </vt:variant>
      <vt:variant>
        <vt:lpwstr/>
      </vt:variant>
      <vt:variant>
        <vt:i4>3145784</vt:i4>
      </vt:variant>
      <vt:variant>
        <vt:i4>1686</vt:i4>
      </vt:variant>
      <vt:variant>
        <vt:i4>0</vt:i4>
      </vt:variant>
      <vt:variant>
        <vt:i4>5</vt:i4>
      </vt:variant>
      <vt:variant>
        <vt:lpwstr>http://www.optus.com.au/content/dam/optus/appendix/Appendix J/AppJ.doc</vt:lpwstr>
      </vt:variant>
      <vt:variant>
        <vt:lpwstr/>
      </vt:variant>
      <vt:variant>
        <vt:i4>2687009</vt:i4>
      </vt:variant>
      <vt:variant>
        <vt:i4>1683</vt:i4>
      </vt:variant>
      <vt:variant>
        <vt:i4>0</vt:i4>
      </vt:variant>
      <vt:variant>
        <vt:i4>5</vt:i4>
      </vt:variant>
      <vt:variant>
        <vt:lpwstr>http://www.optus.com.au/content/dam/optus/appendix/Appendix S/AppS.doc</vt:lpwstr>
      </vt:variant>
      <vt:variant>
        <vt:lpwstr/>
      </vt:variant>
      <vt:variant>
        <vt:i4>2687009</vt:i4>
      </vt:variant>
      <vt:variant>
        <vt:i4>1680</vt:i4>
      </vt:variant>
      <vt:variant>
        <vt:i4>0</vt:i4>
      </vt:variant>
      <vt:variant>
        <vt:i4>5</vt:i4>
      </vt:variant>
      <vt:variant>
        <vt:lpwstr>http://www.optus.com.au/content/dam/optus/appendix/Appendix S/AppS.doc</vt:lpwstr>
      </vt:variant>
      <vt:variant>
        <vt:lpwstr/>
      </vt:variant>
      <vt:variant>
        <vt:i4>1310748</vt:i4>
      </vt:variant>
      <vt:variant>
        <vt:i4>1677</vt:i4>
      </vt:variant>
      <vt:variant>
        <vt:i4>0</vt:i4>
      </vt:variant>
      <vt:variant>
        <vt:i4>5</vt:i4>
      </vt:variant>
      <vt:variant>
        <vt:lpwstr>http://www.optus.com.au/content/dam/optus/appendix/Appendix IB/AppIB.doc</vt:lpwstr>
      </vt:variant>
      <vt:variant>
        <vt:lpwstr/>
      </vt:variant>
      <vt:variant>
        <vt:i4>1310748</vt:i4>
      </vt:variant>
      <vt:variant>
        <vt:i4>1674</vt:i4>
      </vt:variant>
      <vt:variant>
        <vt:i4>0</vt:i4>
      </vt:variant>
      <vt:variant>
        <vt:i4>5</vt:i4>
      </vt:variant>
      <vt:variant>
        <vt:lpwstr>http://www.optus.com.au/content/dam/optus/appendix/Appendix IB/AppIB.doc</vt:lpwstr>
      </vt:variant>
      <vt:variant>
        <vt:lpwstr/>
      </vt:variant>
      <vt:variant>
        <vt:i4>6815794</vt:i4>
      </vt:variant>
      <vt:variant>
        <vt:i4>1671</vt:i4>
      </vt:variant>
      <vt:variant>
        <vt:i4>0</vt:i4>
      </vt:variant>
      <vt:variant>
        <vt:i4>5</vt:i4>
      </vt:variant>
      <vt:variant>
        <vt:lpwstr>http://www.optus.com.au/content/dam/optus/documents/about-us/legal/SMETerms.doc</vt:lpwstr>
      </vt:variant>
      <vt:variant>
        <vt:lpwstr/>
      </vt:variant>
      <vt:variant>
        <vt:i4>7929957</vt:i4>
      </vt:variant>
      <vt:variant>
        <vt:i4>1668</vt:i4>
      </vt:variant>
      <vt:variant>
        <vt:i4>0</vt:i4>
      </vt:variant>
      <vt:variant>
        <vt:i4>5</vt:i4>
      </vt:variant>
      <vt:variant>
        <vt:lpwstr>http://www.optus.com.au/content/dam/optus/documents/about-us/legal/DigPricingS1.doc</vt:lpwstr>
      </vt:variant>
      <vt:variant>
        <vt:lpwstr/>
      </vt:variant>
      <vt:variant>
        <vt:i4>7929957</vt:i4>
      </vt:variant>
      <vt:variant>
        <vt:i4>1665</vt:i4>
      </vt:variant>
      <vt:variant>
        <vt:i4>0</vt:i4>
      </vt:variant>
      <vt:variant>
        <vt:i4>5</vt:i4>
      </vt:variant>
      <vt:variant>
        <vt:lpwstr>http://www.optus.com.au/content/dam/optus/documents/about-us/legal/DigPricingS1.doc</vt:lpwstr>
      </vt:variant>
      <vt:variant>
        <vt:lpwstr/>
      </vt:variant>
      <vt:variant>
        <vt:i4>2293803</vt:i4>
      </vt:variant>
      <vt:variant>
        <vt:i4>1662</vt:i4>
      </vt:variant>
      <vt:variant>
        <vt:i4>0</vt:i4>
      </vt:variant>
      <vt:variant>
        <vt:i4>5</vt:i4>
      </vt:variant>
      <vt:variant>
        <vt:lpwstr>http://www.optus.com.au/content/dam/optus/appendix/Appendix Y/AppY.doc</vt:lpwstr>
      </vt:variant>
      <vt:variant>
        <vt:lpwstr/>
      </vt:variant>
      <vt:variant>
        <vt:i4>3145784</vt:i4>
      </vt:variant>
      <vt:variant>
        <vt:i4>1659</vt:i4>
      </vt:variant>
      <vt:variant>
        <vt:i4>0</vt:i4>
      </vt:variant>
      <vt:variant>
        <vt:i4>5</vt:i4>
      </vt:variant>
      <vt:variant>
        <vt:lpwstr>http://www.optus.com.au/content/dam/optus/appendix/Appendix J/AppJ.doc</vt:lpwstr>
      </vt:variant>
      <vt:variant>
        <vt:lpwstr/>
      </vt:variant>
      <vt:variant>
        <vt:i4>3145784</vt:i4>
      </vt:variant>
      <vt:variant>
        <vt:i4>1656</vt:i4>
      </vt:variant>
      <vt:variant>
        <vt:i4>0</vt:i4>
      </vt:variant>
      <vt:variant>
        <vt:i4>5</vt:i4>
      </vt:variant>
      <vt:variant>
        <vt:lpwstr>http://www.optus.com.au/content/dam/optus/appendix/Appendix J/AppJ.doc</vt:lpwstr>
      </vt:variant>
      <vt:variant>
        <vt:lpwstr/>
      </vt:variant>
      <vt:variant>
        <vt:i4>3145784</vt:i4>
      </vt:variant>
      <vt:variant>
        <vt:i4>1653</vt:i4>
      </vt:variant>
      <vt:variant>
        <vt:i4>0</vt:i4>
      </vt:variant>
      <vt:variant>
        <vt:i4>5</vt:i4>
      </vt:variant>
      <vt:variant>
        <vt:lpwstr>http://www.optus.com.au/content/dam/optus/appendix/Appendix J/AppJ.doc</vt:lpwstr>
      </vt:variant>
      <vt:variant>
        <vt:lpwstr/>
      </vt:variant>
      <vt:variant>
        <vt:i4>1310748</vt:i4>
      </vt:variant>
      <vt:variant>
        <vt:i4>1650</vt:i4>
      </vt:variant>
      <vt:variant>
        <vt:i4>0</vt:i4>
      </vt:variant>
      <vt:variant>
        <vt:i4>5</vt:i4>
      </vt:variant>
      <vt:variant>
        <vt:lpwstr>http://www.optus.com.au/content/dam/optus/appendix/Appendix IB/AppIB.doc</vt:lpwstr>
      </vt:variant>
      <vt:variant>
        <vt:lpwstr/>
      </vt:variant>
      <vt:variant>
        <vt:i4>1310748</vt:i4>
      </vt:variant>
      <vt:variant>
        <vt:i4>1647</vt:i4>
      </vt:variant>
      <vt:variant>
        <vt:i4>0</vt:i4>
      </vt:variant>
      <vt:variant>
        <vt:i4>5</vt:i4>
      </vt:variant>
      <vt:variant>
        <vt:lpwstr>http://www.optus.com.au/content/dam/optus/appendix/Appendix IB/AppIB.doc</vt:lpwstr>
      </vt:variant>
      <vt:variant>
        <vt:lpwstr/>
      </vt:variant>
      <vt:variant>
        <vt:i4>6815794</vt:i4>
      </vt:variant>
      <vt:variant>
        <vt:i4>1644</vt:i4>
      </vt:variant>
      <vt:variant>
        <vt:i4>0</vt:i4>
      </vt:variant>
      <vt:variant>
        <vt:i4>5</vt:i4>
      </vt:variant>
      <vt:variant>
        <vt:lpwstr>http://www.optus.com.au/content/dam/optus/documents/about-us/legal/SMETerms.doc</vt:lpwstr>
      </vt:variant>
      <vt:variant>
        <vt:lpwstr/>
      </vt:variant>
      <vt:variant>
        <vt:i4>2293803</vt:i4>
      </vt:variant>
      <vt:variant>
        <vt:i4>1641</vt:i4>
      </vt:variant>
      <vt:variant>
        <vt:i4>0</vt:i4>
      </vt:variant>
      <vt:variant>
        <vt:i4>5</vt:i4>
      </vt:variant>
      <vt:variant>
        <vt:lpwstr>http://www.optus.com.au/content/dam/optus/appendix/Appendix Y/AppY.doc</vt:lpwstr>
      </vt:variant>
      <vt:variant>
        <vt:lpwstr/>
      </vt:variant>
      <vt:variant>
        <vt:i4>3145784</vt:i4>
      </vt:variant>
      <vt:variant>
        <vt:i4>1638</vt:i4>
      </vt:variant>
      <vt:variant>
        <vt:i4>0</vt:i4>
      </vt:variant>
      <vt:variant>
        <vt:i4>5</vt:i4>
      </vt:variant>
      <vt:variant>
        <vt:lpwstr>http://www.optus.com.au/content/dam/optus/appendix/Appendix J/AppJ.doc</vt:lpwstr>
      </vt:variant>
      <vt:variant>
        <vt:lpwstr/>
      </vt:variant>
      <vt:variant>
        <vt:i4>3145784</vt:i4>
      </vt:variant>
      <vt:variant>
        <vt:i4>1635</vt:i4>
      </vt:variant>
      <vt:variant>
        <vt:i4>0</vt:i4>
      </vt:variant>
      <vt:variant>
        <vt:i4>5</vt:i4>
      </vt:variant>
      <vt:variant>
        <vt:lpwstr>http://www.optus.com.au/content/dam/optus/appendix/Appendix J/AppJ.doc</vt:lpwstr>
      </vt:variant>
      <vt:variant>
        <vt:lpwstr/>
      </vt:variant>
      <vt:variant>
        <vt:i4>3145784</vt:i4>
      </vt:variant>
      <vt:variant>
        <vt:i4>1632</vt:i4>
      </vt:variant>
      <vt:variant>
        <vt:i4>0</vt:i4>
      </vt:variant>
      <vt:variant>
        <vt:i4>5</vt:i4>
      </vt:variant>
      <vt:variant>
        <vt:lpwstr>http://www.optus.com.au/content/dam/optus/appendix/Appendix J/AppJ.doc</vt:lpwstr>
      </vt:variant>
      <vt:variant>
        <vt:lpwstr/>
      </vt:variant>
      <vt:variant>
        <vt:i4>3145784</vt:i4>
      </vt:variant>
      <vt:variant>
        <vt:i4>1629</vt:i4>
      </vt:variant>
      <vt:variant>
        <vt:i4>0</vt:i4>
      </vt:variant>
      <vt:variant>
        <vt:i4>5</vt:i4>
      </vt:variant>
      <vt:variant>
        <vt:lpwstr>http://www.optus.com.au/content/dam/optus/appendix/Appendix J/AppJ.doc</vt:lpwstr>
      </vt:variant>
      <vt:variant>
        <vt:lpwstr/>
      </vt:variant>
      <vt:variant>
        <vt:i4>1310748</vt:i4>
      </vt:variant>
      <vt:variant>
        <vt:i4>1626</vt:i4>
      </vt:variant>
      <vt:variant>
        <vt:i4>0</vt:i4>
      </vt:variant>
      <vt:variant>
        <vt:i4>5</vt:i4>
      </vt:variant>
      <vt:variant>
        <vt:lpwstr>http://www.optus.com.au/content/dam/optus/appendix/Appendix IB/AppIB.doc</vt:lpwstr>
      </vt:variant>
      <vt:variant>
        <vt:lpwstr/>
      </vt:variant>
      <vt:variant>
        <vt:i4>1310748</vt:i4>
      </vt:variant>
      <vt:variant>
        <vt:i4>1623</vt:i4>
      </vt:variant>
      <vt:variant>
        <vt:i4>0</vt:i4>
      </vt:variant>
      <vt:variant>
        <vt:i4>5</vt:i4>
      </vt:variant>
      <vt:variant>
        <vt:lpwstr>http://www.optus.com.au/content/dam/optus/appendix/Appendix IB/AppIB.doc</vt:lpwstr>
      </vt:variant>
      <vt:variant>
        <vt:lpwstr/>
      </vt:variant>
      <vt:variant>
        <vt:i4>6815794</vt:i4>
      </vt:variant>
      <vt:variant>
        <vt:i4>1620</vt:i4>
      </vt:variant>
      <vt:variant>
        <vt:i4>0</vt:i4>
      </vt:variant>
      <vt:variant>
        <vt:i4>5</vt:i4>
      </vt:variant>
      <vt:variant>
        <vt:lpwstr>http://www.optus.com.au/content/dam/optus/documents/about-us/legal/SMETerms.doc</vt:lpwstr>
      </vt:variant>
      <vt:variant>
        <vt:lpwstr/>
      </vt:variant>
      <vt:variant>
        <vt:i4>2293803</vt:i4>
      </vt:variant>
      <vt:variant>
        <vt:i4>1617</vt:i4>
      </vt:variant>
      <vt:variant>
        <vt:i4>0</vt:i4>
      </vt:variant>
      <vt:variant>
        <vt:i4>5</vt:i4>
      </vt:variant>
      <vt:variant>
        <vt:lpwstr>http://www.optus.com.au/content/dam/optus/appendix/Appendix Y/AppY.doc</vt:lpwstr>
      </vt:variant>
      <vt:variant>
        <vt:lpwstr/>
      </vt:variant>
      <vt:variant>
        <vt:i4>3145784</vt:i4>
      </vt:variant>
      <vt:variant>
        <vt:i4>1614</vt:i4>
      </vt:variant>
      <vt:variant>
        <vt:i4>0</vt:i4>
      </vt:variant>
      <vt:variant>
        <vt:i4>5</vt:i4>
      </vt:variant>
      <vt:variant>
        <vt:lpwstr>http://www.optus.com.au/content/dam/optus/appendix/Appendix J/AppJ.doc</vt:lpwstr>
      </vt:variant>
      <vt:variant>
        <vt:lpwstr/>
      </vt:variant>
      <vt:variant>
        <vt:i4>3145784</vt:i4>
      </vt:variant>
      <vt:variant>
        <vt:i4>1611</vt:i4>
      </vt:variant>
      <vt:variant>
        <vt:i4>0</vt:i4>
      </vt:variant>
      <vt:variant>
        <vt:i4>5</vt:i4>
      </vt:variant>
      <vt:variant>
        <vt:lpwstr>http://www.optus.com.au/content/dam/optus/appendix/Appendix J/AppJ.doc</vt:lpwstr>
      </vt:variant>
      <vt:variant>
        <vt:lpwstr/>
      </vt:variant>
      <vt:variant>
        <vt:i4>3145784</vt:i4>
      </vt:variant>
      <vt:variant>
        <vt:i4>1608</vt:i4>
      </vt:variant>
      <vt:variant>
        <vt:i4>0</vt:i4>
      </vt:variant>
      <vt:variant>
        <vt:i4>5</vt:i4>
      </vt:variant>
      <vt:variant>
        <vt:lpwstr>http://www.optus.com.au/content/dam/optus/appendix/Appendix J/AppJ.doc</vt:lpwstr>
      </vt:variant>
      <vt:variant>
        <vt:lpwstr/>
      </vt:variant>
      <vt:variant>
        <vt:i4>3145784</vt:i4>
      </vt:variant>
      <vt:variant>
        <vt:i4>1605</vt:i4>
      </vt:variant>
      <vt:variant>
        <vt:i4>0</vt:i4>
      </vt:variant>
      <vt:variant>
        <vt:i4>5</vt:i4>
      </vt:variant>
      <vt:variant>
        <vt:lpwstr>http://www.optus.com.au/content/dam/optus/appendix/Appendix J/AppJ.doc</vt:lpwstr>
      </vt:variant>
      <vt:variant>
        <vt:lpwstr/>
      </vt:variant>
      <vt:variant>
        <vt:i4>6815794</vt:i4>
      </vt:variant>
      <vt:variant>
        <vt:i4>1602</vt:i4>
      </vt:variant>
      <vt:variant>
        <vt:i4>0</vt:i4>
      </vt:variant>
      <vt:variant>
        <vt:i4>5</vt:i4>
      </vt:variant>
      <vt:variant>
        <vt:lpwstr>http://www.optus.com.au/content/dam/optus/documents/about-us/legal/SMETerms.doc</vt:lpwstr>
      </vt:variant>
      <vt:variant>
        <vt:lpwstr/>
      </vt:variant>
      <vt:variant>
        <vt:i4>5177423</vt:i4>
      </vt:variant>
      <vt:variant>
        <vt:i4>1599</vt:i4>
      </vt:variant>
      <vt:variant>
        <vt:i4>0</vt:i4>
      </vt:variant>
      <vt:variant>
        <vt:i4>5</vt:i4>
      </vt:variant>
      <vt:variant>
        <vt:lpwstr>http://www.optus.com.au/dafiles/OCA/AboutOptus/LegalAndRegulatory/SharedStaticFiles/SharedDocuments/AppW.doc</vt:lpwstr>
      </vt:variant>
      <vt:variant>
        <vt:lpwstr/>
      </vt:variant>
      <vt:variant>
        <vt:i4>6815794</vt:i4>
      </vt:variant>
      <vt:variant>
        <vt:i4>1596</vt:i4>
      </vt:variant>
      <vt:variant>
        <vt:i4>0</vt:i4>
      </vt:variant>
      <vt:variant>
        <vt:i4>5</vt:i4>
      </vt:variant>
      <vt:variant>
        <vt:lpwstr>http://www.optus.com.au/content/dam/optus/documents/about-us/legal/SMETerms.doc</vt:lpwstr>
      </vt:variant>
      <vt:variant>
        <vt:lpwstr/>
      </vt:variant>
      <vt:variant>
        <vt:i4>6815794</vt:i4>
      </vt:variant>
      <vt:variant>
        <vt:i4>1590</vt:i4>
      </vt:variant>
      <vt:variant>
        <vt:i4>0</vt:i4>
      </vt:variant>
      <vt:variant>
        <vt:i4>5</vt:i4>
      </vt:variant>
      <vt:variant>
        <vt:lpwstr>http://www.optus.com.au/content/dam/optus/documents/about-us/legal/SMETerms.doc</vt:lpwstr>
      </vt:variant>
      <vt:variant>
        <vt:lpwstr/>
      </vt:variant>
      <vt:variant>
        <vt:i4>2293803</vt:i4>
      </vt:variant>
      <vt:variant>
        <vt:i4>1584</vt:i4>
      </vt:variant>
      <vt:variant>
        <vt:i4>0</vt:i4>
      </vt:variant>
      <vt:variant>
        <vt:i4>5</vt:i4>
      </vt:variant>
      <vt:variant>
        <vt:lpwstr>http://www.optus.com.au/content/dam/optus/appendix/Appendix Y/AppY.doc</vt:lpwstr>
      </vt:variant>
      <vt:variant>
        <vt:lpwstr/>
      </vt:variant>
      <vt:variant>
        <vt:i4>7929957</vt:i4>
      </vt:variant>
      <vt:variant>
        <vt:i4>1581</vt:i4>
      </vt:variant>
      <vt:variant>
        <vt:i4>0</vt:i4>
      </vt:variant>
      <vt:variant>
        <vt:i4>5</vt:i4>
      </vt:variant>
      <vt:variant>
        <vt:lpwstr>http://www.optus.com.au/content/dam/optus/documents/about-us/legal/DigPricingS1.doc</vt:lpwstr>
      </vt:variant>
      <vt:variant>
        <vt:lpwstr/>
      </vt:variant>
      <vt:variant>
        <vt:i4>6815794</vt:i4>
      </vt:variant>
      <vt:variant>
        <vt:i4>1575</vt:i4>
      </vt:variant>
      <vt:variant>
        <vt:i4>0</vt:i4>
      </vt:variant>
      <vt:variant>
        <vt:i4>5</vt:i4>
      </vt:variant>
      <vt:variant>
        <vt:lpwstr>http://www.optus.com.au/content/dam/optus/documents/about-us/legal/SMETerms.doc</vt:lpwstr>
      </vt:variant>
      <vt:variant>
        <vt:lpwstr/>
      </vt:variant>
      <vt:variant>
        <vt:i4>6815794</vt:i4>
      </vt:variant>
      <vt:variant>
        <vt:i4>1566</vt:i4>
      </vt:variant>
      <vt:variant>
        <vt:i4>0</vt:i4>
      </vt:variant>
      <vt:variant>
        <vt:i4>5</vt:i4>
      </vt:variant>
      <vt:variant>
        <vt:lpwstr>http://www.optus.com.au/content/dam/optus/documents/about-us/legal/SMETerms.doc</vt:lpwstr>
      </vt:variant>
      <vt:variant>
        <vt:lpwstr/>
      </vt:variant>
      <vt:variant>
        <vt:i4>6815794</vt:i4>
      </vt:variant>
      <vt:variant>
        <vt:i4>1560</vt:i4>
      </vt:variant>
      <vt:variant>
        <vt:i4>0</vt:i4>
      </vt:variant>
      <vt:variant>
        <vt:i4>5</vt:i4>
      </vt:variant>
      <vt:variant>
        <vt:lpwstr>http://www.optus.com.au/content/dam/optus/documents/about-us/legal/SMETerms.doc</vt:lpwstr>
      </vt:variant>
      <vt:variant>
        <vt:lpwstr/>
      </vt:variant>
      <vt:variant>
        <vt:i4>7929957</vt:i4>
      </vt:variant>
      <vt:variant>
        <vt:i4>1557</vt:i4>
      </vt:variant>
      <vt:variant>
        <vt:i4>0</vt:i4>
      </vt:variant>
      <vt:variant>
        <vt:i4>5</vt:i4>
      </vt:variant>
      <vt:variant>
        <vt:lpwstr>http://www.optus.com.au/content/dam/optus/documents/about-us/legal/DigPricingS1.doc</vt:lpwstr>
      </vt:variant>
      <vt:variant>
        <vt:lpwstr/>
      </vt:variant>
      <vt:variant>
        <vt:i4>7929957</vt:i4>
      </vt:variant>
      <vt:variant>
        <vt:i4>1554</vt:i4>
      </vt:variant>
      <vt:variant>
        <vt:i4>0</vt:i4>
      </vt:variant>
      <vt:variant>
        <vt:i4>5</vt:i4>
      </vt:variant>
      <vt:variant>
        <vt:lpwstr>http://www.optus.com.au/content/dam/optus/documents/about-us/legal/DigPricingS1.doc</vt:lpwstr>
      </vt:variant>
      <vt:variant>
        <vt:lpwstr/>
      </vt:variant>
      <vt:variant>
        <vt:i4>7929957</vt:i4>
      </vt:variant>
      <vt:variant>
        <vt:i4>1551</vt:i4>
      </vt:variant>
      <vt:variant>
        <vt:i4>0</vt:i4>
      </vt:variant>
      <vt:variant>
        <vt:i4>5</vt:i4>
      </vt:variant>
      <vt:variant>
        <vt:lpwstr>http://www.optus.com.au/content/dam/optus/documents/about-us/legal/DigPricingS1.doc</vt:lpwstr>
      </vt:variant>
      <vt:variant>
        <vt:lpwstr/>
      </vt:variant>
      <vt:variant>
        <vt:i4>7929957</vt:i4>
      </vt:variant>
      <vt:variant>
        <vt:i4>1548</vt:i4>
      </vt:variant>
      <vt:variant>
        <vt:i4>0</vt:i4>
      </vt:variant>
      <vt:variant>
        <vt:i4>5</vt:i4>
      </vt:variant>
      <vt:variant>
        <vt:lpwstr>http://www.optus.com.au/content/dam/optus/documents/about-us/legal/DigPricingS1.doc</vt:lpwstr>
      </vt:variant>
      <vt:variant>
        <vt:lpwstr/>
      </vt:variant>
      <vt:variant>
        <vt:i4>6815794</vt:i4>
      </vt:variant>
      <vt:variant>
        <vt:i4>1539</vt:i4>
      </vt:variant>
      <vt:variant>
        <vt:i4>0</vt:i4>
      </vt:variant>
      <vt:variant>
        <vt:i4>5</vt:i4>
      </vt:variant>
      <vt:variant>
        <vt:lpwstr>http://www.optus.com.au/content/dam/optus/documents/about-us/legal/SMETerms.doc</vt:lpwstr>
      </vt:variant>
      <vt:variant>
        <vt:lpwstr/>
      </vt:variant>
      <vt:variant>
        <vt:i4>5177423</vt:i4>
      </vt:variant>
      <vt:variant>
        <vt:i4>1533</vt:i4>
      </vt:variant>
      <vt:variant>
        <vt:i4>0</vt:i4>
      </vt:variant>
      <vt:variant>
        <vt:i4>5</vt:i4>
      </vt:variant>
      <vt:variant>
        <vt:lpwstr>http://www.optus.com.au/dafiles/OCA/AboutOptus/LegalAndRegulatory/SharedStaticFiles/SharedDocuments/AppW.doc</vt:lpwstr>
      </vt:variant>
      <vt:variant>
        <vt:lpwstr/>
      </vt:variant>
      <vt:variant>
        <vt:i4>6815794</vt:i4>
      </vt:variant>
      <vt:variant>
        <vt:i4>1530</vt:i4>
      </vt:variant>
      <vt:variant>
        <vt:i4>0</vt:i4>
      </vt:variant>
      <vt:variant>
        <vt:i4>5</vt:i4>
      </vt:variant>
      <vt:variant>
        <vt:lpwstr>http://www.optus.com.au/content/dam/optus/documents/about-us/legal/SMETerms.doc</vt:lpwstr>
      </vt:variant>
      <vt:variant>
        <vt:lpwstr/>
      </vt:variant>
      <vt:variant>
        <vt:i4>6815794</vt:i4>
      </vt:variant>
      <vt:variant>
        <vt:i4>1521</vt:i4>
      </vt:variant>
      <vt:variant>
        <vt:i4>0</vt:i4>
      </vt:variant>
      <vt:variant>
        <vt:i4>5</vt:i4>
      </vt:variant>
      <vt:variant>
        <vt:lpwstr>http://www.optus.com.au/content/dam/optus/documents/about-us/legal/SMETerms.doc</vt:lpwstr>
      </vt:variant>
      <vt:variant>
        <vt:lpwstr/>
      </vt:variant>
      <vt:variant>
        <vt:i4>5177423</vt:i4>
      </vt:variant>
      <vt:variant>
        <vt:i4>1512</vt:i4>
      </vt:variant>
      <vt:variant>
        <vt:i4>0</vt:i4>
      </vt:variant>
      <vt:variant>
        <vt:i4>5</vt:i4>
      </vt:variant>
      <vt:variant>
        <vt:lpwstr>http://www.optus.com.au/dafiles/OCA/AboutOptus/LegalAndRegulatory/SharedStaticFiles/SharedDocuments/AppW.doc</vt:lpwstr>
      </vt:variant>
      <vt:variant>
        <vt:lpwstr/>
      </vt:variant>
      <vt:variant>
        <vt:i4>2293803</vt:i4>
      </vt:variant>
      <vt:variant>
        <vt:i4>1509</vt:i4>
      </vt:variant>
      <vt:variant>
        <vt:i4>0</vt:i4>
      </vt:variant>
      <vt:variant>
        <vt:i4>5</vt:i4>
      </vt:variant>
      <vt:variant>
        <vt:lpwstr>http://www.optus.com.au/content/dam/optus/appendix/Appendix Y/AppY.doc</vt:lpwstr>
      </vt:variant>
      <vt:variant>
        <vt:lpwstr/>
      </vt:variant>
      <vt:variant>
        <vt:i4>7929957</vt:i4>
      </vt:variant>
      <vt:variant>
        <vt:i4>1506</vt:i4>
      </vt:variant>
      <vt:variant>
        <vt:i4>0</vt:i4>
      </vt:variant>
      <vt:variant>
        <vt:i4>5</vt:i4>
      </vt:variant>
      <vt:variant>
        <vt:lpwstr>http://www.optus.com.au/content/dam/optus/documents/about-us/legal/DigPricingS1.doc</vt:lpwstr>
      </vt:variant>
      <vt:variant>
        <vt:lpwstr/>
      </vt:variant>
      <vt:variant>
        <vt:i4>2293803</vt:i4>
      </vt:variant>
      <vt:variant>
        <vt:i4>1494</vt:i4>
      </vt:variant>
      <vt:variant>
        <vt:i4>0</vt:i4>
      </vt:variant>
      <vt:variant>
        <vt:i4>5</vt:i4>
      </vt:variant>
      <vt:variant>
        <vt:lpwstr>http://www.optus.com.au/content/dam/optus/appendix/Appendix Y/AppY.doc</vt:lpwstr>
      </vt:variant>
      <vt:variant>
        <vt:lpwstr/>
      </vt:variant>
      <vt:variant>
        <vt:i4>6815794</vt:i4>
      </vt:variant>
      <vt:variant>
        <vt:i4>1491</vt:i4>
      </vt:variant>
      <vt:variant>
        <vt:i4>0</vt:i4>
      </vt:variant>
      <vt:variant>
        <vt:i4>5</vt:i4>
      </vt:variant>
      <vt:variant>
        <vt:lpwstr>http://www.optus.com.au/content/dam/optus/documents/about-us/legal/SMETerms.doc</vt:lpwstr>
      </vt:variant>
      <vt:variant>
        <vt:lpwstr/>
      </vt:variant>
      <vt:variant>
        <vt:i4>2293803</vt:i4>
      </vt:variant>
      <vt:variant>
        <vt:i4>1485</vt:i4>
      </vt:variant>
      <vt:variant>
        <vt:i4>0</vt:i4>
      </vt:variant>
      <vt:variant>
        <vt:i4>5</vt:i4>
      </vt:variant>
      <vt:variant>
        <vt:lpwstr>http://www.optus.com.au/content/dam/optus/appendix/Appendix Y/AppY.doc</vt:lpwstr>
      </vt:variant>
      <vt:variant>
        <vt:lpwstr/>
      </vt:variant>
      <vt:variant>
        <vt:i4>6815794</vt:i4>
      </vt:variant>
      <vt:variant>
        <vt:i4>1482</vt:i4>
      </vt:variant>
      <vt:variant>
        <vt:i4>0</vt:i4>
      </vt:variant>
      <vt:variant>
        <vt:i4>5</vt:i4>
      </vt:variant>
      <vt:variant>
        <vt:lpwstr>http://www.optus.com.au/content/dam/optus/documents/about-us/legal/SMETerms.doc</vt:lpwstr>
      </vt:variant>
      <vt:variant>
        <vt:lpwstr/>
      </vt:variant>
      <vt:variant>
        <vt:i4>1310748</vt:i4>
      </vt:variant>
      <vt:variant>
        <vt:i4>1479</vt:i4>
      </vt:variant>
      <vt:variant>
        <vt:i4>0</vt:i4>
      </vt:variant>
      <vt:variant>
        <vt:i4>5</vt:i4>
      </vt:variant>
      <vt:variant>
        <vt:lpwstr>http://www.optus.com.au/content/dam/optus/appendix/Appendix IB/AppIB.doc</vt:lpwstr>
      </vt:variant>
      <vt:variant>
        <vt:lpwstr/>
      </vt:variant>
      <vt:variant>
        <vt:i4>1310748</vt:i4>
      </vt:variant>
      <vt:variant>
        <vt:i4>1476</vt:i4>
      </vt:variant>
      <vt:variant>
        <vt:i4>0</vt:i4>
      </vt:variant>
      <vt:variant>
        <vt:i4>5</vt:i4>
      </vt:variant>
      <vt:variant>
        <vt:lpwstr>http://www.optus.com.au/content/dam/optus/appendix/Appendix IB/AppIB.doc</vt:lpwstr>
      </vt:variant>
      <vt:variant>
        <vt:lpwstr/>
      </vt:variant>
      <vt:variant>
        <vt:i4>6815794</vt:i4>
      </vt:variant>
      <vt:variant>
        <vt:i4>1470</vt:i4>
      </vt:variant>
      <vt:variant>
        <vt:i4>0</vt:i4>
      </vt:variant>
      <vt:variant>
        <vt:i4>5</vt:i4>
      </vt:variant>
      <vt:variant>
        <vt:lpwstr>http://www.optus.com.au/content/dam/optus/documents/about-us/legal/SMETerms.doc</vt:lpwstr>
      </vt:variant>
      <vt:variant>
        <vt:lpwstr/>
      </vt:variant>
      <vt:variant>
        <vt:i4>5177423</vt:i4>
      </vt:variant>
      <vt:variant>
        <vt:i4>1464</vt:i4>
      </vt:variant>
      <vt:variant>
        <vt:i4>0</vt:i4>
      </vt:variant>
      <vt:variant>
        <vt:i4>5</vt:i4>
      </vt:variant>
      <vt:variant>
        <vt:lpwstr>http://www.optus.com.au/dafiles/OCA/AboutOptus/LegalAndRegulatory/SharedStaticFiles/SharedDocuments/AppW.doc</vt:lpwstr>
      </vt:variant>
      <vt:variant>
        <vt:lpwstr/>
      </vt:variant>
      <vt:variant>
        <vt:i4>7929957</vt:i4>
      </vt:variant>
      <vt:variant>
        <vt:i4>1461</vt:i4>
      </vt:variant>
      <vt:variant>
        <vt:i4>0</vt:i4>
      </vt:variant>
      <vt:variant>
        <vt:i4>5</vt:i4>
      </vt:variant>
      <vt:variant>
        <vt:lpwstr>http://www.optus.com.au/content/dam/optus/documents/about-us/legal/DigPricingS1.doc</vt:lpwstr>
      </vt:variant>
      <vt:variant>
        <vt:lpwstr/>
      </vt:variant>
      <vt:variant>
        <vt:i4>1310748</vt:i4>
      </vt:variant>
      <vt:variant>
        <vt:i4>1458</vt:i4>
      </vt:variant>
      <vt:variant>
        <vt:i4>0</vt:i4>
      </vt:variant>
      <vt:variant>
        <vt:i4>5</vt:i4>
      </vt:variant>
      <vt:variant>
        <vt:lpwstr>http://www.optus.com.au/content/dam/optus/appendix/Appendix IB/AppIB.doc</vt:lpwstr>
      </vt:variant>
      <vt:variant>
        <vt:lpwstr/>
      </vt:variant>
      <vt:variant>
        <vt:i4>1310748</vt:i4>
      </vt:variant>
      <vt:variant>
        <vt:i4>1455</vt:i4>
      </vt:variant>
      <vt:variant>
        <vt:i4>0</vt:i4>
      </vt:variant>
      <vt:variant>
        <vt:i4>5</vt:i4>
      </vt:variant>
      <vt:variant>
        <vt:lpwstr>http://www.optus.com.au/content/dam/optus/appendix/Appendix IB/AppIB.doc</vt:lpwstr>
      </vt:variant>
      <vt:variant>
        <vt:lpwstr/>
      </vt:variant>
      <vt:variant>
        <vt:i4>6815794</vt:i4>
      </vt:variant>
      <vt:variant>
        <vt:i4>1452</vt:i4>
      </vt:variant>
      <vt:variant>
        <vt:i4>0</vt:i4>
      </vt:variant>
      <vt:variant>
        <vt:i4>5</vt:i4>
      </vt:variant>
      <vt:variant>
        <vt:lpwstr>http://www.optus.com.au/content/dam/optus/documents/about-us/legal/SMETerms.doc</vt:lpwstr>
      </vt:variant>
      <vt:variant>
        <vt:lpwstr/>
      </vt:variant>
      <vt:variant>
        <vt:i4>5177423</vt:i4>
      </vt:variant>
      <vt:variant>
        <vt:i4>1449</vt:i4>
      </vt:variant>
      <vt:variant>
        <vt:i4>0</vt:i4>
      </vt:variant>
      <vt:variant>
        <vt:i4>5</vt:i4>
      </vt:variant>
      <vt:variant>
        <vt:lpwstr>http://www.optus.com.au/dafiles/OCA/AboutOptus/LegalAndRegulatory/SharedStaticFiles/SharedDocuments/AppW.doc</vt:lpwstr>
      </vt:variant>
      <vt:variant>
        <vt:lpwstr/>
      </vt:variant>
      <vt:variant>
        <vt:i4>7929957</vt:i4>
      </vt:variant>
      <vt:variant>
        <vt:i4>1446</vt:i4>
      </vt:variant>
      <vt:variant>
        <vt:i4>0</vt:i4>
      </vt:variant>
      <vt:variant>
        <vt:i4>5</vt:i4>
      </vt:variant>
      <vt:variant>
        <vt:lpwstr>http://www.optus.com.au/content/dam/optus/documents/about-us/legal/DigPricingS1.doc</vt:lpwstr>
      </vt:variant>
      <vt:variant>
        <vt:lpwstr/>
      </vt:variant>
      <vt:variant>
        <vt:i4>5177423</vt:i4>
      </vt:variant>
      <vt:variant>
        <vt:i4>1443</vt:i4>
      </vt:variant>
      <vt:variant>
        <vt:i4>0</vt:i4>
      </vt:variant>
      <vt:variant>
        <vt:i4>5</vt:i4>
      </vt:variant>
      <vt:variant>
        <vt:lpwstr>http://www.optus.com.au/dafiles/OCA/AboutOptus/LegalAndRegulatory/SharedStaticFiles/SharedDocuments/AppW.doc</vt:lpwstr>
      </vt:variant>
      <vt:variant>
        <vt:lpwstr/>
      </vt:variant>
      <vt:variant>
        <vt:i4>1310748</vt:i4>
      </vt:variant>
      <vt:variant>
        <vt:i4>1440</vt:i4>
      </vt:variant>
      <vt:variant>
        <vt:i4>0</vt:i4>
      </vt:variant>
      <vt:variant>
        <vt:i4>5</vt:i4>
      </vt:variant>
      <vt:variant>
        <vt:lpwstr>http://www.optus.com.au/content/dam/optus/appendix/Appendix IB/AppIB.doc</vt:lpwstr>
      </vt:variant>
      <vt:variant>
        <vt:lpwstr/>
      </vt:variant>
      <vt:variant>
        <vt:i4>1310748</vt:i4>
      </vt:variant>
      <vt:variant>
        <vt:i4>1437</vt:i4>
      </vt:variant>
      <vt:variant>
        <vt:i4>0</vt:i4>
      </vt:variant>
      <vt:variant>
        <vt:i4>5</vt:i4>
      </vt:variant>
      <vt:variant>
        <vt:lpwstr>http://www.optus.com.au/content/dam/optus/appendix/Appendix IB/AppIB.doc</vt:lpwstr>
      </vt:variant>
      <vt:variant>
        <vt:lpwstr/>
      </vt:variant>
      <vt:variant>
        <vt:i4>6815794</vt:i4>
      </vt:variant>
      <vt:variant>
        <vt:i4>1434</vt:i4>
      </vt:variant>
      <vt:variant>
        <vt:i4>0</vt:i4>
      </vt:variant>
      <vt:variant>
        <vt:i4>5</vt:i4>
      </vt:variant>
      <vt:variant>
        <vt:lpwstr>http://www.optus.com.au/content/dam/optus/documents/about-us/legal/SMETerms.doc</vt:lpwstr>
      </vt:variant>
      <vt:variant>
        <vt:lpwstr/>
      </vt:variant>
      <vt:variant>
        <vt:i4>5177423</vt:i4>
      </vt:variant>
      <vt:variant>
        <vt:i4>1431</vt:i4>
      </vt:variant>
      <vt:variant>
        <vt:i4>0</vt:i4>
      </vt:variant>
      <vt:variant>
        <vt:i4>5</vt:i4>
      </vt:variant>
      <vt:variant>
        <vt:lpwstr>http://www.optus.com.au/dafiles/OCA/AboutOptus/LegalAndRegulatory/SharedStaticFiles/SharedDocuments/AppW.doc</vt:lpwstr>
      </vt:variant>
      <vt:variant>
        <vt:lpwstr/>
      </vt:variant>
      <vt:variant>
        <vt:i4>7929957</vt:i4>
      </vt:variant>
      <vt:variant>
        <vt:i4>1428</vt:i4>
      </vt:variant>
      <vt:variant>
        <vt:i4>0</vt:i4>
      </vt:variant>
      <vt:variant>
        <vt:i4>5</vt:i4>
      </vt:variant>
      <vt:variant>
        <vt:lpwstr>http://www.optus.com.au/content/dam/optus/documents/about-us/legal/DigPricingS1.doc</vt:lpwstr>
      </vt:variant>
      <vt:variant>
        <vt:lpwstr/>
      </vt:variant>
      <vt:variant>
        <vt:i4>5177423</vt:i4>
      </vt:variant>
      <vt:variant>
        <vt:i4>1425</vt:i4>
      </vt:variant>
      <vt:variant>
        <vt:i4>0</vt:i4>
      </vt:variant>
      <vt:variant>
        <vt:i4>5</vt:i4>
      </vt:variant>
      <vt:variant>
        <vt:lpwstr>http://www.optus.com.au/dafiles/OCA/AboutOptus/LegalAndRegulatory/SharedStaticFiles/SharedDocuments/AppW.doc</vt:lpwstr>
      </vt:variant>
      <vt:variant>
        <vt:lpwstr/>
      </vt:variant>
      <vt:variant>
        <vt:i4>7929957</vt:i4>
      </vt:variant>
      <vt:variant>
        <vt:i4>1422</vt:i4>
      </vt:variant>
      <vt:variant>
        <vt:i4>0</vt:i4>
      </vt:variant>
      <vt:variant>
        <vt:i4>5</vt:i4>
      </vt:variant>
      <vt:variant>
        <vt:lpwstr>http://www.optus.com.au/content/dam/optus/documents/about-us/legal/DigPricingS1.doc</vt:lpwstr>
      </vt:variant>
      <vt:variant>
        <vt:lpwstr/>
      </vt:variant>
      <vt:variant>
        <vt:i4>7929957</vt:i4>
      </vt:variant>
      <vt:variant>
        <vt:i4>1419</vt:i4>
      </vt:variant>
      <vt:variant>
        <vt:i4>0</vt:i4>
      </vt:variant>
      <vt:variant>
        <vt:i4>5</vt:i4>
      </vt:variant>
      <vt:variant>
        <vt:lpwstr>http://www.optus.com.au/content/dam/optus/documents/about-us/legal/DigPricingS1.doc</vt:lpwstr>
      </vt:variant>
      <vt:variant>
        <vt:lpwstr/>
      </vt:variant>
      <vt:variant>
        <vt:i4>6815794</vt:i4>
      </vt:variant>
      <vt:variant>
        <vt:i4>1416</vt:i4>
      </vt:variant>
      <vt:variant>
        <vt:i4>0</vt:i4>
      </vt:variant>
      <vt:variant>
        <vt:i4>5</vt:i4>
      </vt:variant>
      <vt:variant>
        <vt:lpwstr>http://www.optus.com.au/content/dam/optus/documents/about-us/legal/SMETerms.doc</vt:lpwstr>
      </vt:variant>
      <vt:variant>
        <vt:lpwstr/>
      </vt:variant>
      <vt:variant>
        <vt:i4>6815794</vt:i4>
      </vt:variant>
      <vt:variant>
        <vt:i4>1410</vt:i4>
      </vt:variant>
      <vt:variant>
        <vt:i4>0</vt:i4>
      </vt:variant>
      <vt:variant>
        <vt:i4>5</vt:i4>
      </vt:variant>
      <vt:variant>
        <vt:lpwstr>http://www.optus.com.au/content/dam/optus/documents/about-us/legal/SMETerms.doc</vt:lpwstr>
      </vt:variant>
      <vt:variant>
        <vt:lpwstr/>
      </vt:variant>
      <vt:variant>
        <vt:i4>5177423</vt:i4>
      </vt:variant>
      <vt:variant>
        <vt:i4>1404</vt:i4>
      </vt:variant>
      <vt:variant>
        <vt:i4>0</vt:i4>
      </vt:variant>
      <vt:variant>
        <vt:i4>5</vt:i4>
      </vt:variant>
      <vt:variant>
        <vt:lpwstr>http://www.optus.com.au/dafiles/OCA/AboutOptus/LegalAndRegulatory/SharedStaticFiles/SharedDocuments/AppW.doc</vt:lpwstr>
      </vt:variant>
      <vt:variant>
        <vt:lpwstr/>
      </vt:variant>
      <vt:variant>
        <vt:i4>2293803</vt:i4>
      </vt:variant>
      <vt:variant>
        <vt:i4>1401</vt:i4>
      </vt:variant>
      <vt:variant>
        <vt:i4>0</vt:i4>
      </vt:variant>
      <vt:variant>
        <vt:i4>5</vt:i4>
      </vt:variant>
      <vt:variant>
        <vt:lpwstr>http://www.optus.com.au/content/dam/optus/appendix/Appendix Y/AppY.doc</vt:lpwstr>
      </vt:variant>
      <vt:variant>
        <vt:lpwstr/>
      </vt:variant>
      <vt:variant>
        <vt:i4>7929957</vt:i4>
      </vt:variant>
      <vt:variant>
        <vt:i4>1398</vt:i4>
      </vt:variant>
      <vt:variant>
        <vt:i4>0</vt:i4>
      </vt:variant>
      <vt:variant>
        <vt:i4>5</vt:i4>
      </vt:variant>
      <vt:variant>
        <vt:lpwstr>http://www.optus.com.au/content/dam/optus/documents/about-us/legal/DigPricingS1.doc</vt:lpwstr>
      </vt:variant>
      <vt:variant>
        <vt:lpwstr/>
      </vt:variant>
      <vt:variant>
        <vt:i4>2293803</vt:i4>
      </vt:variant>
      <vt:variant>
        <vt:i4>1386</vt:i4>
      </vt:variant>
      <vt:variant>
        <vt:i4>0</vt:i4>
      </vt:variant>
      <vt:variant>
        <vt:i4>5</vt:i4>
      </vt:variant>
      <vt:variant>
        <vt:lpwstr>http://www.optus.com.au/content/dam/optus/appendix/Appendix Y/AppY.doc</vt:lpwstr>
      </vt:variant>
      <vt:variant>
        <vt:lpwstr/>
      </vt:variant>
      <vt:variant>
        <vt:i4>7929953</vt:i4>
      </vt:variant>
      <vt:variant>
        <vt:i4>1383</vt:i4>
      </vt:variant>
      <vt:variant>
        <vt:i4>0</vt:i4>
      </vt:variant>
      <vt:variant>
        <vt:i4>5</vt:i4>
      </vt:variant>
      <vt:variant>
        <vt:lpwstr>http://www.optus.com.au/content/dam/optus/documents/about-us/legal/DigPricingS5.doc</vt:lpwstr>
      </vt:variant>
      <vt:variant>
        <vt:lpwstr/>
      </vt:variant>
      <vt:variant>
        <vt:i4>7929953</vt:i4>
      </vt:variant>
      <vt:variant>
        <vt:i4>1380</vt:i4>
      </vt:variant>
      <vt:variant>
        <vt:i4>0</vt:i4>
      </vt:variant>
      <vt:variant>
        <vt:i4>5</vt:i4>
      </vt:variant>
      <vt:variant>
        <vt:lpwstr>http://www.optus.com.au/content/dam/optus/documents/about-us/legal/DigPricingS5.doc</vt:lpwstr>
      </vt:variant>
      <vt:variant>
        <vt:lpwstr/>
      </vt:variant>
      <vt:variant>
        <vt:i4>7929953</vt:i4>
      </vt:variant>
      <vt:variant>
        <vt:i4>1377</vt:i4>
      </vt:variant>
      <vt:variant>
        <vt:i4>0</vt:i4>
      </vt:variant>
      <vt:variant>
        <vt:i4>5</vt:i4>
      </vt:variant>
      <vt:variant>
        <vt:lpwstr>http://www.optus.com.au/content/dam/optus/documents/about-us/legal/DigPricingS5.doc</vt:lpwstr>
      </vt:variant>
      <vt:variant>
        <vt:lpwstr/>
      </vt:variant>
      <vt:variant>
        <vt:i4>7929957</vt:i4>
      </vt:variant>
      <vt:variant>
        <vt:i4>1374</vt:i4>
      </vt:variant>
      <vt:variant>
        <vt:i4>0</vt:i4>
      </vt:variant>
      <vt:variant>
        <vt:i4>5</vt:i4>
      </vt:variant>
      <vt:variant>
        <vt:lpwstr>http://www.optus.com.au/content/dam/optus/documents/about-us/legal/DigPricingS1.doc</vt:lpwstr>
      </vt:variant>
      <vt:variant>
        <vt:lpwstr/>
      </vt:variant>
      <vt:variant>
        <vt:i4>7929957</vt:i4>
      </vt:variant>
      <vt:variant>
        <vt:i4>1371</vt:i4>
      </vt:variant>
      <vt:variant>
        <vt:i4>0</vt:i4>
      </vt:variant>
      <vt:variant>
        <vt:i4>5</vt:i4>
      </vt:variant>
      <vt:variant>
        <vt:lpwstr>http://www.optus.com.au/content/dam/optus/documents/about-us/legal/DigPricingS1.doc</vt:lpwstr>
      </vt:variant>
      <vt:variant>
        <vt:lpwstr/>
      </vt:variant>
      <vt:variant>
        <vt:i4>6815794</vt:i4>
      </vt:variant>
      <vt:variant>
        <vt:i4>1368</vt:i4>
      </vt:variant>
      <vt:variant>
        <vt:i4>0</vt:i4>
      </vt:variant>
      <vt:variant>
        <vt:i4>5</vt:i4>
      </vt:variant>
      <vt:variant>
        <vt:lpwstr>http://www.optus.com.au/content/dam/optus/documents/about-us/legal/SMETerms.doc</vt:lpwstr>
      </vt:variant>
      <vt:variant>
        <vt:lpwstr/>
      </vt:variant>
      <vt:variant>
        <vt:i4>6815794</vt:i4>
      </vt:variant>
      <vt:variant>
        <vt:i4>1359</vt:i4>
      </vt:variant>
      <vt:variant>
        <vt:i4>0</vt:i4>
      </vt:variant>
      <vt:variant>
        <vt:i4>5</vt:i4>
      </vt:variant>
      <vt:variant>
        <vt:lpwstr>http://www.optus.com.au/content/dam/optus/documents/about-us/legal/SMETerms.doc</vt:lpwstr>
      </vt:variant>
      <vt:variant>
        <vt:lpwstr/>
      </vt:variant>
      <vt:variant>
        <vt:i4>7929957</vt:i4>
      </vt:variant>
      <vt:variant>
        <vt:i4>1353</vt:i4>
      </vt:variant>
      <vt:variant>
        <vt:i4>0</vt:i4>
      </vt:variant>
      <vt:variant>
        <vt:i4>5</vt:i4>
      </vt:variant>
      <vt:variant>
        <vt:lpwstr>http://www.optus.com.au/content/dam/optus/documents/about-us/legal/DigPricingS1.doc</vt:lpwstr>
      </vt:variant>
      <vt:variant>
        <vt:lpwstr/>
      </vt:variant>
      <vt:variant>
        <vt:i4>6815794</vt:i4>
      </vt:variant>
      <vt:variant>
        <vt:i4>1350</vt:i4>
      </vt:variant>
      <vt:variant>
        <vt:i4>0</vt:i4>
      </vt:variant>
      <vt:variant>
        <vt:i4>5</vt:i4>
      </vt:variant>
      <vt:variant>
        <vt:lpwstr>http://www.optus.com.au/content/dam/optus/documents/about-us/legal/SMETerms.doc</vt:lpwstr>
      </vt:variant>
      <vt:variant>
        <vt:lpwstr/>
      </vt:variant>
      <vt:variant>
        <vt:i4>7929957</vt:i4>
      </vt:variant>
      <vt:variant>
        <vt:i4>1341</vt:i4>
      </vt:variant>
      <vt:variant>
        <vt:i4>0</vt:i4>
      </vt:variant>
      <vt:variant>
        <vt:i4>5</vt:i4>
      </vt:variant>
      <vt:variant>
        <vt:lpwstr>http://www.optus.com.au/content/dam/optus/documents/about-us/legal/DigPricingS1.doc</vt:lpwstr>
      </vt:variant>
      <vt:variant>
        <vt:lpwstr/>
      </vt:variant>
      <vt:variant>
        <vt:i4>5177423</vt:i4>
      </vt:variant>
      <vt:variant>
        <vt:i4>1338</vt:i4>
      </vt:variant>
      <vt:variant>
        <vt:i4>0</vt:i4>
      </vt:variant>
      <vt:variant>
        <vt:i4>5</vt:i4>
      </vt:variant>
      <vt:variant>
        <vt:lpwstr>http://www.optus.com.au/dafiles/OCA/AboutOptus/LegalAndRegulatory/SharedStaticFiles/SharedDocuments/AppW.doc</vt:lpwstr>
      </vt:variant>
      <vt:variant>
        <vt:lpwstr/>
      </vt:variant>
      <vt:variant>
        <vt:i4>6815794</vt:i4>
      </vt:variant>
      <vt:variant>
        <vt:i4>1335</vt:i4>
      </vt:variant>
      <vt:variant>
        <vt:i4>0</vt:i4>
      </vt:variant>
      <vt:variant>
        <vt:i4>5</vt:i4>
      </vt:variant>
      <vt:variant>
        <vt:lpwstr>http://www.optus.com.au/content/dam/optus/documents/about-us/legal/SMETerms.doc</vt:lpwstr>
      </vt:variant>
      <vt:variant>
        <vt:lpwstr/>
      </vt:variant>
      <vt:variant>
        <vt:i4>5177423</vt:i4>
      </vt:variant>
      <vt:variant>
        <vt:i4>1326</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1323</vt:i4>
      </vt:variant>
      <vt:variant>
        <vt:i4>0</vt:i4>
      </vt:variant>
      <vt:variant>
        <vt:i4>5</vt:i4>
      </vt:variant>
      <vt:variant>
        <vt:lpwstr>http://www.optus.com.au/content/dam/optus/appendix/Appendix S/AppS.doc</vt:lpwstr>
      </vt:variant>
      <vt:variant>
        <vt:lpwstr/>
      </vt:variant>
      <vt:variant>
        <vt:i4>2293803</vt:i4>
      </vt:variant>
      <vt:variant>
        <vt:i4>1320</vt:i4>
      </vt:variant>
      <vt:variant>
        <vt:i4>0</vt:i4>
      </vt:variant>
      <vt:variant>
        <vt:i4>5</vt:i4>
      </vt:variant>
      <vt:variant>
        <vt:lpwstr>http://www.optus.com.au/content/dam/optus/appendix/Appendix Y/AppY.doc</vt:lpwstr>
      </vt:variant>
      <vt:variant>
        <vt:lpwstr/>
      </vt:variant>
      <vt:variant>
        <vt:i4>3145784</vt:i4>
      </vt:variant>
      <vt:variant>
        <vt:i4>1317</vt:i4>
      </vt:variant>
      <vt:variant>
        <vt:i4>0</vt:i4>
      </vt:variant>
      <vt:variant>
        <vt:i4>5</vt:i4>
      </vt:variant>
      <vt:variant>
        <vt:lpwstr>http://www.optus.com.au/content/dam/optus/appendix/Appendix J/AppJ.doc</vt:lpwstr>
      </vt:variant>
      <vt:variant>
        <vt:lpwstr/>
      </vt:variant>
      <vt:variant>
        <vt:i4>5177423</vt:i4>
      </vt:variant>
      <vt:variant>
        <vt:i4>1314</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1311</vt:i4>
      </vt:variant>
      <vt:variant>
        <vt:i4>0</vt:i4>
      </vt:variant>
      <vt:variant>
        <vt:i4>5</vt:i4>
      </vt:variant>
      <vt:variant>
        <vt:lpwstr>http://www.optus.com.au/content/dam/optus/appendix/Appendix S/AppS.doc</vt:lpwstr>
      </vt:variant>
      <vt:variant>
        <vt:lpwstr/>
      </vt:variant>
      <vt:variant>
        <vt:i4>5177423</vt:i4>
      </vt:variant>
      <vt:variant>
        <vt:i4>1305</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1302</vt:i4>
      </vt:variant>
      <vt:variant>
        <vt:i4>0</vt:i4>
      </vt:variant>
      <vt:variant>
        <vt:i4>5</vt:i4>
      </vt:variant>
      <vt:variant>
        <vt:lpwstr>http://www.optus.com.au/content/dam/optus/appendix/Appendix S/AppS.doc</vt:lpwstr>
      </vt:variant>
      <vt:variant>
        <vt:lpwstr/>
      </vt:variant>
      <vt:variant>
        <vt:i4>5177423</vt:i4>
      </vt:variant>
      <vt:variant>
        <vt:i4>1299</vt:i4>
      </vt:variant>
      <vt:variant>
        <vt:i4>0</vt:i4>
      </vt:variant>
      <vt:variant>
        <vt:i4>5</vt:i4>
      </vt:variant>
      <vt:variant>
        <vt:lpwstr>http://www.optus.com.au/dafiles/OCA/AboutOptus/LegalAndRegulatory/SharedStaticFiles/SharedDocuments/AppW.doc</vt:lpwstr>
      </vt:variant>
      <vt:variant>
        <vt:lpwstr/>
      </vt:variant>
      <vt:variant>
        <vt:i4>2293803</vt:i4>
      </vt:variant>
      <vt:variant>
        <vt:i4>1296</vt:i4>
      </vt:variant>
      <vt:variant>
        <vt:i4>0</vt:i4>
      </vt:variant>
      <vt:variant>
        <vt:i4>5</vt:i4>
      </vt:variant>
      <vt:variant>
        <vt:lpwstr>http://www.optus.com.au/content/dam/optus/appendix/Appendix Y/AppY.doc</vt:lpwstr>
      </vt:variant>
      <vt:variant>
        <vt:lpwstr/>
      </vt:variant>
      <vt:variant>
        <vt:i4>7929957</vt:i4>
      </vt:variant>
      <vt:variant>
        <vt:i4>1293</vt:i4>
      </vt:variant>
      <vt:variant>
        <vt:i4>0</vt:i4>
      </vt:variant>
      <vt:variant>
        <vt:i4>5</vt:i4>
      </vt:variant>
      <vt:variant>
        <vt:lpwstr>http://www.optus.com.au/content/dam/optus/documents/about-us/legal/DigPricingS1.doc</vt:lpwstr>
      </vt:variant>
      <vt:variant>
        <vt:lpwstr/>
      </vt:variant>
      <vt:variant>
        <vt:i4>6815794</vt:i4>
      </vt:variant>
      <vt:variant>
        <vt:i4>1290</vt:i4>
      </vt:variant>
      <vt:variant>
        <vt:i4>0</vt:i4>
      </vt:variant>
      <vt:variant>
        <vt:i4>5</vt:i4>
      </vt:variant>
      <vt:variant>
        <vt:lpwstr>http://www.optus.com.au/content/dam/optus/documents/about-us/legal/SMETerms.doc</vt:lpwstr>
      </vt:variant>
      <vt:variant>
        <vt:lpwstr/>
      </vt:variant>
      <vt:variant>
        <vt:i4>2687009</vt:i4>
      </vt:variant>
      <vt:variant>
        <vt:i4>1281</vt:i4>
      </vt:variant>
      <vt:variant>
        <vt:i4>0</vt:i4>
      </vt:variant>
      <vt:variant>
        <vt:i4>5</vt:i4>
      </vt:variant>
      <vt:variant>
        <vt:lpwstr>http://www.optus.com.au/content/dam/optus/appendix/Appendix S/AppS.doc</vt:lpwstr>
      </vt:variant>
      <vt:variant>
        <vt:lpwstr/>
      </vt:variant>
      <vt:variant>
        <vt:i4>2293803</vt:i4>
      </vt:variant>
      <vt:variant>
        <vt:i4>1275</vt:i4>
      </vt:variant>
      <vt:variant>
        <vt:i4>0</vt:i4>
      </vt:variant>
      <vt:variant>
        <vt:i4>5</vt:i4>
      </vt:variant>
      <vt:variant>
        <vt:lpwstr>http://www.optus.com.au/content/dam/optus/appendix/Appendix Y/AppY.doc</vt:lpwstr>
      </vt:variant>
      <vt:variant>
        <vt:lpwstr/>
      </vt:variant>
      <vt:variant>
        <vt:i4>3145784</vt:i4>
      </vt:variant>
      <vt:variant>
        <vt:i4>1272</vt:i4>
      </vt:variant>
      <vt:variant>
        <vt:i4>0</vt:i4>
      </vt:variant>
      <vt:variant>
        <vt:i4>5</vt:i4>
      </vt:variant>
      <vt:variant>
        <vt:lpwstr>http://www.optus.com.au/content/dam/optus/appendix/Appendix J/AppJ.doc</vt:lpwstr>
      </vt:variant>
      <vt:variant>
        <vt:lpwstr/>
      </vt:variant>
      <vt:variant>
        <vt:i4>5177423</vt:i4>
      </vt:variant>
      <vt:variant>
        <vt:i4>1269</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1266</vt:i4>
      </vt:variant>
      <vt:variant>
        <vt:i4>0</vt:i4>
      </vt:variant>
      <vt:variant>
        <vt:i4>5</vt:i4>
      </vt:variant>
      <vt:variant>
        <vt:lpwstr>http://www.optus.com.au/content/dam/optus/appendix/Appendix S/AppS.doc</vt:lpwstr>
      </vt:variant>
      <vt:variant>
        <vt:lpwstr/>
      </vt:variant>
      <vt:variant>
        <vt:i4>5177423</vt:i4>
      </vt:variant>
      <vt:variant>
        <vt:i4>1263</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1260</vt:i4>
      </vt:variant>
      <vt:variant>
        <vt:i4>0</vt:i4>
      </vt:variant>
      <vt:variant>
        <vt:i4>5</vt:i4>
      </vt:variant>
      <vt:variant>
        <vt:lpwstr>http://www.optus.com.au/content/dam/optus/appendix/Appendix S/AppS.doc</vt:lpwstr>
      </vt:variant>
      <vt:variant>
        <vt:lpwstr/>
      </vt:variant>
      <vt:variant>
        <vt:i4>5177423</vt:i4>
      </vt:variant>
      <vt:variant>
        <vt:i4>1257</vt:i4>
      </vt:variant>
      <vt:variant>
        <vt:i4>0</vt:i4>
      </vt:variant>
      <vt:variant>
        <vt:i4>5</vt:i4>
      </vt:variant>
      <vt:variant>
        <vt:lpwstr>http://www.optus.com.au/dafiles/OCA/AboutOptus/LegalAndRegulatory/SharedStaticFiles/SharedDocuments/AppW.doc</vt:lpwstr>
      </vt:variant>
      <vt:variant>
        <vt:lpwstr/>
      </vt:variant>
      <vt:variant>
        <vt:i4>2293803</vt:i4>
      </vt:variant>
      <vt:variant>
        <vt:i4>1254</vt:i4>
      </vt:variant>
      <vt:variant>
        <vt:i4>0</vt:i4>
      </vt:variant>
      <vt:variant>
        <vt:i4>5</vt:i4>
      </vt:variant>
      <vt:variant>
        <vt:lpwstr>http://www.optus.com.au/content/dam/optus/appendix/Appendix Y/AppY.doc</vt:lpwstr>
      </vt:variant>
      <vt:variant>
        <vt:lpwstr/>
      </vt:variant>
      <vt:variant>
        <vt:i4>7929957</vt:i4>
      </vt:variant>
      <vt:variant>
        <vt:i4>1251</vt:i4>
      </vt:variant>
      <vt:variant>
        <vt:i4>0</vt:i4>
      </vt:variant>
      <vt:variant>
        <vt:i4>5</vt:i4>
      </vt:variant>
      <vt:variant>
        <vt:lpwstr>http://www.optus.com.au/content/dam/optus/documents/about-us/legal/DigPricingS1.doc</vt:lpwstr>
      </vt:variant>
      <vt:variant>
        <vt:lpwstr/>
      </vt:variant>
      <vt:variant>
        <vt:i4>6815794</vt:i4>
      </vt:variant>
      <vt:variant>
        <vt:i4>1248</vt:i4>
      </vt:variant>
      <vt:variant>
        <vt:i4>0</vt:i4>
      </vt:variant>
      <vt:variant>
        <vt:i4>5</vt:i4>
      </vt:variant>
      <vt:variant>
        <vt:lpwstr>http://www.optus.com.au/content/dam/optus/documents/about-us/legal/SMETerms.doc</vt:lpwstr>
      </vt:variant>
      <vt:variant>
        <vt:lpwstr/>
      </vt:variant>
      <vt:variant>
        <vt:i4>1507336</vt:i4>
      </vt:variant>
      <vt:variant>
        <vt:i4>1245</vt:i4>
      </vt:variant>
      <vt:variant>
        <vt:i4>0</vt:i4>
      </vt:variant>
      <vt:variant>
        <vt:i4>5</vt:i4>
      </vt:variant>
      <vt:variant>
        <vt:lpwstr>http://www.optus.com.au/dafiles/OCA/AboutOptus/LegalAndRegulatory/SharedStaticFiles/SharedDocuments/AppIB.doc</vt:lpwstr>
      </vt:variant>
      <vt:variant>
        <vt:lpwstr/>
      </vt:variant>
      <vt:variant>
        <vt:i4>1507336</vt:i4>
      </vt:variant>
      <vt:variant>
        <vt:i4>1242</vt:i4>
      </vt:variant>
      <vt:variant>
        <vt:i4>0</vt:i4>
      </vt:variant>
      <vt:variant>
        <vt:i4>5</vt:i4>
      </vt:variant>
      <vt:variant>
        <vt:lpwstr>http://www.optus.com.au/dafiles/OCA/AboutOptus/LegalAndRegulatory/SharedStaticFiles/SharedDocuments/AppIB.doc</vt:lpwstr>
      </vt:variant>
      <vt:variant>
        <vt:lpwstr/>
      </vt:variant>
      <vt:variant>
        <vt:i4>6815794</vt:i4>
      </vt:variant>
      <vt:variant>
        <vt:i4>1239</vt:i4>
      </vt:variant>
      <vt:variant>
        <vt:i4>0</vt:i4>
      </vt:variant>
      <vt:variant>
        <vt:i4>5</vt:i4>
      </vt:variant>
      <vt:variant>
        <vt:lpwstr>http://www.optus.com.au/content/dam/optus/documents/about-us/legal/SMETerms.doc</vt:lpwstr>
      </vt:variant>
      <vt:variant>
        <vt:lpwstr/>
      </vt:variant>
      <vt:variant>
        <vt:i4>7929957</vt:i4>
      </vt:variant>
      <vt:variant>
        <vt:i4>1236</vt:i4>
      </vt:variant>
      <vt:variant>
        <vt:i4>0</vt:i4>
      </vt:variant>
      <vt:variant>
        <vt:i4>5</vt:i4>
      </vt:variant>
      <vt:variant>
        <vt:lpwstr>http://www.optus.com.au/content/dam/optus/documents/about-us/legal/DigPricingS1.doc</vt:lpwstr>
      </vt:variant>
      <vt:variant>
        <vt:lpwstr/>
      </vt:variant>
      <vt:variant>
        <vt:i4>1310748</vt:i4>
      </vt:variant>
      <vt:variant>
        <vt:i4>1233</vt:i4>
      </vt:variant>
      <vt:variant>
        <vt:i4>0</vt:i4>
      </vt:variant>
      <vt:variant>
        <vt:i4>5</vt:i4>
      </vt:variant>
      <vt:variant>
        <vt:lpwstr>http://www.optus.com.au/content/dam/optus/appendix/Appendix IB/AppIB.doc</vt:lpwstr>
      </vt:variant>
      <vt:variant>
        <vt:lpwstr/>
      </vt:variant>
      <vt:variant>
        <vt:i4>1310748</vt:i4>
      </vt:variant>
      <vt:variant>
        <vt:i4>1230</vt:i4>
      </vt:variant>
      <vt:variant>
        <vt:i4>0</vt:i4>
      </vt:variant>
      <vt:variant>
        <vt:i4>5</vt:i4>
      </vt:variant>
      <vt:variant>
        <vt:lpwstr>http://www.optus.com.au/content/dam/optus/appendix/Appendix IB/AppIB.doc</vt:lpwstr>
      </vt:variant>
      <vt:variant>
        <vt:lpwstr/>
      </vt:variant>
      <vt:variant>
        <vt:i4>6815794</vt:i4>
      </vt:variant>
      <vt:variant>
        <vt:i4>1227</vt:i4>
      </vt:variant>
      <vt:variant>
        <vt:i4>0</vt:i4>
      </vt:variant>
      <vt:variant>
        <vt:i4>5</vt:i4>
      </vt:variant>
      <vt:variant>
        <vt:lpwstr>http://www.optus.com.au/content/dam/optus/documents/about-us/legal/SMETerms.doc</vt:lpwstr>
      </vt:variant>
      <vt:variant>
        <vt:lpwstr/>
      </vt:variant>
      <vt:variant>
        <vt:i4>6815794</vt:i4>
      </vt:variant>
      <vt:variant>
        <vt:i4>1224</vt:i4>
      </vt:variant>
      <vt:variant>
        <vt:i4>0</vt:i4>
      </vt:variant>
      <vt:variant>
        <vt:i4>5</vt:i4>
      </vt:variant>
      <vt:variant>
        <vt:lpwstr>http://www.optus.com.au/content/dam/optus/documents/about-us/legal/SMETerms.doc</vt:lpwstr>
      </vt:variant>
      <vt:variant>
        <vt:lpwstr/>
      </vt:variant>
      <vt:variant>
        <vt:i4>7929957</vt:i4>
      </vt:variant>
      <vt:variant>
        <vt:i4>1221</vt:i4>
      </vt:variant>
      <vt:variant>
        <vt:i4>0</vt:i4>
      </vt:variant>
      <vt:variant>
        <vt:i4>5</vt:i4>
      </vt:variant>
      <vt:variant>
        <vt:lpwstr>http://www.optus.com.au/content/dam/optus/documents/about-us/legal/DigPricingS1.doc</vt:lpwstr>
      </vt:variant>
      <vt:variant>
        <vt:lpwstr/>
      </vt:variant>
      <vt:variant>
        <vt:i4>6815794</vt:i4>
      </vt:variant>
      <vt:variant>
        <vt:i4>1215</vt:i4>
      </vt:variant>
      <vt:variant>
        <vt:i4>0</vt:i4>
      </vt:variant>
      <vt:variant>
        <vt:i4>5</vt:i4>
      </vt:variant>
      <vt:variant>
        <vt:lpwstr>http://www.optus.com.au/content/dam/optus/documents/about-us/legal/SMETerms.doc</vt:lpwstr>
      </vt:variant>
      <vt:variant>
        <vt:lpwstr/>
      </vt:variant>
      <vt:variant>
        <vt:i4>7929957</vt:i4>
      </vt:variant>
      <vt:variant>
        <vt:i4>1209</vt:i4>
      </vt:variant>
      <vt:variant>
        <vt:i4>0</vt:i4>
      </vt:variant>
      <vt:variant>
        <vt:i4>5</vt:i4>
      </vt:variant>
      <vt:variant>
        <vt:lpwstr>http://www.optus.com.au/content/dam/optus/documents/about-us/legal/DigPricingS1.doc</vt:lpwstr>
      </vt:variant>
      <vt:variant>
        <vt:lpwstr/>
      </vt:variant>
      <vt:variant>
        <vt:i4>6815794</vt:i4>
      </vt:variant>
      <vt:variant>
        <vt:i4>1206</vt:i4>
      </vt:variant>
      <vt:variant>
        <vt:i4>0</vt:i4>
      </vt:variant>
      <vt:variant>
        <vt:i4>5</vt:i4>
      </vt:variant>
      <vt:variant>
        <vt:lpwstr>http://www.optus.com.au/content/dam/optus/documents/about-us/legal/SMETerms.doc</vt:lpwstr>
      </vt:variant>
      <vt:variant>
        <vt:lpwstr/>
      </vt:variant>
      <vt:variant>
        <vt:i4>7929957</vt:i4>
      </vt:variant>
      <vt:variant>
        <vt:i4>1203</vt:i4>
      </vt:variant>
      <vt:variant>
        <vt:i4>0</vt:i4>
      </vt:variant>
      <vt:variant>
        <vt:i4>5</vt:i4>
      </vt:variant>
      <vt:variant>
        <vt:lpwstr>http://www.optus.com.au/content/dam/optus/documents/about-us/legal/DigPricingS1.doc</vt:lpwstr>
      </vt:variant>
      <vt:variant>
        <vt:lpwstr/>
      </vt:variant>
      <vt:variant>
        <vt:i4>6815794</vt:i4>
      </vt:variant>
      <vt:variant>
        <vt:i4>1200</vt:i4>
      </vt:variant>
      <vt:variant>
        <vt:i4>0</vt:i4>
      </vt:variant>
      <vt:variant>
        <vt:i4>5</vt:i4>
      </vt:variant>
      <vt:variant>
        <vt:lpwstr>http://www.optus.com.au/content/dam/optus/documents/about-us/legal/SMETerms.doc</vt:lpwstr>
      </vt:variant>
      <vt:variant>
        <vt:lpwstr/>
      </vt:variant>
      <vt:variant>
        <vt:i4>6815794</vt:i4>
      </vt:variant>
      <vt:variant>
        <vt:i4>1197</vt:i4>
      </vt:variant>
      <vt:variant>
        <vt:i4>0</vt:i4>
      </vt:variant>
      <vt:variant>
        <vt:i4>5</vt:i4>
      </vt:variant>
      <vt:variant>
        <vt:lpwstr>http://www.optus.com.au/content/dam/optus/documents/about-us/legal/SMETerms.doc</vt:lpwstr>
      </vt:variant>
      <vt:variant>
        <vt:lpwstr/>
      </vt:variant>
      <vt:variant>
        <vt:i4>6815794</vt:i4>
      </vt:variant>
      <vt:variant>
        <vt:i4>1194</vt:i4>
      </vt:variant>
      <vt:variant>
        <vt:i4>0</vt:i4>
      </vt:variant>
      <vt:variant>
        <vt:i4>5</vt:i4>
      </vt:variant>
      <vt:variant>
        <vt:lpwstr>http://www.optus.com.au/content/dam/optus/documents/about-us/legal/SMETerms.doc</vt:lpwstr>
      </vt:variant>
      <vt:variant>
        <vt:lpwstr/>
      </vt:variant>
      <vt:variant>
        <vt:i4>7929957</vt:i4>
      </vt:variant>
      <vt:variant>
        <vt:i4>1191</vt:i4>
      </vt:variant>
      <vt:variant>
        <vt:i4>0</vt:i4>
      </vt:variant>
      <vt:variant>
        <vt:i4>5</vt:i4>
      </vt:variant>
      <vt:variant>
        <vt:lpwstr>http://www.optus.com.au/content/dam/optus/documents/about-us/legal/DigPricingS1.doc</vt:lpwstr>
      </vt:variant>
      <vt:variant>
        <vt:lpwstr/>
      </vt:variant>
      <vt:variant>
        <vt:i4>6815794</vt:i4>
      </vt:variant>
      <vt:variant>
        <vt:i4>1188</vt:i4>
      </vt:variant>
      <vt:variant>
        <vt:i4>0</vt:i4>
      </vt:variant>
      <vt:variant>
        <vt:i4>5</vt:i4>
      </vt:variant>
      <vt:variant>
        <vt:lpwstr>http://www.optus.com.au/content/dam/optus/documents/about-us/legal/SMETerms.doc</vt:lpwstr>
      </vt:variant>
      <vt:variant>
        <vt:lpwstr/>
      </vt:variant>
      <vt:variant>
        <vt:i4>6815794</vt:i4>
      </vt:variant>
      <vt:variant>
        <vt:i4>1185</vt:i4>
      </vt:variant>
      <vt:variant>
        <vt:i4>0</vt:i4>
      </vt:variant>
      <vt:variant>
        <vt:i4>5</vt:i4>
      </vt:variant>
      <vt:variant>
        <vt:lpwstr>http://www.optus.com.au/content/dam/optus/documents/about-us/legal/SMETerms.doc</vt:lpwstr>
      </vt:variant>
      <vt:variant>
        <vt:lpwstr/>
      </vt:variant>
      <vt:variant>
        <vt:i4>5177423</vt:i4>
      </vt:variant>
      <vt:variant>
        <vt:i4>1182</vt:i4>
      </vt:variant>
      <vt:variant>
        <vt:i4>0</vt:i4>
      </vt:variant>
      <vt:variant>
        <vt:i4>5</vt:i4>
      </vt:variant>
      <vt:variant>
        <vt:lpwstr>http://www.optus.com.au/dafiles/OCA/AboutOptus/LegalAndRegulatory/SharedStaticFiles/SharedDocuments/AppW.doc</vt:lpwstr>
      </vt:variant>
      <vt:variant>
        <vt:lpwstr/>
      </vt:variant>
      <vt:variant>
        <vt:i4>5177423</vt:i4>
      </vt:variant>
      <vt:variant>
        <vt:i4>1179</vt:i4>
      </vt:variant>
      <vt:variant>
        <vt:i4>0</vt:i4>
      </vt:variant>
      <vt:variant>
        <vt:i4>5</vt:i4>
      </vt:variant>
      <vt:variant>
        <vt:lpwstr>http://www.optus.com.au/dafiles/OCA/AboutOptus/LegalAndRegulatory/SharedStaticFiles/SharedDocuments/AppW.doc</vt:lpwstr>
      </vt:variant>
      <vt:variant>
        <vt:lpwstr/>
      </vt:variant>
      <vt:variant>
        <vt:i4>7929957</vt:i4>
      </vt:variant>
      <vt:variant>
        <vt:i4>1176</vt:i4>
      </vt:variant>
      <vt:variant>
        <vt:i4>0</vt:i4>
      </vt:variant>
      <vt:variant>
        <vt:i4>5</vt:i4>
      </vt:variant>
      <vt:variant>
        <vt:lpwstr>http://www.optus.com.au/content/dam/optus/documents/about-us/legal/DigPricingS1.doc</vt:lpwstr>
      </vt:variant>
      <vt:variant>
        <vt:lpwstr/>
      </vt:variant>
      <vt:variant>
        <vt:i4>6815794</vt:i4>
      </vt:variant>
      <vt:variant>
        <vt:i4>1173</vt:i4>
      </vt:variant>
      <vt:variant>
        <vt:i4>0</vt:i4>
      </vt:variant>
      <vt:variant>
        <vt:i4>5</vt:i4>
      </vt:variant>
      <vt:variant>
        <vt:lpwstr>http://www.optus.com.au/content/dam/optus/documents/about-us/legal/SMETerms.doc</vt:lpwstr>
      </vt:variant>
      <vt:variant>
        <vt:lpwstr/>
      </vt:variant>
      <vt:variant>
        <vt:i4>7929957</vt:i4>
      </vt:variant>
      <vt:variant>
        <vt:i4>1170</vt:i4>
      </vt:variant>
      <vt:variant>
        <vt:i4>0</vt:i4>
      </vt:variant>
      <vt:variant>
        <vt:i4>5</vt:i4>
      </vt:variant>
      <vt:variant>
        <vt:lpwstr>http://www.optus.com.au/content/dam/optus/documents/about-us/legal/DigPricingS1.doc</vt:lpwstr>
      </vt:variant>
      <vt:variant>
        <vt:lpwstr/>
      </vt:variant>
      <vt:variant>
        <vt:i4>7929957</vt:i4>
      </vt:variant>
      <vt:variant>
        <vt:i4>1167</vt:i4>
      </vt:variant>
      <vt:variant>
        <vt:i4>0</vt:i4>
      </vt:variant>
      <vt:variant>
        <vt:i4>5</vt:i4>
      </vt:variant>
      <vt:variant>
        <vt:lpwstr>http://www.optus.com.au/content/dam/optus/documents/about-us/legal/DigPricingS1.doc</vt:lpwstr>
      </vt:variant>
      <vt:variant>
        <vt:lpwstr/>
      </vt:variant>
      <vt:variant>
        <vt:i4>7929957</vt:i4>
      </vt:variant>
      <vt:variant>
        <vt:i4>1164</vt:i4>
      </vt:variant>
      <vt:variant>
        <vt:i4>0</vt:i4>
      </vt:variant>
      <vt:variant>
        <vt:i4>5</vt:i4>
      </vt:variant>
      <vt:variant>
        <vt:lpwstr>http://www.optus.com.au/content/dam/optus/documents/about-us/legal/DigPricingS1.doc</vt:lpwstr>
      </vt:variant>
      <vt:variant>
        <vt:lpwstr/>
      </vt:variant>
      <vt:variant>
        <vt:i4>2293803</vt:i4>
      </vt:variant>
      <vt:variant>
        <vt:i4>1161</vt:i4>
      </vt:variant>
      <vt:variant>
        <vt:i4>0</vt:i4>
      </vt:variant>
      <vt:variant>
        <vt:i4>5</vt:i4>
      </vt:variant>
      <vt:variant>
        <vt:lpwstr>http://www.optus.com.au/content/dam/optus/appendix/Appendix Y/AppY.doc</vt:lpwstr>
      </vt:variant>
      <vt:variant>
        <vt:lpwstr/>
      </vt:variant>
      <vt:variant>
        <vt:i4>2293803</vt:i4>
      </vt:variant>
      <vt:variant>
        <vt:i4>1158</vt:i4>
      </vt:variant>
      <vt:variant>
        <vt:i4>0</vt:i4>
      </vt:variant>
      <vt:variant>
        <vt:i4>5</vt:i4>
      </vt:variant>
      <vt:variant>
        <vt:lpwstr>http://www.optus.com.au/content/dam/optus/appendix/Appendix Y/AppY.doc</vt:lpwstr>
      </vt:variant>
      <vt:variant>
        <vt:lpwstr/>
      </vt:variant>
      <vt:variant>
        <vt:i4>7929952</vt:i4>
      </vt:variant>
      <vt:variant>
        <vt:i4>1155</vt:i4>
      </vt:variant>
      <vt:variant>
        <vt:i4>0</vt:i4>
      </vt:variant>
      <vt:variant>
        <vt:i4>5</vt:i4>
      </vt:variant>
      <vt:variant>
        <vt:lpwstr>http://www.optus.com.au/content/dam/optus/documents/about-us/legal/DigPricingS4.doc</vt:lpwstr>
      </vt:variant>
      <vt:variant>
        <vt:lpwstr/>
      </vt:variant>
      <vt:variant>
        <vt:i4>7929952</vt:i4>
      </vt:variant>
      <vt:variant>
        <vt:i4>1152</vt:i4>
      </vt:variant>
      <vt:variant>
        <vt:i4>0</vt:i4>
      </vt:variant>
      <vt:variant>
        <vt:i4>5</vt:i4>
      </vt:variant>
      <vt:variant>
        <vt:lpwstr>http://www.optus.com.au/content/dam/optus/documents/about-us/legal/DigPricingS4.doc</vt:lpwstr>
      </vt:variant>
      <vt:variant>
        <vt:lpwstr/>
      </vt:variant>
      <vt:variant>
        <vt:i4>7929957</vt:i4>
      </vt:variant>
      <vt:variant>
        <vt:i4>1149</vt:i4>
      </vt:variant>
      <vt:variant>
        <vt:i4>0</vt:i4>
      </vt:variant>
      <vt:variant>
        <vt:i4>5</vt:i4>
      </vt:variant>
      <vt:variant>
        <vt:lpwstr>http://www.optus.com.au/content/dam/optus/documents/about-us/legal/DigPricingS1.doc</vt:lpwstr>
      </vt:variant>
      <vt:variant>
        <vt:lpwstr/>
      </vt:variant>
      <vt:variant>
        <vt:i4>6815794</vt:i4>
      </vt:variant>
      <vt:variant>
        <vt:i4>1146</vt:i4>
      </vt:variant>
      <vt:variant>
        <vt:i4>0</vt:i4>
      </vt:variant>
      <vt:variant>
        <vt:i4>5</vt:i4>
      </vt:variant>
      <vt:variant>
        <vt:lpwstr>http://www.optus.com.au/content/dam/optus/documents/about-us/legal/SMETerms.doc</vt:lpwstr>
      </vt:variant>
      <vt:variant>
        <vt:lpwstr/>
      </vt:variant>
      <vt:variant>
        <vt:i4>7929957</vt:i4>
      </vt:variant>
      <vt:variant>
        <vt:i4>1137</vt:i4>
      </vt:variant>
      <vt:variant>
        <vt:i4>0</vt:i4>
      </vt:variant>
      <vt:variant>
        <vt:i4>5</vt:i4>
      </vt:variant>
      <vt:variant>
        <vt:lpwstr>http://www.optus.com.au/content/dam/optus/documents/about-us/legal/DigPricingS1.doc</vt:lpwstr>
      </vt:variant>
      <vt:variant>
        <vt:lpwstr/>
      </vt:variant>
      <vt:variant>
        <vt:i4>6815794</vt:i4>
      </vt:variant>
      <vt:variant>
        <vt:i4>1134</vt:i4>
      </vt:variant>
      <vt:variant>
        <vt:i4>0</vt:i4>
      </vt:variant>
      <vt:variant>
        <vt:i4>5</vt:i4>
      </vt:variant>
      <vt:variant>
        <vt:lpwstr>http://www.optus.com.au/content/dam/optus/documents/about-us/legal/SMETerms.doc</vt:lpwstr>
      </vt:variant>
      <vt:variant>
        <vt:lpwstr/>
      </vt:variant>
      <vt:variant>
        <vt:i4>7929957</vt:i4>
      </vt:variant>
      <vt:variant>
        <vt:i4>1131</vt:i4>
      </vt:variant>
      <vt:variant>
        <vt:i4>0</vt:i4>
      </vt:variant>
      <vt:variant>
        <vt:i4>5</vt:i4>
      </vt:variant>
      <vt:variant>
        <vt:lpwstr>http://www.optus.com.au/content/dam/optus/documents/about-us/legal/DigPricingS1.doc</vt:lpwstr>
      </vt:variant>
      <vt:variant>
        <vt:lpwstr/>
      </vt:variant>
      <vt:variant>
        <vt:i4>7929957</vt:i4>
      </vt:variant>
      <vt:variant>
        <vt:i4>1128</vt:i4>
      </vt:variant>
      <vt:variant>
        <vt:i4>0</vt:i4>
      </vt:variant>
      <vt:variant>
        <vt:i4>5</vt:i4>
      </vt:variant>
      <vt:variant>
        <vt:lpwstr>http://www.optus.com.au/content/dam/optus/documents/about-us/legal/DigPricingS1.doc</vt:lpwstr>
      </vt:variant>
      <vt:variant>
        <vt:lpwstr/>
      </vt:variant>
      <vt:variant>
        <vt:i4>7929957</vt:i4>
      </vt:variant>
      <vt:variant>
        <vt:i4>1125</vt:i4>
      </vt:variant>
      <vt:variant>
        <vt:i4>0</vt:i4>
      </vt:variant>
      <vt:variant>
        <vt:i4>5</vt:i4>
      </vt:variant>
      <vt:variant>
        <vt:lpwstr>http://www.optus.com.au/content/dam/optus/documents/about-us/legal/DigPricingS1.doc</vt:lpwstr>
      </vt:variant>
      <vt:variant>
        <vt:lpwstr/>
      </vt:variant>
      <vt:variant>
        <vt:i4>6815794</vt:i4>
      </vt:variant>
      <vt:variant>
        <vt:i4>1119</vt:i4>
      </vt:variant>
      <vt:variant>
        <vt:i4>0</vt:i4>
      </vt:variant>
      <vt:variant>
        <vt:i4>5</vt:i4>
      </vt:variant>
      <vt:variant>
        <vt:lpwstr>http://www.optus.com.au/content/dam/optus/documents/about-us/legal/SMETerms.doc</vt:lpwstr>
      </vt:variant>
      <vt:variant>
        <vt:lpwstr/>
      </vt:variant>
      <vt:variant>
        <vt:i4>6815794</vt:i4>
      </vt:variant>
      <vt:variant>
        <vt:i4>1113</vt:i4>
      </vt:variant>
      <vt:variant>
        <vt:i4>0</vt:i4>
      </vt:variant>
      <vt:variant>
        <vt:i4>5</vt:i4>
      </vt:variant>
      <vt:variant>
        <vt:lpwstr>http://www.optus.com.au/content/dam/optus/documents/about-us/legal/SMETerms.doc</vt:lpwstr>
      </vt:variant>
      <vt:variant>
        <vt:lpwstr/>
      </vt:variant>
      <vt:variant>
        <vt:i4>7929957</vt:i4>
      </vt:variant>
      <vt:variant>
        <vt:i4>1107</vt:i4>
      </vt:variant>
      <vt:variant>
        <vt:i4>0</vt:i4>
      </vt:variant>
      <vt:variant>
        <vt:i4>5</vt:i4>
      </vt:variant>
      <vt:variant>
        <vt:lpwstr>http://www.optus.com.au/content/dam/optus/documents/about-us/legal/DigPricingS1.doc</vt:lpwstr>
      </vt:variant>
      <vt:variant>
        <vt:lpwstr/>
      </vt:variant>
      <vt:variant>
        <vt:i4>7929957</vt:i4>
      </vt:variant>
      <vt:variant>
        <vt:i4>1104</vt:i4>
      </vt:variant>
      <vt:variant>
        <vt:i4>0</vt:i4>
      </vt:variant>
      <vt:variant>
        <vt:i4>5</vt:i4>
      </vt:variant>
      <vt:variant>
        <vt:lpwstr>http://www.optus.com.au/content/dam/optus/documents/about-us/legal/DigPricingS1.doc</vt:lpwstr>
      </vt:variant>
      <vt:variant>
        <vt:lpwstr/>
      </vt:variant>
      <vt:variant>
        <vt:i4>6815794</vt:i4>
      </vt:variant>
      <vt:variant>
        <vt:i4>1098</vt:i4>
      </vt:variant>
      <vt:variant>
        <vt:i4>0</vt:i4>
      </vt:variant>
      <vt:variant>
        <vt:i4>5</vt:i4>
      </vt:variant>
      <vt:variant>
        <vt:lpwstr>http://www.optus.com.au/content/dam/optus/documents/about-us/legal/SMETerms.doc</vt:lpwstr>
      </vt:variant>
      <vt:variant>
        <vt:lpwstr/>
      </vt:variant>
      <vt:variant>
        <vt:i4>7929957</vt:i4>
      </vt:variant>
      <vt:variant>
        <vt:i4>1092</vt:i4>
      </vt:variant>
      <vt:variant>
        <vt:i4>0</vt:i4>
      </vt:variant>
      <vt:variant>
        <vt:i4>5</vt:i4>
      </vt:variant>
      <vt:variant>
        <vt:lpwstr>http://www.optus.com.au/content/dam/optus/documents/about-us/legal/DigPricingS1.doc</vt:lpwstr>
      </vt:variant>
      <vt:variant>
        <vt:lpwstr/>
      </vt:variant>
      <vt:variant>
        <vt:i4>7929957</vt:i4>
      </vt:variant>
      <vt:variant>
        <vt:i4>1089</vt:i4>
      </vt:variant>
      <vt:variant>
        <vt:i4>0</vt:i4>
      </vt:variant>
      <vt:variant>
        <vt:i4>5</vt:i4>
      </vt:variant>
      <vt:variant>
        <vt:lpwstr>http://www.optus.com.au/content/dam/optus/documents/about-us/legal/DigPricingS1.doc</vt:lpwstr>
      </vt:variant>
      <vt:variant>
        <vt:lpwstr/>
      </vt:variant>
      <vt:variant>
        <vt:i4>6815794</vt:i4>
      </vt:variant>
      <vt:variant>
        <vt:i4>1083</vt:i4>
      </vt:variant>
      <vt:variant>
        <vt:i4>0</vt:i4>
      </vt:variant>
      <vt:variant>
        <vt:i4>5</vt:i4>
      </vt:variant>
      <vt:variant>
        <vt:lpwstr>http://www.optus.com.au/content/dam/optus/documents/about-us/legal/SMETerms.doc</vt:lpwstr>
      </vt:variant>
      <vt:variant>
        <vt:lpwstr/>
      </vt:variant>
      <vt:variant>
        <vt:i4>7929957</vt:i4>
      </vt:variant>
      <vt:variant>
        <vt:i4>1080</vt:i4>
      </vt:variant>
      <vt:variant>
        <vt:i4>0</vt:i4>
      </vt:variant>
      <vt:variant>
        <vt:i4>5</vt:i4>
      </vt:variant>
      <vt:variant>
        <vt:lpwstr>http://www.optus.com.au/content/dam/optus/documents/about-us/legal/DigPricingS1.doc</vt:lpwstr>
      </vt:variant>
      <vt:variant>
        <vt:lpwstr/>
      </vt:variant>
      <vt:variant>
        <vt:i4>7929957</vt:i4>
      </vt:variant>
      <vt:variant>
        <vt:i4>1077</vt:i4>
      </vt:variant>
      <vt:variant>
        <vt:i4>0</vt:i4>
      </vt:variant>
      <vt:variant>
        <vt:i4>5</vt:i4>
      </vt:variant>
      <vt:variant>
        <vt:lpwstr>http://www.optus.com.au/content/dam/optus/documents/about-us/legal/DigPricingS1.doc</vt:lpwstr>
      </vt:variant>
      <vt:variant>
        <vt:lpwstr/>
      </vt:variant>
      <vt:variant>
        <vt:i4>7929957</vt:i4>
      </vt:variant>
      <vt:variant>
        <vt:i4>1074</vt:i4>
      </vt:variant>
      <vt:variant>
        <vt:i4>0</vt:i4>
      </vt:variant>
      <vt:variant>
        <vt:i4>5</vt:i4>
      </vt:variant>
      <vt:variant>
        <vt:lpwstr>http://www.optus.com.au/content/dam/optus/documents/about-us/legal/DigPricingS1.doc</vt:lpwstr>
      </vt:variant>
      <vt:variant>
        <vt:lpwstr/>
      </vt:variant>
      <vt:variant>
        <vt:i4>7929957</vt:i4>
      </vt:variant>
      <vt:variant>
        <vt:i4>1071</vt:i4>
      </vt:variant>
      <vt:variant>
        <vt:i4>0</vt:i4>
      </vt:variant>
      <vt:variant>
        <vt:i4>5</vt:i4>
      </vt:variant>
      <vt:variant>
        <vt:lpwstr>http://www.optus.com.au/content/dam/optus/documents/about-us/legal/DigPricingS1.doc</vt:lpwstr>
      </vt:variant>
      <vt:variant>
        <vt:lpwstr/>
      </vt:variant>
      <vt:variant>
        <vt:i4>7929957</vt:i4>
      </vt:variant>
      <vt:variant>
        <vt:i4>1068</vt:i4>
      </vt:variant>
      <vt:variant>
        <vt:i4>0</vt:i4>
      </vt:variant>
      <vt:variant>
        <vt:i4>5</vt:i4>
      </vt:variant>
      <vt:variant>
        <vt:lpwstr>http://www.optus.com.au/content/dam/optus/documents/about-us/legal/DigPricingS1.doc</vt:lpwstr>
      </vt:variant>
      <vt:variant>
        <vt:lpwstr/>
      </vt:variant>
      <vt:variant>
        <vt:i4>6815794</vt:i4>
      </vt:variant>
      <vt:variant>
        <vt:i4>1065</vt:i4>
      </vt:variant>
      <vt:variant>
        <vt:i4>0</vt:i4>
      </vt:variant>
      <vt:variant>
        <vt:i4>5</vt:i4>
      </vt:variant>
      <vt:variant>
        <vt:lpwstr>http://www.optus.com.au/content/dam/optus/documents/about-us/legal/SMETerms.doc</vt:lpwstr>
      </vt:variant>
      <vt:variant>
        <vt:lpwstr/>
      </vt:variant>
      <vt:variant>
        <vt:i4>7929957</vt:i4>
      </vt:variant>
      <vt:variant>
        <vt:i4>1062</vt:i4>
      </vt:variant>
      <vt:variant>
        <vt:i4>0</vt:i4>
      </vt:variant>
      <vt:variant>
        <vt:i4>5</vt:i4>
      </vt:variant>
      <vt:variant>
        <vt:lpwstr>http://www.optus.com.au/content/dam/optus/documents/about-us/legal/DigPricingS1.doc</vt:lpwstr>
      </vt:variant>
      <vt:variant>
        <vt:lpwstr/>
      </vt:variant>
      <vt:variant>
        <vt:i4>7929957</vt:i4>
      </vt:variant>
      <vt:variant>
        <vt:i4>1059</vt:i4>
      </vt:variant>
      <vt:variant>
        <vt:i4>0</vt:i4>
      </vt:variant>
      <vt:variant>
        <vt:i4>5</vt:i4>
      </vt:variant>
      <vt:variant>
        <vt:lpwstr>http://www.optus.com.au/content/dam/optus/documents/about-us/legal/DigPricingS1.doc</vt:lpwstr>
      </vt:variant>
      <vt:variant>
        <vt:lpwstr/>
      </vt:variant>
      <vt:variant>
        <vt:i4>7929957</vt:i4>
      </vt:variant>
      <vt:variant>
        <vt:i4>1056</vt:i4>
      </vt:variant>
      <vt:variant>
        <vt:i4>0</vt:i4>
      </vt:variant>
      <vt:variant>
        <vt:i4>5</vt:i4>
      </vt:variant>
      <vt:variant>
        <vt:lpwstr>http://www.optus.com.au/content/dam/optus/documents/about-us/legal/DigPricingS1.doc</vt:lpwstr>
      </vt:variant>
      <vt:variant>
        <vt:lpwstr/>
      </vt:variant>
      <vt:variant>
        <vt:i4>7929957</vt:i4>
      </vt:variant>
      <vt:variant>
        <vt:i4>1053</vt:i4>
      </vt:variant>
      <vt:variant>
        <vt:i4>0</vt:i4>
      </vt:variant>
      <vt:variant>
        <vt:i4>5</vt:i4>
      </vt:variant>
      <vt:variant>
        <vt:lpwstr>http://www.optus.com.au/content/dam/optus/documents/about-us/legal/DigPricingS1.doc</vt:lpwstr>
      </vt:variant>
      <vt:variant>
        <vt:lpwstr/>
      </vt:variant>
      <vt:variant>
        <vt:i4>6815794</vt:i4>
      </vt:variant>
      <vt:variant>
        <vt:i4>1050</vt:i4>
      </vt:variant>
      <vt:variant>
        <vt:i4>0</vt:i4>
      </vt:variant>
      <vt:variant>
        <vt:i4>5</vt:i4>
      </vt:variant>
      <vt:variant>
        <vt:lpwstr>http://www.optus.com.au/content/dam/optus/documents/about-us/legal/SMETerms.doc</vt:lpwstr>
      </vt:variant>
      <vt:variant>
        <vt:lpwstr/>
      </vt:variant>
      <vt:variant>
        <vt:i4>7929957</vt:i4>
      </vt:variant>
      <vt:variant>
        <vt:i4>1044</vt:i4>
      </vt:variant>
      <vt:variant>
        <vt:i4>0</vt:i4>
      </vt:variant>
      <vt:variant>
        <vt:i4>5</vt:i4>
      </vt:variant>
      <vt:variant>
        <vt:lpwstr>http://www.optus.com.au/content/dam/optus/documents/about-us/legal/DigPricingS1.doc</vt:lpwstr>
      </vt:variant>
      <vt:variant>
        <vt:lpwstr/>
      </vt:variant>
      <vt:variant>
        <vt:i4>7929957</vt:i4>
      </vt:variant>
      <vt:variant>
        <vt:i4>1041</vt:i4>
      </vt:variant>
      <vt:variant>
        <vt:i4>0</vt:i4>
      </vt:variant>
      <vt:variant>
        <vt:i4>5</vt:i4>
      </vt:variant>
      <vt:variant>
        <vt:lpwstr>http://www.optus.com.au/content/dam/optus/documents/about-us/legal/DigPricingS1.doc</vt:lpwstr>
      </vt:variant>
      <vt:variant>
        <vt:lpwstr/>
      </vt:variant>
      <vt:variant>
        <vt:i4>7929957</vt:i4>
      </vt:variant>
      <vt:variant>
        <vt:i4>1038</vt:i4>
      </vt:variant>
      <vt:variant>
        <vt:i4>0</vt:i4>
      </vt:variant>
      <vt:variant>
        <vt:i4>5</vt:i4>
      </vt:variant>
      <vt:variant>
        <vt:lpwstr>http://www.optus.com.au/content/dam/optus/documents/about-us/legal/DigPricingS1.doc</vt:lpwstr>
      </vt:variant>
      <vt:variant>
        <vt:lpwstr/>
      </vt:variant>
      <vt:variant>
        <vt:i4>7929957</vt:i4>
      </vt:variant>
      <vt:variant>
        <vt:i4>1035</vt:i4>
      </vt:variant>
      <vt:variant>
        <vt:i4>0</vt:i4>
      </vt:variant>
      <vt:variant>
        <vt:i4>5</vt:i4>
      </vt:variant>
      <vt:variant>
        <vt:lpwstr>http://www.optus.com.au/content/dam/optus/documents/about-us/legal/DigPricingS1.doc</vt:lpwstr>
      </vt:variant>
      <vt:variant>
        <vt:lpwstr/>
      </vt:variant>
      <vt:variant>
        <vt:i4>7929957</vt:i4>
      </vt:variant>
      <vt:variant>
        <vt:i4>1032</vt:i4>
      </vt:variant>
      <vt:variant>
        <vt:i4>0</vt:i4>
      </vt:variant>
      <vt:variant>
        <vt:i4>5</vt:i4>
      </vt:variant>
      <vt:variant>
        <vt:lpwstr>http://www.optus.com.au/content/dam/optus/documents/about-us/legal/DigPricingS1.doc</vt:lpwstr>
      </vt:variant>
      <vt:variant>
        <vt:lpwstr/>
      </vt:variant>
      <vt:variant>
        <vt:i4>6815794</vt:i4>
      </vt:variant>
      <vt:variant>
        <vt:i4>1029</vt:i4>
      </vt:variant>
      <vt:variant>
        <vt:i4>0</vt:i4>
      </vt:variant>
      <vt:variant>
        <vt:i4>5</vt:i4>
      </vt:variant>
      <vt:variant>
        <vt:lpwstr>http://www.optus.com.au/content/dam/optus/documents/about-us/legal/SMETerms.doc</vt:lpwstr>
      </vt:variant>
      <vt:variant>
        <vt:lpwstr/>
      </vt:variant>
      <vt:variant>
        <vt:i4>1310748</vt:i4>
      </vt:variant>
      <vt:variant>
        <vt:i4>1026</vt:i4>
      </vt:variant>
      <vt:variant>
        <vt:i4>0</vt:i4>
      </vt:variant>
      <vt:variant>
        <vt:i4>5</vt:i4>
      </vt:variant>
      <vt:variant>
        <vt:lpwstr>http://www.optus.com.au/content/dam/optus/appendix/Appendix IB/AppIB.doc</vt:lpwstr>
      </vt:variant>
      <vt:variant>
        <vt:lpwstr/>
      </vt:variant>
      <vt:variant>
        <vt:i4>6815794</vt:i4>
      </vt:variant>
      <vt:variant>
        <vt:i4>1020</vt:i4>
      </vt:variant>
      <vt:variant>
        <vt:i4>0</vt:i4>
      </vt:variant>
      <vt:variant>
        <vt:i4>5</vt:i4>
      </vt:variant>
      <vt:variant>
        <vt:lpwstr>http://www.optus.com.au/content/dam/optus/documents/about-us/legal/SMETerms.doc</vt:lpwstr>
      </vt:variant>
      <vt:variant>
        <vt:lpwstr/>
      </vt:variant>
      <vt:variant>
        <vt:i4>2687009</vt:i4>
      </vt:variant>
      <vt:variant>
        <vt:i4>1017</vt:i4>
      </vt:variant>
      <vt:variant>
        <vt:i4>0</vt:i4>
      </vt:variant>
      <vt:variant>
        <vt:i4>5</vt:i4>
      </vt:variant>
      <vt:variant>
        <vt:lpwstr>http://www.optus.com.au/content/dam/optus/appendix/Appendix S/AppS.doc</vt:lpwstr>
      </vt:variant>
      <vt:variant>
        <vt:lpwstr/>
      </vt:variant>
      <vt:variant>
        <vt:i4>2687009</vt:i4>
      </vt:variant>
      <vt:variant>
        <vt:i4>1011</vt:i4>
      </vt:variant>
      <vt:variant>
        <vt:i4>0</vt:i4>
      </vt:variant>
      <vt:variant>
        <vt:i4>5</vt:i4>
      </vt:variant>
      <vt:variant>
        <vt:lpwstr>http://www.optus.com.au/content/dam/optus/appendix/Appendix S/AppS.doc</vt:lpwstr>
      </vt:variant>
      <vt:variant>
        <vt:lpwstr/>
      </vt:variant>
      <vt:variant>
        <vt:i4>3145784</vt:i4>
      </vt:variant>
      <vt:variant>
        <vt:i4>1008</vt:i4>
      </vt:variant>
      <vt:variant>
        <vt:i4>0</vt:i4>
      </vt:variant>
      <vt:variant>
        <vt:i4>5</vt:i4>
      </vt:variant>
      <vt:variant>
        <vt:lpwstr>http://www.optus.com.au/content/dam/optus/appendix/Appendix J/AppJ.doc</vt:lpwstr>
      </vt:variant>
      <vt:variant>
        <vt:lpwstr/>
      </vt:variant>
      <vt:variant>
        <vt:i4>3145784</vt:i4>
      </vt:variant>
      <vt:variant>
        <vt:i4>1005</vt:i4>
      </vt:variant>
      <vt:variant>
        <vt:i4>0</vt:i4>
      </vt:variant>
      <vt:variant>
        <vt:i4>5</vt:i4>
      </vt:variant>
      <vt:variant>
        <vt:lpwstr>http://www.optus.com.au/content/dam/optus/appendix/Appendix J/AppJ.doc</vt:lpwstr>
      </vt:variant>
      <vt:variant>
        <vt:lpwstr/>
      </vt:variant>
      <vt:variant>
        <vt:i4>2687009</vt:i4>
      </vt:variant>
      <vt:variant>
        <vt:i4>1002</vt:i4>
      </vt:variant>
      <vt:variant>
        <vt:i4>0</vt:i4>
      </vt:variant>
      <vt:variant>
        <vt:i4>5</vt:i4>
      </vt:variant>
      <vt:variant>
        <vt:lpwstr>http://www.optus.com.au/content/dam/optus/appendix/Appendix S/AppS.doc</vt:lpwstr>
      </vt:variant>
      <vt:variant>
        <vt:lpwstr/>
      </vt:variant>
      <vt:variant>
        <vt:i4>2687009</vt:i4>
      </vt:variant>
      <vt:variant>
        <vt:i4>999</vt:i4>
      </vt:variant>
      <vt:variant>
        <vt:i4>0</vt:i4>
      </vt:variant>
      <vt:variant>
        <vt:i4>5</vt:i4>
      </vt:variant>
      <vt:variant>
        <vt:lpwstr>http://www.optus.com.au/content/dam/optus/appendix/Appendix S/AppS.doc</vt:lpwstr>
      </vt:variant>
      <vt:variant>
        <vt:lpwstr/>
      </vt:variant>
      <vt:variant>
        <vt:i4>2687009</vt:i4>
      </vt:variant>
      <vt:variant>
        <vt:i4>996</vt:i4>
      </vt:variant>
      <vt:variant>
        <vt:i4>0</vt:i4>
      </vt:variant>
      <vt:variant>
        <vt:i4>5</vt:i4>
      </vt:variant>
      <vt:variant>
        <vt:lpwstr>http://www.optus.com.au/content/dam/optus/appendix/Appendix S/AppS.doc</vt:lpwstr>
      </vt:variant>
      <vt:variant>
        <vt:lpwstr/>
      </vt:variant>
      <vt:variant>
        <vt:i4>2687009</vt:i4>
      </vt:variant>
      <vt:variant>
        <vt:i4>993</vt:i4>
      </vt:variant>
      <vt:variant>
        <vt:i4>0</vt:i4>
      </vt:variant>
      <vt:variant>
        <vt:i4>5</vt:i4>
      </vt:variant>
      <vt:variant>
        <vt:lpwstr>http://www.optus.com.au/content/dam/optus/appendix/Appendix S/AppS.doc</vt:lpwstr>
      </vt:variant>
      <vt:variant>
        <vt:lpwstr/>
      </vt:variant>
      <vt:variant>
        <vt:i4>2293803</vt:i4>
      </vt:variant>
      <vt:variant>
        <vt:i4>990</vt:i4>
      </vt:variant>
      <vt:variant>
        <vt:i4>0</vt:i4>
      </vt:variant>
      <vt:variant>
        <vt:i4>5</vt:i4>
      </vt:variant>
      <vt:variant>
        <vt:lpwstr>http://www.optus.com.au/content/dam/optus/appendix/Appendix Y/AppY.doc</vt:lpwstr>
      </vt:variant>
      <vt:variant>
        <vt:lpwstr/>
      </vt:variant>
      <vt:variant>
        <vt:i4>7929957</vt:i4>
      </vt:variant>
      <vt:variant>
        <vt:i4>987</vt:i4>
      </vt:variant>
      <vt:variant>
        <vt:i4>0</vt:i4>
      </vt:variant>
      <vt:variant>
        <vt:i4>5</vt:i4>
      </vt:variant>
      <vt:variant>
        <vt:lpwstr>http://www.optus.com.au/content/dam/optus/documents/about-us/legal/DigPricingS1.doc</vt:lpwstr>
      </vt:variant>
      <vt:variant>
        <vt:lpwstr/>
      </vt:variant>
      <vt:variant>
        <vt:i4>6815794</vt:i4>
      </vt:variant>
      <vt:variant>
        <vt:i4>972</vt:i4>
      </vt:variant>
      <vt:variant>
        <vt:i4>0</vt:i4>
      </vt:variant>
      <vt:variant>
        <vt:i4>5</vt:i4>
      </vt:variant>
      <vt:variant>
        <vt:lpwstr>http://www.optus.com.au/content/dam/optus/documents/about-us/legal/SMETerms.doc</vt:lpwstr>
      </vt:variant>
      <vt:variant>
        <vt:lpwstr/>
      </vt:variant>
      <vt:variant>
        <vt:i4>7929957</vt:i4>
      </vt:variant>
      <vt:variant>
        <vt:i4>966</vt:i4>
      </vt:variant>
      <vt:variant>
        <vt:i4>0</vt:i4>
      </vt:variant>
      <vt:variant>
        <vt:i4>5</vt:i4>
      </vt:variant>
      <vt:variant>
        <vt:lpwstr>http://www.optus.com.au/content/dam/optus/documents/about-us/legal/DigPricingS1.doc</vt:lpwstr>
      </vt:variant>
      <vt:variant>
        <vt:lpwstr/>
      </vt:variant>
      <vt:variant>
        <vt:i4>7929957</vt:i4>
      </vt:variant>
      <vt:variant>
        <vt:i4>963</vt:i4>
      </vt:variant>
      <vt:variant>
        <vt:i4>0</vt:i4>
      </vt:variant>
      <vt:variant>
        <vt:i4>5</vt:i4>
      </vt:variant>
      <vt:variant>
        <vt:lpwstr>http://www.optus.com.au/content/dam/optus/documents/about-us/legal/DigPricingS1.doc</vt:lpwstr>
      </vt:variant>
      <vt:variant>
        <vt:lpwstr/>
      </vt:variant>
      <vt:variant>
        <vt:i4>6815794</vt:i4>
      </vt:variant>
      <vt:variant>
        <vt:i4>960</vt:i4>
      </vt:variant>
      <vt:variant>
        <vt:i4>0</vt:i4>
      </vt:variant>
      <vt:variant>
        <vt:i4>5</vt:i4>
      </vt:variant>
      <vt:variant>
        <vt:lpwstr>http://www.optus.com.au/content/dam/optus/documents/about-us/legal/SMETerms.doc</vt:lpwstr>
      </vt:variant>
      <vt:variant>
        <vt:lpwstr/>
      </vt:variant>
      <vt:variant>
        <vt:i4>7929957</vt:i4>
      </vt:variant>
      <vt:variant>
        <vt:i4>951</vt:i4>
      </vt:variant>
      <vt:variant>
        <vt:i4>0</vt:i4>
      </vt:variant>
      <vt:variant>
        <vt:i4>5</vt:i4>
      </vt:variant>
      <vt:variant>
        <vt:lpwstr>http://www.optus.com.au/content/dam/optus/documents/about-us/legal/DigPricingS1.doc</vt:lpwstr>
      </vt:variant>
      <vt:variant>
        <vt:lpwstr/>
      </vt:variant>
      <vt:variant>
        <vt:i4>5177423</vt:i4>
      </vt:variant>
      <vt:variant>
        <vt:i4>948</vt:i4>
      </vt:variant>
      <vt:variant>
        <vt:i4>0</vt:i4>
      </vt:variant>
      <vt:variant>
        <vt:i4>5</vt:i4>
      </vt:variant>
      <vt:variant>
        <vt:lpwstr>http://www.optus.com.au/dafiles/OCA/AboutOptus/LegalAndRegulatory/SharedStaticFiles/SharedDocuments/AppW.doc</vt:lpwstr>
      </vt:variant>
      <vt:variant>
        <vt:lpwstr/>
      </vt:variant>
      <vt:variant>
        <vt:i4>7929957</vt:i4>
      </vt:variant>
      <vt:variant>
        <vt:i4>945</vt:i4>
      </vt:variant>
      <vt:variant>
        <vt:i4>0</vt:i4>
      </vt:variant>
      <vt:variant>
        <vt:i4>5</vt:i4>
      </vt:variant>
      <vt:variant>
        <vt:lpwstr>http://www.optus.com.au/content/dam/optus/documents/about-us/legal/DigPricingS1.doc</vt:lpwstr>
      </vt:variant>
      <vt:variant>
        <vt:lpwstr/>
      </vt:variant>
      <vt:variant>
        <vt:i4>6815794</vt:i4>
      </vt:variant>
      <vt:variant>
        <vt:i4>942</vt:i4>
      </vt:variant>
      <vt:variant>
        <vt:i4>0</vt:i4>
      </vt:variant>
      <vt:variant>
        <vt:i4>5</vt:i4>
      </vt:variant>
      <vt:variant>
        <vt:lpwstr>http://www.optus.com.au/content/dam/optus/documents/about-us/legal/SMETerms.doc</vt:lpwstr>
      </vt:variant>
      <vt:variant>
        <vt:lpwstr/>
      </vt:variant>
      <vt:variant>
        <vt:i4>1310748</vt:i4>
      </vt:variant>
      <vt:variant>
        <vt:i4>939</vt:i4>
      </vt:variant>
      <vt:variant>
        <vt:i4>0</vt:i4>
      </vt:variant>
      <vt:variant>
        <vt:i4>5</vt:i4>
      </vt:variant>
      <vt:variant>
        <vt:lpwstr>http://www.optus.com.au/content/dam/optus/appendix/Appendix IB/AppIB.doc</vt:lpwstr>
      </vt:variant>
      <vt:variant>
        <vt:lpwstr/>
      </vt:variant>
      <vt:variant>
        <vt:i4>6815794</vt:i4>
      </vt:variant>
      <vt:variant>
        <vt:i4>936</vt:i4>
      </vt:variant>
      <vt:variant>
        <vt:i4>0</vt:i4>
      </vt:variant>
      <vt:variant>
        <vt:i4>5</vt:i4>
      </vt:variant>
      <vt:variant>
        <vt:lpwstr>http://www.optus.com.au/content/dam/optus/documents/about-us/legal/SMETerms.doc</vt:lpwstr>
      </vt:variant>
      <vt:variant>
        <vt:lpwstr/>
      </vt:variant>
      <vt:variant>
        <vt:i4>2687009</vt:i4>
      </vt:variant>
      <vt:variant>
        <vt:i4>933</vt:i4>
      </vt:variant>
      <vt:variant>
        <vt:i4>0</vt:i4>
      </vt:variant>
      <vt:variant>
        <vt:i4>5</vt:i4>
      </vt:variant>
      <vt:variant>
        <vt:lpwstr>http://www.optus.com.au/content/dam/optus/appendix/Appendix S/AppS.doc</vt:lpwstr>
      </vt:variant>
      <vt:variant>
        <vt:lpwstr/>
      </vt:variant>
      <vt:variant>
        <vt:i4>5177423</vt:i4>
      </vt:variant>
      <vt:variant>
        <vt:i4>927</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924</vt:i4>
      </vt:variant>
      <vt:variant>
        <vt:i4>0</vt:i4>
      </vt:variant>
      <vt:variant>
        <vt:i4>5</vt:i4>
      </vt:variant>
      <vt:variant>
        <vt:lpwstr>http://www.optus.com.au/content/dam/optus/appendix/Appendix S/AppS.doc</vt:lpwstr>
      </vt:variant>
      <vt:variant>
        <vt:lpwstr/>
      </vt:variant>
      <vt:variant>
        <vt:i4>3145784</vt:i4>
      </vt:variant>
      <vt:variant>
        <vt:i4>921</vt:i4>
      </vt:variant>
      <vt:variant>
        <vt:i4>0</vt:i4>
      </vt:variant>
      <vt:variant>
        <vt:i4>5</vt:i4>
      </vt:variant>
      <vt:variant>
        <vt:lpwstr>http://www.optus.com.au/content/dam/optus/appendix/Appendix J/AppJ.doc</vt:lpwstr>
      </vt:variant>
      <vt:variant>
        <vt:lpwstr/>
      </vt:variant>
      <vt:variant>
        <vt:i4>3145784</vt:i4>
      </vt:variant>
      <vt:variant>
        <vt:i4>918</vt:i4>
      </vt:variant>
      <vt:variant>
        <vt:i4>0</vt:i4>
      </vt:variant>
      <vt:variant>
        <vt:i4>5</vt:i4>
      </vt:variant>
      <vt:variant>
        <vt:lpwstr>http://www.optus.com.au/content/dam/optus/appendix/Appendix J/AppJ.doc</vt:lpwstr>
      </vt:variant>
      <vt:variant>
        <vt:lpwstr/>
      </vt:variant>
      <vt:variant>
        <vt:i4>2687009</vt:i4>
      </vt:variant>
      <vt:variant>
        <vt:i4>915</vt:i4>
      </vt:variant>
      <vt:variant>
        <vt:i4>0</vt:i4>
      </vt:variant>
      <vt:variant>
        <vt:i4>5</vt:i4>
      </vt:variant>
      <vt:variant>
        <vt:lpwstr>http://www.optus.com.au/content/dam/optus/appendix/Appendix S/AppS.doc</vt:lpwstr>
      </vt:variant>
      <vt:variant>
        <vt:lpwstr/>
      </vt:variant>
      <vt:variant>
        <vt:i4>2687009</vt:i4>
      </vt:variant>
      <vt:variant>
        <vt:i4>912</vt:i4>
      </vt:variant>
      <vt:variant>
        <vt:i4>0</vt:i4>
      </vt:variant>
      <vt:variant>
        <vt:i4>5</vt:i4>
      </vt:variant>
      <vt:variant>
        <vt:lpwstr>http://www.optus.com.au/content/dam/optus/appendix/Appendix S/AppS.doc</vt:lpwstr>
      </vt:variant>
      <vt:variant>
        <vt:lpwstr/>
      </vt:variant>
      <vt:variant>
        <vt:i4>2687009</vt:i4>
      </vt:variant>
      <vt:variant>
        <vt:i4>909</vt:i4>
      </vt:variant>
      <vt:variant>
        <vt:i4>0</vt:i4>
      </vt:variant>
      <vt:variant>
        <vt:i4>5</vt:i4>
      </vt:variant>
      <vt:variant>
        <vt:lpwstr>http://www.optus.com.au/content/dam/optus/appendix/Appendix S/AppS.doc</vt:lpwstr>
      </vt:variant>
      <vt:variant>
        <vt:lpwstr/>
      </vt:variant>
      <vt:variant>
        <vt:i4>2687009</vt:i4>
      </vt:variant>
      <vt:variant>
        <vt:i4>906</vt:i4>
      </vt:variant>
      <vt:variant>
        <vt:i4>0</vt:i4>
      </vt:variant>
      <vt:variant>
        <vt:i4>5</vt:i4>
      </vt:variant>
      <vt:variant>
        <vt:lpwstr>http://www.optus.com.au/content/dam/optus/appendix/Appendix S/AppS.doc</vt:lpwstr>
      </vt:variant>
      <vt:variant>
        <vt:lpwstr/>
      </vt:variant>
      <vt:variant>
        <vt:i4>2293803</vt:i4>
      </vt:variant>
      <vt:variant>
        <vt:i4>903</vt:i4>
      </vt:variant>
      <vt:variant>
        <vt:i4>0</vt:i4>
      </vt:variant>
      <vt:variant>
        <vt:i4>5</vt:i4>
      </vt:variant>
      <vt:variant>
        <vt:lpwstr>http://www.optus.com.au/content/dam/optus/appendix/Appendix Y/AppY.doc</vt:lpwstr>
      </vt:variant>
      <vt:variant>
        <vt:lpwstr/>
      </vt:variant>
      <vt:variant>
        <vt:i4>7929957</vt:i4>
      </vt:variant>
      <vt:variant>
        <vt:i4>900</vt:i4>
      </vt:variant>
      <vt:variant>
        <vt:i4>0</vt:i4>
      </vt:variant>
      <vt:variant>
        <vt:i4>5</vt:i4>
      </vt:variant>
      <vt:variant>
        <vt:lpwstr>http://www.optus.com.au/content/dam/optus/documents/about-us/legal/DigPricingS1.doc</vt:lpwstr>
      </vt:variant>
      <vt:variant>
        <vt:lpwstr/>
      </vt:variant>
      <vt:variant>
        <vt:i4>1310748</vt:i4>
      </vt:variant>
      <vt:variant>
        <vt:i4>888</vt:i4>
      </vt:variant>
      <vt:variant>
        <vt:i4>0</vt:i4>
      </vt:variant>
      <vt:variant>
        <vt:i4>5</vt:i4>
      </vt:variant>
      <vt:variant>
        <vt:lpwstr>http://www.optus.com.au/content/dam/optus/appendix/Appendix IB/AppIB.doc</vt:lpwstr>
      </vt:variant>
      <vt:variant>
        <vt:lpwstr/>
      </vt:variant>
      <vt:variant>
        <vt:i4>6815794</vt:i4>
      </vt:variant>
      <vt:variant>
        <vt:i4>885</vt:i4>
      </vt:variant>
      <vt:variant>
        <vt:i4>0</vt:i4>
      </vt:variant>
      <vt:variant>
        <vt:i4>5</vt:i4>
      </vt:variant>
      <vt:variant>
        <vt:lpwstr>http://www.optus.com.au/content/dam/optus/documents/about-us/legal/SMETerms.doc</vt:lpwstr>
      </vt:variant>
      <vt:variant>
        <vt:lpwstr/>
      </vt:variant>
      <vt:variant>
        <vt:i4>2687009</vt:i4>
      </vt:variant>
      <vt:variant>
        <vt:i4>882</vt:i4>
      </vt:variant>
      <vt:variant>
        <vt:i4>0</vt:i4>
      </vt:variant>
      <vt:variant>
        <vt:i4>5</vt:i4>
      </vt:variant>
      <vt:variant>
        <vt:lpwstr>http://www.optus.com.au/content/dam/optus/appendix/Appendix S/AppS.doc</vt:lpwstr>
      </vt:variant>
      <vt:variant>
        <vt:lpwstr/>
      </vt:variant>
      <vt:variant>
        <vt:i4>5177423</vt:i4>
      </vt:variant>
      <vt:variant>
        <vt:i4>879</vt:i4>
      </vt:variant>
      <vt:variant>
        <vt:i4>0</vt:i4>
      </vt:variant>
      <vt:variant>
        <vt:i4>5</vt:i4>
      </vt:variant>
      <vt:variant>
        <vt:lpwstr>http://www.optus.com.au/dafiles/OCA/AboutOptus/LegalAndRegulatory/SharedStaticFiles/SharedDocuments/AppW.doc</vt:lpwstr>
      </vt:variant>
      <vt:variant>
        <vt:lpwstr/>
      </vt:variant>
      <vt:variant>
        <vt:i4>2687009</vt:i4>
      </vt:variant>
      <vt:variant>
        <vt:i4>876</vt:i4>
      </vt:variant>
      <vt:variant>
        <vt:i4>0</vt:i4>
      </vt:variant>
      <vt:variant>
        <vt:i4>5</vt:i4>
      </vt:variant>
      <vt:variant>
        <vt:lpwstr>http://www.optus.com.au/content/dam/optus/appendix/Appendix S/AppS.doc</vt:lpwstr>
      </vt:variant>
      <vt:variant>
        <vt:lpwstr/>
      </vt:variant>
      <vt:variant>
        <vt:i4>3145784</vt:i4>
      </vt:variant>
      <vt:variant>
        <vt:i4>873</vt:i4>
      </vt:variant>
      <vt:variant>
        <vt:i4>0</vt:i4>
      </vt:variant>
      <vt:variant>
        <vt:i4>5</vt:i4>
      </vt:variant>
      <vt:variant>
        <vt:lpwstr>http://www.optus.com.au/content/dam/optus/appendix/Appendix J/AppJ.doc</vt:lpwstr>
      </vt:variant>
      <vt:variant>
        <vt:lpwstr/>
      </vt:variant>
      <vt:variant>
        <vt:i4>3145784</vt:i4>
      </vt:variant>
      <vt:variant>
        <vt:i4>870</vt:i4>
      </vt:variant>
      <vt:variant>
        <vt:i4>0</vt:i4>
      </vt:variant>
      <vt:variant>
        <vt:i4>5</vt:i4>
      </vt:variant>
      <vt:variant>
        <vt:lpwstr>http://www.optus.com.au/content/dam/optus/appendix/Appendix J/AppJ.doc</vt:lpwstr>
      </vt:variant>
      <vt:variant>
        <vt:lpwstr/>
      </vt:variant>
      <vt:variant>
        <vt:i4>2687009</vt:i4>
      </vt:variant>
      <vt:variant>
        <vt:i4>867</vt:i4>
      </vt:variant>
      <vt:variant>
        <vt:i4>0</vt:i4>
      </vt:variant>
      <vt:variant>
        <vt:i4>5</vt:i4>
      </vt:variant>
      <vt:variant>
        <vt:lpwstr>http://www.optus.com.au/content/dam/optus/appendix/Appendix S/AppS.doc</vt:lpwstr>
      </vt:variant>
      <vt:variant>
        <vt:lpwstr/>
      </vt:variant>
      <vt:variant>
        <vt:i4>2293803</vt:i4>
      </vt:variant>
      <vt:variant>
        <vt:i4>864</vt:i4>
      </vt:variant>
      <vt:variant>
        <vt:i4>0</vt:i4>
      </vt:variant>
      <vt:variant>
        <vt:i4>5</vt:i4>
      </vt:variant>
      <vt:variant>
        <vt:lpwstr>http://www.optus.com.au/content/dam/optus/appendix/Appendix Y/AppY.doc</vt:lpwstr>
      </vt:variant>
      <vt:variant>
        <vt:lpwstr/>
      </vt:variant>
      <vt:variant>
        <vt:i4>7929957</vt:i4>
      </vt:variant>
      <vt:variant>
        <vt:i4>861</vt:i4>
      </vt:variant>
      <vt:variant>
        <vt:i4>0</vt:i4>
      </vt:variant>
      <vt:variant>
        <vt:i4>5</vt:i4>
      </vt:variant>
      <vt:variant>
        <vt:lpwstr>http://www.optus.com.au/content/dam/optus/documents/about-us/legal/DigPricingS1.doc</vt:lpwstr>
      </vt:variant>
      <vt:variant>
        <vt:lpwstr/>
      </vt:variant>
      <vt:variant>
        <vt:i4>6815794</vt:i4>
      </vt:variant>
      <vt:variant>
        <vt:i4>849</vt:i4>
      </vt:variant>
      <vt:variant>
        <vt:i4>0</vt:i4>
      </vt:variant>
      <vt:variant>
        <vt:i4>5</vt:i4>
      </vt:variant>
      <vt:variant>
        <vt:lpwstr>http://www.optus.com.au/content/dam/optus/documents/about-us/legal/SMETerms.doc</vt:lpwstr>
      </vt:variant>
      <vt:variant>
        <vt:lpwstr/>
      </vt:variant>
      <vt:variant>
        <vt:i4>5177423</vt:i4>
      </vt:variant>
      <vt:variant>
        <vt:i4>840</vt:i4>
      </vt:variant>
      <vt:variant>
        <vt:i4>0</vt:i4>
      </vt:variant>
      <vt:variant>
        <vt:i4>5</vt:i4>
      </vt:variant>
      <vt:variant>
        <vt:lpwstr>http://www.optus.com.au/dafiles/OCA/AboutOptus/LegalAndRegulatory/SharedStaticFiles/SharedDocuments/AppW.doc</vt:lpwstr>
      </vt:variant>
      <vt:variant>
        <vt:lpwstr/>
      </vt:variant>
      <vt:variant>
        <vt:i4>6815794</vt:i4>
      </vt:variant>
      <vt:variant>
        <vt:i4>837</vt:i4>
      </vt:variant>
      <vt:variant>
        <vt:i4>0</vt:i4>
      </vt:variant>
      <vt:variant>
        <vt:i4>5</vt:i4>
      </vt:variant>
      <vt:variant>
        <vt:lpwstr>http://www.optus.com.au/content/dam/optus/documents/about-us/legal/SMETerms.doc</vt:lpwstr>
      </vt:variant>
      <vt:variant>
        <vt:lpwstr/>
      </vt:variant>
      <vt:variant>
        <vt:i4>7929957</vt:i4>
      </vt:variant>
      <vt:variant>
        <vt:i4>834</vt:i4>
      </vt:variant>
      <vt:variant>
        <vt:i4>0</vt:i4>
      </vt:variant>
      <vt:variant>
        <vt:i4>5</vt:i4>
      </vt:variant>
      <vt:variant>
        <vt:lpwstr>http://www.optus.com.au/content/dam/optus/documents/about-us/legal/DigPricingS1.doc</vt:lpwstr>
      </vt:variant>
      <vt:variant>
        <vt:lpwstr/>
      </vt:variant>
      <vt:variant>
        <vt:i4>7929957</vt:i4>
      </vt:variant>
      <vt:variant>
        <vt:i4>831</vt:i4>
      </vt:variant>
      <vt:variant>
        <vt:i4>0</vt:i4>
      </vt:variant>
      <vt:variant>
        <vt:i4>5</vt:i4>
      </vt:variant>
      <vt:variant>
        <vt:lpwstr>http://www.optus.com.au/content/dam/optus/documents/about-us/legal/DigPricingS1.doc</vt:lpwstr>
      </vt:variant>
      <vt:variant>
        <vt:lpwstr/>
      </vt:variant>
      <vt:variant>
        <vt:i4>6815794</vt:i4>
      </vt:variant>
      <vt:variant>
        <vt:i4>828</vt:i4>
      </vt:variant>
      <vt:variant>
        <vt:i4>0</vt:i4>
      </vt:variant>
      <vt:variant>
        <vt:i4>5</vt:i4>
      </vt:variant>
      <vt:variant>
        <vt:lpwstr>http://www.optus.com.au/content/dam/optus/documents/about-us/legal/SMETerms.doc</vt:lpwstr>
      </vt:variant>
      <vt:variant>
        <vt:lpwstr/>
      </vt:variant>
      <vt:variant>
        <vt:i4>7929957</vt:i4>
      </vt:variant>
      <vt:variant>
        <vt:i4>825</vt:i4>
      </vt:variant>
      <vt:variant>
        <vt:i4>0</vt:i4>
      </vt:variant>
      <vt:variant>
        <vt:i4>5</vt:i4>
      </vt:variant>
      <vt:variant>
        <vt:lpwstr>http://www.optus.com.au/content/dam/optus/documents/about-us/legal/DigPricingS1.doc</vt:lpwstr>
      </vt:variant>
      <vt:variant>
        <vt:lpwstr/>
      </vt:variant>
      <vt:variant>
        <vt:i4>7929957</vt:i4>
      </vt:variant>
      <vt:variant>
        <vt:i4>822</vt:i4>
      </vt:variant>
      <vt:variant>
        <vt:i4>0</vt:i4>
      </vt:variant>
      <vt:variant>
        <vt:i4>5</vt:i4>
      </vt:variant>
      <vt:variant>
        <vt:lpwstr>http://www.optus.com.au/content/dam/optus/documents/about-us/legal/DigPricingS1.doc</vt:lpwstr>
      </vt:variant>
      <vt:variant>
        <vt:lpwstr/>
      </vt:variant>
      <vt:variant>
        <vt:i4>6815794</vt:i4>
      </vt:variant>
      <vt:variant>
        <vt:i4>819</vt:i4>
      </vt:variant>
      <vt:variant>
        <vt:i4>0</vt:i4>
      </vt:variant>
      <vt:variant>
        <vt:i4>5</vt:i4>
      </vt:variant>
      <vt:variant>
        <vt:lpwstr>http://www.optus.com.au/content/dam/optus/documents/about-us/legal/SMETerms.doc</vt:lpwstr>
      </vt:variant>
      <vt:variant>
        <vt:lpwstr/>
      </vt:variant>
      <vt:variant>
        <vt:i4>7929957</vt:i4>
      </vt:variant>
      <vt:variant>
        <vt:i4>816</vt:i4>
      </vt:variant>
      <vt:variant>
        <vt:i4>0</vt:i4>
      </vt:variant>
      <vt:variant>
        <vt:i4>5</vt:i4>
      </vt:variant>
      <vt:variant>
        <vt:lpwstr>http://www.optus.com.au/content/dam/optus/documents/about-us/legal/DigPricingS1.doc</vt:lpwstr>
      </vt:variant>
      <vt:variant>
        <vt:lpwstr/>
      </vt:variant>
      <vt:variant>
        <vt:i4>6815794</vt:i4>
      </vt:variant>
      <vt:variant>
        <vt:i4>813</vt:i4>
      </vt:variant>
      <vt:variant>
        <vt:i4>0</vt:i4>
      </vt:variant>
      <vt:variant>
        <vt:i4>5</vt:i4>
      </vt:variant>
      <vt:variant>
        <vt:lpwstr>http://www.optus.com.au/content/dam/optus/documents/about-us/legal/SMETerms.doc</vt:lpwstr>
      </vt:variant>
      <vt:variant>
        <vt:lpwstr/>
      </vt:variant>
      <vt:variant>
        <vt:i4>7929957</vt:i4>
      </vt:variant>
      <vt:variant>
        <vt:i4>810</vt:i4>
      </vt:variant>
      <vt:variant>
        <vt:i4>0</vt:i4>
      </vt:variant>
      <vt:variant>
        <vt:i4>5</vt:i4>
      </vt:variant>
      <vt:variant>
        <vt:lpwstr>http://www.optus.com.au/content/dam/optus/documents/about-us/legal/DigPricingS1.doc</vt:lpwstr>
      </vt:variant>
      <vt:variant>
        <vt:lpwstr/>
      </vt:variant>
      <vt:variant>
        <vt:i4>7929957</vt:i4>
      </vt:variant>
      <vt:variant>
        <vt:i4>807</vt:i4>
      </vt:variant>
      <vt:variant>
        <vt:i4>0</vt:i4>
      </vt:variant>
      <vt:variant>
        <vt:i4>5</vt:i4>
      </vt:variant>
      <vt:variant>
        <vt:lpwstr>http://www.optus.com.au/content/dam/optus/documents/about-us/legal/DigPricingS1.doc</vt:lpwstr>
      </vt:variant>
      <vt:variant>
        <vt:lpwstr/>
      </vt:variant>
      <vt:variant>
        <vt:i4>6815794</vt:i4>
      </vt:variant>
      <vt:variant>
        <vt:i4>804</vt:i4>
      </vt:variant>
      <vt:variant>
        <vt:i4>0</vt:i4>
      </vt:variant>
      <vt:variant>
        <vt:i4>5</vt:i4>
      </vt:variant>
      <vt:variant>
        <vt:lpwstr>http://www.optus.com.au/content/dam/optus/documents/about-us/legal/SMETerms.doc</vt:lpwstr>
      </vt:variant>
      <vt:variant>
        <vt:lpwstr/>
      </vt:variant>
      <vt:variant>
        <vt:i4>6815794</vt:i4>
      </vt:variant>
      <vt:variant>
        <vt:i4>801</vt:i4>
      </vt:variant>
      <vt:variant>
        <vt:i4>0</vt:i4>
      </vt:variant>
      <vt:variant>
        <vt:i4>5</vt:i4>
      </vt:variant>
      <vt:variant>
        <vt:lpwstr>http://www.optus.com.au/content/dam/optus/documents/about-us/legal/SMETerms.doc</vt:lpwstr>
      </vt:variant>
      <vt:variant>
        <vt:lpwstr/>
      </vt:variant>
      <vt:variant>
        <vt:i4>1114190</vt:i4>
      </vt:variant>
      <vt:variant>
        <vt:i4>798</vt:i4>
      </vt:variant>
      <vt:variant>
        <vt:i4>0</vt:i4>
      </vt:variant>
      <vt:variant>
        <vt:i4>5</vt:i4>
      </vt:variant>
      <vt:variant>
        <vt:lpwstr>http://www.optus.com.au/content/dam/optus/documents/about-us/legal/DigServDescConsSME.doc</vt:lpwstr>
      </vt:variant>
      <vt:variant>
        <vt:lpwstr/>
      </vt:variant>
      <vt:variant>
        <vt:i4>2293803</vt:i4>
      </vt:variant>
      <vt:variant>
        <vt:i4>795</vt:i4>
      </vt:variant>
      <vt:variant>
        <vt:i4>0</vt:i4>
      </vt:variant>
      <vt:variant>
        <vt:i4>5</vt:i4>
      </vt:variant>
      <vt:variant>
        <vt:lpwstr>http://www.optus.com.au/content/dam/optus/appendix/Appendix Y/AppY.doc</vt:lpwstr>
      </vt:variant>
      <vt:variant>
        <vt:lpwstr/>
      </vt:variant>
      <vt:variant>
        <vt:i4>7929957</vt:i4>
      </vt:variant>
      <vt:variant>
        <vt:i4>792</vt:i4>
      </vt:variant>
      <vt:variant>
        <vt:i4>0</vt:i4>
      </vt:variant>
      <vt:variant>
        <vt:i4>5</vt:i4>
      </vt:variant>
      <vt:variant>
        <vt:lpwstr>http://www.optus.com.au/content/dam/optus/documents/about-us/legal/DigPricingS1.doc</vt:lpwstr>
      </vt:variant>
      <vt:variant>
        <vt:lpwstr/>
      </vt:variant>
      <vt:variant>
        <vt:i4>7929952</vt:i4>
      </vt:variant>
      <vt:variant>
        <vt:i4>789</vt:i4>
      </vt:variant>
      <vt:variant>
        <vt:i4>0</vt:i4>
      </vt:variant>
      <vt:variant>
        <vt:i4>5</vt:i4>
      </vt:variant>
      <vt:variant>
        <vt:lpwstr>http://www.optus.com.au/content/dam/optus/documents/about-us/legal/DigPricingS4.doc</vt:lpwstr>
      </vt:variant>
      <vt:variant>
        <vt:lpwstr/>
      </vt:variant>
      <vt:variant>
        <vt:i4>7929952</vt:i4>
      </vt:variant>
      <vt:variant>
        <vt:i4>786</vt:i4>
      </vt:variant>
      <vt:variant>
        <vt:i4>0</vt:i4>
      </vt:variant>
      <vt:variant>
        <vt:i4>5</vt:i4>
      </vt:variant>
      <vt:variant>
        <vt:lpwstr>http://www.optus.com.au/content/dam/optus/documents/about-us/legal/DigPricingS4.doc</vt:lpwstr>
      </vt:variant>
      <vt:variant>
        <vt:lpwstr/>
      </vt:variant>
      <vt:variant>
        <vt:i4>6815794</vt:i4>
      </vt:variant>
      <vt:variant>
        <vt:i4>783</vt:i4>
      </vt:variant>
      <vt:variant>
        <vt:i4>0</vt:i4>
      </vt:variant>
      <vt:variant>
        <vt:i4>5</vt:i4>
      </vt:variant>
      <vt:variant>
        <vt:lpwstr>http://www.optus.com.au/content/dam/optus/documents/about-us/legal/SMETerms.doc</vt:lpwstr>
      </vt:variant>
      <vt:variant>
        <vt:lpwstr/>
      </vt:variant>
      <vt:variant>
        <vt:i4>1048636</vt:i4>
      </vt:variant>
      <vt:variant>
        <vt:i4>776</vt:i4>
      </vt:variant>
      <vt:variant>
        <vt:i4>0</vt:i4>
      </vt:variant>
      <vt:variant>
        <vt:i4>5</vt:i4>
      </vt:variant>
      <vt:variant>
        <vt:lpwstr/>
      </vt:variant>
      <vt:variant>
        <vt:lpwstr>_Toc462225863</vt:lpwstr>
      </vt:variant>
      <vt:variant>
        <vt:i4>1048636</vt:i4>
      </vt:variant>
      <vt:variant>
        <vt:i4>770</vt:i4>
      </vt:variant>
      <vt:variant>
        <vt:i4>0</vt:i4>
      </vt:variant>
      <vt:variant>
        <vt:i4>5</vt:i4>
      </vt:variant>
      <vt:variant>
        <vt:lpwstr/>
      </vt:variant>
      <vt:variant>
        <vt:lpwstr>_Toc462225862</vt:lpwstr>
      </vt:variant>
      <vt:variant>
        <vt:i4>1048636</vt:i4>
      </vt:variant>
      <vt:variant>
        <vt:i4>764</vt:i4>
      </vt:variant>
      <vt:variant>
        <vt:i4>0</vt:i4>
      </vt:variant>
      <vt:variant>
        <vt:i4>5</vt:i4>
      </vt:variant>
      <vt:variant>
        <vt:lpwstr/>
      </vt:variant>
      <vt:variant>
        <vt:lpwstr>_Toc462225861</vt:lpwstr>
      </vt:variant>
      <vt:variant>
        <vt:i4>1048636</vt:i4>
      </vt:variant>
      <vt:variant>
        <vt:i4>758</vt:i4>
      </vt:variant>
      <vt:variant>
        <vt:i4>0</vt:i4>
      </vt:variant>
      <vt:variant>
        <vt:i4>5</vt:i4>
      </vt:variant>
      <vt:variant>
        <vt:lpwstr/>
      </vt:variant>
      <vt:variant>
        <vt:lpwstr>_Toc462225860</vt:lpwstr>
      </vt:variant>
      <vt:variant>
        <vt:i4>1245244</vt:i4>
      </vt:variant>
      <vt:variant>
        <vt:i4>752</vt:i4>
      </vt:variant>
      <vt:variant>
        <vt:i4>0</vt:i4>
      </vt:variant>
      <vt:variant>
        <vt:i4>5</vt:i4>
      </vt:variant>
      <vt:variant>
        <vt:lpwstr/>
      </vt:variant>
      <vt:variant>
        <vt:lpwstr>_Toc462225859</vt:lpwstr>
      </vt:variant>
      <vt:variant>
        <vt:i4>1245244</vt:i4>
      </vt:variant>
      <vt:variant>
        <vt:i4>746</vt:i4>
      </vt:variant>
      <vt:variant>
        <vt:i4>0</vt:i4>
      </vt:variant>
      <vt:variant>
        <vt:i4>5</vt:i4>
      </vt:variant>
      <vt:variant>
        <vt:lpwstr/>
      </vt:variant>
      <vt:variant>
        <vt:lpwstr>_Toc462225858</vt:lpwstr>
      </vt:variant>
      <vt:variant>
        <vt:i4>1245244</vt:i4>
      </vt:variant>
      <vt:variant>
        <vt:i4>740</vt:i4>
      </vt:variant>
      <vt:variant>
        <vt:i4>0</vt:i4>
      </vt:variant>
      <vt:variant>
        <vt:i4>5</vt:i4>
      </vt:variant>
      <vt:variant>
        <vt:lpwstr/>
      </vt:variant>
      <vt:variant>
        <vt:lpwstr>_Toc462225857</vt:lpwstr>
      </vt:variant>
      <vt:variant>
        <vt:i4>1245244</vt:i4>
      </vt:variant>
      <vt:variant>
        <vt:i4>734</vt:i4>
      </vt:variant>
      <vt:variant>
        <vt:i4>0</vt:i4>
      </vt:variant>
      <vt:variant>
        <vt:i4>5</vt:i4>
      </vt:variant>
      <vt:variant>
        <vt:lpwstr/>
      </vt:variant>
      <vt:variant>
        <vt:lpwstr>_Toc462225856</vt:lpwstr>
      </vt:variant>
      <vt:variant>
        <vt:i4>1245244</vt:i4>
      </vt:variant>
      <vt:variant>
        <vt:i4>728</vt:i4>
      </vt:variant>
      <vt:variant>
        <vt:i4>0</vt:i4>
      </vt:variant>
      <vt:variant>
        <vt:i4>5</vt:i4>
      </vt:variant>
      <vt:variant>
        <vt:lpwstr/>
      </vt:variant>
      <vt:variant>
        <vt:lpwstr>_Toc462225855</vt:lpwstr>
      </vt:variant>
      <vt:variant>
        <vt:i4>1245244</vt:i4>
      </vt:variant>
      <vt:variant>
        <vt:i4>722</vt:i4>
      </vt:variant>
      <vt:variant>
        <vt:i4>0</vt:i4>
      </vt:variant>
      <vt:variant>
        <vt:i4>5</vt:i4>
      </vt:variant>
      <vt:variant>
        <vt:lpwstr/>
      </vt:variant>
      <vt:variant>
        <vt:lpwstr>_Toc462225854</vt:lpwstr>
      </vt:variant>
      <vt:variant>
        <vt:i4>1245244</vt:i4>
      </vt:variant>
      <vt:variant>
        <vt:i4>716</vt:i4>
      </vt:variant>
      <vt:variant>
        <vt:i4>0</vt:i4>
      </vt:variant>
      <vt:variant>
        <vt:i4>5</vt:i4>
      </vt:variant>
      <vt:variant>
        <vt:lpwstr/>
      </vt:variant>
      <vt:variant>
        <vt:lpwstr>_Toc462225853</vt:lpwstr>
      </vt:variant>
      <vt:variant>
        <vt:i4>1245244</vt:i4>
      </vt:variant>
      <vt:variant>
        <vt:i4>710</vt:i4>
      </vt:variant>
      <vt:variant>
        <vt:i4>0</vt:i4>
      </vt:variant>
      <vt:variant>
        <vt:i4>5</vt:i4>
      </vt:variant>
      <vt:variant>
        <vt:lpwstr/>
      </vt:variant>
      <vt:variant>
        <vt:lpwstr>_Toc462225852</vt:lpwstr>
      </vt:variant>
      <vt:variant>
        <vt:i4>1245244</vt:i4>
      </vt:variant>
      <vt:variant>
        <vt:i4>704</vt:i4>
      </vt:variant>
      <vt:variant>
        <vt:i4>0</vt:i4>
      </vt:variant>
      <vt:variant>
        <vt:i4>5</vt:i4>
      </vt:variant>
      <vt:variant>
        <vt:lpwstr/>
      </vt:variant>
      <vt:variant>
        <vt:lpwstr>_Toc462225851</vt:lpwstr>
      </vt:variant>
      <vt:variant>
        <vt:i4>1245244</vt:i4>
      </vt:variant>
      <vt:variant>
        <vt:i4>698</vt:i4>
      </vt:variant>
      <vt:variant>
        <vt:i4>0</vt:i4>
      </vt:variant>
      <vt:variant>
        <vt:i4>5</vt:i4>
      </vt:variant>
      <vt:variant>
        <vt:lpwstr/>
      </vt:variant>
      <vt:variant>
        <vt:lpwstr>_Toc462225850</vt:lpwstr>
      </vt:variant>
      <vt:variant>
        <vt:i4>1179708</vt:i4>
      </vt:variant>
      <vt:variant>
        <vt:i4>692</vt:i4>
      </vt:variant>
      <vt:variant>
        <vt:i4>0</vt:i4>
      </vt:variant>
      <vt:variant>
        <vt:i4>5</vt:i4>
      </vt:variant>
      <vt:variant>
        <vt:lpwstr/>
      </vt:variant>
      <vt:variant>
        <vt:lpwstr>_Toc462225849</vt:lpwstr>
      </vt:variant>
      <vt:variant>
        <vt:i4>1179708</vt:i4>
      </vt:variant>
      <vt:variant>
        <vt:i4>686</vt:i4>
      </vt:variant>
      <vt:variant>
        <vt:i4>0</vt:i4>
      </vt:variant>
      <vt:variant>
        <vt:i4>5</vt:i4>
      </vt:variant>
      <vt:variant>
        <vt:lpwstr/>
      </vt:variant>
      <vt:variant>
        <vt:lpwstr>_Toc462225848</vt:lpwstr>
      </vt:variant>
      <vt:variant>
        <vt:i4>1179708</vt:i4>
      </vt:variant>
      <vt:variant>
        <vt:i4>680</vt:i4>
      </vt:variant>
      <vt:variant>
        <vt:i4>0</vt:i4>
      </vt:variant>
      <vt:variant>
        <vt:i4>5</vt:i4>
      </vt:variant>
      <vt:variant>
        <vt:lpwstr/>
      </vt:variant>
      <vt:variant>
        <vt:lpwstr>_Toc462225847</vt:lpwstr>
      </vt:variant>
      <vt:variant>
        <vt:i4>1179708</vt:i4>
      </vt:variant>
      <vt:variant>
        <vt:i4>674</vt:i4>
      </vt:variant>
      <vt:variant>
        <vt:i4>0</vt:i4>
      </vt:variant>
      <vt:variant>
        <vt:i4>5</vt:i4>
      </vt:variant>
      <vt:variant>
        <vt:lpwstr/>
      </vt:variant>
      <vt:variant>
        <vt:lpwstr>_Toc462225846</vt:lpwstr>
      </vt:variant>
      <vt:variant>
        <vt:i4>1179708</vt:i4>
      </vt:variant>
      <vt:variant>
        <vt:i4>668</vt:i4>
      </vt:variant>
      <vt:variant>
        <vt:i4>0</vt:i4>
      </vt:variant>
      <vt:variant>
        <vt:i4>5</vt:i4>
      </vt:variant>
      <vt:variant>
        <vt:lpwstr/>
      </vt:variant>
      <vt:variant>
        <vt:lpwstr>_Toc462225845</vt:lpwstr>
      </vt:variant>
      <vt:variant>
        <vt:i4>1179708</vt:i4>
      </vt:variant>
      <vt:variant>
        <vt:i4>662</vt:i4>
      </vt:variant>
      <vt:variant>
        <vt:i4>0</vt:i4>
      </vt:variant>
      <vt:variant>
        <vt:i4>5</vt:i4>
      </vt:variant>
      <vt:variant>
        <vt:lpwstr/>
      </vt:variant>
      <vt:variant>
        <vt:lpwstr>_Toc462225844</vt:lpwstr>
      </vt:variant>
      <vt:variant>
        <vt:i4>1179708</vt:i4>
      </vt:variant>
      <vt:variant>
        <vt:i4>656</vt:i4>
      </vt:variant>
      <vt:variant>
        <vt:i4>0</vt:i4>
      </vt:variant>
      <vt:variant>
        <vt:i4>5</vt:i4>
      </vt:variant>
      <vt:variant>
        <vt:lpwstr/>
      </vt:variant>
      <vt:variant>
        <vt:lpwstr>_Toc462225843</vt:lpwstr>
      </vt:variant>
      <vt:variant>
        <vt:i4>1179708</vt:i4>
      </vt:variant>
      <vt:variant>
        <vt:i4>650</vt:i4>
      </vt:variant>
      <vt:variant>
        <vt:i4>0</vt:i4>
      </vt:variant>
      <vt:variant>
        <vt:i4>5</vt:i4>
      </vt:variant>
      <vt:variant>
        <vt:lpwstr/>
      </vt:variant>
      <vt:variant>
        <vt:lpwstr>_Toc462225842</vt:lpwstr>
      </vt:variant>
      <vt:variant>
        <vt:i4>1179708</vt:i4>
      </vt:variant>
      <vt:variant>
        <vt:i4>644</vt:i4>
      </vt:variant>
      <vt:variant>
        <vt:i4>0</vt:i4>
      </vt:variant>
      <vt:variant>
        <vt:i4>5</vt:i4>
      </vt:variant>
      <vt:variant>
        <vt:lpwstr/>
      </vt:variant>
      <vt:variant>
        <vt:lpwstr>_Toc462225841</vt:lpwstr>
      </vt:variant>
      <vt:variant>
        <vt:i4>1179708</vt:i4>
      </vt:variant>
      <vt:variant>
        <vt:i4>638</vt:i4>
      </vt:variant>
      <vt:variant>
        <vt:i4>0</vt:i4>
      </vt:variant>
      <vt:variant>
        <vt:i4>5</vt:i4>
      </vt:variant>
      <vt:variant>
        <vt:lpwstr/>
      </vt:variant>
      <vt:variant>
        <vt:lpwstr>_Toc462225840</vt:lpwstr>
      </vt:variant>
      <vt:variant>
        <vt:i4>1376316</vt:i4>
      </vt:variant>
      <vt:variant>
        <vt:i4>632</vt:i4>
      </vt:variant>
      <vt:variant>
        <vt:i4>0</vt:i4>
      </vt:variant>
      <vt:variant>
        <vt:i4>5</vt:i4>
      </vt:variant>
      <vt:variant>
        <vt:lpwstr/>
      </vt:variant>
      <vt:variant>
        <vt:lpwstr>_Toc462225839</vt:lpwstr>
      </vt:variant>
      <vt:variant>
        <vt:i4>1376316</vt:i4>
      </vt:variant>
      <vt:variant>
        <vt:i4>626</vt:i4>
      </vt:variant>
      <vt:variant>
        <vt:i4>0</vt:i4>
      </vt:variant>
      <vt:variant>
        <vt:i4>5</vt:i4>
      </vt:variant>
      <vt:variant>
        <vt:lpwstr/>
      </vt:variant>
      <vt:variant>
        <vt:lpwstr>_Toc462225838</vt:lpwstr>
      </vt:variant>
      <vt:variant>
        <vt:i4>1376316</vt:i4>
      </vt:variant>
      <vt:variant>
        <vt:i4>620</vt:i4>
      </vt:variant>
      <vt:variant>
        <vt:i4>0</vt:i4>
      </vt:variant>
      <vt:variant>
        <vt:i4>5</vt:i4>
      </vt:variant>
      <vt:variant>
        <vt:lpwstr/>
      </vt:variant>
      <vt:variant>
        <vt:lpwstr>_Toc462225837</vt:lpwstr>
      </vt:variant>
      <vt:variant>
        <vt:i4>1376316</vt:i4>
      </vt:variant>
      <vt:variant>
        <vt:i4>614</vt:i4>
      </vt:variant>
      <vt:variant>
        <vt:i4>0</vt:i4>
      </vt:variant>
      <vt:variant>
        <vt:i4>5</vt:i4>
      </vt:variant>
      <vt:variant>
        <vt:lpwstr/>
      </vt:variant>
      <vt:variant>
        <vt:lpwstr>_Toc462225836</vt:lpwstr>
      </vt:variant>
      <vt:variant>
        <vt:i4>1376316</vt:i4>
      </vt:variant>
      <vt:variant>
        <vt:i4>608</vt:i4>
      </vt:variant>
      <vt:variant>
        <vt:i4>0</vt:i4>
      </vt:variant>
      <vt:variant>
        <vt:i4>5</vt:i4>
      </vt:variant>
      <vt:variant>
        <vt:lpwstr/>
      </vt:variant>
      <vt:variant>
        <vt:lpwstr>_Toc462225835</vt:lpwstr>
      </vt:variant>
      <vt:variant>
        <vt:i4>1376316</vt:i4>
      </vt:variant>
      <vt:variant>
        <vt:i4>602</vt:i4>
      </vt:variant>
      <vt:variant>
        <vt:i4>0</vt:i4>
      </vt:variant>
      <vt:variant>
        <vt:i4>5</vt:i4>
      </vt:variant>
      <vt:variant>
        <vt:lpwstr/>
      </vt:variant>
      <vt:variant>
        <vt:lpwstr>_Toc462225834</vt:lpwstr>
      </vt:variant>
      <vt:variant>
        <vt:i4>1376316</vt:i4>
      </vt:variant>
      <vt:variant>
        <vt:i4>596</vt:i4>
      </vt:variant>
      <vt:variant>
        <vt:i4>0</vt:i4>
      </vt:variant>
      <vt:variant>
        <vt:i4>5</vt:i4>
      </vt:variant>
      <vt:variant>
        <vt:lpwstr/>
      </vt:variant>
      <vt:variant>
        <vt:lpwstr>_Toc462225833</vt:lpwstr>
      </vt:variant>
      <vt:variant>
        <vt:i4>1376316</vt:i4>
      </vt:variant>
      <vt:variant>
        <vt:i4>590</vt:i4>
      </vt:variant>
      <vt:variant>
        <vt:i4>0</vt:i4>
      </vt:variant>
      <vt:variant>
        <vt:i4>5</vt:i4>
      </vt:variant>
      <vt:variant>
        <vt:lpwstr/>
      </vt:variant>
      <vt:variant>
        <vt:lpwstr>_Toc462225832</vt:lpwstr>
      </vt:variant>
      <vt:variant>
        <vt:i4>1376316</vt:i4>
      </vt:variant>
      <vt:variant>
        <vt:i4>584</vt:i4>
      </vt:variant>
      <vt:variant>
        <vt:i4>0</vt:i4>
      </vt:variant>
      <vt:variant>
        <vt:i4>5</vt:i4>
      </vt:variant>
      <vt:variant>
        <vt:lpwstr/>
      </vt:variant>
      <vt:variant>
        <vt:lpwstr>_Toc462225831</vt:lpwstr>
      </vt:variant>
      <vt:variant>
        <vt:i4>1376316</vt:i4>
      </vt:variant>
      <vt:variant>
        <vt:i4>578</vt:i4>
      </vt:variant>
      <vt:variant>
        <vt:i4>0</vt:i4>
      </vt:variant>
      <vt:variant>
        <vt:i4>5</vt:i4>
      </vt:variant>
      <vt:variant>
        <vt:lpwstr/>
      </vt:variant>
      <vt:variant>
        <vt:lpwstr>_Toc462225830</vt:lpwstr>
      </vt:variant>
      <vt:variant>
        <vt:i4>1310780</vt:i4>
      </vt:variant>
      <vt:variant>
        <vt:i4>572</vt:i4>
      </vt:variant>
      <vt:variant>
        <vt:i4>0</vt:i4>
      </vt:variant>
      <vt:variant>
        <vt:i4>5</vt:i4>
      </vt:variant>
      <vt:variant>
        <vt:lpwstr/>
      </vt:variant>
      <vt:variant>
        <vt:lpwstr>_Toc462225829</vt:lpwstr>
      </vt:variant>
      <vt:variant>
        <vt:i4>1310780</vt:i4>
      </vt:variant>
      <vt:variant>
        <vt:i4>566</vt:i4>
      </vt:variant>
      <vt:variant>
        <vt:i4>0</vt:i4>
      </vt:variant>
      <vt:variant>
        <vt:i4>5</vt:i4>
      </vt:variant>
      <vt:variant>
        <vt:lpwstr/>
      </vt:variant>
      <vt:variant>
        <vt:lpwstr>_Toc462225828</vt:lpwstr>
      </vt:variant>
      <vt:variant>
        <vt:i4>1310780</vt:i4>
      </vt:variant>
      <vt:variant>
        <vt:i4>560</vt:i4>
      </vt:variant>
      <vt:variant>
        <vt:i4>0</vt:i4>
      </vt:variant>
      <vt:variant>
        <vt:i4>5</vt:i4>
      </vt:variant>
      <vt:variant>
        <vt:lpwstr/>
      </vt:variant>
      <vt:variant>
        <vt:lpwstr>_Toc462225827</vt:lpwstr>
      </vt:variant>
      <vt:variant>
        <vt:i4>1310780</vt:i4>
      </vt:variant>
      <vt:variant>
        <vt:i4>554</vt:i4>
      </vt:variant>
      <vt:variant>
        <vt:i4>0</vt:i4>
      </vt:variant>
      <vt:variant>
        <vt:i4>5</vt:i4>
      </vt:variant>
      <vt:variant>
        <vt:lpwstr/>
      </vt:variant>
      <vt:variant>
        <vt:lpwstr>_Toc462225826</vt:lpwstr>
      </vt:variant>
      <vt:variant>
        <vt:i4>1310780</vt:i4>
      </vt:variant>
      <vt:variant>
        <vt:i4>548</vt:i4>
      </vt:variant>
      <vt:variant>
        <vt:i4>0</vt:i4>
      </vt:variant>
      <vt:variant>
        <vt:i4>5</vt:i4>
      </vt:variant>
      <vt:variant>
        <vt:lpwstr/>
      </vt:variant>
      <vt:variant>
        <vt:lpwstr>_Toc462225825</vt:lpwstr>
      </vt:variant>
      <vt:variant>
        <vt:i4>1310780</vt:i4>
      </vt:variant>
      <vt:variant>
        <vt:i4>542</vt:i4>
      </vt:variant>
      <vt:variant>
        <vt:i4>0</vt:i4>
      </vt:variant>
      <vt:variant>
        <vt:i4>5</vt:i4>
      </vt:variant>
      <vt:variant>
        <vt:lpwstr/>
      </vt:variant>
      <vt:variant>
        <vt:lpwstr>_Toc462225824</vt:lpwstr>
      </vt:variant>
      <vt:variant>
        <vt:i4>1310780</vt:i4>
      </vt:variant>
      <vt:variant>
        <vt:i4>536</vt:i4>
      </vt:variant>
      <vt:variant>
        <vt:i4>0</vt:i4>
      </vt:variant>
      <vt:variant>
        <vt:i4>5</vt:i4>
      </vt:variant>
      <vt:variant>
        <vt:lpwstr/>
      </vt:variant>
      <vt:variant>
        <vt:lpwstr>_Toc462225823</vt:lpwstr>
      </vt:variant>
      <vt:variant>
        <vt:i4>1310780</vt:i4>
      </vt:variant>
      <vt:variant>
        <vt:i4>530</vt:i4>
      </vt:variant>
      <vt:variant>
        <vt:i4>0</vt:i4>
      </vt:variant>
      <vt:variant>
        <vt:i4>5</vt:i4>
      </vt:variant>
      <vt:variant>
        <vt:lpwstr/>
      </vt:variant>
      <vt:variant>
        <vt:lpwstr>_Toc462225822</vt:lpwstr>
      </vt:variant>
      <vt:variant>
        <vt:i4>1310780</vt:i4>
      </vt:variant>
      <vt:variant>
        <vt:i4>524</vt:i4>
      </vt:variant>
      <vt:variant>
        <vt:i4>0</vt:i4>
      </vt:variant>
      <vt:variant>
        <vt:i4>5</vt:i4>
      </vt:variant>
      <vt:variant>
        <vt:lpwstr/>
      </vt:variant>
      <vt:variant>
        <vt:lpwstr>_Toc462225821</vt:lpwstr>
      </vt:variant>
      <vt:variant>
        <vt:i4>1310780</vt:i4>
      </vt:variant>
      <vt:variant>
        <vt:i4>518</vt:i4>
      </vt:variant>
      <vt:variant>
        <vt:i4>0</vt:i4>
      </vt:variant>
      <vt:variant>
        <vt:i4>5</vt:i4>
      </vt:variant>
      <vt:variant>
        <vt:lpwstr/>
      </vt:variant>
      <vt:variant>
        <vt:lpwstr>_Toc462225820</vt:lpwstr>
      </vt:variant>
      <vt:variant>
        <vt:i4>1507388</vt:i4>
      </vt:variant>
      <vt:variant>
        <vt:i4>512</vt:i4>
      </vt:variant>
      <vt:variant>
        <vt:i4>0</vt:i4>
      </vt:variant>
      <vt:variant>
        <vt:i4>5</vt:i4>
      </vt:variant>
      <vt:variant>
        <vt:lpwstr/>
      </vt:variant>
      <vt:variant>
        <vt:lpwstr>_Toc462225819</vt:lpwstr>
      </vt:variant>
      <vt:variant>
        <vt:i4>1507388</vt:i4>
      </vt:variant>
      <vt:variant>
        <vt:i4>506</vt:i4>
      </vt:variant>
      <vt:variant>
        <vt:i4>0</vt:i4>
      </vt:variant>
      <vt:variant>
        <vt:i4>5</vt:i4>
      </vt:variant>
      <vt:variant>
        <vt:lpwstr/>
      </vt:variant>
      <vt:variant>
        <vt:lpwstr>_Toc462225818</vt:lpwstr>
      </vt:variant>
      <vt:variant>
        <vt:i4>1507388</vt:i4>
      </vt:variant>
      <vt:variant>
        <vt:i4>500</vt:i4>
      </vt:variant>
      <vt:variant>
        <vt:i4>0</vt:i4>
      </vt:variant>
      <vt:variant>
        <vt:i4>5</vt:i4>
      </vt:variant>
      <vt:variant>
        <vt:lpwstr/>
      </vt:variant>
      <vt:variant>
        <vt:lpwstr>_Toc462225817</vt:lpwstr>
      </vt:variant>
      <vt:variant>
        <vt:i4>1507388</vt:i4>
      </vt:variant>
      <vt:variant>
        <vt:i4>494</vt:i4>
      </vt:variant>
      <vt:variant>
        <vt:i4>0</vt:i4>
      </vt:variant>
      <vt:variant>
        <vt:i4>5</vt:i4>
      </vt:variant>
      <vt:variant>
        <vt:lpwstr/>
      </vt:variant>
      <vt:variant>
        <vt:lpwstr>_Toc462225816</vt:lpwstr>
      </vt:variant>
      <vt:variant>
        <vt:i4>1507388</vt:i4>
      </vt:variant>
      <vt:variant>
        <vt:i4>488</vt:i4>
      </vt:variant>
      <vt:variant>
        <vt:i4>0</vt:i4>
      </vt:variant>
      <vt:variant>
        <vt:i4>5</vt:i4>
      </vt:variant>
      <vt:variant>
        <vt:lpwstr/>
      </vt:variant>
      <vt:variant>
        <vt:lpwstr>_Toc462225815</vt:lpwstr>
      </vt:variant>
      <vt:variant>
        <vt:i4>1507388</vt:i4>
      </vt:variant>
      <vt:variant>
        <vt:i4>482</vt:i4>
      </vt:variant>
      <vt:variant>
        <vt:i4>0</vt:i4>
      </vt:variant>
      <vt:variant>
        <vt:i4>5</vt:i4>
      </vt:variant>
      <vt:variant>
        <vt:lpwstr/>
      </vt:variant>
      <vt:variant>
        <vt:lpwstr>_Toc462225814</vt:lpwstr>
      </vt:variant>
      <vt:variant>
        <vt:i4>1507388</vt:i4>
      </vt:variant>
      <vt:variant>
        <vt:i4>476</vt:i4>
      </vt:variant>
      <vt:variant>
        <vt:i4>0</vt:i4>
      </vt:variant>
      <vt:variant>
        <vt:i4>5</vt:i4>
      </vt:variant>
      <vt:variant>
        <vt:lpwstr/>
      </vt:variant>
      <vt:variant>
        <vt:lpwstr>_Toc462225813</vt:lpwstr>
      </vt:variant>
      <vt:variant>
        <vt:i4>1507388</vt:i4>
      </vt:variant>
      <vt:variant>
        <vt:i4>470</vt:i4>
      </vt:variant>
      <vt:variant>
        <vt:i4>0</vt:i4>
      </vt:variant>
      <vt:variant>
        <vt:i4>5</vt:i4>
      </vt:variant>
      <vt:variant>
        <vt:lpwstr/>
      </vt:variant>
      <vt:variant>
        <vt:lpwstr>_Toc462225812</vt:lpwstr>
      </vt:variant>
      <vt:variant>
        <vt:i4>1507388</vt:i4>
      </vt:variant>
      <vt:variant>
        <vt:i4>464</vt:i4>
      </vt:variant>
      <vt:variant>
        <vt:i4>0</vt:i4>
      </vt:variant>
      <vt:variant>
        <vt:i4>5</vt:i4>
      </vt:variant>
      <vt:variant>
        <vt:lpwstr/>
      </vt:variant>
      <vt:variant>
        <vt:lpwstr>_Toc462225811</vt:lpwstr>
      </vt:variant>
      <vt:variant>
        <vt:i4>1507388</vt:i4>
      </vt:variant>
      <vt:variant>
        <vt:i4>458</vt:i4>
      </vt:variant>
      <vt:variant>
        <vt:i4>0</vt:i4>
      </vt:variant>
      <vt:variant>
        <vt:i4>5</vt:i4>
      </vt:variant>
      <vt:variant>
        <vt:lpwstr/>
      </vt:variant>
      <vt:variant>
        <vt:lpwstr>_Toc462225810</vt:lpwstr>
      </vt:variant>
      <vt:variant>
        <vt:i4>1441852</vt:i4>
      </vt:variant>
      <vt:variant>
        <vt:i4>452</vt:i4>
      </vt:variant>
      <vt:variant>
        <vt:i4>0</vt:i4>
      </vt:variant>
      <vt:variant>
        <vt:i4>5</vt:i4>
      </vt:variant>
      <vt:variant>
        <vt:lpwstr/>
      </vt:variant>
      <vt:variant>
        <vt:lpwstr>_Toc462225809</vt:lpwstr>
      </vt:variant>
      <vt:variant>
        <vt:i4>1441852</vt:i4>
      </vt:variant>
      <vt:variant>
        <vt:i4>446</vt:i4>
      </vt:variant>
      <vt:variant>
        <vt:i4>0</vt:i4>
      </vt:variant>
      <vt:variant>
        <vt:i4>5</vt:i4>
      </vt:variant>
      <vt:variant>
        <vt:lpwstr/>
      </vt:variant>
      <vt:variant>
        <vt:lpwstr>_Toc462225808</vt:lpwstr>
      </vt:variant>
      <vt:variant>
        <vt:i4>1441852</vt:i4>
      </vt:variant>
      <vt:variant>
        <vt:i4>440</vt:i4>
      </vt:variant>
      <vt:variant>
        <vt:i4>0</vt:i4>
      </vt:variant>
      <vt:variant>
        <vt:i4>5</vt:i4>
      </vt:variant>
      <vt:variant>
        <vt:lpwstr/>
      </vt:variant>
      <vt:variant>
        <vt:lpwstr>_Toc462225807</vt:lpwstr>
      </vt:variant>
      <vt:variant>
        <vt:i4>1441852</vt:i4>
      </vt:variant>
      <vt:variant>
        <vt:i4>434</vt:i4>
      </vt:variant>
      <vt:variant>
        <vt:i4>0</vt:i4>
      </vt:variant>
      <vt:variant>
        <vt:i4>5</vt:i4>
      </vt:variant>
      <vt:variant>
        <vt:lpwstr/>
      </vt:variant>
      <vt:variant>
        <vt:lpwstr>_Toc462225806</vt:lpwstr>
      </vt:variant>
      <vt:variant>
        <vt:i4>1441852</vt:i4>
      </vt:variant>
      <vt:variant>
        <vt:i4>428</vt:i4>
      </vt:variant>
      <vt:variant>
        <vt:i4>0</vt:i4>
      </vt:variant>
      <vt:variant>
        <vt:i4>5</vt:i4>
      </vt:variant>
      <vt:variant>
        <vt:lpwstr/>
      </vt:variant>
      <vt:variant>
        <vt:lpwstr>_Toc462225805</vt:lpwstr>
      </vt:variant>
      <vt:variant>
        <vt:i4>1441852</vt:i4>
      </vt:variant>
      <vt:variant>
        <vt:i4>422</vt:i4>
      </vt:variant>
      <vt:variant>
        <vt:i4>0</vt:i4>
      </vt:variant>
      <vt:variant>
        <vt:i4>5</vt:i4>
      </vt:variant>
      <vt:variant>
        <vt:lpwstr/>
      </vt:variant>
      <vt:variant>
        <vt:lpwstr>_Toc462225804</vt:lpwstr>
      </vt:variant>
      <vt:variant>
        <vt:i4>1441852</vt:i4>
      </vt:variant>
      <vt:variant>
        <vt:i4>416</vt:i4>
      </vt:variant>
      <vt:variant>
        <vt:i4>0</vt:i4>
      </vt:variant>
      <vt:variant>
        <vt:i4>5</vt:i4>
      </vt:variant>
      <vt:variant>
        <vt:lpwstr/>
      </vt:variant>
      <vt:variant>
        <vt:lpwstr>_Toc462225803</vt:lpwstr>
      </vt:variant>
      <vt:variant>
        <vt:i4>1441852</vt:i4>
      </vt:variant>
      <vt:variant>
        <vt:i4>410</vt:i4>
      </vt:variant>
      <vt:variant>
        <vt:i4>0</vt:i4>
      </vt:variant>
      <vt:variant>
        <vt:i4>5</vt:i4>
      </vt:variant>
      <vt:variant>
        <vt:lpwstr/>
      </vt:variant>
      <vt:variant>
        <vt:lpwstr>_Toc462225802</vt:lpwstr>
      </vt:variant>
      <vt:variant>
        <vt:i4>1441852</vt:i4>
      </vt:variant>
      <vt:variant>
        <vt:i4>404</vt:i4>
      </vt:variant>
      <vt:variant>
        <vt:i4>0</vt:i4>
      </vt:variant>
      <vt:variant>
        <vt:i4>5</vt:i4>
      </vt:variant>
      <vt:variant>
        <vt:lpwstr/>
      </vt:variant>
      <vt:variant>
        <vt:lpwstr>_Toc462225801</vt:lpwstr>
      </vt:variant>
      <vt:variant>
        <vt:i4>1441852</vt:i4>
      </vt:variant>
      <vt:variant>
        <vt:i4>398</vt:i4>
      </vt:variant>
      <vt:variant>
        <vt:i4>0</vt:i4>
      </vt:variant>
      <vt:variant>
        <vt:i4>5</vt:i4>
      </vt:variant>
      <vt:variant>
        <vt:lpwstr/>
      </vt:variant>
      <vt:variant>
        <vt:lpwstr>_Toc462225800</vt:lpwstr>
      </vt:variant>
      <vt:variant>
        <vt:i4>2031667</vt:i4>
      </vt:variant>
      <vt:variant>
        <vt:i4>392</vt:i4>
      </vt:variant>
      <vt:variant>
        <vt:i4>0</vt:i4>
      </vt:variant>
      <vt:variant>
        <vt:i4>5</vt:i4>
      </vt:variant>
      <vt:variant>
        <vt:lpwstr/>
      </vt:variant>
      <vt:variant>
        <vt:lpwstr>_Toc462225799</vt:lpwstr>
      </vt:variant>
      <vt:variant>
        <vt:i4>2031667</vt:i4>
      </vt:variant>
      <vt:variant>
        <vt:i4>386</vt:i4>
      </vt:variant>
      <vt:variant>
        <vt:i4>0</vt:i4>
      </vt:variant>
      <vt:variant>
        <vt:i4>5</vt:i4>
      </vt:variant>
      <vt:variant>
        <vt:lpwstr/>
      </vt:variant>
      <vt:variant>
        <vt:lpwstr>_Toc462225798</vt:lpwstr>
      </vt:variant>
      <vt:variant>
        <vt:i4>2031667</vt:i4>
      </vt:variant>
      <vt:variant>
        <vt:i4>380</vt:i4>
      </vt:variant>
      <vt:variant>
        <vt:i4>0</vt:i4>
      </vt:variant>
      <vt:variant>
        <vt:i4>5</vt:i4>
      </vt:variant>
      <vt:variant>
        <vt:lpwstr/>
      </vt:variant>
      <vt:variant>
        <vt:lpwstr>_Toc462225797</vt:lpwstr>
      </vt:variant>
      <vt:variant>
        <vt:i4>2031667</vt:i4>
      </vt:variant>
      <vt:variant>
        <vt:i4>374</vt:i4>
      </vt:variant>
      <vt:variant>
        <vt:i4>0</vt:i4>
      </vt:variant>
      <vt:variant>
        <vt:i4>5</vt:i4>
      </vt:variant>
      <vt:variant>
        <vt:lpwstr/>
      </vt:variant>
      <vt:variant>
        <vt:lpwstr>_Toc462225796</vt:lpwstr>
      </vt:variant>
      <vt:variant>
        <vt:i4>2031667</vt:i4>
      </vt:variant>
      <vt:variant>
        <vt:i4>368</vt:i4>
      </vt:variant>
      <vt:variant>
        <vt:i4>0</vt:i4>
      </vt:variant>
      <vt:variant>
        <vt:i4>5</vt:i4>
      </vt:variant>
      <vt:variant>
        <vt:lpwstr/>
      </vt:variant>
      <vt:variant>
        <vt:lpwstr>_Toc462225795</vt:lpwstr>
      </vt:variant>
      <vt:variant>
        <vt:i4>2031667</vt:i4>
      </vt:variant>
      <vt:variant>
        <vt:i4>362</vt:i4>
      </vt:variant>
      <vt:variant>
        <vt:i4>0</vt:i4>
      </vt:variant>
      <vt:variant>
        <vt:i4>5</vt:i4>
      </vt:variant>
      <vt:variant>
        <vt:lpwstr/>
      </vt:variant>
      <vt:variant>
        <vt:lpwstr>_Toc462225794</vt:lpwstr>
      </vt:variant>
      <vt:variant>
        <vt:i4>2031667</vt:i4>
      </vt:variant>
      <vt:variant>
        <vt:i4>356</vt:i4>
      </vt:variant>
      <vt:variant>
        <vt:i4>0</vt:i4>
      </vt:variant>
      <vt:variant>
        <vt:i4>5</vt:i4>
      </vt:variant>
      <vt:variant>
        <vt:lpwstr/>
      </vt:variant>
      <vt:variant>
        <vt:lpwstr>_Toc462225793</vt:lpwstr>
      </vt:variant>
      <vt:variant>
        <vt:i4>2031667</vt:i4>
      </vt:variant>
      <vt:variant>
        <vt:i4>350</vt:i4>
      </vt:variant>
      <vt:variant>
        <vt:i4>0</vt:i4>
      </vt:variant>
      <vt:variant>
        <vt:i4>5</vt:i4>
      </vt:variant>
      <vt:variant>
        <vt:lpwstr/>
      </vt:variant>
      <vt:variant>
        <vt:lpwstr>_Toc462225792</vt:lpwstr>
      </vt:variant>
      <vt:variant>
        <vt:i4>2031667</vt:i4>
      </vt:variant>
      <vt:variant>
        <vt:i4>344</vt:i4>
      </vt:variant>
      <vt:variant>
        <vt:i4>0</vt:i4>
      </vt:variant>
      <vt:variant>
        <vt:i4>5</vt:i4>
      </vt:variant>
      <vt:variant>
        <vt:lpwstr/>
      </vt:variant>
      <vt:variant>
        <vt:lpwstr>_Toc462225791</vt:lpwstr>
      </vt:variant>
      <vt:variant>
        <vt:i4>2031667</vt:i4>
      </vt:variant>
      <vt:variant>
        <vt:i4>338</vt:i4>
      </vt:variant>
      <vt:variant>
        <vt:i4>0</vt:i4>
      </vt:variant>
      <vt:variant>
        <vt:i4>5</vt:i4>
      </vt:variant>
      <vt:variant>
        <vt:lpwstr/>
      </vt:variant>
      <vt:variant>
        <vt:lpwstr>_Toc462225790</vt:lpwstr>
      </vt:variant>
      <vt:variant>
        <vt:i4>1966131</vt:i4>
      </vt:variant>
      <vt:variant>
        <vt:i4>332</vt:i4>
      </vt:variant>
      <vt:variant>
        <vt:i4>0</vt:i4>
      </vt:variant>
      <vt:variant>
        <vt:i4>5</vt:i4>
      </vt:variant>
      <vt:variant>
        <vt:lpwstr/>
      </vt:variant>
      <vt:variant>
        <vt:lpwstr>_Toc462225789</vt:lpwstr>
      </vt:variant>
      <vt:variant>
        <vt:i4>1966131</vt:i4>
      </vt:variant>
      <vt:variant>
        <vt:i4>326</vt:i4>
      </vt:variant>
      <vt:variant>
        <vt:i4>0</vt:i4>
      </vt:variant>
      <vt:variant>
        <vt:i4>5</vt:i4>
      </vt:variant>
      <vt:variant>
        <vt:lpwstr/>
      </vt:variant>
      <vt:variant>
        <vt:lpwstr>_Toc462225788</vt:lpwstr>
      </vt:variant>
      <vt:variant>
        <vt:i4>1966131</vt:i4>
      </vt:variant>
      <vt:variant>
        <vt:i4>320</vt:i4>
      </vt:variant>
      <vt:variant>
        <vt:i4>0</vt:i4>
      </vt:variant>
      <vt:variant>
        <vt:i4>5</vt:i4>
      </vt:variant>
      <vt:variant>
        <vt:lpwstr/>
      </vt:variant>
      <vt:variant>
        <vt:lpwstr>_Toc462225787</vt:lpwstr>
      </vt:variant>
      <vt:variant>
        <vt:i4>1966131</vt:i4>
      </vt:variant>
      <vt:variant>
        <vt:i4>314</vt:i4>
      </vt:variant>
      <vt:variant>
        <vt:i4>0</vt:i4>
      </vt:variant>
      <vt:variant>
        <vt:i4>5</vt:i4>
      </vt:variant>
      <vt:variant>
        <vt:lpwstr/>
      </vt:variant>
      <vt:variant>
        <vt:lpwstr>_Toc462225786</vt:lpwstr>
      </vt:variant>
      <vt:variant>
        <vt:i4>1966131</vt:i4>
      </vt:variant>
      <vt:variant>
        <vt:i4>308</vt:i4>
      </vt:variant>
      <vt:variant>
        <vt:i4>0</vt:i4>
      </vt:variant>
      <vt:variant>
        <vt:i4>5</vt:i4>
      </vt:variant>
      <vt:variant>
        <vt:lpwstr/>
      </vt:variant>
      <vt:variant>
        <vt:lpwstr>_Toc462225785</vt:lpwstr>
      </vt:variant>
      <vt:variant>
        <vt:i4>1966131</vt:i4>
      </vt:variant>
      <vt:variant>
        <vt:i4>302</vt:i4>
      </vt:variant>
      <vt:variant>
        <vt:i4>0</vt:i4>
      </vt:variant>
      <vt:variant>
        <vt:i4>5</vt:i4>
      </vt:variant>
      <vt:variant>
        <vt:lpwstr/>
      </vt:variant>
      <vt:variant>
        <vt:lpwstr>_Toc462225784</vt:lpwstr>
      </vt:variant>
      <vt:variant>
        <vt:i4>1966131</vt:i4>
      </vt:variant>
      <vt:variant>
        <vt:i4>296</vt:i4>
      </vt:variant>
      <vt:variant>
        <vt:i4>0</vt:i4>
      </vt:variant>
      <vt:variant>
        <vt:i4>5</vt:i4>
      </vt:variant>
      <vt:variant>
        <vt:lpwstr/>
      </vt:variant>
      <vt:variant>
        <vt:lpwstr>_Toc462225783</vt:lpwstr>
      </vt:variant>
      <vt:variant>
        <vt:i4>1966131</vt:i4>
      </vt:variant>
      <vt:variant>
        <vt:i4>290</vt:i4>
      </vt:variant>
      <vt:variant>
        <vt:i4>0</vt:i4>
      </vt:variant>
      <vt:variant>
        <vt:i4>5</vt:i4>
      </vt:variant>
      <vt:variant>
        <vt:lpwstr/>
      </vt:variant>
      <vt:variant>
        <vt:lpwstr>_Toc462225782</vt:lpwstr>
      </vt:variant>
      <vt:variant>
        <vt:i4>1966131</vt:i4>
      </vt:variant>
      <vt:variant>
        <vt:i4>284</vt:i4>
      </vt:variant>
      <vt:variant>
        <vt:i4>0</vt:i4>
      </vt:variant>
      <vt:variant>
        <vt:i4>5</vt:i4>
      </vt:variant>
      <vt:variant>
        <vt:lpwstr/>
      </vt:variant>
      <vt:variant>
        <vt:lpwstr>_Toc462225781</vt:lpwstr>
      </vt:variant>
      <vt:variant>
        <vt:i4>1966131</vt:i4>
      </vt:variant>
      <vt:variant>
        <vt:i4>278</vt:i4>
      </vt:variant>
      <vt:variant>
        <vt:i4>0</vt:i4>
      </vt:variant>
      <vt:variant>
        <vt:i4>5</vt:i4>
      </vt:variant>
      <vt:variant>
        <vt:lpwstr/>
      </vt:variant>
      <vt:variant>
        <vt:lpwstr>_Toc462225780</vt:lpwstr>
      </vt:variant>
      <vt:variant>
        <vt:i4>1114163</vt:i4>
      </vt:variant>
      <vt:variant>
        <vt:i4>272</vt:i4>
      </vt:variant>
      <vt:variant>
        <vt:i4>0</vt:i4>
      </vt:variant>
      <vt:variant>
        <vt:i4>5</vt:i4>
      </vt:variant>
      <vt:variant>
        <vt:lpwstr/>
      </vt:variant>
      <vt:variant>
        <vt:lpwstr>_Toc462225779</vt:lpwstr>
      </vt:variant>
      <vt:variant>
        <vt:i4>1114163</vt:i4>
      </vt:variant>
      <vt:variant>
        <vt:i4>266</vt:i4>
      </vt:variant>
      <vt:variant>
        <vt:i4>0</vt:i4>
      </vt:variant>
      <vt:variant>
        <vt:i4>5</vt:i4>
      </vt:variant>
      <vt:variant>
        <vt:lpwstr/>
      </vt:variant>
      <vt:variant>
        <vt:lpwstr>_Toc462225778</vt:lpwstr>
      </vt:variant>
      <vt:variant>
        <vt:i4>1114163</vt:i4>
      </vt:variant>
      <vt:variant>
        <vt:i4>260</vt:i4>
      </vt:variant>
      <vt:variant>
        <vt:i4>0</vt:i4>
      </vt:variant>
      <vt:variant>
        <vt:i4>5</vt:i4>
      </vt:variant>
      <vt:variant>
        <vt:lpwstr/>
      </vt:variant>
      <vt:variant>
        <vt:lpwstr>_Toc462225777</vt:lpwstr>
      </vt:variant>
      <vt:variant>
        <vt:i4>1114163</vt:i4>
      </vt:variant>
      <vt:variant>
        <vt:i4>254</vt:i4>
      </vt:variant>
      <vt:variant>
        <vt:i4>0</vt:i4>
      </vt:variant>
      <vt:variant>
        <vt:i4>5</vt:i4>
      </vt:variant>
      <vt:variant>
        <vt:lpwstr/>
      </vt:variant>
      <vt:variant>
        <vt:lpwstr>_Toc462225776</vt:lpwstr>
      </vt:variant>
      <vt:variant>
        <vt:i4>1114163</vt:i4>
      </vt:variant>
      <vt:variant>
        <vt:i4>248</vt:i4>
      </vt:variant>
      <vt:variant>
        <vt:i4>0</vt:i4>
      </vt:variant>
      <vt:variant>
        <vt:i4>5</vt:i4>
      </vt:variant>
      <vt:variant>
        <vt:lpwstr/>
      </vt:variant>
      <vt:variant>
        <vt:lpwstr>_Toc462225775</vt:lpwstr>
      </vt:variant>
      <vt:variant>
        <vt:i4>1114163</vt:i4>
      </vt:variant>
      <vt:variant>
        <vt:i4>242</vt:i4>
      </vt:variant>
      <vt:variant>
        <vt:i4>0</vt:i4>
      </vt:variant>
      <vt:variant>
        <vt:i4>5</vt:i4>
      </vt:variant>
      <vt:variant>
        <vt:lpwstr/>
      </vt:variant>
      <vt:variant>
        <vt:lpwstr>_Toc462225774</vt:lpwstr>
      </vt:variant>
      <vt:variant>
        <vt:i4>1114163</vt:i4>
      </vt:variant>
      <vt:variant>
        <vt:i4>236</vt:i4>
      </vt:variant>
      <vt:variant>
        <vt:i4>0</vt:i4>
      </vt:variant>
      <vt:variant>
        <vt:i4>5</vt:i4>
      </vt:variant>
      <vt:variant>
        <vt:lpwstr/>
      </vt:variant>
      <vt:variant>
        <vt:lpwstr>_Toc462225773</vt:lpwstr>
      </vt:variant>
      <vt:variant>
        <vt:i4>1114163</vt:i4>
      </vt:variant>
      <vt:variant>
        <vt:i4>230</vt:i4>
      </vt:variant>
      <vt:variant>
        <vt:i4>0</vt:i4>
      </vt:variant>
      <vt:variant>
        <vt:i4>5</vt:i4>
      </vt:variant>
      <vt:variant>
        <vt:lpwstr/>
      </vt:variant>
      <vt:variant>
        <vt:lpwstr>_Toc462225772</vt:lpwstr>
      </vt:variant>
      <vt:variant>
        <vt:i4>1114163</vt:i4>
      </vt:variant>
      <vt:variant>
        <vt:i4>224</vt:i4>
      </vt:variant>
      <vt:variant>
        <vt:i4>0</vt:i4>
      </vt:variant>
      <vt:variant>
        <vt:i4>5</vt:i4>
      </vt:variant>
      <vt:variant>
        <vt:lpwstr/>
      </vt:variant>
      <vt:variant>
        <vt:lpwstr>_Toc462225771</vt:lpwstr>
      </vt:variant>
      <vt:variant>
        <vt:i4>1114163</vt:i4>
      </vt:variant>
      <vt:variant>
        <vt:i4>218</vt:i4>
      </vt:variant>
      <vt:variant>
        <vt:i4>0</vt:i4>
      </vt:variant>
      <vt:variant>
        <vt:i4>5</vt:i4>
      </vt:variant>
      <vt:variant>
        <vt:lpwstr/>
      </vt:variant>
      <vt:variant>
        <vt:lpwstr>_Toc462225770</vt:lpwstr>
      </vt:variant>
      <vt:variant>
        <vt:i4>1048627</vt:i4>
      </vt:variant>
      <vt:variant>
        <vt:i4>212</vt:i4>
      </vt:variant>
      <vt:variant>
        <vt:i4>0</vt:i4>
      </vt:variant>
      <vt:variant>
        <vt:i4>5</vt:i4>
      </vt:variant>
      <vt:variant>
        <vt:lpwstr/>
      </vt:variant>
      <vt:variant>
        <vt:lpwstr>_Toc462225769</vt:lpwstr>
      </vt:variant>
      <vt:variant>
        <vt:i4>1048627</vt:i4>
      </vt:variant>
      <vt:variant>
        <vt:i4>206</vt:i4>
      </vt:variant>
      <vt:variant>
        <vt:i4>0</vt:i4>
      </vt:variant>
      <vt:variant>
        <vt:i4>5</vt:i4>
      </vt:variant>
      <vt:variant>
        <vt:lpwstr/>
      </vt:variant>
      <vt:variant>
        <vt:lpwstr>_Toc462225768</vt:lpwstr>
      </vt:variant>
      <vt:variant>
        <vt:i4>1048627</vt:i4>
      </vt:variant>
      <vt:variant>
        <vt:i4>200</vt:i4>
      </vt:variant>
      <vt:variant>
        <vt:i4>0</vt:i4>
      </vt:variant>
      <vt:variant>
        <vt:i4>5</vt:i4>
      </vt:variant>
      <vt:variant>
        <vt:lpwstr/>
      </vt:variant>
      <vt:variant>
        <vt:lpwstr>_Toc462225767</vt:lpwstr>
      </vt:variant>
      <vt:variant>
        <vt:i4>1048627</vt:i4>
      </vt:variant>
      <vt:variant>
        <vt:i4>194</vt:i4>
      </vt:variant>
      <vt:variant>
        <vt:i4>0</vt:i4>
      </vt:variant>
      <vt:variant>
        <vt:i4>5</vt:i4>
      </vt:variant>
      <vt:variant>
        <vt:lpwstr/>
      </vt:variant>
      <vt:variant>
        <vt:lpwstr>_Toc462225766</vt:lpwstr>
      </vt:variant>
      <vt:variant>
        <vt:i4>1048627</vt:i4>
      </vt:variant>
      <vt:variant>
        <vt:i4>188</vt:i4>
      </vt:variant>
      <vt:variant>
        <vt:i4>0</vt:i4>
      </vt:variant>
      <vt:variant>
        <vt:i4>5</vt:i4>
      </vt:variant>
      <vt:variant>
        <vt:lpwstr/>
      </vt:variant>
      <vt:variant>
        <vt:lpwstr>_Toc462225765</vt:lpwstr>
      </vt:variant>
      <vt:variant>
        <vt:i4>1048627</vt:i4>
      </vt:variant>
      <vt:variant>
        <vt:i4>182</vt:i4>
      </vt:variant>
      <vt:variant>
        <vt:i4>0</vt:i4>
      </vt:variant>
      <vt:variant>
        <vt:i4>5</vt:i4>
      </vt:variant>
      <vt:variant>
        <vt:lpwstr/>
      </vt:variant>
      <vt:variant>
        <vt:lpwstr>_Toc462225764</vt:lpwstr>
      </vt:variant>
      <vt:variant>
        <vt:i4>1048627</vt:i4>
      </vt:variant>
      <vt:variant>
        <vt:i4>176</vt:i4>
      </vt:variant>
      <vt:variant>
        <vt:i4>0</vt:i4>
      </vt:variant>
      <vt:variant>
        <vt:i4>5</vt:i4>
      </vt:variant>
      <vt:variant>
        <vt:lpwstr/>
      </vt:variant>
      <vt:variant>
        <vt:lpwstr>_Toc462225763</vt:lpwstr>
      </vt:variant>
      <vt:variant>
        <vt:i4>1048627</vt:i4>
      </vt:variant>
      <vt:variant>
        <vt:i4>170</vt:i4>
      </vt:variant>
      <vt:variant>
        <vt:i4>0</vt:i4>
      </vt:variant>
      <vt:variant>
        <vt:i4>5</vt:i4>
      </vt:variant>
      <vt:variant>
        <vt:lpwstr/>
      </vt:variant>
      <vt:variant>
        <vt:lpwstr>_Toc462225762</vt:lpwstr>
      </vt:variant>
      <vt:variant>
        <vt:i4>1048627</vt:i4>
      </vt:variant>
      <vt:variant>
        <vt:i4>164</vt:i4>
      </vt:variant>
      <vt:variant>
        <vt:i4>0</vt:i4>
      </vt:variant>
      <vt:variant>
        <vt:i4>5</vt:i4>
      </vt:variant>
      <vt:variant>
        <vt:lpwstr/>
      </vt:variant>
      <vt:variant>
        <vt:lpwstr>_Toc462225761</vt:lpwstr>
      </vt:variant>
      <vt:variant>
        <vt:i4>1048627</vt:i4>
      </vt:variant>
      <vt:variant>
        <vt:i4>158</vt:i4>
      </vt:variant>
      <vt:variant>
        <vt:i4>0</vt:i4>
      </vt:variant>
      <vt:variant>
        <vt:i4>5</vt:i4>
      </vt:variant>
      <vt:variant>
        <vt:lpwstr/>
      </vt:variant>
      <vt:variant>
        <vt:lpwstr>_Toc462225760</vt:lpwstr>
      </vt:variant>
      <vt:variant>
        <vt:i4>1245235</vt:i4>
      </vt:variant>
      <vt:variant>
        <vt:i4>152</vt:i4>
      </vt:variant>
      <vt:variant>
        <vt:i4>0</vt:i4>
      </vt:variant>
      <vt:variant>
        <vt:i4>5</vt:i4>
      </vt:variant>
      <vt:variant>
        <vt:lpwstr/>
      </vt:variant>
      <vt:variant>
        <vt:lpwstr>_Toc462225759</vt:lpwstr>
      </vt:variant>
      <vt:variant>
        <vt:i4>1245235</vt:i4>
      </vt:variant>
      <vt:variant>
        <vt:i4>146</vt:i4>
      </vt:variant>
      <vt:variant>
        <vt:i4>0</vt:i4>
      </vt:variant>
      <vt:variant>
        <vt:i4>5</vt:i4>
      </vt:variant>
      <vt:variant>
        <vt:lpwstr/>
      </vt:variant>
      <vt:variant>
        <vt:lpwstr>_Toc462225758</vt:lpwstr>
      </vt:variant>
      <vt:variant>
        <vt:i4>1245235</vt:i4>
      </vt:variant>
      <vt:variant>
        <vt:i4>140</vt:i4>
      </vt:variant>
      <vt:variant>
        <vt:i4>0</vt:i4>
      </vt:variant>
      <vt:variant>
        <vt:i4>5</vt:i4>
      </vt:variant>
      <vt:variant>
        <vt:lpwstr/>
      </vt:variant>
      <vt:variant>
        <vt:lpwstr>_Toc462225757</vt:lpwstr>
      </vt:variant>
      <vt:variant>
        <vt:i4>1245235</vt:i4>
      </vt:variant>
      <vt:variant>
        <vt:i4>134</vt:i4>
      </vt:variant>
      <vt:variant>
        <vt:i4>0</vt:i4>
      </vt:variant>
      <vt:variant>
        <vt:i4>5</vt:i4>
      </vt:variant>
      <vt:variant>
        <vt:lpwstr/>
      </vt:variant>
      <vt:variant>
        <vt:lpwstr>_Toc462225756</vt:lpwstr>
      </vt:variant>
      <vt:variant>
        <vt:i4>1245235</vt:i4>
      </vt:variant>
      <vt:variant>
        <vt:i4>128</vt:i4>
      </vt:variant>
      <vt:variant>
        <vt:i4>0</vt:i4>
      </vt:variant>
      <vt:variant>
        <vt:i4>5</vt:i4>
      </vt:variant>
      <vt:variant>
        <vt:lpwstr/>
      </vt:variant>
      <vt:variant>
        <vt:lpwstr>_Toc462225755</vt:lpwstr>
      </vt:variant>
      <vt:variant>
        <vt:i4>1245235</vt:i4>
      </vt:variant>
      <vt:variant>
        <vt:i4>122</vt:i4>
      </vt:variant>
      <vt:variant>
        <vt:i4>0</vt:i4>
      </vt:variant>
      <vt:variant>
        <vt:i4>5</vt:i4>
      </vt:variant>
      <vt:variant>
        <vt:lpwstr/>
      </vt:variant>
      <vt:variant>
        <vt:lpwstr>_Toc462225754</vt:lpwstr>
      </vt:variant>
      <vt:variant>
        <vt:i4>1245235</vt:i4>
      </vt:variant>
      <vt:variant>
        <vt:i4>116</vt:i4>
      </vt:variant>
      <vt:variant>
        <vt:i4>0</vt:i4>
      </vt:variant>
      <vt:variant>
        <vt:i4>5</vt:i4>
      </vt:variant>
      <vt:variant>
        <vt:lpwstr/>
      </vt:variant>
      <vt:variant>
        <vt:lpwstr>_Toc462225753</vt:lpwstr>
      </vt:variant>
      <vt:variant>
        <vt:i4>1245235</vt:i4>
      </vt:variant>
      <vt:variant>
        <vt:i4>110</vt:i4>
      </vt:variant>
      <vt:variant>
        <vt:i4>0</vt:i4>
      </vt:variant>
      <vt:variant>
        <vt:i4>5</vt:i4>
      </vt:variant>
      <vt:variant>
        <vt:lpwstr/>
      </vt:variant>
      <vt:variant>
        <vt:lpwstr>_Toc462225752</vt:lpwstr>
      </vt:variant>
      <vt:variant>
        <vt:i4>1245235</vt:i4>
      </vt:variant>
      <vt:variant>
        <vt:i4>104</vt:i4>
      </vt:variant>
      <vt:variant>
        <vt:i4>0</vt:i4>
      </vt:variant>
      <vt:variant>
        <vt:i4>5</vt:i4>
      </vt:variant>
      <vt:variant>
        <vt:lpwstr/>
      </vt:variant>
      <vt:variant>
        <vt:lpwstr>_Toc462225751</vt:lpwstr>
      </vt:variant>
      <vt:variant>
        <vt:i4>1245235</vt:i4>
      </vt:variant>
      <vt:variant>
        <vt:i4>98</vt:i4>
      </vt:variant>
      <vt:variant>
        <vt:i4>0</vt:i4>
      </vt:variant>
      <vt:variant>
        <vt:i4>5</vt:i4>
      </vt:variant>
      <vt:variant>
        <vt:lpwstr/>
      </vt:variant>
      <vt:variant>
        <vt:lpwstr>_Toc462225750</vt:lpwstr>
      </vt:variant>
      <vt:variant>
        <vt:i4>1179699</vt:i4>
      </vt:variant>
      <vt:variant>
        <vt:i4>92</vt:i4>
      </vt:variant>
      <vt:variant>
        <vt:i4>0</vt:i4>
      </vt:variant>
      <vt:variant>
        <vt:i4>5</vt:i4>
      </vt:variant>
      <vt:variant>
        <vt:lpwstr/>
      </vt:variant>
      <vt:variant>
        <vt:lpwstr>_Toc462225749</vt:lpwstr>
      </vt:variant>
      <vt:variant>
        <vt:i4>1179699</vt:i4>
      </vt:variant>
      <vt:variant>
        <vt:i4>86</vt:i4>
      </vt:variant>
      <vt:variant>
        <vt:i4>0</vt:i4>
      </vt:variant>
      <vt:variant>
        <vt:i4>5</vt:i4>
      </vt:variant>
      <vt:variant>
        <vt:lpwstr/>
      </vt:variant>
      <vt:variant>
        <vt:lpwstr>_Toc462225748</vt:lpwstr>
      </vt:variant>
      <vt:variant>
        <vt:i4>1179699</vt:i4>
      </vt:variant>
      <vt:variant>
        <vt:i4>80</vt:i4>
      </vt:variant>
      <vt:variant>
        <vt:i4>0</vt:i4>
      </vt:variant>
      <vt:variant>
        <vt:i4>5</vt:i4>
      </vt:variant>
      <vt:variant>
        <vt:lpwstr/>
      </vt:variant>
      <vt:variant>
        <vt:lpwstr>_Toc462225747</vt:lpwstr>
      </vt:variant>
      <vt:variant>
        <vt:i4>1179699</vt:i4>
      </vt:variant>
      <vt:variant>
        <vt:i4>74</vt:i4>
      </vt:variant>
      <vt:variant>
        <vt:i4>0</vt:i4>
      </vt:variant>
      <vt:variant>
        <vt:i4>5</vt:i4>
      </vt:variant>
      <vt:variant>
        <vt:lpwstr/>
      </vt:variant>
      <vt:variant>
        <vt:lpwstr>_Toc462225746</vt:lpwstr>
      </vt:variant>
      <vt:variant>
        <vt:i4>1179699</vt:i4>
      </vt:variant>
      <vt:variant>
        <vt:i4>68</vt:i4>
      </vt:variant>
      <vt:variant>
        <vt:i4>0</vt:i4>
      </vt:variant>
      <vt:variant>
        <vt:i4>5</vt:i4>
      </vt:variant>
      <vt:variant>
        <vt:lpwstr/>
      </vt:variant>
      <vt:variant>
        <vt:lpwstr>_Toc462225745</vt:lpwstr>
      </vt:variant>
      <vt:variant>
        <vt:i4>1179699</vt:i4>
      </vt:variant>
      <vt:variant>
        <vt:i4>62</vt:i4>
      </vt:variant>
      <vt:variant>
        <vt:i4>0</vt:i4>
      </vt:variant>
      <vt:variant>
        <vt:i4>5</vt:i4>
      </vt:variant>
      <vt:variant>
        <vt:lpwstr/>
      </vt:variant>
      <vt:variant>
        <vt:lpwstr>_Toc462225744</vt:lpwstr>
      </vt:variant>
      <vt:variant>
        <vt:i4>1179699</vt:i4>
      </vt:variant>
      <vt:variant>
        <vt:i4>56</vt:i4>
      </vt:variant>
      <vt:variant>
        <vt:i4>0</vt:i4>
      </vt:variant>
      <vt:variant>
        <vt:i4>5</vt:i4>
      </vt:variant>
      <vt:variant>
        <vt:lpwstr/>
      </vt:variant>
      <vt:variant>
        <vt:lpwstr>_Toc462225743</vt:lpwstr>
      </vt:variant>
      <vt:variant>
        <vt:i4>1179699</vt:i4>
      </vt:variant>
      <vt:variant>
        <vt:i4>50</vt:i4>
      </vt:variant>
      <vt:variant>
        <vt:i4>0</vt:i4>
      </vt:variant>
      <vt:variant>
        <vt:i4>5</vt:i4>
      </vt:variant>
      <vt:variant>
        <vt:lpwstr/>
      </vt:variant>
      <vt:variant>
        <vt:lpwstr>_Toc462225742</vt:lpwstr>
      </vt:variant>
      <vt:variant>
        <vt:i4>1179699</vt:i4>
      </vt:variant>
      <vt:variant>
        <vt:i4>44</vt:i4>
      </vt:variant>
      <vt:variant>
        <vt:i4>0</vt:i4>
      </vt:variant>
      <vt:variant>
        <vt:i4>5</vt:i4>
      </vt:variant>
      <vt:variant>
        <vt:lpwstr/>
      </vt:variant>
      <vt:variant>
        <vt:lpwstr>_Toc462225741</vt:lpwstr>
      </vt:variant>
      <vt:variant>
        <vt:i4>1179699</vt:i4>
      </vt:variant>
      <vt:variant>
        <vt:i4>38</vt:i4>
      </vt:variant>
      <vt:variant>
        <vt:i4>0</vt:i4>
      </vt:variant>
      <vt:variant>
        <vt:i4>5</vt:i4>
      </vt:variant>
      <vt:variant>
        <vt:lpwstr/>
      </vt:variant>
      <vt:variant>
        <vt:lpwstr>_Toc462225740</vt:lpwstr>
      </vt:variant>
      <vt:variant>
        <vt:i4>1376307</vt:i4>
      </vt:variant>
      <vt:variant>
        <vt:i4>32</vt:i4>
      </vt:variant>
      <vt:variant>
        <vt:i4>0</vt:i4>
      </vt:variant>
      <vt:variant>
        <vt:i4>5</vt:i4>
      </vt:variant>
      <vt:variant>
        <vt:lpwstr/>
      </vt:variant>
      <vt:variant>
        <vt:lpwstr>_Toc462225739</vt:lpwstr>
      </vt:variant>
      <vt:variant>
        <vt:i4>1376307</vt:i4>
      </vt:variant>
      <vt:variant>
        <vt:i4>26</vt:i4>
      </vt:variant>
      <vt:variant>
        <vt:i4>0</vt:i4>
      </vt:variant>
      <vt:variant>
        <vt:i4>5</vt:i4>
      </vt:variant>
      <vt:variant>
        <vt:lpwstr/>
      </vt:variant>
      <vt:variant>
        <vt:lpwstr>_Toc462225738</vt:lpwstr>
      </vt:variant>
      <vt:variant>
        <vt:i4>1376307</vt:i4>
      </vt:variant>
      <vt:variant>
        <vt:i4>20</vt:i4>
      </vt:variant>
      <vt:variant>
        <vt:i4>0</vt:i4>
      </vt:variant>
      <vt:variant>
        <vt:i4>5</vt:i4>
      </vt:variant>
      <vt:variant>
        <vt:lpwstr/>
      </vt:variant>
      <vt:variant>
        <vt:lpwstr>_Toc462225737</vt:lpwstr>
      </vt:variant>
      <vt:variant>
        <vt:i4>1376307</vt:i4>
      </vt:variant>
      <vt:variant>
        <vt:i4>14</vt:i4>
      </vt:variant>
      <vt:variant>
        <vt:i4>0</vt:i4>
      </vt:variant>
      <vt:variant>
        <vt:i4>5</vt:i4>
      </vt:variant>
      <vt:variant>
        <vt:lpwstr/>
      </vt:variant>
      <vt:variant>
        <vt:lpwstr>_Toc462225736</vt:lpwstr>
      </vt:variant>
      <vt:variant>
        <vt:i4>1376307</vt:i4>
      </vt:variant>
      <vt:variant>
        <vt:i4>8</vt:i4>
      </vt:variant>
      <vt:variant>
        <vt:i4>0</vt:i4>
      </vt:variant>
      <vt:variant>
        <vt:i4>5</vt:i4>
      </vt:variant>
      <vt:variant>
        <vt:lpwstr/>
      </vt:variant>
      <vt:variant>
        <vt:lpwstr>_Toc462225735</vt:lpwstr>
      </vt:variant>
      <vt:variant>
        <vt:i4>1376307</vt:i4>
      </vt:variant>
      <vt:variant>
        <vt:i4>2</vt:i4>
      </vt:variant>
      <vt:variant>
        <vt:i4>0</vt:i4>
      </vt:variant>
      <vt:variant>
        <vt:i4>5</vt:i4>
      </vt:variant>
      <vt:variant>
        <vt:lpwstr/>
      </vt:variant>
      <vt:variant>
        <vt:lpwstr>_Toc462225734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Simpson</dc:creator>
  <cp:lastModifiedBy>Alex Chau</cp:lastModifiedBy>
  <cp:revision>3</cp:revision>
  <dcterms:created xsi:type="dcterms:W3CDTF">2021-07-01T07:36:00Z</dcterms:created>
  <dcterms:modified xsi:type="dcterms:W3CDTF">2021-07-08T01:44:00Z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itle">
    <vt:lpwstr>Optus Digital Mobile Service - Standard Pricing Table - </vt:lpwstr>
  </property>
  <property fmtid="{D5CDD505-2E9C-101B-9397-08002B2CF9AE}" pid="3" name="DocSubTitle">
    <vt:lpwstr>Section 5 - Special Offer Pricing plans (SMB)</vt:lpwstr>
  </property>
  <property fmtid="{D5CDD505-2E9C-101B-9397-08002B2CF9AE}" pid="4" name="DocDate">
    <vt:lpwstr>22 November 2017 </vt:lpwstr>
  </property>
</Properties>
</file>